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ED56E" w14:textId="77777777" w:rsidR="00711EBB" w:rsidRDefault="00711EBB" w:rsidP="0047769A">
      <w:pPr>
        <w:pStyle w:val="BodyText"/>
        <w:jc w:val="center"/>
        <w:rPr>
          <w:sz w:val="56"/>
          <w:szCs w:val="56"/>
        </w:rPr>
      </w:pPr>
    </w:p>
    <w:p w14:paraId="40AF3BD5" w14:textId="3382A849" w:rsidR="008E00E4" w:rsidRPr="0047769A" w:rsidRDefault="008E00E4" w:rsidP="0047769A">
      <w:pPr>
        <w:pStyle w:val="BodyText"/>
        <w:jc w:val="center"/>
        <w:rPr>
          <w:sz w:val="56"/>
          <w:szCs w:val="56"/>
        </w:rPr>
      </w:pPr>
      <w:r w:rsidRPr="0047769A">
        <w:rPr>
          <w:sz w:val="56"/>
          <w:szCs w:val="56"/>
        </w:rPr>
        <w:t>Self-Evaluation Report</w:t>
      </w:r>
    </w:p>
    <w:p w14:paraId="4B1A4CC4" w14:textId="7498DAAC" w:rsidR="008E00E4" w:rsidRDefault="00E32BC8" w:rsidP="008E00E4">
      <w:pPr>
        <w:jc w:val="center"/>
      </w:pPr>
      <w:r>
        <w:rPr>
          <w:noProof/>
        </w:rPr>
        <w:drawing>
          <wp:inline distT="0" distB="0" distL="0" distR="0" wp14:anchorId="2709ED60" wp14:editId="488A1DC0">
            <wp:extent cx="2342907" cy="2342907"/>
            <wp:effectExtent l="0" t="0" r="635" b="635"/>
            <wp:docPr id="847230065" name="Picture 1" descr="Texas Workforce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342907" cy="2342907"/>
                    </a:xfrm>
                    <a:prstGeom prst="rect">
                      <a:avLst/>
                    </a:prstGeom>
                  </pic:spPr>
                </pic:pic>
              </a:graphicData>
            </a:graphic>
          </wp:inline>
        </w:drawing>
      </w:r>
    </w:p>
    <w:p w14:paraId="4AFFEAB2" w14:textId="32F2FA50" w:rsidR="008E00E4" w:rsidRPr="000F4083" w:rsidRDefault="00E32BC8" w:rsidP="008E00E4">
      <w:pPr>
        <w:pStyle w:val="Subtitle"/>
      </w:pPr>
      <w:r>
        <w:t>Texas Workforce Commission</w:t>
      </w:r>
    </w:p>
    <w:p w14:paraId="56DB934B" w14:textId="5302CB18" w:rsidR="00B33907" w:rsidRDefault="00E32BC8" w:rsidP="00A81E8F">
      <w:pPr>
        <w:pStyle w:val="Subtitle"/>
      </w:pPr>
      <w:r>
        <w:t>August</w:t>
      </w:r>
      <w:r w:rsidR="008E00E4" w:rsidRPr="000F4083">
        <w:t xml:space="preserve"> 20</w:t>
      </w:r>
      <w:r w:rsidR="00BF773E">
        <w:t>2</w:t>
      </w:r>
      <w:r w:rsidR="00B2708D">
        <w:t>5</w:t>
      </w:r>
      <w:r w:rsidR="00B33907">
        <w:br w:type="page"/>
      </w:r>
    </w:p>
    <w:p w14:paraId="40AE7BEA" w14:textId="77777777" w:rsidR="00DC771B" w:rsidRDefault="00DC771B" w:rsidP="00462F50">
      <w:pPr>
        <w:rPr>
          <w:rFonts w:eastAsiaTheme="majorEastAsia"/>
        </w:rPr>
      </w:pPr>
      <w:r>
        <w:rPr>
          <w:rFonts w:eastAsiaTheme="majorEastAsia"/>
        </w:rPr>
        <w:lastRenderedPageBreak/>
        <w:br w:type="page"/>
      </w:r>
    </w:p>
    <w:p w14:paraId="0BEA3ABA" w14:textId="0AAB8C68" w:rsidR="00AB306D" w:rsidRDefault="00DB7236" w:rsidP="00AB306D">
      <w:pPr>
        <w:pStyle w:val="SectionTitles"/>
        <w:contextualSpacing w:val="0"/>
      </w:pPr>
      <w:r w:rsidRPr="00DB7236">
        <w:lastRenderedPageBreak/>
        <w:t>Table of Contents</w:t>
      </w:r>
      <w:r w:rsidR="008A4A34">
        <w:rPr>
          <w:noProof/>
        </w:rPr>
        <w:t xml:space="preserve"> </w:t>
      </w:r>
      <w:r>
        <w:rPr>
          <w:noProof/>
        </w:rPr>
        <mc:AlternateContent>
          <mc:Choice Requires="wps">
            <w:drawing>
              <wp:inline distT="0" distB="0" distL="0" distR="0" wp14:anchorId="64B85DCC" wp14:editId="0FF35240">
                <wp:extent cx="4000500" cy="0"/>
                <wp:effectExtent l="19050" t="19050" r="19050" b="19050"/>
                <wp:docPr id="8" name="Straight Connector 8" descr="A line placed for decoration."/>
                <wp:cNvGraphicFramePr/>
                <a:graphic xmlns:a="http://schemas.openxmlformats.org/drawingml/2006/main">
                  <a:graphicData uri="http://schemas.microsoft.com/office/word/2010/wordprocessingShape">
                    <wps:wsp>
                      <wps:cNvCnPr/>
                      <wps:spPr>
                        <a:xfrm>
                          <a:off x="0" y="0"/>
                          <a:ext cx="4000500" cy="0"/>
                        </a:xfrm>
                        <a:prstGeom prst="line">
                          <a:avLst/>
                        </a:prstGeom>
                        <a:ln w="41275" cap="rnd"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580F6062">
              <v:line id="Straight Connector 8" style="visibility:visible;mso-wrap-style:square;mso-left-percent:-10001;mso-top-percent:-10001;mso-position-horizontal:absolute;mso-position-horizontal-relative:char;mso-position-vertical:absolute;mso-position-vertical-relative:line;mso-left-percent:-10001;mso-top-percent:-10001" alt="A line placed for decoration." o:spid="_x0000_s1026" strokecolor="black [3213]" strokeweight="3.25pt" from="0,0" to="315pt,0" w14:anchorId="500B8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">
                <v:stroke linestyle="thinThick" endcap="round"/>
                <w10:anchorlock/>
              </v:line>
            </w:pict>
          </mc:Fallback>
        </mc:AlternateContent>
      </w:r>
    </w:p>
    <w:sdt>
      <w:sdtPr>
        <w:rPr>
          <w:rFonts w:eastAsiaTheme="minorEastAsia"/>
          <w:b w:val="0"/>
          <w:bCs w:val="0"/>
          <w:caps/>
          <w:color w:val="auto"/>
          <w:sz w:val="24"/>
          <w:szCs w:val="24"/>
          <w:lang w:eastAsia="en-US"/>
        </w:rPr>
        <w:id w:val="1697488626"/>
        <w:docPartObj>
          <w:docPartGallery w:val="Table of Contents"/>
          <w:docPartUnique/>
        </w:docPartObj>
      </w:sdtPr>
      <w:sdtContent>
        <w:p w14:paraId="598C7D34" w14:textId="263E8441" w:rsidR="008E7A73" w:rsidRPr="00AF1F86" w:rsidRDefault="008E7A73">
          <w:pPr>
            <w:pStyle w:val="TOCHeading"/>
            <w:rPr>
              <w:rFonts w:ascii="Aptos" w:hAnsi="Aptos"/>
              <w:sz w:val="22"/>
              <w:szCs w:val="22"/>
            </w:rPr>
          </w:pPr>
        </w:p>
        <w:p w14:paraId="02D7D226" w14:textId="718DBF0D" w:rsidR="00565CA6" w:rsidRDefault="7FD609B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r>
            <w:fldChar w:fldCharType="begin"/>
          </w:r>
          <w:r w:rsidR="008E7A73">
            <w:instrText>TOC \o "1-3" \z \u \h</w:instrText>
          </w:r>
          <w:r>
            <w:fldChar w:fldCharType="separate"/>
          </w:r>
          <w:hyperlink w:anchor="_Toc203377314" w:history="1">
            <w:r w:rsidR="00565CA6" w:rsidRPr="00D7637C">
              <w:rPr>
                <w:rStyle w:val="Hyperlink"/>
                <w:noProof/>
              </w:rPr>
              <w:t>I. Agency Contact Information</w:t>
            </w:r>
            <w:r w:rsidR="00565CA6">
              <w:rPr>
                <w:noProof/>
                <w:webHidden/>
              </w:rPr>
              <w:tab/>
            </w:r>
            <w:r w:rsidR="00565CA6">
              <w:rPr>
                <w:noProof/>
                <w:webHidden/>
              </w:rPr>
              <w:fldChar w:fldCharType="begin"/>
            </w:r>
            <w:r w:rsidR="00565CA6">
              <w:rPr>
                <w:noProof/>
                <w:webHidden/>
              </w:rPr>
              <w:instrText xml:space="preserve"> PAGEREF _Toc203377314 \h </w:instrText>
            </w:r>
            <w:r w:rsidR="00565CA6">
              <w:rPr>
                <w:noProof/>
                <w:webHidden/>
              </w:rPr>
            </w:r>
            <w:r w:rsidR="00565CA6">
              <w:rPr>
                <w:noProof/>
                <w:webHidden/>
              </w:rPr>
              <w:fldChar w:fldCharType="separate"/>
            </w:r>
            <w:r w:rsidR="00565CA6">
              <w:rPr>
                <w:noProof/>
                <w:webHidden/>
              </w:rPr>
              <w:t>1</w:t>
            </w:r>
            <w:r w:rsidR="00565CA6">
              <w:rPr>
                <w:noProof/>
                <w:webHidden/>
              </w:rPr>
              <w:fldChar w:fldCharType="end"/>
            </w:r>
          </w:hyperlink>
        </w:p>
        <w:p w14:paraId="2CA5A04C" w14:textId="6A5A36FA"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15" w:history="1">
            <w:r w:rsidRPr="00D7637C">
              <w:rPr>
                <w:rStyle w:val="Hyperlink"/>
                <w:noProof/>
              </w:rPr>
              <w:t>II. Key Functions and Performance</w:t>
            </w:r>
            <w:r>
              <w:rPr>
                <w:noProof/>
                <w:webHidden/>
              </w:rPr>
              <w:tab/>
            </w:r>
            <w:r>
              <w:rPr>
                <w:noProof/>
                <w:webHidden/>
              </w:rPr>
              <w:fldChar w:fldCharType="begin"/>
            </w:r>
            <w:r>
              <w:rPr>
                <w:noProof/>
                <w:webHidden/>
              </w:rPr>
              <w:instrText xml:space="preserve"> PAGEREF _Toc203377315 \h </w:instrText>
            </w:r>
            <w:r>
              <w:rPr>
                <w:noProof/>
                <w:webHidden/>
              </w:rPr>
            </w:r>
            <w:r>
              <w:rPr>
                <w:noProof/>
                <w:webHidden/>
              </w:rPr>
              <w:fldChar w:fldCharType="separate"/>
            </w:r>
            <w:r>
              <w:rPr>
                <w:noProof/>
                <w:webHidden/>
              </w:rPr>
              <w:t>1</w:t>
            </w:r>
            <w:r>
              <w:rPr>
                <w:noProof/>
                <w:webHidden/>
              </w:rPr>
              <w:fldChar w:fldCharType="end"/>
            </w:r>
          </w:hyperlink>
        </w:p>
        <w:p w14:paraId="690348B2" w14:textId="0BBD36D4"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16" w:history="1">
            <w:r w:rsidRPr="00D7637C">
              <w:rPr>
                <w:rStyle w:val="Hyperlink"/>
                <w:noProof/>
              </w:rPr>
              <w:t>III. History and Major Events</w:t>
            </w:r>
            <w:r>
              <w:rPr>
                <w:noProof/>
                <w:webHidden/>
              </w:rPr>
              <w:tab/>
            </w:r>
            <w:r>
              <w:rPr>
                <w:noProof/>
                <w:webHidden/>
              </w:rPr>
              <w:fldChar w:fldCharType="begin"/>
            </w:r>
            <w:r>
              <w:rPr>
                <w:noProof/>
                <w:webHidden/>
              </w:rPr>
              <w:instrText xml:space="preserve"> PAGEREF _Toc203377316 \h </w:instrText>
            </w:r>
            <w:r>
              <w:rPr>
                <w:noProof/>
                <w:webHidden/>
              </w:rPr>
            </w:r>
            <w:r>
              <w:rPr>
                <w:noProof/>
                <w:webHidden/>
              </w:rPr>
              <w:fldChar w:fldCharType="separate"/>
            </w:r>
            <w:r>
              <w:rPr>
                <w:noProof/>
                <w:webHidden/>
              </w:rPr>
              <w:t>20</w:t>
            </w:r>
            <w:r>
              <w:rPr>
                <w:noProof/>
                <w:webHidden/>
              </w:rPr>
              <w:fldChar w:fldCharType="end"/>
            </w:r>
          </w:hyperlink>
        </w:p>
        <w:p w14:paraId="3E08B147" w14:textId="63611A16"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17" w:history="1">
            <w:r w:rsidRPr="00D7637C">
              <w:rPr>
                <w:rStyle w:val="Hyperlink"/>
                <w:noProof/>
              </w:rPr>
              <w:t>IV. Policymaking Structure</w:t>
            </w:r>
            <w:r>
              <w:rPr>
                <w:noProof/>
                <w:webHidden/>
              </w:rPr>
              <w:tab/>
            </w:r>
            <w:r>
              <w:rPr>
                <w:noProof/>
                <w:webHidden/>
              </w:rPr>
              <w:fldChar w:fldCharType="begin"/>
            </w:r>
            <w:r>
              <w:rPr>
                <w:noProof/>
                <w:webHidden/>
              </w:rPr>
              <w:instrText xml:space="preserve"> PAGEREF _Toc203377317 \h </w:instrText>
            </w:r>
            <w:r>
              <w:rPr>
                <w:noProof/>
                <w:webHidden/>
              </w:rPr>
            </w:r>
            <w:r>
              <w:rPr>
                <w:noProof/>
                <w:webHidden/>
              </w:rPr>
              <w:fldChar w:fldCharType="separate"/>
            </w:r>
            <w:r>
              <w:rPr>
                <w:noProof/>
                <w:webHidden/>
              </w:rPr>
              <w:t>29</w:t>
            </w:r>
            <w:r>
              <w:rPr>
                <w:noProof/>
                <w:webHidden/>
              </w:rPr>
              <w:fldChar w:fldCharType="end"/>
            </w:r>
          </w:hyperlink>
        </w:p>
        <w:p w14:paraId="6E85B7BF" w14:textId="349BEDEC"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18" w:history="1">
            <w:r w:rsidRPr="00D7637C">
              <w:rPr>
                <w:rStyle w:val="Hyperlink"/>
                <w:noProof/>
              </w:rPr>
              <w:t>V. Funding</w:t>
            </w:r>
            <w:r>
              <w:rPr>
                <w:noProof/>
                <w:webHidden/>
              </w:rPr>
              <w:tab/>
            </w:r>
            <w:r>
              <w:rPr>
                <w:noProof/>
                <w:webHidden/>
              </w:rPr>
              <w:fldChar w:fldCharType="begin"/>
            </w:r>
            <w:r>
              <w:rPr>
                <w:noProof/>
                <w:webHidden/>
              </w:rPr>
              <w:instrText xml:space="preserve"> PAGEREF _Toc203377318 \h </w:instrText>
            </w:r>
            <w:r>
              <w:rPr>
                <w:noProof/>
                <w:webHidden/>
              </w:rPr>
            </w:r>
            <w:r>
              <w:rPr>
                <w:noProof/>
                <w:webHidden/>
              </w:rPr>
              <w:fldChar w:fldCharType="separate"/>
            </w:r>
            <w:r>
              <w:rPr>
                <w:noProof/>
                <w:webHidden/>
              </w:rPr>
              <w:t>36</w:t>
            </w:r>
            <w:r>
              <w:rPr>
                <w:noProof/>
                <w:webHidden/>
              </w:rPr>
              <w:fldChar w:fldCharType="end"/>
            </w:r>
          </w:hyperlink>
        </w:p>
        <w:p w14:paraId="1AE71B1E" w14:textId="4AB1733A"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19" w:history="1">
            <w:r w:rsidRPr="00D7637C">
              <w:rPr>
                <w:rStyle w:val="Hyperlink"/>
                <w:noProof/>
              </w:rPr>
              <w:t>VI. Organization</w:t>
            </w:r>
            <w:r>
              <w:rPr>
                <w:noProof/>
                <w:webHidden/>
              </w:rPr>
              <w:tab/>
            </w:r>
            <w:r>
              <w:rPr>
                <w:noProof/>
                <w:webHidden/>
              </w:rPr>
              <w:fldChar w:fldCharType="begin"/>
            </w:r>
            <w:r>
              <w:rPr>
                <w:noProof/>
                <w:webHidden/>
              </w:rPr>
              <w:instrText xml:space="preserve"> PAGEREF _Toc203377319 \h </w:instrText>
            </w:r>
            <w:r>
              <w:rPr>
                <w:noProof/>
                <w:webHidden/>
              </w:rPr>
            </w:r>
            <w:r>
              <w:rPr>
                <w:noProof/>
                <w:webHidden/>
              </w:rPr>
              <w:fldChar w:fldCharType="separate"/>
            </w:r>
            <w:r>
              <w:rPr>
                <w:noProof/>
                <w:webHidden/>
              </w:rPr>
              <w:t>41</w:t>
            </w:r>
            <w:r>
              <w:rPr>
                <w:noProof/>
                <w:webHidden/>
              </w:rPr>
              <w:fldChar w:fldCharType="end"/>
            </w:r>
          </w:hyperlink>
        </w:p>
        <w:p w14:paraId="2F0803C6" w14:textId="51221876"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20" w:history="1">
            <w:r w:rsidRPr="00D7637C">
              <w:rPr>
                <w:rStyle w:val="Hyperlink"/>
                <w:noProof/>
              </w:rPr>
              <w:t>VII. Guide to Agency Divisions and Programs</w:t>
            </w:r>
            <w:r>
              <w:rPr>
                <w:noProof/>
                <w:webHidden/>
              </w:rPr>
              <w:tab/>
            </w:r>
            <w:r>
              <w:rPr>
                <w:noProof/>
                <w:webHidden/>
              </w:rPr>
              <w:fldChar w:fldCharType="begin"/>
            </w:r>
            <w:r>
              <w:rPr>
                <w:noProof/>
                <w:webHidden/>
              </w:rPr>
              <w:instrText xml:space="preserve"> PAGEREF _Toc203377320 \h </w:instrText>
            </w:r>
            <w:r>
              <w:rPr>
                <w:noProof/>
                <w:webHidden/>
              </w:rPr>
            </w:r>
            <w:r>
              <w:rPr>
                <w:noProof/>
                <w:webHidden/>
              </w:rPr>
              <w:fldChar w:fldCharType="separate"/>
            </w:r>
            <w:r>
              <w:rPr>
                <w:noProof/>
                <w:webHidden/>
              </w:rPr>
              <w:t>45</w:t>
            </w:r>
            <w:r>
              <w:rPr>
                <w:noProof/>
                <w:webHidden/>
              </w:rPr>
              <w:fldChar w:fldCharType="end"/>
            </w:r>
          </w:hyperlink>
        </w:p>
        <w:p w14:paraId="61858D68" w14:textId="1C272827" w:rsidR="00565CA6" w:rsidRDefault="00565CA6">
          <w:pPr>
            <w:pStyle w:val="TOC2"/>
            <w:tabs>
              <w:tab w:val="right" w:leader="dot" w:pos="9350"/>
            </w:tabs>
            <w:rPr>
              <w:rFonts w:eastAsiaTheme="minorEastAsia" w:cstheme="minorBidi"/>
              <w:b/>
              <w:bCs w:val="0"/>
              <w:noProof/>
              <w:spacing w:val="0"/>
              <w:kern w:val="2"/>
              <w:sz w:val="24"/>
              <w:szCs w:val="24"/>
              <w14:ligatures w14:val="standardContextual"/>
            </w:rPr>
          </w:pPr>
          <w:hyperlink w:anchor="_Toc203377321" w:history="1">
            <w:r w:rsidRPr="00D7637C">
              <w:rPr>
                <w:rStyle w:val="Hyperlink"/>
                <w:noProof/>
              </w:rPr>
              <w:t>Core Programs</w:t>
            </w:r>
            <w:r>
              <w:rPr>
                <w:noProof/>
                <w:webHidden/>
              </w:rPr>
              <w:tab/>
            </w:r>
            <w:r>
              <w:rPr>
                <w:noProof/>
                <w:webHidden/>
              </w:rPr>
              <w:fldChar w:fldCharType="begin"/>
            </w:r>
            <w:r>
              <w:rPr>
                <w:noProof/>
                <w:webHidden/>
              </w:rPr>
              <w:instrText xml:space="preserve"> PAGEREF _Toc203377321 \h </w:instrText>
            </w:r>
            <w:r>
              <w:rPr>
                <w:noProof/>
                <w:webHidden/>
              </w:rPr>
            </w:r>
            <w:r>
              <w:rPr>
                <w:noProof/>
                <w:webHidden/>
              </w:rPr>
              <w:fldChar w:fldCharType="separate"/>
            </w:r>
            <w:r>
              <w:rPr>
                <w:noProof/>
                <w:webHidden/>
              </w:rPr>
              <w:t>45</w:t>
            </w:r>
            <w:r>
              <w:rPr>
                <w:noProof/>
                <w:webHidden/>
              </w:rPr>
              <w:fldChar w:fldCharType="end"/>
            </w:r>
          </w:hyperlink>
        </w:p>
        <w:p w14:paraId="5B8EBDC0" w14:textId="03F4C22E"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2" w:history="1">
            <w:r w:rsidRPr="00D7637C">
              <w:rPr>
                <w:rStyle w:val="Hyperlink"/>
                <w:noProof/>
              </w:rPr>
              <w:t>Child Care and Early Learning Division</w:t>
            </w:r>
            <w:r>
              <w:rPr>
                <w:noProof/>
                <w:webHidden/>
              </w:rPr>
              <w:tab/>
            </w:r>
            <w:r>
              <w:rPr>
                <w:noProof/>
                <w:webHidden/>
              </w:rPr>
              <w:fldChar w:fldCharType="begin"/>
            </w:r>
            <w:r>
              <w:rPr>
                <w:noProof/>
                <w:webHidden/>
              </w:rPr>
              <w:instrText xml:space="preserve"> PAGEREF _Toc203377322 \h </w:instrText>
            </w:r>
            <w:r>
              <w:rPr>
                <w:noProof/>
                <w:webHidden/>
              </w:rPr>
            </w:r>
            <w:r>
              <w:rPr>
                <w:noProof/>
                <w:webHidden/>
              </w:rPr>
              <w:fldChar w:fldCharType="separate"/>
            </w:r>
            <w:r>
              <w:rPr>
                <w:noProof/>
                <w:webHidden/>
              </w:rPr>
              <w:t>46</w:t>
            </w:r>
            <w:r>
              <w:rPr>
                <w:noProof/>
                <w:webHidden/>
              </w:rPr>
              <w:fldChar w:fldCharType="end"/>
            </w:r>
          </w:hyperlink>
        </w:p>
        <w:p w14:paraId="0E1248F8" w14:textId="5485DE2F"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3" w:history="1">
            <w:r w:rsidRPr="00D7637C">
              <w:rPr>
                <w:rStyle w:val="Hyperlink"/>
                <w:noProof/>
              </w:rPr>
              <w:t>Civil Rights Division</w:t>
            </w:r>
            <w:r>
              <w:rPr>
                <w:noProof/>
                <w:webHidden/>
              </w:rPr>
              <w:tab/>
            </w:r>
            <w:r>
              <w:rPr>
                <w:noProof/>
                <w:webHidden/>
              </w:rPr>
              <w:fldChar w:fldCharType="begin"/>
            </w:r>
            <w:r>
              <w:rPr>
                <w:noProof/>
                <w:webHidden/>
              </w:rPr>
              <w:instrText xml:space="preserve"> PAGEREF _Toc203377323 \h </w:instrText>
            </w:r>
            <w:r>
              <w:rPr>
                <w:noProof/>
                <w:webHidden/>
              </w:rPr>
            </w:r>
            <w:r>
              <w:rPr>
                <w:noProof/>
                <w:webHidden/>
              </w:rPr>
              <w:fldChar w:fldCharType="separate"/>
            </w:r>
            <w:r>
              <w:rPr>
                <w:noProof/>
                <w:webHidden/>
              </w:rPr>
              <w:t>46</w:t>
            </w:r>
            <w:r>
              <w:rPr>
                <w:noProof/>
                <w:webHidden/>
              </w:rPr>
              <w:fldChar w:fldCharType="end"/>
            </w:r>
          </w:hyperlink>
        </w:p>
        <w:p w14:paraId="6E85F9E1" w14:textId="1A430BAE"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4" w:history="1">
            <w:r w:rsidRPr="00D7637C">
              <w:rPr>
                <w:rStyle w:val="Hyperlink"/>
                <w:noProof/>
              </w:rPr>
              <w:t>Unemployment Insurance Division</w:t>
            </w:r>
            <w:r>
              <w:rPr>
                <w:noProof/>
                <w:webHidden/>
              </w:rPr>
              <w:tab/>
            </w:r>
            <w:r>
              <w:rPr>
                <w:noProof/>
                <w:webHidden/>
              </w:rPr>
              <w:fldChar w:fldCharType="begin"/>
            </w:r>
            <w:r>
              <w:rPr>
                <w:noProof/>
                <w:webHidden/>
              </w:rPr>
              <w:instrText xml:space="preserve"> PAGEREF _Toc203377324 \h </w:instrText>
            </w:r>
            <w:r>
              <w:rPr>
                <w:noProof/>
                <w:webHidden/>
              </w:rPr>
            </w:r>
            <w:r>
              <w:rPr>
                <w:noProof/>
                <w:webHidden/>
              </w:rPr>
              <w:fldChar w:fldCharType="separate"/>
            </w:r>
            <w:r>
              <w:rPr>
                <w:noProof/>
                <w:webHidden/>
              </w:rPr>
              <w:t>46</w:t>
            </w:r>
            <w:r>
              <w:rPr>
                <w:noProof/>
                <w:webHidden/>
              </w:rPr>
              <w:fldChar w:fldCharType="end"/>
            </w:r>
          </w:hyperlink>
        </w:p>
        <w:p w14:paraId="24D017E3" w14:textId="6E39B666"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5" w:history="1">
            <w:r w:rsidRPr="00D7637C">
              <w:rPr>
                <w:rStyle w:val="Hyperlink"/>
                <w:noProof/>
              </w:rPr>
              <w:t>Vocational Rehabilitation Division</w:t>
            </w:r>
            <w:r>
              <w:rPr>
                <w:noProof/>
                <w:webHidden/>
              </w:rPr>
              <w:tab/>
            </w:r>
            <w:r>
              <w:rPr>
                <w:noProof/>
                <w:webHidden/>
              </w:rPr>
              <w:fldChar w:fldCharType="begin"/>
            </w:r>
            <w:r>
              <w:rPr>
                <w:noProof/>
                <w:webHidden/>
              </w:rPr>
              <w:instrText xml:space="preserve"> PAGEREF _Toc203377325 \h </w:instrText>
            </w:r>
            <w:r>
              <w:rPr>
                <w:noProof/>
                <w:webHidden/>
              </w:rPr>
            </w:r>
            <w:r>
              <w:rPr>
                <w:noProof/>
                <w:webHidden/>
              </w:rPr>
              <w:fldChar w:fldCharType="separate"/>
            </w:r>
            <w:r>
              <w:rPr>
                <w:noProof/>
                <w:webHidden/>
              </w:rPr>
              <w:t>47</w:t>
            </w:r>
            <w:r>
              <w:rPr>
                <w:noProof/>
                <w:webHidden/>
              </w:rPr>
              <w:fldChar w:fldCharType="end"/>
            </w:r>
          </w:hyperlink>
        </w:p>
        <w:p w14:paraId="5E312FB6" w14:textId="0F21D01D"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6" w:history="1">
            <w:r w:rsidRPr="00D7637C">
              <w:rPr>
                <w:rStyle w:val="Hyperlink"/>
                <w:noProof/>
              </w:rPr>
              <w:t>Workforce Development Division</w:t>
            </w:r>
            <w:r>
              <w:rPr>
                <w:noProof/>
                <w:webHidden/>
              </w:rPr>
              <w:tab/>
            </w:r>
            <w:r>
              <w:rPr>
                <w:noProof/>
                <w:webHidden/>
              </w:rPr>
              <w:fldChar w:fldCharType="begin"/>
            </w:r>
            <w:r>
              <w:rPr>
                <w:noProof/>
                <w:webHidden/>
              </w:rPr>
              <w:instrText xml:space="preserve"> PAGEREF _Toc203377326 \h </w:instrText>
            </w:r>
            <w:r>
              <w:rPr>
                <w:noProof/>
                <w:webHidden/>
              </w:rPr>
            </w:r>
            <w:r>
              <w:rPr>
                <w:noProof/>
                <w:webHidden/>
              </w:rPr>
              <w:fldChar w:fldCharType="separate"/>
            </w:r>
            <w:r>
              <w:rPr>
                <w:noProof/>
                <w:webHidden/>
              </w:rPr>
              <w:t>47</w:t>
            </w:r>
            <w:r>
              <w:rPr>
                <w:noProof/>
                <w:webHidden/>
              </w:rPr>
              <w:fldChar w:fldCharType="end"/>
            </w:r>
          </w:hyperlink>
        </w:p>
        <w:p w14:paraId="20004790" w14:textId="7EBC3692" w:rsidR="00565CA6" w:rsidRDefault="00565CA6">
          <w:pPr>
            <w:pStyle w:val="TOC2"/>
            <w:tabs>
              <w:tab w:val="right" w:leader="dot" w:pos="9350"/>
            </w:tabs>
            <w:rPr>
              <w:rFonts w:eastAsiaTheme="minorEastAsia" w:cstheme="minorBidi"/>
              <w:b/>
              <w:bCs w:val="0"/>
              <w:noProof/>
              <w:spacing w:val="0"/>
              <w:kern w:val="2"/>
              <w:sz w:val="24"/>
              <w:szCs w:val="24"/>
              <w14:ligatures w14:val="standardContextual"/>
            </w:rPr>
          </w:pPr>
          <w:hyperlink w:anchor="_Toc203377327" w:history="1">
            <w:r w:rsidRPr="00D7637C">
              <w:rPr>
                <w:rStyle w:val="Hyperlink"/>
                <w:noProof/>
              </w:rPr>
              <w:t xml:space="preserve">Operational and Customer Support </w:t>
            </w:r>
            <w:r>
              <w:rPr>
                <w:noProof/>
                <w:webHidden/>
              </w:rPr>
              <w:tab/>
            </w:r>
            <w:r>
              <w:rPr>
                <w:noProof/>
                <w:webHidden/>
              </w:rPr>
              <w:fldChar w:fldCharType="begin"/>
            </w:r>
            <w:r>
              <w:rPr>
                <w:noProof/>
                <w:webHidden/>
              </w:rPr>
              <w:instrText xml:space="preserve"> PAGEREF _Toc203377327 \h </w:instrText>
            </w:r>
            <w:r>
              <w:rPr>
                <w:noProof/>
                <w:webHidden/>
              </w:rPr>
            </w:r>
            <w:r>
              <w:rPr>
                <w:noProof/>
                <w:webHidden/>
              </w:rPr>
              <w:fldChar w:fldCharType="separate"/>
            </w:r>
            <w:r>
              <w:rPr>
                <w:noProof/>
                <w:webHidden/>
              </w:rPr>
              <w:t>48</w:t>
            </w:r>
            <w:r>
              <w:rPr>
                <w:noProof/>
                <w:webHidden/>
              </w:rPr>
              <w:fldChar w:fldCharType="end"/>
            </w:r>
          </w:hyperlink>
        </w:p>
        <w:p w14:paraId="45C62F1C" w14:textId="2EFE8F51"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8" w:history="1">
            <w:r w:rsidRPr="00D7637C">
              <w:rPr>
                <w:rStyle w:val="Hyperlink"/>
                <w:noProof/>
              </w:rPr>
              <w:t>Appellate Services Division</w:t>
            </w:r>
            <w:r>
              <w:rPr>
                <w:noProof/>
                <w:webHidden/>
              </w:rPr>
              <w:tab/>
            </w:r>
            <w:r>
              <w:rPr>
                <w:noProof/>
                <w:webHidden/>
              </w:rPr>
              <w:fldChar w:fldCharType="begin"/>
            </w:r>
            <w:r>
              <w:rPr>
                <w:noProof/>
                <w:webHidden/>
              </w:rPr>
              <w:instrText xml:space="preserve"> PAGEREF _Toc203377328 \h </w:instrText>
            </w:r>
            <w:r>
              <w:rPr>
                <w:noProof/>
                <w:webHidden/>
              </w:rPr>
            </w:r>
            <w:r>
              <w:rPr>
                <w:noProof/>
                <w:webHidden/>
              </w:rPr>
              <w:fldChar w:fldCharType="separate"/>
            </w:r>
            <w:r>
              <w:rPr>
                <w:noProof/>
                <w:webHidden/>
              </w:rPr>
              <w:t>48</w:t>
            </w:r>
            <w:r>
              <w:rPr>
                <w:noProof/>
                <w:webHidden/>
              </w:rPr>
              <w:fldChar w:fldCharType="end"/>
            </w:r>
          </w:hyperlink>
        </w:p>
        <w:p w14:paraId="5F0A302B" w14:textId="6D1BCEFB"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29" w:history="1">
            <w:r w:rsidRPr="00D7637C">
              <w:rPr>
                <w:rStyle w:val="Hyperlink"/>
                <w:noProof/>
              </w:rPr>
              <w:t>Customer Care Division</w:t>
            </w:r>
            <w:r>
              <w:rPr>
                <w:noProof/>
                <w:webHidden/>
              </w:rPr>
              <w:tab/>
            </w:r>
            <w:r>
              <w:rPr>
                <w:noProof/>
                <w:webHidden/>
              </w:rPr>
              <w:fldChar w:fldCharType="begin"/>
            </w:r>
            <w:r>
              <w:rPr>
                <w:noProof/>
                <w:webHidden/>
              </w:rPr>
              <w:instrText xml:space="preserve"> PAGEREF _Toc203377329 \h </w:instrText>
            </w:r>
            <w:r>
              <w:rPr>
                <w:noProof/>
                <w:webHidden/>
              </w:rPr>
            </w:r>
            <w:r>
              <w:rPr>
                <w:noProof/>
                <w:webHidden/>
              </w:rPr>
              <w:fldChar w:fldCharType="separate"/>
            </w:r>
            <w:r>
              <w:rPr>
                <w:noProof/>
                <w:webHidden/>
              </w:rPr>
              <w:t>48</w:t>
            </w:r>
            <w:r>
              <w:rPr>
                <w:noProof/>
                <w:webHidden/>
              </w:rPr>
              <w:fldChar w:fldCharType="end"/>
            </w:r>
          </w:hyperlink>
        </w:p>
        <w:p w14:paraId="24E6CA26" w14:textId="67C1EAE4"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0" w:history="1">
            <w:r w:rsidRPr="00D7637C">
              <w:rPr>
                <w:rStyle w:val="Hyperlink"/>
                <w:noProof/>
              </w:rPr>
              <w:t>Fraud Deterrence and Compliance Monitoring Division</w:t>
            </w:r>
            <w:r>
              <w:rPr>
                <w:noProof/>
                <w:webHidden/>
              </w:rPr>
              <w:tab/>
            </w:r>
            <w:r>
              <w:rPr>
                <w:noProof/>
                <w:webHidden/>
              </w:rPr>
              <w:fldChar w:fldCharType="begin"/>
            </w:r>
            <w:r>
              <w:rPr>
                <w:noProof/>
                <w:webHidden/>
              </w:rPr>
              <w:instrText xml:space="preserve"> PAGEREF _Toc203377330 \h </w:instrText>
            </w:r>
            <w:r>
              <w:rPr>
                <w:noProof/>
                <w:webHidden/>
              </w:rPr>
            </w:r>
            <w:r>
              <w:rPr>
                <w:noProof/>
                <w:webHidden/>
              </w:rPr>
              <w:fldChar w:fldCharType="separate"/>
            </w:r>
            <w:r>
              <w:rPr>
                <w:noProof/>
                <w:webHidden/>
              </w:rPr>
              <w:t>49</w:t>
            </w:r>
            <w:r>
              <w:rPr>
                <w:noProof/>
                <w:webHidden/>
              </w:rPr>
              <w:fldChar w:fldCharType="end"/>
            </w:r>
          </w:hyperlink>
        </w:p>
        <w:p w14:paraId="44E5D631" w14:textId="3B6FDBDD"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1" w:history="1">
            <w:r w:rsidRPr="00D7637C">
              <w:rPr>
                <w:rStyle w:val="Hyperlink"/>
                <w:noProof/>
              </w:rPr>
              <w:t>Information, Innovation and Insight Division</w:t>
            </w:r>
            <w:r>
              <w:rPr>
                <w:noProof/>
                <w:webHidden/>
              </w:rPr>
              <w:tab/>
            </w:r>
            <w:r>
              <w:rPr>
                <w:noProof/>
                <w:webHidden/>
              </w:rPr>
              <w:fldChar w:fldCharType="begin"/>
            </w:r>
            <w:r>
              <w:rPr>
                <w:noProof/>
                <w:webHidden/>
              </w:rPr>
              <w:instrText xml:space="preserve"> PAGEREF _Toc203377331 \h </w:instrText>
            </w:r>
            <w:r>
              <w:rPr>
                <w:noProof/>
                <w:webHidden/>
              </w:rPr>
            </w:r>
            <w:r>
              <w:rPr>
                <w:noProof/>
                <w:webHidden/>
              </w:rPr>
              <w:fldChar w:fldCharType="separate"/>
            </w:r>
            <w:r>
              <w:rPr>
                <w:noProof/>
                <w:webHidden/>
              </w:rPr>
              <w:t>50</w:t>
            </w:r>
            <w:r>
              <w:rPr>
                <w:noProof/>
                <w:webHidden/>
              </w:rPr>
              <w:fldChar w:fldCharType="end"/>
            </w:r>
          </w:hyperlink>
        </w:p>
        <w:p w14:paraId="4056ED18" w14:textId="3148BA8B" w:rsidR="00565CA6" w:rsidRDefault="00565CA6">
          <w:pPr>
            <w:pStyle w:val="TOC2"/>
            <w:tabs>
              <w:tab w:val="right" w:leader="dot" w:pos="9350"/>
            </w:tabs>
            <w:rPr>
              <w:rFonts w:eastAsiaTheme="minorEastAsia" w:cstheme="minorBidi"/>
              <w:b/>
              <w:bCs w:val="0"/>
              <w:noProof/>
              <w:spacing w:val="0"/>
              <w:kern w:val="2"/>
              <w:sz w:val="24"/>
              <w:szCs w:val="24"/>
              <w14:ligatures w14:val="standardContextual"/>
            </w:rPr>
          </w:pPr>
          <w:hyperlink w:anchor="_Toc203377332" w:history="1">
            <w:r w:rsidRPr="00D7637C">
              <w:rPr>
                <w:rStyle w:val="Hyperlink"/>
                <w:noProof/>
              </w:rPr>
              <w:t>Administration and Operations Support</w:t>
            </w:r>
            <w:r>
              <w:rPr>
                <w:noProof/>
                <w:webHidden/>
              </w:rPr>
              <w:tab/>
            </w:r>
            <w:r>
              <w:rPr>
                <w:noProof/>
                <w:webHidden/>
              </w:rPr>
              <w:fldChar w:fldCharType="begin"/>
            </w:r>
            <w:r>
              <w:rPr>
                <w:noProof/>
                <w:webHidden/>
              </w:rPr>
              <w:instrText xml:space="preserve"> PAGEREF _Toc203377332 \h </w:instrText>
            </w:r>
            <w:r>
              <w:rPr>
                <w:noProof/>
                <w:webHidden/>
              </w:rPr>
            </w:r>
            <w:r>
              <w:rPr>
                <w:noProof/>
                <w:webHidden/>
              </w:rPr>
              <w:fldChar w:fldCharType="separate"/>
            </w:r>
            <w:r>
              <w:rPr>
                <w:noProof/>
                <w:webHidden/>
              </w:rPr>
              <w:t>50</w:t>
            </w:r>
            <w:r>
              <w:rPr>
                <w:noProof/>
                <w:webHidden/>
              </w:rPr>
              <w:fldChar w:fldCharType="end"/>
            </w:r>
          </w:hyperlink>
        </w:p>
        <w:p w14:paraId="61D27CA5" w14:textId="022E8517"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3" w:history="1">
            <w:r w:rsidRPr="00D7637C">
              <w:rPr>
                <w:rStyle w:val="Hyperlink"/>
                <w:noProof/>
              </w:rPr>
              <w:t>Information Technology Division</w:t>
            </w:r>
            <w:r>
              <w:rPr>
                <w:noProof/>
                <w:webHidden/>
              </w:rPr>
              <w:tab/>
            </w:r>
            <w:r>
              <w:rPr>
                <w:noProof/>
                <w:webHidden/>
              </w:rPr>
              <w:fldChar w:fldCharType="begin"/>
            </w:r>
            <w:r>
              <w:rPr>
                <w:noProof/>
                <w:webHidden/>
              </w:rPr>
              <w:instrText xml:space="preserve"> PAGEREF _Toc203377333 \h </w:instrText>
            </w:r>
            <w:r>
              <w:rPr>
                <w:noProof/>
                <w:webHidden/>
              </w:rPr>
            </w:r>
            <w:r>
              <w:rPr>
                <w:noProof/>
                <w:webHidden/>
              </w:rPr>
              <w:fldChar w:fldCharType="separate"/>
            </w:r>
            <w:r>
              <w:rPr>
                <w:noProof/>
                <w:webHidden/>
              </w:rPr>
              <w:t>50</w:t>
            </w:r>
            <w:r>
              <w:rPr>
                <w:noProof/>
                <w:webHidden/>
              </w:rPr>
              <w:fldChar w:fldCharType="end"/>
            </w:r>
          </w:hyperlink>
        </w:p>
        <w:p w14:paraId="6304B85B" w14:textId="7A0AE680"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4" w:history="1">
            <w:r w:rsidRPr="00D7637C">
              <w:rPr>
                <w:rStyle w:val="Hyperlink"/>
                <w:noProof/>
              </w:rPr>
              <w:t>Office of Communications and Media</w:t>
            </w:r>
            <w:r>
              <w:rPr>
                <w:noProof/>
                <w:webHidden/>
              </w:rPr>
              <w:tab/>
            </w:r>
            <w:r>
              <w:rPr>
                <w:noProof/>
                <w:webHidden/>
              </w:rPr>
              <w:fldChar w:fldCharType="begin"/>
            </w:r>
            <w:r>
              <w:rPr>
                <w:noProof/>
                <w:webHidden/>
              </w:rPr>
              <w:instrText xml:space="preserve"> PAGEREF _Toc203377334 \h </w:instrText>
            </w:r>
            <w:r>
              <w:rPr>
                <w:noProof/>
                <w:webHidden/>
              </w:rPr>
            </w:r>
            <w:r>
              <w:rPr>
                <w:noProof/>
                <w:webHidden/>
              </w:rPr>
              <w:fldChar w:fldCharType="separate"/>
            </w:r>
            <w:r>
              <w:rPr>
                <w:noProof/>
                <w:webHidden/>
              </w:rPr>
              <w:t>50</w:t>
            </w:r>
            <w:r>
              <w:rPr>
                <w:noProof/>
                <w:webHidden/>
              </w:rPr>
              <w:fldChar w:fldCharType="end"/>
            </w:r>
          </w:hyperlink>
        </w:p>
        <w:p w14:paraId="472162E9" w14:textId="4509BE55"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5" w:history="1">
            <w:r w:rsidRPr="00D7637C">
              <w:rPr>
                <w:rStyle w:val="Hyperlink"/>
                <w:noProof/>
              </w:rPr>
              <w:t>Finance Division</w:t>
            </w:r>
            <w:r>
              <w:rPr>
                <w:noProof/>
                <w:webHidden/>
              </w:rPr>
              <w:tab/>
            </w:r>
            <w:r>
              <w:rPr>
                <w:noProof/>
                <w:webHidden/>
              </w:rPr>
              <w:fldChar w:fldCharType="begin"/>
            </w:r>
            <w:r>
              <w:rPr>
                <w:noProof/>
                <w:webHidden/>
              </w:rPr>
              <w:instrText xml:space="preserve"> PAGEREF _Toc203377335 \h </w:instrText>
            </w:r>
            <w:r>
              <w:rPr>
                <w:noProof/>
                <w:webHidden/>
              </w:rPr>
            </w:r>
            <w:r>
              <w:rPr>
                <w:noProof/>
                <w:webHidden/>
              </w:rPr>
              <w:fldChar w:fldCharType="separate"/>
            </w:r>
            <w:r>
              <w:rPr>
                <w:noProof/>
                <w:webHidden/>
              </w:rPr>
              <w:t>51</w:t>
            </w:r>
            <w:r>
              <w:rPr>
                <w:noProof/>
                <w:webHidden/>
              </w:rPr>
              <w:fldChar w:fldCharType="end"/>
            </w:r>
          </w:hyperlink>
        </w:p>
        <w:p w14:paraId="66DC550A" w14:textId="3B436102"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6" w:history="1">
            <w:r w:rsidRPr="00D7637C">
              <w:rPr>
                <w:rStyle w:val="Hyperlink"/>
                <w:noProof/>
              </w:rPr>
              <w:t>Business Operations Division</w:t>
            </w:r>
            <w:r>
              <w:rPr>
                <w:noProof/>
                <w:webHidden/>
              </w:rPr>
              <w:tab/>
            </w:r>
            <w:r>
              <w:rPr>
                <w:noProof/>
                <w:webHidden/>
              </w:rPr>
              <w:fldChar w:fldCharType="begin"/>
            </w:r>
            <w:r>
              <w:rPr>
                <w:noProof/>
                <w:webHidden/>
              </w:rPr>
              <w:instrText xml:space="preserve"> PAGEREF _Toc203377336 \h </w:instrText>
            </w:r>
            <w:r>
              <w:rPr>
                <w:noProof/>
                <w:webHidden/>
              </w:rPr>
            </w:r>
            <w:r>
              <w:rPr>
                <w:noProof/>
                <w:webHidden/>
              </w:rPr>
              <w:fldChar w:fldCharType="separate"/>
            </w:r>
            <w:r>
              <w:rPr>
                <w:noProof/>
                <w:webHidden/>
              </w:rPr>
              <w:t>51</w:t>
            </w:r>
            <w:r>
              <w:rPr>
                <w:noProof/>
                <w:webHidden/>
              </w:rPr>
              <w:fldChar w:fldCharType="end"/>
            </w:r>
          </w:hyperlink>
        </w:p>
        <w:p w14:paraId="2DB75D04" w14:textId="606BC7F2" w:rsidR="00565CA6" w:rsidRDefault="00565CA6">
          <w:pPr>
            <w:pStyle w:val="TOC3"/>
            <w:tabs>
              <w:tab w:val="right" w:leader="dot" w:pos="9350"/>
            </w:tabs>
            <w:rPr>
              <w:rFonts w:eastAsiaTheme="minorEastAsia" w:cstheme="minorBidi"/>
              <w:noProof/>
              <w:spacing w:val="0"/>
              <w:kern w:val="2"/>
              <w:sz w:val="24"/>
              <w:szCs w:val="24"/>
              <w14:ligatures w14:val="standardContextual"/>
            </w:rPr>
          </w:pPr>
          <w:hyperlink w:anchor="_Toc203377337" w:history="1">
            <w:r w:rsidRPr="00D7637C">
              <w:rPr>
                <w:rStyle w:val="Hyperlink"/>
                <w:noProof/>
              </w:rPr>
              <w:t>Office of General Counsel</w:t>
            </w:r>
            <w:r>
              <w:rPr>
                <w:noProof/>
                <w:webHidden/>
              </w:rPr>
              <w:tab/>
            </w:r>
            <w:r>
              <w:rPr>
                <w:noProof/>
                <w:webHidden/>
              </w:rPr>
              <w:fldChar w:fldCharType="begin"/>
            </w:r>
            <w:r>
              <w:rPr>
                <w:noProof/>
                <w:webHidden/>
              </w:rPr>
              <w:instrText xml:space="preserve"> PAGEREF _Toc203377337 \h </w:instrText>
            </w:r>
            <w:r>
              <w:rPr>
                <w:noProof/>
                <w:webHidden/>
              </w:rPr>
            </w:r>
            <w:r>
              <w:rPr>
                <w:noProof/>
                <w:webHidden/>
              </w:rPr>
              <w:fldChar w:fldCharType="separate"/>
            </w:r>
            <w:r>
              <w:rPr>
                <w:noProof/>
                <w:webHidden/>
              </w:rPr>
              <w:t>52</w:t>
            </w:r>
            <w:r>
              <w:rPr>
                <w:noProof/>
                <w:webHidden/>
              </w:rPr>
              <w:fldChar w:fldCharType="end"/>
            </w:r>
          </w:hyperlink>
        </w:p>
        <w:p w14:paraId="6E782A02" w14:textId="1A568A8B"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38" w:history="1">
            <w:r w:rsidRPr="00D7637C">
              <w:rPr>
                <w:rStyle w:val="Hyperlink"/>
                <w:noProof/>
              </w:rPr>
              <w:t>VIII. Statutory Authority and Recent Legislation</w:t>
            </w:r>
            <w:r>
              <w:rPr>
                <w:noProof/>
                <w:webHidden/>
              </w:rPr>
              <w:tab/>
            </w:r>
            <w:r>
              <w:rPr>
                <w:noProof/>
                <w:webHidden/>
              </w:rPr>
              <w:fldChar w:fldCharType="begin"/>
            </w:r>
            <w:r>
              <w:rPr>
                <w:noProof/>
                <w:webHidden/>
              </w:rPr>
              <w:instrText xml:space="preserve"> PAGEREF _Toc203377338 \h </w:instrText>
            </w:r>
            <w:r>
              <w:rPr>
                <w:noProof/>
                <w:webHidden/>
              </w:rPr>
            </w:r>
            <w:r>
              <w:rPr>
                <w:noProof/>
                <w:webHidden/>
              </w:rPr>
              <w:fldChar w:fldCharType="separate"/>
            </w:r>
            <w:r>
              <w:rPr>
                <w:noProof/>
                <w:webHidden/>
              </w:rPr>
              <w:t>53</w:t>
            </w:r>
            <w:r>
              <w:rPr>
                <w:noProof/>
                <w:webHidden/>
              </w:rPr>
              <w:fldChar w:fldCharType="end"/>
            </w:r>
          </w:hyperlink>
        </w:p>
        <w:p w14:paraId="12F07A7A" w14:textId="2B6636F5"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39" w:history="1">
            <w:r w:rsidRPr="00D7637C">
              <w:rPr>
                <w:rStyle w:val="Hyperlink"/>
                <w:noProof/>
              </w:rPr>
              <w:t>IX. Major Issues</w:t>
            </w:r>
            <w:r>
              <w:rPr>
                <w:noProof/>
                <w:webHidden/>
              </w:rPr>
              <w:tab/>
            </w:r>
            <w:r>
              <w:rPr>
                <w:noProof/>
                <w:webHidden/>
              </w:rPr>
              <w:fldChar w:fldCharType="begin"/>
            </w:r>
            <w:r>
              <w:rPr>
                <w:noProof/>
                <w:webHidden/>
              </w:rPr>
              <w:instrText xml:space="preserve"> PAGEREF _Toc203377339 \h </w:instrText>
            </w:r>
            <w:r>
              <w:rPr>
                <w:noProof/>
                <w:webHidden/>
              </w:rPr>
            </w:r>
            <w:r>
              <w:rPr>
                <w:noProof/>
                <w:webHidden/>
              </w:rPr>
              <w:fldChar w:fldCharType="separate"/>
            </w:r>
            <w:r>
              <w:rPr>
                <w:noProof/>
                <w:webHidden/>
              </w:rPr>
              <w:t>90</w:t>
            </w:r>
            <w:r>
              <w:rPr>
                <w:noProof/>
                <w:webHidden/>
              </w:rPr>
              <w:fldChar w:fldCharType="end"/>
            </w:r>
          </w:hyperlink>
        </w:p>
        <w:p w14:paraId="2E975597" w14:textId="5DD16616"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40" w:history="1">
            <w:r w:rsidRPr="00D7637C">
              <w:rPr>
                <w:rStyle w:val="Hyperlink"/>
                <w:noProof/>
              </w:rPr>
              <w:t>X. Other Contacts</w:t>
            </w:r>
            <w:r>
              <w:rPr>
                <w:noProof/>
                <w:webHidden/>
              </w:rPr>
              <w:tab/>
            </w:r>
            <w:r>
              <w:rPr>
                <w:noProof/>
                <w:webHidden/>
              </w:rPr>
              <w:fldChar w:fldCharType="begin"/>
            </w:r>
            <w:r>
              <w:rPr>
                <w:noProof/>
                <w:webHidden/>
              </w:rPr>
              <w:instrText xml:space="preserve"> PAGEREF _Toc203377340 \h </w:instrText>
            </w:r>
            <w:r>
              <w:rPr>
                <w:noProof/>
                <w:webHidden/>
              </w:rPr>
            </w:r>
            <w:r>
              <w:rPr>
                <w:noProof/>
                <w:webHidden/>
              </w:rPr>
              <w:fldChar w:fldCharType="separate"/>
            </w:r>
            <w:r>
              <w:rPr>
                <w:noProof/>
                <w:webHidden/>
              </w:rPr>
              <w:t>93</w:t>
            </w:r>
            <w:r>
              <w:rPr>
                <w:noProof/>
                <w:webHidden/>
              </w:rPr>
              <w:fldChar w:fldCharType="end"/>
            </w:r>
          </w:hyperlink>
        </w:p>
        <w:p w14:paraId="7EBB4F54" w14:textId="2F21F335"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41" w:history="1">
            <w:r w:rsidRPr="00D7637C">
              <w:rPr>
                <w:rStyle w:val="Hyperlink"/>
                <w:noProof/>
              </w:rPr>
              <w:t>XI. Additional Information</w:t>
            </w:r>
            <w:r>
              <w:rPr>
                <w:noProof/>
                <w:webHidden/>
              </w:rPr>
              <w:tab/>
            </w:r>
            <w:r>
              <w:rPr>
                <w:noProof/>
                <w:webHidden/>
              </w:rPr>
              <w:fldChar w:fldCharType="begin"/>
            </w:r>
            <w:r>
              <w:rPr>
                <w:noProof/>
                <w:webHidden/>
              </w:rPr>
              <w:instrText xml:space="preserve"> PAGEREF _Toc203377341 \h </w:instrText>
            </w:r>
            <w:r>
              <w:rPr>
                <w:noProof/>
                <w:webHidden/>
              </w:rPr>
            </w:r>
            <w:r>
              <w:rPr>
                <w:noProof/>
                <w:webHidden/>
              </w:rPr>
              <w:fldChar w:fldCharType="separate"/>
            </w:r>
            <w:r>
              <w:rPr>
                <w:noProof/>
                <w:webHidden/>
              </w:rPr>
              <w:t>93</w:t>
            </w:r>
            <w:r>
              <w:rPr>
                <w:noProof/>
                <w:webHidden/>
              </w:rPr>
              <w:fldChar w:fldCharType="end"/>
            </w:r>
          </w:hyperlink>
        </w:p>
        <w:p w14:paraId="72DF42AC" w14:textId="308E7C0F"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42" w:history="1">
            <w:r w:rsidRPr="00D7637C">
              <w:rPr>
                <w:rStyle w:val="Hyperlink"/>
                <w:noProof/>
              </w:rPr>
              <w:t>XII. Agency Comments</w:t>
            </w:r>
            <w:r>
              <w:rPr>
                <w:noProof/>
                <w:webHidden/>
              </w:rPr>
              <w:tab/>
            </w:r>
            <w:r>
              <w:rPr>
                <w:noProof/>
                <w:webHidden/>
              </w:rPr>
              <w:fldChar w:fldCharType="begin"/>
            </w:r>
            <w:r>
              <w:rPr>
                <w:noProof/>
                <w:webHidden/>
              </w:rPr>
              <w:instrText xml:space="preserve"> PAGEREF _Toc203377342 \h </w:instrText>
            </w:r>
            <w:r>
              <w:rPr>
                <w:noProof/>
                <w:webHidden/>
              </w:rPr>
            </w:r>
            <w:r>
              <w:rPr>
                <w:noProof/>
                <w:webHidden/>
              </w:rPr>
              <w:fldChar w:fldCharType="separate"/>
            </w:r>
            <w:r>
              <w:rPr>
                <w:noProof/>
                <w:webHidden/>
              </w:rPr>
              <w:t>101</w:t>
            </w:r>
            <w:r>
              <w:rPr>
                <w:noProof/>
                <w:webHidden/>
              </w:rPr>
              <w:fldChar w:fldCharType="end"/>
            </w:r>
          </w:hyperlink>
        </w:p>
        <w:p w14:paraId="7A0DB5BE" w14:textId="5EA72CA6"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43" w:history="1">
            <w:r w:rsidRPr="00D7637C">
              <w:rPr>
                <w:rStyle w:val="Hyperlink"/>
                <w:noProof/>
              </w:rPr>
              <w:t>TWC Acronym List</w:t>
            </w:r>
            <w:r>
              <w:rPr>
                <w:noProof/>
                <w:webHidden/>
              </w:rPr>
              <w:tab/>
            </w:r>
            <w:r>
              <w:rPr>
                <w:noProof/>
                <w:webHidden/>
              </w:rPr>
              <w:fldChar w:fldCharType="begin"/>
            </w:r>
            <w:r>
              <w:rPr>
                <w:noProof/>
                <w:webHidden/>
              </w:rPr>
              <w:instrText xml:space="preserve"> PAGEREF _Toc203377343 \h </w:instrText>
            </w:r>
            <w:r>
              <w:rPr>
                <w:noProof/>
                <w:webHidden/>
              </w:rPr>
            </w:r>
            <w:r>
              <w:rPr>
                <w:noProof/>
                <w:webHidden/>
              </w:rPr>
              <w:fldChar w:fldCharType="separate"/>
            </w:r>
            <w:r>
              <w:rPr>
                <w:noProof/>
                <w:webHidden/>
              </w:rPr>
              <w:t>102</w:t>
            </w:r>
            <w:r>
              <w:rPr>
                <w:noProof/>
                <w:webHidden/>
              </w:rPr>
              <w:fldChar w:fldCharType="end"/>
            </w:r>
          </w:hyperlink>
        </w:p>
        <w:p w14:paraId="7B024490" w14:textId="5CA2553E"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44" w:history="1">
            <w:r w:rsidRPr="00D7637C">
              <w:rPr>
                <w:rStyle w:val="Hyperlink"/>
                <w:noProof/>
              </w:rPr>
              <w:t>List of Exhibits</w:t>
            </w:r>
            <w:r>
              <w:rPr>
                <w:noProof/>
                <w:webHidden/>
              </w:rPr>
              <w:tab/>
            </w:r>
            <w:r>
              <w:rPr>
                <w:noProof/>
                <w:webHidden/>
              </w:rPr>
              <w:fldChar w:fldCharType="begin"/>
            </w:r>
            <w:r>
              <w:rPr>
                <w:noProof/>
                <w:webHidden/>
              </w:rPr>
              <w:instrText xml:space="preserve"> PAGEREF _Toc203377344 \h </w:instrText>
            </w:r>
            <w:r>
              <w:rPr>
                <w:noProof/>
                <w:webHidden/>
              </w:rPr>
            </w:r>
            <w:r>
              <w:rPr>
                <w:noProof/>
                <w:webHidden/>
              </w:rPr>
              <w:fldChar w:fldCharType="separate"/>
            </w:r>
            <w:r>
              <w:rPr>
                <w:noProof/>
                <w:webHidden/>
              </w:rPr>
              <w:t>105</w:t>
            </w:r>
            <w:r>
              <w:rPr>
                <w:noProof/>
                <w:webHidden/>
              </w:rPr>
              <w:fldChar w:fldCharType="end"/>
            </w:r>
          </w:hyperlink>
        </w:p>
        <w:p w14:paraId="210D42F9" w14:textId="741CCC6A" w:rsidR="00565CA6" w:rsidRDefault="00565CA6">
          <w:pPr>
            <w:pStyle w:val="TOC1"/>
            <w:tabs>
              <w:tab w:val="right" w:leader="dot" w:pos="9350"/>
            </w:tabs>
            <w:rPr>
              <w:rFonts w:asciiTheme="minorHAnsi" w:eastAsiaTheme="minorEastAsia" w:hAnsiTheme="minorHAnsi" w:cstheme="minorBidi"/>
              <w:b/>
              <w:bCs w:val="0"/>
              <w:caps w:val="0"/>
              <w:noProof/>
              <w:spacing w:val="0"/>
              <w:kern w:val="2"/>
              <w14:ligatures w14:val="standardContextual"/>
            </w:rPr>
          </w:pPr>
          <w:hyperlink w:anchor="_Toc203377345" w:history="1">
            <w:r w:rsidRPr="00D7637C">
              <w:rPr>
                <w:rStyle w:val="Hyperlink"/>
                <w:noProof/>
              </w:rPr>
              <w:t>Appendix One – SB1, 89R, Article VII Rider 2</w:t>
            </w:r>
            <w:r>
              <w:rPr>
                <w:noProof/>
                <w:webHidden/>
              </w:rPr>
              <w:tab/>
            </w:r>
            <w:r>
              <w:rPr>
                <w:noProof/>
                <w:webHidden/>
              </w:rPr>
              <w:fldChar w:fldCharType="begin"/>
            </w:r>
            <w:r>
              <w:rPr>
                <w:noProof/>
                <w:webHidden/>
              </w:rPr>
              <w:instrText xml:space="preserve"> PAGEREF _Toc203377345 \h </w:instrText>
            </w:r>
            <w:r>
              <w:rPr>
                <w:noProof/>
                <w:webHidden/>
              </w:rPr>
            </w:r>
            <w:r>
              <w:rPr>
                <w:noProof/>
                <w:webHidden/>
              </w:rPr>
              <w:fldChar w:fldCharType="separate"/>
            </w:r>
            <w:r>
              <w:rPr>
                <w:noProof/>
                <w:webHidden/>
              </w:rPr>
              <w:t>106</w:t>
            </w:r>
            <w:r>
              <w:rPr>
                <w:noProof/>
                <w:webHidden/>
              </w:rPr>
              <w:fldChar w:fldCharType="end"/>
            </w:r>
          </w:hyperlink>
        </w:p>
        <w:p w14:paraId="4C59019C" w14:textId="14CF0B46" w:rsidR="00AB306D" w:rsidRPr="00F64E32" w:rsidRDefault="7FD609B6" w:rsidP="00F64E32">
          <w:pPr>
            <w:pStyle w:val="TOC1"/>
            <w:tabs>
              <w:tab w:val="right" w:leader="dot" w:pos="9360"/>
            </w:tabs>
            <w:rPr>
              <w:rFonts w:ascii="Aptos" w:hAnsi="Aptos"/>
              <w:color w:val="0000FF" w:themeColor="hyperlink"/>
              <w:sz w:val="22"/>
              <w:u w:val="single"/>
            </w:rPr>
          </w:pPr>
          <w:r>
            <w:fldChar w:fldCharType="end"/>
          </w:r>
        </w:p>
      </w:sdtContent>
    </w:sdt>
    <w:p w14:paraId="0D9F96EA" w14:textId="77777777" w:rsidR="007E7834" w:rsidRDefault="007E7834"/>
    <w:p w14:paraId="3E6D4F4C" w14:textId="77777777" w:rsidR="007E7834" w:rsidRDefault="007E7834" w:rsidP="00054F41">
      <w:pPr>
        <w:sectPr w:rsidR="007E7834" w:rsidSect="005E0448">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pgMar w:top="1440" w:right="1440" w:bottom="1440" w:left="1440" w:header="720" w:footer="720" w:gutter="0"/>
          <w:pgBorders w:display="firstPage">
            <w:top w:val="single" w:sz="4" w:space="1" w:color="auto"/>
            <w:left w:val="single" w:sz="4" w:space="4" w:color="auto"/>
            <w:bottom w:val="single" w:sz="4" w:space="1" w:color="auto"/>
            <w:right w:val="single" w:sz="4" w:space="4" w:color="auto"/>
          </w:pgBorders>
          <w:cols w:space="720"/>
          <w:docGrid w:linePitch="360"/>
        </w:sectPr>
      </w:pPr>
    </w:p>
    <w:p w14:paraId="0287EA9C" w14:textId="7A1F0936" w:rsidR="002B6FFD" w:rsidRPr="002B6FFD" w:rsidRDefault="008A7ED5" w:rsidP="000927C8">
      <w:pPr>
        <w:pStyle w:val="Title"/>
      </w:pPr>
      <w:r>
        <w:lastRenderedPageBreak/>
        <w:t xml:space="preserve">Texas Workforce </w:t>
      </w:r>
      <w:r w:rsidRPr="008A174C">
        <w:t>Commission</w:t>
      </w:r>
    </w:p>
    <w:p w14:paraId="3340078A" w14:textId="77777777" w:rsidR="002B6FFD" w:rsidRDefault="002B6FFD" w:rsidP="000927C8">
      <w:pPr>
        <w:pStyle w:val="Subtitle"/>
        <w:spacing w:before="240"/>
      </w:pPr>
      <w:bookmarkStart w:id="0" w:name="_Toc417645288"/>
      <w:bookmarkStart w:id="1" w:name="_Toc417645452"/>
      <w:bookmarkStart w:id="2" w:name="_Toc417647441"/>
      <w:bookmarkStart w:id="3" w:name="_Toc133223393"/>
      <w:bookmarkStart w:id="4" w:name="_Toc196823375"/>
      <w:r w:rsidRPr="002B6FFD">
        <w:t>Self-Evaluation Report</w:t>
      </w:r>
      <w:bookmarkEnd w:id="0"/>
      <w:bookmarkEnd w:id="1"/>
      <w:bookmarkEnd w:id="2"/>
      <w:bookmarkEnd w:id="3"/>
      <w:bookmarkEnd w:id="4"/>
    </w:p>
    <w:p w14:paraId="3A6DFAB3" w14:textId="55948C97" w:rsidR="002B6FFD" w:rsidRPr="00F3397E" w:rsidRDefault="002B6FFD" w:rsidP="000927C8">
      <w:pPr>
        <w:pStyle w:val="Heading1"/>
      </w:pPr>
      <w:bookmarkStart w:id="5" w:name="Title_IAgency_Contact_Information"/>
      <w:bookmarkStart w:id="6" w:name="_Toc910088953"/>
      <w:bookmarkStart w:id="7" w:name="_Toc203377314"/>
      <w:r w:rsidRPr="00F3397E">
        <w:t>I.</w:t>
      </w:r>
      <w:r w:rsidR="3D1905F1" w:rsidRPr="00F3397E">
        <w:t xml:space="preserve"> </w:t>
      </w:r>
      <w:r w:rsidRPr="00F3397E">
        <w:t>Agency Contact Information</w:t>
      </w:r>
      <w:bookmarkEnd w:id="5"/>
      <w:bookmarkEnd w:id="6"/>
      <w:bookmarkEnd w:id="7"/>
    </w:p>
    <w:p w14:paraId="5A3C9D33" w14:textId="7547433B" w:rsidR="00F04165" w:rsidRPr="00F04165" w:rsidRDefault="004A1DC9" w:rsidP="00CF7915">
      <w:pPr>
        <w:pStyle w:val="BodyText3"/>
        <w:jc w:val="center"/>
      </w:pPr>
      <w:bookmarkStart w:id="8" w:name="_Toc202856301"/>
      <w:bookmarkStart w:id="9" w:name="_Toc202856964"/>
      <w:bookmarkStart w:id="10" w:name="_Toc202857117"/>
      <w:bookmarkStart w:id="11" w:name="_Toc202860897"/>
      <w:bookmarkStart w:id="12" w:name="_Toc202861070"/>
      <w:bookmarkStart w:id="13" w:name="_Toc1798453"/>
      <w:bookmarkStart w:id="14" w:name="_Toc1411983137"/>
      <w:bookmarkStart w:id="15" w:name="_Toc417645456"/>
      <w:bookmarkStart w:id="16" w:name="_Toc417647445"/>
      <w:r w:rsidRPr="00CF7915">
        <w:t>Texas Workforce Commission</w:t>
      </w:r>
      <w:bookmarkEnd w:id="8"/>
      <w:bookmarkEnd w:id="9"/>
      <w:bookmarkEnd w:id="10"/>
      <w:bookmarkEnd w:id="11"/>
      <w:bookmarkEnd w:id="12"/>
      <w:bookmarkEnd w:id="13"/>
      <w:bookmarkEnd w:id="14"/>
      <w:r w:rsidR="000A1064">
        <w:br/>
      </w:r>
      <w:bookmarkStart w:id="17" w:name="_Toc202856302"/>
      <w:bookmarkStart w:id="18" w:name="_Toc202856965"/>
      <w:bookmarkStart w:id="19" w:name="_Toc202857118"/>
      <w:bookmarkStart w:id="20" w:name="_Toc202860898"/>
      <w:bookmarkStart w:id="21" w:name="_Toc202861071"/>
      <w:bookmarkStart w:id="22" w:name="_Toc1960625357"/>
      <w:bookmarkStart w:id="23" w:name="_Toc1861208122"/>
      <w:r w:rsidR="00F04165" w:rsidRPr="00C46CA7">
        <w:t xml:space="preserve">Exhibit 1: Agency </w:t>
      </w:r>
      <w:r w:rsidR="00F04165" w:rsidRPr="00F86A6F">
        <w:t>Contacts</w:t>
      </w:r>
      <w:bookmarkEnd w:id="15"/>
      <w:bookmarkEnd w:id="16"/>
      <w:bookmarkEnd w:id="17"/>
      <w:bookmarkEnd w:id="18"/>
      <w:bookmarkEnd w:id="19"/>
      <w:bookmarkEnd w:id="20"/>
      <w:bookmarkEnd w:id="21"/>
      <w:bookmarkEnd w:id="22"/>
      <w:bookmarkEnd w:id="23"/>
    </w:p>
    <w:tbl>
      <w:tblPr>
        <w:tblStyle w:val="TableGrid1"/>
        <w:tblW w:w="9504" w:type="dxa"/>
        <w:tblCellMar>
          <w:top w:w="58" w:type="dxa"/>
          <w:bottom w:w="58" w:type="dxa"/>
        </w:tblCellMar>
        <w:tblLook w:val="04A0" w:firstRow="1" w:lastRow="0" w:firstColumn="1" w:lastColumn="0" w:noHBand="0" w:noVBand="1"/>
        <w:tblDescription w:val="Table template for Exhibit 1 table showing agency contact information for the agency head and agency's Sunset liaison."/>
      </w:tblPr>
      <w:tblGrid>
        <w:gridCol w:w="1418"/>
        <w:gridCol w:w="2323"/>
        <w:gridCol w:w="1911"/>
        <w:gridCol w:w="1307"/>
        <w:gridCol w:w="2545"/>
      </w:tblGrid>
      <w:tr w:rsidR="00441DA9" w:rsidRPr="00122328" w14:paraId="7151BE15" w14:textId="77777777" w:rsidTr="00122328">
        <w:trPr>
          <w:trHeight w:val="300"/>
        </w:trPr>
        <w:tc>
          <w:tcPr>
            <w:tcW w:w="1435" w:type="dxa"/>
            <w:shd w:val="clear" w:color="auto" w:fill="C6D9F1" w:themeFill="text2" w:themeFillTint="33"/>
          </w:tcPr>
          <w:p w14:paraId="626795C0" w14:textId="77777777" w:rsidR="00F04165" w:rsidRPr="00122328" w:rsidRDefault="00F04165" w:rsidP="00122328">
            <w:pPr>
              <w:pStyle w:val="TableHeaders"/>
              <w:rPr>
                <w:b w:val="0"/>
                <w:bCs/>
              </w:rPr>
            </w:pPr>
          </w:p>
        </w:tc>
        <w:tc>
          <w:tcPr>
            <w:tcW w:w="2375" w:type="dxa"/>
            <w:shd w:val="clear" w:color="auto" w:fill="C6D9F1" w:themeFill="text2" w:themeFillTint="33"/>
          </w:tcPr>
          <w:p w14:paraId="3AE8D9FE" w14:textId="77777777" w:rsidR="00F04165" w:rsidRPr="00122328" w:rsidRDefault="00A52026" w:rsidP="00122328">
            <w:pPr>
              <w:pStyle w:val="TableHeaders"/>
              <w:rPr>
                <w:b w:val="0"/>
                <w:bCs/>
              </w:rPr>
            </w:pPr>
            <w:r w:rsidRPr="00122328">
              <w:rPr>
                <w:bCs/>
              </w:rPr>
              <w:t>Name</w:t>
            </w:r>
          </w:p>
        </w:tc>
        <w:tc>
          <w:tcPr>
            <w:tcW w:w="1949" w:type="dxa"/>
            <w:shd w:val="clear" w:color="auto" w:fill="C6D9F1" w:themeFill="text2" w:themeFillTint="33"/>
          </w:tcPr>
          <w:p w14:paraId="11FFA6B0" w14:textId="77777777" w:rsidR="00F04165" w:rsidRPr="00122328" w:rsidRDefault="00A52026" w:rsidP="00122328">
            <w:pPr>
              <w:pStyle w:val="TableHeaders"/>
              <w:rPr>
                <w:b w:val="0"/>
                <w:bCs/>
              </w:rPr>
            </w:pPr>
            <w:r w:rsidRPr="00122328">
              <w:rPr>
                <w:bCs/>
              </w:rPr>
              <w:t>Address</w:t>
            </w:r>
          </w:p>
        </w:tc>
        <w:tc>
          <w:tcPr>
            <w:tcW w:w="1313" w:type="dxa"/>
            <w:shd w:val="clear" w:color="auto" w:fill="C6D9F1" w:themeFill="text2" w:themeFillTint="33"/>
          </w:tcPr>
          <w:p w14:paraId="01B22B4B" w14:textId="72E5B58C" w:rsidR="00F04165" w:rsidRPr="00122328" w:rsidRDefault="00A52026" w:rsidP="00122328">
            <w:pPr>
              <w:pStyle w:val="TableHeaders"/>
              <w:rPr>
                <w:b w:val="0"/>
                <w:bCs/>
              </w:rPr>
            </w:pPr>
            <w:r w:rsidRPr="00122328">
              <w:rPr>
                <w:bCs/>
              </w:rPr>
              <w:t xml:space="preserve">Telephone </w:t>
            </w:r>
          </w:p>
        </w:tc>
        <w:tc>
          <w:tcPr>
            <w:tcW w:w="2432" w:type="dxa"/>
            <w:shd w:val="clear" w:color="auto" w:fill="C6D9F1" w:themeFill="text2" w:themeFillTint="33"/>
          </w:tcPr>
          <w:p w14:paraId="2B337D11" w14:textId="77777777" w:rsidR="00F04165" w:rsidRPr="00122328" w:rsidRDefault="00A52026" w:rsidP="00122328">
            <w:pPr>
              <w:pStyle w:val="TableHeaders"/>
              <w:rPr>
                <w:b w:val="0"/>
                <w:bCs/>
              </w:rPr>
            </w:pPr>
            <w:r w:rsidRPr="00122328">
              <w:rPr>
                <w:bCs/>
              </w:rPr>
              <w:t>Email Address</w:t>
            </w:r>
          </w:p>
        </w:tc>
      </w:tr>
      <w:tr w:rsidR="00F04165" w:rsidRPr="00122328" w14:paraId="2308F061" w14:textId="77777777" w:rsidTr="00122328">
        <w:trPr>
          <w:trHeight w:val="300"/>
        </w:trPr>
        <w:tc>
          <w:tcPr>
            <w:tcW w:w="1435" w:type="dxa"/>
            <w:vAlign w:val="center"/>
          </w:tcPr>
          <w:p w14:paraId="67F6125A" w14:textId="77777777" w:rsidR="00F04165" w:rsidRPr="00122328" w:rsidRDefault="00A52026" w:rsidP="00122328">
            <w:pPr>
              <w:pStyle w:val="TableText"/>
            </w:pPr>
            <w:r w:rsidRPr="00122328">
              <w:t>Agency Head</w:t>
            </w:r>
          </w:p>
        </w:tc>
        <w:tc>
          <w:tcPr>
            <w:tcW w:w="2375" w:type="dxa"/>
            <w:vAlign w:val="center"/>
          </w:tcPr>
          <w:p w14:paraId="662B0818" w14:textId="5692C8F3" w:rsidR="00F04165" w:rsidRPr="00122328" w:rsidRDefault="004D5E76" w:rsidP="00122328">
            <w:pPr>
              <w:pStyle w:val="TableText"/>
            </w:pPr>
            <w:r w:rsidRPr="00122328">
              <w:t>Ed Serna, Executive Director</w:t>
            </w:r>
          </w:p>
        </w:tc>
        <w:tc>
          <w:tcPr>
            <w:tcW w:w="1949" w:type="dxa"/>
            <w:vAlign w:val="center"/>
          </w:tcPr>
          <w:p w14:paraId="1BE27529" w14:textId="7839F06D" w:rsidR="00F04165" w:rsidRPr="00122328" w:rsidRDefault="004D5E76" w:rsidP="00122328">
            <w:pPr>
              <w:pStyle w:val="TableText"/>
            </w:pPr>
            <w:r w:rsidRPr="00122328">
              <w:t xml:space="preserve">101 E. 15th Street, </w:t>
            </w:r>
            <w:r w:rsidR="009F09AE" w:rsidRPr="00122328">
              <w:t>Austin</w:t>
            </w:r>
            <w:r w:rsidRPr="00122328">
              <w:t>, TX 78701</w:t>
            </w:r>
          </w:p>
        </w:tc>
        <w:tc>
          <w:tcPr>
            <w:tcW w:w="1313" w:type="dxa"/>
            <w:vAlign w:val="center"/>
          </w:tcPr>
          <w:p w14:paraId="59B563B6" w14:textId="2CB75757" w:rsidR="00F04165" w:rsidRPr="00122328" w:rsidRDefault="009F09AE" w:rsidP="00122328">
            <w:pPr>
              <w:pStyle w:val="TableText"/>
            </w:pPr>
            <w:r w:rsidRPr="00122328">
              <w:t>512-305-9636</w:t>
            </w:r>
          </w:p>
        </w:tc>
        <w:tc>
          <w:tcPr>
            <w:tcW w:w="2432" w:type="dxa"/>
            <w:vAlign w:val="center"/>
          </w:tcPr>
          <w:p w14:paraId="1EBF1157" w14:textId="1DAC7545" w:rsidR="00F04165" w:rsidRPr="00122328" w:rsidRDefault="009F09AE" w:rsidP="00122328">
            <w:pPr>
              <w:pStyle w:val="TableText"/>
            </w:pPr>
            <w:r w:rsidRPr="00122328">
              <w:t>Ed.Serna@twc.texas.gov</w:t>
            </w:r>
          </w:p>
        </w:tc>
      </w:tr>
      <w:tr w:rsidR="00F04165" w:rsidRPr="00122328" w14:paraId="119DE125" w14:textId="77777777" w:rsidTr="00122328">
        <w:trPr>
          <w:trHeight w:val="300"/>
        </w:trPr>
        <w:tc>
          <w:tcPr>
            <w:tcW w:w="1435" w:type="dxa"/>
            <w:vAlign w:val="center"/>
          </w:tcPr>
          <w:p w14:paraId="28FA6E70" w14:textId="7F64055A" w:rsidR="00F04165" w:rsidRPr="00122328" w:rsidRDefault="30894FD2" w:rsidP="00122328">
            <w:pPr>
              <w:pStyle w:val="TableText"/>
            </w:pPr>
            <w:r w:rsidRPr="00122328">
              <w:t>Agency’s Sunset Liaison</w:t>
            </w:r>
          </w:p>
        </w:tc>
        <w:tc>
          <w:tcPr>
            <w:tcW w:w="2375" w:type="dxa"/>
            <w:vAlign w:val="center"/>
          </w:tcPr>
          <w:p w14:paraId="2A6B972E" w14:textId="57437601" w:rsidR="00F04165" w:rsidRPr="00122328" w:rsidRDefault="007C7755" w:rsidP="00122328">
            <w:pPr>
              <w:pStyle w:val="TableText"/>
            </w:pPr>
            <w:r w:rsidRPr="00122328">
              <w:t xml:space="preserve">Karen Latta, </w:t>
            </w:r>
            <w:r w:rsidR="39D53354" w:rsidRPr="00122328">
              <w:t>Project Manager</w:t>
            </w:r>
          </w:p>
        </w:tc>
        <w:tc>
          <w:tcPr>
            <w:tcW w:w="1949" w:type="dxa"/>
            <w:vAlign w:val="center"/>
          </w:tcPr>
          <w:p w14:paraId="7C93870A" w14:textId="634169C1" w:rsidR="00F04165" w:rsidRPr="00122328" w:rsidRDefault="1784A07A" w:rsidP="00122328">
            <w:pPr>
              <w:pStyle w:val="TableText"/>
            </w:pPr>
            <w:r w:rsidRPr="00122328">
              <w:t>1117 Trinity S</w:t>
            </w:r>
            <w:r w:rsidR="31FC9714" w:rsidRPr="00122328">
              <w:t>treet,</w:t>
            </w:r>
            <w:r w:rsidRPr="00122328">
              <w:t xml:space="preserve"> Austin, TX 78701</w:t>
            </w:r>
          </w:p>
        </w:tc>
        <w:tc>
          <w:tcPr>
            <w:tcW w:w="1313" w:type="dxa"/>
            <w:vAlign w:val="center"/>
          </w:tcPr>
          <w:p w14:paraId="42B087D7" w14:textId="56B94271" w:rsidR="00F04165" w:rsidRPr="00122328" w:rsidRDefault="00682416" w:rsidP="00122328">
            <w:pPr>
              <w:pStyle w:val="TableText"/>
            </w:pPr>
            <w:r>
              <w:t>737-</w:t>
            </w:r>
            <w:r w:rsidR="00422096">
              <w:t>289-9726</w:t>
            </w:r>
          </w:p>
        </w:tc>
        <w:tc>
          <w:tcPr>
            <w:tcW w:w="2432" w:type="dxa"/>
            <w:vAlign w:val="center"/>
          </w:tcPr>
          <w:p w14:paraId="09580AAA" w14:textId="7F2110FE" w:rsidR="00F04165" w:rsidRPr="00122328" w:rsidRDefault="0099042A" w:rsidP="00122328">
            <w:pPr>
              <w:pStyle w:val="TableText"/>
            </w:pPr>
            <w:r>
              <w:t>K</w:t>
            </w:r>
            <w:r w:rsidR="23B05C33" w:rsidRPr="00122328">
              <w:t>aren.</w:t>
            </w:r>
            <w:r>
              <w:t>L</w:t>
            </w:r>
            <w:r w:rsidR="23B05C33" w:rsidRPr="00122328">
              <w:t>atta@twc.texas.gov</w:t>
            </w:r>
          </w:p>
        </w:tc>
      </w:tr>
    </w:tbl>
    <w:p w14:paraId="6A3C6AD9" w14:textId="54F1F263" w:rsidR="00CD61A1" w:rsidRPr="00BA5E0E" w:rsidRDefault="00CD61A1" w:rsidP="00BA5E0E">
      <w:pPr>
        <w:pStyle w:val="Heading1"/>
      </w:pPr>
      <w:bookmarkStart w:id="24" w:name="_Toc202857119"/>
      <w:bookmarkStart w:id="25" w:name="_Toc313141534"/>
      <w:bookmarkStart w:id="26" w:name="_Toc203377315"/>
      <w:r w:rsidRPr="00BA5E0E">
        <w:t>II.</w:t>
      </w:r>
      <w:r w:rsidR="1C130717" w:rsidRPr="00BA5E0E">
        <w:t xml:space="preserve"> </w:t>
      </w:r>
      <w:r w:rsidRPr="00BA5E0E">
        <w:t>Key Functions and Performance</w:t>
      </w:r>
      <w:bookmarkEnd w:id="24"/>
      <w:bookmarkEnd w:id="25"/>
      <w:bookmarkEnd w:id="26"/>
    </w:p>
    <w:p w14:paraId="2ADC083C" w14:textId="6755A040" w:rsidR="00CD61A1" w:rsidRDefault="68A2EFB2" w:rsidP="00D22DEA">
      <w:pPr>
        <w:pStyle w:val="BodyText"/>
      </w:pPr>
      <w:r>
        <w:t>Provide the following information about the overall operations of your agency</w:t>
      </w:r>
      <w:r w:rsidR="717D584E">
        <w:t xml:space="preserve">. </w:t>
      </w:r>
      <w:r>
        <w:t xml:space="preserve">More detailed information about individual </w:t>
      </w:r>
      <w:r w:rsidR="718C70DB">
        <w:t xml:space="preserve">divisions and </w:t>
      </w:r>
      <w:r>
        <w:t>programs will be requested in</w:t>
      </w:r>
      <w:r w:rsidR="423DBE3E">
        <w:t xml:space="preserve"> Section VII.</w:t>
      </w:r>
    </w:p>
    <w:p w14:paraId="5634B3DF" w14:textId="59BF238C" w:rsidR="00B82EF9" w:rsidRPr="00364EF9" w:rsidRDefault="00CD61A1" w:rsidP="00C64851">
      <w:pPr>
        <w:pStyle w:val="BodyText3"/>
        <w:numPr>
          <w:ilvl w:val="0"/>
          <w:numId w:val="393"/>
        </w:numPr>
        <w:rPr>
          <w:rStyle w:val="Strong"/>
          <w:bCs w:val="0"/>
        </w:rPr>
      </w:pPr>
      <w:bookmarkStart w:id="27" w:name="_Toc417645458"/>
      <w:bookmarkStart w:id="28" w:name="_Toc417647447"/>
      <w:r w:rsidRPr="00364EF9">
        <w:rPr>
          <w:rStyle w:val="Strong"/>
          <w:bCs w:val="0"/>
        </w:rPr>
        <w:t>Provide an overview of your agency</w:t>
      </w:r>
      <w:r w:rsidR="00F044D6" w:rsidRPr="00364EF9">
        <w:rPr>
          <w:rStyle w:val="Strong"/>
          <w:bCs w:val="0"/>
        </w:rPr>
        <w:t>’</w:t>
      </w:r>
      <w:r w:rsidRPr="00364EF9">
        <w:rPr>
          <w:rStyle w:val="Strong"/>
          <w:bCs w:val="0"/>
        </w:rPr>
        <w:t>s mission, objectives, and key functions.</w:t>
      </w:r>
      <w:bookmarkEnd w:id="27"/>
      <w:bookmarkEnd w:id="28"/>
    </w:p>
    <w:p w14:paraId="1FC4B40E" w14:textId="3C52CA84" w:rsidR="00B44C86" w:rsidRPr="00F5293F" w:rsidRDefault="00B44C86" w:rsidP="00F9309D">
      <w:pPr>
        <w:pStyle w:val="BodyText2"/>
      </w:pPr>
      <w:r w:rsidRPr="00F5293F">
        <w:t xml:space="preserve">Texas </w:t>
      </w:r>
      <w:r w:rsidRPr="00683135">
        <w:t>Workforce</w:t>
      </w:r>
      <w:r w:rsidRPr="00F5293F">
        <w:t xml:space="preserve"> Commission </w:t>
      </w:r>
      <w:r w:rsidRPr="00FD6442">
        <w:t>Mission</w:t>
      </w:r>
    </w:p>
    <w:p w14:paraId="583C4E75" w14:textId="002B1321" w:rsidR="00B44C86" w:rsidRPr="00364EF9" w:rsidRDefault="7FAD6177" w:rsidP="00364EF9">
      <w:pPr>
        <w:pStyle w:val="BodyText"/>
      </w:pPr>
      <w:r w:rsidRPr="00364EF9">
        <w:t>To promote and support a workforce system that creates value and offers employers, families, individuals, and communities the opportunity to achieve and sustain economic prosperity.</w:t>
      </w:r>
    </w:p>
    <w:p w14:paraId="1C9AC263" w14:textId="4F30048A" w:rsidR="00B44C86" w:rsidRPr="00F5293F" w:rsidRDefault="00B44C86" w:rsidP="00EA7B19">
      <w:pPr>
        <w:pStyle w:val="BodyText2"/>
      </w:pPr>
      <w:r w:rsidRPr="00F5293F">
        <w:t xml:space="preserve">Texas </w:t>
      </w:r>
      <w:r w:rsidRPr="00EA7B19">
        <w:t>Workforce</w:t>
      </w:r>
      <w:r w:rsidRPr="00F5293F">
        <w:t xml:space="preserve"> Commission Vision</w:t>
      </w:r>
    </w:p>
    <w:p w14:paraId="7820084F" w14:textId="0F89892C" w:rsidR="00B44C86" w:rsidRPr="004F3040" w:rsidRDefault="7FAD6177" w:rsidP="685B84D2">
      <w:pPr>
        <w:pStyle w:val="BodyText"/>
      </w:pPr>
      <w:r w:rsidRPr="685B84D2">
        <w:t>The Texas Workforce Commission (TWC) and its Workforce Solutions partners will maximize the power of innovation and partnerships to boost superior business outcomes and realize a competitive advantage for all Texans in the global economy.</w:t>
      </w:r>
    </w:p>
    <w:p w14:paraId="7FEBAF50" w14:textId="2A600899" w:rsidR="00B44C86" w:rsidRPr="0058363F" w:rsidRDefault="00B44C86" w:rsidP="00BC2F2B">
      <w:pPr>
        <w:pStyle w:val="BodyText2"/>
      </w:pPr>
      <w:r w:rsidRPr="00BC2F2B">
        <w:t>Texas</w:t>
      </w:r>
      <w:r w:rsidRPr="0058363F">
        <w:t xml:space="preserve"> Workforce Commission Overview</w:t>
      </w:r>
    </w:p>
    <w:p w14:paraId="0FB19091" w14:textId="41368C7C" w:rsidR="00B44C86" w:rsidRPr="004F3040" w:rsidRDefault="7FAD6177" w:rsidP="685B84D2">
      <w:pPr>
        <w:pStyle w:val="BodyText"/>
      </w:pPr>
      <w:r w:rsidRPr="685B84D2">
        <w:t xml:space="preserve">TWC and its 28 Local Workforce Development Boards, contracted service providers, and community partners provide a wide range of quality workforce development and connection services for Texas employers and job seekers. The primary functions of TWC include managing workforce development and employment services, administering programs such as </w:t>
      </w:r>
      <w:proofErr w:type="gramStart"/>
      <w:r w:rsidRPr="685B84D2">
        <w:t>child care</w:t>
      </w:r>
      <w:proofErr w:type="gramEnd"/>
      <w:r w:rsidRPr="685B84D2">
        <w:t xml:space="preserve"> and other support services, overseeing the unemployment compensation </w:t>
      </w:r>
      <w:r w:rsidRPr="685B84D2">
        <w:lastRenderedPageBreak/>
        <w:t>insurance program, and enforcing labor laws. TWC also provides labor market information and analysis on shifts in occupations and industries to help businesses and policymakers understand the state’s labor market.</w:t>
      </w:r>
    </w:p>
    <w:p w14:paraId="2A03D1EF" w14:textId="492FC13E" w:rsidR="00B44C86" w:rsidRPr="004F3040" w:rsidRDefault="58F4257C" w:rsidP="685B84D2">
      <w:pPr>
        <w:pStyle w:val="BodyText"/>
      </w:pPr>
      <w:r w:rsidRPr="0BE338CC">
        <w:t>TWC and its network of partners continue to operate a highly integrated workforce system. The Texas workforce system includes programs, services, and initiatives administered in cooperation with Local Workforce Development Boards, local adult education providers, community and technical colleges, independent school districts, eight other state agencies, and other key organizations. Texas’ comprehensive</w:t>
      </w:r>
      <w:r w:rsidR="4C67E280" w:rsidRPr="0BE338CC">
        <w:t>, integrated</w:t>
      </w:r>
      <w:r w:rsidRPr="0BE338CC">
        <w:t xml:space="preserve"> workforce development system remains as a national model for workforce development</w:t>
      </w:r>
      <w:r w:rsidR="2FAD5EE4" w:rsidRPr="0BE338CC">
        <w:t>.</w:t>
      </w:r>
      <w:r w:rsidRPr="0BE338CC">
        <w:t xml:space="preserve"> </w:t>
      </w:r>
      <w:r w:rsidR="0B85F80B" w:rsidRPr="0BE338CC">
        <w:t xml:space="preserve">The </w:t>
      </w:r>
      <w:r w:rsidRPr="0BE338CC">
        <w:t>integrated structure allows for continuous improvement and adaptability to meet the needs of job seekers and employers. Improved access and efficiency, along with value-added services, are among the many benefits customers receive from an integrated system. TWC and our system partners continue to explore integration solutions to further improve services provided to job seekers, and employers, such as, training resources, career guidance, and pipelines to lasting, high-demand jobs.</w:t>
      </w:r>
    </w:p>
    <w:p w14:paraId="6F998DB2" w14:textId="4815385F" w:rsidR="00B44C86" w:rsidRPr="004F3040" w:rsidRDefault="58F4257C" w:rsidP="685B84D2">
      <w:pPr>
        <w:pStyle w:val="BodyText"/>
      </w:pPr>
      <w:r w:rsidRPr="0BE338CC">
        <w:t xml:space="preserve">2025 marked the 30th anniversary of the establishment of TWC. When legislators created this agency to replace the Texas Employment Commission, they were making an important value statement: the goal of this agency is not simply to find people jobs, but to build a workforce system that empowers all Texans and drives growth, opportunity, and prosperity for the Lone Star State.  By working together with policymakers and other agencies </w:t>
      </w:r>
      <w:r w:rsidR="2073171E" w:rsidRPr="0BE338CC">
        <w:t xml:space="preserve">over the past thirty years </w:t>
      </w:r>
      <w:r w:rsidRPr="0BE338CC">
        <w:t>through efforts like the Tri-Agency Workforce Initiative, TWC has helped foster a more dynamic workforce capable of supporting one of the nation’s strongest and fastest growing economies.</w:t>
      </w:r>
    </w:p>
    <w:p w14:paraId="70DDD7A1" w14:textId="63992732" w:rsidR="00B44C86" w:rsidRPr="004F3040" w:rsidRDefault="467BB5EB" w:rsidP="004F3040">
      <w:pPr>
        <w:pStyle w:val="BodyText"/>
      </w:pPr>
      <w:r w:rsidRPr="36F4C7E4">
        <w:t>TWC’s efforts to address the needs of Texas’ workforce are constantly evolving just as the state’s economy has evolved. Rapid changes in technology continue to transform the workplace and introduce both new career opportunities for jobseekers as well as challenges for existing industries. In the coming years, Texas will need a workforce built for further growth to empower all Texans. TWC embraces this challenge by seeking to enhance</w:t>
      </w:r>
      <w:r w:rsidR="65C15EA6" w:rsidRPr="36F4C7E4">
        <w:t xml:space="preserve"> and </w:t>
      </w:r>
      <w:r w:rsidRPr="36F4C7E4">
        <w:t xml:space="preserve">innovate the services we offer our workforce. At the same time, TWC maintains a strong focus on serving the public through proven, vital programs and other efforts that make our workforce robust, </w:t>
      </w:r>
      <w:r w:rsidRPr="36F4C7E4">
        <w:rPr>
          <w:rFonts w:eastAsia="Aptos" w:cs="Aptos"/>
        </w:rPr>
        <w:t>resilient</w:t>
      </w:r>
      <w:r w:rsidRPr="36F4C7E4">
        <w:t>, and open to all Texans.</w:t>
      </w:r>
    </w:p>
    <w:p w14:paraId="7F286A04" w14:textId="293C38CE" w:rsidR="00CD61A1" w:rsidRPr="00735C9F" w:rsidRDefault="00EA7B19" w:rsidP="00F33AEA">
      <w:pPr>
        <w:pStyle w:val="BodyText3"/>
        <w:ind w:left="720" w:hanging="720"/>
        <w:rPr>
          <w:rStyle w:val="Strong"/>
          <w:bCs w:val="0"/>
        </w:rPr>
      </w:pPr>
      <w:bookmarkStart w:id="29" w:name="_Toc417645459"/>
      <w:bookmarkStart w:id="30" w:name="_Toc417647448"/>
      <w:r w:rsidRPr="00735C9F">
        <w:rPr>
          <w:rStyle w:val="Strong"/>
          <w:bCs w:val="0"/>
        </w:rPr>
        <w:t>B.</w:t>
      </w:r>
      <w:r w:rsidR="006820F8">
        <w:rPr>
          <w:rStyle w:val="Strong"/>
          <w:bCs w:val="0"/>
        </w:rPr>
        <w:tab/>
      </w:r>
      <w:r w:rsidR="0006708B" w:rsidRPr="00735C9F">
        <w:rPr>
          <w:rStyle w:val="Strong"/>
          <w:bCs w:val="0"/>
        </w:rPr>
        <w:t>What</w:t>
      </w:r>
      <w:r w:rsidR="00CD61A1" w:rsidRPr="00735C9F">
        <w:rPr>
          <w:rStyle w:val="Strong"/>
          <w:bCs w:val="0"/>
        </w:rPr>
        <w:t xml:space="preserve"> clear and ongoing objective</w:t>
      </w:r>
      <w:r w:rsidR="0006708B" w:rsidRPr="00735C9F">
        <w:rPr>
          <w:rStyle w:val="Strong"/>
          <w:bCs w:val="0"/>
        </w:rPr>
        <w:t>(s) do the agency’s key functions serve</w:t>
      </w:r>
      <w:r w:rsidR="00CD61A1" w:rsidRPr="00735C9F">
        <w:rPr>
          <w:rStyle w:val="Strong"/>
          <w:bCs w:val="0"/>
        </w:rPr>
        <w:t>?</w:t>
      </w:r>
      <w:r w:rsidR="008A4A34" w:rsidRPr="00735C9F">
        <w:rPr>
          <w:rStyle w:val="Strong"/>
          <w:bCs w:val="0"/>
        </w:rPr>
        <w:t xml:space="preserve"> </w:t>
      </w:r>
      <w:r w:rsidR="00CD61A1" w:rsidRPr="00735C9F">
        <w:rPr>
          <w:rStyle w:val="Strong"/>
          <w:bCs w:val="0"/>
        </w:rPr>
        <w:t xml:space="preserve">Explain why each </w:t>
      </w:r>
      <w:r w:rsidR="00B60F05" w:rsidRPr="00735C9F">
        <w:rPr>
          <w:rStyle w:val="Strong"/>
          <w:bCs w:val="0"/>
        </w:rPr>
        <w:t>key</w:t>
      </w:r>
      <w:r w:rsidR="00CD61A1" w:rsidRPr="00735C9F">
        <w:rPr>
          <w:rStyle w:val="Strong"/>
          <w:bCs w:val="0"/>
        </w:rPr>
        <w:t xml:space="preserve"> function is still needed</w:t>
      </w:r>
      <w:bookmarkEnd w:id="29"/>
      <w:bookmarkEnd w:id="30"/>
      <w:r w:rsidR="00B60F05" w:rsidRPr="00735C9F">
        <w:rPr>
          <w:rStyle w:val="Strong"/>
          <w:bCs w:val="0"/>
        </w:rPr>
        <w:t>.</w:t>
      </w:r>
    </w:p>
    <w:p w14:paraId="346F5CDD" w14:textId="76506D7D" w:rsidR="002E6E41" w:rsidRPr="002E6E41" w:rsidRDefault="002E6E41" w:rsidP="00906EB4">
      <w:pPr>
        <w:pStyle w:val="BodyText"/>
      </w:pPr>
      <w:bookmarkStart w:id="31" w:name="_Toc417645461"/>
      <w:bookmarkStart w:id="32" w:name="_Toc417647450"/>
      <w:r>
        <w:t xml:space="preserve">The agency's mission, objectives and key functions are drawn from federal and state law and provide for an integrated workforce development system where services are designed and customized </w:t>
      </w:r>
      <w:r w:rsidR="00CE6C3B">
        <w:t>to meet</w:t>
      </w:r>
      <w:r>
        <w:t xml:space="preserve"> the needs of employers and residents in different regions of the state. Texas’ rapidly growing population has placed greater emphasis on the performance of the state’s workforce </w:t>
      </w:r>
      <w:r w:rsidR="00ED257D">
        <w:t xml:space="preserve">development </w:t>
      </w:r>
      <w:r>
        <w:t xml:space="preserve">system. Texas has one of the largest and fastest growing economies in the United States and ranks the </w:t>
      </w:r>
      <w:r w:rsidR="395A0702">
        <w:t>8</w:t>
      </w:r>
      <w:r>
        <w:t xml:space="preserve">th largest economy in the world. </w:t>
      </w:r>
      <w:r w:rsidR="00FF22BA">
        <w:t>A</w:t>
      </w:r>
      <w:r>
        <w:t xml:space="preserve"> well-developed</w:t>
      </w:r>
      <w:r w:rsidR="00501493">
        <w:t>,</w:t>
      </w:r>
      <w:r>
        <w:t xml:space="preserve"> integrated</w:t>
      </w:r>
      <w:r w:rsidR="00501493">
        <w:t>,</w:t>
      </w:r>
      <w:r>
        <w:t xml:space="preserve"> and efficient workforce </w:t>
      </w:r>
      <w:r w:rsidR="00703418">
        <w:t xml:space="preserve">development </w:t>
      </w:r>
      <w:r>
        <w:t xml:space="preserve">system </w:t>
      </w:r>
      <w:r w:rsidR="00786755">
        <w:t>is</w:t>
      </w:r>
      <w:r>
        <w:t xml:space="preserve"> integral </w:t>
      </w:r>
      <w:r w:rsidR="00786755">
        <w:t xml:space="preserve">for our state to compete </w:t>
      </w:r>
      <w:r w:rsidR="00C7608A">
        <w:t>for talent and resources in this global economy</w:t>
      </w:r>
      <w:r>
        <w:t xml:space="preserve">. TWC has been at the </w:t>
      </w:r>
      <w:r>
        <w:lastRenderedPageBreak/>
        <w:t xml:space="preserve">forefront of </w:t>
      </w:r>
      <w:r w:rsidR="00755FDD">
        <w:t xml:space="preserve">developing </w:t>
      </w:r>
      <w:r>
        <w:t xml:space="preserve">innovative ways to connect job seekers and employers </w:t>
      </w:r>
      <w:r w:rsidR="00A71DE1">
        <w:t>with</w:t>
      </w:r>
      <w:r>
        <w:t xml:space="preserve"> opportunities to engage </w:t>
      </w:r>
      <w:r w:rsidR="00A71DE1">
        <w:t>in</w:t>
      </w:r>
      <w:r>
        <w:t xml:space="preserve"> the workforce system.</w:t>
      </w:r>
    </w:p>
    <w:p w14:paraId="535A7805" w14:textId="5F061923" w:rsidR="002E6E41" w:rsidRPr="0001149C" w:rsidRDefault="002E6E41" w:rsidP="0001149C">
      <w:pPr>
        <w:pStyle w:val="BodyText2"/>
      </w:pPr>
      <w:r w:rsidRPr="0001149C">
        <w:t>Workforce Training and Education</w:t>
      </w:r>
    </w:p>
    <w:p w14:paraId="50BB47AF" w14:textId="06854F99" w:rsidR="002E6E41" w:rsidRPr="002E6E41" w:rsidRDefault="002E6E41" w:rsidP="002E6E41">
      <w:pPr>
        <w:pStyle w:val="BodyText"/>
      </w:pPr>
      <w:r w:rsidRPr="002E6E41">
        <w:rPr>
          <w:bCs/>
        </w:rPr>
        <w:t>Objective:</w:t>
      </w:r>
      <w:r w:rsidRPr="002E6E41">
        <w:t xml:space="preserve"> </w:t>
      </w:r>
      <w:r w:rsidRPr="002E6E41">
        <w:rPr>
          <w:i/>
        </w:rPr>
        <w:t xml:space="preserve">To enhance the skills of the Texas workforce, making </w:t>
      </w:r>
      <w:r w:rsidR="000E09CD">
        <w:rPr>
          <w:i/>
        </w:rPr>
        <w:t>workers</w:t>
      </w:r>
      <w:r w:rsidRPr="002E6E41">
        <w:rPr>
          <w:i/>
        </w:rPr>
        <w:t xml:space="preserve"> more employable and competitive in the job market.</w:t>
      </w:r>
      <w:r w:rsidRPr="002E6E41">
        <w:t xml:space="preserve"> This also ensures that businesses have access to a talent pool with the skills they need to thrive.</w:t>
      </w:r>
    </w:p>
    <w:p w14:paraId="3BB9E5AF" w14:textId="3923C746" w:rsidR="002E6E41" w:rsidRPr="002E6E41" w:rsidRDefault="002E6E41" w:rsidP="002E6E41">
      <w:pPr>
        <w:pStyle w:val="BodyText"/>
      </w:pPr>
      <w:r w:rsidRPr="002E6E41">
        <w:rPr>
          <w:bCs/>
        </w:rPr>
        <w:t>Why it's needed</w:t>
      </w:r>
    </w:p>
    <w:p w14:paraId="65AD2DA2" w14:textId="4D1432B1" w:rsidR="002E6E41" w:rsidRPr="002E6E41" w:rsidRDefault="002E6E41" w:rsidP="00E768A5">
      <w:pPr>
        <w:pStyle w:val="BodyText"/>
        <w:numPr>
          <w:ilvl w:val="0"/>
          <w:numId w:val="3"/>
        </w:numPr>
      </w:pPr>
      <w:r w:rsidRPr="002E6E41">
        <w:rPr>
          <w:bCs/>
        </w:rPr>
        <w:t>Technological Advancement:</w:t>
      </w:r>
      <w:r w:rsidRPr="002E6E41">
        <w:t xml:space="preserve"> The rapid pace of technological change requires workers to continually upgrade their skills to adapt to new job requirements and automation.</w:t>
      </w:r>
    </w:p>
    <w:p w14:paraId="3FBC8F7F" w14:textId="1AE992C2" w:rsidR="002E6E41" w:rsidRPr="002E6E41" w:rsidRDefault="002E6E41" w:rsidP="00E768A5">
      <w:pPr>
        <w:pStyle w:val="BodyText"/>
        <w:numPr>
          <w:ilvl w:val="0"/>
          <w:numId w:val="4"/>
        </w:numPr>
      </w:pPr>
      <w:r w:rsidRPr="002E6E41">
        <w:rPr>
          <w:bCs/>
        </w:rPr>
        <w:t>Economic Growth:</w:t>
      </w:r>
      <w:r w:rsidRPr="002E6E41">
        <w:t xml:space="preserve"> A skilled workforce attracts businesses to Texas and supports economic growth by increasing productivity and innovation.</w:t>
      </w:r>
    </w:p>
    <w:p w14:paraId="3FD9C757" w14:textId="0DAFE9E2" w:rsidR="002E6E41" w:rsidRPr="002E6E41" w:rsidRDefault="002E6E41" w:rsidP="00E768A5">
      <w:pPr>
        <w:pStyle w:val="BodyText"/>
        <w:numPr>
          <w:ilvl w:val="0"/>
          <w:numId w:val="5"/>
        </w:numPr>
      </w:pPr>
      <w:r w:rsidRPr="002E6E41">
        <w:rPr>
          <w:bCs/>
        </w:rPr>
        <w:t>Addressing Skills Gaps:</w:t>
      </w:r>
      <w:r w:rsidRPr="002E6E41">
        <w:t xml:space="preserve"> Training and education programs target specific skill gaps in the labor market, ensuring that available jobs are </w:t>
      </w:r>
      <w:proofErr w:type="gramStart"/>
      <w:r w:rsidRPr="002E6E41">
        <w:t>filled</w:t>
      </w:r>
      <w:proofErr w:type="gramEnd"/>
      <w:r w:rsidRPr="002E6E41">
        <w:t xml:space="preserve"> and businesses can operate efficiently.</w:t>
      </w:r>
    </w:p>
    <w:p w14:paraId="20C12408" w14:textId="07FBA7B4" w:rsidR="002E6E41" w:rsidRPr="002E6E41" w:rsidRDefault="002E6E41" w:rsidP="00E768A5">
      <w:pPr>
        <w:pStyle w:val="BodyText"/>
        <w:numPr>
          <w:ilvl w:val="0"/>
          <w:numId w:val="6"/>
        </w:numPr>
      </w:pPr>
      <w:r w:rsidRPr="002E6E41">
        <w:rPr>
          <w:bCs/>
        </w:rPr>
        <w:t>Individual Opportunity:</w:t>
      </w:r>
      <w:r w:rsidRPr="002E6E41">
        <w:t xml:space="preserve"> Providing access to training and education creates opportunities</w:t>
      </w:r>
      <w:r w:rsidR="00207363">
        <w:t xml:space="preserve"> and removes barriers</w:t>
      </w:r>
      <w:r w:rsidRPr="002E6E41">
        <w:t xml:space="preserve"> for individuals to improve their earning potential and achieve upward mobility.</w:t>
      </w:r>
    </w:p>
    <w:p w14:paraId="2C900F10" w14:textId="604E2731" w:rsidR="002E6E41" w:rsidRPr="00E72EF8" w:rsidRDefault="002E6E41" w:rsidP="0001149C">
      <w:pPr>
        <w:pStyle w:val="BodyText2"/>
      </w:pPr>
      <w:r w:rsidRPr="00E72EF8">
        <w:t>Job Matching and Placement</w:t>
      </w:r>
    </w:p>
    <w:p w14:paraId="2D9EAF95" w14:textId="40535186" w:rsidR="002E6E41" w:rsidRPr="002E6E41" w:rsidRDefault="002E6E41" w:rsidP="002E6E41">
      <w:pPr>
        <w:pStyle w:val="BodyText"/>
      </w:pPr>
      <w:r w:rsidRPr="002E6E41">
        <w:rPr>
          <w:bCs/>
        </w:rPr>
        <w:t>Objective:</w:t>
      </w:r>
      <w:r w:rsidRPr="002E6E41">
        <w:t xml:space="preserve"> </w:t>
      </w:r>
      <w:r w:rsidRPr="002E6E41">
        <w:rPr>
          <w:i/>
        </w:rPr>
        <w:t>To efficiently connect employers with qualified job seekers, reducing unemployment and filling open positions quickly.</w:t>
      </w:r>
    </w:p>
    <w:p w14:paraId="3BC2A7A5" w14:textId="3D0D0FCC" w:rsidR="002E6E41" w:rsidRPr="002E6E41" w:rsidRDefault="002E6E41" w:rsidP="002E6E41">
      <w:pPr>
        <w:pStyle w:val="BodyText"/>
      </w:pPr>
      <w:r w:rsidRPr="002E6E41">
        <w:rPr>
          <w:bCs/>
        </w:rPr>
        <w:t>Why it's needed</w:t>
      </w:r>
    </w:p>
    <w:p w14:paraId="35A6277B" w14:textId="0F91035B" w:rsidR="002E6E41" w:rsidRPr="002E6E41" w:rsidRDefault="002E6E41" w:rsidP="00E768A5">
      <w:pPr>
        <w:pStyle w:val="BodyText"/>
        <w:numPr>
          <w:ilvl w:val="0"/>
          <w:numId w:val="7"/>
        </w:numPr>
      </w:pPr>
      <w:r w:rsidRPr="002E6E41">
        <w:rPr>
          <w:bCs/>
        </w:rPr>
        <w:t>Labor Market Efficiency:</w:t>
      </w:r>
      <w:r w:rsidRPr="002E6E41">
        <w:t xml:space="preserve"> Job matching services reduce the time and cost associated with hiring, benefiting both employers and job seekers.</w:t>
      </w:r>
    </w:p>
    <w:p w14:paraId="4245588C" w14:textId="493A6CEF" w:rsidR="002E6E41" w:rsidRPr="002E6E41" w:rsidRDefault="002E6E41" w:rsidP="00E768A5">
      <w:pPr>
        <w:pStyle w:val="BodyText"/>
        <w:numPr>
          <w:ilvl w:val="0"/>
          <w:numId w:val="8"/>
        </w:numPr>
      </w:pPr>
      <w:r w:rsidRPr="002E6E41">
        <w:rPr>
          <w:bCs/>
        </w:rPr>
        <w:t>Economic Stability:</w:t>
      </w:r>
      <w:r w:rsidRPr="002E6E41">
        <w:t xml:space="preserve"> Quickly filling job vacancies contributes to economic stability by maintaining productivity and preventing businesses from being hampered by labor shortages.</w:t>
      </w:r>
    </w:p>
    <w:p w14:paraId="7962DBE8" w14:textId="6171F379" w:rsidR="002E6E41" w:rsidRPr="002E6E41" w:rsidRDefault="002E6E41" w:rsidP="00E768A5">
      <w:pPr>
        <w:pStyle w:val="BodyText"/>
        <w:numPr>
          <w:ilvl w:val="0"/>
          <w:numId w:val="9"/>
        </w:numPr>
      </w:pPr>
      <w:r w:rsidRPr="002E6E41">
        <w:rPr>
          <w:bCs/>
        </w:rPr>
        <w:t>Addressing Unemployment:</w:t>
      </w:r>
      <w:r w:rsidRPr="002E6E41">
        <w:t xml:space="preserve"> Connecting unemployed individuals with job opportunities helps them return to work and reduces the burden on the unemployment insurance system.</w:t>
      </w:r>
    </w:p>
    <w:p w14:paraId="609B4672" w14:textId="6B966350" w:rsidR="002E6E41" w:rsidRDefault="002E6E41" w:rsidP="00E768A5">
      <w:pPr>
        <w:pStyle w:val="BodyText"/>
        <w:numPr>
          <w:ilvl w:val="0"/>
          <w:numId w:val="10"/>
        </w:numPr>
      </w:pPr>
      <w:r w:rsidRPr="002E6E41">
        <w:rPr>
          <w:bCs/>
        </w:rPr>
        <w:t>Career Advancement:</w:t>
      </w:r>
      <w:r w:rsidRPr="002E6E41">
        <w:t xml:space="preserve"> Job matching services can help individuals find better-paying or more fulfilling jobs, contributing to their overall well-being.</w:t>
      </w:r>
    </w:p>
    <w:p w14:paraId="2F8A9196" w14:textId="77777777" w:rsidR="00CE7966" w:rsidRPr="00E72EF8" w:rsidRDefault="00CE7966" w:rsidP="00CE7966">
      <w:pPr>
        <w:pStyle w:val="BodyText2"/>
      </w:pPr>
      <w:r w:rsidRPr="00E72EF8">
        <w:lastRenderedPageBreak/>
        <w:t xml:space="preserve">Other </w:t>
      </w:r>
      <w:r>
        <w:t xml:space="preserve">Workforce </w:t>
      </w:r>
      <w:r w:rsidRPr="00E72EF8">
        <w:t>Support Services</w:t>
      </w:r>
    </w:p>
    <w:p w14:paraId="71FFE754" w14:textId="77777777" w:rsidR="00CE7966" w:rsidRPr="002E6E41" w:rsidRDefault="00CE7966" w:rsidP="00CE7966">
      <w:pPr>
        <w:pStyle w:val="BodyText"/>
      </w:pPr>
      <w:r w:rsidRPr="002E6E41">
        <w:rPr>
          <w:bCs/>
        </w:rPr>
        <w:t>Objective:</w:t>
      </w:r>
      <w:r w:rsidRPr="002E6E41">
        <w:t xml:space="preserve"> </w:t>
      </w:r>
      <w:r w:rsidRPr="002E6E41">
        <w:rPr>
          <w:i/>
        </w:rPr>
        <w:t>To support individuals participating in workforce development and employer services programs.</w:t>
      </w:r>
    </w:p>
    <w:p w14:paraId="015A786E" w14:textId="77777777" w:rsidR="00CE7966" w:rsidRPr="002E6E41" w:rsidRDefault="00CE7966" w:rsidP="00CE7966">
      <w:pPr>
        <w:pStyle w:val="BodyText"/>
      </w:pPr>
      <w:r w:rsidRPr="002E6E41">
        <w:rPr>
          <w:bCs/>
        </w:rPr>
        <w:t>Why it's needed</w:t>
      </w:r>
    </w:p>
    <w:p w14:paraId="06CAD1A1" w14:textId="3E99F0A5" w:rsidR="00CE7966" w:rsidRPr="002E6E41" w:rsidRDefault="00CE7966" w:rsidP="00E768A5">
      <w:pPr>
        <w:pStyle w:val="BodyText"/>
        <w:numPr>
          <w:ilvl w:val="0"/>
          <w:numId w:val="15"/>
        </w:numPr>
      </w:pPr>
      <w:r w:rsidRPr="002E6E41">
        <w:rPr>
          <w:bCs/>
        </w:rPr>
        <w:t>Enhanced Participation &amp; Completion</w:t>
      </w:r>
      <w:r w:rsidRPr="002E6E41">
        <w:t>: Support services directly address barriers that might otherwise prevent individuals from participating in training or completing programs</w:t>
      </w:r>
      <w:r w:rsidR="00710750">
        <w:t>.</w:t>
      </w:r>
    </w:p>
    <w:p w14:paraId="2DD8D3C6" w14:textId="39B12E78" w:rsidR="00CE7966" w:rsidRPr="002E6E41" w:rsidRDefault="00CE7966" w:rsidP="00E768A5">
      <w:pPr>
        <w:pStyle w:val="BodyText"/>
        <w:numPr>
          <w:ilvl w:val="0"/>
          <w:numId w:val="16"/>
        </w:numPr>
      </w:pPr>
      <w:r w:rsidRPr="002E6E41">
        <w:rPr>
          <w:bCs/>
        </w:rPr>
        <w:t xml:space="preserve">Improved Job Readiness: </w:t>
      </w:r>
      <w:r w:rsidRPr="002E6E41">
        <w:t>Services such as resume writing workshops, interview skills training, and career counseling enhance individuals</w:t>
      </w:r>
      <w:r w:rsidR="00710750">
        <w:t>’</w:t>
      </w:r>
      <w:r w:rsidRPr="002E6E41">
        <w:t xml:space="preserve"> job readiness and increase their chances of securing employment.</w:t>
      </w:r>
    </w:p>
    <w:p w14:paraId="72412071" w14:textId="77777777" w:rsidR="00CE7966" w:rsidRPr="002E6E41" w:rsidRDefault="00CE7966" w:rsidP="00E768A5">
      <w:pPr>
        <w:pStyle w:val="BodyText"/>
        <w:numPr>
          <w:ilvl w:val="0"/>
          <w:numId w:val="17"/>
        </w:numPr>
      </w:pPr>
      <w:r w:rsidRPr="002E6E41">
        <w:rPr>
          <w:bCs/>
        </w:rPr>
        <w:t xml:space="preserve">Better Job Retention: </w:t>
      </w:r>
      <w:r w:rsidRPr="002E6E41">
        <w:t>Support services, such as mentoring and financial literacy training, can help individuals retain their jobs once they are employed.</w:t>
      </w:r>
    </w:p>
    <w:p w14:paraId="3FEA644C" w14:textId="222D6321" w:rsidR="002E6E41" w:rsidRPr="002E6E41" w:rsidRDefault="002E6E41" w:rsidP="00F602E3">
      <w:pPr>
        <w:pStyle w:val="BodyText2"/>
      </w:pPr>
      <w:r w:rsidRPr="002E6E41">
        <w:t>Child Care Services</w:t>
      </w:r>
    </w:p>
    <w:p w14:paraId="620AA3A1" w14:textId="5D508D14" w:rsidR="002E6E41" w:rsidRPr="002E6E41" w:rsidRDefault="002E6E41" w:rsidP="002E6E41">
      <w:pPr>
        <w:pStyle w:val="BodyText"/>
      </w:pPr>
      <w:r w:rsidRPr="002E6E41">
        <w:rPr>
          <w:bCs/>
        </w:rPr>
        <w:t>Objective:</w:t>
      </w:r>
      <w:r w:rsidRPr="002E6E41">
        <w:t xml:space="preserve"> </w:t>
      </w:r>
      <w:r w:rsidRPr="002E6E41">
        <w:rPr>
          <w:i/>
        </w:rPr>
        <w:t xml:space="preserve">To support working families by providing access to affordable, quality </w:t>
      </w:r>
      <w:proofErr w:type="gramStart"/>
      <w:r w:rsidRPr="002E6E41">
        <w:rPr>
          <w:i/>
        </w:rPr>
        <w:t>child care</w:t>
      </w:r>
      <w:proofErr w:type="gramEnd"/>
      <w:r w:rsidRPr="002E6E41">
        <w:rPr>
          <w:i/>
        </w:rPr>
        <w:t>, enabling parents to participate in the workforce and contribut</w:t>
      </w:r>
      <w:r w:rsidR="001517DD">
        <w:rPr>
          <w:i/>
        </w:rPr>
        <w:t>e</w:t>
      </w:r>
      <w:r w:rsidRPr="002E6E41">
        <w:rPr>
          <w:i/>
        </w:rPr>
        <w:t xml:space="preserve"> to economic productivity.</w:t>
      </w:r>
    </w:p>
    <w:p w14:paraId="4D3448EE" w14:textId="66E703D9" w:rsidR="002E6E41" w:rsidRPr="002E6E41" w:rsidRDefault="002E6E41" w:rsidP="002E6E41">
      <w:pPr>
        <w:pStyle w:val="BodyText"/>
      </w:pPr>
      <w:r w:rsidRPr="002E6E41">
        <w:rPr>
          <w:bCs/>
        </w:rPr>
        <w:t>Why it's needed</w:t>
      </w:r>
    </w:p>
    <w:p w14:paraId="69DEAC73" w14:textId="070E0965" w:rsidR="002E6E41" w:rsidRPr="002E6E41" w:rsidRDefault="002E6E41" w:rsidP="00E768A5">
      <w:pPr>
        <w:pStyle w:val="BodyText"/>
        <w:numPr>
          <w:ilvl w:val="0"/>
          <w:numId w:val="11"/>
        </w:numPr>
      </w:pPr>
      <w:r w:rsidRPr="002E6E41">
        <w:rPr>
          <w:bCs/>
        </w:rPr>
        <w:t>Workforce Participation:</w:t>
      </w:r>
      <w:r w:rsidRPr="002E6E41">
        <w:t xml:space="preserve"> Affordable </w:t>
      </w:r>
      <w:proofErr w:type="gramStart"/>
      <w:r w:rsidRPr="002E6E41">
        <w:t>child care</w:t>
      </w:r>
      <w:proofErr w:type="gramEnd"/>
      <w:r w:rsidRPr="002E6E41">
        <w:t xml:space="preserve"> removes a significant barrier to workforce participation for parents, allowing them to work or pursue education and training.</w:t>
      </w:r>
    </w:p>
    <w:p w14:paraId="1E8A9763" w14:textId="408B0942" w:rsidR="002E6E41" w:rsidRPr="002E6E41" w:rsidRDefault="002E6E41" w:rsidP="00E768A5">
      <w:pPr>
        <w:pStyle w:val="BodyText"/>
        <w:numPr>
          <w:ilvl w:val="0"/>
          <w:numId w:val="12"/>
        </w:numPr>
      </w:pPr>
      <w:r w:rsidRPr="002E6E41">
        <w:rPr>
          <w:bCs/>
        </w:rPr>
        <w:t>Economic Growth:</w:t>
      </w:r>
      <w:r w:rsidRPr="002E6E41">
        <w:t xml:space="preserve"> Increased workforce participation leads to higher productivity and economic growth.</w:t>
      </w:r>
    </w:p>
    <w:p w14:paraId="45DE821D" w14:textId="30EF1134" w:rsidR="002E6E41" w:rsidRPr="002E6E41" w:rsidRDefault="002E6E41" w:rsidP="00E768A5">
      <w:pPr>
        <w:pStyle w:val="BodyText"/>
        <w:numPr>
          <w:ilvl w:val="0"/>
          <w:numId w:val="13"/>
        </w:numPr>
      </w:pPr>
      <w:r w:rsidRPr="002E6E41">
        <w:rPr>
          <w:bCs/>
        </w:rPr>
        <w:t>Child Development:</w:t>
      </w:r>
      <w:r w:rsidRPr="002E6E41">
        <w:t xml:space="preserve"> Quality </w:t>
      </w:r>
      <w:proofErr w:type="gramStart"/>
      <w:r w:rsidRPr="002E6E41">
        <w:t>child care</w:t>
      </w:r>
      <w:proofErr w:type="gramEnd"/>
      <w:r w:rsidRPr="002E6E41">
        <w:t xml:space="preserve"> supports the healthy development of children, preparing them for success in school and in life.</w:t>
      </w:r>
    </w:p>
    <w:p w14:paraId="04326183" w14:textId="5E73C4C4" w:rsidR="002E6E41" w:rsidRPr="002E6E41" w:rsidRDefault="002E6E41" w:rsidP="00E768A5">
      <w:pPr>
        <w:pStyle w:val="BodyText"/>
        <w:numPr>
          <w:ilvl w:val="0"/>
          <w:numId w:val="14"/>
        </w:numPr>
      </w:pPr>
      <w:r w:rsidRPr="002E6E41">
        <w:rPr>
          <w:bCs/>
        </w:rPr>
        <w:t>Economic Mobility:</w:t>
      </w:r>
      <w:r w:rsidRPr="002E6E41">
        <w:t xml:space="preserve"> </w:t>
      </w:r>
      <w:proofErr w:type="gramStart"/>
      <w:r w:rsidRPr="002E6E41">
        <w:t>Child care</w:t>
      </w:r>
      <w:proofErr w:type="gramEnd"/>
      <w:r w:rsidRPr="002E6E41">
        <w:t xml:space="preserve"> subsidies help low-income families afford quality care, reducing poverty and improving their economic stability.</w:t>
      </w:r>
    </w:p>
    <w:p w14:paraId="4DA3BF6E" w14:textId="145C71C5" w:rsidR="002E6E41" w:rsidRPr="002E6E41" w:rsidRDefault="002E6E41" w:rsidP="00F602E3">
      <w:pPr>
        <w:pStyle w:val="BodyText2"/>
      </w:pPr>
      <w:r w:rsidRPr="002E6E41">
        <w:t>Unemployment Insurance Administration</w:t>
      </w:r>
    </w:p>
    <w:p w14:paraId="1DF3C41E" w14:textId="398550D5" w:rsidR="002E6E41" w:rsidRPr="002E6E41" w:rsidRDefault="002E6E41" w:rsidP="002E6E41">
      <w:pPr>
        <w:pStyle w:val="BodyText"/>
      </w:pPr>
      <w:r w:rsidRPr="002E6E41">
        <w:rPr>
          <w:bCs/>
        </w:rPr>
        <w:t>Objective:</w:t>
      </w:r>
      <w:r w:rsidRPr="002E6E41">
        <w:t xml:space="preserve"> </w:t>
      </w:r>
      <w:r w:rsidRPr="002E6E41">
        <w:rPr>
          <w:i/>
        </w:rPr>
        <w:t>To provide temporary financial assistance to eligible individuals who have lost their jobs through no fault of their own, providing a safety net and stabilizing the economy.</w:t>
      </w:r>
    </w:p>
    <w:p w14:paraId="2BB76E9E" w14:textId="073FDEE0" w:rsidR="002E6E41" w:rsidRPr="002E6E41" w:rsidRDefault="002E6E41" w:rsidP="002E6E41">
      <w:pPr>
        <w:pStyle w:val="BodyText"/>
      </w:pPr>
      <w:r w:rsidRPr="002E6E41">
        <w:rPr>
          <w:bCs/>
        </w:rPr>
        <w:t>Why it's needed</w:t>
      </w:r>
    </w:p>
    <w:p w14:paraId="371B7452" w14:textId="21C20F77" w:rsidR="002E6E41" w:rsidRPr="002E6E41" w:rsidRDefault="002E6E41" w:rsidP="00E768A5">
      <w:pPr>
        <w:pStyle w:val="BodyText"/>
        <w:numPr>
          <w:ilvl w:val="0"/>
          <w:numId w:val="18"/>
        </w:numPr>
      </w:pPr>
      <w:r w:rsidRPr="002E6E41">
        <w:rPr>
          <w:bCs/>
        </w:rPr>
        <w:lastRenderedPageBreak/>
        <w:t>Economic Safety Net:</w:t>
      </w:r>
      <w:r w:rsidRPr="002E6E41">
        <w:t xml:space="preserve"> </w:t>
      </w:r>
      <w:r w:rsidR="00483722">
        <w:t>Un</w:t>
      </w:r>
      <w:r w:rsidR="003B2658">
        <w:t>employment insurance (</w:t>
      </w:r>
      <w:r w:rsidRPr="002E6E41">
        <w:t>UI</w:t>
      </w:r>
      <w:r w:rsidR="003B2658">
        <w:t>)</w:t>
      </w:r>
      <w:r w:rsidRPr="002E6E41">
        <w:t xml:space="preserve"> provides a crucial safety net for workers who lose their jobs, helping them meet their basic needs while they search for new employment.</w:t>
      </w:r>
    </w:p>
    <w:p w14:paraId="334A4E39" w14:textId="2E7E4F04" w:rsidR="002E6E41" w:rsidRPr="002E6E41" w:rsidRDefault="002E6E41" w:rsidP="00E768A5">
      <w:pPr>
        <w:pStyle w:val="BodyText"/>
        <w:numPr>
          <w:ilvl w:val="0"/>
          <w:numId w:val="19"/>
        </w:numPr>
      </w:pPr>
      <w:r w:rsidRPr="002E6E41">
        <w:rPr>
          <w:bCs/>
        </w:rPr>
        <w:t>Economic Stabilization:</w:t>
      </w:r>
      <w:r w:rsidRPr="002E6E41">
        <w:t xml:space="preserve"> UI benefits help maintain consumer spending during economic downturns, preventing a deeper recession by supporting demand for goods and services.</w:t>
      </w:r>
    </w:p>
    <w:p w14:paraId="44A7B1C8" w14:textId="3EAA0FD0" w:rsidR="002E6E41" w:rsidRPr="002E6E41" w:rsidRDefault="002E6E41" w:rsidP="00E768A5">
      <w:pPr>
        <w:pStyle w:val="BodyText"/>
        <w:numPr>
          <w:ilvl w:val="0"/>
          <w:numId w:val="20"/>
        </w:numPr>
      </w:pPr>
      <w:r w:rsidRPr="002E6E41">
        <w:rPr>
          <w:bCs/>
        </w:rPr>
        <w:t>Reduces Social Hardship:</w:t>
      </w:r>
      <w:r w:rsidRPr="002E6E41">
        <w:t xml:space="preserve"> UI helps to alleviate poverty and hardship associated with job loss, reducing stress and allowing individuals to focus on finding new employment.</w:t>
      </w:r>
    </w:p>
    <w:p w14:paraId="705C0DA9" w14:textId="1D2D83B8" w:rsidR="002E6E41" w:rsidRPr="002E6E41" w:rsidRDefault="002E6E41" w:rsidP="00E768A5">
      <w:pPr>
        <w:pStyle w:val="BodyText"/>
        <w:numPr>
          <w:ilvl w:val="0"/>
          <w:numId w:val="21"/>
        </w:numPr>
      </w:pPr>
      <w:r w:rsidRPr="002E6E41">
        <w:rPr>
          <w:bCs/>
        </w:rPr>
        <w:t>Facilitates Job Search:</w:t>
      </w:r>
      <w:r w:rsidRPr="002E6E41">
        <w:t xml:space="preserve"> UI provides financial support that allows unemployed individuals to dedicate time and resources to finding a suitable new job.</w:t>
      </w:r>
    </w:p>
    <w:p w14:paraId="1684FB97" w14:textId="7622E58F" w:rsidR="002E6E41" w:rsidRPr="002E6E41" w:rsidRDefault="002E6E41" w:rsidP="00F602E3">
      <w:pPr>
        <w:pStyle w:val="BodyText2"/>
      </w:pPr>
      <w:r w:rsidRPr="002E6E41">
        <w:t>Labor Law Enforcement</w:t>
      </w:r>
    </w:p>
    <w:p w14:paraId="06B4989D" w14:textId="373DDE83" w:rsidR="002E6E41" w:rsidRPr="002E6E41" w:rsidRDefault="002E6E41" w:rsidP="3EECF062">
      <w:pPr>
        <w:pStyle w:val="BodyText"/>
        <w:rPr>
          <w:i/>
        </w:rPr>
      </w:pPr>
      <w:r w:rsidRPr="002E6E41">
        <w:rPr>
          <w:bCs/>
        </w:rPr>
        <w:t>Objective:</w:t>
      </w:r>
      <w:r>
        <w:t xml:space="preserve"> </w:t>
      </w:r>
      <w:r w:rsidRPr="002E6E41">
        <w:rPr>
          <w:i/>
        </w:rPr>
        <w:t>To protect the rights of workers and ensure a fair workplace, promoting ethical business practices and employee well-being.</w:t>
      </w:r>
    </w:p>
    <w:p w14:paraId="594F80D2" w14:textId="3855EE86" w:rsidR="002E6E41" w:rsidRPr="002E6E41" w:rsidRDefault="002E6E41" w:rsidP="002E6E41">
      <w:pPr>
        <w:pStyle w:val="BodyText"/>
      </w:pPr>
      <w:r w:rsidRPr="002E6E41">
        <w:rPr>
          <w:bCs/>
        </w:rPr>
        <w:t>Why it's needed</w:t>
      </w:r>
    </w:p>
    <w:p w14:paraId="5A0DE48F" w14:textId="0F241482" w:rsidR="002E6E41" w:rsidRPr="002E6E41" w:rsidRDefault="002E6E41" w:rsidP="00E768A5">
      <w:pPr>
        <w:pStyle w:val="BodyText"/>
        <w:numPr>
          <w:ilvl w:val="0"/>
          <w:numId w:val="22"/>
        </w:numPr>
      </w:pPr>
      <w:r w:rsidRPr="002E6E41">
        <w:rPr>
          <w:bCs/>
        </w:rPr>
        <w:t>Worker Protection:</w:t>
      </w:r>
      <w:r w:rsidRPr="002E6E41">
        <w:t xml:space="preserve"> Labor laws protect workers from exploitation, discrimination, and unsafe working conditions.</w:t>
      </w:r>
    </w:p>
    <w:p w14:paraId="62062DD8" w14:textId="76338761" w:rsidR="002E6E41" w:rsidRPr="002E6E41" w:rsidRDefault="002E6E41" w:rsidP="00E768A5">
      <w:pPr>
        <w:pStyle w:val="BodyText"/>
        <w:numPr>
          <w:ilvl w:val="0"/>
          <w:numId w:val="23"/>
        </w:numPr>
      </w:pPr>
      <w:r w:rsidRPr="002E6E41">
        <w:rPr>
          <w:bCs/>
        </w:rPr>
        <w:t>Fair Competition:</w:t>
      </w:r>
      <w:r w:rsidRPr="002E6E41">
        <w:t xml:space="preserve"> Enforcing labor laws ensures that businesses compete fairly, preventing those who violate labor laws from gaining an unfair advantage.</w:t>
      </w:r>
    </w:p>
    <w:p w14:paraId="2219A6E4" w14:textId="76413026" w:rsidR="002E6E41" w:rsidRPr="002E6E41" w:rsidRDefault="002E6E41" w:rsidP="00E768A5">
      <w:pPr>
        <w:pStyle w:val="BodyText"/>
        <w:numPr>
          <w:ilvl w:val="0"/>
          <w:numId w:val="24"/>
        </w:numPr>
      </w:pPr>
      <w:r w:rsidRPr="002E6E41">
        <w:rPr>
          <w:bCs/>
        </w:rPr>
        <w:t>Compliance and Education:</w:t>
      </w:r>
      <w:r w:rsidRPr="002E6E41">
        <w:t xml:space="preserve"> Ensuring businesses comply with laws and employees </w:t>
      </w:r>
      <w:r w:rsidR="00A732EC">
        <w:t>are aware</w:t>
      </w:r>
      <w:r w:rsidRPr="002E6E41">
        <w:t xml:space="preserve"> of the resources available to them.</w:t>
      </w:r>
    </w:p>
    <w:p w14:paraId="4D243020" w14:textId="1C1EAA2D" w:rsidR="002E6E41" w:rsidRPr="002E6E41" w:rsidRDefault="002E6E41" w:rsidP="00E768A5">
      <w:pPr>
        <w:pStyle w:val="BodyText"/>
        <w:numPr>
          <w:ilvl w:val="0"/>
          <w:numId w:val="25"/>
        </w:numPr>
      </w:pPr>
      <w:r w:rsidRPr="002E6E41">
        <w:rPr>
          <w:bCs/>
        </w:rPr>
        <w:t>Prevents Abuse:</w:t>
      </w:r>
      <w:r w:rsidRPr="002E6E41">
        <w:t xml:space="preserve"> Enforcement deters employers from violating labor laws and ensures that workers who are harmed have a recourse for seeking redress.</w:t>
      </w:r>
    </w:p>
    <w:p w14:paraId="0057176B" w14:textId="5F7350D2" w:rsidR="002E6E41" w:rsidRPr="002E6E41" w:rsidRDefault="002E6E41" w:rsidP="00FA5B28">
      <w:pPr>
        <w:pStyle w:val="BodyText2"/>
      </w:pPr>
      <w:r w:rsidRPr="002E6E41">
        <w:t>Labor Market Information and Analysis</w:t>
      </w:r>
    </w:p>
    <w:p w14:paraId="282A048B" w14:textId="65F06546" w:rsidR="002E6E41" w:rsidRPr="002E6E41" w:rsidRDefault="002E6E41" w:rsidP="002E6E41">
      <w:pPr>
        <w:pStyle w:val="BodyText"/>
      </w:pPr>
      <w:r w:rsidRPr="002E6E41">
        <w:rPr>
          <w:bCs/>
        </w:rPr>
        <w:t>Objective:</w:t>
      </w:r>
      <w:r w:rsidRPr="002E6E41">
        <w:t xml:space="preserve"> </w:t>
      </w:r>
      <w:r w:rsidRPr="002E6E41">
        <w:rPr>
          <w:i/>
        </w:rPr>
        <w:t>To provide accurate and timely labor market information to inform policy decisions, guide workforce development efforts, and help job seekers and employers make informed choices.</w:t>
      </w:r>
    </w:p>
    <w:p w14:paraId="6EFD0377" w14:textId="53AC5888" w:rsidR="002E6E41" w:rsidRPr="002E6E41" w:rsidRDefault="002E6E41" w:rsidP="002E6E41">
      <w:pPr>
        <w:pStyle w:val="BodyText"/>
      </w:pPr>
      <w:r w:rsidRPr="002E6E41">
        <w:rPr>
          <w:bCs/>
        </w:rPr>
        <w:t>Why it's needed</w:t>
      </w:r>
    </w:p>
    <w:p w14:paraId="7B7AD294" w14:textId="4B305531" w:rsidR="002E6E41" w:rsidRPr="002E6E41" w:rsidRDefault="002E6E41" w:rsidP="00E768A5">
      <w:pPr>
        <w:pStyle w:val="BodyText"/>
        <w:numPr>
          <w:ilvl w:val="0"/>
          <w:numId w:val="26"/>
        </w:numPr>
      </w:pPr>
      <w:r w:rsidRPr="002E6E41">
        <w:rPr>
          <w:bCs/>
        </w:rPr>
        <w:t>Informed Policymaking:</w:t>
      </w:r>
      <w:r w:rsidRPr="002E6E41">
        <w:t xml:space="preserve"> Labor market data is essential for policymakers to understand trends, identify challenges, and develop effective policies.</w:t>
      </w:r>
    </w:p>
    <w:p w14:paraId="31ED7CC4" w14:textId="184116C3" w:rsidR="002E6E41" w:rsidRPr="002E6E41" w:rsidRDefault="002E6E41" w:rsidP="00E768A5">
      <w:pPr>
        <w:pStyle w:val="BodyText"/>
        <w:numPr>
          <w:ilvl w:val="0"/>
          <w:numId w:val="27"/>
        </w:numPr>
      </w:pPr>
      <w:r w:rsidRPr="002E6E41">
        <w:rPr>
          <w:bCs/>
        </w:rPr>
        <w:lastRenderedPageBreak/>
        <w:t>Effective Resource Allocation:</w:t>
      </w:r>
      <w:r w:rsidRPr="002E6E41">
        <w:t xml:space="preserve"> Data helps to allocate resources efficiently to areas where they are most needed, such as training programs in high-demand occupations.</w:t>
      </w:r>
    </w:p>
    <w:p w14:paraId="7ED82E8F" w14:textId="14130824" w:rsidR="002E6E41" w:rsidRPr="002E6E41" w:rsidRDefault="002E6E41" w:rsidP="00E768A5">
      <w:pPr>
        <w:pStyle w:val="BodyText"/>
        <w:numPr>
          <w:ilvl w:val="0"/>
          <w:numId w:val="28"/>
        </w:numPr>
      </w:pPr>
      <w:r w:rsidRPr="002E6E41">
        <w:rPr>
          <w:bCs/>
        </w:rPr>
        <w:t>Informed Decision-Making:</w:t>
      </w:r>
      <w:r w:rsidRPr="002E6E41">
        <w:t xml:space="preserve"> Job seekers and employers can use labor market information to make informed decisions about career paths, training investments, and hiring strategies.</w:t>
      </w:r>
    </w:p>
    <w:p w14:paraId="467F2F77" w14:textId="392C03A0" w:rsidR="002E6E41" w:rsidRPr="002E6E41" w:rsidRDefault="002E6E41" w:rsidP="00E768A5">
      <w:pPr>
        <w:pStyle w:val="BodyText"/>
        <w:numPr>
          <w:ilvl w:val="0"/>
          <w:numId w:val="29"/>
        </w:numPr>
      </w:pPr>
      <w:r w:rsidRPr="002E6E41">
        <w:rPr>
          <w:bCs/>
        </w:rPr>
        <w:t>Performance Measurement:</w:t>
      </w:r>
      <w:r w:rsidRPr="002E6E41">
        <w:t xml:space="preserve"> Data is used to track the performance of workforce development programs and identify areas for improvement.</w:t>
      </w:r>
    </w:p>
    <w:p w14:paraId="184CCA77" w14:textId="56652F4E" w:rsidR="002E6E41" w:rsidRPr="002E6E41" w:rsidRDefault="002E6E41" w:rsidP="002E6E41">
      <w:pPr>
        <w:pStyle w:val="BodyText"/>
      </w:pPr>
      <w:r w:rsidRPr="002E6E41">
        <w:t>Each of TWC’s key functions serve a distinct yet interconnected objective, all ultimately contributing to the goal of a strong Texas economy and a thriving workforce. These functions remain essential because they address ongoing challenges and opportunities in the labor market</w:t>
      </w:r>
      <w:r w:rsidR="002215C2">
        <w:t xml:space="preserve"> and allow TWC to</w:t>
      </w:r>
      <w:r w:rsidRPr="002E6E41">
        <w:t xml:space="preserve"> adapt to evolving economic conditions and support the well-being of both workers and businesses.</w:t>
      </w:r>
    </w:p>
    <w:p w14:paraId="58E9C0CE" w14:textId="73B1605A" w:rsidR="00A25271" w:rsidRPr="00607F19" w:rsidRDefault="00436EBB" w:rsidP="00F33AEA">
      <w:pPr>
        <w:pStyle w:val="BodyText3"/>
        <w:ind w:left="720" w:hanging="720"/>
        <w:rPr>
          <w:rStyle w:val="Strong"/>
          <w:bCs w:val="0"/>
        </w:rPr>
      </w:pPr>
      <w:r>
        <w:rPr>
          <w:rStyle w:val="Strong"/>
          <w:bCs w:val="0"/>
        </w:rPr>
        <w:t>C.</w:t>
      </w:r>
      <w:r>
        <w:rPr>
          <w:rStyle w:val="Strong"/>
          <w:bCs w:val="0"/>
        </w:rPr>
        <w:tab/>
      </w:r>
      <w:r w:rsidR="00E21C74" w:rsidRPr="00607F19">
        <w:rPr>
          <w:rStyle w:val="Strong"/>
          <w:bCs w:val="0"/>
        </w:rPr>
        <w:t>Does your agency</w:t>
      </w:r>
      <w:r w:rsidR="00F044D6" w:rsidRPr="00607F19">
        <w:rPr>
          <w:rStyle w:val="Strong"/>
          <w:bCs w:val="0"/>
        </w:rPr>
        <w:t>’</w:t>
      </w:r>
      <w:r w:rsidR="00E21C74" w:rsidRPr="00607F19">
        <w:rPr>
          <w:rStyle w:val="Strong"/>
          <w:bCs w:val="0"/>
        </w:rPr>
        <w:t xml:space="preserve">s enabling law </w:t>
      </w:r>
      <w:proofErr w:type="gramStart"/>
      <w:r w:rsidR="00E21C74" w:rsidRPr="00607F19">
        <w:rPr>
          <w:rStyle w:val="Strong"/>
          <w:bCs w:val="0"/>
        </w:rPr>
        <w:t>continue</w:t>
      </w:r>
      <w:proofErr w:type="gramEnd"/>
      <w:r w:rsidR="00E21C74" w:rsidRPr="00607F19">
        <w:rPr>
          <w:rStyle w:val="Strong"/>
          <w:bCs w:val="0"/>
        </w:rPr>
        <w:t xml:space="preserve"> to correctly reflect your mission, objectives, and approach</w:t>
      </w:r>
      <w:r w:rsidR="00E853D0" w:rsidRPr="00607F19">
        <w:rPr>
          <w:rStyle w:val="Strong"/>
          <w:bCs w:val="0"/>
        </w:rPr>
        <w:t xml:space="preserve"> to performing your functions?</w:t>
      </w:r>
      <w:r w:rsidR="008A4A34" w:rsidRPr="00607F19">
        <w:rPr>
          <w:rStyle w:val="Strong"/>
          <w:bCs w:val="0"/>
        </w:rPr>
        <w:t xml:space="preserve"> </w:t>
      </w:r>
      <w:r w:rsidR="008C1883" w:rsidRPr="00607F19">
        <w:rPr>
          <w:rStyle w:val="Strong"/>
          <w:bCs w:val="0"/>
        </w:rPr>
        <w:t>Does statute present an</w:t>
      </w:r>
      <w:r w:rsidR="00DF083E" w:rsidRPr="00607F19">
        <w:rPr>
          <w:rStyle w:val="Strong"/>
          <w:bCs w:val="0"/>
        </w:rPr>
        <w:t xml:space="preserve">y barriers </w:t>
      </w:r>
      <w:r w:rsidR="008C1883" w:rsidRPr="00607F19">
        <w:rPr>
          <w:rStyle w:val="Strong"/>
          <w:bCs w:val="0"/>
        </w:rPr>
        <w:t>or gaps in authority for your agency</w:t>
      </w:r>
      <w:r w:rsidR="004325A6" w:rsidRPr="00607F19">
        <w:rPr>
          <w:rStyle w:val="Strong"/>
          <w:bCs w:val="0"/>
        </w:rPr>
        <w:t xml:space="preserve"> to</w:t>
      </w:r>
      <w:r w:rsidR="00DF083E" w:rsidRPr="00607F19">
        <w:rPr>
          <w:rStyle w:val="Strong"/>
          <w:bCs w:val="0"/>
        </w:rPr>
        <w:t xml:space="preserve"> carry out </w:t>
      </w:r>
      <w:r w:rsidR="008C1883" w:rsidRPr="00607F19">
        <w:rPr>
          <w:rStyle w:val="Strong"/>
          <w:bCs w:val="0"/>
        </w:rPr>
        <w:t>its</w:t>
      </w:r>
      <w:r w:rsidR="00DF083E" w:rsidRPr="00607F19">
        <w:rPr>
          <w:rStyle w:val="Strong"/>
          <w:bCs w:val="0"/>
        </w:rPr>
        <w:t xml:space="preserve"> mission? </w:t>
      </w:r>
      <w:r w:rsidR="00A342F9" w:rsidRPr="00607F19">
        <w:rPr>
          <w:rStyle w:val="Strong"/>
          <w:bCs w:val="0"/>
        </w:rPr>
        <w:t>If so, please describe.</w:t>
      </w:r>
    </w:p>
    <w:p w14:paraId="16F7D7FF" w14:textId="5D111C19" w:rsidR="00D86681" w:rsidRDefault="00D86681" w:rsidP="004D53DB">
      <w:pPr>
        <w:pStyle w:val="BodyText"/>
        <w:rPr>
          <w:rFonts w:ascii="Segoe UI" w:hAnsi="Segoe UI"/>
          <w:sz w:val="18"/>
          <w:szCs w:val="18"/>
        </w:rPr>
      </w:pPr>
      <w:r w:rsidRPr="638D6F3A">
        <w:rPr>
          <w:rFonts w:cs="Segoe UI"/>
          <w:color w:val="000000" w:themeColor="text1"/>
        </w:rPr>
        <w:t>T</w:t>
      </w:r>
      <w:r w:rsidR="69C54871" w:rsidRPr="638D6F3A">
        <w:rPr>
          <w:rFonts w:cs="Segoe UI"/>
          <w:color w:val="000000" w:themeColor="text1"/>
        </w:rPr>
        <w:t>WC</w:t>
      </w:r>
      <w:r w:rsidRPr="638D6F3A">
        <w:rPr>
          <w:rFonts w:cs="Segoe UI"/>
          <w:color w:val="000000" w:themeColor="text1"/>
        </w:rPr>
        <w:t>’s enabling legislation continues to correctly reflect the mission, objectives, and approach to performing its functions. TWC’s primary enabling statutes, set forth under Title 10 of the Texas Government Code, Titles 2 and 4 of the Texas Labor Code, Title 2 of the Texas Human Resources Code, Title 15 of the Texas Property Code, and Title 3 of the Texas Education code can be accessed via the link below.</w:t>
      </w:r>
    </w:p>
    <w:p w14:paraId="3D261BE4" w14:textId="77777777" w:rsidR="00D86681" w:rsidRPr="00960048" w:rsidRDefault="00D86681" w:rsidP="004D53DB">
      <w:pPr>
        <w:pStyle w:val="BodyText"/>
        <w:rPr>
          <w:rStyle w:val="Hyperlink"/>
          <w:rFonts w:eastAsiaTheme="majorEastAsia"/>
        </w:rPr>
      </w:pPr>
      <w:hyperlink r:id="rId18">
        <w:r w:rsidRPr="659FE24F">
          <w:rPr>
            <w:rStyle w:val="Hyperlink"/>
          </w:rPr>
          <w:t>Primary Enabling State Statutes - Texas Workforce Commission</w:t>
        </w:r>
      </w:hyperlink>
      <w:r w:rsidRPr="659FE24F">
        <w:rPr>
          <w:rStyle w:val="Hyperlink"/>
          <w:rFonts w:eastAsiaTheme="majorEastAsia"/>
        </w:rPr>
        <w:t> </w:t>
      </w:r>
    </w:p>
    <w:p w14:paraId="7A08D3E4" w14:textId="0B043333" w:rsidR="000A1064" w:rsidRDefault="12505FAF" w:rsidP="00FC0682">
      <w:pPr>
        <w:pStyle w:val="BodyText"/>
      </w:pPr>
      <w:r w:rsidRPr="0BE338CC">
        <w:t>As the Texas Workforce Development Ecosystem continues to evolve, it's crucial that our statutes remain relevant and effective in addressing the challenges and opportunities we face. While state statute does not present barriers or gaps in the ability of TWC to achieve its overarching mission, there are opportunities within certain programmatic areas to modify statute to reflect these changes</w:t>
      </w:r>
      <w:r w:rsidR="00606123">
        <w:t xml:space="preserve">, which are </w:t>
      </w:r>
      <w:r w:rsidRPr="0BE338CC">
        <w:t>highlighted in the Guide to Agency Programs section of the Self Evaluation Report.</w:t>
      </w:r>
    </w:p>
    <w:p w14:paraId="3B2CD7A9" w14:textId="77777777" w:rsidR="000A1064" w:rsidRDefault="000A1064">
      <w:pPr>
        <w:rPr>
          <w:rFonts w:ascii="Arial" w:eastAsiaTheme="minorEastAsia" w:hAnsi="Arial"/>
          <w:szCs w:val="22"/>
        </w:rPr>
      </w:pPr>
      <w:r>
        <w:br w:type="page"/>
      </w:r>
    </w:p>
    <w:p w14:paraId="193BBB0C" w14:textId="54290E94" w:rsidR="00E21C74" w:rsidRPr="00F33AEA" w:rsidRDefault="00467D0F" w:rsidP="00F33AEA">
      <w:pPr>
        <w:ind w:left="720" w:hanging="720"/>
        <w:rPr>
          <w:rStyle w:val="Strong"/>
          <w:bCs w:val="0"/>
        </w:rPr>
      </w:pPr>
      <w:r w:rsidRPr="00F33AEA">
        <w:rPr>
          <w:rStyle w:val="Strong"/>
          <w:b/>
          <w:bCs w:val="0"/>
        </w:rPr>
        <w:lastRenderedPageBreak/>
        <w:t>D.</w:t>
      </w:r>
      <w:r w:rsidRPr="00F33AEA">
        <w:rPr>
          <w:rStyle w:val="Strong"/>
          <w:b/>
          <w:bCs w:val="0"/>
        </w:rPr>
        <w:tab/>
      </w:r>
      <w:r w:rsidR="00E21C74" w:rsidRPr="00F33AEA">
        <w:rPr>
          <w:rStyle w:val="Strong"/>
          <w:b/>
          <w:bCs w:val="0"/>
        </w:rPr>
        <w:t>Have you recommended changes to the Legislature to improve your agency</w:t>
      </w:r>
      <w:r w:rsidR="00F044D6" w:rsidRPr="00F33AEA">
        <w:rPr>
          <w:rStyle w:val="Strong"/>
          <w:b/>
          <w:bCs w:val="0"/>
        </w:rPr>
        <w:t>’</w:t>
      </w:r>
      <w:r w:rsidR="00E21C74" w:rsidRPr="00F33AEA">
        <w:rPr>
          <w:rStyle w:val="Strong"/>
          <w:b/>
          <w:bCs w:val="0"/>
        </w:rPr>
        <w:t>s operations</w:t>
      </w:r>
      <w:r w:rsidR="008C1883" w:rsidRPr="00F33AEA">
        <w:rPr>
          <w:rStyle w:val="Strong"/>
          <w:b/>
          <w:bCs w:val="0"/>
        </w:rPr>
        <w:t xml:space="preserve"> </w:t>
      </w:r>
      <w:r w:rsidR="008C1883" w:rsidRPr="00F33AEA">
        <w:rPr>
          <w:rStyle w:val="Strong"/>
          <w:rFonts w:cs="Arial"/>
          <w:b/>
          <w:bCs w:val="0"/>
        </w:rPr>
        <w:t>in</w:t>
      </w:r>
      <w:r w:rsidR="008C1883" w:rsidRPr="00F33AEA">
        <w:rPr>
          <w:rStyle w:val="Strong"/>
          <w:b/>
          <w:bCs w:val="0"/>
        </w:rPr>
        <w:t xml:space="preserve"> recent years</w:t>
      </w:r>
      <w:r w:rsidR="00E21C74" w:rsidRPr="00F33AEA">
        <w:rPr>
          <w:rStyle w:val="Strong"/>
          <w:b/>
          <w:bCs w:val="0"/>
        </w:rPr>
        <w:t>?</w:t>
      </w:r>
      <w:r w:rsidR="008A4A34" w:rsidRPr="00F33AEA">
        <w:rPr>
          <w:rStyle w:val="Strong"/>
          <w:b/>
          <w:bCs w:val="0"/>
        </w:rPr>
        <w:t xml:space="preserve"> </w:t>
      </w:r>
      <w:r w:rsidR="00E21C74" w:rsidRPr="00F33AEA">
        <w:rPr>
          <w:rStyle w:val="Strong"/>
          <w:b/>
          <w:bCs w:val="0"/>
        </w:rPr>
        <w:t xml:space="preserve">If so, </w:t>
      </w:r>
      <w:r w:rsidR="00AF1FD8" w:rsidRPr="00F33AEA">
        <w:rPr>
          <w:rStyle w:val="Strong"/>
          <w:b/>
          <w:bCs w:val="0"/>
        </w:rPr>
        <w:t xml:space="preserve">briefly </w:t>
      </w:r>
      <w:r w:rsidR="00E21C74" w:rsidRPr="00F33AEA">
        <w:rPr>
          <w:rStyle w:val="Strong"/>
          <w:b/>
          <w:bCs w:val="0"/>
        </w:rPr>
        <w:t>expla</w:t>
      </w:r>
      <w:r w:rsidR="00AF1FD8" w:rsidRPr="00F33AEA">
        <w:rPr>
          <w:rStyle w:val="Strong"/>
          <w:b/>
          <w:bCs w:val="0"/>
        </w:rPr>
        <w:t>in the recommended changes, whether they were adopted, and if adopted, when.</w:t>
      </w:r>
      <w:bookmarkEnd w:id="31"/>
      <w:bookmarkEnd w:id="32"/>
    </w:p>
    <w:p w14:paraId="266215FC" w14:textId="2D1B38C2" w:rsidR="00B57489" w:rsidRDefault="00B57489" w:rsidP="00254C73">
      <w:pPr>
        <w:pStyle w:val="BodyText"/>
        <w:rPr>
          <w:rFonts w:ascii="Segoe UI" w:hAnsi="Segoe UI"/>
          <w:sz w:val="18"/>
          <w:szCs w:val="18"/>
        </w:rPr>
      </w:pPr>
      <w:r w:rsidRPr="659FE24F">
        <w:rPr>
          <w:rFonts w:cs="Segoe UI"/>
          <w:color w:val="000000" w:themeColor="text1"/>
        </w:rPr>
        <w:t>T</w:t>
      </w:r>
      <w:r w:rsidR="00234459" w:rsidRPr="659FE24F">
        <w:rPr>
          <w:rFonts w:cs="Segoe UI"/>
          <w:color w:val="000000" w:themeColor="text1"/>
        </w:rPr>
        <w:t xml:space="preserve">WC </w:t>
      </w:r>
      <w:r w:rsidRPr="659FE24F">
        <w:rPr>
          <w:rFonts w:cs="Segoe UI"/>
          <w:color w:val="000000" w:themeColor="text1"/>
        </w:rPr>
        <w:t xml:space="preserve">has historically recommended changes to the Legislature to improve agency operations. Below is a summary of those recommendations for the </w:t>
      </w:r>
      <w:r w:rsidR="006A08A7" w:rsidRPr="659FE24F">
        <w:rPr>
          <w:rFonts w:cs="Segoe UI"/>
          <w:color w:val="000000" w:themeColor="text1"/>
        </w:rPr>
        <w:t>previous two</w:t>
      </w:r>
      <w:r w:rsidRPr="659FE24F">
        <w:rPr>
          <w:rFonts w:cs="Segoe UI"/>
          <w:color w:val="000000" w:themeColor="text1"/>
        </w:rPr>
        <w:t xml:space="preserve"> biennia.</w:t>
      </w:r>
    </w:p>
    <w:p w14:paraId="1BF22C08" w14:textId="085ECD1F" w:rsidR="00B57489" w:rsidRPr="00683135" w:rsidRDefault="00B57489" w:rsidP="00683135">
      <w:pPr>
        <w:pStyle w:val="BodyText2"/>
      </w:pPr>
      <w:r w:rsidRPr="00683135">
        <w:t>88th Legislative Session</w:t>
      </w:r>
    </w:p>
    <w:p w14:paraId="348FED53" w14:textId="6E3F85DC" w:rsidR="00B57489" w:rsidRPr="001B3A1C" w:rsidRDefault="00B57489" w:rsidP="001B3A1C">
      <w:pPr>
        <w:pStyle w:val="BodyText"/>
      </w:pPr>
      <w:r w:rsidRPr="001B3A1C">
        <w:t xml:space="preserve">In December 2022, TWC’s </w:t>
      </w:r>
      <w:r w:rsidR="006D5DC6" w:rsidRPr="001B3A1C">
        <w:t>three</w:t>
      </w:r>
      <w:r w:rsidRPr="001B3A1C">
        <w:t>-member Commission approved legislative initiatives for the 88th Texas Legislature.  Below is the outcome of each of the legislative initiatives adopted by the Commission.</w:t>
      </w:r>
    </w:p>
    <w:p w14:paraId="0A3609DC" w14:textId="43912920" w:rsidR="00B57489" w:rsidRDefault="00B57489" w:rsidP="008E5A28">
      <w:pPr>
        <w:pStyle w:val="BodyText"/>
        <w:rPr>
          <w:rFonts w:ascii="Segoe UI" w:hAnsi="Segoe UI" w:cs="Segoe UI"/>
          <w:sz w:val="18"/>
          <w:szCs w:val="18"/>
        </w:rPr>
      </w:pPr>
      <w:r>
        <w:rPr>
          <w:rFonts w:cs="Segoe UI"/>
          <w:bCs/>
        </w:rPr>
        <w:t>Child Labor</w:t>
      </w:r>
    </w:p>
    <w:p w14:paraId="5624F51E" w14:textId="4A9B7B28" w:rsidR="00E35566" w:rsidRDefault="00B57489" w:rsidP="00E768A5">
      <w:pPr>
        <w:pStyle w:val="BodyText"/>
        <w:numPr>
          <w:ilvl w:val="0"/>
          <w:numId w:val="36"/>
        </w:numPr>
      </w:pPr>
      <w:hyperlink r:id="rId19">
        <w:r w:rsidRPr="659FE24F">
          <w:rPr>
            <w:rStyle w:val="Hyperlink"/>
          </w:rPr>
          <w:t>HB 2459</w:t>
        </w:r>
      </w:hyperlink>
      <w:r w:rsidRPr="659FE24F">
        <w:rPr>
          <w:rFonts w:cs="Segoe UI"/>
        </w:rPr>
        <w:t xml:space="preserve"> by Rep.</w:t>
      </w:r>
      <w:r>
        <w:rPr>
          <w:rFonts w:cs="Segoe UI"/>
          <w:bCs/>
        </w:rPr>
        <w:t xml:space="preserve"> Vo</w:t>
      </w:r>
      <w:r>
        <w:rPr>
          <w:rFonts w:cs="Segoe UI"/>
        </w:rPr>
        <w:t xml:space="preserve"> - Relating to the administration of violations and administrative penalties of the employment of children.</w:t>
      </w:r>
    </w:p>
    <w:p w14:paraId="62DC6294" w14:textId="79EDCB85" w:rsidR="00B57489" w:rsidRDefault="00B57489" w:rsidP="00E768A5">
      <w:pPr>
        <w:pStyle w:val="BodyText"/>
        <w:numPr>
          <w:ilvl w:val="1"/>
          <w:numId w:val="36"/>
        </w:numPr>
      </w:pPr>
      <w:r w:rsidRPr="00E35566">
        <w:rPr>
          <w:rFonts w:cs="Segoe UI"/>
        </w:rPr>
        <w:t xml:space="preserve">The Governor signed the bill into law on June 12, 2023.  The bill </w:t>
      </w:r>
      <w:r w:rsidR="00506B2B">
        <w:rPr>
          <w:rFonts w:cs="Segoe UI"/>
        </w:rPr>
        <w:t>became</w:t>
      </w:r>
      <w:r w:rsidRPr="00E35566">
        <w:rPr>
          <w:rFonts w:cs="Segoe UI"/>
        </w:rPr>
        <w:t xml:space="preserve"> effective Sept</w:t>
      </w:r>
      <w:r w:rsidR="00893589">
        <w:rPr>
          <w:rFonts w:cs="Segoe UI"/>
        </w:rPr>
        <w:t>.</w:t>
      </w:r>
      <w:r w:rsidRPr="00E35566">
        <w:rPr>
          <w:rFonts w:cs="Segoe UI"/>
        </w:rPr>
        <w:t xml:space="preserve"> 1, 2023.</w:t>
      </w:r>
    </w:p>
    <w:p w14:paraId="1C8F5A5E" w14:textId="77777777" w:rsidR="00B57489" w:rsidRDefault="00B57489" w:rsidP="00117C8C">
      <w:pPr>
        <w:pStyle w:val="BodyText"/>
        <w:rPr>
          <w:rFonts w:ascii="Segoe UI" w:hAnsi="Segoe UI" w:cs="Segoe UI"/>
          <w:sz w:val="18"/>
          <w:szCs w:val="18"/>
        </w:rPr>
      </w:pPr>
      <w:r>
        <w:rPr>
          <w:rFonts w:cs="Segoe UI"/>
          <w:bCs/>
        </w:rPr>
        <w:t>Unemployment Insurance Fraud Deterrence</w:t>
      </w:r>
      <w:r>
        <w:rPr>
          <w:rFonts w:eastAsiaTheme="majorEastAsia" w:cs="Segoe UI"/>
        </w:rPr>
        <w:t> </w:t>
      </w:r>
    </w:p>
    <w:p w14:paraId="0F343AFD" w14:textId="77777777" w:rsidR="004354CD" w:rsidRPr="004354CD" w:rsidRDefault="00B57489" w:rsidP="00E768A5">
      <w:pPr>
        <w:pStyle w:val="BodyText"/>
        <w:numPr>
          <w:ilvl w:val="0"/>
          <w:numId w:val="37"/>
        </w:numPr>
      </w:pPr>
      <w:hyperlink r:id="rId20">
        <w:r w:rsidRPr="659FE24F">
          <w:rPr>
            <w:rStyle w:val="Hyperlink"/>
          </w:rPr>
          <w:t>HB 2458</w:t>
        </w:r>
      </w:hyperlink>
      <w:r w:rsidRPr="659FE24F">
        <w:rPr>
          <w:rFonts w:cs="Segoe UI"/>
        </w:rPr>
        <w:t xml:space="preserve"> by Rep.</w:t>
      </w:r>
      <w:r w:rsidRPr="004354CD">
        <w:rPr>
          <w:rFonts w:cs="Segoe UI"/>
          <w:bCs/>
        </w:rPr>
        <w:t xml:space="preserve"> Vo</w:t>
      </w:r>
      <w:r w:rsidRPr="004354CD">
        <w:rPr>
          <w:rFonts w:cs="Segoe UI"/>
        </w:rPr>
        <w:t xml:space="preserve"> - Relating to claimant eligibility and initial claims under the unemployment compensation system.</w:t>
      </w:r>
    </w:p>
    <w:p w14:paraId="5A97E28A" w14:textId="6DA7C813" w:rsidR="00B57489" w:rsidRDefault="00B57489" w:rsidP="00E768A5">
      <w:pPr>
        <w:pStyle w:val="BodyText"/>
        <w:numPr>
          <w:ilvl w:val="1"/>
          <w:numId w:val="37"/>
        </w:numPr>
      </w:pPr>
      <w:r w:rsidRPr="004354CD">
        <w:rPr>
          <w:rFonts w:cs="Segoe UI"/>
        </w:rPr>
        <w:t>The bill was referred to the House Calendars Committee but did not get set on a House Calendar.</w:t>
      </w:r>
    </w:p>
    <w:p w14:paraId="5E184680" w14:textId="77777777" w:rsidR="00575099" w:rsidRPr="00575099" w:rsidRDefault="00B57489" w:rsidP="00E768A5">
      <w:pPr>
        <w:pStyle w:val="BodyText"/>
        <w:numPr>
          <w:ilvl w:val="0"/>
          <w:numId w:val="37"/>
        </w:numPr>
      </w:pPr>
      <w:hyperlink r:id="rId21">
        <w:r w:rsidRPr="659FE24F">
          <w:rPr>
            <w:rStyle w:val="Hyperlink"/>
          </w:rPr>
          <w:t>SB 1689</w:t>
        </w:r>
      </w:hyperlink>
      <w:r w:rsidRPr="659FE24F">
        <w:rPr>
          <w:rFonts w:cs="Segoe UI"/>
        </w:rPr>
        <w:t xml:space="preserve"> by Sen.</w:t>
      </w:r>
      <w:r w:rsidRPr="00575099">
        <w:rPr>
          <w:rFonts w:cs="Segoe UI"/>
          <w:bCs/>
        </w:rPr>
        <w:t xml:space="preserve"> Birdwell</w:t>
      </w:r>
      <w:r w:rsidRPr="00575099">
        <w:rPr>
          <w:rFonts w:cs="Segoe UI"/>
        </w:rPr>
        <w:t xml:space="preserve"> - Relating to claimant eligibility and initial claims under the unemployment compensation system.</w:t>
      </w:r>
    </w:p>
    <w:p w14:paraId="326E91D6" w14:textId="41FF475C" w:rsidR="00B57489" w:rsidRDefault="00B57489" w:rsidP="00E768A5">
      <w:pPr>
        <w:pStyle w:val="BodyText"/>
        <w:numPr>
          <w:ilvl w:val="1"/>
          <w:numId w:val="37"/>
        </w:numPr>
      </w:pPr>
      <w:r w:rsidRPr="00575099">
        <w:rPr>
          <w:rFonts w:cs="Segoe UI"/>
        </w:rPr>
        <w:t>The bill was filed in the Senate and referred to committee but did not receive a committee hearing.</w:t>
      </w:r>
    </w:p>
    <w:p w14:paraId="0E2D9E10" w14:textId="3DC83548" w:rsidR="00B57489" w:rsidRDefault="00B57489" w:rsidP="00575099">
      <w:pPr>
        <w:pStyle w:val="BodyText"/>
        <w:rPr>
          <w:rFonts w:ascii="Segoe UI" w:hAnsi="Segoe UI" w:cs="Segoe UI"/>
          <w:sz w:val="18"/>
          <w:szCs w:val="18"/>
        </w:rPr>
      </w:pPr>
      <w:r>
        <w:rPr>
          <w:rFonts w:cs="Segoe UI"/>
          <w:bCs/>
        </w:rPr>
        <w:t>Unemployment Insurance System Integrity</w:t>
      </w:r>
    </w:p>
    <w:p w14:paraId="360F0573" w14:textId="77777777" w:rsidR="001D2399" w:rsidRPr="001D2399" w:rsidRDefault="00B57489" w:rsidP="00E768A5">
      <w:pPr>
        <w:pStyle w:val="BodyText"/>
        <w:numPr>
          <w:ilvl w:val="0"/>
          <w:numId w:val="38"/>
        </w:numPr>
      </w:pPr>
      <w:hyperlink r:id="rId22">
        <w:r w:rsidRPr="659FE24F">
          <w:rPr>
            <w:rStyle w:val="Hyperlink"/>
          </w:rPr>
          <w:t>HB 2907</w:t>
        </w:r>
      </w:hyperlink>
      <w:r w:rsidRPr="659FE24F">
        <w:rPr>
          <w:rFonts w:cs="Segoe UI"/>
          <w:color w:val="000000" w:themeColor="text1"/>
        </w:rPr>
        <w:t xml:space="preserve"> by Rep. Button - Relating to measures to prevent and address fraud in the administration of the Texas Unemployment Compensation </w:t>
      </w:r>
      <w:proofErr w:type="gramStart"/>
      <w:r w:rsidRPr="659FE24F">
        <w:rPr>
          <w:rFonts w:cs="Segoe UI"/>
          <w:color w:val="000000" w:themeColor="text1"/>
        </w:rPr>
        <w:t>Act;</w:t>
      </w:r>
      <w:proofErr w:type="gramEnd"/>
      <w:r w:rsidRPr="659FE24F">
        <w:rPr>
          <w:rFonts w:cs="Segoe UI"/>
          <w:color w:val="000000" w:themeColor="text1"/>
        </w:rPr>
        <w:t xml:space="preserve"> providing an administrative penalty.</w:t>
      </w:r>
    </w:p>
    <w:p w14:paraId="5FEBFE1A" w14:textId="16A2BF9A" w:rsidR="00B57489" w:rsidRDefault="00B57489" w:rsidP="00E768A5">
      <w:pPr>
        <w:pStyle w:val="BodyText"/>
        <w:numPr>
          <w:ilvl w:val="1"/>
          <w:numId w:val="38"/>
        </w:numPr>
      </w:pPr>
      <w:r w:rsidRPr="659FE24F">
        <w:rPr>
          <w:rFonts w:cs="Segoe UI"/>
          <w:color w:val="000000" w:themeColor="text1"/>
        </w:rPr>
        <w:t>The bill was passed by the House and referred to Senate committee but did not receive a Senate committee hearing.</w:t>
      </w:r>
    </w:p>
    <w:p w14:paraId="7E091D21" w14:textId="2EFD8FA0" w:rsidR="00B57489" w:rsidRDefault="00B57489" w:rsidP="004F2FD6">
      <w:pPr>
        <w:pStyle w:val="BodyText"/>
        <w:rPr>
          <w:rFonts w:ascii="Segoe UI" w:hAnsi="Segoe UI" w:cs="Segoe UI"/>
          <w:sz w:val="18"/>
          <w:szCs w:val="18"/>
        </w:rPr>
      </w:pPr>
      <w:r>
        <w:rPr>
          <w:rFonts w:cs="Segoe UI"/>
          <w:bCs/>
        </w:rPr>
        <w:t>Reemployment Services and Eligibility Assessment</w:t>
      </w:r>
    </w:p>
    <w:p w14:paraId="0EAB245F" w14:textId="77777777" w:rsidR="008F7424" w:rsidRPr="008F7424" w:rsidRDefault="00B57489" w:rsidP="00E768A5">
      <w:pPr>
        <w:pStyle w:val="BodyText"/>
        <w:numPr>
          <w:ilvl w:val="0"/>
          <w:numId w:val="39"/>
        </w:numPr>
      </w:pPr>
      <w:hyperlink r:id="rId23">
        <w:r w:rsidRPr="659FE24F">
          <w:rPr>
            <w:rStyle w:val="Hyperlink"/>
          </w:rPr>
          <w:t>HB 2586</w:t>
        </w:r>
      </w:hyperlink>
      <w:r w:rsidRPr="659FE24F">
        <w:rPr>
          <w:rFonts w:cs="Segoe UI"/>
        </w:rPr>
        <w:t xml:space="preserve"> by Rep.</w:t>
      </w:r>
      <w:r w:rsidRPr="008F7424">
        <w:rPr>
          <w:rFonts w:cs="Segoe UI"/>
          <w:bCs/>
        </w:rPr>
        <w:t xml:space="preserve"> Button</w:t>
      </w:r>
      <w:r w:rsidRPr="008F7424">
        <w:rPr>
          <w:rFonts w:cs="Segoe UI"/>
        </w:rPr>
        <w:t xml:space="preserve"> - Relating to participation in reemployment services as a condition of eligibility for unemployment benefits.</w:t>
      </w:r>
    </w:p>
    <w:p w14:paraId="6D9452DB" w14:textId="569F112C" w:rsidR="00B57489" w:rsidRDefault="00B57489" w:rsidP="00E768A5">
      <w:pPr>
        <w:pStyle w:val="BodyText"/>
        <w:numPr>
          <w:ilvl w:val="1"/>
          <w:numId w:val="39"/>
        </w:numPr>
      </w:pPr>
      <w:r w:rsidRPr="659FE24F">
        <w:rPr>
          <w:rFonts w:cs="Segoe UI"/>
          <w:color w:val="000000" w:themeColor="text1"/>
        </w:rPr>
        <w:t>The bill was passed by the House and referred to Senate committee but did not receive a Senate committee hearing.</w:t>
      </w:r>
    </w:p>
    <w:p w14:paraId="7CA01E84" w14:textId="44B0E645" w:rsidR="00B57489" w:rsidRPr="00683135" w:rsidRDefault="00B57489" w:rsidP="00683135">
      <w:pPr>
        <w:pStyle w:val="BodyText2"/>
      </w:pPr>
      <w:r w:rsidRPr="00683135">
        <w:t>89th Legislative Session</w:t>
      </w:r>
    </w:p>
    <w:p w14:paraId="25BFACF5" w14:textId="6B2E8B41" w:rsidR="00B57489" w:rsidRDefault="00B57489" w:rsidP="008F7424">
      <w:pPr>
        <w:pStyle w:val="BodyText"/>
        <w:rPr>
          <w:rFonts w:ascii="Segoe UI" w:hAnsi="Segoe UI" w:cs="Segoe UI"/>
          <w:sz w:val="18"/>
          <w:szCs w:val="18"/>
        </w:rPr>
      </w:pPr>
      <w:r>
        <w:rPr>
          <w:rFonts w:cs="Segoe UI"/>
        </w:rPr>
        <w:t xml:space="preserve">In December 2024, TWC’s </w:t>
      </w:r>
      <w:r w:rsidR="4B3F5B05" w:rsidRPr="3F8BBC43">
        <w:rPr>
          <w:rFonts w:cs="Segoe UI"/>
        </w:rPr>
        <w:t>three</w:t>
      </w:r>
      <w:r>
        <w:rPr>
          <w:rFonts w:cs="Segoe UI"/>
        </w:rPr>
        <w:t>-member Commission approved legislative initiatives for the 89</w:t>
      </w:r>
      <w:r w:rsidRPr="008F7424">
        <w:rPr>
          <w:rFonts w:cs="Segoe UI"/>
          <w:sz w:val="17"/>
          <w:szCs w:val="17"/>
        </w:rPr>
        <w:t>th</w:t>
      </w:r>
      <w:r>
        <w:rPr>
          <w:rFonts w:cs="Segoe UI"/>
        </w:rPr>
        <w:t xml:space="preserve"> Texas Legislature.  Below is the outcome of each of the legislative initiatives adopted by the Commission.</w:t>
      </w:r>
    </w:p>
    <w:p w14:paraId="505C13E6" w14:textId="2BF531D1" w:rsidR="00B57489" w:rsidRDefault="00B57489" w:rsidP="00220543">
      <w:pPr>
        <w:pStyle w:val="BodyText"/>
        <w:rPr>
          <w:rFonts w:ascii="Segoe UI" w:hAnsi="Segoe UI"/>
          <w:sz w:val="18"/>
          <w:szCs w:val="18"/>
        </w:rPr>
      </w:pPr>
      <w:r>
        <w:rPr>
          <w:rFonts w:cs="Segoe UI"/>
          <w:bCs/>
        </w:rPr>
        <w:t>Amendments to the Texas Industry-Recognized Apprenticeship Program</w:t>
      </w:r>
    </w:p>
    <w:p w14:paraId="40C5FFD5" w14:textId="77777777" w:rsidR="00BB2FFA" w:rsidRPr="00BB2FFA" w:rsidRDefault="00B57489" w:rsidP="00E768A5">
      <w:pPr>
        <w:pStyle w:val="BodyText"/>
        <w:numPr>
          <w:ilvl w:val="0"/>
          <w:numId w:val="40"/>
        </w:numPr>
      </w:pPr>
      <w:hyperlink r:id="rId24">
        <w:r w:rsidRPr="659FE24F">
          <w:rPr>
            <w:rStyle w:val="Hyperlink"/>
          </w:rPr>
          <w:t>HB 3260</w:t>
        </w:r>
      </w:hyperlink>
      <w:r w:rsidRPr="659FE24F">
        <w:rPr>
          <w:rFonts w:cs="Segoe UI"/>
        </w:rPr>
        <w:t xml:space="preserve"> by Rep. Keith Bell- Relating to the Texas Industry-Recognized Apprenticeship Programs Grant Program. This is TWC’s legislative proposal related to Amendments to the Texas Industry-Recognized Apprenticeship Program.</w:t>
      </w:r>
    </w:p>
    <w:p w14:paraId="43226FA7" w14:textId="75A33FD3" w:rsidR="00B57489" w:rsidRDefault="00B57489" w:rsidP="00E768A5">
      <w:pPr>
        <w:pStyle w:val="BodyText"/>
        <w:numPr>
          <w:ilvl w:val="1"/>
          <w:numId w:val="40"/>
        </w:numPr>
      </w:pPr>
      <w:r w:rsidRPr="00195FD5">
        <w:rPr>
          <w:rFonts w:cs="Segoe UI"/>
        </w:rPr>
        <w:t>The Governor signed the bill into law on June 20, 2025.</w:t>
      </w:r>
      <w:r w:rsidRPr="00195FD5">
        <w:rPr>
          <w:rFonts w:cs="Segoe UI"/>
          <w:bCs/>
        </w:rPr>
        <w:t xml:space="preserve"> </w:t>
      </w:r>
      <w:r w:rsidRPr="00195FD5">
        <w:rPr>
          <w:rFonts w:cs="Segoe UI"/>
        </w:rPr>
        <w:t>The bill becomes effective on Sept</w:t>
      </w:r>
      <w:r w:rsidR="005A0AC0">
        <w:rPr>
          <w:rFonts w:cs="Segoe UI"/>
        </w:rPr>
        <w:t>.</w:t>
      </w:r>
      <w:r w:rsidRPr="00195FD5">
        <w:rPr>
          <w:rFonts w:cs="Segoe UI"/>
        </w:rPr>
        <w:t xml:space="preserve"> 1, 2025.</w:t>
      </w:r>
    </w:p>
    <w:p w14:paraId="0AEDCA97" w14:textId="7583FB37" w:rsidR="00B57489" w:rsidRDefault="00B57489" w:rsidP="005A0AC0">
      <w:pPr>
        <w:pStyle w:val="BodyText"/>
        <w:rPr>
          <w:rFonts w:ascii="Segoe UI" w:hAnsi="Segoe UI" w:cs="Segoe UI"/>
          <w:sz w:val="18"/>
          <w:szCs w:val="18"/>
        </w:rPr>
      </w:pPr>
      <w:r>
        <w:rPr>
          <w:rFonts w:cs="Segoe UI"/>
          <w:bCs/>
        </w:rPr>
        <w:t>Confidentiality of Fraud Detection and Prevention Information</w:t>
      </w:r>
    </w:p>
    <w:p w14:paraId="5F81C012" w14:textId="430908E7" w:rsidR="00FF6DA6" w:rsidRPr="00FF6DA6" w:rsidRDefault="00B57489" w:rsidP="00E768A5">
      <w:pPr>
        <w:pStyle w:val="BodyText"/>
        <w:numPr>
          <w:ilvl w:val="0"/>
          <w:numId w:val="41"/>
        </w:numPr>
      </w:pPr>
      <w:hyperlink r:id="rId25">
        <w:r w:rsidRPr="659FE24F">
          <w:rPr>
            <w:rStyle w:val="Hyperlink"/>
          </w:rPr>
          <w:t>SB 765</w:t>
        </w:r>
      </w:hyperlink>
      <w:r w:rsidRPr="659FE24F">
        <w:rPr>
          <w:rFonts w:cs="Segoe UI"/>
        </w:rPr>
        <w:t xml:space="preserve"> by Sen. Kolkhorst – Relating to the confidentiality of fraud detection and deterrence information under the public information law.</w:t>
      </w:r>
      <w:r w:rsidRPr="659FE24F">
        <w:rPr>
          <w:rFonts w:cs="Arial"/>
        </w:rPr>
        <w:t> </w:t>
      </w:r>
      <w:r w:rsidRPr="659FE24F">
        <w:rPr>
          <w:rFonts w:cs="Segoe UI"/>
        </w:rPr>
        <w:t xml:space="preserve"> This is TWC</w:t>
      </w:r>
      <w:r w:rsidRPr="659FE24F">
        <w:rPr>
          <w:rFonts w:cs="Aptos"/>
        </w:rPr>
        <w:t>’</w:t>
      </w:r>
      <w:r w:rsidRPr="659FE24F">
        <w:rPr>
          <w:rFonts w:cs="Segoe UI"/>
        </w:rPr>
        <w:t>s Legislative Proposal related to the confidentiality of fraud detection and prevention methods.</w:t>
      </w:r>
    </w:p>
    <w:p w14:paraId="0FB25BBE" w14:textId="0D386747" w:rsidR="00B57489" w:rsidRDefault="00B57489" w:rsidP="00E768A5">
      <w:pPr>
        <w:pStyle w:val="BodyText"/>
        <w:numPr>
          <w:ilvl w:val="1"/>
          <w:numId w:val="41"/>
        </w:numPr>
      </w:pPr>
      <w:r w:rsidRPr="00FF6DA6">
        <w:rPr>
          <w:rFonts w:cs="Segoe UI"/>
        </w:rPr>
        <w:t>The Governor signed the bill into law on May 19, 2025.  The bill becomes effective on Sept</w:t>
      </w:r>
      <w:r w:rsidR="0030339B">
        <w:rPr>
          <w:rFonts w:cs="Segoe UI"/>
        </w:rPr>
        <w:t>.</w:t>
      </w:r>
      <w:r w:rsidRPr="00FF6DA6">
        <w:rPr>
          <w:rFonts w:cs="Segoe UI"/>
        </w:rPr>
        <w:t xml:space="preserve"> 1, 2025.</w:t>
      </w:r>
    </w:p>
    <w:p w14:paraId="57A0D64B" w14:textId="77777777" w:rsidR="004062CD" w:rsidRPr="004062CD" w:rsidRDefault="00B57489" w:rsidP="00E768A5">
      <w:pPr>
        <w:pStyle w:val="BodyText"/>
        <w:numPr>
          <w:ilvl w:val="0"/>
          <w:numId w:val="41"/>
        </w:numPr>
      </w:pPr>
      <w:hyperlink r:id="rId26">
        <w:r w:rsidRPr="659FE24F">
          <w:rPr>
            <w:rStyle w:val="Hyperlink"/>
          </w:rPr>
          <w:t>HB 2788</w:t>
        </w:r>
      </w:hyperlink>
      <w:r w:rsidRPr="659FE24F">
        <w:rPr>
          <w:rFonts w:cs="Segoe UI"/>
        </w:rPr>
        <w:t xml:space="preserve"> by Rep. Button - Relating to fraud detection information and the public information law. This is TWC’s legislative proposal related to Confidentiality of Fraud Detection and Prevention Information.</w:t>
      </w:r>
    </w:p>
    <w:p w14:paraId="1463BB11" w14:textId="23403244" w:rsidR="00B57489" w:rsidRDefault="00B57489" w:rsidP="00E768A5">
      <w:pPr>
        <w:pStyle w:val="BodyText"/>
        <w:numPr>
          <w:ilvl w:val="1"/>
          <w:numId w:val="41"/>
        </w:numPr>
      </w:pPr>
      <w:r w:rsidRPr="004062CD">
        <w:rPr>
          <w:rFonts w:cs="Segoe UI"/>
        </w:rPr>
        <w:t>The Governor signed the bill into law on June 20, 2025.  The bill became effective on June 20, 2025.</w:t>
      </w:r>
    </w:p>
    <w:p w14:paraId="5A585A7F" w14:textId="4AB3A9FA" w:rsidR="00B57489" w:rsidRDefault="00B57489" w:rsidP="00493EE4">
      <w:pPr>
        <w:pStyle w:val="BodyText"/>
        <w:rPr>
          <w:rFonts w:ascii="Segoe UI" w:hAnsi="Segoe UI" w:cs="Segoe UI"/>
          <w:sz w:val="18"/>
          <w:szCs w:val="18"/>
        </w:rPr>
      </w:pPr>
      <w:r>
        <w:rPr>
          <w:rFonts w:cs="Segoe UI"/>
          <w:bCs/>
        </w:rPr>
        <w:t>Establishing Fraud, Waste, and Abuse Detection and Prevention for all TWC Programs</w:t>
      </w:r>
    </w:p>
    <w:p w14:paraId="212D4B08" w14:textId="6AA7A1EF" w:rsidR="009152FC" w:rsidRPr="009152FC" w:rsidRDefault="00B57489" w:rsidP="00E768A5">
      <w:pPr>
        <w:pStyle w:val="BodyText"/>
        <w:numPr>
          <w:ilvl w:val="0"/>
          <w:numId w:val="42"/>
        </w:numPr>
      </w:pPr>
      <w:hyperlink r:id="rId27">
        <w:r w:rsidRPr="638D6F3A">
          <w:rPr>
            <w:rStyle w:val="Hyperlink"/>
          </w:rPr>
          <w:t>HB 3700</w:t>
        </w:r>
      </w:hyperlink>
      <w:r w:rsidRPr="638D6F3A">
        <w:rPr>
          <w:rFonts w:cs="Segoe UI"/>
          <w:bCs/>
        </w:rPr>
        <w:t xml:space="preserve"> by Rep. </w:t>
      </w:r>
      <w:r w:rsidRPr="00554EFB">
        <w:rPr>
          <w:rFonts w:cs="Segoe UI"/>
          <w:bCs/>
        </w:rPr>
        <w:t xml:space="preserve">Vo - </w:t>
      </w:r>
      <w:r w:rsidRPr="00554EFB">
        <w:rPr>
          <w:rFonts w:cs="Segoe UI"/>
        </w:rPr>
        <w:t xml:space="preserve">Relating to detection and prevention of fraud, waste, and abuse in all </w:t>
      </w:r>
      <w:r w:rsidR="0BDC798A" w:rsidRPr="638D6F3A">
        <w:rPr>
          <w:rFonts w:cs="Segoe UI"/>
        </w:rPr>
        <w:t>TWC</w:t>
      </w:r>
      <w:r w:rsidRPr="638D6F3A">
        <w:rPr>
          <w:rFonts w:cs="Segoe UI"/>
        </w:rPr>
        <w:t xml:space="preserve"> programs.</w:t>
      </w:r>
      <w:r w:rsidRPr="00554EFB">
        <w:rPr>
          <w:rFonts w:cs="Segoe UI"/>
        </w:rPr>
        <w:t xml:space="preserve"> This is TWC’s Legislative Proposal related to Establishing Fraud, Waste, and Abuse Detection and Prevention for all TWC Programs</w:t>
      </w:r>
      <w:r w:rsidR="009152FC">
        <w:rPr>
          <w:rFonts w:cs="Segoe UI"/>
        </w:rPr>
        <w:t>.</w:t>
      </w:r>
    </w:p>
    <w:p w14:paraId="017C29CE" w14:textId="315389BC" w:rsidR="00B57489" w:rsidRDefault="00B57489" w:rsidP="00E768A5">
      <w:pPr>
        <w:pStyle w:val="BodyText"/>
        <w:numPr>
          <w:ilvl w:val="1"/>
          <w:numId w:val="42"/>
        </w:numPr>
      </w:pPr>
      <w:r w:rsidRPr="00554EFB">
        <w:rPr>
          <w:rFonts w:cs="Segoe UI"/>
        </w:rPr>
        <w:t>The Governor signed the bill into law on May 29, 2025.  The bill becomes effective on Sept</w:t>
      </w:r>
      <w:r w:rsidR="009220A8">
        <w:rPr>
          <w:rFonts w:cs="Segoe UI"/>
        </w:rPr>
        <w:t>.</w:t>
      </w:r>
      <w:r w:rsidRPr="00554EFB">
        <w:rPr>
          <w:rFonts w:cs="Segoe UI"/>
        </w:rPr>
        <w:t xml:space="preserve"> 1, 2025.</w:t>
      </w:r>
    </w:p>
    <w:p w14:paraId="5EDB3867" w14:textId="4366160C" w:rsidR="00B57489" w:rsidRPr="00567AD3" w:rsidRDefault="00B57489" w:rsidP="00F94218">
      <w:pPr>
        <w:pStyle w:val="BodyText"/>
        <w:rPr>
          <w:b/>
          <w:bCs/>
        </w:rPr>
      </w:pPr>
      <w:r w:rsidRPr="00567AD3">
        <w:rPr>
          <w:rFonts w:cs="Segoe UI"/>
        </w:rPr>
        <w:lastRenderedPageBreak/>
        <w:t>Modifying Definition of Last Work</w:t>
      </w:r>
    </w:p>
    <w:p w14:paraId="15388EA0" w14:textId="77777777" w:rsidR="00567AD3" w:rsidRPr="00567AD3" w:rsidRDefault="00B57489" w:rsidP="00E768A5">
      <w:pPr>
        <w:pStyle w:val="BodyText"/>
        <w:numPr>
          <w:ilvl w:val="0"/>
          <w:numId w:val="43"/>
        </w:numPr>
      </w:pPr>
      <w:hyperlink r:id="rId28">
        <w:r w:rsidRPr="659FE24F">
          <w:rPr>
            <w:rStyle w:val="Hyperlink"/>
          </w:rPr>
          <w:t>HB 3699</w:t>
        </w:r>
      </w:hyperlink>
      <w:r w:rsidRPr="659FE24F">
        <w:rPr>
          <w:rFonts w:cs="Segoe UI"/>
        </w:rPr>
        <w:t xml:space="preserve"> by Rep. </w:t>
      </w:r>
      <w:r w:rsidRPr="00567AD3">
        <w:rPr>
          <w:rFonts w:cs="Segoe UI"/>
          <w:bCs/>
        </w:rPr>
        <w:t xml:space="preserve">Vo – </w:t>
      </w:r>
      <w:r w:rsidRPr="00567AD3">
        <w:rPr>
          <w:rFonts w:cs="Segoe UI"/>
        </w:rPr>
        <w:t xml:space="preserve">Relating to initial claims under the unemployment compensation system. </w:t>
      </w:r>
      <w:r w:rsidRPr="659FE24F">
        <w:rPr>
          <w:rFonts w:cs="Arial"/>
        </w:rPr>
        <w:t> </w:t>
      </w:r>
      <w:r w:rsidRPr="659FE24F">
        <w:rPr>
          <w:rFonts w:cs="Segoe UI"/>
        </w:rPr>
        <w:t>This</w:t>
      </w:r>
      <w:r w:rsidRPr="00567AD3">
        <w:rPr>
          <w:rFonts w:cs="Segoe UI"/>
        </w:rPr>
        <w:t xml:space="preserve"> is TWC</w:t>
      </w:r>
      <w:r w:rsidRPr="00567AD3">
        <w:rPr>
          <w:rFonts w:cs="Aptos"/>
        </w:rPr>
        <w:t>’</w:t>
      </w:r>
      <w:r w:rsidRPr="00567AD3">
        <w:rPr>
          <w:rFonts w:cs="Segoe UI"/>
        </w:rPr>
        <w:t>s Legislative Proposal related to Modifying the Definition of Last Work.</w:t>
      </w:r>
    </w:p>
    <w:p w14:paraId="46CD4785" w14:textId="4EC86DD7" w:rsidR="00B57489" w:rsidRDefault="00B57489" w:rsidP="00E768A5">
      <w:pPr>
        <w:pStyle w:val="BodyText"/>
        <w:numPr>
          <w:ilvl w:val="1"/>
          <w:numId w:val="43"/>
        </w:numPr>
      </w:pPr>
      <w:r w:rsidRPr="00567AD3">
        <w:rPr>
          <w:rFonts w:cs="Segoe UI"/>
        </w:rPr>
        <w:t>The Governor signed the bill into law on May 19, 2025.  The bill becomes effective on Jan</w:t>
      </w:r>
      <w:r w:rsidR="00567AD3">
        <w:rPr>
          <w:rFonts w:cs="Segoe UI"/>
        </w:rPr>
        <w:t>.</w:t>
      </w:r>
      <w:r w:rsidRPr="00567AD3">
        <w:rPr>
          <w:rFonts w:cs="Segoe UI"/>
        </w:rPr>
        <w:t xml:space="preserve"> 1, 2026.</w:t>
      </w:r>
    </w:p>
    <w:p w14:paraId="154F8F00" w14:textId="78865C06" w:rsidR="00B57489" w:rsidRPr="00567AD3" w:rsidRDefault="00B57489" w:rsidP="00567AD3">
      <w:pPr>
        <w:pStyle w:val="BodyText"/>
        <w:rPr>
          <w:b/>
          <w:bCs/>
        </w:rPr>
      </w:pPr>
      <w:r w:rsidRPr="00567AD3">
        <w:rPr>
          <w:rFonts w:cs="Segoe UI"/>
        </w:rPr>
        <w:t>Preserving V</w:t>
      </w:r>
      <w:r w:rsidR="006B37B1">
        <w:rPr>
          <w:rFonts w:cs="Segoe UI"/>
        </w:rPr>
        <w:t xml:space="preserve">ocational </w:t>
      </w:r>
      <w:r w:rsidRPr="00567AD3">
        <w:rPr>
          <w:rFonts w:cs="Segoe UI"/>
        </w:rPr>
        <w:t>R</w:t>
      </w:r>
      <w:r w:rsidR="006B37B1">
        <w:rPr>
          <w:rFonts w:cs="Segoe UI"/>
        </w:rPr>
        <w:t>ehabilitation</w:t>
      </w:r>
      <w:r w:rsidRPr="00567AD3">
        <w:rPr>
          <w:rFonts w:cs="Segoe UI"/>
        </w:rPr>
        <w:t xml:space="preserve"> Procurement Authority</w:t>
      </w:r>
    </w:p>
    <w:p w14:paraId="6E66CEDB" w14:textId="5C4849A0" w:rsidR="004D41DF" w:rsidRPr="004D41DF" w:rsidRDefault="00B57489" w:rsidP="00E768A5">
      <w:pPr>
        <w:pStyle w:val="BodyText"/>
        <w:numPr>
          <w:ilvl w:val="0"/>
          <w:numId w:val="44"/>
        </w:numPr>
        <w:rPr>
          <w:rFonts w:cs="Segoe UI"/>
        </w:rPr>
      </w:pPr>
      <w:hyperlink r:id="rId29">
        <w:r w:rsidRPr="3F8BBC43">
          <w:rPr>
            <w:rStyle w:val="Hyperlink"/>
          </w:rPr>
          <w:t>HB 2791</w:t>
        </w:r>
      </w:hyperlink>
      <w:r w:rsidRPr="3F8BBC43">
        <w:rPr>
          <w:rFonts w:cs="Segoe UI"/>
          <w:bCs/>
        </w:rPr>
        <w:t xml:space="preserve"> by Rep.</w:t>
      </w:r>
      <w:r w:rsidRPr="004D41DF">
        <w:rPr>
          <w:rFonts w:cs="Segoe UI"/>
          <w:bCs/>
        </w:rPr>
        <w:t xml:space="preserve"> Button - </w:t>
      </w:r>
      <w:r w:rsidRPr="004D41DF">
        <w:rPr>
          <w:rFonts w:cs="Segoe UI"/>
        </w:rPr>
        <w:t xml:space="preserve">Relating to the continuation of functions of the Vocational Rehabilitation </w:t>
      </w:r>
      <w:r w:rsidR="006B37B1">
        <w:rPr>
          <w:rFonts w:cs="Segoe UI"/>
        </w:rPr>
        <w:t xml:space="preserve">(VR) </w:t>
      </w:r>
      <w:r w:rsidRPr="004D41DF">
        <w:rPr>
          <w:rFonts w:cs="Segoe UI"/>
        </w:rPr>
        <w:t xml:space="preserve">Division administered by </w:t>
      </w:r>
      <w:r w:rsidR="1F13340E" w:rsidRPr="638D6F3A">
        <w:rPr>
          <w:rFonts w:cs="Segoe UI"/>
        </w:rPr>
        <w:t>TWC</w:t>
      </w:r>
      <w:r w:rsidRPr="638D6F3A">
        <w:rPr>
          <w:rFonts w:cs="Segoe UI"/>
        </w:rPr>
        <w:t>.</w:t>
      </w:r>
      <w:r w:rsidRPr="004D41DF">
        <w:rPr>
          <w:rFonts w:cs="Segoe UI"/>
        </w:rPr>
        <w:t xml:space="preserve"> This is TWC’s legislative proposal related to Preserving Procurement Authority for Goods and Services for </w:t>
      </w:r>
      <w:r w:rsidRPr="3F8BBC43">
        <w:rPr>
          <w:rFonts w:cs="Segoe UI"/>
        </w:rPr>
        <w:t>VR Programs.</w:t>
      </w:r>
    </w:p>
    <w:p w14:paraId="7C74CFAD" w14:textId="05B6A43C" w:rsidR="00B57489" w:rsidRDefault="00B57489" w:rsidP="00E768A5">
      <w:pPr>
        <w:pStyle w:val="BodyText"/>
        <w:numPr>
          <w:ilvl w:val="1"/>
          <w:numId w:val="44"/>
        </w:numPr>
      </w:pPr>
      <w:r w:rsidRPr="004D41DF">
        <w:rPr>
          <w:rFonts w:cs="Segoe UI"/>
        </w:rPr>
        <w:t>The Governor signed the bill into law on June 20, 2025.  The bill became effective on June 20, 2025.</w:t>
      </w:r>
    </w:p>
    <w:p w14:paraId="23B9B22E" w14:textId="435F52FC" w:rsidR="00B57489" w:rsidRDefault="00B57489" w:rsidP="003C4372">
      <w:pPr>
        <w:pStyle w:val="BodyText"/>
        <w:rPr>
          <w:rFonts w:ascii="Segoe UI" w:hAnsi="Segoe UI" w:cs="Segoe UI"/>
          <w:sz w:val="18"/>
          <w:szCs w:val="18"/>
        </w:rPr>
      </w:pPr>
      <w:r>
        <w:rPr>
          <w:rFonts w:cs="Segoe UI"/>
          <w:bCs/>
        </w:rPr>
        <w:t>Reemployment Services and Eligibility Assessment</w:t>
      </w:r>
    </w:p>
    <w:p w14:paraId="25F5578B" w14:textId="053A2E5A" w:rsidR="007361F5" w:rsidRPr="007361F5" w:rsidRDefault="00B57489" w:rsidP="00E768A5">
      <w:pPr>
        <w:pStyle w:val="BodyText"/>
        <w:numPr>
          <w:ilvl w:val="0"/>
          <w:numId w:val="45"/>
        </w:numPr>
      </w:pPr>
      <w:hyperlink r:id="rId30">
        <w:r w:rsidRPr="659FE24F">
          <w:rPr>
            <w:rStyle w:val="Hyperlink"/>
          </w:rPr>
          <w:t>HB 3698</w:t>
        </w:r>
      </w:hyperlink>
      <w:r w:rsidRPr="659FE24F">
        <w:rPr>
          <w:rFonts w:cs="Segoe UI"/>
        </w:rPr>
        <w:t xml:space="preserve"> by Rep. Vo - Relating to participation in reemployment services as a condition of eligibility for unemployment benefits. This is TWC’s Legislative Proposal related to R</w:t>
      </w:r>
      <w:r w:rsidR="0090766E" w:rsidRPr="659FE24F">
        <w:rPr>
          <w:rFonts w:cs="Segoe UI"/>
        </w:rPr>
        <w:t>eemployment Services and Eligibility Assessment.</w:t>
      </w:r>
    </w:p>
    <w:p w14:paraId="502C3840" w14:textId="58F02927" w:rsidR="00B57489" w:rsidRDefault="00B57489" w:rsidP="00E768A5">
      <w:pPr>
        <w:pStyle w:val="BodyText"/>
        <w:numPr>
          <w:ilvl w:val="1"/>
          <w:numId w:val="45"/>
        </w:numPr>
      </w:pPr>
      <w:r w:rsidRPr="007361F5">
        <w:rPr>
          <w:rFonts w:cs="Segoe UI"/>
        </w:rPr>
        <w:t>The Governor signed the bill into law on May 29, 2025.  The bill becomes effective on Sept</w:t>
      </w:r>
      <w:r w:rsidR="007361F5">
        <w:rPr>
          <w:rFonts w:cs="Segoe UI"/>
        </w:rPr>
        <w:t>.</w:t>
      </w:r>
      <w:r w:rsidRPr="007361F5">
        <w:rPr>
          <w:rFonts w:cs="Segoe UI"/>
        </w:rPr>
        <w:t xml:space="preserve"> 1, 2025.</w:t>
      </w:r>
    </w:p>
    <w:p w14:paraId="088CC7E3" w14:textId="386C8B7B" w:rsidR="00E21C74" w:rsidRPr="00746902" w:rsidRDefault="006034B1" w:rsidP="00746902">
      <w:pPr>
        <w:pStyle w:val="BodyText3"/>
        <w:ind w:left="720" w:hanging="720"/>
        <w:rPr>
          <w:rStyle w:val="Strong"/>
          <w:bCs w:val="0"/>
        </w:rPr>
      </w:pPr>
      <w:bookmarkStart w:id="33" w:name="_Toc417645462"/>
      <w:bookmarkStart w:id="34" w:name="_Toc417647451"/>
      <w:r w:rsidRPr="00746902">
        <w:rPr>
          <w:rStyle w:val="Strong"/>
          <w:bCs w:val="0"/>
        </w:rPr>
        <w:t>E.</w:t>
      </w:r>
      <w:r w:rsidRPr="00746902">
        <w:rPr>
          <w:rStyle w:val="Strong"/>
          <w:bCs w:val="0"/>
        </w:rPr>
        <w:tab/>
      </w:r>
      <w:r w:rsidR="00E21C74" w:rsidRPr="00746902">
        <w:rPr>
          <w:rStyle w:val="Strong"/>
          <w:bCs w:val="0"/>
        </w:rPr>
        <w:t>Do any of your agency</w:t>
      </w:r>
      <w:r w:rsidR="00F044D6" w:rsidRPr="00746902">
        <w:rPr>
          <w:rStyle w:val="Strong"/>
          <w:bCs w:val="0"/>
        </w:rPr>
        <w:t>’</w:t>
      </w:r>
      <w:r w:rsidR="00E21C74" w:rsidRPr="00746902">
        <w:rPr>
          <w:rStyle w:val="Strong"/>
          <w:bCs w:val="0"/>
        </w:rPr>
        <w:t xml:space="preserve">s functions overlap </w:t>
      </w:r>
      <w:r w:rsidR="007966C7" w:rsidRPr="00746902">
        <w:rPr>
          <w:rStyle w:val="Strong"/>
          <w:bCs w:val="0"/>
        </w:rPr>
        <w:t>with</w:t>
      </w:r>
      <w:r w:rsidR="00E21C74" w:rsidRPr="00746902">
        <w:rPr>
          <w:rStyle w:val="Strong"/>
          <w:bCs w:val="0"/>
        </w:rPr>
        <w:t xml:space="preserve"> those of another</w:t>
      </w:r>
      <w:r w:rsidR="003C5FEA" w:rsidRPr="00746902">
        <w:rPr>
          <w:rStyle w:val="Strong"/>
          <w:bCs w:val="0"/>
        </w:rPr>
        <w:t xml:space="preserve"> local,</w:t>
      </w:r>
      <w:r w:rsidR="00E21C74" w:rsidRPr="00746902">
        <w:rPr>
          <w:rStyle w:val="Strong"/>
          <w:bCs w:val="0"/>
        </w:rPr>
        <w:t xml:space="preserve"> state</w:t>
      </w:r>
      <w:r w:rsidR="003C5FEA" w:rsidRPr="00746902">
        <w:rPr>
          <w:rStyle w:val="Strong"/>
          <w:bCs w:val="0"/>
        </w:rPr>
        <w:t>,</w:t>
      </w:r>
      <w:r w:rsidR="00E21C74" w:rsidRPr="00746902">
        <w:rPr>
          <w:rStyle w:val="Strong"/>
          <w:bCs w:val="0"/>
        </w:rPr>
        <w:t xml:space="preserve"> or federal agency?</w:t>
      </w:r>
      <w:r w:rsidR="008A4A34" w:rsidRPr="00746902">
        <w:rPr>
          <w:rStyle w:val="Strong"/>
          <w:bCs w:val="0"/>
        </w:rPr>
        <w:t xml:space="preserve"> </w:t>
      </w:r>
      <w:r w:rsidR="008C1883" w:rsidRPr="00746902">
        <w:rPr>
          <w:rStyle w:val="Strong"/>
          <w:bCs w:val="0"/>
        </w:rPr>
        <w:t>If so, h</w:t>
      </w:r>
      <w:r w:rsidR="0090349A" w:rsidRPr="00746902">
        <w:rPr>
          <w:rStyle w:val="Strong"/>
          <w:bCs w:val="0"/>
        </w:rPr>
        <w:t xml:space="preserve">ow do you </w:t>
      </w:r>
      <w:r w:rsidR="008C1883" w:rsidRPr="00746902">
        <w:rPr>
          <w:rStyle w:val="Strong"/>
          <w:bCs w:val="0"/>
        </w:rPr>
        <w:t>coordinate to avoid</w:t>
      </w:r>
      <w:r w:rsidR="0090349A" w:rsidRPr="00746902">
        <w:rPr>
          <w:rStyle w:val="Strong"/>
          <w:bCs w:val="0"/>
        </w:rPr>
        <w:t xml:space="preserve"> duplication </w:t>
      </w:r>
      <w:r w:rsidR="008C1883" w:rsidRPr="00746902">
        <w:rPr>
          <w:rStyle w:val="Strong"/>
          <w:bCs w:val="0"/>
        </w:rPr>
        <w:t>of efforts</w:t>
      </w:r>
      <w:r w:rsidR="0090349A" w:rsidRPr="00746902">
        <w:rPr>
          <w:rStyle w:val="Strong"/>
          <w:bCs w:val="0"/>
        </w:rPr>
        <w:t xml:space="preserve">? </w:t>
      </w:r>
      <w:r w:rsidR="00E21C74" w:rsidRPr="00746902">
        <w:rPr>
          <w:rStyle w:val="Strong"/>
          <w:bCs w:val="0"/>
        </w:rPr>
        <w:t>Explain if, and why, each of your key functions is most appropria</w:t>
      </w:r>
      <w:r w:rsidR="00E853D0" w:rsidRPr="00746902">
        <w:rPr>
          <w:rStyle w:val="Strong"/>
          <w:bCs w:val="0"/>
        </w:rPr>
        <w:t>tely placed within your agency</w:t>
      </w:r>
      <w:r w:rsidR="00832B49" w:rsidRPr="00746902">
        <w:rPr>
          <w:rStyle w:val="Strong"/>
          <w:bCs w:val="0"/>
        </w:rPr>
        <w:t xml:space="preserve">. </w:t>
      </w:r>
      <w:bookmarkEnd w:id="33"/>
      <w:bookmarkEnd w:id="34"/>
    </w:p>
    <w:p w14:paraId="6D79470F" w14:textId="61718E72" w:rsidR="00337BD2" w:rsidRDefault="00337BD2" w:rsidP="00A30A1A">
      <w:pPr>
        <w:pStyle w:val="BodyText"/>
      </w:pPr>
      <w:r>
        <w:t>TWC operates within a complex ecosystem of local, state, and federal agencies, necessitating a high degree of coordination to maximize efficiency and avoid duplication of effort. While some overlap is inherent, TWC actively manages these instances through collaborative partnerships and clearly defined roles.</w:t>
      </w:r>
    </w:p>
    <w:p w14:paraId="60A806F1" w14:textId="56CFAEF3" w:rsidR="00337BD2" w:rsidRDefault="00337BD2" w:rsidP="00A30A1A">
      <w:pPr>
        <w:pStyle w:val="BodyText"/>
      </w:pPr>
      <w:r>
        <w:t xml:space="preserve">TWC and its network of partners operate a highly integrated workforce </w:t>
      </w:r>
      <w:r w:rsidR="00F73FE7">
        <w:t xml:space="preserve">development </w:t>
      </w:r>
      <w:r>
        <w:t xml:space="preserve">system. The system includes programs, services, and initiatives administered in cooperation with 28 Local Workforce Development Boards (LWDBs), local adult education providers, </w:t>
      </w:r>
      <w:r w:rsidR="006B37B1">
        <w:t>VR</w:t>
      </w:r>
      <w:r>
        <w:t xml:space="preserve"> service providers, community and technical colleges, independent school districts, eight other state agencies, and a variety of other key organizations.  Texas’ comprehensive workforce development system remains as a national model for workforce development that allows for continuous improvement and adaptability to meet the needs of customers.  TWC and its network of partners work together across programs and funding </w:t>
      </w:r>
      <w:r>
        <w:lastRenderedPageBreak/>
        <w:t>streams to help individuals achieve their employment goals and assist employers in hiring and retaining employees.</w:t>
      </w:r>
    </w:p>
    <w:p w14:paraId="2C9F2B58" w14:textId="70155DAB" w:rsidR="00337BD2" w:rsidRDefault="00337BD2" w:rsidP="00A30A1A">
      <w:pPr>
        <w:pStyle w:val="BodyText"/>
      </w:pPr>
      <w:r>
        <w:t>Other examples of coordination between TWC and its partners include the following.</w:t>
      </w:r>
    </w:p>
    <w:p w14:paraId="714E9BC4" w14:textId="3C9308AF" w:rsidR="00337BD2" w:rsidRDefault="00337BD2" w:rsidP="00E768A5">
      <w:pPr>
        <w:pStyle w:val="BodyText"/>
        <w:numPr>
          <w:ilvl w:val="0"/>
          <w:numId w:val="46"/>
        </w:numPr>
      </w:pPr>
      <w:r>
        <w:rPr>
          <w:bCs/>
        </w:rPr>
        <w:t>Foster Youth Services:</w:t>
      </w:r>
      <w:r>
        <w:t xml:space="preserve"> A memorandum of understanding with the Department of Family and Protective Services (DFPS) ensures coordinated services for current and former foster youth.  DFPS provides case management and support services, while TWC and LWDBs prioritize employment assistance and connect youth with </w:t>
      </w:r>
      <w:r w:rsidR="007615D5">
        <w:t xml:space="preserve">supportive </w:t>
      </w:r>
      <w:r>
        <w:t>services like housing assistance when needed.</w:t>
      </w:r>
    </w:p>
    <w:p w14:paraId="6FBAB55F" w14:textId="7A257BB6" w:rsidR="00337BD2" w:rsidRDefault="00337BD2" w:rsidP="00E768A5">
      <w:pPr>
        <w:pStyle w:val="BodyText"/>
        <w:numPr>
          <w:ilvl w:val="0"/>
          <w:numId w:val="46"/>
        </w:numPr>
      </w:pPr>
      <w:r>
        <w:rPr>
          <w:bCs/>
        </w:rPr>
        <w:t>Reentry Programs:</w:t>
      </w:r>
      <w:r>
        <w:t xml:space="preserve"> TWC actively participates in the State Reentry Task Force, led by the Texas Department of Criminal Justice (TDCJ).  TWC contributes to the Employment Working Group, identifying and implementing strategies to remove barriers to employment for individuals re-entering society after incarceration.</w:t>
      </w:r>
    </w:p>
    <w:p w14:paraId="68CCF16C" w14:textId="0B07ED88" w:rsidR="00337BD2" w:rsidRDefault="00337BD2" w:rsidP="00E768A5">
      <w:pPr>
        <w:pStyle w:val="BodyText"/>
        <w:numPr>
          <w:ilvl w:val="0"/>
          <w:numId w:val="46"/>
        </w:numPr>
      </w:pPr>
      <w:r>
        <w:rPr>
          <w:bCs/>
        </w:rPr>
        <w:t>Child Care Services:</w:t>
      </w:r>
      <w:r>
        <w:t xml:space="preserve"> TWC partners with DFPS to administer </w:t>
      </w:r>
      <w:proofErr w:type="gramStart"/>
      <w:r>
        <w:rPr>
          <w:rFonts w:eastAsiaTheme="majorEastAsia"/>
        </w:rPr>
        <w:t>child care</w:t>
      </w:r>
      <w:proofErr w:type="gramEnd"/>
      <w:r>
        <w:t xml:space="preserve"> services for specific populations, including children in foster care and those needing protective services.  DFPS utilizes TWC's </w:t>
      </w:r>
      <w:proofErr w:type="gramStart"/>
      <w:r>
        <w:rPr>
          <w:rFonts w:eastAsiaTheme="majorEastAsia"/>
        </w:rPr>
        <w:t>child care</w:t>
      </w:r>
      <w:proofErr w:type="gramEnd"/>
      <w:r>
        <w:t xml:space="preserve"> delivery system to provide these services, ensuring efficient and effective support for vulnerable families.</w:t>
      </w:r>
    </w:p>
    <w:p w14:paraId="1956BC70" w14:textId="4A3029FC" w:rsidR="00337BD2" w:rsidRDefault="00337BD2" w:rsidP="00E768A5">
      <w:pPr>
        <w:pStyle w:val="BodyText"/>
        <w:numPr>
          <w:ilvl w:val="0"/>
          <w:numId w:val="46"/>
        </w:numPr>
      </w:pPr>
      <w:r>
        <w:rPr>
          <w:bCs/>
        </w:rPr>
        <w:t>Veterans Services:</w:t>
      </w:r>
      <w:r>
        <w:t xml:space="preserve"> Through the Texas Veterans Network, TWC collaborates with numerous community partner organizations to ensure seamless access to services for veterans. The network coordinates and tracks referrals statewide, promoting an integrated approach to resource coordination and information sharing.</w:t>
      </w:r>
    </w:p>
    <w:p w14:paraId="2F87E65C" w14:textId="1E157A39" w:rsidR="00337BD2" w:rsidRDefault="00337BD2" w:rsidP="00E768A5">
      <w:pPr>
        <w:pStyle w:val="BodyText"/>
        <w:numPr>
          <w:ilvl w:val="0"/>
          <w:numId w:val="46"/>
        </w:numPr>
      </w:pPr>
      <w:r>
        <w:rPr>
          <w:bCs/>
        </w:rPr>
        <w:t>Federal Assistance Programs:</w:t>
      </w:r>
      <w:r>
        <w:t xml:space="preserve"> TWC receives federal funds for </w:t>
      </w:r>
      <w:r w:rsidR="001F669B">
        <w:t xml:space="preserve">Supplemental </w:t>
      </w:r>
      <w:r w:rsidR="00AE4698">
        <w:t>Nutrition Assistance Program (</w:t>
      </w:r>
      <w:r>
        <w:t>SNAP</w:t>
      </w:r>
      <w:r w:rsidR="00AE4698">
        <w:t>)</w:t>
      </w:r>
      <w:r>
        <w:t xml:space="preserve"> and </w:t>
      </w:r>
      <w:r w:rsidR="0027507D">
        <w:t>Temporary Assistance for Needy Families (</w:t>
      </w:r>
      <w:r>
        <w:t>TANF</w:t>
      </w:r>
      <w:r w:rsidR="0027507D">
        <w:t>)</w:t>
      </w:r>
      <w:r>
        <w:t xml:space="preserve"> programs through the Health and Human Services Commission (HHSC).  TWC and HHSC work</w:t>
      </w:r>
      <w:r w:rsidR="00D5581D">
        <w:t xml:space="preserve"> together</w:t>
      </w:r>
      <w:r>
        <w:t xml:space="preserve"> to ensure compliance with federal regulations and optimize the flow of funds.</w:t>
      </w:r>
    </w:p>
    <w:p w14:paraId="0B9D30D1" w14:textId="40722C3D" w:rsidR="00337BD2" w:rsidRDefault="00337BD2" w:rsidP="00E768A5">
      <w:pPr>
        <w:pStyle w:val="BodyText"/>
        <w:numPr>
          <w:ilvl w:val="0"/>
          <w:numId w:val="46"/>
        </w:numPr>
      </w:pPr>
      <w:r>
        <w:rPr>
          <w:bCs/>
        </w:rPr>
        <w:t>Tri-Agency Workforce Initiative:</w:t>
      </w:r>
      <w:r>
        <w:t xml:space="preserve"> In partnership with the Texas Education Agency </w:t>
      </w:r>
      <w:r w:rsidR="00805465">
        <w:t xml:space="preserve">(TEA) </w:t>
      </w:r>
      <w:r>
        <w:t>and the Texas Higher Education Coordinating Board</w:t>
      </w:r>
      <w:r w:rsidR="00F13711">
        <w:t xml:space="preserve"> (THECB)</w:t>
      </w:r>
      <w:r>
        <w:t>, the Tri-Agency Workforce Initiative streamlines access to education, training, and employment pathways for all Texans. This collaborative effort avoids duplication and maximizes the impact of workforce development investments.</w:t>
      </w:r>
    </w:p>
    <w:p w14:paraId="286669CA" w14:textId="731BB895" w:rsidR="00337BD2" w:rsidRDefault="00FE2187" w:rsidP="00E768A5">
      <w:pPr>
        <w:pStyle w:val="BodyText"/>
        <w:numPr>
          <w:ilvl w:val="0"/>
          <w:numId w:val="46"/>
        </w:numPr>
      </w:pPr>
      <w:r>
        <w:rPr>
          <w:rFonts w:eastAsiaTheme="majorEastAsia"/>
          <w:bCs/>
        </w:rPr>
        <w:t>Statutorily Required</w:t>
      </w:r>
      <w:r w:rsidR="00337BD2">
        <w:rPr>
          <w:bCs/>
        </w:rPr>
        <w:t xml:space="preserve"> Coordination Efforts:</w:t>
      </w:r>
      <w:r w:rsidR="00337BD2">
        <w:t>  The table listing TWC’s statutory authority in Section VIII, Question A includes more examples of coordination in the section titled “TWC Coordination with Other Entities</w:t>
      </w:r>
      <w:r w:rsidR="003B3EDD">
        <w:t>.</w:t>
      </w:r>
      <w:r w:rsidR="00337BD2">
        <w:t>”</w:t>
      </w:r>
    </w:p>
    <w:p w14:paraId="7BF53622" w14:textId="1266AF0D" w:rsidR="00337BD2" w:rsidRDefault="00337BD2" w:rsidP="00FC6460">
      <w:pPr>
        <w:pStyle w:val="BodyText"/>
      </w:pPr>
      <w:r>
        <w:t>Each of TWC's key functions is strategically placed within the agency as described below.</w:t>
      </w:r>
    </w:p>
    <w:p w14:paraId="092AA8B2" w14:textId="0E93041C" w:rsidR="00337BD2" w:rsidRDefault="00337BD2" w:rsidP="00E768A5">
      <w:pPr>
        <w:pStyle w:val="BodyText"/>
        <w:numPr>
          <w:ilvl w:val="0"/>
          <w:numId w:val="47"/>
        </w:numPr>
      </w:pPr>
      <w:r>
        <w:rPr>
          <w:bCs/>
        </w:rPr>
        <w:t xml:space="preserve">Workforce Development: </w:t>
      </w:r>
      <w:r>
        <w:t>TWC is uniquely positioned to oversee workforce development programs</w:t>
      </w:r>
      <w:r w:rsidR="00A42332">
        <w:t xml:space="preserve">, </w:t>
      </w:r>
      <w:r w:rsidR="0082300A">
        <w:t xml:space="preserve">including vocational rehabilitation, </w:t>
      </w:r>
      <w:r>
        <w:t xml:space="preserve">due to our statewide </w:t>
      </w:r>
      <w:r>
        <w:lastRenderedPageBreak/>
        <w:t>perspective, funding authority, and ability to align training initiatives with the needs of the Texas economy.  TWC is the central hub for connecting employers with skilled workers</w:t>
      </w:r>
      <w:r w:rsidR="0082300A">
        <w:t xml:space="preserve"> of all abilities</w:t>
      </w:r>
      <w:r>
        <w:t>.</w:t>
      </w:r>
    </w:p>
    <w:p w14:paraId="44966F55" w14:textId="60F6E1B6" w:rsidR="00337BD2" w:rsidRDefault="00337BD2" w:rsidP="00E768A5">
      <w:pPr>
        <w:pStyle w:val="BodyText"/>
        <w:numPr>
          <w:ilvl w:val="0"/>
          <w:numId w:val="47"/>
        </w:numPr>
      </w:pPr>
      <w:r>
        <w:rPr>
          <w:bCs/>
        </w:rPr>
        <w:t>Child Care Services:</w:t>
      </w:r>
      <w:r>
        <w:t xml:space="preserve"> Integrating </w:t>
      </w:r>
      <w:proofErr w:type="gramStart"/>
      <w:r w:rsidRPr="638D6F3A">
        <w:t>child</w:t>
      </w:r>
      <w:r w:rsidR="17D70E26" w:rsidRPr="638D6F3A">
        <w:t xml:space="preserve"> </w:t>
      </w:r>
      <w:r w:rsidRPr="638D6F3A">
        <w:t>care</w:t>
      </w:r>
      <w:proofErr w:type="gramEnd"/>
      <w:r>
        <w:t xml:space="preserve"> services within TWC's purview ensures that parents participating in workforce programs have access to reliable and affordable </w:t>
      </w:r>
      <w:r w:rsidRPr="638D6F3A">
        <w:t>child</w:t>
      </w:r>
      <w:r w:rsidR="6E014024" w:rsidRPr="638D6F3A">
        <w:t xml:space="preserve"> </w:t>
      </w:r>
      <w:r w:rsidRPr="638D6F3A">
        <w:t>care</w:t>
      </w:r>
      <w:r>
        <w:t>, enabling them to pursue employment and training opportunities.</w:t>
      </w:r>
    </w:p>
    <w:p w14:paraId="5A39F255" w14:textId="38FEA277" w:rsidR="00337BD2" w:rsidRDefault="00337BD2" w:rsidP="00E768A5">
      <w:pPr>
        <w:pStyle w:val="BodyText"/>
        <w:numPr>
          <w:ilvl w:val="0"/>
          <w:numId w:val="47"/>
        </w:numPr>
      </w:pPr>
      <w:r>
        <w:rPr>
          <w:bCs/>
        </w:rPr>
        <w:t>Unemployment Benefits:</w:t>
      </w:r>
      <w:r>
        <w:rPr>
          <w:i/>
          <w:iCs/>
        </w:rPr>
        <w:t xml:space="preserve"> </w:t>
      </w:r>
      <w:r>
        <w:t>As stewards of unemployment benefits, TWC works to ensure that Texans who los</w:t>
      </w:r>
      <w:r w:rsidR="00D5581D">
        <w:t>e</w:t>
      </w:r>
      <w:r>
        <w:t xml:space="preserve"> their jobs due to no fault of their own can receive financial benefits to allow them to maintain self-sufficiency.  TWC also maintains the integrity of the benefits system and the Unemployment Compensation Fund.</w:t>
      </w:r>
    </w:p>
    <w:p w14:paraId="07E39371" w14:textId="53FEA413" w:rsidR="001418D9" w:rsidRPr="00F5752D" w:rsidRDefault="00F5752D" w:rsidP="00F5752D">
      <w:pPr>
        <w:rPr>
          <w:rStyle w:val="Strong"/>
          <w:bCs w:val="0"/>
        </w:rPr>
      </w:pPr>
      <w:bookmarkStart w:id="35" w:name="_Toc417645463"/>
      <w:bookmarkStart w:id="36" w:name="_Toc417647452"/>
      <w:r>
        <w:rPr>
          <w:rStyle w:val="Strong"/>
          <w:b/>
          <w:bCs w:val="0"/>
        </w:rPr>
        <w:t>F.</w:t>
      </w:r>
      <w:r>
        <w:rPr>
          <w:rStyle w:val="Strong"/>
          <w:b/>
          <w:bCs w:val="0"/>
        </w:rPr>
        <w:tab/>
      </w:r>
      <w:r w:rsidR="001418D9" w:rsidRPr="00F5752D">
        <w:rPr>
          <w:rStyle w:val="Strong"/>
          <w:b/>
          <w:bCs w:val="0"/>
        </w:rPr>
        <w:t>In general, how do other states carry out similar functions?</w:t>
      </w:r>
      <w:bookmarkEnd w:id="35"/>
      <w:bookmarkEnd w:id="36"/>
    </w:p>
    <w:p w14:paraId="139FBFBC" w14:textId="0986726A" w:rsidR="00E853D0" w:rsidRPr="00FA5B28" w:rsidRDefault="69A4773B" w:rsidP="00FA5B28">
      <w:pPr>
        <w:pStyle w:val="BodyText2"/>
      </w:pPr>
      <w:r w:rsidRPr="00FA5B28">
        <w:t xml:space="preserve">WIOA Core Programs </w:t>
      </w:r>
    </w:p>
    <w:p w14:paraId="3FD8D884" w14:textId="60CDDA64" w:rsidR="00E853D0" w:rsidRPr="00E853D0" w:rsidRDefault="69A4773B" w:rsidP="00A20AB6">
      <w:pPr>
        <w:pStyle w:val="BodyText"/>
      </w:pPr>
      <w:r w:rsidRPr="5C84413E">
        <w:rPr>
          <w:rFonts w:eastAsia="Verdana"/>
        </w:rPr>
        <w:t xml:space="preserve">Texas is unique in its highly consolidated structure with </w:t>
      </w:r>
      <w:r w:rsidR="7B178BC7" w:rsidRPr="638D6F3A">
        <w:rPr>
          <w:rFonts w:eastAsia="Verdana"/>
        </w:rPr>
        <w:t>TWC</w:t>
      </w:r>
      <w:r w:rsidRPr="5C84413E">
        <w:rPr>
          <w:rFonts w:eastAsia="Verdana"/>
        </w:rPr>
        <w:t xml:space="preserve"> administering all </w:t>
      </w:r>
      <w:proofErr w:type="gramStart"/>
      <w:r w:rsidRPr="5C84413E">
        <w:rPr>
          <w:rFonts w:eastAsia="Verdana"/>
        </w:rPr>
        <w:t>six core</w:t>
      </w:r>
      <w:proofErr w:type="gramEnd"/>
      <w:r w:rsidRPr="5C84413E">
        <w:rPr>
          <w:rFonts w:eastAsia="Verdana"/>
        </w:rPr>
        <w:t xml:space="preserve"> federal Workforce Innovation and Opportunity Act (WIOA) programs: Adult, Dislocated Worker, Youth, Adult Education and Family Literacy, Wagner-Peyser Employment Service, and Vocational Rehabilitation.  While WIOA encourages coordination and integration of services, very few other states have the same level of consolidation as Texas.</w:t>
      </w:r>
    </w:p>
    <w:p w14:paraId="1E2E9DEF" w14:textId="301F08FF" w:rsidR="00E853D0" w:rsidRPr="00E853D0" w:rsidRDefault="69A4773B" w:rsidP="003F0B2C">
      <w:pPr>
        <w:pStyle w:val="BodyText"/>
      </w:pPr>
      <w:r w:rsidRPr="5C84413E">
        <w:rPr>
          <w:rFonts w:eastAsia="Verdana"/>
        </w:rPr>
        <w:t>It is uncommon for all six core WIOA programs to be in one state agency because federal funding comes from both the Department of Labor and Department of Education, leading to separate administrative bodies.  Additionally, many states had existing agencies for these distinct services before WIOA was enacted, and each state's unique governmental structure allows for varied approaches to program organization.  In contrast, Texas has been working since 1995 to bring all core workforce programs together to improve coordination and customer service.</w:t>
      </w:r>
    </w:p>
    <w:p w14:paraId="10A58A36" w14:textId="00003F74" w:rsidR="00E853D0" w:rsidRPr="00E853D0" w:rsidRDefault="69A4773B" w:rsidP="003F0B2C">
      <w:pPr>
        <w:pStyle w:val="BodyText"/>
      </w:pPr>
      <w:r w:rsidRPr="5C84413E">
        <w:rPr>
          <w:rFonts w:eastAsia="Verdana"/>
        </w:rPr>
        <w:t xml:space="preserve">The National Association of State Workforce Agencies (NASWA) </w:t>
      </w:r>
      <w:r w:rsidRPr="009A6A12">
        <w:rPr>
          <w:rFonts w:eastAsia="Verdana"/>
        </w:rPr>
        <w:t>provides</w:t>
      </w:r>
      <w:r w:rsidRPr="5C84413E">
        <w:rPr>
          <w:rFonts w:eastAsia="Verdana"/>
        </w:rPr>
        <w:t xml:space="preserve"> a biennial State of the Workforce Report.  </w:t>
      </w:r>
      <w:r w:rsidRPr="659FE24F">
        <w:rPr>
          <w:rFonts w:eastAsia="Verdana"/>
        </w:rPr>
        <w:t xml:space="preserve">The </w:t>
      </w:r>
      <w:hyperlink r:id="rId31">
        <w:r w:rsidRPr="659FE24F">
          <w:rPr>
            <w:rStyle w:val="Hyperlink"/>
            <w:rFonts w:eastAsia="Verdana"/>
          </w:rPr>
          <w:t xml:space="preserve">2023 </w:t>
        </w:r>
        <w:r w:rsidR="00B85E70" w:rsidRPr="659FE24F">
          <w:rPr>
            <w:rStyle w:val="Hyperlink"/>
            <w:rFonts w:eastAsia="Verdana"/>
          </w:rPr>
          <w:t>State of the Workforce</w:t>
        </w:r>
      </w:hyperlink>
      <w:r w:rsidR="00B85E70">
        <w:rPr>
          <w:rFonts w:eastAsia="Verdana"/>
        </w:rPr>
        <w:t xml:space="preserve"> </w:t>
      </w:r>
      <w:r w:rsidRPr="5C84413E">
        <w:rPr>
          <w:rFonts w:eastAsia="Verdana"/>
        </w:rPr>
        <w:t xml:space="preserve">report presents a variety of information and data on each state’s workforce agencies. NASWA is currently preparing the 2025 version of the report.  Another useful resource is the </w:t>
      </w:r>
      <w:hyperlink r:id="rId32">
        <w:r w:rsidRPr="659FE24F">
          <w:rPr>
            <w:rStyle w:val="Hyperlink"/>
            <w:rFonts w:eastAsia="Verdana"/>
          </w:rPr>
          <w:t>Council of State Administrators of VR (CSAVR) State Agency Directory</w:t>
        </w:r>
      </w:hyperlink>
      <w:r w:rsidR="000734FF" w:rsidRPr="659FE24F">
        <w:rPr>
          <w:rFonts w:eastAsia="Verdana"/>
        </w:rPr>
        <w:t>.</w:t>
      </w:r>
    </w:p>
    <w:p w14:paraId="530410F8" w14:textId="6B1EA1FC" w:rsidR="00E853D0" w:rsidRPr="00E853D0" w:rsidRDefault="69A4773B" w:rsidP="00FA5B28">
      <w:pPr>
        <w:pStyle w:val="BodyText2"/>
      </w:pPr>
      <w:r w:rsidRPr="5C84413E">
        <w:t xml:space="preserve">Unemployment Insurance </w:t>
      </w:r>
    </w:p>
    <w:p w14:paraId="7031C815" w14:textId="1F54621A" w:rsidR="00E853D0" w:rsidRPr="00E853D0" w:rsidRDefault="69A4773B" w:rsidP="003F0B2C">
      <w:pPr>
        <w:pStyle w:val="BodyText"/>
      </w:pPr>
      <w:r w:rsidRPr="5C84413E">
        <w:rPr>
          <w:rFonts w:eastAsia="Verdana"/>
        </w:rPr>
        <w:t xml:space="preserve">Since Unemployment Insurance (UI) is a federal-state program based on federal law, there are many similarities across the 50 states and territories. </w:t>
      </w:r>
      <w:r w:rsidR="006F75E2" w:rsidRPr="66525C22">
        <w:rPr>
          <w:rFonts w:eastAsia="Verdana"/>
        </w:rPr>
        <w:t xml:space="preserve">While states and territories manage their own programs, they must adhere to certain minimum requirements established by the federal government. </w:t>
      </w:r>
      <w:r w:rsidR="008F6E07">
        <w:rPr>
          <w:rFonts w:eastAsia="Verdana"/>
        </w:rPr>
        <w:t>I</w:t>
      </w:r>
      <w:r w:rsidRPr="5C84413E">
        <w:rPr>
          <w:rFonts w:eastAsia="Verdana"/>
        </w:rPr>
        <w:t>ndividual state laws set the benefit structure (e.g., eligibility/disqualification provisions, benefit amount) and the state tax structure (e.g., state taxable wage base and tax rates).</w:t>
      </w:r>
      <w:r w:rsidR="002C7FA0">
        <w:rPr>
          <w:rFonts w:eastAsia="Verdana"/>
        </w:rPr>
        <w:t xml:space="preserve"> </w:t>
      </w:r>
      <w:r w:rsidR="002C7FA0" w:rsidRPr="002C7FA0">
        <w:rPr>
          <w:rFonts w:eastAsia="Verdana"/>
        </w:rPr>
        <w:t xml:space="preserve">Because state workforce agencies must ensure their UI </w:t>
      </w:r>
      <w:r w:rsidR="002C7FA0" w:rsidRPr="002C7FA0">
        <w:rPr>
          <w:rFonts w:eastAsia="Verdana"/>
        </w:rPr>
        <w:lastRenderedPageBreak/>
        <w:t>programs conform to both state and federal law, regulations, and operational requirements, the actual implementation of the program is generally similar across states.</w:t>
      </w:r>
    </w:p>
    <w:p w14:paraId="0CA94D62" w14:textId="1D64D767" w:rsidR="00E853D0" w:rsidRPr="00E853D0" w:rsidRDefault="69A4773B" w:rsidP="002F6D01">
      <w:pPr>
        <w:pStyle w:val="BodyText"/>
      </w:pPr>
      <w:r w:rsidRPr="659FE24F">
        <w:rPr>
          <w:rFonts w:eastAsia="Verdana"/>
        </w:rPr>
        <w:t xml:space="preserve">The U.S. Department of Labor (DOL) publishes a </w:t>
      </w:r>
      <w:hyperlink r:id="rId33">
        <w:r w:rsidRPr="659FE24F">
          <w:rPr>
            <w:rStyle w:val="Hyperlink"/>
            <w:rFonts w:eastAsia="Verdana"/>
          </w:rPr>
          <w:t>Comparison of State Unemployment Laws</w:t>
        </w:r>
      </w:hyperlink>
      <w:r w:rsidRPr="659FE24F">
        <w:rPr>
          <w:rFonts w:eastAsia="Verdana"/>
        </w:rPr>
        <w:t xml:space="preserve"> and an abridged version compares significant provisions </w:t>
      </w:r>
      <w:r w:rsidR="00A2328D" w:rsidRPr="659FE24F">
        <w:rPr>
          <w:rFonts w:eastAsia="Verdana"/>
        </w:rPr>
        <w:t xml:space="preserve">in </w:t>
      </w:r>
      <w:r w:rsidR="00DC3D25" w:rsidRPr="659FE24F">
        <w:rPr>
          <w:rFonts w:eastAsia="Verdana"/>
        </w:rPr>
        <w:t xml:space="preserve">the </w:t>
      </w:r>
      <w:hyperlink r:id="rId34">
        <w:r w:rsidR="00B65065" w:rsidRPr="659FE24F">
          <w:rPr>
            <w:rStyle w:val="Hyperlink"/>
            <w:rFonts w:eastAsia="Verdana"/>
          </w:rPr>
          <w:t>Significant Provisions of State Unemployment Insurance Laws Effective January 2025</w:t>
        </w:r>
      </w:hyperlink>
      <w:r w:rsidR="00B65065" w:rsidRPr="659FE24F">
        <w:rPr>
          <w:rFonts w:eastAsia="Verdana"/>
        </w:rPr>
        <w:t>.</w:t>
      </w:r>
    </w:p>
    <w:p w14:paraId="16AAC305" w14:textId="7CF6B1AF" w:rsidR="00E853D0" w:rsidRPr="00E853D0" w:rsidRDefault="69A4773B" w:rsidP="00FA5B28">
      <w:pPr>
        <w:pStyle w:val="BodyText2"/>
      </w:pPr>
      <w:r w:rsidRPr="5C84413E">
        <w:t xml:space="preserve">Child Care </w:t>
      </w:r>
    </w:p>
    <w:p w14:paraId="18726B95" w14:textId="7C84BBB0" w:rsidR="00E853D0" w:rsidRPr="00E853D0" w:rsidRDefault="69A4773B" w:rsidP="002F6D01">
      <w:pPr>
        <w:pStyle w:val="BodyText"/>
      </w:pPr>
      <w:r w:rsidRPr="5C84413E">
        <w:rPr>
          <w:rFonts w:eastAsia="Verdana"/>
        </w:rPr>
        <w:t xml:space="preserve">The administration of </w:t>
      </w:r>
      <w:proofErr w:type="gramStart"/>
      <w:r w:rsidRPr="5C84413E">
        <w:rPr>
          <w:rFonts w:eastAsia="Verdana"/>
        </w:rPr>
        <w:t>child care</w:t>
      </w:r>
      <w:proofErr w:type="gramEnd"/>
      <w:r w:rsidRPr="5C84413E">
        <w:rPr>
          <w:rFonts w:eastAsia="Verdana"/>
        </w:rPr>
        <w:t xml:space="preserve"> subsidies varies significantly across the 50 states and District of Columbia.  The Texas Legislature placed the subsidy program within the state's workforce agency to strengthen the focus of </w:t>
      </w:r>
      <w:proofErr w:type="gramStart"/>
      <w:r w:rsidRPr="5C84413E">
        <w:rPr>
          <w:rFonts w:eastAsia="Verdana"/>
        </w:rPr>
        <w:t>child care</w:t>
      </w:r>
      <w:proofErr w:type="gramEnd"/>
      <w:r w:rsidRPr="5C84413E">
        <w:rPr>
          <w:rFonts w:eastAsia="Verdana"/>
        </w:rPr>
        <w:t xml:space="preserve"> as a vital support for parents to participate in the workforce.</w:t>
      </w:r>
    </w:p>
    <w:p w14:paraId="6C667140" w14:textId="01DA9BC9" w:rsidR="00E853D0" w:rsidRPr="00E853D0" w:rsidRDefault="69A4773B" w:rsidP="009036E8">
      <w:pPr>
        <w:pStyle w:val="BodyText"/>
      </w:pPr>
      <w:r w:rsidRPr="5C84413E">
        <w:rPr>
          <w:rFonts w:eastAsia="Verdana"/>
        </w:rPr>
        <w:t xml:space="preserve">Texas is one of four states in which the lead </w:t>
      </w:r>
      <w:r w:rsidR="53F2747D" w:rsidRPr="3F8BBC43">
        <w:rPr>
          <w:rFonts w:eastAsia="Verdana"/>
        </w:rPr>
        <w:t>Child Care and Development Fund (</w:t>
      </w:r>
      <w:r w:rsidRPr="5C84413E">
        <w:rPr>
          <w:rFonts w:eastAsia="Verdana"/>
        </w:rPr>
        <w:t>CCDF</w:t>
      </w:r>
      <w:r w:rsidR="53F2747D" w:rsidRPr="3F8BBC43">
        <w:rPr>
          <w:rFonts w:eastAsia="Verdana"/>
        </w:rPr>
        <w:t>)</w:t>
      </w:r>
      <w:r w:rsidRPr="5C84413E">
        <w:rPr>
          <w:rFonts w:eastAsia="Verdana"/>
        </w:rPr>
        <w:t xml:space="preserve"> agency is the state's workforce agency:</w:t>
      </w:r>
    </w:p>
    <w:p w14:paraId="15693DD9" w14:textId="3A9717C1" w:rsidR="00E853D0" w:rsidRPr="00E853D0" w:rsidRDefault="69A4773B" w:rsidP="00E768A5">
      <w:pPr>
        <w:pStyle w:val="BodyText"/>
        <w:numPr>
          <w:ilvl w:val="0"/>
          <w:numId w:val="2"/>
        </w:numPr>
        <w:rPr>
          <w:rFonts w:eastAsia="Verdana"/>
        </w:rPr>
      </w:pPr>
      <w:r w:rsidRPr="5C84413E">
        <w:rPr>
          <w:rFonts w:eastAsia="Verdana"/>
        </w:rPr>
        <w:t xml:space="preserve">Texas </w:t>
      </w:r>
      <w:r w:rsidRPr="001D4E6B">
        <w:rPr>
          <w:rFonts w:eastAsia="Verdana"/>
        </w:rPr>
        <w:t>Workforce</w:t>
      </w:r>
      <w:r w:rsidRPr="5C84413E">
        <w:rPr>
          <w:rFonts w:eastAsia="Verdana"/>
        </w:rPr>
        <w:t xml:space="preserve"> Commission</w:t>
      </w:r>
    </w:p>
    <w:p w14:paraId="5C98AB2C" w14:textId="5177279F" w:rsidR="00E853D0" w:rsidRPr="00E853D0" w:rsidRDefault="69A4773B" w:rsidP="00E768A5">
      <w:pPr>
        <w:pStyle w:val="BodyText"/>
        <w:numPr>
          <w:ilvl w:val="0"/>
          <w:numId w:val="2"/>
        </w:numPr>
        <w:rPr>
          <w:rFonts w:ascii="Verdana" w:eastAsia="Verdana" w:hAnsi="Verdana" w:cs="Verdana"/>
        </w:rPr>
      </w:pPr>
      <w:hyperlink r:id="rId35">
        <w:r w:rsidRPr="00C67809">
          <w:rPr>
            <w:rStyle w:val="Hyperlink"/>
            <w:rFonts w:eastAsia="Verdana"/>
          </w:rPr>
          <w:t>Arizona Department of Economic Security</w:t>
        </w:r>
      </w:hyperlink>
      <w:r w:rsidRPr="5C84413E">
        <w:rPr>
          <w:rFonts w:ascii="Verdana" w:eastAsia="Verdana" w:hAnsi="Verdana" w:cs="Verdana"/>
        </w:rPr>
        <w:t xml:space="preserve"> </w:t>
      </w:r>
      <w:r w:rsidRPr="002F6D01">
        <w:rPr>
          <w:rFonts w:eastAsia="Verdana"/>
        </w:rPr>
        <w:t>- also administers UI, WIOA, Child Support, TANF, SNAP, Early Childhood Intervention, and several other programs.</w:t>
      </w:r>
    </w:p>
    <w:p w14:paraId="233807C0" w14:textId="6337EDCE" w:rsidR="00E853D0" w:rsidRPr="002F6D01" w:rsidRDefault="69A4773B" w:rsidP="00E768A5">
      <w:pPr>
        <w:pStyle w:val="BodyText"/>
        <w:numPr>
          <w:ilvl w:val="0"/>
          <w:numId w:val="2"/>
        </w:numPr>
        <w:rPr>
          <w:rFonts w:eastAsia="Verdana"/>
        </w:rPr>
      </w:pPr>
      <w:hyperlink r:id="rId36">
        <w:r w:rsidRPr="00A51862">
          <w:rPr>
            <w:rStyle w:val="Hyperlink"/>
            <w:rFonts w:eastAsia="Verdana"/>
          </w:rPr>
          <w:t>Ohio Department of Jobs and Family Services</w:t>
        </w:r>
      </w:hyperlink>
      <w:r w:rsidRPr="5C84413E">
        <w:rPr>
          <w:rFonts w:ascii="Verdana" w:eastAsia="Verdana" w:hAnsi="Verdana" w:cs="Verdana"/>
        </w:rPr>
        <w:t xml:space="preserve"> </w:t>
      </w:r>
      <w:r w:rsidRPr="002F6D01">
        <w:rPr>
          <w:rFonts w:eastAsia="Verdana"/>
        </w:rPr>
        <w:t>- also administers UI, WIOA, Labor Market Information, Child Support, TANF, SNAP, Child Abuse/Neglect, and several other programs.</w:t>
      </w:r>
    </w:p>
    <w:p w14:paraId="169B621A" w14:textId="1D82E21A" w:rsidR="00E853D0" w:rsidRPr="00066468" w:rsidRDefault="69A4773B" w:rsidP="00E768A5">
      <w:pPr>
        <w:pStyle w:val="BodyText"/>
        <w:numPr>
          <w:ilvl w:val="0"/>
          <w:numId w:val="2"/>
        </w:numPr>
        <w:rPr>
          <w:rFonts w:ascii="Verdana" w:eastAsia="Verdana" w:hAnsi="Verdana" w:cs="Verdana"/>
        </w:rPr>
      </w:pPr>
      <w:hyperlink r:id="rId37">
        <w:r w:rsidRPr="00A51862">
          <w:rPr>
            <w:rStyle w:val="Hyperlink"/>
            <w:rFonts w:eastAsia="Verdana"/>
          </w:rPr>
          <w:t xml:space="preserve">Utah Department of Workforce Services </w:t>
        </w:r>
      </w:hyperlink>
      <w:r w:rsidRPr="002F6D01">
        <w:rPr>
          <w:rFonts w:eastAsia="Verdana"/>
        </w:rPr>
        <w:t>- also administers UI, WIOA, Labor Market Information, TANF, SNAP, Medicaid, and several other programs.</w:t>
      </w:r>
    </w:p>
    <w:p w14:paraId="409C1BBC" w14:textId="15383CC5" w:rsidR="00E853D0" w:rsidRPr="00E853D0" w:rsidRDefault="69A4773B" w:rsidP="00E54C3B">
      <w:pPr>
        <w:pStyle w:val="BodyText"/>
      </w:pPr>
      <w:r w:rsidRPr="5C84413E">
        <w:rPr>
          <w:rFonts w:eastAsia="Verdana"/>
        </w:rPr>
        <w:t xml:space="preserve">The Prenatal-to-3 Policy Impact Center has published a </w:t>
      </w:r>
      <w:hyperlink r:id="rId38" w:anchor="state-governance-structures">
        <w:r w:rsidR="00407156" w:rsidRPr="659FE24F">
          <w:rPr>
            <w:rStyle w:val="Hyperlink"/>
            <w:rFonts w:eastAsia="Verdana"/>
          </w:rPr>
          <w:t>State Governance Structures</w:t>
        </w:r>
      </w:hyperlink>
      <w:r w:rsidR="00B023FF">
        <w:rPr>
          <w:rFonts w:eastAsia="Verdana"/>
        </w:rPr>
        <w:t xml:space="preserve"> </w:t>
      </w:r>
      <w:r w:rsidRPr="5C84413E">
        <w:rPr>
          <w:rFonts w:eastAsia="Verdana"/>
        </w:rPr>
        <w:t>study on the various governance structures of states' early childhood programs. This report notes that only two states have workforce agencies as the lead CCDF entity – Texas and Utah.  It is unclear why they did not classify the Arizona Dept of Economic Security nor the Ohio Depart of Jobs and Family Services as workforce agencies.</w:t>
      </w:r>
    </w:p>
    <w:p w14:paraId="50600482" w14:textId="3AC5D13E" w:rsidR="001418D9" w:rsidRPr="00143F85" w:rsidRDefault="00143F85" w:rsidP="00143F85">
      <w:pPr>
        <w:ind w:left="720" w:hanging="720"/>
        <w:rPr>
          <w:rStyle w:val="Strong"/>
          <w:bCs w:val="0"/>
        </w:rPr>
      </w:pPr>
      <w:bookmarkStart w:id="37" w:name="_Toc417645465"/>
      <w:bookmarkStart w:id="38" w:name="_Toc417647454"/>
      <w:r>
        <w:rPr>
          <w:rStyle w:val="Strong"/>
          <w:b/>
          <w:bCs w:val="0"/>
        </w:rPr>
        <w:t>G.</w:t>
      </w:r>
      <w:r>
        <w:rPr>
          <w:rStyle w:val="Strong"/>
          <w:b/>
          <w:bCs w:val="0"/>
        </w:rPr>
        <w:tab/>
      </w:r>
      <w:r w:rsidR="001418D9" w:rsidRPr="00143F85">
        <w:rPr>
          <w:rStyle w:val="Strong"/>
          <w:b/>
          <w:bCs w:val="0"/>
        </w:rPr>
        <w:t>Discuss any changes that could impact your agency</w:t>
      </w:r>
      <w:r w:rsidR="00F044D6" w:rsidRPr="00143F85">
        <w:rPr>
          <w:rStyle w:val="Strong"/>
          <w:b/>
          <w:bCs w:val="0"/>
        </w:rPr>
        <w:t>’</w:t>
      </w:r>
      <w:r w:rsidR="001418D9" w:rsidRPr="00143F85">
        <w:rPr>
          <w:rStyle w:val="Strong"/>
          <w:b/>
          <w:bCs w:val="0"/>
        </w:rPr>
        <w:t xml:space="preserve">s key functions </w:t>
      </w:r>
      <w:proofErr w:type="gramStart"/>
      <w:r w:rsidR="001418D9" w:rsidRPr="00143F85">
        <w:rPr>
          <w:rStyle w:val="Strong"/>
          <w:b/>
          <w:bCs w:val="0"/>
        </w:rPr>
        <w:t>in the near future</w:t>
      </w:r>
      <w:proofErr w:type="gramEnd"/>
      <w:r w:rsidR="001418D9" w:rsidRPr="00143F85">
        <w:rPr>
          <w:rStyle w:val="Strong"/>
          <w:b/>
          <w:bCs w:val="0"/>
        </w:rPr>
        <w:t xml:space="preserve"> (e.g., changes in federal law or outstanding court cases)</w:t>
      </w:r>
      <w:r w:rsidR="001D2F91" w:rsidRPr="00143F85">
        <w:rPr>
          <w:rStyle w:val="Strong"/>
          <w:b/>
          <w:bCs w:val="0"/>
        </w:rPr>
        <w:t>.</w:t>
      </w:r>
      <w:bookmarkEnd w:id="37"/>
      <w:bookmarkEnd w:id="38"/>
    </w:p>
    <w:p w14:paraId="4E0528E5" w14:textId="4C250993" w:rsidR="00600A72" w:rsidRDefault="00600A72" w:rsidP="00C45917">
      <w:pPr>
        <w:pStyle w:val="BodyText"/>
        <w:rPr>
          <w:rFonts w:ascii="Segoe UI" w:hAnsi="Segoe UI"/>
          <w:sz w:val="18"/>
          <w:szCs w:val="18"/>
        </w:rPr>
      </w:pPr>
      <w:r>
        <w:rPr>
          <w:rFonts w:cs="Segoe UI"/>
        </w:rPr>
        <w:t xml:space="preserve">TWC is navigating a complex landscape shaped by several key forces that </w:t>
      </w:r>
      <w:r w:rsidR="0028555C">
        <w:rPr>
          <w:rFonts w:cs="Segoe UI"/>
        </w:rPr>
        <w:t>require</w:t>
      </w:r>
      <w:r>
        <w:rPr>
          <w:rFonts w:cs="Segoe UI"/>
        </w:rPr>
        <w:t xml:space="preserve"> proactive and adaptable strategies to meet the demands of one of the largest workforces</w:t>
      </w:r>
      <w:r w:rsidR="0054651C">
        <w:rPr>
          <w:rFonts w:cs="Segoe UI"/>
        </w:rPr>
        <w:t xml:space="preserve"> in the country</w:t>
      </w:r>
      <w:r>
        <w:rPr>
          <w:rFonts w:cs="Segoe UI"/>
        </w:rPr>
        <w:t xml:space="preserve">. Technological advancements, including automation and AI, are revolutionizing the job market, necessitating a shift towards highly skilled training programs for the next generation of job seekers. Working closely with community colleges and education partners is vital in meeting this need. As a result, the agency must be proactive in developing solutions to equip the workforce with skills that help them remain relevant and meet employer needs in an increasingly automated world. </w:t>
      </w:r>
    </w:p>
    <w:p w14:paraId="36FEB8BA" w14:textId="3E07899A" w:rsidR="00600A72" w:rsidRDefault="00600A72" w:rsidP="00A871A6">
      <w:pPr>
        <w:pStyle w:val="BodyText"/>
        <w:rPr>
          <w:rFonts w:ascii="Segoe UI" w:hAnsi="Segoe UI"/>
          <w:sz w:val="18"/>
          <w:szCs w:val="18"/>
        </w:rPr>
      </w:pPr>
      <w:r>
        <w:rPr>
          <w:rFonts w:cs="Segoe UI"/>
        </w:rPr>
        <w:lastRenderedPageBreak/>
        <w:t xml:space="preserve">Texas's significant population and business growth presents both opportunities and challenges for TWC. The influx of new residents and businesses creates increased demand for job training and skills development programs, requiring investment in infrastructure and strategies to upskill and reskill the Texas workforce. Tailored programs are </w:t>
      </w:r>
      <w:r w:rsidR="00996FBC">
        <w:rPr>
          <w:rFonts w:cs="Segoe UI"/>
        </w:rPr>
        <w:t xml:space="preserve">critical </w:t>
      </w:r>
      <w:r>
        <w:rPr>
          <w:rFonts w:cs="Segoe UI"/>
        </w:rPr>
        <w:t xml:space="preserve">to </w:t>
      </w:r>
      <w:r w:rsidR="00996FBC">
        <w:rPr>
          <w:rFonts w:cs="Segoe UI"/>
        </w:rPr>
        <w:t>support</w:t>
      </w:r>
      <w:r>
        <w:rPr>
          <w:rFonts w:cs="Segoe UI"/>
        </w:rPr>
        <w:t xml:space="preserve"> the diverse needs of the growing population. This period of rapid growth also </w:t>
      </w:r>
      <w:r w:rsidR="00675D9A">
        <w:rPr>
          <w:rFonts w:cs="Segoe UI"/>
        </w:rPr>
        <w:t xml:space="preserve">creates the need for </w:t>
      </w:r>
      <w:r>
        <w:rPr>
          <w:rFonts w:cs="Segoe UI"/>
        </w:rPr>
        <w:t>st</w:t>
      </w:r>
      <w:r w:rsidR="00675D9A">
        <w:rPr>
          <w:rFonts w:cs="Segoe UI"/>
        </w:rPr>
        <w:t>ronger</w:t>
      </w:r>
      <w:r>
        <w:rPr>
          <w:rFonts w:cs="Segoe UI"/>
        </w:rPr>
        <w:t xml:space="preserve"> employer relationships to understand evolving workforce demands and align training programs with industry needs.</w:t>
      </w:r>
    </w:p>
    <w:p w14:paraId="783CB1D8" w14:textId="4236ABAB" w:rsidR="7B2AEDDF" w:rsidRDefault="7B2AEDDF" w:rsidP="00702193">
      <w:pPr>
        <w:pStyle w:val="BodyText"/>
      </w:pPr>
      <w:r w:rsidRPr="78264E72">
        <w:t>Uncertainties surrounding federal program funding further complicate the picture. Examples include funding delays for critical functions like the administration of the Unemployment Benefits program and the Adult Education and Literacy program as the future of federal funding is</w:t>
      </w:r>
      <w:r w:rsidR="00561417" w:rsidRPr="000A1064">
        <w:t xml:space="preserve"> </w:t>
      </w:r>
      <w:r w:rsidRPr="78264E72">
        <w:t>being considered. Moreover, TWC must be prepared for potential reductions in federal funding and changes to existing</w:t>
      </w:r>
      <w:r w:rsidR="006237A6">
        <w:t xml:space="preserve"> federal</w:t>
      </w:r>
      <w:r w:rsidRPr="78264E72">
        <w:t xml:space="preserve"> policies that would significantly impact its programs and services. For example, leadership at the federal </w:t>
      </w:r>
      <w:r w:rsidR="3B179C62">
        <w:t xml:space="preserve">level </w:t>
      </w:r>
      <w:r>
        <w:t>has</w:t>
      </w:r>
      <w:r w:rsidRPr="78264E72">
        <w:t xml:space="preserve"> discussed defunding the Adult Education and Literacy program nationwide. In FY 2024 alone, this program helped more than 70,000 Texans prepare for their high school equivalency degree, progress in learning English as a second language, and prepare for workplace activities. The agency's reliance on federal funding to achieve its mission necessitates strategic planning to mitigate potential disruptions and ensure the continuity of essential services.</w:t>
      </w:r>
    </w:p>
    <w:p w14:paraId="05DB75D9" w14:textId="1D0D7E60" w:rsidR="00600A72" w:rsidRDefault="0073A3CE" w:rsidP="00A871A6">
      <w:pPr>
        <w:pStyle w:val="BodyText"/>
        <w:rPr>
          <w:rFonts w:ascii="Segoe UI" w:hAnsi="Segoe UI"/>
          <w:sz w:val="18"/>
          <w:szCs w:val="18"/>
        </w:rPr>
      </w:pPr>
      <w:r w:rsidRPr="0BE338CC">
        <w:rPr>
          <w:rFonts w:cs="Segoe UI"/>
        </w:rPr>
        <w:t xml:space="preserve">TWC's fraud detection and prevention efforts </w:t>
      </w:r>
      <w:r w:rsidR="3B75FE0E" w:rsidRPr="0BE338CC">
        <w:rPr>
          <w:rFonts w:cs="Segoe UI"/>
        </w:rPr>
        <w:t xml:space="preserve">have </w:t>
      </w:r>
      <w:r w:rsidRPr="0BE338CC">
        <w:rPr>
          <w:rFonts w:cs="Segoe UI"/>
        </w:rPr>
        <w:t>becom</w:t>
      </w:r>
      <w:r w:rsidR="6B8DAF62" w:rsidRPr="0BE338CC">
        <w:rPr>
          <w:rFonts w:cs="Segoe UI"/>
        </w:rPr>
        <w:t>e</w:t>
      </w:r>
      <w:r w:rsidRPr="0BE338CC">
        <w:rPr>
          <w:rFonts w:cs="Segoe UI"/>
        </w:rPr>
        <w:t xml:space="preserve"> increasingly critical</w:t>
      </w:r>
      <w:r w:rsidR="6140EFAD" w:rsidRPr="0BE338CC">
        <w:rPr>
          <w:rFonts w:cs="Segoe UI"/>
        </w:rPr>
        <w:t xml:space="preserve"> especially for the unemployment insurance program since 2020</w:t>
      </w:r>
      <w:r w:rsidRPr="0BE338CC">
        <w:rPr>
          <w:rFonts w:cs="Segoe UI"/>
        </w:rPr>
        <w:t xml:space="preserve">. </w:t>
      </w:r>
      <w:r w:rsidRPr="6FADF6D0">
        <w:rPr>
          <w:rFonts w:cs="Segoe UI"/>
        </w:rPr>
        <w:t xml:space="preserve">TWC </w:t>
      </w:r>
      <w:r w:rsidR="227A7F06" w:rsidRPr="6FADF6D0">
        <w:rPr>
          <w:rFonts w:cs="Segoe UI"/>
        </w:rPr>
        <w:t>has developed a</w:t>
      </w:r>
      <w:r w:rsidR="32326D6F" w:rsidRPr="6FADF6D0">
        <w:rPr>
          <w:rFonts w:cs="Segoe UI"/>
        </w:rPr>
        <w:t xml:space="preserve"> highly </w:t>
      </w:r>
      <w:r w:rsidR="3EF39718" w:rsidRPr="6FADF6D0">
        <w:rPr>
          <w:rFonts w:cs="Segoe UI"/>
        </w:rPr>
        <w:t xml:space="preserve">effective fraud detection and prevention </w:t>
      </w:r>
      <w:r w:rsidR="227A7F06" w:rsidRPr="6FADF6D0">
        <w:rPr>
          <w:rFonts w:cs="Segoe UI"/>
        </w:rPr>
        <w:t xml:space="preserve">system </w:t>
      </w:r>
      <w:r w:rsidR="53A34FB9" w:rsidRPr="6FADF6D0">
        <w:rPr>
          <w:rFonts w:cs="Segoe UI"/>
        </w:rPr>
        <w:t xml:space="preserve">and is </w:t>
      </w:r>
      <w:r w:rsidR="3A67C4BC" w:rsidRPr="6FADF6D0">
        <w:rPr>
          <w:rFonts w:cs="Segoe UI"/>
        </w:rPr>
        <w:t xml:space="preserve">constantly </w:t>
      </w:r>
      <w:r w:rsidR="03D3134B" w:rsidRPr="6FADF6D0">
        <w:rPr>
          <w:rFonts w:cs="Segoe UI"/>
        </w:rPr>
        <w:t>re</w:t>
      </w:r>
      <w:r w:rsidR="53A34FB9" w:rsidRPr="6FADF6D0">
        <w:rPr>
          <w:rFonts w:cs="Segoe UI"/>
        </w:rPr>
        <w:t xml:space="preserve">evaluating and modifying the </w:t>
      </w:r>
      <w:r w:rsidR="6576F561" w:rsidRPr="6FADF6D0">
        <w:rPr>
          <w:rFonts w:cs="Segoe UI"/>
        </w:rPr>
        <w:t xml:space="preserve">system of </w:t>
      </w:r>
      <w:r w:rsidR="53A34FB9" w:rsidRPr="6FADF6D0">
        <w:rPr>
          <w:rFonts w:cs="Segoe UI"/>
        </w:rPr>
        <w:t xml:space="preserve">fraud controls </w:t>
      </w:r>
      <w:r w:rsidRPr="0BE338CC">
        <w:rPr>
          <w:rFonts w:cs="Segoe UI"/>
        </w:rPr>
        <w:t>to ensure UI benefits are only paid to eligible individuals. This includes leveraging data analytics to identify suspicious claims, enhancing identity verification processes, and collaborating with law enforcement to prosecute fraudulent activities. Proactive measures in fraud prevention safeguard resources and maintain the integrity of the unemployment insurance system.</w:t>
      </w:r>
    </w:p>
    <w:p w14:paraId="4F44CA2B" w14:textId="16DB69F9" w:rsidR="00600A72" w:rsidRDefault="00600A72" w:rsidP="00A871A6">
      <w:pPr>
        <w:pStyle w:val="BodyText"/>
        <w:rPr>
          <w:rFonts w:ascii="Segoe UI" w:hAnsi="Segoe UI"/>
          <w:sz w:val="18"/>
          <w:szCs w:val="18"/>
        </w:rPr>
      </w:pPr>
      <w:r>
        <w:rPr>
          <w:rFonts w:cs="Segoe UI"/>
        </w:rPr>
        <w:t xml:space="preserve">To effectively address these challenges, TWC continues to embrace a data-driven, innovative, and collaborative approach. Continuous monitoring of labor market trends, ongoing evaluation of program effectiveness, and strong partnerships with employers, training providers, and community organizations are essential. </w:t>
      </w:r>
    </w:p>
    <w:p w14:paraId="1D0CA046" w14:textId="22E2AAC0" w:rsidR="000A1064" w:rsidRDefault="00600A72" w:rsidP="00A871A6">
      <w:pPr>
        <w:pStyle w:val="BodyText"/>
        <w:rPr>
          <w:rFonts w:cs="Segoe UI"/>
        </w:rPr>
      </w:pPr>
      <w:r>
        <w:rPr>
          <w:rFonts w:cs="Segoe UI"/>
        </w:rPr>
        <w:t>Ultimately, TWC's ability to navigate these complexities will support Texas's growth, translating into shared prosperity for all its residents. By proactively adapting to the ever-changing technology landscape, addressing potential disruptions in federal programs and funding, and maintaining vigilance against fraud, TWC plays a critical role in mitigating workforce shortages, skills gaps, and economic inequality, ensuring a thriving economy for all Texans.</w:t>
      </w:r>
    </w:p>
    <w:p w14:paraId="6CBD535A" w14:textId="77777777" w:rsidR="000A1064" w:rsidRDefault="000A1064">
      <w:pPr>
        <w:rPr>
          <w:rFonts w:ascii="Arial" w:eastAsiaTheme="minorEastAsia" w:hAnsi="Arial" w:cs="Segoe UI"/>
          <w:szCs w:val="22"/>
        </w:rPr>
      </w:pPr>
      <w:r>
        <w:rPr>
          <w:rFonts w:cs="Segoe UI"/>
        </w:rPr>
        <w:br w:type="page"/>
      </w:r>
    </w:p>
    <w:p w14:paraId="700EC2CB" w14:textId="4C1B8582" w:rsidR="00D05C90" w:rsidRPr="007C5788" w:rsidRDefault="007C5788" w:rsidP="007C5788">
      <w:pPr>
        <w:ind w:left="720" w:hanging="720"/>
        <w:rPr>
          <w:rStyle w:val="Strong"/>
          <w:bCs w:val="0"/>
        </w:rPr>
      </w:pPr>
      <w:bookmarkStart w:id="39" w:name="_Toc417645467"/>
      <w:bookmarkStart w:id="40" w:name="_Toc417647456"/>
      <w:r>
        <w:rPr>
          <w:rStyle w:val="Strong"/>
          <w:b/>
          <w:bCs w:val="0"/>
        </w:rPr>
        <w:lastRenderedPageBreak/>
        <w:t>H.</w:t>
      </w:r>
      <w:r>
        <w:rPr>
          <w:rStyle w:val="Strong"/>
          <w:b/>
          <w:bCs w:val="0"/>
        </w:rPr>
        <w:tab/>
      </w:r>
      <w:r w:rsidR="00D05C90" w:rsidRPr="007C5788">
        <w:rPr>
          <w:rStyle w:val="Strong"/>
          <w:b/>
          <w:bCs w:val="0"/>
        </w:rPr>
        <w:t xml:space="preserve">Overall, how does the agency </w:t>
      </w:r>
      <w:r w:rsidR="00B60F05" w:rsidRPr="007C5788">
        <w:rPr>
          <w:rStyle w:val="Strong"/>
          <w:b/>
          <w:bCs w:val="0"/>
        </w:rPr>
        <w:t xml:space="preserve">monitor and </w:t>
      </w:r>
      <w:r w:rsidR="00D05C90" w:rsidRPr="007C5788">
        <w:rPr>
          <w:rStyle w:val="Strong"/>
          <w:b/>
          <w:bCs w:val="0"/>
        </w:rPr>
        <w:t xml:space="preserve">measure its effectiveness in carrying out its </w:t>
      </w:r>
      <w:r w:rsidR="00B60F05" w:rsidRPr="007C5788">
        <w:rPr>
          <w:rStyle w:val="Strong"/>
          <w:b/>
          <w:bCs w:val="0"/>
        </w:rPr>
        <w:t xml:space="preserve">functions and </w:t>
      </w:r>
      <w:r w:rsidR="00D05C90" w:rsidRPr="007C5788">
        <w:rPr>
          <w:rStyle w:val="Strong"/>
          <w:b/>
          <w:bCs w:val="0"/>
        </w:rPr>
        <w:t xml:space="preserve">objectives? </w:t>
      </w:r>
    </w:p>
    <w:p w14:paraId="02A5A5CD" w14:textId="66E973A5" w:rsidR="00316C05" w:rsidRDefault="00316C05" w:rsidP="00316C05">
      <w:pPr>
        <w:pStyle w:val="BodyText"/>
      </w:pPr>
      <w:r>
        <w:t xml:space="preserve">TWC has a long-standing commitment to performance excellence, deeply embedded in its organizational culture. Central to TWC's performance-driven approach is its coordination with local Workforce </w:t>
      </w:r>
      <w:r w:rsidRPr="00316C05">
        <w:t>Development</w:t>
      </w:r>
      <w:r>
        <w:t xml:space="preserve"> Boards. TWC actively monitors the performance of local Workforce Development Boards and the broader workforce system through regular performance reports. The agency engages with system partners to provide technical assistance, share best practices, and foster a collaborative environment focused on continuous improvement. This collaborative effort ensures that workforce development initiatives are effectively implemented at the local level, aligning with statewide goals and priorities.</w:t>
      </w:r>
    </w:p>
    <w:p w14:paraId="27D65502" w14:textId="10CA40E4" w:rsidR="00316C05" w:rsidRDefault="00316C05" w:rsidP="00316C05">
      <w:pPr>
        <w:pStyle w:val="BodyText"/>
      </w:pPr>
      <w:r>
        <w:t xml:space="preserve">TWC employs a robust system for evaluating its programs and operations. The agency assesses programs and partners by comparing </w:t>
      </w:r>
      <w:r w:rsidRPr="00316C05">
        <w:t>performance</w:t>
      </w:r>
      <w:r>
        <w:t xml:space="preserve"> against predetermined targets, establishing a "Percent of Target" for each measure. Based on these comparisons, programs and partners are rated as either "Meeting," "Positive Performance," or "Negative Performance," providing a clear and concise overview of their effectiveness. Statistical models guide target setting, considering a variety of factors such as case mixes and economic conditions.</w:t>
      </w:r>
    </w:p>
    <w:p w14:paraId="3C1D2727" w14:textId="455F65FD" w:rsidR="00316C05" w:rsidRDefault="00316C05" w:rsidP="00316C05">
      <w:pPr>
        <w:pStyle w:val="BodyText"/>
      </w:pPr>
      <w:r>
        <w:t xml:space="preserve">To ensure accountability and drive continuous improvement, TWC has embraced Statistical Adjustment Models and Performance Assessment Models that utilize state data structures. While adhering to federally mandated performance measures, TWC also applies state-prescribed measures and collaborates with partners to develop and test alternative metrics that provide a more meaningful way of communicating strengths and identifying areas for improvement. This commitment to data-driven </w:t>
      </w:r>
      <w:r w:rsidR="00354DF7">
        <w:t>decision making</w:t>
      </w:r>
      <w:r>
        <w:t xml:space="preserve"> is </w:t>
      </w:r>
      <w:r w:rsidR="00507F7A">
        <w:t>critical</w:t>
      </w:r>
      <w:r>
        <w:t xml:space="preserve"> for maximizing the impact of workforce development initiatives.</w:t>
      </w:r>
    </w:p>
    <w:p w14:paraId="0568F024" w14:textId="57D096C3" w:rsidR="00316C05" w:rsidRDefault="00316C05" w:rsidP="00316C05">
      <w:pPr>
        <w:pStyle w:val="BodyText"/>
      </w:pPr>
      <w:r>
        <w:t>TWC utilizes a range of analytical and statistical techniques, including quasi-experimental techniques and randomized controlled trials, to conduct thorough program evaluations. The agency also collaborates with Workforce Development Boards, partners, and academic researchers on evaluations and participates in federal studies to expand its knowledge base and identify best practices. By leveraging these diverse evaluation methods, TWC ensures that its programs and services are continuously evolving to meet the ever-changing needs of Texas workers and employers.</w:t>
      </w:r>
    </w:p>
    <w:p w14:paraId="67D96CC4" w14:textId="05B2D691" w:rsidR="00316C05" w:rsidRDefault="00316C05" w:rsidP="00316C05">
      <w:pPr>
        <w:pStyle w:val="BodyText"/>
      </w:pPr>
      <w:r>
        <w:t xml:space="preserve">TWC has made continuous improvement part of the agency’s culture. The 82nd Texas Legislature charged TWC with establishing a pilot program to improve the efficiency and quality of operations while reducing costs. The results of that pilot were promising, and TWC developed a suite of rapid process improvement principles and tools to support continuous improvement efforts across the agency. That has since evolved to a business transformation-oriented approach. Today, business transformation at TWC includes taking a holistic view of the agency and shifting our systems and processes to better support our agency’s vision, mission, and goals. Through both rapid process improvement and </w:t>
      </w:r>
      <w:r>
        <w:lastRenderedPageBreak/>
        <w:t>business transformation, TWC actively seeks to enhance the quality and efficiency of its programs and services while addressing system-level challenges.</w:t>
      </w:r>
    </w:p>
    <w:p w14:paraId="0153CB34" w14:textId="360D36C2" w:rsidR="00D05C90" w:rsidRPr="00605F40" w:rsidRDefault="00316C05" w:rsidP="00316C05">
      <w:pPr>
        <w:pStyle w:val="BodyText"/>
      </w:pPr>
      <w:r>
        <w:t>By focusing on performance, fostering strong partnerships, and embracing data-driven decision-making, TWC strives to create a dynamic and effective workforce system that benefits all Texans.</w:t>
      </w:r>
    </w:p>
    <w:p w14:paraId="16E0983D" w14:textId="5CB128D2" w:rsidR="000D357D" w:rsidRPr="001140D1" w:rsidRDefault="004A1DC9" w:rsidP="003647D9">
      <w:pPr>
        <w:pStyle w:val="BodyText3"/>
        <w:jc w:val="center"/>
        <w:rPr>
          <w:rStyle w:val="Strong"/>
          <w:b w:val="0"/>
          <w:bCs w:val="0"/>
        </w:rPr>
      </w:pPr>
      <w:bookmarkStart w:id="41" w:name="_Toc202856304"/>
      <w:bookmarkStart w:id="42" w:name="_Toc202856967"/>
      <w:bookmarkStart w:id="43" w:name="_Toc202857120"/>
      <w:bookmarkStart w:id="44" w:name="_Toc202860900"/>
      <w:bookmarkStart w:id="45" w:name="_Toc202861073"/>
      <w:bookmarkStart w:id="46" w:name="_Toc732637048"/>
      <w:bookmarkStart w:id="47" w:name="_Toc1398287714"/>
      <w:bookmarkStart w:id="48" w:name="_Toc417645469"/>
      <w:bookmarkStart w:id="49" w:name="_Toc417647458"/>
      <w:bookmarkEnd w:id="39"/>
      <w:bookmarkEnd w:id="40"/>
      <w:r>
        <w:t>Texas Workforce Commission</w:t>
      </w:r>
      <w:bookmarkEnd w:id="41"/>
      <w:bookmarkEnd w:id="42"/>
      <w:bookmarkEnd w:id="43"/>
      <w:bookmarkEnd w:id="44"/>
      <w:bookmarkEnd w:id="45"/>
      <w:bookmarkEnd w:id="46"/>
      <w:bookmarkEnd w:id="47"/>
      <w:r w:rsidR="000A1064">
        <w:br/>
      </w:r>
      <w:bookmarkStart w:id="50" w:name="_Toc202856305"/>
      <w:bookmarkStart w:id="51" w:name="_Toc202856968"/>
      <w:bookmarkStart w:id="52" w:name="_Toc202857121"/>
      <w:bookmarkStart w:id="53" w:name="_Toc202860901"/>
      <w:bookmarkStart w:id="54" w:name="_Toc202861074"/>
      <w:bookmarkStart w:id="55" w:name="_Toc1542943966"/>
      <w:bookmarkStart w:id="56" w:name="_Toc849410705"/>
      <w:r w:rsidR="000D357D" w:rsidRPr="003647D9">
        <w:rPr>
          <w:rStyle w:val="Strong"/>
        </w:rPr>
        <w:t>Exhibit 2: Performance Measures — Fiscal Year 20</w:t>
      </w:r>
      <w:r w:rsidR="001B3D85" w:rsidRPr="003647D9">
        <w:rPr>
          <w:rStyle w:val="Strong"/>
        </w:rPr>
        <w:t>2</w:t>
      </w:r>
      <w:r w:rsidR="00A33D02" w:rsidRPr="003647D9">
        <w:rPr>
          <w:rStyle w:val="Strong"/>
        </w:rPr>
        <w:t>4</w:t>
      </w:r>
      <w:bookmarkEnd w:id="48"/>
      <w:bookmarkEnd w:id="49"/>
      <w:bookmarkEnd w:id="50"/>
      <w:bookmarkEnd w:id="51"/>
      <w:bookmarkEnd w:id="52"/>
      <w:bookmarkEnd w:id="53"/>
      <w:bookmarkEnd w:id="54"/>
      <w:bookmarkEnd w:id="55"/>
      <w:bookmarkEnd w:id="56"/>
    </w:p>
    <w:tbl>
      <w:tblPr>
        <w:tblStyle w:val="TableGrid1"/>
        <w:tblW w:w="9350" w:type="dxa"/>
        <w:tblCellMar>
          <w:top w:w="115" w:type="dxa"/>
          <w:bottom w:w="115" w:type="dxa"/>
        </w:tblCellMar>
        <w:tblLook w:val="04A0" w:firstRow="1" w:lastRow="0" w:firstColumn="1" w:lastColumn="0" w:noHBand="0" w:noVBand="1"/>
        <w:tblDescription w:val="Table template for Exhibit 2 showing the key performance measures for fiscal year 2014."/>
      </w:tblPr>
      <w:tblGrid>
        <w:gridCol w:w="4169"/>
        <w:gridCol w:w="1174"/>
        <w:gridCol w:w="1187"/>
        <w:gridCol w:w="1508"/>
        <w:gridCol w:w="1312"/>
      </w:tblGrid>
      <w:tr w:rsidR="003647D9" w:rsidRPr="003647D9" w14:paraId="2807195E" w14:textId="77777777" w:rsidTr="001A59C0">
        <w:trPr>
          <w:trHeight w:val="864"/>
          <w:tblHeader/>
        </w:trPr>
        <w:tc>
          <w:tcPr>
            <w:tcW w:w="4169" w:type="dxa"/>
            <w:shd w:val="clear" w:color="auto" w:fill="B8CCE4" w:themeFill="accent1" w:themeFillTint="66"/>
            <w:vAlign w:val="center"/>
            <w:hideMark/>
          </w:tcPr>
          <w:p w14:paraId="4B00A7BE" w14:textId="2C8FA91F" w:rsidR="003647D9" w:rsidRPr="00D979DB" w:rsidRDefault="003647D9" w:rsidP="001A73FB">
            <w:pPr>
              <w:pStyle w:val="TableHeaders"/>
            </w:pPr>
            <w:bookmarkStart w:id="57" w:name="Title_Key_Performance_Measures" w:colFirst="0" w:colLast="0"/>
            <w:r w:rsidRPr="00D979DB">
              <w:t>Performance Measures</w:t>
            </w:r>
          </w:p>
        </w:tc>
        <w:tc>
          <w:tcPr>
            <w:tcW w:w="1174" w:type="dxa"/>
            <w:shd w:val="clear" w:color="auto" w:fill="B8CCE4" w:themeFill="accent1" w:themeFillTint="66"/>
            <w:vAlign w:val="center"/>
            <w:hideMark/>
          </w:tcPr>
          <w:p w14:paraId="732FF4CB" w14:textId="77777777" w:rsidR="003647D9" w:rsidRPr="00D979DB" w:rsidRDefault="003647D9" w:rsidP="001A73FB">
            <w:pPr>
              <w:pStyle w:val="TableHeaders"/>
            </w:pPr>
            <w:r w:rsidRPr="00D979DB">
              <w:t>LBB Measure Type</w:t>
            </w:r>
          </w:p>
        </w:tc>
        <w:tc>
          <w:tcPr>
            <w:tcW w:w="1187" w:type="dxa"/>
            <w:shd w:val="clear" w:color="auto" w:fill="B8CCE4" w:themeFill="accent1" w:themeFillTint="66"/>
            <w:vAlign w:val="center"/>
            <w:hideMark/>
          </w:tcPr>
          <w:p w14:paraId="11CF089C" w14:textId="77777777" w:rsidR="003647D9" w:rsidRPr="00D979DB" w:rsidRDefault="003647D9" w:rsidP="001A73FB">
            <w:pPr>
              <w:pStyle w:val="TableHeaders"/>
            </w:pPr>
            <w:r w:rsidRPr="00D979DB">
              <w:t>FY 2024</w:t>
            </w:r>
            <w:r w:rsidRPr="00D979DB">
              <w:br/>
              <w:t>Target</w:t>
            </w:r>
          </w:p>
        </w:tc>
        <w:tc>
          <w:tcPr>
            <w:tcW w:w="1508" w:type="dxa"/>
            <w:shd w:val="clear" w:color="auto" w:fill="B8CCE4" w:themeFill="accent1" w:themeFillTint="66"/>
            <w:vAlign w:val="center"/>
            <w:hideMark/>
          </w:tcPr>
          <w:p w14:paraId="4E89FBB3" w14:textId="77777777" w:rsidR="003647D9" w:rsidRPr="00D979DB" w:rsidRDefault="003647D9" w:rsidP="001A73FB">
            <w:pPr>
              <w:pStyle w:val="TableHeaders"/>
            </w:pPr>
            <w:r w:rsidRPr="00D979DB">
              <w:t>FY 2024</w:t>
            </w:r>
            <w:r w:rsidRPr="00D979DB">
              <w:br/>
              <w:t>Actual Performance</w:t>
            </w:r>
          </w:p>
        </w:tc>
        <w:tc>
          <w:tcPr>
            <w:tcW w:w="1312" w:type="dxa"/>
            <w:shd w:val="clear" w:color="auto" w:fill="B8CCE4" w:themeFill="accent1" w:themeFillTint="66"/>
            <w:vAlign w:val="center"/>
            <w:hideMark/>
          </w:tcPr>
          <w:p w14:paraId="1E89D041" w14:textId="77777777" w:rsidR="003647D9" w:rsidRPr="00D979DB" w:rsidRDefault="003647D9" w:rsidP="001A73FB">
            <w:pPr>
              <w:pStyle w:val="TableHeaders"/>
            </w:pPr>
            <w:r w:rsidRPr="00D979DB">
              <w:t>FY 2024</w:t>
            </w:r>
            <w:r w:rsidRPr="00D979DB">
              <w:br/>
              <w:t>% of Annual Target</w:t>
            </w:r>
          </w:p>
        </w:tc>
      </w:tr>
      <w:tr w:rsidR="008B2B3E" w:rsidRPr="003647D9" w14:paraId="709B0588" w14:textId="77777777" w:rsidTr="00297122">
        <w:trPr>
          <w:trHeight w:val="288"/>
        </w:trPr>
        <w:tc>
          <w:tcPr>
            <w:tcW w:w="4169" w:type="dxa"/>
            <w:vAlign w:val="center"/>
            <w:hideMark/>
          </w:tcPr>
          <w:p w14:paraId="3364F720" w14:textId="77777777" w:rsidR="003647D9" w:rsidRPr="003647D9" w:rsidRDefault="003647D9" w:rsidP="00297122">
            <w:pPr>
              <w:pStyle w:val="TableText"/>
            </w:pPr>
            <w:r w:rsidRPr="003647D9">
              <w:t xml:space="preserve">Average Cost per Participant Served - VR </w:t>
            </w:r>
          </w:p>
        </w:tc>
        <w:tc>
          <w:tcPr>
            <w:tcW w:w="1174" w:type="dxa"/>
            <w:hideMark/>
          </w:tcPr>
          <w:p w14:paraId="43696782" w14:textId="77777777" w:rsidR="003647D9" w:rsidRPr="003647D9" w:rsidRDefault="003647D9" w:rsidP="008B2B3E">
            <w:pPr>
              <w:pStyle w:val="TableText"/>
            </w:pPr>
            <w:r w:rsidRPr="003647D9">
              <w:t>LBB Key, EF</w:t>
            </w:r>
          </w:p>
        </w:tc>
        <w:tc>
          <w:tcPr>
            <w:tcW w:w="1187" w:type="dxa"/>
            <w:hideMark/>
          </w:tcPr>
          <w:p w14:paraId="3DB4BABF" w14:textId="77777777" w:rsidR="003647D9" w:rsidRPr="003647D9" w:rsidRDefault="003647D9" w:rsidP="008B2B3E">
            <w:pPr>
              <w:pStyle w:val="TableText"/>
            </w:pPr>
            <w:r w:rsidRPr="003647D9">
              <w:t>$3,958.00</w:t>
            </w:r>
          </w:p>
        </w:tc>
        <w:tc>
          <w:tcPr>
            <w:tcW w:w="1508" w:type="dxa"/>
            <w:hideMark/>
          </w:tcPr>
          <w:p w14:paraId="596D0707" w14:textId="77777777" w:rsidR="003647D9" w:rsidRPr="003647D9" w:rsidRDefault="003647D9" w:rsidP="008B2B3E">
            <w:pPr>
              <w:pStyle w:val="TableText"/>
            </w:pPr>
            <w:r w:rsidRPr="003647D9">
              <w:t>$4,401.60</w:t>
            </w:r>
          </w:p>
        </w:tc>
        <w:tc>
          <w:tcPr>
            <w:tcW w:w="1312" w:type="dxa"/>
            <w:hideMark/>
          </w:tcPr>
          <w:p w14:paraId="46B388FC" w14:textId="77777777" w:rsidR="003647D9" w:rsidRPr="003647D9" w:rsidRDefault="003647D9" w:rsidP="008B2B3E">
            <w:pPr>
              <w:pStyle w:val="TableText"/>
            </w:pPr>
            <w:r w:rsidRPr="003647D9">
              <w:t>111.21%</w:t>
            </w:r>
          </w:p>
        </w:tc>
      </w:tr>
      <w:tr w:rsidR="008B2B3E" w:rsidRPr="003647D9" w14:paraId="4961F785" w14:textId="77777777" w:rsidTr="00297122">
        <w:trPr>
          <w:trHeight w:val="288"/>
        </w:trPr>
        <w:tc>
          <w:tcPr>
            <w:tcW w:w="4169" w:type="dxa"/>
            <w:vAlign w:val="center"/>
            <w:hideMark/>
          </w:tcPr>
          <w:p w14:paraId="06303862" w14:textId="77777777" w:rsidR="003647D9" w:rsidRPr="003647D9" w:rsidRDefault="003647D9" w:rsidP="00297122">
            <w:pPr>
              <w:pStyle w:val="TableHeaders"/>
              <w:jc w:val="left"/>
              <w:rPr>
                <w:b w:val="0"/>
              </w:rPr>
            </w:pPr>
            <w:r w:rsidRPr="008978DC">
              <w:rPr>
                <w:b w:val="0"/>
              </w:rPr>
              <w:t xml:space="preserve">Average Cost per Child Per Month for Child Care </w:t>
            </w:r>
          </w:p>
        </w:tc>
        <w:tc>
          <w:tcPr>
            <w:tcW w:w="1174" w:type="dxa"/>
            <w:hideMark/>
          </w:tcPr>
          <w:p w14:paraId="02EFB264" w14:textId="77777777" w:rsidR="003647D9" w:rsidRPr="003647D9" w:rsidRDefault="003647D9" w:rsidP="008B2B3E">
            <w:pPr>
              <w:pStyle w:val="TableText"/>
            </w:pPr>
            <w:r w:rsidRPr="003647D9">
              <w:t>LBB Key, EF</w:t>
            </w:r>
          </w:p>
        </w:tc>
        <w:tc>
          <w:tcPr>
            <w:tcW w:w="1187" w:type="dxa"/>
            <w:hideMark/>
          </w:tcPr>
          <w:p w14:paraId="409B4EF1" w14:textId="77777777" w:rsidR="003647D9" w:rsidRPr="003647D9" w:rsidRDefault="003647D9" w:rsidP="008B2B3E">
            <w:pPr>
              <w:pStyle w:val="TableText"/>
            </w:pPr>
            <w:r w:rsidRPr="003647D9">
              <w:t>694</w:t>
            </w:r>
          </w:p>
        </w:tc>
        <w:tc>
          <w:tcPr>
            <w:tcW w:w="1508" w:type="dxa"/>
            <w:hideMark/>
          </w:tcPr>
          <w:p w14:paraId="21303844" w14:textId="77777777" w:rsidR="003647D9" w:rsidRPr="003647D9" w:rsidRDefault="003647D9" w:rsidP="008B2B3E">
            <w:pPr>
              <w:pStyle w:val="TableText"/>
            </w:pPr>
            <w:r w:rsidRPr="003647D9">
              <w:t>705</w:t>
            </w:r>
          </w:p>
        </w:tc>
        <w:tc>
          <w:tcPr>
            <w:tcW w:w="1312" w:type="dxa"/>
            <w:hideMark/>
          </w:tcPr>
          <w:p w14:paraId="51EB4279" w14:textId="77777777" w:rsidR="003647D9" w:rsidRPr="003647D9" w:rsidRDefault="003647D9" w:rsidP="008B2B3E">
            <w:pPr>
              <w:pStyle w:val="TableText"/>
            </w:pPr>
            <w:r w:rsidRPr="003647D9">
              <w:t>101.59%</w:t>
            </w:r>
          </w:p>
        </w:tc>
      </w:tr>
      <w:tr w:rsidR="008B2B3E" w:rsidRPr="003647D9" w14:paraId="3FF30CB8" w14:textId="77777777" w:rsidTr="00297122">
        <w:trPr>
          <w:trHeight w:val="576"/>
        </w:trPr>
        <w:tc>
          <w:tcPr>
            <w:tcW w:w="4169" w:type="dxa"/>
            <w:vAlign w:val="center"/>
            <w:hideMark/>
          </w:tcPr>
          <w:p w14:paraId="4E6181CE" w14:textId="77777777" w:rsidR="003647D9" w:rsidRPr="003647D9" w:rsidRDefault="003647D9" w:rsidP="00297122">
            <w:pPr>
              <w:pStyle w:val="TableText"/>
            </w:pPr>
            <w:r w:rsidRPr="003647D9">
              <w:t xml:space="preserve">Average Cost Per Participants Served - Local Workforce Connection Services </w:t>
            </w:r>
          </w:p>
        </w:tc>
        <w:tc>
          <w:tcPr>
            <w:tcW w:w="1174" w:type="dxa"/>
            <w:hideMark/>
          </w:tcPr>
          <w:p w14:paraId="0DBDA989" w14:textId="77777777" w:rsidR="003647D9" w:rsidRPr="003647D9" w:rsidRDefault="003647D9" w:rsidP="008B2B3E">
            <w:pPr>
              <w:pStyle w:val="TableText"/>
            </w:pPr>
            <w:r w:rsidRPr="003647D9">
              <w:t>LBB Key, EF</w:t>
            </w:r>
          </w:p>
        </w:tc>
        <w:tc>
          <w:tcPr>
            <w:tcW w:w="1187" w:type="dxa"/>
            <w:hideMark/>
          </w:tcPr>
          <w:p w14:paraId="401D9D40" w14:textId="77777777" w:rsidR="003647D9" w:rsidRPr="003647D9" w:rsidRDefault="003647D9" w:rsidP="008B2B3E">
            <w:pPr>
              <w:pStyle w:val="TableText"/>
            </w:pPr>
            <w:r w:rsidRPr="003647D9">
              <w:t>$2,561.00</w:t>
            </w:r>
          </w:p>
        </w:tc>
        <w:tc>
          <w:tcPr>
            <w:tcW w:w="1508" w:type="dxa"/>
            <w:hideMark/>
          </w:tcPr>
          <w:p w14:paraId="4B2667BB" w14:textId="77777777" w:rsidR="003647D9" w:rsidRPr="003647D9" w:rsidRDefault="003647D9" w:rsidP="008B2B3E">
            <w:pPr>
              <w:pStyle w:val="TableText"/>
            </w:pPr>
            <w:r w:rsidRPr="003647D9">
              <w:t>$2,467.12</w:t>
            </w:r>
          </w:p>
        </w:tc>
        <w:tc>
          <w:tcPr>
            <w:tcW w:w="1312" w:type="dxa"/>
            <w:hideMark/>
          </w:tcPr>
          <w:p w14:paraId="1B6655B7" w14:textId="77777777" w:rsidR="003647D9" w:rsidRPr="003647D9" w:rsidRDefault="003647D9" w:rsidP="008B2B3E">
            <w:pPr>
              <w:pStyle w:val="TableText"/>
            </w:pPr>
            <w:r w:rsidRPr="003647D9">
              <w:t>96.33%</w:t>
            </w:r>
          </w:p>
        </w:tc>
      </w:tr>
      <w:tr w:rsidR="008B2B3E" w:rsidRPr="003647D9" w14:paraId="1258086D" w14:textId="77777777" w:rsidTr="00297122">
        <w:trPr>
          <w:trHeight w:val="576"/>
        </w:trPr>
        <w:tc>
          <w:tcPr>
            <w:tcW w:w="4169" w:type="dxa"/>
            <w:vAlign w:val="center"/>
            <w:hideMark/>
          </w:tcPr>
          <w:p w14:paraId="6A3BD45F" w14:textId="77777777" w:rsidR="003647D9" w:rsidRPr="003647D9" w:rsidRDefault="003647D9" w:rsidP="00297122">
            <w:pPr>
              <w:pStyle w:val="TableText"/>
            </w:pPr>
            <w:r w:rsidRPr="003647D9">
              <w:t>Average Wait Time on Hold for UI Customers (Minutes)</w:t>
            </w:r>
          </w:p>
        </w:tc>
        <w:tc>
          <w:tcPr>
            <w:tcW w:w="1174" w:type="dxa"/>
            <w:hideMark/>
          </w:tcPr>
          <w:p w14:paraId="144F1F13" w14:textId="77777777" w:rsidR="003647D9" w:rsidRPr="003647D9" w:rsidRDefault="003647D9" w:rsidP="008B2B3E">
            <w:pPr>
              <w:pStyle w:val="TableText"/>
            </w:pPr>
            <w:r w:rsidRPr="003647D9">
              <w:t>LBB Key, EF</w:t>
            </w:r>
          </w:p>
        </w:tc>
        <w:tc>
          <w:tcPr>
            <w:tcW w:w="1187" w:type="dxa"/>
            <w:hideMark/>
          </w:tcPr>
          <w:p w14:paraId="3A67D838" w14:textId="77777777" w:rsidR="003647D9" w:rsidRPr="003647D9" w:rsidRDefault="003647D9" w:rsidP="008B2B3E">
            <w:pPr>
              <w:pStyle w:val="TableText"/>
            </w:pPr>
            <w:r w:rsidRPr="003647D9">
              <w:t>9.5</w:t>
            </w:r>
          </w:p>
        </w:tc>
        <w:tc>
          <w:tcPr>
            <w:tcW w:w="1508" w:type="dxa"/>
            <w:hideMark/>
          </w:tcPr>
          <w:p w14:paraId="3CDEBEA6" w14:textId="77777777" w:rsidR="003647D9" w:rsidRPr="003647D9" w:rsidRDefault="003647D9" w:rsidP="008B2B3E">
            <w:pPr>
              <w:pStyle w:val="TableText"/>
            </w:pPr>
            <w:r w:rsidRPr="003647D9">
              <w:t>14.62</w:t>
            </w:r>
          </w:p>
        </w:tc>
        <w:tc>
          <w:tcPr>
            <w:tcW w:w="1312" w:type="dxa"/>
            <w:hideMark/>
          </w:tcPr>
          <w:p w14:paraId="4844CC22" w14:textId="77777777" w:rsidR="003647D9" w:rsidRPr="003647D9" w:rsidRDefault="003647D9" w:rsidP="008B2B3E">
            <w:pPr>
              <w:pStyle w:val="TableText"/>
            </w:pPr>
            <w:r w:rsidRPr="003647D9">
              <w:t>153.89%</w:t>
            </w:r>
          </w:p>
        </w:tc>
      </w:tr>
      <w:tr w:rsidR="008B2B3E" w:rsidRPr="003647D9" w14:paraId="68312EE1" w14:textId="77777777" w:rsidTr="00297122">
        <w:trPr>
          <w:trHeight w:val="576"/>
        </w:trPr>
        <w:tc>
          <w:tcPr>
            <w:tcW w:w="4169" w:type="dxa"/>
            <w:vAlign w:val="center"/>
            <w:hideMark/>
          </w:tcPr>
          <w:p w14:paraId="5647E96E" w14:textId="77777777" w:rsidR="003647D9" w:rsidRPr="003647D9" w:rsidRDefault="003647D9" w:rsidP="00297122">
            <w:pPr>
              <w:pStyle w:val="TableText"/>
            </w:pPr>
            <w:r w:rsidRPr="003647D9">
              <w:t>Number of Blind and Disabled Individuals Employed by BET Facility Managers</w:t>
            </w:r>
          </w:p>
        </w:tc>
        <w:tc>
          <w:tcPr>
            <w:tcW w:w="1174" w:type="dxa"/>
            <w:hideMark/>
          </w:tcPr>
          <w:p w14:paraId="1FD304C5" w14:textId="77777777" w:rsidR="003647D9" w:rsidRPr="003647D9" w:rsidRDefault="003647D9" w:rsidP="008B2B3E">
            <w:pPr>
              <w:pStyle w:val="TableText"/>
            </w:pPr>
            <w:r w:rsidRPr="003647D9">
              <w:t>LBB Key, EX</w:t>
            </w:r>
          </w:p>
        </w:tc>
        <w:tc>
          <w:tcPr>
            <w:tcW w:w="1187" w:type="dxa"/>
            <w:hideMark/>
          </w:tcPr>
          <w:p w14:paraId="7D6AAAF1" w14:textId="77777777" w:rsidR="003647D9" w:rsidRPr="003647D9" w:rsidRDefault="003647D9" w:rsidP="008B2B3E">
            <w:pPr>
              <w:pStyle w:val="TableText"/>
            </w:pPr>
            <w:r w:rsidRPr="003647D9">
              <w:t>140</w:t>
            </w:r>
          </w:p>
        </w:tc>
        <w:tc>
          <w:tcPr>
            <w:tcW w:w="1508" w:type="dxa"/>
            <w:hideMark/>
          </w:tcPr>
          <w:p w14:paraId="002CD44B" w14:textId="77777777" w:rsidR="003647D9" w:rsidRPr="003647D9" w:rsidRDefault="003647D9" w:rsidP="008B2B3E">
            <w:pPr>
              <w:pStyle w:val="TableText"/>
            </w:pPr>
            <w:r w:rsidRPr="003647D9">
              <w:t>150</w:t>
            </w:r>
          </w:p>
        </w:tc>
        <w:tc>
          <w:tcPr>
            <w:tcW w:w="1312" w:type="dxa"/>
            <w:hideMark/>
          </w:tcPr>
          <w:p w14:paraId="52D8F4B9" w14:textId="77777777" w:rsidR="003647D9" w:rsidRPr="003647D9" w:rsidRDefault="003647D9" w:rsidP="008B2B3E">
            <w:pPr>
              <w:pStyle w:val="TableText"/>
            </w:pPr>
            <w:r w:rsidRPr="003647D9">
              <w:t>107.14%</w:t>
            </w:r>
          </w:p>
        </w:tc>
      </w:tr>
      <w:tr w:rsidR="008B2B3E" w:rsidRPr="003647D9" w14:paraId="6373859E" w14:textId="77777777" w:rsidTr="00297122">
        <w:trPr>
          <w:trHeight w:val="576"/>
        </w:trPr>
        <w:tc>
          <w:tcPr>
            <w:tcW w:w="4169" w:type="dxa"/>
            <w:vAlign w:val="center"/>
            <w:hideMark/>
          </w:tcPr>
          <w:p w14:paraId="41E05584" w14:textId="3A2E7A85" w:rsidR="003647D9" w:rsidRPr="003647D9" w:rsidRDefault="003647D9" w:rsidP="00297122">
            <w:pPr>
              <w:pStyle w:val="TableText"/>
            </w:pPr>
            <w:r w:rsidRPr="003647D9">
              <w:t>Percent Employed/Enrolled 2nd-4th Q</w:t>
            </w:r>
            <w:r w:rsidR="00E65E58">
              <w:t>uarter</w:t>
            </w:r>
            <w:r w:rsidRPr="003647D9">
              <w:t xml:space="preserve"> Post-Exit - AEL </w:t>
            </w:r>
          </w:p>
        </w:tc>
        <w:tc>
          <w:tcPr>
            <w:tcW w:w="1174" w:type="dxa"/>
            <w:hideMark/>
          </w:tcPr>
          <w:p w14:paraId="563D7262" w14:textId="77777777" w:rsidR="003647D9" w:rsidRPr="003647D9" w:rsidRDefault="003647D9" w:rsidP="008B2B3E">
            <w:pPr>
              <w:pStyle w:val="TableText"/>
            </w:pPr>
            <w:r w:rsidRPr="003647D9">
              <w:t>LBB Key, OC</w:t>
            </w:r>
          </w:p>
        </w:tc>
        <w:tc>
          <w:tcPr>
            <w:tcW w:w="1187" w:type="dxa"/>
            <w:hideMark/>
          </w:tcPr>
          <w:p w14:paraId="0E59F3BE" w14:textId="77777777" w:rsidR="003647D9" w:rsidRPr="003647D9" w:rsidRDefault="003647D9" w:rsidP="008B2B3E">
            <w:pPr>
              <w:pStyle w:val="TableText"/>
            </w:pPr>
            <w:r w:rsidRPr="003647D9">
              <w:t>84.00%</w:t>
            </w:r>
          </w:p>
        </w:tc>
        <w:tc>
          <w:tcPr>
            <w:tcW w:w="1508" w:type="dxa"/>
            <w:hideMark/>
          </w:tcPr>
          <w:p w14:paraId="2BE88735" w14:textId="77777777" w:rsidR="003647D9" w:rsidRPr="003647D9" w:rsidRDefault="003647D9" w:rsidP="008B2B3E">
            <w:pPr>
              <w:pStyle w:val="TableText"/>
            </w:pPr>
            <w:r w:rsidRPr="003647D9">
              <w:t>85.99%</w:t>
            </w:r>
          </w:p>
        </w:tc>
        <w:tc>
          <w:tcPr>
            <w:tcW w:w="1312" w:type="dxa"/>
            <w:hideMark/>
          </w:tcPr>
          <w:p w14:paraId="1297C52A" w14:textId="77777777" w:rsidR="003647D9" w:rsidRPr="003647D9" w:rsidRDefault="003647D9" w:rsidP="008B2B3E">
            <w:pPr>
              <w:pStyle w:val="TableText"/>
            </w:pPr>
            <w:r w:rsidRPr="003647D9">
              <w:t>102.37%</w:t>
            </w:r>
          </w:p>
        </w:tc>
      </w:tr>
      <w:tr w:rsidR="008B2B3E" w:rsidRPr="003647D9" w14:paraId="49E5E6A5" w14:textId="77777777" w:rsidTr="00297122">
        <w:trPr>
          <w:trHeight w:val="576"/>
        </w:trPr>
        <w:tc>
          <w:tcPr>
            <w:tcW w:w="4169" w:type="dxa"/>
            <w:vAlign w:val="center"/>
            <w:hideMark/>
          </w:tcPr>
          <w:p w14:paraId="61D9E26D" w14:textId="59FBAE07" w:rsidR="003647D9" w:rsidRPr="003647D9" w:rsidRDefault="003647D9" w:rsidP="00297122">
            <w:pPr>
              <w:pStyle w:val="TableText"/>
            </w:pPr>
            <w:r w:rsidRPr="003647D9">
              <w:t>Percent Employed/Enrolled 2nd-4th Q</w:t>
            </w:r>
            <w:r w:rsidR="00E65E58">
              <w:t>uarter</w:t>
            </w:r>
            <w:r w:rsidRPr="003647D9">
              <w:t xml:space="preserve"> Post-Exit - VR </w:t>
            </w:r>
          </w:p>
        </w:tc>
        <w:tc>
          <w:tcPr>
            <w:tcW w:w="1174" w:type="dxa"/>
            <w:hideMark/>
          </w:tcPr>
          <w:p w14:paraId="7ED05C3D" w14:textId="77777777" w:rsidR="003647D9" w:rsidRPr="003647D9" w:rsidRDefault="003647D9" w:rsidP="008B2B3E">
            <w:pPr>
              <w:pStyle w:val="TableText"/>
            </w:pPr>
            <w:r w:rsidRPr="003647D9">
              <w:t>LBB Key, OC</w:t>
            </w:r>
          </w:p>
        </w:tc>
        <w:tc>
          <w:tcPr>
            <w:tcW w:w="1187" w:type="dxa"/>
            <w:hideMark/>
          </w:tcPr>
          <w:p w14:paraId="1A6F9EE7" w14:textId="77777777" w:rsidR="003647D9" w:rsidRPr="003647D9" w:rsidRDefault="003647D9" w:rsidP="008B2B3E">
            <w:pPr>
              <w:pStyle w:val="TableText"/>
            </w:pPr>
            <w:r w:rsidRPr="003647D9">
              <w:t>87.00%</w:t>
            </w:r>
          </w:p>
        </w:tc>
        <w:tc>
          <w:tcPr>
            <w:tcW w:w="1508" w:type="dxa"/>
            <w:hideMark/>
          </w:tcPr>
          <w:p w14:paraId="472FB871" w14:textId="77777777" w:rsidR="003647D9" w:rsidRPr="003647D9" w:rsidRDefault="003647D9" w:rsidP="008B2B3E">
            <w:pPr>
              <w:pStyle w:val="TableText"/>
            </w:pPr>
            <w:r w:rsidRPr="003647D9">
              <w:t>87.59%</w:t>
            </w:r>
          </w:p>
        </w:tc>
        <w:tc>
          <w:tcPr>
            <w:tcW w:w="1312" w:type="dxa"/>
            <w:hideMark/>
          </w:tcPr>
          <w:p w14:paraId="0CC3AD8E" w14:textId="77777777" w:rsidR="003647D9" w:rsidRPr="003647D9" w:rsidRDefault="003647D9" w:rsidP="008B2B3E">
            <w:pPr>
              <w:pStyle w:val="TableText"/>
            </w:pPr>
            <w:r w:rsidRPr="003647D9">
              <w:t>100.68%</w:t>
            </w:r>
          </w:p>
        </w:tc>
      </w:tr>
      <w:tr w:rsidR="008B2B3E" w:rsidRPr="003647D9" w14:paraId="47FBE41D" w14:textId="77777777" w:rsidTr="00297122">
        <w:trPr>
          <w:trHeight w:val="288"/>
        </w:trPr>
        <w:tc>
          <w:tcPr>
            <w:tcW w:w="4169" w:type="dxa"/>
            <w:vAlign w:val="center"/>
            <w:hideMark/>
          </w:tcPr>
          <w:p w14:paraId="13CE1B6A" w14:textId="77777777" w:rsidR="003647D9" w:rsidRPr="003647D9" w:rsidRDefault="003647D9" w:rsidP="00297122">
            <w:pPr>
              <w:pStyle w:val="TableText"/>
            </w:pPr>
            <w:r w:rsidRPr="003647D9">
              <w:t xml:space="preserve">Percent of UI Appeals Issued Timely </w:t>
            </w:r>
          </w:p>
        </w:tc>
        <w:tc>
          <w:tcPr>
            <w:tcW w:w="1174" w:type="dxa"/>
            <w:hideMark/>
          </w:tcPr>
          <w:p w14:paraId="64FE7252" w14:textId="77777777" w:rsidR="003647D9" w:rsidRPr="003647D9" w:rsidRDefault="003647D9" w:rsidP="008B2B3E">
            <w:pPr>
              <w:pStyle w:val="TableText"/>
            </w:pPr>
            <w:r w:rsidRPr="003647D9">
              <w:t>LBB Key, OC</w:t>
            </w:r>
          </w:p>
        </w:tc>
        <w:tc>
          <w:tcPr>
            <w:tcW w:w="1187" w:type="dxa"/>
            <w:hideMark/>
          </w:tcPr>
          <w:p w14:paraId="10749234" w14:textId="77777777" w:rsidR="003647D9" w:rsidRPr="003647D9" w:rsidRDefault="003647D9" w:rsidP="008B2B3E">
            <w:pPr>
              <w:pStyle w:val="TableText"/>
            </w:pPr>
            <w:r w:rsidRPr="003647D9">
              <w:t>75.00%</w:t>
            </w:r>
          </w:p>
        </w:tc>
        <w:tc>
          <w:tcPr>
            <w:tcW w:w="1508" w:type="dxa"/>
            <w:hideMark/>
          </w:tcPr>
          <w:p w14:paraId="63198345" w14:textId="77777777" w:rsidR="003647D9" w:rsidRPr="003647D9" w:rsidRDefault="003647D9" w:rsidP="008B2B3E">
            <w:pPr>
              <w:pStyle w:val="TableText"/>
            </w:pPr>
            <w:r w:rsidRPr="003647D9">
              <w:t>34.55%</w:t>
            </w:r>
          </w:p>
        </w:tc>
        <w:tc>
          <w:tcPr>
            <w:tcW w:w="1312" w:type="dxa"/>
            <w:hideMark/>
          </w:tcPr>
          <w:p w14:paraId="64CDD89D" w14:textId="77777777" w:rsidR="003647D9" w:rsidRPr="003647D9" w:rsidRDefault="003647D9" w:rsidP="008B2B3E">
            <w:pPr>
              <w:pStyle w:val="TableText"/>
            </w:pPr>
            <w:r w:rsidRPr="003647D9">
              <w:t>46.07%</w:t>
            </w:r>
          </w:p>
        </w:tc>
      </w:tr>
      <w:tr w:rsidR="008B2B3E" w:rsidRPr="003647D9" w14:paraId="1E29CD4B" w14:textId="77777777" w:rsidTr="00297122">
        <w:trPr>
          <w:trHeight w:val="288"/>
        </w:trPr>
        <w:tc>
          <w:tcPr>
            <w:tcW w:w="4169" w:type="dxa"/>
            <w:vAlign w:val="center"/>
            <w:hideMark/>
          </w:tcPr>
          <w:p w14:paraId="256B07A6" w14:textId="77777777" w:rsidR="003647D9" w:rsidRPr="003647D9" w:rsidRDefault="003647D9" w:rsidP="00297122">
            <w:pPr>
              <w:pStyle w:val="TableText"/>
            </w:pPr>
            <w:r w:rsidRPr="003647D9">
              <w:t>Percent of UI Claimants Paid Timely</w:t>
            </w:r>
          </w:p>
        </w:tc>
        <w:tc>
          <w:tcPr>
            <w:tcW w:w="1174" w:type="dxa"/>
            <w:hideMark/>
          </w:tcPr>
          <w:p w14:paraId="1611405A" w14:textId="77777777" w:rsidR="003647D9" w:rsidRPr="003647D9" w:rsidRDefault="003647D9" w:rsidP="008B2B3E">
            <w:pPr>
              <w:pStyle w:val="TableText"/>
            </w:pPr>
            <w:r w:rsidRPr="003647D9">
              <w:t>LBB Key, OC</w:t>
            </w:r>
          </w:p>
        </w:tc>
        <w:tc>
          <w:tcPr>
            <w:tcW w:w="1187" w:type="dxa"/>
            <w:hideMark/>
          </w:tcPr>
          <w:p w14:paraId="2EDE7664" w14:textId="77777777" w:rsidR="003647D9" w:rsidRPr="003647D9" w:rsidRDefault="003647D9" w:rsidP="008B2B3E">
            <w:pPr>
              <w:pStyle w:val="TableText"/>
            </w:pPr>
            <w:r w:rsidRPr="003647D9">
              <w:t>96.00%</w:t>
            </w:r>
          </w:p>
        </w:tc>
        <w:tc>
          <w:tcPr>
            <w:tcW w:w="1508" w:type="dxa"/>
            <w:hideMark/>
          </w:tcPr>
          <w:p w14:paraId="2770AEED" w14:textId="77777777" w:rsidR="003647D9" w:rsidRPr="003647D9" w:rsidRDefault="003647D9" w:rsidP="008B2B3E">
            <w:pPr>
              <w:pStyle w:val="TableText"/>
            </w:pPr>
            <w:r w:rsidRPr="003647D9">
              <w:t>91.32%</w:t>
            </w:r>
          </w:p>
        </w:tc>
        <w:tc>
          <w:tcPr>
            <w:tcW w:w="1312" w:type="dxa"/>
            <w:hideMark/>
          </w:tcPr>
          <w:p w14:paraId="28F37059" w14:textId="77777777" w:rsidR="003647D9" w:rsidRPr="003647D9" w:rsidRDefault="003647D9" w:rsidP="008B2B3E">
            <w:pPr>
              <w:pStyle w:val="TableText"/>
            </w:pPr>
            <w:r w:rsidRPr="003647D9">
              <w:t>95.13%</w:t>
            </w:r>
          </w:p>
        </w:tc>
      </w:tr>
      <w:tr w:rsidR="008B2B3E" w:rsidRPr="003647D9" w14:paraId="027C85A0" w14:textId="77777777" w:rsidTr="00297122">
        <w:trPr>
          <w:trHeight w:val="288"/>
        </w:trPr>
        <w:tc>
          <w:tcPr>
            <w:tcW w:w="4169" w:type="dxa"/>
            <w:vAlign w:val="center"/>
            <w:hideMark/>
          </w:tcPr>
          <w:p w14:paraId="44B56A3F" w14:textId="77777777" w:rsidR="003647D9" w:rsidRPr="003647D9" w:rsidRDefault="003647D9" w:rsidP="00297122">
            <w:pPr>
              <w:pStyle w:val="TableText"/>
            </w:pPr>
            <w:r w:rsidRPr="003647D9">
              <w:t>Average Choices Participation - All Family</w:t>
            </w:r>
          </w:p>
        </w:tc>
        <w:tc>
          <w:tcPr>
            <w:tcW w:w="1174" w:type="dxa"/>
            <w:hideMark/>
          </w:tcPr>
          <w:p w14:paraId="7EB9CEF8" w14:textId="77777777" w:rsidR="003647D9" w:rsidRPr="003647D9" w:rsidRDefault="003647D9" w:rsidP="008B2B3E">
            <w:pPr>
              <w:pStyle w:val="TableText"/>
            </w:pPr>
            <w:r w:rsidRPr="003647D9">
              <w:t>LBB Key, OC</w:t>
            </w:r>
          </w:p>
        </w:tc>
        <w:tc>
          <w:tcPr>
            <w:tcW w:w="1187" w:type="dxa"/>
            <w:hideMark/>
          </w:tcPr>
          <w:p w14:paraId="3946095D" w14:textId="77777777" w:rsidR="003647D9" w:rsidRPr="003647D9" w:rsidRDefault="003647D9" w:rsidP="008B2B3E">
            <w:pPr>
              <w:pStyle w:val="TableText"/>
            </w:pPr>
            <w:r w:rsidRPr="003647D9">
              <w:t>25.00%</w:t>
            </w:r>
          </w:p>
        </w:tc>
        <w:tc>
          <w:tcPr>
            <w:tcW w:w="1508" w:type="dxa"/>
            <w:hideMark/>
          </w:tcPr>
          <w:p w14:paraId="4EE205A2" w14:textId="77777777" w:rsidR="003647D9" w:rsidRPr="003647D9" w:rsidRDefault="003647D9" w:rsidP="008B2B3E">
            <w:pPr>
              <w:pStyle w:val="TableText"/>
            </w:pPr>
            <w:r w:rsidRPr="003647D9">
              <w:t>18.32%</w:t>
            </w:r>
          </w:p>
        </w:tc>
        <w:tc>
          <w:tcPr>
            <w:tcW w:w="1312" w:type="dxa"/>
            <w:hideMark/>
          </w:tcPr>
          <w:p w14:paraId="4FFEF151" w14:textId="77777777" w:rsidR="003647D9" w:rsidRPr="003647D9" w:rsidRDefault="003647D9" w:rsidP="008B2B3E">
            <w:pPr>
              <w:pStyle w:val="TableText"/>
            </w:pPr>
            <w:r w:rsidRPr="003647D9">
              <w:t>73.28%</w:t>
            </w:r>
          </w:p>
        </w:tc>
      </w:tr>
      <w:tr w:rsidR="008B2B3E" w:rsidRPr="003647D9" w14:paraId="45256DA2" w14:textId="77777777" w:rsidTr="00297122">
        <w:trPr>
          <w:trHeight w:val="288"/>
        </w:trPr>
        <w:tc>
          <w:tcPr>
            <w:tcW w:w="4169" w:type="dxa"/>
            <w:vAlign w:val="center"/>
            <w:hideMark/>
          </w:tcPr>
          <w:p w14:paraId="7E1EEC64" w14:textId="77777777" w:rsidR="003647D9" w:rsidRPr="003647D9" w:rsidRDefault="003647D9" w:rsidP="00297122">
            <w:pPr>
              <w:pStyle w:val="TableText"/>
            </w:pPr>
            <w:r w:rsidRPr="003647D9">
              <w:t xml:space="preserve">Credential Rate - AEL </w:t>
            </w:r>
          </w:p>
        </w:tc>
        <w:tc>
          <w:tcPr>
            <w:tcW w:w="1174" w:type="dxa"/>
            <w:hideMark/>
          </w:tcPr>
          <w:p w14:paraId="035FAB0D" w14:textId="77777777" w:rsidR="003647D9" w:rsidRPr="003647D9" w:rsidRDefault="003647D9" w:rsidP="008B2B3E">
            <w:pPr>
              <w:pStyle w:val="TableText"/>
            </w:pPr>
            <w:r w:rsidRPr="003647D9">
              <w:t>LBB Key, OC</w:t>
            </w:r>
          </w:p>
        </w:tc>
        <w:tc>
          <w:tcPr>
            <w:tcW w:w="1187" w:type="dxa"/>
            <w:hideMark/>
          </w:tcPr>
          <w:p w14:paraId="0831B95D" w14:textId="77777777" w:rsidR="003647D9" w:rsidRPr="003647D9" w:rsidRDefault="003647D9" w:rsidP="008B2B3E">
            <w:pPr>
              <w:pStyle w:val="TableText"/>
            </w:pPr>
            <w:r w:rsidRPr="003647D9">
              <w:t>45.00%</w:t>
            </w:r>
          </w:p>
        </w:tc>
        <w:tc>
          <w:tcPr>
            <w:tcW w:w="1508" w:type="dxa"/>
            <w:hideMark/>
          </w:tcPr>
          <w:p w14:paraId="76A0DBA1" w14:textId="77777777" w:rsidR="003647D9" w:rsidRPr="003647D9" w:rsidRDefault="003647D9" w:rsidP="008B2B3E">
            <w:pPr>
              <w:pStyle w:val="TableText"/>
            </w:pPr>
            <w:r w:rsidRPr="003647D9">
              <w:t>45.20%</w:t>
            </w:r>
          </w:p>
        </w:tc>
        <w:tc>
          <w:tcPr>
            <w:tcW w:w="1312" w:type="dxa"/>
            <w:hideMark/>
          </w:tcPr>
          <w:p w14:paraId="1416AE32" w14:textId="77777777" w:rsidR="003647D9" w:rsidRPr="003647D9" w:rsidRDefault="003647D9" w:rsidP="008B2B3E">
            <w:pPr>
              <w:pStyle w:val="TableText"/>
            </w:pPr>
            <w:r w:rsidRPr="003647D9">
              <w:t>100.44%</w:t>
            </w:r>
          </w:p>
        </w:tc>
      </w:tr>
      <w:tr w:rsidR="008B2B3E" w:rsidRPr="003647D9" w14:paraId="4F5F739E" w14:textId="77777777" w:rsidTr="00297122">
        <w:trPr>
          <w:trHeight w:val="288"/>
        </w:trPr>
        <w:tc>
          <w:tcPr>
            <w:tcW w:w="4169" w:type="dxa"/>
            <w:vAlign w:val="center"/>
            <w:hideMark/>
          </w:tcPr>
          <w:p w14:paraId="47EBC5E7" w14:textId="5A7B157B" w:rsidR="003647D9" w:rsidRPr="003647D9" w:rsidRDefault="003647D9" w:rsidP="00297122">
            <w:pPr>
              <w:pStyle w:val="TableText"/>
            </w:pPr>
            <w:r w:rsidRPr="003647D9">
              <w:t xml:space="preserve">Credential Rate </w:t>
            </w:r>
            <w:r w:rsidR="009F77D2">
              <w:t>–</w:t>
            </w:r>
            <w:r w:rsidRPr="003647D9">
              <w:t xml:space="preserve"> C</w:t>
            </w:r>
            <w:r w:rsidR="009F77D2">
              <w:t xml:space="preserve">areer </w:t>
            </w:r>
            <w:r w:rsidRPr="003647D9">
              <w:t>&amp;</w:t>
            </w:r>
            <w:r w:rsidR="009F77D2">
              <w:t xml:space="preserve"> </w:t>
            </w:r>
            <w:r w:rsidRPr="003647D9">
              <w:t>T</w:t>
            </w:r>
            <w:r w:rsidR="009F77D2">
              <w:t>raining</w:t>
            </w:r>
            <w:r w:rsidRPr="003647D9">
              <w:t xml:space="preserve"> </w:t>
            </w:r>
            <w:r w:rsidR="004107ED">
              <w:t>(</w:t>
            </w:r>
            <w:r w:rsidRPr="003647D9">
              <w:t>C&amp;T</w:t>
            </w:r>
            <w:r w:rsidR="004107ED">
              <w:t>)</w:t>
            </w:r>
            <w:r w:rsidRPr="003647D9">
              <w:t xml:space="preserve"> Participants </w:t>
            </w:r>
          </w:p>
        </w:tc>
        <w:tc>
          <w:tcPr>
            <w:tcW w:w="1174" w:type="dxa"/>
            <w:hideMark/>
          </w:tcPr>
          <w:p w14:paraId="3B1417E5" w14:textId="77777777" w:rsidR="003647D9" w:rsidRPr="003647D9" w:rsidRDefault="003647D9" w:rsidP="008B2B3E">
            <w:pPr>
              <w:pStyle w:val="TableText"/>
            </w:pPr>
            <w:r w:rsidRPr="003647D9">
              <w:t>LBB Key, OC</w:t>
            </w:r>
          </w:p>
        </w:tc>
        <w:tc>
          <w:tcPr>
            <w:tcW w:w="1187" w:type="dxa"/>
            <w:hideMark/>
          </w:tcPr>
          <w:p w14:paraId="0CE57207" w14:textId="77777777" w:rsidR="003647D9" w:rsidRPr="003647D9" w:rsidRDefault="003647D9" w:rsidP="008B2B3E">
            <w:pPr>
              <w:pStyle w:val="TableText"/>
            </w:pPr>
            <w:r w:rsidRPr="003647D9">
              <w:t>71.00%</w:t>
            </w:r>
          </w:p>
        </w:tc>
        <w:tc>
          <w:tcPr>
            <w:tcW w:w="1508" w:type="dxa"/>
            <w:hideMark/>
          </w:tcPr>
          <w:p w14:paraId="5954351B" w14:textId="77777777" w:rsidR="003647D9" w:rsidRPr="003647D9" w:rsidRDefault="003647D9" w:rsidP="008B2B3E">
            <w:pPr>
              <w:pStyle w:val="TableText"/>
            </w:pPr>
            <w:r w:rsidRPr="003647D9">
              <w:t>69.00%</w:t>
            </w:r>
          </w:p>
        </w:tc>
        <w:tc>
          <w:tcPr>
            <w:tcW w:w="1312" w:type="dxa"/>
            <w:hideMark/>
          </w:tcPr>
          <w:p w14:paraId="0E86405A" w14:textId="77777777" w:rsidR="003647D9" w:rsidRPr="003647D9" w:rsidRDefault="003647D9" w:rsidP="008B2B3E">
            <w:pPr>
              <w:pStyle w:val="TableText"/>
            </w:pPr>
            <w:r w:rsidRPr="003647D9">
              <w:t>97.18%</w:t>
            </w:r>
          </w:p>
        </w:tc>
      </w:tr>
      <w:tr w:rsidR="008B2B3E" w:rsidRPr="003647D9" w14:paraId="486C176E" w14:textId="77777777" w:rsidTr="00297122">
        <w:trPr>
          <w:trHeight w:val="288"/>
        </w:trPr>
        <w:tc>
          <w:tcPr>
            <w:tcW w:w="4169" w:type="dxa"/>
            <w:vAlign w:val="center"/>
            <w:hideMark/>
          </w:tcPr>
          <w:p w14:paraId="1BE353B6" w14:textId="77777777" w:rsidR="003647D9" w:rsidRPr="003647D9" w:rsidRDefault="003647D9" w:rsidP="00297122">
            <w:pPr>
              <w:pStyle w:val="TableText"/>
            </w:pPr>
            <w:r w:rsidRPr="003647D9">
              <w:t xml:space="preserve">Credential Rate - VR </w:t>
            </w:r>
          </w:p>
        </w:tc>
        <w:tc>
          <w:tcPr>
            <w:tcW w:w="1174" w:type="dxa"/>
            <w:hideMark/>
          </w:tcPr>
          <w:p w14:paraId="7B0F2263" w14:textId="77777777" w:rsidR="003647D9" w:rsidRPr="003647D9" w:rsidRDefault="003647D9" w:rsidP="008B2B3E">
            <w:pPr>
              <w:pStyle w:val="TableText"/>
            </w:pPr>
            <w:r w:rsidRPr="003647D9">
              <w:t>LBB Key, OC</w:t>
            </w:r>
          </w:p>
        </w:tc>
        <w:tc>
          <w:tcPr>
            <w:tcW w:w="1187" w:type="dxa"/>
            <w:hideMark/>
          </w:tcPr>
          <w:p w14:paraId="0EA735CA" w14:textId="77777777" w:rsidR="003647D9" w:rsidRPr="003647D9" w:rsidRDefault="003647D9" w:rsidP="008B2B3E">
            <w:pPr>
              <w:pStyle w:val="TableText"/>
            </w:pPr>
            <w:r w:rsidRPr="003647D9">
              <w:t>45.00%</w:t>
            </w:r>
          </w:p>
        </w:tc>
        <w:tc>
          <w:tcPr>
            <w:tcW w:w="1508" w:type="dxa"/>
            <w:hideMark/>
          </w:tcPr>
          <w:p w14:paraId="3FC749BE" w14:textId="77777777" w:rsidR="003647D9" w:rsidRPr="003647D9" w:rsidRDefault="003647D9" w:rsidP="008B2B3E">
            <w:pPr>
              <w:pStyle w:val="TableText"/>
            </w:pPr>
            <w:r w:rsidRPr="003647D9">
              <w:t>51.19%</w:t>
            </w:r>
          </w:p>
        </w:tc>
        <w:tc>
          <w:tcPr>
            <w:tcW w:w="1312" w:type="dxa"/>
            <w:hideMark/>
          </w:tcPr>
          <w:p w14:paraId="5B64E32D" w14:textId="77777777" w:rsidR="003647D9" w:rsidRPr="003647D9" w:rsidRDefault="003647D9" w:rsidP="008B2B3E">
            <w:pPr>
              <w:pStyle w:val="TableText"/>
            </w:pPr>
            <w:r w:rsidRPr="003647D9">
              <w:t>113.76%</w:t>
            </w:r>
          </w:p>
        </w:tc>
      </w:tr>
      <w:tr w:rsidR="008B2B3E" w:rsidRPr="003647D9" w14:paraId="14DE6521" w14:textId="77777777" w:rsidTr="00297122">
        <w:trPr>
          <w:trHeight w:val="576"/>
        </w:trPr>
        <w:tc>
          <w:tcPr>
            <w:tcW w:w="4169" w:type="dxa"/>
            <w:vAlign w:val="center"/>
            <w:hideMark/>
          </w:tcPr>
          <w:p w14:paraId="75CBA7E1" w14:textId="2750253A" w:rsidR="003647D9" w:rsidRPr="003647D9" w:rsidRDefault="003647D9" w:rsidP="00297122">
            <w:pPr>
              <w:pStyle w:val="TableText"/>
            </w:pPr>
            <w:r w:rsidRPr="003647D9">
              <w:lastRenderedPageBreak/>
              <w:t xml:space="preserve">Percent Employed/Enrolled </w:t>
            </w:r>
            <w:r w:rsidR="00E65E58" w:rsidRPr="003647D9">
              <w:t>2nd-4th Q</w:t>
            </w:r>
            <w:r w:rsidR="00E65E58">
              <w:t>uarter</w:t>
            </w:r>
            <w:r w:rsidR="00E65E58" w:rsidRPr="003647D9" w:rsidDel="00E65E58">
              <w:t xml:space="preserve"> </w:t>
            </w:r>
            <w:r w:rsidRPr="003647D9">
              <w:t>Post Exit – C&amp;T Participants</w:t>
            </w:r>
          </w:p>
        </w:tc>
        <w:tc>
          <w:tcPr>
            <w:tcW w:w="1174" w:type="dxa"/>
            <w:hideMark/>
          </w:tcPr>
          <w:p w14:paraId="20F46989" w14:textId="77777777" w:rsidR="003647D9" w:rsidRPr="003647D9" w:rsidRDefault="003647D9" w:rsidP="008B2B3E">
            <w:pPr>
              <w:pStyle w:val="TableText"/>
            </w:pPr>
            <w:r w:rsidRPr="003647D9">
              <w:t>LBB Key, OC</w:t>
            </w:r>
          </w:p>
        </w:tc>
        <w:tc>
          <w:tcPr>
            <w:tcW w:w="1187" w:type="dxa"/>
            <w:hideMark/>
          </w:tcPr>
          <w:p w14:paraId="5B817DEA" w14:textId="77777777" w:rsidR="003647D9" w:rsidRPr="003647D9" w:rsidRDefault="003647D9" w:rsidP="008B2B3E">
            <w:pPr>
              <w:pStyle w:val="TableText"/>
            </w:pPr>
            <w:r w:rsidRPr="003647D9">
              <w:t>84.00%</w:t>
            </w:r>
          </w:p>
        </w:tc>
        <w:tc>
          <w:tcPr>
            <w:tcW w:w="1508" w:type="dxa"/>
            <w:hideMark/>
          </w:tcPr>
          <w:p w14:paraId="11C86F59" w14:textId="77777777" w:rsidR="003647D9" w:rsidRPr="003647D9" w:rsidRDefault="003647D9" w:rsidP="008B2B3E">
            <w:pPr>
              <w:pStyle w:val="TableText"/>
            </w:pPr>
            <w:r w:rsidRPr="003647D9">
              <w:t>83.10%</w:t>
            </w:r>
          </w:p>
        </w:tc>
        <w:tc>
          <w:tcPr>
            <w:tcW w:w="1312" w:type="dxa"/>
            <w:hideMark/>
          </w:tcPr>
          <w:p w14:paraId="51646E0A" w14:textId="77777777" w:rsidR="003647D9" w:rsidRPr="003647D9" w:rsidRDefault="003647D9" w:rsidP="008B2B3E">
            <w:pPr>
              <w:pStyle w:val="TableText"/>
            </w:pPr>
            <w:r w:rsidRPr="003647D9">
              <w:t>98.93%</w:t>
            </w:r>
          </w:p>
        </w:tc>
      </w:tr>
      <w:tr w:rsidR="008B2B3E" w:rsidRPr="003647D9" w14:paraId="6CAB7197" w14:textId="77777777" w:rsidTr="00297122">
        <w:trPr>
          <w:trHeight w:val="288"/>
        </w:trPr>
        <w:tc>
          <w:tcPr>
            <w:tcW w:w="4169" w:type="dxa"/>
            <w:vAlign w:val="center"/>
            <w:hideMark/>
          </w:tcPr>
          <w:p w14:paraId="32DA6141" w14:textId="77777777" w:rsidR="003647D9" w:rsidRPr="003647D9" w:rsidRDefault="003647D9" w:rsidP="00297122">
            <w:pPr>
              <w:pStyle w:val="TableText"/>
            </w:pPr>
            <w:r w:rsidRPr="003647D9">
              <w:t xml:space="preserve">Employers Served </w:t>
            </w:r>
          </w:p>
        </w:tc>
        <w:tc>
          <w:tcPr>
            <w:tcW w:w="1174" w:type="dxa"/>
            <w:hideMark/>
          </w:tcPr>
          <w:p w14:paraId="7ED1D247" w14:textId="77777777" w:rsidR="003647D9" w:rsidRPr="003647D9" w:rsidRDefault="003647D9" w:rsidP="008B2B3E">
            <w:pPr>
              <w:pStyle w:val="TableText"/>
            </w:pPr>
            <w:r w:rsidRPr="003647D9">
              <w:t>LBB Key, OC</w:t>
            </w:r>
          </w:p>
        </w:tc>
        <w:tc>
          <w:tcPr>
            <w:tcW w:w="1187" w:type="dxa"/>
            <w:hideMark/>
          </w:tcPr>
          <w:p w14:paraId="527CDB90" w14:textId="77777777" w:rsidR="003647D9" w:rsidRPr="003647D9" w:rsidRDefault="003647D9" w:rsidP="008B2B3E">
            <w:pPr>
              <w:pStyle w:val="TableText"/>
            </w:pPr>
            <w:r w:rsidRPr="003647D9">
              <w:t>155,000</w:t>
            </w:r>
          </w:p>
        </w:tc>
        <w:tc>
          <w:tcPr>
            <w:tcW w:w="1508" w:type="dxa"/>
            <w:hideMark/>
          </w:tcPr>
          <w:p w14:paraId="1B000133" w14:textId="77777777" w:rsidR="003647D9" w:rsidRPr="003647D9" w:rsidRDefault="003647D9" w:rsidP="008B2B3E">
            <w:pPr>
              <w:pStyle w:val="TableText"/>
            </w:pPr>
            <w:r w:rsidRPr="003647D9">
              <w:t>118,778</w:t>
            </w:r>
          </w:p>
        </w:tc>
        <w:tc>
          <w:tcPr>
            <w:tcW w:w="1312" w:type="dxa"/>
            <w:hideMark/>
          </w:tcPr>
          <w:p w14:paraId="6A3ACBDB" w14:textId="77777777" w:rsidR="003647D9" w:rsidRPr="003647D9" w:rsidRDefault="003647D9" w:rsidP="008B2B3E">
            <w:pPr>
              <w:pStyle w:val="TableText"/>
            </w:pPr>
            <w:r w:rsidRPr="003647D9">
              <w:t>76.63%</w:t>
            </w:r>
          </w:p>
        </w:tc>
      </w:tr>
      <w:tr w:rsidR="008B2B3E" w:rsidRPr="003647D9" w14:paraId="2F97DD8E" w14:textId="77777777" w:rsidTr="00297122">
        <w:trPr>
          <w:trHeight w:val="288"/>
        </w:trPr>
        <w:tc>
          <w:tcPr>
            <w:tcW w:w="4169" w:type="dxa"/>
            <w:vAlign w:val="center"/>
            <w:hideMark/>
          </w:tcPr>
          <w:p w14:paraId="08319051" w14:textId="3EF3E8D9" w:rsidR="003647D9" w:rsidRPr="003647D9" w:rsidRDefault="003647D9" w:rsidP="00297122">
            <w:pPr>
              <w:pStyle w:val="TableText"/>
            </w:pPr>
            <w:r w:rsidRPr="003647D9">
              <w:t xml:space="preserve">Participants Served </w:t>
            </w:r>
            <w:r w:rsidR="00F61D82">
              <w:t>–</w:t>
            </w:r>
            <w:r w:rsidRPr="003647D9">
              <w:t xml:space="preserve"> C&amp;T Participants </w:t>
            </w:r>
          </w:p>
        </w:tc>
        <w:tc>
          <w:tcPr>
            <w:tcW w:w="1174" w:type="dxa"/>
            <w:hideMark/>
          </w:tcPr>
          <w:p w14:paraId="707A1A9C" w14:textId="77777777" w:rsidR="003647D9" w:rsidRPr="003647D9" w:rsidRDefault="003647D9" w:rsidP="008B2B3E">
            <w:pPr>
              <w:pStyle w:val="TableText"/>
            </w:pPr>
            <w:r w:rsidRPr="003647D9">
              <w:t>LBB Key, OC</w:t>
            </w:r>
          </w:p>
        </w:tc>
        <w:tc>
          <w:tcPr>
            <w:tcW w:w="1187" w:type="dxa"/>
            <w:hideMark/>
          </w:tcPr>
          <w:p w14:paraId="175BD2CD" w14:textId="77777777" w:rsidR="003647D9" w:rsidRPr="003647D9" w:rsidRDefault="003647D9" w:rsidP="008B2B3E">
            <w:pPr>
              <w:pStyle w:val="TableText"/>
            </w:pPr>
            <w:r w:rsidRPr="003647D9">
              <w:t>325,000</w:t>
            </w:r>
          </w:p>
        </w:tc>
        <w:tc>
          <w:tcPr>
            <w:tcW w:w="1508" w:type="dxa"/>
            <w:hideMark/>
          </w:tcPr>
          <w:p w14:paraId="38B2CD54" w14:textId="77777777" w:rsidR="003647D9" w:rsidRPr="003647D9" w:rsidRDefault="003647D9" w:rsidP="008B2B3E">
            <w:pPr>
              <w:pStyle w:val="TableText"/>
            </w:pPr>
            <w:r w:rsidRPr="003647D9">
              <w:t>413,919</w:t>
            </w:r>
          </w:p>
        </w:tc>
        <w:tc>
          <w:tcPr>
            <w:tcW w:w="1312" w:type="dxa"/>
            <w:hideMark/>
          </w:tcPr>
          <w:p w14:paraId="3E7BD49A" w14:textId="77777777" w:rsidR="003647D9" w:rsidRPr="003647D9" w:rsidRDefault="003647D9" w:rsidP="008B2B3E">
            <w:pPr>
              <w:pStyle w:val="TableText"/>
            </w:pPr>
            <w:r w:rsidRPr="003647D9">
              <w:t>127.36%</w:t>
            </w:r>
          </w:p>
        </w:tc>
      </w:tr>
      <w:tr w:rsidR="008B2B3E" w:rsidRPr="003647D9" w14:paraId="42F39B60" w14:textId="77777777" w:rsidTr="00297122">
        <w:trPr>
          <w:trHeight w:val="288"/>
        </w:trPr>
        <w:tc>
          <w:tcPr>
            <w:tcW w:w="4169" w:type="dxa"/>
            <w:vAlign w:val="center"/>
            <w:hideMark/>
          </w:tcPr>
          <w:p w14:paraId="701B609B" w14:textId="77777777" w:rsidR="003647D9" w:rsidRPr="003647D9" w:rsidRDefault="003647D9" w:rsidP="00297122">
            <w:pPr>
              <w:pStyle w:val="TableText"/>
            </w:pPr>
            <w:r w:rsidRPr="003647D9">
              <w:t xml:space="preserve">Number of Licensed Career Schools and Colleges </w:t>
            </w:r>
          </w:p>
        </w:tc>
        <w:tc>
          <w:tcPr>
            <w:tcW w:w="1174" w:type="dxa"/>
            <w:hideMark/>
          </w:tcPr>
          <w:p w14:paraId="65561A36" w14:textId="77777777" w:rsidR="003647D9" w:rsidRPr="003647D9" w:rsidRDefault="003647D9" w:rsidP="008B2B3E">
            <w:pPr>
              <w:pStyle w:val="TableText"/>
            </w:pPr>
            <w:r w:rsidRPr="003647D9">
              <w:t>LBB Key, OP</w:t>
            </w:r>
          </w:p>
        </w:tc>
        <w:tc>
          <w:tcPr>
            <w:tcW w:w="1187" w:type="dxa"/>
            <w:hideMark/>
          </w:tcPr>
          <w:p w14:paraId="333865DB" w14:textId="77777777" w:rsidR="003647D9" w:rsidRPr="003647D9" w:rsidRDefault="003647D9" w:rsidP="008B2B3E">
            <w:pPr>
              <w:pStyle w:val="TableText"/>
            </w:pPr>
            <w:r w:rsidRPr="003647D9">
              <w:t>680</w:t>
            </w:r>
          </w:p>
        </w:tc>
        <w:tc>
          <w:tcPr>
            <w:tcW w:w="1508" w:type="dxa"/>
            <w:hideMark/>
          </w:tcPr>
          <w:p w14:paraId="15A84D0A" w14:textId="77777777" w:rsidR="003647D9" w:rsidRPr="003647D9" w:rsidRDefault="003647D9" w:rsidP="008B2B3E">
            <w:pPr>
              <w:pStyle w:val="TableText"/>
            </w:pPr>
            <w:r w:rsidRPr="003647D9">
              <w:t>703</w:t>
            </w:r>
          </w:p>
        </w:tc>
        <w:tc>
          <w:tcPr>
            <w:tcW w:w="1312" w:type="dxa"/>
            <w:hideMark/>
          </w:tcPr>
          <w:p w14:paraId="74A0413C" w14:textId="77777777" w:rsidR="003647D9" w:rsidRPr="003647D9" w:rsidRDefault="003647D9" w:rsidP="008B2B3E">
            <w:pPr>
              <w:pStyle w:val="TableText"/>
            </w:pPr>
            <w:r w:rsidRPr="003647D9">
              <w:t>103.38%</w:t>
            </w:r>
          </w:p>
        </w:tc>
      </w:tr>
      <w:tr w:rsidR="008B2B3E" w:rsidRPr="003647D9" w14:paraId="11F4EC05" w14:textId="77777777" w:rsidTr="00297122">
        <w:trPr>
          <w:trHeight w:val="576"/>
        </w:trPr>
        <w:tc>
          <w:tcPr>
            <w:tcW w:w="4169" w:type="dxa"/>
            <w:vAlign w:val="center"/>
            <w:hideMark/>
          </w:tcPr>
          <w:p w14:paraId="169C8007" w14:textId="20B5F76B" w:rsidR="003647D9" w:rsidRPr="003647D9" w:rsidRDefault="003647D9" w:rsidP="00297122">
            <w:pPr>
              <w:pStyle w:val="TableText"/>
            </w:pPr>
            <w:r w:rsidRPr="003647D9">
              <w:t>Number of Individuals Employed by BET Businesses (Managers and Employees)</w:t>
            </w:r>
          </w:p>
        </w:tc>
        <w:tc>
          <w:tcPr>
            <w:tcW w:w="1174" w:type="dxa"/>
            <w:vAlign w:val="center"/>
            <w:hideMark/>
          </w:tcPr>
          <w:p w14:paraId="0CE85155" w14:textId="77777777" w:rsidR="003647D9" w:rsidRPr="003647D9" w:rsidRDefault="003647D9" w:rsidP="00297122">
            <w:pPr>
              <w:pStyle w:val="TableText"/>
              <w:jc w:val="right"/>
            </w:pPr>
            <w:r w:rsidRPr="003647D9">
              <w:t>LBB Key, OP</w:t>
            </w:r>
          </w:p>
        </w:tc>
        <w:tc>
          <w:tcPr>
            <w:tcW w:w="1187" w:type="dxa"/>
            <w:vAlign w:val="center"/>
            <w:hideMark/>
          </w:tcPr>
          <w:p w14:paraId="4784D39D" w14:textId="77777777" w:rsidR="003647D9" w:rsidRPr="003647D9" w:rsidRDefault="003647D9" w:rsidP="00297122">
            <w:pPr>
              <w:pStyle w:val="TableText"/>
              <w:jc w:val="right"/>
            </w:pPr>
            <w:r w:rsidRPr="003647D9">
              <w:t>1,300</w:t>
            </w:r>
          </w:p>
        </w:tc>
        <w:tc>
          <w:tcPr>
            <w:tcW w:w="1508" w:type="dxa"/>
            <w:vAlign w:val="center"/>
            <w:hideMark/>
          </w:tcPr>
          <w:p w14:paraId="4DB70E8B" w14:textId="77777777" w:rsidR="003647D9" w:rsidRPr="003647D9" w:rsidRDefault="003647D9" w:rsidP="00297122">
            <w:pPr>
              <w:pStyle w:val="TableText"/>
              <w:jc w:val="right"/>
            </w:pPr>
            <w:r w:rsidRPr="003647D9">
              <w:t>1,841</w:t>
            </w:r>
          </w:p>
        </w:tc>
        <w:tc>
          <w:tcPr>
            <w:tcW w:w="1312" w:type="dxa"/>
            <w:vAlign w:val="center"/>
            <w:hideMark/>
          </w:tcPr>
          <w:p w14:paraId="02B5C28A" w14:textId="77777777" w:rsidR="003647D9" w:rsidRPr="003647D9" w:rsidRDefault="003647D9" w:rsidP="00297122">
            <w:pPr>
              <w:pStyle w:val="TableText"/>
              <w:jc w:val="right"/>
            </w:pPr>
            <w:r w:rsidRPr="003647D9">
              <w:t>141.62%</w:t>
            </w:r>
          </w:p>
        </w:tc>
      </w:tr>
      <w:tr w:rsidR="008B2B3E" w:rsidRPr="003647D9" w14:paraId="766C9CAE" w14:textId="77777777" w:rsidTr="00297122">
        <w:trPr>
          <w:trHeight w:val="576"/>
        </w:trPr>
        <w:tc>
          <w:tcPr>
            <w:tcW w:w="4169" w:type="dxa"/>
            <w:vAlign w:val="center"/>
            <w:hideMark/>
          </w:tcPr>
          <w:p w14:paraId="7C0F4505" w14:textId="77777777" w:rsidR="003647D9" w:rsidRPr="003647D9" w:rsidRDefault="003647D9" w:rsidP="00297122">
            <w:pPr>
              <w:pStyle w:val="TableText"/>
            </w:pPr>
            <w:r w:rsidRPr="003647D9">
              <w:t>Number of Monitoring Reviews of Boards or Contractors</w:t>
            </w:r>
          </w:p>
        </w:tc>
        <w:tc>
          <w:tcPr>
            <w:tcW w:w="1174" w:type="dxa"/>
            <w:vAlign w:val="center"/>
            <w:hideMark/>
          </w:tcPr>
          <w:p w14:paraId="70D7D36A" w14:textId="77777777" w:rsidR="003647D9" w:rsidRPr="003647D9" w:rsidRDefault="003647D9" w:rsidP="00297122">
            <w:pPr>
              <w:pStyle w:val="TableText"/>
              <w:jc w:val="right"/>
            </w:pPr>
            <w:r w:rsidRPr="003647D9">
              <w:t>LBB Key, OP</w:t>
            </w:r>
          </w:p>
        </w:tc>
        <w:tc>
          <w:tcPr>
            <w:tcW w:w="1187" w:type="dxa"/>
            <w:vAlign w:val="center"/>
            <w:hideMark/>
          </w:tcPr>
          <w:p w14:paraId="22D67A6D" w14:textId="77777777" w:rsidR="003647D9" w:rsidRPr="003647D9" w:rsidRDefault="003647D9" w:rsidP="00297122">
            <w:pPr>
              <w:pStyle w:val="TableText"/>
              <w:jc w:val="right"/>
            </w:pPr>
            <w:r w:rsidRPr="003647D9">
              <w:t>120</w:t>
            </w:r>
          </w:p>
        </w:tc>
        <w:tc>
          <w:tcPr>
            <w:tcW w:w="1508" w:type="dxa"/>
            <w:vAlign w:val="center"/>
            <w:hideMark/>
          </w:tcPr>
          <w:p w14:paraId="19237740" w14:textId="77777777" w:rsidR="003647D9" w:rsidRPr="003647D9" w:rsidRDefault="003647D9" w:rsidP="00297122">
            <w:pPr>
              <w:pStyle w:val="TableText"/>
              <w:jc w:val="right"/>
            </w:pPr>
            <w:r w:rsidRPr="003647D9">
              <w:t>132</w:t>
            </w:r>
          </w:p>
        </w:tc>
        <w:tc>
          <w:tcPr>
            <w:tcW w:w="1312" w:type="dxa"/>
            <w:vAlign w:val="center"/>
            <w:hideMark/>
          </w:tcPr>
          <w:p w14:paraId="00A288F4" w14:textId="77777777" w:rsidR="003647D9" w:rsidRPr="003647D9" w:rsidRDefault="003647D9" w:rsidP="00297122">
            <w:pPr>
              <w:pStyle w:val="TableText"/>
              <w:jc w:val="right"/>
            </w:pPr>
            <w:r w:rsidRPr="003647D9">
              <w:t>110.00%</w:t>
            </w:r>
          </w:p>
        </w:tc>
      </w:tr>
      <w:tr w:rsidR="008B2B3E" w:rsidRPr="003647D9" w14:paraId="4DED2655" w14:textId="77777777" w:rsidTr="00297122">
        <w:trPr>
          <w:trHeight w:val="576"/>
        </w:trPr>
        <w:tc>
          <w:tcPr>
            <w:tcW w:w="4169" w:type="dxa"/>
            <w:vAlign w:val="center"/>
            <w:hideMark/>
          </w:tcPr>
          <w:p w14:paraId="3FC3A737" w14:textId="77777777" w:rsidR="003647D9" w:rsidRPr="003647D9" w:rsidRDefault="003647D9" w:rsidP="00297122">
            <w:pPr>
              <w:pStyle w:val="TableText"/>
            </w:pPr>
            <w:r w:rsidRPr="003647D9">
              <w:t>Number of Onsite Inspections Completed for Texas Child Labor Law Compliance</w:t>
            </w:r>
          </w:p>
        </w:tc>
        <w:tc>
          <w:tcPr>
            <w:tcW w:w="1174" w:type="dxa"/>
            <w:vAlign w:val="center"/>
            <w:hideMark/>
          </w:tcPr>
          <w:p w14:paraId="4FF2AC7D" w14:textId="77777777" w:rsidR="003647D9" w:rsidRPr="003647D9" w:rsidRDefault="003647D9" w:rsidP="00297122">
            <w:pPr>
              <w:pStyle w:val="TableText"/>
              <w:jc w:val="right"/>
            </w:pPr>
            <w:r w:rsidRPr="003647D9">
              <w:t>LBB Key, OP</w:t>
            </w:r>
          </w:p>
        </w:tc>
        <w:tc>
          <w:tcPr>
            <w:tcW w:w="1187" w:type="dxa"/>
            <w:vAlign w:val="center"/>
            <w:hideMark/>
          </w:tcPr>
          <w:p w14:paraId="2BD02A80" w14:textId="77777777" w:rsidR="003647D9" w:rsidRPr="003647D9" w:rsidRDefault="003647D9" w:rsidP="00297122">
            <w:pPr>
              <w:pStyle w:val="TableText"/>
              <w:jc w:val="right"/>
            </w:pPr>
            <w:r w:rsidRPr="003647D9">
              <w:t>2,600</w:t>
            </w:r>
          </w:p>
        </w:tc>
        <w:tc>
          <w:tcPr>
            <w:tcW w:w="1508" w:type="dxa"/>
            <w:vAlign w:val="center"/>
            <w:hideMark/>
          </w:tcPr>
          <w:p w14:paraId="6BFB4A56" w14:textId="77777777" w:rsidR="003647D9" w:rsidRPr="003647D9" w:rsidRDefault="003647D9" w:rsidP="00297122">
            <w:pPr>
              <w:pStyle w:val="TableText"/>
              <w:jc w:val="right"/>
            </w:pPr>
            <w:r w:rsidRPr="003647D9">
              <w:t>2,351</w:t>
            </w:r>
          </w:p>
        </w:tc>
        <w:tc>
          <w:tcPr>
            <w:tcW w:w="1312" w:type="dxa"/>
            <w:vAlign w:val="center"/>
            <w:hideMark/>
          </w:tcPr>
          <w:p w14:paraId="225FBD48" w14:textId="77777777" w:rsidR="003647D9" w:rsidRPr="003647D9" w:rsidRDefault="003647D9" w:rsidP="00297122">
            <w:pPr>
              <w:pStyle w:val="TableText"/>
              <w:jc w:val="right"/>
            </w:pPr>
            <w:r w:rsidRPr="003647D9">
              <w:t>90.42%</w:t>
            </w:r>
          </w:p>
        </w:tc>
      </w:tr>
      <w:tr w:rsidR="008B2B3E" w:rsidRPr="003647D9" w14:paraId="35366D73" w14:textId="77777777" w:rsidTr="00297122">
        <w:trPr>
          <w:trHeight w:val="576"/>
        </w:trPr>
        <w:tc>
          <w:tcPr>
            <w:tcW w:w="4169" w:type="dxa"/>
            <w:vAlign w:val="center"/>
            <w:hideMark/>
          </w:tcPr>
          <w:p w14:paraId="1DE4670B" w14:textId="2E38AC84" w:rsidR="003647D9" w:rsidRPr="003647D9" w:rsidRDefault="003647D9" w:rsidP="00297122">
            <w:pPr>
              <w:pStyle w:val="TableText"/>
            </w:pPr>
            <w:r w:rsidRPr="003647D9">
              <w:t xml:space="preserve">Average Number of Children Served Per Day </w:t>
            </w:r>
            <w:r w:rsidR="00BE3F96">
              <w:t>–</w:t>
            </w:r>
            <w:r w:rsidRPr="003647D9">
              <w:t xml:space="preserve"> Combined</w:t>
            </w:r>
          </w:p>
        </w:tc>
        <w:tc>
          <w:tcPr>
            <w:tcW w:w="1174" w:type="dxa"/>
            <w:vAlign w:val="center"/>
            <w:hideMark/>
          </w:tcPr>
          <w:p w14:paraId="5E51D481" w14:textId="77777777" w:rsidR="003647D9" w:rsidRPr="003647D9" w:rsidRDefault="003647D9" w:rsidP="00297122">
            <w:pPr>
              <w:pStyle w:val="TableText"/>
              <w:jc w:val="right"/>
            </w:pPr>
            <w:r w:rsidRPr="003647D9">
              <w:t>LBB Key, OP</w:t>
            </w:r>
          </w:p>
        </w:tc>
        <w:tc>
          <w:tcPr>
            <w:tcW w:w="1187" w:type="dxa"/>
            <w:vAlign w:val="center"/>
            <w:hideMark/>
          </w:tcPr>
          <w:p w14:paraId="04524BF5" w14:textId="77777777" w:rsidR="003647D9" w:rsidRPr="003647D9" w:rsidRDefault="003647D9" w:rsidP="00297122">
            <w:pPr>
              <w:pStyle w:val="TableText"/>
              <w:jc w:val="right"/>
            </w:pPr>
            <w:r w:rsidRPr="003647D9">
              <w:t>140,046</w:t>
            </w:r>
          </w:p>
        </w:tc>
        <w:tc>
          <w:tcPr>
            <w:tcW w:w="1508" w:type="dxa"/>
            <w:vAlign w:val="center"/>
            <w:hideMark/>
          </w:tcPr>
          <w:p w14:paraId="6438A97A" w14:textId="77777777" w:rsidR="003647D9" w:rsidRPr="003647D9" w:rsidRDefault="003647D9" w:rsidP="00297122">
            <w:pPr>
              <w:pStyle w:val="TableText"/>
              <w:jc w:val="right"/>
            </w:pPr>
            <w:r w:rsidRPr="003647D9">
              <w:t>149,268</w:t>
            </w:r>
          </w:p>
        </w:tc>
        <w:tc>
          <w:tcPr>
            <w:tcW w:w="1312" w:type="dxa"/>
            <w:vAlign w:val="center"/>
            <w:hideMark/>
          </w:tcPr>
          <w:p w14:paraId="6CCAA55A" w14:textId="77777777" w:rsidR="003647D9" w:rsidRPr="003647D9" w:rsidRDefault="003647D9" w:rsidP="00297122">
            <w:pPr>
              <w:pStyle w:val="TableText"/>
              <w:jc w:val="right"/>
            </w:pPr>
            <w:r w:rsidRPr="003647D9">
              <w:t>106.58%</w:t>
            </w:r>
          </w:p>
        </w:tc>
      </w:tr>
      <w:tr w:rsidR="008B2B3E" w:rsidRPr="003647D9" w14:paraId="5DD665AF" w14:textId="77777777" w:rsidTr="00297122">
        <w:trPr>
          <w:trHeight w:val="288"/>
        </w:trPr>
        <w:tc>
          <w:tcPr>
            <w:tcW w:w="4169" w:type="dxa"/>
            <w:vAlign w:val="center"/>
            <w:hideMark/>
          </w:tcPr>
          <w:p w14:paraId="0411A315" w14:textId="77777777" w:rsidR="003647D9" w:rsidRPr="003647D9" w:rsidRDefault="003647D9" w:rsidP="00297122">
            <w:pPr>
              <w:pStyle w:val="TableText"/>
            </w:pPr>
            <w:r w:rsidRPr="003647D9">
              <w:t>Contracted Number of Self-Sufficiency Trainees</w:t>
            </w:r>
          </w:p>
        </w:tc>
        <w:tc>
          <w:tcPr>
            <w:tcW w:w="1174" w:type="dxa"/>
            <w:vAlign w:val="center"/>
            <w:hideMark/>
          </w:tcPr>
          <w:p w14:paraId="33AA08FD" w14:textId="77777777" w:rsidR="003647D9" w:rsidRPr="003647D9" w:rsidRDefault="003647D9" w:rsidP="00297122">
            <w:pPr>
              <w:pStyle w:val="TableText"/>
              <w:jc w:val="right"/>
            </w:pPr>
            <w:r w:rsidRPr="003647D9">
              <w:t>LBB Key, OP</w:t>
            </w:r>
          </w:p>
        </w:tc>
        <w:tc>
          <w:tcPr>
            <w:tcW w:w="1187" w:type="dxa"/>
            <w:vAlign w:val="center"/>
            <w:hideMark/>
          </w:tcPr>
          <w:p w14:paraId="1D2799C5" w14:textId="77777777" w:rsidR="003647D9" w:rsidRPr="003647D9" w:rsidRDefault="003647D9" w:rsidP="00297122">
            <w:pPr>
              <w:pStyle w:val="TableText"/>
              <w:jc w:val="right"/>
            </w:pPr>
            <w:r w:rsidRPr="003647D9">
              <w:t>971</w:t>
            </w:r>
          </w:p>
        </w:tc>
        <w:tc>
          <w:tcPr>
            <w:tcW w:w="1508" w:type="dxa"/>
            <w:vAlign w:val="center"/>
            <w:hideMark/>
          </w:tcPr>
          <w:p w14:paraId="1342D577" w14:textId="77777777" w:rsidR="003647D9" w:rsidRPr="003647D9" w:rsidRDefault="003647D9" w:rsidP="00297122">
            <w:pPr>
              <w:pStyle w:val="TableText"/>
              <w:jc w:val="right"/>
            </w:pPr>
            <w:r w:rsidRPr="003647D9">
              <w:t>744</w:t>
            </w:r>
          </w:p>
        </w:tc>
        <w:tc>
          <w:tcPr>
            <w:tcW w:w="1312" w:type="dxa"/>
            <w:vAlign w:val="center"/>
            <w:hideMark/>
          </w:tcPr>
          <w:p w14:paraId="0603E0DE" w14:textId="77777777" w:rsidR="003647D9" w:rsidRPr="003647D9" w:rsidRDefault="003647D9" w:rsidP="00297122">
            <w:pPr>
              <w:pStyle w:val="TableText"/>
              <w:jc w:val="right"/>
            </w:pPr>
            <w:r w:rsidRPr="003647D9">
              <w:t>76.62%</w:t>
            </w:r>
          </w:p>
        </w:tc>
      </w:tr>
      <w:tr w:rsidR="008B2B3E" w:rsidRPr="003647D9" w14:paraId="4BA77F54" w14:textId="77777777" w:rsidTr="00297122">
        <w:trPr>
          <w:trHeight w:val="288"/>
        </w:trPr>
        <w:tc>
          <w:tcPr>
            <w:tcW w:w="4169" w:type="dxa"/>
            <w:vAlign w:val="center"/>
            <w:hideMark/>
          </w:tcPr>
          <w:p w14:paraId="0507DDE5" w14:textId="77777777" w:rsidR="003647D9" w:rsidRPr="003647D9" w:rsidRDefault="003647D9" w:rsidP="00297122">
            <w:pPr>
              <w:pStyle w:val="TableText"/>
            </w:pPr>
            <w:r w:rsidRPr="003647D9">
              <w:t>Contracted Number of Skills Development Trainees</w:t>
            </w:r>
          </w:p>
        </w:tc>
        <w:tc>
          <w:tcPr>
            <w:tcW w:w="1174" w:type="dxa"/>
            <w:vAlign w:val="center"/>
            <w:hideMark/>
          </w:tcPr>
          <w:p w14:paraId="19D83C36" w14:textId="77777777" w:rsidR="003647D9" w:rsidRPr="003647D9" w:rsidRDefault="003647D9" w:rsidP="00297122">
            <w:pPr>
              <w:pStyle w:val="TableText"/>
              <w:jc w:val="right"/>
            </w:pPr>
            <w:r w:rsidRPr="003647D9">
              <w:t>LBB Key, OP</w:t>
            </w:r>
          </w:p>
        </w:tc>
        <w:tc>
          <w:tcPr>
            <w:tcW w:w="1187" w:type="dxa"/>
            <w:vAlign w:val="center"/>
            <w:hideMark/>
          </w:tcPr>
          <w:p w14:paraId="178AA8EE" w14:textId="77777777" w:rsidR="003647D9" w:rsidRPr="003647D9" w:rsidRDefault="003647D9" w:rsidP="00297122">
            <w:pPr>
              <w:pStyle w:val="TableText"/>
              <w:jc w:val="right"/>
            </w:pPr>
            <w:r w:rsidRPr="003647D9">
              <w:t>10,261</w:t>
            </w:r>
          </w:p>
        </w:tc>
        <w:tc>
          <w:tcPr>
            <w:tcW w:w="1508" w:type="dxa"/>
            <w:vAlign w:val="center"/>
            <w:hideMark/>
          </w:tcPr>
          <w:p w14:paraId="3D7F669D" w14:textId="77777777" w:rsidR="003647D9" w:rsidRPr="003647D9" w:rsidRDefault="003647D9" w:rsidP="00297122">
            <w:pPr>
              <w:pStyle w:val="TableText"/>
              <w:jc w:val="right"/>
            </w:pPr>
            <w:r w:rsidRPr="003647D9">
              <w:t>6,614</w:t>
            </w:r>
          </w:p>
        </w:tc>
        <w:tc>
          <w:tcPr>
            <w:tcW w:w="1312" w:type="dxa"/>
            <w:vAlign w:val="center"/>
            <w:hideMark/>
          </w:tcPr>
          <w:p w14:paraId="5B9058B2" w14:textId="77777777" w:rsidR="003647D9" w:rsidRPr="003647D9" w:rsidRDefault="003647D9" w:rsidP="00297122">
            <w:pPr>
              <w:pStyle w:val="TableText"/>
              <w:jc w:val="right"/>
            </w:pPr>
            <w:r w:rsidRPr="003647D9">
              <w:t>64.46%</w:t>
            </w:r>
          </w:p>
        </w:tc>
      </w:tr>
      <w:tr w:rsidR="008B2B3E" w:rsidRPr="003647D9" w14:paraId="74E0748A" w14:textId="77777777" w:rsidTr="00297122">
        <w:trPr>
          <w:trHeight w:val="576"/>
        </w:trPr>
        <w:tc>
          <w:tcPr>
            <w:tcW w:w="4169" w:type="dxa"/>
            <w:vAlign w:val="center"/>
            <w:hideMark/>
          </w:tcPr>
          <w:p w14:paraId="73CC8B1C" w14:textId="77777777" w:rsidR="003647D9" w:rsidRPr="003647D9" w:rsidRDefault="003647D9" w:rsidP="00297122">
            <w:pPr>
              <w:pStyle w:val="TableText"/>
            </w:pPr>
            <w:r w:rsidRPr="003647D9">
              <w:t>Contracted Number of First-Year JET Trainees or Students</w:t>
            </w:r>
          </w:p>
        </w:tc>
        <w:tc>
          <w:tcPr>
            <w:tcW w:w="1174" w:type="dxa"/>
            <w:vAlign w:val="center"/>
            <w:hideMark/>
          </w:tcPr>
          <w:p w14:paraId="0901A9F6" w14:textId="77777777" w:rsidR="003647D9" w:rsidRPr="003647D9" w:rsidRDefault="003647D9" w:rsidP="00297122">
            <w:pPr>
              <w:pStyle w:val="TableText"/>
              <w:jc w:val="right"/>
            </w:pPr>
            <w:r w:rsidRPr="003647D9">
              <w:t>LBB Key, OP</w:t>
            </w:r>
          </w:p>
        </w:tc>
        <w:tc>
          <w:tcPr>
            <w:tcW w:w="1187" w:type="dxa"/>
            <w:vAlign w:val="center"/>
            <w:hideMark/>
          </w:tcPr>
          <w:p w14:paraId="1FE1EE5A" w14:textId="77777777" w:rsidR="003647D9" w:rsidRPr="003647D9" w:rsidRDefault="003647D9" w:rsidP="00297122">
            <w:pPr>
              <w:pStyle w:val="TableText"/>
              <w:jc w:val="right"/>
            </w:pPr>
            <w:r w:rsidRPr="003647D9">
              <w:t>6,006</w:t>
            </w:r>
          </w:p>
        </w:tc>
        <w:tc>
          <w:tcPr>
            <w:tcW w:w="1508" w:type="dxa"/>
            <w:vAlign w:val="center"/>
            <w:hideMark/>
          </w:tcPr>
          <w:p w14:paraId="3981BE13" w14:textId="77777777" w:rsidR="003647D9" w:rsidRPr="003647D9" w:rsidRDefault="003647D9" w:rsidP="00297122">
            <w:pPr>
              <w:pStyle w:val="TableText"/>
              <w:jc w:val="right"/>
            </w:pPr>
            <w:r w:rsidRPr="003647D9">
              <w:t>6,924</w:t>
            </w:r>
          </w:p>
        </w:tc>
        <w:tc>
          <w:tcPr>
            <w:tcW w:w="1312" w:type="dxa"/>
            <w:vAlign w:val="center"/>
            <w:hideMark/>
          </w:tcPr>
          <w:p w14:paraId="4165AE67" w14:textId="77777777" w:rsidR="003647D9" w:rsidRPr="003647D9" w:rsidRDefault="003647D9" w:rsidP="00297122">
            <w:pPr>
              <w:pStyle w:val="TableText"/>
              <w:jc w:val="right"/>
            </w:pPr>
            <w:r w:rsidRPr="003647D9">
              <w:t>115.28%</w:t>
            </w:r>
          </w:p>
        </w:tc>
      </w:tr>
      <w:tr w:rsidR="008B2B3E" w:rsidRPr="003647D9" w14:paraId="55056AC1" w14:textId="77777777" w:rsidTr="00297122">
        <w:trPr>
          <w:trHeight w:val="288"/>
        </w:trPr>
        <w:tc>
          <w:tcPr>
            <w:tcW w:w="4169" w:type="dxa"/>
            <w:vAlign w:val="center"/>
            <w:hideMark/>
          </w:tcPr>
          <w:p w14:paraId="61E3CB24" w14:textId="4F3F1C11" w:rsidR="003647D9" w:rsidRPr="003647D9" w:rsidRDefault="003647D9" w:rsidP="00297122">
            <w:pPr>
              <w:pStyle w:val="TableText"/>
            </w:pPr>
            <w:r w:rsidRPr="003647D9">
              <w:t xml:space="preserve">Participants Served </w:t>
            </w:r>
            <w:r w:rsidR="00BE3F96">
              <w:t>–</w:t>
            </w:r>
            <w:r w:rsidRPr="003647D9">
              <w:t xml:space="preserve"> AEL</w:t>
            </w:r>
          </w:p>
        </w:tc>
        <w:tc>
          <w:tcPr>
            <w:tcW w:w="1174" w:type="dxa"/>
            <w:vAlign w:val="center"/>
            <w:hideMark/>
          </w:tcPr>
          <w:p w14:paraId="7AF50B67" w14:textId="77777777" w:rsidR="003647D9" w:rsidRPr="003647D9" w:rsidRDefault="003647D9" w:rsidP="00297122">
            <w:pPr>
              <w:pStyle w:val="TableText"/>
              <w:jc w:val="right"/>
            </w:pPr>
            <w:r w:rsidRPr="003647D9">
              <w:t>LBB Key, OP</w:t>
            </w:r>
          </w:p>
        </w:tc>
        <w:tc>
          <w:tcPr>
            <w:tcW w:w="1187" w:type="dxa"/>
            <w:vAlign w:val="center"/>
            <w:hideMark/>
          </w:tcPr>
          <w:p w14:paraId="25C35AC4" w14:textId="77777777" w:rsidR="003647D9" w:rsidRPr="003647D9" w:rsidRDefault="003647D9" w:rsidP="00297122">
            <w:pPr>
              <w:pStyle w:val="TableText"/>
              <w:jc w:val="right"/>
            </w:pPr>
            <w:r w:rsidRPr="003647D9">
              <w:t>56,128</w:t>
            </w:r>
          </w:p>
        </w:tc>
        <w:tc>
          <w:tcPr>
            <w:tcW w:w="1508" w:type="dxa"/>
            <w:vAlign w:val="center"/>
            <w:hideMark/>
          </w:tcPr>
          <w:p w14:paraId="527DDDDB" w14:textId="77777777" w:rsidR="003647D9" w:rsidRPr="003647D9" w:rsidRDefault="003647D9" w:rsidP="00297122">
            <w:pPr>
              <w:pStyle w:val="TableText"/>
              <w:jc w:val="right"/>
            </w:pPr>
            <w:r w:rsidRPr="003647D9">
              <w:t>73,539</w:t>
            </w:r>
          </w:p>
        </w:tc>
        <w:tc>
          <w:tcPr>
            <w:tcW w:w="1312" w:type="dxa"/>
            <w:vAlign w:val="center"/>
            <w:hideMark/>
          </w:tcPr>
          <w:p w14:paraId="41B4ED6E" w14:textId="77777777" w:rsidR="003647D9" w:rsidRPr="003647D9" w:rsidRDefault="003647D9" w:rsidP="00297122">
            <w:pPr>
              <w:pStyle w:val="TableText"/>
              <w:jc w:val="right"/>
            </w:pPr>
            <w:r w:rsidRPr="003647D9">
              <w:t>131.02%</w:t>
            </w:r>
          </w:p>
        </w:tc>
      </w:tr>
      <w:tr w:rsidR="008B2B3E" w:rsidRPr="003647D9" w14:paraId="5CF45A38" w14:textId="77777777" w:rsidTr="00297122">
        <w:trPr>
          <w:trHeight w:val="288"/>
        </w:trPr>
        <w:tc>
          <w:tcPr>
            <w:tcW w:w="4169" w:type="dxa"/>
            <w:vAlign w:val="center"/>
            <w:hideMark/>
          </w:tcPr>
          <w:p w14:paraId="4BDD4721" w14:textId="77777777" w:rsidR="003647D9" w:rsidRPr="003647D9" w:rsidRDefault="003647D9" w:rsidP="00297122">
            <w:pPr>
              <w:pStyle w:val="TableText"/>
            </w:pPr>
            <w:r w:rsidRPr="003647D9">
              <w:t>Participants Served - Apprenticeship</w:t>
            </w:r>
          </w:p>
        </w:tc>
        <w:tc>
          <w:tcPr>
            <w:tcW w:w="1174" w:type="dxa"/>
            <w:vAlign w:val="center"/>
            <w:hideMark/>
          </w:tcPr>
          <w:p w14:paraId="02FE8EBD" w14:textId="77777777" w:rsidR="003647D9" w:rsidRPr="003647D9" w:rsidRDefault="003647D9" w:rsidP="00297122">
            <w:pPr>
              <w:pStyle w:val="TableText"/>
              <w:jc w:val="right"/>
            </w:pPr>
            <w:r w:rsidRPr="003647D9">
              <w:t>LBB Key, OP</w:t>
            </w:r>
          </w:p>
        </w:tc>
        <w:tc>
          <w:tcPr>
            <w:tcW w:w="1187" w:type="dxa"/>
            <w:vAlign w:val="center"/>
            <w:hideMark/>
          </w:tcPr>
          <w:p w14:paraId="7AB6A2A7" w14:textId="77777777" w:rsidR="003647D9" w:rsidRPr="003647D9" w:rsidRDefault="003647D9" w:rsidP="00297122">
            <w:pPr>
              <w:pStyle w:val="TableText"/>
              <w:jc w:val="right"/>
            </w:pPr>
            <w:r w:rsidRPr="003647D9">
              <w:t>11,690</w:t>
            </w:r>
          </w:p>
        </w:tc>
        <w:tc>
          <w:tcPr>
            <w:tcW w:w="1508" w:type="dxa"/>
            <w:vAlign w:val="center"/>
            <w:hideMark/>
          </w:tcPr>
          <w:p w14:paraId="4B8AD123" w14:textId="77777777" w:rsidR="003647D9" w:rsidRPr="003647D9" w:rsidRDefault="003647D9" w:rsidP="00297122">
            <w:pPr>
              <w:pStyle w:val="TableText"/>
              <w:jc w:val="right"/>
            </w:pPr>
            <w:r w:rsidRPr="003647D9">
              <w:t>11,600</w:t>
            </w:r>
          </w:p>
        </w:tc>
        <w:tc>
          <w:tcPr>
            <w:tcW w:w="1312" w:type="dxa"/>
            <w:vAlign w:val="center"/>
            <w:hideMark/>
          </w:tcPr>
          <w:p w14:paraId="27860ED9" w14:textId="77777777" w:rsidR="003647D9" w:rsidRPr="003647D9" w:rsidRDefault="003647D9" w:rsidP="00297122">
            <w:pPr>
              <w:pStyle w:val="TableText"/>
              <w:jc w:val="right"/>
            </w:pPr>
            <w:r w:rsidRPr="003647D9">
              <w:t>99.23%</w:t>
            </w:r>
          </w:p>
        </w:tc>
      </w:tr>
      <w:tr w:rsidR="008B2B3E" w:rsidRPr="003647D9" w14:paraId="543D3685" w14:textId="77777777" w:rsidTr="00297122">
        <w:trPr>
          <w:trHeight w:val="576"/>
        </w:trPr>
        <w:tc>
          <w:tcPr>
            <w:tcW w:w="4169" w:type="dxa"/>
            <w:vAlign w:val="center"/>
            <w:hideMark/>
          </w:tcPr>
          <w:p w14:paraId="253609CF" w14:textId="77777777" w:rsidR="003647D9" w:rsidRPr="003647D9" w:rsidRDefault="003647D9" w:rsidP="00297122">
            <w:pPr>
              <w:pStyle w:val="TableText"/>
            </w:pPr>
            <w:r w:rsidRPr="003647D9">
              <w:t>Participants Served - Local Workforce Connection Services</w:t>
            </w:r>
          </w:p>
        </w:tc>
        <w:tc>
          <w:tcPr>
            <w:tcW w:w="1174" w:type="dxa"/>
            <w:vAlign w:val="center"/>
            <w:hideMark/>
          </w:tcPr>
          <w:p w14:paraId="25232085" w14:textId="77777777" w:rsidR="003647D9" w:rsidRPr="003647D9" w:rsidRDefault="003647D9" w:rsidP="00297122">
            <w:pPr>
              <w:pStyle w:val="TableText"/>
              <w:jc w:val="right"/>
            </w:pPr>
            <w:r w:rsidRPr="003647D9">
              <w:t>LBB Key, OP</w:t>
            </w:r>
          </w:p>
        </w:tc>
        <w:tc>
          <w:tcPr>
            <w:tcW w:w="1187" w:type="dxa"/>
            <w:vAlign w:val="center"/>
            <w:hideMark/>
          </w:tcPr>
          <w:p w14:paraId="4FA34B62" w14:textId="77777777" w:rsidR="003647D9" w:rsidRPr="003647D9" w:rsidRDefault="003647D9" w:rsidP="00297122">
            <w:pPr>
              <w:pStyle w:val="TableText"/>
              <w:jc w:val="right"/>
            </w:pPr>
            <w:r w:rsidRPr="003647D9">
              <w:t>92,883</w:t>
            </w:r>
          </w:p>
        </w:tc>
        <w:tc>
          <w:tcPr>
            <w:tcW w:w="1508" w:type="dxa"/>
            <w:vAlign w:val="center"/>
            <w:hideMark/>
          </w:tcPr>
          <w:p w14:paraId="468FC9DD" w14:textId="77777777" w:rsidR="003647D9" w:rsidRPr="003647D9" w:rsidRDefault="003647D9" w:rsidP="00297122">
            <w:pPr>
              <w:pStyle w:val="TableText"/>
              <w:jc w:val="right"/>
            </w:pPr>
            <w:r w:rsidRPr="003647D9">
              <w:t>103,707</w:t>
            </w:r>
          </w:p>
        </w:tc>
        <w:tc>
          <w:tcPr>
            <w:tcW w:w="1312" w:type="dxa"/>
            <w:vAlign w:val="center"/>
            <w:hideMark/>
          </w:tcPr>
          <w:p w14:paraId="15400645" w14:textId="77777777" w:rsidR="003647D9" w:rsidRPr="003647D9" w:rsidRDefault="003647D9" w:rsidP="00297122">
            <w:pPr>
              <w:pStyle w:val="TableText"/>
              <w:jc w:val="right"/>
            </w:pPr>
            <w:r w:rsidRPr="003647D9">
              <w:t>111.65%</w:t>
            </w:r>
          </w:p>
        </w:tc>
      </w:tr>
      <w:tr w:rsidR="008B2B3E" w:rsidRPr="003647D9" w14:paraId="3B0BA38A" w14:textId="77777777" w:rsidTr="00297122">
        <w:trPr>
          <w:trHeight w:val="288"/>
        </w:trPr>
        <w:tc>
          <w:tcPr>
            <w:tcW w:w="4169" w:type="dxa"/>
            <w:vAlign w:val="center"/>
            <w:hideMark/>
          </w:tcPr>
          <w:p w14:paraId="4B6161A9" w14:textId="4324A964" w:rsidR="003647D9" w:rsidRPr="003647D9" w:rsidRDefault="003647D9" w:rsidP="00297122">
            <w:pPr>
              <w:pStyle w:val="TableText"/>
            </w:pPr>
            <w:r w:rsidRPr="003647D9">
              <w:t xml:space="preserve">Participants Served </w:t>
            </w:r>
            <w:r w:rsidR="00BE3F96">
              <w:t>–</w:t>
            </w:r>
            <w:r w:rsidRPr="003647D9">
              <w:t xml:space="preserve"> VR</w:t>
            </w:r>
          </w:p>
        </w:tc>
        <w:tc>
          <w:tcPr>
            <w:tcW w:w="1174" w:type="dxa"/>
            <w:vAlign w:val="center"/>
            <w:hideMark/>
          </w:tcPr>
          <w:p w14:paraId="71EC65F6" w14:textId="77777777" w:rsidR="003647D9" w:rsidRPr="003647D9" w:rsidRDefault="003647D9" w:rsidP="00297122">
            <w:pPr>
              <w:pStyle w:val="TableText"/>
              <w:jc w:val="right"/>
            </w:pPr>
            <w:r w:rsidRPr="003647D9">
              <w:t>LBB Key, OP</w:t>
            </w:r>
          </w:p>
        </w:tc>
        <w:tc>
          <w:tcPr>
            <w:tcW w:w="1187" w:type="dxa"/>
            <w:vAlign w:val="center"/>
            <w:hideMark/>
          </w:tcPr>
          <w:p w14:paraId="151078D8" w14:textId="77777777" w:rsidR="003647D9" w:rsidRPr="003647D9" w:rsidRDefault="003647D9" w:rsidP="00297122">
            <w:pPr>
              <w:pStyle w:val="TableText"/>
              <w:jc w:val="right"/>
            </w:pPr>
            <w:r w:rsidRPr="003647D9">
              <w:t>68,611</w:t>
            </w:r>
          </w:p>
        </w:tc>
        <w:tc>
          <w:tcPr>
            <w:tcW w:w="1508" w:type="dxa"/>
            <w:vAlign w:val="center"/>
            <w:hideMark/>
          </w:tcPr>
          <w:p w14:paraId="33F8AE4B" w14:textId="77777777" w:rsidR="003647D9" w:rsidRPr="003647D9" w:rsidRDefault="003647D9" w:rsidP="00297122">
            <w:pPr>
              <w:pStyle w:val="TableText"/>
              <w:jc w:val="right"/>
            </w:pPr>
            <w:r w:rsidRPr="003647D9">
              <w:t>69,243</w:t>
            </w:r>
          </w:p>
        </w:tc>
        <w:tc>
          <w:tcPr>
            <w:tcW w:w="1312" w:type="dxa"/>
            <w:vAlign w:val="center"/>
            <w:hideMark/>
          </w:tcPr>
          <w:p w14:paraId="66433315" w14:textId="77777777" w:rsidR="003647D9" w:rsidRPr="003647D9" w:rsidRDefault="003647D9" w:rsidP="00297122">
            <w:pPr>
              <w:pStyle w:val="TableText"/>
              <w:jc w:val="right"/>
            </w:pPr>
            <w:r w:rsidRPr="003647D9">
              <w:t>100.92%</w:t>
            </w:r>
          </w:p>
        </w:tc>
      </w:tr>
      <w:tr w:rsidR="008B2B3E" w:rsidRPr="003647D9" w14:paraId="58725E31" w14:textId="77777777" w:rsidTr="00297122">
        <w:trPr>
          <w:trHeight w:val="288"/>
        </w:trPr>
        <w:tc>
          <w:tcPr>
            <w:tcW w:w="4169" w:type="dxa"/>
            <w:vAlign w:val="center"/>
            <w:hideMark/>
          </w:tcPr>
          <w:p w14:paraId="488DC916" w14:textId="77777777" w:rsidR="003647D9" w:rsidRPr="003647D9" w:rsidRDefault="003647D9" w:rsidP="00297122">
            <w:pPr>
              <w:pStyle w:val="TableText"/>
            </w:pPr>
            <w:r w:rsidRPr="003647D9">
              <w:t>Statewide Initiative Participants to Be Served</w:t>
            </w:r>
          </w:p>
        </w:tc>
        <w:tc>
          <w:tcPr>
            <w:tcW w:w="1174" w:type="dxa"/>
            <w:vAlign w:val="center"/>
            <w:hideMark/>
          </w:tcPr>
          <w:p w14:paraId="026836AD" w14:textId="77777777" w:rsidR="003647D9" w:rsidRPr="003647D9" w:rsidRDefault="003647D9" w:rsidP="00297122">
            <w:pPr>
              <w:pStyle w:val="TableText"/>
              <w:jc w:val="right"/>
            </w:pPr>
            <w:r w:rsidRPr="003647D9">
              <w:t>LBB Key, OP</w:t>
            </w:r>
          </w:p>
        </w:tc>
        <w:tc>
          <w:tcPr>
            <w:tcW w:w="1187" w:type="dxa"/>
            <w:vAlign w:val="center"/>
            <w:hideMark/>
          </w:tcPr>
          <w:p w14:paraId="73062A9D" w14:textId="77777777" w:rsidR="003647D9" w:rsidRPr="003647D9" w:rsidRDefault="003647D9" w:rsidP="00297122">
            <w:pPr>
              <w:pStyle w:val="TableText"/>
              <w:jc w:val="right"/>
            </w:pPr>
            <w:r w:rsidRPr="003647D9">
              <w:t>3,507</w:t>
            </w:r>
          </w:p>
        </w:tc>
        <w:tc>
          <w:tcPr>
            <w:tcW w:w="1508" w:type="dxa"/>
            <w:vAlign w:val="center"/>
            <w:hideMark/>
          </w:tcPr>
          <w:p w14:paraId="4E9DC9D7" w14:textId="77777777" w:rsidR="003647D9" w:rsidRPr="003647D9" w:rsidRDefault="003647D9" w:rsidP="00297122">
            <w:pPr>
              <w:pStyle w:val="TableText"/>
              <w:jc w:val="right"/>
            </w:pPr>
            <w:r w:rsidRPr="003647D9">
              <w:t>24,016</w:t>
            </w:r>
          </w:p>
        </w:tc>
        <w:tc>
          <w:tcPr>
            <w:tcW w:w="1312" w:type="dxa"/>
            <w:vAlign w:val="center"/>
            <w:hideMark/>
          </w:tcPr>
          <w:p w14:paraId="165510CE" w14:textId="77777777" w:rsidR="003647D9" w:rsidRPr="003647D9" w:rsidRDefault="003647D9" w:rsidP="00297122">
            <w:pPr>
              <w:pStyle w:val="TableText"/>
              <w:jc w:val="right"/>
            </w:pPr>
            <w:r w:rsidRPr="003647D9">
              <w:t>684.80%</w:t>
            </w:r>
          </w:p>
        </w:tc>
      </w:tr>
      <w:tr w:rsidR="008B2B3E" w:rsidRPr="003647D9" w14:paraId="0F43A354" w14:textId="77777777" w:rsidTr="00297122">
        <w:trPr>
          <w:trHeight w:val="576"/>
        </w:trPr>
        <w:tc>
          <w:tcPr>
            <w:tcW w:w="4169" w:type="dxa"/>
            <w:vAlign w:val="center"/>
            <w:hideMark/>
          </w:tcPr>
          <w:p w14:paraId="36944FD9" w14:textId="1C6E34F0" w:rsidR="003647D9" w:rsidRPr="003647D9" w:rsidRDefault="003647D9" w:rsidP="00297122">
            <w:pPr>
              <w:pStyle w:val="TableText"/>
            </w:pPr>
            <w:r w:rsidRPr="003647D9">
              <w:lastRenderedPageBreak/>
              <w:t>Contracted Average Cost Per Skills Development Trainees</w:t>
            </w:r>
          </w:p>
        </w:tc>
        <w:tc>
          <w:tcPr>
            <w:tcW w:w="1174" w:type="dxa"/>
            <w:vAlign w:val="center"/>
            <w:hideMark/>
          </w:tcPr>
          <w:p w14:paraId="72C80DB2"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EF</w:t>
            </w:r>
          </w:p>
        </w:tc>
        <w:tc>
          <w:tcPr>
            <w:tcW w:w="1187" w:type="dxa"/>
            <w:vAlign w:val="center"/>
            <w:hideMark/>
          </w:tcPr>
          <w:p w14:paraId="7FC26C02" w14:textId="77777777" w:rsidR="003647D9" w:rsidRPr="003647D9" w:rsidRDefault="003647D9" w:rsidP="00297122">
            <w:pPr>
              <w:pStyle w:val="TableText"/>
              <w:jc w:val="right"/>
            </w:pPr>
            <w:r w:rsidRPr="003647D9">
              <w:t>$2,000.00</w:t>
            </w:r>
          </w:p>
        </w:tc>
        <w:tc>
          <w:tcPr>
            <w:tcW w:w="1508" w:type="dxa"/>
            <w:vAlign w:val="center"/>
            <w:hideMark/>
          </w:tcPr>
          <w:p w14:paraId="60B67CCA" w14:textId="77777777" w:rsidR="003647D9" w:rsidRPr="003647D9" w:rsidRDefault="003647D9" w:rsidP="00297122">
            <w:pPr>
              <w:pStyle w:val="TableText"/>
              <w:jc w:val="right"/>
            </w:pPr>
            <w:r w:rsidRPr="003647D9">
              <w:t>$1,696.85</w:t>
            </w:r>
          </w:p>
        </w:tc>
        <w:tc>
          <w:tcPr>
            <w:tcW w:w="1312" w:type="dxa"/>
            <w:vAlign w:val="center"/>
            <w:hideMark/>
          </w:tcPr>
          <w:p w14:paraId="53DE3928" w14:textId="77777777" w:rsidR="003647D9" w:rsidRPr="003647D9" w:rsidRDefault="003647D9" w:rsidP="00297122">
            <w:pPr>
              <w:pStyle w:val="TableText"/>
              <w:jc w:val="right"/>
            </w:pPr>
            <w:r w:rsidRPr="003647D9">
              <w:t>84.84%</w:t>
            </w:r>
          </w:p>
        </w:tc>
      </w:tr>
      <w:tr w:rsidR="008B2B3E" w:rsidRPr="003647D9" w14:paraId="1163F3C8" w14:textId="77777777" w:rsidTr="00297122">
        <w:trPr>
          <w:trHeight w:val="288"/>
        </w:trPr>
        <w:tc>
          <w:tcPr>
            <w:tcW w:w="4169" w:type="dxa"/>
            <w:vAlign w:val="center"/>
            <w:hideMark/>
          </w:tcPr>
          <w:p w14:paraId="30DD814B" w14:textId="77777777" w:rsidR="003647D9" w:rsidRPr="003647D9" w:rsidRDefault="003647D9" w:rsidP="00297122">
            <w:pPr>
              <w:pStyle w:val="TableText"/>
            </w:pPr>
            <w:r w:rsidRPr="003647D9">
              <w:t>Average Cost per Participant Served - AEL</w:t>
            </w:r>
          </w:p>
        </w:tc>
        <w:tc>
          <w:tcPr>
            <w:tcW w:w="1174" w:type="dxa"/>
            <w:vAlign w:val="center"/>
            <w:hideMark/>
          </w:tcPr>
          <w:p w14:paraId="3CB5E16E"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EF</w:t>
            </w:r>
          </w:p>
        </w:tc>
        <w:tc>
          <w:tcPr>
            <w:tcW w:w="1187" w:type="dxa"/>
            <w:vAlign w:val="center"/>
            <w:hideMark/>
          </w:tcPr>
          <w:p w14:paraId="289601DE" w14:textId="77777777" w:rsidR="003647D9" w:rsidRPr="003647D9" w:rsidRDefault="003647D9" w:rsidP="00297122">
            <w:pPr>
              <w:pStyle w:val="TableText"/>
              <w:jc w:val="right"/>
            </w:pPr>
            <w:r w:rsidRPr="003647D9">
              <w:t>$1,465.00</w:t>
            </w:r>
          </w:p>
        </w:tc>
        <w:tc>
          <w:tcPr>
            <w:tcW w:w="1508" w:type="dxa"/>
            <w:vAlign w:val="center"/>
            <w:hideMark/>
          </w:tcPr>
          <w:p w14:paraId="1DD27160" w14:textId="77777777" w:rsidR="003647D9" w:rsidRPr="003647D9" w:rsidRDefault="003647D9" w:rsidP="00297122">
            <w:pPr>
              <w:pStyle w:val="TableText"/>
              <w:jc w:val="right"/>
            </w:pPr>
            <w:r w:rsidRPr="003647D9">
              <w:t>$1,175.09</w:t>
            </w:r>
          </w:p>
        </w:tc>
        <w:tc>
          <w:tcPr>
            <w:tcW w:w="1312" w:type="dxa"/>
            <w:vAlign w:val="center"/>
            <w:hideMark/>
          </w:tcPr>
          <w:p w14:paraId="2D542D8B" w14:textId="77777777" w:rsidR="003647D9" w:rsidRPr="003647D9" w:rsidRDefault="003647D9" w:rsidP="00297122">
            <w:pPr>
              <w:pStyle w:val="TableText"/>
              <w:jc w:val="right"/>
            </w:pPr>
            <w:r w:rsidRPr="003647D9">
              <w:t>80.21%</w:t>
            </w:r>
          </w:p>
        </w:tc>
      </w:tr>
      <w:tr w:rsidR="008B2B3E" w:rsidRPr="003647D9" w14:paraId="0013B769" w14:textId="77777777" w:rsidTr="00297122">
        <w:trPr>
          <w:trHeight w:val="576"/>
        </w:trPr>
        <w:tc>
          <w:tcPr>
            <w:tcW w:w="4169" w:type="dxa"/>
            <w:vAlign w:val="center"/>
            <w:hideMark/>
          </w:tcPr>
          <w:p w14:paraId="428C01AB" w14:textId="77777777" w:rsidR="003647D9" w:rsidRPr="003647D9" w:rsidRDefault="003647D9" w:rsidP="00297122">
            <w:pPr>
              <w:pStyle w:val="TableText"/>
            </w:pPr>
            <w:r w:rsidRPr="003647D9">
              <w:t>Average Cost per Employment and Housing Complaint Resolved</w:t>
            </w:r>
          </w:p>
        </w:tc>
        <w:tc>
          <w:tcPr>
            <w:tcW w:w="1174" w:type="dxa"/>
            <w:vAlign w:val="center"/>
            <w:hideMark/>
          </w:tcPr>
          <w:p w14:paraId="1028D7F0"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EF</w:t>
            </w:r>
          </w:p>
        </w:tc>
        <w:tc>
          <w:tcPr>
            <w:tcW w:w="1187" w:type="dxa"/>
            <w:vAlign w:val="center"/>
            <w:hideMark/>
          </w:tcPr>
          <w:p w14:paraId="09F0CB5D" w14:textId="77777777" w:rsidR="003647D9" w:rsidRPr="003647D9" w:rsidRDefault="003647D9" w:rsidP="00297122">
            <w:pPr>
              <w:pStyle w:val="TableText"/>
              <w:jc w:val="right"/>
            </w:pPr>
            <w:r w:rsidRPr="003647D9">
              <w:t>$2,255.00</w:t>
            </w:r>
          </w:p>
        </w:tc>
        <w:tc>
          <w:tcPr>
            <w:tcW w:w="1508" w:type="dxa"/>
            <w:vAlign w:val="center"/>
            <w:hideMark/>
          </w:tcPr>
          <w:p w14:paraId="75B65299" w14:textId="77777777" w:rsidR="003647D9" w:rsidRPr="003647D9" w:rsidRDefault="003647D9" w:rsidP="00297122">
            <w:pPr>
              <w:pStyle w:val="TableText"/>
              <w:jc w:val="right"/>
            </w:pPr>
            <w:r w:rsidRPr="003647D9">
              <w:t>$1,800.44</w:t>
            </w:r>
          </w:p>
        </w:tc>
        <w:tc>
          <w:tcPr>
            <w:tcW w:w="1312" w:type="dxa"/>
            <w:vAlign w:val="center"/>
            <w:hideMark/>
          </w:tcPr>
          <w:p w14:paraId="6E8BB10A" w14:textId="77777777" w:rsidR="003647D9" w:rsidRPr="003647D9" w:rsidRDefault="003647D9" w:rsidP="00297122">
            <w:pPr>
              <w:pStyle w:val="TableText"/>
              <w:jc w:val="right"/>
            </w:pPr>
            <w:r w:rsidRPr="003647D9">
              <w:t>79.84%</w:t>
            </w:r>
          </w:p>
        </w:tc>
      </w:tr>
      <w:tr w:rsidR="008B2B3E" w:rsidRPr="003647D9" w14:paraId="5C17FE5B" w14:textId="77777777" w:rsidTr="00297122">
        <w:trPr>
          <w:trHeight w:val="576"/>
        </w:trPr>
        <w:tc>
          <w:tcPr>
            <w:tcW w:w="4169" w:type="dxa"/>
            <w:vAlign w:val="center"/>
            <w:hideMark/>
          </w:tcPr>
          <w:p w14:paraId="0F6FE47B" w14:textId="77777777" w:rsidR="003647D9" w:rsidRPr="003647D9" w:rsidRDefault="003647D9" w:rsidP="00297122">
            <w:pPr>
              <w:pStyle w:val="TableText"/>
            </w:pPr>
            <w:r w:rsidRPr="003647D9">
              <w:t>Contracted Average Cost per Statewide Initiative Participant to Be Served</w:t>
            </w:r>
          </w:p>
        </w:tc>
        <w:tc>
          <w:tcPr>
            <w:tcW w:w="1174" w:type="dxa"/>
            <w:vAlign w:val="center"/>
            <w:hideMark/>
          </w:tcPr>
          <w:p w14:paraId="529CF20A"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EF</w:t>
            </w:r>
          </w:p>
        </w:tc>
        <w:tc>
          <w:tcPr>
            <w:tcW w:w="1187" w:type="dxa"/>
            <w:vAlign w:val="center"/>
            <w:hideMark/>
          </w:tcPr>
          <w:p w14:paraId="69FE4955" w14:textId="77777777" w:rsidR="003647D9" w:rsidRPr="003647D9" w:rsidRDefault="003647D9" w:rsidP="00297122">
            <w:pPr>
              <w:pStyle w:val="TableText"/>
              <w:jc w:val="right"/>
            </w:pPr>
            <w:r w:rsidRPr="003647D9">
              <w:t>$1,772.00</w:t>
            </w:r>
          </w:p>
        </w:tc>
        <w:tc>
          <w:tcPr>
            <w:tcW w:w="1508" w:type="dxa"/>
            <w:vAlign w:val="center"/>
            <w:hideMark/>
          </w:tcPr>
          <w:p w14:paraId="5B50387D" w14:textId="77777777" w:rsidR="003647D9" w:rsidRPr="003647D9" w:rsidRDefault="003647D9" w:rsidP="00297122">
            <w:pPr>
              <w:pStyle w:val="TableText"/>
              <w:jc w:val="right"/>
            </w:pPr>
            <w:r w:rsidRPr="003647D9">
              <w:t>$943.44</w:t>
            </w:r>
          </w:p>
        </w:tc>
        <w:tc>
          <w:tcPr>
            <w:tcW w:w="1312" w:type="dxa"/>
            <w:vAlign w:val="center"/>
            <w:hideMark/>
          </w:tcPr>
          <w:p w14:paraId="2F9401DB" w14:textId="77777777" w:rsidR="003647D9" w:rsidRPr="003647D9" w:rsidRDefault="003647D9" w:rsidP="00297122">
            <w:pPr>
              <w:pStyle w:val="TableText"/>
              <w:jc w:val="right"/>
            </w:pPr>
            <w:r w:rsidRPr="003647D9">
              <w:t>53.24%</w:t>
            </w:r>
          </w:p>
        </w:tc>
      </w:tr>
      <w:tr w:rsidR="008B2B3E" w:rsidRPr="003647D9" w14:paraId="45ACF94A" w14:textId="77777777" w:rsidTr="00297122">
        <w:trPr>
          <w:trHeight w:val="576"/>
        </w:trPr>
        <w:tc>
          <w:tcPr>
            <w:tcW w:w="4169" w:type="dxa"/>
            <w:vAlign w:val="center"/>
            <w:hideMark/>
          </w:tcPr>
          <w:p w14:paraId="1F85D40F" w14:textId="77777777" w:rsidR="003647D9" w:rsidRPr="003647D9" w:rsidRDefault="003647D9" w:rsidP="00297122">
            <w:pPr>
              <w:pStyle w:val="TableText"/>
            </w:pPr>
            <w:r w:rsidRPr="003647D9">
              <w:t>Contracted Average Cost Per Self-Sufficiency Trainees</w:t>
            </w:r>
          </w:p>
        </w:tc>
        <w:tc>
          <w:tcPr>
            <w:tcW w:w="1174" w:type="dxa"/>
            <w:vAlign w:val="center"/>
            <w:hideMark/>
          </w:tcPr>
          <w:p w14:paraId="6C25059C"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EF</w:t>
            </w:r>
          </w:p>
        </w:tc>
        <w:tc>
          <w:tcPr>
            <w:tcW w:w="1187" w:type="dxa"/>
            <w:vAlign w:val="center"/>
            <w:hideMark/>
          </w:tcPr>
          <w:p w14:paraId="63551A6B" w14:textId="77777777" w:rsidR="003647D9" w:rsidRPr="003647D9" w:rsidRDefault="003647D9" w:rsidP="00297122">
            <w:pPr>
              <w:pStyle w:val="TableText"/>
              <w:jc w:val="right"/>
            </w:pPr>
            <w:r w:rsidRPr="003647D9">
              <w:t>$2,500.00</w:t>
            </w:r>
          </w:p>
        </w:tc>
        <w:tc>
          <w:tcPr>
            <w:tcW w:w="1508" w:type="dxa"/>
            <w:vAlign w:val="center"/>
            <w:hideMark/>
          </w:tcPr>
          <w:p w14:paraId="52E378AD" w14:textId="77777777" w:rsidR="003647D9" w:rsidRPr="003647D9" w:rsidRDefault="003647D9" w:rsidP="00297122">
            <w:pPr>
              <w:pStyle w:val="TableText"/>
              <w:jc w:val="right"/>
            </w:pPr>
            <w:r w:rsidRPr="003647D9">
              <w:t>$2,027.70</w:t>
            </w:r>
          </w:p>
        </w:tc>
        <w:tc>
          <w:tcPr>
            <w:tcW w:w="1312" w:type="dxa"/>
            <w:vAlign w:val="center"/>
            <w:hideMark/>
          </w:tcPr>
          <w:p w14:paraId="7B995DB6" w14:textId="77777777" w:rsidR="003647D9" w:rsidRPr="003647D9" w:rsidRDefault="003647D9" w:rsidP="00297122">
            <w:pPr>
              <w:pStyle w:val="TableText"/>
              <w:jc w:val="right"/>
            </w:pPr>
            <w:r w:rsidRPr="003647D9">
              <w:t>85.11%</w:t>
            </w:r>
          </w:p>
        </w:tc>
      </w:tr>
      <w:tr w:rsidR="008B2B3E" w:rsidRPr="003647D9" w14:paraId="5257BCC0" w14:textId="77777777" w:rsidTr="00297122">
        <w:trPr>
          <w:trHeight w:val="288"/>
        </w:trPr>
        <w:tc>
          <w:tcPr>
            <w:tcW w:w="4169" w:type="dxa"/>
            <w:vAlign w:val="center"/>
            <w:hideMark/>
          </w:tcPr>
          <w:p w14:paraId="17E4748F" w14:textId="77777777" w:rsidR="003647D9" w:rsidRPr="003647D9" w:rsidRDefault="003647D9" w:rsidP="00297122">
            <w:pPr>
              <w:pStyle w:val="TableText"/>
            </w:pPr>
            <w:r w:rsidRPr="003647D9">
              <w:t>Number of Initial UI Claims Filed</w:t>
            </w:r>
          </w:p>
        </w:tc>
        <w:tc>
          <w:tcPr>
            <w:tcW w:w="1174" w:type="dxa"/>
            <w:vAlign w:val="center"/>
            <w:hideMark/>
          </w:tcPr>
          <w:p w14:paraId="32586246"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EX</w:t>
            </w:r>
          </w:p>
        </w:tc>
        <w:tc>
          <w:tcPr>
            <w:tcW w:w="1187" w:type="dxa"/>
            <w:vAlign w:val="center"/>
            <w:hideMark/>
          </w:tcPr>
          <w:p w14:paraId="03BEE67C" w14:textId="77777777" w:rsidR="003647D9" w:rsidRPr="003647D9" w:rsidRDefault="003647D9" w:rsidP="00297122">
            <w:pPr>
              <w:pStyle w:val="TableText"/>
              <w:jc w:val="right"/>
            </w:pPr>
            <w:r w:rsidRPr="003647D9">
              <w:t>864,010</w:t>
            </w:r>
          </w:p>
        </w:tc>
        <w:tc>
          <w:tcPr>
            <w:tcW w:w="1508" w:type="dxa"/>
            <w:vAlign w:val="center"/>
            <w:hideMark/>
          </w:tcPr>
          <w:p w14:paraId="4D9CC85C" w14:textId="77777777" w:rsidR="003647D9" w:rsidRPr="003647D9" w:rsidRDefault="003647D9" w:rsidP="00297122">
            <w:pPr>
              <w:pStyle w:val="TableText"/>
              <w:jc w:val="right"/>
            </w:pPr>
            <w:r w:rsidRPr="003647D9">
              <w:t>829,502</w:t>
            </w:r>
          </w:p>
        </w:tc>
        <w:tc>
          <w:tcPr>
            <w:tcW w:w="1312" w:type="dxa"/>
            <w:vAlign w:val="center"/>
            <w:hideMark/>
          </w:tcPr>
          <w:p w14:paraId="12BF5CCC" w14:textId="77777777" w:rsidR="003647D9" w:rsidRPr="003647D9" w:rsidRDefault="003647D9" w:rsidP="00297122">
            <w:pPr>
              <w:pStyle w:val="TableText"/>
              <w:jc w:val="right"/>
            </w:pPr>
            <w:r w:rsidRPr="003647D9">
              <w:t>96.01%</w:t>
            </w:r>
          </w:p>
        </w:tc>
      </w:tr>
      <w:tr w:rsidR="008B2B3E" w:rsidRPr="003647D9" w14:paraId="64AF16E8" w14:textId="77777777" w:rsidTr="00297122">
        <w:trPr>
          <w:trHeight w:val="288"/>
        </w:trPr>
        <w:tc>
          <w:tcPr>
            <w:tcW w:w="4169" w:type="dxa"/>
            <w:vAlign w:val="center"/>
            <w:hideMark/>
          </w:tcPr>
          <w:p w14:paraId="0AF0E5E6" w14:textId="70834CC6" w:rsidR="003647D9" w:rsidRPr="003647D9" w:rsidRDefault="003647D9" w:rsidP="00297122">
            <w:pPr>
              <w:pStyle w:val="TableText"/>
            </w:pPr>
            <w:r w:rsidRPr="003647D9">
              <w:t>Percent Employed/Enrolled 2nd Q</w:t>
            </w:r>
            <w:r w:rsidR="00DF6EFC">
              <w:t>uarter</w:t>
            </w:r>
            <w:r w:rsidRPr="003647D9">
              <w:t xml:space="preserve"> Post-Exit </w:t>
            </w:r>
            <w:r w:rsidR="00BE3F96">
              <w:t>–</w:t>
            </w:r>
            <w:r w:rsidRPr="003647D9">
              <w:t xml:space="preserve"> AEL</w:t>
            </w:r>
          </w:p>
        </w:tc>
        <w:tc>
          <w:tcPr>
            <w:tcW w:w="1174" w:type="dxa"/>
            <w:vAlign w:val="center"/>
            <w:hideMark/>
          </w:tcPr>
          <w:p w14:paraId="56B05B5B"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OC</w:t>
            </w:r>
          </w:p>
        </w:tc>
        <w:tc>
          <w:tcPr>
            <w:tcW w:w="1187" w:type="dxa"/>
            <w:vAlign w:val="center"/>
            <w:hideMark/>
          </w:tcPr>
          <w:p w14:paraId="46AD91BE" w14:textId="77777777" w:rsidR="003647D9" w:rsidRPr="003647D9" w:rsidRDefault="003647D9" w:rsidP="00297122">
            <w:pPr>
              <w:pStyle w:val="TableText"/>
              <w:jc w:val="right"/>
            </w:pPr>
            <w:r w:rsidRPr="003647D9">
              <w:t>56.00%</w:t>
            </w:r>
          </w:p>
        </w:tc>
        <w:tc>
          <w:tcPr>
            <w:tcW w:w="1508" w:type="dxa"/>
            <w:vAlign w:val="center"/>
            <w:hideMark/>
          </w:tcPr>
          <w:p w14:paraId="0BBCFE25" w14:textId="77777777" w:rsidR="003647D9" w:rsidRPr="003647D9" w:rsidRDefault="003647D9" w:rsidP="00297122">
            <w:pPr>
              <w:pStyle w:val="TableText"/>
              <w:jc w:val="right"/>
            </w:pPr>
            <w:r w:rsidRPr="003647D9">
              <w:t>58.29%</w:t>
            </w:r>
          </w:p>
        </w:tc>
        <w:tc>
          <w:tcPr>
            <w:tcW w:w="1312" w:type="dxa"/>
            <w:vAlign w:val="center"/>
            <w:hideMark/>
          </w:tcPr>
          <w:p w14:paraId="6C6E75EE" w14:textId="77777777" w:rsidR="003647D9" w:rsidRPr="003647D9" w:rsidRDefault="003647D9" w:rsidP="00297122">
            <w:pPr>
              <w:pStyle w:val="TableText"/>
              <w:jc w:val="right"/>
            </w:pPr>
            <w:r w:rsidRPr="003647D9">
              <w:t>104.90%</w:t>
            </w:r>
          </w:p>
        </w:tc>
      </w:tr>
      <w:tr w:rsidR="008B2B3E" w:rsidRPr="003647D9" w14:paraId="5F1306E0" w14:textId="77777777" w:rsidTr="00297122">
        <w:trPr>
          <w:trHeight w:val="288"/>
        </w:trPr>
        <w:tc>
          <w:tcPr>
            <w:tcW w:w="4169" w:type="dxa"/>
            <w:vAlign w:val="center"/>
            <w:hideMark/>
          </w:tcPr>
          <w:p w14:paraId="2C0EAE68" w14:textId="782533E6" w:rsidR="003647D9" w:rsidRPr="003647D9" w:rsidRDefault="003647D9" w:rsidP="00297122">
            <w:pPr>
              <w:pStyle w:val="TableText"/>
            </w:pPr>
            <w:r w:rsidRPr="003647D9">
              <w:t>Percent Employed/Enrolled 2nd Q</w:t>
            </w:r>
            <w:r w:rsidR="00DF6EFC">
              <w:t>uarter</w:t>
            </w:r>
            <w:r w:rsidRPr="003647D9">
              <w:t xml:space="preserve"> Post-Exit </w:t>
            </w:r>
            <w:r w:rsidR="00BE3F96">
              <w:t>–</w:t>
            </w:r>
            <w:r w:rsidRPr="003647D9">
              <w:t xml:space="preserve"> VR</w:t>
            </w:r>
          </w:p>
        </w:tc>
        <w:tc>
          <w:tcPr>
            <w:tcW w:w="1174" w:type="dxa"/>
            <w:vAlign w:val="center"/>
            <w:hideMark/>
          </w:tcPr>
          <w:p w14:paraId="4A458361"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OC</w:t>
            </w:r>
          </w:p>
        </w:tc>
        <w:tc>
          <w:tcPr>
            <w:tcW w:w="1187" w:type="dxa"/>
            <w:vAlign w:val="center"/>
            <w:hideMark/>
          </w:tcPr>
          <w:p w14:paraId="67CDF189" w14:textId="77777777" w:rsidR="003647D9" w:rsidRPr="003647D9" w:rsidRDefault="003647D9" w:rsidP="00297122">
            <w:pPr>
              <w:pStyle w:val="TableText"/>
              <w:jc w:val="right"/>
            </w:pPr>
            <w:r w:rsidRPr="003647D9">
              <w:t>57.50%</w:t>
            </w:r>
          </w:p>
        </w:tc>
        <w:tc>
          <w:tcPr>
            <w:tcW w:w="1508" w:type="dxa"/>
            <w:vAlign w:val="center"/>
            <w:hideMark/>
          </w:tcPr>
          <w:p w14:paraId="62B7F1AE" w14:textId="77777777" w:rsidR="003647D9" w:rsidRPr="003647D9" w:rsidRDefault="003647D9" w:rsidP="00297122">
            <w:pPr>
              <w:pStyle w:val="TableText"/>
              <w:jc w:val="right"/>
            </w:pPr>
            <w:r w:rsidRPr="003647D9">
              <w:t>60.82%</w:t>
            </w:r>
          </w:p>
        </w:tc>
        <w:tc>
          <w:tcPr>
            <w:tcW w:w="1312" w:type="dxa"/>
            <w:vAlign w:val="center"/>
            <w:hideMark/>
          </w:tcPr>
          <w:p w14:paraId="45BF830B" w14:textId="77777777" w:rsidR="003647D9" w:rsidRPr="003647D9" w:rsidRDefault="003647D9" w:rsidP="00297122">
            <w:pPr>
              <w:pStyle w:val="TableText"/>
              <w:jc w:val="right"/>
            </w:pPr>
            <w:r w:rsidRPr="003647D9">
              <w:t>105.72%</w:t>
            </w:r>
          </w:p>
        </w:tc>
      </w:tr>
      <w:tr w:rsidR="008B2B3E" w:rsidRPr="003647D9" w14:paraId="7428423E" w14:textId="77777777" w:rsidTr="00297122">
        <w:trPr>
          <w:trHeight w:val="576"/>
        </w:trPr>
        <w:tc>
          <w:tcPr>
            <w:tcW w:w="4169" w:type="dxa"/>
            <w:vAlign w:val="center"/>
            <w:hideMark/>
          </w:tcPr>
          <w:p w14:paraId="77FB9CF5" w14:textId="77777777" w:rsidR="003647D9" w:rsidRPr="003647D9" w:rsidRDefault="003647D9" w:rsidP="00297122">
            <w:pPr>
              <w:pStyle w:val="TableText"/>
            </w:pPr>
            <w:r w:rsidRPr="003647D9">
              <w:t>Percent of Employment and Housing Complaints Resolved Timely</w:t>
            </w:r>
          </w:p>
        </w:tc>
        <w:tc>
          <w:tcPr>
            <w:tcW w:w="1174" w:type="dxa"/>
            <w:vAlign w:val="center"/>
            <w:hideMark/>
          </w:tcPr>
          <w:p w14:paraId="0AC15E31"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OC</w:t>
            </w:r>
          </w:p>
        </w:tc>
        <w:tc>
          <w:tcPr>
            <w:tcW w:w="1187" w:type="dxa"/>
            <w:vAlign w:val="center"/>
            <w:hideMark/>
          </w:tcPr>
          <w:p w14:paraId="37472297" w14:textId="77777777" w:rsidR="003647D9" w:rsidRPr="003647D9" w:rsidRDefault="003647D9" w:rsidP="00297122">
            <w:pPr>
              <w:pStyle w:val="TableText"/>
              <w:jc w:val="right"/>
            </w:pPr>
            <w:r w:rsidRPr="003647D9">
              <w:t>98.00%</w:t>
            </w:r>
          </w:p>
        </w:tc>
        <w:tc>
          <w:tcPr>
            <w:tcW w:w="1508" w:type="dxa"/>
            <w:vAlign w:val="center"/>
            <w:hideMark/>
          </w:tcPr>
          <w:p w14:paraId="3F06DBD0" w14:textId="77777777" w:rsidR="003647D9" w:rsidRPr="003647D9" w:rsidRDefault="003647D9" w:rsidP="00297122">
            <w:pPr>
              <w:pStyle w:val="TableText"/>
              <w:jc w:val="right"/>
            </w:pPr>
            <w:r w:rsidRPr="003647D9">
              <w:t>99.52%</w:t>
            </w:r>
          </w:p>
        </w:tc>
        <w:tc>
          <w:tcPr>
            <w:tcW w:w="1312" w:type="dxa"/>
            <w:vAlign w:val="center"/>
            <w:hideMark/>
          </w:tcPr>
          <w:p w14:paraId="052B960E" w14:textId="77777777" w:rsidR="003647D9" w:rsidRPr="003647D9" w:rsidRDefault="003647D9" w:rsidP="00297122">
            <w:pPr>
              <w:pStyle w:val="TableText"/>
              <w:jc w:val="right"/>
            </w:pPr>
            <w:r w:rsidRPr="003647D9">
              <w:t>101.55%</w:t>
            </w:r>
          </w:p>
        </w:tc>
      </w:tr>
      <w:tr w:rsidR="008B2B3E" w:rsidRPr="003647D9" w14:paraId="65C8D688" w14:textId="77777777" w:rsidTr="00297122">
        <w:trPr>
          <w:trHeight w:val="288"/>
        </w:trPr>
        <w:tc>
          <w:tcPr>
            <w:tcW w:w="4169" w:type="dxa"/>
            <w:vAlign w:val="center"/>
            <w:hideMark/>
          </w:tcPr>
          <w:p w14:paraId="47823657" w14:textId="2F656828" w:rsidR="003647D9" w:rsidRPr="003647D9" w:rsidRDefault="003647D9" w:rsidP="00297122">
            <w:pPr>
              <w:pStyle w:val="TableText"/>
            </w:pPr>
            <w:r w:rsidRPr="003647D9">
              <w:t>Percent of Wage and Tax Reports Timely Secured</w:t>
            </w:r>
          </w:p>
        </w:tc>
        <w:tc>
          <w:tcPr>
            <w:tcW w:w="1174" w:type="dxa"/>
            <w:vAlign w:val="center"/>
            <w:hideMark/>
          </w:tcPr>
          <w:p w14:paraId="696B7E25"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OC</w:t>
            </w:r>
          </w:p>
        </w:tc>
        <w:tc>
          <w:tcPr>
            <w:tcW w:w="1187" w:type="dxa"/>
            <w:vAlign w:val="center"/>
            <w:hideMark/>
          </w:tcPr>
          <w:p w14:paraId="5BD349C6" w14:textId="77777777" w:rsidR="003647D9" w:rsidRPr="003647D9" w:rsidRDefault="003647D9" w:rsidP="00297122">
            <w:pPr>
              <w:pStyle w:val="TableText"/>
              <w:jc w:val="right"/>
            </w:pPr>
            <w:r w:rsidRPr="003647D9">
              <w:t>92.00%</w:t>
            </w:r>
          </w:p>
        </w:tc>
        <w:tc>
          <w:tcPr>
            <w:tcW w:w="1508" w:type="dxa"/>
            <w:vAlign w:val="center"/>
            <w:hideMark/>
          </w:tcPr>
          <w:p w14:paraId="53C22631" w14:textId="77777777" w:rsidR="003647D9" w:rsidRPr="003647D9" w:rsidRDefault="003647D9" w:rsidP="00297122">
            <w:pPr>
              <w:pStyle w:val="TableText"/>
              <w:jc w:val="right"/>
            </w:pPr>
            <w:r w:rsidRPr="003647D9">
              <w:t>92.41%</w:t>
            </w:r>
          </w:p>
        </w:tc>
        <w:tc>
          <w:tcPr>
            <w:tcW w:w="1312" w:type="dxa"/>
            <w:vAlign w:val="center"/>
            <w:hideMark/>
          </w:tcPr>
          <w:p w14:paraId="5A4009E7" w14:textId="77777777" w:rsidR="003647D9" w:rsidRPr="003647D9" w:rsidRDefault="003647D9" w:rsidP="00297122">
            <w:pPr>
              <w:pStyle w:val="TableText"/>
              <w:jc w:val="right"/>
            </w:pPr>
            <w:r w:rsidRPr="003647D9">
              <w:t>100.45%</w:t>
            </w:r>
          </w:p>
        </w:tc>
      </w:tr>
      <w:tr w:rsidR="008B2B3E" w:rsidRPr="003647D9" w14:paraId="42774C53" w14:textId="77777777" w:rsidTr="00297122">
        <w:trPr>
          <w:trHeight w:val="624"/>
        </w:trPr>
        <w:tc>
          <w:tcPr>
            <w:tcW w:w="4169" w:type="dxa"/>
            <w:vAlign w:val="center"/>
            <w:hideMark/>
          </w:tcPr>
          <w:p w14:paraId="64DB03A9" w14:textId="77777777" w:rsidR="003647D9" w:rsidRPr="003647D9" w:rsidRDefault="003647D9" w:rsidP="00297122">
            <w:pPr>
              <w:pStyle w:val="TableText"/>
            </w:pPr>
            <w:r w:rsidRPr="003647D9">
              <w:t>Average Earnings Per Business Enterprises of Texas Consumer Employed</w:t>
            </w:r>
          </w:p>
        </w:tc>
        <w:tc>
          <w:tcPr>
            <w:tcW w:w="1174" w:type="dxa"/>
            <w:vAlign w:val="center"/>
            <w:hideMark/>
          </w:tcPr>
          <w:p w14:paraId="41284595"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OC</w:t>
            </w:r>
          </w:p>
        </w:tc>
        <w:tc>
          <w:tcPr>
            <w:tcW w:w="1187" w:type="dxa"/>
            <w:vAlign w:val="center"/>
            <w:hideMark/>
          </w:tcPr>
          <w:p w14:paraId="41024124" w14:textId="77777777" w:rsidR="003647D9" w:rsidRPr="003647D9" w:rsidRDefault="003647D9" w:rsidP="00297122">
            <w:pPr>
              <w:pStyle w:val="TableText"/>
              <w:jc w:val="right"/>
            </w:pPr>
            <w:r w:rsidRPr="003647D9">
              <w:t>$90,000.00</w:t>
            </w:r>
          </w:p>
        </w:tc>
        <w:tc>
          <w:tcPr>
            <w:tcW w:w="1508" w:type="dxa"/>
            <w:vAlign w:val="center"/>
            <w:hideMark/>
          </w:tcPr>
          <w:p w14:paraId="0E89DE05" w14:textId="77777777" w:rsidR="003647D9" w:rsidRPr="003647D9" w:rsidRDefault="003647D9" w:rsidP="00297122">
            <w:pPr>
              <w:pStyle w:val="TableText"/>
              <w:jc w:val="right"/>
            </w:pPr>
            <w:r w:rsidRPr="003647D9">
              <w:t>$127,248.00</w:t>
            </w:r>
          </w:p>
        </w:tc>
        <w:tc>
          <w:tcPr>
            <w:tcW w:w="1312" w:type="dxa"/>
            <w:vAlign w:val="center"/>
            <w:hideMark/>
          </w:tcPr>
          <w:p w14:paraId="5A17146C" w14:textId="77777777" w:rsidR="003647D9" w:rsidRPr="003647D9" w:rsidRDefault="003647D9" w:rsidP="00297122">
            <w:pPr>
              <w:pStyle w:val="TableText"/>
              <w:jc w:val="right"/>
            </w:pPr>
            <w:r w:rsidRPr="003647D9">
              <w:t>141.39%</w:t>
            </w:r>
          </w:p>
        </w:tc>
      </w:tr>
      <w:tr w:rsidR="008B2B3E" w:rsidRPr="003647D9" w14:paraId="7B74CDC2" w14:textId="77777777" w:rsidTr="00297122">
        <w:trPr>
          <w:trHeight w:val="288"/>
        </w:trPr>
        <w:tc>
          <w:tcPr>
            <w:tcW w:w="4169" w:type="dxa"/>
            <w:vAlign w:val="center"/>
            <w:hideMark/>
          </w:tcPr>
          <w:p w14:paraId="75B7E4DD" w14:textId="32DD5171" w:rsidR="003647D9" w:rsidRPr="003647D9" w:rsidRDefault="003647D9" w:rsidP="00297122">
            <w:pPr>
              <w:pStyle w:val="TableText"/>
            </w:pPr>
            <w:r w:rsidRPr="003647D9">
              <w:t>Employed/Enrolled 2</w:t>
            </w:r>
            <w:r w:rsidR="00DF6EFC">
              <w:t>nd Quarter</w:t>
            </w:r>
            <w:r w:rsidRPr="003647D9">
              <w:t xml:space="preserve"> Post Exit - C&amp;T Participants</w:t>
            </w:r>
          </w:p>
        </w:tc>
        <w:tc>
          <w:tcPr>
            <w:tcW w:w="1174" w:type="dxa"/>
            <w:vAlign w:val="center"/>
            <w:hideMark/>
          </w:tcPr>
          <w:p w14:paraId="2AD3F4E3"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OC</w:t>
            </w:r>
          </w:p>
        </w:tc>
        <w:tc>
          <w:tcPr>
            <w:tcW w:w="1187" w:type="dxa"/>
            <w:vAlign w:val="center"/>
            <w:hideMark/>
          </w:tcPr>
          <w:p w14:paraId="20667305" w14:textId="77777777" w:rsidR="003647D9" w:rsidRPr="003647D9" w:rsidRDefault="003647D9" w:rsidP="00297122">
            <w:pPr>
              <w:pStyle w:val="TableText"/>
              <w:jc w:val="right"/>
            </w:pPr>
            <w:r w:rsidRPr="003647D9">
              <w:t>66.00%</w:t>
            </w:r>
          </w:p>
        </w:tc>
        <w:tc>
          <w:tcPr>
            <w:tcW w:w="1508" w:type="dxa"/>
            <w:vAlign w:val="center"/>
            <w:hideMark/>
          </w:tcPr>
          <w:p w14:paraId="15575665" w14:textId="77777777" w:rsidR="003647D9" w:rsidRPr="003647D9" w:rsidRDefault="003647D9" w:rsidP="00297122">
            <w:pPr>
              <w:pStyle w:val="TableText"/>
              <w:jc w:val="right"/>
            </w:pPr>
            <w:r w:rsidRPr="003647D9">
              <w:t>66.29%</w:t>
            </w:r>
          </w:p>
        </w:tc>
        <w:tc>
          <w:tcPr>
            <w:tcW w:w="1312" w:type="dxa"/>
            <w:vAlign w:val="center"/>
            <w:hideMark/>
          </w:tcPr>
          <w:p w14:paraId="529A106C" w14:textId="77777777" w:rsidR="003647D9" w:rsidRPr="003647D9" w:rsidRDefault="003647D9" w:rsidP="00297122">
            <w:pPr>
              <w:pStyle w:val="TableText"/>
              <w:jc w:val="right"/>
            </w:pPr>
            <w:r w:rsidRPr="003647D9">
              <w:t>100.44%</w:t>
            </w:r>
          </w:p>
        </w:tc>
      </w:tr>
      <w:tr w:rsidR="008B2B3E" w:rsidRPr="003647D9" w14:paraId="02DE2B27" w14:textId="77777777" w:rsidTr="00297122">
        <w:trPr>
          <w:trHeight w:val="288"/>
        </w:trPr>
        <w:tc>
          <w:tcPr>
            <w:tcW w:w="4169" w:type="dxa"/>
            <w:vAlign w:val="center"/>
            <w:hideMark/>
          </w:tcPr>
          <w:p w14:paraId="4B06731A" w14:textId="77777777" w:rsidR="003647D9" w:rsidRPr="003647D9" w:rsidRDefault="003647D9" w:rsidP="00297122">
            <w:pPr>
              <w:pStyle w:val="TableText"/>
            </w:pPr>
            <w:r w:rsidRPr="003647D9">
              <w:t>Number of Businesses Operated by Blind Managers</w:t>
            </w:r>
          </w:p>
        </w:tc>
        <w:tc>
          <w:tcPr>
            <w:tcW w:w="1174" w:type="dxa"/>
            <w:vAlign w:val="center"/>
            <w:hideMark/>
          </w:tcPr>
          <w:p w14:paraId="517A8E60"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OP</w:t>
            </w:r>
          </w:p>
        </w:tc>
        <w:tc>
          <w:tcPr>
            <w:tcW w:w="1187" w:type="dxa"/>
            <w:vAlign w:val="center"/>
            <w:hideMark/>
          </w:tcPr>
          <w:p w14:paraId="65B4E239" w14:textId="77777777" w:rsidR="003647D9" w:rsidRPr="003647D9" w:rsidRDefault="003647D9" w:rsidP="00297122">
            <w:pPr>
              <w:pStyle w:val="TableText"/>
              <w:jc w:val="right"/>
            </w:pPr>
            <w:r w:rsidRPr="003647D9">
              <w:t>107</w:t>
            </w:r>
          </w:p>
        </w:tc>
        <w:tc>
          <w:tcPr>
            <w:tcW w:w="1508" w:type="dxa"/>
            <w:vAlign w:val="center"/>
            <w:hideMark/>
          </w:tcPr>
          <w:p w14:paraId="67578D61" w14:textId="77777777" w:rsidR="003647D9" w:rsidRPr="003647D9" w:rsidRDefault="003647D9" w:rsidP="00297122">
            <w:pPr>
              <w:pStyle w:val="TableText"/>
              <w:jc w:val="right"/>
            </w:pPr>
            <w:r w:rsidRPr="003647D9">
              <w:t>111</w:t>
            </w:r>
          </w:p>
        </w:tc>
        <w:tc>
          <w:tcPr>
            <w:tcW w:w="1312" w:type="dxa"/>
            <w:vAlign w:val="center"/>
            <w:hideMark/>
          </w:tcPr>
          <w:p w14:paraId="24D7B8ED" w14:textId="77777777" w:rsidR="003647D9" w:rsidRPr="003647D9" w:rsidRDefault="003647D9" w:rsidP="00297122">
            <w:pPr>
              <w:pStyle w:val="TableText"/>
              <w:jc w:val="right"/>
            </w:pPr>
            <w:r w:rsidRPr="003647D9">
              <w:t>103.74%</w:t>
            </w:r>
          </w:p>
        </w:tc>
      </w:tr>
      <w:tr w:rsidR="008B2B3E" w:rsidRPr="003647D9" w14:paraId="7DE164B0" w14:textId="77777777" w:rsidTr="00297122">
        <w:trPr>
          <w:trHeight w:val="576"/>
        </w:trPr>
        <w:tc>
          <w:tcPr>
            <w:tcW w:w="4169" w:type="dxa"/>
            <w:vAlign w:val="center"/>
            <w:hideMark/>
          </w:tcPr>
          <w:p w14:paraId="202A1C7C" w14:textId="77777777" w:rsidR="003647D9" w:rsidRPr="003647D9" w:rsidRDefault="003647D9" w:rsidP="00297122">
            <w:pPr>
              <w:pStyle w:val="TableText"/>
            </w:pPr>
            <w:r w:rsidRPr="003647D9">
              <w:t>Number of Employment and Housing Complaints Resolved</w:t>
            </w:r>
          </w:p>
        </w:tc>
        <w:tc>
          <w:tcPr>
            <w:tcW w:w="1174" w:type="dxa"/>
            <w:vAlign w:val="center"/>
            <w:hideMark/>
          </w:tcPr>
          <w:p w14:paraId="0A938610"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OP</w:t>
            </w:r>
          </w:p>
        </w:tc>
        <w:tc>
          <w:tcPr>
            <w:tcW w:w="1187" w:type="dxa"/>
            <w:vAlign w:val="center"/>
            <w:hideMark/>
          </w:tcPr>
          <w:p w14:paraId="588AC317" w14:textId="77777777" w:rsidR="003647D9" w:rsidRPr="003647D9" w:rsidRDefault="003647D9" w:rsidP="00297122">
            <w:pPr>
              <w:pStyle w:val="TableText"/>
              <w:jc w:val="right"/>
            </w:pPr>
            <w:r w:rsidRPr="003647D9">
              <w:t>1,425</w:t>
            </w:r>
          </w:p>
        </w:tc>
        <w:tc>
          <w:tcPr>
            <w:tcW w:w="1508" w:type="dxa"/>
            <w:vAlign w:val="center"/>
            <w:hideMark/>
          </w:tcPr>
          <w:p w14:paraId="5E6B3ACC" w14:textId="77777777" w:rsidR="003647D9" w:rsidRPr="003647D9" w:rsidRDefault="003647D9" w:rsidP="00297122">
            <w:pPr>
              <w:pStyle w:val="TableText"/>
              <w:jc w:val="right"/>
            </w:pPr>
            <w:r w:rsidRPr="003647D9">
              <w:t>2,087</w:t>
            </w:r>
          </w:p>
        </w:tc>
        <w:tc>
          <w:tcPr>
            <w:tcW w:w="1312" w:type="dxa"/>
            <w:vAlign w:val="center"/>
            <w:hideMark/>
          </w:tcPr>
          <w:p w14:paraId="52BB7E19" w14:textId="77777777" w:rsidR="003647D9" w:rsidRPr="003647D9" w:rsidRDefault="003647D9" w:rsidP="00297122">
            <w:pPr>
              <w:pStyle w:val="TableText"/>
              <w:jc w:val="right"/>
            </w:pPr>
            <w:r w:rsidRPr="003647D9">
              <w:t>146.46%</w:t>
            </w:r>
          </w:p>
        </w:tc>
      </w:tr>
      <w:tr w:rsidR="008B2B3E" w:rsidRPr="003647D9" w14:paraId="006FB08F" w14:textId="77777777" w:rsidTr="00297122">
        <w:trPr>
          <w:trHeight w:val="288"/>
        </w:trPr>
        <w:tc>
          <w:tcPr>
            <w:tcW w:w="4169" w:type="dxa"/>
            <w:vAlign w:val="center"/>
            <w:hideMark/>
          </w:tcPr>
          <w:p w14:paraId="4AE0AB73" w14:textId="77777777" w:rsidR="003647D9" w:rsidRPr="003647D9" w:rsidRDefault="003647D9" w:rsidP="00297122">
            <w:pPr>
              <w:pStyle w:val="TableText"/>
            </w:pPr>
            <w:r w:rsidRPr="003647D9">
              <w:t>Number of Individuals Receiving EEO Training</w:t>
            </w:r>
          </w:p>
        </w:tc>
        <w:tc>
          <w:tcPr>
            <w:tcW w:w="1174" w:type="dxa"/>
            <w:vAlign w:val="center"/>
            <w:hideMark/>
          </w:tcPr>
          <w:p w14:paraId="281E29D4"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OP</w:t>
            </w:r>
          </w:p>
        </w:tc>
        <w:tc>
          <w:tcPr>
            <w:tcW w:w="1187" w:type="dxa"/>
            <w:vAlign w:val="center"/>
            <w:hideMark/>
          </w:tcPr>
          <w:p w14:paraId="283775B2" w14:textId="77777777" w:rsidR="003647D9" w:rsidRPr="003647D9" w:rsidRDefault="003647D9" w:rsidP="00297122">
            <w:pPr>
              <w:pStyle w:val="TableText"/>
              <w:jc w:val="right"/>
            </w:pPr>
            <w:r w:rsidRPr="003647D9">
              <w:t>20,500</w:t>
            </w:r>
          </w:p>
        </w:tc>
        <w:tc>
          <w:tcPr>
            <w:tcW w:w="1508" w:type="dxa"/>
            <w:vAlign w:val="center"/>
            <w:hideMark/>
          </w:tcPr>
          <w:p w14:paraId="72AAF2AC" w14:textId="77777777" w:rsidR="003647D9" w:rsidRPr="003647D9" w:rsidRDefault="003647D9" w:rsidP="00297122">
            <w:pPr>
              <w:pStyle w:val="TableText"/>
              <w:jc w:val="right"/>
            </w:pPr>
            <w:r w:rsidRPr="003647D9">
              <w:t>21,265</w:t>
            </w:r>
          </w:p>
        </w:tc>
        <w:tc>
          <w:tcPr>
            <w:tcW w:w="1312" w:type="dxa"/>
            <w:vAlign w:val="center"/>
            <w:hideMark/>
          </w:tcPr>
          <w:p w14:paraId="232C957D" w14:textId="77777777" w:rsidR="003647D9" w:rsidRPr="003647D9" w:rsidRDefault="003647D9" w:rsidP="00297122">
            <w:pPr>
              <w:pStyle w:val="TableText"/>
              <w:jc w:val="right"/>
            </w:pPr>
            <w:r w:rsidRPr="003647D9">
              <w:t>103.73%</w:t>
            </w:r>
          </w:p>
        </w:tc>
      </w:tr>
      <w:tr w:rsidR="008B2B3E" w:rsidRPr="003647D9" w14:paraId="1882B7C8" w14:textId="77777777" w:rsidTr="00297122">
        <w:trPr>
          <w:trHeight w:val="288"/>
        </w:trPr>
        <w:tc>
          <w:tcPr>
            <w:tcW w:w="4169" w:type="dxa"/>
            <w:vAlign w:val="center"/>
            <w:hideMark/>
          </w:tcPr>
          <w:p w14:paraId="57D510C0" w14:textId="77777777" w:rsidR="003647D9" w:rsidRPr="003647D9" w:rsidRDefault="003647D9" w:rsidP="00297122">
            <w:pPr>
              <w:pStyle w:val="TableText"/>
            </w:pPr>
            <w:r w:rsidRPr="003647D9">
              <w:t>Number of Payday Law Decisions Issued</w:t>
            </w:r>
          </w:p>
        </w:tc>
        <w:tc>
          <w:tcPr>
            <w:tcW w:w="1174" w:type="dxa"/>
            <w:vAlign w:val="center"/>
            <w:hideMark/>
          </w:tcPr>
          <w:p w14:paraId="23F07570"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OP</w:t>
            </w:r>
          </w:p>
        </w:tc>
        <w:tc>
          <w:tcPr>
            <w:tcW w:w="1187" w:type="dxa"/>
            <w:vAlign w:val="center"/>
            <w:hideMark/>
          </w:tcPr>
          <w:p w14:paraId="5AD606E7" w14:textId="77777777" w:rsidR="003647D9" w:rsidRPr="003647D9" w:rsidRDefault="003647D9" w:rsidP="00297122">
            <w:pPr>
              <w:pStyle w:val="TableText"/>
              <w:jc w:val="right"/>
            </w:pPr>
            <w:r w:rsidRPr="003647D9">
              <w:t>12,000</w:t>
            </w:r>
          </w:p>
        </w:tc>
        <w:tc>
          <w:tcPr>
            <w:tcW w:w="1508" w:type="dxa"/>
            <w:vAlign w:val="center"/>
            <w:hideMark/>
          </w:tcPr>
          <w:p w14:paraId="5FD3B51E" w14:textId="77777777" w:rsidR="003647D9" w:rsidRPr="003647D9" w:rsidRDefault="003647D9" w:rsidP="00297122">
            <w:pPr>
              <w:pStyle w:val="TableText"/>
              <w:jc w:val="right"/>
            </w:pPr>
            <w:r w:rsidRPr="003647D9">
              <w:t>12,409</w:t>
            </w:r>
          </w:p>
        </w:tc>
        <w:tc>
          <w:tcPr>
            <w:tcW w:w="1312" w:type="dxa"/>
            <w:vAlign w:val="center"/>
            <w:hideMark/>
          </w:tcPr>
          <w:p w14:paraId="57D81AA3" w14:textId="77777777" w:rsidR="003647D9" w:rsidRPr="003647D9" w:rsidRDefault="003647D9" w:rsidP="00297122">
            <w:pPr>
              <w:pStyle w:val="TableText"/>
              <w:jc w:val="right"/>
            </w:pPr>
            <w:r w:rsidRPr="003647D9">
              <w:t>103.41%</w:t>
            </w:r>
          </w:p>
        </w:tc>
      </w:tr>
      <w:tr w:rsidR="008B2B3E" w:rsidRPr="003647D9" w14:paraId="66D7B7FC" w14:textId="77777777" w:rsidTr="00297122">
        <w:trPr>
          <w:trHeight w:val="288"/>
        </w:trPr>
        <w:tc>
          <w:tcPr>
            <w:tcW w:w="4169" w:type="dxa"/>
            <w:vAlign w:val="center"/>
            <w:hideMark/>
          </w:tcPr>
          <w:p w14:paraId="69D141F4" w14:textId="77777777" w:rsidR="003647D9" w:rsidRPr="003647D9" w:rsidRDefault="003647D9" w:rsidP="00297122">
            <w:pPr>
              <w:pStyle w:val="TableText"/>
            </w:pPr>
            <w:r w:rsidRPr="003647D9">
              <w:lastRenderedPageBreak/>
              <w:t>Number of Personnel Policies Approved by CRD</w:t>
            </w:r>
          </w:p>
        </w:tc>
        <w:tc>
          <w:tcPr>
            <w:tcW w:w="1174" w:type="dxa"/>
            <w:vAlign w:val="center"/>
            <w:hideMark/>
          </w:tcPr>
          <w:p w14:paraId="1BDC26BA" w14:textId="77777777" w:rsidR="003647D9" w:rsidRPr="003647D9" w:rsidRDefault="003647D9" w:rsidP="00297122">
            <w:pPr>
              <w:pStyle w:val="TableText"/>
              <w:jc w:val="right"/>
            </w:pPr>
            <w:r w:rsidRPr="003647D9">
              <w:t xml:space="preserve">LBB </w:t>
            </w:r>
            <w:proofErr w:type="gramStart"/>
            <w:r w:rsidRPr="003647D9">
              <w:t>Non Key</w:t>
            </w:r>
            <w:proofErr w:type="gramEnd"/>
            <w:r w:rsidRPr="003647D9">
              <w:t>, OP</w:t>
            </w:r>
          </w:p>
        </w:tc>
        <w:tc>
          <w:tcPr>
            <w:tcW w:w="1187" w:type="dxa"/>
            <w:vAlign w:val="center"/>
            <w:hideMark/>
          </w:tcPr>
          <w:p w14:paraId="67C6756D" w14:textId="77777777" w:rsidR="003647D9" w:rsidRPr="003647D9" w:rsidRDefault="003647D9" w:rsidP="00297122">
            <w:pPr>
              <w:pStyle w:val="TableText"/>
              <w:jc w:val="right"/>
            </w:pPr>
            <w:r w:rsidRPr="003647D9">
              <w:t>29</w:t>
            </w:r>
          </w:p>
        </w:tc>
        <w:tc>
          <w:tcPr>
            <w:tcW w:w="1508" w:type="dxa"/>
            <w:vAlign w:val="center"/>
            <w:hideMark/>
          </w:tcPr>
          <w:p w14:paraId="4393B7DB" w14:textId="77777777" w:rsidR="003647D9" w:rsidRPr="003647D9" w:rsidRDefault="003647D9" w:rsidP="00297122">
            <w:pPr>
              <w:pStyle w:val="TableText"/>
              <w:jc w:val="right"/>
            </w:pPr>
            <w:r w:rsidRPr="003647D9">
              <w:t>30</w:t>
            </w:r>
          </w:p>
        </w:tc>
        <w:tc>
          <w:tcPr>
            <w:tcW w:w="1312" w:type="dxa"/>
            <w:vAlign w:val="center"/>
            <w:hideMark/>
          </w:tcPr>
          <w:p w14:paraId="15011D8F" w14:textId="77777777" w:rsidR="003647D9" w:rsidRPr="003647D9" w:rsidRDefault="003647D9" w:rsidP="00297122">
            <w:pPr>
              <w:pStyle w:val="TableText"/>
              <w:jc w:val="right"/>
            </w:pPr>
            <w:r w:rsidRPr="003647D9">
              <w:t>103.45%</w:t>
            </w:r>
          </w:p>
        </w:tc>
      </w:tr>
    </w:tbl>
    <w:bookmarkEnd w:id="57"/>
    <w:p w14:paraId="45A6F291" w14:textId="18DC5744" w:rsidR="00747210" w:rsidRDefault="00747210" w:rsidP="00FF3D5C">
      <w:pPr>
        <w:pStyle w:val="BodyText"/>
      </w:pPr>
      <w:r w:rsidRPr="00EE4EE2">
        <w:rPr>
          <w:b/>
          <w:bCs/>
        </w:rPr>
        <w:t>LBB Measure Types:</w:t>
      </w:r>
      <w:r w:rsidR="00FF3D5C">
        <w:br/>
      </w:r>
      <w:r>
        <w:t>EF: Efficiency Measure</w:t>
      </w:r>
      <w:r w:rsidR="00FF3D5C">
        <w:br/>
      </w:r>
      <w:r>
        <w:t>EX: Explanatory Measure</w:t>
      </w:r>
      <w:r w:rsidR="00FF3D5C">
        <w:br/>
      </w:r>
      <w:r>
        <w:t>OC: Outcome Measure</w:t>
      </w:r>
      <w:r w:rsidR="00FF3D5C">
        <w:br/>
      </w:r>
      <w:r>
        <w:t>OP: Output Measure</w:t>
      </w:r>
    </w:p>
    <w:p w14:paraId="3BA1ED42" w14:textId="77777777" w:rsidR="00833363" w:rsidRDefault="00747210" w:rsidP="00747210">
      <w:pPr>
        <w:pStyle w:val="BodyText"/>
        <w:rPr>
          <w:b/>
          <w:bCs/>
        </w:rPr>
      </w:pPr>
      <w:r w:rsidRPr="00EE4EE2">
        <w:rPr>
          <w:b/>
          <w:bCs/>
        </w:rPr>
        <w:t>Performance Measure Calculations</w:t>
      </w:r>
    </w:p>
    <w:p w14:paraId="59B1C02F" w14:textId="4E17DD09" w:rsidR="00747210" w:rsidRDefault="00747210" w:rsidP="00747210">
      <w:pPr>
        <w:pStyle w:val="BodyText"/>
      </w:pPr>
      <w:r>
        <w:t>An inventory of TWC’s performance measure calculations, and other performance measure information, can be accessed on page 25</w:t>
      </w:r>
      <w:r w:rsidR="00726183">
        <w:t xml:space="preserve"> of the </w:t>
      </w:r>
      <w:hyperlink r:id="rId39" w:history="1">
        <w:r w:rsidRPr="005C2803">
          <w:rPr>
            <w:rStyle w:val="Hyperlink"/>
          </w:rPr>
          <w:t>TWC Strategic Plan 2025-2029</w:t>
        </w:r>
      </w:hyperlink>
      <w:r w:rsidR="00726183">
        <w:t>.</w:t>
      </w:r>
    </w:p>
    <w:p w14:paraId="4D18909A" w14:textId="77777777" w:rsidR="00747210" w:rsidRPr="00EE4EE2" w:rsidRDefault="00747210" w:rsidP="00747210">
      <w:pPr>
        <w:pStyle w:val="BodyText"/>
        <w:rPr>
          <w:b/>
          <w:bCs/>
        </w:rPr>
      </w:pPr>
      <w:r w:rsidRPr="00EE4EE2">
        <w:rPr>
          <w:b/>
          <w:bCs/>
        </w:rPr>
        <w:t>Explanations of Variance:</w:t>
      </w:r>
    </w:p>
    <w:p w14:paraId="02806954" w14:textId="0A6AF398" w:rsidR="00EE4EE2" w:rsidRDefault="00EE4EE2" w:rsidP="00EE4EE2">
      <w:pPr>
        <w:pStyle w:val="BodyText"/>
      </w:pPr>
      <w:r w:rsidRPr="00414691">
        <w:rPr>
          <w:b/>
          <w:bCs/>
        </w:rPr>
        <w:t>Average Time on Hold UI Tele-Centers:</w:t>
      </w:r>
      <w:r>
        <w:t xml:space="preserve"> Wait times were higher in 2024 </w:t>
      </w:r>
      <w:r w:rsidR="1872A624">
        <w:t xml:space="preserve">due </w:t>
      </w:r>
      <w:r>
        <w:t xml:space="preserve">to two significant federally declared disasters which led to a surge in customers submitting unemployment claims and seeking service. The number of calls answered in August 2024 was the </w:t>
      </w:r>
      <w:r w:rsidR="00FE2C91">
        <w:t>highest</w:t>
      </w:r>
      <w:r>
        <w:t xml:space="preserve"> for any month dating back to April 2020, and the second </w:t>
      </w:r>
      <w:r w:rsidR="003D319D">
        <w:t>highest</w:t>
      </w:r>
      <w:r>
        <w:t xml:space="preserve"> dating back to October 2017. In a continuing effort to address the wait times, TWC is working to fill vacant positions, upskill staff to handle a broader range of customer inquiries and identify efficiencies to reduce call talk time and build capacity.</w:t>
      </w:r>
    </w:p>
    <w:p w14:paraId="4FDD7475" w14:textId="77777777" w:rsidR="00EE4EE2" w:rsidRDefault="00EE4EE2" w:rsidP="00EE4EE2">
      <w:pPr>
        <w:pStyle w:val="BodyText"/>
      </w:pPr>
      <w:r w:rsidRPr="00414691">
        <w:rPr>
          <w:b/>
          <w:bCs/>
        </w:rPr>
        <w:t>Percent of UI Appeals Issued Timely:</w:t>
      </w:r>
      <w:r>
        <w:t xml:space="preserve"> Increased workload volume; continued staffing challenges and additional necessary anti-fraud verifications have all contributed to timeliness of decisions. Additionally, two federally declared disasters increased the number of appeals.</w:t>
      </w:r>
    </w:p>
    <w:p w14:paraId="68E3D19C" w14:textId="7B6A4CC2" w:rsidR="00EE4EE2" w:rsidRDefault="00EE4EE2" w:rsidP="00EE4EE2">
      <w:pPr>
        <w:pStyle w:val="BodyText"/>
      </w:pPr>
      <w:r w:rsidRPr="00414691">
        <w:rPr>
          <w:b/>
          <w:bCs/>
        </w:rPr>
        <w:t>Average Choices</w:t>
      </w:r>
      <w:r w:rsidR="008613F8">
        <w:rPr>
          <w:b/>
          <w:bCs/>
        </w:rPr>
        <w:t xml:space="preserve"> Program</w:t>
      </w:r>
      <w:r w:rsidRPr="00414691">
        <w:rPr>
          <w:b/>
          <w:bCs/>
        </w:rPr>
        <w:t xml:space="preserve"> Participation:</w:t>
      </w:r>
      <w:r>
        <w:t xml:space="preserve"> As the TANF caseload continues to decrease, the proportion of the caseload that is exempted from the requirement to participate in </w:t>
      </w:r>
      <w:r w:rsidR="00D778C3">
        <w:t xml:space="preserve">the </w:t>
      </w:r>
      <w:r>
        <w:t>Choices</w:t>
      </w:r>
      <w:r w:rsidR="00D778C3">
        <w:t xml:space="preserve"> program</w:t>
      </w:r>
      <w:r>
        <w:t xml:space="preserve"> under state law</w:t>
      </w:r>
      <w:r w:rsidR="00D778C3">
        <w:t xml:space="preserve"> and </w:t>
      </w:r>
      <w:r>
        <w:t xml:space="preserve">HHSC rules </w:t>
      </w:r>
      <w:r w:rsidR="00A04203">
        <w:t xml:space="preserve">continues to grow, </w:t>
      </w:r>
      <w:r>
        <w:t>even though they are included in the calculation by federal standards. During SFY 2024, 57</w:t>
      </w:r>
      <w:r w:rsidR="0006645A">
        <w:t xml:space="preserve"> percent</w:t>
      </w:r>
      <w:r>
        <w:t xml:space="preserve"> of TANF adults were exempted from participation on average each month. TWC continues to provide technical assistance to local Boards to assist them in making their Choices programs as attractive to and effective as possible for all TANF recipients with the goal of increasing the number of exempted recipients that participate voluntarily.  TWC is</w:t>
      </w:r>
      <w:r w:rsidR="00C4160E">
        <w:t xml:space="preserve"> </w:t>
      </w:r>
      <w:r>
        <w:t>still working to rebuild its reporting system capabilities for the performance measure and thus FY</w:t>
      </w:r>
      <w:r w:rsidR="001A3C63">
        <w:t xml:space="preserve"> 20</w:t>
      </w:r>
      <w:r>
        <w:t>24 performance only runs through the launch of the agency's new case management system.</w:t>
      </w:r>
    </w:p>
    <w:p w14:paraId="55EE9D48" w14:textId="41808A12" w:rsidR="00EE4EE2" w:rsidRDefault="00EE4EE2" w:rsidP="00EE4EE2">
      <w:pPr>
        <w:pStyle w:val="BodyText"/>
      </w:pPr>
      <w:r w:rsidRPr="00414691">
        <w:rPr>
          <w:b/>
          <w:bCs/>
        </w:rPr>
        <w:lastRenderedPageBreak/>
        <w:t>Employers Served:</w:t>
      </w:r>
      <w:r>
        <w:t xml:space="preserve"> Employers have many options where to post their jobs - more than when targets were initially set for this biennium. </w:t>
      </w:r>
      <w:r w:rsidR="001B61AB">
        <w:t>These options have contributed to a reduction in</w:t>
      </w:r>
      <w:r>
        <w:t xml:space="preserve"> the number of employers seeking services over the last few years. However, as labor markets have tightened, the workforce system has been engaging with more employers to help them attain the talent they need. Performance this year is up 28.7</w:t>
      </w:r>
      <w:r w:rsidR="0006645A">
        <w:t xml:space="preserve"> percent</w:t>
      </w:r>
      <w:r>
        <w:t xml:space="preserve"> in FY </w:t>
      </w:r>
      <w:r w:rsidR="00A33D4C">
        <w:t>20</w:t>
      </w:r>
      <w:r>
        <w:t xml:space="preserve">24 over FY </w:t>
      </w:r>
      <w:r w:rsidR="00A33D4C">
        <w:t>20</w:t>
      </w:r>
      <w:r>
        <w:t>23.</w:t>
      </w:r>
    </w:p>
    <w:p w14:paraId="46EDCCBE" w14:textId="7B3DA7A2" w:rsidR="00EE4EE2" w:rsidRDefault="00EE4EE2" w:rsidP="00EE4EE2">
      <w:pPr>
        <w:pStyle w:val="BodyText"/>
      </w:pPr>
      <w:r w:rsidRPr="00414691">
        <w:rPr>
          <w:b/>
          <w:bCs/>
        </w:rPr>
        <w:t>Contracted Number of Skills Development Trainees:</w:t>
      </w:r>
      <w:r>
        <w:t xml:space="preserve"> The Skills Development Fund program is business driven. The application timing and volume is based on the employer training</w:t>
      </w:r>
      <w:r w:rsidR="00C4160E">
        <w:t xml:space="preserve"> </w:t>
      </w:r>
      <w:r>
        <w:t>needs and the resources available through eligible applicants, which is guided by the economic activity in their communities. While performance will not be evenly distributed across quarters</w:t>
      </w:r>
      <w:r w:rsidR="008768D9">
        <w:t>,</w:t>
      </w:r>
      <w:r>
        <w:t xml:space="preserve"> there is significant project development underway that will be reflected in future reports.</w:t>
      </w:r>
    </w:p>
    <w:p w14:paraId="635BD32F" w14:textId="74096F56" w:rsidR="0018570D" w:rsidRPr="0018570D" w:rsidRDefault="00EE4EE2" w:rsidP="00F53403">
      <w:pPr>
        <w:pStyle w:val="BodyText"/>
      </w:pPr>
      <w:r w:rsidRPr="0006645A">
        <w:rPr>
          <w:b/>
          <w:bCs/>
        </w:rPr>
        <w:t>Contracted Number of Self-Sufficiency Trainees:</w:t>
      </w:r>
      <w:r>
        <w:t xml:space="preserve"> The demand for the program fluctuates and depends in large part on the eligible organization’s interest, capacity, and the ability to meet the grant’s requirements. TWC is expanding the outreach efforts to raise awareness, engage new applicants, and develop existing grant partners.</w:t>
      </w:r>
    </w:p>
    <w:p w14:paraId="0C01A74F" w14:textId="4DEA9972" w:rsidR="00D5599F" w:rsidRPr="00E81945" w:rsidRDefault="00E81945" w:rsidP="00E81945">
      <w:pPr>
        <w:pStyle w:val="BodyText3"/>
        <w:ind w:left="720" w:hanging="720"/>
        <w:rPr>
          <w:rStyle w:val="Strong"/>
          <w:bCs w:val="0"/>
        </w:rPr>
      </w:pPr>
      <w:proofErr w:type="gramStart"/>
      <w:r>
        <w:rPr>
          <w:rStyle w:val="BodyText3Char"/>
          <w:b/>
        </w:rPr>
        <w:t>I.</w:t>
      </w:r>
      <w:proofErr w:type="gramEnd"/>
      <w:r>
        <w:rPr>
          <w:rStyle w:val="BodyText3Char"/>
          <w:b/>
        </w:rPr>
        <w:tab/>
      </w:r>
      <w:r w:rsidR="00D5599F" w:rsidRPr="00E81945">
        <w:rPr>
          <w:rStyle w:val="BodyText3Char"/>
          <w:b/>
        </w:rPr>
        <w:t>Please list</w:t>
      </w:r>
      <w:r w:rsidR="0042177D" w:rsidRPr="00E81945">
        <w:rPr>
          <w:rStyle w:val="BodyText3Char"/>
          <w:b/>
        </w:rPr>
        <w:t xml:space="preserve"> all </w:t>
      </w:r>
      <w:r w:rsidR="00EF4237" w:rsidRPr="00E81945">
        <w:rPr>
          <w:rStyle w:val="BodyText3Char"/>
          <w:b/>
        </w:rPr>
        <w:t xml:space="preserve">“mission critical” </w:t>
      </w:r>
      <w:r w:rsidR="0042177D" w:rsidRPr="00E81945">
        <w:rPr>
          <w:rStyle w:val="BodyText3Char"/>
          <w:b/>
        </w:rPr>
        <w:t>data</w:t>
      </w:r>
      <w:r w:rsidR="00EF4237" w:rsidRPr="00E81945">
        <w:rPr>
          <w:rStyle w:val="BodyText3Char"/>
          <w:b/>
        </w:rPr>
        <w:t xml:space="preserve"> resources</w:t>
      </w:r>
      <w:r w:rsidR="00B9091D" w:rsidRPr="00E81945">
        <w:rPr>
          <w:rStyle w:val="BodyText3Char"/>
          <w:b/>
        </w:rPr>
        <w:t xml:space="preserve"> (</w:t>
      </w:r>
      <w:r w:rsidR="00A06965" w:rsidRPr="00E81945">
        <w:rPr>
          <w:rStyle w:val="BodyText3Char"/>
          <w:b/>
        </w:rPr>
        <w:t>e.g.</w:t>
      </w:r>
      <w:r w:rsidR="00B9091D" w:rsidRPr="00E81945">
        <w:rPr>
          <w:rStyle w:val="BodyText3Char"/>
          <w:b/>
        </w:rPr>
        <w:t>, spreadsheets, databases, IT</w:t>
      </w:r>
      <w:r w:rsidR="00B9091D" w:rsidRPr="00E81945">
        <w:t xml:space="preserve"> systems, </w:t>
      </w:r>
      <w:r w:rsidR="00611C49" w:rsidRPr="00E81945">
        <w:t xml:space="preserve">and </w:t>
      </w:r>
      <w:r w:rsidR="00B9091D" w:rsidRPr="00E81945">
        <w:t>cloud-hosted applications)</w:t>
      </w:r>
      <w:r w:rsidR="0042177D" w:rsidRPr="00E81945">
        <w:rPr>
          <w:rStyle w:val="Strong"/>
          <w:bCs w:val="0"/>
        </w:rPr>
        <w:t xml:space="preserve"> your agency maintains</w:t>
      </w:r>
      <w:r w:rsidR="00A402F4" w:rsidRPr="00E81945">
        <w:rPr>
          <w:rStyle w:val="Strong"/>
          <w:bCs w:val="0"/>
        </w:rPr>
        <w:t xml:space="preserve"> to collect, track, or display agency program data. By “mission critical</w:t>
      </w:r>
      <w:r w:rsidR="00EF4237" w:rsidRPr="00E81945">
        <w:rPr>
          <w:rStyle w:val="Strong"/>
          <w:bCs w:val="0"/>
        </w:rPr>
        <w:t>,</w:t>
      </w:r>
      <w:r w:rsidR="00A402F4" w:rsidRPr="00E81945">
        <w:rPr>
          <w:rStyle w:val="Strong"/>
          <w:bCs w:val="0"/>
        </w:rPr>
        <w:t>” we</w:t>
      </w:r>
      <w:r w:rsidR="00EF4237" w:rsidRPr="00E81945">
        <w:rPr>
          <w:rStyle w:val="Strong"/>
          <w:bCs w:val="0"/>
        </w:rPr>
        <w:t xml:space="preserve"> mean the main systems necessary for the day-to-day functioning of core and/or client-facing agency functions and services. </w:t>
      </w:r>
      <w:r w:rsidR="00A06965" w:rsidRPr="00E81945">
        <w:rPr>
          <w:rStyle w:val="Strong"/>
          <w:bCs w:val="0"/>
        </w:rPr>
        <w:t>P</w:t>
      </w:r>
      <w:r w:rsidR="00EF4237" w:rsidRPr="00E81945">
        <w:rPr>
          <w:rStyle w:val="Strong"/>
          <w:bCs w:val="0"/>
        </w:rPr>
        <w:t>lease do not include any statutorily</w:t>
      </w:r>
      <w:r w:rsidR="00A06965" w:rsidRPr="00E81945">
        <w:rPr>
          <w:rStyle w:val="Strong"/>
          <w:bCs w:val="0"/>
        </w:rPr>
        <w:t xml:space="preserve"> </w:t>
      </w:r>
      <w:r w:rsidR="00EF4237" w:rsidRPr="00E81945">
        <w:rPr>
          <w:rStyle w:val="Strong"/>
          <w:bCs w:val="0"/>
        </w:rPr>
        <w:t>required data collection upon which agency funding is contingent but which do</w:t>
      </w:r>
      <w:r w:rsidR="00A402F4" w:rsidRPr="00E81945">
        <w:rPr>
          <w:rStyle w:val="Strong"/>
          <w:bCs w:val="0"/>
        </w:rPr>
        <w:t>es</w:t>
      </w:r>
      <w:r w:rsidR="00EF4237" w:rsidRPr="00E81945">
        <w:rPr>
          <w:rStyle w:val="Strong"/>
          <w:bCs w:val="0"/>
        </w:rPr>
        <w:t xml:space="preserve"> not impact daily program functionality. </w:t>
      </w:r>
      <w:r w:rsidR="00335FDE" w:rsidRPr="00E81945">
        <w:rPr>
          <w:rStyle w:val="Strong"/>
          <w:bCs w:val="0"/>
        </w:rPr>
        <w:t xml:space="preserve">As a companion to the list below, please provide additional information on each data resource using the template provided for Attachment </w:t>
      </w:r>
      <w:r w:rsidR="009D7BC0" w:rsidRPr="00E81945">
        <w:rPr>
          <w:rStyle w:val="Strong"/>
          <w:bCs w:val="0"/>
        </w:rPr>
        <w:t>21</w:t>
      </w:r>
      <w:r w:rsidR="00F07E96" w:rsidRPr="00E81945">
        <w:rPr>
          <w:rStyle w:val="Strong"/>
          <w:bCs w:val="0"/>
        </w:rPr>
        <w:t xml:space="preserve"> in that section of the instructions</w:t>
      </w:r>
      <w:r w:rsidR="00335FDE" w:rsidRPr="00E81945">
        <w:rPr>
          <w:rStyle w:val="Strong"/>
          <w:bCs w:val="0"/>
        </w:rPr>
        <w:t>.</w:t>
      </w:r>
    </w:p>
    <w:p w14:paraId="55C054A4" w14:textId="7C7E618A" w:rsidR="00C542B7" w:rsidRPr="001250A7" w:rsidRDefault="004D104C" w:rsidP="0027069D">
      <w:pPr>
        <w:pStyle w:val="BodyText3"/>
        <w:jc w:val="center"/>
        <w:rPr>
          <w:rStyle w:val="Strong"/>
          <w:b w:val="0"/>
          <w:bCs w:val="0"/>
          <w:highlight w:val="yellow"/>
        </w:rPr>
      </w:pPr>
      <w:bookmarkStart w:id="58" w:name="_Toc202856306"/>
      <w:bookmarkStart w:id="59" w:name="_Toc202856969"/>
      <w:bookmarkStart w:id="60" w:name="_Toc202857122"/>
      <w:bookmarkStart w:id="61" w:name="_Toc202860902"/>
      <w:bookmarkStart w:id="62" w:name="_Toc202861075"/>
      <w:bookmarkStart w:id="63" w:name="_Toc994176557"/>
      <w:bookmarkStart w:id="64" w:name="_Toc460154910"/>
      <w:r>
        <w:t>Texas Workforce Commission</w:t>
      </w:r>
      <w:bookmarkEnd w:id="58"/>
      <w:bookmarkEnd w:id="59"/>
      <w:bookmarkEnd w:id="60"/>
      <w:bookmarkEnd w:id="61"/>
      <w:bookmarkEnd w:id="62"/>
      <w:bookmarkEnd w:id="63"/>
      <w:bookmarkEnd w:id="64"/>
      <w:r w:rsidR="000A1064">
        <w:br/>
      </w:r>
      <w:bookmarkStart w:id="65" w:name="_Toc202856307"/>
      <w:bookmarkStart w:id="66" w:name="_Toc202856970"/>
      <w:bookmarkStart w:id="67" w:name="_Toc202857123"/>
      <w:bookmarkStart w:id="68" w:name="_Toc202860903"/>
      <w:bookmarkStart w:id="69" w:name="_Toc202861076"/>
      <w:bookmarkStart w:id="70" w:name="_Toc764364603"/>
      <w:bookmarkStart w:id="71" w:name="_Toc824790748"/>
      <w:r w:rsidR="00C542B7" w:rsidRPr="638D6F3A">
        <w:rPr>
          <w:rStyle w:val="Strong"/>
        </w:rPr>
        <w:t>Exhibit</w:t>
      </w:r>
      <w:r w:rsidR="00C542B7" w:rsidRPr="001250A7">
        <w:rPr>
          <w:rStyle w:val="Strong"/>
        </w:rPr>
        <w:t xml:space="preserve"> 3: </w:t>
      </w:r>
      <w:r w:rsidR="00335FDE" w:rsidRPr="001250A7">
        <w:rPr>
          <w:rStyle w:val="Strong"/>
        </w:rPr>
        <w:t xml:space="preserve">Mission Critical </w:t>
      </w:r>
      <w:r w:rsidR="00C542B7" w:rsidRPr="0027069D">
        <w:rPr>
          <w:rStyle w:val="Strong"/>
          <w:bCs w:val="0"/>
        </w:rPr>
        <w:t>Data</w:t>
      </w:r>
      <w:r w:rsidR="00335FDE" w:rsidRPr="001250A7">
        <w:rPr>
          <w:rStyle w:val="Strong"/>
        </w:rPr>
        <w:t xml:space="preserve"> </w:t>
      </w:r>
      <w:r w:rsidR="00335FDE" w:rsidRPr="638D6F3A">
        <w:rPr>
          <w:rStyle w:val="Strong"/>
        </w:rPr>
        <w:t>Resources</w:t>
      </w:r>
      <w:bookmarkEnd w:id="65"/>
      <w:bookmarkEnd w:id="66"/>
      <w:bookmarkEnd w:id="67"/>
      <w:bookmarkEnd w:id="68"/>
      <w:bookmarkEnd w:id="69"/>
      <w:bookmarkEnd w:id="70"/>
      <w:bookmarkEnd w:id="71"/>
    </w:p>
    <w:tbl>
      <w:tblPr>
        <w:tblW w:w="910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Caption w:val="Exhibit 3:  Key Datasets"/>
      </w:tblPr>
      <w:tblGrid>
        <w:gridCol w:w="3420"/>
        <w:gridCol w:w="3255"/>
        <w:gridCol w:w="2430"/>
      </w:tblGrid>
      <w:tr w:rsidR="008B14AA" w:rsidRPr="008B14AA" w14:paraId="647EC4DA" w14:textId="77777777" w:rsidTr="00A340BD">
        <w:trPr>
          <w:trHeight w:val="570"/>
          <w:tblHeader/>
        </w:trPr>
        <w:tc>
          <w:tcPr>
            <w:tcW w:w="3420" w:type="dxa"/>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hideMark/>
          </w:tcPr>
          <w:p w14:paraId="0CB4B7EB" w14:textId="37B51E49" w:rsidR="008B14AA" w:rsidRPr="008B14AA" w:rsidRDefault="008B14AA" w:rsidP="00A340BD">
            <w:pPr>
              <w:pStyle w:val="TableHeaders"/>
            </w:pPr>
            <w:r w:rsidRPr="008B14AA">
              <w:t>Data Resource Name</w:t>
            </w:r>
          </w:p>
        </w:tc>
        <w:tc>
          <w:tcPr>
            <w:tcW w:w="3255" w:type="dxa"/>
            <w:tcBorders>
              <w:top w:val="single" w:sz="6" w:space="0" w:color="auto"/>
              <w:left w:val="nil"/>
              <w:bottom w:val="single" w:sz="6" w:space="0" w:color="auto"/>
              <w:right w:val="single" w:sz="6" w:space="0" w:color="auto"/>
            </w:tcBorders>
            <w:shd w:val="clear" w:color="auto" w:fill="B8CCE4" w:themeFill="accent1" w:themeFillTint="66"/>
            <w:vAlign w:val="center"/>
            <w:hideMark/>
          </w:tcPr>
          <w:p w14:paraId="0C007117" w14:textId="3A57B6CE" w:rsidR="008B14AA" w:rsidRPr="008B14AA" w:rsidRDefault="008B14AA" w:rsidP="00A340BD">
            <w:pPr>
              <w:pStyle w:val="TableHeaders"/>
            </w:pPr>
            <w:r w:rsidRPr="008B14AA">
              <w:t>Associated Program(s) or Division(s)</w:t>
            </w:r>
          </w:p>
        </w:tc>
        <w:tc>
          <w:tcPr>
            <w:tcW w:w="2430" w:type="dxa"/>
            <w:tcBorders>
              <w:top w:val="single" w:sz="6" w:space="0" w:color="auto"/>
              <w:left w:val="nil"/>
              <w:bottom w:val="single" w:sz="6" w:space="0" w:color="auto"/>
              <w:right w:val="single" w:sz="6" w:space="0" w:color="auto"/>
            </w:tcBorders>
            <w:shd w:val="clear" w:color="auto" w:fill="B8CCE4" w:themeFill="accent1" w:themeFillTint="66"/>
            <w:vAlign w:val="center"/>
            <w:hideMark/>
          </w:tcPr>
          <w:p w14:paraId="07FF341C" w14:textId="520CBFF9" w:rsidR="008B14AA" w:rsidRPr="008B14AA" w:rsidRDefault="008B14AA" w:rsidP="00A340BD">
            <w:pPr>
              <w:pStyle w:val="TableHeaders"/>
            </w:pPr>
            <w:r w:rsidRPr="008B14AA">
              <w:t>Data Owner</w:t>
            </w:r>
          </w:p>
        </w:tc>
      </w:tr>
      <w:tr w:rsidR="008B14AA" w:rsidRPr="008B14AA" w14:paraId="1E85C18E"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6E52BF40" w14:textId="03929944" w:rsidR="008B14AA" w:rsidRPr="008B14AA" w:rsidRDefault="008B14AA" w:rsidP="00A340BD">
            <w:pPr>
              <w:pStyle w:val="TableText"/>
            </w:pPr>
            <w:r w:rsidRPr="008B14AA">
              <w:t>Adult Education and Literacy Texas Educating Adults Management System </w:t>
            </w:r>
            <w:r w:rsidR="0055786C">
              <w:t>(AEL TEAMS)</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777FF534" w14:textId="77777777" w:rsidR="008B14AA" w:rsidRPr="008B14AA" w:rsidRDefault="008B14AA" w:rsidP="00AA387D">
            <w:pPr>
              <w:pStyle w:val="TableText"/>
            </w:pPr>
            <w:r w:rsidRPr="008B14AA">
              <w:t>Workforce Development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02EECEF2" w14:textId="77777777" w:rsidR="008B14AA" w:rsidRPr="008B14AA" w:rsidRDefault="008B14AA" w:rsidP="00AA387D">
            <w:pPr>
              <w:pStyle w:val="TableText"/>
            </w:pPr>
            <w:r w:rsidRPr="008B14AA">
              <w:t>Mary York </w:t>
            </w:r>
          </w:p>
        </w:tc>
      </w:tr>
      <w:tr w:rsidR="008B14AA" w:rsidRPr="008B14AA" w14:paraId="46E04978"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0C5F1B70" w14:textId="77777777" w:rsidR="008B14AA" w:rsidRPr="008B14AA" w:rsidRDefault="008B14AA" w:rsidP="00A340BD">
            <w:pPr>
              <w:pStyle w:val="TableText"/>
            </w:pPr>
            <w:r w:rsidRPr="008B14AA">
              <w:t>Avaya Aura Communications System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37AC60AB" w14:textId="77777777" w:rsidR="008B14AA" w:rsidRPr="008B14AA" w:rsidRDefault="008B14AA" w:rsidP="00AA387D">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6B0556D0" w14:textId="77777777" w:rsidR="008B14AA" w:rsidRPr="008B14AA" w:rsidRDefault="008B14AA" w:rsidP="00AA387D">
            <w:pPr>
              <w:pStyle w:val="TableText"/>
            </w:pPr>
            <w:r w:rsidRPr="008B14AA">
              <w:t>Eric Holen </w:t>
            </w:r>
          </w:p>
        </w:tc>
      </w:tr>
      <w:tr w:rsidR="008B14AA" w:rsidRPr="008B14AA" w14:paraId="19CDEBAE"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256F6D9E" w14:textId="77777777" w:rsidR="008B14AA" w:rsidRPr="008B14AA" w:rsidRDefault="008B14AA" w:rsidP="00A340BD">
            <w:pPr>
              <w:pStyle w:val="TableText"/>
            </w:pPr>
            <w:r w:rsidRPr="008B14AA">
              <w:t>Business Enterprise of Texas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3ECD04E4" w14:textId="77777777" w:rsidR="008B14AA" w:rsidRPr="008B14AA" w:rsidRDefault="008B14AA" w:rsidP="00AA387D">
            <w:pPr>
              <w:pStyle w:val="TableText"/>
            </w:pPr>
            <w:r w:rsidRPr="008B14AA">
              <w:t>Vocational Rehabilitation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5A416509" w14:textId="77777777" w:rsidR="008B14AA" w:rsidRPr="008B14AA" w:rsidRDefault="008B14AA" w:rsidP="00AA387D">
            <w:pPr>
              <w:pStyle w:val="TableText"/>
            </w:pPr>
            <w:r w:rsidRPr="008B14AA">
              <w:t>Tammy Martin </w:t>
            </w:r>
          </w:p>
        </w:tc>
      </w:tr>
      <w:tr w:rsidR="008B14AA" w:rsidRPr="008B14AA" w14:paraId="5727C5D3"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0BD72AC9" w14:textId="77777777" w:rsidR="008B14AA" w:rsidRPr="008B14AA" w:rsidRDefault="008B14AA" w:rsidP="00A340BD">
            <w:pPr>
              <w:pStyle w:val="TableText"/>
            </w:pPr>
            <w:r w:rsidRPr="008B14AA">
              <w:t>Career Schools and Colleges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89119D0" w14:textId="77777777" w:rsidR="008B14AA" w:rsidRPr="008B14AA" w:rsidRDefault="008B14AA" w:rsidP="00AA387D">
            <w:pPr>
              <w:pStyle w:val="TableText"/>
            </w:pPr>
            <w:r w:rsidRPr="008B14AA">
              <w:t>Workforce Development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519834A0" w14:textId="77777777" w:rsidR="008B14AA" w:rsidRPr="008B14AA" w:rsidRDefault="008B14AA" w:rsidP="00AA387D">
            <w:pPr>
              <w:pStyle w:val="TableText"/>
            </w:pPr>
            <w:r w:rsidRPr="008B14AA">
              <w:t>Mary York </w:t>
            </w:r>
          </w:p>
        </w:tc>
      </w:tr>
      <w:tr w:rsidR="008B14AA" w:rsidRPr="008B14AA" w14:paraId="2F61839E"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2BDD187B" w14:textId="0754DC8E" w:rsidR="008B14AA" w:rsidRPr="008B14AA" w:rsidRDefault="008B14AA" w:rsidP="00A340BD">
            <w:pPr>
              <w:pStyle w:val="TableText"/>
            </w:pPr>
            <w:r w:rsidRPr="008B14AA">
              <w:t>Cash</w:t>
            </w:r>
            <w:r w:rsidR="001A3C63">
              <w:t xml:space="preserve"> </w:t>
            </w:r>
            <w:r w:rsidRPr="008B14AA">
              <w:t>Draw</w:t>
            </w:r>
            <w:r w:rsidR="001A3C63">
              <w:t xml:space="preserve"> </w:t>
            </w:r>
            <w:r w:rsidR="00A265B0">
              <w:t>and</w:t>
            </w:r>
            <w:r w:rsidR="001A3C63">
              <w:t xml:space="preserve"> Expenditure Reportin</w:t>
            </w:r>
            <w:r w:rsidR="00AA3E27">
              <w:t>g</w:t>
            </w:r>
            <w:r w:rsidRPr="008B14AA">
              <w:t> </w:t>
            </w:r>
            <w:r w:rsidR="003A0DFC">
              <w:t>(CDER)</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C00DE94" w14:textId="77777777" w:rsidR="008B14AA" w:rsidRPr="008B14AA" w:rsidRDefault="008B14AA" w:rsidP="00AA387D">
            <w:pPr>
              <w:pStyle w:val="TableText"/>
            </w:pPr>
            <w:r w:rsidRPr="008B14AA">
              <w:t>Finance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2867C0F0" w14:textId="77777777" w:rsidR="008B14AA" w:rsidRPr="008B14AA" w:rsidRDefault="008B14AA" w:rsidP="00AA387D">
            <w:pPr>
              <w:pStyle w:val="TableText"/>
            </w:pPr>
            <w:r w:rsidRPr="008B14AA">
              <w:t>Chris Nelson </w:t>
            </w:r>
          </w:p>
        </w:tc>
      </w:tr>
      <w:tr w:rsidR="008B14AA" w:rsidRPr="008B14AA" w14:paraId="3A3EEF5D"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4B03025D" w14:textId="33804CC8" w:rsidR="008B14AA" w:rsidRPr="008B14AA" w:rsidRDefault="008B14AA" w:rsidP="00A340BD">
            <w:pPr>
              <w:pStyle w:val="TableText"/>
            </w:pPr>
            <w:r w:rsidRPr="008B14AA">
              <w:t>Child</w:t>
            </w:r>
            <w:r w:rsidR="00985F67">
              <w:t xml:space="preserve"> </w:t>
            </w:r>
            <w:r w:rsidRPr="008B14AA">
              <w:t>Care Integrity Central Module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4D7E8BF1" w14:textId="77777777" w:rsidR="008B14AA" w:rsidRPr="008B14AA" w:rsidRDefault="008B14AA" w:rsidP="00AA387D">
            <w:pPr>
              <w:pStyle w:val="TableText"/>
            </w:pPr>
            <w:r w:rsidRPr="008B14AA">
              <w:t>Child Care and Early Learning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0ACB7472" w14:textId="77777777" w:rsidR="008B14AA" w:rsidRPr="008B14AA" w:rsidRDefault="008B14AA" w:rsidP="00AA387D">
            <w:pPr>
              <w:pStyle w:val="TableText"/>
            </w:pPr>
            <w:r w:rsidRPr="008B14AA">
              <w:t>Reagan Miller </w:t>
            </w:r>
          </w:p>
        </w:tc>
      </w:tr>
      <w:tr w:rsidR="008B14AA" w:rsidRPr="008B14AA" w14:paraId="483F3417"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1B71943C" w14:textId="77777777" w:rsidR="008B14AA" w:rsidRPr="008B14AA" w:rsidRDefault="008B14AA" w:rsidP="00A340BD">
            <w:pPr>
              <w:pStyle w:val="TableText"/>
            </w:pPr>
            <w:r w:rsidRPr="008B14AA">
              <w:lastRenderedPageBreak/>
              <w:t>Employee Work Refusal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6F508647" w14:textId="77777777" w:rsidR="008B14AA" w:rsidRPr="008B14AA" w:rsidRDefault="008B14AA" w:rsidP="00AA387D">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7F3C52BE" w14:textId="77777777" w:rsidR="008B14AA" w:rsidRPr="008B14AA" w:rsidRDefault="008B14AA" w:rsidP="00AA387D">
            <w:pPr>
              <w:pStyle w:val="TableText"/>
            </w:pPr>
            <w:r w:rsidRPr="008B14AA">
              <w:t>Eric Holen </w:t>
            </w:r>
          </w:p>
        </w:tc>
      </w:tr>
      <w:tr w:rsidR="008B14AA" w:rsidRPr="008B14AA" w14:paraId="4CA8E6B7"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3BBE33F1" w14:textId="01DE40DD" w:rsidR="008B14AA" w:rsidRPr="008B14AA" w:rsidRDefault="008B14AA" w:rsidP="00A340BD">
            <w:pPr>
              <w:pStyle w:val="TableText"/>
            </w:pPr>
            <w:r w:rsidRPr="008B14AA">
              <w:t>Employer Benefit Services </w:t>
            </w:r>
            <w:r w:rsidR="008A2866">
              <w:t>(EBS)</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0ADB7960" w14:textId="77777777" w:rsidR="008B14AA" w:rsidRPr="008B14AA" w:rsidRDefault="008B14AA" w:rsidP="00AA387D">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20CBFCAB" w14:textId="77777777" w:rsidR="008B14AA" w:rsidRPr="008B14AA" w:rsidRDefault="008B14AA" w:rsidP="00AA387D">
            <w:pPr>
              <w:pStyle w:val="TableText"/>
            </w:pPr>
            <w:r w:rsidRPr="008B14AA">
              <w:t>Eric Holen </w:t>
            </w:r>
          </w:p>
        </w:tc>
      </w:tr>
      <w:tr w:rsidR="008B14AA" w:rsidRPr="008B14AA" w14:paraId="357955BD"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06A7D5F9" w14:textId="77777777" w:rsidR="008B14AA" w:rsidRPr="008B14AA" w:rsidRDefault="008B14AA" w:rsidP="00A340BD">
            <w:pPr>
              <w:pStyle w:val="TableText"/>
            </w:pPr>
            <w:r w:rsidRPr="008B14AA">
              <w:t>Enterprise Data Warehouse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6FC85C9D" w14:textId="77777777" w:rsidR="008B14AA" w:rsidRPr="008B14AA" w:rsidRDefault="008B14AA" w:rsidP="00AA387D">
            <w:pPr>
              <w:pStyle w:val="TableText"/>
            </w:pPr>
            <w:r w:rsidRPr="008B14AA">
              <w:t>Information Technology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7495E4D9" w14:textId="77777777" w:rsidR="008B14AA" w:rsidRPr="008B14AA" w:rsidRDefault="008B14AA" w:rsidP="00AA387D">
            <w:pPr>
              <w:pStyle w:val="TableText"/>
            </w:pPr>
            <w:r w:rsidRPr="008B14AA">
              <w:t>Heather Hall </w:t>
            </w:r>
          </w:p>
        </w:tc>
      </w:tr>
      <w:tr w:rsidR="008B14AA" w:rsidRPr="008B14AA" w14:paraId="787FEA02"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0ADB05B6" w14:textId="5FD97B8C" w:rsidR="008B14AA" w:rsidRPr="008B14AA" w:rsidRDefault="008B14AA" w:rsidP="00A340BD">
            <w:pPr>
              <w:pStyle w:val="TableText"/>
            </w:pPr>
            <w:r w:rsidRPr="008B14AA">
              <w:t xml:space="preserve">External </w:t>
            </w:r>
            <w:r w:rsidR="6C2B93E4">
              <w:t xml:space="preserve">Relations </w:t>
            </w:r>
            <w:r w:rsidRPr="008B14AA">
              <w:t xml:space="preserve">Contact </w:t>
            </w:r>
            <w:r w:rsidR="4D56D8C5">
              <w:t>Tracking</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0F76C6A0" w14:textId="3F10D8C8" w:rsidR="008B14AA" w:rsidRPr="008B14AA" w:rsidRDefault="4D56D8C5" w:rsidP="00AA387D">
            <w:pPr>
              <w:pStyle w:val="TableText"/>
            </w:pPr>
            <w:r>
              <w:t>Customer Care</w:t>
            </w:r>
            <w:r w:rsidR="1DA344FE">
              <w:t>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5AAEA1BE" w14:textId="0EEDE62B" w:rsidR="008B14AA" w:rsidRPr="008B14AA" w:rsidRDefault="0803B599" w:rsidP="00AA387D">
            <w:pPr>
              <w:pStyle w:val="TableText"/>
            </w:pPr>
            <w:r>
              <w:t>Tom McCarty</w:t>
            </w:r>
            <w:r w:rsidR="1DA344FE">
              <w:t> </w:t>
            </w:r>
          </w:p>
        </w:tc>
      </w:tr>
      <w:tr w:rsidR="008B14AA" w:rsidRPr="008B14AA" w14:paraId="06FAF2CC"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5E4155D2" w14:textId="77777777" w:rsidR="008B14AA" w:rsidRPr="008B14AA" w:rsidRDefault="008B14AA" w:rsidP="00A340BD">
            <w:pPr>
              <w:pStyle w:val="TableText"/>
            </w:pPr>
            <w:r w:rsidRPr="008B14AA">
              <w:t>High Risk Protocol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0B864650" w14:textId="77777777" w:rsidR="008B14AA" w:rsidRPr="008B14AA" w:rsidRDefault="008B14AA" w:rsidP="00AA387D">
            <w:pPr>
              <w:pStyle w:val="TableText"/>
            </w:pPr>
            <w:r w:rsidRPr="008B14AA">
              <w:t>Information Technology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3944298E" w14:textId="77777777" w:rsidR="008B14AA" w:rsidRPr="008B14AA" w:rsidRDefault="008B14AA" w:rsidP="00AA387D">
            <w:pPr>
              <w:pStyle w:val="TableText"/>
            </w:pPr>
            <w:r w:rsidRPr="008B14AA">
              <w:t>Heather Hall </w:t>
            </w:r>
          </w:p>
        </w:tc>
      </w:tr>
      <w:tr w:rsidR="008B14AA" w:rsidRPr="008B14AA" w14:paraId="1F2797F2"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1EE67A6E" w14:textId="77777777" w:rsidR="008B14AA" w:rsidRPr="008B14AA" w:rsidRDefault="008B14AA" w:rsidP="00A340BD">
            <w:pPr>
              <w:pStyle w:val="TableText"/>
            </w:pPr>
            <w:r w:rsidRPr="008B14AA">
              <w:t>Learner Outcome Tracking System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0AF3906D" w14:textId="77777777" w:rsidR="008B14AA" w:rsidRPr="008B14AA" w:rsidRDefault="008B14AA" w:rsidP="00AA387D">
            <w:pPr>
              <w:pStyle w:val="TableText"/>
            </w:pPr>
            <w:r w:rsidRPr="008B14AA">
              <w:t>Workforce Development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3CF85D7F" w14:textId="77777777" w:rsidR="008B14AA" w:rsidRPr="008B14AA" w:rsidRDefault="008B14AA" w:rsidP="00AA387D">
            <w:pPr>
              <w:pStyle w:val="TableText"/>
            </w:pPr>
            <w:r w:rsidRPr="008B14AA">
              <w:t>Mary York </w:t>
            </w:r>
          </w:p>
        </w:tc>
      </w:tr>
      <w:tr w:rsidR="008B14AA" w:rsidRPr="008B14AA" w14:paraId="3E2BCB13"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4CFCEB57" w14:textId="77777777" w:rsidR="008B14AA" w:rsidRPr="008B14AA" w:rsidRDefault="008B14AA" w:rsidP="00A340BD">
            <w:pPr>
              <w:pStyle w:val="TableText"/>
            </w:pPr>
            <w:r w:rsidRPr="008B14AA">
              <w:t>On-Line Wage Claim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1DDD4CF0" w14:textId="74801B39" w:rsidR="008B14AA" w:rsidRPr="008B14AA" w:rsidRDefault="00E16067" w:rsidP="00AA387D">
            <w:pPr>
              <w:pStyle w:val="TableText"/>
            </w:pPr>
            <w:r w:rsidRPr="008B14AA">
              <w:t>Fraud Deterrence and Compliance Monitoring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4DDD4EFB" w14:textId="71A151D0" w:rsidR="008B14AA" w:rsidRPr="008B14AA" w:rsidRDefault="00E16067" w:rsidP="00AA387D">
            <w:pPr>
              <w:pStyle w:val="TableText"/>
            </w:pPr>
            <w:r w:rsidRPr="008B14AA">
              <w:t xml:space="preserve">Jason </w:t>
            </w:r>
            <w:proofErr w:type="spellStart"/>
            <w:r w:rsidRPr="008B14AA">
              <w:t>Stalinsky</w:t>
            </w:r>
            <w:proofErr w:type="spellEnd"/>
            <w:r w:rsidRPr="008B14AA">
              <w:t> </w:t>
            </w:r>
          </w:p>
        </w:tc>
      </w:tr>
      <w:tr w:rsidR="008B14AA" w:rsidRPr="008B14AA" w14:paraId="08FE3B02"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311A7437" w14:textId="77777777" w:rsidR="008B14AA" w:rsidRPr="008B14AA" w:rsidRDefault="008B14AA" w:rsidP="00A340BD">
            <w:pPr>
              <w:pStyle w:val="TableText"/>
            </w:pPr>
            <w:r w:rsidRPr="008B14AA">
              <w:t>Payday Labor Law System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EE9336D" w14:textId="77777777" w:rsidR="008B14AA" w:rsidRPr="008B14AA" w:rsidRDefault="008B14AA" w:rsidP="00AA387D">
            <w:pPr>
              <w:pStyle w:val="TableText"/>
            </w:pPr>
            <w:r w:rsidRPr="008B14AA">
              <w:t>Fraud Deterrence and Compliance Monitoring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3366C772" w14:textId="77777777" w:rsidR="008B14AA" w:rsidRPr="008B14AA" w:rsidRDefault="008B14AA" w:rsidP="00AA387D">
            <w:pPr>
              <w:pStyle w:val="TableText"/>
            </w:pPr>
            <w:r w:rsidRPr="008B14AA">
              <w:t xml:space="preserve">Jason </w:t>
            </w:r>
            <w:proofErr w:type="spellStart"/>
            <w:r w:rsidRPr="008B14AA">
              <w:t>Stalinsky</w:t>
            </w:r>
            <w:proofErr w:type="spellEnd"/>
            <w:r w:rsidRPr="008B14AA">
              <w:t> </w:t>
            </w:r>
          </w:p>
        </w:tc>
      </w:tr>
      <w:tr w:rsidR="008B14AA" w:rsidRPr="008B14AA" w14:paraId="043A6E75"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1C2A5FFF" w14:textId="77777777" w:rsidR="008B14AA" w:rsidRPr="008B14AA" w:rsidRDefault="008B14AA" w:rsidP="00A340BD">
            <w:pPr>
              <w:pStyle w:val="TableText"/>
            </w:pPr>
            <w:r w:rsidRPr="008B14AA">
              <w:t>PeopleSoft Financials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20B169D1" w14:textId="77777777" w:rsidR="008B14AA" w:rsidRPr="008B14AA" w:rsidRDefault="008B14AA" w:rsidP="00AA387D">
            <w:pPr>
              <w:pStyle w:val="TableText"/>
            </w:pPr>
            <w:r w:rsidRPr="008B14AA">
              <w:t>Finance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513548E6" w14:textId="77777777" w:rsidR="008B14AA" w:rsidRPr="008B14AA" w:rsidRDefault="008B14AA" w:rsidP="00AA387D">
            <w:pPr>
              <w:pStyle w:val="TableText"/>
            </w:pPr>
            <w:r w:rsidRPr="008B14AA">
              <w:t>Chris Nelson </w:t>
            </w:r>
          </w:p>
        </w:tc>
      </w:tr>
      <w:tr w:rsidR="008B14AA" w:rsidRPr="008B14AA" w14:paraId="2A4E396F"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50AC3C3E" w14:textId="77777777" w:rsidR="008B14AA" w:rsidRPr="008B14AA" w:rsidRDefault="008B14AA" w:rsidP="00A340BD">
            <w:pPr>
              <w:pStyle w:val="TableText"/>
            </w:pPr>
            <w:r w:rsidRPr="008B14AA">
              <w:t>PeopleSoft: HR: Centralized Accounting and Payroll Personnel System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7A900A22" w14:textId="77777777" w:rsidR="008B14AA" w:rsidRPr="008B14AA" w:rsidRDefault="008B14AA" w:rsidP="0029298D">
            <w:pPr>
              <w:pStyle w:val="TableText"/>
            </w:pPr>
            <w:r w:rsidRPr="008B14AA">
              <w:t>Business Operations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02E1C4F9" w14:textId="77777777" w:rsidR="008B14AA" w:rsidRPr="008B14AA" w:rsidRDefault="008B14AA" w:rsidP="0029298D">
            <w:pPr>
              <w:pStyle w:val="TableText"/>
            </w:pPr>
            <w:r w:rsidRPr="008B14AA">
              <w:t>Lowell Keig </w:t>
            </w:r>
          </w:p>
        </w:tc>
      </w:tr>
      <w:tr w:rsidR="008B14AA" w:rsidRPr="008B14AA" w14:paraId="4312F1A2"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15FE1AEA" w14:textId="77777777" w:rsidR="008B14AA" w:rsidRPr="008B14AA" w:rsidRDefault="008B14AA" w:rsidP="00A340BD">
            <w:pPr>
              <w:pStyle w:val="TableText"/>
            </w:pPr>
            <w:r w:rsidRPr="008B14AA">
              <w:t>Performance Measures Reporting System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05B4757" w14:textId="77777777" w:rsidR="008B14AA" w:rsidRPr="008B14AA" w:rsidRDefault="008B14AA" w:rsidP="0029298D">
            <w:pPr>
              <w:pStyle w:val="TableText"/>
            </w:pPr>
            <w:r w:rsidRPr="008B14AA">
              <w:t>Information Innovation and Insight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58CCC79F" w14:textId="77777777" w:rsidR="008B14AA" w:rsidRPr="008B14AA" w:rsidRDefault="008B14AA" w:rsidP="0029298D">
            <w:pPr>
              <w:pStyle w:val="TableText"/>
            </w:pPr>
            <w:r w:rsidRPr="008B14AA">
              <w:t xml:space="preserve">Jennifer </w:t>
            </w:r>
            <w:proofErr w:type="spellStart"/>
            <w:r w:rsidRPr="008B14AA">
              <w:t>Colehower</w:t>
            </w:r>
            <w:proofErr w:type="spellEnd"/>
            <w:r w:rsidRPr="008B14AA">
              <w:t> </w:t>
            </w:r>
          </w:p>
        </w:tc>
      </w:tr>
      <w:tr w:rsidR="008B14AA" w:rsidRPr="008B14AA" w14:paraId="6CA8FD2E"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48CCA9A5" w14:textId="77777777" w:rsidR="008B14AA" w:rsidRPr="008B14AA" w:rsidRDefault="008B14AA" w:rsidP="00A340BD">
            <w:pPr>
              <w:pStyle w:val="TableText"/>
            </w:pPr>
            <w:proofErr w:type="spellStart"/>
            <w:r w:rsidRPr="008B14AA">
              <w:t>ReHabWorks</w:t>
            </w:r>
            <w:proofErr w:type="spellEnd"/>
            <w:r w:rsidRPr="008B14AA">
              <w:t>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6E94F7F4" w14:textId="77777777" w:rsidR="008B14AA" w:rsidRPr="008B14AA" w:rsidRDefault="008B14AA" w:rsidP="0029298D">
            <w:pPr>
              <w:pStyle w:val="TableText"/>
            </w:pPr>
            <w:r w:rsidRPr="008B14AA">
              <w:t>Vocational Rehabilitation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63F943C0" w14:textId="77777777" w:rsidR="008B14AA" w:rsidRPr="008B14AA" w:rsidRDefault="008B14AA" w:rsidP="0029298D">
            <w:pPr>
              <w:pStyle w:val="TableText"/>
            </w:pPr>
            <w:r w:rsidRPr="008B14AA">
              <w:t>Tammy Martin </w:t>
            </w:r>
          </w:p>
        </w:tc>
      </w:tr>
      <w:tr w:rsidR="008B14AA" w:rsidRPr="008B14AA" w14:paraId="3BB33D3B"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2A05C526" w14:textId="6BE116B3" w:rsidR="008B14AA" w:rsidRPr="008B14AA" w:rsidRDefault="008B14AA" w:rsidP="00A340BD">
            <w:pPr>
              <w:pStyle w:val="TableText"/>
            </w:pPr>
            <w:r w:rsidRPr="008B14AA">
              <w:t>Texas Child Care Connection </w:t>
            </w:r>
            <w:r w:rsidR="000F4393">
              <w:t>(TX3C)</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3A690AF6" w14:textId="77777777" w:rsidR="008B14AA" w:rsidRPr="008B14AA" w:rsidRDefault="008B14AA" w:rsidP="0029298D">
            <w:pPr>
              <w:pStyle w:val="TableText"/>
            </w:pPr>
            <w:r w:rsidRPr="008B14AA">
              <w:t>Child Care and Early Learning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6AD65622" w14:textId="77777777" w:rsidR="008B14AA" w:rsidRPr="008B14AA" w:rsidRDefault="008B14AA" w:rsidP="0029298D">
            <w:pPr>
              <w:pStyle w:val="TableText"/>
            </w:pPr>
            <w:r w:rsidRPr="008B14AA">
              <w:t>Reagan Miller </w:t>
            </w:r>
          </w:p>
        </w:tc>
      </w:tr>
      <w:tr w:rsidR="008B14AA" w:rsidRPr="008B14AA" w14:paraId="3141101C"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6640C30B" w14:textId="77777777" w:rsidR="008B14AA" w:rsidRPr="008B14AA" w:rsidRDefault="008B14AA" w:rsidP="00A340BD">
            <w:pPr>
              <w:pStyle w:val="TableText"/>
            </w:pPr>
            <w:r w:rsidRPr="008B14AA">
              <w:t>TWC Web Client: Forms - UI Submission Upload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D876931" w14:textId="77777777" w:rsidR="008B14AA" w:rsidRPr="008B14AA" w:rsidRDefault="008B14AA" w:rsidP="0029298D">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2EDB61BB" w14:textId="77777777" w:rsidR="008B14AA" w:rsidRPr="008B14AA" w:rsidRDefault="008B14AA" w:rsidP="0029298D">
            <w:pPr>
              <w:pStyle w:val="TableText"/>
            </w:pPr>
            <w:r w:rsidRPr="008B14AA">
              <w:t>Eric Holen </w:t>
            </w:r>
          </w:p>
        </w:tc>
      </w:tr>
      <w:tr w:rsidR="008B14AA" w:rsidRPr="008B14AA" w14:paraId="34A248FD"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2813DF76" w14:textId="77777777" w:rsidR="008B14AA" w:rsidRPr="008B14AA" w:rsidRDefault="008B14AA" w:rsidP="00A340BD">
            <w:pPr>
              <w:pStyle w:val="TableText"/>
            </w:pPr>
            <w:r w:rsidRPr="008B14AA">
              <w:t>TWC Web Client: Forms - Employer UI Submission Upload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1D706AD1" w14:textId="77777777" w:rsidR="008B14AA" w:rsidRPr="008B14AA" w:rsidRDefault="008B14AA" w:rsidP="0029298D">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7CBE8932" w14:textId="77777777" w:rsidR="008B14AA" w:rsidRPr="008B14AA" w:rsidRDefault="008B14AA" w:rsidP="0029298D">
            <w:pPr>
              <w:pStyle w:val="TableText"/>
            </w:pPr>
            <w:r w:rsidRPr="008B14AA">
              <w:t>Eric Holen </w:t>
            </w:r>
          </w:p>
        </w:tc>
      </w:tr>
      <w:tr w:rsidR="008B14AA" w:rsidRPr="008B14AA" w14:paraId="445FD985"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50D6D545" w14:textId="490A5D92" w:rsidR="008B14AA" w:rsidRPr="008B14AA" w:rsidRDefault="008B14AA" w:rsidP="00A340BD">
            <w:pPr>
              <w:pStyle w:val="TableText"/>
            </w:pPr>
            <w:r w:rsidRPr="008B14AA">
              <w:t xml:space="preserve">UI </w:t>
            </w:r>
            <w:r w:rsidR="00BD1AAA">
              <w:t xml:space="preserve">Benefits </w:t>
            </w:r>
            <w:r w:rsidRPr="008B14AA">
              <w:t xml:space="preserve">System </w:t>
            </w:r>
            <w:r w:rsidR="00BD1AAA">
              <w:t>(mainframe)</w:t>
            </w:r>
            <w:r w:rsidRPr="008B14AA">
              <w:t>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CC09D38" w14:textId="77777777" w:rsidR="008B14AA" w:rsidRPr="008B14AA" w:rsidRDefault="008B14AA" w:rsidP="0029298D">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645C4F6C" w14:textId="77777777" w:rsidR="008B14AA" w:rsidRPr="008B14AA" w:rsidRDefault="008B14AA" w:rsidP="0029298D">
            <w:pPr>
              <w:pStyle w:val="TableText"/>
            </w:pPr>
            <w:r w:rsidRPr="008B14AA">
              <w:t>Eric Holen </w:t>
            </w:r>
          </w:p>
        </w:tc>
      </w:tr>
      <w:tr w:rsidR="00BD1AAA" w:rsidRPr="008B14AA" w14:paraId="13BB77BB"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tcPr>
          <w:p w14:paraId="6C92A820" w14:textId="35029F7E" w:rsidR="00BD1AAA" w:rsidRPr="008B14AA" w:rsidRDefault="00BD1AAA" w:rsidP="00BD1AAA">
            <w:pPr>
              <w:pStyle w:val="TableText"/>
            </w:pPr>
            <w:r>
              <w:t>Unemployment Benefits Services (UBS)</w:t>
            </w:r>
          </w:p>
        </w:tc>
        <w:tc>
          <w:tcPr>
            <w:tcW w:w="3255" w:type="dxa"/>
            <w:tcBorders>
              <w:top w:val="nil"/>
              <w:left w:val="nil"/>
              <w:bottom w:val="single" w:sz="6" w:space="0" w:color="auto"/>
              <w:right w:val="single" w:sz="6" w:space="0" w:color="auto"/>
            </w:tcBorders>
            <w:shd w:val="clear" w:color="auto" w:fill="FFFFFF" w:themeFill="background1"/>
            <w:vAlign w:val="center"/>
          </w:tcPr>
          <w:p w14:paraId="5148D2C7" w14:textId="0064F2CC" w:rsidR="00BD1AAA" w:rsidRPr="008B14AA" w:rsidRDefault="00BD1AAA" w:rsidP="00BD1AAA">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tcPr>
          <w:p w14:paraId="71CAFF92" w14:textId="3BC33C40" w:rsidR="00BD1AAA" w:rsidRPr="008B14AA" w:rsidRDefault="00BD1AAA" w:rsidP="00BD1AAA">
            <w:pPr>
              <w:pStyle w:val="TableText"/>
            </w:pPr>
            <w:r w:rsidRPr="008B14AA">
              <w:t>Eric Holen </w:t>
            </w:r>
          </w:p>
        </w:tc>
      </w:tr>
      <w:tr w:rsidR="00BD1AAA" w:rsidRPr="008B14AA" w14:paraId="77F31F39"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2C28A3C0" w14:textId="77777777" w:rsidR="00BD1AAA" w:rsidRPr="008B14AA" w:rsidRDefault="00BD1AAA" w:rsidP="00BD1AAA">
            <w:pPr>
              <w:pStyle w:val="TableText"/>
            </w:pPr>
            <w:r w:rsidRPr="008B14AA">
              <w:t>UI Employer Response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2E1ECDD3" w14:textId="77777777" w:rsidR="00BD1AAA" w:rsidRPr="008B14AA" w:rsidRDefault="00BD1AAA" w:rsidP="00BD1AAA">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6ECADFA8" w14:textId="77777777" w:rsidR="00BD1AAA" w:rsidRPr="008B14AA" w:rsidRDefault="00BD1AAA" w:rsidP="00BD1AAA">
            <w:pPr>
              <w:pStyle w:val="TableText"/>
            </w:pPr>
            <w:r w:rsidRPr="008B14AA">
              <w:t>Eric Holen </w:t>
            </w:r>
          </w:p>
        </w:tc>
      </w:tr>
      <w:tr w:rsidR="00BD1AAA" w:rsidRPr="008B14AA" w14:paraId="396E44F6"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4501BCD3" w14:textId="77777777" w:rsidR="00BD1AAA" w:rsidRPr="008B14AA" w:rsidRDefault="00BD1AAA" w:rsidP="00BD1AAA">
            <w:pPr>
              <w:pStyle w:val="TableText"/>
            </w:pPr>
            <w:r w:rsidRPr="008B14AA">
              <w:t>UI Fraud Submission Public Facing Portal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6EB5D2E0" w14:textId="77777777" w:rsidR="00BD1AAA" w:rsidRPr="008B14AA" w:rsidRDefault="00BD1AAA" w:rsidP="00BD1AAA">
            <w:pPr>
              <w:pStyle w:val="TableText"/>
            </w:pPr>
            <w:r w:rsidRPr="008B14AA">
              <w:t>Fraud Deterrence and Compliance Monitoring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5067CE9D" w14:textId="77777777" w:rsidR="00BD1AAA" w:rsidRPr="008B14AA" w:rsidRDefault="00BD1AAA" w:rsidP="00BD1AAA">
            <w:pPr>
              <w:pStyle w:val="TableText"/>
            </w:pPr>
            <w:r w:rsidRPr="008B14AA">
              <w:t xml:space="preserve">Jason </w:t>
            </w:r>
            <w:proofErr w:type="spellStart"/>
            <w:r w:rsidRPr="008B14AA">
              <w:t>Stalinsky</w:t>
            </w:r>
            <w:proofErr w:type="spellEnd"/>
            <w:r w:rsidRPr="008B14AA">
              <w:t> </w:t>
            </w:r>
          </w:p>
        </w:tc>
      </w:tr>
      <w:tr w:rsidR="00BD1AAA" w:rsidRPr="008B14AA" w14:paraId="058164F3"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565868BC" w14:textId="77777777" w:rsidR="00BD1AAA" w:rsidRPr="008B14AA" w:rsidRDefault="00BD1AAA" w:rsidP="00BD1AAA">
            <w:pPr>
              <w:pStyle w:val="TableText"/>
            </w:pPr>
            <w:r w:rsidRPr="008B14AA">
              <w:t>UI Fraud/AWARE System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18B6C632" w14:textId="77777777" w:rsidR="00BD1AAA" w:rsidRPr="008B14AA" w:rsidRDefault="00BD1AAA" w:rsidP="00BD1AAA">
            <w:pPr>
              <w:pStyle w:val="TableText"/>
            </w:pPr>
            <w:r w:rsidRPr="008B14AA">
              <w:t>Fraud Deterrence and Compliance Monitoring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36DE3419" w14:textId="77777777" w:rsidR="00BD1AAA" w:rsidRPr="008B14AA" w:rsidRDefault="00BD1AAA" w:rsidP="00BD1AAA">
            <w:pPr>
              <w:pStyle w:val="TableText"/>
            </w:pPr>
            <w:r w:rsidRPr="008B14AA">
              <w:t xml:space="preserve">Jason </w:t>
            </w:r>
            <w:proofErr w:type="spellStart"/>
            <w:r w:rsidRPr="008B14AA">
              <w:t>Stalinsky</w:t>
            </w:r>
            <w:proofErr w:type="spellEnd"/>
            <w:r w:rsidRPr="008B14AA">
              <w:t> </w:t>
            </w:r>
          </w:p>
        </w:tc>
      </w:tr>
      <w:tr w:rsidR="00BD1AAA" w:rsidRPr="008B14AA" w14:paraId="1544163E"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77EED415" w14:textId="52B84C35" w:rsidR="00BD1AAA" w:rsidRPr="008B14AA" w:rsidRDefault="00BD1AAA" w:rsidP="00BD1AAA">
            <w:pPr>
              <w:pStyle w:val="TableText"/>
            </w:pPr>
            <w:r w:rsidRPr="008B14AA">
              <w:t xml:space="preserve">UI Tax </w:t>
            </w:r>
            <w:r w:rsidR="002F2391">
              <w:t>System (mainframe)</w:t>
            </w:r>
            <w:r w:rsidRPr="008B14AA">
              <w:t>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204B34A0" w14:textId="77777777" w:rsidR="00BD1AAA" w:rsidRPr="008B14AA" w:rsidRDefault="00BD1AAA" w:rsidP="00BD1AAA">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002E8F82" w14:textId="77777777" w:rsidR="00BD1AAA" w:rsidRPr="008B14AA" w:rsidRDefault="00BD1AAA" w:rsidP="00BD1AAA">
            <w:pPr>
              <w:pStyle w:val="TableText"/>
            </w:pPr>
            <w:r w:rsidRPr="008B14AA">
              <w:t>Eric Holen </w:t>
            </w:r>
          </w:p>
        </w:tc>
      </w:tr>
      <w:tr w:rsidR="00BD1AAA" w:rsidRPr="008B14AA" w14:paraId="7A23EF90"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7015FBD9" w14:textId="162D6822" w:rsidR="00BD1AAA" w:rsidRPr="008B14AA" w:rsidRDefault="00BD1AAA" w:rsidP="00BD1AAA">
            <w:pPr>
              <w:pStyle w:val="TableText"/>
            </w:pPr>
            <w:r w:rsidRPr="008B14AA">
              <w:t>UI Tax Audit </w:t>
            </w:r>
            <w:r w:rsidR="008D562F">
              <w:t>(COMPAS)</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166BAC4D" w14:textId="77777777" w:rsidR="00BD1AAA" w:rsidRPr="008B14AA" w:rsidRDefault="00BD1AAA" w:rsidP="00BD1AAA">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3BBDC463" w14:textId="77777777" w:rsidR="00BD1AAA" w:rsidRPr="008B14AA" w:rsidRDefault="00BD1AAA" w:rsidP="00BD1AAA">
            <w:pPr>
              <w:pStyle w:val="TableText"/>
            </w:pPr>
            <w:r w:rsidRPr="008B14AA">
              <w:t>Eric Holen </w:t>
            </w:r>
          </w:p>
        </w:tc>
      </w:tr>
      <w:tr w:rsidR="00BD1AAA" w:rsidRPr="008B14AA" w14:paraId="77F3AAB3"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4FAA7334" w14:textId="5E80CD2F" w:rsidR="00BD1AAA" w:rsidRPr="008B14AA" w:rsidRDefault="00BD1AAA" w:rsidP="00BD1AAA">
            <w:pPr>
              <w:pStyle w:val="TableText"/>
            </w:pPr>
            <w:r w:rsidRPr="008B14AA">
              <w:t>UI Tax Registration</w:t>
            </w:r>
            <w:r w:rsidR="00622FF7">
              <w:t xml:space="preserve"> (UTR)</w:t>
            </w:r>
            <w:r w:rsidRPr="008B14AA">
              <w:t>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59127086" w14:textId="77777777" w:rsidR="00BD1AAA" w:rsidRPr="008B14AA" w:rsidRDefault="00BD1AAA" w:rsidP="00BD1AAA">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3373AE54" w14:textId="77777777" w:rsidR="00BD1AAA" w:rsidRPr="008B14AA" w:rsidRDefault="00BD1AAA" w:rsidP="00BD1AAA">
            <w:pPr>
              <w:pStyle w:val="TableText"/>
            </w:pPr>
            <w:r w:rsidRPr="008B14AA">
              <w:t>Eric Holen </w:t>
            </w:r>
          </w:p>
        </w:tc>
      </w:tr>
      <w:tr w:rsidR="00BD1AAA" w:rsidRPr="008B14AA" w14:paraId="177E8765" w14:textId="77777777" w:rsidTr="3210DD8B">
        <w:trPr>
          <w:trHeight w:val="285"/>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59E87B3A" w14:textId="40CBF534" w:rsidR="00BD1AAA" w:rsidRPr="008B14AA" w:rsidRDefault="00BD1AAA" w:rsidP="00BD1AAA">
            <w:pPr>
              <w:pStyle w:val="TableText"/>
            </w:pPr>
            <w:r w:rsidRPr="008B14AA">
              <w:lastRenderedPageBreak/>
              <w:t>UI Tax Services </w:t>
            </w:r>
            <w:r w:rsidR="00622FF7">
              <w:t>(U</w:t>
            </w:r>
            <w:r w:rsidR="005D5532">
              <w:t>T</w:t>
            </w:r>
            <w:r w:rsidR="00622FF7">
              <w:t>S)</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46CC56FB" w14:textId="77777777" w:rsidR="00BD1AAA" w:rsidRPr="008B14AA" w:rsidRDefault="00BD1AAA" w:rsidP="00BD1AAA">
            <w:pPr>
              <w:pStyle w:val="TableText"/>
            </w:pPr>
            <w:r w:rsidRPr="008B14AA">
              <w:t>Unemployment Insurance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2831BF24" w14:textId="77777777" w:rsidR="00BD1AAA" w:rsidRPr="008B14AA" w:rsidRDefault="00BD1AAA" w:rsidP="00BD1AAA">
            <w:pPr>
              <w:pStyle w:val="TableText"/>
            </w:pPr>
            <w:r w:rsidRPr="008B14AA">
              <w:t>Eric Holen </w:t>
            </w:r>
          </w:p>
        </w:tc>
      </w:tr>
      <w:tr w:rsidR="00BD1AAA" w:rsidRPr="008B14AA" w14:paraId="64F05FB1" w14:textId="77777777" w:rsidTr="3210DD8B">
        <w:trPr>
          <w:trHeight w:val="570"/>
        </w:trPr>
        <w:tc>
          <w:tcPr>
            <w:tcW w:w="3420" w:type="dxa"/>
            <w:tcBorders>
              <w:top w:val="nil"/>
              <w:left w:val="single" w:sz="6" w:space="0" w:color="auto"/>
              <w:bottom w:val="single" w:sz="6" w:space="0" w:color="auto"/>
              <w:right w:val="single" w:sz="6" w:space="0" w:color="auto"/>
            </w:tcBorders>
            <w:shd w:val="clear" w:color="auto" w:fill="auto"/>
            <w:vAlign w:val="center"/>
            <w:hideMark/>
          </w:tcPr>
          <w:p w14:paraId="26185493" w14:textId="77777777" w:rsidR="00BD1AAA" w:rsidRPr="008B14AA" w:rsidRDefault="00BD1AAA" w:rsidP="00BD1AAA">
            <w:pPr>
              <w:pStyle w:val="TableText"/>
            </w:pPr>
            <w:r w:rsidRPr="008B14AA">
              <w:t>Work In Texas: Labor Exchange and Case Management </w:t>
            </w:r>
          </w:p>
        </w:tc>
        <w:tc>
          <w:tcPr>
            <w:tcW w:w="3255" w:type="dxa"/>
            <w:tcBorders>
              <w:top w:val="nil"/>
              <w:left w:val="nil"/>
              <w:bottom w:val="single" w:sz="6" w:space="0" w:color="auto"/>
              <w:right w:val="single" w:sz="6" w:space="0" w:color="auto"/>
            </w:tcBorders>
            <w:shd w:val="clear" w:color="auto" w:fill="FFFFFF" w:themeFill="background1"/>
            <w:vAlign w:val="center"/>
            <w:hideMark/>
          </w:tcPr>
          <w:p w14:paraId="0E7161B9" w14:textId="77777777" w:rsidR="00BD1AAA" w:rsidRPr="008B14AA" w:rsidRDefault="00BD1AAA" w:rsidP="00BD1AAA">
            <w:pPr>
              <w:pStyle w:val="TableText"/>
            </w:pPr>
            <w:r w:rsidRPr="008B14AA">
              <w:t>Workforce Development </w:t>
            </w:r>
          </w:p>
        </w:tc>
        <w:tc>
          <w:tcPr>
            <w:tcW w:w="2430" w:type="dxa"/>
            <w:tcBorders>
              <w:top w:val="nil"/>
              <w:left w:val="nil"/>
              <w:bottom w:val="single" w:sz="6" w:space="0" w:color="auto"/>
              <w:right w:val="single" w:sz="6" w:space="0" w:color="auto"/>
            </w:tcBorders>
            <w:shd w:val="clear" w:color="auto" w:fill="FFFFFF" w:themeFill="background1"/>
            <w:vAlign w:val="center"/>
            <w:hideMark/>
          </w:tcPr>
          <w:p w14:paraId="2EBEB346" w14:textId="77777777" w:rsidR="00BD1AAA" w:rsidRPr="008B14AA" w:rsidRDefault="00BD1AAA" w:rsidP="00BD1AAA">
            <w:pPr>
              <w:pStyle w:val="TableText"/>
            </w:pPr>
            <w:r w:rsidRPr="008B14AA">
              <w:t>Mary York </w:t>
            </w:r>
          </w:p>
        </w:tc>
      </w:tr>
    </w:tbl>
    <w:p w14:paraId="604387F5" w14:textId="77777777" w:rsidR="000A1064" w:rsidRDefault="000A1064" w:rsidP="00E81945">
      <w:pPr>
        <w:pStyle w:val="Caption"/>
        <w:ind w:left="720" w:hanging="720"/>
        <w:rPr>
          <w:rStyle w:val="Strong"/>
          <w:bCs/>
          <w:color w:val="auto"/>
          <w:szCs w:val="20"/>
        </w:rPr>
      </w:pPr>
    </w:p>
    <w:p w14:paraId="6FE03295" w14:textId="1770DFB9" w:rsidR="00C7574D" w:rsidRPr="00EC66E4" w:rsidRDefault="00B51E5D" w:rsidP="00E81945">
      <w:pPr>
        <w:pStyle w:val="Caption"/>
        <w:ind w:left="720" w:hanging="720"/>
        <w:rPr>
          <w:rStyle w:val="Strong"/>
          <w:b w:val="0"/>
          <w:bCs/>
          <w:color w:val="auto"/>
          <w:szCs w:val="20"/>
        </w:rPr>
      </w:pPr>
      <w:r w:rsidRPr="00EC66E4">
        <w:rPr>
          <w:rStyle w:val="Strong"/>
          <w:bCs/>
          <w:color w:val="auto"/>
          <w:szCs w:val="20"/>
        </w:rPr>
        <w:t>J.</w:t>
      </w:r>
      <w:r w:rsidR="00E81945">
        <w:rPr>
          <w:rStyle w:val="Strong"/>
          <w:bCs/>
          <w:color w:val="auto"/>
          <w:szCs w:val="20"/>
        </w:rPr>
        <w:tab/>
      </w:r>
      <w:r w:rsidRPr="00EC66E4">
        <w:rPr>
          <w:rStyle w:val="Strong"/>
          <w:bCs/>
          <w:color w:val="auto"/>
          <w:szCs w:val="20"/>
        </w:rPr>
        <w:t xml:space="preserve">Does the agency use any analytics </w:t>
      </w:r>
      <w:r w:rsidR="00B9091D" w:rsidRPr="00EC66E4">
        <w:rPr>
          <w:rStyle w:val="Strong"/>
          <w:bCs/>
          <w:color w:val="auto"/>
          <w:szCs w:val="20"/>
        </w:rPr>
        <w:t xml:space="preserve">software or </w:t>
      </w:r>
      <w:r w:rsidRPr="00EC66E4">
        <w:rPr>
          <w:rStyle w:val="Strong"/>
          <w:bCs/>
          <w:color w:val="auto"/>
          <w:szCs w:val="20"/>
        </w:rPr>
        <w:t>platforms to collect, store, transform, or analyze agency data?</w:t>
      </w:r>
    </w:p>
    <w:p w14:paraId="28395005" w14:textId="03EA74DB" w:rsidR="00B51E5D" w:rsidRPr="009406F4" w:rsidRDefault="004D104C" w:rsidP="00D00264">
      <w:pPr>
        <w:pStyle w:val="BodyText3"/>
        <w:jc w:val="center"/>
      </w:pPr>
      <w:bookmarkStart w:id="72" w:name="_Toc202856308"/>
      <w:bookmarkStart w:id="73" w:name="_Toc202856971"/>
      <w:bookmarkStart w:id="74" w:name="_Toc202857124"/>
      <w:bookmarkStart w:id="75" w:name="_Toc202860904"/>
      <w:bookmarkStart w:id="76" w:name="_Toc202861077"/>
      <w:bookmarkStart w:id="77" w:name="_Toc1330893499"/>
      <w:bookmarkStart w:id="78" w:name="_Toc1468763189"/>
      <w:r>
        <w:t>Texas Workforce Commission</w:t>
      </w:r>
      <w:bookmarkEnd w:id="72"/>
      <w:bookmarkEnd w:id="73"/>
      <w:bookmarkEnd w:id="74"/>
      <w:bookmarkEnd w:id="75"/>
      <w:bookmarkEnd w:id="76"/>
      <w:bookmarkEnd w:id="77"/>
      <w:bookmarkEnd w:id="78"/>
      <w:r w:rsidR="000A1064">
        <w:br/>
      </w:r>
      <w:bookmarkStart w:id="79" w:name="_Toc202856309"/>
      <w:bookmarkStart w:id="80" w:name="_Toc202856972"/>
      <w:bookmarkStart w:id="81" w:name="_Toc202857125"/>
      <w:bookmarkStart w:id="82" w:name="_Toc202860905"/>
      <w:bookmarkStart w:id="83" w:name="_Toc202861078"/>
      <w:bookmarkStart w:id="84" w:name="_Toc1350489974"/>
      <w:bookmarkStart w:id="85" w:name="_Toc752146939"/>
      <w:r w:rsidR="00B51E5D" w:rsidRPr="004E1161">
        <w:t>Exhibit 4: Data Analytics Platforms</w:t>
      </w:r>
      <w:bookmarkEnd w:id="79"/>
      <w:bookmarkEnd w:id="80"/>
      <w:bookmarkEnd w:id="81"/>
      <w:bookmarkEnd w:id="82"/>
      <w:bookmarkEnd w:id="83"/>
      <w:bookmarkEnd w:id="84"/>
      <w:bookmarkEnd w:id="85"/>
    </w:p>
    <w:tbl>
      <w:tblPr>
        <w:tblStyle w:val="TableGrid"/>
        <w:tblW w:w="9355" w:type="dxa"/>
        <w:tblCellMar>
          <w:top w:w="72" w:type="dxa"/>
          <w:bottom w:w="72" w:type="dxa"/>
        </w:tblCellMar>
        <w:tblLook w:val="04A0" w:firstRow="1" w:lastRow="0" w:firstColumn="1" w:lastColumn="0" w:noHBand="0" w:noVBand="1"/>
      </w:tblPr>
      <w:tblGrid>
        <w:gridCol w:w="3595"/>
        <w:gridCol w:w="5760"/>
      </w:tblGrid>
      <w:tr w:rsidR="00B9091D" w14:paraId="3CC12DE6" w14:textId="77777777" w:rsidTr="008C1740">
        <w:tc>
          <w:tcPr>
            <w:tcW w:w="3595" w:type="dxa"/>
            <w:shd w:val="clear" w:color="auto" w:fill="95B3D7" w:themeFill="accent1" w:themeFillTint="99"/>
          </w:tcPr>
          <w:p w14:paraId="05C080E6" w14:textId="0D989499" w:rsidR="00B9091D" w:rsidRDefault="00B9091D" w:rsidP="00210C97">
            <w:pPr>
              <w:pStyle w:val="TableHeaders"/>
            </w:pPr>
            <w:r>
              <w:t>Analytics Platform</w:t>
            </w:r>
          </w:p>
        </w:tc>
        <w:tc>
          <w:tcPr>
            <w:tcW w:w="5760" w:type="dxa"/>
            <w:shd w:val="clear" w:color="auto" w:fill="95B3D7" w:themeFill="accent1" w:themeFillTint="99"/>
          </w:tcPr>
          <w:p w14:paraId="451DA03E" w14:textId="5755312D" w:rsidR="00B9091D" w:rsidRDefault="00B9091D" w:rsidP="00210C97">
            <w:pPr>
              <w:pStyle w:val="TableHeaders"/>
            </w:pPr>
            <w:r>
              <w:t>Associated Data Resource(s)</w:t>
            </w:r>
          </w:p>
        </w:tc>
      </w:tr>
      <w:tr w:rsidR="00B9091D" w:rsidRPr="007F297D" w14:paraId="062B25CA" w14:textId="77777777" w:rsidTr="008C1740">
        <w:tc>
          <w:tcPr>
            <w:tcW w:w="3595" w:type="dxa"/>
            <w:vAlign w:val="center"/>
          </w:tcPr>
          <w:p w14:paraId="5A0AB58F" w14:textId="56482B4A" w:rsidR="00B9091D" w:rsidRPr="004E1161" w:rsidRDefault="00153C90" w:rsidP="008C1740">
            <w:pPr>
              <w:pStyle w:val="TableText"/>
            </w:pPr>
            <w:r w:rsidRPr="004E1161">
              <w:t>SQL Developer/SQL Server</w:t>
            </w:r>
          </w:p>
        </w:tc>
        <w:tc>
          <w:tcPr>
            <w:tcW w:w="5760" w:type="dxa"/>
          </w:tcPr>
          <w:p w14:paraId="67E40317" w14:textId="4854AD94" w:rsidR="00B9091D" w:rsidRPr="004E1161" w:rsidRDefault="00153C90" w:rsidP="004E1161">
            <w:pPr>
              <w:pStyle w:val="TableText"/>
            </w:pPr>
            <w:r w:rsidRPr="004E1161">
              <w:t>Enterprise Data Warehouse</w:t>
            </w:r>
            <w:r w:rsidR="00280EAB" w:rsidRPr="004E1161">
              <w:t xml:space="preserve"> (EDW)</w:t>
            </w:r>
          </w:p>
        </w:tc>
      </w:tr>
      <w:tr w:rsidR="00B9091D" w:rsidRPr="007F297D" w14:paraId="1704F83C" w14:textId="77777777" w:rsidTr="008C1740">
        <w:tc>
          <w:tcPr>
            <w:tcW w:w="3595" w:type="dxa"/>
            <w:vAlign w:val="center"/>
          </w:tcPr>
          <w:p w14:paraId="40556823" w14:textId="00F24886" w:rsidR="00B9091D" w:rsidRPr="004E1161" w:rsidRDefault="00280EAB" w:rsidP="008C1740">
            <w:pPr>
              <w:pStyle w:val="TableText"/>
            </w:pPr>
            <w:r w:rsidRPr="004E1161">
              <w:t>SAS PC and Server</w:t>
            </w:r>
          </w:p>
        </w:tc>
        <w:tc>
          <w:tcPr>
            <w:tcW w:w="5760" w:type="dxa"/>
          </w:tcPr>
          <w:p w14:paraId="2788D192" w14:textId="5C587186" w:rsidR="00B9091D" w:rsidRPr="004E1161" w:rsidRDefault="00280EAB" w:rsidP="004E1161">
            <w:pPr>
              <w:pStyle w:val="TableText"/>
            </w:pPr>
            <w:proofErr w:type="spellStart"/>
            <w:r w:rsidRPr="004E1161">
              <w:t>RehabWorks</w:t>
            </w:r>
            <w:proofErr w:type="spellEnd"/>
            <w:r w:rsidRPr="004E1161">
              <w:t xml:space="preserve"> Data Warehouse</w:t>
            </w:r>
            <w:r w:rsidR="00A0396C" w:rsidRPr="004E1161">
              <w:t xml:space="preserve"> (RHW)</w:t>
            </w:r>
          </w:p>
        </w:tc>
      </w:tr>
      <w:tr w:rsidR="00280EAB" w:rsidRPr="007F297D" w14:paraId="26B5A3C6" w14:textId="77777777" w:rsidTr="008C1740">
        <w:tc>
          <w:tcPr>
            <w:tcW w:w="3595" w:type="dxa"/>
            <w:vAlign w:val="center"/>
          </w:tcPr>
          <w:p w14:paraId="3B944B74" w14:textId="13AB9F56" w:rsidR="00280EAB" w:rsidRPr="004E1161" w:rsidRDefault="00280EAB" w:rsidP="008C1740">
            <w:pPr>
              <w:pStyle w:val="TableText"/>
            </w:pPr>
            <w:r w:rsidRPr="004E1161">
              <w:t>Python Anaconda Distribution</w:t>
            </w:r>
          </w:p>
        </w:tc>
        <w:tc>
          <w:tcPr>
            <w:tcW w:w="5760" w:type="dxa"/>
          </w:tcPr>
          <w:p w14:paraId="431F66C0" w14:textId="6482944C" w:rsidR="00280EAB" w:rsidRPr="004E1161" w:rsidRDefault="00280EAB" w:rsidP="004E1161">
            <w:pPr>
              <w:pStyle w:val="TableText"/>
            </w:pPr>
            <w:r w:rsidRPr="004E1161">
              <w:t xml:space="preserve">EDW, RHW, </w:t>
            </w:r>
            <w:r w:rsidR="00D06C16">
              <w:t>AEL TEAMS</w:t>
            </w:r>
          </w:p>
        </w:tc>
      </w:tr>
      <w:tr w:rsidR="008A7383" w:rsidRPr="007F297D" w14:paraId="52C2A4F9" w14:textId="77777777" w:rsidTr="008C1740">
        <w:tc>
          <w:tcPr>
            <w:tcW w:w="3595" w:type="dxa"/>
            <w:vAlign w:val="center"/>
          </w:tcPr>
          <w:p w14:paraId="7A662995" w14:textId="7BAA94B9" w:rsidR="008A7383" w:rsidRPr="004E1161" w:rsidRDefault="008A7383" w:rsidP="008C1740">
            <w:pPr>
              <w:pStyle w:val="TableText"/>
            </w:pPr>
            <w:r w:rsidRPr="004E1161">
              <w:t>SPSS</w:t>
            </w:r>
          </w:p>
        </w:tc>
        <w:tc>
          <w:tcPr>
            <w:tcW w:w="5760" w:type="dxa"/>
          </w:tcPr>
          <w:p w14:paraId="3C563882" w14:textId="6C816481" w:rsidR="008A7383" w:rsidRPr="004E1161" w:rsidRDefault="008A7383" w:rsidP="004E1161">
            <w:pPr>
              <w:pStyle w:val="TableText"/>
            </w:pPr>
            <w:r w:rsidRPr="004E1161">
              <w:t>EDW, RHW, AEL TEAMS, TX3C, CDER, UI</w:t>
            </w:r>
          </w:p>
        </w:tc>
      </w:tr>
      <w:tr w:rsidR="005B4C32" w:rsidRPr="007F297D" w14:paraId="039F6164" w14:textId="77777777" w:rsidTr="008C1740">
        <w:tc>
          <w:tcPr>
            <w:tcW w:w="3595" w:type="dxa"/>
            <w:vAlign w:val="center"/>
          </w:tcPr>
          <w:p w14:paraId="72870DC1" w14:textId="30136CC4" w:rsidR="005B4C32" w:rsidRPr="004E1161" w:rsidRDefault="005B4C32" w:rsidP="008C1740">
            <w:pPr>
              <w:pStyle w:val="TableText"/>
            </w:pPr>
            <w:proofErr w:type="spellStart"/>
            <w:r w:rsidRPr="004E1161">
              <w:t>Dbeaver</w:t>
            </w:r>
            <w:proofErr w:type="spellEnd"/>
          </w:p>
        </w:tc>
        <w:tc>
          <w:tcPr>
            <w:tcW w:w="5760" w:type="dxa"/>
          </w:tcPr>
          <w:p w14:paraId="42279582" w14:textId="411A93DA" w:rsidR="005B4C32" w:rsidRPr="004E1161" w:rsidRDefault="005B4C32" w:rsidP="004E1161">
            <w:pPr>
              <w:pStyle w:val="TableText"/>
            </w:pPr>
            <w:r w:rsidRPr="004E1161">
              <w:t>EDW</w:t>
            </w:r>
          </w:p>
        </w:tc>
      </w:tr>
      <w:tr w:rsidR="005B4C32" w:rsidRPr="007F297D" w14:paraId="0E4AFEC6" w14:textId="77777777" w:rsidTr="008C1740">
        <w:tc>
          <w:tcPr>
            <w:tcW w:w="3595" w:type="dxa"/>
            <w:vAlign w:val="center"/>
          </w:tcPr>
          <w:p w14:paraId="444B3B9D" w14:textId="116E70ED" w:rsidR="005B4C32" w:rsidRPr="004E1161" w:rsidRDefault="005B4C32" w:rsidP="008C1740">
            <w:pPr>
              <w:pStyle w:val="TableText"/>
            </w:pPr>
            <w:r w:rsidRPr="004E1161">
              <w:t>KNIME</w:t>
            </w:r>
          </w:p>
        </w:tc>
        <w:tc>
          <w:tcPr>
            <w:tcW w:w="5760" w:type="dxa"/>
          </w:tcPr>
          <w:p w14:paraId="153ADD5D" w14:textId="646E9A9F" w:rsidR="005B4C32" w:rsidRPr="004E1161" w:rsidRDefault="005B4C32" w:rsidP="004E1161">
            <w:pPr>
              <w:pStyle w:val="TableText"/>
            </w:pPr>
            <w:r w:rsidRPr="004E1161">
              <w:t>EDW</w:t>
            </w:r>
          </w:p>
        </w:tc>
      </w:tr>
      <w:tr w:rsidR="005B4C32" w:rsidRPr="007F297D" w14:paraId="16DB1FE4" w14:textId="77777777" w:rsidTr="008C1740">
        <w:tc>
          <w:tcPr>
            <w:tcW w:w="3595" w:type="dxa"/>
            <w:vAlign w:val="center"/>
          </w:tcPr>
          <w:p w14:paraId="5FFDCB2E" w14:textId="2C682640" w:rsidR="005B4C32" w:rsidRPr="004E1161" w:rsidRDefault="005B4C32" w:rsidP="008C1740">
            <w:pPr>
              <w:pStyle w:val="TableText"/>
            </w:pPr>
            <w:r w:rsidRPr="004E1161">
              <w:t xml:space="preserve">ArcGIS and </w:t>
            </w:r>
            <w:proofErr w:type="spellStart"/>
            <w:r w:rsidRPr="004E1161">
              <w:t>ArcMAP</w:t>
            </w:r>
            <w:proofErr w:type="spellEnd"/>
          </w:p>
        </w:tc>
        <w:tc>
          <w:tcPr>
            <w:tcW w:w="5760" w:type="dxa"/>
          </w:tcPr>
          <w:p w14:paraId="2668A052" w14:textId="040F6681" w:rsidR="005B4C32" w:rsidRPr="004E1161" w:rsidRDefault="00B92880" w:rsidP="004E1161">
            <w:pPr>
              <w:pStyle w:val="TableText"/>
            </w:pPr>
            <w:r w:rsidRPr="004E1161">
              <w:t>EDW, RHW, AEL TEAMS, TX3C, CDER, UI</w:t>
            </w:r>
          </w:p>
        </w:tc>
      </w:tr>
      <w:tr w:rsidR="00B92880" w:rsidRPr="007F297D" w14:paraId="2877EA73" w14:textId="77777777" w:rsidTr="008C1740">
        <w:tc>
          <w:tcPr>
            <w:tcW w:w="3595" w:type="dxa"/>
            <w:vAlign w:val="center"/>
          </w:tcPr>
          <w:p w14:paraId="3E7708DB" w14:textId="1B319B7E" w:rsidR="00B92880" w:rsidRPr="004E1161" w:rsidRDefault="00B92880" w:rsidP="008C1740">
            <w:pPr>
              <w:pStyle w:val="TableText"/>
            </w:pPr>
            <w:r w:rsidRPr="004E1161">
              <w:t>Tableau</w:t>
            </w:r>
          </w:p>
        </w:tc>
        <w:tc>
          <w:tcPr>
            <w:tcW w:w="5760" w:type="dxa"/>
          </w:tcPr>
          <w:p w14:paraId="779BA0E2" w14:textId="7F3D231B" w:rsidR="00B92880" w:rsidRPr="004E1161" w:rsidRDefault="00B92880" w:rsidP="004E1161">
            <w:pPr>
              <w:pStyle w:val="TableText"/>
            </w:pPr>
            <w:r w:rsidRPr="004E1161">
              <w:t>EDW, RHW, AEL TEAMS, TX3C, CDER, UI</w:t>
            </w:r>
          </w:p>
        </w:tc>
      </w:tr>
      <w:tr w:rsidR="00330F0A" w:rsidRPr="007F297D" w14:paraId="0D38AE98" w14:textId="77777777" w:rsidTr="008C1740">
        <w:tc>
          <w:tcPr>
            <w:tcW w:w="3595" w:type="dxa"/>
            <w:vAlign w:val="center"/>
          </w:tcPr>
          <w:p w14:paraId="6F1AAF62" w14:textId="0D68232F" w:rsidR="00330F0A" w:rsidRPr="004E1161" w:rsidRDefault="00330F0A" w:rsidP="008C1740">
            <w:pPr>
              <w:pStyle w:val="TableText"/>
            </w:pPr>
            <w:proofErr w:type="spellStart"/>
            <w:r w:rsidRPr="004E1161">
              <w:t>PowerBI</w:t>
            </w:r>
            <w:proofErr w:type="spellEnd"/>
          </w:p>
        </w:tc>
        <w:tc>
          <w:tcPr>
            <w:tcW w:w="5760" w:type="dxa"/>
          </w:tcPr>
          <w:p w14:paraId="6DC72DE5" w14:textId="187E745E" w:rsidR="00330F0A" w:rsidRPr="004E1161" w:rsidRDefault="00330F0A" w:rsidP="004E1161">
            <w:pPr>
              <w:pStyle w:val="TableText"/>
            </w:pPr>
            <w:r w:rsidRPr="004E1161">
              <w:t>EDW, RHW, AEL TEAMS, TX3C, CDER, UI</w:t>
            </w:r>
          </w:p>
        </w:tc>
      </w:tr>
    </w:tbl>
    <w:p w14:paraId="0701648F" w14:textId="4D40BC0B" w:rsidR="005E1925" w:rsidRDefault="007635DC" w:rsidP="007635DC">
      <w:pPr>
        <w:pStyle w:val="Heading1"/>
      </w:pPr>
      <w:bookmarkStart w:id="86" w:name="Title_History_and_Major_Events_Example"/>
      <w:bookmarkStart w:id="87" w:name="_Toc1949838506"/>
      <w:bookmarkStart w:id="88" w:name="_Toc203377316"/>
      <w:bookmarkEnd w:id="86"/>
      <w:r>
        <w:t>III</w:t>
      </w:r>
      <w:r w:rsidR="00F32CFC">
        <w:t xml:space="preserve">. </w:t>
      </w:r>
      <w:r w:rsidR="005E1925">
        <w:t>History and Major Events</w:t>
      </w:r>
      <w:bookmarkEnd w:id="87"/>
      <w:bookmarkEnd w:id="88"/>
    </w:p>
    <w:p w14:paraId="5B7B811D" w14:textId="74AA61F7" w:rsidR="005E1925" w:rsidRPr="002E1321" w:rsidRDefault="005E1925" w:rsidP="002E1321">
      <w:pPr>
        <w:pStyle w:val="BodyText3"/>
        <w:rPr>
          <w:rStyle w:val="Strong"/>
          <w:bCs w:val="0"/>
        </w:rPr>
      </w:pPr>
      <w:r w:rsidRPr="002E1321">
        <w:rPr>
          <w:rStyle w:val="Strong"/>
          <w:bCs w:val="0"/>
        </w:rPr>
        <w:t>Provide a timeline of your agency</w:t>
      </w:r>
      <w:r w:rsidR="00F044D6" w:rsidRPr="002E1321">
        <w:rPr>
          <w:rStyle w:val="Strong"/>
          <w:bCs w:val="0"/>
        </w:rPr>
        <w:t>’</w:t>
      </w:r>
      <w:r w:rsidRPr="002E1321">
        <w:rPr>
          <w:rStyle w:val="Strong"/>
          <w:bCs w:val="0"/>
        </w:rPr>
        <w:t>s hi</w:t>
      </w:r>
      <w:r w:rsidR="00517EF7" w:rsidRPr="002E1321">
        <w:rPr>
          <w:rStyle w:val="Strong"/>
          <w:bCs w:val="0"/>
        </w:rPr>
        <w:t>story and key events, including</w:t>
      </w:r>
      <w:r w:rsidR="00433B45" w:rsidRPr="002E1321">
        <w:rPr>
          <w:rStyle w:val="Strong"/>
          <w:bCs w:val="0"/>
        </w:rPr>
        <w:t>:</w:t>
      </w:r>
    </w:p>
    <w:p w14:paraId="2C151419" w14:textId="71E41866" w:rsidR="005E1925" w:rsidRPr="002E1321" w:rsidRDefault="00A06965" w:rsidP="00C64851">
      <w:pPr>
        <w:pStyle w:val="BodyText"/>
        <w:numPr>
          <w:ilvl w:val="0"/>
          <w:numId w:val="394"/>
        </w:numPr>
        <w:rPr>
          <w:rStyle w:val="Strong"/>
          <w:bCs w:val="0"/>
        </w:rPr>
      </w:pPr>
      <w:r w:rsidRPr="002E1321">
        <w:rPr>
          <w:rStyle w:val="Strong"/>
          <w:bCs w:val="0"/>
        </w:rPr>
        <w:t>T</w:t>
      </w:r>
      <w:r w:rsidR="005E1925" w:rsidRPr="002E1321">
        <w:rPr>
          <w:rStyle w:val="Strong"/>
          <w:bCs w:val="0"/>
        </w:rPr>
        <w:t>he date your agency was established</w:t>
      </w:r>
    </w:p>
    <w:p w14:paraId="3FB0BF66" w14:textId="2FFCA722" w:rsidR="005E1925" w:rsidRPr="002E1321" w:rsidRDefault="00A06965" w:rsidP="00C64851">
      <w:pPr>
        <w:pStyle w:val="BodyText"/>
        <w:numPr>
          <w:ilvl w:val="0"/>
          <w:numId w:val="394"/>
        </w:numPr>
        <w:rPr>
          <w:rStyle w:val="Strong"/>
          <w:bCs w:val="0"/>
        </w:rPr>
      </w:pPr>
      <w:r w:rsidRPr="002E1321">
        <w:rPr>
          <w:rStyle w:val="Strong"/>
          <w:bCs w:val="0"/>
        </w:rPr>
        <w:t>T</w:t>
      </w:r>
      <w:r w:rsidR="005E1925" w:rsidRPr="002E1321">
        <w:rPr>
          <w:rStyle w:val="Strong"/>
          <w:bCs w:val="0"/>
        </w:rPr>
        <w:t>he original purpose and responsibilities of your agency</w:t>
      </w:r>
    </w:p>
    <w:p w14:paraId="7AAB8E5B" w14:textId="0AA48285" w:rsidR="0027430A" w:rsidRPr="002E1321" w:rsidRDefault="00A06965" w:rsidP="00C64851">
      <w:pPr>
        <w:pStyle w:val="BodyText"/>
        <w:numPr>
          <w:ilvl w:val="0"/>
          <w:numId w:val="394"/>
        </w:numPr>
        <w:rPr>
          <w:rStyle w:val="Strong"/>
          <w:bCs w:val="0"/>
        </w:rPr>
      </w:pPr>
      <w:r w:rsidRPr="002E1321">
        <w:rPr>
          <w:rStyle w:val="Strong"/>
          <w:bCs w:val="0"/>
        </w:rPr>
        <w:t>M</w:t>
      </w:r>
      <w:r w:rsidR="005E1925" w:rsidRPr="002E1321">
        <w:rPr>
          <w:rStyle w:val="Strong"/>
          <w:bCs w:val="0"/>
        </w:rPr>
        <w:t>ajor changes in responsibilities or statutory authority</w:t>
      </w:r>
    </w:p>
    <w:p w14:paraId="22814540" w14:textId="46A74B63" w:rsidR="005E1925" w:rsidRPr="002E1321" w:rsidRDefault="0027430A" w:rsidP="002E1321">
      <w:pPr>
        <w:pStyle w:val="BodyText3"/>
        <w:rPr>
          <w:rStyle w:val="Strong"/>
          <w:bCs w:val="0"/>
        </w:rPr>
      </w:pPr>
      <w:r w:rsidRPr="002E1321">
        <w:rPr>
          <w:rStyle w:val="Strong"/>
          <w:bCs w:val="0"/>
        </w:rPr>
        <w:t>Also consider including the following information if beneficial to</w:t>
      </w:r>
      <w:r w:rsidR="00EE24EE" w:rsidRPr="002E1321">
        <w:rPr>
          <w:rStyle w:val="Strong"/>
          <w:bCs w:val="0"/>
        </w:rPr>
        <w:t xml:space="preserve"> understanding your agency</w:t>
      </w:r>
      <w:r w:rsidR="00433B45" w:rsidRPr="002E1321">
        <w:rPr>
          <w:rStyle w:val="Strong"/>
          <w:bCs w:val="0"/>
        </w:rPr>
        <w:t>:</w:t>
      </w:r>
    </w:p>
    <w:p w14:paraId="544A7C65" w14:textId="246436E1" w:rsidR="005E1925" w:rsidRPr="00AA0C81" w:rsidRDefault="00433B45" w:rsidP="00C64851">
      <w:pPr>
        <w:pStyle w:val="BodyText"/>
        <w:numPr>
          <w:ilvl w:val="0"/>
          <w:numId w:val="395"/>
        </w:numPr>
        <w:rPr>
          <w:rStyle w:val="Strong"/>
          <w:bCs w:val="0"/>
        </w:rPr>
      </w:pPr>
      <w:r w:rsidRPr="00AA0C81">
        <w:rPr>
          <w:rStyle w:val="Strong"/>
          <w:bCs w:val="0"/>
        </w:rPr>
        <w:t>C</w:t>
      </w:r>
      <w:r w:rsidR="005E1925" w:rsidRPr="00AA0C81">
        <w:rPr>
          <w:rStyle w:val="Strong"/>
          <w:bCs w:val="0"/>
        </w:rPr>
        <w:t>hanges to your policymaking body</w:t>
      </w:r>
      <w:r w:rsidR="00F044D6" w:rsidRPr="00AA0C81">
        <w:rPr>
          <w:rStyle w:val="Strong"/>
          <w:bCs w:val="0"/>
        </w:rPr>
        <w:t>’</w:t>
      </w:r>
      <w:r w:rsidR="005E1925" w:rsidRPr="00AA0C81">
        <w:rPr>
          <w:rStyle w:val="Strong"/>
          <w:bCs w:val="0"/>
        </w:rPr>
        <w:t>s name or composition</w:t>
      </w:r>
    </w:p>
    <w:p w14:paraId="489307DB" w14:textId="339A186D" w:rsidR="005E1925" w:rsidRPr="00AA0C81" w:rsidRDefault="00433B45" w:rsidP="00C64851">
      <w:pPr>
        <w:pStyle w:val="BodyText"/>
        <w:numPr>
          <w:ilvl w:val="0"/>
          <w:numId w:val="395"/>
        </w:numPr>
        <w:rPr>
          <w:rStyle w:val="Strong"/>
          <w:bCs w:val="0"/>
        </w:rPr>
      </w:pPr>
      <w:r w:rsidRPr="00AA0C81">
        <w:rPr>
          <w:rStyle w:val="Strong"/>
          <w:bCs w:val="0"/>
        </w:rPr>
        <w:t>S</w:t>
      </w:r>
      <w:r w:rsidR="005E1925" w:rsidRPr="00AA0C81">
        <w:rPr>
          <w:rStyle w:val="Strong"/>
          <w:bCs w:val="0"/>
        </w:rPr>
        <w:t>ignificant changes in state/federal legislation, mandates, or funding</w:t>
      </w:r>
    </w:p>
    <w:p w14:paraId="4BA13C3E" w14:textId="39A7DA66" w:rsidR="005E1925" w:rsidRPr="00AA0C81" w:rsidRDefault="00115047" w:rsidP="00C64851">
      <w:pPr>
        <w:pStyle w:val="BodyText"/>
        <w:numPr>
          <w:ilvl w:val="0"/>
          <w:numId w:val="395"/>
        </w:numPr>
        <w:rPr>
          <w:rStyle w:val="Strong"/>
          <w:bCs w:val="0"/>
        </w:rPr>
      </w:pPr>
      <w:r w:rsidRPr="00AA0C81">
        <w:rPr>
          <w:rStyle w:val="Strong"/>
          <w:bCs w:val="0"/>
        </w:rPr>
        <w:t>S</w:t>
      </w:r>
      <w:r w:rsidR="005E1925" w:rsidRPr="00AA0C81">
        <w:rPr>
          <w:rStyle w:val="Strong"/>
          <w:bCs w:val="0"/>
        </w:rPr>
        <w:t>ignificant state/federal litigation that specifically affects your agency</w:t>
      </w:r>
      <w:r w:rsidR="00F044D6" w:rsidRPr="00AA0C81">
        <w:rPr>
          <w:rStyle w:val="Strong"/>
          <w:bCs w:val="0"/>
        </w:rPr>
        <w:t>’</w:t>
      </w:r>
      <w:r w:rsidR="005E1925" w:rsidRPr="00AA0C81">
        <w:rPr>
          <w:rStyle w:val="Strong"/>
          <w:bCs w:val="0"/>
        </w:rPr>
        <w:t>s operations</w:t>
      </w:r>
    </w:p>
    <w:p w14:paraId="0390EEA5" w14:textId="77725BDC" w:rsidR="005E1925" w:rsidRPr="00AA0C81" w:rsidRDefault="00115047" w:rsidP="00C64851">
      <w:pPr>
        <w:pStyle w:val="BodyText"/>
        <w:numPr>
          <w:ilvl w:val="0"/>
          <w:numId w:val="395"/>
        </w:numPr>
      </w:pPr>
      <w:r w:rsidRPr="00AA0C81">
        <w:rPr>
          <w:rStyle w:val="Strong"/>
          <w:bCs w:val="0"/>
        </w:rPr>
        <w:lastRenderedPageBreak/>
        <w:t>K</w:t>
      </w:r>
      <w:r w:rsidR="005E1925" w:rsidRPr="00AA0C81">
        <w:rPr>
          <w:rStyle w:val="Strong"/>
          <w:bCs w:val="0"/>
        </w:rPr>
        <w:t>ey changes in you</w:t>
      </w:r>
      <w:r w:rsidR="00F95E32" w:rsidRPr="00AA0C81">
        <w:rPr>
          <w:rStyle w:val="Strong"/>
          <w:bCs w:val="0"/>
        </w:rPr>
        <w:t>r agency</w:t>
      </w:r>
      <w:r w:rsidR="00F044D6" w:rsidRPr="00AA0C81">
        <w:rPr>
          <w:rStyle w:val="Strong"/>
          <w:bCs w:val="0"/>
        </w:rPr>
        <w:t>’</w:t>
      </w:r>
      <w:r w:rsidR="00F95E32" w:rsidRPr="00AA0C81">
        <w:rPr>
          <w:rStyle w:val="Strong"/>
          <w:bCs w:val="0"/>
        </w:rPr>
        <w:t>s organization (e.g., the</w:t>
      </w:r>
      <w:r w:rsidR="005E1925" w:rsidRPr="00AA0C81">
        <w:rPr>
          <w:rStyle w:val="Strong"/>
          <w:bCs w:val="0"/>
        </w:rPr>
        <w:t xml:space="preserve"> maj</w:t>
      </w:r>
      <w:r w:rsidR="00163B0F" w:rsidRPr="00AA0C81">
        <w:rPr>
          <w:rStyle w:val="Strong"/>
          <w:bCs w:val="0"/>
        </w:rPr>
        <w:t xml:space="preserve">or reorganization of </w:t>
      </w:r>
      <w:r w:rsidR="00F95E32" w:rsidRPr="00AA0C81">
        <w:rPr>
          <w:rStyle w:val="Strong"/>
          <w:bCs w:val="0"/>
        </w:rPr>
        <w:t>the Health and Human Services Commission and the Department of State Health Services</w:t>
      </w:r>
      <w:r w:rsidR="00F044D6" w:rsidRPr="00AA0C81">
        <w:rPr>
          <w:rStyle w:val="Strong"/>
          <w:bCs w:val="0"/>
        </w:rPr>
        <w:t>’</w:t>
      </w:r>
      <w:r w:rsidR="005E1925" w:rsidRPr="00AA0C81">
        <w:rPr>
          <w:rStyle w:val="Strong"/>
          <w:bCs w:val="0"/>
        </w:rPr>
        <w:t xml:space="preserve"> divisions </w:t>
      </w:r>
      <w:r w:rsidR="00F95E32" w:rsidRPr="00AA0C81">
        <w:rPr>
          <w:rStyle w:val="Strong"/>
          <w:bCs w:val="0"/>
        </w:rPr>
        <w:t>and</w:t>
      </w:r>
      <w:r w:rsidR="005E1925" w:rsidRPr="00AA0C81">
        <w:rPr>
          <w:rStyle w:val="Strong"/>
          <w:bCs w:val="0"/>
        </w:rPr>
        <w:t xml:space="preserve"> program areas</w:t>
      </w:r>
      <w:r w:rsidR="00BA67B7" w:rsidRPr="00AA0C81">
        <w:rPr>
          <w:rStyle w:val="Strong"/>
          <w:bCs w:val="0"/>
        </w:rPr>
        <w:t xml:space="preserve"> </w:t>
      </w:r>
      <w:r w:rsidR="00F95E32" w:rsidRPr="00AA0C81">
        <w:rPr>
          <w:rStyle w:val="Strong"/>
          <w:bCs w:val="0"/>
        </w:rPr>
        <w:t>or</w:t>
      </w:r>
      <w:r w:rsidR="00BA67B7" w:rsidRPr="00AA0C81">
        <w:rPr>
          <w:rStyle w:val="Strong"/>
          <w:bCs w:val="0"/>
        </w:rPr>
        <w:t xml:space="preserve"> the Legislature moving the Prescription Monitoring Program from the Department of Public Safety to the </w:t>
      </w:r>
      <w:r w:rsidR="00C218EC" w:rsidRPr="00AA0C81">
        <w:rPr>
          <w:rStyle w:val="Strong"/>
          <w:bCs w:val="0"/>
        </w:rPr>
        <w:t xml:space="preserve">Texas State Board of </w:t>
      </w:r>
      <w:r w:rsidR="00BA67B7" w:rsidRPr="00AA0C81">
        <w:rPr>
          <w:rStyle w:val="Strong"/>
          <w:bCs w:val="0"/>
        </w:rPr>
        <w:t>Pharmacy</w:t>
      </w:r>
      <w:r w:rsidR="00371F67" w:rsidRPr="00AA0C81">
        <w:rPr>
          <w:rStyle w:val="Strong"/>
          <w:bCs w:val="0"/>
        </w:rPr>
        <w:t>).</w:t>
      </w:r>
    </w:p>
    <w:p w14:paraId="2ECDB51B" w14:textId="765B375D" w:rsidR="19AB3C48" w:rsidRDefault="19AB3C48" w:rsidP="00145531">
      <w:pPr>
        <w:pStyle w:val="BodyText2"/>
      </w:pPr>
      <w:r w:rsidRPr="5F516816">
        <w:t>History of Workforce in Texas</w:t>
      </w:r>
    </w:p>
    <w:p w14:paraId="6F2CE2B8" w14:textId="0E81F7F5" w:rsidR="19AB3C48" w:rsidRDefault="19AB3C48" w:rsidP="00CC2F17">
      <w:pPr>
        <w:pStyle w:val="BodyText"/>
      </w:pPr>
      <w:r w:rsidRPr="5F516816">
        <w:rPr>
          <w:rFonts w:eastAsia="Aptos"/>
        </w:rPr>
        <w:t>The State of Texas had a predominantly agricultural economy before the 20</w:t>
      </w:r>
      <w:r w:rsidRPr="5F516816">
        <w:rPr>
          <w:rFonts w:eastAsia="Aptos"/>
          <w:vertAlign w:val="superscript"/>
        </w:rPr>
        <w:t>th</w:t>
      </w:r>
      <w:r w:rsidRPr="5F516816">
        <w:rPr>
          <w:rFonts w:eastAsia="Aptos"/>
        </w:rPr>
        <w:t xml:space="preserve"> Century. In 1880, 90.8 percent of Texans lived and worked in rural areas, </w:t>
      </w:r>
      <w:r w:rsidR="005B6C3E">
        <w:rPr>
          <w:rFonts w:eastAsia="Aptos"/>
        </w:rPr>
        <w:t>which</w:t>
      </w:r>
      <w:r w:rsidRPr="5F516816">
        <w:rPr>
          <w:rFonts w:eastAsia="Aptos"/>
        </w:rPr>
        <w:t xml:space="preserve"> decreased</w:t>
      </w:r>
      <w:r w:rsidR="005B6C3E">
        <w:rPr>
          <w:rFonts w:eastAsia="Aptos"/>
        </w:rPr>
        <w:t xml:space="preserve"> slightly</w:t>
      </w:r>
      <w:r w:rsidRPr="5F516816">
        <w:rPr>
          <w:rFonts w:eastAsia="Aptos"/>
        </w:rPr>
        <w:t xml:space="preserve"> to 82.9 percent by 1900. The Lone Star State’s workforce was overwhelmingly dominated by small agricultural landholders during those early years.</w:t>
      </w:r>
    </w:p>
    <w:p w14:paraId="75918B71" w14:textId="539A0919" w:rsidR="19AB3C48" w:rsidRDefault="19AB3C48" w:rsidP="00CC2F17">
      <w:pPr>
        <w:pStyle w:val="BodyText"/>
      </w:pPr>
      <w:r w:rsidRPr="5F516816">
        <w:rPr>
          <w:rFonts w:eastAsia="Aptos"/>
        </w:rPr>
        <w:t>That began to change with the discovery of oil at Spindletop on Jan. 10, 1901, which created boomtowns and drove more native Texans – and recent immigrants – to settle in cities. By 1930, 41 percent of Texans lived in cities, and the population of Houston alone had jumped to 292,352. The increasing number of industries and professions created a diverse economy, but with the relative boom times of the 1920s, and a history in the state of minimalist government, little thought was given to the need for a state agency to address workforce issues. However, the Great Depression brought awareness to meeting this need in Texas.</w:t>
      </w:r>
    </w:p>
    <w:p w14:paraId="4835A92D" w14:textId="0AD834E7" w:rsidR="19AB3C48" w:rsidRDefault="19AB3C48" w:rsidP="0058568D">
      <w:pPr>
        <w:pStyle w:val="BodyText"/>
      </w:pPr>
      <w:r w:rsidRPr="5F516816">
        <w:rPr>
          <w:rFonts w:eastAsia="Aptos"/>
        </w:rPr>
        <w:t xml:space="preserve">In 1936, the Texas Legislature passed the Texas </w:t>
      </w:r>
      <w:r w:rsidRPr="0058568D">
        <w:rPr>
          <w:rFonts w:eastAsia="Aptos"/>
        </w:rPr>
        <w:t>Unemployment</w:t>
      </w:r>
      <w:r w:rsidRPr="5F516816">
        <w:rPr>
          <w:rFonts w:eastAsia="Aptos"/>
        </w:rPr>
        <w:t xml:space="preserve"> Compensation Act, establishing the Texas Unemployment Compensation Commission. This action was in response to the 1933 Wagner-Peyser Act, which created a federal-state system of employment offices, and the 1935 Social Security Act, which included a federal tax structure to fund it. The Commission was required by Wagner-Peyser to establish two divisions, the Unemployment Compensation Division and the Employment Services Division. The Commission was renamed the Texas Employment Commission in 1947, and finally, the Texas Workforce Commission in 1995.</w:t>
      </w:r>
    </w:p>
    <w:p w14:paraId="4A0BAB1C" w14:textId="2B121F0A" w:rsidR="19AB3C48" w:rsidRDefault="19AB3C48" w:rsidP="0058568D">
      <w:pPr>
        <w:pStyle w:val="BodyText"/>
      </w:pPr>
      <w:r w:rsidRPr="5F516816">
        <w:rPr>
          <w:rFonts w:eastAsia="Aptos"/>
        </w:rPr>
        <w:t>For several decades, TWC has been a driving force in connecting Texans with meaningful employment and shaping the state’s economic landscape. From its pivotal role in unemployment compensation and employment services, TWC has consistently adapted to the evolving needs of the Texas workforce. Over the years, TWC has launched many programs and initiatives to promote and support a workforce system that creates value and offers employers, families, individuals, and communities the opportunity to achieve and sustain economic prosperity.</w:t>
      </w:r>
    </w:p>
    <w:p w14:paraId="698B7E7F" w14:textId="5420FF36" w:rsidR="19AB3C48" w:rsidRPr="004B6688" w:rsidRDefault="19AB3C48" w:rsidP="008F5E69">
      <w:pPr>
        <w:pStyle w:val="BodyText"/>
        <w:rPr>
          <w:b/>
          <w:bCs/>
          <w:i/>
          <w:iCs/>
          <w:color w:val="002060"/>
        </w:rPr>
      </w:pPr>
      <w:r w:rsidRPr="004B6688">
        <w:rPr>
          <w:bCs/>
          <w:i/>
          <w:iCs/>
          <w:color w:val="002060"/>
        </w:rPr>
        <w:t>1913</w:t>
      </w:r>
    </w:p>
    <w:p w14:paraId="7325AA10" w14:textId="53AAE82A" w:rsidR="19AB3C48" w:rsidRDefault="19AB3C48" w:rsidP="0058568D">
      <w:pPr>
        <w:pStyle w:val="BodyText"/>
      </w:pPr>
      <w:r w:rsidRPr="5F516816">
        <w:rPr>
          <w:rFonts w:eastAsia="Aptos"/>
        </w:rPr>
        <w:t>Congress establishes the US Department of Labor (DOL) by combining the Bureau of Labor Statistics and the Department of Commerce and Labor. The newly established department began with a core mission to foster the welfare of working people, enhance working conditions, and improve employment opportunities.</w:t>
      </w:r>
    </w:p>
    <w:p w14:paraId="18EDBD9C" w14:textId="5F42047E" w:rsidR="19AB3C48" w:rsidRPr="00D53878" w:rsidRDefault="19AB3C48" w:rsidP="00D53878">
      <w:pPr>
        <w:pStyle w:val="BodyText"/>
        <w:rPr>
          <w:b/>
          <w:bCs/>
          <w:i/>
          <w:iCs/>
          <w:color w:val="002060"/>
        </w:rPr>
      </w:pPr>
      <w:r w:rsidRPr="00D53878">
        <w:rPr>
          <w:bCs/>
          <w:i/>
          <w:iCs/>
          <w:color w:val="002060"/>
        </w:rPr>
        <w:lastRenderedPageBreak/>
        <w:t>1933</w:t>
      </w:r>
    </w:p>
    <w:p w14:paraId="58F23D7D" w14:textId="713D7C7A" w:rsidR="19AB3C48" w:rsidRDefault="19AB3C48" w:rsidP="0058568D">
      <w:pPr>
        <w:pStyle w:val="BodyText"/>
      </w:pPr>
      <w:r w:rsidRPr="5F516816">
        <w:rPr>
          <w:rFonts w:eastAsia="Aptos"/>
        </w:rPr>
        <w:t xml:space="preserve">Congress passes the Wagner-Peyser Act to establish a federal-state system of public employment offices, known as </w:t>
      </w:r>
      <w:r w:rsidR="001E491C">
        <w:rPr>
          <w:rFonts w:eastAsia="Aptos"/>
        </w:rPr>
        <w:t xml:space="preserve">the </w:t>
      </w:r>
      <w:r w:rsidRPr="5F516816">
        <w:rPr>
          <w:rFonts w:eastAsia="Aptos"/>
        </w:rPr>
        <w:t xml:space="preserve">Employment Services </w:t>
      </w:r>
      <w:r w:rsidR="001E491C">
        <w:rPr>
          <w:rFonts w:eastAsia="Aptos"/>
        </w:rPr>
        <w:t xml:space="preserve">program, </w:t>
      </w:r>
      <w:r w:rsidRPr="5F516816">
        <w:rPr>
          <w:rFonts w:eastAsia="Aptos"/>
        </w:rPr>
        <w:t>and in 1935 the Social Security Act included a tax to stimulate passage of state unemployment insurance laws. A primary goal of the Employment Services</w:t>
      </w:r>
      <w:r w:rsidR="00490950">
        <w:rPr>
          <w:rFonts w:eastAsia="Aptos"/>
        </w:rPr>
        <w:t xml:space="preserve"> program</w:t>
      </w:r>
      <w:r w:rsidRPr="5F516816">
        <w:rPr>
          <w:rFonts w:eastAsia="Aptos"/>
        </w:rPr>
        <w:t xml:space="preserve"> is to ensure that job seekers and employers have universal access to basic labor exchange services by increasing employment opportunities </w:t>
      </w:r>
      <w:r w:rsidR="00FB42F0">
        <w:rPr>
          <w:rFonts w:eastAsia="Aptos"/>
        </w:rPr>
        <w:t>for</w:t>
      </w:r>
      <w:r w:rsidRPr="5F516816">
        <w:rPr>
          <w:rFonts w:eastAsia="Aptos"/>
        </w:rPr>
        <w:t xml:space="preserve"> all job seekers and help</w:t>
      </w:r>
      <w:r w:rsidR="00AA1569">
        <w:rPr>
          <w:rFonts w:eastAsia="Aptos"/>
        </w:rPr>
        <w:t>ing</w:t>
      </w:r>
      <w:r w:rsidRPr="5F516816">
        <w:rPr>
          <w:rFonts w:eastAsia="Aptos"/>
        </w:rPr>
        <w:t xml:space="preserve"> businesses meet their hiring needs.</w:t>
      </w:r>
    </w:p>
    <w:p w14:paraId="057E1DFE" w14:textId="558CB3BA" w:rsidR="19AB3C48" w:rsidRPr="00E628B6" w:rsidRDefault="19AB3C48" w:rsidP="00E628B6">
      <w:pPr>
        <w:pStyle w:val="BodyText"/>
        <w:rPr>
          <w:b/>
          <w:bCs/>
          <w:i/>
          <w:iCs/>
          <w:color w:val="002060"/>
        </w:rPr>
      </w:pPr>
      <w:r w:rsidRPr="00E628B6">
        <w:rPr>
          <w:bCs/>
          <w:i/>
          <w:iCs/>
          <w:color w:val="002060"/>
        </w:rPr>
        <w:t>1936</w:t>
      </w:r>
    </w:p>
    <w:p w14:paraId="095F6CF2" w14:textId="5EDD36D9" w:rsidR="19AB3C48" w:rsidRDefault="19AB3C48" w:rsidP="006D166E">
      <w:pPr>
        <w:pStyle w:val="BodyText"/>
      </w:pPr>
      <w:r w:rsidRPr="5F516816">
        <w:rPr>
          <w:rFonts w:eastAsia="Aptos"/>
        </w:rPr>
        <w:t>The Texas Legislature passes the Texas Unemployment Compensation Act which accepts the unemployment insurance provisions of the Social Security Act and establishes the Texas Unemployment Compensation Commission. The initial function of the Commission was to collect contributions from employers and make payment of benefits to unemployed</w:t>
      </w:r>
      <w:r w:rsidR="00AA5410">
        <w:rPr>
          <w:rFonts w:eastAsia="Aptos"/>
        </w:rPr>
        <w:t xml:space="preserve"> workers</w:t>
      </w:r>
      <w:r w:rsidRPr="5F516816">
        <w:rPr>
          <w:rFonts w:eastAsia="Aptos"/>
        </w:rPr>
        <w:t>.</w:t>
      </w:r>
    </w:p>
    <w:p w14:paraId="529D7AF6" w14:textId="7D057643" w:rsidR="19AB3C48" w:rsidRPr="003733BF" w:rsidRDefault="19AB3C48" w:rsidP="003733BF">
      <w:pPr>
        <w:pStyle w:val="BodyText"/>
        <w:rPr>
          <w:b/>
          <w:bCs/>
          <w:i/>
          <w:iCs/>
          <w:color w:val="002060"/>
        </w:rPr>
      </w:pPr>
      <w:r w:rsidRPr="003733BF">
        <w:rPr>
          <w:bCs/>
          <w:i/>
          <w:iCs/>
          <w:color w:val="002060"/>
        </w:rPr>
        <w:t>1947</w:t>
      </w:r>
    </w:p>
    <w:p w14:paraId="44D22BB1" w14:textId="19CDCBA0" w:rsidR="19AB3C48" w:rsidRDefault="19AB3C48" w:rsidP="006D166E">
      <w:pPr>
        <w:pStyle w:val="BodyText"/>
      </w:pPr>
      <w:r w:rsidRPr="5F516816">
        <w:rPr>
          <w:rFonts w:eastAsia="Aptos"/>
        </w:rPr>
        <w:t>The Texas Legislature renames the agency to the Texas Employment Commission (TEC).</w:t>
      </w:r>
    </w:p>
    <w:p w14:paraId="174181EB" w14:textId="4755B79D" w:rsidR="19AB3C48" w:rsidRPr="003733BF" w:rsidRDefault="19AB3C48" w:rsidP="003733BF">
      <w:pPr>
        <w:pStyle w:val="BodyText"/>
        <w:rPr>
          <w:b/>
          <w:bCs/>
          <w:i/>
          <w:iCs/>
          <w:color w:val="002060"/>
        </w:rPr>
      </w:pPr>
      <w:r w:rsidRPr="003733BF">
        <w:rPr>
          <w:bCs/>
          <w:i/>
          <w:iCs/>
          <w:color w:val="002060"/>
        </w:rPr>
        <w:t>1964</w:t>
      </w:r>
    </w:p>
    <w:p w14:paraId="71612B08" w14:textId="1A65E68C" w:rsidR="19AB3C48" w:rsidRDefault="19AB3C48" w:rsidP="006D166E">
      <w:pPr>
        <w:pStyle w:val="BodyText"/>
      </w:pPr>
      <w:r w:rsidRPr="5F516816">
        <w:rPr>
          <w:rFonts w:eastAsia="Aptos"/>
        </w:rPr>
        <w:t xml:space="preserve">Congress establishes the Equal Employment Opportunity </w:t>
      </w:r>
      <w:r w:rsidR="00E52582">
        <w:rPr>
          <w:rFonts w:eastAsia="Aptos"/>
        </w:rPr>
        <w:t xml:space="preserve">(EEO) </w:t>
      </w:r>
      <w:r w:rsidRPr="5F516816">
        <w:rPr>
          <w:rFonts w:eastAsia="Aptos"/>
        </w:rPr>
        <w:t>Commission created by Title VII of the Civil Rights Act of 1964. The EEO Commission enforces Title VII’s requirements for both private and federal sector employers.</w:t>
      </w:r>
    </w:p>
    <w:p w14:paraId="4EC45D87" w14:textId="565F6E18" w:rsidR="19AB3C48" w:rsidRPr="003733BF" w:rsidRDefault="19AB3C48" w:rsidP="003733BF">
      <w:pPr>
        <w:pStyle w:val="BodyText"/>
        <w:rPr>
          <w:b/>
          <w:bCs/>
          <w:i/>
          <w:iCs/>
          <w:color w:val="002060"/>
        </w:rPr>
      </w:pPr>
      <w:r w:rsidRPr="003733BF">
        <w:rPr>
          <w:bCs/>
          <w:i/>
          <w:iCs/>
          <w:color w:val="002060"/>
        </w:rPr>
        <w:t>1978</w:t>
      </w:r>
    </w:p>
    <w:p w14:paraId="3DE7F812" w14:textId="3A5A6B8B" w:rsidR="19AB3C48" w:rsidRDefault="19AB3C48" w:rsidP="006D166E">
      <w:pPr>
        <w:pStyle w:val="BodyText"/>
      </w:pPr>
      <w:r w:rsidRPr="5F516816">
        <w:rPr>
          <w:rFonts w:eastAsia="Aptos"/>
        </w:rPr>
        <w:t xml:space="preserve">HR 50, </w:t>
      </w:r>
      <w:r w:rsidRPr="00775946">
        <w:rPr>
          <w:rFonts w:eastAsia="Aptos"/>
        </w:rPr>
        <w:t>95th</w:t>
      </w:r>
      <w:r w:rsidRPr="5F516816">
        <w:rPr>
          <w:rFonts w:eastAsia="Aptos"/>
        </w:rPr>
        <w:t xml:space="preserve"> Congress, amended the Employment Act of 1946 instructing the nation to strive toward four goals: full employment, growth in production, price stability and balance of trade and budget. During this time, TEC’s Austin headquarters grew to 16 departments, 10 district offices, and 4,472 employees. 142 regional offices operated in other Texas cities and towns to assist job seekers and employers across the state.</w:t>
      </w:r>
    </w:p>
    <w:p w14:paraId="29FEF77B" w14:textId="06FC58F8" w:rsidR="19AB3C48" w:rsidRPr="003733BF" w:rsidRDefault="19AB3C48" w:rsidP="003733BF">
      <w:pPr>
        <w:pStyle w:val="BodyText"/>
        <w:rPr>
          <w:b/>
          <w:bCs/>
          <w:i/>
          <w:iCs/>
          <w:color w:val="002060"/>
        </w:rPr>
      </w:pPr>
      <w:r w:rsidRPr="003733BF">
        <w:rPr>
          <w:bCs/>
          <w:i/>
          <w:iCs/>
          <w:color w:val="002060"/>
        </w:rPr>
        <w:t>1983</w:t>
      </w:r>
    </w:p>
    <w:p w14:paraId="2649651A" w14:textId="16A5AB04" w:rsidR="19AB3C48" w:rsidRDefault="19AB3C48" w:rsidP="006D166E">
      <w:pPr>
        <w:pStyle w:val="BodyText"/>
        <w:rPr>
          <w:rFonts w:eastAsia="Aptos"/>
        </w:rPr>
      </w:pPr>
      <w:r w:rsidRPr="5F516816">
        <w:rPr>
          <w:rFonts w:eastAsia="Aptos"/>
        </w:rPr>
        <w:t xml:space="preserve">During the </w:t>
      </w:r>
      <w:r w:rsidRPr="001E6944">
        <w:rPr>
          <w:rFonts w:eastAsia="Aptos"/>
        </w:rPr>
        <w:t>68th</w:t>
      </w:r>
      <w:r w:rsidRPr="5F516816">
        <w:rPr>
          <w:rFonts w:eastAsia="Aptos"/>
        </w:rPr>
        <w:t xml:space="preserve"> Texas Legislative Session, the Sunset Advisory Commission reported that TEC operated in an efficient and effective manner and should continue with some recommended modifications, despite Texas Governor William Clements arguing for its abolishment. Recommendations included statutory changes to the policy-making structure, conflicts of interest policies, modification to the agency’s advisory council and establishing duties and functions of the agency’s executive director.</w:t>
      </w:r>
    </w:p>
    <w:p w14:paraId="7242791F" w14:textId="77777777" w:rsidR="000A1064" w:rsidRDefault="000A1064" w:rsidP="006D166E">
      <w:pPr>
        <w:pStyle w:val="BodyText"/>
      </w:pPr>
    </w:p>
    <w:p w14:paraId="7316586B" w14:textId="799F37BE" w:rsidR="19AB3C48" w:rsidRPr="003733BF" w:rsidRDefault="19AB3C48" w:rsidP="003733BF">
      <w:pPr>
        <w:pStyle w:val="BodyText"/>
        <w:rPr>
          <w:b/>
          <w:bCs/>
          <w:i/>
          <w:iCs/>
          <w:color w:val="002060"/>
        </w:rPr>
      </w:pPr>
      <w:r w:rsidRPr="003733BF">
        <w:rPr>
          <w:bCs/>
          <w:i/>
          <w:iCs/>
          <w:color w:val="002060"/>
        </w:rPr>
        <w:lastRenderedPageBreak/>
        <w:t>1995</w:t>
      </w:r>
    </w:p>
    <w:p w14:paraId="20D669B9" w14:textId="5213EB41" w:rsidR="19AB3C48" w:rsidRDefault="19AB3C48" w:rsidP="006D166E">
      <w:pPr>
        <w:pStyle w:val="BodyText"/>
      </w:pPr>
      <w:r w:rsidRPr="5F516816">
        <w:rPr>
          <w:rFonts w:eastAsia="Aptos"/>
        </w:rPr>
        <w:t xml:space="preserve">Numerous changes came about in June 1995 with the Texas Legislature passing HB 1863, effecting both workforce and welfare reform in the same legislation. This bill consolidated 28 workforce programs from ten other agencies into TWC. This action not only changed the name of the </w:t>
      </w:r>
      <w:r w:rsidR="00F711AF" w:rsidRPr="5F516816">
        <w:rPr>
          <w:rFonts w:eastAsia="Aptos"/>
        </w:rPr>
        <w:t>agency,</w:t>
      </w:r>
      <w:r w:rsidRPr="5F516816">
        <w:rPr>
          <w:rFonts w:eastAsia="Aptos"/>
        </w:rPr>
        <w:t xml:space="preserve"> but it also moved operational responsibility and funding from other entities such as: Job Training Partnership Act Employment Services, Unemployment Insurance, Temporary Assistance </w:t>
      </w:r>
      <w:r w:rsidR="00F711AF">
        <w:rPr>
          <w:rFonts w:eastAsia="Aptos"/>
        </w:rPr>
        <w:t>for</w:t>
      </w:r>
      <w:r w:rsidRPr="5F516816">
        <w:rPr>
          <w:rFonts w:eastAsia="Aptos"/>
        </w:rPr>
        <w:t xml:space="preserve"> Needy Families work program, Food Stamp Employment Training, Project RIO, and Welfare-to-Work program. Other actions included: the creation of Local Workforce Development Boards to oversee and plan programs for their local labor markets through contracted One-Stop Career Centers; and creating a Skills Development Fund program.</w:t>
      </w:r>
    </w:p>
    <w:p w14:paraId="1AC68F4A" w14:textId="0FC01E5B" w:rsidR="19AB3C48" w:rsidRPr="003733BF" w:rsidRDefault="19AB3C48" w:rsidP="003733BF">
      <w:pPr>
        <w:pStyle w:val="BodyText"/>
        <w:rPr>
          <w:b/>
          <w:bCs/>
          <w:i/>
          <w:iCs/>
          <w:color w:val="002060"/>
        </w:rPr>
      </w:pPr>
      <w:r w:rsidRPr="003733BF">
        <w:rPr>
          <w:bCs/>
          <w:i/>
          <w:iCs/>
          <w:color w:val="002060"/>
        </w:rPr>
        <w:t>1998</w:t>
      </w:r>
    </w:p>
    <w:p w14:paraId="3A7E1D9E" w14:textId="6134EBD0" w:rsidR="19AB3C48" w:rsidRDefault="19AB3C48" w:rsidP="006D166E">
      <w:pPr>
        <w:pStyle w:val="BodyText"/>
      </w:pPr>
      <w:r w:rsidRPr="5F516816">
        <w:rPr>
          <w:rFonts w:eastAsia="Aptos"/>
        </w:rPr>
        <w:t>Congress passes SB 1186, the Workforce Investment Act of 1998</w:t>
      </w:r>
      <w:r w:rsidR="00F711AF">
        <w:rPr>
          <w:rFonts w:eastAsia="Aptos"/>
        </w:rPr>
        <w:t>,</w:t>
      </w:r>
      <w:r w:rsidRPr="5F516816">
        <w:rPr>
          <w:rFonts w:eastAsia="Aptos"/>
        </w:rPr>
        <w:t xml:space="preserve"> establish</w:t>
      </w:r>
      <w:r w:rsidR="00F711AF">
        <w:rPr>
          <w:rFonts w:eastAsia="Aptos"/>
        </w:rPr>
        <w:t>ing</w:t>
      </w:r>
      <w:r w:rsidRPr="5F516816">
        <w:rPr>
          <w:rFonts w:eastAsia="Aptos"/>
        </w:rPr>
        <w:t xml:space="preserve"> a coordinated system of Federal aid programs for vocational education, adult education and job training at State and local levels. This helped to consolidate, coordinate and improve employment, training, literacy and vocational rehabilitation programs.  It emphasized state and local control over workforce development programs and increased accountability for program performance and outcomes.</w:t>
      </w:r>
    </w:p>
    <w:p w14:paraId="608C0756" w14:textId="2113F9F3" w:rsidR="19AB3C48" w:rsidRPr="003733BF" w:rsidRDefault="19AB3C48" w:rsidP="003733BF">
      <w:pPr>
        <w:pStyle w:val="BodyText"/>
        <w:rPr>
          <w:b/>
          <w:bCs/>
          <w:i/>
          <w:iCs/>
          <w:color w:val="002060"/>
        </w:rPr>
      </w:pPr>
      <w:r w:rsidRPr="003733BF">
        <w:rPr>
          <w:bCs/>
          <w:i/>
          <w:iCs/>
          <w:color w:val="002060"/>
        </w:rPr>
        <w:t>2003</w:t>
      </w:r>
    </w:p>
    <w:p w14:paraId="4A0A8B45" w14:textId="3BDAF57A" w:rsidR="19AB3C48" w:rsidRDefault="19AB3C48" w:rsidP="006D166E">
      <w:pPr>
        <w:pStyle w:val="BodyText"/>
      </w:pPr>
      <w:r w:rsidRPr="5F516816">
        <w:rPr>
          <w:rFonts w:eastAsia="Aptos"/>
        </w:rPr>
        <w:t xml:space="preserve">In 2003, TWC restructured the oversight and responsibility for Employment Services state staff. Under the “Texas Model,” TWC </w:t>
      </w:r>
      <w:r w:rsidR="00682F00">
        <w:rPr>
          <w:rFonts w:eastAsia="Aptos"/>
        </w:rPr>
        <w:t>transferred</w:t>
      </w:r>
      <w:r w:rsidRPr="5F516816">
        <w:rPr>
          <w:rFonts w:eastAsia="Aptos"/>
        </w:rPr>
        <w:t xml:space="preserve"> responsibility for the day-to-day direction and oversight of </w:t>
      </w:r>
      <w:r w:rsidR="36C65AF9" w:rsidRPr="04735EC3">
        <w:rPr>
          <w:rFonts w:eastAsia="Aptos"/>
        </w:rPr>
        <w:t xml:space="preserve">Employment </w:t>
      </w:r>
      <w:proofErr w:type="gramStart"/>
      <w:r w:rsidR="36C65AF9" w:rsidRPr="04735EC3">
        <w:rPr>
          <w:rFonts w:eastAsia="Aptos"/>
        </w:rPr>
        <w:t xml:space="preserve">Services </w:t>
      </w:r>
      <w:r w:rsidRPr="5F516816">
        <w:rPr>
          <w:rFonts w:eastAsia="Aptos"/>
        </w:rPr>
        <w:t xml:space="preserve"> staff</w:t>
      </w:r>
      <w:proofErr w:type="gramEnd"/>
      <w:r w:rsidRPr="5F516816">
        <w:rPr>
          <w:rFonts w:eastAsia="Aptos"/>
        </w:rPr>
        <w:t xml:space="preserve"> from the state to the Local Workforce Development Boards and their workforce service contractors. This change was made to better support an integrated workforce system.</w:t>
      </w:r>
    </w:p>
    <w:p w14:paraId="68B8968D" w14:textId="0576D831" w:rsidR="19AB3C48" w:rsidRPr="003733BF" w:rsidRDefault="19AB3C48" w:rsidP="003733BF">
      <w:pPr>
        <w:pStyle w:val="BodyText"/>
        <w:rPr>
          <w:b/>
          <w:bCs/>
          <w:i/>
          <w:iCs/>
          <w:color w:val="002060"/>
        </w:rPr>
      </w:pPr>
      <w:r w:rsidRPr="003733BF">
        <w:rPr>
          <w:bCs/>
          <w:i/>
          <w:iCs/>
          <w:color w:val="002060"/>
        </w:rPr>
        <w:t>2004</w:t>
      </w:r>
    </w:p>
    <w:p w14:paraId="56F9D191" w14:textId="5A082F12" w:rsidR="19AB3C48" w:rsidRDefault="19AB3C48" w:rsidP="006D166E">
      <w:pPr>
        <w:pStyle w:val="BodyText"/>
      </w:pPr>
      <w:r w:rsidRPr="5F516816">
        <w:rPr>
          <w:rFonts w:eastAsia="Aptos"/>
        </w:rPr>
        <w:t>As a result of the 2003 Sunset review, the Texas Legislature (HB 2933, 78R) transfer</w:t>
      </w:r>
      <w:r w:rsidR="00CC65F9">
        <w:rPr>
          <w:rFonts w:eastAsia="Aptos"/>
        </w:rPr>
        <w:t>red</w:t>
      </w:r>
      <w:r w:rsidRPr="5F516816">
        <w:rPr>
          <w:rFonts w:eastAsia="Aptos"/>
        </w:rPr>
        <w:t xml:space="preserve"> the powers and duties of the Texas Commission on Human Rights to TWC. The Civil Rights Division enforces state and federal laws by conducting investigations into employment and housing discrimination across the state.</w:t>
      </w:r>
    </w:p>
    <w:p w14:paraId="445EAE8F" w14:textId="172E999B" w:rsidR="03159DB5" w:rsidRDefault="03159DB5" w:rsidP="004075A7">
      <w:pPr>
        <w:pStyle w:val="BodyText"/>
      </w:pPr>
      <w:r w:rsidRPr="5DE2048D">
        <w:t>TWC has helped provide relief to residents of neighboring states in response to disasters. In 2005 TWC provided hurricane relief to workers and employers in Texas and Louisiana in the wake of Hurricanes Katrina and Rita, this included TWC assisting Louisiana taking unemployment insurance claims so that those impacted by job losses caused by the disaster could begin receiving benefits sooner than they otherwise would have.</w:t>
      </w:r>
    </w:p>
    <w:p w14:paraId="119D2068" w14:textId="77777777" w:rsidR="000A1064" w:rsidRDefault="000A1064" w:rsidP="004075A7">
      <w:pPr>
        <w:pStyle w:val="BodyText"/>
      </w:pPr>
    </w:p>
    <w:p w14:paraId="5B6823B3" w14:textId="77777777" w:rsidR="000A1064" w:rsidRDefault="000A1064" w:rsidP="004075A7">
      <w:pPr>
        <w:pStyle w:val="BodyText"/>
      </w:pPr>
    </w:p>
    <w:p w14:paraId="4872DE7F" w14:textId="77777777" w:rsidR="00953F16" w:rsidRPr="003733BF" w:rsidRDefault="00953F16" w:rsidP="003733BF">
      <w:pPr>
        <w:pStyle w:val="BodyText"/>
        <w:rPr>
          <w:b/>
          <w:bCs/>
          <w:i/>
          <w:iCs/>
          <w:color w:val="002060"/>
        </w:rPr>
      </w:pPr>
      <w:r w:rsidRPr="003733BF">
        <w:rPr>
          <w:bCs/>
          <w:i/>
          <w:iCs/>
          <w:color w:val="002060"/>
        </w:rPr>
        <w:lastRenderedPageBreak/>
        <w:t>2006</w:t>
      </w:r>
    </w:p>
    <w:p w14:paraId="6CAAA020" w14:textId="5E4E6E25" w:rsidR="000E49C1" w:rsidRDefault="00CF40D8" w:rsidP="00EC0B03">
      <w:pPr>
        <w:pStyle w:val="BodyText"/>
      </w:pPr>
      <w:r>
        <w:t>The state’s unemployment</w:t>
      </w:r>
      <w:r w:rsidR="009258FE">
        <w:t xml:space="preserve"> </w:t>
      </w:r>
      <w:r w:rsidR="002B6BAD">
        <w:t>compensation system</w:t>
      </w:r>
      <w:r w:rsidR="00ED41F8">
        <w:t xml:space="preserve"> experienced an unprecedented year with respect to the number of claims and benefit payouts.</w:t>
      </w:r>
      <w:r w:rsidR="001D0861">
        <w:t xml:space="preserve"> </w:t>
      </w:r>
      <w:r w:rsidR="6191B060">
        <w:t>T</w:t>
      </w:r>
      <w:r w:rsidR="001D0861">
        <w:t xml:space="preserve">he national economic recession along with </w:t>
      </w:r>
      <w:r w:rsidR="001463CC">
        <w:t xml:space="preserve">disaster unemployment resulting from </w:t>
      </w:r>
      <w:r w:rsidR="00012EE5">
        <w:t>H</w:t>
      </w:r>
      <w:r w:rsidR="001463CC">
        <w:t>urricanes Dolly and Ike</w:t>
      </w:r>
      <w:r w:rsidR="616E0A0D">
        <w:t xml:space="preserve"> resulted in a spike in unemployment claims.</w:t>
      </w:r>
    </w:p>
    <w:p w14:paraId="65B92103" w14:textId="7A248B75" w:rsidR="00EC0B03" w:rsidRDefault="000E49C1" w:rsidP="00EC0B03">
      <w:pPr>
        <w:pStyle w:val="BodyText"/>
      </w:pPr>
      <w:r>
        <w:t xml:space="preserve">Also, during this </w:t>
      </w:r>
      <w:r w:rsidR="00DA7C45">
        <w:t>time, t</w:t>
      </w:r>
      <w:r w:rsidR="658BEEC6">
        <w:t>he partnership for local service delivery between the state’s 28 workforce development boards an</w:t>
      </w:r>
      <w:r w:rsidR="5305A2B3">
        <w:t>d</w:t>
      </w:r>
      <w:r w:rsidR="658BEEC6">
        <w:t xml:space="preserve"> T</w:t>
      </w:r>
      <w:r w:rsidR="129AA9A9">
        <w:t>W</w:t>
      </w:r>
      <w:r w:rsidR="658BEEC6">
        <w:t>C is formally given the name T</w:t>
      </w:r>
      <w:r w:rsidR="0DC23B9D">
        <w:t>e</w:t>
      </w:r>
      <w:r w:rsidR="658BEEC6">
        <w:t xml:space="preserve">xas </w:t>
      </w:r>
      <w:r w:rsidR="4433036D">
        <w:t>W</w:t>
      </w:r>
      <w:r w:rsidR="658BEEC6">
        <w:t>orkfor</w:t>
      </w:r>
      <w:r w:rsidR="74C0C0C7">
        <w:t>c</w:t>
      </w:r>
      <w:r w:rsidR="658BEEC6">
        <w:t xml:space="preserve">e </w:t>
      </w:r>
      <w:proofErr w:type="gramStart"/>
      <w:r w:rsidR="658BEEC6">
        <w:t>Solut</w:t>
      </w:r>
      <w:r w:rsidR="0AEF985E">
        <w:t>i</w:t>
      </w:r>
      <w:r w:rsidR="658BEEC6">
        <w:t>on</w:t>
      </w:r>
      <w:r w:rsidR="09281CC9">
        <w:t>s</w:t>
      </w:r>
      <w:proofErr w:type="gramEnd"/>
      <w:r w:rsidR="658BEEC6">
        <w:t xml:space="preserve"> and e</w:t>
      </w:r>
      <w:r w:rsidR="7E502DFE">
        <w:t>a</w:t>
      </w:r>
      <w:r w:rsidR="658BEEC6">
        <w:t>ch region adopts the name.</w:t>
      </w:r>
    </w:p>
    <w:p w14:paraId="49C258E9" w14:textId="388C84B3" w:rsidR="00EC0B03" w:rsidRPr="003733BF" w:rsidRDefault="00AB0F28" w:rsidP="003733BF">
      <w:pPr>
        <w:pStyle w:val="BodyText"/>
        <w:rPr>
          <w:b/>
          <w:bCs/>
          <w:i/>
          <w:iCs/>
          <w:color w:val="002060"/>
        </w:rPr>
      </w:pPr>
      <w:r w:rsidRPr="003733BF">
        <w:rPr>
          <w:bCs/>
          <w:i/>
          <w:iCs/>
          <w:color w:val="002060"/>
        </w:rPr>
        <w:t>2013</w:t>
      </w:r>
    </w:p>
    <w:p w14:paraId="27AA4045" w14:textId="2C1E96D7" w:rsidR="4478D8D4" w:rsidRDefault="4478D8D4" w:rsidP="4EE878CE">
      <w:pPr>
        <w:pStyle w:val="BodyText"/>
      </w:pPr>
      <w:r w:rsidRPr="4EE878CE">
        <w:t>The 83rd Texas Legislature enacted SB 307 which transferred the Adult Education and Literacy program from the T</w:t>
      </w:r>
      <w:r w:rsidR="00FB5B93">
        <w:t>EA</w:t>
      </w:r>
      <w:r w:rsidRPr="4EE878CE">
        <w:t xml:space="preserve"> to TWC.</w:t>
      </w:r>
    </w:p>
    <w:p w14:paraId="674168BB" w14:textId="508A53AE" w:rsidR="19AB3C48" w:rsidRPr="003733BF" w:rsidRDefault="19AB3C48" w:rsidP="003733BF">
      <w:pPr>
        <w:pStyle w:val="BodyText"/>
        <w:rPr>
          <w:b/>
          <w:bCs/>
          <w:i/>
          <w:iCs/>
          <w:color w:val="002060"/>
        </w:rPr>
      </w:pPr>
      <w:r w:rsidRPr="003733BF">
        <w:rPr>
          <w:bCs/>
          <w:i/>
          <w:iCs/>
          <w:color w:val="002060"/>
        </w:rPr>
        <w:t xml:space="preserve">2014 </w:t>
      </w:r>
    </w:p>
    <w:p w14:paraId="5F3660F8" w14:textId="49433D5A" w:rsidR="19AB3C48" w:rsidRDefault="1345489A" w:rsidP="006D166E">
      <w:pPr>
        <w:pStyle w:val="BodyText"/>
      </w:pPr>
      <w:r w:rsidRPr="0BE338CC">
        <w:rPr>
          <w:rFonts w:eastAsia="Aptos"/>
        </w:rPr>
        <w:t>The U.S. Congress passed HR 803 which amended the Workforce Investment Act of 1998 to create the Workforce Innovation and Opportunity Act which reauthorized federal workforce programs and sought to achieve system alignment and state flexibility within those programs. The U.S. Congress also passed HR 2642 which reauthorized the SNAP including the SNAP Employment and Training program administered by TWC. Congress also enacted S</w:t>
      </w:r>
      <w:r w:rsidR="1AFF93E8" w:rsidRPr="0BE338CC">
        <w:rPr>
          <w:rFonts w:eastAsia="Aptos"/>
        </w:rPr>
        <w:t>B</w:t>
      </w:r>
      <w:r w:rsidRPr="0BE338CC">
        <w:rPr>
          <w:rFonts w:eastAsia="Aptos"/>
        </w:rPr>
        <w:t xml:space="preserve"> 1086, which amended the Child Care Development Block Grant to enhance parent</w:t>
      </w:r>
      <w:r w:rsidR="00D05806">
        <w:rPr>
          <w:rFonts w:eastAsia="Aptos"/>
        </w:rPr>
        <w:t>a</w:t>
      </w:r>
      <w:r w:rsidRPr="0BE338CC">
        <w:rPr>
          <w:rFonts w:eastAsia="Aptos"/>
        </w:rPr>
        <w:t xml:space="preserve">l choice, strengthen safety in </w:t>
      </w:r>
      <w:proofErr w:type="gramStart"/>
      <w:r w:rsidRPr="0BE338CC">
        <w:rPr>
          <w:rFonts w:eastAsia="Aptos"/>
        </w:rPr>
        <w:t>child care</w:t>
      </w:r>
      <w:proofErr w:type="gramEnd"/>
      <w:r w:rsidRPr="0BE338CC">
        <w:rPr>
          <w:rFonts w:eastAsia="Aptos"/>
        </w:rPr>
        <w:t xml:space="preserve"> settings and established state level reserve funding to promote high-quality child care.</w:t>
      </w:r>
    </w:p>
    <w:p w14:paraId="2D39DB95" w14:textId="5FA4DE12" w:rsidR="19AB3C48" w:rsidRPr="003733BF" w:rsidRDefault="19AB3C48" w:rsidP="003733BF">
      <w:pPr>
        <w:pStyle w:val="BodyText"/>
        <w:rPr>
          <w:b/>
          <w:bCs/>
          <w:i/>
          <w:iCs/>
          <w:color w:val="002060"/>
        </w:rPr>
      </w:pPr>
      <w:r w:rsidRPr="003733BF">
        <w:rPr>
          <w:bCs/>
          <w:i/>
          <w:iCs/>
          <w:color w:val="002060"/>
        </w:rPr>
        <w:t>2016</w:t>
      </w:r>
    </w:p>
    <w:p w14:paraId="6646E31A" w14:textId="77A14E36" w:rsidR="19AB3C48" w:rsidRDefault="19AB3C48" w:rsidP="00662EDD">
      <w:pPr>
        <w:pStyle w:val="BodyText"/>
      </w:pPr>
      <w:r w:rsidRPr="5F516816">
        <w:rPr>
          <w:rFonts w:eastAsia="Aptos"/>
        </w:rPr>
        <w:t xml:space="preserve">As a result of the 2015 Sunset review, the Texas Legislature transfers the functions of the Department of Assistive and Rehabilitative Services (DARS) and Texas Council on Purchasing from People with Disabilities to TWC. Governor Greg Abbott establishes the Tri-Agency Workforce Initiative when he tasked the Commissioners of the TEA, THECB, and </w:t>
      </w:r>
      <w:r w:rsidR="204122B1" w:rsidRPr="638D6F3A">
        <w:rPr>
          <w:rFonts w:eastAsia="Aptos"/>
        </w:rPr>
        <w:t>TWC</w:t>
      </w:r>
      <w:r w:rsidRPr="5F516816">
        <w:rPr>
          <w:rFonts w:eastAsia="Aptos"/>
        </w:rPr>
        <w:t xml:space="preserve"> to work together on five initial charges centered on developing strong links between education and industry.</w:t>
      </w:r>
    </w:p>
    <w:p w14:paraId="1364F4E0" w14:textId="53FCB9F9" w:rsidR="19AB3C48" w:rsidRDefault="19AB3C48" w:rsidP="00662EDD">
      <w:pPr>
        <w:pStyle w:val="BodyText"/>
      </w:pPr>
      <w:r w:rsidRPr="5F516816">
        <w:rPr>
          <w:rFonts w:eastAsia="Aptos"/>
        </w:rPr>
        <w:t xml:space="preserve">With the passing of HB 3062 84R, the Texas Legislature transferred the Jobs and Education for Texans (JET) grant program from the Texas Comptroller of Public Accounts to </w:t>
      </w:r>
      <w:r w:rsidR="5FB3B669" w:rsidRPr="638D6F3A">
        <w:rPr>
          <w:rFonts w:eastAsia="Aptos"/>
        </w:rPr>
        <w:t>TWC</w:t>
      </w:r>
      <w:r w:rsidRPr="638D6F3A">
        <w:rPr>
          <w:rFonts w:eastAsia="Aptos"/>
        </w:rPr>
        <w:t>.</w:t>
      </w:r>
      <w:r w:rsidRPr="5F516816">
        <w:rPr>
          <w:rFonts w:eastAsia="Aptos"/>
        </w:rPr>
        <w:t xml:space="preserve"> The JET program provides grants to buy and install equipment for career and technical education courses.</w:t>
      </w:r>
    </w:p>
    <w:p w14:paraId="35AC3C5A" w14:textId="432EB410" w:rsidR="19AB3C48" w:rsidRPr="003733BF" w:rsidRDefault="19AB3C48" w:rsidP="003733BF">
      <w:pPr>
        <w:pStyle w:val="BodyText"/>
        <w:rPr>
          <w:b/>
          <w:bCs/>
          <w:i/>
          <w:iCs/>
          <w:color w:val="002060"/>
        </w:rPr>
      </w:pPr>
      <w:r w:rsidRPr="003733BF">
        <w:rPr>
          <w:bCs/>
          <w:i/>
          <w:iCs/>
          <w:color w:val="002060"/>
        </w:rPr>
        <w:t>2017</w:t>
      </w:r>
    </w:p>
    <w:p w14:paraId="0C6BD635" w14:textId="392D4827" w:rsidR="19AB3C48" w:rsidRDefault="19AB3C48" w:rsidP="00662EDD">
      <w:pPr>
        <w:pStyle w:val="BodyText"/>
        <w:rPr>
          <w:rFonts w:eastAsia="Aptos"/>
        </w:rPr>
      </w:pPr>
      <w:r w:rsidRPr="5F516816">
        <w:rPr>
          <w:rFonts w:eastAsia="Aptos"/>
        </w:rPr>
        <w:t xml:space="preserve">The </w:t>
      </w:r>
      <w:r w:rsidRPr="0002740E">
        <w:rPr>
          <w:rFonts w:eastAsia="Aptos"/>
        </w:rPr>
        <w:t>85th</w:t>
      </w:r>
      <w:r w:rsidRPr="5F516816">
        <w:rPr>
          <w:rFonts w:eastAsia="Aptos"/>
        </w:rPr>
        <w:t xml:space="preserve"> Texas Legislature enacted several measures significantly impacting TWC programs.  HB 2431 by Rep. Deshotel expanded the Jobs and Education for Texans program to include public state colleges as eligible educational institutions under the </w:t>
      </w:r>
      <w:r w:rsidRPr="5F516816">
        <w:rPr>
          <w:rFonts w:eastAsia="Aptos"/>
        </w:rPr>
        <w:lastRenderedPageBreak/>
        <w:t>program.  HB 2443 by Rep. Mary Gonzales allowed TWC to begin accepting the filing of claims for unpaid wages under the Texas Payday Law electronically. HB 108 by Rep. Alvarado expanded the Skills Development Program to authorize its use to provide rapid response to, and support services for, employers expanding or relocating their operations to Texas.</w:t>
      </w:r>
    </w:p>
    <w:p w14:paraId="7623E78F" w14:textId="5791DC8C" w:rsidR="00235016" w:rsidRDefault="00B37BA8" w:rsidP="00235016">
      <w:pPr>
        <w:pStyle w:val="BodyText"/>
      </w:pPr>
      <w:r>
        <w:t xml:space="preserve">TWC </w:t>
      </w:r>
      <w:r w:rsidR="1D1070EC">
        <w:t xml:space="preserve">responded to </w:t>
      </w:r>
      <w:r w:rsidR="00235016">
        <w:t>Hurricane Harvey</w:t>
      </w:r>
      <w:r w:rsidR="6C9744F4">
        <w:t>’s</w:t>
      </w:r>
      <w:r w:rsidR="00235016">
        <w:t xml:space="preserve"> </w:t>
      </w:r>
      <w:r w:rsidR="00CF3A48">
        <w:t xml:space="preserve">impact on the </w:t>
      </w:r>
      <w:r w:rsidR="00235016">
        <w:t>Texas Coast</w:t>
      </w:r>
      <w:r w:rsidR="00CF3A48">
        <w:t xml:space="preserve">. </w:t>
      </w:r>
      <w:r w:rsidR="00235016">
        <w:t xml:space="preserve">TWC was in communication with the U.S. Department of Labor (DOL) regarding the agency’s needs to respond to the storm and potential National Dislocated Worker Grant Funding.  TWC </w:t>
      </w:r>
      <w:r w:rsidR="37B77D3C">
        <w:t>was</w:t>
      </w:r>
      <w:r w:rsidR="00235016">
        <w:t xml:space="preserve"> prepar</w:t>
      </w:r>
      <w:r w:rsidR="00F60BE8">
        <w:t>ed</w:t>
      </w:r>
      <w:r w:rsidR="00235016">
        <w:t xml:space="preserve"> to begin accepting </w:t>
      </w:r>
      <w:r w:rsidR="00F60BE8">
        <w:t xml:space="preserve">UI claims and Disaster Unemployment Assistance </w:t>
      </w:r>
      <w:r w:rsidR="00235016">
        <w:t xml:space="preserve">immediately following Harvey’s landfall for individuals who were unemployed because of the storm. </w:t>
      </w:r>
      <w:r w:rsidR="00EB391C">
        <w:t xml:space="preserve">A </w:t>
      </w:r>
      <w:r w:rsidR="00235016">
        <w:t xml:space="preserve">telephone hotline </w:t>
      </w:r>
      <w:r w:rsidR="00EB391C">
        <w:t xml:space="preserve">was </w:t>
      </w:r>
      <w:proofErr w:type="gramStart"/>
      <w:r w:rsidR="00EB391C">
        <w:t>created</w:t>
      </w:r>
      <w:proofErr w:type="gramEnd"/>
      <w:r w:rsidR="00EB391C">
        <w:t xml:space="preserve"> and</w:t>
      </w:r>
      <w:r w:rsidR="00235016">
        <w:t xml:space="preserve"> additional customer service representatives </w:t>
      </w:r>
      <w:r w:rsidR="000263CD">
        <w:t xml:space="preserve">were hired to </w:t>
      </w:r>
      <w:r w:rsidR="00235016">
        <w:t xml:space="preserve">handle the additional claims volume. </w:t>
      </w:r>
    </w:p>
    <w:p w14:paraId="55357A19" w14:textId="0E8031AF" w:rsidR="00235016" w:rsidRDefault="773C70E0" w:rsidP="00235016">
      <w:pPr>
        <w:pStyle w:val="BodyText"/>
      </w:pPr>
      <w:r>
        <w:t>By</w:t>
      </w:r>
      <w:r w:rsidR="00235016">
        <w:t xml:space="preserve"> </w:t>
      </w:r>
      <w:r w:rsidR="00B11D3B">
        <w:t xml:space="preserve">August </w:t>
      </w:r>
      <w:r w:rsidR="00235016">
        <w:t>2018, TWC ha</w:t>
      </w:r>
      <w:r w:rsidR="61FADFBD">
        <w:t>d</w:t>
      </w:r>
      <w:r w:rsidR="00235016">
        <w:t xml:space="preserve"> taken 143,0</w:t>
      </w:r>
      <w:r w:rsidR="006C506C">
        <w:t>75</w:t>
      </w:r>
      <w:r w:rsidR="00235016">
        <w:t xml:space="preserve"> regular disaster-related UI claims and 26,</w:t>
      </w:r>
      <w:r w:rsidR="002401FF">
        <w:t>372</w:t>
      </w:r>
      <w:r w:rsidR="00235016">
        <w:t xml:space="preserve"> DUA claims</w:t>
      </w:r>
      <w:r w:rsidR="0063199C">
        <w:t>.</w:t>
      </w:r>
      <w:r w:rsidR="00235016">
        <w:t xml:space="preserve"> TWC paid </w:t>
      </w:r>
      <w:r w:rsidR="0025082C">
        <w:t xml:space="preserve">approximately </w:t>
      </w:r>
      <w:r w:rsidR="00235016">
        <w:t>$1</w:t>
      </w:r>
      <w:r w:rsidR="00865696">
        <w:t>76.5</w:t>
      </w:r>
      <w:r w:rsidR="00235016">
        <w:t xml:space="preserve"> million in disaster-impacted UI benefits</w:t>
      </w:r>
      <w:r w:rsidR="75A9C900">
        <w:t>, including</w:t>
      </w:r>
      <w:r w:rsidR="00235016">
        <w:t xml:space="preserve"> $</w:t>
      </w:r>
      <w:r w:rsidR="00DE21F7">
        <w:t>153.6</w:t>
      </w:r>
      <w:r w:rsidR="00235016">
        <w:t xml:space="preserve"> million in regular UI benefits and </w:t>
      </w:r>
      <w:r w:rsidR="757CC0F8">
        <w:t xml:space="preserve">over </w:t>
      </w:r>
      <w:r w:rsidR="3C92C433">
        <w:t>$</w:t>
      </w:r>
      <w:r w:rsidR="00874179">
        <w:t>22.9</w:t>
      </w:r>
      <w:r w:rsidR="00235016">
        <w:t xml:space="preserve"> million </w:t>
      </w:r>
      <w:r w:rsidR="00464CDC">
        <w:t>in</w:t>
      </w:r>
      <w:r w:rsidR="00235016">
        <w:t xml:space="preserve"> federal DUA claims.  In comparison, TWC paid out almost $2.6 billion in </w:t>
      </w:r>
      <w:r w:rsidR="008A7F92">
        <w:t>r</w:t>
      </w:r>
      <w:r w:rsidR="00235016">
        <w:t xml:space="preserve">egular UI benefits in </w:t>
      </w:r>
      <w:r w:rsidR="005812C9">
        <w:t xml:space="preserve">calendar year </w:t>
      </w:r>
      <w:r w:rsidR="00235016">
        <w:t>2017.</w:t>
      </w:r>
    </w:p>
    <w:p w14:paraId="7CD4EA4E" w14:textId="0BC8D804" w:rsidR="19AB3C48" w:rsidRPr="003733BF" w:rsidRDefault="19AB3C48" w:rsidP="003733BF">
      <w:pPr>
        <w:pStyle w:val="BodyText"/>
        <w:rPr>
          <w:b/>
          <w:bCs/>
          <w:i/>
          <w:iCs/>
          <w:color w:val="002060"/>
        </w:rPr>
      </w:pPr>
      <w:r w:rsidRPr="003733BF">
        <w:rPr>
          <w:bCs/>
          <w:i/>
          <w:iCs/>
          <w:color w:val="002060"/>
        </w:rPr>
        <w:t>2019</w:t>
      </w:r>
    </w:p>
    <w:p w14:paraId="28D99395" w14:textId="177558D0" w:rsidR="19AB3C48" w:rsidRDefault="19AB3C48" w:rsidP="00662EDD">
      <w:pPr>
        <w:pStyle w:val="BodyText"/>
      </w:pPr>
      <w:r w:rsidRPr="5F516816">
        <w:rPr>
          <w:rFonts w:eastAsia="Aptos"/>
        </w:rPr>
        <w:t xml:space="preserve">The </w:t>
      </w:r>
      <w:r w:rsidRPr="00F32AC7">
        <w:rPr>
          <w:rFonts w:eastAsia="Aptos"/>
        </w:rPr>
        <w:t>86th</w:t>
      </w:r>
      <w:r w:rsidRPr="5F516816">
        <w:rPr>
          <w:rFonts w:eastAsia="Aptos"/>
        </w:rPr>
        <w:t xml:space="preserve"> Texas Legislature enacted the following provisions impacting TWC programs and services:</w:t>
      </w:r>
    </w:p>
    <w:p w14:paraId="59F1FFD3" w14:textId="56A445D7" w:rsidR="19AB3C48" w:rsidRDefault="19AB3C48" w:rsidP="00662EDD">
      <w:pPr>
        <w:pStyle w:val="BodyText"/>
      </w:pPr>
      <w:r w:rsidRPr="5F516816">
        <w:rPr>
          <w:rFonts w:eastAsia="Aptos" w:cs="Aptos"/>
        </w:rPr>
        <w:t xml:space="preserve">HB 1949 by Rep. Guillen required that </w:t>
      </w:r>
      <w:r w:rsidR="008AC476" w:rsidRPr="638D6F3A">
        <w:rPr>
          <w:rFonts w:eastAsia="Aptos" w:cs="Aptos"/>
        </w:rPr>
        <w:t>TWC</w:t>
      </w:r>
      <w:r w:rsidRPr="5F516816">
        <w:rPr>
          <w:rFonts w:eastAsia="Aptos" w:cs="Aptos"/>
        </w:rPr>
        <w:t xml:space="preserve"> approve the award of Adult Education and Literacy program performance incentive funding </w:t>
      </w:r>
      <w:r w:rsidR="009B6C2D">
        <w:rPr>
          <w:rFonts w:eastAsia="Aptos" w:cs="Aptos"/>
        </w:rPr>
        <w:t>and</w:t>
      </w:r>
      <w:r w:rsidRPr="5F516816">
        <w:rPr>
          <w:rFonts w:eastAsia="Aptos" w:cs="Aptos"/>
        </w:rPr>
        <w:t xml:space="preserve"> established the parameters required to be included in the considerations </w:t>
      </w:r>
      <w:r w:rsidR="009B6C2D">
        <w:rPr>
          <w:rFonts w:eastAsia="Aptos" w:cs="Aptos"/>
        </w:rPr>
        <w:t>for</w:t>
      </w:r>
      <w:r w:rsidRPr="5F516816">
        <w:rPr>
          <w:rFonts w:eastAsia="Aptos" w:cs="Aptos"/>
        </w:rPr>
        <w:t xml:space="preserve"> such funding.</w:t>
      </w:r>
    </w:p>
    <w:p w14:paraId="0C0E0184" w14:textId="6184B9A1" w:rsidR="19AB3C48" w:rsidRDefault="19AB3C48" w:rsidP="00662EDD">
      <w:pPr>
        <w:pStyle w:val="BodyText"/>
      </w:pPr>
      <w:r w:rsidRPr="5F516816">
        <w:rPr>
          <w:rFonts w:eastAsia="Aptos" w:cs="Aptos"/>
        </w:rPr>
        <w:t xml:space="preserve">HB 2784 by Rep. Phelan directed TWC to establish the Texas Industrial Workforce Apprenticeship Grant program to focus on the state’s immediate industrial workforce needs. </w:t>
      </w:r>
    </w:p>
    <w:p w14:paraId="3AFAC6C1" w14:textId="4B544DDF" w:rsidR="19AB3C48" w:rsidRDefault="19AB3C48" w:rsidP="00662EDD">
      <w:pPr>
        <w:pStyle w:val="BodyText"/>
      </w:pPr>
      <w:r w:rsidRPr="5F516816">
        <w:rPr>
          <w:rFonts w:eastAsia="Aptos" w:cs="Aptos"/>
        </w:rPr>
        <w:t>HB 700 by Rep. Guillen expanded the list of entities eligible to apply for funding from the Skills Development Fund to include Local Workforce Development Boards.</w:t>
      </w:r>
    </w:p>
    <w:p w14:paraId="0727A434" w14:textId="0DE06265" w:rsidR="19AB3C48" w:rsidRDefault="19AB3C48" w:rsidP="00662EDD">
      <w:pPr>
        <w:pStyle w:val="BodyText"/>
      </w:pPr>
      <w:r w:rsidRPr="5F516816">
        <w:rPr>
          <w:rFonts w:eastAsia="Aptos" w:cs="Aptos"/>
        </w:rPr>
        <w:t xml:space="preserve">HB 753 by Sen. Huffman required TWC </w:t>
      </w:r>
      <w:r w:rsidR="00514664">
        <w:rPr>
          <w:rFonts w:eastAsia="Aptos" w:cs="Aptos"/>
        </w:rPr>
        <w:t xml:space="preserve">to </w:t>
      </w:r>
      <w:r w:rsidRPr="5F516816">
        <w:rPr>
          <w:rFonts w:eastAsia="Aptos" w:cs="Aptos"/>
        </w:rPr>
        <w:t xml:space="preserve">assist Community Rehabilitation Programs participating </w:t>
      </w:r>
      <w:r w:rsidR="00514664">
        <w:rPr>
          <w:rFonts w:eastAsia="Aptos" w:cs="Aptos"/>
        </w:rPr>
        <w:t>in</w:t>
      </w:r>
      <w:r w:rsidRPr="5F516816">
        <w:rPr>
          <w:rFonts w:eastAsia="Aptos" w:cs="Aptos"/>
        </w:rPr>
        <w:t xml:space="preserve"> the Purchasing from People with Disabilities program to increase wages to the minimum wage.</w:t>
      </w:r>
    </w:p>
    <w:p w14:paraId="2E3CF763" w14:textId="4B93ECC4" w:rsidR="19AB3C48" w:rsidRDefault="19AB3C48" w:rsidP="00662EDD">
      <w:pPr>
        <w:pStyle w:val="BodyText"/>
      </w:pPr>
      <w:r w:rsidRPr="5F516816">
        <w:rPr>
          <w:rFonts w:eastAsia="Aptos" w:cs="Aptos"/>
        </w:rPr>
        <w:t>SB 105 by Sen. Zaffirini required TWC to establish the Workforce Diploma Pilot Program in consultation with TEA.</w:t>
      </w:r>
    </w:p>
    <w:p w14:paraId="4D280339" w14:textId="50F986B0" w:rsidR="19AB3C48" w:rsidRPr="003733BF" w:rsidRDefault="19AB3C48" w:rsidP="003733BF">
      <w:pPr>
        <w:pStyle w:val="BodyText"/>
        <w:rPr>
          <w:b/>
          <w:bCs/>
          <w:i/>
          <w:iCs/>
          <w:color w:val="002060"/>
        </w:rPr>
      </w:pPr>
      <w:r w:rsidRPr="003733BF">
        <w:rPr>
          <w:bCs/>
          <w:i/>
          <w:iCs/>
          <w:color w:val="002060"/>
        </w:rPr>
        <w:t>2020</w:t>
      </w:r>
    </w:p>
    <w:p w14:paraId="28195278" w14:textId="15582F6F" w:rsidR="00F75C92" w:rsidRPr="008E32F9" w:rsidRDefault="00F75C92" w:rsidP="7C43455B">
      <w:pPr>
        <w:pStyle w:val="BodyText"/>
      </w:pPr>
      <w:r w:rsidRPr="38474609">
        <w:rPr>
          <w:rFonts w:eastAsia="Aptos"/>
        </w:rPr>
        <w:t xml:space="preserve">During the first </w:t>
      </w:r>
      <w:r w:rsidR="58023A42" w:rsidRPr="38474609">
        <w:rPr>
          <w:rFonts w:eastAsia="Aptos"/>
        </w:rPr>
        <w:t>two</w:t>
      </w:r>
      <w:r w:rsidRPr="38474609">
        <w:rPr>
          <w:rFonts w:eastAsia="Aptos"/>
        </w:rPr>
        <w:t xml:space="preserve"> months of the COVID-19 pandemic, March and April 2020, the Texas economy shed </w:t>
      </w:r>
      <w:r w:rsidR="00732288">
        <w:rPr>
          <w:rFonts w:eastAsia="Aptos"/>
        </w:rPr>
        <w:t>approximately 1.4 million jobs.</w:t>
      </w:r>
      <w:r w:rsidRPr="38474609">
        <w:rPr>
          <w:rFonts w:eastAsia="Aptos"/>
        </w:rPr>
        <w:t xml:space="preserve"> This caused the Texas unemployment rate to </w:t>
      </w:r>
      <w:r w:rsidRPr="38474609">
        <w:rPr>
          <w:rFonts w:eastAsia="Aptos"/>
        </w:rPr>
        <w:lastRenderedPageBreak/>
        <w:t>reach an all-time high of 12.</w:t>
      </w:r>
      <w:r w:rsidR="00BC64A7">
        <w:rPr>
          <w:rFonts w:eastAsia="Aptos"/>
        </w:rPr>
        <w:t>8</w:t>
      </w:r>
      <w:r w:rsidRPr="38474609">
        <w:rPr>
          <w:rFonts w:eastAsia="Aptos"/>
        </w:rPr>
        <w:t xml:space="preserve"> percent in April 2020, from which it has steadily decreased as the economy has recovered. The emergence of COVID-19 in the United States impacted the Texas and national economies and resulted in many Texas businesses temporarily closing for the safety of employees and customers</w:t>
      </w:r>
      <w:r w:rsidRPr="008E32F9">
        <w:t xml:space="preserve">. </w:t>
      </w:r>
      <w:r w:rsidR="20B60547" w:rsidRPr="008E32F9">
        <w:t xml:space="preserve">As noted on the Weekly Initial </w:t>
      </w:r>
      <w:r w:rsidR="00F73EAB">
        <w:t>and Continued</w:t>
      </w:r>
      <w:r w:rsidR="20B60547" w:rsidRPr="008E32F9">
        <w:t xml:space="preserve"> Unemployment Claims chart below, there were 315,167 initial </w:t>
      </w:r>
      <w:r w:rsidR="02B0CBD0">
        <w:t xml:space="preserve">unemployment </w:t>
      </w:r>
      <w:r w:rsidR="00CB52B2">
        <w:t xml:space="preserve">(file week ended 4/4/2020) </w:t>
      </w:r>
      <w:r w:rsidR="20B60547" w:rsidRPr="008E32F9">
        <w:t xml:space="preserve">claims and over 1.4 million continued </w:t>
      </w:r>
      <w:r w:rsidR="006D7884">
        <w:t>weekly</w:t>
      </w:r>
      <w:r w:rsidR="006D7884" w:rsidRPr="008E32F9">
        <w:t xml:space="preserve"> </w:t>
      </w:r>
      <w:r w:rsidR="20B60547" w:rsidRPr="008E32F9">
        <w:t xml:space="preserve">claims </w:t>
      </w:r>
      <w:r w:rsidR="00094E71">
        <w:t xml:space="preserve">(reflecting week ending 5/23/2020) </w:t>
      </w:r>
      <w:r w:rsidR="20B60547" w:rsidRPr="008E32F9">
        <w:t>during the peak of the pandemic.</w:t>
      </w:r>
    </w:p>
    <w:p w14:paraId="6C81FD65" w14:textId="0A3E70B4" w:rsidR="00C50B6D" w:rsidRPr="00F75C92" w:rsidRDefault="00C50B6D" w:rsidP="00F75C92">
      <w:pPr>
        <w:pStyle w:val="BodyText"/>
        <w:rPr>
          <w:rFonts w:eastAsia="Aptos"/>
        </w:rPr>
      </w:pPr>
      <w:r>
        <w:rPr>
          <w:rFonts w:eastAsia="Aptos"/>
          <w:noProof/>
        </w:rPr>
        <w:drawing>
          <wp:inline distT="0" distB="0" distL="0" distR="0" wp14:anchorId="187661E4" wp14:editId="6503DB5A">
            <wp:extent cx="5943600" cy="3288665"/>
            <wp:effectExtent l="0" t="0" r="0" b="6985"/>
            <wp:docPr id="2006494596" name="Picture 1" descr="detailed chart of unemployment claims from 2000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4596" name="Picture 1" descr="detailed chart of unemployment claims from 2000 to 20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288665"/>
                    </a:xfrm>
                    <a:prstGeom prst="rect">
                      <a:avLst/>
                    </a:prstGeom>
                  </pic:spPr>
                </pic:pic>
              </a:graphicData>
            </a:graphic>
          </wp:inline>
        </w:drawing>
      </w:r>
    </w:p>
    <w:p w14:paraId="453A895D" w14:textId="77182C15" w:rsidR="19AB3C48" w:rsidRDefault="19AB3C48" w:rsidP="00662EDD">
      <w:pPr>
        <w:pStyle w:val="BodyText"/>
        <w:rPr>
          <w:rFonts w:eastAsia="Aptos"/>
        </w:rPr>
      </w:pPr>
      <w:r w:rsidRPr="5F516816">
        <w:rPr>
          <w:rFonts w:eastAsia="Aptos"/>
        </w:rPr>
        <w:t>In 2020, the U.S. Congress passed several measures impacting TWC in response to the COVID-19 pandemic.  HR 6201, the Families First Coronavirus Response Act was signed into law that</w:t>
      </w:r>
      <w:r w:rsidR="00B074B7">
        <w:rPr>
          <w:rFonts w:eastAsia="Aptos"/>
        </w:rPr>
        <w:t>,</w:t>
      </w:r>
      <w:r w:rsidRPr="5F516816">
        <w:rPr>
          <w:rFonts w:eastAsia="Aptos"/>
        </w:rPr>
        <w:t xml:space="preserve"> among other provisions, provided $1 billion in emergency grants to states for activities related to paying unemployment insurance benefits, provided states access to interest free loans to help pay unemployment insurance benefits, and provided 100 </w:t>
      </w:r>
      <w:r w:rsidR="00B775D3">
        <w:rPr>
          <w:rFonts w:eastAsia="Aptos"/>
        </w:rPr>
        <w:t>percent</w:t>
      </w:r>
      <w:r w:rsidRPr="5F516816">
        <w:rPr>
          <w:rFonts w:eastAsia="Aptos"/>
        </w:rPr>
        <w:t xml:space="preserve"> federal funding for Extended Unemployment Insurance Benefits of an additional 26 weeks for unemployment insurance claimants who had exhausted all regular benefits.  The measure also suspended work and work training requirements under the Supplemental Nutrition Assistance Program.</w:t>
      </w:r>
    </w:p>
    <w:p w14:paraId="3103325F" w14:textId="79DC5384" w:rsidR="19AB3C48" w:rsidRDefault="19AB3C48" w:rsidP="00662EDD">
      <w:pPr>
        <w:pStyle w:val="BodyText"/>
      </w:pPr>
      <w:r w:rsidRPr="5F516816">
        <w:rPr>
          <w:rFonts w:eastAsia="Aptos"/>
        </w:rPr>
        <w:t>In 2020, Congress also enacted HR 748, the Coronavirus Aid, Relief, and Economic Security (CARES) Act</w:t>
      </w:r>
      <w:r w:rsidR="00681CCC">
        <w:rPr>
          <w:rFonts w:eastAsia="Aptos"/>
        </w:rPr>
        <w:t>,</w:t>
      </w:r>
      <w:r w:rsidRPr="5F516816">
        <w:rPr>
          <w:rFonts w:eastAsia="Aptos"/>
        </w:rPr>
        <w:t xml:space="preserve"> creat</w:t>
      </w:r>
      <w:r w:rsidR="00681CCC">
        <w:rPr>
          <w:rFonts w:eastAsia="Aptos"/>
        </w:rPr>
        <w:t>ing</w:t>
      </w:r>
      <w:r w:rsidRPr="5F516816">
        <w:rPr>
          <w:rFonts w:eastAsia="Aptos"/>
        </w:rPr>
        <w:t xml:space="preserve"> a temporary Pandemic Unemployment Assistance Program through Dec</w:t>
      </w:r>
      <w:r w:rsidR="00EC2CB6">
        <w:rPr>
          <w:rFonts w:eastAsia="Aptos"/>
        </w:rPr>
        <w:t>.</w:t>
      </w:r>
      <w:r w:rsidRPr="5F516816">
        <w:rPr>
          <w:rFonts w:eastAsia="Aptos"/>
        </w:rPr>
        <w:t xml:space="preserve"> 31, 2020</w:t>
      </w:r>
      <w:r w:rsidR="00A51A6D">
        <w:rPr>
          <w:rFonts w:eastAsia="Aptos"/>
        </w:rPr>
        <w:t>,</w:t>
      </w:r>
      <w:r w:rsidRPr="5F516816">
        <w:rPr>
          <w:rFonts w:eastAsia="Aptos"/>
        </w:rPr>
        <w:t xml:space="preserve"> to pay benefits to those not traditionally eligible for unemployment insurance benefits </w:t>
      </w:r>
      <w:r w:rsidR="00A51A6D">
        <w:rPr>
          <w:rFonts w:eastAsia="Aptos"/>
        </w:rPr>
        <w:t>and</w:t>
      </w:r>
      <w:r w:rsidRPr="5F516816">
        <w:rPr>
          <w:rFonts w:eastAsia="Aptos"/>
        </w:rPr>
        <w:t xml:space="preserve"> creat</w:t>
      </w:r>
      <w:r w:rsidR="009D23B3">
        <w:rPr>
          <w:rFonts w:eastAsia="Aptos"/>
        </w:rPr>
        <w:t>ing</w:t>
      </w:r>
      <w:r w:rsidRPr="5F516816">
        <w:rPr>
          <w:rFonts w:eastAsia="Aptos"/>
        </w:rPr>
        <w:t xml:space="preserve"> Federal Pandemic Unemployment Compensation </w:t>
      </w:r>
      <w:r w:rsidR="00F02061">
        <w:rPr>
          <w:rFonts w:eastAsia="Aptos"/>
        </w:rPr>
        <w:t>to pay</w:t>
      </w:r>
      <w:r w:rsidRPr="5F516816">
        <w:rPr>
          <w:rFonts w:eastAsia="Aptos"/>
        </w:rPr>
        <w:t xml:space="preserve"> an additional $600 per week payments to each recipient of unemployment insurance or Pandemic Unemployment Assistance benefits for up to four months.  The bill also created Pandemic Emergency Unemployment Compensation which provided an optional 13 weeks of unemployment benefits to those who had exhausted their benefits, provided funding to states to reimburse non-profits, government agencies and Indian tribes for the costs of their </w:t>
      </w:r>
      <w:r w:rsidRPr="5F516816">
        <w:rPr>
          <w:rFonts w:eastAsia="Aptos"/>
        </w:rPr>
        <w:lastRenderedPageBreak/>
        <w:t xml:space="preserve">unemployment insurance benefits. The legislation also provided additional funding for Child Care Development Block Grants to states to provide immediate assistance to </w:t>
      </w:r>
      <w:proofErr w:type="gramStart"/>
      <w:r w:rsidRPr="5F516816">
        <w:rPr>
          <w:rFonts w:eastAsia="Aptos"/>
        </w:rPr>
        <w:t>child care</w:t>
      </w:r>
      <w:proofErr w:type="gramEnd"/>
      <w:r w:rsidRPr="5F516816">
        <w:rPr>
          <w:rFonts w:eastAsia="Aptos"/>
        </w:rPr>
        <w:t xml:space="preserve"> providers to prevent them from going out of business and to support child care for families including for healthcare workers, first responders, and other playing a critical role during the pandemic.</w:t>
      </w:r>
    </w:p>
    <w:p w14:paraId="4A08D678" w14:textId="70D5B51A" w:rsidR="19AB3C48" w:rsidRPr="003733BF" w:rsidRDefault="19AB3C48" w:rsidP="003733BF">
      <w:pPr>
        <w:pStyle w:val="BodyText"/>
        <w:rPr>
          <w:b/>
          <w:bCs/>
          <w:i/>
          <w:iCs/>
          <w:color w:val="002060"/>
        </w:rPr>
      </w:pPr>
      <w:r w:rsidRPr="003733BF">
        <w:rPr>
          <w:bCs/>
          <w:i/>
          <w:iCs/>
          <w:color w:val="002060"/>
        </w:rPr>
        <w:t>2021</w:t>
      </w:r>
    </w:p>
    <w:p w14:paraId="03B7DE87" w14:textId="0B394146" w:rsidR="19AB3C48" w:rsidRDefault="19AB3C48" w:rsidP="00662EDD">
      <w:pPr>
        <w:pStyle w:val="BodyText"/>
      </w:pPr>
      <w:r w:rsidRPr="5F516816">
        <w:rPr>
          <w:rFonts w:eastAsia="Aptos"/>
        </w:rPr>
        <w:t xml:space="preserve">The </w:t>
      </w:r>
      <w:r w:rsidRPr="00F32AC7">
        <w:rPr>
          <w:rFonts w:eastAsia="Aptos"/>
        </w:rPr>
        <w:t>87th</w:t>
      </w:r>
      <w:r w:rsidRPr="5F516816">
        <w:rPr>
          <w:rFonts w:eastAsia="Aptos"/>
        </w:rPr>
        <w:t xml:space="preserve"> Texas Legislature enacted the following legislation which impacted TWC programs and services:</w:t>
      </w:r>
    </w:p>
    <w:p w14:paraId="33E18084" w14:textId="147CF4EE" w:rsidR="19AB3C48" w:rsidRDefault="19AB3C48" w:rsidP="00662EDD">
      <w:pPr>
        <w:pStyle w:val="BodyText"/>
      </w:pPr>
      <w:r w:rsidRPr="5F516816">
        <w:rPr>
          <w:rFonts w:eastAsia="Aptos"/>
        </w:rPr>
        <w:t xml:space="preserve">HB 1792 by Rep. Button which required TWC to competitively procure a single entity to oversee statewide assessor staff to evaluate </w:t>
      </w:r>
      <w:proofErr w:type="gramStart"/>
      <w:r w:rsidRPr="5F516816">
        <w:rPr>
          <w:rFonts w:eastAsia="Aptos"/>
        </w:rPr>
        <w:t>child care</w:t>
      </w:r>
      <w:proofErr w:type="gramEnd"/>
      <w:r w:rsidRPr="5F516816">
        <w:rPr>
          <w:rFonts w:eastAsia="Aptos"/>
        </w:rPr>
        <w:t xml:space="preserve"> providers participating </w:t>
      </w:r>
      <w:r w:rsidR="00551D48">
        <w:rPr>
          <w:rFonts w:eastAsia="Aptos"/>
        </w:rPr>
        <w:t xml:space="preserve">in </w:t>
      </w:r>
      <w:r w:rsidRPr="5F516816">
        <w:rPr>
          <w:rFonts w:eastAsia="Aptos"/>
        </w:rPr>
        <w:t xml:space="preserve">the Texas Rising Star program. Also enacted was HB 2607 by Rep. Talarico, which removed the voluntary nature of the Texas Rising Star Certification Program and required all </w:t>
      </w:r>
      <w:proofErr w:type="gramStart"/>
      <w:r w:rsidRPr="5F516816">
        <w:rPr>
          <w:rFonts w:eastAsia="Aptos"/>
        </w:rPr>
        <w:t>child care</w:t>
      </w:r>
      <w:proofErr w:type="gramEnd"/>
      <w:r w:rsidRPr="5F516816">
        <w:rPr>
          <w:rFonts w:eastAsia="Aptos"/>
        </w:rPr>
        <w:t xml:space="preserve"> providers participating in the Subsidized Child Care Program to participate in the program.</w:t>
      </w:r>
    </w:p>
    <w:p w14:paraId="3C9A5AAB" w14:textId="18CCF93F" w:rsidR="19AB3C48" w:rsidRDefault="19AB3C48" w:rsidP="00662EDD">
      <w:pPr>
        <w:pStyle w:val="BodyText"/>
      </w:pPr>
      <w:r w:rsidRPr="0D8CF315">
        <w:rPr>
          <w:rFonts w:eastAsia="Aptos"/>
        </w:rPr>
        <w:t xml:space="preserve">The legislature enacted HB 3767 by Rep. Murphy which made permanent the collaborative work of </w:t>
      </w:r>
      <w:r w:rsidR="06398BA7" w:rsidRPr="0D8CF315">
        <w:rPr>
          <w:rFonts w:eastAsia="Aptos"/>
        </w:rPr>
        <w:t>TEA</w:t>
      </w:r>
      <w:r w:rsidRPr="0D8CF315">
        <w:rPr>
          <w:rFonts w:eastAsia="Aptos"/>
        </w:rPr>
        <w:t xml:space="preserve">, </w:t>
      </w:r>
      <w:r w:rsidR="06398BA7" w:rsidRPr="0D8CF315">
        <w:rPr>
          <w:rFonts w:eastAsia="Aptos"/>
        </w:rPr>
        <w:t>THECB</w:t>
      </w:r>
      <w:r w:rsidRPr="0D8CF315">
        <w:rPr>
          <w:rFonts w:eastAsia="Aptos"/>
        </w:rPr>
        <w:t xml:space="preserve"> and TWC known as the Tri-Agency Workforce </w:t>
      </w:r>
      <w:proofErr w:type="spellStart"/>
      <w:r w:rsidRPr="0D8CF315">
        <w:rPr>
          <w:rFonts w:eastAsia="Aptos"/>
        </w:rPr>
        <w:t>Initiative</w:t>
      </w:r>
      <w:r w:rsidR="3AE26C35" w:rsidRPr="0D8CF315">
        <w:rPr>
          <w:rFonts w:eastAsia="Aptos"/>
        </w:rPr>
        <w:t>.</w:t>
      </w:r>
      <w:r w:rsidR="09F5FCC7" w:rsidRPr="0D8CF315">
        <w:rPr>
          <w:rFonts w:eastAsia="Aptos"/>
        </w:rPr>
        <w:t>I</w:t>
      </w:r>
      <w:r w:rsidRPr="0D8CF315">
        <w:rPr>
          <w:rFonts w:eastAsia="Aptos"/>
        </w:rPr>
        <w:t>ts</w:t>
      </w:r>
      <w:proofErr w:type="spellEnd"/>
      <w:r w:rsidRPr="0D8CF315">
        <w:rPr>
          <w:rFonts w:eastAsia="Aptos"/>
        </w:rPr>
        <w:t xml:space="preserve"> purpose is to coordinate and improve information and other resources to ensure that the use of state and federal education and workforce funds is efficiently aligned</w:t>
      </w:r>
      <w:r w:rsidR="3B53114C" w:rsidRPr="0D8CF315">
        <w:rPr>
          <w:rFonts w:eastAsia="Aptos"/>
        </w:rPr>
        <w:t>:</w:t>
      </w:r>
    </w:p>
    <w:p w14:paraId="1572791A" w14:textId="0A82B4DD" w:rsidR="19AB3C48" w:rsidRDefault="40A535D2" w:rsidP="0D8CF315">
      <w:pPr>
        <w:pStyle w:val="BodyText"/>
        <w:numPr>
          <w:ilvl w:val="0"/>
          <w:numId w:val="1"/>
        </w:numPr>
        <w:rPr>
          <w:rFonts w:eastAsia="Aptos"/>
        </w:rPr>
      </w:pPr>
      <w:r w:rsidRPr="0D8CF315">
        <w:rPr>
          <w:rFonts w:eastAsia="Aptos"/>
        </w:rPr>
        <w:t>T</w:t>
      </w:r>
      <w:r w:rsidR="19AB3C48" w:rsidRPr="0D8CF315">
        <w:rPr>
          <w:rFonts w:eastAsia="Aptos"/>
        </w:rPr>
        <w:t>o achieve state workforce goals</w:t>
      </w:r>
      <w:r w:rsidR="60904619" w:rsidRPr="0D8CF315">
        <w:rPr>
          <w:rFonts w:eastAsia="Aptos"/>
        </w:rPr>
        <w:t>.</w:t>
      </w:r>
    </w:p>
    <w:p w14:paraId="5F58E08F" w14:textId="536146FE" w:rsidR="19AB3C48" w:rsidRDefault="60904619" w:rsidP="0D8CF315">
      <w:pPr>
        <w:pStyle w:val="BodyText"/>
        <w:numPr>
          <w:ilvl w:val="0"/>
          <w:numId w:val="1"/>
        </w:numPr>
        <w:rPr>
          <w:rFonts w:eastAsia="Aptos"/>
        </w:rPr>
      </w:pPr>
      <w:r w:rsidRPr="0D8CF315">
        <w:rPr>
          <w:rFonts w:eastAsia="Aptos"/>
        </w:rPr>
        <w:t xml:space="preserve">To </w:t>
      </w:r>
      <w:r w:rsidR="19AB3C48" w:rsidRPr="0D8CF315">
        <w:rPr>
          <w:rFonts w:eastAsia="Aptos"/>
        </w:rPr>
        <w:t>align career education training programs to workforce demands</w:t>
      </w:r>
      <w:r w:rsidR="2A53C71D" w:rsidRPr="0D8CF315">
        <w:rPr>
          <w:rFonts w:eastAsia="Aptos"/>
        </w:rPr>
        <w:t>.</w:t>
      </w:r>
    </w:p>
    <w:p w14:paraId="1AD8B9D5" w14:textId="55ED6DC4" w:rsidR="19AB3C48" w:rsidRDefault="45C3AE2B" w:rsidP="0D8CF315">
      <w:pPr>
        <w:pStyle w:val="BodyText"/>
        <w:numPr>
          <w:ilvl w:val="0"/>
          <w:numId w:val="1"/>
        </w:numPr>
        <w:rPr>
          <w:rFonts w:eastAsia="Aptos"/>
        </w:rPr>
      </w:pPr>
      <w:r w:rsidRPr="0D8CF315">
        <w:rPr>
          <w:rFonts w:eastAsia="Aptos"/>
        </w:rPr>
        <w:t xml:space="preserve">To </w:t>
      </w:r>
      <w:r w:rsidR="353FDC14" w:rsidRPr="0D8CF315">
        <w:rPr>
          <w:rFonts w:eastAsia="Aptos"/>
        </w:rPr>
        <w:t>e</w:t>
      </w:r>
      <w:r w:rsidR="19AB3C48" w:rsidRPr="0D8CF315">
        <w:rPr>
          <w:rFonts w:eastAsia="Aptos"/>
        </w:rPr>
        <w:t>nable local and state policy makers to identify the workforce outcomes of participants in career education and training programs</w:t>
      </w:r>
      <w:r w:rsidR="308B3D87" w:rsidRPr="0D8CF315">
        <w:rPr>
          <w:rFonts w:eastAsia="Aptos"/>
        </w:rPr>
        <w:t>.</w:t>
      </w:r>
    </w:p>
    <w:p w14:paraId="4EDA8D69" w14:textId="452E7759" w:rsidR="19AB3C48" w:rsidRDefault="19AB3C48" w:rsidP="0D8CF315">
      <w:pPr>
        <w:pStyle w:val="BodyText"/>
        <w:numPr>
          <w:ilvl w:val="0"/>
          <w:numId w:val="1"/>
        </w:numPr>
      </w:pPr>
      <w:r w:rsidRPr="0D8CF315">
        <w:rPr>
          <w:rFonts w:eastAsia="Aptos"/>
        </w:rPr>
        <w:t xml:space="preserve"> </w:t>
      </w:r>
      <w:r w:rsidR="394CE638" w:rsidRPr="0D8CF315">
        <w:rPr>
          <w:rFonts w:eastAsia="Aptos"/>
        </w:rPr>
        <w:t>To</w:t>
      </w:r>
      <w:r w:rsidR="000A1064">
        <w:rPr>
          <w:rFonts w:eastAsia="Aptos"/>
        </w:rPr>
        <w:t xml:space="preserve"> </w:t>
      </w:r>
      <w:r w:rsidR="046C9EF5" w:rsidRPr="0D8CF315">
        <w:rPr>
          <w:rFonts w:eastAsia="Aptos"/>
        </w:rPr>
        <w:t xml:space="preserve">create </w:t>
      </w:r>
      <w:r w:rsidRPr="0D8CF315">
        <w:rPr>
          <w:rFonts w:eastAsia="Aptos"/>
        </w:rPr>
        <w:t>progress towards state workforce development goals.</w:t>
      </w:r>
    </w:p>
    <w:p w14:paraId="19E4AB44" w14:textId="323C3F9E" w:rsidR="19AB3C48" w:rsidRDefault="19AB3C48" w:rsidP="00662EDD">
      <w:pPr>
        <w:pStyle w:val="BodyText"/>
      </w:pPr>
      <w:r w:rsidRPr="5F516816">
        <w:rPr>
          <w:rFonts w:eastAsia="Aptos"/>
        </w:rPr>
        <w:t>HB 4279 by Rep. Klick expanded the list of entities eligible to apply for funding under the Jobs and Education for Texans Grant program to include the Windham School District and SB 246 by Sen. Paxton also expanded this list to include open-enrollment charter schools.</w:t>
      </w:r>
    </w:p>
    <w:p w14:paraId="174B43B6" w14:textId="25B426C5" w:rsidR="19AB3C48" w:rsidRDefault="19AB3C48" w:rsidP="00662EDD">
      <w:pPr>
        <w:pStyle w:val="BodyText"/>
      </w:pPr>
      <w:r w:rsidRPr="5F516816">
        <w:rPr>
          <w:rFonts w:eastAsia="Aptos"/>
        </w:rPr>
        <w:t>SB 770 by Sen. Hughes expanded job training programs under the Self Sufficiency Fund to include individuals who are identified by TWC as being low-income or at risk of becoming dependent on public assistance.</w:t>
      </w:r>
    </w:p>
    <w:p w14:paraId="32C0C350" w14:textId="0B400B04" w:rsidR="19AB3C48" w:rsidRDefault="19AB3C48" w:rsidP="00662EDD">
      <w:pPr>
        <w:pStyle w:val="BodyText"/>
      </w:pPr>
      <w:r w:rsidRPr="5F516816">
        <w:rPr>
          <w:rFonts w:eastAsia="Aptos"/>
        </w:rPr>
        <w:t>HB 7 by Rep. Button provided a change in the calculation of the unemployment insurance benefits replenishment ratio used to determine an employer’s unemployment insurance contribution rate by prohibiting the inclusion in the calculation rate any non-effective charges paid because of a gubernatorial order or proclamation declaring at least 50% of Texas counties in a state of disaster or emergency.</w:t>
      </w:r>
    </w:p>
    <w:p w14:paraId="10E22A28" w14:textId="32F35BD1" w:rsidR="19AB3C48" w:rsidRDefault="19AB3C48" w:rsidP="00662EDD">
      <w:pPr>
        <w:pStyle w:val="BodyText"/>
      </w:pPr>
      <w:r w:rsidRPr="5F516816">
        <w:rPr>
          <w:rFonts w:eastAsia="Aptos"/>
        </w:rPr>
        <w:lastRenderedPageBreak/>
        <w:t xml:space="preserve">SB 2099 by Sen. Zaffirini required that TWC ensure that unemployment insurance claimants </w:t>
      </w:r>
      <w:proofErr w:type="gramStart"/>
      <w:r w:rsidR="000E0D81">
        <w:rPr>
          <w:rFonts w:eastAsia="Aptos"/>
        </w:rPr>
        <w:t>are able to</w:t>
      </w:r>
      <w:proofErr w:type="gramEnd"/>
      <w:r w:rsidRPr="5F516816">
        <w:rPr>
          <w:rFonts w:eastAsia="Aptos"/>
        </w:rPr>
        <w:t xml:space="preserve"> check the status of their claim through one or more methods via telephone or electronic means.</w:t>
      </w:r>
    </w:p>
    <w:p w14:paraId="4887A747" w14:textId="78CDF608" w:rsidR="19AB3C48" w:rsidRDefault="19AB3C48" w:rsidP="00662EDD">
      <w:pPr>
        <w:pStyle w:val="BodyText"/>
      </w:pPr>
      <w:r w:rsidRPr="5F516816">
        <w:rPr>
          <w:rFonts w:eastAsia="Aptos"/>
        </w:rPr>
        <w:t xml:space="preserve">HB 3938 by Rep. Keith Bell established the </w:t>
      </w:r>
      <w:proofErr w:type="gramStart"/>
      <w:r w:rsidRPr="5F516816">
        <w:rPr>
          <w:rFonts w:eastAsia="Aptos"/>
        </w:rPr>
        <w:t>Industry</w:t>
      </w:r>
      <w:proofErr w:type="gramEnd"/>
      <w:r w:rsidRPr="5F516816">
        <w:rPr>
          <w:rFonts w:eastAsia="Aptos"/>
        </w:rPr>
        <w:t>-Based Certification Advisory Council to advise TWC on the alignment of public high school career and technology education programs with current and future workforce needs in communities, regions and in the state.</w:t>
      </w:r>
    </w:p>
    <w:p w14:paraId="22C5D5C6" w14:textId="62676E0A" w:rsidR="19AB3C48" w:rsidRPr="003733BF" w:rsidRDefault="19AB3C48" w:rsidP="003733BF">
      <w:pPr>
        <w:pStyle w:val="BodyText"/>
        <w:rPr>
          <w:b/>
          <w:bCs/>
          <w:i/>
          <w:iCs/>
          <w:color w:val="002060"/>
        </w:rPr>
      </w:pPr>
      <w:r w:rsidRPr="003733BF">
        <w:rPr>
          <w:bCs/>
          <w:i/>
          <w:iCs/>
          <w:color w:val="002060"/>
        </w:rPr>
        <w:t>2023</w:t>
      </w:r>
    </w:p>
    <w:p w14:paraId="19F86E02" w14:textId="618155EE" w:rsidR="19AB3C48" w:rsidRDefault="19AB3C48" w:rsidP="00662EDD">
      <w:pPr>
        <w:pStyle w:val="BodyText"/>
      </w:pPr>
      <w:r w:rsidRPr="5F516816">
        <w:rPr>
          <w:rFonts w:eastAsia="Aptos"/>
        </w:rPr>
        <w:t>The Wagner-Peyser Act Staffing Final Rule, published by DOL</w:t>
      </w:r>
      <w:r w:rsidR="000E0D81">
        <w:rPr>
          <w:rFonts w:eastAsia="Aptos"/>
        </w:rPr>
        <w:t>,</w:t>
      </w:r>
      <w:r w:rsidRPr="5F516816">
        <w:rPr>
          <w:rFonts w:eastAsia="Aptos"/>
        </w:rPr>
        <w:t xml:space="preserve"> requires all states to use state merit staff to provide Wagner-Peyser Act Employment Service (ES) services.</w:t>
      </w:r>
    </w:p>
    <w:p w14:paraId="188FB58C" w14:textId="305670CF" w:rsidR="19AB3C48" w:rsidRDefault="19AB3C48" w:rsidP="00662EDD">
      <w:pPr>
        <w:pStyle w:val="BodyText"/>
      </w:pPr>
      <w:r w:rsidRPr="5F516816">
        <w:rPr>
          <w:rFonts w:eastAsia="Aptos"/>
        </w:rPr>
        <w:t xml:space="preserve">The </w:t>
      </w:r>
      <w:r w:rsidRPr="00F32AC7">
        <w:rPr>
          <w:rFonts w:eastAsia="Aptos"/>
        </w:rPr>
        <w:t>88th</w:t>
      </w:r>
      <w:r w:rsidRPr="5F516816">
        <w:rPr>
          <w:rFonts w:eastAsia="Aptos"/>
        </w:rPr>
        <w:t xml:space="preserve"> Texas Legislature enacted several pieces of legislation impacting TWC programs and services.  HB 1755 by Rep. Button required TWC to establish the Lone Star Workforce of the Future Fund to provide grants of up to $15,000 per participant to eligible entities to coordinate and deliver workforce training programs in high-demand occupations.</w:t>
      </w:r>
    </w:p>
    <w:p w14:paraId="6783C711" w14:textId="609C123C" w:rsidR="19AB3C48" w:rsidRDefault="19AB3C48" w:rsidP="00662EDD">
      <w:pPr>
        <w:pStyle w:val="BodyText"/>
      </w:pPr>
      <w:r w:rsidRPr="5F516816">
        <w:rPr>
          <w:rFonts w:eastAsia="Aptos"/>
        </w:rPr>
        <w:t xml:space="preserve">HB 1615 by Rep. Button required TWC to establish and administer a pre-kindergarten partnership program that assists </w:t>
      </w:r>
      <w:proofErr w:type="gramStart"/>
      <w:r w:rsidRPr="5F516816">
        <w:rPr>
          <w:rFonts w:eastAsia="Aptos"/>
        </w:rPr>
        <w:t>child care</w:t>
      </w:r>
      <w:proofErr w:type="gramEnd"/>
      <w:r w:rsidRPr="5F516816">
        <w:rPr>
          <w:rFonts w:eastAsia="Aptos"/>
        </w:rPr>
        <w:t xml:space="preserve"> providers who are eligible for pre-k partnerships, to development those partnerships with local school districts and open enrollment charter schools to provide pre-k classes to eligible three</w:t>
      </w:r>
      <w:r w:rsidR="002A6A32">
        <w:rPr>
          <w:rFonts w:eastAsia="Aptos"/>
        </w:rPr>
        <w:t>-</w:t>
      </w:r>
      <w:r w:rsidRPr="5F516816">
        <w:rPr>
          <w:rFonts w:eastAsia="Aptos"/>
        </w:rPr>
        <w:t xml:space="preserve"> and four</w:t>
      </w:r>
      <w:r w:rsidR="002A6A32">
        <w:rPr>
          <w:rFonts w:eastAsia="Aptos"/>
        </w:rPr>
        <w:t>-</w:t>
      </w:r>
      <w:r w:rsidRPr="5F516816">
        <w:rPr>
          <w:rFonts w:eastAsia="Aptos"/>
        </w:rPr>
        <w:t>year</w:t>
      </w:r>
      <w:r w:rsidR="002A6A32">
        <w:rPr>
          <w:rFonts w:eastAsia="Aptos"/>
        </w:rPr>
        <w:t>-</w:t>
      </w:r>
      <w:r w:rsidRPr="5F516816">
        <w:rPr>
          <w:rFonts w:eastAsia="Aptos"/>
        </w:rPr>
        <w:t xml:space="preserve">old children.  The legislation also directs TWC to collaborate with </w:t>
      </w:r>
      <w:r w:rsidR="000F0AB5">
        <w:rPr>
          <w:rFonts w:eastAsia="Aptos"/>
        </w:rPr>
        <w:t>TEA</w:t>
      </w:r>
      <w:r w:rsidRPr="5F516816">
        <w:rPr>
          <w:rFonts w:eastAsia="Aptos"/>
        </w:rPr>
        <w:t xml:space="preserve"> on strategies to expand pre-k partnerships.  The bill further directed TWC to establish and administer a Child Care Professional Development Scholarship Program for current and prospective </w:t>
      </w:r>
      <w:proofErr w:type="gramStart"/>
      <w:r w:rsidRPr="5F516816">
        <w:rPr>
          <w:rFonts w:eastAsia="Aptos"/>
        </w:rPr>
        <w:t>child care</w:t>
      </w:r>
      <w:proofErr w:type="gramEnd"/>
      <w:r w:rsidRPr="5F516816">
        <w:rPr>
          <w:rFonts w:eastAsia="Aptos"/>
        </w:rPr>
        <w:t xml:space="preserve"> professionals.</w:t>
      </w:r>
    </w:p>
    <w:p w14:paraId="67D8249F" w14:textId="3DEF2EC4" w:rsidR="19AB3C48" w:rsidRDefault="19AB3C48" w:rsidP="00662EDD">
      <w:pPr>
        <w:pStyle w:val="BodyText"/>
      </w:pPr>
      <w:r w:rsidRPr="5F516816">
        <w:rPr>
          <w:rFonts w:eastAsia="Aptos"/>
        </w:rPr>
        <w:t>HB 2459 by Rep. Vo made amendments to provide for three distinct levels of appeal in Child Labor cases under Texas Labor Code Chapter 51.</w:t>
      </w:r>
    </w:p>
    <w:p w14:paraId="68EA6FFD" w14:textId="2FCD3249" w:rsidR="19AB3C48" w:rsidRDefault="19AB3C48" w:rsidP="00662EDD">
      <w:pPr>
        <w:pStyle w:val="BodyText"/>
      </w:pPr>
      <w:r w:rsidRPr="5F516816">
        <w:rPr>
          <w:rFonts w:eastAsia="Aptos"/>
        </w:rPr>
        <w:t xml:space="preserve">The </w:t>
      </w:r>
      <w:r w:rsidRPr="00F32AC7">
        <w:rPr>
          <w:rFonts w:eastAsia="Aptos"/>
        </w:rPr>
        <w:t>3rd</w:t>
      </w:r>
      <w:r w:rsidRPr="5F516816">
        <w:rPr>
          <w:rFonts w:eastAsia="Aptos"/>
        </w:rPr>
        <w:t xml:space="preserve"> Called Session of the 88</w:t>
      </w:r>
      <w:r w:rsidRPr="5F516816">
        <w:rPr>
          <w:rFonts w:eastAsia="Aptos"/>
          <w:vertAlign w:val="superscript"/>
        </w:rPr>
        <w:t>th</w:t>
      </w:r>
      <w:r w:rsidRPr="5F516816">
        <w:rPr>
          <w:rFonts w:eastAsia="Aptos"/>
        </w:rPr>
        <w:t xml:space="preserve"> Texas Legislature enacted SB 7 by Sen. Middleton which prohibits an employer from having a mandate requiring an employee, contractor, or applicant to be vaccinated against COVID-19 as a condition of employment.  The legislation also established a process at TWC for an employee, contractor, or applicant to file a complaint for violations and requires TWC to investigate those complaints and assess penalties against employers found to have committed a violation.</w:t>
      </w:r>
    </w:p>
    <w:p w14:paraId="55BFB360" w14:textId="56E56F4A" w:rsidR="19AB3C48" w:rsidRPr="003733BF" w:rsidRDefault="19AB3C48" w:rsidP="003733BF">
      <w:pPr>
        <w:pStyle w:val="BodyText"/>
        <w:rPr>
          <w:b/>
          <w:bCs/>
          <w:i/>
          <w:iCs/>
          <w:color w:val="002060"/>
        </w:rPr>
      </w:pPr>
      <w:r w:rsidRPr="003733BF">
        <w:rPr>
          <w:bCs/>
          <w:i/>
          <w:iCs/>
          <w:color w:val="002060"/>
        </w:rPr>
        <w:t>2024</w:t>
      </w:r>
    </w:p>
    <w:p w14:paraId="599C29FA" w14:textId="3B87D5B2" w:rsidR="5F516816" w:rsidRDefault="19AB3C48" w:rsidP="00662EDD">
      <w:pPr>
        <w:pStyle w:val="BodyText"/>
      </w:pPr>
      <w:r w:rsidRPr="5F516816">
        <w:rPr>
          <w:rFonts w:eastAsia="Aptos"/>
        </w:rPr>
        <w:t>Congress enacted HR 5861, the Building on Reemployment Improvements to Deliver Good Employment for Workers Act, which extends Reemployment Services and Eligibility Assessments (RESEA) to all unemployment insurance claimants.</w:t>
      </w:r>
    </w:p>
    <w:p w14:paraId="74CEE04A" w14:textId="77777777" w:rsidR="005F622D" w:rsidRDefault="005F622D">
      <w:pPr>
        <w:rPr>
          <w:rStyle w:val="Strong"/>
          <w:i/>
          <w:iCs/>
        </w:rPr>
      </w:pPr>
      <w:r>
        <w:rPr>
          <w:rStyle w:val="Strong"/>
          <w:i/>
          <w:iCs/>
        </w:rPr>
        <w:br w:type="page"/>
      </w:r>
    </w:p>
    <w:p w14:paraId="340A9C23" w14:textId="019486BC" w:rsidR="005E1925" w:rsidRPr="005F622D" w:rsidRDefault="008A4A34" w:rsidP="00124B66">
      <w:pPr>
        <w:pStyle w:val="Heading1"/>
      </w:pPr>
      <w:bookmarkStart w:id="89" w:name="_Toc2141741"/>
      <w:bookmarkStart w:id="90" w:name="_Toc203377317"/>
      <w:r w:rsidRPr="005F622D">
        <w:lastRenderedPageBreak/>
        <w:t>I</w:t>
      </w:r>
      <w:r w:rsidR="005E1925" w:rsidRPr="005F622D">
        <w:t>V.</w:t>
      </w:r>
      <w:r w:rsidR="2F829E1A">
        <w:t xml:space="preserve"> </w:t>
      </w:r>
      <w:r w:rsidR="005E1925" w:rsidRPr="005F622D">
        <w:t>Policymaking Structure</w:t>
      </w:r>
      <w:bookmarkEnd w:id="89"/>
      <w:bookmarkEnd w:id="90"/>
    </w:p>
    <w:p w14:paraId="1614C442" w14:textId="0779732A" w:rsidR="00B82EF9" w:rsidRPr="00E5675F" w:rsidRDefault="005E1925" w:rsidP="00156350">
      <w:pPr>
        <w:pStyle w:val="BodyText3"/>
        <w:ind w:left="720" w:hanging="720"/>
        <w:rPr>
          <w:rStyle w:val="Strong"/>
        </w:rPr>
      </w:pPr>
      <w:bookmarkStart w:id="91" w:name="_Toc417645472"/>
      <w:bookmarkStart w:id="92" w:name="_Toc417647461"/>
      <w:r w:rsidRPr="00E5675F">
        <w:rPr>
          <w:rStyle w:val="Strong"/>
        </w:rPr>
        <w:t>A.</w:t>
      </w:r>
      <w:r w:rsidR="00156350">
        <w:rPr>
          <w:rStyle w:val="Strong"/>
        </w:rPr>
        <w:tab/>
      </w:r>
      <w:r w:rsidRPr="00E5675F">
        <w:rPr>
          <w:rStyle w:val="Strong"/>
        </w:rPr>
        <w:t xml:space="preserve">Complete the following </w:t>
      </w:r>
      <w:r w:rsidR="00611C49">
        <w:rPr>
          <w:rStyle w:val="Strong"/>
        </w:rPr>
        <w:t>table</w:t>
      </w:r>
      <w:r w:rsidRPr="00E5675F">
        <w:rPr>
          <w:rStyle w:val="Strong"/>
        </w:rPr>
        <w:t xml:space="preserve"> </w:t>
      </w:r>
      <w:r w:rsidR="00947260">
        <w:rPr>
          <w:rStyle w:val="Strong"/>
        </w:rPr>
        <w:t xml:space="preserve">to </w:t>
      </w:r>
      <w:r w:rsidRPr="00E5675F">
        <w:rPr>
          <w:rStyle w:val="Strong"/>
        </w:rPr>
        <w:t>provid</w:t>
      </w:r>
      <w:r w:rsidR="00947260">
        <w:rPr>
          <w:rStyle w:val="Strong"/>
        </w:rPr>
        <w:t>e</w:t>
      </w:r>
      <w:r w:rsidRPr="00E5675F">
        <w:rPr>
          <w:rStyle w:val="Strong"/>
        </w:rPr>
        <w:t xml:space="preserve"> information on </w:t>
      </w:r>
      <w:r w:rsidR="00611C49">
        <w:rPr>
          <w:rStyle w:val="Strong"/>
        </w:rPr>
        <w:t xml:space="preserve">members of </w:t>
      </w:r>
      <w:r w:rsidRPr="00E5675F">
        <w:rPr>
          <w:rStyle w:val="Strong"/>
        </w:rPr>
        <w:t>your policymaking body.</w:t>
      </w:r>
      <w:bookmarkEnd w:id="91"/>
      <w:bookmarkEnd w:id="92"/>
    </w:p>
    <w:p w14:paraId="34180ECE" w14:textId="3F2167C0" w:rsidR="00756352" w:rsidRPr="003326F0" w:rsidRDefault="004D104C" w:rsidP="00B15660">
      <w:pPr>
        <w:pStyle w:val="BodyText3"/>
        <w:jc w:val="center"/>
      </w:pPr>
      <w:bookmarkStart w:id="93" w:name="_Toc202856312"/>
      <w:bookmarkStart w:id="94" w:name="_Toc202856975"/>
      <w:bookmarkStart w:id="95" w:name="_Toc202857128"/>
      <w:bookmarkStart w:id="96" w:name="_Toc202860908"/>
      <w:bookmarkStart w:id="97" w:name="_Toc202861081"/>
      <w:bookmarkStart w:id="98" w:name="_Toc1229884354"/>
      <w:bookmarkStart w:id="99" w:name="_Toc993198733"/>
      <w:bookmarkStart w:id="100" w:name="_Toc417645474"/>
      <w:bookmarkStart w:id="101" w:name="_Toc417647463"/>
      <w:r>
        <w:t>Texas Workforce Commission</w:t>
      </w:r>
      <w:bookmarkEnd w:id="93"/>
      <w:bookmarkEnd w:id="94"/>
      <w:bookmarkEnd w:id="95"/>
      <w:bookmarkEnd w:id="96"/>
      <w:bookmarkEnd w:id="97"/>
      <w:bookmarkEnd w:id="98"/>
      <w:bookmarkEnd w:id="99"/>
      <w:r w:rsidR="000A1064">
        <w:br/>
      </w:r>
      <w:bookmarkStart w:id="102" w:name="_Toc202856313"/>
      <w:bookmarkStart w:id="103" w:name="_Toc202856976"/>
      <w:bookmarkStart w:id="104" w:name="_Toc202857129"/>
      <w:bookmarkStart w:id="105" w:name="_Toc202860909"/>
      <w:bookmarkStart w:id="106" w:name="_Toc202861082"/>
      <w:bookmarkStart w:id="107" w:name="_Toc404743665"/>
      <w:bookmarkStart w:id="108" w:name="_Toc21211085"/>
      <w:r w:rsidR="002979A2">
        <w:t xml:space="preserve">Exhibit </w:t>
      </w:r>
      <w:r w:rsidR="005334B7">
        <w:t>5</w:t>
      </w:r>
      <w:r w:rsidR="00756352" w:rsidRPr="003326F0">
        <w:t>: Policymaking Body</w:t>
      </w:r>
      <w:bookmarkEnd w:id="100"/>
      <w:bookmarkEnd w:id="101"/>
      <w:bookmarkEnd w:id="102"/>
      <w:bookmarkEnd w:id="103"/>
      <w:bookmarkEnd w:id="104"/>
      <w:bookmarkEnd w:id="105"/>
      <w:bookmarkEnd w:id="106"/>
      <w:bookmarkEnd w:id="107"/>
      <w:bookmarkEnd w:id="108"/>
    </w:p>
    <w:tbl>
      <w:tblPr>
        <w:tblStyle w:val="TableGrid"/>
        <w:tblW w:w="9350" w:type="dxa"/>
        <w:jc w:val="center"/>
        <w:tblCellMar>
          <w:top w:w="58" w:type="dxa"/>
          <w:left w:w="58" w:type="dxa"/>
          <w:bottom w:w="58" w:type="dxa"/>
          <w:right w:w="58" w:type="dxa"/>
        </w:tblCellMar>
        <w:tblLook w:val="04A0" w:firstRow="1" w:lastRow="0" w:firstColumn="1" w:lastColumn="0" w:noHBand="0" w:noVBand="1"/>
        <w:tblDescription w:val="Table template for Exhibit 3 showing information regarding the policymaking board such as term, appointment dates, appointed by, qualifications, and home city."/>
      </w:tblPr>
      <w:tblGrid>
        <w:gridCol w:w="1541"/>
        <w:gridCol w:w="2357"/>
        <w:gridCol w:w="1966"/>
        <w:gridCol w:w="1673"/>
        <w:gridCol w:w="1813"/>
      </w:tblGrid>
      <w:tr w:rsidR="00437249" w:rsidRPr="007F077B" w14:paraId="2857EA5E" w14:textId="77777777" w:rsidTr="008C1740">
        <w:trPr>
          <w:cantSplit/>
          <w:trHeight w:val="810"/>
          <w:tblHeader/>
          <w:jc w:val="center"/>
        </w:trPr>
        <w:tc>
          <w:tcPr>
            <w:tcW w:w="1541" w:type="dxa"/>
            <w:shd w:val="clear" w:color="auto" w:fill="B8CCE4" w:themeFill="accent1" w:themeFillTint="66"/>
            <w:vAlign w:val="center"/>
          </w:tcPr>
          <w:p w14:paraId="19FCC191" w14:textId="77777777" w:rsidR="00437249" w:rsidRPr="007F077B" w:rsidRDefault="00437249" w:rsidP="008C1740">
            <w:pPr>
              <w:pStyle w:val="TableHeaders"/>
            </w:pPr>
            <w:bookmarkStart w:id="109" w:name="Title_Policymaking_Body" w:colFirst="0" w:colLast="0"/>
            <w:r w:rsidRPr="007F077B">
              <w:t>Member Name</w:t>
            </w:r>
          </w:p>
        </w:tc>
        <w:tc>
          <w:tcPr>
            <w:tcW w:w="2357" w:type="dxa"/>
            <w:shd w:val="clear" w:color="auto" w:fill="B8CCE4" w:themeFill="accent1" w:themeFillTint="66"/>
            <w:vAlign w:val="center"/>
          </w:tcPr>
          <w:p w14:paraId="6B0D6B5C" w14:textId="4DA92BFD" w:rsidR="00437249" w:rsidRPr="007F077B" w:rsidRDefault="00437249" w:rsidP="008C1740">
            <w:pPr>
              <w:pStyle w:val="TableHeaders"/>
              <w:rPr>
                <w:rStyle w:val="SubtleEmphasis"/>
                <w:color w:val="auto"/>
              </w:rPr>
            </w:pPr>
            <w:r w:rsidRPr="007F077B">
              <w:t>Term</w:t>
            </w:r>
            <w:r>
              <w:t>: 6 Years</w:t>
            </w:r>
            <w:r>
              <w:br/>
            </w:r>
            <w:r w:rsidRPr="007F077B">
              <w:t>Appointment Dates</w:t>
            </w:r>
            <w:r>
              <w:t>: See Below</w:t>
            </w:r>
            <w:r>
              <w:br/>
              <w:t>Appointed by: Governor</w:t>
            </w:r>
          </w:p>
        </w:tc>
        <w:tc>
          <w:tcPr>
            <w:tcW w:w="1966" w:type="dxa"/>
            <w:shd w:val="clear" w:color="auto" w:fill="B8CCE4" w:themeFill="accent1" w:themeFillTint="66"/>
            <w:vAlign w:val="center"/>
          </w:tcPr>
          <w:p w14:paraId="36216C30" w14:textId="69957597" w:rsidR="00437249" w:rsidRPr="007F077B" w:rsidRDefault="00437249" w:rsidP="008C1740">
            <w:pPr>
              <w:pStyle w:val="TableHeaders"/>
              <w:rPr>
                <w:rStyle w:val="SubtleEmphasis"/>
                <w:color w:val="auto"/>
              </w:rPr>
            </w:pPr>
            <w:r>
              <w:t>Qualification</w:t>
            </w:r>
          </w:p>
        </w:tc>
        <w:tc>
          <w:tcPr>
            <w:tcW w:w="1673" w:type="dxa"/>
            <w:shd w:val="clear" w:color="auto" w:fill="B8CCE4" w:themeFill="accent1" w:themeFillTint="66"/>
            <w:vAlign w:val="center"/>
          </w:tcPr>
          <w:p w14:paraId="6BAB47D0" w14:textId="58B8D8DE" w:rsidR="00437249" w:rsidRPr="007F077B" w:rsidRDefault="00437249" w:rsidP="008C1740">
            <w:pPr>
              <w:pStyle w:val="TableHeaders"/>
            </w:pPr>
            <w:r w:rsidRPr="007F077B">
              <w:t>City</w:t>
            </w:r>
          </w:p>
        </w:tc>
        <w:tc>
          <w:tcPr>
            <w:tcW w:w="1813" w:type="dxa"/>
            <w:shd w:val="clear" w:color="auto" w:fill="B8CCE4" w:themeFill="accent1" w:themeFillTint="66"/>
            <w:vAlign w:val="center"/>
          </w:tcPr>
          <w:p w14:paraId="3B402F00" w14:textId="07936A22" w:rsidR="00437249" w:rsidRPr="007F077B" w:rsidRDefault="00BE0EFB" w:rsidP="008C1740">
            <w:pPr>
              <w:pStyle w:val="TableHeaders"/>
            </w:pPr>
            <w:r>
              <w:t>Previous Ter</w:t>
            </w:r>
            <w:r w:rsidR="00135CC8">
              <w:t>m</w:t>
            </w:r>
            <w:r w:rsidR="00135CC8">
              <w:br/>
            </w:r>
            <w:r>
              <w:t xml:space="preserve"> Served</w:t>
            </w:r>
          </w:p>
        </w:tc>
      </w:tr>
      <w:bookmarkEnd w:id="109"/>
      <w:tr w:rsidR="00437249" w14:paraId="04A37C24" w14:textId="77777777" w:rsidTr="00201D93">
        <w:trPr>
          <w:cantSplit/>
          <w:trHeight w:val="254"/>
          <w:jc w:val="center"/>
        </w:trPr>
        <w:tc>
          <w:tcPr>
            <w:tcW w:w="1541" w:type="dxa"/>
            <w:vAlign w:val="center"/>
          </w:tcPr>
          <w:p w14:paraId="4FC6EA0B" w14:textId="4FAE351C" w:rsidR="00437249" w:rsidRPr="002A1818" w:rsidRDefault="00437249" w:rsidP="00201D93">
            <w:pPr>
              <w:pStyle w:val="TableText"/>
              <w:rPr>
                <w:rStyle w:val="SubtleEmphasis"/>
                <w:i w:val="0"/>
                <w:iCs w:val="0"/>
                <w:color w:val="auto"/>
              </w:rPr>
            </w:pPr>
            <w:r w:rsidRPr="002A1818">
              <w:rPr>
                <w:rStyle w:val="SubtleEmphasis"/>
                <w:i w:val="0"/>
                <w:iCs w:val="0"/>
                <w:color w:val="auto"/>
              </w:rPr>
              <w:t>Bryan Daniel</w:t>
            </w:r>
          </w:p>
        </w:tc>
        <w:tc>
          <w:tcPr>
            <w:tcW w:w="2357" w:type="dxa"/>
            <w:vAlign w:val="center"/>
          </w:tcPr>
          <w:p w14:paraId="1D0D964B" w14:textId="22408D30" w:rsidR="00437249" w:rsidRPr="009F63A1" w:rsidRDefault="00437249" w:rsidP="00201D93">
            <w:pPr>
              <w:pStyle w:val="TableText"/>
              <w:rPr>
                <w:rStyle w:val="SubtleEmphasis"/>
                <w:i w:val="0"/>
                <w:iCs w:val="0"/>
                <w:color w:val="auto"/>
              </w:rPr>
            </w:pPr>
            <w:r>
              <w:rPr>
                <w:rStyle w:val="SubtleEmphasis"/>
                <w:i w:val="0"/>
                <w:iCs w:val="0"/>
                <w:color w:val="auto"/>
              </w:rPr>
              <w:t>July 2019 – Feb 2025</w:t>
            </w:r>
            <w:r>
              <w:rPr>
                <w:rStyle w:val="SubtleEmphasis"/>
                <w:i w:val="0"/>
                <w:iCs w:val="0"/>
                <w:color w:val="auto"/>
              </w:rPr>
              <w:br/>
              <w:t>*Named Chair Aug 2019</w:t>
            </w:r>
          </w:p>
        </w:tc>
        <w:tc>
          <w:tcPr>
            <w:tcW w:w="1966" w:type="dxa"/>
            <w:vAlign w:val="center"/>
          </w:tcPr>
          <w:p w14:paraId="2D4B7D1C" w14:textId="1CC4D97B" w:rsidR="00437249" w:rsidRPr="009F63A1" w:rsidRDefault="00437249" w:rsidP="00201D93">
            <w:pPr>
              <w:pStyle w:val="TableText"/>
              <w:rPr>
                <w:rStyle w:val="SubtleEmphasis"/>
                <w:i w:val="0"/>
                <w:iCs w:val="0"/>
                <w:color w:val="auto"/>
              </w:rPr>
            </w:pPr>
            <w:r>
              <w:rPr>
                <w:rStyle w:val="SubtleEmphasis"/>
                <w:i w:val="0"/>
                <w:iCs w:val="0"/>
                <w:color w:val="auto"/>
              </w:rPr>
              <w:t>Commissioner Representing Public</w:t>
            </w:r>
          </w:p>
        </w:tc>
        <w:tc>
          <w:tcPr>
            <w:tcW w:w="1673" w:type="dxa"/>
            <w:vAlign w:val="center"/>
          </w:tcPr>
          <w:p w14:paraId="62C52AAC" w14:textId="5E309B5F" w:rsidR="00437249" w:rsidRDefault="00F3658A" w:rsidP="00201D93">
            <w:pPr>
              <w:pStyle w:val="TableText"/>
              <w:rPr>
                <w:rStyle w:val="SubtleEmphasis"/>
                <w:i w:val="0"/>
                <w:iCs w:val="0"/>
                <w:color w:val="auto"/>
              </w:rPr>
            </w:pPr>
            <w:r>
              <w:rPr>
                <w:rStyle w:val="SubtleEmphasis"/>
                <w:i w:val="0"/>
                <w:iCs w:val="0"/>
                <w:color w:val="auto"/>
              </w:rPr>
              <w:t>Georgetown</w:t>
            </w:r>
          </w:p>
        </w:tc>
        <w:tc>
          <w:tcPr>
            <w:tcW w:w="1813" w:type="dxa"/>
            <w:vAlign w:val="center"/>
          </w:tcPr>
          <w:p w14:paraId="440B680C" w14:textId="311F7301" w:rsidR="00437249" w:rsidRPr="00B05939" w:rsidRDefault="00135CC8" w:rsidP="00201D93">
            <w:pPr>
              <w:pStyle w:val="TableText"/>
              <w:rPr>
                <w:rStyle w:val="SubtleEmphasis"/>
                <w:i w:val="0"/>
                <w:iCs w:val="0"/>
                <w:color w:val="auto"/>
              </w:rPr>
            </w:pPr>
            <w:r>
              <w:t>n/a</w:t>
            </w:r>
          </w:p>
        </w:tc>
      </w:tr>
      <w:tr w:rsidR="00437249" w14:paraId="2192CA90" w14:textId="77777777" w:rsidTr="00201D93">
        <w:trPr>
          <w:cantSplit/>
          <w:trHeight w:val="254"/>
          <w:jc w:val="center"/>
        </w:trPr>
        <w:tc>
          <w:tcPr>
            <w:tcW w:w="1541" w:type="dxa"/>
            <w:vAlign w:val="center"/>
          </w:tcPr>
          <w:p w14:paraId="0EDE1426" w14:textId="63CC6D03" w:rsidR="00437249" w:rsidRPr="009F63A1" w:rsidRDefault="00437249" w:rsidP="00201D93">
            <w:pPr>
              <w:pStyle w:val="TableText"/>
              <w:rPr>
                <w:rStyle w:val="SubtleEmphasis"/>
                <w:i w:val="0"/>
                <w:iCs w:val="0"/>
                <w:color w:val="auto"/>
              </w:rPr>
            </w:pPr>
            <w:r w:rsidRPr="00611E73">
              <w:t>Alberto Treviño III</w:t>
            </w:r>
          </w:p>
        </w:tc>
        <w:tc>
          <w:tcPr>
            <w:tcW w:w="2357" w:type="dxa"/>
            <w:vAlign w:val="center"/>
          </w:tcPr>
          <w:p w14:paraId="78B7A994" w14:textId="5E3527E3" w:rsidR="00437249" w:rsidRPr="009F63A1" w:rsidRDefault="00437249" w:rsidP="00201D93">
            <w:pPr>
              <w:pStyle w:val="TableText"/>
              <w:rPr>
                <w:rStyle w:val="SubtleEmphasis"/>
                <w:i w:val="0"/>
                <w:iCs w:val="0"/>
                <w:color w:val="auto"/>
              </w:rPr>
            </w:pPr>
            <w:r>
              <w:rPr>
                <w:rStyle w:val="SubtleEmphasis"/>
                <w:i w:val="0"/>
                <w:iCs w:val="0"/>
                <w:color w:val="auto"/>
              </w:rPr>
              <w:t>Jan 2023 – Feb 2029</w:t>
            </w:r>
          </w:p>
        </w:tc>
        <w:tc>
          <w:tcPr>
            <w:tcW w:w="1966" w:type="dxa"/>
            <w:vAlign w:val="center"/>
          </w:tcPr>
          <w:p w14:paraId="38F18050" w14:textId="59C13ED2" w:rsidR="00437249" w:rsidRPr="009F63A1" w:rsidRDefault="00437249" w:rsidP="00201D93">
            <w:pPr>
              <w:pStyle w:val="TableText"/>
              <w:rPr>
                <w:rStyle w:val="SubtleEmphasis"/>
                <w:i w:val="0"/>
                <w:iCs w:val="0"/>
                <w:color w:val="auto"/>
              </w:rPr>
            </w:pPr>
            <w:r>
              <w:rPr>
                <w:rStyle w:val="SubtleEmphasis"/>
                <w:i w:val="0"/>
                <w:iCs w:val="0"/>
                <w:color w:val="auto"/>
              </w:rPr>
              <w:t>Commissioner Representing Labor</w:t>
            </w:r>
          </w:p>
        </w:tc>
        <w:tc>
          <w:tcPr>
            <w:tcW w:w="1673" w:type="dxa"/>
            <w:vAlign w:val="center"/>
          </w:tcPr>
          <w:p w14:paraId="0BA052B5" w14:textId="1C61A809" w:rsidR="00437249" w:rsidRDefault="00BE0EFB" w:rsidP="00201D93">
            <w:pPr>
              <w:pStyle w:val="TableText"/>
              <w:rPr>
                <w:rStyle w:val="SubtleEmphasis"/>
                <w:i w:val="0"/>
                <w:iCs w:val="0"/>
                <w:color w:val="auto"/>
              </w:rPr>
            </w:pPr>
            <w:r>
              <w:rPr>
                <w:rStyle w:val="SubtleEmphasis"/>
                <w:i w:val="0"/>
                <w:iCs w:val="0"/>
                <w:color w:val="auto"/>
              </w:rPr>
              <w:t>Harlingen</w:t>
            </w:r>
          </w:p>
        </w:tc>
        <w:tc>
          <w:tcPr>
            <w:tcW w:w="1813" w:type="dxa"/>
            <w:vAlign w:val="center"/>
          </w:tcPr>
          <w:p w14:paraId="23D4461F" w14:textId="2C091008" w:rsidR="00437249" w:rsidRPr="009F63A1" w:rsidRDefault="74F09656" w:rsidP="00201D93">
            <w:pPr>
              <w:pStyle w:val="TableText"/>
            </w:pPr>
            <w:r w:rsidRPr="1241769C">
              <w:rPr>
                <w:rStyle w:val="SubtleEmphasis"/>
                <w:i w:val="0"/>
                <w:iCs w:val="0"/>
                <w:color w:val="auto"/>
              </w:rPr>
              <w:t>n/a</w:t>
            </w:r>
          </w:p>
        </w:tc>
      </w:tr>
      <w:tr w:rsidR="00437249" w14:paraId="557934C3" w14:textId="77777777" w:rsidTr="00201D93">
        <w:trPr>
          <w:cantSplit/>
          <w:trHeight w:val="254"/>
          <w:jc w:val="center"/>
        </w:trPr>
        <w:tc>
          <w:tcPr>
            <w:tcW w:w="1541" w:type="dxa"/>
            <w:vAlign w:val="center"/>
          </w:tcPr>
          <w:p w14:paraId="2066673A" w14:textId="51CEDBBA" w:rsidR="00437249" w:rsidRPr="00611E73" w:rsidRDefault="00437249" w:rsidP="00201D93">
            <w:pPr>
              <w:pStyle w:val="TableText"/>
            </w:pPr>
            <w:r>
              <w:t>Joe Esparza</w:t>
            </w:r>
          </w:p>
        </w:tc>
        <w:tc>
          <w:tcPr>
            <w:tcW w:w="2357" w:type="dxa"/>
            <w:vAlign w:val="center"/>
          </w:tcPr>
          <w:p w14:paraId="1392EB6C" w14:textId="1D7AB60B" w:rsidR="00437249" w:rsidRDefault="00437249" w:rsidP="00201D93">
            <w:pPr>
              <w:pStyle w:val="TableText"/>
              <w:rPr>
                <w:rStyle w:val="SubtleEmphasis"/>
                <w:i w:val="0"/>
                <w:iCs w:val="0"/>
                <w:color w:val="auto"/>
              </w:rPr>
            </w:pPr>
            <w:r>
              <w:rPr>
                <w:rStyle w:val="SubtleEmphasis"/>
                <w:i w:val="0"/>
                <w:iCs w:val="0"/>
                <w:color w:val="auto"/>
              </w:rPr>
              <w:t>Nov 2023 – Feb 2027</w:t>
            </w:r>
          </w:p>
        </w:tc>
        <w:tc>
          <w:tcPr>
            <w:tcW w:w="1966" w:type="dxa"/>
            <w:vAlign w:val="center"/>
          </w:tcPr>
          <w:p w14:paraId="065E4F6D" w14:textId="120082DC" w:rsidR="00437249" w:rsidRDefault="00437249" w:rsidP="00201D93">
            <w:pPr>
              <w:pStyle w:val="TableText"/>
              <w:rPr>
                <w:rStyle w:val="SubtleEmphasis"/>
                <w:i w:val="0"/>
                <w:iCs w:val="0"/>
                <w:color w:val="auto"/>
              </w:rPr>
            </w:pPr>
            <w:r>
              <w:rPr>
                <w:rStyle w:val="SubtleEmphasis"/>
                <w:i w:val="0"/>
                <w:iCs w:val="0"/>
                <w:color w:val="auto"/>
              </w:rPr>
              <w:t>Commissioner Representing Employers</w:t>
            </w:r>
          </w:p>
        </w:tc>
        <w:tc>
          <w:tcPr>
            <w:tcW w:w="1673" w:type="dxa"/>
            <w:vAlign w:val="center"/>
          </w:tcPr>
          <w:p w14:paraId="573B90C2" w14:textId="5675EFBD" w:rsidR="00437249" w:rsidRDefault="00BE0EFB" w:rsidP="00201D93">
            <w:pPr>
              <w:pStyle w:val="TableText"/>
              <w:rPr>
                <w:rStyle w:val="SubtleEmphasis"/>
                <w:i w:val="0"/>
                <w:iCs w:val="0"/>
                <w:color w:val="auto"/>
              </w:rPr>
            </w:pPr>
            <w:r>
              <w:rPr>
                <w:rStyle w:val="SubtleEmphasis"/>
                <w:i w:val="0"/>
                <w:iCs w:val="0"/>
                <w:color w:val="auto"/>
              </w:rPr>
              <w:t>Elgin</w:t>
            </w:r>
          </w:p>
        </w:tc>
        <w:tc>
          <w:tcPr>
            <w:tcW w:w="1813" w:type="dxa"/>
            <w:vAlign w:val="center"/>
          </w:tcPr>
          <w:p w14:paraId="6B19BD1F" w14:textId="7044828B" w:rsidR="00437249" w:rsidRDefault="0114A918" w:rsidP="00201D93">
            <w:pPr>
              <w:pStyle w:val="TableText"/>
            </w:pPr>
            <w:r w:rsidRPr="1241769C">
              <w:rPr>
                <w:rStyle w:val="SubtleEmphasis"/>
                <w:i w:val="0"/>
                <w:iCs w:val="0"/>
                <w:color w:val="auto"/>
              </w:rPr>
              <w:t>n/a</w:t>
            </w:r>
          </w:p>
        </w:tc>
      </w:tr>
    </w:tbl>
    <w:p w14:paraId="7ED638B0" w14:textId="4408BC7D" w:rsidR="00066A61" w:rsidRPr="00E5675F" w:rsidRDefault="00066A61" w:rsidP="00156350">
      <w:pPr>
        <w:pStyle w:val="BodyText3"/>
        <w:rPr>
          <w:rStyle w:val="Strong"/>
        </w:rPr>
      </w:pPr>
      <w:bookmarkStart w:id="110" w:name="_Toc417645475"/>
      <w:bookmarkStart w:id="111" w:name="_Toc417647464"/>
      <w:r w:rsidRPr="00E5675F">
        <w:rPr>
          <w:rStyle w:val="Strong"/>
        </w:rPr>
        <w:t>B.</w:t>
      </w:r>
      <w:r w:rsidR="00156350">
        <w:rPr>
          <w:rStyle w:val="Strong"/>
        </w:rPr>
        <w:tab/>
      </w:r>
      <w:r w:rsidRPr="00E5675F">
        <w:rPr>
          <w:rStyle w:val="Strong"/>
        </w:rPr>
        <w:t>Describe the primary role and responsibilities of your policymaking body.</w:t>
      </w:r>
      <w:bookmarkEnd w:id="110"/>
      <w:bookmarkEnd w:id="111"/>
    </w:p>
    <w:p w14:paraId="7EAC39D5" w14:textId="3C6D1975" w:rsidR="4DEB48E6" w:rsidRDefault="4DEB48E6" w:rsidP="005E70F5">
      <w:pPr>
        <w:pStyle w:val="BodyText"/>
        <w:rPr>
          <w:rFonts w:eastAsia="Aptos"/>
        </w:rPr>
      </w:pPr>
      <w:r>
        <w:t xml:space="preserve">Three full-time </w:t>
      </w:r>
      <w:r w:rsidR="00232D0C">
        <w:t>C</w:t>
      </w:r>
      <w:r>
        <w:t>ommissioners are appointed to TWC by the Governor, one each representing employers, labor, and the public. Together, they oversee the functioning of TWC and develop agency policy.</w:t>
      </w:r>
    </w:p>
    <w:p w14:paraId="12B88091" w14:textId="1561696D" w:rsidR="4DEB48E6" w:rsidRDefault="4DEB48E6" w:rsidP="00156350">
      <w:pPr>
        <w:pStyle w:val="BodyText"/>
        <w:rPr>
          <w:rFonts w:eastAsia="Aptos"/>
        </w:rPr>
      </w:pPr>
      <w:r>
        <w:t>Texas Labor Code</w:t>
      </w:r>
      <w:r w:rsidR="00E87F95">
        <w:t>,</w:t>
      </w:r>
      <w:r>
        <w:t xml:space="preserve"> Section 301.0015 details the Functions of the Commission as </w:t>
      </w:r>
      <w:r w:rsidR="00E87F95">
        <w:t xml:space="preserve">TWC’s </w:t>
      </w:r>
      <w:r>
        <w:t>policymaking body to include:</w:t>
      </w:r>
    </w:p>
    <w:p w14:paraId="247BAA98" w14:textId="60CF37C1" w:rsidR="4DEB48E6" w:rsidRPr="001D0ED7" w:rsidRDefault="00C10693" w:rsidP="00C64851">
      <w:pPr>
        <w:pStyle w:val="BodyText"/>
        <w:numPr>
          <w:ilvl w:val="0"/>
          <w:numId w:val="396"/>
        </w:numPr>
        <w:rPr>
          <w:rFonts w:eastAsia="Aptos" w:cs="Aptos"/>
          <w:bCs/>
          <w:color w:val="000000" w:themeColor="text1"/>
        </w:rPr>
      </w:pPr>
      <w:r>
        <w:rPr>
          <w:rFonts w:eastAsia="Aptos" w:cs="Aptos"/>
          <w:bCs/>
          <w:color w:val="000000" w:themeColor="text1"/>
        </w:rPr>
        <w:t>S</w:t>
      </w:r>
      <w:r w:rsidR="4DEB48E6" w:rsidRPr="001D0ED7">
        <w:rPr>
          <w:rFonts w:eastAsia="Aptos" w:cs="Aptos"/>
          <w:bCs/>
          <w:color w:val="000000" w:themeColor="text1"/>
        </w:rPr>
        <w:t xml:space="preserve">etting </w:t>
      </w:r>
      <w:r w:rsidR="001D0ED7">
        <w:rPr>
          <w:rFonts w:eastAsia="Aptos" w:cs="Aptos"/>
          <w:bCs/>
          <w:color w:val="000000" w:themeColor="text1"/>
        </w:rPr>
        <w:t>C</w:t>
      </w:r>
      <w:r w:rsidR="4DEB48E6" w:rsidRPr="001D0ED7">
        <w:rPr>
          <w:rFonts w:eastAsia="Aptos" w:cs="Aptos"/>
          <w:bCs/>
          <w:color w:val="000000" w:themeColor="text1"/>
        </w:rPr>
        <w:t xml:space="preserve">ommission policies, including policies that clearly separate the policymaking responsibilities of the </w:t>
      </w:r>
      <w:r w:rsidR="003C7159">
        <w:rPr>
          <w:rFonts w:eastAsia="Aptos" w:cs="Aptos"/>
          <w:bCs/>
          <w:color w:val="000000" w:themeColor="text1"/>
        </w:rPr>
        <w:t>C</w:t>
      </w:r>
      <w:r w:rsidR="4DEB48E6" w:rsidRPr="001D0ED7">
        <w:rPr>
          <w:rFonts w:eastAsia="Aptos" w:cs="Aptos"/>
          <w:bCs/>
          <w:color w:val="000000" w:themeColor="text1"/>
        </w:rPr>
        <w:t xml:space="preserve">ommission and the management responsibilities of the executive director and </w:t>
      </w:r>
      <w:r w:rsidR="003C7159">
        <w:rPr>
          <w:rFonts w:eastAsia="Aptos" w:cs="Aptos"/>
          <w:bCs/>
          <w:color w:val="000000" w:themeColor="text1"/>
        </w:rPr>
        <w:t>C</w:t>
      </w:r>
      <w:r w:rsidR="4DEB48E6" w:rsidRPr="001D0ED7">
        <w:rPr>
          <w:rFonts w:eastAsia="Aptos" w:cs="Aptos"/>
          <w:bCs/>
          <w:color w:val="000000" w:themeColor="text1"/>
        </w:rPr>
        <w:t>ommission staff</w:t>
      </w:r>
      <w:r>
        <w:rPr>
          <w:rFonts w:eastAsia="Aptos" w:cs="Aptos"/>
          <w:bCs/>
          <w:color w:val="000000" w:themeColor="text1"/>
        </w:rPr>
        <w:t>.</w:t>
      </w:r>
    </w:p>
    <w:p w14:paraId="6CC2E031" w14:textId="33E64271" w:rsidR="4DEB48E6" w:rsidRPr="001D0ED7" w:rsidRDefault="00C10693" w:rsidP="00C64851">
      <w:pPr>
        <w:pStyle w:val="BodyText"/>
        <w:numPr>
          <w:ilvl w:val="0"/>
          <w:numId w:val="396"/>
        </w:numPr>
        <w:rPr>
          <w:rFonts w:eastAsia="Aptos" w:cs="Aptos"/>
          <w:bCs/>
          <w:color w:val="000000" w:themeColor="text1"/>
        </w:rPr>
      </w:pPr>
      <w:r>
        <w:rPr>
          <w:rFonts w:eastAsia="Aptos" w:cs="Aptos"/>
          <w:bCs/>
          <w:color w:val="000000" w:themeColor="text1"/>
        </w:rPr>
        <w:t>G</w:t>
      </w:r>
      <w:r w:rsidR="4DEB48E6" w:rsidRPr="001D0ED7">
        <w:rPr>
          <w:rFonts w:eastAsia="Aptos" w:cs="Aptos"/>
          <w:bCs/>
          <w:color w:val="000000" w:themeColor="text1"/>
        </w:rPr>
        <w:t xml:space="preserve">iving general direction to the executive director regarding the implementation of the </w:t>
      </w:r>
      <w:r w:rsidR="003C7159">
        <w:rPr>
          <w:rFonts w:eastAsia="Aptos" w:cs="Aptos"/>
          <w:bCs/>
          <w:color w:val="000000" w:themeColor="text1"/>
        </w:rPr>
        <w:t>C</w:t>
      </w:r>
      <w:r w:rsidR="4DEB48E6" w:rsidRPr="001D0ED7">
        <w:rPr>
          <w:rFonts w:eastAsia="Aptos" w:cs="Aptos"/>
          <w:bCs/>
          <w:color w:val="000000" w:themeColor="text1"/>
        </w:rPr>
        <w:t xml:space="preserve">ommission's </w:t>
      </w:r>
      <w:proofErr w:type="gramStart"/>
      <w:r w:rsidR="4DEB48E6" w:rsidRPr="001D0ED7">
        <w:rPr>
          <w:rFonts w:eastAsia="Aptos" w:cs="Aptos"/>
          <w:bCs/>
          <w:color w:val="000000" w:themeColor="text1"/>
        </w:rPr>
        <w:t>policies, and</w:t>
      </w:r>
      <w:proofErr w:type="gramEnd"/>
      <w:r w:rsidR="4DEB48E6" w:rsidRPr="001D0ED7">
        <w:rPr>
          <w:rFonts w:eastAsia="Aptos" w:cs="Aptos"/>
          <w:bCs/>
          <w:color w:val="000000" w:themeColor="text1"/>
        </w:rPr>
        <w:t xml:space="preserve"> holding the executive director accountable for implementing the policies</w:t>
      </w:r>
      <w:r>
        <w:rPr>
          <w:rFonts w:eastAsia="Aptos" w:cs="Aptos"/>
          <w:bCs/>
          <w:color w:val="000000" w:themeColor="text1"/>
        </w:rPr>
        <w:t>.</w:t>
      </w:r>
    </w:p>
    <w:p w14:paraId="442BB61D" w14:textId="5DC15029" w:rsidR="4DEB48E6" w:rsidRPr="001D0ED7" w:rsidRDefault="00C10693" w:rsidP="00C64851">
      <w:pPr>
        <w:pStyle w:val="BodyText"/>
        <w:numPr>
          <w:ilvl w:val="0"/>
          <w:numId w:val="396"/>
        </w:numPr>
        <w:rPr>
          <w:rFonts w:eastAsia="Aptos" w:cs="Aptos"/>
          <w:bCs/>
          <w:color w:val="000000" w:themeColor="text1"/>
        </w:rPr>
      </w:pPr>
      <w:r>
        <w:rPr>
          <w:rFonts w:eastAsia="Aptos" w:cs="Aptos"/>
          <w:bCs/>
          <w:color w:val="000000" w:themeColor="text1"/>
        </w:rPr>
        <w:t>A</w:t>
      </w:r>
      <w:r w:rsidR="4DEB48E6" w:rsidRPr="001D0ED7">
        <w:rPr>
          <w:rFonts w:eastAsia="Aptos" w:cs="Aptos"/>
          <w:bCs/>
          <w:color w:val="000000" w:themeColor="text1"/>
        </w:rPr>
        <w:t xml:space="preserve">pproving the </w:t>
      </w:r>
      <w:r w:rsidR="003C7159">
        <w:rPr>
          <w:rFonts w:eastAsia="Aptos" w:cs="Aptos"/>
          <w:bCs/>
          <w:color w:val="000000" w:themeColor="text1"/>
        </w:rPr>
        <w:t>C</w:t>
      </w:r>
      <w:r w:rsidR="4DEB48E6" w:rsidRPr="001D0ED7">
        <w:rPr>
          <w:rFonts w:eastAsia="Aptos" w:cs="Aptos"/>
          <w:bCs/>
          <w:color w:val="000000" w:themeColor="text1"/>
        </w:rPr>
        <w:t>ommission's budget recommendation to the legislature</w:t>
      </w:r>
      <w:r>
        <w:rPr>
          <w:rFonts w:eastAsia="Aptos" w:cs="Aptos"/>
          <w:bCs/>
          <w:color w:val="000000" w:themeColor="text1"/>
        </w:rPr>
        <w:t>.</w:t>
      </w:r>
    </w:p>
    <w:p w14:paraId="67967946" w14:textId="4BC583FD" w:rsidR="4DEB48E6" w:rsidRPr="001D0ED7" w:rsidRDefault="00C10693" w:rsidP="00C64851">
      <w:pPr>
        <w:pStyle w:val="BodyText"/>
        <w:numPr>
          <w:ilvl w:val="0"/>
          <w:numId w:val="396"/>
        </w:numPr>
        <w:rPr>
          <w:rFonts w:eastAsia="Aptos" w:cs="Aptos"/>
          <w:bCs/>
          <w:color w:val="000000" w:themeColor="text1"/>
        </w:rPr>
      </w:pPr>
      <w:r>
        <w:rPr>
          <w:rFonts w:eastAsia="Aptos" w:cs="Aptos"/>
          <w:bCs/>
          <w:color w:val="000000" w:themeColor="text1"/>
        </w:rPr>
        <w:t>R</w:t>
      </w:r>
      <w:r w:rsidR="4DEB48E6" w:rsidRPr="001D0ED7">
        <w:rPr>
          <w:rFonts w:eastAsia="Aptos" w:cs="Aptos"/>
          <w:bCs/>
          <w:color w:val="000000" w:themeColor="text1"/>
        </w:rPr>
        <w:t xml:space="preserve">eviewing under Subchapter </w:t>
      </w:r>
      <w:hyperlink r:id="rId41">
        <w:r w:rsidR="4DEB48E6" w:rsidRPr="001D0ED7">
          <w:rPr>
            <w:rStyle w:val="Hyperlink"/>
            <w:rFonts w:eastAsia="Aptos" w:cs="Aptos"/>
            <w:bCs/>
          </w:rPr>
          <w:t>D</w:t>
        </w:r>
      </w:hyperlink>
      <w:r w:rsidR="4DEB48E6" w:rsidRPr="001D0ED7">
        <w:rPr>
          <w:rFonts w:eastAsia="Aptos" w:cs="Aptos"/>
          <w:bCs/>
          <w:color w:val="000000" w:themeColor="text1"/>
        </w:rPr>
        <w:t xml:space="preserve">, Chapter </w:t>
      </w:r>
      <w:hyperlink r:id="rId42">
        <w:r w:rsidR="4DEB48E6" w:rsidRPr="001D0ED7">
          <w:rPr>
            <w:rStyle w:val="Hyperlink"/>
            <w:rFonts w:eastAsia="Aptos" w:cs="Aptos"/>
            <w:bCs/>
          </w:rPr>
          <w:t>212</w:t>
        </w:r>
      </w:hyperlink>
      <w:r w:rsidR="4DEB48E6" w:rsidRPr="001D0ED7">
        <w:rPr>
          <w:rFonts w:eastAsia="Aptos" w:cs="Aptos"/>
          <w:bCs/>
          <w:color w:val="000000" w:themeColor="text1"/>
        </w:rPr>
        <w:t>, the decision of an appeal tribunal regarding unemployment compensation</w:t>
      </w:r>
      <w:r>
        <w:rPr>
          <w:rFonts w:eastAsia="Aptos" w:cs="Aptos"/>
          <w:bCs/>
          <w:color w:val="000000" w:themeColor="text1"/>
        </w:rPr>
        <w:t>.</w:t>
      </w:r>
    </w:p>
    <w:p w14:paraId="1F9C7CE9" w14:textId="131DA080" w:rsidR="4DEB48E6" w:rsidRPr="001D0ED7" w:rsidRDefault="00C10693" w:rsidP="00C64851">
      <w:pPr>
        <w:pStyle w:val="BodyText"/>
        <w:numPr>
          <w:ilvl w:val="0"/>
          <w:numId w:val="396"/>
        </w:numPr>
        <w:rPr>
          <w:rFonts w:eastAsia="Aptos" w:cs="Aptos"/>
          <w:bCs/>
          <w:color w:val="000000" w:themeColor="text1"/>
        </w:rPr>
      </w:pPr>
      <w:r>
        <w:rPr>
          <w:rFonts w:eastAsia="Aptos" w:cs="Aptos"/>
          <w:bCs/>
          <w:color w:val="000000" w:themeColor="text1"/>
        </w:rPr>
        <w:t>R</w:t>
      </w:r>
      <w:r w:rsidR="4DEB48E6" w:rsidRPr="001D0ED7">
        <w:rPr>
          <w:rFonts w:eastAsia="Aptos" w:cs="Aptos"/>
          <w:bCs/>
          <w:color w:val="000000" w:themeColor="text1"/>
        </w:rPr>
        <w:t xml:space="preserve">eviewing under Subchapter </w:t>
      </w:r>
      <w:hyperlink r:id="rId43">
        <w:r w:rsidR="4DEB48E6" w:rsidRPr="001D0ED7">
          <w:rPr>
            <w:rStyle w:val="Hyperlink"/>
            <w:rFonts w:eastAsia="Aptos" w:cs="Aptos"/>
            <w:bCs/>
          </w:rPr>
          <w:t>D</w:t>
        </w:r>
      </w:hyperlink>
      <w:r w:rsidR="4DEB48E6" w:rsidRPr="001D0ED7">
        <w:rPr>
          <w:rFonts w:eastAsia="Aptos" w:cs="Aptos"/>
          <w:bCs/>
          <w:color w:val="000000" w:themeColor="text1"/>
        </w:rPr>
        <w:t xml:space="preserve">, Chapter </w:t>
      </w:r>
      <w:hyperlink r:id="rId44">
        <w:r w:rsidR="4DEB48E6" w:rsidRPr="001D0ED7">
          <w:rPr>
            <w:rStyle w:val="Hyperlink"/>
            <w:rFonts w:eastAsia="Aptos" w:cs="Aptos"/>
            <w:bCs/>
          </w:rPr>
          <w:t>61</w:t>
        </w:r>
      </w:hyperlink>
      <w:r w:rsidR="4DEB48E6" w:rsidRPr="001D0ED7">
        <w:rPr>
          <w:rFonts w:eastAsia="Aptos" w:cs="Aptos"/>
          <w:bCs/>
          <w:color w:val="000000" w:themeColor="text1"/>
        </w:rPr>
        <w:t>, the decision of a wage claim appeal tribunal regarding a wage claim</w:t>
      </w:r>
      <w:r>
        <w:rPr>
          <w:rFonts w:eastAsia="Aptos" w:cs="Aptos"/>
          <w:bCs/>
          <w:color w:val="000000" w:themeColor="text1"/>
        </w:rPr>
        <w:t>.</w:t>
      </w:r>
    </w:p>
    <w:p w14:paraId="107EF6AE" w14:textId="75E27F35" w:rsidR="4DEB48E6" w:rsidRPr="001D0ED7" w:rsidRDefault="00C10693" w:rsidP="00C64851">
      <w:pPr>
        <w:pStyle w:val="BodyText"/>
        <w:numPr>
          <w:ilvl w:val="0"/>
          <w:numId w:val="396"/>
        </w:numPr>
      </w:pPr>
      <w:r>
        <w:t>A</w:t>
      </w:r>
      <w:r w:rsidR="4DEB48E6" w:rsidRPr="001D0ED7">
        <w:t xml:space="preserve">dopting rules necessary to administer the </w:t>
      </w:r>
      <w:r w:rsidR="000D4539">
        <w:t>C</w:t>
      </w:r>
      <w:r w:rsidR="4DEB48E6" w:rsidRPr="001D0ED7">
        <w:t>ommission's policies, including rules necessary for the administration of this title and rules governing required reports, procedures, and orders</w:t>
      </w:r>
      <w:r>
        <w:t>.</w:t>
      </w:r>
    </w:p>
    <w:p w14:paraId="547B781D" w14:textId="16381152" w:rsidR="4DEB48E6" w:rsidRPr="000D4539" w:rsidRDefault="00C10693" w:rsidP="00C64851">
      <w:pPr>
        <w:pStyle w:val="BodyText"/>
        <w:numPr>
          <w:ilvl w:val="0"/>
          <w:numId w:val="396"/>
        </w:numPr>
      </w:pPr>
      <w:r>
        <w:lastRenderedPageBreak/>
        <w:t>R</w:t>
      </w:r>
      <w:r w:rsidR="4DEB48E6" w:rsidRPr="000D4539">
        <w:t xml:space="preserve">esponding to questions and comments that are directed to the </w:t>
      </w:r>
      <w:r w:rsidR="00232D0C">
        <w:t>Commission</w:t>
      </w:r>
      <w:r w:rsidR="4DEB48E6" w:rsidRPr="000D4539">
        <w:t xml:space="preserve"> by the executive director and that relate to setting or clarifying </w:t>
      </w:r>
      <w:r w:rsidR="00232D0C">
        <w:t>Commission</w:t>
      </w:r>
      <w:r w:rsidR="4DEB48E6" w:rsidRPr="000D4539">
        <w:t xml:space="preserve"> policies or relate to other matters of general interest to the </w:t>
      </w:r>
      <w:r w:rsidR="002B3B89">
        <w:t>C</w:t>
      </w:r>
      <w:r w:rsidR="4DEB48E6" w:rsidRPr="000D4539">
        <w:t>ommission</w:t>
      </w:r>
      <w:r>
        <w:t>.</w:t>
      </w:r>
    </w:p>
    <w:p w14:paraId="443F3DDF" w14:textId="6EC78664" w:rsidR="4DEB48E6" w:rsidRPr="000D4539" w:rsidRDefault="00C10693" w:rsidP="00C64851">
      <w:pPr>
        <w:pStyle w:val="BodyText"/>
        <w:numPr>
          <w:ilvl w:val="0"/>
          <w:numId w:val="396"/>
        </w:numPr>
      </w:pPr>
      <w:r>
        <w:t>R</w:t>
      </w:r>
      <w:r w:rsidR="4DEB48E6" w:rsidRPr="000D4539">
        <w:t xml:space="preserve">equesting information from </w:t>
      </w:r>
      <w:r w:rsidR="00232D0C">
        <w:t>Commission</w:t>
      </w:r>
      <w:r w:rsidR="4DEB48E6" w:rsidRPr="000D4539">
        <w:t xml:space="preserve"> staff</w:t>
      </w:r>
      <w:r>
        <w:t>.</w:t>
      </w:r>
    </w:p>
    <w:p w14:paraId="47B13363" w14:textId="777BAB34" w:rsidR="4DEB48E6" w:rsidRPr="000D4539" w:rsidRDefault="00C10693" w:rsidP="00C64851">
      <w:pPr>
        <w:pStyle w:val="BodyText"/>
        <w:numPr>
          <w:ilvl w:val="0"/>
          <w:numId w:val="396"/>
        </w:numPr>
      </w:pPr>
      <w:r>
        <w:t>R</w:t>
      </w:r>
      <w:r w:rsidR="4DEB48E6" w:rsidRPr="000D4539">
        <w:t xml:space="preserve">eviewing under Subchapter </w:t>
      </w:r>
      <w:hyperlink r:id="rId45">
        <w:r w:rsidR="4DEB48E6" w:rsidRPr="000D4539">
          <w:rPr>
            <w:rStyle w:val="Hyperlink"/>
            <w:rFonts w:eastAsia="Aptos" w:cs="Aptos"/>
            <w:bCs/>
          </w:rPr>
          <w:t>D</w:t>
        </w:r>
      </w:hyperlink>
      <w:r w:rsidR="4DEB48E6" w:rsidRPr="000D4539">
        <w:t xml:space="preserve">, Chapter </w:t>
      </w:r>
      <w:hyperlink r:id="rId46">
        <w:r w:rsidR="4DEB48E6" w:rsidRPr="000D4539">
          <w:rPr>
            <w:rStyle w:val="Hyperlink"/>
            <w:rFonts w:eastAsia="Aptos" w:cs="Aptos"/>
            <w:bCs/>
          </w:rPr>
          <w:t>51</w:t>
        </w:r>
      </w:hyperlink>
      <w:r w:rsidR="4DEB48E6" w:rsidRPr="000D4539">
        <w:t>, the decision of a child labor appeal tribunal regarding a child labor violation and/or an administrative penalty.</w:t>
      </w:r>
    </w:p>
    <w:p w14:paraId="574981E4" w14:textId="2C90C929" w:rsidR="00066A61" w:rsidRPr="00E5675F" w:rsidRDefault="00066A61" w:rsidP="004C6853">
      <w:pPr>
        <w:pStyle w:val="BodyText3"/>
        <w:rPr>
          <w:rStyle w:val="Strong"/>
        </w:rPr>
      </w:pPr>
      <w:bookmarkStart w:id="112" w:name="_Toc417645476"/>
      <w:bookmarkStart w:id="113" w:name="_Toc417647465"/>
      <w:r w:rsidRPr="659FE24F">
        <w:rPr>
          <w:rStyle w:val="Strong"/>
        </w:rPr>
        <w:t>C.</w:t>
      </w:r>
      <w:r w:rsidR="017456E0" w:rsidRPr="659FE24F">
        <w:rPr>
          <w:rStyle w:val="Strong"/>
        </w:rPr>
        <w:t xml:space="preserve"> </w:t>
      </w:r>
      <w:r w:rsidRPr="659FE24F">
        <w:rPr>
          <w:rStyle w:val="Strong"/>
        </w:rPr>
        <w:t>How is the chair selected?</w:t>
      </w:r>
      <w:bookmarkEnd w:id="112"/>
      <w:bookmarkEnd w:id="113"/>
    </w:p>
    <w:p w14:paraId="64C3DC82" w14:textId="74D0D52E" w:rsidR="3338714B" w:rsidRDefault="3338714B" w:rsidP="007A7611">
      <w:pPr>
        <w:pStyle w:val="BodyText"/>
        <w:rPr>
          <w:rFonts w:eastAsia="Aptos"/>
        </w:rPr>
      </w:pPr>
      <w:r w:rsidRPr="1241769C">
        <w:rPr>
          <w:rFonts w:eastAsia="Aptos"/>
        </w:rPr>
        <w:t>The Governor designates the chair of the Commission from among the members of the Commission.  The chair serves in that capacity at the pleasure of the Governor for a two-year term.  The Governor may redesignate the same member to serve consecutive terms.  (Texas Labor Code</w:t>
      </w:r>
      <w:r w:rsidR="00AC536F">
        <w:rPr>
          <w:rFonts w:eastAsia="Aptos"/>
        </w:rPr>
        <w:t>,</w:t>
      </w:r>
      <w:r w:rsidRPr="1241769C">
        <w:rPr>
          <w:rFonts w:eastAsia="Aptos"/>
        </w:rPr>
        <w:t xml:space="preserve"> Section 301.006)</w:t>
      </w:r>
    </w:p>
    <w:p w14:paraId="6A9BA5CF" w14:textId="40766B5B" w:rsidR="3338714B" w:rsidRDefault="3338714B" w:rsidP="007A7611">
      <w:pPr>
        <w:pStyle w:val="BodyText"/>
        <w:rPr>
          <w:rFonts w:eastAsia="Aptos"/>
        </w:rPr>
      </w:pPr>
      <w:r w:rsidRPr="1241769C">
        <w:rPr>
          <w:rFonts w:eastAsia="Aptos"/>
        </w:rPr>
        <w:t xml:space="preserve">Regardless of which member is </w:t>
      </w:r>
      <w:r w:rsidRPr="68C9D48A">
        <w:rPr>
          <w:rFonts w:eastAsia="Aptos"/>
        </w:rPr>
        <w:t>s</w:t>
      </w:r>
      <w:r w:rsidR="45D6298F" w:rsidRPr="68C9D48A">
        <w:rPr>
          <w:rFonts w:eastAsia="Aptos"/>
        </w:rPr>
        <w:t>elected</w:t>
      </w:r>
      <w:r w:rsidRPr="1241769C">
        <w:rPr>
          <w:rFonts w:eastAsia="Aptos"/>
        </w:rPr>
        <w:t xml:space="preserve"> as the chair of the Commission, the </w:t>
      </w:r>
      <w:r w:rsidR="004D6DB7">
        <w:rPr>
          <w:rFonts w:eastAsia="Aptos"/>
        </w:rPr>
        <w:t>C</w:t>
      </w:r>
      <w:r w:rsidRPr="1241769C">
        <w:rPr>
          <w:rFonts w:eastAsia="Aptos"/>
        </w:rPr>
        <w:t xml:space="preserve">ommissioner </w:t>
      </w:r>
      <w:r w:rsidR="004D6DB7">
        <w:rPr>
          <w:rFonts w:eastAsia="Aptos"/>
        </w:rPr>
        <w:t>R</w:t>
      </w:r>
      <w:r w:rsidRPr="1241769C">
        <w:rPr>
          <w:rFonts w:eastAsia="Aptos"/>
        </w:rPr>
        <w:t xml:space="preserve">epresenting the </w:t>
      </w:r>
      <w:r w:rsidR="004D6DB7">
        <w:rPr>
          <w:rFonts w:eastAsia="Aptos"/>
        </w:rPr>
        <w:t>P</w:t>
      </w:r>
      <w:r w:rsidRPr="1241769C">
        <w:rPr>
          <w:rFonts w:eastAsia="Aptos"/>
        </w:rPr>
        <w:t xml:space="preserve">ublic shall serve as the chair when the </w:t>
      </w:r>
      <w:r w:rsidR="004D6DB7">
        <w:rPr>
          <w:rFonts w:eastAsia="Aptos"/>
        </w:rPr>
        <w:t>C</w:t>
      </w:r>
      <w:r w:rsidRPr="1241769C">
        <w:rPr>
          <w:rFonts w:eastAsia="Aptos"/>
        </w:rPr>
        <w:t>ommission presides over the following matters:</w:t>
      </w:r>
    </w:p>
    <w:p w14:paraId="69415DBE" w14:textId="4E87B2C1" w:rsidR="3338714B" w:rsidRPr="00CD32BE" w:rsidRDefault="3338714B" w:rsidP="00C64851">
      <w:pPr>
        <w:pStyle w:val="BodyText"/>
        <w:numPr>
          <w:ilvl w:val="0"/>
          <w:numId w:val="397"/>
        </w:numPr>
      </w:pPr>
      <w:r w:rsidRPr="00CD32BE">
        <w:t>Employment Discrimination cases</w:t>
      </w:r>
      <w:r w:rsidR="002C779E">
        <w:t>,</w:t>
      </w:r>
    </w:p>
    <w:p w14:paraId="1128BE6B" w14:textId="0D936D89" w:rsidR="3338714B" w:rsidRPr="00CD32BE" w:rsidRDefault="3338714B" w:rsidP="00C64851">
      <w:pPr>
        <w:pStyle w:val="BodyText"/>
        <w:numPr>
          <w:ilvl w:val="0"/>
          <w:numId w:val="397"/>
        </w:numPr>
      </w:pPr>
      <w:r w:rsidRPr="00CD32BE">
        <w:t>Housing Discrimination cases</w:t>
      </w:r>
      <w:r w:rsidR="002C779E">
        <w:t>,</w:t>
      </w:r>
    </w:p>
    <w:p w14:paraId="5E2DDF4D" w14:textId="21C3321B" w:rsidR="3338714B" w:rsidRPr="00CD32BE" w:rsidRDefault="3338714B" w:rsidP="00C64851">
      <w:pPr>
        <w:pStyle w:val="BodyText"/>
        <w:numPr>
          <w:ilvl w:val="0"/>
          <w:numId w:val="397"/>
        </w:numPr>
        <w:rPr>
          <w:rFonts w:eastAsia="Aptos" w:cs="Aptos"/>
          <w:color w:val="000000" w:themeColor="text1"/>
        </w:rPr>
      </w:pPr>
      <w:r w:rsidRPr="00CD32BE">
        <w:rPr>
          <w:rFonts w:eastAsia="Aptos" w:cs="Aptos"/>
          <w:color w:val="000000" w:themeColor="text1"/>
        </w:rPr>
        <w:t>Wage Claim cases</w:t>
      </w:r>
      <w:r w:rsidR="002C779E">
        <w:rPr>
          <w:rFonts w:eastAsia="Aptos" w:cs="Aptos"/>
          <w:color w:val="000000" w:themeColor="text1"/>
        </w:rPr>
        <w:t>,</w:t>
      </w:r>
    </w:p>
    <w:p w14:paraId="00EE7B61" w14:textId="1EBF2CF6" w:rsidR="3338714B" w:rsidRPr="00CD32BE" w:rsidRDefault="3338714B" w:rsidP="00C64851">
      <w:pPr>
        <w:pStyle w:val="BodyText"/>
        <w:numPr>
          <w:ilvl w:val="0"/>
          <w:numId w:val="397"/>
        </w:numPr>
        <w:rPr>
          <w:rFonts w:eastAsia="Aptos" w:cs="Aptos"/>
          <w:color w:val="000000" w:themeColor="text1"/>
        </w:rPr>
      </w:pPr>
      <w:r w:rsidRPr="00CD32BE">
        <w:rPr>
          <w:rFonts w:eastAsia="Aptos" w:cs="Aptos"/>
          <w:color w:val="000000" w:themeColor="text1"/>
        </w:rPr>
        <w:t>Unemployment Insurance cases</w:t>
      </w:r>
      <w:r w:rsidR="002C779E">
        <w:rPr>
          <w:rFonts w:eastAsia="Aptos" w:cs="Aptos"/>
          <w:color w:val="000000" w:themeColor="text1"/>
        </w:rPr>
        <w:t>,</w:t>
      </w:r>
    </w:p>
    <w:p w14:paraId="62A5CD3E" w14:textId="6E129B0E" w:rsidR="3338714B" w:rsidRPr="00CD32BE" w:rsidRDefault="3338714B" w:rsidP="00C64851">
      <w:pPr>
        <w:pStyle w:val="BodyText"/>
        <w:numPr>
          <w:ilvl w:val="0"/>
          <w:numId w:val="397"/>
        </w:numPr>
        <w:rPr>
          <w:rFonts w:eastAsia="Aptos" w:cs="Aptos"/>
          <w:color w:val="000000" w:themeColor="text1"/>
        </w:rPr>
      </w:pPr>
      <w:r w:rsidRPr="00CD32BE">
        <w:rPr>
          <w:rFonts w:eastAsia="Aptos" w:cs="Aptos"/>
          <w:color w:val="000000" w:themeColor="text1"/>
        </w:rPr>
        <w:t>UI Tax cases</w:t>
      </w:r>
      <w:r w:rsidR="002C779E">
        <w:rPr>
          <w:rFonts w:eastAsia="Aptos" w:cs="Aptos"/>
          <w:color w:val="000000" w:themeColor="text1"/>
        </w:rPr>
        <w:t>, and</w:t>
      </w:r>
    </w:p>
    <w:p w14:paraId="04FFA95F" w14:textId="2457325B" w:rsidR="3338714B" w:rsidRPr="00CD32BE" w:rsidRDefault="3338714B" w:rsidP="00C64851">
      <w:pPr>
        <w:pStyle w:val="BodyText"/>
        <w:numPr>
          <w:ilvl w:val="0"/>
          <w:numId w:val="397"/>
        </w:numPr>
        <w:rPr>
          <w:rFonts w:eastAsia="Aptos" w:cs="Aptos"/>
          <w:color w:val="000000" w:themeColor="text1"/>
        </w:rPr>
      </w:pPr>
      <w:r w:rsidRPr="00CD32BE">
        <w:rPr>
          <w:rFonts w:eastAsia="Aptos" w:cs="Aptos"/>
          <w:color w:val="000000" w:themeColor="text1"/>
        </w:rPr>
        <w:t>Child Labor cases</w:t>
      </w:r>
      <w:r w:rsidR="002C779E">
        <w:rPr>
          <w:rFonts w:eastAsia="Aptos" w:cs="Aptos"/>
          <w:color w:val="000000" w:themeColor="text1"/>
        </w:rPr>
        <w:t>.</w:t>
      </w:r>
    </w:p>
    <w:p w14:paraId="043E9258" w14:textId="309AD593" w:rsidR="00066A61" w:rsidRPr="00E5675F" w:rsidRDefault="00066A61" w:rsidP="00265558">
      <w:pPr>
        <w:pStyle w:val="BodyText3"/>
        <w:ind w:left="720" w:hanging="720"/>
        <w:rPr>
          <w:rStyle w:val="Strong"/>
        </w:rPr>
      </w:pPr>
      <w:r w:rsidRPr="1241769C">
        <w:rPr>
          <w:rStyle w:val="Strong"/>
        </w:rPr>
        <w:t>D.</w:t>
      </w:r>
      <w:bookmarkStart w:id="114" w:name="_Toc417645477"/>
      <w:bookmarkStart w:id="115" w:name="_Toc417647466"/>
      <w:r w:rsidR="00265558">
        <w:rPr>
          <w:rStyle w:val="Strong"/>
        </w:rPr>
        <w:tab/>
      </w:r>
      <w:r w:rsidRPr="00E5675F">
        <w:rPr>
          <w:rStyle w:val="Strong"/>
        </w:rPr>
        <w:t>List any special circumstances or unique features about your policymaking body or its responsibilities.</w:t>
      </w:r>
      <w:bookmarkEnd w:id="114"/>
      <w:bookmarkEnd w:id="115"/>
    </w:p>
    <w:p w14:paraId="0EFB67B0" w14:textId="672DF122" w:rsidR="00902067" w:rsidRPr="00902067" w:rsidRDefault="00902067" w:rsidP="007A7611">
      <w:pPr>
        <w:pStyle w:val="BodyText"/>
      </w:pPr>
      <w:r w:rsidRPr="00902067">
        <w:t xml:space="preserve">State law delineates the broad responsibilities of each individual Commissioner, providing that one of the members of the Commission </w:t>
      </w:r>
      <w:r w:rsidRPr="007A7611">
        <w:t>represents</w:t>
      </w:r>
      <w:r w:rsidRPr="00902067">
        <w:t xml:space="preserve"> employers, one represents workers, and one represents the public. Moreover, the public member of the Commission may not be an officer, employee, or paid consultant of a labor-oriented or employer-oriented trade association while the member serves on the Commission. A person who is required to register as a lobbyist under Chapter 305, Government Code, may not serve as a member of the Commission while so registered.</w:t>
      </w:r>
    </w:p>
    <w:p w14:paraId="5DC5738C" w14:textId="6888A45A" w:rsidR="00902067" w:rsidRPr="00902067" w:rsidRDefault="00902067" w:rsidP="00902067">
      <w:pPr>
        <w:pStyle w:val="BodyText"/>
      </w:pPr>
      <w:r w:rsidRPr="00902067">
        <w:t xml:space="preserve">By ensuring that each constituency is represented on the Commission, the Legislature ensured that all rules and policies would be fairly debated and decided. The Commission meets weekly </w:t>
      </w:r>
      <w:proofErr w:type="gramStart"/>
      <w:r w:rsidRPr="00902067">
        <w:t>in order to</w:t>
      </w:r>
      <w:proofErr w:type="gramEnd"/>
      <w:r w:rsidRPr="00902067">
        <w:t xml:space="preserve"> adjudicate appeals of claims for unemployment compensation, </w:t>
      </w:r>
      <w:r w:rsidRPr="00902067">
        <w:lastRenderedPageBreak/>
        <w:t>resolve taxation disputes, and address wage claims. Frequent meetings also ensure that strategies are in development and reflect the current economic conditions.</w:t>
      </w:r>
    </w:p>
    <w:p w14:paraId="7AEEACEE" w14:textId="0A7BA83C" w:rsidR="00902067" w:rsidRPr="00902067" w:rsidRDefault="00902067" w:rsidP="00902067">
      <w:pPr>
        <w:pStyle w:val="BodyText"/>
      </w:pPr>
      <w:r w:rsidRPr="00902067">
        <w:t xml:space="preserve">The Commission is designated as the agency of this state for implementation of the Wagner–Peyser Act and the Workforce </w:t>
      </w:r>
      <w:r w:rsidR="00B13E04">
        <w:t xml:space="preserve">Innovation and Opportunity </w:t>
      </w:r>
      <w:r w:rsidRPr="00902067">
        <w:t xml:space="preserve">Act of </w:t>
      </w:r>
      <w:r w:rsidR="00211412">
        <w:t>2014</w:t>
      </w:r>
      <w:r w:rsidRPr="00902067">
        <w:t>. The Commission and executive director shall cooperate with the Secretary of Labor under the Social Security Act by making reports in the form and containing information required by the secretary, and by complying with provisions the secretary finds necessary to ensure that the reports are correct and verified. The Commission and executive director shall comply with the regulations prescribed by the secretary governing the expenditures of funds allotted and paid to the state under Title III of the Social Security Act. The Commission may provide reasonable cooperation to each agency of the United States charged with the administration of any unemployment insurance law.</w:t>
      </w:r>
    </w:p>
    <w:p w14:paraId="316D15F5" w14:textId="2FF73E38" w:rsidR="00902067" w:rsidRPr="00902067" w:rsidRDefault="00902067" w:rsidP="00902067">
      <w:pPr>
        <w:pStyle w:val="BodyText"/>
      </w:pPr>
      <w:r w:rsidRPr="00902067">
        <w:t xml:space="preserve">State law sets guidelines regarding the functions of the </w:t>
      </w:r>
      <w:r w:rsidR="005E28D0">
        <w:t>C</w:t>
      </w:r>
      <w:r w:rsidRPr="00902067">
        <w:t xml:space="preserve">ommission and staff. In administering its functions under Section 301.0015 of the Labor Code the </w:t>
      </w:r>
      <w:r w:rsidR="00232D0C">
        <w:t>Commission</w:t>
      </w:r>
      <w:r w:rsidRPr="00902067">
        <w:t xml:space="preserve"> shall limit its activities to setting </w:t>
      </w:r>
      <w:r w:rsidR="00232D0C">
        <w:t>Commission</w:t>
      </w:r>
      <w:r w:rsidRPr="00902067">
        <w:t xml:space="preserve"> policies, including policies that clearly separate the policymaking responsibilities of the </w:t>
      </w:r>
      <w:r w:rsidR="00232D0C">
        <w:t>Commission</w:t>
      </w:r>
      <w:r w:rsidRPr="00902067">
        <w:t xml:space="preserve"> and the management responsibilities of the executive director and </w:t>
      </w:r>
      <w:r w:rsidR="00232D0C">
        <w:t>Commission</w:t>
      </w:r>
      <w:r w:rsidRPr="00902067">
        <w:t xml:space="preserve"> staff; giving general direction to the executive director regarding the implementation of the </w:t>
      </w:r>
      <w:r w:rsidR="00232D0C">
        <w:t>Commission</w:t>
      </w:r>
      <w:r w:rsidRPr="00902067">
        <w:t>'s policies, and holding the executive director accountable for implementing the policies.</w:t>
      </w:r>
    </w:p>
    <w:p w14:paraId="6F80FB14" w14:textId="185ABE9C" w:rsidR="00647D60" w:rsidRPr="00647D60" w:rsidRDefault="00902067" w:rsidP="00EC3E6F">
      <w:pPr>
        <w:pStyle w:val="BodyText"/>
      </w:pPr>
      <w:r w:rsidRPr="00902067">
        <w:t xml:space="preserve">In administering its functions the </w:t>
      </w:r>
      <w:r w:rsidR="00232D0C">
        <w:t>Commission</w:t>
      </w:r>
      <w:r w:rsidRPr="00902067">
        <w:t xml:space="preserve">, acting as a governmental body, or an individual member of the </w:t>
      </w:r>
      <w:r w:rsidR="00232D0C">
        <w:t>Commission</w:t>
      </w:r>
      <w:r w:rsidRPr="00902067">
        <w:t xml:space="preserve"> may not direct the day-to-day operations of the executive director or other </w:t>
      </w:r>
      <w:r w:rsidR="00232D0C">
        <w:t>Commission</w:t>
      </w:r>
      <w:r w:rsidRPr="00902067">
        <w:t xml:space="preserve"> staff; or establish the details for the implementation of </w:t>
      </w:r>
      <w:r w:rsidR="00232D0C">
        <w:t>Commission</w:t>
      </w:r>
      <w:r w:rsidRPr="00902067">
        <w:t xml:space="preserve"> policies or direct the executive director or other </w:t>
      </w:r>
      <w:r w:rsidR="00232D0C">
        <w:t>Commission</w:t>
      </w:r>
      <w:r w:rsidRPr="00902067">
        <w:t xml:space="preserve"> staff about those details.</w:t>
      </w:r>
    </w:p>
    <w:p w14:paraId="422D288C" w14:textId="52E445E6" w:rsidR="00066A61" w:rsidRPr="00E5675F" w:rsidRDefault="00066A61" w:rsidP="00265558">
      <w:pPr>
        <w:pStyle w:val="BodyText3"/>
        <w:ind w:left="720" w:hanging="720"/>
        <w:rPr>
          <w:rStyle w:val="Strong"/>
        </w:rPr>
      </w:pPr>
      <w:bookmarkStart w:id="116" w:name="_Toc417645478"/>
      <w:bookmarkStart w:id="117" w:name="_Toc417647467"/>
      <w:r w:rsidRPr="659FE24F">
        <w:rPr>
          <w:rStyle w:val="Strong"/>
        </w:rPr>
        <w:t>E.</w:t>
      </w:r>
      <w:r w:rsidR="00265558">
        <w:rPr>
          <w:rStyle w:val="Strong"/>
        </w:rPr>
        <w:tab/>
      </w:r>
      <w:r w:rsidRPr="659FE24F">
        <w:rPr>
          <w:rStyle w:val="Strong"/>
        </w:rPr>
        <w:t>In general, how often does your policymaking body meet?</w:t>
      </w:r>
      <w:r w:rsidR="008A4A34" w:rsidRPr="659FE24F">
        <w:rPr>
          <w:rStyle w:val="Strong"/>
        </w:rPr>
        <w:t xml:space="preserve"> </w:t>
      </w:r>
      <w:r w:rsidRPr="659FE24F">
        <w:rPr>
          <w:rStyle w:val="Strong"/>
        </w:rPr>
        <w:t xml:space="preserve">How many times did it meet in </w:t>
      </w:r>
      <w:r w:rsidR="00F044D6" w:rsidRPr="659FE24F">
        <w:rPr>
          <w:rStyle w:val="Strong"/>
        </w:rPr>
        <w:t>fiscal year</w:t>
      </w:r>
      <w:r w:rsidR="00A14BAF" w:rsidRPr="659FE24F">
        <w:rPr>
          <w:rStyle w:val="Strong"/>
        </w:rPr>
        <w:t>s</w:t>
      </w:r>
      <w:r w:rsidR="00F044D6" w:rsidRPr="659FE24F">
        <w:rPr>
          <w:rStyle w:val="Strong"/>
        </w:rPr>
        <w:t xml:space="preserve"> </w:t>
      </w:r>
      <w:r w:rsidRPr="659FE24F">
        <w:rPr>
          <w:rStyle w:val="Strong"/>
        </w:rPr>
        <w:t>20</w:t>
      </w:r>
      <w:r w:rsidR="00A03E45" w:rsidRPr="659FE24F">
        <w:rPr>
          <w:rStyle w:val="Strong"/>
        </w:rPr>
        <w:t>2</w:t>
      </w:r>
      <w:r w:rsidR="00A14BAF" w:rsidRPr="659FE24F">
        <w:rPr>
          <w:rStyle w:val="Strong"/>
        </w:rPr>
        <w:t>0</w:t>
      </w:r>
      <w:r w:rsidR="00A201CA" w:rsidRPr="659FE24F">
        <w:rPr>
          <w:rStyle w:val="Strong"/>
        </w:rPr>
        <w:t xml:space="preserve"> </w:t>
      </w:r>
      <w:r w:rsidR="00A14BAF" w:rsidRPr="659FE24F">
        <w:rPr>
          <w:rStyle w:val="Strong"/>
        </w:rPr>
        <w:t>through</w:t>
      </w:r>
      <w:r w:rsidR="00F044D6" w:rsidRPr="659FE24F">
        <w:rPr>
          <w:rStyle w:val="Strong"/>
        </w:rPr>
        <w:t xml:space="preserve"> </w:t>
      </w:r>
      <w:r w:rsidRPr="659FE24F">
        <w:rPr>
          <w:rStyle w:val="Strong"/>
        </w:rPr>
        <w:t>20</w:t>
      </w:r>
      <w:r w:rsidR="00C704E4" w:rsidRPr="659FE24F">
        <w:rPr>
          <w:rStyle w:val="Strong"/>
        </w:rPr>
        <w:t>2</w:t>
      </w:r>
      <w:r w:rsidR="00DC1723" w:rsidRPr="659FE24F">
        <w:rPr>
          <w:rStyle w:val="Strong"/>
        </w:rPr>
        <w:t>4</w:t>
      </w:r>
      <w:r w:rsidRPr="659FE24F">
        <w:rPr>
          <w:rStyle w:val="Strong"/>
        </w:rPr>
        <w:t>?</w:t>
      </w:r>
      <w:bookmarkEnd w:id="116"/>
      <w:bookmarkEnd w:id="117"/>
      <w:r w:rsidR="00773B8B" w:rsidRPr="659FE24F">
        <w:rPr>
          <w:rStyle w:val="Strong"/>
        </w:rPr>
        <w:t xml:space="preserve"> Explain if the policymaking body met in-person or virtually during this time. </w:t>
      </w:r>
    </w:p>
    <w:p w14:paraId="04AD56BB" w14:textId="44F1CCE7" w:rsidR="00334A49" w:rsidRPr="00A92F03" w:rsidRDefault="009F02BA" w:rsidP="00A92F03">
      <w:pPr>
        <w:pStyle w:val="BodyText"/>
      </w:pPr>
      <w:r w:rsidRPr="00A92F03">
        <w:t xml:space="preserve">In general, the Commission meets weekly.  The </w:t>
      </w:r>
      <w:r w:rsidR="00232D0C">
        <w:t>Commission</w:t>
      </w:r>
      <w:r w:rsidRPr="00A92F03">
        <w:t xml:space="preserve"> met a total of 216 times from Fiscal Year 2020 through Fiscal Year 2024, </w:t>
      </w:r>
      <w:r w:rsidR="152D91B8">
        <w:t>broken down as follows</w:t>
      </w:r>
      <w:r w:rsidR="00211412">
        <w:t>.</w:t>
      </w:r>
    </w:p>
    <w:p w14:paraId="7D6C0AEC" w14:textId="564F8CBA" w:rsidR="00334A49" w:rsidRPr="00A92F03" w:rsidRDefault="009F02BA" w:rsidP="00E768A5">
      <w:pPr>
        <w:pStyle w:val="BodyText"/>
        <w:numPr>
          <w:ilvl w:val="0"/>
          <w:numId w:val="48"/>
        </w:numPr>
      </w:pPr>
      <w:r w:rsidRPr="00A92F03">
        <w:t>Fiscal Year 2020, the Commission met 46 times.</w:t>
      </w:r>
    </w:p>
    <w:p w14:paraId="29005005" w14:textId="387A0678" w:rsidR="00334A49" w:rsidRPr="00A92F03" w:rsidRDefault="009F02BA" w:rsidP="00E768A5">
      <w:pPr>
        <w:pStyle w:val="BodyText"/>
        <w:numPr>
          <w:ilvl w:val="0"/>
          <w:numId w:val="48"/>
        </w:numPr>
      </w:pPr>
      <w:r w:rsidRPr="00A92F03">
        <w:t>Fiscal Year 2021, the Commission met 53 times.</w:t>
      </w:r>
    </w:p>
    <w:p w14:paraId="423CCE42" w14:textId="04247E35" w:rsidR="00334A49" w:rsidRPr="00A92F03" w:rsidRDefault="009F02BA" w:rsidP="00E768A5">
      <w:pPr>
        <w:pStyle w:val="BodyText"/>
        <w:numPr>
          <w:ilvl w:val="0"/>
          <w:numId w:val="48"/>
        </w:numPr>
      </w:pPr>
      <w:r w:rsidRPr="00A92F03">
        <w:t>Fiscal Year 2022, the Commission met 41 times.</w:t>
      </w:r>
    </w:p>
    <w:p w14:paraId="41DCAB69" w14:textId="3A8719A5" w:rsidR="00334A49" w:rsidRPr="00A92F03" w:rsidRDefault="009F02BA" w:rsidP="00E768A5">
      <w:pPr>
        <w:pStyle w:val="BodyText"/>
        <w:numPr>
          <w:ilvl w:val="0"/>
          <w:numId w:val="48"/>
        </w:numPr>
      </w:pPr>
      <w:r w:rsidRPr="00A92F03">
        <w:t>Fiscal Year 2023, the Commission met 41 times.</w:t>
      </w:r>
    </w:p>
    <w:p w14:paraId="5DA64227" w14:textId="04C390E6" w:rsidR="00334A49" w:rsidRPr="00A92F03" w:rsidRDefault="009F02BA" w:rsidP="00E768A5">
      <w:pPr>
        <w:pStyle w:val="BodyText"/>
        <w:numPr>
          <w:ilvl w:val="0"/>
          <w:numId w:val="48"/>
        </w:numPr>
      </w:pPr>
      <w:r w:rsidRPr="00A92F03">
        <w:t>Fiscal Year 2024, the Commission met 35 times. </w:t>
      </w:r>
    </w:p>
    <w:p w14:paraId="4E67BF5B" w14:textId="2385480C" w:rsidR="00334A49" w:rsidRPr="00A92F03" w:rsidRDefault="009F02BA" w:rsidP="00A92F03">
      <w:pPr>
        <w:pStyle w:val="BodyText"/>
      </w:pPr>
      <w:r w:rsidRPr="00A92F03">
        <w:lastRenderedPageBreak/>
        <w:t xml:space="preserve">The Commission met in-person during this time, </w:t>
      </w:r>
      <w:proofErr w:type="gramStart"/>
      <w:r w:rsidRPr="00A92F03">
        <w:t>with the exception of</w:t>
      </w:r>
      <w:proofErr w:type="gramEnd"/>
      <w:r w:rsidRPr="00A92F03">
        <w:t xml:space="preserve"> 2020 and 2021 when some meetings were held virtually due to the pandemic.</w:t>
      </w:r>
    </w:p>
    <w:p w14:paraId="4DD00F13" w14:textId="4B96F6ED" w:rsidR="005D06E3" w:rsidRDefault="00066A61" w:rsidP="00265558">
      <w:pPr>
        <w:pStyle w:val="BodyText3"/>
        <w:rPr>
          <w:rStyle w:val="Strong"/>
        </w:rPr>
      </w:pPr>
      <w:bookmarkStart w:id="118" w:name="_Toc417645479"/>
      <w:bookmarkStart w:id="119" w:name="_Toc417647468"/>
      <w:r w:rsidRPr="00350FF0">
        <w:rPr>
          <w:rStyle w:val="Strong"/>
        </w:rPr>
        <w:t>F.</w:t>
      </w:r>
      <w:bookmarkEnd w:id="118"/>
      <w:bookmarkEnd w:id="119"/>
      <w:r w:rsidR="00265558">
        <w:rPr>
          <w:rStyle w:val="Strong"/>
        </w:rPr>
        <w:tab/>
      </w:r>
      <w:r w:rsidR="005D06E3">
        <w:rPr>
          <w:rStyle w:val="Strong"/>
        </w:rPr>
        <w:t xml:space="preserve">Does the policymaking body broadcast </w:t>
      </w:r>
      <w:r w:rsidR="007C1367">
        <w:rPr>
          <w:rStyle w:val="Strong"/>
        </w:rPr>
        <w:t>and</w:t>
      </w:r>
      <w:r w:rsidR="005D06E3">
        <w:rPr>
          <w:rStyle w:val="Strong"/>
        </w:rPr>
        <w:t xml:space="preserve"> archive its meetings?</w:t>
      </w:r>
    </w:p>
    <w:p w14:paraId="42493275" w14:textId="43C10AD5" w:rsidR="63786905" w:rsidRDefault="63786905" w:rsidP="009371C3">
      <w:pPr>
        <w:pStyle w:val="BodyText"/>
      </w:pPr>
      <w:r w:rsidRPr="68C9D48A">
        <w:t xml:space="preserve">Yes, the Commission broadcasts </w:t>
      </w:r>
      <w:r w:rsidRPr="009371C3">
        <w:t>and</w:t>
      </w:r>
      <w:r w:rsidRPr="68C9D48A">
        <w:t xml:space="preserve"> archives its meetings. Meeting broadcast information and archives </w:t>
      </w:r>
      <w:r w:rsidR="001B7A41">
        <w:t xml:space="preserve">are available and </w:t>
      </w:r>
      <w:r w:rsidRPr="68C9D48A">
        <w:t xml:space="preserve">can be accessed </w:t>
      </w:r>
      <w:r w:rsidR="002A42D5">
        <w:t>on the TWC website</w:t>
      </w:r>
      <w:r w:rsidR="00715545">
        <w:t xml:space="preserve"> as follows</w:t>
      </w:r>
      <w:r w:rsidRPr="68C9D48A">
        <w:t>:</w:t>
      </w:r>
    </w:p>
    <w:p w14:paraId="12719FAF" w14:textId="18E4C62B" w:rsidR="63786905" w:rsidRPr="008227FE" w:rsidRDefault="63786905" w:rsidP="68C9D48A">
      <w:pPr>
        <w:pStyle w:val="BodyText"/>
        <w:rPr>
          <w:rStyle w:val="Hyperlink"/>
        </w:rPr>
      </w:pPr>
      <w:hyperlink r:id="rId47">
        <w:r w:rsidRPr="008227FE">
          <w:rPr>
            <w:rStyle w:val="Hyperlink"/>
          </w:rPr>
          <w:t>Commission Meetings - Texas Workforce Commission</w:t>
        </w:r>
      </w:hyperlink>
    </w:p>
    <w:p w14:paraId="1BD34824" w14:textId="602E7D46" w:rsidR="63786905" w:rsidRPr="008227FE" w:rsidRDefault="63786905" w:rsidP="68C9D48A">
      <w:pPr>
        <w:pStyle w:val="BodyText"/>
        <w:rPr>
          <w:rStyle w:val="Hyperlink"/>
        </w:rPr>
      </w:pPr>
      <w:hyperlink r:id="rId48">
        <w:r w:rsidRPr="008227FE">
          <w:rPr>
            <w:rStyle w:val="Hyperlink"/>
          </w:rPr>
          <w:t>2025 Commission Meeting Information - Texas Workforce Commission</w:t>
        </w:r>
      </w:hyperlink>
    </w:p>
    <w:p w14:paraId="2269F3BB" w14:textId="1AE65CB8" w:rsidR="00614BE0" w:rsidRPr="00350FF0" w:rsidRDefault="005D06E3" w:rsidP="00265558">
      <w:pPr>
        <w:pStyle w:val="BodyText3"/>
        <w:ind w:left="720" w:hanging="720"/>
        <w:rPr>
          <w:rStyle w:val="Strong"/>
        </w:rPr>
      </w:pPr>
      <w:r>
        <w:rPr>
          <w:rStyle w:val="Strong"/>
        </w:rPr>
        <w:t>G.</w:t>
      </w:r>
      <w:r w:rsidR="00265558">
        <w:rPr>
          <w:rStyle w:val="Strong"/>
        </w:rPr>
        <w:tab/>
      </w:r>
      <w:r w:rsidR="00746ECC">
        <w:rPr>
          <w:rStyle w:val="Strong"/>
        </w:rPr>
        <w:t>Briefly</w:t>
      </w:r>
      <w:r w:rsidR="00201346" w:rsidRPr="00350FF0">
        <w:rPr>
          <w:rStyle w:val="Strong"/>
        </w:rPr>
        <w:t xml:space="preserve"> d</w:t>
      </w:r>
      <w:r w:rsidR="001078DD">
        <w:rPr>
          <w:rStyle w:val="Strong"/>
        </w:rPr>
        <w:t>escribe</w:t>
      </w:r>
      <w:r w:rsidR="00201346" w:rsidRPr="00350FF0">
        <w:rPr>
          <w:rStyle w:val="Strong"/>
        </w:rPr>
        <w:t xml:space="preserve"> all</w:t>
      </w:r>
      <w:r w:rsidR="004363DB" w:rsidRPr="00350FF0">
        <w:rPr>
          <w:rStyle w:val="Strong"/>
        </w:rPr>
        <w:t xml:space="preserve"> the </w:t>
      </w:r>
      <w:r w:rsidR="00201346" w:rsidRPr="00350FF0">
        <w:rPr>
          <w:rStyle w:val="Strong"/>
        </w:rPr>
        <w:t>training</w:t>
      </w:r>
      <w:r w:rsidR="001078DD">
        <w:rPr>
          <w:rStyle w:val="Strong"/>
        </w:rPr>
        <w:t xml:space="preserve"> </w:t>
      </w:r>
      <w:r w:rsidR="00817E2B" w:rsidRPr="00350FF0">
        <w:rPr>
          <w:rStyle w:val="Strong"/>
        </w:rPr>
        <w:t xml:space="preserve">the </w:t>
      </w:r>
      <w:r w:rsidR="00201346" w:rsidRPr="00350FF0">
        <w:rPr>
          <w:rStyle w:val="Strong"/>
        </w:rPr>
        <w:t>members of the agency</w:t>
      </w:r>
      <w:r w:rsidR="00F044D6">
        <w:rPr>
          <w:rStyle w:val="Strong"/>
        </w:rPr>
        <w:t>’</w:t>
      </w:r>
      <w:r w:rsidR="00201346" w:rsidRPr="00350FF0">
        <w:rPr>
          <w:rStyle w:val="Strong"/>
        </w:rPr>
        <w:t>s policymaking body receive</w:t>
      </w:r>
      <w:r w:rsidR="00832B49">
        <w:rPr>
          <w:rStyle w:val="Strong"/>
        </w:rPr>
        <w:t xml:space="preserve">. </w:t>
      </w:r>
      <w:r w:rsidR="00201346" w:rsidRPr="00350FF0">
        <w:rPr>
          <w:rStyle w:val="Strong"/>
        </w:rPr>
        <w:t>How often do members receive</w:t>
      </w:r>
      <w:r w:rsidR="00330325" w:rsidRPr="00350FF0">
        <w:rPr>
          <w:rStyle w:val="Strong"/>
        </w:rPr>
        <w:t xml:space="preserve"> this</w:t>
      </w:r>
      <w:r w:rsidR="00201346" w:rsidRPr="00350FF0">
        <w:rPr>
          <w:rStyle w:val="Strong"/>
        </w:rPr>
        <w:t xml:space="preserve"> training</w:t>
      </w:r>
      <w:r w:rsidR="001078DD">
        <w:rPr>
          <w:rStyle w:val="Strong"/>
        </w:rPr>
        <w:t xml:space="preserve"> or updated materials</w:t>
      </w:r>
      <w:r w:rsidR="00201346" w:rsidRPr="00350FF0">
        <w:rPr>
          <w:rStyle w:val="Strong"/>
        </w:rPr>
        <w:t>?</w:t>
      </w:r>
      <w:r w:rsidR="008A4A34">
        <w:rPr>
          <w:rStyle w:val="Strong"/>
        </w:rPr>
        <w:t xml:space="preserve"> </w:t>
      </w:r>
    </w:p>
    <w:p w14:paraId="28A88B54" w14:textId="0B4EA239" w:rsidR="78C286D4" w:rsidRDefault="78C286D4" w:rsidP="1241769C">
      <w:pPr>
        <w:pStyle w:val="BodyText"/>
        <w:rPr>
          <w:iCs/>
          <w:color w:val="000000" w:themeColor="text1"/>
        </w:rPr>
      </w:pPr>
      <w:r w:rsidRPr="1241769C">
        <w:rPr>
          <w:iCs/>
          <w:color w:val="000000" w:themeColor="text1"/>
        </w:rPr>
        <w:t xml:space="preserve">Prior to participating in any capacity as a </w:t>
      </w:r>
      <w:proofErr w:type="gramStart"/>
      <w:r w:rsidRPr="1241769C">
        <w:rPr>
          <w:iCs/>
          <w:color w:val="000000" w:themeColor="text1"/>
        </w:rPr>
        <w:t>Commissioner</w:t>
      </w:r>
      <w:proofErr w:type="gramEnd"/>
      <w:r w:rsidRPr="1241769C">
        <w:rPr>
          <w:iCs/>
          <w:color w:val="000000" w:themeColor="text1"/>
        </w:rPr>
        <w:t>, the newly appointed Commissioner must receive training regarding the following</w:t>
      </w:r>
      <w:r w:rsidR="00E715E7">
        <w:rPr>
          <w:iCs/>
          <w:color w:val="000000" w:themeColor="text1"/>
        </w:rPr>
        <w:t xml:space="preserve"> topics.</w:t>
      </w:r>
    </w:p>
    <w:p w14:paraId="0430943D" w14:textId="6CD53BF0" w:rsidR="00350489" w:rsidRPr="00350489" w:rsidRDefault="00C10693" w:rsidP="00C64851">
      <w:pPr>
        <w:pStyle w:val="BodyText"/>
        <w:numPr>
          <w:ilvl w:val="0"/>
          <w:numId w:val="398"/>
        </w:numPr>
        <w:ind w:left="1080" w:hanging="720"/>
        <w:rPr>
          <w:color w:val="000000" w:themeColor="text1"/>
        </w:rPr>
      </w:pPr>
      <w:r>
        <w:t>L</w:t>
      </w:r>
      <w:r w:rsidR="78C286D4" w:rsidRPr="1241769C">
        <w:t xml:space="preserve">egislation that created the </w:t>
      </w:r>
      <w:r w:rsidR="00232D0C">
        <w:t>Commission</w:t>
      </w:r>
    </w:p>
    <w:p w14:paraId="1AA7DA4F" w14:textId="2478C84A" w:rsidR="00A71F89" w:rsidRDefault="00C10693" w:rsidP="00C64851">
      <w:pPr>
        <w:pStyle w:val="BodyText"/>
        <w:numPr>
          <w:ilvl w:val="0"/>
          <w:numId w:val="398"/>
        </w:numPr>
        <w:ind w:left="1080" w:hanging="720"/>
        <w:rPr>
          <w:color w:val="000000" w:themeColor="text1"/>
        </w:rPr>
      </w:pPr>
      <w:r>
        <w:rPr>
          <w:color w:val="000000" w:themeColor="text1"/>
        </w:rPr>
        <w:t>P</w:t>
      </w:r>
      <w:r w:rsidR="78C286D4" w:rsidRPr="00A71F89">
        <w:rPr>
          <w:color w:val="000000" w:themeColor="text1"/>
        </w:rPr>
        <w:t xml:space="preserve">rograms operated by the </w:t>
      </w:r>
      <w:r w:rsidR="00232D0C">
        <w:rPr>
          <w:color w:val="000000" w:themeColor="text1"/>
        </w:rPr>
        <w:t>Commission</w:t>
      </w:r>
    </w:p>
    <w:p w14:paraId="7A5DACF0" w14:textId="0263364A" w:rsidR="008008B4" w:rsidRDefault="00C10693" w:rsidP="00C64851">
      <w:pPr>
        <w:pStyle w:val="BodyText"/>
        <w:numPr>
          <w:ilvl w:val="0"/>
          <w:numId w:val="398"/>
        </w:numPr>
        <w:ind w:left="1080" w:hanging="720"/>
        <w:rPr>
          <w:color w:val="000000" w:themeColor="text1"/>
        </w:rPr>
      </w:pPr>
      <w:r>
        <w:rPr>
          <w:color w:val="000000" w:themeColor="text1"/>
        </w:rPr>
        <w:t>R</w:t>
      </w:r>
      <w:r w:rsidR="78C286D4" w:rsidRPr="008008B4">
        <w:rPr>
          <w:color w:val="000000" w:themeColor="text1"/>
        </w:rPr>
        <w:t xml:space="preserve">ole and functions of the </w:t>
      </w:r>
      <w:r w:rsidR="00232D0C">
        <w:rPr>
          <w:color w:val="000000" w:themeColor="text1"/>
        </w:rPr>
        <w:t>Commission</w:t>
      </w:r>
    </w:p>
    <w:p w14:paraId="4E654539" w14:textId="6ECF8E34" w:rsidR="00596C41" w:rsidRDefault="00C10693" w:rsidP="00C64851">
      <w:pPr>
        <w:pStyle w:val="BodyText"/>
        <w:numPr>
          <w:ilvl w:val="0"/>
          <w:numId w:val="398"/>
        </w:numPr>
        <w:ind w:left="1080" w:hanging="720"/>
        <w:rPr>
          <w:color w:val="000000" w:themeColor="text1"/>
        </w:rPr>
      </w:pPr>
      <w:r>
        <w:rPr>
          <w:color w:val="000000" w:themeColor="text1"/>
        </w:rPr>
        <w:t>R</w:t>
      </w:r>
      <w:r w:rsidR="78C286D4" w:rsidRPr="00596C41">
        <w:rPr>
          <w:color w:val="000000" w:themeColor="text1"/>
        </w:rPr>
        <w:t xml:space="preserve">ules of the </w:t>
      </w:r>
      <w:r w:rsidR="00232D0C">
        <w:rPr>
          <w:color w:val="000000" w:themeColor="text1"/>
        </w:rPr>
        <w:t>Commission</w:t>
      </w:r>
      <w:r w:rsidR="78C286D4" w:rsidRPr="00596C41">
        <w:rPr>
          <w:color w:val="000000" w:themeColor="text1"/>
        </w:rPr>
        <w:t>, with an emphasis on the rules that relate to disciplinary and investigatory authority</w:t>
      </w:r>
    </w:p>
    <w:p w14:paraId="044D8A44" w14:textId="1C3DF7ED" w:rsidR="00596C41" w:rsidRDefault="00C10693" w:rsidP="00C64851">
      <w:pPr>
        <w:pStyle w:val="BodyText"/>
        <w:numPr>
          <w:ilvl w:val="0"/>
          <w:numId w:val="398"/>
        </w:numPr>
        <w:ind w:left="1080" w:hanging="720"/>
        <w:rPr>
          <w:color w:val="000000" w:themeColor="text1"/>
        </w:rPr>
      </w:pPr>
      <w:r>
        <w:rPr>
          <w:color w:val="000000" w:themeColor="text1"/>
        </w:rPr>
        <w:t>C</w:t>
      </w:r>
      <w:r w:rsidR="78C286D4" w:rsidRPr="00596C41">
        <w:rPr>
          <w:color w:val="000000" w:themeColor="text1"/>
        </w:rPr>
        <w:t xml:space="preserve">urrent budget for the </w:t>
      </w:r>
      <w:r w:rsidR="00232D0C">
        <w:rPr>
          <w:color w:val="000000" w:themeColor="text1"/>
        </w:rPr>
        <w:t>Commission</w:t>
      </w:r>
    </w:p>
    <w:p w14:paraId="7DC448AF" w14:textId="6579F8FB" w:rsidR="000411BC" w:rsidRDefault="00C10693" w:rsidP="00C64851">
      <w:pPr>
        <w:pStyle w:val="BodyText"/>
        <w:numPr>
          <w:ilvl w:val="0"/>
          <w:numId w:val="398"/>
        </w:numPr>
        <w:ind w:left="1080" w:hanging="720"/>
        <w:rPr>
          <w:color w:val="000000" w:themeColor="text1"/>
        </w:rPr>
      </w:pPr>
      <w:r>
        <w:rPr>
          <w:color w:val="000000" w:themeColor="text1"/>
        </w:rPr>
        <w:t>R</w:t>
      </w:r>
      <w:r w:rsidR="78C286D4" w:rsidRPr="00F34531">
        <w:rPr>
          <w:color w:val="000000" w:themeColor="text1"/>
        </w:rPr>
        <w:t xml:space="preserve">esults of the most recent formal audit of the </w:t>
      </w:r>
      <w:r w:rsidR="00232D0C">
        <w:rPr>
          <w:color w:val="000000" w:themeColor="text1"/>
        </w:rPr>
        <w:t>Commission</w:t>
      </w:r>
    </w:p>
    <w:p w14:paraId="2214D5C5" w14:textId="3D6F6DC1" w:rsidR="007744B9" w:rsidRDefault="00C10693" w:rsidP="00C64851">
      <w:pPr>
        <w:pStyle w:val="BodyText"/>
        <w:numPr>
          <w:ilvl w:val="0"/>
          <w:numId w:val="398"/>
        </w:numPr>
        <w:ind w:left="1080" w:hanging="720"/>
        <w:rPr>
          <w:color w:val="000000" w:themeColor="text1"/>
        </w:rPr>
      </w:pPr>
      <w:r>
        <w:rPr>
          <w:color w:val="000000" w:themeColor="text1"/>
        </w:rPr>
        <w:t>R</w:t>
      </w:r>
      <w:r w:rsidR="78C286D4" w:rsidRPr="000411BC">
        <w:rPr>
          <w:color w:val="000000" w:themeColor="text1"/>
        </w:rPr>
        <w:t>equirements of:</w:t>
      </w:r>
    </w:p>
    <w:p w14:paraId="330281DA" w14:textId="76D257FB" w:rsidR="002B3523" w:rsidRPr="007744B9" w:rsidRDefault="00885E2E" w:rsidP="00885E2E">
      <w:pPr>
        <w:pStyle w:val="BodyText"/>
        <w:ind w:left="720"/>
        <w:rPr>
          <w:color w:val="000000" w:themeColor="text1"/>
        </w:rPr>
      </w:pPr>
      <w:r>
        <w:rPr>
          <w:color w:val="000000" w:themeColor="text1"/>
        </w:rPr>
        <w:t>a.</w:t>
      </w:r>
      <w:r>
        <w:rPr>
          <w:color w:val="000000" w:themeColor="text1"/>
        </w:rPr>
        <w:tab/>
      </w:r>
      <w:r w:rsidR="78C286D4" w:rsidRPr="007744B9">
        <w:rPr>
          <w:color w:val="000000" w:themeColor="text1"/>
        </w:rPr>
        <w:t xml:space="preserve">the open meetings law, Chapter </w:t>
      </w:r>
      <w:hyperlink r:id="rId49">
        <w:r w:rsidR="78C286D4" w:rsidRPr="00F34531">
          <w:rPr>
            <w:rStyle w:val="Hyperlink"/>
          </w:rPr>
          <w:t>551</w:t>
        </w:r>
      </w:hyperlink>
      <w:r w:rsidR="78C286D4" w:rsidRPr="007744B9">
        <w:rPr>
          <w:color w:val="000000" w:themeColor="text1"/>
        </w:rPr>
        <w:t>, Government Code</w:t>
      </w:r>
    </w:p>
    <w:p w14:paraId="0A194776" w14:textId="7E863456" w:rsidR="002B3523" w:rsidRDefault="00D07881" w:rsidP="00D07881">
      <w:pPr>
        <w:pStyle w:val="BodyText"/>
        <w:ind w:left="720"/>
        <w:rPr>
          <w:color w:val="000000" w:themeColor="text1"/>
        </w:rPr>
      </w:pPr>
      <w:r>
        <w:rPr>
          <w:color w:val="000000" w:themeColor="text1"/>
        </w:rPr>
        <w:t>b.</w:t>
      </w:r>
      <w:r>
        <w:rPr>
          <w:color w:val="000000" w:themeColor="text1"/>
        </w:rPr>
        <w:tab/>
      </w:r>
      <w:r w:rsidR="78C286D4" w:rsidRPr="1241769C">
        <w:rPr>
          <w:color w:val="000000" w:themeColor="text1"/>
        </w:rPr>
        <w:t xml:space="preserve">the public information law, Chapter </w:t>
      </w:r>
      <w:hyperlink r:id="rId50">
        <w:r w:rsidR="78C286D4" w:rsidRPr="1241769C">
          <w:rPr>
            <w:rStyle w:val="Hyperlink"/>
            <w:iCs/>
          </w:rPr>
          <w:t>552</w:t>
        </w:r>
      </w:hyperlink>
      <w:r w:rsidR="78C286D4" w:rsidRPr="1241769C">
        <w:rPr>
          <w:color w:val="000000" w:themeColor="text1"/>
        </w:rPr>
        <w:t>, Government Code</w:t>
      </w:r>
    </w:p>
    <w:p w14:paraId="562F6D85" w14:textId="7D92C6B1" w:rsidR="002B3523" w:rsidRDefault="00D07881" w:rsidP="00D07881">
      <w:pPr>
        <w:pStyle w:val="BodyText"/>
        <w:ind w:left="720"/>
        <w:rPr>
          <w:color w:val="000000" w:themeColor="text1"/>
        </w:rPr>
      </w:pPr>
      <w:r>
        <w:rPr>
          <w:color w:val="000000" w:themeColor="text1"/>
        </w:rPr>
        <w:t>c.</w:t>
      </w:r>
      <w:r>
        <w:rPr>
          <w:color w:val="000000" w:themeColor="text1"/>
        </w:rPr>
        <w:tab/>
      </w:r>
      <w:r w:rsidR="78C286D4" w:rsidRPr="1241769C">
        <w:rPr>
          <w:color w:val="000000" w:themeColor="text1"/>
        </w:rPr>
        <w:t xml:space="preserve">the administrative procedure law, Chapter </w:t>
      </w:r>
      <w:hyperlink r:id="rId51">
        <w:r w:rsidR="78C286D4" w:rsidRPr="1241769C">
          <w:rPr>
            <w:rStyle w:val="Hyperlink"/>
            <w:iCs/>
          </w:rPr>
          <w:t>2001</w:t>
        </w:r>
      </w:hyperlink>
      <w:r w:rsidR="78C286D4" w:rsidRPr="1241769C">
        <w:rPr>
          <w:color w:val="000000" w:themeColor="text1"/>
        </w:rPr>
        <w:t>, Government Code</w:t>
      </w:r>
    </w:p>
    <w:p w14:paraId="1CF4D1B1" w14:textId="02DD7375" w:rsidR="002B3523" w:rsidRDefault="00D07881" w:rsidP="00D07881">
      <w:pPr>
        <w:pStyle w:val="BodyText"/>
        <w:ind w:left="720"/>
        <w:rPr>
          <w:color w:val="000000" w:themeColor="text1"/>
        </w:rPr>
      </w:pPr>
      <w:r>
        <w:rPr>
          <w:color w:val="000000" w:themeColor="text1"/>
        </w:rPr>
        <w:t>d.</w:t>
      </w:r>
      <w:r>
        <w:rPr>
          <w:color w:val="000000" w:themeColor="text1"/>
        </w:rPr>
        <w:tab/>
      </w:r>
      <w:r w:rsidR="78C286D4" w:rsidRPr="1241769C">
        <w:rPr>
          <w:color w:val="000000" w:themeColor="text1"/>
        </w:rPr>
        <w:t>other laws relating to public officials, including conflict-of-interest laws</w:t>
      </w:r>
    </w:p>
    <w:p w14:paraId="3D4A31CC" w14:textId="7E20588F" w:rsidR="005154F7" w:rsidRPr="005154F7" w:rsidRDefault="00C10693" w:rsidP="00C64851">
      <w:pPr>
        <w:pStyle w:val="BodyText"/>
        <w:numPr>
          <w:ilvl w:val="0"/>
          <w:numId w:val="398"/>
        </w:numPr>
        <w:ind w:left="1080" w:hanging="720"/>
        <w:rPr>
          <w:iCs/>
        </w:rPr>
      </w:pPr>
      <w:r>
        <w:t>C</w:t>
      </w:r>
      <w:r w:rsidR="78C286D4" w:rsidRPr="1241769C">
        <w:t xml:space="preserve">ivil rights laws relevant to employment programs offered by the </w:t>
      </w:r>
      <w:r w:rsidR="00232D0C">
        <w:t>Commission</w:t>
      </w:r>
    </w:p>
    <w:p w14:paraId="5D36AD35" w14:textId="2392F87D" w:rsidR="78C286D4" w:rsidRPr="005154F7" w:rsidRDefault="00C10693" w:rsidP="00C64851">
      <w:pPr>
        <w:pStyle w:val="BodyText"/>
        <w:numPr>
          <w:ilvl w:val="0"/>
          <w:numId w:val="398"/>
        </w:numPr>
        <w:ind w:left="1080" w:hanging="720"/>
        <w:rPr>
          <w:iCs/>
        </w:rPr>
      </w:pPr>
      <w:r>
        <w:t>A</w:t>
      </w:r>
      <w:r w:rsidR="78C286D4" w:rsidRPr="1241769C">
        <w:t xml:space="preserve">ny applicable ethics policies adopted by the </w:t>
      </w:r>
      <w:r w:rsidR="00232D0C">
        <w:t>Commission</w:t>
      </w:r>
      <w:r w:rsidR="78C286D4" w:rsidRPr="1241769C">
        <w:t xml:space="preserve"> or the Texas Ethics Commission</w:t>
      </w:r>
    </w:p>
    <w:p w14:paraId="16AE19A9" w14:textId="0B57465A" w:rsidR="78C286D4" w:rsidRDefault="78C286D4" w:rsidP="00543277">
      <w:pPr>
        <w:pStyle w:val="BodyText"/>
      </w:pPr>
      <w:r w:rsidRPr="1241769C">
        <w:lastRenderedPageBreak/>
        <w:t xml:space="preserve">The General Counsel provides a written compilation of materials covering </w:t>
      </w:r>
      <w:proofErr w:type="gramStart"/>
      <w:r w:rsidRPr="1241769C">
        <w:t>all of</w:t>
      </w:r>
      <w:proofErr w:type="gramEnd"/>
      <w:r w:rsidRPr="1241769C">
        <w:t xml:space="preserve"> these topics and an in-person oral training on these topics, which includes a PowerPoint presentation.  Further, the newly appointed Commissioner takes additional training in the open meetings and public information laws, conducted by the Texas Attorney General’s office. These trainings are conducted one time.  The Commissioners are provided updated materials as any relevant laws change.</w:t>
      </w:r>
    </w:p>
    <w:p w14:paraId="14471085" w14:textId="58BDC760" w:rsidR="00066A61" w:rsidRPr="00350FF0" w:rsidRDefault="00712BE6" w:rsidP="00543277">
      <w:pPr>
        <w:pStyle w:val="BodyText3"/>
        <w:ind w:left="720" w:hanging="720"/>
        <w:rPr>
          <w:rStyle w:val="Strong"/>
        </w:rPr>
      </w:pPr>
      <w:bookmarkStart w:id="120" w:name="_Toc417645481"/>
      <w:bookmarkStart w:id="121" w:name="_Toc417647470"/>
      <w:r>
        <w:rPr>
          <w:rStyle w:val="Strong"/>
        </w:rPr>
        <w:t>H</w:t>
      </w:r>
      <w:r w:rsidR="00066A61" w:rsidRPr="00350FF0">
        <w:rPr>
          <w:rStyle w:val="Strong"/>
        </w:rPr>
        <w:t>.</w:t>
      </w:r>
      <w:r w:rsidR="00543277">
        <w:rPr>
          <w:rStyle w:val="Strong"/>
        </w:rPr>
        <w:tab/>
        <w:t>W</w:t>
      </w:r>
      <w:r w:rsidR="00066A61" w:rsidRPr="00350FF0">
        <w:rPr>
          <w:rStyle w:val="Strong"/>
        </w:rPr>
        <w:t xml:space="preserve">hat information is regularly presented to your policymaking body to keep them informed </w:t>
      </w:r>
      <w:r w:rsidR="00E31C28" w:rsidRPr="00350FF0">
        <w:rPr>
          <w:rStyle w:val="Strong"/>
        </w:rPr>
        <w:t xml:space="preserve">about the </w:t>
      </w:r>
      <w:r w:rsidR="00066A61" w:rsidRPr="00350FF0">
        <w:rPr>
          <w:rStyle w:val="Strong"/>
        </w:rPr>
        <w:t>agency</w:t>
      </w:r>
      <w:r w:rsidR="00F044D6">
        <w:rPr>
          <w:rStyle w:val="Strong"/>
        </w:rPr>
        <w:t>’</w:t>
      </w:r>
      <w:r w:rsidR="00066A61" w:rsidRPr="00350FF0">
        <w:rPr>
          <w:rStyle w:val="Strong"/>
        </w:rPr>
        <w:t xml:space="preserve">s </w:t>
      </w:r>
      <w:r w:rsidR="00E31C28" w:rsidRPr="00350FF0">
        <w:rPr>
          <w:rStyle w:val="Strong"/>
        </w:rPr>
        <w:t xml:space="preserve">operations and </w:t>
      </w:r>
      <w:r w:rsidR="00066A61" w:rsidRPr="00350FF0">
        <w:rPr>
          <w:rStyle w:val="Strong"/>
        </w:rPr>
        <w:t>performance?</w:t>
      </w:r>
      <w:bookmarkEnd w:id="120"/>
      <w:bookmarkEnd w:id="121"/>
    </w:p>
    <w:p w14:paraId="161FB729" w14:textId="6A1B2AED" w:rsidR="3C36B61F" w:rsidRDefault="3C36B61F" w:rsidP="002625A5">
      <w:pPr>
        <w:pStyle w:val="BodyText"/>
        <w:rPr>
          <w:rFonts w:eastAsia="Aptos"/>
        </w:rPr>
      </w:pPr>
      <w:r w:rsidRPr="1241769C">
        <w:rPr>
          <w:rFonts w:eastAsia="Aptos"/>
        </w:rPr>
        <w:t>The Commission is provided updates during regularly scheduled open meetings regarding agency operations and performance. These updates are provided by the Executive Director and Executive Staff. Additionally, periodic performance reports are prepared and circulated to each Commissioner.</w:t>
      </w:r>
    </w:p>
    <w:p w14:paraId="0BA21E5C" w14:textId="79A993A5" w:rsidR="3C36B61F" w:rsidRDefault="3C36B61F" w:rsidP="002625A5">
      <w:pPr>
        <w:pStyle w:val="BodyText"/>
        <w:rPr>
          <w:rFonts w:eastAsia="Aptos"/>
        </w:rPr>
      </w:pPr>
      <w:r w:rsidRPr="1241769C">
        <w:rPr>
          <w:rFonts w:eastAsia="Aptos"/>
        </w:rPr>
        <w:t xml:space="preserve">The Commissioners’ offices also receive </w:t>
      </w:r>
      <w:r w:rsidRPr="4564A031">
        <w:rPr>
          <w:rFonts w:eastAsia="Aptos"/>
        </w:rPr>
        <w:t>ind</w:t>
      </w:r>
      <w:r w:rsidR="258D6DDF" w:rsidRPr="4564A031">
        <w:rPr>
          <w:rFonts w:eastAsia="Aptos"/>
        </w:rPr>
        <w:t>ividu</w:t>
      </w:r>
      <w:r w:rsidRPr="4564A031">
        <w:rPr>
          <w:rFonts w:eastAsia="Aptos"/>
        </w:rPr>
        <w:t>al</w:t>
      </w:r>
      <w:r w:rsidRPr="1241769C">
        <w:rPr>
          <w:rFonts w:eastAsia="Aptos"/>
        </w:rPr>
        <w:t xml:space="preserve"> and identical weekly policy briefings from agency staff. These briefings cover agency and board performance, establishing performance measures, rulemakings, allocation of grants and other policy issues scheduled to be brought before the Commission during a scheduled Commission open meeting.  Commissioner input and decisions take place during the properly noticed Commission open meetings. In addition, each Commissioner</w:t>
      </w:r>
      <w:r w:rsidR="00581DBC">
        <w:rPr>
          <w:rFonts w:eastAsia="Aptos"/>
        </w:rPr>
        <w:t>’s</w:t>
      </w:r>
      <w:r w:rsidRPr="1241769C">
        <w:rPr>
          <w:rFonts w:eastAsia="Aptos"/>
        </w:rPr>
        <w:t xml:space="preserve"> office receives from agency staff a formal compilation of economic, financial and performance measures data regarding the workforce solutions system.</w:t>
      </w:r>
    </w:p>
    <w:p w14:paraId="20EEC5C4" w14:textId="71BE8583" w:rsidR="00066A61" w:rsidRPr="00350FF0" w:rsidRDefault="00AD56EC" w:rsidP="00543277">
      <w:pPr>
        <w:pStyle w:val="BodyText3"/>
        <w:ind w:left="720" w:hanging="720"/>
        <w:rPr>
          <w:rStyle w:val="Strong"/>
        </w:rPr>
      </w:pPr>
      <w:bookmarkStart w:id="122" w:name="_Toc417645482"/>
      <w:bookmarkStart w:id="123" w:name="_Toc417647471"/>
      <w:r>
        <w:rPr>
          <w:rStyle w:val="Strong"/>
        </w:rPr>
        <w:t>I</w:t>
      </w:r>
      <w:r w:rsidR="00066A61" w:rsidRPr="00350FF0">
        <w:rPr>
          <w:rStyle w:val="Strong"/>
        </w:rPr>
        <w:t>.</w:t>
      </w:r>
      <w:r w:rsidR="00543277">
        <w:rPr>
          <w:rStyle w:val="Strong"/>
        </w:rPr>
        <w:tab/>
      </w:r>
      <w:r w:rsidR="00066A61" w:rsidRPr="00350FF0">
        <w:rPr>
          <w:rStyle w:val="Strong"/>
        </w:rPr>
        <w:t>How does your policymaking body obtain input from the public regarding issues under the</w:t>
      </w:r>
      <w:r w:rsidR="004363DB" w:rsidRPr="00350FF0">
        <w:rPr>
          <w:rStyle w:val="Strong"/>
        </w:rPr>
        <w:t xml:space="preserve"> agency</w:t>
      </w:r>
      <w:r w:rsidR="00F044D6">
        <w:rPr>
          <w:rStyle w:val="Strong"/>
        </w:rPr>
        <w:t>’</w:t>
      </w:r>
      <w:r w:rsidR="004363DB" w:rsidRPr="00350FF0">
        <w:rPr>
          <w:rStyle w:val="Strong"/>
        </w:rPr>
        <w:t>s</w:t>
      </w:r>
      <w:r w:rsidR="00066A61" w:rsidRPr="00350FF0">
        <w:rPr>
          <w:rStyle w:val="Strong"/>
        </w:rPr>
        <w:t xml:space="preserve"> jurisdiction?</w:t>
      </w:r>
      <w:r w:rsidR="008A4A34">
        <w:rPr>
          <w:rStyle w:val="Strong"/>
        </w:rPr>
        <w:t xml:space="preserve"> </w:t>
      </w:r>
      <w:r w:rsidR="00066A61" w:rsidRPr="00350FF0">
        <w:rPr>
          <w:rStyle w:val="Strong"/>
        </w:rPr>
        <w:t>How is this input incorporated into the operations of your agency?</w:t>
      </w:r>
      <w:bookmarkEnd w:id="122"/>
      <w:bookmarkEnd w:id="123"/>
    </w:p>
    <w:p w14:paraId="7DF53578" w14:textId="45A00DF4" w:rsidR="1DB82D06" w:rsidRDefault="1DB82D06" w:rsidP="1241769C">
      <w:pPr>
        <w:pStyle w:val="BodyText"/>
        <w:rPr>
          <w:iCs/>
          <w:color w:val="000000" w:themeColor="text1"/>
        </w:rPr>
      </w:pPr>
      <w:r w:rsidRPr="1241769C">
        <w:rPr>
          <w:iCs/>
          <w:color w:val="000000" w:themeColor="text1"/>
        </w:rPr>
        <w:t>The Commission includes a public comment agenda item during every Commission open meeting.  Members of the public are permitted to offer comment and input on any issue under the agency’s jurisdiction.  Input may be submitted in writing as well.  All oral and written comment</w:t>
      </w:r>
      <w:r w:rsidR="00EE3A10">
        <w:rPr>
          <w:iCs/>
          <w:color w:val="000000" w:themeColor="text1"/>
        </w:rPr>
        <w:t>s</w:t>
      </w:r>
      <w:r w:rsidRPr="1241769C">
        <w:rPr>
          <w:iCs/>
          <w:color w:val="000000" w:themeColor="text1"/>
        </w:rPr>
        <w:t xml:space="preserve"> are considered by the Commission in carrying out its duties.  Further, the Executive Director and Executive Management consider all input received and follow-up with the public commenter as appropriate.</w:t>
      </w:r>
    </w:p>
    <w:p w14:paraId="7F630B08" w14:textId="0B3A116B" w:rsidR="1DB82D06" w:rsidRDefault="1DB82D06" w:rsidP="1241769C">
      <w:pPr>
        <w:pStyle w:val="BodyText"/>
        <w:rPr>
          <w:iCs/>
          <w:color w:val="000000" w:themeColor="text1"/>
        </w:rPr>
      </w:pPr>
      <w:r w:rsidRPr="1241769C">
        <w:rPr>
          <w:iCs/>
          <w:color w:val="000000" w:themeColor="text1"/>
        </w:rPr>
        <w:t>The Commission also permits members of the public to provide input on any item that is posted for Commission consideration during an open meeting.  The Commission may engage directly with the member of the public providing comment in this fashion.</w:t>
      </w:r>
    </w:p>
    <w:p w14:paraId="4A7FD2F3" w14:textId="56572FBF" w:rsidR="1DB82D06" w:rsidRDefault="1DB82D06" w:rsidP="1241769C">
      <w:pPr>
        <w:pStyle w:val="BodyText"/>
        <w:rPr>
          <w:iCs/>
          <w:color w:val="000000" w:themeColor="text1"/>
        </w:rPr>
      </w:pPr>
      <w:r w:rsidRPr="1241769C">
        <w:rPr>
          <w:iCs/>
          <w:color w:val="000000" w:themeColor="text1"/>
        </w:rPr>
        <w:t>The Commission solicits public comment and input on every agency rulemaking proposed by the body.  The input received is considered and incorporated into the final adopted version of the rulemaking, as appropriate.  When considering and acting upon any final rule or rule amendment, the Commission adopts formal written responses to all comments received.</w:t>
      </w:r>
    </w:p>
    <w:p w14:paraId="52192BB7" w14:textId="62B21230" w:rsidR="00066A61" w:rsidRPr="00543277" w:rsidRDefault="00AD56EC" w:rsidP="00543277">
      <w:pPr>
        <w:pStyle w:val="BodyText"/>
      </w:pPr>
      <w:bookmarkStart w:id="124" w:name="_Toc417645483"/>
      <w:bookmarkStart w:id="125" w:name="_Toc417647472"/>
      <w:r w:rsidRPr="0D8CF315">
        <w:rPr>
          <w:rStyle w:val="Strong"/>
        </w:rPr>
        <w:lastRenderedPageBreak/>
        <w:t>J</w:t>
      </w:r>
      <w:r w:rsidR="00066A61" w:rsidRPr="0D8CF315">
        <w:rPr>
          <w:rStyle w:val="Strong"/>
        </w:rPr>
        <w:t>.</w:t>
      </w:r>
      <w:r>
        <w:tab/>
      </w:r>
      <w:r w:rsidR="00066A61" w:rsidRPr="0D8CF315">
        <w:rPr>
          <w:rStyle w:val="Strong"/>
        </w:rPr>
        <w:t>If your policymaking body uses subcommittees</w:t>
      </w:r>
      <w:r w:rsidR="001B6C5B" w:rsidRPr="0D8CF315">
        <w:rPr>
          <w:rStyle w:val="Strong"/>
        </w:rPr>
        <w:t xml:space="preserve">, </w:t>
      </w:r>
      <w:r w:rsidR="00066A61" w:rsidRPr="0D8CF315">
        <w:rPr>
          <w:rStyle w:val="Strong"/>
        </w:rPr>
        <w:t>advisory committees</w:t>
      </w:r>
      <w:r w:rsidR="001B6C5B" w:rsidRPr="0D8CF315">
        <w:rPr>
          <w:rStyle w:val="Strong"/>
        </w:rPr>
        <w:t>, councils, or other groups</w:t>
      </w:r>
      <w:r w:rsidR="00066A61" w:rsidRPr="0D8CF315">
        <w:rPr>
          <w:rStyle w:val="Strong"/>
        </w:rPr>
        <w:t xml:space="preserve"> to carry out its duties, fill in the following </w:t>
      </w:r>
      <w:r w:rsidR="00CB2999" w:rsidRPr="0D8CF315">
        <w:rPr>
          <w:rStyle w:val="Strong"/>
        </w:rPr>
        <w:t>table</w:t>
      </w:r>
      <w:r w:rsidR="00832B49" w:rsidRPr="0D8CF315">
        <w:rPr>
          <w:rStyle w:val="Strong"/>
        </w:rPr>
        <w:t xml:space="preserve">. </w:t>
      </w:r>
      <w:bookmarkEnd w:id="124"/>
      <w:bookmarkEnd w:id="125"/>
      <w:r w:rsidR="005C5DB0" w:rsidRPr="0D8CF315">
        <w:rPr>
          <w:rStyle w:val="Strong"/>
        </w:rPr>
        <w:t xml:space="preserve">For </w:t>
      </w:r>
      <w:r w:rsidR="001B6C5B" w:rsidRPr="0D8CF315">
        <w:rPr>
          <w:rStyle w:val="Strong"/>
        </w:rPr>
        <w:t xml:space="preserve">any </w:t>
      </w:r>
      <w:r w:rsidR="005C5DB0" w:rsidRPr="0D8CF315">
        <w:rPr>
          <w:rStyle w:val="Strong"/>
        </w:rPr>
        <w:t>advisory committees</w:t>
      </w:r>
      <w:r w:rsidR="001B6C5B" w:rsidRPr="0D8CF315">
        <w:rPr>
          <w:rStyle w:val="Strong"/>
        </w:rPr>
        <w:t xml:space="preserve"> established in statute</w:t>
      </w:r>
      <w:r w:rsidR="005C5DB0" w:rsidRPr="0D8CF315">
        <w:rPr>
          <w:rStyle w:val="Strong"/>
        </w:rPr>
        <w:t xml:space="preserve">, please note the date of creation for the committee as well as the abolishment date as required by </w:t>
      </w:r>
      <w:r w:rsidR="004377F6" w:rsidRPr="0D8CF315">
        <w:rPr>
          <w:rStyle w:val="Strong"/>
        </w:rPr>
        <w:t xml:space="preserve">Texas </w:t>
      </w:r>
      <w:r w:rsidR="005C5DB0" w:rsidRPr="0D8CF315">
        <w:rPr>
          <w:rStyle w:val="Strong"/>
        </w:rPr>
        <w:t>Government Code</w:t>
      </w:r>
      <w:r w:rsidR="004377F6" w:rsidRPr="0D8CF315">
        <w:rPr>
          <w:rStyle w:val="Strong"/>
        </w:rPr>
        <w:t>,</w:t>
      </w:r>
      <w:r w:rsidR="005C5DB0" w:rsidRPr="0D8CF315">
        <w:rPr>
          <w:rStyle w:val="Strong"/>
        </w:rPr>
        <w:t xml:space="preserve"> </w:t>
      </w:r>
      <w:r w:rsidR="004377F6" w:rsidRPr="0D8CF315">
        <w:rPr>
          <w:rStyle w:val="Strong"/>
        </w:rPr>
        <w:t>S</w:t>
      </w:r>
      <w:r w:rsidR="005C5DB0" w:rsidRPr="0D8CF315">
        <w:rPr>
          <w:rStyle w:val="Strong"/>
        </w:rPr>
        <w:t>ection 2110.008</w:t>
      </w:r>
      <w:r w:rsidR="003E0275" w:rsidRPr="0D8CF315">
        <w:rPr>
          <w:rStyle w:val="Strong"/>
        </w:rPr>
        <w:t>.</w:t>
      </w:r>
      <w:r w:rsidR="3BFFD3CA" w:rsidRPr="0D8CF315">
        <w:rPr>
          <w:rStyle w:val="Strong"/>
        </w:rPr>
        <w:t xml:space="preserve"> </w:t>
      </w:r>
      <w:r w:rsidR="004C6369" w:rsidRPr="00543277">
        <w:t>In addition, please attach a copy of any reports</w:t>
      </w:r>
      <w:r w:rsidR="0011285E" w:rsidRPr="00543277">
        <w:t xml:space="preserve"> your agency</w:t>
      </w:r>
      <w:r w:rsidR="004C6369" w:rsidRPr="00543277">
        <w:t xml:space="preserve"> filed under </w:t>
      </w:r>
      <w:r w:rsidR="004377F6" w:rsidRPr="00543277">
        <w:t xml:space="preserve">Texas </w:t>
      </w:r>
      <w:r w:rsidR="004C6369" w:rsidRPr="00543277">
        <w:t>Government Code</w:t>
      </w:r>
      <w:r w:rsidR="00DF00A4" w:rsidRPr="00543277">
        <w:t>,</w:t>
      </w:r>
      <w:r w:rsidR="004C6369" w:rsidRPr="00543277">
        <w:t xml:space="preserve"> </w:t>
      </w:r>
      <w:r w:rsidR="00DF00A4" w:rsidRPr="00543277">
        <w:t xml:space="preserve">Section </w:t>
      </w:r>
      <w:r w:rsidR="004C6369" w:rsidRPr="00543277">
        <w:t>2110</w:t>
      </w:r>
      <w:r w:rsidR="005C5DB0" w:rsidRPr="00543277">
        <w:t>.007</w:t>
      </w:r>
      <w:r w:rsidR="004C6369" w:rsidRPr="00543277">
        <w:t xml:space="preserve"> regarding an assessment of </w:t>
      </w:r>
      <w:r w:rsidR="001B6C5B" w:rsidRPr="00543277">
        <w:t xml:space="preserve">any statutory </w:t>
      </w:r>
      <w:r w:rsidR="004C6369" w:rsidRPr="00543277">
        <w:t>advisory committees</w:t>
      </w:r>
      <w:r w:rsidR="005C5DB0" w:rsidRPr="00543277">
        <w:t xml:space="preserve"> as </w:t>
      </w:r>
      <w:r w:rsidR="00D55C3A" w:rsidRPr="00543277">
        <w:t xml:space="preserve">Attachment </w:t>
      </w:r>
      <w:r w:rsidR="005C5DB0" w:rsidRPr="00543277">
        <w:t>2</w:t>
      </w:r>
      <w:r w:rsidR="005D7DF2" w:rsidRPr="00543277">
        <w:t>8</w:t>
      </w:r>
      <w:r w:rsidR="004C6369" w:rsidRPr="00543277">
        <w:t>.</w:t>
      </w:r>
    </w:p>
    <w:p w14:paraId="121092EE" w14:textId="3B7CE4E1" w:rsidR="00066A61" w:rsidRPr="00066A61" w:rsidRDefault="00B57A9D" w:rsidP="00B15660">
      <w:pPr>
        <w:pStyle w:val="BodyText3"/>
        <w:jc w:val="center"/>
      </w:pPr>
      <w:bookmarkStart w:id="126" w:name="_Toc202856314"/>
      <w:bookmarkStart w:id="127" w:name="_Toc202856977"/>
      <w:bookmarkStart w:id="128" w:name="_Toc202857130"/>
      <w:bookmarkStart w:id="129" w:name="_Toc202860910"/>
      <w:bookmarkStart w:id="130" w:name="_Toc202861083"/>
      <w:bookmarkStart w:id="131" w:name="_Toc137435353"/>
      <w:bookmarkStart w:id="132" w:name="_Toc175929081"/>
      <w:bookmarkStart w:id="133" w:name="_Toc417645485"/>
      <w:bookmarkStart w:id="134" w:name="_Toc417647474"/>
      <w:r>
        <w:t>Texas Workforce Commission</w:t>
      </w:r>
      <w:bookmarkEnd w:id="126"/>
      <w:bookmarkEnd w:id="127"/>
      <w:bookmarkEnd w:id="128"/>
      <w:bookmarkEnd w:id="129"/>
      <w:bookmarkEnd w:id="130"/>
      <w:bookmarkEnd w:id="131"/>
      <w:bookmarkEnd w:id="132"/>
      <w:r w:rsidR="000A1064">
        <w:br/>
      </w:r>
      <w:bookmarkStart w:id="135" w:name="_Toc202856315"/>
      <w:bookmarkStart w:id="136" w:name="_Toc202856978"/>
      <w:bookmarkStart w:id="137" w:name="_Toc202857131"/>
      <w:bookmarkStart w:id="138" w:name="_Toc202860911"/>
      <w:bookmarkStart w:id="139" w:name="_Toc202861084"/>
      <w:bookmarkStart w:id="140" w:name="_Toc761056192"/>
      <w:bookmarkStart w:id="141" w:name="_Toc1389138723"/>
      <w:r w:rsidR="002979A2">
        <w:t xml:space="preserve">Exhibit </w:t>
      </w:r>
      <w:r w:rsidR="005334B7">
        <w:t>6</w:t>
      </w:r>
      <w:r w:rsidR="00066A61">
        <w:t>: Subcommittees and Advisory Committees</w:t>
      </w:r>
      <w:bookmarkEnd w:id="133"/>
      <w:bookmarkEnd w:id="134"/>
      <w:bookmarkEnd w:id="135"/>
      <w:bookmarkEnd w:id="136"/>
      <w:bookmarkEnd w:id="137"/>
      <w:bookmarkEnd w:id="138"/>
      <w:bookmarkEnd w:id="139"/>
      <w:bookmarkEnd w:id="140"/>
      <w:bookmarkEnd w:id="141"/>
    </w:p>
    <w:tbl>
      <w:tblPr>
        <w:tblStyle w:val="TableGrid"/>
        <w:tblW w:w="9535" w:type="dxa"/>
        <w:tblLayout w:type="fixed"/>
        <w:tblCellMar>
          <w:top w:w="72" w:type="dxa"/>
          <w:bottom w:w="72" w:type="dxa"/>
        </w:tblCellMar>
        <w:tblLook w:val="04A0" w:firstRow="1" w:lastRow="0" w:firstColumn="1" w:lastColumn="0" w:noHBand="0" w:noVBand="1"/>
        <w:tblDescription w:val="Table template for Exhibit 4 listing the subcommittees and advisory committees with information regarding size,composition, purposes, duties, etc."/>
      </w:tblPr>
      <w:tblGrid>
        <w:gridCol w:w="1525"/>
        <w:gridCol w:w="1530"/>
        <w:gridCol w:w="3726"/>
        <w:gridCol w:w="1359"/>
        <w:gridCol w:w="1395"/>
      </w:tblGrid>
      <w:tr w:rsidR="00941776" w:rsidRPr="00941776" w14:paraId="78114F9C" w14:textId="77777777" w:rsidTr="0D8CF315">
        <w:trPr>
          <w:trHeight w:val="885"/>
          <w:tblHeader/>
        </w:trPr>
        <w:tc>
          <w:tcPr>
            <w:tcW w:w="1525" w:type="dxa"/>
            <w:shd w:val="clear" w:color="auto" w:fill="B8CCE4" w:themeFill="accent1" w:themeFillTint="66"/>
            <w:vAlign w:val="center"/>
            <w:hideMark/>
          </w:tcPr>
          <w:p w14:paraId="10180789" w14:textId="4D5F72C4" w:rsidR="00941776" w:rsidRPr="00941776" w:rsidRDefault="00941776" w:rsidP="00D010B2">
            <w:pPr>
              <w:pStyle w:val="TableHeaders"/>
              <w:rPr>
                <w:rFonts w:ascii="Segoe UI" w:hAnsi="Segoe UI"/>
                <w:szCs w:val="18"/>
              </w:rPr>
            </w:pPr>
            <w:bookmarkStart w:id="142" w:name="Title_Subcommittees_and_Advisory_Committ" w:colFirst="0" w:colLast="0"/>
            <w:r w:rsidRPr="00941776">
              <w:t>Name of Subcommittee</w:t>
            </w:r>
          </w:p>
          <w:p w14:paraId="04E5D90E" w14:textId="11C7111B" w:rsidR="00941776" w:rsidRPr="00941776" w:rsidRDefault="00941776" w:rsidP="00D010B2">
            <w:pPr>
              <w:pStyle w:val="TableHeaders"/>
              <w:rPr>
                <w:rFonts w:ascii="Segoe UI" w:hAnsi="Segoe UI"/>
                <w:szCs w:val="18"/>
              </w:rPr>
            </w:pPr>
            <w:r w:rsidRPr="00941776">
              <w:t>or Advisory Committee</w:t>
            </w:r>
          </w:p>
        </w:tc>
        <w:tc>
          <w:tcPr>
            <w:tcW w:w="1530" w:type="dxa"/>
            <w:shd w:val="clear" w:color="auto" w:fill="B8CCE4" w:themeFill="accent1" w:themeFillTint="66"/>
            <w:vAlign w:val="center"/>
            <w:hideMark/>
          </w:tcPr>
          <w:p w14:paraId="14A489E6" w14:textId="1CE7ECF6" w:rsidR="00941776" w:rsidRPr="00941776" w:rsidRDefault="00941776" w:rsidP="00D010B2">
            <w:pPr>
              <w:pStyle w:val="TableHeaders"/>
              <w:rPr>
                <w:rFonts w:ascii="Segoe UI" w:hAnsi="Segoe UI"/>
                <w:szCs w:val="18"/>
              </w:rPr>
            </w:pPr>
            <w:r w:rsidRPr="00941776">
              <w:t>Size / Composition / How are members appointed?</w:t>
            </w:r>
          </w:p>
        </w:tc>
        <w:tc>
          <w:tcPr>
            <w:tcW w:w="3726" w:type="dxa"/>
            <w:shd w:val="clear" w:color="auto" w:fill="B8CCE4" w:themeFill="accent1" w:themeFillTint="66"/>
            <w:vAlign w:val="center"/>
            <w:hideMark/>
          </w:tcPr>
          <w:p w14:paraId="56A2796B" w14:textId="087A5D08" w:rsidR="00941776" w:rsidRPr="00941776" w:rsidRDefault="00941776" w:rsidP="00D010B2">
            <w:pPr>
              <w:pStyle w:val="TableHeaders"/>
              <w:rPr>
                <w:rFonts w:ascii="Segoe UI" w:hAnsi="Segoe UI"/>
                <w:szCs w:val="18"/>
              </w:rPr>
            </w:pPr>
            <w:r w:rsidRPr="00941776">
              <w:t>Purpose / Duties</w:t>
            </w:r>
          </w:p>
        </w:tc>
        <w:tc>
          <w:tcPr>
            <w:tcW w:w="1359" w:type="dxa"/>
            <w:shd w:val="clear" w:color="auto" w:fill="B8CCE4" w:themeFill="accent1" w:themeFillTint="66"/>
            <w:vAlign w:val="center"/>
            <w:hideMark/>
          </w:tcPr>
          <w:p w14:paraId="3218F455" w14:textId="6127B2D9" w:rsidR="00941776" w:rsidRPr="00941776" w:rsidRDefault="00941776" w:rsidP="00D010B2">
            <w:pPr>
              <w:pStyle w:val="TableHeaders"/>
              <w:rPr>
                <w:rFonts w:ascii="Segoe UI" w:hAnsi="Segoe UI"/>
                <w:szCs w:val="18"/>
              </w:rPr>
            </w:pPr>
            <w:r w:rsidRPr="00941776">
              <w:t>Legal Basis for Committee (statute or rule citation)</w:t>
            </w:r>
          </w:p>
        </w:tc>
        <w:tc>
          <w:tcPr>
            <w:tcW w:w="1395" w:type="dxa"/>
            <w:shd w:val="clear" w:color="auto" w:fill="B8CCE4" w:themeFill="accent1" w:themeFillTint="66"/>
            <w:vAlign w:val="center"/>
            <w:hideMark/>
          </w:tcPr>
          <w:p w14:paraId="0E734B02" w14:textId="594FB034" w:rsidR="00941776" w:rsidRPr="00941776" w:rsidRDefault="00941776" w:rsidP="00D010B2">
            <w:pPr>
              <w:pStyle w:val="TableHeaders"/>
              <w:rPr>
                <w:rFonts w:ascii="Segoe UI" w:hAnsi="Segoe UI"/>
                <w:szCs w:val="18"/>
              </w:rPr>
            </w:pPr>
            <w:r w:rsidRPr="00941776">
              <w:t>Creation and Abolishment Dates</w:t>
            </w:r>
          </w:p>
        </w:tc>
      </w:tr>
      <w:tr w:rsidR="00A5480B" w:rsidRPr="00941776" w14:paraId="22BC911E" w14:textId="77777777" w:rsidTr="0D8CF315">
        <w:trPr>
          <w:trHeight w:val="345"/>
        </w:trPr>
        <w:tc>
          <w:tcPr>
            <w:tcW w:w="1525" w:type="dxa"/>
            <w:vAlign w:val="center"/>
            <w:hideMark/>
          </w:tcPr>
          <w:p w14:paraId="5C839F0D" w14:textId="77AC3BB0" w:rsidR="00941776" w:rsidRPr="00941776" w:rsidRDefault="00941776" w:rsidP="00F22F58">
            <w:pPr>
              <w:pStyle w:val="TableText"/>
              <w:rPr>
                <w:rFonts w:ascii="Segoe UI" w:hAnsi="Segoe UI"/>
                <w:szCs w:val="18"/>
              </w:rPr>
            </w:pPr>
            <w:r w:rsidRPr="00941776">
              <w:t>Adult Education and Literacy (AEL) Advisory Committee</w:t>
            </w:r>
          </w:p>
        </w:tc>
        <w:tc>
          <w:tcPr>
            <w:tcW w:w="1530" w:type="dxa"/>
            <w:vAlign w:val="center"/>
            <w:hideMark/>
          </w:tcPr>
          <w:p w14:paraId="3B732AF0" w14:textId="0151CA6B" w:rsidR="00941776" w:rsidRPr="00941776" w:rsidRDefault="00941776" w:rsidP="00F22F58">
            <w:pPr>
              <w:pStyle w:val="TableText"/>
              <w:rPr>
                <w:rFonts w:ascii="Segoe UI" w:hAnsi="Segoe UI"/>
                <w:szCs w:val="18"/>
              </w:rPr>
            </w:pPr>
            <w:r w:rsidRPr="00941776">
              <w:rPr>
                <w:color w:val="000000"/>
              </w:rPr>
              <w:t>9, State Director of AEL nominates members for the Commissioners' approval.</w:t>
            </w:r>
          </w:p>
        </w:tc>
        <w:tc>
          <w:tcPr>
            <w:tcW w:w="3726" w:type="dxa"/>
            <w:vAlign w:val="center"/>
            <w:hideMark/>
          </w:tcPr>
          <w:p w14:paraId="4C43126D" w14:textId="39CF0E9D" w:rsidR="00941776" w:rsidRPr="00941776" w:rsidRDefault="00941776" w:rsidP="00F22F58">
            <w:pPr>
              <w:pStyle w:val="TableText"/>
              <w:rPr>
                <w:rFonts w:ascii="Segoe UI" w:hAnsi="Segoe UI"/>
                <w:szCs w:val="18"/>
              </w:rPr>
            </w:pPr>
            <w:r w:rsidRPr="00941776">
              <w:t>The committee advises the Commission on developing workforce policies, AEL curriculum guidelines, student transition strategies, and AEL data systems, as well as exploring partnerships to improve statewide literacy programs.</w:t>
            </w:r>
          </w:p>
        </w:tc>
        <w:tc>
          <w:tcPr>
            <w:tcW w:w="1359" w:type="dxa"/>
            <w:vAlign w:val="center"/>
            <w:hideMark/>
          </w:tcPr>
          <w:p w14:paraId="4426C640" w14:textId="5770692A" w:rsidR="00941776" w:rsidRPr="00941776" w:rsidRDefault="00941776" w:rsidP="00F22F58">
            <w:pPr>
              <w:pStyle w:val="TableText"/>
              <w:rPr>
                <w:rFonts w:ascii="Segoe UI" w:hAnsi="Segoe UI"/>
                <w:szCs w:val="18"/>
              </w:rPr>
            </w:pPr>
            <w:r w:rsidRPr="00941776">
              <w:t>Texas Labor Code 315.005; 40 TAC Sec. 805.43.</w:t>
            </w:r>
          </w:p>
        </w:tc>
        <w:tc>
          <w:tcPr>
            <w:tcW w:w="1395" w:type="dxa"/>
            <w:vAlign w:val="center"/>
            <w:hideMark/>
          </w:tcPr>
          <w:p w14:paraId="1E90593F" w14:textId="64709F17" w:rsidR="00941776" w:rsidRPr="00941776" w:rsidRDefault="00941776" w:rsidP="00F22F58">
            <w:pPr>
              <w:pStyle w:val="TableText"/>
              <w:rPr>
                <w:rFonts w:ascii="Segoe UI" w:hAnsi="Segoe UI"/>
                <w:szCs w:val="18"/>
              </w:rPr>
            </w:pPr>
            <w:r w:rsidRPr="00941776">
              <w:t>9/1/2013</w:t>
            </w:r>
            <w:r w:rsidR="00DB48C2">
              <w:t xml:space="preserve">, </w:t>
            </w:r>
            <w:r w:rsidR="00956646">
              <w:t>n</w:t>
            </w:r>
            <w:r w:rsidRPr="00941776">
              <w:t>o abolishment date stated. Not subject to Texas Government Code, Sec. 2110.008.</w:t>
            </w:r>
          </w:p>
        </w:tc>
      </w:tr>
      <w:tr w:rsidR="00A5480B" w:rsidRPr="00941776" w14:paraId="6C571DD2" w14:textId="77777777" w:rsidTr="0D8CF315">
        <w:trPr>
          <w:trHeight w:val="345"/>
        </w:trPr>
        <w:tc>
          <w:tcPr>
            <w:tcW w:w="1525" w:type="dxa"/>
            <w:vAlign w:val="center"/>
            <w:hideMark/>
          </w:tcPr>
          <w:p w14:paraId="2BFD9F3C" w14:textId="15C70DC3" w:rsidR="00941776" w:rsidRPr="00941776" w:rsidRDefault="00941776" w:rsidP="007A4F90">
            <w:pPr>
              <w:pStyle w:val="TableText"/>
              <w:rPr>
                <w:rFonts w:ascii="Segoe UI" w:hAnsi="Segoe UI"/>
                <w:szCs w:val="18"/>
              </w:rPr>
            </w:pPr>
            <w:r w:rsidRPr="00941776">
              <w:t>Jobs and Education for Texans (JET) Advisory Board</w:t>
            </w:r>
          </w:p>
        </w:tc>
        <w:tc>
          <w:tcPr>
            <w:tcW w:w="1530" w:type="dxa"/>
            <w:vAlign w:val="center"/>
            <w:hideMark/>
          </w:tcPr>
          <w:p w14:paraId="3BD292B2" w14:textId="607DC8E4" w:rsidR="00941776" w:rsidRPr="00941776" w:rsidRDefault="00941776" w:rsidP="007A4F90">
            <w:pPr>
              <w:pStyle w:val="TableText"/>
              <w:rPr>
                <w:rFonts w:ascii="Segoe UI" w:hAnsi="Segoe UI"/>
                <w:szCs w:val="18"/>
              </w:rPr>
            </w:pPr>
            <w:r w:rsidRPr="00941776">
              <w:t>6, Appointments from: the Governor, Lieutenant Governor, Speaker of the House, THECB, TWC, and TWC Chair serves as Advisory Chair</w:t>
            </w:r>
          </w:p>
        </w:tc>
        <w:tc>
          <w:tcPr>
            <w:tcW w:w="3726" w:type="dxa"/>
            <w:vAlign w:val="center"/>
            <w:hideMark/>
          </w:tcPr>
          <w:p w14:paraId="18527E99" w14:textId="50256C4C" w:rsidR="00941776" w:rsidRPr="00941776" w:rsidRDefault="00941776" w:rsidP="007A4F90">
            <w:pPr>
              <w:pStyle w:val="TableText"/>
              <w:rPr>
                <w:rFonts w:ascii="Segoe UI" w:hAnsi="Segoe UI"/>
                <w:szCs w:val="18"/>
              </w:rPr>
            </w:pPr>
            <w:r w:rsidRPr="00941776">
              <w:t>To review application evaluation results and make recommendations on awarding grants and guidelines for the next application cycle</w:t>
            </w:r>
          </w:p>
        </w:tc>
        <w:tc>
          <w:tcPr>
            <w:tcW w:w="1359" w:type="dxa"/>
            <w:vAlign w:val="center"/>
            <w:hideMark/>
          </w:tcPr>
          <w:p w14:paraId="2FCF7572" w14:textId="2F0C5775" w:rsidR="00941776" w:rsidRPr="00941776" w:rsidRDefault="00941776" w:rsidP="007A4F90">
            <w:pPr>
              <w:pStyle w:val="TableText"/>
              <w:rPr>
                <w:rFonts w:ascii="Segoe UI" w:hAnsi="Segoe UI"/>
                <w:szCs w:val="18"/>
              </w:rPr>
            </w:pPr>
            <w:r w:rsidRPr="00941776">
              <w:t>Texas Education Code Sec. 134.003; 40 TAC Sec. 804.11 - 804.13.</w:t>
            </w:r>
          </w:p>
        </w:tc>
        <w:tc>
          <w:tcPr>
            <w:tcW w:w="1395" w:type="dxa"/>
            <w:vAlign w:val="center"/>
            <w:hideMark/>
          </w:tcPr>
          <w:p w14:paraId="44D9634A" w14:textId="6CC91414" w:rsidR="00941776" w:rsidRPr="00941776" w:rsidRDefault="5B14EE01" w:rsidP="0D8CF315">
            <w:pPr>
              <w:pStyle w:val="TableText"/>
              <w:rPr>
                <w:rFonts w:ascii="Segoe UI" w:hAnsi="Segoe UI"/>
              </w:rPr>
            </w:pPr>
            <w:r>
              <w:t>6/19/2025</w:t>
            </w:r>
          </w:p>
          <w:p w14:paraId="62C2F5A8" w14:textId="0783F7E0" w:rsidR="00941776" w:rsidRPr="00941776" w:rsidRDefault="00941776" w:rsidP="007A4F90">
            <w:pPr>
              <w:pStyle w:val="TableText"/>
              <w:rPr>
                <w:rFonts w:ascii="Segoe UI" w:hAnsi="Segoe UI"/>
                <w:szCs w:val="18"/>
              </w:rPr>
            </w:pPr>
            <w:r w:rsidRPr="00941776">
              <w:t>(updated rulemaking anticipated)</w:t>
            </w:r>
          </w:p>
        </w:tc>
      </w:tr>
      <w:tr w:rsidR="00A5480B" w:rsidRPr="00941776" w14:paraId="1A5C8276" w14:textId="77777777" w:rsidTr="0D8CF315">
        <w:trPr>
          <w:trHeight w:val="345"/>
        </w:trPr>
        <w:tc>
          <w:tcPr>
            <w:tcW w:w="1525" w:type="dxa"/>
            <w:vAlign w:val="center"/>
            <w:hideMark/>
          </w:tcPr>
          <w:p w14:paraId="652001CA" w14:textId="7B1B04F3" w:rsidR="00941776" w:rsidRPr="00941776" w:rsidRDefault="00941776" w:rsidP="007A4F90">
            <w:pPr>
              <w:pStyle w:val="TableText"/>
              <w:rPr>
                <w:rFonts w:ascii="Segoe UI" w:hAnsi="Segoe UI"/>
                <w:szCs w:val="18"/>
              </w:rPr>
            </w:pPr>
            <w:r w:rsidRPr="00941776">
              <w:t>Industry Based Certification (IBC) Council</w:t>
            </w:r>
          </w:p>
        </w:tc>
        <w:tc>
          <w:tcPr>
            <w:tcW w:w="1530" w:type="dxa"/>
            <w:vAlign w:val="center"/>
            <w:hideMark/>
          </w:tcPr>
          <w:p w14:paraId="17F19001" w14:textId="77777777" w:rsidR="00941776" w:rsidRPr="00941776" w:rsidRDefault="00941776" w:rsidP="007A4F90">
            <w:pPr>
              <w:pStyle w:val="TableText"/>
              <w:rPr>
                <w:rFonts w:ascii="Segoe UI" w:hAnsi="Segoe UI"/>
                <w:szCs w:val="18"/>
              </w:rPr>
            </w:pPr>
            <w:r w:rsidRPr="00941776">
              <w:t>9, The Governor, Lieutenant Governor, and Speaker of the House each appoint one industry representative, one public school teacher representative, and one public junior, state, or technical college representative. </w:t>
            </w:r>
          </w:p>
        </w:tc>
        <w:tc>
          <w:tcPr>
            <w:tcW w:w="3726" w:type="dxa"/>
            <w:vAlign w:val="center"/>
            <w:hideMark/>
          </w:tcPr>
          <w:p w14:paraId="292E463D" w14:textId="0E40C543" w:rsidR="00941776" w:rsidRPr="00B35BE6" w:rsidRDefault="0064600B" w:rsidP="007A4F90">
            <w:pPr>
              <w:pStyle w:val="TableText"/>
              <w:rPr>
                <w:rFonts w:ascii="Segoe UI" w:hAnsi="Segoe UI"/>
                <w:szCs w:val="18"/>
                <w:highlight w:val="yellow"/>
              </w:rPr>
            </w:pPr>
            <w:r>
              <w:t>T</w:t>
            </w:r>
            <w:r w:rsidRPr="0064600B">
              <w:t>o advise the commission regarding the alignment of public high school career and technology education programs with current and future workforce needs in communities, regions, and the state.</w:t>
            </w:r>
          </w:p>
        </w:tc>
        <w:tc>
          <w:tcPr>
            <w:tcW w:w="1359" w:type="dxa"/>
            <w:vAlign w:val="center"/>
            <w:hideMark/>
          </w:tcPr>
          <w:p w14:paraId="6C9EE63E" w14:textId="615178F9" w:rsidR="00941776" w:rsidRPr="00941776" w:rsidRDefault="00E132FB" w:rsidP="007A4F90">
            <w:pPr>
              <w:pStyle w:val="TableText"/>
              <w:rPr>
                <w:rFonts w:ascii="Segoe UI" w:hAnsi="Segoe UI"/>
                <w:szCs w:val="18"/>
              </w:rPr>
            </w:pPr>
            <w:r w:rsidRPr="00941776">
              <w:t>Texas Labor Code Section 312.002</w:t>
            </w:r>
          </w:p>
        </w:tc>
        <w:tc>
          <w:tcPr>
            <w:tcW w:w="1395" w:type="dxa"/>
            <w:vAlign w:val="center"/>
            <w:hideMark/>
          </w:tcPr>
          <w:p w14:paraId="26F3C1A6" w14:textId="25A24043" w:rsidR="00941776" w:rsidRPr="00941776" w:rsidRDefault="00941776" w:rsidP="007A4F90">
            <w:pPr>
              <w:pStyle w:val="TableText"/>
              <w:rPr>
                <w:rFonts w:ascii="Segoe UI" w:hAnsi="Segoe UI"/>
                <w:szCs w:val="18"/>
              </w:rPr>
            </w:pPr>
            <w:r w:rsidRPr="00941776">
              <w:t>6/15/2021- 6/15/2025</w:t>
            </w:r>
          </w:p>
          <w:p w14:paraId="7058D126" w14:textId="5C8818DD" w:rsidR="00941776" w:rsidRPr="00941776" w:rsidRDefault="00941776" w:rsidP="007A4F90">
            <w:pPr>
              <w:pStyle w:val="TableText"/>
              <w:rPr>
                <w:rFonts w:ascii="Segoe UI" w:hAnsi="Segoe UI"/>
                <w:szCs w:val="18"/>
              </w:rPr>
            </w:pPr>
            <w:r w:rsidRPr="00941776">
              <w:t>(updated rulemaking anticipated)</w:t>
            </w:r>
          </w:p>
        </w:tc>
      </w:tr>
      <w:tr w:rsidR="00A5480B" w:rsidRPr="00941776" w14:paraId="054B244D" w14:textId="77777777" w:rsidTr="0D8CF315">
        <w:trPr>
          <w:trHeight w:val="345"/>
        </w:trPr>
        <w:tc>
          <w:tcPr>
            <w:tcW w:w="1525" w:type="dxa"/>
            <w:vAlign w:val="center"/>
            <w:hideMark/>
          </w:tcPr>
          <w:p w14:paraId="6A05B2D2" w14:textId="2D674909" w:rsidR="00941776" w:rsidRPr="00941776" w:rsidRDefault="00941776" w:rsidP="00A43D9B">
            <w:pPr>
              <w:pStyle w:val="TableText"/>
              <w:rPr>
                <w:rFonts w:ascii="Segoe UI" w:hAnsi="Segoe UI"/>
                <w:szCs w:val="18"/>
              </w:rPr>
            </w:pPr>
            <w:r w:rsidRPr="00941776">
              <w:lastRenderedPageBreak/>
              <w:t>Purchasing from People with Disabilities (PPD) Advisory Committee</w:t>
            </w:r>
          </w:p>
        </w:tc>
        <w:tc>
          <w:tcPr>
            <w:tcW w:w="1530" w:type="dxa"/>
            <w:vAlign w:val="center"/>
            <w:hideMark/>
          </w:tcPr>
          <w:p w14:paraId="77AA06D7" w14:textId="57E761CB" w:rsidR="00941776" w:rsidRPr="00941776" w:rsidRDefault="0603CDBD" w:rsidP="00A43D9B">
            <w:pPr>
              <w:pStyle w:val="TableText"/>
              <w:rPr>
                <w:rFonts w:ascii="Segoe UI" w:hAnsi="Segoe UI"/>
                <w:szCs w:val="18"/>
              </w:rPr>
            </w:pPr>
            <w:r>
              <w:t>13,</w:t>
            </w:r>
            <w:r w:rsidR="00C05086">
              <w:t xml:space="preserve"> </w:t>
            </w:r>
            <w:r w:rsidR="00FE55D1">
              <w:t>M</w:t>
            </w:r>
            <w:r w:rsidR="00B84C1F">
              <w:t xml:space="preserve">embers are </w:t>
            </w:r>
            <w:r w:rsidR="00C05086">
              <w:t>appointed by</w:t>
            </w:r>
            <w:r>
              <w:t xml:space="preserve"> </w:t>
            </w:r>
            <w:r w:rsidR="1A4BE4BB">
              <w:t>TWC</w:t>
            </w:r>
          </w:p>
        </w:tc>
        <w:tc>
          <w:tcPr>
            <w:tcW w:w="3726" w:type="dxa"/>
            <w:vAlign w:val="center"/>
            <w:hideMark/>
          </w:tcPr>
          <w:p w14:paraId="50D55D2A" w14:textId="6864405E" w:rsidR="00941776" w:rsidRPr="00941776" w:rsidRDefault="00941776" w:rsidP="00A43D9B">
            <w:pPr>
              <w:pStyle w:val="TableText"/>
              <w:rPr>
                <w:rFonts w:ascii="Segoe UI" w:hAnsi="Segoe UI"/>
                <w:szCs w:val="18"/>
              </w:rPr>
            </w:pPr>
            <w:r w:rsidRPr="00941776">
              <w:t>PPD Advisory committee is tasked to assist the Workforce Commission in establishing performance goals for the program and criteria for certifying community rehabilitation programs participating in the PPD program. Also assists TWC with establishing goals, performance measures, and adopting rules.</w:t>
            </w:r>
          </w:p>
        </w:tc>
        <w:tc>
          <w:tcPr>
            <w:tcW w:w="1359" w:type="dxa"/>
            <w:vAlign w:val="center"/>
            <w:hideMark/>
          </w:tcPr>
          <w:p w14:paraId="2464063A" w14:textId="69064CC2" w:rsidR="00941776" w:rsidRPr="00941776" w:rsidRDefault="00941776" w:rsidP="00A43D9B">
            <w:pPr>
              <w:pStyle w:val="TableText"/>
              <w:rPr>
                <w:rFonts w:ascii="Segoe UI" w:hAnsi="Segoe UI"/>
                <w:szCs w:val="18"/>
              </w:rPr>
            </w:pPr>
            <w:r w:rsidRPr="00941776">
              <w:t>Tex. Hum. Res. Code § 122.0057; [S.B. 212 Sec., 84th Legislative Session (R) 2015]; 40 TAC Sec. 806.21 – 806.23.</w:t>
            </w:r>
          </w:p>
        </w:tc>
        <w:tc>
          <w:tcPr>
            <w:tcW w:w="1395" w:type="dxa"/>
            <w:vAlign w:val="center"/>
            <w:hideMark/>
          </w:tcPr>
          <w:p w14:paraId="2C4F9D1D" w14:textId="4F942586" w:rsidR="00941776" w:rsidRPr="00941776" w:rsidRDefault="00941776" w:rsidP="00A43D9B">
            <w:pPr>
              <w:pStyle w:val="TableText"/>
              <w:rPr>
                <w:rFonts w:ascii="Segoe UI" w:hAnsi="Segoe UI"/>
                <w:szCs w:val="18"/>
              </w:rPr>
            </w:pPr>
            <w:r w:rsidRPr="00941776">
              <w:t>9/1/2015-</w:t>
            </w:r>
            <w:r w:rsidR="009E1880">
              <w:t>n</w:t>
            </w:r>
            <w:r w:rsidRPr="00941776">
              <w:t>o abolishment date stated. Not subject to Texas Government Code, Sec. 2110.008.</w:t>
            </w:r>
          </w:p>
        </w:tc>
      </w:tr>
      <w:tr w:rsidR="00A5480B" w:rsidRPr="00941776" w14:paraId="41929FF7" w14:textId="77777777" w:rsidTr="0D8CF315">
        <w:trPr>
          <w:trHeight w:val="345"/>
        </w:trPr>
        <w:tc>
          <w:tcPr>
            <w:tcW w:w="1525" w:type="dxa"/>
            <w:vAlign w:val="center"/>
            <w:hideMark/>
          </w:tcPr>
          <w:p w14:paraId="2EBC4B61" w14:textId="01705C4D" w:rsidR="00941776" w:rsidRPr="00941776" w:rsidRDefault="00941776" w:rsidP="00A43D9B">
            <w:pPr>
              <w:pStyle w:val="TableText"/>
              <w:rPr>
                <w:rFonts w:ascii="Segoe UI" w:hAnsi="Segoe UI"/>
                <w:szCs w:val="18"/>
              </w:rPr>
            </w:pPr>
            <w:r w:rsidRPr="00941776">
              <w:t>Lone Star Workforce of the Future Advisory Board</w:t>
            </w:r>
          </w:p>
        </w:tc>
        <w:tc>
          <w:tcPr>
            <w:tcW w:w="1530" w:type="dxa"/>
            <w:vAlign w:val="center"/>
            <w:hideMark/>
          </w:tcPr>
          <w:p w14:paraId="08A4A4EE" w14:textId="1CAEB989" w:rsidR="00941776" w:rsidRPr="00941776" w:rsidRDefault="00941776" w:rsidP="00A43D9B">
            <w:pPr>
              <w:pStyle w:val="TableText"/>
              <w:rPr>
                <w:rFonts w:ascii="Segoe UI" w:hAnsi="Segoe UI"/>
                <w:szCs w:val="18"/>
              </w:rPr>
            </w:pPr>
            <w:r w:rsidRPr="00941776">
              <w:t xml:space="preserve">6, Governor, Lieutenant Government, Speaker of the House, Texas Higher Education Coordinating Board, </w:t>
            </w:r>
            <w:r w:rsidR="0AD940AE">
              <w:t>TWC</w:t>
            </w:r>
            <w:r w:rsidRPr="00941776">
              <w:t xml:space="preserve"> and the Chairman of TWC Commission serves as presiding officer</w:t>
            </w:r>
          </w:p>
        </w:tc>
        <w:tc>
          <w:tcPr>
            <w:tcW w:w="3726" w:type="dxa"/>
            <w:vAlign w:val="center"/>
            <w:hideMark/>
          </w:tcPr>
          <w:p w14:paraId="2F57E606" w14:textId="4E91A88C" w:rsidR="00941776" w:rsidRPr="00941776" w:rsidRDefault="00941776" w:rsidP="00A43D9B">
            <w:pPr>
              <w:pStyle w:val="TableText"/>
              <w:rPr>
                <w:rFonts w:ascii="Segoe UI" w:hAnsi="Segoe UI"/>
                <w:szCs w:val="18"/>
              </w:rPr>
            </w:pPr>
            <w:r w:rsidRPr="00941776">
              <w:t>Assists the Commission in administering this chapter</w:t>
            </w:r>
          </w:p>
        </w:tc>
        <w:tc>
          <w:tcPr>
            <w:tcW w:w="1359" w:type="dxa"/>
            <w:vAlign w:val="center"/>
            <w:hideMark/>
          </w:tcPr>
          <w:p w14:paraId="5A204A6C" w14:textId="4D487AD9" w:rsidR="00941776" w:rsidRPr="00941776" w:rsidRDefault="00941776" w:rsidP="00A43D9B">
            <w:pPr>
              <w:pStyle w:val="TableText"/>
              <w:rPr>
                <w:rFonts w:ascii="Segoe UI" w:hAnsi="Segoe UI"/>
                <w:szCs w:val="18"/>
              </w:rPr>
            </w:pPr>
            <w:r w:rsidRPr="00941776">
              <w:t>Texas Education Code Chapter 134A. 40 TAC Chapter 810.</w:t>
            </w:r>
          </w:p>
        </w:tc>
        <w:tc>
          <w:tcPr>
            <w:tcW w:w="1395" w:type="dxa"/>
            <w:vAlign w:val="center"/>
            <w:hideMark/>
          </w:tcPr>
          <w:p w14:paraId="23D3EDB3" w14:textId="6F3EA03F" w:rsidR="00941776" w:rsidRPr="00941776" w:rsidRDefault="00941776" w:rsidP="00A43D9B">
            <w:pPr>
              <w:pStyle w:val="TableText"/>
              <w:rPr>
                <w:rFonts w:ascii="Segoe UI" w:hAnsi="Segoe UI"/>
                <w:szCs w:val="18"/>
              </w:rPr>
            </w:pPr>
            <w:r w:rsidRPr="00941776">
              <w:t>9/1/2023- 9/1/2027</w:t>
            </w:r>
          </w:p>
          <w:p w14:paraId="1452A50D" w14:textId="709DC294" w:rsidR="00941776" w:rsidRPr="00941776" w:rsidRDefault="00941776" w:rsidP="00A43D9B">
            <w:pPr>
              <w:pStyle w:val="TableText"/>
              <w:rPr>
                <w:rFonts w:ascii="Segoe UI" w:hAnsi="Segoe UI"/>
                <w:szCs w:val="18"/>
              </w:rPr>
            </w:pPr>
            <w:r w:rsidRPr="00941776">
              <w:t>(updated rulemaking anticipated)</w:t>
            </w:r>
          </w:p>
        </w:tc>
      </w:tr>
      <w:tr w:rsidR="00A5480B" w:rsidRPr="00941776" w14:paraId="294553BD" w14:textId="77777777" w:rsidTr="0D8CF315">
        <w:trPr>
          <w:trHeight w:val="345"/>
        </w:trPr>
        <w:tc>
          <w:tcPr>
            <w:tcW w:w="1525" w:type="dxa"/>
            <w:vAlign w:val="center"/>
            <w:hideMark/>
          </w:tcPr>
          <w:p w14:paraId="310FA212" w14:textId="3F1DD571" w:rsidR="00941776" w:rsidRPr="00941776" w:rsidRDefault="00941776" w:rsidP="00A43D9B">
            <w:pPr>
              <w:pStyle w:val="TableText"/>
              <w:rPr>
                <w:rFonts w:ascii="Segoe UI" w:hAnsi="Segoe UI"/>
                <w:szCs w:val="18"/>
              </w:rPr>
            </w:pPr>
            <w:r w:rsidRPr="00941776">
              <w:t>Rehabilitation Council of Texas (RCT) {State Rehabilitation Council}</w:t>
            </w:r>
          </w:p>
        </w:tc>
        <w:tc>
          <w:tcPr>
            <w:tcW w:w="1530" w:type="dxa"/>
            <w:vAlign w:val="center"/>
            <w:hideMark/>
          </w:tcPr>
          <w:p w14:paraId="3FC95020" w14:textId="76921A3A" w:rsidR="00941776" w:rsidRPr="00941776" w:rsidRDefault="00941776" w:rsidP="00A43D9B">
            <w:pPr>
              <w:pStyle w:val="TableText"/>
              <w:rPr>
                <w:rFonts w:ascii="Segoe UI" w:hAnsi="Segoe UI"/>
                <w:szCs w:val="18"/>
              </w:rPr>
            </w:pPr>
            <w:r w:rsidRPr="00941776">
              <w:t>17, the Governor of Texas appoints members to the RCT</w:t>
            </w:r>
          </w:p>
        </w:tc>
        <w:tc>
          <w:tcPr>
            <w:tcW w:w="3726" w:type="dxa"/>
            <w:vAlign w:val="center"/>
            <w:hideMark/>
          </w:tcPr>
          <w:p w14:paraId="2913AF52" w14:textId="44FBF401" w:rsidR="00941776" w:rsidRPr="00941776" w:rsidRDefault="00941776" w:rsidP="00A43D9B">
            <w:pPr>
              <w:pStyle w:val="TableText"/>
              <w:rPr>
                <w:rFonts w:ascii="Segoe UI" w:hAnsi="Segoe UI"/>
                <w:szCs w:val="18"/>
              </w:rPr>
            </w:pPr>
            <w:r w:rsidRPr="00941776">
              <w:t>In partnership with the V</w:t>
            </w:r>
            <w:r w:rsidR="006B37B1">
              <w:t>R</w:t>
            </w:r>
            <w:r w:rsidRPr="00941776">
              <w:t xml:space="preserve"> division the RCT work includes: assisting with development and review of State goals and priorities; evaluation of the effectiveness of the VR Program; conduct statewide needs assessments; consult regularly regarding the development, implementation and revision of state policies and procedures, an</w:t>
            </w:r>
            <w:r w:rsidR="00CE72A2">
              <w:t>d</w:t>
            </w:r>
            <w:r w:rsidRPr="00941776">
              <w:t xml:space="preserve"> other VR related activities; provide comments during the development of the VR Service portion of the WIOA Unified or combined state plan; prepare and submit to Governor and RSA no later than 90 days after the end of the Federal fiscal year an annual report on the status of the VR Program and make the report available to the public. </w:t>
            </w:r>
          </w:p>
        </w:tc>
        <w:tc>
          <w:tcPr>
            <w:tcW w:w="1359" w:type="dxa"/>
            <w:vAlign w:val="center"/>
            <w:hideMark/>
          </w:tcPr>
          <w:p w14:paraId="7339B281" w14:textId="10CC93F2" w:rsidR="00941776" w:rsidRPr="00941776" w:rsidRDefault="00941776" w:rsidP="00A43D9B">
            <w:pPr>
              <w:pStyle w:val="TableText"/>
              <w:rPr>
                <w:rFonts w:ascii="Segoe UI" w:hAnsi="Segoe UI"/>
                <w:szCs w:val="18"/>
              </w:rPr>
            </w:pPr>
            <w:r w:rsidRPr="00941776">
              <w:t xml:space="preserve">Section 105 of the Rehabilitation Act of 1973, as amended, 29 United States Code §725; and 34 C.F.R. §§ 361.16 and 361.17; Texas Labor Code 352.003; and 40 </w:t>
            </w:r>
            <w:r w:rsidR="001257CD">
              <w:t>TAC</w:t>
            </w:r>
            <w:r w:rsidRPr="00941776">
              <w:t xml:space="preserve"> §850.33.</w:t>
            </w:r>
          </w:p>
        </w:tc>
        <w:tc>
          <w:tcPr>
            <w:tcW w:w="1395" w:type="dxa"/>
            <w:vAlign w:val="center"/>
            <w:hideMark/>
          </w:tcPr>
          <w:p w14:paraId="1FF80E60" w14:textId="7D42299F" w:rsidR="00941776" w:rsidRPr="00941776" w:rsidRDefault="00941776" w:rsidP="00A43D9B">
            <w:pPr>
              <w:pStyle w:val="TableText"/>
              <w:rPr>
                <w:rFonts w:ascii="Segoe UI" w:hAnsi="Segoe UI"/>
                <w:szCs w:val="18"/>
              </w:rPr>
            </w:pPr>
            <w:r w:rsidRPr="00941776">
              <w:t>9/1/1999</w:t>
            </w:r>
          </w:p>
          <w:p w14:paraId="0A4C3977" w14:textId="13546CA1" w:rsidR="00941776" w:rsidRPr="00941776" w:rsidRDefault="00941776" w:rsidP="00A43D9B">
            <w:pPr>
              <w:pStyle w:val="TableText"/>
              <w:rPr>
                <w:rFonts w:ascii="Segoe UI" w:hAnsi="Segoe UI"/>
                <w:szCs w:val="18"/>
              </w:rPr>
            </w:pPr>
            <w:r w:rsidRPr="00941776">
              <w:t>N/A; The RCT’s existence is required for the Agency to receive and expend federal funds.</w:t>
            </w:r>
          </w:p>
        </w:tc>
      </w:tr>
    </w:tbl>
    <w:p w14:paraId="5BD2A378" w14:textId="3AD612F4" w:rsidR="000A1064" w:rsidRDefault="000A1064" w:rsidP="00F40581">
      <w:pPr>
        <w:pStyle w:val="Heading1"/>
      </w:pPr>
      <w:bookmarkStart w:id="143" w:name="_Toc1091867204"/>
      <w:bookmarkStart w:id="144" w:name="_Toc203377318"/>
      <w:bookmarkEnd w:id="142"/>
    </w:p>
    <w:p w14:paraId="7AD13F83" w14:textId="77777777" w:rsidR="000A1064" w:rsidRPr="000A1064" w:rsidRDefault="000A1064" w:rsidP="000A1064"/>
    <w:p w14:paraId="6FAC6538" w14:textId="11F76B0E" w:rsidR="007F02A7" w:rsidRDefault="007F02A7" w:rsidP="00F40581">
      <w:pPr>
        <w:pStyle w:val="Heading1"/>
      </w:pPr>
      <w:r>
        <w:lastRenderedPageBreak/>
        <w:t>V.</w:t>
      </w:r>
      <w:r w:rsidR="49BF21F5">
        <w:t xml:space="preserve"> </w:t>
      </w:r>
      <w:r>
        <w:t>Funding</w:t>
      </w:r>
      <w:bookmarkEnd w:id="143"/>
      <w:bookmarkEnd w:id="144"/>
    </w:p>
    <w:p w14:paraId="43B4024A" w14:textId="1FF214E0" w:rsidR="007F02A7" w:rsidRPr="00350FF0" w:rsidRDefault="007F02A7" w:rsidP="00543277">
      <w:pPr>
        <w:pStyle w:val="BodyText3"/>
        <w:rPr>
          <w:rStyle w:val="Strong"/>
        </w:rPr>
      </w:pPr>
      <w:bookmarkStart w:id="145" w:name="_Toc417645487"/>
      <w:bookmarkStart w:id="146" w:name="_Toc417647476"/>
      <w:r w:rsidRPr="21686E4C">
        <w:rPr>
          <w:rStyle w:val="Strong"/>
        </w:rPr>
        <w:t>A.</w:t>
      </w:r>
      <w:r w:rsidR="00543277">
        <w:rPr>
          <w:rStyle w:val="Strong"/>
        </w:rPr>
        <w:tab/>
      </w:r>
      <w:r w:rsidRPr="21686E4C">
        <w:rPr>
          <w:rStyle w:val="Strong"/>
        </w:rPr>
        <w:t>Provide a brief description of your agency</w:t>
      </w:r>
      <w:r w:rsidR="00F044D6" w:rsidRPr="21686E4C">
        <w:rPr>
          <w:rStyle w:val="Strong"/>
        </w:rPr>
        <w:t>’</w:t>
      </w:r>
      <w:r w:rsidRPr="21686E4C">
        <w:rPr>
          <w:rStyle w:val="Strong"/>
        </w:rPr>
        <w:t xml:space="preserve">s </w:t>
      </w:r>
      <w:r w:rsidR="007C1367" w:rsidRPr="21686E4C">
        <w:rPr>
          <w:rStyle w:val="Strong"/>
        </w:rPr>
        <w:t xml:space="preserve">major sources of </w:t>
      </w:r>
      <w:r w:rsidRPr="21686E4C">
        <w:rPr>
          <w:rStyle w:val="Strong"/>
        </w:rPr>
        <w:t>funding</w:t>
      </w:r>
      <w:r w:rsidR="001078DD" w:rsidRPr="21686E4C">
        <w:rPr>
          <w:rStyle w:val="Strong"/>
        </w:rPr>
        <w:t>.</w:t>
      </w:r>
      <w:bookmarkEnd w:id="145"/>
      <w:bookmarkEnd w:id="146"/>
    </w:p>
    <w:p w14:paraId="03A359E9" w14:textId="7ED311BB" w:rsidR="0067119B" w:rsidRPr="0067119B" w:rsidRDefault="0067119B" w:rsidP="0067119B">
      <w:pPr>
        <w:pStyle w:val="BodyText"/>
      </w:pPr>
      <w:r w:rsidRPr="0067119B">
        <w:t>For the 2024-25 biennium, TWC had a total appropriation of $5.2 billion in All Funds, which provided for 4,905.5 full-time equivalents (FTE) in Fiscal Year (FY) 2024 and 4,916.5 FTE in FY 2025. For the 2026-27 biennium, TWC has a total appropriation of $6.1 billion and 5,066 FTE. Nearly 70 percent of the TWC appropriation is allocated to local workforce development areas for workforce boards to deliver workforce and support services throughout the state. Federal Funds account for $5.3 billion, which is approximately 87 percent of the agency’s total appropriation for the 2026-27 biennium.</w:t>
      </w:r>
    </w:p>
    <w:p w14:paraId="65BC9578" w14:textId="025C2295"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The largest TWC federally</w:t>
      </w:r>
      <w:r w:rsidR="00FA7096">
        <w:rPr>
          <w:rFonts w:eastAsia="MS Mincho" w:cs="Times New Roman"/>
          <w:color w:val="000000" w:themeColor="text1"/>
        </w:rPr>
        <w:t xml:space="preserve"> </w:t>
      </w:r>
      <w:r w:rsidRPr="0067119B">
        <w:rPr>
          <w:rFonts w:eastAsia="MS Mincho" w:cs="Times New Roman"/>
          <w:color w:val="000000" w:themeColor="text1"/>
        </w:rPr>
        <w:t xml:space="preserve">funded program is Child Care Services, which provides </w:t>
      </w:r>
      <w:proofErr w:type="gramStart"/>
      <w:r w:rsidRPr="0067119B">
        <w:rPr>
          <w:rFonts w:eastAsia="MS Mincho" w:cs="Times New Roman"/>
          <w:color w:val="000000" w:themeColor="text1"/>
        </w:rPr>
        <w:t>child care</w:t>
      </w:r>
      <w:proofErr w:type="gramEnd"/>
      <w:r w:rsidRPr="0067119B">
        <w:rPr>
          <w:rFonts w:eastAsia="MS Mincho" w:cs="Times New Roman"/>
          <w:color w:val="000000" w:themeColor="text1"/>
        </w:rPr>
        <w:t xml:space="preserve"> subsidies to low-income families so parents can work or attend job training or education. In addition to </w:t>
      </w:r>
      <w:proofErr w:type="gramStart"/>
      <w:r w:rsidRPr="0067119B">
        <w:rPr>
          <w:rFonts w:eastAsia="MS Mincho" w:cs="Times New Roman"/>
          <w:color w:val="000000" w:themeColor="text1"/>
        </w:rPr>
        <w:t>child care</w:t>
      </w:r>
      <w:proofErr w:type="gramEnd"/>
      <w:r w:rsidRPr="0067119B">
        <w:rPr>
          <w:rFonts w:eastAsia="MS Mincho" w:cs="Times New Roman"/>
          <w:color w:val="000000" w:themeColor="text1"/>
        </w:rPr>
        <w:t xml:space="preserve"> subsidies, TWC’s Child Care Services program also funds activities that improve the quality of child care across the state such as professional development for child care professionals and curriculum and classroom materials for child care programs.</w:t>
      </w:r>
    </w:p>
    <w:p w14:paraId="521A2E4D" w14:textId="516EAB30"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Other major TWC federally-funded programs include VR Assistance Services, Workforce Innovation and Opportunity  Act (WIOA), Unemployment Insurance (UI), Temporary Assistance for Needy Families (TANF), Employment Services, Texas Department of Family and Protective Services (DFPS) child care services (funding passed-through to workforce boards), SNAP Employment &amp; Training,  Adult Education and Literacy (AEL), and Reemployment Services and Eligibility Assessments (RESEA).</w:t>
      </w:r>
    </w:p>
    <w:p w14:paraId="122A5A2A" w14:textId="7D9A3A54"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TWC’s general revenue (GR) appropriations totaled $504.6 million, or 9.8 percent, of the total agency budget for the 2024-25 biennium and $611.5 million, or 10.1 percent, of the total in the FY 2026-27 biennium. GR-Dedicated funds add $19.2 million for the 2024-25 biennium and $29.1 million for the 2026-27 biennium.</w:t>
      </w:r>
    </w:p>
    <w:p w14:paraId="72BD73B6" w14:textId="136FACEA"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 xml:space="preserve">The majority of TWC’s GR appropriations, approximately 67 percent, are used to match federal funds or satisfy maintenance of effort (MOE) requirements (i.e., $194.7 million to match federal VR Funds, $120.1 million to match and $55.5 million to satisfy the MOE for federal Child Care and Development Funds (CCDF), $19.8 million to match federal AEL Funds, $17.7 million to satisfy the state’s MOE for federal TANF, and $9.0 million to match federal SNAP, for the 2026-27 biennium). The Skills Development program, which is a customized skills training program managed directly by TWC, is a notable exception to the use of general revenue funds for satisfying federal funding requirements. TWC’s Skills Development program totaled $62.0 million </w:t>
      </w:r>
      <w:r w:rsidR="00861D6F">
        <w:rPr>
          <w:rFonts w:eastAsia="MS Mincho" w:cs="Times New Roman"/>
          <w:color w:val="000000" w:themeColor="text1"/>
        </w:rPr>
        <w:t>in GR funds</w:t>
      </w:r>
      <w:r w:rsidRPr="0067119B">
        <w:rPr>
          <w:rFonts w:eastAsia="MS Mincho" w:cs="Times New Roman"/>
          <w:color w:val="000000" w:themeColor="text1"/>
        </w:rPr>
        <w:t xml:space="preserve"> for the 2024-25 biennium and $67.4 million for the 2026-27 biennium.</w:t>
      </w:r>
    </w:p>
    <w:p w14:paraId="0CB86B28" w14:textId="23A7541F"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 xml:space="preserve">During the last reported year, ending </w:t>
      </w:r>
      <w:r w:rsidR="47E9D66A" w:rsidRPr="37661664">
        <w:rPr>
          <w:rFonts w:eastAsia="MS Mincho" w:cs="Times New Roman"/>
          <w:color w:val="000000" w:themeColor="text1"/>
        </w:rPr>
        <w:t xml:space="preserve">June </w:t>
      </w:r>
      <w:r w:rsidRPr="0067119B">
        <w:rPr>
          <w:rFonts w:eastAsia="MS Mincho" w:cs="Times New Roman"/>
          <w:color w:val="000000" w:themeColor="text1"/>
        </w:rPr>
        <w:t>30</w:t>
      </w:r>
      <w:r w:rsidR="47E9D66A" w:rsidRPr="37661664">
        <w:rPr>
          <w:rFonts w:eastAsia="MS Mincho" w:cs="Times New Roman"/>
          <w:color w:val="000000" w:themeColor="text1"/>
        </w:rPr>
        <w:t>, 2024</w:t>
      </w:r>
      <w:r w:rsidRPr="0067119B">
        <w:rPr>
          <w:rFonts w:eastAsia="MS Mincho" w:cs="Times New Roman"/>
          <w:color w:val="000000" w:themeColor="text1"/>
        </w:rPr>
        <w:t xml:space="preserve">, TWC served 684,650 individuals through the UI program. 838,264 claims for benefits were filed. UI fraud – both benefits fraud and ID fraud </w:t>
      </w:r>
      <w:r w:rsidR="00DA328B" w:rsidRPr="0067119B">
        <w:rPr>
          <w:rFonts w:eastAsia="MS Mincho" w:cs="Times New Roman"/>
          <w:color w:val="000000" w:themeColor="text1"/>
        </w:rPr>
        <w:t xml:space="preserve">– </w:t>
      </w:r>
      <w:r w:rsidRPr="0067119B">
        <w:rPr>
          <w:rFonts w:eastAsia="MS Mincho" w:cs="Times New Roman"/>
          <w:color w:val="000000" w:themeColor="text1"/>
        </w:rPr>
        <w:t xml:space="preserve">continues to be a significant </w:t>
      </w:r>
      <w:r w:rsidR="00D84B19">
        <w:rPr>
          <w:rFonts w:eastAsia="MS Mincho" w:cs="Times New Roman"/>
          <w:color w:val="000000" w:themeColor="text1"/>
        </w:rPr>
        <w:t>challenge</w:t>
      </w:r>
      <w:r w:rsidRPr="0067119B">
        <w:rPr>
          <w:rFonts w:eastAsia="MS Mincho" w:cs="Times New Roman"/>
          <w:color w:val="000000" w:themeColor="text1"/>
        </w:rPr>
        <w:t xml:space="preserve"> for TWC.</w:t>
      </w:r>
    </w:p>
    <w:p w14:paraId="3025CA5D" w14:textId="11F39132" w:rsidR="0067119B" w:rsidRPr="0067119B" w:rsidRDefault="29E5962C" w:rsidP="0067119B">
      <w:pPr>
        <w:pStyle w:val="BodyText"/>
        <w:rPr>
          <w:rFonts w:eastAsia="MS Mincho" w:cs="Times New Roman"/>
          <w:color w:val="000000" w:themeColor="text1"/>
        </w:rPr>
      </w:pPr>
      <w:r w:rsidRPr="0BE338CC">
        <w:rPr>
          <w:rFonts w:eastAsia="MS Mincho" w:cs="Times New Roman"/>
          <w:color w:val="000000" w:themeColor="text1"/>
        </w:rPr>
        <w:lastRenderedPageBreak/>
        <w:t xml:space="preserve">To further reduce UI fraud of all types, TWC has implemented several new strategies and </w:t>
      </w:r>
      <w:r w:rsidR="26FE1888" w:rsidRPr="0BE338CC">
        <w:rPr>
          <w:rFonts w:eastAsia="MS Mincho" w:cs="Times New Roman"/>
          <w:color w:val="000000" w:themeColor="text1"/>
        </w:rPr>
        <w:t xml:space="preserve">effective </w:t>
      </w:r>
      <w:r w:rsidRPr="0BE338CC">
        <w:rPr>
          <w:rFonts w:eastAsia="MS Mincho" w:cs="Times New Roman"/>
          <w:color w:val="000000" w:themeColor="text1"/>
        </w:rPr>
        <w:t>detection tools to prevent the payment of fraudulent claims. With these efforts, TWC has been successful in preventing over 99</w:t>
      </w:r>
      <w:r w:rsidR="1FF9FE0F" w:rsidRPr="0BE338CC">
        <w:rPr>
          <w:rFonts w:eastAsia="MS Mincho" w:cs="Times New Roman"/>
          <w:color w:val="000000" w:themeColor="text1"/>
        </w:rPr>
        <w:t xml:space="preserve"> percent</w:t>
      </w:r>
      <w:r w:rsidRPr="0BE338CC">
        <w:rPr>
          <w:rFonts w:eastAsia="MS Mincho" w:cs="Times New Roman"/>
          <w:color w:val="000000" w:themeColor="text1"/>
        </w:rPr>
        <w:t xml:space="preserve"> of fraud attempts on the UI system. Even with this success, TWC must continually adapt its fraud prevention efforts to stay ahead of fraudsters.</w:t>
      </w:r>
    </w:p>
    <w:p w14:paraId="58412243" w14:textId="0A9E7B43"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In addition to fraud detection and prevention, the security of the information maintained within the state and local networks is increasingly tested by cyber-crime activity. Cybersecurity is a focus for TWC, as cybercrimes continue to evolve at a pace that requires consistent effort and resources toward developing and maintaining the strongest data security available.</w:t>
      </w:r>
    </w:p>
    <w:p w14:paraId="16E4C31C" w14:textId="1D1112FC" w:rsidR="0067119B" w:rsidRPr="0067119B" w:rsidRDefault="0067119B" w:rsidP="0067119B">
      <w:pPr>
        <w:pStyle w:val="BodyText"/>
        <w:rPr>
          <w:rFonts w:eastAsia="MS Mincho" w:cs="Times New Roman"/>
          <w:color w:val="000000" w:themeColor="text1"/>
        </w:rPr>
      </w:pPr>
      <w:r w:rsidRPr="0067119B">
        <w:rPr>
          <w:rFonts w:eastAsia="MS Mincho" w:cs="Times New Roman"/>
          <w:color w:val="000000" w:themeColor="text1"/>
        </w:rPr>
        <w:t>Due to constraints on the UI federal grant following COVID, TWC received GR-Dedicated Fund 165 funding, collected from UI penalties and interest for violations of the Texas Unemployment Compensation Act, for fraud detection and deterrence, cybersecurity, and other key information technology priorities in the 2026-27 biennium.</w:t>
      </w:r>
    </w:p>
    <w:p w14:paraId="69121E61" w14:textId="37724142" w:rsidR="21686E4C" w:rsidRDefault="0067119B" w:rsidP="0067119B">
      <w:pPr>
        <w:pStyle w:val="BodyText"/>
      </w:pPr>
      <w:r w:rsidRPr="0067119B">
        <w:rPr>
          <w:rFonts w:eastAsia="MS Mincho" w:cs="Times New Roman"/>
          <w:color w:val="000000" w:themeColor="text1"/>
        </w:rPr>
        <w:t xml:space="preserve">During the COVID-19 pandemic, TWC received approximately $5.9 billion in additional one-time federal funding for the Child Care Program. TWC’s goals for the use of the funding </w:t>
      </w:r>
      <w:r w:rsidR="000F6538">
        <w:rPr>
          <w:rFonts w:eastAsia="MS Mincho" w:cs="Times New Roman"/>
          <w:color w:val="000000" w:themeColor="text1"/>
        </w:rPr>
        <w:t>included serving</w:t>
      </w:r>
      <w:r w:rsidRPr="0067119B">
        <w:rPr>
          <w:rFonts w:eastAsia="MS Mincho" w:cs="Times New Roman"/>
          <w:color w:val="000000" w:themeColor="text1"/>
        </w:rPr>
        <w:t xml:space="preserve"> more children with </w:t>
      </w:r>
      <w:proofErr w:type="gramStart"/>
      <w:r w:rsidRPr="0067119B">
        <w:rPr>
          <w:rFonts w:eastAsia="MS Mincho" w:cs="Times New Roman"/>
          <w:color w:val="000000" w:themeColor="text1"/>
        </w:rPr>
        <w:t>child care</w:t>
      </w:r>
      <w:proofErr w:type="gramEnd"/>
      <w:r w:rsidRPr="0067119B">
        <w:rPr>
          <w:rFonts w:eastAsia="MS Mincho" w:cs="Times New Roman"/>
          <w:color w:val="000000" w:themeColor="text1"/>
        </w:rPr>
        <w:t xml:space="preserve"> subsidies, stabilize the child care industry, improve the quality of child care, support the child care workforce, and build the capacity of child care. Uses of this funding included providing </w:t>
      </w:r>
      <w:proofErr w:type="gramStart"/>
      <w:r w:rsidRPr="0067119B">
        <w:rPr>
          <w:rFonts w:eastAsia="MS Mincho" w:cs="Times New Roman"/>
          <w:color w:val="000000" w:themeColor="text1"/>
        </w:rPr>
        <w:t>child care</w:t>
      </w:r>
      <w:proofErr w:type="gramEnd"/>
      <w:r w:rsidRPr="0067119B">
        <w:rPr>
          <w:rFonts w:eastAsia="MS Mincho" w:cs="Times New Roman"/>
          <w:color w:val="000000" w:themeColor="text1"/>
        </w:rPr>
        <w:t xml:space="preserve"> services to front line workers, which allowed front line workers to continue to work when schools and other activities that served as child care were closed due to pandemic orders. The largest portion of </w:t>
      </w:r>
      <w:proofErr w:type="gramStart"/>
      <w:r w:rsidRPr="0067119B">
        <w:rPr>
          <w:rFonts w:eastAsia="MS Mincho" w:cs="Times New Roman"/>
          <w:color w:val="000000" w:themeColor="text1"/>
        </w:rPr>
        <w:t>child care</w:t>
      </w:r>
      <w:proofErr w:type="gramEnd"/>
      <w:r w:rsidRPr="0067119B">
        <w:rPr>
          <w:rFonts w:eastAsia="MS Mincho" w:cs="Times New Roman"/>
          <w:color w:val="000000" w:themeColor="text1"/>
        </w:rPr>
        <w:t xml:space="preserve"> funding was used to provide relief to child care providers who were impacted by the pandemic. TWC authorized $3.5 billion for stabilization grants to all eligible licensed </w:t>
      </w:r>
      <w:proofErr w:type="gramStart"/>
      <w:r w:rsidRPr="0067119B">
        <w:rPr>
          <w:rFonts w:eastAsia="MS Mincho" w:cs="Times New Roman"/>
          <w:color w:val="000000" w:themeColor="text1"/>
        </w:rPr>
        <w:t>child care</w:t>
      </w:r>
      <w:proofErr w:type="gramEnd"/>
      <w:r w:rsidRPr="0067119B">
        <w:rPr>
          <w:rFonts w:eastAsia="MS Mincho" w:cs="Times New Roman"/>
          <w:color w:val="000000" w:themeColor="text1"/>
        </w:rPr>
        <w:t xml:space="preserve"> providers, providing funds to help them with costs incurred because of the pandemic, such as staff compensation, staff retention bonuses, rent, and necessary goods and services. All these federal funds </w:t>
      </w:r>
      <w:r w:rsidR="00C81327">
        <w:rPr>
          <w:rFonts w:eastAsia="MS Mincho" w:cs="Times New Roman"/>
          <w:color w:val="000000" w:themeColor="text1"/>
        </w:rPr>
        <w:t>were</w:t>
      </w:r>
      <w:r w:rsidRPr="0067119B">
        <w:rPr>
          <w:rFonts w:eastAsia="MS Mincho" w:cs="Times New Roman"/>
          <w:color w:val="000000" w:themeColor="text1"/>
        </w:rPr>
        <w:t xml:space="preserve"> fully expended by the federal deadline of Sept. 30, 2024.</w:t>
      </w:r>
    </w:p>
    <w:p w14:paraId="0CEB45A4" w14:textId="189B2F5E" w:rsidR="007F02A7" w:rsidRPr="00350FF0" w:rsidRDefault="007F02A7" w:rsidP="00543277">
      <w:pPr>
        <w:pStyle w:val="BodyText3"/>
        <w:rPr>
          <w:rStyle w:val="Strong"/>
        </w:rPr>
      </w:pPr>
      <w:bookmarkStart w:id="147" w:name="_Toc417645488"/>
      <w:bookmarkStart w:id="148" w:name="_Toc417647477"/>
      <w:r w:rsidRPr="00350FF0">
        <w:rPr>
          <w:rStyle w:val="Strong"/>
        </w:rPr>
        <w:t>B.</w:t>
      </w:r>
      <w:r w:rsidR="00543277">
        <w:rPr>
          <w:rStyle w:val="Strong"/>
        </w:rPr>
        <w:tab/>
      </w:r>
      <w:r w:rsidRPr="00350FF0">
        <w:rPr>
          <w:rStyle w:val="Strong"/>
        </w:rPr>
        <w:t>List all riders that significantly impact your agency</w:t>
      </w:r>
      <w:r w:rsidR="00F044D6">
        <w:rPr>
          <w:rStyle w:val="Strong"/>
        </w:rPr>
        <w:t>’</w:t>
      </w:r>
      <w:r w:rsidRPr="00350FF0">
        <w:rPr>
          <w:rStyle w:val="Strong"/>
        </w:rPr>
        <w:t>s budget.</w:t>
      </w:r>
      <w:bookmarkEnd w:id="147"/>
      <w:bookmarkEnd w:id="148"/>
    </w:p>
    <w:p w14:paraId="5A01B4F1" w14:textId="77777777" w:rsidR="002A2760" w:rsidRDefault="002A2760" w:rsidP="00573130">
      <w:pPr>
        <w:pStyle w:val="BodyText"/>
      </w:pPr>
      <w:bookmarkStart w:id="149" w:name="_C._Show_your"/>
      <w:bookmarkStart w:id="150" w:name="_Toc417645489"/>
      <w:bookmarkStart w:id="151" w:name="_Toc417647478"/>
      <w:bookmarkEnd w:id="149"/>
      <w:r>
        <w:t xml:space="preserve">The following riders from </w:t>
      </w:r>
      <w:r w:rsidRPr="00F36EE0">
        <w:t xml:space="preserve">Senate Bill No. 1, </w:t>
      </w:r>
      <w:r>
        <w:t>89R</w:t>
      </w:r>
      <w:r w:rsidRPr="00F36EE0">
        <w:t xml:space="preserve"> </w:t>
      </w:r>
      <w:r>
        <w:t>(General Appropriations Act) have a significant impact on TWC’s budget.</w:t>
      </w:r>
    </w:p>
    <w:p w14:paraId="0E8768A8" w14:textId="77777777" w:rsidR="002A2760" w:rsidRDefault="002A2760" w:rsidP="00543277">
      <w:pPr>
        <w:pStyle w:val="BodyText"/>
      </w:pPr>
      <w:r w:rsidRPr="00F36EE0">
        <w:t>Article VII, Texas Workforce Commission</w:t>
      </w:r>
    </w:p>
    <w:p w14:paraId="7BC6A61B" w14:textId="77777777" w:rsidR="002A2760" w:rsidRDefault="002A2760" w:rsidP="00C64851">
      <w:pPr>
        <w:pStyle w:val="BodyText"/>
        <w:numPr>
          <w:ilvl w:val="0"/>
          <w:numId w:val="399"/>
        </w:numPr>
      </w:pPr>
      <w:r w:rsidRPr="00170AB0">
        <w:rPr>
          <w:i/>
          <w:iCs/>
        </w:rPr>
        <w:t>Rider #2, Capital Budget</w:t>
      </w:r>
      <w:r>
        <w:t xml:space="preserve"> – </w:t>
      </w:r>
      <w:r w:rsidRPr="00F36EE0">
        <w:t>TWC’s Capital Budget is utilized by the agency to repair and maintain its facilities, and to operate complex systems to pay unemployment compensation and collect employer taxes, connect job seekers with jobs, and collect and report information on services provided.</w:t>
      </w:r>
    </w:p>
    <w:p w14:paraId="0EDF590A" w14:textId="77777777" w:rsidR="002A2760" w:rsidRDefault="002A2760" w:rsidP="00C64851">
      <w:pPr>
        <w:pStyle w:val="BodyText"/>
        <w:numPr>
          <w:ilvl w:val="0"/>
          <w:numId w:val="399"/>
        </w:numPr>
      </w:pPr>
      <w:r w:rsidRPr="00170AB0">
        <w:rPr>
          <w:i/>
          <w:iCs/>
        </w:rPr>
        <w:t>Rider #3, Appropriation: Federal Funds</w:t>
      </w:r>
      <w:r>
        <w:t xml:space="preserve"> – A</w:t>
      </w:r>
      <w:r w:rsidRPr="00F36EE0">
        <w:t xml:space="preserve">cknowledges that because federal funding received to administer the unemployment compensation program </w:t>
      </w:r>
      <w:r>
        <w:t>is</w:t>
      </w:r>
      <w:r w:rsidRPr="00F36EE0">
        <w:t xml:space="preserve"> a function of economic conditions that cannot be estimated precisely years in </w:t>
      </w:r>
      <w:r w:rsidRPr="00F36EE0">
        <w:lastRenderedPageBreak/>
        <w:t xml:space="preserve">advance, and </w:t>
      </w:r>
      <w:r>
        <w:t>is</w:t>
      </w:r>
      <w:r w:rsidRPr="00F36EE0">
        <w:t xml:space="preserve"> needed to be received and expended as quickly as practicable, TWC is authorized to expend such federal funds, providing notice to the LBB and Governor of any such funds and associated staffing in excess of amounts included in the GAA.</w:t>
      </w:r>
    </w:p>
    <w:p w14:paraId="29679898" w14:textId="77777777" w:rsidR="002A2760" w:rsidRDefault="002A2760" w:rsidP="00C64851">
      <w:pPr>
        <w:pStyle w:val="BodyText"/>
        <w:numPr>
          <w:ilvl w:val="0"/>
          <w:numId w:val="399"/>
        </w:numPr>
      </w:pPr>
      <w:r w:rsidRPr="00170AB0">
        <w:rPr>
          <w:i/>
          <w:iCs/>
        </w:rPr>
        <w:t>Rider #6, Reappropriation of Federal and Local Funds</w:t>
      </w:r>
      <w:r>
        <w:t xml:space="preserve"> – Enhances TWC’s ability to manage effectively and maximize federal funds that are awarded with periods of life that extend beyond a single fiscal year.</w:t>
      </w:r>
    </w:p>
    <w:p w14:paraId="0655CF65" w14:textId="77777777" w:rsidR="002A2760" w:rsidRDefault="002A2760" w:rsidP="00C64851">
      <w:pPr>
        <w:pStyle w:val="BodyText"/>
        <w:numPr>
          <w:ilvl w:val="0"/>
          <w:numId w:val="399"/>
        </w:numPr>
      </w:pPr>
      <w:r w:rsidRPr="00170AB0">
        <w:rPr>
          <w:i/>
          <w:iCs/>
        </w:rPr>
        <w:t>Rider #7, Unexpended Balances for Child Care Funds</w:t>
      </w:r>
      <w:r>
        <w:t xml:space="preserve"> – </w:t>
      </w:r>
      <w:r w:rsidRPr="00F36EE0">
        <w:t xml:space="preserve">Provides authority for TWC to transfer any balances of unexpended general revenue from any </w:t>
      </w:r>
      <w:proofErr w:type="gramStart"/>
      <w:r w:rsidRPr="00F36EE0">
        <w:t>strategy to Strategy</w:t>
      </w:r>
      <w:proofErr w:type="gramEnd"/>
      <w:r w:rsidRPr="00F36EE0">
        <w:t xml:space="preserve"> A.3.1 Local Child Care Solutions, in order to maximize the matching of any available federal funds for child care.</w:t>
      </w:r>
    </w:p>
    <w:p w14:paraId="250216CE" w14:textId="77777777" w:rsidR="002A2760" w:rsidRDefault="002A2760" w:rsidP="00C64851">
      <w:pPr>
        <w:pStyle w:val="BodyText"/>
        <w:numPr>
          <w:ilvl w:val="0"/>
          <w:numId w:val="399"/>
        </w:numPr>
      </w:pPr>
      <w:r w:rsidRPr="001E112D">
        <w:rPr>
          <w:i/>
          <w:iCs/>
        </w:rPr>
        <w:t>Rider #8, Unexpended Balances Appropriation: Skills Development and Jobs and Education for Texans</w:t>
      </w:r>
      <w:r>
        <w:t xml:space="preserve"> – E</w:t>
      </w:r>
      <w:r w:rsidRPr="00F36EE0">
        <w:t>nhances TWC’s ability to maximize general revenue funds and manage contracts effectively that are awarded with periods of life that extend beyond a single fiscal year.</w:t>
      </w:r>
    </w:p>
    <w:p w14:paraId="5C31B0C1" w14:textId="77777777" w:rsidR="002A2760" w:rsidRDefault="002A2760" w:rsidP="00C64851">
      <w:pPr>
        <w:pStyle w:val="BodyText"/>
        <w:numPr>
          <w:ilvl w:val="0"/>
          <w:numId w:val="399"/>
        </w:numPr>
      </w:pPr>
      <w:r w:rsidRPr="001E112D">
        <w:rPr>
          <w:i/>
          <w:iCs/>
        </w:rPr>
        <w:t xml:space="preserve">Rider #9, Unexpended Balances Appropriation: Industry Recognized Apprenticeship Programs and Pre-Apprenticeship Career Pathways </w:t>
      </w:r>
      <w:r>
        <w:t>– E</w:t>
      </w:r>
      <w:r w:rsidRPr="00F36EE0">
        <w:t>nhances TWC’s ability to maximize general revenue funds and manage contracts effectively that are awarded with periods of life that extend beyond a single fiscal year.</w:t>
      </w:r>
    </w:p>
    <w:p w14:paraId="7956C6BC" w14:textId="77777777" w:rsidR="002A2760" w:rsidRDefault="002A2760" w:rsidP="00C64851">
      <w:pPr>
        <w:pStyle w:val="BodyText"/>
        <w:numPr>
          <w:ilvl w:val="0"/>
          <w:numId w:val="399"/>
        </w:numPr>
      </w:pPr>
      <w:r w:rsidRPr="001E112D">
        <w:rPr>
          <w:i/>
          <w:iCs/>
        </w:rPr>
        <w:t>Rider #10, Maximization of Child Care and Development Funds</w:t>
      </w:r>
      <w:r>
        <w:t xml:space="preserve"> – Legislative intent rider providing that the Legislature wants TWC to maximize all available federal matching funds for </w:t>
      </w:r>
      <w:proofErr w:type="gramStart"/>
      <w:r>
        <w:t>child care</w:t>
      </w:r>
      <w:proofErr w:type="gramEnd"/>
      <w:r>
        <w:t>.</w:t>
      </w:r>
    </w:p>
    <w:p w14:paraId="11130659" w14:textId="77777777" w:rsidR="002A2760" w:rsidRDefault="002A2760" w:rsidP="00C64851">
      <w:pPr>
        <w:pStyle w:val="BodyText"/>
        <w:numPr>
          <w:ilvl w:val="0"/>
          <w:numId w:val="399"/>
        </w:numPr>
      </w:pPr>
      <w:r w:rsidRPr="001E112D">
        <w:rPr>
          <w:i/>
          <w:iCs/>
        </w:rPr>
        <w:t>Rider #23, Employment and Training Investment Assessment Reimbursement</w:t>
      </w:r>
      <w:r>
        <w:t xml:space="preserve"> – </w:t>
      </w:r>
      <w:r w:rsidRPr="00F36EE0">
        <w:t>This rider is significant because of federal compliance requirements.</w:t>
      </w:r>
    </w:p>
    <w:p w14:paraId="21E7351D" w14:textId="77777777" w:rsidR="002A2760" w:rsidRDefault="002A2760" w:rsidP="00C64851">
      <w:pPr>
        <w:pStyle w:val="BodyText"/>
        <w:numPr>
          <w:ilvl w:val="0"/>
          <w:numId w:val="399"/>
        </w:numPr>
      </w:pPr>
      <w:r w:rsidRPr="001E112D">
        <w:rPr>
          <w:i/>
          <w:iCs/>
        </w:rPr>
        <w:t>Rider #26, School Readiness Models</w:t>
      </w:r>
      <w:r>
        <w:t xml:space="preserve"> – R</w:t>
      </w:r>
      <w:r w:rsidRPr="00F36EE0">
        <w:t>edirects Child Care funding from TWC to TEA.</w:t>
      </w:r>
    </w:p>
    <w:p w14:paraId="3DED5687" w14:textId="77777777" w:rsidR="002A2760" w:rsidRDefault="002A2760" w:rsidP="00C64851">
      <w:pPr>
        <w:pStyle w:val="BodyText"/>
        <w:numPr>
          <w:ilvl w:val="0"/>
          <w:numId w:val="399"/>
        </w:numPr>
      </w:pPr>
      <w:r w:rsidRPr="001E112D">
        <w:rPr>
          <w:i/>
          <w:iCs/>
        </w:rPr>
        <w:t>Rider #27, Contingent Revenue Career Schools and Colleges Regulation</w:t>
      </w:r>
      <w:r>
        <w:t xml:space="preserve"> – A</w:t>
      </w:r>
      <w:r w:rsidRPr="00CC5328">
        <w:t>llows TWC’s career schools and colleges regulatory program to expand with the industry, as necessary</w:t>
      </w:r>
      <w:r>
        <w:t>.</w:t>
      </w:r>
    </w:p>
    <w:p w14:paraId="551D4D56" w14:textId="77777777" w:rsidR="002A2760" w:rsidRDefault="002A2760" w:rsidP="00C64851">
      <w:pPr>
        <w:pStyle w:val="BodyText"/>
        <w:numPr>
          <w:ilvl w:val="0"/>
          <w:numId w:val="399"/>
        </w:numPr>
      </w:pPr>
      <w:r w:rsidRPr="001E112D">
        <w:rPr>
          <w:i/>
          <w:iCs/>
        </w:rPr>
        <w:t>Rider #35, Appropriation: GR-Dedicated Business Enterprise Program Trust Fund Account No. 5043</w:t>
      </w:r>
      <w:r>
        <w:t xml:space="preserve"> – A</w:t>
      </w:r>
      <w:r w:rsidRPr="00CC5328">
        <w:t>llows TWC to utilize all collected revenue and fully expend for the intended, statutory purposes each year.</w:t>
      </w:r>
    </w:p>
    <w:p w14:paraId="602CC358" w14:textId="77777777" w:rsidR="002A2760" w:rsidRDefault="002A2760" w:rsidP="00C64851">
      <w:pPr>
        <w:pStyle w:val="BodyText"/>
        <w:numPr>
          <w:ilvl w:val="0"/>
          <w:numId w:val="399"/>
        </w:numPr>
      </w:pPr>
      <w:r w:rsidRPr="001E112D">
        <w:rPr>
          <w:i/>
          <w:iCs/>
        </w:rPr>
        <w:t>Rider #40, Health and Human Services Commission Partnership</w:t>
      </w:r>
      <w:r>
        <w:t xml:space="preserve"> – R</w:t>
      </w:r>
      <w:r w:rsidRPr="00CC5328">
        <w:t>edirects Vocational Rehabilitation Social Security Administration funding from TWC to HHSC</w:t>
      </w:r>
      <w:r>
        <w:t>.</w:t>
      </w:r>
    </w:p>
    <w:p w14:paraId="304EDE69" w14:textId="77777777" w:rsidR="002A2760" w:rsidRDefault="002A2760" w:rsidP="00C64851">
      <w:pPr>
        <w:pStyle w:val="BodyText"/>
        <w:numPr>
          <w:ilvl w:val="0"/>
          <w:numId w:val="399"/>
        </w:numPr>
      </w:pPr>
      <w:r w:rsidRPr="001E112D">
        <w:rPr>
          <w:i/>
          <w:iCs/>
        </w:rPr>
        <w:lastRenderedPageBreak/>
        <w:t>Rider #45, Unexpended Balances Appropriation: Acquisition of Information Resource Technology and Legacy Modernization</w:t>
      </w:r>
      <w:r>
        <w:t xml:space="preserve"> – E</w:t>
      </w:r>
      <w:r w:rsidRPr="00CC5328">
        <w:t>nhances TWC’s ability to maximize capital budget authority and manage significant IT projects effectively that extend beyond a single fiscal year.</w:t>
      </w:r>
    </w:p>
    <w:p w14:paraId="5CB73B02" w14:textId="77777777" w:rsidR="002A2760" w:rsidRDefault="002A2760" w:rsidP="00C64851">
      <w:pPr>
        <w:pStyle w:val="BodyText"/>
        <w:numPr>
          <w:ilvl w:val="0"/>
          <w:numId w:val="399"/>
        </w:numPr>
      </w:pPr>
      <w:r w:rsidRPr="001E112D">
        <w:rPr>
          <w:i/>
          <w:iCs/>
        </w:rPr>
        <w:t>Rider #51, Expansion of Senior Keys to Independence Program (SKIP)</w:t>
      </w:r>
      <w:r>
        <w:t xml:space="preserve"> – A</w:t>
      </w:r>
      <w:r w:rsidRPr="00C66F5D">
        <w:t>ppropriate</w:t>
      </w:r>
      <w:r>
        <w:t>s</w:t>
      </w:r>
      <w:r w:rsidRPr="00C66F5D">
        <w:t xml:space="preserve"> additional General Revenue funding for SKIP in the 2026-27 biennium.</w:t>
      </w:r>
    </w:p>
    <w:p w14:paraId="7C5FA5E6" w14:textId="77777777" w:rsidR="002A2760" w:rsidRDefault="002A2760" w:rsidP="00C64851">
      <w:pPr>
        <w:pStyle w:val="BodyText"/>
        <w:numPr>
          <w:ilvl w:val="0"/>
          <w:numId w:val="399"/>
        </w:numPr>
      </w:pPr>
      <w:r w:rsidRPr="001E112D">
        <w:rPr>
          <w:i/>
          <w:iCs/>
        </w:rPr>
        <w:t>Rider #52, Emergency Medical Response Service Staffing Program</w:t>
      </w:r>
      <w:r>
        <w:t xml:space="preserve"> – T</w:t>
      </w:r>
      <w:r w:rsidRPr="00D332CE">
        <w:t>ransfer</w:t>
      </w:r>
      <w:r>
        <w:t>s</w:t>
      </w:r>
      <w:r w:rsidRPr="00D332CE">
        <w:t xml:space="preserve"> the Emergency Medical Response Service Staffing program to TWC and appropriate</w:t>
      </w:r>
      <w:r>
        <w:t>s</w:t>
      </w:r>
      <w:r w:rsidRPr="00D332CE">
        <w:t xml:space="preserve"> new General Revenue funding in the 2026-27 biennium.</w:t>
      </w:r>
    </w:p>
    <w:p w14:paraId="7C6C5127" w14:textId="77777777" w:rsidR="002A2760" w:rsidRDefault="002A2760" w:rsidP="00C64851">
      <w:pPr>
        <w:pStyle w:val="BodyText"/>
        <w:numPr>
          <w:ilvl w:val="0"/>
          <w:numId w:val="399"/>
        </w:numPr>
      </w:pPr>
      <w:r w:rsidRPr="001E112D">
        <w:rPr>
          <w:i/>
          <w:iCs/>
        </w:rPr>
        <w:t>Rider #53, Appropriation: GR-Dedicated Business Enterprise Program Account No. 492</w:t>
      </w:r>
      <w:r>
        <w:t xml:space="preserve"> – A</w:t>
      </w:r>
      <w:r w:rsidRPr="00C47AB6">
        <w:t>llows TWC to utilize all collected revenue and fully expend for the intended, statutory purposes each year.</w:t>
      </w:r>
    </w:p>
    <w:p w14:paraId="627234E2" w14:textId="77777777" w:rsidR="002A2760" w:rsidRDefault="002A2760" w:rsidP="00C64851">
      <w:pPr>
        <w:pStyle w:val="BodyText"/>
        <w:numPr>
          <w:ilvl w:val="0"/>
          <w:numId w:val="399"/>
        </w:numPr>
      </w:pPr>
      <w:r w:rsidRPr="001E112D">
        <w:rPr>
          <w:i/>
          <w:iCs/>
        </w:rPr>
        <w:t>Rider #54, Enhanced Workforce Data System</w:t>
      </w:r>
      <w:r>
        <w:t xml:space="preserve"> – A</w:t>
      </w:r>
      <w:r w:rsidRPr="00C430A6">
        <w:t>ppropriate</w:t>
      </w:r>
      <w:r>
        <w:t>s</w:t>
      </w:r>
      <w:r w:rsidRPr="00C430A6">
        <w:t xml:space="preserve"> new General Revenue funding to enhance reporting of employment and earnings data in the 2026-27 biennium.</w:t>
      </w:r>
    </w:p>
    <w:p w14:paraId="5263BBB6" w14:textId="77777777" w:rsidR="002A2760" w:rsidRDefault="002A2760" w:rsidP="002D4F3F">
      <w:pPr>
        <w:pStyle w:val="BodyText"/>
      </w:pPr>
      <w:r>
        <w:t>Article VII, Reimbursements to the Unemployment Compensation Benefit Account</w:t>
      </w:r>
    </w:p>
    <w:p w14:paraId="57250763" w14:textId="77777777" w:rsidR="002A2760" w:rsidRDefault="002A2760" w:rsidP="00C64851">
      <w:pPr>
        <w:pStyle w:val="BodyText"/>
        <w:numPr>
          <w:ilvl w:val="0"/>
          <w:numId w:val="400"/>
        </w:numPr>
      </w:pPr>
      <w:r w:rsidRPr="00012A07">
        <w:t xml:space="preserve">The riders </w:t>
      </w:r>
      <w:r>
        <w:t xml:space="preserve">in this section </w:t>
      </w:r>
      <w:r w:rsidRPr="00012A07">
        <w:t>provide authority to reimburse the Unemployment Compensation Trust Fund for unemployment benefits paid on behalf of former state employees. The riders also authorize an estimated appropriation to allow the agency to increase or decrease the authority dependent on the economy and cash flow needs.</w:t>
      </w:r>
      <w:r>
        <w:t xml:space="preserve"> </w:t>
      </w:r>
    </w:p>
    <w:p w14:paraId="42994BBD" w14:textId="77777777" w:rsidR="002A2760" w:rsidRDefault="002A2760" w:rsidP="002D4F3F">
      <w:pPr>
        <w:pStyle w:val="BodyText"/>
      </w:pPr>
      <w:r>
        <w:t>Article IX, General Provisions</w:t>
      </w:r>
    </w:p>
    <w:p w14:paraId="0DFB6549" w14:textId="77777777" w:rsidR="002A2760" w:rsidRDefault="002A2760" w:rsidP="00C64851">
      <w:pPr>
        <w:pStyle w:val="BodyText"/>
        <w:numPr>
          <w:ilvl w:val="0"/>
          <w:numId w:val="400"/>
        </w:numPr>
      </w:pPr>
      <w:r w:rsidRPr="001E112D">
        <w:rPr>
          <w:i/>
          <w:iCs/>
        </w:rPr>
        <w:t>Sec. 15.01. Reimbursements for Unemployment Benefits</w:t>
      </w:r>
      <w:r>
        <w:t xml:space="preserve"> – Directs and describes the procedure whereby TWC processes unemployment compensation for former State of Texas employees for whom such payments are appropriate. </w:t>
      </w:r>
    </w:p>
    <w:p w14:paraId="006949E9" w14:textId="77777777" w:rsidR="002A2760" w:rsidRDefault="002A2760" w:rsidP="00C64851">
      <w:pPr>
        <w:pStyle w:val="BodyText"/>
        <w:numPr>
          <w:ilvl w:val="0"/>
          <w:numId w:val="400"/>
        </w:numPr>
      </w:pPr>
      <w:r w:rsidRPr="002C7444">
        <w:rPr>
          <w:i/>
          <w:iCs/>
        </w:rPr>
        <w:t xml:space="preserve">17.15 Appropriation for a Salary Increase for Licensed Attorneys in Certain Positions </w:t>
      </w:r>
      <w:r>
        <w:t>– M</w:t>
      </w:r>
      <w:r w:rsidRPr="002C7444">
        <w:t>ay have a significant impact on the Unemployment Insurance program and associated federal funding if TWC does not obtain General Revenue to support the increases.</w:t>
      </w:r>
    </w:p>
    <w:p w14:paraId="62451F72" w14:textId="77777777" w:rsidR="002A2760" w:rsidRDefault="002A2760" w:rsidP="00C64851">
      <w:pPr>
        <w:pStyle w:val="BodyText"/>
        <w:numPr>
          <w:ilvl w:val="0"/>
          <w:numId w:val="400"/>
        </w:numPr>
      </w:pPr>
      <w:r w:rsidRPr="00321C7B">
        <w:rPr>
          <w:i/>
          <w:iCs/>
        </w:rPr>
        <w:t>Sec. 18.23. Contingency for House Bill 3260</w:t>
      </w:r>
      <w:r>
        <w:t xml:space="preserve"> – A</w:t>
      </w:r>
      <w:r w:rsidRPr="00321C7B">
        <w:t>ppropriate</w:t>
      </w:r>
      <w:r>
        <w:t>s</w:t>
      </w:r>
      <w:r w:rsidRPr="00321C7B">
        <w:t xml:space="preserve"> new Interagency Contract funding for the Texas Industry-Recognized Apprenticeship Programs Grant Program in the 2026-27 biennium.</w:t>
      </w:r>
    </w:p>
    <w:p w14:paraId="10D45446" w14:textId="77777777" w:rsidR="002A2760" w:rsidRPr="00367AFB" w:rsidRDefault="002A2760" w:rsidP="00C64851">
      <w:pPr>
        <w:pStyle w:val="BodyText"/>
        <w:numPr>
          <w:ilvl w:val="0"/>
          <w:numId w:val="400"/>
        </w:numPr>
      </w:pPr>
      <w:r w:rsidRPr="00AE23CE">
        <w:rPr>
          <w:i/>
          <w:iCs/>
        </w:rPr>
        <w:t>Sec. 18.66. Contingency for Senate Bill 1786</w:t>
      </w:r>
      <w:r>
        <w:t xml:space="preserve"> – A</w:t>
      </w:r>
      <w:r w:rsidRPr="00AE23CE">
        <w:t>ppropriate</w:t>
      </w:r>
      <w:r>
        <w:t>s</w:t>
      </w:r>
      <w:r w:rsidRPr="00AE23CE">
        <w:t xml:space="preserve"> new General Revenue funding and FTEs to enhance reporting of employment and earnings data in the 2026-27 biennium.</w:t>
      </w:r>
    </w:p>
    <w:p w14:paraId="51AB644F" w14:textId="119EFA21" w:rsidR="00CB28C5" w:rsidRDefault="007F02A7" w:rsidP="00143EE6">
      <w:pPr>
        <w:pStyle w:val="BodyText3"/>
        <w:ind w:left="720" w:hanging="720"/>
        <w:rPr>
          <w:rStyle w:val="Strong"/>
        </w:rPr>
      </w:pPr>
      <w:r w:rsidRPr="00350FF0">
        <w:rPr>
          <w:rStyle w:val="Strong"/>
        </w:rPr>
        <w:lastRenderedPageBreak/>
        <w:t>C.</w:t>
      </w:r>
      <w:r w:rsidR="00143EE6">
        <w:rPr>
          <w:rStyle w:val="Strong"/>
        </w:rPr>
        <w:tab/>
      </w:r>
      <w:r w:rsidRPr="00350FF0">
        <w:rPr>
          <w:rStyle w:val="Strong"/>
        </w:rPr>
        <w:t>Show your agency</w:t>
      </w:r>
      <w:r w:rsidR="00F044D6">
        <w:rPr>
          <w:rStyle w:val="Strong"/>
        </w:rPr>
        <w:t>’</w:t>
      </w:r>
      <w:r w:rsidRPr="00350FF0">
        <w:rPr>
          <w:rStyle w:val="Strong"/>
        </w:rPr>
        <w:t>s expenditures</w:t>
      </w:r>
      <w:r w:rsidR="00B531D9">
        <w:rPr>
          <w:rStyle w:val="Strong"/>
        </w:rPr>
        <w:t>, including transfers,</w:t>
      </w:r>
      <w:r w:rsidRPr="00350FF0">
        <w:rPr>
          <w:rStyle w:val="Strong"/>
        </w:rPr>
        <w:t xml:space="preserve"> </w:t>
      </w:r>
      <w:r w:rsidR="00B60F05">
        <w:rPr>
          <w:rStyle w:val="Strong"/>
        </w:rPr>
        <w:t xml:space="preserve">broken </w:t>
      </w:r>
      <w:r w:rsidR="005818B8">
        <w:rPr>
          <w:rStyle w:val="Strong"/>
        </w:rPr>
        <w:t xml:space="preserve">down </w:t>
      </w:r>
      <w:r w:rsidR="00B60F05">
        <w:rPr>
          <w:rStyle w:val="Strong"/>
        </w:rPr>
        <w:t>into clear and easy-to-understand categories, as shown in the examples provided. This information forms the basis of the “Agency at a Glance” section of Sunset’s reports</w:t>
      </w:r>
      <w:r w:rsidR="00832B49">
        <w:rPr>
          <w:rStyle w:val="Strong"/>
        </w:rPr>
        <w:t xml:space="preserve">. </w:t>
      </w:r>
      <w:bookmarkEnd w:id="150"/>
      <w:bookmarkEnd w:id="151"/>
      <w:r w:rsidR="007C1367">
        <w:rPr>
          <w:rStyle w:val="Strong"/>
        </w:rPr>
        <w:t xml:space="preserve">Please ensure the totals provided for Expenditures and </w:t>
      </w:r>
      <w:r w:rsidR="00A201CA">
        <w:rPr>
          <w:rStyle w:val="Strong"/>
        </w:rPr>
        <w:t xml:space="preserve">Sources of </w:t>
      </w:r>
      <w:r w:rsidR="007C1367">
        <w:rPr>
          <w:rStyle w:val="Strong"/>
        </w:rPr>
        <w:t>Revenue are equal.</w:t>
      </w:r>
    </w:p>
    <w:p w14:paraId="5436D18D" w14:textId="0C582DDF" w:rsidR="000F17DB" w:rsidRPr="000F17DB" w:rsidRDefault="000F17DB" w:rsidP="000F17DB">
      <w:pPr>
        <w:pStyle w:val="BodyText"/>
        <w:rPr>
          <w:rStyle w:val="Strong"/>
          <w:bCs w:val="0"/>
        </w:rPr>
      </w:pPr>
      <w:r w:rsidRPr="000F17DB">
        <w:rPr>
          <w:rStyle w:val="Strong"/>
          <w:bCs w:val="0"/>
        </w:rPr>
        <w:t>See the attached Excel file</w:t>
      </w:r>
      <w:r w:rsidR="006A1BB4">
        <w:rPr>
          <w:rStyle w:val="Strong"/>
          <w:bCs w:val="0"/>
        </w:rPr>
        <w:t>,</w:t>
      </w:r>
      <w:r w:rsidRPr="000F17DB">
        <w:rPr>
          <w:rStyle w:val="Strong"/>
          <w:bCs w:val="0"/>
        </w:rPr>
        <w:t xml:space="preserve"> Exhibit 7 </w:t>
      </w:r>
      <w:r w:rsidR="00983057">
        <w:rPr>
          <w:rStyle w:val="Strong"/>
          <w:bCs w:val="0"/>
        </w:rPr>
        <w:t>_</w:t>
      </w:r>
      <w:r w:rsidRPr="000F17DB">
        <w:rPr>
          <w:rStyle w:val="Strong"/>
          <w:bCs w:val="0"/>
        </w:rPr>
        <w:t>Expenditures</w:t>
      </w:r>
      <w:r w:rsidR="006A1BB4">
        <w:rPr>
          <w:rStyle w:val="Strong"/>
          <w:bCs w:val="0"/>
        </w:rPr>
        <w:t>,</w:t>
      </w:r>
      <w:r w:rsidRPr="000F17DB">
        <w:rPr>
          <w:rStyle w:val="Strong"/>
          <w:bCs w:val="0"/>
        </w:rPr>
        <w:t xml:space="preserve"> for data on TWC’s expenditures for fiscal year 2024. The exhibit shows the amount spent, including contract expenditures, in 82 detailed expenditure categories. Total expenditures for fiscal year 2024 equaled $2.76 billion, with $2.02 billion spent on contracts. The individual expenditure items are grouped into the following six high-level categories (percent of total).</w:t>
      </w:r>
    </w:p>
    <w:p w14:paraId="0AC67F8B" w14:textId="53283336" w:rsidR="000F17DB" w:rsidRPr="000F17DB" w:rsidRDefault="000F17DB" w:rsidP="00E768A5">
      <w:pPr>
        <w:pStyle w:val="BodyText"/>
        <w:numPr>
          <w:ilvl w:val="0"/>
          <w:numId w:val="49"/>
        </w:numPr>
        <w:rPr>
          <w:rStyle w:val="Strong"/>
          <w:bCs w:val="0"/>
        </w:rPr>
      </w:pPr>
      <w:r w:rsidRPr="000F17DB">
        <w:rPr>
          <w:rStyle w:val="Strong"/>
          <w:bCs w:val="0"/>
        </w:rPr>
        <w:t>Child Care and Early Learning (56.63</w:t>
      </w:r>
      <w:r w:rsidR="00734236">
        <w:rPr>
          <w:rStyle w:val="Strong"/>
          <w:bCs w:val="0"/>
        </w:rPr>
        <w:t xml:space="preserve"> percent</w:t>
      </w:r>
      <w:r w:rsidRPr="000F17DB">
        <w:rPr>
          <w:rStyle w:val="Strong"/>
          <w:bCs w:val="0"/>
        </w:rPr>
        <w:t>)</w:t>
      </w:r>
    </w:p>
    <w:p w14:paraId="35A4A5FF" w14:textId="770B25EB" w:rsidR="000F17DB" w:rsidRPr="000F17DB" w:rsidRDefault="000F17DB" w:rsidP="00E768A5">
      <w:pPr>
        <w:pStyle w:val="BodyText"/>
        <w:numPr>
          <w:ilvl w:val="0"/>
          <w:numId w:val="49"/>
        </w:numPr>
        <w:rPr>
          <w:rStyle w:val="Strong"/>
          <w:bCs w:val="0"/>
        </w:rPr>
      </w:pPr>
      <w:r w:rsidRPr="000F17DB">
        <w:rPr>
          <w:rStyle w:val="Strong"/>
          <w:bCs w:val="0"/>
        </w:rPr>
        <w:t>Workforce Development (21.88</w:t>
      </w:r>
      <w:r w:rsidR="00734236">
        <w:rPr>
          <w:rStyle w:val="Strong"/>
          <w:bCs w:val="0"/>
        </w:rPr>
        <w:t xml:space="preserve"> percent</w:t>
      </w:r>
      <w:r w:rsidRPr="000F17DB">
        <w:rPr>
          <w:rStyle w:val="Strong"/>
          <w:bCs w:val="0"/>
        </w:rPr>
        <w:t>)</w:t>
      </w:r>
    </w:p>
    <w:p w14:paraId="57E8F994" w14:textId="70E51BFD" w:rsidR="000F17DB" w:rsidRPr="000F17DB" w:rsidRDefault="000F17DB" w:rsidP="00E768A5">
      <w:pPr>
        <w:pStyle w:val="BodyText"/>
        <w:numPr>
          <w:ilvl w:val="0"/>
          <w:numId w:val="49"/>
        </w:numPr>
        <w:rPr>
          <w:rStyle w:val="Strong"/>
          <w:bCs w:val="0"/>
        </w:rPr>
      </w:pPr>
      <w:r w:rsidRPr="000F17DB">
        <w:rPr>
          <w:rStyle w:val="Strong"/>
          <w:bCs w:val="0"/>
        </w:rPr>
        <w:t>Vocational Rehabilitation (14.90</w:t>
      </w:r>
      <w:r w:rsidR="00734236">
        <w:rPr>
          <w:rStyle w:val="Strong"/>
          <w:bCs w:val="0"/>
        </w:rPr>
        <w:t xml:space="preserve"> percent</w:t>
      </w:r>
      <w:r w:rsidRPr="000F17DB">
        <w:rPr>
          <w:rStyle w:val="Strong"/>
          <w:bCs w:val="0"/>
        </w:rPr>
        <w:t>)</w:t>
      </w:r>
    </w:p>
    <w:p w14:paraId="77714EED" w14:textId="7E1D95B7" w:rsidR="000F17DB" w:rsidRPr="000F17DB" w:rsidRDefault="000F17DB" w:rsidP="00E768A5">
      <w:pPr>
        <w:pStyle w:val="BodyText"/>
        <w:numPr>
          <w:ilvl w:val="0"/>
          <w:numId w:val="49"/>
        </w:numPr>
        <w:rPr>
          <w:rStyle w:val="Strong"/>
          <w:bCs w:val="0"/>
        </w:rPr>
      </w:pPr>
      <w:r w:rsidRPr="000F17DB">
        <w:rPr>
          <w:rStyle w:val="Strong"/>
          <w:bCs w:val="0"/>
        </w:rPr>
        <w:t>Unemployment Insurance (4.47</w:t>
      </w:r>
      <w:r w:rsidR="00734236">
        <w:rPr>
          <w:rStyle w:val="Strong"/>
          <w:bCs w:val="0"/>
        </w:rPr>
        <w:t xml:space="preserve"> percent</w:t>
      </w:r>
      <w:r w:rsidRPr="000F17DB">
        <w:rPr>
          <w:rStyle w:val="Strong"/>
          <w:bCs w:val="0"/>
        </w:rPr>
        <w:t>)</w:t>
      </w:r>
    </w:p>
    <w:p w14:paraId="6B2492F2" w14:textId="77352A18" w:rsidR="008C1B5B" w:rsidRDefault="000F17DB" w:rsidP="00E768A5">
      <w:pPr>
        <w:pStyle w:val="BodyText"/>
        <w:numPr>
          <w:ilvl w:val="0"/>
          <w:numId w:val="49"/>
        </w:numPr>
        <w:rPr>
          <w:rStyle w:val="Strong"/>
          <w:bCs w:val="0"/>
        </w:rPr>
      </w:pPr>
      <w:r w:rsidRPr="000F17DB">
        <w:rPr>
          <w:rStyle w:val="Strong"/>
          <w:bCs w:val="0"/>
        </w:rPr>
        <w:t>Customer Support and Administration (1.97</w:t>
      </w:r>
      <w:r w:rsidR="00734236">
        <w:rPr>
          <w:rStyle w:val="Strong"/>
          <w:bCs w:val="0"/>
        </w:rPr>
        <w:t xml:space="preserve"> percent</w:t>
      </w:r>
      <w:r w:rsidRPr="000F17DB">
        <w:rPr>
          <w:rStyle w:val="Strong"/>
          <w:bCs w:val="0"/>
        </w:rPr>
        <w:t>)</w:t>
      </w:r>
    </w:p>
    <w:p w14:paraId="3C23E3BD" w14:textId="4E1DCC0F" w:rsidR="0096184C" w:rsidRPr="008C1B5B" w:rsidRDefault="000F17DB" w:rsidP="00E768A5">
      <w:pPr>
        <w:pStyle w:val="BodyText"/>
        <w:numPr>
          <w:ilvl w:val="0"/>
          <w:numId w:val="49"/>
        </w:numPr>
        <w:rPr>
          <w:rStyle w:val="Strong"/>
          <w:bCs w:val="0"/>
        </w:rPr>
      </w:pPr>
      <w:r w:rsidRPr="008C1B5B">
        <w:rPr>
          <w:rStyle w:val="Strong"/>
          <w:bCs w:val="0"/>
        </w:rPr>
        <w:t>Civil Rights (0.15</w:t>
      </w:r>
      <w:r w:rsidR="00734236">
        <w:rPr>
          <w:rStyle w:val="Strong"/>
          <w:bCs w:val="0"/>
        </w:rPr>
        <w:t xml:space="preserve"> percent</w:t>
      </w:r>
      <w:r w:rsidRPr="008C1B5B">
        <w:rPr>
          <w:rStyle w:val="Strong"/>
          <w:bCs w:val="0"/>
        </w:rPr>
        <w:t>)</w:t>
      </w:r>
    </w:p>
    <w:p w14:paraId="19A01CAE" w14:textId="7DEAE1BB" w:rsidR="00092ED5" w:rsidRDefault="00D7416F" w:rsidP="004B1557">
      <w:pPr>
        <w:pStyle w:val="BodyText3"/>
        <w:ind w:left="720" w:hanging="720"/>
        <w:rPr>
          <w:rStyle w:val="Strong"/>
        </w:rPr>
      </w:pPr>
      <w:bookmarkStart w:id="152" w:name="_D._Show_your"/>
      <w:bookmarkStart w:id="153" w:name="_Toc417645492"/>
      <w:bookmarkStart w:id="154" w:name="_Toc417647481"/>
      <w:bookmarkEnd w:id="152"/>
      <w:r w:rsidRPr="00350FF0">
        <w:rPr>
          <w:rStyle w:val="Strong"/>
        </w:rPr>
        <w:t>D.</w:t>
      </w:r>
      <w:r w:rsidR="004B1557">
        <w:rPr>
          <w:rStyle w:val="Strong"/>
        </w:rPr>
        <w:tab/>
      </w:r>
      <w:r w:rsidRPr="00350FF0">
        <w:rPr>
          <w:rStyle w:val="Strong"/>
        </w:rPr>
        <w:t>Show your agency</w:t>
      </w:r>
      <w:r w:rsidR="00F044D6">
        <w:rPr>
          <w:rStyle w:val="Strong"/>
        </w:rPr>
        <w:t>’</w:t>
      </w:r>
      <w:r w:rsidRPr="00350FF0">
        <w:rPr>
          <w:rStyle w:val="Strong"/>
        </w:rPr>
        <w:t>s sources of revenue</w:t>
      </w:r>
      <w:r w:rsidR="00714A84" w:rsidRPr="00714A84">
        <w:rPr>
          <w:rStyle w:val="Strong"/>
        </w:rPr>
        <w:t xml:space="preserve"> </w:t>
      </w:r>
      <w:r w:rsidR="00714A84">
        <w:rPr>
          <w:rStyle w:val="Strong"/>
        </w:rPr>
        <w:t xml:space="preserve">broken </w:t>
      </w:r>
      <w:r w:rsidR="005818B8">
        <w:rPr>
          <w:rStyle w:val="Strong"/>
        </w:rPr>
        <w:t xml:space="preserve">down </w:t>
      </w:r>
      <w:r w:rsidR="00714A84">
        <w:rPr>
          <w:rStyle w:val="Strong"/>
        </w:rPr>
        <w:t>into clear and easy-to-understand categories, as shown in the examples provided. This information forms the basis of the “Agency at a Glance” section of Sunset’s reports</w:t>
      </w:r>
      <w:r w:rsidR="00832B49">
        <w:rPr>
          <w:rStyle w:val="Strong"/>
        </w:rPr>
        <w:t xml:space="preserve">. </w:t>
      </w:r>
      <w:r w:rsidRPr="00350FF0">
        <w:rPr>
          <w:rStyle w:val="Strong"/>
        </w:rPr>
        <w:t>Include all local, state, and federal appropriations</w:t>
      </w:r>
      <w:r w:rsidR="005818B8">
        <w:rPr>
          <w:rStyle w:val="Strong"/>
        </w:rPr>
        <w:t>;</w:t>
      </w:r>
      <w:r w:rsidRPr="00350FF0">
        <w:rPr>
          <w:rStyle w:val="Strong"/>
        </w:rPr>
        <w:t xml:space="preserve"> all professional </w:t>
      </w:r>
      <w:r w:rsidR="003B603A">
        <w:rPr>
          <w:rStyle w:val="Strong"/>
        </w:rPr>
        <w:t xml:space="preserve">fees (for licensure and certification) </w:t>
      </w:r>
      <w:r w:rsidRPr="00350FF0">
        <w:rPr>
          <w:rStyle w:val="Strong"/>
        </w:rPr>
        <w:t>and operating fees</w:t>
      </w:r>
      <w:r w:rsidR="00B531D9">
        <w:rPr>
          <w:rStyle w:val="Strong"/>
        </w:rPr>
        <w:t xml:space="preserve"> (charged to agency customers</w:t>
      </w:r>
      <w:r w:rsidR="003B603A">
        <w:rPr>
          <w:rStyle w:val="Strong"/>
        </w:rPr>
        <w:t xml:space="preserve"> for services</w:t>
      </w:r>
      <w:r w:rsidR="00B531D9">
        <w:rPr>
          <w:rStyle w:val="Strong"/>
        </w:rPr>
        <w:t>)</w:t>
      </w:r>
      <w:r w:rsidR="005818B8">
        <w:rPr>
          <w:rStyle w:val="Strong"/>
        </w:rPr>
        <w:t>;</w:t>
      </w:r>
      <w:r w:rsidRPr="00350FF0">
        <w:rPr>
          <w:rStyle w:val="Strong"/>
        </w:rPr>
        <w:t xml:space="preserve"> and all other sources of revenue collected by the agency, including taxes and fines.</w:t>
      </w:r>
      <w:bookmarkEnd w:id="153"/>
      <w:bookmarkEnd w:id="154"/>
      <w:r>
        <w:rPr>
          <w:rFonts w:ascii="Aptos" w:hAnsi="Aptos"/>
        </w:rPr>
        <w:fldChar w:fldCharType="begin"/>
      </w:r>
      <w:r>
        <w:instrText>HYPERLINK \l "Exhibit_8" \h</w:instrText>
      </w:r>
      <w:r>
        <w:rPr>
          <w:rFonts w:ascii="Aptos" w:hAnsi="Aptos"/>
        </w:rPr>
      </w:r>
      <w:r>
        <w:rPr>
          <w:rFonts w:ascii="Aptos" w:hAnsi="Aptos"/>
        </w:rPr>
        <w:fldChar w:fldCharType="separate"/>
      </w:r>
      <w:r w:rsidRPr="1241769C">
        <w:rPr>
          <w:rStyle w:val="Strong"/>
          <w:i/>
          <w:iCs/>
        </w:rPr>
        <w:t xml:space="preserve"> </w:t>
      </w:r>
      <w:r>
        <w:rPr>
          <w:rStyle w:val="Strong"/>
          <w:i/>
          <w:iCs/>
        </w:rPr>
        <w:fldChar w:fldCharType="end"/>
      </w:r>
      <w:r w:rsidR="00B531D9">
        <w:rPr>
          <w:rStyle w:val="Strong"/>
        </w:rPr>
        <w:t xml:space="preserve">Please ensure the totals provided for Expenditures and </w:t>
      </w:r>
      <w:r w:rsidR="00A201CA">
        <w:rPr>
          <w:rStyle w:val="Strong"/>
        </w:rPr>
        <w:t xml:space="preserve">Sources of </w:t>
      </w:r>
      <w:r w:rsidR="00B531D9">
        <w:rPr>
          <w:rStyle w:val="Strong"/>
        </w:rPr>
        <w:t>Revenue are equal.</w:t>
      </w:r>
    </w:p>
    <w:p w14:paraId="4EFDC97D" w14:textId="573B6F1F" w:rsidR="00275584" w:rsidRPr="00275584" w:rsidRDefault="00275584" w:rsidP="008842E7">
      <w:pPr>
        <w:pStyle w:val="BodyText"/>
        <w:rPr>
          <w:rStyle w:val="Strong"/>
          <w:bCs w:val="0"/>
        </w:rPr>
      </w:pPr>
      <w:bookmarkStart w:id="155" w:name="_E._If_you"/>
      <w:bookmarkStart w:id="156" w:name="_Toc417645495"/>
      <w:bookmarkStart w:id="157" w:name="_Toc417647484"/>
      <w:bookmarkEnd w:id="155"/>
      <w:r w:rsidRPr="00275584">
        <w:rPr>
          <w:rStyle w:val="Strong"/>
          <w:bCs w:val="0"/>
        </w:rPr>
        <w:t>See the attached Excel file</w:t>
      </w:r>
      <w:r w:rsidR="008842E7">
        <w:rPr>
          <w:rStyle w:val="Strong"/>
          <w:bCs w:val="0"/>
        </w:rPr>
        <w:t xml:space="preserve">, </w:t>
      </w:r>
      <w:r w:rsidRPr="00275584">
        <w:rPr>
          <w:rStyle w:val="Strong"/>
          <w:bCs w:val="0"/>
        </w:rPr>
        <w:t xml:space="preserve">Exhibit 8 </w:t>
      </w:r>
      <w:r w:rsidR="008E7AB3">
        <w:rPr>
          <w:rStyle w:val="Strong"/>
          <w:bCs w:val="0"/>
        </w:rPr>
        <w:t>_</w:t>
      </w:r>
      <w:r w:rsidRPr="00275584">
        <w:rPr>
          <w:rStyle w:val="Strong"/>
          <w:bCs w:val="0"/>
        </w:rPr>
        <w:t>Sources of Revenue</w:t>
      </w:r>
      <w:r w:rsidR="008842E7">
        <w:rPr>
          <w:rStyle w:val="Strong"/>
          <w:bCs w:val="0"/>
        </w:rPr>
        <w:t>,</w:t>
      </w:r>
      <w:r w:rsidRPr="00275584">
        <w:rPr>
          <w:rStyle w:val="Strong"/>
          <w:bCs w:val="0"/>
        </w:rPr>
        <w:t xml:space="preserve"> for data on TWC’s sources of revenue for fiscal year 2024. The exhibit shows the sources of revenue in 24 detailed revenue categories. Total revenue for fiscal year 2024 equaled $2.76 billion. The individual revenue items are grouped into the following four high-level categories (percent of total).</w:t>
      </w:r>
    </w:p>
    <w:p w14:paraId="7FD6B519" w14:textId="4815EC5A" w:rsidR="00275584" w:rsidRPr="00275584" w:rsidRDefault="3FD1DA97" w:rsidP="00E768A5">
      <w:pPr>
        <w:pStyle w:val="BodyText"/>
        <w:numPr>
          <w:ilvl w:val="0"/>
          <w:numId w:val="50"/>
        </w:numPr>
        <w:rPr>
          <w:rStyle w:val="Strong"/>
        </w:rPr>
      </w:pPr>
      <w:r w:rsidRPr="0BE338CC">
        <w:rPr>
          <w:rStyle w:val="Strong"/>
        </w:rPr>
        <w:t>Federal Funds (91.19</w:t>
      </w:r>
      <w:r w:rsidR="71AFF8AA" w:rsidRPr="0BE338CC">
        <w:rPr>
          <w:rStyle w:val="Strong"/>
        </w:rPr>
        <w:t xml:space="preserve"> percent</w:t>
      </w:r>
      <w:r w:rsidRPr="68FE3455">
        <w:rPr>
          <w:rStyle w:val="Strong"/>
        </w:rPr>
        <w:t>)</w:t>
      </w:r>
      <w:r w:rsidR="08FDB7E4" w:rsidRPr="68FE3455">
        <w:rPr>
          <w:rStyle w:val="Strong"/>
        </w:rPr>
        <w:t xml:space="preserve">.  Please note that this percentage </w:t>
      </w:r>
      <w:r w:rsidR="00393103">
        <w:rPr>
          <w:rStyle w:val="Strong"/>
        </w:rPr>
        <w:t>w</w:t>
      </w:r>
      <w:r w:rsidR="08FDB7E4" w:rsidRPr="68FE3455">
        <w:rPr>
          <w:rStyle w:val="Strong"/>
        </w:rPr>
        <w:t xml:space="preserve">as higher than usual in FY 2024 due to additional </w:t>
      </w:r>
      <w:r w:rsidR="08FDB7E4" w:rsidRPr="5FC6B0A6">
        <w:rPr>
          <w:rStyle w:val="Strong"/>
        </w:rPr>
        <w:t xml:space="preserve">pandemic-related </w:t>
      </w:r>
      <w:proofErr w:type="gramStart"/>
      <w:r w:rsidR="08FDB7E4" w:rsidRPr="68FE3455">
        <w:rPr>
          <w:rStyle w:val="Strong"/>
        </w:rPr>
        <w:t>child care</w:t>
      </w:r>
      <w:proofErr w:type="gramEnd"/>
      <w:r w:rsidR="08FDB7E4" w:rsidRPr="68FE3455">
        <w:rPr>
          <w:rStyle w:val="Strong"/>
        </w:rPr>
        <w:t xml:space="preserve"> funds</w:t>
      </w:r>
      <w:r w:rsidR="08FDB7E4" w:rsidRPr="5FC6B0A6">
        <w:rPr>
          <w:rStyle w:val="Strong"/>
        </w:rPr>
        <w:t xml:space="preserve">. </w:t>
      </w:r>
      <w:r w:rsidR="08FDB7E4" w:rsidRPr="68FE3455">
        <w:rPr>
          <w:rStyle w:val="Strong"/>
        </w:rPr>
        <w:t xml:space="preserve"> </w:t>
      </w:r>
    </w:p>
    <w:p w14:paraId="5BA237EB" w14:textId="3A2A01FB" w:rsidR="00275584" w:rsidRPr="00275584" w:rsidRDefault="00275584" w:rsidP="00E768A5">
      <w:pPr>
        <w:pStyle w:val="BodyText"/>
        <w:numPr>
          <w:ilvl w:val="0"/>
          <w:numId w:val="50"/>
        </w:numPr>
        <w:rPr>
          <w:rStyle w:val="Strong"/>
          <w:bCs w:val="0"/>
        </w:rPr>
      </w:pPr>
      <w:r w:rsidRPr="00275584">
        <w:rPr>
          <w:rStyle w:val="Strong"/>
          <w:bCs w:val="0"/>
        </w:rPr>
        <w:t>General Revenue (6.91</w:t>
      </w:r>
      <w:r w:rsidR="00EC365D">
        <w:rPr>
          <w:rStyle w:val="Strong"/>
          <w:bCs w:val="0"/>
        </w:rPr>
        <w:t xml:space="preserve"> percent</w:t>
      </w:r>
      <w:r w:rsidRPr="00275584">
        <w:rPr>
          <w:rStyle w:val="Strong"/>
          <w:bCs w:val="0"/>
        </w:rPr>
        <w:t>)</w:t>
      </w:r>
    </w:p>
    <w:p w14:paraId="5F5C1F02" w14:textId="3568765C" w:rsidR="00275584" w:rsidRPr="00275584" w:rsidRDefault="00275584" w:rsidP="00E768A5">
      <w:pPr>
        <w:pStyle w:val="BodyText"/>
        <w:numPr>
          <w:ilvl w:val="0"/>
          <w:numId w:val="50"/>
        </w:numPr>
        <w:rPr>
          <w:rStyle w:val="Strong"/>
          <w:bCs w:val="0"/>
        </w:rPr>
      </w:pPr>
      <w:r w:rsidRPr="00275584">
        <w:rPr>
          <w:rStyle w:val="Strong"/>
          <w:bCs w:val="0"/>
        </w:rPr>
        <w:t>Other (1.6</w:t>
      </w:r>
      <w:r w:rsidR="00EC365D">
        <w:rPr>
          <w:rStyle w:val="Strong"/>
          <w:bCs w:val="0"/>
        </w:rPr>
        <w:t xml:space="preserve"> percent</w:t>
      </w:r>
      <w:r w:rsidRPr="00275584">
        <w:rPr>
          <w:rStyle w:val="Strong"/>
          <w:bCs w:val="0"/>
        </w:rPr>
        <w:t>)</w:t>
      </w:r>
    </w:p>
    <w:p w14:paraId="67640753" w14:textId="37DC8393" w:rsidR="00DC0E1A" w:rsidRPr="00DC0E1A" w:rsidRDefault="00275584" w:rsidP="00E768A5">
      <w:pPr>
        <w:pStyle w:val="BodyText"/>
        <w:numPr>
          <w:ilvl w:val="0"/>
          <w:numId w:val="50"/>
        </w:numPr>
        <w:rPr>
          <w:rStyle w:val="Strong"/>
        </w:rPr>
      </w:pPr>
      <w:r w:rsidRPr="00DC0E1A">
        <w:rPr>
          <w:rStyle w:val="Strong"/>
        </w:rPr>
        <w:t>General Revenue Dedicated (0.3</w:t>
      </w:r>
      <w:r w:rsidR="00EC365D">
        <w:rPr>
          <w:rStyle w:val="Strong"/>
        </w:rPr>
        <w:t xml:space="preserve"> percent)</w:t>
      </w:r>
    </w:p>
    <w:p w14:paraId="6D0B33E6" w14:textId="175A046A" w:rsidR="00A379F1" w:rsidRDefault="00A379F1" w:rsidP="004B1557">
      <w:pPr>
        <w:pStyle w:val="BodyText3"/>
        <w:ind w:left="720" w:hanging="720"/>
        <w:rPr>
          <w:rStyle w:val="Strong"/>
        </w:rPr>
      </w:pPr>
      <w:r w:rsidRPr="00434D22">
        <w:rPr>
          <w:rStyle w:val="Strong"/>
        </w:rPr>
        <w:lastRenderedPageBreak/>
        <w:t>E.</w:t>
      </w:r>
      <w:r w:rsidR="004B1557">
        <w:rPr>
          <w:rStyle w:val="Strong"/>
        </w:rPr>
        <w:tab/>
      </w:r>
      <w:r w:rsidRPr="00434D22">
        <w:rPr>
          <w:rStyle w:val="Strong"/>
        </w:rPr>
        <w:t>If</w:t>
      </w:r>
      <w:r w:rsidRPr="00293BDA">
        <w:rPr>
          <w:rStyle w:val="Strong"/>
        </w:rPr>
        <w:t xml:space="preserve"> you receive funds from multiple federal programs, show the </w:t>
      </w:r>
      <w:r w:rsidR="002934AA">
        <w:rPr>
          <w:rStyle w:val="Strong"/>
        </w:rPr>
        <w:t xml:space="preserve">source agency and </w:t>
      </w:r>
      <w:r w:rsidRPr="00293BDA">
        <w:rPr>
          <w:rStyle w:val="Strong"/>
        </w:rPr>
        <w:t>type of federal funding</w:t>
      </w:r>
      <w:r w:rsidR="00832B49">
        <w:rPr>
          <w:rStyle w:val="Strong"/>
        </w:rPr>
        <w:t>.</w:t>
      </w:r>
      <w:bookmarkEnd w:id="156"/>
      <w:bookmarkEnd w:id="157"/>
    </w:p>
    <w:p w14:paraId="78A81E5C" w14:textId="1734FC46" w:rsidR="00434D22" w:rsidRPr="00434D22" w:rsidRDefault="00434D22" w:rsidP="00434D22">
      <w:pPr>
        <w:pStyle w:val="BodyText"/>
      </w:pPr>
      <w:bookmarkStart w:id="158" w:name="_F._If_applicable,"/>
      <w:bookmarkStart w:id="159" w:name="_Toc417645498"/>
      <w:bookmarkStart w:id="160" w:name="_Toc417647487"/>
      <w:bookmarkEnd w:id="158"/>
      <w:r w:rsidRPr="00434D22">
        <w:t>See the attached Excel file</w:t>
      </w:r>
      <w:r>
        <w:t xml:space="preserve">, </w:t>
      </w:r>
      <w:r w:rsidRPr="00434D22">
        <w:t xml:space="preserve">Exhibit 9 </w:t>
      </w:r>
      <w:r w:rsidR="008E7AB3">
        <w:t>_</w:t>
      </w:r>
      <w:r w:rsidRPr="00434D22">
        <w:t>Federal Funds</w:t>
      </w:r>
      <w:r>
        <w:t>,</w:t>
      </w:r>
      <w:r w:rsidRPr="00434D22">
        <w:t xml:space="preserve"> for data on TWC’s sources and types of federal funding for fiscal year 2024. The exhibit shows revenue from 35 individual federal funds. In fiscal year 2024, TWC received $2.52 billion in federal funds and contributed $100.21 million in matching state funds. TWC’s federal funding comes from the following six federal agencies (percent of total).</w:t>
      </w:r>
    </w:p>
    <w:p w14:paraId="2890CDAC" w14:textId="5565CA9E" w:rsidR="00434D22" w:rsidRPr="00434D22" w:rsidRDefault="00434D22" w:rsidP="00E768A5">
      <w:pPr>
        <w:pStyle w:val="BodyText"/>
        <w:numPr>
          <w:ilvl w:val="0"/>
          <w:numId w:val="51"/>
        </w:numPr>
      </w:pPr>
      <w:r w:rsidRPr="00434D22">
        <w:t>US Department of Health and Human Services (61.53</w:t>
      </w:r>
      <w:r w:rsidR="00981A4F">
        <w:t xml:space="preserve"> percent)</w:t>
      </w:r>
    </w:p>
    <w:p w14:paraId="6422A268" w14:textId="72D012F3" w:rsidR="00434D22" w:rsidRPr="00434D22" w:rsidRDefault="00434D22" w:rsidP="00E768A5">
      <w:pPr>
        <w:pStyle w:val="BodyText"/>
        <w:numPr>
          <w:ilvl w:val="0"/>
          <w:numId w:val="51"/>
        </w:numPr>
      </w:pPr>
      <w:r w:rsidRPr="00434D22">
        <w:t>US Department of Labor (19.11</w:t>
      </w:r>
      <w:r w:rsidR="00981A4F">
        <w:t xml:space="preserve"> percent</w:t>
      </w:r>
      <w:r w:rsidRPr="00434D22">
        <w:t>)</w:t>
      </w:r>
    </w:p>
    <w:p w14:paraId="3CD4FDE4" w14:textId="69919B91" w:rsidR="00434D22" w:rsidRPr="00434D22" w:rsidRDefault="00434D22" w:rsidP="00E768A5">
      <w:pPr>
        <w:pStyle w:val="BodyText"/>
        <w:numPr>
          <w:ilvl w:val="0"/>
          <w:numId w:val="51"/>
        </w:numPr>
      </w:pPr>
      <w:r w:rsidRPr="00434D22">
        <w:t>US Department of Education (18.72</w:t>
      </w:r>
      <w:r w:rsidR="00981A4F">
        <w:t xml:space="preserve"> percent</w:t>
      </w:r>
      <w:r w:rsidRPr="00434D22">
        <w:t>)</w:t>
      </w:r>
    </w:p>
    <w:p w14:paraId="385B4760" w14:textId="490A27D1" w:rsidR="00434D22" w:rsidRPr="00434D22" w:rsidRDefault="00434D22" w:rsidP="00E768A5">
      <w:pPr>
        <w:pStyle w:val="BodyText"/>
        <w:numPr>
          <w:ilvl w:val="0"/>
          <w:numId w:val="51"/>
        </w:numPr>
      </w:pPr>
      <w:r w:rsidRPr="00434D22">
        <w:t>US Department of Agriculture (0.56</w:t>
      </w:r>
      <w:r w:rsidR="00981A4F">
        <w:t xml:space="preserve"> percent</w:t>
      </w:r>
      <w:r w:rsidRPr="00434D22">
        <w:t>)</w:t>
      </w:r>
    </w:p>
    <w:p w14:paraId="197B3B22" w14:textId="2F31D28E" w:rsidR="00434D22" w:rsidRPr="00434D22" w:rsidRDefault="00434D22" w:rsidP="00E768A5">
      <w:pPr>
        <w:pStyle w:val="BodyText"/>
        <w:numPr>
          <w:ilvl w:val="0"/>
          <w:numId w:val="51"/>
        </w:numPr>
      </w:pPr>
      <w:r w:rsidRPr="00434D22">
        <w:t>US Department of Housing and Urban Development (0.04</w:t>
      </w:r>
      <w:r w:rsidR="00981A4F">
        <w:t xml:space="preserve"> percent</w:t>
      </w:r>
      <w:r w:rsidRPr="00434D22">
        <w:t>)</w:t>
      </w:r>
    </w:p>
    <w:p w14:paraId="43B11ED7" w14:textId="3D311575" w:rsidR="00EC365D" w:rsidRPr="00EC365D" w:rsidRDefault="00434D22" w:rsidP="00E768A5">
      <w:pPr>
        <w:pStyle w:val="BodyText"/>
        <w:numPr>
          <w:ilvl w:val="0"/>
          <w:numId w:val="51"/>
        </w:numPr>
      </w:pPr>
      <w:r w:rsidRPr="00EC365D">
        <w:t>US Equal Employment Opportunity Commission (0.03</w:t>
      </w:r>
      <w:r w:rsidR="00981A4F">
        <w:t xml:space="preserve"> percent</w:t>
      </w:r>
      <w:r w:rsidRPr="00EC365D">
        <w:t>)</w:t>
      </w:r>
    </w:p>
    <w:p w14:paraId="41AD1064" w14:textId="500CC5CC" w:rsidR="00712068" w:rsidRPr="00350FF0" w:rsidRDefault="00A379F1" w:rsidP="004B1557">
      <w:pPr>
        <w:pStyle w:val="BodyText3"/>
        <w:ind w:left="720" w:hanging="720"/>
        <w:rPr>
          <w:rStyle w:val="Strong"/>
        </w:rPr>
      </w:pPr>
      <w:r w:rsidRPr="00350FF0">
        <w:rPr>
          <w:rStyle w:val="Strong"/>
        </w:rPr>
        <w:t>F.</w:t>
      </w:r>
      <w:r w:rsidR="004B1557">
        <w:rPr>
          <w:rStyle w:val="Strong"/>
        </w:rPr>
        <w:tab/>
      </w:r>
      <w:r w:rsidRPr="00350FF0">
        <w:rPr>
          <w:rStyle w:val="Strong"/>
        </w:rPr>
        <w:t>If applicable, provide detailed information on</w:t>
      </w:r>
      <w:r w:rsidR="002934AA">
        <w:rPr>
          <w:rStyle w:val="Strong"/>
        </w:rPr>
        <w:t xml:space="preserve"> the</w:t>
      </w:r>
      <w:r w:rsidRPr="00350FF0">
        <w:rPr>
          <w:rStyle w:val="Strong"/>
        </w:rPr>
        <w:t xml:space="preserve"> fees </w:t>
      </w:r>
      <w:r w:rsidR="002934AA">
        <w:rPr>
          <w:rStyle w:val="Strong"/>
        </w:rPr>
        <w:t xml:space="preserve">your agency </w:t>
      </w:r>
      <w:r w:rsidRPr="00350FF0">
        <w:rPr>
          <w:rStyle w:val="Strong"/>
        </w:rPr>
        <w:t>collect</w:t>
      </w:r>
      <w:r w:rsidR="002934AA">
        <w:rPr>
          <w:rStyle w:val="Strong"/>
        </w:rPr>
        <w:t>s</w:t>
      </w:r>
      <w:r w:rsidRPr="00350FF0">
        <w:rPr>
          <w:rStyle w:val="Strong"/>
        </w:rPr>
        <w:t>.</w:t>
      </w:r>
      <w:r w:rsidR="00A57104" w:rsidRPr="00350FF0">
        <w:rPr>
          <w:rStyle w:val="Strong"/>
        </w:rPr>
        <w:t xml:space="preserve"> Please explain how much fee revenue is deposited</w:t>
      </w:r>
      <w:r w:rsidR="004363DB" w:rsidRPr="00350FF0">
        <w:rPr>
          <w:rStyle w:val="Strong"/>
        </w:rPr>
        <w:t>/returned</w:t>
      </w:r>
      <w:r w:rsidR="00A57104" w:rsidRPr="00350FF0">
        <w:rPr>
          <w:rStyle w:val="Strong"/>
        </w:rPr>
        <w:t xml:space="preserve"> to the General Revenue Fund and why, if applicable</w:t>
      </w:r>
      <w:r w:rsidR="00832B49">
        <w:rPr>
          <w:rStyle w:val="Strong"/>
        </w:rPr>
        <w:t>.</w:t>
      </w:r>
      <w:bookmarkEnd w:id="159"/>
      <w:bookmarkEnd w:id="160"/>
    </w:p>
    <w:p w14:paraId="5ACB1B1F" w14:textId="361E4F7F" w:rsidR="00940CB5" w:rsidRPr="00275C14" w:rsidRDefault="00F53A55" w:rsidP="003A2B76">
      <w:pPr>
        <w:pStyle w:val="BodyText3"/>
        <w:jc w:val="center"/>
      </w:pPr>
      <w:bookmarkStart w:id="161" w:name="_Toc202856317"/>
      <w:bookmarkStart w:id="162" w:name="_Toc202856980"/>
      <w:bookmarkStart w:id="163" w:name="_Toc202857133"/>
      <w:bookmarkStart w:id="164" w:name="_Toc202860913"/>
      <w:bookmarkStart w:id="165" w:name="_Toc202861086"/>
      <w:bookmarkStart w:id="166" w:name="_Toc1437227719"/>
      <w:bookmarkStart w:id="167" w:name="_Toc1314355482"/>
      <w:bookmarkStart w:id="168" w:name="_Toc417645500"/>
      <w:bookmarkStart w:id="169" w:name="_Toc417647489"/>
      <w:r>
        <w:t>Texas Workforce Commission</w:t>
      </w:r>
      <w:bookmarkEnd w:id="161"/>
      <w:bookmarkEnd w:id="162"/>
      <w:bookmarkEnd w:id="163"/>
      <w:bookmarkEnd w:id="164"/>
      <w:bookmarkEnd w:id="165"/>
      <w:bookmarkEnd w:id="166"/>
      <w:bookmarkEnd w:id="167"/>
      <w:r w:rsidR="000A1064">
        <w:br/>
      </w:r>
      <w:bookmarkStart w:id="170" w:name="_Toc202856318"/>
      <w:bookmarkStart w:id="171" w:name="_Toc202856981"/>
      <w:bookmarkStart w:id="172" w:name="_Toc202857134"/>
      <w:bookmarkStart w:id="173" w:name="_Toc202860914"/>
      <w:bookmarkStart w:id="174" w:name="_Toc202861087"/>
      <w:bookmarkStart w:id="175" w:name="_Toc1675659138"/>
      <w:bookmarkStart w:id="176" w:name="_Toc350133134"/>
      <w:r w:rsidR="00890A01" w:rsidRPr="00275C14">
        <w:t xml:space="preserve">Exhibit </w:t>
      </w:r>
      <w:r w:rsidR="005334B7" w:rsidRPr="00275C14">
        <w:t>10</w:t>
      </w:r>
      <w:r w:rsidR="00940CB5" w:rsidRPr="00275C14">
        <w:t>:</w:t>
      </w:r>
      <w:r w:rsidR="008A4A34" w:rsidRPr="00275C14">
        <w:t xml:space="preserve"> </w:t>
      </w:r>
      <w:r w:rsidR="00940CB5" w:rsidRPr="00275C14">
        <w:t>Fee Revenue — Fiscal Year 20</w:t>
      </w:r>
      <w:r w:rsidR="00D73036" w:rsidRPr="00275C14">
        <w:t>2</w:t>
      </w:r>
      <w:r w:rsidR="00B531D9" w:rsidRPr="00275C14">
        <w:t>4</w:t>
      </w:r>
      <w:bookmarkEnd w:id="168"/>
      <w:bookmarkEnd w:id="169"/>
      <w:bookmarkEnd w:id="170"/>
      <w:bookmarkEnd w:id="171"/>
      <w:bookmarkEnd w:id="172"/>
      <w:bookmarkEnd w:id="173"/>
      <w:bookmarkEnd w:id="174"/>
      <w:bookmarkEnd w:id="175"/>
      <w:bookmarkEnd w:id="176"/>
    </w:p>
    <w:tbl>
      <w:tblPr>
        <w:tblStyle w:val="TableGrid"/>
        <w:tblW w:w="9350" w:type="dxa"/>
        <w:tblCellMar>
          <w:top w:w="58" w:type="dxa"/>
          <w:bottom w:w="58" w:type="dxa"/>
        </w:tblCellMar>
        <w:tblLook w:val="04A0" w:firstRow="1" w:lastRow="0" w:firstColumn="1" w:lastColumn="0" w:noHBand="0" w:noVBand="1"/>
        <w:tblDescription w:val="Table template for Exhibit 8 showing detailed information on fees collected by the agency."/>
      </w:tblPr>
      <w:tblGrid>
        <w:gridCol w:w="1613"/>
        <w:gridCol w:w="1333"/>
        <w:gridCol w:w="1242"/>
        <w:gridCol w:w="1242"/>
        <w:gridCol w:w="1358"/>
        <w:gridCol w:w="1242"/>
        <w:gridCol w:w="1320"/>
      </w:tblGrid>
      <w:tr w:rsidR="00275C14" w:rsidRPr="00275C14" w14:paraId="6C19C1EB" w14:textId="77777777" w:rsidTr="0058594D">
        <w:trPr>
          <w:trHeight w:val="300"/>
          <w:tblHeader/>
        </w:trPr>
        <w:tc>
          <w:tcPr>
            <w:tcW w:w="1613" w:type="dxa"/>
            <w:shd w:val="clear" w:color="auto" w:fill="B8CCE4" w:themeFill="accent1" w:themeFillTint="66"/>
            <w:vAlign w:val="center"/>
            <w:hideMark/>
          </w:tcPr>
          <w:p w14:paraId="2A932E50" w14:textId="3BBD06A9" w:rsidR="00275C14" w:rsidRPr="00275C14" w:rsidRDefault="00275C14" w:rsidP="00FD554B">
            <w:pPr>
              <w:pStyle w:val="TableHeaders"/>
              <w:rPr>
                <w:rFonts w:ascii="Segoe UI" w:hAnsi="Segoe UI"/>
                <w:b w:val="0"/>
                <w:szCs w:val="18"/>
              </w:rPr>
            </w:pPr>
            <w:bookmarkStart w:id="177" w:name="Title_Fee_Revenue" w:colFirst="0" w:colLast="0"/>
            <w:r w:rsidRPr="00275C14">
              <w:t>Fee Description/</w:t>
            </w:r>
          </w:p>
          <w:p w14:paraId="6B6489D4" w14:textId="5DB56173" w:rsidR="00275C14" w:rsidRPr="00275C14" w:rsidRDefault="00275C14" w:rsidP="00FD554B">
            <w:pPr>
              <w:pStyle w:val="TableHeaders"/>
              <w:rPr>
                <w:rFonts w:ascii="Segoe UI" w:hAnsi="Segoe UI"/>
                <w:b w:val="0"/>
                <w:szCs w:val="18"/>
              </w:rPr>
            </w:pPr>
            <w:r w:rsidRPr="00275C14">
              <w:t>Program/</w:t>
            </w:r>
          </w:p>
          <w:p w14:paraId="0B0870E5" w14:textId="126873BD" w:rsidR="00275C14" w:rsidRPr="00275C14" w:rsidRDefault="00275C14" w:rsidP="00FD554B">
            <w:pPr>
              <w:pStyle w:val="TableHeaders"/>
              <w:rPr>
                <w:rFonts w:ascii="Segoe UI" w:hAnsi="Segoe UI"/>
                <w:b w:val="0"/>
                <w:szCs w:val="18"/>
              </w:rPr>
            </w:pPr>
            <w:r w:rsidRPr="00275C14">
              <w:t>Statutory Citation</w:t>
            </w:r>
          </w:p>
        </w:tc>
        <w:tc>
          <w:tcPr>
            <w:tcW w:w="1333" w:type="dxa"/>
            <w:shd w:val="clear" w:color="auto" w:fill="B8CCE4" w:themeFill="accent1" w:themeFillTint="66"/>
            <w:vAlign w:val="center"/>
            <w:hideMark/>
          </w:tcPr>
          <w:p w14:paraId="5DDFC3CD" w14:textId="4C2CCFE8" w:rsidR="00275C14" w:rsidRPr="00275C14" w:rsidRDefault="00275C14" w:rsidP="00FD554B">
            <w:pPr>
              <w:pStyle w:val="TableHeaders"/>
              <w:rPr>
                <w:rFonts w:ascii="Segoe UI" w:hAnsi="Segoe UI"/>
                <w:b w:val="0"/>
                <w:szCs w:val="18"/>
              </w:rPr>
            </w:pPr>
            <w:r w:rsidRPr="00275C14">
              <w:t>Current Fee</w:t>
            </w:r>
          </w:p>
        </w:tc>
        <w:tc>
          <w:tcPr>
            <w:tcW w:w="1242" w:type="dxa"/>
            <w:shd w:val="clear" w:color="auto" w:fill="B8CCE4" w:themeFill="accent1" w:themeFillTint="66"/>
            <w:vAlign w:val="center"/>
            <w:hideMark/>
          </w:tcPr>
          <w:p w14:paraId="6C677BAB" w14:textId="6E30E499" w:rsidR="00275C14" w:rsidRPr="00275C14" w:rsidRDefault="00275C14" w:rsidP="00FD554B">
            <w:pPr>
              <w:pStyle w:val="TableHeaders"/>
              <w:rPr>
                <w:rFonts w:ascii="Segoe UI" w:hAnsi="Segoe UI"/>
                <w:b w:val="0"/>
                <w:szCs w:val="18"/>
              </w:rPr>
            </w:pPr>
            <w:r w:rsidRPr="00275C14">
              <w:t>Fees Set by Statute or Rule?</w:t>
            </w:r>
          </w:p>
        </w:tc>
        <w:tc>
          <w:tcPr>
            <w:tcW w:w="1242" w:type="dxa"/>
            <w:shd w:val="clear" w:color="auto" w:fill="B8CCE4" w:themeFill="accent1" w:themeFillTint="66"/>
            <w:vAlign w:val="center"/>
            <w:hideMark/>
          </w:tcPr>
          <w:p w14:paraId="5900340C" w14:textId="64BEC24F" w:rsidR="00275C14" w:rsidRPr="00275C14" w:rsidRDefault="00275C14" w:rsidP="00FD554B">
            <w:pPr>
              <w:pStyle w:val="TableHeaders"/>
              <w:rPr>
                <w:rFonts w:ascii="Segoe UI" w:hAnsi="Segoe UI"/>
                <w:b w:val="0"/>
                <w:szCs w:val="18"/>
              </w:rPr>
            </w:pPr>
            <w:r w:rsidRPr="00275C14">
              <w:t>Statutory Maximum or Minimum, if applicable</w:t>
            </w:r>
          </w:p>
        </w:tc>
        <w:tc>
          <w:tcPr>
            <w:tcW w:w="1358" w:type="dxa"/>
            <w:shd w:val="clear" w:color="auto" w:fill="B8CCE4" w:themeFill="accent1" w:themeFillTint="66"/>
            <w:vAlign w:val="center"/>
            <w:hideMark/>
          </w:tcPr>
          <w:p w14:paraId="77D9A3F8" w14:textId="05312CF1" w:rsidR="00275C14" w:rsidRPr="00275C14" w:rsidRDefault="00275C14" w:rsidP="00FD554B">
            <w:pPr>
              <w:pStyle w:val="TableHeaders"/>
              <w:rPr>
                <w:rFonts w:ascii="Segoe UI" w:hAnsi="Segoe UI"/>
                <w:b w:val="0"/>
                <w:szCs w:val="18"/>
              </w:rPr>
            </w:pPr>
            <w:r w:rsidRPr="00275C14">
              <w:t>Number of Persons or Entities Paying Fee</w:t>
            </w:r>
          </w:p>
        </w:tc>
        <w:tc>
          <w:tcPr>
            <w:tcW w:w="1242" w:type="dxa"/>
            <w:shd w:val="clear" w:color="auto" w:fill="B8CCE4" w:themeFill="accent1" w:themeFillTint="66"/>
            <w:vAlign w:val="center"/>
            <w:hideMark/>
          </w:tcPr>
          <w:p w14:paraId="73746BB5" w14:textId="4A95BDAA" w:rsidR="00275C14" w:rsidRPr="00275C14" w:rsidRDefault="00275C14" w:rsidP="00FD554B">
            <w:pPr>
              <w:pStyle w:val="TableHeaders"/>
              <w:rPr>
                <w:rFonts w:ascii="Segoe UI" w:hAnsi="Segoe UI"/>
                <w:b w:val="0"/>
                <w:szCs w:val="18"/>
              </w:rPr>
            </w:pPr>
            <w:r w:rsidRPr="00275C14">
              <w:t>Fee Revenue</w:t>
            </w:r>
          </w:p>
        </w:tc>
        <w:tc>
          <w:tcPr>
            <w:tcW w:w="1320" w:type="dxa"/>
            <w:shd w:val="clear" w:color="auto" w:fill="B8CCE4" w:themeFill="accent1" w:themeFillTint="66"/>
            <w:vAlign w:val="center"/>
            <w:hideMark/>
          </w:tcPr>
          <w:p w14:paraId="54550074" w14:textId="6D9A11B9" w:rsidR="00275C14" w:rsidRPr="00275C14" w:rsidRDefault="00275C14" w:rsidP="00FD554B">
            <w:pPr>
              <w:pStyle w:val="TableHeaders"/>
              <w:rPr>
                <w:rFonts w:ascii="Segoe UI" w:hAnsi="Segoe UI"/>
                <w:b w:val="0"/>
                <w:szCs w:val="18"/>
              </w:rPr>
            </w:pPr>
            <w:r w:rsidRPr="00275C14">
              <w:t>Where Fee Revenue is Deposited</w:t>
            </w:r>
          </w:p>
          <w:p w14:paraId="5BFF4C2A" w14:textId="4AA6E6C9" w:rsidR="00275C14" w:rsidRPr="00275C14" w:rsidRDefault="00275C14" w:rsidP="00FD554B">
            <w:pPr>
              <w:pStyle w:val="TableHeaders"/>
              <w:rPr>
                <w:rFonts w:ascii="Segoe UI" w:hAnsi="Segoe UI"/>
                <w:b w:val="0"/>
                <w:szCs w:val="18"/>
              </w:rPr>
            </w:pPr>
            <w:r w:rsidRPr="00275C14">
              <w:rPr>
                <w:i/>
                <w:iCs/>
              </w:rPr>
              <w:t>(e.g., General Revenue Fund)</w:t>
            </w:r>
          </w:p>
        </w:tc>
      </w:tr>
      <w:tr w:rsidR="00275C14" w:rsidRPr="00275C14" w14:paraId="317AC0DC" w14:textId="77777777" w:rsidTr="0058594D">
        <w:trPr>
          <w:trHeight w:val="1980"/>
        </w:trPr>
        <w:tc>
          <w:tcPr>
            <w:tcW w:w="1613" w:type="dxa"/>
            <w:vAlign w:val="center"/>
            <w:hideMark/>
          </w:tcPr>
          <w:p w14:paraId="33314C55" w14:textId="77777777" w:rsidR="00275C14" w:rsidRPr="00275C14" w:rsidRDefault="00275C14" w:rsidP="000F6B31">
            <w:pPr>
              <w:pStyle w:val="TableText"/>
              <w:rPr>
                <w:rFonts w:ascii="Segoe UI" w:hAnsi="Segoe UI"/>
                <w:szCs w:val="18"/>
              </w:rPr>
            </w:pPr>
            <w:r w:rsidRPr="00275C14">
              <w:t>Private Educational Institution Fees (Career Schools &amp; Colleges) – TX Education Code, Sec. 132.201 </w:t>
            </w:r>
          </w:p>
        </w:tc>
        <w:tc>
          <w:tcPr>
            <w:tcW w:w="1333" w:type="dxa"/>
            <w:vAlign w:val="center"/>
            <w:hideMark/>
          </w:tcPr>
          <w:p w14:paraId="054A2B61" w14:textId="77777777" w:rsidR="00275C14" w:rsidRPr="00275C14" w:rsidRDefault="00275C14" w:rsidP="000F6B31">
            <w:pPr>
              <w:pStyle w:val="TableText"/>
              <w:rPr>
                <w:rFonts w:ascii="Segoe UI" w:hAnsi="Segoe UI"/>
                <w:szCs w:val="18"/>
              </w:rPr>
            </w:pPr>
            <w:r w:rsidRPr="00275C14">
              <w:t>Varies </w:t>
            </w:r>
          </w:p>
        </w:tc>
        <w:tc>
          <w:tcPr>
            <w:tcW w:w="1242" w:type="dxa"/>
            <w:vAlign w:val="center"/>
            <w:hideMark/>
          </w:tcPr>
          <w:p w14:paraId="096EDB31" w14:textId="77777777" w:rsidR="00275C14" w:rsidRPr="00275C14" w:rsidRDefault="00275C14" w:rsidP="000F6B31">
            <w:pPr>
              <w:pStyle w:val="TableText"/>
              <w:rPr>
                <w:rFonts w:ascii="Segoe UI" w:hAnsi="Segoe UI"/>
                <w:szCs w:val="18"/>
              </w:rPr>
            </w:pPr>
            <w:r w:rsidRPr="00275C14">
              <w:t>Both </w:t>
            </w:r>
          </w:p>
        </w:tc>
        <w:tc>
          <w:tcPr>
            <w:tcW w:w="1242" w:type="dxa"/>
            <w:vAlign w:val="center"/>
            <w:hideMark/>
          </w:tcPr>
          <w:p w14:paraId="7CDBAE0E" w14:textId="77777777" w:rsidR="00275C14" w:rsidRPr="00275C14" w:rsidRDefault="00275C14" w:rsidP="000F6B31">
            <w:pPr>
              <w:pStyle w:val="TableText"/>
              <w:rPr>
                <w:rFonts w:ascii="Segoe UI" w:hAnsi="Segoe UI"/>
                <w:szCs w:val="18"/>
              </w:rPr>
            </w:pPr>
            <w:r w:rsidRPr="00275C14">
              <w:t>Varies </w:t>
            </w:r>
          </w:p>
        </w:tc>
        <w:tc>
          <w:tcPr>
            <w:tcW w:w="1358" w:type="dxa"/>
            <w:vAlign w:val="center"/>
            <w:hideMark/>
          </w:tcPr>
          <w:p w14:paraId="12B14553" w14:textId="77777777" w:rsidR="00275C14" w:rsidRPr="00275C14" w:rsidRDefault="00275C14" w:rsidP="000F6B31">
            <w:pPr>
              <w:pStyle w:val="TableText"/>
              <w:rPr>
                <w:rFonts w:ascii="Segoe UI" w:hAnsi="Segoe UI"/>
                <w:szCs w:val="18"/>
              </w:rPr>
            </w:pPr>
            <w:r w:rsidRPr="00275C14">
              <w:t>703 licensed career schools and colleges </w:t>
            </w:r>
          </w:p>
        </w:tc>
        <w:tc>
          <w:tcPr>
            <w:tcW w:w="1242" w:type="dxa"/>
            <w:vAlign w:val="center"/>
            <w:hideMark/>
          </w:tcPr>
          <w:p w14:paraId="35BD4CE8" w14:textId="77777777" w:rsidR="00275C14" w:rsidRPr="00275C14" w:rsidRDefault="00275C14" w:rsidP="000F6B31">
            <w:pPr>
              <w:pStyle w:val="TableText"/>
              <w:rPr>
                <w:rFonts w:ascii="Segoe UI" w:hAnsi="Segoe UI"/>
                <w:szCs w:val="18"/>
              </w:rPr>
            </w:pPr>
            <w:r w:rsidRPr="00275C14">
              <w:t>$1,666,674 </w:t>
            </w:r>
          </w:p>
        </w:tc>
        <w:tc>
          <w:tcPr>
            <w:tcW w:w="1320" w:type="dxa"/>
            <w:vAlign w:val="center"/>
            <w:hideMark/>
          </w:tcPr>
          <w:p w14:paraId="3A3C2C42" w14:textId="77777777" w:rsidR="00275C14" w:rsidRPr="00275C14" w:rsidRDefault="00275C14" w:rsidP="000F6B31">
            <w:pPr>
              <w:pStyle w:val="TableText"/>
              <w:rPr>
                <w:rFonts w:ascii="Segoe UI" w:hAnsi="Segoe UI"/>
                <w:szCs w:val="18"/>
              </w:rPr>
            </w:pPr>
            <w:r w:rsidRPr="00275C14">
              <w:t>General Revenue </w:t>
            </w:r>
          </w:p>
        </w:tc>
      </w:tr>
      <w:tr w:rsidR="00275C14" w:rsidRPr="002577F6" w14:paraId="6D0380CB" w14:textId="77777777" w:rsidTr="0058594D">
        <w:trPr>
          <w:trHeight w:val="300"/>
        </w:trPr>
        <w:tc>
          <w:tcPr>
            <w:tcW w:w="1613" w:type="dxa"/>
            <w:vAlign w:val="center"/>
            <w:hideMark/>
          </w:tcPr>
          <w:p w14:paraId="4D458C71" w14:textId="77777777" w:rsidR="00275C14" w:rsidRPr="002577F6" w:rsidRDefault="00275C14" w:rsidP="000F6B31">
            <w:pPr>
              <w:pStyle w:val="TableText"/>
            </w:pPr>
            <w:r w:rsidRPr="002577F6">
              <w:t>Lien Fees (Unemployment Insurance) – TX Labor Code, Sec. 61.053 and Sec. 61.083 </w:t>
            </w:r>
          </w:p>
        </w:tc>
        <w:tc>
          <w:tcPr>
            <w:tcW w:w="1333" w:type="dxa"/>
            <w:vAlign w:val="center"/>
            <w:hideMark/>
          </w:tcPr>
          <w:p w14:paraId="0029A0B3" w14:textId="77777777" w:rsidR="00275C14" w:rsidRPr="002577F6" w:rsidRDefault="00275C14" w:rsidP="000F6B31">
            <w:pPr>
              <w:pStyle w:val="TableText"/>
            </w:pPr>
            <w:r w:rsidRPr="002577F6">
              <w:t>Varies </w:t>
            </w:r>
          </w:p>
        </w:tc>
        <w:tc>
          <w:tcPr>
            <w:tcW w:w="1242" w:type="dxa"/>
            <w:vAlign w:val="center"/>
            <w:hideMark/>
          </w:tcPr>
          <w:p w14:paraId="580697BE" w14:textId="77777777" w:rsidR="00275C14" w:rsidRPr="002577F6" w:rsidRDefault="00275C14" w:rsidP="000F6B31">
            <w:pPr>
              <w:pStyle w:val="TableText"/>
            </w:pPr>
            <w:r w:rsidRPr="002577F6">
              <w:t>Both </w:t>
            </w:r>
          </w:p>
        </w:tc>
        <w:tc>
          <w:tcPr>
            <w:tcW w:w="1242" w:type="dxa"/>
            <w:vAlign w:val="center"/>
            <w:hideMark/>
          </w:tcPr>
          <w:p w14:paraId="0FF82E04" w14:textId="77777777" w:rsidR="00275C14" w:rsidRPr="002577F6" w:rsidRDefault="00275C14" w:rsidP="000F6B31">
            <w:pPr>
              <w:pStyle w:val="TableText"/>
            </w:pPr>
            <w:r w:rsidRPr="002577F6">
              <w:t>Varies </w:t>
            </w:r>
          </w:p>
        </w:tc>
        <w:tc>
          <w:tcPr>
            <w:tcW w:w="1358" w:type="dxa"/>
            <w:vAlign w:val="center"/>
            <w:hideMark/>
          </w:tcPr>
          <w:p w14:paraId="3F0A1716" w14:textId="3279E942" w:rsidR="00275C14" w:rsidRPr="002577F6" w:rsidRDefault="00275C14" w:rsidP="000F6B31">
            <w:pPr>
              <w:pStyle w:val="TableText"/>
            </w:pPr>
            <w:r w:rsidRPr="002577F6">
              <w:t>245</w:t>
            </w:r>
            <w:r w:rsidRPr="002577F6">
              <w:rPr>
                <w:rFonts w:cs="Arial"/>
              </w:rPr>
              <w:t> </w:t>
            </w:r>
            <w:r w:rsidRPr="002577F6">
              <w:t> </w:t>
            </w:r>
          </w:p>
        </w:tc>
        <w:tc>
          <w:tcPr>
            <w:tcW w:w="1242" w:type="dxa"/>
            <w:vAlign w:val="center"/>
            <w:hideMark/>
          </w:tcPr>
          <w:p w14:paraId="01247359" w14:textId="77777777" w:rsidR="00275C14" w:rsidRPr="002577F6" w:rsidRDefault="00275C14" w:rsidP="000F6B31">
            <w:pPr>
              <w:pStyle w:val="TableText"/>
            </w:pPr>
            <w:r w:rsidRPr="002577F6">
              <w:t>$3,034 </w:t>
            </w:r>
          </w:p>
        </w:tc>
        <w:tc>
          <w:tcPr>
            <w:tcW w:w="1320" w:type="dxa"/>
            <w:vAlign w:val="center"/>
            <w:hideMark/>
          </w:tcPr>
          <w:p w14:paraId="6E69D454" w14:textId="77777777" w:rsidR="00275C14" w:rsidRPr="002577F6" w:rsidRDefault="00275C14" w:rsidP="000F6B31">
            <w:pPr>
              <w:pStyle w:val="TableText"/>
            </w:pPr>
            <w:r w:rsidRPr="002577F6">
              <w:t>General Revenue, Dedicated </w:t>
            </w:r>
          </w:p>
        </w:tc>
      </w:tr>
      <w:tr w:rsidR="00275C14" w:rsidRPr="002577F6" w14:paraId="19D90F34" w14:textId="77777777" w:rsidTr="0058594D">
        <w:trPr>
          <w:trHeight w:val="300"/>
        </w:trPr>
        <w:tc>
          <w:tcPr>
            <w:tcW w:w="1613" w:type="dxa"/>
            <w:vAlign w:val="center"/>
            <w:hideMark/>
          </w:tcPr>
          <w:p w14:paraId="3A70CEE0" w14:textId="77777777" w:rsidR="00275C14" w:rsidRPr="002577F6" w:rsidRDefault="00275C14" w:rsidP="000F6B31">
            <w:pPr>
              <w:pStyle w:val="TableText"/>
            </w:pPr>
            <w:r w:rsidRPr="002577F6">
              <w:lastRenderedPageBreak/>
              <w:t>Credit Card Convenience Fees (Unemployment Insurance) – GAA Article IX, Sec. 8.10, CPA APS 029 </w:t>
            </w:r>
          </w:p>
        </w:tc>
        <w:tc>
          <w:tcPr>
            <w:tcW w:w="1333" w:type="dxa"/>
            <w:vAlign w:val="center"/>
            <w:hideMark/>
          </w:tcPr>
          <w:p w14:paraId="14BD4D35" w14:textId="77777777" w:rsidR="00275C14" w:rsidRPr="002577F6" w:rsidRDefault="00275C14" w:rsidP="000F6B31">
            <w:pPr>
              <w:pStyle w:val="TableText"/>
            </w:pPr>
            <w:r w:rsidRPr="002577F6">
              <w:t>Varies </w:t>
            </w:r>
          </w:p>
        </w:tc>
        <w:tc>
          <w:tcPr>
            <w:tcW w:w="1242" w:type="dxa"/>
            <w:vAlign w:val="center"/>
            <w:hideMark/>
          </w:tcPr>
          <w:p w14:paraId="3D4797F6" w14:textId="77777777" w:rsidR="00275C14" w:rsidRPr="002577F6" w:rsidRDefault="00275C14" w:rsidP="000F6B31">
            <w:pPr>
              <w:pStyle w:val="TableText"/>
            </w:pPr>
            <w:r w:rsidRPr="002577F6">
              <w:t>No </w:t>
            </w:r>
          </w:p>
        </w:tc>
        <w:tc>
          <w:tcPr>
            <w:tcW w:w="1242" w:type="dxa"/>
            <w:vAlign w:val="center"/>
            <w:hideMark/>
          </w:tcPr>
          <w:p w14:paraId="7E9D8A8F" w14:textId="77777777" w:rsidR="00275C14" w:rsidRPr="002577F6" w:rsidRDefault="00275C14" w:rsidP="000F6B31">
            <w:pPr>
              <w:pStyle w:val="TableText"/>
            </w:pPr>
            <w:r w:rsidRPr="002577F6">
              <w:t>N/A</w:t>
            </w:r>
            <w:r w:rsidRPr="002577F6">
              <w:rPr>
                <w:rFonts w:cs="Arial"/>
              </w:rPr>
              <w:t> </w:t>
            </w:r>
            <w:r w:rsidRPr="002577F6">
              <w:t> </w:t>
            </w:r>
          </w:p>
        </w:tc>
        <w:tc>
          <w:tcPr>
            <w:tcW w:w="1358" w:type="dxa"/>
            <w:vAlign w:val="center"/>
            <w:hideMark/>
          </w:tcPr>
          <w:p w14:paraId="7CD99A1D" w14:textId="484BAADD" w:rsidR="00275C14" w:rsidRPr="002577F6" w:rsidRDefault="00275C14" w:rsidP="000F6B31">
            <w:pPr>
              <w:pStyle w:val="TableText"/>
            </w:pPr>
            <w:r w:rsidRPr="002577F6">
              <w:t>44,219</w:t>
            </w:r>
            <w:r w:rsidRPr="002577F6">
              <w:rPr>
                <w:rFonts w:cs="Arial"/>
              </w:rPr>
              <w:t> </w:t>
            </w:r>
            <w:r w:rsidRPr="002577F6">
              <w:t> </w:t>
            </w:r>
          </w:p>
        </w:tc>
        <w:tc>
          <w:tcPr>
            <w:tcW w:w="1242" w:type="dxa"/>
            <w:vAlign w:val="center"/>
            <w:hideMark/>
          </w:tcPr>
          <w:p w14:paraId="42FA48A4" w14:textId="77777777" w:rsidR="00275C14" w:rsidRPr="002577F6" w:rsidRDefault="00275C14" w:rsidP="000F6B31">
            <w:pPr>
              <w:pStyle w:val="TableText"/>
            </w:pPr>
            <w:r w:rsidRPr="002577F6">
              <w:t>$309,791 </w:t>
            </w:r>
          </w:p>
        </w:tc>
        <w:tc>
          <w:tcPr>
            <w:tcW w:w="1320" w:type="dxa"/>
            <w:vAlign w:val="center"/>
            <w:hideMark/>
          </w:tcPr>
          <w:p w14:paraId="16C18A08" w14:textId="77777777" w:rsidR="00275C14" w:rsidRPr="002577F6" w:rsidRDefault="00275C14" w:rsidP="000F6B31">
            <w:pPr>
              <w:pStyle w:val="TableText"/>
            </w:pPr>
            <w:r w:rsidRPr="002577F6">
              <w:t>General Revenue </w:t>
            </w:r>
          </w:p>
        </w:tc>
      </w:tr>
      <w:bookmarkEnd w:id="177"/>
    </w:tbl>
    <w:p w14:paraId="00D3266B" w14:textId="77777777" w:rsidR="000A1064" w:rsidRDefault="000A1064"/>
    <w:p w14:paraId="6C2F2A97" w14:textId="3F758806" w:rsidR="00B40D8D" w:rsidRDefault="00B40D8D">
      <w:pPr>
        <w:rPr>
          <w:rFonts w:eastAsiaTheme="majorEastAsia"/>
          <w:b/>
          <w:bCs/>
          <w:sz w:val="28"/>
          <w:szCs w:val="28"/>
        </w:rPr>
      </w:pPr>
    </w:p>
    <w:p w14:paraId="6881D45F" w14:textId="546AC17F" w:rsidR="00FC7A2C" w:rsidRDefault="00FC7A2C" w:rsidP="00A75720">
      <w:pPr>
        <w:pStyle w:val="Heading1"/>
      </w:pPr>
      <w:bookmarkStart w:id="178" w:name="_Toc892383977"/>
      <w:bookmarkStart w:id="179" w:name="_Toc203377319"/>
      <w:r>
        <w:t>VI.</w:t>
      </w:r>
      <w:r w:rsidR="0470E1F1">
        <w:t xml:space="preserve"> </w:t>
      </w:r>
      <w:r>
        <w:t>Organization</w:t>
      </w:r>
      <w:bookmarkEnd w:id="178"/>
      <w:bookmarkEnd w:id="179"/>
    </w:p>
    <w:p w14:paraId="57BD218B" w14:textId="579E41C9" w:rsidR="00FC7A2C" w:rsidRPr="00350FF0" w:rsidRDefault="00FC7A2C" w:rsidP="004B1557">
      <w:pPr>
        <w:pStyle w:val="BodyText3"/>
        <w:ind w:left="720" w:hanging="720"/>
        <w:rPr>
          <w:rStyle w:val="Strong"/>
        </w:rPr>
      </w:pPr>
      <w:bookmarkStart w:id="180" w:name="_Toc417645502"/>
      <w:bookmarkStart w:id="181" w:name="_Toc417647491"/>
      <w:r w:rsidRPr="00350FF0">
        <w:rPr>
          <w:rStyle w:val="Strong"/>
        </w:rPr>
        <w:t>A.</w:t>
      </w:r>
      <w:r w:rsidR="004B1557">
        <w:rPr>
          <w:rStyle w:val="Strong"/>
        </w:rPr>
        <w:tab/>
      </w:r>
      <w:r w:rsidRPr="00350FF0">
        <w:rPr>
          <w:rStyle w:val="Strong"/>
        </w:rPr>
        <w:t xml:space="preserve">Provide an organizational chart that includes major programs and </w:t>
      </w:r>
      <w:r w:rsidR="004715AE" w:rsidRPr="00350FF0">
        <w:rPr>
          <w:rStyle w:val="Strong"/>
        </w:rPr>
        <w:t>divisions and</w:t>
      </w:r>
      <w:r w:rsidRPr="00350FF0">
        <w:rPr>
          <w:rStyle w:val="Strong"/>
        </w:rPr>
        <w:t xml:space="preserve"> shows the number of FTEs in each program or division</w:t>
      </w:r>
      <w:r w:rsidR="00832B49">
        <w:rPr>
          <w:rStyle w:val="Strong"/>
        </w:rPr>
        <w:t xml:space="preserve">. </w:t>
      </w:r>
      <w:r w:rsidRPr="00350FF0">
        <w:rPr>
          <w:rStyle w:val="Strong"/>
        </w:rPr>
        <w:t xml:space="preserve">Detail should include, if possible, </w:t>
      </w:r>
      <w:r w:rsidR="008F3D32" w:rsidRPr="00350FF0">
        <w:rPr>
          <w:rStyle w:val="Strong"/>
        </w:rPr>
        <w:t>d</w:t>
      </w:r>
      <w:r w:rsidR="00DD7D26">
        <w:rPr>
          <w:rStyle w:val="Strong"/>
        </w:rPr>
        <w:t>ivision</w:t>
      </w:r>
      <w:r w:rsidR="008F3D32" w:rsidRPr="00350FF0">
        <w:rPr>
          <w:rStyle w:val="Strong"/>
        </w:rPr>
        <w:t xml:space="preserve"> h</w:t>
      </w:r>
      <w:r w:rsidRPr="00350FF0">
        <w:rPr>
          <w:rStyle w:val="Strong"/>
        </w:rPr>
        <w:t>eads with subordinates and actual FTEs with budgeted FTEs in parenthes</w:t>
      </w:r>
      <w:r w:rsidR="00A361DC">
        <w:rPr>
          <w:rStyle w:val="Strong"/>
        </w:rPr>
        <w:t>es</w:t>
      </w:r>
      <w:r w:rsidRPr="00350FF0">
        <w:rPr>
          <w:rStyle w:val="Strong"/>
        </w:rPr>
        <w:t>.</w:t>
      </w:r>
      <w:bookmarkEnd w:id="180"/>
      <w:bookmarkEnd w:id="181"/>
    </w:p>
    <w:p w14:paraId="0DBCB3F5" w14:textId="58C0DB59" w:rsidR="004F4587" w:rsidRPr="00984BDE" w:rsidRDefault="00984BDE" w:rsidP="00984BDE">
      <w:pPr>
        <w:pStyle w:val="BodyText"/>
      </w:pPr>
      <w:r w:rsidRPr="00984BDE">
        <w:t xml:space="preserve">TWC’s </w:t>
      </w:r>
      <w:r w:rsidR="00ED5F96">
        <w:t>May 2025</w:t>
      </w:r>
      <w:r w:rsidRPr="00984BDE">
        <w:t xml:space="preserve"> organizational chart with FTE data is attached as </w:t>
      </w:r>
      <w:r w:rsidRPr="00F90C5E">
        <w:t xml:space="preserve">Exhibit 11a_OrgChartFTE. The </w:t>
      </w:r>
      <w:r w:rsidR="00F414B6" w:rsidRPr="00F90C5E">
        <w:t>mos</w:t>
      </w:r>
      <w:r w:rsidR="00F414B6">
        <w:t xml:space="preserve">t recent </w:t>
      </w:r>
      <w:r w:rsidRPr="00984BDE">
        <w:t>organizational chart, without FTE data, is also available on</w:t>
      </w:r>
      <w:r w:rsidR="00C81168">
        <w:t xml:space="preserve"> the </w:t>
      </w:r>
      <w:r w:rsidRPr="00984BDE">
        <w:t xml:space="preserve">TWC’s website at </w:t>
      </w:r>
      <w:hyperlink r:id="rId52">
        <w:r w:rsidR="009C27F8" w:rsidRPr="659FE24F">
          <w:rPr>
            <w:rStyle w:val="Hyperlink"/>
          </w:rPr>
          <w:t>About Texas Workforce</w:t>
        </w:r>
      </w:hyperlink>
      <w:r w:rsidR="00C81168">
        <w:t>.</w:t>
      </w:r>
    </w:p>
    <w:p w14:paraId="1B50650B" w14:textId="202C49EE" w:rsidR="00FC7A2C" w:rsidRPr="00350FF0" w:rsidRDefault="00FC7A2C" w:rsidP="004B1557">
      <w:pPr>
        <w:pStyle w:val="BodyText3"/>
        <w:ind w:left="720" w:hanging="720"/>
        <w:rPr>
          <w:rStyle w:val="Strong"/>
        </w:rPr>
      </w:pPr>
      <w:bookmarkStart w:id="182" w:name="_B._If_applicable,"/>
      <w:bookmarkStart w:id="183" w:name="_Toc417645503"/>
      <w:bookmarkStart w:id="184" w:name="_Toc417647492"/>
      <w:bookmarkEnd w:id="182"/>
      <w:r w:rsidRPr="00350FF0">
        <w:rPr>
          <w:rStyle w:val="Strong"/>
        </w:rPr>
        <w:t>B.</w:t>
      </w:r>
      <w:r w:rsidR="004B1557">
        <w:rPr>
          <w:rStyle w:val="Strong"/>
        </w:rPr>
        <w:tab/>
      </w:r>
      <w:r w:rsidR="00A361DC">
        <w:rPr>
          <w:rStyle w:val="Strong"/>
        </w:rPr>
        <w:t>Complete</w:t>
      </w:r>
      <w:r w:rsidRPr="00350FF0">
        <w:rPr>
          <w:rStyle w:val="Strong"/>
        </w:rPr>
        <w:t xml:space="preserve"> the </w:t>
      </w:r>
      <w:r w:rsidR="00A361DC">
        <w:rPr>
          <w:rStyle w:val="Strong"/>
        </w:rPr>
        <w:t>table</w:t>
      </w:r>
      <w:r w:rsidRPr="00350FF0">
        <w:rPr>
          <w:rStyle w:val="Strong"/>
        </w:rPr>
        <w:t xml:space="preserve"> below listing </w:t>
      </w:r>
      <w:r w:rsidR="00395D91">
        <w:rPr>
          <w:rStyle w:val="Strong"/>
        </w:rPr>
        <w:t>the agency</w:t>
      </w:r>
      <w:r w:rsidR="00F044D6">
        <w:rPr>
          <w:rStyle w:val="Strong"/>
        </w:rPr>
        <w:t>’</w:t>
      </w:r>
      <w:r w:rsidR="00395D91">
        <w:rPr>
          <w:rStyle w:val="Strong"/>
        </w:rPr>
        <w:t>s headquarters and number of FTEs and, i</w:t>
      </w:r>
      <w:r w:rsidR="00395D91" w:rsidRPr="00350FF0">
        <w:rPr>
          <w:rStyle w:val="Strong"/>
        </w:rPr>
        <w:t xml:space="preserve">f applicable, </w:t>
      </w:r>
      <w:r w:rsidRPr="00350FF0">
        <w:rPr>
          <w:rStyle w:val="Strong"/>
        </w:rPr>
        <w:t>field or regional offices.</w:t>
      </w:r>
      <w:bookmarkEnd w:id="183"/>
      <w:bookmarkEnd w:id="184"/>
    </w:p>
    <w:p w14:paraId="6F7B3AAF" w14:textId="77777777" w:rsidR="00F53A55" w:rsidRDefault="00F53A55" w:rsidP="003A0C89">
      <w:pPr>
        <w:pStyle w:val="BodyText3"/>
        <w:jc w:val="center"/>
      </w:pPr>
      <w:bookmarkStart w:id="185" w:name="_Toc202856320"/>
      <w:bookmarkStart w:id="186" w:name="_Toc202856983"/>
      <w:bookmarkStart w:id="187" w:name="_Toc202857136"/>
      <w:bookmarkStart w:id="188" w:name="_Toc202860916"/>
      <w:bookmarkStart w:id="189" w:name="_Toc202861089"/>
      <w:bookmarkStart w:id="190" w:name="_Toc346832177"/>
      <w:bookmarkStart w:id="191" w:name="_Toc320418502"/>
      <w:bookmarkStart w:id="192" w:name="_Toc417645505"/>
      <w:bookmarkStart w:id="193" w:name="_Toc417647494"/>
      <w:r>
        <w:t>Texas Workforce Commission</w:t>
      </w:r>
      <w:bookmarkEnd w:id="185"/>
      <w:bookmarkEnd w:id="186"/>
      <w:bookmarkEnd w:id="187"/>
      <w:bookmarkEnd w:id="188"/>
      <w:bookmarkEnd w:id="189"/>
      <w:bookmarkEnd w:id="190"/>
      <w:bookmarkEnd w:id="191"/>
    </w:p>
    <w:p w14:paraId="3BE1CB99" w14:textId="66137E38" w:rsidR="00FC7A2C" w:rsidRDefault="00FC7A2C" w:rsidP="003A0C89">
      <w:pPr>
        <w:pStyle w:val="BodyText3"/>
        <w:jc w:val="center"/>
      </w:pPr>
      <w:bookmarkStart w:id="194" w:name="_Toc202856321"/>
      <w:bookmarkStart w:id="195" w:name="_Toc202856984"/>
      <w:bookmarkStart w:id="196" w:name="_Toc202857137"/>
      <w:bookmarkStart w:id="197" w:name="_Toc202860917"/>
      <w:bookmarkStart w:id="198" w:name="_Toc202861090"/>
      <w:bookmarkStart w:id="199" w:name="_Toc1952651894"/>
      <w:bookmarkStart w:id="200" w:name="_Toc1728656944"/>
      <w:r w:rsidRPr="007207EB">
        <w:t xml:space="preserve">Exhibit </w:t>
      </w:r>
      <w:r w:rsidR="00890A01" w:rsidRPr="007207EB">
        <w:t>1</w:t>
      </w:r>
      <w:r w:rsidR="005334B7" w:rsidRPr="007207EB">
        <w:t>1</w:t>
      </w:r>
      <w:r w:rsidRPr="007207EB">
        <w:t>:</w:t>
      </w:r>
      <w:r w:rsidR="008A4A34" w:rsidRPr="007207EB">
        <w:t xml:space="preserve"> </w:t>
      </w:r>
      <w:r w:rsidRPr="007207EB">
        <w:t xml:space="preserve">FTEs by Location </w:t>
      </w:r>
      <w:r w:rsidR="009A01B2" w:rsidRPr="007207EB">
        <w:t>— Fiscal</w:t>
      </w:r>
      <w:r w:rsidRPr="007207EB">
        <w:t xml:space="preserve"> Year 20</w:t>
      </w:r>
      <w:r w:rsidR="00D73036" w:rsidRPr="007207EB">
        <w:t>2</w:t>
      </w:r>
      <w:bookmarkEnd w:id="192"/>
      <w:bookmarkEnd w:id="193"/>
      <w:r w:rsidR="00950E7B" w:rsidRPr="007207EB">
        <w:t>5</w:t>
      </w:r>
      <w:r w:rsidR="00DE340E" w:rsidRPr="007207EB">
        <w:t xml:space="preserve"> (as of SER submission)</w:t>
      </w:r>
      <w:bookmarkEnd w:id="194"/>
      <w:bookmarkEnd w:id="195"/>
      <w:bookmarkEnd w:id="196"/>
      <w:bookmarkEnd w:id="197"/>
      <w:bookmarkEnd w:id="198"/>
      <w:bookmarkEnd w:id="199"/>
      <w:bookmarkEnd w:id="200"/>
    </w:p>
    <w:tbl>
      <w:tblPr>
        <w:tblW w:w="9360" w:type="dxa"/>
        <w:tblCellMar>
          <w:top w:w="58" w:type="dxa"/>
          <w:bottom w:w="58" w:type="dxa"/>
        </w:tblCellMar>
        <w:tblLook w:val="04A0" w:firstRow="1" w:lastRow="0" w:firstColumn="1" w:lastColumn="0" w:noHBand="0" w:noVBand="1"/>
      </w:tblPr>
      <w:tblGrid>
        <w:gridCol w:w="2875"/>
        <w:gridCol w:w="3600"/>
        <w:gridCol w:w="1440"/>
        <w:gridCol w:w="1445"/>
      </w:tblGrid>
      <w:tr w:rsidR="00EE68F6" w:rsidRPr="00365255" w14:paraId="0F7300E4" w14:textId="77777777" w:rsidTr="0061044E">
        <w:trPr>
          <w:trHeight w:val="1152"/>
          <w:tblHeader/>
        </w:trPr>
        <w:tc>
          <w:tcPr>
            <w:tcW w:w="287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C7D7F1A" w14:textId="77777777" w:rsidR="00365255" w:rsidRPr="00365255" w:rsidRDefault="00365255" w:rsidP="00365255">
            <w:pPr>
              <w:pStyle w:val="TableHeaders"/>
            </w:pPr>
            <w:bookmarkStart w:id="201" w:name="Title_FTEs_by_Location" w:colFirst="0" w:colLast="0"/>
            <w:r w:rsidRPr="00365255">
              <w:t>Headquarters, Region,</w:t>
            </w:r>
            <w:r w:rsidRPr="00365255">
              <w:br/>
              <w:t>or Field Office</w:t>
            </w:r>
          </w:p>
        </w:tc>
        <w:tc>
          <w:tcPr>
            <w:tcW w:w="36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581EECC" w14:textId="77777777" w:rsidR="00365255" w:rsidRPr="00365255" w:rsidRDefault="00365255" w:rsidP="00365255">
            <w:pPr>
              <w:pStyle w:val="TableHeaders"/>
            </w:pPr>
            <w:r w:rsidRPr="00365255">
              <w:t>Location</w:t>
            </w:r>
          </w:p>
        </w:tc>
        <w:tc>
          <w:tcPr>
            <w:tcW w:w="1440"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74B2E697" w14:textId="77777777" w:rsidR="00365255" w:rsidRPr="00365255" w:rsidRDefault="00365255" w:rsidP="00365255">
            <w:pPr>
              <w:pStyle w:val="TableHeaders"/>
            </w:pPr>
            <w:r w:rsidRPr="00365255">
              <w:t>Number of</w:t>
            </w:r>
            <w:r w:rsidRPr="00365255">
              <w:br/>
              <w:t>Budgeted FTEs</w:t>
            </w:r>
            <w:r w:rsidRPr="00365255">
              <w:br/>
              <w:t>FY 2025</w:t>
            </w:r>
          </w:p>
        </w:tc>
        <w:tc>
          <w:tcPr>
            <w:tcW w:w="144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E4530EF" w14:textId="77777777" w:rsidR="00365255" w:rsidRPr="00365255" w:rsidRDefault="00365255" w:rsidP="00365255">
            <w:pPr>
              <w:pStyle w:val="TableHeaders"/>
            </w:pPr>
            <w:r w:rsidRPr="00365255">
              <w:t>Number of</w:t>
            </w:r>
            <w:r w:rsidRPr="00365255">
              <w:br/>
              <w:t>Actual FTEs</w:t>
            </w:r>
            <w:r w:rsidRPr="00365255">
              <w:br/>
              <w:t>(as of SER submission)</w:t>
            </w:r>
          </w:p>
        </w:tc>
      </w:tr>
      <w:tr w:rsidR="006645A3" w:rsidRPr="00365255" w14:paraId="32A29493"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vAlign w:val="center"/>
            <w:hideMark/>
          </w:tcPr>
          <w:p w14:paraId="49F5E9EB" w14:textId="77777777" w:rsidR="00365255" w:rsidRPr="00365255" w:rsidRDefault="00365255" w:rsidP="00A34DA1">
            <w:pPr>
              <w:pStyle w:val="TableText"/>
            </w:pPr>
            <w:r w:rsidRPr="00365255">
              <w:t>Headquarters</w:t>
            </w:r>
          </w:p>
        </w:tc>
        <w:tc>
          <w:tcPr>
            <w:tcW w:w="3600" w:type="dxa"/>
            <w:tcBorders>
              <w:top w:val="nil"/>
              <w:left w:val="nil"/>
              <w:bottom w:val="single" w:sz="4" w:space="0" w:color="auto"/>
              <w:right w:val="single" w:sz="4" w:space="0" w:color="auto"/>
            </w:tcBorders>
            <w:shd w:val="clear" w:color="000000" w:fill="FFFFFF"/>
            <w:noWrap/>
            <w:vAlign w:val="center"/>
            <w:hideMark/>
          </w:tcPr>
          <w:p w14:paraId="7A1BB3F6" w14:textId="77777777" w:rsidR="00365255" w:rsidRPr="00365255" w:rsidRDefault="00365255" w:rsidP="00A34DA1">
            <w:pPr>
              <w:pStyle w:val="TableText"/>
            </w:pPr>
            <w:r w:rsidRPr="00365255">
              <w:t>Austin</w:t>
            </w:r>
          </w:p>
        </w:tc>
        <w:tc>
          <w:tcPr>
            <w:tcW w:w="1440" w:type="dxa"/>
            <w:tcBorders>
              <w:top w:val="nil"/>
              <w:left w:val="nil"/>
              <w:bottom w:val="single" w:sz="4" w:space="0" w:color="auto"/>
              <w:right w:val="single" w:sz="4" w:space="0" w:color="auto"/>
            </w:tcBorders>
            <w:shd w:val="clear" w:color="auto" w:fill="auto"/>
            <w:vAlign w:val="center"/>
            <w:hideMark/>
          </w:tcPr>
          <w:p w14:paraId="13D3CB2C" w14:textId="2B8DF596" w:rsidR="00365255" w:rsidRPr="00365255" w:rsidRDefault="00365255" w:rsidP="003D6AAA">
            <w:pPr>
              <w:pStyle w:val="TableText"/>
              <w:jc w:val="right"/>
              <w:rPr>
                <w:rFonts w:ascii="Calibri" w:hAnsi="Calibri"/>
              </w:rPr>
            </w:pPr>
            <w:r w:rsidRPr="00365255">
              <w:rPr>
                <w:rFonts w:ascii="Calibri" w:hAnsi="Calibri"/>
              </w:rPr>
              <w:t>2,115.5</w:t>
            </w:r>
          </w:p>
        </w:tc>
        <w:tc>
          <w:tcPr>
            <w:tcW w:w="1445" w:type="dxa"/>
            <w:tcBorders>
              <w:top w:val="nil"/>
              <w:left w:val="nil"/>
              <w:bottom w:val="single" w:sz="4" w:space="0" w:color="auto"/>
              <w:right w:val="single" w:sz="4" w:space="0" w:color="auto"/>
            </w:tcBorders>
            <w:shd w:val="clear" w:color="auto" w:fill="auto"/>
            <w:vAlign w:val="center"/>
            <w:hideMark/>
          </w:tcPr>
          <w:p w14:paraId="3F26128E" w14:textId="0013514A" w:rsidR="00365255" w:rsidRPr="00365255" w:rsidRDefault="00365255" w:rsidP="003D6AAA">
            <w:pPr>
              <w:pStyle w:val="TableText"/>
              <w:jc w:val="right"/>
              <w:rPr>
                <w:rFonts w:ascii="Calibri" w:hAnsi="Calibri"/>
              </w:rPr>
            </w:pPr>
            <w:r w:rsidRPr="00365255">
              <w:rPr>
                <w:rFonts w:ascii="Calibri" w:hAnsi="Calibri"/>
              </w:rPr>
              <w:t>1,943.8</w:t>
            </w:r>
          </w:p>
        </w:tc>
      </w:tr>
      <w:tr w:rsidR="006645A3" w:rsidRPr="00365255" w14:paraId="2318FE74"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22A8DB7" w14:textId="77777777" w:rsidR="00365255" w:rsidRPr="00365255" w:rsidRDefault="00365255" w:rsidP="00A34DA1">
            <w:pPr>
              <w:pStyle w:val="TableText"/>
            </w:pPr>
            <w:r w:rsidRPr="00365255">
              <w:t>Criss Cole Rehabilitation Center</w:t>
            </w:r>
          </w:p>
        </w:tc>
        <w:tc>
          <w:tcPr>
            <w:tcW w:w="3600" w:type="dxa"/>
            <w:tcBorders>
              <w:top w:val="nil"/>
              <w:left w:val="nil"/>
              <w:bottom w:val="single" w:sz="4" w:space="0" w:color="auto"/>
              <w:right w:val="single" w:sz="4" w:space="0" w:color="auto"/>
            </w:tcBorders>
            <w:shd w:val="clear" w:color="000000" w:fill="FFFFFF"/>
            <w:noWrap/>
            <w:vAlign w:val="center"/>
            <w:hideMark/>
          </w:tcPr>
          <w:p w14:paraId="558B75CD" w14:textId="77777777" w:rsidR="00365255" w:rsidRPr="00365255" w:rsidRDefault="00365255" w:rsidP="00A34DA1">
            <w:pPr>
              <w:pStyle w:val="TableText"/>
            </w:pPr>
            <w:r w:rsidRPr="00365255">
              <w:t>Austin</w:t>
            </w:r>
          </w:p>
        </w:tc>
        <w:tc>
          <w:tcPr>
            <w:tcW w:w="1440" w:type="dxa"/>
            <w:tcBorders>
              <w:top w:val="nil"/>
              <w:left w:val="nil"/>
              <w:bottom w:val="single" w:sz="4" w:space="0" w:color="auto"/>
              <w:right w:val="single" w:sz="4" w:space="0" w:color="auto"/>
            </w:tcBorders>
            <w:shd w:val="clear" w:color="auto" w:fill="auto"/>
            <w:vAlign w:val="center"/>
            <w:hideMark/>
          </w:tcPr>
          <w:p w14:paraId="62332EE2" w14:textId="0022368A" w:rsidR="00365255" w:rsidRPr="00365255" w:rsidRDefault="00365255" w:rsidP="003D6AAA">
            <w:pPr>
              <w:pStyle w:val="TableText"/>
              <w:jc w:val="right"/>
              <w:rPr>
                <w:rFonts w:ascii="Calibri" w:hAnsi="Calibri"/>
              </w:rPr>
            </w:pPr>
            <w:r w:rsidRPr="00365255">
              <w:rPr>
                <w:rFonts w:ascii="Calibri" w:hAnsi="Calibri"/>
              </w:rPr>
              <w:t>85.3</w:t>
            </w:r>
          </w:p>
        </w:tc>
        <w:tc>
          <w:tcPr>
            <w:tcW w:w="1445" w:type="dxa"/>
            <w:tcBorders>
              <w:top w:val="nil"/>
              <w:left w:val="nil"/>
              <w:bottom w:val="single" w:sz="4" w:space="0" w:color="auto"/>
              <w:right w:val="single" w:sz="4" w:space="0" w:color="auto"/>
            </w:tcBorders>
            <w:shd w:val="clear" w:color="auto" w:fill="auto"/>
            <w:vAlign w:val="center"/>
            <w:hideMark/>
          </w:tcPr>
          <w:p w14:paraId="609A8624" w14:textId="3B92F785" w:rsidR="00365255" w:rsidRPr="00365255" w:rsidRDefault="00365255" w:rsidP="003D6AAA">
            <w:pPr>
              <w:pStyle w:val="TableText"/>
              <w:jc w:val="right"/>
              <w:rPr>
                <w:rFonts w:ascii="Calibri" w:hAnsi="Calibri"/>
              </w:rPr>
            </w:pPr>
            <w:r w:rsidRPr="00365255">
              <w:rPr>
                <w:rFonts w:ascii="Calibri" w:hAnsi="Calibri"/>
              </w:rPr>
              <w:t>83.2</w:t>
            </w:r>
          </w:p>
        </w:tc>
      </w:tr>
      <w:tr w:rsidR="0094415E" w:rsidRPr="00365255" w14:paraId="09A4C66A"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10E666C9" w14:textId="77777777" w:rsidR="00365255" w:rsidRPr="00365255" w:rsidRDefault="00365255" w:rsidP="00A34DA1">
            <w:pPr>
              <w:pStyle w:val="TableText"/>
            </w:pPr>
            <w:r w:rsidRPr="00365255">
              <w:t>Vocational Rehabilitation: Regional/Field</w:t>
            </w:r>
          </w:p>
        </w:tc>
        <w:tc>
          <w:tcPr>
            <w:tcW w:w="3600" w:type="dxa"/>
            <w:tcBorders>
              <w:top w:val="nil"/>
              <w:left w:val="nil"/>
              <w:bottom w:val="single" w:sz="4" w:space="0" w:color="auto"/>
              <w:right w:val="single" w:sz="4" w:space="0" w:color="auto"/>
            </w:tcBorders>
            <w:shd w:val="clear" w:color="auto" w:fill="auto"/>
            <w:vAlign w:val="center"/>
            <w:hideMark/>
          </w:tcPr>
          <w:p w14:paraId="7201DACC" w14:textId="77777777" w:rsidR="00365255" w:rsidRPr="00365255" w:rsidRDefault="00365255" w:rsidP="00A34DA1">
            <w:pPr>
              <w:pStyle w:val="TableText"/>
              <w:rPr>
                <w:rFonts w:ascii="Calibri" w:hAnsi="Calibri"/>
              </w:rPr>
            </w:pPr>
            <w:r w:rsidRPr="00365255">
              <w:rPr>
                <w:rFonts w:ascii="Calibri" w:hAnsi="Calibri"/>
              </w:rPr>
              <w:t>Region 1 Panhandle / West Texas</w:t>
            </w:r>
          </w:p>
        </w:tc>
        <w:tc>
          <w:tcPr>
            <w:tcW w:w="1440" w:type="dxa"/>
            <w:tcBorders>
              <w:top w:val="nil"/>
              <w:left w:val="nil"/>
              <w:bottom w:val="single" w:sz="4" w:space="0" w:color="auto"/>
              <w:right w:val="single" w:sz="4" w:space="0" w:color="auto"/>
            </w:tcBorders>
            <w:shd w:val="clear" w:color="auto" w:fill="auto"/>
            <w:vAlign w:val="center"/>
            <w:hideMark/>
          </w:tcPr>
          <w:p w14:paraId="4C33C3A3" w14:textId="102E70F8" w:rsidR="00365255" w:rsidRPr="00365255" w:rsidRDefault="00365255" w:rsidP="003D6AAA">
            <w:pPr>
              <w:pStyle w:val="TableText"/>
              <w:jc w:val="right"/>
              <w:rPr>
                <w:rFonts w:ascii="Calibri" w:hAnsi="Calibri"/>
              </w:rPr>
            </w:pPr>
            <w:r w:rsidRPr="00365255">
              <w:rPr>
                <w:rFonts w:ascii="Calibri" w:hAnsi="Calibri"/>
              </w:rPr>
              <w:t>198.0</w:t>
            </w:r>
          </w:p>
        </w:tc>
        <w:tc>
          <w:tcPr>
            <w:tcW w:w="1445" w:type="dxa"/>
            <w:tcBorders>
              <w:top w:val="nil"/>
              <w:left w:val="nil"/>
              <w:bottom w:val="single" w:sz="4" w:space="0" w:color="auto"/>
              <w:right w:val="single" w:sz="4" w:space="0" w:color="auto"/>
            </w:tcBorders>
            <w:shd w:val="clear" w:color="auto" w:fill="auto"/>
            <w:vAlign w:val="center"/>
            <w:hideMark/>
          </w:tcPr>
          <w:p w14:paraId="78E5240C" w14:textId="60B09BBB" w:rsidR="00365255" w:rsidRPr="00365255" w:rsidRDefault="00365255" w:rsidP="003D6AAA">
            <w:pPr>
              <w:pStyle w:val="TableText"/>
              <w:jc w:val="right"/>
              <w:rPr>
                <w:rFonts w:ascii="Calibri" w:hAnsi="Calibri"/>
              </w:rPr>
            </w:pPr>
            <w:r w:rsidRPr="00365255">
              <w:rPr>
                <w:rFonts w:ascii="Calibri" w:hAnsi="Calibri"/>
              </w:rPr>
              <w:t>190.9</w:t>
            </w:r>
          </w:p>
        </w:tc>
      </w:tr>
      <w:tr w:rsidR="0094415E" w:rsidRPr="00365255" w14:paraId="6BA212B4" w14:textId="77777777" w:rsidTr="0061044E">
        <w:trPr>
          <w:trHeight w:val="324"/>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115C9346" w14:textId="77777777" w:rsidR="00365255" w:rsidRPr="00365255" w:rsidRDefault="00365255" w:rsidP="00A34DA1">
            <w:pPr>
              <w:pStyle w:val="TableText"/>
            </w:pPr>
            <w:r w:rsidRPr="00365255">
              <w:t>Vocational Rehabilitation: Regional/Field</w:t>
            </w:r>
          </w:p>
        </w:tc>
        <w:tc>
          <w:tcPr>
            <w:tcW w:w="3600" w:type="dxa"/>
            <w:tcBorders>
              <w:top w:val="nil"/>
              <w:left w:val="nil"/>
              <w:bottom w:val="single" w:sz="4" w:space="0" w:color="auto"/>
              <w:right w:val="single" w:sz="4" w:space="0" w:color="auto"/>
            </w:tcBorders>
            <w:shd w:val="clear" w:color="auto" w:fill="auto"/>
            <w:vAlign w:val="center"/>
            <w:hideMark/>
          </w:tcPr>
          <w:p w14:paraId="278A91D7" w14:textId="77777777" w:rsidR="00365255" w:rsidRPr="00365255" w:rsidRDefault="00365255" w:rsidP="00A34DA1">
            <w:pPr>
              <w:pStyle w:val="TableText"/>
              <w:rPr>
                <w:rFonts w:ascii="Calibri" w:hAnsi="Calibri"/>
              </w:rPr>
            </w:pPr>
            <w:r w:rsidRPr="00365255">
              <w:rPr>
                <w:rFonts w:ascii="Calibri" w:hAnsi="Calibri"/>
              </w:rPr>
              <w:t>Region 2 Dallas Fort Worth / Texoma</w:t>
            </w:r>
          </w:p>
        </w:tc>
        <w:tc>
          <w:tcPr>
            <w:tcW w:w="1440" w:type="dxa"/>
            <w:tcBorders>
              <w:top w:val="nil"/>
              <w:left w:val="nil"/>
              <w:bottom w:val="single" w:sz="4" w:space="0" w:color="auto"/>
              <w:right w:val="single" w:sz="4" w:space="0" w:color="auto"/>
            </w:tcBorders>
            <w:shd w:val="clear" w:color="auto" w:fill="auto"/>
            <w:vAlign w:val="center"/>
            <w:hideMark/>
          </w:tcPr>
          <w:p w14:paraId="0A099B6F" w14:textId="72533344" w:rsidR="00365255" w:rsidRPr="00365255" w:rsidRDefault="00365255" w:rsidP="003D6AAA">
            <w:pPr>
              <w:pStyle w:val="TableText"/>
              <w:jc w:val="right"/>
              <w:rPr>
                <w:rFonts w:ascii="Calibri" w:hAnsi="Calibri"/>
              </w:rPr>
            </w:pPr>
            <w:r w:rsidRPr="00365255">
              <w:rPr>
                <w:rFonts w:ascii="Calibri" w:hAnsi="Calibri"/>
              </w:rPr>
              <w:t>335.0</w:t>
            </w:r>
          </w:p>
        </w:tc>
        <w:tc>
          <w:tcPr>
            <w:tcW w:w="1445" w:type="dxa"/>
            <w:tcBorders>
              <w:top w:val="nil"/>
              <w:left w:val="nil"/>
              <w:bottom w:val="single" w:sz="4" w:space="0" w:color="auto"/>
              <w:right w:val="single" w:sz="4" w:space="0" w:color="auto"/>
            </w:tcBorders>
            <w:shd w:val="clear" w:color="auto" w:fill="auto"/>
            <w:vAlign w:val="center"/>
            <w:hideMark/>
          </w:tcPr>
          <w:p w14:paraId="2D9C98E3" w14:textId="7CE2ABD7" w:rsidR="00365255" w:rsidRPr="00365255" w:rsidRDefault="00365255" w:rsidP="003D6AAA">
            <w:pPr>
              <w:pStyle w:val="TableText"/>
              <w:jc w:val="right"/>
              <w:rPr>
                <w:rFonts w:ascii="Calibri" w:hAnsi="Calibri"/>
              </w:rPr>
            </w:pPr>
            <w:r w:rsidRPr="00365255">
              <w:rPr>
                <w:rFonts w:ascii="Calibri" w:hAnsi="Calibri"/>
              </w:rPr>
              <w:t>315.2</w:t>
            </w:r>
          </w:p>
        </w:tc>
      </w:tr>
      <w:tr w:rsidR="0094415E" w:rsidRPr="00365255" w14:paraId="7541B7ED"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43B48637" w14:textId="77777777" w:rsidR="00365255" w:rsidRPr="00365255" w:rsidRDefault="00365255" w:rsidP="00A34DA1">
            <w:pPr>
              <w:pStyle w:val="TableText"/>
            </w:pPr>
            <w:r w:rsidRPr="00365255">
              <w:lastRenderedPageBreak/>
              <w:t>Vocational Rehabilitation: Regional/Field</w:t>
            </w:r>
          </w:p>
        </w:tc>
        <w:tc>
          <w:tcPr>
            <w:tcW w:w="3600" w:type="dxa"/>
            <w:tcBorders>
              <w:top w:val="nil"/>
              <w:left w:val="nil"/>
              <w:bottom w:val="single" w:sz="4" w:space="0" w:color="auto"/>
              <w:right w:val="single" w:sz="4" w:space="0" w:color="auto"/>
            </w:tcBorders>
            <w:shd w:val="clear" w:color="auto" w:fill="auto"/>
            <w:vAlign w:val="center"/>
            <w:hideMark/>
          </w:tcPr>
          <w:p w14:paraId="7F8DCB83" w14:textId="77777777" w:rsidR="00365255" w:rsidRPr="00365255" w:rsidRDefault="00365255" w:rsidP="00A34DA1">
            <w:pPr>
              <w:pStyle w:val="TableText"/>
              <w:rPr>
                <w:rFonts w:ascii="Calibri" w:hAnsi="Calibri"/>
              </w:rPr>
            </w:pPr>
            <w:r w:rsidRPr="00365255">
              <w:rPr>
                <w:rFonts w:ascii="Calibri" w:hAnsi="Calibri"/>
              </w:rPr>
              <w:t>Region 3 Central Texas</w:t>
            </w:r>
          </w:p>
        </w:tc>
        <w:tc>
          <w:tcPr>
            <w:tcW w:w="1440" w:type="dxa"/>
            <w:tcBorders>
              <w:top w:val="nil"/>
              <w:left w:val="nil"/>
              <w:bottom w:val="single" w:sz="4" w:space="0" w:color="auto"/>
              <w:right w:val="single" w:sz="4" w:space="0" w:color="auto"/>
            </w:tcBorders>
            <w:shd w:val="clear" w:color="auto" w:fill="auto"/>
            <w:vAlign w:val="center"/>
            <w:hideMark/>
          </w:tcPr>
          <w:p w14:paraId="7DC55121" w14:textId="1EE745ED" w:rsidR="00365255" w:rsidRPr="00365255" w:rsidRDefault="00365255" w:rsidP="003D6AAA">
            <w:pPr>
              <w:pStyle w:val="TableText"/>
              <w:jc w:val="right"/>
              <w:rPr>
                <w:rFonts w:ascii="Calibri" w:hAnsi="Calibri"/>
              </w:rPr>
            </w:pPr>
            <w:r w:rsidRPr="00365255">
              <w:rPr>
                <w:rFonts w:ascii="Calibri" w:hAnsi="Calibri"/>
              </w:rPr>
              <w:t>185.0</w:t>
            </w:r>
          </w:p>
        </w:tc>
        <w:tc>
          <w:tcPr>
            <w:tcW w:w="1445" w:type="dxa"/>
            <w:tcBorders>
              <w:top w:val="nil"/>
              <w:left w:val="nil"/>
              <w:bottom w:val="single" w:sz="4" w:space="0" w:color="auto"/>
              <w:right w:val="single" w:sz="4" w:space="0" w:color="auto"/>
            </w:tcBorders>
            <w:shd w:val="clear" w:color="auto" w:fill="auto"/>
            <w:vAlign w:val="center"/>
            <w:hideMark/>
          </w:tcPr>
          <w:p w14:paraId="15C6589A" w14:textId="29726174" w:rsidR="00365255" w:rsidRPr="00365255" w:rsidRDefault="00365255" w:rsidP="003D6AAA">
            <w:pPr>
              <w:pStyle w:val="TableText"/>
              <w:jc w:val="right"/>
              <w:rPr>
                <w:rFonts w:ascii="Calibri" w:hAnsi="Calibri"/>
              </w:rPr>
            </w:pPr>
            <w:r w:rsidRPr="00365255">
              <w:rPr>
                <w:rFonts w:ascii="Calibri" w:hAnsi="Calibri"/>
              </w:rPr>
              <w:t>175.9</w:t>
            </w:r>
          </w:p>
        </w:tc>
      </w:tr>
      <w:tr w:rsidR="0094415E" w:rsidRPr="00365255" w14:paraId="682263A4"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539F0D6" w14:textId="77777777" w:rsidR="00365255" w:rsidRPr="00365255" w:rsidRDefault="00365255" w:rsidP="00A34DA1">
            <w:pPr>
              <w:pStyle w:val="TableText"/>
            </w:pPr>
            <w:r w:rsidRPr="00365255">
              <w:t>Vocational Rehabilitation: Regional/Field</w:t>
            </w:r>
          </w:p>
        </w:tc>
        <w:tc>
          <w:tcPr>
            <w:tcW w:w="3600" w:type="dxa"/>
            <w:tcBorders>
              <w:top w:val="nil"/>
              <w:left w:val="nil"/>
              <w:bottom w:val="single" w:sz="4" w:space="0" w:color="auto"/>
              <w:right w:val="single" w:sz="4" w:space="0" w:color="auto"/>
            </w:tcBorders>
            <w:shd w:val="clear" w:color="auto" w:fill="auto"/>
            <w:vAlign w:val="center"/>
            <w:hideMark/>
          </w:tcPr>
          <w:p w14:paraId="4AD937C1" w14:textId="77777777" w:rsidR="00365255" w:rsidRPr="00365255" w:rsidRDefault="00365255" w:rsidP="00A34DA1">
            <w:pPr>
              <w:pStyle w:val="TableText"/>
              <w:rPr>
                <w:rFonts w:ascii="Calibri" w:hAnsi="Calibri"/>
              </w:rPr>
            </w:pPr>
            <w:r w:rsidRPr="00365255">
              <w:rPr>
                <w:rFonts w:ascii="Calibri" w:hAnsi="Calibri"/>
              </w:rPr>
              <w:t>Region 4 East Texas</w:t>
            </w:r>
          </w:p>
        </w:tc>
        <w:tc>
          <w:tcPr>
            <w:tcW w:w="1440" w:type="dxa"/>
            <w:tcBorders>
              <w:top w:val="nil"/>
              <w:left w:val="nil"/>
              <w:bottom w:val="single" w:sz="4" w:space="0" w:color="auto"/>
              <w:right w:val="single" w:sz="4" w:space="0" w:color="auto"/>
            </w:tcBorders>
            <w:shd w:val="clear" w:color="auto" w:fill="auto"/>
            <w:vAlign w:val="center"/>
            <w:hideMark/>
          </w:tcPr>
          <w:p w14:paraId="0A3CC441" w14:textId="24115624" w:rsidR="00365255" w:rsidRPr="00365255" w:rsidRDefault="00365255" w:rsidP="003D6AAA">
            <w:pPr>
              <w:pStyle w:val="TableText"/>
              <w:jc w:val="right"/>
              <w:rPr>
                <w:rFonts w:ascii="Calibri" w:hAnsi="Calibri"/>
              </w:rPr>
            </w:pPr>
            <w:r w:rsidRPr="00365255">
              <w:rPr>
                <w:rFonts w:ascii="Calibri" w:hAnsi="Calibri"/>
              </w:rPr>
              <w:t>154.0</w:t>
            </w:r>
          </w:p>
        </w:tc>
        <w:tc>
          <w:tcPr>
            <w:tcW w:w="1445" w:type="dxa"/>
            <w:tcBorders>
              <w:top w:val="nil"/>
              <w:left w:val="nil"/>
              <w:bottom w:val="single" w:sz="4" w:space="0" w:color="auto"/>
              <w:right w:val="single" w:sz="4" w:space="0" w:color="auto"/>
            </w:tcBorders>
            <w:shd w:val="clear" w:color="auto" w:fill="auto"/>
            <w:vAlign w:val="center"/>
            <w:hideMark/>
          </w:tcPr>
          <w:p w14:paraId="58419C9F" w14:textId="482262FE" w:rsidR="00365255" w:rsidRPr="00365255" w:rsidRDefault="00365255" w:rsidP="003D6AAA">
            <w:pPr>
              <w:pStyle w:val="TableText"/>
              <w:jc w:val="right"/>
              <w:rPr>
                <w:rFonts w:ascii="Calibri" w:hAnsi="Calibri"/>
              </w:rPr>
            </w:pPr>
            <w:r w:rsidRPr="00365255">
              <w:rPr>
                <w:rFonts w:ascii="Calibri" w:hAnsi="Calibri"/>
              </w:rPr>
              <w:t>150.3</w:t>
            </w:r>
          </w:p>
        </w:tc>
      </w:tr>
      <w:tr w:rsidR="0094415E" w:rsidRPr="00365255" w14:paraId="6529060A"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0A55694B" w14:textId="77777777" w:rsidR="00365255" w:rsidRPr="00365255" w:rsidRDefault="00365255" w:rsidP="00A34DA1">
            <w:pPr>
              <w:pStyle w:val="TableText"/>
            </w:pPr>
            <w:r w:rsidRPr="00365255">
              <w:t>Vocational Rehabilitation: Regional/Field</w:t>
            </w:r>
          </w:p>
        </w:tc>
        <w:tc>
          <w:tcPr>
            <w:tcW w:w="3600" w:type="dxa"/>
            <w:tcBorders>
              <w:top w:val="nil"/>
              <w:left w:val="nil"/>
              <w:bottom w:val="single" w:sz="4" w:space="0" w:color="auto"/>
              <w:right w:val="single" w:sz="4" w:space="0" w:color="auto"/>
            </w:tcBorders>
            <w:shd w:val="clear" w:color="auto" w:fill="auto"/>
            <w:vAlign w:val="center"/>
            <w:hideMark/>
          </w:tcPr>
          <w:p w14:paraId="09B50624" w14:textId="77777777" w:rsidR="00365255" w:rsidRPr="00365255" w:rsidRDefault="00365255" w:rsidP="00A34DA1">
            <w:pPr>
              <w:pStyle w:val="TableText"/>
              <w:rPr>
                <w:rFonts w:ascii="Calibri" w:hAnsi="Calibri"/>
              </w:rPr>
            </w:pPr>
            <w:r w:rsidRPr="00365255">
              <w:rPr>
                <w:rFonts w:ascii="Calibri" w:hAnsi="Calibri"/>
              </w:rPr>
              <w:t>Region 5 Gulf Coast</w:t>
            </w:r>
          </w:p>
        </w:tc>
        <w:tc>
          <w:tcPr>
            <w:tcW w:w="1440" w:type="dxa"/>
            <w:tcBorders>
              <w:top w:val="nil"/>
              <w:left w:val="nil"/>
              <w:bottom w:val="single" w:sz="4" w:space="0" w:color="auto"/>
              <w:right w:val="single" w:sz="4" w:space="0" w:color="auto"/>
            </w:tcBorders>
            <w:shd w:val="clear" w:color="auto" w:fill="auto"/>
            <w:vAlign w:val="center"/>
            <w:hideMark/>
          </w:tcPr>
          <w:p w14:paraId="00B946C8" w14:textId="6A3C81CA" w:rsidR="00365255" w:rsidRPr="00365255" w:rsidRDefault="00365255" w:rsidP="003D6AAA">
            <w:pPr>
              <w:pStyle w:val="TableText"/>
              <w:jc w:val="right"/>
              <w:rPr>
                <w:rFonts w:ascii="Calibri" w:hAnsi="Calibri"/>
              </w:rPr>
            </w:pPr>
            <w:r w:rsidRPr="00365255">
              <w:rPr>
                <w:rFonts w:ascii="Calibri" w:hAnsi="Calibri"/>
              </w:rPr>
              <w:t>275.0</w:t>
            </w:r>
          </w:p>
        </w:tc>
        <w:tc>
          <w:tcPr>
            <w:tcW w:w="1445" w:type="dxa"/>
            <w:tcBorders>
              <w:top w:val="nil"/>
              <w:left w:val="nil"/>
              <w:bottom w:val="single" w:sz="4" w:space="0" w:color="auto"/>
              <w:right w:val="single" w:sz="4" w:space="0" w:color="auto"/>
            </w:tcBorders>
            <w:shd w:val="clear" w:color="auto" w:fill="auto"/>
            <w:vAlign w:val="center"/>
            <w:hideMark/>
          </w:tcPr>
          <w:p w14:paraId="5EDD26DE" w14:textId="2E4C0238" w:rsidR="00365255" w:rsidRPr="00365255" w:rsidRDefault="00365255" w:rsidP="003D6AAA">
            <w:pPr>
              <w:pStyle w:val="TableText"/>
              <w:jc w:val="right"/>
              <w:rPr>
                <w:rFonts w:ascii="Calibri" w:hAnsi="Calibri"/>
              </w:rPr>
            </w:pPr>
            <w:r w:rsidRPr="00365255">
              <w:rPr>
                <w:rFonts w:ascii="Calibri" w:hAnsi="Calibri"/>
              </w:rPr>
              <w:t>260.2</w:t>
            </w:r>
          </w:p>
        </w:tc>
      </w:tr>
      <w:tr w:rsidR="0094415E" w:rsidRPr="00365255" w14:paraId="607EF12B"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1D98871" w14:textId="77777777" w:rsidR="00365255" w:rsidRPr="00365255" w:rsidRDefault="00365255" w:rsidP="00A34DA1">
            <w:pPr>
              <w:pStyle w:val="TableText"/>
            </w:pPr>
            <w:r w:rsidRPr="00365255">
              <w:t>Vocational Rehabilitation: Regional/Field</w:t>
            </w:r>
          </w:p>
        </w:tc>
        <w:tc>
          <w:tcPr>
            <w:tcW w:w="3600" w:type="dxa"/>
            <w:tcBorders>
              <w:top w:val="nil"/>
              <w:left w:val="nil"/>
              <w:bottom w:val="single" w:sz="4" w:space="0" w:color="auto"/>
              <w:right w:val="single" w:sz="4" w:space="0" w:color="auto"/>
            </w:tcBorders>
            <w:shd w:val="clear" w:color="auto" w:fill="auto"/>
            <w:vAlign w:val="center"/>
            <w:hideMark/>
          </w:tcPr>
          <w:p w14:paraId="41545CF3" w14:textId="77777777" w:rsidR="00365255" w:rsidRPr="00365255" w:rsidRDefault="00365255" w:rsidP="00A34DA1">
            <w:pPr>
              <w:pStyle w:val="TableText"/>
              <w:rPr>
                <w:rFonts w:ascii="Calibri" w:hAnsi="Calibri"/>
              </w:rPr>
            </w:pPr>
            <w:r w:rsidRPr="00365255">
              <w:rPr>
                <w:rFonts w:ascii="Calibri" w:hAnsi="Calibri"/>
              </w:rPr>
              <w:t>Region 6 South Texas</w:t>
            </w:r>
          </w:p>
        </w:tc>
        <w:tc>
          <w:tcPr>
            <w:tcW w:w="1440" w:type="dxa"/>
            <w:tcBorders>
              <w:top w:val="nil"/>
              <w:left w:val="nil"/>
              <w:bottom w:val="single" w:sz="4" w:space="0" w:color="auto"/>
              <w:right w:val="single" w:sz="4" w:space="0" w:color="auto"/>
            </w:tcBorders>
            <w:shd w:val="clear" w:color="auto" w:fill="auto"/>
            <w:vAlign w:val="center"/>
            <w:hideMark/>
          </w:tcPr>
          <w:p w14:paraId="5C7EA088" w14:textId="34FDDE09" w:rsidR="00365255" w:rsidRPr="00365255" w:rsidRDefault="00365255" w:rsidP="003D6AAA">
            <w:pPr>
              <w:pStyle w:val="TableText"/>
              <w:jc w:val="right"/>
              <w:rPr>
                <w:rFonts w:ascii="Calibri" w:hAnsi="Calibri"/>
              </w:rPr>
            </w:pPr>
            <w:r w:rsidRPr="00365255">
              <w:rPr>
                <w:rFonts w:ascii="Calibri" w:hAnsi="Calibri"/>
              </w:rPr>
              <w:t>275.5</w:t>
            </w:r>
          </w:p>
        </w:tc>
        <w:tc>
          <w:tcPr>
            <w:tcW w:w="1445" w:type="dxa"/>
            <w:tcBorders>
              <w:top w:val="nil"/>
              <w:left w:val="nil"/>
              <w:bottom w:val="single" w:sz="4" w:space="0" w:color="auto"/>
              <w:right w:val="single" w:sz="4" w:space="0" w:color="auto"/>
            </w:tcBorders>
            <w:shd w:val="clear" w:color="auto" w:fill="auto"/>
            <w:vAlign w:val="center"/>
            <w:hideMark/>
          </w:tcPr>
          <w:p w14:paraId="00E15B79" w14:textId="0A3BC1E2" w:rsidR="00365255" w:rsidRPr="00365255" w:rsidRDefault="00365255" w:rsidP="003D6AAA">
            <w:pPr>
              <w:pStyle w:val="TableText"/>
              <w:jc w:val="right"/>
              <w:rPr>
                <w:rFonts w:ascii="Calibri" w:hAnsi="Calibri"/>
              </w:rPr>
            </w:pPr>
            <w:r w:rsidRPr="00365255">
              <w:rPr>
                <w:rFonts w:ascii="Calibri" w:hAnsi="Calibri"/>
              </w:rPr>
              <w:t>266.6</w:t>
            </w:r>
          </w:p>
        </w:tc>
      </w:tr>
      <w:tr w:rsidR="0094415E" w:rsidRPr="00365255" w14:paraId="63468D08"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00F6F204" w14:textId="77777777" w:rsidR="00365255" w:rsidRPr="00365255" w:rsidRDefault="00365255" w:rsidP="00A34DA1">
            <w:pPr>
              <w:pStyle w:val="TableText"/>
            </w:pPr>
            <w:r w:rsidRPr="00365255">
              <w:t>Unemployment Insurance: Regional</w:t>
            </w:r>
          </w:p>
        </w:tc>
        <w:tc>
          <w:tcPr>
            <w:tcW w:w="3600" w:type="dxa"/>
            <w:tcBorders>
              <w:top w:val="nil"/>
              <w:left w:val="nil"/>
              <w:bottom w:val="single" w:sz="4" w:space="0" w:color="auto"/>
              <w:right w:val="single" w:sz="4" w:space="0" w:color="auto"/>
            </w:tcBorders>
            <w:shd w:val="clear" w:color="auto" w:fill="auto"/>
            <w:vAlign w:val="center"/>
            <w:hideMark/>
          </w:tcPr>
          <w:p w14:paraId="1CAF37E8" w14:textId="77777777" w:rsidR="00365255" w:rsidRPr="00365255" w:rsidRDefault="00365255" w:rsidP="00A34DA1">
            <w:pPr>
              <w:pStyle w:val="TableText"/>
              <w:rPr>
                <w:rFonts w:ascii="Calibri" w:hAnsi="Calibri"/>
              </w:rPr>
            </w:pPr>
            <w:r w:rsidRPr="00365255">
              <w:rPr>
                <w:rFonts w:ascii="Calibri" w:hAnsi="Calibri"/>
              </w:rPr>
              <w:t>West Texas Tele-Center (El Paso)</w:t>
            </w:r>
          </w:p>
        </w:tc>
        <w:tc>
          <w:tcPr>
            <w:tcW w:w="1440" w:type="dxa"/>
            <w:tcBorders>
              <w:top w:val="nil"/>
              <w:left w:val="nil"/>
              <w:bottom w:val="single" w:sz="4" w:space="0" w:color="auto"/>
              <w:right w:val="single" w:sz="4" w:space="0" w:color="auto"/>
            </w:tcBorders>
            <w:shd w:val="clear" w:color="auto" w:fill="auto"/>
            <w:vAlign w:val="center"/>
            <w:hideMark/>
          </w:tcPr>
          <w:p w14:paraId="09007875" w14:textId="3189C0F0" w:rsidR="00365255" w:rsidRPr="00365255" w:rsidRDefault="00365255" w:rsidP="003D6AAA">
            <w:pPr>
              <w:pStyle w:val="TableText"/>
              <w:jc w:val="right"/>
              <w:rPr>
                <w:rFonts w:ascii="Calibri" w:hAnsi="Calibri"/>
              </w:rPr>
            </w:pPr>
            <w:r w:rsidRPr="00365255">
              <w:rPr>
                <w:rFonts w:ascii="Calibri" w:hAnsi="Calibri"/>
              </w:rPr>
              <w:t>162.0</w:t>
            </w:r>
          </w:p>
        </w:tc>
        <w:tc>
          <w:tcPr>
            <w:tcW w:w="1445" w:type="dxa"/>
            <w:tcBorders>
              <w:top w:val="nil"/>
              <w:left w:val="nil"/>
              <w:bottom w:val="single" w:sz="4" w:space="0" w:color="auto"/>
              <w:right w:val="single" w:sz="4" w:space="0" w:color="auto"/>
            </w:tcBorders>
            <w:shd w:val="clear" w:color="auto" w:fill="auto"/>
            <w:vAlign w:val="center"/>
            <w:hideMark/>
          </w:tcPr>
          <w:p w14:paraId="7219CFD2" w14:textId="0CBB75C2" w:rsidR="00365255" w:rsidRPr="00365255" w:rsidRDefault="00365255" w:rsidP="003D6AAA">
            <w:pPr>
              <w:pStyle w:val="TableText"/>
              <w:jc w:val="right"/>
              <w:rPr>
                <w:rFonts w:ascii="Calibri" w:hAnsi="Calibri"/>
              </w:rPr>
            </w:pPr>
            <w:r w:rsidRPr="00365255">
              <w:rPr>
                <w:rFonts w:ascii="Calibri" w:hAnsi="Calibri"/>
              </w:rPr>
              <w:t>153.0</w:t>
            </w:r>
          </w:p>
        </w:tc>
      </w:tr>
      <w:tr w:rsidR="0094415E" w:rsidRPr="00365255" w14:paraId="4CED463D"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49D5721" w14:textId="77777777" w:rsidR="00365255" w:rsidRPr="00365255" w:rsidRDefault="00365255" w:rsidP="00A34DA1">
            <w:pPr>
              <w:pStyle w:val="TableText"/>
            </w:pPr>
            <w:r w:rsidRPr="00365255">
              <w:t>Unemployment Insurance: Regional</w:t>
            </w:r>
          </w:p>
        </w:tc>
        <w:tc>
          <w:tcPr>
            <w:tcW w:w="3600" w:type="dxa"/>
            <w:tcBorders>
              <w:top w:val="nil"/>
              <w:left w:val="nil"/>
              <w:bottom w:val="single" w:sz="4" w:space="0" w:color="auto"/>
              <w:right w:val="single" w:sz="4" w:space="0" w:color="auto"/>
            </w:tcBorders>
            <w:shd w:val="clear" w:color="auto" w:fill="auto"/>
            <w:vAlign w:val="center"/>
            <w:hideMark/>
          </w:tcPr>
          <w:p w14:paraId="4324640E" w14:textId="77777777" w:rsidR="00365255" w:rsidRPr="00365255" w:rsidRDefault="00365255" w:rsidP="00A34DA1">
            <w:pPr>
              <w:pStyle w:val="TableText"/>
              <w:rPr>
                <w:rFonts w:ascii="Calibri" w:hAnsi="Calibri"/>
              </w:rPr>
            </w:pPr>
            <w:r w:rsidRPr="00365255">
              <w:rPr>
                <w:rFonts w:ascii="Calibri" w:hAnsi="Calibri"/>
              </w:rPr>
              <w:t>North Texas Tele-Center (Fort Worth)</w:t>
            </w:r>
          </w:p>
        </w:tc>
        <w:tc>
          <w:tcPr>
            <w:tcW w:w="1440" w:type="dxa"/>
            <w:tcBorders>
              <w:top w:val="nil"/>
              <w:left w:val="nil"/>
              <w:bottom w:val="single" w:sz="4" w:space="0" w:color="auto"/>
              <w:right w:val="single" w:sz="4" w:space="0" w:color="auto"/>
            </w:tcBorders>
            <w:shd w:val="clear" w:color="auto" w:fill="auto"/>
            <w:vAlign w:val="center"/>
            <w:hideMark/>
          </w:tcPr>
          <w:p w14:paraId="661F4978" w14:textId="0EA13A4B" w:rsidR="00365255" w:rsidRPr="00365255" w:rsidRDefault="00365255" w:rsidP="003D6AAA">
            <w:pPr>
              <w:pStyle w:val="TableText"/>
              <w:jc w:val="right"/>
              <w:rPr>
                <w:rFonts w:ascii="Calibri" w:hAnsi="Calibri"/>
              </w:rPr>
            </w:pPr>
            <w:r w:rsidRPr="00365255">
              <w:rPr>
                <w:rFonts w:ascii="Calibri" w:hAnsi="Calibri"/>
              </w:rPr>
              <w:t>203.0</w:t>
            </w:r>
          </w:p>
        </w:tc>
        <w:tc>
          <w:tcPr>
            <w:tcW w:w="1445" w:type="dxa"/>
            <w:tcBorders>
              <w:top w:val="nil"/>
              <w:left w:val="nil"/>
              <w:bottom w:val="single" w:sz="4" w:space="0" w:color="auto"/>
              <w:right w:val="single" w:sz="4" w:space="0" w:color="auto"/>
            </w:tcBorders>
            <w:shd w:val="clear" w:color="auto" w:fill="auto"/>
            <w:vAlign w:val="center"/>
            <w:hideMark/>
          </w:tcPr>
          <w:p w14:paraId="59527F5F" w14:textId="5A46062B" w:rsidR="00365255" w:rsidRPr="00365255" w:rsidRDefault="00365255" w:rsidP="003D6AAA">
            <w:pPr>
              <w:pStyle w:val="TableText"/>
              <w:jc w:val="right"/>
              <w:rPr>
                <w:rFonts w:ascii="Calibri" w:hAnsi="Calibri"/>
              </w:rPr>
            </w:pPr>
            <w:r w:rsidRPr="00365255">
              <w:rPr>
                <w:rFonts w:ascii="Calibri" w:hAnsi="Calibri"/>
              </w:rPr>
              <w:t>186.4</w:t>
            </w:r>
          </w:p>
        </w:tc>
      </w:tr>
      <w:tr w:rsidR="0094415E" w:rsidRPr="00365255" w14:paraId="44F9303C"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45AC6D20" w14:textId="77777777" w:rsidR="00365255" w:rsidRPr="00365255" w:rsidRDefault="00365255" w:rsidP="00A34DA1">
            <w:pPr>
              <w:pStyle w:val="TableText"/>
            </w:pPr>
            <w:r w:rsidRPr="00365255">
              <w:t>Unemployment Insurance: Regional</w:t>
            </w:r>
          </w:p>
        </w:tc>
        <w:tc>
          <w:tcPr>
            <w:tcW w:w="3600" w:type="dxa"/>
            <w:tcBorders>
              <w:top w:val="nil"/>
              <w:left w:val="nil"/>
              <w:bottom w:val="single" w:sz="4" w:space="0" w:color="auto"/>
              <w:right w:val="single" w:sz="4" w:space="0" w:color="auto"/>
            </w:tcBorders>
            <w:shd w:val="clear" w:color="auto" w:fill="auto"/>
            <w:vAlign w:val="center"/>
            <w:hideMark/>
          </w:tcPr>
          <w:p w14:paraId="02E32BBC" w14:textId="77777777" w:rsidR="00365255" w:rsidRPr="00365255" w:rsidRDefault="00365255" w:rsidP="00A34DA1">
            <w:pPr>
              <w:pStyle w:val="TableText"/>
              <w:rPr>
                <w:rFonts w:ascii="Calibri" w:hAnsi="Calibri"/>
              </w:rPr>
            </w:pPr>
            <w:r w:rsidRPr="00365255">
              <w:rPr>
                <w:rFonts w:ascii="Calibri" w:hAnsi="Calibri"/>
              </w:rPr>
              <w:t>South Texas Tele-Center (McAllen)</w:t>
            </w:r>
          </w:p>
        </w:tc>
        <w:tc>
          <w:tcPr>
            <w:tcW w:w="1440" w:type="dxa"/>
            <w:tcBorders>
              <w:top w:val="nil"/>
              <w:left w:val="nil"/>
              <w:bottom w:val="single" w:sz="4" w:space="0" w:color="auto"/>
              <w:right w:val="single" w:sz="4" w:space="0" w:color="auto"/>
            </w:tcBorders>
            <w:shd w:val="clear" w:color="auto" w:fill="auto"/>
            <w:vAlign w:val="center"/>
            <w:hideMark/>
          </w:tcPr>
          <w:p w14:paraId="60118D3B" w14:textId="4B677EEE" w:rsidR="00365255" w:rsidRPr="00365255" w:rsidRDefault="00365255" w:rsidP="003D6AAA">
            <w:pPr>
              <w:pStyle w:val="TableText"/>
              <w:jc w:val="right"/>
              <w:rPr>
                <w:rFonts w:ascii="Calibri" w:hAnsi="Calibri"/>
              </w:rPr>
            </w:pPr>
            <w:r w:rsidRPr="00365255">
              <w:rPr>
                <w:rFonts w:ascii="Calibri" w:hAnsi="Calibri"/>
              </w:rPr>
              <w:t>196.0</w:t>
            </w:r>
          </w:p>
        </w:tc>
        <w:tc>
          <w:tcPr>
            <w:tcW w:w="1445" w:type="dxa"/>
            <w:tcBorders>
              <w:top w:val="nil"/>
              <w:left w:val="nil"/>
              <w:bottom w:val="single" w:sz="4" w:space="0" w:color="auto"/>
              <w:right w:val="single" w:sz="4" w:space="0" w:color="auto"/>
            </w:tcBorders>
            <w:shd w:val="clear" w:color="auto" w:fill="auto"/>
            <w:vAlign w:val="center"/>
            <w:hideMark/>
          </w:tcPr>
          <w:p w14:paraId="1C640AA5" w14:textId="5C7D4C19" w:rsidR="00365255" w:rsidRPr="00365255" w:rsidRDefault="00365255" w:rsidP="003D6AAA">
            <w:pPr>
              <w:pStyle w:val="TableText"/>
              <w:jc w:val="right"/>
              <w:rPr>
                <w:rFonts w:ascii="Calibri" w:hAnsi="Calibri"/>
              </w:rPr>
            </w:pPr>
            <w:r w:rsidRPr="00365255">
              <w:rPr>
                <w:rFonts w:ascii="Calibri" w:hAnsi="Calibri"/>
              </w:rPr>
              <w:t>174.1</w:t>
            </w:r>
          </w:p>
        </w:tc>
      </w:tr>
      <w:tr w:rsidR="0094415E" w:rsidRPr="00365255" w14:paraId="23F24816"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6BC54E6" w14:textId="77777777" w:rsidR="00365255" w:rsidRPr="00365255" w:rsidRDefault="00365255" w:rsidP="00A34DA1">
            <w:pPr>
              <w:pStyle w:val="TableText"/>
            </w:pPr>
            <w:r w:rsidRPr="00365255">
              <w:t>Unemployment Insurance: Regional</w:t>
            </w:r>
          </w:p>
        </w:tc>
        <w:tc>
          <w:tcPr>
            <w:tcW w:w="3600" w:type="dxa"/>
            <w:tcBorders>
              <w:top w:val="nil"/>
              <w:left w:val="nil"/>
              <w:bottom w:val="single" w:sz="4" w:space="0" w:color="auto"/>
              <w:right w:val="single" w:sz="4" w:space="0" w:color="auto"/>
            </w:tcBorders>
            <w:shd w:val="clear" w:color="auto" w:fill="auto"/>
            <w:vAlign w:val="center"/>
            <w:hideMark/>
          </w:tcPr>
          <w:p w14:paraId="2211D300" w14:textId="77777777" w:rsidR="00365255" w:rsidRPr="00365255" w:rsidRDefault="00365255" w:rsidP="00A34DA1">
            <w:pPr>
              <w:pStyle w:val="TableText"/>
              <w:rPr>
                <w:rFonts w:ascii="Calibri" w:hAnsi="Calibri"/>
              </w:rPr>
            </w:pPr>
            <w:r w:rsidRPr="00365255">
              <w:rPr>
                <w:rFonts w:ascii="Calibri" w:hAnsi="Calibri"/>
              </w:rPr>
              <w:t>Central Texas Tele-Center (San Antonio)</w:t>
            </w:r>
          </w:p>
        </w:tc>
        <w:tc>
          <w:tcPr>
            <w:tcW w:w="1440" w:type="dxa"/>
            <w:tcBorders>
              <w:top w:val="nil"/>
              <w:left w:val="nil"/>
              <w:bottom w:val="single" w:sz="4" w:space="0" w:color="auto"/>
              <w:right w:val="single" w:sz="4" w:space="0" w:color="auto"/>
            </w:tcBorders>
            <w:shd w:val="clear" w:color="auto" w:fill="auto"/>
            <w:vAlign w:val="center"/>
            <w:hideMark/>
          </w:tcPr>
          <w:p w14:paraId="20D85981" w14:textId="4DDD3A8A" w:rsidR="00365255" w:rsidRPr="00365255" w:rsidRDefault="00365255" w:rsidP="003D6AAA">
            <w:pPr>
              <w:pStyle w:val="TableText"/>
              <w:jc w:val="right"/>
              <w:rPr>
                <w:rFonts w:ascii="Calibri" w:hAnsi="Calibri"/>
              </w:rPr>
            </w:pPr>
            <w:r w:rsidRPr="00365255">
              <w:rPr>
                <w:rFonts w:ascii="Calibri" w:hAnsi="Calibri"/>
              </w:rPr>
              <w:t>113.5</w:t>
            </w:r>
          </w:p>
        </w:tc>
        <w:tc>
          <w:tcPr>
            <w:tcW w:w="1445" w:type="dxa"/>
            <w:tcBorders>
              <w:top w:val="nil"/>
              <w:left w:val="nil"/>
              <w:bottom w:val="single" w:sz="4" w:space="0" w:color="auto"/>
              <w:right w:val="single" w:sz="4" w:space="0" w:color="auto"/>
            </w:tcBorders>
            <w:shd w:val="clear" w:color="auto" w:fill="auto"/>
            <w:vAlign w:val="center"/>
            <w:hideMark/>
          </w:tcPr>
          <w:p w14:paraId="26EE6DAD" w14:textId="3B1BA9B5" w:rsidR="00365255" w:rsidRPr="00365255" w:rsidRDefault="00365255" w:rsidP="003D6AAA">
            <w:pPr>
              <w:pStyle w:val="TableText"/>
              <w:jc w:val="right"/>
              <w:rPr>
                <w:rFonts w:ascii="Calibri" w:hAnsi="Calibri"/>
              </w:rPr>
            </w:pPr>
            <w:r w:rsidRPr="00365255">
              <w:rPr>
                <w:rFonts w:ascii="Calibri" w:hAnsi="Calibri"/>
              </w:rPr>
              <w:t>101.4</w:t>
            </w:r>
          </w:p>
        </w:tc>
      </w:tr>
      <w:tr w:rsidR="006645A3" w:rsidRPr="00365255" w14:paraId="46CF776A"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0C43D59" w14:textId="77777777" w:rsidR="00365255" w:rsidRPr="00365255" w:rsidRDefault="00365255" w:rsidP="00A34DA1">
            <w:pPr>
              <w:pStyle w:val="TableText"/>
            </w:pPr>
            <w:r w:rsidRPr="00365255">
              <w:t>Unemployment Insurance: Field</w:t>
            </w:r>
          </w:p>
        </w:tc>
        <w:tc>
          <w:tcPr>
            <w:tcW w:w="3600" w:type="dxa"/>
            <w:tcBorders>
              <w:top w:val="nil"/>
              <w:left w:val="nil"/>
              <w:bottom w:val="single" w:sz="4" w:space="0" w:color="auto"/>
              <w:right w:val="single" w:sz="4" w:space="0" w:color="auto"/>
            </w:tcBorders>
            <w:shd w:val="clear" w:color="000000" w:fill="FFFFFF"/>
            <w:noWrap/>
            <w:vAlign w:val="center"/>
            <w:hideMark/>
          </w:tcPr>
          <w:p w14:paraId="23725281" w14:textId="77777777" w:rsidR="00365255" w:rsidRPr="00365255" w:rsidRDefault="00365255" w:rsidP="00A34DA1">
            <w:pPr>
              <w:pStyle w:val="TableText"/>
            </w:pPr>
            <w:r w:rsidRPr="00365255">
              <w:t>UI Tax (Multiple Locations)</w:t>
            </w:r>
          </w:p>
        </w:tc>
        <w:tc>
          <w:tcPr>
            <w:tcW w:w="1440" w:type="dxa"/>
            <w:tcBorders>
              <w:top w:val="nil"/>
              <w:left w:val="nil"/>
              <w:bottom w:val="single" w:sz="4" w:space="0" w:color="auto"/>
              <w:right w:val="single" w:sz="4" w:space="0" w:color="auto"/>
            </w:tcBorders>
            <w:shd w:val="clear" w:color="auto" w:fill="auto"/>
            <w:vAlign w:val="center"/>
            <w:hideMark/>
          </w:tcPr>
          <w:p w14:paraId="73D3EA2A" w14:textId="2F4A5BF9" w:rsidR="00365255" w:rsidRPr="00365255" w:rsidRDefault="00365255" w:rsidP="003D6AAA">
            <w:pPr>
              <w:pStyle w:val="TableText"/>
              <w:jc w:val="right"/>
              <w:rPr>
                <w:rFonts w:ascii="Calibri" w:hAnsi="Calibri"/>
              </w:rPr>
            </w:pPr>
            <w:r w:rsidRPr="00365255">
              <w:rPr>
                <w:rFonts w:ascii="Calibri" w:hAnsi="Calibri"/>
              </w:rPr>
              <w:t>230.8</w:t>
            </w:r>
          </w:p>
        </w:tc>
        <w:tc>
          <w:tcPr>
            <w:tcW w:w="1445" w:type="dxa"/>
            <w:tcBorders>
              <w:top w:val="nil"/>
              <w:left w:val="nil"/>
              <w:bottom w:val="single" w:sz="4" w:space="0" w:color="auto"/>
              <w:right w:val="single" w:sz="4" w:space="0" w:color="auto"/>
            </w:tcBorders>
            <w:shd w:val="clear" w:color="auto" w:fill="auto"/>
            <w:vAlign w:val="center"/>
            <w:hideMark/>
          </w:tcPr>
          <w:p w14:paraId="23CB3C27" w14:textId="52B7236B" w:rsidR="00365255" w:rsidRPr="00365255" w:rsidRDefault="00365255" w:rsidP="003D6AAA">
            <w:pPr>
              <w:pStyle w:val="TableText"/>
              <w:jc w:val="right"/>
              <w:rPr>
                <w:rFonts w:ascii="Calibri" w:hAnsi="Calibri"/>
              </w:rPr>
            </w:pPr>
            <w:r w:rsidRPr="00365255">
              <w:rPr>
                <w:rFonts w:ascii="Calibri" w:hAnsi="Calibri"/>
              </w:rPr>
              <w:t>228.0</w:t>
            </w:r>
          </w:p>
        </w:tc>
      </w:tr>
      <w:tr w:rsidR="006645A3" w:rsidRPr="00365255" w14:paraId="10321518"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024EFC8" w14:textId="77777777" w:rsidR="00365255" w:rsidRPr="00365255" w:rsidRDefault="00365255" w:rsidP="00A34DA1">
            <w:pPr>
              <w:pStyle w:val="TableText"/>
            </w:pPr>
            <w:r w:rsidRPr="00365255">
              <w:t>Appellate Services: Field</w:t>
            </w:r>
          </w:p>
        </w:tc>
        <w:tc>
          <w:tcPr>
            <w:tcW w:w="3600" w:type="dxa"/>
            <w:tcBorders>
              <w:top w:val="nil"/>
              <w:left w:val="nil"/>
              <w:bottom w:val="single" w:sz="4" w:space="0" w:color="auto"/>
              <w:right w:val="single" w:sz="4" w:space="0" w:color="auto"/>
            </w:tcBorders>
            <w:shd w:val="clear" w:color="000000" w:fill="FFFFFF"/>
            <w:noWrap/>
            <w:vAlign w:val="center"/>
            <w:hideMark/>
          </w:tcPr>
          <w:p w14:paraId="440F9011" w14:textId="77777777" w:rsidR="00365255" w:rsidRPr="00365255" w:rsidRDefault="00365255" w:rsidP="00A34DA1">
            <w:pPr>
              <w:pStyle w:val="TableText"/>
            </w:pPr>
            <w:r w:rsidRPr="00365255">
              <w:t>UI Appeals (Multiple Locations)</w:t>
            </w:r>
          </w:p>
        </w:tc>
        <w:tc>
          <w:tcPr>
            <w:tcW w:w="1440" w:type="dxa"/>
            <w:tcBorders>
              <w:top w:val="nil"/>
              <w:left w:val="nil"/>
              <w:bottom w:val="single" w:sz="4" w:space="0" w:color="auto"/>
              <w:right w:val="single" w:sz="4" w:space="0" w:color="auto"/>
            </w:tcBorders>
            <w:shd w:val="clear" w:color="auto" w:fill="auto"/>
            <w:vAlign w:val="center"/>
            <w:hideMark/>
          </w:tcPr>
          <w:p w14:paraId="2416AFCC" w14:textId="56D6900B" w:rsidR="00365255" w:rsidRPr="00365255" w:rsidRDefault="00365255" w:rsidP="003D6AAA">
            <w:pPr>
              <w:pStyle w:val="TableText"/>
              <w:jc w:val="right"/>
              <w:rPr>
                <w:rFonts w:ascii="Calibri" w:hAnsi="Calibri"/>
              </w:rPr>
            </w:pPr>
            <w:r w:rsidRPr="00365255">
              <w:rPr>
                <w:rFonts w:ascii="Calibri" w:hAnsi="Calibri"/>
              </w:rPr>
              <w:t>86.0</w:t>
            </w:r>
          </w:p>
        </w:tc>
        <w:tc>
          <w:tcPr>
            <w:tcW w:w="1445" w:type="dxa"/>
            <w:tcBorders>
              <w:top w:val="nil"/>
              <w:left w:val="nil"/>
              <w:bottom w:val="single" w:sz="4" w:space="0" w:color="auto"/>
              <w:right w:val="single" w:sz="4" w:space="0" w:color="auto"/>
            </w:tcBorders>
            <w:shd w:val="clear" w:color="auto" w:fill="auto"/>
            <w:vAlign w:val="center"/>
            <w:hideMark/>
          </w:tcPr>
          <w:p w14:paraId="1562F3DD" w14:textId="0060DD7A" w:rsidR="00365255" w:rsidRPr="00365255" w:rsidRDefault="00365255" w:rsidP="003D6AAA">
            <w:pPr>
              <w:pStyle w:val="TableText"/>
              <w:jc w:val="right"/>
              <w:rPr>
                <w:rFonts w:ascii="Calibri" w:hAnsi="Calibri"/>
              </w:rPr>
            </w:pPr>
            <w:r w:rsidRPr="00365255">
              <w:rPr>
                <w:rFonts w:ascii="Calibri" w:hAnsi="Calibri"/>
              </w:rPr>
              <w:t>80.3</w:t>
            </w:r>
          </w:p>
        </w:tc>
      </w:tr>
      <w:tr w:rsidR="0094415E" w:rsidRPr="00365255" w14:paraId="21E3471E"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6C5FE8D9"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3674B056" w14:textId="77777777" w:rsidR="00365255" w:rsidRPr="00365255" w:rsidRDefault="00365255" w:rsidP="00A34DA1">
            <w:pPr>
              <w:pStyle w:val="TableText"/>
              <w:rPr>
                <w:rFonts w:ascii="Calibri" w:hAnsi="Calibri"/>
              </w:rPr>
            </w:pPr>
            <w:r w:rsidRPr="00365255">
              <w:rPr>
                <w:rFonts w:ascii="Calibri" w:hAnsi="Calibri"/>
              </w:rPr>
              <w:t>Panhandle</w:t>
            </w:r>
          </w:p>
        </w:tc>
        <w:tc>
          <w:tcPr>
            <w:tcW w:w="1440" w:type="dxa"/>
            <w:tcBorders>
              <w:top w:val="nil"/>
              <w:left w:val="nil"/>
              <w:bottom w:val="single" w:sz="4" w:space="0" w:color="auto"/>
              <w:right w:val="single" w:sz="4" w:space="0" w:color="auto"/>
            </w:tcBorders>
            <w:shd w:val="clear" w:color="auto" w:fill="auto"/>
            <w:vAlign w:val="center"/>
            <w:hideMark/>
          </w:tcPr>
          <w:p w14:paraId="359DB579" w14:textId="1F1D3EE1" w:rsidR="00365255" w:rsidRPr="00365255" w:rsidRDefault="00365255" w:rsidP="003D6AAA">
            <w:pPr>
              <w:pStyle w:val="TableText"/>
              <w:jc w:val="right"/>
              <w:rPr>
                <w:rFonts w:ascii="Calibri" w:hAnsi="Calibri"/>
              </w:rPr>
            </w:pPr>
            <w:r w:rsidRPr="00365255">
              <w:rPr>
                <w:rFonts w:ascii="Calibri" w:hAnsi="Calibri"/>
              </w:rPr>
              <w:t>7.0</w:t>
            </w:r>
          </w:p>
        </w:tc>
        <w:tc>
          <w:tcPr>
            <w:tcW w:w="1445" w:type="dxa"/>
            <w:tcBorders>
              <w:top w:val="nil"/>
              <w:left w:val="nil"/>
              <w:bottom w:val="single" w:sz="4" w:space="0" w:color="auto"/>
              <w:right w:val="single" w:sz="4" w:space="0" w:color="auto"/>
            </w:tcBorders>
            <w:shd w:val="clear" w:color="auto" w:fill="auto"/>
            <w:vAlign w:val="center"/>
            <w:hideMark/>
          </w:tcPr>
          <w:p w14:paraId="7E47C1D0" w14:textId="40020200" w:rsidR="00365255" w:rsidRPr="00365255" w:rsidRDefault="00365255" w:rsidP="003D6AAA">
            <w:pPr>
              <w:pStyle w:val="TableText"/>
              <w:jc w:val="right"/>
              <w:rPr>
                <w:rFonts w:ascii="Calibri" w:hAnsi="Calibri"/>
              </w:rPr>
            </w:pPr>
            <w:r w:rsidRPr="00365255">
              <w:rPr>
                <w:rFonts w:ascii="Calibri" w:hAnsi="Calibri"/>
              </w:rPr>
              <w:t>6.4</w:t>
            </w:r>
          </w:p>
        </w:tc>
      </w:tr>
      <w:tr w:rsidR="0094415E" w:rsidRPr="00365255" w14:paraId="2D4559E3"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72C1BCC"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233290A" w14:textId="28138E12" w:rsidR="00365255" w:rsidRPr="00365255" w:rsidRDefault="00365255" w:rsidP="00A34DA1">
            <w:pPr>
              <w:pStyle w:val="TableText"/>
              <w:rPr>
                <w:rFonts w:ascii="Calibri" w:hAnsi="Calibri"/>
              </w:rPr>
            </w:pPr>
            <w:r w:rsidRPr="00365255">
              <w:rPr>
                <w:rFonts w:ascii="Calibri" w:hAnsi="Calibri"/>
              </w:rPr>
              <w:t>South Plains</w:t>
            </w:r>
          </w:p>
        </w:tc>
        <w:tc>
          <w:tcPr>
            <w:tcW w:w="1440" w:type="dxa"/>
            <w:tcBorders>
              <w:top w:val="nil"/>
              <w:left w:val="nil"/>
              <w:bottom w:val="single" w:sz="4" w:space="0" w:color="auto"/>
              <w:right w:val="single" w:sz="4" w:space="0" w:color="auto"/>
            </w:tcBorders>
            <w:shd w:val="clear" w:color="auto" w:fill="auto"/>
            <w:vAlign w:val="center"/>
            <w:hideMark/>
          </w:tcPr>
          <w:p w14:paraId="5FBA4CDB" w14:textId="113E1ABD" w:rsidR="00365255" w:rsidRPr="00365255" w:rsidRDefault="00365255" w:rsidP="003D6AAA">
            <w:pPr>
              <w:pStyle w:val="TableText"/>
              <w:jc w:val="right"/>
              <w:rPr>
                <w:rFonts w:ascii="Calibri" w:hAnsi="Calibri"/>
              </w:rPr>
            </w:pPr>
            <w:r w:rsidRPr="00365255">
              <w:rPr>
                <w:rFonts w:ascii="Calibri" w:hAnsi="Calibri"/>
              </w:rPr>
              <w:t>8.0</w:t>
            </w:r>
          </w:p>
        </w:tc>
        <w:tc>
          <w:tcPr>
            <w:tcW w:w="1445" w:type="dxa"/>
            <w:tcBorders>
              <w:top w:val="nil"/>
              <w:left w:val="nil"/>
              <w:bottom w:val="single" w:sz="4" w:space="0" w:color="auto"/>
              <w:right w:val="single" w:sz="4" w:space="0" w:color="auto"/>
            </w:tcBorders>
            <w:shd w:val="clear" w:color="auto" w:fill="auto"/>
            <w:vAlign w:val="center"/>
            <w:hideMark/>
          </w:tcPr>
          <w:p w14:paraId="092360CD" w14:textId="1694821B" w:rsidR="00365255" w:rsidRPr="00365255" w:rsidRDefault="00365255" w:rsidP="003D6AAA">
            <w:pPr>
              <w:pStyle w:val="TableText"/>
              <w:jc w:val="right"/>
              <w:rPr>
                <w:rFonts w:ascii="Calibri" w:hAnsi="Calibri"/>
              </w:rPr>
            </w:pPr>
            <w:r w:rsidRPr="00365255">
              <w:rPr>
                <w:rFonts w:ascii="Calibri" w:hAnsi="Calibri"/>
              </w:rPr>
              <w:t>6.1</w:t>
            </w:r>
          </w:p>
        </w:tc>
      </w:tr>
      <w:tr w:rsidR="0094415E" w:rsidRPr="00365255" w14:paraId="16C05592"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589622E5"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12C58555" w14:textId="77777777" w:rsidR="00365255" w:rsidRPr="00365255" w:rsidRDefault="00365255" w:rsidP="00A34DA1">
            <w:pPr>
              <w:pStyle w:val="TableText"/>
              <w:rPr>
                <w:rFonts w:ascii="Calibri" w:hAnsi="Calibri"/>
              </w:rPr>
            </w:pPr>
            <w:r w:rsidRPr="00365255">
              <w:rPr>
                <w:rFonts w:ascii="Calibri" w:hAnsi="Calibri"/>
              </w:rPr>
              <w:t>North Texas</w:t>
            </w:r>
          </w:p>
        </w:tc>
        <w:tc>
          <w:tcPr>
            <w:tcW w:w="1440" w:type="dxa"/>
            <w:tcBorders>
              <w:top w:val="nil"/>
              <w:left w:val="nil"/>
              <w:bottom w:val="single" w:sz="4" w:space="0" w:color="auto"/>
              <w:right w:val="single" w:sz="4" w:space="0" w:color="auto"/>
            </w:tcBorders>
            <w:shd w:val="clear" w:color="auto" w:fill="auto"/>
            <w:vAlign w:val="center"/>
            <w:hideMark/>
          </w:tcPr>
          <w:p w14:paraId="3E98D510" w14:textId="5A4FF72F" w:rsidR="00365255" w:rsidRPr="00365255" w:rsidRDefault="00365255" w:rsidP="003D6AAA">
            <w:pPr>
              <w:pStyle w:val="TableText"/>
              <w:jc w:val="right"/>
              <w:rPr>
                <w:rFonts w:ascii="Calibri" w:hAnsi="Calibri"/>
              </w:rPr>
            </w:pPr>
            <w:r w:rsidRPr="00365255">
              <w:rPr>
                <w:rFonts w:ascii="Calibri" w:hAnsi="Calibri"/>
              </w:rPr>
              <w:t>4.0</w:t>
            </w:r>
          </w:p>
        </w:tc>
        <w:tc>
          <w:tcPr>
            <w:tcW w:w="1445" w:type="dxa"/>
            <w:tcBorders>
              <w:top w:val="nil"/>
              <w:left w:val="nil"/>
              <w:bottom w:val="single" w:sz="4" w:space="0" w:color="auto"/>
              <w:right w:val="single" w:sz="4" w:space="0" w:color="auto"/>
            </w:tcBorders>
            <w:shd w:val="clear" w:color="auto" w:fill="auto"/>
            <w:vAlign w:val="center"/>
            <w:hideMark/>
          </w:tcPr>
          <w:p w14:paraId="08328FB9" w14:textId="48CABAD0" w:rsidR="00365255" w:rsidRPr="00365255" w:rsidRDefault="00365255" w:rsidP="003D6AAA">
            <w:pPr>
              <w:pStyle w:val="TableText"/>
              <w:jc w:val="right"/>
              <w:rPr>
                <w:rFonts w:ascii="Calibri" w:hAnsi="Calibri"/>
              </w:rPr>
            </w:pPr>
            <w:r w:rsidRPr="00365255">
              <w:rPr>
                <w:rFonts w:ascii="Calibri" w:hAnsi="Calibri"/>
              </w:rPr>
              <w:t>4.0</w:t>
            </w:r>
          </w:p>
        </w:tc>
      </w:tr>
      <w:tr w:rsidR="0094415E" w:rsidRPr="00365255" w14:paraId="5A4A996D"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6B9F7FB4"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0F30909" w14:textId="77777777" w:rsidR="00365255" w:rsidRPr="00365255" w:rsidRDefault="00365255" w:rsidP="00A34DA1">
            <w:pPr>
              <w:pStyle w:val="TableText"/>
              <w:rPr>
                <w:rFonts w:ascii="Calibri" w:hAnsi="Calibri"/>
              </w:rPr>
            </w:pPr>
            <w:r w:rsidRPr="00365255">
              <w:rPr>
                <w:rFonts w:ascii="Calibri" w:hAnsi="Calibri"/>
              </w:rPr>
              <w:t>North Central</w:t>
            </w:r>
          </w:p>
        </w:tc>
        <w:tc>
          <w:tcPr>
            <w:tcW w:w="1440" w:type="dxa"/>
            <w:tcBorders>
              <w:top w:val="nil"/>
              <w:left w:val="nil"/>
              <w:bottom w:val="single" w:sz="4" w:space="0" w:color="auto"/>
              <w:right w:val="single" w:sz="4" w:space="0" w:color="auto"/>
            </w:tcBorders>
            <w:shd w:val="clear" w:color="auto" w:fill="auto"/>
            <w:vAlign w:val="center"/>
            <w:hideMark/>
          </w:tcPr>
          <w:p w14:paraId="66AE86CB" w14:textId="246D9741" w:rsidR="00365255" w:rsidRPr="00365255" w:rsidRDefault="00365255" w:rsidP="003D6AAA">
            <w:pPr>
              <w:pStyle w:val="TableText"/>
              <w:jc w:val="right"/>
              <w:rPr>
                <w:rFonts w:ascii="Calibri" w:hAnsi="Calibri"/>
              </w:rPr>
            </w:pPr>
            <w:r w:rsidRPr="00365255">
              <w:rPr>
                <w:rFonts w:ascii="Calibri" w:hAnsi="Calibri"/>
              </w:rPr>
              <w:t>55.0</w:t>
            </w:r>
          </w:p>
        </w:tc>
        <w:tc>
          <w:tcPr>
            <w:tcW w:w="1445" w:type="dxa"/>
            <w:tcBorders>
              <w:top w:val="nil"/>
              <w:left w:val="nil"/>
              <w:bottom w:val="single" w:sz="4" w:space="0" w:color="auto"/>
              <w:right w:val="single" w:sz="4" w:space="0" w:color="auto"/>
            </w:tcBorders>
            <w:shd w:val="clear" w:color="auto" w:fill="auto"/>
            <w:vAlign w:val="center"/>
            <w:hideMark/>
          </w:tcPr>
          <w:p w14:paraId="5076027F" w14:textId="1B505C5A" w:rsidR="00365255" w:rsidRPr="00365255" w:rsidRDefault="00365255" w:rsidP="003D6AAA">
            <w:pPr>
              <w:pStyle w:val="TableText"/>
              <w:jc w:val="right"/>
              <w:rPr>
                <w:rFonts w:ascii="Calibri" w:hAnsi="Calibri"/>
              </w:rPr>
            </w:pPr>
            <w:r w:rsidRPr="00365255">
              <w:rPr>
                <w:rFonts w:ascii="Calibri" w:hAnsi="Calibri"/>
              </w:rPr>
              <w:t>47.3</w:t>
            </w:r>
          </w:p>
        </w:tc>
      </w:tr>
      <w:tr w:rsidR="0094415E" w:rsidRPr="00365255" w14:paraId="0D9A5A65"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AECDBE3"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BBC85E1" w14:textId="77777777" w:rsidR="00365255" w:rsidRPr="00365255" w:rsidRDefault="00365255" w:rsidP="00A34DA1">
            <w:pPr>
              <w:pStyle w:val="TableText"/>
              <w:rPr>
                <w:rFonts w:ascii="Calibri" w:hAnsi="Calibri"/>
              </w:rPr>
            </w:pPr>
            <w:r w:rsidRPr="00365255">
              <w:rPr>
                <w:rFonts w:ascii="Calibri" w:hAnsi="Calibri"/>
              </w:rPr>
              <w:t>Tarrant County</w:t>
            </w:r>
          </w:p>
        </w:tc>
        <w:tc>
          <w:tcPr>
            <w:tcW w:w="1440" w:type="dxa"/>
            <w:tcBorders>
              <w:top w:val="nil"/>
              <w:left w:val="nil"/>
              <w:bottom w:val="single" w:sz="4" w:space="0" w:color="auto"/>
              <w:right w:val="single" w:sz="4" w:space="0" w:color="auto"/>
            </w:tcBorders>
            <w:shd w:val="clear" w:color="auto" w:fill="auto"/>
            <w:vAlign w:val="center"/>
            <w:hideMark/>
          </w:tcPr>
          <w:p w14:paraId="3A68F0AA" w14:textId="74F3A3F6" w:rsidR="00365255" w:rsidRPr="00365255" w:rsidRDefault="00365255" w:rsidP="003D6AAA">
            <w:pPr>
              <w:pStyle w:val="TableText"/>
              <w:jc w:val="right"/>
              <w:rPr>
                <w:rFonts w:ascii="Calibri" w:hAnsi="Calibri"/>
              </w:rPr>
            </w:pPr>
            <w:r w:rsidRPr="00365255">
              <w:rPr>
                <w:rFonts w:ascii="Calibri" w:hAnsi="Calibri"/>
              </w:rPr>
              <w:t>29.0</w:t>
            </w:r>
          </w:p>
        </w:tc>
        <w:tc>
          <w:tcPr>
            <w:tcW w:w="1445" w:type="dxa"/>
            <w:tcBorders>
              <w:top w:val="nil"/>
              <w:left w:val="nil"/>
              <w:bottom w:val="single" w:sz="4" w:space="0" w:color="auto"/>
              <w:right w:val="single" w:sz="4" w:space="0" w:color="auto"/>
            </w:tcBorders>
            <w:shd w:val="clear" w:color="auto" w:fill="auto"/>
            <w:vAlign w:val="center"/>
            <w:hideMark/>
          </w:tcPr>
          <w:p w14:paraId="66E58132" w14:textId="41E60835" w:rsidR="00365255" w:rsidRPr="00365255" w:rsidRDefault="00365255" w:rsidP="003D6AAA">
            <w:pPr>
              <w:pStyle w:val="TableText"/>
              <w:jc w:val="right"/>
              <w:rPr>
                <w:rFonts w:ascii="Calibri" w:hAnsi="Calibri"/>
              </w:rPr>
            </w:pPr>
            <w:r w:rsidRPr="00365255">
              <w:rPr>
                <w:rFonts w:ascii="Calibri" w:hAnsi="Calibri"/>
              </w:rPr>
              <w:t>27.4</w:t>
            </w:r>
          </w:p>
        </w:tc>
      </w:tr>
      <w:tr w:rsidR="0094415E" w:rsidRPr="00365255" w14:paraId="1B0E2D3F"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58A9880"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1094F19" w14:textId="30D5AC33" w:rsidR="00365255" w:rsidRPr="00365255" w:rsidRDefault="00365255" w:rsidP="00A34DA1">
            <w:pPr>
              <w:pStyle w:val="TableText"/>
              <w:rPr>
                <w:rFonts w:ascii="Calibri" w:hAnsi="Calibri"/>
              </w:rPr>
            </w:pPr>
            <w:r w:rsidRPr="00365255">
              <w:rPr>
                <w:rFonts w:ascii="Calibri" w:hAnsi="Calibri"/>
              </w:rPr>
              <w:t>Dallas</w:t>
            </w:r>
          </w:p>
        </w:tc>
        <w:tc>
          <w:tcPr>
            <w:tcW w:w="1440" w:type="dxa"/>
            <w:tcBorders>
              <w:top w:val="nil"/>
              <w:left w:val="nil"/>
              <w:bottom w:val="single" w:sz="4" w:space="0" w:color="auto"/>
              <w:right w:val="single" w:sz="4" w:space="0" w:color="auto"/>
            </w:tcBorders>
            <w:shd w:val="clear" w:color="auto" w:fill="auto"/>
            <w:vAlign w:val="center"/>
            <w:hideMark/>
          </w:tcPr>
          <w:p w14:paraId="3D2C61CD" w14:textId="103BFD4B" w:rsidR="00365255" w:rsidRPr="00365255" w:rsidRDefault="00365255" w:rsidP="003D6AAA">
            <w:pPr>
              <w:pStyle w:val="TableText"/>
              <w:jc w:val="right"/>
              <w:rPr>
                <w:rFonts w:ascii="Calibri" w:hAnsi="Calibri"/>
              </w:rPr>
            </w:pPr>
            <w:r w:rsidRPr="00365255">
              <w:rPr>
                <w:rFonts w:ascii="Calibri" w:hAnsi="Calibri"/>
              </w:rPr>
              <w:t>29.0</w:t>
            </w:r>
          </w:p>
        </w:tc>
        <w:tc>
          <w:tcPr>
            <w:tcW w:w="1445" w:type="dxa"/>
            <w:tcBorders>
              <w:top w:val="nil"/>
              <w:left w:val="nil"/>
              <w:bottom w:val="single" w:sz="4" w:space="0" w:color="auto"/>
              <w:right w:val="single" w:sz="4" w:space="0" w:color="auto"/>
            </w:tcBorders>
            <w:shd w:val="clear" w:color="auto" w:fill="auto"/>
            <w:vAlign w:val="center"/>
            <w:hideMark/>
          </w:tcPr>
          <w:p w14:paraId="6AB0C8A4" w14:textId="6870D4C6" w:rsidR="00365255" w:rsidRPr="00365255" w:rsidRDefault="00365255" w:rsidP="003D6AAA">
            <w:pPr>
              <w:pStyle w:val="TableText"/>
              <w:jc w:val="right"/>
              <w:rPr>
                <w:rFonts w:ascii="Calibri" w:hAnsi="Calibri"/>
              </w:rPr>
            </w:pPr>
            <w:r w:rsidRPr="00365255">
              <w:rPr>
                <w:rFonts w:ascii="Calibri" w:hAnsi="Calibri"/>
              </w:rPr>
              <w:t>29.1</w:t>
            </w:r>
          </w:p>
        </w:tc>
      </w:tr>
      <w:tr w:rsidR="0094415E" w:rsidRPr="00365255" w14:paraId="69E1794F"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09EA926C"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06FFE61F" w14:textId="4B9FA86A" w:rsidR="00365255" w:rsidRPr="00365255" w:rsidRDefault="00365255" w:rsidP="00A34DA1">
            <w:pPr>
              <w:pStyle w:val="TableText"/>
              <w:rPr>
                <w:rFonts w:ascii="Calibri" w:hAnsi="Calibri"/>
              </w:rPr>
            </w:pPr>
            <w:proofErr w:type="gramStart"/>
            <w:r w:rsidRPr="00365255">
              <w:rPr>
                <w:rFonts w:ascii="Calibri" w:hAnsi="Calibri"/>
              </w:rPr>
              <w:t>North East</w:t>
            </w:r>
            <w:proofErr w:type="gramEnd"/>
          </w:p>
        </w:tc>
        <w:tc>
          <w:tcPr>
            <w:tcW w:w="1440" w:type="dxa"/>
            <w:tcBorders>
              <w:top w:val="nil"/>
              <w:left w:val="nil"/>
              <w:bottom w:val="single" w:sz="4" w:space="0" w:color="auto"/>
              <w:right w:val="single" w:sz="4" w:space="0" w:color="auto"/>
            </w:tcBorders>
            <w:shd w:val="clear" w:color="auto" w:fill="auto"/>
            <w:vAlign w:val="center"/>
            <w:hideMark/>
          </w:tcPr>
          <w:p w14:paraId="222BDF2C" w14:textId="470CC758" w:rsidR="00365255" w:rsidRPr="00365255" w:rsidRDefault="00365255" w:rsidP="003D6AAA">
            <w:pPr>
              <w:pStyle w:val="TableText"/>
              <w:jc w:val="right"/>
              <w:rPr>
                <w:rFonts w:ascii="Calibri" w:hAnsi="Calibri"/>
              </w:rPr>
            </w:pPr>
            <w:r w:rsidRPr="00365255">
              <w:rPr>
                <w:rFonts w:ascii="Calibri" w:hAnsi="Calibri"/>
              </w:rPr>
              <w:t>5.0</w:t>
            </w:r>
          </w:p>
        </w:tc>
        <w:tc>
          <w:tcPr>
            <w:tcW w:w="1445" w:type="dxa"/>
            <w:tcBorders>
              <w:top w:val="nil"/>
              <w:left w:val="nil"/>
              <w:bottom w:val="single" w:sz="4" w:space="0" w:color="auto"/>
              <w:right w:val="single" w:sz="4" w:space="0" w:color="auto"/>
            </w:tcBorders>
            <w:shd w:val="clear" w:color="auto" w:fill="auto"/>
            <w:vAlign w:val="center"/>
            <w:hideMark/>
          </w:tcPr>
          <w:p w14:paraId="081D5F66" w14:textId="504856D5" w:rsidR="00365255" w:rsidRPr="00365255" w:rsidRDefault="00365255" w:rsidP="003D6AAA">
            <w:pPr>
              <w:pStyle w:val="TableText"/>
              <w:jc w:val="right"/>
              <w:rPr>
                <w:rFonts w:ascii="Calibri" w:hAnsi="Calibri"/>
              </w:rPr>
            </w:pPr>
            <w:r w:rsidRPr="00365255">
              <w:rPr>
                <w:rFonts w:ascii="Calibri" w:hAnsi="Calibri"/>
              </w:rPr>
              <w:t>5.0</w:t>
            </w:r>
          </w:p>
        </w:tc>
      </w:tr>
      <w:tr w:rsidR="0094415E" w:rsidRPr="00365255" w14:paraId="3A0F4037"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09F7C0D1"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00ACC1BC" w14:textId="0237F762" w:rsidR="00365255" w:rsidRPr="00365255" w:rsidRDefault="00365255" w:rsidP="00A34DA1">
            <w:pPr>
              <w:pStyle w:val="TableText"/>
              <w:rPr>
                <w:rFonts w:ascii="Calibri" w:hAnsi="Calibri"/>
              </w:rPr>
            </w:pPr>
            <w:r w:rsidRPr="00365255">
              <w:rPr>
                <w:rFonts w:ascii="Calibri" w:hAnsi="Calibri"/>
              </w:rPr>
              <w:t>East Texas</w:t>
            </w:r>
          </w:p>
        </w:tc>
        <w:tc>
          <w:tcPr>
            <w:tcW w:w="1440" w:type="dxa"/>
            <w:tcBorders>
              <w:top w:val="nil"/>
              <w:left w:val="nil"/>
              <w:bottom w:val="single" w:sz="4" w:space="0" w:color="auto"/>
              <w:right w:val="single" w:sz="4" w:space="0" w:color="auto"/>
            </w:tcBorders>
            <w:shd w:val="clear" w:color="auto" w:fill="auto"/>
            <w:vAlign w:val="center"/>
            <w:hideMark/>
          </w:tcPr>
          <w:p w14:paraId="7E90F86C" w14:textId="381A2173" w:rsidR="00365255" w:rsidRPr="00365255" w:rsidRDefault="00365255" w:rsidP="003D6AAA">
            <w:pPr>
              <w:pStyle w:val="TableText"/>
              <w:jc w:val="right"/>
              <w:rPr>
                <w:rFonts w:ascii="Calibri" w:hAnsi="Calibri"/>
              </w:rPr>
            </w:pPr>
            <w:r w:rsidRPr="00365255">
              <w:rPr>
                <w:rFonts w:ascii="Calibri" w:hAnsi="Calibri"/>
              </w:rPr>
              <w:t>10.0</w:t>
            </w:r>
          </w:p>
        </w:tc>
        <w:tc>
          <w:tcPr>
            <w:tcW w:w="1445" w:type="dxa"/>
            <w:tcBorders>
              <w:top w:val="nil"/>
              <w:left w:val="nil"/>
              <w:bottom w:val="single" w:sz="4" w:space="0" w:color="auto"/>
              <w:right w:val="single" w:sz="4" w:space="0" w:color="auto"/>
            </w:tcBorders>
            <w:shd w:val="clear" w:color="auto" w:fill="auto"/>
            <w:vAlign w:val="center"/>
            <w:hideMark/>
          </w:tcPr>
          <w:p w14:paraId="1A97511B" w14:textId="5D82111E" w:rsidR="00365255" w:rsidRPr="00365255" w:rsidRDefault="00365255" w:rsidP="003D6AAA">
            <w:pPr>
              <w:pStyle w:val="TableText"/>
              <w:jc w:val="right"/>
              <w:rPr>
                <w:rFonts w:ascii="Calibri" w:hAnsi="Calibri"/>
              </w:rPr>
            </w:pPr>
            <w:r w:rsidRPr="00365255">
              <w:rPr>
                <w:rFonts w:ascii="Calibri" w:hAnsi="Calibri"/>
              </w:rPr>
              <w:t>10.3</w:t>
            </w:r>
          </w:p>
        </w:tc>
      </w:tr>
      <w:tr w:rsidR="0094415E" w:rsidRPr="00365255" w14:paraId="0D137F98"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61F5BCA"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2C113E1C" w14:textId="61D7A2A8" w:rsidR="00365255" w:rsidRPr="00365255" w:rsidRDefault="00365255" w:rsidP="00A34DA1">
            <w:pPr>
              <w:pStyle w:val="TableText"/>
              <w:rPr>
                <w:rFonts w:ascii="Calibri" w:hAnsi="Calibri"/>
              </w:rPr>
            </w:pPr>
            <w:r w:rsidRPr="00365255">
              <w:rPr>
                <w:rFonts w:ascii="Calibri" w:hAnsi="Calibri"/>
              </w:rPr>
              <w:t>West Central</w:t>
            </w:r>
          </w:p>
        </w:tc>
        <w:tc>
          <w:tcPr>
            <w:tcW w:w="1440" w:type="dxa"/>
            <w:tcBorders>
              <w:top w:val="nil"/>
              <w:left w:val="nil"/>
              <w:bottom w:val="single" w:sz="4" w:space="0" w:color="auto"/>
              <w:right w:val="single" w:sz="4" w:space="0" w:color="auto"/>
            </w:tcBorders>
            <w:shd w:val="clear" w:color="auto" w:fill="auto"/>
            <w:vAlign w:val="center"/>
            <w:hideMark/>
          </w:tcPr>
          <w:p w14:paraId="2C88770A" w14:textId="2888036A" w:rsidR="00365255" w:rsidRPr="00365255" w:rsidRDefault="00365255" w:rsidP="003D6AAA">
            <w:pPr>
              <w:pStyle w:val="TableText"/>
              <w:jc w:val="right"/>
              <w:rPr>
                <w:rFonts w:ascii="Calibri" w:hAnsi="Calibri"/>
              </w:rPr>
            </w:pPr>
            <w:r w:rsidRPr="00365255">
              <w:rPr>
                <w:rFonts w:ascii="Calibri" w:hAnsi="Calibri"/>
              </w:rPr>
              <w:t>5.0</w:t>
            </w:r>
          </w:p>
        </w:tc>
        <w:tc>
          <w:tcPr>
            <w:tcW w:w="1445" w:type="dxa"/>
            <w:tcBorders>
              <w:top w:val="nil"/>
              <w:left w:val="nil"/>
              <w:bottom w:val="single" w:sz="4" w:space="0" w:color="auto"/>
              <w:right w:val="single" w:sz="4" w:space="0" w:color="auto"/>
            </w:tcBorders>
            <w:shd w:val="clear" w:color="auto" w:fill="auto"/>
            <w:vAlign w:val="center"/>
            <w:hideMark/>
          </w:tcPr>
          <w:p w14:paraId="0A4B7D53" w14:textId="04F7C111" w:rsidR="00365255" w:rsidRPr="00365255" w:rsidRDefault="00365255" w:rsidP="003D6AAA">
            <w:pPr>
              <w:pStyle w:val="TableText"/>
              <w:jc w:val="right"/>
              <w:rPr>
                <w:rFonts w:ascii="Calibri" w:hAnsi="Calibri"/>
              </w:rPr>
            </w:pPr>
            <w:r w:rsidRPr="00365255">
              <w:rPr>
                <w:rFonts w:ascii="Calibri" w:hAnsi="Calibri"/>
              </w:rPr>
              <w:t>4.7</w:t>
            </w:r>
          </w:p>
        </w:tc>
      </w:tr>
      <w:tr w:rsidR="0094415E" w:rsidRPr="00365255" w14:paraId="14A7E856"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4012A4AA"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2643DB4F" w14:textId="77777777" w:rsidR="00365255" w:rsidRPr="00365255" w:rsidRDefault="00365255" w:rsidP="00A34DA1">
            <w:pPr>
              <w:pStyle w:val="TableText"/>
              <w:rPr>
                <w:rFonts w:ascii="Calibri" w:hAnsi="Calibri"/>
              </w:rPr>
            </w:pPr>
            <w:r w:rsidRPr="00365255">
              <w:rPr>
                <w:rFonts w:ascii="Calibri" w:hAnsi="Calibri"/>
              </w:rPr>
              <w:t>Upper Rio Grande</w:t>
            </w:r>
          </w:p>
        </w:tc>
        <w:tc>
          <w:tcPr>
            <w:tcW w:w="1440" w:type="dxa"/>
            <w:tcBorders>
              <w:top w:val="nil"/>
              <w:left w:val="nil"/>
              <w:bottom w:val="single" w:sz="4" w:space="0" w:color="auto"/>
              <w:right w:val="single" w:sz="4" w:space="0" w:color="auto"/>
            </w:tcBorders>
            <w:shd w:val="clear" w:color="auto" w:fill="auto"/>
            <w:vAlign w:val="center"/>
            <w:hideMark/>
          </w:tcPr>
          <w:p w14:paraId="14413F77" w14:textId="2FB66E90" w:rsidR="00365255" w:rsidRPr="00365255" w:rsidRDefault="00365255" w:rsidP="003D6AAA">
            <w:pPr>
              <w:pStyle w:val="TableText"/>
              <w:jc w:val="right"/>
              <w:rPr>
                <w:rFonts w:ascii="Calibri" w:hAnsi="Calibri"/>
              </w:rPr>
            </w:pPr>
            <w:r w:rsidRPr="00365255">
              <w:rPr>
                <w:rFonts w:ascii="Calibri" w:hAnsi="Calibri"/>
              </w:rPr>
              <w:t>13.0</w:t>
            </w:r>
          </w:p>
        </w:tc>
        <w:tc>
          <w:tcPr>
            <w:tcW w:w="1445" w:type="dxa"/>
            <w:tcBorders>
              <w:top w:val="nil"/>
              <w:left w:val="nil"/>
              <w:bottom w:val="single" w:sz="4" w:space="0" w:color="auto"/>
              <w:right w:val="single" w:sz="4" w:space="0" w:color="auto"/>
            </w:tcBorders>
            <w:shd w:val="clear" w:color="auto" w:fill="auto"/>
            <w:vAlign w:val="center"/>
            <w:hideMark/>
          </w:tcPr>
          <w:p w14:paraId="262C82F0" w14:textId="04BC456F" w:rsidR="00365255" w:rsidRPr="00365255" w:rsidRDefault="00365255" w:rsidP="003D6AAA">
            <w:pPr>
              <w:pStyle w:val="TableText"/>
              <w:jc w:val="right"/>
              <w:rPr>
                <w:rFonts w:ascii="Calibri" w:hAnsi="Calibri"/>
              </w:rPr>
            </w:pPr>
            <w:r w:rsidRPr="00365255">
              <w:rPr>
                <w:rFonts w:ascii="Calibri" w:hAnsi="Calibri"/>
              </w:rPr>
              <w:t>10.4</w:t>
            </w:r>
          </w:p>
        </w:tc>
      </w:tr>
      <w:tr w:rsidR="0094415E" w:rsidRPr="00365255" w14:paraId="39D64CCE"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0888F919"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09C8DCFF" w14:textId="77777777" w:rsidR="00365255" w:rsidRPr="00365255" w:rsidRDefault="00365255" w:rsidP="00A34DA1">
            <w:pPr>
              <w:pStyle w:val="TableText"/>
              <w:rPr>
                <w:rFonts w:ascii="Calibri" w:hAnsi="Calibri"/>
              </w:rPr>
            </w:pPr>
            <w:r w:rsidRPr="00365255">
              <w:rPr>
                <w:rFonts w:ascii="Calibri" w:hAnsi="Calibri"/>
              </w:rPr>
              <w:t>Permian Basin</w:t>
            </w:r>
          </w:p>
        </w:tc>
        <w:tc>
          <w:tcPr>
            <w:tcW w:w="1440" w:type="dxa"/>
            <w:tcBorders>
              <w:top w:val="nil"/>
              <w:left w:val="nil"/>
              <w:bottom w:val="single" w:sz="4" w:space="0" w:color="auto"/>
              <w:right w:val="single" w:sz="4" w:space="0" w:color="auto"/>
            </w:tcBorders>
            <w:shd w:val="clear" w:color="auto" w:fill="auto"/>
            <w:vAlign w:val="center"/>
            <w:hideMark/>
          </w:tcPr>
          <w:p w14:paraId="79D2DCDA" w14:textId="45C072DD" w:rsidR="00365255" w:rsidRPr="00365255" w:rsidRDefault="00365255" w:rsidP="003D6AAA">
            <w:pPr>
              <w:pStyle w:val="TableText"/>
              <w:jc w:val="right"/>
              <w:rPr>
                <w:rFonts w:ascii="Calibri" w:hAnsi="Calibri"/>
              </w:rPr>
            </w:pPr>
            <w:r w:rsidRPr="00365255">
              <w:rPr>
                <w:rFonts w:ascii="Calibri" w:hAnsi="Calibri"/>
              </w:rPr>
              <w:t>9.0</w:t>
            </w:r>
          </w:p>
        </w:tc>
        <w:tc>
          <w:tcPr>
            <w:tcW w:w="1445" w:type="dxa"/>
            <w:tcBorders>
              <w:top w:val="nil"/>
              <w:left w:val="nil"/>
              <w:bottom w:val="single" w:sz="4" w:space="0" w:color="auto"/>
              <w:right w:val="single" w:sz="4" w:space="0" w:color="auto"/>
            </w:tcBorders>
            <w:shd w:val="clear" w:color="auto" w:fill="auto"/>
            <w:vAlign w:val="center"/>
            <w:hideMark/>
          </w:tcPr>
          <w:p w14:paraId="296F9C92" w14:textId="03036354" w:rsidR="00365255" w:rsidRPr="00365255" w:rsidRDefault="00365255" w:rsidP="003D6AAA">
            <w:pPr>
              <w:pStyle w:val="TableText"/>
              <w:jc w:val="right"/>
              <w:rPr>
                <w:rFonts w:ascii="Calibri" w:hAnsi="Calibri"/>
              </w:rPr>
            </w:pPr>
            <w:r w:rsidRPr="00365255">
              <w:rPr>
                <w:rFonts w:ascii="Calibri" w:hAnsi="Calibri"/>
              </w:rPr>
              <w:t>6.5</w:t>
            </w:r>
          </w:p>
        </w:tc>
      </w:tr>
      <w:tr w:rsidR="0094415E" w:rsidRPr="00365255" w14:paraId="6D97E5C1"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6D4D446A"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48467E95" w14:textId="77777777" w:rsidR="00365255" w:rsidRPr="00365255" w:rsidRDefault="00365255" w:rsidP="00A34DA1">
            <w:pPr>
              <w:pStyle w:val="TableText"/>
              <w:rPr>
                <w:rFonts w:ascii="Calibri" w:hAnsi="Calibri"/>
              </w:rPr>
            </w:pPr>
            <w:r w:rsidRPr="00365255">
              <w:rPr>
                <w:rFonts w:ascii="Calibri" w:hAnsi="Calibri"/>
              </w:rPr>
              <w:t>Concho Valley</w:t>
            </w:r>
          </w:p>
        </w:tc>
        <w:tc>
          <w:tcPr>
            <w:tcW w:w="1440" w:type="dxa"/>
            <w:tcBorders>
              <w:top w:val="nil"/>
              <w:left w:val="nil"/>
              <w:bottom w:val="single" w:sz="4" w:space="0" w:color="auto"/>
              <w:right w:val="single" w:sz="4" w:space="0" w:color="auto"/>
            </w:tcBorders>
            <w:shd w:val="clear" w:color="auto" w:fill="auto"/>
            <w:vAlign w:val="center"/>
            <w:hideMark/>
          </w:tcPr>
          <w:p w14:paraId="5372FF82" w14:textId="3406353B" w:rsidR="00365255" w:rsidRPr="00365255" w:rsidRDefault="00365255" w:rsidP="003D6AAA">
            <w:pPr>
              <w:pStyle w:val="TableText"/>
              <w:jc w:val="right"/>
              <w:rPr>
                <w:rFonts w:ascii="Calibri" w:hAnsi="Calibri"/>
              </w:rPr>
            </w:pPr>
            <w:r w:rsidRPr="00365255">
              <w:rPr>
                <w:rFonts w:ascii="Calibri" w:hAnsi="Calibri"/>
              </w:rPr>
              <w:t>3.0</w:t>
            </w:r>
          </w:p>
        </w:tc>
        <w:tc>
          <w:tcPr>
            <w:tcW w:w="1445" w:type="dxa"/>
            <w:tcBorders>
              <w:top w:val="nil"/>
              <w:left w:val="nil"/>
              <w:bottom w:val="single" w:sz="4" w:space="0" w:color="auto"/>
              <w:right w:val="single" w:sz="4" w:space="0" w:color="auto"/>
            </w:tcBorders>
            <w:shd w:val="clear" w:color="auto" w:fill="auto"/>
            <w:vAlign w:val="center"/>
            <w:hideMark/>
          </w:tcPr>
          <w:p w14:paraId="7DC0EED9" w14:textId="6D34D640" w:rsidR="00365255" w:rsidRPr="00365255" w:rsidRDefault="00365255" w:rsidP="003D6AAA">
            <w:pPr>
              <w:pStyle w:val="TableText"/>
              <w:jc w:val="right"/>
              <w:rPr>
                <w:rFonts w:ascii="Calibri" w:hAnsi="Calibri"/>
              </w:rPr>
            </w:pPr>
            <w:r w:rsidRPr="00365255">
              <w:rPr>
                <w:rFonts w:ascii="Calibri" w:hAnsi="Calibri"/>
              </w:rPr>
              <w:t>2.0</w:t>
            </w:r>
          </w:p>
        </w:tc>
      </w:tr>
      <w:tr w:rsidR="0094415E" w:rsidRPr="00365255" w14:paraId="7F49505E"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755FEBE"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391AB2F0" w14:textId="1F0C407A" w:rsidR="00365255" w:rsidRPr="00365255" w:rsidRDefault="00365255" w:rsidP="00A34DA1">
            <w:pPr>
              <w:pStyle w:val="TableText"/>
              <w:rPr>
                <w:rFonts w:ascii="Calibri" w:hAnsi="Calibri"/>
              </w:rPr>
            </w:pPr>
            <w:r w:rsidRPr="00365255">
              <w:rPr>
                <w:rFonts w:ascii="Calibri" w:hAnsi="Calibri"/>
              </w:rPr>
              <w:t>Heart of Texas</w:t>
            </w:r>
          </w:p>
        </w:tc>
        <w:tc>
          <w:tcPr>
            <w:tcW w:w="1440" w:type="dxa"/>
            <w:tcBorders>
              <w:top w:val="nil"/>
              <w:left w:val="nil"/>
              <w:bottom w:val="single" w:sz="4" w:space="0" w:color="auto"/>
              <w:right w:val="single" w:sz="4" w:space="0" w:color="auto"/>
            </w:tcBorders>
            <w:shd w:val="clear" w:color="auto" w:fill="auto"/>
            <w:vAlign w:val="center"/>
            <w:hideMark/>
          </w:tcPr>
          <w:p w14:paraId="504F7B07" w14:textId="3412391A" w:rsidR="00365255" w:rsidRPr="00365255" w:rsidRDefault="00365255" w:rsidP="003D6AAA">
            <w:pPr>
              <w:pStyle w:val="TableText"/>
              <w:jc w:val="right"/>
              <w:rPr>
                <w:rFonts w:ascii="Calibri" w:hAnsi="Calibri"/>
              </w:rPr>
            </w:pPr>
            <w:r w:rsidRPr="00365255">
              <w:rPr>
                <w:rFonts w:ascii="Calibri" w:hAnsi="Calibri"/>
              </w:rPr>
              <w:t>5.0</w:t>
            </w:r>
          </w:p>
        </w:tc>
        <w:tc>
          <w:tcPr>
            <w:tcW w:w="1445" w:type="dxa"/>
            <w:tcBorders>
              <w:top w:val="nil"/>
              <w:left w:val="nil"/>
              <w:bottom w:val="single" w:sz="4" w:space="0" w:color="auto"/>
              <w:right w:val="single" w:sz="4" w:space="0" w:color="auto"/>
            </w:tcBorders>
            <w:shd w:val="clear" w:color="auto" w:fill="auto"/>
            <w:vAlign w:val="center"/>
            <w:hideMark/>
          </w:tcPr>
          <w:p w14:paraId="142F8D38" w14:textId="3A255770" w:rsidR="00365255" w:rsidRPr="00365255" w:rsidRDefault="00365255" w:rsidP="003D6AAA">
            <w:pPr>
              <w:pStyle w:val="TableText"/>
              <w:jc w:val="right"/>
              <w:rPr>
                <w:rFonts w:ascii="Calibri" w:hAnsi="Calibri"/>
              </w:rPr>
            </w:pPr>
            <w:r w:rsidRPr="00365255">
              <w:rPr>
                <w:rFonts w:ascii="Calibri" w:hAnsi="Calibri"/>
              </w:rPr>
              <w:t>4.9</w:t>
            </w:r>
          </w:p>
        </w:tc>
      </w:tr>
      <w:tr w:rsidR="0094415E" w:rsidRPr="00365255" w14:paraId="19EC6E0F"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3A9D1ABD"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3817906A" w14:textId="459837FB" w:rsidR="00365255" w:rsidRPr="00365255" w:rsidRDefault="00365255" w:rsidP="00A34DA1">
            <w:pPr>
              <w:pStyle w:val="TableText"/>
              <w:rPr>
                <w:rFonts w:ascii="Calibri" w:hAnsi="Calibri"/>
              </w:rPr>
            </w:pPr>
            <w:r w:rsidRPr="00365255">
              <w:rPr>
                <w:rFonts w:ascii="Calibri" w:hAnsi="Calibri"/>
              </w:rPr>
              <w:t>Capital Area</w:t>
            </w:r>
          </w:p>
        </w:tc>
        <w:tc>
          <w:tcPr>
            <w:tcW w:w="1440" w:type="dxa"/>
            <w:tcBorders>
              <w:top w:val="nil"/>
              <w:left w:val="nil"/>
              <w:bottom w:val="single" w:sz="4" w:space="0" w:color="auto"/>
              <w:right w:val="single" w:sz="4" w:space="0" w:color="auto"/>
            </w:tcBorders>
            <w:shd w:val="clear" w:color="auto" w:fill="auto"/>
            <w:vAlign w:val="center"/>
            <w:hideMark/>
          </w:tcPr>
          <w:p w14:paraId="7B0BFE7B" w14:textId="7BA87F48" w:rsidR="00365255" w:rsidRPr="00365255" w:rsidRDefault="00365255" w:rsidP="003D6AAA">
            <w:pPr>
              <w:pStyle w:val="TableText"/>
              <w:jc w:val="right"/>
              <w:rPr>
                <w:rFonts w:ascii="Calibri" w:hAnsi="Calibri"/>
              </w:rPr>
            </w:pPr>
            <w:r w:rsidRPr="00365255">
              <w:rPr>
                <w:rFonts w:ascii="Calibri" w:hAnsi="Calibri"/>
              </w:rPr>
              <w:t>17.0</w:t>
            </w:r>
          </w:p>
        </w:tc>
        <w:tc>
          <w:tcPr>
            <w:tcW w:w="1445" w:type="dxa"/>
            <w:tcBorders>
              <w:top w:val="nil"/>
              <w:left w:val="nil"/>
              <w:bottom w:val="single" w:sz="4" w:space="0" w:color="auto"/>
              <w:right w:val="single" w:sz="4" w:space="0" w:color="auto"/>
            </w:tcBorders>
            <w:shd w:val="clear" w:color="auto" w:fill="auto"/>
            <w:vAlign w:val="center"/>
            <w:hideMark/>
          </w:tcPr>
          <w:p w14:paraId="162EBBEF" w14:textId="0A27EAF7" w:rsidR="00365255" w:rsidRPr="00365255" w:rsidRDefault="00365255" w:rsidP="003D6AAA">
            <w:pPr>
              <w:pStyle w:val="TableText"/>
              <w:jc w:val="right"/>
              <w:rPr>
                <w:rFonts w:ascii="Calibri" w:hAnsi="Calibri"/>
              </w:rPr>
            </w:pPr>
            <w:r w:rsidRPr="00365255">
              <w:rPr>
                <w:rFonts w:ascii="Calibri" w:hAnsi="Calibri"/>
              </w:rPr>
              <w:t>15.8</w:t>
            </w:r>
          </w:p>
        </w:tc>
      </w:tr>
      <w:tr w:rsidR="0094415E" w:rsidRPr="00365255" w14:paraId="214EF3D7"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1E46EBB3"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21CCF8FD" w14:textId="386DB84F" w:rsidR="00365255" w:rsidRPr="00365255" w:rsidRDefault="00365255" w:rsidP="00A34DA1">
            <w:pPr>
              <w:pStyle w:val="TableText"/>
              <w:rPr>
                <w:rFonts w:ascii="Calibri" w:hAnsi="Calibri"/>
              </w:rPr>
            </w:pPr>
            <w:r w:rsidRPr="00365255">
              <w:rPr>
                <w:rFonts w:ascii="Calibri" w:hAnsi="Calibri"/>
              </w:rPr>
              <w:t>Rural Capital</w:t>
            </w:r>
          </w:p>
        </w:tc>
        <w:tc>
          <w:tcPr>
            <w:tcW w:w="1440" w:type="dxa"/>
            <w:tcBorders>
              <w:top w:val="nil"/>
              <w:left w:val="nil"/>
              <w:bottom w:val="single" w:sz="4" w:space="0" w:color="auto"/>
              <w:right w:val="single" w:sz="4" w:space="0" w:color="auto"/>
            </w:tcBorders>
            <w:shd w:val="clear" w:color="auto" w:fill="auto"/>
            <w:vAlign w:val="center"/>
            <w:hideMark/>
          </w:tcPr>
          <w:p w14:paraId="4F78B5E9" w14:textId="6444797A" w:rsidR="00365255" w:rsidRPr="00365255" w:rsidRDefault="00365255" w:rsidP="003D6AAA">
            <w:pPr>
              <w:pStyle w:val="TableText"/>
              <w:jc w:val="right"/>
              <w:rPr>
                <w:rFonts w:ascii="Calibri" w:hAnsi="Calibri"/>
              </w:rPr>
            </w:pPr>
            <w:r w:rsidRPr="00365255">
              <w:rPr>
                <w:rFonts w:ascii="Calibri" w:hAnsi="Calibri"/>
              </w:rPr>
              <w:t>17.0</w:t>
            </w:r>
          </w:p>
        </w:tc>
        <w:tc>
          <w:tcPr>
            <w:tcW w:w="1445" w:type="dxa"/>
            <w:tcBorders>
              <w:top w:val="nil"/>
              <w:left w:val="nil"/>
              <w:bottom w:val="single" w:sz="4" w:space="0" w:color="auto"/>
              <w:right w:val="single" w:sz="4" w:space="0" w:color="auto"/>
            </w:tcBorders>
            <w:shd w:val="clear" w:color="auto" w:fill="auto"/>
            <w:vAlign w:val="center"/>
            <w:hideMark/>
          </w:tcPr>
          <w:p w14:paraId="64E787BB" w14:textId="31F521CD" w:rsidR="00365255" w:rsidRPr="00365255" w:rsidRDefault="00365255" w:rsidP="003D6AAA">
            <w:pPr>
              <w:pStyle w:val="TableText"/>
              <w:jc w:val="right"/>
              <w:rPr>
                <w:rFonts w:ascii="Calibri" w:hAnsi="Calibri"/>
              </w:rPr>
            </w:pPr>
            <w:r w:rsidRPr="00365255">
              <w:rPr>
                <w:rFonts w:ascii="Calibri" w:hAnsi="Calibri"/>
              </w:rPr>
              <w:t>13.4</w:t>
            </w:r>
          </w:p>
        </w:tc>
      </w:tr>
      <w:tr w:rsidR="0094415E" w:rsidRPr="00365255" w14:paraId="154B29EC"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6CED4FF3"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7211D1A" w14:textId="241E7F34" w:rsidR="00365255" w:rsidRPr="00365255" w:rsidRDefault="00365255" w:rsidP="00A34DA1">
            <w:pPr>
              <w:pStyle w:val="TableText"/>
              <w:rPr>
                <w:rFonts w:ascii="Calibri" w:hAnsi="Calibri"/>
              </w:rPr>
            </w:pPr>
            <w:r w:rsidRPr="00365255">
              <w:rPr>
                <w:rFonts w:ascii="Calibri" w:hAnsi="Calibri"/>
              </w:rPr>
              <w:t>Brazos Valley</w:t>
            </w:r>
          </w:p>
        </w:tc>
        <w:tc>
          <w:tcPr>
            <w:tcW w:w="1440" w:type="dxa"/>
            <w:tcBorders>
              <w:top w:val="nil"/>
              <w:left w:val="nil"/>
              <w:bottom w:val="single" w:sz="4" w:space="0" w:color="auto"/>
              <w:right w:val="single" w:sz="4" w:space="0" w:color="auto"/>
            </w:tcBorders>
            <w:shd w:val="clear" w:color="auto" w:fill="auto"/>
            <w:vAlign w:val="center"/>
            <w:hideMark/>
          </w:tcPr>
          <w:p w14:paraId="7C666A26" w14:textId="4102BD8A" w:rsidR="00365255" w:rsidRPr="00365255" w:rsidRDefault="00365255" w:rsidP="003D6AAA">
            <w:pPr>
              <w:pStyle w:val="TableText"/>
              <w:jc w:val="right"/>
              <w:rPr>
                <w:rFonts w:ascii="Calibri" w:hAnsi="Calibri"/>
              </w:rPr>
            </w:pPr>
            <w:r w:rsidRPr="00365255">
              <w:rPr>
                <w:rFonts w:ascii="Calibri" w:hAnsi="Calibri"/>
              </w:rPr>
              <w:t>4.0</w:t>
            </w:r>
          </w:p>
        </w:tc>
        <w:tc>
          <w:tcPr>
            <w:tcW w:w="1445" w:type="dxa"/>
            <w:tcBorders>
              <w:top w:val="nil"/>
              <w:left w:val="nil"/>
              <w:bottom w:val="single" w:sz="4" w:space="0" w:color="auto"/>
              <w:right w:val="single" w:sz="4" w:space="0" w:color="auto"/>
            </w:tcBorders>
            <w:shd w:val="clear" w:color="auto" w:fill="auto"/>
            <w:vAlign w:val="center"/>
            <w:hideMark/>
          </w:tcPr>
          <w:p w14:paraId="00032FBE" w14:textId="212E3432" w:rsidR="00365255" w:rsidRPr="00365255" w:rsidRDefault="00365255" w:rsidP="003D6AAA">
            <w:pPr>
              <w:pStyle w:val="TableText"/>
              <w:jc w:val="right"/>
              <w:rPr>
                <w:rFonts w:ascii="Calibri" w:hAnsi="Calibri"/>
              </w:rPr>
            </w:pPr>
            <w:r w:rsidRPr="00365255">
              <w:rPr>
                <w:rFonts w:ascii="Calibri" w:hAnsi="Calibri"/>
              </w:rPr>
              <w:t>1.6</w:t>
            </w:r>
          </w:p>
        </w:tc>
      </w:tr>
      <w:tr w:rsidR="0094415E" w:rsidRPr="00365255" w14:paraId="64425BAD"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7F94086A" w14:textId="77777777" w:rsidR="00365255" w:rsidRPr="00365255" w:rsidRDefault="00365255" w:rsidP="00A34DA1">
            <w:pPr>
              <w:pStyle w:val="TableText"/>
            </w:pPr>
            <w:r w:rsidRPr="00365255">
              <w:lastRenderedPageBreak/>
              <w:t>LWDA: Field</w:t>
            </w:r>
          </w:p>
        </w:tc>
        <w:tc>
          <w:tcPr>
            <w:tcW w:w="3600" w:type="dxa"/>
            <w:tcBorders>
              <w:top w:val="nil"/>
              <w:left w:val="nil"/>
              <w:bottom w:val="single" w:sz="4" w:space="0" w:color="auto"/>
              <w:right w:val="single" w:sz="4" w:space="0" w:color="auto"/>
            </w:tcBorders>
            <w:shd w:val="clear" w:color="auto" w:fill="auto"/>
            <w:vAlign w:val="center"/>
            <w:hideMark/>
          </w:tcPr>
          <w:p w14:paraId="6D13D5AF" w14:textId="04952C92" w:rsidR="00365255" w:rsidRPr="00365255" w:rsidRDefault="00365255" w:rsidP="00A34DA1">
            <w:pPr>
              <w:pStyle w:val="TableText"/>
              <w:rPr>
                <w:rFonts w:ascii="Calibri" w:hAnsi="Calibri"/>
              </w:rPr>
            </w:pPr>
            <w:r w:rsidRPr="00365255">
              <w:rPr>
                <w:rFonts w:ascii="Calibri" w:hAnsi="Calibri"/>
              </w:rPr>
              <w:t>Deep East Texas</w:t>
            </w:r>
          </w:p>
        </w:tc>
        <w:tc>
          <w:tcPr>
            <w:tcW w:w="1440" w:type="dxa"/>
            <w:tcBorders>
              <w:top w:val="nil"/>
              <w:left w:val="nil"/>
              <w:bottom w:val="single" w:sz="4" w:space="0" w:color="auto"/>
              <w:right w:val="single" w:sz="4" w:space="0" w:color="auto"/>
            </w:tcBorders>
            <w:shd w:val="clear" w:color="auto" w:fill="auto"/>
            <w:vAlign w:val="center"/>
            <w:hideMark/>
          </w:tcPr>
          <w:p w14:paraId="2CF996E2" w14:textId="69DB9EAD" w:rsidR="00365255" w:rsidRPr="00365255" w:rsidRDefault="00365255" w:rsidP="003D6AAA">
            <w:pPr>
              <w:pStyle w:val="TableText"/>
              <w:jc w:val="right"/>
              <w:rPr>
                <w:rFonts w:ascii="Calibri" w:hAnsi="Calibri"/>
              </w:rPr>
            </w:pPr>
            <w:r w:rsidRPr="00365255">
              <w:rPr>
                <w:rFonts w:ascii="Calibri" w:hAnsi="Calibri"/>
              </w:rPr>
              <w:t>5.0</w:t>
            </w:r>
          </w:p>
        </w:tc>
        <w:tc>
          <w:tcPr>
            <w:tcW w:w="1445" w:type="dxa"/>
            <w:tcBorders>
              <w:top w:val="nil"/>
              <w:left w:val="nil"/>
              <w:bottom w:val="single" w:sz="4" w:space="0" w:color="auto"/>
              <w:right w:val="single" w:sz="4" w:space="0" w:color="auto"/>
            </w:tcBorders>
            <w:shd w:val="clear" w:color="auto" w:fill="auto"/>
            <w:vAlign w:val="center"/>
            <w:hideMark/>
          </w:tcPr>
          <w:p w14:paraId="7E1E1CC3" w14:textId="2963312F" w:rsidR="00365255" w:rsidRPr="00365255" w:rsidRDefault="00365255" w:rsidP="003D6AAA">
            <w:pPr>
              <w:pStyle w:val="TableText"/>
              <w:jc w:val="right"/>
              <w:rPr>
                <w:rFonts w:ascii="Calibri" w:hAnsi="Calibri"/>
              </w:rPr>
            </w:pPr>
            <w:r w:rsidRPr="00365255">
              <w:rPr>
                <w:rFonts w:ascii="Calibri" w:hAnsi="Calibri"/>
              </w:rPr>
              <w:t>4.0</w:t>
            </w:r>
          </w:p>
        </w:tc>
      </w:tr>
      <w:tr w:rsidR="0094415E" w:rsidRPr="00365255" w14:paraId="1CD497A0"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60C3D8FB"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54680CEB" w14:textId="5D62A5D9" w:rsidR="00365255" w:rsidRPr="00365255" w:rsidRDefault="00365255" w:rsidP="00A34DA1">
            <w:pPr>
              <w:pStyle w:val="TableText"/>
              <w:rPr>
                <w:rFonts w:ascii="Calibri" w:hAnsi="Calibri"/>
              </w:rPr>
            </w:pPr>
            <w:r w:rsidRPr="00365255">
              <w:rPr>
                <w:rFonts w:ascii="Calibri" w:hAnsi="Calibri"/>
              </w:rPr>
              <w:t>Southeast Texas</w:t>
            </w:r>
          </w:p>
        </w:tc>
        <w:tc>
          <w:tcPr>
            <w:tcW w:w="1440" w:type="dxa"/>
            <w:tcBorders>
              <w:top w:val="nil"/>
              <w:left w:val="nil"/>
              <w:bottom w:val="single" w:sz="4" w:space="0" w:color="auto"/>
              <w:right w:val="single" w:sz="4" w:space="0" w:color="auto"/>
            </w:tcBorders>
            <w:shd w:val="clear" w:color="auto" w:fill="auto"/>
            <w:vAlign w:val="center"/>
            <w:hideMark/>
          </w:tcPr>
          <w:p w14:paraId="36C47740" w14:textId="2C816481" w:rsidR="00365255" w:rsidRPr="00365255" w:rsidRDefault="00365255" w:rsidP="003D6AAA">
            <w:pPr>
              <w:pStyle w:val="TableText"/>
              <w:jc w:val="right"/>
              <w:rPr>
                <w:rFonts w:ascii="Calibri" w:hAnsi="Calibri"/>
              </w:rPr>
            </w:pPr>
            <w:r w:rsidRPr="00365255">
              <w:rPr>
                <w:rFonts w:ascii="Calibri" w:hAnsi="Calibri"/>
              </w:rPr>
              <w:t>8.0</w:t>
            </w:r>
          </w:p>
        </w:tc>
        <w:tc>
          <w:tcPr>
            <w:tcW w:w="1445" w:type="dxa"/>
            <w:tcBorders>
              <w:top w:val="nil"/>
              <w:left w:val="nil"/>
              <w:bottom w:val="single" w:sz="4" w:space="0" w:color="auto"/>
              <w:right w:val="single" w:sz="4" w:space="0" w:color="auto"/>
            </w:tcBorders>
            <w:shd w:val="clear" w:color="auto" w:fill="auto"/>
            <w:vAlign w:val="center"/>
            <w:hideMark/>
          </w:tcPr>
          <w:p w14:paraId="2A1FB0F6" w14:textId="7AF96733" w:rsidR="00365255" w:rsidRPr="00365255" w:rsidRDefault="00365255" w:rsidP="003D6AAA">
            <w:pPr>
              <w:pStyle w:val="TableText"/>
              <w:jc w:val="right"/>
              <w:rPr>
                <w:rFonts w:ascii="Calibri" w:hAnsi="Calibri"/>
              </w:rPr>
            </w:pPr>
            <w:r w:rsidRPr="00365255">
              <w:rPr>
                <w:rFonts w:ascii="Calibri" w:hAnsi="Calibri"/>
              </w:rPr>
              <w:t>7.4</w:t>
            </w:r>
          </w:p>
        </w:tc>
      </w:tr>
      <w:tr w:rsidR="0094415E" w:rsidRPr="00365255" w14:paraId="00F55089"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22C988D4"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2892ED3B" w14:textId="4CF91486" w:rsidR="00365255" w:rsidRPr="00365255" w:rsidRDefault="00365255" w:rsidP="00A34DA1">
            <w:pPr>
              <w:pStyle w:val="TableText"/>
              <w:rPr>
                <w:rFonts w:ascii="Calibri" w:hAnsi="Calibri"/>
              </w:rPr>
            </w:pPr>
            <w:r w:rsidRPr="00365255">
              <w:rPr>
                <w:rFonts w:ascii="Calibri" w:hAnsi="Calibri"/>
              </w:rPr>
              <w:t>Golden Crescent</w:t>
            </w:r>
          </w:p>
        </w:tc>
        <w:tc>
          <w:tcPr>
            <w:tcW w:w="1440" w:type="dxa"/>
            <w:tcBorders>
              <w:top w:val="nil"/>
              <w:left w:val="nil"/>
              <w:bottom w:val="single" w:sz="4" w:space="0" w:color="auto"/>
              <w:right w:val="single" w:sz="4" w:space="0" w:color="auto"/>
            </w:tcBorders>
            <w:shd w:val="clear" w:color="auto" w:fill="auto"/>
            <w:vAlign w:val="center"/>
            <w:hideMark/>
          </w:tcPr>
          <w:p w14:paraId="27A3BD76" w14:textId="0A954268" w:rsidR="00365255" w:rsidRPr="00365255" w:rsidRDefault="00365255" w:rsidP="003D6AAA">
            <w:pPr>
              <w:pStyle w:val="TableText"/>
              <w:jc w:val="right"/>
              <w:rPr>
                <w:rFonts w:ascii="Calibri" w:hAnsi="Calibri"/>
              </w:rPr>
            </w:pPr>
            <w:r w:rsidRPr="00365255">
              <w:rPr>
                <w:rFonts w:ascii="Calibri" w:hAnsi="Calibri"/>
              </w:rPr>
              <w:t>4.0</w:t>
            </w:r>
          </w:p>
        </w:tc>
        <w:tc>
          <w:tcPr>
            <w:tcW w:w="1445" w:type="dxa"/>
            <w:tcBorders>
              <w:top w:val="nil"/>
              <w:left w:val="nil"/>
              <w:bottom w:val="single" w:sz="4" w:space="0" w:color="auto"/>
              <w:right w:val="single" w:sz="4" w:space="0" w:color="auto"/>
            </w:tcBorders>
            <w:shd w:val="clear" w:color="auto" w:fill="auto"/>
            <w:vAlign w:val="center"/>
            <w:hideMark/>
          </w:tcPr>
          <w:p w14:paraId="4FA82737" w14:textId="1B214E93" w:rsidR="00365255" w:rsidRPr="00365255" w:rsidRDefault="00365255" w:rsidP="003D6AAA">
            <w:pPr>
              <w:pStyle w:val="TableText"/>
              <w:jc w:val="right"/>
              <w:rPr>
                <w:rFonts w:ascii="Calibri" w:hAnsi="Calibri"/>
              </w:rPr>
            </w:pPr>
            <w:r w:rsidRPr="00365255">
              <w:rPr>
                <w:rFonts w:ascii="Calibri" w:hAnsi="Calibri"/>
              </w:rPr>
              <w:t>4.0</w:t>
            </w:r>
          </w:p>
        </w:tc>
      </w:tr>
      <w:tr w:rsidR="0094415E" w:rsidRPr="00365255" w14:paraId="43682692"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5E1F4C4B"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71BEBFBF" w14:textId="67D0191E" w:rsidR="00365255" w:rsidRPr="00365255" w:rsidRDefault="00365255" w:rsidP="00A34DA1">
            <w:pPr>
              <w:pStyle w:val="TableText"/>
              <w:rPr>
                <w:rFonts w:ascii="Calibri" w:hAnsi="Calibri"/>
              </w:rPr>
            </w:pPr>
            <w:r w:rsidRPr="00365255">
              <w:rPr>
                <w:rFonts w:ascii="Calibri" w:hAnsi="Calibri"/>
              </w:rPr>
              <w:t>Alamo</w:t>
            </w:r>
          </w:p>
        </w:tc>
        <w:tc>
          <w:tcPr>
            <w:tcW w:w="1440" w:type="dxa"/>
            <w:tcBorders>
              <w:top w:val="nil"/>
              <w:left w:val="nil"/>
              <w:bottom w:val="single" w:sz="4" w:space="0" w:color="auto"/>
              <w:right w:val="single" w:sz="4" w:space="0" w:color="auto"/>
            </w:tcBorders>
            <w:shd w:val="clear" w:color="auto" w:fill="auto"/>
            <w:vAlign w:val="center"/>
            <w:hideMark/>
          </w:tcPr>
          <w:p w14:paraId="3DCEFA46" w14:textId="35608B2F" w:rsidR="00365255" w:rsidRPr="00365255" w:rsidRDefault="00365255" w:rsidP="003D6AAA">
            <w:pPr>
              <w:pStyle w:val="TableText"/>
              <w:jc w:val="right"/>
              <w:rPr>
                <w:rFonts w:ascii="Calibri" w:hAnsi="Calibri"/>
              </w:rPr>
            </w:pPr>
            <w:r w:rsidRPr="00365255">
              <w:rPr>
                <w:rFonts w:ascii="Calibri" w:hAnsi="Calibri"/>
              </w:rPr>
              <w:t>38.0</w:t>
            </w:r>
          </w:p>
        </w:tc>
        <w:tc>
          <w:tcPr>
            <w:tcW w:w="1445" w:type="dxa"/>
            <w:tcBorders>
              <w:top w:val="nil"/>
              <w:left w:val="nil"/>
              <w:bottom w:val="single" w:sz="4" w:space="0" w:color="auto"/>
              <w:right w:val="single" w:sz="4" w:space="0" w:color="auto"/>
            </w:tcBorders>
            <w:shd w:val="clear" w:color="auto" w:fill="auto"/>
            <w:vAlign w:val="center"/>
            <w:hideMark/>
          </w:tcPr>
          <w:p w14:paraId="48641AE2" w14:textId="53C86A82" w:rsidR="00365255" w:rsidRPr="00365255" w:rsidRDefault="00365255" w:rsidP="003D6AAA">
            <w:pPr>
              <w:pStyle w:val="TableText"/>
              <w:jc w:val="right"/>
              <w:rPr>
                <w:rFonts w:ascii="Calibri" w:hAnsi="Calibri"/>
              </w:rPr>
            </w:pPr>
            <w:r w:rsidRPr="00365255">
              <w:rPr>
                <w:rFonts w:ascii="Calibri" w:hAnsi="Calibri"/>
              </w:rPr>
              <w:t>35.8</w:t>
            </w:r>
          </w:p>
        </w:tc>
      </w:tr>
      <w:tr w:rsidR="0094415E" w:rsidRPr="00365255" w14:paraId="3C6C0254"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0D9C7A0C"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4702CB04" w14:textId="4AAACE4C" w:rsidR="00365255" w:rsidRPr="00365255" w:rsidRDefault="00365255" w:rsidP="00A34DA1">
            <w:pPr>
              <w:pStyle w:val="TableText"/>
              <w:rPr>
                <w:rFonts w:ascii="Calibri" w:hAnsi="Calibri"/>
              </w:rPr>
            </w:pPr>
            <w:r w:rsidRPr="00365255">
              <w:rPr>
                <w:rFonts w:ascii="Calibri" w:hAnsi="Calibri"/>
              </w:rPr>
              <w:t>South Texas</w:t>
            </w:r>
          </w:p>
        </w:tc>
        <w:tc>
          <w:tcPr>
            <w:tcW w:w="1440" w:type="dxa"/>
            <w:tcBorders>
              <w:top w:val="nil"/>
              <w:left w:val="nil"/>
              <w:bottom w:val="single" w:sz="4" w:space="0" w:color="auto"/>
              <w:right w:val="single" w:sz="4" w:space="0" w:color="auto"/>
            </w:tcBorders>
            <w:shd w:val="clear" w:color="auto" w:fill="auto"/>
            <w:vAlign w:val="center"/>
            <w:hideMark/>
          </w:tcPr>
          <w:p w14:paraId="51333C2F" w14:textId="15B927FB" w:rsidR="00365255" w:rsidRPr="00365255" w:rsidRDefault="00365255" w:rsidP="003D6AAA">
            <w:pPr>
              <w:pStyle w:val="TableText"/>
              <w:jc w:val="right"/>
              <w:rPr>
                <w:rFonts w:ascii="Calibri" w:hAnsi="Calibri"/>
              </w:rPr>
            </w:pPr>
            <w:r w:rsidRPr="00365255">
              <w:rPr>
                <w:rFonts w:ascii="Calibri" w:hAnsi="Calibri"/>
              </w:rPr>
              <w:t>4.0</w:t>
            </w:r>
          </w:p>
        </w:tc>
        <w:tc>
          <w:tcPr>
            <w:tcW w:w="1445" w:type="dxa"/>
            <w:tcBorders>
              <w:top w:val="nil"/>
              <w:left w:val="nil"/>
              <w:bottom w:val="single" w:sz="4" w:space="0" w:color="auto"/>
              <w:right w:val="single" w:sz="4" w:space="0" w:color="auto"/>
            </w:tcBorders>
            <w:shd w:val="clear" w:color="auto" w:fill="auto"/>
            <w:vAlign w:val="center"/>
            <w:hideMark/>
          </w:tcPr>
          <w:p w14:paraId="3598A7D9" w14:textId="7B3F9103" w:rsidR="00365255" w:rsidRPr="00365255" w:rsidRDefault="00365255" w:rsidP="003D6AAA">
            <w:pPr>
              <w:pStyle w:val="TableText"/>
              <w:jc w:val="right"/>
              <w:rPr>
                <w:rFonts w:ascii="Calibri" w:hAnsi="Calibri"/>
              </w:rPr>
            </w:pPr>
            <w:r w:rsidRPr="00365255">
              <w:rPr>
                <w:rFonts w:ascii="Calibri" w:hAnsi="Calibri"/>
              </w:rPr>
              <w:t>4.0</w:t>
            </w:r>
          </w:p>
        </w:tc>
      </w:tr>
      <w:tr w:rsidR="0094415E" w:rsidRPr="00365255" w14:paraId="2C3D9C69"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16A229D5"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62B97A2" w14:textId="50AB0F35" w:rsidR="00365255" w:rsidRPr="00365255" w:rsidRDefault="00365255" w:rsidP="00A34DA1">
            <w:pPr>
              <w:pStyle w:val="TableText"/>
              <w:rPr>
                <w:rFonts w:ascii="Calibri" w:hAnsi="Calibri"/>
              </w:rPr>
            </w:pPr>
            <w:r w:rsidRPr="00365255">
              <w:rPr>
                <w:rFonts w:ascii="Calibri" w:hAnsi="Calibri"/>
              </w:rPr>
              <w:t>Coastal Bend</w:t>
            </w:r>
          </w:p>
        </w:tc>
        <w:tc>
          <w:tcPr>
            <w:tcW w:w="1440" w:type="dxa"/>
            <w:tcBorders>
              <w:top w:val="nil"/>
              <w:left w:val="nil"/>
              <w:bottom w:val="single" w:sz="4" w:space="0" w:color="auto"/>
              <w:right w:val="single" w:sz="4" w:space="0" w:color="auto"/>
            </w:tcBorders>
            <w:shd w:val="clear" w:color="auto" w:fill="auto"/>
            <w:vAlign w:val="center"/>
            <w:hideMark/>
          </w:tcPr>
          <w:p w14:paraId="31651817" w14:textId="4D734C7B" w:rsidR="00365255" w:rsidRPr="00365255" w:rsidRDefault="00365255" w:rsidP="003D6AAA">
            <w:pPr>
              <w:pStyle w:val="TableText"/>
              <w:jc w:val="right"/>
              <w:rPr>
                <w:rFonts w:ascii="Calibri" w:hAnsi="Calibri"/>
              </w:rPr>
            </w:pPr>
            <w:r w:rsidRPr="00365255">
              <w:rPr>
                <w:rFonts w:ascii="Calibri" w:hAnsi="Calibri"/>
              </w:rPr>
              <w:t>13.0</w:t>
            </w:r>
          </w:p>
        </w:tc>
        <w:tc>
          <w:tcPr>
            <w:tcW w:w="1445" w:type="dxa"/>
            <w:tcBorders>
              <w:top w:val="nil"/>
              <w:left w:val="nil"/>
              <w:bottom w:val="single" w:sz="4" w:space="0" w:color="auto"/>
              <w:right w:val="single" w:sz="4" w:space="0" w:color="auto"/>
            </w:tcBorders>
            <w:shd w:val="clear" w:color="auto" w:fill="auto"/>
            <w:vAlign w:val="center"/>
            <w:hideMark/>
          </w:tcPr>
          <w:p w14:paraId="0E59F5F6" w14:textId="5B49D78F" w:rsidR="00365255" w:rsidRPr="00365255" w:rsidRDefault="00365255" w:rsidP="003D6AAA">
            <w:pPr>
              <w:pStyle w:val="TableText"/>
              <w:jc w:val="right"/>
              <w:rPr>
                <w:rFonts w:ascii="Calibri" w:hAnsi="Calibri"/>
              </w:rPr>
            </w:pPr>
            <w:r w:rsidRPr="00365255">
              <w:rPr>
                <w:rFonts w:ascii="Calibri" w:hAnsi="Calibri"/>
              </w:rPr>
              <w:t>13.0</w:t>
            </w:r>
          </w:p>
        </w:tc>
      </w:tr>
      <w:tr w:rsidR="0094415E" w:rsidRPr="00365255" w14:paraId="629973C8"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52A62AE8"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4BC8DA0D" w14:textId="3ADF70BA" w:rsidR="00365255" w:rsidRPr="00365255" w:rsidRDefault="00365255" w:rsidP="00A34DA1">
            <w:pPr>
              <w:pStyle w:val="TableText"/>
              <w:rPr>
                <w:rFonts w:ascii="Calibri" w:hAnsi="Calibri"/>
              </w:rPr>
            </w:pPr>
            <w:r w:rsidRPr="00365255">
              <w:rPr>
                <w:rFonts w:ascii="Calibri" w:hAnsi="Calibri"/>
              </w:rPr>
              <w:t>Lower Rio Grande</w:t>
            </w:r>
          </w:p>
        </w:tc>
        <w:tc>
          <w:tcPr>
            <w:tcW w:w="1440" w:type="dxa"/>
            <w:tcBorders>
              <w:top w:val="nil"/>
              <w:left w:val="nil"/>
              <w:bottom w:val="single" w:sz="4" w:space="0" w:color="auto"/>
              <w:right w:val="single" w:sz="4" w:space="0" w:color="auto"/>
            </w:tcBorders>
            <w:shd w:val="clear" w:color="auto" w:fill="auto"/>
            <w:vAlign w:val="center"/>
            <w:hideMark/>
          </w:tcPr>
          <w:p w14:paraId="73620168" w14:textId="28F45900" w:rsidR="00365255" w:rsidRPr="00365255" w:rsidRDefault="00365255" w:rsidP="003D6AAA">
            <w:pPr>
              <w:pStyle w:val="TableText"/>
              <w:jc w:val="right"/>
              <w:rPr>
                <w:rFonts w:ascii="Calibri" w:hAnsi="Calibri"/>
              </w:rPr>
            </w:pPr>
            <w:r w:rsidRPr="00365255">
              <w:rPr>
                <w:rFonts w:ascii="Calibri" w:hAnsi="Calibri"/>
              </w:rPr>
              <w:t>18.0</w:t>
            </w:r>
          </w:p>
        </w:tc>
        <w:tc>
          <w:tcPr>
            <w:tcW w:w="1445" w:type="dxa"/>
            <w:tcBorders>
              <w:top w:val="nil"/>
              <w:left w:val="nil"/>
              <w:bottom w:val="single" w:sz="4" w:space="0" w:color="auto"/>
              <w:right w:val="single" w:sz="4" w:space="0" w:color="auto"/>
            </w:tcBorders>
            <w:shd w:val="clear" w:color="auto" w:fill="auto"/>
            <w:vAlign w:val="center"/>
            <w:hideMark/>
          </w:tcPr>
          <w:p w14:paraId="11DCE713" w14:textId="41072F24" w:rsidR="00365255" w:rsidRPr="00365255" w:rsidRDefault="00365255" w:rsidP="003D6AAA">
            <w:pPr>
              <w:pStyle w:val="TableText"/>
              <w:jc w:val="right"/>
              <w:rPr>
                <w:rFonts w:ascii="Calibri" w:hAnsi="Calibri"/>
              </w:rPr>
            </w:pPr>
            <w:r w:rsidRPr="00365255">
              <w:rPr>
                <w:rFonts w:ascii="Calibri" w:hAnsi="Calibri"/>
              </w:rPr>
              <w:t>18.0</w:t>
            </w:r>
          </w:p>
        </w:tc>
      </w:tr>
      <w:tr w:rsidR="0094415E" w:rsidRPr="00365255" w14:paraId="0ADC2A60"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33FB9C1E"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56A10A48" w14:textId="77777777" w:rsidR="00365255" w:rsidRPr="00365255" w:rsidRDefault="00365255" w:rsidP="00A34DA1">
            <w:pPr>
              <w:pStyle w:val="TableText"/>
              <w:rPr>
                <w:rFonts w:ascii="Calibri" w:hAnsi="Calibri"/>
              </w:rPr>
            </w:pPr>
            <w:r w:rsidRPr="00365255">
              <w:rPr>
                <w:rFonts w:ascii="Calibri" w:hAnsi="Calibri"/>
              </w:rPr>
              <w:t>Cameron County</w:t>
            </w:r>
          </w:p>
        </w:tc>
        <w:tc>
          <w:tcPr>
            <w:tcW w:w="1440" w:type="dxa"/>
            <w:tcBorders>
              <w:top w:val="nil"/>
              <w:left w:val="nil"/>
              <w:bottom w:val="single" w:sz="4" w:space="0" w:color="auto"/>
              <w:right w:val="single" w:sz="4" w:space="0" w:color="auto"/>
            </w:tcBorders>
            <w:shd w:val="clear" w:color="auto" w:fill="auto"/>
            <w:vAlign w:val="center"/>
            <w:hideMark/>
          </w:tcPr>
          <w:p w14:paraId="7B144EC2" w14:textId="4BA83F42" w:rsidR="00365255" w:rsidRPr="00365255" w:rsidRDefault="00365255" w:rsidP="003D6AAA">
            <w:pPr>
              <w:pStyle w:val="TableText"/>
              <w:jc w:val="right"/>
              <w:rPr>
                <w:rFonts w:ascii="Calibri" w:hAnsi="Calibri"/>
              </w:rPr>
            </w:pPr>
            <w:r w:rsidRPr="00365255">
              <w:rPr>
                <w:rFonts w:ascii="Calibri" w:hAnsi="Calibri"/>
              </w:rPr>
              <w:t>9.0</w:t>
            </w:r>
          </w:p>
        </w:tc>
        <w:tc>
          <w:tcPr>
            <w:tcW w:w="1445" w:type="dxa"/>
            <w:tcBorders>
              <w:top w:val="nil"/>
              <w:left w:val="nil"/>
              <w:bottom w:val="single" w:sz="4" w:space="0" w:color="auto"/>
              <w:right w:val="single" w:sz="4" w:space="0" w:color="auto"/>
            </w:tcBorders>
            <w:shd w:val="clear" w:color="auto" w:fill="auto"/>
            <w:vAlign w:val="center"/>
            <w:hideMark/>
          </w:tcPr>
          <w:p w14:paraId="551E6A2D" w14:textId="108FB640" w:rsidR="00365255" w:rsidRPr="00365255" w:rsidRDefault="00365255" w:rsidP="003D6AAA">
            <w:pPr>
              <w:pStyle w:val="TableText"/>
              <w:jc w:val="right"/>
              <w:rPr>
                <w:rFonts w:ascii="Calibri" w:hAnsi="Calibri"/>
              </w:rPr>
            </w:pPr>
            <w:r w:rsidRPr="00365255">
              <w:rPr>
                <w:rFonts w:ascii="Calibri" w:hAnsi="Calibri"/>
              </w:rPr>
              <w:t>7.0</w:t>
            </w:r>
          </w:p>
        </w:tc>
      </w:tr>
      <w:tr w:rsidR="0094415E" w:rsidRPr="00365255" w14:paraId="2143E73C"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3B52592D"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6133E4F1" w14:textId="744F5E9C" w:rsidR="00365255" w:rsidRPr="00365255" w:rsidRDefault="00365255" w:rsidP="00A34DA1">
            <w:pPr>
              <w:pStyle w:val="TableText"/>
              <w:rPr>
                <w:rFonts w:ascii="Calibri" w:hAnsi="Calibri"/>
              </w:rPr>
            </w:pPr>
            <w:r w:rsidRPr="00365255">
              <w:rPr>
                <w:rFonts w:ascii="Calibri" w:hAnsi="Calibri"/>
              </w:rPr>
              <w:t>Texoma</w:t>
            </w:r>
          </w:p>
        </w:tc>
        <w:tc>
          <w:tcPr>
            <w:tcW w:w="1440" w:type="dxa"/>
            <w:tcBorders>
              <w:top w:val="nil"/>
              <w:left w:val="nil"/>
              <w:bottom w:val="single" w:sz="4" w:space="0" w:color="auto"/>
              <w:right w:val="single" w:sz="4" w:space="0" w:color="auto"/>
            </w:tcBorders>
            <w:shd w:val="clear" w:color="auto" w:fill="auto"/>
            <w:vAlign w:val="center"/>
            <w:hideMark/>
          </w:tcPr>
          <w:p w14:paraId="1EE2EA56" w14:textId="23ED6AB4" w:rsidR="00365255" w:rsidRPr="00365255" w:rsidRDefault="00365255" w:rsidP="003D6AAA">
            <w:pPr>
              <w:pStyle w:val="TableText"/>
              <w:jc w:val="right"/>
              <w:rPr>
                <w:rFonts w:ascii="Calibri" w:hAnsi="Calibri"/>
              </w:rPr>
            </w:pPr>
            <w:r w:rsidRPr="00365255">
              <w:rPr>
                <w:rFonts w:ascii="Calibri" w:hAnsi="Calibri"/>
              </w:rPr>
              <w:t>3.0</w:t>
            </w:r>
          </w:p>
        </w:tc>
        <w:tc>
          <w:tcPr>
            <w:tcW w:w="1445" w:type="dxa"/>
            <w:tcBorders>
              <w:top w:val="nil"/>
              <w:left w:val="nil"/>
              <w:bottom w:val="single" w:sz="4" w:space="0" w:color="auto"/>
              <w:right w:val="single" w:sz="4" w:space="0" w:color="auto"/>
            </w:tcBorders>
            <w:shd w:val="clear" w:color="auto" w:fill="auto"/>
            <w:vAlign w:val="center"/>
            <w:hideMark/>
          </w:tcPr>
          <w:p w14:paraId="0244B798" w14:textId="662341BF" w:rsidR="00365255" w:rsidRPr="00365255" w:rsidRDefault="00365255" w:rsidP="003D6AAA">
            <w:pPr>
              <w:pStyle w:val="TableText"/>
              <w:jc w:val="right"/>
              <w:rPr>
                <w:rFonts w:ascii="Calibri" w:hAnsi="Calibri"/>
              </w:rPr>
            </w:pPr>
            <w:r w:rsidRPr="00365255">
              <w:rPr>
                <w:rFonts w:ascii="Calibri" w:hAnsi="Calibri"/>
              </w:rPr>
              <w:t>3.0</w:t>
            </w:r>
          </w:p>
        </w:tc>
      </w:tr>
      <w:tr w:rsidR="0094415E" w:rsidRPr="00365255" w14:paraId="221CE02D"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450AB84C"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474D21BD" w14:textId="719E2BBA" w:rsidR="00365255" w:rsidRPr="00365255" w:rsidRDefault="00365255" w:rsidP="00A34DA1">
            <w:pPr>
              <w:pStyle w:val="TableText"/>
              <w:rPr>
                <w:rFonts w:ascii="Calibri" w:hAnsi="Calibri"/>
              </w:rPr>
            </w:pPr>
            <w:r w:rsidRPr="00365255">
              <w:rPr>
                <w:rFonts w:ascii="Calibri" w:hAnsi="Calibri"/>
              </w:rPr>
              <w:t>Central Texas</w:t>
            </w:r>
          </w:p>
        </w:tc>
        <w:tc>
          <w:tcPr>
            <w:tcW w:w="1440" w:type="dxa"/>
            <w:tcBorders>
              <w:top w:val="nil"/>
              <w:left w:val="nil"/>
              <w:bottom w:val="single" w:sz="4" w:space="0" w:color="auto"/>
              <w:right w:val="single" w:sz="4" w:space="0" w:color="auto"/>
            </w:tcBorders>
            <w:shd w:val="clear" w:color="auto" w:fill="auto"/>
            <w:vAlign w:val="center"/>
            <w:hideMark/>
          </w:tcPr>
          <w:p w14:paraId="7514193D" w14:textId="5C007BA0" w:rsidR="00365255" w:rsidRPr="00365255" w:rsidRDefault="00365255" w:rsidP="003D6AAA">
            <w:pPr>
              <w:pStyle w:val="TableText"/>
              <w:jc w:val="right"/>
              <w:rPr>
                <w:rFonts w:ascii="Calibri" w:hAnsi="Calibri"/>
              </w:rPr>
            </w:pPr>
            <w:r w:rsidRPr="00365255">
              <w:rPr>
                <w:rFonts w:ascii="Calibri" w:hAnsi="Calibri"/>
              </w:rPr>
              <w:t>5.0</w:t>
            </w:r>
          </w:p>
        </w:tc>
        <w:tc>
          <w:tcPr>
            <w:tcW w:w="1445" w:type="dxa"/>
            <w:tcBorders>
              <w:top w:val="nil"/>
              <w:left w:val="nil"/>
              <w:bottom w:val="single" w:sz="4" w:space="0" w:color="auto"/>
              <w:right w:val="single" w:sz="4" w:space="0" w:color="auto"/>
            </w:tcBorders>
            <w:shd w:val="clear" w:color="auto" w:fill="auto"/>
            <w:vAlign w:val="center"/>
            <w:hideMark/>
          </w:tcPr>
          <w:p w14:paraId="1F19213D" w14:textId="1993891C" w:rsidR="00365255" w:rsidRPr="00365255" w:rsidRDefault="00365255" w:rsidP="003D6AAA">
            <w:pPr>
              <w:pStyle w:val="TableText"/>
              <w:jc w:val="right"/>
              <w:rPr>
                <w:rFonts w:ascii="Calibri" w:hAnsi="Calibri"/>
              </w:rPr>
            </w:pPr>
            <w:r w:rsidRPr="00365255">
              <w:rPr>
                <w:rFonts w:ascii="Calibri" w:hAnsi="Calibri"/>
              </w:rPr>
              <w:t>3.7</w:t>
            </w:r>
          </w:p>
        </w:tc>
      </w:tr>
      <w:tr w:rsidR="0094415E" w:rsidRPr="00365255" w14:paraId="1582C380"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48D0EEF8"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126C8B05" w14:textId="4BFFC4CC" w:rsidR="00365255" w:rsidRPr="00365255" w:rsidRDefault="00365255" w:rsidP="00A34DA1">
            <w:pPr>
              <w:pStyle w:val="TableText"/>
              <w:rPr>
                <w:rFonts w:ascii="Calibri" w:hAnsi="Calibri"/>
              </w:rPr>
            </w:pPr>
            <w:r w:rsidRPr="00365255">
              <w:rPr>
                <w:rFonts w:ascii="Calibri" w:hAnsi="Calibri"/>
              </w:rPr>
              <w:t>Middle Rio Grande</w:t>
            </w:r>
          </w:p>
        </w:tc>
        <w:tc>
          <w:tcPr>
            <w:tcW w:w="1440" w:type="dxa"/>
            <w:tcBorders>
              <w:top w:val="nil"/>
              <w:left w:val="nil"/>
              <w:bottom w:val="single" w:sz="4" w:space="0" w:color="auto"/>
              <w:right w:val="single" w:sz="4" w:space="0" w:color="auto"/>
            </w:tcBorders>
            <w:shd w:val="clear" w:color="auto" w:fill="auto"/>
            <w:vAlign w:val="center"/>
            <w:hideMark/>
          </w:tcPr>
          <w:p w14:paraId="691DFA02" w14:textId="2E2DA6D8" w:rsidR="00365255" w:rsidRPr="00365255" w:rsidRDefault="00365255" w:rsidP="003D6AAA">
            <w:pPr>
              <w:pStyle w:val="TableText"/>
              <w:jc w:val="right"/>
              <w:rPr>
                <w:rFonts w:ascii="Calibri" w:hAnsi="Calibri"/>
              </w:rPr>
            </w:pPr>
            <w:r w:rsidRPr="00365255">
              <w:rPr>
                <w:rFonts w:ascii="Calibri" w:hAnsi="Calibri"/>
              </w:rPr>
              <w:t>4.0</w:t>
            </w:r>
          </w:p>
        </w:tc>
        <w:tc>
          <w:tcPr>
            <w:tcW w:w="1445" w:type="dxa"/>
            <w:tcBorders>
              <w:top w:val="nil"/>
              <w:left w:val="nil"/>
              <w:bottom w:val="single" w:sz="4" w:space="0" w:color="auto"/>
              <w:right w:val="single" w:sz="4" w:space="0" w:color="auto"/>
            </w:tcBorders>
            <w:shd w:val="clear" w:color="auto" w:fill="auto"/>
            <w:vAlign w:val="center"/>
            <w:hideMark/>
          </w:tcPr>
          <w:p w14:paraId="3E0D0B99" w14:textId="2866730E" w:rsidR="00365255" w:rsidRPr="00365255" w:rsidRDefault="00365255" w:rsidP="003D6AAA">
            <w:pPr>
              <w:pStyle w:val="TableText"/>
              <w:jc w:val="right"/>
              <w:rPr>
                <w:rFonts w:ascii="Calibri" w:hAnsi="Calibri"/>
              </w:rPr>
            </w:pPr>
            <w:r w:rsidRPr="00365255">
              <w:rPr>
                <w:rFonts w:ascii="Calibri" w:hAnsi="Calibri"/>
              </w:rPr>
              <w:t>5.0</w:t>
            </w:r>
          </w:p>
        </w:tc>
      </w:tr>
      <w:tr w:rsidR="0094415E" w:rsidRPr="00365255" w14:paraId="12F8C5A4" w14:textId="77777777" w:rsidTr="0061044E">
        <w:trPr>
          <w:trHeight w:val="288"/>
        </w:trPr>
        <w:tc>
          <w:tcPr>
            <w:tcW w:w="2875" w:type="dxa"/>
            <w:tcBorders>
              <w:top w:val="nil"/>
              <w:left w:val="single" w:sz="4" w:space="0" w:color="auto"/>
              <w:bottom w:val="single" w:sz="4" w:space="0" w:color="auto"/>
              <w:right w:val="single" w:sz="4" w:space="0" w:color="auto"/>
            </w:tcBorders>
            <w:shd w:val="clear" w:color="000000" w:fill="FFFFFF"/>
            <w:noWrap/>
            <w:vAlign w:val="center"/>
            <w:hideMark/>
          </w:tcPr>
          <w:p w14:paraId="5492D3F3" w14:textId="77777777" w:rsidR="00365255" w:rsidRPr="00365255" w:rsidRDefault="00365255" w:rsidP="00A34DA1">
            <w:pPr>
              <w:pStyle w:val="TableText"/>
            </w:pPr>
            <w:r w:rsidRPr="00365255">
              <w:t>LWDA: Field</w:t>
            </w:r>
          </w:p>
        </w:tc>
        <w:tc>
          <w:tcPr>
            <w:tcW w:w="3600" w:type="dxa"/>
            <w:tcBorders>
              <w:top w:val="nil"/>
              <w:left w:val="nil"/>
              <w:bottom w:val="single" w:sz="4" w:space="0" w:color="auto"/>
              <w:right w:val="single" w:sz="4" w:space="0" w:color="auto"/>
            </w:tcBorders>
            <w:shd w:val="clear" w:color="auto" w:fill="auto"/>
            <w:vAlign w:val="center"/>
            <w:hideMark/>
          </w:tcPr>
          <w:p w14:paraId="1FD9F1F0" w14:textId="7D58979B" w:rsidR="00365255" w:rsidRPr="00365255" w:rsidRDefault="00365255" w:rsidP="00A34DA1">
            <w:pPr>
              <w:pStyle w:val="TableText"/>
              <w:rPr>
                <w:rFonts w:ascii="Calibri" w:hAnsi="Calibri"/>
              </w:rPr>
            </w:pPr>
            <w:r w:rsidRPr="00365255">
              <w:rPr>
                <w:rFonts w:ascii="Calibri" w:hAnsi="Calibri"/>
              </w:rPr>
              <w:t>Gulf Coast</w:t>
            </w:r>
          </w:p>
        </w:tc>
        <w:tc>
          <w:tcPr>
            <w:tcW w:w="1440" w:type="dxa"/>
            <w:tcBorders>
              <w:top w:val="nil"/>
              <w:left w:val="nil"/>
              <w:bottom w:val="single" w:sz="4" w:space="0" w:color="auto"/>
              <w:right w:val="single" w:sz="4" w:space="0" w:color="auto"/>
            </w:tcBorders>
            <w:shd w:val="clear" w:color="auto" w:fill="auto"/>
            <w:vAlign w:val="center"/>
            <w:hideMark/>
          </w:tcPr>
          <w:p w14:paraId="072343CE" w14:textId="550B2BF1" w:rsidR="00365255" w:rsidRPr="00365255" w:rsidRDefault="00365255" w:rsidP="003D6AAA">
            <w:pPr>
              <w:pStyle w:val="TableText"/>
              <w:jc w:val="right"/>
              <w:rPr>
                <w:rFonts w:ascii="Calibri" w:hAnsi="Calibri"/>
              </w:rPr>
            </w:pPr>
            <w:r w:rsidRPr="00365255">
              <w:rPr>
                <w:rFonts w:ascii="Calibri" w:hAnsi="Calibri"/>
              </w:rPr>
              <w:t>108.0</w:t>
            </w:r>
          </w:p>
        </w:tc>
        <w:tc>
          <w:tcPr>
            <w:tcW w:w="1445" w:type="dxa"/>
            <w:tcBorders>
              <w:top w:val="nil"/>
              <w:left w:val="nil"/>
              <w:bottom w:val="single" w:sz="4" w:space="0" w:color="auto"/>
              <w:right w:val="single" w:sz="4" w:space="0" w:color="auto"/>
            </w:tcBorders>
            <w:shd w:val="clear" w:color="auto" w:fill="auto"/>
            <w:vAlign w:val="center"/>
            <w:hideMark/>
          </w:tcPr>
          <w:p w14:paraId="6EECF17A" w14:textId="4ABD0600" w:rsidR="00365255" w:rsidRPr="00365255" w:rsidRDefault="00365255" w:rsidP="003D6AAA">
            <w:pPr>
              <w:pStyle w:val="TableText"/>
              <w:jc w:val="right"/>
              <w:rPr>
                <w:rFonts w:ascii="Calibri" w:hAnsi="Calibri"/>
              </w:rPr>
            </w:pPr>
            <w:r w:rsidRPr="00365255">
              <w:rPr>
                <w:rFonts w:ascii="Calibri" w:hAnsi="Calibri"/>
              </w:rPr>
              <w:t>102.5</w:t>
            </w:r>
          </w:p>
        </w:tc>
      </w:tr>
    </w:tbl>
    <w:bookmarkEnd w:id="201"/>
    <w:p w14:paraId="5845C631" w14:textId="77777777" w:rsidR="00A80A5C" w:rsidRDefault="00A80A5C" w:rsidP="00A80A5C">
      <w:pPr>
        <w:pStyle w:val="BodyText"/>
      </w:pPr>
      <w:r>
        <w:t>TWC has co-located as many functions as possible into regional and field office locations, making access to services easier for customers and reducing infrastructure costs. As a result, many regional and local offices operate in a co-located manner. For example, a field office could house TWC staff focused on general workforce development client service assistance, unemployment insurance benefits and tax assistance, and providing vocational rehabilitation services to individuals with disabilities. Not included in the FTE counts in this exhibit are Local Workforce Development Board staff, their contractor staff, and other partner staff that are based in LWDA offices.</w:t>
      </w:r>
    </w:p>
    <w:p w14:paraId="2CF6137D" w14:textId="01D3D3AE" w:rsidR="00A80A5C" w:rsidRDefault="00A80A5C" w:rsidP="00A80A5C">
      <w:pPr>
        <w:pStyle w:val="BodyText"/>
      </w:pPr>
      <w:r>
        <w:t xml:space="preserve">Information on the services offered and an office locator is available on the </w:t>
      </w:r>
      <w:hyperlink r:id="rId53" w:history="1">
        <w:r w:rsidR="00833098">
          <w:rPr>
            <w:rStyle w:val="Hyperlink"/>
          </w:rPr>
          <w:t>Find Locations</w:t>
        </w:r>
      </w:hyperlink>
      <w:r>
        <w:t xml:space="preserve"> page of the TWC website.</w:t>
      </w:r>
    </w:p>
    <w:p w14:paraId="567B9728" w14:textId="6A618165" w:rsidR="00FC7A2C" w:rsidRDefault="00FC7A2C" w:rsidP="00C523F1">
      <w:pPr>
        <w:pStyle w:val="BodyText3"/>
        <w:rPr>
          <w:rStyle w:val="Strong"/>
        </w:rPr>
      </w:pPr>
      <w:bookmarkStart w:id="202" w:name="_Toc417645506"/>
      <w:bookmarkStart w:id="203" w:name="_Toc417647495"/>
      <w:r w:rsidRPr="00350FF0">
        <w:rPr>
          <w:rStyle w:val="Strong"/>
        </w:rPr>
        <w:t>C.</w:t>
      </w:r>
      <w:r w:rsidR="00C523F1">
        <w:rPr>
          <w:rStyle w:val="Strong"/>
        </w:rPr>
        <w:tab/>
      </w:r>
      <w:r w:rsidRPr="00350FF0">
        <w:rPr>
          <w:rStyle w:val="Strong"/>
        </w:rPr>
        <w:t>What are your agency</w:t>
      </w:r>
      <w:r w:rsidR="00F044D6">
        <w:rPr>
          <w:rStyle w:val="Strong"/>
        </w:rPr>
        <w:t>’</w:t>
      </w:r>
      <w:r w:rsidRPr="00350FF0">
        <w:rPr>
          <w:rStyle w:val="Strong"/>
        </w:rPr>
        <w:t>s FTE caps for fiscal years 20</w:t>
      </w:r>
      <w:r w:rsidR="00C47A97">
        <w:rPr>
          <w:rStyle w:val="Strong"/>
        </w:rPr>
        <w:t>2</w:t>
      </w:r>
      <w:r w:rsidR="009D58FE">
        <w:rPr>
          <w:rStyle w:val="Strong"/>
        </w:rPr>
        <w:t>3-27</w:t>
      </w:r>
      <w:r w:rsidRPr="00350FF0">
        <w:rPr>
          <w:rStyle w:val="Strong"/>
        </w:rPr>
        <w:t>?</w:t>
      </w:r>
      <w:bookmarkEnd w:id="202"/>
      <w:bookmarkEnd w:id="203"/>
    </w:p>
    <w:tbl>
      <w:tblPr>
        <w:tblW w:w="28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5"/>
        <w:gridCol w:w="1440"/>
      </w:tblGrid>
      <w:tr w:rsidR="00F53646" w:rsidRPr="00F53646" w14:paraId="39874C1D" w14:textId="77777777" w:rsidTr="00220046">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26C1AD12" w14:textId="652CFDB4" w:rsidR="00F53646" w:rsidRPr="00F53646" w:rsidRDefault="00F53646" w:rsidP="00F53646">
            <w:pPr>
              <w:pStyle w:val="TableHeaders"/>
              <w:rPr>
                <w:rFonts w:ascii="Segoe UI" w:hAnsi="Segoe UI"/>
                <w:szCs w:val="18"/>
              </w:rPr>
            </w:pPr>
            <w:r w:rsidRPr="00F53646">
              <w:t>Fiscal Year</w:t>
            </w:r>
          </w:p>
        </w:tc>
        <w:tc>
          <w:tcPr>
            <w:tcW w:w="1440" w:type="dxa"/>
            <w:tcBorders>
              <w:top w:val="single" w:sz="6" w:space="0" w:color="auto"/>
              <w:left w:val="single" w:sz="6" w:space="0" w:color="auto"/>
              <w:bottom w:val="single" w:sz="6" w:space="0" w:color="auto"/>
              <w:right w:val="single" w:sz="6" w:space="0" w:color="auto"/>
            </w:tcBorders>
            <w:shd w:val="clear" w:color="auto" w:fill="C6D9F1" w:themeFill="text2" w:themeFillTint="33"/>
            <w:hideMark/>
          </w:tcPr>
          <w:p w14:paraId="6F1952B8" w14:textId="0A0DCD3F" w:rsidR="00F53646" w:rsidRPr="00F53646" w:rsidRDefault="00F53646" w:rsidP="00F53646">
            <w:pPr>
              <w:pStyle w:val="TableHeaders"/>
              <w:rPr>
                <w:rFonts w:ascii="Segoe UI" w:hAnsi="Segoe UI"/>
                <w:szCs w:val="18"/>
              </w:rPr>
            </w:pPr>
            <w:r w:rsidRPr="00F53646">
              <w:t>FTE Cap</w:t>
            </w:r>
          </w:p>
        </w:tc>
      </w:tr>
      <w:tr w:rsidR="00F53646" w:rsidRPr="00F53646" w14:paraId="7C4F08E6" w14:textId="77777777" w:rsidTr="00220046">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167FC456" w14:textId="4E878EC0" w:rsidR="00F53646" w:rsidRPr="00F53646" w:rsidRDefault="00F53646" w:rsidP="00F53646">
            <w:pPr>
              <w:pStyle w:val="TableText"/>
              <w:rPr>
                <w:rFonts w:ascii="Segoe UI" w:hAnsi="Segoe UI"/>
                <w:szCs w:val="18"/>
              </w:rPr>
            </w:pPr>
            <w:r w:rsidRPr="00F53646">
              <w:t>2023</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E9BDBE0" w14:textId="14C9F959" w:rsidR="00F53646" w:rsidRPr="00F53646" w:rsidRDefault="00F53646" w:rsidP="00F53646">
            <w:pPr>
              <w:pStyle w:val="TableText"/>
              <w:rPr>
                <w:rFonts w:ascii="Segoe UI" w:hAnsi="Segoe UI"/>
                <w:szCs w:val="18"/>
              </w:rPr>
            </w:pPr>
            <w:r w:rsidRPr="00F53646">
              <w:t>4,871.5</w:t>
            </w:r>
          </w:p>
        </w:tc>
      </w:tr>
      <w:tr w:rsidR="00F53646" w:rsidRPr="00F53646" w14:paraId="4CFB3E3B" w14:textId="77777777" w:rsidTr="00220046">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7F15484D" w14:textId="417C43AD" w:rsidR="00F53646" w:rsidRPr="00F53646" w:rsidRDefault="00F53646" w:rsidP="00F53646">
            <w:pPr>
              <w:pStyle w:val="TableText"/>
              <w:rPr>
                <w:rFonts w:ascii="Segoe UI" w:hAnsi="Segoe UI"/>
                <w:szCs w:val="18"/>
              </w:rPr>
            </w:pPr>
            <w:r w:rsidRPr="00F53646">
              <w:t>2024</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E83AFC6" w14:textId="236F9836" w:rsidR="00F53646" w:rsidRPr="00F53646" w:rsidRDefault="00F53646" w:rsidP="00F53646">
            <w:pPr>
              <w:pStyle w:val="TableText"/>
              <w:rPr>
                <w:rFonts w:ascii="Segoe UI" w:hAnsi="Segoe UI"/>
                <w:szCs w:val="18"/>
              </w:rPr>
            </w:pPr>
            <w:r w:rsidRPr="00F53646">
              <w:t>4,905.5</w:t>
            </w:r>
          </w:p>
        </w:tc>
      </w:tr>
      <w:tr w:rsidR="00F53646" w:rsidRPr="00F53646" w14:paraId="0820AEBA" w14:textId="77777777" w:rsidTr="00220046">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5D8F4EA6" w14:textId="573D1B37" w:rsidR="00F53646" w:rsidRPr="00F53646" w:rsidRDefault="00F53646" w:rsidP="00F53646">
            <w:pPr>
              <w:pStyle w:val="TableText"/>
              <w:rPr>
                <w:rFonts w:ascii="Segoe UI" w:hAnsi="Segoe UI"/>
                <w:szCs w:val="18"/>
              </w:rPr>
            </w:pPr>
            <w:r w:rsidRPr="00F53646">
              <w:t>2025</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DC921C0" w14:textId="0B2F1108" w:rsidR="00F53646" w:rsidRPr="00F53646" w:rsidRDefault="00F53646" w:rsidP="00F53646">
            <w:pPr>
              <w:pStyle w:val="TableText"/>
              <w:rPr>
                <w:rFonts w:ascii="Segoe UI" w:hAnsi="Segoe UI"/>
                <w:szCs w:val="18"/>
              </w:rPr>
            </w:pPr>
            <w:r w:rsidRPr="00F53646">
              <w:t>4,916.5</w:t>
            </w:r>
          </w:p>
        </w:tc>
      </w:tr>
      <w:tr w:rsidR="00F53646" w:rsidRPr="00F53646" w14:paraId="3BBF139F" w14:textId="77777777" w:rsidTr="00220046">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68DBBF3A" w14:textId="5E49DEE0" w:rsidR="00F53646" w:rsidRPr="00F53646" w:rsidRDefault="00F53646" w:rsidP="00F53646">
            <w:pPr>
              <w:pStyle w:val="TableText"/>
              <w:rPr>
                <w:rFonts w:ascii="Segoe UI" w:hAnsi="Segoe UI"/>
                <w:szCs w:val="18"/>
              </w:rPr>
            </w:pPr>
            <w:r w:rsidRPr="00F53646">
              <w:t>2026</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514413F9" w14:textId="27AD2956" w:rsidR="00F53646" w:rsidRPr="00F53646" w:rsidRDefault="00F53646" w:rsidP="00F53646">
            <w:pPr>
              <w:pStyle w:val="TableText"/>
              <w:rPr>
                <w:rFonts w:ascii="Segoe UI" w:hAnsi="Segoe UI"/>
                <w:szCs w:val="18"/>
              </w:rPr>
            </w:pPr>
            <w:r w:rsidRPr="00F53646">
              <w:t>5,066.0</w:t>
            </w:r>
          </w:p>
        </w:tc>
      </w:tr>
      <w:tr w:rsidR="00F53646" w:rsidRPr="00F53646" w14:paraId="7E4DA85E" w14:textId="77777777" w:rsidTr="00220046">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hideMark/>
          </w:tcPr>
          <w:p w14:paraId="2C607E46" w14:textId="52F825AB" w:rsidR="00F53646" w:rsidRPr="00F53646" w:rsidRDefault="00F53646" w:rsidP="00F53646">
            <w:pPr>
              <w:pStyle w:val="TableText"/>
              <w:rPr>
                <w:rFonts w:ascii="Segoe UI" w:hAnsi="Segoe UI"/>
                <w:szCs w:val="18"/>
              </w:rPr>
            </w:pPr>
            <w:r w:rsidRPr="00F53646">
              <w:t>2027</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0CD91029" w14:textId="3917A262" w:rsidR="00F53646" w:rsidRPr="00F53646" w:rsidRDefault="00F53646" w:rsidP="00F53646">
            <w:pPr>
              <w:pStyle w:val="TableText"/>
              <w:rPr>
                <w:rFonts w:ascii="Segoe UI" w:hAnsi="Segoe UI"/>
                <w:szCs w:val="18"/>
              </w:rPr>
            </w:pPr>
            <w:r w:rsidRPr="00F53646">
              <w:t>5,066.0</w:t>
            </w:r>
          </w:p>
        </w:tc>
      </w:tr>
    </w:tbl>
    <w:p w14:paraId="0ECF6F6C" w14:textId="60C907F0" w:rsidR="00FC7A2C" w:rsidRDefault="00FC7A2C" w:rsidP="006C2AE3">
      <w:pPr>
        <w:pStyle w:val="BodyText3"/>
        <w:ind w:left="720" w:hanging="720"/>
        <w:rPr>
          <w:rStyle w:val="Strong"/>
        </w:rPr>
      </w:pPr>
      <w:bookmarkStart w:id="204" w:name="_Toc417645507"/>
      <w:bookmarkStart w:id="205" w:name="_Toc417647496"/>
      <w:r w:rsidRPr="00350FF0">
        <w:rPr>
          <w:rStyle w:val="Strong"/>
        </w:rPr>
        <w:t>D.</w:t>
      </w:r>
      <w:r w:rsidR="006C2AE3">
        <w:rPr>
          <w:rStyle w:val="Strong"/>
        </w:rPr>
        <w:tab/>
      </w:r>
      <w:r w:rsidRPr="00350FF0">
        <w:rPr>
          <w:rStyle w:val="Strong"/>
        </w:rPr>
        <w:t>How many temporary or contract employees did your agency have</w:t>
      </w:r>
      <w:r w:rsidR="00F95E32" w:rsidRPr="00350FF0">
        <w:rPr>
          <w:rStyle w:val="Strong"/>
        </w:rPr>
        <w:t xml:space="preserve"> </w:t>
      </w:r>
      <w:r w:rsidR="00064F32" w:rsidRPr="00350FF0">
        <w:rPr>
          <w:rStyle w:val="Strong"/>
        </w:rPr>
        <w:t>in fiscal year</w:t>
      </w:r>
      <w:r w:rsidRPr="00350FF0">
        <w:rPr>
          <w:rStyle w:val="Strong"/>
        </w:rPr>
        <w:t xml:space="preserve"> 20</w:t>
      </w:r>
      <w:r w:rsidR="00D73036" w:rsidRPr="00350FF0">
        <w:rPr>
          <w:rStyle w:val="Strong"/>
        </w:rPr>
        <w:t>2</w:t>
      </w:r>
      <w:r w:rsidR="001C2C5E">
        <w:rPr>
          <w:rStyle w:val="Strong"/>
        </w:rPr>
        <w:t>4</w:t>
      </w:r>
      <w:r w:rsidRPr="00350FF0">
        <w:rPr>
          <w:rStyle w:val="Strong"/>
        </w:rPr>
        <w:t>?</w:t>
      </w:r>
      <w:bookmarkEnd w:id="204"/>
      <w:bookmarkEnd w:id="205"/>
      <w:r w:rsidR="008A4A34">
        <w:rPr>
          <w:rStyle w:val="Strong"/>
        </w:rPr>
        <w:t xml:space="preserve"> </w:t>
      </w:r>
      <w:r w:rsidR="001A0718">
        <w:rPr>
          <w:rStyle w:val="Strong"/>
        </w:rPr>
        <w:t xml:space="preserve">If use of contractors is significant, please break out totals by </w:t>
      </w:r>
      <w:r w:rsidR="001A0718">
        <w:rPr>
          <w:rStyle w:val="Strong"/>
        </w:rPr>
        <w:lastRenderedPageBreak/>
        <w:t>program or departm</w:t>
      </w:r>
      <w:r w:rsidR="001C2C5E">
        <w:rPr>
          <w:rStyle w:val="Strong"/>
        </w:rPr>
        <w:t>ent</w:t>
      </w:r>
      <w:r w:rsidR="001A0718">
        <w:rPr>
          <w:rStyle w:val="Strong"/>
        </w:rPr>
        <w:t xml:space="preserve">. </w:t>
      </w:r>
      <w:r w:rsidR="00EE7535" w:rsidRPr="00350FF0">
        <w:rPr>
          <w:rStyle w:val="Strong"/>
        </w:rPr>
        <w:t>Please provide a short summary of the purpose of each position</w:t>
      </w:r>
      <w:r w:rsidR="00D84E10">
        <w:rPr>
          <w:rStyle w:val="Strong"/>
        </w:rPr>
        <w:t xml:space="preserve"> type</w:t>
      </w:r>
      <w:r w:rsidR="00EE7535" w:rsidRPr="00350FF0">
        <w:rPr>
          <w:rStyle w:val="Strong"/>
        </w:rPr>
        <w:t xml:space="preserve">, </w:t>
      </w:r>
      <w:proofErr w:type="gramStart"/>
      <w:r w:rsidR="00EE7535" w:rsidRPr="00350FF0">
        <w:rPr>
          <w:rStyle w:val="Strong"/>
        </w:rPr>
        <w:t>amount</w:t>
      </w:r>
      <w:proofErr w:type="gramEnd"/>
      <w:r w:rsidR="00EE7535" w:rsidRPr="00350FF0">
        <w:rPr>
          <w:rStyle w:val="Strong"/>
        </w:rPr>
        <w:t xml:space="preserve"> of expenditures per </w:t>
      </w:r>
      <w:r w:rsidR="001A0718">
        <w:rPr>
          <w:rStyle w:val="Strong"/>
        </w:rPr>
        <w:t>position type</w:t>
      </w:r>
      <w:r w:rsidR="00EE7535" w:rsidRPr="00350FF0">
        <w:rPr>
          <w:rStyle w:val="Strong"/>
        </w:rPr>
        <w:t>, and procurement method</w:t>
      </w:r>
      <w:r w:rsidR="001A0718">
        <w:rPr>
          <w:rStyle w:val="Strong"/>
        </w:rPr>
        <w:t>s used</w:t>
      </w:r>
      <w:r w:rsidR="00EE7535" w:rsidRPr="00350FF0">
        <w:rPr>
          <w:rStyle w:val="Strong"/>
        </w:rPr>
        <w:t>.</w:t>
      </w:r>
    </w:p>
    <w:p w14:paraId="012EC211" w14:textId="085A596D" w:rsidR="00AB0766" w:rsidRPr="00801AFE" w:rsidRDefault="00AB0766" w:rsidP="00FB16FE">
      <w:pPr>
        <w:pStyle w:val="BodyText"/>
      </w:pPr>
      <w:r w:rsidRPr="00801AFE">
        <w:t>In fiscal year 2024, TWC had 390 individual contract employees.  The attached</w:t>
      </w:r>
      <w:r w:rsidR="00EF7FC0">
        <w:t xml:space="preserve"> spreadsheet, </w:t>
      </w:r>
      <w:proofErr w:type="gramStart"/>
      <w:r w:rsidRPr="00801AFE">
        <w:t>Exhibit</w:t>
      </w:r>
      <w:proofErr w:type="gramEnd"/>
      <w:r w:rsidRPr="00801AFE">
        <w:t xml:space="preserve"> 12</w:t>
      </w:r>
      <w:r w:rsidR="00D87353" w:rsidRPr="00801AFE">
        <w:t>_</w:t>
      </w:r>
      <w:r w:rsidRPr="00801AFE">
        <w:t>TemporaryContractEmployeesFY24 provides detail on positions, expenditures, and procurement methods used by each division.  Three divisions used the most contract employees, as discussed below.</w:t>
      </w:r>
    </w:p>
    <w:p w14:paraId="79D7A68B" w14:textId="1C005396" w:rsidR="00AB0766" w:rsidRDefault="00AB0766" w:rsidP="00E768A5">
      <w:pPr>
        <w:pStyle w:val="BodyText"/>
        <w:numPr>
          <w:ilvl w:val="0"/>
          <w:numId w:val="35"/>
        </w:numPr>
      </w:pPr>
      <w:r>
        <w:rPr>
          <w:rFonts w:cs="Segoe UI"/>
        </w:rPr>
        <w:t>The Appellate Services Division (ASD) used contract staff in FY</w:t>
      </w:r>
      <w:r w:rsidR="008C2585">
        <w:rPr>
          <w:rFonts w:cs="Segoe UI"/>
        </w:rPr>
        <w:t xml:space="preserve"> 20</w:t>
      </w:r>
      <w:r>
        <w:rPr>
          <w:rFonts w:cs="Segoe UI"/>
        </w:rPr>
        <w:t>24 due to a combination of high workloads and persistent staffing challenges. The high volume of cases, coupled with difficulties in filling vacant permanent positions, created a critical need for supplemental support to maintain operational efficiency and promote the timely processing of appeals. A thoughtful mix of tenured staff, new hires, and contract staff provided ASD the best opportunity to meet our statutory and USDOL obligations despite ongoing staffing constraints.</w:t>
      </w:r>
    </w:p>
    <w:p w14:paraId="611D0E51" w14:textId="48CA1941" w:rsidR="00AB0766" w:rsidRDefault="00AB0766" w:rsidP="00E768A5">
      <w:pPr>
        <w:pStyle w:val="BodyText"/>
        <w:numPr>
          <w:ilvl w:val="0"/>
          <w:numId w:val="35"/>
        </w:numPr>
      </w:pPr>
      <w:r>
        <w:rPr>
          <w:rFonts w:cs="Segoe UI"/>
        </w:rPr>
        <w:t>For the Information Technology Division, leveraging contractors is a critical element of success in delivering information resource projects and adapting to evolving resource demands. Many contract staff are allocated to capital projects, while the remainder provide crucial IT support to address dynamic operational requirements. This flexible model enables the division to quickly bridge skill gaps with specialized expertise, scale the team to meet fluctuating needs, and incorporate industry best practices, ultimately driving project success and enhancing overall team capabilities.</w:t>
      </w:r>
    </w:p>
    <w:p w14:paraId="32BB2D7E" w14:textId="22C2E6DD" w:rsidR="00AB0766" w:rsidRPr="0064447F" w:rsidRDefault="00AB0766" w:rsidP="00E768A5">
      <w:pPr>
        <w:pStyle w:val="BodyText"/>
        <w:numPr>
          <w:ilvl w:val="0"/>
          <w:numId w:val="34"/>
        </w:numPr>
      </w:pPr>
      <w:r w:rsidRPr="0064447F">
        <w:t>The V</w:t>
      </w:r>
      <w:r w:rsidR="006B37B1">
        <w:t>R</w:t>
      </w:r>
      <w:r w:rsidRPr="0064447F">
        <w:t xml:space="preserve"> </w:t>
      </w:r>
      <w:proofErr w:type="gramStart"/>
      <w:r w:rsidRPr="0064447F">
        <w:t>Division  has</w:t>
      </w:r>
      <w:proofErr w:type="gramEnd"/>
      <w:r w:rsidRPr="0064447F">
        <w:t xml:space="preserve"> used </w:t>
      </w:r>
      <w:r w:rsidRPr="00070B70">
        <w:t>contract workers to</w:t>
      </w:r>
      <w:r w:rsidRPr="0064447F">
        <w:t xml:space="preserve"> assist in offices with high staff turnover since April 2022 to ensure customers did not experience any service interruptions.</w:t>
      </w:r>
      <w:r w:rsidRPr="0064447F">
        <w:rPr>
          <w:rFonts w:cs="Arial"/>
        </w:rPr>
        <w:t> </w:t>
      </w:r>
      <w:r w:rsidRPr="0064447F">
        <w:t xml:space="preserve"> VR contracted with a staffing agency to provide workers to perform support activities and were not assigned nondelegable duties that must be performed only by VR employees.</w:t>
      </w:r>
      <w:r w:rsidRPr="0064447F">
        <w:rPr>
          <w:rFonts w:cs="Arial"/>
        </w:rPr>
        <w:t> </w:t>
      </w:r>
      <w:r w:rsidRPr="0064447F">
        <w:t xml:space="preserve"> VR ended the use of contract workers effective Aug</w:t>
      </w:r>
      <w:r w:rsidR="002D308F">
        <w:t>.</w:t>
      </w:r>
      <w:r w:rsidRPr="0064447F">
        <w:t xml:space="preserve"> 31, </w:t>
      </w:r>
      <w:r w:rsidRPr="0064447F">
        <w:rPr>
          <w:rFonts w:eastAsiaTheme="majorEastAsia"/>
        </w:rPr>
        <w:t>2024</w:t>
      </w:r>
      <w:r w:rsidR="00AD2EDA">
        <w:rPr>
          <w:rFonts w:eastAsiaTheme="majorEastAsia"/>
        </w:rPr>
        <w:t>,</w:t>
      </w:r>
      <w:r w:rsidRPr="0064447F">
        <w:t xml:space="preserve"> as the turnover rate for the division has improved.  In the case of the Criss Cole Rehabilitation Center, a residential vocational rehabilitation training facility in Austin, the temporary Residential Specialists support</w:t>
      </w:r>
      <w:r w:rsidR="002177F3">
        <w:t>ed</w:t>
      </w:r>
      <w:r w:rsidRPr="0064447F">
        <w:t xml:space="preserve"> shortages </w:t>
      </w:r>
      <w:r w:rsidR="002177F3">
        <w:t>in coverage</w:t>
      </w:r>
      <w:r w:rsidRPr="0064447F">
        <w:t xml:space="preserve"> for 24</w:t>
      </w:r>
      <w:r w:rsidR="002177F3">
        <w:t>-</w:t>
      </w:r>
      <w:r w:rsidRPr="0064447F">
        <w:t>hour and weekend shift</w:t>
      </w:r>
      <w:r w:rsidR="002177F3">
        <w:t>s</w:t>
      </w:r>
      <w:r w:rsidRPr="0064447F">
        <w:t xml:space="preserve">. The Training Development Specialist positions were used to provide coverage for a summer program with extended hours. </w:t>
      </w:r>
    </w:p>
    <w:p w14:paraId="51CCFC1C" w14:textId="65C0DB42" w:rsidR="00AB0766" w:rsidRPr="0064447F" w:rsidRDefault="00AB0766" w:rsidP="00220046">
      <w:pPr>
        <w:pStyle w:val="BodyText"/>
      </w:pPr>
      <w:r w:rsidRPr="0064447F">
        <w:t>TWC reported an average of 43.8 FTEs as contract workers paid with appropriated funds to the State Auditor’s Office (SAO) in fiscal year 2024.  This figure does not include contract workers that did not qualify as FTEs or were paid with non-appropriated funds, in accordance with SAO’s instructions.  TWC had numerous contract workers in the Appellate Services Division and Child Care and Early Learning Division who were paid using federal pandemic funding.  TWC also had contract workers in the Information Technology Division who were paid using capital budget authority funds.  These contract workers were not included in TWC’s quarterly FTE reports to SAO.</w:t>
      </w:r>
    </w:p>
    <w:p w14:paraId="58956FAA" w14:textId="5321515D" w:rsidR="001235F2" w:rsidRPr="006C2AE3" w:rsidRDefault="00FC7A2C" w:rsidP="006C2AE3">
      <w:pPr>
        <w:pStyle w:val="BodyText3"/>
        <w:ind w:left="720" w:hanging="720"/>
      </w:pPr>
      <w:bookmarkStart w:id="206" w:name="_E._List_each"/>
      <w:bookmarkStart w:id="207" w:name="_Toc417645508"/>
      <w:bookmarkStart w:id="208" w:name="_Toc417647497"/>
      <w:bookmarkEnd w:id="206"/>
      <w:r w:rsidRPr="006C2AE3">
        <w:rPr>
          <w:rStyle w:val="Strong"/>
          <w:bCs w:val="0"/>
        </w:rPr>
        <w:lastRenderedPageBreak/>
        <w:t>E.</w:t>
      </w:r>
      <w:r w:rsidR="006C2AE3">
        <w:rPr>
          <w:rStyle w:val="Strong"/>
          <w:bCs w:val="0"/>
        </w:rPr>
        <w:tab/>
      </w:r>
      <w:r w:rsidRPr="006C2AE3">
        <w:rPr>
          <w:rStyle w:val="Strong"/>
          <w:bCs w:val="0"/>
        </w:rPr>
        <w:t>List each of your agency</w:t>
      </w:r>
      <w:r w:rsidR="00F044D6" w:rsidRPr="006C2AE3">
        <w:rPr>
          <w:rStyle w:val="Strong"/>
          <w:bCs w:val="0"/>
        </w:rPr>
        <w:t>’</w:t>
      </w:r>
      <w:r w:rsidRPr="006C2AE3">
        <w:rPr>
          <w:rStyle w:val="Strong"/>
          <w:bCs w:val="0"/>
        </w:rPr>
        <w:t>s key programs or functions, along with expenditures and FTEs by program</w:t>
      </w:r>
      <w:r w:rsidR="00832B49" w:rsidRPr="006C2AE3">
        <w:rPr>
          <w:rStyle w:val="Strong"/>
          <w:bCs w:val="0"/>
        </w:rPr>
        <w:t>.</w:t>
      </w:r>
      <w:bookmarkEnd w:id="207"/>
      <w:bookmarkEnd w:id="208"/>
      <w:r w:rsidR="00466461" w:rsidRPr="006C2AE3">
        <w:rPr>
          <w:rStyle w:val="Strong"/>
          <w:bCs w:val="0"/>
        </w:rPr>
        <w:t xml:space="preserve"> </w:t>
      </w:r>
      <w:r w:rsidR="00906D54" w:rsidRPr="006C2AE3">
        <w:t xml:space="preserve">If you have already completed the “Agency Program Information” spreadsheet in advance, </w:t>
      </w:r>
      <w:r w:rsidR="00D0554D" w:rsidRPr="006C2AE3">
        <w:t>you do not need to</w:t>
      </w:r>
      <w:r w:rsidR="00906D54" w:rsidRPr="006C2AE3">
        <w:t xml:space="preserve"> replicate any duplicative information below.)</w:t>
      </w:r>
    </w:p>
    <w:p w14:paraId="286C7503" w14:textId="0DAA8249" w:rsidR="00820CFB" w:rsidRPr="00820CFB" w:rsidRDefault="00820CFB" w:rsidP="00820CFB">
      <w:pPr>
        <w:pStyle w:val="BodyText"/>
      </w:pPr>
      <w:r w:rsidRPr="00820CFB">
        <w:t>TWC’s list of 82 key programs or functions, along with expenditures and FTEs by program for fiscal years 2024 and 2025 is in the attached spreadsheet Exhibit 13</w:t>
      </w:r>
      <w:r w:rsidR="007A52E5">
        <w:t>_</w:t>
      </w:r>
      <w:r w:rsidRPr="00820CFB">
        <w:t>List of Program FTEs and Expenditures. The following table provides total expenditures and FTEs for each fiscal year.</w:t>
      </w:r>
    </w:p>
    <w:tbl>
      <w:tblPr>
        <w:tblW w:w="673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1425"/>
        <w:gridCol w:w="2700"/>
        <w:gridCol w:w="2610"/>
      </w:tblGrid>
      <w:tr w:rsidR="00820CFB" w:rsidRPr="00820CFB" w14:paraId="1425EB65" w14:textId="77777777" w:rsidTr="00881DBB">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00075578" w14:textId="2C3A4BB5" w:rsidR="00820CFB" w:rsidRPr="00820CFB" w:rsidRDefault="00820CFB" w:rsidP="002A3A53">
            <w:pPr>
              <w:pStyle w:val="TableHeaders"/>
              <w:rPr>
                <w:b w:val="0"/>
              </w:rPr>
            </w:pPr>
            <w:r w:rsidRPr="00820CFB">
              <w:t>Fiscal Year</w:t>
            </w:r>
          </w:p>
        </w:tc>
        <w:tc>
          <w:tcPr>
            <w:tcW w:w="270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34668A14" w14:textId="53772230" w:rsidR="00820CFB" w:rsidRPr="00820CFB" w:rsidRDefault="00820CFB" w:rsidP="002A3A53">
            <w:pPr>
              <w:pStyle w:val="TableHeaders"/>
              <w:rPr>
                <w:b w:val="0"/>
              </w:rPr>
            </w:pPr>
            <w:r w:rsidRPr="00820CFB">
              <w:t>Expenditures</w:t>
            </w:r>
          </w:p>
        </w:tc>
        <w:tc>
          <w:tcPr>
            <w:tcW w:w="2610"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hideMark/>
          </w:tcPr>
          <w:p w14:paraId="5CCBDE8F" w14:textId="1C677790" w:rsidR="00820CFB" w:rsidRPr="00820CFB" w:rsidRDefault="00820CFB" w:rsidP="002A3A53">
            <w:pPr>
              <w:pStyle w:val="TableHeaders"/>
              <w:rPr>
                <w:b w:val="0"/>
              </w:rPr>
            </w:pPr>
            <w:r w:rsidRPr="00820CFB">
              <w:t>FTEs</w:t>
            </w:r>
          </w:p>
        </w:tc>
      </w:tr>
      <w:tr w:rsidR="00820CFB" w:rsidRPr="00820CFB" w14:paraId="101CCACF" w14:textId="77777777" w:rsidTr="00881DBB">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43432" w14:textId="3D024EF8" w:rsidR="00820CFB" w:rsidRPr="00820CFB" w:rsidRDefault="00820CFB" w:rsidP="002A3A53">
            <w:pPr>
              <w:pStyle w:val="TableText"/>
              <w:jc w:val="center"/>
            </w:pPr>
            <w:r w:rsidRPr="00820CFB">
              <w:t>2024</w:t>
            </w:r>
          </w:p>
        </w:tc>
        <w:tc>
          <w:tcPr>
            <w:tcW w:w="2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1325FA" w14:textId="77777777" w:rsidR="00820CFB" w:rsidRPr="00820CFB" w:rsidRDefault="00820CFB" w:rsidP="002A3A53">
            <w:pPr>
              <w:pStyle w:val="TableText"/>
              <w:jc w:val="right"/>
            </w:pPr>
            <w:r w:rsidRPr="00820CFB">
              <w:t>$2.76 billion (actual)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A4AA0E" w14:textId="77777777" w:rsidR="00820CFB" w:rsidRPr="00820CFB" w:rsidRDefault="00820CFB" w:rsidP="002A3A53">
            <w:pPr>
              <w:pStyle w:val="TableText"/>
              <w:jc w:val="right"/>
            </w:pPr>
            <w:r w:rsidRPr="00820CFB">
              <w:t>4,697.1 (actual)  </w:t>
            </w:r>
          </w:p>
        </w:tc>
      </w:tr>
      <w:tr w:rsidR="00820CFB" w:rsidRPr="00820CFB" w14:paraId="302506EF" w14:textId="77777777" w:rsidTr="00881DBB">
        <w:trPr>
          <w:trHeight w:val="300"/>
        </w:trPr>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9D1402" w14:textId="4FF66198" w:rsidR="00820CFB" w:rsidRPr="00820CFB" w:rsidRDefault="00820CFB" w:rsidP="002A3A53">
            <w:pPr>
              <w:pStyle w:val="TableText"/>
              <w:jc w:val="center"/>
            </w:pPr>
            <w:r w:rsidRPr="00820CFB">
              <w:t>2025</w:t>
            </w:r>
          </w:p>
        </w:tc>
        <w:tc>
          <w:tcPr>
            <w:tcW w:w="270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155C08" w14:textId="77777777" w:rsidR="00820CFB" w:rsidRPr="00820CFB" w:rsidRDefault="00820CFB" w:rsidP="002A3A53">
            <w:pPr>
              <w:pStyle w:val="TableText"/>
              <w:jc w:val="right"/>
            </w:pPr>
            <w:r w:rsidRPr="00820CFB">
              <w:t>$2.99 billion (budgeted) </w:t>
            </w:r>
          </w:p>
        </w:tc>
        <w:tc>
          <w:tcPr>
            <w:tcW w:w="26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86771" w14:textId="77777777" w:rsidR="00820CFB" w:rsidRPr="00820CFB" w:rsidRDefault="00820CFB" w:rsidP="002A3A53">
            <w:pPr>
              <w:pStyle w:val="TableText"/>
              <w:jc w:val="right"/>
            </w:pPr>
            <w:r w:rsidRPr="00820CFB">
              <w:t>4,715.2 (YTD average) </w:t>
            </w:r>
          </w:p>
        </w:tc>
      </w:tr>
    </w:tbl>
    <w:p w14:paraId="0B221A9C" w14:textId="77777777" w:rsidR="000A1064" w:rsidRDefault="000A1064">
      <w:pPr>
        <w:rPr>
          <w:bCs/>
        </w:rPr>
      </w:pPr>
    </w:p>
    <w:p w14:paraId="1C095BE1" w14:textId="36638D44" w:rsidR="001235F2" w:rsidRDefault="001235F2">
      <w:pPr>
        <w:rPr>
          <w:b/>
          <w:bCs/>
        </w:rPr>
      </w:pPr>
    </w:p>
    <w:p w14:paraId="7AD4AC05" w14:textId="5087D3CE" w:rsidR="002316A8" w:rsidRDefault="002316A8" w:rsidP="004A2B63">
      <w:pPr>
        <w:pStyle w:val="Heading1"/>
      </w:pPr>
      <w:bookmarkStart w:id="209" w:name="_Toc330475613"/>
      <w:bookmarkStart w:id="210" w:name="_Toc203377320"/>
      <w:r>
        <w:t>VII.</w:t>
      </w:r>
      <w:r w:rsidR="5231A273">
        <w:t xml:space="preserve"> </w:t>
      </w:r>
      <w:r>
        <w:t xml:space="preserve">Guide to Agency </w:t>
      </w:r>
      <w:r w:rsidR="005A6353">
        <w:t xml:space="preserve">Divisions and </w:t>
      </w:r>
      <w:r>
        <w:t>Programs</w:t>
      </w:r>
      <w:bookmarkEnd w:id="209"/>
      <w:bookmarkEnd w:id="210"/>
    </w:p>
    <w:p w14:paraId="0B304676" w14:textId="07898246" w:rsidR="00C468CB" w:rsidRPr="00C468CB" w:rsidRDefault="00C468CB" w:rsidP="00C468CB">
      <w:pPr>
        <w:pStyle w:val="BodyText"/>
      </w:pPr>
      <w:r w:rsidRPr="00C468CB">
        <w:t>TWC plays a cr</w:t>
      </w:r>
      <w:r w:rsidR="004C7388">
        <w:t>itical</w:t>
      </w:r>
      <w:r w:rsidRPr="00C468CB">
        <w:t xml:space="preserve"> role in the state by creating and operating an integrated workforce development system. This system is designed to coordinate and provide access to a wide range of services for job seekers, workers, and employers. The three Commissioners play a</w:t>
      </w:r>
      <w:r w:rsidR="00910E78">
        <w:t>n</w:t>
      </w:r>
      <w:r w:rsidRPr="00C468CB">
        <w:t xml:space="preserve"> </w:t>
      </w:r>
      <w:r w:rsidR="00910E78">
        <w:t>essential</w:t>
      </w:r>
      <w:r w:rsidRPr="00C468CB">
        <w:t xml:space="preserve"> role in shaping the direction of the workforce development initiatives and ensuring accountability of the agency</w:t>
      </w:r>
      <w:r w:rsidR="00B2666F">
        <w:t>’s programs and funding</w:t>
      </w:r>
      <w:r w:rsidRPr="00C468CB">
        <w:t>. The Commissioners oversee the Executive Director and Internal Auditor. The Executive Director oversees the General Counsel and Communications and Media offices and the Child Care and Early Learning, Information Innovation &amp; Insight, Appellate Services, Information Technology, Unemployment Insurance, Vocational Rehabilitation, and Workforce Development divisions.  The Deputy Executive Director reports to the Executive Director and oversees the Business Operations, Civil Rights, Customer Care, Finance, and Fraud Deterrence and Compliance Monitoring divisions.</w:t>
      </w:r>
    </w:p>
    <w:p w14:paraId="560BDB48" w14:textId="3CF2F315" w:rsidR="00C468CB" w:rsidRPr="00C468CB" w:rsidRDefault="00C468CB" w:rsidP="008B442A">
      <w:pPr>
        <w:pStyle w:val="BodyText"/>
      </w:pPr>
      <w:r w:rsidRPr="00C468CB">
        <w:t>The following material provides an overview of the agency’s three primary functions – Workforce Customer Services, External Customer Support, and Administration and Operations Support – and the divisions included in each.  More detail is provided for individual programs and functions within the divisions.</w:t>
      </w:r>
    </w:p>
    <w:p w14:paraId="1FE83EC3" w14:textId="5D31BC61" w:rsidR="00C468CB" w:rsidRPr="00C468CB" w:rsidRDefault="00074F2C" w:rsidP="009D4C16">
      <w:pPr>
        <w:pStyle w:val="Heading2"/>
      </w:pPr>
      <w:bookmarkStart w:id="211" w:name="_Toc203377321"/>
      <w:r>
        <w:t>Core Programs</w:t>
      </w:r>
      <w:bookmarkEnd w:id="211"/>
    </w:p>
    <w:p w14:paraId="2868F724" w14:textId="3408E4AD" w:rsidR="23344608" w:rsidRDefault="23344608" w:rsidP="38A1F598">
      <w:pPr>
        <w:pStyle w:val="BodyText"/>
      </w:pPr>
      <w:r>
        <w:t xml:space="preserve">TWC plays a crucial role in the state by creating and operating an integrated workforce development system. This system is designed to coordinate and provide access to a wide range of services for job seekers, workers, and employers. The three Commissioners play a crucial role in shaping the direction of the workforce development initiatives and ensuring accountability of the agency. The Commissioners oversee the Executive Director and </w:t>
      </w:r>
      <w:r>
        <w:lastRenderedPageBreak/>
        <w:t>Internal Auditor. The Executive Director oversees the General Counsel and Communications and Media offices and the Child Care and Early Learning, Information Innovation &amp; Insight, Appellate Services, Information Technology, Unemployment Insurance, Vocational Rehabilitation, and Workforce Development divisions.  The Deputy Executive Director reports to the Executive Director and oversees the Business Operations, Civil Rights, Customer Care, Finance, and Fraud Deterrence and Compliance Monitoring divisions.</w:t>
      </w:r>
    </w:p>
    <w:p w14:paraId="3BD25743" w14:textId="77777777" w:rsidR="00C468CB" w:rsidRPr="00C468CB" w:rsidRDefault="00C468CB" w:rsidP="00E768A5">
      <w:pPr>
        <w:pStyle w:val="BodyText"/>
        <w:numPr>
          <w:ilvl w:val="0"/>
          <w:numId w:val="34"/>
        </w:numPr>
      </w:pPr>
      <w:r w:rsidRPr="00C468CB">
        <w:t xml:space="preserve">Child Care and Early Learning Division </w:t>
      </w:r>
    </w:p>
    <w:p w14:paraId="0F6A754B" w14:textId="77777777" w:rsidR="00C468CB" w:rsidRPr="00C468CB" w:rsidRDefault="00C468CB" w:rsidP="00E768A5">
      <w:pPr>
        <w:pStyle w:val="BodyText"/>
        <w:numPr>
          <w:ilvl w:val="0"/>
          <w:numId w:val="34"/>
        </w:numPr>
      </w:pPr>
      <w:r w:rsidRPr="00C468CB">
        <w:t xml:space="preserve">Civil Rights Division </w:t>
      </w:r>
    </w:p>
    <w:p w14:paraId="02226A75" w14:textId="77777777" w:rsidR="00C468CB" w:rsidRPr="00C468CB" w:rsidRDefault="00C468CB" w:rsidP="00E768A5">
      <w:pPr>
        <w:pStyle w:val="BodyText"/>
        <w:numPr>
          <w:ilvl w:val="0"/>
          <w:numId w:val="34"/>
        </w:numPr>
      </w:pPr>
      <w:r w:rsidRPr="00C468CB">
        <w:t xml:space="preserve">Unemployment Insurance Division </w:t>
      </w:r>
    </w:p>
    <w:p w14:paraId="7D5AC46C" w14:textId="77777777" w:rsidR="00C468CB" w:rsidRPr="00C468CB" w:rsidRDefault="00C468CB" w:rsidP="00E768A5">
      <w:pPr>
        <w:pStyle w:val="BodyText"/>
        <w:numPr>
          <w:ilvl w:val="0"/>
          <w:numId w:val="34"/>
        </w:numPr>
      </w:pPr>
      <w:r w:rsidRPr="00C468CB">
        <w:t xml:space="preserve">Vocational Rehabilitation Division </w:t>
      </w:r>
    </w:p>
    <w:p w14:paraId="1E2E4CBD" w14:textId="77777777" w:rsidR="00C468CB" w:rsidRPr="00C468CB" w:rsidRDefault="00C468CB" w:rsidP="00E768A5">
      <w:pPr>
        <w:pStyle w:val="BodyText"/>
        <w:numPr>
          <w:ilvl w:val="0"/>
          <w:numId w:val="34"/>
        </w:numPr>
      </w:pPr>
      <w:r w:rsidRPr="00C468CB">
        <w:t xml:space="preserve">Workforce Development Division </w:t>
      </w:r>
    </w:p>
    <w:p w14:paraId="2658531C" w14:textId="77777777" w:rsidR="00C468CB" w:rsidRPr="00C468CB" w:rsidRDefault="00C468CB" w:rsidP="00577012">
      <w:pPr>
        <w:pStyle w:val="Heading3"/>
      </w:pPr>
      <w:bookmarkStart w:id="212" w:name="_Toc1594749125"/>
      <w:bookmarkStart w:id="213" w:name="_Toc203377322"/>
      <w:r w:rsidRPr="00C468CB">
        <w:t>Child Care and Early Learning Division</w:t>
      </w:r>
      <w:bookmarkEnd w:id="212"/>
      <w:bookmarkEnd w:id="213"/>
      <w:r w:rsidRPr="00C468CB">
        <w:t xml:space="preserve"> </w:t>
      </w:r>
    </w:p>
    <w:p w14:paraId="33ACE286" w14:textId="2B998171" w:rsidR="00C468CB" w:rsidRDefault="00C468CB" w:rsidP="00DA01F0">
      <w:pPr>
        <w:pStyle w:val="BodyText"/>
      </w:pPr>
      <w:r w:rsidRPr="00C468CB">
        <w:t xml:space="preserve">The Child Care and Early Learning (CC&amp;EL) program, funded by the Child Care and Development Fund, administers </w:t>
      </w:r>
      <w:proofErr w:type="gramStart"/>
      <w:r w:rsidRPr="00C468CB">
        <w:t>child care</w:t>
      </w:r>
      <w:proofErr w:type="gramEnd"/>
      <w:r w:rsidRPr="00C468CB">
        <w:t xml:space="preserve"> services to support Texas families and strengthen the state's child care infrastructure. It provides financial assistance to eligible families, enabling parents to work or attend training, while also enhancing the quality, accessibility, and availability of early learning opportunities statewide. In short, TWC addresses both immediate affordability needs and long-term goals for high-quality early childhood education.</w:t>
      </w:r>
    </w:p>
    <w:p w14:paraId="70C50551" w14:textId="6E562D1F" w:rsidR="00BA1DA6" w:rsidRPr="00BA1DA6" w:rsidRDefault="00C9703E" w:rsidP="00BB1A9F">
      <w:pPr>
        <w:pStyle w:val="BodyText3"/>
      </w:pPr>
      <w:r>
        <w:t>Child Care Services</w:t>
      </w:r>
      <w:r w:rsidR="00BB1A9F">
        <w:t xml:space="preserve"> Program</w:t>
      </w:r>
    </w:p>
    <w:p w14:paraId="6708EB2F" w14:textId="77777777" w:rsidR="00BA1DA6" w:rsidRPr="00BA1DA6" w:rsidRDefault="00BA1DA6" w:rsidP="00BB1A9F">
      <w:pPr>
        <w:pStyle w:val="BodyText3"/>
      </w:pPr>
      <w:r w:rsidRPr="00BA1DA6">
        <w:t>A.</w:t>
      </w:r>
      <w:r w:rsidRPr="00BA1DA6">
        <w:tab/>
        <w:t>Provide the following information at the beginning of each description. </w:t>
      </w:r>
    </w:p>
    <w:p w14:paraId="5C3359DE" w14:textId="77777777" w:rsidR="00BA1DA6" w:rsidRPr="00BA1DA6" w:rsidRDefault="00BA1DA6" w:rsidP="00B05703">
      <w:pPr>
        <w:pStyle w:val="BodyText"/>
      </w:pPr>
      <w:r w:rsidRPr="00BA1DA6">
        <w:t>Name of division or program: Child Care Services </w:t>
      </w:r>
    </w:p>
    <w:p w14:paraId="390B73CA" w14:textId="77777777" w:rsidR="00BA1DA6" w:rsidRPr="00BA1DA6" w:rsidRDefault="00BA1DA6" w:rsidP="00B05703">
      <w:pPr>
        <w:pStyle w:val="BodyText"/>
      </w:pPr>
      <w:r w:rsidRPr="00BA1DA6">
        <w:t>Location within the agency: Child Care &amp; Early Learning </w:t>
      </w:r>
    </w:p>
    <w:p w14:paraId="0765D392" w14:textId="77777777" w:rsidR="00BA1DA6" w:rsidRPr="00BA1DA6" w:rsidRDefault="00BA1DA6" w:rsidP="00B05703">
      <w:pPr>
        <w:pStyle w:val="BodyText"/>
      </w:pPr>
      <w:r w:rsidRPr="00BA1DA6">
        <w:t>Contact name: Reagan Miller/Allison Wilson/Cathi Arwood </w:t>
      </w:r>
    </w:p>
    <w:p w14:paraId="68722A94" w14:textId="7302BD16" w:rsidR="00BA1DA6" w:rsidRPr="00BA1DA6" w:rsidRDefault="00BA1DA6" w:rsidP="00B05703">
      <w:pPr>
        <w:pStyle w:val="BodyText"/>
      </w:pPr>
      <w:r w:rsidRPr="00BA1DA6">
        <w:t xml:space="preserve">Statutory citation: </w:t>
      </w:r>
    </w:p>
    <w:p w14:paraId="6E895764" w14:textId="77777777" w:rsidR="00BA1DA6" w:rsidRPr="00BA1DA6" w:rsidRDefault="00BA1DA6" w:rsidP="00190AA7">
      <w:pPr>
        <w:pStyle w:val="BodyText3"/>
      </w:pPr>
      <w:r w:rsidRPr="00BA1DA6">
        <w:t>Child Care Services - Financial Aid </w:t>
      </w:r>
    </w:p>
    <w:p w14:paraId="5E4B7DB5" w14:textId="260B96C8" w:rsidR="00BA1DA6" w:rsidRPr="00BA1DA6" w:rsidRDefault="006E2E9A" w:rsidP="00837A34">
      <w:pPr>
        <w:pStyle w:val="BodyText"/>
      </w:pPr>
      <w:r>
        <w:t xml:space="preserve">Texas </w:t>
      </w:r>
      <w:r w:rsidR="00BA1DA6" w:rsidRPr="00BA1DA6">
        <w:t>Government Code</w:t>
      </w:r>
      <w:r w:rsidR="00102D15">
        <w:t xml:space="preserve">, Sections </w:t>
      </w:r>
      <w:r w:rsidR="00BA1DA6" w:rsidRPr="00BA1DA6">
        <w:t>2308.315</w:t>
      </w:r>
      <w:r w:rsidR="00102D15">
        <w:t xml:space="preserve">, </w:t>
      </w:r>
      <w:r w:rsidR="00BA1DA6" w:rsidRPr="00BA1DA6">
        <w:t>2308.3165</w:t>
      </w:r>
      <w:r w:rsidR="00102D15">
        <w:t xml:space="preserve">, </w:t>
      </w:r>
      <w:r w:rsidR="00930969">
        <w:t xml:space="preserve">and </w:t>
      </w:r>
      <w:r w:rsidR="00BA1DA6" w:rsidRPr="00BA1DA6">
        <w:t>2308.318</w:t>
      </w:r>
      <w:r w:rsidR="00102D15">
        <w:t xml:space="preserve">; </w:t>
      </w:r>
      <w:r>
        <w:t xml:space="preserve">Texas </w:t>
      </w:r>
      <w:r w:rsidR="00BA1DA6" w:rsidRPr="00BA1DA6">
        <w:t>Labor Code</w:t>
      </w:r>
      <w:r w:rsidR="00EF394C">
        <w:t>,</w:t>
      </w:r>
      <w:r w:rsidR="00BA1DA6" w:rsidRPr="00BA1DA6">
        <w:t> </w:t>
      </w:r>
      <w:r w:rsidR="00102D15">
        <w:t>Sections</w:t>
      </w:r>
      <w:r w:rsidR="00930969">
        <w:t xml:space="preserve"> </w:t>
      </w:r>
      <w:r w:rsidR="00BA1DA6" w:rsidRPr="00BA1DA6">
        <w:t>301.192</w:t>
      </w:r>
      <w:r w:rsidR="00EF394C">
        <w:t xml:space="preserve">, </w:t>
      </w:r>
      <w:r w:rsidR="00BA1DA6" w:rsidRPr="00BA1DA6">
        <w:t>302.004</w:t>
      </w:r>
      <w:r w:rsidR="00EF394C">
        <w:t xml:space="preserve">, </w:t>
      </w:r>
      <w:r w:rsidR="00BA1DA6" w:rsidRPr="00BA1DA6">
        <w:t>302.0041</w:t>
      </w:r>
      <w:r w:rsidR="00837A34">
        <w:t xml:space="preserve">, </w:t>
      </w:r>
      <w:r w:rsidR="00BA1DA6" w:rsidRPr="00BA1DA6">
        <w:t>302.004</w:t>
      </w:r>
      <w:r w:rsidR="00837A34">
        <w:t>,</w:t>
      </w:r>
      <w:r w:rsidR="00BA1DA6" w:rsidRPr="00BA1DA6">
        <w:t xml:space="preserve"> 302.0043</w:t>
      </w:r>
      <w:r w:rsidR="00837A34">
        <w:t>,</w:t>
      </w:r>
      <w:r w:rsidR="00BA1DA6" w:rsidRPr="00BA1DA6">
        <w:t xml:space="preserve"> 302.0046</w:t>
      </w:r>
      <w:r w:rsidR="00837A34">
        <w:t>,</w:t>
      </w:r>
      <w:r w:rsidR="00BA1DA6" w:rsidRPr="00BA1DA6">
        <w:t xml:space="preserve"> 302.0047</w:t>
      </w:r>
      <w:r w:rsidR="00837A34">
        <w:t xml:space="preserve">, </w:t>
      </w:r>
      <w:r w:rsidR="00BA1DA6" w:rsidRPr="00BA1DA6">
        <w:t>302.00435</w:t>
      </w:r>
      <w:r w:rsidR="00837A34">
        <w:t xml:space="preserve">, </w:t>
      </w:r>
      <w:r w:rsidR="00BA1DA6" w:rsidRPr="00BA1DA6">
        <w:t>302.00436</w:t>
      </w:r>
      <w:r w:rsidR="00837A34">
        <w:t xml:space="preserve">, </w:t>
      </w:r>
      <w:r w:rsidR="00BA1DA6" w:rsidRPr="00BA1DA6">
        <w:t>302.0047</w:t>
      </w:r>
      <w:r w:rsidR="00837A34">
        <w:t xml:space="preserve">, </w:t>
      </w:r>
      <w:r w:rsidR="00BA1DA6" w:rsidRPr="00BA1DA6">
        <w:t>302.021</w:t>
      </w:r>
      <w:r w:rsidR="00837A34">
        <w:t xml:space="preserve">, </w:t>
      </w:r>
      <w:r w:rsidR="00930969">
        <w:t xml:space="preserve">and </w:t>
      </w:r>
      <w:r w:rsidR="00BA1DA6" w:rsidRPr="00BA1DA6">
        <w:t>302.0461</w:t>
      </w:r>
      <w:r w:rsidR="00837A34">
        <w:t xml:space="preserve">, </w:t>
      </w:r>
      <w:r w:rsidR="00BA1DA6" w:rsidRPr="00BA1DA6">
        <w:t>Subchapter G</w:t>
      </w:r>
      <w:r w:rsidR="00D912EE">
        <w:t xml:space="preserve">, and Chapters </w:t>
      </w:r>
      <w:r w:rsidR="00BA1DA6" w:rsidRPr="00BA1DA6">
        <w:t>310</w:t>
      </w:r>
      <w:r w:rsidR="00D912EE">
        <w:t xml:space="preserve"> and </w:t>
      </w:r>
      <w:r w:rsidR="00BA1DA6" w:rsidRPr="00BA1DA6">
        <w:t>313</w:t>
      </w:r>
      <w:r w:rsidR="00D912EE">
        <w:t xml:space="preserve">; </w:t>
      </w:r>
      <w:r w:rsidR="0094583F">
        <w:t xml:space="preserve">Texas </w:t>
      </w:r>
      <w:r w:rsidR="00BA1DA6" w:rsidRPr="00BA1DA6">
        <w:t>Human Resources Code</w:t>
      </w:r>
      <w:r w:rsidR="00837A34">
        <w:t xml:space="preserve">, Chapter 44 and Section </w:t>
      </w:r>
      <w:r w:rsidR="00BA1DA6" w:rsidRPr="00BA1DA6">
        <w:t>31.0035</w:t>
      </w:r>
    </w:p>
    <w:p w14:paraId="73B39EC5" w14:textId="77777777" w:rsidR="00BA1DA6" w:rsidRPr="00BA1DA6" w:rsidRDefault="00BA1DA6" w:rsidP="000233BB">
      <w:pPr>
        <w:pStyle w:val="BodyText3"/>
      </w:pPr>
      <w:r w:rsidRPr="00BA1DA6">
        <w:lastRenderedPageBreak/>
        <w:t>Child Care Services - Quality Initiatives </w:t>
      </w:r>
    </w:p>
    <w:p w14:paraId="2F169E2E" w14:textId="25A445B5" w:rsidR="00BA1DA6" w:rsidRPr="00BA1DA6" w:rsidRDefault="0094583F" w:rsidP="00311CAB">
      <w:pPr>
        <w:pStyle w:val="BodyText"/>
      </w:pPr>
      <w:r>
        <w:t xml:space="preserve">Texas </w:t>
      </w:r>
      <w:r w:rsidR="00BA1DA6" w:rsidRPr="00BA1DA6">
        <w:t>Government Code</w:t>
      </w:r>
      <w:r w:rsidR="00590BE4">
        <w:t xml:space="preserve">, Sections </w:t>
      </w:r>
      <w:r w:rsidR="00BA1DA6" w:rsidRPr="00BA1DA6">
        <w:t>2308.317</w:t>
      </w:r>
      <w:r w:rsidR="00590BE4">
        <w:t xml:space="preserve">, </w:t>
      </w:r>
      <w:r w:rsidR="00BA1DA6" w:rsidRPr="00BA1DA6">
        <w:t>2308.3171</w:t>
      </w:r>
      <w:r w:rsidR="00590BE4">
        <w:t xml:space="preserve">, </w:t>
      </w:r>
      <w:r w:rsidR="00930969">
        <w:t xml:space="preserve">and </w:t>
      </w:r>
      <w:r w:rsidR="00BA1DA6" w:rsidRPr="00BA1DA6">
        <w:t>2308.319</w:t>
      </w:r>
      <w:r w:rsidR="00590BE4">
        <w:t xml:space="preserve">; </w:t>
      </w:r>
      <w:r>
        <w:t xml:space="preserve">Texas </w:t>
      </w:r>
      <w:r w:rsidR="00BA1DA6" w:rsidRPr="00BA1DA6">
        <w:t>Labor Code</w:t>
      </w:r>
      <w:r w:rsidR="00590BE4">
        <w:t xml:space="preserve">, </w:t>
      </w:r>
      <w:r w:rsidR="00311CAB">
        <w:t xml:space="preserve">Sections </w:t>
      </w:r>
      <w:r w:rsidR="00BA1DA6" w:rsidRPr="00BA1DA6">
        <w:t>302.0045</w:t>
      </w:r>
      <w:r w:rsidR="00311CAB">
        <w:t xml:space="preserve">, </w:t>
      </w:r>
      <w:r w:rsidR="00BA1DA6" w:rsidRPr="00BA1DA6">
        <w:t>302.005</w:t>
      </w:r>
      <w:r w:rsidR="00311CAB">
        <w:t xml:space="preserve">, </w:t>
      </w:r>
      <w:r w:rsidR="00BA1DA6" w:rsidRPr="00BA1DA6">
        <w:t>302.006</w:t>
      </w:r>
      <w:r w:rsidR="00311CAB">
        <w:t xml:space="preserve">, </w:t>
      </w:r>
      <w:r w:rsidR="00BA1DA6" w:rsidRPr="00BA1DA6">
        <w:t>302.0062</w:t>
      </w:r>
      <w:r w:rsidR="00311CAB">
        <w:t xml:space="preserve">, </w:t>
      </w:r>
      <w:r w:rsidR="00930969">
        <w:t xml:space="preserve">and </w:t>
      </w:r>
      <w:r w:rsidR="00BA1DA6" w:rsidRPr="00BA1DA6">
        <w:t>302.0063</w:t>
      </w:r>
    </w:p>
    <w:p w14:paraId="6B4C1984" w14:textId="77777777" w:rsidR="00BA1DA6" w:rsidRPr="00BA1DA6" w:rsidRDefault="00BA1DA6" w:rsidP="000233BB">
      <w:pPr>
        <w:pStyle w:val="BodyText3"/>
        <w:ind w:left="720" w:hanging="720"/>
      </w:pPr>
      <w:r w:rsidRPr="00BA1DA6">
        <w:t>B.</w:t>
      </w:r>
      <w:r w:rsidRPr="00BA1DA6">
        <w:tab/>
        <w:t>What is the objective of this division or program? Describe its major activities. </w:t>
      </w:r>
    </w:p>
    <w:p w14:paraId="64C0FD3B" w14:textId="77777777" w:rsidR="00BA1DA6" w:rsidRPr="000233BB" w:rsidRDefault="00BA1DA6" w:rsidP="000233BB">
      <w:pPr>
        <w:pStyle w:val="BodyText"/>
      </w:pPr>
      <w:r w:rsidRPr="000233BB">
        <w:t xml:space="preserve">The Child Care Services (CCS) program provides financial aid (sometimes referred to as scholarships or subsidies) for </w:t>
      </w:r>
      <w:proofErr w:type="gramStart"/>
      <w:r w:rsidRPr="000233BB">
        <w:t>child care</w:t>
      </w:r>
      <w:proofErr w:type="gramEnd"/>
      <w:r w:rsidRPr="000233BB">
        <w:t xml:space="preserve"> to eligible families. This financial aid helps pay for a portion of or all costs of </w:t>
      </w:r>
      <w:proofErr w:type="gramStart"/>
      <w:r w:rsidRPr="000233BB">
        <w:t>child care</w:t>
      </w:r>
      <w:proofErr w:type="gramEnd"/>
      <w:r w:rsidRPr="000233BB">
        <w:t xml:space="preserve"> so parents can work, search for work, or attend school or job training. Financial aid is available to children under the age of 13 living in a household with an income below 85 percent of the state median income (SMI), which is approximately $87,700 for a family of four. CCS financial aid is administered by the 28 Local Workforce Development Boards (Boards) through funding provided by TWC. </w:t>
      </w:r>
    </w:p>
    <w:p w14:paraId="03BF1EE8" w14:textId="77777777" w:rsidR="00BA1DA6" w:rsidRPr="00BA1DA6" w:rsidRDefault="00BA1DA6" w:rsidP="000233BB">
      <w:pPr>
        <w:pStyle w:val="BodyText"/>
      </w:pPr>
      <w:r w:rsidRPr="00BA1DA6">
        <w:t xml:space="preserve">CCS also offers information about the benefits of available, high-quality </w:t>
      </w:r>
      <w:proofErr w:type="gramStart"/>
      <w:r w:rsidRPr="00BA1DA6">
        <w:t>child care</w:t>
      </w:r>
      <w:proofErr w:type="gramEnd"/>
      <w:r w:rsidRPr="00BA1DA6">
        <w:t xml:space="preserve"> and manages statewide projects for improving access to and the quality of child care services.  </w:t>
      </w:r>
    </w:p>
    <w:p w14:paraId="74354269" w14:textId="77777777" w:rsidR="00BA1DA6" w:rsidRPr="00BA1DA6" w:rsidRDefault="00BA1DA6" w:rsidP="000233BB">
      <w:pPr>
        <w:pStyle w:val="BodyText"/>
      </w:pPr>
      <w:r w:rsidRPr="00BA1DA6">
        <w:t>CCS also administers the Department of Family and Protective Service’s (DFPS) day care program for children in protective services (CPS). </w:t>
      </w:r>
    </w:p>
    <w:p w14:paraId="0667A139" w14:textId="77777777" w:rsidR="00BA1DA6" w:rsidRPr="00BA1DA6" w:rsidRDefault="00BA1DA6" w:rsidP="00CA7196">
      <w:pPr>
        <w:pStyle w:val="BodyText3"/>
      </w:pPr>
      <w:r w:rsidRPr="00BA1DA6">
        <w:t>Financial Aid (Subsidized Child Care Services) </w:t>
      </w:r>
    </w:p>
    <w:p w14:paraId="50A0BBB5" w14:textId="77777777" w:rsidR="00BA1DA6" w:rsidRPr="00BA1DA6" w:rsidRDefault="00BA1DA6" w:rsidP="00BA1DA6">
      <w:pPr>
        <w:pStyle w:val="BodyText"/>
      </w:pPr>
      <w:r w:rsidRPr="00BA1DA6">
        <w:t xml:space="preserve">CCS provides </w:t>
      </w:r>
      <w:proofErr w:type="gramStart"/>
      <w:r w:rsidRPr="00BA1DA6">
        <w:t>child care</w:t>
      </w:r>
      <w:proofErr w:type="gramEnd"/>
      <w:r w:rsidRPr="00BA1DA6">
        <w:t xml:space="preserve"> financial aid for: </w:t>
      </w:r>
    </w:p>
    <w:p w14:paraId="414DEAD7" w14:textId="0A6F77C9" w:rsidR="00BA1DA6" w:rsidRPr="00BA1DA6" w:rsidRDefault="00BA1DA6" w:rsidP="00C64851">
      <w:pPr>
        <w:pStyle w:val="BodyText"/>
        <w:numPr>
          <w:ilvl w:val="0"/>
          <w:numId w:val="410"/>
        </w:numPr>
      </w:pPr>
      <w:r w:rsidRPr="00BA1DA6">
        <w:t>Parents receiving TANF and participating in Choices (Choices Child Care). </w:t>
      </w:r>
    </w:p>
    <w:p w14:paraId="65371D02" w14:textId="1A2E1354" w:rsidR="00BA1DA6" w:rsidRPr="00BA1DA6" w:rsidRDefault="00BA1DA6" w:rsidP="00C64851">
      <w:pPr>
        <w:pStyle w:val="BodyText"/>
        <w:numPr>
          <w:ilvl w:val="0"/>
          <w:numId w:val="411"/>
        </w:numPr>
      </w:pPr>
      <w:r w:rsidRPr="00BA1DA6">
        <w:t>Parents participating in SNAP Employment and Training services (SNAP E&amp;T Child Care). </w:t>
      </w:r>
    </w:p>
    <w:p w14:paraId="0E60CCF1" w14:textId="77777777" w:rsidR="00BA1DA6" w:rsidRPr="00BA1DA6" w:rsidRDefault="00BA1DA6" w:rsidP="00C64851">
      <w:pPr>
        <w:pStyle w:val="BodyText"/>
        <w:numPr>
          <w:ilvl w:val="0"/>
          <w:numId w:val="412"/>
        </w:numPr>
      </w:pPr>
      <w:r w:rsidRPr="00BA1DA6">
        <w:t>TANF applicants who obtain employment prior to TANF certification (TANF Applicant Child Care). </w:t>
      </w:r>
    </w:p>
    <w:p w14:paraId="32A2ECA7" w14:textId="77777777" w:rsidR="00BA1DA6" w:rsidRPr="00BA1DA6" w:rsidRDefault="00BA1DA6" w:rsidP="00C64851">
      <w:pPr>
        <w:pStyle w:val="BodyText"/>
        <w:numPr>
          <w:ilvl w:val="0"/>
          <w:numId w:val="413"/>
        </w:numPr>
      </w:pPr>
      <w:r w:rsidRPr="00BA1DA6">
        <w:t xml:space="preserve">Former TANF recipients transitioning off of public </w:t>
      </w:r>
      <w:proofErr w:type="gramStart"/>
      <w:r w:rsidRPr="00BA1DA6">
        <w:t>assistance .</w:t>
      </w:r>
      <w:proofErr w:type="gramEnd"/>
      <w:r w:rsidRPr="00BA1DA6">
        <w:t> </w:t>
      </w:r>
    </w:p>
    <w:p w14:paraId="2F5D97DD" w14:textId="77777777" w:rsidR="00BA1DA6" w:rsidRPr="00BA1DA6" w:rsidRDefault="00BA1DA6" w:rsidP="00C64851">
      <w:pPr>
        <w:pStyle w:val="BodyText"/>
        <w:numPr>
          <w:ilvl w:val="0"/>
          <w:numId w:val="414"/>
        </w:numPr>
      </w:pPr>
      <w:r w:rsidRPr="00BA1DA6">
        <w:t xml:space="preserve">Children formerly receiving </w:t>
      </w:r>
      <w:proofErr w:type="gramStart"/>
      <w:r w:rsidRPr="00BA1DA6">
        <w:t>child care</w:t>
      </w:r>
      <w:proofErr w:type="gramEnd"/>
      <w:r w:rsidRPr="00BA1DA6">
        <w:t xml:space="preserve"> through CPS. </w:t>
      </w:r>
    </w:p>
    <w:p w14:paraId="3497C0EB" w14:textId="77777777" w:rsidR="00BA1DA6" w:rsidRPr="00BA1DA6" w:rsidRDefault="00BA1DA6" w:rsidP="00C64851">
      <w:pPr>
        <w:pStyle w:val="BodyText"/>
        <w:numPr>
          <w:ilvl w:val="0"/>
          <w:numId w:val="415"/>
        </w:numPr>
      </w:pPr>
      <w:r w:rsidRPr="00BA1DA6">
        <w:t>Low-income parents at-risk of becoming dependent upon public assistance (At-Risk Child Care). </w:t>
      </w:r>
    </w:p>
    <w:p w14:paraId="2FF16D92" w14:textId="77777777" w:rsidR="00BA1DA6" w:rsidRPr="00BA1DA6" w:rsidRDefault="00BA1DA6" w:rsidP="00BA1DA6">
      <w:pPr>
        <w:pStyle w:val="BodyText"/>
      </w:pPr>
      <w:r w:rsidRPr="00BA1DA6">
        <w:t xml:space="preserve">TWC grants funds to Boards to design and manage the delivery of </w:t>
      </w:r>
      <w:proofErr w:type="gramStart"/>
      <w:r w:rsidRPr="00BA1DA6">
        <w:t>child care</w:t>
      </w:r>
      <w:proofErr w:type="gramEnd"/>
      <w:r w:rsidRPr="00BA1DA6">
        <w:t xml:space="preserve"> services that offer affordable, accessible, quality child care for low-income families. </w:t>
      </w:r>
    </w:p>
    <w:p w14:paraId="4F8D1D28" w14:textId="77777777" w:rsidR="00BA1DA6" w:rsidRPr="00BA1DA6" w:rsidRDefault="00BA1DA6" w:rsidP="00BA1DA6">
      <w:pPr>
        <w:pStyle w:val="BodyText"/>
      </w:pPr>
      <w:r w:rsidRPr="00BA1DA6">
        <w:t>Boards competitively procure contractors to: </w:t>
      </w:r>
    </w:p>
    <w:p w14:paraId="051E40D7" w14:textId="77777777" w:rsidR="00BA1DA6" w:rsidRPr="00BA1DA6" w:rsidRDefault="00BA1DA6" w:rsidP="00C64851">
      <w:pPr>
        <w:pStyle w:val="BodyText"/>
        <w:numPr>
          <w:ilvl w:val="0"/>
          <w:numId w:val="416"/>
        </w:numPr>
      </w:pPr>
      <w:r w:rsidRPr="00BA1DA6">
        <w:t xml:space="preserve">Conduct </w:t>
      </w:r>
      <w:proofErr w:type="gramStart"/>
      <w:r w:rsidRPr="00BA1DA6">
        <w:t>child care</w:t>
      </w:r>
      <w:proofErr w:type="gramEnd"/>
      <w:r w:rsidRPr="00BA1DA6">
        <w:t xml:space="preserve"> services eligibility determinations. </w:t>
      </w:r>
    </w:p>
    <w:p w14:paraId="74AA3ADD" w14:textId="77777777" w:rsidR="00BA1DA6" w:rsidRPr="00BA1DA6" w:rsidRDefault="00BA1DA6" w:rsidP="00C64851">
      <w:pPr>
        <w:pStyle w:val="BodyText"/>
        <w:numPr>
          <w:ilvl w:val="0"/>
          <w:numId w:val="417"/>
        </w:numPr>
      </w:pPr>
      <w:r w:rsidRPr="00BA1DA6">
        <w:lastRenderedPageBreak/>
        <w:t xml:space="preserve">Authorize </w:t>
      </w:r>
      <w:proofErr w:type="gramStart"/>
      <w:r w:rsidRPr="00BA1DA6">
        <w:t>child care</w:t>
      </w:r>
      <w:proofErr w:type="gramEnd"/>
      <w:r w:rsidRPr="00BA1DA6">
        <w:t xml:space="preserve"> services for eligible providers chosen by the parent. </w:t>
      </w:r>
    </w:p>
    <w:p w14:paraId="41A12A6B" w14:textId="77777777" w:rsidR="00BA1DA6" w:rsidRPr="00BA1DA6" w:rsidRDefault="00BA1DA6" w:rsidP="00C64851">
      <w:pPr>
        <w:pStyle w:val="BodyText"/>
        <w:numPr>
          <w:ilvl w:val="0"/>
          <w:numId w:val="418"/>
        </w:numPr>
      </w:pPr>
      <w:r w:rsidRPr="00BA1DA6">
        <w:t>Authorize parent share of cost assessments. </w:t>
      </w:r>
    </w:p>
    <w:p w14:paraId="5EE527B5" w14:textId="77777777" w:rsidR="00BA1DA6" w:rsidRPr="00BA1DA6" w:rsidRDefault="00BA1DA6" w:rsidP="00C64851">
      <w:pPr>
        <w:pStyle w:val="BodyText"/>
        <w:numPr>
          <w:ilvl w:val="0"/>
          <w:numId w:val="419"/>
        </w:numPr>
      </w:pPr>
      <w:r w:rsidRPr="00BA1DA6">
        <w:t xml:space="preserve">Track and monitor </w:t>
      </w:r>
      <w:proofErr w:type="gramStart"/>
      <w:r w:rsidRPr="00BA1DA6">
        <w:t>child care</w:t>
      </w:r>
      <w:proofErr w:type="gramEnd"/>
      <w:r w:rsidRPr="00BA1DA6">
        <w:t xml:space="preserve"> attendance recorded by the parent. </w:t>
      </w:r>
    </w:p>
    <w:p w14:paraId="1831269E" w14:textId="77777777" w:rsidR="00BA1DA6" w:rsidRPr="00BA1DA6" w:rsidRDefault="00BA1DA6" w:rsidP="00C64851">
      <w:pPr>
        <w:pStyle w:val="BodyText"/>
        <w:numPr>
          <w:ilvl w:val="0"/>
          <w:numId w:val="420"/>
        </w:numPr>
      </w:pPr>
      <w:r w:rsidRPr="00BA1DA6">
        <w:t xml:space="preserve">Pay </w:t>
      </w:r>
      <w:proofErr w:type="gramStart"/>
      <w:r w:rsidRPr="00BA1DA6">
        <w:t>child care</w:t>
      </w:r>
      <w:proofErr w:type="gramEnd"/>
      <w:r w:rsidRPr="00BA1DA6">
        <w:t xml:space="preserve"> providers for services provided; and </w:t>
      </w:r>
    </w:p>
    <w:p w14:paraId="30A34966" w14:textId="77777777" w:rsidR="00BA1DA6" w:rsidRPr="00BA1DA6" w:rsidRDefault="00BA1DA6" w:rsidP="00C64851">
      <w:pPr>
        <w:pStyle w:val="BodyText"/>
        <w:numPr>
          <w:ilvl w:val="0"/>
          <w:numId w:val="421"/>
        </w:numPr>
      </w:pPr>
      <w:r w:rsidRPr="00BA1DA6">
        <w:t>Provide consumer education information to parents. </w:t>
      </w:r>
    </w:p>
    <w:p w14:paraId="560E280B" w14:textId="77777777" w:rsidR="00BA1DA6" w:rsidRPr="00BA1DA6" w:rsidRDefault="00BA1DA6" w:rsidP="00BA1DA6">
      <w:pPr>
        <w:pStyle w:val="BodyText"/>
      </w:pPr>
      <w:r w:rsidRPr="00BA1DA6">
        <w:t>Parents may choose any of the following provider options: </w:t>
      </w:r>
    </w:p>
    <w:p w14:paraId="78230DC1" w14:textId="77777777" w:rsidR="00BA1DA6" w:rsidRPr="00BA1DA6" w:rsidRDefault="00BA1DA6" w:rsidP="00C64851">
      <w:pPr>
        <w:pStyle w:val="BodyText"/>
        <w:numPr>
          <w:ilvl w:val="0"/>
          <w:numId w:val="422"/>
        </w:numPr>
      </w:pPr>
      <w:proofErr w:type="gramStart"/>
      <w:r w:rsidRPr="00BA1DA6">
        <w:t>Child care</w:t>
      </w:r>
      <w:proofErr w:type="gramEnd"/>
      <w:r w:rsidRPr="00BA1DA6">
        <w:t xml:space="preserve"> providers regulated by Texas Health and Human Services Commission (HHSC), Child Care Regulations (CCR) and participating in the Texas Rising Star program, including: </w:t>
      </w:r>
    </w:p>
    <w:p w14:paraId="73D39B33" w14:textId="77777777" w:rsidR="00BA1DA6" w:rsidRPr="00BA1DA6" w:rsidRDefault="00BA1DA6" w:rsidP="00C64851">
      <w:pPr>
        <w:pStyle w:val="BodyText"/>
        <w:numPr>
          <w:ilvl w:val="0"/>
          <w:numId w:val="423"/>
        </w:numPr>
        <w:tabs>
          <w:tab w:val="clear" w:pos="720"/>
          <w:tab w:val="num" w:pos="1080"/>
        </w:tabs>
        <w:ind w:left="1080"/>
      </w:pPr>
      <w:r w:rsidRPr="00BA1DA6">
        <w:t>Licensed Child Care Centers (including Before- and After-School Programs)  </w:t>
      </w:r>
    </w:p>
    <w:p w14:paraId="17F5D78F" w14:textId="77777777" w:rsidR="00BA1DA6" w:rsidRPr="00BA1DA6" w:rsidRDefault="00BA1DA6" w:rsidP="00C64851">
      <w:pPr>
        <w:pStyle w:val="BodyText"/>
        <w:numPr>
          <w:ilvl w:val="0"/>
          <w:numId w:val="424"/>
        </w:numPr>
        <w:tabs>
          <w:tab w:val="clear" w:pos="720"/>
          <w:tab w:val="num" w:pos="1080"/>
        </w:tabs>
        <w:ind w:left="1080"/>
      </w:pPr>
      <w:r w:rsidRPr="00BA1DA6">
        <w:t>Licensed Child Care Homes </w:t>
      </w:r>
    </w:p>
    <w:p w14:paraId="4D5B4F4E" w14:textId="77777777" w:rsidR="00BA1DA6" w:rsidRPr="00BA1DA6" w:rsidRDefault="00BA1DA6" w:rsidP="00C64851">
      <w:pPr>
        <w:pStyle w:val="BodyText"/>
        <w:numPr>
          <w:ilvl w:val="0"/>
          <w:numId w:val="425"/>
        </w:numPr>
        <w:tabs>
          <w:tab w:val="clear" w:pos="720"/>
          <w:tab w:val="num" w:pos="1080"/>
        </w:tabs>
        <w:ind w:left="1080"/>
      </w:pPr>
      <w:r w:rsidRPr="00BA1DA6">
        <w:t>Registered Child Care Homes </w:t>
      </w:r>
    </w:p>
    <w:p w14:paraId="42FE52AE" w14:textId="77777777" w:rsidR="00BA1DA6" w:rsidRPr="00BA1DA6" w:rsidRDefault="00BA1DA6" w:rsidP="00C64851">
      <w:pPr>
        <w:pStyle w:val="BodyText"/>
        <w:numPr>
          <w:ilvl w:val="0"/>
          <w:numId w:val="426"/>
        </w:numPr>
      </w:pPr>
      <w:proofErr w:type="gramStart"/>
      <w:r w:rsidRPr="00BA1DA6">
        <w:t>Child care</w:t>
      </w:r>
      <w:proofErr w:type="gramEnd"/>
      <w:r w:rsidRPr="00BA1DA6">
        <w:t xml:space="preserve"> facilities operated and monitored by the U.S. military services </w:t>
      </w:r>
    </w:p>
    <w:p w14:paraId="31B6B3E7" w14:textId="77777777" w:rsidR="00BA1DA6" w:rsidRPr="00BA1DA6" w:rsidRDefault="00BA1DA6" w:rsidP="00C64851">
      <w:pPr>
        <w:pStyle w:val="BodyText"/>
        <w:numPr>
          <w:ilvl w:val="0"/>
          <w:numId w:val="427"/>
        </w:numPr>
      </w:pPr>
      <w:r w:rsidRPr="00BA1DA6">
        <w:t xml:space="preserve">A relative </w:t>
      </w:r>
      <w:proofErr w:type="gramStart"/>
      <w:r w:rsidRPr="00BA1DA6">
        <w:t>child care</w:t>
      </w:r>
      <w:proofErr w:type="gramEnd"/>
      <w:r w:rsidRPr="00BA1DA6">
        <w:t xml:space="preserve"> provider, who is a Listed Family Home by CCR and is at least 18 years of age, and is, by marriage, blood relationship, or court decree the child’s: </w:t>
      </w:r>
    </w:p>
    <w:p w14:paraId="492084D3" w14:textId="77777777" w:rsidR="00BA1DA6" w:rsidRPr="00BA1DA6" w:rsidRDefault="00BA1DA6" w:rsidP="00C64851">
      <w:pPr>
        <w:pStyle w:val="BodyText"/>
        <w:numPr>
          <w:ilvl w:val="0"/>
          <w:numId w:val="428"/>
        </w:numPr>
        <w:tabs>
          <w:tab w:val="clear" w:pos="720"/>
          <w:tab w:val="num" w:pos="1080"/>
        </w:tabs>
        <w:ind w:left="1080"/>
      </w:pPr>
      <w:r w:rsidRPr="00BA1DA6">
        <w:t>Grandparent </w:t>
      </w:r>
    </w:p>
    <w:p w14:paraId="7F947FAB" w14:textId="77777777" w:rsidR="00BA1DA6" w:rsidRPr="00BA1DA6" w:rsidRDefault="00BA1DA6" w:rsidP="00C64851">
      <w:pPr>
        <w:pStyle w:val="BodyText"/>
        <w:numPr>
          <w:ilvl w:val="0"/>
          <w:numId w:val="429"/>
        </w:numPr>
        <w:tabs>
          <w:tab w:val="clear" w:pos="720"/>
          <w:tab w:val="num" w:pos="1080"/>
        </w:tabs>
        <w:ind w:left="1080"/>
      </w:pPr>
      <w:r w:rsidRPr="00BA1DA6">
        <w:t>Great-grandparent </w:t>
      </w:r>
    </w:p>
    <w:p w14:paraId="7EF2CE56" w14:textId="77777777" w:rsidR="00BA1DA6" w:rsidRPr="00BA1DA6" w:rsidRDefault="00BA1DA6" w:rsidP="00C64851">
      <w:pPr>
        <w:pStyle w:val="BodyText"/>
        <w:numPr>
          <w:ilvl w:val="0"/>
          <w:numId w:val="430"/>
        </w:numPr>
        <w:tabs>
          <w:tab w:val="clear" w:pos="720"/>
          <w:tab w:val="num" w:pos="1080"/>
        </w:tabs>
        <w:ind w:left="1080"/>
      </w:pPr>
      <w:r w:rsidRPr="00BA1DA6">
        <w:t>Aunt </w:t>
      </w:r>
    </w:p>
    <w:p w14:paraId="43E2A5F7" w14:textId="77777777" w:rsidR="00BA1DA6" w:rsidRPr="00BA1DA6" w:rsidRDefault="00BA1DA6" w:rsidP="00C64851">
      <w:pPr>
        <w:pStyle w:val="BodyText"/>
        <w:numPr>
          <w:ilvl w:val="0"/>
          <w:numId w:val="431"/>
        </w:numPr>
        <w:tabs>
          <w:tab w:val="clear" w:pos="720"/>
          <w:tab w:val="num" w:pos="1080"/>
        </w:tabs>
        <w:ind w:left="1080"/>
      </w:pPr>
      <w:r w:rsidRPr="00BA1DA6">
        <w:t>Uncle </w:t>
      </w:r>
    </w:p>
    <w:p w14:paraId="6905BDC9" w14:textId="77777777" w:rsidR="00BA1DA6" w:rsidRPr="00BA1DA6" w:rsidRDefault="00BA1DA6" w:rsidP="00C64851">
      <w:pPr>
        <w:pStyle w:val="BodyText"/>
        <w:numPr>
          <w:ilvl w:val="0"/>
          <w:numId w:val="432"/>
        </w:numPr>
        <w:tabs>
          <w:tab w:val="clear" w:pos="720"/>
          <w:tab w:val="num" w:pos="1080"/>
        </w:tabs>
        <w:ind w:left="1080"/>
      </w:pPr>
      <w:r w:rsidRPr="00BA1DA6">
        <w:t>Sibling (if the sibling does not reside in the same household as the eligible child) </w:t>
      </w:r>
    </w:p>
    <w:p w14:paraId="1036E000" w14:textId="77777777" w:rsidR="00BA1DA6" w:rsidRPr="00BA1DA6" w:rsidRDefault="00BA1DA6" w:rsidP="00BA1DA6">
      <w:pPr>
        <w:pStyle w:val="BodyText"/>
      </w:pPr>
      <w:r w:rsidRPr="00BA1DA6">
        <w:t xml:space="preserve">Parents may choose a relative listed with CCR to care for a child in the child's home (in-home </w:t>
      </w:r>
      <w:proofErr w:type="gramStart"/>
      <w:r w:rsidRPr="00BA1DA6">
        <w:t>child care</w:t>
      </w:r>
      <w:proofErr w:type="gramEnd"/>
      <w:r w:rsidRPr="00BA1DA6">
        <w:t>) for: </w:t>
      </w:r>
    </w:p>
    <w:p w14:paraId="243C2709" w14:textId="77777777" w:rsidR="00BA1DA6" w:rsidRPr="00BA1DA6" w:rsidRDefault="00BA1DA6" w:rsidP="00C64851">
      <w:pPr>
        <w:pStyle w:val="BodyText"/>
        <w:numPr>
          <w:ilvl w:val="0"/>
          <w:numId w:val="433"/>
        </w:numPr>
      </w:pPr>
      <w:r w:rsidRPr="00BA1DA6">
        <w:t>A child with disabilities, and his or her siblings. </w:t>
      </w:r>
    </w:p>
    <w:p w14:paraId="32B23F3D" w14:textId="77777777" w:rsidR="00BA1DA6" w:rsidRPr="00BA1DA6" w:rsidRDefault="00BA1DA6" w:rsidP="00C64851">
      <w:pPr>
        <w:pStyle w:val="BodyText"/>
        <w:numPr>
          <w:ilvl w:val="0"/>
          <w:numId w:val="434"/>
        </w:numPr>
      </w:pPr>
      <w:r w:rsidRPr="00BA1DA6">
        <w:t>A child under 18 months of age, and his or her siblings. </w:t>
      </w:r>
    </w:p>
    <w:p w14:paraId="7B30DF1F" w14:textId="77777777" w:rsidR="00BA1DA6" w:rsidRPr="00BA1DA6" w:rsidRDefault="00BA1DA6" w:rsidP="00C64851">
      <w:pPr>
        <w:pStyle w:val="BodyText"/>
        <w:numPr>
          <w:ilvl w:val="0"/>
          <w:numId w:val="435"/>
        </w:numPr>
      </w:pPr>
      <w:r w:rsidRPr="00BA1DA6">
        <w:t>A child of a teen parent. </w:t>
      </w:r>
    </w:p>
    <w:p w14:paraId="1CECB1E8" w14:textId="77777777" w:rsidR="00BA1DA6" w:rsidRPr="00BA1DA6" w:rsidRDefault="00BA1DA6" w:rsidP="00C64851">
      <w:pPr>
        <w:pStyle w:val="BodyText"/>
        <w:numPr>
          <w:ilvl w:val="0"/>
          <w:numId w:val="436"/>
        </w:numPr>
      </w:pPr>
      <w:r w:rsidRPr="00BA1DA6">
        <w:lastRenderedPageBreak/>
        <w:t xml:space="preserve">Circumstances when the parent's work schedule requires evening, overnight, or weekend </w:t>
      </w:r>
      <w:proofErr w:type="gramStart"/>
      <w:r w:rsidRPr="00BA1DA6">
        <w:t>child care</w:t>
      </w:r>
      <w:proofErr w:type="gramEnd"/>
      <w:r w:rsidRPr="00BA1DA6">
        <w:t xml:space="preserve"> in which taking the child outside of the child's home would be disruptive to the child; or </w:t>
      </w:r>
    </w:p>
    <w:p w14:paraId="3F71DEAF" w14:textId="77777777" w:rsidR="00BA1DA6" w:rsidRPr="00BA1DA6" w:rsidRDefault="00BA1DA6" w:rsidP="00C64851">
      <w:pPr>
        <w:pStyle w:val="BodyText"/>
        <w:numPr>
          <w:ilvl w:val="0"/>
          <w:numId w:val="437"/>
        </w:numPr>
      </w:pPr>
      <w:r w:rsidRPr="00BA1DA6">
        <w:t xml:space="preserve">Circumstances in which the Board's </w:t>
      </w:r>
      <w:proofErr w:type="gramStart"/>
      <w:r w:rsidRPr="00BA1DA6">
        <w:t>child care</w:t>
      </w:r>
      <w:proofErr w:type="gramEnd"/>
      <w:r w:rsidRPr="00BA1DA6">
        <w:t xml:space="preserve"> contractor determines and documents that other child care provider arrangements are not available in the community. </w:t>
      </w:r>
    </w:p>
    <w:p w14:paraId="4654615D" w14:textId="77777777" w:rsidR="00BA1DA6" w:rsidRPr="00BA1DA6" w:rsidRDefault="00BA1DA6" w:rsidP="00CF4B79">
      <w:pPr>
        <w:pStyle w:val="BodyText3"/>
      </w:pPr>
      <w:r w:rsidRPr="00BA1DA6">
        <w:t>Child Care Services for Children in Protective Services  </w:t>
      </w:r>
    </w:p>
    <w:p w14:paraId="2E28098C" w14:textId="77777777" w:rsidR="00BA1DA6" w:rsidRPr="00BA1DA6" w:rsidRDefault="00BA1DA6" w:rsidP="00BA1DA6">
      <w:pPr>
        <w:pStyle w:val="BodyText"/>
      </w:pPr>
      <w:r w:rsidRPr="00BA1DA6">
        <w:t xml:space="preserve">TWC also administers DFPS-subsidized </w:t>
      </w:r>
      <w:proofErr w:type="gramStart"/>
      <w:r w:rsidRPr="00BA1DA6">
        <w:t>child care</w:t>
      </w:r>
      <w:proofErr w:type="gramEnd"/>
      <w:r w:rsidRPr="00BA1DA6">
        <w:t xml:space="preserve"> services for children receiving protective services from DFPS, including child care children in General Protective (GP), Foster IV-E, non-IV-E, or relative kinship. TWC does not provide funding for this but administers services through an Interagency Contract (IAC) on behalf of DFPS.  </w:t>
      </w:r>
    </w:p>
    <w:p w14:paraId="7E40023B" w14:textId="77777777" w:rsidR="00BA1DA6" w:rsidRPr="00BA1DA6" w:rsidRDefault="00BA1DA6" w:rsidP="00CF4B79">
      <w:pPr>
        <w:pStyle w:val="BodyText3"/>
      </w:pPr>
      <w:r w:rsidRPr="00BA1DA6">
        <w:t>Child Care Quality Improvement Activities </w:t>
      </w:r>
    </w:p>
    <w:p w14:paraId="78A294A1" w14:textId="77777777" w:rsidR="00BA1DA6" w:rsidRPr="00BA1DA6" w:rsidRDefault="00BA1DA6" w:rsidP="00BA1DA6">
      <w:pPr>
        <w:pStyle w:val="BodyText"/>
      </w:pPr>
      <w:r w:rsidRPr="00BA1DA6">
        <w:t xml:space="preserve">CCS promotes parent choice in making decisions regarding </w:t>
      </w:r>
      <w:proofErr w:type="gramStart"/>
      <w:r w:rsidRPr="00BA1DA6">
        <w:t>child care</w:t>
      </w:r>
      <w:proofErr w:type="gramEnd"/>
      <w:r w:rsidRPr="00BA1DA6">
        <w:t xml:space="preserve"> options that best suit their family's needs.  </w:t>
      </w:r>
    </w:p>
    <w:p w14:paraId="259EA86E" w14:textId="74A8412C" w:rsidR="00BA1DA6" w:rsidRPr="00BA1DA6" w:rsidRDefault="00BA1DA6" w:rsidP="00BA1DA6">
      <w:pPr>
        <w:pStyle w:val="BodyText"/>
      </w:pPr>
      <w:r w:rsidRPr="00BA1DA6">
        <w:t xml:space="preserve">CCS provides consumer education to parents on quality </w:t>
      </w:r>
      <w:proofErr w:type="gramStart"/>
      <w:r w:rsidRPr="00BA1DA6">
        <w:t>child care</w:t>
      </w:r>
      <w:proofErr w:type="gramEnd"/>
      <w:r w:rsidRPr="00BA1DA6">
        <w:t xml:space="preserve"> available in their community and promotes child care quality improvement through the Texas Rising Star Program, which certifies child care providers that meet higher levels of quality beyond the minimum child care licensing standards.  </w:t>
      </w:r>
    </w:p>
    <w:p w14:paraId="4E3A2AA0" w14:textId="77777777" w:rsidR="00BA1DA6" w:rsidRPr="00BA1DA6" w:rsidRDefault="00BA1DA6" w:rsidP="00BA1DA6">
      <w:pPr>
        <w:pStyle w:val="BodyText"/>
      </w:pPr>
      <w:r w:rsidRPr="00BA1DA6">
        <w:t xml:space="preserve">CCS also promotes </w:t>
      </w:r>
      <w:proofErr w:type="gramStart"/>
      <w:r w:rsidRPr="00BA1DA6">
        <w:t>child care</w:t>
      </w:r>
      <w:proofErr w:type="gramEnd"/>
      <w:r w:rsidRPr="00BA1DA6">
        <w:t xml:space="preserve"> quality improvement through various statewide activities, for example to promote child care for children with disabilities, and to enhance professional development related to child health, safety, early learning and literacy. </w:t>
      </w:r>
    </w:p>
    <w:p w14:paraId="21FBD19F" w14:textId="41576DC1" w:rsidR="00BA1DA6" w:rsidRPr="00BA1DA6" w:rsidRDefault="00BA1DA6" w:rsidP="00BA1DA6">
      <w:pPr>
        <w:pStyle w:val="BodyText"/>
      </w:pPr>
      <w:r w:rsidRPr="00BA1DA6">
        <w:t xml:space="preserve">TWC also enters into Interagency Contracts (IACs) with the following agencies for </w:t>
      </w:r>
      <w:proofErr w:type="gramStart"/>
      <w:r w:rsidRPr="00BA1DA6">
        <w:t>child care</w:t>
      </w:r>
      <w:proofErr w:type="gramEnd"/>
      <w:r w:rsidRPr="00BA1DA6">
        <w:t xml:space="preserve"> quality improvement activities (see </w:t>
      </w:r>
      <w:r w:rsidR="00476F6D">
        <w:t>Question</w:t>
      </w:r>
      <w:r w:rsidR="00476F6D" w:rsidRPr="00BA1DA6">
        <w:t xml:space="preserve"> </w:t>
      </w:r>
      <w:r w:rsidRPr="00BA1DA6">
        <w:t>H for information on the activities related to the IACs): </w:t>
      </w:r>
    </w:p>
    <w:p w14:paraId="6A7D38ED" w14:textId="77777777" w:rsidR="00BA1DA6" w:rsidRPr="00BA1DA6" w:rsidRDefault="00BA1DA6" w:rsidP="00C64851">
      <w:pPr>
        <w:pStyle w:val="BodyText"/>
        <w:numPr>
          <w:ilvl w:val="0"/>
          <w:numId w:val="438"/>
        </w:numPr>
      </w:pPr>
      <w:r w:rsidRPr="00BA1DA6">
        <w:t>HHSC Child Care Regulation (CCR) </w:t>
      </w:r>
    </w:p>
    <w:p w14:paraId="60FDBF00" w14:textId="77777777" w:rsidR="00BA1DA6" w:rsidRPr="00BA1DA6" w:rsidRDefault="00BA1DA6" w:rsidP="00C64851">
      <w:pPr>
        <w:pStyle w:val="BodyText"/>
        <w:numPr>
          <w:ilvl w:val="0"/>
          <w:numId w:val="439"/>
        </w:numPr>
      </w:pPr>
      <w:r w:rsidRPr="00BA1DA6">
        <w:t>Texas Department of Family Protective Services (DFPS) </w:t>
      </w:r>
    </w:p>
    <w:p w14:paraId="01955A37" w14:textId="6C5FEB6B" w:rsidR="00BA1DA6" w:rsidRPr="00BA1DA6" w:rsidRDefault="0DB327DB" w:rsidP="00C64851">
      <w:pPr>
        <w:pStyle w:val="BodyText"/>
        <w:numPr>
          <w:ilvl w:val="0"/>
          <w:numId w:val="440"/>
        </w:numPr>
      </w:pPr>
      <w:r>
        <w:t>Texas Education Agency (TEA)</w:t>
      </w:r>
    </w:p>
    <w:p w14:paraId="59B2A315" w14:textId="77777777" w:rsidR="00BA1DA6" w:rsidRPr="00BA1DA6" w:rsidRDefault="00BA1DA6" w:rsidP="00C64851">
      <w:pPr>
        <w:pStyle w:val="BodyText"/>
        <w:numPr>
          <w:ilvl w:val="0"/>
          <w:numId w:val="441"/>
        </w:numPr>
      </w:pPr>
      <w:r w:rsidRPr="00BA1DA6">
        <w:t>Texas A&amp;M AgriLife Extension Service </w:t>
      </w:r>
    </w:p>
    <w:p w14:paraId="352731D3" w14:textId="36D7563E" w:rsidR="00BA1DA6" w:rsidRPr="00BA1DA6" w:rsidRDefault="00BA1DA6" w:rsidP="00C64851">
      <w:pPr>
        <w:pStyle w:val="BodyText"/>
        <w:numPr>
          <w:ilvl w:val="0"/>
          <w:numId w:val="442"/>
        </w:numPr>
      </w:pPr>
      <w:r w:rsidRPr="00BA1DA6">
        <w:t>Univ of Texas Health Science Center - Houston (UTHSH) Children Learning Institute (CLI) </w:t>
      </w:r>
    </w:p>
    <w:p w14:paraId="2300E8A5" w14:textId="415E74DD" w:rsidR="00BA1DA6" w:rsidRPr="00BA1DA6" w:rsidRDefault="00BA1DA6" w:rsidP="0070518C">
      <w:pPr>
        <w:pStyle w:val="BodyText3"/>
        <w:ind w:left="720" w:hanging="720"/>
      </w:pPr>
      <w:r w:rsidRPr="00BA1DA6">
        <w:t>C.</w:t>
      </w:r>
      <w:r w:rsidRPr="00BA1DA6">
        <w:tab/>
        <w:t xml:space="preserve">What information does the agency collect/use to assess the effectiveness and efficiency of this division or program? If applicable, briefly note any LBB performance measures (from Section II, </w:t>
      </w:r>
      <w:proofErr w:type="gramStart"/>
      <w:r w:rsidRPr="00BA1DA6">
        <w:t>Exhibit</w:t>
      </w:r>
      <w:proofErr w:type="gramEnd"/>
      <w:r w:rsidRPr="00BA1DA6">
        <w:t xml:space="preserve"> 2) but also provide any other metrics of program effectiveness and efficiency. Please provide the data </w:t>
      </w:r>
      <w:r w:rsidRPr="00BA1DA6">
        <w:lastRenderedPageBreak/>
        <w:t>source and/or methodology behind how each statistic or performance measure was determined. If you do not track measures of effectiveness for a given division, department, or program, please explain why.</w:t>
      </w:r>
    </w:p>
    <w:tbl>
      <w:tblPr>
        <w:tblStyle w:val="TableGrid1"/>
        <w:tblW w:w="8850" w:type="dxa"/>
        <w:tblCellMar>
          <w:top w:w="58" w:type="dxa"/>
          <w:bottom w:w="58" w:type="dxa"/>
        </w:tblCellMar>
        <w:tblLook w:val="04A0" w:firstRow="1" w:lastRow="0" w:firstColumn="1" w:lastColumn="0" w:noHBand="0" w:noVBand="1"/>
      </w:tblPr>
      <w:tblGrid>
        <w:gridCol w:w="6915"/>
        <w:gridCol w:w="1935"/>
      </w:tblGrid>
      <w:tr w:rsidR="00BA1DA6" w:rsidRPr="00B96F15" w14:paraId="4D86618D" w14:textId="77777777" w:rsidTr="001B5E41">
        <w:trPr>
          <w:trHeight w:val="285"/>
        </w:trPr>
        <w:tc>
          <w:tcPr>
            <w:tcW w:w="6915" w:type="dxa"/>
            <w:shd w:val="clear" w:color="auto" w:fill="B8CCE4" w:themeFill="accent1" w:themeFillTint="66"/>
            <w:vAlign w:val="center"/>
            <w:hideMark/>
          </w:tcPr>
          <w:p w14:paraId="1B584D27" w14:textId="756A33C7" w:rsidR="00BA1DA6" w:rsidRPr="00B96F15" w:rsidRDefault="00BA1DA6" w:rsidP="007F4A4B">
            <w:pPr>
              <w:pStyle w:val="TableHeaders"/>
              <w:rPr>
                <w:b w:val="0"/>
                <w:bCs/>
              </w:rPr>
            </w:pPr>
            <w:r w:rsidRPr="00B96F15">
              <w:rPr>
                <w:bCs/>
              </w:rPr>
              <w:t>Measure</w:t>
            </w:r>
          </w:p>
        </w:tc>
        <w:tc>
          <w:tcPr>
            <w:tcW w:w="1935" w:type="dxa"/>
            <w:shd w:val="clear" w:color="auto" w:fill="B8CCE4" w:themeFill="accent1" w:themeFillTint="66"/>
            <w:vAlign w:val="center"/>
            <w:hideMark/>
          </w:tcPr>
          <w:p w14:paraId="25948386" w14:textId="06514CFC" w:rsidR="00BA1DA6" w:rsidRPr="00B96F15" w:rsidRDefault="00BA1DA6" w:rsidP="007F4A4B">
            <w:pPr>
              <w:pStyle w:val="TableHeaders"/>
              <w:rPr>
                <w:b w:val="0"/>
                <w:bCs/>
              </w:rPr>
            </w:pPr>
            <w:r w:rsidRPr="00B96F15">
              <w:rPr>
                <w:bCs/>
              </w:rPr>
              <w:t>FY 24 Performance</w:t>
            </w:r>
          </w:p>
        </w:tc>
      </w:tr>
      <w:tr w:rsidR="00BA1DA6" w:rsidRPr="00BA1DA6" w14:paraId="0BA65DE0" w14:textId="77777777" w:rsidTr="001B5E41">
        <w:trPr>
          <w:trHeight w:val="285"/>
        </w:trPr>
        <w:tc>
          <w:tcPr>
            <w:tcW w:w="6915" w:type="dxa"/>
            <w:vAlign w:val="center"/>
            <w:hideMark/>
          </w:tcPr>
          <w:p w14:paraId="37594F11" w14:textId="77777777" w:rsidR="00BA1DA6" w:rsidRPr="00BA1DA6" w:rsidRDefault="00BA1DA6" w:rsidP="007F4A4B">
            <w:pPr>
              <w:pStyle w:val="TableText"/>
            </w:pPr>
            <w:r w:rsidRPr="00BA1DA6">
              <w:t>Average Cost per Child Per Month for Child Care </w:t>
            </w:r>
          </w:p>
        </w:tc>
        <w:tc>
          <w:tcPr>
            <w:tcW w:w="1935" w:type="dxa"/>
            <w:vAlign w:val="center"/>
            <w:hideMark/>
          </w:tcPr>
          <w:p w14:paraId="783B07C7" w14:textId="77777777" w:rsidR="00BA1DA6" w:rsidRPr="00BA1DA6" w:rsidRDefault="00BA1DA6" w:rsidP="007F4A4B">
            <w:pPr>
              <w:pStyle w:val="TableText"/>
              <w:jc w:val="right"/>
            </w:pPr>
            <w:r w:rsidRPr="00BA1DA6">
              <w:t>$705 </w:t>
            </w:r>
          </w:p>
        </w:tc>
      </w:tr>
      <w:tr w:rsidR="00BA1DA6" w:rsidRPr="00BA1DA6" w14:paraId="1DA2D819" w14:textId="77777777" w:rsidTr="001B5E41">
        <w:trPr>
          <w:trHeight w:val="285"/>
        </w:trPr>
        <w:tc>
          <w:tcPr>
            <w:tcW w:w="6915" w:type="dxa"/>
            <w:vAlign w:val="center"/>
            <w:hideMark/>
          </w:tcPr>
          <w:p w14:paraId="086C022A" w14:textId="77777777" w:rsidR="00BA1DA6" w:rsidRPr="00BA1DA6" w:rsidRDefault="00BA1DA6" w:rsidP="007F4A4B">
            <w:pPr>
              <w:pStyle w:val="TableText"/>
            </w:pPr>
            <w:r w:rsidRPr="00BA1DA6">
              <w:t>Average Number of Children Served Per Day - Combined </w:t>
            </w:r>
          </w:p>
        </w:tc>
        <w:tc>
          <w:tcPr>
            <w:tcW w:w="1935" w:type="dxa"/>
            <w:vAlign w:val="center"/>
            <w:hideMark/>
          </w:tcPr>
          <w:p w14:paraId="329BCA0B" w14:textId="77777777" w:rsidR="00BA1DA6" w:rsidRPr="00BA1DA6" w:rsidRDefault="00BA1DA6" w:rsidP="007F4A4B">
            <w:pPr>
              <w:pStyle w:val="TableText"/>
              <w:jc w:val="right"/>
            </w:pPr>
            <w:r w:rsidRPr="00BA1DA6">
              <w:t>149,268 </w:t>
            </w:r>
          </w:p>
        </w:tc>
      </w:tr>
      <w:tr w:rsidR="00BA1DA6" w:rsidRPr="00BA1DA6" w14:paraId="296C1A6C" w14:textId="77777777" w:rsidTr="001B5E41">
        <w:trPr>
          <w:trHeight w:val="285"/>
        </w:trPr>
        <w:tc>
          <w:tcPr>
            <w:tcW w:w="6915" w:type="dxa"/>
            <w:vAlign w:val="center"/>
            <w:hideMark/>
          </w:tcPr>
          <w:p w14:paraId="0B48F13B" w14:textId="77777777" w:rsidR="00BA1DA6" w:rsidRPr="00BA1DA6" w:rsidRDefault="00BA1DA6" w:rsidP="007F4A4B">
            <w:pPr>
              <w:pStyle w:val="TableText"/>
            </w:pPr>
            <w:r w:rsidRPr="00BA1DA6">
              <w:t>Average Number of Children Served Per Day - Choices and Other Mandatories </w:t>
            </w:r>
          </w:p>
        </w:tc>
        <w:tc>
          <w:tcPr>
            <w:tcW w:w="1935" w:type="dxa"/>
            <w:vAlign w:val="center"/>
            <w:hideMark/>
          </w:tcPr>
          <w:p w14:paraId="085B161D" w14:textId="77777777" w:rsidR="00BA1DA6" w:rsidRPr="00BA1DA6" w:rsidRDefault="00BA1DA6" w:rsidP="007F4A4B">
            <w:pPr>
              <w:pStyle w:val="TableText"/>
              <w:jc w:val="right"/>
            </w:pPr>
            <w:r w:rsidRPr="00BA1DA6">
              <w:t>7,967 </w:t>
            </w:r>
          </w:p>
        </w:tc>
      </w:tr>
      <w:tr w:rsidR="00BA1DA6" w:rsidRPr="00BA1DA6" w14:paraId="43DD6211" w14:textId="77777777" w:rsidTr="001B5E41">
        <w:trPr>
          <w:trHeight w:val="285"/>
        </w:trPr>
        <w:tc>
          <w:tcPr>
            <w:tcW w:w="6915" w:type="dxa"/>
            <w:vAlign w:val="center"/>
            <w:hideMark/>
          </w:tcPr>
          <w:p w14:paraId="333E6A71" w14:textId="77777777" w:rsidR="00BA1DA6" w:rsidRPr="00BA1DA6" w:rsidRDefault="00BA1DA6" w:rsidP="007F4A4B">
            <w:pPr>
              <w:pStyle w:val="TableText"/>
            </w:pPr>
            <w:r w:rsidRPr="00BA1DA6">
              <w:t>Average Number of Children Served Per Day Choices </w:t>
            </w:r>
          </w:p>
        </w:tc>
        <w:tc>
          <w:tcPr>
            <w:tcW w:w="1935" w:type="dxa"/>
            <w:vAlign w:val="center"/>
            <w:hideMark/>
          </w:tcPr>
          <w:p w14:paraId="7C863648" w14:textId="77777777" w:rsidR="00BA1DA6" w:rsidRPr="00BA1DA6" w:rsidRDefault="00BA1DA6" w:rsidP="007F4A4B">
            <w:pPr>
              <w:pStyle w:val="TableText"/>
              <w:jc w:val="right"/>
            </w:pPr>
            <w:r w:rsidRPr="00BA1DA6">
              <w:t>2,383 </w:t>
            </w:r>
          </w:p>
        </w:tc>
      </w:tr>
      <w:tr w:rsidR="00BA1DA6" w:rsidRPr="00BA1DA6" w14:paraId="50183E41" w14:textId="77777777" w:rsidTr="001B5E41">
        <w:trPr>
          <w:trHeight w:val="285"/>
        </w:trPr>
        <w:tc>
          <w:tcPr>
            <w:tcW w:w="6915" w:type="dxa"/>
            <w:vAlign w:val="center"/>
            <w:hideMark/>
          </w:tcPr>
          <w:p w14:paraId="1F07EE09" w14:textId="77777777" w:rsidR="00BA1DA6" w:rsidRPr="00BA1DA6" w:rsidRDefault="00BA1DA6" w:rsidP="007F4A4B">
            <w:pPr>
              <w:pStyle w:val="TableText"/>
            </w:pPr>
            <w:r w:rsidRPr="00BA1DA6">
              <w:t>Average Number of Children Served Per Day - Ex-General Protection </w:t>
            </w:r>
          </w:p>
        </w:tc>
        <w:tc>
          <w:tcPr>
            <w:tcW w:w="1935" w:type="dxa"/>
            <w:vAlign w:val="center"/>
            <w:hideMark/>
          </w:tcPr>
          <w:p w14:paraId="0E438A2B" w14:textId="77777777" w:rsidR="00BA1DA6" w:rsidRPr="00BA1DA6" w:rsidRDefault="00BA1DA6" w:rsidP="007F4A4B">
            <w:pPr>
              <w:pStyle w:val="TableText"/>
              <w:jc w:val="right"/>
            </w:pPr>
            <w:r w:rsidRPr="00BA1DA6">
              <w:t>5,484 </w:t>
            </w:r>
          </w:p>
        </w:tc>
      </w:tr>
      <w:tr w:rsidR="00BA1DA6" w:rsidRPr="00BA1DA6" w14:paraId="1EA02F2A" w14:textId="77777777" w:rsidTr="001B5E41">
        <w:trPr>
          <w:trHeight w:val="285"/>
        </w:trPr>
        <w:tc>
          <w:tcPr>
            <w:tcW w:w="6915" w:type="dxa"/>
            <w:vAlign w:val="center"/>
            <w:hideMark/>
          </w:tcPr>
          <w:p w14:paraId="4D192B04" w14:textId="77777777" w:rsidR="00BA1DA6" w:rsidRPr="00BA1DA6" w:rsidRDefault="00BA1DA6" w:rsidP="007F4A4B">
            <w:pPr>
              <w:pStyle w:val="TableText"/>
            </w:pPr>
            <w:r w:rsidRPr="00BA1DA6">
              <w:t>Average Number of Children Served Per Day - At Risk Discretionary </w:t>
            </w:r>
          </w:p>
        </w:tc>
        <w:tc>
          <w:tcPr>
            <w:tcW w:w="1935" w:type="dxa"/>
            <w:vAlign w:val="center"/>
            <w:hideMark/>
          </w:tcPr>
          <w:p w14:paraId="59940567" w14:textId="77777777" w:rsidR="00BA1DA6" w:rsidRPr="00BA1DA6" w:rsidRDefault="00BA1DA6" w:rsidP="007F4A4B">
            <w:pPr>
              <w:pStyle w:val="TableText"/>
              <w:jc w:val="right"/>
            </w:pPr>
            <w:r w:rsidRPr="00BA1DA6">
              <w:t>141,262 </w:t>
            </w:r>
          </w:p>
        </w:tc>
      </w:tr>
      <w:tr w:rsidR="00BA1DA6" w:rsidRPr="00BA1DA6" w14:paraId="5862B776" w14:textId="77777777" w:rsidTr="001B5E41">
        <w:trPr>
          <w:trHeight w:val="285"/>
        </w:trPr>
        <w:tc>
          <w:tcPr>
            <w:tcW w:w="6915" w:type="dxa"/>
            <w:vAlign w:val="center"/>
            <w:hideMark/>
          </w:tcPr>
          <w:p w14:paraId="023E2392" w14:textId="77777777" w:rsidR="00BA1DA6" w:rsidRPr="00BA1DA6" w:rsidRDefault="00BA1DA6" w:rsidP="007F4A4B">
            <w:pPr>
              <w:pStyle w:val="TableText"/>
            </w:pPr>
            <w:r w:rsidRPr="00BA1DA6">
              <w:t>Average Cost Per Day - Child Care </w:t>
            </w:r>
          </w:p>
        </w:tc>
        <w:tc>
          <w:tcPr>
            <w:tcW w:w="1935" w:type="dxa"/>
            <w:vAlign w:val="center"/>
            <w:hideMark/>
          </w:tcPr>
          <w:p w14:paraId="24E74C31" w14:textId="77777777" w:rsidR="00BA1DA6" w:rsidRPr="00BA1DA6" w:rsidRDefault="00BA1DA6" w:rsidP="007F4A4B">
            <w:pPr>
              <w:pStyle w:val="TableText"/>
              <w:jc w:val="right"/>
            </w:pPr>
            <w:r w:rsidRPr="00BA1DA6">
              <w:t>$32.39 </w:t>
            </w:r>
          </w:p>
        </w:tc>
      </w:tr>
      <w:tr w:rsidR="00BA1DA6" w:rsidRPr="00BA1DA6" w14:paraId="5D23A037" w14:textId="77777777" w:rsidTr="001B5E41">
        <w:trPr>
          <w:trHeight w:val="285"/>
        </w:trPr>
        <w:tc>
          <w:tcPr>
            <w:tcW w:w="6915" w:type="dxa"/>
            <w:vAlign w:val="center"/>
            <w:hideMark/>
          </w:tcPr>
          <w:p w14:paraId="5E251B88" w14:textId="77777777" w:rsidR="00BA1DA6" w:rsidRPr="00BA1DA6" w:rsidRDefault="00BA1DA6" w:rsidP="007F4A4B">
            <w:pPr>
              <w:pStyle w:val="TableText"/>
            </w:pPr>
            <w:r w:rsidRPr="00BA1DA6">
              <w:t>Average Cost Per Day - Choices and Other Mandatories </w:t>
            </w:r>
          </w:p>
        </w:tc>
        <w:tc>
          <w:tcPr>
            <w:tcW w:w="1935" w:type="dxa"/>
            <w:vAlign w:val="center"/>
            <w:hideMark/>
          </w:tcPr>
          <w:p w14:paraId="509E1F4D" w14:textId="77777777" w:rsidR="00BA1DA6" w:rsidRPr="00BA1DA6" w:rsidRDefault="00BA1DA6" w:rsidP="007F4A4B">
            <w:pPr>
              <w:pStyle w:val="TableText"/>
              <w:jc w:val="right"/>
            </w:pPr>
            <w:r w:rsidRPr="00BA1DA6">
              <w:t>$38.69 </w:t>
            </w:r>
          </w:p>
        </w:tc>
      </w:tr>
      <w:tr w:rsidR="00BA1DA6" w:rsidRPr="00BA1DA6" w14:paraId="1D666BD2" w14:textId="77777777" w:rsidTr="001B5E41">
        <w:trPr>
          <w:trHeight w:val="285"/>
        </w:trPr>
        <w:tc>
          <w:tcPr>
            <w:tcW w:w="6915" w:type="dxa"/>
            <w:vAlign w:val="center"/>
            <w:hideMark/>
          </w:tcPr>
          <w:p w14:paraId="3AC6569E" w14:textId="77777777" w:rsidR="00BA1DA6" w:rsidRPr="00BA1DA6" w:rsidRDefault="00BA1DA6" w:rsidP="007F4A4B">
            <w:pPr>
              <w:pStyle w:val="TableText"/>
            </w:pPr>
            <w:r w:rsidRPr="00BA1DA6">
              <w:t>Average Cost Per Day - At Risk Discretionary </w:t>
            </w:r>
          </w:p>
        </w:tc>
        <w:tc>
          <w:tcPr>
            <w:tcW w:w="1935" w:type="dxa"/>
            <w:vAlign w:val="center"/>
            <w:hideMark/>
          </w:tcPr>
          <w:p w14:paraId="65F5AFCE" w14:textId="77777777" w:rsidR="00BA1DA6" w:rsidRPr="00BA1DA6" w:rsidRDefault="00BA1DA6" w:rsidP="007F4A4B">
            <w:pPr>
              <w:pStyle w:val="TableText"/>
              <w:jc w:val="right"/>
            </w:pPr>
            <w:r w:rsidRPr="00BA1DA6">
              <w:t>$32.04 </w:t>
            </w:r>
          </w:p>
        </w:tc>
      </w:tr>
      <w:tr w:rsidR="00BA1DA6" w:rsidRPr="00BA1DA6" w14:paraId="56C5451D" w14:textId="77777777" w:rsidTr="001B5E41">
        <w:trPr>
          <w:trHeight w:val="285"/>
        </w:trPr>
        <w:tc>
          <w:tcPr>
            <w:tcW w:w="6915" w:type="dxa"/>
            <w:vAlign w:val="center"/>
            <w:hideMark/>
          </w:tcPr>
          <w:p w14:paraId="7D432609" w14:textId="77777777" w:rsidR="00BA1DA6" w:rsidRPr="00BA1DA6" w:rsidRDefault="00BA1DA6" w:rsidP="007F4A4B">
            <w:pPr>
              <w:pStyle w:val="TableText"/>
            </w:pPr>
            <w:r w:rsidRPr="00BA1DA6">
              <w:t>Average Number of Children on Waiting List for Low Income Child Care </w:t>
            </w:r>
          </w:p>
        </w:tc>
        <w:tc>
          <w:tcPr>
            <w:tcW w:w="1935" w:type="dxa"/>
            <w:vAlign w:val="center"/>
            <w:hideMark/>
          </w:tcPr>
          <w:p w14:paraId="141723CE" w14:textId="77777777" w:rsidR="00BA1DA6" w:rsidRPr="00BA1DA6" w:rsidRDefault="00BA1DA6" w:rsidP="007F4A4B">
            <w:pPr>
              <w:pStyle w:val="TableText"/>
              <w:jc w:val="right"/>
            </w:pPr>
            <w:r w:rsidRPr="00BA1DA6">
              <w:t>80,107 </w:t>
            </w:r>
          </w:p>
        </w:tc>
      </w:tr>
      <w:tr w:rsidR="00BA1DA6" w:rsidRPr="00BA1DA6" w14:paraId="1D8C9ECF" w14:textId="77777777" w:rsidTr="001B5E41">
        <w:trPr>
          <w:trHeight w:val="285"/>
        </w:trPr>
        <w:tc>
          <w:tcPr>
            <w:tcW w:w="6915" w:type="dxa"/>
            <w:vAlign w:val="center"/>
            <w:hideMark/>
          </w:tcPr>
          <w:p w14:paraId="68F95AF9" w14:textId="77777777" w:rsidR="00BA1DA6" w:rsidRPr="00BA1DA6" w:rsidRDefault="00BA1DA6" w:rsidP="007F4A4B">
            <w:pPr>
              <w:pStyle w:val="TableText"/>
            </w:pPr>
            <w:r w:rsidRPr="00BA1DA6">
              <w:t>Child Care Administration/Operations Percentage </w:t>
            </w:r>
          </w:p>
        </w:tc>
        <w:tc>
          <w:tcPr>
            <w:tcW w:w="1935" w:type="dxa"/>
            <w:vAlign w:val="center"/>
            <w:hideMark/>
          </w:tcPr>
          <w:p w14:paraId="412402CF" w14:textId="77777777" w:rsidR="00BA1DA6" w:rsidRPr="00BA1DA6" w:rsidRDefault="00BA1DA6" w:rsidP="007F4A4B">
            <w:pPr>
              <w:pStyle w:val="TableText"/>
              <w:jc w:val="right"/>
            </w:pPr>
            <w:r w:rsidRPr="00BA1DA6">
              <w:t>9.89% </w:t>
            </w:r>
          </w:p>
        </w:tc>
      </w:tr>
    </w:tbl>
    <w:p w14:paraId="61D8F14E" w14:textId="77777777" w:rsidR="00BA1DA6" w:rsidRPr="00BA1DA6" w:rsidRDefault="00BA1DA6" w:rsidP="007F4A4B">
      <w:pPr>
        <w:pStyle w:val="BodyText3"/>
      </w:pPr>
      <w:r w:rsidRPr="00BA1DA6">
        <w:t>Financial Aid </w:t>
      </w:r>
    </w:p>
    <w:p w14:paraId="5AAE2868" w14:textId="77777777" w:rsidR="00BA1DA6" w:rsidRPr="00BA1DA6" w:rsidRDefault="00BA1DA6" w:rsidP="00BA1DA6">
      <w:pPr>
        <w:pStyle w:val="BodyText"/>
      </w:pPr>
      <w:r w:rsidRPr="00BA1DA6">
        <w:rPr>
          <w:i/>
          <w:iCs/>
        </w:rPr>
        <w:t>Effectiveness Report</w:t>
      </w:r>
      <w:r w:rsidRPr="00BA1DA6">
        <w:t> </w:t>
      </w:r>
    </w:p>
    <w:p w14:paraId="66510D46" w14:textId="77777777" w:rsidR="00BA1DA6" w:rsidRPr="00BA1DA6" w:rsidRDefault="00BA1DA6" w:rsidP="00BA1DA6">
      <w:pPr>
        <w:pStyle w:val="BodyText"/>
      </w:pPr>
      <w:r w:rsidRPr="00BA1DA6">
        <w:t xml:space="preserve">Texas Labor Code §302.0043 requires TWC to prepare an </w:t>
      </w:r>
      <w:hyperlink r:id="rId54" w:tgtFrame="_blank" w:history="1">
        <w:r w:rsidRPr="00BA1DA6">
          <w:rPr>
            <w:rStyle w:val="Hyperlink"/>
          </w:rPr>
          <w:t>Evaluation of Effectiveness of Subsidized Child Care Program</w:t>
        </w:r>
      </w:hyperlink>
      <w:r w:rsidRPr="00BA1DA6">
        <w:t xml:space="preserve">. The goal is to analyze the effectiveness of the subsidized </w:t>
      </w:r>
      <w:proofErr w:type="gramStart"/>
      <w:r w:rsidRPr="00BA1DA6">
        <w:t>child care</w:t>
      </w:r>
      <w:proofErr w:type="gramEnd"/>
      <w:r w:rsidRPr="00BA1DA6">
        <w:t xml:space="preserve"> program in assisting parents to maintain employment. The Labor Code requires TWC to report the results of the evaluation to the legislature no later than January 15 of each odd-numbered year. </w:t>
      </w:r>
    </w:p>
    <w:p w14:paraId="4E771B0F" w14:textId="6C84B8AF" w:rsidR="00BA1DA6" w:rsidRPr="00BA1DA6" w:rsidRDefault="00BA1DA6" w:rsidP="00BA1DA6">
      <w:pPr>
        <w:pStyle w:val="BodyText"/>
      </w:pPr>
      <w:r w:rsidRPr="00BA1DA6">
        <w:t xml:space="preserve">The most recent report in 2025 found that in 2022, approximately 88 percent of parents receiving TANF found employment within 12 months of receiving </w:t>
      </w:r>
      <w:proofErr w:type="gramStart"/>
      <w:r w:rsidRPr="00BA1DA6">
        <w:t>child care</w:t>
      </w:r>
      <w:proofErr w:type="gramEnd"/>
      <w:r w:rsidRPr="00BA1DA6">
        <w:t xml:space="preserve">. Additionally, approximately 87 percent of non-TANF </w:t>
      </w:r>
      <w:proofErr w:type="gramStart"/>
      <w:r w:rsidRPr="00BA1DA6">
        <w:t>parents maintained</w:t>
      </w:r>
      <w:proofErr w:type="gramEnd"/>
      <w:r w:rsidRPr="00BA1DA6">
        <w:t xml:space="preserve"> employment 12 months after receiving child care and, at the end of the 12-month period, experienced an average quarterly wage gain of $1,871 ($7,484 annually). The availability of stable and affordable </w:t>
      </w:r>
      <w:proofErr w:type="gramStart"/>
      <w:r w:rsidRPr="00BA1DA6">
        <w:t>child care</w:t>
      </w:r>
      <w:proofErr w:type="gramEnd"/>
      <w:r w:rsidRPr="00BA1DA6">
        <w:t xml:space="preserve"> is often a determining factor in a parent’s ability to obtain and retain employment. </w:t>
      </w:r>
    </w:p>
    <w:p w14:paraId="4A55E61D" w14:textId="77777777" w:rsidR="00BA1DA6" w:rsidRPr="00BA1DA6" w:rsidRDefault="00BA1DA6" w:rsidP="00BA1DA6">
      <w:pPr>
        <w:pStyle w:val="BodyText"/>
      </w:pPr>
      <w:r w:rsidRPr="00BA1DA6">
        <w:rPr>
          <w:i/>
          <w:iCs/>
        </w:rPr>
        <w:t>Child Care by the Numbers</w:t>
      </w:r>
      <w:r w:rsidRPr="00BA1DA6">
        <w:t> </w:t>
      </w:r>
    </w:p>
    <w:p w14:paraId="5C69D44E" w14:textId="77777777" w:rsidR="00BA1DA6" w:rsidRPr="00BA1DA6" w:rsidRDefault="00BA1DA6" w:rsidP="00BA1DA6">
      <w:pPr>
        <w:pStyle w:val="BodyText"/>
      </w:pPr>
      <w:r w:rsidRPr="00BA1DA6">
        <w:t xml:space="preserve">CCS financial aid data is also available through </w:t>
      </w:r>
      <w:hyperlink r:id="rId55" w:tgtFrame="_blank" w:history="1">
        <w:r w:rsidRPr="00BA1DA6">
          <w:rPr>
            <w:rStyle w:val="Hyperlink"/>
          </w:rPr>
          <w:t>Child Care by the Numbers</w:t>
        </w:r>
      </w:hyperlink>
      <w:r w:rsidRPr="00BA1DA6">
        <w:t xml:space="preserve"> (CCBN), which provides information for the most recent 15 months. TWC updates this information quarterly. CCBN also has historical information (back to 2015). CCBN show annual and monthly data, statewide and by each of the 28 Boards. </w:t>
      </w:r>
    </w:p>
    <w:p w14:paraId="63029225" w14:textId="77777777" w:rsidR="00BA1DA6" w:rsidRPr="00BA1DA6" w:rsidRDefault="00BA1DA6" w:rsidP="00BA1DA6">
      <w:pPr>
        <w:pStyle w:val="BodyText"/>
      </w:pPr>
      <w:r w:rsidRPr="00BA1DA6">
        <w:lastRenderedPageBreak/>
        <w:t>CCS data include: </w:t>
      </w:r>
    </w:p>
    <w:p w14:paraId="74AD7F2A" w14:textId="77777777" w:rsidR="00BA1DA6" w:rsidRPr="00BA1DA6" w:rsidRDefault="00BA1DA6" w:rsidP="00BA1DA6">
      <w:pPr>
        <w:pStyle w:val="BodyText"/>
      </w:pPr>
      <w:r w:rsidRPr="00BA1DA6">
        <w:t>CCS children and families served </w:t>
      </w:r>
    </w:p>
    <w:p w14:paraId="3EF45369" w14:textId="77777777" w:rsidR="00BA1DA6" w:rsidRPr="00BA1DA6" w:rsidRDefault="00BA1DA6" w:rsidP="00C64851">
      <w:pPr>
        <w:pStyle w:val="BodyText"/>
        <w:numPr>
          <w:ilvl w:val="0"/>
          <w:numId w:val="443"/>
        </w:numPr>
      </w:pPr>
      <w:r w:rsidRPr="00BA1DA6">
        <w:t>Average number of children served </w:t>
      </w:r>
    </w:p>
    <w:p w14:paraId="3E30C560" w14:textId="77777777" w:rsidR="00BA1DA6" w:rsidRPr="00BA1DA6" w:rsidRDefault="00BA1DA6" w:rsidP="00C64851">
      <w:pPr>
        <w:pStyle w:val="BodyText"/>
        <w:numPr>
          <w:ilvl w:val="0"/>
          <w:numId w:val="444"/>
        </w:numPr>
      </w:pPr>
      <w:r w:rsidRPr="00BA1DA6">
        <w:t>Total number of children served </w:t>
      </w:r>
    </w:p>
    <w:p w14:paraId="7010D2BB" w14:textId="77777777" w:rsidR="00BA1DA6" w:rsidRPr="00BA1DA6" w:rsidRDefault="00BA1DA6" w:rsidP="00C64851">
      <w:pPr>
        <w:pStyle w:val="BodyText"/>
        <w:numPr>
          <w:ilvl w:val="0"/>
          <w:numId w:val="445"/>
        </w:numPr>
      </w:pPr>
      <w:r w:rsidRPr="00BA1DA6">
        <w:t>Total number of families served </w:t>
      </w:r>
    </w:p>
    <w:p w14:paraId="50714E7D" w14:textId="77777777" w:rsidR="00BA1DA6" w:rsidRPr="00BA1DA6" w:rsidRDefault="00BA1DA6" w:rsidP="00C64851">
      <w:pPr>
        <w:pStyle w:val="BodyText"/>
        <w:numPr>
          <w:ilvl w:val="0"/>
          <w:numId w:val="446"/>
        </w:numPr>
      </w:pPr>
      <w:r w:rsidRPr="00BA1DA6">
        <w:t>Average number of children served by age per day  </w:t>
      </w:r>
    </w:p>
    <w:p w14:paraId="25DCE34F" w14:textId="77777777" w:rsidR="00BA1DA6" w:rsidRPr="00BA1DA6" w:rsidRDefault="00BA1DA6" w:rsidP="00C64851">
      <w:pPr>
        <w:pStyle w:val="BodyText"/>
        <w:numPr>
          <w:ilvl w:val="0"/>
          <w:numId w:val="447"/>
        </w:numPr>
      </w:pPr>
      <w:r w:rsidRPr="00BA1DA6">
        <w:t>Average number of children served by provider type per day </w:t>
      </w:r>
    </w:p>
    <w:p w14:paraId="458FA9B7" w14:textId="77777777" w:rsidR="00BA1DA6" w:rsidRPr="00BA1DA6" w:rsidRDefault="00BA1DA6" w:rsidP="00BA1DA6">
      <w:pPr>
        <w:pStyle w:val="BodyText"/>
      </w:pPr>
      <w:r w:rsidRPr="00BA1DA6">
        <w:t>Providers serving CCS children </w:t>
      </w:r>
    </w:p>
    <w:p w14:paraId="336E9E5C" w14:textId="77777777" w:rsidR="00BA1DA6" w:rsidRPr="00BA1DA6" w:rsidRDefault="00BA1DA6" w:rsidP="00C64851">
      <w:pPr>
        <w:pStyle w:val="BodyText"/>
        <w:numPr>
          <w:ilvl w:val="0"/>
          <w:numId w:val="448"/>
        </w:numPr>
      </w:pPr>
      <w:r w:rsidRPr="00BA1DA6">
        <w:t>Total number of providers  </w:t>
      </w:r>
    </w:p>
    <w:p w14:paraId="35BDF0D6" w14:textId="77777777" w:rsidR="00BA1DA6" w:rsidRPr="00BA1DA6" w:rsidRDefault="00BA1DA6" w:rsidP="00C64851">
      <w:pPr>
        <w:pStyle w:val="BodyText"/>
        <w:numPr>
          <w:ilvl w:val="0"/>
          <w:numId w:val="449"/>
        </w:numPr>
      </w:pPr>
      <w:r w:rsidRPr="00BA1DA6">
        <w:t>Providers by provider type </w:t>
      </w:r>
    </w:p>
    <w:p w14:paraId="1F327120" w14:textId="77777777" w:rsidR="00BA1DA6" w:rsidRPr="00BA1DA6" w:rsidRDefault="00BA1DA6" w:rsidP="00BA1DA6">
      <w:pPr>
        <w:pStyle w:val="BodyText"/>
      </w:pPr>
      <w:r w:rsidRPr="00BA1DA6">
        <w:t>The program’s overall footprint in the state </w:t>
      </w:r>
    </w:p>
    <w:p w14:paraId="6D2A9FCE" w14:textId="3AADF59B" w:rsidR="00BA1DA6" w:rsidRPr="00BA1DA6" w:rsidRDefault="00E8207F" w:rsidP="00C64851">
      <w:pPr>
        <w:pStyle w:val="BodyText"/>
        <w:numPr>
          <w:ilvl w:val="0"/>
          <w:numId w:val="450"/>
        </w:numPr>
      </w:pPr>
      <w:r>
        <w:t>N</w:t>
      </w:r>
      <w:r w:rsidR="00BA1DA6" w:rsidRPr="00BA1DA6">
        <w:t>umber of employers of CCS parents </w:t>
      </w:r>
    </w:p>
    <w:p w14:paraId="1741911B" w14:textId="3EB401AB" w:rsidR="00BA1DA6" w:rsidRPr="00BA1DA6" w:rsidRDefault="00E8207F" w:rsidP="00C64851">
      <w:pPr>
        <w:pStyle w:val="BodyText"/>
        <w:numPr>
          <w:ilvl w:val="0"/>
          <w:numId w:val="451"/>
        </w:numPr>
      </w:pPr>
      <w:r>
        <w:t>T</w:t>
      </w:r>
      <w:r w:rsidR="00BA1DA6" w:rsidRPr="00BA1DA6">
        <w:t xml:space="preserve">otal and quarterly wages of </w:t>
      </w:r>
      <w:proofErr w:type="gramStart"/>
      <w:r w:rsidR="00BA1DA6" w:rsidRPr="00BA1DA6">
        <w:t>child care</w:t>
      </w:r>
      <w:proofErr w:type="gramEnd"/>
      <w:r w:rsidR="00BA1DA6" w:rsidRPr="00BA1DA6">
        <w:t xml:space="preserve"> parents </w:t>
      </w:r>
    </w:p>
    <w:p w14:paraId="4A4D8D4E" w14:textId="77777777" w:rsidR="00BA1DA6" w:rsidRPr="00BA1DA6" w:rsidRDefault="00BA1DA6" w:rsidP="00881EAC">
      <w:pPr>
        <w:pStyle w:val="BodyText3"/>
      </w:pPr>
      <w:r w:rsidRPr="00BA1DA6">
        <w:t>Quality Improvement Activities </w:t>
      </w:r>
    </w:p>
    <w:p w14:paraId="64A9CDAB" w14:textId="77777777" w:rsidR="00BA1DA6" w:rsidRPr="00BA1DA6" w:rsidRDefault="00BA1DA6" w:rsidP="00BA1DA6">
      <w:pPr>
        <w:pStyle w:val="BodyText"/>
      </w:pPr>
      <w:r w:rsidRPr="00BA1DA6">
        <w:t xml:space="preserve">TWC requires Boards to submit an annual plan and quarterly expenditure reports for these funds. TWC publishes the </w:t>
      </w:r>
      <w:hyperlink r:id="rId56" w:tgtFrame="_blank" w:history="1">
        <w:r w:rsidRPr="00BA1DA6">
          <w:rPr>
            <w:rStyle w:val="Hyperlink"/>
          </w:rPr>
          <w:t>Local Board Child Care Quality (CCQ) Funds: Annual Plans and Quarterly Expenditure Report</w:t>
        </w:r>
      </w:hyperlink>
      <w:r w:rsidRPr="00BA1DA6">
        <w:t>s on the TWC website.  </w:t>
      </w:r>
    </w:p>
    <w:p w14:paraId="614416C6" w14:textId="77777777" w:rsidR="00BA1DA6" w:rsidRPr="00BA1DA6" w:rsidRDefault="00BA1DA6" w:rsidP="00BA1DA6">
      <w:pPr>
        <w:pStyle w:val="BodyText"/>
      </w:pPr>
      <w:r w:rsidRPr="00BA1DA6">
        <w:t>Each of the 28 Boards submit annual CCQ expenditure plans and quarterly expenditure reports.  The reports include the total and percent of expenditures related quality improvement related to: </w:t>
      </w:r>
    </w:p>
    <w:p w14:paraId="0C2A9B3A" w14:textId="77777777" w:rsidR="00BA1DA6" w:rsidRPr="00BA1DA6" w:rsidRDefault="00BA1DA6" w:rsidP="00C64851">
      <w:pPr>
        <w:pStyle w:val="BodyText"/>
        <w:numPr>
          <w:ilvl w:val="0"/>
          <w:numId w:val="452"/>
        </w:numPr>
      </w:pPr>
      <w:r w:rsidRPr="00BA1DA6">
        <w:t>Infant &amp; Toddler Care </w:t>
      </w:r>
    </w:p>
    <w:p w14:paraId="5991A5C2" w14:textId="77777777" w:rsidR="00BA1DA6" w:rsidRPr="00BA1DA6" w:rsidRDefault="00BA1DA6" w:rsidP="00C64851">
      <w:pPr>
        <w:pStyle w:val="BodyText"/>
        <w:numPr>
          <w:ilvl w:val="0"/>
          <w:numId w:val="453"/>
        </w:numPr>
      </w:pPr>
      <w:r w:rsidRPr="00BA1DA6">
        <w:t>Professional Development </w:t>
      </w:r>
    </w:p>
    <w:p w14:paraId="4390EB54" w14:textId="77777777" w:rsidR="00BA1DA6" w:rsidRPr="00BA1DA6" w:rsidRDefault="00BA1DA6" w:rsidP="00C64851">
      <w:pPr>
        <w:pStyle w:val="BodyText"/>
        <w:numPr>
          <w:ilvl w:val="0"/>
          <w:numId w:val="454"/>
        </w:numPr>
      </w:pPr>
      <w:r w:rsidRPr="00BA1DA6">
        <w:t>Texas Rising Star </w:t>
      </w:r>
    </w:p>
    <w:p w14:paraId="29A0C5EA" w14:textId="77777777" w:rsidR="00BA1DA6" w:rsidRPr="00BA1DA6" w:rsidRDefault="00BA1DA6" w:rsidP="00C64851">
      <w:pPr>
        <w:pStyle w:val="BodyText"/>
        <w:numPr>
          <w:ilvl w:val="0"/>
          <w:numId w:val="455"/>
        </w:numPr>
      </w:pPr>
      <w:r w:rsidRPr="00BA1DA6">
        <w:t>Health &amp; Safety </w:t>
      </w:r>
    </w:p>
    <w:p w14:paraId="17D57807" w14:textId="77777777" w:rsidR="00BA1DA6" w:rsidRPr="00BA1DA6" w:rsidRDefault="00BA1DA6" w:rsidP="00C64851">
      <w:pPr>
        <w:pStyle w:val="BodyText"/>
        <w:numPr>
          <w:ilvl w:val="0"/>
          <w:numId w:val="456"/>
        </w:numPr>
      </w:pPr>
      <w:r w:rsidRPr="00BA1DA6">
        <w:t>Evaluation percent Assessment </w:t>
      </w:r>
    </w:p>
    <w:p w14:paraId="736A6C19" w14:textId="77777777" w:rsidR="00BA1DA6" w:rsidRPr="00BA1DA6" w:rsidRDefault="00BA1DA6" w:rsidP="00C64851">
      <w:pPr>
        <w:pStyle w:val="BodyText"/>
        <w:numPr>
          <w:ilvl w:val="0"/>
          <w:numId w:val="457"/>
        </w:numPr>
      </w:pPr>
      <w:r w:rsidRPr="00BA1DA6">
        <w:t>National Accreditation Support </w:t>
      </w:r>
    </w:p>
    <w:p w14:paraId="54C1E6D4" w14:textId="77777777" w:rsidR="00BA1DA6" w:rsidRPr="00BA1DA6" w:rsidRDefault="00BA1DA6" w:rsidP="00C64851">
      <w:pPr>
        <w:pStyle w:val="BodyText"/>
        <w:numPr>
          <w:ilvl w:val="0"/>
          <w:numId w:val="458"/>
        </w:numPr>
      </w:pPr>
      <w:r w:rsidRPr="00BA1DA6">
        <w:lastRenderedPageBreak/>
        <w:t>Other Quality Improvement Activities </w:t>
      </w:r>
    </w:p>
    <w:p w14:paraId="680D91C7" w14:textId="77777777" w:rsidR="00BA1DA6" w:rsidRPr="00BA1DA6" w:rsidRDefault="00BA1DA6" w:rsidP="00BA1DA6">
      <w:pPr>
        <w:pStyle w:val="BodyText"/>
      </w:pPr>
      <w:r w:rsidRPr="00BA1DA6">
        <w:t>The reports also include Board narratives on the activities, including the number of programs and participant in the quality improvement activities. </w:t>
      </w:r>
    </w:p>
    <w:p w14:paraId="6B9E7873" w14:textId="77777777" w:rsidR="00BA1DA6" w:rsidRPr="00BA1DA6" w:rsidRDefault="00BA1DA6" w:rsidP="00881EAC">
      <w:pPr>
        <w:pStyle w:val="BodyText3"/>
        <w:ind w:left="720" w:hanging="720"/>
      </w:pPr>
      <w:r w:rsidRPr="00BA1DA6">
        <w:t>D.</w:t>
      </w:r>
      <w:r w:rsidRPr="00BA1DA6">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764D88DD" w14:textId="77777777" w:rsidR="00BA1DA6" w:rsidRPr="00E440A5" w:rsidRDefault="00BA1DA6" w:rsidP="00881EAC">
      <w:pPr>
        <w:pStyle w:val="BodyText3"/>
      </w:pPr>
      <w:r w:rsidRPr="00E440A5">
        <w:t> Child Care and Development Block Grant</w:t>
      </w:r>
      <w:r w:rsidRPr="00E440A5">
        <w:rPr>
          <w:bCs/>
        </w:rPr>
        <w:t xml:space="preserve"> Reauthorization</w:t>
      </w:r>
      <w:r w:rsidRPr="00E440A5">
        <w:t> </w:t>
      </w:r>
    </w:p>
    <w:p w14:paraId="17887E06" w14:textId="77777777" w:rsidR="00BA1DA6" w:rsidRPr="00BA1DA6" w:rsidRDefault="00BA1DA6" w:rsidP="00BA1DA6">
      <w:pPr>
        <w:pStyle w:val="BodyText"/>
      </w:pPr>
      <w:r w:rsidRPr="00BA1DA6">
        <w:t xml:space="preserve">In 2014, Child Care and Development Block Grant (CCDBG) was reauthorized and included new requirements to improve health and safety of </w:t>
      </w:r>
      <w:proofErr w:type="gramStart"/>
      <w:r w:rsidRPr="00BA1DA6">
        <w:t>child care</w:t>
      </w:r>
      <w:proofErr w:type="gramEnd"/>
      <w:r w:rsidRPr="00BA1DA6">
        <w:t xml:space="preserve"> programs and better support stability for working families, children and child care providers.  </w:t>
      </w:r>
    </w:p>
    <w:p w14:paraId="6A5769D8" w14:textId="77777777" w:rsidR="00BA1DA6" w:rsidRPr="00BA1DA6" w:rsidRDefault="00BA1DA6" w:rsidP="00BA1DA6">
      <w:pPr>
        <w:pStyle w:val="BodyText"/>
      </w:pPr>
      <w:r w:rsidRPr="00BA1DA6">
        <w:t>CCDBG Reauthorization included:  </w:t>
      </w:r>
    </w:p>
    <w:p w14:paraId="3684701E" w14:textId="77777777" w:rsidR="00BA1DA6" w:rsidRPr="00BA1DA6" w:rsidRDefault="00BA1DA6" w:rsidP="00C64851">
      <w:pPr>
        <w:pStyle w:val="BodyText"/>
        <w:numPr>
          <w:ilvl w:val="0"/>
          <w:numId w:val="459"/>
        </w:numPr>
      </w:pPr>
      <w:r w:rsidRPr="00BA1DA6">
        <w:t xml:space="preserve">Requiring </w:t>
      </w:r>
      <w:proofErr w:type="gramStart"/>
      <w:r w:rsidRPr="00BA1DA6">
        <w:t>child care</w:t>
      </w:r>
      <w:proofErr w:type="gramEnd"/>
      <w:r w:rsidRPr="00BA1DA6">
        <w:t xml:space="preserve"> eligibility for at least 12 months  </w:t>
      </w:r>
    </w:p>
    <w:p w14:paraId="11CDF0EA" w14:textId="77777777" w:rsidR="00BA1DA6" w:rsidRPr="00BA1DA6" w:rsidRDefault="00BA1DA6" w:rsidP="00C64851">
      <w:pPr>
        <w:pStyle w:val="BodyText"/>
        <w:numPr>
          <w:ilvl w:val="0"/>
          <w:numId w:val="460"/>
        </w:numPr>
      </w:pPr>
      <w:r w:rsidRPr="00BA1DA6">
        <w:t>Prohibiting increases in the Parent Share of Cost during the 12-month period if the family income increases </w:t>
      </w:r>
    </w:p>
    <w:p w14:paraId="249FF576" w14:textId="77777777" w:rsidR="00BA1DA6" w:rsidRPr="00BA1DA6" w:rsidRDefault="00BA1DA6" w:rsidP="00C64851">
      <w:pPr>
        <w:pStyle w:val="BodyText"/>
        <w:numPr>
          <w:ilvl w:val="0"/>
          <w:numId w:val="461"/>
        </w:numPr>
      </w:pPr>
      <w:r w:rsidRPr="00BA1DA6">
        <w:t>Priority for children experiencing homelessness </w:t>
      </w:r>
    </w:p>
    <w:p w14:paraId="2798690A" w14:textId="77777777" w:rsidR="00BA1DA6" w:rsidRPr="00BA1DA6" w:rsidRDefault="00BA1DA6" w:rsidP="00C64851">
      <w:pPr>
        <w:pStyle w:val="BodyText"/>
        <w:numPr>
          <w:ilvl w:val="0"/>
          <w:numId w:val="462"/>
        </w:numPr>
      </w:pPr>
      <w:r w:rsidRPr="00BA1DA6">
        <w:t>Aligning provider payments with generally accepted payment practices for children not receiving CCDF; and  </w:t>
      </w:r>
    </w:p>
    <w:p w14:paraId="1D026ED0" w14:textId="77777777" w:rsidR="00BA1DA6" w:rsidRPr="00BA1DA6" w:rsidRDefault="00BA1DA6" w:rsidP="00C64851">
      <w:pPr>
        <w:pStyle w:val="BodyText"/>
        <w:numPr>
          <w:ilvl w:val="0"/>
          <w:numId w:val="463"/>
        </w:numPr>
      </w:pPr>
      <w:r w:rsidRPr="00BA1DA6">
        <w:t>Increased quality funding set-aside from 4 percent of the CCDF allocation to 12 percent by 2018 (9 percent for general quality improvement and three percent for infant and toddler quality improvement). </w:t>
      </w:r>
    </w:p>
    <w:p w14:paraId="0161F4AA" w14:textId="77777777" w:rsidR="00BA1DA6" w:rsidRPr="00BA1DA6" w:rsidRDefault="00BA1DA6" w:rsidP="00BA1DA6">
      <w:pPr>
        <w:pStyle w:val="BodyText"/>
      </w:pPr>
      <w:r w:rsidRPr="00BA1DA6">
        <w:t>In 2016, the Commission amended the Child Care Services rules (Chapter 809) to comply with the changes to the CCDBG reauthorization. </w:t>
      </w:r>
    </w:p>
    <w:p w14:paraId="25F3BBBB" w14:textId="77777777" w:rsidR="00BA1DA6" w:rsidRPr="00BA1DA6" w:rsidRDefault="00BA1DA6" w:rsidP="00E440A5">
      <w:pPr>
        <w:pStyle w:val="BodyText3"/>
      </w:pPr>
      <w:r w:rsidRPr="00BA1DA6">
        <w:t>Increasing Reimbursement Rates </w:t>
      </w:r>
    </w:p>
    <w:p w14:paraId="1275C197" w14:textId="77777777" w:rsidR="00BA1DA6" w:rsidRPr="00BA1DA6" w:rsidRDefault="00BA1DA6" w:rsidP="00BA1DA6">
      <w:pPr>
        <w:pStyle w:val="BodyText"/>
      </w:pPr>
      <w:r w:rsidRPr="00BA1DA6">
        <w:t>Prior to 2015, Texas Government Code, §2308.315 required Texas Rising Star providers be reimbursed at least 5 percent above the non-Texas Rising Star rate.  The 83rd Texas Legislature passed House Bill (HB) 376 amending the Texas Government Code, §2308.315, which required TWC to establish graduated reimbursement rates of the following percentages above the non-Texas Rising Star rates: </w:t>
      </w:r>
    </w:p>
    <w:p w14:paraId="4A9075DD" w14:textId="77777777" w:rsidR="00BA1DA6" w:rsidRPr="00BA1DA6" w:rsidRDefault="00BA1DA6" w:rsidP="00C64851">
      <w:pPr>
        <w:pStyle w:val="BodyText"/>
        <w:numPr>
          <w:ilvl w:val="0"/>
          <w:numId w:val="464"/>
        </w:numPr>
      </w:pPr>
      <w:r w:rsidRPr="00BA1DA6">
        <w:t>5 percent for a 2-star rating </w:t>
      </w:r>
    </w:p>
    <w:p w14:paraId="230683BB" w14:textId="77777777" w:rsidR="00BA1DA6" w:rsidRPr="00BA1DA6" w:rsidRDefault="00BA1DA6" w:rsidP="00C64851">
      <w:pPr>
        <w:pStyle w:val="BodyText"/>
        <w:numPr>
          <w:ilvl w:val="0"/>
          <w:numId w:val="465"/>
        </w:numPr>
      </w:pPr>
      <w:r w:rsidRPr="00BA1DA6">
        <w:t>7 percent for a 3-star rating </w:t>
      </w:r>
    </w:p>
    <w:p w14:paraId="4BF85009" w14:textId="77777777" w:rsidR="00BA1DA6" w:rsidRPr="00BA1DA6" w:rsidRDefault="00BA1DA6" w:rsidP="00C64851">
      <w:pPr>
        <w:pStyle w:val="BodyText"/>
        <w:numPr>
          <w:ilvl w:val="0"/>
          <w:numId w:val="466"/>
        </w:numPr>
      </w:pPr>
      <w:r w:rsidRPr="00BA1DA6">
        <w:lastRenderedPageBreak/>
        <w:t>9 percent for a 4-star rating </w:t>
      </w:r>
    </w:p>
    <w:p w14:paraId="332022DD" w14:textId="77777777" w:rsidR="00BA1DA6" w:rsidRPr="00BA1DA6" w:rsidRDefault="00BA1DA6" w:rsidP="00BA1DA6">
      <w:pPr>
        <w:pStyle w:val="BodyText"/>
      </w:pPr>
      <w:r w:rsidRPr="00BA1DA6">
        <w:t xml:space="preserve">Additionally, CCDBG Reauthorization and CCDF regulations at 45 CFR §98.45 requires states to use market rate data to set direct care reimbursement rates to ensure equal access to </w:t>
      </w:r>
      <w:proofErr w:type="gramStart"/>
      <w:r w:rsidRPr="00BA1DA6">
        <w:t>child care</w:t>
      </w:r>
      <w:proofErr w:type="gramEnd"/>
      <w:r w:rsidRPr="00BA1DA6">
        <w:t xml:space="preserve"> services for children participating in child care subsidies by setting direct care reimbursement rates that are sufficient to provide comparable services to those received by families that do not receive assistance. </w:t>
      </w:r>
    </w:p>
    <w:p w14:paraId="72E644A2" w14:textId="77777777" w:rsidR="00BA1DA6" w:rsidRPr="00BA1DA6" w:rsidRDefault="00BA1DA6" w:rsidP="00BA1DA6">
      <w:pPr>
        <w:pStyle w:val="BodyText"/>
      </w:pPr>
      <w:r w:rsidRPr="00BA1DA6">
        <w:t xml:space="preserve">As the CCDF lead agency for Texas, TWC conducts an annual Market Rate Survey (MRS) to analyze and summarize </w:t>
      </w:r>
      <w:proofErr w:type="gramStart"/>
      <w:r w:rsidRPr="00BA1DA6">
        <w:t>child care</w:t>
      </w:r>
      <w:proofErr w:type="gramEnd"/>
      <w:r w:rsidRPr="00BA1DA6">
        <w:t xml:space="preserve"> market rate data for the state and for the 28 Local Workforce Development Boards (Boards). Section 809.20, Maximum Provider Reimbursement Rates, authorizes Boards to set reimbursement rates for their local workforce development areas (workforce areas) based on local factors, including the MRS, and to ensure that the rates provide equal access to </w:t>
      </w:r>
      <w:proofErr w:type="gramStart"/>
      <w:r w:rsidRPr="00BA1DA6">
        <w:t>child care</w:t>
      </w:r>
      <w:proofErr w:type="gramEnd"/>
      <w:r w:rsidRPr="00BA1DA6">
        <w:t>. </w:t>
      </w:r>
    </w:p>
    <w:p w14:paraId="06E3FE94" w14:textId="77777777" w:rsidR="00BA1DA6" w:rsidRPr="00BA1DA6" w:rsidRDefault="00BA1DA6" w:rsidP="00BA1DA6">
      <w:pPr>
        <w:pStyle w:val="BodyText"/>
      </w:pPr>
      <w:r w:rsidRPr="00BA1DA6">
        <w:t xml:space="preserve">In June 2020, TWC's three-member Commission (Commission) </w:t>
      </w:r>
      <w:hyperlink r:id="rId57" w:tgtFrame="_blank" w:history="1">
        <w:r w:rsidRPr="00BA1DA6">
          <w:rPr>
            <w:rStyle w:val="Hyperlink"/>
          </w:rPr>
          <w:t>amended</w:t>
        </w:r>
      </w:hyperlink>
      <w:r w:rsidRPr="00BA1DA6">
        <w:t xml:space="preserve"> Ch. 809 Child Care Services rules to require Boards to establish maximum child care reimbursement rates at or above a level established by the Commission.  TWC has taken incremental steps to increase provider payment rates since Fiscal Year 2020, when base rates (those in effect before Texas Rising Star graduated reimbursement rates) were set by the Commission at the 30th percentile of the most recent MRS. The base rates were incrementally increased over the next few years, and beginning in Fiscal Year 2023, the base rate was set by the Commission at the 75th percentile, which is the federal Office of Child Care’s benchmark for states.  And beginning in FY 2024, the Commission introduced the Cost of Quality report into the payment rate methodology, which increases the base rate for certain types of </w:t>
      </w:r>
      <w:proofErr w:type="gramStart"/>
      <w:r w:rsidRPr="00BA1DA6">
        <w:t>child care</w:t>
      </w:r>
      <w:proofErr w:type="gramEnd"/>
      <w:r w:rsidRPr="00BA1DA6">
        <w:t xml:space="preserve"> (most often, for infants and toddlers). </w:t>
      </w:r>
    </w:p>
    <w:p w14:paraId="73AA33D4" w14:textId="77777777" w:rsidR="00BA1DA6" w:rsidRPr="00BA1DA6" w:rsidRDefault="00BA1DA6" w:rsidP="00BA1DA6">
      <w:pPr>
        <w:pStyle w:val="BodyText"/>
      </w:pPr>
      <w:r w:rsidRPr="00BA1DA6">
        <w:t xml:space="preserve">As a result of increasing the base payment rates, the average cost for </w:t>
      </w:r>
      <w:proofErr w:type="gramStart"/>
      <w:r w:rsidRPr="00BA1DA6">
        <w:t>child care</w:t>
      </w:r>
      <w:proofErr w:type="gramEnd"/>
      <w:r w:rsidRPr="00BA1DA6">
        <w:t xml:space="preserve"> has been increasing. </w:t>
      </w:r>
    </w:p>
    <w:p w14:paraId="20DDA056" w14:textId="77777777" w:rsidR="00BA1DA6" w:rsidRPr="00BA1DA6" w:rsidRDefault="00BA1DA6" w:rsidP="00E440A5">
      <w:pPr>
        <w:pStyle w:val="BodyText3"/>
      </w:pPr>
      <w:r w:rsidRPr="00BA1DA6">
        <w:t>Texas Rising Star Program Expansion </w:t>
      </w:r>
    </w:p>
    <w:p w14:paraId="715CD19D" w14:textId="77777777" w:rsidR="00BA1DA6" w:rsidRPr="00BA1DA6" w:rsidRDefault="00BA1DA6" w:rsidP="00BA1DA6">
      <w:pPr>
        <w:pStyle w:val="BodyText"/>
      </w:pPr>
      <w:r w:rsidRPr="00BA1DA6">
        <w:t>In September 2021, the Texas Legislature enacted HB 2607, which amended §2308.3155 of the Government Code, to: </w:t>
      </w:r>
    </w:p>
    <w:p w14:paraId="10E27417" w14:textId="1AB0C61B" w:rsidR="00BA1DA6" w:rsidRPr="00BA1DA6" w:rsidRDefault="00E440A5" w:rsidP="00C64851">
      <w:pPr>
        <w:pStyle w:val="BodyText"/>
        <w:numPr>
          <w:ilvl w:val="0"/>
          <w:numId w:val="467"/>
        </w:numPr>
      </w:pPr>
      <w:r>
        <w:t>R</w:t>
      </w:r>
      <w:r w:rsidR="00BA1DA6" w:rsidRPr="00BA1DA6">
        <w:t xml:space="preserve">equire all </w:t>
      </w:r>
      <w:proofErr w:type="gramStart"/>
      <w:r w:rsidR="00BA1DA6" w:rsidRPr="00BA1DA6">
        <w:t>child care</w:t>
      </w:r>
      <w:proofErr w:type="gramEnd"/>
      <w:r w:rsidR="00BA1DA6" w:rsidRPr="00BA1DA6">
        <w:t xml:space="preserve"> programs in TWC’s CCS program to participate in the Texas Rising Star program</w:t>
      </w:r>
      <w:r w:rsidR="00E8207F">
        <w:t>.</w:t>
      </w:r>
    </w:p>
    <w:p w14:paraId="5A8C5A2A" w14:textId="6ABC2CE0" w:rsidR="00BA1DA6" w:rsidRPr="00BA1DA6" w:rsidRDefault="00E440A5" w:rsidP="00C64851">
      <w:pPr>
        <w:pStyle w:val="BodyText"/>
        <w:numPr>
          <w:ilvl w:val="0"/>
          <w:numId w:val="468"/>
        </w:numPr>
      </w:pPr>
      <w:r>
        <w:t>D</w:t>
      </w:r>
      <w:r w:rsidR="00BA1DA6" w:rsidRPr="00BA1DA6">
        <w:t xml:space="preserve">irect TWC to include a Texas Rising Star entry-level rating for </w:t>
      </w:r>
      <w:proofErr w:type="gramStart"/>
      <w:r w:rsidR="00BA1DA6" w:rsidRPr="00BA1DA6">
        <w:t>child care</w:t>
      </w:r>
      <w:proofErr w:type="gramEnd"/>
      <w:r w:rsidR="00BA1DA6" w:rsidRPr="00BA1DA6">
        <w:t xml:space="preserve"> and early learning programs and establish the maximum length of time that a provider may participate in CCS at the entry level. </w:t>
      </w:r>
    </w:p>
    <w:p w14:paraId="275DF247" w14:textId="77777777" w:rsidR="00BA1DA6" w:rsidRPr="00BA1DA6" w:rsidRDefault="00BA1DA6" w:rsidP="00BA1DA6">
      <w:pPr>
        <w:pStyle w:val="BodyText"/>
      </w:pPr>
      <w:r w:rsidRPr="00BA1DA6">
        <w:t xml:space="preserve">As a result of implementing mandatory Texas Rising Star, the average cost for </w:t>
      </w:r>
      <w:proofErr w:type="gramStart"/>
      <w:r w:rsidRPr="00BA1DA6">
        <w:t>child care</w:t>
      </w:r>
      <w:proofErr w:type="gramEnd"/>
      <w:r w:rsidRPr="00BA1DA6">
        <w:t xml:space="preserve"> has been increasing, as these Texas Rising Star certified providers qualify for a higher enhanced reimbursement rate. </w:t>
      </w:r>
    </w:p>
    <w:p w14:paraId="40A8AF09" w14:textId="77777777" w:rsidR="00BA1DA6" w:rsidRPr="00BA1DA6" w:rsidRDefault="00BA1DA6" w:rsidP="00E440A5">
      <w:pPr>
        <w:pStyle w:val="BodyText3"/>
      </w:pPr>
      <w:r w:rsidRPr="00BA1DA6">
        <w:lastRenderedPageBreak/>
        <w:t>Prospective Payments </w:t>
      </w:r>
    </w:p>
    <w:p w14:paraId="66D7EFB7" w14:textId="77777777" w:rsidR="00BA1DA6" w:rsidRPr="00BA1DA6" w:rsidRDefault="00BA1DA6" w:rsidP="00BA1DA6">
      <w:pPr>
        <w:pStyle w:val="BodyText"/>
      </w:pPr>
      <w:r w:rsidRPr="00BA1DA6">
        <w:t xml:space="preserve">TWC approved rule changes in alignment with the implementation of the new Child Care Case Management (CCCM) system, launched in 2025, to modify the payment cycle for reimbursing CCS </w:t>
      </w:r>
      <w:proofErr w:type="gramStart"/>
      <w:r w:rsidRPr="00BA1DA6">
        <w:t>child care</w:t>
      </w:r>
      <w:proofErr w:type="gramEnd"/>
      <w:r w:rsidRPr="00BA1DA6">
        <w:t xml:space="preserve"> providers. Rather than reimbursing </w:t>
      </w:r>
      <w:proofErr w:type="gramStart"/>
      <w:r w:rsidRPr="00BA1DA6">
        <w:t>child care</w:t>
      </w:r>
      <w:proofErr w:type="gramEnd"/>
      <w:r w:rsidRPr="00BA1DA6">
        <w:t xml:space="preserve"> providers after child care services are provided, TWC will move to a two-week prospective payment. This aligns with private pay standards whereby providers are paid in advance of </w:t>
      </w:r>
      <w:proofErr w:type="gramStart"/>
      <w:r w:rsidRPr="00BA1DA6">
        <w:t>child care</w:t>
      </w:r>
      <w:proofErr w:type="gramEnd"/>
      <w:r w:rsidRPr="00BA1DA6">
        <w:t xml:space="preserve"> services being rendered. Paying prospectively will not impact the amount of the payment; it will impact the timing of when the provider receives the payment.   </w:t>
      </w:r>
    </w:p>
    <w:p w14:paraId="0514381E" w14:textId="77777777" w:rsidR="00BA1DA6" w:rsidRPr="00BA1DA6" w:rsidRDefault="00BA1DA6" w:rsidP="00E440A5">
      <w:pPr>
        <w:pStyle w:val="BodyText3"/>
      </w:pPr>
      <w:r w:rsidRPr="00BA1DA6">
        <w:t>Parent Share of Cost </w:t>
      </w:r>
    </w:p>
    <w:p w14:paraId="3287F952" w14:textId="77777777" w:rsidR="00BA1DA6" w:rsidRPr="00BA1DA6" w:rsidRDefault="00BA1DA6" w:rsidP="00BA1DA6">
      <w:pPr>
        <w:pStyle w:val="BodyText"/>
      </w:pPr>
      <w:r w:rsidRPr="00BA1DA6">
        <w:t>Federal CCDF regulations (</w:t>
      </w:r>
      <w:hyperlink r:id="rId58" w:anchor="p-98.45(l)" w:tgtFrame="_blank" w:history="1">
        <w:r w:rsidRPr="00BA1DA6">
          <w:rPr>
            <w:rStyle w:val="Hyperlink"/>
          </w:rPr>
          <w:t>45 CFR §98.45(l)</w:t>
        </w:r>
      </w:hyperlink>
      <w:r w:rsidRPr="00BA1DA6">
        <w:t>) and TWC rules (</w:t>
      </w:r>
      <w:hyperlink r:id="rId59" w:tgtFrame="_blank" w:history="1">
        <w:r w:rsidRPr="00BA1DA6">
          <w:rPr>
            <w:rStyle w:val="Hyperlink"/>
          </w:rPr>
          <w:t>40 TAC §809.19</w:t>
        </w:r>
      </w:hyperlink>
      <w:r w:rsidRPr="00BA1DA6">
        <w:t>) require that parents are assessed a parent share of cost for child care services. The assessed parent share of cost must be a sliding fee scale based on the family's size and gross income. The parent share of cost may also take into consideration the number of children in care.  </w:t>
      </w:r>
    </w:p>
    <w:p w14:paraId="0366BD4E" w14:textId="77777777" w:rsidR="00BA1DA6" w:rsidRPr="00BA1DA6" w:rsidRDefault="00BA1DA6" w:rsidP="00BA1DA6">
      <w:pPr>
        <w:pStyle w:val="BodyText"/>
      </w:pPr>
      <w:r w:rsidRPr="00BA1DA6">
        <w:t>In 2024, CCDF regulations, and subsequently TWC rules, were amended to limit the parent share of cost to 7 percent of the family income, regardless of the number of children in care. </w:t>
      </w:r>
    </w:p>
    <w:p w14:paraId="1946A0BD" w14:textId="77777777" w:rsidR="00BA1DA6" w:rsidRPr="00BA1DA6" w:rsidRDefault="00BA1DA6" w:rsidP="00E440A5">
      <w:pPr>
        <w:pStyle w:val="BodyText3"/>
      </w:pPr>
      <w:r w:rsidRPr="00BA1DA6">
        <w:t>Increases in Quality Improvement Funding </w:t>
      </w:r>
    </w:p>
    <w:p w14:paraId="45912E87" w14:textId="77777777" w:rsidR="00BA1DA6" w:rsidRPr="00BA1DA6" w:rsidRDefault="00BA1DA6" w:rsidP="00BA1DA6">
      <w:pPr>
        <w:pStyle w:val="BodyText"/>
      </w:pPr>
      <w:r w:rsidRPr="00BA1DA6">
        <w:t>As previously mentioned, CCDBG Reauthorization increased the quality improvement benchmarks from 4 percent of total expenditures to 12 percent (9 percent for general quality improvement, and 3 percent for infant and toddler quality improvement activities. </w:t>
      </w:r>
    </w:p>
    <w:p w14:paraId="6DB2CFE6" w14:textId="77777777" w:rsidR="00BA1DA6" w:rsidRPr="00BA1DA6" w:rsidRDefault="00BA1DA6" w:rsidP="00BA1DA6">
      <w:pPr>
        <w:pStyle w:val="BodyText"/>
      </w:pPr>
      <w:r w:rsidRPr="00BA1DA6">
        <w:t xml:space="preserve">Additionally, Texas Government Code, §2308.317 requires Boards to dedicate at least 2 percent of a Board’s annual CCDF allocation to activities that support quality improvement. In Fiscal Year 2023, TWC increased this set aside to 4 percent of each Board’s annual allocation. And in Fiscal Year 2025 TWC increased this set aside to 6 percent of the annual Board allocation.  The quality set aside was increased in light of the state law enacted in 2021 which makes participation in Texas Rising Star mandatory for all CCS </w:t>
      </w:r>
      <w:proofErr w:type="gramStart"/>
      <w:r w:rsidRPr="00BA1DA6">
        <w:t>child care</w:t>
      </w:r>
      <w:proofErr w:type="gramEnd"/>
      <w:r w:rsidRPr="00BA1DA6">
        <w:t xml:space="preserve"> programs.   </w:t>
      </w:r>
    </w:p>
    <w:p w14:paraId="7FDEA91B" w14:textId="77777777" w:rsidR="00BA1DA6" w:rsidRPr="00BA1DA6" w:rsidRDefault="00BA1DA6" w:rsidP="00E440A5">
      <w:pPr>
        <w:pStyle w:val="BodyText3"/>
      </w:pPr>
      <w:r w:rsidRPr="00BA1DA6">
        <w:t>Impact of COVID-19 </w:t>
      </w:r>
    </w:p>
    <w:p w14:paraId="1C0A6912" w14:textId="77777777" w:rsidR="00BA1DA6" w:rsidRPr="00BA1DA6" w:rsidRDefault="00BA1DA6" w:rsidP="00BA1DA6">
      <w:pPr>
        <w:pStyle w:val="BodyText"/>
      </w:pPr>
      <w:r w:rsidRPr="00BA1DA6">
        <w:t xml:space="preserve">As the lead state agency for the federal CCDBG, TWC received several increases to the CCDBG Grant to support </w:t>
      </w:r>
      <w:proofErr w:type="gramStart"/>
      <w:r w:rsidRPr="00BA1DA6">
        <w:t>child care</w:t>
      </w:r>
      <w:proofErr w:type="gramEnd"/>
      <w:r w:rsidRPr="00BA1DA6">
        <w:t xml:space="preserve"> response and recovery efforts. In </w:t>
      </w:r>
      <w:proofErr w:type="gramStart"/>
      <w:r w:rsidRPr="00BA1DA6">
        <w:t>February,</w:t>
      </w:r>
      <w:proofErr w:type="gramEnd"/>
      <w:r w:rsidRPr="00BA1DA6">
        <w:t xml:space="preserve"> 2021 the TWC submitted Texas’ Planned Use of Coronavirus Response and Relief Supplemental Appropriations (CRRSA) Funds Report indicating considerations for how to invest CCDBG increases. TWC’s focus of the funding was to: </w:t>
      </w:r>
    </w:p>
    <w:p w14:paraId="566D9F8B" w14:textId="77777777" w:rsidR="00BA1DA6" w:rsidRPr="00BA1DA6" w:rsidRDefault="00BA1DA6" w:rsidP="00C64851">
      <w:pPr>
        <w:pStyle w:val="BodyText"/>
        <w:numPr>
          <w:ilvl w:val="0"/>
          <w:numId w:val="469"/>
        </w:numPr>
      </w:pPr>
      <w:r w:rsidRPr="00BA1DA6">
        <w:t xml:space="preserve">Serve more children with </w:t>
      </w:r>
      <w:proofErr w:type="gramStart"/>
      <w:r w:rsidRPr="00BA1DA6">
        <w:t>child care</w:t>
      </w:r>
      <w:proofErr w:type="gramEnd"/>
      <w:r w:rsidRPr="00BA1DA6">
        <w:t xml:space="preserve"> subsidies, which may include targeting specific populations in need. </w:t>
      </w:r>
    </w:p>
    <w:p w14:paraId="468E86B1" w14:textId="77777777" w:rsidR="00BA1DA6" w:rsidRPr="00BA1DA6" w:rsidRDefault="00BA1DA6" w:rsidP="00C64851">
      <w:pPr>
        <w:pStyle w:val="BodyText"/>
        <w:numPr>
          <w:ilvl w:val="0"/>
          <w:numId w:val="470"/>
        </w:numPr>
      </w:pPr>
      <w:r w:rsidRPr="00BA1DA6">
        <w:lastRenderedPageBreak/>
        <w:t xml:space="preserve">Stabilize the </w:t>
      </w:r>
      <w:proofErr w:type="gramStart"/>
      <w:r w:rsidRPr="00BA1DA6">
        <w:t>child care</w:t>
      </w:r>
      <w:proofErr w:type="gramEnd"/>
      <w:r w:rsidRPr="00BA1DA6">
        <w:t xml:space="preserve"> industry through grants provided to programs to assist with their operating costs. </w:t>
      </w:r>
    </w:p>
    <w:p w14:paraId="64D1FD0E" w14:textId="0AACAA24" w:rsidR="00BA1DA6" w:rsidRPr="00BA1DA6" w:rsidRDefault="00E8207F" w:rsidP="00C64851">
      <w:pPr>
        <w:pStyle w:val="BodyText"/>
        <w:numPr>
          <w:ilvl w:val="0"/>
          <w:numId w:val="471"/>
        </w:numPr>
      </w:pPr>
      <w:r>
        <w:t>I</w:t>
      </w:r>
      <w:r w:rsidR="00BA1DA6" w:rsidRPr="00BA1DA6">
        <w:t xml:space="preserve">nvest to improve the quality </w:t>
      </w:r>
      <w:proofErr w:type="gramStart"/>
      <w:r w:rsidR="00BA1DA6" w:rsidRPr="00BA1DA6">
        <w:t>child care</w:t>
      </w:r>
      <w:proofErr w:type="gramEnd"/>
      <w:r w:rsidR="00BA1DA6" w:rsidRPr="00BA1DA6">
        <w:t>, including through TWC’s Texas Rising Star program. </w:t>
      </w:r>
    </w:p>
    <w:p w14:paraId="66E5EA3C" w14:textId="77777777" w:rsidR="00BA1DA6" w:rsidRPr="00BA1DA6" w:rsidRDefault="00BA1DA6" w:rsidP="00C64851">
      <w:pPr>
        <w:pStyle w:val="BodyText"/>
        <w:numPr>
          <w:ilvl w:val="0"/>
          <w:numId w:val="472"/>
        </w:numPr>
      </w:pPr>
      <w:r w:rsidRPr="00BA1DA6">
        <w:t xml:space="preserve">Support the </w:t>
      </w:r>
      <w:proofErr w:type="gramStart"/>
      <w:r w:rsidRPr="00BA1DA6">
        <w:t>child care</w:t>
      </w:r>
      <w:proofErr w:type="gramEnd"/>
      <w:r w:rsidRPr="00BA1DA6">
        <w:t xml:space="preserve"> workforce, including through increased opportunities for professional development and training. </w:t>
      </w:r>
    </w:p>
    <w:p w14:paraId="1D57EC12" w14:textId="77777777" w:rsidR="00BA1DA6" w:rsidRPr="00BA1DA6" w:rsidRDefault="00BA1DA6" w:rsidP="00C64851">
      <w:pPr>
        <w:pStyle w:val="BodyText"/>
        <w:numPr>
          <w:ilvl w:val="0"/>
          <w:numId w:val="473"/>
        </w:numPr>
      </w:pPr>
      <w:r w:rsidRPr="00BA1DA6">
        <w:t xml:space="preserve">Build the capacity of </w:t>
      </w:r>
      <w:proofErr w:type="gramStart"/>
      <w:r w:rsidRPr="00BA1DA6">
        <w:t>child care</w:t>
      </w:r>
      <w:proofErr w:type="gramEnd"/>
      <w:r w:rsidRPr="00BA1DA6">
        <w:t>, including apprenticeship program expansion. </w:t>
      </w:r>
    </w:p>
    <w:p w14:paraId="42C285F5" w14:textId="77777777" w:rsidR="00BA1DA6" w:rsidRPr="00BA1DA6" w:rsidRDefault="00BA1DA6" w:rsidP="00BA1DA6">
      <w:pPr>
        <w:pStyle w:val="BodyText"/>
      </w:pPr>
      <w:r w:rsidRPr="00BA1DA6">
        <w:rPr>
          <w:i/>
          <w:iCs/>
        </w:rPr>
        <w:t>Child Care Relief Funding</w:t>
      </w:r>
      <w:r w:rsidRPr="00BA1DA6">
        <w:t> </w:t>
      </w:r>
    </w:p>
    <w:p w14:paraId="3B99E5AA" w14:textId="77777777" w:rsidR="00BA1DA6" w:rsidRPr="00BA1DA6" w:rsidRDefault="00BA1DA6" w:rsidP="00BA1DA6">
      <w:pPr>
        <w:pStyle w:val="BodyText"/>
      </w:pPr>
      <w:r w:rsidRPr="00BA1DA6">
        <w:t xml:space="preserve">During the summer of 2021, TWC made $775 million available for Child Care Relief Funds, plus $15 million to provide </w:t>
      </w:r>
      <w:proofErr w:type="gramStart"/>
      <w:r w:rsidRPr="00BA1DA6">
        <w:t>child care</w:t>
      </w:r>
      <w:proofErr w:type="gramEnd"/>
      <w:r w:rsidRPr="00BA1DA6">
        <w:t xml:space="preserve"> business coaching. The funds were available to registered homes, licensed homes, and licensed centers.  </w:t>
      </w:r>
    </w:p>
    <w:p w14:paraId="1A0C868C" w14:textId="1D07E0A0" w:rsidR="00BA1DA6" w:rsidRPr="00BA1DA6" w:rsidRDefault="00BA1DA6" w:rsidP="00BA1DA6">
      <w:pPr>
        <w:pStyle w:val="BodyText"/>
      </w:pPr>
      <w:r w:rsidRPr="00BA1DA6">
        <w:t>On Oct.19, 2021, TWC </w:t>
      </w:r>
      <w:hyperlink r:id="rId60" w:tgtFrame="_blank" w:history="1">
        <w:r w:rsidRPr="00BA1DA6">
          <w:rPr>
            <w:rStyle w:val="Hyperlink"/>
          </w:rPr>
          <w:t>approved</w:t>
        </w:r>
      </w:hyperlink>
      <w:r w:rsidRPr="00BA1DA6">
        <w:t> $2.45 billion in American Rescue Plan Act funds for direct relief to child care programs. On Feb</w:t>
      </w:r>
      <w:r w:rsidR="00E8207F">
        <w:t>.</w:t>
      </w:r>
      <w:r w:rsidRPr="00BA1DA6">
        <w:t xml:space="preserve"> 1, 2022, TWC </w:t>
      </w:r>
      <w:hyperlink r:id="rId61" w:tgtFrame="_blank" w:history="1">
        <w:r w:rsidRPr="00BA1DA6">
          <w:rPr>
            <w:rStyle w:val="Hyperlink"/>
          </w:rPr>
          <w:t>approved</w:t>
        </w:r>
      </w:hyperlink>
      <w:r w:rsidRPr="00BA1DA6">
        <w:t> $1 billion more funds, bringing the total to $3.45 billion. TWC accepted applications for the Child Care Relief Fund 2022 from March through May 31, 2022. </w:t>
      </w:r>
    </w:p>
    <w:p w14:paraId="6D926FE4" w14:textId="77777777" w:rsidR="00BA1DA6" w:rsidRPr="00BA1DA6" w:rsidRDefault="00BA1DA6" w:rsidP="00BA1DA6">
      <w:pPr>
        <w:pStyle w:val="BodyText"/>
      </w:pPr>
      <w:r w:rsidRPr="00BA1DA6">
        <w:rPr>
          <w:i/>
          <w:iCs/>
        </w:rPr>
        <w:t>Child Care Industry Support and Expansion Initiatives </w:t>
      </w:r>
      <w:r w:rsidRPr="00BA1DA6">
        <w:t> </w:t>
      </w:r>
    </w:p>
    <w:p w14:paraId="6BDE7FEF" w14:textId="77777777" w:rsidR="00BA1DA6" w:rsidRPr="00BA1DA6" w:rsidRDefault="00BA1DA6" w:rsidP="00BA1DA6">
      <w:pPr>
        <w:pStyle w:val="BodyText"/>
      </w:pPr>
      <w:r w:rsidRPr="00BA1DA6">
        <w:t>In February 2022 TWC </w:t>
      </w:r>
      <w:hyperlink r:id="rId62" w:tgtFrame="_blank" w:history="1">
        <w:r w:rsidRPr="00BA1DA6">
          <w:rPr>
            <w:rStyle w:val="Hyperlink"/>
          </w:rPr>
          <w:t>approved $234 million</w:t>
        </w:r>
      </w:hyperlink>
      <w:r w:rsidRPr="00BA1DA6">
        <w:t> to increase the number of high-quality home- and center-based child care providers. Part of this funding went towards the Child Care Expansion Initiative, which: </w:t>
      </w:r>
    </w:p>
    <w:p w14:paraId="51DEDE12" w14:textId="524120C8" w:rsidR="00BA1DA6" w:rsidRPr="00BA1DA6" w:rsidRDefault="00E8207F" w:rsidP="00C64851">
      <w:pPr>
        <w:pStyle w:val="BodyText"/>
        <w:numPr>
          <w:ilvl w:val="0"/>
          <w:numId w:val="474"/>
        </w:numPr>
      </w:pPr>
      <w:r>
        <w:t>O</w:t>
      </w:r>
      <w:r w:rsidR="00BA1DA6" w:rsidRPr="00BA1DA6">
        <w:t>ffered start-up funding to expand care to areas that lack enough supply (</w:t>
      </w:r>
      <w:proofErr w:type="gramStart"/>
      <w:r w:rsidR="00BA1DA6" w:rsidRPr="00BA1DA6">
        <w:t>child care</w:t>
      </w:r>
      <w:proofErr w:type="gramEnd"/>
      <w:r w:rsidR="00BA1DA6" w:rsidRPr="00BA1DA6">
        <w:t xml:space="preserve"> deserts). </w:t>
      </w:r>
    </w:p>
    <w:p w14:paraId="6DFA4841" w14:textId="6042D0CC" w:rsidR="00BA1DA6" w:rsidRPr="00BA1DA6" w:rsidRDefault="00E8207F" w:rsidP="00C64851">
      <w:pPr>
        <w:pStyle w:val="BodyText"/>
        <w:numPr>
          <w:ilvl w:val="0"/>
          <w:numId w:val="475"/>
        </w:numPr>
      </w:pPr>
      <w:r>
        <w:t>F</w:t>
      </w:r>
      <w:r w:rsidR="00BA1DA6" w:rsidRPr="00BA1DA6">
        <w:t>unded programs opening or expanding in partnership with a local employer</w:t>
      </w:r>
      <w:r>
        <w:t>.</w:t>
      </w:r>
    </w:p>
    <w:p w14:paraId="35B2DF26" w14:textId="7E510383" w:rsidR="00BA1DA6" w:rsidRPr="00BA1DA6" w:rsidRDefault="00E8207F" w:rsidP="00C64851">
      <w:pPr>
        <w:pStyle w:val="BodyText"/>
        <w:numPr>
          <w:ilvl w:val="0"/>
          <w:numId w:val="476"/>
        </w:numPr>
      </w:pPr>
      <w:r>
        <w:t>F</w:t>
      </w:r>
      <w:r w:rsidR="00BA1DA6" w:rsidRPr="00BA1DA6">
        <w:t>unded the expansion of infant care around the state.  </w:t>
      </w:r>
    </w:p>
    <w:p w14:paraId="2A278042" w14:textId="77777777" w:rsidR="00BA1DA6" w:rsidRPr="00BA1DA6" w:rsidRDefault="00BA1DA6" w:rsidP="00BA1DA6">
      <w:pPr>
        <w:pStyle w:val="BodyText"/>
      </w:pPr>
      <w:r w:rsidRPr="00BA1DA6">
        <w:t xml:space="preserve">New and existing home- and center-based </w:t>
      </w:r>
      <w:proofErr w:type="gramStart"/>
      <w:r w:rsidRPr="00BA1DA6">
        <w:t>child care</w:t>
      </w:r>
      <w:proofErr w:type="gramEnd"/>
      <w:r w:rsidRPr="00BA1DA6">
        <w:t xml:space="preserve"> providers who were opening or expanding their child care businesses after March 1, 2022, were eligible to apply if they: </w:t>
      </w:r>
    </w:p>
    <w:p w14:paraId="48703A72" w14:textId="77777777" w:rsidR="00BA1DA6" w:rsidRPr="00BA1DA6" w:rsidRDefault="00BA1DA6" w:rsidP="00C64851">
      <w:pPr>
        <w:pStyle w:val="BodyText"/>
        <w:numPr>
          <w:ilvl w:val="0"/>
          <w:numId w:val="477"/>
        </w:numPr>
      </w:pPr>
      <w:r w:rsidRPr="00BA1DA6">
        <w:t>Served families in a pre-defined </w:t>
      </w:r>
      <w:hyperlink r:id="rId63" w:tgtFrame="_blank" w:history="1">
        <w:r w:rsidRPr="00BA1DA6">
          <w:rPr>
            <w:rStyle w:val="Hyperlink"/>
          </w:rPr>
          <w:t>child care desert</w:t>
        </w:r>
      </w:hyperlink>
      <w:r w:rsidRPr="00BA1DA6">
        <w:t>. </w:t>
      </w:r>
    </w:p>
    <w:p w14:paraId="147EF26C" w14:textId="77777777" w:rsidR="00BA1DA6" w:rsidRPr="00BA1DA6" w:rsidRDefault="00BA1DA6" w:rsidP="00C64851">
      <w:pPr>
        <w:pStyle w:val="BodyText"/>
        <w:numPr>
          <w:ilvl w:val="0"/>
          <w:numId w:val="478"/>
        </w:numPr>
      </w:pPr>
      <w:r w:rsidRPr="00BA1DA6">
        <w:t>Operated in partnership with a company or consortium of companies to serve children of their employees.  </w:t>
      </w:r>
    </w:p>
    <w:p w14:paraId="6526C5E4" w14:textId="77777777" w:rsidR="00BA1DA6" w:rsidRPr="00BA1DA6" w:rsidRDefault="00BA1DA6" w:rsidP="00C64851">
      <w:pPr>
        <w:pStyle w:val="BodyText"/>
        <w:numPr>
          <w:ilvl w:val="0"/>
          <w:numId w:val="479"/>
        </w:numPr>
      </w:pPr>
      <w:r w:rsidRPr="00BA1DA6">
        <w:t>Expanded availability of care for infants (0-17 months). </w:t>
      </w:r>
    </w:p>
    <w:p w14:paraId="1B829F8F" w14:textId="77777777" w:rsidR="00BA1DA6" w:rsidRPr="00BA1DA6" w:rsidRDefault="00BA1DA6" w:rsidP="00BA1DA6">
      <w:pPr>
        <w:pStyle w:val="BodyText"/>
      </w:pPr>
      <w:r w:rsidRPr="00BA1DA6">
        <w:lastRenderedPageBreak/>
        <w:t>Funding could be used to offset operational costs incurred during startup and/or the first few months of opening or expanding. It could not be used on major renovations or on construction. </w:t>
      </w:r>
    </w:p>
    <w:p w14:paraId="35BEE8B4" w14:textId="77777777" w:rsidR="00BA1DA6" w:rsidRPr="00BA1DA6" w:rsidRDefault="00BA1DA6" w:rsidP="00BA1DA6">
      <w:pPr>
        <w:pStyle w:val="BodyText"/>
      </w:pPr>
      <w:r w:rsidRPr="00BA1DA6">
        <w:rPr>
          <w:i/>
          <w:iCs/>
        </w:rPr>
        <w:t>Business Coaching</w:t>
      </w:r>
      <w:r w:rsidRPr="00BA1DA6">
        <w:t> </w:t>
      </w:r>
    </w:p>
    <w:p w14:paraId="77F21AC7" w14:textId="77777777" w:rsidR="00BA1DA6" w:rsidRPr="00BA1DA6" w:rsidRDefault="00BA1DA6" w:rsidP="00BA1DA6">
      <w:pPr>
        <w:pStyle w:val="BodyText"/>
      </w:pPr>
      <w:r w:rsidRPr="00BA1DA6">
        <w:t xml:space="preserve">TWC provided $48 million for </w:t>
      </w:r>
      <w:proofErr w:type="gramStart"/>
      <w:r w:rsidRPr="00BA1DA6">
        <w:t>child care</w:t>
      </w:r>
      <w:proofErr w:type="gramEnd"/>
      <w:r w:rsidRPr="00BA1DA6">
        <w:t xml:space="preserve"> business coaching.  Technical assistance and business coaching was available to assist </w:t>
      </w:r>
      <w:proofErr w:type="gramStart"/>
      <w:r w:rsidRPr="00BA1DA6">
        <w:t>child care</w:t>
      </w:r>
      <w:proofErr w:type="gramEnd"/>
      <w:r w:rsidRPr="00BA1DA6">
        <w:t xml:space="preserve"> programs: </w:t>
      </w:r>
    </w:p>
    <w:p w14:paraId="1DFA38E2" w14:textId="0500BDE4" w:rsidR="00BA1DA6" w:rsidRPr="00BA1DA6" w:rsidRDefault="00E8207F" w:rsidP="00C64851">
      <w:pPr>
        <w:pStyle w:val="BodyText"/>
        <w:numPr>
          <w:ilvl w:val="0"/>
          <w:numId w:val="480"/>
        </w:numPr>
      </w:pPr>
      <w:r>
        <w:t>A</w:t>
      </w:r>
      <w:r w:rsidR="00BA1DA6" w:rsidRPr="00BA1DA6">
        <w:t>ccess additional funding </w:t>
      </w:r>
    </w:p>
    <w:p w14:paraId="236501DB" w14:textId="6CFF83B2" w:rsidR="00BA1DA6" w:rsidRPr="00BA1DA6" w:rsidRDefault="00E8207F" w:rsidP="00C64851">
      <w:pPr>
        <w:pStyle w:val="BodyText"/>
        <w:numPr>
          <w:ilvl w:val="0"/>
          <w:numId w:val="481"/>
        </w:numPr>
      </w:pPr>
      <w:r>
        <w:t>D</w:t>
      </w:r>
      <w:r w:rsidR="00BA1DA6" w:rsidRPr="00BA1DA6">
        <w:t>ocumenting expenditures</w:t>
      </w:r>
      <w:r>
        <w:t>.</w:t>
      </w:r>
      <w:r w:rsidR="00BA1DA6" w:rsidRPr="00BA1DA6">
        <w:t> </w:t>
      </w:r>
    </w:p>
    <w:p w14:paraId="7504FA88" w14:textId="216C273F" w:rsidR="00BA1DA6" w:rsidRPr="00BA1DA6" w:rsidRDefault="00E8207F" w:rsidP="00C64851">
      <w:pPr>
        <w:pStyle w:val="BodyText"/>
        <w:numPr>
          <w:ilvl w:val="0"/>
          <w:numId w:val="482"/>
        </w:numPr>
      </w:pPr>
      <w:r>
        <w:t>P</w:t>
      </w:r>
      <w:r w:rsidR="00BA1DA6" w:rsidRPr="00BA1DA6">
        <w:t>rovide general business education support. </w:t>
      </w:r>
    </w:p>
    <w:p w14:paraId="5B0C3AA7" w14:textId="77777777" w:rsidR="00BA1DA6" w:rsidRPr="00BA1DA6" w:rsidRDefault="00BA1DA6" w:rsidP="00BA1DA6">
      <w:pPr>
        <w:pStyle w:val="BodyText"/>
      </w:pPr>
      <w:r w:rsidRPr="00BA1DA6">
        <w:t xml:space="preserve">Between May 2021 and April 2023, a total of 1,965 </w:t>
      </w:r>
      <w:proofErr w:type="gramStart"/>
      <w:r w:rsidRPr="00BA1DA6">
        <w:t>child care</w:t>
      </w:r>
      <w:proofErr w:type="gramEnd"/>
      <w:r w:rsidRPr="00BA1DA6">
        <w:t xml:space="preserve"> providers participated in business coaching. </w:t>
      </w:r>
    </w:p>
    <w:p w14:paraId="7F32ED42" w14:textId="77777777" w:rsidR="00BA1DA6" w:rsidRPr="00BA1DA6" w:rsidRDefault="00BA1DA6" w:rsidP="00BA1DA6">
      <w:pPr>
        <w:pStyle w:val="BodyText"/>
      </w:pPr>
      <w:r w:rsidRPr="00BA1DA6">
        <w:rPr>
          <w:i/>
          <w:iCs/>
        </w:rPr>
        <w:t>Temporarily Increased Reimbursement Rates</w:t>
      </w:r>
      <w:r w:rsidRPr="00BA1DA6">
        <w:t> </w:t>
      </w:r>
    </w:p>
    <w:p w14:paraId="5FC4FFF3" w14:textId="77777777" w:rsidR="00BA1DA6" w:rsidRPr="00BA1DA6" w:rsidRDefault="00BA1DA6" w:rsidP="00C64851">
      <w:pPr>
        <w:pStyle w:val="BodyText"/>
        <w:numPr>
          <w:ilvl w:val="0"/>
          <w:numId w:val="483"/>
        </w:numPr>
      </w:pPr>
      <w:r w:rsidRPr="00BA1DA6">
        <w:t>At the beginning of the pandemic, provided $387.6 million for a 25 percent Enhanced Reimbursement Rate for care providers serving CCS children.  This temporary enhanced rate was modified to 20 percent during Board Contract Year 2022 (Oct.1, 2021 through Sept30, 2022). </w:t>
      </w:r>
    </w:p>
    <w:p w14:paraId="239BFA9A" w14:textId="77777777" w:rsidR="00BA1DA6" w:rsidRPr="00BA1DA6" w:rsidRDefault="00BA1DA6" w:rsidP="00BA1DA6">
      <w:pPr>
        <w:pStyle w:val="BodyText"/>
      </w:pPr>
      <w:r w:rsidRPr="00BA1DA6">
        <w:rPr>
          <w:i/>
          <w:iCs/>
        </w:rPr>
        <w:t>Technical Assistance for Employer Supported Child Care </w:t>
      </w:r>
      <w:r w:rsidRPr="00BA1DA6">
        <w:t> </w:t>
      </w:r>
    </w:p>
    <w:p w14:paraId="31E999F2" w14:textId="77777777" w:rsidR="00BA1DA6" w:rsidRPr="00BA1DA6" w:rsidRDefault="00BA1DA6" w:rsidP="00BA1DA6">
      <w:pPr>
        <w:pStyle w:val="BodyText"/>
      </w:pPr>
      <w:r w:rsidRPr="00BA1DA6">
        <w:t>TWC provided $12 million to qualified entities (selected through a competitive procurement) to provide technical assistance to employers.  Technical assistance services include conducting an employee needs assessment, analyzing options for supporting employee needs, and providing recommendations for employers to consider. </w:t>
      </w:r>
    </w:p>
    <w:p w14:paraId="69C3B500" w14:textId="77777777" w:rsidR="00BA1DA6" w:rsidRPr="00BA1DA6" w:rsidRDefault="00BA1DA6" w:rsidP="00BA1DA6">
      <w:pPr>
        <w:pStyle w:val="BodyText"/>
      </w:pPr>
      <w:r w:rsidRPr="00BA1DA6">
        <w:t xml:space="preserve">See </w:t>
      </w:r>
      <w:hyperlink r:id="rId64" w:tgtFrame="_blank" w:history="1">
        <w:r w:rsidRPr="00BA1DA6">
          <w:rPr>
            <w:rStyle w:val="Hyperlink"/>
          </w:rPr>
          <w:t>Child Care Stimulus Funding Categorized (March 2023)</w:t>
        </w:r>
      </w:hyperlink>
      <w:r w:rsidRPr="00BA1DA6">
        <w:t xml:space="preserve"> for a full list of for a full list of COVID-19 stimulus initiatives. </w:t>
      </w:r>
    </w:p>
    <w:p w14:paraId="1403A3E9" w14:textId="77777777" w:rsidR="00BA1DA6" w:rsidRPr="00BA1DA6" w:rsidRDefault="00BA1DA6" w:rsidP="004A7F06">
      <w:pPr>
        <w:pStyle w:val="BodyText3"/>
      </w:pPr>
      <w:r w:rsidRPr="00BA1DA6">
        <w:t>Stakeholder Input </w:t>
      </w:r>
    </w:p>
    <w:p w14:paraId="6AB3CC20" w14:textId="77777777" w:rsidR="00BA1DA6" w:rsidRPr="00BA1DA6" w:rsidRDefault="00BA1DA6" w:rsidP="00BA1DA6">
      <w:pPr>
        <w:pStyle w:val="BodyText"/>
      </w:pPr>
      <w:r w:rsidRPr="00BA1DA6">
        <w:t xml:space="preserve">In 2019 the legislature amended Texas Labor Code, §302.00435 to require TWC to develop a policy for obtaining input from interested parties regarding its subsidized </w:t>
      </w:r>
      <w:proofErr w:type="gramStart"/>
      <w:r w:rsidRPr="00BA1DA6">
        <w:t>child care</w:t>
      </w:r>
      <w:proofErr w:type="gramEnd"/>
      <w:r w:rsidRPr="00BA1DA6">
        <w:t xml:space="preserve"> program and for using for obtaining input from TEA, school districts, open-enrollment charter schools, subsidized child care providers, relevant businesses, and the public, regarding: </w:t>
      </w:r>
    </w:p>
    <w:p w14:paraId="0EAAE775" w14:textId="77777777" w:rsidR="00BA1DA6" w:rsidRPr="00BA1DA6" w:rsidRDefault="00BA1DA6" w:rsidP="00C64851">
      <w:pPr>
        <w:pStyle w:val="BodyText"/>
        <w:numPr>
          <w:ilvl w:val="0"/>
          <w:numId w:val="484"/>
        </w:numPr>
      </w:pPr>
      <w:r w:rsidRPr="00BA1DA6">
        <w:t xml:space="preserve">Improving coordination between the subsidized </w:t>
      </w:r>
      <w:proofErr w:type="gramStart"/>
      <w:r w:rsidRPr="00BA1DA6">
        <w:t>child care</w:t>
      </w:r>
      <w:proofErr w:type="gramEnd"/>
      <w:r w:rsidRPr="00BA1DA6">
        <w:t xml:space="preserve"> program and prekindergarten programs. </w:t>
      </w:r>
    </w:p>
    <w:p w14:paraId="4D7E2255" w14:textId="77777777" w:rsidR="00BA1DA6" w:rsidRPr="00BA1DA6" w:rsidRDefault="00BA1DA6" w:rsidP="00C64851">
      <w:pPr>
        <w:pStyle w:val="BodyText"/>
        <w:numPr>
          <w:ilvl w:val="0"/>
          <w:numId w:val="485"/>
        </w:numPr>
      </w:pPr>
      <w:r w:rsidRPr="00BA1DA6">
        <w:t xml:space="preserve">Increasing the quality of and access to the subsidized </w:t>
      </w:r>
      <w:proofErr w:type="gramStart"/>
      <w:r w:rsidRPr="00BA1DA6">
        <w:t>child care</w:t>
      </w:r>
      <w:proofErr w:type="gramEnd"/>
      <w:r w:rsidRPr="00BA1DA6">
        <w:t xml:space="preserve"> program. </w:t>
      </w:r>
    </w:p>
    <w:p w14:paraId="7AF804DF" w14:textId="4D2A5ECC" w:rsidR="00BA1DA6" w:rsidRPr="00BA1DA6" w:rsidRDefault="00BA1DA6" w:rsidP="00C64851">
      <w:pPr>
        <w:pStyle w:val="BodyText"/>
        <w:numPr>
          <w:ilvl w:val="0"/>
          <w:numId w:val="486"/>
        </w:numPr>
      </w:pPr>
      <w:r w:rsidRPr="00BA1DA6">
        <w:lastRenderedPageBreak/>
        <w:t>Existing health and safety rules and regulations that could be more efficient or less costly without reducing health and safety outcomes</w:t>
      </w:r>
      <w:r w:rsidR="00E8207F">
        <w:t>.</w:t>
      </w:r>
    </w:p>
    <w:p w14:paraId="17DFD1BB" w14:textId="77777777" w:rsidR="00BA1DA6" w:rsidRPr="00BA1DA6" w:rsidRDefault="00BA1DA6" w:rsidP="00C64851">
      <w:pPr>
        <w:pStyle w:val="BodyText"/>
        <w:numPr>
          <w:ilvl w:val="0"/>
          <w:numId w:val="487"/>
        </w:numPr>
      </w:pPr>
      <w:r w:rsidRPr="00BA1DA6">
        <w:t>The burdens relating to complying with existing regulations that could be mitigated, reduced, or eliminated while maintaining the intent, objective, or purpose of the underlying regulation. </w:t>
      </w:r>
    </w:p>
    <w:p w14:paraId="6FEFD59B" w14:textId="77777777" w:rsidR="00BA1DA6" w:rsidRPr="00BA1DA6" w:rsidRDefault="00BA1DA6" w:rsidP="00BA1DA6">
      <w:pPr>
        <w:pStyle w:val="BodyText"/>
      </w:pPr>
      <w:r w:rsidRPr="00BA1DA6">
        <w:t xml:space="preserve">On Oct. 29, 2019, the Commission approved a policy outlining opportunities for child care stakeholders to provide TWC with input, which is summarized on the TWC’s </w:t>
      </w:r>
      <w:hyperlink r:id="rId65" w:tgtFrame="_blank" w:history="1">
        <w:r w:rsidRPr="00BA1DA6">
          <w:rPr>
            <w:rStyle w:val="Hyperlink"/>
          </w:rPr>
          <w:t>Child Care and Early Learning Program</w:t>
        </w:r>
      </w:hyperlink>
      <w:r w:rsidRPr="00BA1DA6">
        <w:t xml:space="preserve"> page of the TWC website. </w:t>
      </w:r>
    </w:p>
    <w:p w14:paraId="5EE29511" w14:textId="77777777" w:rsidR="00BA1DA6" w:rsidRPr="00BA1DA6" w:rsidRDefault="00BA1DA6" w:rsidP="00BA1DA6">
      <w:pPr>
        <w:pStyle w:val="BodyText"/>
      </w:pPr>
      <w:r w:rsidRPr="00BA1DA6">
        <w:t>Recent stakeholder input activities include: </w:t>
      </w:r>
    </w:p>
    <w:p w14:paraId="357D9900" w14:textId="77777777" w:rsidR="00BA1DA6" w:rsidRPr="00BA1DA6" w:rsidRDefault="00BA1DA6" w:rsidP="00C64851">
      <w:pPr>
        <w:pStyle w:val="BodyText"/>
        <w:numPr>
          <w:ilvl w:val="0"/>
          <w:numId w:val="544"/>
        </w:numPr>
      </w:pPr>
      <w:r w:rsidRPr="00BA1DA6">
        <w:rPr>
          <w:i/>
          <w:iCs/>
        </w:rPr>
        <w:t>2025-2027 CCDF State Plan </w:t>
      </w:r>
      <w:r w:rsidRPr="00BA1DA6">
        <w:t> </w:t>
      </w:r>
    </w:p>
    <w:p w14:paraId="3410C8C6" w14:textId="77777777" w:rsidR="00BA1DA6" w:rsidRPr="00BA1DA6" w:rsidRDefault="00BA1DA6" w:rsidP="00BA1DA6">
      <w:pPr>
        <w:pStyle w:val="BodyText"/>
      </w:pPr>
      <w:r w:rsidRPr="00BA1DA6">
        <w:t>The TWC Commission approved the CCDF State Plan on June 18, 2024. To gather stakeholder input on the 2025-2027 CCDF State Plan, TWC held: </w:t>
      </w:r>
    </w:p>
    <w:p w14:paraId="466C0D86" w14:textId="77777777" w:rsidR="00BA1DA6" w:rsidRPr="00BA1DA6" w:rsidRDefault="00BA1DA6" w:rsidP="00C64851">
      <w:pPr>
        <w:pStyle w:val="BodyText"/>
        <w:numPr>
          <w:ilvl w:val="0"/>
          <w:numId w:val="488"/>
        </w:numPr>
      </w:pPr>
      <w:r w:rsidRPr="00BA1DA6">
        <w:t>Five in-person regional stakeholder meetings </w:t>
      </w:r>
    </w:p>
    <w:p w14:paraId="3A4F9D42" w14:textId="77777777" w:rsidR="00BA1DA6" w:rsidRPr="00BA1DA6" w:rsidRDefault="00BA1DA6" w:rsidP="00C64851">
      <w:pPr>
        <w:pStyle w:val="BodyText"/>
        <w:numPr>
          <w:ilvl w:val="0"/>
          <w:numId w:val="489"/>
        </w:numPr>
      </w:pPr>
      <w:r w:rsidRPr="00BA1DA6">
        <w:t>A virtual Child Care &amp; Early Learning Stakeholder Meeting </w:t>
      </w:r>
    </w:p>
    <w:p w14:paraId="020B1294" w14:textId="77777777" w:rsidR="00BA1DA6" w:rsidRPr="00BA1DA6" w:rsidRDefault="00BA1DA6" w:rsidP="00BA1DA6">
      <w:pPr>
        <w:pStyle w:val="BodyText"/>
      </w:pPr>
      <w:r w:rsidRPr="00BA1DA6">
        <w:rPr>
          <w:i/>
          <w:iCs/>
        </w:rPr>
        <w:t>Texas Rising Star 4-Year Review</w:t>
      </w:r>
      <w:r w:rsidRPr="00BA1DA6">
        <w:t> </w:t>
      </w:r>
    </w:p>
    <w:p w14:paraId="5B5381FA" w14:textId="77777777" w:rsidR="00BA1DA6" w:rsidRPr="00BA1DA6" w:rsidRDefault="00BA1DA6" w:rsidP="00BA1DA6">
      <w:pPr>
        <w:pStyle w:val="BodyText"/>
      </w:pPr>
      <w:r w:rsidRPr="00BA1DA6">
        <w:t>Every four years TWC conducts a comprehensive review of the Texas Rising Star program, working in consultation with a Texas Rising Star Four-Year Review Workgroup. To gather stakeholder input on the Workgroup recommendations, five in-person regional stakeholder meetings and a virtual meeting (recording/ slide deck) were held.  </w:t>
      </w:r>
    </w:p>
    <w:p w14:paraId="11C953A7" w14:textId="77777777" w:rsidR="00BA1DA6" w:rsidRPr="00BA1DA6" w:rsidRDefault="00BA1DA6" w:rsidP="00BA1DA6">
      <w:pPr>
        <w:pStyle w:val="BodyText"/>
      </w:pPr>
      <w:r w:rsidRPr="00BA1DA6">
        <w:rPr>
          <w:i/>
          <w:iCs/>
        </w:rPr>
        <w:t>Stakeholder-Led Engagement Activities</w:t>
      </w:r>
      <w:r w:rsidRPr="00BA1DA6">
        <w:t> </w:t>
      </w:r>
    </w:p>
    <w:p w14:paraId="1651EA69" w14:textId="77777777" w:rsidR="00BA1DA6" w:rsidRPr="00BA1DA6" w:rsidRDefault="00BA1DA6" w:rsidP="00BA1DA6">
      <w:pPr>
        <w:pStyle w:val="BodyText"/>
      </w:pPr>
      <w:r w:rsidRPr="00BA1DA6">
        <w:t>In addition to TWC-led activities to gather input from stakeholders, TWC is also regularly invited to hear feedback as part of stakeholder-led groups and projects. In FY 2023 and FY 2024, TWC gathered input through the Texas Prenatal–Three Collaborative, the Children at Risk’s Early Childhood Education Coalition, Early Matters, and Employers for Childcare (E4C) as well as multiple local coalitions and committees focused on early childhood. </w:t>
      </w:r>
    </w:p>
    <w:p w14:paraId="5F9A85B3" w14:textId="77777777" w:rsidR="00BA1DA6" w:rsidRPr="00BA1DA6" w:rsidRDefault="00BA1DA6" w:rsidP="00BA1DA6">
      <w:pPr>
        <w:pStyle w:val="BodyText"/>
      </w:pPr>
      <w:r w:rsidRPr="00BA1DA6">
        <w:rPr>
          <w:i/>
          <w:iCs/>
        </w:rPr>
        <w:t>TWC-Led Listening Sessions and Stakeholder Meetings</w:t>
      </w:r>
      <w:r w:rsidRPr="00BA1DA6">
        <w:t> </w:t>
      </w:r>
    </w:p>
    <w:p w14:paraId="3E520069" w14:textId="77777777" w:rsidR="00BA1DA6" w:rsidRPr="00BA1DA6" w:rsidRDefault="00BA1DA6" w:rsidP="00BA1DA6">
      <w:pPr>
        <w:pStyle w:val="BodyText"/>
      </w:pPr>
      <w:r w:rsidRPr="00BA1DA6">
        <w:t>In FY 2024, TWC hosted six public stakeholder feedback meetings (five regional in-person and one virtual) to gather input on the CCDF FY 2025–FY 2027 State Plan and the Texas Rising Star Four-Year Review revisions. </w:t>
      </w:r>
    </w:p>
    <w:p w14:paraId="6AE6A20B" w14:textId="77777777" w:rsidR="00BA1DA6" w:rsidRPr="00BA1DA6" w:rsidRDefault="00BA1DA6" w:rsidP="00BA1DA6">
      <w:pPr>
        <w:pStyle w:val="BodyText"/>
      </w:pPr>
      <w:r w:rsidRPr="00BA1DA6">
        <w:t>Additionally, CC&amp;EL leadership regularly met with Boards and representatives from statewide advocacy groups to provide updates on policy changes and funded initiatives. </w:t>
      </w:r>
    </w:p>
    <w:p w14:paraId="2CE38166" w14:textId="77777777" w:rsidR="00BA1DA6" w:rsidRPr="00BA1DA6" w:rsidRDefault="00BA1DA6" w:rsidP="00BA1DA6">
      <w:pPr>
        <w:pStyle w:val="BodyText"/>
      </w:pPr>
      <w:r w:rsidRPr="00BA1DA6">
        <w:rPr>
          <w:i/>
          <w:iCs/>
        </w:rPr>
        <w:lastRenderedPageBreak/>
        <w:t>ECE-RISE–Nontraditional Hour Care Study and Stakeholder Engagement Capacity Building</w:t>
      </w:r>
      <w:r w:rsidRPr="00BA1DA6">
        <w:t> </w:t>
      </w:r>
    </w:p>
    <w:p w14:paraId="13905A0B" w14:textId="77777777" w:rsidR="00BA1DA6" w:rsidRPr="00BA1DA6" w:rsidRDefault="00BA1DA6" w:rsidP="00BA1DA6">
      <w:pPr>
        <w:pStyle w:val="BodyText"/>
      </w:pPr>
      <w:r w:rsidRPr="00BA1DA6">
        <w:t>In March 2022, CCDF lead agencies were eligible to apply for free tailored supports to increase states’ use of research and evidence-based decision-making through the Early Childhood Education–Receiving Individualized Capacity Building (ECE-RISE) initiative. ECE-RISE is an initiative of the Child Care Research and Evaluation Capacity Building Center and is funded by the Administration for Children and Families’ Office of Planning, Research, and Evaluation and HHS. TWC was one of two lead agencies selected to receive TA from Mathematica, a data analysis company, over an 18-month period.  </w:t>
      </w:r>
    </w:p>
    <w:p w14:paraId="23DB01BC" w14:textId="77777777" w:rsidR="00BA1DA6" w:rsidRPr="00BA1DA6" w:rsidRDefault="00BA1DA6" w:rsidP="00BA1DA6">
      <w:pPr>
        <w:pStyle w:val="BodyText"/>
      </w:pPr>
      <w:r w:rsidRPr="00BA1DA6">
        <w:t xml:space="preserve">TWC partnered with HHSC-CCR to complete a research study exploring unmet needs for nontraditional </w:t>
      </w:r>
      <w:proofErr w:type="gramStart"/>
      <w:r w:rsidRPr="00BA1DA6">
        <w:t>child care</w:t>
      </w:r>
      <w:proofErr w:type="gramEnd"/>
      <w:r w:rsidRPr="00BA1DA6">
        <w:t xml:space="preserve"> in the state, piloted a community engagement event to gather stakeholder feedback on research findings, and began developing resources for future community engagement efforts. </w:t>
      </w:r>
    </w:p>
    <w:p w14:paraId="23DE4371" w14:textId="77777777" w:rsidR="00BA1DA6" w:rsidRPr="00BA1DA6" w:rsidRDefault="00BA1DA6" w:rsidP="004A7F06">
      <w:pPr>
        <w:pStyle w:val="BodyText3"/>
      </w:pPr>
      <w:r w:rsidRPr="00BA1DA6">
        <w:t>Texas Child Care Connection (TX3C) </w:t>
      </w:r>
    </w:p>
    <w:p w14:paraId="20CE1E18" w14:textId="77777777" w:rsidR="00BA1DA6" w:rsidRPr="00BA1DA6" w:rsidRDefault="00BA1DA6" w:rsidP="00BA1DA6">
      <w:pPr>
        <w:pStyle w:val="BodyText"/>
      </w:pPr>
      <w:r w:rsidRPr="00BA1DA6">
        <w:t>In 2022, TWC began the TX3C project to replace the CCS case management functionality in The Workforce Information System of Texas (TWIST) with a modern, user-friendly application. TX3C includes a statewide online application for parents applying for CCS. The application will be web-based and mobile-device friendly. Parents will be able to upload documentation to the system, including pictures taken with a smart phone. Additionally, local case workers will also be able to upload paper documentation submitted by parents directly into the case management system.  </w:t>
      </w:r>
    </w:p>
    <w:p w14:paraId="1E65429B" w14:textId="77777777" w:rsidR="00BA1DA6" w:rsidRPr="00BA1DA6" w:rsidRDefault="00BA1DA6" w:rsidP="00BA1DA6">
      <w:pPr>
        <w:pStyle w:val="BodyText"/>
      </w:pPr>
      <w:r w:rsidRPr="00BA1DA6">
        <w:t>Boards must offer alternatives for parents who lack access to the technology required to complete an online application or submit required documentation online. Alternative options include a: </w:t>
      </w:r>
    </w:p>
    <w:p w14:paraId="2DB8FD84" w14:textId="6D8399D0" w:rsidR="00BA1DA6" w:rsidRPr="00BA1DA6" w:rsidRDefault="00BA1DA6" w:rsidP="00C64851">
      <w:pPr>
        <w:pStyle w:val="BodyText"/>
        <w:numPr>
          <w:ilvl w:val="0"/>
          <w:numId w:val="490"/>
        </w:numPr>
      </w:pPr>
      <w:r w:rsidRPr="00BA1DA6">
        <w:t>Physical location with a computer, a scanner, or a mobile device with a camera</w:t>
      </w:r>
      <w:r w:rsidR="00E8207F">
        <w:t>.</w:t>
      </w:r>
    </w:p>
    <w:p w14:paraId="2CE27630" w14:textId="77777777" w:rsidR="00BA1DA6" w:rsidRPr="00BA1DA6" w:rsidRDefault="00BA1DA6" w:rsidP="00C64851">
      <w:pPr>
        <w:pStyle w:val="BodyText"/>
        <w:numPr>
          <w:ilvl w:val="0"/>
          <w:numId w:val="491"/>
        </w:numPr>
      </w:pPr>
      <w:r w:rsidRPr="00BA1DA6">
        <w:t>Phone number to reach an intake staff member who can assist with an application, or </w:t>
      </w:r>
    </w:p>
    <w:p w14:paraId="06DCE2FD" w14:textId="6CB0BB5E" w:rsidR="00BA1DA6" w:rsidRPr="00BA1DA6" w:rsidRDefault="00BA1DA6" w:rsidP="00C64851">
      <w:pPr>
        <w:pStyle w:val="BodyText"/>
        <w:numPr>
          <w:ilvl w:val="0"/>
          <w:numId w:val="492"/>
        </w:numPr>
      </w:pPr>
      <w:r w:rsidRPr="00BA1DA6">
        <w:t>Physical mailing address for submitting documentation</w:t>
      </w:r>
      <w:r w:rsidR="00E8207F">
        <w:t>.</w:t>
      </w:r>
    </w:p>
    <w:p w14:paraId="115F61CF" w14:textId="354822D2" w:rsidR="00BA1DA6" w:rsidRPr="00BA1DA6" w:rsidRDefault="00BA1DA6" w:rsidP="00BA1DA6">
      <w:pPr>
        <w:pStyle w:val="BodyText"/>
      </w:pPr>
      <w:r w:rsidRPr="00BA1DA6">
        <w:t>TWC competitive procured a contract with Kinder</w:t>
      </w:r>
      <w:r w:rsidR="0028103D">
        <w:t xml:space="preserve"> </w:t>
      </w:r>
      <w:r w:rsidRPr="00BA1DA6">
        <w:t>Systems to develop, implement and maintain the TX3C system. </w:t>
      </w:r>
    </w:p>
    <w:p w14:paraId="1337F0F5" w14:textId="77777777" w:rsidR="00BA1DA6" w:rsidRPr="00BA1DA6" w:rsidRDefault="00BA1DA6" w:rsidP="00BA1DA6">
      <w:pPr>
        <w:pStyle w:val="BodyText"/>
      </w:pPr>
      <w:r w:rsidRPr="00BA1DA6">
        <w:t>The TX3C system will be delivered in the following planned releases:  </w:t>
      </w:r>
    </w:p>
    <w:p w14:paraId="6423A7AA" w14:textId="77777777" w:rsidR="00BA1DA6" w:rsidRPr="00BA1DA6" w:rsidRDefault="00BA1DA6" w:rsidP="00C64851">
      <w:pPr>
        <w:pStyle w:val="BodyText"/>
        <w:numPr>
          <w:ilvl w:val="0"/>
          <w:numId w:val="493"/>
        </w:numPr>
      </w:pPr>
      <w:r w:rsidRPr="00BA1DA6">
        <w:t>Phase 1, Release 1: Automated Attendance was released May 17, 2023. </w:t>
      </w:r>
    </w:p>
    <w:p w14:paraId="46E41B98" w14:textId="77777777" w:rsidR="00BA1DA6" w:rsidRPr="00BA1DA6" w:rsidRDefault="00BA1DA6" w:rsidP="00C64851">
      <w:pPr>
        <w:pStyle w:val="BodyText"/>
        <w:numPr>
          <w:ilvl w:val="0"/>
          <w:numId w:val="494"/>
        </w:numPr>
      </w:pPr>
      <w:r w:rsidRPr="00BA1DA6">
        <w:t>Phase 1, Release 2: Availability Portal was released in August 2023. </w:t>
      </w:r>
    </w:p>
    <w:p w14:paraId="38037335" w14:textId="77777777" w:rsidR="00BA1DA6" w:rsidRPr="00BA1DA6" w:rsidRDefault="00BA1DA6" w:rsidP="00C64851">
      <w:pPr>
        <w:pStyle w:val="BodyText"/>
        <w:numPr>
          <w:ilvl w:val="0"/>
          <w:numId w:val="495"/>
        </w:numPr>
      </w:pPr>
      <w:r w:rsidRPr="00BA1DA6">
        <w:t>Phase 2, Release 1: Case Management was released on Jan. 13, 2025. </w:t>
      </w:r>
    </w:p>
    <w:p w14:paraId="77677BB0" w14:textId="77777777" w:rsidR="00BA1DA6" w:rsidRPr="00BA1DA6" w:rsidRDefault="00BA1DA6" w:rsidP="00C64851">
      <w:pPr>
        <w:pStyle w:val="BodyText"/>
        <w:numPr>
          <w:ilvl w:val="0"/>
          <w:numId w:val="496"/>
        </w:numPr>
      </w:pPr>
      <w:r w:rsidRPr="00BA1DA6">
        <w:lastRenderedPageBreak/>
        <w:t>Phase 2, Release 2: Integrity Central was released in early 2025. </w:t>
      </w:r>
    </w:p>
    <w:p w14:paraId="5800FB0F" w14:textId="77777777" w:rsidR="00BA1DA6" w:rsidRPr="00BA1DA6" w:rsidRDefault="00BA1DA6" w:rsidP="00F65AD6">
      <w:pPr>
        <w:pStyle w:val="BodyText3"/>
      </w:pPr>
      <w:r w:rsidRPr="00BA1DA6">
        <w:t>Child Care Workforce Strategic Plan  </w:t>
      </w:r>
    </w:p>
    <w:p w14:paraId="38AC4C7C" w14:textId="77777777" w:rsidR="00BA1DA6" w:rsidRPr="00BA1DA6" w:rsidRDefault="00BA1DA6" w:rsidP="00BA1DA6">
      <w:pPr>
        <w:pStyle w:val="BodyText"/>
      </w:pPr>
      <w:r w:rsidRPr="00BA1DA6">
        <w:t xml:space="preserve">In 2021, HB 619 (87th Texas Legislature) amended the Labor Code adding a new §302.0062 which directed TWC to prepare and collect data and engage with a workgroup to inform the development of a Child Care Workforce Strategic Plan every three years to improve the quality of the </w:t>
      </w:r>
      <w:proofErr w:type="gramStart"/>
      <w:r w:rsidRPr="00BA1DA6">
        <w:t>child care</w:t>
      </w:r>
      <w:proofErr w:type="gramEnd"/>
      <w:r w:rsidRPr="00BA1DA6">
        <w:t xml:space="preserve"> workforce in Texas. In January 2023, the Commission approved publication of the 2023–2025 Child Care Workforce Strategic Plan, which was submitted to the 88th Texas Legislature. In the plan, TWC identified 30 action items under three overarching goals. At the end of FY 2024, 21 action items had been completed.  </w:t>
      </w:r>
    </w:p>
    <w:p w14:paraId="44FF0950" w14:textId="77777777" w:rsidR="00BA1DA6" w:rsidRPr="00BA1DA6" w:rsidRDefault="00BA1DA6" w:rsidP="00BA1DA6">
      <w:pPr>
        <w:pStyle w:val="BodyText"/>
      </w:pPr>
      <w:r w:rsidRPr="00BA1DA6">
        <w:t>In FY 2025, TWC convened a new workgroup and collected data to inform the next report for the 2026–2028 period. Through a competitive procurement process, TWC selected Social Finance, Inc. to conduct data collection and analysis and assist with facilitating workgroup input, for the Commission’s consideration for TWC’s development of the strategic plan. </w:t>
      </w:r>
    </w:p>
    <w:p w14:paraId="4FB40066" w14:textId="77777777" w:rsidR="00BA1DA6" w:rsidRPr="00BA1DA6" w:rsidRDefault="00BA1DA6" w:rsidP="00F65AD6">
      <w:pPr>
        <w:pStyle w:val="BodyText3"/>
      </w:pPr>
      <w:r w:rsidRPr="00BA1DA6">
        <w:t>Texas Early Learning Council (TELC) </w:t>
      </w:r>
    </w:p>
    <w:p w14:paraId="1C9BDC47" w14:textId="77777777" w:rsidR="00BA1DA6" w:rsidRPr="00BA1DA6" w:rsidRDefault="00BA1DA6" w:rsidP="00BA1DA6">
      <w:pPr>
        <w:pStyle w:val="BodyText"/>
      </w:pPr>
      <w:r w:rsidRPr="00BA1DA6">
        <w:t>The TELC serves as Texas’ State Advisory Council on ECE and Care. Members of TELC, including Texas CCDF Administrator and TELC Chairperson Reagan Miller, are appointed by Governor Greg Abbott. The Council utilizes its breadth of stakeholder representation to increase coordination and collaboration across state agencies and local program and service providers to improve the quality of and access to early childhood services across Texas.   </w:t>
      </w:r>
    </w:p>
    <w:p w14:paraId="225E4020" w14:textId="77777777" w:rsidR="00BA1DA6" w:rsidRPr="00BA1DA6" w:rsidRDefault="00BA1DA6" w:rsidP="00BA1DA6">
      <w:pPr>
        <w:pStyle w:val="BodyText"/>
      </w:pPr>
      <w:r w:rsidRPr="00BA1DA6">
        <w:t xml:space="preserve">TELC meets every other month. TWC regularly presents information to TELC and receives feedback on </w:t>
      </w:r>
      <w:proofErr w:type="gramStart"/>
      <w:r w:rsidRPr="00BA1DA6">
        <w:t>child care</w:t>
      </w:r>
      <w:proofErr w:type="gramEnd"/>
      <w:r w:rsidRPr="00BA1DA6">
        <w:t xml:space="preserve"> and early learning issues. Additionally, TELC provides significant input into the Preschool Development Grant Birth Through 5 (PDG B-5) work, particularly the 2023 statewide early childhood needs assessment and 2024-2026 strategic plan. TWC’s coordination with TELC results in enhancing and aligning the quality of services for infants and toddlers through school- age children. </w:t>
      </w:r>
    </w:p>
    <w:p w14:paraId="14CEC52C" w14:textId="77777777" w:rsidR="00BA1DA6" w:rsidRPr="00BA1DA6" w:rsidRDefault="00BA1DA6" w:rsidP="00BA1DA6">
      <w:pPr>
        <w:pStyle w:val="BodyText"/>
      </w:pPr>
      <w:r w:rsidRPr="00BA1DA6">
        <w:t>In April 2022, TELC formed the Data Roadmap Workgroup to explore the potential development of an early childhood integrated data system (ECIDS) in Texas. The group published the Texas Early Childhood Integrated Data System Roadmap in April 2023 that includes considerations and recommendations of next steps for building an ECIDS in the state.  </w:t>
      </w:r>
    </w:p>
    <w:p w14:paraId="49EC4B6E" w14:textId="77777777" w:rsidR="00BA1DA6" w:rsidRPr="00BA1DA6" w:rsidRDefault="00BA1DA6" w:rsidP="00F65AD6">
      <w:pPr>
        <w:pStyle w:val="BodyText3"/>
      </w:pPr>
      <w:r w:rsidRPr="00BA1DA6">
        <w:t>Early Childhood Interagency Workgroup </w:t>
      </w:r>
    </w:p>
    <w:p w14:paraId="4525EDD0" w14:textId="77777777" w:rsidR="00BA1DA6" w:rsidRPr="00BA1DA6" w:rsidRDefault="00BA1DA6" w:rsidP="00BA1DA6">
      <w:pPr>
        <w:pStyle w:val="BodyText"/>
      </w:pPr>
      <w:r w:rsidRPr="00BA1DA6">
        <w:t>TWC and partner agencies established the Early Childhood Interagency Workgroup (ECIW</w:t>
      </w:r>
      <w:proofErr w:type="gramStart"/>
      <w:r w:rsidRPr="00BA1DA6">
        <w:t>), and</w:t>
      </w:r>
      <w:proofErr w:type="gramEnd"/>
      <w:r w:rsidRPr="00BA1DA6">
        <w:t xml:space="preserve"> jointly fund the position of the Interagency Deputy Director of Early Childhood Support, to maximize the outcomes for Texas children and families, facilitate coordination and collaboration across agencies serving young children. The ECIW is comprised of </w:t>
      </w:r>
      <w:r w:rsidRPr="00BA1DA6">
        <w:lastRenderedPageBreak/>
        <w:t>program leaders from TWC, TEA, HHSC, and the Texas Department of State Health Services (DSHS). The workgroup jointly developed the winning grant proposal for Texas’ current Preschool Development Grant Birth Through Five (PDG B-5) Renewal Grant, for which TWC is the lead agency. Initiatives of the ECIW are describe below. </w:t>
      </w:r>
    </w:p>
    <w:p w14:paraId="5B21237F" w14:textId="77777777" w:rsidR="00BA1DA6" w:rsidRPr="00BA1DA6" w:rsidRDefault="00BA1DA6" w:rsidP="00BA1DA6">
      <w:pPr>
        <w:pStyle w:val="BodyText"/>
      </w:pPr>
      <w:r w:rsidRPr="00BA1DA6">
        <w:rPr>
          <w:i/>
          <w:iCs/>
        </w:rPr>
        <w:t>Early Childhood Texas</w:t>
      </w:r>
      <w:r w:rsidRPr="00BA1DA6">
        <w:t> </w:t>
      </w:r>
    </w:p>
    <w:p w14:paraId="52D4974F" w14:textId="77777777" w:rsidR="00BA1DA6" w:rsidRPr="00BA1DA6" w:rsidRDefault="00BA1DA6" w:rsidP="00BA1DA6">
      <w:pPr>
        <w:pStyle w:val="BodyText"/>
      </w:pPr>
      <w:r w:rsidRPr="00BA1DA6">
        <w:t>The Early Childhood Texas website aims to provide families with young children easy access to Texas state agency programs, services, and resources. State agency partners include TWC, TEA, HHSC, DFPS, and DSHS. A team of staff members from each partnering agency guided the development of this website with direct input from Texas parents and families. </w:t>
      </w:r>
    </w:p>
    <w:p w14:paraId="40BD9966" w14:textId="77777777" w:rsidR="00BA1DA6" w:rsidRPr="00BA1DA6" w:rsidRDefault="00BA1DA6" w:rsidP="00BA1DA6">
      <w:pPr>
        <w:pStyle w:val="BodyText"/>
      </w:pPr>
      <w:r w:rsidRPr="00BA1DA6">
        <w:rPr>
          <w:i/>
          <w:iCs/>
        </w:rPr>
        <w:t>Texas Early Learning Interagency Collaborative Symposium</w:t>
      </w:r>
      <w:r w:rsidRPr="00BA1DA6">
        <w:t> </w:t>
      </w:r>
    </w:p>
    <w:p w14:paraId="19848400" w14:textId="77777777" w:rsidR="00BA1DA6" w:rsidRPr="00BA1DA6" w:rsidRDefault="00BA1DA6" w:rsidP="00BA1DA6">
      <w:pPr>
        <w:pStyle w:val="BodyText"/>
      </w:pPr>
      <w:r w:rsidRPr="00BA1DA6">
        <w:t xml:space="preserve">TWC’s CC&amp;EL Division and HHSC’s Child Care Regulation Division began hosting the Texas Early Learning Interagency Collaborative Symposium (TELICS) in 2022 for Texas Rising Star staff, CCR inspectors, and TWC Pre-K Partnership staff. The purpose of these virtual symposiums is to strengthen the collaboration between agencies to build high-quality </w:t>
      </w:r>
      <w:proofErr w:type="gramStart"/>
      <w:r w:rsidRPr="00BA1DA6">
        <w:t>child care</w:t>
      </w:r>
      <w:proofErr w:type="gramEnd"/>
      <w:r w:rsidRPr="00BA1DA6">
        <w:t xml:space="preserve"> throughout Texas. In 2023, TELICS expanded to also include CCR navigators, Early Intervention Specialists, TEA Early Childhood and Education Service Center staff, HHSC Family Support Services staff, Texas A&amp;M AgriLife Extension Agents and Educators, Head Start and Early Head Start Family Engagement Coordinators, Help Me Grow grantees, and Supplemental Nutrition Program for Women, Infants, and Children (WIC) local staff. Since June 2022, CC&amp;EL and CCR have hosted five symposiums with an average of 400 participants attending. </w:t>
      </w:r>
    </w:p>
    <w:p w14:paraId="0BC8BAD0" w14:textId="77777777" w:rsidR="00BA1DA6" w:rsidRPr="00BA1DA6" w:rsidRDefault="00BA1DA6" w:rsidP="00BA1DA6">
      <w:pPr>
        <w:pStyle w:val="BodyText"/>
      </w:pPr>
      <w:r w:rsidRPr="00BA1DA6">
        <w:t>As a result of TELICS, a Digital Resource Notebook was developed to serve as a repository of resources and information available in Texas and is shared between participating agencies to support staff working with early childhood educators and families. </w:t>
      </w:r>
    </w:p>
    <w:p w14:paraId="2EB363A1" w14:textId="77777777" w:rsidR="00BA1DA6" w:rsidRPr="00BA1DA6" w:rsidRDefault="00BA1DA6" w:rsidP="00BA1DA6">
      <w:pPr>
        <w:pStyle w:val="BodyText"/>
      </w:pPr>
      <w:r w:rsidRPr="00BA1DA6">
        <w:rPr>
          <w:i/>
          <w:iCs/>
        </w:rPr>
        <w:t>Early Childhood Integrated Data System</w:t>
      </w:r>
      <w:r w:rsidRPr="00BA1DA6">
        <w:t> </w:t>
      </w:r>
    </w:p>
    <w:p w14:paraId="3301D575" w14:textId="77777777" w:rsidR="00BA1DA6" w:rsidRPr="00BA1DA6" w:rsidRDefault="00BA1DA6" w:rsidP="00BA1DA6">
      <w:pPr>
        <w:pStyle w:val="BodyText"/>
      </w:pPr>
      <w:r w:rsidRPr="00BA1DA6">
        <w:t>Early Childhood Integrated Data System (ECIDS) is a partnership involving TWC, TEA, and HHSC. This partnership is planning a system for integrating their data about children served by different early childhood programs. This will ensure state agency staff and policymakers have the information they need to make decisions in support of Texas’ most pressing early childhood goals. In 2025, TWC executed an interagency contract (IAC) with TEA, using PDG grant funds, to begin building out the ECIDS. </w:t>
      </w:r>
    </w:p>
    <w:p w14:paraId="6866A54B" w14:textId="77777777" w:rsidR="00BA1DA6" w:rsidRPr="00BA1DA6" w:rsidRDefault="00BA1DA6" w:rsidP="00F65AD6">
      <w:pPr>
        <w:pStyle w:val="BodyText3"/>
      </w:pPr>
      <w:r w:rsidRPr="00BA1DA6">
        <w:t>Texas Preschool Development Grant Birth Through 5 (PDG B-5) </w:t>
      </w:r>
    </w:p>
    <w:p w14:paraId="44E02C80" w14:textId="77777777" w:rsidR="00BA1DA6" w:rsidRPr="00BA1DA6" w:rsidRDefault="00BA1DA6" w:rsidP="00BA1DA6">
      <w:pPr>
        <w:pStyle w:val="BodyText"/>
      </w:pPr>
      <w:r w:rsidRPr="00BA1DA6">
        <w:t xml:space="preserve">In 2023 the U.S. Department of Education and the U.S. Department of Health and Human Services awarded the state of Texas $16 million a year for the Preschool Development Grant Birth Through 5 (PDG B-5) to support state early childhood systems building. The </w:t>
      </w:r>
      <w:r w:rsidRPr="00BA1DA6">
        <w:lastRenderedPageBreak/>
        <w:t>Early Childhood Interagency Workgroup applied for the grant, with TWC serving as the lead agency. The funds are from January 2023 through December 2025.  </w:t>
      </w:r>
    </w:p>
    <w:p w14:paraId="671806CF" w14:textId="77777777" w:rsidR="00BA1DA6" w:rsidRPr="00BA1DA6" w:rsidRDefault="00BA1DA6" w:rsidP="00BA1DA6">
      <w:pPr>
        <w:pStyle w:val="BodyText"/>
      </w:pPr>
      <w:r w:rsidRPr="00BA1DA6">
        <w:t xml:space="preserve">TWC has entered into </w:t>
      </w:r>
      <w:proofErr w:type="gramStart"/>
      <w:r w:rsidRPr="00BA1DA6">
        <w:t>IAC’s</w:t>
      </w:r>
      <w:proofErr w:type="gramEnd"/>
      <w:r w:rsidRPr="00BA1DA6">
        <w:t xml:space="preserve"> with the following agencies as part of the PDG B-5 grant (See Section H for details on the activities implemented through ICAs): </w:t>
      </w:r>
    </w:p>
    <w:p w14:paraId="1FCA2B03" w14:textId="77777777" w:rsidR="00BA1DA6" w:rsidRPr="00BA1DA6" w:rsidRDefault="00BA1DA6" w:rsidP="00BA1DA6">
      <w:pPr>
        <w:pStyle w:val="BodyText"/>
      </w:pPr>
      <w:r w:rsidRPr="00BA1DA6">
        <w:t>HHSC </w:t>
      </w:r>
    </w:p>
    <w:p w14:paraId="29E0D693" w14:textId="77777777" w:rsidR="00BA1DA6" w:rsidRPr="00BA1DA6" w:rsidRDefault="00BA1DA6" w:rsidP="00C64851">
      <w:pPr>
        <w:pStyle w:val="BodyText"/>
        <w:numPr>
          <w:ilvl w:val="0"/>
          <w:numId w:val="497"/>
        </w:numPr>
      </w:pPr>
      <w:r w:rsidRPr="00BA1DA6">
        <w:t>CCR Navigators </w:t>
      </w:r>
    </w:p>
    <w:p w14:paraId="31949FFE" w14:textId="77777777" w:rsidR="00BA1DA6" w:rsidRPr="00BA1DA6" w:rsidRDefault="00BA1DA6" w:rsidP="00C64851">
      <w:pPr>
        <w:pStyle w:val="BodyText"/>
        <w:numPr>
          <w:ilvl w:val="0"/>
          <w:numId w:val="498"/>
        </w:numPr>
      </w:pPr>
      <w:r w:rsidRPr="00BA1DA6">
        <w:t>Early Childhood Integrated Data System </w:t>
      </w:r>
    </w:p>
    <w:p w14:paraId="2DCA9DE7" w14:textId="77777777" w:rsidR="00BA1DA6" w:rsidRPr="00BA1DA6" w:rsidRDefault="00BA1DA6" w:rsidP="00C64851">
      <w:pPr>
        <w:pStyle w:val="BodyText"/>
        <w:numPr>
          <w:ilvl w:val="0"/>
          <w:numId w:val="499"/>
        </w:numPr>
      </w:pPr>
      <w:r w:rsidRPr="00BA1DA6">
        <w:t>ECI Training, Retention and Comprehensive Services </w:t>
      </w:r>
    </w:p>
    <w:p w14:paraId="51187D76" w14:textId="77777777" w:rsidR="00BA1DA6" w:rsidRPr="00BA1DA6" w:rsidRDefault="00BA1DA6" w:rsidP="00C64851">
      <w:pPr>
        <w:pStyle w:val="BodyText"/>
        <w:numPr>
          <w:ilvl w:val="0"/>
          <w:numId w:val="500"/>
        </w:numPr>
      </w:pPr>
      <w:r w:rsidRPr="00BA1DA6">
        <w:t>Family Support Services (FFS) Early Childhood Systems Building </w:t>
      </w:r>
    </w:p>
    <w:p w14:paraId="3391E9D7" w14:textId="77777777" w:rsidR="00BA1DA6" w:rsidRPr="00BA1DA6" w:rsidRDefault="00BA1DA6" w:rsidP="00BA1DA6">
      <w:pPr>
        <w:pStyle w:val="BodyText"/>
      </w:pPr>
      <w:r w:rsidRPr="00BA1DA6">
        <w:t>TEA </w:t>
      </w:r>
    </w:p>
    <w:p w14:paraId="7FC4AC00" w14:textId="77777777" w:rsidR="00BA1DA6" w:rsidRPr="00BA1DA6" w:rsidRDefault="00BA1DA6" w:rsidP="00C64851">
      <w:pPr>
        <w:pStyle w:val="BodyText"/>
        <w:numPr>
          <w:ilvl w:val="0"/>
          <w:numId w:val="501"/>
        </w:numPr>
      </w:pPr>
      <w:r w:rsidRPr="00BA1DA6">
        <w:t>Early Childhood Integrated Data System </w:t>
      </w:r>
    </w:p>
    <w:p w14:paraId="36BE76D9" w14:textId="77777777" w:rsidR="00BA1DA6" w:rsidRPr="00BA1DA6" w:rsidRDefault="00BA1DA6" w:rsidP="00BA1DA6">
      <w:pPr>
        <w:pStyle w:val="BodyText"/>
      </w:pPr>
      <w:r w:rsidRPr="00BA1DA6">
        <w:t>DFPS </w:t>
      </w:r>
    </w:p>
    <w:p w14:paraId="43E220B9" w14:textId="77777777" w:rsidR="00BA1DA6" w:rsidRPr="00BA1DA6" w:rsidRDefault="00BA1DA6" w:rsidP="00C64851">
      <w:pPr>
        <w:pStyle w:val="BodyText"/>
        <w:numPr>
          <w:ilvl w:val="0"/>
          <w:numId w:val="502"/>
        </w:numPr>
      </w:pPr>
      <w:r w:rsidRPr="00BA1DA6">
        <w:t>TX3C Automated Interface </w:t>
      </w:r>
    </w:p>
    <w:p w14:paraId="1CFCE2B5" w14:textId="77777777" w:rsidR="00BA1DA6" w:rsidRPr="00BA1DA6" w:rsidRDefault="00BA1DA6" w:rsidP="00BA1DA6">
      <w:pPr>
        <w:pStyle w:val="BodyText"/>
      </w:pPr>
      <w:r w:rsidRPr="00BA1DA6">
        <w:t>University of Texas at Austin </w:t>
      </w:r>
    </w:p>
    <w:p w14:paraId="2C91EF54" w14:textId="77777777" w:rsidR="00BA1DA6" w:rsidRPr="00BA1DA6" w:rsidRDefault="00BA1DA6" w:rsidP="00C64851">
      <w:pPr>
        <w:pStyle w:val="BodyText"/>
        <w:numPr>
          <w:ilvl w:val="0"/>
          <w:numId w:val="503"/>
        </w:numPr>
      </w:pPr>
      <w:r w:rsidRPr="00BA1DA6">
        <w:t>Texas Institute for Excellence in Mental Health (TIEMH) </w:t>
      </w:r>
    </w:p>
    <w:p w14:paraId="75973E7B" w14:textId="77777777" w:rsidR="00BA1DA6" w:rsidRPr="00BA1DA6" w:rsidRDefault="00BA1DA6" w:rsidP="00C64851">
      <w:pPr>
        <w:pStyle w:val="BodyText"/>
        <w:numPr>
          <w:ilvl w:val="0"/>
          <w:numId w:val="504"/>
        </w:numPr>
      </w:pPr>
      <w:r w:rsidRPr="00BA1DA6">
        <w:t>Institute for Child and Family Wellbeing </w:t>
      </w:r>
    </w:p>
    <w:p w14:paraId="5E56BB81" w14:textId="77777777" w:rsidR="00BA1DA6" w:rsidRPr="00BA1DA6" w:rsidRDefault="00BA1DA6" w:rsidP="00BA1DA6">
      <w:pPr>
        <w:pStyle w:val="BodyText"/>
      </w:pPr>
      <w:r w:rsidRPr="00BA1DA6">
        <w:t>University of Texas Health Science Center-Houston </w:t>
      </w:r>
    </w:p>
    <w:p w14:paraId="40642712" w14:textId="77777777" w:rsidR="00BA1DA6" w:rsidRPr="00BA1DA6" w:rsidRDefault="00BA1DA6" w:rsidP="00C64851">
      <w:pPr>
        <w:pStyle w:val="BodyText"/>
        <w:numPr>
          <w:ilvl w:val="0"/>
          <w:numId w:val="505"/>
        </w:numPr>
      </w:pPr>
      <w:r w:rsidRPr="00BA1DA6">
        <w:t>PDG Needs Assessment/Evaluation </w:t>
      </w:r>
    </w:p>
    <w:p w14:paraId="540B7789" w14:textId="77777777" w:rsidR="00BA1DA6" w:rsidRPr="00BA1DA6" w:rsidRDefault="00BA1DA6" w:rsidP="00BA1DA6">
      <w:pPr>
        <w:pStyle w:val="BodyText"/>
      </w:pPr>
      <w:r w:rsidRPr="00BA1DA6">
        <w:t xml:space="preserve">Along with the work with the agencies listed above, TWC awarded Camp Fire First Texas a grant to administer the Child Care Registered Apprenticeship Program (RAP) as part of the PDG B-5 grant.  RAP applicants will foster sustainable career pathways that increase the availability of qualified Early Childhood Educators, which combines on-the-job learning with related classroom instruction. </w:t>
      </w:r>
      <w:proofErr w:type="gramStart"/>
      <w:r w:rsidRPr="00BA1DA6">
        <w:t>Child care</w:t>
      </w:r>
      <w:proofErr w:type="gramEnd"/>
      <w:r w:rsidRPr="00BA1DA6">
        <w:t xml:space="preserve"> RAPs will assist in improving the education and training that Early Childhood Educators receive, thus allowing them to improve their understanding of child development and improve the quality of child care. </w:t>
      </w:r>
    </w:p>
    <w:p w14:paraId="270D23C7" w14:textId="77777777" w:rsidR="00BA1DA6" w:rsidRPr="00BA1DA6" w:rsidRDefault="00BA1DA6" w:rsidP="00F65AD6">
      <w:pPr>
        <w:pStyle w:val="BodyText3"/>
      </w:pPr>
      <w:r w:rsidRPr="00BA1DA6">
        <w:t>Public Education Information Management System Numbers  </w:t>
      </w:r>
    </w:p>
    <w:p w14:paraId="45620221" w14:textId="77777777" w:rsidR="00BA1DA6" w:rsidRPr="00BA1DA6" w:rsidRDefault="00BA1DA6" w:rsidP="00BA1DA6">
      <w:pPr>
        <w:pStyle w:val="BodyText"/>
      </w:pPr>
      <w:r w:rsidRPr="00BA1DA6">
        <w:t xml:space="preserve">Texas Labor Code §302.0043(c-1) requires TWC to coordinate with TEA to assign unique Public Education Information Management System numbers to children younger than six years of age who are enrolled in the TWC CCS program. This will allow for longitudinal </w:t>
      </w:r>
      <w:r w:rsidRPr="00BA1DA6">
        <w:lastRenderedPageBreak/>
        <w:t xml:space="preserve">analysis of information on children who receive subsidies by bridging their participation in early childhood programs to their participation in public education. TWC collaborated with TEA to develop an automated interface and began assigning numbers to children under six years of age enrolled in subsidized </w:t>
      </w:r>
      <w:proofErr w:type="gramStart"/>
      <w:r w:rsidRPr="00BA1DA6">
        <w:t>child care</w:t>
      </w:r>
      <w:proofErr w:type="gramEnd"/>
      <w:r w:rsidRPr="00BA1DA6">
        <w:t xml:space="preserve"> on September 1, 2020. With the functionality in place, TWC and TEA will develop a plan to analyze and share this cross-agency data. </w:t>
      </w:r>
    </w:p>
    <w:p w14:paraId="6B01875B" w14:textId="77777777" w:rsidR="00BA1DA6" w:rsidRPr="00BA1DA6" w:rsidRDefault="00BA1DA6" w:rsidP="00F65AD6">
      <w:pPr>
        <w:pStyle w:val="BodyText3"/>
        <w:ind w:left="720" w:hanging="720"/>
      </w:pPr>
      <w:r w:rsidRPr="00BA1DA6">
        <w:t>E.</w:t>
      </w:r>
      <w:r w:rsidRPr="00BA1DA6">
        <w:tab/>
        <w:t>List any qualifications or eligibility requirements for persons or entities affected by this division or program (e.g., licensees, consumers, and landowners). Provide a statistical breakdown of persons or entities affected. </w:t>
      </w:r>
    </w:p>
    <w:p w14:paraId="40D7CB82" w14:textId="77777777" w:rsidR="00BA1DA6" w:rsidRPr="00BA1DA6" w:rsidRDefault="00BA1DA6" w:rsidP="00F65AD6">
      <w:pPr>
        <w:pStyle w:val="BodyText3"/>
      </w:pPr>
      <w:r w:rsidRPr="00BA1DA6">
        <w:t>Child Eligibility </w:t>
      </w:r>
    </w:p>
    <w:p w14:paraId="31A70EE6" w14:textId="77777777" w:rsidR="00BA1DA6" w:rsidRPr="00BA1DA6" w:rsidRDefault="00BA1DA6" w:rsidP="00BA1DA6">
      <w:pPr>
        <w:pStyle w:val="BodyText"/>
      </w:pPr>
      <w:hyperlink r:id="rId66" w:tgtFrame="_blank" w:history="1">
        <w:r w:rsidRPr="00BA1DA6">
          <w:rPr>
            <w:rStyle w:val="Hyperlink"/>
          </w:rPr>
          <w:t>40 TAC §809.41</w:t>
        </w:r>
      </w:hyperlink>
      <w:r w:rsidRPr="00BA1DA6">
        <w:t xml:space="preserve"> requires that the child must be: </w:t>
      </w:r>
    </w:p>
    <w:p w14:paraId="70F34AC5" w14:textId="77777777" w:rsidR="00BA1DA6" w:rsidRPr="00BA1DA6" w:rsidRDefault="00BA1DA6" w:rsidP="00C64851">
      <w:pPr>
        <w:pStyle w:val="BodyText"/>
        <w:numPr>
          <w:ilvl w:val="0"/>
          <w:numId w:val="544"/>
        </w:numPr>
      </w:pPr>
      <w:r w:rsidRPr="00BA1DA6">
        <w:t>Under 13 years of age; or a child with disabilities under 19 years of age. </w:t>
      </w:r>
    </w:p>
    <w:p w14:paraId="408850C4" w14:textId="77777777" w:rsidR="00BA1DA6" w:rsidRPr="00BA1DA6" w:rsidRDefault="00BA1DA6" w:rsidP="00C64851">
      <w:pPr>
        <w:pStyle w:val="BodyText"/>
        <w:numPr>
          <w:ilvl w:val="0"/>
          <w:numId w:val="544"/>
        </w:numPr>
      </w:pPr>
      <w:r w:rsidRPr="00BA1DA6">
        <w:t>A U.S. citizen or legal immigrant under applicable federal laws and regulations. </w:t>
      </w:r>
    </w:p>
    <w:p w14:paraId="488F49F1" w14:textId="77777777" w:rsidR="00BA1DA6" w:rsidRPr="00BA1DA6" w:rsidRDefault="00BA1DA6" w:rsidP="00C64851">
      <w:pPr>
        <w:pStyle w:val="BodyText"/>
        <w:numPr>
          <w:ilvl w:val="0"/>
          <w:numId w:val="544"/>
        </w:numPr>
      </w:pPr>
      <w:r w:rsidRPr="00BA1DA6">
        <w:t>Residing with a family within the Board's workforce area </w:t>
      </w:r>
    </w:p>
    <w:p w14:paraId="3C147B1E" w14:textId="77777777" w:rsidR="00BA1DA6" w:rsidRPr="00BA1DA6" w:rsidRDefault="00BA1DA6" w:rsidP="00C64851">
      <w:pPr>
        <w:pStyle w:val="BodyText"/>
        <w:numPr>
          <w:ilvl w:val="1"/>
          <w:numId w:val="544"/>
        </w:numPr>
      </w:pPr>
      <w:r w:rsidRPr="00BA1DA6">
        <w:t>whose income does not exceed 85 percent of the state median income (SMI) for a family of the same size; and </w:t>
      </w:r>
    </w:p>
    <w:p w14:paraId="78C3FC32" w14:textId="77777777" w:rsidR="00BA1DA6" w:rsidRPr="00BA1DA6" w:rsidRDefault="00BA1DA6" w:rsidP="00C64851">
      <w:pPr>
        <w:pStyle w:val="BodyText"/>
        <w:numPr>
          <w:ilvl w:val="1"/>
          <w:numId w:val="544"/>
        </w:numPr>
      </w:pPr>
      <w:r w:rsidRPr="00BA1DA6">
        <w:t>whose assets do not exceed $1,000,000 as certified by a family member; or </w:t>
      </w:r>
    </w:p>
    <w:p w14:paraId="11AF0340" w14:textId="77777777" w:rsidR="00BA1DA6" w:rsidRPr="00BA1DA6" w:rsidRDefault="00BA1DA6" w:rsidP="00C64851">
      <w:pPr>
        <w:pStyle w:val="BodyText"/>
        <w:numPr>
          <w:ilvl w:val="1"/>
          <w:numId w:val="544"/>
        </w:numPr>
      </w:pPr>
      <w:r w:rsidRPr="00BA1DA6">
        <w:t>that meets the definition of experiencing homelessness. </w:t>
      </w:r>
    </w:p>
    <w:p w14:paraId="18EBCB11" w14:textId="77777777" w:rsidR="00BA1DA6" w:rsidRPr="00BA1DA6" w:rsidRDefault="00BA1DA6" w:rsidP="00BA1DA6">
      <w:pPr>
        <w:pStyle w:val="BodyText"/>
      </w:pPr>
      <w:r w:rsidRPr="00BA1DA6">
        <w:t xml:space="preserve">Under federal regulations and TWC </w:t>
      </w:r>
      <w:proofErr w:type="gramStart"/>
      <w:r w:rsidRPr="00BA1DA6">
        <w:t>child care</w:t>
      </w:r>
      <w:proofErr w:type="gramEnd"/>
      <w:r w:rsidRPr="00BA1DA6">
        <w:t xml:space="preserve"> rules, a child determined eligible for care shall remain eligible for a 12-month eligibility period. </w:t>
      </w:r>
    </w:p>
    <w:p w14:paraId="5277C263" w14:textId="77777777" w:rsidR="00BA1DA6" w:rsidRPr="00BA1DA6" w:rsidRDefault="00BA1DA6" w:rsidP="000F3A32">
      <w:pPr>
        <w:pStyle w:val="BodyText3"/>
      </w:pPr>
      <w:r w:rsidRPr="00BA1DA6">
        <w:t>Parent Activity Requirements </w:t>
      </w:r>
    </w:p>
    <w:p w14:paraId="57693A36" w14:textId="77777777" w:rsidR="00BA1DA6" w:rsidRPr="00BA1DA6" w:rsidRDefault="00BA1DA6" w:rsidP="00BA1DA6">
      <w:pPr>
        <w:pStyle w:val="BodyText"/>
      </w:pPr>
      <w:r w:rsidRPr="00BA1DA6">
        <w:t>Except for parents participating in Choices, SNAP E&amp;T, and parents of children needed or receiving protective services, parents must be participating in work, job training, or education activities for at least 25 hours per week for a single parent and 50 hours per week for a dual-parent family. For purposes of determining participation in education activities, each credit hour of undergraduate education counts as three hours per week; and each credit hour of a condensed undergraduate education course counts as six education activity hours per week. </w:t>
      </w:r>
    </w:p>
    <w:p w14:paraId="28320BAC" w14:textId="77777777" w:rsidR="00BA1DA6" w:rsidRPr="00BA1DA6" w:rsidRDefault="00BA1DA6" w:rsidP="00BA1DA6">
      <w:pPr>
        <w:pStyle w:val="BodyText"/>
      </w:pPr>
      <w:r w:rsidRPr="00BA1DA6">
        <w:t>CCS is also available for parents searching for work. For parents in job search, the parent must meet a total activity participation of at least 25 hours for a single-parent family, with at least 12 hours in employment; or a total combined 50 hours per week for dual-parent families, with a at least 25 hours in employment for a dual-parent family, within the initial three months for the care to continue through the remainder of the 12-month eligibility period. Further, family income must not exceed 85 percent SMI. </w:t>
      </w:r>
    </w:p>
    <w:p w14:paraId="69598FAF" w14:textId="77777777" w:rsidR="00BA1DA6" w:rsidRPr="00BA1DA6" w:rsidRDefault="00BA1DA6" w:rsidP="00BA1DA6">
      <w:pPr>
        <w:pStyle w:val="BodyText"/>
      </w:pPr>
      <w:r w:rsidRPr="00BA1DA6">
        <w:lastRenderedPageBreak/>
        <w:t>Teen parents attending high school or the equivalent are considered as meeting the education requirements for eligibility. </w:t>
      </w:r>
    </w:p>
    <w:p w14:paraId="51D5DF30" w14:textId="77777777" w:rsidR="00BA1DA6" w:rsidRPr="00BA1DA6" w:rsidRDefault="00BA1DA6" w:rsidP="00BA1DA6">
      <w:pPr>
        <w:pStyle w:val="BodyText"/>
      </w:pPr>
      <w:r w:rsidRPr="00BA1DA6">
        <w:t>CCS while the parent is enrolled full-time in a postsecondary undergraduate educational program cannot exceed a cumulative total of 60 months. </w:t>
      </w:r>
    </w:p>
    <w:p w14:paraId="748A74B3" w14:textId="77777777" w:rsidR="00BA1DA6" w:rsidRPr="00BA1DA6" w:rsidRDefault="00BA1DA6" w:rsidP="000F3A32">
      <w:pPr>
        <w:pStyle w:val="BodyText3"/>
      </w:pPr>
      <w:r w:rsidRPr="00BA1DA6">
        <w:t>Child Care for Parents Participating in Choices and Other Mandatory Populations </w:t>
      </w:r>
    </w:p>
    <w:p w14:paraId="26B11EC0" w14:textId="77777777" w:rsidR="00BA1DA6" w:rsidRPr="00BA1DA6" w:rsidRDefault="00BA1DA6" w:rsidP="00BA1DA6">
      <w:pPr>
        <w:pStyle w:val="BodyText"/>
      </w:pPr>
      <w:r w:rsidRPr="00BA1DA6">
        <w:t>The following populations are mandatory and not subject to the wait list: </w:t>
      </w:r>
    </w:p>
    <w:p w14:paraId="2B1E9A08" w14:textId="77777777" w:rsidR="00BA1DA6" w:rsidRPr="00BA1DA6" w:rsidRDefault="00BA1DA6" w:rsidP="00BA1DA6">
      <w:pPr>
        <w:pStyle w:val="BodyText"/>
      </w:pPr>
      <w:r w:rsidRPr="00BA1DA6">
        <w:rPr>
          <w:i/>
          <w:iCs/>
        </w:rPr>
        <w:t>Choices Child Care</w:t>
      </w:r>
      <w:r w:rsidRPr="00BA1DA6">
        <w:t> </w:t>
      </w:r>
    </w:p>
    <w:p w14:paraId="5BED4C44" w14:textId="77777777" w:rsidR="00BA1DA6" w:rsidRPr="00BA1DA6" w:rsidRDefault="00BA1DA6" w:rsidP="00BA1DA6">
      <w:pPr>
        <w:pStyle w:val="BodyText"/>
      </w:pPr>
      <w:r w:rsidRPr="00BA1DA6">
        <w:t xml:space="preserve">Choices Child Care assists recipients of TANF to participate in work-related activities, through the Choices employment program, </w:t>
      </w:r>
      <w:proofErr w:type="gramStart"/>
      <w:r w:rsidRPr="00BA1DA6">
        <w:t>in order for</w:t>
      </w:r>
      <w:proofErr w:type="gramEnd"/>
      <w:r w:rsidRPr="00BA1DA6">
        <w:t xml:space="preserve"> them to secure employment. A parent is eligible for Choices Child Care if the parent is participating in the Choices program. </w:t>
      </w:r>
    </w:p>
    <w:p w14:paraId="73E40C13" w14:textId="77777777" w:rsidR="00BA1DA6" w:rsidRPr="00BA1DA6" w:rsidRDefault="00BA1DA6" w:rsidP="00BA1DA6">
      <w:pPr>
        <w:pStyle w:val="BodyText"/>
      </w:pPr>
      <w:r w:rsidRPr="00BA1DA6">
        <w:rPr>
          <w:i/>
          <w:iCs/>
        </w:rPr>
        <w:t>Other Mandatory Populations</w:t>
      </w:r>
      <w:r w:rsidRPr="00BA1DA6">
        <w:t> </w:t>
      </w:r>
    </w:p>
    <w:p w14:paraId="17263340" w14:textId="77777777" w:rsidR="00BA1DA6" w:rsidRPr="00BA1DA6" w:rsidRDefault="00BA1DA6" w:rsidP="00BA1DA6">
      <w:pPr>
        <w:pStyle w:val="BodyText"/>
      </w:pPr>
      <w:r w:rsidRPr="00BA1DA6">
        <w:t>SNAP E&amp;T Child Care assists recipients SNAP to participate in employment and training activities.</w:t>
      </w:r>
      <w:r w:rsidRPr="00BA1DA6">
        <w:rPr>
          <w:i/>
          <w:iCs/>
        </w:rPr>
        <w:t> </w:t>
      </w:r>
      <w:r w:rsidRPr="00BA1DA6">
        <w:t> </w:t>
      </w:r>
    </w:p>
    <w:p w14:paraId="30F0A694" w14:textId="77777777" w:rsidR="00BA1DA6" w:rsidRPr="00BA1DA6" w:rsidRDefault="00BA1DA6" w:rsidP="00BA1DA6">
      <w:pPr>
        <w:pStyle w:val="BodyText"/>
      </w:pPr>
      <w:r w:rsidRPr="00BA1DA6">
        <w:t xml:space="preserve">TANF Applicant Child Care provides subsidized </w:t>
      </w:r>
      <w:proofErr w:type="gramStart"/>
      <w:r w:rsidRPr="00BA1DA6">
        <w:t>child care</w:t>
      </w:r>
      <w:proofErr w:type="gramEnd"/>
      <w:r w:rsidRPr="00BA1DA6">
        <w:t xml:space="preserve"> to TANF applicants who are referred from HHSC to attend Workforce Orientation for Applicants (WOA) but obtain employment or have increased earning prior to TANF certification. To be eligible for TANF Applicant Child Care, the parent must not have voluntarily terminated paid employment of at least 25 hours a week within 30 days prior to receiving the referral from HHSC. TANF Applicant </w:t>
      </w:r>
      <w:proofErr w:type="gramStart"/>
      <w:r w:rsidRPr="00BA1DA6">
        <w:t>child care</w:t>
      </w:r>
      <w:proofErr w:type="gramEnd"/>
      <w:r w:rsidRPr="00BA1DA6">
        <w:t xml:space="preserve"> shall be provided for up to 12 months or until the family reaches the Board’s income limit for eligibility for At-Risk Child Care. </w:t>
      </w:r>
    </w:p>
    <w:p w14:paraId="178DF958" w14:textId="77777777" w:rsidR="00BA1DA6" w:rsidRPr="00BA1DA6" w:rsidRDefault="00BA1DA6" w:rsidP="00BA1DA6">
      <w:pPr>
        <w:pStyle w:val="BodyText"/>
      </w:pPr>
      <w:r w:rsidRPr="00BA1DA6">
        <w:t>Section C provides a statistical breakdown of children receiving Mandatory CCS. </w:t>
      </w:r>
    </w:p>
    <w:p w14:paraId="60908A14" w14:textId="77777777" w:rsidR="00BA1DA6" w:rsidRPr="00BA1DA6" w:rsidRDefault="00BA1DA6" w:rsidP="000F3A32">
      <w:pPr>
        <w:pStyle w:val="BodyText3"/>
      </w:pPr>
      <w:r w:rsidRPr="00BA1DA6">
        <w:t>Former DFPS Child Care </w:t>
      </w:r>
    </w:p>
    <w:p w14:paraId="240DFFAD" w14:textId="77777777" w:rsidR="00BA1DA6" w:rsidRPr="00BA1DA6" w:rsidRDefault="00BA1DA6" w:rsidP="00BA1DA6">
      <w:pPr>
        <w:pStyle w:val="BodyText"/>
      </w:pPr>
      <w:r w:rsidRPr="00BA1DA6">
        <w:t xml:space="preserve">For children whose DFPS general protective services case was closed and </w:t>
      </w:r>
      <w:proofErr w:type="gramStart"/>
      <w:r w:rsidRPr="00BA1DA6">
        <w:t>child care</w:t>
      </w:r>
      <w:proofErr w:type="gramEnd"/>
      <w:r w:rsidRPr="00BA1DA6">
        <w:t xml:space="preserve"> discontinued prior to the end of the child’s 12-month eligibility period, CCS provides CCDF-funded child care for the remainder of the 12-month eligibility period. </w:t>
      </w:r>
    </w:p>
    <w:p w14:paraId="1E1DDF68" w14:textId="77777777" w:rsidR="00BA1DA6" w:rsidRPr="00BA1DA6" w:rsidRDefault="00BA1DA6" w:rsidP="00BA1DA6">
      <w:pPr>
        <w:pStyle w:val="BodyText"/>
      </w:pPr>
      <w:r w:rsidRPr="00BA1DA6">
        <w:t xml:space="preserve">Section C provides a statistical breakdown of children receiving Former CPS </w:t>
      </w:r>
      <w:proofErr w:type="gramStart"/>
      <w:r w:rsidRPr="00BA1DA6">
        <w:t>child care</w:t>
      </w:r>
      <w:proofErr w:type="gramEnd"/>
      <w:r w:rsidRPr="00BA1DA6">
        <w:t>. </w:t>
      </w:r>
    </w:p>
    <w:p w14:paraId="3CF97E40" w14:textId="77777777" w:rsidR="00BA1DA6" w:rsidRPr="00BA1DA6" w:rsidRDefault="00BA1DA6" w:rsidP="00887EF9">
      <w:pPr>
        <w:pStyle w:val="BodyText3"/>
      </w:pPr>
      <w:r w:rsidRPr="00BA1DA6">
        <w:t>Child Care for Families at Risk of Becoming Dependent upon Public Assistance </w:t>
      </w:r>
    </w:p>
    <w:p w14:paraId="5A2F474E" w14:textId="77777777" w:rsidR="00BA1DA6" w:rsidRPr="00BA1DA6" w:rsidRDefault="00BA1DA6" w:rsidP="00BA1DA6">
      <w:pPr>
        <w:pStyle w:val="BodyText"/>
      </w:pPr>
      <w:r w:rsidRPr="00BA1DA6">
        <w:t xml:space="preserve">At-Risk Child Care provides </w:t>
      </w:r>
      <w:proofErr w:type="gramStart"/>
      <w:r w:rsidRPr="00BA1DA6">
        <w:t>child care</w:t>
      </w:r>
      <w:proofErr w:type="gramEnd"/>
      <w:r w:rsidRPr="00BA1DA6">
        <w:t xml:space="preserve"> services to low income families in order to enter and remain in the workforce or participate in job training or education activities. A parent is eligible for </w:t>
      </w:r>
      <w:proofErr w:type="gramStart"/>
      <w:r w:rsidRPr="00BA1DA6">
        <w:t>child care</w:t>
      </w:r>
      <w:proofErr w:type="gramEnd"/>
      <w:r w:rsidRPr="00BA1DA6">
        <w:t xml:space="preserve"> services under this section if: </w:t>
      </w:r>
    </w:p>
    <w:p w14:paraId="62CF4FEE" w14:textId="77777777" w:rsidR="00BA1DA6" w:rsidRPr="00BA1DA6" w:rsidRDefault="00BA1DA6" w:rsidP="00C64851">
      <w:pPr>
        <w:pStyle w:val="BodyText"/>
        <w:numPr>
          <w:ilvl w:val="0"/>
          <w:numId w:val="506"/>
        </w:numPr>
      </w:pPr>
      <w:r w:rsidRPr="00BA1DA6">
        <w:lastRenderedPageBreak/>
        <w:t>The family income does not exceed the 85 percent of the state median income (SMI</w:t>
      </w:r>
      <w:proofErr w:type="gramStart"/>
      <w:r w:rsidRPr="00BA1DA6">
        <w:t>)</w:t>
      </w:r>
      <w:proofErr w:type="gramEnd"/>
      <w:r w:rsidRPr="00BA1DA6">
        <w:t xml:space="preserve"> or a lower limit established by the Board; and </w:t>
      </w:r>
    </w:p>
    <w:p w14:paraId="463A3A12" w14:textId="77777777" w:rsidR="00BA1DA6" w:rsidRPr="00BA1DA6" w:rsidRDefault="00BA1DA6" w:rsidP="00C64851">
      <w:pPr>
        <w:pStyle w:val="BodyText"/>
        <w:numPr>
          <w:ilvl w:val="0"/>
          <w:numId w:val="507"/>
        </w:numPr>
      </w:pPr>
      <w:r w:rsidRPr="00BA1DA6">
        <w:t>Child care is required for the parent to work or attend a job training or educational program for a minimum of 25 hours per week for a single-parent family or 50 hours per week for a two-parent family, or a higher number of hours per week as established by the Board (with the exception of families experiencing homelessness whose parents must engage in work, education or training activities at any level). </w:t>
      </w:r>
    </w:p>
    <w:p w14:paraId="27FE1F4A" w14:textId="77777777" w:rsidR="00BA1DA6" w:rsidRPr="00BA1DA6" w:rsidRDefault="00BA1DA6" w:rsidP="00BA1DA6">
      <w:pPr>
        <w:pStyle w:val="BodyText"/>
      </w:pPr>
      <w:r w:rsidRPr="00BA1DA6">
        <w:t>Section C provides a statistical breakdown of children receiving At-Risk CCS. </w:t>
      </w:r>
    </w:p>
    <w:p w14:paraId="1F7A9037" w14:textId="77777777" w:rsidR="00BA1DA6" w:rsidRPr="00BA1DA6" w:rsidRDefault="00BA1DA6" w:rsidP="00887EF9">
      <w:pPr>
        <w:pStyle w:val="BodyText3"/>
      </w:pPr>
      <w:r w:rsidRPr="00BA1DA6">
        <w:t>Priority for Child Care Services </w:t>
      </w:r>
    </w:p>
    <w:p w14:paraId="3571C47B" w14:textId="77777777" w:rsidR="00BA1DA6" w:rsidRPr="00BA1DA6" w:rsidRDefault="00BA1DA6" w:rsidP="00BA1DA6">
      <w:pPr>
        <w:pStyle w:val="BodyText"/>
      </w:pPr>
      <w:proofErr w:type="gramStart"/>
      <w:r w:rsidRPr="00BA1DA6">
        <w:t>Child care</w:t>
      </w:r>
      <w:proofErr w:type="gramEnd"/>
      <w:r w:rsidRPr="00BA1DA6">
        <w:t xml:space="preserve"> services are prioritized among the following three priority groups: </w:t>
      </w:r>
    </w:p>
    <w:p w14:paraId="688B77E0" w14:textId="77777777" w:rsidR="00BA1DA6" w:rsidRPr="00BA1DA6" w:rsidRDefault="00BA1DA6" w:rsidP="00BA1DA6">
      <w:pPr>
        <w:pStyle w:val="BodyText"/>
      </w:pPr>
      <w:r w:rsidRPr="00BA1DA6">
        <w:t xml:space="preserve">The first priority group is assured </w:t>
      </w:r>
      <w:proofErr w:type="gramStart"/>
      <w:r w:rsidRPr="00BA1DA6">
        <w:t>child care</w:t>
      </w:r>
      <w:proofErr w:type="gramEnd"/>
      <w:r w:rsidRPr="00BA1DA6">
        <w:t xml:space="preserve"> services and includes children of parents eligible for the following: </w:t>
      </w:r>
    </w:p>
    <w:p w14:paraId="4982BA5F" w14:textId="77777777" w:rsidR="00BA1DA6" w:rsidRPr="00BA1DA6" w:rsidRDefault="00BA1DA6" w:rsidP="00C64851">
      <w:pPr>
        <w:pStyle w:val="BodyText"/>
        <w:numPr>
          <w:ilvl w:val="0"/>
          <w:numId w:val="545"/>
        </w:numPr>
      </w:pPr>
      <w:r w:rsidRPr="00BA1DA6">
        <w:t>Choices Child Care </w:t>
      </w:r>
    </w:p>
    <w:p w14:paraId="37349ADD" w14:textId="77777777" w:rsidR="00BA1DA6" w:rsidRPr="00BA1DA6" w:rsidRDefault="00BA1DA6" w:rsidP="00C64851">
      <w:pPr>
        <w:pStyle w:val="BodyText"/>
        <w:numPr>
          <w:ilvl w:val="0"/>
          <w:numId w:val="545"/>
        </w:numPr>
      </w:pPr>
      <w:r w:rsidRPr="00BA1DA6">
        <w:t>TANF Applicant Child Care and </w:t>
      </w:r>
    </w:p>
    <w:p w14:paraId="7825EDA5" w14:textId="77777777" w:rsidR="00BA1DA6" w:rsidRPr="00BA1DA6" w:rsidRDefault="00BA1DA6" w:rsidP="00C64851">
      <w:pPr>
        <w:pStyle w:val="BodyText"/>
        <w:numPr>
          <w:ilvl w:val="0"/>
          <w:numId w:val="545"/>
        </w:numPr>
      </w:pPr>
      <w:r w:rsidRPr="00BA1DA6">
        <w:t>SNAP E&amp;T Child Care </w:t>
      </w:r>
    </w:p>
    <w:p w14:paraId="364070F0" w14:textId="77777777" w:rsidR="00BA1DA6" w:rsidRPr="00BA1DA6" w:rsidRDefault="00BA1DA6" w:rsidP="00BA1DA6">
      <w:pPr>
        <w:pStyle w:val="BodyText"/>
      </w:pPr>
      <w:r w:rsidRPr="00BA1DA6">
        <w:t>The second priority group is served subject to the availability of funds and includes, in the order of priority: </w:t>
      </w:r>
    </w:p>
    <w:p w14:paraId="613967A0" w14:textId="77777777" w:rsidR="00BA1DA6" w:rsidRPr="00BA1DA6" w:rsidRDefault="00BA1DA6" w:rsidP="00C64851">
      <w:pPr>
        <w:pStyle w:val="BodyText"/>
        <w:numPr>
          <w:ilvl w:val="0"/>
          <w:numId w:val="546"/>
        </w:numPr>
      </w:pPr>
      <w:r w:rsidRPr="00BA1DA6">
        <w:t>Children in child protective services </w:t>
      </w:r>
    </w:p>
    <w:p w14:paraId="7249470E" w14:textId="77777777" w:rsidR="00BA1DA6" w:rsidRPr="00BA1DA6" w:rsidRDefault="00BA1DA6" w:rsidP="00C64851">
      <w:pPr>
        <w:pStyle w:val="BodyText"/>
        <w:numPr>
          <w:ilvl w:val="0"/>
          <w:numId w:val="546"/>
        </w:numPr>
      </w:pPr>
      <w:r w:rsidRPr="00BA1DA6">
        <w:t>Children of a qualified veteran or qualified spouse </w:t>
      </w:r>
    </w:p>
    <w:p w14:paraId="0037CD70" w14:textId="77777777" w:rsidR="00BA1DA6" w:rsidRPr="00BA1DA6" w:rsidRDefault="00BA1DA6" w:rsidP="00C64851">
      <w:pPr>
        <w:pStyle w:val="BodyText"/>
        <w:numPr>
          <w:ilvl w:val="0"/>
          <w:numId w:val="546"/>
        </w:numPr>
      </w:pPr>
      <w:r w:rsidRPr="00BA1DA6">
        <w:t>Children of a foster youth </w:t>
      </w:r>
    </w:p>
    <w:p w14:paraId="77D10425" w14:textId="77777777" w:rsidR="00BA1DA6" w:rsidRPr="00BA1DA6" w:rsidRDefault="00BA1DA6" w:rsidP="00C64851">
      <w:pPr>
        <w:pStyle w:val="BodyText"/>
        <w:numPr>
          <w:ilvl w:val="0"/>
          <w:numId w:val="546"/>
        </w:numPr>
      </w:pPr>
      <w:r w:rsidRPr="00BA1DA6">
        <w:t xml:space="preserve">Children of parents on military deployment whose parents are unable to enroll in military-funded </w:t>
      </w:r>
      <w:proofErr w:type="gramStart"/>
      <w:r w:rsidRPr="00BA1DA6">
        <w:t>child care</w:t>
      </w:r>
      <w:proofErr w:type="gramEnd"/>
      <w:r w:rsidRPr="00BA1DA6">
        <w:t xml:space="preserve"> assistance programs </w:t>
      </w:r>
    </w:p>
    <w:p w14:paraId="28990411" w14:textId="77777777" w:rsidR="00BA1DA6" w:rsidRPr="00BA1DA6" w:rsidRDefault="00BA1DA6" w:rsidP="00C64851">
      <w:pPr>
        <w:pStyle w:val="BodyText"/>
        <w:numPr>
          <w:ilvl w:val="0"/>
          <w:numId w:val="546"/>
        </w:numPr>
      </w:pPr>
      <w:r w:rsidRPr="00BA1DA6">
        <w:t>Children of teen parents </w:t>
      </w:r>
    </w:p>
    <w:p w14:paraId="113DD55F" w14:textId="77777777" w:rsidR="00BA1DA6" w:rsidRPr="00BA1DA6" w:rsidRDefault="00BA1DA6" w:rsidP="00C64851">
      <w:pPr>
        <w:pStyle w:val="BodyText"/>
        <w:numPr>
          <w:ilvl w:val="0"/>
          <w:numId w:val="546"/>
        </w:numPr>
      </w:pPr>
      <w:r w:rsidRPr="00BA1DA6">
        <w:t>Children with disabilities </w:t>
      </w:r>
    </w:p>
    <w:p w14:paraId="0C2F6526" w14:textId="77777777" w:rsidR="00BA1DA6" w:rsidRPr="00BA1DA6" w:rsidRDefault="00BA1DA6" w:rsidP="00C64851">
      <w:pPr>
        <w:pStyle w:val="BodyText"/>
        <w:numPr>
          <w:ilvl w:val="0"/>
          <w:numId w:val="546"/>
        </w:numPr>
      </w:pPr>
      <w:r w:rsidRPr="00BA1DA6">
        <w:t>Children experiencing homelessness </w:t>
      </w:r>
    </w:p>
    <w:p w14:paraId="114808CC" w14:textId="77777777" w:rsidR="00BA1DA6" w:rsidRPr="00BA1DA6" w:rsidRDefault="00BA1DA6" w:rsidP="00C64851">
      <w:pPr>
        <w:pStyle w:val="BodyText"/>
        <w:numPr>
          <w:ilvl w:val="0"/>
          <w:numId w:val="546"/>
        </w:numPr>
      </w:pPr>
      <w:r w:rsidRPr="00BA1DA6">
        <w:t xml:space="preserve">Children of </w:t>
      </w:r>
      <w:proofErr w:type="gramStart"/>
      <w:r w:rsidRPr="00BA1DA6">
        <w:t>child care</w:t>
      </w:r>
      <w:proofErr w:type="gramEnd"/>
      <w:r w:rsidRPr="00BA1DA6">
        <w:t xml:space="preserve"> workers </w:t>
      </w:r>
    </w:p>
    <w:p w14:paraId="1E16BF17" w14:textId="77777777" w:rsidR="00BA1DA6" w:rsidRPr="00BA1DA6" w:rsidRDefault="00BA1DA6" w:rsidP="00BA1DA6">
      <w:pPr>
        <w:pStyle w:val="BodyText"/>
      </w:pPr>
      <w:r w:rsidRPr="00BA1DA6">
        <w:t>The third priority group includes any other priority adopted by the Board. </w:t>
      </w:r>
    </w:p>
    <w:p w14:paraId="410E090F" w14:textId="77777777" w:rsidR="00BA1DA6" w:rsidRPr="00BA1DA6" w:rsidRDefault="00BA1DA6" w:rsidP="00887EF9">
      <w:pPr>
        <w:pStyle w:val="BodyText3"/>
      </w:pPr>
      <w:r w:rsidRPr="00BA1DA6">
        <w:t>Parent Share of Cost </w:t>
      </w:r>
    </w:p>
    <w:p w14:paraId="527E6A80" w14:textId="77777777" w:rsidR="00BA1DA6" w:rsidRPr="00BA1DA6" w:rsidRDefault="00BA1DA6" w:rsidP="00BA1DA6">
      <w:pPr>
        <w:pStyle w:val="BodyText"/>
      </w:pPr>
      <w:r w:rsidRPr="00BA1DA6">
        <w:lastRenderedPageBreak/>
        <w:t>Federal CCDF regulations (</w:t>
      </w:r>
      <w:hyperlink r:id="rId67" w:anchor="p-98.45(l)" w:tgtFrame="_blank" w:history="1">
        <w:r w:rsidRPr="00BA1DA6">
          <w:rPr>
            <w:rStyle w:val="Hyperlink"/>
          </w:rPr>
          <w:t>45 CFR §98.45(l)</w:t>
        </w:r>
      </w:hyperlink>
      <w:r w:rsidRPr="00BA1DA6">
        <w:t>) and TWC rules (</w:t>
      </w:r>
      <w:hyperlink r:id="rId68" w:tgtFrame="_blank" w:history="1">
        <w:r w:rsidRPr="00BA1DA6">
          <w:rPr>
            <w:rStyle w:val="Hyperlink"/>
          </w:rPr>
          <w:t>40 TAC §809.19</w:t>
        </w:r>
      </w:hyperlink>
      <w:r w:rsidRPr="00BA1DA6">
        <w:t>) require that parents are assessed a parent share of cost for child care services. The assessed parent share of cost must be a sliding fee scale based on the family's size and gross income. The parent share of cost may also take into consideration the number of children in care.  </w:t>
      </w:r>
    </w:p>
    <w:p w14:paraId="68B4A327" w14:textId="77777777" w:rsidR="00BA1DA6" w:rsidRPr="00BA1DA6" w:rsidRDefault="00BA1DA6" w:rsidP="00BA1DA6">
      <w:pPr>
        <w:pStyle w:val="BodyText"/>
      </w:pPr>
      <w:r w:rsidRPr="00BA1DA6">
        <w:t>In 2024, CCDF regulations, and subsequently TWC rules, were amended to limit the parent share of cost to 7 percent of the family income, regardless of the number of children in care. </w:t>
      </w:r>
    </w:p>
    <w:p w14:paraId="68183042" w14:textId="77777777" w:rsidR="00BA1DA6" w:rsidRPr="00BA1DA6" w:rsidRDefault="00BA1DA6" w:rsidP="00BA1DA6">
      <w:pPr>
        <w:pStyle w:val="BodyText"/>
      </w:pPr>
      <w:r w:rsidRPr="00BA1DA6">
        <w:t>Federal CCDF regulations allow the parent share of cost to be waived for families below 100 percent of federal poverty guidelines and for caretakers of children receiving protective services. TWC waives the parent share of cost for the following: </w:t>
      </w:r>
    </w:p>
    <w:p w14:paraId="0300316B" w14:textId="77777777" w:rsidR="00BA1DA6" w:rsidRPr="00BA1DA6" w:rsidRDefault="00BA1DA6" w:rsidP="00C64851">
      <w:pPr>
        <w:pStyle w:val="BodyText"/>
        <w:numPr>
          <w:ilvl w:val="0"/>
          <w:numId w:val="547"/>
        </w:numPr>
      </w:pPr>
      <w:r w:rsidRPr="00BA1DA6">
        <w:t>Parents who are participating in Choices </w:t>
      </w:r>
    </w:p>
    <w:p w14:paraId="39747664" w14:textId="77777777" w:rsidR="00BA1DA6" w:rsidRPr="00BA1DA6" w:rsidRDefault="00BA1DA6" w:rsidP="00C64851">
      <w:pPr>
        <w:pStyle w:val="BodyText"/>
        <w:numPr>
          <w:ilvl w:val="0"/>
          <w:numId w:val="547"/>
        </w:numPr>
      </w:pPr>
      <w:r w:rsidRPr="00BA1DA6">
        <w:t>Parents who are participating in SNAP E&amp;T services </w:t>
      </w:r>
    </w:p>
    <w:p w14:paraId="43EEADBA" w14:textId="77777777" w:rsidR="00BA1DA6" w:rsidRPr="00BA1DA6" w:rsidRDefault="00BA1DA6" w:rsidP="00C64851">
      <w:pPr>
        <w:pStyle w:val="BodyText"/>
        <w:numPr>
          <w:ilvl w:val="0"/>
          <w:numId w:val="547"/>
        </w:numPr>
      </w:pPr>
      <w:r w:rsidRPr="00BA1DA6">
        <w:t>Parents of a child experiencing homelessness </w:t>
      </w:r>
    </w:p>
    <w:p w14:paraId="368B896B" w14:textId="77777777" w:rsidR="00BA1DA6" w:rsidRPr="00BA1DA6" w:rsidRDefault="00BA1DA6" w:rsidP="00C64851">
      <w:pPr>
        <w:pStyle w:val="BodyText"/>
        <w:numPr>
          <w:ilvl w:val="0"/>
          <w:numId w:val="547"/>
        </w:numPr>
      </w:pPr>
      <w:r w:rsidRPr="00BA1DA6">
        <w:t>Parents who have children who are receiving protective services, unless DFPS assesses the parent share of cost </w:t>
      </w:r>
    </w:p>
    <w:p w14:paraId="4CD7636F" w14:textId="77777777" w:rsidR="00BA1DA6" w:rsidRPr="00BA1DA6" w:rsidRDefault="00BA1DA6" w:rsidP="00887EF9">
      <w:pPr>
        <w:pStyle w:val="BodyText3"/>
      </w:pPr>
      <w:r w:rsidRPr="00BA1DA6">
        <w:t>Provider Eligibility </w:t>
      </w:r>
    </w:p>
    <w:p w14:paraId="7E0E8751" w14:textId="77777777" w:rsidR="00BA1DA6" w:rsidRPr="00BA1DA6" w:rsidRDefault="00BA1DA6" w:rsidP="00BA1DA6">
      <w:pPr>
        <w:pStyle w:val="BodyText"/>
      </w:pPr>
      <w:r w:rsidRPr="00BA1DA6">
        <w:t xml:space="preserve">To provide CCS, </w:t>
      </w:r>
      <w:proofErr w:type="gramStart"/>
      <w:r w:rsidRPr="00BA1DA6">
        <w:t>child care</w:t>
      </w:r>
      <w:proofErr w:type="gramEnd"/>
      <w:r w:rsidRPr="00BA1DA6">
        <w:t xml:space="preserve"> providers must be: </w:t>
      </w:r>
    </w:p>
    <w:p w14:paraId="0E6A2125" w14:textId="77777777" w:rsidR="00BA1DA6" w:rsidRPr="00BA1DA6" w:rsidRDefault="00BA1DA6" w:rsidP="00C64851">
      <w:pPr>
        <w:pStyle w:val="BodyText"/>
        <w:numPr>
          <w:ilvl w:val="0"/>
          <w:numId w:val="508"/>
        </w:numPr>
      </w:pPr>
      <w:r w:rsidRPr="00BA1DA6">
        <w:t>Child Care Centers licensed by Child Care Regulations (CCR) </w:t>
      </w:r>
    </w:p>
    <w:p w14:paraId="18863F84" w14:textId="77777777" w:rsidR="00BA1DA6" w:rsidRPr="00BA1DA6" w:rsidRDefault="00BA1DA6" w:rsidP="00C64851">
      <w:pPr>
        <w:pStyle w:val="BodyText"/>
        <w:numPr>
          <w:ilvl w:val="0"/>
          <w:numId w:val="509"/>
        </w:numPr>
      </w:pPr>
      <w:r w:rsidRPr="00BA1DA6">
        <w:t>Child Care Homes licensed by CCR, or  </w:t>
      </w:r>
    </w:p>
    <w:p w14:paraId="713F71D5" w14:textId="77777777" w:rsidR="00BA1DA6" w:rsidRPr="00BA1DA6" w:rsidRDefault="00BA1DA6" w:rsidP="00C64851">
      <w:pPr>
        <w:pStyle w:val="BodyText"/>
        <w:numPr>
          <w:ilvl w:val="0"/>
          <w:numId w:val="510"/>
        </w:numPr>
      </w:pPr>
      <w:r w:rsidRPr="00BA1DA6">
        <w:t>Child Care Homes registered by CCR </w:t>
      </w:r>
    </w:p>
    <w:p w14:paraId="349C0900" w14:textId="77777777" w:rsidR="00BA1DA6" w:rsidRPr="00BA1DA6" w:rsidRDefault="00BA1DA6" w:rsidP="00BA1DA6">
      <w:pPr>
        <w:pStyle w:val="BodyText"/>
      </w:pPr>
      <w:proofErr w:type="gramStart"/>
      <w:r w:rsidRPr="00BA1DA6">
        <w:t>Child care</w:t>
      </w:r>
      <w:proofErr w:type="gramEnd"/>
      <w:r w:rsidRPr="00BA1DA6">
        <w:t xml:space="preserve"> providers regulated by CCR must also meet the Texas Rising Star requirements as a certified provider or designated as an Entry Level provider.  </w:t>
      </w:r>
    </w:p>
    <w:p w14:paraId="61120822" w14:textId="77777777" w:rsidR="00BA1DA6" w:rsidRPr="00BA1DA6" w:rsidRDefault="00BA1DA6" w:rsidP="00BA1DA6">
      <w:pPr>
        <w:pStyle w:val="BodyText"/>
      </w:pPr>
      <w:proofErr w:type="gramStart"/>
      <w:r w:rsidRPr="00BA1DA6">
        <w:t>Child care</w:t>
      </w:r>
      <w:proofErr w:type="gramEnd"/>
      <w:r w:rsidRPr="00BA1DA6">
        <w:t xml:space="preserve"> providers operated by the U.S. military are also eligible to provide CCS. </w:t>
      </w:r>
    </w:p>
    <w:p w14:paraId="0BCEF6F7" w14:textId="123B52B0" w:rsidR="00BA1DA6" w:rsidRPr="00BA1DA6" w:rsidRDefault="00BA1DA6" w:rsidP="00BA1DA6">
      <w:pPr>
        <w:pStyle w:val="BodyText"/>
      </w:pPr>
      <w:r w:rsidRPr="00BA1DA6">
        <w:t>In Board Contract Year (BCY) 2024 a total of 8,053 licensed and registered child care providers served CCS children</w:t>
      </w:r>
      <w:r w:rsidR="00B36B11">
        <w:t xml:space="preserve"> as set out in the following </w:t>
      </w:r>
      <w:r w:rsidR="00A43902">
        <w:t>data chart as found on</w:t>
      </w:r>
      <w:r w:rsidR="00C30BA9">
        <w:t xml:space="preserve">line at </w:t>
      </w:r>
      <w:hyperlink r:id="rId69" w:history="1">
        <w:r w:rsidRPr="00BA1DA6">
          <w:rPr>
            <w:rStyle w:val="Hyperlink"/>
          </w:rPr>
          <w:t>Child Care by the Numbers</w:t>
        </w:r>
      </w:hyperlink>
      <w:r w:rsidR="001E5181">
        <w:t>.</w:t>
      </w:r>
    </w:p>
    <w:tbl>
      <w:tblPr>
        <w:tblStyle w:val="TableGrid1"/>
        <w:tblW w:w="9625" w:type="dxa"/>
        <w:tblLayout w:type="fixed"/>
        <w:tblCellMar>
          <w:top w:w="58" w:type="dxa"/>
          <w:bottom w:w="58" w:type="dxa"/>
        </w:tblCellMar>
        <w:tblLook w:val="04A0" w:firstRow="1" w:lastRow="0" w:firstColumn="1" w:lastColumn="0" w:noHBand="0" w:noVBand="1"/>
      </w:tblPr>
      <w:tblGrid>
        <w:gridCol w:w="805"/>
        <w:gridCol w:w="990"/>
        <w:gridCol w:w="990"/>
        <w:gridCol w:w="990"/>
        <w:gridCol w:w="990"/>
        <w:gridCol w:w="1080"/>
        <w:gridCol w:w="1170"/>
        <w:gridCol w:w="810"/>
        <w:gridCol w:w="810"/>
        <w:gridCol w:w="990"/>
      </w:tblGrid>
      <w:tr w:rsidR="00BD04D4" w:rsidRPr="00BD04D4" w14:paraId="295AE957" w14:textId="77777777" w:rsidTr="00BD04D4">
        <w:trPr>
          <w:trHeight w:val="300"/>
          <w:tblHeader/>
        </w:trPr>
        <w:tc>
          <w:tcPr>
            <w:tcW w:w="805" w:type="dxa"/>
            <w:shd w:val="clear" w:color="auto" w:fill="B8CCE4" w:themeFill="accent1" w:themeFillTint="66"/>
            <w:vAlign w:val="center"/>
            <w:hideMark/>
          </w:tcPr>
          <w:p w14:paraId="1DE529D0" w14:textId="325BF88B" w:rsidR="00BA1DA6" w:rsidRPr="00BD04D4" w:rsidRDefault="00BA1DA6" w:rsidP="001E5181">
            <w:pPr>
              <w:pStyle w:val="TableHeaders"/>
              <w:rPr>
                <w:rFonts w:cs="Arial"/>
                <w:sz w:val="16"/>
                <w:szCs w:val="16"/>
              </w:rPr>
            </w:pPr>
            <w:r w:rsidRPr="00BD04D4">
              <w:rPr>
                <w:rFonts w:cs="Arial"/>
                <w:sz w:val="16"/>
                <w:szCs w:val="16"/>
              </w:rPr>
              <w:t>Year</w:t>
            </w:r>
          </w:p>
        </w:tc>
        <w:tc>
          <w:tcPr>
            <w:tcW w:w="990" w:type="dxa"/>
            <w:shd w:val="clear" w:color="auto" w:fill="B8CCE4" w:themeFill="accent1" w:themeFillTint="66"/>
            <w:vAlign w:val="center"/>
            <w:hideMark/>
          </w:tcPr>
          <w:p w14:paraId="7B81E05C" w14:textId="0D5AAE49" w:rsidR="00BA1DA6" w:rsidRPr="00BD04D4" w:rsidRDefault="00BA1DA6" w:rsidP="001E5181">
            <w:pPr>
              <w:pStyle w:val="TableHeaders"/>
              <w:rPr>
                <w:rFonts w:cs="Arial"/>
                <w:sz w:val="16"/>
                <w:szCs w:val="16"/>
              </w:rPr>
            </w:pPr>
            <w:r w:rsidRPr="00BD04D4">
              <w:rPr>
                <w:rFonts w:cs="Arial"/>
                <w:sz w:val="16"/>
                <w:szCs w:val="16"/>
              </w:rPr>
              <w:t>Licensed Child Care Centers</w:t>
            </w:r>
          </w:p>
        </w:tc>
        <w:tc>
          <w:tcPr>
            <w:tcW w:w="990" w:type="dxa"/>
            <w:shd w:val="clear" w:color="auto" w:fill="B8CCE4" w:themeFill="accent1" w:themeFillTint="66"/>
            <w:vAlign w:val="center"/>
            <w:hideMark/>
          </w:tcPr>
          <w:p w14:paraId="4089146B" w14:textId="6ADCEC6D" w:rsidR="00BA1DA6" w:rsidRPr="00BD04D4" w:rsidRDefault="00BA1DA6" w:rsidP="001E5181">
            <w:pPr>
              <w:pStyle w:val="TableHeaders"/>
              <w:rPr>
                <w:rFonts w:cs="Arial"/>
                <w:sz w:val="16"/>
                <w:szCs w:val="16"/>
              </w:rPr>
            </w:pPr>
            <w:r w:rsidRPr="00BD04D4">
              <w:rPr>
                <w:rFonts w:cs="Arial"/>
                <w:sz w:val="16"/>
                <w:szCs w:val="16"/>
              </w:rPr>
              <w:t>Percent Licensed Child Care Centers</w:t>
            </w:r>
          </w:p>
        </w:tc>
        <w:tc>
          <w:tcPr>
            <w:tcW w:w="990" w:type="dxa"/>
            <w:shd w:val="clear" w:color="auto" w:fill="B8CCE4" w:themeFill="accent1" w:themeFillTint="66"/>
            <w:vAlign w:val="center"/>
            <w:hideMark/>
          </w:tcPr>
          <w:p w14:paraId="65E13565" w14:textId="3866FD7F" w:rsidR="00BA1DA6" w:rsidRPr="00BD04D4" w:rsidRDefault="00BA1DA6" w:rsidP="001E5181">
            <w:pPr>
              <w:pStyle w:val="TableHeaders"/>
              <w:rPr>
                <w:rFonts w:cs="Arial"/>
                <w:sz w:val="16"/>
                <w:szCs w:val="16"/>
              </w:rPr>
            </w:pPr>
            <w:r w:rsidRPr="00BD04D4">
              <w:rPr>
                <w:rFonts w:cs="Arial"/>
                <w:sz w:val="16"/>
                <w:szCs w:val="16"/>
              </w:rPr>
              <w:t>Licensed Child Care Homes</w:t>
            </w:r>
          </w:p>
        </w:tc>
        <w:tc>
          <w:tcPr>
            <w:tcW w:w="990" w:type="dxa"/>
            <w:shd w:val="clear" w:color="auto" w:fill="B8CCE4" w:themeFill="accent1" w:themeFillTint="66"/>
            <w:vAlign w:val="center"/>
            <w:hideMark/>
          </w:tcPr>
          <w:p w14:paraId="0BCA4C72" w14:textId="6217BA31" w:rsidR="00BA1DA6" w:rsidRPr="00BD04D4" w:rsidRDefault="00BA1DA6" w:rsidP="001E5181">
            <w:pPr>
              <w:pStyle w:val="TableHeaders"/>
              <w:rPr>
                <w:rFonts w:cs="Arial"/>
                <w:sz w:val="16"/>
                <w:szCs w:val="16"/>
              </w:rPr>
            </w:pPr>
            <w:r w:rsidRPr="00BD04D4">
              <w:rPr>
                <w:rFonts w:cs="Arial"/>
                <w:sz w:val="16"/>
                <w:szCs w:val="16"/>
              </w:rPr>
              <w:t>Percent Licensed Child Care Homes</w:t>
            </w:r>
          </w:p>
        </w:tc>
        <w:tc>
          <w:tcPr>
            <w:tcW w:w="1080" w:type="dxa"/>
            <w:shd w:val="clear" w:color="auto" w:fill="B8CCE4" w:themeFill="accent1" w:themeFillTint="66"/>
            <w:vAlign w:val="center"/>
            <w:hideMark/>
          </w:tcPr>
          <w:p w14:paraId="6AE36257" w14:textId="434EC776" w:rsidR="00BA1DA6" w:rsidRPr="00BD04D4" w:rsidRDefault="00BA1DA6" w:rsidP="001E5181">
            <w:pPr>
              <w:pStyle w:val="TableHeaders"/>
              <w:rPr>
                <w:rFonts w:cs="Arial"/>
                <w:sz w:val="16"/>
                <w:szCs w:val="16"/>
              </w:rPr>
            </w:pPr>
            <w:r w:rsidRPr="00BD04D4">
              <w:rPr>
                <w:rFonts w:cs="Arial"/>
                <w:sz w:val="16"/>
                <w:szCs w:val="16"/>
              </w:rPr>
              <w:t>Registered Child Care Homes</w:t>
            </w:r>
          </w:p>
        </w:tc>
        <w:tc>
          <w:tcPr>
            <w:tcW w:w="1170" w:type="dxa"/>
            <w:shd w:val="clear" w:color="auto" w:fill="B8CCE4" w:themeFill="accent1" w:themeFillTint="66"/>
            <w:vAlign w:val="center"/>
            <w:hideMark/>
          </w:tcPr>
          <w:p w14:paraId="304094E6" w14:textId="4046D5A8" w:rsidR="00BA1DA6" w:rsidRPr="00BD04D4" w:rsidRDefault="00BA1DA6" w:rsidP="001E5181">
            <w:pPr>
              <w:pStyle w:val="TableHeaders"/>
              <w:rPr>
                <w:rFonts w:cs="Arial"/>
                <w:sz w:val="16"/>
                <w:szCs w:val="16"/>
              </w:rPr>
            </w:pPr>
            <w:r w:rsidRPr="00BD04D4">
              <w:rPr>
                <w:rFonts w:cs="Arial"/>
                <w:sz w:val="16"/>
                <w:szCs w:val="16"/>
              </w:rPr>
              <w:t>Percent Registered Child Care Homes</w:t>
            </w:r>
          </w:p>
        </w:tc>
        <w:tc>
          <w:tcPr>
            <w:tcW w:w="810" w:type="dxa"/>
            <w:shd w:val="clear" w:color="auto" w:fill="B8CCE4" w:themeFill="accent1" w:themeFillTint="66"/>
            <w:vAlign w:val="center"/>
            <w:hideMark/>
          </w:tcPr>
          <w:p w14:paraId="389D079C" w14:textId="787F550F" w:rsidR="00BA1DA6" w:rsidRPr="00BD04D4" w:rsidRDefault="00BA1DA6" w:rsidP="001E5181">
            <w:pPr>
              <w:pStyle w:val="TableHeaders"/>
              <w:rPr>
                <w:rFonts w:cs="Arial"/>
                <w:sz w:val="16"/>
                <w:szCs w:val="16"/>
              </w:rPr>
            </w:pPr>
            <w:r w:rsidRPr="00BD04D4">
              <w:rPr>
                <w:rFonts w:cs="Arial"/>
                <w:sz w:val="16"/>
                <w:szCs w:val="16"/>
              </w:rPr>
              <w:t>Military</w:t>
            </w:r>
          </w:p>
        </w:tc>
        <w:tc>
          <w:tcPr>
            <w:tcW w:w="810" w:type="dxa"/>
            <w:shd w:val="clear" w:color="auto" w:fill="B8CCE4" w:themeFill="accent1" w:themeFillTint="66"/>
            <w:vAlign w:val="center"/>
            <w:hideMark/>
          </w:tcPr>
          <w:p w14:paraId="7B39AD28" w14:textId="47EF2825" w:rsidR="00BA1DA6" w:rsidRPr="00BD04D4" w:rsidRDefault="00BA1DA6" w:rsidP="001E5181">
            <w:pPr>
              <w:pStyle w:val="TableHeaders"/>
              <w:rPr>
                <w:rFonts w:cs="Arial"/>
                <w:sz w:val="16"/>
                <w:szCs w:val="16"/>
              </w:rPr>
            </w:pPr>
            <w:r w:rsidRPr="00BD04D4">
              <w:rPr>
                <w:rFonts w:cs="Arial"/>
                <w:sz w:val="16"/>
                <w:szCs w:val="16"/>
              </w:rPr>
              <w:t>Percent Military</w:t>
            </w:r>
          </w:p>
        </w:tc>
        <w:tc>
          <w:tcPr>
            <w:tcW w:w="990" w:type="dxa"/>
            <w:shd w:val="clear" w:color="auto" w:fill="B8CCE4" w:themeFill="accent1" w:themeFillTint="66"/>
            <w:vAlign w:val="center"/>
            <w:hideMark/>
          </w:tcPr>
          <w:p w14:paraId="6EB4CE4A" w14:textId="3CE3EB7C" w:rsidR="00BA1DA6" w:rsidRPr="00BD04D4" w:rsidRDefault="00BA1DA6" w:rsidP="001E5181">
            <w:pPr>
              <w:pStyle w:val="TableHeaders"/>
              <w:rPr>
                <w:rFonts w:cs="Arial"/>
                <w:sz w:val="16"/>
                <w:szCs w:val="16"/>
              </w:rPr>
            </w:pPr>
            <w:r w:rsidRPr="00BD04D4">
              <w:rPr>
                <w:rFonts w:cs="Arial"/>
                <w:sz w:val="16"/>
                <w:szCs w:val="16"/>
              </w:rPr>
              <w:t>Total Providers</w:t>
            </w:r>
          </w:p>
        </w:tc>
      </w:tr>
      <w:tr w:rsidR="00415FA5" w:rsidRPr="00E10202" w14:paraId="74059394" w14:textId="77777777" w:rsidTr="00BD04D4">
        <w:trPr>
          <w:trHeight w:val="300"/>
        </w:trPr>
        <w:tc>
          <w:tcPr>
            <w:tcW w:w="805" w:type="dxa"/>
            <w:vAlign w:val="center"/>
            <w:hideMark/>
          </w:tcPr>
          <w:p w14:paraId="1FB67D35" w14:textId="2A645DA8" w:rsidR="00BA1DA6" w:rsidRPr="00E10202" w:rsidRDefault="00BA1DA6" w:rsidP="00E10202">
            <w:pPr>
              <w:pStyle w:val="TableText"/>
              <w:rPr>
                <w:rFonts w:cs="Arial"/>
                <w:sz w:val="17"/>
                <w:szCs w:val="17"/>
              </w:rPr>
            </w:pPr>
            <w:r w:rsidRPr="00E10202">
              <w:rPr>
                <w:rFonts w:cs="Arial"/>
                <w:sz w:val="17"/>
                <w:szCs w:val="17"/>
              </w:rPr>
              <w:t>BCY15</w:t>
            </w:r>
          </w:p>
        </w:tc>
        <w:tc>
          <w:tcPr>
            <w:tcW w:w="990" w:type="dxa"/>
            <w:vAlign w:val="center"/>
            <w:hideMark/>
          </w:tcPr>
          <w:p w14:paraId="36EE227C" w14:textId="77777777" w:rsidR="00BA1DA6" w:rsidRPr="00E10202" w:rsidRDefault="00BA1DA6" w:rsidP="007C3893">
            <w:pPr>
              <w:pStyle w:val="TableText"/>
              <w:jc w:val="right"/>
              <w:rPr>
                <w:rFonts w:cs="Arial"/>
                <w:sz w:val="17"/>
                <w:szCs w:val="17"/>
              </w:rPr>
            </w:pPr>
            <w:r w:rsidRPr="00E10202">
              <w:rPr>
                <w:rFonts w:cs="Arial"/>
                <w:sz w:val="17"/>
                <w:szCs w:val="17"/>
              </w:rPr>
              <w:t>6,047 </w:t>
            </w:r>
          </w:p>
        </w:tc>
        <w:tc>
          <w:tcPr>
            <w:tcW w:w="990" w:type="dxa"/>
            <w:vAlign w:val="center"/>
            <w:hideMark/>
          </w:tcPr>
          <w:p w14:paraId="68ADCCC8" w14:textId="77777777" w:rsidR="00BA1DA6" w:rsidRPr="00E10202" w:rsidRDefault="00BA1DA6" w:rsidP="007C3893">
            <w:pPr>
              <w:pStyle w:val="TableText"/>
              <w:jc w:val="right"/>
              <w:rPr>
                <w:rFonts w:cs="Arial"/>
                <w:sz w:val="17"/>
                <w:szCs w:val="17"/>
              </w:rPr>
            </w:pPr>
            <w:r w:rsidRPr="00E10202">
              <w:rPr>
                <w:rFonts w:cs="Arial"/>
                <w:sz w:val="17"/>
                <w:szCs w:val="17"/>
              </w:rPr>
              <w:t>78.4% </w:t>
            </w:r>
          </w:p>
        </w:tc>
        <w:tc>
          <w:tcPr>
            <w:tcW w:w="990" w:type="dxa"/>
            <w:vAlign w:val="center"/>
            <w:hideMark/>
          </w:tcPr>
          <w:p w14:paraId="6E95F769" w14:textId="77777777" w:rsidR="00BA1DA6" w:rsidRPr="00E10202" w:rsidRDefault="00BA1DA6" w:rsidP="007C3893">
            <w:pPr>
              <w:pStyle w:val="TableText"/>
              <w:jc w:val="right"/>
              <w:rPr>
                <w:rFonts w:cs="Arial"/>
                <w:sz w:val="17"/>
                <w:szCs w:val="17"/>
              </w:rPr>
            </w:pPr>
            <w:r w:rsidRPr="00E10202">
              <w:rPr>
                <w:rFonts w:cs="Arial"/>
                <w:sz w:val="17"/>
                <w:szCs w:val="17"/>
              </w:rPr>
              <w:t>697 </w:t>
            </w:r>
          </w:p>
        </w:tc>
        <w:tc>
          <w:tcPr>
            <w:tcW w:w="990" w:type="dxa"/>
            <w:vAlign w:val="center"/>
            <w:hideMark/>
          </w:tcPr>
          <w:p w14:paraId="0A41606C" w14:textId="77777777" w:rsidR="00BA1DA6" w:rsidRPr="00E10202" w:rsidRDefault="00BA1DA6" w:rsidP="007C3893">
            <w:pPr>
              <w:pStyle w:val="TableText"/>
              <w:jc w:val="right"/>
              <w:rPr>
                <w:rFonts w:cs="Arial"/>
                <w:sz w:val="17"/>
                <w:szCs w:val="17"/>
              </w:rPr>
            </w:pPr>
            <w:r w:rsidRPr="00E10202">
              <w:rPr>
                <w:rFonts w:cs="Arial"/>
                <w:sz w:val="17"/>
                <w:szCs w:val="17"/>
              </w:rPr>
              <w:t>9.0% </w:t>
            </w:r>
          </w:p>
        </w:tc>
        <w:tc>
          <w:tcPr>
            <w:tcW w:w="1080" w:type="dxa"/>
            <w:vAlign w:val="center"/>
            <w:hideMark/>
          </w:tcPr>
          <w:p w14:paraId="091CCAA8" w14:textId="77777777" w:rsidR="00BA1DA6" w:rsidRPr="00E10202" w:rsidRDefault="00BA1DA6" w:rsidP="007C3893">
            <w:pPr>
              <w:pStyle w:val="TableText"/>
              <w:jc w:val="right"/>
              <w:rPr>
                <w:rFonts w:cs="Arial"/>
                <w:sz w:val="17"/>
                <w:szCs w:val="17"/>
              </w:rPr>
            </w:pPr>
            <w:r w:rsidRPr="00E10202">
              <w:rPr>
                <w:rFonts w:cs="Arial"/>
                <w:sz w:val="17"/>
                <w:szCs w:val="17"/>
              </w:rPr>
              <w:t>948 </w:t>
            </w:r>
          </w:p>
        </w:tc>
        <w:tc>
          <w:tcPr>
            <w:tcW w:w="1170" w:type="dxa"/>
            <w:vAlign w:val="center"/>
            <w:hideMark/>
          </w:tcPr>
          <w:p w14:paraId="30974415" w14:textId="77777777" w:rsidR="00BA1DA6" w:rsidRPr="00E10202" w:rsidRDefault="00BA1DA6" w:rsidP="007C3893">
            <w:pPr>
              <w:pStyle w:val="TableText"/>
              <w:jc w:val="right"/>
              <w:rPr>
                <w:rFonts w:cs="Arial"/>
                <w:sz w:val="17"/>
                <w:szCs w:val="17"/>
              </w:rPr>
            </w:pPr>
            <w:r w:rsidRPr="00E10202">
              <w:rPr>
                <w:rFonts w:cs="Arial"/>
                <w:sz w:val="17"/>
                <w:szCs w:val="17"/>
              </w:rPr>
              <w:t>12.3% </w:t>
            </w:r>
          </w:p>
        </w:tc>
        <w:tc>
          <w:tcPr>
            <w:tcW w:w="810" w:type="dxa"/>
            <w:vAlign w:val="center"/>
            <w:hideMark/>
          </w:tcPr>
          <w:p w14:paraId="361BA42F" w14:textId="77777777" w:rsidR="00BA1DA6" w:rsidRPr="00E10202" w:rsidRDefault="00BA1DA6" w:rsidP="007C3893">
            <w:pPr>
              <w:pStyle w:val="TableText"/>
              <w:jc w:val="right"/>
              <w:rPr>
                <w:rFonts w:cs="Arial"/>
                <w:sz w:val="17"/>
                <w:szCs w:val="17"/>
              </w:rPr>
            </w:pPr>
            <w:r w:rsidRPr="00E10202">
              <w:rPr>
                <w:rFonts w:cs="Arial"/>
                <w:sz w:val="17"/>
                <w:szCs w:val="17"/>
              </w:rPr>
              <w:t>23 </w:t>
            </w:r>
          </w:p>
        </w:tc>
        <w:tc>
          <w:tcPr>
            <w:tcW w:w="810" w:type="dxa"/>
            <w:vAlign w:val="center"/>
            <w:hideMark/>
          </w:tcPr>
          <w:p w14:paraId="5D766EA6"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237FAC66" w14:textId="77777777" w:rsidR="00BA1DA6" w:rsidRPr="00E10202" w:rsidRDefault="00BA1DA6" w:rsidP="007C3893">
            <w:pPr>
              <w:pStyle w:val="TableText"/>
              <w:jc w:val="right"/>
              <w:rPr>
                <w:rFonts w:cs="Arial"/>
                <w:sz w:val="17"/>
                <w:szCs w:val="17"/>
              </w:rPr>
            </w:pPr>
            <w:r w:rsidRPr="00E10202">
              <w:rPr>
                <w:rFonts w:cs="Arial"/>
                <w:sz w:val="17"/>
                <w:szCs w:val="17"/>
              </w:rPr>
              <w:t>7,715 </w:t>
            </w:r>
          </w:p>
        </w:tc>
      </w:tr>
      <w:tr w:rsidR="00415FA5" w:rsidRPr="00E10202" w14:paraId="6B8C8F04" w14:textId="77777777" w:rsidTr="00BD04D4">
        <w:trPr>
          <w:trHeight w:val="300"/>
        </w:trPr>
        <w:tc>
          <w:tcPr>
            <w:tcW w:w="805" w:type="dxa"/>
            <w:vAlign w:val="center"/>
            <w:hideMark/>
          </w:tcPr>
          <w:p w14:paraId="14FB7C65" w14:textId="6769CD65" w:rsidR="00BA1DA6" w:rsidRPr="00E10202" w:rsidRDefault="00BA1DA6" w:rsidP="00E10202">
            <w:pPr>
              <w:pStyle w:val="TableText"/>
              <w:rPr>
                <w:rFonts w:cs="Arial"/>
                <w:sz w:val="17"/>
                <w:szCs w:val="17"/>
              </w:rPr>
            </w:pPr>
            <w:r w:rsidRPr="00E10202">
              <w:rPr>
                <w:rFonts w:cs="Arial"/>
                <w:sz w:val="17"/>
                <w:szCs w:val="17"/>
              </w:rPr>
              <w:lastRenderedPageBreak/>
              <w:t>BCY16</w:t>
            </w:r>
          </w:p>
        </w:tc>
        <w:tc>
          <w:tcPr>
            <w:tcW w:w="990" w:type="dxa"/>
            <w:vAlign w:val="center"/>
            <w:hideMark/>
          </w:tcPr>
          <w:p w14:paraId="0EDFEA43" w14:textId="77777777" w:rsidR="00BA1DA6" w:rsidRPr="00E10202" w:rsidRDefault="00BA1DA6" w:rsidP="007C3893">
            <w:pPr>
              <w:pStyle w:val="TableText"/>
              <w:jc w:val="right"/>
              <w:rPr>
                <w:rFonts w:cs="Arial"/>
                <w:sz w:val="17"/>
                <w:szCs w:val="17"/>
              </w:rPr>
            </w:pPr>
            <w:r w:rsidRPr="00E10202">
              <w:rPr>
                <w:rFonts w:cs="Arial"/>
                <w:sz w:val="17"/>
                <w:szCs w:val="17"/>
              </w:rPr>
              <w:t>5,978 </w:t>
            </w:r>
          </w:p>
        </w:tc>
        <w:tc>
          <w:tcPr>
            <w:tcW w:w="990" w:type="dxa"/>
            <w:vAlign w:val="center"/>
            <w:hideMark/>
          </w:tcPr>
          <w:p w14:paraId="3F2ACF53" w14:textId="77777777" w:rsidR="00BA1DA6" w:rsidRPr="00E10202" w:rsidRDefault="00BA1DA6" w:rsidP="007C3893">
            <w:pPr>
              <w:pStyle w:val="TableText"/>
              <w:jc w:val="right"/>
              <w:rPr>
                <w:rFonts w:cs="Arial"/>
                <w:sz w:val="17"/>
                <w:szCs w:val="17"/>
              </w:rPr>
            </w:pPr>
            <w:r w:rsidRPr="00E10202">
              <w:rPr>
                <w:rFonts w:cs="Arial"/>
                <w:sz w:val="17"/>
                <w:szCs w:val="17"/>
              </w:rPr>
              <w:t>79.4% </w:t>
            </w:r>
          </w:p>
        </w:tc>
        <w:tc>
          <w:tcPr>
            <w:tcW w:w="990" w:type="dxa"/>
            <w:vAlign w:val="center"/>
            <w:hideMark/>
          </w:tcPr>
          <w:p w14:paraId="68608BD3" w14:textId="77777777" w:rsidR="00BA1DA6" w:rsidRPr="00E10202" w:rsidRDefault="00BA1DA6" w:rsidP="007C3893">
            <w:pPr>
              <w:pStyle w:val="TableText"/>
              <w:jc w:val="right"/>
              <w:rPr>
                <w:rFonts w:cs="Arial"/>
                <w:sz w:val="17"/>
                <w:szCs w:val="17"/>
              </w:rPr>
            </w:pPr>
            <w:r w:rsidRPr="00E10202">
              <w:rPr>
                <w:rFonts w:cs="Arial"/>
                <w:sz w:val="17"/>
                <w:szCs w:val="17"/>
              </w:rPr>
              <w:t>688 </w:t>
            </w:r>
          </w:p>
        </w:tc>
        <w:tc>
          <w:tcPr>
            <w:tcW w:w="990" w:type="dxa"/>
            <w:vAlign w:val="center"/>
            <w:hideMark/>
          </w:tcPr>
          <w:p w14:paraId="5AE11456" w14:textId="77777777" w:rsidR="00BA1DA6" w:rsidRPr="00E10202" w:rsidRDefault="00BA1DA6" w:rsidP="007C3893">
            <w:pPr>
              <w:pStyle w:val="TableText"/>
              <w:jc w:val="right"/>
              <w:rPr>
                <w:rFonts w:cs="Arial"/>
                <w:sz w:val="17"/>
                <w:szCs w:val="17"/>
              </w:rPr>
            </w:pPr>
            <w:r w:rsidRPr="00E10202">
              <w:rPr>
                <w:rFonts w:cs="Arial"/>
                <w:sz w:val="17"/>
                <w:szCs w:val="17"/>
              </w:rPr>
              <w:t>9.1% </w:t>
            </w:r>
          </w:p>
        </w:tc>
        <w:tc>
          <w:tcPr>
            <w:tcW w:w="1080" w:type="dxa"/>
            <w:vAlign w:val="center"/>
            <w:hideMark/>
          </w:tcPr>
          <w:p w14:paraId="07D61CA9" w14:textId="77777777" w:rsidR="00BA1DA6" w:rsidRPr="00E10202" w:rsidRDefault="00BA1DA6" w:rsidP="007C3893">
            <w:pPr>
              <w:pStyle w:val="TableText"/>
              <w:jc w:val="right"/>
              <w:rPr>
                <w:rFonts w:cs="Arial"/>
                <w:sz w:val="17"/>
                <w:szCs w:val="17"/>
              </w:rPr>
            </w:pPr>
            <w:r w:rsidRPr="00E10202">
              <w:rPr>
                <w:rFonts w:cs="Arial"/>
                <w:sz w:val="17"/>
                <w:szCs w:val="17"/>
              </w:rPr>
              <w:t>840 </w:t>
            </w:r>
          </w:p>
        </w:tc>
        <w:tc>
          <w:tcPr>
            <w:tcW w:w="1170" w:type="dxa"/>
            <w:vAlign w:val="center"/>
            <w:hideMark/>
          </w:tcPr>
          <w:p w14:paraId="3C1624B6" w14:textId="77777777" w:rsidR="00BA1DA6" w:rsidRPr="00E10202" w:rsidRDefault="00BA1DA6" w:rsidP="007C3893">
            <w:pPr>
              <w:pStyle w:val="TableText"/>
              <w:jc w:val="right"/>
              <w:rPr>
                <w:rFonts w:cs="Arial"/>
                <w:sz w:val="17"/>
                <w:szCs w:val="17"/>
              </w:rPr>
            </w:pPr>
            <w:r w:rsidRPr="00E10202">
              <w:rPr>
                <w:rFonts w:cs="Arial"/>
                <w:sz w:val="17"/>
                <w:szCs w:val="17"/>
              </w:rPr>
              <w:t>11.2% </w:t>
            </w:r>
          </w:p>
        </w:tc>
        <w:tc>
          <w:tcPr>
            <w:tcW w:w="810" w:type="dxa"/>
            <w:vAlign w:val="center"/>
            <w:hideMark/>
          </w:tcPr>
          <w:p w14:paraId="388B1F20" w14:textId="77777777" w:rsidR="00BA1DA6" w:rsidRPr="00E10202" w:rsidRDefault="00BA1DA6" w:rsidP="007C3893">
            <w:pPr>
              <w:pStyle w:val="TableText"/>
              <w:jc w:val="right"/>
              <w:rPr>
                <w:rFonts w:cs="Arial"/>
                <w:sz w:val="17"/>
                <w:szCs w:val="17"/>
              </w:rPr>
            </w:pPr>
            <w:r w:rsidRPr="00E10202">
              <w:rPr>
                <w:rFonts w:cs="Arial"/>
                <w:sz w:val="17"/>
                <w:szCs w:val="17"/>
              </w:rPr>
              <w:t>22 </w:t>
            </w:r>
          </w:p>
        </w:tc>
        <w:tc>
          <w:tcPr>
            <w:tcW w:w="810" w:type="dxa"/>
            <w:vAlign w:val="center"/>
            <w:hideMark/>
          </w:tcPr>
          <w:p w14:paraId="4C35F3A1"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4CD03BA2" w14:textId="77777777" w:rsidR="00BA1DA6" w:rsidRPr="00E10202" w:rsidRDefault="00BA1DA6" w:rsidP="007C3893">
            <w:pPr>
              <w:pStyle w:val="TableText"/>
              <w:jc w:val="right"/>
              <w:rPr>
                <w:rFonts w:cs="Arial"/>
                <w:sz w:val="17"/>
                <w:szCs w:val="17"/>
              </w:rPr>
            </w:pPr>
            <w:r w:rsidRPr="00E10202">
              <w:rPr>
                <w:rFonts w:cs="Arial"/>
                <w:sz w:val="17"/>
                <w:szCs w:val="17"/>
              </w:rPr>
              <w:t>7,528 </w:t>
            </w:r>
          </w:p>
        </w:tc>
      </w:tr>
      <w:tr w:rsidR="00415FA5" w:rsidRPr="00E10202" w14:paraId="7F9E5B8D" w14:textId="77777777" w:rsidTr="00BD04D4">
        <w:trPr>
          <w:trHeight w:val="300"/>
        </w:trPr>
        <w:tc>
          <w:tcPr>
            <w:tcW w:w="805" w:type="dxa"/>
            <w:vAlign w:val="center"/>
            <w:hideMark/>
          </w:tcPr>
          <w:p w14:paraId="0A576C24" w14:textId="60F993F3" w:rsidR="00BA1DA6" w:rsidRPr="00E10202" w:rsidRDefault="00BA1DA6" w:rsidP="00E10202">
            <w:pPr>
              <w:pStyle w:val="TableText"/>
              <w:rPr>
                <w:rFonts w:cs="Arial"/>
                <w:sz w:val="17"/>
                <w:szCs w:val="17"/>
              </w:rPr>
            </w:pPr>
            <w:r w:rsidRPr="00E10202">
              <w:rPr>
                <w:rFonts w:cs="Arial"/>
                <w:sz w:val="17"/>
                <w:szCs w:val="17"/>
              </w:rPr>
              <w:t>BCY17</w:t>
            </w:r>
          </w:p>
        </w:tc>
        <w:tc>
          <w:tcPr>
            <w:tcW w:w="990" w:type="dxa"/>
            <w:vAlign w:val="center"/>
            <w:hideMark/>
          </w:tcPr>
          <w:p w14:paraId="56DC52E8" w14:textId="77777777" w:rsidR="00BA1DA6" w:rsidRPr="00E10202" w:rsidRDefault="00BA1DA6" w:rsidP="007C3893">
            <w:pPr>
              <w:pStyle w:val="TableText"/>
              <w:jc w:val="right"/>
              <w:rPr>
                <w:rFonts w:cs="Arial"/>
                <w:sz w:val="17"/>
                <w:szCs w:val="17"/>
              </w:rPr>
            </w:pPr>
            <w:r w:rsidRPr="00E10202">
              <w:rPr>
                <w:rFonts w:cs="Arial"/>
                <w:sz w:val="17"/>
                <w:szCs w:val="17"/>
              </w:rPr>
              <w:t>5,954 </w:t>
            </w:r>
          </w:p>
        </w:tc>
        <w:tc>
          <w:tcPr>
            <w:tcW w:w="990" w:type="dxa"/>
            <w:vAlign w:val="center"/>
            <w:hideMark/>
          </w:tcPr>
          <w:p w14:paraId="5D65601A" w14:textId="77777777" w:rsidR="00BA1DA6" w:rsidRPr="00E10202" w:rsidRDefault="00BA1DA6" w:rsidP="007C3893">
            <w:pPr>
              <w:pStyle w:val="TableText"/>
              <w:jc w:val="right"/>
              <w:rPr>
                <w:rFonts w:cs="Arial"/>
                <w:sz w:val="17"/>
                <w:szCs w:val="17"/>
              </w:rPr>
            </w:pPr>
            <w:r w:rsidRPr="00E10202">
              <w:rPr>
                <w:rFonts w:cs="Arial"/>
                <w:sz w:val="17"/>
                <w:szCs w:val="17"/>
              </w:rPr>
              <w:t>82.1% </w:t>
            </w:r>
          </w:p>
        </w:tc>
        <w:tc>
          <w:tcPr>
            <w:tcW w:w="990" w:type="dxa"/>
            <w:vAlign w:val="center"/>
            <w:hideMark/>
          </w:tcPr>
          <w:p w14:paraId="1524ACC6" w14:textId="77777777" w:rsidR="00BA1DA6" w:rsidRPr="00E10202" w:rsidRDefault="00BA1DA6" w:rsidP="007C3893">
            <w:pPr>
              <w:pStyle w:val="TableText"/>
              <w:jc w:val="right"/>
              <w:rPr>
                <w:rFonts w:cs="Arial"/>
                <w:sz w:val="17"/>
                <w:szCs w:val="17"/>
              </w:rPr>
            </w:pPr>
            <w:r w:rsidRPr="00E10202">
              <w:rPr>
                <w:rFonts w:cs="Arial"/>
                <w:sz w:val="17"/>
                <w:szCs w:val="17"/>
              </w:rPr>
              <w:t>591 </w:t>
            </w:r>
          </w:p>
        </w:tc>
        <w:tc>
          <w:tcPr>
            <w:tcW w:w="990" w:type="dxa"/>
            <w:vAlign w:val="center"/>
            <w:hideMark/>
          </w:tcPr>
          <w:p w14:paraId="3B04EDEA" w14:textId="77777777" w:rsidR="00BA1DA6" w:rsidRPr="00E10202" w:rsidRDefault="00BA1DA6" w:rsidP="007C3893">
            <w:pPr>
              <w:pStyle w:val="TableText"/>
              <w:jc w:val="right"/>
              <w:rPr>
                <w:rFonts w:cs="Arial"/>
                <w:sz w:val="17"/>
                <w:szCs w:val="17"/>
              </w:rPr>
            </w:pPr>
            <w:r w:rsidRPr="00E10202">
              <w:rPr>
                <w:rFonts w:cs="Arial"/>
                <w:sz w:val="17"/>
                <w:szCs w:val="17"/>
              </w:rPr>
              <w:t>8.2% </w:t>
            </w:r>
          </w:p>
        </w:tc>
        <w:tc>
          <w:tcPr>
            <w:tcW w:w="1080" w:type="dxa"/>
            <w:vAlign w:val="center"/>
            <w:hideMark/>
          </w:tcPr>
          <w:p w14:paraId="4727F682" w14:textId="77777777" w:rsidR="00BA1DA6" w:rsidRPr="00E10202" w:rsidRDefault="00BA1DA6" w:rsidP="007C3893">
            <w:pPr>
              <w:pStyle w:val="TableText"/>
              <w:jc w:val="right"/>
              <w:rPr>
                <w:rFonts w:cs="Arial"/>
                <w:sz w:val="17"/>
                <w:szCs w:val="17"/>
              </w:rPr>
            </w:pPr>
            <w:r w:rsidRPr="00E10202">
              <w:rPr>
                <w:rFonts w:cs="Arial"/>
                <w:sz w:val="17"/>
                <w:szCs w:val="17"/>
              </w:rPr>
              <w:t>679 </w:t>
            </w:r>
          </w:p>
        </w:tc>
        <w:tc>
          <w:tcPr>
            <w:tcW w:w="1170" w:type="dxa"/>
            <w:vAlign w:val="center"/>
            <w:hideMark/>
          </w:tcPr>
          <w:p w14:paraId="6328C486" w14:textId="77777777" w:rsidR="00BA1DA6" w:rsidRPr="00E10202" w:rsidRDefault="00BA1DA6" w:rsidP="007C3893">
            <w:pPr>
              <w:pStyle w:val="TableText"/>
              <w:jc w:val="right"/>
              <w:rPr>
                <w:rFonts w:cs="Arial"/>
                <w:sz w:val="17"/>
                <w:szCs w:val="17"/>
              </w:rPr>
            </w:pPr>
            <w:r w:rsidRPr="00E10202">
              <w:rPr>
                <w:rFonts w:cs="Arial"/>
                <w:sz w:val="17"/>
                <w:szCs w:val="17"/>
              </w:rPr>
              <w:t>9.4% </w:t>
            </w:r>
          </w:p>
        </w:tc>
        <w:tc>
          <w:tcPr>
            <w:tcW w:w="810" w:type="dxa"/>
            <w:vAlign w:val="center"/>
            <w:hideMark/>
          </w:tcPr>
          <w:p w14:paraId="2E0826B7" w14:textId="77777777" w:rsidR="00BA1DA6" w:rsidRPr="00E10202" w:rsidRDefault="00BA1DA6" w:rsidP="007C3893">
            <w:pPr>
              <w:pStyle w:val="TableText"/>
              <w:jc w:val="right"/>
              <w:rPr>
                <w:rFonts w:cs="Arial"/>
                <w:sz w:val="17"/>
                <w:szCs w:val="17"/>
              </w:rPr>
            </w:pPr>
            <w:r w:rsidRPr="00E10202">
              <w:rPr>
                <w:rFonts w:cs="Arial"/>
                <w:sz w:val="17"/>
                <w:szCs w:val="17"/>
              </w:rPr>
              <w:t>25 </w:t>
            </w:r>
          </w:p>
        </w:tc>
        <w:tc>
          <w:tcPr>
            <w:tcW w:w="810" w:type="dxa"/>
            <w:vAlign w:val="center"/>
            <w:hideMark/>
          </w:tcPr>
          <w:p w14:paraId="09C212C0"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7556022C" w14:textId="77777777" w:rsidR="00BA1DA6" w:rsidRPr="00E10202" w:rsidRDefault="00BA1DA6" w:rsidP="007C3893">
            <w:pPr>
              <w:pStyle w:val="TableText"/>
              <w:jc w:val="right"/>
              <w:rPr>
                <w:rFonts w:cs="Arial"/>
                <w:sz w:val="17"/>
                <w:szCs w:val="17"/>
              </w:rPr>
            </w:pPr>
            <w:r w:rsidRPr="00E10202">
              <w:rPr>
                <w:rFonts w:cs="Arial"/>
                <w:sz w:val="17"/>
                <w:szCs w:val="17"/>
              </w:rPr>
              <w:t>7,249 </w:t>
            </w:r>
          </w:p>
        </w:tc>
      </w:tr>
      <w:tr w:rsidR="00415FA5" w:rsidRPr="00E10202" w14:paraId="02A8BF01" w14:textId="77777777" w:rsidTr="00BD04D4">
        <w:trPr>
          <w:trHeight w:val="300"/>
        </w:trPr>
        <w:tc>
          <w:tcPr>
            <w:tcW w:w="805" w:type="dxa"/>
            <w:vAlign w:val="center"/>
            <w:hideMark/>
          </w:tcPr>
          <w:p w14:paraId="792B1CF1" w14:textId="61ADBF92" w:rsidR="00BA1DA6" w:rsidRPr="00E10202" w:rsidRDefault="00BA1DA6" w:rsidP="00E10202">
            <w:pPr>
              <w:pStyle w:val="TableText"/>
              <w:rPr>
                <w:rFonts w:cs="Arial"/>
                <w:sz w:val="17"/>
                <w:szCs w:val="17"/>
              </w:rPr>
            </w:pPr>
            <w:r w:rsidRPr="00E10202">
              <w:rPr>
                <w:rFonts w:cs="Arial"/>
                <w:sz w:val="17"/>
                <w:szCs w:val="17"/>
              </w:rPr>
              <w:t>BCY18</w:t>
            </w:r>
          </w:p>
        </w:tc>
        <w:tc>
          <w:tcPr>
            <w:tcW w:w="990" w:type="dxa"/>
            <w:vAlign w:val="center"/>
            <w:hideMark/>
          </w:tcPr>
          <w:p w14:paraId="060238F9" w14:textId="77777777" w:rsidR="00BA1DA6" w:rsidRPr="00E10202" w:rsidRDefault="00BA1DA6" w:rsidP="007C3893">
            <w:pPr>
              <w:pStyle w:val="TableText"/>
              <w:jc w:val="right"/>
              <w:rPr>
                <w:rFonts w:cs="Arial"/>
                <w:sz w:val="17"/>
                <w:szCs w:val="17"/>
              </w:rPr>
            </w:pPr>
            <w:r w:rsidRPr="00E10202">
              <w:rPr>
                <w:rFonts w:cs="Arial"/>
                <w:sz w:val="17"/>
                <w:szCs w:val="17"/>
              </w:rPr>
              <w:t>5,989 </w:t>
            </w:r>
          </w:p>
        </w:tc>
        <w:tc>
          <w:tcPr>
            <w:tcW w:w="990" w:type="dxa"/>
            <w:vAlign w:val="center"/>
            <w:hideMark/>
          </w:tcPr>
          <w:p w14:paraId="1E505FD5" w14:textId="77777777" w:rsidR="00BA1DA6" w:rsidRPr="00E10202" w:rsidRDefault="00BA1DA6" w:rsidP="007C3893">
            <w:pPr>
              <w:pStyle w:val="TableText"/>
              <w:jc w:val="right"/>
              <w:rPr>
                <w:rFonts w:cs="Arial"/>
                <w:sz w:val="17"/>
                <w:szCs w:val="17"/>
              </w:rPr>
            </w:pPr>
            <w:r w:rsidRPr="00E10202">
              <w:rPr>
                <w:rFonts w:cs="Arial"/>
                <w:sz w:val="17"/>
                <w:szCs w:val="17"/>
              </w:rPr>
              <w:t>83.5% </w:t>
            </w:r>
          </w:p>
        </w:tc>
        <w:tc>
          <w:tcPr>
            <w:tcW w:w="990" w:type="dxa"/>
            <w:vAlign w:val="center"/>
            <w:hideMark/>
          </w:tcPr>
          <w:p w14:paraId="0C792AC6" w14:textId="77777777" w:rsidR="00BA1DA6" w:rsidRPr="00E10202" w:rsidRDefault="00BA1DA6" w:rsidP="007C3893">
            <w:pPr>
              <w:pStyle w:val="TableText"/>
              <w:jc w:val="right"/>
              <w:rPr>
                <w:rFonts w:cs="Arial"/>
                <w:sz w:val="17"/>
                <w:szCs w:val="17"/>
              </w:rPr>
            </w:pPr>
            <w:r w:rsidRPr="00E10202">
              <w:rPr>
                <w:rFonts w:cs="Arial"/>
                <w:sz w:val="17"/>
                <w:szCs w:val="17"/>
              </w:rPr>
              <w:t>593 </w:t>
            </w:r>
          </w:p>
        </w:tc>
        <w:tc>
          <w:tcPr>
            <w:tcW w:w="990" w:type="dxa"/>
            <w:vAlign w:val="center"/>
            <w:hideMark/>
          </w:tcPr>
          <w:p w14:paraId="1F6AB0D8" w14:textId="77777777" w:rsidR="00BA1DA6" w:rsidRPr="00E10202" w:rsidRDefault="00BA1DA6" w:rsidP="007C3893">
            <w:pPr>
              <w:pStyle w:val="TableText"/>
              <w:jc w:val="right"/>
              <w:rPr>
                <w:rFonts w:cs="Arial"/>
                <w:sz w:val="17"/>
                <w:szCs w:val="17"/>
              </w:rPr>
            </w:pPr>
            <w:r w:rsidRPr="00E10202">
              <w:rPr>
                <w:rFonts w:cs="Arial"/>
                <w:sz w:val="17"/>
                <w:szCs w:val="17"/>
              </w:rPr>
              <w:t>8.3% </w:t>
            </w:r>
          </w:p>
        </w:tc>
        <w:tc>
          <w:tcPr>
            <w:tcW w:w="1080" w:type="dxa"/>
            <w:vAlign w:val="center"/>
            <w:hideMark/>
          </w:tcPr>
          <w:p w14:paraId="5B0F09D0" w14:textId="77777777" w:rsidR="00BA1DA6" w:rsidRPr="00E10202" w:rsidRDefault="00BA1DA6" w:rsidP="007C3893">
            <w:pPr>
              <w:pStyle w:val="TableText"/>
              <w:jc w:val="right"/>
              <w:rPr>
                <w:rFonts w:cs="Arial"/>
                <w:sz w:val="17"/>
                <w:szCs w:val="17"/>
              </w:rPr>
            </w:pPr>
            <w:r w:rsidRPr="00E10202">
              <w:rPr>
                <w:rFonts w:cs="Arial"/>
                <w:sz w:val="17"/>
                <w:szCs w:val="17"/>
              </w:rPr>
              <w:t>567 </w:t>
            </w:r>
          </w:p>
        </w:tc>
        <w:tc>
          <w:tcPr>
            <w:tcW w:w="1170" w:type="dxa"/>
            <w:vAlign w:val="center"/>
            <w:hideMark/>
          </w:tcPr>
          <w:p w14:paraId="6AF84501" w14:textId="77777777" w:rsidR="00BA1DA6" w:rsidRPr="00E10202" w:rsidRDefault="00BA1DA6" w:rsidP="007C3893">
            <w:pPr>
              <w:pStyle w:val="TableText"/>
              <w:jc w:val="right"/>
              <w:rPr>
                <w:rFonts w:cs="Arial"/>
                <w:sz w:val="17"/>
                <w:szCs w:val="17"/>
              </w:rPr>
            </w:pPr>
            <w:r w:rsidRPr="00E10202">
              <w:rPr>
                <w:rFonts w:cs="Arial"/>
                <w:sz w:val="17"/>
                <w:szCs w:val="17"/>
              </w:rPr>
              <w:t>7.9% </w:t>
            </w:r>
          </w:p>
        </w:tc>
        <w:tc>
          <w:tcPr>
            <w:tcW w:w="810" w:type="dxa"/>
            <w:vAlign w:val="center"/>
            <w:hideMark/>
          </w:tcPr>
          <w:p w14:paraId="517C2C67" w14:textId="77777777" w:rsidR="00BA1DA6" w:rsidRPr="00E10202" w:rsidRDefault="00BA1DA6" w:rsidP="007C3893">
            <w:pPr>
              <w:pStyle w:val="TableText"/>
              <w:jc w:val="right"/>
              <w:rPr>
                <w:rFonts w:cs="Arial"/>
                <w:sz w:val="17"/>
                <w:szCs w:val="17"/>
              </w:rPr>
            </w:pPr>
            <w:r w:rsidRPr="00E10202">
              <w:rPr>
                <w:rFonts w:cs="Arial"/>
                <w:sz w:val="17"/>
                <w:szCs w:val="17"/>
              </w:rPr>
              <w:t>24 </w:t>
            </w:r>
          </w:p>
        </w:tc>
        <w:tc>
          <w:tcPr>
            <w:tcW w:w="810" w:type="dxa"/>
            <w:vAlign w:val="center"/>
            <w:hideMark/>
          </w:tcPr>
          <w:p w14:paraId="23C03AC5"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209B58C2" w14:textId="77777777" w:rsidR="00BA1DA6" w:rsidRPr="00E10202" w:rsidRDefault="00BA1DA6" w:rsidP="007C3893">
            <w:pPr>
              <w:pStyle w:val="TableText"/>
              <w:jc w:val="right"/>
              <w:rPr>
                <w:rFonts w:cs="Arial"/>
                <w:sz w:val="17"/>
                <w:szCs w:val="17"/>
              </w:rPr>
            </w:pPr>
            <w:r w:rsidRPr="00E10202">
              <w:rPr>
                <w:rFonts w:cs="Arial"/>
                <w:sz w:val="17"/>
                <w:szCs w:val="17"/>
              </w:rPr>
              <w:t>7,173 </w:t>
            </w:r>
          </w:p>
        </w:tc>
      </w:tr>
      <w:tr w:rsidR="00415FA5" w:rsidRPr="00E10202" w14:paraId="67C9D83D" w14:textId="77777777" w:rsidTr="00BD04D4">
        <w:trPr>
          <w:trHeight w:val="300"/>
        </w:trPr>
        <w:tc>
          <w:tcPr>
            <w:tcW w:w="805" w:type="dxa"/>
            <w:vAlign w:val="center"/>
            <w:hideMark/>
          </w:tcPr>
          <w:p w14:paraId="1EB44981" w14:textId="619B2C43" w:rsidR="00BA1DA6" w:rsidRPr="00E10202" w:rsidRDefault="00BA1DA6" w:rsidP="00E10202">
            <w:pPr>
              <w:pStyle w:val="TableText"/>
              <w:rPr>
                <w:rFonts w:cs="Arial"/>
                <w:sz w:val="17"/>
                <w:szCs w:val="17"/>
              </w:rPr>
            </w:pPr>
            <w:r w:rsidRPr="00E10202">
              <w:rPr>
                <w:rFonts w:cs="Arial"/>
                <w:sz w:val="17"/>
                <w:szCs w:val="17"/>
              </w:rPr>
              <w:t>BCY19</w:t>
            </w:r>
          </w:p>
        </w:tc>
        <w:tc>
          <w:tcPr>
            <w:tcW w:w="990" w:type="dxa"/>
            <w:vAlign w:val="center"/>
            <w:hideMark/>
          </w:tcPr>
          <w:p w14:paraId="05749FED" w14:textId="77777777" w:rsidR="00BA1DA6" w:rsidRPr="00E10202" w:rsidRDefault="00BA1DA6" w:rsidP="007C3893">
            <w:pPr>
              <w:pStyle w:val="TableText"/>
              <w:jc w:val="right"/>
              <w:rPr>
                <w:rFonts w:cs="Arial"/>
                <w:sz w:val="17"/>
                <w:szCs w:val="17"/>
              </w:rPr>
            </w:pPr>
            <w:r w:rsidRPr="00E10202">
              <w:rPr>
                <w:rFonts w:cs="Arial"/>
                <w:sz w:val="17"/>
                <w:szCs w:val="17"/>
              </w:rPr>
              <w:t>6,153 </w:t>
            </w:r>
          </w:p>
        </w:tc>
        <w:tc>
          <w:tcPr>
            <w:tcW w:w="990" w:type="dxa"/>
            <w:vAlign w:val="center"/>
            <w:hideMark/>
          </w:tcPr>
          <w:p w14:paraId="66280B35" w14:textId="77777777" w:rsidR="00BA1DA6" w:rsidRPr="00E10202" w:rsidRDefault="00BA1DA6" w:rsidP="007C3893">
            <w:pPr>
              <w:pStyle w:val="TableText"/>
              <w:jc w:val="right"/>
              <w:rPr>
                <w:rFonts w:cs="Arial"/>
                <w:sz w:val="17"/>
                <w:szCs w:val="17"/>
              </w:rPr>
            </w:pPr>
            <w:r w:rsidRPr="00E10202">
              <w:rPr>
                <w:rFonts w:cs="Arial"/>
                <w:sz w:val="17"/>
                <w:szCs w:val="17"/>
              </w:rPr>
              <w:t>83.7% </w:t>
            </w:r>
          </w:p>
        </w:tc>
        <w:tc>
          <w:tcPr>
            <w:tcW w:w="990" w:type="dxa"/>
            <w:vAlign w:val="center"/>
            <w:hideMark/>
          </w:tcPr>
          <w:p w14:paraId="2942CE5E" w14:textId="77777777" w:rsidR="00BA1DA6" w:rsidRPr="00E10202" w:rsidRDefault="00BA1DA6" w:rsidP="007C3893">
            <w:pPr>
              <w:pStyle w:val="TableText"/>
              <w:jc w:val="right"/>
              <w:rPr>
                <w:rFonts w:cs="Arial"/>
                <w:sz w:val="17"/>
                <w:szCs w:val="17"/>
              </w:rPr>
            </w:pPr>
            <w:r w:rsidRPr="00E10202">
              <w:rPr>
                <w:rFonts w:cs="Arial"/>
                <w:sz w:val="17"/>
                <w:szCs w:val="17"/>
              </w:rPr>
              <w:t>621 </w:t>
            </w:r>
          </w:p>
        </w:tc>
        <w:tc>
          <w:tcPr>
            <w:tcW w:w="990" w:type="dxa"/>
            <w:vAlign w:val="center"/>
            <w:hideMark/>
          </w:tcPr>
          <w:p w14:paraId="02F3A506" w14:textId="77777777" w:rsidR="00BA1DA6" w:rsidRPr="00E10202" w:rsidRDefault="00BA1DA6" w:rsidP="007C3893">
            <w:pPr>
              <w:pStyle w:val="TableText"/>
              <w:jc w:val="right"/>
              <w:rPr>
                <w:rFonts w:cs="Arial"/>
                <w:sz w:val="17"/>
                <w:szCs w:val="17"/>
              </w:rPr>
            </w:pPr>
            <w:r w:rsidRPr="00E10202">
              <w:rPr>
                <w:rFonts w:cs="Arial"/>
                <w:sz w:val="17"/>
                <w:szCs w:val="17"/>
              </w:rPr>
              <w:t>8.5% </w:t>
            </w:r>
          </w:p>
        </w:tc>
        <w:tc>
          <w:tcPr>
            <w:tcW w:w="1080" w:type="dxa"/>
            <w:vAlign w:val="center"/>
            <w:hideMark/>
          </w:tcPr>
          <w:p w14:paraId="580E857C" w14:textId="77777777" w:rsidR="00BA1DA6" w:rsidRPr="00E10202" w:rsidRDefault="00BA1DA6" w:rsidP="007C3893">
            <w:pPr>
              <w:pStyle w:val="TableText"/>
              <w:jc w:val="right"/>
              <w:rPr>
                <w:rFonts w:cs="Arial"/>
                <w:sz w:val="17"/>
                <w:szCs w:val="17"/>
              </w:rPr>
            </w:pPr>
            <w:r w:rsidRPr="00E10202">
              <w:rPr>
                <w:rFonts w:cs="Arial"/>
                <w:sz w:val="17"/>
                <w:szCs w:val="17"/>
              </w:rPr>
              <w:t>552 </w:t>
            </w:r>
          </w:p>
        </w:tc>
        <w:tc>
          <w:tcPr>
            <w:tcW w:w="1170" w:type="dxa"/>
            <w:vAlign w:val="center"/>
            <w:hideMark/>
          </w:tcPr>
          <w:p w14:paraId="4023C9A1" w14:textId="77777777" w:rsidR="00BA1DA6" w:rsidRPr="00E10202" w:rsidRDefault="00BA1DA6" w:rsidP="007C3893">
            <w:pPr>
              <w:pStyle w:val="TableText"/>
              <w:jc w:val="right"/>
              <w:rPr>
                <w:rFonts w:cs="Arial"/>
                <w:sz w:val="17"/>
                <w:szCs w:val="17"/>
              </w:rPr>
            </w:pPr>
            <w:r w:rsidRPr="00E10202">
              <w:rPr>
                <w:rFonts w:cs="Arial"/>
                <w:sz w:val="17"/>
                <w:szCs w:val="17"/>
              </w:rPr>
              <w:t>7.5% </w:t>
            </w:r>
          </w:p>
        </w:tc>
        <w:tc>
          <w:tcPr>
            <w:tcW w:w="810" w:type="dxa"/>
            <w:vAlign w:val="center"/>
            <w:hideMark/>
          </w:tcPr>
          <w:p w14:paraId="37FAFF54" w14:textId="77777777" w:rsidR="00BA1DA6" w:rsidRPr="00E10202" w:rsidRDefault="00BA1DA6" w:rsidP="007C3893">
            <w:pPr>
              <w:pStyle w:val="TableText"/>
              <w:jc w:val="right"/>
              <w:rPr>
                <w:rFonts w:cs="Arial"/>
                <w:sz w:val="17"/>
                <w:szCs w:val="17"/>
              </w:rPr>
            </w:pPr>
            <w:r w:rsidRPr="00E10202">
              <w:rPr>
                <w:rFonts w:cs="Arial"/>
                <w:sz w:val="17"/>
                <w:szCs w:val="17"/>
              </w:rPr>
              <w:t>23 </w:t>
            </w:r>
          </w:p>
        </w:tc>
        <w:tc>
          <w:tcPr>
            <w:tcW w:w="810" w:type="dxa"/>
            <w:vAlign w:val="center"/>
            <w:hideMark/>
          </w:tcPr>
          <w:p w14:paraId="33220B30"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3C1409D4" w14:textId="77777777" w:rsidR="00BA1DA6" w:rsidRPr="00E10202" w:rsidRDefault="00BA1DA6" w:rsidP="007C3893">
            <w:pPr>
              <w:pStyle w:val="TableText"/>
              <w:jc w:val="right"/>
              <w:rPr>
                <w:rFonts w:cs="Arial"/>
                <w:sz w:val="17"/>
                <w:szCs w:val="17"/>
              </w:rPr>
            </w:pPr>
            <w:r w:rsidRPr="00E10202">
              <w:rPr>
                <w:rFonts w:cs="Arial"/>
                <w:sz w:val="17"/>
                <w:szCs w:val="17"/>
              </w:rPr>
              <w:t>7,349 </w:t>
            </w:r>
          </w:p>
        </w:tc>
      </w:tr>
      <w:tr w:rsidR="00415FA5" w:rsidRPr="00E10202" w14:paraId="537356FA" w14:textId="77777777" w:rsidTr="00BD04D4">
        <w:trPr>
          <w:trHeight w:val="300"/>
        </w:trPr>
        <w:tc>
          <w:tcPr>
            <w:tcW w:w="805" w:type="dxa"/>
            <w:vAlign w:val="center"/>
            <w:hideMark/>
          </w:tcPr>
          <w:p w14:paraId="45798E47" w14:textId="18FDF995" w:rsidR="00BA1DA6" w:rsidRPr="00E10202" w:rsidRDefault="00BA1DA6" w:rsidP="00E10202">
            <w:pPr>
              <w:pStyle w:val="TableText"/>
              <w:rPr>
                <w:rFonts w:cs="Arial"/>
                <w:sz w:val="17"/>
                <w:szCs w:val="17"/>
              </w:rPr>
            </w:pPr>
            <w:r w:rsidRPr="00E10202">
              <w:rPr>
                <w:rFonts w:cs="Arial"/>
                <w:sz w:val="17"/>
                <w:szCs w:val="17"/>
              </w:rPr>
              <w:t>BCY20</w:t>
            </w:r>
          </w:p>
        </w:tc>
        <w:tc>
          <w:tcPr>
            <w:tcW w:w="990" w:type="dxa"/>
            <w:vAlign w:val="center"/>
            <w:hideMark/>
          </w:tcPr>
          <w:p w14:paraId="635405C5" w14:textId="77777777" w:rsidR="00BA1DA6" w:rsidRPr="00E10202" w:rsidRDefault="00BA1DA6" w:rsidP="007C3893">
            <w:pPr>
              <w:pStyle w:val="TableText"/>
              <w:jc w:val="right"/>
              <w:rPr>
                <w:rFonts w:cs="Arial"/>
                <w:sz w:val="17"/>
                <w:szCs w:val="17"/>
              </w:rPr>
            </w:pPr>
            <w:r w:rsidRPr="00E10202">
              <w:rPr>
                <w:rFonts w:cs="Arial"/>
                <w:sz w:val="17"/>
                <w:szCs w:val="17"/>
              </w:rPr>
              <w:t>6,085 </w:t>
            </w:r>
          </w:p>
        </w:tc>
        <w:tc>
          <w:tcPr>
            <w:tcW w:w="990" w:type="dxa"/>
            <w:vAlign w:val="center"/>
            <w:hideMark/>
          </w:tcPr>
          <w:p w14:paraId="296E3773" w14:textId="77777777" w:rsidR="00BA1DA6" w:rsidRPr="00E10202" w:rsidRDefault="00BA1DA6" w:rsidP="007C3893">
            <w:pPr>
              <w:pStyle w:val="TableText"/>
              <w:jc w:val="right"/>
              <w:rPr>
                <w:rFonts w:cs="Arial"/>
                <w:sz w:val="17"/>
                <w:szCs w:val="17"/>
              </w:rPr>
            </w:pPr>
            <w:r w:rsidRPr="00E10202">
              <w:rPr>
                <w:rFonts w:cs="Arial"/>
                <w:sz w:val="17"/>
                <w:szCs w:val="17"/>
              </w:rPr>
              <w:t>84.6% </w:t>
            </w:r>
          </w:p>
        </w:tc>
        <w:tc>
          <w:tcPr>
            <w:tcW w:w="990" w:type="dxa"/>
            <w:vAlign w:val="center"/>
            <w:hideMark/>
          </w:tcPr>
          <w:p w14:paraId="04520B4D" w14:textId="77777777" w:rsidR="00BA1DA6" w:rsidRPr="00E10202" w:rsidRDefault="00BA1DA6" w:rsidP="007C3893">
            <w:pPr>
              <w:pStyle w:val="TableText"/>
              <w:jc w:val="right"/>
              <w:rPr>
                <w:rFonts w:cs="Arial"/>
                <w:sz w:val="17"/>
                <w:szCs w:val="17"/>
              </w:rPr>
            </w:pPr>
            <w:r w:rsidRPr="00E10202">
              <w:rPr>
                <w:rFonts w:cs="Arial"/>
                <w:sz w:val="17"/>
                <w:szCs w:val="17"/>
              </w:rPr>
              <w:t>604 </w:t>
            </w:r>
          </w:p>
        </w:tc>
        <w:tc>
          <w:tcPr>
            <w:tcW w:w="990" w:type="dxa"/>
            <w:vAlign w:val="center"/>
            <w:hideMark/>
          </w:tcPr>
          <w:p w14:paraId="5A883840" w14:textId="77777777" w:rsidR="00BA1DA6" w:rsidRPr="00E10202" w:rsidRDefault="00BA1DA6" w:rsidP="007C3893">
            <w:pPr>
              <w:pStyle w:val="TableText"/>
              <w:jc w:val="right"/>
              <w:rPr>
                <w:rFonts w:cs="Arial"/>
                <w:sz w:val="17"/>
                <w:szCs w:val="17"/>
              </w:rPr>
            </w:pPr>
            <w:r w:rsidRPr="00E10202">
              <w:rPr>
                <w:rFonts w:cs="Arial"/>
                <w:sz w:val="17"/>
                <w:szCs w:val="17"/>
              </w:rPr>
              <w:t>8.4% </w:t>
            </w:r>
          </w:p>
        </w:tc>
        <w:tc>
          <w:tcPr>
            <w:tcW w:w="1080" w:type="dxa"/>
            <w:vAlign w:val="center"/>
            <w:hideMark/>
          </w:tcPr>
          <w:p w14:paraId="36E2E0B1" w14:textId="77777777" w:rsidR="00BA1DA6" w:rsidRPr="00E10202" w:rsidRDefault="00BA1DA6" w:rsidP="007C3893">
            <w:pPr>
              <w:pStyle w:val="TableText"/>
              <w:jc w:val="right"/>
              <w:rPr>
                <w:rFonts w:cs="Arial"/>
                <w:sz w:val="17"/>
                <w:szCs w:val="17"/>
              </w:rPr>
            </w:pPr>
            <w:r w:rsidRPr="00E10202">
              <w:rPr>
                <w:rFonts w:cs="Arial"/>
                <w:sz w:val="17"/>
                <w:szCs w:val="17"/>
              </w:rPr>
              <w:t>480 </w:t>
            </w:r>
          </w:p>
        </w:tc>
        <w:tc>
          <w:tcPr>
            <w:tcW w:w="1170" w:type="dxa"/>
            <w:vAlign w:val="center"/>
            <w:hideMark/>
          </w:tcPr>
          <w:p w14:paraId="38D2C04A" w14:textId="77777777" w:rsidR="00BA1DA6" w:rsidRPr="00E10202" w:rsidRDefault="00BA1DA6" w:rsidP="007C3893">
            <w:pPr>
              <w:pStyle w:val="TableText"/>
              <w:jc w:val="right"/>
              <w:rPr>
                <w:rFonts w:cs="Arial"/>
                <w:sz w:val="17"/>
                <w:szCs w:val="17"/>
              </w:rPr>
            </w:pPr>
            <w:r w:rsidRPr="00E10202">
              <w:rPr>
                <w:rFonts w:cs="Arial"/>
                <w:sz w:val="17"/>
                <w:szCs w:val="17"/>
              </w:rPr>
              <w:t>6.7% </w:t>
            </w:r>
          </w:p>
        </w:tc>
        <w:tc>
          <w:tcPr>
            <w:tcW w:w="810" w:type="dxa"/>
            <w:vAlign w:val="center"/>
            <w:hideMark/>
          </w:tcPr>
          <w:p w14:paraId="0827B67F" w14:textId="77777777" w:rsidR="00BA1DA6" w:rsidRPr="00E10202" w:rsidRDefault="00BA1DA6" w:rsidP="007C3893">
            <w:pPr>
              <w:pStyle w:val="TableText"/>
              <w:jc w:val="right"/>
              <w:rPr>
                <w:rFonts w:cs="Arial"/>
                <w:sz w:val="17"/>
                <w:szCs w:val="17"/>
              </w:rPr>
            </w:pPr>
            <w:r w:rsidRPr="00E10202">
              <w:rPr>
                <w:rFonts w:cs="Arial"/>
                <w:sz w:val="17"/>
                <w:szCs w:val="17"/>
              </w:rPr>
              <w:t>22 </w:t>
            </w:r>
          </w:p>
        </w:tc>
        <w:tc>
          <w:tcPr>
            <w:tcW w:w="810" w:type="dxa"/>
            <w:vAlign w:val="center"/>
            <w:hideMark/>
          </w:tcPr>
          <w:p w14:paraId="7690D0EB"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2CABBCB6" w14:textId="77777777" w:rsidR="00BA1DA6" w:rsidRPr="00E10202" w:rsidRDefault="00BA1DA6" w:rsidP="007C3893">
            <w:pPr>
              <w:pStyle w:val="TableText"/>
              <w:jc w:val="right"/>
              <w:rPr>
                <w:rFonts w:cs="Arial"/>
                <w:sz w:val="17"/>
                <w:szCs w:val="17"/>
              </w:rPr>
            </w:pPr>
            <w:r w:rsidRPr="00E10202">
              <w:rPr>
                <w:rFonts w:cs="Arial"/>
                <w:sz w:val="17"/>
                <w:szCs w:val="17"/>
              </w:rPr>
              <w:t>7,191 </w:t>
            </w:r>
          </w:p>
        </w:tc>
      </w:tr>
      <w:tr w:rsidR="00415FA5" w:rsidRPr="00E10202" w14:paraId="00851C3C" w14:textId="77777777" w:rsidTr="00BD04D4">
        <w:trPr>
          <w:trHeight w:val="300"/>
        </w:trPr>
        <w:tc>
          <w:tcPr>
            <w:tcW w:w="805" w:type="dxa"/>
            <w:vAlign w:val="center"/>
            <w:hideMark/>
          </w:tcPr>
          <w:p w14:paraId="0ADC8BE4" w14:textId="625C8A8A" w:rsidR="00BA1DA6" w:rsidRPr="00E10202" w:rsidRDefault="00BA1DA6" w:rsidP="00E10202">
            <w:pPr>
              <w:pStyle w:val="TableText"/>
              <w:rPr>
                <w:rFonts w:cs="Arial"/>
                <w:sz w:val="17"/>
                <w:szCs w:val="17"/>
              </w:rPr>
            </w:pPr>
            <w:r w:rsidRPr="00E10202">
              <w:rPr>
                <w:rFonts w:cs="Arial"/>
                <w:sz w:val="17"/>
                <w:szCs w:val="17"/>
              </w:rPr>
              <w:t>BCY21</w:t>
            </w:r>
          </w:p>
        </w:tc>
        <w:tc>
          <w:tcPr>
            <w:tcW w:w="990" w:type="dxa"/>
            <w:vAlign w:val="center"/>
            <w:hideMark/>
          </w:tcPr>
          <w:p w14:paraId="49EF5FDA" w14:textId="77777777" w:rsidR="00BA1DA6" w:rsidRPr="00E10202" w:rsidRDefault="00BA1DA6" w:rsidP="007C3893">
            <w:pPr>
              <w:pStyle w:val="TableText"/>
              <w:jc w:val="right"/>
              <w:rPr>
                <w:rFonts w:cs="Arial"/>
                <w:sz w:val="17"/>
                <w:szCs w:val="17"/>
              </w:rPr>
            </w:pPr>
            <w:r w:rsidRPr="00E10202">
              <w:rPr>
                <w:rFonts w:cs="Arial"/>
                <w:sz w:val="17"/>
                <w:szCs w:val="17"/>
              </w:rPr>
              <w:t>5,889 </w:t>
            </w:r>
          </w:p>
        </w:tc>
        <w:tc>
          <w:tcPr>
            <w:tcW w:w="990" w:type="dxa"/>
            <w:vAlign w:val="center"/>
            <w:hideMark/>
          </w:tcPr>
          <w:p w14:paraId="7F3D069B" w14:textId="77777777" w:rsidR="00BA1DA6" w:rsidRPr="00E10202" w:rsidRDefault="00BA1DA6" w:rsidP="007C3893">
            <w:pPr>
              <w:pStyle w:val="TableText"/>
              <w:jc w:val="right"/>
              <w:rPr>
                <w:rFonts w:cs="Arial"/>
                <w:sz w:val="17"/>
                <w:szCs w:val="17"/>
              </w:rPr>
            </w:pPr>
            <w:r w:rsidRPr="00E10202">
              <w:rPr>
                <w:rFonts w:cs="Arial"/>
                <w:sz w:val="17"/>
                <w:szCs w:val="17"/>
              </w:rPr>
              <w:t>84.6% </w:t>
            </w:r>
          </w:p>
        </w:tc>
        <w:tc>
          <w:tcPr>
            <w:tcW w:w="990" w:type="dxa"/>
            <w:vAlign w:val="center"/>
            <w:hideMark/>
          </w:tcPr>
          <w:p w14:paraId="63337566" w14:textId="77777777" w:rsidR="00BA1DA6" w:rsidRPr="00E10202" w:rsidRDefault="00BA1DA6" w:rsidP="007C3893">
            <w:pPr>
              <w:pStyle w:val="TableText"/>
              <w:jc w:val="right"/>
              <w:rPr>
                <w:rFonts w:cs="Arial"/>
                <w:sz w:val="17"/>
                <w:szCs w:val="17"/>
              </w:rPr>
            </w:pPr>
            <w:r w:rsidRPr="00E10202">
              <w:rPr>
                <w:rFonts w:cs="Arial"/>
                <w:sz w:val="17"/>
                <w:szCs w:val="17"/>
              </w:rPr>
              <w:t>598 </w:t>
            </w:r>
          </w:p>
        </w:tc>
        <w:tc>
          <w:tcPr>
            <w:tcW w:w="990" w:type="dxa"/>
            <w:vAlign w:val="center"/>
            <w:hideMark/>
          </w:tcPr>
          <w:p w14:paraId="482BA518" w14:textId="77777777" w:rsidR="00BA1DA6" w:rsidRPr="00E10202" w:rsidRDefault="00BA1DA6" w:rsidP="007C3893">
            <w:pPr>
              <w:pStyle w:val="TableText"/>
              <w:jc w:val="right"/>
              <w:rPr>
                <w:rFonts w:cs="Arial"/>
                <w:sz w:val="17"/>
                <w:szCs w:val="17"/>
              </w:rPr>
            </w:pPr>
            <w:r w:rsidRPr="00E10202">
              <w:rPr>
                <w:rFonts w:cs="Arial"/>
                <w:sz w:val="17"/>
                <w:szCs w:val="17"/>
              </w:rPr>
              <w:t>8.6% </w:t>
            </w:r>
          </w:p>
        </w:tc>
        <w:tc>
          <w:tcPr>
            <w:tcW w:w="1080" w:type="dxa"/>
            <w:vAlign w:val="center"/>
            <w:hideMark/>
          </w:tcPr>
          <w:p w14:paraId="4D6957CB" w14:textId="77777777" w:rsidR="00BA1DA6" w:rsidRPr="00E10202" w:rsidRDefault="00BA1DA6" w:rsidP="007C3893">
            <w:pPr>
              <w:pStyle w:val="TableText"/>
              <w:jc w:val="right"/>
              <w:rPr>
                <w:rFonts w:cs="Arial"/>
                <w:sz w:val="17"/>
                <w:szCs w:val="17"/>
              </w:rPr>
            </w:pPr>
            <w:r w:rsidRPr="00E10202">
              <w:rPr>
                <w:rFonts w:cs="Arial"/>
                <w:sz w:val="17"/>
                <w:szCs w:val="17"/>
              </w:rPr>
              <w:t>455 </w:t>
            </w:r>
          </w:p>
        </w:tc>
        <w:tc>
          <w:tcPr>
            <w:tcW w:w="1170" w:type="dxa"/>
            <w:vAlign w:val="center"/>
            <w:hideMark/>
          </w:tcPr>
          <w:p w14:paraId="5D59EAEC" w14:textId="77777777" w:rsidR="00BA1DA6" w:rsidRPr="00E10202" w:rsidRDefault="00BA1DA6" w:rsidP="007C3893">
            <w:pPr>
              <w:pStyle w:val="TableText"/>
              <w:jc w:val="right"/>
              <w:rPr>
                <w:rFonts w:cs="Arial"/>
                <w:sz w:val="17"/>
                <w:szCs w:val="17"/>
              </w:rPr>
            </w:pPr>
            <w:r w:rsidRPr="00E10202">
              <w:rPr>
                <w:rFonts w:cs="Arial"/>
                <w:sz w:val="17"/>
                <w:szCs w:val="17"/>
              </w:rPr>
              <w:t>6.5% </w:t>
            </w:r>
          </w:p>
        </w:tc>
        <w:tc>
          <w:tcPr>
            <w:tcW w:w="810" w:type="dxa"/>
            <w:vAlign w:val="center"/>
            <w:hideMark/>
          </w:tcPr>
          <w:p w14:paraId="5D965A51" w14:textId="77777777" w:rsidR="00BA1DA6" w:rsidRPr="00E10202" w:rsidRDefault="00BA1DA6" w:rsidP="007C3893">
            <w:pPr>
              <w:pStyle w:val="TableText"/>
              <w:jc w:val="right"/>
              <w:rPr>
                <w:rFonts w:cs="Arial"/>
                <w:sz w:val="17"/>
                <w:szCs w:val="17"/>
              </w:rPr>
            </w:pPr>
            <w:r w:rsidRPr="00E10202">
              <w:rPr>
                <w:rFonts w:cs="Arial"/>
                <w:sz w:val="17"/>
                <w:szCs w:val="17"/>
              </w:rPr>
              <w:t>16 </w:t>
            </w:r>
          </w:p>
        </w:tc>
        <w:tc>
          <w:tcPr>
            <w:tcW w:w="810" w:type="dxa"/>
            <w:vAlign w:val="center"/>
            <w:hideMark/>
          </w:tcPr>
          <w:p w14:paraId="6C13B58E" w14:textId="77777777" w:rsidR="00BA1DA6" w:rsidRPr="00E10202" w:rsidRDefault="00BA1DA6" w:rsidP="007C3893">
            <w:pPr>
              <w:pStyle w:val="TableText"/>
              <w:jc w:val="right"/>
              <w:rPr>
                <w:rFonts w:cs="Arial"/>
                <w:sz w:val="17"/>
                <w:szCs w:val="17"/>
              </w:rPr>
            </w:pPr>
            <w:r w:rsidRPr="00E10202">
              <w:rPr>
                <w:rFonts w:cs="Arial"/>
                <w:sz w:val="17"/>
                <w:szCs w:val="17"/>
              </w:rPr>
              <w:t>0.2% </w:t>
            </w:r>
          </w:p>
        </w:tc>
        <w:tc>
          <w:tcPr>
            <w:tcW w:w="990" w:type="dxa"/>
            <w:vAlign w:val="center"/>
            <w:hideMark/>
          </w:tcPr>
          <w:p w14:paraId="4B290A83" w14:textId="77777777" w:rsidR="00BA1DA6" w:rsidRPr="00E10202" w:rsidRDefault="00BA1DA6" w:rsidP="007C3893">
            <w:pPr>
              <w:pStyle w:val="TableText"/>
              <w:jc w:val="right"/>
              <w:rPr>
                <w:rFonts w:cs="Arial"/>
                <w:sz w:val="17"/>
                <w:szCs w:val="17"/>
              </w:rPr>
            </w:pPr>
            <w:r w:rsidRPr="00E10202">
              <w:rPr>
                <w:rFonts w:cs="Arial"/>
                <w:sz w:val="17"/>
                <w:szCs w:val="17"/>
              </w:rPr>
              <w:t>6,958 </w:t>
            </w:r>
          </w:p>
        </w:tc>
      </w:tr>
      <w:tr w:rsidR="00415FA5" w:rsidRPr="00E10202" w14:paraId="54DF4A50" w14:textId="77777777" w:rsidTr="00BD04D4">
        <w:trPr>
          <w:trHeight w:val="300"/>
        </w:trPr>
        <w:tc>
          <w:tcPr>
            <w:tcW w:w="805" w:type="dxa"/>
            <w:vAlign w:val="center"/>
            <w:hideMark/>
          </w:tcPr>
          <w:p w14:paraId="0D98D8B5" w14:textId="133BBFEE" w:rsidR="00BA1DA6" w:rsidRPr="00E10202" w:rsidRDefault="00BA1DA6" w:rsidP="00E10202">
            <w:pPr>
              <w:pStyle w:val="TableText"/>
              <w:rPr>
                <w:rFonts w:cs="Arial"/>
                <w:sz w:val="17"/>
                <w:szCs w:val="17"/>
              </w:rPr>
            </w:pPr>
            <w:r w:rsidRPr="00E10202">
              <w:rPr>
                <w:rFonts w:cs="Arial"/>
                <w:sz w:val="17"/>
                <w:szCs w:val="17"/>
              </w:rPr>
              <w:t>BCY22</w:t>
            </w:r>
          </w:p>
        </w:tc>
        <w:tc>
          <w:tcPr>
            <w:tcW w:w="990" w:type="dxa"/>
            <w:vAlign w:val="center"/>
            <w:hideMark/>
          </w:tcPr>
          <w:p w14:paraId="3BBE3FFE" w14:textId="77777777" w:rsidR="00BA1DA6" w:rsidRPr="00E10202" w:rsidRDefault="00BA1DA6" w:rsidP="007C3893">
            <w:pPr>
              <w:pStyle w:val="TableText"/>
              <w:jc w:val="right"/>
              <w:rPr>
                <w:rFonts w:cs="Arial"/>
                <w:sz w:val="17"/>
                <w:szCs w:val="17"/>
              </w:rPr>
            </w:pPr>
            <w:r w:rsidRPr="00E10202">
              <w:rPr>
                <w:rFonts w:cs="Arial"/>
                <w:sz w:val="17"/>
                <w:szCs w:val="17"/>
              </w:rPr>
              <w:t>6,057 </w:t>
            </w:r>
          </w:p>
        </w:tc>
        <w:tc>
          <w:tcPr>
            <w:tcW w:w="990" w:type="dxa"/>
            <w:vAlign w:val="center"/>
            <w:hideMark/>
          </w:tcPr>
          <w:p w14:paraId="0CA9C702" w14:textId="77777777" w:rsidR="00BA1DA6" w:rsidRPr="00E10202" w:rsidRDefault="00BA1DA6" w:rsidP="007C3893">
            <w:pPr>
              <w:pStyle w:val="TableText"/>
              <w:jc w:val="right"/>
              <w:rPr>
                <w:rFonts w:cs="Arial"/>
                <w:sz w:val="17"/>
                <w:szCs w:val="17"/>
              </w:rPr>
            </w:pPr>
            <w:r w:rsidRPr="00E10202">
              <w:rPr>
                <w:rFonts w:cs="Arial"/>
                <w:sz w:val="17"/>
                <w:szCs w:val="17"/>
              </w:rPr>
              <w:t>83.7% </w:t>
            </w:r>
          </w:p>
        </w:tc>
        <w:tc>
          <w:tcPr>
            <w:tcW w:w="990" w:type="dxa"/>
            <w:vAlign w:val="center"/>
            <w:hideMark/>
          </w:tcPr>
          <w:p w14:paraId="68445DB5" w14:textId="77777777" w:rsidR="00BA1DA6" w:rsidRPr="00E10202" w:rsidRDefault="00BA1DA6" w:rsidP="007C3893">
            <w:pPr>
              <w:pStyle w:val="TableText"/>
              <w:jc w:val="right"/>
              <w:rPr>
                <w:rFonts w:cs="Arial"/>
                <w:sz w:val="17"/>
                <w:szCs w:val="17"/>
              </w:rPr>
            </w:pPr>
            <w:r w:rsidRPr="00E10202">
              <w:rPr>
                <w:rFonts w:cs="Arial"/>
                <w:sz w:val="17"/>
                <w:szCs w:val="17"/>
              </w:rPr>
              <w:t>643 </w:t>
            </w:r>
          </w:p>
        </w:tc>
        <w:tc>
          <w:tcPr>
            <w:tcW w:w="990" w:type="dxa"/>
            <w:vAlign w:val="center"/>
            <w:hideMark/>
          </w:tcPr>
          <w:p w14:paraId="21CBDB9F" w14:textId="77777777" w:rsidR="00BA1DA6" w:rsidRPr="00E10202" w:rsidRDefault="00BA1DA6" w:rsidP="007C3893">
            <w:pPr>
              <w:pStyle w:val="TableText"/>
              <w:jc w:val="right"/>
              <w:rPr>
                <w:rFonts w:cs="Arial"/>
                <w:sz w:val="17"/>
                <w:szCs w:val="17"/>
              </w:rPr>
            </w:pPr>
            <w:r w:rsidRPr="00E10202">
              <w:rPr>
                <w:rFonts w:cs="Arial"/>
                <w:sz w:val="17"/>
                <w:szCs w:val="17"/>
              </w:rPr>
              <w:t>8.9% </w:t>
            </w:r>
          </w:p>
        </w:tc>
        <w:tc>
          <w:tcPr>
            <w:tcW w:w="1080" w:type="dxa"/>
            <w:vAlign w:val="center"/>
            <w:hideMark/>
          </w:tcPr>
          <w:p w14:paraId="24B527B3" w14:textId="77777777" w:rsidR="00BA1DA6" w:rsidRPr="00E10202" w:rsidRDefault="00BA1DA6" w:rsidP="007C3893">
            <w:pPr>
              <w:pStyle w:val="TableText"/>
              <w:jc w:val="right"/>
              <w:rPr>
                <w:rFonts w:cs="Arial"/>
                <w:sz w:val="17"/>
                <w:szCs w:val="17"/>
              </w:rPr>
            </w:pPr>
            <w:r w:rsidRPr="00E10202">
              <w:rPr>
                <w:rFonts w:cs="Arial"/>
                <w:sz w:val="17"/>
                <w:szCs w:val="17"/>
              </w:rPr>
              <w:t>515 </w:t>
            </w:r>
          </w:p>
        </w:tc>
        <w:tc>
          <w:tcPr>
            <w:tcW w:w="1170" w:type="dxa"/>
            <w:vAlign w:val="center"/>
            <w:hideMark/>
          </w:tcPr>
          <w:p w14:paraId="54C0B5B3" w14:textId="77777777" w:rsidR="00BA1DA6" w:rsidRPr="00E10202" w:rsidRDefault="00BA1DA6" w:rsidP="007C3893">
            <w:pPr>
              <w:pStyle w:val="TableText"/>
              <w:jc w:val="right"/>
              <w:rPr>
                <w:rFonts w:cs="Arial"/>
                <w:sz w:val="17"/>
                <w:szCs w:val="17"/>
              </w:rPr>
            </w:pPr>
            <w:r w:rsidRPr="00E10202">
              <w:rPr>
                <w:rFonts w:cs="Arial"/>
                <w:sz w:val="17"/>
                <w:szCs w:val="17"/>
              </w:rPr>
              <w:t>7.1% </w:t>
            </w:r>
          </w:p>
        </w:tc>
        <w:tc>
          <w:tcPr>
            <w:tcW w:w="810" w:type="dxa"/>
            <w:vAlign w:val="center"/>
            <w:hideMark/>
          </w:tcPr>
          <w:p w14:paraId="00076C4C" w14:textId="77777777" w:rsidR="00BA1DA6" w:rsidRPr="00E10202" w:rsidRDefault="00BA1DA6" w:rsidP="007C3893">
            <w:pPr>
              <w:pStyle w:val="TableText"/>
              <w:jc w:val="right"/>
              <w:rPr>
                <w:rFonts w:cs="Arial"/>
                <w:sz w:val="17"/>
                <w:szCs w:val="17"/>
              </w:rPr>
            </w:pPr>
            <w:r w:rsidRPr="00E10202">
              <w:rPr>
                <w:rFonts w:cs="Arial"/>
                <w:sz w:val="17"/>
                <w:szCs w:val="17"/>
              </w:rPr>
              <w:t>21 </w:t>
            </w:r>
          </w:p>
        </w:tc>
        <w:tc>
          <w:tcPr>
            <w:tcW w:w="810" w:type="dxa"/>
            <w:vAlign w:val="center"/>
            <w:hideMark/>
          </w:tcPr>
          <w:p w14:paraId="37D25209"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1AA2067B" w14:textId="77777777" w:rsidR="00BA1DA6" w:rsidRPr="00E10202" w:rsidRDefault="00BA1DA6" w:rsidP="007C3893">
            <w:pPr>
              <w:pStyle w:val="TableText"/>
              <w:jc w:val="right"/>
              <w:rPr>
                <w:rFonts w:cs="Arial"/>
                <w:sz w:val="17"/>
                <w:szCs w:val="17"/>
              </w:rPr>
            </w:pPr>
            <w:r w:rsidRPr="00E10202">
              <w:rPr>
                <w:rFonts w:cs="Arial"/>
                <w:sz w:val="17"/>
                <w:szCs w:val="17"/>
              </w:rPr>
              <w:t>7,236 </w:t>
            </w:r>
          </w:p>
        </w:tc>
      </w:tr>
      <w:tr w:rsidR="00415FA5" w:rsidRPr="00E10202" w14:paraId="00533179" w14:textId="77777777" w:rsidTr="00BD04D4">
        <w:trPr>
          <w:trHeight w:val="300"/>
        </w:trPr>
        <w:tc>
          <w:tcPr>
            <w:tcW w:w="805" w:type="dxa"/>
            <w:vAlign w:val="center"/>
            <w:hideMark/>
          </w:tcPr>
          <w:p w14:paraId="1532D0A8" w14:textId="763EC13C" w:rsidR="00BA1DA6" w:rsidRPr="00E10202" w:rsidRDefault="00BA1DA6" w:rsidP="00E10202">
            <w:pPr>
              <w:pStyle w:val="TableText"/>
              <w:rPr>
                <w:rFonts w:cs="Arial"/>
                <w:sz w:val="17"/>
                <w:szCs w:val="17"/>
              </w:rPr>
            </w:pPr>
            <w:r w:rsidRPr="00E10202">
              <w:rPr>
                <w:rFonts w:cs="Arial"/>
                <w:sz w:val="17"/>
                <w:szCs w:val="17"/>
              </w:rPr>
              <w:t>BCY23</w:t>
            </w:r>
          </w:p>
        </w:tc>
        <w:tc>
          <w:tcPr>
            <w:tcW w:w="990" w:type="dxa"/>
            <w:vAlign w:val="center"/>
            <w:hideMark/>
          </w:tcPr>
          <w:p w14:paraId="597B7E98" w14:textId="77777777" w:rsidR="00BA1DA6" w:rsidRPr="00E10202" w:rsidRDefault="00BA1DA6" w:rsidP="007C3893">
            <w:pPr>
              <w:pStyle w:val="TableText"/>
              <w:jc w:val="right"/>
              <w:rPr>
                <w:rFonts w:cs="Arial"/>
                <w:sz w:val="17"/>
                <w:szCs w:val="17"/>
              </w:rPr>
            </w:pPr>
            <w:r w:rsidRPr="00E10202">
              <w:rPr>
                <w:rFonts w:cs="Arial"/>
                <w:sz w:val="17"/>
                <w:szCs w:val="17"/>
              </w:rPr>
              <w:t>6,388 </w:t>
            </w:r>
          </w:p>
        </w:tc>
        <w:tc>
          <w:tcPr>
            <w:tcW w:w="990" w:type="dxa"/>
            <w:vAlign w:val="center"/>
            <w:hideMark/>
          </w:tcPr>
          <w:p w14:paraId="71B46495" w14:textId="77777777" w:rsidR="00BA1DA6" w:rsidRPr="00E10202" w:rsidRDefault="00BA1DA6" w:rsidP="007C3893">
            <w:pPr>
              <w:pStyle w:val="TableText"/>
              <w:jc w:val="right"/>
              <w:rPr>
                <w:rFonts w:cs="Arial"/>
                <w:sz w:val="17"/>
                <w:szCs w:val="17"/>
              </w:rPr>
            </w:pPr>
            <w:r w:rsidRPr="00E10202">
              <w:rPr>
                <w:rFonts w:cs="Arial"/>
                <w:sz w:val="17"/>
                <w:szCs w:val="17"/>
              </w:rPr>
              <w:t>83.4% </w:t>
            </w:r>
          </w:p>
        </w:tc>
        <w:tc>
          <w:tcPr>
            <w:tcW w:w="990" w:type="dxa"/>
            <w:vAlign w:val="center"/>
            <w:hideMark/>
          </w:tcPr>
          <w:p w14:paraId="3083A064" w14:textId="77777777" w:rsidR="00BA1DA6" w:rsidRPr="00E10202" w:rsidRDefault="00BA1DA6" w:rsidP="007C3893">
            <w:pPr>
              <w:pStyle w:val="TableText"/>
              <w:jc w:val="right"/>
              <w:rPr>
                <w:rFonts w:cs="Arial"/>
                <w:sz w:val="17"/>
                <w:szCs w:val="17"/>
              </w:rPr>
            </w:pPr>
            <w:r w:rsidRPr="00E10202">
              <w:rPr>
                <w:rFonts w:cs="Arial"/>
                <w:sz w:val="17"/>
                <w:szCs w:val="17"/>
              </w:rPr>
              <w:t>704 </w:t>
            </w:r>
          </w:p>
        </w:tc>
        <w:tc>
          <w:tcPr>
            <w:tcW w:w="990" w:type="dxa"/>
            <w:vAlign w:val="center"/>
            <w:hideMark/>
          </w:tcPr>
          <w:p w14:paraId="44ACE456" w14:textId="77777777" w:rsidR="00BA1DA6" w:rsidRPr="00E10202" w:rsidRDefault="00BA1DA6" w:rsidP="007C3893">
            <w:pPr>
              <w:pStyle w:val="TableText"/>
              <w:jc w:val="right"/>
              <w:rPr>
                <w:rFonts w:cs="Arial"/>
                <w:sz w:val="17"/>
                <w:szCs w:val="17"/>
              </w:rPr>
            </w:pPr>
            <w:r w:rsidRPr="00E10202">
              <w:rPr>
                <w:rFonts w:cs="Arial"/>
                <w:sz w:val="17"/>
                <w:szCs w:val="17"/>
              </w:rPr>
              <w:t>9.2% </w:t>
            </w:r>
          </w:p>
        </w:tc>
        <w:tc>
          <w:tcPr>
            <w:tcW w:w="1080" w:type="dxa"/>
            <w:vAlign w:val="center"/>
            <w:hideMark/>
          </w:tcPr>
          <w:p w14:paraId="37C08013" w14:textId="77777777" w:rsidR="00BA1DA6" w:rsidRPr="00E10202" w:rsidRDefault="00BA1DA6" w:rsidP="007C3893">
            <w:pPr>
              <w:pStyle w:val="TableText"/>
              <w:jc w:val="right"/>
              <w:rPr>
                <w:rFonts w:cs="Arial"/>
                <w:sz w:val="17"/>
                <w:szCs w:val="17"/>
              </w:rPr>
            </w:pPr>
            <w:r w:rsidRPr="00E10202">
              <w:rPr>
                <w:rFonts w:cs="Arial"/>
                <w:sz w:val="17"/>
                <w:szCs w:val="17"/>
              </w:rPr>
              <w:t>542 </w:t>
            </w:r>
          </w:p>
        </w:tc>
        <w:tc>
          <w:tcPr>
            <w:tcW w:w="1170" w:type="dxa"/>
            <w:vAlign w:val="center"/>
            <w:hideMark/>
          </w:tcPr>
          <w:p w14:paraId="6EFE21A8" w14:textId="77777777" w:rsidR="00BA1DA6" w:rsidRPr="00E10202" w:rsidRDefault="00BA1DA6" w:rsidP="007C3893">
            <w:pPr>
              <w:pStyle w:val="TableText"/>
              <w:jc w:val="right"/>
              <w:rPr>
                <w:rFonts w:cs="Arial"/>
                <w:sz w:val="17"/>
                <w:szCs w:val="17"/>
              </w:rPr>
            </w:pPr>
            <w:r w:rsidRPr="00E10202">
              <w:rPr>
                <w:rFonts w:cs="Arial"/>
                <w:sz w:val="17"/>
                <w:szCs w:val="17"/>
              </w:rPr>
              <w:t>7.1% </w:t>
            </w:r>
          </w:p>
        </w:tc>
        <w:tc>
          <w:tcPr>
            <w:tcW w:w="810" w:type="dxa"/>
            <w:vAlign w:val="center"/>
            <w:hideMark/>
          </w:tcPr>
          <w:p w14:paraId="265E122F" w14:textId="77777777" w:rsidR="00BA1DA6" w:rsidRPr="00E10202" w:rsidRDefault="00BA1DA6" w:rsidP="007C3893">
            <w:pPr>
              <w:pStyle w:val="TableText"/>
              <w:jc w:val="right"/>
              <w:rPr>
                <w:rFonts w:cs="Arial"/>
                <w:sz w:val="17"/>
                <w:szCs w:val="17"/>
              </w:rPr>
            </w:pPr>
            <w:r w:rsidRPr="00E10202">
              <w:rPr>
                <w:rFonts w:cs="Arial"/>
                <w:sz w:val="17"/>
                <w:szCs w:val="17"/>
              </w:rPr>
              <w:t>24 </w:t>
            </w:r>
          </w:p>
        </w:tc>
        <w:tc>
          <w:tcPr>
            <w:tcW w:w="810" w:type="dxa"/>
            <w:vAlign w:val="center"/>
            <w:hideMark/>
          </w:tcPr>
          <w:p w14:paraId="01EC5B23"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6370FAD2" w14:textId="77777777" w:rsidR="00BA1DA6" w:rsidRPr="00E10202" w:rsidRDefault="00BA1DA6" w:rsidP="007C3893">
            <w:pPr>
              <w:pStyle w:val="TableText"/>
              <w:jc w:val="right"/>
              <w:rPr>
                <w:rFonts w:cs="Arial"/>
                <w:sz w:val="17"/>
                <w:szCs w:val="17"/>
              </w:rPr>
            </w:pPr>
            <w:r w:rsidRPr="00E10202">
              <w:rPr>
                <w:rFonts w:cs="Arial"/>
                <w:sz w:val="17"/>
                <w:szCs w:val="17"/>
              </w:rPr>
              <w:t>7,658 </w:t>
            </w:r>
          </w:p>
        </w:tc>
      </w:tr>
      <w:tr w:rsidR="007C3893" w:rsidRPr="00E10202" w14:paraId="50D94171" w14:textId="77777777" w:rsidTr="00BD04D4">
        <w:trPr>
          <w:trHeight w:val="300"/>
        </w:trPr>
        <w:tc>
          <w:tcPr>
            <w:tcW w:w="805" w:type="dxa"/>
            <w:vAlign w:val="center"/>
            <w:hideMark/>
          </w:tcPr>
          <w:p w14:paraId="129D97A5" w14:textId="60880857" w:rsidR="00BA1DA6" w:rsidRPr="00E10202" w:rsidRDefault="00BA1DA6" w:rsidP="00E10202">
            <w:pPr>
              <w:pStyle w:val="TableText"/>
              <w:rPr>
                <w:rFonts w:cs="Arial"/>
                <w:sz w:val="17"/>
                <w:szCs w:val="17"/>
              </w:rPr>
            </w:pPr>
            <w:r w:rsidRPr="00E10202">
              <w:rPr>
                <w:rFonts w:cs="Arial"/>
                <w:sz w:val="17"/>
                <w:szCs w:val="17"/>
              </w:rPr>
              <w:t>BCY24</w:t>
            </w:r>
          </w:p>
        </w:tc>
        <w:tc>
          <w:tcPr>
            <w:tcW w:w="990" w:type="dxa"/>
            <w:vAlign w:val="center"/>
            <w:hideMark/>
          </w:tcPr>
          <w:p w14:paraId="42CF609F" w14:textId="77777777" w:rsidR="00BA1DA6" w:rsidRPr="00E10202" w:rsidRDefault="00BA1DA6" w:rsidP="007C3893">
            <w:pPr>
              <w:pStyle w:val="TableText"/>
              <w:jc w:val="right"/>
              <w:rPr>
                <w:rFonts w:cs="Arial"/>
                <w:sz w:val="17"/>
                <w:szCs w:val="17"/>
              </w:rPr>
            </w:pPr>
            <w:r w:rsidRPr="00E10202">
              <w:rPr>
                <w:rFonts w:cs="Arial"/>
                <w:sz w:val="17"/>
                <w:szCs w:val="17"/>
              </w:rPr>
              <w:t>6,829 </w:t>
            </w:r>
          </w:p>
        </w:tc>
        <w:tc>
          <w:tcPr>
            <w:tcW w:w="990" w:type="dxa"/>
            <w:vAlign w:val="center"/>
            <w:hideMark/>
          </w:tcPr>
          <w:p w14:paraId="28BA8724" w14:textId="77777777" w:rsidR="00BA1DA6" w:rsidRPr="00E10202" w:rsidRDefault="00BA1DA6" w:rsidP="007C3893">
            <w:pPr>
              <w:pStyle w:val="TableText"/>
              <w:jc w:val="right"/>
              <w:rPr>
                <w:rFonts w:cs="Arial"/>
                <w:sz w:val="17"/>
                <w:szCs w:val="17"/>
              </w:rPr>
            </w:pPr>
            <w:r w:rsidRPr="00E10202">
              <w:rPr>
                <w:rFonts w:cs="Arial"/>
                <w:sz w:val="17"/>
                <w:szCs w:val="17"/>
              </w:rPr>
              <w:t>84.8% </w:t>
            </w:r>
          </w:p>
        </w:tc>
        <w:tc>
          <w:tcPr>
            <w:tcW w:w="990" w:type="dxa"/>
            <w:vAlign w:val="center"/>
            <w:hideMark/>
          </w:tcPr>
          <w:p w14:paraId="16DF31CB" w14:textId="77777777" w:rsidR="00BA1DA6" w:rsidRPr="00E10202" w:rsidRDefault="00BA1DA6" w:rsidP="007C3893">
            <w:pPr>
              <w:pStyle w:val="TableText"/>
              <w:jc w:val="right"/>
              <w:rPr>
                <w:rFonts w:cs="Arial"/>
                <w:sz w:val="17"/>
                <w:szCs w:val="17"/>
              </w:rPr>
            </w:pPr>
            <w:r w:rsidRPr="00E10202">
              <w:rPr>
                <w:rFonts w:cs="Arial"/>
                <w:sz w:val="17"/>
                <w:szCs w:val="17"/>
              </w:rPr>
              <w:t>720 </w:t>
            </w:r>
          </w:p>
        </w:tc>
        <w:tc>
          <w:tcPr>
            <w:tcW w:w="990" w:type="dxa"/>
            <w:vAlign w:val="center"/>
            <w:hideMark/>
          </w:tcPr>
          <w:p w14:paraId="0B85F7B0" w14:textId="77777777" w:rsidR="00BA1DA6" w:rsidRPr="00E10202" w:rsidRDefault="00BA1DA6" w:rsidP="007C3893">
            <w:pPr>
              <w:pStyle w:val="TableText"/>
              <w:jc w:val="right"/>
              <w:rPr>
                <w:rFonts w:cs="Arial"/>
                <w:sz w:val="17"/>
                <w:szCs w:val="17"/>
              </w:rPr>
            </w:pPr>
            <w:r w:rsidRPr="00E10202">
              <w:rPr>
                <w:rFonts w:cs="Arial"/>
                <w:sz w:val="17"/>
                <w:szCs w:val="17"/>
              </w:rPr>
              <w:t>8.9% </w:t>
            </w:r>
          </w:p>
        </w:tc>
        <w:tc>
          <w:tcPr>
            <w:tcW w:w="1080" w:type="dxa"/>
            <w:vAlign w:val="center"/>
            <w:hideMark/>
          </w:tcPr>
          <w:p w14:paraId="2D7BE498" w14:textId="77777777" w:rsidR="00BA1DA6" w:rsidRPr="00E10202" w:rsidRDefault="00BA1DA6" w:rsidP="007C3893">
            <w:pPr>
              <w:pStyle w:val="TableText"/>
              <w:jc w:val="right"/>
              <w:rPr>
                <w:rFonts w:cs="Arial"/>
                <w:sz w:val="17"/>
                <w:szCs w:val="17"/>
              </w:rPr>
            </w:pPr>
            <w:r w:rsidRPr="00E10202">
              <w:rPr>
                <w:rFonts w:cs="Arial"/>
                <w:sz w:val="17"/>
                <w:szCs w:val="17"/>
              </w:rPr>
              <w:t>480 </w:t>
            </w:r>
          </w:p>
        </w:tc>
        <w:tc>
          <w:tcPr>
            <w:tcW w:w="1170" w:type="dxa"/>
            <w:vAlign w:val="center"/>
            <w:hideMark/>
          </w:tcPr>
          <w:p w14:paraId="04FD63E7" w14:textId="77777777" w:rsidR="00BA1DA6" w:rsidRPr="00E10202" w:rsidRDefault="00BA1DA6" w:rsidP="007C3893">
            <w:pPr>
              <w:pStyle w:val="TableText"/>
              <w:jc w:val="right"/>
              <w:rPr>
                <w:rFonts w:cs="Arial"/>
                <w:sz w:val="17"/>
                <w:szCs w:val="17"/>
              </w:rPr>
            </w:pPr>
            <w:r w:rsidRPr="00E10202">
              <w:rPr>
                <w:rFonts w:cs="Arial"/>
                <w:sz w:val="17"/>
                <w:szCs w:val="17"/>
              </w:rPr>
              <w:t>6.0% </w:t>
            </w:r>
          </w:p>
        </w:tc>
        <w:tc>
          <w:tcPr>
            <w:tcW w:w="810" w:type="dxa"/>
            <w:vAlign w:val="center"/>
            <w:hideMark/>
          </w:tcPr>
          <w:p w14:paraId="07EE4FBE" w14:textId="77777777" w:rsidR="00BA1DA6" w:rsidRPr="00E10202" w:rsidRDefault="00BA1DA6" w:rsidP="007C3893">
            <w:pPr>
              <w:pStyle w:val="TableText"/>
              <w:jc w:val="right"/>
              <w:rPr>
                <w:rFonts w:cs="Arial"/>
                <w:sz w:val="17"/>
                <w:szCs w:val="17"/>
              </w:rPr>
            </w:pPr>
            <w:r w:rsidRPr="00E10202">
              <w:rPr>
                <w:rFonts w:cs="Arial"/>
                <w:sz w:val="17"/>
                <w:szCs w:val="17"/>
              </w:rPr>
              <w:t>24 </w:t>
            </w:r>
          </w:p>
        </w:tc>
        <w:tc>
          <w:tcPr>
            <w:tcW w:w="810" w:type="dxa"/>
            <w:vAlign w:val="center"/>
            <w:hideMark/>
          </w:tcPr>
          <w:p w14:paraId="5C75CFB0" w14:textId="77777777" w:rsidR="00BA1DA6" w:rsidRPr="00E10202" w:rsidRDefault="00BA1DA6" w:rsidP="007C3893">
            <w:pPr>
              <w:pStyle w:val="TableText"/>
              <w:jc w:val="right"/>
              <w:rPr>
                <w:rFonts w:cs="Arial"/>
                <w:sz w:val="17"/>
                <w:szCs w:val="17"/>
              </w:rPr>
            </w:pPr>
            <w:r w:rsidRPr="00E10202">
              <w:rPr>
                <w:rFonts w:cs="Arial"/>
                <w:sz w:val="17"/>
                <w:szCs w:val="17"/>
              </w:rPr>
              <w:t>0.3% </w:t>
            </w:r>
          </w:p>
        </w:tc>
        <w:tc>
          <w:tcPr>
            <w:tcW w:w="990" w:type="dxa"/>
            <w:vAlign w:val="center"/>
            <w:hideMark/>
          </w:tcPr>
          <w:p w14:paraId="2EAD7E76" w14:textId="77777777" w:rsidR="00BA1DA6" w:rsidRPr="00E10202" w:rsidRDefault="00BA1DA6" w:rsidP="007C3893">
            <w:pPr>
              <w:pStyle w:val="TableText"/>
              <w:jc w:val="right"/>
              <w:rPr>
                <w:rFonts w:cs="Arial"/>
                <w:sz w:val="17"/>
                <w:szCs w:val="17"/>
              </w:rPr>
            </w:pPr>
            <w:r w:rsidRPr="00E10202">
              <w:rPr>
                <w:rFonts w:cs="Arial"/>
                <w:sz w:val="17"/>
                <w:szCs w:val="17"/>
              </w:rPr>
              <w:t>8,053 </w:t>
            </w:r>
          </w:p>
        </w:tc>
      </w:tr>
    </w:tbl>
    <w:p w14:paraId="42EAC357" w14:textId="77777777" w:rsidR="00BA1DA6" w:rsidRPr="00BA1DA6" w:rsidRDefault="00BA1DA6" w:rsidP="00BA1DA6">
      <w:pPr>
        <w:pStyle w:val="BodyText"/>
      </w:pPr>
      <w:r w:rsidRPr="00BA1DA6">
        <w:t>Certain relatives may provide CCS. Relative providers include individuals at least 18 years of age, and is, by marriage, blood relationship, or court decree, the child's: </w:t>
      </w:r>
    </w:p>
    <w:p w14:paraId="4354B93F" w14:textId="77777777" w:rsidR="00BA1DA6" w:rsidRPr="00BA1DA6" w:rsidRDefault="00BA1DA6" w:rsidP="00C64851">
      <w:pPr>
        <w:pStyle w:val="BodyText"/>
        <w:numPr>
          <w:ilvl w:val="0"/>
          <w:numId w:val="511"/>
        </w:numPr>
      </w:pPr>
      <w:r w:rsidRPr="00BA1DA6">
        <w:t>Grandparent </w:t>
      </w:r>
    </w:p>
    <w:p w14:paraId="24537B28" w14:textId="77777777" w:rsidR="00BA1DA6" w:rsidRPr="00BA1DA6" w:rsidRDefault="00BA1DA6" w:rsidP="00C64851">
      <w:pPr>
        <w:pStyle w:val="BodyText"/>
        <w:numPr>
          <w:ilvl w:val="0"/>
          <w:numId w:val="512"/>
        </w:numPr>
      </w:pPr>
      <w:r w:rsidRPr="00BA1DA6">
        <w:t>Great-grandparent </w:t>
      </w:r>
    </w:p>
    <w:p w14:paraId="31A87C22" w14:textId="77777777" w:rsidR="00BA1DA6" w:rsidRPr="00BA1DA6" w:rsidRDefault="00BA1DA6" w:rsidP="00C64851">
      <w:pPr>
        <w:pStyle w:val="BodyText"/>
        <w:numPr>
          <w:ilvl w:val="0"/>
          <w:numId w:val="513"/>
        </w:numPr>
      </w:pPr>
      <w:r w:rsidRPr="00BA1DA6">
        <w:t>Aunt </w:t>
      </w:r>
    </w:p>
    <w:p w14:paraId="27AEEC96" w14:textId="77777777" w:rsidR="00BA1DA6" w:rsidRPr="00BA1DA6" w:rsidRDefault="00BA1DA6" w:rsidP="00C64851">
      <w:pPr>
        <w:pStyle w:val="BodyText"/>
        <w:numPr>
          <w:ilvl w:val="0"/>
          <w:numId w:val="514"/>
        </w:numPr>
      </w:pPr>
      <w:r w:rsidRPr="00BA1DA6">
        <w:t>Uncle </w:t>
      </w:r>
    </w:p>
    <w:p w14:paraId="7CB6EDDC" w14:textId="77777777" w:rsidR="00BA1DA6" w:rsidRPr="00BA1DA6" w:rsidRDefault="00BA1DA6" w:rsidP="00C64851">
      <w:pPr>
        <w:pStyle w:val="BodyText"/>
        <w:numPr>
          <w:ilvl w:val="0"/>
          <w:numId w:val="515"/>
        </w:numPr>
      </w:pPr>
      <w:r w:rsidRPr="00BA1DA6">
        <w:t>Sibling (if the sibling does not reside in the same household as the eligible child) </w:t>
      </w:r>
    </w:p>
    <w:p w14:paraId="10D01A0B" w14:textId="77777777" w:rsidR="00BA1DA6" w:rsidRPr="00BA1DA6" w:rsidRDefault="00BA1DA6" w:rsidP="00BA1DA6">
      <w:pPr>
        <w:pStyle w:val="BodyText"/>
      </w:pPr>
      <w:r w:rsidRPr="00BA1DA6">
        <w:t>Relative providers must be a listed family home. In BCY 2024, relative family homes cared for 234 CCS children. </w:t>
      </w:r>
    </w:p>
    <w:p w14:paraId="4F7797BA" w14:textId="77777777" w:rsidR="00BA1DA6" w:rsidRPr="00BA1DA6" w:rsidRDefault="00BA1DA6" w:rsidP="00BD04D4">
      <w:pPr>
        <w:pStyle w:val="BodyText3"/>
        <w:ind w:left="720" w:hanging="720"/>
      </w:pPr>
      <w:r w:rsidRPr="00BA1DA6">
        <w:t>F.</w:t>
      </w:r>
      <w:r w:rsidRPr="00BA1DA6">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6072E723" w14:textId="77777777" w:rsidR="00BA1DA6" w:rsidRPr="00BA1DA6" w:rsidRDefault="00BA1DA6" w:rsidP="00BD04D4">
      <w:pPr>
        <w:pStyle w:val="BodyText3"/>
      </w:pPr>
      <w:r w:rsidRPr="00BA1DA6">
        <w:t>Child Care Services - Financial Aid </w:t>
      </w:r>
    </w:p>
    <w:p w14:paraId="331A183C" w14:textId="77777777" w:rsidR="00BA1DA6" w:rsidRPr="00BA1DA6" w:rsidRDefault="00BA1DA6" w:rsidP="00BA1DA6">
      <w:pPr>
        <w:pStyle w:val="BodyText"/>
      </w:pPr>
      <w:r w:rsidRPr="00BA1DA6">
        <w:t xml:space="preserve">TWC provides administrative oversight but does not directly administer </w:t>
      </w:r>
      <w:proofErr w:type="gramStart"/>
      <w:r w:rsidRPr="00BA1DA6">
        <w:t>child care</w:t>
      </w:r>
      <w:proofErr w:type="gramEnd"/>
      <w:r w:rsidRPr="00BA1DA6">
        <w:t xml:space="preserve"> services financial aid. TWC administers the program by: </w:t>
      </w:r>
    </w:p>
    <w:p w14:paraId="0B208C91" w14:textId="77777777" w:rsidR="00BA1DA6" w:rsidRPr="00BA1DA6" w:rsidRDefault="00BA1DA6" w:rsidP="00C64851">
      <w:pPr>
        <w:pStyle w:val="BodyText"/>
        <w:numPr>
          <w:ilvl w:val="0"/>
          <w:numId w:val="548"/>
        </w:numPr>
      </w:pPr>
      <w:r w:rsidRPr="00BA1DA6">
        <w:t xml:space="preserve">Developing policy for </w:t>
      </w:r>
      <w:proofErr w:type="gramStart"/>
      <w:r w:rsidRPr="00BA1DA6">
        <w:t>child care</w:t>
      </w:r>
      <w:proofErr w:type="gramEnd"/>
      <w:r w:rsidRPr="00BA1DA6">
        <w:t xml:space="preserve"> services (as set forth in TWC’s Child Care Services rules in 40 TAC Chapter 809). </w:t>
      </w:r>
    </w:p>
    <w:p w14:paraId="7ABD5730" w14:textId="77777777" w:rsidR="00BA1DA6" w:rsidRPr="00BA1DA6" w:rsidRDefault="00BA1DA6" w:rsidP="00C64851">
      <w:pPr>
        <w:pStyle w:val="BodyText"/>
        <w:numPr>
          <w:ilvl w:val="0"/>
          <w:numId w:val="548"/>
        </w:numPr>
      </w:pPr>
      <w:r w:rsidRPr="00BA1DA6">
        <w:lastRenderedPageBreak/>
        <w:t xml:space="preserve">Interpreting and implementing the requirements of state and federal statutes and regulations governing </w:t>
      </w:r>
      <w:proofErr w:type="gramStart"/>
      <w:r w:rsidRPr="00BA1DA6">
        <w:t>child care</w:t>
      </w:r>
      <w:proofErr w:type="gramEnd"/>
      <w:r w:rsidRPr="00BA1DA6">
        <w:t>. </w:t>
      </w:r>
    </w:p>
    <w:p w14:paraId="4CC6B556" w14:textId="77777777" w:rsidR="00BA1DA6" w:rsidRPr="00BA1DA6" w:rsidRDefault="00BA1DA6" w:rsidP="00C64851">
      <w:pPr>
        <w:pStyle w:val="BodyText"/>
        <w:numPr>
          <w:ilvl w:val="0"/>
          <w:numId w:val="548"/>
        </w:numPr>
      </w:pPr>
      <w:r w:rsidRPr="00BA1DA6">
        <w:t>Providing technical assistance. </w:t>
      </w:r>
    </w:p>
    <w:p w14:paraId="7E278978" w14:textId="77777777" w:rsidR="00BA1DA6" w:rsidRPr="00BA1DA6" w:rsidRDefault="00BA1DA6" w:rsidP="00C64851">
      <w:pPr>
        <w:pStyle w:val="BodyText"/>
        <w:numPr>
          <w:ilvl w:val="0"/>
          <w:numId w:val="548"/>
        </w:numPr>
      </w:pPr>
      <w:r w:rsidRPr="00BA1DA6">
        <w:t>Allocating funds to Boards. </w:t>
      </w:r>
    </w:p>
    <w:p w14:paraId="4DD1A9A5" w14:textId="77777777" w:rsidR="00BA1DA6" w:rsidRPr="00BA1DA6" w:rsidRDefault="00BA1DA6" w:rsidP="00C64851">
      <w:pPr>
        <w:pStyle w:val="BodyText"/>
        <w:numPr>
          <w:ilvl w:val="0"/>
          <w:numId w:val="548"/>
        </w:numPr>
      </w:pPr>
      <w:r w:rsidRPr="00BA1DA6">
        <w:t>Establishing Board performance targets. </w:t>
      </w:r>
    </w:p>
    <w:p w14:paraId="7F65EBE4" w14:textId="77777777" w:rsidR="00BA1DA6" w:rsidRPr="00BA1DA6" w:rsidRDefault="00BA1DA6" w:rsidP="00C64851">
      <w:pPr>
        <w:pStyle w:val="BodyText"/>
        <w:numPr>
          <w:ilvl w:val="0"/>
          <w:numId w:val="548"/>
        </w:numPr>
      </w:pPr>
      <w:r w:rsidRPr="00BA1DA6">
        <w:t xml:space="preserve">Maintaining the </w:t>
      </w:r>
      <w:proofErr w:type="gramStart"/>
      <w:r w:rsidRPr="00BA1DA6">
        <w:t>child care</w:t>
      </w:r>
      <w:proofErr w:type="gramEnd"/>
      <w:r w:rsidRPr="00BA1DA6">
        <w:t xml:space="preserve"> case management system (TX3C). </w:t>
      </w:r>
    </w:p>
    <w:p w14:paraId="137964DD" w14:textId="77777777" w:rsidR="00BA1DA6" w:rsidRPr="00BA1DA6" w:rsidRDefault="00BA1DA6" w:rsidP="00BA1DA6">
      <w:pPr>
        <w:pStyle w:val="BodyText"/>
      </w:pPr>
      <w:r w:rsidRPr="00BA1DA6">
        <w:t>TWC also accepts and certifies local match raised by the Boards, including: </w:t>
      </w:r>
    </w:p>
    <w:p w14:paraId="331F345F" w14:textId="77777777" w:rsidR="00BA1DA6" w:rsidRPr="00BA1DA6" w:rsidRDefault="00BA1DA6" w:rsidP="00C64851">
      <w:pPr>
        <w:pStyle w:val="BodyText"/>
        <w:numPr>
          <w:ilvl w:val="0"/>
          <w:numId w:val="549"/>
        </w:numPr>
      </w:pPr>
      <w:r w:rsidRPr="00BA1DA6">
        <w:t>Private donated funds </w:t>
      </w:r>
    </w:p>
    <w:p w14:paraId="4F29024B" w14:textId="77777777" w:rsidR="00BA1DA6" w:rsidRPr="00BA1DA6" w:rsidRDefault="00BA1DA6" w:rsidP="00C64851">
      <w:pPr>
        <w:pStyle w:val="BodyText"/>
        <w:numPr>
          <w:ilvl w:val="0"/>
          <w:numId w:val="549"/>
        </w:numPr>
      </w:pPr>
      <w:r w:rsidRPr="00BA1DA6">
        <w:t>Public transferred funds </w:t>
      </w:r>
    </w:p>
    <w:p w14:paraId="7349D2A8" w14:textId="77777777" w:rsidR="00BA1DA6" w:rsidRPr="00BA1DA6" w:rsidRDefault="00BA1DA6" w:rsidP="00C64851">
      <w:pPr>
        <w:pStyle w:val="BodyText"/>
        <w:numPr>
          <w:ilvl w:val="0"/>
          <w:numId w:val="549"/>
        </w:numPr>
      </w:pPr>
      <w:r w:rsidRPr="00BA1DA6">
        <w:t>Public certified expenditures </w:t>
      </w:r>
    </w:p>
    <w:p w14:paraId="5357A4ED" w14:textId="77777777" w:rsidR="00BA1DA6" w:rsidRPr="00BA1DA6" w:rsidRDefault="00BA1DA6" w:rsidP="00BA1DA6">
      <w:pPr>
        <w:pStyle w:val="BodyText"/>
      </w:pPr>
      <w:r w:rsidRPr="00BA1DA6">
        <w:t xml:space="preserve">TWC grants funds to each of the 28 Local Workforce Development Boards (Boards) to administer </w:t>
      </w:r>
      <w:proofErr w:type="gramStart"/>
      <w:r w:rsidRPr="00BA1DA6">
        <w:t>child care</w:t>
      </w:r>
      <w:proofErr w:type="gramEnd"/>
      <w:r w:rsidRPr="00BA1DA6">
        <w:t xml:space="preserve"> services and develop local policies for child care services, and deliver quality improvement activities. </w:t>
      </w:r>
    </w:p>
    <w:p w14:paraId="645EF53B" w14:textId="77777777" w:rsidR="00BA1DA6" w:rsidRPr="00BA1DA6" w:rsidRDefault="00BA1DA6" w:rsidP="00BA1DA6">
      <w:pPr>
        <w:pStyle w:val="BodyText"/>
      </w:pPr>
      <w:r w:rsidRPr="00BA1DA6">
        <w:t>The Boards competitively procure contractors to: </w:t>
      </w:r>
    </w:p>
    <w:p w14:paraId="29F2D02C" w14:textId="77777777" w:rsidR="00BA1DA6" w:rsidRPr="00BA1DA6" w:rsidRDefault="00BA1DA6" w:rsidP="00C64851">
      <w:pPr>
        <w:pStyle w:val="BodyText"/>
        <w:numPr>
          <w:ilvl w:val="0"/>
          <w:numId w:val="550"/>
        </w:numPr>
      </w:pPr>
      <w:r w:rsidRPr="00BA1DA6">
        <w:t xml:space="preserve">Conduct </w:t>
      </w:r>
      <w:proofErr w:type="gramStart"/>
      <w:r w:rsidRPr="00BA1DA6">
        <w:t>child care</w:t>
      </w:r>
      <w:proofErr w:type="gramEnd"/>
      <w:r w:rsidRPr="00BA1DA6">
        <w:t xml:space="preserve"> services eligibility determinations. </w:t>
      </w:r>
    </w:p>
    <w:p w14:paraId="6328E580" w14:textId="77777777" w:rsidR="00BA1DA6" w:rsidRPr="00BA1DA6" w:rsidRDefault="00BA1DA6" w:rsidP="00C64851">
      <w:pPr>
        <w:pStyle w:val="BodyText"/>
        <w:numPr>
          <w:ilvl w:val="0"/>
          <w:numId w:val="550"/>
        </w:numPr>
      </w:pPr>
      <w:r w:rsidRPr="00BA1DA6">
        <w:t xml:space="preserve">Authorize </w:t>
      </w:r>
      <w:proofErr w:type="gramStart"/>
      <w:r w:rsidRPr="00BA1DA6">
        <w:t>child care</w:t>
      </w:r>
      <w:proofErr w:type="gramEnd"/>
      <w:r w:rsidRPr="00BA1DA6">
        <w:t xml:space="preserve"> services at eligible providers chosen by the parent. </w:t>
      </w:r>
    </w:p>
    <w:p w14:paraId="32F93E36" w14:textId="77777777" w:rsidR="00BA1DA6" w:rsidRPr="00BA1DA6" w:rsidRDefault="00BA1DA6" w:rsidP="00C64851">
      <w:pPr>
        <w:pStyle w:val="BodyText"/>
        <w:numPr>
          <w:ilvl w:val="0"/>
          <w:numId w:val="550"/>
        </w:numPr>
      </w:pPr>
      <w:r w:rsidRPr="00BA1DA6">
        <w:t>Authorize parent share of cost assessments. </w:t>
      </w:r>
    </w:p>
    <w:p w14:paraId="1ED467E0" w14:textId="77777777" w:rsidR="00BA1DA6" w:rsidRPr="00BA1DA6" w:rsidRDefault="00BA1DA6" w:rsidP="00C64851">
      <w:pPr>
        <w:pStyle w:val="BodyText"/>
        <w:numPr>
          <w:ilvl w:val="0"/>
          <w:numId w:val="550"/>
        </w:numPr>
      </w:pPr>
      <w:r w:rsidRPr="00BA1DA6">
        <w:t xml:space="preserve">Track and monitor </w:t>
      </w:r>
      <w:proofErr w:type="gramStart"/>
      <w:r w:rsidRPr="00BA1DA6">
        <w:t>child care</w:t>
      </w:r>
      <w:proofErr w:type="gramEnd"/>
      <w:r w:rsidRPr="00BA1DA6">
        <w:t xml:space="preserve"> attendance recorded by the parent. </w:t>
      </w:r>
    </w:p>
    <w:p w14:paraId="55A1B013" w14:textId="77777777" w:rsidR="00BA1DA6" w:rsidRPr="00BA1DA6" w:rsidRDefault="00BA1DA6" w:rsidP="00C64851">
      <w:pPr>
        <w:pStyle w:val="BodyText"/>
        <w:numPr>
          <w:ilvl w:val="0"/>
          <w:numId w:val="550"/>
        </w:numPr>
      </w:pPr>
      <w:r w:rsidRPr="00BA1DA6">
        <w:t xml:space="preserve">Reimburse </w:t>
      </w:r>
      <w:proofErr w:type="gramStart"/>
      <w:r w:rsidRPr="00BA1DA6">
        <w:t>child care</w:t>
      </w:r>
      <w:proofErr w:type="gramEnd"/>
      <w:r w:rsidRPr="00BA1DA6">
        <w:t xml:space="preserve"> providers for services provided. </w:t>
      </w:r>
    </w:p>
    <w:p w14:paraId="36ECAF7B" w14:textId="77777777" w:rsidR="00BA1DA6" w:rsidRPr="00BA1DA6" w:rsidRDefault="00BA1DA6" w:rsidP="00C64851">
      <w:pPr>
        <w:pStyle w:val="BodyText"/>
        <w:numPr>
          <w:ilvl w:val="0"/>
          <w:numId w:val="550"/>
        </w:numPr>
      </w:pPr>
      <w:r w:rsidRPr="00BA1DA6">
        <w:t>Provide consumer education information to parents. </w:t>
      </w:r>
    </w:p>
    <w:p w14:paraId="064AEB78" w14:textId="77777777" w:rsidR="00BA1DA6" w:rsidRPr="00BA1DA6" w:rsidRDefault="00BA1DA6" w:rsidP="00BD04D4">
      <w:pPr>
        <w:pStyle w:val="BodyText3"/>
      </w:pPr>
      <w:r w:rsidRPr="00BA1DA6">
        <w:t>Child Care Services - Quality Initiatives </w:t>
      </w:r>
    </w:p>
    <w:p w14:paraId="03381BC9" w14:textId="77777777" w:rsidR="00BA1DA6" w:rsidRPr="00BA1DA6" w:rsidRDefault="00BA1DA6" w:rsidP="00BA1DA6">
      <w:pPr>
        <w:pStyle w:val="BodyText"/>
      </w:pPr>
      <w:r w:rsidRPr="00BA1DA6">
        <w:t>TWC administers statewide quality initiatives through grants and contracts with various entities in the state. Child Care &amp; Early Learning’s Grants &amp; Contracts team develops interagency contracts described in Section H, as well as grant awards and contracts to implement, for example, the following quality improvement activities. </w:t>
      </w:r>
    </w:p>
    <w:p w14:paraId="1A8EA28C" w14:textId="77777777" w:rsidR="00BA1DA6" w:rsidRPr="00BA1DA6" w:rsidRDefault="00BA1DA6" w:rsidP="00BA1DA6">
      <w:pPr>
        <w:pStyle w:val="BodyText"/>
      </w:pPr>
      <w:r w:rsidRPr="00BA1DA6">
        <w:rPr>
          <w:i/>
          <w:iCs/>
        </w:rPr>
        <w:t>Professional Development Scholarships for Early Childhood Education </w:t>
      </w:r>
      <w:r w:rsidRPr="00BA1DA6">
        <w:t> </w:t>
      </w:r>
    </w:p>
    <w:p w14:paraId="6CFE94FF" w14:textId="77777777" w:rsidR="00BA1DA6" w:rsidRPr="00BA1DA6" w:rsidRDefault="00BA1DA6" w:rsidP="00BA1DA6">
      <w:pPr>
        <w:pStyle w:val="BodyText"/>
      </w:pPr>
      <w:r w:rsidRPr="00BA1DA6">
        <w:lastRenderedPageBreak/>
        <w:t xml:space="preserve">The Texas Labor Code, §302.0063, directs TWC to establish and administer a professional development scholarship program for current and prospective child-care workers.  The legislature directs TWC, out of appropriated CCDF, to dedicate $1,500,000 each biennium for programs that encourage increased participation in continuing professional development for early childhood professionals. Funding may be used to fund teacher training programs, programs that lead to a national credential in early childhood education, or work-study programs in </w:t>
      </w:r>
      <w:proofErr w:type="gramStart"/>
      <w:r w:rsidRPr="00BA1DA6">
        <w:t>child care</w:t>
      </w:r>
      <w:proofErr w:type="gramEnd"/>
      <w:r w:rsidRPr="00BA1DA6">
        <w:t>. Funding may also be used for pilot programs that utilize tools for individualized instruction coupled with professional development components that support ongoing learning for teachers. </w:t>
      </w:r>
    </w:p>
    <w:p w14:paraId="7DA6FE0F" w14:textId="77777777" w:rsidR="00BA1DA6" w:rsidRPr="00BA1DA6" w:rsidRDefault="00BA1DA6" w:rsidP="00BA1DA6">
      <w:pPr>
        <w:pStyle w:val="BodyText"/>
      </w:pPr>
      <w:r w:rsidRPr="00BA1DA6">
        <w:t xml:space="preserve">TWC awards grant funds to the Texas Association for the Education of Young Children (TAEYC) to administer professional development scholarships for </w:t>
      </w:r>
      <w:proofErr w:type="gramStart"/>
      <w:r w:rsidRPr="00BA1DA6">
        <w:t>child care</w:t>
      </w:r>
      <w:proofErr w:type="gramEnd"/>
      <w:r w:rsidRPr="00BA1DA6">
        <w:t xml:space="preserve"> workers to obtain a Child Development Associate credential, an associate degree in child development or early childhood education, a bachelor’s degree in early childhood education or related fields, and early childhood education registered apprenticeship certificate. </w:t>
      </w:r>
    </w:p>
    <w:p w14:paraId="0A6D765F" w14:textId="77777777" w:rsidR="00BA1DA6" w:rsidRPr="00BA1DA6" w:rsidRDefault="00BA1DA6" w:rsidP="00BA1DA6">
      <w:pPr>
        <w:pStyle w:val="BodyText"/>
      </w:pPr>
      <w:r w:rsidRPr="00BA1DA6">
        <w:rPr>
          <w:i/>
          <w:iCs/>
        </w:rPr>
        <w:t>Early Childhood Educators in the Planning for Individualized Instruction</w:t>
      </w:r>
      <w:r w:rsidRPr="00BA1DA6">
        <w:t> </w:t>
      </w:r>
    </w:p>
    <w:p w14:paraId="2462C3CD" w14:textId="77777777" w:rsidR="00BA1DA6" w:rsidRPr="00BA1DA6" w:rsidRDefault="00BA1DA6" w:rsidP="00BA1DA6">
      <w:pPr>
        <w:pStyle w:val="BodyText"/>
      </w:pPr>
      <w:r w:rsidRPr="00BA1DA6">
        <w:t xml:space="preserve">TWC has awarded Teaching Strategies a grant to support Early Childhood Educators in the Planning for Individualized Instruction, through this initiative, TWC aims to provide the educators with formal child progress monitoring tools and related materials aligned with critical developmental domains. By supporting Early Childhood Educators’ use of observable, valid, and reliable formal assessments of children’s developmental progress and helping Early Childhood Educators develop intentional classroom activities, this initiative intends to improve the quality of early learning in programs participating in CCS and increase kindergarten readiness. This initiative also seeks to align child progress monitoring practices between </w:t>
      </w:r>
      <w:proofErr w:type="gramStart"/>
      <w:r w:rsidRPr="00BA1DA6">
        <w:t>child care</w:t>
      </w:r>
      <w:proofErr w:type="gramEnd"/>
      <w:r w:rsidRPr="00BA1DA6">
        <w:t xml:space="preserve"> and public school prekindergarten programs to help support successful public-private prekindergarten partnerships.   </w:t>
      </w:r>
    </w:p>
    <w:p w14:paraId="7BFE462B" w14:textId="77777777" w:rsidR="00BA1DA6" w:rsidRPr="00BA1DA6" w:rsidRDefault="00BA1DA6" w:rsidP="00BA1DA6">
      <w:pPr>
        <w:pStyle w:val="BodyText"/>
      </w:pPr>
      <w:r w:rsidRPr="00BA1DA6">
        <w:rPr>
          <w:i/>
          <w:iCs/>
        </w:rPr>
        <w:t>Child Care Staff Retention Strategies </w:t>
      </w:r>
      <w:r w:rsidRPr="00BA1DA6">
        <w:t> </w:t>
      </w:r>
    </w:p>
    <w:p w14:paraId="64D6D063" w14:textId="77777777" w:rsidR="00BA1DA6" w:rsidRPr="00BA1DA6" w:rsidRDefault="00BA1DA6" w:rsidP="00BA1DA6">
      <w:pPr>
        <w:pStyle w:val="BodyText"/>
      </w:pPr>
      <w:r w:rsidRPr="00BA1DA6">
        <w:t xml:space="preserve">Under this initiative, TWC aims to help Early Learning Programs (ELP) improve </w:t>
      </w:r>
      <w:proofErr w:type="gramStart"/>
      <w:r w:rsidRPr="00BA1DA6">
        <w:t>child care</w:t>
      </w:r>
      <w:proofErr w:type="gramEnd"/>
      <w:r w:rsidRPr="00BA1DA6">
        <w:t xml:space="preserve"> work environments and increase staff retention through the development of Adaptive Leadership skills. TWC has awarded a competitive grant award to provide professional development in multiple Local Workforce Development Areas that focuses on Adaptive Leadership skills to create supportive work environments and improve staff retention. Professional development must be tailored to the needs of Child Care Administrators from eligible ELPs that participate in CCS. The provided professional development opportunities will further increase Child Care Administrators’ capacity in managing and leading ELP operations and provide tools and resources that are relevant and accessible. This initiative aligns with the primary aims of the Child Care and Development Block </w:t>
      </w:r>
      <w:proofErr w:type="gramStart"/>
      <w:r w:rsidRPr="00BA1DA6">
        <w:t>Grant  Act</w:t>
      </w:r>
      <w:proofErr w:type="gramEnd"/>
      <w:r w:rsidRPr="00BA1DA6">
        <w:t xml:space="preserve"> of 2014, which includes enhancing the quality of child care the early childhood workforce. </w:t>
      </w:r>
    </w:p>
    <w:p w14:paraId="20054E0B" w14:textId="77777777" w:rsidR="00BA1DA6" w:rsidRPr="00BA1DA6" w:rsidRDefault="00BA1DA6" w:rsidP="00BA1DA6">
      <w:pPr>
        <w:pStyle w:val="BodyText"/>
      </w:pPr>
      <w:r w:rsidRPr="00BA1DA6">
        <w:rPr>
          <w:i/>
          <w:iCs/>
        </w:rPr>
        <w:t>Shared Services Alliances </w:t>
      </w:r>
      <w:r w:rsidRPr="00BA1DA6">
        <w:t> </w:t>
      </w:r>
    </w:p>
    <w:p w14:paraId="530352D7" w14:textId="77777777" w:rsidR="00BA1DA6" w:rsidRPr="00BA1DA6" w:rsidRDefault="00BA1DA6" w:rsidP="00BA1DA6">
      <w:pPr>
        <w:pStyle w:val="BodyText"/>
      </w:pPr>
      <w:r w:rsidRPr="00BA1DA6">
        <w:lastRenderedPageBreak/>
        <w:t xml:space="preserve">Shared Services Alliances (SSAs) are intended to help </w:t>
      </w:r>
      <w:proofErr w:type="gramStart"/>
      <w:r w:rsidRPr="00BA1DA6">
        <w:t>child care</w:t>
      </w:r>
      <w:proofErr w:type="gramEnd"/>
      <w:r w:rsidRPr="00BA1DA6">
        <w:t xml:space="preserve"> programs share resources, which allow member organizations to pay less for services.  Members can also focus on specific activities that help save money and free up time. Lead Entities organize each Shared Services Alliance. The Lead Entity: </w:t>
      </w:r>
    </w:p>
    <w:p w14:paraId="7D691FFC" w14:textId="77777777" w:rsidR="00BA1DA6" w:rsidRPr="00BA1DA6" w:rsidRDefault="00BA1DA6" w:rsidP="00C64851">
      <w:pPr>
        <w:pStyle w:val="BodyText"/>
        <w:numPr>
          <w:ilvl w:val="0"/>
          <w:numId w:val="516"/>
        </w:numPr>
      </w:pPr>
      <w:r w:rsidRPr="00BA1DA6">
        <w:t xml:space="preserve">Coordinates all </w:t>
      </w:r>
      <w:proofErr w:type="gramStart"/>
      <w:r w:rsidRPr="00BA1DA6">
        <w:t>child care</w:t>
      </w:r>
      <w:proofErr w:type="gramEnd"/>
      <w:r w:rsidRPr="00BA1DA6">
        <w:t xml:space="preserve"> and early learning programs (members). </w:t>
      </w:r>
    </w:p>
    <w:p w14:paraId="44FCF6F0" w14:textId="77777777" w:rsidR="00BA1DA6" w:rsidRPr="00BA1DA6" w:rsidRDefault="00BA1DA6" w:rsidP="00C64851">
      <w:pPr>
        <w:pStyle w:val="BodyText"/>
        <w:numPr>
          <w:ilvl w:val="0"/>
          <w:numId w:val="517"/>
        </w:numPr>
      </w:pPr>
      <w:r w:rsidRPr="00BA1DA6">
        <w:t>Helps the programs identify common needs. </w:t>
      </w:r>
    </w:p>
    <w:p w14:paraId="379A40B6" w14:textId="77777777" w:rsidR="00BA1DA6" w:rsidRPr="00BA1DA6" w:rsidRDefault="00BA1DA6" w:rsidP="00C64851">
      <w:pPr>
        <w:pStyle w:val="BodyText"/>
        <w:numPr>
          <w:ilvl w:val="0"/>
          <w:numId w:val="518"/>
        </w:numPr>
      </w:pPr>
      <w:r w:rsidRPr="00BA1DA6">
        <w:t>Helps implement agreed-upon shared services. </w:t>
      </w:r>
    </w:p>
    <w:p w14:paraId="34BE4291" w14:textId="77777777" w:rsidR="00BA1DA6" w:rsidRPr="00BA1DA6" w:rsidRDefault="00BA1DA6" w:rsidP="00BA1DA6">
      <w:pPr>
        <w:pStyle w:val="BodyText"/>
      </w:pPr>
      <w:r w:rsidRPr="00BA1DA6">
        <w:t xml:space="preserve">The services chosen </w:t>
      </w:r>
      <w:proofErr w:type="gramStart"/>
      <w:r w:rsidRPr="00BA1DA6">
        <w:t>vary</w:t>
      </w:r>
      <w:proofErr w:type="gramEnd"/>
      <w:r w:rsidRPr="00BA1DA6">
        <w:t xml:space="preserve"> by Alliance. Each Alliance chooses services based on its shared goals and needs. To provide high-quality early childhood education, shared services might focus on: </w:t>
      </w:r>
    </w:p>
    <w:p w14:paraId="36C70F7F" w14:textId="77777777" w:rsidR="00BA1DA6" w:rsidRPr="00BA1DA6" w:rsidRDefault="00BA1DA6" w:rsidP="00C64851">
      <w:pPr>
        <w:pStyle w:val="BodyText"/>
        <w:numPr>
          <w:ilvl w:val="0"/>
          <w:numId w:val="519"/>
        </w:numPr>
      </w:pPr>
      <w:r w:rsidRPr="00BA1DA6">
        <w:t>Pedagogical (educational) leadership </w:t>
      </w:r>
    </w:p>
    <w:p w14:paraId="0DAA5069" w14:textId="77777777" w:rsidR="00BA1DA6" w:rsidRPr="00BA1DA6" w:rsidRDefault="00BA1DA6" w:rsidP="00C64851">
      <w:pPr>
        <w:pStyle w:val="BodyText"/>
        <w:numPr>
          <w:ilvl w:val="0"/>
          <w:numId w:val="520"/>
        </w:numPr>
      </w:pPr>
      <w:r w:rsidRPr="00BA1DA6">
        <w:t>Business leadership </w:t>
      </w:r>
    </w:p>
    <w:p w14:paraId="59DB8B62" w14:textId="77777777" w:rsidR="00BA1DA6" w:rsidRPr="00BA1DA6" w:rsidRDefault="00BA1DA6" w:rsidP="00C64851">
      <w:pPr>
        <w:pStyle w:val="BodyText"/>
        <w:numPr>
          <w:ilvl w:val="0"/>
          <w:numId w:val="521"/>
        </w:numPr>
      </w:pPr>
      <w:r w:rsidRPr="00BA1DA6">
        <w:t>A combination of both </w:t>
      </w:r>
    </w:p>
    <w:p w14:paraId="567F1421" w14:textId="77777777" w:rsidR="00BA1DA6" w:rsidRPr="00BA1DA6" w:rsidRDefault="00BA1DA6" w:rsidP="00BA1DA6">
      <w:pPr>
        <w:pStyle w:val="BodyText"/>
      </w:pPr>
      <w:r w:rsidRPr="00BA1DA6">
        <w:t>TWC has awarded grants to the following entities to provide services through the SSA: </w:t>
      </w:r>
    </w:p>
    <w:p w14:paraId="6434148C" w14:textId="77777777" w:rsidR="00BA1DA6" w:rsidRPr="00BA1DA6" w:rsidRDefault="00BA1DA6" w:rsidP="00C64851">
      <w:pPr>
        <w:pStyle w:val="BodyText"/>
        <w:numPr>
          <w:ilvl w:val="0"/>
          <w:numId w:val="522"/>
        </w:numPr>
      </w:pPr>
      <w:hyperlink r:id="rId70" w:tgtFrame="_blank" w:history="1">
        <w:r w:rsidRPr="00BA1DA6">
          <w:rPr>
            <w:rStyle w:val="Hyperlink"/>
          </w:rPr>
          <w:t>Avance</w:t>
        </w:r>
      </w:hyperlink>
      <w:r w:rsidRPr="00BA1DA6">
        <w:t> </w:t>
      </w:r>
    </w:p>
    <w:p w14:paraId="3D05218A" w14:textId="77777777" w:rsidR="00BA1DA6" w:rsidRPr="00BA1DA6" w:rsidRDefault="00BA1DA6" w:rsidP="00C64851">
      <w:pPr>
        <w:pStyle w:val="BodyText"/>
        <w:numPr>
          <w:ilvl w:val="0"/>
          <w:numId w:val="523"/>
        </w:numPr>
      </w:pPr>
      <w:hyperlink r:id="rId71" w:tgtFrame="_blank" w:history="1">
        <w:r w:rsidRPr="00BA1DA6">
          <w:rPr>
            <w:rStyle w:val="Hyperlink"/>
          </w:rPr>
          <w:t>Collaborative for Children</w:t>
        </w:r>
      </w:hyperlink>
      <w:r w:rsidRPr="00BA1DA6">
        <w:t> </w:t>
      </w:r>
    </w:p>
    <w:p w14:paraId="08E48D71" w14:textId="77777777" w:rsidR="00BA1DA6" w:rsidRPr="00BA1DA6" w:rsidRDefault="00BA1DA6" w:rsidP="00C64851">
      <w:pPr>
        <w:pStyle w:val="BodyText"/>
        <w:numPr>
          <w:ilvl w:val="0"/>
          <w:numId w:val="524"/>
        </w:numPr>
      </w:pPr>
      <w:hyperlink r:id="rId72" w:tgtFrame="_blank" w:history="1">
        <w:r w:rsidRPr="00BA1DA6">
          <w:rPr>
            <w:rStyle w:val="Hyperlink"/>
          </w:rPr>
          <w:t>Pre-K 4 SA</w:t>
        </w:r>
      </w:hyperlink>
      <w:r w:rsidRPr="00BA1DA6">
        <w:t> </w:t>
      </w:r>
    </w:p>
    <w:p w14:paraId="4312E784" w14:textId="77777777" w:rsidR="00BA1DA6" w:rsidRPr="00BA1DA6" w:rsidRDefault="00BA1DA6" w:rsidP="00C64851">
      <w:pPr>
        <w:pStyle w:val="BodyText"/>
        <w:numPr>
          <w:ilvl w:val="0"/>
          <w:numId w:val="525"/>
        </w:numPr>
      </w:pPr>
      <w:hyperlink r:id="rId73" w:tgtFrame="_blank" w:history="1">
        <w:r w:rsidRPr="00BA1DA6">
          <w:rPr>
            <w:rStyle w:val="Hyperlink"/>
          </w:rPr>
          <w:t>Texas Association for the Education of Young Children (TAEYC)</w:t>
        </w:r>
      </w:hyperlink>
      <w:r w:rsidRPr="00BA1DA6">
        <w:t> </w:t>
      </w:r>
    </w:p>
    <w:p w14:paraId="47488706" w14:textId="77777777" w:rsidR="00BA1DA6" w:rsidRPr="00BA1DA6" w:rsidRDefault="00BA1DA6" w:rsidP="00C64851">
      <w:pPr>
        <w:pStyle w:val="BodyText"/>
        <w:numPr>
          <w:ilvl w:val="0"/>
          <w:numId w:val="526"/>
        </w:numPr>
      </w:pPr>
      <w:hyperlink r:id="rId74" w:tgtFrame="_blank" w:history="1">
        <w:r w:rsidRPr="00BA1DA6">
          <w:rPr>
            <w:rStyle w:val="Hyperlink"/>
          </w:rPr>
          <w:t>Social &amp; Environmental Entrepreneurs/Opportunities Exchange</w:t>
        </w:r>
      </w:hyperlink>
      <w:r w:rsidRPr="00BA1DA6">
        <w:t> </w:t>
      </w:r>
    </w:p>
    <w:p w14:paraId="4470C360" w14:textId="77777777" w:rsidR="00BA1DA6" w:rsidRPr="00BA1DA6" w:rsidRDefault="00BA1DA6" w:rsidP="00BA1DA6">
      <w:pPr>
        <w:pStyle w:val="BodyText"/>
      </w:pPr>
      <w:r w:rsidRPr="00BA1DA6">
        <w:rPr>
          <w:i/>
          <w:iCs/>
        </w:rPr>
        <w:t>Statewide Family Child Care Network</w:t>
      </w:r>
      <w:r w:rsidRPr="00BA1DA6">
        <w:t> </w:t>
      </w:r>
    </w:p>
    <w:p w14:paraId="35041DAE" w14:textId="4D5DB295" w:rsidR="00BA1DA6" w:rsidRPr="00BA1DA6" w:rsidRDefault="00BA1DA6" w:rsidP="00BA1DA6">
      <w:pPr>
        <w:pStyle w:val="BodyText"/>
      </w:pPr>
      <w:r w:rsidRPr="00BA1DA6">
        <w:t xml:space="preserve">TWC has awarded a grant to Civitas to establish and administer a statewide Family Child Care Networks (FCCNs). The FCCN is a staffed program that supports a network of Family Child </w:t>
      </w:r>
      <w:proofErr w:type="gramStart"/>
      <w:r w:rsidRPr="00BA1DA6">
        <w:t>Care  providers</w:t>
      </w:r>
      <w:proofErr w:type="gramEnd"/>
      <w:r w:rsidRPr="00BA1DA6">
        <w:t xml:space="preserve"> by providing a menu of services, including training and professional development, meetings and networking opportunities, technical assistance, and connecting providers to local and state resources. FCCNs are designed to address the specialized needs of family home-based early childhood educators by supporting strong home-based </w:t>
      </w:r>
      <w:proofErr w:type="gramStart"/>
      <w:r w:rsidRPr="00BA1DA6">
        <w:t>child care</w:t>
      </w:r>
      <w:proofErr w:type="gramEnd"/>
      <w:r w:rsidRPr="00BA1DA6">
        <w:t xml:space="preserve"> business models, providing business and licensing related technical assistance and training, and helping </w:t>
      </w:r>
      <w:r w:rsidR="5B1C98AF">
        <w:t xml:space="preserve">Family Child Care </w:t>
      </w:r>
      <w:r w:rsidRPr="00BA1DA6">
        <w:t xml:space="preserve">providers to increase the quality of their programs.  FCCNs provide one-on-one coaching as well as facilitated peer learning communities. The FCCN will also offer </w:t>
      </w:r>
      <w:proofErr w:type="gramStart"/>
      <w:r w:rsidRPr="00BA1DA6">
        <w:t>mini-grants</w:t>
      </w:r>
      <w:proofErr w:type="gramEnd"/>
      <w:r w:rsidRPr="00BA1DA6">
        <w:t xml:space="preserve"> to support new family based child care program’s start-up costs.</w:t>
      </w:r>
      <w:r w:rsidRPr="00BA1DA6">
        <w:rPr>
          <w:u w:val="single"/>
        </w:rPr>
        <w:t> </w:t>
      </w:r>
      <w:r w:rsidRPr="00BA1DA6">
        <w:t> </w:t>
      </w:r>
    </w:p>
    <w:p w14:paraId="79F373F3" w14:textId="77777777" w:rsidR="00BA1DA6" w:rsidRPr="00BA1DA6" w:rsidRDefault="00BA1DA6" w:rsidP="00BA1DA6">
      <w:pPr>
        <w:pStyle w:val="BodyText"/>
      </w:pPr>
      <w:r w:rsidRPr="00BA1DA6">
        <w:rPr>
          <w:i/>
          <w:iCs/>
        </w:rPr>
        <w:lastRenderedPageBreak/>
        <w:t>Child Care Outreach Strategy &amp; Campaign Services</w:t>
      </w:r>
      <w:r w:rsidRPr="00BA1DA6">
        <w:t> </w:t>
      </w:r>
    </w:p>
    <w:p w14:paraId="1923414B" w14:textId="77777777" w:rsidR="00BA1DA6" w:rsidRPr="00BA1DA6" w:rsidRDefault="00BA1DA6" w:rsidP="00BA1DA6">
      <w:pPr>
        <w:pStyle w:val="BodyText"/>
      </w:pPr>
      <w:r w:rsidRPr="00BA1DA6">
        <w:t xml:space="preserve">TWC has procured two contractors, Outreach Strategists, LLC and Sherry Matthews Inc., to develop and deliver </w:t>
      </w:r>
      <w:proofErr w:type="gramStart"/>
      <w:r w:rsidRPr="00BA1DA6">
        <w:t>child care</w:t>
      </w:r>
      <w:proofErr w:type="gramEnd"/>
      <w:r w:rsidRPr="00BA1DA6">
        <w:t xml:space="preserve"> outreach services to supplement the agency’s production and performance goals, including research, communication plans, logos and style guides, creative and collateral, exhibits, webinars, public service announcements, websites, online content, media buys, and outreach.  </w:t>
      </w:r>
    </w:p>
    <w:p w14:paraId="47AC2FC3" w14:textId="77777777" w:rsidR="00BA1DA6" w:rsidRPr="00BA1DA6" w:rsidRDefault="00BA1DA6" w:rsidP="00BD04D4">
      <w:pPr>
        <w:pStyle w:val="BodyText3"/>
        <w:ind w:left="720" w:hanging="720"/>
      </w:pPr>
      <w:r w:rsidRPr="00BA1DA6">
        <w:t>G.</w:t>
      </w:r>
      <w:r w:rsidRPr="00BA1DA6">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BA1DA6">
        <w:rPr>
          <w:i/>
          <w:iCs/>
        </w:rPr>
        <w:t>(If you have already submitted funding source info through the “Agency Program Information” spreadsheet, please limit your response to funding formulas or funding conventions.)</w:t>
      </w:r>
      <w:r w:rsidRPr="00BA1DA6">
        <w:t> </w:t>
      </w:r>
    </w:p>
    <w:tbl>
      <w:tblPr>
        <w:tblStyle w:val="TableGrid1"/>
        <w:tblW w:w="9360" w:type="dxa"/>
        <w:tblLayout w:type="fixed"/>
        <w:tblCellMar>
          <w:top w:w="58" w:type="dxa"/>
          <w:bottom w:w="58" w:type="dxa"/>
        </w:tblCellMar>
        <w:tblLook w:val="04A0" w:firstRow="1" w:lastRow="0" w:firstColumn="1" w:lastColumn="0" w:noHBand="0" w:noVBand="1"/>
      </w:tblPr>
      <w:tblGrid>
        <w:gridCol w:w="3490"/>
        <w:gridCol w:w="2002"/>
        <w:gridCol w:w="1482"/>
        <w:gridCol w:w="2386"/>
      </w:tblGrid>
      <w:tr w:rsidR="7EACE59B" w14:paraId="7C08CDF7" w14:textId="77777777" w:rsidTr="00E25951">
        <w:trPr>
          <w:trHeight w:val="570"/>
          <w:tblHeader/>
        </w:trPr>
        <w:tc>
          <w:tcPr>
            <w:tcW w:w="3511" w:type="dxa"/>
            <w:shd w:val="clear" w:color="auto" w:fill="B8CCE4" w:themeFill="accent1" w:themeFillTint="66"/>
            <w:vAlign w:val="center"/>
          </w:tcPr>
          <w:p w14:paraId="7ED81339" w14:textId="71DEF952" w:rsidR="7EACE59B" w:rsidRDefault="7EACE59B" w:rsidP="00556BA5">
            <w:pPr>
              <w:pStyle w:val="TableHeaders"/>
            </w:pPr>
            <w:r w:rsidRPr="7EACE59B">
              <w:t>Program or Function Detail Description</w:t>
            </w:r>
          </w:p>
        </w:tc>
        <w:tc>
          <w:tcPr>
            <w:tcW w:w="2014" w:type="dxa"/>
            <w:shd w:val="clear" w:color="auto" w:fill="B8CCE4" w:themeFill="accent1" w:themeFillTint="66"/>
            <w:vAlign w:val="center"/>
          </w:tcPr>
          <w:p w14:paraId="3B0CC3D7" w14:textId="3DE006E3" w:rsidR="7EACE59B" w:rsidRDefault="7EACE59B" w:rsidP="00556BA5">
            <w:pPr>
              <w:pStyle w:val="TableHeaders"/>
            </w:pPr>
            <w:r w:rsidRPr="7EACE59B">
              <w:t>Total FY 2024</w:t>
            </w:r>
          </w:p>
        </w:tc>
        <w:tc>
          <w:tcPr>
            <w:tcW w:w="1490" w:type="dxa"/>
            <w:shd w:val="clear" w:color="auto" w:fill="B8CCE4" w:themeFill="accent1" w:themeFillTint="66"/>
            <w:vAlign w:val="center"/>
          </w:tcPr>
          <w:p w14:paraId="241427CA" w14:textId="66D92BDF" w:rsidR="7EACE59B" w:rsidRDefault="7EACE59B" w:rsidP="00556BA5">
            <w:pPr>
              <w:pStyle w:val="TableHeaders"/>
            </w:pPr>
            <w:r w:rsidRPr="7EACE59B">
              <w:t>Federal Funding</w:t>
            </w:r>
          </w:p>
        </w:tc>
        <w:tc>
          <w:tcPr>
            <w:tcW w:w="2400" w:type="dxa"/>
            <w:shd w:val="clear" w:color="auto" w:fill="B8CCE4" w:themeFill="accent1" w:themeFillTint="66"/>
            <w:vAlign w:val="center"/>
          </w:tcPr>
          <w:p w14:paraId="63A64D5E" w14:textId="3D119E5C" w:rsidR="7EACE59B" w:rsidRDefault="7EACE59B" w:rsidP="00556BA5">
            <w:pPr>
              <w:pStyle w:val="TableHeaders"/>
            </w:pPr>
            <w:r w:rsidRPr="7EACE59B">
              <w:t>State Funding</w:t>
            </w:r>
          </w:p>
        </w:tc>
      </w:tr>
      <w:tr w:rsidR="7EACE59B" w14:paraId="427E30D2" w14:textId="77777777" w:rsidTr="00E25951">
        <w:trPr>
          <w:trHeight w:val="285"/>
        </w:trPr>
        <w:tc>
          <w:tcPr>
            <w:tcW w:w="3511" w:type="dxa"/>
            <w:vAlign w:val="center"/>
          </w:tcPr>
          <w:p w14:paraId="089E439C" w14:textId="552AEAAA" w:rsidR="7EACE59B" w:rsidRDefault="7EACE59B" w:rsidP="00C07AF4">
            <w:pPr>
              <w:pStyle w:val="TableText"/>
            </w:pPr>
            <w:r w:rsidRPr="7EACE59B">
              <w:t>Child Care Services Program</w:t>
            </w:r>
          </w:p>
        </w:tc>
        <w:tc>
          <w:tcPr>
            <w:tcW w:w="2014" w:type="dxa"/>
            <w:vAlign w:val="center"/>
          </w:tcPr>
          <w:p w14:paraId="54F917FA" w14:textId="192C37FD" w:rsidR="7EACE59B" w:rsidRDefault="7EACE59B" w:rsidP="00042FF3">
            <w:pPr>
              <w:pStyle w:val="TableText"/>
              <w:jc w:val="right"/>
            </w:pPr>
            <w:r w:rsidRPr="7EACE59B">
              <w:t xml:space="preserve">1,271,623,171 </w:t>
            </w:r>
          </w:p>
        </w:tc>
        <w:tc>
          <w:tcPr>
            <w:tcW w:w="1490" w:type="dxa"/>
            <w:vAlign w:val="center"/>
          </w:tcPr>
          <w:p w14:paraId="0476583F" w14:textId="662CE45E" w:rsidR="7EACE59B" w:rsidRDefault="7EACE59B" w:rsidP="00042FF3">
            <w:pPr>
              <w:pStyle w:val="TableText"/>
              <w:jc w:val="right"/>
            </w:pPr>
            <w:r w:rsidRPr="7EACE59B">
              <w:t xml:space="preserve">1,228,356,912 </w:t>
            </w:r>
          </w:p>
        </w:tc>
        <w:tc>
          <w:tcPr>
            <w:tcW w:w="2400" w:type="dxa"/>
            <w:vAlign w:val="center"/>
          </w:tcPr>
          <w:p w14:paraId="5580F8AD" w14:textId="2B6033D2" w:rsidR="7EACE59B" w:rsidRDefault="7EACE59B" w:rsidP="00042FF3">
            <w:pPr>
              <w:pStyle w:val="TableText"/>
              <w:jc w:val="right"/>
            </w:pPr>
            <w:r w:rsidRPr="7EACE59B">
              <w:t xml:space="preserve">43,266,259 </w:t>
            </w:r>
          </w:p>
        </w:tc>
      </w:tr>
      <w:tr w:rsidR="7EACE59B" w14:paraId="71BD1D9F" w14:textId="77777777" w:rsidTr="00E25951">
        <w:trPr>
          <w:trHeight w:val="285"/>
        </w:trPr>
        <w:tc>
          <w:tcPr>
            <w:tcW w:w="3511" w:type="dxa"/>
            <w:vAlign w:val="center"/>
          </w:tcPr>
          <w:p w14:paraId="3198C0DF" w14:textId="29E08989" w:rsidR="7EACE59B" w:rsidRDefault="7EACE59B" w:rsidP="00C07AF4">
            <w:pPr>
              <w:pStyle w:val="TableText"/>
            </w:pPr>
            <w:r w:rsidRPr="7EACE59B">
              <w:t>Child Care for Child Protective Services</w:t>
            </w:r>
          </w:p>
        </w:tc>
        <w:tc>
          <w:tcPr>
            <w:tcW w:w="2014" w:type="dxa"/>
            <w:vAlign w:val="center"/>
          </w:tcPr>
          <w:p w14:paraId="0CE20C4E" w14:textId="7BBC72DC" w:rsidR="7EACE59B" w:rsidRDefault="7EACE59B" w:rsidP="00042FF3">
            <w:pPr>
              <w:pStyle w:val="TableText"/>
              <w:jc w:val="right"/>
            </w:pPr>
            <w:r w:rsidRPr="7EACE59B">
              <w:t xml:space="preserve">54,127,136 </w:t>
            </w:r>
          </w:p>
        </w:tc>
        <w:tc>
          <w:tcPr>
            <w:tcW w:w="1490" w:type="dxa"/>
            <w:vAlign w:val="center"/>
          </w:tcPr>
          <w:p w14:paraId="48B9E6D1" w14:textId="3DE3039F" w:rsidR="7EACE59B" w:rsidRDefault="7EACE59B" w:rsidP="00042FF3">
            <w:pPr>
              <w:pStyle w:val="TableText"/>
              <w:jc w:val="right"/>
            </w:pPr>
            <w:r w:rsidRPr="7EACE59B">
              <w:t xml:space="preserve">16,076,223 </w:t>
            </w:r>
          </w:p>
        </w:tc>
        <w:tc>
          <w:tcPr>
            <w:tcW w:w="2400" w:type="dxa"/>
            <w:vAlign w:val="center"/>
          </w:tcPr>
          <w:p w14:paraId="4958A862" w14:textId="7825EAA3" w:rsidR="7EACE59B" w:rsidRDefault="7EACE59B" w:rsidP="00042FF3">
            <w:pPr>
              <w:pStyle w:val="TableText"/>
              <w:jc w:val="right"/>
            </w:pPr>
            <w:r w:rsidRPr="7EACE59B">
              <w:t xml:space="preserve">38,050,913 </w:t>
            </w:r>
          </w:p>
        </w:tc>
      </w:tr>
      <w:tr w:rsidR="7EACE59B" w14:paraId="69CEB7B4" w14:textId="77777777" w:rsidTr="00E25951">
        <w:trPr>
          <w:trHeight w:val="285"/>
        </w:trPr>
        <w:tc>
          <w:tcPr>
            <w:tcW w:w="3511" w:type="dxa"/>
            <w:vAlign w:val="center"/>
          </w:tcPr>
          <w:p w14:paraId="29E75B7B" w14:textId="09A5F127" w:rsidR="7EACE59B" w:rsidRDefault="7EACE59B" w:rsidP="00C07AF4">
            <w:pPr>
              <w:pStyle w:val="TableText"/>
            </w:pPr>
            <w:r w:rsidRPr="7EACE59B">
              <w:t>State Center for Child Care</w:t>
            </w:r>
          </w:p>
        </w:tc>
        <w:tc>
          <w:tcPr>
            <w:tcW w:w="2014" w:type="dxa"/>
            <w:vAlign w:val="center"/>
          </w:tcPr>
          <w:p w14:paraId="0309C3D7" w14:textId="161BD6E9" w:rsidR="7EACE59B" w:rsidRDefault="7EACE59B" w:rsidP="00042FF3">
            <w:pPr>
              <w:pStyle w:val="TableText"/>
              <w:jc w:val="right"/>
            </w:pPr>
            <w:r w:rsidRPr="7EACE59B">
              <w:t xml:space="preserve">11,700,000 </w:t>
            </w:r>
          </w:p>
        </w:tc>
        <w:tc>
          <w:tcPr>
            <w:tcW w:w="1490" w:type="dxa"/>
            <w:vAlign w:val="center"/>
          </w:tcPr>
          <w:p w14:paraId="1DF97CD4" w14:textId="3C5F4DE5" w:rsidR="7EACE59B" w:rsidRDefault="7EACE59B" w:rsidP="00042FF3">
            <w:pPr>
              <w:pStyle w:val="TableText"/>
              <w:jc w:val="right"/>
            </w:pPr>
            <w:r w:rsidRPr="7EACE59B">
              <w:t xml:space="preserve">11,700,000 </w:t>
            </w:r>
          </w:p>
        </w:tc>
        <w:tc>
          <w:tcPr>
            <w:tcW w:w="2400" w:type="dxa"/>
            <w:vAlign w:val="center"/>
          </w:tcPr>
          <w:p w14:paraId="46AC59FD" w14:textId="6E85340D" w:rsidR="7EACE59B" w:rsidRDefault="7EACE59B" w:rsidP="00042FF3">
            <w:pPr>
              <w:pStyle w:val="TableText"/>
              <w:jc w:val="right"/>
            </w:pPr>
            <w:r w:rsidRPr="7EACE59B">
              <w:t xml:space="preserve">0 </w:t>
            </w:r>
          </w:p>
        </w:tc>
      </w:tr>
      <w:tr w:rsidR="7EACE59B" w14:paraId="287D2E60" w14:textId="77777777" w:rsidTr="00E25951">
        <w:trPr>
          <w:trHeight w:val="285"/>
        </w:trPr>
        <w:tc>
          <w:tcPr>
            <w:tcW w:w="3511" w:type="dxa"/>
            <w:vAlign w:val="center"/>
          </w:tcPr>
          <w:p w14:paraId="43CE64E3" w14:textId="661962B6" w:rsidR="7EACE59B" w:rsidRDefault="7EACE59B" w:rsidP="00C07AF4">
            <w:pPr>
              <w:pStyle w:val="TableText"/>
            </w:pPr>
            <w:r w:rsidRPr="7EACE59B">
              <w:t>Child Care Industry Expansion</w:t>
            </w:r>
          </w:p>
        </w:tc>
        <w:tc>
          <w:tcPr>
            <w:tcW w:w="2014" w:type="dxa"/>
            <w:vAlign w:val="center"/>
          </w:tcPr>
          <w:p w14:paraId="607D9373" w14:textId="237201E1" w:rsidR="7EACE59B" w:rsidRDefault="7EACE59B" w:rsidP="00042FF3">
            <w:pPr>
              <w:pStyle w:val="TableText"/>
              <w:jc w:val="right"/>
            </w:pPr>
            <w:r w:rsidRPr="7EACE59B">
              <w:t xml:space="preserve">102,344,086 </w:t>
            </w:r>
          </w:p>
        </w:tc>
        <w:tc>
          <w:tcPr>
            <w:tcW w:w="1490" w:type="dxa"/>
            <w:vAlign w:val="center"/>
          </w:tcPr>
          <w:p w14:paraId="3CEB58D5" w14:textId="4C5FD84E" w:rsidR="7EACE59B" w:rsidRDefault="7EACE59B" w:rsidP="00042FF3">
            <w:pPr>
              <w:pStyle w:val="TableText"/>
              <w:jc w:val="right"/>
            </w:pPr>
            <w:r w:rsidRPr="7EACE59B">
              <w:t xml:space="preserve">102,204,086 </w:t>
            </w:r>
          </w:p>
        </w:tc>
        <w:tc>
          <w:tcPr>
            <w:tcW w:w="2400" w:type="dxa"/>
            <w:vAlign w:val="center"/>
          </w:tcPr>
          <w:p w14:paraId="3CE93AAA" w14:textId="7AB6DC1E" w:rsidR="7EACE59B" w:rsidRDefault="7EACE59B" w:rsidP="00042FF3">
            <w:pPr>
              <w:pStyle w:val="TableText"/>
              <w:jc w:val="right"/>
            </w:pPr>
            <w:r w:rsidRPr="7EACE59B">
              <w:t xml:space="preserve">140,000 </w:t>
            </w:r>
          </w:p>
        </w:tc>
      </w:tr>
      <w:tr w:rsidR="7EACE59B" w14:paraId="6B35F655" w14:textId="77777777" w:rsidTr="00E25951">
        <w:trPr>
          <w:trHeight w:val="285"/>
        </w:trPr>
        <w:tc>
          <w:tcPr>
            <w:tcW w:w="3511" w:type="dxa"/>
            <w:vAlign w:val="center"/>
          </w:tcPr>
          <w:p w14:paraId="3BB1669D" w14:textId="3C2D4D9B" w:rsidR="7EACE59B" w:rsidRDefault="7EACE59B" w:rsidP="00C07AF4">
            <w:pPr>
              <w:pStyle w:val="TableText"/>
            </w:pPr>
            <w:r w:rsidRPr="7EACE59B">
              <w:t>Child Care Relief Grants &amp; Monitoring</w:t>
            </w:r>
          </w:p>
        </w:tc>
        <w:tc>
          <w:tcPr>
            <w:tcW w:w="2014" w:type="dxa"/>
            <w:vAlign w:val="center"/>
          </w:tcPr>
          <w:p w14:paraId="27B0235C" w14:textId="6129F425" w:rsidR="7EACE59B" w:rsidRDefault="7EACE59B" w:rsidP="00042FF3">
            <w:pPr>
              <w:pStyle w:val="TableText"/>
              <w:jc w:val="right"/>
            </w:pPr>
            <w:r w:rsidRPr="7EACE59B">
              <w:t xml:space="preserve">77,639,628 </w:t>
            </w:r>
          </w:p>
        </w:tc>
        <w:tc>
          <w:tcPr>
            <w:tcW w:w="1490" w:type="dxa"/>
            <w:vAlign w:val="center"/>
          </w:tcPr>
          <w:p w14:paraId="5D120875" w14:textId="4FF02FB6" w:rsidR="7EACE59B" w:rsidRDefault="7EACE59B" w:rsidP="00042FF3">
            <w:pPr>
              <w:pStyle w:val="TableText"/>
              <w:jc w:val="right"/>
            </w:pPr>
            <w:r w:rsidRPr="7EACE59B">
              <w:t>77,635,697</w:t>
            </w:r>
          </w:p>
        </w:tc>
        <w:tc>
          <w:tcPr>
            <w:tcW w:w="2400" w:type="dxa"/>
            <w:vAlign w:val="center"/>
          </w:tcPr>
          <w:p w14:paraId="6E24052E" w14:textId="47A03F24" w:rsidR="7EACE59B" w:rsidRDefault="7EACE59B" w:rsidP="00042FF3">
            <w:pPr>
              <w:pStyle w:val="TableText"/>
              <w:jc w:val="right"/>
            </w:pPr>
            <w:r w:rsidRPr="7EACE59B">
              <w:t>3,930</w:t>
            </w:r>
          </w:p>
        </w:tc>
      </w:tr>
      <w:tr w:rsidR="007C188B" w14:paraId="55C501E6" w14:textId="77777777" w:rsidTr="00E25951">
        <w:trPr>
          <w:trHeight w:val="285"/>
        </w:trPr>
        <w:tc>
          <w:tcPr>
            <w:tcW w:w="3511" w:type="dxa"/>
            <w:vAlign w:val="center"/>
          </w:tcPr>
          <w:p w14:paraId="6CC6519B" w14:textId="3C4D10B8" w:rsidR="007C188B" w:rsidRPr="7EACE59B" w:rsidRDefault="007C188B" w:rsidP="00C07AF4">
            <w:pPr>
              <w:pStyle w:val="TableText"/>
            </w:pPr>
            <w:r>
              <w:t>Total</w:t>
            </w:r>
          </w:p>
        </w:tc>
        <w:tc>
          <w:tcPr>
            <w:tcW w:w="2014" w:type="dxa"/>
            <w:vAlign w:val="center"/>
          </w:tcPr>
          <w:p w14:paraId="0F3585DF" w14:textId="29F922E4" w:rsidR="007C188B" w:rsidRPr="7EACE59B" w:rsidRDefault="00CC6E8E" w:rsidP="00042FF3">
            <w:pPr>
              <w:pStyle w:val="TableText"/>
              <w:jc w:val="right"/>
            </w:pPr>
            <w:r>
              <w:t>1,517,434,021</w:t>
            </w:r>
          </w:p>
        </w:tc>
        <w:tc>
          <w:tcPr>
            <w:tcW w:w="1490" w:type="dxa"/>
            <w:vAlign w:val="center"/>
          </w:tcPr>
          <w:p w14:paraId="135D787B" w14:textId="7184C45E" w:rsidR="007C188B" w:rsidRPr="7EACE59B" w:rsidRDefault="00CC6E8E" w:rsidP="00042FF3">
            <w:pPr>
              <w:pStyle w:val="TableText"/>
              <w:jc w:val="right"/>
            </w:pPr>
            <w:r>
              <w:t>1,435,972,918</w:t>
            </w:r>
          </w:p>
        </w:tc>
        <w:tc>
          <w:tcPr>
            <w:tcW w:w="2400" w:type="dxa"/>
            <w:vAlign w:val="center"/>
          </w:tcPr>
          <w:p w14:paraId="03E3D091" w14:textId="14D8D24B" w:rsidR="007C188B" w:rsidRPr="7EACE59B" w:rsidRDefault="00CC6E8E" w:rsidP="00042FF3">
            <w:pPr>
              <w:pStyle w:val="TableText"/>
              <w:jc w:val="right"/>
            </w:pPr>
            <w:r>
              <w:t>81,461,102</w:t>
            </w:r>
          </w:p>
        </w:tc>
      </w:tr>
    </w:tbl>
    <w:p w14:paraId="6132E554" w14:textId="77777777" w:rsidR="00BA1DA6" w:rsidRPr="00BA1DA6" w:rsidRDefault="00BA1DA6" w:rsidP="00BD04D4">
      <w:pPr>
        <w:pStyle w:val="BodyText3"/>
        <w:ind w:left="720" w:hanging="720"/>
      </w:pPr>
      <w:r w:rsidRPr="00BA1DA6">
        <w:t>H.</w:t>
      </w:r>
      <w:r w:rsidRPr="00BA1DA6">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7A1B84ED" w14:textId="77777777" w:rsidR="00BA1DA6" w:rsidRPr="00BA1DA6" w:rsidRDefault="00BA1DA6" w:rsidP="00BD04D4">
      <w:pPr>
        <w:pStyle w:val="BodyText3"/>
      </w:pPr>
      <w:r w:rsidRPr="00BA1DA6">
        <w:t>Texas Health and Human Services Commission </w:t>
      </w:r>
    </w:p>
    <w:p w14:paraId="0CC75F94" w14:textId="77777777" w:rsidR="00BA1DA6" w:rsidRPr="00BA1DA6" w:rsidRDefault="00BA1DA6" w:rsidP="00BA1DA6">
      <w:pPr>
        <w:pStyle w:val="BodyText"/>
      </w:pPr>
      <w:r w:rsidRPr="00BA1DA6">
        <w:rPr>
          <w:i/>
          <w:iCs/>
        </w:rPr>
        <w:t>Child Care Regulation</w:t>
      </w:r>
      <w:r w:rsidRPr="00BA1DA6">
        <w:t> </w:t>
      </w:r>
    </w:p>
    <w:p w14:paraId="57AA5E65" w14:textId="77777777" w:rsidR="00BA1DA6" w:rsidRPr="00BA1DA6" w:rsidRDefault="00BA1DA6" w:rsidP="00BA1DA6">
      <w:pPr>
        <w:pStyle w:val="BodyText"/>
      </w:pPr>
      <w:r w:rsidRPr="00BA1DA6">
        <w:t xml:space="preserve">TWC enters into an interagency contract (IAC) with HHSC/Child Care Regulation (CCR) to administer CCDF health and safety </w:t>
      </w:r>
      <w:proofErr w:type="gramStart"/>
      <w:r w:rsidRPr="00BA1DA6">
        <w:t>child care</w:t>
      </w:r>
      <w:proofErr w:type="gramEnd"/>
      <w:r w:rsidRPr="00BA1DA6">
        <w:t xml:space="preserve"> regulation requirements and ensure that child care providers serving children participating in the CCS program meet the health and safety requirements of the CCDF Final rule. TWC provides CCDF funds to the Child Care Regulation Division to support licensing, monitoring, and regulation of </w:t>
      </w:r>
      <w:proofErr w:type="gramStart"/>
      <w:r w:rsidRPr="00BA1DA6">
        <w:t>child care</w:t>
      </w:r>
      <w:proofErr w:type="gramEnd"/>
      <w:r w:rsidRPr="00BA1DA6">
        <w:t xml:space="preserve"> facilities.  CCR conducts both scheduled and unannounced inspections of regulated facilities to ensure compliance with the state’s regulatory standards. CCR also provides technical assistance to new </w:t>
      </w:r>
      <w:proofErr w:type="gramStart"/>
      <w:r w:rsidRPr="00BA1DA6">
        <w:t>child care</w:t>
      </w:r>
      <w:proofErr w:type="gramEnd"/>
      <w:r w:rsidRPr="00BA1DA6">
        <w:t xml:space="preserve"> facilities and ongoing assistance to all regulated </w:t>
      </w:r>
      <w:r w:rsidRPr="00BA1DA6">
        <w:lastRenderedPageBreak/>
        <w:t xml:space="preserve">facilities to improve the quality of care. CCR’s </w:t>
      </w:r>
      <w:proofErr w:type="gramStart"/>
      <w:r w:rsidRPr="00BA1DA6">
        <w:t>child care</w:t>
      </w:r>
      <w:proofErr w:type="gramEnd"/>
      <w:r w:rsidRPr="00BA1DA6">
        <w:t xml:space="preserve"> web site contains information for parents regarding a child care facility’s compliance with state licensing requirements. </w:t>
      </w:r>
    </w:p>
    <w:p w14:paraId="3DF43A48" w14:textId="77777777" w:rsidR="00BA1DA6" w:rsidRPr="00BA1DA6" w:rsidRDefault="00BA1DA6" w:rsidP="00BA1DA6">
      <w:pPr>
        <w:pStyle w:val="BodyText"/>
      </w:pPr>
      <w:r w:rsidRPr="00BA1DA6">
        <w:t xml:space="preserve">TWC also seeks input from CCR on Texas Rising Star reviews, the effects of natural disasters and COVID-19, and other issues that arise. TWC and CCR share data on all regulated </w:t>
      </w:r>
      <w:proofErr w:type="gramStart"/>
      <w:r w:rsidRPr="00BA1DA6">
        <w:t>child care</w:t>
      </w:r>
      <w:proofErr w:type="gramEnd"/>
      <w:r w:rsidRPr="00BA1DA6">
        <w:t xml:space="preserve"> providers. </w:t>
      </w:r>
    </w:p>
    <w:p w14:paraId="5D6CC415" w14:textId="77777777" w:rsidR="00BA1DA6" w:rsidRPr="00BA1DA6" w:rsidRDefault="00BA1DA6" w:rsidP="00BA1DA6">
      <w:pPr>
        <w:pStyle w:val="BodyText"/>
      </w:pPr>
      <w:r w:rsidRPr="00BA1DA6">
        <w:t>In 2022, TWC invested over $11 million of stimulus funding to support CCR with computer system enhancements and to support five Child Care Navigator positions. The system enhancements include improvements to the Search Texas Child Care website to enhance its value to Texas families. These improvements also require changes to CCR’s CLASS system, data exchange processes with TWC, and new data exchanges with TEA. The improvements modernized the technology and made the site more mobile friendly. </w:t>
      </w:r>
    </w:p>
    <w:p w14:paraId="30AB30FF" w14:textId="77777777" w:rsidR="00BA1DA6" w:rsidRPr="00BA1DA6" w:rsidRDefault="00BA1DA6" w:rsidP="00BA1DA6">
      <w:pPr>
        <w:pStyle w:val="BodyText"/>
      </w:pPr>
      <w:r w:rsidRPr="00BA1DA6">
        <w:t xml:space="preserve">The CCR Navigators are strategically placed in different parts of the state to help support new </w:t>
      </w:r>
      <w:proofErr w:type="gramStart"/>
      <w:r w:rsidRPr="00BA1DA6">
        <w:t>child care</w:t>
      </w:r>
      <w:proofErr w:type="gramEnd"/>
      <w:r w:rsidRPr="00BA1DA6">
        <w:t xml:space="preserve"> providers build and sustain their child care business. The Navigators partner with new </w:t>
      </w:r>
      <w:proofErr w:type="gramStart"/>
      <w:r w:rsidRPr="00BA1DA6">
        <w:t>child care</w:t>
      </w:r>
      <w:proofErr w:type="gramEnd"/>
      <w:r w:rsidRPr="00BA1DA6">
        <w:t xml:space="preserve"> applicants, assist them through the application process, provide them with available resources in their community or region, and connect them with their CCR representatives. HHSC is seeking legislative approval to retain these FTEs, and TWC would fund these positions through IACs using CCDF funding. </w:t>
      </w:r>
    </w:p>
    <w:p w14:paraId="32837889" w14:textId="77777777" w:rsidR="00BA1DA6" w:rsidRPr="00BA1DA6" w:rsidRDefault="00BA1DA6" w:rsidP="00BA1DA6">
      <w:pPr>
        <w:pStyle w:val="BodyText"/>
      </w:pPr>
      <w:r w:rsidRPr="00BA1DA6">
        <w:t xml:space="preserve">TWC also has an IAC with HHSC that provides CCDF funding to CCR to process listed family home applications and background checks for individuals seeking to become relative </w:t>
      </w:r>
      <w:proofErr w:type="gramStart"/>
      <w:r w:rsidRPr="00BA1DA6">
        <w:t>child care</w:t>
      </w:r>
      <w:proofErr w:type="gramEnd"/>
      <w:r w:rsidRPr="00BA1DA6">
        <w:t xml:space="preserve"> providers with TWC. </w:t>
      </w:r>
    </w:p>
    <w:p w14:paraId="78B3E7B3" w14:textId="77777777" w:rsidR="00BA1DA6" w:rsidRPr="00BA1DA6" w:rsidRDefault="00BA1DA6" w:rsidP="00BA1DA6">
      <w:pPr>
        <w:pStyle w:val="BodyText"/>
      </w:pPr>
      <w:r w:rsidRPr="00BA1DA6">
        <w:rPr>
          <w:i/>
          <w:iCs/>
        </w:rPr>
        <w:t>2-1-1 Texas</w:t>
      </w:r>
      <w:r w:rsidRPr="00BA1DA6">
        <w:t> </w:t>
      </w:r>
    </w:p>
    <w:p w14:paraId="28CCA641" w14:textId="77777777" w:rsidR="00BA1DA6" w:rsidRPr="00BA1DA6" w:rsidRDefault="00BA1DA6" w:rsidP="00BA1DA6">
      <w:pPr>
        <w:pStyle w:val="BodyText"/>
      </w:pPr>
      <w:r w:rsidRPr="00BA1DA6">
        <w:t xml:space="preserve">TWC has an interagency contract with HHSC to provide the 2-1-1 Texas Information and Referral Network (2-1-1 TIRN), which ensures that information is available to the public regarding workforce services, </w:t>
      </w:r>
      <w:proofErr w:type="gramStart"/>
      <w:r w:rsidRPr="00BA1DA6">
        <w:t>child care</w:t>
      </w:r>
      <w:proofErr w:type="gramEnd"/>
      <w:r w:rsidRPr="00BA1DA6">
        <w:t xml:space="preserve"> education, child care service providers, child care expense assistance, and educational resources for choosing quality child care within any community across the state.  </w:t>
      </w:r>
    </w:p>
    <w:p w14:paraId="4E12D890" w14:textId="77777777" w:rsidR="00BA1DA6" w:rsidRPr="00BA1DA6" w:rsidRDefault="00BA1DA6" w:rsidP="00BA1DA6">
      <w:pPr>
        <w:pStyle w:val="BodyText"/>
      </w:pPr>
      <w:r w:rsidRPr="00BA1DA6">
        <w:rPr>
          <w:i/>
          <w:iCs/>
        </w:rPr>
        <w:t>Early Childhood Intervention</w:t>
      </w:r>
      <w:r w:rsidRPr="00BA1DA6">
        <w:t> </w:t>
      </w:r>
    </w:p>
    <w:p w14:paraId="440AFB0E" w14:textId="77777777" w:rsidR="00BA1DA6" w:rsidRPr="00BA1DA6" w:rsidRDefault="00BA1DA6" w:rsidP="00BA1DA6">
      <w:pPr>
        <w:pStyle w:val="BodyText"/>
      </w:pPr>
      <w:r w:rsidRPr="00BA1DA6">
        <w:t>Early Childhood Intervention (ECI) is a statewide program for families with children from birth to three years old who have disabilities and developmental delays. ECI provides support to families to help their children reach their potential through developmental services. </w:t>
      </w:r>
    </w:p>
    <w:p w14:paraId="744E33C1" w14:textId="77777777" w:rsidR="00BA1DA6" w:rsidRPr="00BA1DA6" w:rsidRDefault="00BA1DA6" w:rsidP="00BA1DA6">
      <w:pPr>
        <w:pStyle w:val="BodyText"/>
      </w:pPr>
      <w:r w:rsidRPr="00BA1DA6">
        <w:t xml:space="preserve">TWC currently has two IACs with ECI using PDG B-5 funds to provide training for </w:t>
      </w:r>
      <w:proofErr w:type="gramStart"/>
      <w:r w:rsidRPr="00BA1DA6">
        <w:t>child care</w:t>
      </w:r>
      <w:proofErr w:type="gramEnd"/>
      <w:r w:rsidRPr="00BA1DA6">
        <w:t xml:space="preserve"> providers on child development, assessments, strategies to support inclusion of infants and toddlers with special needs within their programs, and support ECI staff retention.   </w:t>
      </w:r>
    </w:p>
    <w:p w14:paraId="772473FD" w14:textId="77777777" w:rsidR="00BA1DA6" w:rsidRPr="00BA1DA6" w:rsidRDefault="00BA1DA6" w:rsidP="00BA1DA6">
      <w:pPr>
        <w:pStyle w:val="BodyText"/>
      </w:pPr>
      <w:r w:rsidRPr="00BA1DA6">
        <w:lastRenderedPageBreak/>
        <w:t xml:space="preserve">Boards coordinate with local early childhood programs and ECI service providers to offer ECI services at </w:t>
      </w:r>
      <w:proofErr w:type="gramStart"/>
      <w:r w:rsidRPr="00BA1DA6">
        <w:t>child care</w:t>
      </w:r>
      <w:proofErr w:type="gramEnd"/>
      <w:r w:rsidRPr="00BA1DA6">
        <w:t xml:space="preserve"> facilities and conduct conferences and trainings for providers and parents about services for infants and toddlers with disabilities. </w:t>
      </w:r>
    </w:p>
    <w:p w14:paraId="4C829AEF" w14:textId="77777777" w:rsidR="00BA1DA6" w:rsidRPr="00BA1DA6" w:rsidRDefault="00BA1DA6" w:rsidP="00BD04D4">
      <w:pPr>
        <w:pStyle w:val="BodyText3"/>
      </w:pPr>
      <w:r w:rsidRPr="00BA1DA6">
        <w:t>Department of Family and Protective Services </w:t>
      </w:r>
    </w:p>
    <w:p w14:paraId="196F75E1" w14:textId="77777777" w:rsidR="00BA1DA6" w:rsidRPr="00BA1DA6" w:rsidRDefault="00BA1DA6" w:rsidP="00BA1DA6">
      <w:pPr>
        <w:pStyle w:val="BodyText"/>
      </w:pPr>
      <w:r w:rsidRPr="00BA1DA6">
        <w:rPr>
          <w:i/>
          <w:iCs/>
        </w:rPr>
        <w:t>Day Care Services for Children in Protective Services</w:t>
      </w:r>
      <w:r w:rsidRPr="00BA1DA6">
        <w:t> </w:t>
      </w:r>
    </w:p>
    <w:p w14:paraId="6FBCDD5A" w14:textId="77777777" w:rsidR="00BA1DA6" w:rsidRPr="00BA1DA6" w:rsidRDefault="00BA1DA6" w:rsidP="00BA1DA6">
      <w:pPr>
        <w:pStyle w:val="BodyText"/>
      </w:pPr>
      <w:r w:rsidRPr="00BA1DA6">
        <w:t xml:space="preserve">TWC administers DFPS-subsidized </w:t>
      </w:r>
      <w:proofErr w:type="gramStart"/>
      <w:r w:rsidRPr="00BA1DA6">
        <w:t>child care</w:t>
      </w:r>
      <w:proofErr w:type="gramEnd"/>
      <w:r w:rsidRPr="00BA1DA6">
        <w:t xml:space="preserve"> services for children receiving protective services from DFPS. TWC does not provide funding for this but administers services through an Interagency Contract (IAC) on behalf of DFPS Child Protective Services (CPS). </w:t>
      </w:r>
    </w:p>
    <w:p w14:paraId="3B84B3EA" w14:textId="77777777" w:rsidR="00BA1DA6" w:rsidRPr="00BA1DA6" w:rsidRDefault="00BA1DA6" w:rsidP="00BA1DA6">
      <w:pPr>
        <w:pStyle w:val="BodyText"/>
      </w:pPr>
      <w:r w:rsidRPr="00BA1DA6">
        <w:rPr>
          <w:i/>
          <w:iCs/>
        </w:rPr>
        <w:t>DFPS Out-of-State Provider Background Checks </w:t>
      </w:r>
      <w:r w:rsidRPr="00BA1DA6">
        <w:t> </w:t>
      </w:r>
    </w:p>
    <w:p w14:paraId="6CF6F956" w14:textId="77777777" w:rsidR="00BA1DA6" w:rsidRPr="00BA1DA6" w:rsidRDefault="00BA1DA6" w:rsidP="00BA1DA6">
      <w:pPr>
        <w:pStyle w:val="BodyText"/>
      </w:pPr>
      <w:r w:rsidRPr="00BA1DA6">
        <w:t xml:space="preserve">TWC has an IAC with DFPS to support staff who facilitate the required abuse and neglect background checks for previous Texas residents hired for </w:t>
      </w:r>
      <w:proofErr w:type="gramStart"/>
      <w:r w:rsidRPr="00BA1DA6">
        <w:t>child care</w:t>
      </w:r>
      <w:proofErr w:type="gramEnd"/>
      <w:r w:rsidRPr="00BA1DA6">
        <w:t xml:space="preserve"> positions in other states.  </w:t>
      </w:r>
    </w:p>
    <w:p w14:paraId="59C85692" w14:textId="77777777" w:rsidR="00BA1DA6" w:rsidRPr="00BA1DA6" w:rsidRDefault="00BA1DA6" w:rsidP="00BD04D4">
      <w:pPr>
        <w:pStyle w:val="BodyText3"/>
      </w:pPr>
      <w:r w:rsidRPr="00BA1DA6">
        <w:t>Texas Education Agency </w:t>
      </w:r>
    </w:p>
    <w:p w14:paraId="2FA190DC" w14:textId="77777777" w:rsidR="00BA1DA6" w:rsidRPr="00BA1DA6" w:rsidRDefault="00BA1DA6" w:rsidP="00BA1DA6">
      <w:pPr>
        <w:pStyle w:val="BodyText"/>
      </w:pPr>
      <w:r w:rsidRPr="00BA1DA6">
        <w:rPr>
          <w:i/>
          <w:iCs/>
        </w:rPr>
        <w:t>Quad-Agency Interagency Position </w:t>
      </w:r>
      <w:r w:rsidRPr="00BA1DA6">
        <w:t> </w:t>
      </w:r>
    </w:p>
    <w:p w14:paraId="60A3B9B0" w14:textId="5CAC6279" w:rsidR="00BA1DA6" w:rsidRPr="00BA1DA6" w:rsidRDefault="00BA1DA6" w:rsidP="00BA1DA6">
      <w:pPr>
        <w:pStyle w:val="BodyText"/>
      </w:pPr>
      <w:r w:rsidRPr="00BA1DA6">
        <w:t xml:space="preserve">TWC has an IAC with TEA to fund a quad-agency interagency staff position. TWC and three partner agencies – TEA, HHSC, and the Texas DSHS </w:t>
      </w:r>
      <w:proofErr w:type="gramStart"/>
      <w:r w:rsidRPr="00BA1DA6">
        <w:t>-  jointly</w:t>
      </w:r>
      <w:proofErr w:type="gramEnd"/>
      <w:r w:rsidRPr="00BA1DA6">
        <w:t xml:space="preserve"> fund the position of the Interagency Deputy Director of Early Childhood Support to facilitate coordination and collaboration across agencies serving young children. </w:t>
      </w:r>
    </w:p>
    <w:p w14:paraId="15D8ADBD" w14:textId="77777777" w:rsidR="00BA1DA6" w:rsidRPr="00BA1DA6" w:rsidRDefault="00BA1DA6" w:rsidP="00BA1DA6">
      <w:pPr>
        <w:pStyle w:val="BodyText"/>
      </w:pPr>
      <w:r w:rsidRPr="00BA1DA6">
        <w:rPr>
          <w:i/>
          <w:iCs/>
        </w:rPr>
        <w:t>Professional Development Partnerships for Early Childhood Education </w:t>
      </w:r>
      <w:r w:rsidRPr="00BA1DA6">
        <w:t> </w:t>
      </w:r>
    </w:p>
    <w:p w14:paraId="432602D5" w14:textId="549F9664" w:rsidR="00BA1DA6" w:rsidRPr="00BA1DA6" w:rsidRDefault="00BA1DA6" w:rsidP="00BA1DA6">
      <w:pPr>
        <w:pStyle w:val="BodyText"/>
      </w:pPr>
      <w:r w:rsidRPr="00BA1DA6">
        <w:t>The legislature directs TWC, out of appropriated CCDF, to transfer via IAC $500,000 each fiscal year to TEA to fund the management of early childhood education partnerships projects, including the award of stipends, facilitate increased participation in professional development by early childhood education professionals, and encourage those professionals to seek additional education. </w:t>
      </w:r>
    </w:p>
    <w:p w14:paraId="6747093C" w14:textId="77777777" w:rsidR="00BA1DA6" w:rsidRPr="00BA1DA6" w:rsidRDefault="00BA1DA6" w:rsidP="00BA1DA6">
      <w:pPr>
        <w:pStyle w:val="BodyText"/>
      </w:pPr>
      <w:r w:rsidRPr="00BA1DA6">
        <w:rPr>
          <w:i/>
          <w:iCs/>
        </w:rPr>
        <w:t>Texas School Readiness</w:t>
      </w:r>
      <w:r w:rsidRPr="00BA1DA6">
        <w:t> </w:t>
      </w:r>
    </w:p>
    <w:p w14:paraId="747CB06E" w14:textId="77777777" w:rsidR="00BA1DA6" w:rsidRPr="00BA1DA6" w:rsidRDefault="00BA1DA6" w:rsidP="00BA1DA6">
      <w:pPr>
        <w:pStyle w:val="BodyText"/>
      </w:pPr>
      <w:r w:rsidRPr="00BA1DA6">
        <w:t>The legislature directs TWC, out of appropriated GR or CCDF, to match the amounts available from the General Revenue Fund for the Early Childhood School Readiness Programs funded by TEA, to provide $11,700,000 each year for the purpose of providing funds to child care providers participating in integrated school readiness models developed by the State Center for Early Childhood Development at the University of Texas Health Science Center at Houston.  </w:t>
      </w:r>
    </w:p>
    <w:p w14:paraId="6E89566E" w14:textId="77777777" w:rsidR="00BA1DA6" w:rsidRPr="00BA1DA6" w:rsidRDefault="00BA1DA6" w:rsidP="00BA1DA6">
      <w:pPr>
        <w:pStyle w:val="BodyText"/>
      </w:pPr>
      <w:r w:rsidRPr="00BA1DA6">
        <w:rPr>
          <w:i/>
          <w:iCs/>
        </w:rPr>
        <w:t>Texas Ready Communities, Ready Schools, Ready Students</w:t>
      </w:r>
      <w:r w:rsidRPr="00BA1DA6">
        <w:t> </w:t>
      </w:r>
    </w:p>
    <w:p w14:paraId="25C5BE83" w14:textId="77777777" w:rsidR="00BA1DA6" w:rsidRPr="00BA1DA6" w:rsidRDefault="00BA1DA6" w:rsidP="00BA1DA6">
      <w:pPr>
        <w:pStyle w:val="BodyText"/>
      </w:pPr>
      <w:r w:rsidRPr="00BA1DA6">
        <w:lastRenderedPageBreak/>
        <w:t>In 2018, TWC partnered with TEA to participate in Texas Ready Communities, Ready Schools, Ready Students (TXR3), a multiyear project supported by the W.K. Kellogg Foundation and facilitated by the University of Pennsylvania’s Consortium for Policy Research in Education in collaboration with leading experts in the field. The TXR3 project team works in a collaborative, outcome-driven manner to conceptualize and develop tools to facilitate the organization, delivery, and strategic use of existing early childhood data.  </w:t>
      </w:r>
    </w:p>
    <w:p w14:paraId="2E2A6781" w14:textId="77777777" w:rsidR="00BA1DA6" w:rsidRPr="00BA1DA6" w:rsidRDefault="00BA1DA6" w:rsidP="00BA1DA6">
      <w:pPr>
        <w:pStyle w:val="BodyText"/>
      </w:pPr>
      <w:hyperlink r:id="rId75" w:tgtFrame="_blank" w:history="1">
        <w:r w:rsidRPr="00BA1DA6">
          <w:rPr>
            <w:rStyle w:val="Hyperlink"/>
          </w:rPr>
          <w:t>TXR3</w:t>
        </w:r>
      </w:hyperlink>
      <w:r w:rsidRPr="00BA1DA6">
        <w:t xml:space="preserve"> is a web-based analytic tool helps decision-makers visualize how well public-school Pre-K, kindergarten, and Texas Rising Star programs are prepared to educate children. TXR3 provides insight into the professional development needs of communities and schools as equal partners in collaboratively educating and preparing children. </w:t>
      </w:r>
    </w:p>
    <w:p w14:paraId="2BD19762" w14:textId="77777777" w:rsidR="00BA1DA6" w:rsidRPr="00BA1DA6" w:rsidRDefault="00BA1DA6" w:rsidP="00BA1DA6">
      <w:pPr>
        <w:pStyle w:val="BodyText"/>
      </w:pPr>
      <w:r w:rsidRPr="00BA1DA6">
        <w:rPr>
          <w:i/>
          <w:iCs/>
        </w:rPr>
        <w:t>Prekindergarten Partnerships</w:t>
      </w:r>
      <w:r w:rsidRPr="00BA1DA6">
        <w:t> </w:t>
      </w:r>
    </w:p>
    <w:p w14:paraId="22A94413" w14:textId="77777777" w:rsidR="00BA1DA6" w:rsidRPr="00BA1DA6" w:rsidRDefault="00BA1DA6" w:rsidP="00BA1DA6">
      <w:pPr>
        <w:pStyle w:val="BodyText"/>
      </w:pPr>
      <w:r w:rsidRPr="00BA1DA6">
        <w:t>As described in the Prekindergarten Partnership (PKP) program guide, TWC has an IAC with TEA to provide funding in the total amount of $2.4 million to support TEA’s efforts to assist with the development and expansion of pre-k partnerships. </w:t>
      </w:r>
    </w:p>
    <w:p w14:paraId="52A54C97" w14:textId="77777777" w:rsidR="00BA1DA6" w:rsidRPr="00BA1DA6" w:rsidRDefault="00BA1DA6" w:rsidP="00BD04D4">
      <w:pPr>
        <w:pStyle w:val="BodyText3"/>
      </w:pPr>
      <w:r w:rsidRPr="00BA1DA6">
        <w:t>University of Texas Health Science Center - Houston Children Learning Institute </w:t>
      </w:r>
    </w:p>
    <w:p w14:paraId="2A7825D5" w14:textId="77777777" w:rsidR="00BA1DA6" w:rsidRPr="00BA1DA6" w:rsidRDefault="00BA1DA6" w:rsidP="00BA1DA6">
      <w:pPr>
        <w:pStyle w:val="BodyText"/>
      </w:pPr>
      <w:r w:rsidRPr="00BA1DA6">
        <w:rPr>
          <w:i/>
          <w:iCs/>
        </w:rPr>
        <w:t>Texas Early Childhood Professional Development System</w:t>
      </w:r>
      <w:r w:rsidRPr="00BA1DA6">
        <w:t> </w:t>
      </w:r>
    </w:p>
    <w:p w14:paraId="5E502236" w14:textId="77777777" w:rsidR="00BA1DA6" w:rsidRPr="00BA1DA6" w:rsidRDefault="00BA1DA6" w:rsidP="00BA1DA6">
      <w:pPr>
        <w:pStyle w:val="BodyText"/>
      </w:pPr>
      <w:r w:rsidRPr="00BA1DA6">
        <w:t xml:space="preserve">TWC has an IAC with the University of Texas Health Science Center (UTHSH) Children Learning Institute (CLI) to support the </w:t>
      </w:r>
      <w:hyperlink r:id="rId76" w:tgtFrame="_blank" w:history="1">
        <w:r w:rsidRPr="00BA1DA6">
          <w:rPr>
            <w:rStyle w:val="Hyperlink"/>
          </w:rPr>
          <w:t>Texas Early Childhood Professional Development System</w:t>
        </w:r>
      </w:hyperlink>
      <w:r w:rsidRPr="00BA1DA6">
        <w:t xml:space="preserve"> (TECPDS).  The purpose of TECPDS is to support early childhood professionals by providing them with resources and tools to help them meet their professional development needs. TECPDS includes the </w:t>
      </w:r>
      <w:hyperlink r:id="rId77" w:tgtFrame="_blank" w:history="1">
        <w:r w:rsidRPr="00BA1DA6">
          <w:rPr>
            <w:rStyle w:val="Hyperlink"/>
          </w:rPr>
          <w:t>Texas Workforce Registry (TWR)</w:t>
        </w:r>
      </w:hyperlink>
      <w:r w:rsidRPr="00BA1DA6">
        <w:t>, a web-based application for early childhood professionals to keep track of all of their education and employment history, as well as the clock hours of training they have accrued. Features of this system include the ability to create a professional development profile, view reports, list job openings on the linked </w:t>
      </w:r>
      <w:hyperlink r:id="rId78" w:tgtFrame="_blank" w:history="1">
        <w:r w:rsidRPr="00BA1DA6">
          <w:rPr>
            <w:rStyle w:val="Hyperlink"/>
          </w:rPr>
          <w:t>WorkInTexas.com</w:t>
        </w:r>
      </w:hyperlink>
      <w:r w:rsidRPr="00BA1DA6">
        <w:t> job search resource and matching system, and evaluate trainings presented by </w:t>
      </w:r>
      <w:hyperlink r:id="rId79" w:tgtFrame="_blank" w:history="1">
        <w:r w:rsidRPr="00BA1DA6">
          <w:rPr>
            <w:rStyle w:val="Hyperlink"/>
          </w:rPr>
          <w:t>Registered Trainers</w:t>
        </w:r>
      </w:hyperlink>
      <w:r w:rsidRPr="00BA1DA6">
        <w:t>. </w:t>
      </w:r>
    </w:p>
    <w:p w14:paraId="433D568C" w14:textId="77777777" w:rsidR="00BA1DA6" w:rsidRPr="00BA1DA6" w:rsidRDefault="00BA1DA6" w:rsidP="00BA1DA6">
      <w:pPr>
        <w:pStyle w:val="BodyText"/>
      </w:pPr>
      <w:r w:rsidRPr="00BA1DA6">
        <w:t xml:space="preserve">Through TECPDS accounts, the </w:t>
      </w:r>
      <w:hyperlink r:id="rId80" w:tgtFrame="_blank" w:history="1">
        <w:r w:rsidRPr="00BA1DA6">
          <w:rPr>
            <w:rStyle w:val="Hyperlink"/>
          </w:rPr>
          <w:t>Texas Workforce Registry</w:t>
        </w:r>
      </w:hyperlink>
      <w:r w:rsidRPr="00BA1DA6">
        <w:t xml:space="preserve"> offers features for </w:t>
      </w:r>
      <w:hyperlink r:id="rId81" w:tgtFrame="_blank" w:history="1">
        <w:r w:rsidRPr="00BA1DA6">
          <w:rPr>
            <w:rStyle w:val="Hyperlink"/>
          </w:rPr>
          <w:t>Specialists</w:t>
        </w:r>
      </w:hyperlink>
      <w:r w:rsidRPr="00BA1DA6">
        <w:t>, </w:t>
      </w:r>
      <w:hyperlink r:id="rId82" w:tgtFrame="_blank" w:history="1">
        <w:r w:rsidRPr="00BA1DA6">
          <w:rPr>
            <w:rStyle w:val="Hyperlink"/>
          </w:rPr>
          <w:t>Center Directors</w:t>
        </w:r>
      </w:hyperlink>
      <w:r w:rsidRPr="00BA1DA6">
        <w:t>, and </w:t>
      </w:r>
      <w:hyperlink r:id="rId83" w:tgtFrame="_blank" w:history="1">
        <w:r w:rsidRPr="00BA1DA6">
          <w:rPr>
            <w:rStyle w:val="Hyperlink"/>
          </w:rPr>
          <w:t>Practitioners</w:t>
        </w:r>
      </w:hyperlink>
      <w:r w:rsidRPr="00BA1DA6">
        <w:t xml:space="preserve">, all available at no cost. The Workforce Registry allows trainers to generate digital training certificates for training participants. TAMU’s AgriLife program, which offers TWC-funded online </w:t>
      </w:r>
      <w:proofErr w:type="gramStart"/>
      <w:r w:rsidRPr="00BA1DA6">
        <w:t>child care</w:t>
      </w:r>
      <w:proofErr w:type="gramEnd"/>
      <w:r w:rsidRPr="00BA1DA6">
        <w:t xml:space="preserve"> training also has a direct interface with TECPDS so that online courses completed are seamlessly logged to a user’s Workforce Registry account. Furthermore, HHSC CCR uses the registry to monitor </w:t>
      </w:r>
      <w:proofErr w:type="gramStart"/>
      <w:r w:rsidRPr="00BA1DA6">
        <w:t>child care</w:t>
      </w:r>
      <w:proofErr w:type="gramEnd"/>
      <w:r w:rsidRPr="00BA1DA6">
        <w:t xml:space="preserve"> director and staff required training hours, facilitating a more efficient means of demonstrating and ensuring compliance with minimum standards related to training. </w:t>
      </w:r>
    </w:p>
    <w:p w14:paraId="232E060A" w14:textId="77777777" w:rsidR="00BA1DA6" w:rsidRPr="00BA1DA6" w:rsidRDefault="00BA1DA6" w:rsidP="00BA1DA6">
      <w:pPr>
        <w:pStyle w:val="BodyText"/>
      </w:pPr>
      <w:r w:rsidRPr="00BA1DA6">
        <w:t>Part of the Texas Workforce Registry, the </w:t>
      </w:r>
      <w:hyperlink r:id="rId84" w:tgtFrame="_blank" w:history="1">
        <w:r w:rsidRPr="00BA1DA6">
          <w:rPr>
            <w:rStyle w:val="Hyperlink"/>
          </w:rPr>
          <w:t>Find My Career Pathway</w:t>
        </w:r>
      </w:hyperlink>
      <w:r w:rsidRPr="00BA1DA6">
        <w:t> tool guides better professional development planning through a series of progressive levels that allows professionals to evaluate their career development and progress, as well as plan additional professional development and education opportunities. </w:t>
      </w:r>
    </w:p>
    <w:p w14:paraId="37AA648E" w14:textId="77777777" w:rsidR="00BA1DA6" w:rsidRPr="00BA1DA6" w:rsidRDefault="00BA1DA6" w:rsidP="00BA1DA6">
      <w:pPr>
        <w:pStyle w:val="BodyText"/>
      </w:pPr>
      <w:r w:rsidRPr="00BA1DA6">
        <w:rPr>
          <w:i/>
          <w:iCs/>
        </w:rPr>
        <w:lastRenderedPageBreak/>
        <w:t>Infant/Toddler System Network</w:t>
      </w:r>
      <w:r w:rsidRPr="00BA1DA6">
        <w:t> </w:t>
      </w:r>
    </w:p>
    <w:p w14:paraId="1EE07AE6" w14:textId="77777777" w:rsidR="00BA1DA6" w:rsidRPr="00BA1DA6" w:rsidRDefault="00BA1DA6" w:rsidP="00BA1DA6">
      <w:pPr>
        <w:pStyle w:val="BodyText"/>
      </w:pPr>
      <w:r w:rsidRPr="00BA1DA6">
        <w:t xml:space="preserve">TWC has an IAC with the University of Texas Health Science Center (UTHSH) Children Learning Institute (CLI) to administer the Texas Infant and Toddler System Network (ITSN). The </w:t>
      </w:r>
      <w:hyperlink r:id="rId85" w:tgtFrame="_blank" w:history="1">
        <w:r w:rsidRPr="00BA1DA6">
          <w:rPr>
            <w:rStyle w:val="Hyperlink"/>
          </w:rPr>
          <w:t>Texas ITSN</w:t>
        </w:r>
      </w:hyperlink>
      <w:r w:rsidRPr="00BA1DA6">
        <w:t xml:space="preserve"> offers professional development opportunities and collaborative experiences for specialists (coaches, trainers, and mentors) and teachers covering a wide range of topics specific to supporting infant and toddler development.  </w:t>
      </w:r>
    </w:p>
    <w:p w14:paraId="24D77ED5" w14:textId="77777777" w:rsidR="00BA1DA6" w:rsidRPr="00BA1DA6" w:rsidRDefault="00BA1DA6" w:rsidP="00BA1DA6">
      <w:pPr>
        <w:pStyle w:val="BodyText"/>
      </w:pPr>
      <w:r w:rsidRPr="00BA1DA6">
        <w:rPr>
          <w:i/>
          <w:iCs/>
        </w:rPr>
        <w:t>Texas Rising Star IACs</w:t>
      </w:r>
      <w:r w:rsidRPr="00BA1DA6">
        <w:t> </w:t>
      </w:r>
    </w:p>
    <w:p w14:paraId="7A296A79" w14:textId="77777777" w:rsidR="00BA1DA6" w:rsidRPr="00BA1DA6" w:rsidRDefault="00BA1DA6" w:rsidP="00BA1DA6">
      <w:pPr>
        <w:pStyle w:val="BodyText"/>
      </w:pPr>
      <w:r w:rsidRPr="00BA1DA6">
        <w:t>As described in the Texas Rising Star program guide, TWC has IACs with CLI for Centralized Assessment Entity (CAE) services and to provide ongoing support and skill development for Texas Rising Star staff through Peer-Learning Communities (PLCs) and online training content. </w:t>
      </w:r>
    </w:p>
    <w:p w14:paraId="21E68D88" w14:textId="77777777" w:rsidR="00BA1DA6" w:rsidRPr="00BA1DA6" w:rsidRDefault="00BA1DA6" w:rsidP="00BD04D4">
      <w:pPr>
        <w:pStyle w:val="BodyText3"/>
      </w:pPr>
      <w:r w:rsidRPr="00BA1DA6">
        <w:t>UT Market Rate Survey / Cost of Quality </w:t>
      </w:r>
    </w:p>
    <w:p w14:paraId="24D071B3" w14:textId="77777777" w:rsidR="00BA1DA6" w:rsidRPr="00BA1DA6" w:rsidRDefault="00BA1DA6" w:rsidP="00BA1DA6">
      <w:pPr>
        <w:pStyle w:val="BodyText"/>
      </w:pPr>
      <w:r w:rsidRPr="00BA1DA6">
        <w:t>TWC has an IAC with the University of Texas, School of Social Work to conduct an annual child care market rate survey as required by CCDF regulations (</w:t>
      </w:r>
      <w:hyperlink r:id="rId86" w:anchor="p-98.16(r)" w:tgtFrame="_blank" w:history="1">
        <w:r w:rsidRPr="00BA1DA6">
          <w:rPr>
            <w:rStyle w:val="Hyperlink"/>
          </w:rPr>
          <w:t>45 CFR 98.16(r)</w:t>
        </w:r>
      </w:hyperlink>
      <w:r w:rsidRPr="00BA1DA6">
        <w:t xml:space="preserve">). The Market Rate Survey collects market rates by each workforce area for licensed </w:t>
      </w:r>
      <w:proofErr w:type="gramStart"/>
      <w:r w:rsidRPr="00BA1DA6">
        <w:t>child care</w:t>
      </w:r>
      <w:proofErr w:type="gramEnd"/>
      <w:r w:rsidRPr="00BA1DA6">
        <w:t xml:space="preserve"> centers, licensed child care homes and registered child care homes.  </w:t>
      </w:r>
    </w:p>
    <w:p w14:paraId="6BA6AAF4" w14:textId="09595991" w:rsidR="00BA1DA6" w:rsidRPr="00BA1DA6" w:rsidRDefault="00BA1DA6" w:rsidP="00BA1DA6">
      <w:pPr>
        <w:pStyle w:val="BodyText"/>
      </w:pPr>
      <w:r w:rsidRPr="00BA1DA6">
        <w:t xml:space="preserve">The contract with also includes a Child Care Cost of Quality Study, which aims to explore the cost of providing quality </w:t>
      </w:r>
      <w:proofErr w:type="gramStart"/>
      <w:r w:rsidRPr="00BA1DA6">
        <w:t>child care</w:t>
      </w:r>
      <w:proofErr w:type="gramEnd"/>
      <w:r w:rsidRPr="00BA1DA6">
        <w:t xml:space="preserve"> in Texas. The study estimates the price charged for higher-quality care under Texas Rising </w:t>
      </w:r>
      <w:proofErr w:type="gramStart"/>
      <w:r w:rsidRPr="00BA1DA6">
        <w:t>Star  or</w:t>
      </w:r>
      <w:proofErr w:type="gramEnd"/>
      <w:r w:rsidRPr="00BA1DA6">
        <w:t xml:space="preserve"> other recognized sources of accreditation relative to other child care providers in the state. </w:t>
      </w:r>
    </w:p>
    <w:p w14:paraId="73F9450E" w14:textId="77777777" w:rsidR="00BA1DA6" w:rsidRPr="00BA1DA6" w:rsidRDefault="00BA1DA6" w:rsidP="00BD04D4">
      <w:pPr>
        <w:pStyle w:val="BodyText3"/>
      </w:pPr>
      <w:r w:rsidRPr="00BA1DA6">
        <w:t>A&amp;M AgriLife Child Care Training  </w:t>
      </w:r>
    </w:p>
    <w:p w14:paraId="3CDB1203" w14:textId="77777777" w:rsidR="00BA1DA6" w:rsidRPr="00BA1DA6" w:rsidRDefault="00BA1DA6" w:rsidP="00BA1DA6">
      <w:pPr>
        <w:pStyle w:val="BodyText"/>
      </w:pPr>
      <w:r w:rsidRPr="00BA1DA6">
        <w:t xml:space="preserve">Since 2022, TWC has dedicated funding through an IAC for the Texas A&amp;M University AgriLife Extension to create and host free and low-cost online training for Texas </w:t>
      </w:r>
      <w:proofErr w:type="gramStart"/>
      <w:r w:rsidRPr="00BA1DA6">
        <w:t>child care</w:t>
      </w:r>
      <w:proofErr w:type="gramEnd"/>
      <w:r w:rsidRPr="00BA1DA6">
        <w:t xml:space="preserve"> providers. The Texas Annual Training Suite offers up to 20 clock hours of training via 12 online courses to support early childhood educators in meeting required Child </w:t>
      </w:r>
      <w:proofErr w:type="spellStart"/>
      <w:r w:rsidRPr="00BA1DA6">
        <w:t>ComCare</w:t>
      </w:r>
      <w:proofErr w:type="spellEnd"/>
      <w:r w:rsidRPr="00BA1DA6">
        <w:t xml:space="preserve"> Regulation’s (CCR) minimum standards.  </w:t>
      </w:r>
    </w:p>
    <w:p w14:paraId="3B4ED488" w14:textId="77777777" w:rsidR="00BA1DA6" w:rsidRPr="00BA1DA6" w:rsidRDefault="00BA1DA6" w:rsidP="00BD04D4">
      <w:pPr>
        <w:pStyle w:val="BodyText3"/>
      </w:pPr>
      <w:r w:rsidRPr="00BA1DA6">
        <w:t>Preschool Development Grant Birth Through 5 IACs </w:t>
      </w:r>
    </w:p>
    <w:p w14:paraId="5A3C3E45" w14:textId="77777777" w:rsidR="00BA1DA6" w:rsidRPr="00BA1DA6" w:rsidRDefault="00BA1DA6" w:rsidP="00BA1DA6">
      <w:pPr>
        <w:pStyle w:val="BodyText"/>
      </w:pPr>
      <w:r w:rsidRPr="00BA1DA6">
        <w:t xml:space="preserve">TWC has </w:t>
      </w:r>
      <w:proofErr w:type="gramStart"/>
      <w:r w:rsidRPr="00BA1DA6">
        <w:t>IAC’s</w:t>
      </w:r>
      <w:proofErr w:type="gramEnd"/>
      <w:r w:rsidRPr="00BA1DA6">
        <w:t xml:space="preserve"> with the following entities as part of the PDG B-5 grant described in Section D: </w:t>
      </w:r>
    </w:p>
    <w:p w14:paraId="542DC73D" w14:textId="77777777" w:rsidR="00BA1DA6" w:rsidRPr="00BA1DA6" w:rsidRDefault="00BA1DA6" w:rsidP="00FB63E7">
      <w:pPr>
        <w:pStyle w:val="BodyText3"/>
      </w:pPr>
      <w:r w:rsidRPr="00BA1DA6">
        <w:t>Health and Human Services &amp; Texas Education Agency </w:t>
      </w:r>
    </w:p>
    <w:p w14:paraId="7B4157C2" w14:textId="77777777" w:rsidR="00BA1DA6" w:rsidRPr="00BA1DA6" w:rsidRDefault="00BA1DA6" w:rsidP="00BA1DA6">
      <w:pPr>
        <w:pStyle w:val="BodyText"/>
      </w:pPr>
      <w:r w:rsidRPr="00BA1DA6">
        <w:rPr>
          <w:i/>
          <w:iCs/>
        </w:rPr>
        <w:t>Early Childhood Integrated Data System</w:t>
      </w:r>
      <w:r w:rsidRPr="00BA1DA6">
        <w:t> </w:t>
      </w:r>
    </w:p>
    <w:p w14:paraId="14D09D33" w14:textId="46FE29C3" w:rsidR="00BA1DA6" w:rsidRPr="00BA1DA6" w:rsidRDefault="00BA1DA6" w:rsidP="00BA1DA6">
      <w:pPr>
        <w:pStyle w:val="BodyText"/>
      </w:pPr>
      <w:r w:rsidRPr="00BA1DA6">
        <w:t xml:space="preserve">ECIDS is a partnership involving TWC, TEA, and HHSC. This partnership is planning a system for integrating their data about children served by different early childhood programs. This will ensure state agency staff and policymakers have the information they </w:t>
      </w:r>
      <w:r w:rsidRPr="00BA1DA6">
        <w:lastRenderedPageBreak/>
        <w:t>need to make decisions in support of Texas’ most pressing early childhood goals. In 2025, TWC executed an interagency contract (IAC) with TEA, using PDG grant funds, to begin building out the ECIDS. </w:t>
      </w:r>
    </w:p>
    <w:p w14:paraId="222B5A69" w14:textId="77777777" w:rsidR="00BA1DA6" w:rsidRPr="00BA1DA6" w:rsidRDefault="00BA1DA6" w:rsidP="00FB63E7">
      <w:pPr>
        <w:pStyle w:val="BodyText3"/>
      </w:pPr>
      <w:r w:rsidRPr="00BA1DA6">
        <w:t>Health and Human Services </w:t>
      </w:r>
    </w:p>
    <w:p w14:paraId="7438406A" w14:textId="77777777" w:rsidR="00BA1DA6" w:rsidRPr="00BA1DA6" w:rsidRDefault="00BA1DA6" w:rsidP="00BA1DA6">
      <w:pPr>
        <w:pStyle w:val="BodyText"/>
      </w:pPr>
      <w:r w:rsidRPr="00BA1DA6">
        <w:rPr>
          <w:i/>
          <w:iCs/>
        </w:rPr>
        <w:t>CCR Navigators </w:t>
      </w:r>
      <w:r w:rsidRPr="00BA1DA6">
        <w:t> </w:t>
      </w:r>
    </w:p>
    <w:p w14:paraId="2D0C0D48" w14:textId="77777777" w:rsidR="00BA1DA6" w:rsidRPr="00BA1DA6" w:rsidRDefault="00BA1DA6" w:rsidP="00BA1DA6">
      <w:pPr>
        <w:pStyle w:val="BodyText"/>
      </w:pPr>
      <w:r w:rsidRPr="00BA1DA6">
        <w:t xml:space="preserve">From 2022 to 2024, TWC provided stimulus and PDG B-5 funding to HHSC to allow CCR to hire supply-building navigator staff. These staff members help prospective </w:t>
      </w:r>
      <w:proofErr w:type="gramStart"/>
      <w:r w:rsidRPr="00BA1DA6">
        <w:t>child care</w:t>
      </w:r>
      <w:proofErr w:type="gramEnd"/>
      <w:r w:rsidRPr="00BA1DA6">
        <w:t xml:space="preserve"> providers in understanding CCR’s regulatory requirements, understanding how local ordinances may also need to be considered, and in accessing other resources to assist new child care operations. The demand for these services has been high, and the Commission approved continued funding for this initiative in FY 2025. </w:t>
      </w:r>
    </w:p>
    <w:p w14:paraId="426656DA" w14:textId="77777777" w:rsidR="00BA1DA6" w:rsidRPr="00BA1DA6" w:rsidRDefault="00BA1DA6" w:rsidP="00BA1DA6">
      <w:pPr>
        <w:pStyle w:val="BodyText"/>
      </w:pPr>
      <w:r w:rsidRPr="00BA1DA6">
        <w:rPr>
          <w:i/>
          <w:iCs/>
        </w:rPr>
        <w:t>ECI Training, Retention and Comprehensive Services</w:t>
      </w:r>
      <w:r w:rsidRPr="00BA1DA6">
        <w:t> </w:t>
      </w:r>
    </w:p>
    <w:p w14:paraId="6B1EBEE9" w14:textId="77777777" w:rsidR="00BA1DA6" w:rsidRPr="00BA1DA6" w:rsidRDefault="00BA1DA6" w:rsidP="00BA1DA6">
      <w:pPr>
        <w:pStyle w:val="BodyText"/>
      </w:pPr>
      <w:r w:rsidRPr="00BA1DA6">
        <w:t xml:space="preserve">In 2022, TWC directed COVID-19 stimulus funds to ECI to support the training of </w:t>
      </w:r>
      <w:proofErr w:type="gramStart"/>
      <w:r w:rsidRPr="00BA1DA6">
        <w:t>child care</w:t>
      </w:r>
      <w:proofErr w:type="gramEnd"/>
      <w:r w:rsidRPr="00BA1DA6">
        <w:t xml:space="preserve"> providers, Texas Rising Star mentors, and infant-toddler specialists on developmental screening, Child Find, and how to work with local ECI providers to jointly serve eligible children. </w:t>
      </w:r>
    </w:p>
    <w:p w14:paraId="268F9408" w14:textId="77777777" w:rsidR="00BA1DA6" w:rsidRPr="00BA1DA6" w:rsidRDefault="00BA1DA6" w:rsidP="00BA1DA6">
      <w:pPr>
        <w:pStyle w:val="BodyText"/>
      </w:pPr>
      <w:r w:rsidRPr="00BA1DA6">
        <w:t xml:space="preserve">Through the PDG B-5 funding, TWC continues to support ECI training to </w:t>
      </w:r>
      <w:proofErr w:type="gramStart"/>
      <w:r w:rsidRPr="00BA1DA6">
        <w:t>child care</w:t>
      </w:r>
      <w:proofErr w:type="gramEnd"/>
      <w:r w:rsidRPr="00BA1DA6">
        <w:t xml:space="preserve"> programs and Ages and Stages® “Train the Trainer” workshops. Through this funding, ECI has provided training to 1,091 early childhood staff from 282 </w:t>
      </w:r>
      <w:proofErr w:type="gramStart"/>
      <w:r w:rsidRPr="00BA1DA6">
        <w:t>child care</w:t>
      </w:r>
      <w:proofErr w:type="gramEnd"/>
      <w:r w:rsidRPr="00BA1DA6">
        <w:t xml:space="preserve"> programs. Eight additional ASQ® “Train the Trainer” sessions were held to support an additional 62 Texas Rising Star mentors, three Infant-Toddler Specialists, and 27 ECI contractor staff members. </w:t>
      </w:r>
    </w:p>
    <w:p w14:paraId="6D2EB77E" w14:textId="77777777" w:rsidR="00BA1DA6" w:rsidRPr="00BA1DA6" w:rsidRDefault="00BA1DA6" w:rsidP="00BA1DA6">
      <w:pPr>
        <w:pStyle w:val="BodyText"/>
      </w:pPr>
      <w:r w:rsidRPr="00BA1DA6">
        <w:rPr>
          <w:i/>
          <w:iCs/>
        </w:rPr>
        <w:t>Early Childhood Systems Building</w:t>
      </w:r>
      <w:r w:rsidRPr="00BA1DA6">
        <w:t> </w:t>
      </w:r>
    </w:p>
    <w:p w14:paraId="34424CA4" w14:textId="77777777" w:rsidR="00BA1DA6" w:rsidRPr="00BA1DA6" w:rsidRDefault="00BA1DA6" w:rsidP="00BA1DA6">
      <w:pPr>
        <w:pStyle w:val="BodyText"/>
      </w:pPr>
      <w:r w:rsidRPr="00BA1DA6">
        <w:t>TWC awarded HHSC’s department of Family Support Services, previously DFPS Prevention and Early Intervention, to provide PDG B-5 subawards to Healthy Outcomes through Prevention and Early Support (HOPES) and Texas Home Visiting (THV) grantees, with the primary goals of early childhood systems building and readiness in addition to activities to connect families to services and engage families as leaders.  </w:t>
      </w:r>
    </w:p>
    <w:p w14:paraId="6E8310C2" w14:textId="77777777" w:rsidR="00BA1DA6" w:rsidRPr="00BA1DA6" w:rsidRDefault="00BA1DA6" w:rsidP="00FB63E7">
      <w:pPr>
        <w:pStyle w:val="BodyText3"/>
      </w:pPr>
      <w:r w:rsidRPr="00BA1DA6">
        <w:t>University of Texas at Austin </w:t>
      </w:r>
    </w:p>
    <w:p w14:paraId="3526D2DF" w14:textId="77777777" w:rsidR="00BA1DA6" w:rsidRPr="00BA1DA6" w:rsidRDefault="00BA1DA6" w:rsidP="00BA1DA6">
      <w:pPr>
        <w:pStyle w:val="BodyText"/>
      </w:pPr>
      <w:r w:rsidRPr="00BA1DA6">
        <w:rPr>
          <w:i/>
          <w:iCs/>
        </w:rPr>
        <w:t>Institute for Excellence in Mental Health</w:t>
      </w:r>
      <w:r w:rsidRPr="00BA1DA6">
        <w:t> </w:t>
      </w:r>
    </w:p>
    <w:p w14:paraId="2D747A2C" w14:textId="1F95070B" w:rsidR="00BA1DA6" w:rsidRPr="00BA1DA6" w:rsidRDefault="00BA1DA6" w:rsidP="00BA1DA6">
      <w:pPr>
        <w:pStyle w:val="BodyText"/>
      </w:pPr>
      <w:r w:rsidRPr="00BA1DA6">
        <w:t xml:space="preserve">TWC awarded the University of Texas </w:t>
      </w:r>
      <w:r w:rsidR="00772F09">
        <w:t>at</w:t>
      </w:r>
      <w:r w:rsidR="00772F09" w:rsidRPr="00BA1DA6">
        <w:t xml:space="preserve"> </w:t>
      </w:r>
      <w:r w:rsidRPr="00BA1DA6">
        <w:t>Austin’s Texas Institute for Excellence in Mental Health (TIEMH) to develop a Texas model for infant and early childhood mental health consultation (IECMHC) and conduct a pilot in six communities across Texas. TIEMH also provided training and professional development opportunities for IECMH consultants. </w:t>
      </w:r>
    </w:p>
    <w:p w14:paraId="687FB68F" w14:textId="77777777" w:rsidR="00BA1DA6" w:rsidRPr="00BA1DA6" w:rsidRDefault="00BA1DA6" w:rsidP="00BA1DA6">
      <w:pPr>
        <w:pStyle w:val="BodyText"/>
      </w:pPr>
      <w:r w:rsidRPr="00BA1DA6">
        <w:rPr>
          <w:i/>
          <w:iCs/>
        </w:rPr>
        <w:lastRenderedPageBreak/>
        <w:t>Eligibility Screener / User Experience</w:t>
      </w:r>
      <w:r w:rsidRPr="00BA1DA6">
        <w:t> </w:t>
      </w:r>
    </w:p>
    <w:p w14:paraId="068B7E38" w14:textId="77777777" w:rsidR="00BA1DA6" w:rsidRPr="00BA1DA6" w:rsidRDefault="00BA1DA6" w:rsidP="00BA1DA6">
      <w:pPr>
        <w:pStyle w:val="BodyText"/>
      </w:pPr>
      <w:r w:rsidRPr="00BA1DA6">
        <w:t>TWC, with input from the Early Childhood Interagency Workgroup (ECIW), is using PDG B-5 funds to make enhancements to the Early Childhood Texas website, including adding local and regional resources and developing a cross-program eligibility screener. The eligibility screener will allow families to enter information to determine potential eligibility for multiple early childhood programs. Programs included in the initial version of the screener include CCS, public pre-K, and Head Start or Early Head Start. If a family is potentially eligible based on their screening results, they will be directed to the appropriate website where they can learn more about the program and apply for services. </w:t>
      </w:r>
    </w:p>
    <w:p w14:paraId="3075DDE5" w14:textId="333BE55F" w:rsidR="00BA1DA6" w:rsidRPr="00BA1DA6" w:rsidRDefault="00BA1DA6" w:rsidP="00BA1DA6">
      <w:pPr>
        <w:pStyle w:val="BodyText"/>
      </w:pPr>
      <w:r w:rsidRPr="00BA1DA6">
        <w:t xml:space="preserve">TWC awarded the University of Texas </w:t>
      </w:r>
      <w:r w:rsidR="00772F09">
        <w:t>at</w:t>
      </w:r>
      <w:r w:rsidR="00772F09" w:rsidRPr="00BA1DA6">
        <w:t xml:space="preserve"> </w:t>
      </w:r>
      <w:r w:rsidRPr="00BA1DA6">
        <w:t xml:space="preserve">Austin’s Institute for Child and Family Wellbeing to conduct four focus groups and compensate participants for other user experience testing in conjunction with TWC’s IT project to develop the new early childhood eligibility screener and </w:t>
      </w:r>
      <w:proofErr w:type="gramStart"/>
      <w:r w:rsidRPr="00BA1DA6">
        <w:t>child care</w:t>
      </w:r>
      <w:proofErr w:type="gramEnd"/>
      <w:r w:rsidRPr="00BA1DA6">
        <w:t xml:space="preserve"> consumer education website. </w:t>
      </w:r>
    </w:p>
    <w:p w14:paraId="6F182AA5" w14:textId="77777777" w:rsidR="00BA1DA6" w:rsidRPr="00BA1DA6" w:rsidRDefault="00BA1DA6" w:rsidP="00FB63E7">
      <w:pPr>
        <w:pStyle w:val="BodyText3"/>
      </w:pPr>
      <w:r w:rsidRPr="00BA1DA6">
        <w:t>University of Texas Health Science Center-Houston </w:t>
      </w:r>
    </w:p>
    <w:p w14:paraId="0D28F0E8" w14:textId="77777777" w:rsidR="00BA1DA6" w:rsidRPr="00BA1DA6" w:rsidRDefault="00BA1DA6" w:rsidP="00BA1DA6">
      <w:pPr>
        <w:pStyle w:val="BodyText"/>
      </w:pPr>
      <w:r w:rsidRPr="00BA1DA6">
        <w:rPr>
          <w:i/>
          <w:iCs/>
        </w:rPr>
        <w:t>PDG Needs Assessment/Evaluation </w:t>
      </w:r>
      <w:r w:rsidRPr="00BA1DA6">
        <w:t> </w:t>
      </w:r>
    </w:p>
    <w:p w14:paraId="76AEBC96" w14:textId="77777777" w:rsidR="00BA1DA6" w:rsidRPr="00BA1DA6" w:rsidRDefault="00BA1DA6" w:rsidP="00BA1DA6">
      <w:pPr>
        <w:pStyle w:val="BodyText"/>
      </w:pPr>
      <w:r w:rsidRPr="00BA1DA6">
        <w:t xml:space="preserve">TWC awarded the University of Texas Health Science Center-Houston to conduct a statewide early childhood needs assessment and Texas PDG B-5 program performance evaluation. </w:t>
      </w:r>
      <w:proofErr w:type="gramStart"/>
      <w:r w:rsidRPr="00BA1DA6">
        <w:t>Both of these</w:t>
      </w:r>
      <w:proofErr w:type="gramEnd"/>
      <w:r w:rsidRPr="00BA1DA6">
        <w:t xml:space="preserve"> items were required activities under the PDG B-5 Renewal Grant. </w:t>
      </w:r>
    </w:p>
    <w:p w14:paraId="2885AB33" w14:textId="77777777" w:rsidR="00BA1DA6" w:rsidRPr="00BA1DA6" w:rsidRDefault="00BA1DA6" w:rsidP="00BA1DA6">
      <w:pPr>
        <w:pStyle w:val="BodyText"/>
      </w:pPr>
      <w:r w:rsidRPr="00BA1DA6">
        <w:rPr>
          <w:u w:val="single"/>
        </w:rPr>
        <w:t>Texas Department of Family Protective Services</w:t>
      </w:r>
      <w:r w:rsidRPr="00BA1DA6">
        <w:t> </w:t>
      </w:r>
    </w:p>
    <w:p w14:paraId="2B057BCD" w14:textId="77777777" w:rsidR="00BA1DA6" w:rsidRPr="00BA1DA6" w:rsidRDefault="00BA1DA6" w:rsidP="00BA1DA6">
      <w:pPr>
        <w:pStyle w:val="BodyText"/>
      </w:pPr>
      <w:r w:rsidRPr="00BA1DA6">
        <w:rPr>
          <w:i/>
          <w:iCs/>
        </w:rPr>
        <w:t>TX3C Automated Interface </w:t>
      </w:r>
      <w:r w:rsidRPr="00BA1DA6">
        <w:t> </w:t>
      </w:r>
    </w:p>
    <w:p w14:paraId="0C6B2AC3" w14:textId="77777777" w:rsidR="00BA1DA6" w:rsidRPr="00BA1DA6" w:rsidRDefault="00BA1DA6" w:rsidP="00BA1DA6">
      <w:pPr>
        <w:pStyle w:val="BodyText"/>
      </w:pPr>
      <w:r w:rsidRPr="00BA1DA6">
        <w:t xml:space="preserve">TWC has an IAC with DFPS to develop an interface between the DFPS systems and TX3C to support automated referrals for children in Protective Services who need </w:t>
      </w:r>
      <w:proofErr w:type="gramStart"/>
      <w:r w:rsidRPr="00BA1DA6">
        <w:t>child care</w:t>
      </w:r>
      <w:proofErr w:type="gramEnd"/>
      <w:r w:rsidRPr="00BA1DA6">
        <w:t>. </w:t>
      </w:r>
    </w:p>
    <w:p w14:paraId="67286398" w14:textId="77777777" w:rsidR="00BA1DA6" w:rsidRPr="00BA1DA6" w:rsidRDefault="00BA1DA6" w:rsidP="00FB63E7">
      <w:pPr>
        <w:pStyle w:val="BodyText3"/>
        <w:ind w:left="720" w:hanging="720"/>
      </w:pPr>
      <w:r w:rsidRPr="00BA1DA6">
        <w:t>I.</w:t>
      </w:r>
      <w:r w:rsidRPr="00BA1DA6">
        <w:tab/>
        <w:t>If the division or program works with local, regional, or federal units of government, include a brief description of these entities and their relationship to the agency. </w:t>
      </w:r>
    </w:p>
    <w:p w14:paraId="1381B522" w14:textId="77777777" w:rsidR="00BA1DA6" w:rsidRPr="00BA1DA6" w:rsidRDefault="00BA1DA6" w:rsidP="00FB63E7">
      <w:pPr>
        <w:pStyle w:val="BodyText3"/>
      </w:pPr>
      <w:r w:rsidRPr="00BA1DA6">
        <w:t>Local Workforce Development Boards </w:t>
      </w:r>
    </w:p>
    <w:p w14:paraId="720E96F1" w14:textId="77777777" w:rsidR="00BA1DA6" w:rsidRPr="00BA1DA6" w:rsidRDefault="00BA1DA6" w:rsidP="00BA1DA6">
      <w:pPr>
        <w:pStyle w:val="BodyText"/>
      </w:pPr>
      <w:r w:rsidRPr="00BA1DA6">
        <w:t xml:space="preserve">TWC enters into grant agreements with each of the 28 Local Workforce Development Boards (Boards) to administer </w:t>
      </w:r>
      <w:proofErr w:type="gramStart"/>
      <w:r w:rsidRPr="00BA1DA6">
        <w:t>child care</w:t>
      </w:r>
      <w:proofErr w:type="gramEnd"/>
      <w:r w:rsidRPr="00BA1DA6">
        <w:t xml:space="preserve"> services and develop local policies for child care services. </w:t>
      </w:r>
    </w:p>
    <w:p w14:paraId="34C1813B" w14:textId="77777777" w:rsidR="00BA1DA6" w:rsidRPr="00BA1DA6" w:rsidRDefault="00BA1DA6" w:rsidP="00BA1DA6">
      <w:pPr>
        <w:pStyle w:val="BodyText"/>
      </w:pPr>
      <w:r w:rsidRPr="00BA1DA6">
        <w:t>The Boards competitively procure contractors to: </w:t>
      </w:r>
    </w:p>
    <w:p w14:paraId="7E877AA3" w14:textId="77777777" w:rsidR="00BA1DA6" w:rsidRPr="00BA1DA6" w:rsidRDefault="00BA1DA6" w:rsidP="00C64851">
      <w:pPr>
        <w:pStyle w:val="BodyText"/>
        <w:numPr>
          <w:ilvl w:val="0"/>
          <w:numId w:val="551"/>
        </w:numPr>
      </w:pPr>
      <w:r w:rsidRPr="00BA1DA6">
        <w:t xml:space="preserve">Conduct </w:t>
      </w:r>
      <w:proofErr w:type="gramStart"/>
      <w:r w:rsidRPr="00BA1DA6">
        <w:t>child care</w:t>
      </w:r>
      <w:proofErr w:type="gramEnd"/>
      <w:r w:rsidRPr="00BA1DA6">
        <w:t xml:space="preserve"> services eligibility determinations </w:t>
      </w:r>
    </w:p>
    <w:p w14:paraId="2E78C6FC" w14:textId="77777777" w:rsidR="00BA1DA6" w:rsidRPr="00BA1DA6" w:rsidRDefault="00BA1DA6" w:rsidP="00C64851">
      <w:pPr>
        <w:pStyle w:val="BodyText"/>
        <w:numPr>
          <w:ilvl w:val="0"/>
          <w:numId w:val="551"/>
        </w:numPr>
      </w:pPr>
      <w:r w:rsidRPr="00BA1DA6">
        <w:t xml:space="preserve">Authorize </w:t>
      </w:r>
      <w:proofErr w:type="gramStart"/>
      <w:r w:rsidRPr="00BA1DA6">
        <w:t>child care</w:t>
      </w:r>
      <w:proofErr w:type="gramEnd"/>
      <w:r w:rsidRPr="00BA1DA6">
        <w:t xml:space="preserve"> services at eligible providers chosen by the parent </w:t>
      </w:r>
    </w:p>
    <w:p w14:paraId="6A76907B" w14:textId="77777777" w:rsidR="00BA1DA6" w:rsidRPr="00BA1DA6" w:rsidRDefault="00BA1DA6" w:rsidP="00C64851">
      <w:pPr>
        <w:pStyle w:val="BodyText"/>
        <w:numPr>
          <w:ilvl w:val="0"/>
          <w:numId w:val="551"/>
        </w:numPr>
      </w:pPr>
      <w:r w:rsidRPr="00BA1DA6">
        <w:lastRenderedPageBreak/>
        <w:t>Authorize parent share of cost assessments </w:t>
      </w:r>
    </w:p>
    <w:p w14:paraId="61919DD7" w14:textId="77777777" w:rsidR="00BA1DA6" w:rsidRPr="00BA1DA6" w:rsidRDefault="00BA1DA6" w:rsidP="00C64851">
      <w:pPr>
        <w:pStyle w:val="BodyText"/>
        <w:numPr>
          <w:ilvl w:val="0"/>
          <w:numId w:val="551"/>
        </w:numPr>
      </w:pPr>
      <w:r w:rsidRPr="00BA1DA6">
        <w:t xml:space="preserve">Track and monitor </w:t>
      </w:r>
      <w:proofErr w:type="gramStart"/>
      <w:r w:rsidRPr="00BA1DA6">
        <w:t>child care</w:t>
      </w:r>
      <w:proofErr w:type="gramEnd"/>
      <w:r w:rsidRPr="00BA1DA6">
        <w:t xml:space="preserve"> attendance recorded by the parent </w:t>
      </w:r>
    </w:p>
    <w:p w14:paraId="2A61352C" w14:textId="77777777" w:rsidR="00BA1DA6" w:rsidRPr="00BA1DA6" w:rsidRDefault="00BA1DA6" w:rsidP="00C64851">
      <w:pPr>
        <w:pStyle w:val="BodyText"/>
        <w:numPr>
          <w:ilvl w:val="0"/>
          <w:numId w:val="551"/>
        </w:numPr>
      </w:pPr>
      <w:r w:rsidRPr="00BA1DA6">
        <w:t xml:space="preserve">Reimburse </w:t>
      </w:r>
      <w:proofErr w:type="gramStart"/>
      <w:r w:rsidRPr="00BA1DA6">
        <w:t>child care</w:t>
      </w:r>
      <w:proofErr w:type="gramEnd"/>
      <w:r w:rsidRPr="00BA1DA6">
        <w:t xml:space="preserve"> providers for services provided </w:t>
      </w:r>
    </w:p>
    <w:p w14:paraId="6E419A52" w14:textId="77777777" w:rsidR="00BA1DA6" w:rsidRPr="00BA1DA6" w:rsidRDefault="00BA1DA6" w:rsidP="00C64851">
      <w:pPr>
        <w:pStyle w:val="BodyText"/>
        <w:numPr>
          <w:ilvl w:val="0"/>
          <w:numId w:val="551"/>
        </w:numPr>
      </w:pPr>
      <w:r w:rsidRPr="00BA1DA6">
        <w:t>Provide consumer education information to parents </w:t>
      </w:r>
    </w:p>
    <w:p w14:paraId="16EB795F" w14:textId="77777777" w:rsidR="00BA1DA6" w:rsidRPr="00BA1DA6" w:rsidRDefault="00BA1DA6" w:rsidP="00BA1DA6">
      <w:pPr>
        <w:pStyle w:val="BodyText"/>
      </w:pPr>
      <w:r w:rsidRPr="00BA1DA6">
        <w:t xml:space="preserve">TWC awards the following grant contracts to each of the 28 Boards to administer </w:t>
      </w:r>
      <w:proofErr w:type="gramStart"/>
      <w:r w:rsidRPr="00BA1DA6">
        <w:t>child care</w:t>
      </w:r>
      <w:proofErr w:type="gramEnd"/>
      <w:r w:rsidRPr="00BA1DA6">
        <w:t xml:space="preserve"> services: </w:t>
      </w:r>
    </w:p>
    <w:p w14:paraId="159D8231" w14:textId="77777777" w:rsidR="00BA1DA6" w:rsidRPr="00BA1DA6" w:rsidRDefault="00BA1DA6" w:rsidP="00C64851">
      <w:pPr>
        <w:pStyle w:val="BodyText"/>
        <w:numPr>
          <w:ilvl w:val="0"/>
          <w:numId w:val="527"/>
        </w:numPr>
      </w:pPr>
      <w:r w:rsidRPr="00BA1DA6">
        <w:t xml:space="preserve">Child Care Fund (CCF) – for the administration and delivery of direct </w:t>
      </w:r>
      <w:proofErr w:type="gramStart"/>
      <w:r w:rsidRPr="00BA1DA6">
        <w:t>child care</w:t>
      </w:r>
      <w:proofErr w:type="gramEnd"/>
      <w:r w:rsidRPr="00BA1DA6">
        <w:t xml:space="preserve"> for children and families. </w:t>
      </w:r>
    </w:p>
    <w:p w14:paraId="56985024" w14:textId="77777777" w:rsidR="00BA1DA6" w:rsidRPr="00BA1DA6" w:rsidRDefault="00BA1DA6" w:rsidP="00C64851">
      <w:pPr>
        <w:pStyle w:val="BodyText"/>
        <w:numPr>
          <w:ilvl w:val="0"/>
          <w:numId w:val="528"/>
        </w:numPr>
      </w:pPr>
      <w:r w:rsidRPr="00BA1DA6">
        <w:t xml:space="preserve">Child Care Match (CCM) – for Board, state, and federal matching funds for the delivery of direct </w:t>
      </w:r>
      <w:proofErr w:type="gramStart"/>
      <w:r w:rsidRPr="00BA1DA6">
        <w:t>child care</w:t>
      </w:r>
      <w:proofErr w:type="gramEnd"/>
      <w:r w:rsidRPr="00BA1DA6">
        <w:t xml:space="preserve"> for children and families.  </w:t>
      </w:r>
    </w:p>
    <w:p w14:paraId="2C4753B7" w14:textId="4425FC66" w:rsidR="00BA1DA6" w:rsidRPr="00BA1DA6" w:rsidRDefault="00BA1DA6" w:rsidP="00C64851">
      <w:pPr>
        <w:pStyle w:val="BodyText"/>
        <w:numPr>
          <w:ilvl w:val="0"/>
          <w:numId w:val="529"/>
        </w:numPr>
      </w:pPr>
      <w:r w:rsidRPr="00BA1DA6">
        <w:t>Child Care Quality (</w:t>
      </w:r>
      <w:proofErr w:type="gramStart"/>
      <w:r w:rsidRPr="00BA1DA6">
        <w:t>CCQ)  and</w:t>
      </w:r>
      <w:proofErr w:type="gramEnd"/>
      <w:r w:rsidRPr="00BA1DA6">
        <w:t xml:space="preserve"> Child Care Quality Four-Percent – for Board quality improvement activities. CCQ grants are for the statutorily required 2 percent quality fund, and </w:t>
      </w:r>
      <w:r w:rsidR="5F590948">
        <w:t>Child Care Quality Four-</w:t>
      </w:r>
      <w:proofErr w:type="gramStart"/>
      <w:r w:rsidR="5F590948">
        <w:t xml:space="preserve">Percent </w:t>
      </w:r>
      <w:r w:rsidRPr="00BA1DA6">
        <w:t xml:space="preserve"> are</w:t>
      </w:r>
      <w:proofErr w:type="gramEnd"/>
      <w:r w:rsidRPr="00BA1DA6">
        <w:t xml:space="preserve"> for the additional 4 percent quality funds approved by the Commission. </w:t>
      </w:r>
    </w:p>
    <w:p w14:paraId="49047B63" w14:textId="77777777" w:rsidR="00BA1DA6" w:rsidRPr="00BA1DA6" w:rsidRDefault="00BA1DA6" w:rsidP="000212D0">
      <w:pPr>
        <w:pStyle w:val="BodyText3"/>
      </w:pPr>
      <w:r w:rsidRPr="00BA1DA6">
        <w:t>U.S. Department of Health and Human Services, Administration for Children and Families </w:t>
      </w:r>
    </w:p>
    <w:p w14:paraId="4BFE6B2B" w14:textId="00509CEA" w:rsidR="00BA1DA6" w:rsidRPr="00BA1DA6" w:rsidRDefault="00BA1DA6" w:rsidP="00BA1DA6">
      <w:pPr>
        <w:pStyle w:val="BodyText"/>
      </w:pPr>
      <w:r w:rsidRPr="00BA1DA6">
        <w:t xml:space="preserve">CCDF funds are made available to TWC through the Office of Child Care within the Administration for Children and Families, U.S. Department of Health and Human Services. ACF allocates funds to TWC for the administration of the </w:t>
      </w:r>
      <w:proofErr w:type="gramStart"/>
      <w:r w:rsidRPr="00BA1DA6">
        <w:t>program, and</w:t>
      </w:r>
      <w:proofErr w:type="gramEnd"/>
      <w:r w:rsidRPr="00BA1DA6">
        <w:t xml:space="preserve"> approves a biennial State Plan. </w:t>
      </w:r>
    </w:p>
    <w:p w14:paraId="219F5294" w14:textId="3A24A9EB" w:rsidR="00BA1DA6" w:rsidRPr="00BA1DA6" w:rsidRDefault="38C88871" w:rsidP="00BA1DA6">
      <w:pPr>
        <w:pStyle w:val="BodyText"/>
      </w:pPr>
      <w:r>
        <w:t xml:space="preserve">Administration for Children and Families </w:t>
      </w:r>
      <w:r w:rsidR="00BA1DA6" w:rsidRPr="00BA1DA6">
        <w:t xml:space="preserve">’s Office of Child </w:t>
      </w:r>
      <w:proofErr w:type="gramStart"/>
      <w:r w:rsidR="00BA1DA6" w:rsidRPr="00BA1DA6">
        <w:t>Care  conducts</w:t>
      </w:r>
      <w:proofErr w:type="gramEnd"/>
      <w:r w:rsidR="00BA1DA6" w:rsidRPr="00BA1DA6">
        <w:t xml:space="preserve"> on-site monitoring of all CCDF Lead Agencies during every CCDF State Plan three-year period. TWC’s last monitoring visit was in January 2024. During this visit, OCC found TWC to be out of compliance with two CCDF Rules. </w:t>
      </w:r>
    </w:p>
    <w:p w14:paraId="782FB73A" w14:textId="77777777" w:rsidR="00BA1DA6" w:rsidRPr="00BA1DA6" w:rsidRDefault="00BA1DA6" w:rsidP="00BA1DA6">
      <w:pPr>
        <w:pStyle w:val="BodyText"/>
      </w:pPr>
      <w:r w:rsidRPr="00BA1DA6">
        <w:rPr>
          <w:i/>
          <w:iCs/>
        </w:rPr>
        <w:t>98.21(a)(1) - 12-Month Eligibility Determination and Re-Determination</w:t>
      </w:r>
      <w:r w:rsidRPr="00BA1DA6">
        <w:t> </w:t>
      </w:r>
    </w:p>
    <w:p w14:paraId="49F2F536" w14:textId="77777777" w:rsidR="00BA1DA6" w:rsidRPr="00BA1DA6" w:rsidRDefault="00BA1DA6" w:rsidP="00BA1DA6">
      <w:pPr>
        <w:pStyle w:val="BodyText"/>
      </w:pPr>
      <w:r w:rsidRPr="00BA1DA6">
        <w:t>One issue cited relates to adding a sibling to a family’s CCS case. Previously, when a child was added to a family’s case, TWC added the new child through the family’s existing eligibility end date. This was done to create family-friendly policies that aligned all children’s redetermination date. On June 27, 2024, TWC issued guidance (WD 06-24) to Boards directing them to extend redetermination dates for all children in a family when an additional child is enrolled in CCS to ensure that every child in the family receives a minimum of 12 months of care. This change went into effect with the launch of TX3C on Jan.13, 2025. </w:t>
      </w:r>
    </w:p>
    <w:p w14:paraId="08B5E400" w14:textId="6B0F3943" w:rsidR="00BA1DA6" w:rsidRPr="00BA1DA6" w:rsidRDefault="0F0F62CE" w:rsidP="00BA1DA6">
      <w:pPr>
        <w:pStyle w:val="BodyText"/>
      </w:pPr>
      <w:r>
        <w:lastRenderedPageBreak/>
        <w:t xml:space="preserve">Office of Child Care </w:t>
      </w:r>
      <w:r w:rsidR="00BA1DA6" w:rsidRPr="00BA1DA6">
        <w:t xml:space="preserve">’s other concern was TWC’s voluntary withdrawal option for CCS families. TWC previously terminated care for families upon the parents’ request due to relocation outside of Texas or otherwise no longer requiring Child Care Services in Texas. Additionally, TWC offered parents the option of voluntary suspension to support them during temporary changes in circumstances where a child did not need Child Care Services. Voluntary suspension status keeps the case open through the end of the 12-month eligibility period so that the child can quickly receive a new referral for care once it is needed. </w:t>
      </w:r>
      <w:r w:rsidR="00BA1DA6">
        <w:t xml:space="preserve">Based upon </w:t>
      </w:r>
      <w:r w:rsidR="74032EA0">
        <w:t xml:space="preserve">Office of Child </w:t>
      </w:r>
      <w:proofErr w:type="gramStart"/>
      <w:r w:rsidR="74032EA0">
        <w:t>Care</w:t>
      </w:r>
      <w:r w:rsidR="00BA1DA6" w:rsidRPr="00BA1DA6">
        <w:t xml:space="preserve">  instruction</w:t>
      </w:r>
      <w:proofErr w:type="gramEnd"/>
      <w:r w:rsidR="00BA1DA6" w:rsidRPr="00BA1DA6">
        <w:t>, TWC no longer allows a family to voluntarily withdraw from CCS and terminate their CCS case. Instead, TWC will suspend these cases, and the suspension will continue through the family’s 12-month eligibility period. TWC issued guidance (WD 06-24) to Boards directing them to suspend care in TX3C rather than terminating eligibility. This change went into effect with the launch of TX3C on Jan.13, 2025. </w:t>
      </w:r>
    </w:p>
    <w:p w14:paraId="44F87D23" w14:textId="77777777" w:rsidR="00BA1DA6" w:rsidRPr="00BA1DA6" w:rsidRDefault="00BA1DA6" w:rsidP="00BA1DA6">
      <w:pPr>
        <w:pStyle w:val="BodyText"/>
      </w:pPr>
      <w:r w:rsidRPr="00BA1DA6">
        <w:rPr>
          <w:i/>
          <w:iCs/>
        </w:rPr>
        <w:t>98.21(a)(2) - Continued Assistance/Job Search</w:t>
      </w:r>
      <w:r w:rsidRPr="00BA1DA6">
        <w:t> </w:t>
      </w:r>
    </w:p>
    <w:p w14:paraId="7D0CE8BF" w14:textId="4214BC78" w:rsidR="00BA1DA6" w:rsidRPr="00BA1DA6" w:rsidRDefault="00BA1DA6" w:rsidP="00BA1DA6">
      <w:pPr>
        <w:pStyle w:val="BodyText"/>
      </w:pPr>
      <w:r w:rsidRPr="00BA1DA6">
        <w:t xml:space="preserve">According to §809.56, a parent who is searching for work, including a parent in a dual-parent family, is eligible for 12 months of </w:t>
      </w:r>
      <w:proofErr w:type="gramStart"/>
      <w:r w:rsidRPr="00BA1DA6">
        <w:t>child care</w:t>
      </w:r>
      <w:proofErr w:type="gramEnd"/>
      <w:r w:rsidRPr="00BA1DA6">
        <w:t xml:space="preserve"> services if at initial eligibility determination the family does not meet the minimum participation requirements for At-Risk Child Care. However, retaining eligibility for the full 12 months is contingent upon the unemployed parent finding work within three months of eligibility determination. Although TWC’s rule clearly indicates a 12-month eligibility determination, </w:t>
      </w:r>
      <w:r w:rsidR="075C67CC">
        <w:t xml:space="preserve">Office of Child </w:t>
      </w:r>
      <w:proofErr w:type="gramStart"/>
      <w:r w:rsidR="075C67CC">
        <w:t xml:space="preserve">Care </w:t>
      </w:r>
      <w:r w:rsidRPr="00BA1DA6">
        <w:t xml:space="preserve"> found</w:t>
      </w:r>
      <w:proofErr w:type="gramEnd"/>
      <w:r w:rsidRPr="00BA1DA6">
        <w:t xml:space="preserve"> evidence during their monitoring visit that Boards were not consistent with messaging this 12-month authorization to parents. On April 8, 2024, TWC issued WD Letter 13-21, change 2 clarifying guidance to Boards that notification to parents must clearly state that parents are approved for a 12-month eligibility period. TWC also reviewed eligibility notifications from all Boards to ensure compliance with this guidance. Since the launch of TX3C, messaging in eligibility notices is standardized statewide. </w:t>
      </w:r>
    </w:p>
    <w:p w14:paraId="7349F500" w14:textId="77777777" w:rsidR="00BA1DA6" w:rsidRPr="00BA1DA6" w:rsidRDefault="00BA1DA6" w:rsidP="00BA1DA6">
      <w:pPr>
        <w:pStyle w:val="BodyText"/>
      </w:pPr>
      <w:r w:rsidRPr="00BA1DA6">
        <w:rPr>
          <w:i/>
          <w:iCs/>
        </w:rPr>
        <w:t>Future Monitoring</w:t>
      </w:r>
      <w:r w:rsidRPr="00BA1DA6">
        <w:t> </w:t>
      </w:r>
    </w:p>
    <w:p w14:paraId="7748E686" w14:textId="308F2E9F" w:rsidR="00BA1DA6" w:rsidRPr="00BA1DA6" w:rsidRDefault="1C0814F7" w:rsidP="00BA1DA6">
      <w:pPr>
        <w:pStyle w:val="BodyText"/>
      </w:pPr>
      <w:r>
        <w:t xml:space="preserve">Office of Child </w:t>
      </w:r>
      <w:proofErr w:type="gramStart"/>
      <w:r>
        <w:t xml:space="preserve">Care </w:t>
      </w:r>
      <w:r w:rsidR="00BA1DA6" w:rsidRPr="00BA1DA6">
        <w:t xml:space="preserve"> has</w:t>
      </w:r>
      <w:proofErr w:type="gramEnd"/>
      <w:r w:rsidR="00BA1DA6" w:rsidRPr="00BA1DA6">
        <w:t xml:space="preserve"> notified TWC that our next on-site monitoring will occur the week of Feb.9, 2026. Monitoring will focus on compliance in the following areas: </w:t>
      </w:r>
    </w:p>
    <w:p w14:paraId="42C0A7AD" w14:textId="77777777" w:rsidR="00BA1DA6" w:rsidRPr="00BA1DA6" w:rsidRDefault="00BA1DA6" w:rsidP="00C64851">
      <w:pPr>
        <w:pStyle w:val="BodyText"/>
        <w:numPr>
          <w:ilvl w:val="0"/>
          <w:numId w:val="530"/>
        </w:numPr>
      </w:pPr>
      <w:r w:rsidRPr="00BA1DA6">
        <w:t>Comprehensive background checks </w:t>
      </w:r>
    </w:p>
    <w:p w14:paraId="73ED8192" w14:textId="77777777" w:rsidR="00BA1DA6" w:rsidRPr="00BA1DA6" w:rsidRDefault="00BA1DA6" w:rsidP="00C64851">
      <w:pPr>
        <w:pStyle w:val="BodyText"/>
        <w:numPr>
          <w:ilvl w:val="0"/>
          <w:numId w:val="531"/>
        </w:numPr>
      </w:pPr>
      <w:r w:rsidRPr="00BA1DA6">
        <w:t>Eligibility and enrollment </w:t>
      </w:r>
    </w:p>
    <w:p w14:paraId="7990A330" w14:textId="77777777" w:rsidR="00BA1DA6" w:rsidRPr="00BA1DA6" w:rsidRDefault="00BA1DA6" w:rsidP="00C64851">
      <w:pPr>
        <w:pStyle w:val="BodyText"/>
        <w:numPr>
          <w:ilvl w:val="0"/>
          <w:numId w:val="532"/>
        </w:numPr>
      </w:pPr>
      <w:r w:rsidRPr="00BA1DA6">
        <w:t>Equal access </w:t>
      </w:r>
    </w:p>
    <w:p w14:paraId="3CD17108" w14:textId="77777777" w:rsidR="00BA1DA6" w:rsidRPr="00BA1DA6" w:rsidRDefault="00BA1DA6" w:rsidP="00C64851">
      <w:pPr>
        <w:pStyle w:val="BodyText"/>
        <w:numPr>
          <w:ilvl w:val="0"/>
          <w:numId w:val="533"/>
        </w:numPr>
      </w:pPr>
      <w:r w:rsidRPr="00BA1DA6">
        <w:t>Health and safety </w:t>
      </w:r>
    </w:p>
    <w:p w14:paraId="49EA1ED7" w14:textId="77777777" w:rsidR="00BA1DA6" w:rsidRPr="00BA1DA6" w:rsidRDefault="00BA1DA6" w:rsidP="00C64851">
      <w:pPr>
        <w:pStyle w:val="BodyText"/>
        <w:numPr>
          <w:ilvl w:val="0"/>
          <w:numId w:val="534"/>
        </w:numPr>
      </w:pPr>
      <w:r w:rsidRPr="00BA1DA6">
        <w:t>Program integrity and accountability </w:t>
      </w:r>
    </w:p>
    <w:p w14:paraId="35ADFD44" w14:textId="77777777" w:rsidR="00BA1DA6" w:rsidRPr="00BA1DA6" w:rsidRDefault="00BA1DA6" w:rsidP="000212D0">
      <w:pPr>
        <w:pStyle w:val="BodyText3"/>
        <w:ind w:left="720" w:hanging="720"/>
      </w:pPr>
      <w:r w:rsidRPr="00BA1DA6">
        <w:t>J.</w:t>
      </w:r>
      <w:r w:rsidRPr="00BA1DA6">
        <w:tab/>
        <w:t>Are there any barriers or challenges that impede the division or program’s performance, including any outdated or ineffective state laws? Explain. </w:t>
      </w:r>
    </w:p>
    <w:p w14:paraId="6ED9E767" w14:textId="77777777" w:rsidR="00BA1DA6" w:rsidRPr="00BA1DA6" w:rsidRDefault="00BA1DA6" w:rsidP="000212D0">
      <w:pPr>
        <w:pStyle w:val="BodyText3"/>
      </w:pPr>
      <w:r w:rsidRPr="00BA1DA6">
        <w:lastRenderedPageBreak/>
        <w:t>Obsolete Statutory Requirements </w:t>
      </w:r>
    </w:p>
    <w:p w14:paraId="388F421F" w14:textId="525E61EB" w:rsidR="00BA1DA6" w:rsidRPr="00BA1DA6" w:rsidRDefault="00BA1DA6" w:rsidP="00C64851">
      <w:pPr>
        <w:pStyle w:val="BodyText"/>
        <w:numPr>
          <w:ilvl w:val="0"/>
          <w:numId w:val="552"/>
        </w:numPr>
        <w:ind w:left="0"/>
      </w:pPr>
      <w:r w:rsidRPr="00BA1DA6">
        <w:t xml:space="preserve">Texas Labor Code (Chapter 310) requires the Commission to conduct a competitive procurement and contract with a Child Care Resource and Referral (CCR&amp;R) network to provide services and that such network be administered in compliance with the federal CCDBG requirements. It includes a variety of required activities, including data collection on the supply/demand for </w:t>
      </w:r>
      <w:proofErr w:type="gramStart"/>
      <w:r w:rsidRPr="00BA1DA6">
        <w:t>child care</w:t>
      </w:r>
      <w:proofErr w:type="gramEnd"/>
      <w:r w:rsidRPr="00BA1DA6">
        <w:t>. </w:t>
      </w:r>
    </w:p>
    <w:p w14:paraId="6AE861B9" w14:textId="77777777" w:rsidR="00BA1DA6" w:rsidRPr="00BA1DA6" w:rsidRDefault="00BA1DA6" w:rsidP="00BA1DA6">
      <w:pPr>
        <w:pStyle w:val="BodyText"/>
      </w:pPr>
      <w:r w:rsidRPr="00BA1DA6">
        <w:t xml:space="preserve">The CCDBG Act of 2014 allows but does not require that CCDF be used on a CCR&amp;R. TWC does not fund a CCR&amp;R organization and is not planning on doing so. Although many of the activities noted in the state statute are performed by the Boards, Board contractors, or by TWC. Boards should be providing much of the resource/referral information to parents.  TWC and the interagency early childhood workgroup is also working on creating a new consumer education website to offer parents with young children one location to find information and resources. In addition, TWC also funds the Texas Child Care Availability Portal which provides information on the supply of </w:t>
      </w:r>
      <w:proofErr w:type="gramStart"/>
      <w:r w:rsidRPr="00BA1DA6">
        <w:t>child care</w:t>
      </w:r>
      <w:proofErr w:type="gramEnd"/>
      <w:r w:rsidRPr="00BA1DA6">
        <w:t>. This could be a topic for possible statutory modification, aligning the work of TWC and the Boards with CCR&amp;R activities, rather than requiring that TWC conduct a competitive procurement. </w:t>
      </w:r>
    </w:p>
    <w:p w14:paraId="6FF9D477" w14:textId="77777777" w:rsidR="00BA1DA6" w:rsidRPr="00BA1DA6" w:rsidRDefault="00BA1DA6" w:rsidP="00BA1DA6">
      <w:pPr>
        <w:pStyle w:val="BodyText"/>
      </w:pPr>
      <w:r w:rsidRPr="00BA1DA6">
        <w:t>2.</w:t>
      </w:r>
      <w:r w:rsidRPr="00BA1DA6">
        <w:tab/>
        <w:t xml:space="preserve">Texas Government Code (§2308.316) requires that each Board allocate a portion of CCDF dedicated to quality improvement activities to a competitive procurement process that encourages </w:t>
      </w:r>
      <w:proofErr w:type="gramStart"/>
      <w:r w:rsidRPr="00BA1DA6">
        <w:t>child care</w:t>
      </w:r>
      <w:proofErr w:type="gramEnd"/>
      <w:r w:rsidRPr="00BA1DA6">
        <w:t xml:space="preserve"> providers serving children under 4 to voluntarily meet the certification criteria of the commission's Texas Rising Star Program.  </w:t>
      </w:r>
    </w:p>
    <w:p w14:paraId="5E58C68D" w14:textId="7FFC5A3B" w:rsidR="00BA1DA6" w:rsidRPr="00BA1DA6" w:rsidRDefault="00BA1DA6" w:rsidP="00BA1DA6">
      <w:pPr>
        <w:pStyle w:val="BodyText"/>
      </w:pPr>
      <w:r w:rsidRPr="00BA1DA6">
        <w:t>This provision requires Boards to contract for an entity to encourage providers to pursue T</w:t>
      </w:r>
      <w:r w:rsidR="00656158">
        <w:t>exas Rising Star</w:t>
      </w:r>
      <w:r w:rsidRPr="00BA1DA6">
        <w:t>. However, Government Code §2308.3155 provides specific TWC/Board requirements for T</w:t>
      </w:r>
      <w:r w:rsidR="00656158">
        <w:t xml:space="preserve">exas </w:t>
      </w:r>
      <w:r w:rsidRPr="00BA1DA6">
        <w:t>R</w:t>
      </w:r>
      <w:r w:rsidR="00656158">
        <w:t xml:space="preserve">ising </w:t>
      </w:r>
      <w:r w:rsidRPr="00BA1DA6">
        <w:t>S</w:t>
      </w:r>
      <w:r w:rsidR="00656158">
        <w:t>tar</w:t>
      </w:r>
      <w:r w:rsidRPr="00BA1DA6">
        <w:t xml:space="preserve"> that supersede this provision (e.g. 2308.3155(c) - funding to Boards to hire mentor staff; 2308.3122(d) - TWC statewide entity for assessments). This could be a topic for possible statutory clean-up.   </w:t>
      </w:r>
    </w:p>
    <w:p w14:paraId="0EC5E9AA" w14:textId="77777777" w:rsidR="00BA1DA6" w:rsidRPr="00BA1DA6" w:rsidRDefault="00BA1DA6" w:rsidP="00BA1DA6">
      <w:pPr>
        <w:pStyle w:val="BodyText"/>
      </w:pPr>
      <w:r w:rsidRPr="00BA1DA6">
        <w:t>3.</w:t>
      </w:r>
      <w:r w:rsidRPr="00BA1DA6">
        <w:tab/>
        <w:t>Texas Labor Code (§302.0046) requires the Commission to direct each local workforce development board to notify subsidy recipients about a termination for any reason other than the recipient’s actions or failure to act. This shall be provided in writing no later than the 30th day prior to termination and include certain information.  </w:t>
      </w:r>
    </w:p>
    <w:p w14:paraId="59A1DB73" w14:textId="77777777" w:rsidR="00BA1DA6" w:rsidRPr="00BA1DA6" w:rsidRDefault="00BA1DA6" w:rsidP="00BA1DA6">
      <w:pPr>
        <w:pStyle w:val="BodyText"/>
      </w:pPr>
      <w:r w:rsidRPr="00BA1DA6">
        <w:t xml:space="preserve">Currently, </w:t>
      </w:r>
      <w:proofErr w:type="gramStart"/>
      <w:r w:rsidRPr="00BA1DA6">
        <w:t>child care</w:t>
      </w:r>
      <w:proofErr w:type="gramEnd"/>
      <w:r w:rsidRPr="00BA1DA6">
        <w:t xml:space="preserve"> is no longer involuntarily ended - Chapter 809.54 specifically prohibits children from being removed from care during the 12-month period (for reasons other than parent failure to comply with program rules). This provision was added in 2003 in response to the need at the time to involuntarily end </w:t>
      </w:r>
      <w:proofErr w:type="gramStart"/>
      <w:r w:rsidRPr="00BA1DA6">
        <w:t>child care</w:t>
      </w:r>
      <w:proofErr w:type="gramEnd"/>
      <w:r w:rsidRPr="00BA1DA6">
        <w:t xml:space="preserve"> services for at-risk parents due to increases in the number of mandatory TANF participation resulting from the removal of the caregiver exemption, which increased the need for child care for children under 5. This could be a topic for possible statutory clean-up.  </w:t>
      </w:r>
    </w:p>
    <w:p w14:paraId="316CA990" w14:textId="77777777" w:rsidR="00BA1DA6" w:rsidRPr="00BA1DA6" w:rsidRDefault="00BA1DA6" w:rsidP="00BA1DA6">
      <w:pPr>
        <w:pStyle w:val="BodyText"/>
      </w:pPr>
      <w:r w:rsidRPr="00BA1DA6">
        <w:t>4.</w:t>
      </w:r>
      <w:r w:rsidRPr="00BA1DA6">
        <w:tab/>
        <w:t>Texas Government Code §2308.319 requires the Commission to encourage each local workforce development board to raise an amount of local funds (excess local match) to be used to support collaborative reading initiatives. </w:t>
      </w:r>
    </w:p>
    <w:p w14:paraId="30B1CA89" w14:textId="77777777" w:rsidR="00BA1DA6" w:rsidRPr="00BA1DA6" w:rsidRDefault="00BA1DA6" w:rsidP="00BA1DA6">
      <w:pPr>
        <w:pStyle w:val="BodyText"/>
      </w:pPr>
      <w:r w:rsidRPr="00BA1DA6">
        <w:lastRenderedPageBreak/>
        <w:t>Although the Boards are encouraged to raise excess funds (Chapter 809.17), it is not clearly suggested these be used to support collaborative reading initiatives. This provision has been in statute since 2003, but the statute does not define what a "collaborative reading initiative" is for boards to spend such money on.  Further, Government Code §2308.317, amended in 2019 establishes more detailed requirements for quality expenditures. This could be a topic for possible statutory clean-up. </w:t>
      </w:r>
    </w:p>
    <w:p w14:paraId="2FB3BFB7" w14:textId="77777777" w:rsidR="00BA1DA6" w:rsidRPr="00BA1DA6" w:rsidRDefault="00BA1DA6" w:rsidP="00BA1DA6">
      <w:pPr>
        <w:pStyle w:val="BodyText"/>
      </w:pPr>
      <w:r w:rsidRPr="00BA1DA6">
        <w:t>5.</w:t>
      </w:r>
      <w:r w:rsidRPr="00BA1DA6">
        <w:tab/>
        <w:t>Human Resources Code §31.0035 requires TWC to provide transitional child-care services to a person who was receiving TANF but is no longer eligible to receive the assistance.   </w:t>
      </w:r>
    </w:p>
    <w:p w14:paraId="1DCE9012" w14:textId="77777777" w:rsidR="00BA1DA6" w:rsidRPr="00BA1DA6" w:rsidRDefault="00BA1DA6" w:rsidP="00BA1DA6">
      <w:pPr>
        <w:pStyle w:val="BodyText"/>
      </w:pPr>
      <w:r w:rsidRPr="00BA1DA6">
        <w:t xml:space="preserve">CCDBG 2014 requires that all children are determined eligible for and receive a minimum of 12 months of </w:t>
      </w:r>
      <w:proofErr w:type="gramStart"/>
      <w:r w:rsidRPr="00BA1DA6">
        <w:t>child care</w:t>
      </w:r>
      <w:proofErr w:type="gramEnd"/>
      <w:r w:rsidRPr="00BA1DA6">
        <w:t xml:space="preserve">, negating the need for this statute. The agency previously proposed legislation (HB2239 / SB1218 85th Session) to repeal this provision, but it was not passed.  At the time there was understanding that federal law trumped state </w:t>
      </w:r>
      <w:proofErr w:type="gramStart"/>
      <w:r w:rsidRPr="00BA1DA6">
        <w:t>law</w:t>
      </w:r>
      <w:proofErr w:type="gramEnd"/>
      <w:r w:rsidRPr="00BA1DA6">
        <w:t xml:space="preserve"> but the legislature felt that TWC should implement the federal law with no change to state law.  This could be a topic for possible statutory clean-up. </w:t>
      </w:r>
    </w:p>
    <w:p w14:paraId="1879CC0C" w14:textId="77777777" w:rsidR="00BA1DA6" w:rsidRPr="00BA1DA6" w:rsidRDefault="00BA1DA6" w:rsidP="000B37A8">
      <w:pPr>
        <w:pStyle w:val="BodyText3"/>
      </w:pPr>
      <w:r w:rsidRPr="00BA1DA6">
        <w:t>Short-Term DFPS General Protective Child Care Referrals </w:t>
      </w:r>
    </w:p>
    <w:p w14:paraId="1395A31B" w14:textId="77777777" w:rsidR="00BA1DA6" w:rsidRPr="00BA1DA6" w:rsidRDefault="00BA1DA6" w:rsidP="00BA1DA6">
      <w:pPr>
        <w:pStyle w:val="BodyText"/>
      </w:pPr>
      <w:r w:rsidRPr="00BA1DA6">
        <w:t>TWC has identified an issue with short-term DFPS General Protective (GP) Child Care referrals that impacts TWC’s and the Boards’ ability to effectively manage the Board’s CCS allocation and performance targets. </w:t>
      </w:r>
    </w:p>
    <w:p w14:paraId="6E9F05DE" w14:textId="77777777" w:rsidR="00BA1DA6" w:rsidRPr="00BA1DA6" w:rsidRDefault="00BA1DA6" w:rsidP="00BA1DA6">
      <w:pPr>
        <w:pStyle w:val="BodyText"/>
      </w:pPr>
      <w:r w:rsidRPr="00BA1DA6">
        <w:t xml:space="preserve">CCDF requires that all children receive a minimum 12 months of CCDF eligibility and prohibits states from increasing a </w:t>
      </w:r>
      <w:proofErr w:type="gramStart"/>
      <w:r w:rsidRPr="00BA1DA6">
        <w:t>parents</w:t>
      </w:r>
      <w:proofErr w:type="gramEnd"/>
      <w:r w:rsidRPr="00BA1DA6">
        <w:t xml:space="preserve"> share of cost during the 12-month eligibility period. Children authorized by DFPS for GP </w:t>
      </w:r>
      <w:proofErr w:type="gramStart"/>
      <w:r w:rsidRPr="00BA1DA6">
        <w:t>child care</w:t>
      </w:r>
      <w:proofErr w:type="gramEnd"/>
      <w:r w:rsidRPr="00BA1DA6">
        <w:t xml:space="preserve"> are not subject to the Boards’ waiting list and are not assessed a parent share of cost. However, the children are required by CCDF to receive CCDF care for the full 12-month eligibility period. Generally, DFPS authorizes 12 months of CCDF care using DFPS appropriated funds and if the GP case is closed prior to the 12 months, TWC is required to continue care through the remainder of the 12 months using TWC appropriated funds. </w:t>
      </w:r>
    </w:p>
    <w:p w14:paraId="65B1054A" w14:textId="77777777" w:rsidR="00BA1DA6" w:rsidRPr="00BA1DA6" w:rsidRDefault="00BA1DA6" w:rsidP="00BA1DA6">
      <w:pPr>
        <w:pStyle w:val="BodyText"/>
      </w:pPr>
      <w:r w:rsidRPr="00BA1DA6">
        <w:t>TWC has identified a recent trend in which DFPS is ending GP care within 30 days of the initial authorization, requiring TWC to fund the remainder of the 12-month period. Statewide, in 2017 approximately 20 percent of GP care ended in 30 days or less. This has doubled in 2024 with over 40 percent of GP care ending in 30 days or fewer. Additionally, there have been instances in which the stated reason for the GP short-term authorization was to bypass the Board’s waiting list. </w:t>
      </w:r>
    </w:p>
    <w:p w14:paraId="5324DA99" w14:textId="77777777" w:rsidR="00BA1DA6" w:rsidRPr="00BA1DA6" w:rsidRDefault="00BA1DA6" w:rsidP="00BA1DA6">
      <w:pPr>
        <w:pStyle w:val="BodyText"/>
      </w:pPr>
      <w:r w:rsidRPr="00BA1DA6">
        <w:t>Because of these trends, TWC can serve fewer children of low-income working families from our waitlist. Additionally, since GP and Former DFPS cases do not have a parent share of cost, TWC’s average cost is higher, which ultimately means serving fewer children overall.  This makes it extremely challenging for TWC and the Boards to manage enrollment levels and expenditures when we do not have control over such a large portion of the caseload. And it is also problematic when there are so many families on the waitlist. </w:t>
      </w:r>
    </w:p>
    <w:p w14:paraId="47E2FCF1" w14:textId="77777777" w:rsidR="00BA1DA6" w:rsidRPr="00BA1DA6" w:rsidRDefault="00BA1DA6" w:rsidP="000B37A8">
      <w:pPr>
        <w:pStyle w:val="BodyText3"/>
        <w:ind w:left="720" w:hanging="720"/>
      </w:pPr>
      <w:r w:rsidRPr="00BA1DA6">
        <w:lastRenderedPageBreak/>
        <w:t>K.</w:t>
      </w:r>
      <w:r w:rsidRPr="00BA1DA6">
        <w:tab/>
        <w:t>Provide any additional information needed to gain a preliminary understanding of the division or program. </w:t>
      </w:r>
    </w:p>
    <w:p w14:paraId="4BB08F88" w14:textId="77777777" w:rsidR="00BA1DA6" w:rsidRPr="00BA1DA6" w:rsidRDefault="00BA1DA6" w:rsidP="000B37A8">
      <w:pPr>
        <w:pStyle w:val="BodyText3"/>
      </w:pPr>
      <w:r w:rsidRPr="00BA1DA6">
        <w:t>Internal Audits </w:t>
      </w:r>
    </w:p>
    <w:p w14:paraId="5E03EE36" w14:textId="77777777" w:rsidR="00BA1DA6" w:rsidRPr="00BA1DA6" w:rsidRDefault="00BA1DA6" w:rsidP="00BA1DA6">
      <w:pPr>
        <w:pStyle w:val="BodyText"/>
      </w:pPr>
      <w:r w:rsidRPr="00BA1DA6">
        <w:t xml:space="preserve">As part of the fiscal year 2022 audit plan, Internal Audit (IA) conducted an audit of the 2022 Child Care Relief Fund (CCRF), which awarded over $4 billion to </w:t>
      </w:r>
      <w:proofErr w:type="gramStart"/>
      <w:r w:rsidRPr="00BA1DA6">
        <w:t>child care</w:t>
      </w:r>
      <w:proofErr w:type="gramEnd"/>
      <w:r w:rsidRPr="00BA1DA6">
        <w:t xml:space="preserve"> programs statewide, including the controls in place to ensure compliance with federal requirements in Section 2202 of the American Rescue Plan Act (ARPA) for supplemental child care funds. The audit objectives were: </w:t>
      </w:r>
    </w:p>
    <w:p w14:paraId="57D67697" w14:textId="77777777" w:rsidR="00BA1DA6" w:rsidRPr="00BA1DA6" w:rsidRDefault="00BA1DA6" w:rsidP="00C64851">
      <w:pPr>
        <w:pStyle w:val="BodyText"/>
        <w:numPr>
          <w:ilvl w:val="0"/>
          <w:numId w:val="535"/>
        </w:numPr>
      </w:pPr>
      <w:r w:rsidRPr="00BA1DA6">
        <w:t xml:space="preserve">Do internal controls ensure payments are accurate and disbursed to qualified and eligible </w:t>
      </w:r>
      <w:proofErr w:type="gramStart"/>
      <w:r w:rsidRPr="00BA1DA6">
        <w:t>child care</w:t>
      </w:r>
      <w:proofErr w:type="gramEnd"/>
      <w:r w:rsidRPr="00BA1DA6">
        <w:t xml:space="preserve"> providers? </w:t>
      </w:r>
    </w:p>
    <w:p w14:paraId="59906B0D" w14:textId="77777777" w:rsidR="00BA1DA6" w:rsidRPr="00BA1DA6" w:rsidRDefault="00BA1DA6" w:rsidP="00C64851">
      <w:pPr>
        <w:pStyle w:val="BodyText"/>
        <w:numPr>
          <w:ilvl w:val="0"/>
          <w:numId w:val="536"/>
        </w:numPr>
      </w:pPr>
      <w:r w:rsidRPr="00BA1DA6">
        <w:t xml:space="preserve">Is the process for administering </w:t>
      </w:r>
      <w:proofErr w:type="gramStart"/>
      <w:r w:rsidRPr="00BA1DA6">
        <w:t>child care</w:t>
      </w:r>
      <w:proofErr w:type="gramEnd"/>
      <w:r w:rsidRPr="00BA1DA6">
        <w:t xml:space="preserve"> funds in compliance with requirements in Section 2202 of the ARPA? </w:t>
      </w:r>
    </w:p>
    <w:p w14:paraId="1467B6A7" w14:textId="77777777" w:rsidR="00BA1DA6" w:rsidRPr="00BA1DA6" w:rsidRDefault="00BA1DA6" w:rsidP="00BA1DA6">
      <w:pPr>
        <w:pStyle w:val="BodyText"/>
      </w:pPr>
      <w:r w:rsidRPr="00BA1DA6">
        <w:t>Based on the review, IA found that: </w:t>
      </w:r>
    </w:p>
    <w:p w14:paraId="69D6F1D8" w14:textId="77777777" w:rsidR="00BA1DA6" w:rsidRPr="00BA1DA6" w:rsidRDefault="00BA1DA6" w:rsidP="00C64851">
      <w:pPr>
        <w:pStyle w:val="BodyText"/>
        <w:numPr>
          <w:ilvl w:val="0"/>
          <w:numId w:val="537"/>
        </w:numPr>
      </w:pPr>
      <w:r w:rsidRPr="00BA1DA6">
        <w:t>Controls were designed to ensure only qualified and eligible providers were invited to apply for and receive 2022 CCRF funding and to prevent potential risks in the process that could lead to duplicate invitations, unauthorized access to the system, and improper payments.  </w:t>
      </w:r>
    </w:p>
    <w:p w14:paraId="7608C8C0" w14:textId="77777777" w:rsidR="00BA1DA6" w:rsidRPr="00BA1DA6" w:rsidRDefault="00BA1DA6" w:rsidP="00C64851">
      <w:pPr>
        <w:pStyle w:val="BodyText"/>
        <w:numPr>
          <w:ilvl w:val="0"/>
          <w:numId w:val="538"/>
        </w:numPr>
      </w:pPr>
      <w:r w:rsidRPr="00BA1DA6">
        <w:t>The process is following the requirements in Section 2202 of the ARPA. </w:t>
      </w:r>
    </w:p>
    <w:p w14:paraId="4A0A736C" w14:textId="77777777" w:rsidR="00BA1DA6" w:rsidRPr="00BA1DA6" w:rsidRDefault="00BA1DA6" w:rsidP="000B37A8">
      <w:pPr>
        <w:pStyle w:val="BodyText3"/>
        <w:ind w:left="720" w:hanging="720"/>
      </w:pPr>
      <w:r w:rsidRPr="00BA1DA6">
        <w:t>L.</w:t>
      </w:r>
      <w:r w:rsidRPr="00BA1DA6">
        <w:tab/>
        <w:t>Regulatory programs relate to the licensing, registration, certification, or permitting of a person, business, piece of equipment, or other entity (e.g., a facility). For each regulatory program, if applicable, describe: </w:t>
      </w:r>
    </w:p>
    <w:p w14:paraId="08DCD05A" w14:textId="362537C4" w:rsidR="00BA1DA6" w:rsidRPr="00BA1DA6" w:rsidRDefault="0085695E" w:rsidP="00BA1DA6">
      <w:pPr>
        <w:pStyle w:val="BodyText"/>
      </w:pPr>
      <w:r>
        <w:t>N/A</w:t>
      </w:r>
      <w:r w:rsidR="00BA1DA6" w:rsidRPr="00BA1DA6">
        <w:t>. </w:t>
      </w:r>
    </w:p>
    <w:p w14:paraId="1A31CDD0" w14:textId="77777777" w:rsidR="00BA1DA6" w:rsidRPr="00BA1DA6" w:rsidRDefault="00BA1DA6" w:rsidP="0085695E">
      <w:pPr>
        <w:pStyle w:val="BodyText3"/>
        <w:ind w:left="720" w:hanging="720"/>
      </w:pPr>
      <w:r w:rsidRPr="00BA1DA6">
        <w:t>M.</w:t>
      </w:r>
      <w:r w:rsidRPr="00BA1DA6">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57BFC703" w14:textId="5D03D066" w:rsidR="0085695E" w:rsidRDefault="00BA1DA6" w:rsidP="000A1064">
      <w:pPr>
        <w:pStyle w:val="BodyText"/>
      </w:pPr>
      <w:r w:rsidRPr="00BA1DA6">
        <w:t>N/A </w:t>
      </w:r>
    </w:p>
    <w:p w14:paraId="7B0D427E" w14:textId="29CFC015" w:rsidR="00BA1DA6" w:rsidRPr="00BA1DA6" w:rsidRDefault="00390014" w:rsidP="00390014">
      <w:pPr>
        <w:pStyle w:val="BodyText3"/>
        <w:rPr>
          <w:rFonts w:eastAsiaTheme="minorEastAsia"/>
          <w:szCs w:val="22"/>
        </w:rPr>
      </w:pPr>
      <w:r>
        <w:lastRenderedPageBreak/>
        <w:t>Texas Rising Star Program</w:t>
      </w:r>
    </w:p>
    <w:p w14:paraId="25335B2A" w14:textId="77777777" w:rsidR="00136648" w:rsidRPr="0034401C" w:rsidRDefault="00136648" w:rsidP="0034401C">
      <w:pPr>
        <w:pStyle w:val="BodyText3"/>
      </w:pPr>
      <w:r w:rsidRPr="0034401C">
        <w:t>A.</w:t>
      </w:r>
      <w:r w:rsidRPr="0034401C">
        <w:tab/>
        <w:t>Provide the following information at the beginning of each description. </w:t>
      </w:r>
    </w:p>
    <w:p w14:paraId="3E3D337F" w14:textId="77777777" w:rsidR="00136648" w:rsidRPr="00136648" w:rsidRDefault="00136648" w:rsidP="0034401C">
      <w:pPr>
        <w:pStyle w:val="BodyText"/>
      </w:pPr>
      <w:r w:rsidRPr="00136648">
        <w:t>Name of division or program: Texas Rising Star </w:t>
      </w:r>
    </w:p>
    <w:p w14:paraId="4CED75CA" w14:textId="77777777" w:rsidR="00136648" w:rsidRPr="00136648" w:rsidRDefault="00136648" w:rsidP="0034401C">
      <w:pPr>
        <w:pStyle w:val="BodyText"/>
      </w:pPr>
      <w:r w:rsidRPr="00136648">
        <w:t>Location within the agency: Child Care &amp; Early Learning </w:t>
      </w:r>
    </w:p>
    <w:p w14:paraId="4CCC9A61" w14:textId="77777777" w:rsidR="00136648" w:rsidRPr="00136648" w:rsidRDefault="00136648" w:rsidP="0034401C">
      <w:pPr>
        <w:pStyle w:val="BodyText"/>
      </w:pPr>
      <w:r w:rsidRPr="00136648">
        <w:t>Contact name: Allison Wilson/Lindsay Hill </w:t>
      </w:r>
    </w:p>
    <w:p w14:paraId="192AA2F9" w14:textId="416D2B26" w:rsidR="00136648" w:rsidRPr="00136648" w:rsidRDefault="00136648" w:rsidP="00E201FE">
      <w:pPr>
        <w:pStyle w:val="BodyText"/>
      </w:pPr>
      <w:r w:rsidRPr="00136648">
        <w:t xml:space="preserve">Statutory citation: </w:t>
      </w:r>
      <w:r w:rsidR="0094583F">
        <w:t xml:space="preserve">Texas Government </w:t>
      </w:r>
      <w:r w:rsidRPr="00136648">
        <w:t xml:space="preserve">Code, </w:t>
      </w:r>
      <w:r w:rsidR="006F276C">
        <w:t xml:space="preserve">Sections </w:t>
      </w:r>
      <w:r w:rsidRPr="00136648">
        <w:t>2308.3151</w:t>
      </w:r>
      <w:r w:rsidR="006F276C">
        <w:t xml:space="preserve">, </w:t>
      </w:r>
      <w:r w:rsidRPr="00136648">
        <w:t>2308.3155</w:t>
      </w:r>
      <w:r w:rsidR="00E201FE">
        <w:t xml:space="preserve">, </w:t>
      </w:r>
      <w:r w:rsidRPr="00136648">
        <w:t>2308.316</w:t>
      </w:r>
      <w:r w:rsidR="00E201FE">
        <w:t xml:space="preserve">, </w:t>
      </w:r>
      <w:r w:rsidRPr="00136648">
        <w:t>2308.317</w:t>
      </w:r>
      <w:r w:rsidR="00E201FE">
        <w:t xml:space="preserve">, </w:t>
      </w:r>
      <w:r w:rsidRPr="00136648">
        <w:t>2308.3171</w:t>
      </w:r>
      <w:r w:rsidR="00E201FE">
        <w:t xml:space="preserve">, </w:t>
      </w:r>
      <w:r w:rsidRPr="00136648">
        <w:t>2308.320</w:t>
      </w:r>
    </w:p>
    <w:p w14:paraId="0505F2CC" w14:textId="77777777" w:rsidR="00136648" w:rsidRPr="00136648" w:rsidRDefault="00136648" w:rsidP="0034401C">
      <w:pPr>
        <w:pStyle w:val="BodyText3"/>
        <w:ind w:left="720" w:hanging="720"/>
      </w:pPr>
      <w:r w:rsidRPr="00136648">
        <w:t>B.</w:t>
      </w:r>
      <w:r w:rsidRPr="00136648">
        <w:tab/>
        <w:t>What is the objective of this division or program? Describe its major activities. </w:t>
      </w:r>
    </w:p>
    <w:p w14:paraId="504041A4" w14:textId="6006208C" w:rsidR="00136648" w:rsidRPr="00136648" w:rsidRDefault="00136648" w:rsidP="00136648">
      <w:pPr>
        <w:pStyle w:val="BodyText"/>
      </w:pPr>
      <w:r w:rsidRPr="00136648">
        <w:t xml:space="preserve">The Texas Rising Star program sets standards for the quality of care that all TWC Child Care Services (CCS) programs must meet. Based on legislative action in 2021, participation in Texas Rising Star became mandatory for all CCS providers. </w:t>
      </w:r>
      <w:proofErr w:type="gramStart"/>
      <w:r w:rsidRPr="00136648">
        <w:t>Child care</w:t>
      </w:r>
      <w:proofErr w:type="gramEnd"/>
      <w:r w:rsidRPr="00136648">
        <w:t xml:space="preserve"> programs receive a Texas Rising Star certification of a Two</w:t>
      </w:r>
      <w:r w:rsidR="00CE1AC3">
        <w:t>-</w:t>
      </w:r>
      <w:r w:rsidRPr="00136648">
        <w:t>, Three-, or Four-Star rating, and receive an enhanced payment rate based on their certification level.  </w:t>
      </w:r>
    </w:p>
    <w:p w14:paraId="4C231FFF" w14:textId="77777777" w:rsidR="00136648" w:rsidRPr="00136648" w:rsidRDefault="00136648" w:rsidP="00136648">
      <w:pPr>
        <w:pStyle w:val="BodyText"/>
      </w:pPr>
      <w:r w:rsidRPr="00136648">
        <w:t>As more CCS programs become Texas Rising Star certified, more children will receive quality care. For example, in 2024, TWC served 211,882 unduplicated children in total, 65 percent (139,355) of them were served in Texas Rising Star-certified programs.  </w:t>
      </w:r>
    </w:p>
    <w:p w14:paraId="7A8F574B" w14:textId="77777777" w:rsidR="00136648" w:rsidRPr="00136648" w:rsidRDefault="00136648" w:rsidP="00136648">
      <w:pPr>
        <w:pStyle w:val="BodyText"/>
      </w:pPr>
      <w:r w:rsidRPr="00136648">
        <w:t xml:space="preserve">Quality improvements impact all young learners, beyond just CCS enrollees. All children enrolled in Texas Rising Star-certified programs receive the benefits of the higher quality </w:t>
      </w:r>
      <w:proofErr w:type="gramStart"/>
      <w:r w:rsidRPr="00136648">
        <w:t>child care</w:t>
      </w:r>
      <w:proofErr w:type="gramEnd"/>
      <w:r w:rsidRPr="00136648">
        <w:t xml:space="preserve"> services. In 2024, Texas Rising Star-certified programs had a total capacity to serve 415,286 children in the state.  </w:t>
      </w:r>
    </w:p>
    <w:p w14:paraId="6814DA65" w14:textId="77777777" w:rsidR="00136648" w:rsidRPr="00136648" w:rsidRDefault="00136648" w:rsidP="00136648">
      <w:pPr>
        <w:pStyle w:val="BodyText"/>
      </w:pPr>
      <w:r w:rsidRPr="00136648">
        <w:t xml:space="preserve">TWC develops rules and guidelines for the Texas Rising Star program and provides funding to each of the 28 local workforce development boards (Boards) to hire mentors to assist </w:t>
      </w:r>
      <w:proofErr w:type="gramStart"/>
      <w:r w:rsidRPr="00136648">
        <w:t>child care</w:t>
      </w:r>
      <w:proofErr w:type="gramEnd"/>
      <w:r w:rsidRPr="00136648">
        <w:t xml:space="preserve"> programs in meeting Texas Rising Star standards. TWC also provides funding to the University of Texas Health Science Center, Children’s Learning Institute (CLI) to serve as the Centralized Assessment Entity (CAE) to hire staff to assess programs and certify that the programs meet Texas Rising Star standards. </w:t>
      </w:r>
    </w:p>
    <w:p w14:paraId="030B422A" w14:textId="77777777" w:rsidR="00136648" w:rsidRPr="00136648" w:rsidRDefault="00136648" w:rsidP="00322181">
      <w:pPr>
        <w:pStyle w:val="BodyText3"/>
        <w:ind w:left="720" w:hanging="720"/>
      </w:pPr>
      <w:r w:rsidRPr="00136648">
        <w:t>C.</w:t>
      </w:r>
      <w:r w:rsidRPr="00136648">
        <w:tab/>
        <w:t xml:space="preserve">What information does the agency collect/use to assess the effectiveness and efficiency of this division or program? If applicable, briefly note any LBB performance measures (from Section II, </w:t>
      </w:r>
      <w:proofErr w:type="gramStart"/>
      <w:r w:rsidRPr="00136648">
        <w:t>Exhibit</w:t>
      </w:r>
      <w:proofErr w:type="gramEnd"/>
      <w:r w:rsidRPr="00136648">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67EDD03" w14:textId="77777777" w:rsidR="00136648" w:rsidRPr="00136648" w:rsidRDefault="00136648" w:rsidP="00136648">
      <w:pPr>
        <w:pStyle w:val="BodyText"/>
      </w:pPr>
      <w:r w:rsidRPr="00136648">
        <w:lastRenderedPageBreak/>
        <w:t xml:space="preserve">Texas Rising Star data is available through </w:t>
      </w:r>
      <w:hyperlink r:id="rId87" w:tgtFrame="_blank" w:history="1">
        <w:r w:rsidRPr="00136648">
          <w:rPr>
            <w:rStyle w:val="Hyperlink"/>
          </w:rPr>
          <w:t>Child Care by the Numbers</w:t>
        </w:r>
      </w:hyperlink>
      <w:r w:rsidRPr="00136648">
        <w:t xml:space="preserve"> (CCBN), which provides information for the most recent 15 months. TWC updates this information quarterly. CCBN also has historical information (back to 2015). CCBN show annual and monthly data, statewide and by each of the 28 Boards. </w:t>
      </w:r>
    </w:p>
    <w:p w14:paraId="3BF19062" w14:textId="77777777" w:rsidR="00136648" w:rsidRPr="00136648" w:rsidRDefault="00136648" w:rsidP="00136648">
      <w:pPr>
        <w:pStyle w:val="BodyText"/>
      </w:pPr>
      <w:r w:rsidRPr="00136648">
        <w:t>Texas Rising Star data include: </w:t>
      </w:r>
    </w:p>
    <w:p w14:paraId="3D3CE6B4" w14:textId="77777777" w:rsidR="00136648" w:rsidRPr="00136648" w:rsidRDefault="00136648" w:rsidP="00136648">
      <w:pPr>
        <w:pStyle w:val="BodyText"/>
      </w:pPr>
      <w:r w:rsidRPr="00136648">
        <w:t>Children and families served by Texas Rising Star </w:t>
      </w:r>
    </w:p>
    <w:p w14:paraId="646B5ED4" w14:textId="77777777" w:rsidR="00136648" w:rsidRPr="00136648" w:rsidRDefault="00136648" w:rsidP="00C64851">
      <w:pPr>
        <w:pStyle w:val="BodyText"/>
        <w:numPr>
          <w:ilvl w:val="0"/>
          <w:numId w:val="553"/>
        </w:numPr>
      </w:pPr>
      <w:r w:rsidRPr="00136648">
        <w:t>Average number of children served in Texas Rising Star </w:t>
      </w:r>
    </w:p>
    <w:p w14:paraId="0621EA3F" w14:textId="77777777" w:rsidR="00136648" w:rsidRPr="00136648" w:rsidRDefault="00136648" w:rsidP="00C64851">
      <w:pPr>
        <w:pStyle w:val="BodyText"/>
        <w:numPr>
          <w:ilvl w:val="0"/>
          <w:numId w:val="554"/>
        </w:numPr>
      </w:pPr>
      <w:r w:rsidRPr="00136648">
        <w:t>Total number of children served in Texas Rising Star </w:t>
      </w:r>
    </w:p>
    <w:p w14:paraId="5E2436B2" w14:textId="77777777" w:rsidR="00136648" w:rsidRPr="00136648" w:rsidRDefault="00136648" w:rsidP="00C64851">
      <w:pPr>
        <w:pStyle w:val="BodyText"/>
        <w:numPr>
          <w:ilvl w:val="0"/>
          <w:numId w:val="555"/>
        </w:numPr>
      </w:pPr>
      <w:r w:rsidRPr="00136648">
        <w:t>Total number of families served in Texas Rising Star </w:t>
      </w:r>
    </w:p>
    <w:p w14:paraId="2E533344" w14:textId="77777777" w:rsidR="00136648" w:rsidRPr="00136648" w:rsidRDefault="00136648" w:rsidP="00C64851">
      <w:pPr>
        <w:pStyle w:val="BodyText"/>
        <w:numPr>
          <w:ilvl w:val="0"/>
          <w:numId w:val="556"/>
        </w:numPr>
      </w:pPr>
      <w:r w:rsidRPr="00136648">
        <w:t>Average number of children in Texas Rising Star served by age per day and by star level </w:t>
      </w:r>
    </w:p>
    <w:p w14:paraId="48E2810F" w14:textId="77777777" w:rsidR="00136648" w:rsidRPr="00136648" w:rsidRDefault="00136648" w:rsidP="00136648">
      <w:pPr>
        <w:pStyle w:val="BodyText"/>
      </w:pPr>
      <w:r w:rsidRPr="00136648">
        <w:t>Texas Rising Star-certified programs </w:t>
      </w:r>
    </w:p>
    <w:p w14:paraId="347DEF9F" w14:textId="77777777" w:rsidR="00136648" w:rsidRPr="00136648" w:rsidRDefault="00136648" w:rsidP="00C64851">
      <w:pPr>
        <w:pStyle w:val="BodyText"/>
        <w:numPr>
          <w:ilvl w:val="0"/>
          <w:numId w:val="557"/>
        </w:numPr>
      </w:pPr>
      <w:r w:rsidRPr="00136648">
        <w:t>Total number of Texas Rising Star-certified programs serving CCS children total and by star level </w:t>
      </w:r>
    </w:p>
    <w:p w14:paraId="5E5E7210" w14:textId="77777777" w:rsidR="00136648" w:rsidRPr="00136648" w:rsidRDefault="00136648" w:rsidP="00C64851">
      <w:pPr>
        <w:pStyle w:val="BodyText"/>
        <w:numPr>
          <w:ilvl w:val="0"/>
          <w:numId w:val="558"/>
        </w:numPr>
      </w:pPr>
      <w:r w:rsidRPr="00136648">
        <w:t>Total number of Texas rising Star-certified programs with agreements by star level </w:t>
      </w:r>
    </w:p>
    <w:p w14:paraId="684ABEB4" w14:textId="77777777" w:rsidR="00136648" w:rsidRPr="00136648" w:rsidRDefault="00136648" w:rsidP="00136648">
      <w:pPr>
        <w:pStyle w:val="BodyText"/>
      </w:pPr>
      <w:r w:rsidRPr="00136648">
        <w:t>Texas Rising Star overall footprint in the state </w:t>
      </w:r>
    </w:p>
    <w:p w14:paraId="1682F901" w14:textId="77777777" w:rsidR="00136648" w:rsidRPr="00136648" w:rsidRDefault="00136648" w:rsidP="00C64851">
      <w:pPr>
        <w:pStyle w:val="BodyText"/>
        <w:numPr>
          <w:ilvl w:val="0"/>
          <w:numId w:val="559"/>
        </w:numPr>
      </w:pPr>
      <w:r w:rsidRPr="00136648">
        <w:t>Total statewide capacity of Texas Rising Star by star level </w:t>
      </w:r>
    </w:p>
    <w:p w14:paraId="7B960CD6" w14:textId="77777777" w:rsidR="00136648" w:rsidRPr="00136648" w:rsidRDefault="00136648" w:rsidP="00136648">
      <w:pPr>
        <w:pStyle w:val="BodyText"/>
      </w:pPr>
      <w:r w:rsidRPr="00136648">
        <w:t>CCBN data shows that the number of Texas Rising Star-certified programs caring for CCS children have increased from 708 programs in 2015 to 3,484 in 2024.  </w:t>
      </w:r>
    </w:p>
    <w:p w14:paraId="467767BA" w14:textId="77777777" w:rsidR="00136648" w:rsidRPr="00136648" w:rsidRDefault="00136648" w:rsidP="00136648">
      <w:pPr>
        <w:pStyle w:val="BodyText"/>
      </w:pPr>
      <w:r w:rsidRPr="00136648">
        <w:rPr>
          <w:b/>
          <w:bCs/>
        </w:rPr>
        <w:t>Providers Serving CCS Children</w:t>
      </w:r>
      <w:r w:rsidRPr="00136648">
        <w:t> </w:t>
      </w:r>
    </w:p>
    <w:tbl>
      <w:tblPr>
        <w:tblStyle w:val="TableGrid1"/>
        <w:tblW w:w="0" w:type="dxa"/>
        <w:tblCellMar>
          <w:top w:w="58" w:type="dxa"/>
          <w:bottom w:w="58" w:type="dxa"/>
        </w:tblCellMar>
        <w:tblLook w:val="04A0" w:firstRow="1" w:lastRow="0" w:firstColumn="1" w:lastColumn="0" w:noHBand="0" w:noVBand="1"/>
      </w:tblPr>
      <w:tblGrid>
        <w:gridCol w:w="1215"/>
        <w:gridCol w:w="1905"/>
        <w:gridCol w:w="1590"/>
        <w:gridCol w:w="1365"/>
        <w:gridCol w:w="1680"/>
      </w:tblGrid>
      <w:tr w:rsidR="00136648" w:rsidRPr="00C35573" w14:paraId="2C69B88A" w14:textId="77777777" w:rsidTr="00A039DC">
        <w:trPr>
          <w:trHeight w:val="300"/>
          <w:tblHeader/>
        </w:trPr>
        <w:tc>
          <w:tcPr>
            <w:tcW w:w="1215" w:type="dxa"/>
            <w:shd w:val="clear" w:color="auto" w:fill="B8CCE4" w:themeFill="accent1" w:themeFillTint="66"/>
            <w:vAlign w:val="center"/>
            <w:hideMark/>
          </w:tcPr>
          <w:p w14:paraId="6DD31951" w14:textId="17BC66BE" w:rsidR="00136648" w:rsidRPr="00C35573" w:rsidRDefault="00136648" w:rsidP="00953690">
            <w:pPr>
              <w:pStyle w:val="TableHeaders"/>
              <w:rPr>
                <w:b w:val="0"/>
                <w:bCs/>
              </w:rPr>
            </w:pPr>
            <w:r w:rsidRPr="00C35573">
              <w:rPr>
                <w:bCs/>
              </w:rPr>
              <w:t>Year</w:t>
            </w:r>
          </w:p>
        </w:tc>
        <w:tc>
          <w:tcPr>
            <w:tcW w:w="1905" w:type="dxa"/>
            <w:shd w:val="clear" w:color="auto" w:fill="B8CCE4" w:themeFill="accent1" w:themeFillTint="66"/>
            <w:vAlign w:val="center"/>
            <w:hideMark/>
          </w:tcPr>
          <w:p w14:paraId="567F34F5" w14:textId="31BE3A93" w:rsidR="00136648" w:rsidRPr="00C35573" w:rsidRDefault="00136648" w:rsidP="00953690">
            <w:pPr>
              <w:pStyle w:val="TableHeaders"/>
              <w:rPr>
                <w:b w:val="0"/>
                <w:bCs/>
              </w:rPr>
            </w:pPr>
            <w:r w:rsidRPr="00C35573">
              <w:rPr>
                <w:bCs/>
              </w:rPr>
              <w:t>Non-TRS Programs</w:t>
            </w:r>
          </w:p>
        </w:tc>
        <w:tc>
          <w:tcPr>
            <w:tcW w:w="1590" w:type="dxa"/>
            <w:shd w:val="clear" w:color="auto" w:fill="B8CCE4" w:themeFill="accent1" w:themeFillTint="66"/>
            <w:vAlign w:val="center"/>
            <w:hideMark/>
          </w:tcPr>
          <w:p w14:paraId="691F70A5" w14:textId="69D9F20A" w:rsidR="00136648" w:rsidRPr="00C35573" w:rsidRDefault="00136648" w:rsidP="00953690">
            <w:pPr>
              <w:pStyle w:val="TableHeaders"/>
              <w:rPr>
                <w:b w:val="0"/>
                <w:bCs/>
              </w:rPr>
            </w:pPr>
            <w:r w:rsidRPr="00C35573">
              <w:rPr>
                <w:bCs/>
              </w:rPr>
              <w:t>TRS Programs</w:t>
            </w:r>
          </w:p>
        </w:tc>
        <w:tc>
          <w:tcPr>
            <w:tcW w:w="1365" w:type="dxa"/>
            <w:shd w:val="clear" w:color="auto" w:fill="B8CCE4" w:themeFill="accent1" w:themeFillTint="66"/>
            <w:vAlign w:val="center"/>
            <w:hideMark/>
          </w:tcPr>
          <w:p w14:paraId="76315B61" w14:textId="69276543" w:rsidR="00136648" w:rsidRPr="00C35573" w:rsidRDefault="00136648" w:rsidP="00953690">
            <w:pPr>
              <w:pStyle w:val="TableHeaders"/>
              <w:rPr>
                <w:b w:val="0"/>
                <w:bCs/>
              </w:rPr>
            </w:pPr>
            <w:r w:rsidRPr="00C35573">
              <w:rPr>
                <w:bCs/>
              </w:rPr>
              <w:t>All Programs</w:t>
            </w:r>
          </w:p>
        </w:tc>
        <w:tc>
          <w:tcPr>
            <w:tcW w:w="1680" w:type="dxa"/>
            <w:shd w:val="clear" w:color="auto" w:fill="B8CCE4" w:themeFill="accent1" w:themeFillTint="66"/>
            <w:vAlign w:val="center"/>
            <w:hideMark/>
          </w:tcPr>
          <w:p w14:paraId="5E8B9897" w14:textId="2764B04E" w:rsidR="00136648" w:rsidRPr="00C35573" w:rsidRDefault="00136648" w:rsidP="00953690">
            <w:pPr>
              <w:pStyle w:val="TableHeaders"/>
              <w:rPr>
                <w:b w:val="0"/>
                <w:bCs/>
              </w:rPr>
            </w:pPr>
            <w:r w:rsidRPr="00C35573">
              <w:rPr>
                <w:bCs/>
              </w:rPr>
              <w:t>Percentage TRS</w:t>
            </w:r>
          </w:p>
        </w:tc>
      </w:tr>
      <w:tr w:rsidR="00136648" w:rsidRPr="00136648" w14:paraId="156EF7E2" w14:textId="77777777" w:rsidTr="00C35573">
        <w:trPr>
          <w:trHeight w:val="300"/>
        </w:trPr>
        <w:tc>
          <w:tcPr>
            <w:tcW w:w="1215" w:type="dxa"/>
            <w:vAlign w:val="center"/>
            <w:hideMark/>
          </w:tcPr>
          <w:p w14:paraId="6ED95E3F" w14:textId="77777777" w:rsidR="00136648" w:rsidRPr="00136648" w:rsidRDefault="00136648" w:rsidP="00C35573">
            <w:pPr>
              <w:pStyle w:val="TableText"/>
            </w:pPr>
            <w:r w:rsidRPr="00136648">
              <w:t>BCY15 </w:t>
            </w:r>
          </w:p>
        </w:tc>
        <w:tc>
          <w:tcPr>
            <w:tcW w:w="1905" w:type="dxa"/>
            <w:vAlign w:val="center"/>
            <w:hideMark/>
          </w:tcPr>
          <w:p w14:paraId="2401881B" w14:textId="77777777" w:rsidR="00136648" w:rsidRPr="00136648" w:rsidRDefault="00136648" w:rsidP="00C35573">
            <w:pPr>
              <w:pStyle w:val="TableText"/>
              <w:jc w:val="right"/>
            </w:pPr>
            <w:r w:rsidRPr="00136648">
              <w:t>7,007 </w:t>
            </w:r>
          </w:p>
        </w:tc>
        <w:tc>
          <w:tcPr>
            <w:tcW w:w="1590" w:type="dxa"/>
            <w:vAlign w:val="center"/>
            <w:hideMark/>
          </w:tcPr>
          <w:p w14:paraId="69CF38F7" w14:textId="77777777" w:rsidR="00136648" w:rsidRPr="00136648" w:rsidRDefault="00136648" w:rsidP="00C35573">
            <w:pPr>
              <w:pStyle w:val="TableText"/>
              <w:jc w:val="right"/>
            </w:pPr>
            <w:r w:rsidRPr="00136648">
              <w:t>708 </w:t>
            </w:r>
          </w:p>
        </w:tc>
        <w:tc>
          <w:tcPr>
            <w:tcW w:w="1365" w:type="dxa"/>
            <w:vAlign w:val="center"/>
            <w:hideMark/>
          </w:tcPr>
          <w:p w14:paraId="4DC94EAC" w14:textId="77777777" w:rsidR="00136648" w:rsidRPr="00136648" w:rsidRDefault="00136648" w:rsidP="00C35573">
            <w:pPr>
              <w:pStyle w:val="TableText"/>
              <w:jc w:val="right"/>
            </w:pPr>
            <w:r w:rsidRPr="00136648">
              <w:t>7,715 </w:t>
            </w:r>
          </w:p>
        </w:tc>
        <w:tc>
          <w:tcPr>
            <w:tcW w:w="1680" w:type="dxa"/>
            <w:vAlign w:val="center"/>
            <w:hideMark/>
          </w:tcPr>
          <w:p w14:paraId="3EDBE863" w14:textId="77777777" w:rsidR="00136648" w:rsidRPr="00136648" w:rsidRDefault="00136648" w:rsidP="00C35573">
            <w:pPr>
              <w:pStyle w:val="TableText"/>
              <w:jc w:val="right"/>
            </w:pPr>
            <w:r w:rsidRPr="00136648">
              <w:t>9.2% </w:t>
            </w:r>
          </w:p>
        </w:tc>
      </w:tr>
      <w:tr w:rsidR="00136648" w:rsidRPr="00136648" w14:paraId="3C61C569" w14:textId="77777777" w:rsidTr="00C35573">
        <w:trPr>
          <w:trHeight w:val="300"/>
        </w:trPr>
        <w:tc>
          <w:tcPr>
            <w:tcW w:w="1215" w:type="dxa"/>
            <w:vAlign w:val="center"/>
            <w:hideMark/>
          </w:tcPr>
          <w:p w14:paraId="5D284B61" w14:textId="77777777" w:rsidR="00136648" w:rsidRPr="00136648" w:rsidRDefault="00136648" w:rsidP="00C35573">
            <w:pPr>
              <w:pStyle w:val="TableText"/>
            </w:pPr>
            <w:r w:rsidRPr="00136648">
              <w:t>BCY16 </w:t>
            </w:r>
          </w:p>
        </w:tc>
        <w:tc>
          <w:tcPr>
            <w:tcW w:w="1905" w:type="dxa"/>
            <w:vAlign w:val="center"/>
            <w:hideMark/>
          </w:tcPr>
          <w:p w14:paraId="6DE09D81" w14:textId="77777777" w:rsidR="00136648" w:rsidRPr="00136648" w:rsidRDefault="00136648" w:rsidP="00C35573">
            <w:pPr>
              <w:pStyle w:val="TableText"/>
              <w:jc w:val="right"/>
            </w:pPr>
            <w:r w:rsidRPr="00136648">
              <w:t>6,797 </w:t>
            </w:r>
          </w:p>
        </w:tc>
        <w:tc>
          <w:tcPr>
            <w:tcW w:w="1590" w:type="dxa"/>
            <w:vAlign w:val="center"/>
            <w:hideMark/>
          </w:tcPr>
          <w:p w14:paraId="5D0752D3" w14:textId="77777777" w:rsidR="00136648" w:rsidRPr="00136648" w:rsidRDefault="00136648" w:rsidP="00C35573">
            <w:pPr>
              <w:pStyle w:val="TableText"/>
              <w:jc w:val="right"/>
            </w:pPr>
            <w:r w:rsidRPr="00136648">
              <w:t>731 </w:t>
            </w:r>
          </w:p>
        </w:tc>
        <w:tc>
          <w:tcPr>
            <w:tcW w:w="1365" w:type="dxa"/>
            <w:vAlign w:val="center"/>
            <w:hideMark/>
          </w:tcPr>
          <w:p w14:paraId="7D015751" w14:textId="77777777" w:rsidR="00136648" w:rsidRPr="00136648" w:rsidRDefault="00136648" w:rsidP="00C35573">
            <w:pPr>
              <w:pStyle w:val="TableText"/>
              <w:jc w:val="right"/>
            </w:pPr>
            <w:r w:rsidRPr="00136648">
              <w:t>7,528 </w:t>
            </w:r>
          </w:p>
        </w:tc>
        <w:tc>
          <w:tcPr>
            <w:tcW w:w="1680" w:type="dxa"/>
            <w:vAlign w:val="center"/>
            <w:hideMark/>
          </w:tcPr>
          <w:p w14:paraId="377FC97E" w14:textId="77777777" w:rsidR="00136648" w:rsidRPr="00136648" w:rsidRDefault="00136648" w:rsidP="00C35573">
            <w:pPr>
              <w:pStyle w:val="TableText"/>
              <w:jc w:val="right"/>
            </w:pPr>
            <w:r w:rsidRPr="00136648">
              <w:t>9.7% </w:t>
            </w:r>
          </w:p>
        </w:tc>
      </w:tr>
      <w:tr w:rsidR="00136648" w:rsidRPr="00136648" w14:paraId="709F7176" w14:textId="77777777" w:rsidTr="00C35573">
        <w:trPr>
          <w:trHeight w:val="300"/>
        </w:trPr>
        <w:tc>
          <w:tcPr>
            <w:tcW w:w="1215" w:type="dxa"/>
            <w:vAlign w:val="center"/>
            <w:hideMark/>
          </w:tcPr>
          <w:p w14:paraId="0DDF106F" w14:textId="77777777" w:rsidR="00136648" w:rsidRPr="00136648" w:rsidRDefault="00136648" w:rsidP="00C35573">
            <w:pPr>
              <w:pStyle w:val="TableText"/>
            </w:pPr>
            <w:r w:rsidRPr="00136648">
              <w:t>BCY17 </w:t>
            </w:r>
          </w:p>
        </w:tc>
        <w:tc>
          <w:tcPr>
            <w:tcW w:w="1905" w:type="dxa"/>
            <w:vAlign w:val="center"/>
            <w:hideMark/>
          </w:tcPr>
          <w:p w14:paraId="41862A25" w14:textId="77777777" w:rsidR="00136648" w:rsidRPr="00136648" w:rsidRDefault="00136648" w:rsidP="00C35573">
            <w:pPr>
              <w:pStyle w:val="TableText"/>
              <w:jc w:val="right"/>
            </w:pPr>
            <w:r w:rsidRPr="00136648">
              <w:t>6,341 </w:t>
            </w:r>
          </w:p>
        </w:tc>
        <w:tc>
          <w:tcPr>
            <w:tcW w:w="1590" w:type="dxa"/>
            <w:vAlign w:val="center"/>
            <w:hideMark/>
          </w:tcPr>
          <w:p w14:paraId="530BB3A5" w14:textId="77777777" w:rsidR="00136648" w:rsidRPr="00136648" w:rsidRDefault="00136648" w:rsidP="00C35573">
            <w:pPr>
              <w:pStyle w:val="TableText"/>
              <w:jc w:val="right"/>
            </w:pPr>
            <w:r w:rsidRPr="00136648">
              <w:t>908 </w:t>
            </w:r>
          </w:p>
        </w:tc>
        <w:tc>
          <w:tcPr>
            <w:tcW w:w="1365" w:type="dxa"/>
            <w:vAlign w:val="center"/>
            <w:hideMark/>
          </w:tcPr>
          <w:p w14:paraId="02F7917E" w14:textId="77777777" w:rsidR="00136648" w:rsidRPr="00136648" w:rsidRDefault="00136648" w:rsidP="00C35573">
            <w:pPr>
              <w:pStyle w:val="TableText"/>
              <w:jc w:val="right"/>
            </w:pPr>
            <w:r w:rsidRPr="00136648">
              <w:t>7,249 </w:t>
            </w:r>
          </w:p>
        </w:tc>
        <w:tc>
          <w:tcPr>
            <w:tcW w:w="1680" w:type="dxa"/>
            <w:vAlign w:val="center"/>
            <w:hideMark/>
          </w:tcPr>
          <w:p w14:paraId="6E954C5D" w14:textId="77777777" w:rsidR="00136648" w:rsidRPr="00136648" w:rsidRDefault="00136648" w:rsidP="00C35573">
            <w:pPr>
              <w:pStyle w:val="TableText"/>
              <w:jc w:val="right"/>
            </w:pPr>
            <w:r w:rsidRPr="00136648">
              <w:t>12.5% </w:t>
            </w:r>
          </w:p>
        </w:tc>
      </w:tr>
      <w:tr w:rsidR="00136648" w:rsidRPr="00136648" w14:paraId="26B474B4" w14:textId="77777777" w:rsidTr="00C35573">
        <w:trPr>
          <w:trHeight w:val="300"/>
        </w:trPr>
        <w:tc>
          <w:tcPr>
            <w:tcW w:w="1215" w:type="dxa"/>
            <w:vAlign w:val="center"/>
            <w:hideMark/>
          </w:tcPr>
          <w:p w14:paraId="2FD0BF5E" w14:textId="77777777" w:rsidR="00136648" w:rsidRPr="00136648" w:rsidRDefault="00136648" w:rsidP="00C35573">
            <w:pPr>
              <w:pStyle w:val="TableText"/>
            </w:pPr>
            <w:r w:rsidRPr="00136648">
              <w:t>BCY18 </w:t>
            </w:r>
          </w:p>
        </w:tc>
        <w:tc>
          <w:tcPr>
            <w:tcW w:w="1905" w:type="dxa"/>
            <w:vAlign w:val="center"/>
            <w:hideMark/>
          </w:tcPr>
          <w:p w14:paraId="764A4A98" w14:textId="77777777" w:rsidR="00136648" w:rsidRPr="00136648" w:rsidRDefault="00136648" w:rsidP="00C35573">
            <w:pPr>
              <w:pStyle w:val="TableText"/>
              <w:jc w:val="right"/>
            </w:pPr>
            <w:r w:rsidRPr="00136648">
              <w:t>6,125 </w:t>
            </w:r>
          </w:p>
        </w:tc>
        <w:tc>
          <w:tcPr>
            <w:tcW w:w="1590" w:type="dxa"/>
            <w:vAlign w:val="center"/>
            <w:hideMark/>
          </w:tcPr>
          <w:p w14:paraId="1B1C9412" w14:textId="77777777" w:rsidR="00136648" w:rsidRPr="00136648" w:rsidRDefault="00136648" w:rsidP="00C35573">
            <w:pPr>
              <w:pStyle w:val="TableText"/>
              <w:jc w:val="right"/>
            </w:pPr>
            <w:r w:rsidRPr="00136648">
              <w:t>1,048 </w:t>
            </w:r>
          </w:p>
        </w:tc>
        <w:tc>
          <w:tcPr>
            <w:tcW w:w="1365" w:type="dxa"/>
            <w:vAlign w:val="center"/>
            <w:hideMark/>
          </w:tcPr>
          <w:p w14:paraId="32692AEA" w14:textId="77777777" w:rsidR="00136648" w:rsidRPr="00136648" w:rsidRDefault="00136648" w:rsidP="00C35573">
            <w:pPr>
              <w:pStyle w:val="TableText"/>
              <w:jc w:val="right"/>
            </w:pPr>
            <w:r w:rsidRPr="00136648">
              <w:t>7,173 </w:t>
            </w:r>
          </w:p>
        </w:tc>
        <w:tc>
          <w:tcPr>
            <w:tcW w:w="1680" w:type="dxa"/>
            <w:vAlign w:val="center"/>
            <w:hideMark/>
          </w:tcPr>
          <w:p w14:paraId="07A02B94" w14:textId="77777777" w:rsidR="00136648" w:rsidRPr="00136648" w:rsidRDefault="00136648" w:rsidP="00C35573">
            <w:pPr>
              <w:pStyle w:val="TableText"/>
              <w:jc w:val="right"/>
            </w:pPr>
            <w:r w:rsidRPr="00136648">
              <w:t>14.6% </w:t>
            </w:r>
          </w:p>
        </w:tc>
      </w:tr>
      <w:tr w:rsidR="00136648" w:rsidRPr="00136648" w14:paraId="1CACA6B8" w14:textId="77777777" w:rsidTr="00C35573">
        <w:trPr>
          <w:trHeight w:val="300"/>
        </w:trPr>
        <w:tc>
          <w:tcPr>
            <w:tcW w:w="1215" w:type="dxa"/>
            <w:vAlign w:val="center"/>
            <w:hideMark/>
          </w:tcPr>
          <w:p w14:paraId="73EDF01C" w14:textId="77777777" w:rsidR="00136648" w:rsidRPr="00136648" w:rsidRDefault="00136648" w:rsidP="00C35573">
            <w:pPr>
              <w:pStyle w:val="TableText"/>
            </w:pPr>
            <w:r w:rsidRPr="00136648">
              <w:t>BCY19 </w:t>
            </w:r>
          </w:p>
        </w:tc>
        <w:tc>
          <w:tcPr>
            <w:tcW w:w="1905" w:type="dxa"/>
            <w:vAlign w:val="center"/>
            <w:hideMark/>
          </w:tcPr>
          <w:p w14:paraId="0A215065" w14:textId="77777777" w:rsidR="00136648" w:rsidRPr="00136648" w:rsidRDefault="00136648" w:rsidP="00C35573">
            <w:pPr>
              <w:pStyle w:val="TableText"/>
              <w:jc w:val="right"/>
            </w:pPr>
            <w:r w:rsidRPr="00136648">
              <w:t>6,025 </w:t>
            </w:r>
          </w:p>
        </w:tc>
        <w:tc>
          <w:tcPr>
            <w:tcW w:w="1590" w:type="dxa"/>
            <w:vAlign w:val="center"/>
            <w:hideMark/>
          </w:tcPr>
          <w:p w14:paraId="3B15EDA9" w14:textId="77777777" w:rsidR="00136648" w:rsidRPr="00136648" w:rsidRDefault="00136648" w:rsidP="00C35573">
            <w:pPr>
              <w:pStyle w:val="TableText"/>
              <w:jc w:val="right"/>
            </w:pPr>
            <w:r w:rsidRPr="00136648">
              <w:t>1,324 </w:t>
            </w:r>
          </w:p>
        </w:tc>
        <w:tc>
          <w:tcPr>
            <w:tcW w:w="1365" w:type="dxa"/>
            <w:vAlign w:val="center"/>
            <w:hideMark/>
          </w:tcPr>
          <w:p w14:paraId="534B445C" w14:textId="77777777" w:rsidR="00136648" w:rsidRPr="00136648" w:rsidRDefault="00136648" w:rsidP="00C35573">
            <w:pPr>
              <w:pStyle w:val="TableText"/>
              <w:jc w:val="right"/>
            </w:pPr>
            <w:r w:rsidRPr="00136648">
              <w:t>7,349 </w:t>
            </w:r>
          </w:p>
        </w:tc>
        <w:tc>
          <w:tcPr>
            <w:tcW w:w="1680" w:type="dxa"/>
            <w:vAlign w:val="center"/>
            <w:hideMark/>
          </w:tcPr>
          <w:p w14:paraId="098A60B5" w14:textId="77777777" w:rsidR="00136648" w:rsidRPr="00136648" w:rsidRDefault="00136648" w:rsidP="00C35573">
            <w:pPr>
              <w:pStyle w:val="TableText"/>
              <w:jc w:val="right"/>
            </w:pPr>
            <w:r w:rsidRPr="00136648">
              <w:t>18.0% </w:t>
            </w:r>
          </w:p>
        </w:tc>
      </w:tr>
      <w:tr w:rsidR="00136648" w:rsidRPr="00136648" w14:paraId="216E1F37" w14:textId="77777777" w:rsidTr="00C35573">
        <w:trPr>
          <w:trHeight w:val="300"/>
        </w:trPr>
        <w:tc>
          <w:tcPr>
            <w:tcW w:w="1215" w:type="dxa"/>
            <w:vAlign w:val="center"/>
            <w:hideMark/>
          </w:tcPr>
          <w:p w14:paraId="2684A5B4" w14:textId="77777777" w:rsidR="00136648" w:rsidRPr="00136648" w:rsidRDefault="00136648" w:rsidP="00C35573">
            <w:pPr>
              <w:pStyle w:val="TableText"/>
            </w:pPr>
            <w:r w:rsidRPr="00136648">
              <w:t>BCY20 </w:t>
            </w:r>
          </w:p>
        </w:tc>
        <w:tc>
          <w:tcPr>
            <w:tcW w:w="1905" w:type="dxa"/>
            <w:vAlign w:val="center"/>
            <w:hideMark/>
          </w:tcPr>
          <w:p w14:paraId="49D5C175" w14:textId="77777777" w:rsidR="00136648" w:rsidRPr="00136648" w:rsidRDefault="00136648" w:rsidP="00C35573">
            <w:pPr>
              <w:pStyle w:val="TableText"/>
              <w:jc w:val="right"/>
            </w:pPr>
            <w:r w:rsidRPr="00136648">
              <w:t>5,658 </w:t>
            </w:r>
          </w:p>
        </w:tc>
        <w:tc>
          <w:tcPr>
            <w:tcW w:w="1590" w:type="dxa"/>
            <w:vAlign w:val="center"/>
            <w:hideMark/>
          </w:tcPr>
          <w:p w14:paraId="286B81E4" w14:textId="77777777" w:rsidR="00136648" w:rsidRPr="00136648" w:rsidRDefault="00136648" w:rsidP="00C35573">
            <w:pPr>
              <w:pStyle w:val="TableText"/>
              <w:jc w:val="right"/>
            </w:pPr>
            <w:r w:rsidRPr="00136648">
              <w:t>1,533 </w:t>
            </w:r>
          </w:p>
        </w:tc>
        <w:tc>
          <w:tcPr>
            <w:tcW w:w="1365" w:type="dxa"/>
            <w:vAlign w:val="center"/>
            <w:hideMark/>
          </w:tcPr>
          <w:p w14:paraId="3F62E03E" w14:textId="77777777" w:rsidR="00136648" w:rsidRPr="00136648" w:rsidRDefault="00136648" w:rsidP="00C35573">
            <w:pPr>
              <w:pStyle w:val="TableText"/>
              <w:jc w:val="right"/>
            </w:pPr>
            <w:r w:rsidRPr="00136648">
              <w:t>7,191 </w:t>
            </w:r>
          </w:p>
        </w:tc>
        <w:tc>
          <w:tcPr>
            <w:tcW w:w="1680" w:type="dxa"/>
            <w:vAlign w:val="center"/>
            <w:hideMark/>
          </w:tcPr>
          <w:p w14:paraId="4F419140" w14:textId="77777777" w:rsidR="00136648" w:rsidRPr="00136648" w:rsidRDefault="00136648" w:rsidP="00C35573">
            <w:pPr>
              <w:pStyle w:val="TableText"/>
              <w:jc w:val="right"/>
            </w:pPr>
            <w:r w:rsidRPr="00136648">
              <w:t>21.3% </w:t>
            </w:r>
          </w:p>
        </w:tc>
      </w:tr>
      <w:tr w:rsidR="00136648" w:rsidRPr="00136648" w14:paraId="1430EAD0" w14:textId="77777777" w:rsidTr="00C35573">
        <w:trPr>
          <w:trHeight w:val="300"/>
        </w:trPr>
        <w:tc>
          <w:tcPr>
            <w:tcW w:w="1215" w:type="dxa"/>
            <w:vAlign w:val="center"/>
            <w:hideMark/>
          </w:tcPr>
          <w:p w14:paraId="18B04817" w14:textId="77777777" w:rsidR="00136648" w:rsidRPr="00136648" w:rsidRDefault="00136648" w:rsidP="00C35573">
            <w:pPr>
              <w:pStyle w:val="TableText"/>
            </w:pPr>
            <w:r w:rsidRPr="00136648">
              <w:t>BCY21 </w:t>
            </w:r>
          </w:p>
        </w:tc>
        <w:tc>
          <w:tcPr>
            <w:tcW w:w="1905" w:type="dxa"/>
            <w:vAlign w:val="center"/>
            <w:hideMark/>
          </w:tcPr>
          <w:p w14:paraId="3DCA5C4B" w14:textId="77777777" w:rsidR="00136648" w:rsidRPr="00136648" w:rsidRDefault="00136648" w:rsidP="00C35573">
            <w:pPr>
              <w:pStyle w:val="TableText"/>
              <w:jc w:val="right"/>
            </w:pPr>
            <w:r w:rsidRPr="00136648">
              <w:t>5,206 </w:t>
            </w:r>
          </w:p>
        </w:tc>
        <w:tc>
          <w:tcPr>
            <w:tcW w:w="1590" w:type="dxa"/>
            <w:vAlign w:val="center"/>
            <w:hideMark/>
          </w:tcPr>
          <w:p w14:paraId="17437D18" w14:textId="77777777" w:rsidR="00136648" w:rsidRPr="00136648" w:rsidRDefault="00136648" w:rsidP="00C35573">
            <w:pPr>
              <w:pStyle w:val="TableText"/>
              <w:jc w:val="right"/>
            </w:pPr>
            <w:r w:rsidRPr="00136648">
              <w:t>1,752 </w:t>
            </w:r>
          </w:p>
        </w:tc>
        <w:tc>
          <w:tcPr>
            <w:tcW w:w="1365" w:type="dxa"/>
            <w:vAlign w:val="center"/>
            <w:hideMark/>
          </w:tcPr>
          <w:p w14:paraId="1322BF03" w14:textId="77777777" w:rsidR="00136648" w:rsidRPr="00136648" w:rsidRDefault="00136648" w:rsidP="00C35573">
            <w:pPr>
              <w:pStyle w:val="TableText"/>
              <w:jc w:val="right"/>
            </w:pPr>
            <w:r w:rsidRPr="00136648">
              <w:t>6,958 </w:t>
            </w:r>
          </w:p>
        </w:tc>
        <w:tc>
          <w:tcPr>
            <w:tcW w:w="1680" w:type="dxa"/>
            <w:vAlign w:val="center"/>
            <w:hideMark/>
          </w:tcPr>
          <w:p w14:paraId="37069FE5" w14:textId="77777777" w:rsidR="00136648" w:rsidRPr="00136648" w:rsidRDefault="00136648" w:rsidP="00C35573">
            <w:pPr>
              <w:pStyle w:val="TableText"/>
              <w:jc w:val="right"/>
            </w:pPr>
            <w:r w:rsidRPr="00136648">
              <w:t>25.2% </w:t>
            </w:r>
          </w:p>
        </w:tc>
      </w:tr>
      <w:tr w:rsidR="00136648" w:rsidRPr="00136648" w14:paraId="43AC8063" w14:textId="77777777" w:rsidTr="00C35573">
        <w:trPr>
          <w:trHeight w:val="300"/>
        </w:trPr>
        <w:tc>
          <w:tcPr>
            <w:tcW w:w="1215" w:type="dxa"/>
            <w:vAlign w:val="center"/>
            <w:hideMark/>
          </w:tcPr>
          <w:p w14:paraId="33ACE024" w14:textId="77777777" w:rsidR="00136648" w:rsidRPr="00136648" w:rsidRDefault="00136648" w:rsidP="00C35573">
            <w:pPr>
              <w:pStyle w:val="TableText"/>
            </w:pPr>
            <w:r w:rsidRPr="00136648">
              <w:lastRenderedPageBreak/>
              <w:t>BCY22 </w:t>
            </w:r>
          </w:p>
        </w:tc>
        <w:tc>
          <w:tcPr>
            <w:tcW w:w="1905" w:type="dxa"/>
            <w:vAlign w:val="center"/>
            <w:hideMark/>
          </w:tcPr>
          <w:p w14:paraId="0A1F8FDC" w14:textId="77777777" w:rsidR="00136648" w:rsidRPr="00136648" w:rsidRDefault="00136648" w:rsidP="00C35573">
            <w:pPr>
              <w:pStyle w:val="TableText"/>
              <w:jc w:val="right"/>
            </w:pPr>
            <w:r w:rsidRPr="00136648">
              <w:t>5,394 </w:t>
            </w:r>
          </w:p>
        </w:tc>
        <w:tc>
          <w:tcPr>
            <w:tcW w:w="1590" w:type="dxa"/>
            <w:vAlign w:val="center"/>
            <w:hideMark/>
          </w:tcPr>
          <w:p w14:paraId="77DEA909" w14:textId="77777777" w:rsidR="00136648" w:rsidRPr="00136648" w:rsidRDefault="00136648" w:rsidP="00C35573">
            <w:pPr>
              <w:pStyle w:val="TableText"/>
              <w:jc w:val="right"/>
            </w:pPr>
            <w:r w:rsidRPr="00136648">
              <w:t>1,842 </w:t>
            </w:r>
          </w:p>
        </w:tc>
        <w:tc>
          <w:tcPr>
            <w:tcW w:w="1365" w:type="dxa"/>
            <w:vAlign w:val="center"/>
            <w:hideMark/>
          </w:tcPr>
          <w:p w14:paraId="3407AE5D" w14:textId="77777777" w:rsidR="00136648" w:rsidRPr="00136648" w:rsidRDefault="00136648" w:rsidP="00C35573">
            <w:pPr>
              <w:pStyle w:val="TableText"/>
              <w:jc w:val="right"/>
            </w:pPr>
            <w:r w:rsidRPr="00136648">
              <w:t>7,236 </w:t>
            </w:r>
          </w:p>
        </w:tc>
        <w:tc>
          <w:tcPr>
            <w:tcW w:w="1680" w:type="dxa"/>
            <w:vAlign w:val="center"/>
            <w:hideMark/>
          </w:tcPr>
          <w:p w14:paraId="25B8F570" w14:textId="77777777" w:rsidR="00136648" w:rsidRPr="00136648" w:rsidRDefault="00136648" w:rsidP="00C35573">
            <w:pPr>
              <w:pStyle w:val="TableText"/>
              <w:jc w:val="right"/>
            </w:pPr>
            <w:r w:rsidRPr="00136648">
              <w:t>25.5% </w:t>
            </w:r>
          </w:p>
        </w:tc>
      </w:tr>
      <w:tr w:rsidR="00136648" w:rsidRPr="00136648" w14:paraId="18ABA7FE" w14:textId="77777777" w:rsidTr="00C35573">
        <w:trPr>
          <w:trHeight w:val="300"/>
        </w:trPr>
        <w:tc>
          <w:tcPr>
            <w:tcW w:w="1215" w:type="dxa"/>
            <w:vAlign w:val="center"/>
            <w:hideMark/>
          </w:tcPr>
          <w:p w14:paraId="4BC6205E" w14:textId="77777777" w:rsidR="00136648" w:rsidRPr="00136648" w:rsidRDefault="00136648" w:rsidP="00C35573">
            <w:pPr>
              <w:pStyle w:val="TableText"/>
            </w:pPr>
            <w:r w:rsidRPr="00136648">
              <w:t>BCY23 </w:t>
            </w:r>
          </w:p>
        </w:tc>
        <w:tc>
          <w:tcPr>
            <w:tcW w:w="1905" w:type="dxa"/>
            <w:vAlign w:val="center"/>
            <w:hideMark/>
          </w:tcPr>
          <w:p w14:paraId="0AD49E27" w14:textId="77777777" w:rsidR="00136648" w:rsidRPr="00136648" w:rsidRDefault="00136648" w:rsidP="00C35573">
            <w:pPr>
              <w:pStyle w:val="TableText"/>
              <w:jc w:val="right"/>
            </w:pPr>
            <w:r w:rsidRPr="00136648">
              <w:t>5,187 </w:t>
            </w:r>
          </w:p>
        </w:tc>
        <w:tc>
          <w:tcPr>
            <w:tcW w:w="1590" w:type="dxa"/>
            <w:vAlign w:val="center"/>
            <w:hideMark/>
          </w:tcPr>
          <w:p w14:paraId="19C3F624" w14:textId="77777777" w:rsidR="00136648" w:rsidRPr="00136648" w:rsidRDefault="00136648" w:rsidP="00C35573">
            <w:pPr>
              <w:pStyle w:val="TableText"/>
              <w:jc w:val="right"/>
            </w:pPr>
            <w:r w:rsidRPr="00136648">
              <w:t>2,471 </w:t>
            </w:r>
          </w:p>
        </w:tc>
        <w:tc>
          <w:tcPr>
            <w:tcW w:w="1365" w:type="dxa"/>
            <w:vAlign w:val="center"/>
            <w:hideMark/>
          </w:tcPr>
          <w:p w14:paraId="0DC690DB" w14:textId="77777777" w:rsidR="00136648" w:rsidRPr="00136648" w:rsidRDefault="00136648" w:rsidP="00C35573">
            <w:pPr>
              <w:pStyle w:val="TableText"/>
              <w:jc w:val="right"/>
            </w:pPr>
            <w:r w:rsidRPr="00136648">
              <w:t>7,658 </w:t>
            </w:r>
          </w:p>
        </w:tc>
        <w:tc>
          <w:tcPr>
            <w:tcW w:w="1680" w:type="dxa"/>
            <w:vAlign w:val="center"/>
            <w:hideMark/>
          </w:tcPr>
          <w:p w14:paraId="15AFE9DE" w14:textId="77777777" w:rsidR="00136648" w:rsidRPr="00136648" w:rsidRDefault="00136648" w:rsidP="00C35573">
            <w:pPr>
              <w:pStyle w:val="TableText"/>
              <w:jc w:val="right"/>
            </w:pPr>
            <w:r w:rsidRPr="00136648">
              <w:t>32.3% </w:t>
            </w:r>
          </w:p>
        </w:tc>
      </w:tr>
      <w:tr w:rsidR="00136648" w:rsidRPr="00136648" w14:paraId="5CA036C4" w14:textId="77777777" w:rsidTr="00C35573">
        <w:trPr>
          <w:trHeight w:val="300"/>
        </w:trPr>
        <w:tc>
          <w:tcPr>
            <w:tcW w:w="1215" w:type="dxa"/>
            <w:vAlign w:val="center"/>
            <w:hideMark/>
          </w:tcPr>
          <w:p w14:paraId="0C58738C" w14:textId="77777777" w:rsidR="00136648" w:rsidRPr="00136648" w:rsidRDefault="00136648" w:rsidP="00C35573">
            <w:pPr>
              <w:pStyle w:val="TableText"/>
            </w:pPr>
            <w:r w:rsidRPr="00136648">
              <w:t>BCY24 </w:t>
            </w:r>
          </w:p>
        </w:tc>
        <w:tc>
          <w:tcPr>
            <w:tcW w:w="1905" w:type="dxa"/>
            <w:vAlign w:val="center"/>
            <w:hideMark/>
          </w:tcPr>
          <w:p w14:paraId="38558525" w14:textId="77777777" w:rsidR="00136648" w:rsidRPr="00136648" w:rsidRDefault="00136648" w:rsidP="00C35573">
            <w:pPr>
              <w:pStyle w:val="TableText"/>
              <w:jc w:val="right"/>
            </w:pPr>
            <w:r w:rsidRPr="00136648">
              <w:t>4,569 </w:t>
            </w:r>
          </w:p>
        </w:tc>
        <w:tc>
          <w:tcPr>
            <w:tcW w:w="1590" w:type="dxa"/>
            <w:vAlign w:val="center"/>
            <w:hideMark/>
          </w:tcPr>
          <w:p w14:paraId="43E1BAA0" w14:textId="77777777" w:rsidR="00136648" w:rsidRPr="00136648" w:rsidRDefault="00136648" w:rsidP="00C35573">
            <w:pPr>
              <w:pStyle w:val="TableText"/>
              <w:jc w:val="right"/>
            </w:pPr>
            <w:r w:rsidRPr="00136648">
              <w:t>3,484 </w:t>
            </w:r>
          </w:p>
        </w:tc>
        <w:tc>
          <w:tcPr>
            <w:tcW w:w="1365" w:type="dxa"/>
            <w:vAlign w:val="center"/>
            <w:hideMark/>
          </w:tcPr>
          <w:p w14:paraId="45C17254" w14:textId="77777777" w:rsidR="00136648" w:rsidRPr="00136648" w:rsidRDefault="00136648" w:rsidP="00C35573">
            <w:pPr>
              <w:pStyle w:val="TableText"/>
              <w:jc w:val="right"/>
            </w:pPr>
            <w:r w:rsidRPr="00136648">
              <w:t>8,053 </w:t>
            </w:r>
          </w:p>
        </w:tc>
        <w:tc>
          <w:tcPr>
            <w:tcW w:w="1680" w:type="dxa"/>
            <w:vAlign w:val="center"/>
            <w:hideMark/>
          </w:tcPr>
          <w:p w14:paraId="294BD111" w14:textId="77777777" w:rsidR="00136648" w:rsidRPr="00136648" w:rsidRDefault="00136648" w:rsidP="00C35573">
            <w:pPr>
              <w:pStyle w:val="TableText"/>
              <w:jc w:val="right"/>
            </w:pPr>
            <w:r w:rsidRPr="00136648">
              <w:t>43.3% </w:t>
            </w:r>
          </w:p>
        </w:tc>
      </w:tr>
    </w:tbl>
    <w:p w14:paraId="0B49BE3D" w14:textId="77777777" w:rsidR="00136648" w:rsidRPr="00136648" w:rsidRDefault="00136648" w:rsidP="00136648">
      <w:pPr>
        <w:pStyle w:val="BodyText"/>
      </w:pPr>
      <w:r w:rsidRPr="00136648">
        <w:t xml:space="preserve">As mentioned previously, quality improvements impact all children enrolled in Texas Rising Star, not just CCS children. With the growth of Texas Rising Star-certified programs since 2015, more children statewide enjoy the benefits of care provided by Texas Rising Star-certified programs.  In 2015, Texas Rising Star-certified programs had a total enrollment capacity of 128,578 children.  By 2024, this has grown to 415,586 children statewide, with </w:t>
      </w:r>
      <w:proofErr w:type="gramStart"/>
      <w:r w:rsidRPr="00136648">
        <w:t>a majority of</w:t>
      </w:r>
      <w:proofErr w:type="gramEnd"/>
      <w:r w:rsidRPr="00136648">
        <w:t xml:space="preserve"> the children in Four-Star programs. </w:t>
      </w:r>
    </w:p>
    <w:p w14:paraId="2CDF37FB" w14:textId="77777777" w:rsidR="00136648" w:rsidRPr="00136648" w:rsidRDefault="00136648" w:rsidP="00136648">
      <w:pPr>
        <w:pStyle w:val="BodyText"/>
      </w:pPr>
      <w:r w:rsidRPr="00136648">
        <w:rPr>
          <w:b/>
          <w:bCs/>
        </w:rPr>
        <w:t>Total Capacity of Texas Rising Star Providers</w:t>
      </w:r>
      <w:r w:rsidRPr="00136648">
        <w:t> </w:t>
      </w:r>
    </w:p>
    <w:tbl>
      <w:tblPr>
        <w:tblStyle w:val="TableGrid1"/>
        <w:tblW w:w="9350" w:type="dxa"/>
        <w:tblCellMar>
          <w:top w:w="58" w:type="dxa"/>
          <w:bottom w:w="58" w:type="dxa"/>
        </w:tblCellMar>
        <w:tblLook w:val="04A0" w:firstRow="1" w:lastRow="0" w:firstColumn="1" w:lastColumn="0" w:noHBand="0" w:noVBand="1"/>
      </w:tblPr>
      <w:tblGrid>
        <w:gridCol w:w="867"/>
        <w:gridCol w:w="1264"/>
        <w:gridCol w:w="1102"/>
        <w:gridCol w:w="1202"/>
        <w:gridCol w:w="1140"/>
        <w:gridCol w:w="1241"/>
        <w:gridCol w:w="1370"/>
        <w:gridCol w:w="1164"/>
      </w:tblGrid>
      <w:tr w:rsidR="00C35573" w:rsidRPr="00C35573" w14:paraId="114FA366" w14:textId="77777777" w:rsidTr="000C6191">
        <w:trPr>
          <w:trHeight w:val="300"/>
        </w:trPr>
        <w:tc>
          <w:tcPr>
            <w:tcW w:w="867" w:type="dxa"/>
            <w:shd w:val="clear" w:color="auto" w:fill="B8CCE4" w:themeFill="accent1" w:themeFillTint="66"/>
            <w:hideMark/>
          </w:tcPr>
          <w:p w14:paraId="089F90BA" w14:textId="77777777" w:rsidR="00136648" w:rsidRPr="00C35573" w:rsidRDefault="00136648" w:rsidP="00C35573">
            <w:pPr>
              <w:pStyle w:val="TableHeaders"/>
              <w:rPr>
                <w:b w:val="0"/>
                <w:bCs/>
              </w:rPr>
            </w:pPr>
            <w:r w:rsidRPr="00C35573">
              <w:rPr>
                <w:bCs/>
              </w:rPr>
              <w:t>Year </w:t>
            </w:r>
          </w:p>
        </w:tc>
        <w:tc>
          <w:tcPr>
            <w:tcW w:w="1264" w:type="dxa"/>
            <w:shd w:val="clear" w:color="auto" w:fill="B8CCE4" w:themeFill="accent1" w:themeFillTint="66"/>
            <w:hideMark/>
          </w:tcPr>
          <w:p w14:paraId="6C7FF028" w14:textId="77777777" w:rsidR="00136648" w:rsidRPr="00C35573" w:rsidRDefault="00136648" w:rsidP="00C35573">
            <w:pPr>
              <w:pStyle w:val="TableHeaders"/>
              <w:rPr>
                <w:b w:val="0"/>
                <w:bCs/>
              </w:rPr>
            </w:pPr>
            <w:r w:rsidRPr="00C35573">
              <w:rPr>
                <w:bCs/>
              </w:rPr>
              <w:t>Two-Star </w:t>
            </w:r>
          </w:p>
        </w:tc>
        <w:tc>
          <w:tcPr>
            <w:tcW w:w="1102" w:type="dxa"/>
            <w:shd w:val="clear" w:color="auto" w:fill="B8CCE4" w:themeFill="accent1" w:themeFillTint="66"/>
            <w:hideMark/>
          </w:tcPr>
          <w:p w14:paraId="032D1E67" w14:textId="77777777" w:rsidR="00136648" w:rsidRPr="00C35573" w:rsidRDefault="00136648" w:rsidP="00C35573">
            <w:pPr>
              <w:pStyle w:val="TableHeaders"/>
              <w:rPr>
                <w:b w:val="0"/>
                <w:bCs/>
              </w:rPr>
            </w:pPr>
            <w:r w:rsidRPr="00C35573">
              <w:rPr>
                <w:bCs/>
              </w:rPr>
              <w:t>Two-Star Percent </w:t>
            </w:r>
          </w:p>
        </w:tc>
        <w:tc>
          <w:tcPr>
            <w:tcW w:w="1202" w:type="dxa"/>
            <w:shd w:val="clear" w:color="auto" w:fill="B8CCE4" w:themeFill="accent1" w:themeFillTint="66"/>
            <w:hideMark/>
          </w:tcPr>
          <w:p w14:paraId="74F4103C" w14:textId="77777777" w:rsidR="00136648" w:rsidRPr="00C35573" w:rsidRDefault="00136648" w:rsidP="00C35573">
            <w:pPr>
              <w:pStyle w:val="TableHeaders"/>
              <w:rPr>
                <w:b w:val="0"/>
                <w:bCs/>
              </w:rPr>
            </w:pPr>
            <w:r w:rsidRPr="00C35573">
              <w:rPr>
                <w:bCs/>
              </w:rPr>
              <w:t>Three-Star </w:t>
            </w:r>
          </w:p>
        </w:tc>
        <w:tc>
          <w:tcPr>
            <w:tcW w:w="1140" w:type="dxa"/>
            <w:shd w:val="clear" w:color="auto" w:fill="B8CCE4" w:themeFill="accent1" w:themeFillTint="66"/>
            <w:hideMark/>
          </w:tcPr>
          <w:p w14:paraId="521FBE31" w14:textId="77777777" w:rsidR="00136648" w:rsidRPr="00C35573" w:rsidRDefault="00136648" w:rsidP="00C35573">
            <w:pPr>
              <w:pStyle w:val="TableHeaders"/>
              <w:rPr>
                <w:b w:val="0"/>
                <w:bCs/>
              </w:rPr>
            </w:pPr>
            <w:r w:rsidRPr="00C35573">
              <w:rPr>
                <w:bCs/>
              </w:rPr>
              <w:t>Three-Star Percent </w:t>
            </w:r>
          </w:p>
        </w:tc>
        <w:tc>
          <w:tcPr>
            <w:tcW w:w="1241" w:type="dxa"/>
            <w:shd w:val="clear" w:color="auto" w:fill="B8CCE4" w:themeFill="accent1" w:themeFillTint="66"/>
            <w:hideMark/>
          </w:tcPr>
          <w:p w14:paraId="26D03A0A" w14:textId="77777777" w:rsidR="00136648" w:rsidRPr="00C35573" w:rsidRDefault="00136648" w:rsidP="00C35573">
            <w:pPr>
              <w:pStyle w:val="TableHeaders"/>
              <w:rPr>
                <w:b w:val="0"/>
                <w:bCs/>
              </w:rPr>
            </w:pPr>
            <w:r w:rsidRPr="00C35573">
              <w:rPr>
                <w:bCs/>
              </w:rPr>
              <w:t>Four-Star </w:t>
            </w:r>
          </w:p>
        </w:tc>
        <w:tc>
          <w:tcPr>
            <w:tcW w:w="1370" w:type="dxa"/>
            <w:shd w:val="clear" w:color="auto" w:fill="B8CCE4" w:themeFill="accent1" w:themeFillTint="66"/>
            <w:hideMark/>
          </w:tcPr>
          <w:p w14:paraId="1D4F5C1D" w14:textId="77777777" w:rsidR="00136648" w:rsidRPr="00C35573" w:rsidRDefault="00136648" w:rsidP="00C35573">
            <w:pPr>
              <w:pStyle w:val="TableHeaders"/>
              <w:rPr>
                <w:b w:val="0"/>
                <w:bCs/>
              </w:rPr>
            </w:pPr>
            <w:r w:rsidRPr="00C35573">
              <w:rPr>
                <w:bCs/>
              </w:rPr>
              <w:t>Four-Star Percent </w:t>
            </w:r>
          </w:p>
        </w:tc>
        <w:tc>
          <w:tcPr>
            <w:tcW w:w="1164" w:type="dxa"/>
            <w:shd w:val="clear" w:color="auto" w:fill="B8CCE4" w:themeFill="accent1" w:themeFillTint="66"/>
            <w:hideMark/>
          </w:tcPr>
          <w:p w14:paraId="088D8D25" w14:textId="77777777" w:rsidR="00136648" w:rsidRPr="00C35573" w:rsidRDefault="00136648" w:rsidP="00C35573">
            <w:pPr>
              <w:pStyle w:val="TableHeaders"/>
              <w:rPr>
                <w:b w:val="0"/>
                <w:bCs/>
              </w:rPr>
            </w:pPr>
            <w:r w:rsidRPr="00C35573">
              <w:rPr>
                <w:bCs/>
              </w:rPr>
              <w:t>Total  </w:t>
            </w:r>
          </w:p>
          <w:p w14:paraId="396C784B" w14:textId="77777777" w:rsidR="00136648" w:rsidRPr="00C35573" w:rsidRDefault="00136648" w:rsidP="00C35573">
            <w:pPr>
              <w:pStyle w:val="TableHeaders"/>
              <w:rPr>
                <w:b w:val="0"/>
                <w:bCs/>
              </w:rPr>
            </w:pPr>
            <w:r w:rsidRPr="00C35573">
              <w:rPr>
                <w:bCs/>
              </w:rPr>
              <w:t>TRS </w:t>
            </w:r>
          </w:p>
        </w:tc>
      </w:tr>
      <w:tr w:rsidR="000C6191" w:rsidRPr="00136648" w14:paraId="547D4841" w14:textId="77777777" w:rsidTr="000C6191">
        <w:trPr>
          <w:trHeight w:val="300"/>
        </w:trPr>
        <w:tc>
          <w:tcPr>
            <w:tcW w:w="867" w:type="dxa"/>
            <w:vAlign w:val="center"/>
            <w:hideMark/>
          </w:tcPr>
          <w:p w14:paraId="373C44D7" w14:textId="77777777" w:rsidR="00136648" w:rsidRPr="00136648" w:rsidRDefault="00136648" w:rsidP="005949DB">
            <w:pPr>
              <w:pStyle w:val="TableText"/>
            </w:pPr>
            <w:r w:rsidRPr="00136648">
              <w:t>BCY15 </w:t>
            </w:r>
          </w:p>
        </w:tc>
        <w:tc>
          <w:tcPr>
            <w:tcW w:w="1264" w:type="dxa"/>
            <w:vAlign w:val="center"/>
            <w:hideMark/>
          </w:tcPr>
          <w:p w14:paraId="1E29BC35" w14:textId="77777777" w:rsidR="00136648" w:rsidRPr="00136648" w:rsidRDefault="00136648" w:rsidP="005949DB">
            <w:pPr>
              <w:pStyle w:val="TableText"/>
              <w:jc w:val="right"/>
            </w:pPr>
            <w:r w:rsidRPr="00136648">
              <w:t>27,093 </w:t>
            </w:r>
          </w:p>
        </w:tc>
        <w:tc>
          <w:tcPr>
            <w:tcW w:w="1102" w:type="dxa"/>
            <w:vAlign w:val="center"/>
            <w:hideMark/>
          </w:tcPr>
          <w:p w14:paraId="4225F766" w14:textId="77777777" w:rsidR="00136648" w:rsidRPr="00136648" w:rsidRDefault="00136648" w:rsidP="005949DB">
            <w:pPr>
              <w:pStyle w:val="TableText"/>
              <w:jc w:val="right"/>
            </w:pPr>
            <w:r w:rsidRPr="00136648">
              <w:t>21.1% </w:t>
            </w:r>
          </w:p>
        </w:tc>
        <w:tc>
          <w:tcPr>
            <w:tcW w:w="1202" w:type="dxa"/>
            <w:vAlign w:val="center"/>
            <w:hideMark/>
          </w:tcPr>
          <w:p w14:paraId="4590DC18" w14:textId="77777777" w:rsidR="00136648" w:rsidRPr="00136648" w:rsidRDefault="00136648" w:rsidP="005949DB">
            <w:pPr>
              <w:pStyle w:val="TableText"/>
              <w:jc w:val="right"/>
            </w:pPr>
            <w:r w:rsidRPr="00136648">
              <w:t>24,015 </w:t>
            </w:r>
          </w:p>
        </w:tc>
        <w:tc>
          <w:tcPr>
            <w:tcW w:w="1140" w:type="dxa"/>
            <w:vAlign w:val="center"/>
            <w:hideMark/>
          </w:tcPr>
          <w:p w14:paraId="61586EF7" w14:textId="77777777" w:rsidR="00136648" w:rsidRPr="00136648" w:rsidRDefault="00136648" w:rsidP="005949DB">
            <w:pPr>
              <w:pStyle w:val="TableText"/>
              <w:jc w:val="right"/>
            </w:pPr>
            <w:r w:rsidRPr="00136648">
              <w:t>18.7% </w:t>
            </w:r>
          </w:p>
        </w:tc>
        <w:tc>
          <w:tcPr>
            <w:tcW w:w="1241" w:type="dxa"/>
            <w:vAlign w:val="center"/>
            <w:hideMark/>
          </w:tcPr>
          <w:p w14:paraId="18A5E94D" w14:textId="77777777" w:rsidR="00136648" w:rsidRPr="00136648" w:rsidRDefault="00136648" w:rsidP="005949DB">
            <w:pPr>
              <w:pStyle w:val="TableText"/>
              <w:jc w:val="right"/>
            </w:pPr>
            <w:r w:rsidRPr="00136648">
              <w:t>77,470 </w:t>
            </w:r>
          </w:p>
        </w:tc>
        <w:tc>
          <w:tcPr>
            <w:tcW w:w="1370" w:type="dxa"/>
            <w:vAlign w:val="center"/>
            <w:hideMark/>
          </w:tcPr>
          <w:p w14:paraId="2FF3F435" w14:textId="77777777" w:rsidR="00136648" w:rsidRPr="00136648" w:rsidRDefault="00136648" w:rsidP="005949DB">
            <w:pPr>
              <w:pStyle w:val="TableText"/>
              <w:jc w:val="right"/>
            </w:pPr>
            <w:r w:rsidRPr="00136648">
              <w:t>60.3% </w:t>
            </w:r>
          </w:p>
        </w:tc>
        <w:tc>
          <w:tcPr>
            <w:tcW w:w="1164" w:type="dxa"/>
            <w:vAlign w:val="center"/>
            <w:hideMark/>
          </w:tcPr>
          <w:p w14:paraId="3CEC68CD" w14:textId="77777777" w:rsidR="00136648" w:rsidRPr="00136648" w:rsidRDefault="00136648" w:rsidP="005949DB">
            <w:pPr>
              <w:pStyle w:val="TableText"/>
              <w:jc w:val="right"/>
            </w:pPr>
            <w:r w:rsidRPr="00136648">
              <w:t>128,578 </w:t>
            </w:r>
          </w:p>
        </w:tc>
      </w:tr>
      <w:tr w:rsidR="000C6191" w:rsidRPr="00136648" w14:paraId="01B3961A" w14:textId="77777777" w:rsidTr="000C6191">
        <w:trPr>
          <w:trHeight w:val="300"/>
        </w:trPr>
        <w:tc>
          <w:tcPr>
            <w:tcW w:w="867" w:type="dxa"/>
            <w:vAlign w:val="center"/>
            <w:hideMark/>
          </w:tcPr>
          <w:p w14:paraId="6549BFE6" w14:textId="77777777" w:rsidR="00136648" w:rsidRPr="00136648" w:rsidRDefault="00136648" w:rsidP="005949DB">
            <w:pPr>
              <w:pStyle w:val="TableText"/>
            </w:pPr>
            <w:r w:rsidRPr="00136648">
              <w:t>BCY16 </w:t>
            </w:r>
          </w:p>
        </w:tc>
        <w:tc>
          <w:tcPr>
            <w:tcW w:w="1264" w:type="dxa"/>
            <w:vAlign w:val="center"/>
            <w:hideMark/>
          </w:tcPr>
          <w:p w14:paraId="5953D609" w14:textId="77777777" w:rsidR="00136648" w:rsidRPr="00136648" w:rsidRDefault="00136648" w:rsidP="005949DB">
            <w:pPr>
              <w:pStyle w:val="TableText"/>
              <w:jc w:val="right"/>
            </w:pPr>
            <w:r w:rsidRPr="00136648">
              <w:t>38,835 </w:t>
            </w:r>
          </w:p>
        </w:tc>
        <w:tc>
          <w:tcPr>
            <w:tcW w:w="1102" w:type="dxa"/>
            <w:vAlign w:val="center"/>
            <w:hideMark/>
          </w:tcPr>
          <w:p w14:paraId="0046FE4D" w14:textId="77777777" w:rsidR="00136648" w:rsidRPr="00136648" w:rsidRDefault="00136648" w:rsidP="005949DB">
            <w:pPr>
              <w:pStyle w:val="TableText"/>
              <w:jc w:val="right"/>
            </w:pPr>
            <w:r w:rsidRPr="00136648">
              <w:t>34.3% </w:t>
            </w:r>
          </w:p>
        </w:tc>
        <w:tc>
          <w:tcPr>
            <w:tcW w:w="1202" w:type="dxa"/>
            <w:vAlign w:val="center"/>
            <w:hideMark/>
          </w:tcPr>
          <w:p w14:paraId="3E967A15" w14:textId="77777777" w:rsidR="00136648" w:rsidRPr="00136648" w:rsidRDefault="00136648" w:rsidP="005949DB">
            <w:pPr>
              <w:pStyle w:val="TableText"/>
              <w:jc w:val="right"/>
            </w:pPr>
            <w:r w:rsidRPr="00136648">
              <w:t>31,696 </w:t>
            </w:r>
          </w:p>
        </w:tc>
        <w:tc>
          <w:tcPr>
            <w:tcW w:w="1140" w:type="dxa"/>
            <w:vAlign w:val="center"/>
            <w:hideMark/>
          </w:tcPr>
          <w:p w14:paraId="2DD6549E" w14:textId="77777777" w:rsidR="00136648" w:rsidRPr="00136648" w:rsidRDefault="00136648" w:rsidP="005949DB">
            <w:pPr>
              <w:pStyle w:val="TableText"/>
              <w:jc w:val="right"/>
            </w:pPr>
            <w:r w:rsidRPr="00136648">
              <w:t>28.0% </w:t>
            </w:r>
          </w:p>
        </w:tc>
        <w:tc>
          <w:tcPr>
            <w:tcW w:w="1241" w:type="dxa"/>
            <w:vAlign w:val="center"/>
            <w:hideMark/>
          </w:tcPr>
          <w:p w14:paraId="12790339" w14:textId="77777777" w:rsidR="00136648" w:rsidRPr="00136648" w:rsidRDefault="00136648" w:rsidP="005949DB">
            <w:pPr>
              <w:pStyle w:val="TableText"/>
              <w:jc w:val="right"/>
            </w:pPr>
            <w:r w:rsidRPr="00136648">
              <w:t>42,840 </w:t>
            </w:r>
          </w:p>
        </w:tc>
        <w:tc>
          <w:tcPr>
            <w:tcW w:w="1370" w:type="dxa"/>
            <w:vAlign w:val="center"/>
            <w:hideMark/>
          </w:tcPr>
          <w:p w14:paraId="477D62AB" w14:textId="77777777" w:rsidR="00136648" w:rsidRPr="00136648" w:rsidRDefault="00136648" w:rsidP="005949DB">
            <w:pPr>
              <w:pStyle w:val="TableText"/>
              <w:jc w:val="right"/>
            </w:pPr>
            <w:r w:rsidRPr="00136648">
              <w:t>37.8% </w:t>
            </w:r>
          </w:p>
        </w:tc>
        <w:tc>
          <w:tcPr>
            <w:tcW w:w="1164" w:type="dxa"/>
            <w:vAlign w:val="center"/>
            <w:hideMark/>
          </w:tcPr>
          <w:p w14:paraId="303F2678" w14:textId="77777777" w:rsidR="00136648" w:rsidRPr="00136648" w:rsidRDefault="00136648" w:rsidP="005949DB">
            <w:pPr>
              <w:pStyle w:val="TableText"/>
              <w:jc w:val="right"/>
            </w:pPr>
            <w:r w:rsidRPr="00136648">
              <w:t>113,371 </w:t>
            </w:r>
          </w:p>
        </w:tc>
      </w:tr>
      <w:tr w:rsidR="000C6191" w:rsidRPr="00136648" w14:paraId="26F24CAC" w14:textId="77777777" w:rsidTr="000C6191">
        <w:trPr>
          <w:trHeight w:val="300"/>
        </w:trPr>
        <w:tc>
          <w:tcPr>
            <w:tcW w:w="867" w:type="dxa"/>
            <w:vAlign w:val="center"/>
            <w:hideMark/>
          </w:tcPr>
          <w:p w14:paraId="61920204" w14:textId="77777777" w:rsidR="00136648" w:rsidRPr="00136648" w:rsidRDefault="00136648" w:rsidP="005949DB">
            <w:pPr>
              <w:pStyle w:val="TableText"/>
            </w:pPr>
            <w:r w:rsidRPr="00136648">
              <w:t>BCY17 </w:t>
            </w:r>
          </w:p>
        </w:tc>
        <w:tc>
          <w:tcPr>
            <w:tcW w:w="1264" w:type="dxa"/>
            <w:vAlign w:val="center"/>
            <w:hideMark/>
          </w:tcPr>
          <w:p w14:paraId="3964317E" w14:textId="77777777" w:rsidR="00136648" w:rsidRPr="00136648" w:rsidRDefault="00136648" w:rsidP="005949DB">
            <w:pPr>
              <w:pStyle w:val="TableText"/>
              <w:jc w:val="right"/>
            </w:pPr>
            <w:r w:rsidRPr="00136648">
              <w:t>35,882 </w:t>
            </w:r>
          </w:p>
        </w:tc>
        <w:tc>
          <w:tcPr>
            <w:tcW w:w="1102" w:type="dxa"/>
            <w:vAlign w:val="center"/>
            <w:hideMark/>
          </w:tcPr>
          <w:p w14:paraId="53CB77AE" w14:textId="77777777" w:rsidR="00136648" w:rsidRPr="00136648" w:rsidRDefault="00136648" w:rsidP="005949DB">
            <w:pPr>
              <w:pStyle w:val="TableText"/>
              <w:jc w:val="right"/>
            </w:pPr>
            <w:r w:rsidRPr="00136648">
              <w:t>28.4% </w:t>
            </w:r>
          </w:p>
        </w:tc>
        <w:tc>
          <w:tcPr>
            <w:tcW w:w="1202" w:type="dxa"/>
            <w:vAlign w:val="center"/>
            <w:hideMark/>
          </w:tcPr>
          <w:p w14:paraId="3FBB1DEF" w14:textId="77777777" w:rsidR="00136648" w:rsidRPr="00136648" w:rsidRDefault="00136648" w:rsidP="005949DB">
            <w:pPr>
              <w:pStyle w:val="TableText"/>
              <w:jc w:val="right"/>
            </w:pPr>
            <w:r w:rsidRPr="00136648">
              <w:t>34,437 </w:t>
            </w:r>
          </w:p>
        </w:tc>
        <w:tc>
          <w:tcPr>
            <w:tcW w:w="1140" w:type="dxa"/>
            <w:vAlign w:val="center"/>
            <w:hideMark/>
          </w:tcPr>
          <w:p w14:paraId="08783DDB" w14:textId="77777777" w:rsidR="00136648" w:rsidRPr="00136648" w:rsidRDefault="00136648" w:rsidP="005949DB">
            <w:pPr>
              <w:pStyle w:val="TableText"/>
              <w:jc w:val="right"/>
            </w:pPr>
            <w:r w:rsidRPr="00136648">
              <w:t>27.3% </w:t>
            </w:r>
          </w:p>
        </w:tc>
        <w:tc>
          <w:tcPr>
            <w:tcW w:w="1241" w:type="dxa"/>
            <w:vAlign w:val="center"/>
            <w:hideMark/>
          </w:tcPr>
          <w:p w14:paraId="07E9C0D8" w14:textId="77777777" w:rsidR="00136648" w:rsidRPr="00136648" w:rsidRDefault="00136648" w:rsidP="005949DB">
            <w:pPr>
              <w:pStyle w:val="TableText"/>
              <w:jc w:val="right"/>
            </w:pPr>
            <w:r w:rsidRPr="00136648">
              <w:t>55,897 </w:t>
            </w:r>
          </w:p>
        </w:tc>
        <w:tc>
          <w:tcPr>
            <w:tcW w:w="1370" w:type="dxa"/>
            <w:vAlign w:val="center"/>
            <w:hideMark/>
          </w:tcPr>
          <w:p w14:paraId="2D97E07B" w14:textId="77777777" w:rsidR="00136648" w:rsidRPr="00136648" w:rsidRDefault="00136648" w:rsidP="005949DB">
            <w:pPr>
              <w:pStyle w:val="TableText"/>
              <w:jc w:val="right"/>
            </w:pPr>
            <w:r w:rsidRPr="00136648">
              <w:t>44.3% </w:t>
            </w:r>
          </w:p>
        </w:tc>
        <w:tc>
          <w:tcPr>
            <w:tcW w:w="1164" w:type="dxa"/>
            <w:vAlign w:val="center"/>
            <w:hideMark/>
          </w:tcPr>
          <w:p w14:paraId="368BA97F" w14:textId="77777777" w:rsidR="00136648" w:rsidRPr="00136648" w:rsidRDefault="00136648" w:rsidP="005949DB">
            <w:pPr>
              <w:pStyle w:val="TableText"/>
              <w:jc w:val="right"/>
            </w:pPr>
            <w:r w:rsidRPr="00136648">
              <w:t>126,216 </w:t>
            </w:r>
          </w:p>
        </w:tc>
      </w:tr>
      <w:tr w:rsidR="000C6191" w:rsidRPr="00136648" w14:paraId="240E20E1" w14:textId="77777777" w:rsidTr="000C6191">
        <w:trPr>
          <w:trHeight w:val="300"/>
        </w:trPr>
        <w:tc>
          <w:tcPr>
            <w:tcW w:w="867" w:type="dxa"/>
            <w:vAlign w:val="center"/>
            <w:hideMark/>
          </w:tcPr>
          <w:p w14:paraId="38742CAA" w14:textId="77777777" w:rsidR="00136648" w:rsidRPr="00136648" w:rsidRDefault="00136648" w:rsidP="005949DB">
            <w:pPr>
              <w:pStyle w:val="TableText"/>
            </w:pPr>
            <w:r w:rsidRPr="00136648">
              <w:t>BCY18 </w:t>
            </w:r>
          </w:p>
        </w:tc>
        <w:tc>
          <w:tcPr>
            <w:tcW w:w="1264" w:type="dxa"/>
            <w:vAlign w:val="center"/>
            <w:hideMark/>
          </w:tcPr>
          <w:p w14:paraId="5BE248DA" w14:textId="77777777" w:rsidR="00136648" w:rsidRPr="00136648" w:rsidRDefault="00136648" w:rsidP="005949DB">
            <w:pPr>
              <w:pStyle w:val="TableText"/>
              <w:jc w:val="right"/>
            </w:pPr>
            <w:r w:rsidRPr="00136648">
              <w:t>38,229 </w:t>
            </w:r>
          </w:p>
        </w:tc>
        <w:tc>
          <w:tcPr>
            <w:tcW w:w="1102" w:type="dxa"/>
            <w:vAlign w:val="center"/>
            <w:hideMark/>
          </w:tcPr>
          <w:p w14:paraId="1311BDE5" w14:textId="77777777" w:rsidR="00136648" w:rsidRPr="00136648" w:rsidRDefault="00136648" w:rsidP="005949DB">
            <w:pPr>
              <w:pStyle w:val="TableText"/>
              <w:jc w:val="right"/>
            </w:pPr>
            <w:r w:rsidRPr="00136648">
              <w:t>24.2% </w:t>
            </w:r>
          </w:p>
        </w:tc>
        <w:tc>
          <w:tcPr>
            <w:tcW w:w="1202" w:type="dxa"/>
            <w:vAlign w:val="center"/>
            <w:hideMark/>
          </w:tcPr>
          <w:p w14:paraId="2AAEC6D8" w14:textId="77777777" w:rsidR="00136648" w:rsidRPr="00136648" w:rsidRDefault="00136648" w:rsidP="005949DB">
            <w:pPr>
              <w:pStyle w:val="TableText"/>
              <w:jc w:val="right"/>
            </w:pPr>
            <w:r w:rsidRPr="00136648">
              <w:t>41,884 </w:t>
            </w:r>
          </w:p>
        </w:tc>
        <w:tc>
          <w:tcPr>
            <w:tcW w:w="1140" w:type="dxa"/>
            <w:vAlign w:val="center"/>
            <w:hideMark/>
          </w:tcPr>
          <w:p w14:paraId="0E0F1F58" w14:textId="77777777" w:rsidR="00136648" w:rsidRPr="00136648" w:rsidRDefault="00136648" w:rsidP="005949DB">
            <w:pPr>
              <w:pStyle w:val="TableText"/>
              <w:jc w:val="right"/>
            </w:pPr>
            <w:r w:rsidRPr="00136648">
              <w:t>26.5% </w:t>
            </w:r>
          </w:p>
        </w:tc>
        <w:tc>
          <w:tcPr>
            <w:tcW w:w="1241" w:type="dxa"/>
            <w:vAlign w:val="center"/>
            <w:hideMark/>
          </w:tcPr>
          <w:p w14:paraId="75322265" w14:textId="77777777" w:rsidR="00136648" w:rsidRPr="00136648" w:rsidRDefault="00136648" w:rsidP="005949DB">
            <w:pPr>
              <w:pStyle w:val="TableText"/>
              <w:jc w:val="right"/>
            </w:pPr>
            <w:r w:rsidRPr="00136648">
              <w:t>78,050 </w:t>
            </w:r>
          </w:p>
        </w:tc>
        <w:tc>
          <w:tcPr>
            <w:tcW w:w="1370" w:type="dxa"/>
            <w:vAlign w:val="center"/>
            <w:hideMark/>
          </w:tcPr>
          <w:p w14:paraId="1F5E7C12" w14:textId="77777777" w:rsidR="00136648" w:rsidRPr="00136648" w:rsidRDefault="00136648" w:rsidP="005949DB">
            <w:pPr>
              <w:pStyle w:val="TableText"/>
              <w:jc w:val="right"/>
            </w:pPr>
            <w:r w:rsidRPr="00136648">
              <w:t>49.3% </w:t>
            </w:r>
          </w:p>
        </w:tc>
        <w:tc>
          <w:tcPr>
            <w:tcW w:w="1164" w:type="dxa"/>
            <w:vAlign w:val="center"/>
            <w:hideMark/>
          </w:tcPr>
          <w:p w14:paraId="06CA904A" w14:textId="77777777" w:rsidR="00136648" w:rsidRPr="00136648" w:rsidRDefault="00136648" w:rsidP="005949DB">
            <w:pPr>
              <w:pStyle w:val="TableText"/>
              <w:jc w:val="right"/>
            </w:pPr>
            <w:r w:rsidRPr="00136648">
              <w:t>158,163 </w:t>
            </w:r>
          </w:p>
        </w:tc>
      </w:tr>
      <w:tr w:rsidR="000C6191" w:rsidRPr="00136648" w14:paraId="71FAFDC1" w14:textId="77777777" w:rsidTr="000C6191">
        <w:trPr>
          <w:trHeight w:val="300"/>
        </w:trPr>
        <w:tc>
          <w:tcPr>
            <w:tcW w:w="867" w:type="dxa"/>
            <w:vAlign w:val="center"/>
            <w:hideMark/>
          </w:tcPr>
          <w:p w14:paraId="4D1021D8" w14:textId="77777777" w:rsidR="00136648" w:rsidRPr="00136648" w:rsidRDefault="00136648" w:rsidP="005949DB">
            <w:pPr>
              <w:pStyle w:val="TableText"/>
            </w:pPr>
            <w:r w:rsidRPr="00136648">
              <w:t>BCY19 </w:t>
            </w:r>
          </w:p>
        </w:tc>
        <w:tc>
          <w:tcPr>
            <w:tcW w:w="1264" w:type="dxa"/>
            <w:vAlign w:val="center"/>
            <w:hideMark/>
          </w:tcPr>
          <w:p w14:paraId="7EEF2798" w14:textId="77777777" w:rsidR="00136648" w:rsidRPr="00136648" w:rsidRDefault="00136648" w:rsidP="005949DB">
            <w:pPr>
              <w:pStyle w:val="TableText"/>
              <w:jc w:val="right"/>
            </w:pPr>
            <w:r w:rsidRPr="00136648">
              <w:t>36,953 </w:t>
            </w:r>
          </w:p>
        </w:tc>
        <w:tc>
          <w:tcPr>
            <w:tcW w:w="1102" w:type="dxa"/>
            <w:vAlign w:val="center"/>
            <w:hideMark/>
          </w:tcPr>
          <w:p w14:paraId="37CEE10A" w14:textId="77777777" w:rsidR="00136648" w:rsidRPr="00136648" w:rsidRDefault="00136648" w:rsidP="005949DB">
            <w:pPr>
              <w:pStyle w:val="TableText"/>
              <w:jc w:val="right"/>
            </w:pPr>
            <w:r w:rsidRPr="00136648">
              <w:t>18.3% </w:t>
            </w:r>
          </w:p>
        </w:tc>
        <w:tc>
          <w:tcPr>
            <w:tcW w:w="1202" w:type="dxa"/>
            <w:vAlign w:val="center"/>
            <w:hideMark/>
          </w:tcPr>
          <w:p w14:paraId="169C08FD" w14:textId="77777777" w:rsidR="00136648" w:rsidRPr="00136648" w:rsidRDefault="00136648" w:rsidP="005949DB">
            <w:pPr>
              <w:pStyle w:val="TableText"/>
              <w:jc w:val="right"/>
            </w:pPr>
            <w:r w:rsidRPr="00136648">
              <w:t>56,382 </w:t>
            </w:r>
          </w:p>
        </w:tc>
        <w:tc>
          <w:tcPr>
            <w:tcW w:w="1140" w:type="dxa"/>
            <w:vAlign w:val="center"/>
            <w:hideMark/>
          </w:tcPr>
          <w:p w14:paraId="7B1188E7" w14:textId="77777777" w:rsidR="00136648" w:rsidRPr="00136648" w:rsidRDefault="00136648" w:rsidP="005949DB">
            <w:pPr>
              <w:pStyle w:val="TableText"/>
              <w:jc w:val="right"/>
            </w:pPr>
            <w:r w:rsidRPr="00136648">
              <w:t>27.9% </w:t>
            </w:r>
          </w:p>
        </w:tc>
        <w:tc>
          <w:tcPr>
            <w:tcW w:w="1241" w:type="dxa"/>
            <w:vAlign w:val="center"/>
            <w:hideMark/>
          </w:tcPr>
          <w:p w14:paraId="6ABE128E" w14:textId="77777777" w:rsidR="00136648" w:rsidRPr="00136648" w:rsidRDefault="00136648" w:rsidP="005949DB">
            <w:pPr>
              <w:pStyle w:val="TableText"/>
              <w:jc w:val="right"/>
            </w:pPr>
            <w:r w:rsidRPr="00136648">
              <w:t>108,546 </w:t>
            </w:r>
          </w:p>
        </w:tc>
        <w:tc>
          <w:tcPr>
            <w:tcW w:w="1370" w:type="dxa"/>
            <w:vAlign w:val="center"/>
            <w:hideMark/>
          </w:tcPr>
          <w:p w14:paraId="18DACF8B" w14:textId="77777777" w:rsidR="00136648" w:rsidRPr="00136648" w:rsidRDefault="00136648" w:rsidP="005949DB">
            <w:pPr>
              <w:pStyle w:val="TableText"/>
              <w:jc w:val="right"/>
            </w:pPr>
            <w:r w:rsidRPr="00136648">
              <w:t>53.8% </w:t>
            </w:r>
          </w:p>
        </w:tc>
        <w:tc>
          <w:tcPr>
            <w:tcW w:w="1164" w:type="dxa"/>
            <w:vAlign w:val="center"/>
            <w:hideMark/>
          </w:tcPr>
          <w:p w14:paraId="1D58C7F0" w14:textId="77777777" w:rsidR="00136648" w:rsidRPr="00136648" w:rsidRDefault="00136648" w:rsidP="005949DB">
            <w:pPr>
              <w:pStyle w:val="TableText"/>
              <w:jc w:val="right"/>
            </w:pPr>
            <w:r w:rsidRPr="00136648">
              <w:t>201,881 </w:t>
            </w:r>
          </w:p>
        </w:tc>
      </w:tr>
      <w:tr w:rsidR="000C6191" w:rsidRPr="00136648" w14:paraId="3CCDAD3E" w14:textId="77777777" w:rsidTr="000C6191">
        <w:trPr>
          <w:trHeight w:val="300"/>
        </w:trPr>
        <w:tc>
          <w:tcPr>
            <w:tcW w:w="867" w:type="dxa"/>
            <w:vAlign w:val="center"/>
            <w:hideMark/>
          </w:tcPr>
          <w:p w14:paraId="44E5BE76" w14:textId="77777777" w:rsidR="00136648" w:rsidRPr="00136648" w:rsidRDefault="00136648" w:rsidP="005949DB">
            <w:pPr>
              <w:pStyle w:val="TableText"/>
            </w:pPr>
            <w:r w:rsidRPr="00136648">
              <w:t>BCY20 </w:t>
            </w:r>
          </w:p>
        </w:tc>
        <w:tc>
          <w:tcPr>
            <w:tcW w:w="1264" w:type="dxa"/>
            <w:vAlign w:val="center"/>
            <w:hideMark/>
          </w:tcPr>
          <w:p w14:paraId="3CC89DB1" w14:textId="77777777" w:rsidR="00136648" w:rsidRPr="00136648" w:rsidRDefault="00136648" w:rsidP="005949DB">
            <w:pPr>
              <w:pStyle w:val="TableText"/>
              <w:jc w:val="right"/>
            </w:pPr>
            <w:r w:rsidRPr="00136648">
              <w:t>33,374 </w:t>
            </w:r>
          </w:p>
        </w:tc>
        <w:tc>
          <w:tcPr>
            <w:tcW w:w="1102" w:type="dxa"/>
            <w:vAlign w:val="center"/>
            <w:hideMark/>
          </w:tcPr>
          <w:p w14:paraId="77566D8F" w14:textId="77777777" w:rsidR="00136648" w:rsidRPr="00136648" w:rsidRDefault="00136648" w:rsidP="005949DB">
            <w:pPr>
              <w:pStyle w:val="TableText"/>
              <w:jc w:val="right"/>
            </w:pPr>
            <w:r w:rsidRPr="00136648">
              <w:t>15.5% </w:t>
            </w:r>
          </w:p>
        </w:tc>
        <w:tc>
          <w:tcPr>
            <w:tcW w:w="1202" w:type="dxa"/>
            <w:vAlign w:val="center"/>
            <w:hideMark/>
          </w:tcPr>
          <w:p w14:paraId="49B5F41F" w14:textId="77777777" w:rsidR="00136648" w:rsidRPr="00136648" w:rsidRDefault="00136648" w:rsidP="005949DB">
            <w:pPr>
              <w:pStyle w:val="TableText"/>
              <w:jc w:val="right"/>
            </w:pPr>
            <w:r w:rsidRPr="00136648">
              <w:t>56,941 </w:t>
            </w:r>
          </w:p>
        </w:tc>
        <w:tc>
          <w:tcPr>
            <w:tcW w:w="1140" w:type="dxa"/>
            <w:vAlign w:val="center"/>
            <w:hideMark/>
          </w:tcPr>
          <w:p w14:paraId="646315C3" w14:textId="77777777" w:rsidR="00136648" w:rsidRPr="00136648" w:rsidRDefault="00136648" w:rsidP="005949DB">
            <w:pPr>
              <w:pStyle w:val="TableText"/>
              <w:jc w:val="right"/>
            </w:pPr>
            <w:r w:rsidRPr="00136648">
              <w:t>26.5% </w:t>
            </w:r>
          </w:p>
        </w:tc>
        <w:tc>
          <w:tcPr>
            <w:tcW w:w="1241" w:type="dxa"/>
            <w:vAlign w:val="center"/>
            <w:hideMark/>
          </w:tcPr>
          <w:p w14:paraId="4846C523" w14:textId="77777777" w:rsidR="00136648" w:rsidRPr="00136648" w:rsidRDefault="00136648" w:rsidP="005949DB">
            <w:pPr>
              <w:pStyle w:val="TableText"/>
              <w:jc w:val="right"/>
            </w:pPr>
            <w:r w:rsidRPr="00136648">
              <w:t>124,377 </w:t>
            </w:r>
          </w:p>
        </w:tc>
        <w:tc>
          <w:tcPr>
            <w:tcW w:w="1370" w:type="dxa"/>
            <w:vAlign w:val="center"/>
            <w:hideMark/>
          </w:tcPr>
          <w:p w14:paraId="5E05ADC0" w14:textId="77777777" w:rsidR="00136648" w:rsidRPr="00136648" w:rsidRDefault="00136648" w:rsidP="005949DB">
            <w:pPr>
              <w:pStyle w:val="TableText"/>
              <w:jc w:val="right"/>
            </w:pPr>
            <w:r w:rsidRPr="00136648">
              <w:t>57.9% </w:t>
            </w:r>
          </w:p>
        </w:tc>
        <w:tc>
          <w:tcPr>
            <w:tcW w:w="1164" w:type="dxa"/>
            <w:vAlign w:val="center"/>
            <w:hideMark/>
          </w:tcPr>
          <w:p w14:paraId="1AE77705" w14:textId="77777777" w:rsidR="00136648" w:rsidRPr="00136648" w:rsidRDefault="00136648" w:rsidP="005949DB">
            <w:pPr>
              <w:pStyle w:val="TableText"/>
              <w:jc w:val="right"/>
            </w:pPr>
            <w:r w:rsidRPr="00136648">
              <w:t>214,692 </w:t>
            </w:r>
          </w:p>
        </w:tc>
      </w:tr>
      <w:tr w:rsidR="000C6191" w:rsidRPr="00136648" w14:paraId="707CC8A3" w14:textId="77777777" w:rsidTr="000C6191">
        <w:trPr>
          <w:trHeight w:val="300"/>
        </w:trPr>
        <w:tc>
          <w:tcPr>
            <w:tcW w:w="867" w:type="dxa"/>
            <w:vAlign w:val="center"/>
            <w:hideMark/>
          </w:tcPr>
          <w:p w14:paraId="397C06BB" w14:textId="77777777" w:rsidR="00136648" w:rsidRPr="00136648" w:rsidRDefault="00136648" w:rsidP="005949DB">
            <w:pPr>
              <w:pStyle w:val="TableText"/>
            </w:pPr>
            <w:r w:rsidRPr="00136648">
              <w:t>BCY21 </w:t>
            </w:r>
          </w:p>
        </w:tc>
        <w:tc>
          <w:tcPr>
            <w:tcW w:w="1264" w:type="dxa"/>
            <w:vAlign w:val="center"/>
            <w:hideMark/>
          </w:tcPr>
          <w:p w14:paraId="661AFA4A" w14:textId="77777777" w:rsidR="00136648" w:rsidRPr="00136648" w:rsidRDefault="00136648" w:rsidP="005949DB">
            <w:pPr>
              <w:pStyle w:val="TableText"/>
              <w:jc w:val="right"/>
            </w:pPr>
            <w:r w:rsidRPr="00136648">
              <w:t>49,571 </w:t>
            </w:r>
          </w:p>
        </w:tc>
        <w:tc>
          <w:tcPr>
            <w:tcW w:w="1102" w:type="dxa"/>
            <w:vAlign w:val="center"/>
            <w:hideMark/>
          </w:tcPr>
          <w:p w14:paraId="3400D83A" w14:textId="77777777" w:rsidR="00136648" w:rsidRPr="00136648" w:rsidRDefault="00136648" w:rsidP="005949DB">
            <w:pPr>
              <w:pStyle w:val="TableText"/>
              <w:jc w:val="right"/>
            </w:pPr>
            <w:r w:rsidRPr="00136648">
              <w:t>21.8% </w:t>
            </w:r>
          </w:p>
        </w:tc>
        <w:tc>
          <w:tcPr>
            <w:tcW w:w="1202" w:type="dxa"/>
            <w:vAlign w:val="center"/>
            <w:hideMark/>
          </w:tcPr>
          <w:p w14:paraId="1F73FFC4" w14:textId="77777777" w:rsidR="00136648" w:rsidRPr="00136648" w:rsidRDefault="00136648" w:rsidP="005949DB">
            <w:pPr>
              <w:pStyle w:val="TableText"/>
              <w:jc w:val="right"/>
            </w:pPr>
            <w:r w:rsidRPr="00136648">
              <w:t>48,512 </w:t>
            </w:r>
          </w:p>
        </w:tc>
        <w:tc>
          <w:tcPr>
            <w:tcW w:w="1140" w:type="dxa"/>
            <w:vAlign w:val="center"/>
            <w:hideMark/>
          </w:tcPr>
          <w:p w14:paraId="4027BBC0" w14:textId="77777777" w:rsidR="00136648" w:rsidRPr="00136648" w:rsidRDefault="00136648" w:rsidP="005949DB">
            <w:pPr>
              <w:pStyle w:val="TableText"/>
              <w:jc w:val="right"/>
            </w:pPr>
            <w:r w:rsidRPr="00136648">
              <w:t>21.3% </w:t>
            </w:r>
          </w:p>
        </w:tc>
        <w:tc>
          <w:tcPr>
            <w:tcW w:w="1241" w:type="dxa"/>
            <w:vAlign w:val="center"/>
            <w:hideMark/>
          </w:tcPr>
          <w:p w14:paraId="4F5A7B68" w14:textId="77777777" w:rsidR="00136648" w:rsidRPr="00136648" w:rsidRDefault="00136648" w:rsidP="005949DB">
            <w:pPr>
              <w:pStyle w:val="TableText"/>
              <w:jc w:val="right"/>
            </w:pPr>
            <w:r w:rsidRPr="00136648">
              <w:t>129,654 </w:t>
            </w:r>
          </w:p>
        </w:tc>
        <w:tc>
          <w:tcPr>
            <w:tcW w:w="1370" w:type="dxa"/>
            <w:vAlign w:val="center"/>
            <w:hideMark/>
          </w:tcPr>
          <w:p w14:paraId="5D3D29A2" w14:textId="77777777" w:rsidR="00136648" w:rsidRPr="00136648" w:rsidRDefault="00136648" w:rsidP="005949DB">
            <w:pPr>
              <w:pStyle w:val="TableText"/>
              <w:jc w:val="right"/>
            </w:pPr>
            <w:r w:rsidRPr="00136648">
              <w:t>56.9% </w:t>
            </w:r>
          </w:p>
        </w:tc>
        <w:tc>
          <w:tcPr>
            <w:tcW w:w="1164" w:type="dxa"/>
            <w:vAlign w:val="center"/>
            <w:hideMark/>
          </w:tcPr>
          <w:p w14:paraId="0E73186D" w14:textId="77777777" w:rsidR="00136648" w:rsidRPr="00136648" w:rsidRDefault="00136648" w:rsidP="005949DB">
            <w:pPr>
              <w:pStyle w:val="TableText"/>
              <w:jc w:val="right"/>
            </w:pPr>
            <w:r w:rsidRPr="00136648">
              <w:t>227,737 </w:t>
            </w:r>
          </w:p>
        </w:tc>
      </w:tr>
      <w:tr w:rsidR="000C6191" w:rsidRPr="00136648" w14:paraId="6E98FC0B" w14:textId="77777777" w:rsidTr="000C6191">
        <w:trPr>
          <w:trHeight w:val="300"/>
        </w:trPr>
        <w:tc>
          <w:tcPr>
            <w:tcW w:w="867" w:type="dxa"/>
            <w:vAlign w:val="center"/>
            <w:hideMark/>
          </w:tcPr>
          <w:p w14:paraId="7E2A1A82" w14:textId="77777777" w:rsidR="00136648" w:rsidRPr="00136648" w:rsidRDefault="00136648" w:rsidP="005949DB">
            <w:pPr>
              <w:pStyle w:val="TableText"/>
            </w:pPr>
            <w:r w:rsidRPr="00136648">
              <w:t>BCY22 </w:t>
            </w:r>
          </w:p>
        </w:tc>
        <w:tc>
          <w:tcPr>
            <w:tcW w:w="1264" w:type="dxa"/>
            <w:vAlign w:val="center"/>
            <w:hideMark/>
          </w:tcPr>
          <w:p w14:paraId="3047F2D3" w14:textId="77777777" w:rsidR="00136648" w:rsidRPr="00136648" w:rsidRDefault="00136648" w:rsidP="005949DB">
            <w:pPr>
              <w:pStyle w:val="TableText"/>
              <w:jc w:val="right"/>
            </w:pPr>
            <w:r w:rsidRPr="00136648">
              <w:t>50,284 </w:t>
            </w:r>
          </w:p>
        </w:tc>
        <w:tc>
          <w:tcPr>
            <w:tcW w:w="1102" w:type="dxa"/>
            <w:vAlign w:val="center"/>
            <w:hideMark/>
          </w:tcPr>
          <w:p w14:paraId="533B5D65" w14:textId="77777777" w:rsidR="00136648" w:rsidRPr="00136648" w:rsidRDefault="00136648" w:rsidP="005949DB">
            <w:pPr>
              <w:pStyle w:val="TableText"/>
              <w:jc w:val="right"/>
            </w:pPr>
            <w:r w:rsidRPr="00136648">
              <w:t>16.9% </w:t>
            </w:r>
          </w:p>
        </w:tc>
        <w:tc>
          <w:tcPr>
            <w:tcW w:w="1202" w:type="dxa"/>
            <w:vAlign w:val="center"/>
            <w:hideMark/>
          </w:tcPr>
          <w:p w14:paraId="277AD63E" w14:textId="77777777" w:rsidR="00136648" w:rsidRPr="00136648" w:rsidRDefault="00136648" w:rsidP="005949DB">
            <w:pPr>
              <w:pStyle w:val="TableText"/>
              <w:jc w:val="right"/>
            </w:pPr>
            <w:r w:rsidRPr="00136648">
              <w:t>83,461 </w:t>
            </w:r>
          </w:p>
        </w:tc>
        <w:tc>
          <w:tcPr>
            <w:tcW w:w="1140" w:type="dxa"/>
            <w:vAlign w:val="center"/>
            <w:hideMark/>
          </w:tcPr>
          <w:p w14:paraId="2E79C73D" w14:textId="77777777" w:rsidR="00136648" w:rsidRPr="00136648" w:rsidRDefault="00136648" w:rsidP="005949DB">
            <w:pPr>
              <w:pStyle w:val="TableText"/>
              <w:jc w:val="right"/>
            </w:pPr>
            <w:r w:rsidRPr="00136648">
              <w:t>28.0% </w:t>
            </w:r>
          </w:p>
        </w:tc>
        <w:tc>
          <w:tcPr>
            <w:tcW w:w="1241" w:type="dxa"/>
            <w:vAlign w:val="center"/>
            <w:hideMark/>
          </w:tcPr>
          <w:p w14:paraId="10DD4A47" w14:textId="77777777" w:rsidR="00136648" w:rsidRPr="00136648" w:rsidRDefault="00136648" w:rsidP="005949DB">
            <w:pPr>
              <w:pStyle w:val="TableText"/>
              <w:jc w:val="right"/>
            </w:pPr>
            <w:r w:rsidRPr="00136648">
              <w:t>163,830 </w:t>
            </w:r>
          </w:p>
        </w:tc>
        <w:tc>
          <w:tcPr>
            <w:tcW w:w="1370" w:type="dxa"/>
            <w:vAlign w:val="center"/>
            <w:hideMark/>
          </w:tcPr>
          <w:p w14:paraId="1477347A" w14:textId="77777777" w:rsidR="00136648" w:rsidRPr="00136648" w:rsidRDefault="00136648" w:rsidP="005949DB">
            <w:pPr>
              <w:pStyle w:val="TableText"/>
              <w:jc w:val="right"/>
            </w:pPr>
            <w:r w:rsidRPr="00136648">
              <w:t>55.1% </w:t>
            </w:r>
          </w:p>
        </w:tc>
        <w:tc>
          <w:tcPr>
            <w:tcW w:w="1164" w:type="dxa"/>
            <w:vAlign w:val="center"/>
            <w:hideMark/>
          </w:tcPr>
          <w:p w14:paraId="3C24E604" w14:textId="77777777" w:rsidR="00136648" w:rsidRPr="00136648" w:rsidRDefault="00136648" w:rsidP="005949DB">
            <w:pPr>
              <w:pStyle w:val="TableText"/>
              <w:jc w:val="right"/>
            </w:pPr>
            <w:r w:rsidRPr="00136648">
              <w:t>297,575 </w:t>
            </w:r>
          </w:p>
        </w:tc>
      </w:tr>
      <w:tr w:rsidR="000C6191" w:rsidRPr="00136648" w14:paraId="2C7D519C" w14:textId="77777777" w:rsidTr="000C6191">
        <w:trPr>
          <w:trHeight w:val="300"/>
        </w:trPr>
        <w:tc>
          <w:tcPr>
            <w:tcW w:w="867" w:type="dxa"/>
            <w:vAlign w:val="center"/>
            <w:hideMark/>
          </w:tcPr>
          <w:p w14:paraId="7E0A34F8" w14:textId="77777777" w:rsidR="00136648" w:rsidRPr="00136648" w:rsidRDefault="00136648" w:rsidP="005949DB">
            <w:pPr>
              <w:pStyle w:val="TableText"/>
            </w:pPr>
            <w:r w:rsidRPr="00136648">
              <w:t>BCY23 </w:t>
            </w:r>
          </w:p>
        </w:tc>
        <w:tc>
          <w:tcPr>
            <w:tcW w:w="1264" w:type="dxa"/>
            <w:vAlign w:val="center"/>
            <w:hideMark/>
          </w:tcPr>
          <w:p w14:paraId="689EFB69" w14:textId="77777777" w:rsidR="00136648" w:rsidRPr="00136648" w:rsidRDefault="00136648" w:rsidP="005949DB">
            <w:pPr>
              <w:pStyle w:val="TableText"/>
              <w:jc w:val="right"/>
            </w:pPr>
            <w:r w:rsidRPr="00136648">
              <w:t>28,080 </w:t>
            </w:r>
          </w:p>
        </w:tc>
        <w:tc>
          <w:tcPr>
            <w:tcW w:w="1102" w:type="dxa"/>
            <w:vAlign w:val="center"/>
            <w:hideMark/>
          </w:tcPr>
          <w:p w14:paraId="361FEBF2" w14:textId="77777777" w:rsidR="00136648" w:rsidRPr="00136648" w:rsidRDefault="00136648" w:rsidP="005949DB">
            <w:pPr>
              <w:pStyle w:val="TableText"/>
              <w:jc w:val="right"/>
            </w:pPr>
            <w:r w:rsidRPr="00136648">
              <w:t>8.8% </w:t>
            </w:r>
          </w:p>
        </w:tc>
        <w:tc>
          <w:tcPr>
            <w:tcW w:w="1202" w:type="dxa"/>
            <w:vAlign w:val="center"/>
            <w:hideMark/>
          </w:tcPr>
          <w:p w14:paraId="01AB85F9" w14:textId="77777777" w:rsidR="00136648" w:rsidRPr="00136648" w:rsidRDefault="00136648" w:rsidP="005949DB">
            <w:pPr>
              <w:pStyle w:val="TableText"/>
              <w:jc w:val="right"/>
            </w:pPr>
            <w:r w:rsidRPr="00136648">
              <w:t>105,600 </w:t>
            </w:r>
          </w:p>
        </w:tc>
        <w:tc>
          <w:tcPr>
            <w:tcW w:w="1140" w:type="dxa"/>
            <w:vAlign w:val="center"/>
            <w:hideMark/>
          </w:tcPr>
          <w:p w14:paraId="2C3F59E1" w14:textId="77777777" w:rsidR="00136648" w:rsidRPr="00136648" w:rsidRDefault="00136648" w:rsidP="005949DB">
            <w:pPr>
              <w:pStyle w:val="TableText"/>
              <w:jc w:val="right"/>
            </w:pPr>
            <w:r w:rsidRPr="00136648">
              <w:t>33.2% </w:t>
            </w:r>
          </w:p>
        </w:tc>
        <w:tc>
          <w:tcPr>
            <w:tcW w:w="1241" w:type="dxa"/>
            <w:vAlign w:val="center"/>
            <w:hideMark/>
          </w:tcPr>
          <w:p w14:paraId="1567DDF7" w14:textId="77777777" w:rsidR="00136648" w:rsidRPr="00136648" w:rsidRDefault="00136648" w:rsidP="005949DB">
            <w:pPr>
              <w:pStyle w:val="TableText"/>
              <w:jc w:val="right"/>
            </w:pPr>
            <w:r w:rsidRPr="00136648">
              <w:t>183,976 </w:t>
            </w:r>
          </w:p>
        </w:tc>
        <w:tc>
          <w:tcPr>
            <w:tcW w:w="1370" w:type="dxa"/>
            <w:vAlign w:val="center"/>
            <w:hideMark/>
          </w:tcPr>
          <w:p w14:paraId="4CBB1350" w14:textId="77777777" w:rsidR="00136648" w:rsidRPr="00136648" w:rsidRDefault="00136648" w:rsidP="005949DB">
            <w:pPr>
              <w:pStyle w:val="TableText"/>
              <w:jc w:val="right"/>
            </w:pPr>
            <w:r w:rsidRPr="00136648">
              <w:t>57.9% </w:t>
            </w:r>
          </w:p>
        </w:tc>
        <w:tc>
          <w:tcPr>
            <w:tcW w:w="1164" w:type="dxa"/>
            <w:vAlign w:val="center"/>
            <w:hideMark/>
          </w:tcPr>
          <w:p w14:paraId="3FE0C1F3" w14:textId="77777777" w:rsidR="00136648" w:rsidRPr="00136648" w:rsidRDefault="00136648" w:rsidP="005949DB">
            <w:pPr>
              <w:pStyle w:val="TableText"/>
              <w:jc w:val="right"/>
            </w:pPr>
            <w:r w:rsidRPr="00136648">
              <w:t>317,656 </w:t>
            </w:r>
          </w:p>
        </w:tc>
      </w:tr>
      <w:tr w:rsidR="000C6191" w:rsidRPr="00136648" w14:paraId="0B1039EB" w14:textId="77777777" w:rsidTr="000C6191">
        <w:trPr>
          <w:trHeight w:val="300"/>
        </w:trPr>
        <w:tc>
          <w:tcPr>
            <w:tcW w:w="867" w:type="dxa"/>
            <w:vAlign w:val="center"/>
            <w:hideMark/>
          </w:tcPr>
          <w:p w14:paraId="5EB08857" w14:textId="77777777" w:rsidR="00136648" w:rsidRPr="00136648" w:rsidRDefault="00136648" w:rsidP="005949DB">
            <w:pPr>
              <w:pStyle w:val="TableText"/>
            </w:pPr>
            <w:r w:rsidRPr="00136648">
              <w:t>BCY24 </w:t>
            </w:r>
          </w:p>
        </w:tc>
        <w:tc>
          <w:tcPr>
            <w:tcW w:w="1264" w:type="dxa"/>
            <w:vAlign w:val="center"/>
            <w:hideMark/>
          </w:tcPr>
          <w:p w14:paraId="356B5410" w14:textId="77777777" w:rsidR="00136648" w:rsidRPr="00136648" w:rsidRDefault="00136648" w:rsidP="005949DB">
            <w:pPr>
              <w:pStyle w:val="TableText"/>
              <w:jc w:val="right"/>
            </w:pPr>
            <w:r w:rsidRPr="00136648">
              <w:t>48,187 </w:t>
            </w:r>
          </w:p>
        </w:tc>
        <w:tc>
          <w:tcPr>
            <w:tcW w:w="1102" w:type="dxa"/>
            <w:vAlign w:val="center"/>
            <w:hideMark/>
          </w:tcPr>
          <w:p w14:paraId="7184B736" w14:textId="77777777" w:rsidR="00136648" w:rsidRPr="00136648" w:rsidRDefault="00136648" w:rsidP="005949DB">
            <w:pPr>
              <w:pStyle w:val="TableText"/>
              <w:jc w:val="right"/>
            </w:pPr>
            <w:r w:rsidRPr="00136648">
              <w:t>11.6% </w:t>
            </w:r>
          </w:p>
        </w:tc>
        <w:tc>
          <w:tcPr>
            <w:tcW w:w="1202" w:type="dxa"/>
            <w:vAlign w:val="center"/>
            <w:hideMark/>
          </w:tcPr>
          <w:p w14:paraId="0B7584D0" w14:textId="77777777" w:rsidR="00136648" w:rsidRPr="00136648" w:rsidRDefault="00136648" w:rsidP="005949DB">
            <w:pPr>
              <w:pStyle w:val="TableText"/>
              <w:jc w:val="right"/>
            </w:pPr>
            <w:r w:rsidRPr="00136648">
              <w:t>159,130 </w:t>
            </w:r>
          </w:p>
        </w:tc>
        <w:tc>
          <w:tcPr>
            <w:tcW w:w="1140" w:type="dxa"/>
            <w:vAlign w:val="center"/>
            <w:hideMark/>
          </w:tcPr>
          <w:p w14:paraId="3674CC25" w14:textId="77777777" w:rsidR="00136648" w:rsidRPr="00136648" w:rsidRDefault="00136648" w:rsidP="005949DB">
            <w:pPr>
              <w:pStyle w:val="TableText"/>
              <w:jc w:val="right"/>
            </w:pPr>
            <w:r w:rsidRPr="00136648">
              <w:t>38.3% </w:t>
            </w:r>
          </w:p>
        </w:tc>
        <w:tc>
          <w:tcPr>
            <w:tcW w:w="1241" w:type="dxa"/>
            <w:vAlign w:val="center"/>
            <w:hideMark/>
          </w:tcPr>
          <w:p w14:paraId="39C88434" w14:textId="77777777" w:rsidR="00136648" w:rsidRPr="00136648" w:rsidRDefault="00136648" w:rsidP="005949DB">
            <w:pPr>
              <w:pStyle w:val="TableText"/>
              <w:jc w:val="right"/>
            </w:pPr>
            <w:r w:rsidRPr="00136648">
              <w:t>207,969 </w:t>
            </w:r>
          </w:p>
        </w:tc>
        <w:tc>
          <w:tcPr>
            <w:tcW w:w="1370" w:type="dxa"/>
            <w:vAlign w:val="center"/>
            <w:hideMark/>
          </w:tcPr>
          <w:p w14:paraId="5C8493C8" w14:textId="77777777" w:rsidR="00136648" w:rsidRPr="00136648" w:rsidRDefault="00136648" w:rsidP="005949DB">
            <w:pPr>
              <w:pStyle w:val="TableText"/>
              <w:jc w:val="right"/>
            </w:pPr>
            <w:r w:rsidRPr="00136648">
              <w:t>50.1% </w:t>
            </w:r>
          </w:p>
        </w:tc>
        <w:tc>
          <w:tcPr>
            <w:tcW w:w="1164" w:type="dxa"/>
            <w:vAlign w:val="center"/>
            <w:hideMark/>
          </w:tcPr>
          <w:p w14:paraId="65265824" w14:textId="77777777" w:rsidR="00136648" w:rsidRPr="00136648" w:rsidRDefault="00136648" w:rsidP="005949DB">
            <w:pPr>
              <w:pStyle w:val="TableText"/>
              <w:jc w:val="right"/>
            </w:pPr>
            <w:r w:rsidRPr="00136648">
              <w:t>415,286 </w:t>
            </w:r>
          </w:p>
        </w:tc>
      </w:tr>
    </w:tbl>
    <w:p w14:paraId="4970B603" w14:textId="77777777" w:rsidR="00136648" w:rsidRPr="00136648" w:rsidRDefault="00136648" w:rsidP="00136648">
      <w:pPr>
        <w:pStyle w:val="BodyText"/>
      </w:pPr>
      <w:r w:rsidRPr="00136648">
        <w:t>Note: The Texas Rising Star standards were significantly revised in 2015 resulting in a temporary reduction in the number of certified programs.  </w:t>
      </w:r>
    </w:p>
    <w:p w14:paraId="04036E4E" w14:textId="77777777" w:rsidR="00136648" w:rsidRPr="00136648" w:rsidRDefault="00136648" w:rsidP="005949DB">
      <w:pPr>
        <w:pStyle w:val="BodyText3"/>
      </w:pPr>
      <w:r w:rsidRPr="00136648">
        <w:t>D.</w:t>
      </w:r>
      <w:r w:rsidRPr="00136648">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5267D4D2" w14:textId="77777777" w:rsidR="00136648" w:rsidRPr="00136648" w:rsidRDefault="00136648" w:rsidP="00136648">
      <w:pPr>
        <w:pStyle w:val="BodyText"/>
      </w:pPr>
      <w:r w:rsidRPr="00136648">
        <w:t xml:space="preserve">The following is a brief history of the evolution of the Texas Rising Star program. In the 1980s, a state workgroup was formed to research and develop standards for early learning programs in Texas, providing the basis for the Texas Rising Star Provider Certification. </w:t>
      </w:r>
      <w:r w:rsidRPr="00136648">
        <w:lastRenderedPageBreak/>
        <w:t xml:space="preserve">From 1991 through 2000, the Texas Rising Star Provider Certification criteria were in use to evaluate quality in CCS </w:t>
      </w:r>
      <w:proofErr w:type="gramStart"/>
      <w:r w:rsidRPr="00136648">
        <w:t>child care</w:t>
      </w:r>
      <w:proofErr w:type="gramEnd"/>
      <w:r w:rsidRPr="00136648">
        <w:t xml:space="preserve"> and early learning programs in Texas. In 1999, a new state workgroup formed to review and revise these criteria. In October 2000, the Texas Rising Star Provider Certification Guidelines (Guidelines) were released, reflecting the recommendations of the workgroup, including revamping assessment and certification processes. </w:t>
      </w:r>
    </w:p>
    <w:p w14:paraId="162A389C" w14:textId="77777777" w:rsidR="00136648" w:rsidRPr="00136648" w:rsidRDefault="00136648" w:rsidP="005949DB">
      <w:pPr>
        <w:pStyle w:val="BodyText3"/>
      </w:pPr>
      <w:r w:rsidRPr="00136648">
        <w:t>Texas Rising Star Rules and Guidelines Revisions </w:t>
      </w:r>
    </w:p>
    <w:p w14:paraId="6CCA7E21" w14:textId="77777777" w:rsidR="00136648" w:rsidRPr="00136648" w:rsidRDefault="00136648" w:rsidP="00136648">
      <w:pPr>
        <w:pStyle w:val="BodyText"/>
      </w:pPr>
      <w:r w:rsidRPr="00136648">
        <w:t>In 2013, the 83rd Texas Legislature passed House Bill (HB) 376, amending §§2803.315-320 of the Texas Government Code requiring TWC to: </w:t>
      </w:r>
    </w:p>
    <w:p w14:paraId="2F55A071" w14:textId="77777777" w:rsidR="00136648" w:rsidRPr="00136648" w:rsidRDefault="00136648" w:rsidP="00C64851">
      <w:pPr>
        <w:pStyle w:val="BodyText"/>
        <w:numPr>
          <w:ilvl w:val="0"/>
          <w:numId w:val="570"/>
        </w:numPr>
      </w:pPr>
      <w:r w:rsidRPr="00136648">
        <w:t>Create a review workgroup to recommend revisions to the Texas Rising Star program. </w:t>
      </w:r>
    </w:p>
    <w:p w14:paraId="02F8CA9F" w14:textId="77777777" w:rsidR="00136648" w:rsidRPr="00136648" w:rsidRDefault="00136648" w:rsidP="00C64851">
      <w:pPr>
        <w:pStyle w:val="BodyText"/>
        <w:numPr>
          <w:ilvl w:val="0"/>
          <w:numId w:val="570"/>
        </w:numPr>
      </w:pPr>
      <w:r w:rsidRPr="00136648">
        <w:t>Establish graduated reimbursement rates of the following percentages above the non-Texas Rising Star rates: </w:t>
      </w:r>
    </w:p>
    <w:p w14:paraId="1D81F8C0" w14:textId="45DE9993" w:rsidR="00136648" w:rsidRPr="00136648" w:rsidRDefault="00136648" w:rsidP="00C64851">
      <w:pPr>
        <w:pStyle w:val="BodyText"/>
        <w:numPr>
          <w:ilvl w:val="1"/>
          <w:numId w:val="570"/>
        </w:numPr>
      </w:pPr>
      <w:r w:rsidRPr="00136648">
        <w:t>5 percent for a Two-Star rating</w:t>
      </w:r>
    </w:p>
    <w:p w14:paraId="1E30A011" w14:textId="2CB8BAAF" w:rsidR="00136648" w:rsidRPr="00136648" w:rsidRDefault="00136648" w:rsidP="00C64851">
      <w:pPr>
        <w:pStyle w:val="BodyText"/>
        <w:numPr>
          <w:ilvl w:val="1"/>
          <w:numId w:val="570"/>
        </w:numPr>
      </w:pPr>
      <w:r w:rsidRPr="00136648">
        <w:t>7 percent for a Three-Star rating</w:t>
      </w:r>
    </w:p>
    <w:p w14:paraId="4A796D23" w14:textId="356988FA" w:rsidR="00136648" w:rsidRPr="00136648" w:rsidRDefault="00136648" w:rsidP="00C64851">
      <w:pPr>
        <w:pStyle w:val="BodyText"/>
        <w:numPr>
          <w:ilvl w:val="1"/>
          <w:numId w:val="570"/>
        </w:numPr>
      </w:pPr>
      <w:r w:rsidRPr="00136648">
        <w:t>9 percent for a Four-Star rating</w:t>
      </w:r>
    </w:p>
    <w:p w14:paraId="2F5CC410" w14:textId="77777777" w:rsidR="00136648" w:rsidRPr="00136648" w:rsidRDefault="00136648" w:rsidP="00C64851">
      <w:pPr>
        <w:pStyle w:val="BodyText"/>
        <w:numPr>
          <w:ilvl w:val="0"/>
          <w:numId w:val="570"/>
        </w:numPr>
      </w:pPr>
      <w:r w:rsidRPr="00136648">
        <w:t xml:space="preserve">Make funds available to Boards to hire Texas Rising Star mentors and assessors to provide technical assistance to </w:t>
      </w:r>
      <w:proofErr w:type="gramStart"/>
      <w:r w:rsidRPr="00136648">
        <w:t>child care</w:t>
      </w:r>
      <w:proofErr w:type="gramEnd"/>
      <w:r w:rsidRPr="00136648">
        <w:t xml:space="preserve"> and early learning programs. </w:t>
      </w:r>
    </w:p>
    <w:p w14:paraId="1993F65D" w14:textId="77777777" w:rsidR="00136648" w:rsidRPr="00136648" w:rsidRDefault="00136648" w:rsidP="00136648">
      <w:pPr>
        <w:pStyle w:val="BodyText"/>
      </w:pPr>
      <w:r w:rsidRPr="00136648">
        <w:t>On Jan. 27, 2015, TWC approved the changes proposed by the Texas Rising Star review workgroup, as required by HB 376. Full implementation of the revisions was completed on Sept. 1, 2015.  Additionally, TWC began allocating additional funding to Boards to hire mentors to assist programs in meeting Texas Rising Star standards, and to hire assessors to assess providers on the Texas Rising Star standards. </w:t>
      </w:r>
    </w:p>
    <w:p w14:paraId="5C5F0575" w14:textId="77777777" w:rsidR="00136648" w:rsidRPr="00136648" w:rsidRDefault="00136648" w:rsidP="009656E4">
      <w:pPr>
        <w:pStyle w:val="BodyText3"/>
      </w:pPr>
      <w:r w:rsidRPr="00136648">
        <w:t>Regular Review and Revisions of Guidelines </w:t>
      </w:r>
    </w:p>
    <w:p w14:paraId="446131C5" w14:textId="77777777" w:rsidR="00136648" w:rsidRPr="00136648" w:rsidRDefault="00136648" w:rsidP="00136648">
      <w:pPr>
        <w:pStyle w:val="BodyText"/>
      </w:pPr>
      <w:r w:rsidRPr="00136648">
        <w:t>In 2015, the 84th Texas Legislature passed HB 208, amending §2308.3155 of the Texas Government Code to require TWC to implement a process for the regular review of the Texas Rising Star quality standards. TWC adopted rules which established a review of Texas Rising Star every four years. </w:t>
      </w:r>
    </w:p>
    <w:p w14:paraId="5FBF2B5B" w14:textId="77777777" w:rsidR="00136648" w:rsidRPr="00136648" w:rsidRDefault="00136648" w:rsidP="00136648">
      <w:pPr>
        <w:pStyle w:val="BodyText"/>
      </w:pPr>
      <w:r w:rsidRPr="00136648">
        <w:t>In fiscal year 2016, TWC solicited further input on the Texas Rising Star program. Based on the input from these stakeholder meetings, TWC modified the Guidelines to streamline the application and assessment process and to clarify and improve criteria. </w:t>
      </w:r>
    </w:p>
    <w:p w14:paraId="43EF2544" w14:textId="77777777" w:rsidR="00136648" w:rsidRPr="00136648" w:rsidRDefault="00136648" w:rsidP="009656E4">
      <w:pPr>
        <w:pStyle w:val="BodyText3"/>
      </w:pPr>
      <w:r w:rsidRPr="00136648">
        <w:t>2019 Guidelines Review </w:t>
      </w:r>
    </w:p>
    <w:p w14:paraId="48756810" w14:textId="77777777" w:rsidR="00136648" w:rsidRPr="00136648" w:rsidRDefault="00136648" w:rsidP="00136648">
      <w:pPr>
        <w:pStyle w:val="BodyText"/>
      </w:pPr>
      <w:r w:rsidRPr="00136648">
        <w:lastRenderedPageBreak/>
        <w:t>In 2019, Texas Rising Star underwent its first four-year review and TWC convened a workgroup to review the Texas Rising Star program, as required by HB 376. TWC conducted the following activities in support of the guideline review: </w:t>
      </w:r>
    </w:p>
    <w:p w14:paraId="5B25F6CB" w14:textId="77777777" w:rsidR="00136648" w:rsidRPr="00136648" w:rsidRDefault="00136648" w:rsidP="00C64851">
      <w:pPr>
        <w:pStyle w:val="BodyText"/>
        <w:numPr>
          <w:ilvl w:val="0"/>
          <w:numId w:val="571"/>
        </w:numPr>
      </w:pPr>
      <w:r w:rsidRPr="00136648">
        <w:t>In May 2019 TWC convened the workgroup to review the Texas Rising Star program.  </w:t>
      </w:r>
    </w:p>
    <w:p w14:paraId="5A79A070" w14:textId="77777777" w:rsidR="00136648" w:rsidRPr="00136648" w:rsidRDefault="00136648" w:rsidP="00C64851">
      <w:pPr>
        <w:pStyle w:val="BodyText"/>
        <w:numPr>
          <w:ilvl w:val="0"/>
          <w:numId w:val="571"/>
        </w:numPr>
      </w:pPr>
      <w:r w:rsidRPr="00136648">
        <w:t>In June 2019 TWC conducted eight regional focus groups in Heart of Texas, West Central Texas, Tarrant County, Lower Rio Grande, Coastal Bend, Gulf Coast, Rural Capital, and Texoma. </w:t>
      </w:r>
    </w:p>
    <w:p w14:paraId="070CC899" w14:textId="77777777" w:rsidR="00136648" w:rsidRPr="00136648" w:rsidRDefault="00136648" w:rsidP="00C64851">
      <w:pPr>
        <w:pStyle w:val="BodyText"/>
        <w:numPr>
          <w:ilvl w:val="0"/>
          <w:numId w:val="571"/>
        </w:numPr>
      </w:pPr>
      <w:r w:rsidRPr="00136648">
        <w:t>From July through January 2020 TWC convened three in-person workgroup meetings and conducted regular bi-weekly conference calls. </w:t>
      </w:r>
    </w:p>
    <w:p w14:paraId="10785C3E" w14:textId="77777777" w:rsidR="00136648" w:rsidRPr="00136648" w:rsidRDefault="00136648" w:rsidP="00C64851">
      <w:pPr>
        <w:pStyle w:val="BodyText"/>
        <w:numPr>
          <w:ilvl w:val="0"/>
          <w:numId w:val="571"/>
        </w:numPr>
      </w:pPr>
      <w:r w:rsidRPr="00136648">
        <w:t>In January 2020 the Commission approved draft Texas Rising Star Guidelines </w:t>
      </w:r>
    </w:p>
    <w:p w14:paraId="74777503" w14:textId="77777777" w:rsidR="00136648" w:rsidRPr="00136648" w:rsidRDefault="00136648" w:rsidP="00C64851">
      <w:pPr>
        <w:pStyle w:val="BodyText"/>
        <w:numPr>
          <w:ilvl w:val="0"/>
          <w:numId w:val="571"/>
        </w:numPr>
      </w:pPr>
      <w:r w:rsidRPr="00136648">
        <w:t>In February 2020 TWC conducted seven regional meeting to receive input on the grant guidelines. The meetings were held in Austin, Houston, McAllen, Arlington, Waco, Lubbock, and El Paso. </w:t>
      </w:r>
    </w:p>
    <w:p w14:paraId="25D0E0AA" w14:textId="77777777" w:rsidR="00136648" w:rsidRPr="00136648" w:rsidRDefault="00136648" w:rsidP="00C64851">
      <w:pPr>
        <w:pStyle w:val="BodyText"/>
        <w:numPr>
          <w:ilvl w:val="0"/>
          <w:numId w:val="571"/>
        </w:numPr>
      </w:pPr>
      <w:r w:rsidRPr="00136648">
        <w:t>In October 2020, the Commission proposed rules regarding Texas Rising Star.  </w:t>
      </w:r>
    </w:p>
    <w:p w14:paraId="594794E0" w14:textId="77777777" w:rsidR="00136648" w:rsidRPr="00136648" w:rsidRDefault="00136648" w:rsidP="00C64851">
      <w:pPr>
        <w:pStyle w:val="BodyText"/>
        <w:numPr>
          <w:ilvl w:val="0"/>
          <w:numId w:val="571"/>
        </w:numPr>
      </w:pPr>
      <w:r w:rsidRPr="00136648">
        <w:t>In January 2021, the final rules and updated guidelines were adopted. Modifications to the Texas Rising Star program were effective on January 25, 2021.  </w:t>
      </w:r>
    </w:p>
    <w:p w14:paraId="3E19EDD5" w14:textId="77777777" w:rsidR="00136648" w:rsidRPr="00136648" w:rsidRDefault="00136648" w:rsidP="00136648">
      <w:pPr>
        <w:pStyle w:val="BodyText"/>
      </w:pPr>
      <w:r w:rsidRPr="00136648">
        <w:t>The major changes to Texas Rising Star were to: </w:t>
      </w:r>
    </w:p>
    <w:p w14:paraId="03C5D275" w14:textId="77777777" w:rsidR="00136648" w:rsidRPr="00136648" w:rsidRDefault="00136648" w:rsidP="00C64851">
      <w:pPr>
        <w:pStyle w:val="BodyText"/>
        <w:numPr>
          <w:ilvl w:val="0"/>
          <w:numId w:val="572"/>
        </w:numPr>
      </w:pPr>
      <w:r w:rsidRPr="00136648">
        <w:t>Require programs applying for certification to agree to participate in the TECPDS workforce registry and encourage their staff to participate as well. </w:t>
      </w:r>
    </w:p>
    <w:p w14:paraId="57279052" w14:textId="77777777" w:rsidR="00136648" w:rsidRPr="00136648" w:rsidRDefault="00136648" w:rsidP="00C64851">
      <w:pPr>
        <w:pStyle w:val="BodyText"/>
        <w:numPr>
          <w:ilvl w:val="0"/>
          <w:numId w:val="572"/>
        </w:numPr>
      </w:pPr>
      <w:r w:rsidRPr="00136648">
        <w:t>Create new probationary periods to allow providers to address issues, without losing a star level. </w:t>
      </w:r>
    </w:p>
    <w:p w14:paraId="23D86E03" w14:textId="77777777" w:rsidR="00136648" w:rsidRPr="00136648" w:rsidRDefault="00136648" w:rsidP="00C64851">
      <w:pPr>
        <w:pStyle w:val="BodyText"/>
        <w:numPr>
          <w:ilvl w:val="0"/>
          <w:numId w:val="572"/>
        </w:numPr>
      </w:pPr>
      <w:r w:rsidRPr="00136648">
        <w:t xml:space="preserve">Modify the Screening Form to reduce the number of Child Care Regulation (CCR) deficiencies that make a </w:t>
      </w:r>
      <w:proofErr w:type="gramStart"/>
      <w:r w:rsidRPr="00136648">
        <w:t>child care</w:t>
      </w:r>
      <w:proofErr w:type="gramEnd"/>
      <w:r w:rsidRPr="00136648">
        <w:t xml:space="preserve"> program ineligible to apply, or result in an immediate star level drop for a currently certified provider. </w:t>
      </w:r>
    </w:p>
    <w:p w14:paraId="410122DC" w14:textId="77777777" w:rsidR="00136648" w:rsidRPr="00136648" w:rsidRDefault="00136648" w:rsidP="00C64851">
      <w:pPr>
        <w:pStyle w:val="BodyText"/>
        <w:numPr>
          <w:ilvl w:val="0"/>
          <w:numId w:val="572"/>
        </w:numPr>
      </w:pPr>
      <w:r w:rsidRPr="00136648">
        <w:t>Require all programs to participate in the creation of a Continuous Quality Improvement Plan (CQIP) that focuses on growth and evolving adherence to higher-quality standards and to require Boards to ensure that CQIPs are implemented and supported. </w:t>
      </w:r>
    </w:p>
    <w:p w14:paraId="63A32D7B" w14:textId="77777777" w:rsidR="00136648" w:rsidRPr="00136648" w:rsidRDefault="00136648" w:rsidP="00C64851">
      <w:pPr>
        <w:pStyle w:val="BodyText"/>
        <w:numPr>
          <w:ilvl w:val="0"/>
          <w:numId w:val="572"/>
        </w:numPr>
      </w:pPr>
      <w:r w:rsidRPr="00136648">
        <w:t>Require all Texas Rising Star staff to complete the Texas Rising Star standards training through the Assessor Training and Certification Program (ATCP), require Texas Rising Star assessors to attain and maintain their Texas Rising Star Assessor Certification, and require Texas Rising Star mentors to pursue the coaching 15 micro-credential. </w:t>
      </w:r>
    </w:p>
    <w:p w14:paraId="0614C68B" w14:textId="77777777" w:rsidR="00136648" w:rsidRPr="00136648" w:rsidRDefault="00136648" w:rsidP="00C64851">
      <w:pPr>
        <w:pStyle w:val="BodyText"/>
        <w:numPr>
          <w:ilvl w:val="0"/>
          <w:numId w:val="572"/>
        </w:numPr>
      </w:pPr>
      <w:r w:rsidRPr="00136648">
        <w:lastRenderedPageBreak/>
        <w:t>Removing duplicate standards also included in CCR standards around health/safety and food and nutrition. </w:t>
      </w:r>
    </w:p>
    <w:p w14:paraId="4421A313" w14:textId="77777777" w:rsidR="00136648" w:rsidRPr="00136648" w:rsidRDefault="00136648" w:rsidP="009656E4">
      <w:pPr>
        <w:pStyle w:val="BodyText3"/>
      </w:pPr>
      <w:r w:rsidRPr="00136648">
        <w:t>Mandatory Texas Rising Star and Entry Level Designation </w:t>
      </w:r>
    </w:p>
    <w:p w14:paraId="5979D762" w14:textId="77777777" w:rsidR="00136648" w:rsidRPr="00136648" w:rsidRDefault="00136648" w:rsidP="00136648">
      <w:pPr>
        <w:pStyle w:val="BodyText"/>
      </w:pPr>
      <w:r w:rsidRPr="00136648">
        <w:t>In September 2021, the Texas Legislature enacted HB 2607 amending §2308.3115 of the Texas Government Code to: </w:t>
      </w:r>
    </w:p>
    <w:p w14:paraId="3248AF62" w14:textId="77777777" w:rsidR="00136648" w:rsidRPr="00136648" w:rsidRDefault="00136648" w:rsidP="00C64851">
      <w:pPr>
        <w:pStyle w:val="BodyText"/>
        <w:numPr>
          <w:ilvl w:val="0"/>
          <w:numId w:val="573"/>
        </w:numPr>
      </w:pPr>
      <w:r w:rsidRPr="00136648">
        <w:t xml:space="preserve">Require all child care programs in TWC’s Child Care Services program to </w:t>
      </w:r>
      <w:proofErr w:type="spellStart"/>
      <w:r w:rsidRPr="00136648">
        <w:t>prticipate</w:t>
      </w:r>
      <w:proofErr w:type="spellEnd"/>
      <w:r w:rsidRPr="00136648">
        <w:t xml:space="preserve"> in Texas Rising </w:t>
      </w:r>
      <w:proofErr w:type="gramStart"/>
      <w:r w:rsidRPr="00136648">
        <w:t>Star;.</w:t>
      </w:r>
      <w:proofErr w:type="gramEnd"/>
      <w:r w:rsidRPr="00136648">
        <w:t xml:space="preserve">  </w:t>
      </w:r>
    </w:p>
    <w:p w14:paraId="297D01D8" w14:textId="77777777" w:rsidR="00136648" w:rsidRPr="00136648" w:rsidRDefault="00136648" w:rsidP="00C64851">
      <w:pPr>
        <w:pStyle w:val="BodyText"/>
        <w:numPr>
          <w:ilvl w:val="0"/>
          <w:numId w:val="573"/>
        </w:numPr>
      </w:pPr>
      <w:r w:rsidRPr="00136648">
        <w:t xml:space="preserve">Direct TWC to include an entry-level rating for </w:t>
      </w:r>
      <w:proofErr w:type="gramStart"/>
      <w:r w:rsidRPr="00136648">
        <w:t>child care</w:t>
      </w:r>
      <w:proofErr w:type="gramEnd"/>
      <w:r w:rsidRPr="00136648">
        <w:t xml:space="preserve"> and early learning programs and establish the maximum length of time that a provider may </w:t>
      </w:r>
      <w:proofErr w:type="spellStart"/>
      <w:r w:rsidRPr="00136648">
        <w:t>prticipate</w:t>
      </w:r>
      <w:proofErr w:type="spellEnd"/>
      <w:r w:rsidRPr="00136648">
        <w:t xml:space="preserve"> in CCS at the entry level. </w:t>
      </w:r>
    </w:p>
    <w:p w14:paraId="3BBC7AA2" w14:textId="77777777" w:rsidR="00136648" w:rsidRPr="00136648" w:rsidRDefault="00136648" w:rsidP="00C64851">
      <w:pPr>
        <w:pStyle w:val="BodyText"/>
        <w:numPr>
          <w:ilvl w:val="0"/>
          <w:numId w:val="573"/>
        </w:numPr>
      </w:pPr>
      <w:r w:rsidRPr="00136648">
        <w:t>Require TWC to develop a process for providers to request a waiver to extend the length of time the provider may be an entry level provider.  The waiver may not exceed 36 months. </w:t>
      </w:r>
    </w:p>
    <w:p w14:paraId="0E26D9D4" w14:textId="77777777" w:rsidR="00136648" w:rsidRPr="00136648" w:rsidRDefault="00136648" w:rsidP="00136648">
      <w:pPr>
        <w:pStyle w:val="BodyText"/>
      </w:pPr>
      <w:r w:rsidRPr="00136648">
        <w:t xml:space="preserve">In September 2022, the Commission adopted amendments to TWC Chapter 809 Child Care Services rules to implement the new requirements. Effective October 3, 2022, all CCS </w:t>
      </w:r>
      <w:proofErr w:type="gramStart"/>
      <w:r w:rsidRPr="00136648">
        <w:t>child care</w:t>
      </w:r>
      <w:proofErr w:type="gramEnd"/>
      <w:r w:rsidRPr="00136648">
        <w:t xml:space="preserve"> and early learning programs must participate in the Texas Rising Star program. In order to be a CCS provider, </w:t>
      </w:r>
      <w:proofErr w:type="gramStart"/>
      <w:r w:rsidRPr="00136648">
        <w:t>child care</w:t>
      </w:r>
      <w:proofErr w:type="gramEnd"/>
      <w:r w:rsidRPr="00136648">
        <w:t xml:space="preserve"> and early learning programs must meet the Entry Level designation point threshold; and attain at least a Two-Star certification level within 24 months. </w:t>
      </w:r>
    </w:p>
    <w:p w14:paraId="037F55F6" w14:textId="77777777" w:rsidR="00136648" w:rsidRPr="00136648" w:rsidRDefault="00136648" w:rsidP="009656E4">
      <w:pPr>
        <w:pStyle w:val="BodyText3"/>
      </w:pPr>
      <w:r w:rsidRPr="00136648">
        <w:t>2023 Guidelines Review </w:t>
      </w:r>
    </w:p>
    <w:p w14:paraId="47117DD5" w14:textId="77777777" w:rsidR="00136648" w:rsidRPr="00136648" w:rsidRDefault="00136648" w:rsidP="00136648">
      <w:pPr>
        <w:pStyle w:val="BodyText"/>
      </w:pPr>
      <w:r w:rsidRPr="00136648">
        <w:t>In July 2023, Texas Rising Star underwent its second four-year review as follows: </w:t>
      </w:r>
    </w:p>
    <w:p w14:paraId="05152874" w14:textId="77777777" w:rsidR="00136648" w:rsidRPr="00136648" w:rsidRDefault="00136648" w:rsidP="00C64851">
      <w:pPr>
        <w:pStyle w:val="BodyText"/>
        <w:numPr>
          <w:ilvl w:val="0"/>
          <w:numId w:val="574"/>
        </w:numPr>
      </w:pPr>
      <w:r w:rsidRPr="00136648">
        <w:t>TWC convened the 2023 workgroup to review the Texas Rising Star program. With support from TWC, the workgroup led a collaborative review that involved stakeholders from across the state. </w:t>
      </w:r>
    </w:p>
    <w:p w14:paraId="17BD95FA" w14:textId="77777777" w:rsidR="00136648" w:rsidRPr="00136648" w:rsidRDefault="00136648" w:rsidP="00C64851">
      <w:pPr>
        <w:pStyle w:val="BodyText"/>
        <w:numPr>
          <w:ilvl w:val="0"/>
          <w:numId w:val="574"/>
        </w:numPr>
      </w:pPr>
      <w:r w:rsidRPr="00136648">
        <w:t>TWC conducted six public meetings throughout the state in February 2024 about the recommendations from the review. In April 2024, the Commission approved the release of the workgroup’s recommendations and proposed rules for public comment. </w:t>
      </w:r>
    </w:p>
    <w:p w14:paraId="5F2F5543" w14:textId="77777777" w:rsidR="00136648" w:rsidRPr="00136648" w:rsidRDefault="00136648" w:rsidP="00C64851">
      <w:pPr>
        <w:pStyle w:val="BodyText"/>
        <w:numPr>
          <w:ilvl w:val="0"/>
          <w:numId w:val="574"/>
        </w:numPr>
      </w:pPr>
      <w:r w:rsidRPr="00136648">
        <w:t>In September 2024, proposed rules regarding Texas Rising Star changes were published, and in October 2024, the final rules and updated guidelines were adopted. </w:t>
      </w:r>
    </w:p>
    <w:p w14:paraId="35E6C315" w14:textId="77777777" w:rsidR="00136648" w:rsidRPr="00136648" w:rsidRDefault="00136648" w:rsidP="00C64851">
      <w:pPr>
        <w:pStyle w:val="BodyText"/>
        <w:numPr>
          <w:ilvl w:val="0"/>
          <w:numId w:val="574"/>
        </w:numPr>
      </w:pPr>
      <w:r w:rsidRPr="00136648">
        <w:t>Modifications to the Texas Rising Star program became effective on September 1, 2024, with the new Classroom and Facility Assessment tools being implemented on October 1, 2024. </w:t>
      </w:r>
    </w:p>
    <w:p w14:paraId="70D6CB00" w14:textId="77777777" w:rsidR="00136648" w:rsidRPr="00136648" w:rsidRDefault="00136648" w:rsidP="009656E4">
      <w:pPr>
        <w:pStyle w:val="BodyText3"/>
      </w:pPr>
      <w:r w:rsidRPr="00136648">
        <w:lastRenderedPageBreak/>
        <w:t>E.</w:t>
      </w:r>
      <w:r w:rsidRPr="00136648">
        <w:tab/>
        <w:t>List any qualifications or eligibility requirements for persons or entities affected by this division or program (e.g., licensees, consumers, and landowners). Provide a statistical breakdown of persons or entities affected. </w:t>
      </w:r>
    </w:p>
    <w:p w14:paraId="7E4C3FE4" w14:textId="77777777" w:rsidR="00136648" w:rsidRPr="00136648" w:rsidRDefault="00136648" w:rsidP="009656E4">
      <w:pPr>
        <w:pStyle w:val="BodyText3"/>
      </w:pPr>
      <w:r w:rsidRPr="00136648">
        <w:t>General Eligibility </w:t>
      </w:r>
    </w:p>
    <w:p w14:paraId="4E3C1CDE" w14:textId="77777777" w:rsidR="00136648" w:rsidRPr="00136648" w:rsidRDefault="00136648" w:rsidP="00136648">
      <w:pPr>
        <w:pStyle w:val="BodyText"/>
      </w:pPr>
      <w:r w:rsidRPr="00136648">
        <w:t>All programs requesting initial Texas Rising Star certification must: </w:t>
      </w:r>
    </w:p>
    <w:p w14:paraId="732C410B" w14:textId="77777777" w:rsidR="00136648" w:rsidRPr="00136648" w:rsidRDefault="00136648" w:rsidP="00C64851">
      <w:pPr>
        <w:pStyle w:val="BodyText"/>
        <w:numPr>
          <w:ilvl w:val="0"/>
          <w:numId w:val="575"/>
        </w:numPr>
      </w:pPr>
      <w:r w:rsidRPr="00136648">
        <w:t>Have an active Child Care Services (CCS) Provider Agreement with a Board to accept referrals from TWC’s CCS program and meet the requirements for </w:t>
      </w:r>
      <w:hyperlink r:id="rId88" w:tgtFrame="_blank" w:history="1">
        <w:r w:rsidRPr="00136648">
          <w:rPr>
            <w:rStyle w:val="Hyperlink"/>
          </w:rPr>
          <w:t>Entry Level Designation</w:t>
        </w:r>
      </w:hyperlink>
      <w:r w:rsidRPr="00136648">
        <w:t>. </w:t>
      </w:r>
    </w:p>
    <w:p w14:paraId="03C83F62" w14:textId="77777777" w:rsidR="00136648" w:rsidRPr="00136648" w:rsidRDefault="00136648" w:rsidP="00C64851">
      <w:pPr>
        <w:pStyle w:val="BodyText"/>
        <w:numPr>
          <w:ilvl w:val="0"/>
          <w:numId w:val="575"/>
        </w:numPr>
      </w:pPr>
      <w:r w:rsidRPr="00136648">
        <w:t>Have a permanent (non-expiring) license or registration from CCR. </w:t>
      </w:r>
    </w:p>
    <w:p w14:paraId="343433CC" w14:textId="77777777" w:rsidR="00136648" w:rsidRPr="00136648" w:rsidRDefault="00136648" w:rsidP="00C64851">
      <w:pPr>
        <w:pStyle w:val="BodyText"/>
        <w:numPr>
          <w:ilvl w:val="0"/>
          <w:numId w:val="575"/>
        </w:numPr>
      </w:pPr>
      <w:r w:rsidRPr="00136648">
        <w:t>Have at least 12 months of licensing history with CCR. </w:t>
      </w:r>
    </w:p>
    <w:p w14:paraId="51B3DE7E" w14:textId="77777777" w:rsidR="00136648" w:rsidRPr="00136648" w:rsidRDefault="00136648" w:rsidP="00C64851">
      <w:pPr>
        <w:pStyle w:val="BodyText"/>
        <w:numPr>
          <w:ilvl w:val="0"/>
          <w:numId w:val="575"/>
        </w:numPr>
      </w:pPr>
      <w:r w:rsidRPr="00136648">
        <w:t>Demonstrate a high level of compliance with CCR minimum standards over the preceding six months in accordance with the</w:t>
      </w:r>
      <w:hyperlink r:id="rId89" w:tgtFrame="_blank" w:history="1">
        <w:r w:rsidRPr="00136648">
          <w:rPr>
            <w:rStyle w:val="Hyperlink"/>
          </w:rPr>
          <w:t> Texas Rising Star Initial Screening Form</w:t>
        </w:r>
      </w:hyperlink>
      <w:r w:rsidRPr="00136648">
        <w:t>; and </w:t>
      </w:r>
    </w:p>
    <w:p w14:paraId="7C6B6940" w14:textId="77777777" w:rsidR="00136648" w:rsidRPr="00136648" w:rsidRDefault="00136648" w:rsidP="00C64851">
      <w:pPr>
        <w:pStyle w:val="BodyText"/>
        <w:numPr>
          <w:ilvl w:val="0"/>
          <w:numId w:val="575"/>
        </w:numPr>
      </w:pPr>
      <w:r w:rsidRPr="00136648">
        <w:t>Ensure that a center director account is created in the </w:t>
      </w:r>
      <w:hyperlink r:id="rId90" w:tgtFrame="_blank" w:history="1">
        <w:r w:rsidRPr="00136648">
          <w:rPr>
            <w:rStyle w:val="Hyperlink"/>
          </w:rPr>
          <w:t>Workforce Registry (WFR)</w:t>
        </w:r>
      </w:hyperlink>
      <w:r w:rsidRPr="00136648">
        <w:t> and that the director encourages their staff members to create individual accounts within the WFR. </w:t>
      </w:r>
    </w:p>
    <w:p w14:paraId="3FB1C884" w14:textId="77777777" w:rsidR="00136648" w:rsidRPr="00136648" w:rsidRDefault="00136648" w:rsidP="00136648">
      <w:pPr>
        <w:pStyle w:val="BodyText"/>
      </w:pPr>
      <w:r w:rsidRPr="00136648">
        <w:t>Texas Rising Star-certified programs are expected to maintain a consistent and high level of compliance with CCR minimum licensing standards. A program’s most recent six months of CCR minimum licensing standards compliance history are reviewed using the applicable Texas Rising Star Screening Form prior to any assessment and on a regular basis. </w:t>
      </w:r>
    </w:p>
    <w:p w14:paraId="22664AFE" w14:textId="77777777" w:rsidR="00136648" w:rsidRPr="00136648" w:rsidRDefault="00136648" w:rsidP="00136648">
      <w:pPr>
        <w:pStyle w:val="BodyText"/>
      </w:pPr>
      <w:r w:rsidRPr="00136648">
        <w:t>In addition to meeting the above standards programs must: </w:t>
      </w:r>
    </w:p>
    <w:p w14:paraId="4957C059" w14:textId="77777777" w:rsidR="00136648" w:rsidRPr="00136648" w:rsidRDefault="00136648" w:rsidP="00C64851">
      <w:pPr>
        <w:pStyle w:val="BodyText"/>
        <w:numPr>
          <w:ilvl w:val="0"/>
          <w:numId w:val="576"/>
        </w:numPr>
      </w:pPr>
      <w:r w:rsidRPr="00136648">
        <w:t>Not be on Corrective or Adverse Action with CCR. </w:t>
      </w:r>
    </w:p>
    <w:p w14:paraId="467AFA83" w14:textId="77777777" w:rsidR="00136648" w:rsidRPr="00136648" w:rsidRDefault="00136648" w:rsidP="00C64851">
      <w:pPr>
        <w:pStyle w:val="BodyText"/>
        <w:numPr>
          <w:ilvl w:val="0"/>
          <w:numId w:val="576"/>
        </w:numPr>
      </w:pPr>
      <w:r w:rsidRPr="00136648">
        <w:t>Not be on Board Corrective Action or Notice of Freeze. </w:t>
      </w:r>
    </w:p>
    <w:p w14:paraId="76E947CE" w14:textId="77777777" w:rsidR="00136648" w:rsidRPr="00136648" w:rsidRDefault="00136648" w:rsidP="00C64851">
      <w:pPr>
        <w:pStyle w:val="BodyText"/>
        <w:numPr>
          <w:ilvl w:val="0"/>
          <w:numId w:val="576"/>
        </w:numPr>
      </w:pPr>
      <w:r w:rsidRPr="00136648">
        <w:t>Not be cited for the facility’s applicable CCR weapons minimum standard </w:t>
      </w:r>
    </w:p>
    <w:p w14:paraId="6E74B054" w14:textId="77777777" w:rsidR="00136648" w:rsidRPr="00136648" w:rsidRDefault="00136648" w:rsidP="00C64851">
      <w:pPr>
        <w:pStyle w:val="BodyText"/>
        <w:numPr>
          <w:ilvl w:val="0"/>
          <w:numId w:val="576"/>
        </w:numPr>
      </w:pPr>
      <w:r w:rsidRPr="00136648">
        <w:t>have 25 or less total points when calculating high- and medium-high-weighted CCR deficiencies; and </w:t>
      </w:r>
    </w:p>
    <w:p w14:paraId="0D9D8885" w14:textId="77777777" w:rsidR="00136648" w:rsidRPr="00136648" w:rsidRDefault="00136648" w:rsidP="00C64851">
      <w:pPr>
        <w:pStyle w:val="BodyText"/>
        <w:numPr>
          <w:ilvl w:val="0"/>
          <w:numId w:val="576"/>
        </w:numPr>
      </w:pPr>
      <w:r w:rsidRPr="00136648">
        <w:t>Not be cited for the following deficiencies (based on facility-type) within the most six recent -months. </w:t>
      </w:r>
    </w:p>
    <w:p w14:paraId="6F8B0F7C" w14:textId="77777777" w:rsidR="00136648" w:rsidRPr="00136648" w:rsidRDefault="00136648" w:rsidP="00136648">
      <w:pPr>
        <w:pStyle w:val="BodyText"/>
      </w:pPr>
      <w:r w:rsidRPr="00136648">
        <w:t>Programs that are not regulated by CCR but are regulated by the US military and in good standing are also eligible to request Texas Rising Star certification. </w:t>
      </w:r>
    </w:p>
    <w:p w14:paraId="44DDF897" w14:textId="77777777" w:rsidR="00136648" w:rsidRPr="00136648" w:rsidRDefault="00136648" w:rsidP="009656E4">
      <w:pPr>
        <w:pStyle w:val="BodyText3"/>
      </w:pPr>
      <w:r w:rsidRPr="00136648">
        <w:t>Texas Rising Star Entry Level Designation </w:t>
      </w:r>
    </w:p>
    <w:p w14:paraId="12968C1B" w14:textId="77777777" w:rsidR="00136648" w:rsidRPr="00136648" w:rsidRDefault="00136648" w:rsidP="00136648">
      <w:pPr>
        <w:pStyle w:val="BodyText"/>
      </w:pPr>
      <w:proofErr w:type="gramStart"/>
      <w:r w:rsidRPr="00136648">
        <w:lastRenderedPageBreak/>
        <w:t>Child care</w:t>
      </w:r>
      <w:proofErr w:type="gramEnd"/>
      <w:r w:rsidRPr="00136648">
        <w:t xml:space="preserve"> programs that do not meet the requirements for initial Texas Rising Star certification may qualify for Entry Level designation. To qualify for Entry Level designation, a </w:t>
      </w:r>
      <w:proofErr w:type="gramStart"/>
      <w:r w:rsidRPr="00136648">
        <w:t>child care</w:t>
      </w:r>
      <w:proofErr w:type="gramEnd"/>
      <w:r w:rsidRPr="00136648">
        <w:t xml:space="preserve"> program must: </w:t>
      </w:r>
    </w:p>
    <w:p w14:paraId="348993B8" w14:textId="77777777" w:rsidR="00136648" w:rsidRPr="00136648" w:rsidRDefault="00136648" w:rsidP="00C64851">
      <w:pPr>
        <w:pStyle w:val="BodyText"/>
        <w:numPr>
          <w:ilvl w:val="0"/>
          <w:numId w:val="577"/>
        </w:numPr>
      </w:pPr>
      <w:r w:rsidRPr="00136648">
        <w:t>Be licensed or registered with CCR (may have an initial permit) or regulated by the United States Military. </w:t>
      </w:r>
    </w:p>
    <w:p w14:paraId="1CF4BE41" w14:textId="77777777" w:rsidR="00136648" w:rsidRPr="00136648" w:rsidRDefault="00136648" w:rsidP="00C64851">
      <w:pPr>
        <w:pStyle w:val="BodyText"/>
        <w:numPr>
          <w:ilvl w:val="0"/>
          <w:numId w:val="577"/>
        </w:numPr>
      </w:pPr>
      <w:r w:rsidRPr="00136648">
        <w:t>Not on Corrective or Adverse Action with CCR. </w:t>
      </w:r>
    </w:p>
    <w:p w14:paraId="7433973B" w14:textId="77777777" w:rsidR="00136648" w:rsidRPr="00136648" w:rsidRDefault="00136648" w:rsidP="00C64851">
      <w:pPr>
        <w:pStyle w:val="BodyText"/>
        <w:numPr>
          <w:ilvl w:val="0"/>
          <w:numId w:val="577"/>
        </w:numPr>
      </w:pPr>
      <w:r w:rsidRPr="00136648">
        <w:t>Not exceed the points threshold of 40 for high- and/or medium-high-weighted CCR deficiencies, based on a review of the most recent six months of CCR licensing history (</w:t>
      </w:r>
      <w:proofErr w:type="gramStart"/>
      <w:r w:rsidRPr="00136648">
        <w:t>child care</w:t>
      </w:r>
      <w:proofErr w:type="gramEnd"/>
      <w:r w:rsidRPr="00136648">
        <w:t xml:space="preserve"> programs with initial permits or programs with fewer than six months of licensing history will be reviewed based on all available CCR licensing history). </w:t>
      </w:r>
    </w:p>
    <w:p w14:paraId="2A517C1A" w14:textId="77777777" w:rsidR="00136648" w:rsidRPr="00136648" w:rsidRDefault="00136648" w:rsidP="00136648">
      <w:pPr>
        <w:pStyle w:val="BodyText"/>
      </w:pPr>
      <w:r w:rsidRPr="00136648">
        <w:t>The points threshold of 40 is calculated by assigning the following points to high- and medium-high–weighted CCR deficiencies received within the most recent six months of CCR licensing history: </w:t>
      </w:r>
    </w:p>
    <w:p w14:paraId="1312CDFC" w14:textId="77777777" w:rsidR="00136648" w:rsidRPr="00136648" w:rsidRDefault="00136648" w:rsidP="00C64851">
      <w:pPr>
        <w:pStyle w:val="BodyText"/>
        <w:numPr>
          <w:ilvl w:val="0"/>
          <w:numId w:val="578"/>
        </w:numPr>
      </w:pPr>
      <w:r w:rsidRPr="00136648">
        <w:t>Five points are added for each high-weighted deficiency. </w:t>
      </w:r>
    </w:p>
    <w:p w14:paraId="5374FC89" w14:textId="77777777" w:rsidR="00136648" w:rsidRPr="00136648" w:rsidRDefault="00136648" w:rsidP="00C64851">
      <w:pPr>
        <w:pStyle w:val="BodyText"/>
        <w:numPr>
          <w:ilvl w:val="0"/>
          <w:numId w:val="578"/>
        </w:numPr>
      </w:pPr>
      <w:r w:rsidRPr="00136648">
        <w:t>Three points are added for each medium-high-weighted deficiency. </w:t>
      </w:r>
    </w:p>
    <w:p w14:paraId="54428353" w14:textId="77777777" w:rsidR="00136648" w:rsidRPr="00136648" w:rsidRDefault="00136648" w:rsidP="00136648">
      <w:pPr>
        <w:pStyle w:val="BodyText"/>
      </w:pPr>
      <w:r w:rsidRPr="00136648">
        <w:t xml:space="preserve">Once designated as Entry Level, the </w:t>
      </w:r>
      <w:proofErr w:type="gramStart"/>
      <w:r w:rsidRPr="00136648">
        <w:t>child care</w:t>
      </w:r>
      <w:proofErr w:type="gramEnd"/>
      <w:r w:rsidRPr="00136648">
        <w:t xml:space="preserve"> program will have a maximum of 24 months to attain star-level certification in Texas Rising Star. Entry Level-designated programs may be assessed for star-level certification at any time within the 24-month timeframe if they meet certification </w:t>
      </w:r>
      <w:hyperlink r:id="rId91" w:tgtFrame="_blank" w:history="1">
        <w:r w:rsidRPr="00136648">
          <w:rPr>
            <w:rStyle w:val="Hyperlink"/>
          </w:rPr>
          <w:t>eligibility and screening requirements</w:t>
        </w:r>
      </w:hyperlink>
      <w:r w:rsidRPr="00136648">
        <w:t>. </w:t>
      </w:r>
    </w:p>
    <w:p w14:paraId="16B4ED95" w14:textId="77777777" w:rsidR="00136648" w:rsidRPr="00136648" w:rsidRDefault="00136648" w:rsidP="00136648">
      <w:pPr>
        <w:pStyle w:val="BodyText"/>
      </w:pPr>
      <w:r w:rsidRPr="00136648">
        <w:t>New CCS regulated programs must meet Entry Level designation at the time a CCS Provider Agreement is initiated with the Local Workforce Development Board (Board) and have 24 months from that date to achieve star-level certification, unless a waiver is approved by TWC. </w:t>
      </w:r>
    </w:p>
    <w:p w14:paraId="360B2C38" w14:textId="77777777" w:rsidR="00136648" w:rsidRPr="00136648" w:rsidRDefault="00136648" w:rsidP="00136648">
      <w:pPr>
        <w:pStyle w:val="BodyText"/>
      </w:pPr>
      <w:proofErr w:type="gramStart"/>
      <w:r w:rsidRPr="00136648">
        <w:t>Child care</w:t>
      </w:r>
      <w:proofErr w:type="gramEnd"/>
      <w:r w:rsidRPr="00136648">
        <w:t xml:space="preserve"> programs that are interested in participating in CCS must submit an Interest Form to start the process. </w:t>
      </w:r>
    </w:p>
    <w:p w14:paraId="65AC37EF" w14:textId="77777777" w:rsidR="00136648" w:rsidRPr="00136648" w:rsidRDefault="00136648" w:rsidP="00136648">
      <w:pPr>
        <w:pStyle w:val="BodyText"/>
      </w:pPr>
      <w:r w:rsidRPr="00136648">
        <w:t>Entry Level-designated programs will be screened for Texas Rising Star certification eligibility at 12 months from the time the CCS Provider Agreement is signed to determine if they are eligible for assessment. </w:t>
      </w:r>
    </w:p>
    <w:p w14:paraId="1AEAB2A1" w14:textId="77777777" w:rsidR="00136648" w:rsidRPr="00136648" w:rsidRDefault="00136648" w:rsidP="00136648">
      <w:pPr>
        <w:pStyle w:val="BodyText"/>
      </w:pPr>
      <w:r w:rsidRPr="00136648">
        <w:t>If, at the 18th month of a program’s Entry Level designation time, the program will not be eligible for Texas Rising Star certification by the end of the Entry Level designation time frame, the program may not receive CCS referrals for new families until it attains star-level certification. </w:t>
      </w:r>
    </w:p>
    <w:p w14:paraId="38D3860F" w14:textId="77777777" w:rsidR="00136648" w:rsidRPr="00136648" w:rsidRDefault="00136648" w:rsidP="00136648">
      <w:pPr>
        <w:pStyle w:val="BodyText"/>
      </w:pPr>
      <w:r w:rsidRPr="00136648">
        <w:lastRenderedPageBreak/>
        <w:t xml:space="preserve">An exception is allowed if the program is located in a </w:t>
      </w:r>
      <w:proofErr w:type="gramStart"/>
      <w:r w:rsidRPr="00136648">
        <w:t>child care</w:t>
      </w:r>
      <w:proofErr w:type="gramEnd"/>
      <w:r w:rsidRPr="00136648">
        <w:t xml:space="preserve"> desert or serves an underserved population as defined and approved by TWC. If the program qualifies for an exception, it may continue to receive referrals for new families during the last six months of its 24-month entry-level period. </w:t>
      </w:r>
    </w:p>
    <w:p w14:paraId="25CAB070" w14:textId="77777777" w:rsidR="00136648" w:rsidRPr="00136648" w:rsidRDefault="00136648" w:rsidP="00136648">
      <w:pPr>
        <w:pStyle w:val="BodyText"/>
      </w:pPr>
      <w:proofErr w:type="gramStart"/>
      <w:r w:rsidRPr="00136648">
        <w:t>Child care</w:t>
      </w:r>
      <w:proofErr w:type="gramEnd"/>
      <w:r w:rsidRPr="00136648">
        <w:t xml:space="preserve"> programs that are unable to achieve Texas Rising Star certification by the end of the 24-month timeframe, may submit a request to their Board for an Entry Level extension waiver. </w:t>
      </w:r>
    </w:p>
    <w:p w14:paraId="6BDF7AFF" w14:textId="77777777" w:rsidR="00136648" w:rsidRPr="00136648" w:rsidRDefault="00136648" w:rsidP="00136648">
      <w:pPr>
        <w:pStyle w:val="BodyText"/>
      </w:pPr>
      <w:r w:rsidRPr="00136648">
        <w:t xml:space="preserve">To be eligible for an Entry Level extension waiver the </w:t>
      </w:r>
      <w:proofErr w:type="gramStart"/>
      <w:r w:rsidRPr="00136648">
        <w:t>child care</w:t>
      </w:r>
      <w:proofErr w:type="gramEnd"/>
      <w:r w:rsidRPr="00136648">
        <w:t xml:space="preserve"> program must be: </w:t>
      </w:r>
    </w:p>
    <w:p w14:paraId="777E7F52" w14:textId="77777777" w:rsidR="00136648" w:rsidRPr="00136648" w:rsidRDefault="00136648" w:rsidP="00C64851">
      <w:pPr>
        <w:pStyle w:val="BodyText"/>
        <w:numPr>
          <w:ilvl w:val="0"/>
          <w:numId w:val="579"/>
        </w:numPr>
      </w:pPr>
      <w:r w:rsidRPr="00136648">
        <w:t xml:space="preserve">Located in a </w:t>
      </w:r>
      <w:proofErr w:type="gramStart"/>
      <w:r w:rsidRPr="00136648">
        <w:t>child care</w:t>
      </w:r>
      <w:proofErr w:type="gramEnd"/>
      <w:r w:rsidRPr="00136648">
        <w:t xml:space="preserve"> desert (an area where the number of children younger than six years of age who have working parents is at least three times greater than the capacity of licensed child care programs in the area); or serving an underserved population* as determined by TWC. </w:t>
      </w:r>
    </w:p>
    <w:p w14:paraId="4AE76234" w14:textId="77777777" w:rsidR="00136648" w:rsidRPr="00136648" w:rsidRDefault="00136648" w:rsidP="00C64851">
      <w:pPr>
        <w:pStyle w:val="BodyText"/>
        <w:numPr>
          <w:ilvl w:val="0"/>
          <w:numId w:val="579"/>
        </w:numPr>
      </w:pPr>
      <w:r w:rsidRPr="00136648">
        <w:t>Unable to meet the certification requirements due to a declared emergency/disaster; or </w:t>
      </w:r>
    </w:p>
    <w:p w14:paraId="29AF30A5" w14:textId="77777777" w:rsidR="00136648" w:rsidRPr="00136648" w:rsidRDefault="00136648" w:rsidP="00C64851">
      <w:pPr>
        <w:pStyle w:val="BodyText"/>
        <w:numPr>
          <w:ilvl w:val="0"/>
          <w:numId w:val="579"/>
        </w:numPr>
      </w:pPr>
      <w:r w:rsidRPr="00136648">
        <w:t xml:space="preserve">Unable to meet the certification requirements due to conditions that are outside the </w:t>
      </w:r>
      <w:proofErr w:type="gramStart"/>
      <w:r w:rsidRPr="00136648">
        <w:t>child care</w:t>
      </w:r>
      <w:proofErr w:type="gramEnd"/>
      <w:r w:rsidRPr="00136648">
        <w:t xml:space="preserve"> program’s control. </w:t>
      </w:r>
    </w:p>
    <w:p w14:paraId="40E9F5EB" w14:textId="77777777" w:rsidR="00136648" w:rsidRPr="00136648" w:rsidRDefault="00136648" w:rsidP="00136648">
      <w:pPr>
        <w:pStyle w:val="BodyText"/>
      </w:pPr>
      <w:r w:rsidRPr="00136648">
        <w:t>*Note: An underserved population may include limited availability of infant capacity or care for children with disabilities. </w:t>
      </w:r>
    </w:p>
    <w:p w14:paraId="6A8C1940" w14:textId="77777777" w:rsidR="00136648" w:rsidRPr="00136648" w:rsidRDefault="00136648" w:rsidP="00136648">
      <w:pPr>
        <w:pStyle w:val="BodyText"/>
      </w:pPr>
      <w:r w:rsidRPr="00136648">
        <w:t xml:space="preserve">TWC will review all Entry Level extension waiver requests and may grant the program up to an additional 36 months to remain at Entry Level </w:t>
      </w:r>
      <w:proofErr w:type="gramStart"/>
      <w:r w:rsidRPr="00136648">
        <w:t>in order for</w:t>
      </w:r>
      <w:proofErr w:type="gramEnd"/>
      <w:r w:rsidRPr="00136648">
        <w:t xml:space="preserve"> the program to achieve Texas Rising Star certification. </w:t>
      </w:r>
    </w:p>
    <w:p w14:paraId="1BB1A723" w14:textId="77777777" w:rsidR="00136648" w:rsidRPr="00136648" w:rsidRDefault="00136648" w:rsidP="00850947">
      <w:pPr>
        <w:pStyle w:val="BodyText3"/>
      </w:pPr>
      <w:r w:rsidRPr="00136648">
        <w:t>Texas Rising Star Certification </w:t>
      </w:r>
    </w:p>
    <w:p w14:paraId="09659900" w14:textId="77777777" w:rsidR="00136648" w:rsidRPr="00136648" w:rsidRDefault="00136648" w:rsidP="00136648">
      <w:pPr>
        <w:pStyle w:val="BodyText"/>
      </w:pPr>
      <w:proofErr w:type="gramStart"/>
      <w:r w:rsidRPr="00136648">
        <w:t>Child care</w:t>
      </w:r>
      <w:proofErr w:type="gramEnd"/>
      <w:r w:rsidRPr="00136648">
        <w:t xml:space="preserve"> programs that achieve Texas Rising Star certification offer quality care that exceeds the State’s Child Care Regulation’s Licensing Minimum Standards for director and staff qualifications, teacher-child interactions, program administration, family education and engagement, and indoor/outdoor learning environments are in a better position to contribute to the early development of children. As programs progress through the levels of certification, they progressively contribute more to the development of the children they serve. </w:t>
      </w:r>
    </w:p>
    <w:p w14:paraId="19AB39B8" w14:textId="77777777" w:rsidR="00136648" w:rsidRPr="00136648" w:rsidRDefault="00136648" w:rsidP="00C64851">
      <w:pPr>
        <w:pStyle w:val="BodyText"/>
        <w:numPr>
          <w:ilvl w:val="0"/>
          <w:numId w:val="580"/>
        </w:numPr>
      </w:pPr>
      <w:r w:rsidRPr="00136648">
        <w:t>The Texas Rising Star program organizes measures into four categories.  </w:t>
      </w:r>
    </w:p>
    <w:p w14:paraId="58D1FB78" w14:textId="77777777" w:rsidR="00136648" w:rsidRPr="00136648" w:rsidRDefault="00136648" w:rsidP="00C64851">
      <w:pPr>
        <w:pStyle w:val="BodyText"/>
        <w:numPr>
          <w:ilvl w:val="0"/>
          <w:numId w:val="580"/>
        </w:numPr>
      </w:pPr>
      <w:r w:rsidRPr="00136648">
        <w:t>Category 1: Director and Staff Qualifications and Training </w:t>
      </w:r>
    </w:p>
    <w:p w14:paraId="0AA90A35" w14:textId="77777777" w:rsidR="00136648" w:rsidRPr="00136648" w:rsidRDefault="00136648" w:rsidP="00C64851">
      <w:pPr>
        <w:pStyle w:val="BodyText"/>
        <w:numPr>
          <w:ilvl w:val="0"/>
          <w:numId w:val="580"/>
        </w:numPr>
      </w:pPr>
      <w:r w:rsidRPr="00136648">
        <w:t>Category 2: Teacher-Child Interactions </w:t>
      </w:r>
    </w:p>
    <w:p w14:paraId="11F93E0B" w14:textId="77777777" w:rsidR="00136648" w:rsidRPr="00136648" w:rsidRDefault="00136648" w:rsidP="00C64851">
      <w:pPr>
        <w:pStyle w:val="BodyText"/>
        <w:numPr>
          <w:ilvl w:val="0"/>
          <w:numId w:val="580"/>
        </w:numPr>
      </w:pPr>
      <w:r w:rsidRPr="00136648">
        <w:t>Category 3: Program Administration </w:t>
      </w:r>
    </w:p>
    <w:p w14:paraId="21CDD49C" w14:textId="77777777" w:rsidR="00136648" w:rsidRPr="00136648" w:rsidRDefault="00136648" w:rsidP="00C64851">
      <w:pPr>
        <w:pStyle w:val="BodyText"/>
        <w:numPr>
          <w:ilvl w:val="0"/>
          <w:numId w:val="580"/>
        </w:numPr>
      </w:pPr>
      <w:r w:rsidRPr="00136648">
        <w:lastRenderedPageBreak/>
        <w:t>Category 4: Indoor/Outdoor Learning Environments </w:t>
      </w:r>
    </w:p>
    <w:p w14:paraId="00DA5DBC" w14:textId="77777777" w:rsidR="00136648" w:rsidRPr="00136648" w:rsidRDefault="00136648" w:rsidP="00136648">
      <w:pPr>
        <w:pStyle w:val="BodyText"/>
      </w:pPr>
      <w:r w:rsidRPr="00136648">
        <w:t>There are two types of Texas Rising Star measures – Structural Measures and Points-Based Measures. Structural measures are either Met or Not Met and can be demonstrated without a site visit. Points-based measures are based on an on-site assessment. Categories 1 and 3 have structural measures and points-based measures.  Categories 2 and 4 have only points-based measures. </w:t>
      </w:r>
    </w:p>
    <w:p w14:paraId="544AB390" w14:textId="77777777" w:rsidR="00136648" w:rsidRPr="00136648" w:rsidRDefault="00136648" w:rsidP="00136648">
      <w:pPr>
        <w:pStyle w:val="BodyText"/>
      </w:pPr>
      <w:r w:rsidRPr="00136648">
        <w:rPr>
          <w:i/>
          <w:iCs/>
        </w:rPr>
        <w:t>Star-Level Drops</w:t>
      </w:r>
      <w:r w:rsidRPr="00136648">
        <w:t> </w:t>
      </w:r>
    </w:p>
    <w:p w14:paraId="50D772FB" w14:textId="77777777" w:rsidR="00136648" w:rsidRPr="00136648" w:rsidRDefault="00136648" w:rsidP="00136648">
      <w:pPr>
        <w:pStyle w:val="BodyText"/>
      </w:pPr>
      <w:r w:rsidRPr="00136648">
        <w:t>Certified Texas Rising Star programs will incur a star-level drop for certain high-risk deficiencies cited during the most recent six-month CCR licensing period. Two-Star certified programs will be placed on suspension status. </w:t>
      </w:r>
    </w:p>
    <w:p w14:paraId="7462DA0D" w14:textId="77777777" w:rsidR="00136648" w:rsidRPr="00136648" w:rsidRDefault="00136648" w:rsidP="00136648">
      <w:pPr>
        <w:pStyle w:val="BodyText"/>
      </w:pPr>
      <w:r w:rsidRPr="00136648">
        <w:rPr>
          <w:i/>
          <w:iCs/>
        </w:rPr>
        <w:t>Probationary Status</w:t>
      </w:r>
      <w:r w:rsidRPr="00136648">
        <w:t> </w:t>
      </w:r>
    </w:p>
    <w:p w14:paraId="0F5420E2" w14:textId="77777777" w:rsidR="00136648" w:rsidRPr="00136648" w:rsidRDefault="00136648" w:rsidP="00136648">
      <w:pPr>
        <w:pStyle w:val="BodyText"/>
      </w:pPr>
      <w:r w:rsidRPr="00136648">
        <w:t>Texas Rising Star-certified programs can be placed on a six-month probationary period if CCR cites the program for certain high-risk deficiencies or if CCR citations for high- to medium-higher risk exceed the threshold designated by the Texas Rising Star Guidelines.   </w:t>
      </w:r>
    </w:p>
    <w:p w14:paraId="297E30D4" w14:textId="77777777" w:rsidR="00136648" w:rsidRPr="00136648" w:rsidRDefault="00136648" w:rsidP="00136648">
      <w:pPr>
        <w:pStyle w:val="BodyText"/>
      </w:pPr>
      <w:r w:rsidRPr="00136648">
        <w:rPr>
          <w:i/>
          <w:iCs/>
        </w:rPr>
        <w:t>Suspensions</w:t>
      </w:r>
      <w:r w:rsidRPr="00136648">
        <w:t> </w:t>
      </w:r>
    </w:p>
    <w:p w14:paraId="69240DBB" w14:textId="77777777" w:rsidR="00136648" w:rsidRPr="00136648" w:rsidRDefault="00136648" w:rsidP="00136648">
      <w:pPr>
        <w:pStyle w:val="BodyText"/>
      </w:pPr>
      <w:r w:rsidRPr="00136648">
        <w:t xml:space="preserve">Suspension status, available for a maximum of 15 months, occurs when a certified program falls below the Two-Star level. A </w:t>
      </w:r>
      <w:proofErr w:type="gramStart"/>
      <w:r w:rsidRPr="00136648">
        <w:t>child care</w:t>
      </w:r>
      <w:proofErr w:type="gramEnd"/>
      <w:r w:rsidRPr="00136648">
        <w:t xml:space="preserve"> program that is placed on suspension status is still considered as participating in Texas Rising Star, but it is no longer considered certified and does not qualify for the Entry Level designation time frame. The program is required to maintain the Entry Level points threshold during the suspension status and will be reviewed monthly for Entry Level points threshold compliance. </w:t>
      </w:r>
    </w:p>
    <w:p w14:paraId="272F9B2C" w14:textId="77777777" w:rsidR="00136648" w:rsidRPr="00136648" w:rsidRDefault="00136648" w:rsidP="00136648">
      <w:pPr>
        <w:pStyle w:val="BodyText"/>
      </w:pPr>
      <w:r w:rsidRPr="00136648">
        <w:t xml:space="preserve">Programs on suspension status will be eligible for reassessment after six months following the start of its suspension, </w:t>
      </w:r>
      <w:proofErr w:type="gramStart"/>
      <w:r w:rsidRPr="00136648">
        <w:t>as long as</w:t>
      </w:r>
      <w:proofErr w:type="gramEnd"/>
      <w:r w:rsidRPr="00136648">
        <w:t xml:space="preserve"> no additional specified licensing deficiencies noted within sections 3 and/or 4 of the screening form are cited during the suspension period. The program must comply with eligibility requirements and request a reassessment via the online request form within 15 months of the suspension impact. </w:t>
      </w:r>
    </w:p>
    <w:p w14:paraId="6860B176" w14:textId="77777777" w:rsidR="00136648" w:rsidRPr="00136648" w:rsidRDefault="00136648" w:rsidP="00136648">
      <w:pPr>
        <w:pStyle w:val="BodyText"/>
      </w:pPr>
      <w:proofErr w:type="gramStart"/>
      <w:r w:rsidRPr="00136648">
        <w:t>Child care</w:t>
      </w:r>
      <w:proofErr w:type="gramEnd"/>
      <w:r w:rsidRPr="00136648">
        <w:t xml:space="preserve"> programs unable (or ineligible) to move out of suspension status by the ninth month of the suspension will not receive new CCS family referrals, unless the child care program is located in a child care desert or serves an underserved population as defined and approved by TWC. </w:t>
      </w:r>
    </w:p>
    <w:p w14:paraId="6084EAD6" w14:textId="77777777" w:rsidR="00136648" w:rsidRPr="00136648" w:rsidRDefault="00136648" w:rsidP="00136648">
      <w:pPr>
        <w:pStyle w:val="BodyText"/>
      </w:pPr>
      <w:r w:rsidRPr="00136648">
        <w:t xml:space="preserve">More information on star-level drop citations, probationary citations, and suspensions is on the </w:t>
      </w:r>
      <w:hyperlink r:id="rId92" w:tgtFrame="_blank" w:history="1">
        <w:r w:rsidRPr="00136648">
          <w:rPr>
            <w:rStyle w:val="Hyperlink"/>
          </w:rPr>
          <w:t>Texas Rising Star website</w:t>
        </w:r>
      </w:hyperlink>
      <w:r w:rsidRPr="00136648">
        <w:t>. </w:t>
      </w:r>
    </w:p>
    <w:p w14:paraId="24829E28" w14:textId="77777777" w:rsidR="00136648" w:rsidRPr="00136648" w:rsidRDefault="00136648" w:rsidP="00850947">
      <w:pPr>
        <w:pStyle w:val="BodyText3"/>
        <w:ind w:left="720" w:hanging="720"/>
      </w:pPr>
      <w:r w:rsidRPr="00136648">
        <w:t>F.</w:t>
      </w:r>
      <w:r w:rsidRPr="00136648">
        <w:tab/>
        <w:t xml:space="preserve">Describe how the division or program is administered, including a description of key processes involved. If you have existing documentation (e.g., </w:t>
      </w:r>
      <w:r w:rsidRPr="00136648">
        <w:lastRenderedPageBreak/>
        <w:t>flowcharts, timelines, and other illustrations) to describe agency policies and procedures, please include them as attachments. Indicate how field/regional services are used, if applicable. </w:t>
      </w:r>
    </w:p>
    <w:p w14:paraId="350FD886" w14:textId="77777777" w:rsidR="00136648" w:rsidRPr="00136648" w:rsidRDefault="00136648" w:rsidP="00850947">
      <w:pPr>
        <w:pStyle w:val="BodyText3"/>
      </w:pPr>
      <w:r w:rsidRPr="00136648">
        <w:t>Texas Rising Star Assessments </w:t>
      </w:r>
    </w:p>
    <w:p w14:paraId="3BF26D30" w14:textId="77777777" w:rsidR="00136648" w:rsidRPr="00136648" w:rsidRDefault="00136648" w:rsidP="00136648">
      <w:pPr>
        <w:pStyle w:val="BodyText"/>
      </w:pPr>
      <w:r w:rsidRPr="00136648">
        <w:t xml:space="preserve">Texas Rising Star program assessments are conducted by TWC’s CAE housed at CLI.  Texas Rising Star requires several types of on-site visits to assess and monitor the ongoing quality of Texas Rising Star–certified </w:t>
      </w:r>
      <w:proofErr w:type="gramStart"/>
      <w:r w:rsidRPr="00136648">
        <w:t>child care</w:t>
      </w:r>
      <w:proofErr w:type="gramEnd"/>
      <w:r w:rsidRPr="00136648">
        <w:t xml:space="preserve"> programs. </w:t>
      </w:r>
    </w:p>
    <w:p w14:paraId="498D0C92" w14:textId="551FB28E" w:rsidR="00136648" w:rsidRPr="00136648" w:rsidRDefault="00136648" w:rsidP="00136648">
      <w:pPr>
        <w:pStyle w:val="BodyText"/>
      </w:pPr>
      <w:r w:rsidRPr="00136648">
        <w:t xml:space="preserve">All assessments, except the annual monitoring visit and Service Improvement Agreement assessments, must be formally requested by the child care program through the online </w:t>
      </w:r>
      <w:hyperlink r:id="rId93">
        <w:r w:rsidRPr="01008A5A">
          <w:rPr>
            <w:rStyle w:val="Hyperlink"/>
          </w:rPr>
          <w:t>Texas Rising Star Certification Request Form</w:t>
        </w:r>
      </w:hyperlink>
      <w:r w:rsidRPr="00136648">
        <w:t xml:space="preserve"> found on the </w:t>
      </w:r>
      <w:hyperlink r:id="rId94">
        <w:r w:rsidRPr="01008A5A">
          <w:rPr>
            <w:rStyle w:val="Hyperlink"/>
          </w:rPr>
          <w:t>Texas Rising Star Tools tab</w:t>
        </w:r>
      </w:hyperlink>
      <w:r>
        <w:t>.</w:t>
      </w:r>
      <w:r w:rsidRPr="00136648">
        <w:t xml:space="preserve"> Prior to all assessments, Texas Rising Star staff will complete the </w:t>
      </w:r>
      <w:hyperlink r:id="rId95">
        <w:r w:rsidRPr="01008A5A">
          <w:rPr>
            <w:rStyle w:val="Hyperlink"/>
          </w:rPr>
          <w:t>appropriate screening form</w:t>
        </w:r>
      </w:hyperlink>
      <w:r>
        <w:t>.  </w:t>
      </w:r>
    </w:p>
    <w:p w14:paraId="7184641E" w14:textId="3DD46F4C" w:rsidR="00136648" w:rsidRPr="00136648" w:rsidRDefault="00136648" w:rsidP="00136648">
      <w:pPr>
        <w:pStyle w:val="BodyText"/>
      </w:pPr>
      <w:r w:rsidRPr="00136648">
        <w:t xml:space="preserve">Texas Rising Star assessors evaluate the program </w:t>
      </w:r>
      <w:proofErr w:type="gramStart"/>
      <w:r w:rsidRPr="00136648">
        <w:t>as a whole with</w:t>
      </w:r>
      <w:proofErr w:type="gramEnd"/>
      <w:r w:rsidRPr="00136648">
        <w:t xml:space="preserve"> the Facility Assessment Record Form and each classroom with the age-appropriate Classroom Assessment Record Form by scoring each of the applicable measures specific to the facility type and/or the classroom’s age group. The assessor then enters the assessment scores into CLI Engage, which generates the program’s final star-level certification. </w:t>
      </w:r>
    </w:p>
    <w:p w14:paraId="031AE90F" w14:textId="77777777" w:rsidR="00136648" w:rsidRPr="00136648" w:rsidRDefault="00136648" w:rsidP="00136648">
      <w:pPr>
        <w:pStyle w:val="BodyText"/>
      </w:pPr>
      <w:r w:rsidRPr="00136648">
        <w:rPr>
          <w:i/>
          <w:iCs/>
        </w:rPr>
        <w:t>Initial Assessment</w:t>
      </w:r>
      <w:r w:rsidRPr="00136648">
        <w:t> </w:t>
      </w:r>
    </w:p>
    <w:p w14:paraId="4DCFA3D7" w14:textId="77777777" w:rsidR="00136648" w:rsidRPr="00136648" w:rsidRDefault="00136648" w:rsidP="00136648">
      <w:pPr>
        <w:pStyle w:val="BodyText"/>
      </w:pPr>
      <w:r w:rsidRPr="00136648">
        <w:t xml:space="preserve">The Initial Assessment is a full assessment of all Texas Rising Star measures. The assessor confirms all required measures, such as written policies, are verified. The assessor assesses the points-based measures, such as teacher-child interactions and environments in observation blocks of one to one-and-a-half hours per classroom. Programs may not become certified with only structural (required) measures reviewed. Effective Sept.1, 2024, through Sept.30, 2025, the Commission approved a temporary waiver to allow Entry Level-designated </w:t>
      </w:r>
      <w:proofErr w:type="gramStart"/>
      <w:r w:rsidRPr="00136648">
        <w:t>child care</w:t>
      </w:r>
      <w:proofErr w:type="gramEnd"/>
      <w:r w:rsidRPr="00136648">
        <w:t xml:space="preserve"> programs may request a Structural Measure (desk review) Initial Assessment. With this assessment request, the program must submit all documentation needed to score only the structural (required, met/not-met) measures. No on-site visit will be provided, and the highest star level that can be achieved is Two-Star. </w:t>
      </w:r>
    </w:p>
    <w:p w14:paraId="2A9127CE" w14:textId="77777777" w:rsidR="00136648" w:rsidRPr="00136648" w:rsidRDefault="00136648" w:rsidP="00136648">
      <w:pPr>
        <w:pStyle w:val="BodyText"/>
      </w:pPr>
      <w:r w:rsidRPr="00136648">
        <w:t>This type of assessment is requested by Entry-Level designated programs seeking initial certification and by programs that are returning to CCS as a certified program. This type of assessment may also be requested by programs that are in suspension status seeking certification. </w:t>
      </w:r>
    </w:p>
    <w:p w14:paraId="2315F84F" w14:textId="77777777" w:rsidR="00136648" w:rsidRPr="00136648" w:rsidRDefault="00136648" w:rsidP="00136648">
      <w:pPr>
        <w:pStyle w:val="BodyText"/>
      </w:pPr>
      <w:r w:rsidRPr="00136648">
        <w:rPr>
          <w:i/>
          <w:iCs/>
        </w:rPr>
        <w:t>Annual Monitoring Visit</w:t>
      </w:r>
      <w:r w:rsidRPr="00136648">
        <w:t> </w:t>
      </w:r>
    </w:p>
    <w:p w14:paraId="68E78F6F" w14:textId="77777777" w:rsidR="00136648" w:rsidRPr="00136648" w:rsidRDefault="00136648" w:rsidP="00136648">
      <w:pPr>
        <w:pStyle w:val="BodyText"/>
      </w:pPr>
      <w:r w:rsidRPr="00136648">
        <w:t xml:space="preserve">The annual monitoring visit (annual monitoring) is unannounced and must be conducted before the yearly anniversary date of the Texas Rising Star certification start date. </w:t>
      </w:r>
      <w:r w:rsidRPr="00136648">
        <w:lastRenderedPageBreak/>
        <w:t>Programs will receive two annual monitoring visits during the duration of their three-year certification period. </w:t>
      </w:r>
    </w:p>
    <w:p w14:paraId="5A737A55" w14:textId="77777777" w:rsidR="00136648" w:rsidRPr="00136648" w:rsidRDefault="00136648" w:rsidP="00136648">
      <w:pPr>
        <w:pStyle w:val="BodyText"/>
      </w:pPr>
      <w:r w:rsidRPr="00136648">
        <w:t xml:space="preserve">The unannounced annual monitoring is required by </w:t>
      </w:r>
      <w:hyperlink r:id="rId96" w:tgtFrame="_blank" w:history="1">
        <w:r w:rsidRPr="00136648">
          <w:rPr>
            <w:rStyle w:val="Hyperlink"/>
          </w:rPr>
          <w:t>§809.133(d)(1)</w:t>
        </w:r>
      </w:hyperlink>
      <w:r w:rsidRPr="00136648">
        <w:t>—there is no two-week window for annual monitoring visits, and the timing is at the sole discretion of Texas Rising Star assessor staff. Before an annual monitoring visit, the assessor will also complete the appropriate Texas Rising Star Screening Form to review the program’s recent CCR licensing history and determine whether there are any impacts on the program’s certification status or mentoring needs. </w:t>
      </w:r>
    </w:p>
    <w:p w14:paraId="0BBC8949" w14:textId="77777777" w:rsidR="00136648" w:rsidRPr="00136648" w:rsidRDefault="00136648" w:rsidP="00136648">
      <w:pPr>
        <w:pStyle w:val="BodyText"/>
      </w:pPr>
      <w:proofErr w:type="gramStart"/>
      <w:r w:rsidRPr="00136648">
        <w:t>In an effort to</w:t>
      </w:r>
      <w:proofErr w:type="gramEnd"/>
      <w:r w:rsidRPr="00136648">
        <w:t xml:space="preserve"> support the CAE in conducting timely past-due Initial Assessments for Entry Level-designated programs, the Commission approved a waiver for Annual Monitoring visits. Effective Oct.1, 2023, certified programs will have their annual monitoring visit waived. This waiver was extended to end Sept.30, 2025. </w:t>
      </w:r>
    </w:p>
    <w:p w14:paraId="15E55C44" w14:textId="77777777" w:rsidR="00136648" w:rsidRPr="00136648" w:rsidRDefault="00136648" w:rsidP="00136648">
      <w:pPr>
        <w:pStyle w:val="BodyText"/>
      </w:pPr>
      <w:r w:rsidRPr="00136648">
        <w:rPr>
          <w:i/>
          <w:iCs/>
        </w:rPr>
        <w:t>Recertification Assessment</w:t>
      </w:r>
      <w:r w:rsidRPr="00136648">
        <w:t> </w:t>
      </w:r>
    </w:p>
    <w:p w14:paraId="042F1003" w14:textId="77777777" w:rsidR="00136648" w:rsidRPr="00136648" w:rsidRDefault="00136648" w:rsidP="00136648">
      <w:pPr>
        <w:pStyle w:val="BodyText"/>
      </w:pPr>
      <w:r w:rsidRPr="00136648">
        <w:t>Texas Rising Star certification lasts three years. The Recertification Assessment will occur no later than three years to the month of the previous full-site assessment and certification for any Texas Rising Star–certified program. </w:t>
      </w:r>
    </w:p>
    <w:p w14:paraId="5CA3EF93" w14:textId="77777777" w:rsidR="00136648" w:rsidRPr="00136648" w:rsidRDefault="00136648" w:rsidP="00136648">
      <w:pPr>
        <w:pStyle w:val="BodyText"/>
      </w:pPr>
      <w:r w:rsidRPr="00136648">
        <w:t>Except for programs with TWC-recognized national accreditation, the recertification assessment requires that 100 percent of classrooms are assessed, all required measures are verified, and all points-based measures are scored for all categories. </w:t>
      </w:r>
    </w:p>
    <w:p w14:paraId="3DA42E68" w14:textId="77777777" w:rsidR="00136648" w:rsidRPr="00136648" w:rsidRDefault="00136648" w:rsidP="00136648">
      <w:pPr>
        <w:pStyle w:val="BodyText"/>
      </w:pPr>
      <w:r w:rsidRPr="00136648">
        <w:t xml:space="preserve">A program’s star level before the Recertification Assessment does not affect the assessment result; programs may lose, gain, or maintain a star level </w:t>
      </w:r>
      <w:proofErr w:type="gramStart"/>
      <w:r w:rsidRPr="00136648">
        <w:t>as a result of</w:t>
      </w:r>
      <w:proofErr w:type="gramEnd"/>
      <w:r w:rsidRPr="00136648">
        <w:t xml:space="preserve"> the Recertification Assessment. </w:t>
      </w:r>
    </w:p>
    <w:p w14:paraId="18B1CEE1" w14:textId="77777777" w:rsidR="00136648" w:rsidRPr="00136648" w:rsidRDefault="00136648" w:rsidP="00136648">
      <w:pPr>
        <w:pStyle w:val="BodyText"/>
      </w:pPr>
      <w:r w:rsidRPr="00136648">
        <w:t>Within three months before the three-year anniversary of the Texas Rising Star certification end date, Texas Rising Star-certified programs must: </w:t>
      </w:r>
    </w:p>
    <w:p w14:paraId="785A4C60" w14:textId="77777777" w:rsidR="00136648" w:rsidRPr="00136648" w:rsidRDefault="00136648" w:rsidP="00C64851">
      <w:pPr>
        <w:pStyle w:val="BodyText"/>
        <w:numPr>
          <w:ilvl w:val="0"/>
          <w:numId w:val="560"/>
        </w:numPr>
      </w:pPr>
      <w:r w:rsidRPr="00136648">
        <w:t xml:space="preserve">Submit a Texas Rising Star recertification request, through the online </w:t>
      </w:r>
      <w:hyperlink r:id="rId97" w:tgtFrame="_blank" w:history="1">
        <w:r w:rsidRPr="00136648">
          <w:rPr>
            <w:rStyle w:val="Hyperlink"/>
          </w:rPr>
          <w:t>Texas Rising Star Certification Request Form</w:t>
        </w:r>
      </w:hyperlink>
      <w:r w:rsidRPr="00136648">
        <w:t>. </w:t>
      </w:r>
    </w:p>
    <w:p w14:paraId="3B30F962" w14:textId="77777777" w:rsidR="00136648" w:rsidRPr="00136648" w:rsidRDefault="00136648" w:rsidP="00C64851">
      <w:pPr>
        <w:pStyle w:val="BodyText"/>
        <w:numPr>
          <w:ilvl w:val="0"/>
          <w:numId w:val="560"/>
        </w:numPr>
      </w:pPr>
      <w:r w:rsidRPr="00136648">
        <w:t>Upload into CLI Engage </w:t>
      </w:r>
    </w:p>
    <w:p w14:paraId="60DBFDD7" w14:textId="458C1C78" w:rsidR="00136648" w:rsidRPr="00136648" w:rsidRDefault="008607CA" w:rsidP="00C64851">
      <w:pPr>
        <w:pStyle w:val="BodyText"/>
        <w:numPr>
          <w:ilvl w:val="1"/>
          <w:numId w:val="634"/>
        </w:numPr>
      </w:pPr>
      <w:r>
        <w:t>A</w:t>
      </w:r>
      <w:r w:rsidR="00136648" w:rsidRPr="00136648">
        <w:t xml:space="preserve"> completed Texas Rising Star Screening Form </w:t>
      </w:r>
    </w:p>
    <w:p w14:paraId="72A607C1" w14:textId="76D9854C" w:rsidR="00136648" w:rsidRPr="00136648" w:rsidRDefault="008607CA" w:rsidP="00C64851">
      <w:pPr>
        <w:pStyle w:val="BodyText"/>
        <w:numPr>
          <w:ilvl w:val="1"/>
          <w:numId w:val="634"/>
        </w:numPr>
      </w:pPr>
      <w:r>
        <w:t>A</w:t>
      </w:r>
      <w:r w:rsidR="00136648" w:rsidRPr="00136648">
        <w:t xml:space="preserve"> FARF self-assessment </w:t>
      </w:r>
    </w:p>
    <w:p w14:paraId="66847178" w14:textId="33DCCAEF" w:rsidR="00136648" w:rsidRPr="00136648" w:rsidRDefault="008607CA" w:rsidP="00C64851">
      <w:pPr>
        <w:pStyle w:val="BodyText"/>
        <w:numPr>
          <w:ilvl w:val="1"/>
          <w:numId w:val="634"/>
        </w:numPr>
      </w:pPr>
      <w:r>
        <w:t>A</w:t>
      </w:r>
      <w:r w:rsidR="00136648" w:rsidRPr="00136648">
        <w:t>ny additional required documents (such as parent and staff handbooks or a classroom roster </w:t>
      </w:r>
    </w:p>
    <w:p w14:paraId="0201FA44" w14:textId="77777777" w:rsidR="00136648" w:rsidRPr="00136648" w:rsidRDefault="00136648" w:rsidP="00136648">
      <w:pPr>
        <w:pStyle w:val="BodyText"/>
      </w:pPr>
      <w:r w:rsidRPr="00136648">
        <w:rPr>
          <w:i/>
          <w:iCs/>
        </w:rPr>
        <w:t>Star Level Evaluation</w:t>
      </w:r>
      <w:r w:rsidRPr="00136648">
        <w:t> </w:t>
      </w:r>
    </w:p>
    <w:p w14:paraId="64C3D242" w14:textId="77777777" w:rsidR="00136648" w:rsidRPr="00136648" w:rsidRDefault="00136648" w:rsidP="00136648">
      <w:pPr>
        <w:pStyle w:val="BodyText"/>
      </w:pPr>
      <w:r w:rsidRPr="00136648">
        <w:lastRenderedPageBreak/>
        <w:t>Texas Rising Star Two- and Three-Star programs may make significant improvements across Texas Rising Star measures that could result in a higher star-level certification upon reassessment. In these cases, the programs may request a Star-Level Evaluation to seek a higher star-level. Star-Level Evaluations are conducted upon mutual agreement between the Texas Rising Star program and the appropriate Board and can occur at any time. Star-Level Evaluations are full assessments of all classrooms, categories, and applicable measures. </w:t>
      </w:r>
    </w:p>
    <w:p w14:paraId="47661740" w14:textId="77777777" w:rsidR="00136648" w:rsidRPr="00136648" w:rsidRDefault="00136648" w:rsidP="00136648">
      <w:pPr>
        <w:pStyle w:val="BodyText"/>
      </w:pPr>
      <w:r w:rsidRPr="00136648">
        <w:t>Because the Star-Level Evaluation is a full assessment, the three-year recertification cycle resets to the date of the Star-Level Evaluation (that is, the date of the Initial Assessment is no longer used to determine the recertification date), regardless of the star level resulting from the Star-Level Evaluation. </w:t>
      </w:r>
    </w:p>
    <w:p w14:paraId="3296D3F5" w14:textId="77777777" w:rsidR="00136648" w:rsidRPr="00136648" w:rsidRDefault="00136648" w:rsidP="00136648">
      <w:pPr>
        <w:pStyle w:val="BodyText"/>
      </w:pPr>
      <w:r w:rsidRPr="00136648">
        <w:rPr>
          <w:i/>
          <w:iCs/>
        </w:rPr>
        <w:t>Category Reassessment</w:t>
      </w:r>
      <w:r w:rsidRPr="00136648">
        <w:t> </w:t>
      </w:r>
    </w:p>
    <w:p w14:paraId="55F23473" w14:textId="77777777" w:rsidR="00136648" w:rsidRPr="00136648" w:rsidRDefault="00136648" w:rsidP="00136648">
      <w:pPr>
        <w:pStyle w:val="BodyText"/>
      </w:pPr>
      <w:r w:rsidRPr="00136648">
        <w:t>A Category Reassessment may only be requested by a program who has recently received a full assessment (Initial, Recertification, or Star-Level Evaluation) regardless of certification status. A reassessment of no more than two of the program’s lowest-rated categories will be conducted, within 30 days from the Texas Rising Star certification effective date. Category Reassessments will be completed within 60 days of the request. Only one Category Reassessment can be requested per full assessment. </w:t>
      </w:r>
    </w:p>
    <w:p w14:paraId="47D31557" w14:textId="77777777" w:rsidR="00136648" w:rsidRPr="00136648" w:rsidRDefault="00136648" w:rsidP="00136648">
      <w:pPr>
        <w:pStyle w:val="BodyText"/>
      </w:pPr>
      <w:r w:rsidRPr="00136648">
        <w:t>If a program requesting a reassessment of the lowest-rated category or categories has experienced a change of director or staff within the three months, then Category 1—Director and Staff Qualifications must also be reassessed. </w:t>
      </w:r>
    </w:p>
    <w:p w14:paraId="07E68439" w14:textId="77777777" w:rsidR="00136648" w:rsidRPr="00136648" w:rsidRDefault="00136648" w:rsidP="00136648">
      <w:pPr>
        <w:pStyle w:val="BodyText"/>
      </w:pPr>
      <w:r w:rsidRPr="00136648">
        <w:t>Note: A Texas Rising Star-certified program that is on Texas Rising Star probation or has had a loss of star level due to licensing violations is not eligible for a Category Reassessment. </w:t>
      </w:r>
    </w:p>
    <w:p w14:paraId="316B3B7A" w14:textId="77777777" w:rsidR="00136648" w:rsidRPr="00136648" w:rsidRDefault="00136648" w:rsidP="00136648">
      <w:pPr>
        <w:pStyle w:val="BodyText"/>
      </w:pPr>
      <w:r w:rsidRPr="00136648">
        <w:rPr>
          <w:i/>
          <w:iCs/>
        </w:rPr>
        <w:t>Service Improvement Agreements</w:t>
      </w:r>
      <w:r w:rsidRPr="00136648">
        <w:t> </w:t>
      </w:r>
    </w:p>
    <w:p w14:paraId="0D37F139" w14:textId="586CED0C" w:rsidR="00136648" w:rsidRPr="00136648" w:rsidRDefault="5F8ACB74" w:rsidP="00136648">
      <w:pPr>
        <w:pStyle w:val="BodyText"/>
      </w:pPr>
      <w:r>
        <w:t>Service Improvement Agreement</w:t>
      </w:r>
      <w:r w:rsidR="00136648">
        <w:t>s</w:t>
      </w:r>
      <w:r w:rsidR="00136648" w:rsidRPr="00136648">
        <w:t xml:space="preserve"> go into effect when a program fails to maintain its certified star level at the annual monitoring visit and last a mandatory six months. </w:t>
      </w:r>
      <w:r w:rsidR="5D1141DF">
        <w:t>Service Improvement Agreement</w:t>
      </w:r>
      <w:r w:rsidR="00136648" w:rsidRPr="00136648">
        <w:t xml:space="preserve">s give programs an opportunity to receive mentoring and supports before potentially losing a star level of Texas Rising Star certification at the next recertification assessment. Technical assistance is available via the mentor and documented within the CQIP and is targeted toward the Texas Rising Star categories that led to the </w:t>
      </w:r>
      <w:r w:rsidR="3A19D9CE">
        <w:t>Service Improvement Agreement</w:t>
      </w:r>
      <w:r w:rsidR="00136648" w:rsidRPr="00136648">
        <w:t>. </w:t>
      </w:r>
    </w:p>
    <w:p w14:paraId="362DC7BD" w14:textId="467025E0" w:rsidR="00136648" w:rsidRPr="00136648" w:rsidRDefault="00136648" w:rsidP="00136648">
      <w:pPr>
        <w:pStyle w:val="BodyText"/>
      </w:pPr>
      <w:proofErr w:type="gramStart"/>
      <w:r>
        <w:t>An</w:t>
      </w:r>
      <w:proofErr w:type="gramEnd"/>
      <w:r>
        <w:t xml:space="preserve"> </w:t>
      </w:r>
      <w:r w:rsidR="67F29F2A">
        <w:t>Service Improvement Agreement</w:t>
      </w:r>
      <w:r w:rsidRPr="00136648">
        <w:t xml:space="preserve"> Assessment for all classrooms will be conducted within 30 days of the </w:t>
      </w:r>
      <w:r w:rsidR="2D1380FA">
        <w:t>Service Improvement Agreement</w:t>
      </w:r>
      <w:r>
        <w:t xml:space="preserve"> </w:t>
      </w:r>
      <w:r w:rsidRPr="00136648">
        <w:t xml:space="preserve">end date on the Texas Rising Star categories found deficient to determine the new star level, if applicable. </w:t>
      </w:r>
      <w:r w:rsidR="38CA01AF">
        <w:t xml:space="preserve"> Service Improvement Agreement</w:t>
      </w:r>
      <w:r w:rsidRPr="00136648">
        <w:t xml:space="preserve"> assessments that result in a lower star level will have the opportunity to revise their CQIP with goals focused on increasing the star level. </w:t>
      </w:r>
    </w:p>
    <w:p w14:paraId="155461B3" w14:textId="77777777" w:rsidR="00136648" w:rsidRPr="00136648" w:rsidRDefault="00136648" w:rsidP="00136648">
      <w:pPr>
        <w:pStyle w:val="BodyText"/>
      </w:pPr>
      <w:r w:rsidRPr="00136648">
        <w:rPr>
          <w:i/>
          <w:iCs/>
        </w:rPr>
        <w:lastRenderedPageBreak/>
        <w:t>Reconsideration</w:t>
      </w:r>
      <w:r w:rsidRPr="00136648">
        <w:t> </w:t>
      </w:r>
    </w:p>
    <w:p w14:paraId="3FD58231" w14:textId="77777777" w:rsidR="00136648" w:rsidRPr="00136648" w:rsidRDefault="00136648" w:rsidP="00136648">
      <w:pPr>
        <w:pStyle w:val="BodyText"/>
      </w:pPr>
      <w:r w:rsidRPr="00136648">
        <w:t xml:space="preserve">TWC Chapter 809 Child Care Services rule </w:t>
      </w:r>
      <w:hyperlink r:id="rId98" w:tgtFrame="_blank" w:history="1">
        <w:r w:rsidRPr="00136648">
          <w:rPr>
            <w:rStyle w:val="Hyperlink"/>
          </w:rPr>
          <w:t>§809.135</w:t>
        </w:r>
      </w:hyperlink>
      <w:r w:rsidRPr="00136648">
        <w:t xml:space="preserve"> requires TWC’s assessment entity to ensure a process for reconsideration of facility assessment. </w:t>
      </w:r>
    </w:p>
    <w:p w14:paraId="7CF06617" w14:textId="77777777" w:rsidR="00136648" w:rsidRPr="00136648" w:rsidRDefault="00136648" w:rsidP="00136648">
      <w:pPr>
        <w:pStyle w:val="BodyText"/>
      </w:pPr>
      <w:r w:rsidRPr="00136648">
        <w:t xml:space="preserve">A reconsideration may be requested by a program after any assessment, including annual monitoring visits, when the program that feels that their assessment was inaccurate or unfairly conducted. When requesting the reconsideration via the online request form, a </w:t>
      </w:r>
      <w:proofErr w:type="gramStart"/>
      <w:r w:rsidRPr="00136648">
        <w:t>child care</w:t>
      </w:r>
      <w:proofErr w:type="gramEnd"/>
      <w:r w:rsidRPr="00136648">
        <w:t xml:space="preserve"> program must provide specific details of which items are being requested for reconsideration (such as specific measures, specific categories, or the whole assessment). This request must be made within 10 business days of receiving the assessment results. </w:t>
      </w:r>
    </w:p>
    <w:p w14:paraId="2D898DD2" w14:textId="77777777" w:rsidR="00136648" w:rsidRPr="00136648" w:rsidRDefault="00136648" w:rsidP="00136648">
      <w:pPr>
        <w:pStyle w:val="BodyText"/>
      </w:pPr>
      <w:r w:rsidRPr="00136648">
        <w:t>The reconsideration process may include scheduling a second assessment with the same assessor, a second visit with two assessors, or an assessment with a different assessor. The reconsideration may also involve a reassessment of a category and/or measure as requested by the program. The Board may make additional mentoring services available to assist the program in meeting Texas Rising Star standards when a program has requested a reconsideration. </w:t>
      </w:r>
    </w:p>
    <w:p w14:paraId="111288BC" w14:textId="77777777" w:rsidR="00136648" w:rsidRPr="00136648" w:rsidRDefault="00136648" w:rsidP="00136648">
      <w:pPr>
        <w:pStyle w:val="BodyText"/>
      </w:pPr>
      <w:r w:rsidRPr="00136648">
        <w:t>Boards must make programs aware of the CAE’s policies regarding the reconsideration process, time restrictions on requesting a reconsideration, the number of reconsiderations allowed, and the elements eligible for reconsideration. </w:t>
      </w:r>
    </w:p>
    <w:p w14:paraId="0F1446CD" w14:textId="77777777" w:rsidR="00136648" w:rsidRPr="00136648" w:rsidRDefault="00136648" w:rsidP="00136648">
      <w:pPr>
        <w:pStyle w:val="BodyText"/>
      </w:pPr>
      <w:r w:rsidRPr="00136648">
        <w:t>The reconsideration process is only available for the Texas Rising Star measures.  If a provider has Child Care Regulation deficiencies that impact their Texas Rising Star status, they must pursue any appeals through Child Care Regulation.   </w:t>
      </w:r>
    </w:p>
    <w:p w14:paraId="17ECEA49" w14:textId="77777777" w:rsidR="00136648" w:rsidRPr="00136648" w:rsidRDefault="00136648" w:rsidP="008607CA">
      <w:pPr>
        <w:pStyle w:val="BodyText3"/>
      </w:pPr>
      <w:r w:rsidRPr="00136648">
        <w:t>Facility Changes </w:t>
      </w:r>
    </w:p>
    <w:p w14:paraId="76E4B4C1" w14:textId="77777777" w:rsidR="00136648" w:rsidRPr="00136648" w:rsidRDefault="00136648" w:rsidP="00136648">
      <w:pPr>
        <w:pStyle w:val="BodyText"/>
      </w:pPr>
      <w:r w:rsidRPr="00136648">
        <w:t xml:space="preserve">There are varying types of changes a </w:t>
      </w:r>
      <w:proofErr w:type="gramStart"/>
      <w:r w:rsidRPr="00136648">
        <w:t>child care</w:t>
      </w:r>
      <w:proofErr w:type="gramEnd"/>
      <w:r w:rsidRPr="00136648">
        <w:t xml:space="preserve"> program may go through while being Texas Rising Star certified. These changes may affect the type of care that is being provided, requiring action by the Board and/or assessor. </w:t>
      </w:r>
    </w:p>
    <w:p w14:paraId="3EF73FD5" w14:textId="77777777" w:rsidR="00136648" w:rsidRPr="00136648" w:rsidRDefault="00136648" w:rsidP="00C64851">
      <w:pPr>
        <w:pStyle w:val="BodyText"/>
        <w:numPr>
          <w:ilvl w:val="0"/>
          <w:numId w:val="581"/>
        </w:numPr>
      </w:pPr>
      <w:r w:rsidRPr="00136648">
        <w:t>Facility Expansion and split </w:t>
      </w:r>
    </w:p>
    <w:p w14:paraId="2E58A1A0" w14:textId="77777777" w:rsidR="00136648" w:rsidRPr="00136648" w:rsidRDefault="00136648" w:rsidP="00C64851">
      <w:pPr>
        <w:pStyle w:val="BodyText"/>
        <w:numPr>
          <w:ilvl w:val="0"/>
          <w:numId w:val="581"/>
        </w:numPr>
      </w:pPr>
      <w:r w:rsidRPr="00136648">
        <w:t>Facility Move </w:t>
      </w:r>
    </w:p>
    <w:p w14:paraId="193D4966" w14:textId="77777777" w:rsidR="00136648" w:rsidRPr="00136648" w:rsidRDefault="00136648" w:rsidP="00C64851">
      <w:pPr>
        <w:pStyle w:val="BodyText"/>
        <w:numPr>
          <w:ilvl w:val="0"/>
          <w:numId w:val="581"/>
        </w:numPr>
      </w:pPr>
      <w:r w:rsidRPr="00136648">
        <w:t>Facility-type Change </w:t>
      </w:r>
    </w:p>
    <w:p w14:paraId="5F359276" w14:textId="77777777" w:rsidR="00136648" w:rsidRPr="00136648" w:rsidRDefault="00136648" w:rsidP="00C64851">
      <w:pPr>
        <w:pStyle w:val="BodyText"/>
        <w:numPr>
          <w:ilvl w:val="0"/>
          <w:numId w:val="581"/>
        </w:numPr>
      </w:pPr>
      <w:r w:rsidRPr="00136648">
        <w:t>Facility Ownership Change </w:t>
      </w:r>
    </w:p>
    <w:p w14:paraId="2540B2DA" w14:textId="77777777" w:rsidR="00136648" w:rsidRPr="00136648" w:rsidRDefault="00136648" w:rsidP="00136648">
      <w:pPr>
        <w:pStyle w:val="BodyText"/>
      </w:pPr>
      <w:r w:rsidRPr="00136648">
        <w:t xml:space="preserve">When a facility incurs one of the noted </w:t>
      </w:r>
      <w:proofErr w:type="gramStart"/>
      <w:r w:rsidRPr="00136648">
        <w:t>facility</w:t>
      </w:r>
      <w:proofErr w:type="gramEnd"/>
      <w:r w:rsidRPr="00136648">
        <w:t xml:space="preserve"> changes above, it must initiate a new CCR facility application and obtain a new license number from CCR. The facility may or may not carry its licensing history with it to the new license number. </w:t>
      </w:r>
    </w:p>
    <w:p w14:paraId="3E1A23F2" w14:textId="77777777" w:rsidR="00136648" w:rsidRPr="00136648" w:rsidRDefault="00136648" w:rsidP="00136648">
      <w:pPr>
        <w:pStyle w:val="BodyText"/>
      </w:pPr>
      <w:r w:rsidRPr="00136648">
        <w:t xml:space="preserve">A Texas Rising Star-certified program that experiences any one of these changes (expansion, splits, facility type, changes ownership, or moves to a new location within the </w:t>
      </w:r>
      <w:r w:rsidRPr="00136648">
        <w:lastRenderedPageBreak/>
        <w:t>same city, ZIP code, or county in which the program is currently operating) does not need to have 12 months of CCR history in this situation (regardless of permit issued, initial or full/permanent) in order to retain its star level during the move or change.  </w:t>
      </w:r>
    </w:p>
    <w:p w14:paraId="0BE1D116" w14:textId="77777777" w:rsidR="00136648" w:rsidRPr="00136648" w:rsidRDefault="00136648" w:rsidP="00136648">
      <w:pPr>
        <w:pStyle w:val="BodyText"/>
      </w:pPr>
      <w:r w:rsidRPr="00136648">
        <w:t>Based upon the most recent 4-year review input, TWC modified its policy to allow programs with a facility change to retain their Texas Rising Star certification level for up to 3 months. The program will undergo a Texas Rising Star reassessment per the Facility Change Rubric (found within the Texas Rising Star Guidelines) within the initial three-month period from either the date the new CCR permit associated with the change is issued or the date the change occurred if a new permit is not issued. </w:t>
      </w:r>
    </w:p>
    <w:p w14:paraId="711EE81F" w14:textId="77777777" w:rsidR="00136648" w:rsidRPr="00136648" w:rsidRDefault="00136648" w:rsidP="00136648">
      <w:pPr>
        <w:pStyle w:val="BodyText"/>
      </w:pPr>
      <w:r w:rsidRPr="00136648">
        <w:t>The program’s new Texas Rising Star level will be based on the results of the reassessment. The CCR history that is available under the permit before the change will be used when completing the Texas Rising Star Screening Form for these assessments, if applicable. </w:t>
      </w:r>
    </w:p>
    <w:p w14:paraId="49BBD0C4" w14:textId="77777777" w:rsidR="00136648" w:rsidRPr="00136648" w:rsidRDefault="00136648" w:rsidP="00136648">
      <w:pPr>
        <w:pStyle w:val="BodyText"/>
      </w:pPr>
      <w:r w:rsidRPr="00136648">
        <w:t>Any program that receives an initial permit by CCR due to a facility change must receive a permanent (full) permit by CCR within six months of the change, otherwise the program will be placed on suspension status. </w:t>
      </w:r>
    </w:p>
    <w:p w14:paraId="4544D16F" w14:textId="77777777" w:rsidR="00136648" w:rsidRPr="00136648" w:rsidRDefault="00136648" w:rsidP="008607CA">
      <w:pPr>
        <w:pStyle w:val="BodyText3"/>
      </w:pPr>
      <w:r w:rsidRPr="00136648">
        <w:t>Texas Rising Star Mentoring and Continuous Quality Improvement </w:t>
      </w:r>
    </w:p>
    <w:p w14:paraId="7646D943" w14:textId="77777777" w:rsidR="00136648" w:rsidRPr="00136648" w:rsidRDefault="00136648" w:rsidP="00136648">
      <w:pPr>
        <w:pStyle w:val="BodyText"/>
      </w:pPr>
      <w:r w:rsidRPr="00136648">
        <w:t xml:space="preserve">Boards hire mentors to provide technical assistance and provide professional development resources to sustain and improve the quality of </w:t>
      </w:r>
      <w:proofErr w:type="gramStart"/>
      <w:r w:rsidRPr="00136648">
        <w:t>child care</w:t>
      </w:r>
      <w:proofErr w:type="gramEnd"/>
      <w:r w:rsidRPr="00136648">
        <w:t xml:space="preserve"> and early learning in Texas Rising Star-certified facilities.  </w:t>
      </w:r>
    </w:p>
    <w:p w14:paraId="1709D79A" w14:textId="77777777" w:rsidR="00136648" w:rsidRPr="00136648" w:rsidRDefault="00136648" w:rsidP="00136648">
      <w:pPr>
        <w:pStyle w:val="BodyText"/>
      </w:pPr>
      <w:r w:rsidRPr="00136648">
        <w:t>Texas Rising Star–certified programs have access to three types of technical assistance:  </w:t>
      </w:r>
    </w:p>
    <w:p w14:paraId="6FA0F6F3" w14:textId="77777777" w:rsidR="00136648" w:rsidRPr="00136648" w:rsidRDefault="00136648" w:rsidP="00136648">
      <w:pPr>
        <w:pStyle w:val="BodyText"/>
      </w:pPr>
      <w:r w:rsidRPr="00136648">
        <w:rPr>
          <w:i/>
          <w:iCs/>
        </w:rPr>
        <w:t>Continuous Quality Improvement Plans</w:t>
      </w:r>
      <w:r w:rsidRPr="00136648">
        <w:t> </w:t>
      </w:r>
    </w:p>
    <w:p w14:paraId="544165B6" w14:textId="77777777" w:rsidR="00136648" w:rsidRPr="00136648" w:rsidRDefault="00136648" w:rsidP="00136648">
      <w:pPr>
        <w:pStyle w:val="BodyText"/>
      </w:pPr>
      <w:r w:rsidRPr="00136648">
        <w:t xml:space="preserve">Continuous Quality Improvement (CQI) provides a systemic and intentional process for improving quality in </w:t>
      </w:r>
      <w:proofErr w:type="gramStart"/>
      <w:r w:rsidRPr="00136648">
        <w:t>child care</w:t>
      </w:r>
      <w:proofErr w:type="gramEnd"/>
      <w:r w:rsidRPr="00136648">
        <w:t xml:space="preserve"> programs and increasing positive outcomes for children. Texas Rising Star–certified programs and Entry Level-designated programs </w:t>
      </w:r>
      <w:proofErr w:type="gramStart"/>
      <w:r w:rsidRPr="00136648">
        <w:t>have the ability to</w:t>
      </w:r>
      <w:proofErr w:type="gramEnd"/>
      <w:r w:rsidRPr="00136648">
        <w:t xml:space="preserve"> work closely with a Texas Rising Star mentor to engage in a cyclical process that includes self-reflection, continuous learning, practice, and evaluation. CQI helps programs attain certification, achieve increasingly higher levels of quality, sustain high quality over time, and ensure high quality across classrooms and age groups. </w:t>
      </w:r>
    </w:p>
    <w:p w14:paraId="6BE7DF44" w14:textId="551B9F5F" w:rsidR="00136648" w:rsidRPr="00136648" w:rsidRDefault="00136648" w:rsidP="00136648">
      <w:pPr>
        <w:pStyle w:val="BodyText"/>
      </w:pPr>
      <w:r w:rsidRPr="00136648">
        <w:rPr>
          <w:noProof/>
        </w:rPr>
        <w:drawing>
          <wp:inline distT="0" distB="0" distL="0" distR="0" wp14:anchorId="4710A580" wp14:editId="051A181C">
            <wp:extent cx="1516380" cy="1226820"/>
            <wp:effectExtent l="0" t="0" r="7620" b="0"/>
            <wp:docPr id="1182720574" name="Picture 2"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1, Pict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6380" cy="1226820"/>
                    </a:xfrm>
                    <a:prstGeom prst="rect">
                      <a:avLst/>
                    </a:prstGeom>
                    <a:noFill/>
                    <a:ln>
                      <a:noFill/>
                    </a:ln>
                  </pic:spPr>
                </pic:pic>
              </a:graphicData>
            </a:graphic>
          </wp:inline>
        </w:drawing>
      </w:r>
      <w:r w:rsidRPr="00136648">
        <w:t> </w:t>
      </w:r>
    </w:p>
    <w:p w14:paraId="2A707F6E" w14:textId="77777777" w:rsidR="00136648" w:rsidRPr="00136648" w:rsidRDefault="00136648" w:rsidP="00136648">
      <w:pPr>
        <w:pStyle w:val="BodyText"/>
      </w:pPr>
      <w:r w:rsidRPr="00136648">
        <w:lastRenderedPageBreak/>
        <w:t>CCIPs are generated upon initial interest in achieving Texas Rising Star certification as well as from scores on Texas Rising Star measures from any certification assessment. CQIPs provide a road map for continued quality improvement and are targeted toward Texas Rising Star measures that the mentor and the program feel will help the program maintain or improve its star level. Programs choosing not to participate in mentoring services must create their CQIPs per the </w:t>
      </w:r>
      <w:hyperlink r:id="rId100" w:tgtFrame="_blank" w:history="1">
        <w:r w:rsidRPr="00136648">
          <w:rPr>
            <w:rStyle w:val="Hyperlink"/>
          </w:rPr>
          <w:t>CQIP Desk Aid</w:t>
        </w:r>
      </w:hyperlink>
      <w:r w:rsidRPr="00136648">
        <w:t> (available on the </w:t>
      </w:r>
      <w:hyperlink r:id="rId101" w:tgtFrame="_blank" w:history="1">
        <w:r w:rsidRPr="00136648">
          <w:rPr>
            <w:rStyle w:val="Hyperlink"/>
          </w:rPr>
          <w:t>Texas Rising Star Tools</w:t>
        </w:r>
      </w:hyperlink>
      <w:r w:rsidRPr="00136648">
        <w:t> webpage). </w:t>
      </w:r>
    </w:p>
    <w:p w14:paraId="38D56EFC" w14:textId="77777777" w:rsidR="00136648" w:rsidRPr="00136648" w:rsidRDefault="00136648" w:rsidP="00136648">
      <w:pPr>
        <w:pStyle w:val="BodyText"/>
      </w:pPr>
      <w:r w:rsidRPr="00136648">
        <w:t>CQIPs are required, ongoing, and continually updated based on mentor recommendations and program goals. CQIPs may determine the decision for a Star-Level Evaluation Assessment—a full assessment that may be requested if the program and mentor feel the program is ready to move to a higher star level. </w:t>
      </w:r>
    </w:p>
    <w:p w14:paraId="6F0F9315" w14:textId="62AE449F" w:rsidR="00136648" w:rsidRPr="00136648" w:rsidRDefault="00136648" w:rsidP="00136648">
      <w:pPr>
        <w:pStyle w:val="BodyText"/>
      </w:pPr>
      <w:r w:rsidRPr="00136648">
        <w:rPr>
          <w:i/>
          <w:iCs/>
        </w:rPr>
        <w:t>CQIP for Texas Rising Star–Certified Programs</w:t>
      </w:r>
    </w:p>
    <w:p w14:paraId="35A2B531" w14:textId="77777777" w:rsidR="00136648" w:rsidRPr="00136648" w:rsidRDefault="00136648" w:rsidP="00136648">
      <w:pPr>
        <w:pStyle w:val="BodyText"/>
      </w:pPr>
      <w:r w:rsidRPr="00136648">
        <w:t xml:space="preserve">CQIPs are designed to assist programs in increasing the quality of the </w:t>
      </w:r>
      <w:proofErr w:type="gramStart"/>
      <w:r w:rsidRPr="00136648">
        <w:t>child care</w:t>
      </w:r>
      <w:proofErr w:type="gramEnd"/>
      <w:r w:rsidRPr="00136648">
        <w:t xml:space="preserve"> and early learning experiences they provide with the goal of maintaining or increasing the program’s star level. A CQIP contains improvement goals for a targeted number of Texas Rising Star measures and/or categories, as well as resources to help reach those improvement goals, including professional development coursework, coaching from a Texas Rising Star mentor, and identification of other available resources and training material. </w:t>
      </w:r>
    </w:p>
    <w:p w14:paraId="3E0DF377" w14:textId="50BCA7EF" w:rsidR="00136648" w:rsidRPr="00136648" w:rsidRDefault="00136648" w:rsidP="00136648">
      <w:pPr>
        <w:pStyle w:val="BodyText"/>
      </w:pPr>
      <w:r w:rsidRPr="00136648">
        <w:t xml:space="preserve">CQIPs can also address key areas for improvement that are not directly measured by Texas Rising Star but are still important indicators of quality, such as </w:t>
      </w:r>
      <w:proofErr w:type="gramStart"/>
      <w:r w:rsidRPr="00136648">
        <w:t>implementing  caregiving</w:t>
      </w:r>
      <w:proofErr w:type="gramEnd"/>
      <w:r w:rsidRPr="00136648">
        <w:t xml:space="preserve"> practices</w:t>
      </w:r>
      <w:r w:rsidR="67E96296">
        <w:t xml:space="preserve"> that provide access to all communities</w:t>
      </w:r>
      <w:r w:rsidRPr="00136648">
        <w:t>, working with English language learners, and developing policies to prevent suspension and expulsion. Mentors work with programs to determine their specific needs and the best goals to incorporate in the CQIP over time. Mentors may provide direct support to help programs meet their goals or they may help identify and access appropriate resources to support improvement efforts. Mentors and programs work together to reach agreement on what goals and strategies are included in the CQIP. </w:t>
      </w:r>
    </w:p>
    <w:p w14:paraId="3841EDD4" w14:textId="77777777" w:rsidR="00136648" w:rsidRPr="00136648" w:rsidRDefault="00136648" w:rsidP="00136648">
      <w:pPr>
        <w:pStyle w:val="BodyText"/>
      </w:pPr>
      <w:r w:rsidRPr="00136648">
        <w:t>CQIPs for Texas Rising Star programs are developed upon initial acknowledgment of desire to participate in Texas Rising Star and again after the first full assessment. CQIPs can be further refined at annual visits with the assistance of the mentor. Additional technical assistance plans for Texas Rising Star programs are automatically generated after each assessment for each classroom and the facility as a whole and can be used to further refine the CQIP.  </w:t>
      </w:r>
    </w:p>
    <w:p w14:paraId="544DB070" w14:textId="77777777" w:rsidR="00136648" w:rsidRPr="00136648" w:rsidRDefault="00136648" w:rsidP="00136648">
      <w:pPr>
        <w:pStyle w:val="BodyText"/>
      </w:pPr>
      <w:r w:rsidRPr="00136648">
        <w:t>The set of professional development resources available to Texas Rising Star programs, including many hours of online learning modules featuring extensive video-based demonstrations of effective instructional practices for responsive interaction, language and literacy, mathematics, and science. Through the CQIP, mentors may recommend specific courses for Texas Rising Star programs and their teachers to complete depending on their quality improvement needs. </w:t>
      </w:r>
    </w:p>
    <w:p w14:paraId="43768B09" w14:textId="77777777" w:rsidR="00136648" w:rsidRPr="00136648" w:rsidRDefault="00136648" w:rsidP="00136648">
      <w:pPr>
        <w:pStyle w:val="BodyText"/>
      </w:pPr>
      <w:r w:rsidRPr="00136648">
        <w:lastRenderedPageBreak/>
        <w:t>Mentors will be provided to work with directors and teachers in all Texas Rising Star measures, both points-based and required. The amount of time a mentor spends on-site at the facility will vary based on their caseload and the program’s needs. At a minimum, the mentor will visit the program once a month, either in person or through a scheduled call or virtual meeting. </w:t>
      </w:r>
    </w:p>
    <w:p w14:paraId="35C0A3A6" w14:textId="77777777" w:rsidR="00136648" w:rsidRPr="00136648" w:rsidRDefault="00136648" w:rsidP="00136648">
      <w:pPr>
        <w:pStyle w:val="BodyText"/>
      </w:pPr>
      <w:r w:rsidRPr="00136648">
        <w:rPr>
          <w:i/>
          <w:iCs/>
        </w:rPr>
        <w:t>CQIP for Programs Not Currently Texas Rising Star Certified </w:t>
      </w:r>
      <w:r w:rsidRPr="00136648">
        <w:t> </w:t>
      </w:r>
    </w:p>
    <w:p w14:paraId="196D3BF7" w14:textId="77777777" w:rsidR="00136648" w:rsidRPr="00136648" w:rsidRDefault="00136648" w:rsidP="00136648">
      <w:pPr>
        <w:pStyle w:val="BodyText"/>
      </w:pPr>
      <w:proofErr w:type="gramStart"/>
      <w:r w:rsidRPr="00136648">
        <w:t>Child care</w:t>
      </w:r>
      <w:proofErr w:type="gramEnd"/>
      <w:r w:rsidRPr="00136648">
        <w:t xml:space="preserve"> programs who are not yet eligible for Texas Rising Star certification or that may not be ready to request an assessment can still participate in technical assistance provided by their local Board and/or assigned mentor. Some professional development resources are available through the CLI website (https://public.cliengage.org/). At a minimum, the mentor will visit the program once a month, either in person or through a scheduled call or virtual meeting. </w:t>
      </w:r>
    </w:p>
    <w:p w14:paraId="0EA21F04" w14:textId="77777777" w:rsidR="00136648" w:rsidRPr="00136648" w:rsidRDefault="00136648" w:rsidP="00F95089">
      <w:pPr>
        <w:pStyle w:val="BodyText3"/>
        <w:ind w:left="720" w:hanging="720"/>
      </w:pPr>
      <w:r w:rsidRPr="00136648">
        <w:t>G.</w:t>
      </w:r>
      <w:r w:rsidRPr="00136648">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136648">
        <w:rPr>
          <w:i/>
          <w:iCs/>
        </w:rPr>
        <w:t>(If you have already submitted funding source info through the “Agency Program Information” spreadsheet, please limit your response to funding formulas or funding conventions.)</w:t>
      </w:r>
      <w:r w:rsidRPr="00136648">
        <w:t> </w:t>
      </w:r>
    </w:p>
    <w:tbl>
      <w:tblPr>
        <w:tblStyle w:val="TableGrid1"/>
        <w:tblW w:w="9360" w:type="dxa"/>
        <w:tblCellMar>
          <w:top w:w="58" w:type="dxa"/>
          <w:bottom w:w="58" w:type="dxa"/>
        </w:tblCellMar>
        <w:tblLook w:val="04A0" w:firstRow="1" w:lastRow="0" w:firstColumn="1" w:lastColumn="0" w:noHBand="0" w:noVBand="1"/>
      </w:tblPr>
      <w:tblGrid>
        <w:gridCol w:w="2888"/>
        <w:gridCol w:w="2788"/>
        <w:gridCol w:w="2390"/>
        <w:gridCol w:w="1294"/>
      </w:tblGrid>
      <w:tr w:rsidR="008F6E88" w:rsidRPr="008F6E88" w14:paraId="64F8407D" w14:textId="77777777" w:rsidTr="00FB7F51">
        <w:trPr>
          <w:trHeight w:val="288"/>
        </w:trPr>
        <w:tc>
          <w:tcPr>
            <w:tcW w:w="2610" w:type="dxa"/>
            <w:shd w:val="clear" w:color="auto" w:fill="B8CCE4" w:themeFill="accent1" w:themeFillTint="66"/>
            <w:vAlign w:val="center"/>
            <w:hideMark/>
          </w:tcPr>
          <w:p w14:paraId="0BD312A7" w14:textId="77777777" w:rsidR="008F6E88" w:rsidRPr="008F6E88" w:rsidRDefault="008F6E88" w:rsidP="008F6E88">
            <w:pPr>
              <w:pStyle w:val="TableHeaders"/>
              <w:rPr>
                <w:color w:val="000000"/>
              </w:rPr>
            </w:pPr>
            <w:r w:rsidRPr="008F6E88">
              <w:t>Program or Function Detail Description</w:t>
            </w:r>
          </w:p>
        </w:tc>
        <w:tc>
          <w:tcPr>
            <w:tcW w:w="2520" w:type="dxa"/>
            <w:shd w:val="clear" w:color="auto" w:fill="B8CCE4" w:themeFill="accent1" w:themeFillTint="66"/>
            <w:vAlign w:val="center"/>
            <w:hideMark/>
          </w:tcPr>
          <w:p w14:paraId="3B7F58E6" w14:textId="77777777" w:rsidR="008F6E88" w:rsidRPr="008F6E88" w:rsidRDefault="008F6E88" w:rsidP="008F6E88">
            <w:pPr>
              <w:pStyle w:val="TableHeaders"/>
              <w:rPr>
                <w:color w:val="000000"/>
              </w:rPr>
            </w:pPr>
            <w:r w:rsidRPr="008F6E88">
              <w:t>Total FY 2024</w:t>
            </w:r>
          </w:p>
        </w:tc>
        <w:tc>
          <w:tcPr>
            <w:tcW w:w="2160" w:type="dxa"/>
            <w:shd w:val="clear" w:color="auto" w:fill="B8CCE4" w:themeFill="accent1" w:themeFillTint="66"/>
            <w:vAlign w:val="center"/>
            <w:hideMark/>
          </w:tcPr>
          <w:p w14:paraId="1F824D4B" w14:textId="77777777" w:rsidR="008F6E88" w:rsidRPr="008F6E88" w:rsidRDefault="008F6E88" w:rsidP="008F6E88">
            <w:pPr>
              <w:pStyle w:val="TableHeaders"/>
              <w:rPr>
                <w:color w:val="000000"/>
              </w:rPr>
            </w:pPr>
            <w:r w:rsidRPr="008F6E88">
              <w:t>Federal Funding</w:t>
            </w:r>
          </w:p>
        </w:tc>
        <w:tc>
          <w:tcPr>
            <w:tcW w:w="1170" w:type="dxa"/>
            <w:shd w:val="clear" w:color="auto" w:fill="B8CCE4" w:themeFill="accent1" w:themeFillTint="66"/>
            <w:vAlign w:val="center"/>
            <w:hideMark/>
          </w:tcPr>
          <w:p w14:paraId="64DBF2A3" w14:textId="77777777" w:rsidR="008F6E88" w:rsidRPr="008F6E88" w:rsidRDefault="008F6E88" w:rsidP="008F6E88">
            <w:pPr>
              <w:pStyle w:val="TableHeaders"/>
              <w:rPr>
                <w:color w:val="000000"/>
              </w:rPr>
            </w:pPr>
            <w:r w:rsidRPr="008F6E88">
              <w:t>State Funding</w:t>
            </w:r>
          </w:p>
        </w:tc>
      </w:tr>
      <w:tr w:rsidR="008F6E88" w:rsidRPr="008F6E88" w14:paraId="42FB3D82" w14:textId="77777777" w:rsidTr="00FB7F51">
        <w:trPr>
          <w:trHeight w:val="288"/>
        </w:trPr>
        <w:tc>
          <w:tcPr>
            <w:tcW w:w="2610" w:type="dxa"/>
            <w:noWrap/>
            <w:vAlign w:val="center"/>
            <w:hideMark/>
          </w:tcPr>
          <w:p w14:paraId="22CEDD1E" w14:textId="77777777" w:rsidR="008F6E88" w:rsidRPr="008F6E88" w:rsidRDefault="008F6E88" w:rsidP="006C268D">
            <w:pPr>
              <w:pStyle w:val="TableText"/>
            </w:pPr>
            <w:r w:rsidRPr="008F6E88">
              <w:t>Texas Rising Star Quality Program</w:t>
            </w:r>
          </w:p>
        </w:tc>
        <w:tc>
          <w:tcPr>
            <w:tcW w:w="2520" w:type="dxa"/>
            <w:vAlign w:val="center"/>
            <w:hideMark/>
          </w:tcPr>
          <w:p w14:paraId="75059C57" w14:textId="3C708333" w:rsidR="008F6E88" w:rsidRPr="008F6E88" w:rsidRDefault="008F6E88" w:rsidP="006C268D">
            <w:pPr>
              <w:pStyle w:val="TableText"/>
              <w:jc w:val="right"/>
            </w:pPr>
            <w:r w:rsidRPr="008F6E88">
              <w:t xml:space="preserve">40,845,903 </w:t>
            </w:r>
          </w:p>
        </w:tc>
        <w:tc>
          <w:tcPr>
            <w:tcW w:w="2160" w:type="dxa"/>
            <w:vAlign w:val="center"/>
            <w:hideMark/>
          </w:tcPr>
          <w:p w14:paraId="734BAAA4" w14:textId="7EA4FDBA" w:rsidR="008F6E88" w:rsidRPr="008F6E88" w:rsidRDefault="008F6E88" w:rsidP="006C268D">
            <w:pPr>
              <w:pStyle w:val="TableText"/>
              <w:jc w:val="right"/>
            </w:pPr>
            <w:r w:rsidRPr="008F6E88">
              <w:t xml:space="preserve">40,845,903 </w:t>
            </w:r>
          </w:p>
        </w:tc>
        <w:tc>
          <w:tcPr>
            <w:tcW w:w="1170" w:type="dxa"/>
            <w:vAlign w:val="center"/>
            <w:hideMark/>
          </w:tcPr>
          <w:p w14:paraId="38DE4B4B" w14:textId="77777777" w:rsidR="008F6E88" w:rsidRPr="008F6E88" w:rsidRDefault="008F6E88" w:rsidP="006C268D">
            <w:pPr>
              <w:pStyle w:val="TableText"/>
              <w:jc w:val="right"/>
            </w:pPr>
            <w:r w:rsidRPr="008F6E88">
              <w:t>0 </w:t>
            </w:r>
          </w:p>
        </w:tc>
      </w:tr>
    </w:tbl>
    <w:p w14:paraId="397CF7FC" w14:textId="77777777" w:rsidR="00136648" w:rsidRPr="00136648" w:rsidRDefault="00136648" w:rsidP="00F95089">
      <w:pPr>
        <w:pStyle w:val="BodyText3"/>
        <w:ind w:left="720" w:hanging="720"/>
      </w:pPr>
      <w:r w:rsidRPr="00136648">
        <w:t>H.</w:t>
      </w:r>
      <w:r w:rsidRPr="00136648">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0A424F40" w14:textId="77777777" w:rsidR="00136648" w:rsidRPr="00136648" w:rsidRDefault="00136648" w:rsidP="00136648">
      <w:pPr>
        <w:pStyle w:val="BodyText"/>
      </w:pPr>
      <w:r w:rsidRPr="00136648">
        <w:t xml:space="preserve">The Texas Rising Star program is the state’s </w:t>
      </w:r>
      <w:proofErr w:type="gramStart"/>
      <w:r w:rsidRPr="00136648">
        <w:t>child care</w:t>
      </w:r>
      <w:proofErr w:type="gramEnd"/>
      <w:r w:rsidRPr="00136648">
        <w:t xml:space="preserve"> quality rating and improvement system (QRIS) and is the only statewide program that certifies child care programs as meeting quality standards above licensing minimum standards across all age groups. Texas Rising Star standards do not duplicate minimum licensing standards. Rather, the standards build upon minimum standards to evaluate the quality of the </w:t>
      </w:r>
      <w:proofErr w:type="gramStart"/>
      <w:r w:rsidRPr="00136648">
        <w:t>child care</w:t>
      </w:r>
      <w:proofErr w:type="gramEnd"/>
      <w:r w:rsidRPr="00136648">
        <w:t xml:space="preserve"> program. The Texas Rising Star program also provides mentoring, coaching, and professional development services to assist providers in improving </w:t>
      </w:r>
      <w:proofErr w:type="gramStart"/>
      <w:r w:rsidRPr="00136648">
        <w:t>child care</w:t>
      </w:r>
      <w:proofErr w:type="gramEnd"/>
      <w:r w:rsidRPr="00136648">
        <w:t xml:space="preserve"> quality standards, and in meeting and maintaining Texas Rising Star standards. </w:t>
      </w:r>
    </w:p>
    <w:p w14:paraId="327B92F2" w14:textId="77777777" w:rsidR="00136648" w:rsidRPr="00136648" w:rsidRDefault="00136648" w:rsidP="00F95089">
      <w:pPr>
        <w:pStyle w:val="BodyText3"/>
      </w:pPr>
      <w:r w:rsidRPr="00136648">
        <w:t>Texas Health and Human Services Child Care Regulation </w:t>
      </w:r>
    </w:p>
    <w:p w14:paraId="49C114CC" w14:textId="77777777" w:rsidR="00136648" w:rsidRPr="00136648" w:rsidRDefault="00136648" w:rsidP="00136648">
      <w:pPr>
        <w:pStyle w:val="BodyText"/>
      </w:pPr>
      <w:r w:rsidRPr="00136648">
        <w:lastRenderedPageBreak/>
        <w:t xml:space="preserve">Texas Health and Human Services Commission (HHSC) is the state’s designated agency for regulating all </w:t>
      </w:r>
      <w:proofErr w:type="gramStart"/>
      <w:r w:rsidRPr="00136648">
        <w:t>child care</w:t>
      </w:r>
      <w:proofErr w:type="gramEnd"/>
      <w:r w:rsidRPr="00136648">
        <w:t xml:space="preserve"> providers in the state for meeting minimum health and safety standards. CCR responsibilities include: </w:t>
      </w:r>
    </w:p>
    <w:p w14:paraId="4B3E9A12" w14:textId="77777777" w:rsidR="00136648" w:rsidRPr="00136648" w:rsidRDefault="00136648" w:rsidP="00C64851">
      <w:pPr>
        <w:pStyle w:val="BodyText"/>
        <w:numPr>
          <w:ilvl w:val="0"/>
          <w:numId w:val="582"/>
        </w:numPr>
      </w:pPr>
      <w:r w:rsidRPr="00136648">
        <w:t xml:space="preserve">Permitting and monitoring operations and agencies for compliance with state regulation minimum </w:t>
      </w:r>
      <w:proofErr w:type="gramStart"/>
      <w:r w:rsidRPr="00136648">
        <w:t>child care</w:t>
      </w:r>
      <w:proofErr w:type="gramEnd"/>
      <w:r w:rsidRPr="00136648">
        <w:t xml:space="preserve"> standards, rules and laws. </w:t>
      </w:r>
    </w:p>
    <w:p w14:paraId="3BA98712" w14:textId="77777777" w:rsidR="00136648" w:rsidRPr="00136648" w:rsidRDefault="00136648" w:rsidP="00C64851">
      <w:pPr>
        <w:pStyle w:val="BodyText"/>
        <w:numPr>
          <w:ilvl w:val="0"/>
          <w:numId w:val="582"/>
        </w:numPr>
      </w:pPr>
      <w:r w:rsidRPr="00136648">
        <w:t xml:space="preserve">Investigating complaints alleging violations of minimum standards in </w:t>
      </w:r>
      <w:proofErr w:type="gramStart"/>
      <w:r w:rsidRPr="00136648">
        <w:t>child care</w:t>
      </w:r>
      <w:proofErr w:type="gramEnd"/>
      <w:r w:rsidRPr="00136648">
        <w:t xml:space="preserve"> and residential child care operations. </w:t>
      </w:r>
    </w:p>
    <w:p w14:paraId="71AF91E8" w14:textId="77777777" w:rsidR="00136648" w:rsidRPr="00136648" w:rsidRDefault="00136648" w:rsidP="00C64851">
      <w:pPr>
        <w:pStyle w:val="BodyText"/>
        <w:numPr>
          <w:ilvl w:val="0"/>
          <w:numId w:val="582"/>
        </w:numPr>
      </w:pPr>
      <w:r w:rsidRPr="00136648">
        <w:t xml:space="preserve">Informing parents and the public about </w:t>
      </w:r>
      <w:proofErr w:type="gramStart"/>
      <w:r w:rsidRPr="00136648">
        <w:t>child care</w:t>
      </w:r>
      <w:proofErr w:type="gramEnd"/>
      <w:r w:rsidRPr="00136648">
        <w:t>, including how specific child care operations are complying with minimum standards of care. </w:t>
      </w:r>
    </w:p>
    <w:p w14:paraId="777D5F59" w14:textId="77777777" w:rsidR="00136648" w:rsidRPr="00136648" w:rsidRDefault="00136648" w:rsidP="00C64851">
      <w:pPr>
        <w:pStyle w:val="BodyText"/>
        <w:numPr>
          <w:ilvl w:val="0"/>
          <w:numId w:val="582"/>
        </w:numPr>
      </w:pPr>
      <w:r w:rsidRPr="00136648">
        <w:t xml:space="preserve">Giving </w:t>
      </w:r>
      <w:proofErr w:type="gramStart"/>
      <w:r w:rsidRPr="00136648">
        <w:t>child care</w:t>
      </w:r>
      <w:proofErr w:type="gramEnd"/>
      <w:r w:rsidRPr="00136648">
        <w:t xml:space="preserve"> providers technical assistance on meeting CCR minimum standards, rules, and laws. </w:t>
      </w:r>
    </w:p>
    <w:p w14:paraId="1D11F9A4" w14:textId="77777777" w:rsidR="00136648" w:rsidRPr="00136648" w:rsidRDefault="00136648" w:rsidP="00136648">
      <w:pPr>
        <w:pStyle w:val="BodyText"/>
      </w:pPr>
      <w:r w:rsidRPr="00136648">
        <w:t>CCR participates in the Texas Early Learning Interagency Collaborative Symposium (TELICS) brings together staff from many agencies and early childhood programs, including CCR, Early Childhood Intervention (ECI), HHSC Family Support Services (FSS), and Boards to learn and coordinate across early childhood programs. Since June 2022, CC&amp;EL and CCR have hosted five symposiums with an average of 400 participants attending. </w:t>
      </w:r>
    </w:p>
    <w:p w14:paraId="55A2CBB6" w14:textId="77777777" w:rsidR="00136648" w:rsidRPr="00136648" w:rsidRDefault="00136648" w:rsidP="00136648">
      <w:pPr>
        <w:pStyle w:val="BodyText"/>
      </w:pPr>
      <w:r w:rsidRPr="00136648">
        <w:t>CCR also participates in the Texas Rising Star 4-year review workgroup.  During the 2019 workgroup, there was a specific focus on ensuring that Texas Rising Star standards did not duplicate any CCR standards.  As a result, changes were made to the Texas Rising Star standards, removing duplicate issues around health/safety and food and nutrition. </w:t>
      </w:r>
    </w:p>
    <w:p w14:paraId="616DFBBA" w14:textId="77777777" w:rsidR="00136648" w:rsidRPr="00136648" w:rsidRDefault="00136648" w:rsidP="00136648">
      <w:pPr>
        <w:pStyle w:val="BodyText"/>
      </w:pPr>
      <w:r w:rsidRPr="00136648">
        <w:t>TWC has an Interagency Contract (IAC) with HHSC CCR to: </w:t>
      </w:r>
    </w:p>
    <w:p w14:paraId="535EFD04" w14:textId="77777777" w:rsidR="00136648" w:rsidRPr="00136648" w:rsidRDefault="00136648" w:rsidP="00C64851">
      <w:pPr>
        <w:pStyle w:val="BodyText"/>
        <w:numPr>
          <w:ilvl w:val="0"/>
          <w:numId w:val="583"/>
        </w:numPr>
      </w:pPr>
      <w:r w:rsidRPr="00136648">
        <w:t>License, register, certify and list day care facilities and homes </w:t>
      </w:r>
    </w:p>
    <w:p w14:paraId="7E1D5240" w14:textId="77777777" w:rsidR="00136648" w:rsidRPr="00136648" w:rsidRDefault="00136648" w:rsidP="00C64851">
      <w:pPr>
        <w:pStyle w:val="BodyText"/>
        <w:numPr>
          <w:ilvl w:val="0"/>
          <w:numId w:val="583"/>
        </w:numPr>
      </w:pPr>
      <w:r w:rsidRPr="00136648">
        <w:t>Monitor and follow up on all licensed, certified and registered facilities and homes for compliance with state standards/requirements </w:t>
      </w:r>
    </w:p>
    <w:p w14:paraId="45E94C3F" w14:textId="77777777" w:rsidR="00136648" w:rsidRPr="00136648" w:rsidRDefault="00136648" w:rsidP="00C64851">
      <w:pPr>
        <w:pStyle w:val="BodyText"/>
        <w:numPr>
          <w:ilvl w:val="0"/>
          <w:numId w:val="583"/>
        </w:numPr>
      </w:pPr>
      <w:r w:rsidRPr="00136648">
        <w:t>Investigate and follow-up on standards violations according to the requirements of the law and rules of DFPS </w:t>
      </w:r>
    </w:p>
    <w:p w14:paraId="221EF56A" w14:textId="77777777" w:rsidR="00136648" w:rsidRPr="00136648" w:rsidRDefault="00136648" w:rsidP="00C64851">
      <w:pPr>
        <w:pStyle w:val="BodyText"/>
        <w:numPr>
          <w:ilvl w:val="0"/>
          <w:numId w:val="583"/>
        </w:numPr>
      </w:pPr>
      <w:r w:rsidRPr="00136648">
        <w:t xml:space="preserve">Provide consumer education to parents and the public about the availability of care and choosing </w:t>
      </w:r>
      <w:proofErr w:type="gramStart"/>
      <w:r w:rsidRPr="00136648">
        <w:t>child care</w:t>
      </w:r>
      <w:proofErr w:type="gramEnd"/>
      <w:r w:rsidRPr="00136648">
        <w:t xml:space="preserve"> providers </w:t>
      </w:r>
    </w:p>
    <w:p w14:paraId="18B9A5E6" w14:textId="77777777" w:rsidR="00136648" w:rsidRPr="00136648" w:rsidRDefault="00136648" w:rsidP="00C64851">
      <w:pPr>
        <w:pStyle w:val="BodyText"/>
        <w:numPr>
          <w:ilvl w:val="0"/>
          <w:numId w:val="561"/>
        </w:numPr>
      </w:pPr>
      <w:r w:rsidRPr="00136648">
        <w:t xml:space="preserve">Provide technical assistance in areas appropriate to the provision of </w:t>
      </w:r>
      <w:proofErr w:type="gramStart"/>
      <w:r w:rsidRPr="00136648">
        <w:t>child care</w:t>
      </w:r>
      <w:proofErr w:type="gramEnd"/>
      <w:r w:rsidRPr="00136648">
        <w:t xml:space="preserve"> services </w:t>
      </w:r>
    </w:p>
    <w:p w14:paraId="251E197C" w14:textId="77777777" w:rsidR="00136648" w:rsidRPr="00136648" w:rsidRDefault="00136648" w:rsidP="00C64851">
      <w:pPr>
        <w:pStyle w:val="BodyText"/>
        <w:numPr>
          <w:ilvl w:val="0"/>
          <w:numId w:val="562"/>
        </w:numPr>
      </w:pPr>
      <w:r w:rsidRPr="00136648">
        <w:t xml:space="preserve">Perform background checks on relatives wanting to provide subsidized </w:t>
      </w:r>
      <w:proofErr w:type="gramStart"/>
      <w:r w:rsidRPr="00136648">
        <w:t>child care</w:t>
      </w:r>
      <w:proofErr w:type="gramEnd"/>
      <w:r w:rsidRPr="00136648">
        <w:t> </w:t>
      </w:r>
    </w:p>
    <w:p w14:paraId="21C866E0" w14:textId="77777777" w:rsidR="00136648" w:rsidRPr="00136648" w:rsidRDefault="00136648" w:rsidP="00933713">
      <w:pPr>
        <w:pStyle w:val="BodyText3"/>
      </w:pPr>
      <w:r w:rsidRPr="00136648">
        <w:t>Children’s Learning Institute Texas School Ready </w:t>
      </w:r>
    </w:p>
    <w:p w14:paraId="201F60DD" w14:textId="77777777" w:rsidR="00136648" w:rsidRPr="00136648" w:rsidRDefault="00136648" w:rsidP="00136648">
      <w:pPr>
        <w:pStyle w:val="BodyText"/>
      </w:pPr>
      <w:r w:rsidRPr="00136648">
        <w:lastRenderedPageBreak/>
        <w:t xml:space="preserve">The Children’s Learning Institute Texas School Ready (TSR) program, housed at the University of Texas Health Science Center in Houston, provides mentoring, coaching, and professional development services to teachers and administrators in </w:t>
      </w:r>
      <w:proofErr w:type="gramStart"/>
      <w:r w:rsidRPr="00136648">
        <w:t>child care</w:t>
      </w:r>
      <w:proofErr w:type="gramEnd"/>
      <w:r w:rsidRPr="00136648">
        <w:t xml:space="preserve"> facilities serving children from birth to five years old. TSR services are implemented in classrooms across the state through local Lead Agents and community organizations that partner with early childhood programs to provide training, materials, and coaching. </w:t>
      </w:r>
    </w:p>
    <w:p w14:paraId="6ED3CEAE" w14:textId="77777777" w:rsidR="00136648" w:rsidRPr="00136648" w:rsidRDefault="00136648" w:rsidP="00136648">
      <w:pPr>
        <w:pStyle w:val="BodyText"/>
      </w:pPr>
      <w:r w:rsidRPr="00136648">
        <w:t>Teachers enrolled in TSR participate in a teacher training program designed to help children be more prepared for kindergarten. </w:t>
      </w:r>
    </w:p>
    <w:p w14:paraId="4EACE597" w14:textId="77777777" w:rsidR="00136648" w:rsidRPr="00136648" w:rsidRDefault="00136648" w:rsidP="00136648">
      <w:pPr>
        <w:pStyle w:val="BodyText"/>
      </w:pPr>
      <w:r w:rsidRPr="00136648">
        <w:t xml:space="preserve">The Texas Rising Star mentors work with the TSR program to supplement mentoring and training opportunities for </w:t>
      </w:r>
      <w:proofErr w:type="gramStart"/>
      <w:r w:rsidRPr="00136648">
        <w:t>child care</w:t>
      </w:r>
      <w:proofErr w:type="gramEnd"/>
      <w:r w:rsidRPr="00136648">
        <w:t xml:space="preserve"> classroom teachers. While TSR is focused on teachers serving children from birth to 5, the Texas Rising Star mentoring and coaching services are provided to teachers of all age groups.  </w:t>
      </w:r>
    </w:p>
    <w:p w14:paraId="59F0BFC6" w14:textId="77777777" w:rsidR="00136648" w:rsidRPr="00136648" w:rsidRDefault="00136648" w:rsidP="00136648">
      <w:pPr>
        <w:pStyle w:val="BodyText"/>
      </w:pPr>
      <w:r w:rsidRPr="00136648">
        <w:t xml:space="preserve">The legislature directs TWC, through an interagency contract with TEA, to provide $11,700,000 each year for the purpose of providing funds to </w:t>
      </w:r>
      <w:proofErr w:type="gramStart"/>
      <w:r w:rsidRPr="00136648">
        <w:t>child care</w:t>
      </w:r>
      <w:proofErr w:type="gramEnd"/>
      <w:r w:rsidRPr="00136648">
        <w:t xml:space="preserve"> providers participating in the Texas School Ready program. </w:t>
      </w:r>
    </w:p>
    <w:p w14:paraId="03F9FAAE" w14:textId="77777777" w:rsidR="00136648" w:rsidRPr="00136648" w:rsidRDefault="00136648" w:rsidP="00136648">
      <w:pPr>
        <w:pStyle w:val="BodyText"/>
      </w:pPr>
      <w:r w:rsidRPr="00136648">
        <w:t>Additionally, 87th Texas Legislature (Regular Session) passed House Bill 1792, which amended §2308.3155 of the Texas Government Code to direct TWC to competitively procure an entity to employ all Texas Rising Star assessors. In June 2023, TWC awarded the contract to UT Health Science Center at Houston, Children’s Learning Institute (CLI) as the CAE. Prior to the passage of this legislation, state statute directed all 28 Boards to fund local staff to assess the quality level of local early learning programs participating in Texas Rising Star. The move to centralize all Texas Rising Star assessors under the management of a single entity aims to ensure greater consistency and reliability of star-level ratings across the state. </w:t>
      </w:r>
    </w:p>
    <w:p w14:paraId="6D9D9C6A" w14:textId="77777777" w:rsidR="00136648" w:rsidRPr="00136648" w:rsidRDefault="00136648" w:rsidP="00136648">
      <w:pPr>
        <w:pStyle w:val="BodyText"/>
      </w:pPr>
      <w:r w:rsidRPr="00136648">
        <w:t>TWC also contracts with CLI to provide ongoing support and skill development for Texas Rising Star staff through Peer-Learning Communities (PLCs) and online training content; to include training for assessors to become certified on the Texas Rising Star assessment and ensure assessors maintain reliability over time as well as ongoing support and skill development for mentors to achieve coaching micro-credentials.  </w:t>
      </w:r>
    </w:p>
    <w:p w14:paraId="52868FE8" w14:textId="77777777" w:rsidR="00136648" w:rsidRPr="00136648" w:rsidRDefault="00136648" w:rsidP="00933713">
      <w:pPr>
        <w:pStyle w:val="BodyText3"/>
        <w:ind w:left="720" w:hanging="720"/>
      </w:pPr>
      <w:r w:rsidRPr="00136648">
        <w:t>I.</w:t>
      </w:r>
      <w:r w:rsidRPr="00136648">
        <w:tab/>
        <w:t>If the division or program works with local, regional, or federal units of government, include a brief description of these entities and their relationship to the agency. </w:t>
      </w:r>
    </w:p>
    <w:p w14:paraId="650A75E4" w14:textId="77777777" w:rsidR="00136648" w:rsidRPr="00136648" w:rsidRDefault="00136648" w:rsidP="00933713">
      <w:pPr>
        <w:pStyle w:val="BodyText3"/>
      </w:pPr>
      <w:r w:rsidRPr="00136648">
        <w:t>Local Workforce Development Boards </w:t>
      </w:r>
    </w:p>
    <w:p w14:paraId="5D59A24A" w14:textId="77777777" w:rsidR="00136648" w:rsidRPr="00136648" w:rsidRDefault="00136648" w:rsidP="00136648">
      <w:pPr>
        <w:pStyle w:val="BodyText"/>
      </w:pPr>
      <w:r w:rsidRPr="00136648">
        <w:t xml:space="preserve">In 2013, the 83rd Texas Legislature passed House Bill (HB) 376, amending §§2803.3155 of the Texas Government Code requiring TWC to make funds available to Boards to hire Texas Rising Star mentors and assessors to provide technical assistance to </w:t>
      </w:r>
      <w:proofErr w:type="gramStart"/>
      <w:r w:rsidRPr="00136648">
        <w:t>child care</w:t>
      </w:r>
      <w:proofErr w:type="gramEnd"/>
      <w:r w:rsidRPr="00136648">
        <w:t xml:space="preserve"> and early learning programs. Beginning in Board Contract Year (BCY) 2014, TWC developed a separate fund distribution for Boards to hire Texas Rising Star mentors and assessors.  </w:t>
      </w:r>
    </w:p>
    <w:p w14:paraId="52B3D164" w14:textId="77777777" w:rsidR="00136648" w:rsidRPr="00136648" w:rsidRDefault="00136648" w:rsidP="00136648">
      <w:pPr>
        <w:pStyle w:val="BodyText"/>
      </w:pPr>
      <w:r w:rsidRPr="00136648">
        <w:lastRenderedPageBreak/>
        <w:t xml:space="preserve">As mentioned previously, the 87th Texas Legislature (Regular Session) amended §2308.3155 to direct TWC to competitively procures a single entity to centralize the Texas Rising Star assessment process. Accordingly, beginning in BCY 2024, the assessment functions were moved from the Board and placed in the CAE at </w:t>
      </w:r>
      <w:proofErr w:type="gramStart"/>
      <w:r w:rsidRPr="00136648">
        <w:t>CLI</w:t>
      </w:r>
      <w:proofErr w:type="gramEnd"/>
      <w:r w:rsidRPr="00136648">
        <w:t xml:space="preserve"> and the Board distributions were for Texas Rising Star mentoring services. </w:t>
      </w:r>
    </w:p>
    <w:p w14:paraId="5774C15E" w14:textId="77777777" w:rsidR="00136648" w:rsidRPr="00136648" w:rsidRDefault="00136648" w:rsidP="00136648">
      <w:pPr>
        <w:pStyle w:val="BodyText"/>
      </w:pPr>
      <w:r w:rsidRPr="00136648">
        <w:t xml:space="preserve">Board mentors provide technical assistance and coaching support to assist </w:t>
      </w:r>
      <w:proofErr w:type="gramStart"/>
      <w:r w:rsidRPr="00136648">
        <w:t>child care</w:t>
      </w:r>
      <w:proofErr w:type="gramEnd"/>
      <w:r w:rsidRPr="00136648">
        <w:t xml:space="preserve"> and early learning programs in attaining, maintaining, and improving Texas Rising Star certification status. Board mentors regularly consult with programs to develop and monitor CQIPs, model best practices, provide constructive feedback, deliver targeted training, and refer programs to other helpful resources and training.  </w:t>
      </w:r>
    </w:p>
    <w:p w14:paraId="352B1D66" w14:textId="77777777" w:rsidR="00136648" w:rsidRPr="00136648" w:rsidRDefault="00136648" w:rsidP="00136648">
      <w:pPr>
        <w:pStyle w:val="BodyText"/>
      </w:pPr>
      <w:r w:rsidRPr="00136648">
        <w:t>Mentors must meet the minimum education requirements established by the Commission and outlined in §809.134: </w:t>
      </w:r>
    </w:p>
    <w:p w14:paraId="52139B42" w14:textId="77777777" w:rsidR="00136648" w:rsidRPr="00136648" w:rsidRDefault="00136648" w:rsidP="00C64851">
      <w:pPr>
        <w:pStyle w:val="BodyText"/>
        <w:numPr>
          <w:ilvl w:val="0"/>
          <w:numId w:val="563"/>
        </w:numPr>
      </w:pPr>
      <w:r w:rsidRPr="00136648">
        <w:t>Minimum education requirements as follows: </w:t>
      </w:r>
    </w:p>
    <w:p w14:paraId="55381E93" w14:textId="77777777" w:rsidR="00136648" w:rsidRPr="00136648" w:rsidRDefault="00136648" w:rsidP="00C64851">
      <w:pPr>
        <w:pStyle w:val="BodyText"/>
        <w:numPr>
          <w:ilvl w:val="0"/>
          <w:numId w:val="564"/>
        </w:numPr>
      </w:pPr>
      <w:r w:rsidRPr="00136648">
        <w:t>Bachelor's degree from an accredited four-year college or university in early childhood education, child development, special education, child psychology, educational psychology, elementary education, or family consumer science. </w:t>
      </w:r>
    </w:p>
    <w:p w14:paraId="64F9C0F2" w14:textId="77777777" w:rsidR="00136648" w:rsidRPr="00136648" w:rsidRDefault="00136648" w:rsidP="00C64851">
      <w:pPr>
        <w:pStyle w:val="BodyText"/>
        <w:numPr>
          <w:ilvl w:val="0"/>
          <w:numId w:val="565"/>
        </w:numPr>
      </w:pPr>
      <w:r w:rsidRPr="00136648">
        <w:t>Bachelor's degree from an accredited four-year college or university with at least 18 credit hours in early childhood education, child development, special education, child psychology, educational psychology, elementary education, or family consumer science with at least 12 credit hours in child development.  </w:t>
      </w:r>
    </w:p>
    <w:p w14:paraId="5C6BF20F" w14:textId="77777777" w:rsidR="00136648" w:rsidRPr="00136648" w:rsidRDefault="00136648" w:rsidP="00C64851">
      <w:pPr>
        <w:pStyle w:val="BodyText"/>
        <w:numPr>
          <w:ilvl w:val="0"/>
          <w:numId w:val="566"/>
        </w:numPr>
      </w:pPr>
      <w:r w:rsidRPr="00136648">
        <w:t>Associate's degree in early childhood education, child development, special education, child psychology, educational psychology, elementary education, or family consumer science, and two years of suitable experience in early childhood education as determined by the Board. </w:t>
      </w:r>
    </w:p>
    <w:p w14:paraId="343203BD" w14:textId="77777777" w:rsidR="00136648" w:rsidRPr="00136648" w:rsidRDefault="00136648" w:rsidP="00136648">
      <w:pPr>
        <w:pStyle w:val="BodyText"/>
      </w:pPr>
      <w:r w:rsidRPr="00136648">
        <w:rPr>
          <w:i/>
          <w:iCs/>
        </w:rPr>
        <w:t>*The Agency may grant a waiver of no more than two years to obtain the minimum education requirements if a Board can demonstrate that no applicants in its workforce area meet the minimum education requirements.</w:t>
      </w:r>
      <w:r w:rsidRPr="00136648">
        <w:t> </w:t>
      </w:r>
    </w:p>
    <w:p w14:paraId="7DC63EC6" w14:textId="70835B6E" w:rsidR="00136648" w:rsidRPr="00136648" w:rsidRDefault="00136648" w:rsidP="00C64851">
      <w:pPr>
        <w:pStyle w:val="BodyText"/>
        <w:numPr>
          <w:ilvl w:val="0"/>
          <w:numId w:val="567"/>
        </w:numPr>
      </w:pPr>
      <w:r w:rsidRPr="00136648">
        <w:t xml:space="preserve">Texas Rising Star mentor staff shall meet the minimum work experience requirements of one year of full-time early childhood classroom experience in a child care, </w:t>
      </w:r>
      <w:r w:rsidR="16FCE88F">
        <w:t xml:space="preserve">early high school, high </w:t>
      </w:r>
      <w:proofErr w:type="gramStart"/>
      <w:r w:rsidR="16FCE88F">
        <w:t xml:space="preserve">school, </w:t>
      </w:r>
      <w:r w:rsidRPr="00136648">
        <w:t xml:space="preserve"> or</w:t>
      </w:r>
      <w:proofErr w:type="gramEnd"/>
      <w:r w:rsidRPr="00136648">
        <w:t xml:space="preserve"> pre-K through third-grade school program. </w:t>
      </w:r>
    </w:p>
    <w:p w14:paraId="39633F52" w14:textId="77777777" w:rsidR="00136648" w:rsidRPr="00136648" w:rsidRDefault="00136648" w:rsidP="00C64851">
      <w:pPr>
        <w:pStyle w:val="BodyText"/>
        <w:numPr>
          <w:ilvl w:val="0"/>
          <w:numId w:val="568"/>
        </w:numPr>
      </w:pPr>
      <w:r w:rsidRPr="00136648">
        <w:t xml:space="preserve">Mentors are required to complete the Texas Rising Star Certification course training components and must pursue TWC’s required coaching </w:t>
      </w:r>
      <w:proofErr w:type="spellStart"/>
      <w:r w:rsidRPr="00136648">
        <w:t>microcredential</w:t>
      </w:r>
      <w:proofErr w:type="spellEnd"/>
      <w:r w:rsidRPr="00136648">
        <w:t>. </w:t>
      </w:r>
    </w:p>
    <w:p w14:paraId="0283B033" w14:textId="77777777" w:rsidR="00136648" w:rsidRPr="00136648" w:rsidRDefault="00136648" w:rsidP="00933713">
      <w:pPr>
        <w:pStyle w:val="BodyText3"/>
      </w:pPr>
      <w:r w:rsidRPr="00136648">
        <w:t>University of Texas Health Science Center at Houston, Children’s Learning Institute </w:t>
      </w:r>
    </w:p>
    <w:p w14:paraId="110B53D8" w14:textId="77777777" w:rsidR="00136648" w:rsidRPr="00136648" w:rsidRDefault="00136648" w:rsidP="00136648">
      <w:pPr>
        <w:pStyle w:val="BodyText"/>
      </w:pPr>
      <w:r w:rsidRPr="00136648">
        <w:t xml:space="preserve">As mentioned above, TWC also works with CLI to provide Texas Rising Star assessment services, to operate and maintain Texas Early Childhood Professional Development </w:t>
      </w:r>
      <w:r w:rsidRPr="00136648">
        <w:lastRenderedPageBreak/>
        <w:t xml:space="preserve">System (TECPDS), and to support Texas Rising Star assessors and mentors through PLCs, through the Assessor Training and Certification Program (ATCP) training course that all assessors must pass, and to operate the Mentor </w:t>
      </w:r>
      <w:proofErr w:type="spellStart"/>
      <w:r w:rsidRPr="00136648">
        <w:t>Microcredential</w:t>
      </w:r>
      <w:proofErr w:type="spellEnd"/>
      <w:r w:rsidRPr="00136648">
        <w:t xml:space="preserve"> program, that all mentors must participate in. </w:t>
      </w:r>
    </w:p>
    <w:p w14:paraId="7A9C4B9A" w14:textId="77777777" w:rsidR="00136648" w:rsidRPr="00136648" w:rsidRDefault="00136648" w:rsidP="00933713">
      <w:pPr>
        <w:pStyle w:val="BodyText3"/>
        <w:ind w:left="720" w:hanging="720"/>
      </w:pPr>
      <w:r w:rsidRPr="00136648">
        <w:t>J.</w:t>
      </w:r>
      <w:r w:rsidRPr="00136648">
        <w:tab/>
        <w:t>Are there any barriers or challenges that impede the division or program’s performance, including any outdated or ineffective state laws? Explain. </w:t>
      </w:r>
    </w:p>
    <w:p w14:paraId="6529C9CA" w14:textId="21DE89D1" w:rsidR="007257C1" w:rsidRDefault="0043288A" w:rsidP="00136648">
      <w:pPr>
        <w:pStyle w:val="BodyText"/>
      </w:pPr>
      <w:r>
        <w:t xml:space="preserve">See the </w:t>
      </w:r>
      <w:r w:rsidR="007257C1">
        <w:t>Child Care Services Program Guide to Agency Programs.</w:t>
      </w:r>
    </w:p>
    <w:p w14:paraId="1F8AA755" w14:textId="77777777" w:rsidR="00136648" w:rsidRPr="00136648" w:rsidRDefault="00136648" w:rsidP="007257C1">
      <w:pPr>
        <w:pStyle w:val="BodyText3"/>
        <w:ind w:left="720" w:hanging="720"/>
      </w:pPr>
      <w:r w:rsidRPr="00136648">
        <w:t>K.</w:t>
      </w:r>
      <w:r w:rsidRPr="00136648">
        <w:tab/>
        <w:t>Provide any additional information needed to gain a preliminary understanding of the division or program. </w:t>
      </w:r>
    </w:p>
    <w:p w14:paraId="25421F2E" w14:textId="77777777" w:rsidR="00136648" w:rsidRPr="00136648" w:rsidRDefault="00136648" w:rsidP="00136648">
      <w:pPr>
        <w:pStyle w:val="BodyText"/>
      </w:pPr>
      <w:r w:rsidRPr="00136648">
        <w:t>None </w:t>
      </w:r>
    </w:p>
    <w:p w14:paraId="74B2F423" w14:textId="77777777" w:rsidR="00136648" w:rsidRPr="00136648" w:rsidRDefault="00136648" w:rsidP="0057425B">
      <w:pPr>
        <w:pStyle w:val="BodyText3"/>
        <w:ind w:left="720" w:hanging="720"/>
      </w:pPr>
      <w:r w:rsidRPr="00136648">
        <w:t>L.</w:t>
      </w:r>
      <w:r w:rsidRPr="00136648">
        <w:tab/>
        <w:t>Regulatory programs relate to the licensing, registration, certification, or permitting of a person, business, piece of equipment, or other entity (e.g., a facility). For each regulatory program, if applicable, describe: </w:t>
      </w:r>
    </w:p>
    <w:p w14:paraId="104CC70C" w14:textId="77777777" w:rsidR="00136648" w:rsidRPr="00136648" w:rsidRDefault="00136648" w:rsidP="008F6227">
      <w:pPr>
        <w:pStyle w:val="BodyText3"/>
      </w:pPr>
      <w:r w:rsidRPr="00136648">
        <w:t>Purpose of the Regulation </w:t>
      </w:r>
    </w:p>
    <w:p w14:paraId="6C7CD33A" w14:textId="77777777" w:rsidR="00136648" w:rsidRPr="00136648" w:rsidRDefault="00136648" w:rsidP="00136648">
      <w:pPr>
        <w:pStyle w:val="BodyText"/>
      </w:pPr>
      <w:r w:rsidRPr="00136648">
        <w:t xml:space="preserve">TWC establishes rules and guidelines for </w:t>
      </w:r>
      <w:proofErr w:type="gramStart"/>
      <w:r w:rsidRPr="00136648">
        <w:t>child care</w:t>
      </w:r>
      <w:proofErr w:type="gramEnd"/>
      <w:r w:rsidRPr="00136648">
        <w:t xml:space="preserve"> program certification under the Texas Rising Star program pursuant to §2308.315 of the Government Code. Section 2308.315 of the Government Code requires Texas Rising Star-certified programs to receive higher graduated payment rates. </w:t>
      </w:r>
    </w:p>
    <w:p w14:paraId="680820CD" w14:textId="77777777" w:rsidR="00136648" w:rsidRPr="00136648" w:rsidRDefault="00136648" w:rsidP="00136648">
      <w:pPr>
        <w:pStyle w:val="BodyText"/>
      </w:pPr>
      <w:r w:rsidRPr="00136648">
        <w:t xml:space="preserve">A Texas Rising Star-certified program is a child care program that has an agreement with a Board's child care contractor to serve TWC-subsidized children and that meets requirements that exceed the State's Minimum Child Care </w:t>
      </w:r>
      <w:proofErr w:type="gramStart"/>
      <w:r w:rsidRPr="00136648">
        <w:t>Regulation  Standards</w:t>
      </w:r>
      <w:proofErr w:type="gramEnd"/>
      <w:r w:rsidRPr="00136648">
        <w:t>. Texas Rising Star certification is available to Licensed Center, and Licensed and Registered Child Care Home programs who meet the certification criteria. The Texas Rising Star certification system offers three levels of certification for (Two-, Three-, and Four-Star) to encourage programs to attain progressively higher certification requirements leading to a Four-Star level. </w:t>
      </w:r>
    </w:p>
    <w:p w14:paraId="007D0E86" w14:textId="77777777" w:rsidR="00136648" w:rsidRPr="00136648" w:rsidRDefault="00136648" w:rsidP="008F6227">
      <w:pPr>
        <w:pStyle w:val="BodyText3"/>
      </w:pPr>
      <w:r w:rsidRPr="00136648">
        <w:t>Scope of Regulatory Activities </w:t>
      </w:r>
    </w:p>
    <w:p w14:paraId="58A2CB0C" w14:textId="77777777" w:rsidR="00136648" w:rsidRPr="00136648" w:rsidRDefault="00136648" w:rsidP="00136648">
      <w:pPr>
        <w:pStyle w:val="BodyText"/>
      </w:pPr>
      <w:r w:rsidRPr="00136648">
        <w:t xml:space="preserve">TWC establishes the criteria and guidelines for Texas Rising Star certification. Boards provide mentoring services for </w:t>
      </w:r>
      <w:proofErr w:type="gramStart"/>
      <w:r w:rsidRPr="00136648">
        <w:t>child care</w:t>
      </w:r>
      <w:proofErr w:type="gramEnd"/>
      <w:r w:rsidRPr="00136648">
        <w:t xml:space="preserve"> programs and CLI performs assessments of programs. </w:t>
      </w:r>
    </w:p>
    <w:p w14:paraId="7854772E" w14:textId="77777777" w:rsidR="00136648" w:rsidRPr="00136648" w:rsidRDefault="00136648" w:rsidP="00136648">
      <w:pPr>
        <w:pStyle w:val="BodyText"/>
      </w:pPr>
      <w:r w:rsidRPr="00136648">
        <w:t>Question E describes the Texas Rising Star assessment and mentoring process. </w:t>
      </w:r>
    </w:p>
    <w:p w14:paraId="0296BAF8" w14:textId="77777777" w:rsidR="00136648" w:rsidRPr="00136648" w:rsidRDefault="00136648" w:rsidP="00780E5B">
      <w:pPr>
        <w:pStyle w:val="BodyText3"/>
        <w:ind w:left="720" w:hanging="720"/>
      </w:pPr>
      <w:r w:rsidRPr="00136648">
        <w:t>M.</w:t>
      </w:r>
      <w:r w:rsidRPr="00136648">
        <w:tab/>
        <w:t xml:space="preserve">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w:t>
      </w:r>
      <w:r w:rsidRPr="00136648">
        <w:lastRenderedPageBreak/>
        <w:t>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777EB3CF" w14:textId="42A1CBF2" w:rsidR="00136648" w:rsidRPr="00136648" w:rsidRDefault="00136648" w:rsidP="00136648">
      <w:pPr>
        <w:pStyle w:val="BodyText"/>
      </w:pPr>
      <w:r w:rsidRPr="00136648">
        <w:t xml:space="preserve">TWC’s regulation of Texas Rising Star builds upon the regulatory framework administered by HHSC’s Child Care Regulation, which sets </w:t>
      </w:r>
      <w:proofErr w:type="gramStart"/>
      <w:r w:rsidRPr="00136648">
        <w:t>child care</w:t>
      </w:r>
      <w:proofErr w:type="gramEnd"/>
      <w:r w:rsidRPr="00136648">
        <w:t xml:space="preserve"> minimum standards for all child care programs. Parents that have complaints about </w:t>
      </w:r>
      <w:proofErr w:type="gramStart"/>
      <w:r w:rsidRPr="00136648">
        <w:t>child care</w:t>
      </w:r>
      <w:proofErr w:type="gramEnd"/>
      <w:r w:rsidRPr="00136648">
        <w:t xml:space="preserve"> programs submit those complaints to Child Care Regulation.  For example, if a parent is concerned that their child was abused in a </w:t>
      </w:r>
      <w:proofErr w:type="gramStart"/>
      <w:r w:rsidRPr="00136648">
        <w:t>child care</w:t>
      </w:r>
      <w:proofErr w:type="gramEnd"/>
      <w:r w:rsidRPr="00136648">
        <w:t xml:space="preserve"> program, they would submit that complaint to Child Care Regulation.</w:t>
      </w:r>
    </w:p>
    <w:p w14:paraId="52C4F16D" w14:textId="1A887135" w:rsidR="00136648" w:rsidRPr="00136648" w:rsidRDefault="00136648" w:rsidP="00136648">
      <w:pPr>
        <w:pStyle w:val="BodyText"/>
      </w:pPr>
      <w:r w:rsidRPr="00136648">
        <w:t>TWC’s Texas Rising Star program reviews and considers Child Care Regulation’s high and medium-high rated minimum standards, and a Texas Rising Star certification level may be impacted if Child Care Regulation has citations issued following a complaint investigation.</w:t>
      </w:r>
    </w:p>
    <w:tbl>
      <w:tblPr>
        <w:tblStyle w:val="TableGrid1"/>
        <w:tblW w:w="9360" w:type="dxa"/>
        <w:tblCellMar>
          <w:top w:w="58" w:type="dxa"/>
          <w:bottom w:w="58" w:type="dxa"/>
        </w:tblCellMar>
        <w:tblLook w:val="04A0" w:firstRow="1" w:lastRow="0" w:firstColumn="1" w:lastColumn="0" w:noHBand="0" w:noVBand="1"/>
      </w:tblPr>
      <w:tblGrid>
        <w:gridCol w:w="3396"/>
        <w:gridCol w:w="1153"/>
        <w:gridCol w:w="1230"/>
        <w:gridCol w:w="1199"/>
        <w:gridCol w:w="1183"/>
        <w:gridCol w:w="1199"/>
      </w:tblGrid>
      <w:tr w:rsidR="00136648" w:rsidRPr="00136648" w14:paraId="15C3DEF9" w14:textId="77777777" w:rsidTr="00FB7F51">
        <w:trPr>
          <w:trHeight w:val="720"/>
        </w:trPr>
        <w:tc>
          <w:tcPr>
            <w:tcW w:w="3315" w:type="dxa"/>
            <w:shd w:val="clear" w:color="auto" w:fill="B8CCE4" w:themeFill="accent1" w:themeFillTint="66"/>
            <w:vAlign w:val="center"/>
            <w:hideMark/>
          </w:tcPr>
          <w:p w14:paraId="686ECBB8" w14:textId="55C9328E" w:rsidR="00136648" w:rsidRPr="00136648" w:rsidRDefault="00136648" w:rsidP="00780E5B">
            <w:pPr>
              <w:pStyle w:val="TableHeaders"/>
            </w:pPr>
            <w:r w:rsidRPr="00136648">
              <w:t>Texas Rising Star Certified Programs</w:t>
            </w:r>
          </w:p>
        </w:tc>
        <w:tc>
          <w:tcPr>
            <w:tcW w:w="1125" w:type="dxa"/>
            <w:shd w:val="clear" w:color="auto" w:fill="B8CCE4" w:themeFill="accent1" w:themeFillTint="66"/>
            <w:vAlign w:val="center"/>
            <w:hideMark/>
          </w:tcPr>
          <w:p w14:paraId="7D8A4BF9" w14:textId="22A5565E" w:rsidR="00136648" w:rsidRPr="00136648" w:rsidRDefault="00136648" w:rsidP="00780E5B">
            <w:pPr>
              <w:pStyle w:val="TableHeaders"/>
            </w:pPr>
            <w:r w:rsidRPr="00136648">
              <w:t>Fiscal Year 2020</w:t>
            </w:r>
          </w:p>
        </w:tc>
        <w:tc>
          <w:tcPr>
            <w:tcW w:w="1200" w:type="dxa"/>
            <w:shd w:val="clear" w:color="auto" w:fill="B8CCE4" w:themeFill="accent1" w:themeFillTint="66"/>
            <w:vAlign w:val="center"/>
            <w:hideMark/>
          </w:tcPr>
          <w:p w14:paraId="3D919282" w14:textId="3BEF1363" w:rsidR="00136648" w:rsidRPr="00136648" w:rsidRDefault="00136648" w:rsidP="00780E5B">
            <w:pPr>
              <w:pStyle w:val="TableHeaders"/>
            </w:pPr>
            <w:r w:rsidRPr="00136648">
              <w:t>Fiscal Year 2021</w:t>
            </w:r>
          </w:p>
        </w:tc>
        <w:tc>
          <w:tcPr>
            <w:tcW w:w="1170" w:type="dxa"/>
            <w:shd w:val="clear" w:color="auto" w:fill="B8CCE4" w:themeFill="accent1" w:themeFillTint="66"/>
            <w:vAlign w:val="center"/>
            <w:hideMark/>
          </w:tcPr>
          <w:p w14:paraId="14AE533B" w14:textId="5DC7A27E" w:rsidR="00136648" w:rsidRPr="00136648" w:rsidRDefault="00136648" w:rsidP="00780E5B">
            <w:pPr>
              <w:pStyle w:val="TableHeaders"/>
            </w:pPr>
            <w:r w:rsidRPr="00136648">
              <w:t>Fiscal Year 2022</w:t>
            </w:r>
          </w:p>
        </w:tc>
        <w:tc>
          <w:tcPr>
            <w:tcW w:w="1155" w:type="dxa"/>
            <w:shd w:val="clear" w:color="auto" w:fill="B8CCE4" w:themeFill="accent1" w:themeFillTint="66"/>
            <w:vAlign w:val="center"/>
            <w:hideMark/>
          </w:tcPr>
          <w:p w14:paraId="7EBBB547" w14:textId="4EB19A55" w:rsidR="00136648" w:rsidRPr="00136648" w:rsidRDefault="00136648" w:rsidP="00780E5B">
            <w:pPr>
              <w:pStyle w:val="TableHeaders"/>
            </w:pPr>
            <w:r w:rsidRPr="00136648">
              <w:t>Fiscal Year 2023</w:t>
            </w:r>
          </w:p>
        </w:tc>
        <w:tc>
          <w:tcPr>
            <w:tcW w:w="1170" w:type="dxa"/>
            <w:shd w:val="clear" w:color="auto" w:fill="B8CCE4" w:themeFill="accent1" w:themeFillTint="66"/>
            <w:vAlign w:val="center"/>
            <w:hideMark/>
          </w:tcPr>
          <w:p w14:paraId="02266380" w14:textId="0E7A9190" w:rsidR="00136648" w:rsidRPr="00136648" w:rsidRDefault="00136648" w:rsidP="00780E5B">
            <w:pPr>
              <w:pStyle w:val="TableHeaders"/>
            </w:pPr>
            <w:r w:rsidRPr="00136648">
              <w:t>Fiscal Year 2024</w:t>
            </w:r>
          </w:p>
        </w:tc>
      </w:tr>
      <w:tr w:rsidR="00136648" w:rsidRPr="00136648" w14:paraId="617E660A" w14:textId="77777777" w:rsidTr="00FB7F51">
        <w:trPr>
          <w:trHeight w:val="510"/>
        </w:trPr>
        <w:tc>
          <w:tcPr>
            <w:tcW w:w="3315" w:type="dxa"/>
            <w:vAlign w:val="center"/>
            <w:hideMark/>
          </w:tcPr>
          <w:p w14:paraId="164DB627" w14:textId="77777777" w:rsidR="00136648" w:rsidRPr="00136648" w:rsidRDefault="00136648" w:rsidP="00780E5B">
            <w:pPr>
              <w:pStyle w:val="TableText"/>
            </w:pPr>
            <w:r w:rsidRPr="00136648">
              <w:t>Four-Star Certified Programs </w:t>
            </w:r>
          </w:p>
        </w:tc>
        <w:tc>
          <w:tcPr>
            <w:tcW w:w="1125" w:type="dxa"/>
            <w:vAlign w:val="center"/>
            <w:hideMark/>
          </w:tcPr>
          <w:p w14:paraId="3E51A96B" w14:textId="77777777" w:rsidR="00136648" w:rsidRPr="00136648" w:rsidRDefault="00136648" w:rsidP="00780E5B">
            <w:pPr>
              <w:pStyle w:val="TableText"/>
              <w:jc w:val="right"/>
            </w:pPr>
            <w:r w:rsidRPr="00136648">
              <w:t>1,262 </w:t>
            </w:r>
          </w:p>
        </w:tc>
        <w:tc>
          <w:tcPr>
            <w:tcW w:w="1200" w:type="dxa"/>
            <w:vAlign w:val="center"/>
            <w:hideMark/>
          </w:tcPr>
          <w:p w14:paraId="5DDD5100" w14:textId="77777777" w:rsidR="00136648" w:rsidRPr="00136648" w:rsidRDefault="00136648" w:rsidP="00780E5B">
            <w:pPr>
              <w:pStyle w:val="TableText"/>
              <w:jc w:val="right"/>
            </w:pPr>
            <w:r w:rsidRPr="00136648">
              <w:t>1,253 </w:t>
            </w:r>
          </w:p>
        </w:tc>
        <w:tc>
          <w:tcPr>
            <w:tcW w:w="1170" w:type="dxa"/>
            <w:vAlign w:val="center"/>
            <w:hideMark/>
          </w:tcPr>
          <w:p w14:paraId="0E7952C2" w14:textId="77777777" w:rsidR="00136648" w:rsidRPr="00136648" w:rsidRDefault="00136648" w:rsidP="00780E5B">
            <w:pPr>
              <w:pStyle w:val="TableText"/>
              <w:jc w:val="right"/>
            </w:pPr>
            <w:r w:rsidRPr="00136648">
              <w:t>1,530 </w:t>
            </w:r>
          </w:p>
        </w:tc>
        <w:tc>
          <w:tcPr>
            <w:tcW w:w="1155" w:type="dxa"/>
            <w:vAlign w:val="center"/>
            <w:hideMark/>
          </w:tcPr>
          <w:p w14:paraId="5F688337" w14:textId="77777777" w:rsidR="00136648" w:rsidRPr="00136648" w:rsidRDefault="00136648" w:rsidP="00780E5B">
            <w:pPr>
              <w:pStyle w:val="TableText"/>
              <w:jc w:val="right"/>
            </w:pPr>
            <w:r w:rsidRPr="00136648">
              <w:t>1,742 </w:t>
            </w:r>
          </w:p>
        </w:tc>
        <w:tc>
          <w:tcPr>
            <w:tcW w:w="1170" w:type="dxa"/>
            <w:vAlign w:val="center"/>
            <w:hideMark/>
          </w:tcPr>
          <w:p w14:paraId="477EAB4C" w14:textId="77777777" w:rsidR="00136648" w:rsidRPr="00136648" w:rsidRDefault="00136648" w:rsidP="00780E5B">
            <w:pPr>
              <w:pStyle w:val="TableText"/>
              <w:jc w:val="right"/>
            </w:pPr>
            <w:r w:rsidRPr="00136648">
              <w:t>1,985 </w:t>
            </w:r>
          </w:p>
        </w:tc>
      </w:tr>
      <w:tr w:rsidR="00136648" w:rsidRPr="00136648" w14:paraId="043175BE" w14:textId="77777777" w:rsidTr="00FB7F51">
        <w:trPr>
          <w:trHeight w:val="525"/>
        </w:trPr>
        <w:tc>
          <w:tcPr>
            <w:tcW w:w="3315" w:type="dxa"/>
            <w:vAlign w:val="center"/>
            <w:hideMark/>
          </w:tcPr>
          <w:p w14:paraId="491D68E5" w14:textId="77777777" w:rsidR="00136648" w:rsidRPr="00136648" w:rsidRDefault="00136648" w:rsidP="00780E5B">
            <w:pPr>
              <w:pStyle w:val="TableText"/>
            </w:pPr>
            <w:r w:rsidRPr="00136648">
              <w:t>Three-Star Certified Programs </w:t>
            </w:r>
          </w:p>
        </w:tc>
        <w:tc>
          <w:tcPr>
            <w:tcW w:w="1125" w:type="dxa"/>
            <w:vAlign w:val="center"/>
            <w:hideMark/>
          </w:tcPr>
          <w:p w14:paraId="084DFC2D" w14:textId="77777777" w:rsidR="00136648" w:rsidRPr="00136648" w:rsidRDefault="00136648" w:rsidP="00780E5B">
            <w:pPr>
              <w:pStyle w:val="TableText"/>
              <w:jc w:val="right"/>
            </w:pPr>
            <w:r w:rsidRPr="00136648">
              <w:t>639 </w:t>
            </w:r>
          </w:p>
        </w:tc>
        <w:tc>
          <w:tcPr>
            <w:tcW w:w="1200" w:type="dxa"/>
            <w:vAlign w:val="center"/>
            <w:hideMark/>
          </w:tcPr>
          <w:p w14:paraId="32CFFBCD" w14:textId="77777777" w:rsidR="00136648" w:rsidRPr="00136648" w:rsidRDefault="00136648" w:rsidP="00780E5B">
            <w:pPr>
              <w:pStyle w:val="TableText"/>
              <w:jc w:val="right"/>
            </w:pPr>
            <w:r w:rsidRPr="00136648">
              <w:t>498 </w:t>
            </w:r>
          </w:p>
        </w:tc>
        <w:tc>
          <w:tcPr>
            <w:tcW w:w="1170" w:type="dxa"/>
            <w:vAlign w:val="center"/>
            <w:hideMark/>
          </w:tcPr>
          <w:p w14:paraId="6FFBBCD0" w14:textId="77777777" w:rsidR="00136648" w:rsidRPr="00136648" w:rsidRDefault="00136648" w:rsidP="00780E5B">
            <w:pPr>
              <w:pStyle w:val="TableText"/>
              <w:jc w:val="right"/>
            </w:pPr>
            <w:r w:rsidRPr="00136648">
              <w:t>849 </w:t>
            </w:r>
          </w:p>
        </w:tc>
        <w:tc>
          <w:tcPr>
            <w:tcW w:w="1155" w:type="dxa"/>
            <w:vAlign w:val="center"/>
            <w:hideMark/>
          </w:tcPr>
          <w:p w14:paraId="2787737F" w14:textId="77777777" w:rsidR="00136648" w:rsidRPr="00136648" w:rsidRDefault="00136648" w:rsidP="00780E5B">
            <w:pPr>
              <w:pStyle w:val="TableText"/>
              <w:jc w:val="right"/>
            </w:pPr>
            <w:r w:rsidRPr="00136648">
              <w:t>1,066 </w:t>
            </w:r>
          </w:p>
        </w:tc>
        <w:tc>
          <w:tcPr>
            <w:tcW w:w="1170" w:type="dxa"/>
            <w:vAlign w:val="center"/>
            <w:hideMark/>
          </w:tcPr>
          <w:p w14:paraId="12669366" w14:textId="77777777" w:rsidR="00136648" w:rsidRPr="00136648" w:rsidRDefault="00136648" w:rsidP="00780E5B">
            <w:pPr>
              <w:pStyle w:val="TableText"/>
              <w:jc w:val="right"/>
            </w:pPr>
            <w:r w:rsidRPr="00136648">
              <w:t>1,573 </w:t>
            </w:r>
          </w:p>
        </w:tc>
      </w:tr>
      <w:tr w:rsidR="00136648" w:rsidRPr="00136648" w14:paraId="3B9573E0" w14:textId="77777777" w:rsidTr="00FB7F51">
        <w:trPr>
          <w:trHeight w:val="525"/>
        </w:trPr>
        <w:tc>
          <w:tcPr>
            <w:tcW w:w="3315" w:type="dxa"/>
            <w:vAlign w:val="center"/>
            <w:hideMark/>
          </w:tcPr>
          <w:p w14:paraId="787EAAA6" w14:textId="77777777" w:rsidR="00136648" w:rsidRPr="00136648" w:rsidRDefault="00136648" w:rsidP="00780E5B">
            <w:pPr>
              <w:pStyle w:val="TableText"/>
            </w:pPr>
            <w:r w:rsidRPr="00136648">
              <w:t>Two-Star Certified Programs </w:t>
            </w:r>
          </w:p>
        </w:tc>
        <w:tc>
          <w:tcPr>
            <w:tcW w:w="1125" w:type="dxa"/>
            <w:vAlign w:val="center"/>
            <w:hideMark/>
          </w:tcPr>
          <w:p w14:paraId="2E659E16" w14:textId="77777777" w:rsidR="00136648" w:rsidRPr="00136648" w:rsidRDefault="00136648" w:rsidP="00780E5B">
            <w:pPr>
              <w:pStyle w:val="TableText"/>
              <w:jc w:val="right"/>
            </w:pPr>
            <w:r w:rsidRPr="00136648">
              <w:t>494 </w:t>
            </w:r>
          </w:p>
        </w:tc>
        <w:tc>
          <w:tcPr>
            <w:tcW w:w="1200" w:type="dxa"/>
            <w:vAlign w:val="center"/>
            <w:hideMark/>
          </w:tcPr>
          <w:p w14:paraId="0B6E8E88" w14:textId="77777777" w:rsidR="00136648" w:rsidRPr="00136648" w:rsidRDefault="00136648" w:rsidP="00780E5B">
            <w:pPr>
              <w:pStyle w:val="TableText"/>
              <w:jc w:val="right"/>
            </w:pPr>
            <w:r w:rsidRPr="00136648">
              <w:t>607 </w:t>
            </w:r>
          </w:p>
        </w:tc>
        <w:tc>
          <w:tcPr>
            <w:tcW w:w="1170" w:type="dxa"/>
            <w:vAlign w:val="center"/>
            <w:hideMark/>
          </w:tcPr>
          <w:p w14:paraId="2B5EB766" w14:textId="77777777" w:rsidR="00136648" w:rsidRPr="00136648" w:rsidRDefault="00136648" w:rsidP="00780E5B">
            <w:pPr>
              <w:pStyle w:val="TableText"/>
              <w:jc w:val="right"/>
            </w:pPr>
            <w:r w:rsidRPr="00136648">
              <w:t>580 </w:t>
            </w:r>
          </w:p>
        </w:tc>
        <w:tc>
          <w:tcPr>
            <w:tcW w:w="1155" w:type="dxa"/>
            <w:vAlign w:val="center"/>
            <w:hideMark/>
          </w:tcPr>
          <w:p w14:paraId="6BAE7C2C" w14:textId="77777777" w:rsidR="00136648" w:rsidRPr="00136648" w:rsidRDefault="00136648" w:rsidP="00780E5B">
            <w:pPr>
              <w:pStyle w:val="TableText"/>
              <w:jc w:val="right"/>
            </w:pPr>
            <w:r w:rsidRPr="00136648">
              <w:t>313 </w:t>
            </w:r>
          </w:p>
        </w:tc>
        <w:tc>
          <w:tcPr>
            <w:tcW w:w="1170" w:type="dxa"/>
            <w:vAlign w:val="center"/>
            <w:hideMark/>
          </w:tcPr>
          <w:p w14:paraId="1FDEA610" w14:textId="77777777" w:rsidR="00136648" w:rsidRPr="00136648" w:rsidRDefault="00136648" w:rsidP="00780E5B">
            <w:pPr>
              <w:pStyle w:val="TableText"/>
              <w:jc w:val="right"/>
            </w:pPr>
            <w:r w:rsidRPr="00136648">
              <w:t>545 </w:t>
            </w:r>
          </w:p>
        </w:tc>
      </w:tr>
      <w:tr w:rsidR="00136648" w:rsidRPr="00136648" w14:paraId="1FFBCEEE" w14:textId="77777777" w:rsidTr="00FB7F51">
        <w:trPr>
          <w:trHeight w:val="435"/>
        </w:trPr>
        <w:tc>
          <w:tcPr>
            <w:tcW w:w="3315" w:type="dxa"/>
            <w:vAlign w:val="center"/>
            <w:hideMark/>
          </w:tcPr>
          <w:p w14:paraId="6F8B3DD3" w14:textId="77777777" w:rsidR="00136648" w:rsidRPr="00136648" w:rsidRDefault="00136648" w:rsidP="00780E5B">
            <w:pPr>
              <w:pStyle w:val="TableText"/>
            </w:pPr>
            <w:r w:rsidRPr="00136648">
              <w:t>Total Certified Programs </w:t>
            </w:r>
          </w:p>
        </w:tc>
        <w:tc>
          <w:tcPr>
            <w:tcW w:w="1125" w:type="dxa"/>
            <w:vAlign w:val="center"/>
            <w:hideMark/>
          </w:tcPr>
          <w:p w14:paraId="4BCFC59B" w14:textId="77777777" w:rsidR="00136648" w:rsidRPr="00136648" w:rsidRDefault="00136648" w:rsidP="00780E5B">
            <w:pPr>
              <w:pStyle w:val="TableText"/>
              <w:jc w:val="right"/>
            </w:pPr>
            <w:r w:rsidRPr="00136648">
              <w:t>2,081 </w:t>
            </w:r>
          </w:p>
        </w:tc>
        <w:tc>
          <w:tcPr>
            <w:tcW w:w="1200" w:type="dxa"/>
            <w:vAlign w:val="center"/>
            <w:hideMark/>
          </w:tcPr>
          <w:p w14:paraId="7CDCB22F" w14:textId="77777777" w:rsidR="00136648" w:rsidRPr="00136648" w:rsidRDefault="00136648" w:rsidP="00780E5B">
            <w:pPr>
              <w:pStyle w:val="TableText"/>
              <w:jc w:val="right"/>
            </w:pPr>
            <w:r w:rsidRPr="00136648">
              <w:t>2,245 </w:t>
            </w:r>
          </w:p>
        </w:tc>
        <w:tc>
          <w:tcPr>
            <w:tcW w:w="1170" w:type="dxa"/>
            <w:vAlign w:val="center"/>
            <w:hideMark/>
          </w:tcPr>
          <w:p w14:paraId="39AC9DF9" w14:textId="77777777" w:rsidR="00136648" w:rsidRPr="00136648" w:rsidRDefault="00136648" w:rsidP="00780E5B">
            <w:pPr>
              <w:pStyle w:val="TableText"/>
              <w:jc w:val="right"/>
            </w:pPr>
            <w:r w:rsidRPr="00136648">
              <w:t>2,204 </w:t>
            </w:r>
          </w:p>
        </w:tc>
        <w:tc>
          <w:tcPr>
            <w:tcW w:w="1155" w:type="dxa"/>
            <w:vAlign w:val="center"/>
            <w:hideMark/>
          </w:tcPr>
          <w:p w14:paraId="2E353EB0" w14:textId="77777777" w:rsidR="00136648" w:rsidRPr="00136648" w:rsidRDefault="00136648" w:rsidP="00780E5B">
            <w:pPr>
              <w:pStyle w:val="TableText"/>
              <w:jc w:val="right"/>
            </w:pPr>
            <w:r w:rsidRPr="00136648">
              <w:t>2,824 </w:t>
            </w:r>
          </w:p>
        </w:tc>
        <w:tc>
          <w:tcPr>
            <w:tcW w:w="1170" w:type="dxa"/>
            <w:vAlign w:val="center"/>
            <w:hideMark/>
          </w:tcPr>
          <w:p w14:paraId="4BB2A8A0" w14:textId="77777777" w:rsidR="00136648" w:rsidRPr="00136648" w:rsidRDefault="00136648" w:rsidP="00780E5B">
            <w:pPr>
              <w:pStyle w:val="TableText"/>
              <w:jc w:val="right"/>
            </w:pPr>
            <w:r w:rsidRPr="00136648">
              <w:t>3,845 </w:t>
            </w:r>
          </w:p>
        </w:tc>
      </w:tr>
      <w:tr w:rsidR="00136648" w:rsidRPr="00136648" w14:paraId="3852E920" w14:textId="77777777" w:rsidTr="00FB7F51">
        <w:trPr>
          <w:trHeight w:val="525"/>
        </w:trPr>
        <w:tc>
          <w:tcPr>
            <w:tcW w:w="3315" w:type="dxa"/>
            <w:vAlign w:val="center"/>
            <w:hideMark/>
          </w:tcPr>
          <w:p w14:paraId="1A3E3AE8" w14:textId="77777777" w:rsidR="00136648" w:rsidRPr="00136648" w:rsidRDefault="00136648" w:rsidP="00780E5B">
            <w:pPr>
              <w:pStyle w:val="TableText"/>
            </w:pPr>
            <w:r w:rsidRPr="00136648">
              <w:t>Total Entry Level Designated Programs </w:t>
            </w:r>
          </w:p>
        </w:tc>
        <w:tc>
          <w:tcPr>
            <w:tcW w:w="1125" w:type="dxa"/>
            <w:vAlign w:val="center"/>
            <w:hideMark/>
          </w:tcPr>
          <w:p w14:paraId="6066A3D5" w14:textId="77777777" w:rsidR="00136648" w:rsidRPr="00136648" w:rsidRDefault="00136648" w:rsidP="00780E5B">
            <w:pPr>
              <w:pStyle w:val="TableText"/>
              <w:jc w:val="right"/>
            </w:pPr>
            <w:r w:rsidRPr="00136648">
              <w:t>N/A </w:t>
            </w:r>
          </w:p>
        </w:tc>
        <w:tc>
          <w:tcPr>
            <w:tcW w:w="1200" w:type="dxa"/>
            <w:vAlign w:val="center"/>
            <w:hideMark/>
          </w:tcPr>
          <w:p w14:paraId="5CA7FC24" w14:textId="77777777" w:rsidR="00136648" w:rsidRPr="00136648" w:rsidRDefault="00136648" w:rsidP="00780E5B">
            <w:pPr>
              <w:pStyle w:val="TableText"/>
              <w:jc w:val="right"/>
            </w:pPr>
            <w:r w:rsidRPr="00136648">
              <w:t>N/A </w:t>
            </w:r>
          </w:p>
        </w:tc>
        <w:tc>
          <w:tcPr>
            <w:tcW w:w="1170" w:type="dxa"/>
            <w:vAlign w:val="center"/>
            <w:hideMark/>
          </w:tcPr>
          <w:p w14:paraId="3380E225" w14:textId="77777777" w:rsidR="00136648" w:rsidRPr="00136648" w:rsidRDefault="00136648" w:rsidP="00780E5B">
            <w:pPr>
              <w:pStyle w:val="TableText"/>
              <w:jc w:val="right"/>
            </w:pPr>
            <w:r w:rsidRPr="00136648">
              <w:t>N/A </w:t>
            </w:r>
          </w:p>
        </w:tc>
        <w:tc>
          <w:tcPr>
            <w:tcW w:w="1155" w:type="dxa"/>
            <w:vAlign w:val="center"/>
            <w:hideMark/>
          </w:tcPr>
          <w:p w14:paraId="727082F3" w14:textId="77777777" w:rsidR="00136648" w:rsidRPr="00136648" w:rsidRDefault="00136648" w:rsidP="00780E5B">
            <w:pPr>
              <w:pStyle w:val="TableText"/>
              <w:jc w:val="right"/>
            </w:pPr>
            <w:r w:rsidRPr="00136648">
              <w:t>5,189 </w:t>
            </w:r>
          </w:p>
        </w:tc>
        <w:tc>
          <w:tcPr>
            <w:tcW w:w="1170" w:type="dxa"/>
            <w:vAlign w:val="center"/>
            <w:hideMark/>
          </w:tcPr>
          <w:p w14:paraId="615C987D" w14:textId="77777777" w:rsidR="00136648" w:rsidRPr="00136648" w:rsidRDefault="00136648" w:rsidP="00780E5B">
            <w:pPr>
              <w:pStyle w:val="TableText"/>
              <w:jc w:val="right"/>
            </w:pPr>
            <w:r w:rsidRPr="00136648">
              <w:t>4,569 </w:t>
            </w:r>
          </w:p>
        </w:tc>
      </w:tr>
    </w:tbl>
    <w:p w14:paraId="5FC631D0" w14:textId="358F170F" w:rsidR="00536172" w:rsidRDefault="00136648" w:rsidP="00136648">
      <w:pPr>
        <w:pStyle w:val="BodyText"/>
        <w:rPr>
          <w:b/>
          <w:bCs/>
          <w:i/>
          <w:iCs/>
        </w:rPr>
      </w:pPr>
      <w:r w:rsidRPr="00136648">
        <w:rPr>
          <w:b/>
          <w:bCs/>
          <w:i/>
          <w:iCs/>
        </w:rPr>
        <w:t>Note: Data are for federal fiscal year (October – September). Providers with a CCS agreement.</w:t>
      </w:r>
    </w:p>
    <w:p w14:paraId="4D745C16" w14:textId="77777777" w:rsidR="00536172" w:rsidRDefault="00536172">
      <w:pPr>
        <w:rPr>
          <w:rFonts w:ascii="Arial" w:eastAsiaTheme="minorEastAsia" w:hAnsi="Arial"/>
          <w:b/>
          <w:bCs/>
          <w:i/>
          <w:iCs/>
          <w:szCs w:val="22"/>
        </w:rPr>
      </w:pPr>
      <w:r>
        <w:rPr>
          <w:b/>
          <w:bCs/>
          <w:i/>
          <w:iCs/>
        </w:rPr>
        <w:br w:type="page"/>
      </w:r>
    </w:p>
    <w:p w14:paraId="2F7E3F50" w14:textId="6C34FA3C" w:rsidR="00136648" w:rsidRDefault="005004AB" w:rsidP="005004AB">
      <w:pPr>
        <w:pStyle w:val="BodyText3"/>
      </w:pPr>
      <w:r>
        <w:lastRenderedPageBreak/>
        <w:t xml:space="preserve">TWC </w:t>
      </w:r>
      <w:proofErr w:type="spellStart"/>
      <w:r>
        <w:t>PreKindergarten</w:t>
      </w:r>
      <w:proofErr w:type="spellEnd"/>
      <w:r>
        <w:t xml:space="preserve"> Partnerships</w:t>
      </w:r>
    </w:p>
    <w:p w14:paraId="4067ECF4" w14:textId="77777777" w:rsidR="008E3959" w:rsidRPr="008E3959" w:rsidRDefault="008E3959" w:rsidP="005D0470">
      <w:pPr>
        <w:pStyle w:val="BodyText3"/>
      </w:pPr>
      <w:r w:rsidRPr="008E3959">
        <w:t>A.</w:t>
      </w:r>
      <w:r w:rsidRPr="008E3959">
        <w:tab/>
        <w:t>Provide the following information at the beginning of each description. </w:t>
      </w:r>
    </w:p>
    <w:p w14:paraId="6DFA1698" w14:textId="77777777" w:rsidR="008E3959" w:rsidRPr="008E3959" w:rsidRDefault="008E3959" w:rsidP="005D0470">
      <w:pPr>
        <w:pStyle w:val="BodyText"/>
      </w:pPr>
      <w:r w:rsidRPr="008E3959">
        <w:t>Name of division or program: Prekindergarten Partnership </w:t>
      </w:r>
    </w:p>
    <w:p w14:paraId="2E41A9C6" w14:textId="77777777" w:rsidR="008E3959" w:rsidRPr="008E3959" w:rsidRDefault="008E3959" w:rsidP="005D0470">
      <w:pPr>
        <w:pStyle w:val="BodyText"/>
      </w:pPr>
      <w:r w:rsidRPr="008E3959">
        <w:t>Location within the agency: Child Care &amp; Early Learning </w:t>
      </w:r>
    </w:p>
    <w:p w14:paraId="281AE1C7" w14:textId="77777777" w:rsidR="008E3959" w:rsidRPr="008E3959" w:rsidRDefault="008E3959" w:rsidP="005D0470">
      <w:pPr>
        <w:pStyle w:val="BodyText"/>
      </w:pPr>
      <w:r w:rsidRPr="008E3959">
        <w:t>Contact name: Stephanie Bonnet-Kramer </w:t>
      </w:r>
    </w:p>
    <w:p w14:paraId="71302839" w14:textId="6A612A2D" w:rsidR="008E3959" w:rsidRPr="008E3959" w:rsidRDefault="008E3959" w:rsidP="00E201FE">
      <w:pPr>
        <w:pStyle w:val="BodyText"/>
      </w:pPr>
      <w:r w:rsidRPr="008E3959">
        <w:t>Statutory citation: </w:t>
      </w:r>
      <w:r w:rsidR="0094583F">
        <w:t xml:space="preserve">Texas </w:t>
      </w:r>
      <w:r w:rsidRPr="008E3959">
        <w:t xml:space="preserve">Labor Code, </w:t>
      </w:r>
      <w:r w:rsidR="00E201FE">
        <w:t xml:space="preserve">Section </w:t>
      </w:r>
      <w:r w:rsidRPr="008E3959">
        <w:t>302.00436</w:t>
      </w:r>
      <w:r w:rsidR="00E201FE">
        <w:t xml:space="preserve"> and </w:t>
      </w:r>
      <w:r w:rsidRPr="008E3959">
        <w:t>302.005</w:t>
      </w:r>
      <w:r w:rsidR="00E201FE">
        <w:t xml:space="preserve">1; </w:t>
      </w:r>
      <w:r w:rsidR="0094583F">
        <w:t xml:space="preserve">Texas </w:t>
      </w:r>
      <w:r w:rsidRPr="008E3959">
        <w:t xml:space="preserve">Education Code, </w:t>
      </w:r>
      <w:r w:rsidR="00E201FE">
        <w:t xml:space="preserve">Sections </w:t>
      </w:r>
      <w:r w:rsidRPr="008E3959">
        <w:t>29.153</w:t>
      </w:r>
      <w:r w:rsidR="00E201FE">
        <w:t xml:space="preserve">, </w:t>
      </w:r>
      <w:r w:rsidRPr="008E3959">
        <w:t>29.1533</w:t>
      </w:r>
      <w:r w:rsidR="00E201FE">
        <w:t xml:space="preserve">, </w:t>
      </w:r>
      <w:r w:rsidRPr="008E3959">
        <w:t>29.1534</w:t>
      </w:r>
      <w:r w:rsidR="00E201FE">
        <w:t xml:space="preserve">, </w:t>
      </w:r>
      <w:r w:rsidRPr="008E3959">
        <w:t>29.171</w:t>
      </w:r>
    </w:p>
    <w:p w14:paraId="5F8418D4" w14:textId="1DF4FB46" w:rsidR="008E3959" w:rsidRPr="008E3959" w:rsidRDefault="008E3959" w:rsidP="005D0470">
      <w:pPr>
        <w:pStyle w:val="BodyText3"/>
      </w:pPr>
      <w:r w:rsidRPr="008E3959">
        <w:t>B.</w:t>
      </w:r>
      <w:r w:rsidRPr="008E3959">
        <w:tab/>
        <w:t>What is the objective of this division or program? Describe its major activities.</w:t>
      </w:r>
    </w:p>
    <w:p w14:paraId="0714D7EC" w14:textId="77777777" w:rsidR="008E3959" w:rsidRPr="008E3959" w:rsidRDefault="008E3959" w:rsidP="008E3959">
      <w:pPr>
        <w:pStyle w:val="BodyText"/>
      </w:pPr>
      <w:r w:rsidRPr="008E3959">
        <w:t>The TWC Prekindergarten (Pre-K) Partnership Program serves as a resource to support and expand pre-k partnerships throughout the state.  </w:t>
      </w:r>
    </w:p>
    <w:p w14:paraId="45AC35F3" w14:textId="77777777" w:rsidR="008E3959" w:rsidRPr="008E3959" w:rsidRDefault="008E3959" w:rsidP="008E3959">
      <w:pPr>
        <w:pStyle w:val="BodyText"/>
      </w:pPr>
      <w:r w:rsidRPr="008E3959">
        <w:t xml:space="preserve">The TWC Pre-K Partnership Program assists </w:t>
      </w:r>
      <w:proofErr w:type="gramStart"/>
      <w:r w:rsidRPr="008E3959">
        <w:t>child care</w:t>
      </w:r>
      <w:proofErr w:type="gramEnd"/>
      <w:r w:rsidRPr="008E3959">
        <w:t xml:space="preserve"> programs and local education agency (LEA)s by: </w:t>
      </w:r>
    </w:p>
    <w:p w14:paraId="7A9E9479" w14:textId="77777777" w:rsidR="008E3959" w:rsidRPr="008E3959" w:rsidRDefault="008E3959" w:rsidP="00C64851">
      <w:pPr>
        <w:pStyle w:val="BodyText"/>
        <w:numPr>
          <w:ilvl w:val="0"/>
          <w:numId w:val="584"/>
        </w:numPr>
      </w:pPr>
      <w:r w:rsidRPr="008E3959">
        <w:t>Informing and engaging potential partners to let them know of the opportunity to establish a pre-k partnership. </w:t>
      </w:r>
    </w:p>
    <w:p w14:paraId="30B2E70F" w14:textId="77777777" w:rsidR="008E3959" w:rsidRPr="008E3959" w:rsidRDefault="008E3959" w:rsidP="00C64851">
      <w:pPr>
        <w:pStyle w:val="BodyText"/>
        <w:numPr>
          <w:ilvl w:val="0"/>
          <w:numId w:val="585"/>
        </w:numPr>
      </w:pPr>
      <w:r w:rsidRPr="008E3959">
        <w:t>Bringing interested entities together and helping them to establish a partnership that best meets the needs of their programs and families. </w:t>
      </w:r>
    </w:p>
    <w:p w14:paraId="5A570317" w14:textId="77777777" w:rsidR="008E3959" w:rsidRPr="008E3959" w:rsidRDefault="008E3959" w:rsidP="00C64851">
      <w:pPr>
        <w:pStyle w:val="BodyText"/>
        <w:numPr>
          <w:ilvl w:val="0"/>
          <w:numId w:val="586"/>
        </w:numPr>
      </w:pPr>
      <w:r w:rsidRPr="008E3959">
        <w:t>Assisting providers with the application process for the $25,000 award for new eligible pre-k partnership classrooms​. </w:t>
      </w:r>
    </w:p>
    <w:p w14:paraId="571E5E9F" w14:textId="77777777" w:rsidR="008E3959" w:rsidRPr="008E3959" w:rsidRDefault="008E3959" w:rsidP="00C64851">
      <w:pPr>
        <w:pStyle w:val="BodyText"/>
        <w:numPr>
          <w:ilvl w:val="0"/>
          <w:numId w:val="587"/>
        </w:numPr>
      </w:pPr>
      <w:r w:rsidRPr="008E3959">
        <w:t>Providing guidance to assist with partnership sustainability. </w:t>
      </w:r>
    </w:p>
    <w:p w14:paraId="4320EEBA" w14:textId="77777777" w:rsidR="008E3959" w:rsidRPr="008E3959" w:rsidRDefault="008E3959" w:rsidP="00C64851">
      <w:pPr>
        <w:pStyle w:val="BodyText"/>
        <w:numPr>
          <w:ilvl w:val="0"/>
          <w:numId w:val="588"/>
        </w:numPr>
      </w:pPr>
      <w:r w:rsidRPr="008E3959">
        <w:t>Coordinating efforts with stakeholders. </w:t>
      </w:r>
    </w:p>
    <w:p w14:paraId="61731DCD" w14:textId="77777777" w:rsidR="008E3959" w:rsidRPr="008E3959" w:rsidRDefault="008E3959" w:rsidP="008E3959">
      <w:pPr>
        <w:pStyle w:val="BodyText"/>
      </w:pPr>
      <w:r w:rsidRPr="008E3959">
        <w:t xml:space="preserve">A pre-k partnership is a collaboration between a LEA, such as a school district or open-enrollment charter school, and a quality-rated </w:t>
      </w:r>
      <w:proofErr w:type="gramStart"/>
      <w:r w:rsidRPr="008E3959">
        <w:t>child care</w:t>
      </w:r>
      <w:proofErr w:type="gramEnd"/>
      <w:r w:rsidRPr="008E3959">
        <w:t xml:space="preserve"> program to provide high-quality care and pre-k education to eligible three and four-year-old children within the child care setting.  </w:t>
      </w:r>
    </w:p>
    <w:p w14:paraId="184B1F36" w14:textId="77777777" w:rsidR="008E3959" w:rsidRPr="008E3959" w:rsidRDefault="008E3959" w:rsidP="008E3959">
      <w:pPr>
        <w:pStyle w:val="BodyText"/>
      </w:pPr>
      <w:r w:rsidRPr="008E3959">
        <w:t xml:space="preserve">In a formal pre-k partnership, eligible children are dually enrolled in public school pre-k and the </w:t>
      </w:r>
      <w:proofErr w:type="gramStart"/>
      <w:r w:rsidRPr="008E3959">
        <w:t>child care</w:t>
      </w:r>
      <w:proofErr w:type="gramEnd"/>
      <w:r w:rsidRPr="008E3959">
        <w:t xml:space="preserve"> program, most often receiving their pre-k instruction and wraparound care (the hours before and after pre-k instruction) at the child care center. In an informal partnership, LEAs and </w:t>
      </w:r>
      <w:proofErr w:type="gramStart"/>
      <w:r w:rsidRPr="008E3959">
        <w:t>child care</w:t>
      </w:r>
      <w:proofErr w:type="gramEnd"/>
      <w:r w:rsidRPr="008E3959">
        <w:t xml:space="preserve"> programs share resources and information. This may include professional learning opportunities, progress monitoring, and curriculum. In informal partnerships, children are not dually enrolled; therefore, funding is not passed through from the LEA to the </w:t>
      </w:r>
      <w:proofErr w:type="gramStart"/>
      <w:r w:rsidRPr="008E3959">
        <w:t>child care</w:t>
      </w:r>
      <w:proofErr w:type="gramEnd"/>
      <w:r w:rsidRPr="008E3959">
        <w:t xml:space="preserve"> program.   </w:t>
      </w:r>
    </w:p>
    <w:p w14:paraId="14F91703" w14:textId="77777777" w:rsidR="008E3959" w:rsidRPr="008E3959" w:rsidRDefault="008E3959" w:rsidP="008E3959">
      <w:pPr>
        <w:pStyle w:val="BodyText"/>
      </w:pPr>
      <w:r w:rsidRPr="008E3959">
        <w:lastRenderedPageBreak/>
        <w:t xml:space="preserve">Pre-k partnerships help families, </w:t>
      </w:r>
      <w:proofErr w:type="gramStart"/>
      <w:r w:rsidRPr="008E3959">
        <w:t>child care</w:t>
      </w:r>
      <w:proofErr w:type="gramEnd"/>
      <w:r w:rsidRPr="008E3959">
        <w:t xml:space="preserve"> programs, and LEAs in many ways. For families, pre-k partnerships may provide: </w:t>
      </w:r>
    </w:p>
    <w:p w14:paraId="32F49100" w14:textId="77777777" w:rsidR="008E3959" w:rsidRPr="008E3959" w:rsidRDefault="008E3959" w:rsidP="00C64851">
      <w:pPr>
        <w:pStyle w:val="BodyText"/>
        <w:numPr>
          <w:ilvl w:val="0"/>
          <w:numId w:val="589"/>
        </w:numPr>
      </w:pPr>
      <w:r w:rsidRPr="008E3959">
        <w:t>More convenient access to high-quality pre-k to support children’s transition to kindergarten. </w:t>
      </w:r>
    </w:p>
    <w:p w14:paraId="6B6B8EB4" w14:textId="77777777" w:rsidR="008E3959" w:rsidRPr="008E3959" w:rsidRDefault="008E3959" w:rsidP="00C64851">
      <w:pPr>
        <w:pStyle w:val="BodyText"/>
        <w:numPr>
          <w:ilvl w:val="0"/>
          <w:numId w:val="590"/>
        </w:numPr>
      </w:pPr>
      <w:r w:rsidRPr="008E3959">
        <w:t>Consistency between the school day and before/after care. </w:t>
      </w:r>
    </w:p>
    <w:p w14:paraId="184E8A33" w14:textId="77777777" w:rsidR="008E3959" w:rsidRPr="008E3959" w:rsidRDefault="008E3959" w:rsidP="00C64851">
      <w:pPr>
        <w:pStyle w:val="BodyText"/>
        <w:numPr>
          <w:ilvl w:val="0"/>
          <w:numId w:val="591"/>
        </w:numPr>
      </w:pPr>
      <w:r w:rsidRPr="008E3959">
        <w:t>Better hours for working families who need a full workday of care. </w:t>
      </w:r>
    </w:p>
    <w:p w14:paraId="02239AF7" w14:textId="77777777" w:rsidR="008E3959" w:rsidRPr="008E3959" w:rsidRDefault="008E3959" w:rsidP="008E3959">
      <w:pPr>
        <w:pStyle w:val="BodyText"/>
      </w:pPr>
      <w:r w:rsidRPr="008E3959">
        <w:t xml:space="preserve">Pre-K Partnerships may benefit </w:t>
      </w:r>
      <w:proofErr w:type="gramStart"/>
      <w:r w:rsidRPr="008E3959">
        <w:t>child care</w:t>
      </w:r>
      <w:proofErr w:type="gramEnd"/>
      <w:r w:rsidRPr="008E3959">
        <w:t xml:space="preserve"> programs by: </w:t>
      </w:r>
    </w:p>
    <w:p w14:paraId="2AFCA4DD" w14:textId="77777777" w:rsidR="008E3959" w:rsidRPr="008E3959" w:rsidRDefault="008E3959" w:rsidP="00C64851">
      <w:pPr>
        <w:pStyle w:val="BodyText"/>
        <w:numPr>
          <w:ilvl w:val="0"/>
          <w:numId w:val="592"/>
        </w:numPr>
      </w:pPr>
      <w:r w:rsidRPr="008E3959">
        <w:t>Increasing or maintaining enrollment of three and four-year-old children. </w:t>
      </w:r>
    </w:p>
    <w:p w14:paraId="394D6F6E" w14:textId="77777777" w:rsidR="008E3959" w:rsidRPr="008E3959" w:rsidRDefault="008E3959" w:rsidP="00C64851">
      <w:pPr>
        <w:pStyle w:val="BodyText"/>
        <w:numPr>
          <w:ilvl w:val="0"/>
          <w:numId w:val="593"/>
        </w:numPr>
      </w:pPr>
      <w:r w:rsidRPr="008E3959">
        <w:t>Increasing school-readiness among students. </w:t>
      </w:r>
    </w:p>
    <w:p w14:paraId="6AB8A1D4" w14:textId="77777777" w:rsidR="008E3959" w:rsidRPr="008E3959" w:rsidRDefault="008E3959" w:rsidP="00C64851">
      <w:pPr>
        <w:pStyle w:val="BodyText"/>
        <w:numPr>
          <w:ilvl w:val="0"/>
          <w:numId w:val="594"/>
        </w:numPr>
      </w:pPr>
      <w:r w:rsidRPr="008E3959">
        <w:t>Expanding access to resources and professional development opportunities. </w:t>
      </w:r>
    </w:p>
    <w:p w14:paraId="48253E2C" w14:textId="77777777" w:rsidR="008E3959" w:rsidRPr="008E3959" w:rsidRDefault="008E3959" w:rsidP="008E3959">
      <w:pPr>
        <w:pStyle w:val="BodyText"/>
      </w:pPr>
      <w:r w:rsidRPr="008E3959">
        <w:t>For LEAs, pre-k partnerships may: </w:t>
      </w:r>
    </w:p>
    <w:p w14:paraId="57CEF700" w14:textId="77777777" w:rsidR="008E3959" w:rsidRPr="008E3959" w:rsidRDefault="008E3959" w:rsidP="00C64851">
      <w:pPr>
        <w:pStyle w:val="BodyText"/>
        <w:numPr>
          <w:ilvl w:val="0"/>
          <w:numId w:val="595"/>
        </w:numPr>
      </w:pPr>
      <w:r w:rsidRPr="008E3959">
        <w:t>Increase enrollment of three and four-year-old children. </w:t>
      </w:r>
    </w:p>
    <w:p w14:paraId="39E68CBF" w14:textId="77777777" w:rsidR="008E3959" w:rsidRPr="008E3959" w:rsidRDefault="008E3959" w:rsidP="00C64851">
      <w:pPr>
        <w:pStyle w:val="BodyText"/>
        <w:numPr>
          <w:ilvl w:val="0"/>
          <w:numId w:val="596"/>
        </w:numPr>
      </w:pPr>
      <w:r w:rsidRPr="008E3959">
        <w:t>Provide diverse pre-k settings that meet the needs and preferences of families. </w:t>
      </w:r>
    </w:p>
    <w:p w14:paraId="5CB25BBE" w14:textId="77777777" w:rsidR="008E3959" w:rsidRPr="008E3959" w:rsidRDefault="008E3959" w:rsidP="00C64851">
      <w:pPr>
        <w:pStyle w:val="BodyText"/>
        <w:numPr>
          <w:ilvl w:val="0"/>
          <w:numId w:val="597"/>
        </w:numPr>
      </w:pPr>
      <w:r w:rsidRPr="008E3959">
        <w:t>Promote school-readiness standards with future students. </w:t>
      </w:r>
    </w:p>
    <w:p w14:paraId="4176787E" w14:textId="77777777" w:rsidR="008E3959" w:rsidRPr="008E3959" w:rsidRDefault="008E3959" w:rsidP="00C64851">
      <w:pPr>
        <w:pStyle w:val="BodyText"/>
        <w:numPr>
          <w:ilvl w:val="0"/>
          <w:numId w:val="598"/>
        </w:numPr>
      </w:pPr>
      <w:r w:rsidRPr="008E3959">
        <w:t>Increase family engagement. </w:t>
      </w:r>
    </w:p>
    <w:p w14:paraId="78F945E6" w14:textId="77777777" w:rsidR="008E3959" w:rsidRPr="008E3959" w:rsidRDefault="008E3959" w:rsidP="00C64851">
      <w:pPr>
        <w:pStyle w:val="BodyText"/>
        <w:numPr>
          <w:ilvl w:val="0"/>
          <w:numId w:val="599"/>
        </w:numPr>
      </w:pPr>
      <w:r w:rsidRPr="008E3959">
        <w:t>Expand access to resources and professional development opportunities. </w:t>
      </w:r>
    </w:p>
    <w:p w14:paraId="0DFB7761" w14:textId="77777777" w:rsidR="008E3959" w:rsidRPr="008E3959" w:rsidRDefault="008E3959" w:rsidP="005D0470">
      <w:pPr>
        <w:pStyle w:val="BodyText3"/>
        <w:ind w:left="720" w:hanging="720"/>
      </w:pPr>
      <w:r w:rsidRPr="008E3959">
        <w:t>C.</w:t>
      </w:r>
      <w:r w:rsidRPr="008E3959">
        <w:tab/>
        <w:t xml:space="preserve">What information does the agency collect/use to assess the effectiveness and efficiency of this division or program? If applicable, briefly note any LBB performance measures (from Section II, </w:t>
      </w:r>
      <w:proofErr w:type="gramStart"/>
      <w:r w:rsidRPr="008E3959">
        <w:t>Exhibit</w:t>
      </w:r>
      <w:proofErr w:type="gramEnd"/>
      <w:r w:rsidRPr="008E3959">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673B106E" w14:textId="77777777" w:rsidR="008E3959" w:rsidRPr="008E3959" w:rsidRDefault="008E3959" w:rsidP="008E3959">
      <w:pPr>
        <w:pStyle w:val="BodyText"/>
      </w:pPr>
      <w:r w:rsidRPr="008E3959">
        <w:t>The TWC Pre-K Partnership Program uses Salesforce, a customer relationship management system, to document communication with external customers and record performance indicators (Table 1).  </w:t>
      </w:r>
    </w:p>
    <w:p w14:paraId="5FF2323D" w14:textId="77777777" w:rsidR="008E3959" w:rsidRPr="008E3959" w:rsidRDefault="008E3959" w:rsidP="008E3959">
      <w:pPr>
        <w:pStyle w:val="BodyText"/>
      </w:pPr>
      <w:r w:rsidRPr="008E3959">
        <w:t xml:space="preserve">As of April 8, 2025, the TWC Pre-K Partnership Program has outreached to 1,342 LEAs and met with over 460 to share the benefits of establishing a pre-k partnership. Currently, there are 30 LEAs exploring the possibility of entering a pre-k partnership, and 8 LEAs in the partnership negotiation phase with a </w:t>
      </w:r>
      <w:proofErr w:type="gramStart"/>
      <w:r w:rsidRPr="008E3959">
        <w:t>child care</w:t>
      </w:r>
      <w:proofErr w:type="gramEnd"/>
      <w:r w:rsidRPr="008E3959">
        <w:t xml:space="preserve"> program. The TWC Pre-K Partnership </w:t>
      </w:r>
      <w:r w:rsidRPr="008E3959">
        <w:lastRenderedPageBreak/>
        <w:t>Program has assisted 27 LEAs with the development of 56 informal pre-k partnerships and 49 LEAs with the development of 170 formal pre-k partnerships. </w:t>
      </w:r>
    </w:p>
    <w:p w14:paraId="697E3CAD" w14:textId="77777777" w:rsidR="008E3959" w:rsidRPr="008E3959" w:rsidRDefault="008E3959" w:rsidP="008E3959">
      <w:pPr>
        <w:pStyle w:val="BodyText"/>
      </w:pPr>
      <w:r w:rsidRPr="008E3959">
        <w:t xml:space="preserve">The TWC Pre-K Partnership Program has also outreached to 2,695 </w:t>
      </w:r>
      <w:proofErr w:type="gramStart"/>
      <w:r w:rsidRPr="008E3959">
        <w:t>child care</w:t>
      </w:r>
      <w:proofErr w:type="gramEnd"/>
      <w:r w:rsidRPr="008E3959">
        <w:t xml:space="preserve"> programs, meeting with over 1,230 programs. Currently, there are 175 </w:t>
      </w:r>
      <w:proofErr w:type="gramStart"/>
      <w:r w:rsidRPr="008E3959">
        <w:t>child care</w:t>
      </w:r>
      <w:proofErr w:type="gramEnd"/>
      <w:r w:rsidRPr="008E3959">
        <w:t xml:space="preserve"> programs exploring the possibility of entering a pre-k partnership, and 48 child care programs in the partnership negotiation phase with an LEA. </w:t>
      </w:r>
    </w:p>
    <w:p w14:paraId="2AEAB5FB" w14:textId="77777777" w:rsidR="008E3959" w:rsidRPr="008E3959" w:rsidRDefault="008E3959" w:rsidP="005D0470">
      <w:pPr>
        <w:pStyle w:val="BodyText3"/>
      </w:pPr>
      <w:r w:rsidRPr="008E3959">
        <w:t>Table 1. Pre-K Partnership Program Progress </w:t>
      </w:r>
    </w:p>
    <w:tbl>
      <w:tblPr>
        <w:tblStyle w:val="TableGrid1"/>
        <w:tblW w:w="0" w:type="dxa"/>
        <w:tblCellMar>
          <w:top w:w="58" w:type="dxa"/>
          <w:bottom w:w="58" w:type="dxa"/>
        </w:tblCellMar>
        <w:tblLook w:val="04A0" w:firstRow="1" w:lastRow="0" w:firstColumn="1" w:lastColumn="0" w:noHBand="0" w:noVBand="1"/>
      </w:tblPr>
      <w:tblGrid>
        <w:gridCol w:w="2415"/>
        <w:gridCol w:w="2415"/>
        <w:gridCol w:w="2415"/>
      </w:tblGrid>
      <w:tr w:rsidR="008E3959" w:rsidRPr="00E86A35" w14:paraId="6AC71F41" w14:textId="77777777" w:rsidTr="00E86A35">
        <w:trPr>
          <w:trHeight w:val="300"/>
        </w:trPr>
        <w:tc>
          <w:tcPr>
            <w:tcW w:w="2415" w:type="dxa"/>
            <w:shd w:val="clear" w:color="auto" w:fill="B8CCE4" w:themeFill="accent1" w:themeFillTint="66"/>
            <w:vAlign w:val="center"/>
            <w:hideMark/>
          </w:tcPr>
          <w:p w14:paraId="09541EB3" w14:textId="36633F95" w:rsidR="008E3959" w:rsidRPr="00E86A35" w:rsidRDefault="008E3959" w:rsidP="00E86A35">
            <w:pPr>
              <w:pStyle w:val="TableHeaders"/>
              <w:rPr>
                <w:b w:val="0"/>
                <w:bCs/>
              </w:rPr>
            </w:pPr>
            <w:r w:rsidRPr="00E86A35">
              <w:rPr>
                <w:bCs/>
              </w:rPr>
              <w:t>Partnership Phase</w:t>
            </w:r>
          </w:p>
        </w:tc>
        <w:tc>
          <w:tcPr>
            <w:tcW w:w="2415" w:type="dxa"/>
            <w:shd w:val="clear" w:color="auto" w:fill="B8CCE4" w:themeFill="accent1" w:themeFillTint="66"/>
            <w:vAlign w:val="center"/>
            <w:hideMark/>
          </w:tcPr>
          <w:p w14:paraId="7B2A7B8F" w14:textId="188AFF10" w:rsidR="008E3959" w:rsidRPr="00E86A35" w:rsidRDefault="008E3959" w:rsidP="00E86A35">
            <w:pPr>
              <w:pStyle w:val="TableHeaders"/>
              <w:rPr>
                <w:b w:val="0"/>
                <w:bCs/>
              </w:rPr>
            </w:pPr>
            <w:r w:rsidRPr="00E86A35">
              <w:rPr>
                <w:bCs/>
              </w:rPr>
              <w:t>School Districts/ </w:t>
            </w:r>
            <w:r w:rsidRPr="00E86A35">
              <w:rPr>
                <w:bCs/>
              </w:rPr>
              <w:br/>
              <w:t>Charter Schools</w:t>
            </w:r>
          </w:p>
        </w:tc>
        <w:tc>
          <w:tcPr>
            <w:tcW w:w="2415" w:type="dxa"/>
            <w:shd w:val="clear" w:color="auto" w:fill="B8CCE4" w:themeFill="accent1" w:themeFillTint="66"/>
            <w:vAlign w:val="center"/>
            <w:hideMark/>
          </w:tcPr>
          <w:p w14:paraId="27D3288B" w14:textId="2767CAAD" w:rsidR="008E3959" w:rsidRPr="00E86A35" w:rsidRDefault="008E3959" w:rsidP="00E86A35">
            <w:pPr>
              <w:pStyle w:val="TableHeaders"/>
              <w:rPr>
                <w:b w:val="0"/>
                <w:bCs/>
              </w:rPr>
            </w:pPr>
            <w:proofErr w:type="gramStart"/>
            <w:r w:rsidRPr="00E86A35">
              <w:rPr>
                <w:bCs/>
              </w:rPr>
              <w:t>Child care</w:t>
            </w:r>
            <w:proofErr w:type="gramEnd"/>
            <w:r w:rsidRPr="00E86A35">
              <w:rPr>
                <w:bCs/>
              </w:rPr>
              <w:t xml:space="preserve"> programs</w:t>
            </w:r>
          </w:p>
        </w:tc>
      </w:tr>
      <w:tr w:rsidR="008E3959" w:rsidRPr="008E3959" w14:paraId="5CA0DAE9" w14:textId="77777777" w:rsidTr="00E86A35">
        <w:trPr>
          <w:trHeight w:val="300"/>
        </w:trPr>
        <w:tc>
          <w:tcPr>
            <w:tcW w:w="2415" w:type="dxa"/>
            <w:hideMark/>
          </w:tcPr>
          <w:p w14:paraId="7406FABE" w14:textId="77777777" w:rsidR="008E3959" w:rsidRPr="008E3959" w:rsidRDefault="008E3959" w:rsidP="00E86A35">
            <w:pPr>
              <w:pStyle w:val="TableText"/>
            </w:pPr>
            <w:r w:rsidRPr="008E3959">
              <w:t>Outreached </w:t>
            </w:r>
          </w:p>
        </w:tc>
        <w:tc>
          <w:tcPr>
            <w:tcW w:w="2415" w:type="dxa"/>
            <w:vAlign w:val="center"/>
            <w:hideMark/>
          </w:tcPr>
          <w:p w14:paraId="4ACE4E39" w14:textId="77777777" w:rsidR="008E3959" w:rsidRPr="008E3959" w:rsidRDefault="008E3959" w:rsidP="00E86A35">
            <w:pPr>
              <w:pStyle w:val="TableText"/>
              <w:jc w:val="right"/>
            </w:pPr>
            <w:r w:rsidRPr="008E3959">
              <w:t>1,342 </w:t>
            </w:r>
          </w:p>
        </w:tc>
        <w:tc>
          <w:tcPr>
            <w:tcW w:w="2415" w:type="dxa"/>
            <w:vAlign w:val="center"/>
            <w:hideMark/>
          </w:tcPr>
          <w:p w14:paraId="679BBCA4" w14:textId="77777777" w:rsidR="008E3959" w:rsidRPr="008E3959" w:rsidRDefault="008E3959" w:rsidP="00E86A35">
            <w:pPr>
              <w:pStyle w:val="TableText"/>
              <w:jc w:val="right"/>
            </w:pPr>
            <w:r w:rsidRPr="008E3959">
              <w:t>2,695 </w:t>
            </w:r>
          </w:p>
        </w:tc>
      </w:tr>
      <w:tr w:rsidR="008E3959" w:rsidRPr="008E3959" w14:paraId="67DDC9FE" w14:textId="77777777" w:rsidTr="00E86A35">
        <w:trPr>
          <w:trHeight w:val="300"/>
        </w:trPr>
        <w:tc>
          <w:tcPr>
            <w:tcW w:w="2415" w:type="dxa"/>
            <w:hideMark/>
          </w:tcPr>
          <w:p w14:paraId="21FAF5BD" w14:textId="77777777" w:rsidR="008E3959" w:rsidRPr="008E3959" w:rsidRDefault="008E3959" w:rsidP="00E86A35">
            <w:pPr>
              <w:pStyle w:val="TableText"/>
            </w:pPr>
            <w:r w:rsidRPr="008E3959">
              <w:t>Met with CC&amp;EL </w:t>
            </w:r>
          </w:p>
        </w:tc>
        <w:tc>
          <w:tcPr>
            <w:tcW w:w="2415" w:type="dxa"/>
            <w:vAlign w:val="center"/>
            <w:hideMark/>
          </w:tcPr>
          <w:p w14:paraId="33B20603" w14:textId="77777777" w:rsidR="008E3959" w:rsidRPr="008E3959" w:rsidRDefault="008E3959" w:rsidP="00E86A35">
            <w:pPr>
              <w:pStyle w:val="TableText"/>
              <w:jc w:val="right"/>
            </w:pPr>
            <w:r w:rsidRPr="008E3959">
              <w:t>Over 460 </w:t>
            </w:r>
          </w:p>
        </w:tc>
        <w:tc>
          <w:tcPr>
            <w:tcW w:w="2415" w:type="dxa"/>
            <w:vAlign w:val="center"/>
            <w:hideMark/>
          </w:tcPr>
          <w:p w14:paraId="4F9D7D53" w14:textId="77777777" w:rsidR="008E3959" w:rsidRPr="008E3959" w:rsidRDefault="008E3959" w:rsidP="00E86A35">
            <w:pPr>
              <w:pStyle w:val="TableText"/>
              <w:jc w:val="right"/>
            </w:pPr>
            <w:r w:rsidRPr="008E3959">
              <w:t>Over 1,230 </w:t>
            </w:r>
          </w:p>
        </w:tc>
      </w:tr>
      <w:tr w:rsidR="008E3959" w:rsidRPr="008E3959" w14:paraId="40F9E859" w14:textId="77777777" w:rsidTr="00E86A35">
        <w:trPr>
          <w:trHeight w:val="300"/>
        </w:trPr>
        <w:tc>
          <w:tcPr>
            <w:tcW w:w="2415" w:type="dxa"/>
            <w:hideMark/>
          </w:tcPr>
          <w:p w14:paraId="429B043E" w14:textId="77777777" w:rsidR="008E3959" w:rsidRPr="008E3959" w:rsidRDefault="008E3959" w:rsidP="00E86A35">
            <w:pPr>
              <w:pStyle w:val="TableText"/>
            </w:pPr>
            <w:r w:rsidRPr="008E3959">
              <w:t>Exploring PKP </w:t>
            </w:r>
          </w:p>
        </w:tc>
        <w:tc>
          <w:tcPr>
            <w:tcW w:w="2415" w:type="dxa"/>
            <w:vAlign w:val="center"/>
            <w:hideMark/>
          </w:tcPr>
          <w:p w14:paraId="4FFE98BD" w14:textId="77777777" w:rsidR="008E3959" w:rsidRPr="008E3959" w:rsidRDefault="008E3959" w:rsidP="00E86A35">
            <w:pPr>
              <w:pStyle w:val="TableText"/>
              <w:jc w:val="right"/>
            </w:pPr>
            <w:r w:rsidRPr="008E3959">
              <w:t>30 </w:t>
            </w:r>
          </w:p>
        </w:tc>
        <w:tc>
          <w:tcPr>
            <w:tcW w:w="2415" w:type="dxa"/>
            <w:vAlign w:val="center"/>
            <w:hideMark/>
          </w:tcPr>
          <w:p w14:paraId="753658CF" w14:textId="77777777" w:rsidR="008E3959" w:rsidRPr="008E3959" w:rsidRDefault="008E3959" w:rsidP="00E86A35">
            <w:pPr>
              <w:pStyle w:val="TableText"/>
              <w:jc w:val="right"/>
            </w:pPr>
            <w:r w:rsidRPr="008E3959">
              <w:t>175 </w:t>
            </w:r>
          </w:p>
        </w:tc>
      </w:tr>
      <w:tr w:rsidR="008E3959" w:rsidRPr="008E3959" w14:paraId="09CCDA95" w14:textId="77777777" w:rsidTr="00E86A35">
        <w:trPr>
          <w:trHeight w:val="300"/>
        </w:trPr>
        <w:tc>
          <w:tcPr>
            <w:tcW w:w="2415" w:type="dxa"/>
            <w:hideMark/>
          </w:tcPr>
          <w:p w14:paraId="4E536E94" w14:textId="77777777" w:rsidR="008E3959" w:rsidRPr="008E3959" w:rsidRDefault="008E3959" w:rsidP="00E86A35">
            <w:pPr>
              <w:pStyle w:val="TableText"/>
            </w:pPr>
            <w:r w:rsidRPr="008E3959">
              <w:t>Negotiating PKP  </w:t>
            </w:r>
          </w:p>
        </w:tc>
        <w:tc>
          <w:tcPr>
            <w:tcW w:w="2415" w:type="dxa"/>
            <w:vAlign w:val="center"/>
            <w:hideMark/>
          </w:tcPr>
          <w:p w14:paraId="71C61235" w14:textId="77777777" w:rsidR="008E3959" w:rsidRPr="008E3959" w:rsidRDefault="008E3959" w:rsidP="00E86A35">
            <w:pPr>
              <w:pStyle w:val="TableText"/>
              <w:jc w:val="right"/>
            </w:pPr>
            <w:r w:rsidRPr="008E3959">
              <w:t>8 </w:t>
            </w:r>
          </w:p>
        </w:tc>
        <w:tc>
          <w:tcPr>
            <w:tcW w:w="2415" w:type="dxa"/>
            <w:vAlign w:val="center"/>
            <w:hideMark/>
          </w:tcPr>
          <w:p w14:paraId="56B5716A" w14:textId="77777777" w:rsidR="008E3959" w:rsidRPr="008E3959" w:rsidRDefault="008E3959" w:rsidP="00E86A35">
            <w:pPr>
              <w:pStyle w:val="TableText"/>
              <w:jc w:val="right"/>
            </w:pPr>
            <w:r w:rsidRPr="008E3959">
              <w:t>48 </w:t>
            </w:r>
          </w:p>
        </w:tc>
      </w:tr>
      <w:tr w:rsidR="008E3959" w:rsidRPr="008E3959" w14:paraId="29A8FE3B" w14:textId="77777777" w:rsidTr="00E86A35">
        <w:trPr>
          <w:trHeight w:val="300"/>
        </w:trPr>
        <w:tc>
          <w:tcPr>
            <w:tcW w:w="2415" w:type="dxa"/>
            <w:hideMark/>
          </w:tcPr>
          <w:p w14:paraId="12EA4F43" w14:textId="77777777" w:rsidR="008E3959" w:rsidRPr="008E3959" w:rsidRDefault="008E3959" w:rsidP="00E86A35">
            <w:pPr>
              <w:pStyle w:val="TableText"/>
            </w:pPr>
            <w:r w:rsidRPr="008E3959">
              <w:t>Formal PKP </w:t>
            </w:r>
          </w:p>
        </w:tc>
        <w:tc>
          <w:tcPr>
            <w:tcW w:w="2415" w:type="dxa"/>
            <w:vAlign w:val="center"/>
            <w:hideMark/>
          </w:tcPr>
          <w:p w14:paraId="41EF7B9B" w14:textId="77777777" w:rsidR="008E3959" w:rsidRPr="008E3959" w:rsidRDefault="008E3959" w:rsidP="00E86A35">
            <w:pPr>
              <w:pStyle w:val="TableText"/>
              <w:jc w:val="right"/>
            </w:pPr>
            <w:r w:rsidRPr="008E3959">
              <w:t>49 </w:t>
            </w:r>
          </w:p>
        </w:tc>
        <w:tc>
          <w:tcPr>
            <w:tcW w:w="2415" w:type="dxa"/>
            <w:vAlign w:val="center"/>
            <w:hideMark/>
          </w:tcPr>
          <w:p w14:paraId="1B65C0FA" w14:textId="77777777" w:rsidR="008E3959" w:rsidRPr="008E3959" w:rsidRDefault="008E3959" w:rsidP="00E86A35">
            <w:pPr>
              <w:pStyle w:val="TableText"/>
              <w:jc w:val="right"/>
            </w:pPr>
            <w:r w:rsidRPr="008E3959">
              <w:t>170 </w:t>
            </w:r>
          </w:p>
        </w:tc>
      </w:tr>
      <w:tr w:rsidR="008E3959" w:rsidRPr="008E3959" w14:paraId="0C1FF2E7" w14:textId="77777777" w:rsidTr="00E86A35">
        <w:trPr>
          <w:trHeight w:val="300"/>
        </w:trPr>
        <w:tc>
          <w:tcPr>
            <w:tcW w:w="2415" w:type="dxa"/>
            <w:hideMark/>
          </w:tcPr>
          <w:p w14:paraId="532DD4E1" w14:textId="77777777" w:rsidR="008E3959" w:rsidRPr="008E3959" w:rsidRDefault="008E3959" w:rsidP="00E86A35">
            <w:pPr>
              <w:pStyle w:val="TableText"/>
            </w:pPr>
            <w:r w:rsidRPr="008E3959">
              <w:t>Informal PKP </w:t>
            </w:r>
          </w:p>
        </w:tc>
        <w:tc>
          <w:tcPr>
            <w:tcW w:w="2415" w:type="dxa"/>
            <w:vAlign w:val="center"/>
            <w:hideMark/>
          </w:tcPr>
          <w:p w14:paraId="204CA577" w14:textId="77777777" w:rsidR="008E3959" w:rsidRPr="008E3959" w:rsidRDefault="008E3959" w:rsidP="00E86A35">
            <w:pPr>
              <w:pStyle w:val="TableText"/>
              <w:jc w:val="right"/>
            </w:pPr>
            <w:r w:rsidRPr="008E3959">
              <w:t>27 </w:t>
            </w:r>
          </w:p>
        </w:tc>
        <w:tc>
          <w:tcPr>
            <w:tcW w:w="2415" w:type="dxa"/>
            <w:vAlign w:val="center"/>
            <w:hideMark/>
          </w:tcPr>
          <w:p w14:paraId="37748505" w14:textId="77777777" w:rsidR="008E3959" w:rsidRPr="008E3959" w:rsidRDefault="008E3959" w:rsidP="00E86A35">
            <w:pPr>
              <w:pStyle w:val="TableText"/>
              <w:jc w:val="right"/>
            </w:pPr>
            <w:r w:rsidRPr="008E3959">
              <w:t>56 </w:t>
            </w:r>
          </w:p>
        </w:tc>
      </w:tr>
    </w:tbl>
    <w:p w14:paraId="40B6327A" w14:textId="38A88738" w:rsidR="008E3959" w:rsidRPr="008E3959" w:rsidRDefault="008E3959" w:rsidP="008E3959">
      <w:pPr>
        <w:pStyle w:val="BodyText"/>
      </w:pPr>
      <w:r w:rsidRPr="008E3959">
        <w:t xml:space="preserve">Additionally, as of April 2025, 166 </w:t>
      </w:r>
      <w:proofErr w:type="gramStart"/>
      <w:r w:rsidRPr="008E3959">
        <w:t>child care</w:t>
      </w:r>
      <w:proofErr w:type="gramEnd"/>
      <w:r w:rsidRPr="008E3959">
        <w:t xml:space="preserve"> programs have applied for the $25,000 pre-k partnership classroom award since 2023, representing 228 new pre-k partnership classrooms and $5,700,000 in awards (Table 2). </w:t>
      </w:r>
    </w:p>
    <w:p w14:paraId="28BB52C1" w14:textId="1247ACCD" w:rsidR="008E3959" w:rsidRPr="008E3959" w:rsidRDefault="008E3959" w:rsidP="00E86A35">
      <w:pPr>
        <w:pStyle w:val="BodyText3"/>
      </w:pPr>
      <w:r w:rsidRPr="008E3959">
        <w:t>Table 2.  Pre-k Partnership Awards</w:t>
      </w:r>
    </w:p>
    <w:tbl>
      <w:tblPr>
        <w:tblStyle w:val="TableGrid1"/>
        <w:tblW w:w="0" w:type="dxa"/>
        <w:tblCellMar>
          <w:top w:w="58" w:type="dxa"/>
          <w:bottom w:w="58" w:type="dxa"/>
        </w:tblCellMar>
        <w:tblLook w:val="04A0" w:firstRow="1" w:lastRow="0" w:firstColumn="1" w:lastColumn="0" w:noHBand="0" w:noVBand="1"/>
      </w:tblPr>
      <w:tblGrid>
        <w:gridCol w:w="1215"/>
        <w:gridCol w:w="2280"/>
        <w:gridCol w:w="2520"/>
      </w:tblGrid>
      <w:tr w:rsidR="008E3959" w:rsidRPr="002E4B5A" w14:paraId="75CC03A4" w14:textId="77777777" w:rsidTr="00E86A35">
        <w:trPr>
          <w:trHeight w:val="720"/>
        </w:trPr>
        <w:tc>
          <w:tcPr>
            <w:tcW w:w="1215" w:type="dxa"/>
            <w:shd w:val="clear" w:color="auto" w:fill="B8CCE4" w:themeFill="accent1" w:themeFillTint="66"/>
            <w:vAlign w:val="center"/>
            <w:hideMark/>
          </w:tcPr>
          <w:p w14:paraId="35628730" w14:textId="347B8D57" w:rsidR="008E3959" w:rsidRPr="002E4B5A" w:rsidRDefault="008E3959" w:rsidP="00E86A35">
            <w:pPr>
              <w:pStyle w:val="TableHeaders"/>
              <w:rPr>
                <w:b w:val="0"/>
                <w:bCs/>
              </w:rPr>
            </w:pPr>
            <w:r w:rsidRPr="002E4B5A">
              <w:rPr>
                <w:bCs/>
              </w:rPr>
              <w:t>Fiscal Year</w:t>
            </w:r>
          </w:p>
        </w:tc>
        <w:tc>
          <w:tcPr>
            <w:tcW w:w="2280" w:type="dxa"/>
            <w:shd w:val="clear" w:color="auto" w:fill="B8CCE4" w:themeFill="accent1" w:themeFillTint="66"/>
            <w:vAlign w:val="center"/>
            <w:hideMark/>
          </w:tcPr>
          <w:p w14:paraId="1FE90472" w14:textId="02EA21C5" w:rsidR="008E3959" w:rsidRPr="002E4B5A" w:rsidRDefault="008E3959" w:rsidP="00E86A35">
            <w:pPr>
              <w:pStyle w:val="TableHeaders"/>
              <w:rPr>
                <w:b w:val="0"/>
                <w:bCs/>
              </w:rPr>
            </w:pPr>
            <w:r w:rsidRPr="002E4B5A">
              <w:rPr>
                <w:bCs/>
              </w:rPr>
              <w:t># of PKP Classrooms</w:t>
            </w:r>
          </w:p>
        </w:tc>
        <w:tc>
          <w:tcPr>
            <w:tcW w:w="2520" w:type="dxa"/>
            <w:shd w:val="clear" w:color="auto" w:fill="B8CCE4" w:themeFill="accent1" w:themeFillTint="66"/>
            <w:vAlign w:val="center"/>
            <w:hideMark/>
          </w:tcPr>
          <w:p w14:paraId="495C523E" w14:textId="6B1E29E7" w:rsidR="008E3959" w:rsidRPr="002E4B5A" w:rsidRDefault="008E3959" w:rsidP="00E86A35">
            <w:pPr>
              <w:pStyle w:val="TableHeaders"/>
              <w:rPr>
                <w:b w:val="0"/>
                <w:bCs/>
              </w:rPr>
            </w:pPr>
            <w:r w:rsidRPr="002E4B5A">
              <w:rPr>
                <w:bCs/>
              </w:rPr>
              <w:t>Funding Awards Issued</w:t>
            </w:r>
          </w:p>
        </w:tc>
      </w:tr>
      <w:tr w:rsidR="008E3959" w:rsidRPr="008E3959" w14:paraId="41D51433" w14:textId="77777777" w:rsidTr="002E4B5A">
        <w:trPr>
          <w:trHeight w:val="300"/>
        </w:trPr>
        <w:tc>
          <w:tcPr>
            <w:tcW w:w="1215" w:type="dxa"/>
            <w:vAlign w:val="center"/>
            <w:hideMark/>
          </w:tcPr>
          <w:p w14:paraId="2EB492BB" w14:textId="77777777" w:rsidR="008E3959" w:rsidRPr="008E3959" w:rsidRDefault="008E3959" w:rsidP="002E4B5A">
            <w:pPr>
              <w:pStyle w:val="TableText"/>
            </w:pPr>
            <w:r w:rsidRPr="008E3959">
              <w:t>FY 23 </w:t>
            </w:r>
          </w:p>
        </w:tc>
        <w:tc>
          <w:tcPr>
            <w:tcW w:w="2280" w:type="dxa"/>
            <w:vAlign w:val="center"/>
            <w:hideMark/>
          </w:tcPr>
          <w:p w14:paraId="606DD5FD" w14:textId="77777777" w:rsidR="008E3959" w:rsidRPr="008E3959" w:rsidRDefault="008E3959" w:rsidP="002E4B5A">
            <w:pPr>
              <w:pStyle w:val="TableText"/>
              <w:jc w:val="right"/>
            </w:pPr>
            <w:r w:rsidRPr="008E3959">
              <w:t>17 </w:t>
            </w:r>
          </w:p>
        </w:tc>
        <w:tc>
          <w:tcPr>
            <w:tcW w:w="2520" w:type="dxa"/>
            <w:vAlign w:val="center"/>
            <w:hideMark/>
          </w:tcPr>
          <w:p w14:paraId="70B744BE" w14:textId="77777777" w:rsidR="008E3959" w:rsidRPr="008E3959" w:rsidRDefault="008E3959" w:rsidP="002E4B5A">
            <w:pPr>
              <w:pStyle w:val="TableText"/>
              <w:jc w:val="right"/>
            </w:pPr>
            <w:r w:rsidRPr="008E3959">
              <w:t>$425,000 </w:t>
            </w:r>
          </w:p>
        </w:tc>
      </w:tr>
      <w:tr w:rsidR="008E3959" w:rsidRPr="008E3959" w14:paraId="3643E402" w14:textId="77777777" w:rsidTr="002E4B5A">
        <w:trPr>
          <w:trHeight w:val="240"/>
        </w:trPr>
        <w:tc>
          <w:tcPr>
            <w:tcW w:w="1215" w:type="dxa"/>
            <w:vAlign w:val="center"/>
            <w:hideMark/>
          </w:tcPr>
          <w:p w14:paraId="2674C704" w14:textId="77777777" w:rsidR="008E3959" w:rsidRPr="008E3959" w:rsidRDefault="008E3959" w:rsidP="002E4B5A">
            <w:pPr>
              <w:pStyle w:val="TableText"/>
            </w:pPr>
            <w:r w:rsidRPr="008E3959">
              <w:t>FY 24 </w:t>
            </w:r>
          </w:p>
        </w:tc>
        <w:tc>
          <w:tcPr>
            <w:tcW w:w="2280" w:type="dxa"/>
            <w:vAlign w:val="center"/>
            <w:hideMark/>
          </w:tcPr>
          <w:p w14:paraId="690399CD" w14:textId="77777777" w:rsidR="008E3959" w:rsidRPr="008E3959" w:rsidRDefault="008E3959" w:rsidP="002E4B5A">
            <w:pPr>
              <w:pStyle w:val="TableText"/>
              <w:jc w:val="right"/>
            </w:pPr>
            <w:r w:rsidRPr="008E3959">
              <w:t>73 </w:t>
            </w:r>
          </w:p>
        </w:tc>
        <w:tc>
          <w:tcPr>
            <w:tcW w:w="2520" w:type="dxa"/>
            <w:vAlign w:val="center"/>
            <w:hideMark/>
          </w:tcPr>
          <w:p w14:paraId="4A3033E6" w14:textId="77777777" w:rsidR="008E3959" w:rsidRPr="008E3959" w:rsidRDefault="008E3959" w:rsidP="002E4B5A">
            <w:pPr>
              <w:pStyle w:val="TableText"/>
              <w:jc w:val="right"/>
            </w:pPr>
            <w:r w:rsidRPr="008E3959">
              <w:t>$1,825,000 </w:t>
            </w:r>
          </w:p>
        </w:tc>
      </w:tr>
      <w:tr w:rsidR="008E3959" w:rsidRPr="008E3959" w14:paraId="744B0259" w14:textId="77777777" w:rsidTr="002E4B5A">
        <w:trPr>
          <w:trHeight w:val="240"/>
        </w:trPr>
        <w:tc>
          <w:tcPr>
            <w:tcW w:w="1215" w:type="dxa"/>
            <w:vAlign w:val="center"/>
            <w:hideMark/>
          </w:tcPr>
          <w:p w14:paraId="658EF851" w14:textId="77777777" w:rsidR="008E3959" w:rsidRPr="008E3959" w:rsidRDefault="008E3959" w:rsidP="002E4B5A">
            <w:pPr>
              <w:pStyle w:val="TableText"/>
            </w:pPr>
            <w:r w:rsidRPr="008E3959">
              <w:t>FY 25 </w:t>
            </w:r>
          </w:p>
        </w:tc>
        <w:tc>
          <w:tcPr>
            <w:tcW w:w="2280" w:type="dxa"/>
            <w:vAlign w:val="center"/>
            <w:hideMark/>
          </w:tcPr>
          <w:p w14:paraId="38D9223A" w14:textId="77777777" w:rsidR="008E3959" w:rsidRPr="008E3959" w:rsidRDefault="008E3959" w:rsidP="002E4B5A">
            <w:pPr>
              <w:pStyle w:val="TableText"/>
              <w:jc w:val="right"/>
            </w:pPr>
            <w:r w:rsidRPr="008E3959">
              <w:t>138 </w:t>
            </w:r>
          </w:p>
        </w:tc>
        <w:tc>
          <w:tcPr>
            <w:tcW w:w="2520" w:type="dxa"/>
            <w:vAlign w:val="center"/>
            <w:hideMark/>
          </w:tcPr>
          <w:p w14:paraId="7D02ED00" w14:textId="77777777" w:rsidR="008E3959" w:rsidRPr="008E3959" w:rsidRDefault="008E3959" w:rsidP="002E4B5A">
            <w:pPr>
              <w:pStyle w:val="TableText"/>
              <w:jc w:val="right"/>
            </w:pPr>
            <w:r w:rsidRPr="008E3959">
              <w:t>$3,450,000 </w:t>
            </w:r>
          </w:p>
        </w:tc>
      </w:tr>
      <w:tr w:rsidR="008E3959" w:rsidRPr="008E3959" w14:paraId="788920C5" w14:textId="77777777" w:rsidTr="002E4B5A">
        <w:trPr>
          <w:trHeight w:val="285"/>
        </w:trPr>
        <w:tc>
          <w:tcPr>
            <w:tcW w:w="1215" w:type="dxa"/>
            <w:vAlign w:val="center"/>
            <w:hideMark/>
          </w:tcPr>
          <w:p w14:paraId="7CA5F927" w14:textId="77777777" w:rsidR="008E3959" w:rsidRPr="008E3959" w:rsidRDefault="008E3959" w:rsidP="002E4B5A">
            <w:pPr>
              <w:pStyle w:val="TableText"/>
            </w:pPr>
            <w:r w:rsidRPr="008E3959">
              <w:t>Total </w:t>
            </w:r>
          </w:p>
        </w:tc>
        <w:tc>
          <w:tcPr>
            <w:tcW w:w="2280" w:type="dxa"/>
            <w:vAlign w:val="center"/>
            <w:hideMark/>
          </w:tcPr>
          <w:p w14:paraId="065451DF" w14:textId="77777777" w:rsidR="008E3959" w:rsidRPr="008E3959" w:rsidRDefault="008E3959" w:rsidP="002E4B5A">
            <w:pPr>
              <w:pStyle w:val="TableText"/>
              <w:jc w:val="right"/>
            </w:pPr>
            <w:r w:rsidRPr="008E3959">
              <w:t>228 </w:t>
            </w:r>
          </w:p>
        </w:tc>
        <w:tc>
          <w:tcPr>
            <w:tcW w:w="2520" w:type="dxa"/>
            <w:vAlign w:val="center"/>
            <w:hideMark/>
          </w:tcPr>
          <w:p w14:paraId="6BD57F7F" w14:textId="77777777" w:rsidR="008E3959" w:rsidRPr="008E3959" w:rsidRDefault="008E3959" w:rsidP="002E4B5A">
            <w:pPr>
              <w:pStyle w:val="TableText"/>
              <w:jc w:val="right"/>
            </w:pPr>
            <w:r w:rsidRPr="008E3959">
              <w:t>$5,700,000 </w:t>
            </w:r>
          </w:p>
        </w:tc>
      </w:tr>
    </w:tbl>
    <w:p w14:paraId="0AAD3C6B" w14:textId="77777777" w:rsidR="008E3959" w:rsidRPr="008E3959" w:rsidRDefault="008E3959" w:rsidP="008E3959">
      <w:pPr>
        <w:pStyle w:val="BodyText"/>
      </w:pPr>
      <w:r w:rsidRPr="008E3959">
        <w:t xml:space="preserve">In February 2025, the TWC Pre-K Partnership Program began distributing their annual satisfaction survey to 136 </w:t>
      </w:r>
      <w:proofErr w:type="gramStart"/>
      <w:r w:rsidRPr="008E3959">
        <w:t>child care</w:t>
      </w:r>
      <w:proofErr w:type="gramEnd"/>
      <w:r w:rsidRPr="008E3959">
        <w:t xml:space="preserve"> programs that have established a pre-k partnership with the support of TWC Pre-K Partnership staff. Of the 73 </w:t>
      </w:r>
      <w:proofErr w:type="gramStart"/>
      <w:r w:rsidRPr="008E3959">
        <w:t>child care</w:t>
      </w:r>
      <w:proofErr w:type="gramEnd"/>
      <w:r w:rsidRPr="008E3959">
        <w:t xml:space="preserve"> programs that responded:  </w:t>
      </w:r>
    </w:p>
    <w:p w14:paraId="32F3935D" w14:textId="77777777" w:rsidR="008E3959" w:rsidRPr="008E3959" w:rsidRDefault="008E3959" w:rsidP="00C64851">
      <w:pPr>
        <w:pStyle w:val="BodyText"/>
        <w:numPr>
          <w:ilvl w:val="0"/>
          <w:numId w:val="600"/>
        </w:numPr>
      </w:pPr>
      <w:r w:rsidRPr="008E3959">
        <w:t>99 percent agreed or strongly agreed that the information that the TWC Pre-K Partnership Program provided was useful. </w:t>
      </w:r>
    </w:p>
    <w:p w14:paraId="45691CFE" w14:textId="77777777" w:rsidR="008E3959" w:rsidRPr="008E3959" w:rsidRDefault="008E3959" w:rsidP="00C64851">
      <w:pPr>
        <w:pStyle w:val="BodyText"/>
        <w:numPr>
          <w:ilvl w:val="0"/>
          <w:numId w:val="601"/>
        </w:numPr>
      </w:pPr>
      <w:r w:rsidRPr="008E3959">
        <w:lastRenderedPageBreak/>
        <w:t>99 percent agreed or strongly agreed that the TWC Pre-K Partnership Program responded to their questions in a timely manner. </w:t>
      </w:r>
    </w:p>
    <w:p w14:paraId="6C8A1DAE" w14:textId="77777777" w:rsidR="008E3959" w:rsidRPr="008E3959" w:rsidRDefault="008E3959" w:rsidP="00C64851">
      <w:pPr>
        <w:pStyle w:val="BodyText"/>
        <w:numPr>
          <w:ilvl w:val="0"/>
          <w:numId w:val="602"/>
        </w:numPr>
      </w:pPr>
      <w:r w:rsidRPr="008E3959">
        <w:t>100 percent agreed or strongly agreed that the TWC Pre-K Partnership Program was helpful in establishing a pre-k partnership. </w:t>
      </w:r>
    </w:p>
    <w:p w14:paraId="09A17B26" w14:textId="77777777" w:rsidR="008E3959" w:rsidRPr="008E3959" w:rsidRDefault="008E3959" w:rsidP="00C64851">
      <w:pPr>
        <w:pStyle w:val="BodyText"/>
        <w:numPr>
          <w:ilvl w:val="0"/>
          <w:numId w:val="603"/>
        </w:numPr>
      </w:pPr>
      <w:r w:rsidRPr="008E3959">
        <w:t>99 percent were satisfied or very satisfied working with the TWC Pre-K Partnership Program. </w:t>
      </w:r>
    </w:p>
    <w:p w14:paraId="392BD684" w14:textId="77777777" w:rsidR="008E3959" w:rsidRPr="008E3959" w:rsidRDefault="008E3959" w:rsidP="002E4B5A">
      <w:pPr>
        <w:pStyle w:val="BodyText3"/>
        <w:ind w:left="720" w:hanging="720"/>
      </w:pPr>
      <w:r w:rsidRPr="008E3959">
        <w:t>D.</w:t>
      </w:r>
      <w:r w:rsidRPr="008E3959">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39CA6F9B" w14:textId="77777777" w:rsidR="008E3959" w:rsidRPr="008E3959" w:rsidRDefault="008E3959" w:rsidP="008E3959">
      <w:pPr>
        <w:pStyle w:val="BodyText"/>
      </w:pPr>
      <w:r w:rsidRPr="008E3959">
        <w:t xml:space="preserve">TWC received increased Child Care and Development Block </w:t>
      </w:r>
      <w:proofErr w:type="gramStart"/>
      <w:r w:rsidRPr="008E3959">
        <w:t>Grant  funding</w:t>
      </w:r>
      <w:proofErr w:type="gramEnd"/>
      <w:r w:rsidRPr="008E3959">
        <w:t xml:space="preserve"> through several COVID-19–related pieces of legislation. On Nov.2, 2021, TWC’s three-member Commission approved a portion of these funds ($26 million) to establish the Pre-K Partnership Program.  </w:t>
      </w:r>
    </w:p>
    <w:p w14:paraId="2628680C" w14:textId="77777777" w:rsidR="008E3959" w:rsidRPr="008E3959" w:rsidRDefault="008E3959" w:rsidP="008E3959">
      <w:pPr>
        <w:pStyle w:val="BodyText"/>
      </w:pPr>
      <w:r w:rsidRPr="008E3959">
        <w:t>On Oct.1, 2024, the TWC Pre-K Partnership Program was restructured to meet the requirements under H.B. 1615, 88</w:t>
      </w:r>
      <w:r w:rsidRPr="008E3959">
        <w:rPr>
          <w:vertAlign w:val="superscript"/>
        </w:rPr>
        <w:t>th</w:t>
      </w:r>
      <w:r w:rsidRPr="008E3959">
        <w:t xml:space="preserve"> Texas Legislature, Regular Session (2023). These changes involved reducing staff by fifty percent and redefining the pre-k partnership regions. There were no changes to the services or functions of the Pre-K Partnership Program because of HB 1615. </w:t>
      </w:r>
    </w:p>
    <w:p w14:paraId="772C6CEC" w14:textId="77777777" w:rsidR="008E3959" w:rsidRPr="008E3959" w:rsidRDefault="008E3959" w:rsidP="002E4B5A">
      <w:pPr>
        <w:pStyle w:val="BodyText3"/>
        <w:ind w:left="720" w:hanging="720"/>
      </w:pPr>
      <w:r w:rsidRPr="008E3959">
        <w:t>E.</w:t>
      </w:r>
      <w:r w:rsidRPr="008E3959">
        <w:tab/>
        <w:t>List any qualifications or eligibility requirements for persons or entities affected by this division or program (e.g., licensees, consumers, and landowners). Provide a statistical breakdown of persons or entities affected. </w:t>
      </w:r>
    </w:p>
    <w:p w14:paraId="1972B1DA" w14:textId="77777777" w:rsidR="008E3959" w:rsidRPr="008E3959" w:rsidRDefault="008E3959" w:rsidP="00236419">
      <w:pPr>
        <w:pStyle w:val="BodyText3"/>
      </w:pPr>
      <w:r w:rsidRPr="008E3959">
        <w:t>Child Care Program Eligibility </w:t>
      </w:r>
    </w:p>
    <w:p w14:paraId="601DC718" w14:textId="77777777" w:rsidR="008E3959" w:rsidRPr="008E3959" w:rsidRDefault="008E3959" w:rsidP="008E3959">
      <w:pPr>
        <w:pStyle w:val="BodyText"/>
      </w:pPr>
      <w:r w:rsidRPr="008E3959">
        <w:t xml:space="preserve">Education Code, Section 29.171 states that to be eligible for a formal pre-k partnership a </w:t>
      </w:r>
      <w:proofErr w:type="gramStart"/>
      <w:r w:rsidRPr="008E3959">
        <w:t>child care</w:t>
      </w:r>
      <w:proofErr w:type="gramEnd"/>
      <w:r w:rsidRPr="008E3959">
        <w:t xml:space="preserve"> program must: </w:t>
      </w:r>
    </w:p>
    <w:p w14:paraId="716BC7D2" w14:textId="0A352B03" w:rsidR="008E3959" w:rsidRPr="008E3959" w:rsidRDefault="008E3959" w:rsidP="00C64851">
      <w:pPr>
        <w:pStyle w:val="BodyText"/>
        <w:numPr>
          <w:ilvl w:val="0"/>
          <w:numId w:val="604"/>
        </w:numPr>
      </w:pPr>
      <w:r w:rsidRPr="008E3959">
        <w:t>Be accredited by a research-based, nationally recognized, and universally accessible accreditation system approved by TEA. </w:t>
      </w:r>
    </w:p>
    <w:p w14:paraId="4EDDB6E7" w14:textId="77777777" w:rsidR="008E3959" w:rsidRPr="008E3959" w:rsidRDefault="008E3959" w:rsidP="00C64851">
      <w:pPr>
        <w:pStyle w:val="BodyText"/>
        <w:numPr>
          <w:ilvl w:val="0"/>
          <w:numId w:val="605"/>
        </w:numPr>
      </w:pPr>
      <w:r w:rsidRPr="008E3959">
        <w:t>Be a Texas Rising Star Program provider with a three-star certification or higher. </w:t>
      </w:r>
    </w:p>
    <w:p w14:paraId="2ABEA040" w14:textId="77777777" w:rsidR="008E3959" w:rsidRPr="008E3959" w:rsidRDefault="008E3959" w:rsidP="00C64851">
      <w:pPr>
        <w:pStyle w:val="BodyText"/>
        <w:numPr>
          <w:ilvl w:val="0"/>
          <w:numId w:val="606"/>
        </w:numPr>
      </w:pPr>
      <w:r w:rsidRPr="008E3959">
        <w:t>Be a Texas School Ready! Participant. </w:t>
      </w:r>
    </w:p>
    <w:p w14:paraId="6E16730A" w14:textId="77777777" w:rsidR="008E3959" w:rsidRPr="008E3959" w:rsidRDefault="008E3959" w:rsidP="00C64851">
      <w:pPr>
        <w:pStyle w:val="BodyText"/>
        <w:numPr>
          <w:ilvl w:val="0"/>
          <w:numId w:val="607"/>
        </w:numPr>
      </w:pPr>
      <w:r w:rsidRPr="008E3959">
        <w:t>Have an existing partnership with a school district to provide a prekindergarten program not provided under this subchapter. </w:t>
      </w:r>
    </w:p>
    <w:p w14:paraId="6E4844E2" w14:textId="77777777" w:rsidR="008E3959" w:rsidRPr="008E3959" w:rsidRDefault="008E3959" w:rsidP="00C64851">
      <w:pPr>
        <w:pStyle w:val="BodyText"/>
        <w:numPr>
          <w:ilvl w:val="0"/>
          <w:numId w:val="608"/>
        </w:numPr>
      </w:pPr>
      <w:r w:rsidRPr="008E3959">
        <w:t>Be accredited by an organization that is recognized by the Texas Private School Accreditation Commission. </w:t>
      </w:r>
    </w:p>
    <w:p w14:paraId="658794D9" w14:textId="77777777" w:rsidR="008E3959" w:rsidRPr="008E3959" w:rsidRDefault="008E3959" w:rsidP="00236419">
      <w:pPr>
        <w:pStyle w:val="BodyText3"/>
      </w:pPr>
      <w:r w:rsidRPr="008E3959">
        <w:lastRenderedPageBreak/>
        <w:t>TWC Pre-K Partnership Classroom Award Eligibility </w:t>
      </w:r>
    </w:p>
    <w:p w14:paraId="1D6647B0" w14:textId="77777777" w:rsidR="008E3959" w:rsidRPr="008E3959" w:rsidRDefault="008E3959" w:rsidP="008E3959">
      <w:pPr>
        <w:pStyle w:val="BodyText"/>
      </w:pPr>
      <w:r w:rsidRPr="008E3959">
        <w:t xml:space="preserve">To be eligible for the TWC Pre-K Partnership Classroom Award, a </w:t>
      </w:r>
      <w:proofErr w:type="gramStart"/>
      <w:r w:rsidRPr="008E3959">
        <w:t>child care</w:t>
      </w:r>
      <w:proofErr w:type="gramEnd"/>
      <w:r w:rsidRPr="008E3959">
        <w:t xml:space="preserve"> program must: </w:t>
      </w:r>
    </w:p>
    <w:p w14:paraId="77D8F244" w14:textId="77777777" w:rsidR="008E3959" w:rsidRPr="008E3959" w:rsidRDefault="008E3959" w:rsidP="00C64851">
      <w:pPr>
        <w:pStyle w:val="BodyText"/>
        <w:numPr>
          <w:ilvl w:val="0"/>
          <w:numId w:val="609"/>
        </w:numPr>
      </w:pPr>
      <w:r w:rsidRPr="008E3959">
        <w:t>Be a Texas Rising Star Program provider with a three-star certification or higher. </w:t>
      </w:r>
    </w:p>
    <w:p w14:paraId="58D317E8" w14:textId="77777777" w:rsidR="008E3959" w:rsidRPr="008E3959" w:rsidRDefault="008E3959" w:rsidP="00C64851">
      <w:pPr>
        <w:pStyle w:val="BodyText"/>
        <w:numPr>
          <w:ilvl w:val="0"/>
          <w:numId w:val="610"/>
        </w:numPr>
      </w:pPr>
      <w:r w:rsidRPr="008E3959">
        <w:t>Have a new contract with a school for a formal pre-k partnership. </w:t>
      </w:r>
    </w:p>
    <w:p w14:paraId="35490D34" w14:textId="77777777" w:rsidR="008E3959" w:rsidRPr="008E3959" w:rsidRDefault="008E3959" w:rsidP="00C64851">
      <w:pPr>
        <w:pStyle w:val="BodyText"/>
        <w:numPr>
          <w:ilvl w:val="0"/>
          <w:numId w:val="611"/>
        </w:numPr>
      </w:pPr>
      <w:r w:rsidRPr="008E3959">
        <w:t>Have a new pre-k partnership classroom in operation with students dually enrolled. </w:t>
      </w:r>
    </w:p>
    <w:p w14:paraId="4E8C4946" w14:textId="77777777" w:rsidR="008E3959" w:rsidRPr="008E3959" w:rsidRDefault="008E3959" w:rsidP="00236419">
      <w:pPr>
        <w:pStyle w:val="BodyText3"/>
      </w:pPr>
      <w:r w:rsidRPr="008E3959">
        <w:t>Child Eligibility </w:t>
      </w:r>
    </w:p>
    <w:p w14:paraId="76E3E3E9" w14:textId="77777777" w:rsidR="008E3959" w:rsidRPr="008E3959" w:rsidRDefault="008E3959" w:rsidP="008E3959">
      <w:pPr>
        <w:pStyle w:val="BodyText"/>
      </w:pPr>
      <w:r w:rsidRPr="008E3959">
        <w:t>Education Code, Section 29.153 states that a child is eligible for enrollment in public pre-k if the child is at least three years of age by September 1 of the current school year and: </w:t>
      </w:r>
    </w:p>
    <w:p w14:paraId="1FAB478D" w14:textId="77777777" w:rsidR="008E3959" w:rsidRPr="008E3959" w:rsidRDefault="008E3959" w:rsidP="00C64851">
      <w:pPr>
        <w:pStyle w:val="BodyText"/>
        <w:numPr>
          <w:ilvl w:val="0"/>
          <w:numId w:val="612"/>
        </w:numPr>
      </w:pPr>
      <w:r w:rsidRPr="008E3959">
        <w:t>Is unable to speak and comprehend the English language. </w:t>
      </w:r>
    </w:p>
    <w:p w14:paraId="08E4A0E7" w14:textId="77777777" w:rsidR="008E3959" w:rsidRPr="008E3959" w:rsidRDefault="008E3959" w:rsidP="00C64851">
      <w:pPr>
        <w:pStyle w:val="BodyText"/>
        <w:numPr>
          <w:ilvl w:val="0"/>
          <w:numId w:val="613"/>
        </w:numPr>
      </w:pPr>
      <w:r w:rsidRPr="008E3959">
        <w:t>Is educationally disadvantaged. </w:t>
      </w:r>
    </w:p>
    <w:p w14:paraId="45FD65A1" w14:textId="77777777" w:rsidR="008E3959" w:rsidRPr="008E3959" w:rsidRDefault="008E3959" w:rsidP="00C64851">
      <w:pPr>
        <w:pStyle w:val="BodyText"/>
        <w:numPr>
          <w:ilvl w:val="0"/>
          <w:numId w:val="614"/>
        </w:numPr>
      </w:pPr>
      <w:r w:rsidRPr="008E3959">
        <w:t>Is the child of an active-duty member of the armed forces of the United States, including the state military forces or a reserve component of the armed forces, who is ordered to active duty by proper authority. </w:t>
      </w:r>
    </w:p>
    <w:p w14:paraId="2530B5AB" w14:textId="77777777" w:rsidR="008E3959" w:rsidRPr="008E3959" w:rsidRDefault="008E3959" w:rsidP="00C64851">
      <w:pPr>
        <w:pStyle w:val="BodyText"/>
        <w:numPr>
          <w:ilvl w:val="0"/>
          <w:numId w:val="615"/>
        </w:numPr>
      </w:pPr>
      <w:r w:rsidRPr="008E3959">
        <w:t>Is the child of a member of the armed forces of the United States, including the state military forces or a reserve component of the armed forces, who was injured or killed while serving on active duty. </w:t>
      </w:r>
    </w:p>
    <w:p w14:paraId="58B63557" w14:textId="77777777" w:rsidR="008E3959" w:rsidRPr="008E3959" w:rsidRDefault="008E3959" w:rsidP="00C64851">
      <w:pPr>
        <w:pStyle w:val="BodyText"/>
        <w:numPr>
          <w:ilvl w:val="0"/>
          <w:numId w:val="616"/>
        </w:numPr>
      </w:pPr>
      <w:r w:rsidRPr="008E3959">
        <w:t>Is or ever has been in: </w:t>
      </w:r>
    </w:p>
    <w:p w14:paraId="61292ABD" w14:textId="77777777" w:rsidR="008E3959" w:rsidRPr="008E3959" w:rsidRDefault="008E3959" w:rsidP="00C64851">
      <w:pPr>
        <w:pStyle w:val="BodyText"/>
        <w:numPr>
          <w:ilvl w:val="0"/>
          <w:numId w:val="617"/>
        </w:numPr>
      </w:pPr>
      <w:r w:rsidRPr="008E3959">
        <w:t>the conservatorship of the Department of Family and Protective Services following an adversary hearing held as provided by Section 262.201, Family Code; or </w:t>
      </w:r>
    </w:p>
    <w:p w14:paraId="0359703A" w14:textId="77777777" w:rsidR="008E3959" w:rsidRPr="008E3959" w:rsidRDefault="008E3959" w:rsidP="00C64851">
      <w:pPr>
        <w:pStyle w:val="BodyText"/>
        <w:numPr>
          <w:ilvl w:val="0"/>
          <w:numId w:val="618"/>
        </w:numPr>
      </w:pPr>
      <w:r w:rsidRPr="008E3959">
        <w:t>foster care in another state or territory, if the child resides in this state. </w:t>
      </w:r>
    </w:p>
    <w:p w14:paraId="19331333" w14:textId="77777777" w:rsidR="008E3959" w:rsidRPr="008E3959" w:rsidRDefault="008E3959" w:rsidP="00C64851">
      <w:pPr>
        <w:pStyle w:val="BodyText"/>
        <w:numPr>
          <w:ilvl w:val="0"/>
          <w:numId w:val="619"/>
        </w:numPr>
      </w:pPr>
      <w:r w:rsidRPr="008E3959">
        <w:t>Is the child of a person eligible for the Star of Texas Award as: </w:t>
      </w:r>
    </w:p>
    <w:p w14:paraId="577452DC" w14:textId="77777777" w:rsidR="008E3959" w:rsidRPr="008E3959" w:rsidRDefault="008E3959" w:rsidP="00C64851">
      <w:pPr>
        <w:pStyle w:val="BodyText"/>
        <w:numPr>
          <w:ilvl w:val="0"/>
          <w:numId w:val="620"/>
        </w:numPr>
      </w:pPr>
      <w:r w:rsidRPr="008E3959">
        <w:t xml:space="preserve">a peace officer under Section 3106.002, Government </w:t>
      </w:r>
      <w:proofErr w:type="gramStart"/>
      <w:r w:rsidRPr="008E3959">
        <w:t>Code;</w:t>
      </w:r>
      <w:proofErr w:type="gramEnd"/>
      <w:r w:rsidRPr="008E3959">
        <w:t> </w:t>
      </w:r>
    </w:p>
    <w:p w14:paraId="249B98C4" w14:textId="77777777" w:rsidR="008E3959" w:rsidRPr="008E3959" w:rsidRDefault="008E3959" w:rsidP="00C64851">
      <w:pPr>
        <w:pStyle w:val="BodyText"/>
        <w:numPr>
          <w:ilvl w:val="0"/>
          <w:numId w:val="621"/>
        </w:numPr>
      </w:pPr>
      <w:r w:rsidRPr="008E3959">
        <w:t>a firefighter under Section 3106.003, Government Code; or </w:t>
      </w:r>
    </w:p>
    <w:p w14:paraId="00405EB0" w14:textId="77777777" w:rsidR="008E3959" w:rsidRPr="008E3959" w:rsidRDefault="008E3959" w:rsidP="00C64851">
      <w:pPr>
        <w:pStyle w:val="BodyText"/>
        <w:numPr>
          <w:ilvl w:val="0"/>
          <w:numId w:val="622"/>
        </w:numPr>
      </w:pPr>
      <w:r w:rsidRPr="008E3959">
        <w:t>an emergency medical first responder under Section 3106.004, Government Code. </w:t>
      </w:r>
    </w:p>
    <w:p w14:paraId="407D445A" w14:textId="77777777" w:rsidR="008E3959" w:rsidRPr="008E3959" w:rsidRDefault="008E3959" w:rsidP="00236419">
      <w:pPr>
        <w:pStyle w:val="BodyText3"/>
        <w:ind w:left="720" w:hanging="720"/>
      </w:pPr>
      <w:r w:rsidRPr="008E3959">
        <w:t>F.</w:t>
      </w:r>
      <w:r w:rsidRPr="008E3959">
        <w:tab/>
        <w:t xml:space="preserve">Describe how the division or program is administered, including a description of key processes involved. If you have existing documentation (e.g., </w:t>
      </w:r>
      <w:r w:rsidRPr="008E3959">
        <w:lastRenderedPageBreak/>
        <w:t>flowcharts, timelines, and other illustrations) to describe agency policies and procedures, please include them as attachments. Indicate how field/regional services are used, if applicable. </w:t>
      </w:r>
    </w:p>
    <w:p w14:paraId="37C85586" w14:textId="77777777" w:rsidR="008E3959" w:rsidRPr="008E3959" w:rsidRDefault="008E3959" w:rsidP="008E3959">
      <w:pPr>
        <w:pStyle w:val="BodyText"/>
      </w:pPr>
      <w:r w:rsidRPr="008E3959">
        <w:t>The TWC Pre-K Partnership Program administers services to external customers using the following process:  </w:t>
      </w:r>
    </w:p>
    <w:p w14:paraId="1B85CF72" w14:textId="77777777" w:rsidR="008E3959" w:rsidRPr="008E3959" w:rsidRDefault="008E3959" w:rsidP="00C64851">
      <w:pPr>
        <w:pStyle w:val="BodyText"/>
        <w:numPr>
          <w:ilvl w:val="0"/>
          <w:numId w:val="623"/>
        </w:numPr>
      </w:pPr>
      <w:r w:rsidRPr="008E3959">
        <w:t xml:space="preserve">Outreach to </w:t>
      </w:r>
      <w:proofErr w:type="gramStart"/>
      <w:r w:rsidRPr="008E3959">
        <w:t>child care</w:t>
      </w:r>
      <w:proofErr w:type="gramEnd"/>
      <w:r w:rsidRPr="008E3959">
        <w:t xml:space="preserve"> programs and LEAs via email or phone call </w:t>
      </w:r>
    </w:p>
    <w:p w14:paraId="7774131D" w14:textId="77777777" w:rsidR="008E3959" w:rsidRPr="008E3959" w:rsidRDefault="008E3959" w:rsidP="00C64851">
      <w:pPr>
        <w:pStyle w:val="BodyText"/>
        <w:numPr>
          <w:ilvl w:val="0"/>
          <w:numId w:val="624"/>
        </w:numPr>
      </w:pPr>
      <w:r w:rsidRPr="008E3959">
        <w:t>Upon connecting, provide information about pre-k partnerships, most often through a virtual presentation </w:t>
      </w:r>
    </w:p>
    <w:p w14:paraId="3B0E4369" w14:textId="77777777" w:rsidR="008E3959" w:rsidRPr="008E3959" w:rsidRDefault="008E3959" w:rsidP="00C64851">
      <w:pPr>
        <w:pStyle w:val="BodyText"/>
        <w:numPr>
          <w:ilvl w:val="0"/>
          <w:numId w:val="625"/>
        </w:numPr>
      </w:pPr>
      <w:r w:rsidRPr="008E3959">
        <w:t>Identify potential partners using TWC and TEA data </w:t>
      </w:r>
    </w:p>
    <w:p w14:paraId="2D3CE0FF" w14:textId="77777777" w:rsidR="008E3959" w:rsidRPr="008E3959" w:rsidRDefault="008E3959" w:rsidP="00C64851">
      <w:pPr>
        <w:pStyle w:val="BodyText"/>
        <w:numPr>
          <w:ilvl w:val="0"/>
          <w:numId w:val="626"/>
        </w:numPr>
      </w:pPr>
      <w:r w:rsidRPr="008E3959">
        <w:t>Bring potential partners together for a partnership brokering meeting to establish a partnership that best meets the needs of their programs and families </w:t>
      </w:r>
    </w:p>
    <w:p w14:paraId="139065EA" w14:textId="77777777" w:rsidR="008E3959" w:rsidRPr="008E3959" w:rsidRDefault="008E3959" w:rsidP="00C64851">
      <w:pPr>
        <w:pStyle w:val="BodyText"/>
        <w:numPr>
          <w:ilvl w:val="0"/>
          <w:numId w:val="627"/>
        </w:numPr>
      </w:pPr>
      <w:r w:rsidRPr="008E3959">
        <w:t xml:space="preserve">Once children are dually enrolled, support </w:t>
      </w:r>
      <w:proofErr w:type="gramStart"/>
      <w:r w:rsidRPr="008E3959">
        <w:t>child care</w:t>
      </w:r>
      <w:proofErr w:type="gramEnd"/>
      <w:r w:rsidRPr="008E3959">
        <w:t xml:space="preserve"> programs through the application process for the $25,000 award for new eligible pre-k partnership classrooms​ </w:t>
      </w:r>
    </w:p>
    <w:p w14:paraId="25A27C3B" w14:textId="77777777" w:rsidR="008E3959" w:rsidRPr="008E3959" w:rsidRDefault="008E3959" w:rsidP="00C64851">
      <w:pPr>
        <w:pStyle w:val="BodyText"/>
        <w:numPr>
          <w:ilvl w:val="0"/>
          <w:numId w:val="628"/>
        </w:numPr>
      </w:pPr>
      <w:r w:rsidRPr="008E3959">
        <w:t>Provide regular check-ins to assist with partnership sustainability </w:t>
      </w:r>
    </w:p>
    <w:p w14:paraId="2B649165" w14:textId="77777777" w:rsidR="008E3959" w:rsidRPr="008E3959" w:rsidRDefault="008E3959" w:rsidP="008E3959">
      <w:pPr>
        <w:pStyle w:val="BodyText"/>
      </w:pPr>
      <w:r w:rsidRPr="008E3959">
        <w:t xml:space="preserve">The TWC Pre-K Partnership Program works with other departments in the Child Care &amp; Early Learning Division (CC&amp;EL) to support </w:t>
      </w:r>
      <w:proofErr w:type="gramStart"/>
      <w:r w:rsidRPr="008E3959">
        <w:t>child care</w:t>
      </w:r>
      <w:proofErr w:type="gramEnd"/>
      <w:r w:rsidRPr="008E3959">
        <w:t xml:space="preserve"> programs with questions about Texas Rising Star or Child Care Services. These include the Child Care &amp; Early Learning Quality Initiatives, Child Care Board Technical Assistance, and Program Policy Departments. </w:t>
      </w:r>
    </w:p>
    <w:p w14:paraId="4C2A9945" w14:textId="77777777" w:rsidR="008E3959" w:rsidRPr="008E3959" w:rsidRDefault="008E3959" w:rsidP="008E3959">
      <w:pPr>
        <w:pStyle w:val="BodyText"/>
      </w:pPr>
      <w:r w:rsidRPr="008E3959">
        <w:t xml:space="preserve">The CC&amp;EL Grants &amp; Contracts Department also supports the TWC Pre-K Partnership Program with the work that is completed under the IAC with TEA (referenced in subsection </w:t>
      </w:r>
      <w:proofErr w:type="spellStart"/>
      <w:r w:rsidRPr="008E3959">
        <w:t>i</w:t>
      </w:r>
      <w:proofErr w:type="spellEnd"/>
      <w:r w:rsidRPr="008E3959">
        <w:t>) and processing applications for the $25,000 Pre-K Partnership Classroom Award. The process for distributing the $25,000 award also includes other TWC departments and is outlined below:  </w:t>
      </w:r>
    </w:p>
    <w:p w14:paraId="1946D425" w14:textId="77777777" w:rsidR="008E3959" w:rsidRPr="008E3959" w:rsidRDefault="008E3959" w:rsidP="00C64851">
      <w:pPr>
        <w:pStyle w:val="BodyText"/>
        <w:numPr>
          <w:ilvl w:val="0"/>
          <w:numId w:val="629"/>
        </w:numPr>
      </w:pPr>
      <w:r w:rsidRPr="008E3959">
        <w:t>Vendor Maintenance/Services provides vendor setup information </w:t>
      </w:r>
    </w:p>
    <w:p w14:paraId="4D454E61" w14:textId="77777777" w:rsidR="008E3959" w:rsidRPr="008E3959" w:rsidRDefault="008E3959" w:rsidP="00C64851">
      <w:pPr>
        <w:pStyle w:val="BodyText"/>
        <w:numPr>
          <w:ilvl w:val="0"/>
          <w:numId w:val="630"/>
        </w:numPr>
      </w:pPr>
      <w:r w:rsidRPr="008E3959">
        <w:t>Pre-K Partnership Program provides CC&amp;EL Grants &amp; Contracts with supporting documents </w:t>
      </w:r>
    </w:p>
    <w:p w14:paraId="76DCCF41" w14:textId="77777777" w:rsidR="008E3959" w:rsidRPr="008E3959" w:rsidRDefault="008E3959" w:rsidP="00C64851">
      <w:pPr>
        <w:pStyle w:val="BodyText"/>
        <w:numPr>
          <w:ilvl w:val="0"/>
          <w:numId w:val="631"/>
        </w:numPr>
      </w:pPr>
      <w:r w:rsidRPr="008E3959">
        <w:t>CC&amp;EL Grants &amp; Contracts verifies receipt of required documents and completes vendor check </w:t>
      </w:r>
    </w:p>
    <w:p w14:paraId="1007DFA9" w14:textId="77777777" w:rsidR="008E3959" w:rsidRPr="008E3959" w:rsidRDefault="008E3959" w:rsidP="00C64851">
      <w:pPr>
        <w:pStyle w:val="BodyText"/>
        <w:numPr>
          <w:ilvl w:val="0"/>
          <w:numId w:val="632"/>
        </w:numPr>
      </w:pPr>
      <w:r w:rsidRPr="008E3959">
        <w:t>Upon receipt of fully executed agreement, CC&amp;EL Grants &amp; Contracts sends the signed agreement and addendum to the Encumbrance unit </w:t>
      </w:r>
    </w:p>
    <w:p w14:paraId="191C115E" w14:textId="77777777" w:rsidR="008E3959" w:rsidRPr="008E3959" w:rsidRDefault="008E3959" w:rsidP="00C64851">
      <w:pPr>
        <w:pStyle w:val="BodyText"/>
        <w:numPr>
          <w:ilvl w:val="0"/>
          <w:numId w:val="633"/>
        </w:numPr>
      </w:pPr>
      <w:r w:rsidRPr="008E3959">
        <w:lastRenderedPageBreak/>
        <w:t>Payables processes payments from the Purchase Order and Back up Documentation </w:t>
      </w:r>
    </w:p>
    <w:p w14:paraId="0C044D09" w14:textId="77777777" w:rsidR="008E3959" w:rsidRPr="008E3959" w:rsidRDefault="008E3959" w:rsidP="008E3959">
      <w:pPr>
        <w:pStyle w:val="BodyText"/>
      </w:pPr>
      <w:r w:rsidRPr="008E3959">
        <w:t>Lastly, the TWC Pre-K Partnership Program works with the Information Technology Department at TWC to maintain the Salesforce application. </w:t>
      </w:r>
    </w:p>
    <w:p w14:paraId="1C0BF93C" w14:textId="77777777" w:rsidR="008E3959" w:rsidRPr="008E3959" w:rsidRDefault="008E3959" w:rsidP="009C242B">
      <w:pPr>
        <w:pStyle w:val="BodyText3"/>
        <w:ind w:left="720" w:hanging="720"/>
      </w:pPr>
      <w:r w:rsidRPr="008E3959">
        <w:t>G.</w:t>
      </w:r>
      <w:r w:rsidRPr="008E3959">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8E3959">
        <w:rPr>
          <w:i/>
          <w:iCs/>
        </w:rPr>
        <w:t>(If you have already submitted funding source info through the “Agency Program Information” spreadsheet, please limit your response to funding formulas or funding conventions.)</w:t>
      </w:r>
      <w:r w:rsidRPr="008E3959">
        <w:t> </w:t>
      </w:r>
    </w:p>
    <w:tbl>
      <w:tblPr>
        <w:tblStyle w:val="TableGrid1"/>
        <w:tblW w:w="9360" w:type="dxa"/>
        <w:tblCellMar>
          <w:top w:w="58" w:type="dxa"/>
          <w:bottom w:w="58" w:type="dxa"/>
        </w:tblCellMar>
        <w:tblLook w:val="04A0" w:firstRow="1" w:lastRow="0" w:firstColumn="1" w:lastColumn="0" w:noHBand="0" w:noVBand="1"/>
      </w:tblPr>
      <w:tblGrid>
        <w:gridCol w:w="3299"/>
        <w:gridCol w:w="2663"/>
        <w:gridCol w:w="2204"/>
        <w:gridCol w:w="1194"/>
      </w:tblGrid>
      <w:tr w:rsidR="00D6321F" w:rsidRPr="00D6321F" w14:paraId="585A9497" w14:textId="77777777" w:rsidTr="0066690C">
        <w:trPr>
          <w:trHeight w:val="288"/>
        </w:trPr>
        <w:tc>
          <w:tcPr>
            <w:tcW w:w="3235" w:type="dxa"/>
            <w:shd w:val="clear" w:color="auto" w:fill="B8CCE4" w:themeFill="accent1" w:themeFillTint="66"/>
            <w:vAlign w:val="center"/>
            <w:hideMark/>
          </w:tcPr>
          <w:p w14:paraId="562D477B" w14:textId="77777777" w:rsidR="00D6321F" w:rsidRPr="00D6321F" w:rsidRDefault="00D6321F" w:rsidP="00D6321F">
            <w:pPr>
              <w:pStyle w:val="TableHeaders"/>
              <w:rPr>
                <w:color w:val="000000"/>
              </w:rPr>
            </w:pPr>
            <w:r w:rsidRPr="00D6321F">
              <w:t>Program or Function Detail Description</w:t>
            </w:r>
          </w:p>
        </w:tc>
        <w:tc>
          <w:tcPr>
            <w:tcW w:w="2610" w:type="dxa"/>
            <w:shd w:val="clear" w:color="auto" w:fill="B8CCE4" w:themeFill="accent1" w:themeFillTint="66"/>
            <w:vAlign w:val="center"/>
            <w:hideMark/>
          </w:tcPr>
          <w:p w14:paraId="221C2DE6" w14:textId="77777777" w:rsidR="00D6321F" w:rsidRPr="00D6321F" w:rsidRDefault="00D6321F" w:rsidP="00D6321F">
            <w:pPr>
              <w:pStyle w:val="TableHeaders"/>
              <w:rPr>
                <w:color w:val="000000"/>
              </w:rPr>
            </w:pPr>
            <w:r w:rsidRPr="00D6321F">
              <w:t>Total FY 2024</w:t>
            </w:r>
          </w:p>
        </w:tc>
        <w:tc>
          <w:tcPr>
            <w:tcW w:w="2160" w:type="dxa"/>
            <w:shd w:val="clear" w:color="auto" w:fill="B8CCE4" w:themeFill="accent1" w:themeFillTint="66"/>
            <w:vAlign w:val="center"/>
            <w:hideMark/>
          </w:tcPr>
          <w:p w14:paraId="2E199FD5" w14:textId="77777777" w:rsidR="00D6321F" w:rsidRPr="00D6321F" w:rsidRDefault="00D6321F" w:rsidP="00D6321F">
            <w:pPr>
              <w:pStyle w:val="TableHeaders"/>
              <w:rPr>
                <w:color w:val="000000"/>
              </w:rPr>
            </w:pPr>
            <w:r w:rsidRPr="00D6321F">
              <w:t>Federal Funding</w:t>
            </w:r>
          </w:p>
        </w:tc>
        <w:tc>
          <w:tcPr>
            <w:tcW w:w="1170" w:type="dxa"/>
            <w:shd w:val="clear" w:color="auto" w:fill="B8CCE4" w:themeFill="accent1" w:themeFillTint="66"/>
            <w:vAlign w:val="center"/>
            <w:hideMark/>
          </w:tcPr>
          <w:p w14:paraId="2815689A" w14:textId="77777777" w:rsidR="00D6321F" w:rsidRPr="00D6321F" w:rsidRDefault="00D6321F" w:rsidP="00D6321F">
            <w:pPr>
              <w:pStyle w:val="TableHeaders"/>
              <w:rPr>
                <w:color w:val="000000"/>
              </w:rPr>
            </w:pPr>
            <w:r w:rsidRPr="00D6321F">
              <w:t>State Funding</w:t>
            </w:r>
          </w:p>
        </w:tc>
      </w:tr>
      <w:tr w:rsidR="00D6321F" w:rsidRPr="00D6321F" w14:paraId="157E1489" w14:textId="77777777" w:rsidTr="0066690C">
        <w:trPr>
          <w:trHeight w:val="288"/>
        </w:trPr>
        <w:tc>
          <w:tcPr>
            <w:tcW w:w="3235" w:type="dxa"/>
            <w:noWrap/>
            <w:vAlign w:val="center"/>
            <w:hideMark/>
          </w:tcPr>
          <w:p w14:paraId="26034AFC" w14:textId="77777777" w:rsidR="00D6321F" w:rsidRPr="00D6321F" w:rsidRDefault="00D6321F" w:rsidP="00095850">
            <w:pPr>
              <w:pStyle w:val="TableText"/>
            </w:pPr>
            <w:r w:rsidRPr="00D6321F">
              <w:t>TWC Prekindergarten Partnerships</w:t>
            </w:r>
          </w:p>
        </w:tc>
        <w:tc>
          <w:tcPr>
            <w:tcW w:w="2610" w:type="dxa"/>
            <w:vAlign w:val="center"/>
            <w:hideMark/>
          </w:tcPr>
          <w:p w14:paraId="67606F20" w14:textId="08F6048A" w:rsidR="00D6321F" w:rsidRPr="00D6321F" w:rsidRDefault="00D6321F" w:rsidP="00095850">
            <w:pPr>
              <w:pStyle w:val="TableText"/>
              <w:jc w:val="right"/>
            </w:pPr>
            <w:r w:rsidRPr="00D6321F">
              <w:t xml:space="preserve">4,863,993 </w:t>
            </w:r>
          </w:p>
        </w:tc>
        <w:tc>
          <w:tcPr>
            <w:tcW w:w="2160" w:type="dxa"/>
            <w:vAlign w:val="center"/>
            <w:hideMark/>
          </w:tcPr>
          <w:p w14:paraId="799406B2" w14:textId="176E2A20" w:rsidR="00D6321F" w:rsidRPr="00D6321F" w:rsidRDefault="00D6321F" w:rsidP="00095850">
            <w:pPr>
              <w:pStyle w:val="TableText"/>
              <w:jc w:val="right"/>
            </w:pPr>
            <w:r w:rsidRPr="00D6321F">
              <w:t xml:space="preserve">4,863,993 </w:t>
            </w:r>
          </w:p>
        </w:tc>
        <w:tc>
          <w:tcPr>
            <w:tcW w:w="1170" w:type="dxa"/>
            <w:vAlign w:val="center"/>
            <w:hideMark/>
          </w:tcPr>
          <w:p w14:paraId="3ED1E655" w14:textId="77777777" w:rsidR="00D6321F" w:rsidRPr="00D6321F" w:rsidRDefault="00D6321F" w:rsidP="00095850">
            <w:pPr>
              <w:pStyle w:val="TableText"/>
              <w:jc w:val="right"/>
            </w:pPr>
            <w:r w:rsidRPr="00D6321F">
              <w:t>0 </w:t>
            </w:r>
          </w:p>
        </w:tc>
      </w:tr>
    </w:tbl>
    <w:p w14:paraId="508B3E78" w14:textId="77777777" w:rsidR="008E3959" w:rsidRPr="008E3959" w:rsidRDefault="008E3959" w:rsidP="009C242B">
      <w:pPr>
        <w:pStyle w:val="BodyText3"/>
        <w:ind w:left="720" w:hanging="720"/>
      </w:pPr>
      <w:r w:rsidRPr="008E3959">
        <w:t>H.</w:t>
      </w:r>
      <w:r w:rsidRPr="008E3959">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54D1E574" w14:textId="58BC1889" w:rsidR="008E3959" w:rsidRPr="008E3959" w:rsidRDefault="008E3959" w:rsidP="008E3959">
      <w:pPr>
        <w:pStyle w:val="BodyText"/>
      </w:pPr>
      <w:r w:rsidRPr="008E3959">
        <w:t>There are various local initiatives that assist with the development of pre-k partnerships. These include programs such as Pre-K Today and United Way for Greater Austin. Unlike the statewide services that the TWC Pre-K Partnership Program provides, these local initiatives are focused on developing pre-k partnerships with local LEAs and will typically assist partners with program administration. In addition, some local initiatives may retain a portion of the funding that the LEA passes through while TWC does not retain any portion of the funds.</w:t>
      </w:r>
    </w:p>
    <w:p w14:paraId="135C6E1B" w14:textId="77777777" w:rsidR="008E3959" w:rsidRPr="008E3959" w:rsidRDefault="008E3959" w:rsidP="008E3959">
      <w:pPr>
        <w:pStyle w:val="BodyText"/>
      </w:pPr>
      <w:r w:rsidRPr="008E3959">
        <w:t xml:space="preserve">The Texas A&amp;M University System (TAMUS) also provides pre-k partnership services to </w:t>
      </w:r>
      <w:proofErr w:type="gramStart"/>
      <w:r w:rsidRPr="008E3959">
        <w:t>child care</w:t>
      </w:r>
      <w:proofErr w:type="gramEnd"/>
      <w:r w:rsidRPr="008E3959">
        <w:t xml:space="preserve"> programs and LEAs statewide. The TAMUS program, designed to be complementary of the services that the TWC Pre-K Partnership Program provides include documenting potential funding models for pre-k partnerships, developing a Memorandum of Understanding (MOU) template, providing technical assistance to </w:t>
      </w:r>
      <w:proofErr w:type="gramStart"/>
      <w:r w:rsidRPr="008E3959">
        <w:t>child care</w:t>
      </w:r>
      <w:proofErr w:type="gramEnd"/>
      <w:r w:rsidRPr="008E3959">
        <w:t xml:space="preserve"> programs and LEAs, and planning an intermediary hub model. </w:t>
      </w:r>
    </w:p>
    <w:p w14:paraId="5BF8C8EA" w14:textId="77777777" w:rsidR="008E3959" w:rsidRPr="008E3959" w:rsidRDefault="008E3959" w:rsidP="008E3959">
      <w:pPr>
        <w:pStyle w:val="BodyText"/>
      </w:pPr>
      <w:r w:rsidRPr="008E3959">
        <w:t>The TWC Pre-K Partnership Program works closely with the local programs to ensure alignment of efforts and prevent confusion for external customers. This involves regular communication via email, phone calls, and meetings.   </w:t>
      </w:r>
    </w:p>
    <w:p w14:paraId="7240A14E" w14:textId="77777777" w:rsidR="008E3959" w:rsidRPr="008E3959" w:rsidRDefault="008E3959" w:rsidP="008E3959">
      <w:pPr>
        <w:pStyle w:val="BodyText"/>
      </w:pPr>
      <w:r w:rsidRPr="008E3959">
        <w:t>TWC has an IAC with TEA to provide funding in the total amount of $2.4 million to support TEA’s efforts to assist with the development and expansion of pre-k partnerships and to provide funding to TAMUS. </w:t>
      </w:r>
    </w:p>
    <w:p w14:paraId="26EEE33A" w14:textId="77777777" w:rsidR="008E3959" w:rsidRPr="008E3959" w:rsidRDefault="008E3959" w:rsidP="00622815">
      <w:pPr>
        <w:pStyle w:val="BodyText3"/>
        <w:ind w:left="720" w:hanging="720"/>
      </w:pPr>
      <w:r w:rsidRPr="008E3959">
        <w:lastRenderedPageBreak/>
        <w:t>I.</w:t>
      </w:r>
      <w:r w:rsidRPr="008E3959">
        <w:tab/>
        <w:t>If the division or program works with local, regional, or federal units of government, include a brief description of these entities and their relationship to the agency. </w:t>
      </w:r>
    </w:p>
    <w:p w14:paraId="358FF8D8" w14:textId="77777777" w:rsidR="008E3959" w:rsidRPr="008E3959" w:rsidRDefault="008E3959" w:rsidP="008E3959">
      <w:pPr>
        <w:pStyle w:val="BodyText"/>
      </w:pPr>
      <w:r w:rsidRPr="008E3959">
        <w:t xml:space="preserve">Labor Code §302.00436 requires each Local Workforce Development Board (Boards) to notify the LEAs in their service area about opportunities to partner with local </w:t>
      </w:r>
      <w:proofErr w:type="gramStart"/>
      <w:r w:rsidRPr="008E3959">
        <w:t>child care</w:t>
      </w:r>
      <w:proofErr w:type="gramEnd"/>
      <w:r w:rsidRPr="008E3959">
        <w:t xml:space="preserve"> programs. The TWC Pre-K Partnership Program supports Boards with sharing this information.  </w:t>
      </w:r>
    </w:p>
    <w:p w14:paraId="6F4A48F6" w14:textId="77777777" w:rsidR="008E3959" w:rsidRPr="008E3959" w:rsidRDefault="008E3959" w:rsidP="008E3959">
      <w:pPr>
        <w:pStyle w:val="BodyText"/>
      </w:pPr>
      <w:r w:rsidRPr="008E3959">
        <w:t>In addition, the TWC Pre-K Partnership Program keeps Boards informed about pre-k partnerships that are established within the Boards’ service areas to facilitate the process established by TWC Child Care Services Rule §809.22. This rule requires Boards to establish procedures to enroll eligible children in the Child Care Services program if they are enrolled and/or referred by a recognized pre-k partnership. </w:t>
      </w:r>
    </w:p>
    <w:p w14:paraId="0FDE050C" w14:textId="77777777" w:rsidR="008E3959" w:rsidRPr="008E3959" w:rsidRDefault="008E3959" w:rsidP="00622815">
      <w:pPr>
        <w:pStyle w:val="BodyText3"/>
        <w:ind w:left="720" w:hanging="720"/>
      </w:pPr>
      <w:r w:rsidRPr="008E3959">
        <w:t>J.</w:t>
      </w:r>
      <w:r w:rsidRPr="008E3959">
        <w:tab/>
        <w:t>Are there any barriers or challenges that impede the division or program’s performance, including any outdated or ineffective state laws? Explain. </w:t>
      </w:r>
    </w:p>
    <w:p w14:paraId="3344D146" w14:textId="77777777" w:rsidR="008E3959" w:rsidRPr="008E3959" w:rsidRDefault="008E3959" w:rsidP="008E3959">
      <w:pPr>
        <w:pStyle w:val="BodyText"/>
      </w:pPr>
      <w:r w:rsidRPr="008E3959">
        <w:t>The TWC Pre-K Partnership Program has identified the following as barriers to program performance:  </w:t>
      </w:r>
    </w:p>
    <w:p w14:paraId="721D3608" w14:textId="6ECFE04C" w:rsidR="008E3959" w:rsidRPr="008E3959" w:rsidRDefault="008E3959" w:rsidP="00622815">
      <w:pPr>
        <w:pStyle w:val="BodyText3"/>
      </w:pPr>
      <w:r w:rsidRPr="008E3959">
        <w:t>Certificate of Occupancy for PKPs with Charter Schools, Implementation of HB2729</w:t>
      </w:r>
    </w:p>
    <w:p w14:paraId="65AEB54F" w14:textId="77777777" w:rsidR="008E3959" w:rsidRPr="008E3959" w:rsidRDefault="008E3959" w:rsidP="008E3959">
      <w:pPr>
        <w:pStyle w:val="BodyText"/>
      </w:pPr>
      <w:r w:rsidRPr="008E3959">
        <w:t>Education Code, Section 29.167 states that until September 1, 2029, teachers in pre-k 4 partnership classrooms do not need to hold a valid certificate or permit issued by the State Board for Educator Certification. Instead, teachers in pre-k 4 partnership classrooms are required to be supervised by a certified teacher and must meet at least one of the requirements outlined in Subsection (b-1). </w:t>
      </w:r>
    </w:p>
    <w:p w14:paraId="7A6E80D2" w14:textId="77777777" w:rsidR="008E3959" w:rsidRPr="008E3959" w:rsidRDefault="008E3959" w:rsidP="008E3959">
      <w:pPr>
        <w:pStyle w:val="BodyText"/>
      </w:pPr>
      <w:r w:rsidRPr="008E3959">
        <w:t>While this provision helps to address staffing challenges for prek-4 partnerships, it does not apply to prek-3 partnerships. As a result, teacher shortages remain a significant obstacle to the development of prek-3 partnerships.  </w:t>
      </w:r>
    </w:p>
    <w:p w14:paraId="7C50F26B" w14:textId="77777777" w:rsidR="008E3959" w:rsidRPr="008E3959" w:rsidRDefault="008E3959" w:rsidP="008E3959">
      <w:pPr>
        <w:pStyle w:val="BodyText"/>
      </w:pPr>
      <w:r w:rsidRPr="008E3959">
        <w:t>Administrative Code, Section 100.1215 states that when a charter holder is approved for a new site, prior to beginning operations at the new site, the charter holder must file a certificate of occupancy appropriate for the proposed use of the facility at the new site with TEA. </w:t>
      </w:r>
    </w:p>
    <w:p w14:paraId="4870F612" w14:textId="77777777" w:rsidR="008E3959" w:rsidRPr="008E3959" w:rsidRDefault="008E3959" w:rsidP="008E3959">
      <w:pPr>
        <w:pStyle w:val="BodyText"/>
      </w:pPr>
      <w:r w:rsidRPr="008E3959">
        <w:t xml:space="preserve">Currently, this rule creates barriers for </w:t>
      </w:r>
      <w:proofErr w:type="gramStart"/>
      <w:r w:rsidRPr="008E3959">
        <w:t>child care</w:t>
      </w:r>
      <w:proofErr w:type="gramEnd"/>
      <w:r w:rsidRPr="008E3959">
        <w:t xml:space="preserve"> programs that are partnering with an open-enrollment charter school because the provider must have a certificate of occupancy with an “E” rating. This often results in </w:t>
      </w:r>
      <w:proofErr w:type="gramStart"/>
      <w:r w:rsidRPr="008E3959">
        <w:t>child care</w:t>
      </w:r>
      <w:proofErr w:type="gramEnd"/>
      <w:r w:rsidRPr="008E3959">
        <w:t xml:space="preserve"> programs incurring additional costs to change their certificate of occupancy from an “I” to an “E” rating and meet the requirements established by their municipality for pre-k programs operated by an open-enrollment charter school. </w:t>
      </w:r>
    </w:p>
    <w:p w14:paraId="309CEC7A" w14:textId="77777777" w:rsidR="008E3959" w:rsidRPr="008E3959" w:rsidRDefault="008E3959" w:rsidP="00622815">
      <w:pPr>
        <w:pStyle w:val="BodyText3"/>
        <w:ind w:left="720" w:hanging="720"/>
      </w:pPr>
      <w:r w:rsidRPr="008E3959">
        <w:lastRenderedPageBreak/>
        <w:t>K.</w:t>
      </w:r>
      <w:r w:rsidRPr="008E3959">
        <w:tab/>
        <w:t>Provide any additional information needed to gain a preliminary understanding of the division or program. </w:t>
      </w:r>
    </w:p>
    <w:p w14:paraId="0F28D94B" w14:textId="77777777" w:rsidR="008E3959" w:rsidRPr="008E3959" w:rsidRDefault="008E3959" w:rsidP="008E3959">
      <w:pPr>
        <w:pStyle w:val="BodyText"/>
      </w:pPr>
      <w:r w:rsidRPr="008E3959">
        <w:t>N/A </w:t>
      </w:r>
    </w:p>
    <w:p w14:paraId="2D24C4F9" w14:textId="77777777" w:rsidR="008E3959" w:rsidRPr="008E3959" w:rsidRDefault="008E3959" w:rsidP="00622815">
      <w:pPr>
        <w:pStyle w:val="BodyText3"/>
        <w:ind w:left="720" w:hanging="720"/>
      </w:pPr>
      <w:r w:rsidRPr="008E3959">
        <w:t>L.</w:t>
      </w:r>
      <w:r w:rsidRPr="008E3959">
        <w:tab/>
        <w:t>Regulatory programs relate to the licensing, registration, certification, or permitting of a person, business, piece of equipment, or other entity (e.g., a facility). For each regulatory program, if applicable, describe: </w:t>
      </w:r>
    </w:p>
    <w:p w14:paraId="76A55D2B" w14:textId="77777777" w:rsidR="008E3959" w:rsidRPr="008E3959" w:rsidRDefault="008E3959" w:rsidP="00622815">
      <w:pPr>
        <w:pStyle w:val="BodyText"/>
      </w:pPr>
      <w:r w:rsidRPr="008E3959">
        <w:t>N/A </w:t>
      </w:r>
    </w:p>
    <w:p w14:paraId="74DD7E42" w14:textId="77777777" w:rsidR="008E3959" w:rsidRPr="008E3959" w:rsidRDefault="008E3959" w:rsidP="00622815">
      <w:pPr>
        <w:pStyle w:val="BodyText3"/>
        <w:ind w:left="720" w:hanging="720"/>
      </w:pPr>
      <w:r w:rsidRPr="008E3959">
        <w:t>M.</w:t>
      </w:r>
      <w:r w:rsidRPr="008E3959">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354B5A86" w14:textId="26D229CE" w:rsidR="00FE70AB" w:rsidRDefault="008E3959" w:rsidP="00FE70AB">
      <w:pPr>
        <w:pStyle w:val="BodyText"/>
      </w:pPr>
      <w:r w:rsidRPr="008E3959">
        <w:t>N/A </w:t>
      </w:r>
    </w:p>
    <w:p w14:paraId="679A9A00" w14:textId="77777777" w:rsidR="00FE70AB" w:rsidRDefault="00FE70AB">
      <w:pPr>
        <w:rPr>
          <w:rFonts w:ascii="Arial" w:eastAsiaTheme="minorEastAsia" w:hAnsi="Arial"/>
          <w:szCs w:val="22"/>
        </w:rPr>
      </w:pPr>
      <w:r>
        <w:br w:type="page"/>
      </w:r>
    </w:p>
    <w:p w14:paraId="423FDEFC" w14:textId="77777777" w:rsidR="00C468CB" w:rsidRPr="00C468CB" w:rsidRDefault="00C468CB" w:rsidP="00577012">
      <w:pPr>
        <w:pStyle w:val="Heading3"/>
      </w:pPr>
      <w:bookmarkStart w:id="214" w:name="_Toc1228501464"/>
      <w:bookmarkStart w:id="215" w:name="_Toc203377323"/>
      <w:r w:rsidRPr="00C468CB">
        <w:lastRenderedPageBreak/>
        <w:t>Civil Rights Division</w:t>
      </w:r>
      <w:bookmarkEnd w:id="214"/>
      <w:bookmarkEnd w:id="215"/>
      <w:r w:rsidRPr="00C468CB">
        <w:t xml:space="preserve"> </w:t>
      </w:r>
    </w:p>
    <w:p w14:paraId="4F53420E" w14:textId="34BFB77B" w:rsidR="00C468CB" w:rsidRDefault="00C468CB" w:rsidP="0098113D">
      <w:pPr>
        <w:pStyle w:val="BodyText"/>
      </w:pPr>
      <w:r w:rsidRPr="00C468CB">
        <w:t>The Civil Rights Division (CRD) is responsible for enforcing state and federal anti-discrimination laws. Its core mission is to guarantee equal opportunity for all Texans in both employment and housing, ensuring a fair environment free from unlawful discrimination.</w:t>
      </w:r>
    </w:p>
    <w:p w14:paraId="32C8EC6B" w14:textId="3E54B850" w:rsidR="00825F4F" w:rsidRPr="00825F4F" w:rsidRDefault="00825F4F" w:rsidP="00825F4F">
      <w:pPr>
        <w:pStyle w:val="BodyText3"/>
      </w:pPr>
      <w:r w:rsidRPr="00825F4F">
        <w:t>Employment and Housing Investigations and Enforcement</w:t>
      </w:r>
    </w:p>
    <w:p w14:paraId="0EA83391" w14:textId="77777777" w:rsidR="00D47CD7" w:rsidRPr="003365F2" w:rsidRDefault="00D47CD7" w:rsidP="003365F2">
      <w:pPr>
        <w:pStyle w:val="BodyText3"/>
      </w:pPr>
      <w:r w:rsidRPr="003365F2">
        <w:t>A.</w:t>
      </w:r>
      <w:r w:rsidRPr="003365F2">
        <w:tab/>
        <w:t>Provide the following information at the beginning of each description. </w:t>
      </w:r>
    </w:p>
    <w:p w14:paraId="65CF0629" w14:textId="77777777" w:rsidR="00D47CD7" w:rsidRPr="00D47CD7" w:rsidRDefault="00D47CD7" w:rsidP="003365F2">
      <w:pPr>
        <w:pStyle w:val="BodyText"/>
      </w:pPr>
      <w:r w:rsidRPr="00D47CD7">
        <w:t>Name of division or program: Civil Rights  </w:t>
      </w:r>
    </w:p>
    <w:p w14:paraId="522C2D7B" w14:textId="77777777" w:rsidR="00D47CD7" w:rsidRPr="00D47CD7" w:rsidRDefault="00D47CD7" w:rsidP="003365F2">
      <w:pPr>
        <w:pStyle w:val="BodyText"/>
      </w:pPr>
      <w:r w:rsidRPr="00D47CD7">
        <w:t>Location within the agency: Civil Rights Division </w:t>
      </w:r>
    </w:p>
    <w:p w14:paraId="03D9B8AE" w14:textId="77777777" w:rsidR="00D47CD7" w:rsidRPr="00D47CD7" w:rsidRDefault="00D47CD7" w:rsidP="003365F2">
      <w:pPr>
        <w:pStyle w:val="BodyText"/>
      </w:pPr>
      <w:r w:rsidRPr="00D47CD7">
        <w:t>Contact name:  Bryan Snoddy, Director </w:t>
      </w:r>
    </w:p>
    <w:p w14:paraId="528E9B64" w14:textId="0AD3C8E1" w:rsidR="00D47CD7" w:rsidRPr="00D47CD7" w:rsidRDefault="00D47CD7" w:rsidP="003365F2">
      <w:pPr>
        <w:pStyle w:val="BodyText"/>
      </w:pPr>
      <w:r w:rsidRPr="00D47CD7">
        <w:t xml:space="preserve">Statutory citation: Texas Labor </w:t>
      </w:r>
      <w:r w:rsidR="009B3599">
        <w:t>Code,</w:t>
      </w:r>
      <w:r w:rsidRPr="00D47CD7">
        <w:t xml:space="preserve"> Chapter 21</w:t>
      </w:r>
      <w:r w:rsidR="009B3599">
        <w:t>;</w:t>
      </w:r>
      <w:r w:rsidRPr="00D47CD7">
        <w:t xml:space="preserve"> Texas Property Code Chapter 301</w:t>
      </w:r>
      <w:r w:rsidR="009B3599">
        <w:t>;</w:t>
      </w:r>
      <w:r w:rsidRPr="00D47CD7">
        <w:t xml:space="preserve"> Texas Government Code</w:t>
      </w:r>
      <w:r w:rsidR="009B3599">
        <w:t>,</w:t>
      </w:r>
      <w:r w:rsidRPr="00D47CD7">
        <w:t xml:space="preserve"> Chapter 437</w:t>
      </w:r>
    </w:p>
    <w:p w14:paraId="43EC1D4D" w14:textId="77777777" w:rsidR="00D47CD7" w:rsidRPr="00481204" w:rsidRDefault="00D47CD7" w:rsidP="00424A24">
      <w:pPr>
        <w:pStyle w:val="BodyText3"/>
        <w:ind w:left="720" w:hanging="720"/>
      </w:pPr>
      <w:r w:rsidRPr="00481204">
        <w:t>B.</w:t>
      </w:r>
      <w:r w:rsidRPr="00481204">
        <w:tab/>
        <w:t>What is the objective of this division or program? Describe its major activities. </w:t>
      </w:r>
    </w:p>
    <w:p w14:paraId="542CE1DF" w14:textId="15BBF548" w:rsidR="00D47CD7" w:rsidRPr="00D47CD7" w:rsidRDefault="00D47CD7" w:rsidP="00481204">
      <w:pPr>
        <w:pStyle w:val="BodyText"/>
      </w:pPr>
      <w:r w:rsidRPr="00D47CD7">
        <w:t>The CRD enforces state laws outlined in Chapter 21 of the Texas Labor Code and Chapter 301 of the Texas Property Code. It investigates discrimination cases related to employment and housing statewide. </w:t>
      </w:r>
    </w:p>
    <w:p w14:paraId="58E20C1D" w14:textId="77777777" w:rsidR="00D47CD7" w:rsidRPr="00D47CD7" w:rsidRDefault="00D47CD7" w:rsidP="00481204">
      <w:pPr>
        <w:pStyle w:val="BodyText"/>
      </w:pPr>
      <w:r w:rsidRPr="00D47CD7">
        <w:t>The training team offers sessions on discrimination for employers and fair housing practices. CRD also conducts personnel policy reviews for state agencies and institutions of higher education. Additionally, CRD provides resources on unlawful employment practices, fair housing guidelines, filing complaints, and requesting training. </w:t>
      </w:r>
    </w:p>
    <w:tbl>
      <w:tblPr>
        <w:tblStyle w:val="TableGrid1"/>
        <w:tblW w:w="0" w:type="dxa"/>
        <w:tblCellMar>
          <w:top w:w="58" w:type="dxa"/>
          <w:bottom w:w="58" w:type="dxa"/>
        </w:tblCellMar>
        <w:tblLook w:val="04A0" w:firstRow="1" w:lastRow="0" w:firstColumn="1" w:lastColumn="0" w:noHBand="0" w:noVBand="1"/>
      </w:tblPr>
      <w:tblGrid>
        <w:gridCol w:w="2070"/>
        <w:gridCol w:w="3105"/>
        <w:gridCol w:w="3555"/>
      </w:tblGrid>
      <w:tr w:rsidR="00D47CD7" w:rsidRPr="00D47CD7" w14:paraId="43EF88F8" w14:textId="77777777" w:rsidTr="00826E04">
        <w:trPr>
          <w:trHeight w:val="270"/>
          <w:tblHeader/>
        </w:trPr>
        <w:tc>
          <w:tcPr>
            <w:tcW w:w="2070" w:type="dxa"/>
            <w:shd w:val="clear" w:color="auto" w:fill="B8CCE4" w:themeFill="accent1" w:themeFillTint="66"/>
            <w:hideMark/>
          </w:tcPr>
          <w:p w14:paraId="72F7A826" w14:textId="77777777" w:rsidR="00D47CD7" w:rsidRPr="00D47CD7" w:rsidRDefault="00D47CD7" w:rsidP="00481204">
            <w:pPr>
              <w:pStyle w:val="TableHeaders"/>
              <w:rPr>
                <w:b w:val="0"/>
              </w:rPr>
            </w:pPr>
            <w:r w:rsidRPr="00D47CD7">
              <w:lastRenderedPageBreak/>
              <w:t>Program </w:t>
            </w:r>
          </w:p>
        </w:tc>
        <w:tc>
          <w:tcPr>
            <w:tcW w:w="3105" w:type="dxa"/>
            <w:shd w:val="clear" w:color="auto" w:fill="B8CCE4" w:themeFill="accent1" w:themeFillTint="66"/>
            <w:hideMark/>
          </w:tcPr>
          <w:p w14:paraId="21FA9E10" w14:textId="77777777" w:rsidR="00D47CD7" w:rsidRPr="00D47CD7" w:rsidRDefault="00D47CD7" w:rsidP="00481204">
            <w:pPr>
              <w:pStyle w:val="TableHeaders"/>
              <w:rPr>
                <w:b w:val="0"/>
              </w:rPr>
            </w:pPr>
            <w:r w:rsidRPr="00D47CD7">
              <w:t>Statue </w:t>
            </w:r>
          </w:p>
        </w:tc>
        <w:tc>
          <w:tcPr>
            <w:tcW w:w="3555" w:type="dxa"/>
            <w:shd w:val="clear" w:color="auto" w:fill="B8CCE4" w:themeFill="accent1" w:themeFillTint="66"/>
            <w:hideMark/>
          </w:tcPr>
          <w:p w14:paraId="268E80CA" w14:textId="77777777" w:rsidR="00D47CD7" w:rsidRPr="00D47CD7" w:rsidRDefault="00D47CD7" w:rsidP="00481204">
            <w:pPr>
              <w:pStyle w:val="TableHeaders"/>
              <w:rPr>
                <w:b w:val="0"/>
              </w:rPr>
            </w:pPr>
            <w:r w:rsidRPr="00D47CD7">
              <w:t>Activity </w:t>
            </w:r>
          </w:p>
        </w:tc>
      </w:tr>
      <w:tr w:rsidR="00D47CD7" w:rsidRPr="00D47CD7" w14:paraId="3BC4C795" w14:textId="77777777" w:rsidTr="00826E04">
        <w:trPr>
          <w:trHeight w:val="270"/>
          <w:tblHeader/>
        </w:trPr>
        <w:tc>
          <w:tcPr>
            <w:tcW w:w="2070" w:type="dxa"/>
            <w:hideMark/>
          </w:tcPr>
          <w:p w14:paraId="0E5BCC1B" w14:textId="53D1DFC4" w:rsidR="00D47CD7" w:rsidRPr="00D47CD7" w:rsidRDefault="00D47CD7" w:rsidP="00826E04">
            <w:pPr>
              <w:pStyle w:val="TableText"/>
            </w:pPr>
            <w:r w:rsidRPr="00D47CD7">
              <w:t>Equal Employment Opportunity</w:t>
            </w:r>
          </w:p>
        </w:tc>
        <w:tc>
          <w:tcPr>
            <w:tcW w:w="3105" w:type="dxa"/>
            <w:hideMark/>
          </w:tcPr>
          <w:p w14:paraId="72B1D37D" w14:textId="77777777" w:rsidR="00D47CD7" w:rsidRPr="00D47CD7" w:rsidRDefault="00D47CD7" w:rsidP="00826E04">
            <w:pPr>
              <w:pStyle w:val="TableText"/>
            </w:pPr>
            <w:r w:rsidRPr="00D47CD7">
              <w:rPr>
                <w:bCs/>
                <w:u w:val="single"/>
              </w:rPr>
              <w:t>State Statute:</w:t>
            </w:r>
            <w:r w:rsidRPr="00D47CD7">
              <w:t> </w:t>
            </w:r>
          </w:p>
          <w:p w14:paraId="2B0B5EA5" w14:textId="77777777" w:rsidR="00D47CD7" w:rsidRPr="00D47CD7" w:rsidRDefault="00D47CD7" w:rsidP="00826E04">
            <w:pPr>
              <w:pStyle w:val="TableText"/>
            </w:pPr>
            <w:r w:rsidRPr="00D47CD7">
              <w:t>Labor Code, Chapter 21 </w:t>
            </w:r>
          </w:p>
          <w:p w14:paraId="6E3A99B5" w14:textId="77777777" w:rsidR="00D47CD7" w:rsidRPr="00D47CD7" w:rsidRDefault="00D47CD7" w:rsidP="00826E04">
            <w:pPr>
              <w:pStyle w:val="TableText"/>
            </w:pPr>
            <w:r w:rsidRPr="00D47CD7">
              <w:t> </w:t>
            </w:r>
          </w:p>
          <w:p w14:paraId="5927B6AE" w14:textId="77777777" w:rsidR="00D47CD7" w:rsidRPr="00D47CD7" w:rsidRDefault="00D47CD7" w:rsidP="00826E04">
            <w:pPr>
              <w:pStyle w:val="TableText"/>
            </w:pPr>
            <w:r w:rsidRPr="00D47CD7">
              <w:rPr>
                <w:bCs/>
                <w:u w:val="single"/>
              </w:rPr>
              <w:t>State Rule:</w:t>
            </w:r>
            <w:r w:rsidRPr="00D47CD7">
              <w:t> </w:t>
            </w:r>
          </w:p>
          <w:p w14:paraId="639809D9" w14:textId="77777777" w:rsidR="00D47CD7" w:rsidRPr="00D47CD7" w:rsidRDefault="00D47CD7" w:rsidP="00826E04">
            <w:pPr>
              <w:pStyle w:val="TableText"/>
            </w:pPr>
            <w:r w:rsidRPr="00D47CD7">
              <w:t>40 TAC Chapter 819 </w:t>
            </w:r>
          </w:p>
          <w:p w14:paraId="5ABEC576" w14:textId="77777777" w:rsidR="00D47CD7" w:rsidRPr="00D47CD7" w:rsidRDefault="00D47CD7" w:rsidP="00826E04">
            <w:pPr>
              <w:pStyle w:val="TableText"/>
            </w:pPr>
            <w:r w:rsidRPr="00D47CD7">
              <w:t> </w:t>
            </w:r>
          </w:p>
          <w:p w14:paraId="63AA34D4" w14:textId="77777777" w:rsidR="00D47CD7" w:rsidRPr="00D47CD7" w:rsidRDefault="00D47CD7" w:rsidP="00826E04">
            <w:pPr>
              <w:pStyle w:val="TableText"/>
            </w:pPr>
            <w:r w:rsidRPr="00D47CD7">
              <w:rPr>
                <w:bCs/>
                <w:u w:val="single"/>
              </w:rPr>
              <w:t>Federal Statute:</w:t>
            </w:r>
            <w:r w:rsidRPr="00D47CD7">
              <w:t> </w:t>
            </w:r>
          </w:p>
          <w:p w14:paraId="13B9979D" w14:textId="77777777" w:rsidR="00D47CD7" w:rsidRPr="00D47CD7" w:rsidRDefault="00D47CD7" w:rsidP="00826E04">
            <w:pPr>
              <w:pStyle w:val="TableText"/>
            </w:pPr>
            <w:r w:rsidRPr="00D47CD7">
              <w:t xml:space="preserve">42 USC §§ 2000e </w:t>
            </w:r>
            <w:r w:rsidRPr="00D47CD7">
              <w:rPr>
                <w:i/>
                <w:iCs/>
              </w:rPr>
              <w:t>et seq.</w:t>
            </w:r>
            <w:r w:rsidRPr="00D47CD7">
              <w:t>; 29 USC §63; 42 </w:t>
            </w:r>
          </w:p>
          <w:p w14:paraId="51FA1968" w14:textId="77777777" w:rsidR="00D47CD7" w:rsidRPr="00D47CD7" w:rsidRDefault="00D47CD7" w:rsidP="00826E04">
            <w:pPr>
              <w:pStyle w:val="TableText"/>
            </w:pPr>
            <w:r w:rsidRPr="00D47CD7">
              <w:t xml:space="preserve">USC §12101 </w:t>
            </w:r>
            <w:r w:rsidRPr="00D47CD7">
              <w:rPr>
                <w:i/>
                <w:iCs/>
              </w:rPr>
              <w:t>et seq</w:t>
            </w:r>
            <w:r w:rsidRPr="00D47CD7">
              <w:t>. </w:t>
            </w:r>
          </w:p>
          <w:p w14:paraId="02AD8D8A" w14:textId="77777777" w:rsidR="00D47CD7" w:rsidRPr="00D47CD7" w:rsidRDefault="00D47CD7" w:rsidP="00826E04">
            <w:pPr>
              <w:pStyle w:val="TableText"/>
            </w:pPr>
            <w:r w:rsidRPr="00D47CD7">
              <w:t> </w:t>
            </w:r>
          </w:p>
          <w:p w14:paraId="571BAA0B" w14:textId="77777777" w:rsidR="00D47CD7" w:rsidRPr="00D47CD7" w:rsidRDefault="00D47CD7" w:rsidP="00826E04">
            <w:pPr>
              <w:pStyle w:val="TableText"/>
            </w:pPr>
            <w:r w:rsidRPr="00D47CD7">
              <w:rPr>
                <w:bCs/>
                <w:u w:val="single"/>
              </w:rPr>
              <w:t>Federal Regulation:</w:t>
            </w:r>
            <w:r w:rsidRPr="00D47CD7">
              <w:t> </w:t>
            </w:r>
          </w:p>
          <w:p w14:paraId="5B5749B4" w14:textId="77777777" w:rsidR="00D47CD7" w:rsidRPr="00D47CD7" w:rsidRDefault="00D47CD7" w:rsidP="00826E04">
            <w:pPr>
              <w:pStyle w:val="TableText"/>
            </w:pPr>
            <w:r w:rsidRPr="00D47CD7">
              <w:t>29 CFR Parts 1600- </w:t>
            </w:r>
          </w:p>
          <w:p w14:paraId="3EB369D7" w14:textId="77777777" w:rsidR="00D47CD7" w:rsidRPr="00D47CD7" w:rsidRDefault="00D47CD7" w:rsidP="00826E04">
            <w:pPr>
              <w:pStyle w:val="TableText"/>
            </w:pPr>
            <w:r w:rsidRPr="00D47CD7">
              <w:t>1699 </w:t>
            </w:r>
          </w:p>
          <w:p w14:paraId="2E709681" w14:textId="0DE3C7B5" w:rsidR="00D47CD7" w:rsidRPr="00D47CD7" w:rsidRDefault="00D47CD7" w:rsidP="00826E04">
            <w:pPr>
              <w:pStyle w:val="TableText"/>
            </w:pPr>
            <w:r w:rsidRPr="00D47CD7">
              <w:t>Provides authority to TWC’s CRD, formerly the Texas Commission on Human Rights, to execute the policies of Title VII of the Civil Rights Act of 1964 (42 USC §2000e et seq.), 42 USC §2000e-5(c), 29 USC §633 , Age Discrimination in Employment Act (29 U.S.C. 621) and Title I of the Americans with Disabilities Act (42 USC §12101 et seq.).</w:t>
            </w:r>
          </w:p>
        </w:tc>
        <w:tc>
          <w:tcPr>
            <w:tcW w:w="3555" w:type="dxa"/>
            <w:hideMark/>
          </w:tcPr>
          <w:p w14:paraId="304AAC67" w14:textId="77777777" w:rsidR="00D47CD7" w:rsidRPr="00D47CD7" w:rsidRDefault="00D47CD7" w:rsidP="00826E04">
            <w:pPr>
              <w:pStyle w:val="TableText"/>
            </w:pPr>
            <w:r w:rsidRPr="00D47CD7">
              <w:t>The CRD receives and processes allegations of employment discrimination; it also investigates and conciliate complaints and has subpoena power to gather evidence or compel testimony. The CRD provides technical assistance to employers and others to help them comply with discrimination laws. It also reports annually to the governor and legislature on its activities</w:t>
            </w:r>
            <w:r w:rsidRPr="00D47CD7">
              <w:rPr>
                <w:u w:val="single"/>
              </w:rPr>
              <w:t xml:space="preserve"> </w:t>
            </w:r>
            <w:r w:rsidRPr="00D47CD7">
              <w:t>and can recommend legislation to strengthen anti-discrimination laws </w:t>
            </w:r>
          </w:p>
        </w:tc>
      </w:tr>
      <w:tr w:rsidR="00D47CD7" w:rsidRPr="00D47CD7" w14:paraId="33FDA019" w14:textId="77777777" w:rsidTr="00826E04">
        <w:trPr>
          <w:trHeight w:val="270"/>
          <w:tblHeader/>
        </w:trPr>
        <w:tc>
          <w:tcPr>
            <w:tcW w:w="2070" w:type="dxa"/>
            <w:hideMark/>
          </w:tcPr>
          <w:p w14:paraId="072962A5" w14:textId="77777777" w:rsidR="00D47CD7" w:rsidRPr="00D47CD7" w:rsidRDefault="00D47CD7" w:rsidP="00826E04">
            <w:pPr>
              <w:pStyle w:val="TableText"/>
            </w:pPr>
            <w:r w:rsidRPr="00D47CD7">
              <w:t>State Agency Policies and Procedures </w:t>
            </w:r>
          </w:p>
        </w:tc>
        <w:tc>
          <w:tcPr>
            <w:tcW w:w="3105" w:type="dxa"/>
            <w:hideMark/>
          </w:tcPr>
          <w:p w14:paraId="59B9FA4E" w14:textId="77777777" w:rsidR="00D47CD7" w:rsidRPr="00D47CD7" w:rsidRDefault="00D47CD7" w:rsidP="00826E04">
            <w:pPr>
              <w:pStyle w:val="TableText"/>
            </w:pPr>
            <w:r w:rsidRPr="00D47CD7">
              <w:rPr>
                <w:bCs/>
                <w:u w:val="single"/>
              </w:rPr>
              <w:t>State Statute:</w:t>
            </w:r>
            <w:r w:rsidRPr="00D47CD7">
              <w:t> </w:t>
            </w:r>
          </w:p>
          <w:p w14:paraId="4EC45C2D" w14:textId="77777777" w:rsidR="00D47CD7" w:rsidRPr="00D47CD7" w:rsidRDefault="00D47CD7" w:rsidP="00826E04">
            <w:pPr>
              <w:pStyle w:val="TableText"/>
            </w:pPr>
            <w:r w:rsidRPr="00D47CD7">
              <w:t>Labor Code § 21.453 </w:t>
            </w:r>
          </w:p>
          <w:p w14:paraId="5E10FC05" w14:textId="77777777" w:rsidR="00D47CD7" w:rsidRPr="00D47CD7" w:rsidRDefault="00D47CD7" w:rsidP="00826E04">
            <w:pPr>
              <w:pStyle w:val="TableText"/>
            </w:pPr>
            <w:r w:rsidRPr="00D47CD7">
              <w:t> </w:t>
            </w:r>
          </w:p>
          <w:p w14:paraId="4CA12535" w14:textId="77777777" w:rsidR="00D47CD7" w:rsidRPr="00D47CD7" w:rsidRDefault="00D47CD7" w:rsidP="00826E04">
            <w:pPr>
              <w:pStyle w:val="TableText"/>
            </w:pPr>
            <w:r w:rsidRPr="00D47CD7">
              <w:rPr>
                <w:bCs/>
                <w:u w:val="single"/>
              </w:rPr>
              <w:t>State Rule:</w:t>
            </w:r>
            <w:r w:rsidRPr="00D47CD7">
              <w:t> </w:t>
            </w:r>
          </w:p>
          <w:p w14:paraId="43D9AA70" w14:textId="4022B426" w:rsidR="00D47CD7" w:rsidRPr="00D47CD7" w:rsidRDefault="00D47CD7" w:rsidP="00826E04">
            <w:pPr>
              <w:pStyle w:val="TableText"/>
            </w:pPr>
            <w:r w:rsidRPr="00D47CD7">
              <w:t>40 TAC § 819.23 </w:t>
            </w:r>
          </w:p>
        </w:tc>
        <w:tc>
          <w:tcPr>
            <w:tcW w:w="3555" w:type="dxa"/>
            <w:hideMark/>
          </w:tcPr>
          <w:p w14:paraId="274598A4" w14:textId="5C694ECD" w:rsidR="00D47CD7" w:rsidRPr="00D47CD7" w:rsidRDefault="00D47CD7" w:rsidP="00826E04">
            <w:pPr>
              <w:pStyle w:val="TableText"/>
            </w:pPr>
            <w:r w:rsidRPr="00D47CD7">
              <w:t>CRD shall review the personnel policies and procedures of each state agency once every six years on a staggered schedule to determine compliance with the Texas Labor Code, Chapter 21.</w:t>
            </w:r>
          </w:p>
        </w:tc>
      </w:tr>
      <w:tr w:rsidR="00D47CD7" w:rsidRPr="00D47CD7" w14:paraId="6106AF4A" w14:textId="77777777" w:rsidTr="00826E04">
        <w:trPr>
          <w:trHeight w:val="270"/>
          <w:tblHeader/>
        </w:trPr>
        <w:tc>
          <w:tcPr>
            <w:tcW w:w="2070" w:type="dxa"/>
            <w:hideMark/>
          </w:tcPr>
          <w:p w14:paraId="57690EA6" w14:textId="1D658B5B" w:rsidR="00D47CD7" w:rsidRPr="00D47CD7" w:rsidRDefault="00D47CD7" w:rsidP="00826E04">
            <w:pPr>
              <w:pStyle w:val="TableText"/>
            </w:pPr>
            <w:r w:rsidRPr="00D47CD7">
              <w:t>State Agency Training </w:t>
            </w:r>
          </w:p>
        </w:tc>
        <w:tc>
          <w:tcPr>
            <w:tcW w:w="3105" w:type="dxa"/>
            <w:hideMark/>
          </w:tcPr>
          <w:p w14:paraId="7463D04A" w14:textId="77777777" w:rsidR="00D47CD7" w:rsidRPr="00D47CD7" w:rsidRDefault="00D47CD7" w:rsidP="00826E04">
            <w:pPr>
              <w:pStyle w:val="TableText"/>
            </w:pPr>
            <w:r w:rsidRPr="00D47CD7">
              <w:t>State Statute: </w:t>
            </w:r>
          </w:p>
          <w:p w14:paraId="343AACDB" w14:textId="77777777" w:rsidR="00D47CD7" w:rsidRPr="00D47CD7" w:rsidRDefault="00D47CD7" w:rsidP="00826E04">
            <w:pPr>
              <w:pStyle w:val="TableText"/>
            </w:pPr>
            <w:r w:rsidRPr="00D47CD7">
              <w:t>Labor Code § 21.010 </w:t>
            </w:r>
          </w:p>
          <w:p w14:paraId="4A061EB5" w14:textId="77777777" w:rsidR="00D47CD7" w:rsidRPr="00D47CD7" w:rsidRDefault="00D47CD7" w:rsidP="00826E04">
            <w:pPr>
              <w:pStyle w:val="TableText"/>
            </w:pPr>
            <w:r w:rsidRPr="00D47CD7">
              <w:t> </w:t>
            </w:r>
          </w:p>
          <w:p w14:paraId="67D4D4BA" w14:textId="77777777" w:rsidR="00D47CD7" w:rsidRPr="00D47CD7" w:rsidRDefault="00D47CD7" w:rsidP="00826E04">
            <w:pPr>
              <w:pStyle w:val="TableText"/>
            </w:pPr>
            <w:r w:rsidRPr="00D47CD7">
              <w:t>State Rule: </w:t>
            </w:r>
          </w:p>
          <w:p w14:paraId="59915912" w14:textId="4723D000" w:rsidR="00D47CD7" w:rsidRPr="00D47CD7" w:rsidRDefault="00D47CD7" w:rsidP="00826E04">
            <w:pPr>
              <w:pStyle w:val="TableText"/>
            </w:pPr>
            <w:r w:rsidRPr="00D47CD7">
              <w:t>40 TAC §§ 819.24-819.26 </w:t>
            </w:r>
          </w:p>
        </w:tc>
        <w:tc>
          <w:tcPr>
            <w:tcW w:w="3555" w:type="dxa"/>
            <w:hideMark/>
          </w:tcPr>
          <w:p w14:paraId="48FB0549" w14:textId="42C4E3C4" w:rsidR="00D47CD7" w:rsidRPr="00D47CD7" w:rsidRDefault="00D47CD7" w:rsidP="00826E04">
            <w:pPr>
              <w:pStyle w:val="TableText"/>
            </w:pPr>
            <w:r w:rsidRPr="00D47CD7">
              <w:t>Each state agency shall provide its employees with standard employment discrimination training no later than the 30th day after the date the employee is hired by the agency, with supplemental training every two years thereafter. Each state agency shall provide the standard training using a training program from CRD’s preapproved list of training programs that have been reviewed and certified by CRD as compliant with its training standards.</w:t>
            </w:r>
          </w:p>
        </w:tc>
      </w:tr>
      <w:tr w:rsidR="00D47CD7" w:rsidRPr="00D47CD7" w14:paraId="6D1147A9" w14:textId="77777777" w:rsidTr="00826E04">
        <w:trPr>
          <w:trHeight w:val="270"/>
          <w:tblHeader/>
        </w:trPr>
        <w:tc>
          <w:tcPr>
            <w:tcW w:w="2070" w:type="dxa"/>
            <w:hideMark/>
          </w:tcPr>
          <w:p w14:paraId="2F857B07" w14:textId="2E5EE79F" w:rsidR="00D47CD7" w:rsidRPr="00D47CD7" w:rsidRDefault="00D47CD7" w:rsidP="00826E04">
            <w:pPr>
              <w:pStyle w:val="TableText"/>
            </w:pPr>
            <w:r w:rsidRPr="00D47CD7">
              <w:t>Texas Fair Housing Act </w:t>
            </w:r>
          </w:p>
        </w:tc>
        <w:tc>
          <w:tcPr>
            <w:tcW w:w="3105" w:type="dxa"/>
            <w:hideMark/>
          </w:tcPr>
          <w:p w14:paraId="2ECD7A56" w14:textId="77777777" w:rsidR="00D47CD7" w:rsidRPr="00D47CD7" w:rsidRDefault="00D47CD7" w:rsidP="00826E04">
            <w:pPr>
              <w:pStyle w:val="TableText"/>
            </w:pPr>
            <w:r w:rsidRPr="00D47CD7">
              <w:rPr>
                <w:bCs/>
                <w:u w:val="single"/>
              </w:rPr>
              <w:t>State Statute:</w:t>
            </w:r>
            <w:r w:rsidRPr="00D47CD7">
              <w:t> </w:t>
            </w:r>
          </w:p>
          <w:p w14:paraId="1BDAF0F6" w14:textId="77777777" w:rsidR="00D47CD7" w:rsidRPr="00D47CD7" w:rsidRDefault="00D47CD7" w:rsidP="00826E04">
            <w:pPr>
              <w:pStyle w:val="TableText"/>
            </w:pPr>
            <w:r w:rsidRPr="00D47CD7">
              <w:t>Property Code, Chapter 301 </w:t>
            </w:r>
          </w:p>
          <w:p w14:paraId="395ADE4A" w14:textId="77777777" w:rsidR="00D47CD7" w:rsidRPr="00D47CD7" w:rsidRDefault="00D47CD7" w:rsidP="00826E04">
            <w:pPr>
              <w:pStyle w:val="TableText"/>
            </w:pPr>
            <w:r w:rsidRPr="00D47CD7">
              <w:t> </w:t>
            </w:r>
          </w:p>
          <w:p w14:paraId="6E0E9D50" w14:textId="77777777" w:rsidR="00D47CD7" w:rsidRPr="00D47CD7" w:rsidRDefault="00D47CD7" w:rsidP="00826E04">
            <w:pPr>
              <w:pStyle w:val="TableText"/>
            </w:pPr>
            <w:r w:rsidRPr="00D47CD7">
              <w:rPr>
                <w:bCs/>
                <w:u w:val="single"/>
              </w:rPr>
              <w:t>State Rule:</w:t>
            </w:r>
            <w:r w:rsidRPr="00D47CD7">
              <w:t> </w:t>
            </w:r>
          </w:p>
          <w:p w14:paraId="41B5FD80" w14:textId="77777777" w:rsidR="00D47CD7" w:rsidRPr="00D47CD7" w:rsidRDefault="00D47CD7" w:rsidP="00826E04">
            <w:pPr>
              <w:pStyle w:val="TableText"/>
            </w:pPr>
            <w:r w:rsidRPr="00D47CD7">
              <w:t>40 TAC §§ 819.111 </w:t>
            </w:r>
          </w:p>
          <w:p w14:paraId="7DCADFA7" w14:textId="77777777" w:rsidR="00D47CD7" w:rsidRPr="00D47CD7" w:rsidRDefault="00D47CD7" w:rsidP="00826E04">
            <w:pPr>
              <w:pStyle w:val="TableText"/>
            </w:pPr>
            <w:r w:rsidRPr="00D47CD7">
              <w:rPr>
                <w:i/>
                <w:iCs/>
              </w:rPr>
              <w:t>et seq</w:t>
            </w:r>
            <w:r w:rsidRPr="00D47CD7">
              <w:t>. </w:t>
            </w:r>
          </w:p>
          <w:p w14:paraId="6AF306CC" w14:textId="77777777" w:rsidR="00D47CD7" w:rsidRPr="00D47CD7" w:rsidRDefault="00D47CD7" w:rsidP="00826E04">
            <w:pPr>
              <w:pStyle w:val="TableText"/>
            </w:pPr>
            <w:r w:rsidRPr="00D47CD7">
              <w:t> </w:t>
            </w:r>
          </w:p>
          <w:p w14:paraId="0858A724" w14:textId="77777777" w:rsidR="00D47CD7" w:rsidRPr="00D47CD7" w:rsidRDefault="00D47CD7" w:rsidP="00826E04">
            <w:pPr>
              <w:pStyle w:val="TableText"/>
            </w:pPr>
            <w:r w:rsidRPr="00D47CD7">
              <w:rPr>
                <w:bCs/>
                <w:u w:val="single"/>
              </w:rPr>
              <w:t>Federal Statute:</w:t>
            </w:r>
            <w:r w:rsidRPr="00D47CD7">
              <w:t> </w:t>
            </w:r>
          </w:p>
          <w:p w14:paraId="4C10BA43" w14:textId="77777777" w:rsidR="00D47CD7" w:rsidRPr="00D47CD7" w:rsidRDefault="00D47CD7" w:rsidP="00826E04">
            <w:pPr>
              <w:pStyle w:val="TableText"/>
            </w:pPr>
            <w:r w:rsidRPr="00D47CD7">
              <w:t>42 USC 3601 et seq </w:t>
            </w:r>
          </w:p>
          <w:p w14:paraId="38C6804C" w14:textId="77777777" w:rsidR="00D47CD7" w:rsidRPr="00D47CD7" w:rsidRDefault="00D47CD7" w:rsidP="00826E04">
            <w:pPr>
              <w:pStyle w:val="TableText"/>
            </w:pPr>
            <w:r w:rsidRPr="00D47CD7">
              <w:t> </w:t>
            </w:r>
          </w:p>
          <w:p w14:paraId="3234A2ED" w14:textId="77777777" w:rsidR="00D47CD7" w:rsidRPr="00D47CD7" w:rsidRDefault="00D47CD7" w:rsidP="00826E04">
            <w:pPr>
              <w:pStyle w:val="TableText"/>
            </w:pPr>
            <w:r w:rsidRPr="00D47CD7">
              <w:rPr>
                <w:bCs/>
                <w:u w:val="single"/>
              </w:rPr>
              <w:t>Federal Regulation:</w:t>
            </w:r>
            <w:r w:rsidRPr="00D47CD7">
              <w:t> </w:t>
            </w:r>
          </w:p>
          <w:p w14:paraId="4B89C5DF" w14:textId="4E1263C8" w:rsidR="00D47CD7" w:rsidRPr="00D47CD7" w:rsidRDefault="00D47CD7" w:rsidP="00826E04">
            <w:pPr>
              <w:pStyle w:val="TableText"/>
            </w:pPr>
            <w:r w:rsidRPr="00D47CD7">
              <w:t>24 CFR Parts 115 - 121</w:t>
            </w:r>
          </w:p>
        </w:tc>
        <w:tc>
          <w:tcPr>
            <w:tcW w:w="3555" w:type="dxa"/>
            <w:hideMark/>
          </w:tcPr>
          <w:p w14:paraId="5B126DF5" w14:textId="34678A6A" w:rsidR="00D47CD7" w:rsidRPr="00D47CD7" w:rsidRDefault="00D47CD7" w:rsidP="00826E04">
            <w:pPr>
              <w:pStyle w:val="TableText"/>
            </w:pPr>
            <w:r w:rsidRPr="00D47CD7">
              <w:t>Provides CRD with enforcement authority over the Texas Fair Housing Act, codified in the Texas Property Code. This statute gives CRD the authority to investigate and settle complaints of discriminatory housing practices based upon an individual’s race, color, religion, sex, disability, familial status, or national origin.</w:t>
            </w:r>
          </w:p>
        </w:tc>
      </w:tr>
    </w:tbl>
    <w:p w14:paraId="4AF721AB" w14:textId="77777777" w:rsidR="00D47CD7" w:rsidRPr="00D47CD7" w:rsidRDefault="00D47CD7" w:rsidP="008352FC">
      <w:pPr>
        <w:pStyle w:val="BodyText"/>
      </w:pPr>
      <w:r w:rsidRPr="00D47CD7">
        <w:t>The CRD staff focus on three main programmatic efforts: </w:t>
      </w:r>
    </w:p>
    <w:p w14:paraId="05D37FF5" w14:textId="767135D4" w:rsidR="00D47CD7" w:rsidRPr="008352FC" w:rsidRDefault="00D47CD7" w:rsidP="00C64851">
      <w:pPr>
        <w:pStyle w:val="BodyText"/>
        <w:numPr>
          <w:ilvl w:val="0"/>
          <w:numId w:val="331"/>
        </w:numPr>
      </w:pPr>
      <w:r w:rsidRPr="008352FC">
        <w:lastRenderedPageBreak/>
        <w:t xml:space="preserve">Enforcement: </w:t>
      </w:r>
      <w:r w:rsidR="00605B1B">
        <w:t>Staff</w:t>
      </w:r>
      <w:r w:rsidR="00605B1B" w:rsidRPr="008352FC">
        <w:t xml:space="preserve"> </w:t>
      </w:r>
      <w:r w:rsidRPr="008352FC">
        <w:t xml:space="preserve">handle the intake, investigation, and resolution of </w:t>
      </w:r>
      <w:proofErr w:type="spellStart"/>
      <w:r w:rsidRPr="008352FC">
        <w:t>cases</w:t>
      </w:r>
      <w:proofErr w:type="spellEnd"/>
      <w:r w:rsidRPr="008352FC">
        <w:t xml:space="preserve"> related to equal employment and fair housing discrimination laws to assess potential violations of Texas laws. </w:t>
      </w:r>
    </w:p>
    <w:p w14:paraId="1DE07D86" w14:textId="37BF2C36" w:rsidR="00D47CD7" w:rsidRPr="008352FC" w:rsidRDefault="00D47CD7" w:rsidP="00C64851">
      <w:pPr>
        <w:pStyle w:val="BodyText"/>
        <w:numPr>
          <w:ilvl w:val="0"/>
          <w:numId w:val="331"/>
        </w:numPr>
      </w:pPr>
      <w:r w:rsidRPr="008352FC">
        <w:t>Education and Assistance: Staff provide training and technical support to employers and housing professionals across the state. </w:t>
      </w:r>
    </w:p>
    <w:p w14:paraId="483C34E7" w14:textId="702B065D" w:rsidR="00D47CD7" w:rsidRPr="008352FC" w:rsidRDefault="00D47CD7" w:rsidP="00C64851">
      <w:pPr>
        <w:pStyle w:val="BodyText"/>
        <w:numPr>
          <w:ilvl w:val="0"/>
          <w:numId w:val="331"/>
        </w:numPr>
      </w:pPr>
      <w:r w:rsidRPr="008352FC">
        <w:t xml:space="preserve">Compliance Reviews: </w:t>
      </w:r>
      <w:r w:rsidR="00605B1B">
        <w:t>Staff</w:t>
      </w:r>
      <w:r w:rsidR="00605B1B" w:rsidRPr="008352FC">
        <w:t xml:space="preserve"> </w:t>
      </w:r>
      <w:r w:rsidRPr="008352FC">
        <w:t>review personnel practices and policies of all state agencies and institutions of higher education to ensure adherence to Chapter 21 of the Texas Labor Code. </w:t>
      </w:r>
    </w:p>
    <w:p w14:paraId="48C656BD" w14:textId="77777777" w:rsidR="00D47CD7" w:rsidRPr="00512A8E" w:rsidRDefault="00D47CD7" w:rsidP="00F27619">
      <w:pPr>
        <w:pStyle w:val="BodyText3"/>
        <w:ind w:left="720" w:hanging="720"/>
      </w:pPr>
      <w:r w:rsidRPr="00512A8E">
        <w:t>C.</w:t>
      </w:r>
      <w:r w:rsidRPr="00512A8E">
        <w:tab/>
        <w:t xml:space="preserve">What information does the agency collect/use to assess the effectiveness and efficiency of this division or program? If applicable, briefly note any LBB performance measures (from Section II, </w:t>
      </w:r>
      <w:proofErr w:type="gramStart"/>
      <w:r w:rsidRPr="00512A8E">
        <w:t>Exhibit</w:t>
      </w:r>
      <w:proofErr w:type="gramEnd"/>
      <w:r w:rsidRPr="00512A8E">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4EA11B85" w14:textId="77777777" w:rsidR="00D47CD7" w:rsidRPr="00D47CD7" w:rsidRDefault="00D47CD7" w:rsidP="00512A8E">
      <w:pPr>
        <w:pStyle w:val="BodyText"/>
      </w:pPr>
      <w:r w:rsidRPr="00D47CD7">
        <w:t>The chart below summarizes key statistics on Legislative Budget Board performance measures for Employment and Housing Investigations over a four-year period. </w:t>
      </w:r>
    </w:p>
    <w:tbl>
      <w:tblPr>
        <w:tblStyle w:val="TableGrid1"/>
        <w:tblW w:w="0" w:type="dxa"/>
        <w:tblCellMar>
          <w:top w:w="58" w:type="dxa"/>
          <w:bottom w:w="58" w:type="dxa"/>
        </w:tblCellMar>
        <w:tblLook w:val="04A0" w:firstRow="1" w:lastRow="0" w:firstColumn="1" w:lastColumn="0" w:noHBand="0" w:noVBand="1"/>
      </w:tblPr>
      <w:tblGrid>
        <w:gridCol w:w="4095"/>
        <w:gridCol w:w="1305"/>
        <w:gridCol w:w="1125"/>
        <w:gridCol w:w="1080"/>
        <w:gridCol w:w="1140"/>
      </w:tblGrid>
      <w:tr w:rsidR="00D47CD7" w:rsidRPr="00D47CD7" w14:paraId="25248ACB" w14:textId="77777777" w:rsidTr="00DF155F">
        <w:trPr>
          <w:trHeight w:val="300"/>
        </w:trPr>
        <w:tc>
          <w:tcPr>
            <w:tcW w:w="4095" w:type="dxa"/>
            <w:shd w:val="clear" w:color="auto" w:fill="B8CCE4" w:themeFill="accent1" w:themeFillTint="66"/>
            <w:hideMark/>
          </w:tcPr>
          <w:p w14:paraId="15A998F5" w14:textId="24D8DDE1" w:rsidR="00D47CD7" w:rsidRPr="00D47CD7" w:rsidRDefault="00D47CD7" w:rsidP="00DF155F">
            <w:pPr>
              <w:pStyle w:val="TableHeaders"/>
              <w:rPr>
                <w:b w:val="0"/>
              </w:rPr>
            </w:pPr>
            <w:r w:rsidRPr="00D47CD7">
              <w:t>Measure</w:t>
            </w:r>
          </w:p>
        </w:tc>
        <w:tc>
          <w:tcPr>
            <w:tcW w:w="1305" w:type="dxa"/>
            <w:shd w:val="clear" w:color="auto" w:fill="B8CCE4" w:themeFill="accent1" w:themeFillTint="66"/>
            <w:hideMark/>
          </w:tcPr>
          <w:p w14:paraId="265DA81A" w14:textId="2EC4BBEF" w:rsidR="00D47CD7" w:rsidRPr="00D47CD7" w:rsidRDefault="00D47CD7" w:rsidP="00DF155F">
            <w:pPr>
              <w:pStyle w:val="TableHeaders"/>
              <w:rPr>
                <w:b w:val="0"/>
              </w:rPr>
            </w:pPr>
            <w:r w:rsidRPr="00D47CD7">
              <w:t>FY2021</w:t>
            </w:r>
          </w:p>
        </w:tc>
        <w:tc>
          <w:tcPr>
            <w:tcW w:w="1125" w:type="dxa"/>
            <w:shd w:val="clear" w:color="auto" w:fill="B8CCE4" w:themeFill="accent1" w:themeFillTint="66"/>
            <w:hideMark/>
          </w:tcPr>
          <w:p w14:paraId="7206B0A7" w14:textId="4C6A8655" w:rsidR="00D47CD7" w:rsidRPr="00D47CD7" w:rsidRDefault="00D47CD7" w:rsidP="00DF155F">
            <w:pPr>
              <w:pStyle w:val="TableHeaders"/>
              <w:rPr>
                <w:b w:val="0"/>
              </w:rPr>
            </w:pPr>
            <w:r w:rsidRPr="00D47CD7">
              <w:t>FY 2022</w:t>
            </w:r>
          </w:p>
        </w:tc>
        <w:tc>
          <w:tcPr>
            <w:tcW w:w="1080" w:type="dxa"/>
            <w:shd w:val="clear" w:color="auto" w:fill="B8CCE4" w:themeFill="accent1" w:themeFillTint="66"/>
            <w:hideMark/>
          </w:tcPr>
          <w:p w14:paraId="05B3F440" w14:textId="2DB041CC" w:rsidR="00D47CD7" w:rsidRPr="00D47CD7" w:rsidRDefault="00D47CD7" w:rsidP="00DF155F">
            <w:pPr>
              <w:pStyle w:val="TableHeaders"/>
              <w:rPr>
                <w:b w:val="0"/>
              </w:rPr>
            </w:pPr>
            <w:r w:rsidRPr="00D47CD7">
              <w:t>FY 2023</w:t>
            </w:r>
          </w:p>
        </w:tc>
        <w:tc>
          <w:tcPr>
            <w:tcW w:w="1140" w:type="dxa"/>
            <w:shd w:val="clear" w:color="auto" w:fill="B8CCE4" w:themeFill="accent1" w:themeFillTint="66"/>
            <w:hideMark/>
          </w:tcPr>
          <w:p w14:paraId="63ADFF35" w14:textId="5DD8FD8F" w:rsidR="00D47CD7" w:rsidRPr="00D47CD7" w:rsidRDefault="00D47CD7" w:rsidP="00DF155F">
            <w:pPr>
              <w:pStyle w:val="TableHeaders"/>
              <w:rPr>
                <w:b w:val="0"/>
              </w:rPr>
            </w:pPr>
            <w:r w:rsidRPr="00D47CD7">
              <w:t>FY 2024</w:t>
            </w:r>
          </w:p>
        </w:tc>
      </w:tr>
      <w:tr w:rsidR="00D47CD7" w:rsidRPr="00D47CD7" w14:paraId="4A9F2DA3" w14:textId="77777777" w:rsidTr="00DF155F">
        <w:trPr>
          <w:trHeight w:val="300"/>
        </w:trPr>
        <w:tc>
          <w:tcPr>
            <w:tcW w:w="4095" w:type="dxa"/>
            <w:vAlign w:val="center"/>
            <w:hideMark/>
          </w:tcPr>
          <w:p w14:paraId="05ED4EDD" w14:textId="77777777" w:rsidR="00D47CD7" w:rsidRPr="00D47CD7" w:rsidRDefault="00D47CD7" w:rsidP="00DF155F">
            <w:pPr>
              <w:pStyle w:val="TableText"/>
            </w:pPr>
            <w:r w:rsidRPr="00D47CD7">
              <w:t>% of Employment % Housing Complaints Resolved Timely </w:t>
            </w:r>
          </w:p>
        </w:tc>
        <w:tc>
          <w:tcPr>
            <w:tcW w:w="1305" w:type="dxa"/>
            <w:vAlign w:val="center"/>
            <w:hideMark/>
          </w:tcPr>
          <w:p w14:paraId="7BF721D7" w14:textId="77777777" w:rsidR="00D47CD7" w:rsidRPr="00D47CD7" w:rsidRDefault="00D47CD7" w:rsidP="00DF155F">
            <w:pPr>
              <w:pStyle w:val="TableText"/>
              <w:jc w:val="right"/>
            </w:pPr>
            <w:r w:rsidRPr="00D47CD7">
              <w:t>102% </w:t>
            </w:r>
          </w:p>
        </w:tc>
        <w:tc>
          <w:tcPr>
            <w:tcW w:w="1125" w:type="dxa"/>
            <w:vAlign w:val="center"/>
            <w:hideMark/>
          </w:tcPr>
          <w:p w14:paraId="52DA1FBA" w14:textId="77777777" w:rsidR="00D47CD7" w:rsidRPr="00D47CD7" w:rsidRDefault="00D47CD7" w:rsidP="00DF155F">
            <w:pPr>
              <w:pStyle w:val="TableText"/>
              <w:jc w:val="right"/>
            </w:pPr>
            <w:r w:rsidRPr="00D47CD7">
              <w:t>97% </w:t>
            </w:r>
          </w:p>
        </w:tc>
        <w:tc>
          <w:tcPr>
            <w:tcW w:w="1080" w:type="dxa"/>
            <w:vAlign w:val="center"/>
            <w:hideMark/>
          </w:tcPr>
          <w:p w14:paraId="15000EB2" w14:textId="77777777" w:rsidR="00D47CD7" w:rsidRPr="00D47CD7" w:rsidRDefault="00D47CD7" w:rsidP="00DF155F">
            <w:pPr>
              <w:pStyle w:val="TableText"/>
              <w:jc w:val="right"/>
            </w:pPr>
            <w:r w:rsidRPr="00D47CD7">
              <w:t>96% </w:t>
            </w:r>
          </w:p>
        </w:tc>
        <w:tc>
          <w:tcPr>
            <w:tcW w:w="1140" w:type="dxa"/>
            <w:vAlign w:val="center"/>
            <w:hideMark/>
          </w:tcPr>
          <w:p w14:paraId="3E407A43" w14:textId="77777777" w:rsidR="00D47CD7" w:rsidRPr="00D47CD7" w:rsidRDefault="00D47CD7" w:rsidP="00DF155F">
            <w:pPr>
              <w:pStyle w:val="TableText"/>
              <w:jc w:val="right"/>
            </w:pPr>
            <w:r w:rsidRPr="00D47CD7">
              <w:t> 98% </w:t>
            </w:r>
          </w:p>
        </w:tc>
      </w:tr>
      <w:tr w:rsidR="00D47CD7" w:rsidRPr="00D47CD7" w14:paraId="500D2121" w14:textId="77777777" w:rsidTr="00DF155F">
        <w:trPr>
          <w:trHeight w:val="300"/>
        </w:trPr>
        <w:tc>
          <w:tcPr>
            <w:tcW w:w="4095" w:type="dxa"/>
            <w:vAlign w:val="center"/>
            <w:hideMark/>
          </w:tcPr>
          <w:p w14:paraId="57A6A320" w14:textId="77777777" w:rsidR="00D47CD7" w:rsidRPr="00D47CD7" w:rsidRDefault="00D47CD7" w:rsidP="00DF155F">
            <w:pPr>
              <w:pStyle w:val="TableText"/>
            </w:pPr>
            <w:r w:rsidRPr="00D47CD7">
              <w:t># of Employment and Housing Complaints Resolved </w:t>
            </w:r>
          </w:p>
        </w:tc>
        <w:tc>
          <w:tcPr>
            <w:tcW w:w="1305" w:type="dxa"/>
            <w:vAlign w:val="center"/>
            <w:hideMark/>
          </w:tcPr>
          <w:p w14:paraId="2ECCE575" w14:textId="77777777" w:rsidR="00D47CD7" w:rsidRPr="00D47CD7" w:rsidRDefault="00D47CD7" w:rsidP="00DF155F">
            <w:pPr>
              <w:pStyle w:val="TableText"/>
              <w:jc w:val="right"/>
            </w:pPr>
            <w:r w:rsidRPr="00D47CD7">
              <w:t>1,393 </w:t>
            </w:r>
          </w:p>
        </w:tc>
        <w:tc>
          <w:tcPr>
            <w:tcW w:w="1125" w:type="dxa"/>
            <w:vAlign w:val="center"/>
            <w:hideMark/>
          </w:tcPr>
          <w:p w14:paraId="058B8363" w14:textId="77777777" w:rsidR="00D47CD7" w:rsidRPr="00D47CD7" w:rsidRDefault="00D47CD7" w:rsidP="00DF155F">
            <w:pPr>
              <w:pStyle w:val="TableText"/>
              <w:jc w:val="right"/>
            </w:pPr>
            <w:r w:rsidRPr="00D47CD7">
              <w:t>1,319 </w:t>
            </w:r>
          </w:p>
        </w:tc>
        <w:tc>
          <w:tcPr>
            <w:tcW w:w="1080" w:type="dxa"/>
            <w:vAlign w:val="center"/>
            <w:hideMark/>
          </w:tcPr>
          <w:p w14:paraId="543C2430" w14:textId="77777777" w:rsidR="00D47CD7" w:rsidRPr="00D47CD7" w:rsidRDefault="00D47CD7" w:rsidP="00DF155F">
            <w:pPr>
              <w:pStyle w:val="TableText"/>
              <w:jc w:val="right"/>
            </w:pPr>
            <w:r w:rsidRPr="00D47CD7">
              <w:t>1,603 </w:t>
            </w:r>
          </w:p>
        </w:tc>
        <w:tc>
          <w:tcPr>
            <w:tcW w:w="1140" w:type="dxa"/>
            <w:vAlign w:val="center"/>
            <w:hideMark/>
          </w:tcPr>
          <w:p w14:paraId="22451A42" w14:textId="77777777" w:rsidR="00D47CD7" w:rsidRPr="00D47CD7" w:rsidRDefault="00D47CD7" w:rsidP="00DF155F">
            <w:pPr>
              <w:pStyle w:val="TableText"/>
              <w:jc w:val="right"/>
            </w:pPr>
            <w:r w:rsidRPr="00D47CD7">
              <w:t>1,425 </w:t>
            </w:r>
          </w:p>
        </w:tc>
      </w:tr>
      <w:tr w:rsidR="00D47CD7" w:rsidRPr="00D47CD7" w14:paraId="5BA86561" w14:textId="77777777" w:rsidTr="00DF155F">
        <w:trPr>
          <w:trHeight w:val="300"/>
        </w:trPr>
        <w:tc>
          <w:tcPr>
            <w:tcW w:w="4095" w:type="dxa"/>
            <w:vAlign w:val="center"/>
            <w:hideMark/>
          </w:tcPr>
          <w:p w14:paraId="22BCCFF3" w14:textId="77777777" w:rsidR="00D47CD7" w:rsidRPr="00D47CD7" w:rsidRDefault="00D47CD7" w:rsidP="00DF155F">
            <w:pPr>
              <w:pStyle w:val="TableText"/>
            </w:pPr>
            <w:r w:rsidRPr="00D47CD7">
              <w:t># of Employment Complaints Resolved </w:t>
            </w:r>
          </w:p>
        </w:tc>
        <w:tc>
          <w:tcPr>
            <w:tcW w:w="1305" w:type="dxa"/>
            <w:vAlign w:val="center"/>
            <w:hideMark/>
          </w:tcPr>
          <w:p w14:paraId="40825267" w14:textId="77777777" w:rsidR="00D47CD7" w:rsidRPr="00D47CD7" w:rsidRDefault="00D47CD7" w:rsidP="00DF155F">
            <w:pPr>
              <w:pStyle w:val="TableText"/>
              <w:jc w:val="right"/>
            </w:pPr>
            <w:r w:rsidRPr="00D47CD7">
              <w:t>1,115 </w:t>
            </w:r>
          </w:p>
        </w:tc>
        <w:tc>
          <w:tcPr>
            <w:tcW w:w="1125" w:type="dxa"/>
            <w:vAlign w:val="center"/>
            <w:hideMark/>
          </w:tcPr>
          <w:p w14:paraId="62A00AF0" w14:textId="77777777" w:rsidR="00D47CD7" w:rsidRPr="00D47CD7" w:rsidRDefault="00D47CD7" w:rsidP="00DF155F">
            <w:pPr>
              <w:pStyle w:val="TableText"/>
              <w:jc w:val="right"/>
            </w:pPr>
            <w:r w:rsidRPr="00D47CD7">
              <w:t>966 </w:t>
            </w:r>
          </w:p>
        </w:tc>
        <w:tc>
          <w:tcPr>
            <w:tcW w:w="1080" w:type="dxa"/>
            <w:vAlign w:val="center"/>
            <w:hideMark/>
          </w:tcPr>
          <w:p w14:paraId="30D08B01" w14:textId="77777777" w:rsidR="00D47CD7" w:rsidRPr="00D47CD7" w:rsidRDefault="00D47CD7" w:rsidP="00DF155F">
            <w:pPr>
              <w:pStyle w:val="TableText"/>
              <w:jc w:val="right"/>
            </w:pPr>
            <w:r w:rsidRPr="00D47CD7">
              <w:t>966 </w:t>
            </w:r>
          </w:p>
        </w:tc>
        <w:tc>
          <w:tcPr>
            <w:tcW w:w="1140" w:type="dxa"/>
            <w:vAlign w:val="center"/>
            <w:hideMark/>
          </w:tcPr>
          <w:p w14:paraId="4B717BD5" w14:textId="77777777" w:rsidR="00D47CD7" w:rsidRPr="00D47CD7" w:rsidRDefault="00D47CD7" w:rsidP="00DF155F">
            <w:pPr>
              <w:pStyle w:val="TableText"/>
              <w:jc w:val="right"/>
            </w:pPr>
            <w:r w:rsidRPr="00D47CD7">
              <w:t>1,635 </w:t>
            </w:r>
          </w:p>
        </w:tc>
      </w:tr>
      <w:tr w:rsidR="00D47CD7" w:rsidRPr="00D47CD7" w14:paraId="4CBF4322" w14:textId="77777777" w:rsidTr="00DF155F">
        <w:trPr>
          <w:trHeight w:val="300"/>
        </w:trPr>
        <w:tc>
          <w:tcPr>
            <w:tcW w:w="4095" w:type="dxa"/>
            <w:vAlign w:val="center"/>
            <w:hideMark/>
          </w:tcPr>
          <w:p w14:paraId="6646339F" w14:textId="77777777" w:rsidR="00D47CD7" w:rsidRPr="00D47CD7" w:rsidRDefault="00D47CD7" w:rsidP="00DF155F">
            <w:pPr>
              <w:pStyle w:val="TableText"/>
            </w:pPr>
            <w:r w:rsidRPr="00D47CD7">
              <w:t># of Housing Complaints Resolved </w:t>
            </w:r>
          </w:p>
        </w:tc>
        <w:tc>
          <w:tcPr>
            <w:tcW w:w="1305" w:type="dxa"/>
            <w:vAlign w:val="center"/>
            <w:hideMark/>
          </w:tcPr>
          <w:p w14:paraId="2E373E7E" w14:textId="77777777" w:rsidR="00D47CD7" w:rsidRPr="00D47CD7" w:rsidRDefault="00D47CD7" w:rsidP="00DF155F">
            <w:pPr>
              <w:pStyle w:val="TableText"/>
              <w:jc w:val="right"/>
            </w:pPr>
            <w:r w:rsidRPr="00D47CD7">
              <w:t>278 </w:t>
            </w:r>
          </w:p>
        </w:tc>
        <w:tc>
          <w:tcPr>
            <w:tcW w:w="1125" w:type="dxa"/>
            <w:vAlign w:val="center"/>
            <w:hideMark/>
          </w:tcPr>
          <w:p w14:paraId="1865388D" w14:textId="77777777" w:rsidR="00D47CD7" w:rsidRPr="00D47CD7" w:rsidRDefault="00D47CD7" w:rsidP="00DF155F">
            <w:pPr>
              <w:pStyle w:val="TableText"/>
              <w:jc w:val="right"/>
            </w:pPr>
            <w:r w:rsidRPr="00D47CD7">
              <w:t>353 </w:t>
            </w:r>
          </w:p>
        </w:tc>
        <w:tc>
          <w:tcPr>
            <w:tcW w:w="1080" w:type="dxa"/>
            <w:vAlign w:val="center"/>
            <w:hideMark/>
          </w:tcPr>
          <w:p w14:paraId="7E37255A" w14:textId="77777777" w:rsidR="00D47CD7" w:rsidRPr="00D47CD7" w:rsidRDefault="00D47CD7" w:rsidP="00DF155F">
            <w:pPr>
              <w:pStyle w:val="TableText"/>
              <w:jc w:val="right"/>
            </w:pPr>
            <w:r w:rsidRPr="00D47CD7">
              <w:t>353 </w:t>
            </w:r>
          </w:p>
        </w:tc>
        <w:tc>
          <w:tcPr>
            <w:tcW w:w="1140" w:type="dxa"/>
            <w:vAlign w:val="center"/>
            <w:hideMark/>
          </w:tcPr>
          <w:p w14:paraId="24A0ED60" w14:textId="77777777" w:rsidR="00D47CD7" w:rsidRPr="00D47CD7" w:rsidRDefault="00D47CD7" w:rsidP="00DF155F">
            <w:pPr>
              <w:pStyle w:val="TableText"/>
              <w:jc w:val="right"/>
            </w:pPr>
            <w:r w:rsidRPr="00D47CD7">
              <w:t>452 </w:t>
            </w:r>
          </w:p>
        </w:tc>
      </w:tr>
      <w:tr w:rsidR="00D47CD7" w:rsidRPr="00D47CD7" w14:paraId="401FF0D0" w14:textId="77777777" w:rsidTr="00DF155F">
        <w:trPr>
          <w:trHeight w:val="300"/>
        </w:trPr>
        <w:tc>
          <w:tcPr>
            <w:tcW w:w="4095" w:type="dxa"/>
            <w:vAlign w:val="center"/>
            <w:hideMark/>
          </w:tcPr>
          <w:p w14:paraId="607F3F39" w14:textId="77777777" w:rsidR="00D47CD7" w:rsidRPr="00D47CD7" w:rsidRDefault="00D47CD7" w:rsidP="00DF155F">
            <w:pPr>
              <w:pStyle w:val="TableText"/>
            </w:pPr>
            <w:r w:rsidRPr="00D47CD7">
              <w:t>Avg Cost Per Employment and Housing Complaint Resolved </w:t>
            </w:r>
          </w:p>
        </w:tc>
        <w:tc>
          <w:tcPr>
            <w:tcW w:w="1305" w:type="dxa"/>
            <w:vAlign w:val="center"/>
            <w:hideMark/>
          </w:tcPr>
          <w:p w14:paraId="0CA95FAD" w14:textId="77777777" w:rsidR="00D47CD7" w:rsidRPr="00D47CD7" w:rsidRDefault="00D47CD7" w:rsidP="00DF155F">
            <w:pPr>
              <w:pStyle w:val="TableText"/>
              <w:jc w:val="right"/>
            </w:pPr>
            <w:r w:rsidRPr="00D47CD7">
              <w:t>$2,067 </w:t>
            </w:r>
          </w:p>
        </w:tc>
        <w:tc>
          <w:tcPr>
            <w:tcW w:w="1125" w:type="dxa"/>
            <w:vAlign w:val="center"/>
            <w:hideMark/>
          </w:tcPr>
          <w:p w14:paraId="58C82DE3" w14:textId="77777777" w:rsidR="00D47CD7" w:rsidRPr="00D47CD7" w:rsidRDefault="00D47CD7" w:rsidP="00DF155F">
            <w:pPr>
              <w:pStyle w:val="TableText"/>
              <w:jc w:val="right"/>
            </w:pPr>
            <w:r w:rsidRPr="00D47CD7">
              <w:t>$2,175 </w:t>
            </w:r>
          </w:p>
        </w:tc>
        <w:tc>
          <w:tcPr>
            <w:tcW w:w="1080" w:type="dxa"/>
            <w:vAlign w:val="center"/>
            <w:hideMark/>
          </w:tcPr>
          <w:p w14:paraId="12954698" w14:textId="77777777" w:rsidR="00D47CD7" w:rsidRPr="00D47CD7" w:rsidRDefault="00D47CD7" w:rsidP="00DF155F">
            <w:pPr>
              <w:pStyle w:val="TableText"/>
              <w:jc w:val="right"/>
            </w:pPr>
            <w:r w:rsidRPr="00D47CD7">
              <w:t>$1852 </w:t>
            </w:r>
          </w:p>
        </w:tc>
        <w:tc>
          <w:tcPr>
            <w:tcW w:w="1140" w:type="dxa"/>
            <w:vAlign w:val="center"/>
            <w:hideMark/>
          </w:tcPr>
          <w:p w14:paraId="03C1E2A1" w14:textId="77777777" w:rsidR="00D47CD7" w:rsidRPr="00D47CD7" w:rsidRDefault="00D47CD7" w:rsidP="00DF155F">
            <w:pPr>
              <w:pStyle w:val="TableText"/>
              <w:jc w:val="right"/>
            </w:pPr>
            <w:r w:rsidRPr="00D47CD7">
              <w:t>$2,255 </w:t>
            </w:r>
          </w:p>
        </w:tc>
      </w:tr>
      <w:tr w:rsidR="00D47CD7" w:rsidRPr="00D47CD7" w14:paraId="773E4F04" w14:textId="77777777" w:rsidTr="00DF155F">
        <w:trPr>
          <w:trHeight w:val="300"/>
        </w:trPr>
        <w:tc>
          <w:tcPr>
            <w:tcW w:w="4095" w:type="dxa"/>
            <w:vAlign w:val="center"/>
            <w:hideMark/>
          </w:tcPr>
          <w:p w14:paraId="2466297D" w14:textId="77777777" w:rsidR="00D47CD7" w:rsidRPr="00D47CD7" w:rsidRDefault="00D47CD7" w:rsidP="00DF155F">
            <w:pPr>
              <w:pStyle w:val="TableText"/>
            </w:pPr>
            <w:r w:rsidRPr="00D47CD7">
              <w:t>Avg Cost Per Employment Complaint Resolved </w:t>
            </w:r>
          </w:p>
        </w:tc>
        <w:tc>
          <w:tcPr>
            <w:tcW w:w="1305" w:type="dxa"/>
            <w:vAlign w:val="center"/>
            <w:hideMark/>
          </w:tcPr>
          <w:p w14:paraId="7E5276A6" w14:textId="77777777" w:rsidR="00D47CD7" w:rsidRPr="00D47CD7" w:rsidRDefault="00D47CD7" w:rsidP="00DF155F">
            <w:pPr>
              <w:pStyle w:val="TableText"/>
              <w:jc w:val="right"/>
            </w:pPr>
            <w:r w:rsidRPr="00D47CD7">
              <w:t>$1,127 </w:t>
            </w:r>
          </w:p>
        </w:tc>
        <w:tc>
          <w:tcPr>
            <w:tcW w:w="1125" w:type="dxa"/>
            <w:vAlign w:val="center"/>
            <w:hideMark/>
          </w:tcPr>
          <w:p w14:paraId="3C9EC121" w14:textId="77777777" w:rsidR="00D47CD7" w:rsidRPr="00D47CD7" w:rsidRDefault="00D47CD7" w:rsidP="00DF155F">
            <w:pPr>
              <w:pStyle w:val="TableText"/>
              <w:jc w:val="right"/>
            </w:pPr>
            <w:r w:rsidRPr="00D47CD7">
              <w:t>$1,265 </w:t>
            </w:r>
          </w:p>
        </w:tc>
        <w:tc>
          <w:tcPr>
            <w:tcW w:w="1080" w:type="dxa"/>
            <w:vAlign w:val="center"/>
            <w:hideMark/>
          </w:tcPr>
          <w:p w14:paraId="3163EE86" w14:textId="77777777" w:rsidR="00D47CD7" w:rsidRPr="00D47CD7" w:rsidRDefault="00D47CD7" w:rsidP="00DF155F">
            <w:pPr>
              <w:pStyle w:val="TableText"/>
              <w:jc w:val="right"/>
            </w:pPr>
            <w:r w:rsidRPr="00D47CD7">
              <w:t>$1603 </w:t>
            </w:r>
          </w:p>
        </w:tc>
        <w:tc>
          <w:tcPr>
            <w:tcW w:w="1140" w:type="dxa"/>
            <w:vAlign w:val="center"/>
            <w:hideMark/>
          </w:tcPr>
          <w:p w14:paraId="61C254DB" w14:textId="77777777" w:rsidR="00D47CD7" w:rsidRPr="00D47CD7" w:rsidRDefault="00D47CD7" w:rsidP="00DF155F">
            <w:pPr>
              <w:pStyle w:val="TableText"/>
              <w:jc w:val="right"/>
            </w:pPr>
            <w:r w:rsidRPr="00D47CD7">
              <w:t>$2,087 </w:t>
            </w:r>
          </w:p>
        </w:tc>
      </w:tr>
      <w:tr w:rsidR="00D47CD7" w:rsidRPr="00D47CD7" w14:paraId="270D66B6" w14:textId="77777777" w:rsidTr="00DF155F">
        <w:trPr>
          <w:trHeight w:val="300"/>
        </w:trPr>
        <w:tc>
          <w:tcPr>
            <w:tcW w:w="4095" w:type="dxa"/>
            <w:vAlign w:val="center"/>
            <w:hideMark/>
          </w:tcPr>
          <w:p w14:paraId="2C6A3727" w14:textId="77777777" w:rsidR="00D47CD7" w:rsidRPr="00D47CD7" w:rsidRDefault="00D47CD7" w:rsidP="00DF155F">
            <w:pPr>
              <w:pStyle w:val="TableText"/>
            </w:pPr>
            <w:r w:rsidRPr="00D47CD7">
              <w:t>Avg Cost Per Housing Complaint Resolved </w:t>
            </w:r>
          </w:p>
        </w:tc>
        <w:tc>
          <w:tcPr>
            <w:tcW w:w="1305" w:type="dxa"/>
            <w:vAlign w:val="center"/>
            <w:hideMark/>
          </w:tcPr>
          <w:p w14:paraId="01D29FD3" w14:textId="77777777" w:rsidR="00D47CD7" w:rsidRPr="00D47CD7" w:rsidRDefault="00D47CD7" w:rsidP="00DF155F">
            <w:pPr>
              <w:pStyle w:val="TableText"/>
              <w:jc w:val="right"/>
            </w:pPr>
            <w:r w:rsidRPr="00D47CD7">
              <w:t>$5,832 </w:t>
            </w:r>
          </w:p>
        </w:tc>
        <w:tc>
          <w:tcPr>
            <w:tcW w:w="1125" w:type="dxa"/>
            <w:vAlign w:val="center"/>
            <w:hideMark/>
          </w:tcPr>
          <w:p w14:paraId="084A0E2A" w14:textId="77777777" w:rsidR="00D47CD7" w:rsidRPr="00D47CD7" w:rsidRDefault="00D47CD7" w:rsidP="00DF155F">
            <w:pPr>
              <w:pStyle w:val="TableText"/>
              <w:jc w:val="right"/>
            </w:pPr>
            <w:r w:rsidRPr="00D47CD7">
              <w:t>$4,644 </w:t>
            </w:r>
          </w:p>
        </w:tc>
        <w:tc>
          <w:tcPr>
            <w:tcW w:w="1080" w:type="dxa"/>
            <w:vAlign w:val="center"/>
            <w:hideMark/>
          </w:tcPr>
          <w:p w14:paraId="1C0E10B1" w14:textId="77777777" w:rsidR="00D47CD7" w:rsidRPr="00D47CD7" w:rsidRDefault="00D47CD7" w:rsidP="00DF155F">
            <w:pPr>
              <w:pStyle w:val="TableText"/>
              <w:jc w:val="right"/>
            </w:pPr>
            <w:r w:rsidRPr="00D47CD7">
              <w:t>$2969 </w:t>
            </w:r>
          </w:p>
        </w:tc>
        <w:tc>
          <w:tcPr>
            <w:tcW w:w="1140" w:type="dxa"/>
            <w:vAlign w:val="center"/>
            <w:hideMark/>
          </w:tcPr>
          <w:p w14:paraId="62A31FF2" w14:textId="77777777" w:rsidR="00D47CD7" w:rsidRPr="00D47CD7" w:rsidRDefault="00D47CD7" w:rsidP="00DF155F">
            <w:pPr>
              <w:pStyle w:val="TableText"/>
              <w:jc w:val="right"/>
            </w:pPr>
            <w:r w:rsidRPr="00D47CD7">
              <w:t>$3,757 </w:t>
            </w:r>
          </w:p>
        </w:tc>
      </w:tr>
    </w:tbl>
    <w:p w14:paraId="13A253A8" w14:textId="77777777" w:rsidR="00D47CD7" w:rsidRPr="00D47CD7" w:rsidRDefault="00D47CD7" w:rsidP="00C64851">
      <w:pPr>
        <w:pStyle w:val="BodyText"/>
        <w:numPr>
          <w:ilvl w:val="0"/>
          <w:numId w:val="332"/>
        </w:numPr>
      </w:pPr>
      <w:r w:rsidRPr="00D47CD7">
        <w:t>Number of Compliance Reviews 2024: 29</w:t>
      </w:r>
      <w:r w:rsidRPr="00D47CD7">
        <w:tab/>
        <w:t>Target/Actual: 29</w:t>
      </w:r>
      <w:r w:rsidRPr="00D47CD7">
        <w:tab/>
        <w:t>Target: 100 percent </w:t>
      </w:r>
    </w:p>
    <w:p w14:paraId="4566FD33" w14:textId="77777777" w:rsidR="00D47CD7" w:rsidRPr="00D47CD7" w:rsidRDefault="00D47CD7" w:rsidP="00C64851">
      <w:pPr>
        <w:pStyle w:val="BodyText"/>
        <w:numPr>
          <w:ilvl w:val="0"/>
          <w:numId w:val="332"/>
        </w:numPr>
      </w:pPr>
      <w:r w:rsidRPr="00D47CD7">
        <w:t xml:space="preserve">CRD captures monthly, quarterly, and yearly high-frequency performance data.  We monitor the number of intakes, the length of investigations and the number of investigations that result in quality closures versus administrative dismissals.  We also collect data on agency and institutes of higher education compliance by category of review.  Finally, we use the Civilian Workforce Composition in alignment with the hiring practices analysis to ensure that all state agencies have plans to recruit personnel in accordance with the law. The agency has established a "Zero Target Date" to eliminate the backlog of complaints, determined by comparing the </w:t>
      </w:r>
      <w:r w:rsidRPr="00D47CD7">
        <w:lastRenderedPageBreak/>
        <w:t>number of complaints closed (output) against those received (input). Since the output currently exceeds the input, the backlog has been steadily decreasing. As of now, the Zero Target Date for Employment is set for August 2025, while Housing achieved its Zero Target Date at the end of April 2025. The Zero Target Date is recalculated monthly, as we can forecast complaint closures but cannot predict the volume of incoming complaints. </w:t>
      </w:r>
    </w:p>
    <w:p w14:paraId="454D3FB4" w14:textId="77777777" w:rsidR="00D47CD7" w:rsidRPr="00D47CD7" w:rsidRDefault="00D47CD7" w:rsidP="00C64851">
      <w:pPr>
        <w:pStyle w:val="BodyText"/>
        <w:numPr>
          <w:ilvl w:val="0"/>
          <w:numId w:val="332"/>
        </w:numPr>
      </w:pPr>
      <w:r w:rsidRPr="00D47CD7">
        <w:t>CRD has established a formal customer service survey program to systematically collect and analyze customer feedback. Upon completion of each engagement, customers are provided with the opportunity to participate in a survey. Designated staff members are responsible for follow-up with customers who request it, and the collected data will be leveraged to identify opportunities for process optimization and enhancement of the customer experience. A comprehensive analysis of the initial survey responses is currently underway. </w:t>
      </w:r>
    </w:p>
    <w:p w14:paraId="52149D9B" w14:textId="77777777" w:rsidR="00D47CD7" w:rsidRPr="00D47CD7" w:rsidRDefault="00D47CD7" w:rsidP="00C64851">
      <w:pPr>
        <w:pStyle w:val="BodyText"/>
        <w:numPr>
          <w:ilvl w:val="0"/>
          <w:numId w:val="332"/>
        </w:numPr>
      </w:pPr>
      <w:r w:rsidRPr="00D47CD7">
        <w:t>Between FY 2021 and FY 2024, the number of individuals receiving EEO training has significantly increased. This expansion has allowed the CRD to reach more people, fostering greater awareness. By prioritizing EEO training, the CRD demonstrates a proactive commitment to legal compliance and best practices in employment practices. This initiative reflects an investment in the Texas workforce, empowering individuals with the knowledge and skills to build a positive and productive work environment. </w:t>
      </w:r>
    </w:p>
    <w:p w14:paraId="7BEF3738" w14:textId="5838B4AF" w:rsidR="00D47CD7" w:rsidRPr="00D47CD7" w:rsidRDefault="00D47CD7" w:rsidP="00D47CD7">
      <w:pPr>
        <w:pStyle w:val="BodyText"/>
      </w:pPr>
      <w:r w:rsidRPr="00D47CD7">
        <w:rPr>
          <w:noProof/>
        </w:rPr>
        <w:drawing>
          <wp:inline distT="0" distB="0" distL="0" distR="0" wp14:anchorId="60E9DCEA" wp14:editId="47AA525A">
            <wp:extent cx="5943600" cy="2710180"/>
            <wp:effectExtent l="0" t="0" r="0" b="0"/>
            <wp:docPr id="1412588007" name="Picture 18" descr="chart of total number of individuals receiving EEO training for fiscal years 2021,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88007" name="Picture 18" descr="chart of total number of individuals receiving EEO training for fiscal years 2021, to 20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2710180"/>
                    </a:xfrm>
                    <a:prstGeom prst="rect">
                      <a:avLst/>
                    </a:prstGeom>
                    <a:noFill/>
                    <a:ln>
                      <a:noFill/>
                    </a:ln>
                  </pic:spPr>
                </pic:pic>
              </a:graphicData>
            </a:graphic>
          </wp:inline>
        </w:drawing>
      </w:r>
    </w:p>
    <w:p w14:paraId="23265F79" w14:textId="77777777" w:rsidR="00D47CD7" w:rsidRPr="00D47CD7" w:rsidRDefault="00D47CD7" w:rsidP="00C436CD">
      <w:pPr>
        <w:pStyle w:val="BodyText"/>
      </w:pPr>
      <w:r w:rsidRPr="00D47CD7">
        <w:t>The CRD has made major improvements in efficiency and customer experience through several strategic steps: </w:t>
      </w:r>
    </w:p>
    <w:p w14:paraId="12296FD0" w14:textId="77777777" w:rsidR="00D47CD7" w:rsidRPr="00D47CD7" w:rsidRDefault="00D47CD7" w:rsidP="00C64851">
      <w:pPr>
        <w:pStyle w:val="BodyText"/>
        <w:numPr>
          <w:ilvl w:val="0"/>
          <w:numId w:val="333"/>
        </w:numPr>
      </w:pPr>
      <w:r w:rsidRPr="00C436CD">
        <w:rPr>
          <w:b/>
          <w:bCs/>
        </w:rPr>
        <w:t>Mapping Processes:</w:t>
      </w:r>
      <w:r w:rsidRPr="00D47CD7">
        <w:t xml:space="preserve"> Created a Big Block diagram to clearly outline core processes for easier optimization. </w:t>
      </w:r>
    </w:p>
    <w:p w14:paraId="5AB343A5" w14:textId="77777777" w:rsidR="00D47CD7" w:rsidRPr="00D47CD7" w:rsidRDefault="00D47CD7" w:rsidP="00C64851">
      <w:pPr>
        <w:pStyle w:val="BodyText"/>
        <w:numPr>
          <w:ilvl w:val="0"/>
          <w:numId w:val="333"/>
        </w:numPr>
      </w:pPr>
      <w:r w:rsidRPr="00C436CD">
        <w:rPr>
          <w:b/>
          <w:bCs/>
        </w:rPr>
        <w:lastRenderedPageBreak/>
        <w:t>Improving Collaboration:</w:t>
      </w:r>
      <w:r w:rsidRPr="00D47CD7">
        <w:t xml:space="preserve"> Set up a SharePoint framework to simplify information sharing and teamwork. </w:t>
      </w:r>
    </w:p>
    <w:p w14:paraId="2A36FCEA" w14:textId="77777777" w:rsidR="00D47CD7" w:rsidRPr="00D47CD7" w:rsidRDefault="00D47CD7" w:rsidP="00C64851">
      <w:pPr>
        <w:pStyle w:val="BodyText"/>
        <w:numPr>
          <w:ilvl w:val="0"/>
          <w:numId w:val="333"/>
        </w:numPr>
      </w:pPr>
      <w:r w:rsidRPr="00C436CD">
        <w:rPr>
          <w:b/>
          <w:bCs/>
        </w:rPr>
        <w:t>Boosting Productivity:</w:t>
      </w:r>
      <w:r w:rsidRPr="00D47CD7">
        <w:t xml:space="preserve"> Introduced automation in key areas like investigations, intake, and training, saving resources and time. </w:t>
      </w:r>
    </w:p>
    <w:p w14:paraId="1A916D09" w14:textId="77777777" w:rsidR="00D47CD7" w:rsidRPr="00D47CD7" w:rsidRDefault="00D47CD7" w:rsidP="00C64851">
      <w:pPr>
        <w:pStyle w:val="BodyText"/>
        <w:numPr>
          <w:ilvl w:val="0"/>
          <w:numId w:val="333"/>
        </w:numPr>
      </w:pPr>
      <w:r w:rsidRPr="00C436CD">
        <w:rPr>
          <w:b/>
          <w:bCs/>
        </w:rPr>
        <w:t>Incorporating AI:</w:t>
      </w:r>
      <w:r w:rsidRPr="00D47CD7">
        <w:t xml:space="preserve"> Integrated AI technology for faster, more accurate outcomes. </w:t>
      </w:r>
    </w:p>
    <w:p w14:paraId="5810A572" w14:textId="77777777" w:rsidR="00D47CD7" w:rsidRPr="00D47CD7" w:rsidRDefault="00D47CD7" w:rsidP="00C64851">
      <w:pPr>
        <w:pStyle w:val="BodyText"/>
        <w:numPr>
          <w:ilvl w:val="0"/>
          <w:numId w:val="333"/>
        </w:numPr>
      </w:pPr>
      <w:r w:rsidRPr="00C436CD">
        <w:rPr>
          <w:b/>
          <w:bCs/>
        </w:rPr>
        <w:t>Aligning Vision:</w:t>
      </w:r>
      <w:r w:rsidRPr="00D47CD7">
        <w:t xml:space="preserve"> Held a North Star workshop to ensure the team shares a common vision and goals. </w:t>
      </w:r>
    </w:p>
    <w:p w14:paraId="11A7E294" w14:textId="3DA023D5" w:rsidR="00D47CD7" w:rsidRPr="00D47CD7" w:rsidRDefault="00D47CD7" w:rsidP="00C436CD">
      <w:pPr>
        <w:pStyle w:val="BodyText"/>
      </w:pPr>
      <w:r w:rsidRPr="00D47CD7">
        <w:t>In addition, CRD reorganized to enhance operations: </w:t>
      </w:r>
    </w:p>
    <w:p w14:paraId="70AC0B46" w14:textId="77777777" w:rsidR="00D47CD7" w:rsidRPr="00D47CD7" w:rsidRDefault="00D47CD7" w:rsidP="00C64851">
      <w:pPr>
        <w:pStyle w:val="BodyText"/>
        <w:numPr>
          <w:ilvl w:val="0"/>
          <w:numId w:val="334"/>
        </w:numPr>
      </w:pPr>
      <w:r w:rsidRPr="00D47CD7">
        <w:t>Created specialized units for Office of Civil Rights (OCR), Special Programs, and Quality Assurance Evaluation. </w:t>
      </w:r>
    </w:p>
    <w:p w14:paraId="13396F86" w14:textId="77777777" w:rsidR="00D47CD7" w:rsidRPr="00D47CD7" w:rsidRDefault="00D47CD7" w:rsidP="00C64851">
      <w:pPr>
        <w:pStyle w:val="BodyText"/>
        <w:numPr>
          <w:ilvl w:val="0"/>
          <w:numId w:val="334"/>
        </w:numPr>
      </w:pPr>
      <w:r w:rsidRPr="00D47CD7">
        <w:t>Added a Junior Trainer role to improve knowledge sharing. </w:t>
      </w:r>
    </w:p>
    <w:p w14:paraId="1D781B28" w14:textId="77777777" w:rsidR="00D47CD7" w:rsidRPr="00D47CD7" w:rsidRDefault="00D47CD7" w:rsidP="00C436CD">
      <w:pPr>
        <w:pStyle w:val="BodyText"/>
      </w:pPr>
      <w:r w:rsidRPr="00D47CD7">
        <w:t>With a focus on customer-centric initiatives: </w:t>
      </w:r>
    </w:p>
    <w:p w14:paraId="23B69F35" w14:textId="77777777" w:rsidR="00D47CD7" w:rsidRPr="00D47CD7" w:rsidRDefault="00D47CD7" w:rsidP="00C64851">
      <w:pPr>
        <w:pStyle w:val="BodyText"/>
        <w:numPr>
          <w:ilvl w:val="0"/>
          <w:numId w:val="335"/>
        </w:numPr>
      </w:pPr>
      <w:r w:rsidRPr="00D47CD7">
        <w:t>Rewrote communications using trauma-informed guidelines. </w:t>
      </w:r>
    </w:p>
    <w:p w14:paraId="30066748" w14:textId="77777777" w:rsidR="00D47CD7" w:rsidRPr="00D47CD7" w:rsidRDefault="00D47CD7" w:rsidP="00C64851">
      <w:pPr>
        <w:pStyle w:val="BodyText"/>
        <w:numPr>
          <w:ilvl w:val="0"/>
          <w:numId w:val="335"/>
        </w:numPr>
      </w:pPr>
      <w:r w:rsidRPr="00D47CD7">
        <w:t>Designed custom pricing for high-needs customers. </w:t>
      </w:r>
    </w:p>
    <w:p w14:paraId="00B50363" w14:textId="77777777" w:rsidR="00D47CD7" w:rsidRPr="00D47CD7" w:rsidRDefault="00D47CD7" w:rsidP="00C436CD">
      <w:pPr>
        <w:pStyle w:val="BodyText"/>
      </w:pPr>
      <w:r w:rsidRPr="00D47CD7">
        <w:t>To empower the team: </w:t>
      </w:r>
    </w:p>
    <w:p w14:paraId="3B4F925B" w14:textId="77777777" w:rsidR="00D47CD7" w:rsidRPr="00D47CD7" w:rsidRDefault="00D47CD7" w:rsidP="00C64851">
      <w:pPr>
        <w:pStyle w:val="BodyText"/>
        <w:numPr>
          <w:ilvl w:val="0"/>
          <w:numId w:val="336"/>
        </w:numPr>
      </w:pPr>
      <w:r w:rsidRPr="00D47CD7">
        <w:t>Developed Standard Work Constructs and Models of Proof. </w:t>
      </w:r>
    </w:p>
    <w:p w14:paraId="76AE7909" w14:textId="77777777" w:rsidR="00D47CD7" w:rsidRPr="00D47CD7" w:rsidRDefault="00D47CD7" w:rsidP="00C64851">
      <w:pPr>
        <w:pStyle w:val="BodyText"/>
        <w:numPr>
          <w:ilvl w:val="0"/>
          <w:numId w:val="336"/>
        </w:numPr>
      </w:pPr>
      <w:r w:rsidRPr="00D47CD7">
        <w:t>Conducted annual reviews and updates of Standard Operating Procedures (SOPs). </w:t>
      </w:r>
    </w:p>
    <w:p w14:paraId="1E663A9E" w14:textId="77777777" w:rsidR="00D47CD7" w:rsidRPr="00D47CD7" w:rsidRDefault="00D47CD7" w:rsidP="00C436CD">
      <w:pPr>
        <w:pStyle w:val="BodyText"/>
      </w:pPr>
      <w:r w:rsidRPr="00D47CD7">
        <w:t>Leadership and internal capabilities were strengthened through: </w:t>
      </w:r>
    </w:p>
    <w:p w14:paraId="52E38C0D" w14:textId="77777777" w:rsidR="00D47CD7" w:rsidRPr="00D47CD7" w:rsidRDefault="00D47CD7" w:rsidP="00C64851">
      <w:pPr>
        <w:pStyle w:val="BodyText"/>
        <w:numPr>
          <w:ilvl w:val="0"/>
          <w:numId w:val="337"/>
        </w:numPr>
      </w:pPr>
      <w:r w:rsidRPr="00D47CD7">
        <w:t>Results Driven Government Masterclass for leadership development. </w:t>
      </w:r>
    </w:p>
    <w:p w14:paraId="7E80A197" w14:textId="77777777" w:rsidR="00D47CD7" w:rsidRPr="00D47CD7" w:rsidRDefault="00D47CD7" w:rsidP="00C64851">
      <w:pPr>
        <w:pStyle w:val="BodyText"/>
        <w:numPr>
          <w:ilvl w:val="0"/>
          <w:numId w:val="337"/>
        </w:numPr>
      </w:pPr>
      <w:r w:rsidRPr="00D47CD7">
        <w:t>Frameworks Training and the introduction of CRD Intangibles. </w:t>
      </w:r>
    </w:p>
    <w:p w14:paraId="27C41A03" w14:textId="77777777" w:rsidR="00D47CD7" w:rsidRPr="00D47CD7" w:rsidRDefault="00D47CD7" w:rsidP="00C436CD">
      <w:pPr>
        <w:pStyle w:val="BodyText"/>
      </w:pPr>
      <w:r w:rsidRPr="00D47CD7">
        <w:t>Finally, CRD improved accessibility and responsiveness by launching an online complaint filing process. These steps have collectively enhanced their overall performance and stakeholder engagement. </w:t>
      </w:r>
    </w:p>
    <w:p w14:paraId="2926BE2E" w14:textId="77777777" w:rsidR="00D47CD7" w:rsidRPr="00396FBC" w:rsidRDefault="00D47CD7" w:rsidP="005738FB">
      <w:pPr>
        <w:pStyle w:val="BodyText3"/>
        <w:ind w:left="720" w:hanging="720"/>
      </w:pPr>
      <w:r w:rsidRPr="00396FBC">
        <w:t>D.</w:t>
      </w:r>
      <w:r w:rsidRPr="00396FBC">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4E5AC36D" w14:textId="5A8B843B" w:rsidR="00D47CD7" w:rsidRPr="00396FBC" w:rsidRDefault="00D47CD7" w:rsidP="00396FBC">
      <w:pPr>
        <w:pStyle w:val="BodyText"/>
      </w:pPr>
      <w:r w:rsidRPr="00396FBC">
        <w:t>TWC’s CRD is governed by the TWC Commissioners. Civil Rights Division is the state authority established as a fair employment and housing practice agency. </w:t>
      </w:r>
    </w:p>
    <w:p w14:paraId="4E47C438" w14:textId="77777777" w:rsidR="00D47CD7" w:rsidRPr="00396FBC" w:rsidRDefault="00D47CD7" w:rsidP="005738FB">
      <w:pPr>
        <w:pStyle w:val="BodyText3"/>
        <w:ind w:left="720" w:hanging="720"/>
      </w:pPr>
      <w:r w:rsidRPr="00396FBC">
        <w:lastRenderedPageBreak/>
        <w:t>E.</w:t>
      </w:r>
      <w:r w:rsidRPr="00396FBC">
        <w:tab/>
        <w:t>List any qualifications or eligibility requirements for persons or entities affected by this division or program (e.g., licensees, consumers, and landowners). Provide a statistical breakdown of persons or entities affected. </w:t>
      </w:r>
    </w:p>
    <w:p w14:paraId="323F8750" w14:textId="77777777" w:rsidR="00D47CD7" w:rsidRPr="00396FBC" w:rsidRDefault="00D47CD7" w:rsidP="00396FBC">
      <w:pPr>
        <w:pStyle w:val="BodyText"/>
      </w:pPr>
      <w:r w:rsidRPr="00396FBC">
        <w:t>Private and Public Employers – persons/entities involved in employment &amp; housing discrimination complaints: CRD’s employment and housing investigations functions affect individuals who allege discrimination, and those employers and housing providers or lenders who are respondents.  </w:t>
      </w:r>
    </w:p>
    <w:p w14:paraId="4A36E247" w14:textId="77777777" w:rsidR="00D47CD7" w:rsidRPr="00396FBC" w:rsidRDefault="00D47CD7" w:rsidP="00396FBC">
      <w:pPr>
        <w:pStyle w:val="BodyText"/>
      </w:pPr>
      <w:r w:rsidRPr="00396FBC">
        <w:t>In FY 2023, CRD resolved 966 employment complaints from individuals, the majority of which involved persons who alleged discrimination involving retaliation 27 percent, disability 18 percent, race 12 percent, and sex 14 percent. The top four basis categories (i.e., retaliation, disability, race, and sex) account for about 70 percent of the employment complaints filed during FY 2023. Negotiated settlement and withdrawal with benefits account for about 25 percent of the employment complaints closed.  </w:t>
      </w:r>
    </w:p>
    <w:p w14:paraId="36938BF2" w14:textId="77777777" w:rsidR="00D47CD7" w:rsidRPr="00D47CD7" w:rsidRDefault="00D47CD7" w:rsidP="00396FBC">
      <w:pPr>
        <w:pStyle w:val="BodyText"/>
      </w:pPr>
      <w:r w:rsidRPr="00D47CD7">
        <w:t>In FY 2023, CRD resolved 353 housing complaints filed with CRD by individuals. Persons alleged discrimination in the following top four categories: disability (49 percent), race (24 percent), retaliation (8 percent) and national origin (7 percent). The top four basis categories (i.e., disability, race, retaliation, and national origin) account for over 85 percent of the housing complaints filed. Successful conciliations and settlements represent over 25 percent of housing complaints closed. </w:t>
      </w:r>
    </w:p>
    <w:p w14:paraId="556C87B2" w14:textId="77777777" w:rsidR="00D47CD7" w:rsidRPr="00D47CD7" w:rsidRDefault="00D47CD7" w:rsidP="00396FBC">
      <w:pPr>
        <w:pStyle w:val="BodyText"/>
      </w:pPr>
      <w:r w:rsidRPr="00D47CD7">
        <w:t>Entities Benefiting from Review of Personnel Policies and Procedures Systems: CRD conducts reviews every six years of the personnel policies and procedures systems of other state agencies and institutions of higher education, as well as technical assistance when needed.  </w:t>
      </w:r>
    </w:p>
    <w:p w14:paraId="3F9EAE20" w14:textId="355CBE4D" w:rsidR="00D47CD7" w:rsidRPr="00D47CD7" w:rsidRDefault="00D47CD7" w:rsidP="00396FBC">
      <w:pPr>
        <w:pStyle w:val="BodyText"/>
      </w:pPr>
      <w:r w:rsidRPr="00D47CD7">
        <w:t xml:space="preserve">CRD provides employment/sexual harassment training that is required by all state employees within thirty days of being hired and biennially thereafter. </w:t>
      </w:r>
      <w:r w:rsidR="00605B1B">
        <w:t>CRD</w:t>
      </w:r>
      <w:r w:rsidRPr="00D47CD7">
        <w:t xml:space="preserve"> also provides required training to state agencies that have received three complaints of discrimination within a fiscal year. In addition, public and private entities are provided housing and employment training from CRD. Note: There were no instances of a state agency receiving three of more complaints of employment discrimination during FY 2023. Therefore, compliance training pursuant of Texas Labor Code Section 21.556 was not required. </w:t>
      </w:r>
    </w:p>
    <w:p w14:paraId="458AE222" w14:textId="77777777" w:rsidR="00D47CD7" w:rsidRPr="00396FBC" w:rsidRDefault="00D47CD7" w:rsidP="005738FB">
      <w:pPr>
        <w:pStyle w:val="BodyText3"/>
        <w:ind w:left="720" w:hanging="720"/>
      </w:pPr>
      <w:r w:rsidRPr="00396FBC">
        <w:t>F.</w:t>
      </w:r>
      <w:r w:rsidRPr="00396FBC">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7C120A64" w14:textId="790F6416" w:rsidR="00D47CD7" w:rsidRPr="00D47CD7" w:rsidRDefault="00D47CD7" w:rsidP="00F55734">
      <w:pPr>
        <w:pStyle w:val="BodyText"/>
      </w:pPr>
      <w:r w:rsidRPr="00D47CD7">
        <w:t xml:space="preserve">The stages of submitting a complaint are described in </w:t>
      </w:r>
      <w:proofErr w:type="spellStart"/>
      <w:r w:rsidR="5A3BE270">
        <w:t>Exhibit_GAP_</w:t>
      </w:r>
      <w:r w:rsidR="797E7320">
        <w:t>CRD</w:t>
      </w:r>
      <w:r w:rsidR="45E323BA">
        <w:t>Complaint</w:t>
      </w:r>
      <w:r w:rsidRPr="00D47CD7">
        <w:t>Process</w:t>
      </w:r>
      <w:proofErr w:type="spellEnd"/>
      <w:r w:rsidRPr="00D47CD7">
        <w:t xml:space="preserve"> flowchart.</w:t>
      </w:r>
    </w:p>
    <w:p w14:paraId="22109CA1" w14:textId="77777777" w:rsidR="00D47CD7" w:rsidRPr="00F55734" w:rsidRDefault="00D47CD7" w:rsidP="005738FB">
      <w:pPr>
        <w:pStyle w:val="BodyText3"/>
        <w:ind w:left="720" w:hanging="720"/>
      </w:pPr>
      <w:r w:rsidRPr="00F55734">
        <w:lastRenderedPageBreak/>
        <w:t>G.</w:t>
      </w:r>
      <w:r w:rsidRPr="00F55734">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483"/>
        <w:gridCol w:w="2479"/>
        <w:gridCol w:w="2204"/>
        <w:gridCol w:w="1194"/>
      </w:tblGrid>
      <w:tr w:rsidR="005943B5" w:rsidRPr="005943B5" w14:paraId="508E2396" w14:textId="77777777" w:rsidTr="0066690C">
        <w:trPr>
          <w:trHeight w:val="288"/>
        </w:trPr>
        <w:tc>
          <w:tcPr>
            <w:tcW w:w="3415" w:type="dxa"/>
            <w:shd w:val="clear" w:color="auto" w:fill="B8CCE4" w:themeFill="accent1" w:themeFillTint="66"/>
            <w:vAlign w:val="center"/>
            <w:hideMark/>
          </w:tcPr>
          <w:p w14:paraId="6C849316" w14:textId="77777777" w:rsidR="005943B5" w:rsidRPr="005943B5" w:rsidRDefault="005943B5" w:rsidP="005943B5">
            <w:pPr>
              <w:pStyle w:val="TableHeaders"/>
              <w:rPr>
                <w:color w:val="000000"/>
              </w:rPr>
            </w:pPr>
            <w:r w:rsidRPr="005943B5">
              <w:t>Program or Function Detail Description</w:t>
            </w:r>
          </w:p>
        </w:tc>
        <w:tc>
          <w:tcPr>
            <w:tcW w:w="2430" w:type="dxa"/>
            <w:shd w:val="clear" w:color="auto" w:fill="B8CCE4" w:themeFill="accent1" w:themeFillTint="66"/>
            <w:vAlign w:val="center"/>
            <w:hideMark/>
          </w:tcPr>
          <w:p w14:paraId="350BA0C3" w14:textId="77777777" w:rsidR="005943B5" w:rsidRPr="005943B5" w:rsidRDefault="005943B5" w:rsidP="005943B5">
            <w:pPr>
              <w:pStyle w:val="TableHeaders"/>
              <w:rPr>
                <w:color w:val="000000"/>
              </w:rPr>
            </w:pPr>
            <w:r w:rsidRPr="005943B5">
              <w:t>Total FY 2024</w:t>
            </w:r>
          </w:p>
        </w:tc>
        <w:tc>
          <w:tcPr>
            <w:tcW w:w="2160" w:type="dxa"/>
            <w:shd w:val="clear" w:color="auto" w:fill="B8CCE4" w:themeFill="accent1" w:themeFillTint="66"/>
            <w:vAlign w:val="center"/>
            <w:hideMark/>
          </w:tcPr>
          <w:p w14:paraId="1A2336BA" w14:textId="77777777" w:rsidR="005943B5" w:rsidRPr="005943B5" w:rsidRDefault="005943B5" w:rsidP="005943B5">
            <w:pPr>
              <w:pStyle w:val="TableHeaders"/>
              <w:rPr>
                <w:color w:val="000000"/>
              </w:rPr>
            </w:pPr>
            <w:r w:rsidRPr="005943B5">
              <w:t>Federal Funding</w:t>
            </w:r>
          </w:p>
        </w:tc>
        <w:tc>
          <w:tcPr>
            <w:tcW w:w="1170" w:type="dxa"/>
            <w:shd w:val="clear" w:color="auto" w:fill="B8CCE4" w:themeFill="accent1" w:themeFillTint="66"/>
            <w:vAlign w:val="center"/>
            <w:hideMark/>
          </w:tcPr>
          <w:p w14:paraId="53F747E6" w14:textId="77777777" w:rsidR="005943B5" w:rsidRPr="005943B5" w:rsidRDefault="005943B5" w:rsidP="005943B5">
            <w:pPr>
              <w:pStyle w:val="TableHeaders"/>
              <w:rPr>
                <w:color w:val="000000"/>
              </w:rPr>
            </w:pPr>
            <w:r w:rsidRPr="005943B5">
              <w:t>State Funding</w:t>
            </w:r>
          </w:p>
        </w:tc>
      </w:tr>
      <w:tr w:rsidR="005943B5" w:rsidRPr="005943B5" w14:paraId="540C026B" w14:textId="77777777" w:rsidTr="0066690C">
        <w:trPr>
          <w:trHeight w:val="269"/>
        </w:trPr>
        <w:tc>
          <w:tcPr>
            <w:tcW w:w="3415" w:type="dxa"/>
            <w:noWrap/>
            <w:hideMark/>
          </w:tcPr>
          <w:p w14:paraId="77F813F2" w14:textId="77777777" w:rsidR="005943B5" w:rsidRPr="005943B5" w:rsidRDefault="005943B5" w:rsidP="005943B5">
            <w:pPr>
              <w:pStyle w:val="TableText"/>
            </w:pPr>
            <w:r w:rsidRPr="005943B5">
              <w:t>Employment Investigations and Enforcement</w:t>
            </w:r>
          </w:p>
        </w:tc>
        <w:tc>
          <w:tcPr>
            <w:tcW w:w="2430" w:type="dxa"/>
            <w:hideMark/>
          </w:tcPr>
          <w:p w14:paraId="03221EAF" w14:textId="099B8DDA" w:rsidR="005943B5" w:rsidRPr="005943B5" w:rsidRDefault="005943B5" w:rsidP="005943B5">
            <w:pPr>
              <w:pStyle w:val="TableText"/>
            </w:pPr>
            <w:r w:rsidRPr="005943B5">
              <w:t xml:space="preserve">2,154,041 </w:t>
            </w:r>
          </w:p>
        </w:tc>
        <w:tc>
          <w:tcPr>
            <w:tcW w:w="2160" w:type="dxa"/>
            <w:hideMark/>
          </w:tcPr>
          <w:p w14:paraId="4EFFC51D" w14:textId="5761F2FB" w:rsidR="005943B5" w:rsidRPr="005943B5" w:rsidRDefault="005943B5" w:rsidP="005943B5">
            <w:pPr>
              <w:pStyle w:val="TableText"/>
            </w:pPr>
            <w:r w:rsidRPr="005943B5">
              <w:t xml:space="preserve">724,366 </w:t>
            </w:r>
          </w:p>
        </w:tc>
        <w:tc>
          <w:tcPr>
            <w:tcW w:w="1170" w:type="dxa"/>
            <w:hideMark/>
          </w:tcPr>
          <w:p w14:paraId="4539C374" w14:textId="7F6A5CF8" w:rsidR="005943B5" w:rsidRPr="005943B5" w:rsidRDefault="005943B5" w:rsidP="005943B5">
            <w:pPr>
              <w:pStyle w:val="TableText"/>
            </w:pPr>
            <w:r w:rsidRPr="005943B5">
              <w:t xml:space="preserve">1,429,675 </w:t>
            </w:r>
          </w:p>
        </w:tc>
      </w:tr>
      <w:tr w:rsidR="005943B5" w:rsidRPr="005943B5" w14:paraId="2BCC1934" w14:textId="77777777" w:rsidTr="0066690C">
        <w:trPr>
          <w:trHeight w:val="449"/>
        </w:trPr>
        <w:tc>
          <w:tcPr>
            <w:tcW w:w="3415" w:type="dxa"/>
            <w:noWrap/>
            <w:hideMark/>
          </w:tcPr>
          <w:p w14:paraId="6BC5B56F" w14:textId="77777777" w:rsidR="005943B5" w:rsidRPr="005943B5" w:rsidRDefault="005943B5" w:rsidP="005943B5">
            <w:pPr>
              <w:pStyle w:val="TableText"/>
            </w:pPr>
            <w:r w:rsidRPr="005943B5">
              <w:t>Housing Investigations and Enforcement</w:t>
            </w:r>
          </w:p>
        </w:tc>
        <w:tc>
          <w:tcPr>
            <w:tcW w:w="2430" w:type="dxa"/>
            <w:hideMark/>
          </w:tcPr>
          <w:p w14:paraId="1ACE591D" w14:textId="656824B3" w:rsidR="005943B5" w:rsidRPr="005943B5" w:rsidRDefault="005943B5" w:rsidP="005943B5">
            <w:pPr>
              <w:pStyle w:val="TableText"/>
            </w:pPr>
            <w:r w:rsidRPr="005943B5">
              <w:t xml:space="preserve">2,078,432 </w:t>
            </w:r>
          </w:p>
        </w:tc>
        <w:tc>
          <w:tcPr>
            <w:tcW w:w="2160" w:type="dxa"/>
            <w:hideMark/>
          </w:tcPr>
          <w:p w14:paraId="793D75B0" w14:textId="29A35761" w:rsidR="005943B5" w:rsidRPr="005943B5" w:rsidRDefault="005943B5" w:rsidP="005943B5">
            <w:pPr>
              <w:pStyle w:val="TableText"/>
            </w:pPr>
            <w:r w:rsidRPr="005943B5">
              <w:t xml:space="preserve">1,090,141 </w:t>
            </w:r>
          </w:p>
        </w:tc>
        <w:tc>
          <w:tcPr>
            <w:tcW w:w="1170" w:type="dxa"/>
            <w:hideMark/>
          </w:tcPr>
          <w:p w14:paraId="45D8DE11" w14:textId="756F7CAC" w:rsidR="005943B5" w:rsidRPr="005943B5" w:rsidRDefault="005943B5" w:rsidP="005943B5">
            <w:pPr>
              <w:pStyle w:val="TableText"/>
            </w:pPr>
            <w:r w:rsidRPr="005943B5">
              <w:t xml:space="preserve">988,292 </w:t>
            </w:r>
          </w:p>
        </w:tc>
      </w:tr>
      <w:tr w:rsidR="00565AF8" w:rsidRPr="005943B5" w14:paraId="631352DF" w14:textId="77777777" w:rsidTr="0066690C">
        <w:trPr>
          <w:trHeight w:val="449"/>
        </w:trPr>
        <w:tc>
          <w:tcPr>
            <w:tcW w:w="3415" w:type="dxa"/>
            <w:noWrap/>
          </w:tcPr>
          <w:p w14:paraId="26C30D39" w14:textId="6F09F971" w:rsidR="00565AF8" w:rsidRPr="005943B5" w:rsidRDefault="00565AF8" w:rsidP="005943B5">
            <w:pPr>
              <w:pStyle w:val="TableText"/>
            </w:pPr>
            <w:r>
              <w:t>Total</w:t>
            </w:r>
          </w:p>
        </w:tc>
        <w:tc>
          <w:tcPr>
            <w:tcW w:w="2430" w:type="dxa"/>
          </w:tcPr>
          <w:p w14:paraId="23DEFB61" w14:textId="776DE550" w:rsidR="00565AF8" w:rsidRPr="005943B5" w:rsidRDefault="00565AF8" w:rsidP="005943B5">
            <w:pPr>
              <w:pStyle w:val="TableText"/>
            </w:pPr>
            <w:r>
              <w:t>4,232,473</w:t>
            </w:r>
          </w:p>
        </w:tc>
        <w:tc>
          <w:tcPr>
            <w:tcW w:w="2160" w:type="dxa"/>
          </w:tcPr>
          <w:p w14:paraId="3C5E9081" w14:textId="06FE7F5E" w:rsidR="00565AF8" w:rsidRPr="005943B5" w:rsidRDefault="001A01FA" w:rsidP="005943B5">
            <w:pPr>
              <w:pStyle w:val="TableText"/>
            </w:pPr>
            <w:r>
              <w:t>1,814,507</w:t>
            </w:r>
          </w:p>
        </w:tc>
        <w:tc>
          <w:tcPr>
            <w:tcW w:w="1170" w:type="dxa"/>
          </w:tcPr>
          <w:p w14:paraId="12DA7DA8" w14:textId="2C908A92" w:rsidR="00565AF8" w:rsidRPr="005943B5" w:rsidRDefault="001A01FA" w:rsidP="005943B5">
            <w:pPr>
              <w:pStyle w:val="TableText"/>
            </w:pPr>
            <w:r>
              <w:t>2,417,967</w:t>
            </w:r>
          </w:p>
        </w:tc>
      </w:tr>
    </w:tbl>
    <w:p w14:paraId="72559504" w14:textId="698E48F8" w:rsidR="00D47CD7" w:rsidRPr="00D47CD7" w:rsidRDefault="00D47CD7" w:rsidP="00D47CD7">
      <w:pPr>
        <w:pStyle w:val="BodyText"/>
      </w:pPr>
      <w:r w:rsidRPr="005943B5">
        <w:t>This section intentionally left blank, as instructed.</w:t>
      </w:r>
      <w:r w:rsidRPr="00D47CD7">
        <w:t> </w:t>
      </w:r>
    </w:p>
    <w:p w14:paraId="12029C29" w14:textId="77777777" w:rsidR="00D47CD7" w:rsidRPr="00F55734" w:rsidRDefault="00D47CD7" w:rsidP="00C218B4">
      <w:pPr>
        <w:pStyle w:val="BodyText3"/>
        <w:ind w:left="720" w:hanging="720"/>
      </w:pPr>
      <w:r w:rsidRPr="00F55734">
        <w:t>H.</w:t>
      </w:r>
      <w:r w:rsidRPr="00F55734">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092D9C47" w14:textId="5E7FA98F" w:rsidR="00D47CD7" w:rsidRPr="00F55734" w:rsidRDefault="00605B1B" w:rsidP="00F55734">
      <w:pPr>
        <w:pStyle w:val="BodyText"/>
      </w:pPr>
      <w:r>
        <w:t>CRD</w:t>
      </w:r>
      <w:r w:rsidR="00D47CD7" w:rsidRPr="00F55734">
        <w:t xml:space="preserve"> enters into an Annual Workshare Agreement and contract with the U.S. Equal Employment Opportunity Commission (EEOC) State, Local and Tribal Programs Coordinators (SLTP). The Division also enforces the Texas Fair Housing Act. The U.S. Department of Housing and Urban Development (HUD) enters into a cooperative agreement with the Division. The agreements address procedures to avoid duplication and conflicting processes. </w:t>
      </w:r>
    </w:p>
    <w:p w14:paraId="35D0F8EE" w14:textId="77777777" w:rsidR="00D47CD7" w:rsidRPr="000F79ED" w:rsidRDefault="00D47CD7" w:rsidP="005A35A5">
      <w:pPr>
        <w:pStyle w:val="BodyText"/>
        <w:rPr>
          <w:u w:val="single"/>
        </w:rPr>
      </w:pPr>
      <w:r w:rsidRPr="000F79ED">
        <w:rPr>
          <w:u w:val="single"/>
        </w:rPr>
        <w:t>Local or Municipality: Cities of Austin, Fort Worth, and San Antonio.  </w:t>
      </w:r>
    </w:p>
    <w:p w14:paraId="2CEA9196" w14:textId="77777777" w:rsidR="00D47CD7" w:rsidRPr="00D47CD7" w:rsidRDefault="00D47CD7" w:rsidP="000F79ED">
      <w:pPr>
        <w:pStyle w:val="BodyText"/>
      </w:pPr>
      <w:r w:rsidRPr="00D47CD7">
        <w:t xml:space="preserve">Municipal Fair Housing Assistance Programs (FHAPs) are like CRD in that they enter into contracts and </w:t>
      </w:r>
      <w:proofErr w:type="gramStart"/>
      <w:r w:rsidRPr="00D47CD7">
        <w:t>MOU’s</w:t>
      </w:r>
      <w:proofErr w:type="gramEnd"/>
      <w:r w:rsidRPr="00D47CD7">
        <w:t xml:space="preserve"> to enforce the Fair Housing Laws under State law and their particular city ordinances.  </w:t>
      </w:r>
    </w:p>
    <w:p w14:paraId="3DDFFA23" w14:textId="77777777" w:rsidR="00D47CD7" w:rsidRPr="00D47CD7" w:rsidRDefault="00D47CD7" w:rsidP="000F79ED">
      <w:pPr>
        <w:pStyle w:val="BodyText"/>
      </w:pPr>
      <w:r w:rsidRPr="00D47CD7">
        <w:t>CRD does not have possess jurisdiction over the municipalities unless there is an agreement to waive investigation to CRD for a matter under the Texas Fair Housing Act.   </w:t>
      </w:r>
    </w:p>
    <w:p w14:paraId="548BF7F7" w14:textId="77777777" w:rsidR="00D47CD7" w:rsidRPr="00D47CD7" w:rsidRDefault="00D47CD7" w:rsidP="00C64851">
      <w:pPr>
        <w:pStyle w:val="BodyText"/>
        <w:numPr>
          <w:ilvl w:val="0"/>
          <w:numId w:val="338"/>
        </w:numPr>
      </w:pPr>
      <w:r w:rsidRPr="00D47CD7">
        <w:t>The City of Fort Worth Diversity &amp; Inclusion Department and The City of Austin Office of Civil Rights perform independent intake processing, alternative dispute resolution services, and investigations into employment and housing discrimination complaints with their respective city limits. Their statutory authority includes relevant Texas codes and local ordinances which include additional protections. </w:t>
      </w:r>
    </w:p>
    <w:p w14:paraId="650896CB" w14:textId="77777777" w:rsidR="00D47CD7" w:rsidRPr="00D47CD7" w:rsidRDefault="00D47CD7" w:rsidP="00C64851">
      <w:pPr>
        <w:pStyle w:val="BodyText"/>
        <w:numPr>
          <w:ilvl w:val="0"/>
          <w:numId w:val="338"/>
        </w:numPr>
      </w:pPr>
      <w:r w:rsidRPr="00D47CD7">
        <w:lastRenderedPageBreak/>
        <w:t>The City of San Antonio operates an independent fair housing program that provides various services to rental tenants, homeowners and landlords that is not reliant upon HUD programs. </w:t>
      </w:r>
    </w:p>
    <w:p w14:paraId="7D292AB7" w14:textId="77777777" w:rsidR="00D47CD7" w:rsidRPr="00D47CD7" w:rsidRDefault="00D47CD7" w:rsidP="00C64851">
      <w:pPr>
        <w:pStyle w:val="BodyText"/>
        <w:numPr>
          <w:ilvl w:val="0"/>
          <w:numId w:val="338"/>
        </w:numPr>
      </w:pPr>
      <w:r w:rsidRPr="00D47CD7">
        <w:t>The Fair Housing Council of South Texas operates Fair Housing Initiative Program (FHIP) under HUD’s Fair Housing and Equal Opportunity (FHEO) Program that is dedicated to the promotion of fair housing and provides advocacy for individuals that claim to experience discrimination under the law. </w:t>
      </w:r>
    </w:p>
    <w:p w14:paraId="2F58ABD6" w14:textId="77777777" w:rsidR="00D47CD7" w:rsidRPr="002F1932" w:rsidRDefault="00D47CD7" w:rsidP="002F1932">
      <w:pPr>
        <w:pStyle w:val="BodyText"/>
        <w:rPr>
          <w:u w:val="single"/>
        </w:rPr>
      </w:pPr>
      <w:r w:rsidRPr="002F1932">
        <w:rPr>
          <w:u w:val="single"/>
        </w:rPr>
        <w:t>Federal: Equal Employment Opportunity Commission Housing and Urban Development and the Fair Housing Practice Agency </w:t>
      </w:r>
    </w:p>
    <w:p w14:paraId="77C5063B" w14:textId="18FDF278" w:rsidR="00D47CD7" w:rsidRPr="00D47CD7" w:rsidRDefault="00D47CD7" w:rsidP="002F1932">
      <w:pPr>
        <w:pStyle w:val="BodyText"/>
      </w:pPr>
      <w:r w:rsidRPr="00D47CD7">
        <w:t>EEOC contracts with CRD to investigate employment complaints throughout the state with the exceptions of the City of Fort Worth and the City of Austin (FEPAAS) who have contracts with the EEOC to investigate employment discrimination complaints and their respective local ordinances. </w:t>
      </w:r>
    </w:p>
    <w:p w14:paraId="5C8D0F4D" w14:textId="77777777" w:rsidR="00D47CD7" w:rsidRPr="00D47CD7" w:rsidRDefault="00D47CD7" w:rsidP="002F1932">
      <w:pPr>
        <w:pStyle w:val="BodyText"/>
      </w:pPr>
      <w:r w:rsidRPr="00D47CD7">
        <w:t>CRD does not possess jurisdiction over the municipalities unless there is an agreement to waive investigation to CRD for a matter under Chapter 21 of the Texas Labor Code. </w:t>
      </w:r>
    </w:p>
    <w:p w14:paraId="2A90DF35" w14:textId="2BC35EA5" w:rsidR="00D47CD7" w:rsidRPr="00D47CD7" w:rsidRDefault="00D47CD7" w:rsidP="002F1932">
      <w:pPr>
        <w:pStyle w:val="BodyText"/>
      </w:pPr>
      <w:r w:rsidRPr="00D47CD7">
        <w:t>HUD contracts with CRD to investigate housing complaints throughout the state with the exceptions of the cities of Austin, Fort Worth, San Antonio, and Fair Housing Council of South Texas who have contracts with HUD to investigate housing discrimination complaints and their respective local ordinances.  </w:t>
      </w:r>
    </w:p>
    <w:p w14:paraId="12CFACC1" w14:textId="708A163C" w:rsidR="00D47CD7" w:rsidRPr="002F1932" w:rsidRDefault="00D47CD7" w:rsidP="002F1932">
      <w:pPr>
        <w:pStyle w:val="BodyText"/>
      </w:pPr>
      <w:r w:rsidRPr="00D47CD7">
        <w:t xml:space="preserve">CRD does not possess jurisdiction over the municipalities unless an agreement to waive </w:t>
      </w:r>
      <w:r w:rsidRPr="002F1932">
        <w:t>investigation to CRD for a matter under Texas Property Code Chapter 301.</w:t>
      </w:r>
    </w:p>
    <w:p w14:paraId="442319F1" w14:textId="09D6BF99" w:rsidR="00D47CD7" w:rsidRPr="002F1932" w:rsidRDefault="00D47CD7" w:rsidP="00E768A5">
      <w:pPr>
        <w:pStyle w:val="BodyText3"/>
        <w:numPr>
          <w:ilvl w:val="2"/>
          <w:numId w:val="45"/>
        </w:numPr>
        <w:ind w:left="720"/>
      </w:pPr>
      <w:r w:rsidRPr="002F1932">
        <w:t>If the division or program works with local, regional, or federal units of government, include a brief description of these entities and their relationship to the agency. </w:t>
      </w:r>
    </w:p>
    <w:p w14:paraId="11A70460" w14:textId="77777777" w:rsidR="00D47CD7" w:rsidRPr="00D47CD7" w:rsidRDefault="00D47CD7" w:rsidP="002F1932">
      <w:pPr>
        <w:pStyle w:val="BodyText"/>
      </w:pPr>
      <w:r w:rsidRPr="00D47CD7">
        <w:t>CRD has expanded outreach and impact through strategic collaborations with a range of external and internal partners. We augmented our community presence through partnerships with municipalities to on enforcement, outreach, and education initiatives. We leveraged relationships with industry associations, including the Association of Texas Appraisers, the Texas Apartment Association, and the Texas Realtor Association, to ensure alignment and cooperation in our regulatory efforts.   </w:t>
      </w:r>
    </w:p>
    <w:p w14:paraId="4F5F97D6" w14:textId="0112A69A" w:rsidR="00D47CD7" w:rsidRPr="00D47CD7" w:rsidRDefault="00D47CD7" w:rsidP="002F1932">
      <w:pPr>
        <w:pStyle w:val="BodyText"/>
      </w:pPr>
      <w:r w:rsidRPr="00D47CD7">
        <w:t>CRD remains engaged in partnerships with state agencies, notably the Texas Appraiser and Licensing Board and the Texas Department of Housing and Community Affairs, to share resources, achieve efficient enforcement and streamline investigative and technical assistance processes. CRD hosted its first Annual Symposium in collaboration with LWDB Workforce Solutions</w:t>
      </w:r>
      <w:r w:rsidR="00605B1B">
        <w:t xml:space="preserve"> for the Heart of Texas</w:t>
      </w:r>
      <w:r w:rsidRPr="00D47CD7">
        <w:t xml:space="preserve">, utilizing our partnerships to develop strategy, skills and a durable knowledge base. CRD participated in the Multi-Family Housing Summit </w:t>
      </w:r>
      <w:r w:rsidRPr="00D47CD7">
        <w:lastRenderedPageBreak/>
        <w:t>with the South Texas College of Law to educate housing providers and share best practices with housing providers and representative counsel. </w:t>
      </w:r>
    </w:p>
    <w:p w14:paraId="2150D917" w14:textId="3E7F2EE6" w:rsidR="00D47CD7" w:rsidRPr="00D47CD7" w:rsidRDefault="00D47CD7" w:rsidP="002F1932">
      <w:pPr>
        <w:pStyle w:val="BodyText"/>
      </w:pPr>
      <w:r w:rsidRPr="00D47CD7">
        <w:t>Internally, CRD has fostered partnerships within TWC. This included collaboration with the Commissioner Representing Employers to participate in Texas Employers’ Conferences statewide, and drive state agencies and institutes of higher education attendance for greater preparedness for personnel and policy reviews. </w:t>
      </w:r>
    </w:p>
    <w:p w14:paraId="35A513DC" w14:textId="77777777" w:rsidR="00D47CD7" w:rsidRPr="00D47CD7" w:rsidRDefault="00D47CD7" w:rsidP="002F1932">
      <w:pPr>
        <w:pStyle w:val="BodyText"/>
      </w:pPr>
      <w:r w:rsidRPr="00D47CD7">
        <w:t>TWC Communications &amp; Media has been a key partner in constructing targeted customer, education, marketing and branding initiatives. CRD has further cultivated internal talent through a TWC’s summer and legal internship with the Human Resources and Appeals Divisions. </w:t>
      </w:r>
    </w:p>
    <w:p w14:paraId="18F7A3DC" w14:textId="77777777" w:rsidR="00D47CD7" w:rsidRPr="00D47CD7" w:rsidRDefault="00D47CD7" w:rsidP="002F1932">
      <w:pPr>
        <w:pStyle w:val="BodyText"/>
      </w:pPr>
      <w:r w:rsidRPr="00D47CD7">
        <w:t>These collaborations have allowed us to leverage collective expertise, drive engagement, and achieve greater effectiveness in serving the community. </w:t>
      </w:r>
    </w:p>
    <w:p w14:paraId="6F55E697" w14:textId="77777777" w:rsidR="00D47CD7" w:rsidRPr="002F1932" w:rsidRDefault="00D47CD7" w:rsidP="00C218B4">
      <w:pPr>
        <w:pStyle w:val="BodyText3"/>
        <w:ind w:left="720" w:hanging="720"/>
      </w:pPr>
      <w:r w:rsidRPr="002F1932">
        <w:t>J.</w:t>
      </w:r>
      <w:r w:rsidRPr="002F1932">
        <w:tab/>
        <w:t>Are there any barriers or challenges that impede the division or program’s performance, including any outdated or ineffective state laws? Explain. </w:t>
      </w:r>
    </w:p>
    <w:p w14:paraId="4D7C2D7C" w14:textId="77777777" w:rsidR="00D47CD7" w:rsidRPr="00D47CD7" w:rsidRDefault="00D47CD7" w:rsidP="002F1932">
      <w:pPr>
        <w:pStyle w:val="BodyText"/>
      </w:pPr>
      <w:r w:rsidRPr="00D47CD7">
        <w:t>Please see the major issues section of the SER for more information on statutory challenges impacting CRD. </w:t>
      </w:r>
    </w:p>
    <w:p w14:paraId="2FE9C6FD" w14:textId="77777777" w:rsidR="00D47CD7" w:rsidRPr="002F1932" w:rsidRDefault="00D47CD7" w:rsidP="00C218B4">
      <w:pPr>
        <w:pStyle w:val="BodyText3"/>
        <w:ind w:left="720" w:hanging="720"/>
      </w:pPr>
      <w:r w:rsidRPr="002F1932">
        <w:t>K.</w:t>
      </w:r>
      <w:r w:rsidRPr="002F1932">
        <w:tab/>
        <w:t>Provide any additional information needed to gain a preliminary understanding of the division or program. </w:t>
      </w:r>
    </w:p>
    <w:p w14:paraId="73051E6A" w14:textId="77777777" w:rsidR="00D47CD7" w:rsidRPr="00D47CD7" w:rsidRDefault="00D47CD7" w:rsidP="002F1932">
      <w:pPr>
        <w:pStyle w:val="BodyText"/>
      </w:pPr>
      <w:r w:rsidRPr="00D47CD7">
        <w:t>Fair Housing Assistance Program (FHAP) Performance Assessment Review, July 01, 2021 – June 30, 2022. This assessment, conducted by HUD, evaluates TWC Civil Rights Division's compliance with Fair Housing Assistance Program (FHAP) regulations (24 CFR Part 115) and Processing Criteria. Successful completion of this assessment is required for HUD to renew our FHAP certification for the next five years. </w:t>
      </w:r>
    </w:p>
    <w:p w14:paraId="33F2BB98" w14:textId="77777777" w:rsidR="00D47CD7" w:rsidRPr="00D47CD7" w:rsidRDefault="00D47CD7" w:rsidP="00D47CD7">
      <w:pPr>
        <w:pStyle w:val="BodyText"/>
        <w:rPr>
          <w:rStyle w:val="Hyperlink"/>
        </w:rPr>
      </w:pPr>
      <w:hyperlink r:id="rId103" w:tgtFrame="_blank" w:history="1">
        <w:r w:rsidRPr="00D47CD7">
          <w:rPr>
            <w:rStyle w:val="Hyperlink"/>
          </w:rPr>
          <w:t>PAR LOF TWC FY22 05.21.2024.pdf</w:t>
        </w:r>
      </w:hyperlink>
      <w:r w:rsidRPr="00D47CD7">
        <w:rPr>
          <w:rStyle w:val="Hyperlink"/>
        </w:rPr>
        <w:t>  </w:t>
      </w:r>
    </w:p>
    <w:p w14:paraId="4405FB8F" w14:textId="77777777" w:rsidR="00D47CD7" w:rsidRPr="00D47CD7" w:rsidRDefault="00D47CD7" w:rsidP="00D47CD7">
      <w:pPr>
        <w:pStyle w:val="BodyText"/>
        <w:rPr>
          <w:rStyle w:val="Hyperlink"/>
        </w:rPr>
      </w:pPr>
      <w:hyperlink r:id="rId104" w:tgtFrame="_blank" w:history="1">
        <w:r w:rsidRPr="00D47CD7">
          <w:rPr>
            <w:rStyle w:val="Hyperlink"/>
          </w:rPr>
          <w:t>Texas Executed FY25 MOU Addendum</w:t>
        </w:r>
      </w:hyperlink>
      <w:r w:rsidRPr="00D47CD7">
        <w:rPr>
          <w:rStyle w:val="Hyperlink"/>
        </w:rPr>
        <w:t> </w:t>
      </w:r>
    </w:p>
    <w:p w14:paraId="2749539E" w14:textId="3036F410" w:rsidR="00D47CD7" w:rsidRPr="00D47CD7" w:rsidRDefault="00605B1B" w:rsidP="002F1932">
      <w:pPr>
        <w:pStyle w:val="BodyText"/>
      </w:pPr>
      <w:r>
        <w:t>CRD</w:t>
      </w:r>
      <w:r w:rsidR="00D47CD7" w:rsidRPr="00D47CD7">
        <w:t xml:space="preserve"> is recommended for renewal and extension of certification for the next 5 years as a substantial equivalent agency under Section 810(f)(3) of the Fair Housing Act.  </w:t>
      </w:r>
    </w:p>
    <w:p w14:paraId="4813904D" w14:textId="77777777" w:rsidR="00D47CD7" w:rsidRPr="005B25E9" w:rsidRDefault="00D47CD7" w:rsidP="00061590">
      <w:pPr>
        <w:pStyle w:val="BodyText3"/>
        <w:ind w:left="720" w:hanging="720"/>
      </w:pPr>
      <w:r w:rsidRPr="005B25E9">
        <w:t>L.</w:t>
      </w:r>
      <w:r w:rsidRPr="005B25E9">
        <w:tab/>
        <w:t>Regulatory programs relate to the licensing, registration, certification, or permitting of a person, business, piece of equipment, or other entity (e.g., a facility). For each regulatory program, if applicable, describe: </w:t>
      </w:r>
    </w:p>
    <w:p w14:paraId="3193BE9A" w14:textId="77777777" w:rsidR="00D47CD7" w:rsidRPr="00D47CD7" w:rsidRDefault="00D47CD7" w:rsidP="005B25E9">
      <w:pPr>
        <w:pStyle w:val="BodyText"/>
      </w:pPr>
      <w:r w:rsidRPr="00D47CD7">
        <w:t>N/A </w:t>
      </w:r>
    </w:p>
    <w:p w14:paraId="0C03F19D" w14:textId="77777777" w:rsidR="00D47CD7" w:rsidRPr="005B25E9" w:rsidRDefault="00D47CD7" w:rsidP="00061590">
      <w:pPr>
        <w:pStyle w:val="BodyText3"/>
        <w:ind w:left="720" w:hanging="720"/>
      </w:pPr>
      <w:r w:rsidRPr="005B25E9">
        <w:t>M.</w:t>
      </w:r>
      <w:r w:rsidRPr="005B25E9">
        <w:tab/>
        <w:t xml:space="preserve">For each regulatory program, if applicable, provide detailed information on complaint and regulatory actions, including investigations and complaint resolutions. The data should cover the last five fiscal years and give a </w:t>
      </w:r>
      <w:r w:rsidRPr="005B25E9">
        <w:lastRenderedPageBreak/>
        <w:t>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0E58DB72" w14:textId="2ADD656F" w:rsidR="00920C8A" w:rsidRDefault="00D47CD7" w:rsidP="005B25E9">
      <w:pPr>
        <w:pStyle w:val="BodyText"/>
      </w:pPr>
      <w:r w:rsidRPr="00D47CD7">
        <w:t>N/A </w:t>
      </w:r>
    </w:p>
    <w:p w14:paraId="0A892FDD" w14:textId="77777777" w:rsidR="00920C8A" w:rsidRDefault="00920C8A">
      <w:pPr>
        <w:rPr>
          <w:rFonts w:ascii="Arial" w:eastAsiaTheme="minorEastAsia" w:hAnsi="Arial"/>
          <w:b/>
          <w:szCs w:val="22"/>
        </w:rPr>
      </w:pPr>
      <w:r>
        <w:br w:type="page"/>
      </w:r>
    </w:p>
    <w:p w14:paraId="512E3618" w14:textId="77777777" w:rsidR="00C468CB" w:rsidRPr="00C468CB" w:rsidRDefault="00C468CB" w:rsidP="00577012">
      <w:pPr>
        <w:pStyle w:val="Heading3"/>
      </w:pPr>
      <w:bookmarkStart w:id="216" w:name="_Toc768781796"/>
      <w:bookmarkStart w:id="217" w:name="_Toc203377324"/>
      <w:r w:rsidRPr="00C468CB">
        <w:lastRenderedPageBreak/>
        <w:t>Unemployment Insurance Division</w:t>
      </w:r>
      <w:bookmarkEnd w:id="216"/>
      <w:bookmarkEnd w:id="217"/>
      <w:r w:rsidRPr="00C468CB">
        <w:t xml:space="preserve"> </w:t>
      </w:r>
    </w:p>
    <w:p w14:paraId="74DE2948" w14:textId="3B7976B0" w:rsidR="00C468CB" w:rsidRDefault="00C468CB" w:rsidP="002C6A39">
      <w:pPr>
        <w:pStyle w:val="BodyText"/>
      </w:pPr>
      <w:r w:rsidRPr="00C468CB">
        <w:t>TWC's Unemployment Insurance (UI) program provides temporary financial assistance to eligible unemployed Texans, supporting re-employment efforts and helping to stabilize the state's economy.</w:t>
      </w:r>
    </w:p>
    <w:p w14:paraId="7A574486" w14:textId="2725AFD7" w:rsidR="00C90FFE" w:rsidRPr="00C90FFE" w:rsidRDefault="00C90FFE" w:rsidP="00C90FFE">
      <w:pPr>
        <w:pStyle w:val="BodyText3"/>
      </w:pPr>
      <w:r w:rsidRPr="00C90FFE">
        <w:t>Unemployment Benefits Program</w:t>
      </w:r>
    </w:p>
    <w:p w14:paraId="0DB97ABD" w14:textId="77777777" w:rsidR="000911A0" w:rsidRPr="00861201" w:rsidRDefault="000911A0" w:rsidP="00861201">
      <w:pPr>
        <w:pStyle w:val="BodyText3"/>
      </w:pPr>
      <w:r w:rsidRPr="00861201">
        <w:t>A.</w:t>
      </w:r>
      <w:r w:rsidRPr="00861201">
        <w:tab/>
        <w:t>Provide the following information at the beginning of each description. </w:t>
      </w:r>
    </w:p>
    <w:p w14:paraId="1FA651EC" w14:textId="77777777" w:rsidR="000911A0" w:rsidRPr="000911A0" w:rsidRDefault="000911A0" w:rsidP="00861201">
      <w:pPr>
        <w:pStyle w:val="BodyText"/>
      </w:pPr>
      <w:r w:rsidRPr="000911A0">
        <w:t>Name of division or program: Unemployment Benefits Program </w:t>
      </w:r>
    </w:p>
    <w:p w14:paraId="4AA17E9F" w14:textId="77777777" w:rsidR="000911A0" w:rsidRPr="000911A0" w:rsidRDefault="000911A0" w:rsidP="00861201">
      <w:pPr>
        <w:pStyle w:val="BodyText"/>
      </w:pPr>
      <w:r w:rsidRPr="000911A0">
        <w:t>Location within the agency: Unemployment Insurance Division </w:t>
      </w:r>
    </w:p>
    <w:p w14:paraId="30837E94" w14:textId="77777777" w:rsidR="000911A0" w:rsidRPr="000911A0" w:rsidRDefault="000911A0" w:rsidP="00861201">
      <w:pPr>
        <w:pStyle w:val="BodyText"/>
      </w:pPr>
      <w:r w:rsidRPr="000911A0">
        <w:t>Contact name: Eric Holen / Terri Warren (UIA&amp;OS) / Diana Harris (UICS) / Sergio Lopez (UI-Tax) </w:t>
      </w:r>
    </w:p>
    <w:p w14:paraId="1C83D566" w14:textId="18937EB9" w:rsidR="0078799A" w:rsidRDefault="000911A0" w:rsidP="000861D7">
      <w:pPr>
        <w:pStyle w:val="BodyText"/>
      </w:pPr>
      <w:r w:rsidRPr="000911A0">
        <w:t>Statutory citation: </w:t>
      </w:r>
      <w:r w:rsidR="008D35B3">
        <w:t>Texas Labor Code</w:t>
      </w:r>
      <w:r w:rsidRPr="000911A0">
        <w:t>, Chapters 201 – 215</w:t>
      </w:r>
      <w:r w:rsidR="006214D1">
        <w:t>; Chapter 301 Section 301.061</w:t>
      </w:r>
      <w:r w:rsidRPr="000911A0">
        <w:t xml:space="preserve"> </w:t>
      </w:r>
    </w:p>
    <w:p w14:paraId="67D3F0AF" w14:textId="77777777" w:rsidR="000911A0" w:rsidRPr="00861201" w:rsidRDefault="000911A0" w:rsidP="00861201">
      <w:pPr>
        <w:pStyle w:val="BodyText3"/>
      </w:pPr>
      <w:r w:rsidRPr="00861201">
        <w:t>B.</w:t>
      </w:r>
      <w:r w:rsidRPr="00861201">
        <w:tab/>
        <w:t>What is the objective of this division or program? Describe its major activities. </w:t>
      </w:r>
    </w:p>
    <w:p w14:paraId="48C54776" w14:textId="77777777" w:rsidR="000911A0" w:rsidRPr="000911A0" w:rsidRDefault="000911A0" w:rsidP="00861201">
      <w:pPr>
        <w:pStyle w:val="BodyText"/>
      </w:pPr>
      <w:r w:rsidRPr="000911A0">
        <w:t>The Unemployment Compensation (UC) program also known as the UI benefits program provides temporary, partial income replacement to individuals who lose their jobs through no fault of their own. Those payments made directly to eligible unemployed workers ensure that the need for at least a significant proportion of the necessities of life—most notably food, shelter, and clothing—can be met on a week-to-week basis while a search for work takes place. As temporary, partial wage replacement to the unemployed, UC is of vital importance in maintaining purchasing power and in stabilizing the economy in times of economic downturn. </w:t>
      </w:r>
    </w:p>
    <w:p w14:paraId="53534432" w14:textId="77777777" w:rsidR="000911A0" w:rsidRPr="000911A0" w:rsidRDefault="000911A0" w:rsidP="00861201">
      <w:pPr>
        <w:pStyle w:val="BodyText"/>
      </w:pPr>
      <w:r w:rsidRPr="000911A0">
        <w:t>In addition to providing workers a much-needed safety net, the UC program provides employers the benefit of maintaining a trained workforce in the local labor market, available to return to work when needed. The UC program operates counter-cyclically, paying out higher levels of benefits during recessionary times and recouping those higher costs during recovery periods. </w:t>
      </w:r>
    </w:p>
    <w:p w14:paraId="3C6C1332" w14:textId="33748C44" w:rsidR="000911A0" w:rsidRPr="000911A0" w:rsidRDefault="000911A0" w:rsidP="00861201">
      <w:pPr>
        <w:pStyle w:val="BodyText"/>
      </w:pPr>
      <w:r w:rsidRPr="000911A0">
        <w:t>The U</w:t>
      </w:r>
      <w:r w:rsidR="006075D7">
        <w:t>I</w:t>
      </w:r>
      <w:r w:rsidRPr="000911A0">
        <w:t xml:space="preserve"> benefits program meets its responsibilities by processing claims for benefits, providing information to the public and interested parties, ensuring programmatic quality and adherence to federal and state law, administrative rules, and performance standards. </w:t>
      </w:r>
    </w:p>
    <w:p w14:paraId="1929479F" w14:textId="77777777" w:rsidR="000911A0" w:rsidRPr="000911A0" w:rsidRDefault="000911A0" w:rsidP="00861201">
      <w:pPr>
        <w:pStyle w:val="BodyText"/>
      </w:pPr>
      <w:r w:rsidRPr="000911A0">
        <w:t>Specifically, the program activities include: </w:t>
      </w:r>
    </w:p>
    <w:p w14:paraId="5FAD6C29" w14:textId="77777777" w:rsidR="000911A0" w:rsidRPr="000911A0" w:rsidRDefault="000911A0" w:rsidP="00C64851">
      <w:pPr>
        <w:pStyle w:val="BodyText"/>
        <w:numPr>
          <w:ilvl w:val="0"/>
          <w:numId w:val="383"/>
        </w:numPr>
      </w:pPr>
      <w:r w:rsidRPr="000911A0">
        <w:t xml:space="preserve">Accepting and processing claims for unemployment benefits, Disaster Unemployment Assistance (DUA), Emergency Unemployment Compensation, and </w:t>
      </w:r>
      <w:r w:rsidRPr="000911A0">
        <w:lastRenderedPageBreak/>
        <w:t>Short Time Compensation. The program formerly provided Trade Readjustment Assistance (TRA), however, that program was not renewed. </w:t>
      </w:r>
    </w:p>
    <w:p w14:paraId="1B1B5316" w14:textId="77777777" w:rsidR="000911A0" w:rsidRPr="000911A0" w:rsidRDefault="000911A0" w:rsidP="00C64851">
      <w:pPr>
        <w:pStyle w:val="BodyText"/>
        <w:numPr>
          <w:ilvl w:val="0"/>
          <w:numId w:val="383"/>
        </w:numPr>
      </w:pPr>
      <w:r w:rsidRPr="000911A0">
        <w:t xml:space="preserve">Providing information to claimants, employers, and the </w:t>
      </w:r>
      <w:proofErr w:type="gramStart"/>
      <w:r w:rsidRPr="000911A0">
        <w:t>general public</w:t>
      </w:r>
      <w:proofErr w:type="gramEnd"/>
      <w:r w:rsidRPr="000911A0">
        <w:t xml:space="preserve"> about the unemployment program and about other TWC reemployment efforts. </w:t>
      </w:r>
    </w:p>
    <w:p w14:paraId="024F45F1" w14:textId="77777777" w:rsidR="000911A0" w:rsidRPr="000911A0" w:rsidRDefault="000911A0" w:rsidP="00C64851">
      <w:pPr>
        <w:pStyle w:val="BodyText"/>
        <w:numPr>
          <w:ilvl w:val="0"/>
          <w:numId w:val="383"/>
        </w:numPr>
      </w:pPr>
      <w:r w:rsidRPr="000911A0">
        <w:t>Providing information to claimants and employers about the status of individual claims for benefits. </w:t>
      </w:r>
    </w:p>
    <w:p w14:paraId="363AE4F3" w14:textId="77777777" w:rsidR="000911A0" w:rsidRPr="000911A0" w:rsidRDefault="000911A0" w:rsidP="00C64851">
      <w:pPr>
        <w:pStyle w:val="BodyText"/>
        <w:numPr>
          <w:ilvl w:val="0"/>
          <w:numId w:val="383"/>
        </w:numPr>
      </w:pPr>
      <w:r w:rsidRPr="000911A0">
        <w:t>Investigating and documenting facts provided by employers, claimants, and other parties and adjudicating questions of fact that arise in connection with claims. </w:t>
      </w:r>
    </w:p>
    <w:p w14:paraId="0C6E132D" w14:textId="77777777" w:rsidR="000911A0" w:rsidRPr="000911A0" w:rsidRDefault="000911A0" w:rsidP="00C64851">
      <w:pPr>
        <w:pStyle w:val="BodyText"/>
        <w:numPr>
          <w:ilvl w:val="0"/>
          <w:numId w:val="383"/>
        </w:numPr>
      </w:pPr>
      <w:r w:rsidRPr="000911A0">
        <w:t xml:space="preserve">Maintaining qualitative and quantitative performance standards by individual claims takers, claims examiners, management staff, and by the claims taking </w:t>
      </w:r>
      <w:proofErr w:type="gramStart"/>
      <w:r w:rsidRPr="000911A0">
        <w:t>system as a whole</w:t>
      </w:r>
      <w:proofErr w:type="gramEnd"/>
      <w:r w:rsidRPr="000911A0">
        <w:t>. </w:t>
      </w:r>
    </w:p>
    <w:p w14:paraId="5AF0150E" w14:textId="010A608C" w:rsidR="000911A0" w:rsidRPr="000911A0" w:rsidRDefault="000911A0" w:rsidP="00C64851">
      <w:pPr>
        <w:pStyle w:val="BodyText"/>
        <w:numPr>
          <w:ilvl w:val="0"/>
          <w:numId w:val="383"/>
        </w:numPr>
      </w:pPr>
      <w:r w:rsidRPr="000911A0">
        <w:t>Investigating and remedying claim irregularities, documentation issues, and potential improper payments. </w:t>
      </w:r>
    </w:p>
    <w:p w14:paraId="09C0CDF2" w14:textId="77777777" w:rsidR="000911A0" w:rsidRPr="006C6C21" w:rsidRDefault="000911A0" w:rsidP="006C6C21">
      <w:pPr>
        <w:pStyle w:val="BodyText3"/>
      </w:pPr>
      <w:r w:rsidRPr="006C6C21">
        <w:t>C.</w:t>
      </w:r>
      <w:r w:rsidRPr="006C6C21">
        <w:tab/>
        <w:t xml:space="preserve">What information does the agency collect/use to assess the effectiveness and efficiency of this division or program? If applicable, briefly note any LBB performance measures (from Section II, </w:t>
      </w:r>
      <w:proofErr w:type="gramStart"/>
      <w:r w:rsidRPr="006C6C21">
        <w:t>Exhibit</w:t>
      </w:r>
      <w:proofErr w:type="gramEnd"/>
      <w:r w:rsidRPr="006C6C21">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0282F31A" w14:textId="77777777" w:rsidR="000911A0" w:rsidRPr="000911A0" w:rsidRDefault="000911A0" w:rsidP="006C6C21">
      <w:pPr>
        <w:pStyle w:val="BodyText"/>
      </w:pPr>
      <w:r w:rsidRPr="000911A0">
        <w:t>In calendar year (CY) 2024, the UI division processed 859,386 unemployment claims. Excluding CY 2020 and 2021, pandemic period, it was the most unemployment claims for a calendar year dating back to 2017 which saw 890,241 claims due in part to Hurricane Harvey. </w:t>
      </w:r>
    </w:p>
    <w:p w14:paraId="74B4E5D6" w14:textId="77777777" w:rsidR="000911A0" w:rsidRPr="000911A0" w:rsidRDefault="000911A0" w:rsidP="006C6C21">
      <w:pPr>
        <w:pStyle w:val="BodyText"/>
      </w:pPr>
      <w:r w:rsidRPr="000911A0">
        <w:t>Claimants submitted 7,448,802 claim weeks which resulted in $3,014,119,144 in unemployment benefits, not including supplemental payments like Federal Pandemic Unemployment Compensation (FPUC). Excluding the pandemic, it was the most claim weeks dating back to CY 2016, when Texas was affected by two disasters, and the most payments since CY 2017. </w:t>
      </w:r>
    </w:p>
    <w:p w14:paraId="5AE24831" w14:textId="77777777" w:rsidR="000911A0" w:rsidRDefault="000911A0" w:rsidP="006C6C21">
      <w:pPr>
        <w:pStyle w:val="BodyText"/>
      </w:pPr>
      <w:r w:rsidRPr="000911A0">
        <w:t>Unemployment benefits key performance measures are established by DOL and by the Texas Legislative Budget Board (LBB). Following is a list of the measures, established targets and achievements (CY 2024): </w:t>
      </w:r>
    </w:p>
    <w:p w14:paraId="3DC7665E" w14:textId="77777777" w:rsidR="00FE70AB" w:rsidRPr="000911A0" w:rsidRDefault="00FE70AB" w:rsidP="006C6C21">
      <w:pPr>
        <w:pStyle w:val="BodyText"/>
      </w:pPr>
    </w:p>
    <w:tbl>
      <w:tblPr>
        <w:tblStyle w:val="TableGrid1"/>
        <w:tblW w:w="0" w:type="dxa"/>
        <w:tblCellMar>
          <w:top w:w="58" w:type="dxa"/>
          <w:bottom w:w="58" w:type="dxa"/>
        </w:tblCellMar>
        <w:tblLook w:val="04A0" w:firstRow="1" w:lastRow="0" w:firstColumn="1" w:lastColumn="0" w:noHBand="0" w:noVBand="1"/>
      </w:tblPr>
      <w:tblGrid>
        <w:gridCol w:w="1470"/>
        <w:gridCol w:w="3240"/>
        <w:gridCol w:w="1620"/>
        <w:gridCol w:w="2265"/>
      </w:tblGrid>
      <w:tr w:rsidR="000911A0" w:rsidRPr="000911A0" w14:paraId="5B5238C6" w14:textId="77777777" w:rsidTr="0081712F">
        <w:trPr>
          <w:trHeight w:val="720"/>
        </w:trPr>
        <w:tc>
          <w:tcPr>
            <w:tcW w:w="1470" w:type="dxa"/>
            <w:shd w:val="clear" w:color="auto" w:fill="B8CCE4" w:themeFill="accent1" w:themeFillTint="66"/>
            <w:vAlign w:val="center"/>
            <w:hideMark/>
          </w:tcPr>
          <w:p w14:paraId="35F85D89" w14:textId="222F4773" w:rsidR="000911A0" w:rsidRPr="000911A0" w:rsidRDefault="000911A0" w:rsidP="0081712F">
            <w:pPr>
              <w:pStyle w:val="TableHeaders"/>
              <w:rPr>
                <w:b w:val="0"/>
              </w:rPr>
            </w:pPr>
            <w:r w:rsidRPr="000911A0">
              <w:lastRenderedPageBreak/>
              <w:t>Department</w:t>
            </w:r>
          </w:p>
        </w:tc>
        <w:tc>
          <w:tcPr>
            <w:tcW w:w="3240" w:type="dxa"/>
            <w:shd w:val="clear" w:color="auto" w:fill="B8CCE4" w:themeFill="accent1" w:themeFillTint="66"/>
            <w:vAlign w:val="center"/>
            <w:hideMark/>
          </w:tcPr>
          <w:p w14:paraId="14293387" w14:textId="0AD4C20D" w:rsidR="000911A0" w:rsidRPr="000911A0" w:rsidRDefault="000911A0" w:rsidP="0081712F">
            <w:pPr>
              <w:pStyle w:val="TableHeaders"/>
              <w:rPr>
                <w:b w:val="0"/>
              </w:rPr>
            </w:pPr>
            <w:r w:rsidRPr="000911A0">
              <w:t>Description</w:t>
            </w:r>
          </w:p>
        </w:tc>
        <w:tc>
          <w:tcPr>
            <w:tcW w:w="1620" w:type="dxa"/>
            <w:shd w:val="clear" w:color="auto" w:fill="B8CCE4" w:themeFill="accent1" w:themeFillTint="66"/>
            <w:vAlign w:val="center"/>
            <w:hideMark/>
          </w:tcPr>
          <w:p w14:paraId="0BAA84F5" w14:textId="1F2513D6" w:rsidR="000911A0" w:rsidRPr="000911A0" w:rsidRDefault="000911A0" w:rsidP="0081712F">
            <w:pPr>
              <w:pStyle w:val="TableHeaders"/>
              <w:rPr>
                <w:b w:val="0"/>
              </w:rPr>
            </w:pPr>
            <w:r w:rsidRPr="000911A0">
              <w:t>Target</w:t>
            </w:r>
          </w:p>
        </w:tc>
        <w:tc>
          <w:tcPr>
            <w:tcW w:w="2265" w:type="dxa"/>
            <w:shd w:val="clear" w:color="auto" w:fill="B8CCE4" w:themeFill="accent1" w:themeFillTint="66"/>
            <w:vAlign w:val="center"/>
            <w:hideMark/>
          </w:tcPr>
          <w:p w14:paraId="27BB6659" w14:textId="6C76CB89" w:rsidR="000911A0" w:rsidRPr="000911A0" w:rsidRDefault="000911A0" w:rsidP="0081712F">
            <w:pPr>
              <w:pStyle w:val="TableHeaders"/>
              <w:rPr>
                <w:b w:val="0"/>
              </w:rPr>
            </w:pPr>
            <w:r w:rsidRPr="000911A0">
              <w:t>Achievement (CY2024)</w:t>
            </w:r>
          </w:p>
        </w:tc>
      </w:tr>
      <w:tr w:rsidR="000911A0" w:rsidRPr="000911A0" w14:paraId="4D964C3C" w14:textId="77777777" w:rsidTr="0081712F">
        <w:trPr>
          <w:trHeight w:val="495"/>
        </w:trPr>
        <w:tc>
          <w:tcPr>
            <w:tcW w:w="1470" w:type="dxa"/>
            <w:vAlign w:val="center"/>
            <w:hideMark/>
          </w:tcPr>
          <w:p w14:paraId="7C58F8F7" w14:textId="77777777" w:rsidR="000911A0" w:rsidRPr="000911A0" w:rsidRDefault="000911A0" w:rsidP="0081712F">
            <w:pPr>
              <w:pStyle w:val="TableText"/>
            </w:pPr>
            <w:r w:rsidRPr="000911A0">
              <w:t>LBB </w:t>
            </w:r>
          </w:p>
        </w:tc>
        <w:tc>
          <w:tcPr>
            <w:tcW w:w="3240" w:type="dxa"/>
            <w:vAlign w:val="center"/>
            <w:hideMark/>
          </w:tcPr>
          <w:p w14:paraId="7C54114A" w14:textId="77777777" w:rsidR="000911A0" w:rsidRPr="000911A0" w:rsidRDefault="000911A0" w:rsidP="0081712F">
            <w:pPr>
              <w:pStyle w:val="TableText"/>
            </w:pPr>
            <w:r w:rsidRPr="000911A0">
              <w:t>Percentage of unemployment Claims paid timely </w:t>
            </w:r>
          </w:p>
        </w:tc>
        <w:tc>
          <w:tcPr>
            <w:tcW w:w="1620" w:type="dxa"/>
            <w:vAlign w:val="center"/>
            <w:hideMark/>
          </w:tcPr>
          <w:p w14:paraId="402843F0" w14:textId="77777777" w:rsidR="000911A0" w:rsidRPr="000911A0" w:rsidRDefault="000911A0" w:rsidP="0081712F">
            <w:pPr>
              <w:pStyle w:val="TableText"/>
              <w:jc w:val="right"/>
            </w:pPr>
            <w:r w:rsidRPr="000911A0">
              <w:t>95% </w:t>
            </w:r>
          </w:p>
        </w:tc>
        <w:tc>
          <w:tcPr>
            <w:tcW w:w="2265" w:type="dxa"/>
            <w:vAlign w:val="center"/>
            <w:hideMark/>
          </w:tcPr>
          <w:p w14:paraId="63C311FF" w14:textId="77777777" w:rsidR="000911A0" w:rsidRPr="000911A0" w:rsidRDefault="000911A0" w:rsidP="0081712F">
            <w:pPr>
              <w:pStyle w:val="TableText"/>
              <w:jc w:val="right"/>
            </w:pPr>
            <w:r w:rsidRPr="000911A0">
              <w:t>93.26% </w:t>
            </w:r>
          </w:p>
        </w:tc>
      </w:tr>
      <w:tr w:rsidR="000911A0" w:rsidRPr="000911A0" w14:paraId="30CC0797" w14:textId="77777777" w:rsidTr="0081712F">
        <w:trPr>
          <w:trHeight w:val="495"/>
        </w:trPr>
        <w:tc>
          <w:tcPr>
            <w:tcW w:w="1470" w:type="dxa"/>
            <w:vAlign w:val="center"/>
            <w:hideMark/>
          </w:tcPr>
          <w:p w14:paraId="19F78985" w14:textId="77777777" w:rsidR="000911A0" w:rsidRPr="000911A0" w:rsidRDefault="000911A0" w:rsidP="0081712F">
            <w:pPr>
              <w:pStyle w:val="TableText"/>
            </w:pPr>
            <w:r w:rsidRPr="000911A0">
              <w:t>LBB </w:t>
            </w:r>
          </w:p>
        </w:tc>
        <w:tc>
          <w:tcPr>
            <w:tcW w:w="3240" w:type="dxa"/>
            <w:vAlign w:val="center"/>
            <w:hideMark/>
          </w:tcPr>
          <w:p w14:paraId="48636020" w14:textId="77777777" w:rsidR="000911A0" w:rsidRPr="000911A0" w:rsidRDefault="000911A0" w:rsidP="0081712F">
            <w:pPr>
              <w:pStyle w:val="TableText"/>
            </w:pPr>
            <w:r w:rsidRPr="000911A0">
              <w:t>Average wait time on hold for </w:t>
            </w:r>
          </w:p>
          <w:p w14:paraId="276B76EE" w14:textId="77777777" w:rsidR="000911A0" w:rsidRPr="000911A0" w:rsidRDefault="000911A0" w:rsidP="0081712F">
            <w:pPr>
              <w:pStyle w:val="TableText"/>
            </w:pPr>
            <w:r w:rsidRPr="000911A0">
              <w:t>unemployment customers (minutes) </w:t>
            </w:r>
          </w:p>
        </w:tc>
        <w:tc>
          <w:tcPr>
            <w:tcW w:w="1620" w:type="dxa"/>
            <w:vAlign w:val="center"/>
            <w:hideMark/>
          </w:tcPr>
          <w:p w14:paraId="60BE50FD" w14:textId="77777777" w:rsidR="000911A0" w:rsidRPr="000911A0" w:rsidRDefault="000911A0" w:rsidP="0081712F">
            <w:pPr>
              <w:pStyle w:val="TableText"/>
              <w:jc w:val="right"/>
            </w:pPr>
            <w:r w:rsidRPr="000911A0">
              <w:t>9.12 </w:t>
            </w:r>
          </w:p>
        </w:tc>
        <w:tc>
          <w:tcPr>
            <w:tcW w:w="2265" w:type="dxa"/>
            <w:vAlign w:val="center"/>
            <w:hideMark/>
          </w:tcPr>
          <w:p w14:paraId="0035F386" w14:textId="77777777" w:rsidR="000911A0" w:rsidRPr="000911A0" w:rsidRDefault="000911A0" w:rsidP="0081712F">
            <w:pPr>
              <w:pStyle w:val="TableText"/>
              <w:jc w:val="right"/>
            </w:pPr>
            <w:r w:rsidRPr="000911A0">
              <w:t>15.92 </w:t>
            </w:r>
          </w:p>
        </w:tc>
      </w:tr>
      <w:tr w:rsidR="000911A0" w:rsidRPr="000911A0" w14:paraId="654ABA66" w14:textId="77777777" w:rsidTr="0081712F">
        <w:trPr>
          <w:trHeight w:val="495"/>
        </w:trPr>
        <w:tc>
          <w:tcPr>
            <w:tcW w:w="1470" w:type="dxa"/>
            <w:vAlign w:val="center"/>
            <w:hideMark/>
          </w:tcPr>
          <w:p w14:paraId="1E4BF045" w14:textId="77777777" w:rsidR="000911A0" w:rsidRPr="000911A0" w:rsidRDefault="000911A0" w:rsidP="0081712F">
            <w:pPr>
              <w:pStyle w:val="TableText"/>
            </w:pPr>
            <w:r w:rsidRPr="000911A0">
              <w:t>DOL </w:t>
            </w:r>
          </w:p>
        </w:tc>
        <w:tc>
          <w:tcPr>
            <w:tcW w:w="3240" w:type="dxa"/>
            <w:vAlign w:val="center"/>
            <w:hideMark/>
          </w:tcPr>
          <w:p w14:paraId="624D42B5" w14:textId="77777777" w:rsidR="000911A0" w:rsidRPr="000911A0" w:rsidRDefault="000911A0" w:rsidP="0081712F">
            <w:pPr>
              <w:pStyle w:val="TableText"/>
            </w:pPr>
            <w:r w:rsidRPr="000911A0">
              <w:t>Nonmonetary determinations quality </w:t>
            </w:r>
          </w:p>
          <w:p w14:paraId="49050A12" w14:textId="77777777" w:rsidR="000911A0" w:rsidRPr="000911A0" w:rsidRDefault="000911A0" w:rsidP="0081712F">
            <w:pPr>
              <w:pStyle w:val="TableText"/>
            </w:pPr>
            <w:r w:rsidRPr="000911A0">
              <w:t>(employment separations) </w:t>
            </w:r>
          </w:p>
        </w:tc>
        <w:tc>
          <w:tcPr>
            <w:tcW w:w="1620" w:type="dxa"/>
            <w:vAlign w:val="center"/>
            <w:hideMark/>
          </w:tcPr>
          <w:p w14:paraId="61603917" w14:textId="77777777" w:rsidR="000911A0" w:rsidRPr="000911A0" w:rsidRDefault="000911A0" w:rsidP="0081712F">
            <w:pPr>
              <w:pStyle w:val="TableText"/>
              <w:jc w:val="right"/>
            </w:pPr>
            <w:r w:rsidRPr="000911A0">
              <w:t>75% </w:t>
            </w:r>
          </w:p>
        </w:tc>
        <w:tc>
          <w:tcPr>
            <w:tcW w:w="2265" w:type="dxa"/>
            <w:vAlign w:val="center"/>
            <w:hideMark/>
          </w:tcPr>
          <w:p w14:paraId="437B1E6B" w14:textId="77777777" w:rsidR="000911A0" w:rsidRPr="000911A0" w:rsidRDefault="000911A0" w:rsidP="0081712F">
            <w:pPr>
              <w:pStyle w:val="TableText"/>
              <w:jc w:val="right"/>
            </w:pPr>
            <w:r w:rsidRPr="000911A0">
              <w:t>77.8% </w:t>
            </w:r>
          </w:p>
        </w:tc>
      </w:tr>
    </w:tbl>
    <w:p w14:paraId="7EDDB87D" w14:textId="77777777" w:rsidR="000911A0" w:rsidRPr="000911A0" w:rsidRDefault="000911A0" w:rsidP="000911A0">
      <w:pPr>
        <w:pStyle w:val="BodyText"/>
      </w:pPr>
      <w:r w:rsidRPr="000911A0">
        <w:t>Customer satisfaction also is crucial to TWC’s UI program because it directly impacts the claimant experience and overall program efficiency. The UI program determines customer satisfaction by actively seeking and analyzing customer feedback through various channels. These channels include direct feedback, surveys and a formal comment log for concerns and suggestions. This feedback, gathered in collaboration with TWC's Customer Care Division, is then used to evaluate customer satisfaction and identify areas where the program can be improved to enhance the overall customer experience. </w:t>
      </w:r>
    </w:p>
    <w:p w14:paraId="1AFB80A9" w14:textId="77777777" w:rsidR="000911A0" w:rsidRPr="0081712F" w:rsidRDefault="000911A0" w:rsidP="0081712F">
      <w:pPr>
        <w:pStyle w:val="BodyText3"/>
      </w:pPr>
      <w:r w:rsidRPr="0081712F">
        <w:t>D.</w:t>
      </w:r>
      <w:r w:rsidRPr="0081712F">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3D838094" w14:textId="77777777" w:rsidR="000911A0" w:rsidRPr="000911A0" w:rsidRDefault="000911A0" w:rsidP="0081712F">
      <w:pPr>
        <w:pStyle w:val="BodyText"/>
      </w:pPr>
      <w:r w:rsidRPr="000911A0">
        <w:t>Service delivery methods have evolved over the years, but the purpose and central function of the unemployment claims program have not changed since its inception. State employment security agencies, including TWC, continue to accept and process claims, and fulfill related administrative requirements. </w:t>
      </w:r>
    </w:p>
    <w:p w14:paraId="78E8758B" w14:textId="77777777" w:rsidR="000911A0" w:rsidRPr="000911A0" w:rsidRDefault="000911A0" w:rsidP="0081712F">
      <w:pPr>
        <w:pStyle w:val="BodyText"/>
      </w:pPr>
      <w:r w:rsidRPr="000911A0">
        <w:t>The mission of the unemployment claims program is ongoing. The program is recognized as a key institutional structure essential to the economic health of the country. </w:t>
      </w:r>
    </w:p>
    <w:p w14:paraId="08F25627" w14:textId="77777777" w:rsidR="000911A0" w:rsidRPr="0081712F" w:rsidRDefault="000911A0" w:rsidP="0081712F">
      <w:pPr>
        <w:pStyle w:val="BodyText3"/>
      </w:pPr>
      <w:r w:rsidRPr="0081712F">
        <w:t>E.</w:t>
      </w:r>
      <w:r w:rsidRPr="0081712F">
        <w:tab/>
        <w:t>List any qualifications or eligibility requirements for persons or entities affected by this division or program (e.g., licensees, consumers, and landowners). Provide a statistical breakdown of persons or entities affected. </w:t>
      </w:r>
    </w:p>
    <w:p w14:paraId="53DFC4FF" w14:textId="77777777" w:rsidR="000911A0" w:rsidRPr="000911A0" w:rsidRDefault="000911A0" w:rsidP="000911A0">
      <w:pPr>
        <w:pStyle w:val="BodyText"/>
      </w:pPr>
      <w:r w:rsidRPr="000911A0">
        <w:t>An employer becomes liable and subject to the TUCA when they have met one or more of the following liability requirements: </w:t>
      </w:r>
    </w:p>
    <w:p w14:paraId="4A9558A2" w14:textId="77777777" w:rsidR="000911A0" w:rsidRPr="000911A0" w:rsidRDefault="000911A0" w:rsidP="00C64851">
      <w:pPr>
        <w:pStyle w:val="BodyText"/>
        <w:numPr>
          <w:ilvl w:val="0"/>
          <w:numId w:val="339"/>
        </w:numPr>
      </w:pPr>
      <w:r w:rsidRPr="000911A0">
        <w:t>An employing unit that is liable under the Federal Unemployment Tax Act (FUTA) and has paid wages to Texas employees. </w:t>
      </w:r>
    </w:p>
    <w:p w14:paraId="5E760B34" w14:textId="77777777" w:rsidR="000911A0" w:rsidRPr="000911A0" w:rsidRDefault="000911A0" w:rsidP="00C64851">
      <w:pPr>
        <w:pStyle w:val="BodyText"/>
        <w:numPr>
          <w:ilvl w:val="0"/>
          <w:numId w:val="340"/>
        </w:numPr>
      </w:pPr>
      <w:r w:rsidRPr="000911A0">
        <w:t xml:space="preserve">An employing unit that pays $1,500 or more in total gross wages in a calendar quarter or has at least one employee during twenty different weeks in a calendar year regardless of the wages. The employee does not have to be the same person </w:t>
      </w:r>
      <w:r w:rsidRPr="000911A0">
        <w:lastRenderedPageBreak/>
        <w:t>for twenty weeks. And the twenty weeks do not have to be consecutive. It also does not matter if the employee is full time or part time. </w:t>
      </w:r>
    </w:p>
    <w:p w14:paraId="7198A740" w14:textId="77777777" w:rsidR="000911A0" w:rsidRPr="000911A0" w:rsidRDefault="000911A0" w:rsidP="00C64851">
      <w:pPr>
        <w:pStyle w:val="BodyText"/>
        <w:numPr>
          <w:ilvl w:val="0"/>
          <w:numId w:val="341"/>
        </w:numPr>
      </w:pPr>
      <w:r w:rsidRPr="000911A0">
        <w:t>An individual or employing unit that acquires or otherwise receives, through any means, all or part of the organization, trade, business, or workforce of another that was a liable employer at the time of the acquisition. </w:t>
      </w:r>
    </w:p>
    <w:p w14:paraId="08552888" w14:textId="77777777" w:rsidR="000911A0" w:rsidRPr="000911A0" w:rsidRDefault="000911A0" w:rsidP="00C64851">
      <w:pPr>
        <w:pStyle w:val="BodyText"/>
        <w:numPr>
          <w:ilvl w:val="0"/>
          <w:numId w:val="342"/>
        </w:numPr>
      </w:pPr>
      <w:r w:rsidRPr="000911A0">
        <w:t>An employing unit that is a 501(c) (3) non-profit organization and has four or more employees during 20 different weeks in a calendar year. The employees do not have to be the same four employees for twenty weeks. And the twenty weeks do not have to be consecutive. It also does not matter if the employees are full time or part time. </w:t>
      </w:r>
    </w:p>
    <w:p w14:paraId="46009AA2" w14:textId="77777777" w:rsidR="000911A0" w:rsidRPr="000911A0" w:rsidRDefault="000911A0" w:rsidP="00C64851">
      <w:pPr>
        <w:pStyle w:val="BodyText"/>
        <w:numPr>
          <w:ilvl w:val="0"/>
          <w:numId w:val="343"/>
        </w:numPr>
      </w:pPr>
      <w:r w:rsidRPr="000911A0">
        <w:t>An employing unit that volunteers to become liable even though they do not currently meet the required criteria. </w:t>
      </w:r>
    </w:p>
    <w:p w14:paraId="20391FA8" w14:textId="77777777" w:rsidR="000911A0" w:rsidRPr="000911A0" w:rsidRDefault="000911A0" w:rsidP="00C64851">
      <w:pPr>
        <w:pStyle w:val="BodyText"/>
        <w:numPr>
          <w:ilvl w:val="0"/>
          <w:numId w:val="344"/>
        </w:numPr>
      </w:pPr>
      <w:r w:rsidRPr="000911A0">
        <w:t>All political subdivisions of the state of Texas are liable. This includes municipalities, counties, utility districts, public education institutions, etc. </w:t>
      </w:r>
    </w:p>
    <w:p w14:paraId="4A802B99" w14:textId="77777777" w:rsidR="000911A0" w:rsidRPr="000911A0" w:rsidRDefault="000911A0" w:rsidP="00C64851">
      <w:pPr>
        <w:pStyle w:val="BodyText"/>
        <w:numPr>
          <w:ilvl w:val="0"/>
          <w:numId w:val="345"/>
        </w:numPr>
      </w:pPr>
      <w:r w:rsidRPr="000911A0">
        <w:t>An employing unit that paid cash wages of $1,000 or more in a calendar quarter for </w:t>
      </w:r>
      <w:hyperlink r:id="rId105" w:tgtFrame="_blank" w:history="1">
        <w:r w:rsidRPr="000911A0">
          <w:rPr>
            <w:rStyle w:val="Hyperlink"/>
          </w:rPr>
          <w:t>domestic services</w:t>
        </w:r>
      </w:hyperlink>
      <w:r w:rsidRPr="000911A0">
        <w:t>. </w:t>
      </w:r>
    </w:p>
    <w:p w14:paraId="321575EF" w14:textId="77777777" w:rsidR="000911A0" w:rsidRPr="000911A0" w:rsidRDefault="000911A0" w:rsidP="00C64851">
      <w:pPr>
        <w:pStyle w:val="BodyText"/>
        <w:numPr>
          <w:ilvl w:val="0"/>
          <w:numId w:val="346"/>
        </w:numPr>
      </w:pPr>
      <w:r w:rsidRPr="000911A0">
        <w:t>An employing unit engaged in farm and ranch labor if: </w:t>
      </w:r>
    </w:p>
    <w:p w14:paraId="7C5A1422" w14:textId="77777777" w:rsidR="000911A0" w:rsidRPr="000911A0" w:rsidRDefault="000911A0" w:rsidP="00C64851">
      <w:pPr>
        <w:pStyle w:val="BodyText"/>
        <w:numPr>
          <w:ilvl w:val="0"/>
          <w:numId w:val="347"/>
        </w:numPr>
      </w:pPr>
      <w:r w:rsidRPr="000911A0">
        <w:t>It employs three or more employees for twenty weeks or more in a calendar year or pays at least $6,250 in total gross wages in a calendar quarter. The employees do not have to be the same three employees for twenty weeks. And the twenty weeks do not have to be consecutive. It also does not matter if the employees are full time or part time. </w:t>
      </w:r>
    </w:p>
    <w:p w14:paraId="26C3530A" w14:textId="77777777" w:rsidR="000911A0" w:rsidRPr="000911A0" w:rsidRDefault="000911A0" w:rsidP="00C64851">
      <w:pPr>
        <w:pStyle w:val="BodyText"/>
        <w:numPr>
          <w:ilvl w:val="0"/>
          <w:numId w:val="348"/>
        </w:numPr>
      </w:pPr>
      <w:r w:rsidRPr="000911A0">
        <w:t>The service is performed by a seasonal worker on a truck farm, orchard, or vineyard. </w:t>
      </w:r>
    </w:p>
    <w:p w14:paraId="2E5575AF" w14:textId="77777777" w:rsidR="000911A0" w:rsidRPr="000911A0" w:rsidRDefault="000911A0" w:rsidP="00C64851">
      <w:pPr>
        <w:pStyle w:val="BodyText"/>
        <w:numPr>
          <w:ilvl w:val="0"/>
          <w:numId w:val="349"/>
        </w:numPr>
      </w:pPr>
      <w:r w:rsidRPr="000911A0">
        <w:t>The worker is a migrant or a seasonal worker who works for a farmer, ranch operator, or labor agent who employs migrant workers. </w:t>
      </w:r>
    </w:p>
    <w:p w14:paraId="1F908641" w14:textId="77777777" w:rsidR="000911A0" w:rsidRPr="000911A0" w:rsidRDefault="000911A0" w:rsidP="000911A0">
      <w:pPr>
        <w:pStyle w:val="BodyText"/>
      </w:pPr>
      <w:r w:rsidRPr="000911A0">
        <w:t>Eligible workers who have lost their jobs through no fault of their own can receive temporary replacement income for a portion of their lost wages if they qualify. </w:t>
      </w:r>
    </w:p>
    <w:p w14:paraId="067B30A0" w14:textId="77777777" w:rsidR="000911A0" w:rsidRPr="000911A0" w:rsidRDefault="000911A0" w:rsidP="000911A0">
      <w:pPr>
        <w:pStyle w:val="BodyText"/>
      </w:pPr>
      <w:r w:rsidRPr="000911A0">
        <w:t>In CY 2024, the UI division processed 859,386 unemployment claims. </w:t>
      </w:r>
    </w:p>
    <w:p w14:paraId="3F0528C4" w14:textId="77777777" w:rsidR="000911A0" w:rsidRPr="000911A0" w:rsidRDefault="000911A0" w:rsidP="000911A0">
      <w:pPr>
        <w:pStyle w:val="BodyText"/>
      </w:pPr>
      <w:r w:rsidRPr="000911A0">
        <w:t>Qualification for receipt of unemployment benefits requires: </w:t>
      </w:r>
    </w:p>
    <w:p w14:paraId="43F9BB59" w14:textId="77777777" w:rsidR="000911A0" w:rsidRPr="000911A0" w:rsidRDefault="000911A0" w:rsidP="00C64851">
      <w:pPr>
        <w:pStyle w:val="BodyText"/>
        <w:numPr>
          <w:ilvl w:val="0"/>
          <w:numId w:val="350"/>
        </w:numPr>
      </w:pPr>
      <w:r w:rsidRPr="000911A0">
        <w:t>Separation from last work under qualifying circumstances (no fault of the worker) </w:t>
      </w:r>
    </w:p>
    <w:p w14:paraId="5E951E7F" w14:textId="77777777" w:rsidR="000911A0" w:rsidRPr="000911A0" w:rsidRDefault="000911A0" w:rsidP="00C64851">
      <w:pPr>
        <w:pStyle w:val="BodyText"/>
        <w:numPr>
          <w:ilvl w:val="0"/>
          <w:numId w:val="351"/>
        </w:numPr>
      </w:pPr>
      <w:r w:rsidRPr="000911A0">
        <w:t>Wages in at least two of the four base period calendar quarters (the base period is the first four of the five completed calendar quarters ending prior to the date the claim for which benefits are filed) </w:t>
      </w:r>
    </w:p>
    <w:p w14:paraId="19BFCDD3" w14:textId="77777777" w:rsidR="000911A0" w:rsidRPr="000911A0" w:rsidRDefault="000911A0" w:rsidP="00C64851">
      <w:pPr>
        <w:pStyle w:val="BodyText"/>
        <w:numPr>
          <w:ilvl w:val="0"/>
          <w:numId w:val="352"/>
        </w:numPr>
      </w:pPr>
      <w:r w:rsidRPr="000911A0">
        <w:lastRenderedPageBreak/>
        <w:t>Sufficient wages in the base period: total base period wages of at least 37 times the individual's weekly benefit amount, which is calculated as wages in the base period quarter with the highest earnings divided by 25 (adjusted to fall within the statutory minimum and maximum weekly benefit amount) </w:t>
      </w:r>
    </w:p>
    <w:p w14:paraId="6E47C967" w14:textId="77777777" w:rsidR="000911A0" w:rsidRPr="000911A0" w:rsidRDefault="000911A0" w:rsidP="00C64851">
      <w:pPr>
        <w:pStyle w:val="BodyText"/>
        <w:numPr>
          <w:ilvl w:val="0"/>
          <w:numId w:val="353"/>
        </w:numPr>
      </w:pPr>
      <w:r w:rsidRPr="000911A0">
        <w:t>Earnings of at least six times his/her weekly benefit amount for a subsequent initial claim </w:t>
      </w:r>
    </w:p>
    <w:p w14:paraId="530665A2" w14:textId="77777777" w:rsidR="000911A0" w:rsidRPr="000911A0" w:rsidRDefault="000911A0" w:rsidP="000911A0">
      <w:pPr>
        <w:pStyle w:val="BodyText"/>
      </w:pPr>
      <w:r w:rsidRPr="000911A0">
        <w:t>To maintain eligibility for receipt of unemployment benefits, claimants must: </w:t>
      </w:r>
    </w:p>
    <w:p w14:paraId="3775E360" w14:textId="77777777" w:rsidR="000911A0" w:rsidRPr="000911A0" w:rsidRDefault="000911A0" w:rsidP="00C64851">
      <w:pPr>
        <w:pStyle w:val="BodyText"/>
        <w:numPr>
          <w:ilvl w:val="0"/>
          <w:numId w:val="354"/>
        </w:numPr>
      </w:pPr>
      <w:proofErr w:type="gramStart"/>
      <w:r w:rsidRPr="000911A0">
        <w:t>Be "able and available" at all times</w:t>
      </w:r>
      <w:proofErr w:type="gramEnd"/>
      <w:r w:rsidRPr="000911A0">
        <w:t xml:space="preserve"> for full-time work. </w:t>
      </w:r>
    </w:p>
    <w:p w14:paraId="40A0A674" w14:textId="77777777" w:rsidR="000911A0" w:rsidRPr="000911A0" w:rsidRDefault="000911A0" w:rsidP="00C64851">
      <w:pPr>
        <w:pStyle w:val="BodyText"/>
        <w:numPr>
          <w:ilvl w:val="0"/>
          <w:numId w:val="355"/>
        </w:numPr>
      </w:pPr>
      <w:r w:rsidRPr="000911A0">
        <w:t xml:space="preserve">Register with their Local Workforce Development (Employment Security) </w:t>
      </w:r>
      <w:proofErr w:type="gramStart"/>
      <w:r w:rsidRPr="000911A0">
        <w:t>office, and</w:t>
      </w:r>
      <w:proofErr w:type="gramEnd"/>
      <w:r w:rsidRPr="000911A0">
        <w:t xml:space="preserve"> participate in required reemployment activities. </w:t>
      </w:r>
    </w:p>
    <w:p w14:paraId="6E1E7C0A" w14:textId="77777777" w:rsidR="000911A0" w:rsidRPr="000911A0" w:rsidRDefault="000911A0" w:rsidP="00C64851">
      <w:pPr>
        <w:pStyle w:val="BodyText"/>
        <w:numPr>
          <w:ilvl w:val="0"/>
          <w:numId w:val="356"/>
        </w:numPr>
      </w:pPr>
      <w:r w:rsidRPr="000911A0">
        <w:t>Make an active search for work, and maintain a log of work search activities </w:t>
      </w:r>
    </w:p>
    <w:p w14:paraId="22898BEA" w14:textId="77777777" w:rsidR="000911A0" w:rsidRPr="000911A0" w:rsidRDefault="000911A0" w:rsidP="00C64851">
      <w:pPr>
        <w:pStyle w:val="BodyText"/>
        <w:numPr>
          <w:ilvl w:val="0"/>
          <w:numId w:val="357"/>
        </w:numPr>
      </w:pPr>
      <w:r w:rsidRPr="000911A0">
        <w:t>When referred to a suitable job, apply and attend any required interviews; and when offered a suitable job, accept. </w:t>
      </w:r>
    </w:p>
    <w:p w14:paraId="11C9424A" w14:textId="77777777" w:rsidR="000911A0" w:rsidRPr="000911A0" w:rsidRDefault="000911A0" w:rsidP="00C64851">
      <w:pPr>
        <w:pStyle w:val="BodyText"/>
        <w:numPr>
          <w:ilvl w:val="0"/>
          <w:numId w:val="358"/>
        </w:numPr>
      </w:pPr>
      <w:r w:rsidRPr="000911A0">
        <w:t>File payment requests every two weeks via an automated telephone voice response system or through the Internet, report any wages received during the period, and affirm that they are "able and available" for suitable work and are actively searching for work. </w:t>
      </w:r>
    </w:p>
    <w:p w14:paraId="7100BFC9" w14:textId="77777777" w:rsidR="000911A0" w:rsidRPr="000911A0" w:rsidRDefault="000911A0" w:rsidP="00C64851">
      <w:pPr>
        <w:pStyle w:val="BodyText"/>
        <w:numPr>
          <w:ilvl w:val="0"/>
          <w:numId w:val="359"/>
        </w:numPr>
      </w:pPr>
      <w:r w:rsidRPr="000911A0">
        <w:t>Contact the agency when instructed to do so. </w:t>
      </w:r>
    </w:p>
    <w:p w14:paraId="264369DB" w14:textId="77777777" w:rsidR="000911A0" w:rsidRPr="00525DA6" w:rsidRDefault="000911A0" w:rsidP="00121BF2">
      <w:pPr>
        <w:pStyle w:val="BodyText3"/>
        <w:ind w:left="720" w:hanging="720"/>
      </w:pPr>
      <w:r w:rsidRPr="00525DA6">
        <w:t>F.</w:t>
      </w:r>
      <w:r w:rsidRPr="00525DA6">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340B4E7" w14:textId="77777777" w:rsidR="000911A0" w:rsidRPr="000911A0" w:rsidRDefault="000911A0" w:rsidP="000911A0">
      <w:pPr>
        <w:pStyle w:val="BodyText"/>
      </w:pPr>
      <w:r w:rsidRPr="000911A0">
        <w:t>The Unemployment Insurance (UI) Division director reports to the agency executive director, who reports to the Commissioners. The UI Division is organized into three departmental units: UI Administration &amp; Operational Support, UI Client Services, and UI Tax. </w:t>
      </w:r>
    </w:p>
    <w:p w14:paraId="6468BA30" w14:textId="77777777" w:rsidR="000911A0" w:rsidRPr="000911A0" w:rsidRDefault="000911A0" w:rsidP="000911A0">
      <w:pPr>
        <w:pStyle w:val="BodyText"/>
      </w:pPr>
      <w:r w:rsidRPr="000911A0">
        <w:t>Because the unemployment program is built upon a unique federal/state partnership, regulatory authority for the unemployment program is vested in the state Legislature, yet state laws governing unemployment must conform to federal law, to regulations established by the federal government, and to general guidelines established by the DOL. </w:t>
      </w:r>
    </w:p>
    <w:p w14:paraId="20BBAD17" w14:textId="77777777" w:rsidR="000911A0" w:rsidRPr="000911A0" w:rsidRDefault="000911A0" w:rsidP="000911A0">
      <w:pPr>
        <w:pStyle w:val="BodyText"/>
      </w:pPr>
      <w:r w:rsidRPr="000911A0">
        <w:t xml:space="preserve">Responses to questions about unemployment and filing for claims take place over the Internet or telephone. TWC provides the following self-service options to claimants over the </w:t>
      </w:r>
      <w:r w:rsidRPr="000911A0">
        <w:lastRenderedPageBreak/>
        <w:t>Internet and the last six are also available through Interactive Voice Response (IVR) systems: </w:t>
      </w:r>
    </w:p>
    <w:p w14:paraId="5AEC1A2E" w14:textId="77777777" w:rsidR="000911A0" w:rsidRPr="000911A0" w:rsidRDefault="000911A0" w:rsidP="00C64851">
      <w:pPr>
        <w:pStyle w:val="BodyText"/>
        <w:numPr>
          <w:ilvl w:val="0"/>
          <w:numId w:val="360"/>
        </w:numPr>
      </w:pPr>
      <w:r w:rsidRPr="000911A0">
        <w:t>File a claim. </w:t>
      </w:r>
    </w:p>
    <w:p w14:paraId="2EB533D9" w14:textId="77777777" w:rsidR="000911A0" w:rsidRPr="000911A0" w:rsidRDefault="000911A0" w:rsidP="00C64851">
      <w:pPr>
        <w:pStyle w:val="BodyText"/>
        <w:numPr>
          <w:ilvl w:val="0"/>
          <w:numId w:val="361"/>
        </w:numPr>
      </w:pPr>
      <w:r w:rsidRPr="000911A0">
        <w:t>Submit documents using an online upload portal. </w:t>
      </w:r>
    </w:p>
    <w:p w14:paraId="7892DD33" w14:textId="77777777" w:rsidR="000911A0" w:rsidRPr="000911A0" w:rsidRDefault="000911A0" w:rsidP="00C64851">
      <w:pPr>
        <w:pStyle w:val="BodyText"/>
        <w:numPr>
          <w:ilvl w:val="0"/>
          <w:numId w:val="362"/>
        </w:numPr>
      </w:pPr>
      <w:r w:rsidRPr="000911A0">
        <w:t>Sign up for and receive Electronic Correspondence.   </w:t>
      </w:r>
    </w:p>
    <w:p w14:paraId="353CF7C5" w14:textId="77777777" w:rsidR="000911A0" w:rsidRPr="000911A0" w:rsidRDefault="000911A0" w:rsidP="00C64851">
      <w:pPr>
        <w:pStyle w:val="BodyText"/>
        <w:numPr>
          <w:ilvl w:val="0"/>
          <w:numId w:val="363"/>
        </w:numPr>
      </w:pPr>
      <w:r w:rsidRPr="000911A0">
        <w:t>File an appeal and monitor results. </w:t>
      </w:r>
    </w:p>
    <w:p w14:paraId="7EFA1F59" w14:textId="77777777" w:rsidR="000911A0" w:rsidRPr="000911A0" w:rsidRDefault="000911A0" w:rsidP="00C64851">
      <w:pPr>
        <w:pStyle w:val="BodyText"/>
        <w:numPr>
          <w:ilvl w:val="0"/>
          <w:numId w:val="364"/>
        </w:numPr>
      </w:pPr>
      <w:r w:rsidRPr="000911A0">
        <w:t>Submit a work search log. </w:t>
      </w:r>
    </w:p>
    <w:p w14:paraId="5C9190EB" w14:textId="77777777" w:rsidR="000911A0" w:rsidRPr="000911A0" w:rsidRDefault="000911A0" w:rsidP="00C64851">
      <w:pPr>
        <w:pStyle w:val="BodyText"/>
        <w:numPr>
          <w:ilvl w:val="0"/>
          <w:numId w:val="365"/>
        </w:numPr>
      </w:pPr>
      <w:r w:rsidRPr="000911A0">
        <w:t>File payment requests every two weeks. </w:t>
      </w:r>
    </w:p>
    <w:p w14:paraId="57715D50" w14:textId="77777777" w:rsidR="000911A0" w:rsidRPr="000911A0" w:rsidRDefault="000911A0" w:rsidP="00C64851">
      <w:pPr>
        <w:pStyle w:val="BodyText"/>
        <w:numPr>
          <w:ilvl w:val="0"/>
          <w:numId w:val="366"/>
        </w:numPr>
      </w:pPr>
      <w:r w:rsidRPr="000911A0">
        <w:t>Inquire about the status of claims. </w:t>
      </w:r>
    </w:p>
    <w:p w14:paraId="3315AD04" w14:textId="77777777" w:rsidR="000911A0" w:rsidRPr="000911A0" w:rsidRDefault="000911A0" w:rsidP="00C64851">
      <w:pPr>
        <w:pStyle w:val="BodyText"/>
        <w:numPr>
          <w:ilvl w:val="0"/>
          <w:numId w:val="367"/>
        </w:numPr>
      </w:pPr>
      <w:r w:rsidRPr="000911A0">
        <w:t>Establish or change payment method (debit card or direct deposit). </w:t>
      </w:r>
    </w:p>
    <w:p w14:paraId="619B3BF5" w14:textId="77777777" w:rsidR="000911A0" w:rsidRPr="000911A0" w:rsidRDefault="000911A0" w:rsidP="00C64851">
      <w:pPr>
        <w:pStyle w:val="BodyText"/>
        <w:numPr>
          <w:ilvl w:val="0"/>
          <w:numId w:val="368"/>
        </w:numPr>
      </w:pPr>
      <w:r w:rsidRPr="000911A0">
        <w:t>Inquire about 1099 G information for incoming tax purposes. </w:t>
      </w:r>
    </w:p>
    <w:p w14:paraId="1B58071D" w14:textId="77777777" w:rsidR="000911A0" w:rsidRPr="000911A0" w:rsidRDefault="000911A0" w:rsidP="00C64851">
      <w:pPr>
        <w:pStyle w:val="BodyText"/>
        <w:numPr>
          <w:ilvl w:val="0"/>
          <w:numId w:val="369"/>
        </w:numPr>
      </w:pPr>
      <w:r w:rsidRPr="000911A0">
        <w:t>Update their income tax withholding. </w:t>
      </w:r>
    </w:p>
    <w:p w14:paraId="1B15A699" w14:textId="77777777" w:rsidR="000911A0" w:rsidRPr="000911A0" w:rsidRDefault="000911A0" w:rsidP="00C64851">
      <w:pPr>
        <w:pStyle w:val="BodyText"/>
        <w:numPr>
          <w:ilvl w:val="0"/>
          <w:numId w:val="370"/>
        </w:numPr>
      </w:pPr>
      <w:r w:rsidRPr="000911A0">
        <w:t xml:space="preserve">Request the payment of the waiting week, </w:t>
      </w:r>
      <w:r w:rsidRPr="000911A0">
        <w:rPr>
          <w:i/>
          <w:iCs/>
        </w:rPr>
        <w:t>the first week of unemployment benefits.</w:t>
      </w:r>
      <w:r w:rsidRPr="000911A0">
        <w:t> </w:t>
      </w:r>
    </w:p>
    <w:p w14:paraId="28A504DD" w14:textId="77777777" w:rsidR="000911A0" w:rsidRPr="000911A0" w:rsidRDefault="000911A0" w:rsidP="000911A0">
      <w:pPr>
        <w:pStyle w:val="BodyText"/>
      </w:pPr>
      <w:r w:rsidRPr="000911A0">
        <w:t>TWC provides the following self-service options to employers over the Internet: </w:t>
      </w:r>
    </w:p>
    <w:p w14:paraId="5DB85E7C" w14:textId="77777777" w:rsidR="000911A0" w:rsidRPr="000911A0" w:rsidRDefault="000911A0" w:rsidP="00C64851">
      <w:pPr>
        <w:pStyle w:val="BodyText"/>
        <w:numPr>
          <w:ilvl w:val="0"/>
          <w:numId w:val="371"/>
        </w:numPr>
      </w:pPr>
      <w:r w:rsidRPr="000911A0">
        <w:t>Respond to the initial request of information. </w:t>
      </w:r>
    </w:p>
    <w:p w14:paraId="050DB0D7" w14:textId="77777777" w:rsidR="000911A0" w:rsidRPr="000911A0" w:rsidRDefault="000911A0" w:rsidP="00C64851">
      <w:pPr>
        <w:pStyle w:val="BodyText"/>
        <w:numPr>
          <w:ilvl w:val="0"/>
          <w:numId w:val="372"/>
        </w:numPr>
      </w:pPr>
      <w:r w:rsidRPr="000911A0">
        <w:t>Respond to a request for earnings information. </w:t>
      </w:r>
    </w:p>
    <w:p w14:paraId="7945C9E5" w14:textId="77777777" w:rsidR="000911A0" w:rsidRPr="000911A0" w:rsidRDefault="000911A0" w:rsidP="00C64851">
      <w:pPr>
        <w:pStyle w:val="BodyText"/>
        <w:numPr>
          <w:ilvl w:val="0"/>
          <w:numId w:val="373"/>
        </w:numPr>
      </w:pPr>
      <w:r w:rsidRPr="000911A0">
        <w:t>Respond to a Notice of Maximum Potential Chargeback. </w:t>
      </w:r>
    </w:p>
    <w:p w14:paraId="055F5353" w14:textId="77777777" w:rsidR="000911A0" w:rsidRPr="000911A0" w:rsidRDefault="000911A0" w:rsidP="00C64851">
      <w:pPr>
        <w:pStyle w:val="BodyText"/>
        <w:numPr>
          <w:ilvl w:val="0"/>
          <w:numId w:val="374"/>
        </w:numPr>
      </w:pPr>
      <w:r w:rsidRPr="000911A0">
        <w:t>Submit a Mass Claim. </w:t>
      </w:r>
    </w:p>
    <w:p w14:paraId="350C57D1" w14:textId="77777777" w:rsidR="000911A0" w:rsidRPr="000911A0" w:rsidRDefault="000911A0" w:rsidP="00C64851">
      <w:pPr>
        <w:pStyle w:val="BodyText"/>
        <w:numPr>
          <w:ilvl w:val="0"/>
          <w:numId w:val="375"/>
        </w:numPr>
      </w:pPr>
      <w:r w:rsidRPr="000911A0">
        <w:t>Report a work refusal or a failure to show up for an interview or begin work. </w:t>
      </w:r>
    </w:p>
    <w:p w14:paraId="3591BD66" w14:textId="77777777" w:rsidR="000911A0" w:rsidRPr="000911A0" w:rsidRDefault="000911A0" w:rsidP="00C64851">
      <w:pPr>
        <w:pStyle w:val="BodyText"/>
        <w:numPr>
          <w:ilvl w:val="0"/>
          <w:numId w:val="376"/>
        </w:numPr>
      </w:pPr>
      <w:r w:rsidRPr="000911A0">
        <w:t>Submit a Shared Work Application. </w:t>
      </w:r>
    </w:p>
    <w:p w14:paraId="331BCF0B" w14:textId="77777777" w:rsidR="000911A0" w:rsidRPr="000911A0" w:rsidRDefault="000911A0" w:rsidP="00C64851">
      <w:pPr>
        <w:pStyle w:val="BodyText"/>
        <w:numPr>
          <w:ilvl w:val="0"/>
          <w:numId w:val="377"/>
        </w:numPr>
      </w:pPr>
      <w:r w:rsidRPr="000911A0">
        <w:t>Submit documents using an online upload portal. </w:t>
      </w:r>
    </w:p>
    <w:p w14:paraId="4CE29C6E" w14:textId="77777777" w:rsidR="000911A0" w:rsidRPr="000911A0" w:rsidRDefault="000911A0" w:rsidP="00C64851">
      <w:pPr>
        <w:pStyle w:val="BodyText"/>
        <w:numPr>
          <w:ilvl w:val="0"/>
          <w:numId w:val="378"/>
        </w:numPr>
      </w:pPr>
      <w:r w:rsidRPr="000911A0">
        <w:t>Submit Return to Work Information. </w:t>
      </w:r>
    </w:p>
    <w:p w14:paraId="2C981415" w14:textId="77777777" w:rsidR="000911A0" w:rsidRPr="000911A0" w:rsidRDefault="000911A0" w:rsidP="00C64851">
      <w:pPr>
        <w:pStyle w:val="BodyText"/>
        <w:numPr>
          <w:ilvl w:val="0"/>
          <w:numId w:val="379"/>
        </w:numPr>
      </w:pPr>
      <w:r w:rsidRPr="000911A0">
        <w:t>Update or create a Designated Address for UI Correspondence. </w:t>
      </w:r>
    </w:p>
    <w:p w14:paraId="61474796" w14:textId="77777777" w:rsidR="000911A0" w:rsidRPr="000911A0" w:rsidRDefault="000911A0" w:rsidP="00C64851">
      <w:pPr>
        <w:pStyle w:val="BodyText"/>
        <w:numPr>
          <w:ilvl w:val="0"/>
          <w:numId w:val="380"/>
        </w:numPr>
      </w:pPr>
      <w:r w:rsidRPr="000911A0">
        <w:t>Sign up for and receive electronic correspondence. </w:t>
      </w:r>
    </w:p>
    <w:p w14:paraId="06923D28" w14:textId="77777777" w:rsidR="000911A0" w:rsidRPr="000911A0" w:rsidRDefault="000911A0" w:rsidP="00C64851">
      <w:pPr>
        <w:pStyle w:val="BodyText"/>
        <w:numPr>
          <w:ilvl w:val="0"/>
          <w:numId w:val="381"/>
        </w:numPr>
      </w:pPr>
      <w:r w:rsidRPr="000911A0">
        <w:t>File an appeal and monitor results. </w:t>
      </w:r>
    </w:p>
    <w:p w14:paraId="3340DE15" w14:textId="77777777" w:rsidR="000911A0" w:rsidRPr="000911A0" w:rsidRDefault="000911A0" w:rsidP="000911A0">
      <w:pPr>
        <w:pStyle w:val="BodyText"/>
      </w:pPr>
      <w:r w:rsidRPr="000911A0">
        <w:lastRenderedPageBreak/>
        <w:t>TWC maintains a UI Tele-Center network within UI Client Services with locations in El Paso, Fort Worth, McAllen, and San Antonio. Having geographically separated locations promotes business continuity by lessening the potential that an event will affect more the one location. Also, the El Paso UI Tele-Center operates in the Mountain Time Zone which allows it to provide services until 6:00 PM Central (5:00 PM Mountain). </w:t>
      </w:r>
    </w:p>
    <w:p w14:paraId="5A948818" w14:textId="77777777" w:rsidR="000911A0" w:rsidRPr="000911A0" w:rsidRDefault="000911A0" w:rsidP="000911A0">
      <w:pPr>
        <w:pStyle w:val="BodyText"/>
      </w:pPr>
      <w:r w:rsidRPr="000911A0">
        <w:t>Each UI Tele-Center has a director, who reports to the director of the UI Client Services Department in Austin. </w:t>
      </w:r>
    </w:p>
    <w:p w14:paraId="0F35F0F7" w14:textId="77777777" w:rsidR="000911A0" w:rsidRPr="000911A0" w:rsidRDefault="000911A0" w:rsidP="000911A0">
      <w:pPr>
        <w:pStyle w:val="BodyText"/>
      </w:pPr>
      <w:r w:rsidRPr="000911A0">
        <w:t>In addition, “Larry the Chat Bot” was implemented in April of 2020 on the TWC website to assist customers with commonly asked questions and is utilized by approximately 1,400 customers per day. TWC also provides a Contact Request form on our website for customers in need of more information on fraud, unemployment insurance, and tax. </w:t>
      </w:r>
    </w:p>
    <w:p w14:paraId="2369EAF4" w14:textId="366049F1" w:rsidR="000911A0" w:rsidRPr="000911A0" w:rsidRDefault="000911A0" w:rsidP="00525DA6">
      <w:pPr>
        <w:pStyle w:val="BodyText3"/>
        <w:rPr>
          <w:b w:val="0"/>
        </w:rPr>
      </w:pPr>
      <w:r w:rsidRPr="000911A0">
        <w:rPr>
          <w:b w:val="0"/>
        </w:rPr>
        <w:t>The UI Administration and Operational Support (UIA&amp;OS) department supports claimants, employers, and the public, as well as other departments and divisions. UIA&amp;OS provides reports and information on unemployment benefits, state and federal laws and policies, and coordinates the programming and procedural materials for staff, claimants, and employers in clear and easy-to-understand terms. </w:t>
      </w:r>
    </w:p>
    <w:p w14:paraId="4CF52E99" w14:textId="77777777" w:rsidR="00770F22" w:rsidRPr="00770F22" w:rsidRDefault="00770F22" w:rsidP="00770F22">
      <w:pPr>
        <w:pStyle w:val="BodyText3"/>
        <w:rPr>
          <w:b w:val="0"/>
        </w:rPr>
      </w:pPr>
      <w:r w:rsidRPr="00770F22">
        <w:rPr>
          <w:b w:val="0"/>
        </w:rPr>
        <w:t xml:space="preserve">TWC’s Fraud Deterrence and Compliance Monitoring (FDCM) division enforces regulatory statutes within the jurisdiction of the agency that affect Unemployment Claims, Board sanctions, Wage claims and Child labor. A priority of the division is the prevention, detection, and elimination of fraud and abuse in the UI Program. </w:t>
      </w:r>
    </w:p>
    <w:p w14:paraId="5FC6A168" w14:textId="0A69A457" w:rsidR="00A0247C" w:rsidRPr="000911A0" w:rsidRDefault="00770F22" w:rsidP="00770F22">
      <w:pPr>
        <w:pStyle w:val="BodyText3"/>
        <w:rPr>
          <w:b w:val="0"/>
        </w:rPr>
      </w:pPr>
      <w:r w:rsidRPr="00770F22">
        <w:rPr>
          <w:b w:val="0"/>
        </w:rPr>
        <w:t xml:space="preserve">Both the </w:t>
      </w:r>
      <w:r>
        <w:rPr>
          <w:b w:val="0"/>
        </w:rPr>
        <w:t>UI</w:t>
      </w:r>
      <w:r w:rsidRPr="00770F22">
        <w:rPr>
          <w:b w:val="0"/>
        </w:rPr>
        <w:t xml:space="preserve"> and FDCM divisions strive to prevent, detect, and eliminate fraud and abuse in the Unemployment benefits program. We educate claimants and employers on the regulations for receipt of benefits. We have processes in place to detect potential fraud, such as unreported or underreported earnings. We both investigate potential fraud and issue decisions.</w:t>
      </w:r>
    </w:p>
    <w:p w14:paraId="31676776" w14:textId="77777777" w:rsidR="000911A0" w:rsidRPr="00525DA6" w:rsidRDefault="000911A0" w:rsidP="006A2ED1">
      <w:pPr>
        <w:pStyle w:val="BodyText3"/>
        <w:ind w:left="720" w:hanging="720"/>
      </w:pPr>
      <w:r w:rsidRPr="00525DA6">
        <w:t>G.</w:t>
      </w:r>
      <w:r w:rsidRPr="00525DA6">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595"/>
        <w:gridCol w:w="1995"/>
        <w:gridCol w:w="1826"/>
        <w:gridCol w:w="1944"/>
      </w:tblGrid>
      <w:tr w:rsidR="00752289" w:rsidRPr="00FE26B7" w14:paraId="5CF8788B" w14:textId="77777777" w:rsidTr="00752289">
        <w:trPr>
          <w:trHeight w:val="288"/>
        </w:trPr>
        <w:tc>
          <w:tcPr>
            <w:tcW w:w="3595" w:type="dxa"/>
            <w:shd w:val="clear" w:color="auto" w:fill="B8CCE4" w:themeFill="accent1" w:themeFillTint="66"/>
            <w:vAlign w:val="center"/>
            <w:hideMark/>
          </w:tcPr>
          <w:p w14:paraId="1CCA72DB" w14:textId="77777777" w:rsidR="00752289" w:rsidRPr="00E06B31" w:rsidRDefault="00752289" w:rsidP="00752289">
            <w:pPr>
              <w:pStyle w:val="TableHeaders"/>
              <w:rPr>
                <w:color w:val="000000"/>
              </w:rPr>
            </w:pPr>
            <w:r w:rsidRPr="00E06B31">
              <w:t>Program or Function Detail Description</w:t>
            </w:r>
          </w:p>
        </w:tc>
        <w:tc>
          <w:tcPr>
            <w:tcW w:w="2430" w:type="dxa"/>
            <w:shd w:val="clear" w:color="auto" w:fill="B8CCE4" w:themeFill="accent1" w:themeFillTint="66"/>
            <w:vAlign w:val="center"/>
            <w:hideMark/>
          </w:tcPr>
          <w:p w14:paraId="1DA4FE79" w14:textId="77777777" w:rsidR="00752289" w:rsidRPr="00E06B31" w:rsidRDefault="00752289" w:rsidP="00752289">
            <w:pPr>
              <w:pStyle w:val="TableHeaders"/>
              <w:rPr>
                <w:color w:val="000000"/>
              </w:rPr>
            </w:pPr>
            <w:r w:rsidRPr="00E06B31">
              <w:t>Total FY 2024</w:t>
            </w:r>
          </w:p>
        </w:tc>
        <w:tc>
          <w:tcPr>
            <w:tcW w:w="2160" w:type="dxa"/>
            <w:shd w:val="clear" w:color="auto" w:fill="B8CCE4" w:themeFill="accent1" w:themeFillTint="66"/>
            <w:vAlign w:val="center"/>
            <w:hideMark/>
          </w:tcPr>
          <w:p w14:paraId="5DC3234C" w14:textId="77777777" w:rsidR="00752289" w:rsidRPr="00E06B31" w:rsidRDefault="00752289" w:rsidP="00752289">
            <w:pPr>
              <w:pStyle w:val="TableHeaders"/>
              <w:rPr>
                <w:color w:val="000000"/>
              </w:rPr>
            </w:pPr>
            <w:r w:rsidRPr="00E06B31">
              <w:t>Federal Funding</w:t>
            </w:r>
          </w:p>
        </w:tc>
        <w:tc>
          <w:tcPr>
            <w:tcW w:w="2475" w:type="dxa"/>
            <w:shd w:val="clear" w:color="auto" w:fill="B8CCE4" w:themeFill="accent1" w:themeFillTint="66"/>
            <w:vAlign w:val="center"/>
            <w:hideMark/>
          </w:tcPr>
          <w:p w14:paraId="222E156B" w14:textId="77777777" w:rsidR="00752289" w:rsidRPr="00E06B31" w:rsidRDefault="00752289" w:rsidP="00752289">
            <w:pPr>
              <w:pStyle w:val="TableHeaders"/>
              <w:rPr>
                <w:color w:val="000000"/>
              </w:rPr>
            </w:pPr>
            <w:r w:rsidRPr="00E06B31">
              <w:t>State Funding</w:t>
            </w:r>
          </w:p>
        </w:tc>
      </w:tr>
      <w:tr w:rsidR="00752289" w:rsidRPr="00FE26B7" w14:paraId="08597B63" w14:textId="77777777" w:rsidTr="00752289">
        <w:trPr>
          <w:trHeight w:val="288"/>
        </w:trPr>
        <w:tc>
          <w:tcPr>
            <w:tcW w:w="3595" w:type="dxa"/>
            <w:noWrap/>
            <w:vAlign w:val="center"/>
            <w:hideMark/>
          </w:tcPr>
          <w:p w14:paraId="4335620F" w14:textId="77777777" w:rsidR="00752289" w:rsidRPr="00E06B31" w:rsidRDefault="00752289" w:rsidP="00752289">
            <w:pPr>
              <w:pStyle w:val="TableText"/>
            </w:pPr>
            <w:r w:rsidRPr="00E06B31">
              <w:t>Unemployment Benefits Program</w:t>
            </w:r>
          </w:p>
        </w:tc>
        <w:tc>
          <w:tcPr>
            <w:tcW w:w="2430" w:type="dxa"/>
            <w:vAlign w:val="center"/>
            <w:hideMark/>
          </w:tcPr>
          <w:p w14:paraId="71FFB310" w14:textId="29AB733B" w:rsidR="00752289" w:rsidRPr="00E06B31" w:rsidRDefault="00752289" w:rsidP="00752289">
            <w:pPr>
              <w:pStyle w:val="TableText"/>
              <w:jc w:val="right"/>
            </w:pPr>
            <w:r w:rsidRPr="00E06B31">
              <w:t xml:space="preserve">109,773,306 </w:t>
            </w:r>
          </w:p>
        </w:tc>
        <w:tc>
          <w:tcPr>
            <w:tcW w:w="2160" w:type="dxa"/>
            <w:vAlign w:val="center"/>
            <w:hideMark/>
          </w:tcPr>
          <w:p w14:paraId="79854FF0" w14:textId="3EF50D8D" w:rsidR="00752289" w:rsidRPr="00E06B31" w:rsidRDefault="00752289" w:rsidP="00752289">
            <w:pPr>
              <w:pStyle w:val="TableText"/>
              <w:jc w:val="right"/>
            </w:pPr>
            <w:r w:rsidRPr="00E06B31">
              <w:t xml:space="preserve">106,552,564 </w:t>
            </w:r>
          </w:p>
        </w:tc>
        <w:tc>
          <w:tcPr>
            <w:tcW w:w="2475" w:type="dxa"/>
            <w:vAlign w:val="center"/>
            <w:hideMark/>
          </w:tcPr>
          <w:p w14:paraId="0A58B662" w14:textId="1BB0A82F" w:rsidR="00752289" w:rsidRPr="00E06B31" w:rsidRDefault="00752289" w:rsidP="00752289">
            <w:pPr>
              <w:pStyle w:val="TableText"/>
              <w:jc w:val="right"/>
            </w:pPr>
            <w:r w:rsidRPr="00E06B31">
              <w:t xml:space="preserve">3,220,742 </w:t>
            </w:r>
          </w:p>
        </w:tc>
      </w:tr>
    </w:tbl>
    <w:p w14:paraId="7576D1C5" w14:textId="77777777" w:rsidR="000911A0" w:rsidRPr="00525DA6" w:rsidRDefault="000911A0" w:rsidP="006A2ED1">
      <w:pPr>
        <w:pStyle w:val="BodyText3"/>
        <w:ind w:left="720" w:hanging="720"/>
      </w:pPr>
      <w:r w:rsidRPr="00525DA6">
        <w:t>H.</w:t>
      </w:r>
      <w:r w:rsidRPr="00525DA6">
        <w:tab/>
        <w:t xml:space="preserve">Briefly discuss any memoranda of understanding (MOU), interagency agreements, or interagency contracts the agency uses to coordinate its </w:t>
      </w:r>
      <w:r w:rsidRPr="00525DA6">
        <w:lastRenderedPageBreak/>
        <w:t>activities and avoid duplication or conflict with other entities that provide similar or identical services or functions to the target population. </w:t>
      </w:r>
    </w:p>
    <w:p w14:paraId="17FC7CC2" w14:textId="7998A2E9" w:rsidR="000911A0" w:rsidRPr="000911A0" w:rsidRDefault="00652035" w:rsidP="008978DC">
      <w:pPr>
        <w:pStyle w:val="BodyText"/>
      </w:pPr>
      <w:r>
        <w:t>N/A</w:t>
      </w:r>
    </w:p>
    <w:p w14:paraId="4C4AE4FC" w14:textId="77777777" w:rsidR="000911A0" w:rsidRPr="00E2657B" w:rsidRDefault="000911A0" w:rsidP="006A2ED1">
      <w:pPr>
        <w:pStyle w:val="BodyText3"/>
        <w:ind w:left="720" w:hanging="720"/>
      </w:pPr>
      <w:r w:rsidRPr="00E2657B">
        <w:t>I.</w:t>
      </w:r>
      <w:r w:rsidRPr="00E2657B">
        <w:tab/>
        <w:t>If the division or program works with local, regional, or federal units of government, include a brief description of these entities and their relationship to the agency. </w:t>
      </w:r>
    </w:p>
    <w:p w14:paraId="703F6E76" w14:textId="77777777" w:rsidR="000911A0" w:rsidRPr="000911A0" w:rsidRDefault="000911A0" w:rsidP="000911A0">
      <w:pPr>
        <w:pStyle w:val="BodyText"/>
      </w:pPr>
      <w:r w:rsidRPr="000911A0">
        <w:t>DOL is responsible for federal administration and oversight of the national unemployment program. TWC regularly submits performance reports to DOL. These reports are used for national program performance evaluation, reporting, and economic forecasting. DOL and the Office of the Inspector General ensure program integrity through periodic audits of the agency’s fraud and overpayment detection, prevention, and recovery effort. DOL underwrites research and pilot initiatives to improve program performance and efficiency, including, for example, new technology applications, training and research seminars, formal academic studies, and “Best Practices” colloquia. </w:t>
      </w:r>
    </w:p>
    <w:p w14:paraId="4C7D99AE" w14:textId="77777777" w:rsidR="000911A0" w:rsidRPr="00E2657B" w:rsidRDefault="000911A0" w:rsidP="00367884">
      <w:pPr>
        <w:pStyle w:val="BodyText3"/>
        <w:ind w:left="720" w:hanging="720"/>
      </w:pPr>
      <w:r w:rsidRPr="00E2657B">
        <w:t>J.</w:t>
      </w:r>
      <w:r w:rsidRPr="00E2657B">
        <w:tab/>
        <w:t>Are there any barriers or challenges that impede the division or program’s performance, including any outdated or ineffective state laws? Explain. </w:t>
      </w:r>
    </w:p>
    <w:p w14:paraId="097D88F2" w14:textId="77777777" w:rsidR="000911A0" w:rsidRPr="000911A0" w:rsidRDefault="000911A0" w:rsidP="000911A0">
      <w:pPr>
        <w:pStyle w:val="BodyText"/>
      </w:pPr>
      <w:r w:rsidRPr="000911A0">
        <w:t>N/A </w:t>
      </w:r>
    </w:p>
    <w:p w14:paraId="5C645005" w14:textId="77777777" w:rsidR="000911A0" w:rsidRPr="00E2657B" w:rsidRDefault="000911A0" w:rsidP="00367884">
      <w:pPr>
        <w:pStyle w:val="BodyText3"/>
        <w:ind w:left="720" w:hanging="720"/>
      </w:pPr>
      <w:r w:rsidRPr="00E2657B">
        <w:t>K.</w:t>
      </w:r>
      <w:r w:rsidRPr="00E2657B">
        <w:tab/>
        <w:t>Provide any additional information needed to gain a preliminary understanding of the division or program. </w:t>
      </w:r>
    </w:p>
    <w:p w14:paraId="0F5EC083" w14:textId="77777777" w:rsidR="000911A0" w:rsidRPr="000911A0" w:rsidRDefault="000911A0" w:rsidP="000911A0">
      <w:pPr>
        <w:pStyle w:val="BodyText"/>
      </w:pPr>
      <w:r w:rsidRPr="000911A0">
        <w:t>N/A </w:t>
      </w:r>
    </w:p>
    <w:p w14:paraId="410C1C42" w14:textId="77777777" w:rsidR="000911A0" w:rsidRPr="00E2657B" w:rsidRDefault="000911A0" w:rsidP="00367884">
      <w:pPr>
        <w:pStyle w:val="BodyText3"/>
        <w:ind w:left="720" w:hanging="720"/>
      </w:pPr>
      <w:r w:rsidRPr="00E2657B">
        <w:t>L.</w:t>
      </w:r>
      <w:r w:rsidRPr="00E2657B">
        <w:tab/>
        <w:t>Regulatory programs relate to the licensing, registration, certification, or permitting of a person, business, piece of equipment, or other entity (e.g., a facility). For each regulatory program, if applicable, describe: </w:t>
      </w:r>
    </w:p>
    <w:p w14:paraId="08A4F270" w14:textId="77777777" w:rsidR="000911A0" w:rsidRPr="000911A0" w:rsidRDefault="000911A0" w:rsidP="00E2657B">
      <w:pPr>
        <w:pStyle w:val="BodyText"/>
      </w:pPr>
      <w:r w:rsidRPr="000911A0">
        <w:t>N/A </w:t>
      </w:r>
    </w:p>
    <w:p w14:paraId="3AF559BA" w14:textId="77777777" w:rsidR="000911A0" w:rsidRPr="00E2657B" w:rsidRDefault="000911A0" w:rsidP="00367884">
      <w:pPr>
        <w:pStyle w:val="BodyText3"/>
        <w:ind w:left="720" w:hanging="720"/>
      </w:pPr>
      <w:r w:rsidRPr="00E2657B">
        <w:t>M.</w:t>
      </w:r>
      <w:r w:rsidRPr="00E2657B">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71800065" w14:textId="12E0603E" w:rsidR="00E2657B" w:rsidRDefault="000911A0" w:rsidP="000911A0">
      <w:pPr>
        <w:pStyle w:val="BodyText"/>
      </w:pPr>
      <w:r w:rsidRPr="000911A0">
        <w:lastRenderedPageBreak/>
        <w:t>N/A </w:t>
      </w:r>
    </w:p>
    <w:p w14:paraId="44D8DA8D" w14:textId="128DD3D0" w:rsidR="00E2657B" w:rsidRDefault="00E2657B">
      <w:pPr>
        <w:rPr>
          <w:rFonts w:ascii="Arial" w:eastAsiaTheme="minorEastAsia" w:hAnsi="Arial"/>
          <w:b/>
          <w:szCs w:val="22"/>
        </w:rPr>
      </w:pPr>
    </w:p>
    <w:p w14:paraId="7D91066F" w14:textId="77777777" w:rsidR="006075D7" w:rsidRDefault="006075D7" w:rsidP="00E934EF">
      <w:pPr>
        <w:pStyle w:val="BodyText3"/>
      </w:pPr>
      <w:r>
        <w:t>Employer Tax Services</w:t>
      </w:r>
    </w:p>
    <w:p w14:paraId="79469BE3" w14:textId="76FA5B64" w:rsidR="009F47B7" w:rsidRPr="00E934EF" w:rsidRDefault="009F47B7" w:rsidP="00E934EF">
      <w:pPr>
        <w:pStyle w:val="BodyText3"/>
      </w:pPr>
      <w:r w:rsidRPr="00E934EF">
        <w:t>A.</w:t>
      </w:r>
      <w:r w:rsidRPr="00E934EF">
        <w:tab/>
        <w:t>Provide the following information at the beginning of each description. </w:t>
      </w:r>
    </w:p>
    <w:p w14:paraId="24D75CA9" w14:textId="77777777" w:rsidR="009F47B7" w:rsidRPr="009F47B7" w:rsidRDefault="009F47B7" w:rsidP="00E934EF">
      <w:pPr>
        <w:pStyle w:val="BodyText"/>
      </w:pPr>
      <w:r w:rsidRPr="009F47B7">
        <w:t>Name of division or program: Unemployment Insurance- Employer Tax Services </w:t>
      </w:r>
    </w:p>
    <w:p w14:paraId="750A8959" w14:textId="77777777" w:rsidR="009F47B7" w:rsidRPr="009F47B7" w:rsidRDefault="009F47B7" w:rsidP="00E934EF">
      <w:pPr>
        <w:pStyle w:val="BodyText"/>
      </w:pPr>
      <w:r w:rsidRPr="009F47B7">
        <w:t>Location within the agency: Unemployment Insurance Division </w:t>
      </w:r>
    </w:p>
    <w:p w14:paraId="3043FFE3" w14:textId="77777777" w:rsidR="009F47B7" w:rsidRPr="009F47B7" w:rsidRDefault="009F47B7" w:rsidP="00E934EF">
      <w:pPr>
        <w:pStyle w:val="BodyText"/>
      </w:pPr>
      <w:r w:rsidRPr="009F47B7">
        <w:t>Contact name: Eric Holen / Terri Warren (UIA&amp;OS) / Diana Harris (UICS) / Sergio Lopez (UI-Tax) </w:t>
      </w:r>
    </w:p>
    <w:p w14:paraId="129071A2" w14:textId="6D068534" w:rsidR="008D35B3" w:rsidRDefault="009F47B7" w:rsidP="006214D1">
      <w:pPr>
        <w:pStyle w:val="BodyText"/>
      </w:pPr>
      <w:r w:rsidRPr="009F47B7">
        <w:t xml:space="preserve">Statutory citation: Texas Labor Code, Chapters 201-215 </w:t>
      </w:r>
      <w:r w:rsidR="006214D1">
        <w:t>and Chapter</w:t>
      </w:r>
      <w:r w:rsidRPr="009F47B7">
        <w:t xml:space="preserve"> 301 </w:t>
      </w:r>
    </w:p>
    <w:p w14:paraId="48606E87" w14:textId="77777777" w:rsidR="009F47B7" w:rsidRPr="00E934EF" w:rsidRDefault="009F47B7" w:rsidP="0066635B">
      <w:pPr>
        <w:pStyle w:val="BodyText3"/>
        <w:ind w:left="720" w:hanging="720"/>
      </w:pPr>
      <w:r w:rsidRPr="00E934EF">
        <w:t>B.</w:t>
      </w:r>
      <w:r w:rsidRPr="00E934EF">
        <w:tab/>
        <w:t>What is the objective of this division or program? Describe its major activities. </w:t>
      </w:r>
    </w:p>
    <w:p w14:paraId="367D063D" w14:textId="0DE2C0DE" w:rsidR="009F47B7" w:rsidRPr="009F47B7" w:rsidRDefault="009F47B7" w:rsidP="009F47B7">
      <w:pPr>
        <w:pStyle w:val="BodyText"/>
      </w:pPr>
      <w:r w:rsidRPr="009F47B7">
        <w:t>TWC UI Tax Department is responsible for the collection, management, and enforcement of UI taxes and wage reports in accordance with state laws, regulations, and policies. These taxes fund benefits paid to eligible claimants and are vital to maintaining the integrity of the UI system through verified employer compliance. </w:t>
      </w:r>
    </w:p>
    <w:p w14:paraId="756519CA" w14:textId="77777777" w:rsidR="009F47B7" w:rsidRPr="009F47B7" w:rsidRDefault="009F47B7" w:rsidP="009F47B7">
      <w:pPr>
        <w:pStyle w:val="BodyText"/>
      </w:pPr>
      <w:r w:rsidRPr="009F47B7">
        <w:t>This includes: </w:t>
      </w:r>
    </w:p>
    <w:p w14:paraId="429B4D19" w14:textId="77777777" w:rsidR="009F47B7" w:rsidRPr="009F47B7" w:rsidRDefault="009F47B7" w:rsidP="00C64851">
      <w:pPr>
        <w:pStyle w:val="BodyText"/>
        <w:numPr>
          <w:ilvl w:val="0"/>
          <w:numId w:val="384"/>
        </w:numPr>
      </w:pPr>
      <w:r w:rsidRPr="009F47B7">
        <w:rPr>
          <w:b/>
          <w:bCs/>
        </w:rPr>
        <w:t>Employer Registration:</w:t>
      </w:r>
      <w:r w:rsidRPr="009F47B7">
        <w:t xml:space="preserve"> Ensuring businesses properly register for UI tax accounts. </w:t>
      </w:r>
    </w:p>
    <w:p w14:paraId="5AE99584" w14:textId="77777777" w:rsidR="009F47B7" w:rsidRPr="009F47B7" w:rsidRDefault="009F47B7" w:rsidP="00C64851">
      <w:pPr>
        <w:pStyle w:val="BodyText"/>
        <w:numPr>
          <w:ilvl w:val="0"/>
          <w:numId w:val="385"/>
        </w:numPr>
      </w:pPr>
      <w:r w:rsidRPr="009F47B7">
        <w:rPr>
          <w:b/>
          <w:bCs/>
        </w:rPr>
        <w:t>Tax Rate Assignment:</w:t>
      </w:r>
      <w:r w:rsidRPr="009F47B7">
        <w:t xml:space="preserve"> Determining employer UI tax rates based on experience ratings and state regulations. </w:t>
      </w:r>
    </w:p>
    <w:p w14:paraId="4E19D633" w14:textId="77777777" w:rsidR="009F47B7" w:rsidRPr="009F47B7" w:rsidRDefault="009F47B7" w:rsidP="00C64851">
      <w:pPr>
        <w:pStyle w:val="BodyText"/>
        <w:numPr>
          <w:ilvl w:val="0"/>
          <w:numId w:val="386"/>
        </w:numPr>
      </w:pPr>
      <w:r w:rsidRPr="009F47B7">
        <w:rPr>
          <w:b/>
          <w:bCs/>
        </w:rPr>
        <w:t>Tax Collection:</w:t>
      </w:r>
      <w:r w:rsidRPr="009F47B7">
        <w:t xml:space="preserve"> Ensuring timely and accurate collection of UI taxes from employers. </w:t>
      </w:r>
    </w:p>
    <w:p w14:paraId="503B35EC" w14:textId="77777777" w:rsidR="009F47B7" w:rsidRPr="009F47B7" w:rsidRDefault="009F47B7" w:rsidP="00C64851">
      <w:pPr>
        <w:pStyle w:val="BodyText"/>
        <w:numPr>
          <w:ilvl w:val="0"/>
          <w:numId w:val="387"/>
        </w:numPr>
      </w:pPr>
      <w:r w:rsidRPr="009F47B7">
        <w:rPr>
          <w:b/>
          <w:bCs/>
        </w:rPr>
        <w:t>Compliance and Enforcement:</w:t>
      </w:r>
      <w:r w:rsidRPr="009F47B7">
        <w:t xml:space="preserve"> Auditing employers to prevent tax evasion and worker misclassification and ensuring compliance with UI tax laws. </w:t>
      </w:r>
    </w:p>
    <w:p w14:paraId="0A907EF2" w14:textId="77777777" w:rsidR="009F47B7" w:rsidRPr="009F47B7" w:rsidRDefault="009F47B7" w:rsidP="00C64851">
      <w:pPr>
        <w:pStyle w:val="BodyText"/>
        <w:numPr>
          <w:ilvl w:val="0"/>
          <w:numId w:val="388"/>
        </w:numPr>
      </w:pPr>
      <w:r w:rsidRPr="009F47B7">
        <w:rPr>
          <w:b/>
          <w:bCs/>
        </w:rPr>
        <w:t>Fraud Investigation and Prevention:</w:t>
      </w:r>
      <w:r w:rsidRPr="009F47B7">
        <w:t xml:space="preserve"> Tax personnel identify and investigate fraudulent registrations and tax wage reporting.  In calendar year (CY) 2024: Tax identified 350 fraudulent registrations and prevented fraudulent claims against $112.5 million in wages. UI Tax notifies Fraud Deterrence &amp; Compliance Monitoring (FDCM) about findings. The UI Tax Department and FDCM Office of Investigations collaborate closely, exchanging information to enhance fraud detection and investigation. This partnership leverages each department's expertise for more effective fraud prevention and enforcement. </w:t>
      </w:r>
    </w:p>
    <w:p w14:paraId="6462C614" w14:textId="5CA27231" w:rsidR="009F47B7" w:rsidRPr="009F47B7" w:rsidRDefault="009F47B7" w:rsidP="009F47B7">
      <w:pPr>
        <w:pStyle w:val="BodyText"/>
      </w:pPr>
      <w:r w:rsidRPr="009F47B7">
        <w:lastRenderedPageBreak/>
        <w:t>A comprehensive program of audits, along with employer status determinations, collections efforts, and field investigations, is vital to a balanced tax program. This approach is necessary for the proper and efficient administration of the TUCA, ensuring compliance with taxing provisions, fostering employer understanding of the law, and maintaining positive agency-employer relationships through the dissemination of information pertaining to TWC programs.  </w:t>
      </w:r>
    </w:p>
    <w:p w14:paraId="3C55E800" w14:textId="5F03AB60" w:rsidR="009F47B7" w:rsidRPr="009F47B7" w:rsidRDefault="009F47B7" w:rsidP="009F47B7">
      <w:pPr>
        <w:pStyle w:val="BodyText"/>
      </w:pPr>
      <w:r w:rsidRPr="009F47B7">
        <w:t xml:space="preserve">Employers can use </w:t>
      </w:r>
      <w:r w:rsidR="006075D7">
        <w:t>TWC’s</w:t>
      </w:r>
      <w:r w:rsidR="006075D7" w:rsidRPr="009F47B7">
        <w:t xml:space="preserve"> </w:t>
      </w:r>
      <w:r w:rsidRPr="009F47B7">
        <w:t>free online service to file wage reports, pay unemployment taxes, view unemployment account information, and adjust previously filed wage reports.  </w:t>
      </w:r>
    </w:p>
    <w:p w14:paraId="46B20FB5" w14:textId="77777777" w:rsidR="009F47B7" w:rsidRPr="009F47B7" w:rsidRDefault="009F47B7" w:rsidP="009F47B7">
      <w:pPr>
        <w:pStyle w:val="BodyText"/>
      </w:pPr>
      <w:r w:rsidRPr="009F47B7">
        <w:t>Overall, the tax department plays a crucial role in maintaining the financial integrity of the unemployment insurance trust fund, which pays benefits to claimants, while ensuring employers meet their obligations. </w:t>
      </w:r>
    </w:p>
    <w:p w14:paraId="38116613" w14:textId="77777777" w:rsidR="009F47B7" w:rsidRPr="001B5F9C" w:rsidRDefault="009F47B7" w:rsidP="002E07F4">
      <w:pPr>
        <w:pStyle w:val="BodyText3"/>
        <w:ind w:left="720" w:hanging="720"/>
      </w:pPr>
      <w:r w:rsidRPr="001B5F9C">
        <w:t>C.</w:t>
      </w:r>
      <w:r w:rsidRPr="001B5F9C">
        <w:tab/>
        <w:t xml:space="preserve">What information does the agency collect/use to assess the effectiveness and efficiency of this division or program? If applicable, briefly note any LBB performance measures (from Section II, </w:t>
      </w:r>
      <w:proofErr w:type="gramStart"/>
      <w:r w:rsidRPr="001B5F9C">
        <w:t>Exhibit</w:t>
      </w:r>
      <w:proofErr w:type="gramEnd"/>
      <w:r w:rsidRPr="001B5F9C">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15CA7D92" w14:textId="09A9F082" w:rsidR="009F47B7" w:rsidRDefault="002E4D40" w:rsidP="009F47B7">
      <w:pPr>
        <w:pStyle w:val="BodyText"/>
      </w:pPr>
      <w:r w:rsidRPr="002E4D40">
        <w:t>UI Tax handles an average of 6,965 employer/representative requests for assistance each month. The average response time is less than 1 business day. In addition, UI Tax handles an average of 6,493 phone calls monthly and completed 749,031 assignments in CY 2024.</w:t>
      </w:r>
    </w:p>
    <w:p w14:paraId="04591334" w14:textId="6919ABFF" w:rsidR="002D61EF" w:rsidRPr="002D61EF" w:rsidRDefault="002D61EF" w:rsidP="002D61EF">
      <w:pPr>
        <w:pStyle w:val="BodyText"/>
      </w:pPr>
      <w:r w:rsidRPr="002D61EF">
        <w:t>UI Tax sends out quarterly reminders about filing and paying taxes, and the latest tax information for employers. In addition, customer satisfaction notices are sent to 10 percent of employers audited. In 2025, the UI Tax Department initiated a new Employer Services Desk to provide a single point to answer and handle general tax questions from Texas employers and their representatives.</w:t>
      </w:r>
    </w:p>
    <w:p w14:paraId="063CE146" w14:textId="77777777" w:rsidR="009F47B7" w:rsidRPr="009F47B7" w:rsidRDefault="009F47B7" w:rsidP="009F47B7">
      <w:pPr>
        <w:pStyle w:val="BodyText"/>
      </w:pPr>
      <w:r w:rsidRPr="009F47B7">
        <w:t>The US Department of Labor (DOL) uses performance measures to evaluate each state's effectiveness in meeting established standards. The table below details the UI Tax Department's performance in three critical areas:  </w:t>
      </w:r>
    </w:p>
    <w:p w14:paraId="689AED01" w14:textId="26D264A2" w:rsidR="009F47B7" w:rsidRPr="009F47B7" w:rsidRDefault="001B79A2" w:rsidP="00C64851">
      <w:pPr>
        <w:pStyle w:val="BodyText"/>
        <w:numPr>
          <w:ilvl w:val="0"/>
          <w:numId w:val="391"/>
        </w:numPr>
      </w:pPr>
      <w:r>
        <w:t>T</w:t>
      </w:r>
      <w:r w:rsidR="009F47B7" w:rsidRPr="009F47B7">
        <w:t>he number of wage and tax reports received on time</w:t>
      </w:r>
      <w:r w:rsidR="00C0557F">
        <w:t>.</w:t>
      </w:r>
    </w:p>
    <w:p w14:paraId="1A833082" w14:textId="706B628E" w:rsidR="009F47B7" w:rsidRPr="009F47B7" w:rsidRDefault="001B79A2" w:rsidP="00C64851">
      <w:pPr>
        <w:pStyle w:val="BodyText"/>
        <w:numPr>
          <w:ilvl w:val="0"/>
          <w:numId w:val="391"/>
        </w:numPr>
      </w:pPr>
      <w:r>
        <w:t>T</w:t>
      </w:r>
      <w:r w:rsidR="009F47B7" w:rsidRPr="009F47B7">
        <w:t>he percentage of accounts audite</w:t>
      </w:r>
      <w:r>
        <w:t>d</w:t>
      </w:r>
      <w:r w:rsidR="00C0557F">
        <w:t>.</w:t>
      </w:r>
    </w:p>
    <w:p w14:paraId="35E8A958" w14:textId="62B0DB45" w:rsidR="009F47B7" w:rsidRPr="009F47B7" w:rsidRDefault="001B79A2" w:rsidP="00C64851">
      <w:pPr>
        <w:pStyle w:val="BodyText"/>
        <w:numPr>
          <w:ilvl w:val="0"/>
          <w:numId w:val="391"/>
        </w:numPr>
      </w:pPr>
      <w:r>
        <w:t>T</w:t>
      </w:r>
      <w:r w:rsidR="009F47B7" w:rsidRPr="009F47B7">
        <w:t>he processing of new employer status determinations</w:t>
      </w:r>
      <w:r w:rsidR="00C0557F">
        <w:t>.</w:t>
      </w:r>
    </w:p>
    <w:p w14:paraId="39B55EB3" w14:textId="2AD25918" w:rsidR="009F47B7" w:rsidRPr="009F47B7" w:rsidRDefault="009F47B7" w:rsidP="009F47B7">
      <w:pPr>
        <w:pStyle w:val="BodyText"/>
      </w:pPr>
      <w:r w:rsidRPr="009F47B7">
        <w:t xml:space="preserve">Notably, Texas significantly exceeds the required standards for both the percentage of accounts audited and new employer status determinations. The state also performs within the acceptable range for timely receipt of wage and tax reports. All standards are assessed over a </w:t>
      </w:r>
      <w:r w:rsidR="006075D7">
        <w:t>12</w:t>
      </w:r>
      <w:r w:rsidRPr="009F47B7">
        <w:t>month period. </w:t>
      </w:r>
    </w:p>
    <w:p w14:paraId="7DFEC8AC" w14:textId="77777777" w:rsidR="009F47B7" w:rsidRPr="009F47B7" w:rsidRDefault="009F47B7" w:rsidP="009F47B7">
      <w:pPr>
        <w:pStyle w:val="BodyText"/>
      </w:pPr>
      <w:r w:rsidRPr="009F47B7">
        <w:rPr>
          <w:u w:val="single"/>
        </w:rPr>
        <w:lastRenderedPageBreak/>
        <w:t>Performance Measure </w:t>
      </w:r>
      <w:r w:rsidRPr="009F47B7">
        <w:t> </w:t>
      </w:r>
    </w:p>
    <w:p w14:paraId="326571E9" w14:textId="77777777" w:rsidR="009F47B7" w:rsidRPr="009F47B7" w:rsidRDefault="009F47B7" w:rsidP="00C64851">
      <w:pPr>
        <w:pStyle w:val="BodyText"/>
        <w:numPr>
          <w:ilvl w:val="0"/>
          <w:numId w:val="392"/>
        </w:numPr>
      </w:pPr>
      <w:r w:rsidRPr="009F47B7">
        <w:t>Audits conducted in 2024 - 6,581 </w:t>
      </w:r>
    </w:p>
    <w:p w14:paraId="78CFC232" w14:textId="2F9D3063" w:rsidR="009F47B7" w:rsidRPr="009F47B7" w:rsidRDefault="009F47B7" w:rsidP="00C64851">
      <w:pPr>
        <w:pStyle w:val="BodyText"/>
        <w:numPr>
          <w:ilvl w:val="0"/>
          <w:numId w:val="392"/>
        </w:numPr>
      </w:pPr>
      <w:r w:rsidRPr="009F47B7">
        <w:t xml:space="preserve">Total number of employer accounts as of </w:t>
      </w:r>
      <w:r w:rsidR="006075D7">
        <w:t xml:space="preserve">April </w:t>
      </w:r>
      <w:r w:rsidRPr="009F47B7">
        <w:t>1</w:t>
      </w:r>
      <w:r w:rsidR="006075D7">
        <w:t xml:space="preserve">, </w:t>
      </w:r>
      <w:r w:rsidRPr="009F47B7">
        <w:t>2025 - 680,205 </w:t>
      </w:r>
    </w:p>
    <w:p w14:paraId="5559EE1A" w14:textId="77777777" w:rsidR="009F47B7" w:rsidRPr="009F47B7" w:rsidRDefault="009F47B7" w:rsidP="00C64851">
      <w:pPr>
        <w:pStyle w:val="BodyText"/>
        <w:numPr>
          <w:ilvl w:val="0"/>
          <w:numId w:val="392"/>
        </w:numPr>
      </w:pPr>
      <w:r w:rsidRPr="009F47B7">
        <w:t>Total wages reported in 2024 - $687,875,413,695 </w:t>
      </w:r>
    </w:p>
    <w:p w14:paraId="761031AF" w14:textId="77777777" w:rsidR="009F47B7" w:rsidRPr="009F47B7" w:rsidRDefault="009F47B7" w:rsidP="00C64851">
      <w:pPr>
        <w:pStyle w:val="BodyText"/>
        <w:numPr>
          <w:ilvl w:val="0"/>
          <w:numId w:val="392"/>
        </w:numPr>
      </w:pPr>
      <w:r w:rsidRPr="009F47B7">
        <w:t>Misclassified Workers found in 2024 - 16,161 </w:t>
      </w:r>
    </w:p>
    <w:p w14:paraId="664F0966" w14:textId="77777777" w:rsidR="009F47B7" w:rsidRPr="009F47B7" w:rsidRDefault="009F47B7" w:rsidP="00C64851">
      <w:pPr>
        <w:pStyle w:val="BodyText"/>
        <w:numPr>
          <w:ilvl w:val="0"/>
          <w:numId w:val="392"/>
        </w:numPr>
      </w:pPr>
      <w:r w:rsidRPr="009F47B7">
        <w:t>Misclassified Wages found in 2024 - $306,861,800 </w:t>
      </w:r>
    </w:p>
    <w:p w14:paraId="01286D98" w14:textId="77777777" w:rsidR="009F47B7" w:rsidRPr="009F47B7" w:rsidRDefault="009F47B7" w:rsidP="00C64851">
      <w:pPr>
        <w:pStyle w:val="BodyText"/>
        <w:numPr>
          <w:ilvl w:val="0"/>
          <w:numId w:val="392"/>
        </w:numPr>
      </w:pPr>
      <w:r w:rsidRPr="009F47B7">
        <w:t>Misclassified Additional Tax in 2024 - $1,067,987 </w:t>
      </w:r>
    </w:p>
    <w:p w14:paraId="0701040A" w14:textId="77777777" w:rsidR="009F47B7" w:rsidRPr="00D67BB5" w:rsidRDefault="009F47B7" w:rsidP="00C0557F">
      <w:pPr>
        <w:pStyle w:val="BodyText3"/>
        <w:ind w:left="720" w:hanging="720"/>
      </w:pPr>
      <w:r w:rsidRPr="00D67BB5">
        <w:t>D.</w:t>
      </w:r>
      <w:r w:rsidRPr="00D67BB5">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4D04A05E" w14:textId="77777777" w:rsidR="009F47B7" w:rsidRPr="009F47B7" w:rsidRDefault="009F47B7" w:rsidP="009F47B7">
      <w:pPr>
        <w:pStyle w:val="BodyText"/>
      </w:pPr>
      <w:r w:rsidRPr="009F47B7">
        <w:t>The central services and core functions of the UI Tax program remain largely unchanged from their original intent. Although advancements in service delivery methods have changed, the central purpose and core functions of the UI Tax program have remained consistent since its establishment. State employment security agencies, including the TWC, continue to perform their vital roles in collecting UI taxes, processing tax reports and wage information, and fulfilling related administrative requirements. The UI Tax program's mission remains a constant, now recognized as an indispensable element for sustaining the economic well-being of the state </w:t>
      </w:r>
    </w:p>
    <w:p w14:paraId="34B76FD0" w14:textId="77777777" w:rsidR="009F47B7" w:rsidRPr="00D67BB5" w:rsidRDefault="009F47B7" w:rsidP="00C0557F">
      <w:pPr>
        <w:pStyle w:val="BodyText3"/>
        <w:ind w:left="720" w:hanging="720"/>
      </w:pPr>
      <w:r w:rsidRPr="00D67BB5">
        <w:t>E.</w:t>
      </w:r>
      <w:r w:rsidRPr="00D67BB5">
        <w:tab/>
        <w:t>List any qualifications or eligibility requirements for persons or entities affected by this division or program (e.g., licensees, consumers, and landowners). Provide a statistical breakdown of persons or entities affected. </w:t>
      </w:r>
    </w:p>
    <w:p w14:paraId="7C493B2D" w14:textId="77777777" w:rsidR="009F47B7" w:rsidRPr="009F47B7" w:rsidRDefault="009F47B7" w:rsidP="009F47B7">
      <w:pPr>
        <w:pStyle w:val="BodyText"/>
      </w:pPr>
      <w:r w:rsidRPr="009F47B7">
        <w:t>The UI Tax program serves a dual purpose: providing essential income support to eligible unemployed Texans who lost their jobs through no fault of their own and safeguarding the financial integrity of the UI trust fund. By offering temporary wage replacement, the program helps unemployed individuals maintain financial stability. Moreover, Texas employers’ benefit from the program's rigorous eligibility verification process, ensuring that benefits are disbursed only to qualified recipients, thus protecting the trust fund's resources. </w:t>
      </w:r>
    </w:p>
    <w:p w14:paraId="0A42AF64" w14:textId="77777777" w:rsidR="009F47B7" w:rsidRPr="009F47B7" w:rsidRDefault="009F47B7" w:rsidP="009F47B7">
      <w:pPr>
        <w:pStyle w:val="BodyText"/>
      </w:pPr>
      <w:r w:rsidRPr="009F47B7">
        <w:t>In the quarter ending Dec. 31, 2024, around 671,378 Texas employers contributed UI taxes. Texas continues to experience steady economic growth, reflected in an annual employer growth rate of approximately 1.88 percent. </w:t>
      </w:r>
    </w:p>
    <w:p w14:paraId="3B4F3E89" w14:textId="77777777" w:rsidR="009F47B7" w:rsidRPr="00D67BB5" w:rsidRDefault="009F47B7" w:rsidP="00C0557F">
      <w:pPr>
        <w:pStyle w:val="BodyText3"/>
        <w:ind w:left="720" w:hanging="720"/>
      </w:pPr>
      <w:r w:rsidRPr="00D67BB5">
        <w:t>F.</w:t>
      </w:r>
      <w:r w:rsidRPr="00D67BB5">
        <w:tab/>
        <w:t xml:space="preserve">Describe how the division or program is administered, including a description of key processes involved. If you have existing documentation (e.g., </w:t>
      </w:r>
      <w:r w:rsidRPr="00D67BB5">
        <w:lastRenderedPageBreak/>
        <w:t>flowcharts, timelines, and other illustrations) to describe agency policies and procedures, please include them as attachments. Indicate how field/regional services are used, if applicable. </w:t>
      </w:r>
    </w:p>
    <w:p w14:paraId="6A1ED1E1" w14:textId="77777777" w:rsidR="009F47B7" w:rsidRPr="009F47B7" w:rsidRDefault="009F47B7" w:rsidP="009F47B7">
      <w:pPr>
        <w:pStyle w:val="BodyText"/>
      </w:pPr>
      <w:r w:rsidRPr="009F47B7">
        <w:t>The Director of the Unemployment Insurance reports to the agency Executive Director, who reports to the Commissioners. The UI Division is organized into three departmental units: UI Administration and Operational Support, UI Client Services and UI Tax. </w:t>
      </w:r>
    </w:p>
    <w:p w14:paraId="66B69E10" w14:textId="77777777" w:rsidR="009F47B7" w:rsidRPr="009F47B7" w:rsidRDefault="009F47B7" w:rsidP="009F47B7">
      <w:pPr>
        <w:pStyle w:val="BodyText"/>
      </w:pPr>
      <w:r w:rsidRPr="009F47B7">
        <w:t>Because the UI program is built upon a unique federal/state partnership, regulatory authority for the UI program is vested in the state Legislature, yet state laws governing UI must conform to federal law, to regulations established by the federal government, and to general guidelines established by the DOL. </w:t>
      </w:r>
    </w:p>
    <w:p w14:paraId="120B300D" w14:textId="77777777" w:rsidR="009F47B7" w:rsidRPr="009F47B7" w:rsidRDefault="009F47B7" w:rsidP="009F47B7">
      <w:pPr>
        <w:pStyle w:val="BodyText"/>
      </w:pPr>
      <w:r w:rsidRPr="009F47B7">
        <w:t>The UI Tax Department has 284 staff located in the central office in Austin and in numerous offices around the state assigned to 6 Regions: South Texas, Central Texas, Houston, Grande West, East Texas and DFW. </w:t>
      </w:r>
    </w:p>
    <w:p w14:paraId="5B90B9B0" w14:textId="77777777" w:rsidR="009F47B7" w:rsidRPr="009F47B7" w:rsidRDefault="009F47B7" w:rsidP="009F47B7">
      <w:pPr>
        <w:pStyle w:val="BodyText"/>
      </w:pPr>
      <w:r w:rsidRPr="009F47B7">
        <w:t>Other departments/divisions and approved outside agencies have access to data collected by the UI Tax Department. Special access screens and processes have been established to promote ease of access for those departments and agencies. </w:t>
      </w:r>
    </w:p>
    <w:p w14:paraId="0EE5BC2B" w14:textId="77777777" w:rsidR="009F47B7" w:rsidRPr="00D67BB5" w:rsidRDefault="009F47B7" w:rsidP="006E3C00">
      <w:pPr>
        <w:pStyle w:val="BodyText3"/>
        <w:ind w:left="720" w:hanging="720"/>
      </w:pPr>
      <w:r w:rsidRPr="00D67BB5">
        <w:t>G.</w:t>
      </w:r>
      <w:r w:rsidRPr="00D67BB5">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595"/>
        <w:gridCol w:w="1994"/>
        <w:gridCol w:w="1818"/>
        <w:gridCol w:w="1953"/>
      </w:tblGrid>
      <w:tr w:rsidR="002A2FAE" w:rsidRPr="00B94E2E" w14:paraId="5B9A3E91" w14:textId="77777777" w:rsidTr="002A2FAE">
        <w:trPr>
          <w:trHeight w:val="288"/>
        </w:trPr>
        <w:tc>
          <w:tcPr>
            <w:tcW w:w="3595" w:type="dxa"/>
            <w:shd w:val="clear" w:color="auto" w:fill="B8CCE4" w:themeFill="accent1" w:themeFillTint="66"/>
            <w:vAlign w:val="center"/>
            <w:hideMark/>
          </w:tcPr>
          <w:p w14:paraId="68C0DDA5" w14:textId="77777777" w:rsidR="002A2FAE" w:rsidRPr="00B94E2E" w:rsidRDefault="002A2FAE" w:rsidP="002A2FAE">
            <w:pPr>
              <w:pStyle w:val="TableHeaders"/>
              <w:rPr>
                <w:color w:val="000000"/>
              </w:rPr>
            </w:pPr>
            <w:r w:rsidRPr="00B94E2E">
              <w:t>Program or Function Detail Description</w:t>
            </w:r>
          </w:p>
        </w:tc>
        <w:tc>
          <w:tcPr>
            <w:tcW w:w="2430" w:type="dxa"/>
            <w:shd w:val="clear" w:color="auto" w:fill="B8CCE4" w:themeFill="accent1" w:themeFillTint="66"/>
            <w:vAlign w:val="center"/>
            <w:hideMark/>
          </w:tcPr>
          <w:p w14:paraId="4A03E3D3" w14:textId="77777777" w:rsidR="002A2FAE" w:rsidRPr="00B94E2E" w:rsidRDefault="002A2FAE" w:rsidP="002A2FAE">
            <w:pPr>
              <w:pStyle w:val="TableHeaders"/>
              <w:rPr>
                <w:color w:val="000000"/>
              </w:rPr>
            </w:pPr>
            <w:r w:rsidRPr="00B94E2E">
              <w:t>Total FY 2024</w:t>
            </w:r>
          </w:p>
        </w:tc>
        <w:tc>
          <w:tcPr>
            <w:tcW w:w="2160" w:type="dxa"/>
            <w:shd w:val="clear" w:color="auto" w:fill="B8CCE4" w:themeFill="accent1" w:themeFillTint="66"/>
            <w:vAlign w:val="center"/>
            <w:hideMark/>
          </w:tcPr>
          <w:p w14:paraId="1247EA2D" w14:textId="77777777" w:rsidR="002A2FAE" w:rsidRPr="00B94E2E" w:rsidRDefault="002A2FAE" w:rsidP="002A2FAE">
            <w:pPr>
              <w:pStyle w:val="TableHeaders"/>
              <w:rPr>
                <w:color w:val="000000"/>
              </w:rPr>
            </w:pPr>
            <w:r w:rsidRPr="00B94E2E">
              <w:t>Federal Funding</w:t>
            </w:r>
          </w:p>
        </w:tc>
        <w:tc>
          <w:tcPr>
            <w:tcW w:w="2475" w:type="dxa"/>
            <w:shd w:val="clear" w:color="auto" w:fill="B8CCE4" w:themeFill="accent1" w:themeFillTint="66"/>
            <w:vAlign w:val="center"/>
            <w:hideMark/>
          </w:tcPr>
          <w:p w14:paraId="6BEF6FA0" w14:textId="77777777" w:rsidR="002A2FAE" w:rsidRPr="00B94E2E" w:rsidRDefault="002A2FAE" w:rsidP="002A2FAE">
            <w:pPr>
              <w:pStyle w:val="TableHeaders"/>
              <w:rPr>
                <w:color w:val="000000"/>
              </w:rPr>
            </w:pPr>
            <w:r w:rsidRPr="00B94E2E">
              <w:t>State Funding</w:t>
            </w:r>
          </w:p>
        </w:tc>
      </w:tr>
      <w:tr w:rsidR="002A2FAE" w:rsidRPr="00B94E2E" w14:paraId="35A76DF1" w14:textId="77777777" w:rsidTr="002A2FAE">
        <w:trPr>
          <w:trHeight w:val="288"/>
        </w:trPr>
        <w:tc>
          <w:tcPr>
            <w:tcW w:w="3595" w:type="dxa"/>
            <w:noWrap/>
            <w:vAlign w:val="center"/>
            <w:hideMark/>
          </w:tcPr>
          <w:p w14:paraId="475F1AD0" w14:textId="77777777" w:rsidR="002A2FAE" w:rsidRPr="00B94E2E" w:rsidRDefault="002A2FAE" w:rsidP="002A2FAE">
            <w:pPr>
              <w:pStyle w:val="TableText"/>
            </w:pPr>
            <w:r w:rsidRPr="00B94E2E">
              <w:t>Employer Tax Services</w:t>
            </w:r>
          </w:p>
        </w:tc>
        <w:tc>
          <w:tcPr>
            <w:tcW w:w="2430" w:type="dxa"/>
            <w:vAlign w:val="center"/>
            <w:hideMark/>
          </w:tcPr>
          <w:p w14:paraId="26948B1C" w14:textId="12C0628F" w:rsidR="002A2FAE" w:rsidRPr="00B94E2E" w:rsidRDefault="002A2FAE" w:rsidP="002A2FAE">
            <w:pPr>
              <w:pStyle w:val="TableText"/>
              <w:jc w:val="right"/>
            </w:pPr>
            <w:r w:rsidRPr="00B94E2E">
              <w:t xml:space="preserve">13,601,072 </w:t>
            </w:r>
          </w:p>
        </w:tc>
        <w:tc>
          <w:tcPr>
            <w:tcW w:w="2160" w:type="dxa"/>
            <w:vAlign w:val="center"/>
            <w:hideMark/>
          </w:tcPr>
          <w:p w14:paraId="2BA97A14" w14:textId="53A532D3" w:rsidR="002A2FAE" w:rsidRPr="00B94E2E" w:rsidRDefault="002A2FAE" w:rsidP="002A2FAE">
            <w:pPr>
              <w:pStyle w:val="TableText"/>
              <w:jc w:val="right"/>
            </w:pPr>
            <w:r w:rsidRPr="00B94E2E">
              <w:t xml:space="preserve">12,751,568 </w:t>
            </w:r>
          </w:p>
        </w:tc>
        <w:tc>
          <w:tcPr>
            <w:tcW w:w="2475" w:type="dxa"/>
            <w:vAlign w:val="center"/>
            <w:hideMark/>
          </w:tcPr>
          <w:p w14:paraId="1FBD20FE" w14:textId="0C81D84A" w:rsidR="002A2FAE" w:rsidRPr="00B94E2E" w:rsidRDefault="002A2FAE" w:rsidP="002A2FAE">
            <w:pPr>
              <w:pStyle w:val="TableText"/>
              <w:jc w:val="right"/>
            </w:pPr>
            <w:r w:rsidRPr="00B94E2E">
              <w:t xml:space="preserve">849,505 </w:t>
            </w:r>
          </w:p>
        </w:tc>
      </w:tr>
    </w:tbl>
    <w:p w14:paraId="599E8A0A" w14:textId="77777777" w:rsidR="009F47B7" w:rsidRPr="00D67BB5" w:rsidRDefault="009F47B7" w:rsidP="006E3C00">
      <w:pPr>
        <w:pStyle w:val="BodyText3"/>
        <w:ind w:left="720" w:hanging="720"/>
      </w:pPr>
      <w:r w:rsidRPr="00D67BB5">
        <w:t>H.</w:t>
      </w:r>
      <w:r w:rsidRPr="00D67BB5">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322282E4" w14:textId="77777777" w:rsidR="009F47B7" w:rsidRPr="009F47B7" w:rsidRDefault="009F47B7" w:rsidP="009F47B7">
      <w:pPr>
        <w:pStyle w:val="BodyText"/>
      </w:pPr>
      <w:r w:rsidRPr="009F47B7">
        <w:t>UI Tax data collection and assessment does not duplicate other programs.  However, other programs and agencies do use wage data collected by the Tax Department. </w:t>
      </w:r>
    </w:p>
    <w:p w14:paraId="710435D3" w14:textId="77777777" w:rsidR="009F47B7" w:rsidRPr="00D67BB5" w:rsidRDefault="009F47B7" w:rsidP="006E3C00">
      <w:pPr>
        <w:pStyle w:val="BodyText3"/>
        <w:ind w:left="720" w:hanging="720"/>
      </w:pPr>
      <w:r w:rsidRPr="00D67BB5">
        <w:t>I.</w:t>
      </w:r>
      <w:r w:rsidRPr="00D67BB5">
        <w:tab/>
        <w:t>If the division or program works with local, regional, or federal units of government, include a brief description of these entities and their relationship to the agency. </w:t>
      </w:r>
    </w:p>
    <w:p w14:paraId="4991C70E" w14:textId="77777777" w:rsidR="009F47B7" w:rsidRPr="009F47B7" w:rsidRDefault="009F47B7" w:rsidP="009F47B7">
      <w:pPr>
        <w:pStyle w:val="BodyText"/>
      </w:pPr>
      <w:r w:rsidRPr="009F47B7">
        <w:lastRenderedPageBreak/>
        <w:t>The UI program operates as a mandatory federal-state partnership, driven by federal funding mechanisms and the threat of severe penalties for non-compliance. Employers pay both federal and state UI taxes. While states with conforming laws have considerable flexibility in setting benefit rates, eligibility criteria, and tax mechanisms, they must adhere to broad and specific federal guidelines and DOL regulations. Compliance allows employers in the state to receive a credit against the federal UI tax rate. Failure to comply risks losing this credit, resulting in significant costs to state employers. </w:t>
      </w:r>
    </w:p>
    <w:p w14:paraId="01FC1505" w14:textId="77777777" w:rsidR="009F47B7" w:rsidRPr="009F47B7" w:rsidRDefault="009F47B7" w:rsidP="009F47B7">
      <w:pPr>
        <w:pStyle w:val="BodyText"/>
      </w:pPr>
      <w:r w:rsidRPr="009F47B7">
        <w:t>The DOL oversees the national UI program and receives regular performance reports from the TWC for national program evaluation, reporting, and economic forecasting. The DOL and the Office of the Inspector General (OIG) ensure program integrity through audits of the agency's fraud and overpayment prevention, detection, and recovery efforts. The DOL also funds research and pilot programs to improve program performance and efficiency, such as new technology applications, training and research seminars, academic studies, and "Best Practices" colloquia. </w:t>
      </w:r>
    </w:p>
    <w:p w14:paraId="406C7619" w14:textId="77777777" w:rsidR="009F47B7" w:rsidRPr="009F47B7" w:rsidRDefault="009F47B7" w:rsidP="009F47B7">
      <w:pPr>
        <w:pStyle w:val="BodyText"/>
      </w:pPr>
      <w:r w:rsidRPr="009F47B7">
        <w:t>The UI Tax program coordinates with: </w:t>
      </w:r>
    </w:p>
    <w:p w14:paraId="1BFB6F81" w14:textId="77777777" w:rsidR="009F47B7" w:rsidRPr="009F47B7" w:rsidRDefault="009F47B7" w:rsidP="00C64851">
      <w:pPr>
        <w:pStyle w:val="BodyText"/>
        <w:numPr>
          <w:ilvl w:val="0"/>
          <w:numId w:val="389"/>
        </w:numPr>
      </w:pPr>
      <w:r w:rsidRPr="009F47B7">
        <w:rPr>
          <w:b/>
          <w:bCs/>
        </w:rPr>
        <w:t>Internal Revenue Service (IRS)</w:t>
      </w:r>
      <w:r w:rsidRPr="009F47B7">
        <w:t>: The UI Tax program annually certifies the total and taxable wages paid by Texas employers. It also has a Memorandum of Understanding with the IRS to share audit results. </w:t>
      </w:r>
    </w:p>
    <w:p w14:paraId="17F17A36" w14:textId="77777777" w:rsidR="009F47B7" w:rsidRPr="009F47B7" w:rsidRDefault="009F47B7" w:rsidP="00C64851">
      <w:pPr>
        <w:pStyle w:val="BodyText"/>
        <w:numPr>
          <w:ilvl w:val="0"/>
          <w:numId w:val="390"/>
        </w:numPr>
      </w:pPr>
      <w:r w:rsidRPr="009F47B7">
        <w:rPr>
          <w:b/>
          <w:bCs/>
        </w:rPr>
        <w:t>DOL</w:t>
      </w:r>
      <w:r w:rsidRPr="009F47B7">
        <w:t>: The UI Tax program exchanges information on audit findings with the DOL. </w:t>
      </w:r>
    </w:p>
    <w:p w14:paraId="24FFEA23" w14:textId="77777777" w:rsidR="009F47B7" w:rsidRPr="00D67BB5" w:rsidRDefault="009F47B7" w:rsidP="000008F0">
      <w:pPr>
        <w:pStyle w:val="BodyText3"/>
        <w:ind w:left="720" w:hanging="720"/>
      </w:pPr>
      <w:r w:rsidRPr="00D67BB5">
        <w:t>J.</w:t>
      </w:r>
      <w:r w:rsidRPr="00D67BB5">
        <w:tab/>
        <w:t>Are there any barriers or challenges that impede the division or program’s performance, including any outdated or ineffective state laws? Explain. </w:t>
      </w:r>
    </w:p>
    <w:p w14:paraId="08C60FD8" w14:textId="0233C3E2" w:rsidR="009F47B7" w:rsidRPr="009F47B7" w:rsidRDefault="00D67BB5" w:rsidP="009F47B7">
      <w:pPr>
        <w:pStyle w:val="BodyText"/>
      </w:pPr>
      <w:r>
        <w:t>N/A</w:t>
      </w:r>
    </w:p>
    <w:p w14:paraId="315A7DC1" w14:textId="77777777" w:rsidR="009F47B7" w:rsidRPr="00D67BB5" w:rsidRDefault="009F47B7" w:rsidP="000008F0">
      <w:pPr>
        <w:pStyle w:val="BodyText3"/>
        <w:ind w:left="720" w:hanging="720"/>
      </w:pPr>
      <w:r w:rsidRPr="00D67BB5">
        <w:t>K.</w:t>
      </w:r>
      <w:r w:rsidRPr="00D67BB5">
        <w:tab/>
        <w:t>Provide any additional information needed to gain a preliminary understanding of the division or program. </w:t>
      </w:r>
    </w:p>
    <w:p w14:paraId="77971600" w14:textId="77777777" w:rsidR="009F47B7" w:rsidRPr="009F47B7" w:rsidRDefault="009F47B7" w:rsidP="009F47B7">
      <w:pPr>
        <w:pStyle w:val="BodyText"/>
      </w:pPr>
      <w:r w:rsidRPr="009F47B7">
        <w:t>The solvency of the Unemployment Compensation (UC) Fund relies on maintaining a balance between collected UI taxes and benefits paid. An employer's tax rate is calculated by multiplying a base tax rate (which is determined by a ratio of wages paid and UI benefit charges) by the wages paid to each employee, up to $9,000 annually. The UC Fund balance is self-adjusting through the TUCA. TUCA mandates that the UC Fund remain within a specific range. Should the balance fall outside this range, automatic adjustments to employer tax rates are triggered. If the UC Fund balance drops below the legislated floor, a deficit tax will be implemented. Conversely, if the balance exceeds the statutory ceiling, employers may receive a tax credit or a reduction in their tax rate, as determined by the Commissioners. </w:t>
      </w:r>
    </w:p>
    <w:p w14:paraId="7A33E360" w14:textId="77777777" w:rsidR="009F47B7" w:rsidRPr="00D67BB5" w:rsidRDefault="009F47B7" w:rsidP="000008F0">
      <w:pPr>
        <w:pStyle w:val="BodyText3"/>
        <w:ind w:left="720" w:hanging="720"/>
      </w:pPr>
      <w:r w:rsidRPr="00D67BB5">
        <w:t>L.</w:t>
      </w:r>
      <w:r w:rsidRPr="00D67BB5">
        <w:tab/>
        <w:t>Regulatory programs relate to the licensing, registration, certification, or permitting of a person, business, piece of equipment, or other entity (e.g., a facility). For each regulatory program, if applicable, describe: </w:t>
      </w:r>
    </w:p>
    <w:p w14:paraId="0A777E4F" w14:textId="63EE9285" w:rsidR="009F47B7" w:rsidRPr="009F47B7" w:rsidRDefault="009F47B7" w:rsidP="000008F0">
      <w:pPr>
        <w:pStyle w:val="BodyText"/>
      </w:pPr>
      <w:r w:rsidRPr="009F47B7">
        <w:lastRenderedPageBreak/>
        <w:t>N/A</w:t>
      </w:r>
    </w:p>
    <w:p w14:paraId="25354457" w14:textId="77777777" w:rsidR="009F47B7" w:rsidRPr="00E8555C" w:rsidRDefault="009F47B7" w:rsidP="000008F0">
      <w:pPr>
        <w:pStyle w:val="BodyText3"/>
        <w:ind w:left="720" w:hanging="720"/>
      </w:pPr>
      <w:r w:rsidRPr="00E8555C">
        <w:t>M.</w:t>
      </w:r>
      <w:r w:rsidRPr="00E8555C">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078B7475" w14:textId="3EF864FC" w:rsidR="00E8555C" w:rsidRDefault="009F47B7" w:rsidP="00E8555C">
      <w:pPr>
        <w:pStyle w:val="BodyText"/>
      </w:pPr>
      <w:r w:rsidRPr="00E8555C">
        <w:t>N/</w:t>
      </w:r>
      <w:r w:rsidR="00E8555C" w:rsidRPr="00E8555C">
        <w:t>A</w:t>
      </w:r>
    </w:p>
    <w:p w14:paraId="5A46E7F2" w14:textId="77777777" w:rsidR="00E8555C" w:rsidRDefault="00E8555C">
      <w:pPr>
        <w:rPr>
          <w:rFonts w:ascii="Arial" w:eastAsiaTheme="minorEastAsia" w:hAnsi="Arial"/>
          <w:b/>
          <w:szCs w:val="22"/>
        </w:rPr>
      </w:pPr>
      <w:r>
        <w:br w:type="page"/>
      </w:r>
    </w:p>
    <w:p w14:paraId="3A01892F" w14:textId="77777777" w:rsidR="00C468CB" w:rsidRPr="00C468CB" w:rsidRDefault="00C468CB" w:rsidP="00577012">
      <w:pPr>
        <w:pStyle w:val="Heading3"/>
      </w:pPr>
      <w:bookmarkStart w:id="218" w:name="_Toc1007293457"/>
      <w:bookmarkStart w:id="219" w:name="_Toc203377325"/>
      <w:r w:rsidRPr="00577012">
        <w:lastRenderedPageBreak/>
        <w:t>Vocational</w:t>
      </w:r>
      <w:r w:rsidRPr="00C468CB">
        <w:t xml:space="preserve"> Rehabilitation Division</w:t>
      </w:r>
      <w:bookmarkEnd w:id="218"/>
      <w:bookmarkEnd w:id="219"/>
      <w:r w:rsidRPr="00C468CB">
        <w:t xml:space="preserve"> </w:t>
      </w:r>
    </w:p>
    <w:p w14:paraId="46230FA4" w14:textId="534F8E21" w:rsidR="00C468CB" w:rsidRDefault="00C468CB" w:rsidP="004C4990">
      <w:pPr>
        <w:pStyle w:val="BodyText"/>
      </w:pPr>
      <w:r w:rsidRPr="00C468CB">
        <w:t>The Vocational Rehabilitation (VR) program helps adults with disabilities get ready for, find, or keep a job. VR assists young students with disabilities prepare for life after school. The program provides employers with no-cost, customized services to remove barriers to disability in the workplace and connect them with qualified candidates who have disabilities.</w:t>
      </w:r>
    </w:p>
    <w:p w14:paraId="3814C28B" w14:textId="2EDA881C" w:rsidR="00DF3959" w:rsidRPr="00A62A4C" w:rsidRDefault="00DF3959" w:rsidP="006A7763">
      <w:pPr>
        <w:pStyle w:val="BodyText"/>
      </w:pPr>
      <w:r w:rsidRPr="00DF3959">
        <w:t>The mission of</w:t>
      </w:r>
      <w:r w:rsidR="00A62A4C">
        <w:t xml:space="preserve"> </w:t>
      </w:r>
      <w:r w:rsidR="006A7763">
        <w:t>t</w:t>
      </w:r>
      <w:r w:rsidRPr="00DF3959">
        <w:t xml:space="preserve">he TWC-VR is to provide expertise, services, and support to help people with disabilities achieve their employment and independent living goals. TWC-VR fulfills this mission through the </w:t>
      </w:r>
      <w:r w:rsidRPr="00A62A4C">
        <w:t>administration of four programs:   </w:t>
      </w:r>
    </w:p>
    <w:p w14:paraId="0F781ADA" w14:textId="10A46FAB" w:rsidR="00DF3959" w:rsidRPr="00DF3959" w:rsidRDefault="00DF3959" w:rsidP="00C64851">
      <w:pPr>
        <w:pStyle w:val="BodyText"/>
        <w:numPr>
          <w:ilvl w:val="0"/>
          <w:numId w:val="740"/>
        </w:numPr>
      </w:pPr>
      <w:r w:rsidRPr="00DF3959">
        <w:t>Vocational Rehabilitation  </w:t>
      </w:r>
    </w:p>
    <w:p w14:paraId="0DAAD432" w14:textId="0F5CB044" w:rsidR="00DF3959" w:rsidRPr="00DF3959" w:rsidRDefault="00DF3959" w:rsidP="00C64851">
      <w:pPr>
        <w:pStyle w:val="BodyText"/>
        <w:numPr>
          <w:ilvl w:val="0"/>
          <w:numId w:val="740"/>
        </w:numPr>
      </w:pPr>
      <w:r w:rsidRPr="00DF3959">
        <w:t>Independent Living Services for Older Individuals Who Are Blind  </w:t>
      </w:r>
    </w:p>
    <w:p w14:paraId="6D9B4213" w14:textId="71E2DC91" w:rsidR="00DF3959" w:rsidRPr="00DF3959" w:rsidRDefault="00DF3959" w:rsidP="00C64851">
      <w:pPr>
        <w:pStyle w:val="BodyText"/>
        <w:numPr>
          <w:ilvl w:val="0"/>
          <w:numId w:val="740"/>
        </w:numPr>
      </w:pPr>
      <w:r w:rsidRPr="00DF3959">
        <w:t>Business Enterprises of Texas  </w:t>
      </w:r>
    </w:p>
    <w:p w14:paraId="7842D0C7" w14:textId="2734ABE6" w:rsidR="00DF3959" w:rsidRPr="00DF3959" w:rsidRDefault="00DF3959" w:rsidP="00C64851">
      <w:pPr>
        <w:pStyle w:val="BodyText"/>
        <w:numPr>
          <w:ilvl w:val="0"/>
          <w:numId w:val="740"/>
        </w:numPr>
      </w:pPr>
      <w:r w:rsidRPr="00DF3959">
        <w:t>Purchasing from People with Disabilities  </w:t>
      </w:r>
    </w:p>
    <w:p w14:paraId="45C5698A" w14:textId="2AB36EE6" w:rsidR="00DF3959" w:rsidRPr="00DF3959" w:rsidRDefault="00DF3959" w:rsidP="006A7763">
      <w:pPr>
        <w:pStyle w:val="BodyText3"/>
        <w:rPr>
          <w:b w:val="0"/>
          <w:bCs/>
        </w:rPr>
      </w:pPr>
      <w:r w:rsidRPr="00DF3959">
        <w:t>VR Division Leadership: </w:t>
      </w:r>
      <w:r w:rsidRPr="00DF3959">
        <w:rPr>
          <w:b w:val="0"/>
          <w:bCs/>
        </w:rPr>
        <w:t>Tammy Martin – Director</w:t>
      </w:r>
    </w:p>
    <w:p w14:paraId="5C856F1A" w14:textId="71007F8D" w:rsidR="00DF3959" w:rsidRPr="00DF3959" w:rsidDel="00825A38" w:rsidRDefault="00DF3959" w:rsidP="00172640">
      <w:pPr>
        <w:pStyle w:val="BodyText3"/>
      </w:pPr>
      <w:r w:rsidRPr="00DF3959" w:rsidDel="00825A38">
        <w:t>Vocational Rehabilitation Program (General and Blind Services) </w:t>
      </w:r>
    </w:p>
    <w:p w14:paraId="689125E9" w14:textId="77777777" w:rsidR="00DF3959" w:rsidRPr="00DF3959" w:rsidRDefault="00DF3959" w:rsidP="008512E5">
      <w:pPr>
        <w:pStyle w:val="BodyText3"/>
      </w:pPr>
      <w:r w:rsidRPr="00DF3959">
        <w:t>A.</w:t>
      </w:r>
      <w:r w:rsidRPr="00DF3959">
        <w:tab/>
        <w:t>Provide the following information at the beginning of each description: </w:t>
      </w:r>
    </w:p>
    <w:p w14:paraId="70F25B0B" w14:textId="77777777" w:rsidR="00DF3959" w:rsidRPr="00DF3959" w:rsidRDefault="00DF3959" w:rsidP="000B3FFE">
      <w:pPr>
        <w:pStyle w:val="BodyText"/>
      </w:pPr>
      <w:r w:rsidRPr="00DF3959">
        <w:t>Location/Division: Vocational Rehabilitation Division </w:t>
      </w:r>
    </w:p>
    <w:p w14:paraId="1C9BA085" w14:textId="0D8D175D" w:rsidR="00DF3959" w:rsidRPr="00DF3959" w:rsidRDefault="00DF3959" w:rsidP="000B3FFE">
      <w:pPr>
        <w:pStyle w:val="BodyText"/>
      </w:pPr>
      <w:r w:rsidRPr="00DF3959">
        <w:t>Contact Name:  Tammy Martin, VR Director </w:t>
      </w:r>
    </w:p>
    <w:p w14:paraId="0D022EF8" w14:textId="4A3AADE8" w:rsidR="00DF3959" w:rsidRPr="00DF3959" w:rsidRDefault="00DF3959" w:rsidP="000B3FFE">
      <w:pPr>
        <w:pStyle w:val="BodyText"/>
      </w:pPr>
      <w:r w:rsidRPr="00DF3959">
        <w:t>Statutory Citation for Program: </w:t>
      </w:r>
      <w:r w:rsidR="00FB044F" w:rsidRPr="00FB044F">
        <w:t>Texas Labor Code, Chapter 352; Texas Labor Code, Chapter 355; Texas Human Resources Code, Chapter 122; Texas Administrative Code, Chapters 850, 856, and 858; Texas Human Resources Code, Sections 117.091-117.093</w:t>
      </w:r>
    </w:p>
    <w:p w14:paraId="686AF197" w14:textId="55DC981F" w:rsidR="00DF3959" w:rsidRPr="00DF3959" w:rsidRDefault="00DF3959" w:rsidP="00DF3959">
      <w:pPr>
        <w:pStyle w:val="BodyText"/>
      </w:pPr>
      <w:r w:rsidRPr="00DF3959">
        <w:rPr>
          <w:u w:val="single"/>
        </w:rPr>
        <w:t>Background:</w:t>
      </w:r>
      <w:r w:rsidRPr="00DF3959">
        <w:t xml:space="preserve"> Texas Labor Code §</w:t>
      </w:r>
      <w:hyperlink r:id="rId106" w:tgtFrame="_blank" w:history="1">
        <w:r w:rsidRPr="00DF3959">
          <w:rPr>
            <w:rStyle w:val="Hyperlink"/>
          </w:rPr>
          <w:t>351.02</w:t>
        </w:r>
      </w:hyperlink>
      <w:r w:rsidRPr="00DF3959">
        <w:t xml:space="preserve"> transferred the administration of Vocational Rehabilitation  services from the Texas Department of Assistive and Rehabilitative Services (</w:t>
      </w:r>
      <w:r w:rsidR="00A47B1D">
        <w:t>DARS</w:t>
      </w:r>
      <w:r w:rsidRPr="00DF3959">
        <w:t xml:space="preserve"> to Texas Health Human Services Commission (HHSC), effective Sept.1, 2016. Texas Human Resources Code, Title 7, Chapter 111.0511, then designated to TWC the primary responsibility for providing VR services and other services and programs under Subtitle C, Title 4, Labor Code.  Chapter 111.0511 provides that a power or duty under Chapter 111 of the department (legacy VR), commissioner (legacy VR commissioner), or the executive commissioner (of HHSC), as applicable to these services or programs is a power or duty of TWC, including rulemaking authority. </w:t>
      </w:r>
    </w:p>
    <w:p w14:paraId="308B64B6" w14:textId="73C032C3" w:rsidR="00DF3959" w:rsidRPr="00DF3959" w:rsidRDefault="00DF3959" w:rsidP="004771D3">
      <w:pPr>
        <w:pStyle w:val="BodyText3"/>
      </w:pPr>
      <w:r w:rsidRPr="00DF3959">
        <w:t xml:space="preserve">B. </w:t>
      </w:r>
      <w:r w:rsidRPr="00DF3959">
        <w:tab/>
        <w:t>What is the objective of this division or program? Describe its major activities.</w:t>
      </w:r>
    </w:p>
    <w:p w14:paraId="6EA372E8" w14:textId="701161CD" w:rsidR="00DF3959" w:rsidRPr="00DF3959" w:rsidRDefault="00DF3959" w:rsidP="00DF3959">
      <w:pPr>
        <w:pStyle w:val="BodyText"/>
      </w:pPr>
      <w:r w:rsidRPr="00DF3959">
        <w:lastRenderedPageBreak/>
        <w:t>The objective of the VR program is to provide appropriate services to eligible individuals with disabilities to help them prepare for, advance in, and achieve competitive integrated employment, and live as independently as possible. </w:t>
      </w:r>
    </w:p>
    <w:p w14:paraId="0F7C117D" w14:textId="77777777" w:rsidR="00DF3959" w:rsidRPr="00DF3959" w:rsidRDefault="00DF3959" w:rsidP="00C64851">
      <w:pPr>
        <w:pStyle w:val="BodyText"/>
        <w:numPr>
          <w:ilvl w:val="0"/>
          <w:numId w:val="639"/>
        </w:numPr>
      </w:pPr>
      <w:r w:rsidRPr="00DF3959">
        <w:t>Services include working with customers to identify employment goals and develop Individualized Plans for Employment (IPE).  IPE’s embrace an individual’s unique strengths and interests, and guide services and job placements. VR services may be provided in-house by VR staff, including Qualified Vocational Rehabilitation Counselors (QVRC), or through specialized contractors, or Community Rehabilitation Programs (CRPs).  VR services include: </w:t>
      </w:r>
    </w:p>
    <w:p w14:paraId="25B7AEC5" w14:textId="77777777" w:rsidR="00DF3959" w:rsidRPr="00DF3959" w:rsidRDefault="00DF3959" w:rsidP="00C64851">
      <w:pPr>
        <w:pStyle w:val="BodyText"/>
        <w:numPr>
          <w:ilvl w:val="0"/>
          <w:numId w:val="640"/>
        </w:numPr>
      </w:pPr>
      <w:r w:rsidRPr="00DF3959">
        <w:t>Counseling and guidance to help customers make informed choices to reach their employment goals. </w:t>
      </w:r>
    </w:p>
    <w:p w14:paraId="12B8848D" w14:textId="77777777" w:rsidR="00DF3959" w:rsidRPr="00DF3959" w:rsidRDefault="00DF3959" w:rsidP="00C64851">
      <w:pPr>
        <w:pStyle w:val="BodyText"/>
        <w:numPr>
          <w:ilvl w:val="0"/>
          <w:numId w:val="641"/>
        </w:numPr>
      </w:pPr>
      <w:r w:rsidRPr="00DF3959">
        <w:t>Assessments to determine program eligibility and services needed to reach their employment goals. </w:t>
      </w:r>
    </w:p>
    <w:p w14:paraId="4BC1C58D" w14:textId="77777777" w:rsidR="00DF3959" w:rsidRPr="00DF3959" w:rsidRDefault="00DF3959" w:rsidP="00C64851">
      <w:pPr>
        <w:pStyle w:val="BodyText"/>
        <w:numPr>
          <w:ilvl w:val="0"/>
          <w:numId w:val="642"/>
        </w:numPr>
      </w:pPr>
      <w:r w:rsidRPr="00DF3959">
        <w:t>Information and referrals for customers to other programs and supports that help them obtain services needed to reach their goals and maintain their independence. </w:t>
      </w:r>
    </w:p>
    <w:p w14:paraId="63C49221" w14:textId="77777777" w:rsidR="00DF3959" w:rsidRPr="00DF3959" w:rsidRDefault="00DF3959" w:rsidP="00C64851">
      <w:pPr>
        <w:pStyle w:val="BodyText"/>
        <w:numPr>
          <w:ilvl w:val="0"/>
          <w:numId w:val="643"/>
        </w:numPr>
      </w:pPr>
      <w:r w:rsidRPr="00DF3959">
        <w:t>Information and support to employers and other community partners to increase employment and community participation opportunities for individuals with disabilities. </w:t>
      </w:r>
    </w:p>
    <w:p w14:paraId="0726E903" w14:textId="77777777" w:rsidR="00DF3959" w:rsidRPr="00DF3959" w:rsidRDefault="00DF3959" w:rsidP="00C64851">
      <w:pPr>
        <w:pStyle w:val="BodyText"/>
        <w:numPr>
          <w:ilvl w:val="0"/>
          <w:numId w:val="644"/>
        </w:numPr>
      </w:pPr>
      <w:r w:rsidRPr="00DF3959">
        <w:t>Pre-employment Transition Services to help high-school students aged 14 to 22 move from school to work, including job exploration, counseling on post-secondary education, work-based learning, work readiness training and instruction in self-advocacy. </w:t>
      </w:r>
    </w:p>
    <w:p w14:paraId="7AC5D694" w14:textId="77777777" w:rsidR="00DF3959" w:rsidRPr="00DF3959" w:rsidRDefault="00DF3959" w:rsidP="00C64851">
      <w:pPr>
        <w:pStyle w:val="BodyText"/>
        <w:numPr>
          <w:ilvl w:val="0"/>
          <w:numId w:val="645"/>
        </w:numPr>
      </w:pPr>
      <w:r w:rsidRPr="00DF3959">
        <w:t>Post-secondary education/vocational training and other training services, including books, tools, other training materials, and personal and vocational adjustment training.  </w:t>
      </w:r>
    </w:p>
    <w:p w14:paraId="12C5D857" w14:textId="77777777" w:rsidR="00DF3959" w:rsidRPr="00DF3959" w:rsidRDefault="00DF3959" w:rsidP="00C64851">
      <w:pPr>
        <w:pStyle w:val="BodyText"/>
        <w:numPr>
          <w:ilvl w:val="0"/>
          <w:numId w:val="646"/>
        </w:numPr>
      </w:pPr>
      <w:r w:rsidRPr="00DF3959">
        <w:t>Job search, job placement services, job retention services, and related follow-up and/or follow-along services.  </w:t>
      </w:r>
    </w:p>
    <w:p w14:paraId="4B093CB9" w14:textId="77777777" w:rsidR="00DF3959" w:rsidRPr="00DF3959" w:rsidRDefault="00DF3959" w:rsidP="00C64851">
      <w:pPr>
        <w:pStyle w:val="BodyText"/>
        <w:numPr>
          <w:ilvl w:val="0"/>
          <w:numId w:val="647"/>
        </w:numPr>
      </w:pPr>
      <w:r w:rsidRPr="00DF3959">
        <w:t>Licenses, tools, equipment, initial inventory stocks, and/or supplies required for employment. </w:t>
      </w:r>
    </w:p>
    <w:p w14:paraId="3C6B6B1C" w14:textId="77777777" w:rsidR="00DF3959" w:rsidRPr="00DF3959" w:rsidRDefault="00DF3959" w:rsidP="00C64851">
      <w:pPr>
        <w:pStyle w:val="BodyText"/>
        <w:numPr>
          <w:ilvl w:val="0"/>
          <w:numId w:val="648"/>
        </w:numPr>
      </w:pPr>
      <w:r w:rsidRPr="00DF3959">
        <w:t>Rehabilitation technology and devices, including vehicle modifications, telecommunications, artificial limb, braces, and wheelchairs and other aides or devices, and related training or instruction for using these devices. </w:t>
      </w:r>
    </w:p>
    <w:p w14:paraId="7FF8EC35" w14:textId="77777777" w:rsidR="00DF3959" w:rsidRPr="00DF3959" w:rsidRDefault="00DF3959" w:rsidP="00C64851">
      <w:pPr>
        <w:pStyle w:val="BodyText"/>
        <w:numPr>
          <w:ilvl w:val="0"/>
          <w:numId w:val="649"/>
        </w:numPr>
      </w:pPr>
      <w:r w:rsidRPr="00DF3959">
        <w:t xml:space="preserve">Individualized assistance to find the most appropriate job match and ongoing support in the work environment to enable customers with the most significant </w:t>
      </w:r>
      <w:r w:rsidRPr="00DF3959">
        <w:lastRenderedPageBreak/>
        <w:t>disabilities to enter competitive employment, including Supported Employment services. </w:t>
      </w:r>
    </w:p>
    <w:p w14:paraId="0B8AA1B2" w14:textId="77777777" w:rsidR="00DF3959" w:rsidRPr="00DF3959" w:rsidRDefault="00DF3959" w:rsidP="00C64851">
      <w:pPr>
        <w:pStyle w:val="BodyText"/>
        <w:numPr>
          <w:ilvl w:val="0"/>
          <w:numId w:val="650"/>
        </w:numPr>
      </w:pPr>
      <w:r w:rsidRPr="00DF3959">
        <w:t>Restorative services to diagnose and treat physical or mental conditions that create barriers to obtaining, maintaining, or returning to employment; treatment must be expected to eliminate or reduce these barriers within a reasonable length of time and includes medical or behavioral health treatment, prosthetic devices, orthotic devices, hearing aids, eyeglasses, and other services. </w:t>
      </w:r>
    </w:p>
    <w:p w14:paraId="6069E7A1" w14:textId="77777777" w:rsidR="00DF3959" w:rsidRPr="00DF3959" w:rsidRDefault="00DF3959" w:rsidP="00C64851">
      <w:pPr>
        <w:pStyle w:val="BodyText"/>
        <w:numPr>
          <w:ilvl w:val="0"/>
          <w:numId w:val="651"/>
        </w:numPr>
      </w:pPr>
      <w:r w:rsidRPr="00DF3959">
        <w:t>Transportation in connection with planned assessments or services. </w:t>
      </w:r>
    </w:p>
    <w:p w14:paraId="59E7EDA5" w14:textId="77777777" w:rsidR="00DF3959" w:rsidRPr="00DF3959" w:rsidRDefault="00DF3959" w:rsidP="00C64851">
      <w:pPr>
        <w:pStyle w:val="BodyText"/>
        <w:numPr>
          <w:ilvl w:val="0"/>
          <w:numId w:val="652"/>
        </w:numPr>
      </w:pPr>
      <w:r w:rsidRPr="00DF3959">
        <w:t>Services to family members when they are necessary for the consumer to achieve their employment goals. </w:t>
      </w:r>
    </w:p>
    <w:p w14:paraId="3194AAD5" w14:textId="77777777" w:rsidR="00DF3959" w:rsidRPr="00DF3959" w:rsidRDefault="00DF3959" w:rsidP="00C64851">
      <w:pPr>
        <w:pStyle w:val="BodyText"/>
        <w:numPr>
          <w:ilvl w:val="0"/>
          <w:numId w:val="653"/>
        </w:numPr>
      </w:pPr>
      <w:r w:rsidRPr="00DF3959">
        <w:t>Interpreter, translation, and other communication services. </w:t>
      </w:r>
    </w:p>
    <w:p w14:paraId="2F6A89B1" w14:textId="77777777" w:rsidR="00DF3959" w:rsidRPr="00DF3959" w:rsidRDefault="00DF3959" w:rsidP="00C64851">
      <w:pPr>
        <w:pStyle w:val="BodyText"/>
        <w:numPr>
          <w:ilvl w:val="0"/>
          <w:numId w:val="654"/>
        </w:numPr>
      </w:pPr>
      <w:r w:rsidRPr="00DF3959">
        <w:t>Diabetes education. </w:t>
      </w:r>
    </w:p>
    <w:p w14:paraId="25311CC0" w14:textId="77777777" w:rsidR="00DF3959" w:rsidRPr="00DF3959" w:rsidRDefault="00DF3959" w:rsidP="00C64851">
      <w:pPr>
        <w:pStyle w:val="BodyText"/>
        <w:numPr>
          <w:ilvl w:val="0"/>
          <w:numId w:val="655"/>
        </w:numPr>
      </w:pPr>
      <w:r w:rsidRPr="00DF3959">
        <w:t>Technical assistance and consultation for customers who are pursuing self-employment or a small business operation. </w:t>
      </w:r>
    </w:p>
    <w:p w14:paraId="6828B63B" w14:textId="77777777" w:rsidR="00DF3959" w:rsidRPr="00DF3959" w:rsidRDefault="00DF3959" w:rsidP="00C64851">
      <w:pPr>
        <w:pStyle w:val="BodyText"/>
        <w:numPr>
          <w:ilvl w:val="0"/>
          <w:numId w:val="656"/>
        </w:numPr>
      </w:pPr>
      <w:r w:rsidRPr="00DF3959">
        <w:t>Individualized services that are directly associated with participation in program services, including independent living skills training needed for employment lifestyle, and orientation and mobility training. </w:t>
      </w:r>
    </w:p>
    <w:p w14:paraId="7CE3F662" w14:textId="77777777" w:rsidR="00DF3959" w:rsidRPr="00DF3959" w:rsidRDefault="00DF3959" w:rsidP="00C64851">
      <w:pPr>
        <w:pStyle w:val="BodyText"/>
        <w:numPr>
          <w:ilvl w:val="0"/>
          <w:numId w:val="657"/>
        </w:numPr>
      </w:pPr>
      <w:r w:rsidRPr="00DF3959">
        <w:t>Post-employment VR services that are necessary for an individual to maintain, regain, or advance in employment. </w:t>
      </w:r>
    </w:p>
    <w:p w14:paraId="506FFE98" w14:textId="77777777" w:rsidR="00DF3959" w:rsidRPr="00DF3959" w:rsidRDefault="00DF3959" w:rsidP="00C64851">
      <w:pPr>
        <w:pStyle w:val="BodyText"/>
        <w:numPr>
          <w:ilvl w:val="0"/>
          <w:numId w:val="658"/>
        </w:numPr>
      </w:pPr>
      <w:r w:rsidRPr="00DF3959">
        <w:t>Other goods and services necessary for an individual to achieve his or her employment goal. </w:t>
      </w:r>
    </w:p>
    <w:p w14:paraId="7386E3C2" w14:textId="77777777" w:rsidR="00DF3959" w:rsidRPr="00DF3959" w:rsidRDefault="00DF3959" w:rsidP="004771D3">
      <w:pPr>
        <w:pStyle w:val="BodyText3"/>
        <w:ind w:left="720" w:hanging="720"/>
      </w:pPr>
      <w:r w:rsidRPr="00DF3959">
        <w:t xml:space="preserve">C. </w:t>
      </w:r>
      <w:r w:rsidRPr="00DF3959">
        <w:tab/>
        <w:t xml:space="preserve">What information does the agency collect/use to assess the effectiveness and efficiency of this program? If applicable, briefly note any LBB performance measures (from Section II, </w:t>
      </w:r>
      <w:proofErr w:type="gramStart"/>
      <w:r w:rsidRPr="00DF3959">
        <w:t>Exhibit</w:t>
      </w:r>
      <w:proofErr w:type="gramEnd"/>
      <w:r w:rsidRPr="00DF3959">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18DC81D0" w14:textId="65E1F9B8" w:rsidR="00DF3959" w:rsidRPr="00DF3959" w:rsidRDefault="00DF3959" w:rsidP="00DF3959">
      <w:pPr>
        <w:pStyle w:val="BodyText"/>
      </w:pPr>
      <w:r w:rsidRPr="00DF3959">
        <w:t>VR’s effectiveness and efficiency can be demonstrated through several methods including performance data, fiscal management, innovation and process improvement, and stakeholder input.   </w:t>
      </w:r>
    </w:p>
    <w:p w14:paraId="10986DB7" w14:textId="77777777" w:rsidR="00DF3959" w:rsidRPr="00DF3959" w:rsidRDefault="00DF3959" w:rsidP="004771D3">
      <w:pPr>
        <w:pStyle w:val="BodyText3"/>
      </w:pPr>
      <w:r w:rsidRPr="00DF3959">
        <w:t>Performance Measures </w:t>
      </w:r>
    </w:p>
    <w:p w14:paraId="42B5CA7D" w14:textId="77777777" w:rsidR="00DF3959" w:rsidRPr="00DF3959" w:rsidRDefault="00DF3959" w:rsidP="00DF3959">
      <w:pPr>
        <w:pStyle w:val="BodyText"/>
      </w:pPr>
      <w:r w:rsidRPr="00DF3959">
        <w:t xml:space="preserve">Funds expended for VR services continue to generate tax dollars throughout the working lives of VR customers. Based on an in house return-on-investment (ROI) study for </w:t>
      </w:r>
      <w:r w:rsidRPr="00DF3959">
        <w:lastRenderedPageBreak/>
        <w:t>participants who exited the VR program in 2018, the average total amount expended over the life of a case for VR participants of all ages who exited in 2018 was $5,645, compared to an additional return of about $31,950 in increased individual earnings compared to program entry, during their first five years from their exit. </w:t>
      </w:r>
    </w:p>
    <w:p w14:paraId="5326026A" w14:textId="77777777" w:rsidR="00DF3959" w:rsidRPr="00DF3959" w:rsidRDefault="00DF3959" w:rsidP="00DF3959">
      <w:pPr>
        <w:pStyle w:val="BodyText"/>
      </w:pPr>
      <w:r w:rsidRPr="00DF3959">
        <w:rPr>
          <w:b/>
          <w:bCs/>
        </w:rPr>
        <w:t>National Comparisons</w:t>
      </w:r>
      <w:r w:rsidRPr="00DF3959">
        <w:t> </w:t>
      </w:r>
    </w:p>
    <w:p w14:paraId="743770A6" w14:textId="77777777" w:rsidR="00DF3959" w:rsidRPr="00DF3959" w:rsidRDefault="00DF3959" w:rsidP="00DF3959">
      <w:pPr>
        <w:pStyle w:val="BodyText"/>
      </w:pPr>
      <w:r w:rsidRPr="00DF3959">
        <w:t xml:space="preserve">The Texas VR program has consistently grown in effectiveness and efficiency and has been highly ranked among state programs for many years. The following information provides comparative data from national perspective and in some </w:t>
      </w:r>
      <w:proofErr w:type="gramStart"/>
      <w:r w:rsidRPr="00DF3959">
        <w:t>examples</w:t>
      </w:r>
      <w:proofErr w:type="gramEnd"/>
      <w:r w:rsidRPr="00DF3959">
        <w:t xml:space="preserve"> states with a population close to that of Texas. The Rehabilitation Services Administration (RSA), which is housed within the U.S. Department of Education, publishes these statistics annually. </w:t>
      </w:r>
    </w:p>
    <w:p w14:paraId="0DE98FD6" w14:textId="77777777" w:rsidR="00DF3959" w:rsidRPr="00DF3959" w:rsidRDefault="00DF3959" w:rsidP="00DF3959">
      <w:pPr>
        <w:pStyle w:val="BodyText"/>
      </w:pPr>
      <w:r w:rsidRPr="00DF3959">
        <w:rPr>
          <w:u w:val="single"/>
        </w:rPr>
        <w:t>Employment (Successful Closure) Rate</w:t>
      </w:r>
      <w:r w:rsidRPr="00DF3959">
        <w:t> </w:t>
      </w:r>
    </w:p>
    <w:p w14:paraId="543FBE36" w14:textId="77777777" w:rsidR="00DF3959" w:rsidRPr="00DF3959" w:rsidRDefault="00DF3959" w:rsidP="00DF3959">
      <w:pPr>
        <w:pStyle w:val="BodyText"/>
      </w:pPr>
      <w:r w:rsidRPr="00DF3959">
        <w:t>In Program Year (PY) 2023 (July 1, 2023, to June 30, 2024), 10,197 of the 20,570 participants who exited the VR program achieved CIE at case closure. The employment rate for Texas was 49.5 percent, which was 7 percentage points higher than the national rate of 42 percent for PY 2023. </w:t>
      </w:r>
    </w:p>
    <w:p w14:paraId="2C7103AC" w14:textId="77777777" w:rsidR="00DF3959" w:rsidRPr="00DF3959" w:rsidRDefault="00DF3959" w:rsidP="00DF3959">
      <w:pPr>
        <w:pStyle w:val="BodyText"/>
      </w:pPr>
      <w:r w:rsidRPr="00DF3959">
        <w:t xml:space="preserve">The VR </w:t>
      </w:r>
      <w:r w:rsidRPr="00DF3959">
        <w:rPr>
          <w:b/>
          <w:bCs/>
        </w:rPr>
        <w:t>employment rate</w:t>
      </w:r>
      <w:r w:rsidRPr="00DF3959">
        <w:t xml:space="preserve"> is calculated as follows:</w:t>
      </w:r>
      <w:r w:rsidRPr="00DF3959">
        <w:rPr>
          <w:b/>
          <w:bCs/>
        </w:rPr>
        <w:t> </w:t>
      </w:r>
      <w:r w:rsidRPr="00DF3959">
        <w:t> </w:t>
      </w:r>
    </w:p>
    <w:p w14:paraId="06A6A019" w14:textId="168F60AD" w:rsidR="00DF3959" w:rsidRPr="00DF3959" w:rsidRDefault="00DF3959" w:rsidP="00C64851">
      <w:pPr>
        <w:pStyle w:val="BodyText"/>
        <w:numPr>
          <w:ilvl w:val="0"/>
          <w:numId w:val="659"/>
        </w:numPr>
      </w:pPr>
      <w:r w:rsidRPr="00DF3959">
        <w:rPr>
          <w:b/>
          <w:bCs/>
        </w:rPr>
        <w:t>Numerator:</w:t>
      </w:r>
      <w:r w:rsidRPr="00DF3959">
        <w:t xml:space="preserve"> number of participants exiting from the VR program with an outcome in competitive, integrated employment </w:t>
      </w:r>
    </w:p>
    <w:p w14:paraId="4158A4EA" w14:textId="157C84D2" w:rsidR="00DF3959" w:rsidRPr="00DF3959" w:rsidRDefault="00DF3959" w:rsidP="00C64851">
      <w:pPr>
        <w:pStyle w:val="BodyText"/>
        <w:numPr>
          <w:ilvl w:val="0"/>
          <w:numId w:val="660"/>
        </w:numPr>
      </w:pPr>
      <w:r w:rsidRPr="00DF3959">
        <w:rPr>
          <w:b/>
          <w:bCs/>
        </w:rPr>
        <w:t>Denominator:</w:t>
      </w:r>
      <w:r w:rsidRPr="00DF3959">
        <w:t xml:space="preserve"> total number of participants exiting, including those with CIE outcomes and those without </w:t>
      </w:r>
      <w:r w:rsidR="062F26D7">
        <w:t>competitive, integrated employment</w:t>
      </w:r>
      <w:r w:rsidRPr="00DF3959">
        <w:t xml:space="preserve"> outcomes </w:t>
      </w:r>
    </w:p>
    <w:p w14:paraId="35A7895D" w14:textId="35D404E7" w:rsidR="00DF3959" w:rsidRPr="00DF3959" w:rsidRDefault="00DF3959" w:rsidP="00DF3959">
      <w:pPr>
        <w:pStyle w:val="BodyText"/>
      </w:pPr>
      <w:r w:rsidRPr="00DF3959">
        <w:rPr>
          <w:u w:val="single"/>
        </w:rPr>
        <w:t>Employed Second Quarter after Exit</w:t>
      </w:r>
    </w:p>
    <w:p w14:paraId="774D9212" w14:textId="77777777" w:rsidR="00DF3959" w:rsidRPr="00DF3959" w:rsidRDefault="00DF3959" w:rsidP="00DF3959">
      <w:pPr>
        <w:pStyle w:val="BodyText"/>
      </w:pPr>
      <w:r w:rsidRPr="00DF3959">
        <w:t>The percent of VR participants who are employed in their second quarter after exit is a WIOA accountability measure. Based on PY 2023 performance Texas (60.8 percent) exceeded the national average of 55.9 percent by nearly 5 percentage points, ranking second among five comparison states with Combined VR agencies. Note the performance period for this measure has a 12-month lag. </w:t>
      </w:r>
    </w:p>
    <w:tbl>
      <w:tblPr>
        <w:tblStyle w:val="TableGrid1"/>
        <w:tblW w:w="0" w:type="dxa"/>
        <w:tblCellMar>
          <w:top w:w="58" w:type="dxa"/>
          <w:bottom w:w="58" w:type="dxa"/>
        </w:tblCellMar>
        <w:tblLook w:val="04A0" w:firstRow="1" w:lastRow="0" w:firstColumn="1" w:lastColumn="0" w:noHBand="0" w:noVBand="1"/>
      </w:tblPr>
      <w:tblGrid>
        <w:gridCol w:w="1575"/>
        <w:gridCol w:w="1545"/>
        <w:gridCol w:w="1305"/>
        <w:gridCol w:w="1560"/>
        <w:gridCol w:w="1530"/>
        <w:gridCol w:w="1170"/>
      </w:tblGrid>
      <w:tr w:rsidR="004771D3" w:rsidRPr="00DF3959" w14:paraId="5D9224C5" w14:textId="77777777" w:rsidTr="00B2607C">
        <w:trPr>
          <w:trHeight w:val="855"/>
          <w:tblHeader/>
        </w:trPr>
        <w:tc>
          <w:tcPr>
            <w:tcW w:w="1575" w:type="dxa"/>
            <w:shd w:val="clear" w:color="auto" w:fill="B8CCE4" w:themeFill="accent1" w:themeFillTint="66"/>
            <w:vAlign w:val="center"/>
            <w:hideMark/>
          </w:tcPr>
          <w:p w14:paraId="75E9A74F" w14:textId="56A92E38" w:rsidR="00DF3959" w:rsidRPr="00DF3959" w:rsidRDefault="00DF3959" w:rsidP="004771D3">
            <w:pPr>
              <w:pStyle w:val="TableHeaders"/>
            </w:pPr>
            <w:r w:rsidRPr="00DF3959">
              <w:t>State</w:t>
            </w:r>
          </w:p>
        </w:tc>
        <w:tc>
          <w:tcPr>
            <w:tcW w:w="1545" w:type="dxa"/>
            <w:shd w:val="clear" w:color="auto" w:fill="B8CCE4" w:themeFill="accent1" w:themeFillTint="66"/>
            <w:vAlign w:val="center"/>
            <w:hideMark/>
          </w:tcPr>
          <w:p w14:paraId="1FC47BC2" w14:textId="335EFC47" w:rsidR="00DF3959" w:rsidRPr="00DF3959" w:rsidRDefault="00DF3959" w:rsidP="004771D3">
            <w:pPr>
              <w:pStyle w:val="TableHeaders"/>
            </w:pPr>
            <w:r w:rsidRPr="00DF3959">
              <w:t>Participants Served</w:t>
            </w:r>
          </w:p>
        </w:tc>
        <w:tc>
          <w:tcPr>
            <w:tcW w:w="1305" w:type="dxa"/>
            <w:shd w:val="clear" w:color="auto" w:fill="B8CCE4" w:themeFill="accent1" w:themeFillTint="66"/>
            <w:vAlign w:val="center"/>
            <w:hideMark/>
          </w:tcPr>
          <w:p w14:paraId="4FCC9745" w14:textId="5E00F2C7" w:rsidR="00DF3959" w:rsidRPr="00DF3959" w:rsidRDefault="00DF3959" w:rsidP="004771D3">
            <w:pPr>
              <w:pStyle w:val="TableHeaders"/>
            </w:pPr>
            <w:r w:rsidRPr="00DF3959">
              <w:t>Number Exits 2Q Cohort (den)</w:t>
            </w:r>
          </w:p>
        </w:tc>
        <w:tc>
          <w:tcPr>
            <w:tcW w:w="1560" w:type="dxa"/>
            <w:shd w:val="clear" w:color="auto" w:fill="B8CCE4" w:themeFill="accent1" w:themeFillTint="66"/>
            <w:vAlign w:val="center"/>
            <w:hideMark/>
          </w:tcPr>
          <w:p w14:paraId="76D40B14" w14:textId="656EA4F7" w:rsidR="00DF3959" w:rsidRPr="00DF3959" w:rsidRDefault="00DF3959" w:rsidP="004771D3">
            <w:pPr>
              <w:pStyle w:val="TableHeaders"/>
            </w:pPr>
            <w:r w:rsidRPr="00DF3959">
              <w:t>Number Employed 2Q Cohort (num)</w:t>
            </w:r>
          </w:p>
        </w:tc>
        <w:tc>
          <w:tcPr>
            <w:tcW w:w="1530" w:type="dxa"/>
            <w:shd w:val="clear" w:color="auto" w:fill="B8CCE4" w:themeFill="accent1" w:themeFillTint="66"/>
            <w:vAlign w:val="center"/>
            <w:hideMark/>
          </w:tcPr>
          <w:p w14:paraId="3FB9F660" w14:textId="60BB8E6A" w:rsidR="00DF3959" w:rsidRPr="00DF3959" w:rsidRDefault="00DF3959" w:rsidP="004771D3">
            <w:pPr>
              <w:pStyle w:val="TableHeaders"/>
            </w:pPr>
            <w:r w:rsidRPr="00DF3959">
              <w:t>Employed 2Q Rate (Actual)</w:t>
            </w:r>
          </w:p>
        </w:tc>
        <w:tc>
          <w:tcPr>
            <w:tcW w:w="1170" w:type="dxa"/>
            <w:shd w:val="clear" w:color="auto" w:fill="B8CCE4" w:themeFill="accent1" w:themeFillTint="66"/>
            <w:vAlign w:val="center"/>
            <w:hideMark/>
          </w:tcPr>
          <w:p w14:paraId="5C2DA14E" w14:textId="16536DEC" w:rsidR="00DF3959" w:rsidRPr="00DF3959" w:rsidRDefault="00DF3959" w:rsidP="004771D3">
            <w:pPr>
              <w:pStyle w:val="TableHeaders"/>
            </w:pPr>
            <w:r w:rsidRPr="00DF3959">
              <w:t>Ranking</w:t>
            </w:r>
          </w:p>
        </w:tc>
      </w:tr>
      <w:tr w:rsidR="00DF3959" w:rsidRPr="00DF3959" w14:paraId="371DC7ED" w14:textId="77777777" w:rsidTr="00181441">
        <w:trPr>
          <w:trHeight w:val="285"/>
        </w:trPr>
        <w:tc>
          <w:tcPr>
            <w:tcW w:w="1575" w:type="dxa"/>
            <w:vAlign w:val="center"/>
            <w:hideMark/>
          </w:tcPr>
          <w:p w14:paraId="4A9987EF" w14:textId="77777777" w:rsidR="00DF3959" w:rsidRPr="00DF3959" w:rsidRDefault="00DF3959" w:rsidP="00181441">
            <w:pPr>
              <w:pStyle w:val="TableText"/>
            </w:pPr>
            <w:r w:rsidRPr="00DF3959">
              <w:t>Ohio </w:t>
            </w:r>
          </w:p>
        </w:tc>
        <w:tc>
          <w:tcPr>
            <w:tcW w:w="1545" w:type="dxa"/>
            <w:vAlign w:val="center"/>
            <w:hideMark/>
          </w:tcPr>
          <w:p w14:paraId="7F00CB04" w14:textId="77777777" w:rsidR="00DF3959" w:rsidRPr="00DF3959" w:rsidRDefault="00DF3959" w:rsidP="00181441">
            <w:pPr>
              <w:pStyle w:val="TableText"/>
              <w:jc w:val="right"/>
            </w:pPr>
            <w:r w:rsidRPr="00DF3959">
              <w:t>30,833 </w:t>
            </w:r>
          </w:p>
        </w:tc>
        <w:tc>
          <w:tcPr>
            <w:tcW w:w="1305" w:type="dxa"/>
            <w:vAlign w:val="center"/>
            <w:hideMark/>
          </w:tcPr>
          <w:p w14:paraId="5C794792" w14:textId="77777777" w:rsidR="00DF3959" w:rsidRPr="00DF3959" w:rsidRDefault="00DF3959" w:rsidP="00181441">
            <w:pPr>
              <w:pStyle w:val="TableText"/>
              <w:jc w:val="right"/>
            </w:pPr>
            <w:r w:rsidRPr="00DF3959">
              <w:t>9,718 </w:t>
            </w:r>
          </w:p>
        </w:tc>
        <w:tc>
          <w:tcPr>
            <w:tcW w:w="1560" w:type="dxa"/>
            <w:vAlign w:val="center"/>
            <w:hideMark/>
          </w:tcPr>
          <w:p w14:paraId="33BB9444" w14:textId="77777777" w:rsidR="00DF3959" w:rsidRPr="00DF3959" w:rsidRDefault="00DF3959" w:rsidP="00181441">
            <w:pPr>
              <w:pStyle w:val="TableText"/>
              <w:jc w:val="right"/>
            </w:pPr>
            <w:r w:rsidRPr="00DF3959">
              <w:t>6,006 </w:t>
            </w:r>
          </w:p>
        </w:tc>
        <w:tc>
          <w:tcPr>
            <w:tcW w:w="1530" w:type="dxa"/>
            <w:vAlign w:val="center"/>
            <w:hideMark/>
          </w:tcPr>
          <w:p w14:paraId="3E33C194" w14:textId="77777777" w:rsidR="00DF3959" w:rsidRPr="00DF3959" w:rsidRDefault="00DF3959" w:rsidP="00181441">
            <w:pPr>
              <w:pStyle w:val="TableText"/>
              <w:jc w:val="right"/>
            </w:pPr>
            <w:r w:rsidRPr="00DF3959">
              <w:t>61.8% </w:t>
            </w:r>
          </w:p>
        </w:tc>
        <w:tc>
          <w:tcPr>
            <w:tcW w:w="1170" w:type="dxa"/>
            <w:vAlign w:val="center"/>
            <w:hideMark/>
          </w:tcPr>
          <w:p w14:paraId="6296328A" w14:textId="77777777" w:rsidR="00DF3959" w:rsidRPr="00DF3959" w:rsidRDefault="00DF3959" w:rsidP="00181441">
            <w:pPr>
              <w:pStyle w:val="TableText"/>
              <w:jc w:val="right"/>
            </w:pPr>
            <w:r w:rsidRPr="00DF3959">
              <w:t>1 </w:t>
            </w:r>
          </w:p>
        </w:tc>
      </w:tr>
      <w:tr w:rsidR="00DF3959" w:rsidRPr="00DF3959" w14:paraId="4FBC884D" w14:textId="77777777" w:rsidTr="00181441">
        <w:trPr>
          <w:trHeight w:val="285"/>
        </w:trPr>
        <w:tc>
          <w:tcPr>
            <w:tcW w:w="1575" w:type="dxa"/>
            <w:vAlign w:val="center"/>
            <w:hideMark/>
          </w:tcPr>
          <w:p w14:paraId="0C8BA93D" w14:textId="77777777" w:rsidR="00DF3959" w:rsidRPr="00DF3959" w:rsidRDefault="00DF3959" w:rsidP="00181441">
            <w:pPr>
              <w:pStyle w:val="TableText"/>
            </w:pPr>
            <w:r w:rsidRPr="00DF3959">
              <w:rPr>
                <w:b/>
                <w:bCs/>
              </w:rPr>
              <w:t>Texas</w:t>
            </w:r>
            <w:r w:rsidRPr="00DF3959">
              <w:t> </w:t>
            </w:r>
          </w:p>
        </w:tc>
        <w:tc>
          <w:tcPr>
            <w:tcW w:w="1545" w:type="dxa"/>
            <w:vAlign w:val="center"/>
            <w:hideMark/>
          </w:tcPr>
          <w:p w14:paraId="64E85057" w14:textId="77777777" w:rsidR="00DF3959" w:rsidRPr="00DF3959" w:rsidRDefault="00DF3959" w:rsidP="00181441">
            <w:pPr>
              <w:pStyle w:val="TableText"/>
              <w:jc w:val="right"/>
            </w:pPr>
            <w:r w:rsidRPr="00DF3959">
              <w:rPr>
                <w:b/>
                <w:bCs/>
              </w:rPr>
              <w:t>69,248</w:t>
            </w:r>
            <w:r w:rsidRPr="00DF3959">
              <w:t> </w:t>
            </w:r>
          </w:p>
        </w:tc>
        <w:tc>
          <w:tcPr>
            <w:tcW w:w="1305" w:type="dxa"/>
            <w:vAlign w:val="center"/>
            <w:hideMark/>
          </w:tcPr>
          <w:p w14:paraId="3F5F08E0" w14:textId="77777777" w:rsidR="00DF3959" w:rsidRPr="00DF3959" w:rsidRDefault="00DF3959" w:rsidP="00181441">
            <w:pPr>
              <w:pStyle w:val="TableText"/>
              <w:jc w:val="right"/>
            </w:pPr>
            <w:r w:rsidRPr="00DF3959">
              <w:rPr>
                <w:b/>
                <w:bCs/>
              </w:rPr>
              <w:t>19,599</w:t>
            </w:r>
            <w:r w:rsidRPr="00DF3959">
              <w:t> </w:t>
            </w:r>
          </w:p>
        </w:tc>
        <w:tc>
          <w:tcPr>
            <w:tcW w:w="1560" w:type="dxa"/>
            <w:vAlign w:val="center"/>
            <w:hideMark/>
          </w:tcPr>
          <w:p w14:paraId="3BE44919" w14:textId="77777777" w:rsidR="00DF3959" w:rsidRPr="00DF3959" w:rsidRDefault="00DF3959" w:rsidP="00181441">
            <w:pPr>
              <w:pStyle w:val="TableText"/>
              <w:jc w:val="right"/>
            </w:pPr>
            <w:r w:rsidRPr="00DF3959">
              <w:rPr>
                <w:b/>
                <w:bCs/>
              </w:rPr>
              <w:t>11,916</w:t>
            </w:r>
            <w:r w:rsidRPr="00DF3959">
              <w:t> </w:t>
            </w:r>
          </w:p>
        </w:tc>
        <w:tc>
          <w:tcPr>
            <w:tcW w:w="1530" w:type="dxa"/>
            <w:vAlign w:val="center"/>
            <w:hideMark/>
          </w:tcPr>
          <w:p w14:paraId="3FD5281D" w14:textId="77777777" w:rsidR="00DF3959" w:rsidRPr="00DF3959" w:rsidRDefault="00DF3959" w:rsidP="00181441">
            <w:pPr>
              <w:pStyle w:val="TableText"/>
              <w:jc w:val="right"/>
            </w:pPr>
            <w:r w:rsidRPr="00DF3959">
              <w:rPr>
                <w:b/>
                <w:bCs/>
              </w:rPr>
              <w:t>60.8%</w:t>
            </w:r>
            <w:r w:rsidRPr="00DF3959">
              <w:t> </w:t>
            </w:r>
          </w:p>
        </w:tc>
        <w:tc>
          <w:tcPr>
            <w:tcW w:w="1170" w:type="dxa"/>
            <w:vAlign w:val="center"/>
            <w:hideMark/>
          </w:tcPr>
          <w:p w14:paraId="6F70A6D1" w14:textId="77777777" w:rsidR="00DF3959" w:rsidRPr="00DF3959" w:rsidRDefault="00DF3959" w:rsidP="00181441">
            <w:pPr>
              <w:pStyle w:val="TableText"/>
              <w:jc w:val="right"/>
            </w:pPr>
            <w:r w:rsidRPr="00DF3959">
              <w:rPr>
                <w:b/>
                <w:bCs/>
              </w:rPr>
              <w:t>2</w:t>
            </w:r>
            <w:r w:rsidRPr="00DF3959">
              <w:t> </w:t>
            </w:r>
          </w:p>
        </w:tc>
      </w:tr>
      <w:tr w:rsidR="00DF3959" w:rsidRPr="00DF3959" w14:paraId="30EF71B9" w14:textId="77777777" w:rsidTr="00181441">
        <w:trPr>
          <w:trHeight w:val="285"/>
        </w:trPr>
        <w:tc>
          <w:tcPr>
            <w:tcW w:w="1575" w:type="dxa"/>
            <w:vAlign w:val="center"/>
            <w:hideMark/>
          </w:tcPr>
          <w:p w14:paraId="0EC5CCDD" w14:textId="77777777" w:rsidR="00DF3959" w:rsidRPr="00DF3959" w:rsidRDefault="00DF3959" w:rsidP="00181441">
            <w:pPr>
              <w:pStyle w:val="TableText"/>
            </w:pPr>
            <w:r w:rsidRPr="00DF3959">
              <w:t>Tennessee </w:t>
            </w:r>
          </w:p>
        </w:tc>
        <w:tc>
          <w:tcPr>
            <w:tcW w:w="1545" w:type="dxa"/>
            <w:vAlign w:val="center"/>
            <w:hideMark/>
          </w:tcPr>
          <w:p w14:paraId="5550FA6C" w14:textId="77777777" w:rsidR="00DF3959" w:rsidRPr="00DF3959" w:rsidRDefault="00DF3959" w:rsidP="00181441">
            <w:pPr>
              <w:pStyle w:val="TableText"/>
              <w:jc w:val="right"/>
            </w:pPr>
            <w:r w:rsidRPr="00DF3959">
              <w:t>13,180 </w:t>
            </w:r>
          </w:p>
        </w:tc>
        <w:tc>
          <w:tcPr>
            <w:tcW w:w="1305" w:type="dxa"/>
            <w:vAlign w:val="center"/>
            <w:hideMark/>
          </w:tcPr>
          <w:p w14:paraId="1EA3EDA8" w14:textId="77777777" w:rsidR="00DF3959" w:rsidRPr="00DF3959" w:rsidRDefault="00DF3959" w:rsidP="00181441">
            <w:pPr>
              <w:pStyle w:val="TableText"/>
              <w:jc w:val="right"/>
            </w:pPr>
            <w:r w:rsidRPr="00DF3959">
              <w:t>2,083 </w:t>
            </w:r>
          </w:p>
        </w:tc>
        <w:tc>
          <w:tcPr>
            <w:tcW w:w="1560" w:type="dxa"/>
            <w:vAlign w:val="center"/>
            <w:hideMark/>
          </w:tcPr>
          <w:p w14:paraId="11E11981" w14:textId="77777777" w:rsidR="00DF3959" w:rsidRPr="00DF3959" w:rsidRDefault="00DF3959" w:rsidP="00181441">
            <w:pPr>
              <w:pStyle w:val="TableText"/>
              <w:jc w:val="right"/>
            </w:pPr>
            <w:r w:rsidRPr="00DF3959">
              <w:t>1,204 </w:t>
            </w:r>
          </w:p>
        </w:tc>
        <w:tc>
          <w:tcPr>
            <w:tcW w:w="1530" w:type="dxa"/>
            <w:vAlign w:val="center"/>
            <w:hideMark/>
          </w:tcPr>
          <w:p w14:paraId="039C2AAE" w14:textId="77777777" w:rsidR="00DF3959" w:rsidRPr="00DF3959" w:rsidRDefault="00DF3959" w:rsidP="00181441">
            <w:pPr>
              <w:pStyle w:val="TableText"/>
              <w:jc w:val="right"/>
            </w:pPr>
            <w:r w:rsidRPr="00DF3959">
              <w:t>57.8% </w:t>
            </w:r>
          </w:p>
        </w:tc>
        <w:tc>
          <w:tcPr>
            <w:tcW w:w="1170" w:type="dxa"/>
            <w:vAlign w:val="center"/>
            <w:hideMark/>
          </w:tcPr>
          <w:p w14:paraId="191E0D43" w14:textId="77777777" w:rsidR="00DF3959" w:rsidRPr="00DF3959" w:rsidRDefault="00DF3959" w:rsidP="00181441">
            <w:pPr>
              <w:pStyle w:val="TableText"/>
              <w:jc w:val="right"/>
            </w:pPr>
            <w:r w:rsidRPr="00DF3959">
              <w:t>3 </w:t>
            </w:r>
          </w:p>
        </w:tc>
      </w:tr>
      <w:tr w:rsidR="00DF3959" w:rsidRPr="00DF3959" w14:paraId="3E82A45A" w14:textId="77777777" w:rsidTr="00181441">
        <w:trPr>
          <w:trHeight w:val="285"/>
        </w:trPr>
        <w:tc>
          <w:tcPr>
            <w:tcW w:w="1575" w:type="dxa"/>
            <w:vAlign w:val="center"/>
            <w:hideMark/>
          </w:tcPr>
          <w:p w14:paraId="6CEA8A64" w14:textId="77777777" w:rsidR="00DF3959" w:rsidRPr="00DF3959" w:rsidRDefault="00DF3959" w:rsidP="00181441">
            <w:pPr>
              <w:pStyle w:val="TableText"/>
            </w:pPr>
            <w:r w:rsidRPr="00DF3959">
              <w:t>Pennsylvania </w:t>
            </w:r>
          </w:p>
        </w:tc>
        <w:tc>
          <w:tcPr>
            <w:tcW w:w="1545" w:type="dxa"/>
            <w:vAlign w:val="center"/>
            <w:hideMark/>
          </w:tcPr>
          <w:p w14:paraId="7CCC0367" w14:textId="77777777" w:rsidR="00DF3959" w:rsidRPr="00DF3959" w:rsidRDefault="00DF3959" w:rsidP="00181441">
            <w:pPr>
              <w:pStyle w:val="TableText"/>
              <w:jc w:val="right"/>
            </w:pPr>
            <w:r w:rsidRPr="00DF3959">
              <w:t>44,029 </w:t>
            </w:r>
          </w:p>
        </w:tc>
        <w:tc>
          <w:tcPr>
            <w:tcW w:w="1305" w:type="dxa"/>
            <w:vAlign w:val="center"/>
            <w:hideMark/>
          </w:tcPr>
          <w:p w14:paraId="39AB87F8" w14:textId="77777777" w:rsidR="00DF3959" w:rsidRPr="00DF3959" w:rsidRDefault="00DF3959" w:rsidP="00181441">
            <w:pPr>
              <w:pStyle w:val="TableText"/>
              <w:jc w:val="right"/>
            </w:pPr>
            <w:r w:rsidRPr="00DF3959">
              <w:t>11,617 </w:t>
            </w:r>
          </w:p>
        </w:tc>
        <w:tc>
          <w:tcPr>
            <w:tcW w:w="1560" w:type="dxa"/>
            <w:vAlign w:val="center"/>
            <w:hideMark/>
          </w:tcPr>
          <w:p w14:paraId="048C112F" w14:textId="77777777" w:rsidR="00DF3959" w:rsidRPr="00DF3959" w:rsidRDefault="00DF3959" w:rsidP="00181441">
            <w:pPr>
              <w:pStyle w:val="TableText"/>
              <w:jc w:val="right"/>
            </w:pPr>
            <w:r w:rsidRPr="00DF3959">
              <w:t>6,645 </w:t>
            </w:r>
          </w:p>
        </w:tc>
        <w:tc>
          <w:tcPr>
            <w:tcW w:w="1530" w:type="dxa"/>
            <w:vAlign w:val="center"/>
            <w:hideMark/>
          </w:tcPr>
          <w:p w14:paraId="0C7BF49F" w14:textId="77777777" w:rsidR="00DF3959" w:rsidRPr="00DF3959" w:rsidRDefault="00DF3959" w:rsidP="00181441">
            <w:pPr>
              <w:pStyle w:val="TableText"/>
              <w:jc w:val="right"/>
            </w:pPr>
            <w:r w:rsidRPr="00DF3959">
              <w:t>57.2% </w:t>
            </w:r>
          </w:p>
        </w:tc>
        <w:tc>
          <w:tcPr>
            <w:tcW w:w="1170" w:type="dxa"/>
            <w:vAlign w:val="center"/>
            <w:hideMark/>
          </w:tcPr>
          <w:p w14:paraId="0A642240" w14:textId="77777777" w:rsidR="00DF3959" w:rsidRPr="00DF3959" w:rsidRDefault="00DF3959" w:rsidP="00181441">
            <w:pPr>
              <w:pStyle w:val="TableText"/>
              <w:jc w:val="right"/>
            </w:pPr>
            <w:r w:rsidRPr="00DF3959">
              <w:t>4 </w:t>
            </w:r>
          </w:p>
        </w:tc>
      </w:tr>
      <w:tr w:rsidR="00DF3959" w:rsidRPr="00DF3959" w14:paraId="7B3195FE" w14:textId="77777777" w:rsidTr="00181441">
        <w:trPr>
          <w:trHeight w:val="285"/>
        </w:trPr>
        <w:tc>
          <w:tcPr>
            <w:tcW w:w="1575" w:type="dxa"/>
            <w:vAlign w:val="center"/>
            <w:hideMark/>
          </w:tcPr>
          <w:p w14:paraId="34E7E5E4" w14:textId="77777777" w:rsidR="00DF3959" w:rsidRPr="00DF3959" w:rsidRDefault="00DF3959" w:rsidP="00181441">
            <w:pPr>
              <w:pStyle w:val="TableText"/>
            </w:pPr>
            <w:r w:rsidRPr="00DF3959">
              <w:t>California </w:t>
            </w:r>
          </w:p>
        </w:tc>
        <w:tc>
          <w:tcPr>
            <w:tcW w:w="1545" w:type="dxa"/>
            <w:vAlign w:val="center"/>
            <w:hideMark/>
          </w:tcPr>
          <w:p w14:paraId="3F6B2376" w14:textId="77777777" w:rsidR="00DF3959" w:rsidRPr="00DF3959" w:rsidRDefault="00DF3959" w:rsidP="00181441">
            <w:pPr>
              <w:pStyle w:val="TableText"/>
              <w:jc w:val="right"/>
            </w:pPr>
            <w:r w:rsidRPr="00DF3959">
              <w:t>85,827 </w:t>
            </w:r>
          </w:p>
        </w:tc>
        <w:tc>
          <w:tcPr>
            <w:tcW w:w="1305" w:type="dxa"/>
            <w:vAlign w:val="center"/>
            <w:hideMark/>
          </w:tcPr>
          <w:p w14:paraId="0C3C3239" w14:textId="77777777" w:rsidR="00DF3959" w:rsidRPr="00DF3959" w:rsidRDefault="00DF3959" w:rsidP="00181441">
            <w:pPr>
              <w:pStyle w:val="TableText"/>
              <w:jc w:val="right"/>
            </w:pPr>
            <w:r w:rsidRPr="00DF3959">
              <w:t>20,221 </w:t>
            </w:r>
          </w:p>
        </w:tc>
        <w:tc>
          <w:tcPr>
            <w:tcW w:w="1560" w:type="dxa"/>
            <w:vAlign w:val="center"/>
            <w:hideMark/>
          </w:tcPr>
          <w:p w14:paraId="7C5F6BB3" w14:textId="77777777" w:rsidR="00DF3959" w:rsidRPr="00DF3959" w:rsidRDefault="00DF3959" w:rsidP="00181441">
            <w:pPr>
              <w:pStyle w:val="TableText"/>
              <w:jc w:val="right"/>
            </w:pPr>
            <w:r w:rsidRPr="00DF3959">
              <w:t>9,807 </w:t>
            </w:r>
          </w:p>
        </w:tc>
        <w:tc>
          <w:tcPr>
            <w:tcW w:w="1530" w:type="dxa"/>
            <w:vAlign w:val="center"/>
            <w:hideMark/>
          </w:tcPr>
          <w:p w14:paraId="73B3BEAA" w14:textId="77777777" w:rsidR="00DF3959" w:rsidRPr="00DF3959" w:rsidRDefault="00DF3959" w:rsidP="00181441">
            <w:pPr>
              <w:pStyle w:val="TableText"/>
              <w:jc w:val="right"/>
            </w:pPr>
            <w:r w:rsidRPr="00DF3959">
              <w:t>48.5% </w:t>
            </w:r>
          </w:p>
        </w:tc>
        <w:tc>
          <w:tcPr>
            <w:tcW w:w="1170" w:type="dxa"/>
            <w:vAlign w:val="center"/>
            <w:hideMark/>
          </w:tcPr>
          <w:p w14:paraId="51A67DB6" w14:textId="77777777" w:rsidR="00DF3959" w:rsidRPr="00DF3959" w:rsidRDefault="00DF3959" w:rsidP="00181441">
            <w:pPr>
              <w:pStyle w:val="TableText"/>
              <w:jc w:val="right"/>
            </w:pPr>
            <w:r w:rsidRPr="00DF3959">
              <w:t>5 </w:t>
            </w:r>
          </w:p>
        </w:tc>
      </w:tr>
      <w:tr w:rsidR="00DF3959" w:rsidRPr="00DF3959" w14:paraId="7A6B8D1F" w14:textId="77777777" w:rsidTr="00181441">
        <w:trPr>
          <w:trHeight w:val="285"/>
        </w:trPr>
        <w:tc>
          <w:tcPr>
            <w:tcW w:w="1575" w:type="dxa"/>
            <w:vAlign w:val="center"/>
            <w:hideMark/>
          </w:tcPr>
          <w:p w14:paraId="38541A2D" w14:textId="77777777" w:rsidR="00DF3959" w:rsidRPr="00DF3959" w:rsidRDefault="00DF3959" w:rsidP="00181441">
            <w:pPr>
              <w:pStyle w:val="TableText"/>
            </w:pPr>
            <w:r w:rsidRPr="00DF3959">
              <w:rPr>
                <w:b/>
                <w:bCs/>
                <w:i/>
                <w:iCs/>
              </w:rPr>
              <w:lastRenderedPageBreak/>
              <w:t>National</w:t>
            </w:r>
            <w:r w:rsidRPr="00DF3959">
              <w:t> </w:t>
            </w:r>
          </w:p>
        </w:tc>
        <w:tc>
          <w:tcPr>
            <w:tcW w:w="1545" w:type="dxa"/>
            <w:vAlign w:val="center"/>
            <w:hideMark/>
          </w:tcPr>
          <w:p w14:paraId="0D7CEF37" w14:textId="77777777" w:rsidR="00DF3959" w:rsidRPr="00DF3959" w:rsidRDefault="00DF3959" w:rsidP="00181441">
            <w:pPr>
              <w:pStyle w:val="TableText"/>
              <w:jc w:val="right"/>
            </w:pPr>
            <w:r w:rsidRPr="00DF3959">
              <w:rPr>
                <w:b/>
                <w:bCs/>
                <w:i/>
                <w:iCs/>
              </w:rPr>
              <w:t>872,460</w:t>
            </w:r>
            <w:r w:rsidRPr="00DF3959">
              <w:t> </w:t>
            </w:r>
          </w:p>
        </w:tc>
        <w:tc>
          <w:tcPr>
            <w:tcW w:w="1305" w:type="dxa"/>
            <w:vAlign w:val="center"/>
            <w:hideMark/>
          </w:tcPr>
          <w:p w14:paraId="0CF1D3AC" w14:textId="77777777" w:rsidR="00DF3959" w:rsidRPr="00DF3959" w:rsidRDefault="00DF3959" w:rsidP="00181441">
            <w:pPr>
              <w:pStyle w:val="TableText"/>
              <w:jc w:val="right"/>
            </w:pPr>
            <w:r w:rsidRPr="00DF3959">
              <w:rPr>
                <w:b/>
                <w:bCs/>
                <w:i/>
                <w:iCs/>
              </w:rPr>
              <w:t>245,211</w:t>
            </w:r>
            <w:r w:rsidRPr="00DF3959">
              <w:t> </w:t>
            </w:r>
          </w:p>
        </w:tc>
        <w:tc>
          <w:tcPr>
            <w:tcW w:w="1560" w:type="dxa"/>
            <w:vAlign w:val="center"/>
            <w:hideMark/>
          </w:tcPr>
          <w:p w14:paraId="345213EC" w14:textId="77777777" w:rsidR="00DF3959" w:rsidRPr="00DF3959" w:rsidRDefault="00DF3959" w:rsidP="00181441">
            <w:pPr>
              <w:pStyle w:val="TableText"/>
              <w:jc w:val="right"/>
            </w:pPr>
            <w:r w:rsidRPr="00DF3959">
              <w:rPr>
                <w:b/>
                <w:bCs/>
                <w:i/>
                <w:iCs/>
              </w:rPr>
              <w:t>137,073</w:t>
            </w:r>
            <w:r w:rsidRPr="00DF3959">
              <w:t> </w:t>
            </w:r>
          </w:p>
        </w:tc>
        <w:tc>
          <w:tcPr>
            <w:tcW w:w="1530" w:type="dxa"/>
            <w:vAlign w:val="center"/>
            <w:hideMark/>
          </w:tcPr>
          <w:p w14:paraId="4BD3258B" w14:textId="77777777" w:rsidR="00DF3959" w:rsidRPr="00DF3959" w:rsidRDefault="00DF3959" w:rsidP="00181441">
            <w:pPr>
              <w:pStyle w:val="TableText"/>
              <w:jc w:val="right"/>
            </w:pPr>
            <w:r w:rsidRPr="00DF3959">
              <w:rPr>
                <w:b/>
                <w:bCs/>
                <w:i/>
                <w:iCs/>
              </w:rPr>
              <w:t>55.9%</w:t>
            </w:r>
            <w:r w:rsidRPr="00DF3959">
              <w:t> </w:t>
            </w:r>
          </w:p>
        </w:tc>
        <w:tc>
          <w:tcPr>
            <w:tcW w:w="1170" w:type="dxa"/>
            <w:vAlign w:val="center"/>
            <w:hideMark/>
          </w:tcPr>
          <w:p w14:paraId="7E54130B" w14:textId="77777777" w:rsidR="00DF3959" w:rsidRPr="00DF3959" w:rsidRDefault="00DF3959" w:rsidP="00181441">
            <w:pPr>
              <w:pStyle w:val="TableText"/>
              <w:jc w:val="right"/>
            </w:pPr>
            <w:r w:rsidRPr="00DF3959">
              <w:rPr>
                <w:b/>
                <w:bCs/>
                <w:i/>
                <w:iCs/>
              </w:rPr>
              <w:t> N/A</w:t>
            </w:r>
            <w:r w:rsidRPr="00DF3959">
              <w:t> </w:t>
            </w:r>
          </w:p>
        </w:tc>
      </w:tr>
    </w:tbl>
    <w:p w14:paraId="455166D8" w14:textId="77777777" w:rsidR="00DF3959" w:rsidRPr="00DF3959" w:rsidRDefault="00DF3959" w:rsidP="00DF3959">
      <w:pPr>
        <w:pStyle w:val="BodyText"/>
      </w:pPr>
      <w:r w:rsidRPr="00DF3959">
        <w:rPr>
          <w:u w:val="single"/>
        </w:rPr>
        <w:t>Median Earnings </w:t>
      </w:r>
      <w:r w:rsidRPr="00DF3959">
        <w:t> </w:t>
      </w:r>
    </w:p>
    <w:p w14:paraId="5EE3390B" w14:textId="77777777" w:rsidR="00DF3959" w:rsidRPr="00DF3959" w:rsidRDefault="00DF3959" w:rsidP="00DF3959">
      <w:pPr>
        <w:pStyle w:val="BodyText"/>
      </w:pPr>
      <w:r w:rsidRPr="00DF3959">
        <w:t>Median quarterly earnings for those employed second quarter after exit is a WIOA accountability measure. Based on PY 2023 performance, Texas median quarterly wage ($7,118) exceeded the national average of $5,513 by nearly 29 percent, ranking first among five comparison states with Combined VR agencies. Note the performance period for this measure has a 12-month lag. </w:t>
      </w:r>
    </w:p>
    <w:tbl>
      <w:tblPr>
        <w:tblW w:w="5400" w:type="dxa"/>
        <w:tblInd w:w="345" w:type="dxa"/>
        <w:tblBorders>
          <w:top w:val="outset" w:sz="6" w:space="0" w:color="auto"/>
          <w:left w:val="outset" w:sz="6" w:space="0" w:color="auto"/>
          <w:bottom w:val="outset" w:sz="6" w:space="0" w:color="auto"/>
          <w:right w:val="outset" w:sz="6" w:space="0" w:color="auto"/>
        </w:tblBorders>
        <w:tblCellMar>
          <w:top w:w="58" w:type="dxa"/>
          <w:left w:w="0" w:type="dxa"/>
          <w:bottom w:w="58" w:type="dxa"/>
          <w:right w:w="0" w:type="dxa"/>
        </w:tblCellMar>
        <w:tblLook w:val="04A0" w:firstRow="1" w:lastRow="0" w:firstColumn="1" w:lastColumn="0" w:noHBand="0" w:noVBand="1"/>
      </w:tblPr>
      <w:tblGrid>
        <w:gridCol w:w="1665"/>
        <w:gridCol w:w="1305"/>
        <w:gridCol w:w="1350"/>
        <w:gridCol w:w="1080"/>
      </w:tblGrid>
      <w:tr w:rsidR="00DF3959" w:rsidRPr="00181441" w14:paraId="7AD73A9E" w14:textId="77777777" w:rsidTr="00181441">
        <w:trPr>
          <w:trHeight w:val="855"/>
        </w:trPr>
        <w:tc>
          <w:tcPr>
            <w:tcW w:w="1665" w:type="dxa"/>
            <w:tcBorders>
              <w:top w:val="single" w:sz="6" w:space="0" w:color="auto"/>
              <w:left w:val="single" w:sz="6" w:space="0" w:color="auto"/>
              <w:bottom w:val="single" w:sz="6" w:space="0" w:color="auto"/>
              <w:right w:val="single" w:sz="6" w:space="0" w:color="auto"/>
            </w:tcBorders>
            <w:shd w:val="clear" w:color="auto" w:fill="D3E1ED"/>
            <w:vAlign w:val="center"/>
            <w:hideMark/>
          </w:tcPr>
          <w:p w14:paraId="6270DD41" w14:textId="0CF8B884" w:rsidR="00DF3959" w:rsidRPr="00181441" w:rsidRDefault="00DF3959" w:rsidP="00181441">
            <w:pPr>
              <w:pStyle w:val="TableHeaders"/>
              <w:rPr>
                <w:b w:val="0"/>
                <w:bCs/>
              </w:rPr>
            </w:pPr>
            <w:r w:rsidRPr="00181441">
              <w:rPr>
                <w:b w:val="0"/>
                <w:bCs/>
              </w:rPr>
              <w:t>State</w:t>
            </w:r>
          </w:p>
        </w:tc>
        <w:tc>
          <w:tcPr>
            <w:tcW w:w="1305" w:type="dxa"/>
            <w:tcBorders>
              <w:top w:val="single" w:sz="6" w:space="0" w:color="auto"/>
              <w:left w:val="nil"/>
              <w:bottom w:val="single" w:sz="6" w:space="0" w:color="auto"/>
              <w:right w:val="single" w:sz="6" w:space="0" w:color="auto"/>
            </w:tcBorders>
            <w:shd w:val="clear" w:color="auto" w:fill="D3E1ED"/>
            <w:vAlign w:val="center"/>
            <w:hideMark/>
          </w:tcPr>
          <w:p w14:paraId="1EE4DF41" w14:textId="3CCB53CE" w:rsidR="00DF3959" w:rsidRPr="00181441" w:rsidRDefault="00DF3959" w:rsidP="00181441">
            <w:pPr>
              <w:pStyle w:val="TableHeaders"/>
              <w:rPr>
                <w:b w:val="0"/>
                <w:bCs/>
              </w:rPr>
            </w:pPr>
            <w:r w:rsidRPr="00181441">
              <w:rPr>
                <w:b w:val="0"/>
                <w:bCs/>
              </w:rPr>
              <w:t>Number Employed 2Q Cohort (num)</w:t>
            </w:r>
          </w:p>
        </w:tc>
        <w:tc>
          <w:tcPr>
            <w:tcW w:w="1350" w:type="dxa"/>
            <w:tcBorders>
              <w:top w:val="single" w:sz="6" w:space="0" w:color="auto"/>
              <w:left w:val="nil"/>
              <w:bottom w:val="single" w:sz="6" w:space="0" w:color="auto"/>
              <w:right w:val="single" w:sz="6" w:space="0" w:color="auto"/>
            </w:tcBorders>
            <w:shd w:val="clear" w:color="auto" w:fill="D3E1ED"/>
            <w:vAlign w:val="center"/>
            <w:hideMark/>
          </w:tcPr>
          <w:p w14:paraId="4D5595E2" w14:textId="5F5AD3FC" w:rsidR="00DF3959" w:rsidRPr="00181441" w:rsidRDefault="00DF3959" w:rsidP="00181441">
            <w:pPr>
              <w:pStyle w:val="TableHeaders"/>
              <w:rPr>
                <w:b w:val="0"/>
                <w:bCs/>
              </w:rPr>
            </w:pPr>
            <w:r w:rsidRPr="00181441">
              <w:rPr>
                <w:b w:val="0"/>
                <w:bCs/>
              </w:rPr>
              <w:t>Median Earnings, 2Q after exit (Actual)</w:t>
            </w:r>
          </w:p>
        </w:tc>
        <w:tc>
          <w:tcPr>
            <w:tcW w:w="1080" w:type="dxa"/>
            <w:tcBorders>
              <w:top w:val="single" w:sz="6" w:space="0" w:color="auto"/>
              <w:left w:val="nil"/>
              <w:bottom w:val="single" w:sz="6" w:space="0" w:color="auto"/>
              <w:right w:val="single" w:sz="6" w:space="0" w:color="auto"/>
            </w:tcBorders>
            <w:shd w:val="clear" w:color="auto" w:fill="D3E1ED"/>
            <w:vAlign w:val="center"/>
            <w:hideMark/>
          </w:tcPr>
          <w:p w14:paraId="6763CDB3" w14:textId="3A8355B2" w:rsidR="00DF3959" w:rsidRPr="00181441" w:rsidRDefault="00DF3959" w:rsidP="00181441">
            <w:pPr>
              <w:pStyle w:val="TableHeaders"/>
              <w:rPr>
                <w:b w:val="0"/>
                <w:bCs/>
              </w:rPr>
            </w:pPr>
            <w:r w:rsidRPr="00181441">
              <w:rPr>
                <w:b w:val="0"/>
                <w:bCs/>
              </w:rPr>
              <w:t>Ranking</w:t>
            </w:r>
          </w:p>
        </w:tc>
      </w:tr>
      <w:tr w:rsidR="00DF3959" w:rsidRPr="00DF3959" w14:paraId="0B2FC0D2" w14:textId="77777777" w:rsidTr="00181441">
        <w:trPr>
          <w:trHeight w:val="28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2DF0C380" w14:textId="77777777" w:rsidR="00DF3959" w:rsidRPr="00DF3959" w:rsidRDefault="00DF3959" w:rsidP="00181441">
            <w:pPr>
              <w:pStyle w:val="TableText"/>
            </w:pPr>
            <w:r w:rsidRPr="00DF3959">
              <w:t>Texas </w:t>
            </w:r>
          </w:p>
        </w:tc>
        <w:tc>
          <w:tcPr>
            <w:tcW w:w="1305" w:type="dxa"/>
            <w:tcBorders>
              <w:top w:val="nil"/>
              <w:left w:val="nil"/>
              <w:bottom w:val="single" w:sz="6" w:space="0" w:color="auto"/>
              <w:right w:val="single" w:sz="6" w:space="0" w:color="auto"/>
            </w:tcBorders>
            <w:shd w:val="clear" w:color="auto" w:fill="auto"/>
            <w:vAlign w:val="center"/>
            <w:hideMark/>
          </w:tcPr>
          <w:p w14:paraId="0888C1F9" w14:textId="77777777" w:rsidR="00DF3959" w:rsidRPr="00DF3959" w:rsidRDefault="00DF3959" w:rsidP="00181441">
            <w:pPr>
              <w:pStyle w:val="TableText"/>
              <w:jc w:val="right"/>
            </w:pPr>
            <w:r w:rsidRPr="00DF3959">
              <w:t>11,916  </w:t>
            </w:r>
          </w:p>
        </w:tc>
        <w:tc>
          <w:tcPr>
            <w:tcW w:w="1350" w:type="dxa"/>
            <w:tcBorders>
              <w:top w:val="nil"/>
              <w:left w:val="nil"/>
              <w:bottom w:val="single" w:sz="6" w:space="0" w:color="auto"/>
              <w:right w:val="single" w:sz="6" w:space="0" w:color="auto"/>
            </w:tcBorders>
            <w:shd w:val="clear" w:color="auto" w:fill="auto"/>
            <w:vAlign w:val="center"/>
            <w:hideMark/>
          </w:tcPr>
          <w:p w14:paraId="018610FA" w14:textId="77777777" w:rsidR="00DF3959" w:rsidRPr="00DF3959" w:rsidRDefault="00DF3959" w:rsidP="00181441">
            <w:pPr>
              <w:pStyle w:val="TableText"/>
              <w:jc w:val="right"/>
            </w:pPr>
            <w:r w:rsidRPr="00DF3959">
              <w:t>$7,118  </w:t>
            </w:r>
          </w:p>
        </w:tc>
        <w:tc>
          <w:tcPr>
            <w:tcW w:w="1080" w:type="dxa"/>
            <w:tcBorders>
              <w:top w:val="nil"/>
              <w:left w:val="nil"/>
              <w:bottom w:val="single" w:sz="6" w:space="0" w:color="auto"/>
              <w:right w:val="single" w:sz="6" w:space="0" w:color="auto"/>
            </w:tcBorders>
            <w:shd w:val="clear" w:color="auto" w:fill="auto"/>
            <w:vAlign w:val="center"/>
            <w:hideMark/>
          </w:tcPr>
          <w:p w14:paraId="0F45FE0C" w14:textId="77777777" w:rsidR="00DF3959" w:rsidRPr="00DF3959" w:rsidRDefault="00DF3959" w:rsidP="00181441">
            <w:pPr>
              <w:pStyle w:val="TableText"/>
              <w:jc w:val="right"/>
            </w:pPr>
            <w:r w:rsidRPr="00DF3959">
              <w:t>1 </w:t>
            </w:r>
          </w:p>
        </w:tc>
      </w:tr>
      <w:tr w:rsidR="00DF3959" w:rsidRPr="00DF3959" w14:paraId="6ADDAF95" w14:textId="77777777" w:rsidTr="00181441">
        <w:trPr>
          <w:trHeight w:val="28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4204E895" w14:textId="77777777" w:rsidR="00DF3959" w:rsidRPr="00DF3959" w:rsidRDefault="00DF3959" w:rsidP="00181441">
            <w:pPr>
              <w:pStyle w:val="TableText"/>
            </w:pPr>
            <w:r w:rsidRPr="00DF3959">
              <w:t>California </w:t>
            </w:r>
          </w:p>
        </w:tc>
        <w:tc>
          <w:tcPr>
            <w:tcW w:w="1305" w:type="dxa"/>
            <w:tcBorders>
              <w:top w:val="nil"/>
              <w:left w:val="nil"/>
              <w:bottom w:val="single" w:sz="6" w:space="0" w:color="auto"/>
              <w:right w:val="single" w:sz="6" w:space="0" w:color="auto"/>
            </w:tcBorders>
            <w:shd w:val="clear" w:color="auto" w:fill="auto"/>
            <w:vAlign w:val="center"/>
            <w:hideMark/>
          </w:tcPr>
          <w:p w14:paraId="515B655F" w14:textId="77777777" w:rsidR="00DF3959" w:rsidRPr="00DF3959" w:rsidRDefault="00DF3959" w:rsidP="00181441">
            <w:pPr>
              <w:pStyle w:val="TableText"/>
              <w:jc w:val="right"/>
            </w:pPr>
            <w:r w:rsidRPr="00DF3959">
              <w:t>9,807  </w:t>
            </w:r>
          </w:p>
        </w:tc>
        <w:tc>
          <w:tcPr>
            <w:tcW w:w="1350" w:type="dxa"/>
            <w:tcBorders>
              <w:top w:val="nil"/>
              <w:left w:val="nil"/>
              <w:bottom w:val="single" w:sz="6" w:space="0" w:color="auto"/>
              <w:right w:val="single" w:sz="6" w:space="0" w:color="auto"/>
            </w:tcBorders>
            <w:shd w:val="clear" w:color="auto" w:fill="auto"/>
            <w:vAlign w:val="center"/>
            <w:hideMark/>
          </w:tcPr>
          <w:p w14:paraId="3A4CC960" w14:textId="77777777" w:rsidR="00DF3959" w:rsidRPr="00DF3959" w:rsidRDefault="00DF3959" w:rsidP="00181441">
            <w:pPr>
              <w:pStyle w:val="TableText"/>
              <w:jc w:val="right"/>
            </w:pPr>
            <w:r w:rsidRPr="00DF3959">
              <w:t>$7,058  </w:t>
            </w:r>
          </w:p>
        </w:tc>
        <w:tc>
          <w:tcPr>
            <w:tcW w:w="1080" w:type="dxa"/>
            <w:tcBorders>
              <w:top w:val="nil"/>
              <w:left w:val="nil"/>
              <w:bottom w:val="single" w:sz="6" w:space="0" w:color="auto"/>
              <w:right w:val="single" w:sz="6" w:space="0" w:color="auto"/>
            </w:tcBorders>
            <w:shd w:val="clear" w:color="auto" w:fill="auto"/>
            <w:vAlign w:val="center"/>
            <w:hideMark/>
          </w:tcPr>
          <w:p w14:paraId="2ED635E0" w14:textId="77777777" w:rsidR="00DF3959" w:rsidRPr="00DF3959" w:rsidRDefault="00DF3959" w:rsidP="00181441">
            <w:pPr>
              <w:pStyle w:val="TableText"/>
              <w:jc w:val="right"/>
            </w:pPr>
            <w:r w:rsidRPr="00DF3959">
              <w:t>2 </w:t>
            </w:r>
          </w:p>
        </w:tc>
      </w:tr>
      <w:tr w:rsidR="00DF3959" w:rsidRPr="00DF3959" w14:paraId="58B4DAEA" w14:textId="77777777" w:rsidTr="00181441">
        <w:trPr>
          <w:trHeight w:val="28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55A5E5D5" w14:textId="77777777" w:rsidR="00DF3959" w:rsidRPr="00DF3959" w:rsidRDefault="00DF3959" w:rsidP="00181441">
            <w:pPr>
              <w:pStyle w:val="TableText"/>
            </w:pPr>
            <w:r w:rsidRPr="00DF3959">
              <w:t>Pennsylvania </w:t>
            </w:r>
          </w:p>
        </w:tc>
        <w:tc>
          <w:tcPr>
            <w:tcW w:w="1305" w:type="dxa"/>
            <w:tcBorders>
              <w:top w:val="nil"/>
              <w:left w:val="nil"/>
              <w:bottom w:val="single" w:sz="6" w:space="0" w:color="auto"/>
              <w:right w:val="single" w:sz="6" w:space="0" w:color="auto"/>
            </w:tcBorders>
            <w:shd w:val="clear" w:color="auto" w:fill="auto"/>
            <w:vAlign w:val="center"/>
            <w:hideMark/>
          </w:tcPr>
          <w:p w14:paraId="586EFC36" w14:textId="77777777" w:rsidR="00DF3959" w:rsidRPr="00DF3959" w:rsidRDefault="00DF3959" w:rsidP="00181441">
            <w:pPr>
              <w:pStyle w:val="TableText"/>
              <w:jc w:val="right"/>
            </w:pPr>
            <w:r w:rsidRPr="00DF3959">
              <w:t>6,645  </w:t>
            </w:r>
          </w:p>
        </w:tc>
        <w:tc>
          <w:tcPr>
            <w:tcW w:w="1350" w:type="dxa"/>
            <w:tcBorders>
              <w:top w:val="nil"/>
              <w:left w:val="nil"/>
              <w:bottom w:val="single" w:sz="6" w:space="0" w:color="auto"/>
              <w:right w:val="single" w:sz="6" w:space="0" w:color="auto"/>
            </w:tcBorders>
            <w:shd w:val="clear" w:color="auto" w:fill="auto"/>
            <w:vAlign w:val="center"/>
            <w:hideMark/>
          </w:tcPr>
          <w:p w14:paraId="34CE89AC" w14:textId="77777777" w:rsidR="00DF3959" w:rsidRPr="00DF3959" w:rsidRDefault="00DF3959" w:rsidP="00181441">
            <w:pPr>
              <w:pStyle w:val="TableText"/>
              <w:jc w:val="right"/>
            </w:pPr>
            <w:r w:rsidRPr="00DF3959">
              <w:t>$6,060  </w:t>
            </w:r>
          </w:p>
        </w:tc>
        <w:tc>
          <w:tcPr>
            <w:tcW w:w="1080" w:type="dxa"/>
            <w:tcBorders>
              <w:top w:val="nil"/>
              <w:left w:val="nil"/>
              <w:bottom w:val="single" w:sz="6" w:space="0" w:color="auto"/>
              <w:right w:val="single" w:sz="6" w:space="0" w:color="auto"/>
            </w:tcBorders>
            <w:shd w:val="clear" w:color="auto" w:fill="auto"/>
            <w:vAlign w:val="center"/>
            <w:hideMark/>
          </w:tcPr>
          <w:p w14:paraId="72844E18" w14:textId="77777777" w:rsidR="00DF3959" w:rsidRPr="00DF3959" w:rsidRDefault="00DF3959" w:rsidP="00181441">
            <w:pPr>
              <w:pStyle w:val="TableText"/>
              <w:jc w:val="right"/>
            </w:pPr>
            <w:r w:rsidRPr="00DF3959">
              <w:t>3 </w:t>
            </w:r>
          </w:p>
        </w:tc>
      </w:tr>
      <w:tr w:rsidR="00DF3959" w:rsidRPr="00DF3959" w14:paraId="2A158D6B" w14:textId="77777777" w:rsidTr="00181441">
        <w:trPr>
          <w:trHeight w:val="28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2D3F27F0" w14:textId="77777777" w:rsidR="00DF3959" w:rsidRPr="00DF3959" w:rsidRDefault="00DF3959" w:rsidP="00181441">
            <w:pPr>
              <w:pStyle w:val="TableText"/>
            </w:pPr>
            <w:r w:rsidRPr="00DF3959">
              <w:t>Ohio </w:t>
            </w:r>
          </w:p>
        </w:tc>
        <w:tc>
          <w:tcPr>
            <w:tcW w:w="1305" w:type="dxa"/>
            <w:tcBorders>
              <w:top w:val="nil"/>
              <w:left w:val="nil"/>
              <w:bottom w:val="single" w:sz="6" w:space="0" w:color="auto"/>
              <w:right w:val="single" w:sz="6" w:space="0" w:color="auto"/>
            </w:tcBorders>
            <w:shd w:val="clear" w:color="auto" w:fill="auto"/>
            <w:vAlign w:val="center"/>
            <w:hideMark/>
          </w:tcPr>
          <w:p w14:paraId="6AEBEF5D" w14:textId="77777777" w:rsidR="00DF3959" w:rsidRPr="00DF3959" w:rsidRDefault="00DF3959" w:rsidP="00181441">
            <w:pPr>
              <w:pStyle w:val="TableText"/>
              <w:jc w:val="right"/>
            </w:pPr>
            <w:r w:rsidRPr="00DF3959">
              <w:t>6,006  </w:t>
            </w:r>
          </w:p>
        </w:tc>
        <w:tc>
          <w:tcPr>
            <w:tcW w:w="1350" w:type="dxa"/>
            <w:tcBorders>
              <w:top w:val="nil"/>
              <w:left w:val="nil"/>
              <w:bottom w:val="single" w:sz="6" w:space="0" w:color="auto"/>
              <w:right w:val="single" w:sz="6" w:space="0" w:color="auto"/>
            </w:tcBorders>
            <w:shd w:val="clear" w:color="auto" w:fill="auto"/>
            <w:vAlign w:val="center"/>
            <w:hideMark/>
          </w:tcPr>
          <w:p w14:paraId="784AA011" w14:textId="77777777" w:rsidR="00DF3959" w:rsidRPr="00DF3959" w:rsidRDefault="00DF3959" w:rsidP="00181441">
            <w:pPr>
              <w:pStyle w:val="TableText"/>
              <w:jc w:val="right"/>
            </w:pPr>
            <w:r w:rsidRPr="00DF3959">
              <w:t>$3,664  </w:t>
            </w:r>
          </w:p>
        </w:tc>
        <w:tc>
          <w:tcPr>
            <w:tcW w:w="1080" w:type="dxa"/>
            <w:tcBorders>
              <w:top w:val="nil"/>
              <w:left w:val="nil"/>
              <w:bottom w:val="single" w:sz="6" w:space="0" w:color="auto"/>
              <w:right w:val="single" w:sz="6" w:space="0" w:color="auto"/>
            </w:tcBorders>
            <w:shd w:val="clear" w:color="auto" w:fill="auto"/>
            <w:vAlign w:val="center"/>
            <w:hideMark/>
          </w:tcPr>
          <w:p w14:paraId="61EBB1EC" w14:textId="77777777" w:rsidR="00DF3959" w:rsidRPr="00DF3959" w:rsidRDefault="00DF3959" w:rsidP="00181441">
            <w:pPr>
              <w:pStyle w:val="TableText"/>
              <w:jc w:val="right"/>
            </w:pPr>
            <w:r w:rsidRPr="00DF3959">
              <w:t>4 </w:t>
            </w:r>
          </w:p>
        </w:tc>
      </w:tr>
      <w:tr w:rsidR="00DF3959" w:rsidRPr="00DF3959" w14:paraId="6EB07C0D" w14:textId="77777777" w:rsidTr="00181441">
        <w:trPr>
          <w:trHeight w:val="28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17DEFDD1" w14:textId="77777777" w:rsidR="00DF3959" w:rsidRPr="00DF3959" w:rsidRDefault="00DF3959" w:rsidP="00181441">
            <w:pPr>
              <w:pStyle w:val="TableText"/>
            </w:pPr>
            <w:r w:rsidRPr="00DF3959">
              <w:t>Tennessee </w:t>
            </w:r>
          </w:p>
        </w:tc>
        <w:tc>
          <w:tcPr>
            <w:tcW w:w="1305" w:type="dxa"/>
            <w:tcBorders>
              <w:top w:val="nil"/>
              <w:left w:val="nil"/>
              <w:bottom w:val="single" w:sz="6" w:space="0" w:color="auto"/>
              <w:right w:val="single" w:sz="6" w:space="0" w:color="auto"/>
            </w:tcBorders>
            <w:shd w:val="clear" w:color="auto" w:fill="auto"/>
            <w:vAlign w:val="center"/>
            <w:hideMark/>
          </w:tcPr>
          <w:p w14:paraId="60BBFA63" w14:textId="77777777" w:rsidR="00DF3959" w:rsidRPr="00DF3959" w:rsidRDefault="00DF3959" w:rsidP="00181441">
            <w:pPr>
              <w:pStyle w:val="TableText"/>
              <w:jc w:val="right"/>
            </w:pPr>
            <w:r w:rsidRPr="00DF3959">
              <w:t>1,204  </w:t>
            </w:r>
          </w:p>
        </w:tc>
        <w:tc>
          <w:tcPr>
            <w:tcW w:w="1350" w:type="dxa"/>
            <w:tcBorders>
              <w:top w:val="nil"/>
              <w:left w:val="nil"/>
              <w:bottom w:val="single" w:sz="6" w:space="0" w:color="auto"/>
              <w:right w:val="single" w:sz="6" w:space="0" w:color="auto"/>
            </w:tcBorders>
            <w:shd w:val="clear" w:color="auto" w:fill="auto"/>
            <w:vAlign w:val="center"/>
            <w:hideMark/>
          </w:tcPr>
          <w:p w14:paraId="2681A266" w14:textId="77777777" w:rsidR="00DF3959" w:rsidRPr="00DF3959" w:rsidRDefault="00DF3959" w:rsidP="00181441">
            <w:pPr>
              <w:pStyle w:val="TableText"/>
              <w:jc w:val="right"/>
            </w:pPr>
            <w:r w:rsidRPr="00DF3959">
              <w:t>$4,333  </w:t>
            </w:r>
          </w:p>
        </w:tc>
        <w:tc>
          <w:tcPr>
            <w:tcW w:w="1080" w:type="dxa"/>
            <w:tcBorders>
              <w:top w:val="nil"/>
              <w:left w:val="nil"/>
              <w:bottom w:val="single" w:sz="6" w:space="0" w:color="auto"/>
              <w:right w:val="single" w:sz="6" w:space="0" w:color="auto"/>
            </w:tcBorders>
            <w:shd w:val="clear" w:color="auto" w:fill="auto"/>
            <w:vAlign w:val="center"/>
            <w:hideMark/>
          </w:tcPr>
          <w:p w14:paraId="563FF540" w14:textId="77777777" w:rsidR="00DF3959" w:rsidRPr="00DF3959" w:rsidRDefault="00DF3959" w:rsidP="00181441">
            <w:pPr>
              <w:pStyle w:val="TableText"/>
              <w:jc w:val="right"/>
            </w:pPr>
            <w:r w:rsidRPr="00DF3959">
              <w:t>5 </w:t>
            </w:r>
          </w:p>
        </w:tc>
      </w:tr>
      <w:tr w:rsidR="00DF3959" w:rsidRPr="00DF3959" w14:paraId="6D8D8B0E" w14:textId="77777777" w:rsidTr="00181441">
        <w:trPr>
          <w:trHeight w:val="285"/>
        </w:trPr>
        <w:tc>
          <w:tcPr>
            <w:tcW w:w="1665" w:type="dxa"/>
            <w:tcBorders>
              <w:top w:val="nil"/>
              <w:left w:val="single" w:sz="6" w:space="0" w:color="auto"/>
              <w:bottom w:val="single" w:sz="6" w:space="0" w:color="auto"/>
              <w:right w:val="single" w:sz="6" w:space="0" w:color="auto"/>
            </w:tcBorders>
            <w:shd w:val="clear" w:color="auto" w:fill="auto"/>
            <w:vAlign w:val="center"/>
            <w:hideMark/>
          </w:tcPr>
          <w:p w14:paraId="0393FCD5" w14:textId="77777777" w:rsidR="00DF3959" w:rsidRPr="00DF3959" w:rsidRDefault="00DF3959" w:rsidP="00181441">
            <w:pPr>
              <w:pStyle w:val="TableText"/>
            </w:pPr>
            <w:r w:rsidRPr="00DF3959">
              <w:rPr>
                <w:i/>
                <w:iCs/>
              </w:rPr>
              <w:t>National</w:t>
            </w:r>
            <w:r w:rsidRPr="00DF3959">
              <w:t> </w:t>
            </w:r>
          </w:p>
        </w:tc>
        <w:tc>
          <w:tcPr>
            <w:tcW w:w="1305" w:type="dxa"/>
            <w:tcBorders>
              <w:top w:val="nil"/>
              <w:left w:val="nil"/>
              <w:bottom w:val="single" w:sz="6" w:space="0" w:color="auto"/>
              <w:right w:val="single" w:sz="6" w:space="0" w:color="auto"/>
            </w:tcBorders>
            <w:shd w:val="clear" w:color="auto" w:fill="auto"/>
            <w:vAlign w:val="center"/>
            <w:hideMark/>
          </w:tcPr>
          <w:p w14:paraId="5F571F77" w14:textId="77777777" w:rsidR="00DF3959" w:rsidRPr="00DF3959" w:rsidRDefault="00DF3959" w:rsidP="00181441">
            <w:pPr>
              <w:pStyle w:val="TableText"/>
              <w:jc w:val="right"/>
            </w:pPr>
            <w:r w:rsidRPr="00DF3959">
              <w:rPr>
                <w:i/>
                <w:iCs/>
              </w:rPr>
              <w:t>137,073</w:t>
            </w:r>
            <w:r w:rsidRPr="00DF3959">
              <w:t> </w:t>
            </w:r>
          </w:p>
        </w:tc>
        <w:tc>
          <w:tcPr>
            <w:tcW w:w="1350" w:type="dxa"/>
            <w:tcBorders>
              <w:top w:val="nil"/>
              <w:left w:val="nil"/>
              <w:bottom w:val="single" w:sz="6" w:space="0" w:color="auto"/>
              <w:right w:val="single" w:sz="6" w:space="0" w:color="auto"/>
            </w:tcBorders>
            <w:shd w:val="clear" w:color="auto" w:fill="auto"/>
            <w:vAlign w:val="center"/>
            <w:hideMark/>
          </w:tcPr>
          <w:p w14:paraId="2C5EF8E4" w14:textId="77777777" w:rsidR="00DF3959" w:rsidRPr="00DF3959" w:rsidRDefault="00DF3959" w:rsidP="00181441">
            <w:pPr>
              <w:pStyle w:val="TableText"/>
              <w:jc w:val="right"/>
            </w:pPr>
            <w:r w:rsidRPr="00DF3959">
              <w:rPr>
                <w:i/>
                <w:iCs/>
              </w:rPr>
              <w:t>$5,513 </w:t>
            </w:r>
            <w:r w:rsidRPr="00DF3959">
              <w:t> </w:t>
            </w:r>
          </w:p>
        </w:tc>
        <w:tc>
          <w:tcPr>
            <w:tcW w:w="1080" w:type="dxa"/>
            <w:tcBorders>
              <w:top w:val="nil"/>
              <w:left w:val="nil"/>
              <w:bottom w:val="single" w:sz="6" w:space="0" w:color="auto"/>
              <w:right w:val="single" w:sz="6" w:space="0" w:color="auto"/>
            </w:tcBorders>
            <w:shd w:val="clear" w:color="auto" w:fill="auto"/>
            <w:vAlign w:val="center"/>
            <w:hideMark/>
          </w:tcPr>
          <w:p w14:paraId="527F0271" w14:textId="77777777" w:rsidR="00DF3959" w:rsidRPr="00DF3959" w:rsidRDefault="00DF3959" w:rsidP="00181441">
            <w:pPr>
              <w:pStyle w:val="TableText"/>
              <w:jc w:val="right"/>
            </w:pPr>
            <w:r w:rsidRPr="00DF3959">
              <w:rPr>
                <w:i/>
                <w:iCs/>
              </w:rPr>
              <w:t>N/A </w:t>
            </w:r>
            <w:r w:rsidRPr="00DF3959">
              <w:t> </w:t>
            </w:r>
          </w:p>
        </w:tc>
      </w:tr>
    </w:tbl>
    <w:p w14:paraId="63A9BC0B" w14:textId="77777777" w:rsidR="00DF3959" w:rsidRPr="00DF3959" w:rsidRDefault="00DF3959" w:rsidP="00DF3959">
      <w:pPr>
        <w:pStyle w:val="BodyText"/>
      </w:pPr>
      <w:r w:rsidRPr="00DF3959">
        <w:rPr>
          <w:u w:val="single"/>
        </w:rPr>
        <w:t>Measurable Skills Gains </w:t>
      </w:r>
      <w:r w:rsidRPr="00DF3959">
        <w:t> </w:t>
      </w:r>
    </w:p>
    <w:p w14:paraId="019FF008" w14:textId="77777777" w:rsidR="00DF3959" w:rsidRPr="00DF3959" w:rsidRDefault="00DF3959" w:rsidP="00DF3959">
      <w:pPr>
        <w:pStyle w:val="BodyText"/>
      </w:pPr>
      <w:r w:rsidRPr="00DF3959">
        <w:t>The Measurable Skills Gains (MSG) Rate is an WIOA accountability measure. At 9,618 participants with measurable skills gains in PY 2023, Texas ranks first among the five comparison states. Regarding the MSG rate, Texas (53.2 percent) exceeds the national average of 52.1 percent and ranks third among these comparison states.  </w:t>
      </w:r>
    </w:p>
    <w:p w14:paraId="6FC803F2" w14:textId="77777777" w:rsidR="00DF3959" w:rsidRPr="00DF3959" w:rsidRDefault="00DF3959" w:rsidP="00DF3959">
      <w:pPr>
        <w:pStyle w:val="BodyText"/>
      </w:pPr>
      <w:r w:rsidRPr="00DF3959">
        <w:t>Skills gains include: </w:t>
      </w:r>
    </w:p>
    <w:p w14:paraId="674C5F16" w14:textId="77777777" w:rsidR="00DF3959" w:rsidRPr="00DF3959" w:rsidRDefault="00DF3959" w:rsidP="00C64851">
      <w:pPr>
        <w:pStyle w:val="BodyText"/>
        <w:numPr>
          <w:ilvl w:val="0"/>
          <w:numId w:val="661"/>
        </w:numPr>
      </w:pPr>
      <w:r w:rsidRPr="00DF3959">
        <w:t>Educational Functioning Level (EFL) gain  </w:t>
      </w:r>
    </w:p>
    <w:p w14:paraId="77E8C440" w14:textId="77777777" w:rsidR="00DF3959" w:rsidRPr="00DF3959" w:rsidRDefault="00DF3959" w:rsidP="00C64851">
      <w:pPr>
        <w:pStyle w:val="BodyText"/>
        <w:numPr>
          <w:ilvl w:val="0"/>
          <w:numId w:val="662"/>
        </w:numPr>
      </w:pPr>
      <w:r w:rsidRPr="00DF3959">
        <w:t>Attainment of secondary school diploma or equivalent  </w:t>
      </w:r>
    </w:p>
    <w:p w14:paraId="37BDD5B8" w14:textId="77777777" w:rsidR="00DF3959" w:rsidRPr="00DF3959" w:rsidRDefault="00DF3959" w:rsidP="00C64851">
      <w:pPr>
        <w:pStyle w:val="BodyText"/>
        <w:numPr>
          <w:ilvl w:val="0"/>
          <w:numId w:val="663"/>
        </w:numPr>
      </w:pPr>
      <w:r w:rsidRPr="00DF3959">
        <w:t>Report card or transcript showing satisfactory progress  </w:t>
      </w:r>
    </w:p>
    <w:p w14:paraId="08BCC119" w14:textId="77777777" w:rsidR="00DF3959" w:rsidRPr="00DF3959" w:rsidRDefault="00DF3959" w:rsidP="00C64851">
      <w:pPr>
        <w:pStyle w:val="BodyText"/>
        <w:numPr>
          <w:ilvl w:val="0"/>
          <w:numId w:val="664"/>
        </w:numPr>
      </w:pPr>
      <w:r w:rsidRPr="00DF3959">
        <w:t>Training milestone through a satisfactory or better progress report </w:t>
      </w:r>
    </w:p>
    <w:p w14:paraId="4C4899F9" w14:textId="77777777" w:rsidR="00DF3959" w:rsidRPr="00DF3959" w:rsidRDefault="00DF3959" w:rsidP="00C64851">
      <w:pPr>
        <w:pStyle w:val="BodyText"/>
        <w:numPr>
          <w:ilvl w:val="0"/>
          <w:numId w:val="665"/>
        </w:numPr>
      </w:pPr>
      <w:r w:rsidRPr="00DF3959">
        <w:t>Skills progression through successfully passing an exam </w:t>
      </w:r>
    </w:p>
    <w:tbl>
      <w:tblPr>
        <w:tblStyle w:val="TableGrid1"/>
        <w:tblW w:w="7080" w:type="dxa"/>
        <w:tblCellMar>
          <w:top w:w="58" w:type="dxa"/>
          <w:bottom w:w="58" w:type="dxa"/>
        </w:tblCellMar>
        <w:tblLook w:val="04A0" w:firstRow="1" w:lastRow="0" w:firstColumn="1" w:lastColumn="0" w:noHBand="0" w:noVBand="1"/>
      </w:tblPr>
      <w:tblGrid>
        <w:gridCol w:w="1575"/>
        <w:gridCol w:w="1545"/>
        <w:gridCol w:w="1395"/>
        <w:gridCol w:w="1395"/>
        <w:gridCol w:w="1170"/>
      </w:tblGrid>
      <w:tr w:rsidR="00B2607C" w:rsidRPr="00DF3959" w14:paraId="7033F972" w14:textId="77777777" w:rsidTr="00B2607C">
        <w:trPr>
          <w:trHeight w:val="855"/>
        </w:trPr>
        <w:tc>
          <w:tcPr>
            <w:tcW w:w="1575" w:type="dxa"/>
            <w:shd w:val="clear" w:color="auto" w:fill="B8CCE4" w:themeFill="accent1" w:themeFillTint="66"/>
            <w:vAlign w:val="center"/>
            <w:hideMark/>
          </w:tcPr>
          <w:p w14:paraId="13B655F5" w14:textId="193B7F56" w:rsidR="00DF3959" w:rsidRPr="00DF3959" w:rsidRDefault="00DF3959" w:rsidP="00B2607C">
            <w:pPr>
              <w:pStyle w:val="TableHeaders"/>
            </w:pPr>
            <w:r w:rsidRPr="00DF3959">
              <w:lastRenderedPageBreak/>
              <w:t>State</w:t>
            </w:r>
          </w:p>
        </w:tc>
        <w:tc>
          <w:tcPr>
            <w:tcW w:w="1545" w:type="dxa"/>
            <w:shd w:val="clear" w:color="auto" w:fill="B8CCE4" w:themeFill="accent1" w:themeFillTint="66"/>
            <w:vAlign w:val="center"/>
            <w:hideMark/>
          </w:tcPr>
          <w:p w14:paraId="550C4D94" w14:textId="1A90B753" w:rsidR="00DF3959" w:rsidRPr="00DF3959" w:rsidRDefault="00DF3959" w:rsidP="00B2607C">
            <w:pPr>
              <w:pStyle w:val="TableHeaders"/>
            </w:pPr>
            <w:r w:rsidRPr="00DF3959">
              <w:t>Participants with MSG</w:t>
            </w:r>
          </w:p>
        </w:tc>
        <w:tc>
          <w:tcPr>
            <w:tcW w:w="1395" w:type="dxa"/>
            <w:shd w:val="clear" w:color="auto" w:fill="B8CCE4" w:themeFill="accent1" w:themeFillTint="66"/>
            <w:vAlign w:val="center"/>
            <w:hideMark/>
          </w:tcPr>
          <w:p w14:paraId="5408FBBC" w14:textId="3CD59DA8" w:rsidR="00DF3959" w:rsidRPr="00DF3959" w:rsidRDefault="00DF3959" w:rsidP="00B2607C">
            <w:pPr>
              <w:pStyle w:val="TableHeaders"/>
            </w:pPr>
            <w:r w:rsidRPr="00DF3959">
              <w:t>Ranking</w:t>
            </w:r>
          </w:p>
        </w:tc>
        <w:tc>
          <w:tcPr>
            <w:tcW w:w="1395" w:type="dxa"/>
            <w:shd w:val="clear" w:color="auto" w:fill="B8CCE4" w:themeFill="accent1" w:themeFillTint="66"/>
            <w:vAlign w:val="center"/>
            <w:hideMark/>
          </w:tcPr>
          <w:p w14:paraId="77AE3462" w14:textId="6A0DF9D7" w:rsidR="00DF3959" w:rsidRPr="00DF3959" w:rsidRDefault="00DF3959" w:rsidP="00B2607C">
            <w:pPr>
              <w:pStyle w:val="TableHeaders"/>
            </w:pPr>
            <w:r w:rsidRPr="00DF3959">
              <w:t>MSG Rate</w:t>
            </w:r>
          </w:p>
        </w:tc>
        <w:tc>
          <w:tcPr>
            <w:tcW w:w="1170" w:type="dxa"/>
            <w:shd w:val="clear" w:color="auto" w:fill="B8CCE4" w:themeFill="accent1" w:themeFillTint="66"/>
            <w:vAlign w:val="center"/>
            <w:hideMark/>
          </w:tcPr>
          <w:p w14:paraId="711C92AD" w14:textId="353695B5" w:rsidR="00DF3959" w:rsidRPr="00DF3959" w:rsidRDefault="00DF3959" w:rsidP="00B2607C">
            <w:pPr>
              <w:pStyle w:val="TableHeaders"/>
            </w:pPr>
            <w:r w:rsidRPr="00DF3959">
              <w:t>Ranking</w:t>
            </w:r>
          </w:p>
        </w:tc>
      </w:tr>
      <w:tr w:rsidR="00DF3959" w:rsidRPr="00DF3959" w14:paraId="4100D7BC" w14:textId="77777777" w:rsidTr="00B2607C">
        <w:trPr>
          <w:trHeight w:val="465"/>
        </w:trPr>
        <w:tc>
          <w:tcPr>
            <w:tcW w:w="1575" w:type="dxa"/>
            <w:vAlign w:val="center"/>
            <w:hideMark/>
          </w:tcPr>
          <w:p w14:paraId="14F57B55" w14:textId="77777777" w:rsidR="00DF3959" w:rsidRPr="00DF3959" w:rsidRDefault="00DF3959" w:rsidP="00B2607C">
            <w:pPr>
              <w:pStyle w:val="TableText"/>
            </w:pPr>
            <w:r w:rsidRPr="00DF3959">
              <w:t>Texas </w:t>
            </w:r>
          </w:p>
        </w:tc>
        <w:tc>
          <w:tcPr>
            <w:tcW w:w="1545" w:type="dxa"/>
            <w:vAlign w:val="center"/>
            <w:hideMark/>
          </w:tcPr>
          <w:p w14:paraId="28893B88" w14:textId="77777777" w:rsidR="00DF3959" w:rsidRPr="00DF3959" w:rsidRDefault="00DF3959" w:rsidP="00B2607C">
            <w:pPr>
              <w:pStyle w:val="TableText"/>
              <w:jc w:val="right"/>
            </w:pPr>
            <w:r w:rsidRPr="00DF3959">
              <w:t>9,618 </w:t>
            </w:r>
          </w:p>
        </w:tc>
        <w:tc>
          <w:tcPr>
            <w:tcW w:w="1395" w:type="dxa"/>
            <w:vAlign w:val="center"/>
            <w:hideMark/>
          </w:tcPr>
          <w:p w14:paraId="33BD871B" w14:textId="77777777" w:rsidR="00DF3959" w:rsidRPr="00DF3959" w:rsidRDefault="00DF3959" w:rsidP="00B2607C">
            <w:pPr>
              <w:pStyle w:val="TableText"/>
              <w:jc w:val="right"/>
            </w:pPr>
            <w:r w:rsidRPr="00DF3959">
              <w:t>1 </w:t>
            </w:r>
          </w:p>
        </w:tc>
        <w:tc>
          <w:tcPr>
            <w:tcW w:w="1395" w:type="dxa"/>
            <w:vAlign w:val="center"/>
            <w:hideMark/>
          </w:tcPr>
          <w:p w14:paraId="08F4E137" w14:textId="77777777" w:rsidR="00DF3959" w:rsidRPr="00DF3959" w:rsidRDefault="00DF3959" w:rsidP="00B2607C">
            <w:pPr>
              <w:pStyle w:val="TableText"/>
              <w:jc w:val="right"/>
            </w:pPr>
            <w:r w:rsidRPr="00DF3959">
              <w:t>53.2% </w:t>
            </w:r>
          </w:p>
        </w:tc>
        <w:tc>
          <w:tcPr>
            <w:tcW w:w="1170" w:type="dxa"/>
            <w:vAlign w:val="center"/>
            <w:hideMark/>
          </w:tcPr>
          <w:p w14:paraId="3570BC9E" w14:textId="77777777" w:rsidR="00DF3959" w:rsidRPr="00DF3959" w:rsidRDefault="00DF3959" w:rsidP="00B2607C">
            <w:pPr>
              <w:pStyle w:val="TableText"/>
              <w:jc w:val="right"/>
            </w:pPr>
            <w:r w:rsidRPr="00DF3959">
              <w:t>3 </w:t>
            </w:r>
          </w:p>
        </w:tc>
      </w:tr>
      <w:tr w:rsidR="00DF3959" w:rsidRPr="00DF3959" w14:paraId="641A2257" w14:textId="77777777" w:rsidTr="00B2607C">
        <w:trPr>
          <w:trHeight w:val="330"/>
        </w:trPr>
        <w:tc>
          <w:tcPr>
            <w:tcW w:w="1575" w:type="dxa"/>
            <w:vAlign w:val="center"/>
            <w:hideMark/>
          </w:tcPr>
          <w:p w14:paraId="58611512" w14:textId="77777777" w:rsidR="00DF3959" w:rsidRPr="00DF3959" w:rsidRDefault="00DF3959" w:rsidP="00B2607C">
            <w:pPr>
              <w:pStyle w:val="TableText"/>
            </w:pPr>
            <w:r w:rsidRPr="00DF3959">
              <w:t>Ohio </w:t>
            </w:r>
          </w:p>
        </w:tc>
        <w:tc>
          <w:tcPr>
            <w:tcW w:w="1545" w:type="dxa"/>
            <w:vAlign w:val="center"/>
            <w:hideMark/>
          </w:tcPr>
          <w:p w14:paraId="1F724236" w14:textId="77777777" w:rsidR="00DF3959" w:rsidRPr="00DF3959" w:rsidRDefault="00DF3959" w:rsidP="00B2607C">
            <w:pPr>
              <w:pStyle w:val="TableText"/>
              <w:jc w:val="right"/>
            </w:pPr>
            <w:r w:rsidRPr="00DF3959">
              <w:t>8,863 </w:t>
            </w:r>
          </w:p>
        </w:tc>
        <w:tc>
          <w:tcPr>
            <w:tcW w:w="1395" w:type="dxa"/>
            <w:vAlign w:val="center"/>
            <w:hideMark/>
          </w:tcPr>
          <w:p w14:paraId="7D62CFF4" w14:textId="77777777" w:rsidR="00DF3959" w:rsidRPr="00DF3959" w:rsidRDefault="00DF3959" w:rsidP="00B2607C">
            <w:pPr>
              <w:pStyle w:val="TableText"/>
              <w:jc w:val="right"/>
            </w:pPr>
            <w:r w:rsidRPr="00DF3959">
              <w:t>2 </w:t>
            </w:r>
          </w:p>
        </w:tc>
        <w:tc>
          <w:tcPr>
            <w:tcW w:w="1395" w:type="dxa"/>
            <w:vAlign w:val="center"/>
            <w:hideMark/>
          </w:tcPr>
          <w:p w14:paraId="52D0C8A3" w14:textId="77777777" w:rsidR="00DF3959" w:rsidRPr="00DF3959" w:rsidRDefault="00DF3959" w:rsidP="00B2607C">
            <w:pPr>
              <w:pStyle w:val="TableText"/>
              <w:jc w:val="right"/>
            </w:pPr>
            <w:r w:rsidRPr="00DF3959">
              <w:t>73.8% </w:t>
            </w:r>
          </w:p>
        </w:tc>
        <w:tc>
          <w:tcPr>
            <w:tcW w:w="1170" w:type="dxa"/>
            <w:vAlign w:val="center"/>
            <w:hideMark/>
          </w:tcPr>
          <w:p w14:paraId="2EADFEF1" w14:textId="77777777" w:rsidR="00DF3959" w:rsidRPr="00DF3959" w:rsidRDefault="00DF3959" w:rsidP="00B2607C">
            <w:pPr>
              <w:pStyle w:val="TableText"/>
              <w:jc w:val="right"/>
            </w:pPr>
            <w:r w:rsidRPr="00DF3959">
              <w:t>1 </w:t>
            </w:r>
          </w:p>
        </w:tc>
      </w:tr>
      <w:tr w:rsidR="00DF3959" w:rsidRPr="00DF3959" w14:paraId="48FB0EFE" w14:textId="77777777" w:rsidTr="00B2607C">
        <w:trPr>
          <w:trHeight w:val="285"/>
        </w:trPr>
        <w:tc>
          <w:tcPr>
            <w:tcW w:w="1575" w:type="dxa"/>
            <w:vAlign w:val="center"/>
            <w:hideMark/>
          </w:tcPr>
          <w:p w14:paraId="59A445AF" w14:textId="77777777" w:rsidR="00DF3959" w:rsidRPr="00DF3959" w:rsidRDefault="00DF3959" w:rsidP="00B2607C">
            <w:pPr>
              <w:pStyle w:val="TableText"/>
            </w:pPr>
            <w:r w:rsidRPr="00DF3959">
              <w:t>Pennsylvania </w:t>
            </w:r>
          </w:p>
        </w:tc>
        <w:tc>
          <w:tcPr>
            <w:tcW w:w="1545" w:type="dxa"/>
            <w:vAlign w:val="center"/>
            <w:hideMark/>
          </w:tcPr>
          <w:p w14:paraId="0E1241DD" w14:textId="77777777" w:rsidR="00DF3959" w:rsidRPr="00DF3959" w:rsidRDefault="00DF3959" w:rsidP="00B2607C">
            <w:pPr>
              <w:pStyle w:val="TableText"/>
              <w:jc w:val="right"/>
            </w:pPr>
            <w:r w:rsidRPr="00DF3959">
              <w:t>7,774 </w:t>
            </w:r>
          </w:p>
        </w:tc>
        <w:tc>
          <w:tcPr>
            <w:tcW w:w="1395" w:type="dxa"/>
            <w:vAlign w:val="center"/>
            <w:hideMark/>
          </w:tcPr>
          <w:p w14:paraId="6D75755A" w14:textId="77777777" w:rsidR="00DF3959" w:rsidRPr="00DF3959" w:rsidRDefault="00DF3959" w:rsidP="00B2607C">
            <w:pPr>
              <w:pStyle w:val="TableText"/>
              <w:jc w:val="right"/>
            </w:pPr>
            <w:r w:rsidRPr="00DF3959">
              <w:t>3 </w:t>
            </w:r>
          </w:p>
        </w:tc>
        <w:tc>
          <w:tcPr>
            <w:tcW w:w="1395" w:type="dxa"/>
            <w:vAlign w:val="center"/>
            <w:hideMark/>
          </w:tcPr>
          <w:p w14:paraId="4E23F521" w14:textId="77777777" w:rsidR="00DF3959" w:rsidRPr="00DF3959" w:rsidRDefault="00DF3959" w:rsidP="00B2607C">
            <w:pPr>
              <w:pStyle w:val="TableText"/>
              <w:jc w:val="right"/>
            </w:pPr>
            <w:r w:rsidRPr="00DF3959">
              <w:t>44.2% </w:t>
            </w:r>
          </w:p>
        </w:tc>
        <w:tc>
          <w:tcPr>
            <w:tcW w:w="1170" w:type="dxa"/>
            <w:vAlign w:val="center"/>
            <w:hideMark/>
          </w:tcPr>
          <w:p w14:paraId="547FE182" w14:textId="77777777" w:rsidR="00DF3959" w:rsidRPr="00DF3959" w:rsidRDefault="00DF3959" w:rsidP="00B2607C">
            <w:pPr>
              <w:pStyle w:val="TableText"/>
              <w:jc w:val="right"/>
            </w:pPr>
            <w:r w:rsidRPr="00DF3959">
              <w:t>4 </w:t>
            </w:r>
          </w:p>
        </w:tc>
      </w:tr>
      <w:tr w:rsidR="00DF3959" w:rsidRPr="00DF3959" w14:paraId="0D1935F5" w14:textId="77777777" w:rsidTr="00B2607C">
        <w:trPr>
          <w:trHeight w:val="285"/>
        </w:trPr>
        <w:tc>
          <w:tcPr>
            <w:tcW w:w="1575" w:type="dxa"/>
            <w:vAlign w:val="center"/>
            <w:hideMark/>
          </w:tcPr>
          <w:p w14:paraId="627B0D26" w14:textId="77777777" w:rsidR="00DF3959" w:rsidRPr="00DF3959" w:rsidRDefault="00DF3959" w:rsidP="00B2607C">
            <w:pPr>
              <w:pStyle w:val="TableText"/>
            </w:pPr>
            <w:r w:rsidRPr="00DF3959">
              <w:t>California </w:t>
            </w:r>
          </w:p>
        </w:tc>
        <w:tc>
          <w:tcPr>
            <w:tcW w:w="1545" w:type="dxa"/>
            <w:vAlign w:val="center"/>
            <w:hideMark/>
          </w:tcPr>
          <w:p w14:paraId="25B453B5" w14:textId="77777777" w:rsidR="00DF3959" w:rsidRPr="00DF3959" w:rsidRDefault="00DF3959" w:rsidP="00B2607C">
            <w:pPr>
              <w:pStyle w:val="TableText"/>
              <w:jc w:val="right"/>
            </w:pPr>
            <w:r w:rsidRPr="00DF3959">
              <w:t>6,722 </w:t>
            </w:r>
          </w:p>
        </w:tc>
        <w:tc>
          <w:tcPr>
            <w:tcW w:w="1395" w:type="dxa"/>
            <w:vAlign w:val="center"/>
            <w:hideMark/>
          </w:tcPr>
          <w:p w14:paraId="11FC059F" w14:textId="77777777" w:rsidR="00DF3959" w:rsidRPr="00DF3959" w:rsidRDefault="00DF3959" w:rsidP="00B2607C">
            <w:pPr>
              <w:pStyle w:val="TableText"/>
              <w:jc w:val="right"/>
            </w:pPr>
            <w:r w:rsidRPr="00DF3959">
              <w:t>4 </w:t>
            </w:r>
          </w:p>
        </w:tc>
        <w:tc>
          <w:tcPr>
            <w:tcW w:w="1395" w:type="dxa"/>
            <w:vAlign w:val="center"/>
            <w:hideMark/>
          </w:tcPr>
          <w:p w14:paraId="0C706774" w14:textId="77777777" w:rsidR="00DF3959" w:rsidRPr="00DF3959" w:rsidRDefault="00DF3959" w:rsidP="00B2607C">
            <w:pPr>
              <w:pStyle w:val="TableText"/>
              <w:jc w:val="right"/>
            </w:pPr>
            <w:r w:rsidRPr="00DF3959">
              <w:t>31.8% </w:t>
            </w:r>
          </w:p>
          <w:p w14:paraId="4F3D7394" w14:textId="77777777" w:rsidR="00DF3959" w:rsidRPr="00DF3959" w:rsidRDefault="00DF3959" w:rsidP="00B2607C">
            <w:pPr>
              <w:pStyle w:val="TableText"/>
              <w:jc w:val="right"/>
            </w:pPr>
            <w:r w:rsidRPr="00DF3959">
              <w:t> </w:t>
            </w:r>
          </w:p>
        </w:tc>
        <w:tc>
          <w:tcPr>
            <w:tcW w:w="1170" w:type="dxa"/>
            <w:vAlign w:val="center"/>
            <w:hideMark/>
          </w:tcPr>
          <w:p w14:paraId="0387D594" w14:textId="77777777" w:rsidR="00DF3959" w:rsidRPr="00DF3959" w:rsidRDefault="00DF3959" w:rsidP="00B2607C">
            <w:pPr>
              <w:pStyle w:val="TableText"/>
              <w:jc w:val="right"/>
            </w:pPr>
            <w:r w:rsidRPr="00DF3959">
              <w:t>5 </w:t>
            </w:r>
          </w:p>
        </w:tc>
      </w:tr>
      <w:tr w:rsidR="00DF3959" w:rsidRPr="00DF3959" w14:paraId="7207C71E" w14:textId="77777777" w:rsidTr="00B2607C">
        <w:trPr>
          <w:trHeight w:val="45"/>
        </w:trPr>
        <w:tc>
          <w:tcPr>
            <w:tcW w:w="1575" w:type="dxa"/>
            <w:vAlign w:val="center"/>
            <w:hideMark/>
          </w:tcPr>
          <w:p w14:paraId="1B37AB68" w14:textId="77777777" w:rsidR="00DF3959" w:rsidRPr="00DF3959" w:rsidRDefault="00DF3959" w:rsidP="00B2607C">
            <w:pPr>
              <w:pStyle w:val="TableText"/>
            </w:pPr>
            <w:r w:rsidRPr="00DF3959">
              <w:t>Tennessee </w:t>
            </w:r>
          </w:p>
        </w:tc>
        <w:tc>
          <w:tcPr>
            <w:tcW w:w="1545" w:type="dxa"/>
            <w:vAlign w:val="center"/>
            <w:hideMark/>
          </w:tcPr>
          <w:p w14:paraId="41B77F7C" w14:textId="77777777" w:rsidR="00DF3959" w:rsidRPr="00DF3959" w:rsidRDefault="00DF3959" w:rsidP="00B2607C">
            <w:pPr>
              <w:pStyle w:val="TableText"/>
              <w:jc w:val="right"/>
            </w:pPr>
            <w:r w:rsidRPr="00DF3959">
              <w:t>1,397 </w:t>
            </w:r>
          </w:p>
        </w:tc>
        <w:tc>
          <w:tcPr>
            <w:tcW w:w="1395" w:type="dxa"/>
            <w:vAlign w:val="center"/>
            <w:hideMark/>
          </w:tcPr>
          <w:p w14:paraId="37A2958F" w14:textId="77777777" w:rsidR="00DF3959" w:rsidRPr="00DF3959" w:rsidRDefault="00DF3959" w:rsidP="00B2607C">
            <w:pPr>
              <w:pStyle w:val="TableText"/>
              <w:jc w:val="right"/>
            </w:pPr>
            <w:r w:rsidRPr="00DF3959">
              <w:t>5 </w:t>
            </w:r>
          </w:p>
        </w:tc>
        <w:tc>
          <w:tcPr>
            <w:tcW w:w="1395" w:type="dxa"/>
            <w:vAlign w:val="center"/>
            <w:hideMark/>
          </w:tcPr>
          <w:p w14:paraId="73505CCC" w14:textId="77777777" w:rsidR="00DF3959" w:rsidRPr="00DF3959" w:rsidRDefault="00DF3959" w:rsidP="00B2607C">
            <w:pPr>
              <w:pStyle w:val="TableText"/>
              <w:jc w:val="right"/>
            </w:pPr>
            <w:r w:rsidRPr="00DF3959">
              <w:t>66.5% </w:t>
            </w:r>
          </w:p>
        </w:tc>
        <w:tc>
          <w:tcPr>
            <w:tcW w:w="1170" w:type="dxa"/>
            <w:vAlign w:val="center"/>
            <w:hideMark/>
          </w:tcPr>
          <w:p w14:paraId="6D04F3BF" w14:textId="77777777" w:rsidR="00DF3959" w:rsidRPr="00DF3959" w:rsidRDefault="00DF3959" w:rsidP="00B2607C">
            <w:pPr>
              <w:pStyle w:val="TableText"/>
              <w:jc w:val="right"/>
            </w:pPr>
            <w:r w:rsidRPr="00DF3959">
              <w:t>2 </w:t>
            </w:r>
          </w:p>
        </w:tc>
      </w:tr>
      <w:tr w:rsidR="00DF3959" w:rsidRPr="00DF3959" w14:paraId="3B621665" w14:textId="77777777" w:rsidTr="00B2607C">
        <w:trPr>
          <w:trHeight w:val="45"/>
        </w:trPr>
        <w:tc>
          <w:tcPr>
            <w:tcW w:w="1575" w:type="dxa"/>
            <w:vAlign w:val="center"/>
            <w:hideMark/>
          </w:tcPr>
          <w:p w14:paraId="2F6EB6EC" w14:textId="77777777" w:rsidR="00DF3959" w:rsidRPr="00DF3959" w:rsidRDefault="00DF3959" w:rsidP="00B2607C">
            <w:pPr>
              <w:pStyle w:val="TableText"/>
            </w:pPr>
            <w:r w:rsidRPr="00DF3959">
              <w:rPr>
                <w:i/>
                <w:iCs/>
              </w:rPr>
              <w:t>National</w:t>
            </w:r>
            <w:r w:rsidRPr="00DF3959">
              <w:t> </w:t>
            </w:r>
          </w:p>
        </w:tc>
        <w:tc>
          <w:tcPr>
            <w:tcW w:w="1545" w:type="dxa"/>
            <w:vAlign w:val="center"/>
            <w:hideMark/>
          </w:tcPr>
          <w:p w14:paraId="456C3A4D" w14:textId="77777777" w:rsidR="00DF3959" w:rsidRPr="00DF3959" w:rsidRDefault="00DF3959" w:rsidP="00B2607C">
            <w:pPr>
              <w:pStyle w:val="TableText"/>
              <w:jc w:val="right"/>
            </w:pPr>
            <w:r w:rsidRPr="00DF3959">
              <w:rPr>
                <w:i/>
                <w:iCs/>
              </w:rPr>
              <w:t>120,121</w:t>
            </w:r>
            <w:r w:rsidRPr="00DF3959">
              <w:t> </w:t>
            </w:r>
          </w:p>
        </w:tc>
        <w:tc>
          <w:tcPr>
            <w:tcW w:w="1395" w:type="dxa"/>
            <w:vAlign w:val="center"/>
            <w:hideMark/>
          </w:tcPr>
          <w:p w14:paraId="64056926" w14:textId="77777777" w:rsidR="00DF3959" w:rsidRPr="00DF3959" w:rsidRDefault="00DF3959" w:rsidP="00B2607C">
            <w:pPr>
              <w:pStyle w:val="TableText"/>
              <w:jc w:val="right"/>
            </w:pPr>
            <w:r w:rsidRPr="00DF3959">
              <w:rPr>
                <w:i/>
                <w:iCs/>
              </w:rPr>
              <w:t>N/A</w:t>
            </w:r>
            <w:r w:rsidRPr="00DF3959">
              <w:t> </w:t>
            </w:r>
          </w:p>
        </w:tc>
        <w:tc>
          <w:tcPr>
            <w:tcW w:w="1395" w:type="dxa"/>
            <w:vAlign w:val="center"/>
            <w:hideMark/>
          </w:tcPr>
          <w:p w14:paraId="3E9FB417" w14:textId="77777777" w:rsidR="00DF3959" w:rsidRPr="00DF3959" w:rsidRDefault="00DF3959" w:rsidP="00B2607C">
            <w:pPr>
              <w:pStyle w:val="TableText"/>
              <w:jc w:val="right"/>
            </w:pPr>
            <w:r w:rsidRPr="00DF3959">
              <w:rPr>
                <w:i/>
                <w:iCs/>
              </w:rPr>
              <w:t>52.1%</w:t>
            </w:r>
            <w:r w:rsidRPr="00DF3959">
              <w:t> </w:t>
            </w:r>
          </w:p>
        </w:tc>
        <w:tc>
          <w:tcPr>
            <w:tcW w:w="1170" w:type="dxa"/>
            <w:vAlign w:val="center"/>
            <w:hideMark/>
          </w:tcPr>
          <w:p w14:paraId="0FCCB5AB" w14:textId="77777777" w:rsidR="00DF3959" w:rsidRPr="00DF3959" w:rsidRDefault="00DF3959" w:rsidP="00B2607C">
            <w:pPr>
              <w:pStyle w:val="TableText"/>
              <w:jc w:val="right"/>
            </w:pPr>
            <w:r w:rsidRPr="00DF3959">
              <w:rPr>
                <w:i/>
                <w:iCs/>
              </w:rPr>
              <w:t>N/A</w:t>
            </w:r>
            <w:r w:rsidRPr="00DF3959">
              <w:t> </w:t>
            </w:r>
          </w:p>
        </w:tc>
      </w:tr>
    </w:tbl>
    <w:p w14:paraId="3D020027" w14:textId="77777777" w:rsidR="00DF3959" w:rsidRPr="00DF3959" w:rsidRDefault="00DF3959" w:rsidP="00DF3959">
      <w:pPr>
        <w:pStyle w:val="BodyText"/>
      </w:pPr>
      <w:r w:rsidRPr="00DF3959">
        <w:t>The denominator is the number of participants in education and training during the Program Year (July 1 – June 30), and the numerator is the unique number of Participants in education and training who have a Measurable Skills Gain during the Program Year.  </w:t>
      </w:r>
    </w:p>
    <w:p w14:paraId="1471AF75" w14:textId="77777777" w:rsidR="00DF3959" w:rsidRPr="00DF3959" w:rsidRDefault="00DF3959" w:rsidP="00B2607C">
      <w:pPr>
        <w:pStyle w:val="BodyText3"/>
      </w:pPr>
      <w:r w:rsidRPr="00DF3959">
        <w:t>Fiscal Management  </w:t>
      </w:r>
    </w:p>
    <w:p w14:paraId="00DDA868" w14:textId="62342E98" w:rsidR="00DF3959" w:rsidRPr="00DF3959" w:rsidRDefault="00DF3959" w:rsidP="00DF3959">
      <w:pPr>
        <w:pStyle w:val="BodyText"/>
      </w:pPr>
      <w:r w:rsidRPr="00DF3959">
        <w:t>The VR program is experiencing an increase in demand for services, and a significant escalation in program costs. Beginning in State Fiscal Year (SFY) 2021 and peaking in FY 2024, this surge is primarily driven by an increase in client services, including significant increased participation of students with disabilities, growth in post-secondary education and training (PSET), and expanded work-based learning opportunities. The chart below illustrates the increase in client services costs, overall program expenses, program revenue, and participants between SFY 2021 and projected SFY 2025.</w:t>
      </w:r>
    </w:p>
    <w:p w14:paraId="01016743" w14:textId="560175A0" w:rsidR="00DF3959" w:rsidRPr="00DF3959" w:rsidRDefault="00DF3959" w:rsidP="00DF3959">
      <w:pPr>
        <w:pStyle w:val="BodyText"/>
      </w:pPr>
      <w:r w:rsidRPr="00DF3959">
        <w:rPr>
          <w:noProof/>
        </w:rPr>
        <w:lastRenderedPageBreak/>
        <w:drawing>
          <wp:inline distT="0" distB="0" distL="0" distR="0" wp14:anchorId="1EFE6CB5" wp14:editId="2FD184E1">
            <wp:extent cx="5943600" cy="3924300"/>
            <wp:effectExtent l="0" t="0" r="0" b="0"/>
            <wp:docPr id="1020493246" name="Picture 5" descr="Chart of Total VR Participants served vs total funds awarded and expended for 2021 to 2025 (proj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93246" name="Picture 5" descr="Chart of Total VR Participants served vs total funds awarded and expended for 2021 to 2025 (projec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2DE33302" w14:textId="54C0667B" w:rsidR="00DF3959" w:rsidRPr="00DF3959" w:rsidRDefault="00DF3959" w:rsidP="00DF3959">
      <w:pPr>
        <w:pStyle w:val="BodyText"/>
      </w:pPr>
      <w:r w:rsidRPr="00DF3959">
        <w:t>TWC is currently utilizing all available funding to meet the needs of existing and new clients. In the 89</w:t>
      </w:r>
      <w:r w:rsidRPr="00DF3959">
        <w:rPr>
          <w:vertAlign w:val="superscript"/>
        </w:rPr>
        <w:t>th</w:t>
      </w:r>
      <w:r w:rsidRPr="00DF3959">
        <w:t xml:space="preserve"> </w:t>
      </w:r>
      <w:r w:rsidR="00120243">
        <w:t>L</w:t>
      </w:r>
      <w:r w:rsidRPr="00DF3959">
        <w:t>egislative session, TWC requested, and received, supplemental funds for the remainder of current 2025 SFY, and additional funds for the SFY 26-27 biennium.  VR needed the additional state general revenue to match a portion of the federal VR allocation to draw-down all available federal funding.   Projections indicate continued increases in VR program participants are likely.  Evaluation of the program's financial sustainability and efficient resource allocation is critical and ongoing. The section below identifies other strategies and controls used to manage the financial impact of growing demand. </w:t>
      </w:r>
    </w:p>
    <w:p w14:paraId="30A9329B" w14:textId="77777777" w:rsidR="00DF3959" w:rsidRPr="00DF3959" w:rsidRDefault="00DF3959" w:rsidP="00DF3959">
      <w:pPr>
        <w:pStyle w:val="BodyText"/>
      </w:pPr>
      <w:r w:rsidRPr="00DF3959">
        <w:rPr>
          <w:u w:val="single"/>
        </w:rPr>
        <w:t>Alternative Funding: (Comparable Benefits)</w:t>
      </w:r>
      <w:r w:rsidRPr="00DF3959">
        <w:t> </w:t>
      </w:r>
    </w:p>
    <w:p w14:paraId="3B7FAF1D" w14:textId="77777777" w:rsidR="00DF3959" w:rsidRPr="00DF3959" w:rsidRDefault="00DF3959" w:rsidP="00DF3959">
      <w:pPr>
        <w:pStyle w:val="BodyText"/>
      </w:pPr>
      <w:r w:rsidRPr="00DF3959">
        <w:t>For many program services offered by the VR program, efforts are made to secure alternate funding from all potential resources before using VR funding. Alternate funding programs can include but are not limited to: </w:t>
      </w:r>
    </w:p>
    <w:p w14:paraId="2C6DC41A" w14:textId="77777777" w:rsidR="00DF3959" w:rsidRPr="00DF3959" w:rsidRDefault="00DF3959" w:rsidP="00C64851">
      <w:pPr>
        <w:pStyle w:val="BodyText"/>
        <w:numPr>
          <w:ilvl w:val="0"/>
          <w:numId w:val="666"/>
        </w:numPr>
      </w:pPr>
      <w:r w:rsidRPr="00DF3959">
        <w:t>Medicaid </w:t>
      </w:r>
    </w:p>
    <w:p w14:paraId="0A08E7C0" w14:textId="77777777" w:rsidR="00DF3959" w:rsidRPr="00DF3959" w:rsidRDefault="00DF3959" w:rsidP="00C64851">
      <w:pPr>
        <w:pStyle w:val="BodyText"/>
        <w:numPr>
          <w:ilvl w:val="0"/>
          <w:numId w:val="667"/>
        </w:numPr>
      </w:pPr>
      <w:r w:rsidRPr="00DF3959">
        <w:t>Medicare </w:t>
      </w:r>
    </w:p>
    <w:p w14:paraId="12AF5D1C" w14:textId="77777777" w:rsidR="00DF3959" w:rsidRPr="00DF3959" w:rsidRDefault="00DF3959" w:rsidP="00C64851">
      <w:pPr>
        <w:pStyle w:val="BodyText"/>
        <w:numPr>
          <w:ilvl w:val="0"/>
          <w:numId w:val="668"/>
        </w:numPr>
      </w:pPr>
      <w:r w:rsidRPr="00DF3959">
        <w:t>Private health insurance </w:t>
      </w:r>
    </w:p>
    <w:p w14:paraId="6C93C307" w14:textId="77777777" w:rsidR="00DF3959" w:rsidRPr="00DF3959" w:rsidRDefault="00DF3959" w:rsidP="00C64851">
      <w:pPr>
        <w:pStyle w:val="BodyText"/>
        <w:numPr>
          <w:ilvl w:val="0"/>
          <w:numId w:val="669"/>
        </w:numPr>
      </w:pPr>
      <w:r w:rsidRPr="00DF3959">
        <w:t>Workers’ compensation </w:t>
      </w:r>
    </w:p>
    <w:p w14:paraId="7BADC4CC" w14:textId="77777777" w:rsidR="00DF3959" w:rsidRPr="00DF3959" w:rsidRDefault="00DF3959" w:rsidP="00C64851">
      <w:pPr>
        <w:pStyle w:val="BodyText"/>
        <w:numPr>
          <w:ilvl w:val="0"/>
          <w:numId w:val="670"/>
        </w:numPr>
      </w:pPr>
      <w:r w:rsidRPr="00DF3959">
        <w:lastRenderedPageBreak/>
        <w:t>Veterans’ benefits </w:t>
      </w:r>
    </w:p>
    <w:p w14:paraId="5463BD9E" w14:textId="77777777" w:rsidR="00DF3959" w:rsidRPr="00DF3959" w:rsidRDefault="00DF3959" w:rsidP="00C64851">
      <w:pPr>
        <w:pStyle w:val="BodyText"/>
        <w:numPr>
          <w:ilvl w:val="0"/>
          <w:numId w:val="671"/>
        </w:numPr>
      </w:pPr>
      <w:r w:rsidRPr="00DF3959">
        <w:t>Educational grants </w:t>
      </w:r>
    </w:p>
    <w:p w14:paraId="116E4BD0" w14:textId="77777777" w:rsidR="00DF3959" w:rsidRPr="00DF3959" w:rsidRDefault="00DF3959" w:rsidP="00C64851">
      <w:pPr>
        <w:pStyle w:val="BodyText"/>
        <w:numPr>
          <w:ilvl w:val="0"/>
          <w:numId w:val="672"/>
        </w:numPr>
      </w:pPr>
      <w:r w:rsidRPr="00DF3959">
        <w:t>Scholarships </w:t>
      </w:r>
    </w:p>
    <w:p w14:paraId="4F5F363D" w14:textId="77777777" w:rsidR="00DF3959" w:rsidRPr="00DF3959" w:rsidRDefault="00DF3959" w:rsidP="00C64851">
      <w:pPr>
        <w:pStyle w:val="BodyText"/>
        <w:numPr>
          <w:ilvl w:val="0"/>
          <w:numId w:val="673"/>
        </w:numPr>
      </w:pPr>
      <w:r w:rsidRPr="00DF3959">
        <w:t>Arranged services (another agency pays for services), e.g., tutoring, diabetes education, indigent healthcare, and  </w:t>
      </w:r>
    </w:p>
    <w:p w14:paraId="12B0AD89" w14:textId="77777777" w:rsidR="00DF3959" w:rsidRPr="00DF3959" w:rsidRDefault="00DF3959" w:rsidP="00C64851">
      <w:pPr>
        <w:pStyle w:val="BodyText"/>
        <w:numPr>
          <w:ilvl w:val="0"/>
          <w:numId w:val="674"/>
        </w:numPr>
      </w:pPr>
      <w:r w:rsidRPr="00DF3959">
        <w:t>Any other available community, state, or federal benefit program </w:t>
      </w:r>
    </w:p>
    <w:p w14:paraId="1607D34B" w14:textId="77777777" w:rsidR="00DF3959" w:rsidRPr="00DF3959" w:rsidRDefault="00DF3959" w:rsidP="00DF3959">
      <w:pPr>
        <w:pStyle w:val="BodyText"/>
      </w:pPr>
      <w:r w:rsidRPr="00DF3959">
        <w:t>VR does not pursue alternate funding for assessments to determine eligibility, employment services, counseling and guidance, information and referral to other programs, or rehabilitation technology services or when pursuing alternate funding will significantly delay or interrupt services.  These services are provided in-house by VR counselors and other staff.  </w:t>
      </w:r>
    </w:p>
    <w:p w14:paraId="004C870C" w14:textId="77777777" w:rsidR="00DF3959" w:rsidRPr="00DF3959" w:rsidRDefault="00DF3959" w:rsidP="00DF3959">
      <w:pPr>
        <w:pStyle w:val="BodyText"/>
      </w:pPr>
      <w:r w:rsidRPr="00DF3959">
        <w:rPr>
          <w:u w:val="single"/>
        </w:rPr>
        <w:t>Case Costs</w:t>
      </w:r>
      <w:r w:rsidRPr="00DF3959">
        <w:t> </w:t>
      </w:r>
    </w:p>
    <w:p w14:paraId="12E5891D" w14:textId="77777777" w:rsidR="00DF3959" w:rsidRPr="00DF3959" w:rsidRDefault="00DF3959" w:rsidP="00DF3959">
      <w:pPr>
        <w:pStyle w:val="BodyText"/>
      </w:pPr>
      <w:r w:rsidRPr="00DF3959">
        <w:t>As overall costs increase, the VR program continues to provide staff with decision making guidance, including reasonable, appropriate, and necessary training and tools. VR monitors case costs and length of cases as one measure to evaluate the effectiveness of staff understanding and execution of these practices.  </w:t>
      </w:r>
    </w:p>
    <w:p w14:paraId="7EE517C7" w14:textId="77777777" w:rsidR="00DF3959" w:rsidRPr="00DF3959" w:rsidRDefault="00DF3959" w:rsidP="00DF3959">
      <w:pPr>
        <w:pStyle w:val="BodyText"/>
      </w:pPr>
      <w:r w:rsidRPr="00DF3959">
        <w:t>The average cost for the life of a case for participants exiting decreased from $8,153 in SFY 2023 to $7,122 in SFY 2024. The average cost for the life of a case varies by primary disability impairment, from $5,440 for auditory/communicative to $10,058 for legally blind in SFY 2024. </w:t>
      </w:r>
    </w:p>
    <w:p w14:paraId="3F21388D" w14:textId="77777777" w:rsidR="00DF3959" w:rsidRPr="00DF3959" w:rsidRDefault="00DF3959" w:rsidP="00DF3959">
      <w:pPr>
        <w:pStyle w:val="BodyText"/>
      </w:pPr>
      <w:r w:rsidRPr="00DF3959">
        <w:t>Case costs are associated with case length. Data indicates that costs decreased proportionally with lower average case lengths. The average case length (from Initial Contact to Closure after Plan) for participants exiting in SFY 2024 was 860 days, or 2.4 years. This represents a decrease from 998 days, or 2.7 years for those exiting in SFY 2023. In SFY 2024, case length also varied widely by primary disability, ranging from 574 days for auditory/communicative impairment (1.6 years) to 1,561 days for legally blind (4.3 years). </w:t>
      </w:r>
    </w:p>
    <w:p w14:paraId="4E9B832C" w14:textId="3DB3D638" w:rsidR="00DF3959" w:rsidRDefault="002D7BC5" w:rsidP="002D7BC5">
      <w:pPr>
        <w:pStyle w:val="BodyText3"/>
      </w:pPr>
      <w:r>
        <w:t>Average Life of Case Cost, VR Participants, by disability type in SFY 2024</w:t>
      </w:r>
    </w:p>
    <w:tbl>
      <w:tblPr>
        <w:tblStyle w:val="TableGrid1"/>
        <w:tblW w:w="0" w:type="auto"/>
        <w:tblCellMar>
          <w:top w:w="58" w:type="dxa"/>
          <w:bottom w:w="58" w:type="dxa"/>
        </w:tblCellMar>
        <w:tblLook w:val="04A0" w:firstRow="1" w:lastRow="0" w:firstColumn="1" w:lastColumn="0" w:noHBand="0" w:noVBand="1"/>
      </w:tblPr>
      <w:tblGrid>
        <w:gridCol w:w="4675"/>
        <w:gridCol w:w="4675"/>
      </w:tblGrid>
      <w:tr w:rsidR="00D5318F" w:rsidRPr="004B200F" w14:paraId="5CCCEF1E" w14:textId="77777777" w:rsidTr="00B50AE4">
        <w:trPr>
          <w:tblHeader/>
        </w:trPr>
        <w:tc>
          <w:tcPr>
            <w:tcW w:w="4675" w:type="dxa"/>
            <w:shd w:val="clear" w:color="auto" w:fill="B8CCE4" w:themeFill="accent1" w:themeFillTint="66"/>
          </w:tcPr>
          <w:p w14:paraId="7618BDB2" w14:textId="646E32C4" w:rsidR="00D5318F" w:rsidRPr="004B200F" w:rsidRDefault="00D5318F" w:rsidP="004B200F">
            <w:pPr>
              <w:pStyle w:val="TableHeaders"/>
              <w:rPr>
                <w:b w:val="0"/>
                <w:bCs/>
              </w:rPr>
            </w:pPr>
            <w:r w:rsidRPr="004B200F">
              <w:rPr>
                <w:b w:val="0"/>
                <w:bCs/>
              </w:rPr>
              <w:t>Primary Disability</w:t>
            </w:r>
          </w:p>
        </w:tc>
        <w:tc>
          <w:tcPr>
            <w:tcW w:w="4675" w:type="dxa"/>
            <w:shd w:val="clear" w:color="auto" w:fill="B8CCE4" w:themeFill="accent1" w:themeFillTint="66"/>
          </w:tcPr>
          <w:p w14:paraId="2E325AAA" w14:textId="60F4BA26" w:rsidR="00D5318F" w:rsidRPr="004B200F" w:rsidRDefault="00D5318F" w:rsidP="004B200F">
            <w:pPr>
              <w:pStyle w:val="TableHeaders"/>
              <w:rPr>
                <w:b w:val="0"/>
                <w:bCs/>
              </w:rPr>
            </w:pPr>
            <w:r w:rsidRPr="004B200F">
              <w:rPr>
                <w:b w:val="0"/>
                <w:bCs/>
              </w:rPr>
              <w:t>Cost ($)</w:t>
            </w:r>
          </w:p>
        </w:tc>
      </w:tr>
      <w:tr w:rsidR="00D5318F" w14:paraId="3E3AE2C2" w14:textId="77777777" w:rsidTr="00B50AE4">
        <w:tc>
          <w:tcPr>
            <w:tcW w:w="4675" w:type="dxa"/>
            <w:vAlign w:val="center"/>
          </w:tcPr>
          <w:p w14:paraId="3CFE370D" w14:textId="0B855A11" w:rsidR="00D5318F" w:rsidRDefault="00D5318F" w:rsidP="00B50AE4">
            <w:pPr>
              <w:pStyle w:val="TableText"/>
            </w:pPr>
            <w:r>
              <w:t>Auditory/Communicative Impairment</w:t>
            </w:r>
          </w:p>
        </w:tc>
        <w:tc>
          <w:tcPr>
            <w:tcW w:w="4675" w:type="dxa"/>
            <w:vAlign w:val="center"/>
          </w:tcPr>
          <w:p w14:paraId="7F92CFCD" w14:textId="4805C091" w:rsidR="00D5318F" w:rsidRDefault="00D5318F" w:rsidP="00B50AE4">
            <w:pPr>
              <w:pStyle w:val="TableText"/>
              <w:jc w:val="right"/>
            </w:pPr>
            <w:r>
              <w:t>5,440</w:t>
            </w:r>
          </w:p>
        </w:tc>
      </w:tr>
      <w:tr w:rsidR="00D5318F" w14:paraId="6890B5FF" w14:textId="77777777" w:rsidTr="00B50AE4">
        <w:tc>
          <w:tcPr>
            <w:tcW w:w="4675" w:type="dxa"/>
            <w:vAlign w:val="center"/>
          </w:tcPr>
          <w:p w14:paraId="741A0CE8" w14:textId="7192598B" w:rsidR="00D5318F" w:rsidRDefault="00D5318F" w:rsidP="00B50AE4">
            <w:pPr>
              <w:pStyle w:val="TableText"/>
            </w:pPr>
            <w:r>
              <w:t>Intellectual/Learning Impairment</w:t>
            </w:r>
          </w:p>
        </w:tc>
        <w:tc>
          <w:tcPr>
            <w:tcW w:w="4675" w:type="dxa"/>
            <w:vAlign w:val="center"/>
          </w:tcPr>
          <w:p w14:paraId="266E17B8" w14:textId="60ACE636" w:rsidR="00D5318F" w:rsidRDefault="00F618B2" w:rsidP="00B50AE4">
            <w:pPr>
              <w:pStyle w:val="TableText"/>
              <w:jc w:val="right"/>
            </w:pPr>
            <w:r>
              <w:t>7,693</w:t>
            </w:r>
          </w:p>
        </w:tc>
      </w:tr>
      <w:tr w:rsidR="00D5318F" w14:paraId="3BE4EA2A" w14:textId="77777777" w:rsidTr="00B50AE4">
        <w:tc>
          <w:tcPr>
            <w:tcW w:w="4675" w:type="dxa"/>
            <w:vAlign w:val="center"/>
          </w:tcPr>
          <w:p w14:paraId="12A2F4C5" w14:textId="47AAC61F" w:rsidR="00D5318F" w:rsidRDefault="00F618B2" w:rsidP="00B50AE4">
            <w:pPr>
              <w:pStyle w:val="TableText"/>
            </w:pPr>
            <w:r>
              <w:t>Legally Blind</w:t>
            </w:r>
          </w:p>
        </w:tc>
        <w:tc>
          <w:tcPr>
            <w:tcW w:w="4675" w:type="dxa"/>
            <w:vAlign w:val="center"/>
          </w:tcPr>
          <w:p w14:paraId="1094EA15" w14:textId="7DCC1571" w:rsidR="00D5318F" w:rsidRDefault="00F618B2" w:rsidP="00B50AE4">
            <w:pPr>
              <w:pStyle w:val="TableText"/>
              <w:jc w:val="right"/>
            </w:pPr>
            <w:r>
              <w:t>10,058</w:t>
            </w:r>
          </w:p>
        </w:tc>
      </w:tr>
      <w:tr w:rsidR="00D5318F" w14:paraId="3EFE93E2" w14:textId="77777777" w:rsidTr="00B50AE4">
        <w:tc>
          <w:tcPr>
            <w:tcW w:w="4675" w:type="dxa"/>
            <w:vAlign w:val="center"/>
          </w:tcPr>
          <w:p w14:paraId="57F8327C" w14:textId="44929085" w:rsidR="00D5318F" w:rsidRDefault="00F618B2" w:rsidP="00B50AE4">
            <w:pPr>
              <w:pStyle w:val="TableText"/>
            </w:pPr>
            <w:r>
              <w:t>Other Visual Impairment</w:t>
            </w:r>
          </w:p>
        </w:tc>
        <w:tc>
          <w:tcPr>
            <w:tcW w:w="4675" w:type="dxa"/>
            <w:vAlign w:val="center"/>
          </w:tcPr>
          <w:p w14:paraId="67B5A818" w14:textId="07F9100B" w:rsidR="00D5318F" w:rsidRDefault="00F618B2" w:rsidP="00B50AE4">
            <w:pPr>
              <w:pStyle w:val="TableText"/>
              <w:jc w:val="right"/>
            </w:pPr>
            <w:r>
              <w:t>6,414</w:t>
            </w:r>
          </w:p>
        </w:tc>
      </w:tr>
      <w:tr w:rsidR="00F618B2" w14:paraId="0CFF27F2" w14:textId="77777777" w:rsidTr="00B50AE4">
        <w:tc>
          <w:tcPr>
            <w:tcW w:w="4675" w:type="dxa"/>
            <w:vAlign w:val="center"/>
          </w:tcPr>
          <w:p w14:paraId="480893A2" w14:textId="3CB03560" w:rsidR="00F618B2" w:rsidRDefault="00F618B2" w:rsidP="00B50AE4">
            <w:pPr>
              <w:pStyle w:val="TableText"/>
            </w:pPr>
            <w:r>
              <w:t>Physical Impairment</w:t>
            </w:r>
          </w:p>
        </w:tc>
        <w:tc>
          <w:tcPr>
            <w:tcW w:w="4675" w:type="dxa"/>
            <w:vAlign w:val="center"/>
          </w:tcPr>
          <w:p w14:paraId="0C14975B" w14:textId="42695BE7" w:rsidR="00F618B2" w:rsidRDefault="00F618B2" w:rsidP="00B50AE4">
            <w:pPr>
              <w:pStyle w:val="TableText"/>
              <w:jc w:val="right"/>
            </w:pPr>
            <w:r>
              <w:t>8</w:t>
            </w:r>
            <w:r w:rsidR="004B200F">
              <w:t>,</w:t>
            </w:r>
            <w:r>
              <w:t>377</w:t>
            </w:r>
          </w:p>
        </w:tc>
      </w:tr>
      <w:tr w:rsidR="004B200F" w14:paraId="1CF2148D" w14:textId="77777777" w:rsidTr="00B50AE4">
        <w:tc>
          <w:tcPr>
            <w:tcW w:w="4675" w:type="dxa"/>
            <w:vAlign w:val="center"/>
          </w:tcPr>
          <w:p w14:paraId="10B7BA64" w14:textId="01287495" w:rsidR="004B200F" w:rsidRDefault="004B200F" w:rsidP="00B50AE4">
            <w:pPr>
              <w:pStyle w:val="TableText"/>
            </w:pPr>
            <w:r>
              <w:lastRenderedPageBreak/>
              <w:t>Psychosocial/Psychological Impairment</w:t>
            </w:r>
          </w:p>
        </w:tc>
        <w:tc>
          <w:tcPr>
            <w:tcW w:w="4675" w:type="dxa"/>
            <w:vAlign w:val="center"/>
          </w:tcPr>
          <w:p w14:paraId="73765043" w14:textId="46E5B4CD" w:rsidR="004B200F" w:rsidRDefault="004B200F" w:rsidP="00B50AE4">
            <w:pPr>
              <w:pStyle w:val="TableText"/>
              <w:jc w:val="right"/>
            </w:pPr>
            <w:r>
              <w:t>6,159</w:t>
            </w:r>
          </w:p>
        </w:tc>
      </w:tr>
    </w:tbl>
    <w:p w14:paraId="1EE0E61D" w14:textId="7BA6FCE7" w:rsidR="002D7BC5" w:rsidRPr="00FA519B" w:rsidRDefault="00FA519B" w:rsidP="00FA519B">
      <w:pPr>
        <w:pStyle w:val="BodyText3"/>
      </w:pPr>
      <w:r w:rsidRPr="00FA519B">
        <w:t>Average case length by disability type in SFY 2024, VR Participants</w:t>
      </w:r>
    </w:p>
    <w:tbl>
      <w:tblPr>
        <w:tblStyle w:val="TableGrid1"/>
        <w:tblW w:w="0" w:type="auto"/>
        <w:tblCellMar>
          <w:top w:w="58" w:type="dxa"/>
          <w:bottom w:w="58" w:type="dxa"/>
        </w:tblCellMar>
        <w:tblLook w:val="04A0" w:firstRow="1" w:lastRow="0" w:firstColumn="1" w:lastColumn="0" w:noHBand="0" w:noVBand="1"/>
      </w:tblPr>
      <w:tblGrid>
        <w:gridCol w:w="4675"/>
        <w:gridCol w:w="4675"/>
      </w:tblGrid>
      <w:tr w:rsidR="004B716C" w:rsidRPr="004B200F" w14:paraId="7E1F7EFD" w14:textId="77777777">
        <w:trPr>
          <w:tblHeader/>
        </w:trPr>
        <w:tc>
          <w:tcPr>
            <w:tcW w:w="4675" w:type="dxa"/>
            <w:shd w:val="clear" w:color="auto" w:fill="B8CCE4" w:themeFill="accent1" w:themeFillTint="66"/>
          </w:tcPr>
          <w:p w14:paraId="13645FDD" w14:textId="77777777" w:rsidR="004B716C" w:rsidRPr="004B200F" w:rsidRDefault="004B716C">
            <w:pPr>
              <w:pStyle w:val="TableHeaders"/>
              <w:rPr>
                <w:b w:val="0"/>
                <w:bCs/>
              </w:rPr>
            </w:pPr>
            <w:r w:rsidRPr="004B200F">
              <w:rPr>
                <w:b w:val="0"/>
                <w:bCs/>
              </w:rPr>
              <w:t>Primary Disability</w:t>
            </w:r>
          </w:p>
        </w:tc>
        <w:tc>
          <w:tcPr>
            <w:tcW w:w="4675" w:type="dxa"/>
            <w:shd w:val="clear" w:color="auto" w:fill="B8CCE4" w:themeFill="accent1" w:themeFillTint="66"/>
          </w:tcPr>
          <w:p w14:paraId="0CBE5DC1" w14:textId="7A86F994" w:rsidR="004B716C" w:rsidRPr="004B200F" w:rsidRDefault="004B716C">
            <w:pPr>
              <w:pStyle w:val="TableHeaders"/>
              <w:rPr>
                <w:b w:val="0"/>
                <w:bCs/>
              </w:rPr>
            </w:pPr>
            <w:r>
              <w:rPr>
                <w:b w:val="0"/>
                <w:bCs/>
              </w:rPr>
              <w:t>Days</w:t>
            </w:r>
          </w:p>
        </w:tc>
      </w:tr>
      <w:tr w:rsidR="004B716C" w14:paraId="7919CB0B" w14:textId="77777777">
        <w:tc>
          <w:tcPr>
            <w:tcW w:w="4675" w:type="dxa"/>
            <w:vAlign w:val="center"/>
          </w:tcPr>
          <w:p w14:paraId="1957B3DD" w14:textId="77777777" w:rsidR="004B716C" w:rsidRDefault="004B716C">
            <w:pPr>
              <w:pStyle w:val="TableText"/>
            </w:pPr>
            <w:r>
              <w:t>Auditory/Communicative Impairment</w:t>
            </w:r>
          </w:p>
        </w:tc>
        <w:tc>
          <w:tcPr>
            <w:tcW w:w="4675" w:type="dxa"/>
            <w:vAlign w:val="center"/>
          </w:tcPr>
          <w:p w14:paraId="549BD3D1" w14:textId="570B1E07" w:rsidR="004B716C" w:rsidRDefault="004B716C">
            <w:pPr>
              <w:pStyle w:val="TableText"/>
              <w:jc w:val="right"/>
            </w:pPr>
            <w:r>
              <w:t>574</w:t>
            </w:r>
          </w:p>
        </w:tc>
      </w:tr>
      <w:tr w:rsidR="004B716C" w14:paraId="7432147C" w14:textId="77777777">
        <w:tc>
          <w:tcPr>
            <w:tcW w:w="4675" w:type="dxa"/>
            <w:vAlign w:val="center"/>
          </w:tcPr>
          <w:p w14:paraId="6D8F6831" w14:textId="77777777" w:rsidR="004B716C" w:rsidRDefault="004B716C">
            <w:pPr>
              <w:pStyle w:val="TableText"/>
            </w:pPr>
            <w:r>
              <w:t>Intellectual/Learning Impairment</w:t>
            </w:r>
          </w:p>
        </w:tc>
        <w:tc>
          <w:tcPr>
            <w:tcW w:w="4675" w:type="dxa"/>
            <w:vAlign w:val="center"/>
          </w:tcPr>
          <w:p w14:paraId="319D221A" w14:textId="1B90BDF1" w:rsidR="004B716C" w:rsidRDefault="004B716C">
            <w:pPr>
              <w:pStyle w:val="TableText"/>
              <w:jc w:val="right"/>
            </w:pPr>
            <w:r>
              <w:t>1,008</w:t>
            </w:r>
          </w:p>
        </w:tc>
      </w:tr>
      <w:tr w:rsidR="004B716C" w14:paraId="2F0574CB" w14:textId="77777777">
        <w:tc>
          <w:tcPr>
            <w:tcW w:w="4675" w:type="dxa"/>
            <w:vAlign w:val="center"/>
          </w:tcPr>
          <w:p w14:paraId="4048DF78" w14:textId="77777777" w:rsidR="004B716C" w:rsidRDefault="004B716C">
            <w:pPr>
              <w:pStyle w:val="TableText"/>
            </w:pPr>
            <w:r>
              <w:t>Legally Blind</w:t>
            </w:r>
          </w:p>
        </w:tc>
        <w:tc>
          <w:tcPr>
            <w:tcW w:w="4675" w:type="dxa"/>
            <w:vAlign w:val="center"/>
          </w:tcPr>
          <w:p w14:paraId="46B1D356" w14:textId="46F7A3E1" w:rsidR="004B716C" w:rsidRDefault="00F42F9C">
            <w:pPr>
              <w:pStyle w:val="TableText"/>
              <w:jc w:val="right"/>
            </w:pPr>
            <w:r>
              <w:t>1,561</w:t>
            </w:r>
          </w:p>
        </w:tc>
      </w:tr>
      <w:tr w:rsidR="004B716C" w14:paraId="5041753A" w14:textId="77777777">
        <w:tc>
          <w:tcPr>
            <w:tcW w:w="4675" w:type="dxa"/>
            <w:vAlign w:val="center"/>
          </w:tcPr>
          <w:p w14:paraId="7F5E4E75" w14:textId="77777777" w:rsidR="004B716C" w:rsidRDefault="004B716C">
            <w:pPr>
              <w:pStyle w:val="TableText"/>
            </w:pPr>
            <w:r>
              <w:t>Other Visual Impairment</w:t>
            </w:r>
          </w:p>
        </w:tc>
        <w:tc>
          <w:tcPr>
            <w:tcW w:w="4675" w:type="dxa"/>
            <w:vAlign w:val="center"/>
          </w:tcPr>
          <w:p w14:paraId="5FF4DFFA" w14:textId="055D1999" w:rsidR="004B716C" w:rsidRDefault="00F42F9C">
            <w:pPr>
              <w:pStyle w:val="TableText"/>
              <w:jc w:val="right"/>
            </w:pPr>
            <w:r>
              <w:t>1,016</w:t>
            </w:r>
          </w:p>
        </w:tc>
      </w:tr>
      <w:tr w:rsidR="004B716C" w14:paraId="16A740D1" w14:textId="77777777">
        <w:tc>
          <w:tcPr>
            <w:tcW w:w="4675" w:type="dxa"/>
            <w:vAlign w:val="center"/>
          </w:tcPr>
          <w:p w14:paraId="7A3B1220" w14:textId="77777777" w:rsidR="004B716C" w:rsidRDefault="004B716C">
            <w:pPr>
              <w:pStyle w:val="TableText"/>
            </w:pPr>
            <w:r>
              <w:t>Physical Impairment</w:t>
            </w:r>
          </w:p>
        </w:tc>
        <w:tc>
          <w:tcPr>
            <w:tcW w:w="4675" w:type="dxa"/>
            <w:vAlign w:val="center"/>
          </w:tcPr>
          <w:p w14:paraId="47335095" w14:textId="3B9AC44A" w:rsidR="004B716C" w:rsidRDefault="00F42F9C">
            <w:pPr>
              <w:pStyle w:val="TableText"/>
              <w:jc w:val="right"/>
            </w:pPr>
            <w:r>
              <w:t>854</w:t>
            </w:r>
          </w:p>
        </w:tc>
      </w:tr>
      <w:tr w:rsidR="004B716C" w14:paraId="20971927" w14:textId="77777777">
        <w:tc>
          <w:tcPr>
            <w:tcW w:w="4675" w:type="dxa"/>
            <w:vAlign w:val="center"/>
          </w:tcPr>
          <w:p w14:paraId="296E5FDA" w14:textId="77777777" w:rsidR="004B716C" w:rsidRDefault="004B716C">
            <w:pPr>
              <w:pStyle w:val="TableText"/>
            </w:pPr>
            <w:r>
              <w:t>Psychosocial/Psychological Impairment</w:t>
            </w:r>
          </w:p>
        </w:tc>
        <w:tc>
          <w:tcPr>
            <w:tcW w:w="4675" w:type="dxa"/>
            <w:vAlign w:val="center"/>
          </w:tcPr>
          <w:p w14:paraId="0A600471" w14:textId="565CBF45" w:rsidR="004B716C" w:rsidRDefault="00F42F9C">
            <w:pPr>
              <w:pStyle w:val="TableText"/>
              <w:jc w:val="right"/>
            </w:pPr>
            <w:r>
              <w:t>891</w:t>
            </w:r>
          </w:p>
        </w:tc>
      </w:tr>
    </w:tbl>
    <w:p w14:paraId="3F04024E" w14:textId="77777777" w:rsidR="00DF3959" w:rsidRPr="00DF3959" w:rsidRDefault="00DF3959" w:rsidP="00DF3959">
      <w:pPr>
        <w:pStyle w:val="BodyText"/>
      </w:pPr>
      <w:r w:rsidRPr="00DF3959">
        <w:rPr>
          <w:u w:val="single"/>
        </w:rPr>
        <w:t>Internal Controls and Approvals</w:t>
      </w:r>
      <w:r w:rsidRPr="00DF3959">
        <w:t> </w:t>
      </w:r>
    </w:p>
    <w:p w14:paraId="0502450F" w14:textId="77777777" w:rsidR="00DF3959" w:rsidRPr="00DF3959" w:rsidRDefault="00DF3959" w:rsidP="00DF3959">
      <w:pPr>
        <w:pStyle w:val="BodyText"/>
      </w:pPr>
      <w:r w:rsidRPr="00DF3959">
        <w:t>The establishment of internal controls and approvals plays an important role in safeguarding resources and ensuring financial integrity.  </w:t>
      </w:r>
    </w:p>
    <w:p w14:paraId="3D6336DB" w14:textId="77777777" w:rsidR="00DF3959" w:rsidRPr="00DF3959" w:rsidRDefault="00DF3959" w:rsidP="00C64851">
      <w:pPr>
        <w:pStyle w:val="BodyText"/>
        <w:numPr>
          <w:ilvl w:val="0"/>
          <w:numId w:val="675"/>
        </w:numPr>
      </w:pPr>
      <w:proofErr w:type="spellStart"/>
      <w:r w:rsidRPr="00DF3959">
        <w:t>ReHabWorks</w:t>
      </w:r>
      <w:proofErr w:type="spellEnd"/>
      <w:r w:rsidRPr="00DF3959">
        <w:t xml:space="preserve"> Case Management System  </w:t>
      </w:r>
    </w:p>
    <w:p w14:paraId="223C577C" w14:textId="733D644E" w:rsidR="00DF3959" w:rsidRPr="00DF3959" w:rsidRDefault="00DF3959" w:rsidP="00C64851">
      <w:pPr>
        <w:pStyle w:val="BodyText"/>
        <w:numPr>
          <w:ilvl w:val="0"/>
          <w:numId w:val="676"/>
        </w:numPr>
      </w:pPr>
      <w:r w:rsidRPr="00DF3959">
        <w:t xml:space="preserve"> VR follows a structured purchasing process flow that is integrated into the </w:t>
      </w:r>
      <w:proofErr w:type="spellStart"/>
      <w:r w:rsidRPr="00DF3959">
        <w:t>ReHabWorks</w:t>
      </w:r>
      <w:proofErr w:type="spellEnd"/>
      <w:r w:rsidRPr="00DF3959">
        <w:t xml:space="preserve"> (RHW) Case Management System and is intended minimize risk of errors associated with purchases. This flow guides staff, step by step, through required purchasing procedures as follows: (1) VR staff first identify a client's need and document it, (2) securing necessary consultations and approvals. They then (3) identify the required service or good within the client's plan and (4) create service records (requisitions). This leads to (5) generating a Service Authorization, which is then (6) conveyed to the vendor. Upon (7) receiving the goods or services, the staff (8) performs a three-way match to verify accuracy before (9) authorizing payment. Finally, (10) the Service Authorization is reconciled and closed. </w:t>
      </w:r>
    </w:p>
    <w:p w14:paraId="762A3F67" w14:textId="77777777" w:rsidR="00DF3959" w:rsidRPr="00DF3959" w:rsidRDefault="00DF3959" w:rsidP="00C64851">
      <w:pPr>
        <w:pStyle w:val="BodyText"/>
        <w:numPr>
          <w:ilvl w:val="0"/>
          <w:numId w:val="677"/>
        </w:numPr>
      </w:pPr>
      <w:r w:rsidRPr="00DF3959">
        <w:t xml:space="preserve">RHW includes robust purchasing controls to ensure financial integrity and regulatory compliance. These controls include separation of duties to prevent staff from authorizing payments for their own service authorizations they issued or updated, restricting applicable types of purchases to vendors with active contracts, limiting expenditures for Pre-Employment Transition Services (Pre-ETS) programs to eligible students and applicable goods &amp; services, requiring purchase approvals for specific purchase types (e.g., out-of-state training), and incorporating features to adhere to federal grant period of performance requirements periods. The system also provides pop-up reminders for penalty interest, regulates (limits) the reopening of closed service authorizations, offers functionality for invoice corrections, limits purchases based on budget, restricts vendor setup and updates to state office staff, and provides reports for monitoring and reconciling service authorizations. These measures work </w:t>
      </w:r>
      <w:r w:rsidRPr="00DF3959">
        <w:lastRenderedPageBreak/>
        <w:t>together to enhance accountability and augment proper effective financial management while also facilitating effective support of the customer service delivery process. </w:t>
      </w:r>
    </w:p>
    <w:p w14:paraId="19CF2FF5" w14:textId="77777777" w:rsidR="00D63C48" w:rsidRDefault="00DF3959" w:rsidP="00C64851">
      <w:pPr>
        <w:pStyle w:val="BodyText"/>
        <w:numPr>
          <w:ilvl w:val="0"/>
          <w:numId w:val="678"/>
        </w:numPr>
      </w:pPr>
      <w:r w:rsidRPr="00DF3959">
        <w:t>Vocational Rehabilitation Services Manual</w:t>
      </w:r>
    </w:p>
    <w:p w14:paraId="37C93C9B" w14:textId="60E81FDD" w:rsidR="00DF3959" w:rsidRPr="00DF3959" w:rsidRDefault="00DF3959" w:rsidP="00C64851">
      <w:pPr>
        <w:pStyle w:val="BodyText"/>
        <w:numPr>
          <w:ilvl w:val="1"/>
          <w:numId w:val="678"/>
        </w:numPr>
        <w:ind w:left="1080"/>
      </w:pPr>
      <w:r w:rsidRPr="00DF3959">
        <w:t xml:space="preserve">The Vocational Rehabilitation Services Manual (VSRM) Part E, and Chapter 5, Approvals and Consultations houses three appendices, which contain a comprehensive list of required approvals and consultations for various business procedures related to case record management, including documentation, data validation, and reporting as shown in </w:t>
      </w:r>
      <w:r w:rsidRPr="00DF3959">
        <w:rPr>
          <w:b/>
          <w:bCs/>
        </w:rPr>
        <w:t>Exhibit _</w:t>
      </w:r>
      <w:proofErr w:type="spellStart"/>
      <w:r w:rsidRPr="00DF3959">
        <w:rPr>
          <w:b/>
          <w:bCs/>
        </w:rPr>
        <w:t>GAP_</w:t>
      </w:r>
      <w:r w:rsidRPr="00DF3959">
        <w:t>VSRM_Approvals_Cons</w:t>
      </w:r>
      <w:r w:rsidR="00D63C48">
        <w:t>ult</w:t>
      </w:r>
      <w:proofErr w:type="spellEnd"/>
      <w:r w:rsidRPr="00DF3959">
        <w:t>. </w:t>
      </w:r>
    </w:p>
    <w:p w14:paraId="3E26EA57" w14:textId="153DE97E" w:rsidR="00DF3959" w:rsidRPr="00DF3959" w:rsidRDefault="00DF3959" w:rsidP="00D63C48">
      <w:pPr>
        <w:pStyle w:val="BodyText3"/>
      </w:pPr>
      <w:r w:rsidRPr="00DF3959">
        <w:t>V</w:t>
      </w:r>
      <w:r w:rsidR="00AA10EA">
        <w:t xml:space="preserve">ocational </w:t>
      </w:r>
      <w:r w:rsidRPr="00DF3959">
        <w:t>R</w:t>
      </w:r>
      <w:r w:rsidR="00E506F5">
        <w:t>ehabilitation</w:t>
      </w:r>
      <w:r w:rsidRPr="00DF3959">
        <w:t xml:space="preserve"> Innovation and Process Improvement </w:t>
      </w:r>
    </w:p>
    <w:p w14:paraId="6598D9D7" w14:textId="60906C70" w:rsidR="00DF3959" w:rsidRPr="00DF3959" w:rsidRDefault="00DF3959" w:rsidP="00DF3959">
      <w:pPr>
        <w:pStyle w:val="BodyText"/>
      </w:pPr>
      <w:r w:rsidRPr="00DF3959">
        <w:t>VR is constantly working to improve its programs and services, and to introduce quality assurance controls and other efficiencies into VR programs and infrastructure. Below are a few focus areas that highlight these efforts. </w:t>
      </w:r>
    </w:p>
    <w:p w14:paraId="2F75E1C7" w14:textId="77777777" w:rsidR="00DF3959" w:rsidRPr="00DF3959" w:rsidRDefault="00DF3959" w:rsidP="00DF3959">
      <w:pPr>
        <w:pStyle w:val="BodyText"/>
      </w:pPr>
      <w:r w:rsidRPr="00DF3959">
        <w:rPr>
          <w:u w:val="single"/>
        </w:rPr>
        <w:t>VR Case Review and Monitoring</w:t>
      </w:r>
      <w:r w:rsidRPr="00DF3959">
        <w:t> </w:t>
      </w:r>
    </w:p>
    <w:p w14:paraId="5863555A" w14:textId="77777777" w:rsidR="00DF3959" w:rsidRPr="00DF3959" w:rsidRDefault="00DF3959" w:rsidP="00DF3959">
      <w:pPr>
        <w:pStyle w:val="BodyText"/>
      </w:pPr>
      <w:r w:rsidRPr="00DF3959">
        <w:t xml:space="preserve">The VR Division has a robust case review system and a monitoring function to analyze and track performance. In 2015 Monitoring </w:t>
      </w:r>
      <w:proofErr w:type="spellStart"/>
      <w:r w:rsidRPr="00DF3959">
        <w:t>OverSight</w:t>
      </w:r>
      <w:proofErr w:type="spellEnd"/>
      <w:r w:rsidRPr="00DF3959">
        <w:t xml:space="preserve"> and Internal Controls (MOSAIC) was established as a quality assurance process for VR program performance oversight at the state, regional, unit, and caseload levels. Through MOSAIC, the VR program is systematically reviewed based on data collected from the VR case entry system, RHW, and the case review system, Texas Review, Oversight, and Coaching System (</w:t>
      </w:r>
      <w:proofErr w:type="spellStart"/>
      <w:r w:rsidRPr="00DF3959">
        <w:t>TxROCS</w:t>
      </w:r>
      <w:proofErr w:type="spellEnd"/>
      <w:r w:rsidRPr="00DF3959">
        <w:t>). </w:t>
      </w:r>
    </w:p>
    <w:p w14:paraId="0240FF70" w14:textId="77777777" w:rsidR="00DF3959" w:rsidRPr="00DF3959" w:rsidRDefault="00DF3959" w:rsidP="00DF3959">
      <w:pPr>
        <w:pStyle w:val="BodyText"/>
      </w:pPr>
      <w:r w:rsidRPr="00DF3959">
        <w:t>MOSAIC provides consistent, compliant, high-quality outcomes through a risk management approach involving strategic planning, data analysis, case reviews, and stakeholder communication. </w:t>
      </w:r>
    </w:p>
    <w:p w14:paraId="129423D0" w14:textId="77777777" w:rsidR="00DF3959" w:rsidRPr="00DF3959" w:rsidRDefault="00DF3959" w:rsidP="00DF3959">
      <w:pPr>
        <w:pStyle w:val="BodyText"/>
      </w:pPr>
      <w:r w:rsidRPr="00DF3959">
        <w:t>Key aspects include: </w:t>
      </w:r>
    </w:p>
    <w:p w14:paraId="582E97EA" w14:textId="77777777" w:rsidR="00DF3959" w:rsidRPr="00DF3959" w:rsidRDefault="00DF3959" w:rsidP="00C64851">
      <w:pPr>
        <w:pStyle w:val="BodyText"/>
        <w:numPr>
          <w:ilvl w:val="0"/>
          <w:numId w:val="743"/>
        </w:numPr>
      </w:pPr>
      <w:r w:rsidRPr="00DF3959">
        <w:t>Case Review Sampling: At least 10 percent of cases are reviewed annually, with cases selected using a two-tiered stratification process that prioritizes high-risk areas and then randomly selects from the remaining cases across regions and management units. TWC’s I|3 division also utilizes a sampling tool to randomly select non-repeating cases for automation case reviews. The dynamic adjustment of case review sample sizes ensures staff have ample reviews towards achieving the consistent 10 percent target. </w:t>
      </w:r>
    </w:p>
    <w:p w14:paraId="0E86C314" w14:textId="77777777" w:rsidR="00DF3959" w:rsidRPr="00DF3959" w:rsidRDefault="00DF3959" w:rsidP="00C64851">
      <w:pPr>
        <w:pStyle w:val="BodyText"/>
        <w:numPr>
          <w:ilvl w:val="0"/>
          <w:numId w:val="743"/>
        </w:numPr>
      </w:pPr>
      <w:r w:rsidRPr="00DF3959">
        <w:t>TXROCS: Designated case reviewers enter reviews into TXROCS to assess compliance, evaluate decision-making quality, provide staff coaching and feedback, and support management performance evaluations. </w:t>
      </w:r>
    </w:p>
    <w:p w14:paraId="62F68C4A" w14:textId="77777777" w:rsidR="00DF3959" w:rsidRPr="00DF3959" w:rsidRDefault="00DF3959" w:rsidP="00C64851">
      <w:pPr>
        <w:pStyle w:val="BodyText"/>
        <w:numPr>
          <w:ilvl w:val="0"/>
          <w:numId w:val="743"/>
        </w:numPr>
      </w:pPr>
      <w:r w:rsidRPr="00DF3959">
        <w:lastRenderedPageBreak/>
        <w:t>Case Reviewer Training: All case reviewers receive annual comprehensive training on case review procedures, TXROCS utilization, and case review tools. Ongoing training and coaching may continue at the unit and regional levels, as needed. Additionally, if trends are found, trainings may take place to discuss policies, technical assistance, and strategies for continuous improvement. </w:t>
      </w:r>
    </w:p>
    <w:p w14:paraId="2D340956" w14:textId="77777777" w:rsidR="00DF3959" w:rsidRPr="00DF3959" w:rsidRDefault="00DF3959" w:rsidP="00DF3959">
      <w:pPr>
        <w:pStyle w:val="BodyText"/>
      </w:pPr>
      <w:r w:rsidRPr="00DF3959">
        <w:rPr>
          <w:u w:val="single"/>
        </w:rPr>
        <w:t>Provider Recruitment, Retention, and Support</w:t>
      </w:r>
      <w:r w:rsidRPr="00DF3959">
        <w:t>  </w:t>
      </w:r>
    </w:p>
    <w:p w14:paraId="40570335" w14:textId="77777777" w:rsidR="00DF3959" w:rsidRPr="00DF3959" w:rsidRDefault="00DF3959" w:rsidP="00DF3959">
      <w:pPr>
        <w:pStyle w:val="BodyText"/>
      </w:pPr>
      <w:r w:rsidRPr="00DF3959">
        <w:t>As part of provider recruitment, retention, and support, TWC-VR has worked across multiple projects, including Rapid Process Improvement (RPI) initiatives focused on improving provider engagement and the delivery of high-quality services to VR customers. A summary of strategies for ongoing transformation in these areas include: </w:t>
      </w:r>
    </w:p>
    <w:p w14:paraId="6522CF5C" w14:textId="77777777" w:rsidR="00DF3959" w:rsidRPr="00DF3959" w:rsidRDefault="00DF3959" w:rsidP="00C64851">
      <w:pPr>
        <w:pStyle w:val="BodyText"/>
        <w:numPr>
          <w:ilvl w:val="0"/>
          <w:numId w:val="742"/>
        </w:numPr>
      </w:pPr>
      <w:r w:rsidRPr="00DF3959">
        <w:t>Provider Recruitment  </w:t>
      </w:r>
    </w:p>
    <w:p w14:paraId="0379E4BA" w14:textId="77777777" w:rsidR="00DF3959" w:rsidRPr="00DF3959" w:rsidRDefault="00DF3959" w:rsidP="00C64851">
      <w:pPr>
        <w:pStyle w:val="BodyText"/>
        <w:numPr>
          <w:ilvl w:val="1"/>
          <w:numId w:val="742"/>
        </w:numPr>
      </w:pPr>
      <w:r w:rsidRPr="00DF3959">
        <w:t>Improve procurement process for VR all and providers  </w:t>
      </w:r>
    </w:p>
    <w:p w14:paraId="70A09378" w14:textId="77777777" w:rsidR="00D63C48" w:rsidRPr="00694184" w:rsidRDefault="00DF3959" w:rsidP="00C64851">
      <w:pPr>
        <w:pStyle w:val="BodyText"/>
        <w:numPr>
          <w:ilvl w:val="1"/>
          <w:numId w:val="742"/>
        </w:numPr>
      </w:pPr>
      <w:r w:rsidRPr="00DF3959">
        <w:t>Implement a division-wide outreach process </w:t>
      </w:r>
    </w:p>
    <w:p w14:paraId="50B43A31" w14:textId="180771AC" w:rsidR="00DF3959" w:rsidRPr="00DF3959" w:rsidRDefault="00DF3959" w:rsidP="00C64851">
      <w:pPr>
        <w:pStyle w:val="BodyText"/>
        <w:numPr>
          <w:ilvl w:val="0"/>
          <w:numId w:val="742"/>
        </w:numPr>
      </w:pPr>
      <w:r w:rsidRPr="00DF3959">
        <w:t>Provider Recruitment and Retention (crosses both)   </w:t>
      </w:r>
    </w:p>
    <w:p w14:paraId="2D294E5B" w14:textId="77777777" w:rsidR="00DF3959" w:rsidRPr="00DF3959" w:rsidRDefault="00DF3959" w:rsidP="00C64851">
      <w:pPr>
        <w:pStyle w:val="BodyText"/>
        <w:numPr>
          <w:ilvl w:val="1"/>
          <w:numId w:val="742"/>
        </w:numPr>
      </w:pPr>
      <w:r w:rsidRPr="00DF3959">
        <w:t>Increase provider rates to competitive levels </w:t>
      </w:r>
    </w:p>
    <w:p w14:paraId="06DBE302" w14:textId="77777777" w:rsidR="00DF3959" w:rsidRPr="00DF3959" w:rsidRDefault="00DF3959" w:rsidP="00C64851">
      <w:pPr>
        <w:pStyle w:val="BodyText"/>
        <w:numPr>
          <w:ilvl w:val="0"/>
          <w:numId w:val="742"/>
        </w:numPr>
      </w:pPr>
      <w:r w:rsidRPr="00DF3959">
        <w:t>Provider Retention  </w:t>
      </w:r>
    </w:p>
    <w:p w14:paraId="3CA07ACD" w14:textId="77777777" w:rsidR="00DF3959" w:rsidRPr="00DF3959" w:rsidRDefault="00DF3959" w:rsidP="00C64851">
      <w:pPr>
        <w:pStyle w:val="BodyText"/>
        <w:numPr>
          <w:ilvl w:val="1"/>
          <w:numId w:val="742"/>
        </w:numPr>
      </w:pPr>
      <w:r w:rsidRPr="00DF3959">
        <w:t>Improve provider communication and training </w:t>
      </w:r>
    </w:p>
    <w:p w14:paraId="7393D15A" w14:textId="77777777" w:rsidR="00DF3959" w:rsidRPr="00DF3959" w:rsidRDefault="00DF3959" w:rsidP="00C64851">
      <w:pPr>
        <w:pStyle w:val="BodyText"/>
        <w:numPr>
          <w:ilvl w:val="1"/>
          <w:numId w:val="742"/>
        </w:numPr>
      </w:pPr>
      <w:r w:rsidRPr="00DF3959">
        <w:t>Improve provider invoicing and payment process </w:t>
      </w:r>
    </w:p>
    <w:p w14:paraId="309B396D" w14:textId="77777777" w:rsidR="00DF3959" w:rsidRPr="00DF3959" w:rsidRDefault="00DF3959" w:rsidP="00DF3959">
      <w:pPr>
        <w:pStyle w:val="BodyText"/>
      </w:pPr>
      <w:r w:rsidRPr="00DF3959">
        <w:rPr>
          <w:u w:val="single"/>
        </w:rPr>
        <w:t>Full Integration of VR into the Workforce System:</w:t>
      </w:r>
      <w:r w:rsidRPr="00DF3959">
        <w:t>  </w:t>
      </w:r>
    </w:p>
    <w:p w14:paraId="4DF6CDBC" w14:textId="77777777" w:rsidR="00DF3959" w:rsidRPr="00DF3959" w:rsidRDefault="00DF3959" w:rsidP="00DF3959">
      <w:pPr>
        <w:pStyle w:val="BodyText"/>
      </w:pPr>
      <w:r w:rsidRPr="00DF3959">
        <w:t>The decision to relocate the VR programs into TWC was intended help eliminate duplication and improve services and outcomes for people with disabilities seeking employment. This involves both physical office moves and service delivery coordination.  </w:t>
      </w:r>
    </w:p>
    <w:p w14:paraId="103F758C" w14:textId="77777777" w:rsidR="00DF3959" w:rsidRPr="00DF3959" w:rsidRDefault="00DF3959" w:rsidP="00DF3959">
      <w:pPr>
        <w:pStyle w:val="BodyText"/>
      </w:pPr>
      <w:r w:rsidRPr="00DF3959">
        <w:t>As of June 2025, 96 VR offices have been fully integrated in workforce centers, and eight additional workforce centers have VR “pods”, a VR core service delivery team composed of two counselors and one Rehabilitation Assistant located within select workforce centers. All Boards have had at least one integrated office since March 2021.  </w:t>
      </w:r>
    </w:p>
    <w:p w14:paraId="6D8D43F0" w14:textId="77777777" w:rsidR="00DF3959" w:rsidRPr="00DF3959" w:rsidRDefault="00DF3959" w:rsidP="00DF3959">
      <w:pPr>
        <w:pStyle w:val="BodyText"/>
      </w:pPr>
      <w:r w:rsidRPr="00DF3959">
        <w:t>Operationally, the goal is to consolidate employer relations efforts and coordinate services with other workforce programs for improved referrals and client services. This has been achieved through the creation of a cross-agency partnership workgroup that developed a series of recommendations that are in the process of being implemented. A pilot to improve referrals is currently underway in four workforce offices and three VR management units.   </w:t>
      </w:r>
    </w:p>
    <w:p w14:paraId="5F744459" w14:textId="77777777" w:rsidR="00DF3959" w:rsidRPr="00DF3959" w:rsidRDefault="00DF3959" w:rsidP="00DF3959">
      <w:pPr>
        <w:pStyle w:val="BodyText"/>
      </w:pPr>
      <w:r w:rsidRPr="00DF3959">
        <w:rPr>
          <w:u w:val="single"/>
        </w:rPr>
        <w:lastRenderedPageBreak/>
        <w:t>Pre-Employment Transition Services:</w:t>
      </w:r>
      <w:r w:rsidRPr="00DF3959">
        <w:t xml:space="preserve"> In response to the passage of the Workforce Innovation and Opportunity Act (WIOA) in July 2014, the VR program began a widespread effort to increase the number of students served, ages 14-22 years, and the number of services available in the Pre-Employment Transition Services (Pre-ETS) category for these students.  The two charts below show significant increases from FY 2021 to FY 2024 in (1) service provision and (2) purchased services for all </w:t>
      </w:r>
      <w:proofErr w:type="gramStart"/>
      <w:r w:rsidRPr="00DF3959">
        <w:t>Pre-ETS</w:t>
      </w:r>
      <w:proofErr w:type="gramEnd"/>
      <w:r w:rsidRPr="00DF3959">
        <w:t xml:space="preserve"> customers, and one of the fastest growing services, Post Secondary Education and Training (PSET).  </w:t>
      </w:r>
    </w:p>
    <w:p w14:paraId="0A6EF568" w14:textId="77777777" w:rsidR="00DF3959" w:rsidRPr="00DF3959" w:rsidRDefault="00DF3959" w:rsidP="00B05B14">
      <w:pPr>
        <w:pStyle w:val="BodyText3"/>
      </w:pPr>
      <w:r w:rsidRPr="00DF3959">
        <w:t>Pre-ETS and PSET Service Provision, SFY 2021 - 2024 </w:t>
      </w:r>
    </w:p>
    <w:tbl>
      <w:tblPr>
        <w:tblStyle w:val="TableGrid1"/>
        <w:tblW w:w="0" w:type="dxa"/>
        <w:tblCellMar>
          <w:top w:w="58" w:type="dxa"/>
          <w:bottom w:w="58" w:type="dxa"/>
        </w:tblCellMar>
        <w:tblLook w:val="04A0" w:firstRow="1" w:lastRow="0" w:firstColumn="1" w:lastColumn="0" w:noHBand="0" w:noVBand="1"/>
      </w:tblPr>
      <w:tblGrid>
        <w:gridCol w:w="1065"/>
        <w:gridCol w:w="3765"/>
        <w:gridCol w:w="3780"/>
      </w:tblGrid>
      <w:tr w:rsidR="00DF3959" w:rsidRPr="00C204C7" w14:paraId="435D9E38" w14:textId="77777777" w:rsidTr="00C204C7">
        <w:trPr>
          <w:trHeight w:val="570"/>
          <w:tblHeader/>
        </w:trPr>
        <w:tc>
          <w:tcPr>
            <w:tcW w:w="1065" w:type="dxa"/>
            <w:shd w:val="clear" w:color="auto" w:fill="B8CCE4" w:themeFill="accent1" w:themeFillTint="66"/>
            <w:hideMark/>
          </w:tcPr>
          <w:p w14:paraId="11715247" w14:textId="28C81FFC" w:rsidR="00DF3959" w:rsidRPr="00C204C7" w:rsidRDefault="00DF3959" w:rsidP="00C204C7">
            <w:pPr>
              <w:pStyle w:val="TableHeaders"/>
              <w:rPr>
                <w:b w:val="0"/>
                <w:bCs/>
              </w:rPr>
            </w:pPr>
            <w:r w:rsidRPr="00C204C7">
              <w:rPr>
                <w:b w:val="0"/>
                <w:bCs/>
              </w:rPr>
              <w:t>SFY</w:t>
            </w:r>
          </w:p>
        </w:tc>
        <w:tc>
          <w:tcPr>
            <w:tcW w:w="3765" w:type="dxa"/>
            <w:shd w:val="clear" w:color="auto" w:fill="B8CCE4" w:themeFill="accent1" w:themeFillTint="66"/>
            <w:hideMark/>
          </w:tcPr>
          <w:p w14:paraId="436E1F19" w14:textId="77777777" w:rsidR="00DF3959" w:rsidRPr="00C204C7" w:rsidRDefault="00DF3959" w:rsidP="00C204C7">
            <w:pPr>
              <w:pStyle w:val="TableHeaders"/>
              <w:rPr>
                <w:b w:val="0"/>
                <w:bCs/>
              </w:rPr>
            </w:pPr>
            <w:r w:rsidRPr="00C204C7">
              <w:rPr>
                <w:b w:val="0"/>
                <w:bCs/>
              </w:rPr>
              <w:t>All Customers with Pre-ETS (Purchased or VR Staff Provided) </w:t>
            </w:r>
          </w:p>
        </w:tc>
        <w:tc>
          <w:tcPr>
            <w:tcW w:w="3780" w:type="dxa"/>
            <w:shd w:val="clear" w:color="auto" w:fill="B8CCE4" w:themeFill="accent1" w:themeFillTint="66"/>
            <w:hideMark/>
          </w:tcPr>
          <w:p w14:paraId="72ABC97C" w14:textId="77777777" w:rsidR="00DF3959" w:rsidRPr="00C204C7" w:rsidRDefault="00DF3959" w:rsidP="00C204C7">
            <w:pPr>
              <w:pStyle w:val="TableHeaders"/>
              <w:rPr>
                <w:b w:val="0"/>
                <w:bCs/>
              </w:rPr>
            </w:pPr>
            <w:r w:rsidRPr="00C204C7">
              <w:rPr>
                <w:b w:val="0"/>
                <w:bCs/>
              </w:rPr>
              <w:t>All Customers with Post Sec Education and Training (Purchas</w:t>
            </w:r>
            <w:r w:rsidRPr="00C204C7">
              <w:rPr>
                <w:b w:val="0"/>
                <w:bCs/>
                <w:u w:val="single"/>
              </w:rPr>
              <w:t>ed</w:t>
            </w:r>
            <w:r w:rsidRPr="00C204C7">
              <w:rPr>
                <w:b w:val="0"/>
                <w:bCs/>
              </w:rPr>
              <w:t xml:space="preserve"> or Arranged) </w:t>
            </w:r>
          </w:p>
        </w:tc>
      </w:tr>
      <w:tr w:rsidR="00DF3959" w:rsidRPr="00DF3959" w14:paraId="10215353" w14:textId="77777777" w:rsidTr="00C204C7">
        <w:trPr>
          <w:trHeight w:val="570"/>
        </w:trPr>
        <w:tc>
          <w:tcPr>
            <w:tcW w:w="1065" w:type="dxa"/>
            <w:vAlign w:val="center"/>
            <w:hideMark/>
          </w:tcPr>
          <w:p w14:paraId="798BB410" w14:textId="77777777" w:rsidR="00DF3959" w:rsidRPr="00DF3959" w:rsidRDefault="00DF3959" w:rsidP="00C204C7">
            <w:pPr>
              <w:pStyle w:val="TableText"/>
            </w:pPr>
            <w:r w:rsidRPr="00DF3959">
              <w:t>2021 </w:t>
            </w:r>
          </w:p>
        </w:tc>
        <w:tc>
          <w:tcPr>
            <w:tcW w:w="3765" w:type="dxa"/>
            <w:vAlign w:val="center"/>
            <w:hideMark/>
          </w:tcPr>
          <w:p w14:paraId="7F87D553" w14:textId="77777777" w:rsidR="00DF3959" w:rsidRPr="00DF3959" w:rsidRDefault="00DF3959" w:rsidP="00C204C7">
            <w:pPr>
              <w:pStyle w:val="TableText"/>
              <w:jc w:val="right"/>
            </w:pPr>
            <w:r w:rsidRPr="00DF3959">
              <w:t>12,442 </w:t>
            </w:r>
          </w:p>
        </w:tc>
        <w:tc>
          <w:tcPr>
            <w:tcW w:w="3780" w:type="dxa"/>
            <w:vAlign w:val="center"/>
            <w:hideMark/>
          </w:tcPr>
          <w:p w14:paraId="190FD9C0" w14:textId="77777777" w:rsidR="00DF3959" w:rsidRPr="00DF3959" w:rsidRDefault="00DF3959" w:rsidP="00C204C7">
            <w:pPr>
              <w:pStyle w:val="TableText"/>
              <w:jc w:val="right"/>
            </w:pPr>
            <w:r w:rsidRPr="00DF3959">
              <w:t>5,597 </w:t>
            </w:r>
          </w:p>
        </w:tc>
      </w:tr>
      <w:tr w:rsidR="00DF3959" w:rsidRPr="00DF3959" w14:paraId="48F7B724" w14:textId="77777777" w:rsidTr="00C204C7">
        <w:trPr>
          <w:trHeight w:val="570"/>
        </w:trPr>
        <w:tc>
          <w:tcPr>
            <w:tcW w:w="1065" w:type="dxa"/>
            <w:vAlign w:val="center"/>
            <w:hideMark/>
          </w:tcPr>
          <w:p w14:paraId="69864FF2" w14:textId="77777777" w:rsidR="00DF3959" w:rsidRPr="00DF3959" w:rsidRDefault="00DF3959" w:rsidP="00C204C7">
            <w:pPr>
              <w:pStyle w:val="TableText"/>
            </w:pPr>
            <w:r w:rsidRPr="00DF3959">
              <w:t>2022 </w:t>
            </w:r>
          </w:p>
        </w:tc>
        <w:tc>
          <w:tcPr>
            <w:tcW w:w="3765" w:type="dxa"/>
            <w:vAlign w:val="center"/>
            <w:hideMark/>
          </w:tcPr>
          <w:p w14:paraId="60B5EAFA" w14:textId="77777777" w:rsidR="00DF3959" w:rsidRPr="00DF3959" w:rsidRDefault="00DF3959" w:rsidP="00C204C7">
            <w:pPr>
              <w:pStyle w:val="TableText"/>
              <w:jc w:val="right"/>
            </w:pPr>
            <w:r w:rsidRPr="00DF3959">
              <w:t>14,173 </w:t>
            </w:r>
          </w:p>
        </w:tc>
        <w:tc>
          <w:tcPr>
            <w:tcW w:w="3780" w:type="dxa"/>
            <w:vAlign w:val="center"/>
            <w:hideMark/>
          </w:tcPr>
          <w:p w14:paraId="3E046086" w14:textId="77777777" w:rsidR="00DF3959" w:rsidRPr="00DF3959" w:rsidRDefault="00DF3959" w:rsidP="00C204C7">
            <w:pPr>
              <w:pStyle w:val="TableText"/>
              <w:jc w:val="right"/>
            </w:pPr>
            <w:r w:rsidRPr="00DF3959">
              <w:t>6,524 </w:t>
            </w:r>
          </w:p>
        </w:tc>
      </w:tr>
      <w:tr w:rsidR="00DF3959" w:rsidRPr="00DF3959" w14:paraId="5DD4F127" w14:textId="77777777" w:rsidTr="00C204C7">
        <w:trPr>
          <w:trHeight w:val="570"/>
        </w:trPr>
        <w:tc>
          <w:tcPr>
            <w:tcW w:w="1065" w:type="dxa"/>
            <w:vAlign w:val="center"/>
            <w:hideMark/>
          </w:tcPr>
          <w:p w14:paraId="6239BE56" w14:textId="77777777" w:rsidR="00DF3959" w:rsidRPr="00DF3959" w:rsidRDefault="00DF3959" w:rsidP="00C204C7">
            <w:pPr>
              <w:pStyle w:val="TableText"/>
            </w:pPr>
            <w:r w:rsidRPr="00DF3959">
              <w:t>2023 </w:t>
            </w:r>
          </w:p>
        </w:tc>
        <w:tc>
          <w:tcPr>
            <w:tcW w:w="3765" w:type="dxa"/>
            <w:vAlign w:val="center"/>
            <w:hideMark/>
          </w:tcPr>
          <w:p w14:paraId="5C47D669" w14:textId="77777777" w:rsidR="00DF3959" w:rsidRPr="00DF3959" w:rsidRDefault="00DF3959" w:rsidP="00C204C7">
            <w:pPr>
              <w:pStyle w:val="TableText"/>
              <w:jc w:val="right"/>
            </w:pPr>
            <w:r w:rsidRPr="00DF3959">
              <w:t>16,587 </w:t>
            </w:r>
          </w:p>
        </w:tc>
        <w:tc>
          <w:tcPr>
            <w:tcW w:w="3780" w:type="dxa"/>
            <w:vAlign w:val="center"/>
            <w:hideMark/>
          </w:tcPr>
          <w:p w14:paraId="4AF96CEF" w14:textId="77777777" w:rsidR="00DF3959" w:rsidRPr="00DF3959" w:rsidRDefault="00DF3959" w:rsidP="00C204C7">
            <w:pPr>
              <w:pStyle w:val="TableText"/>
              <w:jc w:val="right"/>
            </w:pPr>
            <w:r w:rsidRPr="00DF3959">
              <w:t>7,683 </w:t>
            </w:r>
          </w:p>
        </w:tc>
      </w:tr>
      <w:tr w:rsidR="00DF3959" w:rsidRPr="00DF3959" w14:paraId="1E28CD26" w14:textId="77777777" w:rsidTr="00C204C7">
        <w:trPr>
          <w:trHeight w:val="570"/>
        </w:trPr>
        <w:tc>
          <w:tcPr>
            <w:tcW w:w="1065" w:type="dxa"/>
            <w:vAlign w:val="center"/>
            <w:hideMark/>
          </w:tcPr>
          <w:p w14:paraId="4D344753" w14:textId="77777777" w:rsidR="00DF3959" w:rsidRPr="00DF3959" w:rsidRDefault="00DF3959" w:rsidP="00C204C7">
            <w:pPr>
              <w:pStyle w:val="TableText"/>
            </w:pPr>
            <w:r w:rsidRPr="00DF3959">
              <w:t>2024 </w:t>
            </w:r>
          </w:p>
        </w:tc>
        <w:tc>
          <w:tcPr>
            <w:tcW w:w="3765" w:type="dxa"/>
            <w:vAlign w:val="center"/>
            <w:hideMark/>
          </w:tcPr>
          <w:p w14:paraId="69A1130A" w14:textId="77777777" w:rsidR="00DF3959" w:rsidRPr="00DF3959" w:rsidRDefault="00DF3959" w:rsidP="00C204C7">
            <w:pPr>
              <w:pStyle w:val="TableText"/>
              <w:jc w:val="right"/>
            </w:pPr>
            <w:r w:rsidRPr="00DF3959">
              <w:t>16,799 </w:t>
            </w:r>
          </w:p>
        </w:tc>
        <w:tc>
          <w:tcPr>
            <w:tcW w:w="3780" w:type="dxa"/>
            <w:vAlign w:val="center"/>
            <w:hideMark/>
          </w:tcPr>
          <w:p w14:paraId="6364694E" w14:textId="77777777" w:rsidR="00DF3959" w:rsidRPr="00DF3959" w:rsidRDefault="00DF3959" w:rsidP="00C204C7">
            <w:pPr>
              <w:pStyle w:val="TableText"/>
              <w:jc w:val="right"/>
            </w:pPr>
            <w:r w:rsidRPr="00DF3959">
              <w:t>8,867 </w:t>
            </w:r>
          </w:p>
        </w:tc>
      </w:tr>
    </w:tbl>
    <w:p w14:paraId="6EB2C478" w14:textId="77777777" w:rsidR="00DF3959" w:rsidRPr="00DF3959" w:rsidRDefault="00DF3959" w:rsidP="00C204C7">
      <w:pPr>
        <w:pStyle w:val="BodyText3"/>
      </w:pPr>
      <w:r w:rsidRPr="00DF3959">
        <w:t>Pre-ETS and PSET Purchased Service Provision, SFY 2021 - 2024 </w:t>
      </w:r>
    </w:p>
    <w:tbl>
      <w:tblPr>
        <w:tblStyle w:val="TableGrid1"/>
        <w:tblW w:w="0" w:type="dxa"/>
        <w:tblCellMar>
          <w:top w:w="58" w:type="dxa"/>
          <w:bottom w:w="58" w:type="dxa"/>
        </w:tblCellMar>
        <w:tblLook w:val="04A0" w:firstRow="1" w:lastRow="0" w:firstColumn="1" w:lastColumn="0" w:noHBand="0" w:noVBand="1"/>
      </w:tblPr>
      <w:tblGrid>
        <w:gridCol w:w="1065"/>
        <w:gridCol w:w="2895"/>
        <w:gridCol w:w="3585"/>
      </w:tblGrid>
      <w:tr w:rsidR="00DF3959" w:rsidRPr="00C204C7" w14:paraId="7553A056" w14:textId="77777777" w:rsidTr="00C204C7">
        <w:trPr>
          <w:trHeight w:val="570"/>
          <w:tblHeader/>
        </w:trPr>
        <w:tc>
          <w:tcPr>
            <w:tcW w:w="1065" w:type="dxa"/>
            <w:shd w:val="clear" w:color="auto" w:fill="B8CCE4" w:themeFill="accent1" w:themeFillTint="66"/>
            <w:vAlign w:val="center"/>
            <w:hideMark/>
          </w:tcPr>
          <w:p w14:paraId="2D76F109" w14:textId="188D7196" w:rsidR="00DF3959" w:rsidRPr="00C204C7" w:rsidRDefault="00DF3959" w:rsidP="00C204C7">
            <w:pPr>
              <w:pStyle w:val="TableHeaders"/>
              <w:rPr>
                <w:b w:val="0"/>
                <w:bCs/>
              </w:rPr>
            </w:pPr>
            <w:r w:rsidRPr="00C204C7">
              <w:rPr>
                <w:b w:val="0"/>
                <w:bCs/>
              </w:rPr>
              <w:t>SFY</w:t>
            </w:r>
          </w:p>
        </w:tc>
        <w:tc>
          <w:tcPr>
            <w:tcW w:w="2895" w:type="dxa"/>
            <w:shd w:val="clear" w:color="auto" w:fill="B8CCE4" w:themeFill="accent1" w:themeFillTint="66"/>
            <w:vAlign w:val="center"/>
            <w:hideMark/>
          </w:tcPr>
          <w:p w14:paraId="4709B83E" w14:textId="5814A95B" w:rsidR="00DF3959" w:rsidRPr="00C204C7" w:rsidRDefault="00DF3959" w:rsidP="00C204C7">
            <w:pPr>
              <w:pStyle w:val="TableHeaders"/>
              <w:rPr>
                <w:b w:val="0"/>
                <w:bCs/>
              </w:rPr>
            </w:pPr>
            <w:r w:rsidRPr="00C204C7">
              <w:rPr>
                <w:b w:val="0"/>
                <w:bCs/>
              </w:rPr>
              <w:t>Customers with Pre-ETS Purchased Services</w:t>
            </w:r>
          </w:p>
        </w:tc>
        <w:tc>
          <w:tcPr>
            <w:tcW w:w="3585" w:type="dxa"/>
            <w:shd w:val="clear" w:color="auto" w:fill="B8CCE4" w:themeFill="accent1" w:themeFillTint="66"/>
            <w:vAlign w:val="center"/>
            <w:hideMark/>
          </w:tcPr>
          <w:p w14:paraId="5AEDF16C" w14:textId="2BB1E56C" w:rsidR="00DF3959" w:rsidRPr="00C204C7" w:rsidRDefault="00DF3959" w:rsidP="00C204C7">
            <w:pPr>
              <w:pStyle w:val="TableHeaders"/>
              <w:rPr>
                <w:b w:val="0"/>
                <w:bCs/>
              </w:rPr>
            </w:pPr>
            <w:r w:rsidRPr="00C204C7">
              <w:rPr>
                <w:b w:val="0"/>
                <w:bCs/>
              </w:rPr>
              <w:t>Customers with Post Sec Education and Training Purchased Services</w:t>
            </w:r>
          </w:p>
        </w:tc>
      </w:tr>
      <w:tr w:rsidR="00DF3959" w:rsidRPr="00DF3959" w14:paraId="192D24A8" w14:textId="77777777" w:rsidTr="00C204C7">
        <w:trPr>
          <w:trHeight w:val="570"/>
        </w:trPr>
        <w:tc>
          <w:tcPr>
            <w:tcW w:w="1065" w:type="dxa"/>
            <w:vAlign w:val="center"/>
            <w:hideMark/>
          </w:tcPr>
          <w:p w14:paraId="243AF6DC" w14:textId="207FD479" w:rsidR="00DF3959" w:rsidRPr="00DF3959" w:rsidRDefault="00DF3959" w:rsidP="00C204C7">
            <w:pPr>
              <w:pStyle w:val="BodyText"/>
            </w:pPr>
            <w:r w:rsidRPr="00DF3959">
              <w:rPr>
                <w:b/>
                <w:bCs/>
              </w:rPr>
              <w:t>2021</w:t>
            </w:r>
          </w:p>
        </w:tc>
        <w:tc>
          <w:tcPr>
            <w:tcW w:w="2895" w:type="dxa"/>
            <w:vAlign w:val="center"/>
            <w:hideMark/>
          </w:tcPr>
          <w:p w14:paraId="051D13E4" w14:textId="6306FC33" w:rsidR="00DF3959" w:rsidRPr="00DF3959" w:rsidRDefault="00DF3959" w:rsidP="00C204C7">
            <w:pPr>
              <w:pStyle w:val="BodyText"/>
              <w:jc w:val="right"/>
            </w:pPr>
            <w:r w:rsidRPr="00DF3959">
              <w:t>5,102</w:t>
            </w:r>
          </w:p>
        </w:tc>
        <w:tc>
          <w:tcPr>
            <w:tcW w:w="3585" w:type="dxa"/>
            <w:vAlign w:val="center"/>
            <w:hideMark/>
          </w:tcPr>
          <w:p w14:paraId="4790CD9F" w14:textId="1E060CFE" w:rsidR="00DF3959" w:rsidRPr="00DF3959" w:rsidRDefault="00DF3959" w:rsidP="00C204C7">
            <w:pPr>
              <w:pStyle w:val="BodyText"/>
              <w:jc w:val="right"/>
            </w:pPr>
            <w:r w:rsidRPr="00DF3959">
              <w:t>5,002</w:t>
            </w:r>
          </w:p>
        </w:tc>
      </w:tr>
      <w:tr w:rsidR="00DF3959" w:rsidRPr="00DF3959" w14:paraId="3CA5C8B4" w14:textId="77777777" w:rsidTr="00C204C7">
        <w:trPr>
          <w:trHeight w:val="570"/>
        </w:trPr>
        <w:tc>
          <w:tcPr>
            <w:tcW w:w="1065" w:type="dxa"/>
            <w:vAlign w:val="center"/>
            <w:hideMark/>
          </w:tcPr>
          <w:p w14:paraId="73E3F6FA" w14:textId="692D254B" w:rsidR="00DF3959" w:rsidRPr="00DF3959" w:rsidRDefault="00DF3959" w:rsidP="00C204C7">
            <w:pPr>
              <w:pStyle w:val="BodyText"/>
            </w:pPr>
            <w:r w:rsidRPr="00DF3959">
              <w:rPr>
                <w:b/>
                <w:bCs/>
              </w:rPr>
              <w:t>2022</w:t>
            </w:r>
          </w:p>
        </w:tc>
        <w:tc>
          <w:tcPr>
            <w:tcW w:w="2895" w:type="dxa"/>
            <w:vAlign w:val="center"/>
            <w:hideMark/>
          </w:tcPr>
          <w:p w14:paraId="0B86CCA2" w14:textId="03FC90DB" w:rsidR="00DF3959" w:rsidRPr="00DF3959" w:rsidRDefault="00DF3959" w:rsidP="00C204C7">
            <w:pPr>
              <w:pStyle w:val="BodyText"/>
              <w:jc w:val="right"/>
            </w:pPr>
            <w:r w:rsidRPr="00DF3959">
              <w:t>7,031</w:t>
            </w:r>
          </w:p>
        </w:tc>
        <w:tc>
          <w:tcPr>
            <w:tcW w:w="3585" w:type="dxa"/>
            <w:vAlign w:val="center"/>
            <w:hideMark/>
          </w:tcPr>
          <w:p w14:paraId="4D652769" w14:textId="0B4DD689" w:rsidR="00DF3959" w:rsidRPr="00DF3959" w:rsidRDefault="00DF3959" w:rsidP="00C204C7">
            <w:pPr>
              <w:pStyle w:val="BodyText"/>
              <w:jc w:val="right"/>
            </w:pPr>
            <w:r w:rsidRPr="00DF3959">
              <w:t>5,894</w:t>
            </w:r>
          </w:p>
        </w:tc>
      </w:tr>
      <w:tr w:rsidR="00DF3959" w:rsidRPr="00DF3959" w14:paraId="3C82E770" w14:textId="77777777" w:rsidTr="00C204C7">
        <w:trPr>
          <w:trHeight w:val="570"/>
        </w:trPr>
        <w:tc>
          <w:tcPr>
            <w:tcW w:w="1065" w:type="dxa"/>
            <w:vAlign w:val="center"/>
            <w:hideMark/>
          </w:tcPr>
          <w:p w14:paraId="3F1167E6" w14:textId="442C095B" w:rsidR="00DF3959" w:rsidRPr="00DF3959" w:rsidRDefault="00DF3959" w:rsidP="00C204C7">
            <w:pPr>
              <w:pStyle w:val="BodyText"/>
            </w:pPr>
            <w:r w:rsidRPr="00DF3959">
              <w:rPr>
                <w:b/>
                <w:bCs/>
              </w:rPr>
              <w:t>2023</w:t>
            </w:r>
          </w:p>
        </w:tc>
        <w:tc>
          <w:tcPr>
            <w:tcW w:w="2895" w:type="dxa"/>
            <w:vAlign w:val="center"/>
            <w:hideMark/>
          </w:tcPr>
          <w:p w14:paraId="19CBB979" w14:textId="686FBBC0" w:rsidR="00DF3959" w:rsidRPr="00DF3959" w:rsidRDefault="00DF3959" w:rsidP="00C204C7">
            <w:pPr>
              <w:pStyle w:val="BodyText"/>
              <w:jc w:val="right"/>
            </w:pPr>
            <w:r w:rsidRPr="00DF3959">
              <w:t>7,747</w:t>
            </w:r>
          </w:p>
        </w:tc>
        <w:tc>
          <w:tcPr>
            <w:tcW w:w="3585" w:type="dxa"/>
            <w:vAlign w:val="center"/>
            <w:hideMark/>
          </w:tcPr>
          <w:p w14:paraId="37972568" w14:textId="2182B0D5" w:rsidR="00DF3959" w:rsidRPr="00DF3959" w:rsidRDefault="00DF3959" w:rsidP="00C204C7">
            <w:pPr>
              <w:pStyle w:val="BodyText"/>
              <w:jc w:val="right"/>
            </w:pPr>
            <w:r w:rsidRPr="00DF3959">
              <w:t>7,068</w:t>
            </w:r>
          </w:p>
        </w:tc>
      </w:tr>
      <w:tr w:rsidR="00DF3959" w:rsidRPr="00DF3959" w14:paraId="561A3816" w14:textId="77777777" w:rsidTr="00C204C7">
        <w:trPr>
          <w:trHeight w:val="570"/>
        </w:trPr>
        <w:tc>
          <w:tcPr>
            <w:tcW w:w="1065" w:type="dxa"/>
            <w:vAlign w:val="center"/>
            <w:hideMark/>
          </w:tcPr>
          <w:p w14:paraId="04F599AB" w14:textId="2DC6AD6D" w:rsidR="00DF3959" w:rsidRPr="00DF3959" w:rsidRDefault="00DF3959" w:rsidP="00C204C7">
            <w:pPr>
              <w:pStyle w:val="BodyText"/>
            </w:pPr>
            <w:r w:rsidRPr="00DF3959">
              <w:rPr>
                <w:b/>
                <w:bCs/>
              </w:rPr>
              <w:t>2024</w:t>
            </w:r>
          </w:p>
        </w:tc>
        <w:tc>
          <w:tcPr>
            <w:tcW w:w="2895" w:type="dxa"/>
            <w:vAlign w:val="center"/>
            <w:hideMark/>
          </w:tcPr>
          <w:p w14:paraId="5D14F0C3" w14:textId="39F80477" w:rsidR="00DF3959" w:rsidRPr="00DF3959" w:rsidRDefault="00DF3959" w:rsidP="00C204C7">
            <w:pPr>
              <w:pStyle w:val="BodyText"/>
              <w:jc w:val="right"/>
            </w:pPr>
            <w:r w:rsidRPr="00DF3959">
              <w:t>8,931</w:t>
            </w:r>
          </w:p>
        </w:tc>
        <w:tc>
          <w:tcPr>
            <w:tcW w:w="3585" w:type="dxa"/>
            <w:vAlign w:val="center"/>
            <w:hideMark/>
          </w:tcPr>
          <w:p w14:paraId="07655929" w14:textId="7AD02936" w:rsidR="00DF3959" w:rsidRPr="00DF3959" w:rsidRDefault="00DF3959" w:rsidP="00C204C7">
            <w:pPr>
              <w:pStyle w:val="BodyText"/>
              <w:jc w:val="right"/>
            </w:pPr>
            <w:r w:rsidRPr="00DF3959">
              <w:t>8,356</w:t>
            </w:r>
          </w:p>
        </w:tc>
      </w:tr>
    </w:tbl>
    <w:p w14:paraId="46E674B1" w14:textId="77777777" w:rsidR="00DF3959" w:rsidRPr="00DF3959" w:rsidRDefault="00DF3959" w:rsidP="00DF3959">
      <w:pPr>
        <w:pStyle w:val="BodyText"/>
      </w:pPr>
      <w:r w:rsidRPr="00DF3959">
        <w:t>Recent evaluation of these efforts shows the highest rate of return on investment with this age group (16-24).  For every dollar spent on their cases, youth made an additional $11.94 in income over the next five years (compared to the average $5.66 for all participants), and up to $1.43 was recouped by the federal government as income tax and up to $0.98 was recouped by Texas in sales tax for the age group.  </w:t>
      </w:r>
    </w:p>
    <w:p w14:paraId="121775D5" w14:textId="77777777" w:rsidR="00DF3959" w:rsidRPr="00DF3959" w:rsidRDefault="00DF3959" w:rsidP="00DF3959">
      <w:pPr>
        <w:pStyle w:val="BodyText"/>
      </w:pPr>
      <w:r w:rsidRPr="00DF3959">
        <w:lastRenderedPageBreak/>
        <w:t>Some of the major initiatives include the following: </w:t>
      </w:r>
    </w:p>
    <w:p w14:paraId="29102374" w14:textId="77777777" w:rsidR="00DF3959" w:rsidRPr="00DF3959" w:rsidRDefault="00DF3959" w:rsidP="00C64851">
      <w:pPr>
        <w:pStyle w:val="BodyText"/>
        <w:numPr>
          <w:ilvl w:val="0"/>
          <w:numId w:val="679"/>
        </w:numPr>
      </w:pPr>
      <w:r w:rsidRPr="00DF3959">
        <w:rPr>
          <w:b/>
          <w:bCs/>
        </w:rPr>
        <w:t xml:space="preserve">Summer Earn and Learn (SEAL): </w:t>
      </w:r>
      <w:r w:rsidRPr="00DF3959">
        <w:t>Paid work experience during the summer. </w:t>
      </w:r>
    </w:p>
    <w:p w14:paraId="6B2CE005" w14:textId="77777777" w:rsidR="00DF3959" w:rsidRPr="00DF3959" w:rsidRDefault="00DF3959" w:rsidP="00C64851">
      <w:pPr>
        <w:pStyle w:val="BodyText"/>
        <w:numPr>
          <w:ilvl w:val="0"/>
          <w:numId w:val="680"/>
        </w:numPr>
      </w:pPr>
      <w:r w:rsidRPr="00DF3959">
        <w:rPr>
          <w:b/>
          <w:bCs/>
        </w:rPr>
        <w:t xml:space="preserve">Explore </w:t>
      </w:r>
      <w:proofErr w:type="gramStart"/>
      <w:r w:rsidRPr="00DF3959">
        <w:rPr>
          <w:b/>
          <w:bCs/>
        </w:rPr>
        <w:t>STEM!:</w:t>
      </w:r>
      <w:proofErr w:type="gramEnd"/>
      <w:r w:rsidRPr="00DF3959">
        <w:rPr>
          <w:b/>
          <w:bCs/>
        </w:rPr>
        <w:t xml:space="preserve"> </w:t>
      </w:r>
      <w:r w:rsidRPr="00DF3959">
        <w:t>Camps exposing students to careers in science, technology, engineering, and math. </w:t>
      </w:r>
    </w:p>
    <w:p w14:paraId="339B1993" w14:textId="77777777" w:rsidR="00DF3959" w:rsidRPr="00DF3959" w:rsidRDefault="00DF3959" w:rsidP="00C64851">
      <w:pPr>
        <w:pStyle w:val="BodyText"/>
        <w:numPr>
          <w:ilvl w:val="0"/>
          <w:numId w:val="681"/>
        </w:numPr>
      </w:pPr>
      <w:r w:rsidRPr="00DF3959">
        <w:rPr>
          <w:b/>
          <w:bCs/>
        </w:rPr>
        <w:t xml:space="preserve">Student </w:t>
      </w:r>
      <w:proofErr w:type="spellStart"/>
      <w:r w:rsidRPr="00DF3959">
        <w:rPr>
          <w:b/>
          <w:bCs/>
        </w:rPr>
        <w:t>HireAbility</w:t>
      </w:r>
      <w:proofErr w:type="spellEnd"/>
      <w:r w:rsidRPr="00DF3959">
        <w:rPr>
          <w:b/>
          <w:bCs/>
        </w:rPr>
        <w:t xml:space="preserve"> Navigators (SHNs): </w:t>
      </w:r>
      <w:r w:rsidRPr="00DF3959">
        <w:t>Help build community connections for students with disabilities. </w:t>
      </w:r>
    </w:p>
    <w:p w14:paraId="6030FCAF" w14:textId="77777777" w:rsidR="00DF3959" w:rsidRPr="00DF3959" w:rsidRDefault="00DF3959" w:rsidP="00C64851">
      <w:pPr>
        <w:pStyle w:val="BodyText"/>
        <w:numPr>
          <w:ilvl w:val="0"/>
          <w:numId w:val="682"/>
        </w:numPr>
      </w:pPr>
      <w:r w:rsidRPr="00DF3959">
        <w:rPr>
          <w:b/>
          <w:bCs/>
        </w:rPr>
        <w:t xml:space="preserve">Pre-ETS Elective Course Curriculum: </w:t>
      </w:r>
      <w:r w:rsidRPr="00DF3959">
        <w:t>A one or two-semester curriculum for secondary students with disabilities, exploring options for piloting. </w:t>
      </w:r>
    </w:p>
    <w:p w14:paraId="525AAF13" w14:textId="77777777" w:rsidR="00DF3959" w:rsidRPr="00DF3959" w:rsidRDefault="00DF3959" w:rsidP="00C64851">
      <w:pPr>
        <w:pStyle w:val="BodyText"/>
        <w:numPr>
          <w:ilvl w:val="0"/>
          <w:numId w:val="683"/>
        </w:numPr>
      </w:pPr>
      <w:r w:rsidRPr="00DF3959">
        <w:rPr>
          <w:b/>
          <w:bCs/>
        </w:rPr>
        <w:t xml:space="preserve">Pre-ETS Tools for Students: </w:t>
      </w:r>
      <w:r w:rsidRPr="00DF3959">
        <w:t xml:space="preserve">A Pre-ETS module to be added to the Texas </w:t>
      </w:r>
      <w:proofErr w:type="spellStart"/>
      <w:r w:rsidRPr="00DF3959">
        <w:t>OnCourse</w:t>
      </w:r>
      <w:proofErr w:type="spellEnd"/>
      <w:r w:rsidRPr="00DF3959">
        <w:t xml:space="preserve"> platform. and a Parent tool called Tomorrow Ready Texas. </w:t>
      </w:r>
    </w:p>
    <w:p w14:paraId="7BFB3C26" w14:textId="77777777" w:rsidR="00DF3959" w:rsidRPr="00DF3959" w:rsidRDefault="00DF3959" w:rsidP="00C64851">
      <w:pPr>
        <w:pStyle w:val="BodyText"/>
        <w:numPr>
          <w:ilvl w:val="0"/>
          <w:numId w:val="684"/>
        </w:numPr>
      </w:pPr>
      <w:r w:rsidRPr="00DF3959">
        <w:rPr>
          <w:b/>
          <w:bCs/>
        </w:rPr>
        <w:t xml:space="preserve">Capacity Building: </w:t>
      </w:r>
      <w:r w:rsidRPr="00DF3959">
        <w:t>A series of meetings to gather feedback about the challenges and strengths of VR/school partnerships as it relates to serving students.  </w:t>
      </w:r>
    </w:p>
    <w:p w14:paraId="703F6C3F" w14:textId="77777777" w:rsidR="00DF3959" w:rsidRPr="00DF3959" w:rsidRDefault="00DF3959" w:rsidP="00C64851">
      <w:pPr>
        <w:pStyle w:val="BodyText"/>
        <w:numPr>
          <w:ilvl w:val="0"/>
          <w:numId w:val="685"/>
        </w:numPr>
      </w:pPr>
      <w:r w:rsidRPr="00DF3959">
        <w:rPr>
          <w:b/>
          <w:bCs/>
        </w:rPr>
        <w:t xml:space="preserve">Other strategies </w:t>
      </w:r>
      <w:proofErr w:type="gramStart"/>
      <w:r w:rsidRPr="00DF3959">
        <w:rPr>
          <w:b/>
          <w:bCs/>
        </w:rPr>
        <w:t>include:</w:t>
      </w:r>
      <w:proofErr w:type="gramEnd"/>
      <w:r w:rsidRPr="00DF3959">
        <w:rPr>
          <w:b/>
          <w:bCs/>
        </w:rPr>
        <w:t xml:space="preserve"> </w:t>
      </w:r>
      <w:r w:rsidRPr="00DF3959">
        <w:t>Project Search (integrating students into businesses), Year-Round Paid Work Experience (PWE), and Work-Based Learning Projects for Youth (creating school-based enterprises). </w:t>
      </w:r>
    </w:p>
    <w:p w14:paraId="4E09AE2C" w14:textId="77777777" w:rsidR="00DF3959" w:rsidRPr="00DF3959" w:rsidRDefault="00DF3959" w:rsidP="00DF3959">
      <w:pPr>
        <w:pStyle w:val="BodyText"/>
      </w:pPr>
      <w:r w:rsidRPr="00DF3959">
        <w:t>The two examples below demonstrate the impact these services are making on this population. </w:t>
      </w:r>
    </w:p>
    <w:p w14:paraId="646BB53C" w14:textId="77777777" w:rsidR="00DF3959" w:rsidRPr="00DF3959" w:rsidRDefault="00DF3959" w:rsidP="00DF3959">
      <w:pPr>
        <w:pStyle w:val="BodyText"/>
        <w:rPr>
          <w:i/>
          <w:iCs/>
        </w:rPr>
      </w:pPr>
      <w:r w:rsidRPr="00DF3959">
        <w:rPr>
          <w:i/>
          <w:iCs/>
          <w:u w:val="single"/>
        </w:rPr>
        <w:t>Work-Based Learning and Post-Secondary Education and Training </w:t>
      </w:r>
      <w:r w:rsidRPr="00DF3959">
        <w:rPr>
          <w:i/>
          <w:iCs/>
        </w:rPr>
        <w:t> </w:t>
      </w:r>
    </w:p>
    <w:p w14:paraId="1314A42E" w14:textId="77777777" w:rsidR="00DF3959" w:rsidRPr="00DF3959" w:rsidRDefault="00DF3959" w:rsidP="00DF3959">
      <w:pPr>
        <w:pStyle w:val="BodyText"/>
      </w:pPr>
      <w:r w:rsidRPr="00DF3959">
        <w:t> The increase in training services under Customer First has contributed to higher wage gains for participants. Participants exiting in Program Year 2021 (July 2021 to June 2022) who completed Post-Secondary Education &amp; Training (PSE&amp;T</w:t>
      </w:r>
      <w:proofErr w:type="gramStart"/>
      <w:r w:rsidRPr="00DF3959">
        <w:t>)</w:t>
      </w:r>
      <w:proofErr w:type="gramEnd"/>
      <w:r w:rsidRPr="00DF3959">
        <w:t xml:space="preserve"> or Work Based Learning services during participation experienced significantly higher median wage gains of $7,736 and $3,818, respectively, at the second quarter after program exit compared to their earnings at IPE. For comparison, the median wage </w:t>
      </w:r>
      <w:proofErr w:type="gramStart"/>
      <w:r w:rsidRPr="00DF3959">
        <w:t>increase</w:t>
      </w:r>
      <w:proofErr w:type="gramEnd"/>
      <w:r w:rsidRPr="00DF3959">
        <w:t xml:space="preserve"> for all successful VR </w:t>
      </w:r>
      <w:proofErr w:type="spellStart"/>
      <w:r w:rsidRPr="00DF3959">
        <w:t>exiters</w:t>
      </w:r>
      <w:proofErr w:type="spellEnd"/>
      <w:r w:rsidRPr="00DF3959">
        <w:t xml:space="preserve"> at the second quarter after program exit compared to the wage at IPE was $2,546. </w:t>
      </w:r>
    </w:p>
    <w:p w14:paraId="6CA96F04" w14:textId="77777777" w:rsidR="00DF3959" w:rsidRPr="00DF3959" w:rsidRDefault="00DF3959" w:rsidP="00DF3959">
      <w:pPr>
        <w:pStyle w:val="BodyText"/>
        <w:rPr>
          <w:i/>
          <w:iCs/>
        </w:rPr>
      </w:pPr>
      <w:r w:rsidRPr="00DF3959">
        <w:rPr>
          <w:i/>
          <w:iCs/>
          <w:u w:val="single"/>
        </w:rPr>
        <w:t>Project Search – Evidence Based Programming </w:t>
      </w:r>
      <w:r w:rsidRPr="00DF3959">
        <w:rPr>
          <w:i/>
          <w:iCs/>
        </w:rPr>
        <w:t> </w:t>
      </w:r>
    </w:p>
    <w:p w14:paraId="3B14CE03" w14:textId="77777777" w:rsidR="00DF3959" w:rsidRPr="00DF3959" w:rsidRDefault="00DF3959" w:rsidP="00DF3959">
      <w:pPr>
        <w:pStyle w:val="BodyText"/>
      </w:pPr>
      <w:r w:rsidRPr="00DF3959">
        <w:t>A comprehensive evaluation of Project SEARCH1, which is a one-year business-led pre-employment training program that serves transition-age students and youth with disabilities, including those with significant intellectual and developmental impairments, with the aim of achieving competitive integrated employment. The evaluation found that Project SEARCH, which integrates employer partnerships with work-based learning, has proven highly effective, achieving an 87.4 percent success rate among SEARCH participants compared to 60.4 percent for non-participants.  Project SEARCH participants were 1.4 times more likely to achieve successful closure than non-participants. </w:t>
      </w:r>
    </w:p>
    <w:p w14:paraId="28300FC0" w14:textId="77777777" w:rsidR="00DF3959" w:rsidRPr="00DF3959" w:rsidRDefault="00DF3959" w:rsidP="00DF3959">
      <w:pPr>
        <w:pStyle w:val="BodyText"/>
      </w:pPr>
      <w:r w:rsidRPr="00DF3959">
        <w:rPr>
          <w:b/>
          <w:bCs/>
        </w:rPr>
        <w:lastRenderedPageBreak/>
        <w:t>Stakeholder Input </w:t>
      </w:r>
      <w:r w:rsidRPr="00DF3959">
        <w:t> </w:t>
      </w:r>
    </w:p>
    <w:p w14:paraId="56D8F73D" w14:textId="77777777" w:rsidR="00DF3959" w:rsidRPr="00DF3959" w:rsidRDefault="00DF3959" w:rsidP="00DF3959">
      <w:pPr>
        <w:pStyle w:val="BodyText"/>
      </w:pPr>
      <w:r w:rsidRPr="00DF3959">
        <w:t>To maintain transparency and effectiveness, VR actively solicits and utilizes stakeholder input. This practice is legally required and implemented through multiple avenues: public hearings, VR advisory council meetings, dedicated stakeholder relations staff, and a designated inquiries line. VR encourages stakeholder participation in strategic planning and budget development, incorporating their feedback into operational decisions to optimize program efficiency and effectiveness. </w:t>
      </w:r>
    </w:p>
    <w:p w14:paraId="5C91CBBB" w14:textId="77777777" w:rsidR="00DF3959" w:rsidRPr="00DF3959" w:rsidRDefault="00DF3959" w:rsidP="00DF3959">
      <w:pPr>
        <w:pStyle w:val="BodyText"/>
      </w:pPr>
      <w:r w:rsidRPr="00DF3959">
        <w:rPr>
          <w:u w:val="single"/>
        </w:rPr>
        <w:t>Customer Complaints Response:</w:t>
      </w:r>
      <w:r w:rsidRPr="00DF3959">
        <w:t> </w:t>
      </w:r>
    </w:p>
    <w:p w14:paraId="6041A657" w14:textId="77777777" w:rsidR="00DF3959" w:rsidRPr="00DF3959" w:rsidRDefault="00DF3959" w:rsidP="00DF3959">
      <w:pPr>
        <w:pStyle w:val="BodyText"/>
      </w:pPr>
      <w:r w:rsidRPr="00DF3959">
        <w:t>To improve customer service and address complaints effectively, VR implemented the following: </w:t>
      </w:r>
    </w:p>
    <w:p w14:paraId="5197368A" w14:textId="77777777" w:rsidR="00DF3959" w:rsidRPr="00DF3959" w:rsidRDefault="00DF3959" w:rsidP="00C64851">
      <w:pPr>
        <w:pStyle w:val="BodyText"/>
        <w:numPr>
          <w:ilvl w:val="0"/>
          <w:numId w:val="686"/>
        </w:numPr>
      </w:pPr>
      <w:r w:rsidRPr="00DF3959">
        <w:rPr>
          <w:u w:val="single"/>
        </w:rPr>
        <w:t>Customer Engagement Officers:</w:t>
      </w:r>
      <w:r w:rsidRPr="00DF3959">
        <w:t> In 2023, VR began adding Customer Engagement Officers into regional offices to improve customer service and address complaints (with three regions having them in place and another planning to add one). </w:t>
      </w:r>
    </w:p>
    <w:p w14:paraId="31142B4B" w14:textId="77777777" w:rsidR="00DF3959" w:rsidRPr="00DF3959" w:rsidRDefault="00DF3959" w:rsidP="00C64851">
      <w:pPr>
        <w:pStyle w:val="BodyText"/>
        <w:numPr>
          <w:ilvl w:val="0"/>
          <w:numId w:val="687"/>
        </w:numPr>
      </w:pPr>
      <w:r w:rsidRPr="00DF3959">
        <w:rPr>
          <w:u w:val="single"/>
        </w:rPr>
        <w:t>VR Ombudsman:</w:t>
      </w:r>
      <w:r w:rsidRPr="00DF3959">
        <w:t> In 2023, a VR Ombudsman was added to the state office to manage, monitor, and track complaints, working with regional leadership and Customer Engagement Officers to investigate and resolve them (handling over 700 complaints since its creation). </w:t>
      </w:r>
    </w:p>
    <w:p w14:paraId="6DCDA9F2" w14:textId="77777777" w:rsidR="00DF3959" w:rsidRPr="00DF3959" w:rsidRDefault="00DF3959" w:rsidP="00DF3959">
      <w:pPr>
        <w:pStyle w:val="BodyText"/>
      </w:pPr>
      <w:r w:rsidRPr="00DF3959">
        <w:rPr>
          <w:u w:val="single"/>
        </w:rPr>
        <w:t>Customer Engagement</w:t>
      </w:r>
      <w:r w:rsidRPr="00DF3959">
        <w:t>:</w:t>
      </w:r>
      <w:r w:rsidRPr="00DF3959">
        <w:rPr>
          <w:u w:val="single"/>
        </w:rPr>
        <w:t> </w:t>
      </w:r>
      <w:r w:rsidRPr="00DF3959">
        <w:t> </w:t>
      </w:r>
    </w:p>
    <w:p w14:paraId="05FD909E" w14:textId="77777777" w:rsidR="00DF3959" w:rsidRPr="00DF3959" w:rsidRDefault="00DF3959" w:rsidP="00DF3959">
      <w:pPr>
        <w:pStyle w:val="BodyText"/>
      </w:pPr>
      <w:r w:rsidRPr="00DF3959">
        <w:t>VR is committed to continuously improving its programs and services by listening and responding to customer feedback. Strategies and improvements from this information include: </w:t>
      </w:r>
    </w:p>
    <w:p w14:paraId="6BA1BFDC" w14:textId="77777777" w:rsidR="00DF3959" w:rsidRPr="00DF3959" w:rsidRDefault="00DF3959" w:rsidP="00C64851">
      <w:pPr>
        <w:pStyle w:val="BodyText"/>
        <w:numPr>
          <w:ilvl w:val="0"/>
          <w:numId w:val="688"/>
        </w:numPr>
      </w:pPr>
      <w:r w:rsidRPr="00DF3959">
        <w:t>Conducting monthly customer satisfaction surveys to identify areas for improvement. </w:t>
      </w:r>
    </w:p>
    <w:p w14:paraId="374A392F" w14:textId="77777777" w:rsidR="00DF3959" w:rsidRPr="00DF3959" w:rsidRDefault="00DF3959" w:rsidP="00C64851">
      <w:pPr>
        <w:pStyle w:val="BodyText"/>
        <w:numPr>
          <w:ilvl w:val="0"/>
          <w:numId w:val="689"/>
        </w:numPr>
      </w:pPr>
      <w:r w:rsidRPr="00DF3959">
        <w:t>Providing training and resources to VR staff to enhance their expertise. </w:t>
      </w:r>
    </w:p>
    <w:p w14:paraId="35808708" w14:textId="77777777" w:rsidR="00DF3959" w:rsidRPr="00DF3959" w:rsidRDefault="00DF3959" w:rsidP="00C64851">
      <w:pPr>
        <w:pStyle w:val="BodyText"/>
        <w:numPr>
          <w:ilvl w:val="0"/>
          <w:numId w:val="690"/>
        </w:numPr>
      </w:pPr>
      <w:r w:rsidRPr="00DF3959">
        <w:t>Piloting innovative approaches to improve the VR process and maximize staff capacity. </w:t>
      </w:r>
    </w:p>
    <w:p w14:paraId="1EC91846" w14:textId="77777777" w:rsidR="00DF3959" w:rsidRPr="00DF3959" w:rsidRDefault="00DF3959" w:rsidP="00C64851">
      <w:pPr>
        <w:pStyle w:val="BodyText"/>
        <w:numPr>
          <w:ilvl w:val="0"/>
          <w:numId w:val="691"/>
        </w:numPr>
      </w:pPr>
      <w:r w:rsidRPr="00DF3959">
        <w:t>Enhancing training and roles for transition counselors serving students with disabilities. </w:t>
      </w:r>
    </w:p>
    <w:p w14:paraId="23B4EB28" w14:textId="77777777" w:rsidR="00DF3959" w:rsidRPr="00DF3959" w:rsidRDefault="00DF3959" w:rsidP="00C64851">
      <w:pPr>
        <w:pStyle w:val="BodyText"/>
        <w:numPr>
          <w:ilvl w:val="0"/>
          <w:numId w:val="692"/>
        </w:numPr>
      </w:pPr>
      <w:r w:rsidRPr="00DF3959">
        <w:t>Expanding options for remote service delivery. </w:t>
      </w:r>
    </w:p>
    <w:p w14:paraId="6EAE1A12" w14:textId="77777777" w:rsidR="00DF3959" w:rsidRPr="00DF3959" w:rsidRDefault="00DF3959" w:rsidP="00C64851">
      <w:pPr>
        <w:pStyle w:val="BodyText"/>
        <w:numPr>
          <w:ilvl w:val="0"/>
          <w:numId w:val="693"/>
        </w:numPr>
      </w:pPr>
      <w:r w:rsidRPr="00DF3959">
        <w:t>Utilizing AI technology like the Semi-Autonomous Research Assistant (SARA) and SARA Video to streamline administrative tasks, improve customer engagement, and ensure secure and compliant video conferencing. </w:t>
      </w:r>
    </w:p>
    <w:p w14:paraId="282B1BC0" w14:textId="77777777" w:rsidR="00DF3959" w:rsidRPr="00DF3959" w:rsidRDefault="00DF3959" w:rsidP="00DF3959">
      <w:pPr>
        <w:pStyle w:val="BodyText"/>
      </w:pPr>
      <w:r w:rsidRPr="00DF3959">
        <w:rPr>
          <w:u w:val="single"/>
        </w:rPr>
        <w:t>Survey of Employee Engagement</w:t>
      </w:r>
      <w:r w:rsidRPr="00DF3959">
        <w:t>:   </w:t>
      </w:r>
    </w:p>
    <w:p w14:paraId="18D46E4B" w14:textId="77777777" w:rsidR="00DF3959" w:rsidRPr="00DF3959" w:rsidRDefault="00DF3959" w:rsidP="00DF3959">
      <w:pPr>
        <w:pStyle w:val="BodyText"/>
      </w:pPr>
      <w:r w:rsidRPr="00DF3959">
        <w:lastRenderedPageBreak/>
        <w:t>The VRD uses the biannual Survey of Employee Engagement (SEE) to obtain data that provides information about employee perceptions of effectiveness and satisfaction. From 2018-2024, the SEE data indicates VRD is moving in a positive direction: </w:t>
      </w:r>
    </w:p>
    <w:p w14:paraId="2897E90C" w14:textId="77777777" w:rsidR="00DF3959" w:rsidRPr="00DF3959" w:rsidRDefault="00DF3959" w:rsidP="00C64851">
      <w:pPr>
        <w:pStyle w:val="BodyText"/>
        <w:numPr>
          <w:ilvl w:val="0"/>
          <w:numId w:val="694"/>
        </w:numPr>
      </w:pPr>
      <w:r w:rsidRPr="00DF3959">
        <w:t>Employee engagement is increasing (13 percent to 26 percent in 2024) </w:t>
      </w:r>
    </w:p>
    <w:p w14:paraId="66D434DE" w14:textId="77777777" w:rsidR="00DF3959" w:rsidRPr="00DF3959" w:rsidRDefault="00DF3959" w:rsidP="00C64851">
      <w:pPr>
        <w:pStyle w:val="BodyText"/>
        <w:numPr>
          <w:ilvl w:val="0"/>
          <w:numId w:val="695"/>
        </w:numPr>
      </w:pPr>
      <w:r w:rsidRPr="00DF3959">
        <w:t>Response rates are growing (995 in 2018 to 1,295 in 2024) </w:t>
      </w:r>
    </w:p>
    <w:p w14:paraId="75FD1BBC" w14:textId="77777777" w:rsidR="00DF3959" w:rsidRPr="00DF3959" w:rsidRDefault="00DF3959" w:rsidP="00C64851">
      <w:pPr>
        <w:pStyle w:val="BodyText"/>
        <w:numPr>
          <w:ilvl w:val="0"/>
          <w:numId w:val="696"/>
        </w:numPr>
      </w:pPr>
      <w:r w:rsidRPr="00DF3959">
        <w:t>Consistent strengths: Supervision, Information Systems, Strategic Alignment, Workplace Climate </w:t>
      </w:r>
    </w:p>
    <w:p w14:paraId="0A1DFB81" w14:textId="77777777" w:rsidR="00DF3959" w:rsidRPr="00DF3959" w:rsidRDefault="00DF3959" w:rsidP="00C64851">
      <w:pPr>
        <w:pStyle w:val="BodyText"/>
        <w:numPr>
          <w:ilvl w:val="0"/>
          <w:numId w:val="697"/>
        </w:numPr>
      </w:pPr>
      <w:r w:rsidRPr="00DF3959">
        <w:t>37 percent of employees have been with the organization for over 11 years (2024) </w:t>
      </w:r>
    </w:p>
    <w:p w14:paraId="3B462F3F" w14:textId="77777777" w:rsidR="00DF3959" w:rsidRPr="00DF3959" w:rsidRDefault="00DF3959" w:rsidP="00C64851">
      <w:pPr>
        <w:pStyle w:val="BodyText"/>
        <w:numPr>
          <w:ilvl w:val="0"/>
          <w:numId w:val="698"/>
        </w:numPr>
      </w:pPr>
      <w:r w:rsidRPr="00DF3959">
        <w:t>80 percent of employees intend to stay with the agency </w:t>
      </w:r>
    </w:p>
    <w:p w14:paraId="2E058EFE" w14:textId="77777777" w:rsidR="00DF3959" w:rsidRPr="00DF3959" w:rsidRDefault="00DF3959" w:rsidP="00DF3959">
      <w:pPr>
        <w:pStyle w:val="BodyText"/>
      </w:pPr>
      <w:r w:rsidRPr="00DF3959">
        <w:t>The agency actively uses survey results to drive improvements with initiatives like Leadership Academies, a Training Redesign Project, an Employee Engagement and Recognition Committee, Communities of Practice, Volunteer opportunities, Surveys and “Connect and Reflect” sessions. </w:t>
      </w:r>
    </w:p>
    <w:p w14:paraId="3770A1E0" w14:textId="77777777" w:rsidR="00DF3959" w:rsidRPr="00DF3959" w:rsidRDefault="00DF3959" w:rsidP="00DF3959">
      <w:pPr>
        <w:pStyle w:val="BodyText"/>
      </w:pPr>
      <w:r w:rsidRPr="00DF3959">
        <w:rPr>
          <w:u w:val="single"/>
        </w:rPr>
        <w:t>Communication and Training:</w:t>
      </w:r>
      <w:r w:rsidRPr="00DF3959">
        <w:t> </w:t>
      </w:r>
    </w:p>
    <w:p w14:paraId="76FEDAA6" w14:textId="1F9CDCE2" w:rsidR="00DF3959" w:rsidRPr="00DF3959" w:rsidRDefault="00DF3959" w:rsidP="00DF3959">
      <w:pPr>
        <w:pStyle w:val="BodyText"/>
        <w:rPr>
          <w:i/>
          <w:iCs/>
        </w:rPr>
      </w:pPr>
      <w:r w:rsidRPr="00DF3959">
        <w:t>VR is leveraging communication strategies to improve effectiveness and efficiency, both internally and externally:</w:t>
      </w:r>
      <w:r w:rsidRPr="00DF3959">
        <w:rPr>
          <w:i/>
          <w:iCs/>
        </w:rPr>
        <w:t> </w:t>
      </w:r>
    </w:p>
    <w:p w14:paraId="59046283" w14:textId="77777777" w:rsidR="00AD3DD2" w:rsidRPr="00AD3DD2" w:rsidRDefault="00DF3959" w:rsidP="00C64851">
      <w:pPr>
        <w:pStyle w:val="BodyText"/>
        <w:numPr>
          <w:ilvl w:val="0"/>
          <w:numId w:val="744"/>
        </w:numPr>
        <w:rPr>
          <w:i/>
          <w:iCs/>
        </w:rPr>
      </w:pPr>
      <w:r w:rsidRPr="00DF3959">
        <w:t>Internal Communications:</w:t>
      </w:r>
    </w:p>
    <w:p w14:paraId="72F5E7D7" w14:textId="184422EB" w:rsidR="00DF3959" w:rsidRPr="00DF3959" w:rsidRDefault="00DF3959" w:rsidP="00C64851">
      <w:pPr>
        <w:pStyle w:val="BodyText3"/>
        <w:numPr>
          <w:ilvl w:val="1"/>
          <w:numId w:val="744"/>
        </w:numPr>
        <w:ind w:left="1368"/>
        <w:rPr>
          <w:i/>
          <w:iCs/>
        </w:rPr>
      </w:pPr>
      <w:r w:rsidRPr="00DF3959">
        <w:t>Vocational Rehabilitation Services Manual (VRSM) Redesign </w:t>
      </w:r>
      <w:r w:rsidRPr="00DF3959">
        <w:rPr>
          <w:i/>
          <w:iCs/>
        </w:rPr>
        <w:t> </w:t>
      </w:r>
    </w:p>
    <w:p w14:paraId="1F524D03" w14:textId="2B674E93" w:rsidR="005E5504" w:rsidRDefault="00DF3959" w:rsidP="005E5504">
      <w:pPr>
        <w:pStyle w:val="BodyText"/>
        <w:ind w:left="1440"/>
      </w:pPr>
      <w:r w:rsidRPr="00DF3959">
        <w:t>In 2022 VR hired contractor to redesign the VRSM to improve access and understanding of policies/procedures, and to provide enhanced clarity, internal consistency, content organization and navigation. The redesigned VRSM was released internally and to the public on Sep.3, 2024.</w:t>
      </w:r>
    </w:p>
    <w:p w14:paraId="59425622" w14:textId="1DB762B4" w:rsidR="00DF3959" w:rsidRPr="005E5504" w:rsidRDefault="00DF3959" w:rsidP="00C64851">
      <w:pPr>
        <w:pStyle w:val="BodyText"/>
        <w:numPr>
          <w:ilvl w:val="0"/>
          <w:numId w:val="745"/>
        </w:numPr>
        <w:ind w:left="1368"/>
      </w:pPr>
      <w:r w:rsidRPr="00DF3959">
        <w:rPr>
          <w:b/>
        </w:rPr>
        <w:t>Coordinated Messaging </w:t>
      </w:r>
      <w:r w:rsidRPr="00DF3959">
        <w:rPr>
          <w:i/>
          <w:iCs/>
        </w:rPr>
        <w:t> </w:t>
      </w:r>
    </w:p>
    <w:p w14:paraId="60EF40E6" w14:textId="77777777" w:rsidR="00DF3959" w:rsidRPr="00DF3959" w:rsidRDefault="00DF3959" w:rsidP="005C31BE">
      <w:pPr>
        <w:pStyle w:val="BodyText"/>
        <w:ind w:left="1440"/>
        <w:rPr>
          <w:i/>
          <w:iCs/>
        </w:rPr>
      </w:pPr>
      <w:r w:rsidRPr="00DF3959">
        <w:t>VR uses coordinated messaging through TWC communications channels that leverage the entire Texas workforce system, including Workforce Development Boards, TWC Commission offices, the Governor’s Committee on People with Disabilities, and other system partners.</w:t>
      </w:r>
      <w:r w:rsidRPr="00DF3959">
        <w:rPr>
          <w:i/>
          <w:iCs/>
        </w:rPr>
        <w:t> </w:t>
      </w:r>
    </w:p>
    <w:p w14:paraId="011ACDF8" w14:textId="77777777" w:rsidR="00DF3959" w:rsidRPr="00DF3959" w:rsidRDefault="00DF3959" w:rsidP="00C64851">
      <w:pPr>
        <w:pStyle w:val="BodyText"/>
        <w:numPr>
          <w:ilvl w:val="0"/>
          <w:numId w:val="699"/>
        </w:numPr>
        <w:rPr>
          <w:i/>
          <w:iCs/>
        </w:rPr>
      </w:pPr>
      <w:r w:rsidRPr="00DF3959">
        <w:rPr>
          <w:u w:val="single"/>
        </w:rPr>
        <w:t>External Communications:</w:t>
      </w:r>
      <w:r w:rsidRPr="00DF3959">
        <w:rPr>
          <w:i/>
          <w:iCs/>
        </w:rPr>
        <w:t> </w:t>
      </w:r>
    </w:p>
    <w:p w14:paraId="7C5C51C5" w14:textId="77777777" w:rsidR="00DF3959" w:rsidRPr="00DF3959" w:rsidRDefault="00DF3959" w:rsidP="00C64851">
      <w:pPr>
        <w:pStyle w:val="BodyText"/>
        <w:numPr>
          <w:ilvl w:val="0"/>
          <w:numId w:val="700"/>
        </w:numPr>
        <w:ind w:left="1368"/>
        <w:rPr>
          <w:i/>
          <w:iCs/>
        </w:rPr>
      </w:pPr>
      <w:r w:rsidRPr="00DF3959">
        <w:rPr>
          <w:b/>
          <w:bCs/>
        </w:rPr>
        <w:t>Online Referral </w:t>
      </w:r>
      <w:r w:rsidRPr="00DF3959">
        <w:rPr>
          <w:i/>
          <w:iCs/>
        </w:rPr>
        <w:t> </w:t>
      </w:r>
    </w:p>
    <w:p w14:paraId="7CB9F8FC" w14:textId="77777777" w:rsidR="00DF3959" w:rsidRPr="00DF3959" w:rsidRDefault="00DF3959" w:rsidP="001470EE">
      <w:pPr>
        <w:pStyle w:val="BodyText"/>
        <w:ind w:left="1008"/>
        <w:rPr>
          <w:i/>
          <w:iCs/>
        </w:rPr>
      </w:pPr>
      <w:r w:rsidRPr="00DF3959">
        <w:lastRenderedPageBreak/>
        <w:t>VR uses Start My VR, an online self-referral option, for customers interested in TWC-VR services. Since its inception in June 2021 through the end of SFY 2024, VR staff have processed 33,418 tickets through the online system. </w:t>
      </w:r>
      <w:r w:rsidRPr="00DF3959">
        <w:rPr>
          <w:i/>
          <w:iCs/>
        </w:rPr>
        <w:t> </w:t>
      </w:r>
    </w:p>
    <w:p w14:paraId="48999BA2" w14:textId="77777777" w:rsidR="00DF3959" w:rsidRPr="00DF3959" w:rsidRDefault="00DF3959" w:rsidP="00C64851">
      <w:pPr>
        <w:pStyle w:val="BodyText"/>
        <w:numPr>
          <w:ilvl w:val="0"/>
          <w:numId w:val="701"/>
        </w:numPr>
        <w:ind w:left="1368"/>
        <w:rPr>
          <w:i/>
          <w:iCs/>
        </w:rPr>
      </w:pPr>
      <w:r w:rsidRPr="00DF3959">
        <w:rPr>
          <w:b/>
          <w:bCs/>
        </w:rPr>
        <w:t>Rapid Engagement Team </w:t>
      </w:r>
      <w:r w:rsidRPr="00DF3959">
        <w:rPr>
          <w:i/>
          <w:iCs/>
        </w:rPr>
        <w:t> </w:t>
      </w:r>
    </w:p>
    <w:p w14:paraId="47F4754F" w14:textId="77777777" w:rsidR="00DF3959" w:rsidRPr="00DF3959" w:rsidRDefault="00DF3959" w:rsidP="001470EE">
      <w:pPr>
        <w:pStyle w:val="BodyText"/>
        <w:ind w:left="1440"/>
        <w:rPr>
          <w:i/>
          <w:iCs/>
        </w:rPr>
      </w:pPr>
      <w:r w:rsidRPr="00DF3959">
        <w:t>Intake specialists respond to electronic inquiries and a hotline, and since launching, have connected 24,915 new customers to VR. </w:t>
      </w:r>
      <w:r w:rsidRPr="00DF3959">
        <w:rPr>
          <w:i/>
          <w:iCs/>
        </w:rPr>
        <w:t> </w:t>
      </w:r>
    </w:p>
    <w:p w14:paraId="63E5F1A5" w14:textId="77777777" w:rsidR="00DF3959" w:rsidRPr="00DF3959" w:rsidRDefault="00DF3959" w:rsidP="001470EE">
      <w:pPr>
        <w:pStyle w:val="BodyText"/>
        <w:ind w:left="720" w:hanging="720"/>
      </w:pPr>
      <w:r w:rsidRPr="00DF3959">
        <w:rPr>
          <w:b/>
          <w:bCs/>
        </w:rPr>
        <w:t>D.</w:t>
      </w:r>
      <w:r w:rsidRPr="00DF3959">
        <w:tab/>
      </w:r>
      <w:r w:rsidRPr="00DF3959">
        <w:rPr>
          <w:b/>
          <w:bCs/>
        </w:rPr>
        <w:t>Describe any important history regarding this division or program not included in the general agency history section, including how the functions or services have changed over time. If the response to Section III of this report is sufficient, please leave this section blank.</w:t>
      </w:r>
      <w:r w:rsidRPr="00DF3959">
        <w:t> </w:t>
      </w:r>
    </w:p>
    <w:p w14:paraId="07743145" w14:textId="25EF2C4F" w:rsidR="00DF3959" w:rsidRPr="00DF3959" w:rsidRDefault="00DF3959" w:rsidP="00DF3959">
      <w:pPr>
        <w:pStyle w:val="BodyText"/>
      </w:pPr>
      <w:r w:rsidRPr="00DF3959">
        <w:t>In February of 2015 the Texas Sunset Commission issued the Sunset Reports for DARS and TWC. These reports resulted in the passage of Senate Bill (SB) 208 in the 84th Legislative Session (2015). Changes enacted by SB 208 transferred the VR program, Independent Living Skills for Older Individuals Who are Blind (ILS-OIB) program, and the Business Enterprises of Texas (BET) program to TWC, required the two legacy VR divisions (General and Blind) to be combined and integrated, and required VR field staff to move into local Workforce Solutions offices. Former DARS programs were transferred to TWC on September 1, 2016, and the two legacy VR divisions were combined into a single division on October 1, 2017.  </w:t>
      </w:r>
    </w:p>
    <w:p w14:paraId="0F92CDE1" w14:textId="77777777" w:rsidR="00DF3959" w:rsidRPr="00DF3959" w:rsidRDefault="00DF3959" w:rsidP="00DF3959">
      <w:pPr>
        <w:pStyle w:val="BodyText"/>
      </w:pPr>
      <w:r w:rsidRPr="00DF3959">
        <w:t xml:space="preserve">In November 2016, TWC engaged an independent and objective third party to conduct a two-month assessment and benchmark of the current operations, performance, and outcomes of the VR and OIB programs. This study identified baselines and benchmarks in key areas as well as opportunities for increased program efficiency and quality. The agency has since implemented </w:t>
      </w:r>
      <w:proofErr w:type="gramStart"/>
      <w:r w:rsidRPr="00DF3959">
        <w:t>a number of</w:t>
      </w:r>
      <w:proofErr w:type="gramEnd"/>
      <w:r w:rsidRPr="00DF3959">
        <w:t xml:space="preserve"> improvements based on this assessment and has followed up with similar internal and external review efforts to ensure that the agency complies with all of the requirements and recommendations from both the Texas Legislature and the Sunset Advisory commission, while also fostering an ongoing culture of continuous improvement throughout the organization. </w:t>
      </w:r>
    </w:p>
    <w:p w14:paraId="0DF0F1DB" w14:textId="77777777" w:rsidR="00DF3959" w:rsidRPr="00DF3959" w:rsidRDefault="00DF3959" w:rsidP="001470EE">
      <w:pPr>
        <w:pStyle w:val="BodyText"/>
        <w:ind w:left="720" w:hanging="720"/>
      </w:pPr>
      <w:r w:rsidRPr="00DF3959">
        <w:rPr>
          <w:b/>
          <w:bCs/>
        </w:rPr>
        <w:t>E.</w:t>
      </w:r>
      <w:r w:rsidRPr="00DF3959">
        <w:tab/>
      </w:r>
      <w:r w:rsidRPr="00DF3959">
        <w:rPr>
          <w:b/>
          <w:bCs/>
        </w:rPr>
        <w:t>List any qualifications or eligibility requirements for persons or entities affected by this division or program (e.g., licensees, consumers, and landowners). Provide a statistical breakdown of persons or entities affected.</w:t>
      </w:r>
      <w:r w:rsidRPr="00DF3959">
        <w:t> </w:t>
      </w:r>
    </w:p>
    <w:p w14:paraId="6F7B0C1D" w14:textId="6383AA97" w:rsidR="00DF3959" w:rsidRPr="00DF3959" w:rsidRDefault="00DF3959" w:rsidP="00DF3959">
      <w:pPr>
        <w:pStyle w:val="BodyText"/>
      </w:pPr>
      <w:r w:rsidRPr="00DF3959">
        <w:t>The eligibility for VR services is based on the following requirements defined in 34 CFR Section 361.42: </w:t>
      </w:r>
    </w:p>
    <w:p w14:paraId="5E8C9F28" w14:textId="77777777" w:rsidR="00DF3959" w:rsidRPr="00DF3959" w:rsidRDefault="00DF3959" w:rsidP="00C64851">
      <w:pPr>
        <w:pStyle w:val="BodyText"/>
        <w:numPr>
          <w:ilvl w:val="0"/>
          <w:numId w:val="702"/>
        </w:numPr>
      </w:pPr>
      <w:r w:rsidRPr="00DF3959">
        <w:t>A determination by qualified personnel that the applicant has a physical or mental impairment. </w:t>
      </w:r>
    </w:p>
    <w:p w14:paraId="53C2ADA7" w14:textId="77777777" w:rsidR="00DF3959" w:rsidRPr="00DF3959" w:rsidRDefault="00DF3959" w:rsidP="00C64851">
      <w:pPr>
        <w:pStyle w:val="BodyText"/>
        <w:numPr>
          <w:ilvl w:val="0"/>
          <w:numId w:val="703"/>
        </w:numPr>
      </w:pPr>
      <w:r w:rsidRPr="00DF3959">
        <w:t>A determination by qualified personnel that the applicant's physical or mental impairment constitutes or results in a substantial impediment to employment.  </w:t>
      </w:r>
    </w:p>
    <w:p w14:paraId="6E8CBDA0" w14:textId="4D343F2B" w:rsidR="00DF3959" w:rsidRPr="00DF3959" w:rsidRDefault="00DF3959" w:rsidP="00C64851">
      <w:pPr>
        <w:pStyle w:val="BodyText"/>
        <w:numPr>
          <w:ilvl w:val="0"/>
          <w:numId w:val="704"/>
        </w:numPr>
      </w:pPr>
      <w:r w:rsidRPr="00DF3959">
        <w:lastRenderedPageBreak/>
        <w:t>A determination by a VR Counselor that the applicant requires VR services to prepare for, secure, retain, advance in, or regain employment that is consistent with the individual's unique strengths, resources, priorities, concerns, abilities, capabilities, interest, and informed choice. </w:t>
      </w:r>
    </w:p>
    <w:p w14:paraId="28539ACA" w14:textId="7E894505" w:rsidR="00DF3959" w:rsidRPr="00DF3959" w:rsidRDefault="00DF3959" w:rsidP="00C64851">
      <w:pPr>
        <w:pStyle w:val="BodyText"/>
        <w:numPr>
          <w:ilvl w:val="0"/>
          <w:numId w:val="705"/>
        </w:numPr>
      </w:pPr>
      <w:r w:rsidRPr="00DF3959">
        <w:t>VR must presume that an applicant who meets the eligibility requirements can benefit from VR services in terms of an employment outcome. </w:t>
      </w:r>
    </w:p>
    <w:p w14:paraId="2A65EE02" w14:textId="7329D1C4" w:rsidR="00DF3959" w:rsidRPr="00DF3959" w:rsidRDefault="00DF3959" w:rsidP="00DF3959">
      <w:pPr>
        <w:pStyle w:val="BodyText"/>
      </w:pPr>
      <w:r w:rsidRPr="00DF3959">
        <w:t>Note: As outlined by 34 CFR Section 361.42(a)(3), for a customer receiving Supplemental Security Income (SSI) and/or Social Security Disability Insurance (SSDI), due to their own disability, the VR Counselor must make a determination of eligibility on the same business day that SSI/SSDI verification is received, unless there is a question about the customer’s ability to benefit from VR services in terms of achieving an employment outcome due to the severity of their disability. If there is a question about the customer’s ability to achieve an employment outcome due to the severity of their disability, a Trial Work Plan (TWP) must be completed with the customer.  </w:t>
      </w:r>
    </w:p>
    <w:p w14:paraId="2368862A" w14:textId="77777777" w:rsidR="00DF3959" w:rsidRPr="00DF3959" w:rsidRDefault="00DF3959" w:rsidP="00DF3959">
      <w:pPr>
        <w:pStyle w:val="BodyText"/>
      </w:pPr>
      <w:r w:rsidRPr="00DF3959">
        <w:t>The tables below represent demographic information for participants in VR from State Fiscal Years (SFY 2024 is Sept.1, 2023, to Aug.31, 2024). Participants are VR customers who have signed an individualized plan for employment (IPE) and begun receiving VR services in accordance with the IPE. </w:t>
      </w:r>
    </w:p>
    <w:p w14:paraId="377FDA6A" w14:textId="77777777" w:rsidR="00DF3959" w:rsidRPr="00DF3959" w:rsidRDefault="00DF3959" w:rsidP="001470EE">
      <w:pPr>
        <w:pStyle w:val="BodyText3"/>
      </w:pPr>
      <w:r w:rsidRPr="00DF3959">
        <w:t>Race and Ethnicity, VR Participants, SFY 2024 </w:t>
      </w:r>
    </w:p>
    <w:tbl>
      <w:tblPr>
        <w:tblStyle w:val="TableGrid1"/>
        <w:tblW w:w="0" w:type="dxa"/>
        <w:tblCellMar>
          <w:top w:w="58" w:type="dxa"/>
          <w:bottom w:w="58" w:type="dxa"/>
        </w:tblCellMar>
        <w:tblLook w:val="04A0" w:firstRow="1" w:lastRow="0" w:firstColumn="1" w:lastColumn="0" w:noHBand="0" w:noVBand="1"/>
      </w:tblPr>
      <w:tblGrid>
        <w:gridCol w:w="4470"/>
        <w:gridCol w:w="1995"/>
        <w:gridCol w:w="1980"/>
      </w:tblGrid>
      <w:tr w:rsidR="00DF3959" w:rsidRPr="001470EE" w14:paraId="48F154A1" w14:textId="77777777" w:rsidTr="000765F1">
        <w:trPr>
          <w:trHeight w:val="300"/>
          <w:tblHeader/>
        </w:trPr>
        <w:tc>
          <w:tcPr>
            <w:tcW w:w="4470" w:type="dxa"/>
            <w:shd w:val="clear" w:color="auto" w:fill="B8CCE4" w:themeFill="accent1" w:themeFillTint="66"/>
            <w:vAlign w:val="center"/>
            <w:hideMark/>
          </w:tcPr>
          <w:p w14:paraId="3EEAE5F5" w14:textId="501733FB" w:rsidR="00DF3959" w:rsidRPr="001470EE" w:rsidRDefault="00DF3959" w:rsidP="001470EE">
            <w:pPr>
              <w:pStyle w:val="TableHeaders"/>
              <w:rPr>
                <w:b w:val="0"/>
                <w:bCs/>
              </w:rPr>
            </w:pPr>
            <w:r w:rsidRPr="001470EE">
              <w:rPr>
                <w:b w:val="0"/>
                <w:bCs/>
              </w:rPr>
              <w:t>Race</w:t>
            </w:r>
          </w:p>
        </w:tc>
        <w:tc>
          <w:tcPr>
            <w:tcW w:w="1995" w:type="dxa"/>
            <w:shd w:val="clear" w:color="auto" w:fill="B8CCE4" w:themeFill="accent1" w:themeFillTint="66"/>
            <w:vAlign w:val="center"/>
            <w:hideMark/>
          </w:tcPr>
          <w:p w14:paraId="5484AC7D" w14:textId="25320FA2" w:rsidR="00DF3959" w:rsidRPr="001470EE" w:rsidRDefault="00DF3959" w:rsidP="001470EE">
            <w:pPr>
              <w:pStyle w:val="TableHeaders"/>
              <w:rPr>
                <w:b w:val="0"/>
                <w:bCs/>
              </w:rPr>
            </w:pPr>
            <w:r w:rsidRPr="001470EE">
              <w:rPr>
                <w:b w:val="0"/>
                <w:bCs/>
              </w:rPr>
              <w:t>Participants</w:t>
            </w:r>
          </w:p>
        </w:tc>
        <w:tc>
          <w:tcPr>
            <w:tcW w:w="1980" w:type="dxa"/>
            <w:shd w:val="clear" w:color="auto" w:fill="B8CCE4" w:themeFill="accent1" w:themeFillTint="66"/>
            <w:vAlign w:val="center"/>
            <w:hideMark/>
          </w:tcPr>
          <w:p w14:paraId="00DA1201" w14:textId="0C8E7F77" w:rsidR="00DF3959" w:rsidRPr="001470EE" w:rsidRDefault="00DF3959" w:rsidP="001470EE">
            <w:pPr>
              <w:pStyle w:val="TableHeaders"/>
              <w:rPr>
                <w:b w:val="0"/>
                <w:bCs/>
              </w:rPr>
            </w:pPr>
            <w:r w:rsidRPr="001470EE">
              <w:rPr>
                <w:b w:val="0"/>
                <w:bCs/>
              </w:rPr>
              <w:t>Percentage</w:t>
            </w:r>
          </w:p>
        </w:tc>
      </w:tr>
      <w:tr w:rsidR="00DF3959" w:rsidRPr="00DF3959" w14:paraId="017FB377" w14:textId="77777777" w:rsidTr="000765F1">
        <w:trPr>
          <w:trHeight w:val="300"/>
        </w:trPr>
        <w:tc>
          <w:tcPr>
            <w:tcW w:w="4470" w:type="dxa"/>
            <w:vAlign w:val="center"/>
            <w:hideMark/>
          </w:tcPr>
          <w:p w14:paraId="6D487B07" w14:textId="77777777" w:rsidR="00DF3959" w:rsidRPr="00DF3959" w:rsidRDefault="00DF3959" w:rsidP="000765F1">
            <w:pPr>
              <w:pStyle w:val="TableText"/>
            </w:pPr>
            <w:r w:rsidRPr="00DF3959">
              <w:t>American Indian or Alaskan Native </w:t>
            </w:r>
          </w:p>
        </w:tc>
        <w:tc>
          <w:tcPr>
            <w:tcW w:w="1995" w:type="dxa"/>
            <w:vAlign w:val="center"/>
            <w:hideMark/>
          </w:tcPr>
          <w:p w14:paraId="10A4BF58" w14:textId="77777777" w:rsidR="00DF3959" w:rsidRPr="00DF3959" w:rsidRDefault="00DF3959" w:rsidP="000765F1">
            <w:pPr>
              <w:pStyle w:val="TableText"/>
              <w:jc w:val="right"/>
            </w:pPr>
            <w:r w:rsidRPr="00DF3959">
              <w:t>336 </w:t>
            </w:r>
          </w:p>
        </w:tc>
        <w:tc>
          <w:tcPr>
            <w:tcW w:w="1980" w:type="dxa"/>
            <w:vAlign w:val="center"/>
            <w:hideMark/>
          </w:tcPr>
          <w:p w14:paraId="1B4D59EE" w14:textId="77777777" w:rsidR="00DF3959" w:rsidRPr="00DF3959" w:rsidRDefault="00DF3959" w:rsidP="000765F1">
            <w:pPr>
              <w:pStyle w:val="TableText"/>
              <w:jc w:val="right"/>
            </w:pPr>
            <w:r w:rsidRPr="00DF3959">
              <w:t>0.5% </w:t>
            </w:r>
          </w:p>
        </w:tc>
      </w:tr>
      <w:tr w:rsidR="00DF3959" w:rsidRPr="00DF3959" w14:paraId="40B3147B" w14:textId="77777777" w:rsidTr="000765F1">
        <w:trPr>
          <w:trHeight w:val="300"/>
        </w:trPr>
        <w:tc>
          <w:tcPr>
            <w:tcW w:w="4470" w:type="dxa"/>
            <w:vAlign w:val="center"/>
            <w:hideMark/>
          </w:tcPr>
          <w:p w14:paraId="1B1491F5" w14:textId="77777777" w:rsidR="00DF3959" w:rsidRPr="00DF3959" w:rsidRDefault="00DF3959" w:rsidP="000765F1">
            <w:pPr>
              <w:pStyle w:val="TableText"/>
            </w:pPr>
            <w:r w:rsidRPr="00DF3959">
              <w:t>Asian </w:t>
            </w:r>
          </w:p>
        </w:tc>
        <w:tc>
          <w:tcPr>
            <w:tcW w:w="1995" w:type="dxa"/>
            <w:vAlign w:val="center"/>
            <w:hideMark/>
          </w:tcPr>
          <w:p w14:paraId="7F30208B" w14:textId="77777777" w:rsidR="00DF3959" w:rsidRPr="00DF3959" w:rsidRDefault="00DF3959" w:rsidP="000765F1">
            <w:pPr>
              <w:pStyle w:val="TableText"/>
              <w:jc w:val="right"/>
            </w:pPr>
            <w:r w:rsidRPr="00DF3959">
              <w:t>1,535 </w:t>
            </w:r>
          </w:p>
        </w:tc>
        <w:tc>
          <w:tcPr>
            <w:tcW w:w="1980" w:type="dxa"/>
            <w:vAlign w:val="center"/>
            <w:hideMark/>
          </w:tcPr>
          <w:p w14:paraId="745D7735" w14:textId="77777777" w:rsidR="00DF3959" w:rsidRPr="00DF3959" w:rsidRDefault="00DF3959" w:rsidP="000765F1">
            <w:pPr>
              <w:pStyle w:val="TableText"/>
              <w:jc w:val="right"/>
            </w:pPr>
            <w:r w:rsidRPr="00DF3959">
              <w:t>2.2% </w:t>
            </w:r>
          </w:p>
        </w:tc>
      </w:tr>
      <w:tr w:rsidR="00DF3959" w:rsidRPr="00DF3959" w14:paraId="04DDC758" w14:textId="77777777" w:rsidTr="000765F1">
        <w:trPr>
          <w:trHeight w:val="300"/>
        </w:trPr>
        <w:tc>
          <w:tcPr>
            <w:tcW w:w="4470" w:type="dxa"/>
            <w:vAlign w:val="center"/>
            <w:hideMark/>
          </w:tcPr>
          <w:p w14:paraId="31257FA3" w14:textId="77777777" w:rsidR="00DF3959" w:rsidRPr="00DF3959" w:rsidRDefault="00DF3959" w:rsidP="000765F1">
            <w:pPr>
              <w:pStyle w:val="TableText"/>
            </w:pPr>
            <w:r w:rsidRPr="00DF3959">
              <w:t>Black/African American </w:t>
            </w:r>
          </w:p>
        </w:tc>
        <w:tc>
          <w:tcPr>
            <w:tcW w:w="1995" w:type="dxa"/>
            <w:vAlign w:val="center"/>
            <w:hideMark/>
          </w:tcPr>
          <w:p w14:paraId="069E5899" w14:textId="77777777" w:rsidR="00DF3959" w:rsidRPr="00DF3959" w:rsidRDefault="00DF3959" w:rsidP="000765F1">
            <w:pPr>
              <w:pStyle w:val="TableText"/>
              <w:jc w:val="right"/>
            </w:pPr>
            <w:r w:rsidRPr="00DF3959">
              <w:t>16,283 </w:t>
            </w:r>
          </w:p>
        </w:tc>
        <w:tc>
          <w:tcPr>
            <w:tcW w:w="1980" w:type="dxa"/>
            <w:vAlign w:val="center"/>
            <w:hideMark/>
          </w:tcPr>
          <w:p w14:paraId="03B9AAE5" w14:textId="77777777" w:rsidR="00DF3959" w:rsidRPr="00DF3959" w:rsidRDefault="00DF3959" w:rsidP="000765F1">
            <w:pPr>
              <w:pStyle w:val="TableText"/>
              <w:jc w:val="right"/>
            </w:pPr>
            <w:r w:rsidRPr="00DF3959">
              <w:t>23.5% </w:t>
            </w:r>
          </w:p>
        </w:tc>
      </w:tr>
      <w:tr w:rsidR="00DF3959" w:rsidRPr="00DF3959" w14:paraId="42D9DFA0" w14:textId="77777777" w:rsidTr="000765F1">
        <w:trPr>
          <w:trHeight w:val="300"/>
        </w:trPr>
        <w:tc>
          <w:tcPr>
            <w:tcW w:w="4470" w:type="dxa"/>
            <w:vAlign w:val="center"/>
            <w:hideMark/>
          </w:tcPr>
          <w:p w14:paraId="4B353EA1" w14:textId="77777777" w:rsidR="00DF3959" w:rsidRPr="00DF3959" w:rsidRDefault="00DF3959" w:rsidP="000765F1">
            <w:pPr>
              <w:pStyle w:val="TableText"/>
            </w:pPr>
            <w:r w:rsidRPr="00DF3959">
              <w:t>Other* </w:t>
            </w:r>
          </w:p>
        </w:tc>
        <w:tc>
          <w:tcPr>
            <w:tcW w:w="1995" w:type="dxa"/>
            <w:vAlign w:val="center"/>
            <w:hideMark/>
          </w:tcPr>
          <w:p w14:paraId="54B08127" w14:textId="77777777" w:rsidR="00DF3959" w:rsidRPr="00DF3959" w:rsidRDefault="00DF3959" w:rsidP="000765F1">
            <w:pPr>
              <w:pStyle w:val="TableText"/>
              <w:jc w:val="right"/>
            </w:pPr>
            <w:r w:rsidRPr="00DF3959">
              <w:t>3,115 </w:t>
            </w:r>
          </w:p>
        </w:tc>
        <w:tc>
          <w:tcPr>
            <w:tcW w:w="1980" w:type="dxa"/>
            <w:vAlign w:val="center"/>
            <w:hideMark/>
          </w:tcPr>
          <w:p w14:paraId="125786C5" w14:textId="77777777" w:rsidR="00DF3959" w:rsidRPr="00DF3959" w:rsidRDefault="00DF3959" w:rsidP="000765F1">
            <w:pPr>
              <w:pStyle w:val="TableText"/>
              <w:jc w:val="right"/>
            </w:pPr>
            <w:r w:rsidRPr="00DF3959">
              <w:t>4.5% </w:t>
            </w:r>
          </w:p>
        </w:tc>
      </w:tr>
      <w:tr w:rsidR="00DF3959" w:rsidRPr="00DF3959" w14:paraId="3EDC1226" w14:textId="77777777" w:rsidTr="000765F1">
        <w:trPr>
          <w:trHeight w:val="300"/>
        </w:trPr>
        <w:tc>
          <w:tcPr>
            <w:tcW w:w="4470" w:type="dxa"/>
            <w:vAlign w:val="center"/>
            <w:hideMark/>
          </w:tcPr>
          <w:p w14:paraId="3B64CF79" w14:textId="77777777" w:rsidR="00DF3959" w:rsidRPr="00DF3959" w:rsidRDefault="00DF3959" w:rsidP="000765F1">
            <w:pPr>
              <w:pStyle w:val="TableText"/>
            </w:pPr>
            <w:r w:rsidRPr="00DF3959">
              <w:t>Pacific Islander </w:t>
            </w:r>
          </w:p>
        </w:tc>
        <w:tc>
          <w:tcPr>
            <w:tcW w:w="1995" w:type="dxa"/>
            <w:vAlign w:val="center"/>
            <w:hideMark/>
          </w:tcPr>
          <w:p w14:paraId="25782056" w14:textId="77777777" w:rsidR="00DF3959" w:rsidRPr="00DF3959" w:rsidRDefault="00DF3959" w:rsidP="000765F1">
            <w:pPr>
              <w:pStyle w:val="TableText"/>
              <w:jc w:val="right"/>
            </w:pPr>
            <w:r w:rsidRPr="00DF3959">
              <w:t>168 </w:t>
            </w:r>
          </w:p>
        </w:tc>
        <w:tc>
          <w:tcPr>
            <w:tcW w:w="1980" w:type="dxa"/>
            <w:vAlign w:val="center"/>
            <w:hideMark/>
          </w:tcPr>
          <w:p w14:paraId="0C7D52BF" w14:textId="77777777" w:rsidR="00DF3959" w:rsidRPr="00DF3959" w:rsidRDefault="00DF3959" w:rsidP="000765F1">
            <w:pPr>
              <w:pStyle w:val="TableText"/>
              <w:jc w:val="right"/>
            </w:pPr>
            <w:r w:rsidRPr="00DF3959">
              <w:t>0.2% </w:t>
            </w:r>
          </w:p>
        </w:tc>
      </w:tr>
      <w:tr w:rsidR="00DF3959" w:rsidRPr="00DF3959" w14:paraId="0FEC7C6F" w14:textId="77777777" w:rsidTr="000765F1">
        <w:trPr>
          <w:trHeight w:val="300"/>
        </w:trPr>
        <w:tc>
          <w:tcPr>
            <w:tcW w:w="4470" w:type="dxa"/>
            <w:vAlign w:val="center"/>
            <w:hideMark/>
          </w:tcPr>
          <w:p w14:paraId="1BB10E74" w14:textId="77777777" w:rsidR="00DF3959" w:rsidRPr="00DF3959" w:rsidRDefault="00DF3959" w:rsidP="000765F1">
            <w:pPr>
              <w:pStyle w:val="TableText"/>
            </w:pPr>
            <w:r w:rsidRPr="00DF3959">
              <w:t>White </w:t>
            </w:r>
          </w:p>
        </w:tc>
        <w:tc>
          <w:tcPr>
            <w:tcW w:w="1995" w:type="dxa"/>
            <w:vAlign w:val="center"/>
            <w:hideMark/>
          </w:tcPr>
          <w:p w14:paraId="72843907" w14:textId="77777777" w:rsidR="00DF3959" w:rsidRPr="00DF3959" w:rsidRDefault="00DF3959" w:rsidP="000765F1">
            <w:pPr>
              <w:pStyle w:val="TableText"/>
              <w:jc w:val="right"/>
            </w:pPr>
            <w:r w:rsidRPr="00DF3959">
              <w:t>47,928 </w:t>
            </w:r>
          </w:p>
        </w:tc>
        <w:tc>
          <w:tcPr>
            <w:tcW w:w="1980" w:type="dxa"/>
            <w:vAlign w:val="center"/>
            <w:hideMark/>
          </w:tcPr>
          <w:p w14:paraId="558CA6EC" w14:textId="77777777" w:rsidR="00DF3959" w:rsidRPr="00DF3959" w:rsidRDefault="00DF3959" w:rsidP="000765F1">
            <w:pPr>
              <w:pStyle w:val="TableText"/>
              <w:jc w:val="right"/>
            </w:pPr>
            <w:r w:rsidRPr="00DF3959">
              <w:t>69.1% </w:t>
            </w:r>
          </w:p>
        </w:tc>
      </w:tr>
      <w:tr w:rsidR="00DF3959" w:rsidRPr="00DF3959" w14:paraId="6567BDA3" w14:textId="77777777" w:rsidTr="000765F1">
        <w:trPr>
          <w:trHeight w:val="300"/>
        </w:trPr>
        <w:tc>
          <w:tcPr>
            <w:tcW w:w="4470" w:type="dxa"/>
            <w:vAlign w:val="center"/>
            <w:hideMark/>
          </w:tcPr>
          <w:p w14:paraId="7E6E79D9" w14:textId="77777777" w:rsidR="00DF3959" w:rsidRPr="00DF3959" w:rsidRDefault="00DF3959" w:rsidP="000765F1">
            <w:pPr>
              <w:pStyle w:val="TableText"/>
            </w:pPr>
            <w:r w:rsidRPr="00DF3959">
              <w:rPr>
                <w:b/>
                <w:bCs/>
              </w:rPr>
              <w:t>Grand Total</w:t>
            </w:r>
            <w:r w:rsidRPr="00DF3959">
              <w:t> </w:t>
            </w:r>
          </w:p>
        </w:tc>
        <w:tc>
          <w:tcPr>
            <w:tcW w:w="1995" w:type="dxa"/>
            <w:vAlign w:val="center"/>
            <w:hideMark/>
          </w:tcPr>
          <w:p w14:paraId="6F457DA1" w14:textId="77777777" w:rsidR="00DF3959" w:rsidRPr="00DF3959" w:rsidRDefault="00DF3959" w:rsidP="000765F1">
            <w:pPr>
              <w:pStyle w:val="TableText"/>
              <w:jc w:val="right"/>
            </w:pPr>
            <w:r w:rsidRPr="00DF3959">
              <w:rPr>
                <w:b/>
                <w:bCs/>
              </w:rPr>
              <w:t>69,365</w:t>
            </w:r>
            <w:r w:rsidRPr="00DF3959">
              <w:t> </w:t>
            </w:r>
          </w:p>
        </w:tc>
        <w:tc>
          <w:tcPr>
            <w:tcW w:w="1980" w:type="dxa"/>
            <w:vAlign w:val="center"/>
            <w:hideMark/>
          </w:tcPr>
          <w:p w14:paraId="57F176CF" w14:textId="77777777" w:rsidR="00DF3959" w:rsidRPr="00DF3959" w:rsidRDefault="00DF3959" w:rsidP="000765F1">
            <w:pPr>
              <w:pStyle w:val="TableText"/>
              <w:jc w:val="right"/>
            </w:pPr>
            <w:r w:rsidRPr="00DF3959">
              <w:rPr>
                <w:b/>
                <w:bCs/>
              </w:rPr>
              <w:t>100.0%</w:t>
            </w:r>
            <w:r w:rsidRPr="00DF3959">
              <w:t> </w:t>
            </w:r>
          </w:p>
        </w:tc>
      </w:tr>
    </w:tbl>
    <w:p w14:paraId="57E2F945" w14:textId="77777777" w:rsidR="00DF3959" w:rsidRPr="00DF3959" w:rsidRDefault="00DF3959" w:rsidP="00DF3959">
      <w:pPr>
        <w:pStyle w:val="BodyText"/>
      </w:pPr>
      <w:r w:rsidRPr="00DF3959">
        <w:t>*More than one race or some other race </w:t>
      </w:r>
    </w:p>
    <w:tbl>
      <w:tblPr>
        <w:tblStyle w:val="TableGrid1"/>
        <w:tblW w:w="0" w:type="dxa"/>
        <w:tblCellMar>
          <w:top w:w="58" w:type="dxa"/>
          <w:bottom w:w="58" w:type="dxa"/>
        </w:tblCellMar>
        <w:tblLook w:val="04A0" w:firstRow="1" w:lastRow="0" w:firstColumn="1" w:lastColumn="0" w:noHBand="0" w:noVBand="1"/>
      </w:tblPr>
      <w:tblGrid>
        <w:gridCol w:w="4470"/>
        <w:gridCol w:w="1995"/>
        <w:gridCol w:w="1980"/>
      </w:tblGrid>
      <w:tr w:rsidR="00DF3959" w:rsidRPr="00DF3959" w14:paraId="37376684" w14:textId="77777777" w:rsidTr="000765F1">
        <w:trPr>
          <w:trHeight w:val="300"/>
        </w:trPr>
        <w:tc>
          <w:tcPr>
            <w:tcW w:w="4470" w:type="dxa"/>
            <w:shd w:val="clear" w:color="auto" w:fill="B8CCE4" w:themeFill="accent1" w:themeFillTint="66"/>
            <w:vAlign w:val="center"/>
            <w:hideMark/>
          </w:tcPr>
          <w:p w14:paraId="3981AADA" w14:textId="3B8A8230" w:rsidR="00DF3959" w:rsidRPr="00DF3959" w:rsidRDefault="00DF3959" w:rsidP="000765F1">
            <w:pPr>
              <w:pStyle w:val="TableHeaders"/>
            </w:pPr>
            <w:r w:rsidRPr="00DF3959">
              <w:t>Ethnicity</w:t>
            </w:r>
          </w:p>
        </w:tc>
        <w:tc>
          <w:tcPr>
            <w:tcW w:w="1995" w:type="dxa"/>
            <w:shd w:val="clear" w:color="auto" w:fill="B8CCE4" w:themeFill="accent1" w:themeFillTint="66"/>
            <w:vAlign w:val="center"/>
            <w:hideMark/>
          </w:tcPr>
          <w:p w14:paraId="3E843E6B" w14:textId="4BB12E7F" w:rsidR="00DF3959" w:rsidRPr="00DF3959" w:rsidRDefault="00DF3959" w:rsidP="000765F1">
            <w:pPr>
              <w:pStyle w:val="TableHeaders"/>
            </w:pPr>
            <w:r w:rsidRPr="00DF3959">
              <w:t>Participants</w:t>
            </w:r>
          </w:p>
        </w:tc>
        <w:tc>
          <w:tcPr>
            <w:tcW w:w="1980" w:type="dxa"/>
            <w:shd w:val="clear" w:color="auto" w:fill="B8CCE4" w:themeFill="accent1" w:themeFillTint="66"/>
            <w:vAlign w:val="center"/>
            <w:hideMark/>
          </w:tcPr>
          <w:p w14:paraId="725B64D0" w14:textId="6751ADC7" w:rsidR="00DF3959" w:rsidRPr="00DF3959" w:rsidRDefault="00DF3959" w:rsidP="000765F1">
            <w:pPr>
              <w:pStyle w:val="TableHeaders"/>
            </w:pPr>
            <w:r w:rsidRPr="00DF3959">
              <w:t>Percentage</w:t>
            </w:r>
          </w:p>
        </w:tc>
      </w:tr>
      <w:tr w:rsidR="00DF3959" w:rsidRPr="00DF3959" w14:paraId="106896C5" w14:textId="77777777" w:rsidTr="000765F1">
        <w:trPr>
          <w:trHeight w:val="300"/>
        </w:trPr>
        <w:tc>
          <w:tcPr>
            <w:tcW w:w="4470" w:type="dxa"/>
            <w:vAlign w:val="center"/>
            <w:hideMark/>
          </w:tcPr>
          <w:p w14:paraId="63649F9B" w14:textId="77777777" w:rsidR="00DF3959" w:rsidRPr="00DF3959" w:rsidRDefault="00DF3959" w:rsidP="000765F1">
            <w:pPr>
              <w:pStyle w:val="TableText"/>
            </w:pPr>
            <w:r w:rsidRPr="00DF3959">
              <w:t>Hispanic or Latino </w:t>
            </w:r>
          </w:p>
        </w:tc>
        <w:tc>
          <w:tcPr>
            <w:tcW w:w="1995" w:type="dxa"/>
            <w:vAlign w:val="center"/>
            <w:hideMark/>
          </w:tcPr>
          <w:p w14:paraId="264BEC5B" w14:textId="77777777" w:rsidR="00DF3959" w:rsidRPr="00DF3959" w:rsidRDefault="00DF3959" w:rsidP="000765F1">
            <w:pPr>
              <w:pStyle w:val="TableText"/>
              <w:jc w:val="right"/>
            </w:pPr>
            <w:r w:rsidRPr="00DF3959">
              <w:t>23,051 </w:t>
            </w:r>
          </w:p>
        </w:tc>
        <w:tc>
          <w:tcPr>
            <w:tcW w:w="1980" w:type="dxa"/>
            <w:vAlign w:val="center"/>
            <w:hideMark/>
          </w:tcPr>
          <w:p w14:paraId="49B719E1" w14:textId="77777777" w:rsidR="00DF3959" w:rsidRPr="00DF3959" w:rsidRDefault="00DF3959" w:rsidP="000765F1">
            <w:pPr>
              <w:pStyle w:val="TableText"/>
              <w:jc w:val="right"/>
            </w:pPr>
            <w:r w:rsidRPr="00DF3959">
              <w:t>33% </w:t>
            </w:r>
          </w:p>
        </w:tc>
      </w:tr>
      <w:tr w:rsidR="00DF3959" w:rsidRPr="00DF3959" w14:paraId="26B856AB" w14:textId="77777777" w:rsidTr="000765F1">
        <w:trPr>
          <w:trHeight w:val="300"/>
        </w:trPr>
        <w:tc>
          <w:tcPr>
            <w:tcW w:w="4470" w:type="dxa"/>
            <w:vAlign w:val="center"/>
            <w:hideMark/>
          </w:tcPr>
          <w:p w14:paraId="176CC8BA" w14:textId="77777777" w:rsidR="00DF3959" w:rsidRPr="00DF3959" w:rsidRDefault="00DF3959" w:rsidP="000765F1">
            <w:pPr>
              <w:pStyle w:val="TableText"/>
            </w:pPr>
            <w:r w:rsidRPr="00DF3959">
              <w:t>Non-Hispanic/Latino </w:t>
            </w:r>
          </w:p>
        </w:tc>
        <w:tc>
          <w:tcPr>
            <w:tcW w:w="1995" w:type="dxa"/>
            <w:vAlign w:val="center"/>
            <w:hideMark/>
          </w:tcPr>
          <w:p w14:paraId="435D5426" w14:textId="77777777" w:rsidR="00DF3959" w:rsidRPr="00DF3959" w:rsidRDefault="00DF3959" w:rsidP="000765F1">
            <w:pPr>
              <w:pStyle w:val="TableText"/>
              <w:jc w:val="right"/>
            </w:pPr>
            <w:r w:rsidRPr="00DF3959">
              <w:t>46,314 </w:t>
            </w:r>
          </w:p>
        </w:tc>
        <w:tc>
          <w:tcPr>
            <w:tcW w:w="1980" w:type="dxa"/>
            <w:vAlign w:val="center"/>
            <w:hideMark/>
          </w:tcPr>
          <w:p w14:paraId="6E7201B4" w14:textId="77777777" w:rsidR="00DF3959" w:rsidRPr="00DF3959" w:rsidRDefault="00DF3959" w:rsidP="000765F1">
            <w:pPr>
              <w:pStyle w:val="TableText"/>
              <w:jc w:val="right"/>
            </w:pPr>
            <w:r w:rsidRPr="00DF3959">
              <w:t>67% </w:t>
            </w:r>
          </w:p>
        </w:tc>
      </w:tr>
      <w:tr w:rsidR="00DF3959" w:rsidRPr="00DF3959" w14:paraId="4D4B0029" w14:textId="77777777" w:rsidTr="000765F1">
        <w:trPr>
          <w:trHeight w:val="300"/>
        </w:trPr>
        <w:tc>
          <w:tcPr>
            <w:tcW w:w="4470" w:type="dxa"/>
            <w:vAlign w:val="center"/>
            <w:hideMark/>
          </w:tcPr>
          <w:p w14:paraId="08E1B6C4" w14:textId="77777777" w:rsidR="00DF3959" w:rsidRPr="00DF3959" w:rsidRDefault="00DF3959" w:rsidP="000765F1">
            <w:pPr>
              <w:pStyle w:val="TableText"/>
            </w:pPr>
            <w:r w:rsidRPr="00DF3959">
              <w:rPr>
                <w:b/>
                <w:bCs/>
              </w:rPr>
              <w:t>Grand Total</w:t>
            </w:r>
            <w:r w:rsidRPr="00DF3959">
              <w:t> </w:t>
            </w:r>
          </w:p>
        </w:tc>
        <w:tc>
          <w:tcPr>
            <w:tcW w:w="1995" w:type="dxa"/>
            <w:vAlign w:val="center"/>
            <w:hideMark/>
          </w:tcPr>
          <w:p w14:paraId="562D2C1B" w14:textId="77777777" w:rsidR="00DF3959" w:rsidRPr="00DF3959" w:rsidRDefault="00DF3959" w:rsidP="000765F1">
            <w:pPr>
              <w:pStyle w:val="TableText"/>
              <w:jc w:val="right"/>
            </w:pPr>
            <w:r w:rsidRPr="00DF3959">
              <w:rPr>
                <w:b/>
                <w:bCs/>
              </w:rPr>
              <w:t>69,365</w:t>
            </w:r>
            <w:r w:rsidRPr="00DF3959">
              <w:t> </w:t>
            </w:r>
          </w:p>
        </w:tc>
        <w:tc>
          <w:tcPr>
            <w:tcW w:w="1980" w:type="dxa"/>
            <w:vAlign w:val="center"/>
            <w:hideMark/>
          </w:tcPr>
          <w:p w14:paraId="1E01FCC6" w14:textId="77777777" w:rsidR="00DF3959" w:rsidRPr="00DF3959" w:rsidRDefault="00DF3959" w:rsidP="000765F1">
            <w:pPr>
              <w:pStyle w:val="TableText"/>
              <w:jc w:val="right"/>
            </w:pPr>
            <w:r w:rsidRPr="00DF3959">
              <w:rPr>
                <w:b/>
                <w:bCs/>
              </w:rPr>
              <w:t>100.0%</w:t>
            </w:r>
            <w:r w:rsidRPr="00DF3959">
              <w:t> </w:t>
            </w:r>
          </w:p>
        </w:tc>
      </w:tr>
    </w:tbl>
    <w:p w14:paraId="515202A1" w14:textId="77777777" w:rsidR="00DF3959" w:rsidRPr="00DF3959" w:rsidRDefault="00DF3959" w:rsidP="00DF3959">
      <w:pPr>
        <w:pStyle w:val="BodyText"/>
      </w:pPr>
      <w:r w:rsidRPr="00DF3959">
        <w:lastRenderedPageBreak/>
        <w:t>The racial and ethnic proportions of VR participants in SFY 2024 closely matches the 2023 Comprehensive State Needs Assessment (CSNA), which compared the racial and ethnic identities of VR participants to the Texas Disability Population, based on the US Census Bureau’s 2021 American Community Survey. </w:t>
      </w:r>
    </w:p>
    <w:p w14:paraId="523BBD3E" w14:textId="77777777" w:rsidR="00DF3959" w:rsidRPr="00DF3959" w:rsidRDefault="00DF3959" w:rsidP="000765F1">
      <w:pPr>
        <w:pStyle w:val="BodyText3"/>
      </w:pPr>
      <w:r w:rsidRPr="00DF3959">
        <w:t>Sex, VR Participants, SFY 2024 </w:t>
      </w:r>
    </w:p>
    <w:tbl>
      <w:tblPr>
        <w:tblStyle w:val="TableGrid1"/>
        <w:tblW w:w="0" w:type="dxa"/>
        <w:tblCellMar>
          <w:top w:w="58" w:type="dxa"/>
          <w:bottom w:w="58" w:type="dxa"/>
        </w:tblCellMar>
        <w:tblLook w:val="04A0" w:firstRow="1" w:lastRow="0" w:firstColumn="1" w:lastColumn="0" w:noHBand="0" w:noVBand="1"/>
      </w:tblPr>
      <w:tblGrid>
        <w:gridCol w:w="1950"/>
        <w:gridCol w:w="1350"/>
        <w:gridCol w:w="990"/>
        <w:gridCol w:w="1170"/>
        <w:gridCol w:w="1170"/>
        <w:gridCol w:w="1260"/>
        <w:gridCol w:w="1080"/>
      </w:tblGrid>
      <w:tr w:rsidR="00DF3959" w:rsidRPr="00DF3959" w14:paraId="194E8A7F" w14:textId="77777777" w:rsidTr="000765F1">
        <w:trPr>
          <w:trHeight w:val="600"/>
        </w:trPr>
        <w:tc>
          <w:tcPr>
            <w:tcW w:w="1950" w:type="dxa"/>
            <w:shd w:val="clear" w:color="auto" w:fill="B8CCE4" w:themeFill="accent1" w:themeFillTint="66"/>
            <w:vAlign w:val="center"/>
            <w:hideMark/>
          </w:tcPr>
          <w:p w14:paraId="58D7DCCC" w14:textId="2350301B" w:rsidR="00DF3959" w:rsidRPr="00DF3959" w:rsidRDefault="00DF3959" w:rsidP="000765F1">
            <w:pPr>
              <w:pStyle w:val="TableHeaders"/>
            </w:pPr>
            <w:r w:rsidRPr="00DF3959">
              <w:t>Sex</w:t>
            </w:r>
          </w:p>
        </w:tc>
        <w:tc>
          <w:tcPr>
            <w:tcW w:w="1350" w:type="dxa"/>
            <w:shd w:val="clear" w:color="auto" w:fill="B8CCE4" w:themeFill="accent1" w:themeFillTint="66"/>
            <w:vAlign w:val="center"/>
            <w:hideMark/>
          </w:tcPr>
          <w:p w14:paraId="6C3E5FD0" w14:textId="56524BC2" w:rsidR="00DF3959" w:rsidRPr="00DF3959" w:rsidRDefault="00DF3959" w:rsidP="000765F1">
            <w:pPr>
              <w:pStyle w:val="TableHeaders"/>
            </w:pPr>
            <w:r w:rsidRPr="00DF3959">
              <w:t>Under 22</w:t>
            </w:r>
          </w:p>
        </w:tc>
        <w:tc>
          <w:tcPr>
            <w:tcW w:w="990" w:type="dxa"/>
            <w:shd w:val="clear" w:color="auto" w:fill="B8CCE4" w:themeFill="accent1" w:themeFillTint="66"/>
            <w:vAlign w:val="center"/>
            <w:hideMark/>
          </w:tcPr>
          <w:p w14:paraId="2FEEA95F" w14:textId="2E31240D" w:rsidR="00DF3959" w:rsidRPr="00DF3959" w:rsidRDefault="00DF3959" w:rsidP="000765F1">
            <w:pPr>
              <w:pStyle w:val="TableHeaders"/>
            </w:pPr>
            <w:r w:rsidRPr="00DF3959">
              <w:t>Under 22 %</w:t>
            </w:r>
          </w:p>
        </w:tc>
        <w:tc>
          <w:tcPr>
            <w:tcW w:w="1170" w:type="dxa"/>
            <w:shd w:val="clear" w:color="auto" w:fill="B8CCE4" w:themeFill="accent1" w:themeFillTint="66"/>
            <w:vAlign w:val="center"/>
            <w:hideMark/>
          </w:tcPr>
          <w:p w14:paraId="71E47042" w14:textId="2E40C0A5" w:rsidR="00DF3959" w:rsidRPr="00DF3959" w:rsidRDefault="00DF3959" w:rsidP="000765F1">
            <w:pPr>
              <w:pStyle w:val="TableHeaders"/>
            </w:pPr>
            <w:r w:rsidRPr="00DF3959">
              <w:t xml:space="preserve">22 and </w:t>
            </w:r>
            <w:proofErr w:type="gramStart"/>
            <w:r w:rsidRPr="00DF3959">
              <w:t>Over</w:t>
            </w:r>
            <w:proofErr w:type="gramEnd"/>
          </w:p>
        </w:tc>
        <w:tc>
          <w:tcPr>
            <w:tcW w:w="1170" w:type="dxa"/>
            <w:shd w:val="clear" w:color="auto" w:fill="B8CCE4" w:themeFill="accent1" w:themeFillTint="66"/>
            <w:vAlign w:val="center"/>
            <w:hideMark/>
          </w:tcPr>
          <w:p w14:paraId="63B39081" w14:textId="052B3D15" w:rsidR="00DF3959" w:rsidRPr="00DF3959" w:rsidRDefault="00DF3959" w:rsidP="000765F1">
            <w:pPr>
              <w:pStyle w:val="TableHeaders"/>
            </w:pPr>
            <w:r w:rsidRPr="00DF3959">
              <w:t xml:space="preserve">22 and </w:t>
            </w:r>
            <w:proofErr w:type="gramStart"/>
            <w:r w:rsidRPr="00DF3959">
              <w:t>Over</w:t>
            </w:r>
            <w:proofErr w:type="gramEnd"/>
            <w:r w:rsidRPr="00DF3959">
              <w:t xml:space="preserve"> %</w:t>
            </w:r>
          </w:p>
        </w:tc>
        <w:tc>
          <w:tcPr>
            <w:tcW w:w="1260" w:type="dxa"/>
            <w:shd w:val="clear" w:color="auto" w:fill="B8CCE4" w:themeFill="accent1" w:themeFillTint="66"/>
            <w:vAlign w:val="center"/>
            <w:hideMark/>
          </w:tcPr>
          <w:p w14:paraId="7ABBA0DE" w14:textId="66D2F883" w:rsidR="00DF3959" w:rsidRPr="00DF3959" w:rsidRDefault="00DF3959" w:rsidP="000765F1">
            <w:pPr>
              <w:pStyle w:val="TableHeaders"/>
            </w:pPr>
            <w:r w:rsidRPr="00DF3959">
              <w:t>All Ages</w:t>
            </w:r>
          </w:p>
        </w:tc>
        <w:tc>
          <w:tcPr>
            <w:tcW w:w="1080" w:type="dxa"/>
            <w:shd w:val="clear" w:color="auto" w:fill="B8CCE4" w:themeFill="accent1" w:themeFillTint="66"/>
            <w:vAlign w:val="center"/>
            <w:hideMark/>
          </w:tcPr>
          <w:p w14:paraId="0B175618" w14:textId="4694A809" w:rsidR="00DF3959" w:rsidRPr="00DF3959" w:rsidRDefault="00DF3959" w:rsidP="000765F1">
            <w:pPr>
              <w:pStyle w:val="TableHeaders"/>
            </w:pPr>
            <w:r w:rsidRPr="00DF3959">
              <w:t>All Ages %</w:t>
            </w:r>
          </w:p>
        </w:tc>
      </w:tr>
      <w:tr w:rsidR="00DF3959" w:rsidRPr="00DF3959" w14:paraId="6A32DF9D" w14:textId="77777777" w:rsidTr="000765F1">
        <w:trPr>
          <w:trHeight w:val="300"/>
        </w:trPr>
        <w:tc>
          <w:tcPr>
            <w:tcW w:w="1950" w:type="dxa"/>
            <w:vAlign w:val="center"/>
            <w:hideMark/>
          </w:tcPr>
          <w:p w14:paraId="7523F151" w14:textId="77777777" w:rsidR="00DF3959" w:rsidRPr="00DF3959" w:rsidRDefault="00DF3959" w:rsidP="000765F1">
            <w:pPr>
              <w:pStyle w:val="TableText"/>
            </w:pPr>
            <w:r w:rsidRPr="00DF3959">
              <w:t>Female </w:t>
            </w:r>
          </w:p>
        </w:tc>
        <w:tc>
          <w:tcPr>
            <w:tcW w:w="1350" w:type="dxa"/>
            <w:vAlign w:val="center"/>
            <w:hideMark/>
          </w:tcPr>
          <w:p w14:paraId="7EED9FB1" w14:textId="77777777" w:rsidR="00DF3959" w:rsidRPr="00DF3959" w:rsidRDefault="00DF3959" w:rsidP="000765F1">
            <w:pPr>
              <w:pStyle w:val="TableText"/>
              <w:jc w:val="right"/>
            </w:pPr>
            <w:r w:rsidRPr="00DF3959">
              <w:t>8,872  </w:t>
            </w:r>
          </w:p>
        </w:tc>
        <w:tc>
          <w:tcPr>
            <w:tcW w:w="990" w:type="dxa"/>
            <w:vAlign w:val="center"/>
            <w:hideMark/>
          </w:tcPr>
          <w:p w14:paraId="7D143F76" w14:textId="77777777" w:rsidR="00DF3959" w:rsidRPr="00DF3959" w:rsidRDefault="00DF3959" w:rsidP="000765F1">
            <w:pPr>
              <w:pStyle w:val="TableText"/>
              <w:jc w:val="right"/>
            </w:pPr>
            <w:r w:rsidRPr="00DF3959">
              <w:t>39.3% </w:t>
            </w:r>
          </w:p>
        </w:tc>
        <w:tc>
          <w:tcPr>
            <w:tcW w:w="1170" w:type="dxa"/>
            <w:vAlign w:val="center"/>
            <w:hideMark/>
          </w:tcPr>
          <w:p w14:paraId="0CD37CF1" w14:textId="77777777" w:rsidR="00DF3959" w:rsidRPr="00DF3959" w:rsidRDefault="00DF3959" w:rsidP="000765F1">
            <w:pPr>
              <w:pStyle w:val="TableText"/>
              <w:jc w:val="right"/>
            </w:pPr>
            <w:r w:rsidRPr="00DF3959">
              <w:t>22,699 </w:t>
            </w:r>
          </w:p>
        </w:tc>
        <w:tc>
          <w:tcPr>
            <w:tcW w:w="1170" w:type="dxa"/>
            <w:vAlign w:val="center"/>
            <w:hideMark/>
          </w:tcPr>
          <w:p w14:paraId="286CF2C2" w14:textId="77777777" w:rsidR="00DF3959" w:rsidRPr="00DF3959" w:rsidRDefault="00DF3959" w:rsidP="000765F1">
            <w:pPr>
              <w:pStyle w:val="TableText"/>
              <w:jc w:val="right"/>
            </w:pPr>
            <w:r w:rsidRPr="00DF3959">
              <w:t>48.5% </w:t>
            </w:r>
          </w:p>
        </w:tc>
        <w:tc>
          <w:tcPr>
            <w:tcW w:w="1260" w:type="dxa"/>
            <w:vAlign w:val="center"/>
            <w:hideMark/>
          </w:tcPr>
          <w:p w14:paraId="76A9C1B5" w14:textId="77777777" w:rsidR="00DF3959" w:rsidRPr="00DF3959" w:rsidRDefault="00DF3959" w:rsidP="000765F1">
            <w:pPr>
              <w:pStyle w:val="TableText"/>
              <w:jc w:val="right"/>
            </w:pPr>
            <w:r w:rsidRPr="00DF3959">
              <w:t>1,571 </w:t>
            </w:r>
          </w:p>
        </w:tc>
        <w:tc>
          <w:tcPr>
            <w:tcW w:w="1080" w:type="dxa"/>
            <w:vAlign w:val="center"/>
            <w:hideMark/>
          </w:tcPr>
          <w:p w14:paraId="697936A9" w14:textId="77777777" w:rsidR="00DF3959" w:rsidRPr="00DF3959" w:rsidRDefault="00DF3959" w:rsidP="000765F1">
            <w:pPr>
              <w:pStyle w:val="TableText"/>
              <w:jc w:val="right"/>
            </w:pPr>
            <w:r w:rsidRPr="00DF3959">
              <w:t>45.5% </w:t>
            </w:r>
          </w:p>
        </w:tc>
      </w:tr>
      <w:tr w:rsidR="00DF3959" w:rsidRPr="00DF3959" w14:paraId="539A1869" w14:textId="77777777" w:rsidTr="000765F1">
        <w:trPr>
          <w:trHeight w:val="300"/>
        </w:trPr>
        <w:tc>
          <w:tcPr>
            <w:tcW w:w="1950" w:type="dxa"/>
            <w:vAlign w:val="center"/>
            <w:hideMark/>
          </w:tcPr>
          <w:p w14:paraId="3CB96B4B" w14:textId="77777777" w:rsidR="00DF3959" w:rsidRPr="00DF3959" w:rsidRDefault="00DF3959" w:rsidP="000765F1">
            <w:pPr>
              <w:pStyle w:val="TableText"/>
            </w:pPr>
            <w:r w:rsidRPr="00DF3959">
              <w:t>Male </w:t>
            </w:r>
          </w:p>
        </w:tc>
        <w:tc>
          <w:tcPr>
            <w:tcW w:w="1350" w:type="dxa"/>
            <w:vAlign w:val="center"/>
            <w:hideMark/>
          </w:tcPr>
          <w:p w14:paraId="3055ED3F" w14:textId="77777777" w:rsidR="00DF3959" w:rsidRPr="00DF3959" w:rsidRDefault="00DF3959" w:rsidP="000765F1">
            <w:pPr>
              <w:pStyle w:val="TableText"/>
              <w:jc w:val="right"/>
            </w:pPr>
            <w:r w:rsidRPr="00DF3959">
              <w:t>13,593 </w:t>
            </w:r>
          </w:p>
        </w:tc>
        <w:tc>
          <w:tcPr>
            <w:tcW w:w="990" w:type="dxa"/>
            <w:vAlign w:val="center"/>
            <w:hideMark/>
          </w:tcPr>
          <w:p w14:paraId="6B7B4AEC" w14:textId="77777777" w:rsidR="00DF3959" w:rsidRPr="00DF3959" w:rsidRDefault="00DF3959" w:rsidP="000765F1">
            <w:pPr>
              <w:pStyle w:val="TableText"/>
              <w:jc w:val="right"/>
            </w:pPr>
            <w:r w:rsidRPr="00DF3959">
              <w:t>60.2% </w:t>
            </w:r>
          </w:p>
        </w:tc>
        <w:tc>
          <w:tcPr>
            <w:tcW w:w="1170" w:type="dxa"/>
            <w:vAlign w:val="center"/>
            <w:hideMark/>
          </w:tcPr>
          <w:p w14:paraId="73F6330C" w14:textId="77777777" w:rsidR="00DF3959" w:rsidRPr="00DF3959" w:rsidRDefault="00DF3959" w:rsidP="000765F1">
            <w:pPr>
              <w:pStyle w:val="TableText"/>
              <w:jc w:val="right"/>
            </w:pPr>
            <w:r w:rsidRPr="00DF3959">
              <w:t>23,899 </w:t>
            </w:r>
          </w:p>
        </w:tc>
        <w:tc>
          <w:tcPr>
            <w:tcW w:w="1170" w:type="dxa"/>
            <w:vAlign w:val="center"/>
            <w:hideMark/>
          </w:tcPr>
          <w:p w14:paraId="4711422E" w14:textId="77777777" w:rsidR="00DF3959" w:rsidRPr="00DF3959" w:rsidRDefault="00DF3959" w:rsidP="000765F1">
            <w:pPr>
              <w:pStyle w:val="TableText"/>
              <w:jc w:val="right"/>
            </w:pPr>
            <w:r w:rsidRPr="00DF3959">
              <w:t>51.1% </w:t>
            </w:r>
          </w:p>
        </w:tc>
        <w:tc>
          <w:tcPr>
            <w:tcW w:w="1260" w:type="dxa"/>
            <w:vAlign w:val="center"/>
            <w:hideMark/>
          </w:tcPr>
          <w:p w14:paraId="7C24AB0F" w14:textId="77777777" w:rsidR="00DF3959" w:rsidRPr="00DF3959" w:rsidRDefault="00DF3959" w:rsidP="000765F1">
            <w:pPr>
              <w:pStyle w:val="TableText"/>
              <w:jc w:val="right"/>
            </w:pPr>
            <w:r w:rsidRPr="00DF3959">
              <w:t>37,492 </w:t>
            </w:r>
          </w:p>
        </w:tc>
        <w:tc>
          <w:tcPr>
            <w:tcW w:w="1080" w:type="dxa"/>
            <w:vAlign w:val="center"/>
            <w:hideMark/>
          </w:tcPr>
          <w:p w14:paraId="25C3622D" w14:textId="77777777" w:rsidR="00DF3959" w:rsidRPr="00DF3959" w:rsidRDefault="00DF3959" w:rsidP="000765F1">
            <w:pPr>
              <w:pStyle w:val="TableText"/>
              <w:jc w:val="right"/>
            </w:pPr>
            <w:r w:rsidRPr="00DF3959">
              <w:t>54.1% </w:t>
            </w:r>
          </w:p>
        </w:tc>
      </w:tr>
      <w:tr w:rsidR="00DF3959" w:rsidRPr="00DF3959" w14:paraId="2238212A" w14:textId="77777777" w:rsidTr="000765F1">
        <w:trPr>
          <w:trHeight w:val="45"/>
        </w:trPr>
        <w:tc>
          <w:tcPr>
            <w:tcW w:w="1950" w:type="dxa"/>
            <w:vAlign w:val="center"/>
            <w:hideMark/>
          </w:tcPr>
          <w:p w14:paraId="59A75999" w14:textId="77777777" w:rsidR="00DF3959" w:rsidRPr="00DF3959" w:rsidRDefault="00DF3959" w:rsidP="000765F1">
            <w:pPr>
              <w:pStyle w:val="TableText"/>
            </w:pPr>
            <w:r w:rsidRPr="00DF3959">
              <w:t>Not Reported </w:t>
            </w:r>
          </w:p>
        </w:tc>
        <w:tc>
          <w:tcPr>
            <w:tcW w:w="1350" w:type="dxa"/>
            <w:vAlign w:val="center"/>
            <w:hideMark/>
          </w:tcPr>
          <w:p w14:paraId="04251A2D" w14:textId="77777777" w:rsidR="00DF3959" w:rsidRPr="00DF3959" w:rsidRDefault="00DF3959" w:rsidP="000765F1">
            <w:pPr>
              <w:pStyle w:val="TableText"/>
              <w:jc w:val="right"/>
            </w:pPr>
            <w:r w:rsidRPr="00DF3959">
              <w:t>126 </w:t>
            </w:r>
          </w:p>
        </w:tc>
        <w:tc>
          <w:tcPr>
            <w:tcW w:w="990" w:type="dxa"/>
            <w:vAlign w:val="center"/>
            <w:hideMark/>
          </w:tcPr>
          <w:p w14:paraId="1E69F0CA" w14:textId="77777777" w:rsidR="00DF3959" w:rsidRPr="00DF3959" w:rsidRDefault="00DF3959" w:rsidP="000765F1">
            <w:pPr>
              <w:pStyle w:val="TableText"/>
              <w:jc w:val="right"/>
            </w:pPr>
            <w:r w:rsidRPr="00DF3959">
              <w:t>0.6% </w:t>
            </w:r>
          </w:p>
        </w:tc>
        <w:tc>
          <w:tcPr>
            <w:tcW w:w="1170" w:type="dxa"/>
            <w:vAlign w:val="center"/>
            <w:hideMark/>
          </w:tcPr>
          <w:p w14:paraId="614730F3" w14:textId="77777777" w:rsidR="00DF3959" w:rsidRPr="00DF3959" w:rsidRDefault="00DF3959" w:rsidP="000765F1">
            <w:pPr>
              <w:pStyle w:val="TableText"/>
              <w:jc w:val="right"/>
            </w:pPr>
            <w:r w:rsidRPr="00DF3959">
              <w:t>176 </w:t>
            </w:r>
          </w:p>
        </w:tc>
        <w:tc>
          <w:tcPr>
            <w:tcW w:w="1170" w:type="dxa"/>
            <w:vAlign w:val="center"/>
            <w:hideMark/>
          </w:tcPr>
          <w:p w14:paraId="032DC3A1" w14:textId="77777777" w:rsidR="00DF3959" w:rsidRPr="00DF3959" w:rsidRDefault="00DF3959" w:rsidP="000765F1">
            <w:pPr>
              <w:pStyle w:val="TableText"/>
              <w:jc w:val="right"/>
            </w:pPr>
            <w:r w:rsidRPr="00DF3959">
              <w:t>0.6% </w:t>
            </w:r>
          </w:p>
        </w:tc>
        <w:tc>
          <w:tcPr>
            <w:tcW w:w="1260" w:type="dxa"/>
            <w:vAlign w:val="center"/>
            <w:hideMark/>
          </w:tcPr>
          <w:p w14:paraId="0DB6B9CE" w14:textId="77777777" w:rsidR="00DF3959" w:rsidRPr="00DF3959" w:rsidRDefault="00DF3959" w:rsidP="000765F1">
            <w:pPr>
              <w:pStyle w:val="TableText"/>
              <w:jc w:val="right"/>
            </w:pPr>
            <w:r w:rsidRPr="00DF3959">
              <w:t>302 </w:t>
            </w:r>
          </w:p>
        </w:tc>
        <w:tc>
          <w:tcPr>
            <w:tcW w:w="1080" w:type="dxa"/>
            <w:vAlign w:val="center"/>
            <w:hideMark/>
          </w:tcPr>
          <w:p w14:paraId="3602BDCD" w14:textId="77777777" w:rsidR="00DF3959" w:rsidRPr="00DF3959" w:rsidRDefault="00DF3959" w:rsidP="000765F1">
            <w:pPr>
              <w:pStyle w:val="TableText"/>
              <w:jc w:val="right"/>
            </w:pPr>
            <w:r w:rsidRPr="00DF3959">
              <w:t>0.4% </w:t>
            </w:r>
          </w:p>
        </w:tc>
      </w:tr>
      <w:tr w:rsidR="00DF3959" w:rsidRPr="00DF3959" w14:paraId="7D9E4A5E" w14:textId="77777777" w:rsidTr="000765F1">
        <w:trPr>
          <w:trHeight w:val="300"/>
        </w:trPr>
        <w:tc>
          <w:tcPr>
            <w:tcW w:w="1950" w:type="dxa"/>
            <w:vAlign w:val="center"/>
            <w:hideMark/>
          </w:tcPr>
          <w:p w14:paraId="5E5D0ADE" w14:textId="77777777" w:rsidR="00DF3959" w:rsidRPr="00DF3959" w:rsidRDefault="00DF3959" w:rsidP="000765F1">
            <w:pPr>
              <w:pStyle w:val="TableText"/>
            </w:pPr>
            <w:r w:rsidRPr="00DF3959">
              <w:rPr>
                <w:b/>
                <w:bCs/>
              </w:rPr>
              <w:t>Grand Total</w:t>
            </w:r>
            <w:r w:rsidRPr="00DF3959">
              <w:t> </w:t>
            </w:r>
          </w:p>
        </w:tc>
        <w:tc>
          <w:tcPr>
            <w:tcW w:w="1350" w:type="dxa"/>
            <w:vAlign w:val="center"/>
            <w:hideMark/>
          </w:tcPr>
          <w:p w14:paraId="3276D2D9" w14:textId="77777777" w:rsidR="00DF3959" w:rsidRPr="00DF3959" w:rsidRDefault="00DF3959" w:rsidP="000765F1">
            <w:pPr>
              <w:pStyle w:val="TableText"/>
              <w:jc w:val="right"/>
            </w:pPr>
            <w:r w:rsidRPr="00DF3959">
              <w:rPr>
                <w:b/>
                <w:bCs/>
              </w:rPr>
              <w:t>22,591</w:t>
            </w:r>
            <w:r w:rsidRPr="00DF3959">
              <w:t> </w:t>
            </w:r>
          </w:p>
        </w:tc>
        <w:tc>
          <w:tcPr>
            <w:tcW w:w="990" w:type="dxa"/>
            <w:vAlign w:val="center"/>
            <w:hideMark/>
          </w:tcPr>
          <w:p w14:paraId="13838D66" w14:textId="77777777" w:rsidR="00DF3959" w:rsidRPr="00DF3959" w:rsidRDefault="00DF3959" w:rsidP="000765F1">
            <w:pPr>
              <w:pStyle w:val="TableText"/>
              <w:jc w:val="right"/>
            </w:pPr>
            <w:r w:rsidRPr="00DF3959">
              <w:rPr>
                <w:b/>
                <w:bCs/>
              </w:rPr>
              <w:t>100%</w:t>
            </w:r>
            <w:r w:rsidRPr="00DF3959">
              <w:t> </w:t>
            </w:r>
          </w:p>
        </w:tc>
        <w:tc>
          <w:tcPr>
            <w:tcW w:w="1170" w:type="dxa"/>
            <w:vAlign w:val="center"/>
            <w:hideMark/>
          </w:tcPr>
          <w:p w14:paraId="38D44F3B" w14:textId="77777777" w:rsidR="00DF3959" w:rsidRPr="00DF3959" w:rsidRDefault="00DF3959" w:rsidP="000765F1">
            <w:pPr>
              <w:pStyle w:val="TableText"/>
              <w:jc w:val="right"/>
            </w:pPr>
            <w:r w:rsidRPr="00DF3959">
              <w:rPr>
                <w:b/>
                <w:bCs/>
              </w:rPr>
              <w:t>46,774</w:t>
            </w:r>
            <w:r w:rsidRPr="00DF3959">
              <w:t> </w:t>
            </w:r>
          </w:p>
        </w:tc>
        <w:tc>
          <w:tcPr>
            <w:tcW w:w="1170" w:type="dxa"/>
            <w:vAlign w:val="center"/>
            <w:hideMark/>
          </w:tcPr>
          <w:p w14:paraId="43F067B8" w14:textId="77777777" w:rsidR="00DF3959" w:rsidRPr="00DF3959" w:rsidRDefault="00DF3959" w:rsidP="000765F1">
            <w:pPr>
              <w:pStyle w:val="TableText"/>
              <w:jc w:val="right"/>
            </w:pPr>
            <w:r w:rsidRPr="00DF3959">
              <w:rPr>
                <w:b/>
                <w:bCs/>
              </w:rPr>
              <w:t>100%</w:t>
            </w:r>
            <w:r w:rsidRPr="00DF3959">
              <w:t> </w:t>
            </w:r>
          </w:p>
        </w:tc>
        <w:tc>
          <w:tcPr>
            <w:tcW w:w="1260" w:type="dxa"/>
            <w:vAlign w:val="center"/>
            <w:hideMark/>
          </w:tcPr>
          <w:p w14:paraId="78C7DD26" w14:textId="77777777" w:rsidR="00DF3959" w:rsidRPr="00DF3959" w:rsidRDefault="00DF3959" w:rsidP="000765F1">
            <w:pPr>
              <w:pStyle w:val="TableText"/>
              <w:jc w:val="right"/>
            </w:pPr>
            <w:r w:rsidRPr="00DF3959">
              <w:rPr>
                <w:b/>
                <w:bCs/>
              </w:rPr>
              <w:t>69,365</w:t>
            </w:r>
            <w:r w:rsidRPr="00DF3959">
              <w:t> </w:t>
            </w:r>
          </w:p>
        </w:tc>
        <w:tc>
          <w:tcPr>
            <w:tcW w:w="1080" w:type="dxa"/>
            <w:vAlign w:val="center"/>
            <w:hideMark/>
          </w:tcPr>
          <w:p w14:paraId="267BFCCF" w14:textId="77777777" w:rsidR="00DF3959" w:rsidRPr="00DF3959" w:rsidRDefault="00DF3959" w:rsidP="000765F1">
            <w:pPr>
              <w:pStyle w:val="TableText"/>
              <w:jc w:val="right"/>
            </w:pPr>
            <w:r w:rsidRPr="00DF3959">
              <w:rPr>
                <w:b/>
                <w:bCs/>
              </w:rPr>
              <w:t>100%</w:t>
            </w:r>
            <w:r w:rsidRPr="00DF3959">
              <w:t> </w:t>
            </w:r>
          </w:p>
        </w:tc>
      </w:tr>
    </w:tbl>
    <w:p w14:paraId="3C97E8B1" w14:textId="77777777" w:rsidR="00DF3959" w:rsidRPr="00DF3959" w:rsidRDefault="00DF3959" w:rsidP="00DF3959">
      <w:pPr>
        <w:pStyle w:val="BodyText"/>
      </w:pPr>
      <w:r w:rsidRPr="00DF3959">
        <w:t>The difference in the proportions for sex among VR participants of all ages (roughly 54 percent male vs. 46 percent female) is largely due to the higher prevalence of neurodevelopmental disabilities among the male student population (under 22). Around two-thirds of VR participants who are students have a primary neurodevelopmental disability, which is reflective of the Texas student population aged 14-21 and enrolled in special education.</w:t>
      </w:r>
      <w:r w:rsidRPr="00DF3959">
        <w:rPr>
          <w:vertAlign w:val="superscript"/>
        </w:rPr>
        <w:t>2</w:t>
      </w:r>
      <w:r w:rsidRPr="00DF3959">
        <w:t> </w:t>
      </w:r>
    </w:p>
    <w:p w14:paraId="2AC6A18C" w14:textId="77777777" w:rsidR="00DF3959" w:rsidRPr="00DF3959" w:rsidRDefault="00DF3959" w:rsidP="000765F1">
      <w:pPr>
        <w:pStyle w:val="BodyText3"/>
      </w:pPr>
      <w:r w:rsidRPr="00DF3959">
        <w:t>Age, VR Participants, SFY 2024 </w:t>
      </w:r>
    </w:p>
    <w:tbl>
      <w:tblPr>
        <w:tblStyle w:val="TableGrid1"/>
        <w:tblW w:w="0" w:type="dxa"/>
        <w:tblCellMar>
          <w:top w:w="58" w:type="dxa"/>
          <w:bottom w:w="58" w:type="dxa"/>
        </w:tblCellMar>
        <w:tblLook w:val="04A0" w:firstRow="1" w:lastRow="0" w:firstColumn="1" w:lastColumn="0" w:noHBand="0" w:noVBand="1"/>
      </w:tblPr>
      <w:tblGrid>
        <w:gridCol w:w="1950"/>
        <w:gridCol w:w="1980"/>
        <w:gridCol w:w="2355"/>
      </w:tblGrid>
      <w:tr w:rsidR="00DF3959" w:rsidRPr="00DF3959" w14:paraId="2960079E" w14:textId="77777777" w:rsidTr="000765F1">
        <w:trPr>
          <w:trHeight w:val="300"/>
          <w:tblHeader/>
        </w:trPr>
        <w:tc>
          <w:tcPr>
            <w:tcW w:w="1950" w:type="dxa"/>
            <w:shd w:val="clear" w:color="auto" w:fill="B8CCE4" w:themeFill="accent1" w:themeFillTint="66"/>
            <w:vAlign w:val="center"/>
            <w:hideMark/>
          </w:tcPr>
          <w:p w14:paraId="21304A22" w14:textId="2B34925C" w:rsidR="00DF3959" w:rsidRPr="00DF3959" w:rsidRDefault="00DF3959" w:rsidP="000765F1">
            <w:pPr>
              <w:pStyle w:val="TableHeaders"/>
            </w:pPr>
            <w:r w:rsidRPr="00DF3959">
              <w:t>Age</w:t>
            </w:r>
          </w:p>
        </w:tc>
        <w:tc>
          <w:tcPr>
            <w:tcW w:w="1980" w:type="dxa"/>
            <w:shd w:val="clear" w:color="auto" w:fill="B8CCE4" w:themeFill="accent1" w:themeFillTint="66"/>
            <w:vAlign w:val="center"/>
            <w:hideMark/>
          </w:tcPr>
          <w:p w14:paraId="5498BEC3" w14:textId="1ADF93F0" w:rsidR="00DF3959" w:rsidRPr="00DF3959" w:rsidRDefault="00DF3959" w:rsidP="000765F1">
            <w:pPr>
              <w:pStyle w:val="TableHeaders"/>
            </w:pPr>
            <w:r w:rsidRPr="00DF3959">
              <w:t>Total</w:t>
            </w:r>
          </w:p>
        </w:tc>
        <w:tc>
          <w:tcPr>
            <w:tcW w:w="2355" w:type="dxa"/>
            <w:shd w:val="clear" w:color="auto" w:fill="B8CCE4" w:themeFill="accent1" w:themeFillTint="66"/>
            <w:vAlign w:val="center"/>
            <w:hideMark/>
          </w:tcPr>
          <w:p w14:paraId="02DB1277" w14:textId="0E3B20BA" w:rsidR="00DF3959" w:rsidRPr="00DF3959" w:rsidRDefault="00DF3959" w:rsidP="000765F1">
            <w:pPr>
              <w:pStyle w:val="TableHeaders"/>
            </w:pPr>
            <w:r w:rsidRPr="00DF3959">
              <w:t>Percentage</w:t>
            </w:r>
          </w:p>
        </w:tc>
      </w:tr>
      <w:tr w:rsidR="00DF3959" w:rsidRPr="00DF3959" w14:paraId="21DEE15E" w14:textId="77777777" w:rsidTr="000765F1">
        <w:trPr>
          <w:trHeight w:val="300"/>
        </w:trPr>
        <w:tc>
          <w:tcPr>
            <w:tcW w:w="1950" w:type="dxa"/>
            <w:vAlign w:val="center"/>
            <w:hideMark/>
          </w:tcPr>
          <w:p w14:paraId="64110E91" w14:textId="77777777" w:rsidR="00DF3959" w:rsidRPr="00DF3959" w:rsidRDefault="00DF3959" w:rsidP="000765F1">
            <w:pPr>
              <w:pStyle w:val="TableText"/>
            </w:pPr>
            <w:r w:rsidRPr="00DF3959">
              <w:t>&lt;18 </w:t>
            </w:r>
          </w:p>
        </w:tc>
        <w:tc>
          <w:tcPr>
            <w:tcW w:w="1980" w:type="dxa"/>
            <w:vAlign w:val="center"/>
            <w:hideMark/>
          </w:tcPr>
          <w:p w14:paraId="7D68BD2B" w14:textId="77777777" w:rsidR="00DF3959" w:rsidRPr="00DF3959" w:rsidRDefault="00DF3959" w:rsidP="000765F1">
            <w:pPr>
              <w:pStyle w:val="TableText"/>
              <w:jc w:val="right"/>
            </w:pPr>
            <w:r w:rsidRPr="00DF3959">
              <w:t>6,302 </w:t>
            </w:r>
          </w:p>
        </w:tc>
        <w:tc>
          <w:tcPr>
            <w:tcW w:w="2355" w:type="dxa"/>
            <w:vAlign w:val="center"/>
            <w:hideMark/>
          </w:tcPr>
          <w:p w14:paraId="362E1B6C" w14:textId="77777777" w:rsidR="00DF3959" w:rsidRPr="00DF3959" w:rsidRDefault="00DF3959" w:rsidP="000765F1">
            <w:pPr>
              <w:pStyle w:val="TableText"/>
              <w:jc w:val="right"/>
            </w:pPr>
            <w:r w:rsidRPr="00DF3959">
              <w:t>9.1% </w:t>
            </w:r>
          </w:p>
        </w:tc>
      </w:tr>
      <w:tr w:rsidR="00DF3959" w:rsidRPr="00DF3959" w14:paraId="79FD8CE8" w14:textId="77777777" w:rsidTr="000765F1">
        <w:trPr>
          <w:trHeight w:val="300"/>
        </w:trPr>
        <w:tc>
          <w:tcPr>
            <w:tcW w:w="1950" w:type="dxa"/>
            <w:vAlign w:val="center"/>
            <w:hideMark/>
          </w:tcPr>
          <w:p w14:paraId="7E789289" w14:textId="77777777" w:rsidR="00DF3959" w:rsidRPr="00DF3959" w:rsidRDefault="00DF3959" w:rsidP="000765F1">
            <w:pPr>
              <w:pStyle w:val="TableText"/>
            </w:pPr>
            <w:r w:rsidRPr="00DF3959">
              <w:t>18-24 </w:t>
            </w:r>
          </w:p>
        </w:tc>
        <w:tc>
          <w:tcPr>
            <w:tcW w:w="1980" w:type="dxa"/>
            <w:vAlign w:val="center"/>
            <w:hideMark/>
          </w:tcPr>
          <w:p w14:paraId="729A853B" w14:textId="77777777" w:rsidR="00DF3959" w:rsidRPr="00DF3959" w:rsidRDefault="00DF3959" w:rsidP="000765F1">
            <w:pPr>
              <w:pStyle w:val="TableText"/>
              <w:jc w:val="right"/>
            </w:pPr>
            <w:r w:rsidRPr="00DF3959">
              <w:t>22,494 </w:t>
            </w:r>
          </w:p>
        </w:tc>
        <w:tc>
          <w:tcPr>
            <w:tcW w:w="2355" w:type="dxa"/>
            <w:vAlign w:val="center"/>
            <w:hideMark/>
          </w:tcPr>
          <w:p w14:paraId="2CF62531" w14:textId="77777777" w:rsidR="00DF3959" w:rsidRPr="00DF3959" w:rsidRDefault="00DF3959" w:rsidP="000765F1">
            <w:pPr>
              <w:pStyle w:val="TableText"/>
              <w:jc w:val="right"/>
            </w:pPr>
            <w:r w:rsidRPr="00DF3959">
              <w:t>32.4% </w:t>
            </w:r>
          </w:p>
        </w:tc>
      </w:tr>
      <w:tr w:rsidR="00DF3959" w:rsidRPr="00DF3959" w14:paraId="492219BB" w14:textId="77777777" w:rsidTr="000765F1">
        <w:trPr>
          <w:trHeight w:val="300"/>
        </w:trPr>
        <w:tc>
          <w:tcPr>
            <w:tcW w:w="1950" w:type="dxa"/>
            <w:vAlign w:val="center"/>
            <w:hideMark/>
          </w:tcPr>
          <w:p w14:paraId="0F13A4C2" w14:textId="77777777" w:rsidR="00DF3959" w:rsidRPr="00DF3959" w:rsidRDefault="00DF3959" w:rsidP="000765F1">
            <w:pPr>
              <w:pStyle w:val="TableText"/>
            </w:pPr>
            <w:r w:rsidRPr="00DF3959">
              <w:rPr>
                <w:b/>
                <w:bCs/>
                <w:i/>
                <w:iCs/>
              </w:rPr>
              <w:t>Youth Subtotal</w:t>
            </w:r>
            <w:r w:rsidRPr="00DF3959">
              <w:t> </w:t>
            </w:r>
          </w:p>
        </w:tc>
        <w:tc>
          <w:tcPr>
            <w:tcW w:w="1980" w:type="dxa"/>
            <w:vAlign w:val="center"/>
            <w:hideMark/>
          </w:tcPr>
          <w:p w14:paraId="7FA45F58" w14:textId="77777777" w:rsidR="00DF3959" w:rsidRPr="00DF3959" w:rsidRDefault="00DF3959" w:rsidP="000765F1">
            <w:pPr>
              <w:pStyle w:val="TableText"/>
              <w:jc w:val="right"/>
            </w:pPr>
            <w:r w:rsidRPr="00DF3959">
              <w:rPr>
                <w:b/>
                <w:bCs/>
                <w:i/>
                <w:iCs/>
              </w:rPr>
              <w:t>28,976</w:t>
            </w:r>
            <w:r w:rsidRPr="00DF3959">
              <w:t> </w:t>
            </w:r>
          </w:p>
        </w:tc>
        <w:tc>
          <w:tcPr>
            <w:tcW w:w="2355" w:type="dxa"/>
            <w:vAlign w:val="center"/>
            <w:hideMark/>
          </w:tcPr>
          <w:p w14:paraId="5FEAAE00" w14:textId="77777777" w:rsidR="00DF3959" w:rsidRPr="00DF3959" w:rsidRDefault="00DF3959" w:rsidP="000765F1">
            <w:pPr>
              <w:pStyle w:val="TableText"/>
              <w:jc w:val="right"/>
            </w:pPr>
            <w:r w:rsidRPr="00DF3959">
              <w:rPr>
                <w:b/>
                <w:bCs/>
                <w:i/>
                <w:iCs/>
              </w:rPr>
              <w:t>41.5%</w:t>
            </w:r>
            <w:r w:rsidRPr="00DF3959">
              <w:t> </w:t>
            </w:r>
          </w:p>
        </w:tc>
      </w:tr>
      <w:tr w:rsidR="00DF3959" w:rsidRPr="00DF3959" w14:paraId="02D1CAF0" w14:textId="77777777" w:rsidTr="000765F1">
        <w:trPr>
          <w:trHeight w:val="300"/>
        </w:trPr>
        <w:tc>
          <w:tcPr>
            <w:tcW w:w="1950" w:type="dxa"/>
            <w:vAlign w:val="center"/>
            <w:hideMark/>
          </w:tcPr>
          <w:p w14:paraId="3C41EBB5" w14:textId="77777777" w:rsidR="00DF3959" w:rsidRPr="00DF3959" w:rsidRDefault="00DF3959" w:rsidP="000765F1">
            <w:pPr>
              <w:pStyle w:val="TableText"/>
            </w:pPr>
            <w:r w:rsidRPr="00DF3959">
              <w:t>25-34 </w:t>
            </w:r>
          </w:p>
        </w:tc>
        <w:tc>
          <w:tcPr>
            <w:tcW w:w="1980" w:type="dxa"/>
            <w:vAlign w:val="center"/>
            <w:hideMark/>
          </w:tcPr>
          <w:p w14:paraId="47FC5140" w14:textId="77777777" w:rsidR="00DF3959" w:rsidRPr="00DF3959" w:rsidRDefault="00DF3959" w:rsidP="000765F1">
            <w:pPr>
              <w:pStyle w:val="TableText"/>
              <w:jc w:val="right"/>
            </w:pPr>
            <w:r w:rsidRPr="00DF3959">
              <w:t>10,006 </w:t>
            </w:r>
          </w:p>
        </w:tc>
        <w:tc>
          <w:tcPr>
            <w:tcW w:w="2355" w:type="dxa"/>
            <w:vAlign w:val="center"/>
            <w:hideMark/>
          </w:tcPr>
          <w:p w14:paraId="35C5DD91" w14:textId="77777777" w:rsidR="00DF3959" w:rsidRPr="00DF3959" w:rsidRDefault="00DF3959" w:rsidP="000765F1">
            <w:pPr>
              <w:pStyle w:val="TableText"/>
              <w:jc w:val="right"/>
            </w:pPr>
            <w:r w:rsidRPr="00DF3959">
              <w:t>14.4% </w:t>
            </w:r>
          </w:p>
        </w:tc>
      </w:tr>
      <w:tr w:rsidR="00DF3959" w:rsidRPr="00DF3959" w14:paraId="47EC1840" w14:textId="77777777" w:rsidTr="000765F1">
        <w:trPr>
          <w:trHeight w:val="300"/>
        </w:trPr>
        <w:tc>
          <w:tcPr>
            <w:tcW w:w="1950" w:type="dxa"/>
            <w:vAlign w:val="center"/>
            <w:hideMark/>
          </w:tcPr>
          <w:p w14:paraId="456302B3" w14:textId="77777777" w:rsidR="00DF3959" w:rsidRPr="00DF3959" w:rsidRDefault="00DF3959" w:rsidP="000765F1">
            <w:pPr>
              <w:pStyle w:val="TableText"/>
            </w:pPr>
            <w:r w:rsidRPr="00DF3959">
              <w:t>35-44 </w:t>
            </w:r>
          </w:p>
        </w:tc>
        <w:tc>
          <w:tcPr>
            <w:tcW w:w="1980" w:type="dxa"/>
            <w:vAlign w:val="center"/>
            <w:hideMark/>
          </w:tcPr>
          <w:p w14:paraId="026B58A3" w14:textId="77777777" w:rsidR="00DF3959" w:rsidRPr="00DF3959" w:rsidRDefault="00DF3959" w:rsidP="000765F1">
            <w:pPr>
              <w:pStyle w:val="TableText"/>
              <w:jc w:val="right"/>
            </w:pPr>
            <w:r w:rsidRPr="00DF3959">
              <w:t>8,463 </w:t>
            </w:r>
          </w:p>
        </w:tc>
        <w:tc>
          <w:tcPr>
            <w:tcW w:w="2355" w:type="dxa"/>
            <w:vAlign w:val="center"/>
            <w:hideMark/>
          </w:tcPr>
          <w:p w14:paraId="6B3413E5" w14:textId="77777777" w:rsidR="00DF3959" w:rsidRPr="00DF3959" w:rsidRDefault="00DF3959" w:rsidP="000765F1">
            <w:pPr>
              <w:pStyle w:val="TableText"/>
              <w:jc w:val="right"/>
            </w:pPr>
            <w:r w:rsidRPr="00DF3959">
              <w:t>12.2% </w:t>
            </w:r>
          </w:p>
        </w:tc>
      </w:tr>
      <w:tr w:rsidR="00DF3959" w:rsidRPr="00DF3959" w14:paraId="76469161" w14:textId="77777777" w:rsidTr="000765F1">
        <w:trPr>
          <w:trHeight w:val="300"/>
        </w:trPr>
        <w:tc>
          <w:tcPr>
            <w:tcW w:w="1950" w:type="dxa"/>
            <w:vAlign w:val="center"/>
            <w:hideMark/>
          </w:tcPr>
          <w:p w14:paraId="476B3AEC" w14:textId="77777777" w:rsidR="00DF3959" w:rsidRPr="00DF3959" w:rsidRDefault="00DF3959" w:rsidP="000765F1">
            <w:pPr>
              <w:pStyle w:val="TableText"/>
            </w:pPr>
            <w:r w:rsidRPr="00DF3959">
              <w:t>45-54 </w:t>
            </w:r>
          </w:p>
        </w:tc>
        <w:tc>
          <w:tcPr>
            <w:tcW w:w="1980" w:type="dxa"/>
            <w:vAlign w:val="center"/>
            <w:hideMark/>
          </w:tcPr>
          <w:p w14:paraId="77C04A3F" w14:textId="77777777" w:rsidR="00DF3959" w:rsidRPr="00DF3959" w:rsidRDefault="00DF3959" w:rsidP="000765F1">
            <w:pPr>
              <w:pStyle w:val="TableText"/>
              <w:jc w:val="right"/>
            </w:pPr>
            <w:r w:rsidRPr="00DF3959">
              <w:t>9,198 </w:t>
            </w:r>
          </w:p>
        </w:tc>
        <w:tc>
          <w:tcPr>
            <w:tcW w:w="2355" w:type="dxa"/>
            <w:vAlign w:val="center"/>
            <w:hideMark/>
          </w:tcPr>
          <w:p w14:paraId="26ED3CEA" w14:textId="77777777" w:rsidR="00DF3959" w:rsidRPr="00DF3959" w:rsidRDefault="00DF3959" w:rsidP="000765F1">
            <w:pPr>
              <w:pStyle w:val="TableText"/>
              <w:jc w:val="right"/>
            </w:pPr>
            <w:r w:rsidRPr="00DF3959">
              <w:t>13.3% </w:t>
            </w:r>
          </w:p>
        </w:tc>
      </w:tr>
      <w:tr w:rsidR="00DF3959" w:rsidRPr="00DF3959" w14:paraId="2DA91425" w14:textId="77777777" w:rsidTr="000765F1">
        <w:trPr>
          <w:trHeight w:val="300"/>
        </w:trPr>
        <w:tc>
          <w:tcPr>
            <w:tcW w:w="1950" w:type="dxa"/>
            <w:vAlign w:val="center"/>
            <w:hideMark/>
          </w:tcPr>
          <w:p w14:paraId="0C44352C" w14:textId="77777777" w:rsidR="00DF3959" w:rsidRPr="00DF3959" w:rsidRDefault="00DF3959" w:rsidP="000765F1">
            <w:pPr>
              <w:pStyle w:val="TableText"/>
            </w:pPr>
            <w:r w:rsidRPr="00DF3959">
              <w:t>55-64 </w:t>
            </w:r>
          </w:p>
        </w:tc>
        <w:tc>
          <w:tcPr>
            <w:tcW w:w="1980" w:type="dxa"/>
            <w:vAlign w:val="center"/>
            <w:hideMark/>
          </w:tcPr>
          <w:p w14:paraId="2FB88113" w14:textId="77777777" w:rsidR="00DF3959" w:rsidRPr="00DF3959" w:rsidRDefault="00DF3959" w:rsidP="000765F1">
            <w:pPr>
              <w:pStyle w:val="TableText"/>
              <w:jc w:val="right"/>
            </w:pPr>
            <w:r w:rsidRPr="00DF3959">
              <w:t>8,987 </w:t>
            </w:r>
          </w:p>
        </w:tc>
        <w:tc>
          <w:tcPr>
            <w:tcW w:w="2355" w:type="dxa"/>
            <w:vAlign w:val="center"/>
            <w:hideMark/>
          </w:tcPr>
          <w:p w14:paraId="543C7032" w14:textId="77777777" w:rsidR="00DF3959" w:rsidRPr="00DF3959" w:rsidRDefault="00DF3959" w:rsidP="000765F1">
            <w:pPr>
              <w:pStyle w:val="TableText"/>
              <w:jc w:val="right"/>
            </w:pPr>
            <w:r w:rsidRPr="00DF3959">
              <w:t>13.0% </w:t>
            </w:r>
          </w:p>
        </w:tc>
      </w:tr>
      <w:tr w:rsidR="00DF3959" w:rsidRPr="00DF3959" w14:paraId="33F4884B" w14:textId="77777777" w:rsidTr="000765F1">
        <w:trPr>
          <w:trHeight w:val="300"/>
        </w:trPr>
        <w:tc>
          <w:tcPr>
            <w:tcW w:w="1950" w:type="dxa"/>
            <w:vAlign w:val="center"/>
            <w:hideMark/>
          </w:tcPr>
          <w:p w14:paraId="4A768B16" w14:textId="77777777" w:rsidR="00DF3959" w:rsidRPr="00DF3959" w:rsidRDefault="00DF3959" w:rsidP="000765F1">
            <w:pPr>
              <w:pStyle w:val="TableText"/>
            </w:pPr>
            <w:r w:rsidRPr="00DF3959">
              <w:t>&gt;64 </w:t>
            </w:r>
          </w:p>
        </w:tc>
        <w:tc>
          <w:tcPr>
            <w:tcW w:w="1980" w:type="dxa"/>
            <w:vAlign w:val="center"/>
            <w:hideMark/>
          </w:tcPr>
          <w:p w14:paraId="40C294F2" w14:textId="77777777" w:rsidR="00DF3959" w:rsidRPr="00DF3959" w:rsidRDefault="00DF3959" w:rsidP="000765F1">
            <w:pPr>
              <w:pStyle w:val="TableText"/>
              <w:jc w:val="right"/>
            </w:pPr>
            <w:r w:rsidRPr="00DF3959">
              <w:t>3,915 </w:t>
            </w:r>
          </w:p>
        </w:tc>
        <w:tc>
          <w:tcPr>
            <w:tcW w:w="2355" w:type="dxa"/>
            <w:vAlign w:val="center"/>
            <w:hideMark/>
          </w:tcPr>
          <w:p w14:paraId="03D8EC79" w14:textId="77777777" w:rsidR="00DF3959" w:rsidRPr="00DF3959" w:rsidRDefault="00DF3959" w:rsidP="000765F1">
            <w:pPr>
              <w:pStyle w:val="TableText"/>
              <w:jc w:val="right"/>
            </w:pPr>
            <w:r w:rsidRPr="00DF3959">
              <w:t>5.6% </w:t>
            </w:r>
          </w:p>
        </w:tc>
      </w:tr>
      <w:tr w:rsidR="00DF3959" w:rsidRPr="00DF3959" w14:paraId="163C104E" w14:textId="77777777" w:rsidTr="000765F1">
        <w:trPr>
          <w:trHeight w:val="300"/>
        </w:trPr>
        <w:tc>
          <w:tcPr>
            <w:tcW w:w="1950" w:type="dxa"/>
            <w:vAlign w:val="center"/>
            <w:hideMark/>
          </w:tcPr>
          <w:p w14:paraId="471D70C6" w14:textId="77777777" w:rsidR="00DF3959" w:rsidRPr="00DF3959" w:rsidRDefault="00DF3959" w:rsidP="000765F1">
            <w:pPr>
              <w:pStyle w:val="TableText"/>
            </w:pPr>
            <w:r w:rsidRPr="00DF3959">
              <w:rPr>
                <w:b/>
                <w:bCs/>
              </w:rPr>
              <w:t>Grand Total</w:t>
            </w:r>
            <w:r w:rsidRPr="00DF3959">
              <w:t> </w:t>
            </w:r>
          </w:p>
        </w:tc>
        <w:tc>
          <w:tcPr>
            <w:tcW w:w="1980" w:type="dxa"/>
            <w:vAlign w:val="center"/>
            <w:hideMark/>
          </w:tcPr>
          <w:p w14:paraId="4F7C395D" w14:textId="77777777" w:rsidR="00DF3959" w:rsidRPr="00DF3959" w:rsidRDefault="00DF3959" w:rsidP="000765F1">
            <w:pPr>
              <w:pStyle w:val="TableText"/>
              <w:jc w:val="right"/>
            </w:pPr>
            <w:r w:rsidRPr="00DF3959">
              <w:rPr>
                <w:b/>
                <w:bCs/>
              </w:rPr>
              <w:t>69,365</w:t>
            </w:r>
            <w:r w:rsidRPr="00DF3959">
              <w:t> </w:t>
            </w:r>
          </w:p>
        </w:tc>
        <w:tc>
          <w:tcPr>
            <w:tcW w:w="2355" w:type="dxa"/>
            <w:vAlign w:val="center"/>
            <w:hideMark/>
          </w:tcPr>
          <w:p w14:paraId="6BB19207" w14:textId="77777777" w:rsidR="00DF3959" w:rsidRPr="00DF3959" w:rsidRDefault="00DF3959" w:rsidP="000765F1">
            <w:pPr>
              <w:pStyle w:val="TableText"/>
              <w:jc w:val="right"/>
            </w:pPr>
            <w:r w:rsidRPr="00DF3959">
              <w:rPr>
                <w:b/>
                <w:bCs/>
              </w:rPr>
              <w:t>100%</w:t>
            </w:r>
            <w:r w:rsidRPr="00DF3959">
              <w:t> </w:t>
            </w:r>
          </w:p>
        </w:tc>
      </w:tr>
    </w:tbl>
    <w:p w14:paraId="194A3A42" w14:textId="77777777" w:rsidR="00DF3959" w:rsidRPr="00DF3959" w:rsidRDefault="00DF3959" w:rsidP="00DF3959">
      <w:pPr>
        <w:pStyle w:val="BodyText"/>
      </w:pPr>
      <w:r w:rsidRPr="00DF3959">
        <w:t>The Texas VR program has been increasingly serving more youth (individuals aged 14 – 24) as a proportion of all VR participants.   In SFY 2024, youth made up around 42 percent of VR participants (28,976), an increase of 3 percentage points from SFY 2023 (39 percent,</w:t>
      </w:r>
      <w:r w:rsidRPr="00DF3959">
        <w:rPr>
          <w:b/>
          <w:bCs/>
        </w:rPr>
        <w:t xml:space="preserve"> </w:t>
      </w:r>
      <w:r w:rsidRPr="00DF3959">
        <w:t>or 25,712). </w:t>
      </w:r>
    </w:p>
    <w:p w14:paraId="4FA9B91D" w14:textId="77777777" w:rsidR="00DF3959" w:rsidRPr="00DF3959" w:rsidRDefault="00DF3959" w:rsidP="000765F1">
      <w:pPr>
        <w:pStyle w:val="BodyText3"/>
      </w:pPr>
      <w:r w:rsidRPr="00DF3959">
        <w:lastRenderedPageBreak/>
        <w:t>Average Age at Application, SFY 2023 - 2024 </w:t>
      </w:r>
    </w:p>
    <w:tbl>
      <w:tblPr>
        <w:tblStyle w:val="TableGrid1"/>
        <w:tblW w:w="0" w:type="dxa"/>
        <w:tblCellMar>
          <w:top w:w="58" w:type="dxa"/>
          <w:bottom w:w="58" w:type="dxa"/>
        </w:tblCellMar>
        <w:tblLook w:val="04A0" w:firstRow="1" w:lastRow="0" w:firstColumn="1" w:lastColumn="0" w:noHBand="0" w:noVBand="1"/>
      </w:tblPr>
      <w:tblGrid>
        <w:gridCol w:w="1875"/>
        <w:gridCol w:w="1710"/>
        <w:gridCol w:w="1260"/>
        <w:gridCol w:w="1440"/>
        <w:gridCol w:w="1440"/>
      </w:tblGrid>
      <w:tr w:rsidR="00DF3959" w:rsidRPr="00DF3959" w14:paraId="4247B4DB" w14:textId="77777777" w:rsidTr="000765F1">
        <w:trPr>
          <w:trHeight w:val="750"/>
        </w:trPr>
        <w:tc>
          <w:tcPr>
            <w:tcW w:w="1875" w:type="dxa"/>
            <w:shd w:val="clear" w:color="auto" w:fill="B8CCE4" w:themeFill="accent1" w:themeFillTint="66"/>
            <w:vAlign w:val="center"/>
            <w:hideMark/>
          </w:tcPr>
          <w:p w14:paraId="3D2F5DC9" w14:textId="7DBC607F" w:rsidR="00DF3959" w:rsidRPr="00DF3959" w:rsidRDefault="00DF3959" w:rsidP="000765F1">
            <w:pPr>
              <w:pStyle w:val="TableHeaders"/>
            </w:pPr>
            <w:r w:rsidRPr="00DF3959">
              <w:t>Age Group</w:t>
            </w:r>
          </w:p>
        </w:tc>
        <w:tc>
          <w:tcPr>
            <w:tcW w:w="1710" w:type="dxa"/>
            <w:shd w:val="clear" w:color="auto" w:fill="B8CCE4" w:themeFill="accent1" w:themeFillTint="66"/>
            <w:vAlign w:val="center"/>
            <w:hideMark/>
          </w:tcPr>
          <w:p w14:paraId="5D2DB019" w14:textId="3ECEEB7D" w:rsidR="00DF3959" w:rsidRPr="00DF3959" w:rsidRDefault="00DF3959" w:rsidP="000765F1">
            <w:pPr>
              <w:pStyle w:val="TableHeaders"/>
            </w:pPr>
            <w:r w:rsidRPr="00DF3959">
              <w:t>SFY 2023 Applicants</w:t>
            </w:r>
          </w:p>
        </w:tc>
        <w:tc>
          <w:tcPr>
            <w:tcW w:w="1260" w:type="dxa"/>
            <w:shd w:val="clear" w:color="auto" w:fill="B8CCE4" w:themeFill="accent1" w:themeFillTint="66"/>
            <w:vAlign w:val="center"/>
            <w:hideMark/>
          </w:tcPr>
          <w:p w14:paraId="3CC9A53F" w14:textId="232CDDEC" w:rsidR="00DF3959" w:rsidRPr="00DF3959" w:rsidRDefault="00DF3959" w:rsidP="000765F1">
            <w:pPr>
              <w:pStyle w:val="TableHeaders"/>
            </w:pPr>
            <w:r w:rsidRPr="00DF3959">
              <w:t>SFY 2023 Percent</w:t>
            </w:r>
          </w:p>
        </w:tc>
        <w:tc>
          <w:tcPr>
            <w:tcW w:w="1440" w:type="dxa"/>
            <w:shd w:val="clear" w:color="auto" w:fill="B8CCE4" w:themeFill="accent1" w:themeFillTint="66"/>
            <w:vAlign w:val="center"/>
            <w:hideMark/>
          </w:tcPr>
          <w:p w14:paraId="1ED52686" w14:textId="0B4A7377" w:rsidR="00DF3959" w:rsidRPr="00DF3959" w:rsidRDefault="00DF3959" w:rsidP="000765F1">
            <w:pPr>
              <w:pStyle w:val="TableHeaders"/>
            </w:pPr>
            <w:r w:rsidRPr="00DF3959">
              <w:t>SFY 2024 Applicants</w:t>
            </w:r>
          </w:p>
        </w:tc>
        <w:tc>
          <w:tcPr>
            <w:tcW w:w="1440" w:type="dxa"/>
            <w:shd w:val="clear" w:color="auto" w:fill="B8CCE4" w:themeFill="accent1" w:themeFillTint="66"/>
            <w:vAlign w:val="center"/>
            <w:hideMark/>
          </w:tcPr>
          <w:p w14:paraId="7233A4D7" w14:textId="423C4FB5" w:rsidR="00DF3959" w:rsidRPr="00DF3959" w:rsidRDefault="00DF3959" w:rsidP="000765F1">
            <w:pPr>
              <w:pStyle w:val="TableHeaders"/>
            </w:pPr>
            <w:r w:rsidRPr="00DF3959">
              <w:t>SFY 2024 Percent</w:t>
            </w:r>
          </w:p>
        </w:tc>
      </w:tr>
      <w:tr w:rsidR="00DF3959" w:rsidRPr="00DF3959" w14:paraId="284EC16E" w14:textId="77777777" w:rsidTr="000765F1">
        <w:trPr>
          <w:trHeight w:val="300"/>
        </w:trPr>
        <w:tc>
          <w:tcPr>
            <w:tcW w:w="1875" w:type="dxa"/>
            <w:vAlign w:val="center"/>
            <w:hideMark/>
          </w:tcPr>
          <w:p w14:paraId="53F20D00" w14:textId="77777777" w:rsidR="00DF3959" w:rsidRPr="00DF3959" w:rsidRDefault="00DF3959" w:rsidP="000765F1">
            <w:pPr>
              <w:pStyle w:val="TableText"/>
            </w:pPr>
            <w:r w:rsidRPr="00DF3959">
              <w:t>Under 22 </w:t>
            </w:r>
          </w:p>
        </w:tc>
        <w:tc>
          <w:tcPr>
            <w:tcW w:w="1710" w:type="dxa"/>
            <w:vAlign w:val="center"/>
            <w:hideMark/>
          </w:tcPr>
          <w:p w14:paraId="07E991DE" w14:textId="77777777" w:rsidR="00DF3959" w:rsidRPr="00DF3959" w:rsidRDefault="00DF3959" w:rsidP="000765F1">
            <w:pPr>
              <w:pStyle w:val="TableText"/>
              <w:jc w:val="right"/>
            </w:pPr>
            <w:r w:rsidRPr="00DF3959">
              <w:t>9,124 </w:t>
            </w:r>
          </w:p>
        </w:tc>
        <w:tc>
          <w:tcPr>
            <w:tcW w:w="1260" w:type="dxa"/>
            <w:vAlign w:val="center"/>
            <w:hideMark/>
          </w:tcPr>
          <w:p w14:paraId="268DB576" w14:textId="77777777" w:rsidR="00DF3959" w:rsidRPr="00DF3959" w:rsidRDefault="00DF3959" w:rsidP="000765F1">
            <w:pPr>
              <w:pStyle w:val="TableText"/>
              <w:jc w:val="right"/>
            </w:pPr>
            <w:r w:rsidRPr="00DF3959">
              <w:t>29% </w:t>
            </w:r>
          </w:p>
        </w:tc>
        <w:tc>
          <w:tcPr>
            <w:tcW w:w="1440" w:type="dxa"/>
            <w:vAlign w:val="center"/>
            <w:hideMark/>
          </w:tcPr>
          <w:p w14:paraId="2577321B" w14:textId="77777777" w:rsidR="00DF3959" w:rsidRPr="00DF3959" w:rsidRDefault="00DF3959" w:rsidP="000765F1">
            <w:pPr>
              <w:pStyle w:val="TableText"/>
              <w:jc w:val="right"/>
            </w:pPr>
            <w:r w:rsidRPr="00DF3959">
              <w:t>10,694 </w:t>
            </w:r>
          </w:p>
        </w:tc>
        <w:tc>
          <w:tcPr>
            <w:tcW w:w="1440" w:type="dxa"/>
            <w:vAlign w:val="center"/>
            <w:hideMark/>
          </w:tcPr>
          <w:p w14:paraId="68C9FF29" w14:textId="77777777" w:rsidR="00DF3959" w:rsidRPr="00DF3959" w:rsidRDefault="00DF3959" w:rsidP="000765F1">
            <w:pPr>
              <w:pStyle w:val="TableText"/>
              <w:jc w:val="right"/>
            </w:pPr>
            <w:r w:rsidRPr="00DF3959">
              <w:t>33% </w:t>
            </w:r>
          </w:p>
        </w:tc>
      </w:tr>
      <w:tr w:rsidR="00DF3959" w:rsidRPr="00DF3959" w14:paraId="34DF14F1" w14:textId="77777777" w:rsidTr="000765F1">
        <w:trPr>
          <w:trHeight w:val="300"/>
        </w:trPr>
        <w:tc>
          <w:tcPr>
            <w:tcW w:w="1875" w:type="dxa"/>
            <w:vAlign w:val="center"/>
            <w:hideMark/>
          </w:tcPr>
          <w:p w14:paraId="705F6443" w14:textId="77777777" w:rsidR="00DF3959" w:rsidRPr="00DF3959" w:rsidRDefault="00DF3959" w:rsidP="000765F1">
            <w:pPr>
              <w:pStyle w:val="TableText"/>
            </w:pPr>
            <w:r w:rsidRPr="00DF3959">
              <w:t xml:space="preserve">22 and </w:t>
            </w:r>
            <w:proofErr w:type="gramStart"/>
            <w:r w:rsidRPr="00DF3959">
              <w:t>Over</w:t>
            </w:r>
            <w:proofErr w:type="gramEnd"/>
            <w:r w:rsidRPr="00DF3959">
              <w:t> </w:t>
            </w:r>
          </w:p>
        </w:tc>
        <w:tc>
          <w:tcPr>
            <w:tcW w:w="1710" w:type="dxa"/>
            <w:vAlign w:val="center"/>
            <w:hideMark/>
          </w:tcPr>
          <w:p w14:paraId="16964D3D" w14:textId="77777777" w:rsidR="00DF3959" w:rsidRPr="00DF3959" w:rsidRDefault="00DF3959" w:rsidP="000765F1">
            <w:pPr>
              <w:pStyle w:val="TableText"/>
              <w:jc w:val="right"/>
            </w:pPr>
            <w:r w:rsidRPr="00DF3959">
              <w:t>22,130 </w:t>
            </w:r>
          </w:p>
        </w:tc>
        <w:tc>
          <w:tcPr>
            <w:tcW w:w="1260" w:type="dxa"/>
            <w:vAlign w:val="center"/>
            <w:hideMark/>
          </w:tcPr>
          <w:p w14:paraId="1F1DCA0B" w14:textId="77777777" w:rsidR="00DF3959" w:rsidRPr="00DF3959" w:rsidRDefault="00DF3959" w:rsidP="000765F1">
            <w:pPr>
              <w:pStyle w:val="TableText"/>
              <w:jc w:val="right"/>
            </w:pPr>
            <w:r w:rsidRPr="00DF3959">
              <w:t>71% </w:t>
            </w:r>
          </w:p>
        </w:tc>
        <w:tc>
          <w:tcPr>
            <w:tcW w:w="1440" w:type="dxa"/>
            <w:vAlign w:val="center"/>
            <w:hideMark/>
          </w:tcPr>
          <w:p w14:paraId="54DCDA44" w14:textId="77777777" w:rsidR="00DF3959" w:rsidRPr="00DF3959" w:rsidRDefault="00DF3959" w:rsidP="000765F1">
            <w:pPr>
              <w:pStyle w:val="TableText"/>
              <w:jc w:val="right"/>
            </w:pPr>
            <w:r w:rsidRPr="00DF3959">
              <w:t>21,360 </w:t>
            </w:r>
          </w:p>
        </w:tc>
        <w:tc>
          <w:tcPr>
            <w:tcW w:w="1440" w:type="dxa"/>
            <w:vAlign w:val="center"/>
            <w:hideMark/>
          </w:tcPr>
          <w:p w14:paraId="37AE4D7A" w14:textId="77777777" w:rsidR="00DF3959" w:rsidRPr="00DF3959" w:rsidRDefault="00DF3959" w:rsidP="000765F1">
            <w:pPr>
              <w:pStyle w:val="TableText"/>
              <w:jc w:val="right"/>
            </w:pPr>
            <w:r w:rsidRPr="00DF3959">
              <w:t>67% </w:t>
            </w:r>
          </w:p>
        </w:tc>
      </w:tr>
      <w:tr w:rsidR="00DF3959" w:rsidRPr="00DF3959" w14:paraId="02D952D7" w14:textId="77777777" w:rsidTr="000765F1">
        <w:trPr>
          <w:trHeight w:val="300"/>
        </w:trPr>
        <w:tc>
          <w:tcPr>
            <w:tcW w:w="1875" w:type="dxa"/>
            <w:vAlign w:val="center"/>
            <w:hideMark/>
          </w:tcPr>
          <w:p w14:paraId="6D33304C" w14:textId="77777777" w:rsidR="00DF3959" w:rsidRPr="00DF3959" w:rsidRDefault="00DF3959" w:rsidP="000765F1">
            <w:pPr>
              <w:pStyle w:val="TableText"/>
            </w:pPr>
            <w:r w:rsidRPr="00DF3959">
              <w:rPr>
                <w:b/>
                <w:bCs/>
              </w:rPr>
              <w:t>Total</w:t>
            </w:r>
            <w:r w:rsidRPr="00DF3959">
              <w:t> </w:t>
            </w:r>
          </w:p>
        </w:tc>
        <w:tc>
          <w:tcPr>
            <w:tcW w:w="1710" w:type="dxa"/>
            <w:vAlign w:val="center"/>
            <w:hideMark/>
          </w:tcPr>
          <w:p w14:paraId="5FD0D023" w14:textId="77777777" w:rsidR="00DF3959" w:rsidRPr="00DF3959" w:rsidRDefault="00DF3959" w:rsidP="000765F1">
            <w:pPr>
              <w:pStyle w:val="TableText"/>
              <w:jc w:val="right"/>
            </w:pPr>
            <w:r w:rsidRPr="00DF3959">
              <w:rPr>
                <w:b/>
                <w:bCs/>
              </w:rPr>
              <w:t>31,254</w:t>
            </w:r>
            <w:r w:rsidRPr="00DF3959">
              <w:t> </w:t>
            </w:r>
          </w:p>
        </w:tc>
        <w:tc>
          <w:tcPr>
            <w:tcW w:w="1260" w:type="dxa"/>
            <w:vAlign w:val="center"/>
            <w:hideMark/>
          </w:tcPr>
          <w:p w14:paraId="68CDCAB8" w14:textId="77777777" w:rsidR="00DF3959" w:rsidRPr="00DF3959" w:rsidRDefault="00DF3959" w:rsidP="000765F1">
            <w:pPr>
              <w:pStyle w:val="TableText"/>
              <w:jc w:val="right"/>
            </w:pPr>
            <w:r w:rsidRPr="00DF3959">
              <w:rPr>
                <w:b/>
                <w:bCs/>
              </w:rPr>
              <w:t>100%</w:t>
            </w:r>
            <w:r w:rsidRPr="00DF3959">
              <w:t> </w:t>
            </w:r>
          </w:p>
        </w:tc>
        <w:tc>
          <w:tcPr>
            <w:tcW w:w="1440" w:type="dxa"/>
            <w:vAlign w:val="center"/>
            <w:hideMark/>
          </w:tcPr>
          <w:p w14:paraId="39E6E649" w14:textId="77777777" w:rsidR="00DF3959" w:rsidRPr="00DF3959" w:rsidRDefault="00DF3959" w:rsidP="000765F1">
            <w:pPr>
              <w:pStyle w:val="TableText"/>
              <w:jc w:val="right"/>
            </w:pPr>
            <w:r w:rsidRPr="00DF3959">
              <w:rPr>
                <w:b/>
                <w:bCs/>
              </w:rPr>
              <w:t>32,054</w:t>
            </w:r>
            <w:r w:rsidRPr="00DF3959">
              <w:t> </w:t>
            </w:r>
          </w:p>
        </w:tc>
        <w:tc>
          <w:tcPr>
            <w:tcW w:w="1440" w:type="dxa"/>
            <w:vAlign w:val="center"/>
            <w:hideMark/>
          </w:tcPr>
          <w:p w14:paraId="6A1D5882" w14:textId="77777777" w:rsidR="00DF3959" w:rsidRPr="00DF3959" w:rsidRDefault="00DF3959" w:rsidP="000765F1">
            <w:pPr>
              <w:pStyle w:val="TableText"/>
              <w:jc w:val="right"/>
            </w:pPr>
            <w:r w:rsidRPr="00DF3959">
              <w:rPr>
                <w:b/>
                <w:bCs/>
              </w:rPr>
              <w:t>100%</w:t>
            </w:r>
            <w:r w:rsidRPr="00DF3959">
              <w:t> </w:t>
            </w:r>
          </w:p>
        </w:tc>
      </w:tr>
    </w:tbl>
    <w:p w14:paraId="664BACE3" w14:textId="77777777" w:rsidR="00DF3959" w:rsidRPr="00DF3959" w:rsidRDefault="00DF3959" w:rsidP="00DF3959">
      <w:pPr>
        <w:pStyle w:val="BodyText"/>
      </w:pPr>
      <w:r w:rsidRPr="00DF3959">
        <w:t>In SFY 2024, the average at application was 36.  Given the strong growth of the Texas Special Education student population (see Students with Disabilities section below), the proportion of applicants under age 22 has increased, from 29 percent in SFY 2023 to 33 percent in SFY 2024. </w:t>
      </w:r>
    </w:p>
    <w:p w14:paraId="77983B8C" w14:textId="77777777" w:rsidR="00DF3959" w:rsidRPr="00DF3959" w:rsidRDefault="00DF3959" w:rsidP="000765F1">
      <w:pPr>
        <w:pStyle w:val="BodyText3"/>
      </w:pPr>
      <w:r w:rsidRPr="00DF3959">
        <w:t>Disability Category, VR Participants, SFY 2024 </w:t>
      </w:r>
    </w:p>
    <w:tbl>
      <w:tblPr>
        <w:tblStyle w:val="TableGrid1"/>
        <w:tblW w:w="0" w:type="dxa"/>
        <w:tblCellMar>
          <w:top w:w="58" w:type="dxa"/>
          <w:bottom w:w="58" w:type="dxa"/>
        </w:tblCellMar>
        <w:tblLook w:val="04A0" w:firstRow="1" w:lastRow="0" w:firstColumn="1" w:lastColumn="0" w:noHBand="0" w:noVBand="1"/>
      </w:tblPr>
      <w:tblGrid>
        <w:gridCol w:w="2927"/>
        <w:gridCol w:w="1197"/>
        <w:gridCol w:w="962"/>
        <w:gridCol w:w="1052"/>
        <w:gridCol w:w="1040"/>
        <w:gridCol w:w="1211"/>
        <w:gridCol w:w="961"/>
      </w:tblGrid>
      <w:tr w:rsidR="000765F1" w:rsidRPr="00DF3959" w14:paraId="414D50FB" w14:textId="77777777" w:rsidTr="000765F1">
        <w:trPr>
          <w:trHeight w:val="1245"/>
          <w:tblHeader/>
        </w:trPr>
        <w:tc>
          <w:tcPr>
            <w:tcW w:w="2970" w:type="dxa"/>
            <w:shd w:val="clear" w:color="auto" w:fill="B8CCE4" w:themeFill="accent1" w:themeFillTint="66"/>
            <w:vAlign w:val="center"/>
            <w:hideMark/>
          </w:tcPr>
          <w:p w14:paraId="2631504A" w14:textId="2B9FD5CB" w:rsidR="00DF3959" w:rsidRPr="00DF3959" w:rsidRDefault="00DF3959" w:rsidP="000765F1">
            <w:pPr>
              <w:pStyle w:val="TableHeaders"/>
            </w:pPr>
            <w:r w:rsidRPr="00DF3959">
              <w:t>Primary Disability Impairment</w:t>
            </w:r>
          </w:p>
        </w:tc>
        <w:tc>
          <w:tcPr>
            <w:tcW w:w="1245" w:type="dxa"/>
            <w:shd w:val="clear" w:color="auto" w:fill="B8CCE4" w:themeFill="accent1" w:themeFillTint="66"/>
            <w:vAlign w:val="center"/>
            <w:hideMark/>
          </w:tcPr>
          <w:p w14:paraId="4CE1F46F" w14:textId="2DD98445" w:rsidR="00DF3959" w:rsidRPr="00DF3959" w:rsidRDefault="00DF3959" w:rsidP="000765F1">
            <w:pPr>
              <w:pStyle w:val="TableHeaders"/>
            </w:pPr>
            <w:r w:rsidRPr="00DF3959">
              <w:t>Under 22</w:t>
            </w:r>
          </w:p>
        </w:tc>
        <w:tc>
          <w:tcPr>
            <w:tcW w:w="990" w:type="dxa"/>
            <w:shd w:val="clear" w:color="auto" w:fill="B8CCE4" w:themeFill="accent1" w:themeFillTint="66"/>
            <w:vAlign w:val="center"/>
            <w:hideMark/>
          </w:tcPr>
          <w:p w14:paraId="136B2017" w14:textId="0CB41566" w:rsidR="00DF3959" w:rsidRPr="00DF3959" w:rsidRDefault="00DF3959" w:rsidP="000765F1">
            <w:pPr>
              <w:pStyle w:val="TableHeaders"/>
            </w:pPr>
            <w:r w:rsidRPr="00DF3959">
              <w:t>Under 22 %</w:t>
            </w:r>
          </w:p>
        </w:tc>
        <w:tc>
          <w:tcPr>
            <w:tcW w:w="1080" w:type="dxa"/>
            <w:shd w:val="clear" w:color="auto" w:fill="B8CCE4" w:themeFill="accent1" w:themeFillTint="66"/>
            <w:vAlign w:val="center"/>
            <w:hideMark/>
          </w:tcPr>
          <w:p w14:paraId="0FBADD10" w14:textId="73A5A4B9" w:rsidR="00DF3959" w:rsidRPr="00DF3959" w:rsidRDefault="00DF3959" w:rsidP="000765F1">
            <w:pPr>
              <w:pStyle w:val="TableHeaders"/>
            </w:pPr>
            <w:r w:rsidRPr="00DF3959">
              <w:t xml:space="preserve">22 and </w:t>
            </w:r>
            <w:proofErr w:type="gramStart"/>
            <w:r w:rsidRPr="00DF3959">
              <w:t>Over</w:t>
            </w:r>
            <w:proofErr w:type="gramEnd"/>
          </w:p>
        </w:tc>
        <w:tc>
          <w:tcPr>
            <w:tcW w:w="1080" w:type="dxa"/>
            <w:shd w:val="clear" w:color="auto" w:fill="B8CCE4" w:themeFill="accent1" w:themeFillTint="66"/>
            <w:vAlign w:val="center"/>
            <w:hideMark/>
          </w:tcPr>
          <w:p w14:paraId="0EBF65F7" w14:textId="34AD2FAA" w:rsidR="00DF3959" w:rsidRPr="00DF3959" w:rsidRDefault="00DF3959" w:rsidP="000765F1">
            <w:pPr>
              <w:pStyle w:val="TableHeaders"/>
            </w:pPr>
            <w:r w:rsidRPr="00DF3959">
              <w:t xml:space="preserve">22 and </w:t>
            </w:r>
            <w:proofErr w:type="gramStart"/>
            <w:r w:rsidRPr="00DF3959">
              <w:t>Over</w:t>
            </w:r>
            <w:proofErr w:type="gramEnd"/>
            <w:r w:rsidRPr="00DF3959">
              <w:t xml:space="preserve"> %</w:t>
            </w:r>
          </w:p>
        </w:tc>
        <w:tc>
          <w:tcPr>
            <w:tcW w:w="1260" w:type="dxa"/>
            <w:shd w:val="clear" w:color="auto" w:fill="B8CCE4" w:themeFill="accent1" w:themeFillTint="66"/>
            <w:vAlign w:val="center"/>
            <w:hideMark/>
          </w:tcPr>
          <w:p w14:paraId="5FB75C37" w14:textId="730A5A4E" w:rsidR="00DF3959" w:rsidRPr="00DF3959" w:rsidRDefault="00DF3959" w:rsidP="000765F1">
            <w:pPr>
              <w:pStyle w:val="TableHeaders"/>
            </w:pPr>
            <w:r w:rsidRPr="00DF3959">
              <w:t>All Ages</w:t>
            </w:r>
          </w:p>
        </w:tc>
        <w:tc>
          <w:tcPr>
            <w:tcW w:w="990" w:type="dxa"/>
            <w:shd w:val="clear" w:color="auto" w:fill="B8CCE4" w:themeFill="accent1" w:themeFillTint="66"/>
            <w:vAlign w:val="center"/>
            <w:hideMark/>
          </w:tcPr>
          <w:p w14:paraId="18599F9F" w14:textId="6F376276" w:rsidR="00DF3959" w:rsidRPr="00DF3959" w:rsidRDefault="00DF3959" w:rsidP="000765F1">
            <w:pPr>
              <w:pStyle w:val="TableHeaders"/>
            </w:pPr>
            <w:r w:rsidRPr="00DF3959">
              <w:t>All Ages, %</w:t>
            </w:r>
          </w:p>
        </w:tc>
      </w:tr>
      <w:tr w:rsidR="000765F1" w:rsidRPr="00DF3959" w14:paraId="792A9676" w14:textId="77777777" w:rsidTr="000765F1">
        <w:trPr>
          <w:trHeight w:val="315"/>
        </w:trPr>
        <w:tc>
          <w:tcPr>
            <w:tcW w:w="2970" w:type="dxa"/>
            <w:vAlign w:val="center"/>
            <w:hideMark/>
          </w:tcPr>
          <w:p w14:paraId="4E288C31" w14:textId="77777777" w:rsidR="00DF3959" w:rsidRPr="00DF3959" w:rsidRDefault="00DF3959" w:rsidP="000765F1">
            <w:pPr>
              <w:pStyle w:val="TableText"/>
            </w:pPr>
            <w:r w:rsidRPr="00DF3959">
              <w:t>Auditory/Communicative  </w:t>
            </w:r>
          </w:p>
        </w:tc>
        <w:tc>
          <w:tcPr>
            <w:tcW w:w="1245" w:type="dxa"/>
            <w:vAlign w:val="center"/>
            <w:hideMark/>
          </w:tcPr>
          <w:p w14:paraId="049719EF" w14:textId="77777777" w:rsidR="00DF3959" w:rsidRPr="00DF3959" w:rsidRDefault="00DF3959" w:rsidP="000765F1">
            <w:pPr>
              <w:pStyle w:val="TableText"/>
              <w:jc w:val="right"/>
            </w:pPr>
            <w:r w:rsidRPr="00DF3959">
              <w:t>1,348 </w:t>
            </w:r>
          </w:p>
        </w:tc>
        <w:tc>
          <w:tcPr>
            <w:tcW w:w="990" w:type="dxa"/>
            <w:vAlign w:val="center"/>
            <w:hideMark/>
          </w:tcPr>
          <w:p w14:paraId="33CA890B" w14:textId="77777777" w:rsidR="00DF3959" w:rsidRPr="00DF3959" w:rsidRDefault="00DF3959" w:rsidP="000765F1">
            <w:pPr>
              <w:pStyle w:val="TableText"/>
              <w:jc w:val="right"/>
            </w:pPr>
            <w:r w:rsidRPr="00DF3959">
              <w:t>6% </w:t>
            </w:r>
          </w:p>
        </w:tc>
        <w:tc>
          <w:tcPr>
            <w:tcW w:w="1080" w:type="dxa"/>
            <w:vAlign w:val="center"/>
            <w:hideMark/>
          </w:tcPr>
          <w:p w14:paraId="7BF82CB4" w14:textId="77777777" w:rsidR="00DF3959" w:rsidRPr="00DF3959" w:rsidRDefault="00DF3959" w:rsidP="000765F1">
            <w:pPr>
              <w:pStyle w:val="TableText"/>
              <w:jc w:val="right"/>
            </w:pPr>
            <w:r w:rsidRPr="00DF3959">
              <w:t>9,982 </w:t>
            </w:r>
          </w:p>
        </w:tc>
        <w:tc>
          <w:tcPr>
            <w:tcW w:w="1080" w:type="dxa"/>
            <w:vAlign w:val="center"/>
            <w:hideMark/>
          </w:tcPr>
          <w:p w14:paraId="7AD8010E" w14:textId="77777777" w:rsidR="00DF3959" w:rsidRPr="00DF3959" w:rsidRDefault="00DF3959" w:rsidP="000765F1">
            <w:pPr>
              <w:pStyle w:val="TableText"/>
              <w:jc w:val="right"/>
            </w:pPr>
            <w:r w:rsidRPr="00DF3959">
              <w:t>21% </w:t>
            </w:r>
          </w:p>
        </w:tc>
        <w:tc>
          <w:tcPr>
            <w:tcW w:w="1260" w:type="dxa"/>
            <w:vAlign w:val="center"/>
            <w:hideMark/>
          </w:tcPr>
          <w:p w14:paraId="4BAD661A" w14:textId="77777777" w:rsidR="00DF3959" w:rsidRPr="00DF3959" w:rsidRDefault="00DF3959" w:rsidP="000765F1">
            <w:pPr>
              <w:pStyle w:val="TableText"/>
              <w:jc w:val="right"/>
            </w:pPr>
            <w:r w:rsidRPr="00DF3959">
              <w:t>11,330 </w:t>
            </w:r>
          </w:p>
        </w:tc>
        <w:tc>
          <w:tcPr>
            <w:tcW w:w="990" w:type="dxa"/>
            <w:vAlign w:val="center"/>
            <w:hideMark/>
          </w:tcPr>
          <w:p w14:paraId="5632E290" w14:textId="77777777" w:rsidR="00DF3959" w:rsidRPr="00DF3959" w:rsidRDefault="00DF3959" w:rsidP="000765F1">
            <w:pPr>
              <w:pStyle w:val="TableText"/>
              <w:jc w:val="right"/>
            </w:pPr>
            <w:r w:rsidRPr="00DF3959">
              <w:t>16% </w:t>
            </w:r>
          </w:p>
        </w:tc>
      </w:tr>
      <w:tr w:rsidR="004F0ED0" w:rsidRPr="00DF3959" w14:paraId="0DF1EAF9" w14:textId="77777777" w:rsidTr="000765F1">
        <w:trPr>
          <w:trHeight w:val="315"/>
        </w:trPr>
        <w:tc>
          <w:tcPr>
            <w:tcW w:w="2970" w:type="dxa"/>
            <w:vAlign w:val="center"/>
            <w:hideMark/>
          </w:tcPr>
          <w:p w14:paraId="71DB1923" w14:textId="77777777" w:rsidR="00DF3959" w:rsidRPr="00DF3959" w:rsidRDefault="00DF3959" w:rsidP="000765F1">
            <w:pPr>
              <w:pStyle w:val="TableText"/>
            </w:pPr>
            <w:r w:rsidRPr="00DF3959">
              <w:t>Intellectual/Learning   </w:t>
            </w:r>
          </w:p>
        </w:tc>
        <w:tc>
          <w:tcPr>
            <w:tcW w:w="1245" w:type="dxa"/>
            <w:vAlign w:val="center"/>
            <w:hideMark/>
          </w:tcPr>
          <w:p w14:paraId="7D603FAF" w14:textId="77777777" w:rsidR="00DF3959" w:rsidRPr="00DF3959" w:rsidRDefault="00DF3959" w:rsidP="000765F1">
            <w:pPr>
              <w:pStyle w:val="TableText"/>
              <w:jc w:val="right"/>
            </w:pPr>
            <w:r w:rsidRPr="00DF3959">
              <w:t>13,326 </w:t>
            </w:r>
          </w:p>
        </w:tc>
        <w:tc>
          <w:tcPr>
            <w:tcW w:w="990" w:type="dxa"/>
            <w:vAlign w:val="center"/>
            <w:hideMark/>
          </w:tcPr>
          <w:p w14:paraId="70781309" w14:textId="77777777" w:rsidR="00DF3959" w:rsidRPr="00DF3959" w:rsidRDefault="00DF3959" w:rsidP="000765F1">
            <w:pPr>
              <w:pStyle w:val="TableText"/>
              <w:jc w:val="right"/>
            </w:pPr>
            <w:r w:rsidRPr="00DF3959">
              <w:t>59% </w:t>
            </w:r>
          </w:p>
        </w:tc>
        <w:tc>
          <w:tcPr>
            <w:tcW w:w="1080" w:type="dxa"/>
            <w:vAlign w:val="center"/>
            <w:hideMark/>
          </w:tcPr>
          <w:p w14:paraId="497F20DA" w14:textId="77777777" w:rsidR="00DF3959" w:rsidRPr="00DF3959" w:rsidRDefault="00DF3959" w:rsidP="000765F1">
            <w:pPr>
              <w:pStyle w:val="TableText"/>
              <w:jc w:val="right"/>
            </w:pPr>
            <w:r w:rsidRPr="00DF3959">
              <w:t>7,484 </w:t>
            </w:r>
          </w:p>
        </w:tc>
        <w:tc>
          <w:tcPr>
            <w:tcW w:w="1080" w:type="dxa"/>
            <w:vAlign w:val="center"/>
            <w:hideMark/>
          </w:tcPr>
          <w:p w14:paraId="2D1C2A48" w14:textId="77777777" w:rsidR="00DF3959" w:rsidRPr="00DF3959" w:rsidRDefault="00DF3959" w:rsidP="000765F1">
            <w:pPr>
              <w:pStyle w:val="TableText"/>
              <w:jc w:val="right"/>
            </w:pPr>
            <w:r w:rsidRPr="00DF3959">
              <w:t>16% </w:t>
            </w:r>
          </w:p>
        </w:tc>
        <w:tc>
          <w:tcPr>
            <w:tcW w:w="1260" w:type="dxa"/>
            <w:vAlign w:val="center"/>
            <w:hideMark/>
          </w:tcPr>
          <w:p w14:paraId="2C8ED2E4" w14:textId="77777777" w:rsidR="00DF3959" w:rsidRPr="00DF3959" w:rsidRDefault="00DF3959" w:rsidP="000765F1">
            <w:pPr>
              <w:pStyle w:val="TableText"/>
              <w:jc w:val="right"/>
            </w:pPr>
            <w:r w:rsidRPr="00DF3959">
              <w:t>20,810 </w:t>
            </w:r>
          </w:p>
        </w:tc>
        <w:tc>
          <w:tcPr>
            <w:tcW w:w="990" w:type="dxa"/>
            <w:vAlign w:val="center"/>
            <w:hideMark/>
          </w:tcPr>
          <w:p w14:paraId="7E3D3A48" w14:textId="77777777" w:rsidR="00DF3959" w:rsidRPr="00DF3959" w:rsidRDefault="00DF3959" w:rsidP="000765F1">
            <w:pPr>
              <w:pStyle w:val="TableText"/>
              <w:jc w:val="right"/>
            </w:pPr>
            <w:r w:rsidRPr="00DF3959">
              <w:t>30% </w:t>
            </w:r>
          </w:p>
        </w:tc>
      </w:tr>
      <w:tr w:rsidR="000765F1" w:rsidRPr="00DF3959" w14:paraId="29F25EB5" w14:textId="77777777" w:rsidTr="000765F1">
        <w:trPr>
          <w:trHeight w:val="315"/>
        </w:trPr>
        <w:tc>
          <w:tcPr>
            <w:tcW w:w="2970" w:type="dxa"/>
            <w:vAlign w:val="center"/>
            <w:hideMark/>
          </w:tcPr>
          <w:p w14:paraId="14D00E07" w14:textId="77777777" w:rsidR="00DF3959" w:rsidRPr="00DF3959" w:rsidRDefault="00DF3959" w:rsidP="000765F1">
            <w:pPr>
              <w:pStyle w:val="TableText"/>
            </w:pPr>
            <w:r w:rsidRPr="00DF3959">
              <w:t>Legally Blind </w:t>
            </w:r>
          </w:p>
        </w:tc>
        <w:tc>
          <w:tcPr>
            <w:tcW w:w="1245" w:type="dxa"/>
            <w:vAlign w:val="center"/>
            <w:hideMark/>
          </w:tcPr>
          <w:p w14:paraId="0CB6E588" w14:textId="77777777" w:rsidR="00DF3959" w:rsidRPr="00DF3959" w:rsidRDefault="00DF3959" w:rsidP="000765F1">
            <w:pPr>
              <w:pStyle w:val="TableText"/>
              <w:jc w:val="right"/>
            </w:pPr>
            <w:r w:rsidRPr="00DF3959">
              <w:t>692 </w:t>
            </w:r>
          </w:p>
        </w:tc>
        <w:tc>
          <w:tcPr>
            <w:tcW w:w="990" w:type="dxa"/>
            <w:vAlign w:val="center"/>
            <w:hideMark/>
          </w:tcPr>
          <w:p w14:paraId="5F9054B7" w14:textId="77777777" w:rsidR="00DF3959" w:rsidRPr="00DF3959" w:rsidRDefault="00DF3959" w:rsidP="000765F1">
            <w:pPr>
              <w:pStyle w:val="TableText"/>
              <w:jc w:val="right"/>
            </w:pPr>
            <w:r w:rsidRPr="00DF3959">
              <w:t>3% </w:t>
            </w:r>
          </w:p>
        </w:tc>
        <w:tc>
          <w:tcPr>
            <w:tcW w:w="1080" w:type="dxa"/>
            <w:vAlign w:val="center"/>
            <w:hideMark/>
          </w:tcPr>
          <w:p w14:paraId="3F0EE72B" w14:textId="77777777" w:rsidR="00DF3959" w:rsidRPr="00DF3959" w:rsidRDefault="00DF3959" w:rsidP="000765F1">
            <w:pPr>
              <w:pStyle w:val="TableText"/>
              <w:jc w:val="right"/>
            </w:pPr>
            <w:r w:rsidRPr="00DF3959">
              <w:t>3,024 </w:t>
            </w:r>
          </w:p>
        </w:tc>
        <w:tc>
          <w:tcPr>
            <w:tcW w:w="1080" w:type="dxa"/>
            <w:vAlign w:val="center"/>
            <w:hideMark/>
          </w:tcPr>
          <w:p w14:paraId="39C72BAC" w14:textId="77777777" w:rsidR="00DF3959" w:rsidRPr="00DF3959" w:rsidRDefault="00DF3959" w:rsidP="000765F1">
            <w:pPr>
              <w:pStyle w:val="TableText"/>
              <w:jc w:val="right"/>
            </w:pPr>
            <w:r w:rsidRPr="00DF3959">
              <w:t>6% </w:t>
            </w:r>
          </w:p>
        </w:tc>
        <w:tc>
          <w:tcPr>
            <w:tcW w:w="1260" w:type="dxa"/>
            <w:vAlign w:val="center"/>
            <w:hideMark/>
          </w:tcPr>
          <w:p w14:paraId="28E3312A" w14:textId="77777777" w:rsidR="00DF3959" w:rsidRPr="00DF3959" w:rsidRDefault="00DF3959" w:rsidP="000765F1">
            <w:pPr>
              <w:pStyle w:val="TableText"/>
              <w:jc w:val="right"/>
            </w:pPr>
            <w:r w:rsidRPr="00DF3959">
              <w:t>3,716 </w:t>
            </w:r>
          </w:p>
        </w:tc>
        <w:tc>
          <w:tcPr>
            <w:tcW w:w="990" w:type="dxa"/>
            <w:vAlign w:val="center"/>
            <w:hideMark/>
          </w:tcPr>
          <w:p w14:paraId="2EE1DD45" w14:textId="77777777" w:rsidR="00DF3959" w:rsidRPr="00DF3959" w:rsidRDefault="00DF3959" w:rsidP="000765F1">
            <w:pPr>
              <w:pStyle w:val="TableText"/>
              <w:jc w:val="right"/>
            </w:pPr>
            <w:r w:rsidRPr="00DF3959">
              <w:t>5% </w:t>
            </w:r>
          </w:p>
        </w:tc>
      </w:tr>
      <w:tr w:rsidR="004F0ED0" w:rsidRPr="00DF3959" w14:paraId="4299C0C2" w14:textId="77777777" w:rsidTr="000765F1">
        <w:trPr>
          <w:trHeight w:val="315"/>
        </w:trPr>
        <w:tc>
          <w:tcPr>
            <w:tcW w:w="2970" w:type="dxa"/>
            <w:vAlign w:val="center"/>
            <w:hideMark/>
          </w:tcPr>
          <w:p w14:paraId="522819E6" w14:textId="77777777" w:rsidR="00DF3959" w:rsidRPr="00DF3959" w:rsidRDefault="00DF3959" w:rsidP="000765F1">
            <w:pPr>
              <w:pStyle w:val="TableText"/>
            </w:pPr>
            <w:r w:rsidRPr="00DF3959">
              <w:t>Other Visual </w:t>
            </w:r>
          </w:p>
        </w:tc>
        <w:tc>
          <w:tcPr>
            <w:tcW w:w="1245" w:type="dxa"/>
            <w:vAlign w:val="center"/>
            <w:hideMark/>
          </w:tcPr>
          <w:p w14:paraId="677665B8" w14:textId="77777777" w:rsidR="00DF3959" w:rsidRPr="00DF3959" w:rsidRDefault="00DF3959" w:rsidP="000765F1">
            <w:pPr>
              <w:pStyle w:val="TableText"/>
              <w:jc w:val="right"/>
            </w:pPr>
            <w:r w:rsidRPr="00DF3959">
              <w:t>929 </w:t>
            </w:r>
          </w:p>
        </w:tc>
        <w:tc>
          <w:tcPr>
            <w:tcW w:w="990" w:type="dxa"/>
            <w:vAlign w:val="center"/>
            <w:hideMark/>
          </w:tcPr>
          <w:p w14:paraId="44292387" w14:textId="77777777" w:rsidR="00DF3959" w:rsidRPr="00DF3959" w:rsidRDefault="00DF3959" w:rsidP="000765F1">
            <w:pPr>
              <w:pStyle w:val="TableText"/>
              <w:jc w:val="right"/>
            </w:pPr>
            <w:r w:rsidRPr="00DF3959">
              <w:t>4% </w:t>
            </w:r>
          </w:p>
        </w:tc>
        <w:tc>
          <w:tcPr>
            <w:tcW w:w="1080" w:type="dxa"/>
            <w:vAlign w:val="center"/>
            <w:hideMark/>
          </w:tcPr>
          <w:p w14:paraId="7944CA28" w14:textId="77777777" w:rsidR="00DF3959" w:rsidRPr="00DF3959" w:rsidRDefault="00DF3959" w:rsidP="000765F1">
            <w:pPr>
              <w:pStyle w:val="TableText"/>
              <w:jc w:val="right"/>
            </w:pPr>
            <w:r w:rsidRPr="00DF3959">
              <w:t>2,928 </w:t>
            </w:r>
          </w:p>
        </w:tc>
        <w:tc>
          <w:tcPr>
            <w:tcW w:w="1080" w:type="dxa"/>
            <w:vAlign w:val="center"/>
            <w:hideMark/>
          </w:tcPr>
          <w:p w14:paraId="5F0C51BF" w14:textId="77777777" w:rsidR="00DF3959" w:rsidRPr="00DF3959" w:rsidRDefault="00DF3959" w:rsidP="000765F1">
            <w:pPr>
              <w:pStyle w:val="TableText"/>
              <w:jc w:val="right"/>
            </w:pPr>
            <w:r w:rsidRPr="00DF3959">
              <w:t>6% </w:t>
            </w:r>
          </w:p>
        </w:tc>
        <w:tc>
          <w:tcPr>
            <w:tcW w:w="1260" w:type="dxa"/>
            <w:vAlign w:val="center"/>
            <w:hideMark/>
          </w:tcPr>
          <w:p w14:paraId="76A8F7E8" w14:textId="77777777" w:rsidR="00DF3959" w:rsidRPr="00DF3959" w:rsidRDefault="00DF3959" w:rsidP="000765F1">
            <w:pPr>
              <w:pStyle w:val="TableText"/>
              <w:jc w:val="right"/>
            </w:pPr>
            <w:r w:rsidRPr="00DF3959">
              <w:t>3,857 </w:t>
            </w:r>
          </w:p>
        </w:tc>
        <w:tc>
          <w:tcPr>
            <w:tcW w:w="990" w:type="dxa"/>
            <w:vAlign w:val="center"/>
            <w:hideMark/>
          </w:tcPr>
          <w:p w14:paraId="4B3B7239" w14:textId="77777777" w:rsidR="00DF3959" w:rsidRPr="00DF3959" w:rsidRDefault="00DF3959" w:rsidP="000765F1">
            <w:pPr>
              <w:pStyle w:val="TableText"/>
              <w:jc w:val="right"/>
            </w:pPr>
            <w:r w:rsidRPr="00DF3959">
              <w:t>6% </w:t>
            </w:r>
          </w:p>
        </w:tc>
      </w:tr>
      <w:tr w:rsidR="000765F1" w:rsidRPr="00DF3959" w14:paraId="56F29FAB" w14:textId="77777777" w:rsidTr="000765F1">
        <w:trPr>
          <w:trHeight w:val="315"/>
        </w:trPr>
        <w:tc>
          <w:tcPr>
            <w:tcW w:w="2970" w:type="dxa"/>
            <w:vAlign w:val="center"/>
            <w:hideMark/>
          </w:tcPr>
          <w:p w14:paraId="1F84BA54" w14:textId="77777777" w:rsidR="00DF3959" w:rsidRPr="00DF3959" w:rsidRDefault="00DF3959" w:rsidP="000765F1">
            <w:pPr>
              <w:pStyle w:val="TableText"/>
            </w:pPr>
            <w:r w:rsidRPr="00DF3959">
              <w:t>Physical </w:t>
            </w:r>
          </w:p>
        </w:tc>
        <w:tc>
          <w:tcPr>
            <w:tcW w:w="1245" w:type="dxa"/>
            <w:vAlign w:val="center"/>
            <w:hideMark/>
          </w:tcPr>
          <w:p w14:paraId="41ECF8EA" w14:textId="77777777" w:rsidR="00DF3959" w:rsidRPr="00DF3959" w:rsidRDefault="00DF3959" w:rsidP="000765F1">
            <w:pPr>
              <w:pStyle w:val="TableText"/>
              <w:jc w:val="right"/>
            </w:pPr>
            <w:r w:rsidRPr="00DF3959">
              <w:t>1,486 </w:t>
            </w:r>
          </w:p>
        </w:tc>
        <w:tc>
          <w:tcPr>
            <w:tcW w:w="990" w:type="dxa"/>
            <w:vAlign w:val="center"/>
            <w:hideMark/>
          </w:tcPr>
          <w:p w14:paraId="3B15FF07" w14:textId="77777777" w:rsidR="00DF3959" w:rsidRPr="00DF3959" w:rsidRDefault="00DF3959" w:rsidP="000765F1">
            <w:pPr>
              <w:pStyle w:val="TableText"/>
              <w:jc w:val="right"/>
            </w:pPr>
            <w:r w:rsidRPr="00DF3959">
              <w:t>7% </w:t>
            </w:r>
          </w:p>
        </w:tc>
        <w:tc>
          <w:tcPr>
            <w:tcW w:w="1080" w:type="dxa"/>
            <w:vAlign w:val="center"/>
            <w:hideMark/>
          </w:tcPr>
          <w:p w14:paraId="55E57719" w14:textId="77777777" w:rsidR="00DF3959" w:rsidRPr="00DF3959" w:rsidRDefault="00DF3959" w:rsidP="000765F1">
            <w:pPr>
              <w:pStyle w:val="TableText"/>
              <w:jc w:val="right"/>
            </w:pPr>
            <w:r w:rsidRPr="00DF3959">
              <w:t>13,362 </w:t>
            </w:r>
          </w:p>
        </w:tc>
        <w:tc>
          <w:tcPr>
            <w:tcW w:w="1080" w:type="dxa"/>
            <w:vAlign w:val="center"/>
            <w:hideMark/>
          </w:tcPr>
          <w:p w14:paraId="5F16E5D4" w14:textId="77777777" w:rsidR="00DF3959" w:rsidRPr="00DF3959" w:rsidRDefault="00DF3959" w:rsidP="000765F1">
            <w:pPr>
              <w:pStyle w:val="TableText"/>
              <w:jc w:val="right"/>
            </w:pPr>
            <w:r w:rsidRPr="00DF3959">
              <w:t>29% </w:t>
            </w:r>
          </w:p>
        </w:tc>
        <w:tc>
          <w:tcPr>
            <w:tcW w:w="1260" w:type="dxa"/>
            <w:vAlign w:val="center"/>
            <w:hideMark/>
          </w:tcPr>
          <w:p w14:paraId="0C7BD780" w14:textId="77777777" w:rsidR="00DF3959" w:rsidRPr="00DF3959" w:rsidRDefault="00DF3959" w:rsidP="000765F1">
            <w:pPr>
              <w:pStyle w:val="TableText"/>
              <w:jc w:val="right"/>
            </w:pPr>
            <w:r w:rsidRPr="00DF3959">
              <w:t>14,848 </w:t>
            </w:r>
          </w:p>
        </w:tc>
        <w:tc>
          <w:tcPr>
            <w:tcW w:w="990" w:type="dxa"/>
            <w:vAlign w:val="center"/>
            <w:hideMark/>
          </w:tcPr>
          <w:p w14:paraId="0607090B" w14:textId="77777777" w:rsidR="00DF3959" w:rsidRPr="00DF3959" w:rsidRDefault="00DF3959" w:rsidP="000765F1">
            <w:pPr>
              <w:pStyle w:val="TableText"/>
              <w:jc w:val="right"/>
            </w:pPr>
            <w:r w:rsidRPr="00DF3959">
              <w:t>21% </w:t>
            </w:r>
          </w:p>
        </w:tc>
      </w:tr>
      <w:tr w:rsidR="004F0ED0" w:rsidRPr="00DF3959" w14:paraId="1738C329" w14:textId="77777777" w:rsidTr="000765F1">
        <w:trPr>
          <w:trHeight w:val="315"/>
        </w:trPr>
        <w:tc>
          <w:tcPr>
            <w:tcW w:w="2970" w:type="dxa"/>
            <w:vAlign w:val="center"/>
            <w:hideMark/>
          </w:tcPr>
          <w:p w14:paraId="34E45790" w14:textId="77777777" w:rsidR="00DF3959" w:rsidRPr="00DF3959" w:rsidRDefault="00DF3959" w:rsidP="000765F1">
            <w:pPr>
              <w:pStyle w:val="TableText"/>
            </w:pPr>
            <w:r w:rsidRPr="00DF3959">
              <w:t>Psychosocial/Psychological </w:t>
            </w:r>
          </w:p>
        </w:tc>
        <w:tc>
          <w:tcPr>
            <w:tcW w:w="1245" w:type="dxa"/>
            <w:vAlign w:val="center"/>
            <w:hideMark/>
          </w:tcPr>
          <w:p w14:paraId="36FFED21" w14:textId="77777777" w:rsidR="00DF3959" w:rsidRPr="00DF3959" w:rsidRDefault="00DF3959" w:rsidP="000765F1">
            <w:pPr>
              <w:pStyle w:val="TableText"/>
              <w:jc w:val="right"/>
            </w:pPr>
            <w:r w:rsidRPr="00DF3959">
              <w:t>4,810 </w:t>
            </w:r>
          </w:p>
        </w:tc>
        <w:tc>
          <w:tcPr>
            <w:tcW w:w="990" w:type="dxa"/>
            <w:vAlign w:val="center"/>
            <w:hideMark/>
          </w:tcPr>
          <w:p w14:paraId="1338DF36" w14:textId="77777777" w:rsidR="00DF3959" w:rsidRPr="00DF3959" w:rsidRDefault="00DF3959" w:rsidP="000765F1">
            <w:pPr>
              <w:pStyle w:val="TableText"/>
              <w:jc w:val="right"/>
            </w:pPr>
            <w:r w:rsidRPr="00DF3959">
              <w:t>21% </w:t>
            </w:r>
          </w:p>
        </w:tc>
        <w:tc>
          <w:tcPr>
            <w:tcW w:w="1080" w:type="dxa"/>
            <w:vAlign w:val="center"/>
            <w:hideMark/>
          </w:tcPr>
          <w:p w14:paraId="07D7D464" w14:textId="77777777" w:rsidR="00DF3959" w:rsidRPr="00DF3959" w:rsidRDefault="00DF3959" w:rsidP="000765F1">
            <w:pPr>
              <w:pStyle w:val="TableText"/>
              <w:jc w:val="right"/>
            </w:pPr>
            <w:r w:rsidRPr="00DF3959">
              <w:t>9,994 </w:t>
            </w:r>
          </w:p>
        </w:tc>
        <w:tc>
          <w:tcPr>
            <w:tcW w:w="1080" w:type="dxa"/>
            <w:vAlign w:val="center"/>
            <w:hideMark/>
          </w:tcPr>
          <w:p w14:paraId="7DFBB586" w14:textId="77777777" w:rsidR="00DF3959" w:rsidRPr="00DF3959" w:rsidRDefault="00DF3959" w:rsidP="000765F1">
            <w:pPr>
              <w:pStyle w:val="TableText"/>
              <w:jc w:val="right"/>
            </w:pPr>
            <w:r w:rsidRPr="00DF3959">
              <w:t>21% </w:t>
            </w:r>
          </w:p>
        </w:tc>
        <w:tc>
          <w:tcPr>
            <w:tcW w:w="1260" w:type="dxa"/>
            <w:vAlign w:val="center"/>
            <w:hideMark/>
          </w:tcPr>
          <w:p w14:paraId="3C6FD489" w14:textId="77777777" w:rsidR="00DF3959" w:rsidRPr="00DF3959" w:rsidRDefault="00DF3959" w:rsidP="000765F1">
            <w:pPr>
              <w:pStyle w:val="TableText"/>
              <w:jc w:val="right"/>
            </w:pPr>
            <w:r w:rsidRPr="00DF3959">
              <w:t>14,804 </w:t>
            </w:r>
          </w:p>
        </w:tc>
        <w:tc>
          <w:tcPr>
            <w:tcW w:w="990" w:type="dxa"/>
            <w:vAlign w:val="center"/>
            <w:hideMark/>
          </w:tcPr>
          <w:p w14:paraId="2939532E" w14:textId="77777777" w:rsidR="00DF3959" w:rsidRPr="00DF3959" w:rsidRDefault="00DF3959" w:rsidP="000765F1">
            <w:pPr>
              <w:pStyle w:val="TableText"/>
              <w:jc w:val="right"/>
            </w:pPr>
            <w:r w:rsidRPr="00DF3959">
              <w:t>21% </w:t>
            </w:r>
          </w:p>
        </w:tc>
      </w:tr>
      <w:tr w:rsidR="000765F1" w:rsidRPr="00DF3959" w14:paraId="4DC39AB6" w14:textId="77777777" w:rsidTr="000765F1">
        <w:trPr>
          <w:trHeight w:val="315"/>
        </w:trPr>
        <w:tc>
          <w:tcPr>
            <w:tcW w:w="2970" w:type="dxa"/>
            <w:vAlign w:val="center"/>
            <w:hideMark/>
          </w:tcPr>
          <w:p w14:paraId="77A3BF41" w14:textId="77777777" w:rsidR="00DF3959" w:rsidRPr="00DF3959" w:rsidRDefault="00DF3959" w:rsidP="000765F1">
            <w:pPr>
              <w:pStyle w:val="TableText"/>
            </w:pPr>
            <w:r w:rsidRPr="00DF3959">
              <w:rPr>
                <w:b/>
                <w:bCs/>
              </w:rPr>
              <w:t>Grand Total</w:t>
            </w:r>
            <w:r w:rsidRPr="00DF3959">
              <w:t> </w:t>
            </w:r>
          </w:p>
        </w:tc>
        <w:tc>
          <w:tcPr>
            <w:tcW w:w="1245" w:type="dxa"/>
            <w:vAlign w:val="center"/>
            <w:hideMark/>
          </w:tcPr>
          <w:p w14:paraId="5FED05C4" w14:textId="77777777" w:rsidR="00DF3959" w:rsidRPr="00DF3959" w:rsidRDefault="00DF3959" w:rsidP="000765F1">
            <w:pPr>
              <w:pStyle w:val="TableText"/>
              <w:jc w:val="right"/>
            </w:pPr>
            <w:r w:rsidRPr="00DF3959">
              <w:rPr>
                <w:b/>
                <w:bCs/>
              </w:rPr>
              <w:t>22,591</w:t>
            </w:r>
            <w:r w:rsidRPr="00DF3959">
              <w:t> </w:t>
            </w:r>
          </w:p>
        </w:tc>
        <w:tc>
          <w:tcPr>
            <w:tcW w:w="990" w:type="dxa"/>
            <w:vAlign w:val="center"/>
            <w:hideMark/>
          </w:tcPr>
          <w:p w14:paraId="23031270" w14:textId="77777777" w:rsidR="00DF3959" w:rsidRPr="00DF3959" w:rsidRDefault="00DF3959" w:rsidP="000765F1">
            <w:pPr>
              <w:pStyle w:val="TableText"/>
              <w:jc w:val="right"/>
            </w:pPr>
            <w:r w:rsidRPr="00DF3959">
              <w:rPr>
                <w:b/>
                <w:bCs/>
              </w:rPr>
              <w:t>100%</w:t>
            </w:r>
            <w:r w:rsidRPr="00DF3959">
              <w:t> </w:t>
            </w:r>
          </w:p>
        </w:tc>
        <w:tc>
          <w:tcPr>
            <w:tcW w:w="1080" w:type="dxa"/>
            <w:vAlign w:val="center"/>
            <w:hideMark/>
          </w:tcPr>
          <w:p w14:paraId="47E70B2F" w14:textId="77777777" w:rsidR="00DF3959" w:rsidRPr="00DF3959" w:rsidRDefault="00DF3959" w:rsidP="000765F1">
            <w:pPr>
              <w:pStyle w:val="TableText"/>
              <w:jc w:val="right"/>
            </w:pPr>
            <w:r w:rsidRPr="00DF3959">
              <w:rPr>
                <w:b/>
                <w:bCs/>
              </w:rPr>
              <w:t>46,774</w:t>
            </w:r>
            <w:r w:rsidRPr="00DF3959">
              <w:t> </w:t>
            </w:r>
          </w:p>
        </w:tc>
        <w:tc>
          <w:tcPr>
            <w:tcW w:w="1080" w:type="dxa"/>
            <w:vAlign w:val="center"/>
            <w:hideMark/>
          </w:tcPr>
          <w:p w14:paraId="05A4E245" w14:textId="77777777" w:rsidR="00DF3959" w:rsidRPr="00DF3959" w:rsidRDefault="00DF3959" w:rsidP="000765F1">
            <w:pPr>
              <w:pStyle w:val="TableText"/>
              <w:jc w:val="right"/>
            </w:pPr>
            <w:r w:rsidRPr="00DF3959">
              <w:rPr>
                <w:b/>
                <w:bCs/>
              </w:rPr>
              <w:t>100%</w:t>
            </w:r>
            <w:r w:rsidRPr="00DF3959">
              <w:t> </w:t>
            </w:r>
          </w:p>
        </w:tc>
        <w:tc>
          <w:tcPr>
            <w:tcW w:w="1260" w:type="dxa"/>
            <w:vAlign w:val="center"/>
            <w:hideMark/>
          </w:tcPr>
          <w:p w14:paraId="21891C87" w14:textId="77777777" w:rsidR="00DF3959" w:rsidRPr="00DF3959" w:rsidRDefault="00DF3959" w:rsidP="000765F1">
            <w:pPr>
              <w:pStyle w:val="TableText"/>
              <w:jc w:val="right"/>
            </w:pPr>
            <w:r w:rsidRPr="00DF3959">
              <w:rPr>
                <w:b/>
                <w:bCs/>
              </w:rPr>
              <w:t>69,365</w:t>
            </w:r>
            <w:r w:rsidRPr="00DF3959">
              <w:t> </w:t>
            </w:r>
          </w:p>
        </w:tc>
        <w:tc>
          <w:tcPr>
            <w:tcW w:w="990" w:type="dxa"/>
            <w:vAlign w:val="center"/>
            <w:hideMark/>
          </w:tcPr>
          <w:p w14:paraId="24182802" w14:textId="77777777" w:rsidR="00DF3959" w:rsidRPr="00DF3959" w:rsidRDefault="00DF3959" w:rsidP="000765F1">
            <w:pPr>
              <w:pStyle w:val="TableText"/>
              <w:jc w:val="right"/>
            </w:pPr>
            <w:r w:rsidRPr="00DF3959">
              <w:rPr>
                <w:b/>
                <w:bCs/>
              </w:rPr>
              <w:t>100%</w:t>
            </w:r>
            <w:r w:rsidRPr="00DF3959">
              <w:t> </w:t>
            </w:r>
          </w:p>
        </w:tc>
      </w:tr>
    </w:tbl>
    <w:p w14:paraId="6413049E" w14:textId="77777777" w:rsidR="00DF3959" w:rsidRPr="00DF3959" w:rsidRDefault="00DF3959" w:rsidP="00DF3959">
      <w:pPr>
        <w:pStyle w:val="BodyText"/>
      </w:pPr>
      <w:r w:rsidRPr="00DF3959">
        <w:t>The largest primary disability group in SFY 2024 was Intellectual and Learning (Cognitive), both overall (30 percent) and especially among student-aged participants (nearly 60 percent), due to the strong growth of Special Education and 504 Plan student population in Texas.  </w:t>
      </w:r>
    </w:p>
    <w:p w14:paraId="48A50CB2" w14:textId="77777777" w:rsidR="00DF3959" w:rsidRPr="00DF3959" w:rsidRDefault="00DF3959" w:rsidP="00DF3959">
      <w:pPr>
        <w:pStyle w:val="BodyText"/>
      </w:pPr>
      <w:r w:rsidRPr="00DF3959">
        <w:rPr>
          <w:u w:val="single"/>
        </w:rPr>
        <w:t>Social Security Recipients </w:t>
      </w:r>
      <w:r w:rsidRPr="00DF3959">
        <w:t> </w:t>
      </w:r>
    </w:p>
    <w:p w14:paraId="7EE4E6B2" w14:textId="77777777" w:rsidR="00DF3959" w:rsidRPr="00DF3959" w:rsidRDefault="00DF3959" w:rsidP="00DF3959">
      <w:pPr>
        <w:pStyle w:val="BodyText"/>
      </w:pPr>
      <w:r w:rsidRPr="00DF3959">
        <w:t>In SFY 2024, 18,726 participants were SSI/SSDI (Social Security benefit) recipients at some point during their case.  </w:t>
      </w:r>
    </w:p>
    <w:p w14:paraId="1569CB30" w14:textId="77777777" w:rsidR="00DF3959" w:rsidRPr="00DF3959" w:rsidRDefault="00DF3959" w:rsidP="00DF3959">
      <w:pPr>
        <w:pStyle w:val="BodyText"/>
      </w:pPr>
      <w:r w:rsidRPr="00DF3959">
        <w:rPr>
          <w:u w:val="single"/>
        </w:rPr>
        <w:t>Veterans </w:t>
      </w:r>
      <w:r w:rsidRPr="00DF3959">
        <w:t> </w:t>
      </w:r>
    </w:p>
    <w:p w14:paraId="16A4BB38" w14:textId="77777777" w:rsidR="00DF3959" w:rsidRPr="00DF3959" w:rsidRDefault="00DF3959" w:rsidP="00DF3959">
      <w:pPr>
        <w:pStyle w:val="BodyText"/>
      </w:pPr>
      <w:r w:rsidRPr="00DF3959">
        <w:lastRenderedPageBreak/>
        <w:t>In SFY 2024, VR actively served 1,621 participants with veteran status (any discharge status other than dishonorable). </w:t>
      </w:r>
    </w:p>
    <w:p w14:paraId="7F3DA598" w14:textId="77777777" w:rsidR="00DF3959" w:rsidRPr="00DF3959" w:rsidRDefault="00DF3959" w:rsidP="000765F1">
      <w:pPr>
        <w:pStyle w:val="BodyText"/>
        <w:ind w:left="720" w:hanging="720"/>
      </w:pPr>
      <w:r w:rsidRPr="00DF3959">
        <w:rPr>
          <w:b/>
          <w:bCs/>
        </w:rPr>
        <w:t>F.</w:t>
      </w:r>
      <w:r w:rsidRPr="00DF3959">
        <w:tab/>
      </w:r>
      <w:r w:rsidRPr="00DF3959">
        <w:rPr>
          <w:b/>
          <w:bCs/>
        </w:rPr>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r w:rsidRPr="00DF3959">
        <w:t> </w:t>
      </w:r>
    </w:p>
    <w:p w14:paraId="7B06AE3A" w14:textId="77777777" w:rsidR="00DF3959" w:rsidRPr="00DF3959" w:rsidRDefault="00DF3959" w:rsidP="00DF3959">
      <w:pPr>
        <w:pStyle w:val="BodyText"/>
      </w:pPr>
      <w:r w:rsidRPr="00DF3959">
        <w:rPr>
          <w:b/>
          <w:bCs/>
        </w:rPr>
        <w:t>Service Delivery Structure</w:t>
      </w:r>
      <w:r w:rsidRPr="00DF3959">
        <w:t> </w:t>
      </w:r>
    </w:p>
    <w:p w14:paraId="4A56EA92" w14:textId="77777777" w:rsidR="00DF3959" w:rsidRPr="00DF3959" w:rsidRDefault="00DF3959" w:rsidP="00DF3959">
      <w:pPr>
        <w:pStyle w:val="BodyText"/>
      </w:pPr>
      <w:r w:rsidRPr="00DF3959">
        <w:t>The VR process is organized in phases, starting with referral/intake, application, and eligibility determination. Eligibility is based on the presence of a physical or mental impairment that substantially impedes employment and requires VR services. While not income-based, applicants with income exceeding basic living requirements may need to contribute to service costs unless they receive Social Security disability benefits. </w:t>
      </w:r>
    </w:p>
    <w:p w14:paraId="0371B47D" w14:textId="77777777" w:rsidR="00DF3959" w:rsidRPr="00DF3959" w:rsidRDefault="00DF3959" w:rsidP="00DF3959">
      <w:pPr>
        <w:pStyle w:val="BodyText"/>
      </w:pPr>
      <w:r w:rsidRPr="00DF3959">
        <w:t>Comprehensive assessments are conducted to understand the applicant's skills, abilities, and interests, leading to the development of an individualized plan for employment (IPE) in partnership with the VR counselor. The IPE outlines the employment goal, required services, and service providers, and is guided by the principle of informed choice. Before VR services are provided, comparable benefits from other programs are considered. </w:t>
      </w:r>
    </w:p>
    <w:p w14:paraId="3C25E3E5" w14:textId="77777777" w:rsidR="00DF3959" w:rsidRPr="00DF3959" w:rsidRDefault="00DF3959" w:rsidP="00DF3959">
      <w:pPr>
        <w:pStyle w:val="BodyText"/>
      </w:pPr>
      <w:r w:rsidRPr="00DF3959">
        <w:t>Active services vary and are customized to the individual. They may include counseling, physical or mental restoration, pre-employment transition services, post-secondary education/training or other services. The program emphasizes competitive integrated employment, defined as work providing competitive earnings in an integrated setting with opportunities for advancement. Case closure occurs after successful employment is maintained for at least 90 days and the job aligns with the IPE goals. </w:t>
      </w:r>
    </w:p>
    <w:p w14:paraId="05E0F3A3" w14:textId="77777777" w:rsidR="006650EF" w:rsidRDefault="00DF3959" w:rsidP="002A6FD3">
      <w:pPr>
        <w:pStyle w:val="BodyText"/>
      </w:pPr>
      <w:r w:rsidRPr="00DF3959">
        <w:lastRenderedPageBreak/>
        <w:t> </w:t>
      </w:r>
      <w:r w:rsidRPr="00DF3959">
        <w:rPr>
          <w:noProof/>
        </w:rPr>
        <w:drawing>
          <wp:inline distT="0" distB="0" distL="0" distR="0" wp14:anchorId="219D0C4F" wp14:editId="06EFC241">
            <wp:extent cx="5943600" cy="3392170"/>
            <wp:effectExtent l="0" t="0" r="0" b="0"/>
            <wp:docPr id="64786070" name="Picture 4" descr="Vocational Rehabilit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6070" name="Picture 4" descr="Vocational Rehabilitation Process flowchar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392170"/>
                    </a:xfrm>
                    <a:prstGeom prst="rect">
                      <a:avLst/>
                    </a:prstGeom>
                    <a:noFill/>
                    <a:ln>
                      <a:noFill/>
                    </a:ln>
                  </pic:spPr>
                </pic:pic>
              </a:graphicData>
            </a:graphic>
          </wp:inline>
        </w:drawing>
      </w:r>
    </w:p>
    <w:p w14:paraId="0B059D4A" w14:textId="5BFCA208" w:rsidR="00DF3959" w:rsidRPr="00DF3959" w:rsidRDefault="00DF3959" w:rsidP="002A6FD3">
      <w:pPr>
        <w:pStyle w:val="BodyText"/>
      </w:pPr>
      <w:r w:rsidRPr="00DF3959">
        <w:t>Post-closure services are available to assist individuals in maintaining, regaining, or advancing in employment after case closure, promoting self-sufficiency and addressing employment-related challenges. Eligibility for post-closure requires that the customer have previously been considered rehabilitated, is still disabled and has an employment problem that can be solved with short term services. </w:t>
      </w:r>
    </w:p>
    <w:p w14:paraId="716FD00F" w14:textId="77777777" w:rsidR="00DF3959" w:rsidRPr="00DF3959" w:rsidRDefault="00DF3959" w:rsidP="00DF3959">
      <w:pPr>
        <w:pStyle w:val="BodyText"/>
      </w:pPr>
      <w:r w:rsidRPr="00DF3959">
        <w:rPr>
          <w:b/>
          <w:bCs/>
        </w:rPr>
        <w:t>Staffing Structure</w:t>
      </w:r>
      <w:r w:rsidRPr="00DF3959">
        <w:t> </w:t>
      </w:r>
    </w:p>
    <w:p w14:paraId="698DC7C8" w14:textId="77777777" w:rsidR="00DF3959" w:rsidRPr="00DF3959" w:rsidRDefault="00DF3959" w:rsidP="00DF3959">
      <w:pPr>
        <w:pStyle w:val="BodyText"/>
      </w:pPr>
      <w:r w:rsidRPr="00DF3959">
        <w:t>The Vocational Rehabilitation Division is staffed by 1,741.3 full-time employees and overseen by the Division Director who is responsible for the division's overall performance and strategic direction.  The division also benefits from the guidance of four Deputy Directors, each overseeing a critical functional area: Field Services, Program Operations, Strategic Alignment &amp; Program Improvement, and Blind Services, and a rehabilitation advisory council.</w:t>
      </w:r>
      <w:r w:rsidRPr="00DF3959">
        <w:rPr>
          <w:b/>
          <w:bCs/>
        </w:rPr>
        <w:t> </w:t>
      </w:r>
      <w:r w:rsidRPr="00DF3959">
        <w:t> </w:t>
      </w:r>
    </w:p>
    <w:p w14:paraId="7F363911" w14:textId="77777777" w:rsidR="00DF3959" w:rsidRPr="00DF3959" w:rsidRDefault="00DF3959" w:rsidP="00C64851">
      <w:pPr>
        <w:pStyle w:val="BodyText"/>
        <w:numPr>
          <w:ilvl w:val="0"/>
          <w:numId w:val="706"/>
        </w:numPr>
      </w:pPr>
      <w:r w:rsidRPr="00DF3959">
        <w:rPr>
          <w:b/>
          <w:bCs/>
        </w:rPr>
        <w:t>Office of the Division Director (10 FTEs</w:t>
      </w:r>
      <w:r w:rsidRPr="00DF3959">
        <w:t>): The team within the Office of the Division Director includes an Executive Assistant, a Program Specialist, a Program Management Specialist who leads efforts in internal/external communications, partnerships, and system development, an Ombudsman who addresses concerns and resolves conflicts, and a manager for the Purchasing for People with Disabilities Program. </w:t>
      </w:r>
    </w:p>
    <w:p w14:paraId="2D11B081" w14:textId="77777777" w:rsidR="00DF3959" w:rsidRPr="00DF3959" w:rsidRDefault="00DF3959" w:rsidP="00C64851">
      <w:pPr>
        <w:pStyle w:val="BodyText"/>
        <w:numPr>
          <w:ilvl w:val="0"/>
          <w:numId w:val="707"/>
        </w:numPr>
      </w:pPr>
      <w:r w:rsidRPr="00DF3959">
        <w:rPr>
          <w:b/>
          <w:bCs/>
        </w:rPr>
        <w:t xml:space="preserve">Program Operations (47 FTEs): </w:t>
      </w:r>
      <w:r w:rsidRPr="00DF3959">
        <w:t xml:space="preserve">Administers business processes, manages client service funds, supports personnel and case management systems, generates reports, and oversees the Program Rapid Engagement Team for customer inquiries </w:t>
      </w:r>
      <w:r w:rsidRPr="00DF3959">
        <w:lastRenderedPageBreak/>
        <w:t xml:space="preserve">and the </w:t>
      </w:r>
      <w:proofErr w:type="gramStart"/>
      <w:r w:rsidRPr="00DF3959">
        <w:t>ticket-based</w:t>
      </w:r>
      <w:proofErr w:type="gramEnd"/>
      <w:r w:rsidRPr="00DF3959">
        <w:t xml:space="preserve"> "Start My VR" system. Program Operations includes five programs: Budget &amp; Personnel, Business Systems &amp; Reporting, Administrative Services, Provider &amp; Field Support, and Specialized Services Support. </w:t>
      </w:r>
    </w:p>
    <w:p w14:paraId="7C82E7F3" w14:textId="77777777" w:rsidR="00DF3959" w:rsidRPr="00DF3959" w:rsidRDefault="00DF3959" w:rsidP="00C64851">
      <w:pPr>
        <w:pStyle w:val="BodyText"/>
        <w:numPr>
          <w:ilvl w:val="0"/>
          <w:numId w:val="708"/>
        </w:numPr>
      </w:pPr>
      <w:r w:rsidRPr="00DF3959">
        <w:rPr>
          <w:b/>
          <w:bCs/>
        </w:rPr>
        <w:t xml:space="preserve">Strategic Alignment &amp; Program Improvement (ALIGN) (21 FTEs): </w:t>
      </w:r>
      <w:r w:rsidRPr="00DF3959">
        <w:t>A newly developed division focusing on program effectiveness and efficiency, policy development, and quality control. ALIGN oversees project managers, and two programs: Policy and Planning, and Quality Assurance, and Program Improvement. </w:t>
      </w:r>
    </w:p>
    <w:p w14:paraId="1224013B" w14:textId="77777777" w:rsidR="00DF3959" w:rsidRPr="00DF3959" w:rsidRDefault="00DF3959" w:rsidP="00C64851">
      <w:pPr>
        <w:pStyle w:val="BodyText"/>
        <w:numPr>
          <w:ilvl w:val="0"/>
          <w:numId w:val="709"/>
        </w:numPr>
      </w:pPr>
      <w:r w:rsidRPr="00DF3959">
        <w:rPr>
          <w:b/>
          <w:bCs/>
        </w:rPr>
        <w:t xml:space="preserve">Blind Services (82 FTEs): </w:t>
      </w:r>
      <w:r w:rsidRPr="00DF3959">
        <w:t>Provides specialized services to individuals with blindness or visual impairments, including field support, evaluation, assistive technology, orientation and mobility, diabetes education, and independent living services. Blind Services includes five programs:  Older Individuals who are Blind (OIB), Business Enterprises of Texas, Blind Services Field Support, Evaluation and Support Services, and the Criss Cole Rehabilitation Center. </w:t>
      </w:r>
    </w:p>
    <w:p w14:paraId="35D14F35" w14:textId="77777777" w:rsidR="00DF3959" w:rsidRPr="00DF3959" w:rsidRDefault="00DF3959" w:rsidP="00C64851">
      <w:pPr>
        <w:pStyle w:val="BodyText"/>
        <w:numPr>
          <w:ilvl w:val="0"/>
          <w:numId w:val="710"/>
        </w:numPr>
      </w:pPr>
      <w:r w:rsidRPr="00DF3959">
        <w:rPr>
          <w:b/>
          <w:bCs/>
        </w:rPr>
        <w:t xml:space="preserve">Field Services Delivery (1,591.3 FTEs): </w:t>
      </w:r>
      <w:r w:rsidRPr="00DF3959">
        <w:t>Delivers direct VR services to eligible customers across the state through a network that includes the Deputy Director office, six regions, and 31 Management Units.   </w:t>
      </w:r>
    </w:p>
    <w:p w14:paraId="3EC6AEC8" w14:textId="77777777" w:rsidR="00DF3959" w:rsidRPr="00DF3959" w:rsidRDefault="00DF3959" w:rsidP="00DF3959">
      <w:pPr>
        <w:pStyle w:val="BodyText"/>
      </w:pPr>
      <w:r w:rsidRPr="00DF3959">
        <w:rPr>
          <w:u w:val="single"/>
        </w:rPr>
        <w:t>Deputy Director Office </w:t>
      </w:r>
      <w:r w:rsidRPr="00DF3959">
        <w:t> </w:t>
      </w:r>
    </w:p>
    <w:p w14:paraId="672C1169" w14:textId="77777777" w:rsidR="00DF3959" w:rsidRPr="00DF3959" w:rsidRDefault="00DF3959" w:rsidP="00DF3959">
      <w:pPr>
        <w:pStyle w:val="BodyText"/>
      </w:pPr>
      <w:r w:rsidRPr="00DF3959">
        <w:t>The Deputy Director directly oversees six regional directors, and the Education and Training Program manager, who supervises staff coordinating Transition Services for Students and Youth with Disabilities, Pre-Employment Transition services, and Neurodevelopmental Disorder Services.  </w:t>
      </w:r>
    </w:p>
    <w:p w14:paraId="20A4D26C" w14:textId="77777777" w:rsidR="00DF3959" w:rsidRPr="00DF3959" w:rsidRDefault="00DF3959" w:rsidP="00DF3959">
      <w:pPr>
        <w:pStyle w:val="BodyText"/>
      </w:pPr>
      <w:r w:rsidRPr="00DF3959">
        <w:rPr>
          <w:u w:val="single"/>
        </w:rPr>
        <w:t>Regional Offices</w:t>
      </w:r>
      <w:r w:rsidRPr="00DF3959">
        <w:t> </w:t>
      </w:r>
    </w:p>
    <w:p w14:paraId="6E293493" w14:textId="77777777" w:rsidR="00DF3959" w:rsidRPr="00DF3959" w:rsidRDefault="00DF3959" w:rsidP="00DF3959">
      <w:pPr>
        <w:pStyle w:val="BodyText"/>
      </w:pPr>
      <w:r w:rsidRPr="00DF3959">
        <w:t>The six regions align with the TWC regions. VR regional offices provide oversight, training and consultative services, administration, and support functions for the Management Units in their region. </w:t>
      </w:r>
    </w:p>
    <w:p w14:paraId="3DD2E636" w14:textId="77777777" w:rsidR="00DF3959" w:rsidRPr="00DF3959" w:rsidRDefault="00DF3959" w:rsidP="00DF3959">
      <w:pPr>
        <w:pStyle w:val="BodyText"/>
      </w:pPr>
      <w:r w:rsidRPr="00DF3959">
        <w:t>Each regional office is led by a regional director and deputy regional director, and includes a human resources liaison, and assistant to the director, program support managers and regional program specialists.  Each region also includes an Education and Training Program that oversees direct service delivery staff that serve the entire region </w:t>
      </w:r>
    </w:p>
    <w:p w14:paraId="5ED6745E" w14:textId="77777777" w:rsidR="00DF3959" w:rsidRPr="00DF3959" w:rsidRDefault="00DF3959" w:rsidP="00DF3959">
      <w:pPr>
        <w:pStyle w:val="BodyText"/>
      </w:pPr>
      <w:r w:rsidRPr="00DF3959">
        <w:rPr>
          <w:u w:val="single"/>
        </w:rPr>
        <w:t>Management Units</w:t>
      </w:r>
      <w:r w:rsidRPr="00DF3959">
        <w:t> </w:t>
      </w:r>
    </w:p>
    <w:p w14:paraId="643B1050" w14:textId="77777777" w:rsidR="00DF3959" w:rsidRPr="00DF3959" w:rsidRDefault="00DF3959" w:rsidP="00DF3959">
      <w:pPr>
        <w:pStyle w:val="BodyText"/>
      </w:pPr>
      <w:r w:rsidRPr="00DF3959">
        <w:t>The 31 Management Units provide direct service delivery to VR customers. Each Management Unit serves VR customers in one or more of the 28 Texas Local Workforce Development Board (Board) areas. Each Management Unit has multiple physical locations. </w:t>
      </w:r>
    </w:p>
    <w:p w14:paraId="6541C2E0" w14:textId="77777777" w:rsidR="00DF3959" w:rsidRPr="00DF3959" w:rsidRDefault="00DF3959" w:rsidP="00DF3959">
      <w:pPr>
        <w:pStyle w:val="BodyText"/>
      </w:pPr>
      <w:r w:rsidRPr="00DF3959">
        <w:t xml:space="preserve">Management Units are led by a VR manager, who oversees the service delivery in the physical locations that comprise that unit. Each Management Unit includes supervisors who </w:t>
      </w:r>
      <w:r w:rsidRPr="00DF3959">
        <w:lastRenderedPageBreak/>
        <w:t>oversee teams of VR counselors and rehabilitation assistants, and specialists that support the VR counselors with purchasing, assistive technology, quality assurance, and process improvement. </w:t>
      </w:r>
    </w:p>
    <w:p w14:paraId="2AF1322B" w14:textId="77777777" w:rsidR="00DF3959" w:rsidRPr="00DF3959" w:rsidRDefault="00DF3959" w:rsidP="00DF3959">
      <w:pPr>
        <w:pStyle w:val="BodyText"/>
      </w:pPr>
      <w:r w:rsidRPr="00DF3959">
        <w:t>The direct service team contains approximately 1,065 core service delivery staff. Of those: </w:t>
      </w:r>
    </w:p>
    <w:p w14:paraId="021E73D1" w14:textId="77777777" w:rsidR="00DF3959" w:rsidRPr="00DF3959" w:rsidRDefault="00DF3959" w:rsidP="00C64851">
      <w:pPr>
        <w:pStyle w:val="BodyText"/>
        <w:numPr>
          <w:ilvl w:val="0"/>
          <w:numId w:val="746"/>
        </w:numPr>
      </w:pPr>
      <w:r w:rsidRPr="00DF3959">
        <w:t>Over 700 VR counselors determine eligibility, provide guidance, and determine when cases are ready to close.  </w:t>
      </w:r>
    </w:p>
    <w:p w14:paraId="654DC462" w14:textId="77777777" w:rsidR="00DF3959" w:rsidRPr="00DF3959" w:rsidRDefault="00DF3959" w:rsidP="00C64851">
      <w:pPr>
        <w:pStyle w:val="BodyText"/>
        <w:numPr>
          <w:ilvl w:val="0"/>
          <w:numId w:val="746"/>
        </w:numPr>
      </w:pPr>
      <w:r w:rsidRPr="00DF3959">
        <w:t>About 350 Rehabilitation assistants support the VR counselors. </w:t>
      </w:r>
    </w:p>
    <w:p w14:paraId="3C3CE973" w14:textId="77777777" w:rsidR="00DF3959" w:rsidRPr="00DF3959" w:rsidRDefault="00DF3959" w:rsidP="00DF3959">
      <w:pPr>
        <w:pStyle w:val="BodyText"/>
      </w:pPr>
      <w:r w:rsidRPr="00DF3959">
        <w:rPr>
          <w:b/>
          <w:bCs/>
        </w:rPr>
        <w:t>Rehabilitation Council of Texas</w:t>
      </w:r>
      <w:r w:rsidRPr="00DF3959">
        <w:t> </w:t>
      </w:r>
    </w:p>
    <w:p w14:paraId="07D4A44B" w14:textId="77777777" w:rsidR="00DF3959" w:rsidRPr="00DF3959" w:rsidRDefault="00DF3959" w:rsidP="00DF3959">
      <w:pPr>
        <w:pStyle w:val="BodyText"/>
      </w:pPr>
      <w:r w:rsidRPr="00DF3959">
        <w:t>The Rehabilitation Council of Texas (RCT), appointed by the governor, advises the VR program on policy, scope, and effectiveness of services. RCT is federally mandated by the Rehabilitation Act of 1973, as amended by the Workforce Innovation and Opportunity Act, and helps to ensure that Texans with disabilities have access to effective VR services that result in competitive integrated employment, greater independence, and community participation. Bylaws to support this goal govern RCT. </w:t>
      </w:r>
    </w:p>
    <w:p w14:paraId="7D8C7582" w14:textId="77777777" w:rsidR="00DF3959" w:rsidRPr="00DF3959" w:rsidRDefault="00DF3959" w:rsidP="00994068">
      <w:pPr>
        <w:pStyle w:val="BodyText3"/>
        <w:ind w:left="720" w:hanging="720"/>
      </w:pPr>
      <w:r w:rsidRPr="00DF3959">
        <w:t>G.</w:t>
      </w:r>
      <w:r w:rsidRPr="00DF3959">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DF3959">
        <w:rPr>
          <w:i/>
          <w:iCs/>
        </w:rPr>
        <w:t>(If you have already submitted funding source info through the “Agency Program Information” spreadsheet, please limit your response to funding formulas or funding conventions.)</w:t>
      </w:r>
      <w:r w:rsidRPr="00DF3959">
        <w:t> </w:t>
      </w:r>
    </w:p>
    <w:tbl>
      <w:tblPr>
        <w:tblStyle w:val="TableGrid1"/>
        <w:tblW w:w="9360" w:type="dxa"/>
        <w:tblCellMar>
          <w:top w:w="58" w:type="dxa"/>
          <w:bottom w:w="58" w:type="dxa"/>
        </w:tblCellMar>
        <w:tblLook w:val="04A0" w:firstRow="1" w:lastRow="0" w:firstColumn="1" w:lastColumn="0" w:noHBand="0" w:noVBand="1"/>
      </w:tblPr>
      <w:tblGrid>
        <w:gridCol w:w="3775"/>
        <w:gridCol w:w="2155"/>
        <w:gridCol w:w="1712"/>
        <w:gridCol w:w="1718"/>
      </w:tblGrid>
      <w:tr w:rsidR="00766506" w:rsidRPr="00DD472E" w14:paraId="26E49F66" w14:textId="77777777" w:rsidTr="002D5491">
        <w:trPr>
          <w:trHeight w:val="288"/>
          <w:tblHeader/>
        </w:trPr>
        <w:tc>
          <w:tcPr>
            <w:tcW w:w="3775" w:type="dxa"/>
            <w:shd w:val="clear" w:color="auto" w:fill="B8CCE4" w:themeFill="accent1" w:themeFillTint="66"/>
            <w:vAlign w:val="center"/>
            <w:hideMark/>
          </w:tcPr>
          <w:p w14:paraId="3F8900C7" w14:textId="77777777" w:rsidR="00766506" w:rsidRPr="00DD472E" w:rsidRDefault="00766506" w:rsidP="00766506">
            <w:pPr>
              <w:pStyle w:val="TableHeaders"/>
              <w:rPr>
                <w:color w:val="000000"/>
              </w:rPr>
            </w:pPr>
            <w:r w:rsidRPr="00DD472E">
              <w:t>Program or Function Detail Description</w:t>
            </w:r>
          </w:p>
        </w:tc>
        <w:tc>
          <w:tcPr>
            <w:tcW w:w="2645" w:type="dxa"/>
            <w:shd w:val="clear" w:color="auto" w:fill="B8CCE4" w:themeFill="accent1" w:themeFillTint="66"/>
            <w:vAlign w:val="center"/>
            <w:hideMark/>
          </w:tcPr>
          <w:p w14:paraId="05EFBA99" w14:textId="77777777" w:rsidR="00766506" w:rsidRPr="00DD472E" w:rsidRDefault="00766506" w:rsidP="00766506">
            <w:pPr>
              <w:pStyle w:val="TableHeaders"/>
              <w:rPr>
                <w:color w:val="000000"/>
              </w:rPr>
            </w:pPr>
            <w:r w:rsidRPr="00DD472E">
              <w:t>Total FY 2024</w:t>
            </w:r>
          </w:p>
        </w:tc>
        <w:tc>
          <w:tcPr>
            <w:tcW w:w="1920" w:type="dxa"/>
            <w:shd w:val="clear" w:color="auto" w:fill="B8CCE4" w:themeFill="accent1" w:themeFillTint="66"/>
            <w:vAlign w:val="center"/>
            <w:hideMark/>
          </w:tcPr>
          <w:p w14:paraId="58D62D10" w14:textId="77777777" w:rsidR="00766506" w:rsidRPr="00DD472E" w:rsidRDefault="00766506" w:rsidP="00766506">
            <w:pPr>
              <w:pStyle w:val="TableHeaders"/>
              <w:rPr>
                <w:color w:val="000000"/>
              </w:rPr>
            </w:pPr>
            <w:r w:rsidRPr="00DD472E">
              <w:t>Federal Funding</w:t>
            </w:r>
          </w:p>
        </w:tc>
        <w:tc>
          <w:tcPr>
            <w:tcW w:w="2005" w:type="dxa"/>
            <w:shd w:val="clear" w:color="auto" w:fill="B8CCE4" w:themeFill="accent1" w:themeFillTint="66"/>
            <w:vAlign w:val="center"/>
            <w:hideMark/>
          </w:tcPr>
          <w:p w14:paraId="2B8BA278" w14:textId="77777777" w:rsidR="00766506" w:rsidRPr="00DD472E" w:rsidRDefault="00766506" w:rsidP="00766506">
            <w:pPr>
              <w:pStyle w:val="TableHeaders"/>
              <w:rPr>
                <w:color w:val="000000"/>
              </w:rPr>
            </w:pPr>
            <w:r w:rsidRPr="00DD472E">
              <w:t>State Funding</w:t>
            </w:r>
          </w:p>
        </w:tc>
      </w:tr>
      <w:tr w:rsidR="00766506" w:rsidRPr="00DD472E" w14:paraId="36DDF4CA" w14:textId="77777777" w:rsidTr="002D5491">
        <w:trPr>
          <w:trHeight w:val="288"/>
        </w:trPr>
        <w:tc>
          <w:tcPr>
            <w:tcW w:w="3775" w:type="dxa"/>
            <w:noWrap/>
            <w:vAlign w:val="center"/>
            <w:hideMark/>
          </w:tcPr>
          <w:p w14:paraId="2BC3E2AC" w14:textId="77777777" w:rsidR="00766506" w:rsidRPr="00DD472E" w:rsidRDefault="00766506" w:rsidP="002D5491">
            <w:pPr>
              <w:pStyle w:val="TableText"/>
            </w:pPr>
            <w:r w:rsidRPr="00DD472E">
              <w:t>Vocational Rehabilitation (VR) Services</w:t>
            </w:r>
          </w:p>
        </w:tc>
        <w:tc>
          <w:tcPr>
            <w:tcW w:w="2645" w:type="dxa"/>
            <w:vAlign w:val="center"/>
            <w:hideMark/>
          </w:tcPr>
          <w:p w14:paraId="14DBB96D" w14:textId="076E2B7E" w:rsidR="00766506" w:rsidRPr="00DD472E" w:rsidRDefault="00766506" w:rsidP="002D5491">
            <w:pPr>
              <w:pStyle w:val="TableText"/>
              <w:jc w:val="right"/>
            </w:pPr>
            <w:r w:rsidRPr="00DD472E">
              <w:t xml:space="preserve">303,879,211 </w:t>
            </w:r>
          </w:p>
        </w:tc>
        <w:tc>
          <w:tcPr>
            <w:tcW w:w="1920" w:type="dxa"/>
            <w:vAlign w:val="center"/>
            <w:hideMark/>
          </w:tcPr>
          <w:p w14:paraId="4C655560" w14:textId="6DEF3AC1" w:rsidR="00766506" w:rsidRPr="00DD472E" w:rsidRDefault="00766506" w:rsidP="002D5491">
            <w:pPr>
              <w:pStyle w:val="TableText"/>
              <w:jc w:val="right"/>
            </w:pPr>
            <w:r w:rsidRPr="00DD472E">
              <w:t xml:space="preserve">236,657,794 </w:t>
            </w:r>
          </w:p>
        </w:tc>
        <w:tc>
          <w:tcPr>
            <w:tcW w:w="2005" w:type="dxa"/>
            <w:vAlign w:val="center"/>
            <w:hideMark/>
          </w:tcPr>
          <w:p w14:paraId="6689285A" w14:textId="0F7BC337" w:rsidR="00766506" w:rsidRPr="00DD472E" w:rsidRDefault="00766506" w:rsidP="002D5491">
            <w:pPr>
              <w:pStyle w:val="TableText"/>
              <w:jc w:val="right"/>
            </w:pPr>
            <w:r w:rsidRPr="00DD472E">
              <w:t xml:space="preserve">67,221,417 </w:t>
            </w:r>
          </w:p>
        </w:tc>
      </w:tr>
      <w:tr w:rsidR="00766506" w:rsidRPr="00DD472E" w14:paraId="7D7E08D4" w14:textId="77777777" w:rsidTr="002D5491">
        <w:trPr>
          <w:trHeight w:val="288"/>
        </w:trPr>
        <w:tc>
          <w:tcPr>
            <w:tcW w:w="3775" w:type="dxa"/>
            <w:noWrap/>
            <w:vAlign w:val="center"/>
            <w:hideMark/>
          </w:tcPr>
          <w:p w14:paraId="7C04B907" w14:textId="77777777" w:rsidR="00766506" w:rsidRPr="00DD472E" w:rsidRDefault="00766506" w:rsidP="002D5491">
            <w:pPr>
              <w:pStyle w:val="TableText"/>
            </w:pPr>
            <w:r w:rsidRPr="00DD472E">
              <w:t>Office of Blind Services</w:t>
            </w:r>
          </w:p>
        </w:tc>
        <w:tc>
          <w:tcPr>
            <w:tcW w:w="2645" w:type="dxa"/>
            <w:vAlign w:val="center"/>
            <w:hideMark/>
          </w:tcPr>
          <w:p w14:paraId="5C3B44F7" w14:textId="127CB18F" w:rsidR="00766506" w:rsidRPr="00DD472E" w:rsidRDefault="00766506" w:rsidP="002D5491">
            <w:pPr>
              <w:pStyle w:val="TableText"/>
              <w:jc w:val="right"/>
            </w:pPr>
            <w:r w:rsidRPr="00DD472E">
              <w:t xml:space="preserve">4,315,497 </w:t>
            </w:r>
          </w:p>
        </w:tc>
        <w:tc>
          <w:tcPr>
            <w:tcW w:w="1920" w:type="dxa"/>
            <w:vAlign w:val="center"/>
            <w:hideMark/>
          </w:tcPr>
          <w:p w14:paraId="68D1A8A5" w14:textId="473752A7" w:rsidR="00766506" w:rsidRPr="00DD472E" w:rsidRDefault="00766506" w:rsidP="002D5491">
            <w:pPr>
              <w:pStyle w:val="TableText"/>
              <w:jc w:val="right"/>
            </w:pPr>
            <w:r w:rsidRPr="00DD472E">
              <w:t xml:space="preserve">3,786,657 </w:t>
            </w:r>
          </w:p>
        </w:tc>
        <w:tc>
          <w:tcPr>
            <w:tcW w:w="2005" w:type="dxa"/>
            <w:vAlign w:val="center"/>
            <w:hideMark/>
          </w:tcPr>
          <w:p w14:paraId="4E3FB7E1" w14:textId="1BFAF6FA" w:rsidR="00766506" w:rsidRPr="00DD472E" w:rsidRDefault="00766506" w:rsidP="002D5491">
            <w:pPr>
              <w:pStyle w:val="TableText"/>
              <w:jc w:val="right"/>
            </w:pPr>
            <w:r w:rsidRPr="00DD472E">
              <w:t xml:space="preserve">528,840 </w:t>
            </w:r>
          </w:p>
        </w:tc>
      </w:tr>
      <w:tr w:rsidR="00766506" w:rsidRPr="00DD472E" w14:paraId="18E938C7" w14:textId="77777777" w:rsidTr="002D5491">
        <w:trPr>
          <w:trHeight w:val="288"/>
        </w:trPr>
        <w:tc>
          <w:tcPr>
            <w:tcW w:w="3775" w:type="dxa"/>
            <w:noWrap/>
            <w:vAlign w:val="center"/>
            <w:hideMark/>
          </w:tcPr>
          <w:p w14:paraId="6725A1E7" w14:textId="77777777" w:rsidR="00766506" w:rsidRPr="00DD472E" w:rsidRDefault="00766506" w:rsidP="002D5491">
            <w:pPr>
              <w:pStyle w:val="TableText"/>
            </w:pPr>
            <w:r w:rsidRPr="00DD472E">
              <w:t>VR Disability Innovation Fund</w:t>
            </w:r>
          </w:p>
        </w:tc>
        <w:tc>
          <w:tcPr>
            <w:tcW w:w="2645" w:type="dxa"/>
            <w:vAlign w:val="center"/>
            <w:hideMark/>
          </w:tcPr>
          <w:p w14:paraId="29C1028C" w14:textId="0AD1282E" w:rsidR="00766506" w:rsidRPr="00DD472E" w:rsidRDefault="00766506" w:rsidP="002D5491">
            <w:pPr>
              <w:pStyle w:val="TableText"/>
              <w:jc w:val="right"/>
            </w:pPr>
            <w:r w:rsidRPr="00DD472E">
              <w:t xml:space="preserve">138,003 </w:t>
            </w:r>
          </w:p>
        </w:tc>
        <w:tc>
          <w:tcPr>
            <w:tcW w:w="1920" w:type="dxa"/>
            <w:vAlign w:val="center"/>
            <w:hideMark/>
          </w:tcPr>
          <w:p w14:paraId="6C8B705A" w14:textId="78E8E435" w:rsidR="00766506" w:rsidRPr="00DD472E" w:rsidRDefault="00766506" w:rsidP="002D5491">
            <w:pPr>
              <w:pStyle w:val="TableText"/>
              <w:jc w:val="right"/>
            </w:pPr>
            <w:r w:rsidRPr="00DD472E">
              <w:t xml:space="preserve">138,003 </w:t>
            </w:r>
          </w:p>
        </w:tc>
        <w:tc>
          <w:tcPr>
            <w:tcW w:w="2005" w:type="dxa"/>
            <w:vAlign w:val="center"/>
            <w:hideMark/>
          </w:tcPr>
          <w:p w14:paraId="3C620F14" w14:textId="77777777" w:rsidR="00766506" w:rsidRPr="00DD472E" w:rsidRDefault="00766506" w:rsidP="002D5491">
            <w:pPr>
              <w:pStyle w:val="TableText"/>
              <w:jc w:val="right"/>
            </w:pPr>
            <w:r w:rsidRPr="00DD472E">
              <w:t>0 </w:t>
            </w:r>
          </w:p>
        </w:tc>
      </w:tr>
      <w:tr w:rsidR="00766506" w:rsidRPr="00DD472E" w14:paraId="5F85D023" w14:textId="77777777" w:rsidTr="002D5491">
        <w:trPr>
          <w:trHeight w:val="564"/>
        </w:trPr>
        <w:tc>
          <w:tcPr>
            <w:tcW w:w="3775" w:type="dxa"/>
            <w:vAlign w:val="center"/>
            <w:hideMark/>
          </w:tcPr>
          <w:p w14:paraId="4633DAD9" w14:textId="77777777" w:rsidR="00766506" w:rsidRPr="00DD472E" w:rsidRDefault="00766506" w:rsidP="002D5491">
            <w:pPr>
              <w:pStyle w:val="TableText"/>
            </w:pPr>
            <w:r w:rsidRPr="00DD472E">
              <w:t>Pre-Employment Transition Services (Pre-ETS)</w:t>
            </w:r>
          </w:p>
        </w:tc>
        <w:tc>
          <w:tcPr>
            <w:tcW w:w="2645" w:type="dxa"/>
            <w:vAlign w:val="center"/>
            <w:hideMark/>
          </w:tcPr>
          <w:p w14:paraId="4E5F8548" w14:textId="134D13BC" w:rsidR="00766506" w:rsidRPr="00DD472E" w:rsidRDefault="00766506" w:rsidP="002D5491">
            <w:pPr>
              <w:pStyle w:val="TableText"/>
              <w:jc w:val="right"/>
            </w:pPr>
            <w:r w:rsidRPr="00DD472E">
              <w:t xml:space="preserve">52,909,734 </w:t>
            </w:r>
          </w:p>
        </w:tc>
        <w:tc>
          <w:tcPr>
            <w:tcW w:w="1920" w:type="dxa"/>
            <w:vAlign w:val="center"/>
            <w:hideMark/>
          </w:tcPr>
          <w:p w14:paraId="4188FBD0" w14:textId="24A9C706" w:rsidR="00766506" w:rsidRPr="00DD472E" w:rsidRDefault="00766506" w:rsidP="002D5491">
            <w:pPr>
              <w:pStyle w:val="TableText"/>
              <w:jc w:val="right"/>
            </w:pPr>
            <w:r w:rsidRPr="00DD472E">
              <w:t xml:space="preserve">52,909,734 </w:t>
            </w:r>
          </w:p>
        </w:tc>
        <w:tc>
          <w:tcPr>
            <w:tcW w:w="2005" w:type="dxa"/>
            <w:vAlign w:val="center"/>
            <w:hideMark/>
          </w:tcPr>
          <w:p w14:paraId="3F31408A" w14:textId="77777777" w:rsidR="00766506" w:rsidRPr="00DD472E" w:rsidRDefault="00766506" w:rsidP="002D5491">
            <w:pPr>
              <w:pStyle w:val="TableText"/>
              <w:jc w:val="right"/>
            </w:pPr>
            <w:r w:rsidRPr="00DD472E">
              <w:t>0 </w:t>
            </w:r>
          </w:p>
        </w:tc>
      </w:tr>
      <w:tr w:rsidR="00766506" w:rsidRPr="00DD472E" w14:paraId="02D96F55" w14:textId="77777777" w:rsidTr="002D5491">
        <w:trPr>
          <w:trHeight w:val="288"/>
        </w:trPr>
        <w:tc>
          <w:tcPr>
            <w:tcW w:w="3775" w:type="dxa"/>
            <w:vAlign w:val="center"/>
            <w:hideMark/>
          </w:tcPr>
          <w:p w14:paraId="2B8EBF09" w14:textId="77777777" w:rsidR="00766506" w:rsidRPr="00DD472E" w:rsidRDefault="00766506" w:rsidP="002D5491">
            <w:pPr>
              <w:pStyle w:val="TableText"/>
            </w:pPr>
            <w:r w:rsidRPr="00DD472E">
              <w:t>Summer Earn &amp; Learn</w:t>
            </w:r>
          </w:p>
        </w:tc>
        <w:tc>
          <w:tcPr>
            <w:tcW w:w="2645" w:type="dxa"/>
            <w:vAlign w:val="center"/>
            <w:hideMark/>
          </w:tcPr>
          <w:p w14:paraId="1E437A76" w14:textId="312C0EF5" w:rsidR="00766506" w:rsidRPr="00DD472E" w:rsidRDefault="00766506" w:rsidP="002D5491">
            <w:pPr>
              <w:pStyle w:val="TableText"/>
              <w:jc w:val="right"/>
            </w:pPr>
            <w:r w:rsidRPr="00DD472E">
              <w:t xml:space="preserve">12,025,939 </w:t>
            </w:r>
          </w:p>
        </w:tc>
        <w:tc>
          <w:tcPr>
            <w:tcW w:w="1920" w:type="dxa"/>
            <w:vAlign w:val="center"/>
            <w:hideMark/>
          </w:tcPr>
          <w:p w14:paraId="1DBDD191" w14:textId="013D05B4" w:rsidR="00766506" w:rsidRPr="00DD472E" w:rsidRDefault="00766506" w:rsidP="002D5491">
            <w:pPr>
              <w:pStyle w:val="TableText"/>
              <w:jc w:val="right"/>
            </w:pPr>
            <w:r w:rsidRPr="00DD472E">
              <w:t xml:space="preserve">12,025,939 </w:t>
            </w:r>
          </w:p>
        </w:tc>
        <w:tc>
          <w:tcPr>
            <w:tcW w:w="2005" w:type="dxa"/>
            <w:vAlign w:val="center"/>
            <w:hideMark/>
          </w:tcPr>
          <w:p w14:paraId="161D7335" w14:textId="77777777" w:rsidR="00766506" w:rsidRPr="00DD472E" w:rsidRDefault="00766506" w:rsidP="002D5491">
            <w:pPr>
              <w:pStyle w:val="TableText"/>
              <w:jc w:val="right"/>
            </w:pPr>
            <w:r w:rsidRPr="00DD472E">
              <w:t>0 </w:t>
            </w:r>
          </w:p>
        </w:tc>
      </w:tr>
      <w:tr w:rsidR="00766506" w:rsidRPr="00DD472E" w14:paraId="31798D38" w14:textId="77777777" w:rsidTr="002D5491">
        <w:trPr>
          <w:trHeight w:val="288"/>
        </w:trPr>
        <w:tc>
          <w:tcPr>
            <w:tcW w:w="3775" w:type="dxa"/>
            <w:vAlign w:val="center"/>
            <w:hideMark/>
          </w:tcPr>
          <w:p w14:paraId="6A90B065" w14:textId="77777777" w:rsidR="00766506" w:rsidRPr="00DD472E" w:rsidRDefault="00766506" w:rsidP="002D5491">
            <w:pPr>
              <w:pStyle w:val="TableText"/>
            </w:pPr>
            <w:r w:rsidRPr="00DD472E">
              <w:t xml:space="preserve">Student </w:t>
            </w:r>
            <w:proofErr w:type="spellStart"/>
            <w:r w:rsidRPr="00DD472E">
              <w:t>HireAbility</w:t>
            </w:r>
            <w:proofErr w:type="spellEnd"/>
            <w:r w:rsidRPr="00DD472E">
              <w:t xml:space="preserve"> Navigators</w:t>
            </w:r>
          </w:p>
        </w:tc>
        <w:tc>
          <w:tcPr>
            <w:tcW w:w="2645" w:type="dxa"/>
            <w:vAlign w:val="center"/>
            <w:hideMark/>
          </w:tcPr>
          <w:p w14:paraId="4BCC0C74" w14:textId="48B438C9" w:rsidR="00766506" w:rsidRPr="00DD472E" w:rsidRDefault="00766506" w:rsidP="002D5491">
            <w:pPr>
              <w:pStyle w:val="TableText"/>
              <w:jc w:val="right"/>
            </w:pPr>
            <w:r w:rsidRPr="00DD472E">
              <w:t xml:space="preserve">3,842,000 </w:t>
            </w:r>
          </w:p>
        </w:tc>
        <w:tc>
          <w:tcPr>
            <w:tcW w:w="1920" w:type="dxa"/>
            <w:vAlign w:val="center"/>
            <w:hideMark/>
          </w:tcPr>
          <w:p w14:paraId="6E068EFC" w14:textId="4962A846" w:rsidR="00766506" w:rsidRPr="00DD472E" w:rsidRDefault="00766506" w:rsidP="002D5491">
            <w:pPr>
              <w:pStyle w:val="TableText"/>
              <w:jc w:val="right"/>
            </w:pPr>
            <w:r w:rsidRPr="00DD472E">
              <w:t xml:space="preserve">3,842,000 </w:t>
            </w:r>
          </w:p>
        </w:tc>
        <w:tc>
          <w:tcPr>
            <w:tcW w:w="2005" w:type="dxa"/>
            <w:vAlign w:val="center"/>
            <w:hideMark/>
          </w:tcPr>
          <w:p w14:paraId="0CA85961" w14:textId="77777777" w:rsidR="00766506" w:rsidRPr="00DD472E" w:rsidRDefault="00766506" w:rsidP="002D5491">
            <w:pPr>
              <w:pStyle w:val="TableText"/>
              <w:jc w:val="right"/>
            </w:pPr>
            <w:r w:rsidRPr="00DD472E">
              <w:t>0 </w:t>
            </w:r>
          </w:p>
        </w:tc>
      </w:tr>
      <w:tr w:rsidR="00766506" w:rsidRPr="00DD472E" w14:paraId="7B549108" w14:textId="77777777" w:rsidTr="002D5491">
        <w:trPr>
          <w:trHeight w:val="564"/>
        </w:trPr>
        <w:tc>
          <w:tcPr>
            <w:tcW w:w="3775" w:type="dxa"/>
            <w:vAlign w:val="center"/>
            <w:hideMark/>
          </w:tcPr>
          <w:p w14:paraId="1F2B72EA" w14:textId="77777777" w:rsidR="00766506" w:rsidRPr="00DD472E" w:rsidRDefault="00766506" w:rsidP="002D5491">
            <w:pPr>
              <w:pStyle w:val="TableText"/>
            </w:pPr>
            <w:r w:rsidRPr="00DD472E">
              <w:t>Social Security Administration's VR Cost Reimbursement Program (SSAVR)</w:t>
            </w:r>
          </w:p>
        </w:tc>
        <w:tc>
          <w:tcPr>
            <w:tcW w:w="2645" w:type="dxa"/>
            <w:vAlign w:val="center"/>
            <w:hideMark/>
          </w:tcPr>
          <w:p w14:paraId="60E43F1E" w14:textId="00254915" w:rsidR="00766506" w:rsidRPr="00DD472E" w:rsidRDefault="00766506" w:rsidP="002D5491">
            <w:pPr>
              <w:pStyle w:val="TableText"/>
              <w:jc w:val="right"/>
            </w:pPr>
            <w:r w:rsidRPr="00DD472E">
              <w:t xml:space="preserve">18,039,741 </w:t>
            </w:r>
          </w:p>
        </w:tc>
        <w:tc>
          <w:tcPr>
            <w:tcW w:w="1920" w:type="dxa"/>
            <w:vAlign w:val="center"/>
            <w:hideMark/>
          </w:tcPr>
          <w:p w14:paraId="2F564002" w14:textId="05017DAE" w:rsidR="00766506" w:rsidRPr="00DD472E" w:rsidRDefault="00766506" w:rsidP="002D5491">
            <w:pPr>
              <w:pStyle w:val="TableText"/>
              <w:jc w:val="right"/>
            </w:pPr>
            <w:r w:rsidRPr="00DD472E">
              <w:t xml:space="preserve">18,039,741 </w:t>
            </w:r>
          </w:p>
        </w:tc>
        <w:tc>
          <w:tcPr>
            <w:tcW w:w="2005" w:type="dxa"/>
            <w:vAlign w:val="center"/>
            <w:hideMark/>
          </w:tcPr>
          <w:p w14:paraId="1AE26BF7" w14:textId="77777777" w:rsidR="00766506" w:rsidRPr="00DD472E" w:rsidRDefault="00766506" w:rsidP="002D5491">
            <w:pPr>
              <w:pStyle w:val="TableText"/>
              <w:jc w:val="right"/>
            </w:pPr>
            <w:r w:rsidRPr="00DD472E">
              <w:t>0 </w:t>
            </w:r>
          </w:p>
        </w:tc>
      </w:tr>
      <w:tr w:rsidR="00766506" w:rsidRPr="00DD472E" w14:paraId="2405817E" w14:textId="77777777" w:rsidTr="002D5491">
        <w:trPr>
          <w:trHeight w:val="288"/>
        </w:trPr>
        <w:tc>
          <w:tcPr>
            <w:tcW w:w="3775" w:type="dxa"/>
            <w:vAlign w:val="center"/>
            <w:hideMark/>
          </w:tcPr>
          <w:p w14:paraId="764CE9D9" w14:textId="77777777" w:rsidR="00766506" w:rsidRPr="00DD472E" w:rsidRDefault="00766506" w:rsidP="002D5491">
            <w:pPr>
              <w:rPr>
                <w:rFonts w:ascii="Arial" w:eastAsia="Times New Roman" w:hAnsi="Arial" w:cs="Arial"/>
                <w:color w:val="000000"/>
                <w:kern w:val="0"/>
                <w:sz w:val="20"/>
                <w:szCs w:val="20"/>
              </w:rPr>
            </w:pPr>
            <w:r w:rsidRPr="00DD472E">
              <w:rPr>
                <w:rFonts w:ascii="Arial" w:eastAsia="Times New Roman" w:hAnsi="Arial" w:cs="Arial"/>
                <w:color w:val="000000"/>
                <w:kern w:val="0"/>
                <w:sz w:val="20"/>
                <w:szCs w:val="20"/>
              </w:rPr>
              <w:t>Criss Cole Rehab Center</w:t>
            </w:r>
          </w:p>
        </w:tc>
        <w:tc>
          <w:tcPr>
            <w:tcW w:w="2645" w:type="dxa"/>
            <w:vAlign w:val="center"/>
            <w:hideMark/>
          </w:tcPr>
          <w:p w14:paraId="7FB4131A" w14:textId="71A83739" w:rsidR="00766506" w:rsidRPr="00DD472E" w:rsidRDefault="00766506" w:rsidP="002D5491">
            <w:pPr>
              <w:jc w:val="right"/>
              <w:rPr>
                <w:rFonts w:ascii="Arial" w:eastAsia="Times New Roman" w:hAnsi="Arial" w:cs="Arial"/>
                <w:color w:val="000000"/>
                <w:kern w:val="0"/>
                <w:sz w:val="20"/>
                <w:szCs w:val="20"/>
              </w:rPr>
            </w:pPr>
            <w:r w:rsidRPr="00DD472E">
              <w:rPr>
                <w:rFonts w:ascii="Arial" w:eastAsia="Times New Roman" w:hAnsi="Arial" w:cs="Arial"/>
                <w:color w:val="000000"/>
                <w:kern w:val="0"/>
                <w:sz w:val="20"/>
                <w:szCs w:val="20"/>
              </w:rPr>
              <w:t xml:space="preserve">5,598,910 </w:t>
            </w:r>
          </w:p>
        </w:tc>
        <w:tc>
          <w:tcPr>
            <w:tcW w:w="1920" w:type="dxa"/>
            <w:vAlign w:val="center"/>
            <w:hideMark/>
          </w:tcPr>
          <w:p w14:paraId="3A4DD497" w14:textId="20555B5C" w:rsidR="00766506" w:rsidRPr="00DD472E" w:rsidRDefault="00766506" w:rsidP="002D5491">
            <w:pPr>
              <w:jc w:val="right"/>
              <w:rPr>
                <w:rFonts w:ascii="Arial" w:eastAsia="Times New Roman" w:hAnsi="Arial" w:cs="Arial"/>
                <w:color w:val="000000"/>
                <w:kern w:val="0"/>
                <w:sz w:val="20"/>
                <w:szCs w:val="20"/>
              </w:rPr>
            </w:pPr>
            <w:r w:rsidRPr="00DD472E">
              <w:rPr>
                <w:rFonts w:ascii="Arial" w:eastAsia="Times New Roman" w:hAnsi="Arial" w:cs="Arial"/>
                <w:color w:val="000000"/>
                <w:kern w:val="0"/>
                <w:sz w:val="20"/>
                <w:szCs w:val="20"/>
              </w:rPr>
              <w:t xml:space="preserve">4,132,079 </w:t>
            </w:r>
          </w:p>
        </w:tc>
        <w:tc>
          <w:tcPr>
            <w:tcW w:w="2005" w:type="dxa"/>
            <w:vAlign w:val="center"/>
            <w:hideMark/>
          </w:tcPr>
          <w:p w14:paraId="56E18058" w14:textId="1FBFF4F3" w:rsidR="00766506" w:rsidRPr="00DD472E" w:rsidRDefault="00766506" w:rsidP="002D5491">
            <w:pPr>
              <w:jc w:val="right"/>
              <w:rPr>
                <w:rFonts w:ascii="Arial" w:eastAsia="Times New Roman" w:hAnsi="Arial" w:cs="Arial"/>
                <w:color w:val="000000"/>
                <w:kern w:val="0"/>
                <w:sz w:val="20"/>
                <w:szCs w:val="20"/>
              </w:rPr>
            </w:pPr>
            <w:r w:rsidRPr="00DD472E">
              <w:rPr>
                <w:rFonts w:ascii="Arial" w:eastAsia="Times New Roman" w:hAnsi="Arial" w:cs="Arial"/>
                <w:color w:val="000000"/>
                <w:kern w:val="0"/>
                <w:sz w:val="20"/>
                <w:szCs w:val="20"/>
              </w:rPr>
              <w:t xml:space="preserve">1,466,830 </w:t>
            </w:r>
          </w:p>
        </w:tc>
      </w:tr>
      <w:tr w:rsidR="00F3692A" w:rsidRPr="00DD472E" w14:paraId="37823A07" w14:textId="77777777" w:rsidTr="002D5491">
        <w:trPr>
          <w:trHeight w:val="288"/>
        </w:trPr>
        <w:tc>
          <w:tcPr>
            <w:tcW w:w="3775" w:type="dxa"/>
            <w:vAlign w:val="center"/>
          </w:tcPr>
          <w:p w14:paraId="3E8B0029" w14:textId="5F567448" w:rsidR="00F3692A" w:rsidRPr="00DD472E" w:rsidRDefault="00F3692A" w:rsidP="002D5491">
            <w:pPr>
              <w:rPr>
                <w:rFonts w:ascii="Arial" w:eastAsia="Times New Roman" w:hAnsi="Arial" w:cs="Arial"/>
                <w:color w:val="000000"/>
                <w:kern w:val="0"/>
                <w:sz w:val="20"/>
                <w:szCs w:val="20"/>
              </w:rPr>
            </w:pPr>
            <w:r>
              <w:rPr>
                <w:rFonts w:ascii="Arial" w:eastAsia="Times New Roman" w:hAnsi="Arial" w:cs="Arial"/>
                <w:color w:val="000000"/>
                <w:kern w:val="0"/>
                <w:sz w:val="20"/>
                <w:szCs w:val="20"/>
              </w:rPr>
              <w:t>Total</w:t>
            </w:r>
          </w:p>
        </w:tc>
        <w:tc>
          <w:tcPr>
            <w:tcW w:w="2645" w:type="dxa"/>
            <w:vAlign w:val="center"/>
          </w:tcPr>
          <w:p w14:paraId="7591EEC5" w14:textId="65AC9150" w:rsidR="00F3692A" w:rsidRPr="00DD472E" w:rsidRDefault="00F3692A" w:rsidP="002D5491">
            <w:pPr>
              <w:jc w:val="right"/>
              <w:rPr>
                <w:rFonts w:ascii="Arial" w:eastAsia="Times New Roman" w:hAnsi="Arial" w:cs="Arial"/>
                <w:color w:val="000000"/>
                <w:kern w:val="0"/>
                <w:sz w:val="20"/>
                <w:szCs w:val="20"/>
              </w:rPr>
            </w:pPr>
            <w:r>
              <w:rPr>
                <w:rFonts w:ascii="Arial" w:eastAsia="Times New Roman" w:hAnsi="Arial" w:cs="Arial"/>
                <w:color w:val="000000"/>
                <w:kern w:val="0"/>
                <w:sz w:val="20"/>
                <w:szCs w:val="20"/>
              </w:rPr>
              <w:t>400,749,035</w:t>
            </w:r>
          </w:p>
        </w:tc>
        <w:tc>
          <w:tcPr>
            <w:tcW w:w="1920" w:type="dxa"/>
            <w:vAlign w:val="center"/>
          </w:tcPr>
          <w:p w14:paraId="7A81FF83" w14:textId="6D04A640" w:rsidR="00F3692A" w:rsidRPr="00DD472E" w:rsidRDefault="000010CF" w:rsidP="002D5491">
            <w:pPr>
              <w:jc w:val="right"/>
              <w:rPr>
                <w:rFonts w:ascii="Arial" w:eastAsia="Times New Roman" w:hAnsi="Arial" w:cs="Arial"/>
                <w:color w:val="000000"/>
                <w:kern w:val="0"/>
                <w:sz w:val="20"/>
                <w:szCs w:val="20"/>
              </w:rPr>
            </w:pPr>
            <w:r>
              <w:rPr>
                <w:rFonts w:ascii="Arial" w:eastAsia="Times New Roman" w:hAnsi="Arial" w:cs="Arial"/>
                <w:color w:val="000000"/>
                <w:kern w:val="0"/>
                <w:sz w:val="20"/>
                <w:szCs w:val="20"/>
              </w:rPr>
              <w:t>331,531,947</w:t>
            </w:r>
          </w:p>
        </w:tc>
        <w:tc>
          <w:tcPr>
            <w:tcW w:w="2005" w:type="dxa"/>
            <w:vAlign w:val="center"/>
          </w:tcPr>
          <w:p w14:paraId="68343FD8" w14:textId="518D98FB" w:rsidR="00F3692A" w:rsidRPr="00DD472E" w:rsidRDefault="000010CF" w:rsidP="002D5491">
            <w:pPr>
              <w:jc w:val="right"/>
              <w:rPr>
                <w:rFonts w:ascii="Arial" w:eastAsia="Times New Roman" w:hAnsi="Arial" w:cs="Arial"/>
                <w:color w:val="000000"/>
                <w:kern w:val="0"/>
                <w:sz w:val="20"/>
                <w:szCs w:val="20"/>
              </w:rPr>
            </w:pPr>
            <w:r>
              <w:rPr>
                <w:rFonts w:ascii="Arial" w:eastAsia="Times New Roman" w:hAnsi="Arial" w:cs="Arial"/>
                <w:color w:val="000000"/>
                <w:kern w:val="0"/>
                <w:sz w:val="20"/>
                <w:szCs w:val="20"/>
              </w:rPr>
              <w:t>69,217,087</w:t>
            </w:r>
          </w:p>
        </w:tc>
      </w:tr>
    </w:tbl>
    <w:p w14:paraId="6BEC5001" w14:textId="77777777" w:rsidR="00DF3959" w:rsidRPr="00DF3959" w:rsidRDefault="00DF3959" w:rsidP="003F3304">
      <w:pPr>
        <w:pStyle w:val="BodyText"/>
        <w:ind w:left="720" w:hanging="720"/>
      </w:pPr>
      <w:r w:rsidRPr="00DF3959">
        <w:rPr>
          <w:b/>
          <w:bCs/>
        </w:rPr>
        <w:lastRenderedPageBreak/>
        <w:t>H.</w:t>
      </w:r>
      <w:r w:rsidRPr="00DF3959">
        <w:tab/>
      </w:r>
      <w:r w:rsidRPr="00DF3959">
        <w:rPr>
          <w:b/>
          <w:bCs/>
        </w:rP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r w:rsidRPr="00DF3959">
        <w:t> </w:t>
      </w:r>
    </w:p>
    <w:p w14:paraId="63C61E10" w14:textId="77777777" w:rsidR="00DF3959" w:rsidRPr="00DF3959" w:rsidRDefault="00DF3959" w:rsidP="00C64851">
      <w:pPr>
        <w:pStyle w:val="BodyText"/>
        <w:numPr>
          <w:ilvl w:val="0"/>
          <w:numId w:val="711"/>
        </w:numPr>
      </w:pPr>
      <w:r w:rsidRPr="00DF3959">
        <w:t xml:space="preserve">To avoid duplication or conflict, the TWC-VR has established memorandums of understanding (MOUs) or memorandums of agreement (MOA) with the following agencies. This information can be found in the </w:t>
      </w:r>
      <w:proofErr w:type="spellStart"/>
      <w:r w:rsidRPr="00FA0A53">
        <w:t>Exhibit_GAP_VR_MOU</w:t>
      </w:r>
      <w:proofErr w:type="spellEnd"/>
      <w:r w:rsidRPr="00FA0A53">
        <w:t>.</w:t>
      </w:r>
      <w:r w:rsidRPr="00DF3959">
        <w:t> </w:t>
      </w:r>
    </w:p>
    <w:p w14:paraId="31FC2F7A" w14:textId="5A33B922" w:rsidR="00DF3959" w:rsidRPr="00DF3959" w:rsidRDefault="00DF3959" w:rsidP="00C64851">
      <w:pPr>
        <w:pStyle w:val="BodyText"/>
        <w:numPr>
          <w:ilvl w:val="0"/>
          <w:numId w:val="712"/>
        </w:numPr>
      </w:pPr>
      <w:r w:rsidRPr="00DF3959">
        <w:t xml:space="preserve">Social Security Administration Ticket to Work and Employment </w:t>
      </w:r>
      <w:proofErr w:type="gramStart"/>
      <w:r w:rsidRPr="00DF3959">
        <w:t>Networks :</w:t>
      </w:r>
      <w:proofErr w:type="gramEnd"/>
      <w:r w:rsidRPr="00DF3959">
        <w:t xml:space="preserve"> </w:t>
      </w:r>
      <w:r w:rsidR="055B0428">
        <w:t>Employment Networks</w:t>
      </w:r>
      <w:r w:rsidRPr="00DF3959">
        <w:t xml:space="preserve"> are public or private entities that enter into an agreement with the Social Security Administration (SSA) to provide or coordinate the delivery of employment and/or other support services to Social Security disability beneficiaries who want to go to work. </w:t>
      </w:r>
    </w:p>
    <w:p w14:paraId="1048186B" w14:textId="77777777" w:rsidR="00DF3959" w:rsidRPr="00DF3959" w:rsidRDefault="00DF3959" w:rsidP="00C64851">
      <w:pPr>
        <w:pStyle w:val="BodyText"/>
        <w:numPr>
          <w:ilvl w:val="0"/>
          <w:numId w:val="713"/>
        </w:numPr>
      </w:pPr>
      <w:r w:rsidRPr="00DF3959">
        <w:t>Texas Health and Human Services Commission </w:t>
      </w:r>
    </w:p>
    <w:p w14:paraId="2457B9E6" w14:textId="77777777" w:rsidR="00DF3959" w:rsidRPr="00DF3959" w:rsidRDefault="00DF3959" w:rsidP="00C64851">
      <w:pPr>
        <w:pStyle w:val="BodyText"/>
        <w:numPr>
          <w:ilvl w:val="0"/>
          <w:numId w:val="714"/>
        </w:numPr>
      </w:pPr>
      <w:r w:rsidRPr="00DF3959">
        <w:t>Veterans Administration: A memorandum of agreement (MOA) between the agencies ensures that duplication does not occur. The MOA identifies overlap in services, the criteria for working jointly on cases, which agency has the lead in outlined demographic areas, and how information and resources are shared. </w:t>
      </w:r>
    </w:p>
    <w:p w14:paraId="547CE5BA" w14:textId="77777777" w:rsidR="00DF3959" w:rsidRPr="00DF3959" w:rsidRDefault="00DF3959" w:rsidP="003F3304">
      <w:pPr>
        <w:pStyle w:val="BodyText3"/>
        <w:ind w:left="720" w:hanging="720"/>
      </w:pPr>
      <w:r w:rsidRPr="00DF3959">
        <w:t>I.</w:t>
      </w:r>
      <w:r w:rsidRPr="00DF3959">
        <w:tab/>
        <w:t>If the division or program works with local, regional, or federal units of government, include a brief description of these entities and their relationship to the agency. </w:t>
      </w:r>
    </w:p>
    <w:p w14:paraId="693C9E4C" w14:textId="2548C25E" w:rsidR="00DF3959" w:rsidRPr="00DF3959" w:rsidRDefault="00DF3959" w:rsidP="00DF3959">
      <w:pPr>
        <w:pStyle w:val="BodyText"/>
      </w:pPr>
      <w:r w:rsidRPr="00DF3959">
        <w:t>VR collaborates with federal, state, and local agencies, as well as other public and nonprofit organizations, to achieve successful employment outcomes for its clients. These partnerships are crucial because all parties share a common goal: helping individuals find and maintain meaningful employment. </w:t>
      </w:r>
    </w:p>
    <w:p w14:paraId="5514C0F1" w14:textId="77777777" w:rsidR="00DF3959" w:rsidRPr="00DF3959" w:rsidRDefault="00DF3959" w:rsidP="003F3304">
      <w:pPr>
        <w:pStyle w:val="BodyText3"/>
      </w:pPr>
      <w:r w:rsidRPr="00DF3959">
        <w:t>Rehabilitation Services Administration </w:t>
      </w:r>
    </w:p>
    <w:p w14:paraId="183AB419" w14:textId="77777777" w:rsidR="00DF3959" w:rsidRPr="00DF3959" w:rsidRDefault="00DF3959" w:rsidP="00DF3959">
      <w:pPr>
        <w:pStyle w:val="BodyText"/>
      </w:pPr>
      <w:r w:rsidRPr="00DF3959">
        <w:t xml:space="preserve">The RSA, which is in the U.S. Department of Education, has federal oversight for each states VR programs. The RSAs formula grant program provides the federal match for the </w:t>
      </w:r>
      <w:hyperlink r:id="rId109" w:tgtFrame="_blank" w:history="1">
        <w:r w:rsidRPr="00DF3959">
          <w:rPr>
            <w:rStyle w:val="Hyperlink"/>
          </w:rPr>
          <w:t>VR</w:t>
        </w:r>
      </w:hyperlink>
      <w:r w:rsidRPr="00DF3959">
        <w:t>, </w:t>
      </w:r>
      <w:hyperlink r:id="rId110" w:tgtFrame="_blank" w:history="1">
        <w:r w:rsidRPr="00DF3959">
          <w:rPr>
            <w:rStyle w:val="Hyperlink"/>
          </w:rPr>
          <w:t>Supported Employment</w:t>
        </w:r>
      </w:hyperlink>
      <w:r w:rsidRPr="00DF3959">
        <w:t>, and </w:t>
      </w:r>
      <w:hyperlink r:id="rId111" w:tgtFrame="_blank" w:history="1">
        <w:r w:rsidRPr="00DF3959">
          <w:rPr>
            <w:rStyle w:val="Hyperlink"/>
          </w:rPr>
          <w:t>IL-OIB</w:t>
        </w:r>
      </w:hyperlink>
      <w:r w:rsidRPr="00DF3959">
        <w:t xml:space="preserve"> programs. VR submits an annual State Plan for VR Services, which RSA must approve before federal VR funds can be released to the state. VR also submits annual reports on information about VR customers. Further, throughout the year, RSA provides training and technical assistance in the administration of the VR programs. </w:t>
      </w:r>
    </w:p>
    <w:p w14:paraId="08D52B34" w14:textId="77777777" w:rsidR="00DF3959" w:rsidRPr="00DF3959" w:rsidRDefault="00DF3959" w:rsidP="003F3304">
      <w:pPr>
        <w:pStyle w:val="BodyText3"/>
      </w:pPr>
      <w:r w:rsidRPr="00DF3959">
        <w:t>Social Security Administration Ticket to Work and Employment Networks </w:t>
      </w:r>
    </w:p>
    <w:p w14:paraId="74E727A1" w14:textId="482E7608" w:rsidR="00DF3959" w:rsidRPr="00DF3959" w:rsidRDefault="00DF3959" w:rsidP="00DF3959">
      <w:pPr>
        <w:pStyle w:val="BodyText"/>
      </w:pPr>
      <w:r w:rsidRPr="00DF3959">
        <w:t xml:space="preserve">Ticket to Work regulations encourages partnerships between VR agencies and Employment Networks to meet the post-employment needs of many SSA disability beneficiaries. The SSA Ticket to Work Partnership Plus Program supports this service </w:t>
      </w:r>
      <w:r w:rsidRPr="00DF3959">
        <w:lastRenderedPageBreak/>
        <w:t>delivery model by allowing beneficiaries who require more extensive services, such as physical restoration or assistive technology, to obtain those “upfront” services from the VR agency. After a VR case is closed, the beneficiary has the option of working with an EN for job retention services or other long-term employment support services. In addition to improving the coordination of services between VR agencies and ENs, Partnership Plus increases the likelihood that more SSA disability beneficiaries will achieve self-supporting employment, thus decreasing the need to remain on the SSA’s benefit rolls. VR addresses services needed to prepare for and obtain employment, while the EN provides job retention and long-term support services to selective individuals. </w:t>
      </w:r>
    </w:p>
    <w:p w14:paraId="02C9ACC7" w14:textId="77777777" w:rsidR="00DF3959" w:rsidRPr="00DF3959" w:rsidRDefault="00DF3959" w:rsidP="003F3304">
      <w:pPr>
        <w:pStyle w:val="BodyText3"/>
      </w:pPr>
      <w:r w:rsidRPr="00DF3959">
        <w:t>Health and Human Services Commission </w:t>
      </w:r>
    </w:p>
    <w:p w14:paraId="32EDC5E3" w14:textId="336CD045" w:rsidR="00DF3959" w:rsidRPr="00DF3959" w:rsidRDefault="00DF3959" w:rsidP="00DF3959">
      <w:pPr>
        <w:pStyle w:val="BodyText"/>
      </w:pPr>
      <w:r w:rsidRPr="00DF3959">
        <w:t>HHSC provides home and community-based services under Medicaid, including waiver programs, Blind Children’s Program, Office for Deaf and Hard of Hearing Services, and Centers for Independent Living. </w:t>
      </w:r>
    </w:p>
    <w:p w14:paraId="70456B40" w14:textId="77777777" w:rsidR="00DF3959" w:rsidRPr="00DF3959" w:rsidRDefault="00DF3959" w:rsidP="00DF3959">
      <w:pPr>
        <w:pStyle w:val="BodyText"/>
      </w:pPr>
      <w:r w:rsidRPr="00DF3959">
        <w:t>While HHSC provides services to people with intellectual and developmental disabilities, physical disabilities and people who are older, VR provides services to persons with any type of disability. People with disabilities may access services from both agencies. Therefore, HHSC and VR work together to help individuals with disabilities achieve their employment goals. HHSC and VR differ in that HHSC provides long-term services and supports while VR provides time-limited services. Also, whereas HHSC provides supports to help individuals with of daily living like cooking, cleaning, participating in the community, bathing, eating, and dressing, VR provides services and supports to help people with disabilities get and keep a job. </w:t>
      </w:r>
    </w:p>
    <w:p w14:paraId="05297554" w14:textId="77777777" w:rsidR="00DF3959" w:rsidRPr="00DF3959" w:rsidRDefault="00DF3959" w:rsidP="003F3304">
      <w:pPr>
        <w:pStyle w:val="BodyText3"/>
      </w:pPr>
      <w:r w:rsidRPr="00DF3959">
        <w:t>Veterans Administration </w:t>
      </w:r>
    </w:p>
    <w:p w14:paraId="2286BBC8" w14:textId="77777777" w:rsidR="00DF3959" w:rsidRPr="00DF3959" w:rsidRDefault="00DF3959" w:rsidP="00DF3959">
      <w:pPr>
        <w:pStyle w:val="BodyText"/>
      </w:pPr>
      <w:r w:rsidRPr="00DF3959">
        <w:t>VR and the United States Veterans Administration (VA) offer similar services to disabled veterans. A memorandum of agreement (MOA) between the agencies ensures that duplication does not occur. The MOA identifies overlap in services, the criteria for working jointly on cases, which agency has the lead in outlined demographic areas, and how information and resources are shared. </w:t>
      </w:r>
    </w:p>
    <w:p w14:paraId="6D337C7F" w14:textId="77777777" w:rsidR="00DF3959" w:rsidRPr="00DF3959" w:rsidRDefault="00DF3959" w:rsidP="00DF3959">
      <w:pPr>
        <w:pStyle w:val="BodyText"/>
      </w:pPr>
      <w:r w:rsidRPr="00DF3959">
        <w:t xml:space="preserve">In many cases, VR customers who are veterans do not wish to obtain services from the federal government. Other veterans who were not injured in combat are limited as to what services they are eligible to receive from the VA. VR differs from the VA in that the VR Program serves individuals regardless of how and where they became disabled, </w:t>
      </w:r>
      <w:proofErr w:type="gramStart"/>
      <w:r w:rsidRPr="00DF3959">
        <w:t>as long as</w:t>
      </w:r>
      <w:proofErr w:type="gramEnd"/>
      <w:r w:rsidRPr="00DF3959">
        <w:t xml:space="preserve"> they meet eligibility criteria. </w:t>
      </w:r>
      <w:proofErr w:type="gramStart"/>
      <w:r w:rsidRPr="00DF3959">
        <w:t>A number of</w:t>
      </w:r>
      <w:proofErr w:type="gramEnd"/>
      <w:r w:rsidRPr="00DF3959">
        <w:t xml:space="preserve"> VR customers who are veterans are not eligible to receive services from the VA due to their discharge classification. If it were not for the program administered by VR, these veterans would not receive vital services for severe and complex disabilities. </w:t>
      </w:r>
    </w:p>
    <w:p w14:paraId="7941723B" w14:textId="77777777" w:rsidR="00DF3959" w:rsidRPr="00DF3959" w:rsidRDefault="00DF3959" w:rsidP="003F3304">
      <w:pPr>
        <w:pStyle w:val="BodyText3"/>
      </w:pPr>
      <w:r w:rsidRPr="00DF3959">
        <w:t>Local Workforce Development Boards </w:t>
      </w:r>
    </w:p>
    <w:p w14:paraId="5EC83C17" w14:textId="77777777" w:rsidR="00DF3959" w:rsidRPr="00DF3959" w:rsidRDefault="00DF3959" w:rsidP="00DF3959">
      <w:pPr>
        <w:pStyle w:val="BodyText"/>
      </w:pPr>
      <w:r w:rsidRPr="00DF3959">
        <w:lastRenderedPageBreak/>
        <w:t>Local Workforce Development Boards (LWDBs) provides job seekers with job-search resources. These LWBDs and VR collaborate at the state and local levels to ensure customers receive appropriate services on a timely basis. For example, after a VR-General customer completes necessary rehabilitation services, he or she can contact a local workforce center to obtain job leads. Also, LWDBs publish labor market information, which QVRCs use when discussing employment options with customers. </w:t>
      </w:r>
    </w:p>
    <w:p w14:paraId="60CAB0D0" w14:textId="77777777" w:rsidR="00DF3959" w:rsidRPr="00DF3959" w:rsidRDefault="00DF3959" w:rsidP="003F3304">
      <w:pPr>
        <w:pStyle w:val="BodyText3"/>
      </w:pPr>
      <w:r w:rsidRPr="00DF3959">
        <w:t>Community-Based Autism Services </w:t>
      </w:r>
    </w:p>
    <w:p w14:paraId="5AEE16AB" w14:textId="77777777" w:rsidR="00DF3959" w:rsidRPr="00DF3959" w:rsidRDefault="00DF3959" w:rsidP="00DF3959">
      <w:pPr>
        <w:pStyle w:val="BodyText"/>
      </w:pPr>
      <w:r w:rsidRPr="00DF3959">
        <w:t>The Autism Spectrum Disorder (ASD) population requires providers to have specific knowledge about the disorder or offer assessments and strategies that enable customers to be successful in employment. There are many private job-placement and supported employment agencies in the community, but none that specialize in providing services to individuals with ASD.  VR counselors consistently assess existing external benefits that the customer may be eligible to receive to avoid duplication of services. VR is creating the capacity to pull together best practice interventions and assessments to successfully place customers with ASD in competitive employment.  </w:t>
      </w:r>
    </w:p>
    <w:p w14:paraId="45CFED33" w14:textId="77777777" w:rsidR="00DF3959" w:rsidRPr="00DF3959" w:rsidRDefault="00DF3959" w:rsidP="003F3304">
      <w:pPr>
        <w:pStyle w:val="BodyText3"/>
      </w:pPr>
      <w:r w:rsidRPr="00DF3959">
        <w:t>Community Resource Coordination Groups  </w:t>
      </w:r>
    </w:p>
    <w:p w14:paraId="54CB98B7" w14:textId="77777777" w:rsidR="00DF3959" w:rsidRPr="00DF3959" w:rsidRDefault="00DF3959" w:rsidP="00DF3959">
      <w:pPr>
        <w:pStyle w:val="BodyText"/>
      </w:pPr>
      <w:r w:rsidRPr="00DF3959">
        <w:t>VR representatives participate in local Community Resource Coordination Groups (CRCGs) as required by S.B. 298, which became law in 1987. These groups develop service plans for individuals and families whose needs can be met only through interagency coordination and cooperation. In many communities, CRCGs identify service gaps in their area and help plan for appropriate resources to meet their clients’ needs.  </w:t>
      </w:r>
    </w:p>
    <w:p w14:paraId="3E843DB6" w14:textId="77777777" w:rsidR="00DF3959" w:rsidRPr="00DF3959" w:rsidRDefault="00DF3959" w:rsidP="00DF3959">
      <w:pPr>
        <w:pStyle w:val="BodyText"/>
      </w:pPr>
      <w:r w:rsidRPr="00DF3959">
        <w:t>Other agencies include:  </w:t>
      </w:r>
    </w:p>
    <w:p w14:paraId="72404415" w14:textId="77777777" w:rsidR="00DF3959" w:rsidRPr="00DF3959" w:rsidRDefault="00DF3959" w:rsidP="00C64851">
      <w:pPr>
        <w:pStyle w:val="BodyText"/>
        <w:numPr>
          <w:ilvl w:val="0"/>
          <w:numId w:val="715"/>
        </w:numPr>
      </w:pPr>
      <w:r w:rsidRPr="00DF3959">
        <w:rPr>
          <w:b/>
          <w:bCs/>
        </w:rPr>
        <w:t xml:space="preserve">Texas Department of State Health Services: </w:t>
      </w:r>
      <w:r w:rsidRPr="00DF3959">
        <w:t>Provides mental health services. </w:t>
      </w:r>
    </w:p>
    <w:p w14:paraId="3814D36B" w14:textId="2A048B07" w:rsidR="00DF3959" w:rsidRPr="00DF3959" w:rsidRDefault="00DF3959" w:rsidP="00C64851">
      <w:pPr>
        <w:pStyle w:val="BodyText"/>
        <w:numPr>
          <w:ilvl w:val="0"/>
          <w:numId w:val="716"/>
        </w:numPr>
      </w:pPr>
      <w:r w:rsidRPr="00DF3959">
        <w:rPr>
          <w:b/>
          <w:bCs/>
        </w:rPr>
        <w:t>Texas Education Agency</w:t>
      </w:r>
      <w:r w:rsidRPr="00DF3959">
        <w:t>: Coordinates services for transition-age students with disabilities. </w:t>
      </w:r>
    </w:p>
    <w:p w14:paraId="14BA2CA0" w14:textId="77777777" w:rsidR="00DF3959" w:rsidRPr="00DF3959" w:rsidRDefault="00DF3959" w:rsidP="00C64851">
      <w:pPr>
        <w:pStyle w:val="BodyText"/>
        <w:numPr>
          <w:ilvl w:val="0"/>
          <w:numId w:val="717"/>
        </w:numPr>
      </w:pPr>
      <w:r w:rsidRPr="00DF3959">
        <w:rPr>
          <w:b/>
          <w:bCs/>
        </w:rPr>
        <w:t>Texas School for the Blind and Visually Impaired</w:t>
      </w:r>
      <w:r w:rsidRPr="00DF3959">
        <w:t>: Assists with transition to postsecondary life programs. </w:t>
      </w:r>
    </w:p>
    <w:p w14:paraId="7906457F" w14:textId="77777777" w:rsidR="00DF3959" w:rsidRPr="00DF3959" w:rsidRDefault="00DF3959" w:rsidP="00C64851">
      <w:pPr>
        <w:pStyle w:val="BodyText"/>
        <w:numPr>
          <w:ilvl w:val="0"/>
          <w:numId w:val="718"/>
        </w:numPr>
      </w:pPr>
      <w:r w:rsidRPr="00DF3959">
        <w:rPr>
          <w:b/>
          <w:bCs/>
        </w:rPr>
        <w:t>Texas Department of Transportation:</w:t>
      </w:r>
      <w:r w:rsidRPr="00DF3959">
        <w:t xml:space="preserve"> Assists with transportation. </w:t>
      </w:r>
    </w:p>
    <w:p w14:paraId="59B2C5CD" w14:textId="77777777" w:rsidR="00DF3959" w:rsidRPr="00DF3959" w:rsidRDefault="00DF3959" w:rsidP="00C64851">
      <w:pPr>
        <w:pStyle w:val="BodyText"/>
        <w:numPr>
          <w:ilvl w:val="0"/>
          <w:numId w:val="719"/>
        </w:numPr>
      </w:pPr>
      <w:r w:rsidRPr="00DF3959">
        <w:rPr>
          <w:b/>
          <w:bCs/>
        </w:rPr>
        <w:t>Texas Veterans Commission: </w:t>
      </w:r>
      <w:r w:rsidRPr="00DF3959">
        <w:t xml:space="preserve"> Assists with accessing benefits. </w:t>
      </w:r>
    </w:p>
    <w:p w14:paraId="570D1E30" w14:textId="77777777" w:rsidR="00DF3959" w:rsidRPr="00DF3959" w:rsidRDefault="00DF3959" w:rsidP="00C64851">
      <w:pPr>
        <w:pStyle w:val="BodyText"/>
        <w:numPr>
          <w:ilvl w:val="0"/>
          <w:numId w:val="720"/>
        </w:numPr>
      </w:pPr>
      <w:r w:rsidRPr="00DF3959">
        <w:rPr>
          <w:b/>
          <w:bCs/>
        </w:rPr>
        <w:t xml:space="preserve">Texas Department of Insurance’s Division of Workers’ Compensation: </w:t>
      </w:r>
      <w:r w:rsidRPr="00DF3959">
        <w:t xml:space="preserve">Ensures that workers compensation recipients are referred to and </w:t>
      </w:r>
      <w:proofErr w:type="gramStart"/>
      <w:r w:rsidRPr="00DF3959">
        <w:t>have the ability to</w:t>
      </w:r>
      <w:proofErr w:type="gramEnd"/>
      <w:r w:rsidRPr="00DF3959">
        <w:t xml:space="preserve"> file for VR services. </w:t>
      </w:r>
    </w:p>
    <w:p w14:paraId="5562C33D" w14:textId="77777777" w:rsidR="00DF3959" w:rsidRPr="00DF3959" w:rsidRDefault="00DF3959" w:rsidP="003F3304">
      <w:pPr>
        <w:pStyle w:val="BodyText3"/>
        <w:ind w:left="720" w:hanging="720"/>
      </w:pPr>
      <w:r w:rsidRPr="00DF3959">
        <w:t>J.</w:t>
      </w:r>
      <w:r w:rsidRPr="00DF3959">
        <w:tab/>
        <w:t>Are there any barriers or challenges that impede the program’s performance, including any outdated or ineffective state laws? Explain. </w:t>
      </w:r>
    </w:p>
    <w:p w14:paraId="48E8ED47" w14:textId="77777777" w:rsidR="00DF3959" w:rsidRPr="00DF3959" w:rsidRDefault="00DF3959" w:rsidP="00DF3959">
      <w:pPr>
        <w:pStyle w:val="BodyText"/>
      </w:pPr>
      <w:r w:rsidRPr="00DF3959">
        <w:lastRenderedPageBreak/>
        <w:t>Please see the major issues section of the SER for more information on statutory challenges impacting the VR program. </w:t>
      </w:r>
    </w:p>
    <w:p w14:paraId="2AE388C6" w14:textId="77777777" w:rsidR="00DF3959" w:rsidRPr="00DF3959" w:rsidRDefault="00DF3959" w:rsidP="003F3304">
      <w:pPr>
        <w:pStyle w:val="BodyText3"/>
        <w:ind w:left="720" w:hanging="720"/>
      </w:pPr>
      <w:r w:rsidRPr="00DF3959">
        <w:t>K.</w:t>
      </w:r>
      <w:r w:rsidRPr="00DF3959">
        <w:tab/>
        <w:t>Provide any additional information needed to gain a preliminary understanding of the program or function. </w:t>
      </w:r>
    </w:p>
    <w:p w14:paraId="7602CE72" w14:textId="707EC1A7" w:rsidR="00DF3959" w:rsidRPr="00DF3959" w:rsidRDefault="00DF3959" w:rsidP="003F3304">
      <w:pPr>
        <w:pStyle w:val="BodyText3"/>
      </w:pPr>
      <w:r w:rsidRPr="00DF3959">
        <w:t>VR Responsibilities as a Designated State Unit  </w:t>
      </w:r>
    </w:p>
    <w:p w14:paraId="64B6E64B" w14:textId="08F4EF71" w:rsidR="00DF3959" w:rsidRPr="00DF3959" w:rsidRDefault="00DF3959" w:rsidP="00DF3959">
      <w:pPr>
        <w:pStyle w:val="BodyText"/>
      </w:pPr>
      <w:r w:rsidRPr="00DF3959">
        <w:t xml:space="preserve">A state must designate a State agency to administer VR services (Section 101(a)(2)(A) of the Rehabilitation Act). </w:t>
      </w:r>
      <w:r>
        <w:t>If the</w:t>
      </w:r>
      <w:r w:rsidR="7FA6550F">
        <w:t xml:space="preserve"> designate a State agency</w:t>
      </w:r>
      <w:r w:rsidRPr="00DF3959">
        <w:t xml:space="preserve"> isn't primarily focused on vocational rehabilitation, it must include a VR unit, the designated State unit, for the VR program (Section 101(a)(2)(B)(ii) of the Rehabilitation Act). In Texas, TWC is the </w:t>
      </w:r>
      <w:r w:rsidR="7085BAB8">
        <w:t>designate a State agency</w:t>
      </w:r>
      <w:r w:rsidRPr="00DF3959">
        <w:t xml:space="preserve"> and VRD is the </w:t>
      </w:r>
      <w:r w:rsidR="51B2568F">
        <w:t>designated State unit</w:t>
      </w:r>
      <w:r w:rsidRPr="00DF3959">
        <w:t>. </w:t>
      </w:r>
    </w:p>
    <w:p w14:paraId="57ADC740" w14:textId="0896CF03" w:rsidR="00DF3959" w:rsidRPr="00DF3959" w:rsidRDefault="00DF3959" w:rsidP="00DF3959">
      <w:pPr>
        <w:pStyle w:val="BodyText"/>
      </w:pPr>
      <w:r>
        <w:t xml:space="preserve">As the </w:t>
      </w:r>
      <w:r w:rsidR="29F82EC1">
        <w:t>designated State unit</w:t>
      </w:r>
      <w:r w:rsidRPr="00DF3959">
        <w:t xml:space="preserve">, VRD must have a full-time director managing daily VR program operations, have comparable organizational status to other major </w:t>
      </w:r>
      <w:r w:rsidR="70995968">
        <w:t xml:space="preserve">designate a </w:t>
      </w:r>
      <w:proofErr w:type="gramStart"/>
      <w:r w:rsidR="70995968">
        <w:t xml:space="preserve">State agency </w:t>
      </w:r>
      <w:r w:rsidRPr="00DF3959">
        <w:t>units</w:t>
      </w:r>
      <w:proofErr w:type="gramEnd"/>
      <w:r w:rsidRPr="00DF3959">
        <w:t>, and have sole responsibility for expending VR funds (Section 101(a)(2)(B)(ii)(II), (IV) and (V) of the Rehabilitation Act). VRD's responsibilities, which cannot be delegated, include decisions on eligibility, services' nature/scope/delivery; determining closure of service records with achieved employment outcomes per § 361.56; policy formulation/implementation; VR fund allocation/expenditure; and participation in the one-stop service delivery system under WIOA Title I (34 C.F.R. § 361.13(c)(1) and (2). </w:t>
      </w:r>
    </w:p>
    <w:p w14:paraId="40C1D3B1" w14:textId="77777777" w:rsidR="00DF3959" w:rsidRPr="00DF3959" w:rsidRDefault="00DF3959" w:rsidP="003F3304">
      <w:pPr>
        <w:pStyle w:val="BodyText3"/>
      </w:pPr>
      <w:r w:rsidRPr="00DF3959">
        <w:t>Audits </w:t>
      </w:r>
    </w:p>
    <w:p w14:paraId="66E3074A" w14:textId="77777777" w:rsidR="00DF3959" w:rsidRPr="00DF3959" w:rsidRDefault="00DF3959" w:rsidP="00DF3959">
      <w:pPr>
        <w:pStyle w:val="BodyText"/>
      </w:pPr>
      <w:r w:rsidRPr="00DF3959">
        <w:t>The Internal Audit Division prepares a report for each audit performed, and each report provides opportunities for operational improvement. All audit reports are submitted to the Sunset Commission; Legislative Budget Board; Governor’s Office of Budget, Planning, and Policy; and the State Auditor’s Office in accordance with Government Code, Chapter 2107 – The Texas Internal Auditing Act. The audit reports provide recommendations for enhancing accountability, effectiveness, and efficiency in the areas under review. Additionally, Internal Audit coordinates external audits with other agencies such as the Comptroller, State Auditor’s Office, and the Health and Human Services Commission.  </w:t>
      </w:r>
    </w:p>
    <w:p w14:paraId="2E9B817E" w14:textId="77777777" w:rsidR="00DF3959" w:rsidRPr="00DF3959" w:rsidRDefault="00DF3959" w:rsidP="00DF3959">
      <w:pPr>
        <w:pStyle w:val="BodyText"/>
      </w:pPr>
      <w:r w:rsidRPr="00DF3959">
        <w:rPr>
          <w:u w:val="single"/>
        </w:rPr>
        <w:t>RSA Audit of Vocational Rehabilitation and Supported Employment </w:t>
      </w:r>
      <w:r w:rsidRPr="00DF3959">
        <w:t> </w:t>
      </w:r>
    </w:p>
    <w:p w14:paraId="1EC38FEC" w14:textId="77777777" w:rsidR="00DF3959" w:rsidRPr="00DF3959" w:rsidRDefault="00DF3959" w:rsidP="00DF3959">
      <w:pPr>
        <w:pStyle w:val="BodyText"/>
      </w:pPr>
      <w:r w:rsidRPr="00DF3959">
        <w:t>In January 2023, TWC-VR was notified that it was one of 12 states that would be monitored by the Rehabilitation Services Administration (RSA). </w:t>
      </w:r>
    </w:p>
    <w:p w14:paraId="4F751FB5" w14:textId="77777777" w:rsidR="00DF3959" w:rsidRPr="00DF3959" w:rsidRDefault="00DF3959" w:rsidP="00DF3959">
      <w:pPr>
        <w:pStyle w:val="BodyText"/>
      </w:pPr>
      <w:r w:rsidRPr="00DF3959">
        <w:t>The focus of the 2023 monitoring review was on the performance and financial management of the VR and Supported Employment programs. RSA stated in its Monitoring and Technical Assistance Guide (MTAG) that their primary goal was to identify the root causes for the return of unused federal funds and determine strategies and provide technical assistance to VR agencies to reverse this trend. </w:t>
      </w:r>
    </w:p>
    <w:p w14:paraId="5B4E4DD3" w14:textId="77777777" w:rsidR="00DF3959" w:rsidRPr="00DF3959" w:rsidRDefault="00DF3959" w:rsidP="00DF3959">
      <w:pPr>
        <w:pStyle w:val="BodyText"/>
      </w:pPr>
      <w:r w:rsidRPr="00DF3959">
        <w:lastRenderedPageBreak/>
        <w:t>RSA identified states for either an on-site or off-site review. Texas received an off-site review (virtual) from Aug. 28 - Sept. 1, 2023. On April 5, 2024, VRD received the updated and Final Federal Fiscal Year 2023 Monitoring Report from RSA. The report included two fiscal findings. The first is related to improvements that are needed in the RHW case management system to assign service authorizations to the correct grant/period of performance. VRD self-identified this issue during the initial RSA review meetings. The second finding involved a financial reporting error in how TWC reported administrative costs. VRD agreed to the two fiscal findings.  </w:t>
      </w:r>
    </w:p>
    <w:p w14:paraId="660C8725" w14:textId="77777777" w:rsidR="00DF3959" w:rsidRPr="00DF3959" w:rsidRDefault="00DF3959" w:rsidP="00DF3959">
      <w:pPr>
        <w:pStyle w:val="BodyText"/>
      </w:pPr>
      <w:r w:rsidRPr="00DF3959">
        <w:t>RSA approved the VRD a corrective action plan on May 20, 2024, and VRD has been submitting quarterly reports to RSA with updates on the two findings since October 2024. On the Period of Performance finding, the reports have included information and screenshots from the RHW database showing system changes that have corrected the POP issues.  RSA is considering closing the finding for the Inaccurate Reporting section.   </w:t>
      </w:r>
    </w:p>
    <w:p w14:paraId="09A97B13" w14:textId="77777777" w:rsidR="00DF3959" w:rsidRPr="00DF3959" w:rsidRDefault="00DF3959" w:rsidP="003F3304">
      <w:pPr>
        <w:pStyle w:val="BodyText"/>
        <w:ind w:left="720" w:hanging="720"/>
      </w:pPr>
      <w:r w:rsidRPr="00DF3959">
        <w:rPr>
          <w:b/>
          <w:bCs/>
        </w:rPr>
        <w:t>L.</w:t>
      </w:r>
      <w:r w:rsidRPr="00DF3959">
        <w:tab/>
      </w:r>
      <w:r w:rsidRPr="00DF3959">
        <w:rPr>
          <w:b/>
          <w:bCs/>
        </w:rPr>
        <w:t>Regulatory programs relate to the licensing, registration, certification, or permitting of a person, business, piece of equipment, or other entity (e.g., a facility). For each regulatory program, if applicable, describe:</w:t>
      </w:r>
      <w:r w:rsidRPr="00DF3959">
        <w:t> </w:t>
      </w:r>
    </w:p>
    <w:p w14:paraId="45E33935" w14:textId="77777777" w:rsidR="00DF3959" w:rsidRPr="00DF3959" w:rsidRDefault="00DF3959" w:rsidP="00DF3959">
      <w:pPr>
        <w:pStyle w:val="BodyText"/>
      </w:pPr>
      <w:r w:rsidRPr="00DF3959">
        <w:t>N/A </w:t>
      </w:r>
    </w:p>
    <w:p w14:paraId="39166DA9" w14:textId="77777777" w:rsidR="00DF3959" w:rsidRPr="00DF3959" w:rsidRDefault="00DF3959" w:rsidP="003F3304">
      <w:pPr>
        <w:pStyle w:val="BodyText"/>
        <w:ind w:left="720" w:hanging="720"/>
      </w:pPr>
      <w:r w:rsidRPr="00DF3959">
        <w:rPr>
          <w:b/>
          <w:bCs/>
        </w:rPr>
        <w:t>M.</w:t>
      </w:r>
      <w:r w:rsidRPr="00DF3959">
        <w:tab/>
      </w:r>
      <w:r w:rsidRPr="00DF3959">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DF3959">
        <w:t> </w:t>
      </w:r>
    </w:p>
    <w:p w14:paraId="2C79CA35" w14:textId="7C03D886" w:rsidR="00AB7FB2" w:rsidRDefault="00DF3959" w:rsidP="00DF3959">
      <w:pPr>
        <w:pStyle w:val="BodyText"/>
      </w:pPr>
      <w:r w:rsidRPr="00DF3959">
        <w:t>N/A</w:t>
      </w:r>
    </w:p>
    <w:p w14:paraId="3A967727" w14:textId="66038476" w:rsidR="00AB7FB2" w:rsidRDefault="00AB7FB2">
      <w:pPr>
        <w:rPr>
          <w:rFonts w:ascii="Arial" w:eastAsiaTheme="minorEastAsia" w:hAnsi="Arial"/>
          <w:szCs w:val="22"/>
        </w:rPr>
      </w:pPr>
    </w:p>
    <w:p w14:paraId="39AD9585" w14:textId="4ADE1E3D" w:rsidR="00DF3959" w:rsidRPr="00DF3959" w:rsidRDefault="00DF3959" w:rsidP="00DF3959">
      <w:pPr>
        <w:pStyle w:val="BodyText"/>
      </w:pPr>
      <w:r w:rsidRPr="00DF3959">
        <w:rPr>
          <w:b/>
          <w:bCs/>
        </w:rPr>
        <w:t>Program:  Older Individuals Who Are Blind Program:</w:t>
      </w:r>
      <w:r w:rsidRPr="00DF3959">
        <w:t> </w:t>
      </w:r>
    </w:p>
    <w:p w14:paraId="6DA06497" w14:textId="77777777" w:rsidR="00DF3959" w:rsidRPr="00DF3959" w:rsidRDefault="00DF3959" w:rsidP="00FF00CB">
      <w:pPr>
        <w:pStyle w:val="BodyText"/>
      </w:pPr>
      <w:r w:rsidRPr="00DF3959">
        <w:t>Location/Division: Vocational Rehabilitation Division </w:t>
      </w:r>
    </w:p>
    <w:p w14:paraId="3D3FEC4B" w14:textId="77777777" w:rsidR="00DF3959" w:rsidRPr="00DF3959" w:rsidRDefault="00DF3959" w:rsidP="00FF00CB">
      <w:pPr>
        <w:pStyle w:val="BodyText"/>
      </w:pPr>
      <w:r w:rsidRPr="00DF3959">
        <w:t>Contact Name:  Juanita Barker </w:t>
      </w:r>
    </w:p>
    <w:p w14:paraId="335140D0" w14:textId="468E1359" w:rsidR="00DF3959" w:rsidRPr="00DF3959" w:rsidRDefault="00DF3959" w:rsidP="00355B40">
      <w:pPr>
        <w:pStyle w:val="BodyText"/>
      </w:pPr>
      <w:r w:rsidRPr="00DF3959">
        <w:t>Statutory Citation for Program: </w:t>
      </w:r>
      <w:r w:rsidR="004C3B0C">
        <w:t xml:space="preserve">Texas </w:t>
      </w:r>
      <w:r w:rsidRPr="00DF3959">
        <w:t>Labor Code</w:t>
      </w:r>
      <w:r w:rsidR="00FF6D3C">
        <w:t xml:space="preserve">, Chapter </w:t>
      </w:r>
      <w:r w:rsidRPr="00DF3959">
        <w:t>352</w:t>
      </w:r>
      <w:r w:rsidR="00355B40">
        <w:t xml:space="preserve">; </w:t>
      </w:r>
      <w:r w:rsidRPr="00DF3959">
        <w:t>Texas Administrative Code</w:t>
      </w:r>
      <w:r w:rsidR="00FF6D3C">
        <w:t>,</w:t>
      </w:r>
      <w:r w:rsidRPr="00DF3959">
        <w:t xml:space="preserve"> Chapter 853</w:t>
      </w:r>
    </w:p>
    <w:p w14:paraId="4F304840" w14:textId="1FE8F7C9" w:rsidR="00DF3959" w:rsidRPr="00DF3959" w:rsidRDefault="00393C51" w:rsidP="00DF3959">
      <w:pPr>
        <w:pStyle w:val="BodyText"/>
      </w:pPr>
      <w:r>
        <w:rPr>
          <w:b/>
          <w:bCs/>
        </w:rPr>
        <w:lastRenderedPageBreak/>
        <w:t>B</w:t>
      </w:r>
      <w:r w:rsidR="00DF3959" w:rsidRPr="00DF3959">
        <w:rPr>
          <w:b/>
          <w:bCs/>
        </w:rPr>
        <w:t>.</w:t>
      </w:r>
      <w:r>
        <w:rPr>
          <w:b/>
          <w:bCs/>
        </w:rPr>
        <w:tab/>
      </w:r>
      <w:r w:rsidR="00DF3959" w:rsidRPr="00DF3959">
        <w:rPr>
          <w:b/>
          <w:bCs/>
        </w:rPr>
        <w:t>What is the objective of this division or program? Describe its major activities.</w:t>
      </w:r>
    </w:p>
    <w:p w14:paraId="0A508D2E" w14:textId="010515CE" w:rsidR="00DF3959" w:rsidRPr="00DF3959" w:rsidRDefault="00DF3959" w:rsidP="00DF3959">
      <w:pPr>
        <w:pStyle w:val="BodyText"/>
      </w:pPr>
      <w:r w:rsidRPr="00DF3959">
        <w:t>The O</w:t>
      </w:r>
      <w:r w:rsidR="007D6B35">
        <w:t xml:space="preserve">lder </w:t>
      </w:r>
      <w:r w:rsidRPr="00DF3959">
        <w:t>I</w:t>
      </w:r>
      <w:r w:rsidR="007D6B35">
        <w:t xml:space="preserve">ndividuals Who are </w:t>
      </w:r>
      <w:r w:rsidRPr="00DF3959">
        <w:t>B</w:t>
      </w:r>
      <w:r w:rsidR="007D6B35">
        <w:t>lind (OIB)</w:t>
      </w:r>
      <w:r w:rsidRPr="00DF3959">
        <w:t xml:space="preserve"> program advances opportunities for individuals 55 and older who are blind or visually impaired to live independently within their home and community. The program is designed to help blind and visually impaired Texans acquire the skills and knowledge they need to remain independent in their communities and improve their quality of life. This is accomplished by helping customers adjust to their vision loss and develop skills to enable them to live as confidently and independently as possible. OIB services help customers achieve their independent living goals through fostering confidence, facilitating peer support, and building new skills to address their vision loss and learn new ways of completing activities of daily living.  </w:t>
      </w:r>
    </w:p>
    <w:p w14:paraId="02DB541D" w14:textId="64700A73" w:rsidR="00E2613B" w:rsidRDefault="00DF3959" w:rsidP="00DF3959">
      <w:pPr>
        <w:pStyle w:val="BodyText"/>
      </w:pPr>
      <w:r w:rsidRPr="00DF3959">
        <w:t xml:space="preserve">Program services focus extensively on understanding and experiencing the possibilities of living without fear and/or dependence on others. The primary approach is based on the individual handling their own daily living activities rather than someone performing tasks for them in whatever setting they live in. </w:t>
      </w:r>
      <w:r w:rsidR="00472667">
        <w:t xml:space="preserve">The types of services provided vary based on customer </w:t>
      </w:r>
      <w:proofErr w:type="gramStart"/>
      <w:r w:rsidR="00E2613B">
        <w:t>need</w:t>
      </w:r>
      <w:r w:rsidR="00BF4CC6">
        <w:t>,</w:t>
      </w:r>
      <w:r w:rsidR="00E2613B">
        <w:t xml:space="preserve"> but</w:t>
      </w:r>
      <w:proofErr w:type="gramEnd"/>
      <w:r w:rsidR="009A6470">
        <w:t xml:space="preserve"> include </w:t>
      </w:r>
      <w:r w:rsidR="00A83095">
        <w:t xml:space="preserve">things like </w:t>
      </w:r>
      <w:r w:rsidR="0094381E">
        <w:t>learning to travel using a can</w:t>
      </w:r>
      <w:r w:rsidR="00647AB0">
        <w:t xml:space="preserve">e, </w:t>
      </w:r>
      <w:r w:rsidR="00DC5EE5">
        <w:t xml:space="preserve">shopping and preparing meals, </w:t>
      </w:r>
      <w:r w:rsidR="000F2183">
        <w:t xml:space="preserve">and identifying and taking </w:t>
      </w:r>
      <w:r w:rsidR="00E2613B">
        <w:t>medications for example.</w:t>
      </w:r>
    </w:p>
    <w:p w14:paraId="04985044" w14:textId="77777777" w:rsidR="00DF3959" w:rsidRPr="00DF3959" w:rsidRDefault="00DF3959" w:rsidP="00DF3959">
      <w:pPr>
        <w:pStyle w:val="BodyText"/>
      </w:pPr>
      <w:r w:rsidRPr="00DF3959">
        <w:t>When customers enter the OIB program, the level of services they need is determined by the OSS and the customer. Customers who do not require substantial services can participate in minimal services which are short-term and minimal cost. These services are usually completed in a few weeks or months. If the OSS and customer determines they need more significant services, customers move through the OIB process including determining eligibility for planned services and writing an Independent Living Plan (ILP).  OIB also provides group skills training to eligible customers through the Senior Keys to Independence program which was created in 2024 to assist customers in learning skills in a group setting and fostering peer support.  </w:t>
      </w:r>
    </w:p>
    <w:p w14:paraId="624BF946" w14:textId="77777777" w:rsidR="00DF3959" w:rsidRPr="00DF3959" w:rsidRDefault="00DF3959" w:rsidP="00393C51">
      <w:pPr>
        <w:pStyle w:val="BodyText"/>
        <w:ind w:left="720" w:hanging="720"/>
      </w:pPr>
      <w:r w:rsidRPr="00DF3959">
        <w:rPr>
          <w:b/>
          <w:bCs/>
        </w:rPr>
        <w:t>C.</w:t>
      </w:r>
      <w:r w:rsidRPr="00DF3959">
        <w:tab/>
      </w:r>
      <w:r w:rsidRPr="00DF3959">
        <w:rPr>
          <w:b/>
          <w:bCs/>
        </w:rPr>
        <w:t xml:space="preserve">What information does the agency collect/use to assess the effectiveness and efficiency of this division or program? If applicable, briefly note any LBB performance measures (from Section II, </w:t>
      </w:r>
      <w:proofErr w:type="gramStart"/>
      <w:r w:rsidRPr="00DF3959">
        <w:rPr>
          <w:b/>
          <w:bCs/>
        </w:rPr>
        <w:t>Exhibit</w:t>
      </w:r>
      <w:proofErr w:type="gramEnd"/>
      <w:r w:rsidRPr="00DF3959">
        <w:rPr>
          <w:b/>
          <w:bCs/>
        </w:rP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r w:rsidRPr="00DF3959">
        <w:t> </w:t>
      </w:r>
    </w:p>
    <w:p w14:paraId="17A6D197" w14:textId="77777777" w:rsidR="00DF3959" w:rsidRPr="00DF3959" w:rsidRDefault="00DF3959" w:rsidP="00DF3959">
      <w:pPr>
        <w:pStyle w:val="BodyText"/>
      </w:pPr>
      <w:r w:rsidRPr="00DF3959">
        <w:t xml:space="preserve">Internal and external measures are used to assess the effectiveness and efficiency of this program. Performance measures are gathered for the reporting to RSA annually (referred to as the RSA 7OB report) regarding the total number of customer’s served, successful outcomes, and the percentage of customers satisfied with OIB services. Performance measures are gathered from TWC’s Information Innovation and Insight department. Customer satisfaction surveys are completed by </w:t>
      </w:r>
      <w:proofErr w:type="spellStart"/>
      <w:r w:rsidRPr="00DF3959">
        <w:t>Westat</w:t>
      </w:r>
      <w:proofErr w:type="spellEnd"/>
      <w:r w:rsidRPr="00DF3959">
        <w:t xml:space="preserve"> who is contracted to conduct satisfaction surveys yearly.  </w:t>
      </w:r>
    </w:p>
    <w:tbl>
      <w:tblPr>
        <w:tblStyle w:val="TableGrid1"/>
        <w:tblW w:w="9344" w:type="dxa"/>
        <w:tblCellMar>
          <w:top w:w="58" w:type="dxa"/>
          <w:bottom w:w="58" w:type="dxa"/>
        </w:tblCellMar>
        <w:tblLook w:val="04A0" w:firstRow="1" w:lastRow="0" w:firstColumn="1" w:lastColumn="0" w:noHBand="0" w:noVBand="1"/>
      </w:tblPr>
      <w:tblGrid>
        <w:gridCol w:w="3166"/>
        <w:gridCol w:w="3089"/>
        <w:gridCol w:w="3089"/>
      </w:tblGrid>
      <w:tr w:rsidR="00DF3959" w:rsidRPr="00DF3959" w14:paraId="310C4B3E" w14:textId="77777777" w:rsidTr="00393C51">
        <w:trPr>
          <w:trHeight w:val="300"/>
        </w:trPr>
        <w:tc>
          <w:tcPr>
            <w:tcW w:w="3166" w:type="dxa"/>
            <w:shd w:val="clear" w:color="auto" w:fill="B8CCE4" w:themeFill="accent1" w:themeFillTint="66"/>
            <w:vAlign w:val="center"/>
            <w:hideMark/>
          </w:tcPr>
          <w:p w14:paraId="629C3E49" w14:textId="6ECF4A5D" w:rsidR="00DF3959" w:rsidRPr="00DF3959" w:rsidRDefault="00DF3959" w:rsidP="00393C51">
            <w:pPr>
              <w:pStyle w:val="TableHeaders"/>
            </w:pPr>
            <w:r w:rsidRPr="00DF3959">
              <w:lastRenderedPageBreak/>
              <w:t>OIB Customers</w:t>
            </w:r>
          </w:p>
        </w:tc>
        <w:tc>
          <w:tcPr>
            <w:tcW w:w="3089" w:type="dxa"/>
            <w:shd w:val="clear" w:color="auto" w:fill="B8CCE4" w:themeFill="accent1" w:themeFillTint="66"/>
            <w:vAlign w:val="center"/>
            <w:hideMark/>
          </w:tcPr>
          <w:p w14:paraId="1F0E5F59" w14:textId="2164CE2B" w:rsidR="00DF3959" w:rsidRPr="00DF3959" w:rsidRDefault="00DF3959" w:rsidP="00393C51">
            <w:pPr>
              <w:pStyle w:val="TableHeaders"/>
            </w:pPr>
            <w:r w:rsidRPr="00DF3959">
              <w:t>SFY 2023</w:t>
            </w:r>
          </w:p>
        </w:tc>
        <w:tc>
          <w:tcPr>
            <w:tcW w:w="3089" w:type="dxa"/>
            <w:shd w:val="clear" w:color="auto" w:fill="B8CCE4" w:themeFill="accent1" w:themeFillTint="66"/>
            <w:vAlign w:val="center"/>
            <w:hideMark/>
          </w:tcPr>
          <w:p w14:paraId="056C913C" w14:textId="33460F2E" w:rsidR="00DF3959" w:rsidRPr="00DF3959" w:rsidRDefault="00DF3959" w:rsidP="00393C51">
            <w:pPr>
              <w:pStyle w:val="TableHeaders"/>
            </w:pPr>
            <w:r w:rsidRPr="00DF3959">
              <w:t>SFY 2024</w:t>
            </w:r>
          </w:p>
        </w:tc>
      </w:tr>
      <w:tr w:rsidR="00DF3959" w:rsidRPr="00DF3959" w14:paraId="0D85C020" w14:textId="77777777" w:rsidTr="00393C51">
        <w:trPr>
          <w:trHeight w:val="300"/>
        </w:trPr>
        <w:tc>
          <w:tcPr>
            <w:tcW w:w="3166" w:type="dxa"/>
            <w:vAlign w:val="center"/>
            <w:hideMark/>
          </w:tcPr>
          <w:p w14:paraId="3FAF55F3" w14:textId="77777777" w:rsidR="00DF3959" w:rsidRPr="00DF3959" w:rsidRDefault="00DF3959" w:rsidP="00393C51">
            <w:pPr>
              <w:pStyle w:val="TableText"/>
            </w:pPr>
            <w:r w:rsidRPr="00DF3959">
              <w:t>Number of Customers Served * </w:t>
            </w:r>
          </w:p>
        </w:tc>
        <w:tc>
          <w:tcPr>
            <w:tcW w:w="3089" w:type="dxa"/>
            <w:vAlign w:val="center"/>
            <w:hideMark/>
          </w:tcPr>
          <w:p w14:paraId="44812F9B" w14:textId="77777777" w:rsidR="00DF3959" w:rsidRPr="00DF3959" w:rsidRDefault="00DF3959" w:rsidP="00393C51">
            <w:pPr>
              <w:pStyle w:val="TableText"/>
              <w:jc w:val="right"/>
            </w:pPr>
            <w:r w:rsidRPr="00DF3959">
              <w:t>2,497 </w:t>
            </w:r>
          </w:p>
        </w:tc>
        <w:tc>
          <w:tcPr>
            <w:tcW w:w="3089" w:type="dxa"/>
            <w:vAlign w:val="center"/>
            <w:hideMark/>
          </w:tcPr>
          <w:p w14:paraId="2B0C2F77" w14:textId="77777777" w:rsidR="00DF3959" w:rsidRPr="00DF3959" w:rsidRDefault="00DF3959" w:rsidP="00393C51">
            <w:pPr>
              <w:pStyle w:val="TableText"/>
              <w:jc w:val="right"/>
            </w:pPr>
            <w:r w:rsidRPr="00DF3959">
              <w:t>3,189 </w:t>
            </w:r>
          </w:p>
        </w:tc>
      </w:tr>
      <w:tr w:rsidR="00DF3959" w:rsidRPr="00DF3959" w14:paraId="4A871DCD" w14:textId="77777777" w:rsidTr="00393C51">
        <w:trPr>
          <w:trHeight w:val="300"/>
        </w:trPr>
        <w:tc>
          <w:tcPr>
            <w:tcW w:w="3166" w:type="dxa"/>
            <w:vAlign w:val="center"/>
            <w:hideMark/>
          </w:tcPr>
          <w:p w14:paraId="5F284192" w14:textId="77777777" w:rsidR="00DF3959" w:rsidRPr="00DF3959" w:rsidRDefault="00DF3959" w:rsidP="00393C51">
            <w:pPr>
              <w:pStyle w:val="TableText"/>
            </w:pPr>
            <w:r w:rsidRPr="00DF3959">
              <w:t>Number of Customers who achieved their Independent Living Goals </w:t>
            </w:r>
          </w:p>
        </w:tc>
        <w:tc>
          <w:tcPr>
            <w:tcW w:w="3089" w:type="dxa"/>
            <w:vAlign w:val="center"/>
            <w:hideMark/>
          </w:tcPr>
          <w:p w14:paraId="266875DA" w14:textId="77777777" w:rsidR="00DF3959" w:rsidRPr="00DF3959" w:rsidRDefault="00DF3959" w:rsidP="00393C51">
            <w:pPr>
              <w:pStyle w:val="TableText"/>
              <w:jc w:val="right"/>
            </w:pPr>
            <w:r w:rsidRPr="00DF3959">
              <w:t>1,008 </w:t>
            </w:r>
          </w:p>
        </w:tc>
        <w:tc>
          <w:tcPr>
            <w:tcW w:w="3089" w:type="dxa"/>
            <w:vAlign w:val="center"/>
            <w:hideMark/>
          </w:tcPr>
          <w:p w14:paraId="107DF0AF" w14:textId="77777777" w:rsidR="00DF3959" w:rsidRPr="00DF3959" w:rsidRDefault="00DF3959" w:rsidP="00393C51">
            <w:pPr>
              <w:pStyle w:val="TableText"/>
              <w:jc w:val="right"/>
            </w:pPr>
            <w:r w:rsidRPr="00DF3959">
              <w:t>1,150 </w:t>
            </w:r>
          </w:p>
        </w:tc>
      </w:tr>
      <w:tr w:rsidR="00DF3959" w:rsidRPr="00DF3959" w14:paraId="77BBAAFF" w14:textId="77777777" w:rsidTr="00393C51">
        <w:trPr>
          <w:trHeight w:val="300"/>
        </w:trPr>
        <w:tc>
          <w:tcPr>
            <w:tcW w:w="3166" w:type="dxa"/>
            <w:vAlign w:val="center"/>
            <w:hideMark/>
          </w:tcPr>
          <w:p w14:paraId="3C8F0C1A" w14:textId="77777777" w:rsidR="00DF3959" w:rsidRPr="00DF3959" w:rsidRDefault="00DF3959" w:rsidP="00393C51">
            <w:pPr>
              <w:pStyle w:val="TableText"/>
            </w:pPr>
            <w:r w:rsidRPr="00DF3959">
              <w:t>Percentage of Customers satisfied with their OIB Service Specialist at Closure </w:t>
            </w:r>
          </w:p>
        </w:tc>
        <w:tc>
          <w:tcPr>
            <w:tcW w:w="3089" w:type="dxa"/>
            <w:vAlign w:val="center"/>
            <w:hideMark/>
          </w:tcPr>
          <w:p w14:paraId="56D017FD" w14:textId="77777777" w:rsidR="00DF3959" w:rsidRPr="00DF3959" w:rsidRDefault="00DF3959" w:rsidP="00393C51">
            <w:pPr>
              <w:pStyle w:val="TableText"/>
              <w:jc w:val="right"/>
            </w:pPr>
            <w:r w:rsidRPr="00DF3959">
              <w:t>86% </w:t>
            </w:r>
          </w:p>
        </w:tc>
        <w:tc>
          <w:tcPr>
            <w:tcW w:w="3089" w:type="dxa"/>
            <w:vAlign w:val="center"/>
            <w:hideMark/>
          </w:tcPr>
          <w:p w14:paraId="083516E3" w14:textId="77777777" w:rsidR="00DF3959" w:rsidRPr="00DF3959" w:rsidRDefault="00DF3959" w:rsidP="00393C51">
            <w:pPr>
              <w:pStyle w:val="TableText"/>
              <w:jc w:val="right"/>
            </w:pPr>
            <w:r w:rsidRPr="00DF3959">
              <w:t>90.5% </w:t>
            </w:r>
          </w:p>
        </w:tc>
      </w:tr>
      <w:tr w:rsidR="00DF3959" w:rsidRPr="00DF3959" w14:paraId="6DAFDB86" w14:textId="77777777" w:rsidTr="00393C51">
        <w:trPr>
          <w:trHeight w:val="300"/>
        </w:trPr>
        <w:tc>
          <w:tcPr>
            <w:tcW w:w="3166" w:type="dxa"/>
            <w:vAlign w:val="center"/>
            <w:hideMark/>
          </w:tcPr>
          <w:p w14:paraId="759C031A" w14:textId="77777777" w:rsidR="00DF3959" w:rsidRPr="00DF3959" w:rsidRDefault="00DF3959" w:rsidP="00393C51">
            <w:pPr>
              <w:pStyle w:val="TableText"/>
            </w:pPr>
            <w:r w:rsidRPr="00DF3959">
              <w:t>Percentage of customers who felt they were assisted in reaching their goal of living independently </w:t>
            </w:r>
          </w:p>
        </w:tc>
        <w:tc>
          <w:tcPr>
            <w:tcW w:w="3089" w:type="dxa"/>
            <w:vAlign w:val="center"/>
            <w:hideMark/>
          </w:tcPr>
          <w:p w14:paraId="7D2FF00E" w14:textId="77777777" w:rsidR="00DF3959" w:rsidRPr="00DF3959" w:rsidRDefault="00DF3959" w:rsidP="00393C51">
            <w:pPr>
              <w:pStyle w:val="TableText"/>
              <w:jc w:val="right"/>
            </w:pPr>
            <w:r w:rsidRPr="00DF3959">
              <w:t>84.6% </w:t>
            </w:r>
          </w:p>
        </w:tc>
        <w:tc>
          <w:tcPr>
            <w:tcW w:w="3089" w:type="dxa"/>
            <w:vAlign w:val="center"/>
            <w:hideMark/>
          </w:tcPr>
          <w:p w14:paraId="331953C8" w14:textId="77777777" w:rsidR="00DF3959" w:rsidRPr="00DF3959" w:rsidRDefault="00DF3959" w:rsidP="00393C51">
            <w:pPr>
              <w:pStyle w:val="TableText"/>
              <w:jc w:val="right"/>
            </w:pPr>
            <w:r w:rsidRPr="00DF3959">
              <w:t>89.8% </w:t>
            </w:r>
          </w:p>
        </w:tc>
      </w:tr>
    </w:tbl>
    <w:p w14:paraId="0E85828B" w14:textId="77777777" w:rsidR="00DF3959" w:rsidRPr="00DF3959" w:rsidRDefault="00DF3959" w:rsidP="00DF3959">
      <w:pPr>
        <w:pStyle w:val="BodyText"/>
      </w:pPr>
      <w:r w:rsidRPr="00DF3959">
        <w:rPr>
          <w:i/>
          <w:iCs/>
        </w:rPr>
        <w:t>* Information provided from RHW Reports to show all customers served. The 7OB report does not count cases open past 2 reporting years.</w:t>
      </w:r>
      <w:r w:rsidRPr="00DF3959">
        <w:t> </w:t>
      </w:r>
    </w:p>
    <w:p w14:paraId="65FDC1B7" w14:textId="77777777" w:rsidR="00DF3959" w:rsidRPr="00DF3959" w:rsidRDefault="00DF3959" w:rsidP="00DF3959">
      <w:pPr>
        <w:pStyle w:val="BodyText"/>
      </w:pPr>
      <w:r w:rsidRPr="00DF3959">
        <w:rPr>
          <w:u w:val="single"/>
        </w:rPr>
        <w:t>OIB Helpline </w:t>
      </w:r>
      <w:r w:rsidRPr="00DF3959">
        <w:t> </w:t>
      </w:r>
    </w:p>
    <w:p w14:paraId="52FD6890" w14:textId="77777777" w:rsidR="00DF3959" w:rsidRPr="00DF3959" w:rsidRDefault="00DF3959" w:rsidP="00DF3959">
      <w:pPr>
        <w:pStyle w:val="BodyText"/>
      </w:pPr>
      <w:r w:rsidRPr="00DF3959">
        <w:t>Other information gathered yearly is the number of referrals received through the contracted service of the OIB Helpline which provides an avenue for new customers, caretakers or others to be provided information about OIB services and move forward in being set up for services. The Helpline was launched in August 2023 and has had a positive impact in the number of customers who are being referred to OIB services increasing the overall number of customers being served in the program. Calls are routed to appropriate services based on the need. If customers require other services that are not related to OIB, they are provided referrals to other organizations based on their needs. If customers are calling regarding their VR case or requesting VR services, the call is referred to the local VR office. Below shows the increase in calls and referrals to the OIB program through the OIB Help Line. </w:t>
      </w:r>
    </w:p>
    <w:p w14:paraId="6C8A069A" w14:textId="77777777" w:rsidR="00DF3959" w:rsidRPr="00DF3959" w:rsidRDefault="00DF3959" w:rsidP="00F92005">
      <w:pPr>
        <w:pStyle w:val="BodyText3"/>
      </w:pPr>
      <w:r w:rsidRPr="00DF3959">
        <w:t>OIB Help Line Information and Numbers </w:t>
      </w:r>
    </w:p>
    <w:tbl>
      <w:tblPr>
        <w:tblStyle w:val="TableGrid1"/>
        <w:tblW w:w="0" w:type="dxa"/>
        <w:tblCellMar>
          <w:top w:w="58" w:type="dxa"/>
          <w:bottom w:w="58" w:type="dxa"/>
        </w:tblCellMar>
        <w:tblLook w:val="04A0" w:firstRow="1" w:lastRow="0" w:firstColumn="1" w:lastColumn="0" w:noHBand="0" w:noVBand="1"/>
      </w:tblPr>
      <w:tblGrid>
        <w:gridCol w:w="2588"/>
        <w:gridCol w:w="2328"/>
        <w:gridCol w:w="1986"/>
        <w:gridCol w:w="2448"/>
      </w:tblGrid>
      <w:tr w:rsidR="004F0ED0" w:rsidRPr="00DF3959" w14:paraId="32418A28" w14:textId="77777777" w:rsidTr="00F92005">
        <w:trPr>
          <w:trHeight w:val="300"/>
        </w:trPr>
        <w:tc>
          <w:tcPr>
            <w:tcW w:w="2775" w:type="dxa"/>
            <w:shd w:val="clear" w:color="auto" w:fill="B8CCE4" w:themeFill="accent1" w:themeFillTint="66"/>
            <w:vAlign w:val="center"/>
            <w:hideMark/>
          </w:tcPr>
          <w:p w14:paraId="062C2A66" w14:textId="5A588203" w:rsidR="00DF3959" w:rsidRPr="00DF3959" w:rsidRDefault="00DF3959" w:rsidP="00F92005">
            <w:pPr>
              <w:pStyle w:val="TableHeaders"/>
            </w:pPr>
            <w:r w:rsidRPr="00DF3959">
              <w:t>OIB Help Line Information</w:t>
            </w:r>
          </w:p>
        </w:tc>
        <w:tc>
          <w:tcPr>
            <w:tcW w:w="2520" w:type="dxa"/>
            <w:shd w:val="clear" w:color="auto" w:fill="B8CCE4" w:themeFill="accent1" w:themeFillTint="66"/>
            <w:vAlign w:val="center"/>
            <w:hideMark/>
          </w:tcPr>
          <w:p w14:paraId="6763469F" w14:textId="108080F0" w:rsidR="00DF3959" w:rsidRPr="00DF3959" w:rsidRDefault="00DF3959" w:rsidP="00F92005">
            <w:pPr>
              <w:pStyle w:val="TableHeaders"/>
            </w:pPr>
            <w:r w:rsidRPr="00DF3959">
              <w:t>FY 2023 (8/01-31/2023)</w:t>
            </w:r>
          </w:p>
        </w:tc>
        <w:tc>
          <w:tcPr>
            <w:tcW w:w="2160" w:type="dxa"/>
            <w:shd w:val="clear" w:color="auto" w:fill="B8CCE4" w:themeFill="accent1" w:themeFillTint="66"/>
            <w:vAlign w:val="center"/>
            <w:hideMark/>
          </w:tcPr>
          <w:p w14:paraId="66992B1C" w14:textId="2CDF347B" w:rsidR="00DF3959" w:rsidRPr="00DF3959" w:rsidRDefault="00DF3959" w:rsidP="00F92005">
            <w:pPr>
              <w:pStyle w:val="TableHeaders"/>
            </w:pPr>
            <w:r w:rsidRPr="00DF3959">
              <w:t>FY 2024</w:t>
            </w:r>
          </w:p>
        </w:tc>
        <w:tc>
          <w:tcPr>
            <w:tcW w:w="2610" w:type="dxa"/>
            <w:shd w:val="clear" w:color="auto" w:fill="B8CCE4" w:themeFill="accent1" w:themeFillTint="66"/>
            <w:vAlign w:val="center"/>
            <w:hideMark/>
          </w:tcPr>
          <w:p w14:paraId="1D17B9D9" w14:textId="09ED1C7E" w:rsidR="00DF3959" w:rsidRPr="00DF3959" w:rsidRDefault="00DF3959" w:rsidP="00F92005">
            <w:pPr>
              <w:pStyle w:val="TableHeaders"/>
            </w:pPr>
            <w:r w:rsidRPr="00DF3959">
              <w:t>FY 2025 (09/01/2024-04/01/2025)</w:t>
            </w:r>
          </w:p>
        </w:tc>
      </w:tr>
      <w:tr w:rsidR="00DF3959" w:rsidRPr="00DF3959" w14:paraId="2CB0CA1F" w14:textId="77777777" w:rsidTr="004F0ED0">
        <w:trPr>
          <w:trHeight w:val="300"/>
        </w:trPr>
        <w:tc>
          <w:tcPr>
            <w:tcW w:w="2775" w:type="dxa"/>
            <w:vAlign w:val="center"/>
            <w:hideMark/>
          </w:tcPr>
          <w:p w14:paraId="175DEF95" w14:textId="77777777" w:rsidR="00DF3959" w:rsidRPr="00DF3959" w:rsidRDefault="00DF3959" w:rsidP="004F0ED0">
            <w:pPr>
              <w:pStyle w:val="TableText"/>
            </w:pPr>
            <w:r w:rsidRPr="00DF3959">
              <w:t>Number of Calls Received </w:t>
            </w:r>
          </w:p>
        </w:tc>
        <w:tc>
          <w:tcPr>
            <w:tcW w:w="2520" w:type="dxa"/>
            <w:vAlign w:val="center"/>
            <w:hideMark/>
          </w:tcPr>
          <w:p w14:paraId="09BCF2CF" w14:textId="77777777" w:rsidR="00DF3959" w:rsidRPr="00DF3959" w:rsidRDefault="00DF3959" w:rsidP="004F0ED0">
            <w:pPr>
              <w:pStyle w:val="TableText"/>
              <w:jc w:val="right"/>
            </w:pPr>
            <w:r w:rsidRPr="00DF3959">
              <w:t>142 </w:t>
            </w:r>
          </w:p>
        </w:tc>
        <w:tc>
          <w:tcPr>
            <w:tcW w:w="2160" w:type="dxa"/>
            <w:vAlign w:val="center"/>
            <w:hideMark/>
          </w:tcPr>
          <w:p w14:paraId="30BBB436" w14:textId="77777777" w:rsidR="00DF3959" w:rsidRPr="00DF3959" w:rsidRDefault="00DF3959" w:rsidP="004F0ED0">
            <w:pPr>
              <w:pStyle w:val="TableText"/>
              <w:jc w:val="right"/>
            </w:pPr>
            <w:r w:rsidRPr="00DF3959">
              <w:t>2,852 </w:t>
            </w:r>
          </w:p>
        </w:tc>
        <w:tc>
          <w:tcPr>
            <w:tcW w:w="2610" w:type="dxa"/>
            <w:vAlign w:val="center"/>
            <w:hideMark/>
          </w:tcPr>
          <w:p w14:paraId="2BFD3A42" w14:textId="77777777" w:rsidR="00DF3959" w:rsidRPr="00DF3959" w:rsidRDefault="00DF3959" w:rsidP="004F0ED0">
            <w:pPr>
              <w:pStyle w:val="TableText"/>
              <w:jc w:val="right"/>
            </w:pPr>
            <w:r w:rsidRPr="00DF3959">
              <w:t>1,779 </w:t>
            </w:r>
          </w:p>
        </w:tc>
      </w:tr>
      <w:tr w:rsidR="00DF3959" w:rsidRPr="00DF3959" w14:paraId="685BF8AD" w14:textId="77777777" w:rsidTr="004F0ED0">
        <w:trPr>
          <w:trHeight w:val="300"/>
        </w:trPr>
        <w:tc>
          <w:tcPr>
            <w:tcW w:w="2775" w:type="dxa"/>
            <w:vAlign w:val="center"/>
            <w:hideMark/>
          </w:tcPr>
          <w:p w14:paraId="1546E06E" w14:textId="77777777" w:rsidR="00DF3959" w:rsidRPr="00DF3959" w:rsidRDefault="00DF3959" w:rsidP="004F0ED0">
            <w:pPr>
              <w:pStyle w:val="TableText"/>
            </w:pPr>
            <w:r w:rsidRPr="00DF3959">
              <w:t>Number of Referrals to an OIB Service Specialist  </w:t>
            </w:r>
          </w:p>
        </w:tc>
        <w:tc>
          <w:tcPr>
            <w:tcW w:w="2520" w:type="dxa"/>
            <w:vAlign w:val="center"/>
            <w:hideMark/>
          </w:tcPr>
          <w:p w14:paraId="5B1C9548" w14:textId="77777777" w:rsidR="00DF3959" w:rsidRPr="00DF3959" w:rsidRDefault="00DF3959" w:rsidP="004F0ED0">
            <w:pPr>
              <w:pStyle w:val="TableText"/>
              <w:jc w:val="right"/>
            </w:pPr>
            <w:r w:rsidRPr="00DF3959">
              <w:t>113 </w:t>
            </w:r>
          </w:p>
        </w:tc>
        <w:tc>
          <w:tcPr>
            <w:tcW w:w="2160" w:type="dxa"/>
            <w:vAlign w:val="center"/>
            <w:hideMark/>
          </w:tcPr>
          <w:p w14:paraId="7297C345" w14:textId="77777777" w:rsidR="00DF3959" w:rsidRPr="00DF3959" w:rsidRDefault="00DF3959" w:rsidP="004F0ED0">
            <w:pPr>
              <w:pStyle w:val="TableText"/>
              <w:jc w:val="right"/>
            </w:pPr>
            <w:r w:rsidRPr="00DF3959">
              <w:t>1,164 </w:t>
            </w:r>
          </w:p>
        </w:tc>
        <w:tc>
          <w:tcPr>
            <w:tcW w:w="2610" w:type="dxa"/>
            <w:vAlign w:val="center"/>
            <w:hideMark/>
          </w:tcPr>
          <w:p w14:paraId="432B1F48" w14:textId="77777777" w:rsidR="00DF3959" w:rsidRPr="00DF3959" w:rsidRDefault="00DF3959" w:rsidP="004F0ED0">
            <w:pPr>
              <w:pStyle w:val="TableText"/>
              <w:jc w:val="right"/>
            </w:pPr>
            <w:r w:rsidRPr="00DF3959">
              <w:t>936 </w:t>
            </w:r>
          </w:p>
        </w:tc>
      </w:tr>
      <w:tr w:rsidR="00DF3959" w:rsidRPr="00DF3959" w14:paraId="76ABC0FF" w14:textId="77777777" w:rsidTr="004F0ED0">
        <w:trPr>
          <w:trHeight w:val="300"/>
        </w:trPr>
        <w:tc>
          <w:tcPr>
            <w:tcW w:w="2775" w:type="dxa"/>
            <w:vAlign w:val="center"/>
            <w:hideMark/>
          </w:tcPr>
          <w:p w14:paraId="2B5FF7CA" w14:textId="77777777" w:rsidR="00DF3959" w:rsidRPr="00DF3959" w:rsidRDefault="00DF3959" w:rsidP="004F0ED0">
            <w:pPr>
              <w:pStyle w:val="TableText"/>
            </w:pPr>
            <w:r w:rsidRPr="00DF3959">
              <w:t>Number of referrals to VR </w:t>
            </w:r>
          </w:p>
        </w:tc>
        <w:tc>
          <w:tcPr>
            <w:tcW w:w="2520" w:type="dxa"/>
            <w:vAlign w:val="center"/>
            <w:hideMark/>
          </w:tcPr>
          <w:p w14:paraId="1BB1CC4A" w14:textId="77777777" w:rsidR="00DF3959" w:rsidRPr="00DF3959" w:rsidRDefault="00DF3959" w:rsidP="004F0ED0">
            <w:pPr>
              <w:pStyle w:val="TableText"/>
              <w:jc w:val="right"/>
            </w:pPr>
            <w:r w:rsidRPr="00DF3959">
              <w:t>13 </w:t>
            </w:r>
          </w:p>
        </w:tc>
        <w:tc>
          <w:tcPr>
            <w:tcW w:w="2160" w:type="dxa"/>
            <w:vAlign w:val="center"/>
            <w:hideMark/>
          </w:tcPr>
          <w:p w14:paraId="0EF6E670" w14:textId="77777777" w:rsidR="00DF3959" w:rsidRPr="00DF3959" w:rsidRDefault="00DF3959" w:rsidP="004F0ED0">
            <w:pPr>
              <w:pStyle w:val="TableText"/>
              <w:jc w:val="right"/>
            </w:pPr>
            <w:r w:rsidRPr="00DF3959">
              <w:t>56 </w:t>
            </w:r>
          </w:p>
        </w:tc>
        <w:tc>
          <w:tcPr>
            <w:tcW w:w="2610" w:type="dxa"/>
            <w:vAlign w:val="center"/>
            <w:hideMark/>
          </w:tcPr>
          <w:p w14:paraId="30F308F7" w14:textId="77777777" w:rsidR="00DF3959" w:rsidRPr="00DF3959" w:rsidRDefault="00DF3959" w:rsidP="004F0ED0">
            <w:pPr>
              <w:pStyle w:val="TableText"/>
              <w:jc w:val="right"/>
            </w:pPr>
            <w:r w:rsidRPr="00DF3959">
              <w:t>75 </w:t>
            </w:r>
          </w:p>
        </w:tc>
      </w:tr>
    </w:tbl>
    <w:p w14:paraId="4EB63B40" w14:textId="77777777" w:rsidR="00DF3959" w:rsidRPr="00DF3959" w:rsidRDefault="00DF3959" w:rsidP="00DF3959">
      <w:pPr>
        <w:pStyle w:val="BodyText"/>
      </w:pPr>
      <w:r w:rsidRPr="00DF3959">
        <w:rPr>
          <w:u w:val="single"/>
        </w:rPr>
        <w:t>Senior Keys to Independence Program </w:t>
      </w:r>
      <w:r w:rsidRPr="00DF3959">
        <w:t> </w:t>
      </w:r>
    </w:p>
    <w:p w14:paraId="400BEAF4" w14:textId="77777777" w:rsidR="00DF3959" w:rsidRPr="00DF3959" w:rsidRDefault="00DF3959" w:rsidP="00DF3959">
      <w:pPr>
        <w:pStyle w:val="BodyText"/>
      </w:pPr>
      <w:r w:rsidRPr="00DF3959">
        <w:t xml:space="preserve">In FY 2024, The OIB Program through awarded contracts with Vibrant Works of San Antonio and Envision Dallas implemented the Senior Keys to Independence Program which is a 4-day intensive group skills training for eligible OIB customers. Below are numbers of customers who have attended the program. Customers complete a pre- and post-assessment during training to measure improvements in independent living skills </w:t>
      </w:r>
      <w:proofErr w:type="gramStart"/>
      <w:r w:rsidRPr="00DF3959">
        <w:t>as a result of</w:t>
      </w:r>
      <w:proofErr w:type="gramEnd"/>
      <w:r w:rsidRPr="00DF3959">
        <w:t xml:space="preserve"> participating in the program.  </w:t>
      </w:r>
    </w:p>
    <w:p w14:paraId="7DA37413" w14:textId="77777777" w:rsidR="00DF3959" w:rsidRPr="00DF3959" w:rsidRDefault="00DF3959" w:rsidP="004F0ED0">
      <w:pPr>
        <w:pStyle w:val="BodyText3"/>
      </w:pPr>
      <w:r w:rsidRPr="00DF3959">
        <w:lastRenderedPageBreak/>
        <w:t>SKIP Numbers of Customers Served and Pre/Post Assessments </w:t>
      </w:r>
    </w:p>
    <w:tbl>
      <w:tblPr>
        <w:tblStyle w:val="TableGrid1"/>
        <w:tblW w:w="0" w:type="dxa"/>
        <w:tblCellMar>
          <w:top w:w="58" w:type="dxa"/>
          <w:bottom w:w="58" w:type="dxa"/>
        </w:tblCellMar>
        <w:tblLook w:val="04A0" w:firstRow="1" w:lastRow="0" w:firstColumn="1" w:lastColumn="0" w:noHBand="0" w:noVBand="1"/>
      </w:tblPr>
      <w:tblGrid>
        <w:gridCol w:w="3137"/>
        <w:gridCol w:w="3073"/>
        <w:gridCol w:w="3140"/>
      </w:tblGrid>
      <w:tr w:rsidR="00DF3959" w:rsidRPr="00DF3959" w14:paraId="7808F1C7" w14:textId="77777777" w:rsidTr="004F0ED0">
        <w:trPr>
          <w:trHeight w:val="300"/>
          <w:tblHeader/>
        </w:trPr>
        <w:tc>
          <w:tcPr>
            <w:tcW w:w="3345" w:type="dxa"/>
            <w:shd w:val="clear" w:color="auto" w:fill="B8CCE4" w:themeFill="accent1" w:themeFillTint="66"/>
            <w:vAlign w:val="center"/>
            <w:hideMark/>
          </w:tcPr>
          <w:p w14:paraId="02A90174" w14:textId="1DE3A4F2" w:rsidR="00DF3959" w:rsidRPr="00DF3959" w:rsidRDefault="00DF3959" w:rsidP="004F0ED0">
            <w:pPr>
              <w:pStyle w:val="TableHeaders"/>
            </w:pPr>
            <w:r w:rsidRPr="00DF3959">
              <w:t>SKIP Data</w:t>
            </w:r>
          </w:p>
        </w:tc>
        <w:tc>
          <w:tcPr>
            <w:tcW w:w="3345" w:type="dxa"/>
            <w:shd w:val="clear" w:color="auto" w:fill="B8CCE4" w:themeFill="accent1" w:themeFillTint="66"/>
            <w:vAlign w:val="center"/>
            <w:hideMark/>
          </w:tcPr>
          <w:p w14:paraId="28A97F0E" w14:textId="413B9009" w:rsidR="00DF3959" w:rsidRPr="00DF3959" w:rsidRDefault="00DF3959" w:rsidP="004F0ED0">
            <w:pPr>
              <w:pStyle w:val="TableHeaders"/>
            </w:pPr>
            <w:r w:rsidRPr="00DF3959">
              <w:t>2024</w:t>
            </w:r>
          </w:p>
        </w:tc>
        <w:tc>
          <w:tcPr>
            <w:tcW w:w="3345" w:type="dxa"/>
            <w:shd w:val="clear" w:color="auto" w:fill="B8CCE4" w:themeFill="accent1" w:themeFillTint="66"/>
            <w:vAlign w:val="center"/>
            <w:hideMark/>
          </w:tcPr>
          <w:p w14:paraId="097C139C" w14:textId="251184FC" w:rsidR="00DF3959" w:rsidRPr="00DF3959" w:rsidRDefault="00DF3959" w:rsidP="004F0ED0">
            <w:pPr>
              <w:pStyle w:val="TableHeaders"/>
            </w:pPr>
            <w:r w:rsidRPr="00DF3959">
              <w:t>2025 (09/01/2024-04/01/2025)</w:t>
            </w:r>
          </w:p>
        </w:tc>
      </w:tr>
      <w:tr w:rsidR="00DF3959" w:rsidRPr="00DF3959" w14:paraId="7632E37C" w14:textId="77777777" w:rsidTr="004F0ED0">
        <w:trPr>
          <w:trHeight w:val="300"/>
        </w:trPr>
        <w:tc>
          <w:tcPr>
            <w:tcW w:w="3345" w:type="dxa"/>
            <w:vAlign w:val="center"/>
            <w:hideMark/>
          </w:tcPr>
          <w:p w14:paraId="0A3062A5" w14:textId="77777777" w:rsidR="00DF3959" w:rsidRPr="00DF3959" w:rsidRDefault="00DF3959" w:rsidP="004F0ED0">
            <w:pPr>
              <w:pStyle w:val="TableText"/>
            </w:pPr>
            <w:r w:rsidRPr="00DF3959">
              <w:t>Number of Participants </w:t>
            </w:r>
          </w:p>
        </w:tc>
        <w:tc>
          <w:tcPr>
            <w:tcW w:w="3345" w:type="dxa"/>
            <w:vAlign w:val="center"/>
            <w:hideMark/>
          </w:tcPr>
          <w:p w14:paraId="7D451773" w14:textId="77777777" w:rsidR="00DF3959" w:rsidRPr="00DF3959" w:rsidRDefault="00DF3959" w:rsidP="004F0ED0">
            <w:pPr>
              <w:pStyle w:val="TableText"/>
              <w:jc w:val="right"/>
            </w:pPr>
            <w:r w:rsidRPr="00DF3959">
              <w:t>78 </w:t>
            </w:r>
          </w:p>
        </w:tc>
        <w:tc>
          <w:tcPr>
            <w:tcW w:w="3345" w:type="dxa"/>
            <w:vAlign w:val="center"/>
            <w:hideMark/>
          </w:tcPr>
          <w:p w14:paraId="5EA189DE" w14:textId="77777777" w:rsidR="00DF3959" w:rsidRPr="00DF3959" w:rsidRDefault="00DF3959" w:rsidP="004F0ED0">
            <w:pPr>
              <w:pStyle w:val="TableText"/>
              <w:jc w:val="right"/>
            </w:pPr>
            <w:r w:rsidRPr="00DF3959">
              <w:t>65 </w:t>
            </w:r>
          </w:p>
        </w:tc>
      </w:tr>
      <w:tr w:rsidR="00DF3959" w:rsidRPr="00DF3959" w14:paraId="5C142687" w14:textId="77777777" w:rsidTr="004F0ED0">
        <w:trPr>
          <w:trHeight w:val="300"/>
        </w:trPr>
        <w:tc>
          <w:tcPr>
            <w:tcW w:w="3345" w:type="dxa"/>
            <w:vAlign w:val="center"/>
            <w:hideMark/>
          </w:tcPr>
          <w:p w14:paraId="194E0416" w14:textId="77777777" w:rsidR="00DF3959" w:rsidRPr="00DF3959" w:rsidRDefault="00DF3959" w:rsidP="004F0ED0">
            <w:pPr>
              <w:pStyle w:val="TableText"/>
            </w:pPr>
            <w:r w:rsidRPr="00DF3959">
              <w:t>Number of customers confident in their ability to perform common home tasks pre-training </w:t>
            </w:r>
          </w:p>
        </w:tc>
        <w:tc>
          <w:tcPr>
            <w:tcW w:w="3345" w:type="dxa"/>
            <w:vAlign w:val="center"/>
            <w:hideMark/>
          </w:tcPr>
          <w:p w14:paraId="60FF732B" w14:textId="77777777" w:rsidR="00DF3959" w:rsidRPr="00DF3959" w:rsidRDefault="00DF3959" w:rsidP="004F0ED0">
            <w:pPr>
              <w:pStyle w:val="TableText"/>
              <w:jc w:val="right"/>
            </w:pPr>
            <w:r w:rsidRPr="00DF3959">
              <w:t>22 </w:t>
            </w:r>
          </w:p>
        </w:tc>
        <w:tc>
          <w:tcPr>
            <w:tcW w:w="3345" w:type="dxa"/>
            <w:vAlign w:val="center"/>
            <w:hideMark/>
          </w:tcPr>
          <w:p w14:paraId="42F214C8" w14:textId="77777777" w:rsidR="00DF3959" w:rsidRPr="00DF3959" w:rsidRDefault="00DF3959" w:rsidP="004F0ED0">
            <w:pPr>
              <w:pStyle w:val="TableText"/>
              <w:jc w:val="right"/>
            </w:pPr>
            <w:r w:rsidRPr="00DF3959">
              <w:t>14 </w:t>
            </w:r>
          </w:p>
        </w:tc>
      </w:tr>
      <w:tr w:rsidR="00DF3959" w:rsidRPr="00DF3959" w14:paraId="639BCE58" w14:textId="77777777" w:rsidTr="004F0ED0">
        <w:trPr>
          <w:trHeight w:val="300"/>
        </w:trPr>
        <w:tc>
          <w:tcPr>
            <w:tcW w:w="3345" w:type="dxa"/>
            <w:vAlign w:val="center"/>
            <w:hideMark/>
          </w:tcPr>
          <w:p w14:paraId="0C16FC23" w14:textId="77777777" w:rsidR="00DF3959" w:rsidRPr="00DF3959" w:rsidRDefault="00DF3959" w:rsidP="004F0ED0">
            <w:pPr>
              <w:pStyle w:val="TableText"/>
            </w:pPr>
            <w:r w:rsidRPr="00DF3959">
              <w:t>Number of customers confident in their ability to perform common home tasks post-training </w:t>
            </w:r>
          </w:p>
        </w:tc>
        <w:tc>
          <w:tcPr>
            <w:tcW w:w="3345" w:type="dxa"/>
            <w:vAlign w:val="center"/>
            <w:hideMark/>
          </w:tcPr>
          <w:p w14:paraId="68D37E30" w14:textId="77777777" w:rsidR="00DF3959" w:rsidRPr="00DF3959" w:rsidRDefault="00DF3959" w:rsidP="004F0ED0">
            <w:pPr>
              <w:pStyle w:val="TableText"/>
              <w:jc w:val="right"/>
            </w:pPr>
            <w:r w:rsidRPr="00DF3959">
              <w:t>78 </w:t>
            </w:r>
          </w:p>
        </w:tc>
        <w:tc>
          <w:tcPr>
            <w:tcW w:w="3345" w:type="dxa"/>
            <w:vAlign w:val="center"/>
            <w:hideMark/>
          </w:tcPr>
          <w:p w14:paraId="149CEF7A" w14:textId="77777777" w:rsidR="00DF3959" w:rsidRPr="00DF3959" w:rsidRDefault="00DF3959" w:rsidP="004F0ED0">
            <w:pPr>
              <w:pStyle w:val="TableText"/>
              <w:jc w:val="right"/>
            </w:pPr>
            <w:r w:rsidRPr="00DF3959">
              <w:t>65 </w:t>
            </w:r>
          </w:p>
        </w:tc>
      </w:tr>
      <w:tr w:rsidR="00DF3959" w:rsidRPr="00DF3959" w14:paraId="5A7A0AE6" w14:textId="77777777" w:rsidTr="004F0ED0">
        <w:trPr>
          <w:trHeight w:val="300"/>
        </w:trPr>
        <w:tc>
          <w:tcPr>
            <w:tcW w:w="3345" w:type="dxa"/>
            <w:vAlign w:val="center"/>
            <w:hideMark/>
          </w:tcPr>
          <w:p w14:paraId="6B47FA8E" w14:textId="77777777" w:rsidR="00DF3959" w:rsidRPr="00DF3959" w:rsidRDefault="00DF3959" w:rsidP="004F0ED0">
            <w:pPr>
              <w:pStyle w:val="TableText"/>
            </w:pPr>
            <w:r w:rsidRPr="00DF3959">
              <w:t>Number of customers confident in their ability to safely navigate around their home pre-training </w:t>
            </w:r>
          </w:p>
        </w:tc>
        <w:tc>
          <w:tcPr>
            <w:tcW w:w="3345" w:type="dxa"/>
            <w:vAlign w:val="center"/>
            <w:hideMark/>
          </w:tcPr>
          <w:p w14:paraId="43640BB4" w14:textId="77777777" w:rsidR="00DF3959" w:rsidRPr="00DF3959" w:rsidRDefault="00DF3959" w:rsidP="004F0ED0">
            <w:pPr>
              <w:pStyle w:val="TableText"/>
              <w:jc w:val="right"/>
            </w:pPr>
            <w:r w:rsidRPr="00DF3959">
              <w:t>12 </w:t>
            </w:r>
          </w:p>
        </w:tc>
        <w:tc>
          <w:tcPr>
            <w:tcW w:w="3345" w:type="dxa"/>
            <w:vAlign w:val="center"/>
            <w:hideMark/>
          </w:tcPr>
          <w:p w14:paraId="7021C471" w14:textId="77777777" w:rsidR="00DF3959" w:rsidRPr="00DF3959" w:rsidRDefault="00DF3959" w:rsidP="004F0ED0">
            <w:pPr>
              <w:pStyle w:val="TableText"/>
              <w:jc w:val="right"/>
            </w:pPr>
            <w:r w:rsidRPr="00DF3959">
              <w:t>8 </w:t>
            </w:r>
          </w:p>
        </w:tc>
      </w:tr>
      <w:tr w:rsidR="00DF3959" w:rsidRPr="00DF3959" w14:paraId="5F41733F" w14:textId="77777777" w:rsidTr="004F0ED0">
        <w:trPr>
          <w:trHeight w:val="300"/>
        </w:trPr>
        <w:tc>
          <w:tcPr>
            <w:tcW w:w="3345" w:type="dxa"/>
            <w:vAlign w:val="center"/>
            <w:hideMark/>
          </w:tcPr>
          <w:p w14:paraId="17011078" w14:textId="77777777" w:rsidR="00DF3959" w:rsidRPr="00DF3959" w:rsidRDefault="00DF3959" w:rsidP="004F0ED0">
            <w:pPr>
              <w:pStyle w:val="TableText"/>
            </w:pPr>
            <w:r w:rsidRPr="00DF3959">
              <w:t>Number of customers confident in their ability to safely navigate around their home post-training </w:t>
            </w:r>
          </w:p>
        </w:tc>
        <w:tc>
          <w:tcPr>
            <w:tcW w:w="3345" w:type="dxa"/>
            <w:vAlign w:val="center"/>
            <w:hideMark/>
          </w:tcPr>
          <w:p w14:paraId="1EE18930" w14:textId="77777777" w:rsidR="00DF3959" w:rsidRPr="00DF3959" w:rsidRDefault="00DF3959" w:rsidP="004F0ED0">
            <w:pPr>
              <w:pStyle w:val="TableText"/>
              <w:jc w:val="right"/>
            </w:pPr>
            <w:r w:rsidRPr="00DF3959">
              <w:t>70 </w:t>
            </w:r>
          </w:p>
        </w:tc>
        <w:tc>
          <w:tcPr>
            <w:tcW w:w="3345" w:type="dxa"/>
            <w:vAlign w:val="center"/>
            <w:hideMark/>
          </w:tcPr>
          <w:p w14:paraId="4D58B5C0" w14:textId="77777777" w:rsidR="00DF3959" w:rsidRPr="00DF3959" w:rsidRDefault="00DF3959" w:rsidP="004F0ED0">
            <w:pPr>
              <w:pStyle w:val="TableText"/>
              <w:jc w:val="right"/>
            </w:pPr>
            <w:r w:rsidRPr="00DF3959">
              <w:t>55 </w:t>
            </w:r>
          </w:p>
        </w:tc>
      </w:tr>
    </w:tbl>
    <w:p w14:paraId="6CEF1253" w14:textId="77777777" w:rsidR="00DF3959" w:rsidRPr="00DF3959" w:rsidRDefault="00DF3959" w:rsidP="004F0ED0">
      <w:pPr>
        <w:pStyle w:val="BodyText"/>
        <w:ind w:left="720" w:hanging="720"/>
      </w:pPr>
      <w:r w:rsidRPr="00DF3959">
        <w:rPr>
          <w:b/>
          <w:bCs/>
        </w:rPr>
        <w:t>D.</w:t>
      </w:r>
      <w:r w:rsidRPr="00DF3959">
        <w:tab/>
      </w:r>
      <w:r w:rsidRPr="00DF3959">
        <w:rPr>
          <w:b/>
          <w:bCs/>
        </w:rPr>
        <w:t>Describe any important history regarding this division or program not included in the general agency history section, including how the functions or services have changed over time. If the response to Section III of this report is sufficient, please leave this section blank.</w:t>
      </w:r>
      <w:r w:rsidRPr="00DF3959">
        <w:t> </w:t>
      </w:r>
    </w:p>
    <w:p w14:paraId="2B991931" w14:textId="5EA30045" w:rsidR="00DF3959" w:rsidRPr="00DF3959" w:rsidRDefault="00DF3959" w:rsidP="00DF3959">
      <w:pPr>
        <w:pStyle w:val="BodyText"/>
      </w:pPr>
      <w:r w:rsidRPr="00DF3959">
        <w:t>Since its inception, the enabling federal legislation for independent living</w:t>
      </w:r>
      <w:r w:rsidR="00035FA6">
        <w:t xml:space="preserve"> </w:t>
      </w:r>
      <w:r w:rsidRPr="00DF3959">
        <w:t>services (Rehabilitation Act of 1973, as amended, Title VII, Chapter 2) has remained consistent in its focus on self-advocacy and full inclusion. </w:t>
      </w:r>
    </w:p>
    <w:p w14:paraId="44E220EE" w14:textId="7C4CB257" w:rsidR="00DF3959" w:rsidRPr="00DF3959" w:rsidRDefault="00DF3959" w:rsidP="00DF3959">
      <w:pPr>
        <w:pStyle w:val="BodyText"/>
      </w:pPr>
      <w:r w:rsidRPr="00EC36A7">
        <w:rPr>
          <w:b/>
          <w:bCs/>
        </w:rPr>
        <w:t>20</w:t>
      </w:r>
      <w:r w:rsidR="00EC36A7" w:rsidRPr="008978DC">
        <w:rPr>
          <w:b/>
          <w:bCs/>
        </w:rPr>
        <w:t>16</w:t>
      </w:r>
      <w:r w:rsidR="00EC36A7">
        <w:t>:</w:t>
      </w:r>
      <w:r w:rsidRPr="00DF3959">
        <w:t xml:space="preserve"> </w:t>
      </w:r>
      <w:r w:rsidR="00035FA6">
        <w:t xml:space="preserve"> </w:t>
      </w:r>
      <w:r w:rsidR="00EC36A7">
        <w:t>OIB, along with other f</w:t>
      </w:r>
      <w:r w:rsidR="005A0DFA" w:rsidRPr="00DF3959">
        <w:t>ormer DARS programs</w:t>
      </w:r>
      <w:r w:rsidR="00035FA6">
        <w:t>, was</w:t>
      </w:r>
      <w:r w:rsidR="005A0DFA" w:rsidRPr="00DF3959">
        <w:t xml:space="preserve"> transferred to TWC on September 1, 2016</w:t>
      </w:r>
      <w:r w:rsidR="00035FA6">
        <w:t>.</w:t>
      </w:r>
    </w:p>
    <w:p w14:paraId="19444F93" w14:textId="77777777" w:rsidR="00DF3959" w:rsidRPr="00DF3959" w:rsidRDefault="00DF3959" w:rsidP="00DF3959">
      <w:pPr>
        <w:pStyle w:val="BodyText"/>
      </w:pPr>
      <w:r w:rsidRPr="00DF3959">
        <w:rPr>
          <w:b/>
          <w:bCs/>
        </w:rPr>
        <w:t>2021</w:t>
      </w:r>
      <w:r w:rsidRPr="00DF3959">
        <w:t>:</w:t>
      </w:r>
      <w:r w:rsidRPr="00DF3959">
        <w:tab/>
        <w:t>OIB staff are moved from being supervised by VR managers and an OIB management unit is created under one OIB manager.  </w:t>
      </w:r>
    </w:p>
    <w:p w14:paraId="565CCB64" w14:textId="77777777" w:rsidR="00DF3959" w:rsidRPr="00DF3959" w:rsidRDefault="00DF3959" w:rsidP="00DF3959">
      <w:pPr>
        <w:pStyle w:val="BodyText"/>
      </w:pPr>
      <w:r w:rsidRPr="00DF3959">
        <w:rPr>
          <w:b/>
          <w:bCs/>
        </w:rPr>
        <w:t>2023</w:t>
      </w:r>
      <w:r w:rsidRPr="00DF3959">
        <w:t>:</w:t>
      </w:r>
      <w:r w:rsidRPr="00DF3959">
        <w:tab/>
        <w:t>The program receives VR SSAVR funds totaling $1.8 million. These funds help to expand the program by adding 5 additional staff and meeting the demand of more customers served. The OIB Help Line is created in Texas to meet the needs of incoming referrals and providing a one-stop service for information about the program.  </w:t>
      </w:r>
    </w:p>
    <w:p w14:paraId="5AEAED16" w14:textId="77777777" w:rsidR="00DF3959" w:rsidRPr="00DF3959" w:rsidRDefault="00DF3959" w:rsidP="00DF3959">
      <w:pPr>
        <w:pStyle w:val="BodyText"/>
      </w:pPr>
      <w:r w:rsidRPr="00DF3959">
        <w:rPr>
          <w:b/>
          <w:bCs/>
        </w:rPr>
        <w:t>2024</w:t>
      </w:r>
      <w:r w:rsidRPr="00DF3959">
        <w:t>:</w:t>
      </w:r>
      <w:r w:rsidRPr="00DF3959">
        <w:tab/>
        <w:t>The program receives VR SSAVR funds totaling $4.8 million. These funds help substantially expand the program adding 6 staff and fully funding the OIB Help Line. The Senior Keys to Independence program was created in conjunction with two Lighthouses for the Blind to provide intensive group skills training to eligible customers. </w:t>
      </w:r>
    </w:p>
    <w:p w14:paraId="01964A13" w14:textId="6E55DFA1" w:rsidR="00DF3959" w:rsidRPr="00DF3959" w:rsidRDefault="004F0ED0" w:rsidP="004F0ED0">
      <w:pPr>
        <w:pStyle w:val="BodyText"/>
        <w:ind w:left="720" w:hanging="720"/>
      </w:pPr>
      <w:r>
        <w:rPr>
          <w:b/>
          <w:bCs/>
        </w:rPr>
        <w:t>E</w:t>
      </w:r>
      <w:r w:rsidR="00DF3959" w:rsidRPr="00DF3959">
        <w:rPr>
          <w:b/>
          <w:bCs/>
        </w:rPr>
        <w:t>.</w:t>
      </w:r>
      <w:r>
        <w:rPr>
          <w:b/>
          <w:bCs/>
        </w:rPr>
        <w:tab/>
      </w:r>
      <w:r w:rsidR="00DF3959" w:rsidRPr="00DF3959">
        <w:rPr>
          <w:b/>
          <w:bCs/>
        </w:rPr>
        <w:t>List any qualifications or eligibility requirements for persons or entities affected by this division or program (e.g., licensees, consumers, and landowners). Provide a statistical breakdown of persons or entities affected.</w:t>
      </w:r>
      <w:r w:rsidR="00DF3959" w:rsidRPr="00DF3959">
        <w:t> </w:t>
      </w:r>
    </w:p>
    <w:p w14:paraId="7DA46FA6" w14:textId="77777777" w:rsidR="00DF3959" w:rsidRPr="00DF3959" w:rsidRDefault="00DF3959" w:rsidP="00DF3959">
      <w:pPr>
        <w:pStyle w:val="BodyText"/>
      </w:pPr>
      <w:r w:rsidRPr="00DF3959">
        <w:lastRenderedPageBreak/>
        <w:t>The target population for the OIB program includes individuals whose blindness or significant visual impairment creates challenges to living independently. To be eligible for services, individuals must reside in Texas and show documentation that they are in the United States legally. OIB customers must be 55 or older, have a significant visual impairment or blindness and need OIB services to maintain or improve their independence in their home and/or communities. </w:t>
      </w:r>
    </w:p>
    <w:p w14:paraId="5CF77316" w14:textId="5BB8E570" w:rsidR="00112505" w:rsidRPr="00DF3959" w:rsidRDefault="00DF3959" w:rsidP="00DF3959">
      <w:pPr>
        <w:pStyle w:val="BodyText"/>
      </w:pPr>
      <w:r w:rsidRPr="00DF3959">
        <w:t>The eligibility criteria</w:t>
      </w:r>
      <w:r w:rsidR="00112505">
        <w:t xml:space="preserve"> for the program are </w:t>
      </w:r>
      <w:r w:rsidRPr="00DF3959">
        <w:t>established in the federal </w:t>
      </w:r>
      <w:hyperlink r:id="rId112" w:history="1">
        <w:r w:rsidR="00112505">
          <w:rPr>
            <w:rFonts w:eastAsiaTheme="minorHAnsi" w:cs="Arial"/>
            <w:color w:val="0000FF"/>
            <w:szCs w:val="52"/>
            <w:u w:val="single"/>
          </w:rPr>
          <w:t>Rehabilitation Act of 1973</w:t>
        </w:r>
      </w:hyperlink>
      <w:r w:rsidR="00112505">
        <w:rPr>
          <w:rFonts w:eastAsiaTheme="minorHAnsi" w:cs="Arial"/>
          <w:szCs w:val="52"/>
        </w:rPr>
        <w:t>.</w:t>
      </w:r>
    </w:p>
    <w:p w14:paraId="253CF2E0" w14:textId="77777777" w:rsidR="00DF3959" w:rsidRPr="00DF3959" w:rsidRDefault="00DF3959" w:rsidP="004F0ED0">
      <w:pPr>
        <w:pStyle w:val="BodyText3"/>
      </w:pPr>
      <w:r w:rsidRPr="00DF3959">
        <w:t>OIB Statistical Profiles for FY 2024 </w:t>
      </w:r>
    </w:p>
    <w:p w14:paraId="2689257A" w14:textId="77777777" w:rsidR="00DF3959" w:rsidRPr="00DF3959" w:rsidRDefault="00DF3959" w:rsidP="004F0ED0">
      <w:pPr>
        <w:pStyle w:val="BodyText3"/>
      </w:pPr>
      <w:r w:rsidRPr="00DF3959">
        <w:t>Race/Ethnicity Data </w:t>
      </w:r>
    </w:p>
    <w:tbl>
      <w:tblPr>
        <w:tblStyle w:val="TableGrid1"/>
        <w:tblW w:w="0" w:type="dxa"/>
        <w:tblCellMar>
          <w:top w:w="58" w:type="dxa"/>
          <w:bottom w:w="58" w:type="dxa"/>
        </w:tblCellMar>
        <w:tblLook w:val="04A0" w:firstRow="1" w:lastRow="0" w:firstColumn="1" w:lastColumn="0" w:noHBand="0" w:noVBand="1"/>
      </w:tblPr>
      <w:tblGrid>
        <w:gridCol w:w="4689"/>
        <w:gridCol w:w="4661"/>
      </w:tblGrid>
      <w:tr w:rsidR="00DF3959" w:rsidRPr="004F0ED0" w14:paraId="34B98F45" w14:textId="77777777" w:rsidTr="004F0ED0">
        <w:trPr>
          <w:trHeight w:val="300"/>
        </w:trPr>
        <w:tc>
          <w:tcPr>
            <w:tcW w:w="5025" w:type="dxa"/>
            <w:shd w:val="clear" w:color="auto" w:fill="B8CCE4" w:themeFill="accent1" w:themeFillTint="66"/>
            <w:vAlign w:val="center"/>
            <w:hideMark/>
          </w:tcPr>
          <w:p w14:paraId="766F77A8" w14:textId="72ED7EF8" w:rsidR="00DF3959" w:rsidRPr="004F0ED0" w:rsidRDefault="00DF3959" w:rsidP="004F0ED0">
            <w:pPr>
              <w:pStyle w:val="TableHeaders"/>
              <w:rPr>
                <w:b w:val="0"/>
                <w:bCs/>
              </w:rPr>
            </w:pPr>
            <w:r w:rsidRPr="004F0ED0">
              <w:rPr>
                <w:b w:val="0"/>
                <w:bCs/>
              </w:rPr>
              <w:t>Race/Ethnicity</w:t>
            </w:r>
          </w:p>
        </w:tc>
        <w:tc>
          <w:tcPr>
            <w:tcW w:w="5025" w:type="dxa"/>
            <w:shd w:val="clear" w:color="auto" w:fill="B8CCE4" w:themeFill="accent1" w:themeFillTint="66"/>
            <w:vAlign w:val="center"/>
            <w:hideMark/>
          </w:tcPr>
          <w:p w14:paraId="2D4E6D08" w14:textId="1C2CEC07" w:rsidR="00DF3959" w:rsidRPr="004F0ED0" w:rsidRDefault="00DF3959" w:rsidP="004F0ED0">
            <w:pPr>
              <w:pStyle w:val="TableHeaders"/>
              <w:rPr>
                <w:b w:val="0"/>
                <w:bCs/>
              </w:rPr>
            </w:pPr>
            <w:r w:rsidRPr="004F0ED0">
              <w:rPr>
                <w:b w:val="0"/>
                <w:bCs/>
              </w:rPr>
              <w:t>Number of Customers</w:t>
            </w:r>
          </w:p>
        </w:tc>
      </w:tr>
      <w:tr w:rsidR="00DF3959" w:rsidRPr="00DF3959" w14:paraId="1A49B381" w14:textId="77777777" w:rsidTr="004F0ED0">
        <w:trPr>
          <w:trHeight w:val="300"/>
        </w:trPr>
        <w:tc>
          <w:tcPr>
            <w:tcW w:w="5025" w:type="dxa"/>
            <w:vAlign w:val="center"/>
            <w:hideMark/>
          </w:tcPr>
          <w:p w14:paraId="4DBA08DB" w14:textId="77777777" w:rsidR="00DF3959" w:rsidRPr="00DF3959" w:rsidRDefault="00DF3959" w:rsidP="004F0ED0">
            <w:pPr>
              <w:pStyle w:val="TableText"/>
            </w:pPr>
            <w:r w:rsidRPr="00DF3959">
              <w:t>White </w:t>
            </w:r>
          </w:p>
        </w:tc>
        <w:tc>
          <w:tcPr>
            <w:tcW w:w="5025" w:type="dxa"/>
            <w:vAlign w:val="center"/>
            <w:hideMark/>
          </w:tcPr>
          <w:p w14:paraId="74F29BA3" w14:textId="77777777" w:rsidR="00DF3959" w:rsidRPr="00DF3959" w:rsidRDefault="00DF3959" w:rsidP="004F0ED0">
            <w:pPr>
              <w:pStyle w:val="TableText"/>
              <w:jc w:val="right"/>
            </w:pPr>
            <w:r w:rsidRPr="00DF3959">
              <w:t>2,156 </w:t>
            </w:r>
          </w:p>
        </w:tc>
      </w:tr>
      <w:tr w:rsidR="00DF3959" w:rsidRPr="00DF3959" w14:paraId="3C893990" w14:textId="77777777" w:rsidTr="004F0ED0">
        <w:trPr>
          <w:trHeight w:val="300"/>
        </w:trPr>
        <w:tc>
          <w:tcPr>
            <w:tcW w:w="5025" w:type="dxa"/>
            <w:vAlign w:val="center"/>
            <w:hideMark/>
          </w:tcPr>
          <w:p w14:paraId="187815EF" w14:textId="77777777" w:rsidR="00DF3959" w:rsidRPr="00DF3959" w:rsidRDefault="00DF3959" w:rsidP="004F0ED0">
            <w:pPr>
              <w:pStyle w:val="TableText"/>
            </w:pPr>
            <w:r w:rsidRPr="00DF3959">
              <w:t>Black or African American </w:t>
            </w:r>
          </w:p>
        </w:tc>
        <w:tc>
          <w:tcPr>
            <w:tcW w:w="5025" w:type="dxa"/>
            <w:vAlign w:val="center"/>
            <w:hideMark/>
          </w:tcPr>
          <w:p w14:paraId="51EE42E5" w14:textId="77777777" w:rsidR="00DF3959" w:rsidRPr="00DF3959" w:rsidRDefault="00DF3959" w:rsidP="004F0ED0">
            <w:pPr>
              <w:pStyle w:val="TableText"/>
              <w:jc w:val="right"/>
            </w:pPr>
            <w:r w:rsidRPr="00DF3959">
              <w:t>486 </w:t>
            </w:r>
          </w:p>
        </w:tc>
      </w:tr>
      <w:tr w:rsidR="00DF3959" w:rsidRPr="00DF3959" w14:paraId="170F0C64" w14:textId="77777777" w:rsidTr="004F0ED0">
        <w:trPr>
          <w:trHeight w:val="300"/>
        </w:trPr>
        <w:tc>
          <w:tcPr>
            <w:tcW w:w="5025" w:type="dxa"/>
            <w:vAlign w:val="center"/>
            <w:hideMark/>
          </w:tcPr>
          <w:p w14:paraId="77721224" w14:textId="77777777" w:rsidR="00DF3959" w:rsidRPr="00DF3959" w:rsidRDefault="00DF3959" w:rsidP="004F0ED0">
            <w:pPr>
              <w:pStyle w:val="TableText"/>
            </w:pPr>
            <w:r w:rsidRPr="00DF3959">
              <w:t>American Indian or Alaska Native </w:t>
            </w:r>
          </w:p>
        </w:tc>
        <w:tc>
          <w:tcPr>
            <w:tcW w:w="5025" w:type="dxa"/>
            <w:vAlign w:val="center"/>
            <w:hideMark/>
          </w:tcPr>
          <w:p w14:paraId="6E2EDE32" w14:textId="77777777" w:rsidR="00DF3959" w:rsidRPr="00DF3959" w:rsidRDefault="00DF3959" w:rsidP="004F0ED0">
            <w:pPr>
              <w:pStyle w:val="TableText"/>
              <w:jc w:val="right"/>
            </w:pPr>
            <w:r w:rsidRPr="00DF3959">
              <w:t>10 </w:t>
            </w:r>
          </w:p>
        </w:tc>
      </w:tr>
      <w:tr w:rsidR="00DF3959" w:rsidRPr="00DF3959" w14:paraId="4E3E8A71" w14:textId="77777777" w:rsidTr="004F0ED0">
        <w:trPr>
          <w:trHeight w:val="300"/>
        </w:trPr>
        <w:tc>
          <w:tcPr>
            <w:tcW w:w="5025" w:type="dxa"/>
            <w:vAlign w:val="center"/>
            <w:hideMark/>
          </w:tcPr>
          <w:p w14:paraId="375B2548" w14:textId="77777777" w:rsidR="00DF3959" w:rsidRPr="00DF3959" w:rsidRDefault="00DF3959" w:rsidP="004F0ED0">
            <w:pPr>
              <w:pStyle w:val="TableText"/>
            </w:pPr>
            <w:r w:rsidRPr="00DF3959">
              <w:t>Asian </w:t>
            </w:r>
          </w:p>
        </w:tc>
        <w:tc>
          <w:tcPr>
            <w:tcW w:w="5025" w:type="dxa"/>
            <w:vAlign w:val="center"/>
            <w:hideMark/>
          </w:tcPr>
          <w:p w14:paraId="3EB2038A" w14:textId="77777777" w:rsidR="00DF3959" w:rsidRPr="00DF3959" w:rsidRDefault="00DF3959" w:rsidP="004F0ED0">
            <w:pPr>
              <w:pStyle w:val="TableText"/>
              <w:jc w:val="right"/>
            </w:pPr>
            <w:r w:rsidRPr="00DF3959">
              <w:t>18 </w:t>
            </w:r>
          </w:p>
        </w:tc>
      </w:tr>
      <w:tr w:rsidR="00DF3959" w:rsidRPr="00DF3959" w14:paraId="752606E7" w14:textId="77777777" w:rsidTr="004F0ED0">
        <w:trPr>
          <w:trHeight w:val="300"/>
        </w:trPr>
        <w:tc>
          <w:tcPr>
            <w:tcW w:w="5025" w:type="dxa"/>
            <w:vAlign w:val="center"/>
            <w:hideMark/>
          </w:tcPr>
          <w:p w14:paraId="5051EB90" w14:textId="77777777" w:rsidR="00DF3959" w:rsidRPr="00DF3959" w:rsidRDefault="00DF3959" w:rsidP="004F0ED0">
            <w:pPr>
              <w:pStyle w:val="TableText"/>
            </w:pPr>
            <w:r w:rsidRPr="00DF3959">
              <w:t>Native Hawaiian or Other Pacific Islander </w:t>
            </w:r>
          </w:p>
        </w:tc>
        <w:tc>
          <w:tcPr>
            <w:tcW w:w="5025" w:type="dxa"/>
            <w:vAlign w:val="center"/>
            <w:hideMark/>
          </w:tcPr>
          <w:p w14:paraId="71C6DD55" w14:textId="77777777" w:rsidR="00DF3959" w:rsidRPr="00DF3959" w:rsidRDefault="00DF3959" w:rsidP="004F0ED0">
            <w:pPr>
              <w:pStyle w:val="TableText"/>
              <w:jc w:val="right"/>
            </w:pPr>
            <w:r w:rsidRPr="00DF3959">
              <w:t>1 </w:t>
            </w:r>
          </w:p>
        </w:tc>
      </w:tr>
      <w:tr w:rsidR="00DF3959" w:rsidRPr="00DF3959" w14:paraId="54D1E7E4" w14:textId="77777777" w:rsidTr="004F0ED0">
        <w:trPr>
          <w:trHeight w:val="300"/>
        </w:trPr>
        <w:tc>
          <w:tcPr>
            <w:tcW w:w="5025" w:type="dxa"/>
            <w:vAlign w:val="center"/>
            <w:hideMark/>
          </w:tcPr>
          <w:p w14:paraId="4EE3C407" w14:textId="77777777" w:rsidR="00DF3959" w:rsidRPr="00DF3959" w:rsidRDefault="00DF3959" w:rsidP="004F0ED0">
            <w:pPr>
              <w:pStyle w:val="TableText"/>
            </w:pPr>
            <w:r w:rsidRPr="00DF3959">
              <w:t>Individual did not self-Identify Race </w:t>
            </w:r>
          </w:p>
        </w:tc>
        <w:tc>
          <w:tcPr>
            <w:tcW w:w="5025" w:type="dxa"/>
            <w:vAlign w:val="center"/>
            <w:hideMark/>
          </w:tcPr>
          <w:p w14:paraId="12E420FB" w14:textId="77777777" w:rsidR="00DF3959" w:rsidRPr="00DF3959" w:rsidRDefault="00DF3959" w:rsidP="004F0ED0">
            <w:pPr>
              <w:pStyle w:val="TableText"/>
              <w:jc w:val="right"/>
            </w:pPr>
            <w:r w:rsidRPr="00DF3959">
              <w:t>157 </w:t>
            </w:r>
          </w:p>
        </w:tc>
      </w:tr>
      <w:tr w:rsidR="00DF3959" w:rsidRPr="00DF3959" w14:paraId="47B54F2D" w14:textId="77777777" w:rsidTr="004F0ED0">
        <w:trPr>
          <w:trHeight w:val="300"/>
        </w:trPr>
        <w:tc>
          <w:tcPr>
            <w:tcW w:w="5025" w:type="dxa"/>
            <w:vAlign w:val="center"/>
            <w:hideMark/>
          </w:tcPr>
          <w:p w14:paraId="13BA0433" w14:textId="77777777" w:rsidR="00DF3959" w:rsidRPr="00DF3959" w:rsidRDefault="00DF3959" w:rsidP="004F0ED0">
            <w:pPr>
              <w:pStyle w:val="TableText"/>
            </w:pPr>
            <w:r w:rsidRPr="00DF3959">
              <w:t>Two or more Races </w:t>
            </w:r>
          </w:p>
        </w:tc>
        <w:tc>
          <w:tcPr>
            <w:tcW w:w="5025" w:type="dxa"/>
            <w:vAlign w:val="center"/>
            <w:hideMark/>
          </w:tcPr>
          <w:p w14:paraId="623FE15B" w14:textId="77777777" w:rsidR="00DF3959" w:rsidRPr="00DF3959" w:rsidRDefault="00DF3959" w:rsidP="004F0ED0">
            <w:pPr>
              <w:pStyle w:val="TableText"/>
              <w:jc w:val="right"/>
            </w:pPr>
            <w:r w:rsidRPr="00DF3959">
              <w:t>12 </w:t>
            </w:r>
          </w:p>
        </w:tc>
      </w:tr>
      <w:tr w:rsidR="00DF3959" w:rsidRPr="00DF3959" w14:paraId="7B2E06AD" w14:textId="77777777" w:rsidTr="004F0ED0">
        <w:trPr>
          <w:trHeight w:val="300"/>
        </w:trPr>
        <w:tc>
          <w:tcPr>
            <w:tcW w:w="5025" w:type="dxa"/>
            <w:vAlign w:val="center"/>
            <w:hideMark/>
          </w:tcPr>
          <w:p w14:paraId="11AB5980" w14:textId="77777777" w:rsidR="00DF3959" w:rsidRPr="00DF3959" w:rsidRDefault="00DF3959" w:rsidP="004F0ED0">
            <w:pPr>
              <w:pStyle w:val="TableText"/>
            </w:pPr>
            <w:r w:rsidRPr="00DF3959">
              <w:t>Hispanic or Latino </w:t>
            </w:r>
          </w:p>
        </w:tc>
        <w:tc>
          <w:tcPr>
            <w:tcW w:w="5025" w:type="dxa"/>
            <w:vAlign w:val="center"/>
            <w:hideMark/>
          </w:tcPr>
          <w:p w14:paraId="75954968" w14:textId="77777777" w:rsidR="00DF3959" w:rsidRPr="00DF3959" w:rsidRDefault="00DF3959" w:rsidP="004F0ED0">
            <w:pPr>
              <w:pStyle w:val="TableText"/>
              <w:jc w:val="right"/>
            </w:pPr>
            <w:r w:rsidRPr="00DF3959">
              <w:t>744 </w:t>
            </w:r>
          </w:p>
        </w:tc>
      </w:tr>
    </w:tbl>
    <w:p w14:paraId="686DB070" w14:textId="77777777" w:rsidR="00DF3959" w:rsidRPr="00DF3959" w:rsidRDefault="00DF3959" w:rsidP="004F0ED0">
      <w:pPr>
        <w:pStyle w:val="BodyText3"/>
      </w:pPr>
      <w:r w:rsidRPr="00DF3959">
        <w:t>Gender Data </w:t>
      </w:r>
    </w:p>
    <w:tbl>
      <w:tblPr>
        <w:tblStyle w:val="TableGrid1"/>
        <w:tblW w:w="0" w:type="dxa"/>
        <w:tblCellMar>
          <w:top w:w="58" w:type="dxa"/>
          <w:bottom w:w="58" w:type="dxa"/>
        </w:tblCellMar>
        <w:tblLook w:val="04A0" w:firstRow="1" w:lastRow="0" w:firstColumn="1" w:lastColumn="0" w:noHBand="0" w:noVBand="1"/>
      </w:tblPr>
      <w:tblGrid>
        <w:gridCol w:w="4665"/>
        <w:gridCol w:w="4685"/>
      </w:tblGrid>
      <w:tr w:rsidR="00DF3959" w:rsidRPr="004F0ED0" w14:paraId="752F7CDB" w14:textId="77777777" w:rsidTr="004F0ED0">
        <w:trPr>
          <w:trHeight w:val="300"/>
        </w:trPr>
        <w:tc>
          <w:tcPr>
            <w:tcW w:w="5025" w:type="dxa"/>
            <w:shd w:val="clear" w:color="auto" w:fill="B8CCE4" w:themeFill="accent1" w:themeFillTint="66"/>
            <w:vAlign w:val="center"/>
            <w:hideMark/>
          </w:tcPr>
          <w:p w14:paraId="53169B71" w14:textId="02B1732D" w:rsidR="00DF3959" w:rsidRPr="004F0ED0" w:rsidRDefault="00DF3959" w:rsidP="004F0ED0">
            <w:pPr>
              <w:pStyle w:val="TableHeaders"/>
              <w:rPr>
                <w:b w:val="0"/>
                <w:bCs/>
              </w:rPr>
            </w:pPr>
            <w:r w:rsidRPr="004F0ED0">
              <w:rPr>
                <w:b w:val="0"/>
                <w:bCs/>
              </w:rPr>
              <w:t>Gender</w:t>
            </w:r>
          </w:p>
        </w:tc>
        <w:tc>
          <w:tcPr>
            <w:tcW w:w="5025" w:type="dxa"/>
            <w:shd w:val="clear" w:color="auto" w:fill="B8CCE4" w:themeFill="accent1" w:themeFillTint="66"/>
            <w:vAlign w:val="center"/>
            <w:hideMark/>
          </w:tcPr>
          <w:p w14:paraId="25562754" w14:textId="6C9C24E4" w:rsidR="00DF3959" w:rsidRPr="004F0ED0" w:rsidRDefault="00DF3959" w:rsidP="004F0ED0">
            <w:pPr>
              <w:pStyle w:val="TableHeaders"/>
              <w:rPr>
                <w:b w:val="0"/>
                <w:bCs/>
              </w:rPr>
            </w:pPr>
            <w:r w:rsidRPr="004F0ED0">
              <w:rPr>
                <w:b w:val="0"/>
                <w:bCs/>
              </w:rPr>
              <w:t>Number of Customers</w:t>
            </w:r>
          </w:p>
        </w:tc>
      </w:tr>
      <w:tr w:rsidR="00DF3959" w:rsidRPr="00DF3959" w14:paraId="632AB9B8" w14:textId="77777777" w:rsidTr="004F0ED0">
        <w:trPr>
          <w:trHeight w:val="300"/>
        </w:trPr>
        <w:tc>
          <w:tcPr>
            <w:tcW w:w="5025" w:type="dxa"/>
            <w:vAlign w:val="center"/>
            <w:hideMark/>
          </w:tcPr>
          <w:p w14:paraId="39D5D85E" w14:textId="77777777" w:rsidR="00DF3959" w:rsidRPr="00DF3959" w:rsidRDefault="00DF3959" w:rsidP="004F0ED0">
            <w:pPr>
              <w:pStyle w:val="TableText"/>
            </w:pPr>
            <w:r w:rsidRPr="00DF3959">
              <w:t>Male </w:t>
            </w:r>
          </w:p>
        </w:tc>
        <w:tc>
          <w:tcPr>
            <w:tcW w:w="5025" w:type="dxa"/>
            <w:vAlign w:val="center"/>
            <w:hideMark/>
          </w:tcPr>
          <w:p w14:paraId="5BDA5CE6" w14:textId="77777777" w:rsidR="00DF3959" w:rsidRPr="00DF3959" w:rsidRDefault="00DF3959" w:rsidP="004F0ED0">
            <w:pPr>
              <w:pStyle w:val="TableText"/>
              <w:jc w:val="right"/>
            </w:pPr>
            <w:r w:rsidRPr="00DF3959">
              <w:t>1,845 </w:t>
            </w:r>
          </w:p>
        </w:tc>
      </w:tr>
      <w:tr w:rsidR="00DF3959" w:rsidRPr="00DF3959" w14:paraId="5E9D7CA3" w14:textId="77777777" w:rsidTr="004F0ED0">
        <w:trPr>
          <w:trHeight w:val="300"/>
        </w:trPr>
        <w:tc>
          <w:tcPr>
            <w:tcW w:w="5025" w:type="dxa"/>
            <w:vAlign w:val="center"/>
            <w:hideMark/>
          </w:tcPr>
          <w:p w14:paraId="7923C3B2" w14:textId="77777777" w:rsidR="00DF3959" w:rsidRPr="00DF3959" w:rsidRDefault="00DF3959" w:rsidP="004F0ED0">
            <w:pPr>
              <w:pStyle w:val="TableText"/>
            </w:pPr>
            <w:r w:rsidRPr="00DF3959">
              <w:t>Female </w:t>
            </w:r>
          </w:p>
        </w:tc>
        <w:tc>
          <w:tcPr>
            <w:tcW w:w="5025" w:type="dxa"/>
            <w:vAlign w:val="center"/>
            <w:hideMark/>
          </w:tcPr>
          <w:p w14:paraId="6C178D88" w14:textId="77777777" w:rsidR="00DF3959" w:rsidRPr="00DF3959" w:rsidRDefault="00DF3959" w:rsidP="004F0ED0">
            <w:pPr>
              <w:pStyle w:val="TableText"/>
              <w:jc w:val="right"/>
            </w:pPr>
            <w:r w:rsidRPr="00DF3959">
              <w:t>991 </w:t>
            </w:r>
          </w:p>
        </w:tc>
      </w:tr>
      <w:tr w:rsidR="00DF3959" w:rsidRPr="00DF3959" w14:paraId="55A8396E" w14:textId="77777777" w:rsidTr="004F0ED0">
        <w:trPr>
          <w:trHeight w:val="300"/>
        </w:trPr>
        <w:tc>
          <w:tcPr>
            <w:tcW w:w="5025" w:type="dxa"/>
            <w:vAlign w:val="center"/>
            <w:hideMark/>
          </w:tcPr>
          <w:p w14:paraId="5AC35826" w14:textId="77777777" w:rsidR="00DF3959" w:rsidRPr="00DF3959" w:rsidRDefault="00DF3959" w:rsidP="004F0ED0">
            <w:pPr>
              <w:pStyle w:val="TableText"/>
            </w:pPr>
            <w:r w:rsidRPr="00DF3959">
              <w:t>Did not self-Identify </w:t>
            </w:r>
          </w:p>
        </w:tc>
        <w:tc>
          <w:tcPr>
            <w:tcW w:w="5025" w:type="dxa"/>
            <w:vAlign w:val="center"/>
            <w:hideMark/>
          </w:tcPr>
          <w:p w14:paraId="131988F7" w14:textId="77777777" w:rsidR="00DF3959" w:rsidRPr="00DF3959" w:rsidRDefault="00DF3959" w:rsidP="004F0ED0">
            <w:pPr>
              <w:pStyle w:val="TableText"/>
              <w:jc w:val="right"/>
            </w:pPr>
            <w:r w:rsidRPr="00DF3959">
              <w:t>4 </w:t>
            </w:r>
          </w:p>
        </w:tc>
      </w:tr>
    </w:tbl>
    <w:p w14:paraId="4BAEF438" w14:textId="77777777" w:rsidR="00DF3959" w:rsidRPr="00DF3959" w:rsidRDefault="00DF3959" w:rsidP="004F0ED0">
      <w:pPr>
        <w:pStyle w:val="BodyText3"/>
      </w:pPr>
      <w:r w:rsidRPr="00DF3959">
        <w:t>Age at Application </w:t>
      </w:r>
    </w:p>
    <w:tbl>
      <w:tblPr>
        <w:tblStyle w:val="TableGrid1"/>
        <w:tblW w:w="0" w:type="dxa"/>
        <w:tblCellMar>
          <w:top w:w="58" w:type="dxa"/>
          <w:bottom w:w="58" w:type="dxa"/>
        </w:tblCellMar>
        <w:tblLook w:val="04A0" w:firstRow="1" w:lastRow="0" w:firstColumn="1" w:lastColumn="0" w:noHBand="0" w:noVBand="1"/>
      </w:tblPr>
      <w:tblGrid>
        <w:gridCol w:w="4656"/>
        <w:gridCol w:w="4694"/>
      </w:tblGrid>
      <w:tr w:rsidR="00DF3959" w:rsidRPr="004F0ED0" w14:paraId="47C13E53" w14:textId="77777777" w:rsidTr="004F0ED0">
        <w:trPr>
          <w:trHeight w:val="300"/>
        </w:trPr>
        <w:tc>
          <w:tcPr>
            <w:tcW w:w="5025" w:type="dxa"/>
            <w:shd w:val="clear" w:color="auto" w:fill="B8CCE4" w:themeFill="accent1" w:themeFillTint="66"/>
            <w:vAlign w:val="center"/>
            <w:hideMark/>
          </w:tcPr>
          <w:p w14:paraId="11DBE69B" w14:textId="198ABB21" w:rsidR="00DF3959" w:rsidRPr="004F0ED0" w:rsidRDefault="00DF3959" w:rsidP="004F0ED0">
            <w:pPr>
              <w:pStyle w:val="TableHeaders"/>
              <w:rPr>
                <w:b w:val="0"/>
                <w:bCs/>
              </w:rPr>
            </w:pPr>
            <w:r w:rsidRPr="004F0ED0">
              <w:rPr>
                <w:b w:val="0"/>
                <w:bCs/>
              </w:rPr>
              <w:t>Age</w:t>
            </w:r>
          </w:p>
        </w:tc>
        <w:tc>
          <w:tcPr>
            <w:tcW w:w="5025" w:type="dxa"/>
            <w:shd w:val="clear" w:color="auto" w:fill="B8CCE4" w:themeFill="accent1" w:themeFillTint="66"/>
            <w:vAlign w:val="center"/>
            <w:hideMark/>
          </w:tcPr>
          <w:p w14:paraId="3C2A8F1E" w14:textId="7A399D9A" w:rsidR="00DF3959" w:rsidRPr="004F0ED0" w:rsidRDefault="00DF3959" w:rsidP="004F0ED0">
            <w:pPr>
              <w:pStyle w:val="TableHeaders"/>
              <w:rPr>
                <w:b w:val="0"/>
                <w:bCs/>
              </w:rPr>
            </w:pPr>
            <w:r w:rsidRPr="004F0ED0">
              <w:rPr>
                <w:b w:val="0"/>
                <w:bCs/>
              </w:rPr>
              <w:t>Number of Customers</w:t>
            </w:r>
          </w:p>
        </w:tc>
      </w:tr>
      <w:tr w:rsidR="00DF3959" w:rsidRPr="00DF3959" w14:paraId="3A8A49FF" w14:textId="77777777" w:rsidTr="004F0ED0">
        <w:trPr>
          <w:trHeight w:val="300"/>
        </w:trPr>
        <w:tc>
          <w:tcPr>
            <w:tcW w:w="5025" w:type="dxa"/>
            <w:vAlign w:val="center"/>
            <w:hideMark/>
          </w:tcPr>
          <w:p w14:paraId="5B80DA7B" w14:textId="77777777" w:rsidR="00DF3959" w:rsidRPr="00DF3959" w:rsidRDefault="00DF3959" w:rsidP="004F0ED0">
            <w:pPr>
              <w:pStyle w:val="TableText"/>
            </w:pPr>
            <w:r w:rsidRPr="00DF3959">
              <w:t>55-64 </w:t>
            </w:r>
          </w:p>
        </w:tc>
        <w:tc>
          <w:tcPr>
            <w:tcW w:w="5025" w:type="dxa"/>
            <w:vAlign w:val="center"/>
            <w:hideMark/>
          </w:tcPr>
          <w:p w14:paraId="794A82D6" w14:textId="77777777" w:rsidR="00DF3959" w:rsidRPr="00DF3959" w:rsidRDefault="00DF3959" w:rsidP="004F0ED0">
            <w:pPr>
              <w:pStyle w:val="TableText"/>
              <w:jc w:val="right"/>
            </w:pPr>
            <w:r w:rsidRPr="00DF3959">
              <w:t>540 </w:t>
            </w:r>
          </w:p>
        </w:tc>
      </w:tr>
      <w:tr w:rsidR="00DF3959" w:rsidRPr="00DF3959" w14:paraId="0F320BF3" w14:textId="77777777" w:rsidTr="004F0ED0">
        <w:trPr>
          <w:trHeight w:val="300"/>
        </w:trPr>
        <w:tc>
          <w:tcPr>
            <w:tcW w:w="5025" w:type="dxa"/>
            <w:vAlign w:val="center"/>
            <w:hideMark/>
          </w:tcPr>
          <w:p w14:paraId="66459805" w14:textId="77777777" w:rsidR="00DF3959" w:rsidRPr="00DF3959" w:rsidRDefault="00DF3959" w:rsidP="004F0ED0">
            <w:pPr>
              <w:pStyle w:val="TableText"/>
            </w:pPr>
            <w:r w:rsidRPr="00DF3959">
              <w:t>65-74 </w:t>
            </w:r>
          </w:p>
        </w:tc>
        <w:tc>
          <w:tcPr>
            <w:tcW w:w="5025" w:type="dxa"/>
            <w:vAlign w:val="center"/>
            <w:hideMark/>
          </w:tcPr>
          <w:p w14:paraId="16E5F699" w14:textId="77777777" w:rsidR="00DF3959" w:rsidRPr="00DF3959" w:rsidRDefault="00DF3959" w:rsidP="004F0ED0">
            <w:pPr>
              <w:pStyle w:val="TableText"/>
              <w:jc w:val="right"/>
            </w:pPr>
            <w:r w:rsidRPr="00DF3959">
              <w:t>789 </w:t>
            </w:r>
          </w:p>
        </w:tc>
      </w:tr>
      <w:tr w:rsidR="00DF3959" w:rsidRPr="00DF3959" w14:paraId="560DD1C5" w14:textId="77777777" w:rsidTr="004F0ED0">
        <w:trPr>
          <w:trHeight w:val="300"/>
        </w:trPr>
        <w:tc>
          <w:tcPr>
            <w:tcW w:w="5025" w:type="dxa"/>
            <w:vAlign w:val="center"/>
            <w:hideMark/>
          </w:tcPr>
          <w:p w14:paraId="0E011DE1" w14:textId="77777777" w:rsidR="00DF3959" w:rsidRPr="00DF3959" w:rsidRDefault="00DF3959" w:rsidP="004F0ED0">
            <w:pPr>
              <w:pStyle w:val="TableText"/>
            </w:pPr>
            <w:r w:rsidRPr="00DF3959">
              <w:t>75-84 </w:t>
            </w:r>
          </w:p>
        </w:tc>
        <w:tc>
          <w:tcPr>
            <w:tcW w:w="5025" w:type="dxa"/>
            <w:vAlign w:val="center"/>
            <w:hideMark/>
          </w:tcPr>
          <w:p w14:paraId="5BE407D8" w14:textId="77777777" w:rsidR="00DF3959" w:rsidRPr="00DF3959" w:rsidRDefault="00DF3959" w:rsidP="004F0ED0">
            <w:pPr>
              <w:pStyle w:val="TableText"/>
              <w:jc w:val="right"/>
            </w:pPr>
            <w:r w:rsidRPr="00DF3959">
              <w:t>820 </w:t>
            </w:r>
          </w:p>
        </w:tc>
      </w:tr>
      <w:tr w:rsidR="00DF3959" w:rsidRPr="00DF3959" w14:paraId="6FAD3B6D" w14:textId="77777777" w:rsidTr="004F0ED0">
        <w:trPr>
          <w:trHeight w:val="300"/>
        </w:trPr>
        <w:tc>
          <w:tcPr>
            <w:tcW w:w="5025" w:type="dxa"/>
            <w:vAlign w:val="center"/>
            <w:hideMark/>
          </w:tcPr>
          <w:p w14:paraId="6B354669" w14:textId="77777777" w:rsidR="00DF3959" w:rsidRPr="00DF3959" w:rsidRDefault="00DF3959" w:rsidP="004F0ED0">
            <w:pPr>
              <w:pStyle w:val="TableText"/>
            </w:pPr>
            <w:r w:rsidRPr="00DF3959">
              <w:t>85 and older </w:t>
            </w:r>
          </w:p>
        </w:tc>
        <w:tc>
          <w:tcPr>
            <w:tcW w:w="5025" w:type="dxa"/>
            <w:vAlign w:val="center"/>
            <w:hideMark/>
          </w:tcPr>
          <w:p w14:paraId="75DB0DCC" w14:textId="77777777" w:rsidR="00DF3959" w:rsidRPr="00DF3959" w:rsidRDefault="00DF3959" w:rsidP="004F0ED0">
            <w:pPr>
              <w:pStyle w:val="TableText"/>
              <w:jc w:val="right"/>
            </w:pPr>
            <w:r w:rsidRPr="00DF3959">
              <w:t>691 </w:t>
            </w:r>
          </w:p>
        </w:tc>
      </w:tr>
    </w:tbl>
    <w:p w14:paraId="63E1EDCF" w14:textId="77777777" w:rsidR="00DF3959" w:rsidRPr="00DF3959" w:rsidRDefault="00DF3959" w:rsidP="004F0ED0">
      <w:pPr>
        <w:pStyle w:val="BodyText3"/>
      </w:pPr>
      <w:r w:rsidRPr="00DF3959">
        <w:lastRenderedPageBreak/>
        <w:t>Primary Cause of Visual Impairment </w:t>
      </w:r>
    </w:p>
    <w:tbl>
      <w:tblPr>
        <w:tblStyle w:val="TableGrid1"/>
        <w:tblW w:w="0" w:type="dxa"/>
        <w:tblCellMar>
          <w:top w:w="58" w:type="dxa"/>
          <w:bottom w:w="58" w:type="dxa"/>
        </w:tblCellMar>
        <w:tblLook w:val="04A0" w:firstRow="1" w:lastRow="0" w:firstColumn="1" w:lastColumn="0" w:noHBand="0" w:noVBand="1"/>
      </w:tblPr>
      <w:tblGrid>
        <w:gridCol w:w="4685"/>
        <w:gridCol w:w="4665"/>
      </w:tblGrid>
      <w:tr w:rsidR="00DF3959" w:rsidRPr="00DF3959" w14:paraId="19B72D8D" w14:textId="77777777" w:rsidTr="004F0ED0">
        <w:trPr>
          <w:trHeight w:val="300"/>
        </w:trPr>
        <w:tc>
          <w:tcPr>
            <w:tcW w:w="5025" w:type="dxa"/>
            <w:shd w:val="clear" w:color="auto" w:fill="B8CCE4" w:themeFill="accent1" w:themeFillTint="66"/>
            <w:vAlign w:val="center"/>
            <w:hideMark/>
          </w:tcPr>
          <w:p w14:paraId="6D6D12EF" w14:textId="4B4AC671" w:rsidR="00DF3959" w:rsidRPr="00DF3959" w:rsidRDefault="00DF3959" w:rsidP="004F0ED0">
            <w:pPr>
              <w:pStyle w:val="TableHeaders"/>
            </w:pPr>
            <w:r w:rsidRPr="00DF3959">
              <w:t>Cause of Visual Impairment</w:t>
            </w:r>
          </w:p>
        </w:tc>
        <w:tc>
          <w:tcPr>
            <w:tcW w:w="5025" w:type="dxa"/>
            <w:shd w:val="clear" w:color="auto" w:fill="B8CCE4" w:themeFill="accent1" w:themeFillTint="66"/>
            <w:vAlign w:val="center"/>
            <w:hideMark/>
          </w:tcPr>
          <w:p w14:paraId="0C7C5AE1" w14:textId="0EABAA74" w:rsidR="00DF3959" w:rsidRPr="00DF3959" w:rsidRDefault="00DF3959" w:rsidP="004F0ED0">
            <w:pPr>
              <w:pStyle w:val="TableHeaders"/>
            </w:pPr>
            <w:r w:rsidRPr="00DF3959">
              <w:t>Number of Customers</w:t>
            </w:r>
          </w:p>
        </w:tc>
      </w:tr>
      <w:tr w:rsidR="00DF3959" w:rsidRPr="00DF3959" w14:paraId="5CE511E0" w14:textId="77777777" w:rsidTr="004F0ED0">
        <w:trPr>
          <w:trHeight w:val="300"/>
        </w:trPr>
        <w:tc>
          <w:tcPr>
            <w:tcW w:w="5025" w:type="dxa"/>
            <w:vAlign w:val="center"/>
            <w:hideMark/>
          </w:tcPr>
          <w:p w14:paraId="235B3C76" w14:textId="77777777" w:rsidR="00DF3959" w:rsidRPr="00DF3959" w:rsidRDefault="00DF3959" w:rsidP="004F0ED0">
            <w:pPr>
              <w:pStyle w:val="TableText"/>
            </w:pPr>
            <w:r w:rsidRPr="00DF3959">
              <w:t>Macular Degeneration </w:t>
            </w:r>
          </w:p>
        </w:tc>
        <w:tc>
          <w:tcPr>
            <w:tcW w:w="5025" w:type="dxa"/>
            <w:vAlign w:val="center"/>
            <w:hideMark/>
          </w:tcPr>
          <w:p w14:paraId="7E2B4438" w14:textId="77777777" w:rsidR="00DF3959" w:rsidRPr="00DF3959" w:rsidRDefault="00DF3959" w:rsidP="004F0ED0">
            <w:pPr>
              <w:pStyle w:val="TableText"/>
              <w:jc w:val="right"/>
            </w:pPr>
            <w:r w:rsidRPr="00DF3959">
              <w:t>907 </w:t>
            </w:r>
          </w:p>
        </w:tc>
      </w:tr>
      <w:tr w:rsidR="00DF3959" w:rsidRPr="00DF3959" w14:paraId="243D0812" w14:textId="77777777" w:rsidTr="004F0ED0">
        <w:trPr>
          <w:trHeight w:val="300"/>
        </w:trPr>
        <w:tc>
          <w:tcPr>
            <w:tcW w:w="5025" w:type="dxa"/>
            <w:vAlign w:val="center"/>
            <w:hideMark/>
          </w:tcPr>
          <w:p w14:paraId="5AEBB031" w14:textId="77777777" w:rsidR="00DF3959" w:rsidRPr="00DF3959" w:rsidRDefault="00DF3959" w:rsidP="004F0ED0">
            <w:pPr>
              <w:pStyle w:val="TableText"/>
            </w:pPr>
            <w:r w:rsidRPr="00DF3959">
              <w:t>Diabetic Retinopathy </w:t>
            </w:r>
          </w:p>
        </w:tc>
        <w:tc>
          <w:tcPr>
            <w:tcW w:w="5025" w:type="dxa"/>
            <w:vAlign w:val="center"/>
            <w:hideMark/>
          </w:tcPr>
          <w:p w14:paraId="1ED31E45" w14:textId="77777777" w:rsidR="00DF3959" w:rsidRPr="00DF3959" w:rsidRDefault="00DF3959" w:rsidP="004F0ED0">
            <w:pPr>
              <w:pStyle w:val="TableText"/>
              <w:jc w:val="right"/>
            </w:pPr>
            <w:r w:rsidRPr="00DF3959">
              <w:t>381 </w:t>
            </w:r>
          </w:p>
        </w:tc>
      </w:tr>
      <w:tr w:rsidR="00DF3959" w:rsidRPr="00DF3959" w14:paraId="7975E5FB" w14:textId="77777777" w:rsidTr="004F0ED0">
        <w:trPr>
          <w:trHeight w:val="300"/>
        </w:trPr>
        <w:tc>
          <w:tcPr>
            <w:tcW w:w="5025" w:type="dxa"/>
            <w:vAlign w:val="center"/>
            <w:hideMark/>
          </w:tcPr>
          <w:p w14:paraId="546B6D8F" w14:textId="77777777" w:rsidR="00DF3959" w:rsidRPr="00DF3959" w:rsidRDefault="00DF3959" w:rsidP="004F0ED0">
            <w:pPr>
              <w:pStyle w:val="TableText"/>
            </w:pPr>
            <w:r w:rsidRPr="00DF3959">
              <w:t>Glaucoma </w:t>
            </w:r>
          </w:p>
        </w:tc>
        <w:tc>
          <w:tcPr>
            <w:tcW w:w="5025" w:type="dxa"/>
            <w:vAlign w:val="center"/>
            <w:hideMark/>
          </w:tcPr>
          <w:p w14:paraId="3856EAAE" w14:textId="77777777" w:rsidR="00DF3959" w:rsidRPr="00DF3959" w:rsidRDefault="00DF3959" w:rsidP="004F0ED0">
            <w:pPr>
              <w:pStyle w:val="TableText"/>
              <w:jc w:val="right"/>
            </w:pPr>
            <w:r w:rsidRPr="00DF3959">
              <w:t>638 </w:t>
            </w:r>
          </w:p>
        </w:tc>
      </w:tr>
      <w:tr w:rsidR="00DF3959" w:rsidRPr="00DF3959" w14:paraId="6CE50630" w14:textId="77777777" w:rsidTr="004F0ED0">
        <w:trPr>
          <w:trHeight w:val="300"/>
        </w:trPr>
        <w:tc>
          <w:tcPr>
            <w:tcW w:w="5025" w:type="dxa"/>
            <w:vAlign w:val="center"/>
            <w:hideMark/>
          </w:tcPr>
          <w:p w14:paraId="3B04C70B" w14:textId="77777777" w:rsidR="00DF3959" w:rsidRPr="00DF3959" w:rsidRDefault="00DF3959" w:rsidP="004F0ED0">
            <w:pPr>
              <w:pStyle w:val="TableText"/>
            </w:pPr>
            <w:r w:rsidRPr="00DF3959">
              <w:t>Cataracts </w:t>
            </w:r>
          </w:p>
        </w:tc>
        <w:tc>
          <w:tcPr>
            <w:tcW w:w="5025" w:type="dxa"/>
            <w:vAlign w:val="center"/>
            <w:hideMark/>
          </w:tcPr>
          <w:p w14:paraId="4154CA63" w14:textId="77777777" w:rsidR="00DF3959" w:rsidRPr="00DF3959" w:rsidRDefault="00DF3959" w:rsidP="004F0ED0">
            <w:pPr>
              <w:pStyle w:val="TableText"/>
              <w:jc w:val="right"/>
            </w:pPr>
            <w:r w:rsidRPr="00DF3959">
              <w:t>51 </w:t>
            </w:r>
          </w:p>
        </w:tc>
      </w:tr>
      <w:tr w:rsidR="00DF3959" w:rsidRPr="00DF3959" w14:paraId="4227D511" w14:textId="77777777" w:rsidTr="004F0ED0">
        <w:trPr>
          <w:trHeight w:val="300"/>
        </w:trPr>
        <w:tc>
          <w:tcPr>
            <w:tcW w:w="5025" w:type="dxa"/>
            <w:vAlign w:val="center"/>
            <w:hideMark/>
          </w:tcPr>
          <w:p w14:paraId="292B518E" w14:textId="77777777" w:rsidR="00DF3959" w:rsidRPr="00DF3959" w:rsidRDefault="00DF3959" w:rsidP="004F0ED0">
            <w:pPr>
              <w:pStyle w:val="TableText"/>
            </w:pPr>
            <w:r w:rsidRPr="00DF3959">
              <w:t>Other cause of Visual Impairment </w:t>
            </w:r>
          </w:p>
        </w:tc>
        <w:tc>
          <w:tcPr>
            <w:tcW w:w="5025" w:type="dxa"/>
            <w:vAlign w:val="center"/>
            <w:hideMark/>
          </w:tcPr>
          <w:p w14:paraId="7DE480A2" w14:textId="77777777" w:rsidR="00DF3959" w:rsidRPr="00DF3959" w:rsidRDefault="00DF3959" w:rsidP="004F0ED0">
            <w:pPr>
              <w:pStyle w:val="TableText"/>
              <w:jc w:val="right"/>
            </w:pPr>
            <w:r w:rsidRPr="00DF3959">
              <w:t>863 </w:t>
            </w:r>
          </w:p>
        </w:tc>
      </w:tr>
    </w:tbl>
    <w:p w14:paraId="0D25BDBA" w14:textId="77777777" w:rsidR="00DF3959" w:rsidRPr="00DF3959" w:rsidRDefault="00DF3959" w:rsidP="004F0ED0">
      <w:pPr>
        <w:pStyle w:val="BodyText"/>
        <w:ind w:left="720" w:hanging="720"/>
      </w:pPr>
      <w:r w:rsidRPr="00DF3959">
        <w:rPr>
          <w:b/>
          <w:bCs/>
        </w:rPr>
        <w:t>F.</w:t>
      </w:r>
      <w:r w:rsidRPr="00DF3959">
        <w:tab/>
      </w:r>
      <w:r w:rsidRPr="00DF3959">
        <w:rPr>
          <w:b/>
          <w:bCs/>
        </w:rPr>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r w:rsidRPr="00DF3959">
        <w:t> </w:t>
      </w:r>
    </w:p>
    <w:p w14:paraId="7BEC4628" w14:textId="77777777" w:rsidR="00DF3959" w:rsidRPr="00DF3959" w:rsidRDefault="00DF3959" w:rsidP="00DF3959">
      <w:pPr>
        <w:pStyle w:val="BodyText"/>
      </w:pPr>
      <w:r w:rsidRPr="00DF3959">
        <w:t>The OIB program is located within the VR and is led by the Deputy Director of Blind Services and two OIB managers. The OIB Program is administered by 19 OIB Service Specialists (OSS) who reside in TWC Workforce Solutions offices around the state. Each OSS reports to an OIB manager. Each OIB Manager has an assistant who reports directly to them. In addition, there are two (2) OIB program specialists who report to the Program Management Specialist at the state office level. The Program Management Specialist also reports to the Deputy Director of Blind Services. Two (2) field Program Specialists report to an OIB Manager. Four (4) rehabilitation assistants (RA) provide support to 13 OSSs. Seven OSSs receive support from VR rehabilitation assistants who report to the Administrative Supervisor in the VR Management unit. The RAs also reside in TWC Workforce Solutions offices.  </w:t>
      </w:r>
    </w:p>
    <w:p w14:paraId="6C7E8428" w14:textId="1C4CA29B" w:rsidR="00DF3959" w:rsidRPr="00DF3959" w:rsidRDefault="00DF3959" w:rsidP="008978DC">
      <w:pPr>
        <w:pStyle w:val="BodyText"/>
      </w:pPr>
      <w:r w:rsidRPr="00DF3959">
        <w:t xml:space="preserve">Agency policies and procedures are outlined in the </w:t>
      </w:r>
      <w:hyperlink r:id="rId113" w:history="1">
        <w:r w:rsidR="00F713DC">
          <w:rPr>
            <w:rStyle w:val="Hyperlink"/>
          </w:rPr>
          <w:t>Independent Living Services for OIB Policies and Procedures Manual</w:t>
        </w:r>
      </w:hyperlink>
      <w:r w:rsidR="00F713DC">
        <w:t xml:space="preserve">, </w:t>
      </w:r>
      <w:r w:rsidRPr="00DF3959">
        <w:t xml:space="preserve">which is the day-to-day operational guide for OIB staff. OIB staff use </w:t>
      </w:r>
      <w:r w:rsidR="00FE4FA9">
        <w:t>different</w:t>
      </w:r>
      <w:r w:rsidRPr="00DF3959">
        <w:t xml:space="preserve"> process</w:t>
      </w:r>
      <w:r w:rsidR="00FE4FA9">
        <w:t>es</w:t>
      </w:r>
      <w:r w:rsidRPr="00DF3959">
        <w:t xml:space="preserve"> to help move customers through the OIB program to meet their independent</w:t>
      </w:r>
      <w:r w:rsidR="00FE4FA9">
        <w:t xml:space="preserve"> living goals, which vary by customer</w:t>
      </w:r>
      <w:r w:rsidR="00867597">
        <w:t xml:space="preserve">. More information </w:t>
      </w:r>
      <w:r w:rsidR="00F249B6">
        <w:t xml:space="preserve">on independent living goals </w:t>
      </w:r>
      <w:r w:rsidR="00867597">
        <w:t xml:space="preserve">can be found </w:t>
      </w:r>
      <w:r w:rsidR="003E360F">
        <w:t>at</w:t>
      </w:r>
      <w:r w:rsidR="00FE4FA9" w:rsidRPr="00DF3959" w:rsidDel="00FE4FA9">
        <w:t xml:space="preserve"> </w:t>
      </w:r>
      <w:hyperlink r:id="rId114" w:history="1">
        <w:r w:rsidR="004B7F94" w:rsidRPr="00115862">
          <w:rPr>
            <w:rFonts w:cs="Arial"/>
            <w:color w:val="0000FF"/>
            <w:u w:val="single"/>
          </w:rPr>
          <w:t>Older Individuals Who are Blind Program - Texas Workforce Commission</w:t>
        </w:r>
      </w:hyperlink>
      <w:r w:rsidR="00F249B6">
        <w:rPr>
          <w:rFonts w:eastAsiaTheme="minorHAnsi" w:cs="Arial"/>
        </w:rPr>
        <w:t>.</w:t>
      </w:r>
    </w:p>
    <w:p w14:paraId="532B8376" w14:textId="77777777" w:rsidR="00DF3959" w:rsidRPr="00DF3959" w:rsidRDefault="00DF3959" w:rsidP="00DF3959">
      <w:pPr>
        <w:pStyle w:val="BodyText"/>
      </w:pPr>
      <w:r w:rsidRPr="00DF3959">
        <w:t xml:space="preserve">The OSS is responsible for case management aspects to ensure customers move through the OIB process and receive timely services. They can also provide some short-term independent living skills training. Other services can be provided by contracted providers if they are available such as independent living skills training, diabetes education, orientation and mobility training and assistive technology training. Contracted providers are required to follow all policies are procedures outlined in the VR Standards for Providers. Rehabilitation assistants are responsible for ensuring that services and payments are provided timely. Program specialists assist with ensuring that the program policies and procedures are up to date, provide intensive training to staff, and cover vacant caseloads when needed. OIB </w:t>
      </w:r>
      <w:r w:rsidRPr="00DF3959">
        <w:lastRenderedPageBreak/>
        <w:t>managers are responsible for overseeing daily program and personnel activities with staff, ensuring program benchmarks are met, and providing training and coaching to staff.  </w:t>
      </w:r>
    </w:p>
    <w:p w14:paraId="475F1D88" w14:textId="77777777" w:rsidR="00DF3959" w:rsidRPr="00DF3959" w:rsidRDefault="00DF3959" w:rsidP="00DD0C22">
      <w:pPr>
        <w:pStyle w:val="BodyText"/>
        <w:ind w:left="720" w:hanging="720"/>
      </w:pPr>
      <w:r w:rsidRPr="00DF3959">
        <w:rPr>
          <w:b/>
          <w:bCs/>
        </w:rPr>
        <w:t>G.</w:t>
      </w:r>
      <w:r w:rsidRPr="00DF3959">
        <w:tab/>
      </w:r>
      <w:r w:rsidRPr="00DF3959">
        <w:rPr>
          <w:b/>
          <w:bCs/>
        </w:rPr>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DF3959">
        <w:rPr>
          <w:b/>
          <w:bCs/>
          <w:i/>
          <w:iCs/>
        </w:rPr>
        <w:t>(If you have already submitted funding source info through the “Agency Program Information” spreadsheet, please limit your response to funding formulas or funding conventions.)</w:t>
      </w:r>
      <w:r w:rsidRPr="00DF3959">
        <w:t> </w:t>
      </w:r>
    </w:p>
    <w:tbl>
      <w:tblPr>
        <w:tblStyle w:val="TableGrid1"/>
        <w:tblW w:w="9360" w:type="dxa"/>
        <w:tblCellMar>
          <w:top w:w="58" w:type="dxa"/>
          <w:bottom w:w="58" w:type="dxa"/>
        </w:tblCellMar>
        <w:tblLook w:val="04A0" w:firstRow="1" w:lastRow="0" w:firstColumn="1" w:lastColumn="0" w:noHBand="0" w:noVBand="1"/>
      </w:tblPr>
      <w:tblGrid>
        <w:gridCol w:w="3505"/>
        <w:gridCol w:w="2071"/>
        <w:gridCol w:w="1806"/>
        <w:gridCol w:w="1978"/>
      </w:tblGrid>
      <w:tr w:rsidR="00251655" w:rsidRPr="00DD472E" w14:paraId="0B8014C1" w14:textId="77777777">
        <w:trPr>
          <w:trHeight w:val="288"/>
        </w:trPr>
        <w:tc>
          <w:tcPr>
            <w:tcW w:w="3505" w:type="dxa"/>
            <w:shd w:val="clear" w:color="auto" w:fill="B8CCE4" w:themeFill="accent1" w:themeFillTint="66"/>
            <w:vAlign w:val="center"/>
            <w:hideMark/>
          </w:tcPr>
          <w:p w14:paraId="0775E3BE" w14:textId="77777777" w:rsidR="00251655" w:rsidRPr="00DD472E" w:rsidRDefault="00251655">
            <w:pPr>
              <w:pStyle w:val="TableHeaders"/>
              <w:rPr>
                <w:color w:val="000000"/>
              </w:rPr>
            </w:pPr>
            <w:r w:rsidRPr="00DD472E">
              <w:t>Program or Function Detail Description</w:t>
            </w:r>
          </w:p>
        </w:tc>
        <w:tc>
          <w:tcPr>
            <w:tcW w:w="2430" w:type="dxa"/>
            <w:shd w:val="clear" w:color="auto" w:fill="B8CCE4" w:themeFill="accent1" w:themeFillTint="66"/>
            <w:vAlign w:val="center"/>
            <w:hideMark/>
          </w:tcPr>
          <w:p w14:paraId="50AE9496" w14:textId="77777777" w:rsidR="00251655" w:rsidRPr="00DD472E" w:rsidRDefault="00251655">
            <w:pPr>
              <w:pStyle w:val="TableHeaders"/>
              <w:rPr>
                <w:color w:val="000000"/>
              </w:rPr>
            </w:pPr>
            <w:r w:rsidRPr="00DD472E">
              <w:t>Total FY 2024</w:t>
            </w:r>
          </w:p>
        </w:tc>
        <w:tc>
          <w:tcPr>
            <w:tcW w:w="2070" w:type="dxa"/>
            <w:shd w:val="clear" w:color="auto" w:fill="B8CCE4" w:themeFill="accent1" w:themeFillTint="66"/>
            <w:vAlign w:val="center"/>
            <w:hideMark/>
          </w:tcPr>
          <w:p w14:paraId="548730E8" w14:textId="77777777" w:rsidR="00251655" w:rsidRPr="00DD472E" w:rsidRDefault="00251655">
            <w:pPr>
              <w:pStyle w:val="TableHeaders"/>
              <w:rPr>
                <w:color w:val="000000"/>
              </w:rPr>
            </w:pPr>
            <w:r w:rsidRPr="00DD472E">
              <w:t>Federal Funding</w:t>
            </w:r>
          </w:p>
        </w:tc>
        <w:tc>
          <w:tcPr>
            <w:tcW w:w="2340" w:type="dxa"/>
            <w:shd w:val="clear" w:color="auto" w:fill="B8CCE4" w:themeFill="accent1" w:themeFillTint="66"/>
            <w:vAlign w:val="center"/>
            <w:hideMark/>
          </w:tcPr>
          <w:p w14:paraId="616C1C21" w14:textId="77777777" w:rsidR="00251655" w:rsidRPr="00DD472E" w:rsidRDefault="00251655">
            <w:pPr>
              <w:pStyle w:val="TableHeaders"/>
              <w:rPr>
                <w:color w:val="000000"/>
              </w:rPr>
            </w:pPr>
            <w:r w:rsidRPr="00DD472E">
              <w:t>State Funding</w:t>
            </w:r>
          </w:p>
        </w:tc>
      </w:tr>
      <w:tr w:rsidR="00251655" w:rsidRPr="00DD472E" w14:paraId="6D1CF627" w14:textId="77777777">
        <w:trPr>
          <w:trHeight w:val="431"/>
        </w:trPr>
        <w:tc>
          <w:tcPr>
            <w:tcW w:w="3505" w:type="dxa"/>
            <w:noWrap/>
            <w:vAlign w:val="center"/>
            <w:hideMark/>
          </w:tcPr>
          <w:p w14:paraId="4BA8DFC4" w14:textId="77777777" w:rsidR="00251655" w:rsidRPr="00DD472E" w:rsidRDefault="00251655">
            <w:pPr>
              <w:pStyle w:val="TableText"/>
            </w:pPr>
            <w:r w:rsidRPr="00DD472E">
              <w:t>Older Individuals Who Are Blind Program</w:t>
            </w:r>
          </w:p>
        </w:tc>
        <w:tc>
          <w:tcPr>
            <w:tcW w:w="2430" w:type="dxa"/>
            <w:vAlign w:val="center"/>
            <w:hideMark/>
          </w:tcPr>
          <w:p w14:paraId="289D5020" w14:textId="77777777" w:rsidR="00251655" w:rsidRPr="00DD472E" w:rsidRDefault="00251655">
            <w:pPr>
              <w:pStyle w:val="TableText"/>
              <w:jc w:val="right"/>
            </w:pPr>
            <w:r w:rsidRPr="00DD472E">
              <w:t>5,875,610</w:t>
            </w:r>
          </w:p>
        </w:tc>
        <w:tc>
          <w:tcPr>
            <w:tcW w:w="2070" w:type="dxa"/>
            <w:vAlign w:val="center"/>
            <w:hideMark/>
          </w:tcPr>
          <w:p w14:paraId="3617A102" w14:textId="77777777" w:rsidR="00251655" w:rsidRPr="00DD472E" w:rsidRDefault="00251655">
            <w:pPr>
              <w:pStyle w:val="TableText"/>
              <w:jc w:val="right"/>
            </w:pPr>
            <w:r w:rsidRPr="00DD472E">
              <w:t>5,730,488</w:t>
            </w:r>
          </w:p>
        </w:tc>
        <w:tc>
          <w:tcPr>
            <w:tcW w:w="2340" w:type="dxa"/>
            <w:vAlign w:val="center"/>
            <w:hideMark/>
          </w:tcPr>
          <w:p w14:paraId="4388AB35" w14:textId="77777777" w:rsidR="00251655" w:rsidRPr="00DD472E" w:rsidRDefault="00251655">
            <w:pPr>
              <w:pStyle w:val="TableText"/>
              <w:jc w:val="right"/>
            </w:pPr>
            <w:r w:rsidRPr="00DD472E">
              <w:t>145,122</w:t>
            </w:r>
          </w:p>
        </w:tc>
      </w:tr>
    </w:tbl>
    <w:p w14:paraId="4CFE1428" w14:textId="77777777" w:rsidR="00DF3959" w:rsidRPr="00DF3959" w:rsidRDefault="00DF3959" w:rsidP="00DD0C22">
      <w:pPr>
        <w:pStyle w:val="BodyText"/>
        <w:ind w:left="720" w:hanging="720"/>
      </w:pPr>
      <w:r w:rsidRPr="00DF3959">
        <w:rPr>
          <w:b/>
          <w:bCs/>
        </w:rPr>
        <w:t>H.</w:t>
      </w:r>
      <w:r w:rsidRPr="00DF3959">
        <w:tab/>
      </w:r>
      <w:r w:rsidRPr="00DF3959">
        <w:rPr>
          <w:b/>
          <w:bCs/>
        </w:rP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r w:rsidRPr="00DF3959">
        <w:t> </w:t>
      </w:r>
    </w:p>
    <w:p w14:paraId="4A582C41" w14:textId="77777777" w:rsidR="00DF3959" w:rsidRPr="00DF3959" w:rsidRDefault="00DF3959" w:rsidP="00DD0C22">
      <w:pPr>
        <w:pStyle w:val="BodyText3"/>
      </w:pPr>
      <w:r w:rsidRPr="00DF3959">
        <w:t>Independent Living Network of Services  </w:t>
      </w:r>
    </w:p>
    <w:p w14:paraId="33A69EC4" w14:textId="4306C53D" w:rsidR="00DF3959" w:rsidRPr="00DF3959" w:rsidRDefault="00DF3959" w:rsidP="00DF3959">
      <w:pPr>
        <w:pStyle w:val="BodyText"/>
      </w:pPr>
      <w:r w:rsidRPr="00DF3959">
        <w:t xml:space="preserve">The independent living network of services is a collaborative effort of HHSC which serves as the Designated State Entity (DSE), and the statewide network of Centers for Independent Living, with representation of TWC by an OIB staff member. While each entity provides distinctly different types of services, they all share the goal of increasing the ability of individuals with all disabilities to live more independently and be integrated in their community. As required by the federal Rehabilitation Act of 1973, as amended, independent living services in Texas are described and prioritized in the Texas State Plan for Independent Living Services (SPIL).  </w:t>
      </w:r>
      <w:proofErr w:type="gramStart"/>
      <w:r w:rsidRPr="00DF3959">
        <w:t>All of</w:t>
      </w:r>
      <w:proofErr w:type="gramEnd"/>
      <w:r w:rsidRPr="00DF3959">
        <w:t xml:space="preserve"> the service components described in the State Plan are related to the goal of full inclusion in community life for Texans with disabilities. A MOU was completed between HHSC and TWC in December 2024 to outline roles in the partnership between the two agencies and provide details on how cross-customer activities should occur, including allowing HHSC access to the TWC VR database for better coordination of services </w:t>
      </w:r>
    </w:p>
    <w:p w14:paraId="318F6C71" w14:textId="39C97D7A" w:rsidR="00DF3959" w:rsidRPr="00DF3959" w:rsidRDefault="00DF3959" w:rsidP="00DD0C22">
      <w:pPr>
        <w:pStyle w:val="BodyText3"/>
      </w:pPr>
      <w:r w:rsidRPr="00DF3959">
        <w:t>Veteran’s Affairs Administration</w:t>
      </w:r>
    </w:p>
    <w:p w14:paraId="66400B7B" w14:textId="77777777" w:rsidR="00DF3959" w:rsidRPr="00DF3959" w:rsidRDefault="00DF3959" w:rsidP="00DF3959">
      <w:pPr>
        <w:pStyle w:val="BodyText"/>
      </w:pPr>
      <w:r w:rsidRPr="00DF3959">
        <w:t>Under CFR Title 38, Chapter 1, Part 17 The Veteran’s Affairs Administration (VA) provides blind and low vision rehabilitation services to eligible veterans and active-duty service members ensuring they have medical care, training and access to assistive technology. A memorandum of agreement (MOA) between the agencies ensures that duplication does not occur. The MOA identifies overlap in services, the criteria for working jointly on cases, which agency has the lead in outlined demographic areas, and how information and resources are shared. </w:t>
      </w:r>
    </w:p>
    <w:p w14:paraId="64051E44" w14:textId="77777777" w:rsidR="00DF3959" w:rsidRPr="00DF3959" w:rsidRDefault="00DF3959" w:rsidP="00DF3959">
      <w:pPr>
        <w:pStyle w:val="BodyText"/>
      </w:pPr>
      <w:r w:rsidRPr="00DF3959">
        <w:lastRenderedPageBreak/>
        <w:t>Eligible veterans are paired with a Visual Impairment Services Team (VIST) coordinator to determine care needs. When an OIB customer completes an application, they are asked if they are a veteran and if they are receiving services so that services are not duplicated. Customers are asked if they have a VIST coordinator, and work in tandem with the coordinator to ensure that services are not duplicated. If the customer is receiving VA services, these are listed as comparable benefits on the customer’s ILP.  </w:t>
      </w:r>
    </w:p>
    <w:p w14:paraId="336705E6" w14:textId="77777777" w:rsidR="00DF3959" w:rsidRPr="00DF3959" w:rsidRDefault="00DF3959" w:rsidP="00DD0C22">
      <w:pPr>
        <w:pStyle w:val="BodyText"/>
        <w:ind w:left="720" w:hanging="720"/>
      </w:pPr>
      <w:r w:rsidRPr="00DF3959">
        <w:rPr>
          <w:b/>
          <w:bCs/>
        </w:rPr>
        <w:t>I.</w:t>
      </w:r>
      <w:r w:rsidRPr="00DF3959">
        <w:tab/>
      </w:r>
      <w:r w:rsidRPr="00DF3959">
        <w:rPr>
          <w:b/>
          <w:bCs/>
        </w:rPr>
        <w:t>If the division or program works with local, regional, or federal units of government, include a brief description of these entities and their relationship to the agency.</w:t>
      </w:r>
      <w:r w:rsidRPr="00DF3959">
        <w:t> </w:t>
      </w:r>
    </w:p>
    <w:p w14:paraId="125A1150" w14:textId="22D8ED2B" w:rsidR="00DF3959" w:rsidRPr="00DF3959" w:rsidRDefault="00DF3959" w:rsidP="00DF3959">
      <w:pPr>
        <w:pStyle w:val="BodyText"/>
      </w:pPr>
      <w:r w:rsidRPr="00DF3959">
        <w:rPr>
          <w:b/>
          <w:bCs/>
        </w:rPr>
        <w:t>R</w:t>
      </w:r>
      <w:r w:rsidR="006018D9">
        <w:rPr>
          <w:b/>
          <w:bCs/>
        </w:rPr>
        <w:t xml:space="preserve">ehabilitation </w:t>
      </w:r>
      <w:r w:rsidRPr="00DF3959">
        <w:rPr>
          <w:b/>
          <w:bCs/>
        </w:rPr>
        <w:t>S</w:t>
      </w:r>
      <w:r w:rsidR="006018D9">
        <w:rPr>
          <w:b/>
          <w:bCs/>
        </w:rPr>
        <w:t xml:space="preserve">ervices </w:t>
      </w:r>
      <w:r w:rsidRPr="00DF3959">
        <w:rPr>
          <w:b/>
          <w:bCs/>
        </w:rPr>
        <w:t>A</w:t>
      </w:r>
      <w:r w:rsidR="006018D9">
        <w:rPr>
          <w:b/>
          <w:bCs/>
        </w:rPr>
        <w:t>dministration</w:t>
      </w:r>
      <w:r w:rsidRPr="00DF3959">
        <w:t> </w:t>
      </w:r>
    </w:p>
    <w:p w14:paraId="2456EBDA" w14:textId="77777777" w:rsidR="00DF3959" w:rsidRPr="00DF3959" w:rsidRDefault="00DF3959" w:rsidP="00DF3959">
      <w:pPr>
        <w:pStyle w:val="BodyText"/>
      </w:pPr>
      <w:r w:rsidRPr="00DF3959">
        <w:t>The RSA is the agency that provides federal oversight for the OIB program. RSAs formula grant program provides the federal match for OIB programs. Annually, TWC must report required information for the OIB program to RSA through the 7OB Report. Throughout the year, RSA through a grant provided through Mississippi State Universities OIB-Technical Assistance Center provides TWC with training and technical assistance in the administration of the OIB program.  </w:t>
      </w:r>
    </w:p>
    <w:p w14:paraId="42166158" w14:textId="77777777" w:rsidR="00DF3959" w:rsidRPr="00DF3959" w:rsidRDefault="00DF3959" w:rsidP="00DF3959">
      <w:pPr>
        <w:pStyle w:val="BodyText"/>
      </w:pPr>
      <w:hyperlink r:id="rId115" w:tgtFrame="_blank" w:history="1">
        <w:r w:rsidRPr="00DF3959">
          <w:rPr>
            <w:rStyle w:val="Hyperlink"/>
          </w:rPr>
          <w:t>Rehabilitation Services Administration (RSA) Requirements | OIB-TAC</w:t>
        </w:r>
      </w:hyperlink>
      <w:r w:rsidRPr="00DF3959">
        <w:t> </w:t>
      </w:r>
    </w:p>
    <w:p w14:paraId="6FA13605" w14:textId="77777777" w:rsidR="00DF3959" w:rsidRPr="00DF3959" w:rsidRDefault="00DF3959" w:rsidP="00DF3959">
      <w:pPr>
        <w:pStyle w:val="BodyText"/>
      </w:pPr>
      <w:r w:rsidRPr="00DF3959">
        <w:rPr>
          <w:b/>
          <w:bCs/>
        </w:rPr>
        <w:t>Area Agencies on Aging (AAA)</w:t>
      </w:r>
      <w:r w:rsidRPr="00DF3959">
        <w:t>  </w:t>
      </w:r>
    </w:p>
    <w:p w14:paraId="16A261D8" w14:textId="77777777" w:rsidR="00DF3959" w:rsidRPr="00DF3959" w:rsidRDefault="00DF3959" w:rsidP="00DF3959">
      <w:pPr>
        <w:pStyle w:val="BodyText"/>
      </w:pPr>
      <w:r w:rsidRPr="00DF3959">
        <w:t>AAA does not provide the same services as OIB, but customers may be identified to need mutual services. There are 28 local AAAs around the state and the local OSS is responsible for ensuring that contact is maintained with the AAA to refer potential customers to OIB, and for the OSS to refer individuals to AAA when appropriate.  </w:t>
      </w:r>
    </w:p>
    <w:p w14:paraId="6E90510A" w14:textId="77777777" w:rsidR="00DF3959" w:rsidRPr="00DF3959" w:rsidRDefault="00DF3959" w:rsidP="00DD0C22">
      <w:pPr>
        <w:pStyle w:val="BodyText"/>
        <w:ind w:left="720" w:hanging="720"/>
      </w:pPr>
      <w:r w:rsidRPr="00DF3959">
        <w:rPr>
          <w:b/>
          <w:bCs/>
        </w:rPr>
        <w:t>J.</w:t>
      </w:r>
      <w:r w:rsidRPr="00DF3959">
        <w:tab/>
      </w:r>
      <w:r w:rsidRPr="00DF3959">
        <w:rPr>
          <w:b/>
          <w:bCs/>
        </w:rPr>
        <w:t>Are there any barriers or challenges that impede the division or program’s performance, including any outdated or ineffective state laws? Explain.</w:t>
      </w:r>
      <w:r w:rsidRPr="00DF3959">
        <w:t> </w:t>
      </w:r>
    </w:p>
    <w:p w14:paraId="3181E7F7" w14:textId="65341EEA" w:rsidR="00DF3959" w:rsidRPr="00DF3959" w:rsidRDefault="00DF3959" w:rsidP="00DF3959">
      <w:pPr>
        <w:pStyle w:val="BodyText"/>
      </w:pPr>
      <w:r w:rsidRPr="00DF3959">
        <w:t>N</w:t>
      </w:r>
      <w:r w:rsidR="00EB254E">
        <w:t>/A</w:t>
      </w:r>
    </w:p>
    <w:p w14:paraId="5FACC7F8" w14:textId="77777777" w:rsidR="00DF3959" w:rsidRPr="00DF3959" w:rsidRDefault="00DF3959" w:rsidP="00EB254E">
      <w:pPr>
        <w:pStyle w:val="BodyText"/>
        <w:ind w:left="720" w:hanging="720"/>
      </w:pPr>
      <w:r w:rsidRPr="00DF3959">
        <w:rPr>
          <w:b/>
          <w:bCs/>
        </w:rPr>
        <w:t>K.</w:t>
      </w:r>
      <w:r w:rsidRPr="00DF3959">
        <w:tab/>
      </w:r>
      <w:r w:rsidRPr="00DF3959">
        <w:rPr>
          <w:b/>
          <w:bCs/>
        </w:rPr>
        <w:t>Provide any additional information needed to gain a preliminary understanding of the program or function.</w:t>
      </w:r>
      <w:r w:rsidRPr="00DF3959">
        <w:t> </w:t>
      </w:r>
    </w:p>
    <w:p w14:paraId="7ED10D38" w14:textId="75C98016" w:rsidR="00664229" w:rsidRDefault="00DF3959" w:rsidP="00DF3959">
      <w:pPr>
        <w:pStyle w:val="BodyText"/>
      </w:pPr>
      <w:r w:rsidRPr="00DF3959">
        <w:t>The OIB program has undergone considerable changes and expansion over the last 4 years. In SFY 2022, the program shifted from having OIB staff managed under VR managers throughout the state to creating an OIB management unit with an OIB manager directly supervising OIB staff. As expansion of staff occurred in FY 2023, a second OIB manager was added as well as a second OIB management unit. OIB continued its expansion in 2024 adding 6 additional staff including 3 additional OSSs, 2 RAs and 1 program specialist to meet the needs of expanding caseloads and challenges</w:t>
      </w:r>
      <w:r w:rsidR="00664229">
        <w:t>.</w:t>
      </w:r>
      <w:r w:rsidRPr="00DF3959">
        <w:t xml:space="preserve"> </w:t>
      </w:r>
    </w:p>
    <w:p w14:paraId="02805BC0" w14:textId="37BA3D5E" w:rsidR="00DF3959" w:rsidRPr="00DF3959" w:rsidRDefault="00DF3959" w:rsidP="00DF3959">
      <w:pPr>
        <w:pStyle w:val="BodyText"/>
      </w:pPr>
      <w:r w:rsidRPr="00DF3959">
        <w:lastRenderedPageBreak/>
        <w:t>The number of new customers for OIB has increased every year since 2021 by 15 percent or greater. The addition of separate management units has allowed OIB the opportunity to ensure efficiency and effectiveness in compliance with audits and the ability to update and maintain policies and procedures that are specific for OIB.  </w:t>
      </w:r>
    </w:p>
    <w:p w14:paraId="71DBCC29" w14:textId="2F6D0AD8" w:rsidR="00DF3959" w:rsidRPr="00DF3959" w:rsidRDefault="00DF3959" w:rsidP="00DF3959">
      <w:pPr>
        <w:pStyle w:val="BodyText"/>
      </w:pPr>
      <w:r w:rsidRPr="00DF3959">
        <w:t>OIB has worked to establish a comprehensive policies and procedures manual, which is closely aligned with federal and state requirements for the program. The division relies heavily on manual controls executed by the OIB staff as outlined in the policies and procedures and therefore staff training is very important. </w:t>
      </w:r>
    </w:p>
    <w:p w14:paraId="145744BE" w14:textId="0B4DA552" w:rsidR="00DF3959" w:rsidRDefault="00DF3959" w:rsidP="00003AFF">
      <w:pPr>
        <w:pStyle w:val="BodyText"/>
      </w:pPr>
      <w:r w:rsidRPr="00DF3959">
        <w:t>The OIB program will release a new policy manual in FY 2025. Updates will include</w:t>
      </w:r>
      <w:r w:rsidR="00A23A15">
        <w:t xml:space="preserve"> </w:t>
      </w:r>
      <w:r w:rsidRPr="00DF3959">
        <w:t>align</w:t>
      </w:r>
      <w:r w:rsidR="00A23A15">
        <w:t>ment</w:t>
      </w:r>
      <w:r w:rsidRPr="00DF3959">
        <w:t xml:space="preserve"> with national recommendations on policy guidance on appropriate touch when working with OIB customers</w:t>
      </w:r>
      <w:r w:rsidR="00E07854">
        <w:t>, c</w:t>
      </w:r>
      <w:r w:rsidRPr="00DF3959">
        <w:t>ombining the required OIB application and comprehensive assessment into one document to expedite the OIB process for customers</w:t>
      </w:r>
      <w:r w:rsidR="00003AFF">
        <w:t>, c</w:t>
      </w:r>
      <w:r w:rsidRPr="00DF3959">
        <w:t>ombining required forms for customers to sign into one form to help expedite the OIB application process</w:t>
      </w:r>
      <w:r w:rsidR="00003AFF">
        <w:t>, as well as other general updates</w:t>
      </w:r>
      <w:r w:rsidRPr="00DF3959">
        <w:t>.  </w:t>
      </w:r>
    </w:p>
    <w:p w14:paraId="3ECE3597" w14:textId="61473129" w:rsidR="00003AFF" w:rsidRPr="00DF3959" w:rsidRDefault="00003AFF" w:rsidP="008978DC">
      <w:pPr>
        <w:pStyle w:val="BodyText"/>
      </w:pPr>
      <w:r w:rsidRPr="00003AFF">
        <w:t xml:space="preserve">The OIB team </w:t>
      </w:r>
      <w:r>
        <w:t>has</w:t>
      </w:r>
      <w:r w:rsidRPr="00003AFF">
        <w:t xml:space="preserve"> put case review processes in place to ensure that case reviews were performed consistently</w:t>
      </w:r>
      <w:r>
        <w:t xml:space="preserve">. </w:t>
      </w:r>
      <w:r w:rsidR="00F5451C">
        <w:t xml:space="preserve">In addition, staff have </w:t>
      </w:r>
      <w:r w:rsidRPr="00003AFF">
        <w:t>continued to refine process</w:t>
      </w:r>
      <w:r w:rsidR="00F5451C">
        <w:t>es</w:t>
      </w:r>
      <w:r w:rsidRPr="00003AFF">
        <w:t xml:space="preserve"> for case reviews, </w:t>
      </w:r>
      <w:r w:rsidR="00F5451C">
        <w:t>by completing reviews</w:t>
      </w:r>
      <w:r w:rsidRPr="00003AFF">
        <w:t xml:space="preserve"> at least biannually to ensure that all reviews are completed </w:t>
      </w:r>
      <w:r w:rsidR="00F5451C">
        <w:t xml:space="preserve">in a </w:t>
      </w:r>
      <w:r w:rsidRPr="00003AFF">
        <w:t>timely</w:t>
      </w:r>
      <w:r w:rsidR="00F5451C">
        <w:t xml:space="preserve"> manner</w:t>
      </w:r>
      <w:r w:rsidR="00493014">
        <w:t xml:space="preserve"> and withing established goal times</w:t>
      </w:r>
      <w:r w:rsidRPr="00003AFF">
        <w:t xml:space="preserve">.  </w:t>
      </w:r>
    </w:p>
    <w:p w14:paraId="24F44851" w14:textId="77777777" w:rsidR="00DF3959" w:rsidRPr="00DF3959" w:rsidRDefault="00DF3959" w:rsidP="00EB254E">
      <w:pPr>
        <w:pStyle w:val="BodyText"/>
        <w:ind w:left="720" w:hanging="720"/>
      </w:pPr>
      <w:r w:rsidRPr="00DF3959">
        <w:rPr>
          <w:b/>
          <w:bCs/>
        </w:rPr>
        <w:t>L.</w:t>
      </w:r>
      <w:r w:rsidRPr="00DF3959">
        <w:tab/>
      </w:r>
      <w:r w:rsidRPr="00DF3959">
        <w:rPr>
          <w:b/>
          <w:bCs/>
        </w:rPr>
        <w:t>Regulatory programs relate to the licensing, registration, certification, or permitting of a person, business, piece of equipment, or other entity (e.g., a facility). For each regulatory program, if applicable, describe:</w:t>
      </w:r>
      <w:r w:rsidRPr="00DF3959">
        <w:t> </w:t>
      </w:r>
    </w:p>
    <w:p w14:paraId="4A870040" w14:textId="77777777" w:rsidR="00DF3959" w:rsidRPr="00DF3959" w:rsidRDefault="00DF3959" w:rsidP="00DF3959">
      <w:pPr>
        <w:pStyle w:val="BodyText"/>
      </w:pPr>
      <w:r w:rsidRPr="00DF3959">
        <w:t>N/A </w:t>
      </w:r>
    </w:p>
    <w:p w14:paraId="38217343" w14:textId="77777777" w:rsidR="00DF3959" w:rsidRPr="00DF3959" w:rsidRDefault="00DF3959" w:rsidP="00EB254E">
      <w:pPr>
        <w:pStyle w:val="BodyText"/>
        <w:ind w:left="720" w:hanging="720"/>
      </w:pPr>
      <w:r w:rsidRPr="00DF3959">
        <w:rPr>
          <w:b/>
          <w:bCs/>
        </w:rPr>
        <w:t>M.</w:t>
      </w:r>
      <w:r w:rsidRPr="00DF3959">
        <w:tab/>
      </w:r>
      <w:r w:rsidRPr="00DF3959">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DF3959">
        <w:t> </w:t>
      </w:r>
    </w:p>
    <w:p w14:paraId="0055AE03" w14:textId="352923CA" w:rsidR="00D712AA" w:rsidRDefault="00DF3959" w:rsidP="00DF3959">
      <w:pPr>
        <w:pStyle w:val="BodyText"/>
      </w:pPr>
      <w:r w:rsidRPr="00DF3959">
        <w:t>N/A </w:t>
      </w:r>
    </w:p>
    <w:p w14:paraId="68843DF3" w14:textId="5D4A7FA2" w:rsidR="00D712AA" w:rsidRDefault="00D712AA"/>
    <w:p w14:paraId="7C50FBB3" w14:textId="77777777" w:rsidR="007615CF" w:rsidRDefault="007615CF">
      <w:pPr>
        <w:rPr>
          <w:rFonts w:ascii="Arial" w:eastAsiaTheme="minorEastAsia" w:hAnsi="Arial"/>
          <w:szCs w:val="22"/>
        </w:rPr>
      </w:pPr>
    </w:p>
    <w:p w14:paraId="38C87F15" w14:textId="279A814B" w:rsidR="00DF3959" w:rsidRPr="00DF3959" w:rsidRDefault="00DF3959" w:rsidP="00101400">
      <w:pPr>
        <w:pStyle w:val="BodyText3"/>
      </w:pPr>
      <w:r w:rsidRPr="00DF3959">
        <w:lastRenderedPageBreak/>
        <w:t>Program: Business Enterprises of Texas Program</w:t>
      </w:r>
    </w:p>
    <w:p w14:paraId="7EC008EA" w14:textId="77777777" w:rsidR="00DF3959" w:rsidRPr="00DF3959" w:rsidRDefault="00DF3959" w:rsidP="00F115E5">
      <w:pPr>
        <w:pStyle w:val="BodyText"/>
      </w:pPr>
      <w:r w:rsidRPr="00DF3959">
        <w:rPr>
          <w:bCs/>
        </w:rPr>
        <w:t xml:space="preserve">Location/Division: </w:t>
      </w:r>
      <w:r w:rsidRPr="00DF3959">
        <w:t>Vocational Rehabilitation Division </w:t>
      </w:r>
    </w:p>
    <w:p w14:paraId="2822F35E" w14:textId="0F950C8A" w:rsidR="00DF3959" w:rsidRPr="00DF3959" w:rsidRDefault="00DF3959" w:rsidP="00F115E5">
      <w:pPr>
        <w:pStyle w:val="BodyText"/>
      </w:pPr>
      <w:r w:rsidRPr="00DF3959">
        <w:rPr>
          <w:bCs/>
        </w:rPr>
        <w:t>Contact Name: </w:t>
      </w:r>
      <w:r w:rsidRPr="00DF3959">
        <w:t> </w:t>
      </w:r>
      <w:r w:rsidR="00B4584F">
        <w:t>Tammy Martin, VR Director</w:t>
      </w:r>
    </w:p>
    <w:p w14:paraId="4ADAF561" w14:textId="073BDD15" w:rsidR="00DF3959" w:rsidRPr="00DF3959" w:rsidRDefault="00DF3959" w:rsidP="00355B40">
      <w:pPr>
        <w:pStyle w:val="BodyText"/>
      </w:pPr>
      <w:r w:rsidRPr="00DF3959">
        <w:rPr>
          <w:bCs/>
        </w:rPr>
        <w:t>Statutory Citation for Program:</w:t>
      </w:r>
      <w:r w:rsidR="00355B40">
        <w:t xml:space="preserve"> </w:t>
      </w:r>
      <w:r w:rsidR="00233E1B">
        <w:t xml:space="preserve">Texas Labor </w:t>
      </w:r>
      <w:r w:rsidRPr="00DF3959">
        <w:t>Code</w:t>
      </w:r>
      <w:r w:rsidR="00355B40">
        <w:t xml:space="preserve"> </w:t>
      </w:r>
      <w:r w:rsidRPr="00DF3959">
        <w:t>C</w:t>
      </w:r>
      <w:r w:rsidR="00233E1B">
        <w:t xml:space="preserve">hapter </w:t>
      </w:r>
      <w:r w:rsidR="00EF667F">
        <w:t>355</w:t>
      </w:r>
    </w:p>
    <w:p w14:paraId="3AD6B814" w14:textId="1FF1AA26" w:rsidR="00DF3959" w:rsidRPr="00DF3959" w:rsidRDefault="00DF3959" w:rsidP="00B4584F">
      <w:pPr>
        <w:pStyle w:val="BodyText3"/>
      </w:pPr>
      <w:r w:rsidRPr="00DF3959">
        <w:t>B.</w:t>
      </w:r>
      <w:r w:rsidRPr="00DF3959">
        <w:tab/>
        <w:t>What is the objective of this division or program? Describe its major activities.</w:t>
      </w:r>
    </w:p>
    <w:p w14:paraId="5A60ACC2" w14:textId="77777777" w:rsidR="00DF3959" w:rsidRPr="00DF3959" w:rsidRDefault="00DF3959" w:rsidP="00DF3959">
      <w:pPr>
        <w:pStyle w:val="BodyText"/>
      </w:pPr>
      <w:r w:rsidRPr="00DF3959">
        <w:t>The Business Enterprises of Texas Program (BET) provides individuals who are legally blind training and the opportunity to operate one of the 111 food service and vending facilities located on state and federal properties that are throughout the state. Customers who become licensed BET managers earn their personal income from profits produced by their businesses. BET services include: </w:t>
      </w:r>
    </w:p>
    <w:p w14:paraId="49D071FB" w14:textId="77777777" w:rsidR="00DF3959" w:rsidRPr="00DF3959" w:rsidRDefault="00DF3959" w:rsidP="00C64851">
      <w:pPr>
        <w:pStyle w:val="BodyText"/>
        <w:numPr>
          <w:ilvl w:val="0"/>
          <w:numId w:val="721"/>
        </w:numPr>
      </w:pPr>
      <w:r w:rsidRPr="00DF3959">
        <w:t>Initial customer training for potential BET licensees. </w:t>
      </w:r>
    </w:p>
    <w:p w14:paraId="5CB18C6A" w14:textId="77777777" w:rsidR="00DF3959" w:rsidRPr="00DF3959" w:rsidRDefault="00DF3959" w:rsidP="00C64851">
      <w:pPr>
        <w:pStyle w:val="BodyText"/>
        <w:numPr>
          <w:ilvl w:val="0"/>
          <w:numId w:val="722"/>
        </w:numPr>
      </w:pPr>
      <w:r w:rsidRPr="00DF3959">
        <w:t>Ongoing training for licensed managers. </w:t>
      </w:r>
    </w:p>
    <w:p w14:paraId="22649D5F" w14:textId="77777777" w:rsidR="00DF3959" w:rsidRPr="00DF3959" w:rsidRDefault="00DF3959" w:rsidP="00C64851">
      <w:pPr>
        <w:pStyle w:val="BodyText"/>
        <w:numPr>
          <w:ilvl w:val="0"/>
          <w:numId w:val="723"/>
        </w:numPr>
      </w:pPr>
      <w:r w:rsidRPr="00DF3959">
        <w:t>Provision, maintenance, and replacement as needed of facility equipment. </w:t>
      </w:r>
    </w:p>
    <w:p w14:paraId="08F5F758" w14:textId="77777777" w:rsidR="00DF3959" w:rsidRPr="00DF3959" w:rsidRDefault="00DF3959" w:rsidP="00C64851">
      <w:pPr>
        <w:pStyle w:val="BodyText"/>
        <w:numPr>
          <w:ilvl w:val="0"/>
          <w:numId w:val="724"/>
        </w:numPr>
      </w:pPr>
      <w:r w:rsidRPr="00DF3959">
        <w:t>Development of new facilities. </w:t>
      </w:r>
    </w:p>
    <w:p w14:paraId="5F1E966D" w14:textId="77777777" w:rsidR="00DF3959" w:rsidRPr="00DF3959" w:rsidRDefault="00DF3959" w:rsidP="00C64851">
      <w:pPr>
        <w:pStyle w:val="BodyText"/>
        <w:numPr>
          <w:ilvl w:val="0"/>
          <w:numId w:val="725"/>
        </w:numPr>
      </w:pPr>
      <w:r w:rsidRPr="00DF3959">
        <w:t>Management services including analysis of facility financials, assessment of problems, and advisement of corrective measures for profit maximization. </w:t>
      </w:r>
    </w:p>
    <w:p w14:paraId="337DBAED" w14:textId="77777777" w:rsidR="00DF3959" w:rsidRPr="00DF3959" w:rsidRDefault="00DF3959" w:rsidP="00C64851">
      <w:pPr>
        <w:pStyle w:val="BodyText"/>
        <w:numPr>
          <w:ilvl w:val="0"/>
          <w:numId w:val="726"/>
        </w:numPr>
      </w:pPr>
      <w:r w:rsidRPr="00DF3959">
        <w:t>Development of rules, policy, and procedure governing facility development, selection, and operation. </w:t>
      </w:r>
    </w:p>
    <w:p w14:paraId="7978DC14" w14:textId="77777777" w:rsidR="00DF3959" w:rsidRPr="00DF3959" w:rsidRDefault="00DF3959" w:rsidP="00B4584F">
      <w:pPr>
        <w:pStyle w:val="BodyText"/>
        <w:ind w:left="720" w:hanging="720"/>
      </w:pPr>
      <w:r w:rsidRPr="00DF3959">
        <w:rPr>
          <w:b/>
          <w:bCs/>
        </w:rPr>
        <w:t>C.</w:t>
      </w:r>
      <w:r w:rsidRPr="00DF3959">
        <w:tab/>
      </w:r>
      <w:r w:rsidRPr="00DF3959">
        <w:rPr>
          <w:b/>
          <w:bCs/>
        </w:rPr>
        <w:t xml:space="preserve">What information does the agency collect/use to assess the effectiveness and efficiency of this division or program? If applicable, briefly note any LBB performance measures (from Section II, </w:t>
      </w:r>
      <w:proofErr w:type="gramStart"/>
      <w:r w:rsidRPr="00DF3959">
        <w:rPr>
          <w:b/>
          <w:bCs/>
        </w:rPr>
        <w:t>Exhibit</w:t>
      </w:r>
      <w:proofErr w:type="gramEnd"/>
      <w:r w:rsidRPr="00DF3959">
        <w:rPr>
          <w:b/>
          <w:bCs/>
        </w:rP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r w:rsidRPr="00DF3959">
        <w:t> </w:t>
      </w:r>
    </w:p>
    <w:p w14:paraId="2C9FDE22" w14:textId="77777777" w:rsidR="00DF3959" w:rsidRPr="00DF3959" w:rsidRDefault="00DF3959" w:rsidP="00DF3959">
      <w:pPr>
        <w:pStyle w:val="BodyText"/>
      </w:pPr>
      <w:r w:rsidRPr="00DF3959">
        <w:t>The BET program operates approximately 111 businesses, including cafeterias, snack bars, convenience stores, and vending services. These facilities generated over $96 million in annual gross sales and over $89 million in gross profits for participating managers in FY 2024. The program also contributes significantly to the Texas economy, generating over $1 million annually in sales tax revenues and purchasing over $7 million annually in goods from Texas-based businesses. BET managers employ over 1,800 Texans, with at least 150 of those employees with disabilities.  </w:t>
      </w:r>
    </w:p>
    <w:p w14:paraId="0C19835D" w14:textId="77777777" w:rsidR="00DF3959" w:rsidRPr="00DF3959" w:rsidRDefault="00DF3959" w:rsidP="00DF3959">
      <w:pPr>
        <w:pStyle w:val="BodyText"/>
      </w:pPr>
      <w:r w:rsidRPr="00DF3959">
        <w:lastRenderedPageBreak/>
        <w:t>In 2023, the median income for BET managers was $44,183. The BET program aimed to assist the managers in achieving a median income between $50,000 and $60,000. In 2024, the BET managers' median income increased to $52,730, a 19.3 percent increase. This significant progress was achieved through strategic initiatives, including the consolidation of facilities and the implementation of improved food service models that enhanced operational efficiency. </w:t>
      </w:r>
    </w:p>
    <w:p w14:paraId="49D1456D" w14:textId="77777777" w:rsidR="00DF3959" w:rsidRPr="00DF3959" w:rsidRDefault="00DF3959" w:rsidP="00B4584F">
      <w:pPr>
        <w:pStyle w:val="BodyText3"/>
        <w:ind w:left="720" w:hanging="720"/>
      </w:pPr>
      <w:r w:rsidRPr="00DF3959">
        <w:t> D.</w:t>
      </w:r>
      <w:r w:rsidRPr="00DF3959">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39176430" w14:textId="77777777" w:rsidR="00DF3959" w:rsidRPr="00DF3959" w:rsidRDefault="00DF3959" w:rsidP="00DF3959">
      <w:pPr>
        <w:pStyle w:val="BodyText"/>
      </w:pPr>
      <w:r w:rsidRPr="00DF3959">
        <w:rPr>
          <w:b/>
          <w:bCs/>
        </w:rPr>
        <w:t>1936</w:t>
      </w:r>
      <w:r w:rsidRPr="00DF3959">
        <w:t xml:space="preserve">: </w:t>
      </w:r>
      <w:r w:rsidRPr="00DF3959">
        <w:tab/>
        <w:t>With the enactment of the Randolph-Sheppard Act, the first BET facility is opened at the Amarillo Post Office. In December, the Texas Commission for the Blind is appointed as the licensing agency for the Business Enterprises Program in Texas. </w:t>
      </w:r>
    </w:p>
    <w:p w14:paraId="2018EE1F" w14:textId="77777777" w:rsidR="00DF3959" w:rsidRPr="00DF3959" w:rsidRDefault="00DF3959" w:rsidP="00DF3959">
      <w:pPr>
        <w:pStyle w:val="BodyText"/>
      </w:pPr>
      <w:r w:rsidRPr="00DF3959">
        <w:rPr>
          <w:b/>
          <w:bCs/>
        </w:rPr>
        <w:t>1946</w:t>
      </w:r>
      <w:r w:rsidRPr="00DF3959">
        <w:t xml:space="preserve">: </w:t>
      </w:r>
      <w:r w:rsidRPr="00DF3959">
        <w:tab/>
        <w:t>The first State Plan for the BET program is adopted. </w:t>
      </w:r>
    </w:p>
    <w:p w14:paraId="3313A036" w14:textId="77777777" w:rsidR="00DF3959" w:rsidRPr="00DF3959" w:rsidRDefault="00DF3959" w:rsidP="00DF3959">
      <w:pPr>
        <w:pStyle w:val="BodyText"/>
      </w:pPr>
      <w:r w:rsidRPr="00DF3959">
        <w:rPr>
          <w:b/>
          <w:bCs/>
        </w:rPr>
        <w:t>1970</w:t>
      </w:r>
      <w:r w:rsidRPr="00DF3959">
        <w:t xml:space="preserve">: </w:t>
      </w:r>
      <w:r w:rsidRPr="00DF3959">
        <w:tab/>
        <w:t>BET becomes known as the Small Business Enterprise Program. </w:t>
      </w:r>
    </w:p>
    <w:p w14:paraId="218BF115" w14:textId="57ABC227" w:rsidR="00DF3959" w:rsidRPr="00DF3959" w:rsidRDefault="00DF3959" w:rsidP="00DF3959">
      <w:pPr>
        <w:pStyle w:val="BodyText"/>
      </w:pPr>
      <w:r w:rsidRPr="00DF3959">
        <w:rPr>
          <w:b/>
          <w:bCs/>
        </w:rPr>
        <w:t xml:space="preserve">1972-1974: </w:t>
      </w:r>
      <w:r w:rsidRPr="00DF3959">
        <w:tab/>
        <w:t xml:space="preserve">An operator’s advisory committee, comprised of people who are blind and elected by people who are blind, helps administer the program. The committee helps staff formulate policies and </w:t>
      </w:r>
      <w:proofErr w:type="gramStart"/>
      <w:r w:rsidRPr="00DF3959">
        <w:t>provide assistance</w:t>
      </w:r>
      <w:proofErr w:type="gramEnd"/>
      <w:r w:rsidRPr="00DF3959">
        <w:t xml:space="preserve"> on matters such as hearing individual grievances, establishing pricing systems, evaluating blind licensees and agency staff, and evaluating training activities. The committee later becomes known as the Elected Committee of Operators. </w:t>
      </w:r>
    </w:p>
    <w:p w14:paraId="42D2B497" w14:textId="77777777" w:rsidR="00DF3959" w:rsidRPr="00DF3959" w:rsidRDefault="00DF3959" w:rsidP="00DF3959">
      <w:pPr>
        <w:pStyle w:val="BodyText"/>
      </w:pPr>
      <w:r w:rsidRPr="00DF3959">
        <w:rPr>
          <w:b/>
          <w:bCs/>
        </w:rPr>
        <w:t>1974</w:t>
      </w:r>
      <w:r w:rsidRPr="00DF3959">
        <w:t xml:space="preserve">: </w:t>
      </w:r>
      <w:r w:rsidRPr="00DF3959">
        <w:tab/>
        <w:t>The Act is amended and updated significantly with language that strengthens the priority for blind individuals participating in the program. The amendments and updates provide full due process to aggrieved blind vendors to resolve disputes with state agencies through hearings, arbitrations, and federal court appeals and create a priority (rather than the mere preference that existed before 1974) for the operation of blind vending facilities on all Federal property. They also create elected committees of blind vendors in each state with a Randolph-Sheppard program; each committee is responsible for representing all the blind vendors in a state. </w:t>
      </w:r>
    </w:p>
    <w:p w14:paraId="2866DDB9" w14:textId="77777777" w:rsidR="00DF3959" w:rsidRPr="00DF3959" w:rsidRDefault="00DF3959" w:rsidP="00DF3959">
      <w:pPr>
        <w:pStyle w:val="BodyText"/>
      </w:pPr>
      <w:r w:rsidRPr="00DF3959">
        <w:t xml:space="preserve">The Randolph-Sheppard Program, originally focused on establishing vending stands in federal buildings where blind individuals could sell newspapers, magazines, candy, and tobacco, and has significantly evolved since its inception. The initial intent was to provide entrepreneurial opportunities and economic self-sufficiency for individuals who are blind. This started with a limited scope of vending stands in federal buildings and soon expanded to include state government buildings. Today, the program has broadened its scope encompassing a diverse range of business ventures. Beyond the traditional vending stands, the program now includes vending machines, cafeterias, snack bars, micro marts, and even convenience stores operated by blind vendors. This expansion reflects an </w:t>
      </w:r>
      <w:r w:rsidRPr="00DF3959">
        <w:lastRenderedPageBreak/>
        <w:t>adaptation to changing consumer demands and market opportunities, while still upholding the core mission of economic empowerment for individuals who are blind. </w:t>
      </w:r>
    </w:p>
    <w:p w14:paraId="0D54C605" w14:textId="77777777" w:rsidR="00DF3959" w:rsidRPr="00DF3959" w:rsidRDefault="00DF3959" w:rsidP="00D25556">
      <w:pPr>
        <w:pStyle w:val="BodyText"/>
        <w:ind w:left="720" w:hanging="720"/>
      </w:pPr>
      <w:r w:rsidRPr="00DF3959">
        <w:rPr>
          <w:b/>
          <w:bCs/>
        </w:rPr>
        <w:t>E.</w:t>
      </w:r>
      <w:r w:rsidRPr="00DF3959">
        <w:tab/>
      </w:r>
      <w:r w:rsidRPr="00DF3959">
        <w:rPr>
          <w:b/>
          <w:bCs/>
        </w:rPr>
        <w:t>List any qualifications or eligibility requirements for persons or entities affected by this division or program (e.g., licensees, consumers, and landowners). Provide a statistical breakdown of persons or entities affected.</w:t>
      </w:r>
      <w:r w:rsidRPr="00DF3959">
        <w:t> </w:t>
      </w:r>
    </w:p>
    <w:p w14:paraId="083D700F" w14:textId="77777777" w:rsidR="00DF3959" w:rsidRPr="00DF3959" w:rsidRDefault="00DF3959" w:rsidP="00DF3959">
      <w:pPr>
        <w:pStyle w:val="BodyText"/>
      </w:pPr>
      <w:r w:rsidRPr="00DF3959">
        <w:t>To be eligible for BET training, a VR customer must:  </w:t>
      </w:r>
    </w:p>
    <w:p w14:paraId="38009271" w14:textId="77777777" w:rsidR="00DF3959" w:rsidRPr="00DF3959" w:rsidRDefault="00DF3959" w:rsidP="00C64851">
      <w:pPr>
        <w:pStyle w:val="BodyText"/>
        <w:numPr>
          <w:ilvl w:val="0"/>
          <w:numId w:val="727"/>
        </w:numPr>
      </w:pPr>
      <w:r w:rsidRPr="00DF3959">
        <w:t>Be at least 18 years of age.  </w:t>
      </w:r>
    </w:p>
    <w:p w14:paraId="08FECC3A" w14:textId="77777777" w:rsidR="00DF3959" w:rsidRPr="00DF3959" w:rsidRDefault="00DF3959" w:rsidP="00C64851">
      <w:pPr>
        <w:pStyle w:val="BodyText"/>
        <w:numPr>
          <w:ilvl w:val="0"/>
          <w:numId w:val="728"/>
        </w:numPr>
      </w:pPr>
      <w:r w:rsidRPr="00DF3959">
        <w:t>Be a U.S. citizen physically present in Texas (a birth certificate or other appropriate documentation must be submitted with the application).  </w:t>
      </w:r>
    </w:p>
    <w:p w14:paraId="31ED7203" w14:textId="77777777" w:rsidR="00DF3959" w:rsidRPr="00DF3959" w:rsidRDefault="00DF3959" w:rsidP="00C64851">
      <w:pPr>
        <w:pStyle w:val="BodyText"/>
        <w:numPr>
          <w:ilvl w:val="0"/>
          <w:numId w:val="729"/>
        </w:numPr>
      </w:pPr>
      <w:r w:rsidRPr="00DF3959">
        <w:t>Be legally blind as defined by TAC Title 40, Part 20, Chapter 854.  </w:t>
      </w:r>
    </w:p>
    <w:p w14:paraId="7D3BA59E" w14:textId="77777777" w:rsidR="00DF3959" w:rsidRPr="00DF3959" w:rsidRDefault="00DF3959" w:rsidP="00C64851">
      <w:pPr>
        <w:pStyle w:val="BodyText"/>
        <w:numPr>
          <w:ilvl w:val="0"/>
          <w:numId w:val="730"/>
        </w:numPr>
      </w:pPr>
      <w:r w:rsidRPr="00DF3959">
        <w:t>Be proficient in math, reading, and writing, as demonstrated through CCRC testing, as well as in adaptive technology, including the use of word processing spreadsheets and e-mail communication, as demonstrated through a CCRC final assessment.  </w:t>
      </w:r>
    </w:p>
    <w:p w14:paraId="744D9801" w14:textId="77777777" w:rsidR="00DF3959" w:rsidRPr="00DF3959" w:rsidRDefault="00DF3959" w:rsidP="00C64851">
      <w:pPr>
        <w:pStyle w:val="BodyText"/>
        <w:numPr>
          <w:ilvl w:val="0"/>
          <w:numId w:val="731"/>
        </w:numPr>
      </w:pPr>
      <w:r w:rsidRPr="00DF3959">
        <w:t>Have the physical capability required to perform safely the basic functions of a manager.  </w:t>
      </w:r>
    </w:p>
    <w:p w14:paraId="5FCD5712" w14:textId="77777777" w:rsidR="00DF3959" w:rsidRPr="00DF3959" w:rsidRDefault="00DF3959" w:rsidP="00C64851">
      <w:pPr>
        <w:pStyle w:val="BodyText"/>
        <w:numPr>
          <w:ilvl w:val="0"/>
          <w:numId w:val="732"/>
        </w:numPr>
      </w:pPr>
      <w:r w:rsidRPr="00DF3959">
        <w:t>Have mobility skills to operate a BET facility safely, as documented by a VR counselor or assessment verified by an orientation and mobility instructor.  </w:t>
      </w:r>
    </w:p>
    <w:p w14:paraId="63923F5A" w14:textId="77777777" w:rsidR="00DF3959" w:rsidRPr="00DF3959" w:rsidRDefault="00DF3959" w:rsidP="00C64851">
      <w:pPr>
        <w:pStyle w:val="BodyText"/>
        <w:numPr>
          <w:ilvl w:val="0"/>
          <w:numId w:val="733"/>
        </w:numPr>
      </w:pPr>
      <w:r w:rsidRPr="00DF3959">
        <w:t>Satisfactorily perform a Work Evaluation Training conducted with a current BET operator.  </w:t>
      </w:r>
    </w:p>
    <w:p w14:paraId="7C955C86" w14:textId="77777777" w:rsidR="00DF3959" w:rsidRPr="00DF3959" w:rsidRDefault="00DF3959" w:rsidP="00C64851">
      <w:pPr>
        <w:pStyle w:val="BodyText"/>
        <w:numPr>
          <w:ilvl w:val="0"/>
          <w:numId w:val="734"/>
        </w:numPr>
      </w:pPr>
      <w:r w:rsidRPr="00DF3959">
        <w:t>Not have engaged in substance abuse for the previous 12 months.  </w:t>
      </w:r>
    </w:p>
    <w:p w14:paraId="090B720D" w14:textId="77777777" w:rsidR="00DF3959" w:rsidRPr="00DF3959" w:rsidRDefault="00DF3959" w:rsidP="00C64851">
      <w:pPr>
        <w:pStyle w:val="BodyText"/>
        <w:numPr>
          <w:ilvl w:val="0"/>
          <w:numId w:val="735"/>
        </w:numPr>
      </w:pPr>
      <w:r w:rsidRPr="00DF3959">
        <w:t>Follow state and federal tax laws and not be subject to any tax liens. </w:t>
      </w:r>
    </w:p>
    <w:p w14:paraId="17230975" w14:textId="77777777" w:rsidR="00DF3959" w:rsidRPr="00DF3959" w:rsidRDefault="00DF3959" w:rsidP="00D25556">
      <w:pPr>
        <w:pStyle w:val="BodyText"/>
        <w:ind w:left="720" w:hanging="720"/>
      </w:pPr>
      <w:r w:rsidRPr="00DF3959">
        <w:rPr>
          <w:b/>
          <w:bCs/>
        </w:rPr>
        <w:t>F.</w:t>
      </w:r>
      <w:r w:rsidRPr="00DF3959">
        <w:tab/>
      </w:r>
      <w:r w:rsidRPr="00DF3959">
        <w:rPr>
          <w:b/>
          <w:bCs/>
        </w:rPr>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r w:rsidRPr="00DF3959">
        <w:t> </w:t>
      </w:r>
    </w:p>
    <w:p w14:paraId="362E91D7" w14:textId="77777777" w:rsidR="00DF3959" w:rsidRPr="00DF3959" w:rsidRDefault="00DF3959" w:rsidP="00DF3959">
      <w:pPr>
        <w:pStyle w:val="BodyText"/>
      </w:pPr>
      <w:r w:rsidRPr="00DF3959">
        <w:t>Supervisor of Field Operations oversees a team of 12 business consultants that provide consultative, oversight, and support services to the licensed managers operating vending and dining facilities on state and federal properties. The business consultants are in VR field offices around the state. The BET director, Supervisor of Field Operations, and five other program staff members are headquartered in Austin at the CCRC, where training for potential BET managers is conducted. </w:t>
      </w:r>
    </w:p>
    <w:p w14:paraId="339DB1C2" w14:textId="77777777" w:rsidR="00DF3959" w:rsidRPr="00DF3959" w:rsidRDefault="00DF3959" w:rsidP="00D25556">
      <w:pPr>
        <w:pStyle w:val="BodyText"/>
        <w:ind w:left="720" w:hanging="720"/>
      </w:pPr>
      <w:r w:rsidRPr="00DF3959">
        <w:rPr>
          <w:b/>
          <w:bCs/>
        </w:rPr>
        <w:lastRenderedPageBreak/>
        <w:t>G.</w:t>
      </w:r>
      <w:r w:rsidRPr="00DF3959">
        <w:tab/>
      </w:r>
      <w:r w:rsidRPr="00DF3959">
        <w:rPr>
          <w:b/>
          <w:bCs/>
        </w:rPr>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DF3959">
        <w:rPr>
          <w:b/>
          <w:bCs/>
          <w:i/>
          <w:iCs/>
        </w:rPr>
        <w:t>(If you have already submitted funding source info through the “Agency Program Information” spreadsheet, please limit your response to funding formulas or funding conventions.)</w:t>
      </w:r>
      <w:r w:rsidRPr="00DF3959">
        <w:t> </w:t>
      </w:r>
    </w:p>
    <w:tbl>
      <w:tblPr>
        <w:tblStyle w:val="TableGrid1"/>
        <w:tblW w:w="9360" w:type="dxa"/>
        <w:tblCellMar>
          <w:top w:w="58" w:type="dxa"/>
          <w:bottom w:w="58" w:type="dxa"/>
        </w:tblCellMar>
        <w:tblLook w:val="04A0" w:firstRow="1" w:lastRow="0" w:firstColumn="1" w:lastColumn="0" w:noHBand="0" w:noVBand="1"/>
      </w:tblPr>
      <w:tblGrid>
        <w:gridCol w:w="3415"/>
        <w:gridCol w:w="2111"/>
        <w:gridCol w:w="1852"/>
        <w:gridCol w:w="1982"/>
      </w:tblGrid>
      <w:tr w:rsidR="00681A31" w:rsidRPr="00923A5D" w14:paraId="7F12F13A" w14:textId="77777777" w:rsidTr="008D39C3">
        <w:trPr>
          <w:trHeight w:val="288"/>
          <w:tblHeader/>
        </w:trPr>
        <w:tc>
          <w:tcPr>
            <w:tcW w:w="3415" w:type="dxa"/>
            <w:shd w:val="clear" w:color="auto" w:fill="B8CCE4" w:themeFill="accent1" w:themeFillTint="66"/>
            <w:vAlign w:val="center"/>
            <w:hideMark/>
          </w:tcPr>
          <w:p w14:paraId="0C528821" w14:textId="77777777" w:rsidR="00681A31" w:rsidRPr="008F4809" w:rsidRDefault="00681A31" w:rsidP="008D39C3">
            <w:pPr>
              <w:pStyle w:val="TableHeaders"/>
              <w:rPr>
                <w:color w:val="000000"/>
              </w:rPr>
            </w:pPr>
            <w:r w:rsidRPr="008F4809">
              <w:t>Program or Function Detail Description</w:t>
            </w:r>
          </w:p>
        </w:tc>
        <w:tc>
          <w:tcPr>
            <w:tcW w:w="2520" w:type="dxa"/>
            <w:shd w:val="clear" w:color="auto" w:fill="B8CCE4" w:themeFill="accent1" w:themeFillTint="66"/>
            <w:vAlign w:val="center"/>
            <w:hideMark/>
          </w:tcPr>
          <w:p w14:paraId="553D0572" w14:textId="77777777" w:rsidR="00681A31" w:rsidRPr="008F4809" w:rsidRDefault="00681A31" w:rsidP="008D39C3">
            <w:pPr>
              <w:pStyle w:val="TableHeaders"/>
              <w:rPr>
                <w:color w:val="000000"/>
              </w:rPr>
            </w:pPr>
            <w:r w:rsidRPr="008F4809">
              <w:t>Total FY 2024</w:t>
            </w:r>
          </w:p>
        </w:tc>
        <w:tc>
          <w:tcPr>
            <w:tcW w:w="2160" w:type="dxa"/>
            <w:shd w:val="clear" w:color="auto" w:fill="B8CCE4" w:themeFill="accent1" w:themeFillTint="66"/>
            <w:vAlign w:val="center"/>
            <w:hideMark/>
          </w:tcPr>
          <w:p w14:paraId="2106CDBE" w14:textId="77777777" w:rsidR="00681A31" w:rsidRPr="008F4809" w:rsidRDefault="00681A31" w:rsidP="008D39C3">
            <w:pPr>
              <w:pStyle w:val="TableHeaders"/>
              <w:rPr>
                <w:color w:val="000000"/>
              </w:rPr>
            </w:pPr>
            <w:r w:rsidRPr="008F4809">
              <w:t>Federal Funding</w:t>
            </w:r>
          </w:p>
        </w:tc>
        <w:tc>
          <w:tcPr>
            <w:tcW w:w="2340" w:type="dxa"/>
            <w:shd w:val="clear" w:color="auto" w:fill="B8CCE4" w:themeFill="accent1" w:themeFillTint="66"/>
            <w:vAlign w:val="center"/>
            <w:hideMark/>
          </w:tcPr>
          <w:p w14:paraId="1D0FB802" w14:textId="77777777" w:rsidR="00681A31" w:rsidRPr="008F4809" w:rsidRDefault="00681A31" w:rsidP="008D39C3">
            <w:pPr>
              <w:pStyle w:val="TableHeaders"/>
              <w:rPr>
                <w:color w:val="000000"/>
              </w:rPr>
            </w:pPr>
            <w:r w:rsidRPr="008F4809">
              <w:t>State Funding</w:t>
            </w:r>
          </w:p>
        </w:tc>
      </w:tr>
      <w:tr w:rsidR="00681A31" w:rsidRPr="00923A5D" w14:paraId="755797F8" w14:textId="77777777" w:rsidTr="008D39C3">
        <w:trPr>
          <w:trHeight w:val="288"/>
        </w:trPr>
        <w:tc>
          <w:tcPr>
            <w:tcW w:w="3415" w:type="dxa"/>
            <w:noWrap/>
            <w:vAlign w:val="center"/>
            <w:hideMark/>
          </w:tcPr>
          <w:p w14:paraId="14BD295F" w14:textId="77777777" w:rsidR="00681A31" w:rsidRPr="008F4809" w:rsidRDefault="00681A31" w:rsidP="008D39C3">
            <w:pPr>
              <w:pStyle w:val="TableText"/>
            </w:pPr>
            <w:r w:rsidRPr="008F4809">
              <w:t>Business Enterprise of Texas (BET) Program</w:t>
            </w:r>
          </w:p>
        </w:tc>
        <w:tc>
          <w:tcPr>
            <w:tcW w:w="2520" w:type="dxa"/>
            <w:vAlign w:val="center"/>
            <w:hideMark/>
          </w:tcPr>
          <w:p w14:paraId="37E8D92F" w14:textId="02F2E2C8" w:rsidR="00681A31" w:rsidRPr="008F4809" w:rsidRDefault="00681A31" w:rsidP="008D39C3">
            <w:pPr>
              <w:pStyle w:val="TableText"/>
              <w:jc w:val="right"/>
            </w:pPr>
            <w:r w:rsidRPr="008F4809">
              <w:t xml:space="preserve">4,140,975 </w:t>
            </w:r>
          </w:p>
        </w:tc>
        <w:tc>
          <w:tcPr>
            <w:tcW w:w="2160" w:type="dxa"/>
            <w:vAlign w:val="center"/>
            <w:hideMark/>
          </w:tcPr>
          <w:p w14:paraId="7AE0B856" w14:textId="5A96396B" w:rsidR="00681A31" w:rsidRPr="008F4809" w:rsidRDefault="00681A31" w:rsidP="008D39C3">
            <w:pPr>
              <w:pStyle w:val="TableText"/>
              <w:jc w:val="right"/>
            </w:pPr>
            <w:r w:rsidRPr="008F4809">
              <w:t xml:space="preserve">2,610,220 </w:t>
            </w:r>
          </w:p>
        </w:tc>
        <w:tc>
          <w:tcPr>
            <w:tcW w:w="2340" w:type="dxa"/>
            <w:vAlign w:val="center"/>
            <w:hideMark/>
          </w:tcPr>
          <w:p w14:paraId="1A0CBA66" w14:textId="7227DF06" w:rsidR="00681A31" w:rsidRPr="008F4809" w:rsidRDefault="00681A31" w:rsidP="008D39C3">
            <w:pPr>
              <w:pStyle w:val="TableText"/>
              <w:jc w:val="right"/>
            </w:pPr>
            <w:r w:rsidRPr="008F4809">
              <w:t xml:space="preserve">1,530,755 </w:t>
            </w:r>
          </w:p>
        </w:tc>
      </w:tr>
    </w:tbl>
    <w:p w14:paraId="32CD5620" w14:textId="77777777" w:rsidR="00DF3959" w:rsidRPr="00DF3959" w:rsidRDefault="00DF3959" w:rsidP="008B0464">
      <w:pPr>
        <w:pStyle w:val="BodyText"/>
        <w:ind w:left="720" w:hanging="720"/>
      </w:pPr>
      <w:r w:rsidRPr="00DF3959">
        <w:rPr>
          <w:b/>
          <w:bCs/>
        </w:rPr>
        <w:t>H.</w:t>
      </w:r>
      <w:r w:rsidRPr="00DF3959">
        <w:tab/>
      </w:r>
      <w:r w:rsidRPr="00DF3959">
        <w:rPr>
          <w:b/>
          <w:bCs/>
        </w:rP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r w:rsidRPr="00DF3959">
        <w:t> </w:t>
      </w:r>
    </w:p>
    <w:p w14:paraId="59ACF935" w14:textId="5B5BA6D1" w:rsidR="00F132C5" w:rsidRDefault="012F55F1" w:rsidP="68E527B1">
      <w:pPr>
        <w:pStyle w:val="BodyText"/>
      </w:pPr>
      <w:r>
        <w:t>N/A</w:t>
      </w:r>
    </w:p>
    <w:p w14:paraId="1E941710" w14:textId="77777777" w:rsidR="00DF3959" w:rsidRPr="00DF3959" w:rsidRDefault="00DF3959" w:rsidP="00E320BF">
      <w:pPr>
        <w:pStyle w:val="BodyText"/>
        <w:ind w:left="720" w:hanging="720"/>
      </w:pPr>
      <w:r w:rsidRPr="00DF3959">
        <w:rPr>
          <w:b/>
          <w:bCs/>
        </w:rPr>
        <w:t>I.</w:t>
      </w:r>
      <w:r w:rsidRPr="00DF3959">
        <w:tab/>
      </w:r>
      <w:r w:rsidRPr="00DF3959">
        <w:rPr>
          <w:b/>
          <w:bCs/>
        </w:rPr>
        <w:t>If the division or program works with local, regional, or federal units of government, include a brief description of these entities and their relationship to the agency.</w:t>
      </w:r>
      <w:r w:rsidRPr="00DF3959">
        <w:t> </w:t>
      </w:r>
    </w:p>
    <w:p w14:paraId="3245714B" w14:textId="202CA1F2" w:rsidR="00DF3959" w:rsidRPr="00DF3959" w:rsidRDefault="00DF3959" w:rsidP="00DF3959">
      <w:pPr>
        <w:pStyle w:val="BodyText"/>
      </w:pPr>
      <w:r w:rsidRPr="00DF3959">
        <w:t>The BET Program</w:t>
      </w:r>
      <w:r w:rsidR="007901AC">
        <w:t>,</w:t>
      </w:r>
      <w:r w:rsidRPr="00DF3959">
        <w:t xml:space="preserve"> under the Randolph Sheppard Act operates</w:t>
      </w:r>
      <w:r w:rsidR="007901AC">
        <w:t>,</w:t>
      </w:r>
      <w:r w:rsidRPr="00DF3959">
        <w:t xml:space="preserve"> through a collaborative network of federal, state, regional, and local government entities. The federal government provides the overall framework and funding, and the state government administers the program, both of which provide opportunities for vending facilities. Local and regional entities offer localized support and assistance. Effective coordination among these entities is essential for the success of the program in providing entrepreneurial opportunities and economic self-sufficiency for individuals who are blind. </w:t>
      </w:r>
    </w:p>
    <w:p w14:paraId="2D1811BB" w14:textId="77777777" w:rsidR="00DF3959" w:rsidRPr="00DF3959" w:rsidRDefault="00DF3959" w:rsidP="00DF3959">
      <w:pPr>
        <w:pStyle w:val="BodyText"/>
      </w:pPr>
      <w:r w:rsidRPr="00DF3959">
        <w:rPr>
          <w:b/>
          <w:bCs/>
        </w:rPr>
        <w:t>Rehabilitation Services Administration:</w:t>
      </w:r>
      <w:r w:rsidRPr="00DF3959">
        <w:t> </w:t>
      </w:r>
    </w:p>
    <w:p w14:paraId="0F6CF15A" w14:textId="77777777" w:rsidR="00DF3959" w:rsidRPr="00DF3959" w:rsidRDefault="00DF3959" w:rsidP="00DF3959">
      <w:pPr>
        <w:pStyle w:val="BodyText"/>
      </w:pPr>
      <w:r w:rsidRPr="00DF3959">
        <w:t>RSA is the primary federal agency overseeing the Randolph-Sheppard Act nationally. It provides funding, sets regulations, and offers guidance to state agencies administering the program. RSA monitors state compliance and provides technical assistance to ensure the program's effective implementation. </w:t>
      </w:r>
    </w:p>
    <w:p w14:paraId="31F05E5A" w14:textId="77777777" w:rsidR="00DF3959" w:rsidRPr="00DF3959" w:rsidRDefault="00DF3959" w:rsidP="00DF3959">
      <w:pPr>
        <w:pStyle w:val="BodyText"/>
      </w:pPr>
      <w:r w:rsidRPr="00DF3959">
        <w:rPr>
          <w:b/>
          <w:bCs/>
        </w:rPr>
        <w:t>City and County Governments:</w:t>
      </w:r>
      <w:r w:rsidRPr="00DF3959">
        <w:t> </w:t>
      </w:r>
    </w:p>
    <w:p w14:paraId="6D608141" w14:textId="661B969C" w:rsidR="00DF3959" w:rsidRPr="00DF3959" w:rsidRDefault="00DF3959" w:rsidP="00DF3959">
      <w:pPr>
        <w:pStyle w:val="BodyText"/>
      </w:pPr>
      <w:r w:rsidRPr="00DF3959">
        <w:t xml:space="preserve">Local governments can be involved in the </w:t>
      </w:r>
      <w:r w:rsidR="007901AC">
        <w:t>BET program</w:t>
      </w:r>
      <w:r w:rsidRPr="00DF3959">
        <w:t xml:space="preserve"> by issuing permits, licenses, and other approvals required for operating a business within their jurisdiction. </w:t>
      </w:r>
    </w:p>
    <w:p w14:paraId="2D1288A1" w14:textId="77777777" w:rsidR="00DF3959" w:rsidRPr="00DF3959" w:rsidRDefault="00DF3959" w:rsidP="00DF3959">
      <w:pPr>
        <w:pStyle w:val="BodyText"/>
      </w:pPr>
      <w:r w:rsidRPr="00DF3959">
        <w:rPr>
          <w:b/>
          <w:bCs/>
        </w:rPr>
        <w:t>Regional Offices of Federal or State Agencies:</w:t>
      </w:r>
      <w:r w:rsidRPr="00DF3959">
        <w:t> </w:t>
      </w:r>
    </w:p>
    <w:p w14:paraId="3B104EEC" w14:textId="4B6DD416" w:rsidR="00DF3959" w:rsidRPr="00DF3959" w:rsidRDefault="00DF3959" w:rsidP="00DF3959">
      <w:pPr>
        <w:pStyle w:val="BodyText"/>
      </w:pPr>
      <w:r w:rsidRPr="00DF3959">
        <w:lastRenderedPageBreak/>
        <w:t xml:space="preserve">Depending on the specific geographical area, regional offices of federal or state agencies (like regional TWC offices) may play a role in administering or supporting the </w:t>
      </w:r>
      <w:r w:rsidR="007901AC">
        <w:t>BET program</w:t>
      </w:r>
      <w:r w:rsidRPr="00DF3959">
        <w:t>. These offices may provide direct assistance to vendors or facilitate communication between different stakeholders. </w:t>
      </w:r>
    </w:p>
    <w:p w14:paraId="7BB083AE" w14:textId="77777777" w:rsidR="00DF3959" w:rsidRPr="00DF3959" w:rsidRDefault="00DF3959" w:rsidP="00E320BF">
      <w:pPr>
        <w:pStyle w:val="BodyText"/>
        <w:ind w:left="720" w:hanging="720"/>
      </w:pPr>
      <w:r w:rsidRPr="00DF3959">
        <w:rPr>
          <w:b/>
          <w:bCs/>
        </w:rPr>
        <w:t>J.</w:t>
      </w:r>
      <w:r w:rsidRPr="00DF3959">
        <w:tab/>
      </w:r>
      <w:r w:rsidRPr="00DF3959">
        <w:rPr>
          <w:b/>
          <w:bCs/>
        </w:rPr>
        <w:t>Are there any barriers or challenges that impede the program’s performance, including any outdated or ineffective state laws? Explain.</w:t>
      </w:r>
      <w:r w:rsidRPr="00DF3959">
        <w:t> </w:t>
      </w:r>
    </w:p>
    <w:p w14:paraId="3DB8A325" w14:textId="77777777" w:rsidR="00DF3959" w:rsidRPr="00DF3959" w:rsidRDefault="00DF3959" w:rsidP="00DF3959">
      <w:pPr>
        <w:pStyle w:val="BodyText"/>
      </w:pPr>
      <w:r w:rsidRPr="00DF3959">
        <w:t>No statutory changes are needed to help this program perform its functions. </w:t>
      </w:r>
    </w:p>
    <w:p w14:paraId="6F57A2DF" w14:textId="77777777" w:rsidR="00DF3959" w:rsidRPr="00DF3959" w:rsidRDefault="00DF3959" w:rsidP="00E320BF">
      <w:pPr>
        <w:pStyle w:val="BodyText"/>
        <w:ind w:left="720" w:hanging="720"/>
      </w:pPr>
      <w:r w:rsidRPr="00DF3959">
        <w:rPr>
          <w:b/>
          <w:bCs/>
        </w:rPr>
        <w:t>K.</w:t>
      </w:r>
      <w:r w:rsidRPr="00DF3959">
        <w:tab/>
      </w:r>
      <w:r w:rsidRPr="00DF3959">
        <w:rPr>
          <w:b/>
          <w:bCs/>
        </w:rPr>
        <w:t>Provide any additional information needed to gain a preliminary understanding of the program or function.</w:t>
      </w:r>
      <w:r w:rsidRPr="00DF3959">
        <w:t> </w:t>
      </w:r>
    </w:p>
    <w:p w14:paraId="10103C73" w14:textId="77777777" w:rsidR="00DF3959" w:rsidRPr="00DF3959" w:rsidRDefault="00DF3959" w:rsidP="00DF3959">
      <w:pPr>
        <w:pStyle w:val="BodyText"/>
      </w:pPr>
      <w:r w:rsidRPr="00DF3959">
        <w:rPr>
          <w:b/>
          <w:bCs/>
        </w:rPr>
        <w:t>Advisory Committee</w:t>
      </w:r>
      <w:r w:rsidRPr="00DF3959">
        <w:t> </w:t>
      </w:r>
    </w:p>
    <w:p w14:paraId="59EBCFEF" w14:textId="77777777" w:rsidR="00DF3959" w:rsidRPr="00DF3959" w:rsidRDefault="00DF3959" w:rsidP="00DF3959">
      <w:pPr>
        <w:pStyle w:val="BodyText"/>
      </w:pPr>
      <w:r w:rsidRPr="00DF3959">
        <w:t>BET must, by federal requirement, support and maintain an advisory committee comprised of 12 BET managers elected by their peers. They actively participate in making major decisions affecting the program through quarterly meetings and bi-monthly conference calls with the TWC BET director. </w:t>
      </w:r>
    </w:p>
    <w:p w14:paraId="5792B9BB" w14:textId="77777777" w:rsidR="00DF3959" w:rsidRPr="00DF3959" w:rsidRDefault="00DF3959" w:rsidP="00DF3959">
      <w:pPr>
        <w:pStyle w:val="BodyText"/>
      </w:pPr>
      <w:r w:rsidRPr="00DF3959">
        <w:rPr>
          <w:b/>
          <w:bCs/>
        </w:rPr>
        <w:t>Complaint Process</w:t>
      </w:r>
      <w:r w:rsidRPr="00DF3959">
        <w:t> </w:t>
      </w:r>
    </w:p>
    <w:p w14:paraId="32EC23D6" w14:textId="77777777" w:rsidR="00DF3959" w:rsidRPr="00DF3959" w:rsidRDefault="00DF3959" w:rsidP="00DF3959">
      <w:pPr>
        <w:pStyle w:val="BodyText"/>
      </w:pPr>
      <w:r w:rsidRPr="00DF3959">
        <w:t>Managers participating in the BET program may file complaints related to program operations in accordance with the Randolph-Sheppard Act. The complaint process involves attempts to settle through mediation, evidentiary hearings, and finally arbitration, in that order. It is a unique, federally mandated process. </w:t>
      </w:r>
    </w:p>
    <w:p w14:paraId="0F8A2E5D" w14:textId="77777777" w:rsidR="00DF3959" w:rsidRPr="00DF3959" w:rsidRDefault="00DF3959" w:rsidP="00E320BF">
      <w:pPr>
        <w:pStyle w:val="BodyText"/>
        <w:ind w:left="720" w:hanging="720"/>
      </w:pPr>
      <w:r w:rsidRPr="00DF3959">
        <w:rPr>
          <w:b/>
          <w:bCs/>
        </w:rPr>
        <w:t>L.</w:t>
      </w:r>
      <w:r w:rsidRPr="00DF3959">
        <w:tab/>
      </w:r>
      <w:r w:rsidRPr="00DF3959">
        <w:rPr>
          <w:b/>
          <w:bCs/>
        </w:rPr>
        <w:t>Regulatory programs relate to the licensing, registration, certification, or permitting of a person, business, piece of equipment, or other entity (e.g., a facility). For each regulatory program, if applicable, describe:</w:t>
      </w:r>
      <w:r w:rsidRPr="00DF3959">
        <w:t> </w:t>
      </w:r>
    </w:p>
    <w:p w14:paraId="6F760783" w14:textId="77777777" w:rsidR="00DF3959" w:rsidRPr="00DF3959" w:rsidRDefault="00DF3959" w:rsidP="00DF3959">
      <w:pPr>
        <w:pStyle w:val="BodyText"/>
      </w:pPr>
      <w:r w:rsidRPr="00DF3959">
        <w:t>N/A </w:t>
      </w:r>
    </w:p>
    <w:p w14:paraId="2BEACEB4" w14:textId="77777777" w:rsidR="00DF3959" w:rsidRPr="00DF3959" w:rsidRDefault="00DF3959" w:rsidP="00E92367">
      <w:pPr>
        <w:pStyle w:val="BodyText"/>
        <w:ind w:left="720" w:hanging="720"/>
      </w:pPr>
      <w:r w:rsidRPr="00DF3959">
        <w:rPr>
          <w:b/>
          <w:bCs/>
        </w:rPr>
        <w:t>M.</w:t>
      </w:r>
      <w:r w:rsidRPr="00DF3959">
        <w:tab/>
      </w:r>
      <w:r w:rsidRPr="00DF3959">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DF3959">
        <w:t>. </w:t>
      </w:r>
    </w:p>
    <w:p w14:paraId="52F1EBF3" w14:textId="77777777" w:rsidR="007615CF" w:rsidRDefault="00DF3959" w:rsidP="00DF3959">
      <w:pPr>
        <w:pStyle w:val="BodyText"/>
      </w:pPr>
      <w:r w:rsidRPr="00DF3959">
        <w:lastRenderedPageBreak/>
        <w:t>N/A</w:t>
      </w:r>
    </w:p>
    <w:p w14:paraId="04B17BA8" w14:textId="5EE2309D" w:rsidR="00DF3959" w:rsidRPr="00DF3959" w:rsidRDefault="00DF3959" w:rsidP="00DF3959">
      <w:pPr>
        <w:pStyle w:val="BodyText"/>
      </w:pPr>
      <w:r w:rsidRPr="00DF3959">
        <w:rPr>
          <w:b/>
          <w:bCs/>
        </w:rPr>
        <w:t>Program: Purchasing for People with Disabilities Program</w:t>
      </w:r>
    </w:p>
    <w:p w14:paraId="27E181B9" w14:textId="77777777" w:rsidR="00DF3959" w:rsidRPr="00DF3959" w:rsidRDefault="00DF3959" w:rsidP="00E92367">
      <w:pPr>
        <w:pStyle w:val="BodyText"/>
      </w:pPr>
      <w:r w:rsidRPr="00DF3959">
        <w:t>Location/Division: Vocational Rehabilitation Division </w:t>
      </w:r>
    </w:p>
    <w:p w14:paraId="113A57B3" w14:textId="77777777" w:rsidR="00DF3959" w:rsidRPr="00DF3959" w:rsidRDefault="00DF3959" w:rsidP="00E92367">
      <w:pPr>
        <w:pStyle w:val="BodyText"/>
      </w:pPr>
      <w:r w:rsidRPr="00DF3959">
        <w:t>Contact Name:  Juan Garcia </w:t>
      </w:r>
    </w:p>
    <w:p w14:paraId="0DDCF9F0" w14:textId="0E4A02B7" w:rsidR="00DF3959" w:rsidRPr="00DF3959" w:rsidRDefault="00DF3959" w:rsidP="00D83930">
      <w:pPr>
        <w:pStyle w:val="BodyText"/>
      </w:pPr>
      <w:r w:rsidRPr="00DF3959">
        <w:t>Statutory Citation for Program: Texas Human Resources Code</w:t>
      </w:r>
      <w:r w:rsidR="00FF6D3C">
        <w:t>,</w:t>
      </w:r>
      <w:r w:rsidRPr="00DF3959">
        <w:t xml:space="preserve"> Chapter 122</w:t>
      </w:r>
    </w:p>
    <w:p w14:paraId="5A75C74B" w14:textId="19EDEC92" w:rsidR="00DF3959" w:rsidRPr="00DF3959" w:rsidRDefault="00DF3959" w:rsidP="00DF3959">
      <w:pPr>
        <w:pStyle w:val="BodyText"/>
      </w:pPr>
      <w:r w:rsidRPr="00DF3959">
        <w:rPr>
          <w:b/>
          <w:bCs/>
        </w:rPr>
        <w:t>B.</w:t>
      </w:r>
      <w:r w:rsidRPr="00DF3959">
        <w:tab/>
      </w:r>
      <w:r w:rsidRPr="00DF3959">
        <w:rPr>
          <w:b/>
          <w:bCs/>
        </w:rPr>
        <w:t>What is the objective of this division or program? Describe its major activities.</w:t>
      </w:r>
    </w:p>
    <w:p w14:paraId="736B6A40" w14:textId="77777777" w:rsidR="00DF3959" w:rsidRPr="00DF3959" w:rsidRDefault="00DF3959" w:rsidP="00DF3959">
      <w:pPr>
        <w:pStyle w:val="BodyText"/>
      </w:pPr>
      <w:r w:rsidRPr="00DF3959">
        <w:t>The Purchasing from People with Disabilities program (PPD) provides training and employment opportunities for individuals with disabilities through </w:t>
      </w:r>
      <w:proofErr w:type="spellStart"/>
      <w:r w:rsidRPr="00DF3959">
        <w:t>WorkQuest</w:t>
      </w:r>
      <w:proofErr w:type="spellEnd"/>
      <w:r w:rsidRPr="00DF3959">
        <w:t>, the central nonprofit organization that coordinates with over 110 Community Rehabilitation Programs (CRPs) including nonprofits such as Goodwill Industries and the Lighthouse for the Blind to supply products and services purchased by state and local government agencies, schools, and political subdivisions. Under the PPD program, individuals with varying levels of disabilities produce products or perform services through training and employment opportunities provided by CRPs. </w:t>
      </w:r>
    </w:p>
    <w:p w14:paraId="7AD80990" w14:textId="77777777" w:rsidR="00DF3959" w:rsidRPr="00DF3959" w:rsidRDefault="00DF3959" w:rsidP="00223A18">
      <w:pPr>
        <w:pStyle w:val="BodyText"/>
        <w:ind w:left="720" w:hanging="720"/>
      </w:pPr>
      <w:r w:rsidRPr="00DF3959">
        <w:rPr>
          <w:b/>
          <w:bCs/>
        </w:rPr>
        <w:t>C.</w:t>
      </w:r>
      <w:r w:rsidRPr="00DF3959">
        <w:tab/>
      </w:r>
      <w:r w:rsidRPr="00DF3959">
        <w:rPr>
          <w:b/>
          <w:bCs/>
        </w:rPr>
        <w:t xml:space="preserve">What information does the agency collect/use to assess the effectiveness and efficiency of this division or program? If applicable, briefly note any LBB performance measures (from Section II, </w:t>
      </w:r>
      <w:proofErr w:type="gramStart"/>
      <w:r w:rsidRPr="00DF3959">
        <w:rPr>
          <w:b/>
          <w:bCs/>
        </w:rPr>
        <w:t>Exhibit</w:t>
      </w:r>
      <w:proofErr w:type="gramEnd"/>
      <w:r w:rsidRPr="00DF3959">
        <w:rPr>
          <w:b/>
          <w:bCs/>
        </w:rP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r w:rsidRPr="00DF3959">
        <w:t> </w:t>
      </w:r>
    </w:p>
    <w:p w14:paraId="4CF3E44E" w14:textId="77777777" w:rsidR="00DF3959" w:rsidRPr="00DF3959" w:rsidRDefault="00DF3959" w:rsidP="00223A18">
      <w:pPr>
        <w:pStyle w:val="BodyText3"/>
      </w:pPr>
      <w:r w:rsidRPr="00DF3959">
        <w:t>Economic Impact Study  </w:t>
      </w:r>
    </w:p>
    <w:p w14:paraId="438A5C14" w14:textId="77777777" w:rsidR="00DF3959" w:rsidRPr="00DF3959" w:rsidRDefault="00DF3959" w:rsidP="00DF3959">
      <w:pPr>
        <w:pStyle w:val="BodyText"/>
      </w:pPr>
      <w:r w:rsidRPr="00DF3959">
        <w:t xml:space="preserve">In 2022, and in response to the 2015 Sunset Review of the PPD program, an Economic Impact Study was conducted to analyze the Contributions, Costs, and Effectiveness of the State Use Program on the Texas Economy.  The study can be found in </w:t>
      </w:r>
      <w:proofErr w:type="spellStart"/>
      <w:r w:rsidRPr="00DF3959">
        <w:t>Exhibit_GAP_VR_Eco_Impact</w:t>
      </w:r>
      <w:proofErr w:type="spellEnd"/>
      <w:r w:rsidRPr="00DF3959">
        <w:t>. </w:t>
      </w:r>
    </w:p>
    <w:p w14:paraId="19DF2245" w14:textId="77777777" w:rsidR="00DF3959" w:rsidRPr="00DF3959" w:rsidRDefault="00DF3959" w:rsidP="00223A18">
      <w:pPr>
        <w:pStyle w:val="BodyText3"/>
      </w:pPr>
      <w:r w:rsidRPr="00DF3959">
        <w:t>Supplemental Reports  </w:t>
      </w:r>
    </w:p>
    <w:p w14:paraId="203274CE" w14:textId="6A6BFC42" w:rsidR="00DF3959" w:rsidRPr="00DF3959" w:rsidRDefault="205D4B1E" w:rsidP="00DF3959">
      <w:pPr>
        <w:pStyle w:val="BodyText"/>
      </w:pPr>
      <w:r>
        <w:t xml:space="preserve">Annual program Supplemental Reports to the Governor that demonstrate performance against requirements stipulated in Texas Administrative Code Title 40, Part 20, Chapter 806:  Purchasing from People with Disabilities, and Texas Human Resources Code Title 8, Chapter 122: Rights and Responsibilities of Persons with Disabilities, Chapter 122 - Purchasing from People with Disabilities.  </w:t>
      </w:r>
      <w:r w:rsidR="1A143141">
        <w:t xml:space="preserve">Additional </w:t>
      </w:r>
      <w:r>
        <w:t>information</w:t>
      </w:r>
      <w:r w:rsidR="639006F7">
        <w:t xml:space="preserve"> is available in the </w:t>
      </w:r>
      <w:hyperlink r:id="rId116" w:history="1">
        <w:r w:rsidR="024E980F" w:rsidRPr="65EBA754">
          <w:rPr>
            <w:rStyle w:val="Hyperlink"/>
          </w:rPr>
          <w:t>TWC Supplemental Report FY 202</w:t>
        </w:r>
      </w:hyperlink>
      <w:r w:rsidR="024E980F">
        <w:t>4.</w:t>
      </w:r>
    </w:p>
    <w:p w14:paraId="0604DF4A" w14:textId="77777777" w:rsidR="00DF3959" w:rsidRPr="00DF3959" w:rsidRDefault="00DF3959" w:rsidP="00DF3959">
      <w:pPr>
        <w:pStyle w:val="BodyText"/>
      </w:pPr>
      <w:r w:rsidRPr="00DF3959">
        <w:rPr>
          <w:b/>
          <w:bCs/>
        </w:rPr>
        <w:t>PPD Advisory Committee </w:t>
      </w:r>
      <w:r w:rsidRPr="00DF3959">
        <w:t> </w:t>
      </w:r>
    </w:p>
    <w:p w14:paraId="03F6C652" w14:textId="77777777" w:rsidR="00DF3959" w:rsidRPr="00DF3959" w:rsidRDefault="00DF3959" w:rsidP="00DF3959">
      <w:pPr>
        <w:pStyle w:val="BodyText"/>
      </w:pPr>
      <w:r w:rsidRPr="00DF3959">
        <w:lastRenderedPageBreak/>
        <w:t xml:space="preserve">The PPD Advisory Committee developed measures and targets and reported those to the commission in a Discussion Paper.  The commissioners accepted the report.   Agency Executive Director authorized the use of the measures and targets by the advisory committee as management measures only. The committee will take up discussion on the use of the measures at its next meeting to be scheduled later this year.  For more information, see </w:t>
      </w:r>
      <w:proofErr w:type="spellStart"/>
      <w:r w:rsidRPr="00DF3959">
        <w:t>Exhibit_GAP_VR_PPD</w:t>
      </w:r>
      <w:proofErr w:type="spellEnd"/>
      <w:r w:rsidRPr="00DF3959">
        <w:t xml:space="preserve"> _</w:t>
      </w:r>
      <w:proofErr w:type="spellStart"/>
      <w:r w:rsidRPr="00DF3959">
        <w:t>Measures_Targets</w:t>
      </w:r>
      <w:proofErr w:type="spellEnd"/>
      <w:r w:rsidRPr="00DF3959">
        <w:t>. </w:t>
      </w:r>
    </w:p>
    <w:p w14:paraId="2E01D463" w14:textId="77777777" w:rsidR="00DF3959" w:rsidRPr="00DF3959" w:rsidRDefault="00DF3959" w:rsidP="00223A18">
      <w:pPr>
        <w:pStyle w:val="BodyText"/>
      </w:pPr>
      <w:r w:rsidRPr="00DF3959">
        <w:t xml:space="preserve">The measures and targets were developed by analyzing historical program data with the input of the Department of Information, Innovation, and Insight. For more information, see </w:t>
      </w:r>
      <w:proofErr w:type="spellStart"/>
      <w:r w:rsidRPr="00DF3959">
        <w:t>Exhibit_GAP_VR_PPD_Performance_Calculations</w:t>
      </w:r>
      <w:proofErr w:type="spellEnd"/>
      <w:r w:rsidRPr="00DF3959">
        <w:t>. </w:t>
      </w:r>
    </w:p>
    <w:p w14:paraId="33E2E61F" w14:textId="77777777" w:rsidR="00DF3959" w:rsidRPr="00DF3959" w:rsidRDefault="00DF3959" w:rsidP="00223A18">
      <w:pPr>
        <w:pStyle w:val="BodyText"/>
        <w:ind w:left="720" w:hanging="720"/>
      </w:pPr>
      <w:r w:rsidRPr="00DF3959">
        <w:rPr>
          <w:b/>
          <w:bCs/>
        </w:rPr>
        <w:t>D.</w:t>
      </w:r>
      <w:r w:rsidRPr="00DF3959">
        <w:tab/>
      </w:r>
      <w:r w:rsidRPr="00DF3959">
        <w:rPr>
          <w:b/>
          <w:bCs/>
        </w:rPr>
        <w:t>Describe any important history regarding this division or program not included in the general agency history section, including how the functions or services have changed over time. If the response to Section III of this report is sufficient, please leave this section blank.</w:t>
      </w:r>
      <w:r w:rsidRPr="00DF3959">
        <w:t> </w:t>
      </w:r>
    </w:p>
    <w:p w14:paraId="22A311F9" w14:textId="77777777" w:rsidR="00DF3959" w:rsidRPr="00DF3959" w:rsidRDefault="00DF3959" w:rsidP="00DF3959">
      <w:pPr>
        <w:pStyle w:val="BodyText"/>
      </w:pPr>
      <w:r w:rsidRPr="00DF3959">
        <w:t xml:space="preserve">The program previously existed under the Council on Purchasing from People with Disabilities.  As a result of the </w:t>
      </w:r>
      <w:proofErr w:type="spellStart"/>
      <w:r w:rsidRPr="00DF3959">
        <w:t>the</w:t>
      </w:r>
      <w:proofErr w:type="spellEnd"/>
      <w:r w:rsidRPr="00DF3959">
        <w:t xml:space="preserve"> program’s 2015 Sunset Review, Senate Bill 212 abolished the Texas Council on Purchasing from People with Disabilities and transferred the administration of the State Use Program to the TWC. </w:t>
      </w:r>
    </w:p>
    <w:p w14:paraId="64F547B6" w14:textId="77777777" w:rsidR="00DF3959" w:rsidRPr="00DF3959" w:rsidRDefault="00DF3959" w:rsidP="00DF3959">
      <w:pPr>
        <w:pStyle w:val="BodyText"/>
      </w:pPr>
      <w:r w:rsidRPr="00DF3959">
        <w:t>Functions of the program have not changed from their original intent. </w:t>
      </w:r>
    </w:p>
    <w:p w14:paraId="30CCEB2F" w14:textId="77777777" w:rsidR="00DF3959" w:rsidRPr="00DF3959" w:rsidRDefault="00DF3959" w:rsidP="00223A18">
      <w:pPr>
        <w:pStyle w:val="BodyText"/>
        <w:ind w:left="720" w:hanging="720"/>
      </w:pPr>
      <w:r w:rsidRPr="00DF3959">
        <w:rPr>
          <w:b/>
          <w:bCs/>
        </w:rPr>
        <w:t>E.</w:t>
      </w:r>
      <w:r w:rsidRPr="00DF3959">
        <w:tab/>
      </w:r>
      <w:r w:rsidRPr="00DF3959">
        <w:rPr>
          <w:b/>
          <w:bCs/>
        </w:rPr>
        <w:t>List any qualifications or eligibility requirements for persons or entities affected by this division or program (e.g., licensees, consumers, and landowners). Provide a statistical breakdown of persons or entities affected.</w:t>
      </w:r>
      <w:r w:rsidRPr="00DF3959">
        <w:t> </w:t>
      </w:r>
    </w:p>
    <w:p w14:paraId="40672A4A" w14:textId="77777777" w:rsidR="00DF3959" w:rsidRPr="00DF3959" w:rsidRDefault="00DF3959" w:rsidP="00DF3959">
      <w:pPr>
        <w:pStyle w:val="BodyText"/>
      </w:pPr>
      <w:r w:rsidRPr="00DF3959">
        <w:t>To participate in the PPD program, individuals must have a disability recognized under the Americans with Disabilities Act that impedes the person from seeking, entering, or maintaining gainful employment. </w:t>
      </w:r>
    </w:p>
    <w:p w14:paraId="50CE25E9" w14:textId="77777777" w:rsidR="00DF3959" w:rsidRPr="00DF3959" w:rsidRDefault="00DF3959" w:rsidP="00223A18">
      <w:pPr>
        <w:pStyle w:val="BodyText"/>
        <w:ind w:left="720" w:hanging="720"/>
      </w:pPr>
      <w:r w:rsidRPr="00DF3959">
        <w:rPr>
          <w:b/>
          <w:bCs/>
        </w:rPr>
        <w:t>F.</w:t>
      </w:r>
      <w:r w:rsidRPr="00DF3959">
        <w:tab/>
      </w:r>
      <w:r w:rsidRPr="00DF3959">
        <w:rPr>
          <w:b/>
          <w:bCs/>
        </w:rPr>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r w:rsidRPr="00DF3959">
        <w:t> </w:t>
      </w:r>
    </w:p>
    <w:p w14:paraId="0F912AFF" w14:textId="77777777" w:rsidR="00DF3959" w:rsidRPr="00DF3959" w:rsidRDefault="00DF3959" w:rsidP="00DF3959">
      <w:pPr>
        <w:pStyle w:val="BodyText"/>
      </w:pPr>
      <w:r w:rsidRPr="00DF3959">
        <w:t xml:space="preserve">TWC provides oversight of the program.  The Commission, among other statutorily required roles, approves products and services to be set aside for purchase through the State Use Program and contracts with the central nonprofit agency to administer the program.  The central nonprofit agency, </w:t>
      </w:r>
      <w:proofErr w:type="spellStart"/>
      <w:r w:rsidRPr="00DF3959">
        <w:t>WorkQuest</w:t>
      </w:r>
      <w:proofErr w:type="spellEnd"/>
      <w:r w:rsidRPr="00DF3959">
        <w:t xml:space="preserve">, administers the day-to-day operations of the program and contracts with Community Rehabilitation Programs (CRPs) to provide the approved services and products.  CRPs are nonprofit or government entities that hire people with disabilities to make products and perform services.  People with disabilities must perform at least 75 percent of the work hours needed to produce a product or provide a service for the </w:t>
      </w:r>
      <w:r w:rsidRPr="00DF3959">
        <w:lastRenderedPageBreak/>
        <w:t xml:space="preserve">State Use Program.  For more information, see flow chart in </w:t>
      </w:r>
      <w:proofErr w:type="spellStart"/>
      <w:r w:rsidRPr="00DF3959">
        <w:t>Exhibit_GAP_VR_PPD</w:t>
      </w:r>
      <w:proofErr w:type="spellEnd"/>
      <w:r w:rsidRPr="00DF3959">
        <w:t xml:space="preserve"> _</w:t>
      </w:r>
      <w:proofErr w:type="spellStart"/>
      <w:r w:rsidRPr="00DF3959">
        <w:t>FlowChart</w:t>
      </w:r>
      <w:proofErr w:type="spellEnd"/>
      <w:r w:rsidRPr="00DF3959">
        <w:t> </w:t>
      </w:r>
    </w:p>
    <w:p w14:paraId="4F2B39D3" w14:textId="77777777" w:rsidR="00DF3959" w:rsidRPr="00DF3959" w:rsidRDefault="00DF3959" w:rsidP="00223A18">
      <w:pPr>
        <w:pStyle w:val="BodyText"/>
        <w:ind w:left="720" w:hanging="720"/>
      </w:pPr>
      <w:r w:rsidRPr="00DF3959">
        <w:rPr>
          <w:b/>
          <w:bCs/>
        </w:rPr>
        <w:t>G.</w:t>
      </w:r>
      <w:r w:rsidRPr="00DF3959">
        <w:tab/>
      </w:r>
      <w:r w:rsidRPr="00DF3959">
        <w:rPr>
          <w:b/>
          <w:bCs/>
        </w:rPr>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DF3959">
        <w:rPr>
          <w:b/>
          <w:bCs/>
          <w:i/>
          <w:iCs/>
        </w:rPr>
        <w:t>(If you have already submitted funding source info through the “Agency Program Information” spreadsheet, please limit your response to funding formulas or funding conventions.)</w:t>
      </w:r>
      <w:r w:rsidRPr="00DF3959">
        <w:t> </w:t>
      </w:r>
    </w:p>
    <w:tbl>
      <w:tblPr>
        <w:tblStyle w:val="TableGrid1"/>
        <w:tblW w:w="9360" w:type="dxa"/>
        <w:tblCellMar>
          <w:top w:w="58" w:type="dxa"/>
          <w:bottom w:w="58" w:type="dxa"/>
        </w:tblCellMar>
        <w:tblLook w:val="04A0" w:firstRow="1" w:lastRow="0" w:firstColumn="1" w:lastColumn="0" w:noHBand="0" w:noVBand="1"/>
      </w:tblPr>
      <w:tblGrid>
        <w:gridCol w:w="3415"/>
        <w:gridCol w:w="2014"/>
        <w:gridCol w:w="1900"/>
        <w:gridCol w:w="2031"/>
      </w:tblGrid>
      <w:tr w:rsidR="00E10489" w:rsidRPr="003F6235" w14:paraId="73DEC331" w14:textId="77777777" w:rsidTr="00E10489">
        <w:trPr>
          <w:trHeight w:val="288"/>
        </w:trPr>
        <w:tc>
          <w:tcPr>
            <w:tcW w:w="3415" w:type="dxa"/>
            <w:shd w:val="clear" w:color="auto" w:fill="B8CCE4" w:themeFill="accent1" w:themeFillTint="66"/>
            <w:vAlign w:val="center"/>
            <w:hideMark/>
          </w:tcPr>
          <w:p w14:paraId="143DC3B6" w14:textId="77777777" w:rsidR="00E10489" w:rsidRPr="003F6235" w:rsidRDefault="00E10489" w:rsidP="00E10489">
            <w:pPr>
              <w:pStyle w:val="TableHeaders"/>
              <w:rPr>
                <w:color w:val="000000"/>
              </w:rPr>
            </w:pPr>
            <w:r w:rsidRPr="003F6235">
              <w:t>Program or Function Detail Description</w:t>
            </w:r>
          </w:p>
        </w:tc>
        <w:tc>
          <w:tcPr>
            <w:tcW w:w="2430" w:type="dxa"/>
            <w:shd w:val="clear" w:color="auto" w:fill="B8CCE4" w:themeFill="accent1" w:themeFillTint="66"/>
            <w:vAlign w:val="center"/>
            <w:hideMark/>
          </w:tcPr>
          <w:p w14:paraId="2089C67B" w14:textId="77777777" w:rsidR="00E10489" w:rsidRPr="003F6235" w:rsidRDefault="00E10489" w:rsidP="00E10489">
            <w:pPr>
              <w:pStyle w:val="TableHeaders"/>
              <w:rPr>
                <w:color w:val="000000"/>
              </w:rPr>
            </w:pPr>
            <w:r w:rsidRPr="003F6235">
              <w:t>Total FY 2024</w:t>
            </w:r>
          </w:p>
        </w:tc>
        <w:tc>
          <w:tcPr>
            <w:tcW w:w="2250" w:type="dxa"/>
            <w:shd w:val="clear" w:color="auto" w:fill="B8CCE4" w:themeFill="accent1" w:themeFillTint="66"/>
            <w:vAlign w:val="center"/>
            <w:hideMark/>
          </w:tcPr>
          <w:p w14:paraId="60901A59" w14:textId="77777777" w:rsidR="00E10489" w:rsidRPr="003F6235" w:rsidRDefault="00E10489" w:rsidP="00E10489">
            <w:pPr>
              <w:pStyle w:val="TableHeaders"/>
              <w:rPr>
                <w:color w:val="000000"/>
              </w:rPr>
            </w:pPr>
            <w:r w:rsidRPr="003F6235">
              <w:t>Federal Funding</w:t>
            </w:r>
          </w:p>
        </w:tc>
        <w:tc>
          <w:tcPr>
            <w:tcW w:w="2430" w:type="dxa"/>
            <w:shd w:val="clear" w:color="auto" w:fill="B8CCE4" w:themeFill="accent1" w:themeFillTint="66"/>
            <w:vAlign w:val="center"/>
            <w:hideMark/>
          </w:tcPr>
          <w:p w14:paraId="134FB4FB" w14:textId="77777777" w:rsidR="00E10489" w:rsidRPr="003F6235" w:rsidRDefault="00E10489" w:rsidP="00E10489">
            <w:pPr>
              <w:pStyle w:val="TableHeaders"/>
              <w:rPr>
                <w:color w:val="000000"/>
              </w:rPr>
            </w:pPr>
            <w:r w:rsidRPr="003F6235">
              <w:t>State Funding</w:t>
            </w:r>
          </w:p>
        </w:tc>
      </w:tr>
      <w:tr w:rsidR="00E10489" w:rsidRPr="003F6235" w14:paraId="40920550" w14:textId="77777777" w:rsidTr="00E10489">
        <w:trPr>
          <w:trHeight w:val="288"/>
        </w:trPr>
        <w:tc>
          <w:tcPr>
            <w:tcW w:w="3415" w:type="dxa"/>
            <w:noWrap/>
            <w:vAlign w:val="center"/>
            <w:hideMark/>
          </w:tcPr>
          <w:p w14:paraId="43F32FFA" w14:textId="77777777" w:rsidR="00E10489" w:rsidRPr="003F6235" w:rsidRDefault="00E10489" w:rsidP="00E10489">
            <w:pPr>
              <w:pStyle w:val="TableText"/>
            </w:pPr>
            <w:r w:rsidRPr="003F6235">
              <w:t>Purchasing for People with Disabilities Program</w:t>
            </w:r>
          </w:p>
        </w:tc>
        <w:tc>
          <w:tcPr>
            <w:tcW w:w="2430" w:type="dxa"/>
            <w:vAlign w:val="center"/>
            <w:hideMark/>
          </w:tcPr>
          <w:p w14:paraId="6384695A" w14:textId="27B052E7" w:rsidR="00E10489" w:rsidRPr="003F6235" w:rsidRDefault="00E10489" w:rsidP="00E10489">
            <w:pPr>
              <w:pStyle w:val="TableText"/>
              <w:jc w:val="right"/>
            </w:pPr>
            <w:r w:rsidRPr="003F6235">
              <w:t xml:space="preserve">546,700 </w:t>
            </w:r>
          </w:p>
        </w:tc>
        <w:tc>
          <w:tcPr>
            <w:tcW w:w="2250" w:type="dxa"/>
            <w:vAlign w:val="center"/>
            <w:hideMark/>
          </w:tcPr>
          <w:p w14:paraId="69CA923C" w14:textId="77777777" w:rsidR="00E10489" w:rsidRPr="003F6235" w:rsidRDefault="00E10489" w:rsidP="00E10489">
            <w:pPr>
              <w:pStyle w:val="TableText"/>
              <w:jc w:val="right"/>
            </w:pPr>
            <w:r>
              <w:t>0</w:t>
            </w:r>
            <w:r w:rsidRPr="003F6235">
              <w:t> </w:t>
            </w:r>
          </w:p>
        </w:tc>
        <w:tc>
          <w:tcPr>
            <w:tcW w:w="2430" w:type="dxa"/>
            <w:vAlign w:val="center"/>
            <w:hideMark/>
          </w:tcPr>
          <w:p w14:paraId="1B590142" w14:textId="5DE1142A" w:rsidR="00E10489" w:rsidRPr="003F6235" w:rsidRDefault="00E10489" w:rsidP="00E10489">
            <w:pPr>
              <w:pStyle w:val="TableText"/>
              <w:jc w:val="right"/>
            </w:pPr>
            <w:r w:rsidRPr="003F6235">
              <w:t xml:space="preserve">546,700 </w:t>
            </w:r>
          </w:p>
        </w:tc>
      </w:tr>
    </w:tbl>
    <w:p w14:paraId="2D444AA3" w14:textId="77777777" w:rsidR="00DF3959" w:rsidRPr="00DF3959" w:rsidRDefault="00DF3959" w:rsidP="00223A18">
      <w:pPr>
        <w:pStyle w:val="BodyText"/>
        <w:ind w:left="720" w:hanging="720"/>
      </w:pPr>
      <w:r w:rsidRPr="00DF3959">
        <w:rPr>
          <w:b/>
          <w:bCs/>
        </w:rPr>
        <w:t>H.</w:t>
      </w:r>
      <w:r w:rsidRPr="00DF3959">
        <w:tab/>
      </w:r>
      <w:r w:rsidRPr="00DF3959">
        <w:rPr>
          <w:b/>
          <w:bCs/>
        </w:rP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r w:rsidRPr="00DF3959">
        <w:t> </w:t>
      </w:r>
    </w:p>
    <w:p w14:paraId="2FF01546" w14:textId="77777777" w:rsidR="00DF3959" w:rsidRPr="00DF3959" w:rsidRDefault="00DF3959" w:rsidP="00DF3959">
      <w:pPr>
        <w:pStyle w:val="BodyText"/>
      </w:pPr>
      <w:r w:rsidRPr="00DF3959">
        <w:t>There are no other programs that provide identical or similar services or functions to the target population. Other state and federal programs—such as Vocational Rehabilitation Services, and Medicaid waiver programs—may support individuals with disabilities, but they do not provide employment through the sale of products and services produced by people with disabilities and therefore do not duplicate the function of the State Use Program. </w:t>
      </w:r>
    </w:p>
    <w:p w14:paraId="286CF1E7" w14:textId="77777777" w:rsidR="00DF3959" w:rsidRPr="00DF3959" w:rsidRDefault="00DF3959" w:rsidP="00DF3959">
      <w:pPr>
        <w:pStyle w:val="BodyText"/>
      </w:pPr>
      <w:r w:rsidRPr="00DF3959">
        <w:t>The program provides certain goods and services to state agencies and local units of government that purchase these goods and services through the State Comptroller’s Smart Buy program.   </w:t>
      </w:r>
    </w:p>
    <w:p w14:paraId="7688EBBA" w14:textId="77777777" w:rsidR="00DF3959" w:rsidRPr="00DF3959" w:rsidRDefault="00DF3959" w:rsidP="00223A18">
      <w:pPr>
        <w:pStyle w:val="BodyText"/>
        <w:ind w:left="720" w:hanging="720"/>
      </w:pPr>
      <w:r w:rsidRPr="00DF3959">
        <w:rPr>
          <w:b/>
          <w:bCs/>
        </w:rPr>
        <w:t>I.</w:t>
      </w:r>
      <w:r w:rsidRPr="00DF3959">
        <w:tab/>
      </w:r>
      <w:r w:rsidRPr="00DF3959">
        <w:rPr>
          <w:b/>
          <w:bCs/>
        </w:rPr>
        <w:t>If the division or program works with local, regional, or federal units of government, include a brief description of these entities and their relationship to the agency.</w:t>
      </w:r>
      <w:r w:rsidRPr="00DF3959">
        <w:t> </w:t>
      </w:r>
    </w:p>
    <w:p w14:paraId="7DC84357" w14:textId="77777777" w:rsidR="00DF3959" w:rsidRPr="00DF3959" w:rsidRDefault="00DF3959" w:rsidP="00DF3959">
      <w:pPr>
        <w:pStyle w:val="BodyText"/>
      </w:pPr>
      <w:r w:rsidRPr="00DF3959">
        <w:rPr>
          <w:b/>
          <w:bCs/>
        </w:rPr>
        <w:t>Texas State University</w:t>
      </w:r>
      <w:r w:rsidRPr="00DF3959">
        <w:t> </w:t>
      </w:r>
    </w:p>
    <w:p w14:paraId="06CC5BB7" w14:textId="77777777" w:rsidR="00DF3959" w:rsidRPr="00DF3959" w:rsidRDefault="00DF3959" w:rsidP="00DF3959">
      <w:pPr>
        <w:pStyle w:val="BodyText"/>
      </w:pPr>
      <w:r w:rsidRPr="00DF3959">
        <w:t>TWC has an Interagency Agreement with Texas State University to conduct testing of new and existing products. </w:t>
      </w:r>
    </w:p>
    <w:p w14:paraId="0A8521B6" w14:textId="77777777" w:rsidR="00DF3959" w:rsidRPr="00DF3959" w:rsidRDefault="00DF3959" w:rsidP="00DF3959">
      <w:pPr>
        <w:pStyle w:val="BodyText"/>
      </w:pPr>
      <w:r w:rsidRPr="00DF3959">
        <w:rPr>
          <w:b/>
          <w:bCs/>
        </w:rPr>
        <w:t>Texas Comptroller</w:t>
      </w:r>
      <w:r w:rsidRPr="00DF3959">
        <w:t> </w:t>
      </w:r>
    </w:p>
    <w:p w14:paraId="306AF3BF" w14:textId="77777777" w:rsidR="00DF3959" w:rsidRPr="00DF3959" w:rsidRDefault="00DF3959" w:rsidP="00DF3959">
      <w:pPr>
        <w:pStyle w:val="BodyText"/>
      </w:pPr>
      <w:r w:rsidRPr="00DF3959">
        <w:t>The Comptroller assists with determining fair market price for new PPD products before being sold to state agencies, and to test certain existing products that state agencies are not buying. </w:t>
      </w:r>
    </w:p>
    <w:p w14:paraId="66D2AA5F" w14:textId="77777777" w:rsidR="00DF3959" w:rsidRPr="00DF3959" w:rsidRDefault="00DF3959" w:rsidP="00DF3959">
      <w:pPr>
        <w:pStyle w:val="BodyText"/>
      </w:pPr>
      <w:r w:rsidRPr="00DF3959">
        <w:rPr>
          <w:b/>
          <w:bCs/>
        </w:rPr>
        <w:lastRenderedPageBreak/>
        <w:t>The State Use Program </w:t>
      </w:r>
      <w:r w:rsidRPr="00DF3959">
        <w:t> </w:t>
      </w:r>
    </w:p>
    <w:p w14:paraId="3EACBFAF" w14:textId="77777777" w:rsidR="00223A18" w:rsidRDefault="00DF3959" w:rsidP="00DF3959">
      <w:pPr>
        <w:pStyle w:val="BodyText"/>
      </w:pPr>
      <w:r w:rsidRPr="00DF3959">
        <w:t>The State Use Program (Texas Human Resources Code, Chapter 122) exists to create meaningful employment for Texans with disabilities through private, non-profit Community Rehabilitation Programs (CRPs). With that being the Program’s purpose, the target population are the people with disabilities who gain employment.</w:t>
      </w:r>
    </w:p>
    <w:p w14:paraId="3ADEE4DD" w14:textId="00ABF49D" w:rsidR="00DF3959" w:rsidRPr="00DF3959" w:rsidRDefault="00DF3959" w:rsidP="00DF3959">
      <w:pPr>
        <w:pStyle w:val="BodyText"/>
      </w:pPr>
      <w:r w:rsidRPr="00DF3959">
        <w:rPr>
          <w:b/>
          <w:bCs/>
        </w:rPr>
        <w:t>AbilityOne Program.</w:t>
      </w:r>
    </w:p>
    <w:p w14:paraId="13FED0C6" w14:textId="5FD3D06C" w:rsidR="00DF3959" w:rsidRDefault="00DF3959" w:rsidP="00DF3959">
      <w:pPr>
        <w:pStyle w:val="BodyText"/>
      </w:pPr>
      <w:r w:rsidRPr="00DF3959">
        <w:t>Overseen by the U.S. AbilityOne Commission, the program provides employment to people with disabilities serving federal agency customers only and does not provide any services to the state of Texas or its political subdivisions. Some CRPs participate in both State Use and AbilityOne, but it is not a requirement, and many CRPs in Texas only provide employment through the State use Program.</w:t>
      </w:r>
    </w:p>
    <w:p w14:paraId="319BF148" w14:textId="3D40CD88" w:rsidR="00DF3959" w:rsidRPr="00DF3959" w:rsidRDefault="00DF3959" w:rsidP="00223A18">
      <w:pPr>
        <w:pStyle w:val="BodyText"/>
        <w:ind w:left="720" w:hanging="720"/>
      </w:pPr>
      <w:r w:rsidRPr="00DF3959">
        <w:rPr>
          <w:b/>
          <w:bCs/>
        </w:rPr>
        <w:t>J.</w:t>
      </w:r>
      <w:r w:rsidRPr="00DF3959">
        <w:tab/>
      </w:r>
      <w:r w:rsidRPr="00DF3959">
        <w:rPr>
          <w:b/>
          <w:bCs/>
        </w:rPr>
        <w:t>Are there any barriers or challenges that impede the program’s performance, including any outdated or ineffective state laws? Explain.</w:t>
      </w:r>
      <w:r w:rsidRPr="00DF3959">
        <w:t> </w:t>
      </w:r>
    </w:p>
    <w:p w14:paraId="46841738" w14:textId="77777777" w:rsidR="00DF3959" w:rsidRPr="00DF3959" w:rsidRDefault="00DF3959" w:rsidP="00DF3959">
      <w:pPr>
        <w:pStyle w:val="BodyText"/>
      </w:pPr>
      <w:r w:rsidRPr="00DF3959">
        <w:t>The Workforce Innovation and Opportunity Act (WIOA) and its implementing regulations established that employment outcomes in the VR program must be in competitive integrated employment (CIE).  WIOA defines competitive integrated employment CIE as work that is performed on a full-time or part-time basis for which an individual is: </w:t>
      </w:r>
    </w:p>
    <w:p w14:paraId="547BA4CC" w14:textId="77777777" w:rsidR="00DF3959" w:rsidRPr="00DF3959" w:rsidRDefault="00DF3959" w:rsidP="00C64851">
      <w:pPr>
        <w:pStyle w:val="BodyText"/>
        <w:numPr>
          <w:ilvl w:val="0"/>
          <w:numId w:val="736"/>
        </w:numPr>
      </w:pPr>
      <w:r w:rsidRPr="00DF3959">
        <w:t xml:space="preserve">Compensated at or above minimum wage and comparable to the customary rate paid by the employer to employees without disabilities performing similar duties and with similar training and </w:t>
      </w:r>
      <w:proofErr w:type="gramStart"/>
      <w:r w:rsidRPr="00DF3959">
        <w:t>experience;</w:t>
      </w:r>
      <w:proofErr w:type="gramEnd"/>
      <w:r w:rsidRPr="00DF3959">
        <w:t> </w:t>
      </w:r>
    </w:p>
    <w:p w14:paraId="266DFDB4" w14:textId="77777777" w:rsidR="00DF3959" w:rsidRPr="00DF3959" w:rsidRDefault="00DF3959" w:rsidP="00C64851">
      <w:pPr>
        <w:pStyle w:val="BodyText"/>
        <w:numPr>
          <w:ilvl w:val="0"/>
          <w:numId w:val="737"/>
        </w:numPr>
      </w:pPr>
      <w:r w:rsidRPr="00DF3959">
        <w:t xml:space="preserve">Receiving the same level of benefits provided to other employees without disabilities in similar </w:t>
      </w:r>
      <w:proofErr w:type="gramStart"/>
      <w:r w:rsidRPr="00DF3959">
        <w:t>positions;</w:t>
      </w:r>
      <w:proofErr w:type="gramEnd"/>
      <w:r w:rsidRPr="00DF3959">
        <w:t> </w:t>
      </w:r>
    </w:p>
    <w:p w14:paraId="64AAA2D4" w14:textId="77777777" w:rsidR="00DF3959" w:rsidRPr="00DF3959" w:rsidRDefault="00DF3959" w:rsidP="00C64851">
      <w:pPr>
        <w:pStyle w:val="BodyText"/>
        <w:numPr>
          <w:ilvl w:val="0"/>
          <w:numId w:val="738"/>
        </w:numPr>
      </w:pPr>
      <w:r w:rsidRPr="00DF3959">
        <w:t>At a location where the employee interacts with other individuals without disabilities; and </w:t>
      </w:r>
    </w:p>
    <w:p w14:paraId="013580F3" w14:textId="77777777" w:rsidR="00DF3959" w:rsidRPr="00DF3959" w:rsidRDefault="00DF3959" w:rsidP="00C64851">
      <w:pPr>
        <w:pStyle w:val="BodyText"/>
        <w:numPr>
          <w:ilvl w:val="0"/>
          <w:numId w:val="739"/>
        </w:numPr>
      </w:pPr>
      <w:r w:rsidRPr="00DF3959">
        <w:t xml:space="preserve">Presented opportunities for advancement </w:t>
      </w:r>
      <w:proofErr w:type="gramStart"/>
      <w:r w:rsidRPr="00DF3959">
        <w:t>similar to</w:t>
      </w:r>
      <w:proofErr w:type="gramEnd"/>
      <w:r w:rsidRPr="00DF3959">
        <w:t xml:space="preserve"> other employees without disabilities in similar positions. </w:t>
      </w:r>
    </w:p>
    <w:p w14:paraId="7CA0AD43" w14:textId="77777777" w:rsidR="00DF3959" w:rsidRPr="00DF3959" w:rsidRDefault="00DF3959" w:rsidP="00DF3959">
      <w:pPr>
        <w:pStyle w:val="BodyText"/>
      </w:pPr>
      <w:r w:rsidRPr="00DF3959">
        <w:t>Community Rehabilitation Programs (CRPs), as employers in the PPD program, do not meet this CIE requirement because individuals with disabilities must perform 75 percent of direct labor hours for required for products and services.  Therefore, VR referrals to CRPs for employment placement has effectively stopped.  This has created challenges for CRPs in finding individuals with disabilities to fill vacant positions. </w:t>
      </w:r>
    </w:p>
    <w:p w14:paraId="3B23CC04" w14:textId="77777777" w:rsidR="00DF3959" w:rsidRPr="00DF3959" w:rsidRDefault="00DF3959" w:rsidP="00223A18">
      <w:pPr>
        <w:pStyle w:val="BodyText"/>
        <w:ind w:left="720" w:hanging="720"/>
      </w:pPr>
      <w:r w:rsidRPr="00DF3959">
        <w:rPr>
          <w:b/>
          <w:bCs/>
        </w:rPr>
        <w:t>K.</w:t>
      </w:r>
      <w:r w:rsidRPr="00DF3959">
        <w:tab/>
      </w:r>
      <w:r w:rsidRPr="00DF3959">
        <w:rPr>
          <w:b/>
          <w:bCs/>
        </w:rPr>
        <w:t>Provide any additional information needed to gain a preliminary understanding of the program or function.</w:t>
      </w:r>
      <w:r w:rsidRPr="00DF3959">
        <w:t> </w:t>
      </w:r>
    </w:p>
    <w:p w14:paraId="67569163" w14:textId="77777777" w:rsidR="00DF3959" w:rsidRPr="00DF3959" w:rsidRDefault="00DF3959" w:rsidP="00DF3959">
      <w:pPr>
        <w:pStyle w:val="BodyText"/>
      </w:pPr>
      <w:r w:rsidRPr="00DF3959">
        <w:t>N/A </w:t>
      </w:r>
    </w:p>
    <w:p w14:paraId="503E02B3" w14:textId="77777777" w:rsidR="00DF3959" w:rsidRPr="00DF3959" w:rsidRDefault="00DF3959" w:rsidP="00223A18">
      <w:pPr>
        <w:pStyle w:val="BodyText"/>
        <w:ind w:left="720" w:hanging="720"/>
      </w:pPr>
      <w:r w:rsidRPr="00DF3959">
        <w:rPr>
          <w:b/>
          <w:bCs/>
        </w:rPr>
        <w:lastRenderedPageBreak/>
        <w:t>L.</w:t>
      </w:r>
      <w:r w:rsidRPr="00DF3959">
        <w:tab/>
      </w:r>
      <w:r w:rsidRPr="00DF3959">
        <w:rPr>
          <w:b/>
          <w:bCs/>
        </w:rPr>
        <w:t>Regulatory programs relate to the licensing, registration, certification, or permitting of a person, business, piece of equipment, or other entity (e.g., a facility). For each regulatory program, if applicable, describe:</w:t>
      </w:r>
      <w:r w:rsidRPr="00DF3959">
        <w:t> </w:t>
      </w:r>
    </w:p>
    <w:p w14:paraId="2220E622" w14:textId="77777777" w:rsidR="00DF3959" w:rsidRPr="00DF3959" w:rsidRDefault="00DF3959" w:rsidP="00DF3959">
      <w:pPr>
        <w:pStyle w:val="BodyText"/>
      </w:pPr>
      <w:r w:rsidRPr="00DF3959">
        <w:t>N/A </w:t>
      </w:r>
    </w:p>
    <w:p w14:paraId="473C4B19" w14:textId="77777777" w:rsidR="00DF3959" w:rsidRPr="00DF3959" w:rsidRDefault="00DF3959" w:rsidP="00223A18">
      <w:pPr>
        <w:pStyle w:val="BodyText"/>
        <w:ind w:left="720" w:hanging="720"/>
      </w:pPr>
      <w:r w:rsidRPr="00DF3959">
        <w:rPr>
          <w:b/>
          <w:bCs/>
        </w:rPr>
        <w:t>M.</w:t>
      </w:r>
      <w:r w:rsidRPr="00DF3959">
        <w:tab/>
      </w:r>
      <w:r w:rsidRPr="00DF3959">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DF3959">
        <w:t>. </w:t>
      </w:r>
    </w:p>
    <w:p w14:paraId="4D048FD6" w14:textId="4423BE73" w:rsidR="00223A18" w:rsidRDefault="00DF3959" w:rsidP="00DF3959">
      <w:pPr>
        <w:pStyle w:val="BodyText"/>
      </w:pPr>
      <w:r w:rsidRPr="00DF3959">
        <w:t>N/A</w:t>
      </w:r>
    </w:p>
    <w:p w14:paraId="2A4E2A74" w14:textId="77777777" w:rsidR="00223A18" w:rsidRDefault="00223A18">
      <w:pPr>
        <w:rPr>
          <w:rFonts w:ascii="Arial" w:eastAsiaTheme="minorEastAsia" w:hAnsi="Arial"/>
          <w:szCs w:val="22"/>
        </w:rPr>
      </w:pPr>
      <w:r>
        <w:br w:type="page"/>
      </w:r>
    </w:p>
    <w:p w14:paraId="62E56AA8" w14:textId="77777777" w:rsidR="00C468CB" w:rsidRPr="00C468CB" w:rsidRDefault="00C468CB" w:rsidP="00577012">
      <w:pPr>
        <w:pStyle w:val="Heading3"/>
      </w:pPr>
      <w:bookmarkStart w:id="220" w:name="_Toc753758659"/>
      <w:bookmarkStart w:id="221" w:name="_Toc203377326"/>
      <w:r w:rsidRPr="00C468CB">
        <w:lastRenderedPageBreak/>
        <w:t>Workforce Development Division</w:t>
      </w:r>
      <w:bookmarkEnd w:id="220"/>
      <w:bookmarkEnd w:id="221"/>
      <w:r w:rsidRPr="00C468CB">
        <w:t xml:space="preserve"> </w:t>
      </w:r>
    </w:p>
    <w:p w14:paraId="38DFDDB3" w14:textId="3924407E" w:rsidR="00C468CB" w:rsidRDefault="00C468CB" w:rsidP="000604AD">
      <w:pPr>
        <w:pStyle w:val="BodyText"/>
      </w:pPr>
      <w:r w:rsidRPr="00C468CB">
        <w:t>The Workforce Development Division (WDD) strengthens the Texas workforce by identifying and addressing skills gaps and workforce shortages in key sectors of the Texas economy. Also, training opportunities are offered for individuals to gain the skills needed to succeed in high-demand industries.  Lastly, employers are supported by offering resources and assistance to attract, train and retain a skilled workforce.</w:t>
      </w:r>
    </w:p>
    <w:p w14:paraId="37C11F24" w14:textId="77777777" w:rsidR="006420CB" w:rsidRPr="00FD419C" w:rsidRDefault="006420CB" w:rsidP="00FD419C">
      <w:pPr>
        <w:pStyle w:val="BodyText3"/>
      </w:pPr>
      <w:bookmarkStart w:id="222" w:name="Adult_Education_and_Literacy"/>
      <w:bookmarkStart w:id="223" w:name="_Toc204688548"/>
      <w:bookmarkStart w:id="224" w:name="_Toc1605371823"/>
      <w:bookmarkStart w:id="225" w:name="_Toc204688534"/>
      <w:bookmarkEnd w:id="222"/>
      <w:r w:rsidRPr="00FD419C">
        <w:t>Workforce Innovation and Opportunity Act</w:t>
      </w:r>
      <w:bookmarkEnd w:id="223"/>
      <w:r w:rsidRPr="00FD419C">
        <w:t xml:space="preserve"> </w:t>
      </w:r>
    </w:p>
    <w:p w14:paraId="06D47B7A" w14:textId="5EBC34F5" w:rsidR="006420CB" w:rsidRPr="000F25DC" w:rsidRDefault="006420CB" w:rsidP="00BD145E">
      <w:pPr>
        <w:pStyle w:val="BodyText3"/>
      </w:pPr>
      <w:r w:rsidRPr="000F25DC">
        <w:t>A.</w:t>
      </w:r>
      <w:r w:rsidR="00BD145E">
        <w:rPr>
          <w:rFonts w:eastAsia="Times New Roman"/>
        </w:rPr>
        <w:tab/>
      </w:r>
      <w:r w:rsidRPr="000F25DC">
        <w:t>Provide the following information at the beginning of each description.</w:t>
      </w:r>
    </w:p>
    <w:p w14:paraId="10467ACB" w14:textId="77777777" w:rsidR="006420CB" w:rsidRPr="000F25DC" w:rsidRDefault="006420CB" w:rsidP="00906B44">
      <w:pPr>
        <w:pStyle w:val="BodyText"/>
      </w:pPr>
      <w:r w:rsidRPr="000F25DC">
        <w:rPr>
          <w:i/>
          <w:iCs/>
        </w:rPr>
        <w:t>Name of Division or Program:</w:t>
      </w:r>
      <w:r w:rsidRPr="000F25DC">
        <w:t xml:space="preserve"> Workforce Innovation and Opportunity Act </w:t>
      </w:r>
    </w:p>
    <w:p w14:paraId="7AE16BC0" w14:textId="77777777" w:rsidR="006420CB" w:rsidRPr="000F25DC" w:rsidRDefault="006420CB" w:rsidP="00906B44">
      <w:pPr>
        <w:pStyle w:val="BodyText"/>
      </w:pPr>
      <w:r w:rsidRPr="000F25DC">
        <w:rPr>
          <w:i/>
          <w:iCs/>
        </w:rPr>
        <w:t>Location/Division</w:t>
      </w:r>
      <w:r w:rsidRPr="000F25DC">
        <w:t>: Workforce Development Division</w:t>
      </w:r>
      <w:r>
        <w:t>, Policy and Board Support</w:t>
      </w:r>
    </w:p>
    <w:p w14:paraId="34EF92D2" w14:textId="77777777" w:rsidR="006420CB" w:rsidRPr="000F25DC" w:rsidRDefault="006420CB" w:rsidP="00906B44">
      <w:pPr>
        <w:pStyle w:val="BodyText"/>
      </w:pPr>
      <w:r w:rsidRPr="000F25DC">
        <w:rPr>
          <w:i/>
          <w:iCs/>
        </w:rPr>
        <w:t>Contact Name</w:t>
      </w:r>
      <w:r w:rsidRPr="000F25DC">
        <w:t xml:space="preserve">: Joel Mullins </w:t>
      </w:r>
    </w:p>
    <w:p w14:paraId="65E055AF" w14:textId="77777777" w:rsidR="006420CB" w:rsidRPr="000F25DC" w:rsidRDefault="006420CB" w:rsidP="00906B44">
      <w:pPr>
        <w:pStyle w:val="BodyText"/>
      </w:pPr>
      <w:r w:rsidRPr="000F25DC">
        <w:rPr>
          <w:i/>
          <w:iCs/>
        </w:rPr>
        <w:t>Statutory Citation for Program</w:t>
      </w:r>
      <w:r w:rsidRPr="000F25DC">
        <w:t xml:space="preserve">: Texas Government Code, Chapter 2308 </w:t>
      </w:r>
      <w:r>
        <w:t>and Texas Labor Code, Chapter 302</w:t>
      </w:r>
    </w:p>
    <w:p w14:paraId="6A43FAC8" w14:textId="75485861" w:rsidR="006420CB" w:rsidRPr="000F25DC" w:rsidRDefault="006420CB" w:rsidP="00906B44">
      <w:pPr>
        <w:pStyle w:val="BodyText3"/>
      </w:pPr>
      <w:r w:rsidRPr="000F25DC">
        <w:t>B.</w:t>
      </w:r>
      <w:r w:rsidR="002A3654">
        <w:rPr>
          <w:rFonts w:eastAsia="Times New Roman"/>
        </w:rPr>
        <w:tab/>
      </w:r>
      <w:r w:rsidRPr="000F25DC">
        <w:t>What is the objective of this division or program? Describe its major activities.</w:t>
      </w:r>
    </w:p>
    <w:p w14:paraId="7B18DECE" w14:textId="77777777" w:rsidR="006420CB" w:rsidRPr="00A97DA4" w:rsidRDefault="006420CB" w:rsidP="002A3654">
      <w:pPr>
        <w:pStyle w:val="BodyText"/>
      </w:pPr>
      <w:r w:rsidRPr="003E1371">
        <w:t xml:space="preserve">WIOA is a </w:t>
      </w:r>
      <w:r>
        <w:t>federal program</w:t>
      </w:r>
      <w:r w:rsidRPr="003E1371">
        <w:t xml:space="preserve"> designed to help job seekers access employment, education, training, and support services to succeed in the labor market and to match employers with the skilled workers they need</w:t>
      </w:r>
      <w:r>
        <w:t xml:space="preserve">. </w:t>
      </w:r>
      <w:r w:rsidRPr="00A97DA4">
        <w:t>WIOA authorizes the following core programs under the workforce development system:</w:t>
      </w:r>
    </w:p>
    <w:p w14:paraId="042872E9" w14:textId="77777777" w:rsidR="006420CB" w:rsidRPr="00A97DA4" w:rsidRDefault="006420CB" w:rsidP="00C64851">
      <w:pPr>
        <w:pStyle w:val="BodyText"/>
        <w:numPr>
          <w:ilvl w:val="0"/>
          <w:numId w:val="800"/>
        </w:numPr>
      </w:pPr>
      <w:r w:rsidRPr="00A97DA4">
        <w:t>Title I - Workforce development programs, including:</w:t>
      </w:r>
    </w:p>
    <w:p w14:paraId="1ECD01AE" w14:textId="77777777" w:rsidR="006420CB" w:rsidRPr="00A97DA4" w:rsidRDefault="006420CB" w:rsidP="00C64851">
      <w:pPr>
        <w:pStyle w:val="BodyText"/>
        <w:numPr>
          <w:ilvl w:val="1"/>
          <w:numId w:val="800"/>
        </w:numPr>
      </w:pPr>
      <w:r w:rsidRPr="00A97DA4">
        <w:t>Adult and Dislocated Worker Program</w:t>
      </w:r>
    </w:p>
    <w:p w14:paraId="39C62A0E" w14:textId="77777777" w:rsidR="006420CB" w:rsidRPr="00A97DA4" w:rsidRDefault="006420CB" w:rsidP="00C64851">
      <w:pPr>
        <w:pStyle w:val="BodyText"/>
        <w:numPr>
          <w:ilvl w:val="1"/>
          <w:numId w:val="800"/>
        </w:numPr>
      </w:pPr>
      <w:r w:rsidRPr="00A97DA4">
        <w:t>WIOA Youth Program</w:t>
      </w:r>
    </w:p>
    <w:p w14:paraId="02483D9F" w14:textId="77777777" w:rsidR="006420CB" w:rsidRPr="00A97DA4" w:rsidRDefault="006420CB" w:rsidP="00C64851">
      <w:pPr>
        <w:pStyle w:val="BodyText"/>
        <w:numPr>
          <w:ilvl w:val="0"/>
          <w:numId w:val="800"/>
        </w:numPr>
      </w:pPr>
      <w:r w:rsidRPr="00A97DA4">
        <w:t>Title II - Adult Education and Literacy programs</w:t>
      </w:r>
    </w:p>
    <w:p w14:paraId="2870AAC5" w14:textId="77777777" w:rsidR="006420CB" w:rsidRPr="00A97DA4" w:rsidRDefault="006420CB" w:rsidP="00C64851">
      <w:pPr>
        <w:pStyle w:val="BodyText"/>
        <w:numPr>
          <w:ilvl w:val="0"/>
          <w:numId w:val="800"/>
        </w:numPr>
      </w:pPr>
      <w:r w:rsidRPr="00A97DA4">
        <w:t>Title III - Wagner-Peyser Employment Service</w:t>
      </w:r>
    </w:p>
    <w:p w14:paraId="05540F47" w14:textId="77777777" w:rsidR="006420CB" w:rsidRPr="00A97DA4" w:rsidRDefault="006420CB" w:rsidP="00C64851">
      <w:pPr>
        <w:pStyle w:val="BodyText"/>
        <w:numPr>
          <w:ilvl w:val="0"/>
          <w:numId w:val="800"/>
        </w:numPr>
      </w:pPr>
      <w:r w:rsidRPr="00A97DA4">
        <w:t>Title IV - Vocational Rehabilitation state grant programs</w:t>
      </w:r>
    </w:p>
    <w:p w14:paraId="04DADAC2" w14:textId="77777777" w:rsidR="006420CB" w:rsidRDefault="006420CB" w:rsidP="002A3654">
      <w:pPr>
        <w:pStyle w:val="BodyText"/>
      </w:pPr>
      <w:r>
        <w:t>This section of the Guide to Agency Programs covers WIOA Title I.  Titles II – IV are discussed in other sections of the Guide to Agency Programs.</w:t>
      </w:r>
    </w:p>
    <w:p w14:paraId="5B06EE49" w14:textId="77777777" w:rsidR="006420CB" w:rsidRDefault="006420CB" w:rsidP="002A3654">
      <w:pPr>
        <w:pStyle w:val="BodyText"/>
      </w:pPr>
      <w:r>
        <w:t xml:space="preserve">TWC allocates federal WIOA Title I </w:t>
      </w:r>
      <w:proofErr w:type="gramStart"/>
      <w:r>
        <w:t>funding</w:t>
      </w:r>
      <w:proofErr w:type="gramEnd"/>
      <w:r>
        <w:t xml:space="preserve"> and sets performance targets through annual non-competitive grants awards to the 28 Local Workforce Development Boards.  I</w:t>
      </w:r>
      <w:r w:rsidRPr="0054781B">
        <w:t>n addition to the</w:t>
      </w:r>
      <w:r>
        <w:t>se</w:t>
      </w:r>
      <w:r w:rsidRPr="0054781B">
        <w:t xml:space="preserve"> operating grants, the Agency Board Agreement (ABA) establishes the working relationship between TWC and each Board and includes the goals, responsibilities, and </w:t>
      </w:r>
      <w:r w:rsidRPr="0054781B">
        <w:lastRenderedPageBreak/>
        <w:t xml:space="preserve">obligations of the parties in respect to the administration of the </w:t>
      </w:r>
      <w:r>
        <w:t>WIOA</w:t>
      </w:r>
      <w:r w:rsidRPr="0054781B">
        <w:t xml:space="preserve"> program, including staff and service delivery.</w:t>
      </w:r>
      <w:r>
        <w:t xml:space="preserve"> Each Board then competitively procures contractors that employ staff at more than 170 Workforce Solutions Office to provide services directly to the program participants. For more information, visit </w:t>
      </w:r>
      <w:hyperlink r:id="rId117" w:history="1">
        <w:r w:rsidRPr="00B67C08">
          <w:rPr>
            <w:rStyle w:val="Hyperlink"/>
            <w:rFonts w:asciiTheme="minorHAnsi" w:hAnsiTheme="minorHAnsi" w:cstheme="minorHAnsi"/>
            <w:kern w:val="2"/>
            <w:sz w:val="24"/>
            <w:szCs w:val="24"/>
            <w14:ligatures w14:val="standardContextual"/>
          </w:rPr>
          <w:t>Workforce Innovation &amp; Opportunity Act (WIOA) Program</w:t>
        </w:r>
      </w:hyperlink>
      <w:r>
        <w:t>.</w:t>
      </w:r>
    </w:p>
    <w:p w14:paraId="33F04DFF" w14:textId="77777777" w:rsidR="006420CB" w:rsidRDefault="006420CB" w:rsidP="002A3654">
      <w:pPr>
        <w:pStyle w:val="BodyText"/>
      </w:pPr>
      <w:r w:rsidRPr="00AF1E9E">
        <w:t xml:space="preserve">TWC also administers the federal </w:t>
      </w:r>
      <w:hyperlink r:id="rId118" w:history="1">
        <w:r w:rsidRPr="000C20A9">
          <w:rPr>
            <w:rStyle w:val="Hyperlink"/>
          </w:rPr>
          <w:t xml:space="preserve">Trade Adjustment Act </w:t>
        </w:r>
        <w:r w:rsidRPr="00B64474">
          <w:rPr>
            <w:rStyle w:val="Hyperlink"/>
          </w:rPr>
          <w:t xml:space="preserve">(TAA) </w:t>
        </w:r>
        <w:r w:rsidRPr="000C20A9">
          <w:rPr>
            <w:rStyle w:val="Hyperlink"/>
          </w:rPr>
          <w:t>program</w:t>
        </w:r>
      </w:hyperlink>
      <w:r w:rsidRPr="00AF1E9E">
        <w:t xml:space="preserve"> </w:t>
      </w:r>
      <w:r>
        <w:t>in partnership with the Boards</w:t>
      </w:r>
      <w:r w:rsidRPr="00AF1E9E">
        <w:t>.</w:t>
      </w:r>
      <w:r>
        <w:t xml:space="preserve">  The program assists U.S. workers who have lost or may lose their jobs because of foreign trade. This program seeks to provide adversely affected workers with opportunities to obtain the skills, credentials, resources, and support necessary to become reemployed. Congress has not reauthorized the TAA program and DOLETA began a phased termination on July 1, 2022.</w:t>
      </w:r>
    </w:p>
    <w:p w14:paraId="24ED038F" w14:textId="2ED5596C" w:rsidR="006420CB" w:rsidRDefault="006420CB" w:rsidP="00DE7FCC">
      <w:pPr>
        <w:pStyle w:val="BodyText3"/>
        <w:ind w:left="720" w:hanging="720"/>
      </w:pPr>
      <w:r>
        <w:rPr>
          <w:rFonts w:eastAsia="Times New Roman"/>
        </w:rPr>
        <w:t>C.</w:t>
      </w:r>
      <w:r w:rsidR="002A3654">
        <w:rPr>
          <w:rFonts w:eastAsia="Times New Roman"/>
        </w:rPr>
        <w:tab/>
      </w:r>
      <w:r w:rsidRPr="000F25DC">
        <w:t xml:space="preserve">What information does the agency collect/use to assess the effectiveness and efficiency of this division or program? If applicable, briefly note any LBB performance measures (from Section II, </w:t>
      </w:r>
      <w:proofErr w:type="gramStart"/>
      <w:r w:rsidRPr="000F25DC">
        <w:t>Exhibit</w:t>
      </w:r>
      <w:proofErr w:type="gramEnd"/>
      <w:r w:rsidRPr="000F25DC">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33AE4936" w14:textId="77777777" w:rsidR="006420CB" w:rsidRDefault="006420CB" w:rsidP="00DE7FCC">
      <w:pPr>
        <w:pStyle w:val="BodyText"/>
      </w:pPr>
      <w:r>
        <w:t>WIOA requires states to formally measure performance for each population served through contracts with the Boards. In FY 2024 these measures included:</w:t>
      </w:r>
    </w:p>
    <w:tbl>
      <w:tblPr>
        <w:tblStyle w:val="TableGrid1"/>
        <w:tblW w:w="0" w:type="auto"/>
        <w:tblCellMar>
          <w:top w:w="58" w:type="dxa"/>
          <w:bottom w:w="58" w:type="dxa"/>
        </w:tblCellMar>
        <w:tblLook w:val="04A0" w:firstRow="1" w:lastRow="0" w:firstColumn="1" w:lastColumn="0" w:noHBand="0" w:noVBand="1"/>
      </w:tblPr>
      <w:tblGrid>
        <w:gridCol w:w="3091"/>
        <w:gridCol w:w="3092"/>
        <w:gridCol w:w="3167"/>
      </w:tblGrid>
      <w:tr w:rsidR="00DE7FCC" w14:paraId="07A6C909" w14:textId="77777777" w:rsidTr="00152F2A">
        <w:trPr>
          <w:tblHeader/>
        </w:trPr>
        <w:tc>
          <w:tcPr>
            <w:tcW w:w="3091" w:type="dxa"/>
            <w:shd w:val="clear" w:color="auto" w:fill="B8CCE4" w:themeFill="accent1" w:themeFillTint="66"/>
          </w:tcPr>
          <w:p w14:paraId="4136FAF7" w14:textId="77777777" w:rsidR="006420CB" w:rsidRPr="00B64474" w:rsidRDefault="006420CB" w:rsidP="00DE7FCC">
            <w:pPr>
              <w:pStyle w:val="TableHeaders"/>
            </w:pPr>
            <w:r w:rsidRPr="00B64474">
              <w:t>Adult</w:t>
            </w:r>
          </w:p>
        </w:tc>
        <w:tc>
          <w:tcPr>
            <w:tcW w:w="3092" w:type="dxa"/>
            <w:shd w:val="clear" w:color="auto" w:fill="B8CCE4" w:themeFill="accent1" w:themeFillTint="66"/>
          </w:tcPr>
          <w:p w14:paraId="7546AB25" w14:textId="77777777" w:rsidR="006420CB" w:rsidRPr="00B64474" w:rsidRDefault="006420CB" w:rsidP="00DE7FCC">
            <w:pPr>
              <w:pStyle w:val="TableHeaders"/>
            </w:pPr>
            <w:r w:rsidRPr="00B64474">
              <w:t>Dislocated Worker</w:t>
            </w:r>
          </w:p>
        </w:tc>
        <w:tc>
          <w:tcPr>
            <w:tcW w:w="3167" w:type="dxa"/>
            <w:shd w:val="clear" w:color="auto" w:fill="B8CCE4" w:themeFill="accent1" w:themeFillTint="66"/>
          </w:tcPr>
          <w:p w14:paraId="3320AD58" w14:textId="77777777" w:rsidR="006420CB" w:rsidRPr="00B64474" w:rsidRDefault="006420CB" w:rsidP="00DE7FCC">
            <w:pPr>
              <w:pStyle w:val="TableHeaders"/>
            </w:pPr>
            <w:r w:rsidRPr="00B64474">
              <w:t>Youth</w:t>
            </w:r>
          </w:p>
        </w:tc>
      </w:tr>
      <w:tr w:rsidR="00CE1002" w14:paraId="46135BC2" w14:textId="77777777" w:rsidTr="00152F2A">
        <w:tc>
          <w:tcPr>
            <w:tcW w:w="3091" w:type="dxa"/>
            <w:vAlign w:val="center"/>
          </w:tcPr>
          <w:p w14:paraId="247B1D5C" w14:textId="77777777" w:rsidR="006420CB" w:rsidRDefault="006420CB" w:rsidP="00152F2A">
            <w:pPr>
              <w:pStyle w:val="TableText"/>
            </w:pPr>
            <w:r>
              <w:t xml:space="preserve">Employed Q2 </w:t>
            </w:r>
          </w:p>
        </w:tc>
        <w:tc>
          <w:tcPr>
            <w:tcW w:w="3092" w:type="dxa"/>
            <w:vAlign w:val="center"/>
          </w:tcPr>
          <w:p w14:paraId="22222A04" w14:textId="77777777" w:rsidR="006420CB" w:rsidRDefault="006420CB" w:rsidP="00152F2A">
            <w:pPr>
              <w:pStyle w:val="TableText"/>
            </w:pPr>
            <w:r w:rsidRPr="00002DD6">
              <w:t xml:space="preserve">Employed Q2 </w:t>
            </w:r>
          </w:p>
        </w:tc>
        <w:tc>
          <w:tcPr>
            <w:tcW w:w="3167" w:type="dxa"/>
            <w:vAlign w:val="center"/>
          </w:tcPr>
          <w:p w14:paraId="13B29BE5" w14:textId="77777777" w:rsidR="006420CB" w:rsidRDefault="006420CB" w:rsidP="00152F2A">
            <w:pPr>
              <w:pStyle w:val="TableText"/>
            </w:pPr>
            <w:r>
              <w:t>Employed/Enrolled Q2</w:t>
            </w:r>
          </w:p>
        </w:tc>
      </w:tr>
      <w:tr w:rsidR="00CE1002" w14:paraId="3B832607" w14:textId="77777777" w:rsidTr="00152F2A">
        <w:tc>
          <w:tcPr>
            <w:tcW w:w="3091" w:type="dxa"/>
            <w:vAlign w:val="center"/>
          </w:tcPr>
          <w:p w14:paraId="6FB40AD3" w14:textId="77777777" w:rsidR="006420CB" w:rsidRDefault="006420CB" w:rsidP="00152F2A">
            <w:pPr>
              <w:pStyle w:val="TableText"/>
            </w:pPr>
            <w:r>
              <w:t>Median Earning Q2</w:t>
            </w:r>
          </w:p>
        </w:tc>
        <w:tc>
          <w:tcPr>
            <w:tcW w:w="3092" w:type="dxa"/>
            <w:vAlign w:val="center"/>
          </w:tcPr>
          <w:p w14:paraId="69102953" w14:textId="77777777" w:rsidR="006420CB" w:rsidRDefault="006420CB" w:rsidP="00152F2A">
            <w:pPr>
              <w:pStyle w:val="TableText"/>
            </w:pPr>
            <w:r w:rsidRPr="00002DD6">
              <w:t>Median Earning Q2</w:t>
            </w:r>
          </w:p>
        </w:tc>
        <w:tc>
          <w:tcPr>
            <w:tcW w:w="3167" w:type="dxa"/>
            <w:vAlign w:val="center"/>
          </w:tcPr>
          <w:p w14:paraId="2C0E4BEA" w14:textId="77777777" w:rsidR="006420CB" w:rsidRDefault="006420CB" w:rsidP="00152F2A">
            <w:pPr>
              <w:pStyle w:val="TableText"/>
            </w:pPr>
            <w:r w:rsidRPr="009C0A2D">
              <w:t>Median Earning Q2</w:t>
            </w:r>
          </w:p>
        </w:tc>
      </w:tr>
      <w:tr w:rsidR="00CE1002" w14:paraId="29D4E00A" w14:textId="77777777" w:rsidTr="00152F2A">
        <w:tc>
          <w:tcPr>
            <w:tcW w:w="3091" w:type="dxa"/>
            <w:vAlign w:val="center"/>
          </w:tcPr>
          <w:p w14:paraId="3156A21A" w14:textId="77777777" w:rsidR="006420CB" w:rsidRDefault="006420CB" w:rsidP="00152F2A">
            <w:pPr>
              <w:pStyle w:val="TableText"/>
            </w:pPr>
            <w:r>
              <w:t>Employed Q4</w:t>
            </w:r>
          </w:p>
        </w:tc>
        <w:tc>
          <w:tcPr>
            <w:tcW w:w="3092" w:type="dxa"/>
            <w:vAlign w:val="center"/>
          </w:tcPr>
          <w:p w14:paraId="639584D4" w14:textId="77777777" w:rsidR="006420CB" w:rsidRDefault="006420CB" w:rsidP="00152F2A">
            <w:pPr>
              <w:pStyle w:val="TableText"/>
            </w:pPr>
            <w:r w:rsidRPr="00002DD6">
              <w:t>Employed Q4</w:t>
            </w:r>
          </w:p>
        </w:tc>
        <w:tc>
          <w:tcPr>
            <w:tcW w:w="3167" w:type="dxa"/>
            <w:vAlign w:val="center"/>
          </w:tcPr>
          <w:p w14:paraId="7A159A7E" w14:textId="77777777" w:rsidR="006420CB" w:rsidRDefault="006420CB" w:rsidP="00152F2A">
            <w:pPr>
              <w:pStyle w:val="TableText"/>
            </w:pPr>
            <w:r>
              <w:t>Employed/</w:t>
            </w:r>
            <w:r w:rsidRPr="009C0A2D">
              <w:t>E</w:t>
            </w:r>
            <w:r>
              <w:t>nrolled</w:t>
            </w:r>
            <w:r w:rsidRPr="009C0A2D">
              <w:t xml:space="preserve"> Q4</w:t>
            </w:r>
          </w:p>
        </w:tc>
      </w:tr>
      <w:tr w:rsidR="00CE1002" w14:paraId="7FC66634" w14:textId="77777777" w:rsidTr="00152F2A">
        <w:tc>
          <w:tcPr>
            <w:tcW w:w="3091" w:type="dxa"/>
            <w:vAlign w:val="center"/>
          </w:tcPr>
          <w:p w14:paraId="66A3BAAB" w14:textId="77777777" w:rsidR="006420CB" w:rsidRDefault="006420CB" w:rsidP="00152F2A">
            <w:pPr>
              <w:pStyle w:val="TableText"/>
            </w:pPr>
            <w:r>
              <w:t xml:space="preserve">Credential Rate </w:t>
            </w:r>
          </w:p>
        </w:tc>
        <w:tc>
          <w:tcPr>
            <w:tcW w:w="3092" w:type="dxa"/>
            <w:vAlign w:val="center"/>
          </w:tcPr>
          <w:p w14:paraId="323D2690" w14:textId="77777777" w:rsidR="006420CB" w:rsidRDefault="006420CB" w:rsidP="00152F2A">
            <w:pPr>
              <w:pStyle w:val="TableText"/>
            </w:pPr>
            <w:r w:rsidRPr="00002DD6">
              <w:t xml:space="preserve">Credential Rate </w:t>
            </w:r>
          </w:p>
        </w:tc>
        <w:tc>
          <w:tcPr>
            <w:tcW w:w="3167" w:type="dxa"/>
            <w:vAlign w:val="center"/>
          </w:tcPr>
          <w:p w14:paraId="6EFD2020" w14:textId="77777777" w:rsidR="006420CB" w:rsidRDefault="006420CB" w:rsidP="00152F2A">
            <w:pPr>
              <w:pStyle w:val="TableText"/>
            </w:pPr>
            <w:r w:rsidRPr="009C0A2D">
              <w:t xml:space="preserve">Credential Rate </w:t>
            </w:r>
          </w:p>
        </w:tc>
      </w:tr>
      <w:tr w:rsidR="00CE1002" w14:paraId="085ED3F1" w14:textId="77777777" w:rsidTr="00152F2A">
        <w:tc>
          <w:tcPr>
            <w:tcW w:w="3091" w:type="dxa"/>
            <w:vAlign w:val="center"/>
          </w:tcPr>
          <w:p w14:paraId="794BDF62" w14:textId="77777777" w:rsidR="006420CB" w:rsidRDefault="006420CB" w:rsidP="00152F2A">
            <w:pPr>
              <w:pStyle w:val="TableText"/>
            </w:pPr>
            <w:r>
              <w:t xml:space="preserve">Measurable Skills Gain </w:t>
            </w:r>
          </w:p>
        </w:tc>
        <w:tc>
          <w:tcPr>
            <w:tcW w:w="3092" w:type="dxa"/>
            <w:vAlign w:val="center"/>
          </w:tcPr>
          <w:p w14:paraId="6EC5B49A" w14:textId="77777777" w:rsidR="006420CB" w:rsidRDefault="006420CB" w:rsidP="00152F2A">
            <w:pPr>
              <w:pStyle w:val="TableText"/>
            </w:pPr>
            <w:r w:rsidRPr="00002DD6">
              <w:t xml:space="preserve">Measurable Skills Gain </w:t>
            </w:r>
          </w:p>
        </w:tc>
        <w:tc>
          <w:tcPr>
            <w:tcW w:w="3167" w:type="dxa"/>
            <w:vAlign w:val="center"/>
          </w:tcPr>
          <w:p w14:paraId="31AE577B" w14:textId="77777777" w:rsidR="006420CB" w:rsidRDefault="006420CB" w:rsidP="00152F2A">
            <w:pPr>
              <w:pStyle w:val="TableText"/>
            </w:pPr>
            <w:r w:rsidRPr="009C0A2D">
              <w:t>Measurable Skills Gain</w:t>
            </w:r>
          </w:p>
        </w:tc>
      </w:tr>
    </w:tbl>
    <w:p w14:paraId="3C1315D4" w14:textId="77777777" w:rsidR="006420CB" w:rsidRPr="00750667" w:rsidRDefault="006420CB" w:rsidP="00760756">
      <w:pPr>
        <w:pStyle w:val="BodyText"/>
      </w:pPr>
      <w:r>
        <w:t xml:space="preserve">Additional program measures for WIOA include: </w:t>
      </w:r>
    </w:p>
    <w:p w14:paraId="4339330B" w14:textId="77777777" w:rsidR="006420CB" w:rsidRPr="00750667" w:rsidRDefault="006420CB" w:rsidP="00C64851">
      <w:pPr>
        <w:pStyle w:val="BodyText"/>
        <w:numPr>
          <w:ilvl w:val="0"/>
          <w:numId w:val="801"/>
        </w:numPr>
      </w:pPr>
      <w:r>
        <w:t>Employed/Enrolled Q2</w:t>
      </w:r>
      <w:r w:rsidRPr="00B64474">
        <w:t xml:space="preserve"> - All Career &amp; Training Participant</w:t>
      </w:r>
    </w:p>
    <w:p w14:paraId="0467FC59" w14:textId="77777777" w:rsidR="006420CB" w:rsidRPr="00750667" w:rsidRDefault="006420CB" w:rsidP="00C64851">
      <w:pPr>
        <w:pStyle w:val="BodyText"/>
        <w:numPr>
          <w:ilvl w:val="0"/>
          <w:numId w:val="801"/>
        </w:numPr>
      </w:pPr>
      <w:r>
        <w:t>Employed/Enrolled Q2-4</w:t>
      </w:r>
      <w:r w:rsidRPr="00B64474">
        <w:t xml:space="preserve"> - All Career &amp; Training Participant</w:t>
      </w:r>
    </w:p>
    <w:p w14:paraId="2448A386" w14:textId="77777777" w:rsidR="006420CB" w:rsidRPr="00750667" w:rsidRDefault="006420CB" w:rsidP="00C64851">
      <w:pPr>
        <w:pStyle w:val="BodyText"/>
        <w:numPr>
          <w:ilvl w:val="0"/>
          <w:numId w:val="801"/>
        </w:numPr>
      </w:pPr>
      <w:r>
        <w:t>Credential Rate</w:t>
      </w:r>
      <w:r w:rsidRPr="00B64474">
        <w:t xml:space="preserve"> - All Career &amp; Training Participant</w:t>
      </w:r>
    </w:p>
    <w:p w14:paraId="11B60035" w14:textId="77777777" w:rsidR="006420CB" w:rsidRDefault="006420CB" w:rsidP="00C64851">
      <w:pPr>
        <w:pStyle w:val="BodyText"/>
        <w:numPr>
          <w:ilvl w:val="0"/>
          <w:numId w:val="801"/>
        </w:numPr>
      </w:pPr>
      <w:r>
        <w:t>Participants Served</w:t>
      </w:r>
    </w:p>
    <w:p w14:paraId="0E32B165" w14:textId="77777777" w:rsidR="006420CB" w:rsidRDefault="006420CB" w:rsidP="00C64851">
      <w:pPr>
        <w:pStyle w:val="BodyText"/>
        <w:numPr>
          <w:ilvl w:val="0"/>
          <w:numId w:val="801"/>
        </w:numPr>
      </w:pPr>
      <w:r>
        <w:t xml:space="preserve">Average Cost Per Participant Served </w:t>
      </w:r>
    </w:p>
    <w:p w14:paraId="3A36DA39" w14:textId="48D9A74C" w:rsidR="006420CB" w:rsidRPr="000F25DC" w:rsidRDefault="006420CB" w:rsidP="00A47128">
      <w:pPr>
        <w:pStyle w:val="BodyText3"/>
        <w:ind w:left="720" w:hanging="720"/>
      </w:pPr>
      <w:r w:rsidRPr="000F25DC">
        <w:t>D.</w:t>
      </w:r>
      <w:r w:rsidR="00A47128">
        <w:tab/>
      </w:r>
      <w:r w:rsidRPr="000F25DC">
        <w:t xml:space="preserve">Describe any important history regarding this division or program not included in the general agency history section, including how the functions or </w:t>
      </w:r>
      <w:r w:rsidRPr="000F25DC">
        <w:lastRenderedPageBreak/>
        <w:t>services have changed over time. If the response to Section III of this report is sufficient, please leave this section blank.</w:t>
      </w:r>
    </w:p>
    <w:p w14:paraId="655E7D85" w14:textId="77777777" w:rsidR="006420CB" w:rsidRPr="000F25DC" w:rsidRDefault="006420CB" w:rsidP="00A47128">
      <w:pPr>
        <w:pStyle w:val="BodyText"/>
      </w:pPr>
      <w:r w:rsidRPr="000F25DC">
        <w:t xml:space="preserve">WIOA, which replaced the Workforce Investment Act of 1998 (P.L. 105-220), is the primary federal legislation that supports workforce development. WIOA was enacted to increase coordination and alignment among federal workforce development and related programs. Originally, WIOA was authorized for appropriations from </w:t>
      </w:r>
      <w:r>
        <w:t xml:space="preserve">FY </w:t>
      </w:r>
      <w:r w:rsidRPr="000F25DC">
        <w:t>2015 through FY</w:t>
      </w:r>
      <w:r>
        <w:t xml:space="preserve"> 2</w:t>
      </w:r>
      <w:r w:rsidRPr="000F25DC">
        <w:t xml:space="preserve">020. </w:t>
      </w:r>
    </w:p>
    <w:p w14:paraId="70D3F550" w14:textId="77777777" w:rsidR="006420CB" w:rsidRDefault="006420CB" w:rsidP="00A47128">
      <w:pPr>
        <w:pStyle w:val="BodyText"/>
        <w:rPr>
          <w:kern w:val="2"/>
          <w:sz w:val="24"/>
          <w:szCs w:val="24"/>
          <w14:ligatures w14:val="standardContextual"/>
        </w:rPr>
      </w:pPr>
      <w:r w:rsidRPr="000F25DC">
        <w:rPr>
          <w:kern w:val="2"/>
          <w:sz w:val="24"/>
          <w:szCs w:val="24"/>
          <w14:ligatures w14:val="standardContextual"/>
        </w:rPr>
        <w:t xml:space="preserve">WIOA expired in 2020. Since then, several reauthorization bills have been filed in Congress, but none </w:t>
      </w:r>
      <w:r>
        <w:rPr>
          <w:kern w:val="2"/>
          <w:sz w:val="24"/>
          <w:szCs w:val="24"/>
          <w14:ligatures w14:val="standardContextual"/>
        </w:rPr>
        <w:t>h</w:t>
      </w:r>
      <w:r w:rsidRPr="000F25DC">
        <w:rPr>
          <w:kern w:val="2"/>
          <w:sz w:val="24"/>
          <w:szCs w:val="24"/>
          <w14:ligatures w14:val="standardContextual"/>
        </w:rPr>
        <w:t>ave passed. TWC staff continue</w:t>
      </w:r>
      <w:r>
        <w:rPr>
          <w:kern w:val="2"/>
          <w:sz w:val="24"/>
          <w:szCs w:val="24"/>
          <w14:ligatures w14:val="standardContextual"/>
        </w:rPr>
        <w:t>s</w:t>
      </w:r>
      <w:r w:rsidRPr="000F25DC">
        <w:rPr>
          <w:kern w:val="2"/>
          <w:sz w:val="24"/>
          <w:szCs w:val="24"/>
          <w14:ligatures w14:val="standardContextual"/>
        </w:rPr>
        <w:t xml:space="preserve"> to monitor the reauthorization of WIOA at the federal level.  </w:t>
      </w:r>
      <w:r w:rsidRPr="000F25DC">
        <w:t>WIOA funding has been extended through the annual appropriations process, most recently for FY</w:t>
      </w:r>
      <w:r>
        <w:t xml:space="preserve"> </w:t>
      </w:r>
      <w:r w:rsidRPr="000F25DC">
        <w:t>2022 through the Further Consolidated Appropriations Act, 2024 (P.L. 118-47). TWC is aware of and tracking the potential impacts of ongoing federal legislation relating to WIOA.</w:t>
      </w:r>
    </w:p>
    <w:p w14:paraId="0E76E8B0" w14:textId="51A29F8D" w:rsidR="006420CB" w:rsidRPr="000F25DC" w:rsidRDefault="006420CB" w:rsidP="00AF3E93">
      <w:pPr>
        <w:pStyle w:val="BodyText"/>
        <w:rPr>
          <w:color w:val="000000"/>
        </w:rPr>
      </w:pPr>
      <w:r>
        <w:t>The TAA t</w:t>
      </w:r>
      <w:r w:rsidRPr="009D7781">
        <w:t xml:space="preserve">ermination provisions took effect on July 1, 2022. Under termination, </w:t>
      </w:r>
      <w:r>
        <w:t>DOLETA may not conduct new investigations</w:t>
      </w:r>
      <w:r w:rsidRPr="009D7781">
        <w:t xml:space="preserve"> or issue certifications of eligibility for new groups of workers.</w:t>
      </w:r>
    </w:p>
    <w:p w14:paraId="02C96DB3" w14:textId="27860EA2" w:rsidR="006420CB" w:rsidRPr="000F25DC" w:rsidRDefault="006420CB" w:rsidP="00AF3E93">
      <w:pPr>
        <w:pStyle w:val="BodyText3"/>
        <w:ind w:left="720" w:hanging="720"/>
      </w:pPr>
      <w:r w:rsidRPr="000F25DC">
        <w:t>E.</w:t>
      </w:r>
      <w:r w:rsidR="00AF3E93">
        <w:rPr>
          <w:rFonts w:eastAsia="Times New Roman"/>
        </w:rPr>
        <w:tab/>
      </w:r>
      <w:r w:rsidRPr="000F25DC">
        <w:t>List any qualifications or eligibility requirements for persons or entities affected by this division or program (e.g., licensees, consumers, and landowners). Provide a statistical breakdown of persons or entities affected.</w:t>
      </w:r>
    </w:p>
    <w:p w14:paraId="0F9D826E" w14:textId="77777777" w:rsidR="006420CB" w:rsidRPr="00877C03" w:rsidRDefault="006420CB" w:rsidP="007636F0">
      <w:pPr>
        <w:pStyle w:val="BodyText"/>
      </w:pPr>
      <w:r>
        <w:t xml:space="preserve">Federal </w:t>
      </w:r>
      <w:r w:rsidRPr="00877C03">
        <w:t>WIOA guidelines define eligibility for Title I programs serving adults, dislocated workers, and youth.</w:t>
      </w:r>
    </w:p>
    <w:p w14:paraId="28A15D24" w14:textId="77777777" w:rsidR="006420CB" w:rsidRPr="00877C03" w:rsidRDefault="006420CB" w:rsidP="007636F0">
      <w:pPr>
        <w:pStyle w:val="BodyText"/>
      </w:pPr>
      <w:r w:rsidRPr="00B64474">
        <w:rPr>
          <w:b/>
          <w:bCs/>
        </w:rPr>
        <w:t>Adult Program:</w:t>
      </w:r>
      <w:r w:rsidRPr="00877C03">
        <w:t xml:space="preserve"> Applicants must be 18</w:t>
      </w:r>
      <w:r>
        <w:t xml:space="preserve"> years or older</w:t>
      </w:r>
      <w:r w:rsidRPr="00877C03">
        <w:t>, U.S. citizens or authorized to work in the U.S., and meet Selective Service requirements (if male). Priority is given to veterans/spouses and other individuals receiving public assistance, who are low-income, or basic skills deficient.</w:t>
      </w:r>
    </w:p>
    <w:p w14:paraId="517EF898" w14:textId="77777777" w:rsidR="006420CB" w:rsidRPr="00877C03" w:rsidRDefault="006420CB" w:rsidP="007636F0">
      <w:pPr>
        <w:pStyle w:val="BodyText"/>
      </w:pPr>
      <w:r w:rsidRPr="00B64474">
        <w:rPr>
          <w:b/>
          <w:bCs/>
        </w:rPr>
        <w:t>Dislocated Worker Program:</w:t>
      </w:r>
      <w:r w:rsidRPr="00877C03">
        <w:t xml:space="preserve"> Must meet adult program requirements plus one of eight displacement conditions, including layoff/termination (with or without unemployment benefits), plant closure, displaced homemaker, or military spouse job loss due to relocation.</w:t>
      </w:r>
    </w:p>
    <w:p w14:paraId="037FACB6" w14:textId="77777777" w:rsidR="006420CB" w:rsidRDefault="006420CB" w:rsidP="007636F0">
      <w:pPr>
        <w:pStyle w:val="BodyText"/>
      </w:pPr>
      <w:r w:rsidRPr="00B64474">
        <w:rPr>
          <w:b/>
          <w:bCs/>
        </w:rPr>
        <w:t>Youth Program:</w:t>
      </w:r>
      <w:r w:rsidRPr="00877C03">
        <w:t xml:space="preserve"> Applicants must be U.S. citizens or authorized to work, meet Selective Service requirements (if male), and have a school attendance status. In-School Youth are 14-21</w:t>
      </w:r>
      <w:r>
        <w:t xml:space="preserve"> years old</w:t>
      </w:r>
      <w:r w:rsidRPr="00877C03">
        <w:t>, attending school, low-income (or live in high-poverty areas), and have at least one barrier (e.g., basic skills deficient, homeless). Out-of-School Youth are 16-24</w:t>
      </w:r>
      <w:r>
        <w:t xml:space="preserve"> years old</w:t>
      </w:r>
      <w:r w:rsidRPr="00877C03">
        <w:t>, not attending school, and have at least one barrier (e.g., school dropout, involvement with justice system, homeless).</w:t>
      </w:r>
    </w:p>
    <w:p w14:paraId="3D7A12A6" w14:textId="72329942" w:rsidR="006420CB" w:rsidRDefault="006420CB" w:rsidP="007636F0">
      <w:pPr>
        <w:pStyle w:val="BodyText"/>
      </w:pPr>
      <w:r>
        <w:t xml:space="preserve">Additional information about how WIOA eligibility is determined and is available in the </w:t>
      </w:r>
      <w:hyperlink r:id="rId119" w:history="1">
        <w:r w:rsidRPr="007636F0">
          <w:rPr>
            <w:rStyle w:val="Hyperlink"/>
          </w:rPr>
          <w:t>WorkInTexas.com WIOA Title I Eligibility Document Log</w:t>
        </w:r>
      </w:hyperlink>
      <w:r>
        <w:t>.</w:t>
      </w:r>
    </w:p>
    <w:p w14:paraId="635CD2EC" w14:textId="633D72AB" w:rsidR="006420CB" w:rsidRPr="000F25DC" w:rsidRDefault="006420CB" w:rsidP="007636F0">
      <w:pPr>
        <w:pStyle w:val="BodyText3"/>
        <w:ind w:left="720" w:hanging="720"/>
      </w:pPr>
      <w:r w:rsidRPr="000F25DC">
        <w:lastRenderedPageBreak/>
        <w:t>F.</w:t>
      </w:r>
      <w:r w:rsidR="007636F0">
        <w:rPr>
          <w:rFonts w:eastAsia="Times New Roman"/>
        </w:rPr>
        <w:tab/>
      </w:r>
      <w:r w:rsidRPr="000F25DC">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p>
    <w:p w14:paraId="5F90157C" w14:textId="77777777" w:rsidR="006420CB" w:rsidRPr="00902F59" w:rsidRDefault="006420CB" w:rsidP="00C75A97">
      <w:pPr>
        <w:pStyle w:val="BodyText"/>
        <w:rPr>
          <w:kern w:val="2"/>
          <w14:ligatures w14:val="standardContextual"/>
        </w:rPr>
      </w:pPr>
      <w:r w:rsidRPr="000F25DC">
        <w:t xml:space="preserve">TWC provides </w:t>
      </w:r>
      <w:r>
        <w:t xml:space="preserve">statewide </w:t>
      </w:r>
      <w:r w:rsidRPr="000F25DC">
        <w:t>administrative oversight</w:t>
      </w:r>
      <w:r>
        <w:t xml:space="preserve"> of the WIOA </w:t>
      </w:r>
      <w:proofErr w:type="gramStart"/>
      <w:r>
        <w:t>program,</w:t>
      </w:r>
      <w:r w:rsidRPr="000F25DC">
        <w:t xml:space="preserve"> but</w:t>
      </w:r>
      <w:proofErr w:type="gramEnd"/>
      <w:r w:rsidRPr="000F25DC">
        <w:t xml:space="preserve"> does not directly administer WIOA services. </w:t>
      </w:r>
      <w:r w:rsidRPr="00902F59">
        <w:rPr>
          <w:kern w:val="2"/>
          <w14:ligatures w14:val="standardContextual"/>
        </w:rPr>
        <w:t xml:space="preserve">TWC’s responsibilities include:  </w:t>
      </w:r>
    </w:p>
    <w:p w14:paraId="35950CE4" w14:textId="77777777" w:rsidR="006420CB" w:rsidRPr="00B25405" w:rsidRDefault="006420CB" w:rsidP="00C75A97">
      <w:pPr>
        <w:pStyle w:val="BodyText"/>
        <w:rPr>
          <w:kern w:val="2"/>
          <w14:ligatures w14:val="standardContextual"/>
        </w:rPr>
      </w:pPr>
      <w:r>
        <w:rPr>
          <w:kern w:val="2"/>
          <w14:ligatures w14:val="standardContextual"/>
        </w:rPr>
        <w:t>De</w:t>
      </w:r>
      <w:r w:rsidRPr="00B25405">
        <w:rPr>
          <w:kern w:val="2"/>
          <w14:ligatures w14:val="standardContextual"/>
        </w:rPr>
        <w:t>veloping policies and guidance for the provision of services based on state and federal program laws and regulations through </w:t>
      </w:r>
      <w:hyperlink r:id="rId120" w:tgtFrame="_blank" w:tooltip="https://www.twc.texas.gov/policy-letters" w:history="1">
        <w:r w:rsidRPr="00B25405">
          <w:rPr>
            <w:rStyle w:val="Hyperlink"/>
            <w:rFonts w:asciiTheme="minorHAnsi" w:hAnsiTheme="minorHAnsi" w:cstheme="minorHAnsi"/>
            <w:kern w:val="2"/>
            <w:sz w:val="24"/>
            <w:szCs w:val="24"/>
            <w14:ligatures w14:val="standardContextual"/>
          </w:rPr>
          <w:t>Workforce Development Letters</w:t>
        </w:r>
      </w:hyperlink>
      <w:r w:rsidRPr="00B25405">
        <w:rPr>
          <w:kern w:val="2"/>
          <w14:ligatures w14:val="standardContextual"/>
        </w:rPr>
        <w:t xml:space="preserve"> and </w:t>
      </w:r>
      <w:hyperlink r:id="rId121" w:tgtFrame="_blank" w:tooltip="https://www.twc.texas.gov/agency/workforce-development-boards/guides" w:history="1">
        <w:r w:rsidRPr="00B25405">
          <w:rPr>
            <w:rStyle w:val="Hyperlink"/>
            <w:rFonts w:asciiTheme="minorHAnsi" w:hAnsiTheme="minorHAnsi" w:cstheme="minorHAnsi"/>
            <w:kern w:val="2"/>
            <w:sz w:val="24"/>
            <w:szCs w:val="24"/>
            <w14:ligatures w14:val="standardContextual"/>
          </w:rPr>
          <w:t>Program Guides</w:t>
        </w:r>
      </w:hyperlink>
      <w:r>
        <w:rPr>
          <w:kern w:val="2"/>
          <w14:ligatures w14:val="standardContextual"/>
        </w:rPr>
        <w:t>.</w:t>
      </w:r>
    </w:p>
    <w:p w14:paraId="321C4E50" w14:textId="77777777" w:rsidR="006420CB" w:rsidRPr="00CA11A5" w:rsidRDefault="006420CB" w:rsidP="00C64851">
      <w:pPr>
        <w:pStyle w:val="BodyText"/>
        <w:numPr>
          <w:ilvl w:val="0"/>
          <w:numId w:val="802"/>
        </w:numPr>
        <w:rPr>
          <w:kern w:val="2"/>
          <w14:ligatures w14:val="standardContextual"/>
        </w:rPr>
      </w:pPr>
      <w:r>
        <w:rPr>
          <w:kern w:val="2"/>
          <w14:ligatures w14:val="standardContextual"/>
        </w:rPr>
        <w:t>A</w:t>
      </w:r>
      <w:r w:rsidRPr="00CA11A5">
        <w:rPr>
          <w:kern w:val="2"/>
          <w14:ligatures w14:val="standardContextual"/>
        </w:rPr>
        <w:t>llocating funds for services to the Boards through grant agreements</w:t>
      </w:r>
      <w:r>
        <w:rPr>
          <w:kern w:val="2"/>
          <w14:ligatures w14:val="standardContextual"/>
        </w:rPr>
        <w:t>.</w:t>
      </w:r>
    </w:p>
    <w:p w14:paraId="02F5117B" w14:textId="77777777" w:rsidR="006420CB" w:rsidRPr="00CA11A5" w:rsidRDefault="006420CB" w:rsidP="00C64851">
      <w:pPr>
        <w:pStyle w:val="BodyText"/>
        <w:numPr>
          <w:ilvl w:val="0"/>
          <w:numId w:val="802"/>
        </w:numPr>
        <w:rPr>
          <w:kern w:val="2"/>
          <w14:ligatures w14:val="standardContextual"/>
        </w:rPr>
      </w:pPr>
      <w:r>
        <w:rPr>
          <w:kern w:val="2"/>
          <w14:ligatures w14:val="standardContextual"/>
        </w:rPr>
        <w:t>P</w:t>
      </w:r>
      <w:r w:rsidRPr="00CA11A5">
        <w:rPr>
          <w:kern w:val="2"/>
          <w14:ligatures w14:val="standardContextual"/>
        </w:rPr>
        <w:t>roviding technical assistance to the Boards</w:t>
      </w:r>
      <w:r>
        <w:rPr>
          <w:kern w:val="2"/>
          <w14:ligatures w14:val="standardContextual"/>
        </w:rPr>
        <w:t>.</w:t>
      </w:r>
    </w:p>
    <w:p w14:paraId="0EAC5AED" w14:textId="77777777" w:rsidR="006420CB" w:rsidRDefault="006420CB" w:rsidP="00C64851">
      <w:pPr>
        <w:pStyle w:val="BodyText"/>
        <w:numPr>
          <w:ilvl w:val="0"/>
          <w:numId w:val="802"/>
        </w:numPr>
      </w:pPr>
      <w:r>
        <w:rPr>
          <w:kern w:val="2"/>
          <w14:ligatures w14:val="standardContextual"/>
        </w:rPr>
        <w:t>E</w:t>
      </w:r>
      <w:r w:rsidRPr="00CA11A5">
        <w:rPr>
          <w:kern w:val="2"/>
          <w14:ligatures w14:val="standardContextual"/>
        </w:rPr>
        <w:t>stablishing and monitoring Board performance targets.</w:t>
      </w:r>
    </w:p>
    <w:p w14:paraId="0F5600E8" w14:textId="77777777" w:rsidR="006420CB" w:rsidRDefault="006420CB" w:rsidP="00C75A97">
      <w:pPr>
        <w:pStyle w:val="BodyText"/>
      </w:pPr>
      <w:r>
        <w:t>Additional information about how the program is administered and operated is listed below:</w:t>
      </w:r>
    </w:p>
    <w:p w14:paraId="716D7788" w14:textId="77777777" w:rsidR="006420CB" w:rsidRPr="000F25DC" w:rsidRDefault="006420CB" w:rsidP="00C64851">
      <w:pPr>
        <w:pStyle w:val="BodyText"/>
        <w:numPr>
          <w:ilvl w:val="0"/>
          <w:numId w:val="803"/>
        </w:numPr>
      </w:pPr>
      <w:hyperlink r:id="rId122" w:history="1">
        <w:r>
          <w:rPr>
            <w:rStyle w:val="Hyperlink"/>
            <w:rFonts w:asciiTheme="minorHAnsi" w:hAnsiTheme="minorHAnsi" w:cstheme="minorHAnsi"/>
          </w:rPr>
          <w:t>WIOA Guideline for Adults, Dislocated Workers, and Youth</w:t>
        </w:r>
      </w:hyperlink>
    </w:p>
    <w:p w14:paraId="0F8F7F8A" w14:textId="77777777" w:rsidR="006420CB" w:rsidRPr="00C26198" w:rsidRDefault="006420CB" w:rsidP="00C64851">
      <w:pPr>
        <w:pStyle w:val="BodyText"/>
        <w:numPr>
          <w:ilvl w:val="0"/>
          <w:numId w:val="803"/>
        </w:numPr>
        <w:rPr>
          <w:kern w:val="2"/>
          <w14:ligatures w14:val="standardContextual"/>
        </w:rPr>
      </w:pPr>
      <w:hyperlink r:id="rId123" w:history="1">
        <w:r w:rsidRPr="00C26198">
          <w:rPr>
            <w:rStyle w:val="Hyperlink"/>
          </w:rPr>
          <w:t>WIOA Guide to Texas Workforce System Operations</w:t>
        </w:r>
      </w:hyperlink>
      <w:r w:rsidRPr="00902672">
        <w:t xml:space="preserve"> </w:t>
      </w:r>
    </w:p>
    <w:p w14:paraId="0F1C909A" w14:textId="77777777" w:rsidR="006420CB" w:rsidRDefault="006420CB" w:rsidP="00C64851">
      <w:pPr>
        <w:pStyle w:val="BodyText"/>
        <w:numPr>
          <w:ilvl w:val="0"/>
          <w:numId w:val="803"/>
        </w:numPr>
        <w:rPr>
          <w:kern w:val="2"/>
          <w14:ligatures w14:val="standardContextual"/>
        </w:rPr>
      </w:pPr>
      <w:hyperlink r:id="rId124" w:history="1">
        <w:r w:rsidRPr="007651C6">
          <w:rPr>
            <w:rStyle w:val="Hyperlink"/>
            <w:rFonts w:asciiTheme="minorHAnsi" w:hAnsiTheme="minorHAnsi" w:cstheme="minorHAnsi"/>
            <w:kern w:val="2"/>
            <w14:ligatures w14:val="standardContextual"/>
          </w:rPr>
          <w:t>Program Year 2024-27 WIOA Combined State Plan</w:t>
        </w:r>
      </w:hyperlink>
      <w:r>
        <w:rPr>
          <w:kern w:val="2"/>
          <w14:ligatures w14:val="standardContextual"/>
        </w:rPr>
        <w:t xml:space="preserve"> </w:t>
      </w:r>
    </w:p>
    <w:p w14:paraId="55E411A7" w14:textId="77777777" w:rsidR="006420CB" w:rsidRPr="00C26198" w:rsidRDefault="006420CB" w:rsidP="00C64851">
      <w:pPr>
        <w:pStyle w:val="BodyText"/>
        <w:numPr>
          <w:ilvl w:val="0"/>
          <w:numId w:val="803"/>
        </w:numPr>
        <w:rPr>
          <w:kern w:val="2"/>
          <w14:ligatures w14:val="standardContextual"/>
        </w:rPr>
      </w:pPr>
      <w:hyperlink r:id="rId125" w:history="1">
        <w:r w:rsidRPr="006417A2">
          <w:rPr>
            <w:rStyle w:val="Hyperlink"/>
            <w:rFonts w:asciiTheme="minorHAnsi" w:hAnsiTheme="minorHAnsi" w:cstheme="minorHAnsi"/>
            <w:kern w:val="2"/>
            <w14:ligatures w14:val="standardContextual"/>
          </w:rPr>
          <w:t>WIOA Annual Report for Program Year 2023</w:t>
        </w:r>
      </w:hyperlink>
      <w:r w:rsidRPr="00C26198">
        <w:rPr>
          <w:kern w:val="2"/>
          <w14:ligatures w14:val="standardContextual"/>
        </w:rPr>
        <w:t xml:space="preserve"> </w:t>
      </w:r>
    </w:p>
    <w:p w14:paraId="298605DE" w14:textId="77777777" w:rsidR="006420CB" w:rsidRDefault="006420CB" w:rsidP="00C75A97">
      <w:pPr>
        <w:pStyle w:val="BodyText"/>
        <w:rPr>
          <w:kern w:val="2"/>
          <w14:ligatures w14:val="standardContextual"/>
        </w:rPr>
      </w:pPr>
      <w:r w:rsidRPr="001067E6">
        <w:rPr>
          <w:kern w:val="2"/>
          <w14:ligatures w14:val="standardContextual"/>
        </w:rPr>
        <w:t xml:space="preserve">TWC and </w:t>
      </w:r>
      <w:r>
        <w:rPr>
          <w:kern w:val="2"/>
          <w14:ligatures w14:val="standardContextual"/>
        </w:rPr>
        <w:t>the</w:t>
      </w:r>
      <w:r w:rsidRPr="001067E6">
        <w:rPr>
          <w:kern w:val="2"/>
          <w14:ligatures w14:val="standardContextual"/>
        </w:rPr>
        <w:t xml:space="preserve"> Board</w:t>
      </w:r>
      <w:r>
        <w:rPr>
          <w:kern w:val="2"/>
          <w14:ligatures w14:val="standardContextual"/>
        </w:rPr>
        <w:t>s</w:t>
      </w:r>
      <w:r w:rsidRPr="001067E6">
        <w:rPr>
          <w:kern w:val="2"/>
          <w14:ligatures w14:val="standardContextual"/>
        </w:rPr>
        <w:t xml:space="preserve"> continue to support </w:t>
      </w:r>
      <w:r>
        <w:rPr>
          <w:kern w:val="2"/>
          <w14:ligatures w14:val="standardContextual"/>
        </w:rPr>
        <w:t>TAA participants</w:t>
      </w:r>
      <w:r w:rsidRPr="001067E6">
        <w:rPr>
          <w:kern w:val="2"/>
          <w14:ligatures w14:val="standardContextual"/>
        </w:rPr>
        <w:t xml:space="preserve"> certified by </w:t>
      </w:r>
      <w:r>
        <w:rPr>
          <w:kern w:val="2"/>
          <w14:ligatures w14:val="standardContextual"/>
        </w:rPr>
        <w:t>DOLETA before</w:t>
      </w:r>
      <w:r w:rsidRPr="001067E6">
        <w:rPr>
          <w:kern w:val="2"/>
          <w14:ligatures w14:val="standardContextual"/>
        </w:rPr>
        <w:t xml:space="preserve"> July 1, 2022.</w:t>
      </w:r>
      <w:r>
        <w:rPr>
          <w:kern w:val="2"/>
          <w14:ligatures w14:val="standardContextual"/>
        </w:rPr>
        <w:t xml:space="preserve">  This support includes</w:t>
      </w:r>
      <w:r w:rsidRPr="009653AC">
        <w:rPr>
          <w:kern w:val="2"/>
          <w14:ligatures w14:val="standardContextual"/>
        </w:rPr>
        <w:t xml:space="preserve"> benefits and services to eligible trade-affected workers such as training, job search assistance, relocation allowances, employment and case management services, and outreach to members of certified worker groups. </w:t>
      </w:r>
      <w:r>
        <w:rPr>
          <w:kern w:val="2"/>
          <w14:ligatures w14:val="standardContextual"/>
        </w:rPr>
        <w:t xml:space="preserve">As of July 2025, </w:t>
      </w:r>
      <w:r w:rsidRPr="009653AC">
        <w:rPr>
          <w:kern w:val="2"/>
          <w14:ligatures w14:val="standardContextual"/>
        </w:rPr>
        <w:t>the workforce system is managing</w:t>
      </w:r>
      <w:r>
        <w:rPr>
          <w:kern w:val="2"/>
          <w14:ligatures w14:val="standardContextual"/>
        </w:rPr>
        <w:t xml:space="preserve"> four</w:t>
      </w:r>
      <w:r w:rsidRPr="009653AC">
        <w:rPr>
          <w:kern w:val="2"/>
          <w14:ligatures w14:val="standardContextual"/>
        </w:rPr>
        <w:t xml:space="preserve"> TAA cases.</w:t>
      </w:r>
    </w:p>
    <w:p w14:paraId="15FDF119" w14:textId="4B32C718" w:rsidR="006420CB" w:rsidRPr="000F25DC" w:rsidRDefault="006420CB" w:rsidP="00D5438D">
      <w:pPr>
        <w:pStyle w:val="BodyText3"/>
        <w:ind w:left="720" w:hanging="720"/>
        <w:rPr>
          <w:i/>
          <w:sz w:val="24"/>
          <w:szCs w:val="24"/>
        </w:rPr>
      </w:pPr>
      <w:r w:rsidRPr="000F25DC">
        <w:t>G.</w:t>
      </w:r>
      <w:r w:rsidR="00D5438D">
        <w:tab/>
      </w:r>
      <w:r w:rsidRPr="000F25DC">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0F25DC">
        <w:rPr>
          <w:i/>
        </w:rPr>
        <w:t>(If you have already submitted funding source info through the</w:t>
      </w:r>
      <w:r>
        <w:rPr>
          <w:i/>
          <w:sz w:val="24"/>
          <w:szCs w:val="24"/>
        </w:rPr>
        <w:t xml:space="preserve"> </w:t>
      </w:r>
      <w:r w:rsidRPr="000F25DC">
        <w:rPr>
          <w:i/>
          <w:sz w:val="24"/>
          <w:szCs w:val="24"/>
        </w:rPr>
        <w:t>“Agency Program Information” spreadsheet, please limit your response to funding formulas or funding conventions.)</w:t>
      </w:r>
    </w:p>
    <w:tbl>
      <w:tblPr>
        <w:tblStyle w:val="TableGrid1"/>
        <w:tblW w:w="9288" w:type="dxa"/>
        <w:tblLayout w:type="fixed"/>
        <w:tblCellMar>
          <w:top w:w="58" w:type="dxa"/>
          <w:bottom w:w="58" w:type="dxa"/>
        </w:tblCellMar>
        <w:tblLook w:val="0000" w:firstRow="0" w:lastRow="0" w:firstColumn="0" w:lastColumn="0" w:noHBand="0" w:noVBand="0"/>
      </w:tblPr>
      <w:tblGrid>
        <w:gridCol w:w="2710"/>
        <w:gridCol w:w="2336"/>
        <w:gridCol w:w="2164"/>
        <w:gridCol w:w="2078"/>
      </w:tblGrid>
      <w:tr w:rsidR="004539F3" w14:paraId="5D2A22AB" w14:textId="77777777" w:rsidTr="004539F3">
        <w:trPr>
          <w:trHeight w:val="610"/>
          <w:tblHeader/>
        </w:trPr>
        <w:tc>
          <w:tcPr>
            <w:tcW w:w="2820" w:type="dxa"/>
            <w:shd w:val="clear" w:color="auto" w:fill="B8CCE4" w:themeFill="accent1" w:themeFillTint="66"/>
            <w:vAlign w:val="center"/>
          </w:tcPr>
          <w:p w14:paraId="4D5470B8" w14:textId="77777777" w:rsidR="004539F3" w:rsidRPr="006833A4" w:rsidRDefault="004539F3" w:rsidP="004539F3">
            <w:pPr>
              <w:pStyle w:val="TableHeaders"/>
            </w:pPr>
            <w:r w:rsidRPr="006833A4">
              <w:lastRenderedPageBreak/>
              <w:t>Program or Function Detail Description</w:t>
            </w:r>
          </w:p>
        </w:tc>
        <w:tc>
          <w:tcPr>
            <w:tcW w:w="2430" w:type="dxa"/>
            <w:shd w:val="clear" w:color="auto" w:fill="B8CCE4" w:themeFill="accent1" w:themeFillTint="66"/>
            <w:vAlign w:val="center"/>
          </w:tcPr>
          <w:p w14:paraId="3B752E4B" w14:textId="77777777" w:rsidR="004539F3" w:rsidRPr="006833A4" w:rsidRDefault="004539F3" w:rsidP="004539F3">
            <w:pPr>
              <w:pStyle w:val="TableHeaders"/>
            </w:pPr>
            <w:r w:rsidRPr="006833A4">
              <w:t>Total FY 2024</w:t>
            </w:r>
          </w:p>
        </w:tc>
        <w:tc>
          <w:tcPr>
            <w:tcW w:w="2250" w:type="dxa"/>
            <w:shd w:val="clear" w:color="auto" w:fill="B8CCE4" w:themeFill="accent1" w:themeFillTint="66"/>
            <w:vAlign w:val="center"/>
          </w:tcPr>
          <w:p w14:paraId="197DB8DB" w14:textId="77777777" w:rsidR="004539F3" w:rsidRPr="006833A4" w:rsidRDefault="004539F3" w:rsidP="004539F3">
            <w:pPr>
              <w:pStyle w:val="TableHeaders"/>
            </w:pPr>
            <w:r w:rsidRPr="006833A4">
              <w:t>Federal Funding</w:t>
            </w:r>
          </w:p>
        </w:tc>
        <w:tc>
          <w:tcPr>
            <w:tcW w:w="2160" w:type="dxa"/>
            <w:shd w:val="clear" w:color="auto" w:fill="B8CCE4" w:themeFill="accent1" w:themeFillTint="66"/>
            <w:vAlign w:val="center"/>
          </w:tcPr>
          <w:p w14:paraId="07297996" w14:textId="77777777" w:rsidR="004539F3" w:rsidRPr="00520327" w:rsidRDefault="004539F3" w:rsidP="004539F3">
            <w:pPr>
              <w:pStyle w:val="TableHeaders"/>
            </w:pPr>
            <w:r w:rsidRPr="00520327">
              <w:t>State Funding</w:t>
            </w:r>
          </w:p>
        </w:tc>
      </w:tr>
      <w:tr w:rsidR="004539F3" w14:paraId="2A03690D" w14:textId="77777777" w:rsidTr="004539F3">
        <w:trPr>
          <w:trHeight w:val="444"/>
        </w:trPr>
        <w:tc>
          <w:tcPr>
            <w:tcW w:w="2820" w:type="dxa"/>
            <w:vAlign w:val="center"/>
          </w:tcPr>
          <w:p w14:paraId="3480D649" w14:textId="77777777" w:rsidR="004539F3" w:rsidRPr="006833A4" w:rsidRDefault="004539F3" w:rsidP="004539F3">
            <w:pPr>
              <w:pStyle w:val="TableText"/>
            </w:pPr>
            <w:r w:rsidRPr="006833A4">
              <w:t>Workforce Innovation and Opportunity Act Title I Programs (Adults/Dislocated Workers)</w:t>
            </w:r>
          </w:p>
        </w:tc>
        <w:tc>
          <w:tcPr>
            <w:tcW w:w="2430" w:type="dxa"/>
            <w:vAlign w:val="center"/>
          </w:tcPr>
          <w:p w14:paraId="4DA97208" w14:textId="77777777" w:rsidR="004539F3" w:rsidRPr="006833A4" w:rsidRDefault="004539F3" w:rsidP="004539F3">
            <w:pPr>
              <w:pStyle w:val="TableText"/>
              <w:jc w:val="right"/>
            </w:pPr>
            <w:r w:rsidRPr="006833A4">
              <w:t xml:space="preserve">164,312,539 </w:t>
            </w:r>
          </w:p>
        </w:tc>
        <w:tc>
          <w:tcPr>
            <w:tcW w:w="2250" w:type="dxa"/>
            <w:vAlign w:val="center"/>
          </w:tcPr>
          <w:p w14:paraId="788869A1" w14:textId="77777777" w:rsidR="004539F3" w:rsidRPr="006833A4" w:rsidRDefault="004539F3" w:rsidP="004539F3">
            <w:pPr>
              <w:pStyle w:val="TableText"/>
              <w:jc w:val="right"/>
            </w:pPr>
            <w:r w:rsidRPr="006833A4">
              <w:t xml:space="preserve">162,758,033 </w:t>
            </w:r>
          </w:p>
        </w:tc>
        <w:tc>
          <w:tcPr>
            <w:tcW w:w="2160" w:type="dxa"/>
            <w:vAlign w:val="center"/>
          </w:tcPr>
          <w:p w14:paraId="244945B1" w14:textId="77777777" w:rsidR="004539F3" w:rsidRPr="00AB0360" w:rsidRDefault="004539F3" w:rsidP="004539F3">
            <w:pPr>
              <w:pStyle w:val="TableText"/>
              <w:jc w:val="right"/>
            </w:pPr>
            <w:r w:rsidRPr="00AB0360">
              <w:t xml:space="preserve">1,554,506 </w:t>
            </w:r>
          </w:p>
        </w:tc>
      </w:tr>
      <w:tr w:rsidR="004539F3" w14:paraId="48F5E970" w14:textId="77777777" w:rsidTr="004539F3">
        <w:trPr>
          <w:trHeight w:val="444"/>
        </w:trPr>
        <w:tc>
          <w:tcPr>
            <w:tcW w:w="2820" w:type="dxa"/>
            <w:vAlign w:val="center"/>
          </w:tcPr>
          <w:p w14:paraId="5FE1D1B7" w14:textId="77777777" w:rsidR="004539F3" w:rsidRPr="006833A4" w:rsidRDefault="004539F3" w:rsidP="004539F3">
            <w:pPr>
              <w:pStyle w:val="TableText"/>
            </w:pPr>
            <w:r w:rsidRPr="00EC2215">
              <w:rPr>
                <w:rFonts w:eastAsia="Times New Roman"/>
              </w:rPr>
              <w:t xml:space="preserve">Youth Programs </w:t>
            </w:r>
          </w:p>
        </w:tc>
        <w:tc>
          <w:tcPr>
            <w:tcW w:w="2430" w:type="dxa"/>
            <w:vAlign w:val="center"/>
          </w:tcPr>
          <w:p w14:paraId="753749F2" w14:textId="77777777" w:rsidR="004539F3" w:rsidRPr="006833A4" w:rsidRDefault="004539F3" w:rsidP="004539F3">
            <w:pPr>
              <w:pStyle w:val="TableText"/>
              <w:jc w:val="right"/>
            </w:pPr>
            <w:r w:rsidRPr="00EC2215">
              <w:rPr>
                <w:rFonts w:eastAsia="Times New Roman"/>
              </w:rPr>
              <w:t xml:space="preserve">92,173,596 </w:t>
            </w:r>
          </w:p>
        </w:tc>
        <w:tc>
          <w:tcPr>
            <w:tcW w:w="2250" w:type="dxa"/>
            <w:vAlign w:val="center"/>
          </w:tcPr>
          <w:p w14:paraId="651CBB67" w14:textId="77777777" w:rsidR="004539F3" w:rsidRPr="006833A4" w:rsidRDefault="004539F3" w:rsidP="004539F3">
            <w:pPr>
              <w:pStyle w:val="TableText"/>
              <w:jc w:val="right"/>
            </w:pPr>
            <w:r w:rsidRPr="00EC2215">
              <w:rPr>
                <w:rFonts w:eastAsia="Times New Roman"/>
              </w:rPr>
              <w:t xml:space="preserve">92,173,596 </w:t>
            </w:r>
          </w:p>
        </w:tc>
        <w:tc>
          <w:tcPr>
            <w:tcW w:w="2160" w:type="dxa"/>
            <w:vAlign w:val="center"/>
          </w:tcPr>
          <w:p w14:paraId="1A4E4D3D" w14:textId="77777777" w:rsidR="004539F3" w:rsidRPr="00AB0360" w:rsidRDefault="004539F3" w:rsidP="004539F3">
            <w:pPr>
              <w:pStyle w:val="TableText"/>
              <w:jc w:val="right"/>
            </w:pPr>
            <w:r w:rsidRPr="00AB0360">
              <w:t>0</w:t>
            </w:r>
          </w:p>
        </w:tc>
      </w:tr>
      <w:tr w:rsidR="004539F3" w14:paraId="3C2851F0" w14:textId="77777777" w:rsidTr="004539F3">
        <w:trPr>
          <w:trHeight w:val="444"/>
        </w:trPr>
        <w:tc>
          <w:tcPr>
            <w:tcW w:w="2820" w:type="dxa"/>
            <w:vAlign w:val="center"/>
          </w:tcPr>
          <w:p w14:paraId="1D094415" w14:textId="77777777" w:rsidR="004539F3" w:rsidRPr="00EC2215" w:rsidRDefault="004539F3" w:rsidP="004539F3">
            <w:pPr>
              <w:pStyle w:val="TableText"/>
              <w:rPr>
                <w:rFonts w:eastAsia="Times New Roman"/>
              </w:rPr>
            </w:pPr>
            <w:r w:rsidRPr="00EC2215">
              <w:rPr>
                <w:rFonts w:eastAsia="Times New Roman"/>
              </w:rPr>
              <w:t xml:space="preserve">Disaster &amp; Emergency Funding </w:t>
            </w:r>
          </w:p>
        </w:tc>
        <w:tc>
          <w:tcPr>
            <w:tcW w:w="2430" w:type="dxa"/>
            <w:vAlign w:val="center"/>
          </w:tcPr>
          <w:p w14:paraId="07859DAB" w14:textId="77777777" w:rsidR="004539F3" w:rsidRPr="00EC2215" w:rsidRDefault="004539F3" w:rsidP="004539F3">
            <w:pPr>
              <w:pStyle w:val="TableText"/>
              <w:jc w:val="right"/>
              <w:rPr>
                <w:rFonts w:eastAsia="Times New Roman"/>
              </w:rPr>
            </w:pPr>
            <w:r w:rsidRPr="00EC2215">
              <w:rPr>
                <w:rFonts w:eastAsia="Times New Roman"/>
              </w:rPr>
              <w:t xml:space="preserve">3,108,900 </w:t>
            </w:r>
          </w:p>
        </w:tc>
        <w:tc>
          <w:tcPr>
            <w:tcW w:w="2250" w:type="dxa"/>
            <w:vAlign w:val="center"/>
          </w:tcPr>
          <w:p w14:paraId="2BFE59E7" w14:textId="77777777" w:rsidR="004539F3" w:rsidRPr="00EC2215" w:rsidRDefault="004539F3" w:rsidP="004539F3">
            <w:pPr>
              <w:pStyle w:val="TableText"/>
              <w:jc w:val="right"/>
              <w:rPr>
                <w:rFonts w:eastAsia="Times New Roman"/>
              </w:rPr>
            </w:pPr>
            <w:r w:rsidRPr="00EC2215">
              <w:rPr>
                <w:rFonts w:eastAsia="Times New Roman"/>
              </w:rPr>
              <w:t xml:space="preserve">3,108,900 </w:t>
            </w:r>
          </w:p>
        </w:tc>
        <w:tc>
          <w:tcPr>
            <w:tcW w:w="2160" w:type="dxa"/>
            <w:vAlign w:val="center"/>
          </w:tcPr>
          <w:p w14:paraId="57CBAFE9" w14:textId="77777777" w:rsidR="004539F3" w:rsidRPr="00AB0360" w:rsidRDefault="004539F3" w:rsidP="004539F3">
            <w:pPr>
              <w:pStyle w:val="TableText"/>
              <w:jc w:val="right"/>
            </w:pPr>
            <w:r w:rsidRPr="00EC2215">
              <w:rPr>
                <w:rFonts w:eastAsia="Times New Roman"/>
              </w:rPr>
              <w:t>0</w:t>
            </w:r>
          </w:p>
        </w:tc>
      </w:tr>
      <w:tr w:rsidR="004539F3" w14:paraId="06E44D6C" w14:textId="77777777" w:rsidTr="004539F3">
        <w:trPr>
          <w:trHeight w:val="444"/>
        </w:trPr>
        <w:tc>
          <w:tcPr>
            <w:tcW w:w="2820" w:type="dxa"/>
            <w:vAlign w:val="center"/>
          </w:tcPr>
          <w:p w14:paraId="71DC4B49" w14:textId="77777777" w:rsidR="004539F3" w:rsidRPr="00622ADB" w:rsidRDefault="004539F3" w:rsidP="004539F3">
            <w:pPr>
              <w:pStyle w:val="TableText"/>
              <w:rPr>
                <w:rFonts w:eastAsia="Times New Roman"/>
              </w:rPr>
            </w:pPr>
            <w:r w:rsidRPr="001347E6">
              <w:t>Trade Adjustment Assistance</w:t>
            </w:r>
          </w:p>
        </w:tc>
        <w:tc>
          <w:tcPr>
            <w:tcW w:w="2430" w:type="dxa"/>
            <w:vAlign w:val="center"/>
          </w:tcPr>
          <w:p w14:paraId="7E74A217" w14:textId="77777777" w:rsidR="004539F3" w:rsidRPr="00622ADB" w:rsidRDefault="004539F3" w:rsidP="004539F3">
            <w:pPr>
              <w:pStyle w:val="TableText"/>
              <w:jc w:val="right"/>
              <w:rPr>
                <w:rFonts w:eastAsia="Times New Roman"/>
              </w:rPr>
            </w:pPr>
            <w:r w:rsidRPr="001347E6">
              <w:t xml:space="preserve">2,697,985 </w:t>
            </w:r>
          </w:p>
        </w:tc>
        <w:tc>
          <w:tcPr>
            <w:tcW w:w="2250" w:type="dxa"/>
            <w:vAlign w:val="center"/>
          </w:tcPr>
          <w:p w14:paraId="21F315C4" w14:textId="77777777" w:rsidR="004539F3" w:rsidRPr="00622ADB" w:rsidRDefault="004539F3" w:rsidP="004539F3">
            <w:pPr>
              <w:pStyle w:val="TableText"/>
              <w:jc w:val="right"/>
              <w:rPr>
                <w:rFonts w:eastAsia="Times New Roman"/>
              </w:rPr>
            </w:pPr>
            <w:r w:rsidRPr="001347E6">
              <w:t xml:space="preserve">2,697,985 </w:t>
            </w:r>
          </w:p>
        </w:tc>
        <w:tc>
          <w:tcPr>
            <w:tcW w:w="2160" w:type="dxa"/>
            <w:vAlign w:val="center"/>
          </w:tcPr>
          <w:p w14:paraId="0596D7E0" w14:textId="77777777" w:rsidR="004539F3" w:rsidRPr="00622ADB" w:rsidRDefault="004539F3" w:rsidP="004539F3">
            <w:pPr>
              <w:pStyle w:val="TableText"/>
              <w:jc w:val="right"/>
              <w:rPr>
                <w:rFonts w:eastAsia="Times New Roman"/>
              </w:rPr>
            </w:pPr>
            <w:r>
              <w:rPr>
                <w:rFonts w:eastAsia="Times New Roman"/>
              </w:rPr>
              <w:t>0</w:t>
            </w:r>
          </w:p>
        </w:tc>
      </w:tr>
      <w:tr w:rsidR="004539F3" w14:paraId="27A4EE7C" w14:textId="77777777" w:rsidTr="004539F3">
        <w:trPr>
          <w:trHeight w:val="444"/>
        </w:trPr>
        <w:tc>
          <w:tcPr>
            <w:tcW w:w="2820" w:type="dxa"/>
            <w:vAlign w:val="center"/>
          </w:tcPr>
          <w:p w14:paraId="27E3FFF0" w14:textId="77777777" w:rsidR="004539F3" w:rsidRPr="00EC2215" w:rsidRDefault="004539F3" w:rsidP="004539F3">
            <w:pPr>
              <w:pStyle w:val="TableText"/>
              <w:rPr>
                <w:rFonts w:eastAsia="Times New Roman"/>
              </w:rPr>
            </w:pPr>
            <w:r w:rsidRPr="00EC2215">
              <w:rPr>
                <w:rFonts w:eastAsia="Times New Roman"/>
              </w:rPr>
              <w:t>Total</w:t>
            </w:r>
          </w:p>
        </w:tc>
        <w:tc>
          <w:tcPr>
            <w:tcW w:w="2430" w:type="dxa"/>
            <w:vAlign w:val="center"/>
          </w:tcPr>
          <w:p w14:paraId="70DE590D" w14:textId="77777777" w:rsidR="004539F3" w:rsidRPr="004539F3" w:rsidRDefault="004539F3" w:rsidP="004539F3">
            <w:pPr>
              <w:pStyle w:val="TableText"/>
              <w:jc w:val="right"/>
              <w:rPr>
                <w:rFonts w:eastAsia="Times New Roman"/>
              </w:rPr>
            </w:pPr>
            <w:r w:rsidRPr="004539F3">
              <w:t>262,293,020</w:t>
            </w:r>
          </w:p>
        </w:tc>
        <w:tc>
          <w:tcPr>
            <w:tcW w:w="2250" w:type="dxa"/>
            <w:vAlign w:val="center"/>
          </w:tcPr>
          <w:p w14:paraId="1D0B30C6" w14:textId="77777777" w:rsidR="004539F3" w:rsidRPr="004539F3" w:rsidRDefault="004539F3" w:rsidP="004539F3">
            <w:pPr>
              <w:pStyle w:val="TableText"/>
              <w:jc w:val="right"/>
              <w:rPr>
                <w:rFonts w:eastAsia="Times New Roman"/>
              </w:rPr>
            </w:pPr>
            <w:r w:rsidRPr="004539F3">
              <w:t>260,738,514</w:t>
            </w:r>
          </w:p>
        </w:tc>
        <w:tc>
          <w:tcPr>
            <w:tcW w:w="2160" w:type="dxa"/>
            <w:vAlign w:val="center"/>
          </w:tcPr>
          <w:p w14:paraId="515AE8E1" w14:textId="77777777" w:rsidR="004539F3" w:rsidRPr="004539F3" w:rsidRDefault="004539F3" w:rsidP="004539F3">
            <w:pPr>
              <w:pStyle w:val="TableText"/>
              <w:jc w:val="right"/>
              <w:rPr>
                <w:rFonts w:eastAsia="Times New Roman"/>
              </w:rPr>
            </w:pPr>
            <w:r w:rsidRPr="004539F3">
              <w:t>1,554,506</w:t>
            </w:r>
          </w:p>
        </w:tc>
      </w:tr>
    </w:tbl>
    <w:p w14:paraId="17FF45E7" w14:textId="0CE9F183" w:rsidR="006420CB" w:rsidRPr="002A2CE2" w:rsidRDefault="006420CB" w:rsidP="008737D5">
      <w:pPr>
        <w:pStyle w:val="BodyText"/>
      </w:pPr>
      <w:r w:rsidRPr="002A2CE2">
        <w:t>In addition to statutory formula funding, TWC uses Governor’s reserve statewide funding in conjunction with other funding where feasible and appropriate, to encourage innovation at the local level through grants to Boards, institutions of higher education, community-based organizations, and other suitable entities.</w:t>
      </w:r>
    </w:p>
    <w:p w14:paraId="37296A30" w14:textId="05E2E49E" w:rsidR="006420CB" w:rsidRPr="000F25DC" w:rsidRDefault="006420CB" w:rsidP="008737D5">
      <w:pPr>
        <w:pStyle w:val="BodyText"/>
      </w:pPr>
      <w:r w:rsidRPr="002A2CE2">
        <w:t>The Commission approves the use of such funds to conduct statewide initiatives to address WIOA’s focus on workforce integration, quality improvement, capacity building, professional development, internships, externships, and more. The initiatives apply across the following programs and services.</w:t>
      </w:r>
    </w:p>
    <w:p w14:paraId="61ED63CD" w14:textId="274430F8" w:rsidR="006420CB" w:rsidRPr="000F25DC" w:rsidRDefault="006420CB" w:rsidP="008737D5">
      <w:pPr>
        <w:pStyle w:val="BodyText3"/>
        <w:ind w:left="720" w:hanging="720"/>
      </w:pPr>
      <w:r w:rsidRPr="000F25DC">
        <w:t>H.</w:t>
      </w:r>
      <w:r w:rsidR="008737D5">
        <w:tab/>
      </w:r>
      <w:r w:rsidRPr="000F25DC">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p>
    <w:p w14:paraId="782BC487" w14:textId="77777777" w:rsidR="006420CB" w:rsidRPr="008737D5" w:rsidRDefault="006420CB" w:rsidP="008737D5">
      <w:pPr>
        <w:pStyle w:val="BodyText"/>
      </w:pPr>
      <w:r w:rsidRPr="008737D5">
        <w:t xml:space="preserve">WIOA requires collaboration with other federal employment programs. Partner programs are identified in </w:t>
      </w:r>
      <w:hyperlink r:id="rId126" w:history="1">
        <w:r w:rsidRPr="008737D5">
          <w:rPr>
            <w:rStyle w:val="Hyperlink"/>
            <w:color w:val="auto"/>
            <w:u w:val="none"/>
          </w:rPr>
          <w:t>Title 40, Texas Administrative Code, §801.27</w:t>
        </w:r>
      </w:hyperlink>
      <w:r w:rsidRPr="008737D5">
        <w:t>.</w:t>
      </w:r>
    </w:p>
    <w:p w14:paraId="49B9A41E" w14:textId="77777777" w:rsidR="006420CB" w:rsidRPr="008737D5" w:rsidRDefault="006420CB" w:rsidP="008737D5">
      <w:pPr>
        <w:pStyle w:val="BodyText"/>
      </w:pPr>
      <w:r w:rsidRPr="008737D5">
        <w:t xml:space="preserve">WIOA emphasizes planning across multiple workforce partner programs to ensure alignment in service delivery. </w:t>
      </w:r>
    </w:p>
    <w:p w14:paraId="5183F303" w14:textId="77777777" w:rsidR="006420CB" w:rsidRPr="008737D5" w:rsidRDefault="006420CB" w:rsidP="008737D5">
      <w:pPr>
        <w:pStyle w:val="BodyText"/>
      </w:pPr>
      <w:r w:rsidRPr="008737D5">
        <w:t>Memoranda of Understanding (MOUs) Guidelines:</w:t>
      </w:r>
    </w:p>
    <w:p w14:paraId="1FE0A80D" w14:textId="77777777" w:rsidR="006420CB" w:rsidRPr="008737D5" w:rsidRDefault="006420CB" w:rsidP="008737D5">
      <w:pPr>
        <w:pStyle w:val="BodyText"/>
      </w:pPr>
      <w:r w:rsidRPr="008737D5">
        <w:t>Required Partners (Board-Administered/Direct Agency Control): MOUs are generally not required for programs under direct oversight of the Boards, including:</w:t>
      </w:r>
    </w:p>
    <w:p w14:paraId="57DE278B" w14:textId="77777777" w:rsidR="006420CB" w:rsidRPr="00E1573D" w:rsidRDefault="006420CB" w:rsidP="00C64851">
      <w:pPr>
        <w:pStyle w:val="List"/>
        <w:numPr>
          <w:ilvl w:val="0"/>
          <w:numId w:val="804"/>
        </w:numPr>
      </w:pPr>
      <w:r w:rsidRPr="00E1573D">
        <w:t>WIOA Adult, Dislocated Worker, and Youth programs</w:t>
      </w:r>
    </w:p>
    <w:p w14:paraId="009FDDFC" w14:textId="77777777" w:rsidR="006420CB" w:rsidRPr="00E1573D" w:rsidRDefault="006420CB" w:rsidP="00C64851">
      <w:pPr>
        <w:pStyle w:val="List"/>
        <w:numPr>
          <w:ilvl w:val="0"/>
          <w:numId w:val="804"/>
        </w:numPr>
      </w:pPr>
      <w:r w:rsidRPr="00E1573D">
        <w:t>Wagner-Peyser Employment Service (ES)</w:t>
      </w:r>
    </w:p>
    <w:p w14:paraId="1013C1E6" w14:textId="77777777" w:rsidR="006420CB" w:rsidRPr="00E1573D" w:rsidRDefault="006420CB" w:rsidP="00C64851">
      <w:pPr>
        <w:pStyle w:val="List"/>
        <w:numPr>
          <w:ilvl w:val="0"/>
          <w:numId w:val="804"/>
        </w:numPr>
      </w:pPr>
      <w:r w:rsidRPr="00E1573D">
        <w:t>UI and RESEA programs</w:t>
      </w:r>
    </w:p>
    <w:p w14:paraId="6102549E" w14:textId="77777777" w:rsidR="006420CB" w:rsidRPr="00E1573D" w:rsidRDefault="006420CB" w:rsidP="00C64851">
      <w:pPr>
        <w:pStyle w:val="List"/>
        <w:numPr>
          <w:ilvl w:val="0"/>
          <w:numId w:val="804"/>
        </w:numPr>
      </w:pPr>
      <w:r w:rsidRPr="00E1573D">
        <w:t>Choices (TANF employment/training)</w:t>
      </w:r>
    </w:p>
    <w:p w14:paraId="3175225B" w14:textId="77777777" w:rsidR="006420CB" w:rsidRPr="00E1573D" w:rsidRDefault="006420CB" w:rsidP="00C64851">
      <w:pPr>
        <w:pStyle w:val="List"/>
        <w:numPr>
          <w:ilvl w:val="0"/>
          <w:numId w:val="804"/>
        </w:numPr>
      </w:pPr>
      <w:r w:rsidRPr="00E1573D">
        <w:lastRenderedPageBreak/>
        <w:t>SNAP E&amp;T</w:t>
      </w:r>
    </w:p>
    <w:p w14:paraId="75B3BCE5" w14:textId="77777777" w:rsidR="006420CB" w:rsidRPr="00E1573D" w:rsidRDefault="006420CB" w:rsidP="00C64851">
      <w:pPr>
        <w:pStyle w:val="List"/>
        <w:numPr>
          <w:ilvl w:val="0"/>
          <w:numId w:val="804"/>
        </w:numPr>
      </w:pPr>
      <w:r w:rsidRPr="00E1573D">
        <w:t>Child Care Services</w:t>
      </w:r>
    </w:p>
    <w:p w14:paraId="0B62941B" w14:textId="77777777" w:rsidR="006420CB" w:rsidRPr="00E1573D" w:rsidRDefault="006420CB" w:rsidP="00C64851">
      <w:pPr>
        <w:pStyle w:val="List"/>
        <w:numPr>
          <w:ilvl w:val="0"/>
          <w:numId w:val="804"/>
        </w:numPr>
      </w:pPr>
      <w:r w:rsidRPr="00E1573D">
        <w:t>TAA</w:t>
      </w:r>
    </w:p>
    <w:p w14:paraId="5FD88D79" w14:textId="77777777" w:rsidR="006420CB" w:rsidRPr="00E1573D" w:rsidRDefault="006420CB" w:rsidP="00C64851">
      <w:pPr>
        <w:pStyle w:val="List"/>
        <w:numPr>
          <w:ilvl w:val="0"/>
          <w:numId w:val="804"/>
        </w:numPr>
      </w:pPr>
      <w:r w:rsidRPr="00E1573D">
        <w:t>AEL programs (when Board is grantee)</w:t>
      </w:r>
    </w:p>
    <w:p w14:paraId="11B8479B" w14:textId="77777777" w:rsidR="006420CB" w:rsidRPr="00E1573D" w:rsidRDefault="006420CB" w:rsidP="00C64851">
      <w:pPr>
        <w:pStyle w:val="List"/>
        <w:numPr>
          <w:ilvl w:val="0"/>
          <w:numId w:val="804"/>
        </w:numPr>
      </w:pPr>
      <w:r w:rsidRPr="00E1573D">
        <w:t>National Dislocated Worker Grant (NDWG) program</w:t>
      </w:r>
    </w:p>
    <w:p w14:paraId="659FC752" w14:textId="77777777" w:rsidR="006420CB" w:rsidRPr="008B4F07" w:rsidRDefault="006420CB" w:rsidP="00F93E38">
      <w:pPr>
        <w:pStyle w:val="BodyText"/>
      </w:pPr>
      <w:r w:rsidRPr="008B4F07">
        <w:t>Required Partners (Not Board-Administered): MOUs are required for programs not under direct Board oversight, such as:</w:t>
      </w:r>
    </w:p>
    <w:p w14:paraId="67FC467A" w14:textId="77777777" w:rsidR="006420CB" w:rsidRPr="00A50C42" w:rsidRDefault="006420CB" w:rsidP="00C64851">
      <w:pPr>
        <w:pStyle w:val="List"/>
        <w:numPr>
          <w:ilvl w:val="0"/>
          <w:numId w:val="805"/>
        </w:numPr>
      </w:pPr>
      <w:r w:rsidRPr="00A50C42">
        <w:t>AEL (when Board is not grantee)</w:t>
      </w:r>
    </w:p>
    <w:p w14:paraId="5428A6DD" w14:textId="77777777" w:rsidR="006420CB" w:rsidRPr="00F93E38" w:rsidRDefault="006420CB" w:rsidP="00C64851">
      <w:pPr>
        <w:pStyle w:val="BodyText"/>
        <w:numPr>
          <w:ilvl w:val="0"/>
          <w:numId w:val="805"/>
        </w:numPr>
      </w:pPr>
      <w:r w:rsidRPr="00F93E38">
        <w:t>Apprenticeship programs (Texas Education Code, Chapter 133)</w:t>
      </w:r>
    </w:p>
    <w:p w14:paraId="36963F62" w14:textId="77777777" w:rsidR="006420CB" w:rsidRPr="00F93E38" w:rsidRDefault="006420CB" w:rsidP="00C64851">
      <w:pPr>
        <w:pStyle w:val="BodyText"/>
        <w:numPr>
          <w:ilvl w:val="0"/>
          <w:numId w:val="805"/>
        </w:numPr>
      </w:pPr>
      <w:r w:rsidRPr="00F93E38">
        <w:t>Perkins V career and technical education programs</w:t>
      </w:r>
    </w:p>
    <w:p w14:paraId="3D0A56F0" w14:textId="77777777" w:rsidR="006420CB" w:rsidRPr="00F93E38" w:rsidRDefault="006420CB" w:rsidP="00C64851">
      <w:pPr>
        <w:pStyle w:val="BodyText"/>
        <w:numPr>
          <w:ilvl w:val="0"/>
          <w:numId w:val="805"/>
        </w:numPr>
      </w:pPr>
      <w:r w:rsidRPr="00F93E38">
        <w:t>Veteran job counseling, training, and placement services</w:t>
      </w:r>
    </w:p>
    <w:p w14:paraId="50B601D7" w14:textId="77777777" w:rsidR="006420CB" w:rsidRPr="00F93E38" w:rsidRDefault="006420CB" w:rsidP="00C64851">
      <w:pPr>
        <w:pStyle w:val="BodyText"/>
        <w:numPr>
          <w:ilvl w:val="0"/>
          <w:numId w:val="805"/>
        </w:numPr>
      </w:pPr>
      <w:r w:rsidRPr="00F93E38">
        <w:t>Job Corps (DOL administered)</w:t>
      </w:r>
    </w:p>
    <w:p w14:paraId="717167F9" w14:textId="77777777" w:rsidR="006420CB" w:rsidRPr="00F93E38" w:rsidRDefault="006420CB" w:rsidP="00C64851">
      <w:pPr>
        <w:pStyle w:val="BodyText"/>
        <w:numPr>
          <w:ilvl w:val="0"/>
          <w:numId w:val="805"/>
        </w:numPr>
      </w:pPr>
      <w:r w:rsidRPr="00F93E38">
        <w:t>Native American programs (WIOA Title I)</w:t>
      </w:r>
    </w:p>
    <w:p w14:paraId="26AEB79D" w14:textId="77777777" w:rsidR="006420CB" w:rsidRPr="00F93E38" w:rsidRDefault="006420CB" w:rsidP="00C64851">
      <w:pPr>
        <w:pStyle w:val="BodyText"/>
        <w:numPr>
          <w:ilvl w:val="0"/>
          <w:numId w:val="805"/>
        </w:numPr>
      </w:pPr>
      <w:r w:rsidRPr="00F93E38">
        <w:t>HUD-administered employment and training programs</w:t>
      </w:r>
    </w:p>
    <w:p w14:paraId="17C6DB21" w14:textId="77777777" w:rsidR="006420CB" w:rsidRPr="00F93E38" w:rsidRDefault="006420CB" w:rsidP="00C64851">
      <w:pPr>
        <w:pStyle w:val="BodyText"/>
        <w:numPr>
          <w:ilvl w:val="0"/>
          <w:numId w:val="805"/>
        </w:numPr>
      </w:pPr>
      <w:r w:rsidRPr="00F93E38">
        <w:t>Community Services Block Grant Act employment and training</w:t>
      </w:r>
    </w:p>
    <w:p w14:paraId="42D13357" w14:textId="77777777" w:rsidR="006420CB" w:rsidRPr="00F93E38" w:rsidRDefault="006420CB" w:rsidP="00C64851">
      <w:pPr>
        <w:pStyle w:val="BodyText"/>
        <w:numPr>
          <w:ilvl w:val="0"/>
          <w:numId w:val="805"/>
        </w:numPr>
      </w:pPr>
      <w:r w:rsidRPr="00F93E38">
        <w:t>Second Chance Act Reintegration of Offenders programs</w:t>
      </w:r>
    </w:p>
    <w:p w14:paraId="6EAB6CD7" w14:textId="77777777" w:rsidR="006420CB" w:rsidRPr="00F93E38" w:rsidRDefault="006420CB" w:rsidP="00C64851">
      <w:pPr>
        <w:pStyle w:val="BodyText"/>
        <w:numPr>
          <w:ilvl w:val="0"/>
          <w:numId w:val="805"/>
        </w:numPr>
      </w:pPr>
      <w:r w:rsidRPr="00F93E38">
        <w:t>WIOA §167 Migrant and Seasonal Farmworker programs</w:t>
      </w:r>
    </w:p>
    <w:p w14:paraId="417B64F3" w14:textId="77777777" w:rsidR="006420CB" w:rsidRPr="00F93E38" w:rsidRDefault="006420CB" w:rsidP="00C64851">
      <w:pPr>
        <w:pStyle w:val="BodyText"/>
        <w:numPr>
          <w:ilvl w:val="0"/>
          <w:numId w:val="805"/>
        </w:numPr>
      </w:pPr>
      <w:r w:rsidRPr="00F93E38">
        <w:t>Senior Community Service Employment Program (SCSEP)</w:t>
      </w:r>
    </w:p>
    <w:p w14:paraId="35DC8709" w14:textId="77777777" w:rsidR="006420CB" w:rsidRPr="00F93E38" w:rsidRDefault="006420CB" w:rsidP="00F93E38">
      <w:pPr>
        <w:pStyle w:val="BodyText"/>
      </w:pPr>
      <w:r w:rsidRPr="00F93E38">
        <w:t xml:space="preserve">Optional Partner Activities: Boards are recommended to </w:t>
      </w:r>
      <w:proofErr w:type="gramStart"/>
      <w:r w:rsidRPr="00F93E38">
        <w:t>enter into</w:t>
      </w:r>
      <w:proofErr w:type="gramEnd"/>
      <w:r w:rsidRPr="00F93E38">
        <w:t xml:space="preserve"> MOUs with:</w:t>
      </w:r>
    </w:p>
    <w:p w14:paraId="6835260E" w14:textId="77777777" w:rsidR="006420CB" w:rsidRPr="00F93E38" w:rsidRDefault="006420CB" w:rsidP="00C64851">
      <w:pPr>
        <w:pStyle w:val="List"/>
        <w:numPr>
          <w:ilvl w:val="0"/>
          <w:numId w:val="806"/>
        </w:numPr>
      </w:pPr>
      <w:r w:rsidRPr="00F93E38">
        <w:t>Social Security Administration employment/training programs (including Ticket-to-Work)</w:t>
      </w:r>
    </w:p>
    <w:p w14:paraId="5A01D35B" w14:textId="77777777" w:rsidR="006420CB" w:rsidRPr="00F93E38" w:rsidRDefault="006420CB" w:rsidP="00C64851">
      <w:pPr>
        <w:pStyle w:val="List"/>
        <w:numPr>
          <w:ilvl w:val="0"/>
          <w:numId w:val="806"/>
        </w:numPr>
      </w:pPr>
      <w:r w:rsidRPr="00F93E38">
        <w:t>Small Business Administration employment/training programs</w:t>
      </w:r>
    </w:p>
    <w:p w14:paraId="131635F5" w14:textId="77777777" w:rsidR="006420CB" w:rsidRPr="00F93E38" w:rsidRDefault="006420CB" w:rsidP="00C64851">
      <w:pPr>
        <w:pStyle w:val="List"/>
        <w:numPr>
          <w:ilvl w:val="0"/>
          <w:numId w:val="806"/>
        </w:numPr>
      </w:pPr>
      <w:proofErr w:type="spellStart"/>
      <w:r w:rsidRPr="00F93E38">
        <w:t>OneStar</w:t>
      </w:r>
      <w:proofErr w:type="spellEnd"/>
      <w:r w:rsidRPr="00F93E38">
        <w:t xml:space="preserve"> Foundation programs</w:t>
      </w:r>
    </w:p>
    <w:p w14:paraId="5620C10F" w14:textId="77777777" w:rsidR="006420CB" w:rsidRPr="00F93E38" w:rsidRDefault="006420CB" w:rsidP="00C64851">
      <w:pPr>
        <w:pStyle w:val="List"/>
        <w:numPr>
          <w:ilvl w:val="0"/>
          <w:numId w:val="806"/>
        </w:numPr>
      </w:pPr>
      <w:r w:rsidRPr="00F93E38">
        <w:t>Other federal, state, or local programs (e.g., public libraries, private sector)</w:t>
      </w:r>
    </w:p>
    <w:p w14:paraId="7B111FF5" w14:textId="7660EFA5" w:rsidR="006420CB" w:rsidRPr="00334801" w:rsidRDefault="006420CB" w:rsidP="00334801">
      <w:pPr>
        <w:pStyle w:val="BodyText"/>
      </w:pPr>
      <w:r w:rsidRPr="00F93E38">
        <w:t>Additional Partnerships: Boards are encouraged to expand networks with entities like local education boards, vocational agencies, Economic Development Organizations (EDOs), Chambers of Commerce, Community-based Organizations (CBOs), and Faith-based Organizations (FBOs).</w:t>
      </w:r>
    </w:p>
    <w:p w14:paraId="5B03E766" w14:textId="77777777" w:rsidR="006420CB" w:rsidRPr="008B4F07" w:rsidRDefault="006420CB" w:rsidP="00334801">
      <w:pPr>
        <w:pStyle w:val="BodyText"/>
      </w:pPr>
      <w:r w:rsidRPr="008B4F07">
        <w:lastRenderedPageBreak/>
        <w:t>Interagency Case Management: TWC and the Texas Health and Human Services Commission (HHSC) must jointly develop an MOU for coordinated case management. Boards are also required to develop and implement this plan in cooperation with local HHSC offices.</w:t>
      </w:r>
    </w:p>
    <w:p w14:paraId="532E4EEE" w14:textId="5860AD9B" w:rsidR="006420CB" w:rsidRPr="000F25DC" w:rsidRDefault="006420CB" w:rsidP="00334801">
      <w:pPr>
        <w:pStyle w:val="BodyText3"/>
        <w:ind w:left="720" w:hanging="720"/>
      </w:pPr>
      <w:r w:rsidRPr="000F25DC">
        <w:t>I.</w:t>
      </w:r>
      <w:r w:rsidR="00334801">
        <w:rPr>
          <w:rFonts w:eastAsia="Times New Roman"/>
        </w:rPr>
        <w:tab/>
      </w:r>
      <w:r w:rsidRPr="000F25DC">
        <w:t>If the division or program works with local, regional, or federal units of government, include a brief description of these entities and their relationship to the agency.</w:t>
      </w:r>
    </w:p>
    <w:p w14:paraId="61ABBD59" w14:textId="77777777" w:rsidR="006420CB" w:rsidRPr="000F25DC" w:rsidRDefault="006420CB" w:rsidP="00171DDA">
      <w:pPr>
        <w:pStyle w:val="BodyText"/>
      </w:pPr>
      <w:r>
        <w:t xml:space="preserve">DOLETA administers the program at the federal level. In addition to funding, DOLETA provides guidance, technical assistance, and oversight to TWC. </w:t>
      </w:r>
    </w:p>
    <w:p w14:paraId="56B220A7" w14:textId="75ACD506" w:rsidR="006420CB" w:rsidRDefault="006420CB" w:rsidP="00171DDA">
      <w:pPr>
        <w:pStyle w:val="BodyText3"/>
        <w:ind w:left="720" w:hanging="720"/>
      </w:pPr>
      <w:r w:rsidRPr="000F25DC">
        <w:t>J.</w:t>
      </w:r>
      <w:r w:rsidR="00171DDA">
        <w:rPr>
          <w:rFonts w:eastAsia="Times New Roman"/>
        </w:rPr>
        <w:tab/>
      </w:r>
      <w:r w:rsidRPr="000F25DC">
        <w:t>Are there any barriers or challenges that impede the division or program’s performance, including any outdated or ineffective state laws? Explain.</w:t>
      </w:r>
    </w:p>
    <w:p w14:paraId="0AFF8881" w14:textId="77777777" w:rsidR="006420CB" w:rsidRDefault="006420CB" w:rsidP="00171DDA">
      <w:pPr>
        <w:pStyle w:val="BodyText"/>
      </w:pPr>
      <w:r>
        <w:t xml:space="preserve">Texas Labor Code, Chapter 302 and Texas Government Code, Chapter 2308 describe the general operations of TWC, the Workforce Development Division, and the Boards. These statutes define and describe the requirements of the integrated service delivery model in Texas and identify the workforce development programs that are under the authority of TWC. Both chapters may require substantial amendments to update federal program references. </w:t>
      </w:r>
    </w:p>
    <w:p w14:paraId="7AE4F508" w14:textId="5B36B741" w:rsidR="006420CB" w:rsidRPr="000F25DC" w:rsidRDefault="006420CB" w:rsidP="00171DDA">
      <w:pPr>
        <w:pStyle w:val="BodyText3"/>
        <w:ind w:left="720" w:hanging="720"/>
      </w:pPr>
      <w:r w:rsidRPr="58D0E01B">
        <w:t>K.</w:t>
      </w:r>
      <w:r w:rsidR="00171DDA">
        <w:rPr>
          <w:rFonts w:eastAsia="Times New Roman"/>
        </w:rPr>
        <w:tab/>
      </w:r>
      <w:r w:rsidRPr="58D0E01B">
        <w:t>Provide any additional information needed to gain a preliminary understanding of the division or program.</w:t>
      </w:r>
    </w:p>
    <w:p w14:paraId="59A24840" w14:textId="77777777" w:rsidR="006420CB" w:rsidRDefault="006420CB" w:rsidP="00171DDA">
      <w:pPr>
        <w:pStyle w:val="BodyText"/>
      </w:pPr>
      <w:bookmarkStart w:id="226" w:name="_Hlk203123617"/>
      <w:r>
        <w:t>N/A</w:t>
      </w:r>
    </w:p>
    <w:bookmarkEnd w:id="226"/>
    <w:p w14:paraId="2EB53759" w14:textId="53C388E4" w:rsidR="006420CB" w:rsidRDefault="006420CB" w:rsidP="00171DDA">
      <w:pPr>
        <w:pStyle w:val="BodyText3"/>
        <w:ind w:left="720" w:hanging="720"/>
      </w:pPr>
      <w:r w:rsidRPr="000F25DC">
        <w:t>L.</w:t>
      </w:r>
      <w:r w:rsidR="00171DDA">
        <w:rPr>
          <w:rFonts w:eastAsia="Times New Roman"/>
        </w:rPr>
        <w:tab/>
      </w:r>
      <w:r w:rsidRPr="000F25DC">
        <w:t>Regulatory programs relate to the licensing, registration, certification, or permitting of a person, business, piece of equipment, or other entity (e.g., a facility). For each regulatory program, if applicable, describe:</w:t>
      </w:r>
    </w:p>
    <w:p w14:paraId="79191B82" w14:textId="77777777" w:rsidR="006420CB" w:rsidRDefault="006420CB" w:rsidP="00171DDA">
      <w:pPr>
        <w:pStyle w:val="BodyText"/>
      </w:pPr>
      <w:r w:rsidRPr="000F25DC">
        <w:t>N</w:t>
      </w:r>
      <w:r>
        <w:t>/A</w:t>
      </w:r>
    </w:p>
    <w:p w14:paraId="09CE7B5A" w14:textId="0D013272" w:rsidR="006420CB" w:rsidRPr="000F25DC" w:rsidRDefault="006420CB" w:rsidP="00171DDA">
      <w:pPr>
        <w:pStyle w:val="BodyText3"/>
        <w:ind w:left="720" w:hanging="720"/>
      </w:pPr>
      <w:r w:rsidRPr="000F25DC">
        <w:t>M.</w:t>
      </w:r>
      <w:r w:rsidR="00171DDA">
        <w:tab/>
      </w:r>
      <w:r w:rsidRPr="000F25DC">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6114ED7E" w14:textId="29B237C2" w:rsidR="006420CB" w:rsidRDefault="006420CB" w:rsidP="007615CF">
      <w:pPr>
        <w:pStyle w:val="BodyText"/>
        <w:rPr>
          <w:rFonts w:asciiTheme="minorHAnsi" w:eastAsiaTheme="majorEastAsia" w:hAnsiTheme="minorHAnsi"/>
          <w:kern w:val="2"/>
          <w:sz w:val="24"/>
          <w:szCs w:val="24"/>
          <w14:ligatures w14:val="standardContextual"/>
        </w:rPr>
      </w:pPr>
      <w:r w:rsidRPr="000F25DC">
        <w:lastRenderedPageBreak/>
        <w:t>N</w:t>
      </w:r>
      <w:r>
        <w:t>/A</w:t>
      </w:r>
    </w:p>
    <w:p w14:paraId="7AE7F6A0" w14:textId="77777777" w:rsidR="006420CB" w:rsidRPr="000F25DC" w:rsidRDefault="006420CB" w:rsidP="00171DDA">
      <w:pPr>
        <w:pStyle w:val="BodyText3"/>
      </w:pPr>
      <w:bookmarkStart w:id="227" w:name="_Toc683208168"/>
      <w:bookmarkStart w:id="228" w:name="_Toc204688538"/>
      <w:r w:rsidRPr="061A6DF0">
        <w:t>Employment</w:t>
      </w:r>
      <w:r w:rsidRPr="061A6DF0">
        <w:rPr>
          <w:spacing w:val="-10"/>
        </w:rPr>
        <w:t xml:space="preserve"> </w:t>
      </w:r>
      <w:r w:rsidRPr="061A6DF0">
        <w:t>Services</w:t>
      </w:r>
      <w:bookmarkEnd w:id="227"/>
      <w:bookmarkEnd w:id="228"/>
      <w:r w:rsidRPr="061A6DF0">
        <w:t xml:space="preserve"> </w:t>
      </w:r>
    </w:p>
    <w:p w14:paraId="2FED61FF" w14:textId="0BFDA164" w:rsidR="006420CB" w:rsidRPr="00162A99" w:rsidRDefault="006420CB" w:rsidP="00162A99">
      <w:pPr>
        <w:pStyle w:val="BodyText3"/>
      </w:pPr>
      <w:r w:rsidRPr="00162A99">
        <w:rPr>
          <w:rStyle w:val="HeaderChar"/>
          <w:rFonts w:ascii="Arial" w:hAnsi="Arial"/>
          <w:sz w:val="22"/>
          <w:szCs w:val="16"/>
        </w:rPr>
        <w:t>A.</w:t>
      </w:r>
      <w:r w:rsidR="00162A99">
        <w:rPr>
          <w:rStyle w:val="HeaderChar"/>
          <w:rFonts w:ascii="Arial" w:hAnsi="Arial"/>
          <w:sz w:val="22"/>
          <w:szCs w:val="16"/>
        </w:rPr>
        <w:tab/>
      </w:r>
      <w:r w:rsidRPr="00162A99">
        <w:rPr>
          <w:rStyle w:val="HeaderChar"/>
          <w:rFonts w:ascii="Arial" w:hAnsi="Arial"/>
          <w:sz w:val="22"/>
          <w:szCs w:val="16"/>
        </w:rPr>
        <w:t>Provide</w:t>
      </w:r>
      <w:r w:rsidRPr="00162A99">
        <w:t xml:space="preserve"> the following information at the beginning of each description.</w:t>
      </w:r>
    </w:p>
    <w:p w14:paraId="4D8C46B9" w14:textId="77777777" w:rsidR="006420CB" w:rsidRDefault="006420CB" w:rsidP="00653474">
      <w:pPr>
        <w:pStyle w:val="BodyText"/>
      </w:pPr>
      <w:r w:rsidRPr="000F25DC">
        <w:t>Name of Division or Program: Employment Service Program</w:t>
      </w:r>
    </w:p>
    <w:p w14:paraId="2B2FBDE1" w14:textId="77777777" w:rsidR="006420CB" w:rsidRDefault="006420CB" w:rsidP="00653474">
      <w:pPr>
        <w:pStyle w:val="BodyText"/>
      </w:pPr>
      <w:r w:rsidRPr="000F25DC">
        <w:t>Location/Division: Workforce Development Division</w:t>
      </w:r>
      <w:r>
        <w:t>, Policy and Board Support</w:t>
      </w:r>
    </w:p>
    <w:p w14:paraId="0ADDBC61" w14:textId="77777777" w:rsidR="006420CB" w:rsidRDefault="006420CB" w:rsidP="00653474">
      <w:pPr>
        <w:pStyle w:val="BodyText"/>
      </w:pPr>
      <w:r w:rsidRPr="000F25DC">
        <w:t xml:space="preserve">Contact Name: Joel Mullins </w:t>
      </w:r>
    </w:p>
    <w:p w14:paraId="7CD9FD2B" w14:textId="77777777" w:rsidR="006420CB" w:rsidRPr="000F25DC" w:rsidRDefault="006420CB" w:rsidP="00653474">
      <w:pPr>
        <w:pStyle w:val="BodyText"/>
      </w:pPr>
      <w:r w:rsidRPr="000F25DC">
        <w:t>Statutory Citation for Program: Texas Labor Code</w:t>
      </w:r>
      <w:r>
        <w:t xml:space="preserve">, Chapters </w:t>
      </w:r>
      <w:r w:rsidRPr="000F25DC">
        <w:t>302</w:t>
      </w:r>
      <w:r>
        <w:t xml:space="preserve"> and 307</w:t>
      </w:r>
    </w:p>
    <w:p w14:paraId="0E941B29" w14:textId="77777777" w:rsidR="006420CB" w:rsidRPr="00240D68" w:rsidRDefault="006420CB" w:rsidP="00653474">
      <w:pPr>
        <w:pStyle w:val="BodyText3"/>
        <w:rPr>
          <w:bCs/>
        </w:rPr>
      </w:pPr>
      <w:r>
        <w:rPr>
          <w:bCs/>
        </w:rPr>
        <w:t>B.</w:t>
      </w:r>
      <w:r>
        <w:rPr>
          <w:bCs/>
        </w:rPr>
        <w:tab/>
      </w:r>
      <w:r w:rsidRPr="000F25DC">
        <w:t>What</w:t>
      </w:r>
      <w:r w:rsidRPr="000F25DC">
        <w:rPr>
          <w:spacing w:val="-5"/>
        </w:rPr>
        <w:t xml:space="preserve"> </w:t>
      </w:r>
      <w:r w:rsidRPr="000F25DC">
        <w:t>is</w:t>
      </w:r>
      <w:r w:rsidRPr="000F25DC">
        <w:rPr>
          <w:spacing w:val="-4"/>
        </w:rPr>
        <w:t xml:space="preserve"> </w:t>
      </w:r>
      <w:r w:rsidRPr="000F25DC">
        <w:t>the</w:t>
      </w:r>
      <w:r w:rsidRPr="000F25DC">
        <w:rPr>
          <w:spacing w:val="-4"/>
        </w:rPr>
        <w:t xml:space="preserve"> </w:t>
      </w:r>
      <w:r w:rsidRPr="000F25DC">
        <w:t>objective</w:t>
      </w:r>
      <w:r w:rsidRPr="000F25DC">
        <w:rPr>
          <w:spacing w:val="-5"/>
        </w:rPr>
        <w:t xml:space="preserve"> </w:t>
      </w:r>
      <w:r w:rsidRPr="000F25DC">
        <w:t>of this</w:t>
      </w:r>
      <w:r w:rsidRPr="000F25DC">
        <w:rPr>
          <w:spacing w:val="-4"/>
        </w:rPr>
        <w:t xml:space="preserve"> </w:t>
      </w:r>
      <w:r w:rsidRPr="000F25DC">
        <w:t>division or program?</w:t>
      </w:r>
      <w:r w:rsidRPr="000F25DC">
        <w:rPr>
          <w:spacing w:val="-2"/>
        </w:rPr>
        <w:t xml:space="preserve"> </w:t>
      </w:r>
      <w:r w:rsidRPr="000F25DC">
        <w:t>Describe</w:t>
      </w:r>
      <w:r w:rsidRPr="000F25DC">
        <w:rPr>
          <w:spacing w:val="-1"/>
        </w:rPr>
        <w:t xml:space="preserve"> </w:t>
      </w:r>
      <w:r w:rsidRPr="000F25DC">
        <w:t>its</w:t>
      </w:r>
      <w:r w:rsidRPr="000F25DC">
        <w:rPr>
          <w:spacing w:val="-1"/>
        </w:rPr>
        <w:t xml:space="preserve"> </w:t>
      </w:r>
      <w:r w:rsidRPr="000F25DC">
        <w:t>major</w:t>
      </w:r>
      <w:r w:rsidRPr="000F25DC">
        <w:rPr>
          <w:spacing w:val="1"/>
        </w:rPr>
        <w:t xml:space="preserve"> </w:t>
      </w:r>
      <w:r w:rsidRPr="000F25DC">
        <w:rPr>
          <w:spacing w:val="-2"/>
        </w:rPr>
        <w:t>activities.</w:t>
      </w:r>
    </w:p>
    <w:p w14:paraId="2D1ECEF8" w14:textId="77777777" w:rsidR="006420CB" w:rsidRPr="006B2065" w:rsidRDefault="006420CB" w:rsidP="00CD77C9">
      <w:pPr>
        <w:pStyle w:val="BodyText"/>
      </w:pPr>
      <w:r w:rsidRPr="006B2065">
        <w:t xml:space="preserve">The </w:t>
      </w:r>
      <w:r>
        <w:t xml:space="preserve">federal </w:t>
      </w:r>
      <w:r w:rsidRPr="006B2065">
        <w:t xml:space="preserve">Wagner-Peyser funded Employment Service (ES) program provides comprehensive recruiting, job </w:t>
      </w:r>
    </w:p>
    <w:p w14:paraId="11F6C6D4" w14:textId="77777777" w:rsidR="006420CB" w:rsidRPr="006B2065" w:rsidRDefault="006420CB" w:rsidP="00CD77C9">
      <w:pPr>
        <w:pStyle w:val="BodyText"/>
      </w:pPr>
      <w:r w:rsidRPr="006B2065">
        <w:t xml:space="preserve">search, and related services to businesses and job seekers to connect employers seeking workers and </w:t>
      </w:r>
    </w:p>
    <w:p w14:paraId="43367879" w14:textId="77777777" w:rsidR="006420CB" w:rsidRDefault="006420CB" w:rsidP="00CD77C9">
      <w:pPr>
        <w:pStyle w:val="BodyText"/>
      </w:pPr>
      <w:r w:rsidRPr="006B2065">
        <w:t>individuals seeking employment. ES coordinates job openings between states and administers UI work test to verify that individuals receiving UI benefits are registered for work and are actively seeking employment.</w:t>
      </w:r>
      <w:r>
        <w:t xml:space="preserve"> </w:t>
      </w:r>
      <w:r w:rsidRPr="006B2065">
        <w:t>ES provides a variety of employment-related services for employers, job seekers, including</w:t>
      </w:r>
      <w:r>
        <w:t xml:space="preserve"> </w:t>
      </w:r>
      <w:r w:rsidRPr="006B2065">
        <w:t>unemployment benefits claimants, including:</w:t>
      </w:r>
    </w:p>
    <w:p w14:paraId="153B5191" w14:textId="77777777" w:rsidR="006420CB" w:rsidRPr="006B2065" w:rsidRDefault="006420CB" w:rsidP="00C64851">
      <w:pPr>
        <w:pStyle w:val="BodyText"/>
        <w:numPr>
          <w:ilvl w:val="0"/>
          <w:numId w:val="807"/>
        </w:numPr>
      </w:pPr>
      <w:r>
        <w:t>R</w:t>
      </w:r>
      <w:r w:rsidRPr="006B2065">
        <w:t>ecruitment services for employers with job openings</w:t>
      </w:r>
    </w:p>
    <w:p w14:paraId="1FB4DCBA" w14:textId="77777777" w:rsidR="006420CB" w:rsidRDefault="006420CB" w:rsidP="00C64851">
      <w:pPr>
        <w:pStyle w:val="BodyText"/>
        <w:numPr>
          <w:ilvl w:val="0"/>
          <w:numId w:val="807"/>
        </w:numPr>
      </w:pPr>
      <w:r>
        <w:t>J</w:t>
      </w:r>
      <w:r w:rsidRPr="006B2065">
        <w:t>ob search assistance, job referral, and placement assistance for job seekers</w:t>
      </w:r>
    </w:p>
    <w:p w14:paraId="11801934" w14:textId="77777777" w:rsidR="006420CB" w:rsidRDefault="006420CB" w:rsidP="00AC2E12">
      <w:pPr>
        <w:pStyle w:val="BodyText"/>
      </w:pPr>
      <w:r>
        <w:t xml:space="preserve">Federal ES regulations also </w:t>
      </w:r>
      <w:r w:rsidRPr="000F25DC">
        <w:t xml:space="preserve">require the state to maintain a labor exchange system. TWC’s online job matching system, </w:t>
      </w:r>
      <w:hyperlink r:id="rId127" w:history="1">
        <w:r w:rsidRPr="00D85C7D">
          <w:rPr>
            <w:rStyle w:val="Hyperlink"/>
            <w:rFonts w:asciiTheme="minorHAnsi" w:hAnsiTheme="minorHAnsi" w:cstheme="minorHAnsi"/>
            <w:kern w:val="2"/>
            <w:sz w:val="24"/>
            <w:szCs w:val="24"/>
            <w14:ligatures w14:val="standardContextual"/>
          </w:rPr>
          <w:t>WorkInTexas.com</w:t>
        </w:r>
      </w:hyperlink>
      <w:r w:rsidRPr="000F25DC">
        <w:t>, helps employers and job seekers connect electronically. Employers and job seekers can register for work online, browse for jobs, and request matches against job postings and job seeker registrations.</w:t>
      </w:r>
    </w:p>
    <w:p w14:paraId="72BF5506" w14:textId="77777777" w:rsidR="006420CB" w:rsidRPr="000F25DC" w:rsidRDefault="006420CB" w:rsidP="00AC2E12">
      <w:pPr>
        <w:pStyle w:val="BodyText"/>
      </w:pPr>
      <w:r w:rsidRPr="00C3186F">
        <w:t xml:space="preserve">Federal </w:t>
      </w:r>
      <w:r>
        <w:t xml:space="preserve">ES </w:t>
      </w:r>
      <w:r w:rsidRPr="00C3186F">
        <w:t>regulations</w:t>
      </w:r>
      <w:r>
        <w:t xml:space="preserve"> also</w:t>
      </w:r>
      <w:r w:rsidRPr="00C3186F">
        <w:t xml:space="preserve"> require a full</w:t>
      </w:r>
      <w:r>
        <w:t>-</w:t>
      </w:r>
      <w:r w:rsidRPr="00C3186F">
        <w:t>time staff member at the state, regional, and federal levels to ensure</w:t>
      </w:r>
      <w:r>
        <w:t xml:space="preserve"> </w:t>
      </w:r>
      <w:r w:rsidRPr="00C3186F">
        <w:t xml:space="preserve">that equal services are provided to </w:t>
      </w:r>
      <w:r w:rsidRPr="00894950">
        <w:t xml:space="preserve">Migrant Seasonal Farm Workers </w:t>
      </w:r>
      <w:r>
        <w:t>(</w:t>
      </w:r>
      <w:r w:rsidRPr="00C3186F">
        <w:t>MSFWs</w:t>
      </w:r>
      <w:r>
        <w:t>)</w:t>
      </w:r>
      <w:r w:rsidRPr="00C3186F">
        <w:t xml:space="preserve">. As a result, the agency maintains a full-time </w:t>
      </w:r>
      <w:r>
        <w:t xml:space="preserve">State </w:t>
      </w:r>
      <w:r w:rsidRPr="00C3186F">
        <w:t>Monitor</w:t>
      </w:r>
      <w:r>
        <w:t xml:space="preserve"> </w:t>
      </w:r>
      <w:r w:rsidRPr="00C3186F">
        <w:t>Advocate</w:t>
      </w:r>
      <w:r>
        <w:t>, which is discussed in more detail in the State Monitor Advocate section of the Guide to Agency Programs</w:t>
      </w:r>
      <w:r w:rsidRPr="00C3186F">
        <w:t xml:space="preserve">. </w:t>
      </w:r>
    </w:p>
    <w:p w14:paraId="45214285" w14:textId="1C4E9429" w:rsidR="006420CB" w:rsidRPr="000F25DC" w:rsidRDefault="006420CB" w:rsidP="00AC2E12">
      <w:pPr>
        <w:pStyle w:val="BodyText"/>
      </w:pPr>
      <w:r w:rsidRPr="6D9917C9">
        <w:t>Unlike other workforce programs which are administratively overseen by TWC and contracted to the 28 Boards, TWC provides both administrative oversight and employs the ES staff providing direct services.  TWC provides operating grants to each of the 28 Boards to support the ES staff in their workforce area.</w:t>
      </w:r>
    </w:p>
    <w:p w14:paraId="2801C262" w14:textId="77777777" w:rsidR="006420CB" w:rsidRDefault="006420CB" w:rsidP="00AC2E12">
      <w:pPr>
        <w:pStyle w:val="BodyText"/>
        <w:rPr>
          <w:rFonts w:cstheme="minorBidi"/>
        </w:rPr>
      </w:pPr>
      <w:r>
        <w:lastRenderedPageBreak/>
        <w:t xml:space="preserve">The U.S. </w:t>
      </w:r>
      <w:r w:rsidRPr="000F25DC">
        <w:t>Department of Labor</w:t>
      </w:r>
      <w:r>
        <w:t>’s</w:t>
      </w:r>
      <w:r w:rsidRPr="000F25DC">
        <w:t xml:space="preserve"> Employment and Training Administration (</w:t>
      </w:r>
      <w:r w:rsidRPr="0051250F">
        <w:t>DOL</w:t>
      </w:r>
      <w:r w:rsidRPr="000F25DC">
        <w:t>ETA)</w:t>
      </w:r>
      <w:r>
        <w:t xml:space="preserve"> </w:t>
      </w:r>
      <w:r w:rsidRPr="00AC63E8">
        <w:t xml:space="preserve">mandates that ES staff be </w:t>
      </w:r>
      <w:r>
        <w:t>employed by the state, known as State ES Merit Staff</w:t>
      </w:r>
      <w:r w:rsidRPr="00AC63E8">
        <w:t>. Under the Texas Model, responsibility for the day-to</w:t>
      </w:r>
      <w:r>
        <w:t>-</w:t>
      </w:r>
      <w:r w:rsidRPr="00AC63E8">
        <w:t xml:space="preserve">day direction and oversight of ES </w:t>
      </w:r>
      <w:r>
        <w:t>Merit S</w:t>
      </w:r>
      <w:r w:rsidRPr="00AC63E8">
        <w:t xml:space="preserve">taff </w:t>
      </w:r>
      <w:r>
        <w:t xml:space="preserve">is </w:t>
      </w:r>
      <w:r w:rsidRPr="00AC63E8">
        <w:t xml:space="preserve">assigned to the Boards and their workforce service </w:t>
      </w:r>
      <w:r>
        <w:t>c</w:t>
      </w:r>
      <w:r w:rsidRPr="00AC63E8">
        <w:t>ontractors</w:t>
      </w:r>
      <w:r>
        <w:t>, who manage the service delivery in local Workforce Solutions Offices.</w:t>
      </w:r>
    </w:p>
    <w:p w14:paraId="7A38C3F3" w14:textId="77777777" w:rsidR="006420CB" w:rsidRDefault="006420CB" w:rsidP="00AC2E12">
      <w:pPr>
        <w:pStyle w:val="BodyText"/>
        <w:rPr>
          <w:rFonts w:cstheme="minorHAnsi"/>
          <w:kern w:val="2"/>
          <w14:ligatures w14:val="standardContextual"/>
        </w:rPr>
      </w:pPr>
      <w:r w:rsidRPr="71B34C99">
        <w:t xml:space="preserve">TWC coordinates with </w:t>
      </w:r>
      <w:r>
        <w:t xml:space="preserve">the </w:t>
      </w:r>
      <w:r w:rsidRPr="71B34C99">
        <w:t xml:space="preserve">Boards to administer </w:t>
      </w:r>
      <w:r>
        <w:t>ES</w:t>
      </w:r>
      <w:r w:rsidRPr="71B34C99">
        <w:t xml:space="preserve"> services. This approach helps to reduce inherent duplication that may occur when such services are operated independently. Additionally, all customers are maintained and tracked in WorkInTexas.com, TWC’s combined labor exchange and case management system, which helps to ensure that service provision is coordinated, and duplication is avoided. All Texans, or individuals interested in employment within the state, can access WorkInTexas.com (with or without staff assistance) to search open jobs, access regional and industry-based labor market trends, take various assessments, and learn about other available state and federal programs.</w:t>
      </w:r>
      <w:r>
        <w:t xml:space="preserve"> </w:t>
      </w:r>
    </w:p>
    <w:p w14:paraId="6EC236FD" w14:textId="77777777" w:rsidR="006420CB" w:rsidRPr="000F25DC" w:rsidRDefault="006420CB" w:rsidP="00AC2E12">
      <w:pPr>
        <w:pStyle w:val="BodyText"/>
      </w:pPr>
      <w:r>
        <w:t xml:space="preserve">At the state level, </w:t>
      </w:r>
      <w:r w:rsidRPr="5BF12C01">
        <w:rPr>
          <w:rFonts w:cstheme="minorBidi"/>
        </w:rPr>
        <w:t>T</w:t>
      </w:r>
      <w:r w:rsidRPr="000F25DC">
        <w:t>WC administers the ES program through:</w:t>
      </w:r>
    </w:p>
    <w:p w14:paraId="2BC46F8A" w14:textId="77777777" w:rsidR="006420CB" w:rsidRPr="000F25DC" w:rsidRDefault="006420CB" w:rsidP="00C64851">
      <w:pPr>
        <w:pStyle w:val="BodyText"/>
        <w:numPr>
          <w:ilvl w:val="0"/>
          <w:numId w:val="808"/>
        </w:numPr>
      </w:pPr>
      <w:r>
        <w:t>P</w:t>
      </w:r>
      <w:r w:rsidRPr="000F25DC">
        <w:t>olicy development</w:t>
      </w:r>
    </w:p>
    <w:p w14:paraId="29F7BCB4" w14:textId="77777777" w:rsidR="006420CB" w:rsidRPr="000F25DC" w:rsidRDefault="006420CB" w:rsidP="00C64851">
      <w:pPr>
        <w:pStyle w:val="BodyText"/>
        <w:numPr>
          <w:ilvl w:val="0"/>
          <w:numId w:val="808"/>
        </w:numPr>
      </w:pPr>
      <w:r>
        <w:t>G</w:t>
      </w:r>
      <w:r w:rsidRPr="000F25DC">
        <w:t>uidance on state and federal statutes and regulations</w:t>
      </w:r>
      <w:r>
        <w:t xml:space="preserve"> through </w:t>
      </w:r>
      <w:hyperlink r:id="rId128" w:history="1">
        <w:r w:rsidRPr="005949E6">
          <w:rPr>
            <w:rStyle w:val="Hyperlink"/>
            <w:rFonts w:asciiTheme="minorHAnsi" w:hAnsiTheme="minorHAnsi" w:cstheme="minorHAnsi"/>
            <w:kern w:val="2"/>
            <w:sz w:val="24"/>
            <w:szCs w:val="24"/>
            <w14:ligatures w14:val="standardContextual"/>
          </w:rPr>
          <w:t>Workforce Development Letters</w:t>
        </w:r>
      </w:hyperlink>
      <w:r>
        <w:t xml:space="preserve"> and </w:t>
      </w:r>
      <w:hyperlink r:id="rId129" w:history="1">
        <w:r w:rsidRPr="002176E7">
          <w:rPr>
            <w:rStyle w:val="Hyperlink"/>
            <w:rFonts w:asciiTheme="minorHAnsi" w:hAnsiTheme="minorHAnsi" w:cstheme="minorHAnsi"/>
            <w:kern w:val="2"/>
            <w:sz w:val="24"/>
            <w:szCs w:val="24"/>
            <w14:ligatures w14:val="standardContextual"/>
          </w:rPr>
          <w:t>Program Guides</w:t>
        </w:r>
      </w:hyperlink>
    </w:p>
    <w:p w14:paraId="200F0861" w14:textId="77777777" w:rsidR="006420CB" w:rsidRPr="000F25DC" w:rsidRDefault="006420CB" w:rsidP="00C64851">
      <w:pPr>
        <w:pStyle w:val="BodyText"/>
        <w:numPr>
          <w:ilvl w:val="0"/>
          <w:numId w:val="808"/>
        </w:numPr>
      </w:pPr>
      <w:r>
        <w:t>P</w:t>
      </w:r>
      <w:r w:rsidRPr="000F25DC">
        <w:t>roviding technical assistance</w:t>
      </w:r>
    </w:p>
    <w:p w14:paraId="7BC1338C" w14:textId="77777777" w:rsidR="006420CB" w:rsidRPr="000F25DC" w:rsidRDefault="006420CB" w:rsidP="00C64851">
      <w:pPr>
        <w:pStyle w:val="BodyText"/>
        <w:numPr>
          <w:ilvl w:val="0"/>
          <w:numId w:val="808"/>
        </w:numPr>
      </w:pPr>
      <w:r>
        <w:t>A</w:t>
      </w:r>
      <w:r w:rsidRPr="000F25DC">
        <w:t>llocating operating funds to Boards</w:t>
      </w:r>
    </w:p>
    <w:p w14:paraId="3DE3788C" w14:textId="77777777" w:rsidR="006420CB" w:rsidRPr="000F25DC" w:rsidRDefault="006420CB" w:rsidP="00C64851">
      <w:pPr>
        <w:pStyle w:val="BodyText"/>
        <w:numPr>
          <w:ilvl w:val="0"/>
          <w:numId w:val="808"/>
        </w:numPr>
      </w:pPr>
      <w:r>
        <w:t>E</w:t>
      </w:r>
      <w:r w:rsidRPr="000F25DC">
        <w:t>stablishing local performance targets</w:t>
      </w:r>
    </w:p>
    <w:p w14:paraId="097CF353" w14:textId="77777777" w:rsidR="006420CB" w:rsidRPr="000F25DC" w:rsidDel="00751854" w:rsidRDefault="006420CB" w:rsidP="00AC2E12">
      <w:pPr>
        <w:pStyle w:val="BodyText"/>
        <w:rPr>
          <w:rFonts w:asciiTheme="minorHAnsi" w:hAnsiTheme="minorHAnsi" w:cstheme="minorHAnsi"/>
        </w:rPr>
      </w:pPr>
      <w:r>
        <w:t xml:space="preserve">More information is available online, </w:t>
      </w:r>
      <w:hyperlink r:id="rId130" w:history="1">
        <w:r w:rsidRPr="00F63106">
          <w:rPr>
            <w:rStyle w:val="Hyperlink"/>
            <w:rFonts w:asciiTheme="minorHAnsi" w:hAnsiTheme="minorHAnsi" w:cstheme="minorHAnsi"/>
            <w:kern w:val="2"/>
            <w:sz w:val="24"/>
            <w:szCs w:val="24"/>
            <w14:ligatures w14:val="standardContextual"/>
          </w:rPr>
          <w:t>Employment Service Program</w:t>
        </w:r>
      </w:hyperlink>
      <w:r>
        <w:t>.</w:t>
      </w:r>
      <w:r w:rsidRPr="000F25DC" w:rsidDel="00751854">
        <w:rPr>
          <w:rFonts w:asciiTheme="minorHAnsi" w:hAnsiTheme="minorHAnsi" w:cstheme="minorHAnsi"/>
        </w:rPr>
        <w:t xml:space="preserve"> </w:t>
      </w:r>
      <w:hyperlink r:id="rId131" w:history="1">
        <w:r>
          <w:rPr>
            <w:rStyle w:val="Hyperlink"/>
          </w:rPr>
          <w:t>Employment Service Guide</w:t>
        </w:r>
      </w:hyperlink>
      <w:r>
        <w:t xml:space="preserve"> provides information regarding program and administration.</w:t>
      </w:r>
    </w:p>
    <w:p w14:paraId="198F7C2A" w14:textId="77777777" w:rsidR="006420CB" w:rsidRPr="000F25DC" w:rsidRDefault="006420CB" w:rsidP="00AC2E12">
      <w:pPr>
        <w:pStyle w:val="BodyText3"/>
        <w:ind w:left="720" w:hanging="720"/>
      </w:pPr>
      <w:r>
        <w:t>C.</w:t>
      </w:r>
      <w:r>
        <w:tab/>
      </w:r>
      <w:r w:rsidRPr="000F25DC">
        <w:t>What information does the agency collect/use to assess the effectiveness and efficiency of this division or program? If applicable, briefly note any LBB performance measures (from Section</w:t>
      </w:r>
      <w:r w:rsidRPr="000F25DC">
        <w:rPr>
          <w:spacing w:val="-11"/>
        </w:rPr>
        <w:t xml:space="preserve"> </w:t>
      </w:r>
      <w:r w:rsidRPr="000F25DC">
        <w:t>II,</w:t>
      </w:r>
      <w:r w:rsidRPr="000F25DC">
        <w:rPr>
          <w:spacing w:val="-12"/>
        </w:rPr>
        <w:t xml:space="preserve"> </w:t>
      </w:r>
      <w:proofErr w:type="gramStart"/>
      <w:r w:rsidRPr="000F25DC">
        <w:t>Exhibit</w:t>
      </w:r>
      <w:proofErr w:type="gramEnd"/>
      <w:r w:rsidRPr="000F25DC">
        <w:rPr>
          <w:spacing w:val="-14"/>
        </w:rPr>
        <w:t xml:space="preserve"> </w:t>
      </w:r>
      <w:r w:rsidRPr="000F25DC">
        <w:t>2)</w:t>
      </w:r>
      <w:r w:rsidRPr="000F25DC">
        <w:rPr>
          <w:spacing w:val="-12"/>
        </w:rPr>
        <w:t xml:space="preserve"> </w:t>
      </w:r>
      <w:r w:rsidRPr="000F25DC">
        <w:t>but</w:t>
      </w:r>
      <w:r w:rsidRPr="000F25DC">
        <w:rPr>
          <w:spacing w:val="-14"/>
        </w:rPr>
        <w:t xml:space="preserve"> </w:t>
      </w:r>
      <w:r w:rsidRPr="000F25DC">
        <w:t>also</w:t>
      </w:r>
      <w:r w:rsidRPr="000F25DC">
        <w:rPr>
          <w:spacing w:val="-11"/>
        </w:rPr>
        <w:t xml:space="preserve"> </w:t>
      </w:r>
      <w:r w:rsidRPr="000F25DC">
        <w:t>provide</w:t>
      </w:r>
      <w:r w:rsidRPr="000F25DC">
        <w:rPr>
          <w:spacing w:val="-13"/>
        </w:rPr>
        <w:t xml:space="preserve"> </w:t>
      </w:r>
      <w:r w:rsidRPr="000F25DC">
        <w:t>any</w:t>
      </w:r>
      <w:r w:rsidRPr="000F25DC">
        <w:rPr>
          <w:spacing w:val="-13"/>
        </w:rPr>
        <w:t xml:space="preserve"> </w:t>
      </w:r>
      <w:r w:rsidRPr="000F25DC">
        <w:t>other</w:t>
      </w:r>
      <w:r w:rsidRPr="000F25DC">
        <w:rPr>
          <w:spacing w:val="-11"/>
        </w:rPr>
        <w:t xml:space="preserve"> </w:t>
      </w:r>
      <w:r w:rsidRPr="000F25DC">
        <w:t>metrics</w:t>
      </w:r>
      <w:r w:rsidRPr="000F25DC">
        <w:rPr>
          <w:spacing w:val="-14"/>
        </w:rPr>
        <w:t xml:space="preserve"> </w:t>
      </w:r>
      <w:r w:rsidRPr="000F25DC">
        <w:t>of</w:t>
      </w:r>
      <w:r w:rsidRPr="000F25DC">
        <w:rPr>
          <w:spacing w:val="-13"/>
        </w:rPr>
        <w:t xml:space="preserve"> </w:t>
      </w:r>
      <w:r w:rsidRPr="000F25DC">
        <w:t>program</w:t>
      </w:r>
      <w:r w:rsidRPr="000F25DC">
        <w:rPr>
          <w:spacing w:val="-13"/>
        </w:rPr>
        <w:t xml:space="preserve"> </w:t>
      </w:r>
      <w:r w:rsidRPr="000F25DC">
        <w:t>effectiveness</w:t>
      </w:r>
      <w:r w:rsidRPr="000F25DC">
        <w:rPr>
          <w:spacing w:val="-12"/>
        </w:rPr>
        <w:t xml:space="preserve"> </w:t>
      </w:r>
      <w:r w:rsidRPr="000F25DC">
        <w:t>and</w:t>
      </w:r>
      <w:r w:rsidRPr="000F25DC">
        <w:rPr>
          <w:spacing w:val="-11"/>
        </w:rPr>
        <w:t xml:space="preserve"> </w:t>
      </w:r>
      <w:r w:rsidRPr="000F25DC">
        <w:t>efficiency. Please</w:t>
      </w:r>
      <w:r w:rsidRPr="000F25DC">
        <w:rPr>
          <w:spacing w:val="-7"/>
        </w:rPr>
        <w:t xml:space="preserve"> </w:t>
      </w:r>
      <w:r w:rsidRPr="000F25DC">
        <w:t>provide</w:t>
      </w:r>
      <w:r w:rsidRPr="000F25DC">
        <w:rPr>
          <w:spacing w:val="-7"/>
        </w:rPr>
        <w:t xml:space="preserve"> </w:t>
      </w:r>
      <w:r w:rsidRPr="000F25DC">
        <w:t>the</w:t>
      </w:r>
      <w:r w:rsidRPr="000F25DC">
        <w:rPr>
          <w:spacing w:val="-7"/>
        </w:rPr>
        <w:t xml:space="preserve"> </w:t>
      </w:r>
      <w:r w:rsidRPr="000F25DC">
        <w:t>data</w:t>
      </w:r>
      <w:r w:rsidRPr="000F25DC">
        <w:rPr>
          <w:spacing w:val="-10"/>
        </w:rPr>
        <w:t xml:space="preserve"> </w:t>
      </w:r>
      <w:r w:rsidRPr="000F25DC">
        <w:t>source</w:t>
      </w:r>
      <w:r w:rsidRPr="000F25DC">
        <w:rPr>
          <w:spacing w:val="-7"/>
        </w:rPr>
        <w:t xml:space="preserve"> </w:t>
      </w:r>
      <w:r w:rsidRPr="000F25DC">
        <w:t>and/or</w:t>
      </w:r>
      <w:r w:rsidRPr="000F25DC">
        <w:rPr>
          <w:spacing w:val="-5"/>
        </w:rPr>
        <w:t xml:space="preserve"> </w:t>
      </w:r>
      <w:r w:rsidRPr="000F25DC">
        <w:t>methodology</w:t>
      </w:r>
      <w:r w:rsidRPr="000F25DC">
        <w:rPr>
          <w:spacing w:val="-7"/>
        </w:rPr>
        <w:t xml:space="preserve"> </w:t>
      </w:r>
      <w:r w:rsidRPr="000F25DC">
        <w:t>behind</w:t>
      </w:r>
      <w:r w:rsidRPr="000F25DC">
        <w:rPr>
          <w:spacing w:val="-6"/>
        </w:rPr>
        <w:t xml:space="preserve"> </w:t>
      </w:r>
      <w:r w:rsidRPr="000F25DC">
        <w:t>how</w:t>
      </w:r>
      <w:r w:rsidRPr="000F25DC">
        <w:rPr>
          <w:spacing w:val="-5"/>
        </w:rPr>
        <w:t xml:space="preserve"> </w:t>
      </w:r>
      <w:r w:rsidRPr="000F25DC">
        <w:t>each</w:t>
      </w:r>
      <w:r w:rsidRPr="000F25DC">
        <w:rPr>
          <w:spacing w:val="-6"/>
        </w:rPr>
        <w:t xml:space="preserve"> </w:t>
      </w:r>
      <w:r w:rsidRPr="000F25DC">
        <w:t>statistic</w:t>
      </w:r>
      <w:r w:rsidRPr="000F25DC">
        <w:rPr>
          <w:spacing w:val="-6"/>
        </w:rPr>
        <w:t xml:space="preserve"> </w:t>
      </w:r>
      <w:r w:rsidRPr="000F25DC">
        <w:t>or</w:t>
      </w:r>
      <w:r w:rsidRPr="000F25DC">
        <w:rPr>
          <w:spacing w:val="-8"/>
        </w:rPr>
        <w:t xml:space="preserve"> </w:t>
      </w:r>
      <w:r w:rsidRPr="000F25DC">
        <w:t>performance measure was determined. If you do not track measures of effectiveness for a given division, department, or program, please explain why.</w:t>
      </w:r>
    </w:p>
    <w:p w14:paraId="48A3ECB3" w14:textId="77777777" w:rsidR="006420CB" w:rsidRDefault="006420CB" w:rsidP="0043004A">
      <w:pPr>
        <w:pStyle w:val="BodyText"/>
      </w:pPr>
      <w:r w:rsidRPr="0BBD25AA">
        <w:t xml:space="preserve">ES program outcomes, efficiencies, and outputs are reported to state and federal oversight entities.  These measures include those that are reported to the TWIC and the </w:t>
      </w:r>
      <w:r>
        <w:t>LBB</w:t>
      </w:r>
      <w:r w:rsidRPr="0BBD25AA">
        <w:t xml:space="preserve"> as part of the formal measures required by Texas Government Code. The three formal measures for the program include Customers Served, Entered Employment, and Employment Retention. Less formal measures are part Texas’ Employers System Goal </w:t>
      </w:r>
      <w:r>
        <w:t xml:space="preserve">and </w:t>
      </w:r>
      <w:r w:rsidRPr="0BBD25AA">
        <w:t xml:space="preserve">are intended to accelerate the delivery of relevant education and training programs. Goals included in </w:t>
      </w:r>
      <w:r w:rsidRPr="0BBD25AA">
        <w:lastRenderedPageBreak/>
        <w:t>the less formal measures are not directly dependent on employment service delivery or the ES program</w:t>
      </w:r>
      <w:r>
        <w:t xml:space="preserve">.  Instead, </w:t>
      </w:r>
      <w:r w:rsidRPr="0BBD25AA">
        <w:t>the measures serve as a system goal to strategically aid in meeting the demand of employers, which are ES customers</w:t>
      </w:r>
      <w:r>
        <w:t>.</w:t>
      </w:r>
    </w:p>
    <w:p w14:paraId="53BC6831" w14:textId="77777777" w:rsidR="006420CB" w:rsidRDefault="006420CB" w:rsidP="0043004A">
      <w:pPr>
        <w:pStyle w:val="BodyText"/>
      </w:pPr>
      <w:r w:rsidRPr="0BBD25AA">
        <w:t xml:space="preserve">Formal and less formal measures and outcomes are included in TWIC’s </w:t>
      </w:r>
      <w:hyperlink r:id="rId132" w:history="1">
        <w:r w:rsidRPr="00932F37">
          <w:rPr>
            <w:rStyle w:val="Hyperlink"/>
            <w:rFonts w:asciiTheme="minorHAnsi" w:hAnsiTheme="minorHAnsi" w:cstheme="minorBidi"/>
            <w:kern w:val="2"/>
            <w:sz w:val="24"/>
            <w:szCs w:val="24"/>
            <w14:ligatures w14:val="standardContextual"/>
          </w:rPr>
          <w:t>Evaluation 2024 Accomplishments and Outcomes of the Texas Workforce System</w:t>
        </w:r>
      </w:hyperlink>
      <w:r>
        <w:t>.</w:t>
      </w:r>
    </w:p>
    <w:p w14:paraId="7DF5FF7B" w14:textId="77777777" w:rsidR="006420CB" w:rsidRPr="001E44C8" w:rsidRDefault="006420CB" w:rsidP="0043004A">
      <w:pPr>
        <w:pStyle w:val="BodyText"/>
        <w:rPr>
          <w:spacing w:val="-2"/>
        </w:rPr>
      </w:pPr>
      <w:r w:rsidRPr="001E44C8">
        <w:t xml:space="preserve">The LBB has established the </w:t>
      </w:r>
      <w:r>
        <w:t xml:space="preserve">following </w:t>
      </w:r>
      <w:r w:rsidRPr="001E44C8">
        <w:t xml:space="preserve">four measures for </w:t>
      </w:r>
      <w:r>
        <w:t xml:space="preserve">the </w:t>
      </w:r>
      <w:r w:rsidRPr="001E44C8">
        <w:t>Employment Services</w:t>
      </w:r>
      <w:r>
        <w:t xml:space="preserve"> program.</w:t>
      </w:r>
      <w:r w:rsidRPr="00282B4B">
        <w:t xml:space="preserve"> </w:t>
      </w:r>
      <w:r w:rsidRPr="00D06BAD">
        <w:t>Refer</w:t>
      </w:r>
      <w:r w:rsidRPr="001E44C8">
        <w:rPr>
          <w:spacing w:val="-6"/>
        </w:rPr>
        <w:t xml:space="preserve"> </w:t>
      </w:r>
      <w:r w:rsidRPr="00D06BAD">
        <w:t>to</w:t>
      </w:r>
      <w:r w:rsidRPr="001E44C8">
        <w:rPr>
          <w:spacing w:val="-4"/>
        </w:rPr>
        <w:t xml:space="preserve"> </w:t>
      </w:r>
      <w:r w:rsidRPr="00D06BAD">
        <w:t>Section</w:t>
      </w:r>
      <w:r w:rsidRPr="001E44C8">
        <w:rPr>
          <w:spacing w:val="-4"/>
        </w:rPr>
        <w:t xml:space="preserve"> </w:t>
      </w:r>
      <w:r w:rsidRPr="00D06BAD">
        <w:t>II,</w:t>
      </w:r>
      <w:r w:rsidRPr="001E44C8">
        <w:rPr>
          <w:spacing w:val="-4"/>
        </w:rPr>
        <w:t xml:space="preserve"> </w:t>
      </w:r>
      <w:r w:rsidRPr="00D06BAD">
        <w:t>Exhibit</w:t>
      </w:r>
      <w:r w:rsidRPr="001E44C8">
        <w:rPr>
          <w:spacing w:val="-5"/>
        </w:rPr>
        <w:t xml:space="preserve"> </w:t>
      </w:r>
      <w:r w:rsidRPr="00D06BAD">
        <w:t>2</w:t>
      </w:r>
      <w:r w:rsidRPr="001E44C8">
        <w:rPr>
          <w:spacing w:val="-2"/>
        </w:rPr>
        <w:t xml:space="preserve"> </w:t>
      </w:r>
      <w:r w:rsidRPr="00D06BAD">
        <w:t>for</w:t>
      </w:r>
      <w:r w:rsidRPr="001E44C8">
        <w:rPr>
          <w:spacing w:val="-5"/>
        </w:rPr>
        <w:t xml:space="preserve"> </w:t>
      </w:r>
      <w:r w:rsidRPr="00D06BAD">
        <w:t>actual</w:t>
      </w:r>
      <w:r w:rsidRPr="001E44C8">
        <w:rPr>
          <w:spacing w:val="-4"/>
        </w:rPr>
        <w:t xml:space="preserve"> </w:t>
      </w:r>
      <w:r w:rsidRPr="00D06BAD">
        <w:t>program</w:t>
      </w:r>
      <w:r w:rsidRPr="001E44C8">
        <w:rPr>
          <w:spacing w:val="-5"/>
        </w:rPr>
        <w:t xml:space="preserve"> </w:t>
      </w:r>
      <w:r w:rsidRPr="00D06BAD">
        <w:t>performance</w:t>
      </w:r>
      <w:r w:rsidRPr="001E44C8">
        <w:rPr>
          <w:spacing w:val="-2"/>
        </w:rPr>
        <w:t xml:space="preserve"> outcomes.</w:t>
      </w:r>
    </w:p>
    <w:p w14:paraId="61571029" w14:textId="77777777" w:rsidR="006420CB" w:rsidRPr="005E3BA8" w:rsidRDefault="006420CB" w:rsidP="00C64851">
      <w:pPr>
        <w:pStyle w:val="BodyText"/>
        <w:numPr>
          <w:ilvl w:val="0"/>
          <w:numId w:val="809"/>
        </w:numPr>
      </w:pPr>
      <w:r w:rsidRPr="005E3BA8">
        <w:t xml:space="preserve">Avg Cost Per </w:t>
      </w:r>
      <w:r w:rsidRPr="001E44C8">
        <w:t>Participant</w:t>
      </w:r>
      <w:r w:rsidRPr="005E3BA8">
        <w:t xml:space="preserve"> Served - Employment Services</w:t>
      </w:r>
    </w:p>
    <w:p w14:paraId="6413E61C" w14:textId="77777777" w:rsidR="006420CB" w:rsidRPr="005E3BA8" w:rsidRDefault="006420CB" w:rsidP="00C64851">
      <w:pPr>
        <w:pStyle w:val="BodyText"/>
        <w:numPr>
          <w:ilvl w:val="0"/>
          <w:numId w:val="809"/>
        </w:numPr>
      </w:pPr>
      <w:r w:rsidRPr="005E3BA8">
        <w:t xml:space="preserve">Median Earnings Q2 </w:t>
      </w:r>
      <w:r>
        <w:t>Post Exit</w:t>
      </w:r>
      <w:r w:rsidRPr="005E3BA8">
        <w:t xml:space="preserve"> – Employment Services</w:t>
      </w:r>
    </w:p>
    <w:p w14:paraId="6A6FAB9E" w14:textId="77777777" w:rsidR="006420CB" w:rsidRPr="005E3BA8" w:rsidRDefault="006420CB" w:rsidP="00C64851">
      <w:pPr>
        <w:pStyle w:val="BodyText"/>
        <w:numPr>
          <w:ilvl w:val="0"/>
          <w:numId w:val="809"/>
        </w:numPr>
      </w:pPr>
      <w:r w:rsidRPr="005E3BA8">
        <w:t>Employed/Enrolled Q2 Post Exit – Employment Services</w:t>
      </w:r>
    </w:p>
    <w:p w14:paraId="5917B85E" w14:textId="77777777" w:rsidR="006420CB" w:rsidRPr="005E3BA8" w:rsidRDefault="006420CB" w:rsidP="00C64851">
      <w:pPr>
        <w:pStyle w:val="BodyText"/>
        <w:numPr>
          <w:ilvl w:val="0"/>
          <w:numId w:val="809"/>
        </w:numPr>
      </w:pPr>
      <w:r w:rsidRPr="005E3BA8">
        <w:t xml:space="preserve">Employed/Enrolled Q2-Q4 Post Exit – Employment Services </w:t>
      </w:r>
    </w:p>
    <w:p w14:paraId="7E08E488" w14:textId="77777777" w:rsidR="006420CB" w:rsidDel="00282B4B" w:rsidRDefault="006420CB" w:rsidP="00C64851">
      <w:pPr>
        <w:pStyle w:val="BodyText"/>
        <w:numPr>
          <w:ilvl w:val="0"/>
          <w:numId w:val="809"/>
        </w:numPr>
        <w:rPr>
          <w:spacing w:val="-2"/>
        </w:rPr>
      </w:pPr>
      <w:r w:rsidRPr="005E3BA8" w:rsidDel="00282B4B">
        <w:t>Refer</w:t>
      </w:r>
      <w:r w:rsidRPr="005E3BA8" w:rsidDel="00282B4B">
        <w:rPr>
          <w:spacing w:val="-6"/>
        </w:rPr>
        <w:t xml:space="preserve"> </w:t>
      </w:r>
      <w:r w:rsidRPr="005E3BA8" w:rsidDel="00282B4B">
        <w:t>to</w:t>
      </w:r>
      <w:r w:rsidRPr="005E3BA8" w:rsidDel="00282B4B">
        <w:rPr>
          <w:spacing w:val="-4"/>
        </w:rPr>
        <w:t xml:space="preserve"> </w:t>
      </w:r>
      <w:r w:rsidRPr="005E3BA8" w:rsidDel="00282B4B">
        <w:t>Section</w:t>
      </w:r>
      <w:r w:rsidRPr="005E3BA8" w:rsidDel="00282B4B">
        <w:rPr>
          <w:spacing w:val="-4"/>
        </w:rPr>
        <w:t xml:space="preserve"> </w:t>
      </w:r>
      <w:r w:rsidRPr="005E3BA8" w:rsidDel="00282B4B">
        <w:t>II,</w:t>
      </w:r>
      <w:r w:rsidRPr="005E3BA8" w:rsidDel="00282B4B">
        <w:rPr>
          <w:spacing w:val="-4"/>
        </w:rPr>
        <w:t xml:space="preserve"> </w:t>
      </w:r>
      <w:r w:rsidRPr="005E3BA8" w:rsidDel="00282B4B">
        <w:t>Exhibit</w:t>
      </w:r>
      <w:r w:rsidRPr="005E3BA8" w:rsidDel="00282B4B">
        <w:rPr>
          <w:spacing w:val="-5"/>
        </w:rPr>
        <w:t xml:space="preserve"> </w:t>
      </w:r>
      <w:r w:rsidRPr="005E3BA8" w:rsidDel="00282B4B">
        <w:t>2</w:t>
      </w:r>
      <w:r w:rsidRPr="005E3BA8" w:rsidDel="00282B4B">
        <w:rPr>
          <w:spacing w:val="-2"/>
        </w:rPr>
        <w:t xml:space="preserve"> </w:t>
      </w:r>
      <w:r w:rsidRPr="005E3BA8" w:rsidDel="00282B4B">
        <w:t>for</w:t>
      </w:r>
      <w:r w:rsidRPr="005E3BA8" w:rsidDel="00282B4B">
        <w:rPr>
          <w:spacing w:val="-5"/>
        </w:rPr>
        <w:t xml:space="preserve"> </w:t>
      </w:r>
      <w:r w:rsidRPr="005E3BA8" w:rsidDel="00282B4B">
        <w:t>actual</w:t>
      </w:r>
      <w:r w:rsidRPr="005E3BA8" w:rsidDel="00282B4B">
        <w:rPr>
          <w:spacing w:val="-4"/>
        </w:rPr>
        <w:t xml:space="preserve"> </w:t>
      </w:r>
      <w:r w:rsidRPr="005E3BA8" w:rsidDel="00282B4B">
        <w:t>program</w:t>
      </w:r>
      <w:r w:rsidRPr="005E3BA8" w:rsidDel="00282B4B">
        <w:rPr>
          <w:spacing w:val="-5"/>
        </w:rPr>
        <w:t xml:space="preserve"> </w:t>
      </w:r>
      <w:r w:rsidRPr="005E3BA8" w:rsidDel="00282B4B">
        <w:t>performance</w:t>
      </w:r>
      <w:r w:rsidRPr="005E3BA8" w:rsidDel="00282B4B">
        <w:rPr>
          <w:spacing w:val="-2"/>
        </w:rPr>
        <w:t xml:space="preserve"> outcomes.</w:t>
      </w:r>
    </w:p>
    <w:p w14:paraId="0BEDF3F0" w14:textId="77777777" w:rsidR="006420CB" w:rsidRPr="000F25DC" w:rsidRDefault="006420CB" w:rsidP="0043004A">
      <w:pPr>
        <w:pStyle w:val="BodyText3"/>
        <w:ind w:left="720" w:hanging="720"/>
      </w:pPr>
      <w:r>
        <w:t xml:space="preserve">D. </w:t>
      </w:r>
      <w:r>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rsidRPr="000F25DC">
        <w:t>regarding</w:t>
      </w:r>
      <w:r w:rsidRPr="000F25DC">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0FBD50BB" w14:textId="77777777" w:rsidR="006420CB" w:rsidRPr="000F25DC" w:rsidRDefault="006420CB" w:rsidP="0043004A">
      <w:pPr>
        <w:pStyle w:val="BodyText"/>
      </w:pPr>
      <w:r w:rsidRPr="000F25DC">
        <w:t xml:space="preserve">In 2003, TWC </w:t>
      </w:r>
      <w:r>
        <w:t>significantly changed</w:t>
      </w:r>
      <w:r w:rsidRPr="000F25DC">
        <w:t xml:space="preserve"> </w:t>
      </w:r>
      <w:r>
        <w:t xml:space="preserve">the </w:t>
      </w:r>
      <w:r w:rsidRPr="000F25DC">
        <w:t xml:space="preserve">oversight and responsibility for ES </w:t>
      </w:r>
      <w:r>
        <w:t>M</w:t>
      </w:r>
      <w:r w:rsidRPr="000F25DC">
        <w:t xml:space="preserve">erit </w:t>
      </w:r>
      <w:r>
        <w:t>S</w:t>
      </w:r>
      <w:r w:rsidRPr="000F25DC">
        <w:t xml:space="preserve">taff. Under the “Texas Model” TWC devolved responsibility for the day-to-day direction and oversight of ES staff from the state to the Boards and their workforce service contractors. This was done </w:t>
      </w:r>
      <w:proofErr w:type="gramStart"/>
      <w:r w:rsidRPr="000F25DC">
        <w:t>in an effort to</w:t>
      </w:r>
      <w:proofErr w:type="gramEnd"/>
      <w:r w:rsidRPr="000F25DC">
        <w:t xml:space="preserve"> better support an integrated workforce system. TWC maintain</w:t>
      </w:r>
      <w:r>
        <w:t>ed</w:t>
      </w:r>
      <w:r w:rsidRPr="000F25DC">
        <w:t xml:space="preserve"> the ultimate responsibility for all employment decisions and actions relating to the “Texas Model” staff. Integrated Service Area Managers (ISAMs) </w:t>
      </w:r>
      <w:r>
        <w:t xml:space="preserve">were designated </w:t>
      </w:r>
      <w:r w:rsidRPr="000F25DC">
        <w:t>as the TWC supervisors for “Texas Model” staff. The ISAMs coordinate</w:t>
      </w:r>
      <w:r>
        <w:t>s</w:t>
      </w:r>
      <w:r w:rsidRPr="000F25DC">
        <w:t xml:space="preserve"> all actions relating to “Texas Model” staff with Boards and their contractors.</w:t>
      </w:r>
    </w:p>
    <w:p w14:paraId="541FF22B" w14:textId="77777777" w:rsidR="006420CB" w:rsidRPr="0043004A" w:rsidRDefault="006420CB" w:rsidP="0043004A">
      <w:pPr>
        <w:pStyle w:val="BodyText"/>
      </w:pPr>
      <w:r w:rsidRPr="0043004A">
        <w:t>Effective Feb. 5, 2020, through rulemaking, DOLETA initially removed the requirement that employment services be provided exclusively by state merit staff. In the preamble to the 2020 Final Rule, DOLETA explained its intention to grant states maximum flexibility in staffing arrangements, thereby enabling better alignment of WIOA and ES staffing models. Subsequently, several states received approval to utilize diverse staffing configurations for their ES services, as delineated in their approved WIOA State Plans.</w:t>
      </w:r>
    </w:p>
    <w:p w14:paraId="019CA38A" w14:textId="519CB253" w:rsidR="006420CB" w:rsidRPr="0043004A" w:rsidRDefault="006420CB" w:rsidP="0043004A">
      <w:pPr>
        <w:pStyle w:val="BodyText"/>
      </w:pPr>
      <w:r w:rsidRPr="0043004A">
        <w:t>In 2023, DOLETA reversed course via notice-and-comment rulemaking, reinstating the requirement for states to use state merit staff for ES service delivery. These regulations, titled the Wagner-Peyser Act Staffing Final Rule, were published in the Federal Register on Nov. 24, 2023, and became effective on Jan. 23, 2024.</w:t>
      </w:r>
    </w:p>
    <w:p w14:paraId="705F25F2" w14:textId="77777777" w:rsidR="006420CB" w:rsidRPr="0043004A" w:rsidRDefault="006420CB" w:rsidP="0043004A">
      <w:pPr>
        <w:pStyle w:val="BodyText"/>
      </w:pPr>
      <w:r w:rsidRPr="0043004A">
        <w:lastRenderedPageBreak/>
        <w:t>The Wagner-Peyser Act Staffing Final Rule revised ES regulations to:</w:t>
      </w:r>
    </w:p>
    <w:p w14:paraId="0D3FA72F" w14:textId="77777777" w:rsidR="006420CB" w:rsidRPr="0043004A" w:rsidRDefault="006420CB" w:rsidP="00C64851">
      <w:pPr>
        <w:pStyle w:val="BodyText"/>
        <w:numPr>
          <w:ilvl w:val="0"/>
          <w:numId w:val="810"/>
        </w:numPr>
      </w:pPr>
      <w:r w:rsidRPr="0043004A">
        <w:t>Require the use of ES Merit Staff for the provision of ES services.</w:t>
      </w:r>
    </w:p>
    <w:p w14:paraId="5DFD69B3" w14:textId="77777777" w:rsidR="006420CB" w:rsidRPr="0043004A" w:rsidRDefault="006420CB" w:rsidP="00C64851">
      <w:pPr>
        <w:pStyle w:val="BodyText"/>
        <w:numPr>
          <w:ilvl w:val="0"/>
          <w:numId w:val="810"/>
        </w:numPr>
      </w:pPr>
      <w:r w:rsidRPr="0043004A">
        <w:t>Strengthen services to MSFWs.</w:t>
      </w:r>
    </w:p>
    <w:p w14:paraId="5DCCD7A2" w14:textId="77777777" w:rsidR="006420CB" w:rsidRPr="0043004A" w:rsidRDefault="006420CB" w:rsidP="00C64851">
      <w:pPr>
        <w:pStyle w:val="BodyText"/>
        <w:numPr>
          <w:ilvl w:val="0"/>
          <w:numId w:val="810"/>
        </w:numPr>
      </w:pPr>
      <w:r w:rsidRPr="0043004A">
        <w:t>Enhance protections under the Monitor Advocate System and the ES and Employment-Related Law Complaint System.</w:t>
      </w:r>
    </w:p>
    <w:p w14:paraId="486613C2" w14:textId="77777777" w:rsidR="006420CB" w:rsidRPr="0043004A" w:rsidRDefault="006420CB" w:rsidP="0043004A">
      <w:pPr>
        <w:pStyle w:val="BodyText"/>
      </w:pPr>
      <w:r w:rsidRPr="0043004A">
        <w:t>DOLETA stipulated a 24-month compliance period for the state merit staffing requirements, mandating that states comply with these provisions by Jan. 22, 2026.</w:t>
      </w:r>
    </w:p>
    <w:p w14:paraId="161CBE5B" w14:textId="77777777" w:rsidR="006420CB" w:rsidRPr="0043004A" w:rsidRDefault="006420CB" w:rsidP="0043004A">
      <w:pPr>
        <w:pStyle w:val="BodyText"/>
      </w:pPr>
      <w:r w:rsidRPr="0043004A">
        <w:t xml:space="preserve">On July 1, 2025, DOLETA issued a proposal to rescind the Wagner-Peyser Act Employment Service Staffing Final Rule. This proposed deregulatory action would permit states to adopt the staffing model most efficient for providing the required services within their respective jurisdictions. The public comment period for this proposed rule change concludes on Sept. 2, 2025. TWC is currently planning and evaluating staffing models taking into consideration the proposed changes to the rule. </w:t>
      </w:r>
    </w:p>
    <w:p w14:paraId="34EBB2D2" w14:textId="540A3961" w:rsidR="006420CB" w:rsidRDefault="006420CB" w:rsidP="0043004A">
      <w:pPr>
        <w:pStyle w:val="BodyText"/>
      </w:pPr>
      <w:r w:rsidRPr="000F25DC">
        <w:t xml:space="preserve">TWC will continue to monitor developments regarding the proposed deregulation to determine its next steps for planning and collaboration with </w:t>
      </w:r>
      <w:r>
        <w:t xml:space="preserve">the </w:t>
      </w:r>
      <w:r w:rsidRPr="000F25DC">
        <w:t>Boards, based on the final federal decision and guidance received</w:t>
      </w:r>
      <w:r>
        <w:t xml:space="preserve">.  </w:t>
      </w:r>
    </w:p>
    <w:p w14:paraId="690D2F79" w14:textId="77777777" w:rsidR="006420CB" w:rsidRPr="000F25DC" w:rsidRDefault="006420CB" w:rsidP="0043004A">
      <w:pPr>
        <w:pStyle w:val="BodyText3"/>
        <w:ind w:left="720" w:hanging="720"/>
      </w:pPr>
      <w:r>
        <w:t>E.</w:t>
      </w:r>
      <w:r>
        <w:tab/>
      </w:r>
      <w:r w:rsidRPr="000F25DC">
        <w:t>List any qualifications or eligibility requirements for persons or entities affected by this division or program (e.g., licensees, consumers, and landowners). Provide a statistical breakdown of persons or entities affected.</w:t>
      </w:r>
    </w:p>
    <w:p w14:paraId="591CDE5D" w14:textId="77777777" w:rsidR="006420CB" w:rsidRPr="00B86674" w:rsidRDefault="006420CB" w:rsidP="00B86674">
      <w:pPr>
        <w:pStyle w:val="BodyText"/>
      </w:pPr>
      <w:r w:rsidRPr="00B86674">
        <w:t xml:space="preserve">TWC is responsible for providing ES services to all employers and job seekers that request services. There are no eligibility requirements for ES services.  </w:t>
      </w:r>
    </w:p>
    <w:p w14:paraId="438B77DE" w14:textId="77777777" w:rsidR="006420CB" w:rsidRPr="000F25DC" w:rsidRDefault="006420CB" w:rsidP="0043004A">
      <w:pPr>
        <w:pStyle w:val="BodyText3"/>
        <w:ind w:left="720" w:hanging="720"/>
      </w:pPr>
      <w:r>
        <w:t>F.</w:t>
      </w:r>
      <w:r>
        <w:tab/>
      </w:r>
      <w:r w:rsidRPr="000F25DC">
        <w:t>Describe how the division or program is administered, including a description of key processes involved. If you have existing documentation (e.g., flowcharts, timelines, and other illustrations)</w:t>
      </w:r>
      <w:r w:rsidRPr="000F25DC">
        <w:rPr>
          <w:spacing w:val="-3"/>
        </w:rPr>
        <w:t xml:space="preserve"> </w:t>
      </w:r>
      <w:r w:rsidRPr="000F25DC">
        <w:t>to</w:t>
      </w:r>
      <w:r w:rsidRPr="000F25DC">
        <w:rPr>
          <w:spacing w:val="-2"/>
        </w:rPr>
        <w:t xml:space="preserve"> </w:t>
      </w:r>
      <w:r w:rsidRPr="000F25DC">
        <w:t>describe</w:t>
      </w:r>
      <w:r w:rsidRPr="000F25DC">
        <w:rPr>
          <w:spacing w:val="-6"/>
        </w:rPr>
        <w:t xml:space="preserve"> </w:t>
      </w:r>
      <w:r w:rsidRPr="000F25DC">
        <w:t>agency</w:t>
      </w:r>
      <w:r w:rsidRPr="000F25DC">
        <w:rPr>
          <w:spacing w:val="-3"/>
        </w:rPr>
        <w:t xml:space="preserve"> </w:t>
      </w:r>
      <w:r w:rsidRPr="000F25DC">
        <w:t>policies</w:t>
      </w:r>
      <w:r w:rsidRPr="000F25DC">
        <w:rPr>
          <w:spacing w:val="-2"/>
        </w:rPr>
        <w:t xml:space="preserve"> </w:t>
      </w:r>
      <w:r w:rsidRPr="000F25DC">
        <w:t>and</w:t>
      </w:r>
      <w:r w:rsidRPr="000F25DC">
        <w:rPr>
          <w:spacing w:val="-2"/>
        </w:rPr>
        <w:t xml:space="preserve"> </w:t>
      </w:r>
      <w:r w:rsidRPr="000F25DC">
        <w:t>procedures,</w:t>
      </w:r>
      <w:r w:rsidRPr="000F25DC">
        <w:rPr>
          <w:spacing w:val="-2"/>
        </w:rPr>
        <w:t xml:space="preserve"> </w:t>
      </w:r>
      <w:r w:rsidRPr="000F25DC">
        <w:t>please</w:t>
      </w:r>
      <w:r w:rsidRPr="000F25DC">
        <w:rPr>
          <w:spacing w:val="-3"/>
        </w:rPr>
        <w:t xml:space="preserve"> </w:t>
      </w:r>
      <w:r w:rsidRPr="000F25DC">
        <w:t>include</w:t>
      </w:r>
      <w:r w:rsidRPr="000F25DC">
        <w:rPr>
          <w:spacing w:val="-3"/>
        </w:rPr>
        <w:t xml:space="preserve"> </w:t>
      </w:r>
      <w:r w:rsidRPr="000F25DC">
        <w:t>them</w:t>
      </w:r>
      <w:r w:rsidRPr="000F25DC">
        <w:rPr>
          <w:spacing w:val="-3"/>
        </w:rPr>
        <w:t xml:space="preserve"> </w:t>
      </w:r>
      <w:r w:rsidRPr="000F25DC">
        <w:t>as</w:t>
      </w:r>
      <w:r w:rsidRPr="000F25DC">
        <w:rPr>
          <w:spacing w:val="-2"/>
        </w:rPr>
        <w:t xml:space="preserve"> </w:t>
      </w:r>
      <w:r w:rsidRPr="000F25DC">
        <w:t>attachments. Indicate how field/regional services are used, if applicable.</w:t>
      </w:r>
    </w:p>
    <w:p w14:paraId="1A59D179" w14:textId="77777777" w:rsidR="006420CB" w:rsidRPr="000F25DC" w:rsidRDefault="006420CB" w:rsidP="0043004A">
      <w:pPr>
        <w:pStyle w:val="BodyText"/>
      </w:pPr>
      <w:r w:rsidRPr="000F25DC">
        <w:t xml:space="preserve">TWC provides </w:t>
      </w:r>
      <w:r>
        <w:t xml:space="preserve">annual </w:t>
      </w:r>
      <w:r w:rsidRPr="000F25DC">
        <w:t xml:space="preserve">operating grants to each of the 28 Boards to </w:t>
      </w:r>
      <w:r>
        <w:t xml:space="preserve">administer the ES program locally.  Allocations to the Boards are governed by </w:t>
      </w:r>
      <w:r w:rsidRPr="000F25DC">
        <w:t>Title 40, Texas Administrative Code, Part 20, §800.57.</w:t>
      </w:r>
      <w:r>
        <w:t xml:space="preserve">  The Boards use this funding to support</w:t>
      </w:r>
      <w:r w:rsidRPr="000F25DC">
        <w:t>:</w:t>
      </w:r>
    </w:p>
    <w:p w14:paraId="02C5E009" w14:textId="77777777" w:rsidR="006420CB" w:rsidRPr="000F25DC" w:rsidRDefault="006420CB" w:rsidP="00C64851">
      <w:pPr>
        <w:pStyle w:val="BodyText"/>
        <w:numPr>
          <w:ilvl w:val="0"/>
          <w:numId w:val="811"/>
        </w:numPr>
        <w:rPr>
          <w:rFonts w:cstheme="minorBidi"/>
        </w:rPr>
      </w:pPr>
      <w:r>
        <w:rPr>
          <w:rFonts w:cstheme="minorBidi"/>
        </w:rPr>
        <w:t>T</w:t>
      </w:r>
      <w:r w:rsidRPr="48DC11A9">
        <w:rPr>
          <w:rFonts w:cstheme="minorBidi"/>
        </w:rPr>
        <w:t xml:space="preserve">he ES </w:t>
      </w:r>
      <w:r>
        <w:rPr>
          <w:rFonts w:cstheme="minorBidi"/>
        </w:rPr>
        <w:t>Merit S</w:t>
      </w:r>
      <w:r w:rsidRPr="48DC11A9">
        <w:rPr>
          <w:rFonts w:cstheme="minorBidi"/>
        </w:rPr>
        <w:t>taff in their workforce area</w:t>
      </w:r>
      <w:r>
        <w:rPr>
          <w:rFonts w:cstheme="minorBidi"/>
        </w:rPr>
        <w:t>.</w:t>
      </w:r>
    </w:p>
    <w:p w14:paraId="7C305AE9" w14:textId="77777777" w:rsidR="006420CB" w:rsidRPr="000F25DC" w:rsidRDefault="006420CB" w:rsidP="00C64851">
      <w:pPr>
        <w:pStyle w:val="BodyText"/>
        <w:numPr>
          <w:ilvl w:val="0"/>
          <w:numId w:val="811"/>
        </w:numPr>
        <w:rPr>
          <w:rFonts w:cstheme="minorBidi"/>
        </w:rPr>
      </w:pPr>
      <w:r>
        <w:rPr>
          <w:rFonts w:cstheme="minorBidi"/>
        </w:rPr>
        <w:t>T</w:t>
      </w:r>
      <w:r w:rsidRPr="72B26446">
        <w:rPr>
          <w:rFonts w:cstheme="minorBidi"/>
        </w:rPr>
        <w:t>he operation of the one-stop service delivery system, which includes physical Workforce Solutions Offices and services provided remotely.</w:t>
      </w:r>
    </w:p>
    <w:p w14:paraId="661C8BD7" w14:textId="77777777" w:rsidR="006420CB" w:rsidRPr="000F25DC" w:rsidRDefault="006420CB" w:rsidP="0043004A">
      <w:pPr>
        <w:pStyle w:val="BodyText"/>
        <w:rPr>
          <w:rFonts w:cstheme="minorBidi"/>
        </w:rPr>
      </w:pPr>
      <w:r>
        <w:lastRenderedPageBreak/>
        <w:t xml:space="preserve">In addition to the Board operating grants, the Agency Board Agreement (ABA) </w:t>
      </w:r>
      <w:r w:rsidRPr="72B26446">
        <w:rPr>
          <w:rFonts w:cstheme="minorBidi"/>
        </w:rPr>
        <w:t>establishes the working relationship between TWC and each Board and includes the goals, responsibilities, and obligations of the parties in respect to the administration of the ES program, including staff and service delivery.</w:t>
      </w:r>
    </w:p>
    <w:p w14:paraId="20045B3E" w14:textId="77777777" w:rsidR="006420CB" w:rsidRDefault="006420CB" w:rsidP="00E51A5B">
      <w:pPr>
        <w:pStyle w:val="BodyText"/>
      </w:pPr>
      <w:r>
        <w:t xml:space="preserve">TWC’s team of six </w:t>
      </w:r>
      <w:r w:rsidRPr="000F25DC">
        <w:t>ISAM</w:t>
      </w:r>
      <w:r>
        <w:t>s</w:t>
      </w:r>
      <w:r w:rsidRPr="000F25DC">
        <w:t xml:space="preserve"> ensure the effective operation of </w:t>
      </w:r>
      <w:r>
        <w:t>ES</w:t>
      </w:r>
      <w:r w:rsidRPr="000F25DC">
        <w:t xml:space="preserve"> </w:t>
      </w:r>
      <w:r>
        <w:t>Merit S</w:t>
      </w:r>
      <w:r w:rsidRPr="000F25DC">
        <w:t xml:space="preserve">taff and Wagner-Peyser activities </w:t>
      </w:r>
      <w:r>
        <w:t xml:space="preserve">at the local level </w:t>
      </w:r>
      <w:r w:rsidRPr="000F25DC">
        <w:t xml:space="preserve">by providing technical assistance to </w:t>
      </w:r>
      <w:r>
        <w:t>Boards</w:t>
      </w:r>
      <w:r w:rsidRPr="000F25DC">
        <w:t xml:space="preserve">. </w:t>
      </w:r>
      <w:r>
        <w:t>C</w:t>
      </w:r>
      <w:r w:rsidRPr="000F25DC">
        <w:t>ollaborating with</w:t>
      </w:r>
      <w:r>
        <w:t xml:space="preserve"> the</w:t>
      </w:r>
      <w:r w:rsidRPr="000F25DC">
        <w:t xml:space="preserve"> Boards, ISAMs oversee personnel actions for 439 </w:t>
      </w:r>
      <w:r>
        <w:t>ES</w:t>
      </w:r>
      <w:r w:rsidRPr="000F25DC">
        <w:t xml:space="preserve"> Merit </w:t>
      </w:r>
      <w:r>
        <w:t>S</w:t>
      </w:r>
      <w:r w:rsidRPr="000F25DC">
        <w:t xml:space="preserve">taff across </w:t>
      </w:r>
      <w:r>
        <w:t>170</w:t>
      </w:r>
      <w:r w:rsidRPr="000F25DC">
        <w:t xml:space="preserve"> Workforce Solutions </w:t>
      </w:r>
      <w:r>
        <w:t>O</w:t>
      </w:r>
      <w:r w:rsidRPr="000F25DC">
        <w:t xml:space="preserve">ffices, fostering collaboration and excellence in service delivery to support an integrated workforce system. </w:t>
      </w:r>
    </w:p>
    <w:p w14:paraId="77A2F049" w14:textId="77777777" w:rsidR="006420CB" w:rsidRDefault="006420CB" w:rsidP="00E51A5B">
      <w:pPr>
        <w:pStyle w:val="BodyText"/>
      </w:pPr>
      <w:r>
        <w:t>ES Merit Staff</w:t>
      </w:r>
      <w:r w:rsidRPr="00727018">
        <w:t xml:space="preserve"> located in the Workforce Solutions Offices provide services to all customers, including the provision of specialized services to </w:t>
      </w:r>
      <w:r>
        <w:t>MSFWs,</w:t>
      </w:r>
      <w:r w:rsidRPr="00727018">
        <w:t xml:space="preserve"> veterans, </w:t>
      </w:r>
      <w:r>
        <w:t xml:space="preserve">and </w:t>
      </w:r>
      <w:r w:rsidRPr="00727018">
        <w:t xml:space="preserve">unemployment </w:t>
      </w:r>
      <w:r>
        <w:t xml:space="preserve">claimants. </w:t>
      </w:r>
      <w:r w:rsidRPr="00727018">
        <w:t xml:space="preserve"> </w:t>
      </w:r>
      <w:r>
        <w:t xml:space="preserve">ES Merit Staff </w:t>
      </w:r>
      <w:r w:rsidRPr="00727018">
        <w:t xml:space="preserve">provide comprehensive recruiting, job search, and related services to businesses and job seekers to connect employers seeking workers and individuals seeking employment. ES </w:t>
      </w:r>
      <w:r>
        <w:t xml:space="preserve">Merit Staff </w:t>
      </w:r>
      <w:r w:rsidRPr="00727018">
        <w:t>coordinate job openings between states and administers UI work test to verify that individuals receiving UI benefits are registered for work and are actively seeking employment</w:t>
      </w:r>
    </w:p>
    <w:p w14:paraId="4B06660A" w14:textId="77777777" w:rsidR="006420CB" w:rsidRPr="000F25DC" w:rsidRDefault="006420CB" w:rsidP="00E51A5B">
      <w:pPr>
        <w:pStyle w:val="BodyText"/>
        <w:rPr>
          <w:rFonts w:asciiTheme="minorHAnsi" w:hAnsiTheme="minorHAnsi" w:cstheme="minorBidi"/>
        </w:rPr>
      </w:pPr>
      <w:r w:rsidRPr="000F25DC">
        <w:rPr>
          <w:color w:val="000000"/>
          <w:shd w:val="clear" w:color="auto" w:fill="FFFFFF"/>
        </w:rPr>
        <w:t xml:space="preserve">Additional information about the program and the administration </w:t>
      </w:r>
      <w:r>
        <w:rPr>
          <w:color w:val="000000"/>
          <w:shd w:val="clear" w:color="auto" w:fill="FFFFFF"/>
        </w:rPr>
        <w:t>is available online,</w:t>
      </w:r>
      <w:r w:rsidRPr="48DC11A9">
        <w:rPr>
          <w:rFonts w:asciiTheme="minorHAnsi" w:hAnsiTheme="minorHAnsi" w:cstheme="minorBidi"/>
        </w:rPr>
        <w:t xml:space="preserve"> </w:t>
      </w:r>
      <w:hyperlink r:id="rId133" w:history="1">
        <w:r>
          <w:rPr>
            <w:rStyle w:val="Hyperlink"/>
            <w:rFonts w:asciiTheme="minorHAnsi" w:hAnsiTheme="minorHAnsi" w:cstheme="minorBidi"/>
          </w:rPr>
          <w:t>Employment Services Program</w:t>
        </w:r>
      </w:hyperlink>
      <w:r>
        <w:t>.</w:t>
      </w:r>
    </w:p>
    <w:p w14:paraId="4C60B8CF" w14:textId="77777777" w:rsidR="006420CB" w:rsidRPr="00555A78" w:rsidRDefault="006420CB" w:rsidP="00E51A5B">
      <w:pPr>
        <w:pStyle w:val="BodyText3"/>
        <w:ind w:left="720" w:hanging="720"/>
        <w:rPr>
          <w:i/>
        </w:rPr>
      </w:pPr>
      <w:r>
        <w:t>G.</w:t>
      </w:r>
      <w:r>
        <w:tab/>
      </w:r>
      <w:r w:rsidRPr="00555A78">
        <w:t>If key to understanding the division or program, identify funding sources and amounts, including federal grants and pass-through monies. Describe any funding formulas or funding conventions. Please</w:t>
      </w:r>
      <w:r w:rsidRPr="00555A78">
        <w:rPr>
          <w:spacing w:val="-1"/>
        </w:rPr>
        <w:t xml:space="preserve"> </w:t>
      </w:r>
      <w:r w:rsidRPr="00555A78">
        <w:t>specify</w:t>
      </w:r>
      <w:r w:rsidRPr="00555A78">
        <w:rPr>
          <w:spacing w:val="-1"/>
        </w:rPr>
        <w:t xml:space="preserve"> </w:t>
      </w:r>
      <w:r w:rsidRPr="00555A78">
        <w:t>state</w:t>
      </w:r>
      <w:r w:rsidRPr="00555A78">
        <w:rPr>
          <w:spacing w:val="-1"/>
        </w:rPr>
        <w:t xml:space="preserve"> </w:t>
      </w:r>
      <w:r w:rsidRPr="00555A78">
        <w:t>funding</w:t>
      </w:r>
      <w:r w:rsidRPr="00555A78">
        <w:rPr>
          <w:spacing w:val="-1"/>
        </w:rPr>
        <w:t xml:space="preserve"> </w:t>
      </w:r>
      <w:r w:rsidRPr="00555A78">
        <w:t>sources (e.g., general revenue, appropriations</w:t>
      </w:r>
      <w:r w:rsidRPr="00555A78">
        <w:rPr>
          <w:spacing w:val="-2"/>
        </w:rPr>
        <w:t xml:space="preserve"> </w:t>
      </w:r>
      <w:r w:rsidRPr="00555A78">
        <w:t>rider, budget</w:t>
      </w:r>
      <w:r w:rsidRPr="00555A78">
        <w:rPr>
          <w:spacing w:val="-5"/>
        </w:rPr>
        <w:t xml:space="preserve"> </w:t>
      </w:r>
      <w:r w:rsidRPr="00555A78">
        <w:t>strategy,</w:t>
      </w:r>
      <w:r w:rsidRPr="00555A78">
        <w:rPr>
          <w:spacing w:val="-5"/>
        </w:rPr>
        <w:t xml:space="preserve"> </w:t>
      </w:r>
      <w:r w:rsidRPr="00555A78">
        <w:t>and</w:t>
      </w:r>
      <w:r w:rsidRPr="00555A78">
        <w:rPr>
          <w:spacing w:val="-5"/>
        </w:rPr>
        <w:t xml:space="preserve"> </w:t>
      </w:r>
      <w:r w:rsidRPr="00555A78">
        <w:t>fees/dues).</w:t>
      </w:r>
      <w:r w:rsidRPr="00555A78">
        <w:rPr>
          <w:spacing w:val="-5"/>
        </w:rPr>
        <w:t xml:space="preserve"> </w:t>
      </w:r>
      <w:r w:rsidRPr="00555A78">
        <w:rPr>
          <w:i/>
        </w:rPr>
        <w:t>(If</w:t>
      </w:r>
      <w:r w:rsidRPr="00555A78">
        <w:rPr>
          <w:i/>
          <w:spacing w:val="-6"/>
        </w:rPr>
        <w:t xml:space="preserve"> </w:t>
      </w:r>
      <w:r w:rsidRPr="00555A78">
        <w:rPr>
          <w:i/>
        </w:rPr>
        <w:t>you</w:t>
      </w:r>
      <w:r w:rsidRPr="00555A78">
        <w:rPr>
          <w:i/>
          <w:spacing w:val="-6"/>
        </w:rPr>
        <w:t xml:space="preserve"> </w:t>
      </w:r>
      <w:r w:rsidRPr="00555A78">
        <w:rPr>
          <w:i/>
        </w:rPr>
        <w:t>have</w:t>
      </w:r>
      <w:r w:rsidRPr="00555A78">
        <w:rPr>
          <w:i/>
          <w:spacing w:val="-5"/>
        </w:rPr>
        <w:t xml:space="preserve"> </w:t>
      </w:r>
      <w:r w:rsidRPr="00555A78">
        <w:rPr>
          <w:i/>
        </w:rPr>
        <w:t>already</w:t>
      </w:r>
      <w:r w:rsidRPr="00555A78">
        <w:rPr>
          <w:i/>
          <w:spacing w:val="-5"/>
        </w:rPr>
        <w:t xml:space="preserve"> </w:t>
      </w:r>
      <w:r w:rsidRPr="00555A78">
        <w:rPr>
          <w:i/>
        </w:rPr>
        <w:t>submitted</w:t>
      </w:r>
      <w:r w:rsidRPr="00555A78">
        <w:rPr>
          <w:i/>
          <w:spacing w:val="-6"/>
        </w:rPr>
        <w:t xml:space="preserve"> </w:t>
      </w:r>
      <w:r w:rsidRPr="00555A78">
        <w:rPr>
          <w:i/>
        </w:rPr>
        <w:t>funding</w:t>
      </w:r>
      <w:r w:rsidRPr="00555A78">
        <w:rPr>
          <w:i/>
          <w:spacing w:val="-6"/>
        </w:rPr>
        <w:t xml:space="preserve"> </w:t>
      </w:r>
      <w:r w:rsidRPr="00555A78">
        <w:rPr>
          <w:i/>
        </w:rPr>
        <w:t>source</w:t>
      </w:r>
      <w:r w:rsidRPr="00555A78">
        <w:rPr>
          <w:i/>
          <w:spacing w:val="-5"/>
        </w:rPr>
        <w:t xml:space="preserve"> </w:t>
      </w:r>
      <w:r w:rsidRPr="00555A78">
        <w:rPr>
          <w:i/>
        </w:rPr>
        <w:t>info</w:t>
      </w:r>
      <w:r w:rsidRPr="00555A78">
        <w:rPr>
          <w:i/>
          <w:spacing w:val="-6"/>
        </w:rPr>
        <w:t xml:space="preserve"> </w:t>
      </w:r>
      <w:r w:rsidRPr="00555A78">
        <w:rPr>
          <w:i/>
        </w:rPr>
        <w:t>through</w:t>
      </w:r>
      <w:r w:rsidRPr="00555A78">
        <w:rPr>
          <w:i/>
          <w:spacing w:val="-6"/>
        </w:rPr>
        <w:t xml:space="preserve"> </w:t>
      </w:r>
      <w:r w:rsidRPr="00555A78">
        <w:rPr>
          <w:i/>
        </w:rPr>
        <w:t>the “Agency Program Information” spreadsheet, please limit your response to funding formulas or funding conventions.)</w:t>
      </w:r>
    </w:p>
    <w:tbl>
      <w:tblPr>
        <w:tblStyle w:val="TableGrid1"/>
        <w:tblW w:w="0" w:type="auto"/>
        <w:tblCellMar>
          <w:top w:w="58" w:type="dxa"/>
          <w:bottom w:w="58" w:type="dxa"/>
        </w:tblCellMar>
        <w:tblLook w:val="04A0" w:firstRow="1" w:lastRow="0" w:firstColumn="1" w:lastColumn="0" w:noHBand="0" w:noVBand="1"/>
      </w:tblPr>
      <w:tblGrid>
        <w:gridCol w:w="2515"/>
        <w:gridCol w:w="2159"/>
        <w:gridCol w:w="2338"/>
        <w:gridCol w:w="2338"/>
      </w:tblGrid>
      <w:tr w:rsidR="006A0ECF" w14:paraId="0F41E9FA" w14:textId="77777777" w:rsidTr="006A0ECF">
        <w:tc>
          <w:tcPr>
            <w:tcW w:w="2515" w:type="dxa"/>
            <w:shd w:val="clear" w:color="auto" w:fill="B8CCE4" w:themeFill="accent1" w:themeFillTint="66"/>
            <w:vAlign w:val="center"/>
          </w:tcPr>
          <w:p w14:paraId="76CF4E4C" w14:textId="77777777" w:rsidR="006A0ECF" w:rsidRPr="00B06C9D" w:rsidRDefault="006A0ECF" w:rsidP="006A0ECF">
            <w:pPr>
              <w:pStyle w:val="TableHeaders"/>
            </w:pPr>
            <w:r w:rsidRPr="00B06C9D">
              <w:t>Program or Function Detail Description</w:t>
            </w:r>
          </w:p>
        </w:tc>
        <w:tc>
          <w:tcPr>
            <w:tcW w:w="2159" w:type="dxa"/>
            <w:shd w:val="clear" w:color="auto" w:fill="B8CCE4" w:themeFill="accent1" w:themeFillTint="66"/>
            <w:vAlign w:val="center"/>
          </w:tcPr>
          <w:p w14:paraId="09FBBD56" w14:textId="77777777" w:rsidR="006A0ECF" w:rsidRPr="00B06C9D" w:rsidRDefault="006A0ECF" w:rsidP="006A0ECF">
            <w:pPr>
              <w:pStyle w:val="TableHeaders"/>
            </w:pPr>
            <w:r w:rsidRPr="00B06C9D">
              <w:t>Total FY 2024</w:t>
            </w:r>
          </w:p>
        </w:tc>
        <w:tc>
          <w:tcPr>
            <w:tcW w:w="2338" w:type="dxa"/>
            <w:shd w:val="clear" w:color="auto" w:fill="B8CCE4" w:themeFill="accent1" w:themeFillTint="66"/>
            <w:vAlign w:val="center"/>
          </w:tcPr>
          <w:p w14:paraId="199B4C4F" w14:textId="77777777" w:rsidR="006A0ECF" w:rsidRPr="00B06C9D" w:rsidRDefault="006A0ECF" w:rsidP="006A0ECF">
            <w:pPr>
              <w:pStyle w:val="TableHeaders"/>
            </w:pPr>
            <w:r w:rsidRPr="00B06C9D">
              <w:t>Federal Funding</w:t>
            </w:r>
          </w:p>
        </w:tc>
        <w:tc>
          <w:tcPr>
            <w:tcW w:w="2338" w:type="dxa"/>
            <w:shd w:val="clear" w:color="auto" w:fill="B8CCE4" w:themeFill="accent1" w:themeFillTint="66"/>
            <w:vAlign w:val="center"/>
          </w:tcPr>
          <w:p w14:paraId="75CB31C9" w14:textId="77777777" w:rsidR="006A0ECF" w:rsidRPr="00B06C9D" w:rsidRDefault="006A0ECF" w:rsidP="006A0ECF">
            <w:pPr>
              <w:pStyle w:val="TableHeaders"/>
            </w:pPr>
            <w:r w:rsidRPr="00B06C9D">
              <w:t>State Funding</w:t>
            </w:r>
          </w:p>
        </w:tc>
      </w:tr>
      <w:tr w:rsidR="006A0ECF" w14:paraId="794361D1" w14:textId="77777777" w:rsidTr="006A0ECF">
        <w:tc>
          <w:tcPr>
            <w:tcW w:w="2515" w:type="dxa"/>
            <w:vAlign w:val="center"/>
          </w:tcPr>
          <w:p w14:paraId="6EB9DC55" w14:textId="77777777" w:rsidR="006A0ECF" w:rsidRPr="00B06C9D" w:rsidRDefault="006A0ECF" w:rsidP="006A0ECF">
            <w:pPr>
              <w:pStyle w:val="TableText"/>
            </w:pPr>
            <w:r w:rsidRPr="00B06C9D">
              <w:t>WP Employment Services (WIOA Title III)</w:t>
            </w:r>
          </w:p>
        </w:tc>
        <w:tc>
          <w:tcPr>
            <w:tcW w:w="2159" w:type="dxa"/>
            <w:vAlign w:val="center"/>
          </w:tcPr>
          <w:p w14:paraId="6B4691C7" w14:textId="77777777" w:rsidR="006A0ECF" w:rsidRPr="00B06C9D" w:rsidRDefault="006A0ECF" w:rsidP="006A0ECF">
            <w:pPr>
              <w:pStyle w:val="TableText"/>
              <w:jc w:val="right"/>
            </w:pPr>
            <w:r w:rsidRPr="00B06C9D">
              <w:rPr>
                <w:color w:val="000000"/>
              </w:rPr>
              <w:t xml:space="preserve">50,319,369 </w:t>
            </w:r>
          </w:p>
        </w:tc>
        <w:tc>
          <w:tcPr>
            <w:tcW w:w="2338" w:type="dxa"/>
            <w:vAlign w:val="center"/>
          </w:tcPr>
          <w:p w14:paraId="0D536486" w14:textId="77777777" w:rsidR="006A0ECF" w:rsidRPr="00BC7810" w:rsidRDefault="006A0ECF" w:rsidP="006A0ECF">
            <w:pPr>
              <w:pStyle w:val="TableText"/>
              <w:jc w:val="right"/>
              <w:rPr>
                <w:color w:val="000000"/>
              </w:rPr>
            </w:pPr>
            <w:r w:rsidRPr="00B06C9D">
              <w:rPr>
                <w:color w:val="000000"/>
              </w:rPr>
              <w:t xml:space="preserve">50,319,369 </w:t>
            </w:r>
          </w:p>
        </w:tc>
        <w:tc>
          <w:tcPr>
            <w:tcW w:w="2338" w:type="dxa"/>
            <w:vAlign w:val="center"/>
          </w:tcPr>
          <w:p w14:paraId="53442B71" w14:textId="77777777" w:rsidR="006A0ECF" w:rsidRPr="00BC7810" w:rsidRDefault="006A0ECF" w:rsidP="006A0ECF">
            <w:pPr>
              <w:pStyle w:val="TableText"/>
              <w:jc w:val="right"/>
              <w:rPr>
                <w:color w:val="000000"/>
              </w:rPr>
            </w:pPr>
            <w:r>
              <w:rPr>
                <w:color w:val="000000"/>
              </w:rPr>
              <w:t>0</w:t>
            </w:r>
          </w:p>
        </w:tc>
      </w:tr>
    </w:tbl>
    <w:p w14:paraId="66C55316" w14:textId="77777777" w:rsidR="006420CB" w:rsidRPr="000F25DC" w:rsidRDefault="006420CB" w:rsidP="00E51A5B">
      <w:pPr>
        <w:pStyle w:val="BodyText3"/>
        <w:ind w:left="720" w:hanging="720"/>
      </w:pPr>
      <w:r>
        <w:t>H.</w:t>
      </w:r>
      <w:r>
        <w:tab/>
      </w:r>
      <w:r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Pr="000F25DC">
        <w:rPr>
          <w:spacing w:val="-2"/>
        </w:rPr>
        <w:t>population.</w:t>
      </w:r>
    </w:p>
    <w:p w14:paraId="246F3A04" w14:textId="77777777" w:rsidR="006420CB" w:rsidRDefault="006420CB" w:rsidP="00B91153">
      <w:pPr>
        <w:pStyle w:val="BodyText"/>
      </w:pPr>
      <w:r w:rsidRPr="72B26446">
        <w:t xml:space="preserve">TWC collaborates with </w:t>
      </w:r>
      <w:r>
        <w:t>the Boards</w:t>
      </w:r>
      <w:r w:rsidRPr="72B26446">
        <w:t xml:space="preserve"> to provided integrated federally required workforce development programs.  This relationship is governed by the grant agreements and the ABA. While other workforce development programs have eligibility requirements, there are no eligibility requirements to participate in Wagner-Peyser Employment Services. Although these programs often provide career services that may be </w:t>
      </w:r>
      <w:proofErr w:type="gramStart"/>
      <w:r w:rsidRPr="72B26446">
        <w:t>similar to</w:t>
      </w:r>
      <w:proofErr w:type="gramEnd"/>
      <w:r w:rsidRPr="72B26446">
        <w:t xml:space="preserve"> those offered through ES program, the major difference is the eligibility to become enrolled in the program. </w:t>
      </w:r>
      <w:r w:rsidRPr="72B26446">
        <w:lastRenderedPageBreak/>
        <w:t>Individuals may be co-enrolled in any of the previously mentioned programs if they meet the eligibility criteria of each program.</w:t>
      </w:r>
    </w:p>
    <w:p w14:paraId="68A4546C" w14:textId="77777777" w:rsidR="006420CB" w:rsidRPr="000F25DC" w:rsidRDefault="006420CB" w:rsidP="00B91153">
      <w:pPr>
        <w:pStyle w:val="BodyText3"/>
        <w:ind w:left="720" w:hanging="720"/>
      </w:pPr>
      <w:r>
        <w:t>I.</w:t>
      </w:r>
      <w:r>
        <w:tab/>
      </w:r>
      <w:r w:rsidRPr="000F25DC">
        <w:t>If</w:t>
      </w:r>
      <w:r w:rsidRPr="000F25DC">
        <w:rPr>
          <w:spacing w:val="-3"/>
        </w:rPr>
        <w:t xml:space="preserve"> </w:t>
      </w:r>
      <w:r w:rsidRPr="000F25DC">
        <w:t>the</w:t>
      </w:r>
      <w:r w:rsidRPr="000F25DC">
        <w:rPr>
          <w:spacing w:val="-2"/>
        </w:rPr>
        <w:t xml:space="preserve"> </w:t>
      </w:r>
      <w:r w:rsidRPr="000F25DC">
        <w:t>division</w:t>
      </w:r>
      <w:r w:rsidRPr="000F25DC">
        <w:rPr>
          <w:spacing w:val="-1"/>
        </w:rPr>
        <w:t xml:space="preserve"> </w:t>
      </w:r>
      <w:r w:rsidRPr="000F25DC">
        <w:t>or</w:t>
      </w:r>
      <w:r w:rsidRPr="000F25DC">
        <w:rPr>
          <w:spacing w:val="-3"/>
        </w:rPr>
        <w:t xml:space="preserve"> </w:t>
      </w:r>
      <w:r w:rsidRPr="000F25DC">
        <w:t>program</w:t>
      </w:r>
      <w:r w:rsidRPr="000F25DC">
        <w:rPr>
          <w:spacing w:val="-2"/>
        </w:rPr>
        <w:t xml:space="preserve"> </w:t>
      </w:r>
      <w:r w:rsidRPr="000F25DC">
        <w:t>works</w:t>
      </w:r>
      <w:r w:rsidRPr="000F25DC">
        <w:rPr>
          <w:spacing w:val="-1"/>
        </w:rPr>
        <w:t xml:space="preserve"> </w:t>
      </w:r>
      <w:r w:rsidRPr="000F25DC">
        <w:t>with</w:t>
      </w:r>
      <w:r w:rsidRPr="000F25DC">
        <w:rPr>
          <w:spacing w:val="-3"/>
        </w:rPr>
        <w:t xml:space="preserve"> </w:t>
      </w:r>
      <w:r w:rsidRPr="000F25DC">
        <w:t>local,</w:t>
      </w:r>
      <w:r w:rsidRPr="000F25DC">
        <w:rPr>
          <w:spacing w:val="-3"/>
        </w:rPr>
        <w:t xml:space="preserve"> </w:t>
      </w:r>
      <w:r w:rsidRPr="000F25DC">
        <w:t>regional,</w:t>
      </w:r>
      <w:r w:rsidRPr="000F25DC">
        <w:rPr>
          <w:spacing w:val="-3"/>
        </w:rPr>
        <w:t xml:space="preserve"> </w:t>
      </w:r>
      <w:r w:rsidRPr="000F25DC">
        <w:t>or federal</w:t>
      </w:r>
      <w:r w:rsidRPr="000F25DC">
        <w:rPr>
          <w:spacing w:val="-3"/>
        </w:rPr>
        <w:t xml:space="preserve"> </w:t>
      </w:r>
      <w:r w:rsidRPr="000F25DC">
        <w:t>units</w:t>
      </w:r>
      <w:r w:rsidRPr="000F25DC">
        <w:rPr>
          <w:spacing w:val="-1"/>
        </w:rPr>
        <w:t xml:space="preserve"> </w:t>
      </w:r>
      <w:r w:rsidRPr="000F25DC">
        <w:t>of</w:t>
      </w:r>
      <w:r w:rsidRPr="000F25DC">
        <w:rPr>
          <w:spacing w:val="-3"/>
        </w:rPr>
        <w:t xml:space="preserve"> </w:t>
      </w:r>
      <w:r w:rsidRPr="000F25DC">
        <w:t>government,</w:t>
      </w:r>
      <w:r w:rsidRPr="000F25DC">
        <w:rPr>
          <w:spacing w:val="-1"/>
        </w:rPr>
        <w:t xml:space="preserve"> </w:t>
      </w:r>
      <w:r w:rsidRPr="000F25DC">
        <w:t>include a brief description of these entities and their relationship to the agency.</w:t>
      </w:r>
    </w:p>
    <w:p w14:paraId="6E713BBD" w14:textId="77777777" w:rsidR="006420CB" w:rsidRPr="000F25DC" w:rsidRDefault="006420CB" w:rsidP="00B91153">
      <w:pPr>
        <w:pStyle w:val="BodyText"/>
      </w:pPr>
      <w:r>
        <w:t xml:space="preserve">As previously discussed, TWC works closely with DOLETA and the 28 Local Workforce Development Boards to administer the ES program. </w:t>
      </w:r>
    </w:p>
    <w:p w14:paraId="090DBE1F" w14:textId="77777777" w:rsidR="006420CB" w:rsidRPr="000F25DC" w:rsidRDefault="006420CB" w:rsidP="00B91153">
      <w:pPr>
        <w:pStyle w:val="BodyText3"/>
        <w:ind w:left="720" w:hanging="720"/>
      </w:pPr>
      <w:r>
        <w:t>J.</w:t>
      </w:r>
      <w:r>
        <w:tab/>
      </w:r>
      <w:r w:rsidRPr="000F25DC">
        <w:t>Are there any barriers or challenges that impede the division or program’s performance, including any outdated or ineffective state laws? Explain.</w:t>
      </w:r>
    </w:p>
    <w:p w14:paraId="0856B629" w14:textId="7660E560" w:rsidR="006420CB" w:rsidRPr="000F25DC" w:rsidDel="005D507C" w:rsidRDefault="006420CB" w:rsidP="00B91153">
      <w:pPr>
        <w:pStyle w:val="BodyText"/>
      </w:pPr>
      <w:r w:rsidRPr="2E2EBD44">
        <w:t xml:space="preserve">The </w:t>
      </w:r>
      <w:r w:rsidR="00B91153" w:rsidRPr="2E2EBD44">
        <w:t>uncertainty</w:t>
      </w:r>
      <w:r w:rsidRPr="2E2EBD44">
        <w:t xml:space="preserve"> of the federal rule changes is impeding the ability to move forward with implementing the plan TWC developed prior to the notification of </w:t>
      </w:r>
      <w:r>
        <w:t xml:space="preserve">the </w:t>
      </w:r>
      <w:r w:rsidRPr="2E2EBD44">
        <w:t>proposal to rescind the rule requiring that states use merit staff to provides ES services. Additionally, should the rule changes remain in place, it will be challenging to meet the existing implementation deadline, which is currently, Jan</w:t>
      </w:r>
      <w:r>
        <w:t>.</w:t>
      </w:r>
      <w:r w:rsidRPr="2E2EBD44">
        <w:t xml:space="preserve"> 22, 2026.</w:t>
      </w:r>
    </w:p>
    <w:p w14:paraId="18CF5CAB" w14:textId="77777777" w:rsidR="006420CB" w:rsidRPr="000F25DC" w:rsidRDefault="006420CB" w:rsidP="00B91153">
      <w:pPr>
        <w:pStyle w:val="BodyText3"/>
        <w:ind w:left="720" w:hanging="720"/>
      </w:pPr>
      <w:r>
        <w:t>K.</w:t>
      </w:r>
      <w:r>
        <w:tab/>
      </w:r>
      <w:r w:rsidRPr="000F25DC">
        <w:t>Provide any additional information needed to gain a preliminary understanding of the division or program.</w:t>
      </w:r>
    </w:p>
    <w:p w14:paraId="5EACE74A" w14:textId="77777777" w:rsidR="006420CB" w:rsidRPr="000F25DC" w:rsidRDefault="006420CB" w:rsidP="00B91153">
      <w:pPr>
        <w:pStyle w:val="BodyText"/>
        <w:rPr>
          <w:rFonts w:asciiTheme="minorHAnsi" w:hAnsiTheme="minorHAnsi" w:cstheme="minorBidi"/>
          <w:sz w:val="24"/>
          <w:szCs w:val="24"/>
        </w:rPr>
      </w:pPr>
      <w:r>
        <w:rPr>
          <w:rFonts w:asciiTheme="minorHAnsi" w:hAnsiTheme="minorHAnsi" w:cstheme="minorBidi"/>
          <w:sz w:val="24"/>
          <w:szCs w:val="24"/>
        </w:rPr>
        <w:t>N/A</w:t>
      </w:r>
    </w:p>
    <w:p w14:paraId="55C43A02" w14:textId="77777777" w:rsidR="006420CB" w:rsidRPr="000F25DC" w:rsidRDefault="006420CB" w:rsidP="00B91153">
      <w:pPr>
        <w:pStyle w:val="BodyText3"/>
        <w:ind w:left="720" w:hanging="720"/>
      </w:pPr>
      <w:r>
        <w:t>L.</w:t>
      </w:r>
      <w:r>
        <w:tab/>
      </w:r>
      <w:r w:rsidRPr="000F25DC">
        <w:t>Regulatory programs relate to the licensing, registration, certification, or permitting of a person, business, piece of equipment, or other entity (e.g., a facility). For each regulatory program, if applicable, describe:</w:t>
      </w:r>
    </w:p>
    <w:p w14:paraId="63F23C3C" w14:textId="77777777" w:rsidR="006420CB" w:rsidRPr="000F25DC" w:rsidRDefault="006420CB" w:rsidP="00B91153">
      <w:pPr>
        <w:pStyle w:val="BodyText"/>
      </w:pPr>
      <w:r w:rsidRPr="000F25DC">
        <w:t>N</w:t>
      </w:r>
      <w:r>
        <w:t>/A</w:t>
      </w:r>
    </w:p>
    <w:p w14:paraId="5EFDBE02" w14:textId="77777777" w:rsidR="006420CB" w:rsidRPr="000F25DC" w:rsidRDefault="006420CB" w:rsidP="00B91153">
      <w:pPr>
        <w:pStyle w:val="BodyText3"/>
        <w:ind w:left="720" w:hanging="720"/>
      </w:pPr>
      <w:r>
        <w:t>M.</w:t>
      </w:r>
      <w:r>
        <w:tab/>
      </w:r>
      <w:r w:rsidRPr="000F25DC">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65400D28" w14:textId="0C641FCC" w:rsidR="006420CB" w:rsidRDefault="006420CB" w:rsidP="00D427C4">
      <w:pPr>
        <w:pStyle w:val="BodyText"/>
      </w:pPr>
      <w:r w:rsidRPr="00B91153">
        <w:t>N/A</w:t>
      </w:r>
    </w:p>
    <w:p w14:paraId="2C39D86F" w14:textId="77777777" w:rsidR="00D427C4" w:rsidRDefault="00D427C4" w:rsidP="00D427C4">
      <w:pPr>
        <w:pStyle w:val="BodyText"/>
        <w:rPr>
          <w:rFonts w:asciiTheme="minorHAnsi" w:hAnsiTheme="minorHAnsi" w:cstheme="minorHAnsi"/>
          <w:sz w:val="24"/>
          <w:szCs w:val="24"/>
        </w:rPr>
      </w:pPr>
    </w:p>
    <w:p w14:paraId="65459DA8" w14:textId="77777777" w:rsidR="006420CB" w:rsidRPr="000F25DC" w:rsidRDefault="006420CB" w:rsidP="00B91153">
      <w:pPr>
        <w:pStyle w:val="BodyText3"/>
      </w:pPr>
      <w:bookmarkStart w:id="229" w:name="_Toc850349975"/>
      <w:bookmarkStart w:id="230" w:name="_Toc204688541"/>
      <w:r w:rsidRPr="00385E9B">
        <w:lastRenderedPageBreak/>
        <w:t>Mandatory</w:t>
      </w:r>
      <w:r w:rsidRPr="061A6DF0">
        <w:rPr>
          <w:spacing w:val="-14"/>
        </w:rPr>
        <w:t xml:space="preserve"> </w:t>
      </w:r>
      <w:r w:rsidRPr="061A6DF0">
        <w:t>Workforce</w:t>
      </w:r>
      <w:r w:rsidRPr="061A6DF0">
        <w:rPr>
          <w:spacing w:val="-14"/>
        </w:rPr>
        <w:t xml:space="preserve"> </w:t>
      </w:r>
      <w:r w:rsidRPr="061A6DF0">
        <w:rPr>
          <w:spacing w:val="-2"/>
        </w:rPr>
        <w:t>Programs</w:t>
      </w:r>
      <w:bookmarkEnd w:id="229"/>
      <w:bookmarkEnd w:id="230"/>
    </w:p>
    <w:p w14:paraId="3ABE25FA" w14:textId="0FEB362F" w:rsidR="006420CB" w:rsidRPr="00A22182" w:rsidRDefault="00B91153" w:rsidP="00B91153">
      <w:pPr>
        <w:pStyle w:val="BodyText3"/>
      </w:pPr>
      <w:r>
        <w:t>A.</w:t>
      </w:r>
      <w:r>
        <w:tab/>
      </w:r>
      <w:r w:rsidR="006420CB" w:rsidRPr="00A22182">
        <w:t>Provide</w:t>
      </w:r>
      <w:r w:rsidR="006420CB" w:rsidRPr="00A22182">
        <w:rPr>
          <w:spacing w:val="-5"/>
        </w:rPr>
        <w:t xml:space="preserve"> </w:t>
      </w:r>
      <w:r w:rsidR="006420CB" w:rsidRPr="00A22182">
        <w:t>the</w:t>
      </w:r>
      <w:r w:rsidR="006420CB" w:rsidRPr="00A22182">
        <w:rPr>
          <w:spacing w:val="-2"/>
        </w:rPr>
        <w:t xml:space="preserve"> </w:t>
      </w:r>
      <w:r w:rsidR="006420CB" w:rsidRPr="00A22182">
        <w:t>following</w:t>
      </w:r>
      <w:r w:rsidR="006420CB" w:rsidRPr="00A22182">
        <w:rPr>
          <w:spacing w:val="-4"/>
        </w:rPr>
        <w:t xml:space="preserve"> </w:t>
      </w:r>
      <w:r w:rsidR="006420CB" w:rsidRPr="00A22182">
        <w:t>information</w:t>
      </w:r>
      <w:r w:rsidR="006420CB" w:rsidRPr="00A22182">
        <w:rPr>
          <w:spacing w:val="-3"/>
        </w:rPr>
        <w:t xml:space="preserve"> </w:t>
      </w:r>
      <w:r w:rsidR="006420CB" w:rsidRPr="00A22182">
        <w:t>at</w:t>
      </w:r>
      <w:r w:rsidR="006420CB" w:rsidRPr="00A22182">
        <w:rPr>
          <w:spacing w:val="-1"/>
        </w:rPr>
        <w:t xml:space="preserve"> </w:t>
      </w:r>
      <w:r w:rsidR="006420CB" w:rsidRPr="00A22182">
        <w:t>the</w:t>
      </w:r>
      <w:r w:rsidR="006420CB" w:rsidRPr="00A22182">
        <w:rPr>
          <w:spacing w:val="-2"/>
        </w:rPr>
        <w:t xml:space="preserve"> </w:t>
      </w:r>
      <w:r w:rsidR="006420CB" w:rsidRPr="00A22182">
        <w:t>beginning</w:t>
      </w:r>
      <w:r w:rsidR="006420CB" w:rsidRPr="00A22182">
        <w:rPr>
          <w:spacing w:val="-3"/>
        </w:rPr>
        <w:t xml:space="preserve"> </w:t>
      </w:r>
      <w:r w:rsidR="006420CB" w:rsidRPr="00A22182">
        <w:t>of</w:t>
      </w:r>
      <w:r w:rsidR="006420CB" w:rsidRPr="00A22182">
        <w:rPr>
          <w:spacing w:val="-2"/>
        </w:rPr>
        <w:t xml:space="preserve"> </w:t>
      </w:r>
      <w:r w:rsidR="006420CB" w:rsidRPr="00A22182">
        <w:t>each</w:t>
      </w:r>
      <w:r w:rsidR="006420CB" w:rsidRPr="00A22182">
        <w:rPr>
          <w:spacing w:val="-2"/>
        </w:rPr>
        <w:t xml:space="preserve"> description.</w:t>
      </w:r>
    </w:p>
    <w:p w14:paraId="2BC3A989" w14:textId="77777777" w:rsidR="006420CB" w:rsidRPr="00FF1DB9" w:rsidRDefault="006420CB" w:rsidP="00B91153">
      <w:pPr>
        <w:pStyle w:val="BodyText"/>
      </w:pPr>
      <w:r w:rsidRPr="000F25DC">
        <w:t>Name</w:t>
      </w:r>
      <w:r w:rsidRPr="000F25DC">
        <w:rPr>
          <w:spacing w:val="-7"/>
        </w:rPr>
        <w:t xml:space="preserve"> </w:t>
      </w:r>
      <w:r w:rsidRPr="000F25DC">
        <w:t>of</w:t>
      </w:r>
      <w:r w:rsidRPr="000F25DC">
        <w:rPr>
          <w:spacing w:val="-7"/>
        </w:rPr>
        <w:t xml:space="preserve"> </w:t>
      </w:r>
      <w:r w:rsidRPr="000F25DC">
        <w:t>division</w:t>
      </w:r>
      <w:r w:rsidRPr="000F25DC">
        <w:rPr>
          <w:spacing w:val="-7"/>
        </w:rPr>
        <w:t xml:space="preserve"> </w:t>
      </w:r>
      <w:r w:rsidRPr="000F25DC">
        <w:t>or</w:t>
      </w:r>
      <w:r w:rsidRPr="000F25DC">
        <w:rPr>
          <w:spacing w:val="-7"/>
        </w:rPr>
        <w:t xml:space="preserve"> </w:t>
      </w:r>
      <w:r w:rsidRPr="000F25DC">
        <w:t>program:</w:t>
      </w:r>
      <w:r w:rsidRPr="000F25DC">
        <w:rPr>
          <w:spacing w:val="-5"/>
        </w:rPr>
        <w:t xml:space="preserve"> </w:t>
      </w:r>
      <w:r w:rsidRPr="000F25DC">
        <w:t>Mandatory</w:t>
      </w:r>
      <w:r w:rsidRPr="000F25DC">
        <w:rPr>
          <w:spacing w:val="-6"/>
        </w:rPr>
        <w:t xml:space="preserve"> </w:t>
      </w:r>
      <w:r w:rsidRPr="000F25DC">
        <w:t>Workforce</w:t>
      </w:r>
      <w:r w:rsidRPr="000F25DC">
        <w:rPr>
          <w:spacing w:val="-6"/>
        </w:rPr>
        <w:t xml:space="preserve"> </w:t>
      </w:r>
      <w:r w:rsidRPr="000F25DC">
        <w:t xml:space="preserve">Programs </w:t>
      </w:r>
    </w:p>
    <w:p w14:paraId="0C4BABB6" w14:textId="77777777" w:rsidR="006420CB" w:rsidRDefault="006420CB" w:rsidP="00B91153">
      <w:pPr>
        <w:pStyle w:val="BodyText"/>
      </w:pPr>
      <w:r w:rsidRPr="000F25DC">
        <w:t>Location within the agency: Workforce Development Division</w:t>
      </w:r>
      <w:r>
        <w:t xml:space="preserve">, Policy and Board Support </w:t>
      </w:r>
    </w:p>
    <w:p w14:paraId="4E072EC5" w14:textId="77777777" w:rsidR="006420CB" w:rsidRPr="000F25DC" w:rsidRDefault="006420CB" w:rsidP="00B91153">
      <w:pPr>
        <w:pStyle w:val="BodyText"/>
      </w:pPr>
      <w:r w:rsidRPr="000F25DC">
        <w:t>Contact name: Patricia Martinez</w:t>
      </w:r>
    </w:p>
    <w:p w14:paraId="049A2A9D" w14:textId="77777777" w:rsidR="006420CB" w:rsidRPr="000F25DC" w:rsidRDefault="006420CB" w:rsidP="00B91153">
      <w:pPr>
        <w:pStyle w:val="BodyText"/>
        <w:rPr>
          <w:b/>
          <w:bCs/>
        </w:rPr>
      </w:pPr>
      <w:r w:rsidRPr="000F25DC">
        <w:t>Statutory citations:</w:t>
      </w:r>
      <w:r>
        <w:t xml:space="preserve"> Texas Labor Code, Sections 302.0035 and 302.021, Texas Human Resources Code, Chapters 31 and 34</w:t>
      </w:r>
    </w:p>
    <w:p w14:paraId="296183DB" w14:textId="3A1971D0" w:rsidR="006420CB" w:rsidRPr="00A22182" w:rsidRDefault="00B91153" w:rsidP="00B91153">
      <w:pPr>
        <w:pStyle w:val="BodyText3"/>
      </w:pPr>
      <w:r>
        <w:t>B.</w:t>
      </w:r>
      <w:r>
        <w:tab/>
      </w:r>
      <w:r w:rsidR="006420CB" w:rsidRPr="00A22182">
        <w:t>What</w:t>
      </w:r>
      <w:r w:rsidR="006420CB" w:rsidRPr="00A22182">
        <w:rPr>
          <w:spacing w:val="-4"/>
        </w:rPr>
        <w:t xml:space="preserve"> </w:t>
      </w:r>
      <w:r w:rsidR="006420CB" w:rsidRPr="00A22182">
        <w:t>is</w:t>
      </w:r>
      <w:r w:rsidR="006420CB" w:rsidRPr="00A22182">
        <w:rPr>
          <w:spacing w:val="-5"/>
        </w:rPr>
        <w:t xml:space="preserve"> </w:t>
      </w:r>
      <w:r w:rsidR="006420CB" w:rsidRPr="00A22182">
        <w:t>the</w:t>
      </w:r>
      <w:r w:rsidR="006420CB" w:rsidRPr="00A22182">
        <w:rPr>
          <w:spacing w:val="-6"/>
        </w:rPr>
        <w:t xml:space="preserve"> </w:t>
      </w:r>
      <w:r w:rsidR="006420CB" w:rsidRPr="00A22182">
        <w:t>objective</w:t>
      </w:r>
      <w:r w:rsidR="006420CB" w:rsidRPr="00A22182">
        <w:rPr>
          <w:spacing w:val="-6"/>
        </w:rPr>
        <w:t xml:space="preserve"> </w:t>
      </w:r>
      <w:r w:rsidR="006420CB" w:rsidRPr="00A22182">
        <w:t>of</w:t>
      </w:r>
      <w:r w:rsidR="006420CB" w:rsidRPr="00A22182">
        <w:rPr>
          <w:spacing w:val="-2"/>
        </w:rPr>
        <w:t xml:space="preserve"> </w:t>
      </w:r>
      <w:r w:rsidR="006420CB" w:rsidRPr="00A22182">
        <w:t>this</w:t>
      </w:r>
      <w:r w:rsidR="006420CB" w:rsidRPr="00A22182">
        <w:rPr>
          <w:spacing w:val="-5"/>
        </w:rPr>
        <w:t xml:space="preserve"> </w:t>
      </w:r>
      <w:r w:rsidR="006420CB" w:rsidRPr="00A22182">
        <w:t>division</w:t>
      </w:r>
      <w:r w:rsidR="006420CB" w:rsidRPr="00A22182">
        <w:rPr>
          <w:spacing w:val="-2"/>
        </w:rPr>
        <w:t xml:space="preserve"> </w:t>
      </w:r>
      <w:r w:rsidR="006420CB" w:rsidRPr="00A22182">
        <w:t>or</w:t>
      </w:r>
      <w:r w:rsidR="006420CB" w:rsidRPr="00A22182">
        <w:rPr>
          <w:spacing w:val="-1"/>
        </w:rPr>
        <w:t xml:space="preserve"> </w:t>
      </w:r>
      <w:r w:rsidR="006420CB" w:rsidRPr="00A22182">
        <w:t>program?</w:t>
      </w:r>
      <w:r w:rsidR="006420CB" w:rsidRPr="00A22182">
        <w:rPr>
          <w:spacing w:val="-3"/>
        </w:rPr>
        <w:t xml:space="preserve"> </w:t>
      </w:r>
      <w:r w:rsidR="006420CB" w:rsidRPr="00A22182">
        <w:t>Describe</w:t>
      </w:r>
      <w:r w:rsidR="006420CB" w:rsidRPr="00A22182">
        <w:rPr>
          <w:spacing w:val="-3"/>
        </w:rPr>
        <w:t xml:space="preserve"> </w:t>
      </w:r>
      <w:r w:rsidR="006420CB" w:rsidRPr="00A22182">
        <w:t>its</w:t>
      </w:r>
      <w:r w:rsidR="006420CB" w:rsidRPr="00A22182">
        <w:rPr>
          <w:spacing w:val="-2"/>
        </w:rPr>
        <w:t xml:space="preserve"> </w:t>
      </w:r>
      <w:r w:rsidR="006420CB" w:rsidRPr="00A22182">
        <w:t>major</w:t>
      </w:r>
      <w:r w:rsidR="006420CB" w:rsidRPr="00A22182">
        <w:rPr>
          <w:spacing w:val="-1"/>
        </w:rPr>
        <w:t xml:space="preserve"> </w:t>
      </w:r>
      <w:r w:rsidR="006420CB" w:rsidRPr="00A22182">
        <w:t xml:space="preserve">activities. </w:t>
      </w:r>
    </w:p>
    <w:p w14:paraId="77FD9003" w14:textId="77777777" w:rsidR="006420CB" w:rsidRPr="006428B1" w:rsidRDefault="006420CB" w:rsidP="00624D06">
      <w:pPr>
        <w:pStyle w:val="BodyText"/>
      </w:pPr>
      <w:r>
        <w:t>TWC’s m</w:t>
      </w:r>
      <w:r w:rsidRPr="006428B1">
        <w:t xml:space="preserve">andatory </w:t>
      </w:r>
      <w:r>
        <w:t>w</w:t>
      </w:r>
      <w:r w:rsidRPr="006428B1">
        <w:t xml:space="preserve">orkforce </w:t>
      </w:r>
      <w:r>
        <w:t>p</w:t>
      </w:r>
      <w:r w:rsidRPr="006428B1">
        <w:t xml:space="preserve">rograms </w:t>
      </w:r>
      <w:r>
        <w:t>i</w:t>
      </w:r>
      <w:r w:rsidRPr="006428B1">
        <w:t>nclude</w:t>
      </w:r>
      <w:r>
        <w:t xml:space="preserve"> the following programs that require individuals to participate in work programs to receive federal benefits</w:t>
      </w:r>
      <w:r w:rsidRPr="006428B1">
        <w:t xml:space="preserve">: </w:t>
      </w:r>
    </w:p>
    <w:p w14:paraId="558AB607" w14:textId="77777777" w:rsidR="006420CB" w:rsidRPr="002F1FF5" w:rsidRDefault="006420CB" w:rsidP="00C64851">
      <w:pPr>
        <w:pStyle w:val="BodyText"/>
        <w:numPr>
          <w:ilvl w:val="0"/>
          <w:numId w:val="812"/>
        </w:numPr>
      </w:pPr>
      <w:hyperlink r:id="rId134" w:history="1">
        <w:r w:rsidRPr="002F1FF5">
          <w:rPr>
            <w:rStyle w:val="Hyperlink"/>
            <w:rFonts w:asciiTheme="minorHAnsi" w:eastAsia="Aptos" w:hAnsiTheme="minorHAnsi" w:cstheme="minorBidi"/>
            <w:kern w:val="2"/>
            <w:sz w:val="24"/>
            <w:szCs w:val="24"/>
            <w14:ligatures w14:val="standardContextual"/>
          </w:rPr>
          <w:t>Choices Program</w:t>
        </w:r>
      </w:hyperlink>
      <w:r w:rsidRPr="002F1FF5">
        <w:t xml:space="preserve"> </w:t>
      </w:r>
      <w:r>
        <w:t xml:space="preserve">for people who receive </w:t>
      </w:r>
      <w:r w:rsidRPr="002F1FF5">
        <w:t>Temporary Assistance for Needy Families (TANF)</w:t>
      </w:r>
      <w:r>
        <w:t>.</w:t>
      </w:r>
    </w:p>
    <w:p w14:paraId="45761CF5" w14:textId="77777777" w:rsidR="006420CB" w:rsidRPr="002F1FF5" w:rsidRDefault="006420CB" w:rsidP="00C64851">
      <w:pPr>
        <w:pStyle w:val="BodyText"/>
        <w:numPr>
          <w:ilvl w:val="0"/>
          <w:numId w:val="812"/>
        </w:numPr>
      </w:pPr>
      <w:hyperlink r:id="rId135" w:history="1">
        <w:r w:rsidRPr="002F1FF5">
          <w:rPr>
            <w:rStyle w:val="Hyperlink"/>
            <w:rFonts w:asciiTheme="minorHAnsi" w:eastAsia="Aptos" w:hAnsiTheme="minorHAnsi" w:cstheme="minorBidi"/>
            <w:kern w:val="2"/>
            <w:sz w:val="24"/>
            <w:szCs w:val="24"/>
            <w14:ligatures w14:val="standardContextual"/>
          </w:rPr>
          <w:t>Noncustodial Parent Choices Program</w:t>
        </w:r>
      </w:hyperlink>
      <w:r w:rsidRPr="002F1FF5">
        <w:t xml:space="preserve"> (NCP)</w:t>
      </w:r>
      <w:r>
        <w:t xml:space="preserve"> for </w:t>
      </w:r>
      <w:r w:rsidRPr="00721273">
        <w:t>parents</w:t>
      </w:r>
      <w:r>
        <w:t xml:space="preserve">, that </w:t>
      </w:r>
      <w:r w:rsidRPr="00721273">
        <w:t>do</w:t>
      </w:r>
      <w:r>
        <w:t xml:space="preserve"> not</w:t>
      </w:r>
      <w:r w:rsidRPr="00721273">
        <w:t xml:space="preserve"> have custody of their children and are struggling </w:t>
      </w:r>
      <w:r>
        <w:t>to pay child support.</w:t>
      </w:r>
    </w:p>
    <w:p w14:paraId="5F41CADA" w14:textId="77777777" w:rsidR="006420CB" w:rsidRPr="002F1FF5" w:rsidRDefault="006420CB" w:rsidP="00C64851">
      <w:pPr>
        <w:pStyle w:val="BodyText"/>
        <w:numPr>
          <w:ilvl w:val="0"/>
          <w:numId w:val="812"/>
        </w:numPr>
      </w:pPr>
      <w:hyperlink r:id="rId136" w:history="1">
        <w:r w:rsidRPr="002F1FF5">
          <w:rPr>
            <w:rStyle w:val="Hyperlink"/>
            <w:rFonts w:asciiTheme="minorHAnsi" w:eastAsia="Aptos" w:hAnsiTheme="minorHAnsi" w:cstheme="minorBidi"/>
            <w:kern w:val="2"/>
            <w:sz w:val="24"/>
            <w:szCs w:val="24"/>
            <w14:ligatures w14:val="standardContextual"/>
          </w:rPr>
          <w:t>Supplemental Nutrition Assistance Employment and Training</w:t>
        </w:r>
      </w:hyperlink>
      <w:r w:rsidRPr="002F1FF5">
        <w:t xml:space="preserve"> (SNAP E&amp;T)</w:t>
      </w:r>
      <w:r>
        <w:t xml:space="preserve"> for</w:t>
      </w:r>
      <w:r w:rsidRPr="00EE79E8">
        <w:t xml:space="preserve"> people who receive SNAP benefits</w:t>
      </w:r>
      <w:r>
        <w:t>.</w:t>
      </w:r>
      <w:r w:rsidRPr="002F1FF5">
        <w:t xml:space="preserve"> </w:t>
      </w:r>
    </w:p>
    <w:p w14:paraId="5374A405" w14:textId="77777777" w:rsidR="006420CB" w:rsidRPr="000F25DC" w:rsidRDefault="006420CB" w:rsidP="00624D06">
      <w:pPr>
        <w:pStyle w:val="BodyText"/>
      </w:pPr>
      <w:r>
        <w:t xml:space="preserve">TWC provides statewide </w:t>
      </w:r>
      <w:r w:rsidRPr="58D0E01B">
        <w:t>administrative oversight</w:t>
      </w:r>
      <w:r>
        <w:t xml:space="preserve"> of these programs, while the 28 Local Workforce Development Boards plan and provide services at the local level.  </w:t>
      </w:r>
      <w:r w:rsidRPr="58D0E01B">
        <w:t>TWC</w:t>
      </w:r>
      <w:r>
        <w:t>’s responsibilities include:</w:t>
      </w:r>
      <w:r w:rsidRPr="58D0E01B">
        <w:t xml:space="preserve"> </w:t>
      </w:r>
    </w:p>
    <w:p w14:paraId="3CC541BD" w14:textId="77777777" w:rsidR="006420CB" w:rsidRPr="00B22E7A" w:rsidRDefault="006420CB" w:rsidP="00C64851">
      <w:pPr>
        <w:pStyle w:val="BodyText"/>
        <w:numPr>
          <w:ilvl w:val="0"/>
          <w:numId w:val="813"/>
        </w:numPr>
      </w:pPr>
      <w:r>
        <w:t>D</w:t>
      </w:r>
      <w:r w:rsidRPr="00B22E7A">
        <w:t>eveloping polic</w:t>
      </w:r>
      <w:r>
        <w:t>ies</w:t>
      </w:r>
      <w:r w:rsidRPr="00B22E7A">
        <w:t xml:space="preserve"> for </w:t>
      </w:r>
      <w:r>
        <w:t xml:space="preserve">the provision of </w:t>
      </w:r>
      <w:r w:rsidRPr="00B22E7A">
        <w:t>services</w:t>
      </w:r>
      <w:r>
        <w:t xml:space="preserve"> based on state and federal program laws and regulations.</w:t>
      </w:r>
    </w:p>
    <w:p w14:paraId="7677B50A" w14:textId="77777777" w:rsidR="006420CB" w:rsidRDefault="006420CB" w:rsidP="00C64851">
      <w:pPr>
        <w:pStyle w:val="BodyText"/>
        <w:numPr>
          <w:ilvl w:val="0"/>
          <w:numId w:val="813"/>
        </w:numPr>
      </w:pPr>
      <w:r>
        <w:t>A</w:t>
      </w:r>
      <w:r w:rsidRPr="00BD01F3">
        <w:t xml:space="preserve">llocating funds </w:t>
      </w:r>
      <w:r>
        <w:t xml:space="preserve">for services </w:t>
      </w:r>
      <w:r w:rsidRPr="00BD01F3">
        <w:t>to</w:t>
      </w:r>
      <w:r>
        <w:t xml:space="preserve"> the</w:t>
      </w:r>
      <w:r w:rsidRPr="00BD01F3">
        <w:t xml:space="preserve"> Boards</w:t>
      </w:r>
      <w:r>
        <w:t xml:space="preserve"> through grant agreements.</w:t>
      </w:r>
    </w:p>
    <w:p w14:paraId="6969487A" w14:textId="77777777" w:rsidR="006420CB" w:rsidRDefault="006420CB" w:rsidP="00C64851">
      <w:pPr>
        <w:pStyle w:val="BodyText"/>
        <w:numPr>
          <w:ilvl w:val="0"/>
          <w:numId w:val="813"/>
        </w:numPr>
      </w:pPr>
      <w:r>
        <w:t>P</w:t>
      </w:r>
      <w:r w:rsidRPr="00BD01F3">
        <w:t>roviding technical assistance</w:t>
      </w:r>
      <w:r>
        <w:t xml:space="preserve"> to the Boards.</w:t>
      </w:r>
    </w:p>
    <w:p w14:paraId="070E564D" w14:textId="77777777" w:rsidR="006420CB" w:rsidRPr="00FF73BB" w:rsidRDefault="006420CB" w:rsidP="00C64851">
      <w:pPr>
        <w:pStyle w:val="BodyText"/>
        <w:numPr>
          <w:ilvl w:val="0"/>
          <w:numId w:val="813"/>
        </w:numPr>
      </w:pPr>
      <w:r>
        <w:t>E</w:t>
      </w:r>
      <w:r w:rsidRPr="00FF73BB">
        <w:t>stablishing</w:t>
      </w:r>
      <w:r>
        <w:t xml:space="preserve"> and monitoring</w:t>
      </w:r>
      <w:r w:rsidRPr="00FF73BB">
        <w:t xml:space="preserve"> Board performance targets</w:t>
      </w:r>
      <w:r>
        <w:t>.</w:t>
      </w:r>
    </w:p>
    <w:p w14:paraId="56F30E5A" w14:textId="77777777" w:rsidR="006420CB" w:rsidRDefault="006420CB" w:rsidP="00624D06">
      <w:pPr>
        <w:pStyle w:val="BodyText"/>
        <w:rPr>
          <w:kern w:val="2"/>
          <w14:ligatures w14:val="standardContextual"/>
        </w:rPr>
      </w:pPr>
      <w:r w:rsidRPr="3B1C8055">
        <w:rPr>
          <w:kern w:val="2"/>
          <w14:ligatures w14:val="standardContextual"/>
        </w:rPr>
        <w:t xml:space="preserve">TWC </w:t>
      </w:r>
      <w:r w:rsidRPr="3B1C8055">
        <w:t xml:space="preserve">allocates funding and sets performance targets for each program through annual non-competitive grant awards with </w:t>
      </w:r>
      <w:r w:rsidRPr="3B1C8055">
        <w:rPr>
          <w:kern w:val="2"/>
          <w14:ligatures w14:val="standardContextual"/>
        </w:rPr>
        <w:t xml:space="preserve">each of the 28 Boards to administer services. </w:t>
      </w:r>
      <w:r w:rsidRPr="002F1FF5">
        <w:t xml:space="preserve">In addition to the board operating grants, the Agency Board Agreement (ABA) establishes the working relationship between TWC and each Board and includes the goals, responsibilities, and obligations of the parties in respect to the administration of the mandatory programs, including staff and service delivery. </w:t>
      </w:r>
      <w:r w:rsidRPr="3B1C8055">
        <w:t>Each Board then</w:t>
      </w:r>
      <w:r w:rsidRPr="3B1C8055">
        <w:rPr>
          <w:kern w:val="2"/>
          <w14:ligatures w14:val="standardContextual"/>
        </w:rPr>
        <w:t xml:space="preserve"> competitively procures contractors </w:t>
      </w:r>
      <w:r w:rsidRPr="3B1C8055">
        <w:lastRenderedPageBreak/>
        <w:t>that</w:t>
      </w:r>
      <w:r w:rsidRPr="3B1C8055">
        <w:rPr>
          <w:kern w:val="2"/>
          <w14:ligatures w14:val="standardContextual"/>
        </w:rPr>
        <w:t xml:space="preserve"> employ Workforce Solutions</w:t>
      </w:r>
      <w:r w:rsidRPr="3B1C8055">
        <w:t xml:space="preserve"> Office </w:t>
      </w:r>
      <w:r w:rsidRPr="3B1C8055">
        <w:rPr>
          <w:kern w:val="2"/>
          <w14:ligatures w14:val="standardContextual"/>
        </w:rPr>
        <w:t>staff. Workforce Solutions staff provide services</w:t>
      </w:r>
      <w:r w:rsidRPr="3B1C8055">
        <w:t xml:space="preserve"> directly</w:t>
      </w:r>
      <w:r w:rsidRPr="3B1C8055">
        <w:rPr>
          <w:kern w:val="2"/>
          <w14:ligatures w14:val="standardContextual"/>
        </w:rPr>
        <w:t xml:space="preserve"> to </w:t>
      </w:r>
      <w:r w:rsidRPr="3B1C8055">
        <w:t>program participants</w:t>
      </w:r>
      <w:r w:rsidRPr="3B1C8055">
        <w:rPr>
          <w:kern w:val="2"/>
          <w14:ligatures w14:val="standardContextual"/>
        </w:rPr>
        <w:t>.</w:t>
      </w:r>
      <w:r w:rsidRPr="3B1C8055">
        <w:t xml:space="preserve">  While Choices and SNAP E&amp;T services are offered by all 28 Boards, only 21 offer NCP services.</w:t>
      </w:r>
    </w:p>
    <w:p w14:paraId="457A7740" w14:textId="77777777" w:rsidR="006420CB" w:rsidRDefault="006420CB" w:rsidP="00624D06">
      <w:pPr>
        <w:pStyle w:val="BodyText"/>
        <w:rPr>
          <w:rFonts w:eastAsia="Aptos"/>
          <w:kern w:val="2"/>
          <w:sz w:val="24"/>
          <w:szCs w:val="24"/>
          <w14:ligatures w14:val="standardContextual"/>
        </w:rPr>
      </w:pPr>
      <w:r>
        <w:t>HHSC</w:t>
      </w:r>
      <w:r w:rsidRPr="000F25DC">
        <w:t xml:space="preserve"> is the administering agency</w:t>
      </w:r>
      <w:r w:rsidRPr="000F25DC">
        <w:rPr>
          <w:spacing w:val="-1"/>
        </w:rPr>
        <w:t xml:space="preserve"> </w:t>
      </w:r>
      <w:r w:rsidRPr="000F25DC">
        <w:t xml:space="preserve">for </w:t>
      </w:r>
      <w:r>
        <w:t xml:space="preserve">both </w:t>
      </w:r>
      <w:r w:rsidRPr="000F25DC">
        <w:t xml:space="preserve">TANF </w:t>
      </w:r>
      <w:r>
        <w:t xml:space="preserve">and SNAP assistance in </w:t>
      </w:r>
      <w:r w:rsidRPr="000F25DC">
        <w:t>Texas.</w:t>
      </w:r>
      <w:r>
        <w:t xml:space="preserve">  As such, TWC works closely with HHSC to provide workforce services to program participants.  T</w:t>
      </w:r>
      <w:r>
        <w:rPr>
          <w:rFonts w:eastAsia="Aptos"/>
          <w:kern w:val="2"/>
          <w:sz w:val="24"/>
          <w:szCs w:val="24"/>
          <w14:ligatures w14:val="standardContextual"/>
        </w:rPr>
        <w:t>WC receives customer r</w:t>
      </w:r>
      <w:r w:rsidRPr="000F25DC">
        <w:rPr>
          <w:rFonts w:eastAsia="Aptos"/>
          <w:kern w:val="2"/>
          <w:sz w:val="24"/>
          <w:szCs w:val="24"/>
          <w14:ligatures w14:val="standardContextual"/>
        </w:rPr>
        <w:t xml:space="preserve">eferrals </w:t>
      </w:r>
      <w:r>
        <w:rPr>
          <w:rFonts w:eastAsia="Aptos"/>
          <w:kern w:val="2"/>
          <w:sz w:val="24"/>
          <w:szCs w:val="24"/>
          <w14:ligatures w14:val="standardContextual"/>
        </w:rPr>
        <w:t>for the Choices and SNAP E&amp;T programs</w:t>
      </w:r>
      <w:r w:rsidRPr="000F25DC">
        <w:rPr>
          <w:rFonts w:eastAsia="Aptos"/>
          <w:kern w:val="2"/>
          <w:sz w:val="24"/>
          <w:szCs w:val="24"/>
          <w14:ligatures w14:val="standardContextual"/>
        </w:rPr>
        <w:t xml:space="preserve"> through an automated interface with </w:t>
      </w:r>
      <w:r>
        <w:rPr>
          <w:rFonts w:eastAsia="Aptos"/>
          <w:kern w:val="2"/>
          <w:sz w:val="24"/>
          <w:szCs w:val="24"/>
          <w14:ligatures w14:val="standardContextual"/>
        </w:rPr>
        <w:t>HHSC.</w:t>
      </w:r>
      <w:r w:rsidRPr="002F1FF5">
        <w:rPr>
          <w:rFonts w:eastAsia="Aptos"/>
          <w:kern w:val="2"/>
          <w:sz w:val="24"/>
          <w:szCs w:val="24"/>
          <w14:ligatures w14:val="standardContextual"/>
        </w:rPr>
        <w:t xml:space="preserve">  TWC receives referrals </w:t>
      </w:r>
      <w:r>
        <w:rPr>
          <w:rFonts w:eastAsia="Aptos"/>
          <w:kern w:val="2"/>
          <w:sz w:val="24"/>
          <w:szCs w:val="24"/>
          <w14:ligatures w14:val="standardContextual"/>
        </w:rPr>
        <w:t>for the</w:t>
      </w:r>
      <w:r w:rsidRPr="002F1FF5">
        <w:rPr>
          <w:rFonts w:eastAsia="Aptos"/>
          <w:kern w:val="2"/>
          <w:sz w:val="24"/>
          <w:szCs w:val="24"/>
          <w14:ligatures w14:val="standardContextual"/>
        </w:rPr>
        <w:t xml:space="preserve"> NCP </w:t>
      </w:r>
      <w:r>
        <w:rPr>
          <w:rFonts w:eastAsia="Aptos"/>
          <w:kern w:val="2"/>
          <w:sz w:val="24"/>
          <w:szCs w:val="24"/>
          <w14:ligatures w14:val="standardContextual"/>
        </w:rPr>
        <w:t>program</w:t>
      </w:r>
      <w:r w:rsidRPr="002F1FF5">
        <w:rPr>
          <w:rFonts w:eastAsia="Aptos"/>
          <w:kern w:val="2"/>
          <w:sz w:val="24"/>
          <w:szCs w:val="24"/>
          <w14:ligatures w14:val="standardContextual"/>
        </w:rPr>
        <w:t xml:space="preserve"> from the Office of the Attorney General</w:t>
      </w:r>
      <w:r>
        <w:rPr>
          <w:rFonts w:eastAsia="Aptos"/>
          <w:kern w:val="2"/>
          <w:sz w:val="24"/>
          <w:szCs w:val="24"/>
          <w14:ligatures w14:val="standardContextual"/>
        </w:rPr>
        <w:t>’s Child Support Division</w:t>
      </w:r>
      <w:r w:rsidRPr="002F1FF5">
        <w:rPr>
          <w:rFonts w:eastAsia="Aptos"/>
          <w:kern w:val="2"/>
          <w:sz w:val="24"/>
          <w:szCs w:val="24"/>
          <w14:ligatures w14:val="standardContextual"/>
        </w:rPr>
        <w:t xml:space="preserve">.  </w:t>
      </w:r>
      <w:r w:rsidRPr="000F25DC">
        <w:rPr>
          <w:rFonts w:eastAsia="Aptos"/>
          <w:kern w:val="2"/>
          <w:sz w:val="24"/>
          <w:szCs w:val="24"/>
          <w14:ligatures w14:val="standardContextual"/>
        </w:rPr>
        <w:t xml:space="preserve">Workforce Solutions staff contact clients based on </w:t>
      </w:r>
      <w:r>
        <w:rPr>
          <w:rFonts w:eastAsia="Aptos"/>
          <w:kern w:val="2"/>
          <w:sz w:val="24"/>
          <w:szCs w:val="24"/>
          <w14:ligatures w14:val="standardContextual"/>
        </w:rPr>
        <w:t>referral lists provided by TWC</w:t>
      </w:r>
      <w:r w:rsidRPr="000F25DC">
        <w:rPr>
          <w:rFonts w:eastAsia="Aptos"/>
          <w:kern w:val="2"/>
          <w:sz w:val="24"/>
          <w:szCs w:val="24"/>
          <w14:ligatures w14:val="standardContextual"/>
        </w:rPr>
        <w:t>.</w:t>
      </w:r>
    </w:p>
    <w:p w14:paraId="063DA2F4" w14:textId="3D98C845" w:rsidR="006420CB" w:rsidRPr="002F1FF5" w:rsidRDefault="00624D06" w:rsidP="00624D06">
      <w:pPr>
        <w:pStyle w:val="BodyText3"/>
        <w:ind w:left="720" w:hanging="720"/>
        <w:rPr>
          <w:rFonts w:cstheme="minorHAnsi"/>
          <w:bCs/>
        </w:rPr>
      </w:pPr>
      <w:r>
        <w:t>C.</w:t>
      </w:r>
      <w:r>
        <w:tab/>
      </w:r>
      <w:r w:rsidR="006420CB" w:rsidRPr="002F1FF5">
        <w:t xml:space="preserve">What information does the agency collect/use to assess the effectiveness and efficiency of this division or program? If applicable, briefly note any LBB performance measures (from Section II, </w:t>
      </w:r>
      <w:proofErr w:type="gramStart"/>
      <w:r w:rsidR="006420CB" w:rsidRPr="002F1FF5">
        <w:t>Exhibit</w:t>
      </w:r>
      <w:proofErr w:type="gramEnd"/>
      <w:r w:rsidR="006420CB" w:rsidRPr="002F1FF5">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0EE82F46" w14:textId="77777777" w:rsidR="006420CB" w:rsidRDefault="006420CB" w:rsidP="00624D06">
      <w:pPr>
        <w:pStyle w:val="BodyText"/>
      </w:pPr>
      <w:r w:rsidRPr="00EC79FB">
        <w:t>The LBB</w:t>
      </w:r>
      <w:r>
        <w:t xml:space="preserve"> has established the following measures for the TANF Choices and SNAP E&amp;T programs.  </w:t>
      </w:r>
      <w:r w:rsidRPr="002A3C7F">
        <w:t>Refer</w:t>
      </w:r>
      <w:r>
        <w:t xml:space="preserve"> </w:t>
      </w:r>
      <w:r w:rsidRPr="002A3C7F">
        <w:t>to</w:t>
      </w:r>
      <w:r>
        <w:t xml:space="preserve"> </w:t>
      </w:r>
      <w:r w:rsidRPr="002A3C7F">
        <w:t>Section</w:t>
      </w:r>
      <w:r>
        <w:t xml:space="preserve"> </w:t>
      </w:r>
      <w:r w:rsidRPr="002A3C7F">
        <w:t>II,</w:t>
      </w:r>
      <w:r>
        <w:t xml:space="preserve"> </w:t>
      </w:r>
      <w:r w:rsidRPr="002A3C7F">
        <w:t>Exhibit</w:t>
      </w:r>
      <w:r>
        <w:t xml:space="preserve"> </w:t>
      </w:r>
      <w:r w:rsidRPr="002A3C7F">
        <w:t>2</w:t>
      </w:r>
      <w:r>
        <w:t xml:space="preserve"> </w:t>
      </w:r>
      <w:r w:rsidRPr="002A3C7F">
        <w:t>for</w:t>
      </w:r>
      <w:r>
        <w:t xml:space="preserve"> </w:t>
      </w:r>
      <w:r w:rsidRPr="002A3C7F">
        <w:t>actual</w:t>
      </w:r>
      <w:r>
        <w:t xml:space="preserve"> </w:t>
      </w:r>
      <w:r w:rsidRPr="002A3C7F">
        <w:t>program</w:t>
      </w:r>
      <w:r>
        <w:t xml:space="preserve"> </w:t>
      </w:r>
      <w:r w:rsidRPr="002A3C7F">
        <w:t>performance</w:t>
      </w:r>
      <w:r>
        <w:t xml:space="preserve"> outcomes.</w:t>
      </w:r>
    </w:p>
    <w:p w14:paraId="16A46B76" w14:textId="77777777" w:rsidR="006420CB" w:rsidRPr="002F1FF5" w:rsidRDefault="006420CB" w:rsidP="00624D06">
      <w:pPr>
        <w:pStyle w:val="BodyText"/>
        <w:rPr>
          <w:b/>
          <w:bCs/>
        </w:rPr>
      </w:pPr>
      <w:r w:rsidRPr="002F1FF5">
        <w:rPr>
          <w:b/>
          <w:bCs/>
        </w:rPr>
        <w:t xml:space="preserve">Choices </w:t>
      </w:r>
    </w:p>
    <w:p w14:paraId="3CBB47CA" w14:textId="77777777" w:rsidR="006420CB" w:rsidRPr="00A96173" w:rsidRDefault="006420CB" w:rsidP="00C64851">
      <w:pPr>
        <w:pStyle w:val="BodyText"/>
        <w:numPr>
          <w:ilvl w:val="0"/>
          <w:numId w:val="814"/>
        </w:numPr>
      </w:pPr>
      <w:r w:rsidRPr="00A96173">
        <w:t>Participants Served – TANF Choices</w:t>
      </w:r>
    </w:p>
    <w:p w14:paraId="77BDD384" w14:textId="77777777" w:rsidR="006420CB" w:rsidRPr="00A96173" w:rsidRDefault="006420CB" w:rsidP="00C64851">
      <w:pPr>
        <w:pStyle w:val="BodyText"/>
        <w:numPr>
          <w:ilvl w:val="0"/>
          <w:numId w:val="814"/>
        </w:numPr>
      </w:pPr>
      <w:r w:rsidRPr="00A96173">
        <w:t>Avg Cost Per Participant Served - TANF Choices</w:t>
      </w:r>
    </w:p>
    <w:p w14:paraId="48686590" w14:textId="77777777" w:rsidR="006420CB" w:rsidRPr="00A96173" w:rsidRDefault="006420CB" w:rsidP="00C64851">
      <w:pPr>
        <w:pStyle w:val="BodyText"/>
        <w:numPr>
          <w:ilvl w:val="0"/>
          <w:numId w:val="814"/>
        </w:numPr>
      </w:pPr>
      <w:r w:rsidRPr="00A96173">
        <w:t>Credential Rate – TANF Choices</w:t>
      </w:r>
    </w:p>
    <w:p w14:paraId="680D33D4" w14:textId="77777777" w:rsidR="006420CB" w:rsidRDefault="006420CB" w:rsidP="00C64851">
      <w:pPr>
        <w:pStyle w:val="BodyText"/>
        <w:numPr>
          <w:ilvl w:val="0"/>
          <w:numId w:val="814"/>
        </w:numPr>
      </w:pPr>
      <w:r w:rsidRPr="00A96173">
        <w:t>Employed/Enrolled Q2-Q4 Post Exit – TANF Choices</w:t>
      </w:r>
    </w:p>
    <w:p w14:paraId="1D24F752" w14:textId="77777777" w:rsidR="006420CB" w:rsidRPr="002F1FF5" w:rsidRDefault="006420CB" w:rsidP="00624D06">
      <w:pPr>
        <w:pStyle w:val="BodyText"/>
        <w:rPr>
          <w:b/>
          <w:bCs/>
        </w:rPr>
      </w:pPr>
      <w:r w:rsidRPr="002F1FF5">
        <w:rPr>
          <w:b/>
          <w:bCs/>
        </w:rPr>
        <w:t>SNAP E&amp;T</w:t>
      </w:r>
    </w:p>
    <w:p w14:paraId="2E30C754" w14:textId="77777777" w:rsidR="006420CB" w:rsidRPr="00D678BE" w:rsidRDefault="006420CB" w:rsidP="00C64851">
      <w:pPr>
        <w:pStyle w:val="BodyText"/>
        <w:numPr>
          <w:ilvl w:val="0"/>
          <w:numId w:val="815"/>
        </w:numPr>
      </w:pPr>
      <w:r w:rsidRPr="00D678BE">
        <w:t>Participants Served – SNAP E&amp;T</w:t>
      </w:r>
    </w:p>
    <w:p w14:paraId="205BA062" w14:textId="77777777" w:rsidR="006420CB" w:rsidRPr="00D678BE" w:rsidRDefault="006420CB" w:rsidP="00C64851">
      <w:pPr>
        <w:pStyle w:val="BodyText"/>
        <w:numPr>
          <w:ilvl w:val="0"/>
          <w:numId w:val="815"/>
        </w:numPr>
      </w:pPr>
      <w:r w:rsidRPr="00D678BE">
        <w:t>Avg Cost Per Participant Served - SNAP E&amp;T</w:t>
      </w:r>
    </w:p>
    <w:p w14:paraId="76249249" w14:textId="77777777" w:rsidR="006420CB" w:rsidRPr="00D678BE" w:rsidRDefault="006420CB" w:rsidP="00C64851">
      <w:pPr>
        <w:pStyle w:val="BodyText"/>
        <w:numPr>
          <w:ilvl w:val="0"/>
          <w:numId w:val="815"/>
        </w:numPr>
      </w:pPr>
      <w:r w:rsidRPr="00D678BE">
        <w:t>Median Earnings Q2 Post Exit – SNAP E&amp;T</w:t>
      </w:r>
    </w:p>
    <w:p w14:paraId="740CEDAE" w14:textId="77777777" w:rsidR="006420CB" w:rsidRPr="00D678BE" w:rsidRDefault="006420CB" w:rsidP="00C64851">
      <w:pPr>
        <w:pStyle w:val="BodyText"/>
        <w:numPr>
          <w:ilvl w:val="0"/>
          <w:numId w:val="815"/>
        </w:numPr>
      </w:pPr>
      <w:r w:rsidRPr="00D678BE">
        <w:t>Credential Rate – SNAP E&amp;T</w:t>
      </w:r>
    </w:p>
    <w:p w14:paraId="2F073375" w14:textId="77777777" w:rsidR="006420CB" w:rsidRPr="00D678BE" w:rsidRDefault="006420CB" w:rsidP="00C64851">
      <w:pPr>
        <w:pStyle w:val="BodyText"/>
        <w:numPr>
          <w:ilvl w:val="0"/>
          <w:numId w:val="815"/>
        </w:numPr>
      </w:pPr>
      <w:r w:rsidRPr="00D678BE">
        <w:t>Employed/Enrolled Q2 Post Exit – SNAP E&amp;T</w:t>
      </w:r>
    </w:p>
    <w:p w14:paraId="424DE419" w14:textId="77777777" w:rsidR="006420CB" w:rsidRPr="00511C29" w:rsidRDefault="006420CB" w:rsidP="00C64851">
      <w:pPr>
        <w:pStyle w:val="BodyText"/>
        <w:numPr>
          <w:ilvl w:val="0"/>
          <w:numId w:val="815"/>
        </w:numPr>
      </w:pPr>
      <w:r w:rsidRPr="00D678BE">
        <w:t>Employed/Enrolled Q2-Q4 Post Exit – SNAP E&amp;T</w:t>
      </w:r>
    </w:p>
    <w:p w14:paraId="13ADC6A0" w14:textId="77777777" w:rsidR="006420CB" w:rsidRDefault="006420CB" w:rsidP="00624D06">
      <w:pPr>
        <w:pStyle w:val="BodyText"/>
      </w:pPr>
      <w:r>
        <w:lastRenderedPageBreak/>
        <w:t>In addition to the LBB measures, TWC has established the following Board Contract Year (BCY) measures.</w:t>
      </w:r>
    </w:p>
    <w:p w14:paraId="61D753B6" w14:textId="77777777" w:rsidR="006420CB" w:rsidRDefault="006420CB" w:rsidP="00355810">
      <w:pPr>
        <w:pStyle w:val="BodyText"/>
      </w:pPr>
      <w:r>
        <w:t>BCY 2024 program measures for the TANF Choices program include:</w:t>
      </w:r>
    </w:p>
    <w:p w14:paraId="1CB35006" w14:textId="77777777" w:rsidR="006420CB" w:rsidRDefault="006420CB" w:rsidP="00C64851">
      <w:pPr>
        <w:pStyle w:val="BodyText"/>
        <w:numPr>
          <w:ilvl w:val="0"/>
          <w:numId w:val="816"/>
        </w:numPr>
      </w:pPr>
      <w:r>
        <w:t>Choices Full Engagement</w:t>
      </w:r>
    </w:p>
    <w:p w14:paraId="2611C707" w14:textId="77777777" w:rsidR="006420CB" w:rsidRPr="00562422" w:rsidRDefault="006420CB" w:rsidP="00C64851">
      <w:pPr>
        <w:pStyle w:val="BodyText"/>
        <w:numPr>
          <w:ilvl w:val="0"/>
          <w:numId w:val="816"/>
        </w:numPr>
      </w:pPr>
      <w:r w:rsidRPr="00304792">
        <w:t>Career and Training Employed/Enrolled Q2 Post Exit</w:t>
      </w:r>
      <w:r>
        <w:t>,</w:t>
      </w:r>
    </w:p>
    <w:p w14:paraId="130D3103" w14:textId="77777777" w:rsidR="006420CB" w:rsidRDefault="006420CB" w:rsidP="00C64851">
      <w:pPr>
        <w:pStyle w:val="BodyText"/>
        <w:numPr>
          <w:ilvl w:val="0"/>
          <w:numId w:val="816"/>
        </w:numPr>
      </w:pPr>
      <w:r w:rsidRPr="007F79C7">
        <w:t>Career and Training Employed/Enrolled Q2 – Q4 Post Exit</w:t>
      </w:r>
      <w:r>
        <w:t xml:space="preserve">, </w:t>
      </w:r>
      <w:r w:rsidRPr="00562422">
        <w:t>and,</w:t>
      </w:r>
    </w:p>
    <w:p w14:paraId="7C1DEEEB" w14:textId="77777777" w:rsidR="006420CB" w:rsidRDefault="006420CB" w:rsidP="00C64851">
      <w:pPr>
        <w:pStyle w:val="BodyText"/>
        <w:numPr>
          <w:ilvl w:val="0"/>
          <w:numId w:val="816"/>
        </w:numPr>
      </w:pPr>
      <w:r w:rsidRPr="003E697A">
        <w:t>Career and Training participants Credential Rate </w:t>
      </w:r>
    </w:p>
    <w:p w14:paraId="3F4C3180" w14:textId="77777777" w:rsidR="006420CB" w:rsidRDefault="006420CB" w:rsidP="00355810">
      <w:pPr>
        <w:pStyle w:val="BodyText"/>
      </w:pPr>
      <w:r>
        <w:t>BCY 2024 program</w:t>
      </w:r>
      <w:r w:rsidRPr="00562422">
        <w:t xml:space="preserve"> measures for the </w:t>
      </w:r>
      <w:r>
        <w:t xml:space="preserve">SNAP E&amp;T </w:t>
      </w:r>
      <w:r w:rsidRPr="00562422">
        <w:t xml:space="preserve">program include: </w:t>
      </w:r>
    </w:p>
    <w:p w14:paraId="6913D8DC" w14:textId="77777777" w:rsidR="006420CB" w:rsidRDefault="006420CB" w:rsidP="00C64851">
      <w:pPr>
        <w:pStyle w:val="BodyText"/>
        <w:numPr>
          <w:ilvl w:val="0"/>
          <w:numId w:val="817"/>
        </w:numPr>
      </w:pPr>
      <w:r w:rsidRPr="007F79C7">
        <w:t>Career and Training Employed/Enrolled Q2 – Q4 Post Exit</w:t>
      </w:r>
      <w:r>
        <w:t xml:space="preserve">, </w:t>
      </w:r>
      <w:r w:rsidRPr="00562422">
        <w:t>and,</w:t>
      </w:r>
    </w:p>
    <w:p w14:paraId="39735633" w14:textId="77777777" w:rsidR="006420CB" w:rsidRDefault="006420CB" w:rsidP="00C64851">
      <w:pPr>
        <w:pStyle w:val="BodyText"/>
        <w:numPr>
          <w:ilvl w:val="0"/>
          <w:numId w:val="817"/>
        </w:numPr>
      </w:pPr>
      <w:r w:rsidRPr="003E697A">
        <w:t>Career and Training participants Credential Rate </w:t>
      </w:r>
    </w:p>
    <w:p w14:paraId="18BEBA0C" w14:textId="77777777" w:rsidR="006420CB" w:rsidRDefault="006420CB" w:rsidP="00C64851">
      <w:pPr>
        <w:pStyle w:val="BodyText"/>
        <w:numPr>
          <w:ilvl w:val="0"/>
          <w:numId w:val="817"/>
        </w:numPr>
      </w:pPr>
      <w:r w:rsidRPr="00470704">
        <w:t>Career and Training participants Credential Rate </w:t>
      </w:r>
    </w:p>
    <w:p w14:paraId="1A430612" w14:textId="77777777" w:rsidR="006420CB" w:rsidRDefault="006420CB" w:rsidP="00355810">
      <w:pPr>
        <w:pStyle w:val="BodyText"/>
      </w:pPr>
      <w:r>
        <w:t>BCY 2024 program</w:t>
      </w:r>
      <w:r w:rsidRPr="002F1FF5">
        <w:t xml:space="preserve"> measures for the NCP program include: </w:t>
      </w:r>
    </w:p>
    <w:p w14:paraId="184CA327" w14:textId="77777777" w:rsidR="006420CB" w:rsidRPr="002F1FF5" w:rsidRDefault="006420CB" w:rsidP="00C64851">
      <w:pPr>
        <w:pStyle w:val="BodyText"/>
        <w:numPr>
          <w:ilvl w:val="0"/>
          <w:numId w:val="818"/>
        </w:numPr>
      </w:pPr>
      <w:r w:rsidRPr="002F1FF5">
        <w:t>Employed/Enrolled Q2 Post Exit</w:t>
      </w:r>
    </w:p>
    <w:p w14:paraId="4F1BD500" w14:textId="77777777" w:rsidR="006420CB" w:rsidRPr="002F1FF5" w:rsidRDefault="006420CB" w:rsidP="00C64851">
      <w:pPr>
        <w:pStyle w:val="BodyText"/>
        <w:numPr>
          <w:ilvl w:val="0"/>
          <w:numId w:val="818"/>
        </w:numPr>
      </w:pPr>
      <w:r w:rsidRPr="002F1FF5">
        <w:t>Employed/Enrolled Q2 –Q4 Post Exi</w:t>
      </w:r>
      <w:r>
        <w:t>t</w:t>
      </w:r>
    </w:p>
    <w:p w14:paraId="79C745ED" w14:textId="77777777" w:rsidR="006420CB" w:rsidRPr="002F1FF5" w:rsidRDefault="006420CB" w:rsidP="00C64851">
      <w:pPr>
        <w:pStyle w:val="BodyText"/>
        <w:numPr>
          <w:ilvl w:val="0"/>
          <w:numId w:val="818"/>
        </w:numPr>
      </w:pPr>
      <w:r w:rsidRPr="00304792">
        <w:t>Career and Training Employed/Enrolled Q2 Post Exit</w:t>
      </w:r>
    </w:p>
    <w:p w14:paraId="6CD288A2" w14:textId="77777777" w:rsidR="006420CB" w:rsidRPr="002F1FF5" w:rsidRDefault="006420CB" w:rsidP="00C64851">
      <w:pPr>
        <w:pStyle w:val="BodyText"/>
        <w:numPr>
          <w:ilvl w:val="0"/>
          <w:numId w:val="818"/>
        </w:numPr>
      </w:pPr>
      <w:r w:rsidRPr="007F79C7">
        <w:t>Career and Training Employed/Enrolled Q2 – Q4 Post Exit</w:t>
      </w:r>
    </w:p>
    <w:p w14:paraId="63D0B2A6" w14:textId="77777777" w:rsidR="006420CB" w:rsidRDefault="006420CB" w:rsidP="00C64851">
      <w:pPr>
        <w:pStyle w:val="BodyText"/>
        <w:numPr>
          <w:ilvl w:val="0"/>
          <w:numId w:val="818"/>
        </w:numPr>
        <w:rPr>
          <w:b/>
          <w:bCs/>
        </w:rPr>
      </w:pPr>
      <w:r w:rsidRPr="002F1FF5">
        <w:t>Career and Training Participants Credential Rate</w:t>
      </w:r>
    </w:p>
    <w:p w14:paraId="54940F7D" w14:textId="77777777" w:rsidR="006420CB" w:rsidRPr="002F1FF5" w:rsidRDefault="006420CB" w:rsidP="00355810">
      <w:pPr>
        <w:pStyle w:val="BodyText"/>
      </w:pPr>
      <w:r w:rsidRPr="002F1FF5">
        <w:t xml:space="preserve">In an ongoing effort to align performance measures with workforce system priorities, </w:t>
      </w:r>
      <w:r>
        <w:t xml:space="preserve">for BCY 2025 </w:t>
      </w:r>
      <w:r w:rsidRPr="002F1FF5">
        <w:t xml:space="preserve">TWC </w:t>
      </w:r>
      <w:r>
        <w:t xml:space="preserve">replaced </w:t>
      </w:r>
      <w:r w:rsidRPr="002F1FF5">
        <w:t xml:space="preserve">Career and Training Employed/Enrolled Q2 Post Exit with a new measure, Active Job Seeker New Employment Connection Rate, and Career and Training Employed/Enrolled Q2 – Q4 Post Exit was replaced with Maintaining Employment Connection Rate. </w:t>
      </w:r>
    </w:p>
    <w:p w14:paraId="0E568D0C" w14:textId="77777777" w:rsidR="006420CB" w:rsidRDefault="006420CB" w:rsidP="00355810">
      <w:pPr>
        <w:pStyle w:val="BodyText"/>
      </w:pPr>
      <w:r w:rsidRPr="6185154A">
        <w:t>TWC staff from the grants, program, and finance departments conduct monthly performance briefing</w:t>
      </w:r>
      <w:r>
        <w:t>s</w:t>
      </w:r>
      <w:r w:rsidRPr="6185154A">
        <w:t xml:space="preserve"> with </w:t>
      </w:r>
      <w:r>
        <w:t xml:space="preserve">Board </w:t>
      </w:r>
      <w:r w:rsidRPr="6185154A">
        <w:t xml:space="preserve">leadership to review the contracted performance measures, expenditures and outcomes. </w:t>
      </w:r>
      <w:r>
        <w:t>If</w:t>
      </w:r>
      <w:r w:rsidRPr="6185154A">
        <w:t xml:space="preserve"> </w:t>
      </w:r>
      <w:r>
        <w:t xml:space="preserve">a </w:t>
      </w:r>
      <w:r w:rsidRPr="6185154A">
        <w:t xml:space="preserve">Board </w:t>
      </w:r>
      <w:r>
        <w:t>is</w:t>
      </w:r>
      <w:r w:rsidRPr="6185154A">
        <w:t xml:space="preserve"> not meeting performance, a corrective action plan is put in place.</w:t>
      </w:r>
    </w:p>
    <w:p w14:paraId="6FFFCAEE" w14:textId="594B1DF7" w:rsidR="006420CB" w:rsidRPr="002F1FF5" w:rsidRDefault="00355810" w:rsidP="00355810">
      <w:pPr>
        <w:pStyle w:val="BodyText3"/>
        <w:ind w:left="720" w:hanging="720"/>
      </w:pPr>
      <w:r>
        <w:t>D.</w:t>
      </w:r>
      <w:r>
        <w:tab/>
      </w:r>
      <w:r w:rsidR="006420CB" w:rsidRPr="002F1FF5">
        <w:t>Describe any important history regarding this division or program not included in the general</w:t>
      </w:r>
      <w:r w:rsidR="006420CB" w:rsidRPr="002F1FF5">
        <w:rPr>
          <w:spacing w:val="-1"/>
        </w:rPr>
        <w:t xml:space="preserve"> </w:t>
      </w:r>
      <w:r w:rsidR="006420CB" w:rsidRPr="002F1FF5">
        <w:t>agency</w:t>
      </w:r>
      <w:r w:rsidR="006420CB" w:rsidRPr="002F1FF5">
        <w:rPr>
          <w:spacing w:val="-1"/>
        </w:rPr>
        <w:t xml:space="preserve"> </w:t>
      </w:r>
      <w:r w:rsidR="006420CB" w:rsidRPr="002F1FF5">
        <w:t>history</w:t>
      </w:r>
      <w:r w:rsidR="006420CB" w:rsidRPr="002F1FF5">
        <w:rPr>
          <w:spacing w:val="-1"/>
        </w:rPr>
        <w:t xml:space="preserve"> </w:t>
      </w:r>
      <w:r w:rsidR="006420CB" w:rsidRPr="002F1FF5">
        <w:t>section,</w:t>
      </w:r>
      <w:r w:rsidR="006420CB" w:rsidRPr="002F1FF5">
        <w:rPr>
          <w:spacing w:val="-1"/>
        </w:rPr>
        <w:t xml:space="preserve"> </w:t>
      </w:r>
      <w:r w:rsidR="006420CB" w:rsidRPr="002F1FF5">
        <w:t>including</w:t>
      </w:r>
      <w:r w:rsidR="006420CB" w:rsidRPr="002F1FF5">
        <w:rPr>
          <w:spacing w:val="-2"/>
        </w:rPr>
        <w:t xml:space="preserve"> </w:t>
      </w:r>
      <w:r w:rsidR="006420CB" w:rsidRPr="002F1FF5">
        <w:t>how</w:t>
      </w:r>
      <w:r w:rsidR="006420CB" w:rsidRPr="002F1FF5">
        <w:rPr>
          <w:spacing w:val="-1"/>
        </w:rPr>
        <w:t xml:space="preserve"> </w:t>
      </w:r>
      <w:r w:rsidR="006420CB" w:rsidRPr="002F1FF5">
        <w:t xml:space="preserve">the functions or </w:t>
      </w:r>
      <w:r w:rsidR="006420CB" w:rsidRPr="002F1FF5">
        <w:lastRenderedPageBreak/>
        <w:t>services</w:t>
      </w:r>
      <w:r w:rsidR="006420CB" w:rsidRPr="002F1FF5">
        <w:rPr>
          <w:spacing w:val="-2"/>
        </w:rPr>
        <w:t xml:space="preserve"> </w:t>
      </w:r>
      <w:r w:rsidR="006420CB" w:rsidRPr="002F1FF5">
        <w:t>have changed over</w:t>
      </w:r>
      <w:r w:rsidR="006420CB" w:rsidRPr="002F1FF5">
        <w:rPr>
          <w:spacing w:val="-1"/>
        </w:rPr>
        <w:t xml:space="preserve"> </w:t>
      </w:r>
      <w:r w:rsidR="006420CB" w:rsidRPr="002F1FF5">
        <w:t>time. If the response to Section III of this report is sufficient, please leave this section blank.</w:t>
      </w:r>
    </w:p>
    <w:p w14:paraId="43190805" w14:textId="77777777" w:rsidR="006420CB" w:rsidRPr="00186448" w:rsidRDefault="006420CB" w:rsidP="00355810">
      <w:pPr>
        <w:pStyle w:val="BodyText"/>
      </w:pPr>
      <w:r>
        <w:t>T</w:t>
      </w:r>
      <w:r w:rsidRPr="00186448">
        <w:t>he Family Support Act of 1988 created the federal Job Opportunity and Basic Skills program, designed to move Aid to Families with Dependent Children recipients towards self-sufficiency through education and training.</w:t>
      </w:r>
    </w:p>
    <w:p w14:paraId="32556F86" w14:textId="77777777" w:rsidR="006420CB" w:rsidRPr="00186448" w:rsidRDefault="006420CB" w:rsidP="00355810">
      <w:pPr>
        <w:pStyle w:val="BodyText"/>
      </w:pPr>
      <w:r w:rsidRPr="00186448">
        <w:t>Texas began its own welfare reform with H.B. 1863 (1995), consolidating workforce development programs under the newly created Texas Workforce Commission and obtaining a federal waiver. This allowed Texas to implement stricter "work-first" policies, personal responsibility agreements, and time limits, which were later largely adopted or influenced federal welfare reform.</w:t>
      </w:r>
    </w:p>
    <w:p w14:paraId="12A43B01" w14:textId="77777777" w:rsidR="006420CB" w:rsidRPr="00186448" w:rsidRDefault="006420CB" w:rsidP="00355810">
      <w:pPr>
        <w:pStyle w:val="BodyText"/>
      </w:pPr>
      <w:r w:rsidRPr="00186448">
        <w:t xml:space="preserve">The Personal Responsibility and Work Opportunity Reconciliation Act of 1996 replaced </w:t>
      </w:r>
      <w:r>
        <w:t>Aid to Families with Dependent Children</w:t>
      </w:r>
      <w:r w:rsidRPr="00186448">
        <w:t xml:space="preserve"> with Temporary Assistance for Needy Families. Texas continued operating under its waiver (renaming its TANF employment program "Choices"), maintaining its focus on immediate employment and granting flexibility to local workforce boards.</w:t>
      </w:r>
    </w:p>
    <w:p w14:paraId="4178483D" w14:textId="77777777" w:rsidR="006420CB" w:rsidRDefault="006420CB" w:rsidP="00355810">
      <w:pPr>
        <w:pStyle w:val="BodyText"/>
      </w:pPr>
      <w:r w:rsidRPr="00186448">
        <w:t>Parallel to welfare reform, the Food Stamp Employment and Training program (now Supplemental Nutrition Assistance Program Employment and Training) evolved, introducing work requirements, particularly for Able-Bodied Adults Without Dependents</w:t>
      </w:r>
      <w:r>
        <w:t xml:space="preserve"> (ABAWDs)</w:t>
      </w:r>
      <w:r w:rsidRPr="00186448">
        <w:t>, and expanding services.</w:t>
      </w:r>
    </w:p>
    <w:p w14:paraId="3E7832D0" w14:textId="77777777" w:rsidR="006420CB" w:rsidRPr="00186448" w:rsidRDefault="006420CB" w:rsidP="00355810">
      <w:pPr>
        <w:pStyle w:val="BodyText"/>
      </w:pPr>
      <w:r>
        <w:t>I</w:t>
      </w:r>
      <w:r w:rsidRPr="00CA1DB3">
        <w:t>n August 2005, the NCP Choices program</w:t>
      </w:r>
      <w:r>
        <w:t xml:space="preserve">, </w:t>
      </w:r>
      <w:r w:rsidRPr="00CA1DB3">
        <w:t xml:space="preserve">a collaborative effort between TWC, </w:t>
      </w:r>
      <w:r>
        <w:t>Office of Attorney General</w:t>
      </w:r>
      <w:r w:rsidRPr="00CA1DB3">
        <w:t>, Boards, Workforce Solutions Office</w:t>
      </w:r>
      <w:r>
        <w:t>s</w:t>
      </w:r>
      <w:r w:rsidRPr="00CA1DB3">
        <w:t>, and family court judges</w:t>
      </w:r>
      <w:r>
        <w:t xml:space="preserve"> was initiated. </w:t>
      </w:r>
    </w:p>
    <w:p w14:paraId="2442298F" w14:textId="6CB6EB17" w:rsidR="006420CB" w:rsidRDefault="006420CB" w:rsidP="00355810">
      <w:pPr>
        <w:pStyle w:val="BodyText"/>
      </w:pPr>
      <w:r w:rsidRPr="00186448">
        <w:t>Administrative authority for these programs in Texas has shifted over time, notably with the TWC becoming central to workforce development and the recent transfer of SNAP E&amp;T administration from TWC to the Texas Health and Human Services Commission (HHSC)</w:t>
      </w:r>
      <w:r>
        <w:t xml:space="preserve"> in April 2018</w:t>
      </w:r>
      <w:r w:rsidRPr="00186448">
        <w:t>. Continuous federal acts (e.g., Deficit Reduction Act, Farm Bills, Agriculture Improvement Act, Fiscal Responsibility Act) have led to ongoing adjustments in program requirements, funding, and a stronger emphasis on employment outcomes and earning gains.</w:t>
      </w:r>
    </w:p>
    <w:p w14:paraId="722F8C45" w14:textId="39B0F5D0" w:rsidR="006420CB" w:rsidRPr="00A22182" w:rsidRDefault="0044493D" w:rsidP="0044493D">
      <w:pPr>
        <w:pStyle w:val="BodyText3"/>
        <w:ind w:left="720" w:hanging="720"/>
      </w:pPr>
      <w:r>
        <w:t>E.</w:t>
      </w:r>
      <w:r>
        <w:tab/>
      </w:r>
      <w:r w:rsidR="006420CB" w:rsidRPr="00A22182">
        <w:t>List any qualifications or eligibility requirements for persons or entities affected by this division or program (e.g., licensees, consumers, and landowners). Provide a statistical breakdown of persons or entities affected.</w:t>
      </w:r>
    </w:p>
    <w:p w14:paraId="1ECDD429" w14:textId="77777777" w:rsidR="006420CB" w:rsidRDefault="006420CB" w:rsidP="0044493D">
      <w:pPr>
        <w:pStyle w:val="BodyText"/>
      </w:pPr>
      <w:r w:rsidRPr="002F1FF5">
        <w:t xml:space="preserve">Each of these programs serve a different demographic of participants, with unique eligibility criteria. </w:t>
      </w:r>
      <w:r>
        <w:t xml:space="preserve"> HHSC and the Office of Attorney General determine eligibility for program participants and refer them to TWC for services.  </w:t>
      </w:r>
    </w:p>
    <w:p w14:paraId="0D8AA10B" w14:textId="77777777" w:rsidR="006420CB" w:rsidRPr="0044493D" w:rsidRDefault="006420CB" w:rsidP="0044493D">
      <w:pPr>
        <w:pStyle w:val="BodyText"/>
      </w:pPr>
      <w:r w:rsidRPr="0044493D">
        <w:t xml:space="preserve">The Choices program serves custodial parents who are currently receiving public assistance, while the NCP Choices program serves noncustodial parents whose child </w:t>
      </w:r>
      <w:r w:rsidRPr="0044493D">
        <w:lastRenderedPageBreak/>
        <w:t xml:space="preserve">support payments are in arears or have not been established. The Choices program that helps two kinds of families: those with one parent and those with two parents. For two-parent families, at least one of them must work to meet the program's work requirement.  Choices services assist applicants, recipients, non-recipient parents, and former recipients of TANF cash assistance in preparing for, obtaining, and retaining employment.  In FY 2024, 8,786 customers received Choices </w:t>
      </w:r>
      <w:proofErr w:type="gramStart"/>
      <w:r w:rsidRPr="0044493D">
        <w:t>services</w:t>
      </w:r>
      <w:proofErr w:type="gramEnd"/>
      <w:r w:rsidRPr="0044493D">
        <w:t xml:space="preserve"> and 7,534 customers received NCP Choices services.</w:t>
      </w:r>
    </w:p>
    <w:p w14:paraId="286C26B6" w14:textId="77777777" w:rsidR="006420CB" w:rsidRPr="0044493D" w:rsidRDefault="006420CB" w:rsidP="0044493D">
      <w:pPr>
        <w:pStyle w:val="BodyText"/>
      </w:pPr>
      <w:r w:rsidRPr="0044493D">
        <w:t>The SNAP E&amp;T program serves mandatory work registrants that are receiving food assistance and are 16 to 59 years old and work less than 30 hours per week or are unemployed</w:t>
      </w:r>
      <w:r w:rsidRPr="0044493D" w:rsidDel="00324395">
        <w:t>.</w:t>
      </w:r>
      <w:r w:rsidRPr="0044493D">
        <w:t xml:space="preserve"> The program may also serve SNAP recipients that are exempt from work registration or reside in minimum-service counties. In FY 2024, 3,802 customers received SNAP E&amp;T services. </w:t>
      </w:r>
    </w:p>
    <w:p w14:paraId="5973E2E9" w14:textId="77777777" w:rsidR="006420CB" w:rsidRPr="00A22182" w:rsidRDefault="006420CB" w:rsidP="0044493D">
      <w:pPr>
        <w:pStyle w:val="BodyText3"/>
        <w:ind w:left="720" w:hanging="720"/>
      </w:pPr>
      <w:r>
        <w:t>F.</w:t>
      </w:r>
      <w:r>
        <w:tab/>
      </w:r>
      <w:r w:rsidRPr="00A22182">
        <w:t>Describe how the division or program is administered, including a description of key processes involved. If you have existing documentation (e.g., flowcharts, timelines, and other illustrations)</w:t>
      </w:r>
      <w:r w:rsidRPr="00A22182">
        <w:rPr>
          <w:spacing w:val="-3"/>
        </w:rPr>
        <w:t xml:space="preserve"> </w:t>
      </w:r>
      <w:r w:rsidRPr="00A22182">
        <w:t>to</w:t>
      </w:r>
      <w:r w:rsidRPr="00A22182">
        <w:rPr>
          <w:spacing w:val="-2"/>
        </w:rPr>
        <w:t xml:space="preserve"> </w:t>
      </w:r>
      <w:r w:rsidRPr="00A22182">
        <w:t>describe</w:t>
      </w:r>
      <w:r w:rsidRPr="00A22182">
        <w:rPr>
          <w:spacing w:val="-6"/>
        </w:rPr>
        <w:t xml:space="preserve"> </w:t>
      </w:r>
      <w:r w:rsidRPr="00A22182">
        <w:t>agency</w:t>
      </w:r>
      <w:r w:rsidRPr="00A22182">
        <w:rPr>
          <w:spacing w:val="-3"/>
        </w:rPr>
        <w:t xml:space="preserve"> </w:t>
      </w:r>
      <w:r w:rsidRPr="00A22182">
        <w:t>policies</w:t>
      </w:r>
      <w:r w:rsidRPr="00A22182">
        <w:rPr>
          <w:spacing w:val="-2"/>
        </w:rPr>
        <w:t xml:space="preserve"> </w:t>
      </w:r>
      <w:r w:rsidRPr="00A22182">
        <w:t>and</w:t>
      </w:r>
      <w:r w:rsidRPr="00A22182">
        <w:rPr>
          <w:spacing w:val="-2"/>
        </w:rPr>
        <w:t xml:space="preserve"> </w:t>
      </w:r>
      <w:r w:rsidRPr="00A22182">
        <w:t>procedures,</w:t>
      </w:r>
      <w:r w:rsidRPr="00A22182">
        <w:rPr>
          <w:spacing w:val="-2"/>
        </w:rPr>
        <w:t xml:space="preserve"> </w:t>
      </w:r>
      <w:r w:rsidRPr="00A22182">
        <w:t>please</w:t>
      </w:r>
      <w:r w:rsidRPr="00A22182">
        <w:rPr>
          <w:spacing w:val="-3"/>
        </w:rPr>
        <w:t xml:space="preserve"> </w:t>
      </w:r>
      <w:r w:rsidRPr="00A22182">
        <w:t>include</w:t>
      </w:r>
      <w:r w:rsidRPr="00A22182">
        <w:rPr>
          <w:spacing w:val="-3"/>
        </w:rPr>
        <w:t xml:space="preserve"> </w:t>
      </w:r>
      <w:r w:rsidRPr="00A22182">
        <w:t>them</w:t>
      </w:r>
      <w:r w:rsidRPr="00A22182">
        <w:rPr>
          <w:spacing w:val="-3"/>
        </w:rPr>
        <w:t xml:space="preserve"> </w:t>
      </w:r>
      <w:r w:rsidRPr="00A22182">
        <w:t>as</w:t>
      </w:r>
      <w:r w:rsidRPr="00A22182">
        <w:rPr>
          <w:spacing w:val="-2"/>
        </w:rPr>
        <w:t xml:space="preserve"> </w:t>
      </w:r>
      <w:r w:rsidRPr="00A22182">
        <w:t>attachments. Indicate how field/regional services are used, if applicable.</w:t>
      </w:r>
    </w:p>
    <w:p w14:paraId="4DD4F556" w14:textId="77777777" w:rsidR="006420CB" w:rsidRDefault="006420CB" w:rsidP="0044493D">
      <w:pPr>
        <w:pStyle w:val="BodyText"/>
      </w:pPr>
      <w:r w:rsidRPr="000F25DC">
        <w:t>TWC provides the overall framework, funding, and oversight for the Choice</w:t>
      </w:r>
      <w:r>
        <w:t>s</w:t>
      </w:r>
      <w:r w:rsidRPr="000F25DC">
        <w:t>, NCP</w:t>
      </w:r>
      <w:r>
        <w:t xml:space="preserve">, and </w:t>
      </w:r>
      <w:r w:rsidRPr="000F25DC">
        <w:t xml:space="preserve">SNAP </w:t>
      </w:r>
      <w:r>
        <w:t xml:space="preserve">E&amp;T </w:t>
      </w:r>
      <w:r w:rsidRPr="000F25DC">
        <w:t xml:space="preserve">programs, while the </w:t>
      </w:r>
      <w:r>
        <w:t>L</w:t>
      </w:r>
      <w:r w:rsidRPr="000F25DC">
        <w:t>ocal Workforce Development Boards implement the program at the local level through contracts with service providers who deliver direct services to individuals. The program is designed to be client-centered and focused on helping individuals achieve their employment goals.</w:t>
      </w:r>
    </w:p>
    <w:p w14:paraId="7DD4C545" w14:textId="77777777" w:rsidR="006420CB" w:rsidRDefault="006420CB" w:rsidP="0044493D">
      <w:pPr>
        <w:pStyle w:val="BodyText"/>
      </w:pPr>
      <w:r>
        <w:t xml:space="preserve">The </w:t>
      </w:r>
      <w:r w:rsidRPr="000F25DC">
        <w:t>Choices, NCP, and SNAP E&amp;T</w:t>
      </w:r>
      <w:r>
        <w:t xml:space="preserve"> programs </w:t>
      </w:r>
      <w:r w:rsidRPr="000F25DC">
        <w:t xml:space="preserve">all </w:t>
      </w:r>
      <w:r>
        <w:t>use</w:t>
      </w:r>
      <w:r w:rsidRPr="000F25DC">
        <w:t xml:space="preserve"> similar service delivery models, offering assessment, employment</w:t>
      </w:r>
      <w:r w:rsidRPr="000F25DC">
        <w:rPr>
          <w:spacing w:val="-14"/>
        </w:rPr>
        <w:t xml:space="preserve"> </w:t>
      </w:r>
      <w:r w:rsidRPr="000F25DC">
        <w:t>plan</w:t>
      </w:r>
      <w:r w:rsidRPr="000F25DC">
        <w:rPr>
          <w:spacing w:val="-14"/>
        </w:rPr>
        <w:t xml:space="preserve"> </w:t>
      </w:r>
      <w:r w:rsidRPr="000F25DC">
        <w:t>development,</w:t>
      </w:r>
      <w:r w:rsidRPr="000F25DC">
        <w:rPr>
          <w:spacing w:val="-12"/>
        </w:rPr>
        <w:t xml:space="preserve"> </w:t>
      </w:r>
      <w:r w:rsidRPr="000F25DC">
        <w:t>case</w:t>
      </w:r>
      <w:r w:rsidRPr="000F25DC">
        <w:rPr>
          <w:spacing w:val="-13"/>
        </w:rPr>
        <w:t xml:space="preserve"> </w:t>
      </w:r>
      <w:r w:rsidRPr="000F25DC">
        <w:t>management,</w:t>
      </w:r>
      <w:r w:rsidRPr="000F25DC">
        <w:rPr>
          <w:spacing w:val="-13"/>
        </w:rPr>
        <w:t xml:space="preserve"> </w:t>
      </w:r>
      <w:r w:rsidRPr="000F25DC">
        <w:t>job</w:t>
      </w:r>
      <w:r w:rsidRPr="000F25DC">
        <w:rPr>
          <w:spacing w:val="-12"/>
        </w:rPr>
        <w:t xml:space="preserve"> </w:t>
      </w:r>
      <w:r w:rsidRPr="000F25DC">
        <w:t>search</w:t>
      </w:r>
      <w:r w:rsidRPr="000F25DC">
        <w:rPr>
          <w:spacing w:val="-14"/>
        </w:rPr>
        <w:t xml:space="preserve"> </w:t>
      </w:r>
      <w:r w:rsidRPr="000F25DC">
        <w:t>assistance,</w:t>
      </w:r>
      <w:r w:rsidRPr="000F25DC">
        <w:rPr>
          <w:spacing w:val="-13"/>
        </w:rPr>
        <w:t xml:space="preserve"> </w:t>
      </w:r>
      <w:r w:rsidRPr="000F25DC">
        <w:t>training</w:t>
      </w:r>
      <w:r w:rsidRPr="000F25DC">
        <w:rPr>
          <w:spacing w:val="-14"/>
        </w:rPr>
        <w:t xml:space="preserve"> </w:t>
      </w:r>
      <w:r w:rsidRPr="000F25DC">
        <w:t>opportunities, and</w:t>
      </w:r>
      <w:r w:rsidRPr="000F25DC">
        <w:rPr>
          <w:spacing w:val="-9"/>
        </w:rPr>
        <w:t xml:space="preserve"> </w:t>
      </w:r>
      <w:r w:rsidRPr="000F25DC">
        <w:t>support</w:t>
      </w:r>
      <w:r w:rsidRPr="000F25DC">
        <w:rPr>
          <w:spacing w:val="-9"/>
        </w:rPr>
        <w:t xml:space="preserve"> </w:t>
      </w:r>
      <w:r w:rsidRPr="000F25DC">
        <w:t>services.</w:t>
      </w:r>
      <w:r w:rsidRPr="000F25DC">
        <w:rPr>
          <w:spacing w:val="-8"/>
        </w:rPr>
        <w:t xml:space="preserve"> </w:t>
      </w:r>
      <w:r w:rsidRPr="000F25DC">
        <w:t>Choices,</w:t>
      </w:r>
      <w:r w:rsidRPr="000F25DC">
        <w:rPr>
          <w:spacing w:val="-9"/>
        </w:rPr>
        <w:t xml:space="preserve"> </w:t>
      </w:r>
      <w:r w:rsidRPr="000F25DC">
        <w:t>NCP,</w:t>
      </w:r>
      <w:r w:rsidRPr="000F25DC">
        <w:rPr>
          <w:spacing w:val="-9"/>
        </w:rPr>
        <w:t xml:space="preserve"> </w:t>
      </w:r>
      <w:r w:rsidRPr="000F25DC">
        <w:t>and</w:t>
      </w:r>
      <w:r w:rsidRPr="000F25DC">
        <w:rPr>
          <w:spacing w:val="-10"/>
        </w:rPr>
        <w:t xml:space="preserve"> </w:t>
      </w:r>
      <w:r w:rsidRPr="000F25DC">
        <w:t>SNAP</w:t>
      </w:r>
      <w:r w:rsidRPr="000F25DC">
        <w:rPr>
          <w:spacing w:val="-13"/>
        </w:rPr>
        <w:t xml:space="preserve"> </w:t>
      </w:r>
      <w:r w:rsidRPr="000F25DC">
        <w:t>E&amp;T</w:t>
      </w:r>
      <w:r w:rsidRPr="000F25DC">
        <w:rPr>
          <w:spacing w:val="-8"/>
        </w:rPr>
        <w:t xml:space="preserve"> </w:t>
      </w:r>
      <w:r w:rsidRPr="000F25DC">
        <w:t>are</w:t>
      </w:r>
      <w:r w:rsidRPr="000F25DC">
        <w:rPr>
          <w:spacing w:val="-8"/>
        </w:rPr>
        <w:t xml:space="preserve"> </w:t>
      </w:r>
      <w:r w:rsidRPr="000F25DC">
        <w:t>all</w:t>
      </w:r>
      <w:r w:rsidRPr="000F25DC">
        <w:rPr>
          <w:spacing w:val="-11"/>
        </w:rPr>
        <w:t xml:space="preserve"> </w:t>
      </w:r>
      <w:r w:rsidRPr="000F25DC">
        <w:t>mandatory participation programs. Services provided by all these programs aim to assist unemployed and underemployed individuals in obtaining stable, self-sufficient employment. The mandatory participation</w:t>
      </w:r>
      <w:r w:rsidRPr="000F25DC">
        <w:rPr>
          <w:spacing w:val="-10"/>
        </w:rPr>
        <w:t xml:space="preserve"> </w:t>
      </w:r>
      <w:r w:rsidRPr="000F25DC">
        <w:t>programs</w:t>
      </w:r>
      <w:r w:rsidRPr="000F25DC">
        <w:rPr>
          <w:spacing w:val="-11"/>
        </w:rPr>
        <w:t xml:space="preserve"> </w:t>
      </w:r>
      <w:r w:rsidRPr="000F25DC">
        <w:t>impose</w:t>
      </w:r>
      <w:r w:rsidRPr="000F25DC">
        <w:rPr>
          <w:spacing w:val="-11"/>
        </w:rPr>
        <w:t xml:space="preserve"> </w:t>
      </w:r>
      <w:r w:rsidRPr="000F25DC">
        <w:t>consequences</w:t>
      </w:r>
      <w:r w:rsidRPr="000F25DC">
        <w:rPr>
          <w:spacing w:val="-11"/>
        </w:rPr>
        <w:t xml:space="preserve"> </w:t>
      </w:r>
      <w:r w:rsidRPr="000F25DC">
        <w:t>for</w:t>
      </w:r>
      <w:r w:rsidRPr="000F25DC">
        <w:rPr>
          <w:spacing w:val="-11"/>
        </w:rPr>
        <w:t xml:space="preserve"> </w:t>
      </w:r>
      <w:r w:rsidRPr="000F25DC">
        <w:t>failure</w:t>
      </w:r>
      <w:r w:rsidRPr="000F25DC">
        <w:rPr>
          <w:spacing w:val="-13"/>
        </w:rPr>
        <w:t xml:space="preserve"> </w:t>
      </w:r>
      <w:r w:rsidRPr="000F25DC">
        <w:t>to</w:t>
      </w:r>
      <w:r w:rsidRPr="000F25DC">
        <w:rPr>
          <w:spacing w:val="-11"/>
        </w:rPr>
        <w:t xml:space="preserve"> </w:t>
      </w:r>
      <w:r w:rsidRPr="000F25DC">
        <w:t>participate</w:t>
      </w:r>
      <w:r w:rsidRPr="000F25DC">
        <w:rPr>
          <w:spacing w:val="-11"/>
        </w:rPr>
        <w:t xml:space="preserve"> </w:t>
      </w:r>
      <w:r w:rsidRPr="000F25DC">
        <w:t>as</w:t>
      </w:r>
      <w:r w:rsidRPr="000F25DC">
        <w:rPr>
          <w:spacing w:val="-11"/>
        </w:rPr>
        <w:t xml:space="preserve"> </w:t>
      </w:r>
      <w:r w:rsidRPr="000F25DC">
        <w:t>required,</w:t>
      </w:r>
      <w:r w:rsidRPr="000F25DC">
        <w:rPr>
          <w:spacing w:val="-11"/>
        </w:rPr>
        <w:t xml:space="preserve"> </w:t>
      </w:r>
      <w:r w:rsidRPr="000F25DC">
        <w:t>such</w:t>
      </w:r>
      <w:r w:rsidRPr="000F25DC">
        <w:rPr>
          <w:spacing w:val="-10"/>
        </w:rPr>
        <w:t xml:space="preserve"> </w:t>
      </w:r>
      <w:r w:rsidRPr="000F25DC">
        <w:t>as</w:t>
      </w:r>
      <w:r w:rsidRPr="000F25DC">
        <w:rPr>
          <w:spacing w:val="-14"/>
        </w:rPr>
        <w:t xml:space="preserve"> </w:t>
      </w:r>
      <w:r w:rsidRPr="000F25DC">
        <w:t xml:space="preserve">denial of public assistance and food benefits, and incarceration. </w:t>
      </w:r>
      <w:r>
        <w:t xml:space="preserve"> More information about referrals and consequences for each program is provided below.</w:t>
      </w:r>
    </w:p>
    <w:p w14:paraId="47460204" w14:textId="77777777" w:rsidR="006420CB" w:rsidRPr="00703761" w:rsidRDefault="006420CB" w:rsidP="0044493D">
      <w:pPr>
        <w:pStyle w:val="BodyText3"/>
      </w:pPr>
      <w:r w:rsidRPr="00703761">
        <w:t>NCP</w:t>
      </w:r>
      <w:r w:rsidRPr="00703761">
        <w:rPr>
          <w:spacing w:val="40"/>
        </w:rPr>
        <w:t xml:space="preserve"> </w:t>
      </w:r>
    </w:p>
    <w:p w14:paraId="63C82D37" w14:textId="77777777" w:rsidR="006420CB" w:rsidRPr="000F25DC" w:rsidRDefault="006420CB" w:rsidP="0044493D">
      <w:pPr>
        <w:pStyle w:val="BodyText"/>
      </w:pPr>
      <w:r w:rsidRPr="000F25DC">
        <w:t>The Office of the Attorney General identifies eligible NCP</w:t>
      </w:r>
      <w:r>
        <w:t xml:space="preserve"> participants</w:t>
      </w:r>
      <w:r w:rsidRPr="000F25DC">
        <w:t xml:space="preserve">, refers them to the courts, monitors their child support payments, and takes action to remove noncompliant participants. Local family courts issue orders mandating participation in the program and may impose consequences for noncompliance. Local Workforce Development Boards coordinate and administer services locally and communicate results back to local family courts and </w:t>
      </w:r>
      <w:r>
        <w:t>the Attorney General</w:t>
      </w:r>
      <w:r w:rsidRPr="000F25DC">
        <w:t>.</w:t>
      </w:r>
    </w:p>
    <w:p w14:paraId="4B1F11DF" w14:textId="77777777" w:rsidR="006420CB" w:rsidRPr="0044493D" w:rsidRDefault="006420CB" w:rsidP="0044493D">
      <w:pPr>
        <w:pStyle w:val="BodyText"/>
        <w:rPr>
          <w:b/>
          <w:bCs/>
        </w:rPr>
      </w:pPr>
      <w:r w:rsidRPr="0044493D">
        <w:rPr>
          <w:b/>
          <w:bCs/>
        </w:rPr>
        <w:t>Choices</w:t>
      </w:r>
    </w:p>
    <w:p w14:paraId="01FD65DE" w14:textId="77777777" w:rsidR="006420CB" w:rsidRPr="0044493D" w:rsidRDefault="006420CB" w:rsidP="0044493D">
      <w:pPr>
        <w:pStyle w:val="BodyText"/>
      </w:pPr>
      <w:r w:rsidRPr="0044493D">
        <w:lastRenderedPageBreak/>
        <w:t>HHSC determines eligibility and mandatory or exempt status of participants and electronically transmits this information to TWC’s automated case management system, WorkinTexas.com. Once the TANF recipient’s information is electronically transmitted to WIT, Workforce Center staff conduct outreach.</w:t>
      </w:r>
    </w:p>
    <w:p w14:paraId="71399E8E" w14:textId="77777777" w:rsidR="006420CB" w:rsidRPr="000F25DC" w:rsidRDefault="006420CB" w:rsidP="0044493D">
      <w:pPr>
        <w:pStyle w:val="BodyText"/>
      </w:pPr>
      <w:r w:rsidRPr="000F25DC">
        <w:t>All mandatory Choices participants who are outreached and who fail to comply with Choices work requirements are sanctioned by HHSC as follows:</w:t>
      </w:r>
    </w:p>
    <w:p w14:paraId="4A84B489" w14:textId="77777777" w:rsidR="006420CB" w:rsidRPr="000F25DC" w:rsidRDefault="006420CB" w:rsidP="00C64851">
      <w:pPr>
        <w:pStyle w:val="BodyText"/>
        <w:numPr>
          <w:ilvl w:val="0"/>
          <w:numId w:val="819"/>
        </w:numPr>
      </w:pPr>
      <w:r w:rsidRPr="000F25DC">
        <w:t>Before</w:t>
      </w:r>
      <w:r w:rsidRPr="000F25DC">
        <w:rPr>
          <w:spacing w:val="-5"/>
        </w:rPr>
        <w:t xml:space="preserve"> </w:t>
      </w:r>
      <w:r w:rsidRPr="000F25DC">
        <w:t>Workforce</w:t>
      </w:r>
      <w:r w:rsidRPr="000F25DC">
        <w:rPr>
          <w:spacing w:val="-5"/>
        </w:rPr>
        <w:t xml:space="preserve"> </w:t>
      </w:r>
      <w:r w:rsidRPr="000F25DC">
        <w:t>Solutions</w:t>
      </w:r>
      <w:r w:rsidRPr="000F25DC">
        <w:rPr>
          <w:spacing w:val="-6"/>
        </w:rPr>
        <w:t xml:space="preserve"> </w:t>
      </w:r>
      <w:r w:rsidRPr="000F25DC">
        <w:t>Office</w:t>
      </w:r>
      <w:r w:rsidRPr="000F25DC">
        <w:rPr>
          <w:spacing w:val="-5"/>
        </w:rPr>
        <w:t xml:space="preserve"> </w:t>
      </w:r>
      <w:r w:rsidRPr="000F25DC">
        <w:t>staff</w:t>
      </w:r>
      <w:r w:rsidRPr="000F25DC">
        <w:rPr>
          <w:spacing w:val="-5"/>
        </w:rPr>
        <w:t xml:space="preserve"> </w:t>
      </w:r>
      <w:r w:rsidRPr="000F25DC">
        <w:t>initiates</w:t>
      </w:r>
      <w:r w:rsidRPr="000F25DC">
        <w:rPr>
          <w:spacing w:val="-6"/>
        </w:rPr>
        <w:t xml:space="preserve"> </w:t>
      </w:r>
      <w:r w:rsidRPr="000F25DC">
        <w:t>a</w:t>
      </w:r>
      <w:r w:rsidRPr="000F25DC">
        <w:rPr>
          <w:spacing w:val="-6"/>
        </w:rPr>
        <w:t xml:space="preserve"> </w:t>
      </w:r>
      <w:r w:rsidRPr="000F25DC">
        <w:t>sanction</w:t>
      </w:r>
      <w:r w:rsidRPr="000F25DC">
        <w:rPr>
          <w:spacing w:val="-7"/>
        </w:rPr>
        <w:t xml:space="preserve"> </w:t>
      </w:r>
      <w:r w:rsidRPr="000F25DC">
        <w:t>recommendation,</w:t>
      </w:r>
      <w:r w:rsidRPr="000F25DC">
        <w:rPr>
          <w:spacing w:val="-6"/>
        </w:rPr>
        <w:t xml:space="preserve"> </w:t>
      </w:r>
      <w:r w:rsidRPr="000F25DC">
        <w:t>an</w:t>
      </w:r>
      <w:r w:rsidRPr="000F25DC">
        <w:rPr>
          <w:spacing w:val="-5"/>
        </w:rPr>
        <w:t xml:space="preserve"> </w:t>
      </w:r>
      <w:r w:rsidRPr="000F25DC">
        <w:t>attempt is made to determine whether good cause exists for the noncompliance.</w:t>
      </w:r>
    </w:p>
    <w:p w14:paraId="600EBB6B" w14:textId="77777777" w:rsidR="006420CB" w:rsidRPr="000F25DC" w:rsidRDefault="006420CB" w:rsidP="00C64851">
      <w:pPr>
        <w:pStyle w:val="BodyText"/>
        <w:numPr>
          <w:ilvl w:val="0"/>
          <w:numId w:val="819"/>
        </w:numPr>
      </w:pPr>
      <w:r w:rsidRPr="000F25DC">
        <w:t xml:space="preserve">If good cause is not established, a penalty request is initiated within seven days of </w:t>
      </w:r>
      <w:r w:rsidRPr="000F25DC">
        <w:rPr>
          <w:spacing w:val="-2"/>
        </w:rPr>
        <w:t>noncompliance.</w:t>
      </w:r>
    </w:p>
    <w:p w14:paraId="3038D4EF" w14:textId="77777777" w:rsidR="006420CB" w:rsidRPr="000F25DC" w:rsidRDefault="006420CB" w:rsidP="00C64851">
      <w:pPr>
        <w:pStyle w:val="BodyText"/>
        <w:numPr>
          <w:ilvl w:val="0"/>
          <w:numId w:val="819"/>
        </w:numPr>
      </w:pPr>
      <w:r w:rsidRPr="000F25DC">
        <w:t xml:space="preserve">HHSC works the penalty within five workdays after receiving notice of Choices </w:t>
      </w:r>
      <w:r w:rsidRPr="000F25DC">
        <w:rPr>
          <w:spacing w:val="-2"/>
        </w:rPr>
        <w:t>noncooperation.</w:t>
      </w:r>
    </w:p>
    <w:p w14:paraId="0F4D9F3B" w14:textId="77777777" w:rsidR="006420CB" w:rsidRPr="000F25DC" w:rsidRDefault="006420CB" w:rsidP="00C64851">
      <w:pPr>
        <w:pStyle w:val="BodyText"/>
        <w:numPr>
          <w:ilvl w:val="0"/>
          <w:numId w:val="819"/>
        </w:numPr>
      </w:pPr>
      <w:r w:rsidRPr="000F25DC">
        <w:t>If the Choices participant fails to participate for two consecutive months, TANF benefits are</w:t>
      </w:r>
      <w:r w:rsidRPr="000F25DC">
        <w:rPr>
          <w:spacing w:val="-13"/>
        </w:rPr>
        <w:t xml:space="preserve"> </w:t>
      </w:r>
      <w:r w:rsidRPr="000F25DC">
        <w:t>denied,</w:t>
      </w:r>
      <w:r w:rsidRPr="000F25DC">
        <w:rPr>
          <w:spacing w:val="-14"/>
        </w:rPr>
        <w:t xml:space="preserve"> </w:t>
      </w:r>
      <w:r w:rsidRPr="000F25DC">
        <w:t>and</w:t>
      </w:r>
      <w:r w:rsidRPr="000F25DC">
        <w:rPr>
          <w:spacing w:val="-13"/>
        </w:rPr>
        <w:t xml:space="preserve"> </w:t>
      </w:r>
      <w:r w:rsidRPr="000F25DC">
        <w:t>the</w:t>
      </w:r>
      <w:r w:rsidRPr="000F25DC">
        <w:rPr>
          <w:spacing w:val="-14"/>
        </w:rPr>
        <w:t xml:space="preserve"> </w:t>
      </w:r>
      <w:r w:rsidRPr="000F25DC">
        <w:t>Choices</w:t>
      </w:r>
      <w:r w:rsidRPr="000F25DC">
        <w:rPr>
          <w:spacing w:val="-12"/>
        </w:rPr>
        <w:t xml:space="preserve"> </w:t>
      </w:r>
      <w:r w:rsidRPr="000F25DC">
        <w:t>participant</w:t>
      </w:r>
      <w:r w:rsidRPr="000F25DC">
        <w:rPr>
          <w:spacing w:val="-11"/>
        </w:rPr>
        <w:t xml:space="preserve"> </w:t>
      </w:r>
      <w:r w:rsidRPr="000F25DC">
        <w:t>must</w:t>
      </w:r>
      <w:r w:rsidRPr="000F25DC">
        <w:rPr>
          <w:spacing w:val="-13"/>
        </w:rPr>
        <w:t xml:space="preserve"> </w:t>
      </w:r>
      <w:r w:rsidRPr="000F25DC">
        <w:t>reapply</w:t>
      </w:r>
      <w:r w:rsidRPr="000F25DC">
        <w:rPr>
          <w:spacing w:val="-13"/>
        </w:rPr>
        <w:t xml:space="preserve"> </w:t>
      </w:r>
      <w:r w:rsidRPr="000F25DC">
        <w:t>and</w:t>
      </w:r>
      <w:r w:rsidRPr="000F25DC">
        <w:rPr>
          <w:spacing w:val="-13"/>
        </w:rPr>
        <w:t xml:space="preserve"> </w:t>
      </w:r>
      <w:r w:rsidRPr="000F25DC">
        <w:t>demonstrate</w:t>
      </w:r>
      <w:r w:rsidRPr="000F25DC">
        <w:rPr>
          <w:spacing w:val="-14"/>
        </w:rPr>
        <w:t xml:space="preserve"> </w:t>
      </w:r>
      <w:r w:rsidRPr="000F25DC">
        <w:t>cooperation</w:t>
      </w:r>
      <w:r w:rsidRPr="000F25DC">
        <w:rPr>
          <w:spacing w:val="-13"/>
        </w:rPr>
        <w:t xml:space="preserve"> </w:t>
      </w:r>
      <w:r w:rsidRPr="000F25DC">
        <w:t>in</w:t>
      </w:r>
      <w:r w:rsidRPr="000F25DC">
        <w:rPr>
          <w:spacing w:val="-13"/>
        </w:rPr>
        <w:t xml:space="preserve"> </w:t>
      </w:r>
      <w:r w:rsidRPr="000F25DC">
        <w:t>the Choices program for 30 days to have TANF benefits restored.</w:t>
      </w:r>
    </w:p>
    <w:p w14:paraId="19F2FCE0" w14:textId="77777777" w:rsidR="006420CB" w:rsidRPr="00143AEA" w:rsidRDefault="006420CB" w:rsidP="00143AEA">
      <w:pPr>
        <w:pStyle w:val="BodyText"/>
        <w:rPr>
          <w:b/>
          <w:bCs/>
        </w:rPr>
      </w:pPr>
      <w:r w:rsidRPr="00143AEA">
        <w:rPr>
          <w:b/>
          <w:bCs/>
        </w:rPr>
        <w:t>SNAP E&amp;T</w:t>
      </w:r>
    </w:p>
    <w:p w14:paraId="19DBEB27" w14:textId="77777777" w:rsidR="006420CB" w:rsidRPr="000F25DC" w:rsidRDefault="006420CB" w:rsidP="00143AEA">
      <w:pPr>
        <w:pStyle w:val="BodyText"/>
      </w:pPr>
      <w:r w:rsidRPr="000F25DC">
        <w:t xml:space="preserve">HHSC determines eligibility and mandatory or exempt status </w:t>
      </w:r>
      <w:r>
        <w:t xml:space="preserve">of participants </w:t>
      </w:r>
      <w:r w:rsidRPr="000F25DC">
        <w:t>and electronically transmits this information to TWC’s case management system, WIT. Once the SNAP recipient’s information is electronically transmitted to WIT, the outreach process occurs as follows:</w:t>
      </w:r>
    </w:p>
    <w:p w14:paraId="24D8FF7A" w14:textId="77777777" w:rsidR="006420CB" w:rsidRPr="000F25DC" w:rsidRDefault="006420CB" w:rsidP="00C64851">
      <w:pPr>
        <w:pStyle w:val="BodyText"/>
        <w:numPr>
          <w:ilvl w:val="0"/>
          <w:numId w:val="820"/>
        </w:numPr>
      </w:pPr>
      <w:r w:rsidRPr="000F25DC">
        <w:t xml:space="preserve">SNAP recipients classified as ABAWDs are outreached within 10 days of appearing in </w:t>
      </w:r>
      <w:r w:rsidRPr="000F25DC">
        <w:rPr>
          <w:spacing w:val="-4"/>
        </w:rPr>
        <w:t>WIT.</w:t>
      </w:r>
    </w:p>
    <w:p w14:paraId="33CDA9A9" w14:textId="77777777" w:rsidR="006420CB" w:rsidRPr="000F25DC" w:rsidRDefault="006420CB" w:rsidP="00C64851">
      <w:pPr>
        <w:pStyle w:val="BodyText"/>
        <w:numPr>
          <w:ilvl w:val="0"/>
          <w:numId w:val="820"/>
        </w:numPr>
      </w:pPr>
      <w:r w:rsidRPr="000F25DC">
        <w:t>SNAP recipients classified</w:t>
      </w:r>
      <w:r w:rsidRPr="000F25DC">
        <w:rPr>
          <w:spacing w:val="26"/>
        </w:rPr>
        <w:t xml:space="preserve"> </w:t>
      </w:r>
      <w:r w:rsidRPr="000F25DC">
        <w:t>as SNAP E&amp;T General Population are outreached as funding</w:t>
      </w:r>
      <w:r w:rsidRPr="000F25DC">
        <w:rPr>
          <w:spacing w:val="80"/>
        </w:rPr>
        <w:t xml:space="preserve"> </w:t>
      </w:r>
      <w:r w:rsidRPr="000F25DC">
        <w:rPr>
          <w:spacing w:val="-2"/>
        </w:rPr>
        <w:t>permits.</w:t>
      </w:r>
    </w:p>
    <w:p w14:paraId="73F29707" w14:textId="77777777" w:rsidR="006420CB" w:rsidRPr="000F25DC" w:rsidRDefault="006420CB" w:rsidP="00143AEA">
      <w:pPr>
        <w:pStyle w:val="BodyText"/>
      </w:pPr>
      <w:r w:rsidRPr="000F25DC">
        <w:t>All</w:t>
      </w:r>
      <w:r w:rsidRPr="000F25DC">
        <w:rPr>
          <w:spacing w:val="30"/>
        </w:rPr>
        <w:t xml:space="preserve"> </w:t>
      </w:r>
      <w:r w:rsidRPr="000F25DC">
        <w:t>mandatory</w:t>
      </w:r>
      <w:r w:rsidRPr="000F25DC">
        <w:rPr>
          <w:spacing w:val="29"/>
        </w:rPr>
        <w:t xml:space="preserve"> </w:t>
      </w:r>
      <w:r w:rsidRPr="000F25DC">
        <w:t>work</w:t>
      </w:r>
      <w:r w:rsidRPr="000F25DC">
        <w:rPr>
          <w:spacing w:val="28"/>
        </w:rPr>
        <w:t xml:space="preserve"> </w:t>
      </w:r>
      <w:r w:rsidRPr="000F25DC">
        <w:t>registrants</w:t>
      </w:r>
      <w:r w:rsidRPr="000F25DC">
        <w:rPr>
          <w:spacing w:val="29"/>
        </w:rPr>
        <w:t xml:space="preserve"> </w:t>
      </w:r>
      <w:r w:rsidRPr="000F25DC">
        <w:t>who</w:t>
      </w:r>
      <w:r w:rsidRPr="000F25DC">
        <w:rPr>
          <w:spacing w:val="30"/>
        </w:rPr>
        <w:t xml:space="preserve"> </w:t>
      </w:r>
      <w:r w:rsidRPr="000F25DC">
        <w:t>are</w:t>
      </w:r>
      <w:r w:rsidRPr="000F25DC">
        <w:rPr>
          <w:spacing w:val="28"/>
        </w:rPr>
        <w:t xml:space="preserve"> </w:t>
      </w:r>
      <w:r w:rsidRPr="000F25DC">
        <w:t>outreached</w:t>
      </w:r>
      <w:r w:rsidRPr="000F25DC">
        <w:rPr>
          <w:spacing w:val="31"/>
        </w:rPr>
        <w:t xml:space="preserve"> </w:t>
      </w:r>
      <w:r w:rsidRPr="000F25DC">
        <w:t>and</w:t>
      </w:r>
      <w:r w:rsidRPr="000F25DC">
        <w:rPr>
          <w:spacing w:val="28"/>
        </w:rPr>
        <w:t xml:space="preserve"> </w:t>
      </w:r>
      <w:r w:rsidRPr="000F25DC">
        <w:t>fail</w:t>
      </w:r>
      <w:r w:rsidRPr="000F25DC">
        <w:rPr>
          <w:spacing w:val="27"/>
        </w:rPr>
        <w:t xml:space="preserve"> </w:t>
      </w:r>
      <w:r w:rsidRPr="000F25DC">
        <w:t>to</w:t>
      </w:r>
      <w:r w:rsidRPr="000F25DC">
        <w:rPr>
          <w:spacing w:val="30"/>
        </w:rPr>
        <w:t xml:space="preserve"> </w:t>
      </w:r>
      <w:r w:rsidRPr="000F25DC">
        <w:t>comply</w:t>
      </w:r>
      <w:r w:rsidRPr="000F25DC">
        <w:rPr>
          <w:spacing w:val="26"/>
        </w:rPr>
        <w:t xml:space="preserve"> </w:t>
      </w:r>
      <w:r w:rsidRPr="000F25DC">
        <w:t>with</w:t>
      </w:r>
      <w:r w:rsidRPr="000F25DC">
        <w:rPr>
          <w:spacing w:val="31"/>
        </w:rPr>
        <w:t xml:space="preserve"> </w:t>
      </w:r>
      <w:r w:rsidRPr="000F25DC">
        <w:t>SNAP</w:t>
      </w:r>
      <w:r w:rsidRPr="000F25DC">
        <w:rPr>
          <w:spacing w:val="30"/>
        </w:rPr>
        <w:t xml:space="preserve"> </w:t>
      </w:r>
      <w:r w:rsidRPr="000F25DC">
        <w:t>E&amp;T</w:t>
      </w:r>
      <w:r w:rsidRPr="000F25DC">
        <w:rPr>
          <w:spacing w:val="28"/>
        </w:rPr>
        <w:t xml:space="preserve"> </w:t>
      </w:r>
      <w:r w:rsidRPr="000F25DC">
        <w:t>work requirements are sanctioned by HHSC as follows:</w:t>
      </w:r>
    </w:p>
    <w:p w14:paraId="3C98D131" w14:textId="77777777" w:rsidR="006420CB" w:rsidRPr="000F25DC" w:rsidRDefault="006420CB" w:rsidP="00C64851">
      <w:pPr>
        <w:pStyle w:val="BodyText"/>
        <w:numPr>
          <w:ilvl w:val="0"/>
          <w:numId w:val="821"/>
        </w:numPr>
      </w:pPr>
      <w:r w:rsidRPr="000F25DC">
        <w:t>One</w:t>
      </w:r>
      <w:r w:rsidRPr="000F25DC">
        <w:rPr>
          <w:spacing w:val="-14"/>
        </w:rPr>
        <w:t xml:space="preserve"> </w:t>
      </w:r>
      <w:r w:rsidRPr="000F25DC">
        <w:t>month</w:t>
      </w:r>
      <w:r w:rsidRPr="000F25DC">
        <w:rPr>
          <w:spacing w:val="-15"/>
        </w:rPr>
        <w:t xml:space="preserve"> </w:t>
      </w:r>
      <w:r w:rsidRPr="000F25DC">
        <w:t>for</w:t>
      </w:r>
      <w:r w:rsidRPr="000F25DC">
        <w:rPr>
          <w:spacing w:val="-14"/>
        </w:rPr>
        <w:t xml:space="preserve"> </w:t>
      </w:r>
      <w:r w:rsidRPr="000F25DC">
        <w:t>the</w:t>
      </w:r>
      <w:r w:rsidRPr="000F25DC">
        <w:rPr>
          <w:spacing w:val="-14"/>
        </w:rPr>
        <w:t xml:space="preserve"> </w:t>
      </w:r>
      <w:r w:rsidRPr="000F25DC">
        <w:t>first</w:t>
      </w:r>
      <w:r w:rsidRPr="000F25DC">
        <w:rPr>
          <w:spacing w:val="-13"/>
        </w:rPr>
        <w:t xml:space="preserve"> </w:t>
      </w:r>
      <w:r w:rsidRPr="000F25DC">
        <w:t>noncompliance</w:t>
      </w:r>
      <w:r w:rsidRPr="000F25DC">
        <w:rPr>
          <w:spacing w:val="-14"/>
        </w:rPr>
        <w:t xml:space="preserve"> </w:t>
      </w:r>
      <w:r w:rsidRPr="000F25DC">
        <w:t>or</w:t>
      </w:r>
      <w:r w:rsidRPr="000F25DC">
        <w:rPr>
          <w:spacing w:val="-16"/>
        </w:rPr>
        <w:t xml:space="preserve"> </w:t>
      </w:r>
      <w:r w:rsidRPr="000F25DC">
        <w:t>until</w:t>
      </w:r>
      <w:r w:rsidRPr="000F25DC">
        <w:rPr>
          <w:spacing w:val="-14"/>
        </w:rPr>
        <w:t xml:space="preserve"> </w:t>
      </w:r>
      <w:r w:rsidRPr="000F25DC">
        <w:t>the</w:t>
      </w:r>
      <w:r w:rsidRPr="000F25DC">
        <w:rPr>
          <w:spacing w:val="-13"/>
        </w:rPr>
        <w:t xml:space="preserve"> </w:t>
      </w:r>
      <w:r w:rsidRPr="000F25DC">
        <w:t>individual</w:t>
      </w:r>
      <w:r w:rsidRPr="000F25DC">
        <w:rPr>
          <w:spacing w:val="-14"/>
        </w:rPr>
        <w:t xml:space="preserve"> </w:t>
      </w:r>
      <w:r w:rsidRPr="000F25DC">
        <w:t>agrees</w:t>
      </w:r>
      <w:r w:rsidRPr="000F25DC">
        <w:rPr>
          <w:spacing w:val="-14"/>
        </w:rPr>
        <w:t xml:space="preserve"> </w:t>
      </w:r>
      <w:r w:rsidRPr="000F25DC">
        <w:t>to</w:t>
      </w:r>
      <w:r w:rsidRPr="000F25DC">
        <w:rPr>
          <w:spacing w:val="-14"/>
        </w:rPr>
        <w:t xml:space="preserve"> </w:t>
      </w:r>
      <w:r w:rsidRPr="000F25DC">
        <w:t>comply,</w:t>
      </w:r>
      <w:r w:rsidRPr="000F25DC">
        <w:rPr>
          <w:spacing w:val="-14"/>
        </w:rPr>
        <w:t xml:space="preserve"> </w:t>
      </w:r>
      <w:r w:rsidRPr="000F25DC">
        <w:t>whichever is longer</w:t>
      </w:r>
      <w:r>
        <w:t>.</w:t>
      </w:r>
    </w:p>
    <w:p w14:paraId="4D9E2323" w14:textId="77777777" w:rsidR="006420CB" w:rsidRDefault="006420CB" w:rsidP="00C64851">
      <w:pPr>
        <w:pStyle w:val="BodyText"/>
        <w:numPr>
          <w:ilvl w:val="0"/>
          <w:numId w:val="821"/>
        </w:numPr>
      </w:pPr>
      <w:r w:rsidRPr="000F25DC">
        <w:t>Three months for the second noncompliance or</w:t>
      </w:r>
      <w:r w:rsidRPr="000F25DC">
        <w:rPr>
          <w:spacing w:val="26"/>
        </w:rPr>
        <w:t xml:space="preserve"> </w:t>
      </w:r>
      <w:r w:rsidRPr="000F25DC">
        <w:t>until the individual agrees to comply,</w:t>
      </w:r>
      <w:r w:rsidRPr="000F25DC">
        <w:rPr>
          <w:spacing w:val="80"/>
        </w:rPr>
        <w:t xml:space="preserve"> </w:t>
      </w:r>
      <w:r w:rsidRPr="000F25DC">
        <w:t>whichever is longer</w:t>
      </w:r>
      <w:r>
        <w:t>.</w:t>
      </w:r>
      <w:r w:rsidRPr="000F25DC">
        <w:t xml:space="preserve"> </w:t>
      </w:r>
    </w:p>
    <w:p w14:paraId="46B6C37E" w14:textId="77777777" w:rsidR="006420CB" w:rsidRPr="000F25DC" w:rsidRDefault="006420CB" w:rsidP="00C64851">
      <w:pPr>
        <w:pStyle w:val="BodyText"/>
        <w:numPr>
          <w:ilvl w:val="0"/>
          <w:numId w:val="821"/>
        </w:numPr>
      </w:pPr>
      <w:r w:rsidRPr="000F25DC">
        <w:t>Six</w:t>
      </w:r>
      <w:r w:rsidRPr="000F25DC">
        <w:rPr>
          <w:spacing w:val="30"/>
        </w:rPr>
        <w:t xml:space="preserve"> </w:t>
      </w:r>
      <w:r w:rsidRPr="000F25DC">
        <w:t>months</w:t>
      </w:r>
      <w:r w:rsidRPr="000F25DC">
        <w:rPr>
          <w:spacing w:val="28"/>
        </w:rPr>
        <w:t xml:space="preserve"> </w:t>
      </w:r>
      <w:r w:rsidRPr="000F25DC">
        <w:t>for</w:t>
      </w:r>
      <w:r w:rsidRPr="000F25DC">
        <w:rPr>
          <w:spacing w:val="31"/>
        </w:rPr>
        <w:t xml:space="preserve"> </w:t>
      </w:r>
      <w:r w:rsidRPr="000F25DC">
        <w:t>a</w:t>
      </w:r>
      <w:r w:rsidRPr="000F25DC">
        <w:rPr>
          <w:spacing w:val="26"/>
        </w:rPr>
        <w:t xml:space="preserve"> </w:t>
      </w:r>
      <w:r w:rsidRPr="000F25DC">
        <w:t>third</w:t>
      </w:r>
      <w:r w:rsidRPr="000F25DC">
        <w:rPr>
          <w:spacing w:val="30"/>
        </w:rPr>
        <w:t xml:space="preserve"> </w:t>
      </w:r>
      <w:r w:rsidRPr="000F25DC">
        <w:t>or</w:t>
      </w:r>
      <w:r w:rsidRPr="000F25DC">
        <w:rPr>
          <w:spacing w:val="31"/>
        </w:rPr>
        <w:t xml:space="preserve"> </w:t>
      </w:r>
      <w:r w:rsidRPr="000F25DC">
        <w:t>subsequent</w:t>
      </w:r>
      <w:r w:rsidRPr="000F25DC">
        <w:rPr>
          <w:spacing w:val="30"/>
        </w:rPr>
        <w:t xml:space="preserve"> </w:t>
      </w:r>
      <w:r w:rsidRPr="000F25DC">
        <w:t>noncompliance</w:t>
      </w:r>
      <w:r w:rsidRPr="000F25DC">
        <w:rPr>
          <w:spacing w:val="31"/>
        </w:rPr>
        <w:t xml:space="preserve"> </w:t>
      </w:r>
      <w:r w:rsidRPr="000F25DC">
        <w:t>or</w:t>
      </w:r>
      <w:r w:rsidRPr="000F25DC">
        <w:rPr>
          <w:spacing w:val="29"/>
        </w:rPr>
        <w:t xml:space="preserve"> </w:t>
      </w:r>
      <w:r w:rsidRPr="000F25DC">
        <w:t>until</w:t>
      </w:r>
      <w:r w:rsidRPr="000F25DC">
        <w:rPr>
          <w:spacing w:val="28"/>
        </w:rPr>
        <w:t xml:space="preserve"> </w:t>
      </w:r>
      <w:r w:rsidRPr="000F25DC">
        <w:t>the</w:t>
      </w:r>
      <w:r w:rsidRPr="000F25DC">
        <w:rPr>
          <w:spacing w:val="31"/>
        </w:rPr>
        <w:t xml:space="preserve"> </w:t>
      </w:r>
      <w:r w:rsidRPr="000F25DC">
        <w:t>individual</w:t>
      </w:r>
      <w:r w:rsidRPr="000F25DC">
        <w:rPr>
          <w:spacing w:val="31"/>
        </w:rPr>
        <w:t xml:space="preserve"> </w:t>
      </w:r>
      <w:r w:rsidRPr="000F25DC">
        <w:t>agrees</w:t>
      </w:r>
      <w:r w:rsidRPr="000F25DC">
        <w:rPr>
          <w:spacing w:val="28"/>
        </w:rPr>
        <w:t xml:space="preserve"> </w:t>
      </w:r>
      <w:r w:rsidRPr="000F25DC">
        <w:t>to comply, whichever is longer</w:t>
      </w:r>
      <w:r>
        <w:t>.</w:t>
      </w:r>
    </w:p>
    <w:p w14:paraId="1942C0F9" w14:textId="77777777" w:rsidR="006420CB" w:rsidRPr="005E1A18" w:rsidRDefault="006420CB" w:rsidP="005E1A18">
      <w:pPr>
        <w:pStyle w:val="BodyText"/>
        <w:rPr>
          <w:b/>
          <w:bCs/>
        </w:rPr>
      </w:pPr>
      <w:r w:rsidRPr="005E1A18">
        <w:rPr>
          <w:b/>
          <w:bCs/>
        </w:rPr>
        <w:lastRenderedPageBreak/>
        <w:t>Program Guides</w:t>
      </w:r>
    </w:p>
    <w:p w14:paraId="30F1C8BB" w14:textId="77777777" w:rsidR="006420CB" w:rsidRDefault="006420CB" w:rsidP="005E1A18">
      <w:pPr>
        <w:pStyle w:val="BodyText"/>
        <w:rPr>
          <w:rFonts w:asciiTheme="minorHAnsi" w:eastAsia="Aptos" w:hAnsiTheme="minorHAnsi" w:cstheme="minorHAnsi"/>
          <w:kern w:val="2"/>
          <w:sz w:val="24"/>
          <w:szCs w:val="24"/>
          <w14:ligatures w14:val="standardContextual"/>
        </w:rPr>
      </w:pPr>
      <w:r w:rsidRPr="000F25DC">
        <w:t xml:space="preserve">Additional information about </w:t>
      </w:r>
      <w:r>
        <w:t xml:space="preserve">how each program is administered is available at the following links. </w:t>
      </w:r>
    </w:p>
    <w:p w14:paraId="46AE7138" w14:textId="77777777" w:rsidR="006420CB" w:rsidRPr="00990A0E" w:rsidRDefault="006420CB" w:rsidP="00C64851">
      <w:pPr>
        <w:pStyle w:val="BodyText"/>
        <w:numPr>
          <w:ilvl w:val="0"/>
          <w:numId w:val="822"/>
        </w:numPr>
        <w:rPr>
          <w:rFonts w:asciiTheme="minorHAnsi" w:eastAsia="Aptos" w:hAnsiTheme="minorHAnsi" w:cstheme="minorHAnsi"/>
          <w:kern w:val="2"/>
          <w:sz w:val="24"/>
          <w:szCs w:val="24"/>
          <w14:ligatures w14:val="standardContextual"/>
        </w:rPr>
      </w:pPr>
      <w:hyperlink r:id="rId137" w:history="1">
        <w:r w:rsidRPr="002303D2">
          <w:rPr>
            <w:rStyle w:val="Hyperlink"/>
            <w:rFonts w:asciiTheme="minorHAnsi" w:eastAsia="Aptos" w:hAnsiTheme="minorHAnsi" w:cstheme="minorHAnsi"/>
            <w:kern w:val="2"/>
            <w:sz w:val="24"/>
            <w:szCs w:val="24"/>
            <w14:ligatures w14:val="standardContextual"/>
          </w:rPr>
          <w:t>Choices Program Guide</w:t>
        </w:r>
      </w:hyperlink>
      <w:r w:rsidDel="00B94922">
        <w:t xml:space="preserve"> </w:t>
      </w:r>
    </w:p>
    <w:p w14:paraId="2D3A4F88" w14:textId="77777777" w:rsidR="006420CB" w:rsidRPr="00A840C1" w:rsidRDefault="006420CB" w:rsidP="00C64851">
      <w:pPr>
        <w:pStyle w:val="BodyText"/>
        <w:numPr>
          <w:ilvl w:val="0"/>
          <w:numId w:val="822"/>
        </w:numPr>
        <w:rPr>
          <w:rFonts w:asciiTheme="minorHAnsi" w:eastAsia="Aptos" w:hAnsiTheme="minorHAnsi" w:cstheme="minorHAnsi"/>
          <w:kern w:val="2"/>
          <w14:ligatures w14:val="standardContextual"/>
        </w:rPr>
      </w:pPr>
      <w:hyperlink r:id="rId138" w:history="1">
        <w:r w:rsidRPr="002303D2">
          <w:rPr>
            <w:rStyle w:val="Hyperlink"/>
            <w:rFonts w:asciiTheme="minorHAnsi" w:eastAsia="Aptos" w:hAnsiTheme="minorHAnsi" w:cstheme="minorHAnsi"/>
            <w:kern w:val="2"/>
            <w14:ligatures w14:val="standardContextual"/>
          </w:rPr>
          <w:t>NCP Choices Program Guide</w:t>
        </w:r>
      </w:hyperlink>
    </w:p>
    <w:p w14:paraId="3109D43F" w14:textId="77777777" w:rsidR="006420CB" w:rsidRPr="00CE673B" w:rsidRDefault="006420CB" w:rsidP="00C64851">
      <w:pPr>
        <w:pStyle w:val="BodyText"/>
        <w:numPr>
          <w:ilvl w:val="0"/>
          <w:numId w:val="822"/>
        </w:numPr>
        <w:rPr>
          <w:rFonts w:asciiTheme="minorHAnsi" w:eastAsia="Aptos" w:hAnsiTheme="minorHAnsi" w:cstheme="minorHAnsi"/>
          <w:kern w:val="2"/>
          <w:sz w:val="24"/>
          <w:szCs w:val="24"/>
          <w14:ligatures w14:val="standardContextual"/>
        </w:rPr>
      </w:pPr>
      <w:hyperlink r:id="rId139" w:history="1">
        <w:r w:rsidRPr="00CE072E">
          <w:rPr>
            <w:rStyle w:val="Hyperlink"/>
            <w:rFonts w:asciiTheme="minorHAnsi" w:eastAsia="Aptos" w:hAnsiTheme="minorHAnsi" w:cstheme="minorHAnsi"/>
            <w:kern w:val="2"/>
            <w:sz w:val="24"/>
            <w:szCs w:val="24"/>
            <w14:ligatures w14:val="standardContextual"/>
          </w:rPr>
          <w:t>SNAP E&amp;T Program Guide</w:t>
        </w:r>
      </w:hyperlink>
      <w:r>
        <w:rPr>
          <w:rFonts w:asciiTheme="minorHAnsi" w:eastAsia="Aptos" w:hAnsiTheme="minorHAnsi" w:cstheme="minorHAnsi"/>
          <w:kern w:val="2"/>
          <w:sz w:val="24"/>
          <w:szCs w:val="24"/>
          <w14:ligatures w14:val="standardContextual"/>
        </w:rPr>
        <w:t xml:space="preserve"> </w:t>
      </w:r>
    </w:p>
    <w:p w14:paraId="6120456F" w14:textId="77777777" w:rsidR="006420CB" w:rsidRPr="000F25DC" w:rsidRDefault="006420CB" w:rsidP="005E1A18">
      <w:pPr>
        <w:pStyle w:val="BodyText3"/>
        <w:ind w:left="720" w:hanging="720"/>
      </w:pPr>
      <w:r>
        <w:t>G.</w:t>
      </w:r>
      <w:r>
        <w:tab/>
      </w:r>
      <w:r w:rsidRPr="000F25DC">
        <w:t>If key to understanding the division or program, identify funding sources and amounts, including federal grants and pass-through monies. Describe any funding formulas or funding conventions. Please</w:t>
      </w:r>
      <w:r w:rsidRPr="000F25DC">
        <w:rPr>
          <w:spacing w:val="-1"/>
        </w:rPr>
        <w:t xml:space="preserve"> </w:t>
      </w:r>
      <w:r w:rsidRPr="000F25DC">
        <w:t>specify</w:t>
      </w:r>
      <w:r w:rsidRPr="000F25DC">
        <w:rPr>
          <w:spacing w:val="-1"/>
        </w:rPr>
        <w:t xml:space="preserve"> </w:t>
      </w:r>
      <w:r w:rsidRPr="000F25DC">
        <w:t>state</w:t>
      </w:r>
      <w:r w:rsidRPr="000F25DC">
        <w:rPr>
          <w:spacing w:val="-1"/>
        </w:rPr>
        <w:t xml:space="preserve"> </w:t>
      </w:r>
      <w:r w:rsidRPr="000F25DC">
        <w:t>funding</w:t>
      </w:r>
      <w:r w:rsidRPr="000F25DC">
        <w:rPr>
          <w:spacing w:val="-1"/>
        </w:rPr>
        <w:t xml:space="preserve"> </w:t>
      </w:r>
      <w:r w:rsidRPr="000F25DC">
        <w:t>sources (e.g., general revenue, appropriations</w:t>
      </w:r>
      <w:r w:rsidRPr="000F25DC">
        <w:rPr>
          <w:spacing w:val="-2"/>
        </w:rPr>
        <w:t xml:space="preserve"> </w:t>
      </w:r>
      <w:r w:rsidRPr="000F25DC">
        <w:t>rider, budget</w:t>
      </w:r>
      <w:r w:rsidRPr="000F25DC">
        <w:rPr>
          <w:spacing w:val="-4"/>
        </w:rPr>
        <w:t xml:space="preserve"> </w:t>
      </w:r>
      <w:r w:rsidRPr="000F25DC">
        <w:t>strategy,</w:t>
      </w:r>
      <w:r w:rsidRPr="000F25DC">
        <w:rPr>
          <w:spacing w:val="-4"/>
        </w:rPr>
        <w:t xml:space="preserve"> </w:t>
      </w:r>
      <w:r w:rsidRPr="000F25DC">
        <w:t>and</w:t>
      </w:r>
      <w:r w:rsidRPr="000F25DC">
        <w:rPr>
          <w:spacing w:val="-4"/>
        </w:rPr>
        <w:t xml:space="preserve"> </w:t>
      </w:r>
      <w:r w:rsidRPr="000F25DC">
        <w:t>fees/dues).</w:t>
      </w:r>
      <w:r w:rsidRPr="000F25DC">
        <w:rPr>
          <w:spacing w:val="-4"/>
        </w:rPr>
        <w:t xml:space="preserve"> </w:t>
      </w:r>
      <w:r w:rsidRPr="000F25DC">
        <w:rPr>
          <w:i/>
        </w:rPr>
        <w:t>(If</w:t>
      </w:r>
      <w:r w:rsidRPr="000F25DC">
        <w:rPr>
          <w:i/>
          <w:spacing w:val="-6"/>
        </w:rPr>
        <w:t xml:space="preserve"> </w:t>
      </w:r>
      <w:r w:rsidRPr="000F25DC">
        <w:rPr>
          <w:i/>
        </w:rPr>
        <w:t>you</w:t>
      </w:r>
      <w:r w:rsidRPr="000F25DC">
        <w:rPr>
          <w:i/>
          <w:spacing w:val="-6"/>
        </w:rPr>
        <w:t xml:space="preserve"> </w:t>
      </w:r>
      <w:r w:rsidRPr="000F25DC">
        <w:rPr>
          <w:i/>
        </w:rPr>
        <w:t>have</w:t>
      </w:r>
      <w:r w:rsidRPr="000F25DC">
        <w:rPr>
          <w:i/>
          <w:spacing w:val="-4"/>
        </w:rPr>
        <w:t xml:space="preserve"> </w:t>
      </w:r>
      <w:r w:rsidRPr="000F25DC">
        <w:rPr>
          <w:i/>
        </w:rPr>
        <w:t>already</w:t>
      </w:r>
      <w:r w:rsidRPr="000F25DC">
        <w:rPr>
          <w:i/>
          <w:spacing w:val="-4"/>
        </w:rPr>
        <w:t xml:space="preserve"> </w:t>
      </w:r>
      <w:r w:rsidRPr="000F25DC">
        <w:rPr>
          <w:i/>
        </w:rPr>
        <w:t>submitted</w:t>
      </w:r>
      <w:r w:rsidRPr="000F25DC">
        <w:rPr>
          <w:i/>
          <w:spacing w:val="-6"/>
        </w:rPr>
        <w:t xml:space="preserve"> </w:t>
      </w:r>
      <w:r w:rsidRPr="000F25DC">
        <w:rPr>
          <w:i/>
        </w:rPr>
        <w:t>funding</w:t>
      </w:r>
      <w:r w:rsidRPr="000F25DC">
        <w:rPr>
          <w:i/>
          <w:spacing w:val="-6"/>
        </w:rPr>
        <w:t xml:space="preserve"> </w:t>
      </w:r>
      <w:r w:rsidRPr="000F25DC">
        <w:rPr>
          <w:i/>
        </w:rPr>
        <w:t>source</w:t>
      </w:r>
      <w:r w:rsidRPr="000F25DC">
        <w:rPr>
          <w:i/>
          <w:spacing w:val="-4"/>
        </w:rPr>
        <w:t xml:space="preserve"> </w:t>
      </w:r>
      <w:r w:rsidRPr="000F25DC">
        <w:rPr>
          <w:i/>
        </w:rPr>
        <w:t>info</w:t>
      </w:r>
      <w:r w:rsidRPr="000F25DC">
        <w:rPr>
          <w:i/>
          <w:spacing w:val="-6"/>
        </w:rPr>
        <w:t xml:space="preserve"> </w:t>
      </w:r>
      <w:r w:rsidRPr="000F25DC">
        <w:rPr>
          <w:i/>
        </w:rPr>
        <w:t>through</w:t>
      </w:r>
      <w:r w:rsidRPr="000F25DC">
        <w:rPr>
          <w:i/>
          <w:spacing w:val="-6"/>
        </w:rPr>
        <w:t xml:space="preserve"> </w:t>
      </w:r>
      <w:r w:rsidRPr="000F25DC">
        <w:rPr>
          <w:i/>
        </w:rPr>
        <w:t>the “Agency Program Information” spreadsheet, please limit your response to funding formulas or funding conventions.)</w:t>
      </w:r>
    </w:p>
    <w:tbl>
      <w:tblPr>
        <w:tblStyle w:val="TableGrid1"/>
        <w:tblW w:w="0" w:type="auto"/>
        <w:tblCellMar>
          <w:top w:w="58" w:type="dxa"/>
          <w:bottom w:w="58" w:type="dxa"/>
        </w:tblCellMar>
        <w:tblLook w:val="04A0" w:firstRow="1" w:lastRow="0" w:firstColumn="1" w:lastColumn="0" w:noHBand="0" w:noVBand="1"/>
      </w:tblPr>
      <w:tblGrid>
        <w:gridCol w:w="2605"/>
        <w:gridCol w:w="2069"/>
        <w:gridCol w:w="2338"/>
        <w:gridCol w:w="2338"/>
      </w:tblGrid>
      <w:tr w:rsidR="00B110FF" w14:paraId="682916D5" w14:textId="77777777" w:rsidTr="00B110FF">
        <w:trPr>
          <w:tblHeader/>
        </w:trPr>
        <w:tc>
          <w:tcPr>
            <w:tcW w:w="2605" w:type="dxa"/>
            <w:shd w:val="clear" w:color="auto" w:fill="B8CCE4" w:themeFill="accent1" w:themeFillTint="66"/>
            <w:vAlign w:val="center"/>
          </w:tcPr>
          <w:p w14:paraId="2FE68AAA" w14:textId="77777777" w:rsidR="00B110FF" w:rsidRPr="000F16EA" w:rsidRDefault="00B110FF" w:rsidP="00B110FF">
            <w:pPr>
              <w:pStyle w:val="TableHeaders"/>
            </w:pPr>
            <w:r w:rsidRPr="000F16EA">
              <w:t>Program or Function Detail Description</w:t>
            </w:r>
          </w:p>
        </w:tc>
        <w:tc>
          <w:tcPr>
            <w:tcW w:w="2069" w:type="dxa"/>
            <w:shd w:val="clear" w:color="auto" w:fill="B8CCE4" w:themeFill="accent1" w:themeFillTint="66"/>
            <w:vAlign w:val="center"/>
          </w:tcPr>
          <w:p w14:paraId="3A626689" w14:textId="77777777" w:rsidR="00B110FF" w:rsidRPr="000F16EA" w:rsidRDefault="00B110FF" w:rsidP="00B110FF">
            <w:pPr>
              <w:pStyle w:val="TableHeaders"/>
            </w:pPr>
            <w:r w:rsidRPr="000F16EA">
              <w:t>Total FY 2024</w:t>
            </w:r>
          </w:p>
        </w:tc>
        <w:tc>
          <w:tcPr>
            <w:tcW w:w="2338" w:type="dxa"/>
            <w:shd w:val="clear" w:color="auto" w:fill="B8CCE4" w:themeFill="accent1" w:themeFillTint="66"/>
            <w:vAlign w:val="center"/>
          </w:tcPr>
          <w:p w14:paraId="6C047A3F" w14:textId="77777777" w:rsidR="00B110FF" w:rsidRPr="000F16EA" w:rsidRDefault="00B110FF" w:rsidP="00B110FF">
            <w:pPr>
              <w:pStyle w:val="TableHeaders"/>
            </w:pPr>
            <w:r w:rsidRPr="000F16EA">
              <w:t>Federal Funding</w:t>
            </w:r>
          </w:p>
        </w:tc>
        <w:tc>
          <w:tcPr>
            <w:tcW w:w="2338" w:type="dxa"/>
            <w:shd w:val="clear" w:color="auto" w:fill="B8CCE4" w:themeFill="accent1" w:themeFillTint="66"/>
            <w:vAlign w:val="center"/>
          </w:tcPr>
          <w:p w14:paraId="02D2B2FC" w14:textId="77777777" w:rsidR="00B110FF" w:rsidRPr="000F16EA" w:rsidRDefault="00B110FF" w:rsidP="00B110FF">
            <w:pPr>
              <w:pStyle w:val="TableHeaders"/>
            </w:pPr>
            <w:r w:rsidRPr="000F16EA">
              <w:t>State Funding</w:t>
            </w:r>
          </w:p>
        </w:tc>
      </w:tr>
      <w:tr w:rsidR="00B110FF" w14:paraId="75F49288" w14:textId="77777777" w:rsidTr="00B110FF">
        <w:tc>
          <w:tcPr>
            <w:tcW w:w="2605" w:type="dxa"/>
            <w:vAlign w:val="center"/>
          </w:tcPr>
          <w:p w14:paraId="0B5DC672" w14:textId="77777777" w:rsidR="00B110FF" w:rsidRPr="000F16EA" w:rsidRDefault="00B110FF" w:rsidP="00B110FF">
            <w:pPr>
              <w:pStyle w:val="TableText"/>
            </w:pPr>
            <w:r w:rsidRPr="000F16EA">
              <w:t>Noncustodial Parent (NCP) Program</w:t>
            </w:r>
          </w:p>
        </w:tc>
        <w:tc>
          <w:tcPr>
            <w:tcW w:w="2069" w:type="dxa"/>
            <w:vAlign w:val="center"/>
          </w:tcPr>
          <w:p w14:paraId="2792BE76" w14:textId="77777777" w:rsidR="00B110FF" w:rsidRPr="000F16EA" w:rsidRDefault="00B110FF" w:rsidP="00B110FF">
            <w:pPr>
              <w:pStyle w:val="TableText"/>
              <w:jc w:val="right"/>
            </w:pPr>
            <w:r w:rsidRPr="000F16EA">
              <w:rPr>
                <w:color w:val="000000"/>
              </w:rPr>
              <w:t xml:space="preserve">2,500,000 </w:t>
            </w:r>
          </w:p>
        </w:tc>
        <w:tc>
          <w:tcPr>
            <w:tcW w:w="2338" w:type="dxa"/>
            <w:vAlign w:val="center"/>
          </w:tcPr>
          <w:p w14:paraId="43A16D70" w14:textId="77777777" w:rsidR="00B110FF" w:rsidRPr="000F16EA" w:rsidRDefault="00B110FF" w:rsidP="00B110FF">
            <w:pPr>
              <w:pStyle w:val="TableText"/>
              <w:jc w:val="right"/>
            </w:pPr>
            <w:r>
              <w:rPr>
                <w:color w:val="000000"/>
              </w:rPr>
              <w:t>0</w:t>
            </w:r>
            <w:r w:rsidRPr="000F16EA">
              <w:rPr>
                <w:color w:val="000000"/>
              </w:rPr>
              <w:t> </w:t>
            </w:r>
          </w:p>
        </w:tc>
        <w:tc>
          <w:tcPr>
            <w:tcW w:w="2338" w:type="dxa"/>
            <w:vAlign w:val="center"/>
          </w:tcPr>
          <w:p w14:paraId="22F040D9" w14:textId="77777777" w:rsidR="00B110FF" w:rsidRPr="000F16EA" w:rsidRDefault="00B110FF" w:rsidP="00B110FF">
            <w:pPr>
              <w:pStyle w:val="TableText"/>
              <w:jc w:val="right"/>
            </w:pPr>
            <w:r w:rsidRPr="000F16EA">
              <w:rPr>
                <w:color w:val="000000"/>
              </w:rPr>
              <w:t xml:space="preserve">2,500,000 </w:t>
            </w:r>
          </w:p>
        </w:tc>
      </w:tr>
      <w:tr w:rsidR="00B110FF" w14:paraId="698AEA64" w14:textId="77777777" w:rsidTr="00B110FF">
        <w:tc>
          <w:tcPr>
            <w:tcW w:w="2605" w:type="dxa"/>
            <w:vAlign w:val="center"/>
          </w:tcPr>
          <w:p w14:paraId="42A6531B" w14:textId="77777777" w:rsidR="00B110FF" w:rsidRPr="000F16EA" w:rsidRDefault="00B110FF" w:rsidP="00B110FF">
            <w:pPr>
              <w:pStyle w:val="TableText"/>
            </w:pPr>
            <w:r w:rsidRPr="000F16EA">
              <w:t>Supplemental Nutrition Assistance Program Employment &amp; Training (SNAP E&amp;T)</w:t>
            </w:r>
          </w:p>
        </w:tc>
        <w:tc>
          <w:tcPr>
            <w:tcW w:w="2069" w:type="dxa"/>
            <w:vAlign w:val="center"/>
          </w:tcPr>
          <w:p w14:paraId="01CF1BA3" w14:textId="77777777" w:rsidR="00B110FF" w:rsidRPr="000F16EA" w:rsidRDefault="00B110FF" w:rsidP="00B110FF">
            <w:pPr>
              <w:pStyle w:val="TableText"/>
              <w:jc w:val="right"/>
            </w:pPr>
            <w:r w:rsidRPr="000F16EA">
              <w:rPr>
                <w:color w:val="000000"/>
              </w:rPr>
              <w:t xml:space="preserve">14,507,901 </w:t>
            </w:r>
          </w:p>
        </w:tc>
        <w:tc>
          <w:tcPr>
            <w:tcW w:w="2338" w:type="dxa"/>
            <w:vAlign w:val="center"/>
          </w:tcPr>
          <w:p w14:paraId="0163F41E" w14:textId="77777777" w:rsidR="00B110FF" w:rsidRPr="000F16EA" w:rsidRDefault="00B110FF" w:rsidP="00B110FF">
            <w:pPr>
              <w:pStyle w:val="TableText"/>
              <w:jc w:val="right"/>
            </w:pPr>
            <w:r>
              <w:rPr>
                <w:color w:val="000000"/>
              </w:rPr>
              <w:t>0</w:t>
            </w:r>
            <w:r w:rsidRPr="000F16EA">
              <w:rPr>
                <w:color w:val="000000"/>
              </w:rPr>
              <w:t> </w:t>
            </w:r>
          </w:p>
        </w:tc>
        <w:tc>
          <w:tcPr>
            <w:tcW w:w="2338" w:type="dxa"/>
            <w:vAlign w:val="center"/>
          </w:tcPr>
          <w:p w14:paraId="7298C358" w14:textId="77777777" w:rsidR="00B110FF" w:rsidRPr="000F16EA" w:rsidRDefault="00B110FF" w:rsidP="00B110FF">
            <w:pPr>
              <w:pStyle w:val="TableText"/>
              <w:jc w:val="right"/>
            </w:pPr>
            <w:r w:rsidRPr="000F16EA">
              <w:rPr>
                <w:color w:val="000000"/>
              </w:rPr>
              <w:t xml:space="preserve">14,507,901 </w:t>
            </w:r>
          </w:p>
        </w:tc>
      </w:tr>
      <w:tr w:rsidR="00B110FF" w14:paraId="42F448A5" w14:textId="77777777" w:rsidTr="00B110FF">
        <w:tc>
          <w:tcPr>
            <w:tcW w:w="2605" w:type="dxa"/>
            <w:vAlign w:val="center"/>
          </w:tcPr>
          <w:p w14:paraId="114EECDA" w14:textId="77777777" w:rsidR="00B110FF" w:rsidRPr="000F16EA" w:rsidRDefault="00B110FF" w:rsidP="00B110FF">
            <w:pPr>
              <w:pStyle w:val="TableText"/>
            </w:pPr>
            <w:r w:rsidRPr="000F16EA">
              <w:t>Temporary Assistance for Needy Family (TANF) Choices Program</w:t>
            </w:r>
          </w:p>
        </w:tc>
        <w:tc>
          <w:tcPr>
            <w:tcW w:w="2069" w:type="dxa"/>
            <w:vAlign w:val="center"/>
          </w:tcPr>
          <w:p w14:paraId="1BE1179A" w14:textId="77777777" w:rsidR="00B110FF" w:rsidRPr="000F16EA" w:rsidRDefault="00B110FF" w:rsidP="00B110FF">
            <w:pPr>
              <w:pStyle w:val="TableText"/>
              <w:jc w:val="right"/>
            </w:pPr>
            <w:r w:rsidRPr="000F16EA">
              <w:rPr>
                <w:color w:val="000000"/>
              </w:rPr>
              <w:t xml:space="preserve">90,418,754 </w:t>
            </w:r>
          </w:p>
        </w:tc>
        <w:tc>
          <w:tcPr>
            <w:tcW w:w="2338" w:type="dxa"/>
            <w:vAlign w:val="center"/>
          </w:tcPr>
          <w:p w14:paraId="25532F76" w14:textId="77777777" w:rsidR="00B110FF" w:rsidRPr="000F16EA" w:rsidRDefault="00B110FF" w:rsidP="00B110FF">
            <w:pPr>
              <w:pStyle w:val="TableText"/>
              <w:jc w:val="right"/>
            </w:pPr>
            <w:r w:rsidRPr="000F16EA">
              <w:rPr>
                <w:color w:val="000000"/>
              </w:rPr>
              <w:t xml:space="preserve">81,589,402 </w:t>
            </w:r>
          </w:p>
        </w:tc>
        <w:tc>
          <w:tcPr>
            <w:tcW w:w="2338" w:type="dxa"/>
            <w:vAlign w:val="center"/>
          </w:tcPr>
          <w:p w14:paraId="03508468" w14:textId="77777777" w:rsidR="00B110FF" w:rsidRPr="000F16EA" w:rsidRDefault="00B110FF" w:rsidP="00B110FF">
            <w:pPr>
              <w:pStyle w:val="TableText"/>
              <w:jc w:val="right"/>
            </w:pPr>
            <w:r w:rsidRPr="000F16EA">
              <w:rPr>
                <w:color w:val="000000"/>
              </w:rPr>
              <w:t xml:space="preserve">8,829,352 </w:t>
            </w:r>
          </w:p>
        </w:tc>
      </w:tr>
      <w:tr w:rsidR="00B110FF" w14:paraId="0C8D0B24" w14:textId="77777777" w:rsidTr="00B110FF">
        <w:tc>
          <w:tcPr>
            <w:tcW w:w="2605" w:type="dxa"/>
            <w:vAlign w:val="center"/>
          </w:tcPr>
          <w:p w14:paraId="3093CAFF" w14:textId="77777777" w:rsidR="00B110FF" w:rsidRPr="000F16EA" w:rsidRDefault="00B110FF" w:rsidP="00B110FF">
            <w:pPr>
              <w:pStyle w:val="TableText"/>
            </w:pPr>
            <w:r>
              <w:t>Total</w:t>
            </w:r>
          </w:p>
        </w:tc>
        <w:tc>
          <w:tcPr>
            <w:tcW w:w="2069" w:type="dxa"/>
            <w:vAlign w:val="center"/>
          </w:tcPr>
          <w:p w14:paraId="30DF5614" w14:textId="77777777" w:rsidR="00B110FF" w:rsidRPr="00B110FF" w:rsidRDefault="00B110FF" w:rsidP="00B110FF">
            <w:pPr>
              <w:pStyle w:val="TableText"/>
              <w:jc w:val="right"/>
              <w:rPr>
                <w:color w:val="000000"/>
              </w:rPr>
            </w:pPr>
            <w:r w:rsidRPr="00B110FF">
              <w:rPr>
                <w:rFonts w:ascii="Aptos Narrow" w:hAnsi="Aptos Narrow"/>
                <w:color w:val="000000"/>
              </w:rPr>
              <w:t>107,426,655</w:t>
            </w:r>
          </w:p>
        </w:tc>
        <w:tc>
          <w:tcPr>
            <w:tcW w:w="2338" w:type="dxa"/>
            <w:vAlign w:val="center"/>
          </w:tcPr>
          <w:p w14:paraId="02F61503" w14:textId="77777777" w:rsidR="00B110FF" w:rsidRPr="00B110FF" w:rsidRDefault="00B110FF" w:rsidP="00B110FF">
            <w:pPr>
              <w:pStyle w:val="TableText"/>
              <w:jc w:val="right"/>
              <w:rPr>
                <w:color w:val="000000"/>
              </w:rPr>
            </w:pPr>
            <w:r w:rsidRPr="00B110FF">
              <w:rPr>
                <w:rFonts w:ascii="Aptos Narrow" w:hAnsi="Aptos Narrow"/>
                <w:color w:val="000000"/>
              </w:rPr>
              <w:t>81,589,402</w:t>
            </w:r>
          </w:p>
        </w:tc>
        <w:tc>
          <w:tcPr>
            <w:tcW w:w="2338" w:type="dxa"/>
            <w:vAlign w:val="center"/>
          </w:tcPr>
          <w:p w14:paraId="3590BC1A" w14:textId="77777777" w:rsidR="00B110FF" w:rsidRPr="00B110FF" w:rsidRDefault="00B110FF" w:rsidP="00B110FF">
            <w:pPr>
              <w:pStyle w:val="TableText"/>
              <w:jc w:val="right"/>
              <w:rPr>
                <w:color w:val="000000"/>
              </w:rPr>
            </w:pPr>
            <w:r w:rsidRPr="00B110FF">
              <w:rPr>
                <w:rFonts w:ascii="Aptos Narrow" w:hAnsi="Aptos Narrow"/>
                <w:color w:val="000000"/>
              </w:rPr>
              <w:t>25,837,253</w:t>
            </w:r>
          </w:p>
        </w:tc>
      </w:tr>
    </w:tbl>
    <w:p w14:paraId="66FC6478" w14:textId="77777777" w:rsidR="006420CB" w:rsidRPr="00A22182" w:rsidRDefault="006420CB" w:rsidP="005E1A18">
      <w:pPr>
        <w:pStyle w:val="BodyText3"/>
        <w:ind w:left="720" w:hanging="720"/>
      </w:pPr>
      <w:r>
        <w:t>H.</w:t>
      </w:r>
      <w:r>
        <w:tab/>
      </w:r>
      <w:r w:rsidRPr="00A22182">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Pr="00A22182">
        <w:rPr>
          <w:spacing w:val="-2"/>
        </w:rPr>
        <w:t>population.</w:t>
      </w:r>
    </w:p>
    <w:p w14:paraId="59B918CB" w14:textId="77777777" w:rsidR="006420CB" w:rsidRPr="002F1FF5" w:rsidRDefault="006420CB" w:rsidP="005E1A18">
      <w:pPr>
        <w:pStyle w:val="BodyText"/>
      </w:pPr>
      <w:r>
        <w:t xml:space="preserve">As previously discussed, TWC works closely with both HHSC and the Office of Attorney General to administer the three mandatory workforce programs.  The agencies have several contracts and agreements governing these partnerships.  TWC also has grant agreements with the 28 Local Workforce Development Boards governing the implementation of the programs at the local level.  </w:t>
      </w:r>
    </w:p>
    <w:p w14:paraId="6889A520" w14:textId="77777777" w:rsidR="006420CB" w:rsidRPr="00A22182" w:rsidRDefault="006420CB" w:rsidP="005E1A18">
      <w:pPr>
        <w:pStyle w:val="BodyText3"/>
        <w:ind w:left="720" w:hanging="720"/>
      </w:pPr>
      <w:r>
        <w:t>I.</w:t>
      </w:r>
      <w:r>
        <w:tab/>
      </w:r>
      <w:r w:rsidRPr="00A22182">
        <w:t>If</w:t>
      </w:r>
      <w:r w:rsidRPr="00A22182">
        <w:rPr>
          <w:spacing w:val="-3"/>
        </w:rPr>
        <w:t xml:space="preserve"> </w:t>
      </w:r>
      <w:r w:rsidRPr="00A22182">
        <w:t>the</w:t>
      </w:r>
      <w:r w:rsidRPr="00A22182">
        <w:rPr>
          <w:spacing w:val="-2"/>
        </w:rPr>
        <w:t xml:space="preserve"> </w:t>
      </w:r>
      <w:r w:rsidRPr="00A22182">
        <w:t>division</w:t>
      </w:r>
      <w:r w:rsidRPr="00A22182">
        <w:rPr>
          <w:spacing w:val="-1"/>
        </w:rPr>
        <w:t xml:space="preserve"> </w:t>
      </w:r>
      <w:r w:rsidRPr="00A22182">
        <w:t>or</w:t>
      </w:r>
      <w:r w:rsidRPr="00A22182">
        <w:rPr>
          <w:spacing w:val="-3"/>
        </w:rPr>
        <w:t xml:space="preserve"> </w:t>
      </w:r>
      <w:r w:rsidRPr="00A22182">
        <w:t>program</w:t>
      </w:r>
      <w:r w:rsidRPr="00A22182">
        <w:rPr>
          <w:spacing w:val="-2"/>
        </w:rPr>
        <w:t xml:space="preserve"> </w:t>
      </w:r>
      <w:r w:rsidRPr="00A22182">
        <w:t>works</w:t>
      </w:r>
      <w:r w:rsidRPr="00A22182">
        <w:rPr>
          <w:spacing w:val="-1"/>
        </w:rPr>
        <w:t xml:space="preserve"> </w:t>
      </w:r>
      <w:r w:rsidRPr="00A22182">
        <w:t>with</w:t>
      </w:r>
      <w:r w:rsidRPr="00A22182">
        <w:rPr>
          <w:spacing w:val="-3"/>
        </w:rPr>
        <w:t xml:space="preserve"> </w:t>
      </w:r>
      <w:r w:rsidRPr="00A22182">
        <w:t>local,</w:t>
      </w:r>
      <w:r w:rsidRPr="00A22182">
        <w:rPr>
          <w:spacing w:val="-3"/>
        </w:rPr>
        <w:t xml:space="preserve"> </w:t>
      </w:r>
      <w:r w:rsidRPr="00A22182">
        <w:t>regional,</w:t>
      </w:r>
      <w:r w:rsidRPr="00A22182">
        <w:rPr>
          <w:spacing w:val="-3"/>
        </w:rPr>
        <w:t xml:space="preserve"> </w:t>
      </w:r>
      <w:r w:rsidRPr="00A22182">
        <w:t>or federal</w:t>
      </w:r>
      <w:r w:rsidRPr="00A22182">
        <w:rPr>
          <w:spacing w:val="-3"/>
        </w:rPr>
        <w:t xml:space="preserve"> </w:t>
      </w:r>
      <w:r w:rsidRPr="00A22182">
        <w:t>units</w:t>
      </w:r>
      <w:r w:rsidRPr="00A22182">
        <w:rPr>
          <w:spacing w:val="-1"/>
        </w:rPr>
        <w:t xml:space="preserve"> </w:t>
      </w:r>
      <w:r w:rsidRPr="00A22182">
        <w:t>of</w:t>
      </w:r>
      <w:r w:rsidRPr="00A22182">
        <w:rPr>
          <w:spacing w:val="-3"/>
        </w:rPr>
        <w:t xml:space="preserve"> </w:t>
      </w:r>
      <w:r w:rsidRPr="00A22182">
        <w:t>government,</w:t>
      </w:r>
      <w:r w:rsidRPr="00A22182">
        <w:rPr>
          <w:spacing w:val="-1"/>
        </w:rPr>
        <w:t xml:space="preserve"> </w:t>
      </w:r>
      <w:r w:rsidRPr="00A22182">
        <w:t>include a brief description of these entities and their relationship to the agency.</w:t>
      </w:r>
    </w:p>
    <w:p w14:paraId="60C038AC" w14:textId="77777777" w:rsidR="006420CB" w:rsidRDefault="006420CB" w:rsidP="004D4B95">
      <w:pPr>
        <w:pStyle w:val="BodyText"/>
      </w:pPr>
      <w:r>
        <w:lastRenderedPageBreak/>
        <w:t>TWC’s mandatory workforce programs are administered in partnership with federal and state agencies that provide funding, regulations, oversight, and customer referrals.  TWC also works closely with the 28 Local Workforce Development Boards to deliver these services directly to customers.  More information about federal coordination is provided below.</w:t>
      </w:r>
    </w:p>
    <w:p w14:paraId="5D954945" w14:textId="77777777" w:rsidR="006420CB" w:rsidRPr="002F1FF5" w:rsidRDefault="006420CB" w:rsidP="004D4B95">
      <w:pPr>
        <w:pStyle w:val="BodyText3"/>
      </w:pPr>
      <w:r w:rsidRPr="002F1FF5">
        <w:t>Choices and NCP</w:t>
      </w:r>
    </w:p>
    <w:p w14:paraId="4328BF0C" w14:textId="77777777" w:rsidR="006420CB" w:rsidRPr="00216672" w:rsidRDefault="006420CB" w:rsidP="004D4B95">
      <w:pPr>
        <w:pStyle w:val="BodyText"/>
      </w:pPr>
      <w:r w:rsidRPr="000F25DC">
        <w:t>The U.S. Department of Health and Human Services, Administration for Children and Families</w:t>
      </w:r>
      <w:r>
        <w:t xml:space="preserve"> (ACF)</w:t>
      </w:r>
      <w:r w:rsidRPr="000F25DC">
        <w:t>, administers the TANF Block Grant which funds the Choices program.</w:t>
      </w:r>
      <w:r>
        <w:t xml:space="preserve">  HHSC</w:t>
      </w:r>
      <w:r w:rsidRPr="00216672">
        <w:t xml:space="preserve"> reports to </w:t>
      </w:r>
      <w:r>
        <w:t>ACF</w:t>
      </w:r>
      <w:r w:rsidRPr="00216672">
        <w:t xml:space="preserve"> about </w:t>
      </w:r>
      <w:r>
        <w:t>Texas’</w:t>
      </w:r>
      <w:r w:rsidRPr="00216672">
        <w:t xml:space="preserve"> TANF program. Texas must also submit a TANF Work Verification Plan that gives information about allowable work activities and the documentation</w:t>
      </w:r>
      <w:r>
        <w:t xml:space="preserve"> and </w:t>
      </w:r>
      <w:r w:rsidRPr="00216672">
        <w:t>verification of those activities.</w:t>
      </w:r>
      <w:r>
        <w:t xml:space="preserve">  HHSC prepares the following reports, with input from TWC, and submits them to ACF: </w:t>
      </w:r>
    </w:p>
    <w:p w14:paraId="0D36072E" w14:textId="77777777" w:rsidR="006420CB" w:rsidRPr="00216672" w:rsidRDefault="006420CB" w:rsidP="00C64851">
      <w:pPr>
        <w:pStyle w:val="BodyText"/>
        <w:numPr>
          <w:ilvl w:val="0"/>
          <w:numId w:val="823"/>
        </w:numPr>
        <w:rPr>
          <w:rFonts w:asciiTheme="minorHAnsi" w:hAnsiTheme="minorHAnsi" w:cstheme="minorHAnsi"/>
        </w:rPr>
      </w:pPr>
      <w:hyperlink r:id="rId140" w:tooltip="ANF State Plan – Texas Health &amp; Human Services" w:history="1">
        <w:r>
          <w:rPr>
            <w:rStyle w:val="Hyperlink"/>
            <w:rFonts w:asciiTheme="minorHAnsi" w:hAnsiTheme="minorHAnsi" w:cstheme="minorHAnsi"/>
          </w:rPr>
          <w:t>TANF State Plan – Texas Health &amp; Human Services</w:t>
        </w:r>
      </w:hyperlink>
    </w:p>
    <w:p w14:paraId="6CBE1EB0" w14:textId="77777777" w:rsidR="006420CB" w:rsidRPr="00216672" w:rsidRDefault="006420CB" w:rsidP="00C64851">
      <w:pPr>
        <w:pStyle w:val="BodyText"/>
        <w:numPr>
          <w:ilvl w:val="0"/>
          <w:numId w:val="823"/>
        </w:numPr>
        <w:rPr>
          <w:rFonts w:asciiTheme="minorHAnsi" w:hAnsiTheme="minorHAnsi" w:cstheme="minorHAnsi"/>
        </w:rPr>
      </w:pPr>
      <w:hyperlink r:id="rId141" w:tooltip="TANF Work Verification Plan" w:history="1">
        <w:r w:rsidRPr="00216672">
          <w:rPr>
            <w:rStyle w:val="Hyperlink"/>
            <w:rFonts w:asciiTheme="minorHAnsi" w:hAnsiTheme="minorHAnsi" w:cstheme="minorHAnsi"/>
          </w:rPr>
          <w:t>TANF Work Verification Plan</w:t>
        </w:r>
      </w:hyperlink>
      <w:r>
        <w:rPr>
          <w:rFonts w:asciiTheme="minorHAnsi" w:hAnsiTheme="minorHAnsi" w:cstheme="minorHAnsi"/>
        </w:rPr>
        <w:t>.</w:t>
      </w:r>
    </w:p>
    <w:p w14:paraId="6F67CC45" w14:textId="77777777" w:rsidR="006420CB" w:rsidRPr="00703761" w:rsidRDefault="006420CB" w:rsidP="004D4B95">
      <w:pPr>
        <w:pStyle w:val="BodyText"/>
        <w:rPr>
          <w:b/>
          <w:bCs/>
        </w:rPr>
      </w:pPr>
      <w:r w:rsidRPr="00703761">
        <w:rPr>
          <w:b/>
          <w:bCs/>
        </w:rPr>
        <w:t>SNAP</w:t>
      </w:r>
      <w:r w:rsidRPr="00703761">
        <w:rPr>
          <w:b/>
          <w:bCs/>
          <w:spacing w:val="-1"/>
        </w:rPr>
        <w:t xml:space="preserve"> </w:t>
      </w:r>
      <w:r w:rsidRPr="00703761">
        <w:rPr>
          <w:b/>
          <w:bCs/>
          <w:spacing w:val="-5"/>
        </w:rPr>
        <w:t>E&amp;T</w:t>
      </w:r>
      <w:r w:rsidRPr="00703761">
        <w:rPr>
          <w:b/>
          <w:bCs/>
          <w:spacing w:val="40"/>
        </w:rPr>
        <w:t xml:space="preserve"> </w:t>
      </w:r>
    </w:p>
    <w:p w14:paraId="7C145F1C" w14:textId="58312FA5" w:rsidR="006420CB" w:rsidRPr="004D4B95" w:rsidRDefault="006420CB" w:rsidP="004D4B95">
      <w:pPr>
        <w:pStyle w:val="BodyText"/>
      </w:pPr>
      <w:r w:rsidRPr="004D4B95">
        <w:t xml:space="preserve">The U.S. Department of Agriculture’s Food and Nutrition Service (FNS) administers the SNAP E&amp;T program. FNS allocates SNAP E&amp;T funds to HHSC for the administration of the program, approves state plans, and monitors compliance with federal SNAP E&amp;T laws and regulations through a management evaluation review process.  Consultation and coordination between HHSC and the Workforce Development System for both SNAP E&amp;T and Choices is discussed in </w:t>
      </w:r>
      <w:hyperlink r:id="rId142" w:history="1">
        <w:r w:rsidRPr="00874E00">
          <w:rPr>
            <w:rStyle w:val="Hyperlink"/>
          </w:rPr>
          <w:t>HHSC's SNAP Employment and Training State Plan - FFY 2024</w:t>
        </w:r>
      </w:hyperlink>
      <w:r w:rsidRPr="004D4B95">
        <w:t>.</w:t>
      </w:r>
    </w:p>
    <w:p w14:paraId="54807A47" w14:textId="77777777" w:rsidR="006420CB" w:rsidRPr="000F25DC" w:rsidRDefault="006420CB" w:rsidP="00874E00">
      <w:pPr>
        <w:pStyle w:val="BodyText3"/>
        <w:ind w:left="720" w:hanging="720"/>
      </w:pPr>
      <w:r>
        <w:t>J.</w:t>
      </w:r>
      <w:r>
        <w:tab/>
      </w:r>
      <w:r w:rsidRPr="000F25DC">
        <w:t>Are there any barriers or challenges that impede the division or program’s performance, including any outdated or ineffective state laws? Explain.</w:t>
      </w:r>
    </w:p>
    <w:p w14:paraId="5FDFD10E" w14:textId="77777777" w:rsidR="006420CB" w:rsidRDefault="006420CB" w:rsidP="000C3BD7">
      <w:pPr>
        <w:pStyle w:val="BodyText"/>
      </w:pPr>
      <w:r w:rsidRPr="000F25DC">
        <w:t>N</w:t>
      </w:r>
      <w:r>
        <w:t>/A</w:t>
      </w:r>
    </w:p>
    <w:p w14:paraId="2863E911" w14:textId="77777777" w:rsidR="006420CB" w:rsidRPr="000F25DC" w:rsidRDefault="006420CB" w:rsidP="000C3BD7">
      <w:pPr>
        <w:pStyle w:val="BodyText3"/>
      </w:pPr>
      <w:r>
        <w:t>K.</w:t>
      </w:r>
      <w:r>
        <w:tab/>
      </w:r>
      <w:r w:rsidRPr="000F25DC">
        <w:t>Provide any additional information needed to gain a preliminary understanding of the division or program.</w:t>
      </w:r>
    </w:p>
    <w:p w14:paraId="1BF108FF" w14:textId="77777777" w:rsidR="006420CB" w:rsidRDefault="006420CB" w:rsidP="000C3BD7">
      <w:pPr>
        <w:pStyle w:val="BodyText"/>
      </w:pPr>
      <w:r w:rsidRPr="000F25DC">
        <w:t>N</w:t>
      </w:r>
      <w:r>
        <w:t>/A</w:t>
      </w:r>
    </w:p>
    <w:p w14:paraId="08F2CD9F" w14:textId="77777777" w:rsidR="006420CB" w:rsidRPr="000F25DC" w:rsidRDefault="006420CB" w:rsidP="000C3BD7">
      <w:pPr>
        <w:pStyle w:val="BodyText3"/>
      </w:pPr>
      <w:r>
        <w:t>L.</w:t>
      </w:r>
      <w:r>
        <w:tab/>
      </w:r>
      <w:r w:rsidRPr="000F25DC">
        <w:t>Regulatory programs relate to the licensing, registration, certification, or permitting of a person, business, piece of equipment, or other entity (e.g., a facility).</w:t>
      </w:r>
    </w:p>
    <w:p w14:paraId="65C6FBF7" w14:textId="77777777" w:rsidR="006420CB" w:rsidRPr="000F25DC" w:rsidRDefault="006420CB" w:rsidP="000C3BD7">
      <w:pPr>
        <w:pStyle w:val="BodyText"/>
      </w:pPr>
      <w:r w:rsidRPr="000F25DC">
        <w:t>N</w:t>
      </w:r>
      <w:r>
        <w:t>/A</w:t>
      </w:r>
    </w:p>
    <w:p w14:paraId="1DBD1D35" w14:textId="77777777" w:rsidR="006420CB" w:rsidRPr="000F25DC" w:rsidRDefault="006420CB" w:rsidP="000C3BD7">
      <w:pPr>
        <w:pStyle w:val="BodyText3"/>
      </w:pPr>
      <w:r>
        <w:t>M.</w:t>
      </w:r>
      <w:r>
        <w:tab/>
      </w:r>
      <w:r w:rsidRPr="000F25DC">
        <w:t>For each regulatory</w:t>
      </w:r>
      <w:r w:rsidRPr="000F25DC">
        <w:rPr>
          <w:spacing w:val="-1"/>
        </w:rPr>
        <w:t xml:space="preserve"> </w:t>
      </w:r>
      <w:r w:rsidRPr="000F25DC">
        <w:t>program, if applicable, provide</w:t>
      </w:r>
      <w:r w:rsidRPr="000F25DC">
        <w:rPr>
          <w:spacing w:val="-1"/>
        </w:rPr>
        <w:t xml:space="preserve"> </w:t>
      </w:r>
      <w:r w:rsidRPr="000F25DC">
        <w:t xml:space="preserve">detailed information on complaint and regulatory actions, including investigations and complaint </w:t>
      </w:r>
      <w:r w:rsidRPr="000F25DC">
        <w:lastRenderedPageBreak/>
        <w:t>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1D89093C" w14:textId="058E402A" w:rsidR="006420CB" w:rsidRPr="00D427C4" w:rsidRDefault="006420CB" w:rsidP="00D427C4">
      <w:pPr>
        <w:pStyle w:val="TableParagraph"/>
      </w:pPr>
      <w:r w:rsidRPr="000F25DC">
        <w:t>N</w:t>
      </w:r>
      <w:r>
        <w:t>/A</w:t>
      </w:r>
    </w:p>
    <w:p w14:paraId="2D34178B" w14:textId="77777777" w:rsidR="006420CB" w:rsidRPr="000F25DC" w:rsidRDefault="006420CB" w:rsidP="002F5285">
      <w:pPr>
        <w:pStyle w:val="BodyText3"/>
      </w:pPr>
      <w:bookmarkStart w:id="231" w:name="_Toc496066036"/>
      <w:bookmarkStart w:id="232" w:name="_Toc204688542"/>
      <w:r w:rsidRPr="00385E9B">
        <w:t>Reemployment</w:t>
      </w:r>
      <w:r w:rsidRPr="000F25DC">
        <w:t xml:space="preserve"> Services and Eligibility Assessment</w:t>
      </w:r>
      <w:bookmarkEnd w:id="231"/>
      <w:bookmarkEnd w:id="232"/>
      <w:r w:rsidRPr="000F25DC">
        <w:t xml:space="preserve"> </w:t>
      </w:r>
    </w:p>
    <w:p w14:paraId="4277F3AE" w14:textId="77777777" w:rsidR="006420CB" w:rsidRPr="002F1FF5" w:rsidRDefault="006420CB" w:rsidP="002F5285">
      <w:pPr>
        <w:pStyle w:val="BodyText3"/>
      </w:pPr>
      <w:r w:rsidRPr="002F1FF5">
        <w:t>A.</w:t>
      </w:r>
      <w:r w:rsidRPr="002F1FF5">
        <w:tab/>
        <w:t>Provide the following information at the beginning of each description.</w:t>
      </w:r>
    </w:p>
    <w:p w14:paraId="0ECC3F4B" w14:textId="77777777" w:rsidR="006420CB" w:rsidRPr="000F25DC" w:rsidRDefault="006420CB" w:rsidP="002F5285">
      <w:pPr>
        <w:pStyle w:val="BodyText"/>
      </w:pPr>
      <w:r w:rsidRPr="000F25DC">
        <w:t xml:space="preserve">Name of division or program: Reemployment Services and Eligibility Assessment </w:t>
      </w:r>
    </w:p>
    <w:p w14:paraId="4CA4D4FF" w14:textId="77777777" w:rsidR="006420CB" w:rsidRPr="000F25DC" w:rsidRDefault="006420CB" w:rsidP="002F5285">
      <w:pPr>
        <w:pStyle w:val="BodyText"/>
      </w:pPr>
      <w:r w:rsidRPr="000F25DC">
        <w:t>Location within the agency: Workforce Development Divisio</w:t>
      </w:r>
      <w:r>
        <w:t>n, Policy and Board Support</w:t>
      </w:r>
    </w:p>
    <w:p w14:paraId="6A8C0FAE" w14:textId="77777777" w:rsidR="006420CB" w:rsidRPr="000F25DC" w:rsidRDefault="006420CB" w:rsidP="002F5285">
      <w:pPr>
        <w:pStyle w:val="BodyText"/>
      </w:pPr>
      <w:r w:rsidRPr="000F25DC">
        <w:t>Contact name: Suzette Robinson</w:t>
      </w:r>
    </w:p>
    <w:p w14:paraId="1A426646" w14:textId="77777777" w:rsidR="006420CB" w:rsidRPr="000F25DC" w:rsidRDefault="006420CB" w:rsidP="002F5285">
      <w:pPr>
        <w:pStyle w:val="BodyText"/>
      </w:pPr>
      <w:r w:rsidRPr="00B1568B">
        <w:t>Statutory citation:</w:t>
      </w:r>
      <w:r w:rsidRPr="000F25DC">
        <w:t xml:space="preserve">  </w:t>
      </w:r>
      <w:r>
        <w:t>Texas Labor Code, Chapters 201-215 and 307</w:t>
      </w:r>
    </w:p>
    <w:p w14:paraId="005A39AA" w14:textId="77777777" w:rsidR="006420CB" w:rsidRPr="002F1FF5" w:rsidRDefault="006420CB" w:rsidP="002F5285">
      <w:pPr>
        <w:pStyle w:val="BodyText3"/>
      </w:pPr>
      <w:r w:rsidRPr="002F1FF5">
        <w:t>B.</w:t>
      </w:r>
      <w:r w:rsidRPr="002F1FF5">
        <w:tab/>
        <w:t>What is the objective of this division or program? Describe its major activities.</w:t>
      </w:r>
    </w:p>
    <w:p w14:paraId="2062E502" w14:textId="77777777" w:rsidR="006420CB" w:rsidRPr="000F25DC" w:rsidRDefault="006420CB" w:rsidP="002F5285">
      <w:pPr>
        <w:pStyle w:val="BodyText"/>
        <w:rPr>
          <w:color w:val="212121"/>
        </w:rPr>
      </w:pPr>
      <w:r w:rsidRPr="000F25DC">
        <w:t xml:space="preserve">The </w:t>
      </w:r>
      <w:hyperlink r:id="rId143" w:history="1">
        <w:r>
          <w:rPr>
            <w:rStyle w:val="Hyperlink"/>
            <w:rFonts w:asciiTheme="minorHAnsi" w:eastAsia="Times New Roman" w:hAnsiTheme="minorHAnsi" w:cstheme="minorHAnsi"/>
            <w:sz w:val="24"/>
            <w:szCs w:val="24"/>
          </w:rPr>
          <w:t>Reemployment Services and Eligibility Assessment (RESEA) Program</w:t>
        </w:r>
      </w:hyperlink>
      <w:r w:rsidRPr="000F25DC">
        <w:t xml:space="preserve"> is </w:t>
      </w:r>
      <w:r>
        <w:t xml:space="preserve">funded through TWC’s federal </w:t>
      </w:r>
      <w:r w:rsidRPr="000F25DC">
        <w:t>Unemployment Insurance (UI)</w:t>
      </w:r>
      <w:r>
        <w:t xml:space="preserve"> grant</w:t>
      </w:r>
      <w:r w:rsidRPr="000F25DC">
        <w:t xml:space="preserve"> and </w:t>
      </w:r>
      <w:r>
        <w:t xml:space="preserve">is </w:t>
      </w:r>
      <w:r w:rsidRPr="000F25DC">
        <w:t xml:space="preserve">mandated </w:t>
      </w:r>
      <w:r>
        <w:t xml:space="preserve">by the state to </w:t>
      </w:r>
      <w:r w:rsidRPr="000F25DC">
        <w:t xml:space="preserve">help UI claimants quickly find new employment, minimize their dependence on UI benefits, and ensure integrity in the UI system by providing individualized assessments and targeted reemployment services. </w:t>
      </w:r>
      <w:r w:rsidRPr="000F25DC">
        <w:rPr>
          <w:color w:val="212121"/>
        </w:rPr>
        <w:t xml:space="preserve">State participation in RESEA is voluntary. </w:t>
      </w:r>
    </w:p>
    <w:p w14:paraId="0CF844B0" w14:textId="77777777" w:rsidR="006420CB" w:rsidRPr="000F25DC" w:rsidRDefault="006420CB" w:rsidP="002F5285">
      <w:pPr>
        <w:pStyle w:val="BodyText"/>
        <w:rPr>
          <w:color w:val="212121"/>
        </w:rPr>
      </w:pPr>
      <w:r w:rsidRPr="000F25DC">
        <w:t>The RESEA program has four purposes</w:t>
      </w:r>
      <w:r>
        <w:t>.</w:t>
      </w:r>
    </w:p>
    <w:p w14:paraId="2B6FD653" w14:textId="77777777" w:rsidR="006420CB" w:rsidRPr="000F25DC" w:rsidRDefault="006420CB" w:rsidP="00C64851">
      <w:pPr>
        <w:pStyle w:val="BodyText"/>
        <w:numPr>
          <w:ilvl w:val="0"/>
          <w:numId w:val="824"/>
        </w:numPr>
      </w:pPr>
      <w:r w:rsidRPr="000F25DC">
        <w:t>Reduce UI duration through improved employment outcomes</w:t>
      </w:r>
      <w:r>
        <w:t>.</w:t>
      </w:r>
    </w:p>
    <w:p w14:paraId="7C7E0571" w14:textId="77777777" w:rsidR="006420CB" w:rsidRPr="000F25DC" w:rsidRDefault="006420CB" w:rsidP="00C64851">
      <w:pPr>
        <w:pStyle w:val="BodyText"/>
        <w:numPr>
          <w:ilvl w:val="0"/>
          <w:numId w:val="824"/>
        </w:numPr>
      </w:pPr>
      <w:r w:rsidRPr="000F25DC">
        <w:t>Strengthen UI program integrity</w:t>
      </w:r>
      <w:r>
        <w:t>.</w:t>
      </w:r>
    </w:p>
    <w:p w14:paraId="09A3B159" w14:textId="77777777" w:rsidR="006420CB" w:rsidRPr="000F25DC" w:rsidRDefault="006420CB" w:rsidP="00C64851">
      <w:pPr>
        <w:pStyle w:val="BodyText"/>
        <w:numPr>
          <w:ilvl w:val="0"/>
          <w:numId w:val="824"/>
        </w:numPr>
      </w:pPr>
      <w:r w:rsidRPr="000F25DC">
        <w:t>Promote alignment with the vision of WIOA</w:t>
      </w:r>
      <w:r>
        <w:t xml:space="preserve">. </w:t>
      </w:r>
    </w:p>
    <w:p w14:paraId="67D74905" w14:textId="77777777" w:rsidR="006420CB" w:rsidRPr="000F25DC" w:rsidRDefault="006420CB" w:rsidP="00C64851">
      <w:pPr>
        <w:pStyle w:val="BodyText"/>
        <w:numPr>
          <w:ilvl w:val="0"/>
          <w:numId w:val="824"/>
        </w:numPr>
      </w:pPr>
      <w:r w:rsidRPr="000F25DC">
        <w:t>Establish RESEA as an entry point to other workforce system partners.</w:t>
      </w:r>
    </w:p>
    <w:p w14:paraId="65D36C84" w14:textId="77777777" w:rsidR="006420CB" w:rsidRPr="000F25DC" w:rsidRDefault="006420CB" w:rsidP="002F5285">
      <w:pPr>
        <w:pStyle w:val="BodyText"/>
      </w:pPr>
      <w:r w:rsidRPr="58D0E01B">
        <w:t>The RESEA program provid</w:t>
      </w:r>
      <w:r>
        <w:t>es</w:t>
      </w:r>
      <w:r w:rsidRPr="58D0E01B">
        <w:t xml:space="preserve"> UI Claimants with a wide array of available resources that support reemployment and connect them to career services. The </w:t>
      </w:r>
      <w:r>
        <w:t>Workforce Development Division</w:t>
      </w:r>
      <w:r w:rsidRPr="58D0E01B">
        <w:t xml:space="preserve"> works in concert with the UI Division to guide, plan and report on the program in accordance with </w:t>
      </w:r>
      <w:r w:rsidRPr="061A6DF0">
        <w:t>the</w:t>
      </w:r>
      <w:r w:rsidRPr="58D0E01B">
        <w:t xml:space="preserve"> </w:t>
      </w:r>
      <w:r>
        <w:t xml:space="preserve">U.S. </w:t>
      </w:r>
      <w:r w:rsidRPr="58D0E01B">
        <w:t>Department of Labor</w:t>
      </w:r>
      <w:r>
        <w:t>’s</w:t>
      </w:r>
      <w:r w:rsidRPr="58D0E01B">
        <w:t xml:space="preserve"> Employment and Training </w:t>
      </w:r>
      <w:r w:rsidRPr="061A6DF0">
        <w:t>Administration</w:t>
      </w:r>
      <w:r>
        <w:t>’s</w:t>
      </w:r>
      <w:r w:rsidRPr="061A6DF0">
        <w:t xml:space="preserve"> </w:t>
      </w:r>
      <w:r w:rsidRPr="58D0E01B">
        <w:t xml:space="preserve">(DOLETA) guidelines.  TWC provides funding to each of the 28 Local Workforce </w:t>
      </w:r>
      <w:r w:rsidRPr="58D0E01B">
        <w:lastRenderedPageBreak/>
        <w:t xml:space="preserve">Development Board partners, to administer and hire contract service providers to provide mandatory services to all claimants that are profiled as likely to exhaust UI benefits before finding employment. </w:t>
      </w:r>
      <w:r w:rsidRPr="58D0E01B">
        <w:rPr>
          <w:color w:val="212121"/>
        </w:rPr>
        <w:t>Contracted staff provide reemployment services in person and via mobile and virtual platforms to UI claimants.</w:t>
      </w:r>
      <w:r w:rsidRPr="58D0E01B">
        <w:rPr>
          <w:color w:val="212121"/>
          <w:lang w:val="en"/>
        </w:rPr>
        <w:t xml:space="preserve"> Failure to complete all the required RESEA services or failure to show up for the scheduled initial RESEA appointment may result in referral to the UI Division for adjudication and suspension of benefits.</w:t>
      </w:r>
      <w:r w:rsidRPr="58D0E01B">
        <w:rPr>
          <w:color w:val="212121"/>
        </w:rPr>
        <w:t xml:space="preserve"> </w:t>
      </w:r>
    </w:p>
    <w:p w14:paraId="7AF70055" w14:textId="7A97B841" w:rsidR="006420CB" w:rsidRPr="000F25DC" w:rsidRDefault="006420CB" w:rsidP="002F5285">
      <w:pPr>
        <w:pStyle w:val="BodyText"/>
      </w:pPr>
      <w:r w:rsidRPr="000F25DC">
        <w:t>Goal in Texas: Job Over Benefits (</w:t>
      </w:r>
      <w:proofErr w:type="spellStart"/>
      <w:r w:rsidRPr="000F25DC">
        <w:t>GiTJOBs</w:t>
      </w:r>
      <w:proofErr w:type="spellEnd"/>
      <w:r w:rsidRPr="000F25DC">
        <w:t xml:space="preserve">) is the Texas-specific name TWC has assigned to the RESEA program. Customers who are profiled into mandatory participation in the RESEA program are having better experiences across the board thanks to </w:t>
      </w:r>
      <w:proofErr w:type="spellStart"/>
      <w:r w:rsidRPr="000F25DC">
        <w:t>GiTJOBs</w:t>
      </w:r>
      <w:proofErr w:type="spellEnd"/>
      <w:r w:rsidRPr="000F25DC">
        <w:t>.</w:t>
      </w:r>
    </w:p>
    <w:p w14:paraId="70D4AACC" w14:textId="77777777" w:rsidR="006420CB" w:rsidRPr="000F25DC" w:rsidRDefault="006420CB" w:rsidP="00B212D7">
      <w:pPr>
        <w:pStyle w:val="BodyText3"/>
        <w:ind w:left="720" w:hanging="720"/>
      </w:pPr>
      <w:r w:rsidRPr="002F1FF5">
        <w:t>C.</w:t>
      </w:r>
      <w:r w:rsidRPr="002F1FF5">
        <w:tab/>
        <w:t xml:space="preserve">What information does the agency collect/use to assess the effectiveness and efficiency of this division or program? If applicable, briefly note any LBB performance measures (from Section II, </w:t>
      </w:r>
      <w:proofErr w:type="gramStart"/>
      <w:r w:rsidRPr="002F1FF5">
        <w:t>Exhibit</w:t>
      </w:r>
      <w:proofErr w:type="gramEnd"/>
      <w:r w:rsidRPr="002F1FF5">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r w:rsidRPr="000F25DC">
        <w:t xml:space="preserve"> </w:t>
      </w:r>
    </w:p>
    <w:p w14:paraId="29A93FEF" w14:textId="77777777" w:rsidR="006420CB" w:rsidRPr="000F25DC" w:rsidRDefault="006420CB" w:rsidP="00B212D7">
      <w:pPr>
        <w:pStyle w:val="BodyText"/>
        <w:rPr>
          <w:rFonts w:cstheme="minorHAnsi"/>
        </w:rPr>
      </w:pPr>
      <w:r w:rsidRPr="061A6DF0">
        <w:t xml:space="preserve">TWC tracks four key performance measures to assess the efficacy of the RESEA program. The first two are measured at the Board level and are mandated in annual contracts – these are </w:t>
      </w:r>
      <w:r>
        <w:t>i</w:t>
      </w:r>
      <w:r w:rsidRPr="061A6DF0">
        <w:t xml:space="preserve">nitial </w:t>
      </w:r>
      <w:r>
        <w:t>ap</w:t>
      </w:r>
      <w:r w:rsidRPr="061A6DF0">
        <w:t xml:space="preserve">pointment </w:t>
      </w:r>
      <w:r>
        <w:t>c</w:t>
      </w:r>
      <w:r w:rsidRPr="061A6DF0">
        <w:t xml:space="preserve">ompletion </w:t>
      </w:r>
      <w:r>
        <w:t>r</w:t>
      </w:r>
      <w:r w:rsidRPr="061A6DF0">
        <w:t xml:space="preserve">ate and </w:t>
      </w:r>
      <w:r>
        <w:t>f</w:t>
      </w:r>
      <w:r w:rsidRPr="061A6DF0">
        <w:t xml:space="preserve">ailure to </w:t>
      </w:r>
      <w:r>
        <w:t>r</w:t>
      </w:r>
      <w:r w:rsidRPr="061A6DF0">
        <w:t>eport (FTR) rate. DOLETA requires states to maintain completion rates of 70</w:t>
      </w:r>
      <w:r>
        <w:t xml:space="preserve"> percent</w:t>
      </w:r>
      <w:r w:rsidRPr="061A6DF0">
        <w:t xml:space="preserve"> or greater and FTR rates of 30</w:t>
      </w:r>
      <w:r>
        <w:t xml:space="preserve"> percent</w:t>
      </w:r>
      <w:r w:rsidRPr="061A6DF0">
        <w:t xml:space="preserve"> or less</w:t>
      </w:r>
      <w:r>
        <w:t>.  TWC</w:t>
      </w:r>
      <w:r w:rsidRPr="061A6DF0">
        <w:t xml:space="preserve"> sets higher standards of 77</w:t>
      </w:r>
      <w:r>
        <w:t xml:space="preserve"> percent</w:t>
      </w:r>
      <w:r w:rsidRPr="061A6DF0">
        <w:t xml:space="preserve"> completion rate and 23</w:t>
      </w:r>
      <w:r>
        <w:t xml:space="preserve"> percent</w:t>
      </w:r>
      <w:r w:rsidRPr="061A6DF0">
        <w:t xml:space="preserve"> FTR rate at the Board level.</w:t>
      </w:r>
      <w:r>
        <w:t xml:space="preserve">  </w:t>
      </w:r>
      <w:r w:rsidRPr="000F25DC">
        <w:rPr>
          <w:rFonts w:cstheme="minorHAnsi"/>
        </w:rPr>
        <w:t xml:space="preserve">Because the </w:t>
      </w:r>
      <w:proofErr w:type="gramStart"/>
      <w:r w:rsidRPr="000F25DC">
        <w:rPr>
          <w:rFonts w:cstheme="minorHAnsi"/>
        </w:rPr>
        <w:t>GiT:JOBs</w:t>
      </w:r>
      <w:proofErr w:type="gramEnd"/>
      <w:r w:rsidRPr="000F25DC">
        <w:rPr>
          <w:rFonts w:cstheme="minorHAnsi"/>
        </w:rPr>
        <w:t xml:space="preserve"> initiative has streamlined the customer experience, more customers are completing all required services. </w:t>
      </w:r>
      <w:r>
        <w:rPr>
          <w:rFonts w:cstheme="minorHAnsi"/>
        </w:rPr>
        <w:t>Statewide c</w:t>
      </w:r>
      <w:r w:rsidRPr="000F25DC">
        <w:rPr>
          <w:rFonts w:cstheme="minorHAnsi"/>
        </w:rPr>
        <w:t>ustomer completion rates have increased from 54</w:t>
      </w:r>
      <w:r>
        <w:rPr>
          <w:rFonts w:cstheme="minorHAnsi"/>
        </w:rPr>
        <w:t xml:space="preserve"> percent</w:t>
      </w:r>
      <w:r w:rsidRPr="000F25DC">
        <w:rPr>
          <w:rFonts w:cstheme="minorHAnsi"/>
        </w:rPr>
        <w:t xml:space="preserve"> in 2023 to 64</w:t>
      </w:r>
      <w:r>
        <w:rPr>
          <w:rFonts w:cstheme="minorHAnsi"/>
        </w:rPr>
        <w:t xml:space="preserve"> percent</w:t>
      </w:r>
      <w:r w:rsidRPr="000F25DC">
        <w:rPr>
          <w:rFonts w:cstheme="minorHAnsi"/>
        </w:rPr>
        <w:t xml:space="preserve"> in 2024, with 14 of the 28 Board area completion rates increasing by 10 percent or </w:t>
      </w:r>
      <w:r>
        <w:rPr>
          <w:rFonts w:cstheme="minorHAnsi"/>
        </w:rPr>
        <w:t>more</w:t>
      </w:r>
      <w:r w:rsidRPr="000F25DC">
        <w:rPr>
          <w:rFonts w:cstheme="minorHAnsi"/>
        </w:rPr>
        <w:t xml:space="preserve"> year over year.</w:t>
      </w:r>
    </w:p>
    <w:p w14:paraId="5D0675FC" w14:textId="77777777" w:rsidR="006420CB" w:rsidRPr="000F25DC" w:rsidRDefault="006420CB" w:rsidP="00B212D7">
      <w:pPr>
        <w:pStyle w:val="BodyText"/>
        <w:rPr>
          <w:rFonts w:cstheme="minorBidi"/>
        </w:rPr>
      </w:pPr>
      <w:r>
        <w:t xml:space="preserve">The other two key performance measures tracked by </w:t>
      </w:r>
      <w:r w:rsidRPr="000F25DC">
        <w:t xml:space="preserve">DOLETA </w:t>
      </w:r>
      <w:r>
        <w:t>are the</w:t>
      </w:r>
      <w:r w:rsidRPr="000F25DC">
        <w:t xml:space="preserve"> average UI duration and statewide reemployment rates, which were 14 weeks and 66</w:t>
      </w:r>
      <w:r>
        <w:t xml:space="preserve"> percent</w:t>
      </w:r>
      <w:r w:rsidRPr="000F25DC">
        <w:t xml:space="preserve"> respectively for Texas as of the </w:t>
      </w:r>
      <w:r>
        <w:t>FY 2024</w:t>
      </w:r>
      <w:r w:rsidRPr="000F25DC">
        <w:t xml:space="preserve"> mid-year report. </w:t>
      </w:r>
      <w:r w:rsidRPr="58D0E01B">
        <w:rPr>
          <w:rFonts w:eastAsia="Yu Gothic Light" w:cstheme="minorBidi"/>
        </w:rPr>
        <w:t>Texas exceeded the DOLETA targets for UI duration and reemployment</w:t>
      </w:r>
      <w:r>
        <w:rPr>
          <w:rFonts w:eastAsia="Yu Gothic Light" w:cstheme="minorBidi"/>
        </w:rPr>
        <w:t xml:space="preserve"> in both FY 2023 and FY 2024</w:t>
      </w:r>
      <w:r w:rsidRPr="58D0E01B">
        <w:rPr>
          <w:rFonts w:eastAsia="Yu Gothic Light" w:cstheme="minorBidi"/>
        </w:rPr>
        <w:t>.</w:t>
      </w:r>
      <w:r>
        <w:rPr>
          <w:rFonts w:eastAsia="Yu Gothic Light" w:cstheme="minorBidi"/>
        </w:rPr>
        <w:t xml:space="preserve"> </w:t>
      </w:r>
      <w:r w:rsidRPr="58D0E01B">
        <w:rPr>
          <w:rFonts w:eastAsia="Yu Gothic Light" w:cstheme="minorBidi"/>
        </w:rPr>
        <w:t xml:space="preserve"> Additionally, Texas</w:t>
      </w:r>
      <w:r>
        <w:rPr>
          <w:rFonts w:eastAsia="Yu Gothic Light" w:cstheme="minorBidi"/>
        </w:rPr>
        <w:t>’</w:t>
      </w:r>
      <w:r w:rsidRPr="58D0E01B">
        <w:rPr>
          <w:rFonts w:eastAsia="Yu Gothic Light" w:cstheme="minorBidi"/>
        </w:rPr>
        <w:t xml:space="preserve"> performance improved in both categories year over year</w:t>
      </w:r>
      <w:r>
        <w:rPr>
          <w:rFonts w:eastAsia="Yu Gothic Light" w:cstheme="minorBidi"/>
        </w:rPr>
        <w:t xml:space="preserve">.  </w:t>
      </w:r>
      <w:r w:rsidRPr="58D0E01B">
        <w:rPr>
          <w:rFonts w:eastAsia="Yu Gothic Light" w:cstheme="minorBidi"/>
        </w:rPr>
        <w:t>Statewide average UI duration for RESEA customers decreased from 15 to 14 weeks and statewide reemployment rate for RESEA customers increased from 65</w:t>
      </w:r>
      <w:r>
        <w:rPr>
          <w:rFonts w:eastAsia="Yu Gothic Light" w:cstheme="minorBidi"/>
        </w:rPr>
        <w:t xml:space="preserve"> percent</w:t>
      </w:r>
      <w:r w:rsidRPr="58D0E01B">
        <w:rPr>
          <w:rFonts w:eastAsia="Yu Gothic Light" w:cstheme="minorBidi"/>
        </w:rPr>
        <w:t xml:space="preserve"> to 66</w:t>
      </w:r>
      <w:r>
        <w:rPr>
          <w:rFonts w:eastAsia="Yu Gothic Light" w:cstheme="minorBidi"/>
        </w:rPr>
        <w:t xml:space="preserve"> percent</w:t>
      </w:r>
      <w:r w:rsidRPr="58D0E01B">
        <w:rPr>
          <w:rFonts w:eastAsia="Yu Gothic Light" w:cstheme="minorBidi"/>
        </w:rPr>
        <w:t xml:space="preserve">. </w:t>
      </w:r>
      <w:r>
        <w:rPr>
          <w:rFonts w:eastAsia="Yu Gothic Light" w:cstheme="minorBidi"/>
        </w:rPr>
        <w:t xml:space="preserve">DOLETA mid-year reports </w:t>
      </w:r>
      <w:r w:rsidRPr="58D0E01B">
        <w:rPr>
          <w:rFonts w:eastAsia="Yu Gothic Light" w:cstheme="minorBidi"/>
        </w:rPr>
        <w:t xml:space="preserve">can be found here: </w:t>
      </w:r>
      <w:hyperlink r:id="rId144">
        <w:r w:rsidRPr="58D0E01B">
          <w:rPr>
            <w:rFonts w:eastAsia="Yu Gothic Light" w:cstheme="minorBidi"/>
            <w:color w:val="0563C1"/>
            <w:u w:val="single"/>
          </w:rPr>
          <w:t>ETA TEN 07-23</w:t>
        </w:r>
      </w:hyperlink>
      <w:r w:rsidRPr="58D0E01B">
        <w:rPr>
          <w:rFonts w:eastAsia="Yu Gothic Light" w:cstheme="minorBidi"/>
        </w:rPr>
        <w:t xml:space="preserve"> and </w:t>
      </w:r>
      <w:hyperlink r:id="rId145">
        <w:r w:rsidRPr="58D0E01B">
          <w:rPr>
            <w:rFonts w:eastAsia="Yu Gothic Light" w:cstheme="minorBidi"/>
            <w:color w:val="0563C1"/>
            <w:u w:val="single"/>
          </w:rPr>
          <w:t>ETA TEN 12-24</w:t>
        </w:r>
      </w:hyperlink>
      <w:r w:rsidRPr="58D0E01B">
        <w:rPr>
          <w:rFonts w:eastAsia="Yu Gothic Light" w:cstheme="minorBidi"/>
        </w:rPr>
        <w:t xml:space="preserve">. </w:t>
      </w:r>
      <w:r w:rsidRPr="061A6DF0">
        <w:rPr>
          <w:rFonts w:cstheme="minorBidi"/>
        </w:rPr>
        <w:t>Starting in FY</w:t>
      </w:r>
      <w:r>
        <w:rPr>
          <w:rFonts w:cstheme="minorBidi"/>
        </w:rPr>
        <w:t xml:space="preserve"> </w:t>
      </w:r>
      <w:r w:rsidRPr="061A6DF0">
        <w:rPr>
          <w:rFonts w:cstheme="minorBidi"/>
        </w:rPr>
        <w:t>2021, DOLETA</w:t>
      </w:r>
      <w:r>
        <w:rPr>
          <w:rFonts w:cstheme="minorBidi"/>
        </w:rPr>
        <w:t xml:space="preserve"> </w:t>
      </w:r>
      <w:r w:rsidRPr="061A6DF0">
        <w:rPr>
          <w:rFonts w:cstheme="minorBidi"/>
        </w:rPr>
        <w:t>set aside 10</w:t>
      </w:r>
      <w:r>
        <w:rPr>
          <w:rFonts w:cstheme="minorBidi"/>
        </w:rPr>
        <w:t xml:space="preserve"> percent</w:t>
      </w:r>
      <w:r w:rsidRPr="061A6DF0">
        <w:rPr>
          <w:rFonts w:cstheme="minorBidi"/>
        </w:rPr>
        <w:t xml:space="preserve"> of the program </w:t>
      </w:r>
      <w:r>
        <w:rPr>
          <w:rFonts w:cstheme="minorBidi"/>
        </w:rPr>
        <w:t>funding</w:t>
      </w:r>
      <w:r w:rsidRPr="061A6DF0">
        <w:rPr>
          <w:rFonts w:cstheme="minorBidi"/>
        </w:rPr>
        <w:t xml:space="preserve"> to award performance outcome payments to states that meet UI duration targets and reemployment targets. Texas has met the UI duration target all four years and the reemployment target every year since FY</w:t>
      </w:r>
      <w:r>
        <w:rPr>
          <w:rFonts w:cstheme="minorBidi"/>
        </w:rPr>
        <w:t xml:space="preserve"> </w:t>
      </w:r>
      <w:r w:rsidRPr="061A6DF0">
        <w:rPr>
          <w:rFonts w:cstheme="minorBidi"/>
        </w:rPr>
        <w:t xml:space="preserve">2022. Texas is one of the first states to utilize the RESEA </w:t>
      </w:r>
      <w:r>
        <w:rPr>
          <w:rFonts w:cstheme="minorBidi"/>
        </w:rPr>
        <w:t>p</w:t>
      </w:r>
      <w:r w:rsidRPr="061A6DF0">
        <w:rPr>
          <w:rFonts w:cstheme="minorBidi"/>
        </w:rPr>
        <w:t xml:space="preserve">erformance </w:t>
      </w:r>
      <w:r>
        <w:rPr>
          <w:rFonts w:cstheme="minorBidi"/>
        </w:rPr>
        <w:t>o</w:t>
      </w:r>
      <w:r w:rsidRPr="061A6DF0">
        <w:rPr>
          <w:rFonts w:cstheme="minorBidi"/>
        </w:rPr>
        <w:t xml:space="preserve">utcome </w:t>
      </w:r>
      <w:r>
        <w:rPr>
          <w:rFonts w:cstheme="minorBidi"/>
        </w:rPr>
        <w:t>p</w:t>
      </w:r>
      <w:r w:rsidRPr="061A6DF0">
        <w:rPr>
          <w:rFonts w:cstheme="minorBidi"/>
        </w:rPr>
        <w:t>ayments as an incentive to improve RESEA completion rates. Board performance in providing claimants with all required services improved roughly 20</w:t>
      </w:r>
      <w:r>
        <w:rPr>
          <w:rFonts w:cstheme="minorBidi"/>
        </w:rPr>
        <w:t xml:space="preserve"> percent</w:t>
      </w:r>
      <w:r w:rsidRPr="061A6DF0">
        <w:rPr>
          <w:rFonts w:cstheme="minorBidi"/>
        </w:rPr>
        <w:t xml:space="preserve"> year over year. </w:t>
      </w:r>
    </w:p>
    <w:p w14:paraId="5BE92D4C" w14:textId="77777777" w:rsidR="006420CB" w:rsidRPr="002F1FF5" w:rsidRDefault="006420CB" w:rsidP="00B212D7">
      <w:pPr>
        <w:pStyle w:val="BodyText3"/>
        <w:ind w:left="720" w:hanging="720"/>
      </w:pPr>
      <w:r w:rsidRPr="002F1FF5">
        <w:t>D.</w:t>
      </w:r>
      <w:r w:rsidRPr="002F1FF5">
        <w:tab/>
        <w:t xml:space="preserve">Describe any important history regarding this division or program not included in the general agency history section, including how the functions or </w:t>
      </w:r>
      <w:r w:rsidRPr="002F1FF5">
        <w:lastRenderedPageBreak/>
        <w:t>services have changed over time. If the response to Section III of this report is sufficient, please leave this section blank.</w:t>
      </w:r>
    </w:p>
    <w:p w14:paraId="1B7B93E7" w14:textId="77777777" w:rsidR="006420CB" w:rsidRPr="000F25DC" w:rsidRDefault="006420CB" w:rsidP="00B212D7">
      <w:pPr>
        <w:pStyle w:val="BodyText"/>
      </w:pPr>
      <w:r w:rsidRPr="000F25DC">
        <w:t xml:space="preserve">The Unemployment Compensation Amendments of 1993 amended the </w:t>
      </w:r>
      <w:r>
        <w:t xml:space="preserve">federal Social Security Act </w:t>
      </w:r>
      <w:r w:rsidRPr="000F25DC">
        <w:t xml:space="preserve">to require states to establish Worker Profiling and Reemployment Services (WPRS) systems to profile and identify UI claimants who are likely to exhaust benefits and need assistance finding new employment. </w:t>
      </w:r>
    </w:p>
    <w:p w14:paraId="6EE5CFD8" w14:textId="77777777" w:rsidR="006420CB" w:rsidRPr="000F25DC" w:rsidRDefault="006420CB" w:rsidP="00B212D7">
      <w:pPr>
        <w:pStyle w:val="BodyText"/>
      </w:pPr>
      <w:r w:rsidRPr="000F25DC">
        <w:t xml:space="preserve">Beginning in 2005, DOLETA funded the voluntary Reemployment and Eligibility Assessment (REA) program to address the individual reemployment needs of UI claimants as well as prevent and detect incorrect benefit payments. </w:t>
      </w:r>
    </w:p>
    <w:p w14:paraId="016383E3" w14:textId="77777777" w:rsidR="006420CB" w:rsidRPr="000F25DC" w:rsidRDefault="006420CB" w:rsidP="00B212D7">
      <w:pPr>
        <w:pStyle w:val="BodyText"/>
      </w:pPr>
      <w:r w:rsidRPr="58D0E01B">
        <w:t>In 2015, the RESEA program replaced the REA program providing greater access to reemployment services in addition to services previously provided under the REA program.</w:t>
      </w:r>
    </w:p>
    <w:p w14:paraId="61C75D06" w14:textId="77777777" w:rsidR="006420CB" w:rsidRPr="000F25DC" w:rsidRDefault="006420CB" w:rsidP="00B212D7">
      <w:pPr>
        <w:pStyle w:val="BodyText"/>
      </w:pPr>
      <w:r w:rsidRPr="58D0E01B">
        <w:t>In 2018, amendments to the Social Security Act permanently authorized the RESEA program and implemented several significant changes including formula-based funding and a series of requirements intended to increase the use and availability of evidence-based reemployment interventions and strategies. </w:t>
      </w:r>
      <w:r>
        <w:rPr>
          <w:rFonts w:cstheme="minorHAnsi"/>
        </w:rPr>
        <w:t xml:space="preserve">At that time, </w:t>
      </w:r>
      <w:r w:rsidRPr="000F25DC">
        <w:rPr>
          <w:rFonts w:cstheme="minorHAnsi"/>
        </w:rPr>
        <w:t xml:space="preserve">TWC replaced the Rapid Reemployment Services program with the RESEA program. </w:t>
      </w:r>
    </w:p>
    <w:p w14:paraId="3848ACE9" w14:textId="77777777" w:rsidR="006420CB" w:rsidRPr="002F1FF5" w:rsidRDefault="006420CB" w:rsidP="00B212D7">
      <w:pPr>
        <w:pStyle w:val="BodyText3"/>
        <w:ind w:left="720" w:hanging="720"/>
      </w:pPr>
      <w:r w:rsidRPr="002F1FF5">
        <w:t>E.</w:t>
      </w:r>
      <w:r>
        <w:tab/>
      </w:r>
      <w:r w:rsidRPr="002F1FF5">
        <w:t>List any qualifications or eligibility requirements for persons or entities affected by this division or program (e.g., licensees, consumers, and landowners). Provide a statistical breakdown of persons or entities affected.</w:t>
      </w:r>
    </w:p>
    <w:p w14:paraId="3F23C0A4" w14:textId="77777777" w:rsidR="006420CB" w:rsidRPr="000F25DC" w:rsidRDefault="006420CB" w:rsidP="00B212D7">
      <w:pPr>
        <w:pStyle w:val="BodyText"/>
      </w:pPr>
      <w:r>
        <w:t xml:space="preserve">The primary eligibility requirement for individuals to participate in RESEA is that they must be receiving UI benefits. TWC uses a statistical model to determine potential for reemployment for all UI claimants.  If selected, a notification letter is sent by TWC to the UI claimant and participation in RESEA Services is mandatory. </w:t>
      </w:r>
    </w:p>
    <w:p w14:paraId="59A22B18" w14:textId="77777777" w:rsidR="006420CB" w:rsidRPr="002F1FF5" w:rsidRDefault="006420CB" w:rsidP="00582A7F">
      <w:pPr>
        <w:pStyle w:val="BodyText3"/>
        <w:ind w:left="720" w:hanging="720"/>
      </w:pPr>
      <w:r w:rsidRPr="002F1FF5">
        <w:t>F.</w:t>
      </w:r>
      <w:r w:rsidRPr="002F1FF5">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p>
    <w:p w14:paraId="11006247" w14:textId="77777777" w:rsidR="006420CB" w:rsidRPr="000F25DC" w:rsidRDefault="006420CB" w:rsidP="00B212D7">
      <w:pPr>
        <w:pStyle w:val="BodyText"/>
      </w:pPr>
      <w:r w:rsidRPr="002F1FF5">
        <w:rPr>
          <w:b/>
          <w:bCs/>
        </w:rPr>
        <w:t>Statistical Model and Profiling:</w:t>
      </w:r>
      <w:r w:rsidRPr="58D0E01B">
        <w:t xml:space="preserve"> Each week, claimants who received their first unemployment benefits payment are profiled and assigned a score using the RESEA statistical model. Claimants are assigned a score between 0.00–1.00 based on individual factors such as work history, unemployment claim history, and wage earnings. A higher score indicates a greater risk of exhausting unemployment benefits before returning to work. Only claimants who are required to search for work as a condition of receiving UI benefits are profiled for RESEA and assigned a score. </w:t>
      </w:r>
    </w:p>
    <w:p w14:paraId="56C70067" w14:textId="77777777" w:rsidR="006420CB" w:rsidRPr="000F25DC" w:rsidRDefault="006420CB" w:rsidP="00B212D7">
      <w:pPr>
        <w:pStyle w:val="BodyText"/>
      </w:pPr>
      <w:r w:rsidRPr="002F1FF5">
        <w:rPr>
          <w:b/>
          <w:bCs/>
        </w:rPr>
        <w:t>Board Cutoff Scores:</w:t>
      </w:r>
      <w:r w:rsidRPr="58D0E01B">
        <w:t xml:space="preserve"> TWC’s </w:t>
      </w:r>
      <w:r>
        <w:t xml:space="preserve">Information </w:t>
      </w:r>
      <w:r w:rsidRPr="58D0E01B">
        <w:t xml:space="preserve">Innovation </w:t>
      </w:r>
      <w:r>
        <w:t xml:space="preserve">&amp; Insight division </w:t>
      </w:r>
      <w:r w:rsidRPr="58D0E01B">
        <w:t xml:space="preserve">determines cutoff scores for each Board based on local exhaustion rates and economic conditions. Boards </w:t>
      </w:r>
      <w:r w:rsidRPr="58D0E01B">
        <w:lastRenderedPageBreak/>
        <w:t xml:space="preserve">are required to outreach all claimants assigned a score at or above the cutoff score for RESEA services. Each Board’s cutoff score is reviewed quarterly and revised as necessary. </w:t>
      </w:r>
    </w:p>
    <w:p w14:paraId="2B675B9E" w14:textId="77777777" w:rsidR="006420CB" w:rsidRPr="000F08D9" w:rsidRDefault="006420CB" w:rsidP="00B212D7">
      <w:pPr>
        <w:pStyle w:val="BodyText"/>
      </w:pPr>
      <w:r w:rsidRPr="002F1FF5">
        <w:rPr>
          <w:b/>
        </w:rPr>
        <w:t>Mandatory RESEA Participants:</w:t>
      </w:r>
      <w:r w:rsidRPr="58D0E01B">
        <w:t xml:space="preserve"> Claimants who are assigned an RESEA score that is at or above the Board’s cutoff score and are outreached </w:t>
      </w:r>
      <w:r>
        <w:t>by contracted staff</w:t>
      </w:r>
      <w:r w:rsidRPr="58D0E01B">
        <w:t xml:space="preserve"> for services must participate in and complete all required RESEA services.</w:t>
      </w:r>
      <w:r>
        <w:t xml:space="preserve"> </w:t>
      </w:r>
      <w:r w:rsidRPr="000F08D9">
        <w:t>The following are required RESEA services:</w:t>
      </w:r>
    </w:p>
    <w:p w14:paraId="37327AF7" w14:textId="06B58CEE" w:rsidR="006420CB" w:rsidRPr="000F08D9" w:rsidRDefault="006420CB" w:rsidP="00C64851">
      <w:pPr>
        <w:pStyle w:val="BodyText"/>
        <w:numPr>
          <w:ilvl w:val="0"/>
          <w:numId w:val="825"/>
        </w:numPr>
      </w:pPr>
      <w:r w:rsidRPr="000F08D9">
        <w:t>RESEA orientation, which includes information about access to Workforce Solutions Office services and RESEA program requirements and their impact on continued eligibility for UI benefits</w:t>
      </w:r>
      <w:r>
        <w:t>.</w:t>
      </w:r>
    </w:p>
    <w:p w14:paraId="26A422E9" w14:textId="6BDBEDD2" w:rsidR="006420CB" w:rsidRPr="000F08D9" w:rsidRDefault="006420CB" w:rsidP="00C64851">
      <w:pPr>
        <w:pStyle w:val="BodyText"/>
        <w:numPr>
          <w:ilvl w:val="0"/>
          <w:numId w:val="825"/>
        </w:numPr>
      </w:pPr>
      <w:r w:rsidRPr="000F08D9">
        <w:t>Enrollment in employment services funded by the Wagner-Peyser Act</w:t>
      </w:r>
      <w:r>
        <w:t>.</w:t>
      </w:r>
    </w:p>
    <w:p w14:paraId="01DBFB92" w14:textId="72DA763F" w:rsidR="006420CB" w:rsidRPr="000F08D9" w:rsidRDefault="006420CB" w:rsidP="00C64851">
      <w:pPr>
        <w:pStyle w:val="BodyText"/>
        <w:numPr>
          <w:ilvl w:val="0"/>
          <w:numId w:val="825"/>
        </w:numPr>
      </w:pPr>
      <w:r w:rsidRPr="000F08D9">
        <w:t>Assistance in developing and implementing an IEP</w:t>
      </w:r>
      <w:r>
        <w:t>.</w:t>
      </w:r>
    </w:p>
    <w:p w14:paraId="6F4EC8FB" w14:textId="43242AD5" w:rsidR="006420CB" w:rsidRPr="000F08D9" w:rsidRDefault="006420CB" w:rsidP="00C64851">
      <w:pPr>
        <w:pStyle w:val="BodyText"/>
        <w:numPr>
          <w:ilvl w:val="0"/>
          <w:numId w:val="825"/>
        </w:numPr>
      </w:pPr>
      <w:r w:rsidRPr="000F08D9">
        <w:t>A one-on-one Unemployment Benefits Eligibility Assessment, including a review of work search activities and referral to adjudication, as appropriate</w:t>
      </w:r>
      <w:r>
        <w:t>.</w:t>
      </w:r>
    </w:p>
    <w:p w14:paraId="3C814730" w14:textId="60C9D7D5" w:rsidR="006420CB" w:rsidRDefault="006420CB" w:rsidP="00C64851">
      <w:pPr>
        <w:pStyle w:val="BodyText"/>
        <w:numPr>
          <w:ilvl w:val="0"/>
          <w:numId w:val="825"/>
        </w:numPr>
      </w:pPr>
      <w:r w:rsidRPr="000F08D9">
        <w:t>Provision of customized labor market information (CLMI) based on an assessment of the claimant’s specific needs</w:t>
      </w:r>
      <w:r>
        <w:t>.</w:t>
      </w:r>
    </w:p>
    <w:p w14:paraId="4694CC89" w14:textId="77777777" w:rsidR="006420CB" w:rsidRDefault="006420CB" w:rsidP="00B212D7">
      <w:pPr>
        <w:pStyle w:val="BodyText"/>
        <w:rPr>
          <w:rFonts w:eastAsia="Yu Gothic Light" w:cstheme="minorHAnsi"/>
          <w:b/>
          <w:bCs/>
        </w:rPr>
      </w:pPr>
      <w:r w:rsidRPr="58D0E01B">
        <w:t>Unless the claimant is given an exemption, failure to participate in or complete all required RESEA services may result in a suspension or loss of unemployment benefits.</w:t>
      </w:r>
    </w:p>
    <w:p w14:paraId="55778447" w14:textId="1667B82D" w:rsidR="006420CB" w:rsidRDefault="006420CB" w:rsidP="006A74F3">
      <w:pPr>
        <w:pStyle w:val="BodyText"/>
      </w:pPr>
      <w:r w:rsidRPr="002F1FF5">
        <w:rPr>
          <w:b/>
        </w:rPr>
        <w:t xml:space="preserve">Tracking Participation: </w:t>
      </w:r>
      <w:r>
        <w:t>W</w:t>
      </w:r>
      <w:r w:rsidRPr="00022FD2">
        <w:t>orkInTexas.com</w:t>
      </w:r>
      <w:r>
        <w:t xml:space="preserve"> is used </w:t>
      </w:r>
      <w:r w:rsidRPr="00022FD2">
        <w:t xml:space="preserve">to enter and track </w:t>
      </w:r>
      <w:r>
        <w:t xml:space="preserve">participation, rescheduling, FTR, appointment attendance, and </w:t>
      </w:r>
      <w:r w:rsidRPr="00022FD2">
        <w:t>employment planning goals</w:t>
      </w:r>
      <w:r>
        <w:t xml:space="preserve"> for</w:t>
      </w:r>
      <w:r w:rsidRPr="00022FD2">
        <w:t xml:space="preserve"> RESEA participants</w:t>
      </w:r>
      <w:r>
        <w:t xml:space="preserve">. </w:t>
      </w:r>
      <w:r w:rsidRPr="00022FD2">
        <w:t xml:space="preserve"> </w:t>
      </w:r>
      <w:r w:rsidRPr="00D67A74">
        <w:t>The following table contains the timeline for RESEA services:</w:t>
      </w:r>
    </w:p>
    <w:tbl>
      <w:tblPr>
        <w:tblStyle w:val="TableGrid1"/>
        <w:tblW w:w="10122" w:type="dxa"/>
        <w:tblLayout w:type="fixed"/>
        <w:tblCellMar>
          <w:top w:w="58" w:type="dxa"/>
          <w:bottom w:w="58" w:type="dxa"/>
        </w:tblCellMar>
        <w:tblLook w:val="0000" w:firstRow="0" w:lastRow="0" w:firstColumn="0" w:lastColumn="0" w:noHBand="0" w:noVBand="0"/>
      </w:tblPr>
      <w:tblGrid>
        <w:gridCol w:w="5061"/>
        <w:gridCol w:w="5061"/>
      </w:tblGrid>
      <w:tr w:rsidR="006420CB" w:rsidRPr="006A74F3" w14:paraId="69D67EE5" w14:textId="77777777" w:rsidTr="00582A7F">
        <w:trPr>
          <w:trHeight w:val="193"/>
          <w:tblHeader/>
        </w:trPr>
        <w:tc>
          <w:tcPr>
            <w:tcW w:w="5061" w:type="dxa"/>
            <w:shd w:val="clear" w:color="auto" w:fill="B8CCE4" w:themeFill="accent1" w:themeFillTint="66"/>
            <w:vAlign w:val="center"/>
          </w:tcPr>
          <w:p w14:paraId="424128A1" w14:textId="3F333C27" w:rsidR="006420CB" w:rsidRPr="006A74F3" w:rsidRDefault="006420CB" w:rsidP="006A74F3">
            <w:pPr>
              <w:pStyle w:val="TableHeaders"/>
              <w:rPr>
                <w:rStyle w:val="tabchar"/>
              </w:rPr>
            </w:pPr>
            <w:r w:rsidRPr="006A74F3">
              <w:rPr>
                <w:rStyle w:val="tabchar"/>
              </w:rPr>
              <w:t>Requirement</w:t>
            </w:r>
          </w:p>
        </w:tc>
        <w:tc>
          <w:tcPr>
            <w:tcW w:w="5061" w:type="dxa"/>
            <w:shd w:val="clear" w:color="auto" w:fill="B8CCE4" w:themeFill="accent1" w:themeFillTint="66"/>
            <w:vAlign w:val="center"/>
          </w:tcPr>
          <w:p w14:paraId="58C071B1" w14:textId="2B976AFA" w:rsidR="006420CB" w:rsidRPr="006A74F3" w:rsidRDefault="006420CB" w:rsidP="006A74F3">
            <w:pPr>
              <w:pStyle w:val="TableHeaders"/>
              <w:rPr>
                <w:rStyle w:val="tabchar"/>
              </w:rPr>
            </w:pPr>
            <w:r w:rsidRPr="006A74F3">
              <w:rPr>
                <w:rStyle w:val="tabchar"/>
              </w:rPr>
              <w:t>Deadline</w:t>
            </w:r>
          </w:p>
        </w:tc>
      </w:tr>
      <w:tr w:rsidR="006420CB" w:rsidRPr="00D67A74" w14:paraId="1EF3BD5C" w14:textId="77777777" w:rsidTr="00582A7F">
        <w:trPr>
          <w:trHeight w:val="437"/>
        </w:trPr>
        <w:tc>
          <w:tcPr>
            <w:tcW w:w="5061" w:type="dxa"/>
            <w:vAlign w:val="center"/>
          </w:tcPr>
          <w:p w14:paraId="64CF1119" w14:textId="77777777" w:rsidR="006420CB" w:rsidRPr="0067330E" w:rsidRDefault="006420CB" w:rsidP="006A74F3">
            <w:pPr>
              <w:pStyle w:val="TableText"/>
            </w:pPr>
            <w:r w:rsidRPr="0067330E">
              <w:t xml:space="preserve">RESEA orientation date </w:t>
            </w:r>
          </w:p>
        </w:tc>
        <w:tc>
          <w:tcPr>
            <w:tcW w:w="5061" w:type="dxa"/>
            <w:vAlign w:val="center"/>
          </w:tcPr>
          <w:p w14:paraId="76CFDA39" w14:textId="77777777" w:rsidR="006420CB" w:rsidRPr="00D67A74" w:rsidRDefault="006420CB" w:rsidP="006A74F3">
            <w:pPr>
              <w:pStyle w:val="TableText"/>
            </w:pPr>
            <w:r w:rsidRPr="00D67A74">
              <w:t xml:space="preserve">Within 7 to 21 days from the date the auto-scheduler runs after the claimant has been added to the outreach pool </w:t>
            </w:r>
          </w:p>
        </w:tc>
      </w:tr>
      <w:tr w:rsidR="006420CB" w:rsidRPr="00D67A74" w14:paraId="7EA13F41" w14:textId="77777777" w:rsidTr="00582A7F">
        <w:trPr>
          <w:trHeight w:val="299"/>
        </w:trPr>
        <w:tc>
          <w:tcPr>
            <w:tcW w:w="5061" w:type="dxa"/>
            <w:vAlign w:val="center"/>
          </w:tcPr>
          <w:p w14:paraId="07B4479E" w14:textId="77777777" w:rsidR="006420CB" w:rsidRPr="00D67A74" w:rsidRDefault="006420CB" w:rsidP="006A74F3">
            <w:pPr>
              <w:pStyle w:val="TableText"/>
            </w:pPr>
            <w:r w:rsidRPr="00D67A74">
              <w:t xml:space="preserve">All RESEA services must be provided </w:t>
            </w:r>
          </w:p>
        </w:tc>
        <w:tc>
          <w:tcPr>
            <w:tcW w:w="5061" w:type="dxa"/>
            <w:vAlign w:val="center"/>
          </w:tcPr>
          <w:p w14:paraId="2A2C4008" w14:textId="77777777" w:rsidR="006420CB" w:rsidRPr="00D67A74" w:rsidRDefault="006420CB" w:rsidP="006A74F3">
            <w:pPr>
              <w:pStyle w:val="TableText"/>
            </w:pPr>
            <w:r w:rsidRPr="00D67A74">
              <w:t>Within 7 calendar days from the scheduled RESEA orientation date</w:t>
            </w:r>
          </w:p>
        </w:tc>
      </w:tr>
      <w:tr w:rsidR="006420CB" w:rsidRPr="00D67A74" w14:paraId="37134E93" w14:textId="77777777" w:rsidTr="00582A7F">
        <w:trPr>
          <w:trHeight w:val="299"/>
        </w:trPr>
        <w:tc>
          <w:tcPr>
            <w:tcW w:w="5061" w:type="dxa"/>
            <w:vAlign w:val="center"/>
          </w:tcPr>
          <w:p w14:paraId="0B04A457" w14:textId="77777777" w:rsidR="006420CB" w:rsidRPr="00D67A74" w:rsidRDefault="006420CB" w:rsidP="006A74F3">
            <w:pPr>
              <w:pStyle w:val="TableText"/>
            </w:pPr>
            <w:r w:rsidRPr="00D67A74">
              <w:t xml:space="preserve">All RESEA services must be entered in WorkinTexas.com </w:t>
            </w:r>
          </w:p>
        </w:tc>
        <w:tc>
          <w:tcPr>
            <w:tcW w:w="5061" w:type="dxa"/>
            <w:vAlign w:val="center"/>
          </w:tcPr>
          <w:p w14:paraId="4C215DAB" w14:textId="77777777" w:rsidR="006420CB" w:rsidRPr="00D67A74" w:rsidRDefault="006420CB" w:rsidP="006A74F3">
            <w:pPr>
              <w:pStyle w:val="TableText"/>
            </w:pPr>
            <w:r w:rsidRPr="00D67A74">
              <w:t xml:space="preserve">Within 7 calendar days from the scheduled RESEA orientation date </w:t>
            </w:r>
          </w:p>
        </w:tc>
      </w:tr>
    </w:tbl>
    <w:p w14:paraId="548FDB13" w14:textId="1B2FFFF1" w:rsidR="006420CB" w:rsidRPr="009D0230" w:rsidRDefault="006420CB" w:rsidP="009D0230">
      <w:pPr>
        <w:pStyle w:val="BodyText"/>
      </w:pPr>
      <w:r w:rsidRPr="009D0230">
        <w:t xml:space="preserve">Additional </w:t>
      </w:r>
      <w:r w:rsidR="009D0230" w:rsidRPr="009D0230">
        <w:t xml:space="preserve">program </w:t>
      </w:r>
      <w:r w:rsidRPr="009D0230">
        <w:t xml:space="preserve">information </w:t>
      </w:r>
      <w:r w:rsidR="009D0230" w:rsidRPr="009D0230">
        <w:t xml:space="preserve">is </w:t>
      </w:r>
      <w:r w:rsidR="00582A7F">
        <w:t xml:space="preserve">available </w:t>
      </w:r>
      <w:r w:rsidR="009D0230" w:rsidRPr="009D0230">
        <w:t xml:space="preserve">in the </w:t>
      </w:r>
      <w:hyperlink r:id="rId146" w:history="1">
        <w:r w:rsidRPr="009D0230">
          <w:rPr>
            <w:rStyle w:val="Hyperlink"/>
          </w:rPr>
          <w:t>RESEA Program Guide</w:t>
        </w:r>
      </w:hyperlink>
      <w:r w:rsidRPr="009D0230">
        <w:t>.</w:t>
      </w:r>
    </w:p>
    <w:p w14:paraId="442159BA" w14:textId="41F96DF2" w:rsidR="006420CB" w:rsidRPr="002F1FF5" w:rsidRDefault="006420CB" w:rsidP="00582A7F">
      <w:pPr>
        <w:pStyle w:val="BodyText3"/>
        <w:ind w:left="720" w:hanging="720"/>
      </w:pPr>
      <w:r w:rsidRPr="002F1FF5">
        <w:t>G.</w:t>
      </w:r>
      <w:r w:rsidRPr="002F1FF5">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2F1FF5">
        <w:rPr>
          <w:i/>
          <w:iCs/>
        </w:rPr>
        <w:t xml:space="preserve">(If you have already submitted funding source info through the </w:t>
      </w:r>
      <w:r w:rsidRPr="002F1FF5">
        <w:rPr>
          <w:i/>
          <w:iCs/>
        </w:rPr>
        <w:lastRenderedPageBreak/>
        <w:t>“Agency Program Information” spreadsheet, please limit your response to funding formulas or funding conventions.)</w:t>
      </w:r>
    </w:p>
    <w:tbl>
      <w:tblPr>
        <w:tblStyle w:val="TableGrid1"/>
        <w:tblW w:w="9390" w:type="dxa"/>
        <w:tblLayout w:type="fixed"/>
        <w:tblCellMar>
          <w:top w:w="58" w:type="dxa"/>
          <w:bottom w:w="58" w:type="dxa"/>
        </w:tblCellMar>
        <w:tblLook w:val="0000" w:firstRow="0" w:lastRow="0" w:firstColumn="0" w:lastColumn="0" w:noHBand="0" w:noVBand="0"/>
      </w:tblPr>
      <w:tblGrid>
        <w:gridCol w:w="2640"/>
        <w:gridCol w:w="2070"/>
        <w:gridCol w:w="2340"/>
        <w:gridCol w:w="2340"/>
      </w:tblGrid>
      <w:tr w:rsidR="00077609" w14:paraId="4871444A" w14:textId="77777777" w:rsidTr="00077609">
        <w:trPr>
          <w:trHeight w:val="610"/>
          <w:tblHeader/>
        </w:trPr>
        <w:tc>
          <w:tcPr>
            <w:tcW w:w="2640" w:type="dxa"/>
            <w:shd w:val="clear" w:color="auto" w:fill="B8CCE4" w:themeFill="accent1" w:themeFillTint="66"/>
            <w:vAlign w:val="center"/>
          </w:tcPr>
          <w:p w14:paraId="6DFFD314" w14:textId="77777777" w:rsidR="00077609" w:rsidRPr="002F55B3" w:rsidRDefault="00077609" w:rsidP="00077609">
            <w:pPr>
              <w:pStyle w:val="TableHeaders"/>
            </w:pPr>
            <w:r w:rsidRPr="002F55B3">
              <w:t>Program or Function Detail Description</w:t>
            </w:r>
          </w:p>
        </w:tc>
        <w:tc>
          <w:tcPr>
            <w:tcW w:w="2070" w:type="dxa"/>
            <w:shd w:val="clear" w:color="auto" w:fill="B8CCE4" w:themeFill="accent1" w:themeFillTint="66"/>
            <w:vAlign w:val="center"/>
          </w:tcPr>
          <w:p w14:paraId="0A519C82" w14:textId="77777777" w:rsidR="00077609" w:rsidRPr="002F55B3" w:rsidRDefault="00077609" w:rsidP="00077609">
            <w:pPr>
              <w:pStyle w:val="TableHeaders"/>
            </w:pPr>
            <w:r w:rsidRPr="002F55B3">
              <w:t>Total FY 2024</w:t>
            </w:r>
          </w:p>
        </w:tc>
        <w:tc>
          <w:tcPr>
            <w:tcW w:w="2340" w:type="dxa"/>
            <w:shd w:val="clear" w:color="auto" w:fill="B8CCE4" w:themeFill="accent1" w:themeFillTint="66"/>
            <w:vAlign w:val="center"/>
          </w:tcPr>
          <w:p w14:paraId="77EDD800" w14:textId="77777777" w:rsidR="00077609" w:rsidRPr="002F55B3" w:rsidRDefault="00077609" w:rsidP="00077609">
            <w:pPr>
              <w:pStyle w:val="TableHeaders"/>
            </w:pPr>
            <w:r w:rsidRPr="002F55B3">
              <w:t>Federal Funding</w:t>
            </w:r>
          </w:p>
        </w:tc>
        <w:tc>
          <w:tcPr>
            <w:tcW w:w="2340" w:type="dxa"/>
            <w:shd w:val="clear" w:color="auto" w:fill="B8CCE4" w:themeFill="accent1" w:themeFillTint="66"/>
            <w:vAlign w:val="center"/>
          </w:tcPr>
          <w:p w14:paraId="7A8481B7" w14:textId="77777777" w:rsidR="00077609" w:rsidRPr="002F55B3" w:rsidRDefault="00077609" w:rsidP="00077609">
            <w:pPr>
              <w:pStyle w:val="TableHeaders"/>
            </w:pPr>
            <w:r w:rsidRPr="002F55B3">
              <w:t>State Funding</w:t>
            </w:r>
          </w:p>
        </w:tc>
      </w:tr>
      <w:tr w:rsidR="00077609" w14:paraId="4E29B61F" w14:textId="77777777" w:rsidTr="00077609">
        <w:trPr>
          <w:trHeight w:val="318"/>
        </w:trPr>
        <w:tc>
          <w:tcPr>
            <w:tcW w:w="2640" w:type="dxa"/>
            <w:vAlign w:val="center"/>
          </w:tcPr>
          <w:p w14:paraId="3C5599A2" w14:textId="77777777" w:rsidR="00077609" w:rsidRPr="002F55B3" w:rsidRDefault="00077609" w:rsidP="00077609">
            <w:pPr>
              <w:pStyle w:val="TableText"/>
            </w:pPr>
            <w:r w:rsidRPr="002F55B3">
              <w:t>Reemployment Services and Eligibility Assessment</w:t>
            </w:r>
          </w:p>
        </w:tc>
        <w:tc>
          <w:tcPr>
            <w:tcW w:w="2070" w:type="dxa"/>
            <w:vAlign w:val="center"/>
          </w:tcPr>
          <w:p w14:paraId="3AF3B205" w14:textId="77777777" w:rsidR="00077609" w:rsidRPr="002F55B3" w:rsidRDefault="00077609" w:rsidP="00077609">
            <w:pPr>
              <w:pStyle w:val="TableText"/>
              <w:jc w:val="right"/>
            </w:pPr>
            <w:r w:rsidRPr="002F55B3">
              <w:t xml:space="preserve">18,699,859 </w:t>
            </w:r>
          </w:p>
        </w:tc>
        <w:tc>
          <w:tcPr>
            <w:tcW w:w="2340" w:type="dxa"/>
            <w:vAlign w:val="center"/>
          </w:tcPr>
          <w:p w14:paraId="32013F50" w14:textId="77777777" w:rsidR="00077609" w:rsidRPr="002F55B3" w:rsidRDefault="00077609" w:rsidP="00077609">
            <w:pPr>
              <w:pStyle w:val="TableText"/>
              <w:jc w:val="right"/>
            </w:pPr>
            <w:r w:rsidRPr="002F55B3">
              <w:t xml:space="preserve">18,699,859 </w:t>
            </w:r>
          </w:p>
        </w:tc>
        <w:tc>
          <w:tcPr>
            <w:tcW w:w="2340" w:type="dxa"/>
            <w:vAlign w:val="center"/>
          </w:tcPr>
          <w:p w14:paraId="74E69D33" w14:textId="77777777" w:rsidR="00077609" w:rsidRPr="002F55B3" w:rsidRDefault="00077609" w:rsidP="00077609">
            <w:pPr>
              <w:pStyle w:val="TableText"/>
              <w:jc w:val="right"/>
            </w:pPr>
            <w:r>
              <w:t>0</w:t>
            </w:r>
          </w:p>
        </w:tc>
      </w:tr>
    </w:tbl>
    <w:p w14:paraId="236C93CD" w14:textId="31846507" w:rsidR="006420CB" w:rsidRPr="002F1FF5" w:rsidRDefault="006420CB" w:rsidP="00582A7F">
      <w:pPr>
        <w:pStyle w:val="BodyText3"/>
        <w:ind w:left="720" w:hanging="720"/>
      </w:pPr>
      <w:r w:rsidRPr="002F1FF5">
        <w:t>H.</w:t>
      </w:r>
      <w:r w:rsidRPr="002F1FF5">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p>
    <w:p w14:paraId="144027B1" w14:textId="15F94BFF" w:rsidR="006420CB" w:rsidRDefault="006420CB" w:rsidP="00582A7F">
      <w:pPr>
        <w:pStyle w:val="BodyText"/>
        <w:rPr>
          <w:rFonts w:cstheme="minorHAnsi"/>
        </w:rPr>
      </w:pPr>
      <w:r w:rsidRPr="58D0E01B">
        <w:t>By applying for RESEA funding, states agree to integrate the RESEA program with WIOA-funded and Wagner-Peyser-funded services. RESEA activities were developed to supplement rather than supplant current reemployment activities provided by the workforce system, and, in this context, RESEA participants must be co-enrolled in Wagner-Peyser-funded Employment Services as part of the initial RESEA</w:t>
      </w:r>
      <w:r>
        <w:t xml:space="preserve"> orientation</w:t>
      </w:r>
      <w:r w:rsidRPr="58D0E01B">
        <w:t>. Co-enrollment in WIOA Dislocated Worker or other available programs may also be appropriate.</w:t>
      </w:r>
      <w:r>
        <w:t xml:space="preserve">  RESEA’s serves </w:t>
      </w:r>
      <w:r w:rsidRPr="000F25DC">
        <w:rPr>
          <w:rFonts w:cstheme="minorHAnsi"/>
        </w:rPr>
        <w:t xml:space="preserve">as </w:t>
      </w:r>
      <w:r>
        <w:rPr>
          <w:rFonts w:cstheme="minorHAnsi"/>
        </w:rPr>
        <w:t xml:space="preserve">an </w:t>
      </w:r>
      <w:r w:rsidRPr="000F25DC">
        <w:rPr>
          <w:rFonts w:cstheme="minorHAnsi"/>
        </w:rPr>
        <w:t>entry point to the workforce system for over one million UI claimants each year</w:t>
      </w:r>
      <w:r>
        <w:rPr>
          <w:rFonts w:cstheme="minorHAnsi"/>
        </w:rPr>
        <w:t>.</w:t>
      </w:r>
    </w:p>
    <w:p w14:paraId="262F81CC" w14:textId="77777777" w:rsidR="006420CB" w:rsidRPr="000F25DC" w:rsidRDefault="006420CB" w:rsidP="00582A7F">
      <w:pPr>
        <w:pStyle w:val="BodyText"/>
      </w:pPr>
      <w:r w:rsidRPr="000F25DC">
        <w:t xml:space="preserve">Employment Services Merit Staff also assist in the delivery of RESEA services in line with a Standard Operating Procedure developed in April 2025. </w:t>
      </w:r>
    </w:p>
    <w:p w14:paraId="33889BD2" w14:textId="77777777" w:rsidR="006420CB" w:rsidRPr="000F25DC" w:rsidRDefault="006420CB" w:rsidP="00582A7F">
      <w:pPr>
        <w:pStyle w:val="BodyText"/>
      </w:pPr>
      <w:r w:rsidRPr="000F25DC">
        <w:t xml:space="preserve">TWC also participates in an evaluation workgroup with four other states where participants discuss best practices for building evidence, as well as a multi-state RESEA selection model evaluation with </w:t>
      </w:r>
      <w:r>
        <w:t xml:space="preserve">U.S. </w:t>
      </w:r>
      <w:r w:rsidRPr="000F25DC">
        <w:t>DOL.</w:t>
      </w:r>
    </w:p>
    <w:p w14:paraId="008D28C1" w14:textId="77777777" w:rsidR="006420CB" w:rsidRPr="002F1FF5" w:rsidRDefault="006420CB" w:rsidP="00582A7F">
      <w:pPr>
        <w:pStyle w:val="BodyText3"/>
        <w:ind w:left="720" w:hanging="720"/>
      </w:pPr>
      <w:bookmarkStart w:id="233" w:name="_Hlk203140313"/>
      <w:r w:rsidRPr="002F1FF5">
        <w:t>I.</w:t>
      </w:r>
      <w:r w:rsidRPr="002F1FF5">
        <w:tab/>
        <w:t>If the division or program works with local, regional, or federal units of government, include a brief description of these entities and their relationship to the agency.</w:t>
      </w:r>
    </w:p>
    <w:bookmarkEnd w:id="233"/>
    <w:p w14:paraId="426132AE" w14:textId="77777777" w:rsidR="006420CB" w:rsidRPr="000F25DC" w:rsidRDefault="006420CB" w:rsidP="00582A7F">
      <w:pPr>
        <w:pStyle w:val="BodyText"/>
      </w:pPr>
      <w:r>
        <w:t>TWC’s</w:t>
      </w:r>
      <w:r w:rsidRPr="000F25DC">
        <w:t xml:space="preserve"> RESEA </w:t>
      </w:r>
      <w:r>
        <w:t xml:space="preserve">program </w:t>
      </w:r>
      <w:r w:rsidRPr="000F25DC">
        <w:t xml:space="preserve">works closely with </w:t>
      </w:r>
      <w:r>
        <w:t>DO</w:t>
      </w:r>
      <w:r w:rsidRPr="000F25DC">
        <w:t xml:space="preserve">LETA, which provides program funding. </w:t>
      </w:r>
      <w:r>
        <w:t>Program staff</w:t>
      </w:r>
      <w:r w:rsidRPr="000F25DC">
        <w:t xml:space="preserve"> also collaborates with Local Workforce Development Boards, responsible for operating Workforce Solutions Offices and securing contract staff to deliver RESEA services to customers. While DOLETA conducts periodic assessments of the program in Texas, </w:t>
      </w:r>
      <w:r>
        <w:t xml:space="preserve">TWC’s </w:t>
      </w:r>
      <w:r w:rsidRPr="000F25DC">
        <w:t xml:space="preserve">RESEA </w:t>
      </w:r>
      <w:r>
        <w:t>program staff also</w:t>
      </w:r>
      <w:r w:rsidRPr="000F25DC">
        <w:t xml:space="preserve"> regularly visit Boards to ensure compliance with DOLETA guidelines.</w:t>
      </w:r>
    </w:p>
    <w:p w14:paraId="25E20A64" w14:textId="77777777" w:rsidR="006420CB" w:rsidRPr="002F1FF5" w:rsidRDefault="006420CB" w:rsidP="00582A7F">
      <w:pPr>
        <w:pStyle w:val="BodyText3"/>
        <w:ind w:left="720" w:hanging="720"/>
      </w:pPr>
      <w:bookmarkStart w:id="234" w:name="_Hlk203140337"/>
      <w:r w:rsidRPr="002F1FF5">
        <w:t>J.</w:t>
      </w:r>
      <w:r w:rsidRPr="002F1FF5">
        <w:tab/>
        <w:t>Are there any barriers or challenges that impede the division or program’s performance, including any outdated or ineffective state laws? Explain.</w:t>
      </w:r>
    </w:p>
    <w:bookmarkEnd w:id="234"/>
    <w:p w14:paraId="6BB560B6" w14:textId="77777777" w:rsidR="006420CB" w:rsidRPr="000F25DC" w:rsidRDefault="006420CB" w:rsidP="00582A7F">
      <w:pPr>
        <w:pStyle w:val="BodyText"/>
      </w:pPr>
      <w:r>
        <w:t xml:space="preserve">The Reemployment measures are impeded by the current list of allowable work-search activities. </w:t>
      </w:r>
      <w:r w:rsidRPr="000F25DC">
        <w:t xml:space="preserve"> </w:t>
      </w:r>
      <w:r>
        <w:t xml:space="preserve">The broad list of work-search activities, and participant program requirements to </w:t>
      </w:r>
      <w:proofErr w:type="gramStart"/>
      <w:r>
        <w:lastRenderedPageBreak/>
        <w:t>be in compliance</w:t>
      </w:r>
      <w:proofErr w:type="gramEnd"/>
      <w:r>
        <w:t xml:space="preserve"> leaves an opportunity for</w:t>
      </w:r>
      <w:r w:rsidRPr="000F25DC">
        <w:t xml:space="preserve"> claimants to continue to receive benefits to exhaustion, without applying for an actual job. </w:t>
      </w:r>
    </w:p>
    <w:p w14:paraId="284C23C6" w14:textId="77777777" w:rsidR="006420CB" w:rsidRPr="002F1FF5" w:rsidRDefault="006420CB" w:rsidP="00582A7F">
      <w:pPr>
        <w:pStyle w:val="BodyText3"/>
        <w:ind w:left="720" w:hanging="720"/>
      </w:pPr>
      <w:bookmarkStart w:id="235" w:name="_Hlk203140351"/>
      <w:r w:rsidRPr="002F1FF5">
        <w:t>K.</w:t>
      </w:r>
      <w:r w:rsidRPr="002F1FF5">
        <w:tab/>
        <w:t>Provide any additional information needed to gain a preliminary understanding of the division or program.</w:t>
      </w:r>
    </w:p>
    <w:bookmarkEnd w:id="235"/>
    <w:p w14:paraId="0C052DF0" w14:textId="77777777" w:rsidR="006420CB" w:rsidRPr="000F25DC" w:rsidRDefault="006420CB" w:rsidP="00582A7F">
      <w:pPr>
        <w:pStyle w:val="BodyText"/>
      </w:pPr>
      <w:r w:rsidRPr="000A0261">
        <w:rPr>
          <w:b/>
          <w:bCs/>
        </w:rPr>
        <w:t>RESEA Evaluation Activities</w:t>
      </w:r>
      <w:r>
        <w:rPr>
          <w:b/>
          <w:bCs/>
        </w:rPr>
        <w:t xml:space="preserve">:  </w:t>
      </w:r>
      <w:r w:rsidRPr="000F25DC">
        <w:t xml:space="preserve">In accordance with the amendments to §306 of the </w:t>
      </w:r>
      <w:r>
        <w:t>Social Security Act</w:t>
      </w:r>
      <w:r w:rsidRPr="000F25DC">
        <w:t xml:space="preserve"> included in the Consolidated Budget Act of 2018, TWC conducted evaluations of RESEA interventions and service delivery strategies beginning in the 2020 program year. These evaluations examine the program’s effect on UI claim length and employment outcomes.</w:t>
      </w:r>
    </w:p>
    <w:p w14:paraId="3DBFFCD8" w14:textId="77777777" w:rsidR="006420CB" w:rsidRPr="000F25DC" w:rsidRDefault="006420CB" w:rsidP="00582A7F">
      <w:pPr>
        <w:pStyle w:val="BodyText"/>
      </w:pPr>
      <w:r w:rsidRPr="000F25DC">
        <w:t>Evaluation activities included a statewide implementation study that examined how the program is operated across the state and a randomized controlled trial that tested the effectiveness of providing a second appointment to RESEA participants.</w:t>
      </w:r>
    </w:p>
    <w:p w14:paraId="0953CE34" w14:textId="77777777" w:rsidR="006420CB" w:rsidRPr="000F25DC" w:rsidRDefault="006420CB" w:rsidP="00582A7F">
      <w:pPr>
        <w:pStyle w:val="BodyText"/>
      </w:pPr>
      <w:r w:rsidRPr="000F25DC">
        <w:t xml:space="preserve">The Implementation and Process Evaluation, led by Texas A&amp;M’s Public Policy Institute (TAMU), is ongoing and will provide foundational program information on each Board’s RESEA processes. This study is expected to be completed in </w:t>
      </w:r>
      <w:r>
        <w:t>September 2025</w:t>
      </w:r>
      <w:r w:rsidRPr="000F25DC">
        <w:t>. TAMU also commenced two quasi-experimental design studies evaluating the impact of RESEA services on employment outcomes, median wages, and UI duration for FY</w:t>
      </w:r>
      <w:r>
        <w:t xml:space="preserve"> </w:t>
      </w:r>
      <w:r w:rsidRPr="000F25DC">
        <w:t>2022 and FY</w:t>
      </w:r>
      <w:r>
        <w:t xml:space="preserve"> </w:t>
      </w:r>
      <w:r w:rsidRPr="000F25DC">
        <w:t>2023. In addition, TAMU has developed a plan to conduct a randomized controlled trial evaluating the impact of the various services provided to customers as part of the Subsequent Meetings Pilot.</w:t>
      </w:r>
    </w:p>
    <w:p w14:paraId="6F1A4B4C" w14:textId="77777777" w:rsidR="006420CB" w:rsidRPr="000F25DC" w:rsidRDefault="006420CB" w:rsidP="00582A7F">
      <w:pPr>
        <w:pStyle w:val="BodyText"/>
        <w:rPr>
          <w:color w:val="0563C1"/>
          <w:u w:val="single"/>
        </w:rPr>
      </w:pPr>
      <w:r>
        <w:t xml:space="preserve">For more information, visit </w:t>
      </w:r>
      <w:hyperlink r:id="rId147">
        <w:r>
          <w:rPr>
            <w:color w:val="0563C1"/>
            <w:u w:val="single"/>
          </w:rPr>
          <w:t>Reemployment Services and Eligibility Assessment Grants</w:t>
        </w:r>
      </w:hyperlink>
      <w:r>
        <w:t>.</w:t>
      </w:r>
    </w:p>
    <w:p w14:paraId="5EC79B78" w14:textId="77777777" w:rsidR="006420CB" w:rsidRPr="003747FE" w:rsidRDefault="006420CB" w:rsidP="00582A7F">
      <w:pPr>
        <w:pStyle w:val="BodyText3"/>
        <w:ind w:left="720" w:hanging="720"/>
      </w:pPr>
      <w:bookmarkStart w:id="236" w:name="_Hlk203140436"/>
      <w:r w:rsidRPr="003747FE">
        <w:t>L.</w:t>
      </w:r>
      <w:r w:rsidRPr="003747FE">
        <w:tab/>
        <w:t>Regulatory programs relate to the licensing, registration, certification, or permitting of a person, business, piece of equipment, or other entity (e.g., a facility). For each regulatory program, if applicable, describe:</w:t>
      </w:r>
    </w:p>
    <w:bookmarkEnd w:id="236"/>
    <w:p w14:paraId="2AA423FC" w14:textId="77777777" w:rsidR="006420CB" w:rsidRPr="000F25DC" w:rsidRDefault="006420CB" w:rsidP="00582A7F">
      <w:pPr>
        <w:pStyle w:val="BodyText"/>
      </w:pPr>
      <w:r w:rsidRPr="000F25DC">
        <w:t>N</w:t>
      </w:r>
      <w:r>
        <w:t>/A</w:t>
      </w:r>
    </w:p>
    <w:p w14:paraId="760548C5" w14:textId="77777777" w:rsidR="006420CB" w:rsidRPr="001676A3" w:rsidRDefault="006420CB" w:rsidP="00582A7F">
      <w:pPr>
        <w:pStyle w:val="BodyText3"/>
        <w:ind w:left="720" w:hanging="720"/>
      </w:pPr>
      <w:bookmarkStart w:id="237" w:name="_P._For_each"/>
      <w:bookmarkEnd w:id="237"/>
      <w:r w:rsidRPr="001676A3">
        <w:t>M.</w:t>
      </w:r>
      <w:r w:rsidRPr="001676A3">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43C59FAF" w14:textId="77777777" w:rsidR="006420CB" w:rsidRDefault="006420CB" w:rsidP="00582A7F">
      <w:pPr>
        <w:pStyle w:val="BodyText"/>
      </w:pPr>
      <w:r w:rsidRPr="000F25DC">
        <w:lastRenderedPageBreak/>
        <w:t>N</w:t>
      </w:r>
      <w:r>
        <w:t>/A</w:t>
      </w:r>
    </w:p>
    <w:p w14:paraId="0F8BC8A1" w14:textId="3D40512B" w:rsidR="006420CB" w:rsidRDefault="006420CB" w:rsidP="006420CB">
      <w:pPr>
        <w:rPr>
          <w:rFonts w:asciiTheme="minorHAnsi" w:eastAsia="Times New Roman" w:hAnsiTheme="minorHAnsi" w:cstheme="minorHAnsi"/>
          <w:sz w:val="24"/>
          <w:szCs w:val="24"/>
        </w:rPr>
      </w:pPr>
    </w:p>
    <w:p w14:paraId="009C89FB" w14:textId="77777777" w:rsidR="006420CB" w:rsidRPr="000F25DC" w:rsidRDefault="006420CB" w:rsidP="00582A7F">
      <w:pPr>
        <w:pStyle w:val="BodyText3"/>
      </w:pPr>
      <w:bookmarkStart w:id="238" w:name="_Toc142188545"/>
      <w:bookmarkStart w:id="239" w:name="_Toc204688543"/>
      <w:r w:rsidRPr="000F25DC">
        <w:t>Senior Community Service Employment Program</w:t>
      </w:r>
      <w:bookmarkEnd w:id="238"/>
      <w:bookmarkEnd w:id="239"/>
      <w:r w:rsidRPr="000F25DC">
        <w:t xml:space="preserve"> </w:t>
      </w:r>
    </w:p>
    <w:p w14:paraId="35EF965D" w14:textId="77777777" w:rsidR="006420CB" w:rsidRPr="000F25DC" w:rsidRDefault="006420CB" w:rsidP="00582A7F">
      <w:pPr>
        <w:pStyle w:val="BodyText3"/>
      </w:pPr>
      <w:r w:rsidRPr="000F25DC">
        <w:t>A.</w:t>
      </w:r>
      <w:r w:rsidRPr="000F25DC">
        <w:tab/>
        <w:t>Provide the following information at the beginning of each description.</w:t>
      </w:r>
    </w:p>
    <w:p w14:paraId="436840D8" w14:textId="77777777" w:rsidR="006420CB" w:rsidRPr="000F25DC" w:rsidRDefault="006420CB" w:rsidP="00582A7F">
      <w:pPr>
        <w:pStyle w:val="BodyText"/>
      </w:pPr>
      <w:r w:rsidRPr="000F25DC">
        <w:t xml:space="preserve">Name of division or program: Senior Community Service Employment Program </w:t>
      </w:r>
    </w:p>
    <w:p w14:paraId="5412EA54" w14:textId="77777777" w:rsidR="006420CB" w:rsidRDefault="006420CB" w:rsidP="00582A7F">
      <w:pPr>
        <w:pStyle w:val="BodyText"/>
      </w:pPr>
      <w:r w:rsidRPr="000F25DC">
        <w:t>Location/Division: Workforce Development Division</w:t>
      </w:r>
      <w:r>
        <w:t>, Grants</w:t>
      </w:r>
    </w:p>
    <w:p w14:paraId="4B122D88" w14:textId="77777777" w:rsidR="006420CB" w:rsidRDefault="006420CB" w:rsidP="00582A7F">
      <w:pPr>
        <w:pStyle w:val="BodyText"/>
      </w:pPr>
      <w:r w:rsidRPr="000F25DC">
        <w:t>Contact Name: Steven Sager/Ryan Clinton</w:t>
      </w:r>
    </w:p>
    <w:p w14:paraId="52B41A37" w14:textId="77777777" w:rsidR="006420CB" w:rsidRDefault="006420CB" w:rsidP="00582A7F">
      <w:pPr>
        <w:pStyle w:val="BodyText"/>
      </w:pPr>
      <w:r w:rsidRPr="58D0E01B">
        <w:rPr>
          <w:rFonts w:cstheme="minorBidi"/>
        </w:rPr>
        <w:t xml:space="preserve">Statutory Citation for Program: </w:t>
      </w:r>
      <w:r w:rsidRPr="58D0E01B">
        <w:rPr>
          <w:rFonts w:cstheme="minorBidi"/>
          <w:color w:val="1B1B1B"/>
        </w:rPr>
        <w:t xml:space="preserve"> Texas Labor Code, </w:t>
      </w:r>
      <w:r>
        <w:rPr>
          <w:rFonts w:cstheme="minorBidi"/>
          <w:color w:val="1B1B1B"/>
        </w:rPr>
        <w:t xml:space="preserve">Section </w:t>
      </w:r>
      <w:r w:rsidRPr="58D0E01B">
        <w:rPr>
          <w:rFonts w:cstheme="minorBidi"/>
          <w:color w:val="1B1B1B"/>
        </w:rPr>
        <w:t>302.021</w:t>
      </w:r>
      <w:bookmarkStart w:id="240" w:name="_Hlk203139984"/>
      <w:r>
        <w:rPr>
          <w:rFonts w:cstheme="minorBidi"/>
          <w:color w:val="1B1B1B"/>
        </w:rPr>
        <w:t>; Texas Human Resources Code, Section 101A.101</w:t>
      </w:r>
      <w:r>
        <w:tab/>
      </w:r>
    </w:p>
    <w:p w14:paraId="61ABBA02" w14:textId="47E22A3D" w:rsidR="006420CB" w:rsidRPr="004279B4" w:rsidRDefault="006420CB" w:rsidP="00582A7F">
      <w:pPr>
        <w:pStyle w:val="BodyText3"/>
      </w:pPr>
      <w:r>
        <w:t>B.</w:t>
      </w:r>
      <w:r>
        <w:tab/>
      </w:r>
      <w:r w:rsidRPr="004279B4">
        <w:t>What is the objective of this division or program? Describe its major activities.</w:t>
      </w:r>
    </w:p>
    <w:bookmarkEnd w:id="240"/>
    <w:p w14:paraId="140BCF0C" w14:textId="77777777" w:rsidR="006420CB" w:rsidRPr="000F25DC" w:rsidRDefault="006420CB" w:rsidP="00582A7F">
      <w:pPr>
        <w:pStyle w:val="BodyText"/>
      </w:pPr>
      <w:r w:rsidRPr="00EE45EB">
        <w:t>The Senior Community Service Employment Program (SCSEP) is funded under Title V of the</w:t>
      </w:r>
      <w:r>
        <w:t xml:space="preserve"> federal</w:t>
      </w:r>
      <w:r w:rsidRPr="00EE45EB">
        <w:t xml:space="preserve"> Older Americans Act and is administered </w:t>
      </w:r>
      <w:r>
        <w:t>under guidance from</w:t>
      </w:r>
      <w:r w:rsidRPr="00EE45EB">
        <w:t xml:space="preserve"> the U.S. </w:t>
      </w:r>
      <w:r>
        <w:t>Department of Labor’s Employment and Training Administration (DOLETA)</w:t>
      </w:r>
      <w:r w:rsidRPr="00EE45EB">
        <w:t>.</w:t>
      </w:r>
      <w:r>
        <w:t xml:space="preserve"> </w:t>
      </w:r>
      <w:r w:rsidRPr="000F25DC">
        <w:t xml:space="preserve">The </w:t>
      </w:r>
      <w:r>
        <w:t>pro</w:t>
      </w:r>
      <w:r w:rsidRPr="000F25DC">
        <w:t>gram helps older job seekers, age 55 and above, who have a low income</w:t>
      </w:r>
      <w:r>
        <w:t xml:space="preserve"> by </w:t>
      </w:r>
      <w:r w:rsidRPr="000F25DC">
        <w:t>offer</w:t>
      </w:r>
      <w:r>
        <w:t>ing</w:t>
      </w:r>
      <w:r w:rsidRPr="000F25DC">
        <w:t xml:space="preserve"> training and help to find jobs in the public and private sectors. Participants earn a small wage for working part-time at nonprofit groups or government agencies. </w:t>
      </w:r>
      <w:r>
        <w:t>P</w:t>
      </w:r>
      <w:r w:rsidRPr="000F25DC">
        <w:t xml:space="preserve">articipants learn new skills or improve the </w:t>
      </w:r>
      <w:r>
        <w:t>skills</w:t>
      </w:r>
      <w:r w:rsidRPr="000F25DC">
        <w:t xml:space="preserve"> they already have.</w:t>
      </w:r>
    </w:p>
    <w:p w14:paraId="2412BD8D" w14:textId="77777777" w:rsidR="006420CB" w:rsidRDefault="006420CB" w:rsidP="00582A7F">
      <w:pPr>
        <w:pStyle w:val="BodyText"/>
      </w:pPr>
      <w:r w:rsidRPr="00B64F38">
        <w:t xml:space="preserve">Five national organizations (AARP, Center for Workforce Inclusion, National Asian Pacific Center on Aging, SER Jobs for Progress, and Institute for Indian Development) receive funds directly from DOL to operate SCSEP in Texas. </w:t>
      </w:r>
      <w:r>
        <w:t>A</w:t>
      </w:r>
      <w:r w:rsidRPr="00B64F38">
        <w:t>ppropriations are distributed as follows: 78 percent of the funds go to DOL</w:t>
      </w:r>
      <w:r>
        <w:t>ETA</w:t>
      </w:r>
      <w:r w:rsidRPr="00B64F38">
        <w:t xml:space="preserve">-funded national grantees and 22 percent of the funds go to the states. TWC contracts with AARP Foundation to operate SCSEP in TWC’s SCSEP </w:t>
      </w:r>
      <w:r>
        <w:t>90</w:t>
      </w:r>
      <w:r w:rsidRPr="00B64F38">
        <w:t>-county service area.</w:t>
      </w:r>
    </w:p>
    <w:p w14:paraId="7DFE9AEB" w14:textId="77777777" w:rsidR="006420CB" w:rsidRPr="00582A7F" w:rsidRDefault="006420CB" w:rsidP="00582A7F">
      <w:pPr>
        <w:pStyle w:val="BodyText"/>
      </w:pPr>
      <w:r w:rsidRPr="00582A7F">
        <w:t xml:space="preserve">A list of service providers in Texas by county can be found in the </w:t>
      </w:r>
      <w:hyperlink r:id="rId148" w:history="1">
        <w:r w:rsidRPr="00582A7F">
          <w:rPr>
            <w:rStyle w:val="Hyperlink"/>
            <w:color w:val="auto"/>
            <w:u w:val="none"/>
          </w:rPr>
          <w:t>SCSEP Service Providers</w:t>
        </w:r>
      </w:hyperlink>
      <w:r w:rsidRPr="00582A7F">
        <w:t xml:space="preserve"> spreadsheet.</w:t>
      </w:r>
    </w:p>
    <w:p w14:paraId="2B8A1B43" w14:textId="77777777" w:rsidR="006420CB" w:rsidRPr="000F25DC" w:rsidRDefault="006420CB" w:rsidP="00582A7F">
      <w:pPr>
        <w:pStyle w:val="BodyText"/>
      </w:pPr>
      <w:r w:rsidRPr="58D0E01B">
        <w:t>AARP Foundation administers the program under a competitive contract awarded by TWC. TWC</w:t>
      </w:r>
      <w:r>
        <w:t>’s</w:t>
      </w:r>
      <w:r w:rsidRPr="58D0E01B">
        <w:t xml:space="preserve"> Federal Grant Management Team provides guidance and support to grantees throughout the grant lifecycle, acting as a vital link between </w:t>
      </w:r>
      <w:r>
        <w:t>TWC</w:t>
      </w:r>
      <w:r w:rsidRPr="58D0E01B">
        <w:t xml:space="preserve"> and its partners.</w:t>
      </w:r>
    </w:p>
    <w:p w14:paraId="6C44B6C6" w14:textId="77777777" w:rsidR="006420CB" w:rsidRDefault="006420CB" w:rsidP="00582A7F">
      <w:pPr>
        <w:pStyle w:val="BodyText"/>
      </w:pPr>
      <w:r w:rsidRPr="00B22E7A">
        <w:t xml:space="preserve">Additional information about the program and the administration can be found: </w:t>
      </w:r>
    </w:p>
    <w:p w14:paraId="2324B72D" w14:textId="77777777" w:rsidR="006420CB" w:rsidRPr="000759F6" w:rsidRDefault="006420CB" w:rsidP="00C64851">
      <w:pPr>
        <w:pStyle w:val="BodyText"/>
        <w:numPr>
          <w:ilvl w:val="0"/>
          <w:numId w:val="826"/>
        </w:numPr>
        <w:rPr>
          <w:rFonts w:asciiTheme="minorHAnsi" w:eastAsia="Times New Roman" w:hAnsiTheme="minorHAnsi" w:cstheme="minorBidi"/>
          <w:color w:val="1B1B1B"/>
          <w:shd w:val="clear" w:color="auto" w:fill="FFFFFF"/>
        </w:rPr>
      </w:pPr>
      <w:hyperlink r:id="rId149" w:history="1">
        <w:r>
          <w:rPr>
            <w:rStyle w:val="Hyperlink"/>
          </w:rPr>
          <w:t>Senior Community Service Employment Program</w:t>
        </w:r>
      </w:hyperlink>
    </w:p>
    <w:p w14:paraId="52940CE4" w14:textId="77777777" w:rsidR="006420CB" w:rsidRPr="00BE146B" w:rsidRDefault="006420CB" w:rsidP="00C64851">
      <w:pPr>
        <w:pStyle w:val="BodyText"/>
        <w:numPr>
          <w:ilvl w:val="0"/>
          <w:numId w:val="826"/>
        </w:numPr>
        <w:rPr>
          <w:rFonts w:asciiTheme="minorHAnsi" w:eastAsia="Times New Roman" w:hAnsiTheme="minorHAnsi" w:cstheme="minorBidi"/>
          <w:color w:val="1B1B1B"/>
          <w:shd w:val="clear" w:color="auto" w:fill="FFFFFF"/>
        </w:rPr>
      </w:pPr>
      <w:r>
        <w:t xml:space="preserve">Section VII of the </w:t>
      </w:r>
      <w:hyperlink r:id="rId150" w:tgtFrame="_blank" w:tooltip="WIOA Combined State Plan PYS 2024–2027" w:history="1">
        <w:r w:rsidRPr="00582A7F">
          <w:rPr>
            <w:rStyle w:val="Hyperlink"/>
          </w:rPr>
          <w:t>WIOA Combined State Plan for Program Years 2024–2027</w:t>
        </w:r>
      </w:hyperlink>
      <w:bookmarkStart w:id="241" w:name="_Hlk203140008"/>
    </w:p>
    <w:p w14:paraId="14BF74FA" w14:textId="77777777" w:rsidR="006420CB" w:rsidRPr="00B37D96" w:rsidRDefault="006420CB" w:rsidP="00582A7F">
      <w:pPr>
        <w:pStyle w:val="BodyText3"/>
        <w:ind w:left="720" w:hanging="720"/>
      </w:pPr>
      <w:r w:rsidRPr="00B37D96">
        <w:lastRenderedPageBreak/>
        <w:t>C.</w:t>
      </w:r>
      <w:r>
        <w:tab/>
      </w:r>
      <w:r w:rsidRPr="00B37D96">
        <w:t xml:space="preserve">What information does the agency collect/use to assess the effectiveness and efficiency of this division or program? If applicable, briefly note any LBB performance measures (from Section II, </w:t>
      </w:r>
      <w:proofErr w:type="gramStart"/>
      <w:r w:rsidRPr="00B37D96">
        <w:t>Exhibit</w:t>
      </w:r>
      <w:proofErr w:type="gramEnd"/>
      <w:r w:rsidRPr="00B37D96">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bookmarkEnd w:id="241"/>
    <w:p w14:paraId="0FF74EC0" w14:textId="77777777" w:rsidR="006420CB" w:rsidRPr="000F25DC" w:rsidRDefault="006420CB" w:rsidP="00582A7F">
      <w:pPr>
        <w:pStyle w:val="BodyText"/>
      </w:pPr>
      <w:r>
        <w:t>Federal p</w:t>
      </w:r>
      <w:r w:rsidRPr="000F25DC">
        <w:t xml:space="preserve">erformance </w:t>
      </w:r>
      <w:r>
        <w:t>m</w:t>
      </w:r>
      <w:r w:rsidRPr="000F25DC">
        <w:t xml:space="preserve">easures for SCSEP include: </w:t>
      </w:r>
    </w:p>
    <w:p w14:paraId="1D94CA82" w14:textId="77777777" w:rsidR="006420CB" w:rsidRDefault="006420CB" w:rsidP="00C64851">
      <w:pPr>
        <w:pStyle w:val="BodyText"/>
        <w:numPr>
          <w:ilvl w:val="0"/>
          <w:numId w:val="827"/>
        </w:numPr>
      </w:pPr>
      <w:r>
        <w:t>Authorized Positions Filled</w:t>
      </w:r>
    </w:p>
    <w:p w14:paraId="70299DE3" w14:textId="77777777" w:rsidR="006420CB" w:rsidRPr="000F25DC" w:rsidRDefault="006420CB" w:rsidP="00C64851">
      <w:pPr>
        <w:pStyle w:val="BodyText"/>
        <w:numPr>
          <w:ilvl w:val="0"/>
          <w:numId w:val="827"/>
        </w:numPr>
      </w:pPr>
      <w:r w:rsidRPr="000F25DC">
        <w:t xml:space="preserve">SCSEP Community Service </w:t>
      </w:r>
      <w:r>
        <w:t>Hours</w:t>
      </w:r>
      <w:r w:rsidRPr="00DE4C2C">
        <w:t xml:space="preserve"> </w:t>
      </w:r>
    </w:p>
    <w:p w14:paraId="079B044E" w14:textId="77777777" w:rsidR="006420CB" w:rsidRPr="000F25DC" w:rsidRDefault="006420CB" w:rsidP="00C64851">
      <w:pPr>
        <w:pStyle w:val="BodyText"/>
        <w:numPr>
          <w:ilvl w:val="0"/>
          <w:numId w:val="827"/>
        </w:numPr>
      </w:pPr>
      <w:r w:rsidRPr="000F25DC">
        <w:t>Employed Q2 Post Exit – SCSEP</w:t>
      </w:r>
    </w:p>
    <w:p w14:paraId="6100DB1B" w14:textId="77777777" w:rsidR="006420CB" w:rsidRPr="000F25DC" w:rsidRDefault="006420CB" w:rsidP="00C64851">
      <w:pPr>
        <w:pStyle w:val="BodyText"/>
        <w:numPr>
          <w:ilvl w:val="0"/>
          <w:numId w:val="827"/>
        </w:numPr>
      </w:pPr>
      <w:r w:rsidRPr="000F25DC">
        <w:t>Employed Q4 Post Exit – SCSEP</w:t>
      </w:r>
    </w:p>
    <w:p w14:paraId="78E2928A" w14:textId="77777777" w:rsidR="006420CB" w:rsidRPr="000F25DC" w:rsidRDefault="006420CB" w:rsidP="00C64851">
      <w:pPr>
        <w:pStyle w:val="BodyText"/>
        <w:numPr>
          <w:ilvl w:val="0"/>
          <w:numId w:val="827"/>
        </w:numPr>
      </w:pPr>
      <w:r w:rsidRPr="000F25DC">
        <w:t>Median Earnings – SCSEP</w:t>
      </w:r>
    </w:p>
    <w:p w14:paraId="271CC261" w14:textId="77777777" w:rsidR="006420CB" w:rsidRPr="000F25DC" w:rsidRDefault="006420CB" w:rsidP="00C64851">
      <w:pPr>
        <w:pStyle w:val="BodyText"/>
        <w:numPr>
          <w:ilvl w:val="0"/>
          <w:numId w:val="827"/>
        </w:numPr>
      </w:pPr>
      <w:r>
        <w:t>Satisfaction Survey Rate – Host Agencies</w:t>
      </w:r>
    </w:p>
    <w:p w14:paraId="1559BBAA" w14:textId="77777777" w:rsidR="006420CB" w:rsidRPr="000F25DC" w:rsidRDefault="006420CB" w:rsidP="00C64851">
      <w:pPr>
        <w:pStyle w:val="BodyText"/>
        <w:numPr>
          <w:ilvl w:val="0"/>
          <w:numId w:val="827"/>
        </w:numPr>
      </w:pPr>
      <w:r>
        <w:t xml:space="preserve">Satisfation Survey Rate – Participants </w:t>
      </w:r>
    </w:p>
    <w:p w14:paraId="2E81139E" w14:textId="77777777" w:rsidR="006420CB" w:rsidRPr="000F25DC" w:rsidRDefault="006420CB" w:rsidP="00C64851">
      <w:pPr>
        <w:pStyle w:val="BodyText"/>
        <w:numPr>
          <w:ilvl w:val="0"/>
          <w:numId w:val="827"/>
        </w:numPr>
      </w:pPr>
      <w:r w:rsidRPr="000F25DC">
        <w:t>SCSEP Service Level</w:t>
      </w:r>
    </w:p>
    <w:p w14:paraId="28DA6A58" w14:textId="77777777" w:rsidR="006420CB" w:rsidRPr="000F25DC" w:rsidRDefault="006420CB" w:rsidP="00C64851">
      <w:pPr>
        <w:pStyle w:val="BodyText"/>
        <w:numPr>
          <w:ilvl w:val="0"/>
          <w:numId w:val="827"/>
        </w:numPr>
      </w:pPr>
      <w:r w:rsidRPr="000F25DC">
        <w:t xml:space="preserve">SCSEP Service to Most </w:t>
      </w:r>
      <w:proofErr w:type="gramStart"/>
      <w:r w:rsidRPr="000F25DC">
        <w:t>In</w:t>
      </w:r>
      <w:proofErr w:type="gramEnd"/>
      <w:r w:rsidRPr="000F25DC">
        <w:t xml:space="preserve"> Need</w:t>
      </w:r>
      <w:r>
        <w:t>, as defined in Question E below</w:t>
      </w:r>
    </w:p>
    <w:p w14:paraId="36EDA174" w14:textId="77777777" w:rsidR="006420CB" w:rsidRPr="00A0434B" w:rsidRDefault="006420CB" w:rsidP="00582A7F">
      <w:pPr>
        <w:pStyle w:val="BodyText"/>
        <w:rPr>
          <w:highlight w:val="yellow"/>
        </w:rPr>
      </w:pPr>
      <w:r>
        <w:t xml:space="preserve">Performance definitions and goals assigned to grantees are listed in </w:t>
      </w:r>
      <w:hyperlink r:id="rId151" w:history="1">
        <w:r w:rsidRPr="00B4025D">
          <w:rPr>
            <w:rStyle w:val="Hyperlink"/>
            <w:rFonts w:asciiTheme="minorHAnsi" w:eastAsia="Times New Roman" w:hAnsiTheme="minorHAnsi" w:cstheme="minorHAnsi"/>
            <w:sz w:val="24"/>
            <w:szCs w:val="24"/>
          </w:rPr>
          <w:t>Subpart G - Performance Accountability</w:t>
        </w:r>
      </w:hyperlink>
      <w:r>
        <w:t>.</w:t>
      </w:r>
    </w:p>
    <w:p w14:paraId="22771A50" w14:textId="77777777" w:rsidR="006420CB" w:rsidRPr="00CA6F53" w:rsidRDefault="006420CB" w:rsidP="00582A7F">
      <w:pPr>
        <w:pStyle w:val="BodyText3"/>
        <w:ind w:left="720" w:hanging="720"/>
      </w:pPr>
      <w:bookmarkStart w:id="242" w:name="_Hlk203140028"/>
      <w:r w:rsidRPr="00CA6F53">
        <w:t>D.</w:t>
      </w:r>
      <w:r w:rsidRPr="00CA6F53">
        <w:tab/>
        <w:t>Describe any important history regarding this division or program not included in the general agency history section, including how the functions or services have changed over time. If the response to Section III of this report is sufficient, please leave this section blank.</w:t>
      </w:r>
    </w:p>
    <w:bookmarkEnd w:id="242"/>
    <w:p w14:paraId="0433542D" w14:textId="77777777" w:rsidR="006420CB" w:rsidRPr="000F25DC" w:rsidRDefault="006420CB" w:rsidP="00582A7F">
      <w:pPr>
        <w:pStyle w:val="BodyText"/>
      </w:pPr>
      <w:r w:rsidRPr="58D0E01B">
        <w:t xml:space="preserve">Older Americans Act (OAA) Amendments of 1973 </w:t>
      </w:r>
      <w:r>
        <w:t>created</w:t>
      </w:r>
      <w:r w:rsidRPr="58D0E01B">
        <w:t xml:space="preserve"> SCSEP to provide part-time subsidized jobs for low-income persons aged 55 and older. The OAA Amendments of 2000 shifted SCSEP’s purpose from providing subsidized community service jobs to providing subsidized community service training to help older Texans obtain unsubsidized jobs. The 2006 OAA Amendments established a maximum of 48 months of participation in the program, with exceptions under certain circumstances, and added core performance measures. SCSEP is the only OAA program administered by DOLETA.</w:t>
      </w:r>
    </w:p>
    <w:p w14:paraId="4030EB69" w14:textId="77EE51C3" w:rsidR="006420CB" w:rsidRPr="004F524F" w:rsidRDefault="006420CB" w:rsidP="00582A7F">
      <w:pPr>
        <w:pStyle w:val="BodyText3"/>
        <w:ind w:left="720" w:hanging="720"/>
      </w:pPr>
      <w:r w:rsidRPr="58D0E01B">
        <w:lastRenderedPageBreak/>
        <w:t>E.</w:t>
      </w:r>
      <w:bookmarkStart w:id="243" w:name="_Hlk203140084"/>
      <w:r w:rsidR="00582A7F">
        <w:tab/>
      </w:r>
      <w:r w:rsidRPr="58D0E01B">
        <w:t>List</w:t>
      </w:r>
      <w:r>
        <w:t xml:space="preserve"> </w:t>
      </w:r>
      <w:r w:rsidRPr="58D0E01B">
        <w:t>any qualifications or eligibility requirements for persons or entities affected by this division or program (e.g., licensees, consumers, and landowners). Provide a statistical breakdown of persons or entities affected</w:t>
      </w:r>
      <w:bookmarkEnd w:id="243"/>
      <w:r w:rsidRPr="58D0E01B">
        <w:t>.</w:t>
      </w:r>
    </w:p>
    <w:p w14:paraId="2FC3E34D" w14:textId="77777777" w:rsidR="006420CB" w:rsidRPr="000F25DC" w:rsidRDefault="006420CB" w:rsidP="00582A7F">
      <w:pPr>
        <w:pStyle w:val="BodyText"/>
      </w:pPr>
      <w:r w:rsidRPr="000F25DC">
        <w:t xml:space="preserve">SCSEP’s target </w:t>
      </w:r>
      <w:r>
        <w:t>population</w:t>
      </w:r>
      <w:r w:rsidRPr="000F25DC">
        <w:t xml:space="preserve"> is low-income seniors. SCSEP eligibility requirements include being 55 years of age or older, being unemployed, having a household income that is 125 percent or less of the federal poverty guideline, and being eligible to work in the </w:t>
      </w:r>
      <w:r>
        <w:t>country.</w:t>
      </w:r>
      <w:r w:rsidRPr="000F25DC">
        <w:t xml:space="preserve"> Priority of service is given to individuals with one or more of </w:t>
      </w:r>
      <w:r>
        <w:t xml:space="preserve">the following </w:t>
      </w:r>
      <w:r w:rsidRPr="000F25DC">
        <w:t xml:space="preserve">characteristics: </w:t>
      </w:r>
    </w:p>
    <w:p w14:paraId="08F3D7BE" w14:textId="77777777" w:rsidR="006420CB" w:rsidRPr="0075045B" w:rsidRDefault="006420CB" w:rsidP="00C64851">
      <w:pPr>
        <w:pStyle w:val="BodyText"/>
        <w:numPr>
          <w:ilvl w:val="0"/>
          <w:numId w:val="828"/>
        </w:numPr>
      </w:pPr>
      <w:r w:rsidRPr="0075045B">
        <w:t>People who are 65 or older get special priority to join the SCSEP program, as well as people who:</w:t>
      </w:r>
    </w:p>
    <w:p w14:paraId="0DA8548A" w14:textId="77777777" w:rsidR="006420CB" w:rsidRPr="0075045B" w:rsidRDefault="006420CB" w:rsidP="00C64851">
      <w:pPr>
        <w:pStyle w:val="BodyText"/>
        <w:numPr>
          <w:ilvl w:val="1"/>
          <w:numId w:val="828"/>
        </w:numPr>
      </w:pPr>
      <w:r w:rsidRPr="0075045B">
        <w:t>Have a disability</w:t>
      </w:r>
    </w:p>
    <w:p w14:paraId="0DBFF4AC" w14:textId="77777777" w:rsidR="006420CB" w:rsidRPr="0075045B" w:rsidRDefault="006420CB" w:rsidP="00C64851">
      <w:pPr>
        <w:pStyle w:val="BodyText"/>
        <w:numPr>
          <w:ilvl w:val="1"/>
          <w:numId w:val="828"/>
        </w:numPr>
      </w:pPr>
      <w:r w:rsidRPr="0075045B">
        <w:t>Have a hard time speaking English</w:t>
      </w:r>
    </w:p>
    <w:p w14:paraId="181A295A" w14:textId="77777777" w:rsidR="006420CB" w:rsidRPr="0075045B" w:rsidRDefault="006420CB" w:rsidP="00C64851">
      <w:pPr>
        <w:pStyle w:val="BodyText"/>
        <w:numPr>
          <w:ilvl w:val="1"/>
          <w:numId w:val="828"/>
        </w:numPr>
      </w:pPr>
      <w:r w:rsidRPr="0075045B">
        <w:t>Live in rural areas</w:t>
      </w:r>
    </w:p>
    <w:p w14:paraId="3EB12462" w14:textId="77777777" w:rsidR="006420CB" w:rsidRPr="0075045B" w:rsidRDefault="006420CB" w:rsidP="00C64851">
      <w:pPr>
        <w:pStyle w:val="BodyText"/>
        <w:numPr>
          <w:ilvl w:val="1"/>
          <w:numId w:val="828"/>
        </w:numPr>
      </w:pPr>
      <w:r w:rsidRPr="0075045B">
        <w:t>Are veterans</w:t>
      </w:r>
    </w:p>
    <w:p w14:paraId="2CCD9068" w14:textId="77777777" w:rsidR="006420CB" w:rsidRPr="0075045B" w:rsidRDefault="006420CB" w:rsidP="00C64851">
      <w:pPr>
        <w:pStyle w:val="BodyText"/>
        <w:numPr>
          <w:ilvl w:val="1"/>
          <w:numId w:val="828"/>
        </w:numPr>
      </w:pPr>
      <w:r w:rsidRPr="0075045B">
        <w:t>Have trouble finding jobs</w:t>
      </w:r>
    </w:p>
    <w:p w14:paraId="6529A039" w14:textId="77777777" w:rsidR="006420CB" w:rsidRPr="0075045B" w:rsidRDefault="006420CB" w:rsidP="00C64851">
      <w:pPr>
        <w:pStyle w:val="BodyText"/>
        <w:numPr>
          <w:ilvl w:val="1"/>
          <w:numId w:val="828"/>
        </w:numPr>
      </w:pPr>
      <w:r w:rsidRPr="0075045B">
        <w:t>Are unable to find work after getting help from a WIOA program</w:t>
      </w:r>
    </w:p>
    <w:p w14:paraId="08F49EA0" w14:textId="77777777" w:rsidR="006420CB" w:rsidRPr="0075045B" w:rsidRDefault="006420CB" w:rsidP="00C64851">
      <w:pPr>
        <w:pStyle w:val="BodyText"/>
        <w:numPr>
          <w:ilvl w:val="1"/>
          <w:numId w:val="828"/>
        </w:numPr>
      </w:pPr>
      <w:r w:rsidRPr="0075045B">
        <w:t>Are homeless or at risk of becoming homeless</w:t>
      </w:r>
    </w:p>
    <w:p w14:paraId="2B761387" w14:textId="77777777" w:rsidR="006420CB" w:rsidRPr="0075045B" w:rsidRDefault="006420CB" w:rsidP="00C64851">
      <w:pPr>
        <w:pStyle w:val="BodyText"/>
        <w:numPr>
          <w:ilvl w:val="1"/>
          <w:numId w:val="828"/>
        </w:numPr>
      </w:pPr>
      <w:r w:rsidRPr="0075045B">
        <w:t>Have been in jail or prison within the last five years</w:t>
      </w:r>
    </w:p>
    <w:p w14:paraId="55A238E5" w14:textId="77777777" w:rsidR="006420CB" w:rsidRDefault="006420CB" w:rsidP="000D1260">
      <w:pPr>
        <w:pStyle w:val="BodyText3"/>
        <w:ind w:left="720" w:hanging="720"/>
      </w:pPr>
      <w:bookmarkStart w:id="244" w:name="_Hlk203140100"/>
      <w:r w:rsidRPr="009A3E47">
        <w:t>F.</w:t>
      </w:r>
      <w:r>
        <w:tab/>
      </w:r>
      <w:r w:rsidRPr="009A3E47">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bookmarkEnd w:id="244"/>
      <w:r>
        <w:t xml:space="preserve"> </w:t>
      </w:r>
    </w:p>
    <w:p w14:paraId="473C6E0E" w14:textId="77777777" w:rsidR="006420CB" w:rsidRDefault="006420CB" w:rsidP="001B0CF9">
      <w:pPr>
        <w:pStyle w:val="BodyText"/>
      </w:pPr>
      <w:r>
        <w:t>Th</w:t>
      </w:r>
      <w:r w:rsidRPr="58D0E01B">
        <w:t xml:space="preserve">e State Director of AARP Foundation, headquartered in Washington D.C., oversees both the state subcontract and the federal Texas project directly funded by DOLETA to the AARP Foundation national office. </w:t>
      </w:r>
    </w:p>
    <w:p w14:paraId="46355221" w14:textId="77777777" w:rsidR="006420CB" w:rsidRPr="000B276D" w:rsidRDefault="006420CB" w:rsidP="001B0CF9">
      <w:pPr>
        <w:pStyle w:val="BodyText"/>
      </w:pPr>
      <w:r>
        <w:t>TWC’s Federal Grants team</w:t>
      </w:r>
      <w:r w:rsidRPr="006D4E28">
        <w:t xml:space="preserve"> </w:t>
      </w:r>
      <w:r>
        <w:t xml:space="preserve">administers the program </w:t>
      </w:r>
      <w:proofErr w:type="gramStart"/>
      <w:r>
        <w:t xml:space="preserve">by </w:t>
      </w:r>
      <w:r w:rsidRPr="003B48B8">
        <w:t xml:space="preserve"> participati</w:t>
      </w:r>
      <w:r>
        <w:t>ng</w:t>
      </w:r>
      <w:proofErr w:type="gramEnd"/>
      <w:r w:rsidRPr="006D4E28">
        <w:t xml:space="preserve"> in Request for Applications (RFA) development</w:t>
      </w:r>
      <w:r w:rsidRPr="003B48B8">
        <w:t>, which involves</w:t>
      </w:r>
      <w:r w:rsidRPr="006D4E28">
        <w:t xml:space="preserve"> budget </w:t>
      </w:r>
      <w:r w:rsidRPr="003B48B8">
        <w:t xml:space="preserve">creation, and the </w:t>
      </w:r>
      <w:r w:rsidRPr="006D4E28">
        <w:t xml:space="preserve">capturing </w:t>
      </w:r>
      <w:r w:rsidRPr="003B48B8">
        <w:t xml:space="preserve">of </w:t>
      </w:r>
      <w:r w:rsidRPr="006D4E28">
        <w:t>lessons learned</w:t>
      </w:r>
      <w:r w:rsidRPr="003B48B8">
        <w:t>. They are also responsible for initiating</w:t>
      </w:r>
      <w:r w:rsidRPr="006D4E28">
        <w:t xml:space="preserve"> grants and amendments, renewals, and closeouts</w:t>
      </w:r>
      <w:r w:rsidRPr="003B48B8">
        <w:t>. Furthermore, the department manages and oversees grant compliance, ensuring adherence to all regulations. They also oversee</w:t>
      </w:r>
      <w:r w:rsidRPr="006D4E28">
        <w:t xml:space="preserve"> expenditure requirements and performance targets, </w:t>
      </w:r>
      <w:r w:rsidRPr="003B48B8">
        <w:t xml:space="preserve">providing </w:t>
      </w:r>
      <w:r w:rsidRPr="006D4E28">
        <w:t>technical assistance and</w:t>
      </w:r>
      <w:r w:rsidRPr="003B48B8">
        <w:t xml:space="preserve"> implementing</w:t>
      </w:r>
      <w:r w:rsidRPr="006D4E28">
        <w:t xml:space="preserve"> corrective actions when necessary</w:t>
      </w:r>
      <w:r w:rsidRPr="003B48B8">
        <w:t>. Finally, the department is tasked with developing</w:t>
      </w:r>
      <w:r w:rsidRPr="006D4E28">
        <w:t xml:space="preserve"> performance outcomes for inclusion in RFAs</w:t>
      </w:r>
      <w:r w:rsidRPr="003B48B8">
        <w:t>.</w:t>
      </w:r>
      <w:r>
        <w:t xml:space="preserve"> TWC also </w:t>
      </w:r>
      <w:r w:rsidRPr="007E72A7">
        <w:t xml:space="preserve">works with the 28 Local Workforce Development Boards in </w:t>
      </w:r>
      <w:r w:rsidRPr="007E72A7">
        <w:lastRenderedPageBreak/>
        <w:t>Texas. These Boards help by offering more training and job assistance.</w:t>
      </w:r>
      <w:r>
        <w:t xml:space="preserve"> Through MOUs boards, service providers and host agencies </w:t>
      </w:r>
      <w:proofErr w:type="gramStart"/>
      <w:r>
        <w:t>collaborate,  avoid</w:t>
      </w:r>
      <w:proofErr w:type="gramEnd"/>
      <w:r>
        <w:t xml:space="preserve"> duplication of services, and to provide services to participants. </w:t>
      </w:r>
      <w:r w:rsidRPr="00954131">
        <w:t>Host agencies are local non-profit organizations, school districts, or city, county, state, or federal entities that agree to provide training, supervision, and support for SCSEP participants and, if possible, to hire participants in permanent unsubsidized jobs. Active host agencies sign agreements annually with the subgrantee, and host agency supervisors sign participants’ Individual Employment Plans.</w:t>
      </w:r>
    </w:p>
    <w:p w14:paraId="4204227A" w14:textId="77777777" w:rsidR="006420CB" w:rsidRDefault="006420CB" w:rsidP="001B0CF9">
      <w:pPr>
        <w:pStyle w:val="BodyText"/>
      </w:pPr>
      <w:r w:rsidRPr="000756DF">
        <w:t xml:space="preserve">To encourage communication among SCSEP providers in Texas, TWC continues to facilitate quarterly grantee conference calls </w:t>
      </w:r>
      <w:proofErr w:type="gramStart"/>
      <w:r w:rsidRPr="000756DF">
        <w:t>in order to</w:t>
      </w:r>
      <w:proofErr w:type="gramEnd"/>
      <w:r w:rsidRPr="000756DF">
        <w:t xml:space="preserve"> gather information and share best practices. Grantee field staff members connect with their counterparts in the same workforce area and coordinate efforts that strengthen partnerships with Boards and other local entities.</w:t>
      </w:r>
    </w:p>
    <w:p w14:paraId="56E929FE" w14:textId="77777777" w:rsidR="006420CB" w:rsidRDefault="006420CB" w:rsidP="001B0CF9">
      <w:pPr>
        <w:pStyle w:val="BodyText"/>
      </w:pPr>
      <w:r w:rsidRPr="58D0E01B">
        <w:t>AARP Foundation utilizes approximately 16 FTEs which includes two Regional State Managers overseeing field coordinators who provide services in TWC’s SCSEP service area</w:t>
      </w:r>
      <w:r>
        <w:t xml:space="preserve">. The </w:t>
      </w:r>
      <w:r w:rsidRPr="008E4177">
        <w:t>WIOA Combined State Plan, Section VII</w:t>
      </w:r>
      <w:r>
        <w:t>,</w:t>
      </w:r>
      <w:r w:rsidRPr="58D0E01B">
        <w:t xml:space="preserve"> includes </w:t>
      </w:r>
      <w:r>
        <w:t>the SCSEP State Plan</w:t>
      </w:r>
      <w:r w:rsidRPr="58D0E01B">
        <w:t xml:space="preserve"> </w:t>
      </w:r>
      <w:r w:rsidRPr="00FC5C19">
        <w:t>TWC developed the SCSEP State Plan by working with the five national SCSEP providers operating</w:t>
      </w:r>
      <w:r>
        <w:t xml:space="preserve"> in Texas</w:t>
      </w:r>
      <w:r w:rsidRPr="00FC5C19">
        <w:t>, the Boards, and HHSC. Stakeholders were also invited to provide comments on the plan.</w:t>
      </w:r>
    </w:p>
    <w:p w14:paraId="05F536EE" w14:textId="09B53750" w:rsidR="006420CB" w:rsidRPr="00B90EE7" w:rsidRDefault="006420CB" w:rsidP="001B0CF9">
      <w:pPr>
        <w:pStyle w:val="BodyText3"/>
        <w:ind w:left="720" w:hanging="720"/>
      </w:pPr>
      <w:bookmarkStart w:id="245" w:name="_Hlk203140117"/>
      <w:r w:rsidRPr="00B90EE7">
        <w:t>G.</w:t>
      </w:r>
      <w:r>
        <w:tab/>
      </w:r>
      <w:r w:rsidRPr="00B90EE7">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B90EE7">
        <w:rPr>
          <w:i/>
          <w:iCs/>
        </w:rPr>
        <w:t>(If you have already submitted funding source info through the “Agency Program Information” spreadsheet, please limit your response to funding formulas or funding conventions.)</w:t>
      </w:r>
    </w:p>
    <w:tbl>
      <w:tblPr>
        <w:tblStyle w:val="TableGrid1"/>
        <w:tblW w:w="10318" w:type="dxa"/>
        <w:tblLayout w:type="fixed"/>
        <w:tblCellMar>
          <w:top w:w="58" w:type="dxa"/>
          <w:bottom w:w="58" w:type="dxa"/>
        </w:tblCellMar>
        <w:tblLook w:val="0000" w:firstRow="0" w:lastRow="0" w:firstColumn="0" w:lastColumn="0" w:noHBand="0" w:noVBand="0"/>
      </w:tblPr>
      <w:tblGrid>
        <w:gridCol w:w="3485"/>
        <w:gridCol w:w="2407"/>
        <w:gridCol w:w="2006"/>
        <w:gridCol w:w="2420"/>
      </w:tblGrid>
      <w:tr w:rsidR="00111BAA" w:rsidRPr="00FF2F97" w14:paraId="7A13A614" w14:textId="77777777" w:rsidTr="00AC224D">
        <w:trPr>
          <w:trHeight w:val="610"/>
          <w:tblHeader/>
        </w:trPr>
        <w:tc>
          <w:tcPr>
            <w:tcW w:w="3485" w:type="dxa"/>
            <w:shd w:val="clear" w:color="auto" w:fill="B8CCE4" w:themeFill="accent1" w:themeFillTint="66"/>
            <w:vAlign w:val="center"/>
          </w:tcPr>
          <w:bookmarkEnd w:id="245"/>
          <w:p w14:paraId="67A9D509" w14:textId="77777777" w:rsidR="00111BAA" w:rsidRPr="00FF2F97" w:rsidRDefault="00111BAA" w:rsidP="00111BAA">
            <w:pPr>
              <w:pStyle w:val="TableHeaders"/>
            </w:pPr>
            <w:r w:rsidRPr="00FF2F97">
              <w:t>Program or Function Detail Description</w:t>
            </w:r>
          </w:p>
        </w:tc>
        <w:tc>
          <w:tcPr>
            <w:tcW w:w="2407" w:type="dxa"/>
            <w:shd w:val="clear" w:color="auto" w:fill="B8CCE4" w:themeFill="accent1" w:themeFillTint="66"/>
            <w:vAlign w:val="center"/>
          </w:tcPr>
          <w:p w14:paraId="795EB9DF" w14:textId="77777777" w:rsidR="00111BAA" w:rsidRPr="00FF2F97" w:rsidRDefault="00111BAA" w:rsidP="00111BAA">
            <w:pPr>
              <w:pStyle w:val="TableHeaders"/>
            </w:pPr>
            <w:r w:rsidRPr="00FF2F97">
              <w:t>Total FY 2024</w:t>
            </w:r>
          </w:p>
        </w:tc>
        <w:tc>
          <w:tcPr>
            <w:tcW w:w="2006" w:type="dxa"/>
            <w:shd w:val="clear" w:color="auto" w:fill="B8CCE4" w:themeFill="accent1" w:themeFillTint="66"/>
            <w:vAlign w:val="center"/>
          </w:tcPr>
          <w:p w14:paraId="420D86AA" w14:textId="77777777" w:rsidR="00111BAA" w:rsidRPr="00FF2F97" w:rsidRDefault="00111BAA" w:rsidP="00111BAA">
            <w:pPr>
              <w:pStyle w:val="TableHeaders"/>
            </w:pPr>
            <w:r w:rsidRPr="00FF2F97">
              <w:t>Federal Funding</w:t>
            </w:r>
          </w:p>
        </w:tc>
        <w:tc>
          <w:tcPr>
            <w:tcW w:w="2420" w:type="dxa"/>
            <w:shd w:val="clear" w:color="auto" w:fill="B8CCE4" w:themeFill="accent1" w:themeFillTint="66"/>
            <w:vAlign w:val="center"/>
          </w:tcPr>
          <w:p w14:paraId="1BF3FBE8" w14:textId="77777777" w:rsidR="00111BAA" w:rsidRPr="00FF2F97" w:rsidRDefault="00111BAA" w:rsidP="00111BAA">
            <w:pPr>
              <w:pStyle w:val="TableHeaders"/>
            </w:pPr>
            <w:r w:rsidRPr="00FF2F97">
              <w:t>State Funding</w:t>
            </w:r>
          </w:p>
        </w:tc>
      </w:tr>
      <w:tr w:rsidR="00111BAA" w:rsidRPr="00FF2F97" w14:paraId="6193C4B9" w14:textId="77777777" w:rsidTr="00AC224D">
        <w:trPr>
          <w:trHeight w:val="444"/>
        </w:trPr>
        <w:tc>
          <w:tcPr>
            <w:tcW w:w="3485" w:type="dxa"/>
            <w:vAlign w:val="center"/>
          </w:tcPr>
          <w:p w14:paraId="5ED75350" w14:textId="77777777" w:rsidR="00111BAA" w:rsidRPr="00FF2F97" w:rsidRDefault="00111BAA" w:rsidP="00AC224D">
            <w:pPr>
              <w:pStyle w:val="TableText"/>
            </w:pPr>
            <w:r w:rsidRPr="00FF2F97">
              <w:t>Senior Community Service Employment Program</w:t>
            </w:r>
          </w:p>
        </w:tc>
        <w:tc>
          <w:tcPr>
            <w:tcW w:w="2407" w:type="dxa"/>
            <w:vAlign w:val="center"/>
          </w:tcPr>
          <w:p w14:paraId="05A3FC42" w14:textId="77777777" w:rsidR="00111BAA" w:rsidRPr="00FF2F97" w:rsidRDefault="00111BAA" w:rsidP="00AC224D">
            <w:pPr>
              <w:pStyle w:val="TableText"/>
              <w:jc w:val="right"/>
            </w:pPr>
            <w:r w:rsidRPr="00FF2F97">
              <w:t xml:space="preserve">4,439,676 </w:t>
            </w:r>
          </w:p>
        </w:tc>
        <w:tc>
          <w:tcPr>
            <w:tcW w:w="2006" w:type="dxa"/>
            <w:vAlign w:val="center"/>
          </w:tcPr>
          <w:p w14:paraId="7F111B6E" w14:textId="77777777" w:rsidR="00111BAA" w:rsidRPr="00FF2F97" w:rsidRDefault="00111BAA" w:rsidP="00AC224D">
            <w:pPr>
              <w:pStyle w:val="TableText"/>
              <w:jc w:val="right"/>
            </w:pPr>
            <w:r w:rsidRPr="00FF2F97">
              <w:t xml:space="preserve">4,409,039 </w:t>
            </w:r>
          </w:p>
        </w:tc>
        <w:tc>
          <w:tcPr>
            <w:tcW w:w="2420" w:type="dxa"/>
            <w:vAlign w:val="center"/>
          </w:tcPr>
          <w:p w14:paraId="4E5658A6" w14:textId="77777777" w:rsidR="00111BAA" w:rsidRPr="00FF2F97" w:rsidRDefault="00111BAA" w:rsidP="00AC224D">
            <w:pPr>
              <w:pStyle w:val="TableText"/>
              <w:jc w:val="right"/>
            </w:pPr>
            <w:r w:rsidRPr="00FF2F97">
              <w:t xml:space="preserve">30,637 </w:t>
            </w:r>
          </w:p>
        </w:tc>
      </w:tr>
    </w:tbl>
    <w:p w14:paraId="2B0FAB30" w14:textId="77777777" w:rsidR="006420CB" w:rsidRPr="001F76DD" w:rsidRDefault="006420CB" w:rsidP="001B0CF9">
      <w:pPr>
        <w:pStyle w:val="BodyText3"/>
        <w:ind w:left="720" w:hanging="720"/>
      </w:pPr>
      <w:bookmarkStart w:id="246" w:name="_Hlk203140792"/>
      <w:bookmarkStart w:id="247" w:name="_Hlk203140132"/>
      <w:r w:rsidRPr="001F76DD">
        <w:t>H.</w:t>
      </w:r>
      <w:r w:rsidRPr="001F76DD">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w:t>
      </w:r>
      <w:bookmarkEnd w:id="246"/>
      <w:r w:rsidRPr="001F76DD">
        <w:t>.</w:t>
      </w:r>
    </w:p>
    <w:bookmarkEnd w:id="247"/>
    <w:p w14:paraId="13271599" w14:textId="77777777" w:rsidR="006420CB" w:rsidRPr="000F25DC" w:rsidRDefault="006420CB" w:rsidP="001B0CF9">
      <w:pPr>
        <w:pStyle w:val="BodyText"/>
      </w:pPr>
      <w:r w:rsidRPr="58D0E01B">
        <w:t xml:space="preserve">No other program besides SCSEP specifically targets low-income older workers. TWC’s subgrantee </w:t>
      </w:r>
      <w:r>
        <w:t xml:space="preserve">– </w:t>
      </w:r>
      <w:r w:rsidRPr="58D0E01B">
        <w:t>AARP Foundation</w:t>
      </w:r>
      <w:r>
        <w:t xml:space="preserve"> –</w:t>
      </w:r>
      <w:r w:rsidRPr="58D0E01B">
        <w:t xml:space="preserve"> and the national grantees work together to ensure that services are not duplicated in Texas counties. AARP Foundation has signed </w:t>
      </w:r>
      <w:r>
        <w:t>MOUs</w:t>
      </w:r>
      <w:r w:rsidRPr="58D0E01B">
        <w:t xml:space="preserve"> with the</w:t>
      </w:r>
      <w:r>
        <w:t xml:space="preserve"> </w:t>
      </w:r>
      <w:r w:rsidRPr="58D0E01B">
        <w:t>Boards whose workforce areas overlap with TWC’s SCSEP service area.</w:t>
      </w:r>
      <w:r>
        <w:t xml:space="preserve">  </w:t>
      </w:r>
      <w:r w:rsidRPr="58D0E01B">
        <w:t xml:space="preserve">TWC has worked with </w:t>
      </w:r>
      <w:r>
        <w:t xml:space="preserve">the </w:t>
      </w:r>
      <w:r w:rsidRPr="58D0E01B">
        <w:t>national organizations to eliminate counties being served by more than one SCSEP grantee.</w:t>
      </w:r>
    </w:p>
    <w:p w14:paraId="5D745B28" w14:textId="7C8C87FD" w:rsidR="006420CB" w:rsidRDefault="006420CB" w:rsidP="001B0CF9">
      <w:pPr>
        <w:pStyle w:val="BodyText"/>
      </w:pPr>
      <w:proofErr w:type="gramStart"/>
      <w:r>
        <w:lastRenderedPageBreak/>
        <w:t>All of</w:t>
      </w:r>
      <w:proofErr w:type="gramEnd"/>
      <w:r>
        <w:t xml:space="preserve"> the </w:t>
      </w:r>
      <w:r w:rsidRPr="009A3E47">
        <w:t xml:space="preserve">SCSEP providers pursue and maintain MOUs with Workforce Solutions Offices in their service areas to allow for referrals and the use of Workforce Solutions </w:t>
      </w:r>
      <w:r w:rsidR="001B0CF9">
        <w:t>r</w:t>
      </w:r>
      <w:r w:rsidRPr="009A3E47">
        <w:t>esources for SCSEP participants.</w:t>
      </w:r>
    </w:p>
    <w:p w14:paraId="53D9FFCC" w14:textId="3CAB9413" w:rsidR="006420CB" w:rsidRPr="000F3A5D" w:rsidRDefault="006420CB" w:rsidP="001B0CF9">
      <w:pPr>
        <w:pStyle w:val="BodyText3"/>
        <w:ind w:left="720" w:hanging="720"/>
      </w:pPr>
      <w:r>
        <w:t>I.</w:t>
      </w:r>
      <w:r w:rsidR="001B0CF9">
        <w:tab/>
      </w:r>
      <w:r w:rsidRPr="000F3A5D">
        <w:t>If the division or program works with local, regional, or federal units of government, include a brief description of these entities and their relationship to the agency.</w:t>
      </w:r>
    </w:p>
    <w:p w14:paraId="6D370F05" w14:textId="77777777" w:rsidR="006420CB" w:rsidRDefault="006420CB" w:rsidP="001B0CF9">
      <w:pPr>
        <w:pStyle w:val="BodyText"/>
      </w:pPr>
      <w:r>
        <w:t>A</w:t>
      </w:r>
      <w:r w:rsidRPr="00693E96">
        <w:t>s previously discussed, TWC works closely with DOLETA and AARP Foundation to administer the SCSEP program in Texas. In turn, the SCSEP providers work closely with the Board and their Workforce Solutions Offices to coordinate services to participants</w:t>
      </w:r>
      <w:r>
        <w:t xml:space="preserve">. </w:t>
      </w:r>
    </w:p>
    <w:p w14:paraId="744831D1" w14:textId="25FB5EA0" w:rsidR="006420CB" w:rsidRPr="00761B0F" w:rsidRDefault="006420CB" w:rsidP="001B0CF9">
      <w:pPr>
        <w:pStyle w:val="BodyText3"/>
        <w:ind w:left="720" w:hanging="720"/>
      </w:pPr>
      <w:r w:rsidRPr="00761B0F">
        <w:t>J.</w:t>
      </w:r>
      <w:r w:rsidR="001B0CF9">
        <w:tab/>
      </w:r>
      <w:r w:rsidRPr="00761B0F">
        <w:t>Are there any barriers or challenges that impede the division or program’s performance, including any outdated or ineffective state laws? Explain.</w:t>
      </w:r>
    </w:p>
    <w:p w14:paraId="10AC1AA3" w14:textId="77777777" w:rsidR="006420CB" w:rsidRPr="008A1245" w:rsidRDefault="006420CB" w:rsidP="001B0CF9">
      <w:pPr>
        <w:pStyle w:val="BodyText"/>
      </w:pPr>
      <w:r w:rsidRPr="008A1245">
        <w:t xml:space="preserve">Several barriers impede SCSEP performance in Texas. Rural counties face significant challenges, including limited broadband access, a shortage of host agencies and employers, and lack of public transportation—restricting both participation and service delivery. Participants often lack access to technology devices, further hindering engagement in training and job search activities. Additionally, the $7.25 per hour minimum wage reduces program appeal, especially when travel costs are high. While no specific outdated laws directly hinder SCSEP, the lack of statewide investment in digital infrastructure, rural transit, and workforce development coordination limits the program’s effectiveness in underserved areas. </w:t>
      </w:r>
    </w:p>
    <w:p w14:paraId="35868E7F" w14:textId="77777777" w:rsidR="006420CB" w:rsidRPr="000F25DC" w:rsidRDefault="006420CB" w:rsidP="001B0CF9">
      <w:pPr>
        <w:pStyle w:val="BodyText"/>
      </w:pPr>
      <w:r w:rsidRPr="008A1245">
        <w:t xml:space="preserve">The Texas WIOA Combined State Plan acknowledges these barriers, citing limited program awareness, challenges in service delivery, and under-enrollment in rural areas. These issues remain unresolved, particularly where population density is low and additional barriers such as limited English proficiency and literacy persist. Strategic efforts to expand partnerships, leverage mobile outreach, and invest in digital inclusion are essential to address these gaps. </w:t>
      </w:r>
    </w:p>
    <w:p w14:paraId="06156938" w14:textId="77777777" w:rsidR="006420CB" w:rsidRPr="004230AF" w:rsidRDefault="006420CB" w:rsidP="001B0CF9">
      <w:pPr>
        <w:pStyle w:val="BodyText3"/>
        <w:ind w:left="720" w:hanging="720"/>
      </w:pPr>
      <w:r w:rsidRPr="004230AF">
        <w:t>K.</w:t>
      </w:r>
      <w:r w:rsidRPr="004230AF">
        <w:tab/>
        <w:t>Provide any additional information needed to gain a preliminary understanding of the division or program.</w:t>
      </w:r>
    </w:p>
    <w:p w14:paraId="7E723CF7" w14:textId="77777777" w:rsidR="006420CB" w:rsidRPr="000F25DC" w:rsidRDefault="006420CB" w:rsidP="001B0CF9">
      <w:pPr>
        <w:pStyle w:val="BodyText"/>
      </w:pPr>
      <w:r w:rsidRPr="000F25DC">
        <w:t>N</w:t>
      </w:r>
      <w:r>
        <w:t>/A</w:t>
      </w:r>
    </w:p>
    <w:p w14:paraId="7F99D5B3" w14:textId="77777777" w:rsidR="006420CB" w:rsidRPr="007565E0" w:rsidRDefault="006420CB" w:rsidP="001B0CF9">
      <w:pPr>
        <w:pStyle w:val="BodyText3"/>
        <w:ind w:left="720" w:hanging="720"/>
      </w:pPr>
      <w:r w:rsidRPr="007565E0">
        <w:t>L.</w:t>
      </w:r>
      <w:r w:rsidRPr="007565E0">
        <w:tab/>
        <w:t>Regulatory programs relate to the licensing, registration, certification, or permitting of a person, business, piece of equipment, or other entity (e.g., a facility). For each regulatory program, if applicable, describe:</w:t>
      </w:r>
    </w:p>
    <w:p w14:paraId="4BA82B8A" w14:textId="77777777" w:rsidR="006420CB" w:rsidRPr="000F25DC" w:rsidRDefault="006420CB" w:rsidP="001B0CF9">
      <w:pPr>
        <w:pStyle w:val="BodyText"/>
      </w:pPr>
      <w:r w:rsidRPr="000F25DC">
        <w:t>N</w:t>
      </w:r>
      <w:r>
        <w:t>/A</w:t>
      </w:r>
    </w:p>
    <w:p w14:paraId="0D9B1C30" w14:textId="77777777" w:rsidR="006420CB" w:rsidRPr="0038200D" w:rsidRDefault="006420CB" w:rsidP="001B0CF9">
      <w:pPr>
        <w:pStyle w:val="BodyText3"/>
        <w:ind w:left="720" w:hanging="720"/>
      </w:pPr>
      <w:bookmarkStart w:id="248" w:name="_Hlk203140903"/>
      <w:r w:rsidRPr="58D0E01B">
        <w:t>M.</w:t>
      </w:r>
      <w:r>
        <w:tab/>
      </w:r>
      <w:r w:rsidRPr="58D0E01B">
        <w:t xml:space="preserve">For each regulatory program, if applicable, provide detailed information on complaint and regulatory actions, including investigations and complaint resolutions. The data should cover the last five fiscal years and give a </w:t>
      </w:r>
      <w:r w:rsidRPr="58D0E01B">
        <w:lastRenderedPageBreak/>
        <w:t>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bookmarkEnd w:id="248"/>
    <w:p w14:paraId="129502C1" w14:textId="77777777" w:rsidR="006420CB" w:rsidRDefault="006420CB" w:rsidP="001B0CF9">
      <w:pPr>
        <w:pStyle w:val="BodyText"/>
      </w:pPr>
      <w:r w:rsidRPr="58D0E01B">
        <w:t>N</w:t>
      </w:r>
      <w:r>
        <w:t>/A</w:t>
      </w:r>
    </w:p>
    <w:p w14:paraId="79976B1E" w14:textId="31F4640A" w:rsidR="006420CB" w:rsidRDefault="006420CB" w:rsidP="006420CB">
      <w:pPr>
        <w:rPr>
          <w:rFonts w:eastAsia="Yu Gothic Light" w:cs="Times New Roman"/>
          <w:sz w:val="26"/>
          <w:szCs w:val="26"/>
        </w:rPr>
      </w:pPr>
    </w:p>
    <w:p w14:paraId="40F56944" w14:textId="77777777" w:rsidR="006420CB" w:rsidRDefault="006420CB" w:rsidP="001B0CF9">
      <w:pPr>
        <w:pStyle w:val="BodyText3"/>
        <w:rPr>
          <w:spacing w:val="-2"/>
        </w:rPr>
      </w:pPr>
      <w:r w:rsidRPr="061A6DF0">
        <w:t>Adult</w:t>
      </w:r>
      <w:r w:rsidRPr="061A6DF0">
        <w:rPr>
          <w:spacing w:val="-8"/>
        </w:rPr>
        <w:t xml:space="preserve"> </w:t>
      </w:r>
      <w:r w:rsidRPr="061A6DF0">
        <w:t>Education</w:t>
      </w:r>
      <w:r w:rsidRPr="061A6DF0">
        <w:rPr>
          <w:spacing w:val="-9"/>
        </w:rPr>
        <w:t xml:space="preserve"> </w:t>
      </w:r>
      <w:r w:rsidRPr="061A6DF0">
        <w:t>and</w:t>
      </w:r>
      <w:r w:rsidRPr="061A6DF0">
        <w:rPr>
          <w:spacing w:val="-9"/>
        </w:rPr>
        <w:t xml:space="preserve"> </w:t>
      </w:r>
      <w:r w:rsidRPr="061A6DF0">
        <w:rPr>
          <w:spacing w:val="-2"/>
        </w:rPr>
        <w:t>Literacy</w:t>
      </w:r>
      <w:bookmarkEnd w:id="224"/>
      <w:bookmarkEnd w:id="225"/>
    </w:p>
    <w:p w14:paraId="635642FF" w14:textId="5690C512" w:rsidR="006420CB" w:rsidRPr="001A6307" w:rsidRDefault="00D34195" w:rsidP="00B06064">
      <w:pPr>
        <w:pStyle w:val="BodyText3"/>
        <w:rPr>
          <w:i/>
        </w:rPr>
      </w:pPr>
      <w:r>
        <w:t>A.</w:t>
      </w:r>
      <w:r>
        <w:tab/>
      </w:r>
      <w:r w:rsidR="006420CB" w:rsidRPr="004B0A30">
        <w:t>Provide</w:t>
      </w:r>
      <w:r w:rsidR="006420CB" w:rsidRPr="000F25DC">
        <w:rPr>
          <w:spacing w:val="-4"/>
        </w:rPr>
        <w:t xml:space="preserve"> </w:t>
      </w:r>
      <w:r w:rsidR="006420CB" w:rsidRPr="00214CFB">
        <w:t>the</w:t>
      </w:r>
      <w:r w:rsidR="006420CB" w:rsidRPr="000F25DC">
        <w:rPr>
          <w:spacing w:val="-4"/>
        </w:rPr>
        <w:t xml:space="preserve"> </w:t>
      </w:r>
      <w:r w:rsidR="006420CB" w:rsidRPr="000F25DC">
        <w:t>following</w:t>
      </w:r>
      <w:r w:rsidR="006420CB" w:rsidRPr="000F25DC">
        <w:rPr>
          <w:spacing w:val="-7"/>
        </w:rPr>
        <w:t xml:space="preserve"> </w:t>
      </w:r>
      <w:r w:rsidR="006420CB" w:rsidRPr="000F25DC">
        <w:t>information</w:t>
      </w:r>
      <w:r w:rsidR="006420CB" w:rsidRPr="000F25DC">
        <w:rPr>
          <w:spacing w:val="-5"/>
        </w:rPr>
        <w:t xml:space="preserve"> </w:t>
      </w:r>
      <w:r w:rsidR="006420CB" w:rsidRPr="000F25DC">
        <w:t>at</w:t>
      </w:r>
      <w:r w:rsidR="006420CB" w:rsidRPr="000F25DC">
        <w:rPr>
          <w:spacing w:val="-3"/>
        </w:rPr>
        <w:t xml:space="preserve"> </w:t>
      </w:r>
      <w:r w:rsidR="006420CB" w:rsidRPr="000F25DC">
        <w:t>the</w:t>
      </w:r>
      <w:r w:rsidR="006420CB" w:rsidRPr="000F25DC">
        <w:rPr>
          <w:spacing w:val="-4"/>
        </w:rPr>
        <w:t xml:space="preserve"> </w:t>
      </w:r>
      <w:r w:rsidR="006420CB" w:rsidRPr="000F25DC">
        <w:t>beginning</w:t>
      </w:r>
      <w:r w:rsidR="006420CB" w:rsidRPr="000F25DC">
        <w:rPr>
          <w:spacing w:val="-5"/>
        </w:rPr>
        <w:t xml:space="preserve"> </w:t>
      </w:r>
      <w:r w:rsidR="006420CB" w:rsidRPr="000F25DC">
        <w:t>of</w:t>
      </w:r>
      <w:r w:rsidR="006420CB" w:rsidRPr="000F25DC">
        <w:rPr>
          <w:spacing w:val="-3"/>
        </w:rPr>
        <w:t xml:space="preserve"> </w:t>
      </w:r>
      <w:r w:rsidR="006420CB" w:rsidRPr="000F25DC">
        <w:t>each</w:t>
      </w:r>
      <w:r w:rsidR="006420CB" w:rsidRPr="000F25DC">
        <w:rPr>
          <w:spacing w:val="-5"/>
        </w:rPr>
        <w:t xml:space="preserve"> </w:t>
      </w:r>
      <w:r w:rsidR="006420CB" w:rsidRPr="000F25DC">
        <w:t>description.</w:t>
      </w:r>
    </w:p>
    <w:p w14:paraId="7D5FF1E7" w14:textId="77777777" w:rsidR="006420CB" w:rsidRDefault="006420CB" w:rsidP="00D34195">
      <w:pPr>
        <w:pStyle w:val="BodyText"/>
      </w:pPr>
      <w:r w:rsidRPr="000F25DC">
        <w:t xml:space="preserve">Name of division or program: Adult Education and Literacy Programs </w:t>
      </w:r>
    </w:p>
    <w:p w14:paraId="64D01C22" w14:textId="77777777" w:rsidR="006420CB" w:rsidRDefault="006420CB" w:rsidP="00D34195">
      <w:pPr>
        <w:pStyle w:val="BodyText"/>
      </w:pPr>
      <w:r w:rsidRPr="000F25DC">
        <w:t>Location within the agency: Workforce Development Division</w:t>
      </w:r>
      <w:r>
        <w:t>, Education and Outreach</w:t>
      </w:r>
    </w:p>
    <w:p w14:paraId="1ED42FE0" w14:textId="77777777" w:rsidR="006420CB" w:rsidRPr="000F25DC" w:rsidRDefault="006420CB" w:rsidP="00D34195">
      <w:pPr>
        <w:pStyle w:val="BodyText"/>
      </w:pPr>
      <w:r w:rsidRPr="000F25DC">
        <w:t>Contact</w:t>
      </w:r>
      <w:r w:rsidRPr="000F25DC">
        <w:rPr>
          <w:spacing w:val="-4"/>
        </w:rPr>
        <w:t xml:space="preserve"> </w:t>
      </w:r>
      <w:r w:rsidRPr="000F25DC">
        <w:t>name:</w:t>
      </w:r>
      <w:r w:rsidRPr="000F25DC">
        <w:rPr>
          <w:spacing w:val="-9"/>
        </w:rPr>
        <w:t xml:space="preserve"> </w:t>
      </w:r>
      <w:r w:rsidRPr="000F25DC">
        <w:t>Mahalia</w:t>
      </w:r>
      <w:r w:rsidRPr="000F25DC">
        <w:rPr>
          <w:spacing w:val="-3"/>
        </w:rPr>
        <w:t xml:space="preserve"> </w:t>
      </w:r>
      <w:r w:rsidRPr="000F25DC">
        <w:rPr>
          <w:spacing w:val="-2"/>
        </w:rPr>
        <w:t>Baldini</w:t>
      </w:r>
    </w:p>
    <w:p w14:paraId="4D3D70F4" w14:textId="77777777" w:rsidR="006420CB" w:rsidRPr="00CC2529" w:rsidRDefault="006420CB" w:rsidP="00D34195">
      <w:pPr>
        <w:pStyle w:val="BodyText"/>
      </w:pPr>
      <w:r w:rsidRPr="00CC2529">
        <w:t>Statutory citation: Texas Labor Code, Chapter 315</w:t>
      </w:r>
    </w:p>
    <w:p w14:paraId="60A50A69" w14:textId="55FFEE15" w:rsidR="006420CB" w:rsidRPr="004B0A30" w:rsidRDefault="00D34195" w:rsidP="00D34195">
      <w:pPr>
        <w:pStyle w:val="BodyText3"/>
        <w:rPr>
          <w:rStyle w:val="Strong"/>
          <w:rFonts w:eastAsia="Calibri" w:cs="Calibri"/>
          <w:b w:val="0"/>
          <w:kern w:val="0"/>
          <w:szCs w:val="22"/>
        </w:rPr>
      </w:pPr>
      <w:r>
        <w:rPr>
          <w:rStyle w:val="Strong"/>
        </w:rPr>
        <w:t>B.</w:t>
      </w:r>
      <w:r>
        <w:rPr>
          <w:rStyle w:val="Strong"/>
        </w:rPr>
        <w:tab/>
      </w:r>
      <w:r w:rsidR="006420CB" w:rsidRPr="004B0A30">
        <w:rPr>
          <w:rStyle w:val="Strong"/>
        </w:rPr>
        <w:t>What is the objective of this division or program? Describe its major activities.</w:t>
      </w:r>
    </w:p>
    <w:p w14:paraId="627B9249" w14:textId="77777777" w:rsidR="006420CB" w:rsidRPr="000F25DC" w:rsidRDefault="006420CB" w:rsidP="00535212">
      <w:pPr>
        <w:pStyle w:val="BodyText"/>
      </w:pPr>
      <w:r w:rsidRPr="000F25DC">
        <w:t xml:space="preserve">The Adult Education and Literacy (AEL) </w:t>
      </w:r>
      <w:r w:rsidRPr="000F25DC">
        <w:rPr>
          <w:color w:val="1B1B1B"/>
          <w:shd w:val="clear" w:color="auto" w:fill="FFFFFF"/>
        </w:rPr>
        <w:t>program helps adults learn new skills by teaching reading, writing, math, and English in a variety of different program models.</w:t>
      </w:r>
      <w:r w:rsidRPr="000F25DC">
        <w:t xml:space="preserve"> The primary objectives are to ensure eligible adults have access to high-quality educational opportunities that enhance their skills, promote workforce readiness, and facilitate successful transitions to postsecondary education and employment.</w:t>
      </w:r>
    </w:p>
    <w:p w14:paraId="7A9B3046" w14:textId="77777777" w:rsidR="006420CB" w:rsidRPr="000F25DC" w:rsidRDefault="006420CB" w:rsidP="00535212">
      <w:pPr>
        <w:pStyle w:val="BodyText"/>
      </w:pPr>
      <w:r w:rsidRPr="000F25DC">
        <w:t>TWC</w:t>
      </w:r>
      <w:r>
        <w:t>’s</w:t>
      </w:r>
      <w:r w:rsidRPr="000F25DC">
        <w:t xml:space="preserve"> AEL department provides administrative oversight of the program but does not directly administer services. Adult education and literacy statewide grants are allocated </w:t>
      </w:r>
      <w:r>
        <w:t xml:space="preserve">to </w:t>
      </w:r>
      <w:r w:rsidRPr="000F25DC">
        <w:t xml:space="preserve">and aligned </w:t>
      </w:r>
      <w:r>
        <w:t>with</w:t>
      </w:r>
      <w:r w:rsidRPr="000F25DC">
        <w:t xml:space="preserve"> the 28 Local Workforce Development </w:t>
      </w:r>
      <w:r>
        <w:t>Board areas</w:t>
      </w:r>
      <w:r w:rsidRPr="000F25DC">
        <w:t xml:space="preserve"> to support integrated service delivery and performance accountability. Currently, </w:t>
      </w:r>
      <w:r>
        <w:t>TWC manages grants with</w:t>
      </w:r>
      <w:r w:rsidRPr="000F25DC">
        <w:t xml:space="preserve"> 51 AEL service providers. A directory of service providers by local workforce development board area </w:t>
      </w:r>
      <w:r>
        <w:t xml:space="preserve">is linked here: </w:t>
      </w:r>
      <w:hyperlink r:id="rId152" w:history="1">
        <w:r>
          <w:rPr>
            <w:rStyle w:val="Hyperlink"/>
          </w:rPr>
          <w:t>TCALL Provider Directory</w:t>
        </w:r>
      </w:hyperlink>
      <w:r>
        <w:t>.</w:t>
      </w:r>
    </w:p>
    <w:p w14:paraId="1619AAE0" w14:textId="77777777" w:rsidR="006420CB" w:rsidRPr="000F25DC" w:rsidRDefault="006420CB" w:rsidP="00535212">
      <w:pPr>
        <w:pStyle w:val="BodyText"/>
      </w:pPr>
      <w:r>
        <w:t>The</w:t>
      </w:r>
      <w:r w:rsidRPr="000F25DC">
        <w:t xml:space="preserve"> department is responsible for the strategic direction, oversight, and effective administration of adult education programs throughout the state. These objectives are accomplished through the following key functions: </w:t>
      </w:r>
    </w:p>
    <w:p w14:paraId="71BD1D40" w14:textId="77777777" w:rsidR="006420CB" w:rsidRPr="000F25DC" w:rsidRDefault="006420CB" w:rsidP="00C64851">
      <w:pPr>
        <w:pStyle w:val="BodyText"/>
        <w:numPr>
          <w:ilvl w:val="0"/>
          <w:numId w:val="828"/>
        </w:numPr>
      </w:pPr>
      <w:r>
        <w:t>S</w:t>
      </w:r>
      <w:r w:rsidRPr="000F25DC">
        <w:t xml:space="preserve">trategic </w:t>
      </w:r>
      <w:r>
        <w:t>p</w:t>
      </w:r>
      <w:r w:rsidRPr="000F25DC">
        <w:t xml:space="preserve">lanning and </w:t>
      </w:r>
      <w:r>
        <w:t>r</w:t>
      </w:r>
      <w:r w:rsidRPr="000F25DC">
        <w:t xml:space="preserve">esource </w:t>
      </w:r>
      <w:r>
        <w:t>a</w:t>
      </w:r>
      <w:r w:rsidRPr="000F25DC">
        <w:t>llocation</w:t>
      </w:r>
    </w:p>
    <w:p w14:paraId="7F182432" w14:textId="77777777" w:rsidR="006420CB" w:rsidRPr="000F25DC" w:rsidRDefault="006420CB" w:rsidP="00C64851">
      <w:pPr>
        <w:pStyle w:val="BodyText"/>
        <w:numPr>
          <w:ilvl w:val="0"/>
          <w:numId w:val="828"/>
        </w:numPr>
      </w:pPr>
      <w:r>
        <w:lastRenderedPageBreak/>
        <w:t>G</w:t>
      </w:r>
      <w:r w:rsidRPr="000F25DC">
        <w:t xml:space="preserve">rantee </w:t>
      </w:r>
      <w:r>
        <w:t>s</w:t>
      </w:r>
      <w:r w:rsidRPr="000F25DC">
        <w:t xml:space="preserve">upport and </w:t>
      </w:r>
      <w:r>
        <w:t>p</w:t>
      </w:r>
      <w:r w:rsidRPr="000F25DC">
        <w:t xml:space="preserve">rogrammatic </w:t>
      </w:r>
      <w:r>
        <w:t>g</w:t>
      </w:r>
      <w:r w:rsidRPr="000F25DC">
        <w:t>uidance</w:t>
      </w:r>
    </w:p>
    <w:p w14:paraId="5C318D6B" w14:textId="77777777" w:rsidR="006420CB" w:rsidRPr="000F25DC" w:rsidRDefault="006420CB" w:rsidP="00C64851">
      <w:pPr>
        <w:pStyle w:val="BodyText"/>
        <w:numPr>
          <w:ilvl w:val="0"/>
          <w:numId w:val="828"/>
        </w:numPr>
      </w:pPr>
      <w:r>
        <w:t>K</w:t>
      </w:r>
      <w:r w:rsidRPr="000F25DC">
        <w:t xml:space="preserve">nowledge </w:t>
      </w:r>
      <w:r>
        <w:t>s</w:t>
      </w:r>
      <w:r w:rsidRPr="000F25DC">
        <w:t xml:space="preserve">haring and </w:t>
      </w:r>
      <w:r>
        <w:t>b</w:t>
      </w:r>
      <w:r w:rsidRPr="000F25DC">
        <w:t xml:space="preserve">est </w:t>
      </w:r>
      <w:r>
        <w:t>p</w:t>
      </w:r>
      <w:r w:rsidRPr="000F25DC">
        <w:t xml:space="preserve">ractices </w:t>
      </w:r>
      <w:r>
        <w:t>d</w:t>
      </w:r>
      <w:r w:rsidRPr="000F25DC">
        <w:t>issemination</w:t>
      </w:r>
    </w:p>
    <w:p w14:paraId="740B3A6E" w14:textId="77777777" w:rsidR="006420CB" w:rsidRPr="000F25DC" w:rsidRDefault="006420CB" w:rsidP="00C64851">
      <w:pPr>
        <w:pStyle w:val="BodyText"/>
        <w:numPr>
          <w:ilvl w:val="0"/>
          <w:numId w:val="828"/>
        </w:numPr>
      </w:pPr>
      <w:r>
        <w:t>P</w:t>
      </w:r>
      <w:r w:rsidRPr="000F25DC">
        <w:t xml:space="preserve">olicy </w:t>
      </w:r>
      <w:r>
        <w:t>d</w:t>
      </w:r>
      <w:r w:rsidRPr="000F25DC">
        <w:t xml:space="preserve">evelopment and </w:t>
      </w:r>
      <w:r>
        <w:t>i</w:t>
      </w:r>
      <w:r w:rsidRPr="000F25DC">
        <w:t>mplementation</w:t>
      </w:r>
    </w:p>
    <w:p w14:paraId="6DCD71C3" w14:textId="77777777" w:rsidR="006420CB" w:rsidRPr="000F25DC" w:rsidRDefault="006420CB" w:rsidP="00C64851">
      <w:pPr>
        <w:pStyle w:val="BodyText"/>
        <w:numPr>
          <w:ilvl w:val="0"/>
          <w:numId w:val="828"/>
        </w:numPr>
      </w:pPr>
      <w:r>
        <w:t>P</w:t>
      </w:r>
      <w:r w:rsidRPr="000F25DC">
        <w:t xml:space="preserve">erformance </w:t>
      </w:r>
      <w:r>
        <w:t>m</w:t>
      </w:r>
      <w:r w:rsidRPr="000F25DC">
        <w:t xml:space="preserve">onitoring and </w:t>
      </w:r>
      <w:r>
        <w:t>a</w:t>
      </w:r>
      <w:r w:rsidRPr="000F25DC">
        <w:t>ccountability</w:t>
      </w:r>
    </w:p>
    <w:p w14:paraId="6F45695D" w14:textId="77777777" w:rsidR="006420CB" w:rsidRDefault="006420CB" w:rsidP="003853D3">
      <w:pPr>
        <w:pStyle w:val="BodyText"/>
        <w:rPr>
          <w:shd w:val="clear" w:color="auto" w:fill="FFFFFF"/>
        </w:rPr>
      </w:pPr>
      <w:r w:rsidRPr="00E30F4C">
        <w:rPr>
          <w:shd w:val="clear" w:color="auto" w:fill="FFFFFF"/>
        </w:rPr>
        <w:t xml:space="preserve">Additional information about the program </w:t>
      </w:r>
      <w:r>
        <w:rPr>
          <w:shd w:val="clear" w:color="auto" w:fill="FFFFFF"/>
        </w:rPr>
        <w:t xml:space="preserve">is available on the TWC at </w:t>
      </w:r>
      <w:hyperlink r:id="rId153" w:history="1">
        <w:r w:rsidRPr="003853D3">
          <w:rPr>
            <w:rStyle w:val="Hyperlink"/>
          </w:rPr>
          <w:t>Adult Education &amp; Literacy Program</w:t>
        </w:r>
      </w:hyperlink>
      <w:r>
        <w:rPr>
          <w:shd w:val="clear" w:color="auto" w:fill="FFFFFF"/>
        </w:rPr>
        <w:t>.</w:t>
      </w:r>
    </w:p>
    <w:p w14:paraId="61C2B5F9" w14:textId="0EDC67F0" w:rsidR="006420CB" w:rsidRPr="00E93489" w:rsidRDefault="00D433E5" w:rsidP="00D433E5">
      <w:pPr>
        <w:pStyle w:val="BodyText3"/>
        <w:ind w:left="720" w:hanging="720"/>
        <w:rPr>
          <w:rStyle w:val="HeaderChar"/>
          <w:rFonts w:ascii="Arial" w:hAnsi="Arial"/>
          <w:sz w:val="22"/>
          <w:szCs w:val="16"/>
        </w:rPr>
      </w:pPr>
      <w:r>
        <w:rPr>
          <w:rStyle w:val="HeaderChar"/>
          <w:rFonts w:ascii="Arial" w:hAnsi="Arial"/>
          <w:sz w:val="22"/>
          <w:szCs w:val="16"/>
        </w:rPr>
        <w:t>C.</w:t>
      </w:r>
      <w:r>
        <w:rPr>
          <w:rStyle w:val="HeaderChar"/>
          <w:rFonts w:ascii="Arial" w:hAnsi="Arial"/>
          <w:sz w:val="22"/>
          <w:szCs w:val="16"/>
        </w:rPr>
        <w:tab/>
      </w:r>
      <w:r w:rsidR="006420CB" w:rsidRPr="00E93489">
        <w:rPr>
          <w:rStyle w:val="HeaderChar"/>
          <w:rFonts w:ascii="Arial" w:hAnsi="Arial"/>
          <w:sz w:val="22"/>
          <w:szCs w:val="16"/>
        </w:rPr>
        <w:t xml:space="preserve">What information does the agency collect/use to assess the effectiveness and efficiency of this division or program? If applicable, briefly note any LBB performance measures (from Section II, </w:t>
      </w:r>
      <w:proofErr w:type="gramStart"/>
      <w:r w:rsidR="006420CB" w:rsidRPr="00E93489">
        <w:rPr>
          <w:rStyle w:val="HeaderChar"/>
          <w:rFonts w:ascii="Arial" w:hAnsi="Arial"/>
          <w:sz w:val="22"/>
          <w:szCs w:val="16"/>
        </w:rPr>
        <w:t>Exhibit</w:t>
      </w:r>
      <w:proofErr w:type="gramEnd"/>
      <w:r w:rsidR="006420CB" w:rsidRPr="00E93489">
        <w:rPr>
          <w:rStyle w:val="HeaderChar"/>
          <w:rFonts w:ascii="Arial" w:hAnsi="Arial"/>
          <w:sz w:val="22"/>
          <w:szCs w:val="16"/>
        </w:rP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05CBF650" w14:textId="77777777" w:rsidR="006420CB" w:rsidRPr="000F25DC" w:rsidRDefault="006420CB" w:rsidP="00D433E5">
      <w:pPr>
        <w:pStyle w:val="BodyText"/>
        <w:rPr>
          <w:spacing w:val="-8"/>
        </w:rPr>
      </w:pPr>
      <w:r w:rsidRPr="1F3B769F">
        <w:t xml:space="preserve">AEL </w:t>
      </w:r>
      <w:r>
        <w:t>grants define</w:t>
      </w:r>
      <w:r w:rsidRPr="1F3B769F">
        <w:t xml:space="preserve"> annual target enrollment and performance measures, also known as contracted measures, which grantees are required to meet each program year. </w:t>
      </w:r>
      <w:r>
        <w:t xml:space="preserve">The contracted measures </w:t>
      </w:r>
      <w:r w:rsidRPr="1F3B769F">
        <w:rPr>
          <w:spacing w:val="-8"/>
        </w:rPr>
        <w:t>are:</w:t>
      </w:r>
    </w:p>
    <w:p w14:paraId="7CB52144" w14:textId="77777777" w:rsidR="006420CB" w:rsidRPr="000F25DC" w:rsidRDefault="006420CB" w:rsidP="00C64851">
      <w:pPr>
        <w:pStyle w:val="BodyText"/>
        <w:numPr>
          <w:ilvl w:val="0"/>
          <w:numId w:val="829"/>
        </w:numPr>
        <w:rPr>
          <w:rFonts w:cstheme="minorHAnsi"/>
        </w:rPr>
      </w:pPr>
      <w:r w:rsidRPr="000F25DC">
        <w:rPr>
          <w:rFonts w:cstheme="minorHAnsi"/>
        </w:rPr>
        <w:t>Measurable</w:t>
      </w:r>
      <w:r w:rsidRPr="000F25DC">
        <w:rPr>
          <w:rFonts w:cstheme="minorHAnsi"/>
          <w:spacing w:val="-9"/>
        </w:rPr>
        <w:t xml:space="preserve"> </w:t>
      </w:r>
      <w:r w:rsidRPr="000F25DC">
        <w:rPr>
          <w:rFonts w:cstheme="minorHAnsi"/>
        </w:rPr>
        <w:t>Skills</w:t>
      </w:r>
      <w:r w:rsidRPr="000F25DC">
        <w:rPr>
          <w:rFonts w:cstheme="minorHAnsi"/>
          <w:spacing w:val="-4"/>
        </w:rPr>
        <w:t xml:space="preserve"> </w:t>
      </w:r>
      <w:r w:rsidRPr="000F25DC">
        <w:rPr>
          <w:rFonts w:cstheme="minorHAnsi"/>
        </w:rPr>
        <w:t>Gain</w:t>
      </w:r>
    </w:p>
    <w:p w14:paraId="4BCA3579" w14:textId="77777777" w:rsidR="006420CB" w:rsidRPr="000F25DC" w:rsidRDefault="006420CB" w:rsidP="00C64851">
      <w:pPr>
        <w:pStyle w:val="BodyText"/>
        <w:numPr>
          <w:ilvl w:val="0"/>
          <w:numId w:val="829"/>
        </w:numPr>
        <w:rPr>
          <w:rFonts w:cstheme="minorHAnsi"/>
        </w:rPr>
      </w:pPr>
      <w:r w:rsidRPr="000F25DC">
        <w:rPr>
          <w:rFonts w:cstheme="minorHAnsi"/>
        </w:rPr>
        <w:t>Credential</w:t>
      </w:r>
      <w:r w:rsidRPr="000F25DC">
        <w:rPr>
          <w:rFonts w:cstheme="minorHAnsi"/>
          <w:spacing w:val="-8"/>
        </w:rPr>
        <w:t xml:space="preserve"> </w:t>
      </w:r>
      <w:r w:rsidRPr="000F25DC">
        <w:rPr>
          <w:rFonts w:cstheme="minorHAnsi"/>
        </w:rPr>
        <w:t>Attainment</w:t>
      </w:r>
      <w:r w:rsidRPr="000F25DC">
        <w:rPr>
          <w:rFonts w:cstheme="minorHAnsi"/>
          <w:spacing w:val="-6"/>
        </w:rPr>
        <w:t xml:space="preserve"> </w:t>
      </w:r>
      <w:r w:rsidRPr="000F25DC">
        <w:rPr>
          <w:rFonts w:cstheme="minorHAnsi"/>
          <w:spacing w:val="-4"/>
        </w:rPr>
        <w:t>Rate</w:t>
      </w:r>
    </w:p>
    <w:p w14:paraId="277241E5" w14:textId="77777777" w:rsidR="006420CB" w:rsidRPr="000F25DC" w:rsidRDefault="006420CB" w:rsidP="00C64851">
      <w:pPr>
        <w:pStyle w:val="BodyText"/>
        <w:numPr>
          <w:ilvl w:val="0"/>
          <w:numId w:val="829"/>
        </w:numPr>
        <w:rPr>
          <w:rFonts w:cstheme="minorHAnsi"/>
        </w:rPr>
      </w:pPr>
      <w:r w:rsidRPr="000F25DC">
        <w:rPr>
          <w:rFonts w:cstheme="minorHAnsi"/>
        </w:rPr>
        <w:t>Employed</w:t>
      </w:r>
      <w:r w:rsidRPr="000F25DC">
        <w:rPr>
          <w:rFonts w:cstheme="minorHAnsi"/>
          <w:spacing w:val="-5"/>
        </w:rPr>
        <w:t xml:space="preserve"> </w:t>
      </w:r>
      <w:r w:rsidRPr="000F25DC">
        <w:rPr>
          <w:rFonts w:cstheme="minorHAnsi"/>
        </w:rPr>
        <w:t>Quarter</w:t>
      </w:r>
      <w:r w:rsidRPr="000F25DC">
        <w:rPr>
          <w:rFonts w:cstheme="minorHAnsi"/>
          <w:spacing w:val="-4"/>
        </w:rPr>
        <w:t xml:space="preserve"> </w:t>
      </w:r>
      <w:r w:rsidRPr="000F25DC">
        <w:rPr>
          <w:rFonts w:cstheme="minorHAnsi"/>
        </w:rPr>
        <w:t>2</w:t>
      </w:r>
      <w:r w:rsidRPr="000F25DC">
        <w:rPr>
          <w:rFonts w:cstheme="minorHAnsi"/>
          <w:spacing w:val="-3"/>
        </w:rPr>
        <w:t xml:space="preserve"> </w:t>
      </w:r>
      <w:r w:rsidRPr="000F25DC">
        <w:rPr>
          <w:rFonts w:cstheme="minorHAnsi"/>
        </w:rPr>
        <w:t>after</w:t>
      </w:r>
      <w:r w:rsidRPr="000F25DC">
        <w:rPr>
          <w:rFonts w:cstheme="minorHAnsi"/>
          <w:spacing w:val="-4"/>
        </w:rPr>
        <w:t xml:space="preserve"> exit</w:t>
      </w:r>
    </w:p>
    <w:p w14:paraId="6556A6FC" w14:textId="77777777" w:rsidR="006420CB" w:rsidRPr="000F25DC" w:rsidRDefault="006420CB" w:rsidP="00C64851">
      <w:pPr>
        <w:pStyle w:val="BodyText"/>
        <w:numPr>
          <w:ilvl w:val="0"/>
          <w:numId w:val="829"/>
        </w:numPr>
        <w:rPr>
          <w:rFonts w:cstheme="minorHAnsi"/>
        </w:rPr>
      </w:pPr>
      <w:r w:rsidRPr="000F25DC">
        <w:rPr>
          <w:rFonts w:cstheme="minorHAnsi"/>
        </w:rPr>
        <w:t>Employed</w:t>
      </w:r>
      <w:r w:rsidRPr="000F25DC">
        <w:rPr>
          <w:rFonts w:cstheme="minorHAnsi"/>
          <w:spacing w:val="-5"/>
        </w:rPr>
        <w:t xml:space="preserve"> </w:t>
      </w:r>
      <w:r w:rsidRPr="000F25DC">
        <w:rPr>
          <w:rFonts w:cstheme="minorHAnsi"/>
        </w:rPr>
        <w:t>Quarter</w:t>
      </w:r>
      <w:r w:rsidRPr="000F25DC">
        <w:rPr>
          <w:rFonts w:cstheme="minorHAnsi"/>
          <w:spacing w:val="-4"/>
        </w:rPr>
        <w:t xml:space="preserve"> </w:t>
      </w:r>
      <w:r w:rsidRPr="000F25DC">
        <w:rPr>
          <w:rFonts w:cstheme="minorHAnsi"/>
        </w:rPr>
        <w:t>4</w:t>
      </w:r>
      <w:r w:rsidRPr="000F25DC">
        <w:rPr>
          <w:rFonts w:cstheme="minorHAnsi"/>
          <w:spacing w:val="-3"/>
        </w:rPr>
        <w:t xml:space="preserve"> </w:t>
      </w:r>
      <w:r w:rsidRPr="000F25DC">
        <w:rPr>
          <w:rFonts w:cstheme="minorHAnsi"/>
        </w:rPr>
        <w:t>after</w:t>
      </w:r>
      <w:r w:rsidRPr="000F25DC">
        <w:rPr>
          <w:rFonts w:cstheme="minorHAnsi"/>
          <w:spacing w:val="-4"/>
        </w:rPr>
        <w:t xml:space="preserve"> exit</w:t>
      </w:r>
    </w:p>
    <w:p w14:paraId="4851059C" w14:textId="77777777" w:rsidR="006420CB" w:rsidRPr="000F25DC" w:rsidRDefault="006420CB" w:rsidP="00C64851">
      <w:pPr>
        <w:pStyle w:val="BodyText"/>
        <w:numPr>
          <w:ilvl w:val="0"/>
          <w:numId w:val="829"/>
        </w:numPr>
        <w:rPr>
          <w:rFonts w:cstheme="minorHAnsi"/>
        </w:rPr>
      </w:pPr>
      <w:r w:rsidRPr="000F25DC">
        <w:rPr>
          <w:rFonts w:cstheme="minorHAnsi"/>
        </w:rPr>
        <w:t>Median</w:t>
      </w:r>
      <w:r w:rsidRPr="000F25DC">
        <w:rPr>
          <w:rFonts w:cstheme="minorHAnsi"/>
          <w:spacing w:val="-4"/>
        </w:rPr>
        <w:t xml:space="preserve"> </w:t>
      </w:r>
      <w:r w:rsidRPr="000F25DC">
        <w:rPr>
          <w:rFonts w:cstheme="minorHAnsi"/>
          <w:spacing w:val="-2"/>
        </w:rPr>
        <w:t>Earnings</w:t>
      </w:r>
    </w:p>
    <w:p w14:paraId="6751195F" w14:textId="77777777" w:rsidR="006420CB" w:rsidRPr="000F25DC" w:rsidRDefault="006420CB" w:rsidP="00C64851">
      <w:pPr>
        <w:pStyle w:val="BodyText"/>
        <w:numPr>
          <w:ilvl w:val="0"/>
          <w:numId w:val="829"/>
        </w:numPr>
        <w:rPr>
          <w:rFonts w:cstheme="minorHAnsi"/>
        </w:rPr>
      </w:pPr>
      <w:r w:rsidRPr="000F25DC">
        <w:rPr>
          <w:rFonts w:cstheme="minorHAnsi"/>
        </w:rPr>
        <w:t>Effectiveness</w:t>
      </w:r>
      <w:r w:rsidRPr="000F25DC">
        <w:rPr>
          <w:rFonts w:cstheme="minorHAnsi"/>
          <w:spacing w:val="-5"/>
        </w:rPr>
        <w:t xml:space="preserve"> </w:t>
      </w:r>
      <w:r w:rsidRPr="000F25DC">
        <w:rPr>
          <w:rFonts w:cstheme="minorHAnsi"/>
        </w:rPr>
        <w:t>in</w:t>
      </w:r>
      <w:r w:rsidRPr="000F25DC">
        <w:rPr>
          <w:rFonts w:cstheme="minorHAnsi"/>
          <w:spacing w:val="-5"/>
        </w:rPr>
        <w:t xml:space="preserve"> </w:t>
      </w:r>
      <w:r w:rsidRPr="000F25DC">
        <w:rPr>
          <w:rFonts w:cstheme="minorHAnsi"/>
        </w:rPr>
        <w:t>Serving</w:t>
      </w:r>
      <w:r w:rsidRPr="000F25DC">
        <w:rPr>
          <w:rFonts w:cstheme="minorHAnsi"/>
          <w:spacing w:val="-5"/>
        </w:rPr>
        <w:t xml:space="preserve"> </w:t>
      </w:r>
      <w:r w:rsidRPr="000F25DC">
        <w:rPr>
          <w:rFonts w:cstheme="minorHAnsi"/>
          <w:spacing w:val="-2"/>
        </w:rPr>
        <w:t>Employers</w:t>
      </w:r>
    </w:p>
    <w:p w14:paraId="2D473A56" w14:textId="77777777" w:rsidR="006420CB" w:rsidRPr="000F25DC" w:rsidRDefault="006420CB" w:rsidP="00D433E5">
      <w:pPr>
        <w:pStyle w:val="BodyText"/>
      </w:pPr>
      <w:r w:rsidRPr="000F25DC">
        <w:t xml:space="preserve">The Legislative Budget Board also implements </w:t>
      </w:r>
      <w:r>
        <w:t>the following</w:t>
      </w:r>
      <w:r w:rsidRPr="000F25DC">
        <w:t xml:space="preserve"> </w:t>
      </w:r>
      <w:r>
        <w:t>five</w:t>
      </w:r>
      <w:r w:rsidRPr="000F25DC">
        <w:t xml:space="preserve"> targets to reflect the state’s commitment to increasing the number of students participating in career pathway programs. </w:t>
      </w:r>
    </w:p>
    <w:p w14:paraId="2095D381" w14:textId="77777777" w:rsidR="006420CB" w:rsidRDefault="006420CB" w:rsidP="00C64851">
      <w:pPr>
        <w:pStyle w:val="BodyText"/>
        <w:numPr>
          <w:ilvl w:val="0"/>
          <w:numId w:val="830"/>
        </w:numPr>
      </w:pPr>
      <w:r w:rsidRPr="00704283">
        <w:t>Percent Employed/Enrolled Quarter 2 after exit</w:t>
      </w:r>
    </w:p>
    <w:p w14:paraId="2EDFC2AC" w14:textId="77777777" w:rsidR="006420CB" w:rsidRDefault="006420CB" w:rsidP="00C64851">
      <w:pPr>
        <w:pStyle w:val="BodyText"/>
        <w:numPr>
          <w:ilvl w:val="0"/>
          <w:numId w:val="830"/>
        </w:numPr>
      </w:pPr>
      <w:r w:rsidRPr="00704283">
        <w:t>Percent Employed/Enrolled Quarter 2–4 after exit</w:t>
      </w:r>
    </w:p>
    <w:p w14:paraId="593C0CE9" w14:textId="77777777" w:rsidR="006420CB" w:rsidRDefault="006420CB" w:rsidP="00C64851">
      <w:pPr>
        <w:pStyle w:val="BodyText"/>
        <w:numPr>
          <w:ilvl w:val="0"/>
          <w:numId w:val="830"/>
        </w:numPr>
      </w:pPr>
      <w:r w:rsidRPr="00704283">
        <w:t>Credential Rate</w:t>
      </w:r>
    </w:p>
    <w:p w14:paraId="6FC82AF9" w14:textId="77777777" w:rsidR="006420CB" w:rsidRDefault="006420CB" w:rsidP="00C64851">
      <w:pPr>
        <w:pStyle w:val="BodyText"/>
        <w:numPr>
          <w:ilvl w:val="0"/>
          <w:numId w:val="830"/>
        </w:numPr>
      </w:pPr>
      <w:r w:rsidRPr="00704283">
        <w:t>Participants served – AEL</w:t>
      </w:r>
    </w:p>
    <w:p w14:paraId="6D25749C" w14:textId="77777777" w:rsidR="006420CB" w:rsidRDefault="006420CB" w:rsidP="00C64851">
      <w:pPr>
        <w:pStyle w:val="BodyText"/>
        <w:numPr>
          <w:ilvl w:val="0"/>
          <w:numId w:val="830"/>
        </w:numPr>
      </w:pPr>
      <w:r w:rsidRPr="00650D5C">
        <w:lastRenderedPageBreak/>
        <w:t>Participants Served – AEL Career Pathways</w:t>
      </w:r>
    </w:p>
    <w:p w14:paraId="426C5A3A" w14:textId="77777777" w:rsidR="006420CB" w:rsidRPr="001D48C7" w:rsidRDefault="006420CB" w:rsidP="00D433E5">
      <w:pPr>
        <w:pStyle w:val="BodyText"/>
        <w:rPr>
          <w:spacing w:val="-2"/>
        </w:rPr>
      </w:pPr>
      <w:r w:rsidRPr="000A58F3">
        <w:t>Additionally, the Average Coster per Participant Served is tracked and reported.</w:t>
      </w:r>
      <w:r>
        <w:t xml:space="preserve"> </w:t>
      </w:r>
      <w:r w:rsidRPr="001D48C7">
        <w:t>Refer</w:t>
      </w:r>
      <w:r w:rsidRPr="001D48C7">
        <w:rPr>
          <w:spacing w:val="-6"/>
        </w:rPr>
        <w:t xml:space="preserve"> </w:t>
      </w:r>
      <w:r w:rsidRPr="001D48C7">
        <w:t>to</w:t>
      </w:r>
      <w:r w:rsidRPr="001D48C7">
        <w:rPr>
          <w:spacing w:val="-4"/>
        </w:rPr>
        <w:t xml:space="preserve"> </w:t>
      </w:r>
      <w:r w:rsidRPr="001D48C7">
        <w:t>Section</w:t>
      </w:r>
      <w:r w:rsidRPr="001D48C7">
        <w:rPr>
          <w:spacing w:val="-4"/>
        </w:rPr>
        <w:t xml:space="preserve"> </w:t>
      </w:r>
      <w:r w:rsidRPr="001D48C7">
        <w:t>II,</w:t>
      </w:r>
      <w:r w:rsidRPr="001D48C7">
        <w:rPr>
          <w:spacing w:val="-4"/>
        </w:rPr>
        <w:t xml:space="preserve"> </w:t>
      </w:r>
      <w:r w:rsidRPr="001D48C7">
        <w:t>Exhibit</w:t>
      </w:r>
      <w:r w:rsidRPr="001D48C7">
        <w:rPr>
          <w:spacing w:val="-5"/>
        </w:rPr>
        <w:t xml:space="preserve"> </w:t>
      </w:r>
      <w:r w:rsidRPr="001D48C7">
        <w:t>2</w:t>
      </w:r>
      <w:r w:rsidRPr="001D48C7">
        <w:rPr>
          <w:spacing w:val="-2"/>
        </w:rPr>
        <w:t xml:space="preserve"> </w:t>
      </w:r>
      <w:r w:rsidRPr="001D48C7">
        <w:t>for</w:t>
      </w:r>
      <w:r w:rsidRPr="001D48C7">
        <w:rPr>
          <w:spacing w:val="-5"/>
        </w:rPr>
        <w:t xml:space="preserve"> </w:t>
      </w:r>
      <w:r w:rsidRPr="001D48C7">
        <w:t>actual</w:t>
      </w:r>
      <w:r w:rsidRPr="001D48C7">
        <w:rPr>
          <w:spacing w:val="-4"/>
        </w:rPr>
        <w:t xml:space="preserve"> </w:t>
      </w:r>
      <w:r w:rsidRPr="001D48C7">
        <w:t>program</w:t>
      </w:r>
      <w:r w:rsidRPr="001D48C7">
        <w:rPr>
          <w:spacing w:val="-5"/>
        </w:rPr>
        <w:t xml:space="preserve"> </w:t>
      </w:r>
      <w:r w:rsidRPr="001D48C7">
        <w:t>performance</w:t>
      </w:r>
      <w:r w:rsidRPr="001D48C7">
        <w:rPr>
          <w:spacing w:val="-2"/>
        </w:rPr>
        <w:t xml:space="preserve"> outcomes.</w:t>
      </w:r>
    </w:p>
    <w:p w14:paraId="51CE333E" w14:textId="77777777" w:rsidR="006420CB" w:rsidRPr="000F25DC" w:rsidRDefault="006420CB" w:rsidP="00D433E5">
      <w:pPr>
        <w:pStyle w:val="BodyText"/>
        <w:rPr>
          <w:rFonts w:asciiTheme="minorHAnsi" w:hAnsiTheme="minorHAnsi" w:cstheme="minorHAnsi"/>
          <w:color w:val="0562C1"/>
          <w:sz w:val="24"/>
          <w:szCs w:val="24"/>
        </w:rPr>
      </w:pPr>
      <w:r w:rsidRPr="000F25DC">
        <w:rPr>
          <w:rFonts w:asciiTheme="minorHAnsi" w:hAnsiTheme="minorHAnsi" w:cstheme="minorHAnsi"/>
          <w:sz w:val="24"/>
          <w:szCs w:val="24"/>
        </w:rPr>
        <w:t xml:space="preserve">Definitions of these measures can be found in the </w:t>
      </w:r>
      <w:hyperlink r:id="rId154">
        <w:r w:rsidRPr="000F25DC">
          <w:rPr>
            <w:rFonts w:asciiTheme="minorHAnsi" w:hAnsiTheme="minorHAnsi" w:cstheme="minorHAnsi"/>
            <w:color w:val="0562C1"/>
            <w:sz w:val="24"/>
            <w:szCs w:val="24"/>
            <w:u w:val="single"/>
          </w:rPr>
          <w:t>Performance Guide</w:t>
        </w:r>
      </w:hyperlink>
      <w:r w:rsidRPr="00424E9B">
        <w:rPr>
          <w:rFonts w:asciiTheme="minorHAnsi" w:hAnsiTheme="minorHAnsi" w:cstheme="minorHAnsi"/>
          <w:sz w:val="24"/>
          <w:szCs w:val="24"/>
        </w:rPr>
        <w:t>.</w:t>
      </w:r>
    </w:p>
    <w:p w14:paraId="6E90B8FF" w14:textId="77777777" w:rsidR="006420CB" w:rsidRPr="00D433E5" w:rsidRDefault="006420CB" w:rsidP="00D433E5">
      <w:pPr>
        <w:pStyle w:val="BodyText"/>
      </w:pPr>
      <w:r w:rsidRPr="00D433E5">
        <w:t xml:space="preserve">TWC prepares and submits an outcomes-based report, as required each biennium under Rider 44, to the Texas Legislature. The most recent report can be found in the </w:t>
      </w:r>
      <w:hyperlink r:id="rId155" w:history="1">
        <w:r w:rsidRPr="000F65D4">
          <w:rPr>
            <w:rStyle w:val="Hyperlink"/>
          </w:rPr>
          <w:t>Adult Education and Literacy Outcomes Report to the Texas Legislature for FY 2024</w:t>
        </w:r>
      </w:hyperlink>
      <w:r w:rsidRPr="000F65D4">
        <w:rPr>
          <w:rStyle w:val="Hyperlink"/>
        </w:rPr>
        <w:t>.</w:t>
      </w:r>
      <w:r w:rsidRPr="00D433E5">
        <w:t xml:space="preserve"> </w:t>
      </w:r>
    </w:p>
    <w:p w14:paraId="411608EC" w14:textId="77777777" w:rsidR="006420CB" w:rsidRPr="000F65D4" w:rsidRDefault="006420CB" w:rsidP="000F65D4">
      <w:pPr>
        <w:pStyle w:val="BodyText"/>
      </w:pPr>
      <w:r w:rsidRPr="000F65D4">
        <w:t xml:space="preserve">The program's FY 2024 achievements highlighting its effectiveness are outlined and described in the </w:t>
      </w:r>
      <w:hyperlink r:id="rId156" w:tgtFrame="_blank" w:history="1">
        <w:r w:rsidRPr="000F65D4">
          <w:rPr>
            <w:rStyle w:val="Hyperlink"/>
          </w:rPr>
          <w:t>AEL Strategic Plan Progress Report FY 2024</w:t>
        </w:r>
      </w:hyperlink>
      <w:r w:rsidRPr="000F65D4">
        <w:t xml:space="preserve">. </w:t>
      </w:r>
    </w:p>
    <w:p w14:paraId="76C94151" w14:textId="77777777" w:rsidR="006420CB" w:rsidRPr="000F25DC" w:rsidRDefault="006420CB" w:rsidP="000F65D4">
      <w:pPr>
        <w:pStyle w:val="BodyText"/>
      </w:pPr>
      <w:r w:rsidRPr="000F25DC">
        <w:t>TWC submit</w:t>
      </w:r>
      <w:r>
        <w:t>s</w:t>
      </w:r>
      <w:r w:rsidRPr="000F25DC">
        <w:t xml:space="preserve"> the required</w:t>
      </w:r>
      <w:r>
        <w:t xml:space="preserve"> annual performance report for Texas</w:t>
      </w:r>
      <w:r w:rsidRPr="000F25DC">
        <w:rPr>
          <w:color w:val="0562C1"/>
        </w:rPr>
        <w:t xml:space="preserve"> </w:t>
      </w:r>
      <w:r w:rsidRPr="000F25DC">
        <w:t xml:space="preserve">to the </w:t>
      </w:r>
      <w:r>
        <w:t xml:space="preserve">federal </w:t>
      </w:r>
      <w:r w:rsidRPr="000F25DC">
        <w:t>Office of Career,</w:t>
      </w:r>
      <w:r w:rsidRPr="000F25DC">
        <w:rPr>
          <w:spacing w:val="-7"/>
        </w:rPr>
        <w:t xml:space="preserve"> </w:t>
      </w:r>
      <w:r w:rsidRPr="000F25DC">
        <w:t>Technical,</w:t>
      </w:r>
      <w:r w:rsidRPr="000F25DC">
        <w:rPr>
          <w:spacing w:val="-7"/>
        </w:rPr>
        <w:t xml:space="preserve"> </w:t>
      </w:r>
      <w:r w:rsidRPr="000F25DC">
        <w:t>and</w:t>
      </w:r>
      <w:r w:rsidRPr="000F25DC">
        <w:rPr>
          <w:spacing w:val="-5"/>
        </w:rPr>
        <w:t xml:space="preserve"> </w:t>
      </w:r>
      <w:r w:rsidRPr="000F25DC">
        <w:t>Adult</w:t>
      </w:r>
      <w:r w:rsidRPr="000F25DC">
        <w:rPr>
          <w:spacing w:val="-4"/>
        </w:rPr>
        <w:t xml:space="preserve"> </w:t>
      </w:r>
      <w:r w:rsidRPr="000F25DC">
        <w:t>Education</w:t>
      </w:r>
      <w:r w:rsidRPr="000F25DC">
        <w:rPr>
          <w:spacing w:val="-8"/>
        </w:rPr>
        <w:t xml:space="preserve"> </w:t>
      </w:r>
      <w:r w:rsidRPr="000F25DC">
        <w:t>(OCTAE).</w:t>
      </w:r>
      <w:r w:rsidRPr="000F25DC">
        <w:rPr>
          <w:spacing w:val="-7"/>
        </w:rPr>
        <w:t xml:space="preserve"> </w:t>
      </w:r>
      <w:r>
        <w:rPr>
          <w:spacing w:val="-7"/>
        </w:rPr>
        <w:t xml:space="preserve">The </w:t>
      </w:r>
      <w:hyperlink r:id="rId157" w:history="1">
        <w:r w:rsidRPr="000F65D4">
          <w:rPr>
            <w:rStyle w:val="Hyperlink"/>
          </w:rPr>
          <w:t>Statewide Performance Report - WIOA Title II Adult Education Program PY 2023-24</w:t>
        </w:r>
      </w:hyperlink>
      <w:r>
        <w:t xml:space="preserve"> </w:t>
      </w:r>
      <w:r w:rsidRPr="000F25DC">
        <w:t>breaks</w:t>
      </w:r>
      <w:r w:rsidRPr="000F25DC">
        <w:rPr>
          <w:spacing w:val="-4"/>
        </w:rPr>
        <w:t xml:space="preserve"> </w:t>
      </w:r>
      <w:r w:rsidRPr="000F25DC">
        <w:t>down</w:t>
      </w:r>
      <w:r w:rsidRPr="000F25DC">
        <w:rPr>
          <w:spacing w:val="-8"/>
        </w:rPr>
        <w:t xml:space="preserve"> </w:t>
      </w:r>
      <w:r w:rsidRPr="000F25DC">
        <w:t>the</w:t>
      </w:r>
      <w:r w:rsidRPr="000F25DC">
        <w:rPr>
          <w:spacing w:val="-6"/>
        </w:rPr>
        <w:t xml:space="preserve"> </w:t>
      </w:r>
      <w:r w:rsidRPr="000F25DC">
        <w:t>performance</w:t>
      </w:r>
      <w:r w:rsidRPr="000F25DC">
        <w:rPr>
          <w:spacing w:val="-6"/>
        </w:rPr>
        <w:t xml:space="preserve"> </w:t>
      </w:r>
      <w:r w:rsidRPr="000F25DC">
        <w:t>for</w:t>
      </w:r>
      <w:r w:rsidRPr="000F25DC">
        <w:rPr>
          <w:spacing w:val="-9"/>
        </w:rPr>
        <w:t xml:space="preserve"> </w:t>
      </w:r>
      <w:r w:rsidRPr="000F25DC">
        <w:t>WIOA</w:t>
      </w:r>
      <w:r w:rsidRPr="000F25DC">
        <w:rPr>
          <w:spacing w:val="-7"/>
        </w:rPr>
        <w:t xml:space="preserve"> </w:t>
      </w:r>
      <w:r w:rsidRPr="000F25DC">
        <w:t>Title II</w:t>
      </w:r>
      <w:r>
        <w:t xml:space="preserve"> Adult Education Programs</w:t>
      </w:r>
      <w:r w:rsidRPr="000F25DC">
        <w:t xml:space="preserve"> based on total information and participant characteristic demographics required to be tracked</w:t>
      </w:r>
      <w:r>
        <w:t>.</w:t>
      </w:r>
    </w:p>
    <w:p w14:paraId="060C7727" w14:textId="6A82145C" w:rsidR="006420CB" w:rsidRPr="00054CA1" w:rsidRDefault="0041026F" w:rsidP="0041026F">
      <w:pPr>
        <w:pStyle w:val="BodyText3"/>
        <w:ind w:left="720" w:hanging="720"/>
      </w:pPr>
      <w:r>
        <w:t>D.</w:t>
      </w:r>
      <w:r>
        <w:tab/>
      </w:r>
      <w:r w:rsidR="006420CB" w:rsidRPr="00054CA1">
        <w:t>Describe</w:t>
      </w:r>
      <w:r w:rsidR="006420CB" w:rsidRPr="00054CA1">
        <w:rPr>
          <w:spacing w:val="-14"/>
        </w:rPr>
        <w:t xml:space="preserve"> </w:t>
      </w:r>
      <w:r w:rsidR="006420CB" w:rsidRPr="00054CA1">
        <w:t>any</w:t>
      </w:r>
      <w:r w:rsidR="006420CB" w:rsidRPr="00054CA1">
        <w:rPr>
          <w:spacing w:val="-14"/>
        </w:rPr>
        <w:t xml:space="preserve"> </w:t>
      </w:r>
      <w:r w:rsidR="006420CB" w:rsidRPr="00054CA1">
        <w:t>important</w:t>
      </w:r>
      <w:r w:rsidR="006420CB" w:rsidRPr="00054CA1">
        <w:rPr>
          <w:spacing w:val="-13"/>
        </w:rPr>
        <w:t xml:space="preserve"> </w:t>
      </w:r>
      <w:r w:rsidR="006420CB" w:rsidRPr="00054CA1">
        <w:t>history</w:t>
      </w:r>
      <w:r w:rsidR="006420CB" w:rsidRPr="00054CA1">
        <w:rPr>
          <w:spacing w:val="-14"/>
        </w:rPr>
        <w:t xml:space="preserve"> </w:t>
      </w:r>
      <w:r w:rsidR="006420CB" w:rsidRPr="00054CA1">
        <w:t>regarding</w:t>
      </w:r>
      <w:r w:rsidR="006420CB" w:rsidRPr="00054CA1">
        <w:rPr>
          <w:spacing w:val="-13"/>
        </w:rPr>
        <w:t xml:space="preserve"> </w:t>
      </w:r>
      <w:r w:rsidR="006420CB" w:rsidRPr="00054CA1">
        <w:t>this</w:t>
      </w:r>
      <w:r w:rsidR="006420CB" w:rsidRPr="00054CA1">
        <w:rPr>
          <w:spacing w:val="-14"/>
        </w:rPr>
        <w:t xml:space="preserve"> </w:t>
      </w:r>
      <w:r w:rsidR="006420CB" w:rsidRPr="00054CA1">
        <w:t>division</w:t>
      </w:r>
      <w:r w:rsidR="006420CB" w:rsidRPr="00054CA1">
        <w:rPr>
          <w:spacing w:val="-13"/>
        </w:rPr>
        <w:t xml:space="preserve"> </w:t>
      </w:r>
      <w:r w:rsidR="006420CB" w:rsidRPr="00054CA1">
        <w:t>or</w:t>
      </w:r>
      <w:r w:rsidR="006420CB" w:rsidRPr="00054CA1">
        <w:rPr>
          <w:spacing w:val="-14"/>
        </w:rPr>
        <w:t xml:space="preserve"> </w:t>
      </w:r>
      <w:r w:rsidR="006420CB" w:rsidRPr="00054CA1">
        <w:t>program</w:t>
      </w:r>
      <w:r w:rsidR="006420CB" w:rsidRPr="00054CA1">
        <w:rPr>
          <w:spacing w:val="-14"/>
        </w:rPr>
        <w:t xml:space="preserve"> </w:t>
      </w:r>
      <w:r w:rsidR="006420CB" w:rsidRPr="00054CA1">
        <w:t>not</w:t>
      </w:r>
      <w:r w:rsidR="006420CB" w:rsidRPr="00054CA1">
        <w:rPr>
          <w:spacing w:val="-13"/>
        </w:rPr>
        <w:t xml:space="preserve"> </w:t>
      </w:r>
      <w:r w:rsidR="006420CB" w:rsidRPr="00054CA1">
        <w:t>included</w:t>
      </w:r>
      <w:r w:rsidR="006420CB" w:rsidRPr="00054CA1">
        <w:rPr>
          <w:spacing w:val="-14"/>
        </w:rPr>
        <w:t xml:space="preserve"> </w:t>
      </w:r>
      <w:r w:rsidR="006420CB" w:rsidRPr="00054CA1">
        <w:t>in</w:t>
      </w:r>
      <w:r w:rsidR="006420CB" w:rsidRPr="00054CA1">
        <w:rPr>
          <w:spacing w:val="-13"/>
        </w:rPr>
        <w:t xml:space="preserve"> </w:t>
      </w:r>
      <w:r w:rsidR="006420CB" w:rsidRPr="00054CA1">
        <w:t>the</w:t>
      </w:r>
      <w:r w:rsidR="006420CB" w:rsidRPr="00054CA1">
        <w:rPr>
          <w:spacing w:val="-14"/>
        </w:rPr>
        <w:t xml:space="preserve"> </w:t>
      </w:r>
      <w:r w:rsidR="006420CB" w:rsidRPr="00054CA1">
        <w:t>general agency history section, including</w:t>
      </w:r>
      <w:r w:rsidR="006420CB" w:rsidRPr="00054CA1">
        <w:rPr>
          <w:spacing w:val="-1"/>
        </w:rPr>
        <w:t xml:space="preserve"> </w:t>
      </w:r>
      <w:r w:rsidR="006420CB" w:rsidRPr="00054CA1">
        <w:t>how the</w:t>
      </w:r>
      <w:r w:rsidR="006420CB" w:rsidRPr="00054CA1">
        <w:rPr>
          <w:spacing w:val="-1"/>
        </w:rPr>
        <w:t xml:space="preserve"> </w:t>
      </w:r>
      <w:r w:rsidR="006420CB" w:rsidRPr="00054CA1">
        <w:t>functions or services have changed over time. If the response to Section III of this report is sufficient, please leave this section blank.</w:t>
      </w:r>
    </w:p>
    <w:p w14:paraId="2743D050" w14:textId="77777777" w:rsidR="006420CB" w:rsidRPr="000F25DC" w:rsidRDefault="006420CB" w:rsidP="0041026F">
      <w:pPr>
        <w:pStyle w:val="BodyText"/>
      </w:pPr>
      <w:r w:rsidRPr="000F25DC">
        <w:t>On</w:t>
      </w:r>
      <w:r w:rsidRPr="000F25DC">
        <w:rPr>
          <w:spacing w:val="-13"/>
        </w:rPr>
        <w:t xml:space="preserve"> </w:t>
      </w:r>
      <w:r w:rsidRPr="000F25DC">
        <w:t>May</w:t>
      </w:r>
      <w:r w:rsidRPr="000F25DC">
        <w:rPr>
          <w:spacing w:val="-12"/>
        </w:rPr>
        <w:t xml:space="preserve"> </w:t>
      </w:r>
      <w:r w:rsidRPr="000F25DC">
        <w:t>18,</w:t>
      </w:r>
      <w:r w:rsidRPr="000F25DC">
        <w:rPr>
          <w:spacing w:val="-11"/>
        </w:rPr>
        <w:t xml:space="preserve"> </w:t>
      </w:r>
      <w:r w:rsidRPr="000F25DC">
        <w:t>2013,</w:t>
      </w:r>
      <w:r w:rsidRPr="000F25DC">
        <w:rPr>
          <w:spacing w:val="-11"/>
        </w:rPr>
        <w:t xml:space="preserve"> </w:t>
      </w:r>
      <w:r w:rsidRPr="000F25DC">
        <w:t>Gov</w:t>
      </w:r>
      <w:r>
        <w:t>ernor</w:t>
      </w:r>
      <w:r w:rsidRPr="000F25DC">
        <w:rPr>
          <w:spacing w:val="-13"/>
        </w:rPr>
        <w:t xml:space="preserve"> </w:t>
      </w:r>
      <w:r w:rsidRPr="000F25DC">
        <w:t>Perry</w:t>
      </w:r>
      <w:r w:rsidRPr="000F25DC">
        <w:rPr>
          <w:spacing w:val="-10"/>
        </w:rPr>
        <w:t xml:space="preserve"> </w:t>
      </w:r>
      <w:r w:rsidRPr="000F25DC">
        <w:t>signed</w:t>
      </w:r>
      <w:r w:rsidRPr="000F25DC">
        <w:rPr>
          <w:spacing w:val="-12"/>
        </w:rPr>
        <w:t xml:space="preserve"> </w:t>
      </w:r>
      <w:r w:rsidRPr="000F25DC">
        <w:t>Senate</w:t>
      </w:r>
      <w:r w:rsidRPr="000F25DC">
        <w:rPr>
          <w:spacing w:val="-13"/>
        </w:rPr>
        <w:t xml:space="preserve"> </w:t>
      </w:r>
      <w:r w:rsidRPr="000F25DC">
        <w:t>Bill</w:t>
      </w:r>
      <w:r w:rsidRPr="000F25DC">
        <w:rPr>
          <w:spacing w:val="-11"/>
        </w:rPr>
        <w:t xml:space="preserve"> </w:t>
      </w:r>
      <w:r w:rsidRPr="000F25DC">
        <w:t>307,</w:t>
      </w:r>
      <w:r w:rsidRPr="000F25DC">
        <w:rPr>
          <w:spacing w:val="-11"/>
        </w:rPr>
        <w:t xml:space="preserve"> </w:t>
      </w:r>
      <w:r w:rsidRPr="000F25DC">
        <w:t>which</w:t>
      </w:r>
      <w:r w:rsidRPr="000F25DC">
        <w:rPr>
          <w:spacing w:val="-12"/>
        </w:rPr>
        <w:t xml:space="preserve"> </w:t>
      </w:r>
      <w:r w:rsidRPr="000F25DC">
        <w:t>transferred</w:t>
      </w:r>
      <w:r w:rsidRPr="000F25DC">
        <w:rPr>
          <w:spacing w:val="-12"/>
        </w:rPr>
        <w:t xml:space="preserve"> </w:t>
      </w:r>
      <w:r w:rsidRPr="000F25DC">
        <w:t>the</w:t>
      </w:r>
      <w:r w:rsidRPr="000F25DC">
        <w:rPr>
          <w:spacing w:val="-11"/>
        </w:rPr>
        <w:t xml:space="preserve"> </w:t>
      </w:r>
      <w:r w:rsidRPr="000F25DC">
        <w:t>Adult</w:t>
      </w:r>
      <w:r w:rsidRPr="000F25DC">
        <w:rPr>
          <w:spacing w:val="-11"/>
        </w:rPr>
        <w:t xml:space="preserve"> </w:t>
      </w:r>
      <w:r w:rsidRPr="000F25DC">
        <w:t>Education</w:t>
      </w:r>
      <w:r w:rsidRPr="000F25DC">
        <w:rPr>
          <w:spacing w:val="-12"/>
        </w:rPr>
        <w:t xml:space="preserve"> </w:t>
      </w:r>
      <w:r w:rsidRPr="000F25DC">
        <w:t>and</w:t>
      </w:r>
      <w:r w:rsidRPr="000F25DC">
        <w:rPr>
          <w:spacing w:val="-12"/>
        </w:rPr>
        <w:t xml:space="preserve"> </w:t>
      </w:r>
      <w:r w:rsidRPr="000F25DC">
        <w:t xml:space="preserve">Family Literacy programs from </w:t>
      </w:r>
      <w:r>
        <w:t>TEA</w:t>
      </w:r>
      <w:r w:rsidRPr="000F25DC">
        <w:t xml:space="preserve"> to TWC. Key requirements of </w:t>
      </w:r>
      <w:r w:rsidRPr="008117C2">
        <w:t>the legislation</w:t>
      </w:r>
      <w:r w:rsidRPr="000F25DC">
        <w:t xml:space="preserve"> included:</w:t>
      </w:r>
    </w:p>
    <w:p w14:paraId="6F9B48ED" w14:textId="77777777" w:rsidR="006420CB" w:rsidRPr="000F25DC" w:rsidRDefault="006420CB" w:rsidP="00C64851">
      <w:pPr>
        <w:pStyle w:val="BodyText"/>
        <w:numPr>
          <w:ilvl w:val="0"/>
          <w:numId w:val="831"/>
        </w:numPr>
      </w:pPr>
      <w:r>
        <w:t>U</w:t>
      </w:r>
      <w:r w:rsidRPr="000F25DC">
        <w:t>tilizing</w:t>
      </w:r>
      <w:r w:rsidRPr="000F25DC">
        <w:rPr>
          <w:spacing w:val="-5"/>
        </w:rPr>
        <w:t xml:space="preserve"> </w:t>
      </w:r>
      <w:r w:rsidRPr="000F25DC">
        <w:t>a</w:t>
      </w:r>
      <w:r w:rsidRPr="000F25DC">
        <w:rPr>
          <w:spacing w:val="-4"/>
        </w:rPr>
        <w:t xml:space="preserve"> </w:t>
      </w:r>
      <w:r w:rsidRPr="000F25DC">
        <w:t>competitive</w:t>
      </w:r>
      <w:r w:rsidRPr="000F25DC">
        <w:rPr>
          <w:spacing w:val="-6"/>
        </w:rPr>
        <w:t xml:space="preserve"> </w:t>
      </w:r>
      <w:r w:rsidRPr="000F25DC">
        <w:t>procurement</w:t>
      </w:r>
      <w:r w:rsidRPr="000F25DC">
        <w:rPr>
          <w:spacing w:val="-3"/>
        </w:rPr>
        <w:t xml:space="preserve"> </w:t>
      </w:r>
      <w:r w:rsidRPr="000F25DC">
        <w:t>process</w:t>
      </w:r>
      <w:r w:rsidRPr="000F25DC">
        <w:rPr>
          <w:spacing w:val="-5"/>
        </w:rPr>
        <w:t xml:space="preserve"> </w:t>
      </w:r>
      <w:r w:rsidRPr="000F25DC">
        <w:t>to</w:t>
      </w:r>
      <w:r w:rsidRPr="000F25DC">
        <w:rPr>
          <w:spacing w:val="-5"/>
        </w:rPr>
        <w:t xml:space="preserve"> </w:t>
      </w:r>
      <w:r w:rsidRPr="000F25DC">
        <w:t>award</w:t>
      </w:r>
      <w:r w:rsidRPr="000F25DC">
        <w:rPr>
          <w:spacing w:val="-8"/>
        </w:rPr>
        <w:t xml:space="preserve"> </w:t>
      </w:r>
      <w:r w:rsidRPr="000F25DC">
        <w:t>contracts</w:t>
      </w:r>
      <w:r w:rsidRPr="000F25DC">
        <w:rPr>
          <w:spacing w:val="-4"/>
        </w:rPr>
        <w:t xml:space="preserve"> </w:t>
      </w:r>
      <w:r w:rsidRPr="000F25DC">
        <w:t>to</w:t>
      </w:r>
      <w:r w:rsidRPr="000F25DC">
        <w:rPr>
          <w:spacing w:val="-3"/>
        </w:rPr>
        <w:t xml:space="preserve"> </w:t>
      </w:r>
      <w:r w:rsidRPr="000F25DC">
        <w:t>local</w:t>
      </w:r>
      <w:r w:rsidRPr="000F25DC">
        <w:rPr>
          <w:spacing w:val="-7"/>
        </w:rPr>
        <w:t xml:space="preserve"> </w:t>
      </w:r>
      <w:r w:rsidRPr="000F25DC">
        <w:t>service</w:t>
      </w:r>
      <w:r w:rsidRPr="000F25DC">
        <w:rPr>
          <w:spacing w:val="-5"/>
        </w:rPr>
        <w:t xml:space="preserve"> </w:t>
      </w:r>
      <w:r w:rsidRPr="000F25DC">
        <w:rPr>
          <w:spacing w:val="-2"/>
        </w:rPr>
        <w:t>providers</w:t>
      </w:r>
      <w:r>
        <w:rPr>
          <w:spacing w:val="-2"/>
        </w:rPr>
        <w:t>.</w:t>
      </w:r>
    </w:p>
    <w:p w14:paraId="3349B152" w14:textId="77777777" w:rsidR="006420CB" w:rsidRPr="000F25DC" w:rsidRDefault="006420CB" w:rsidP="00C64851">
      <w:pPr>
        <w:pStyle w:val="BodyText"/>
        <w:numPr>
          <w:ilvl w:val="0"/>
          <w:numId w:val="831"/>
        </w:numPr>
      </w:pPr>
      <w:r>
        <w:t>C</w:t>
      </w:r>
      <w:r w:rsidRPr="000F25DC">
        <w:t>reating</w:t>
      </w:r>
      <w:r w:rsidRPr="000F25DC">
        <w:rPr>
          <w:spacing w:val="-6"/>
        </w:rPr>
        <w:t xml:space="preserve"> </w:t>
      </w:r>
      <w:r w:rsidRPr="000F25DC">
        <w:t>an</w:t>
      </w:r>
      <w:r w:rsidRPr="000F25DC">
        <w:rPr>
          <w:spacing w:val="-6"/>
        </w:rPr>
        <w:t xml:space="preserve"> </w:t>
      </w:r>
      <w:r w:rsidRPr="000F25DC">
        <w:t>AEL</w:t>
      </w:r>
      <w:r w:rsidRPr="000F25DC">
        <w:rPr>
          <w:spacing w:val="-4"/>
        </w:rPr>
        <w:t xml:space="preserve"> </w:t>
      </w:r>
      <w:r w:rsidRPr="000F25DC">
        <w:t>advisory</w:t>
      </w:r>
      <w:r w:rsidRPr="000F25DC">
        <w:rPr>
          <w:spacing w:val="-4"/>
        </w:rPr>
        <w:t xml:space="preserve"> </w:t>
      </w:r>
      <w:r w:rsidRPr="000F25DC">
        <w:t>committee</w:t>
      </w:r>
      <w:r>
        <w:t>.</w:t>
      </w:r>
    </w:p>
    <w:p w14:paraId="2D246F22" w14:textId="77777777" w:rsidR="006420CB" w:rsidRPr="000F25DC" w:rsidRDefault="006420CB" w:rsidP="00C64851">
      <w:pPr>
        <w:pStyle w:val="BodyText"/>
        <w:numPr>
          <w:ilvl w:val="0"/>
          <w:numId w:val="831"/>
        </w:numPr>
      </w:pPr>
      <w:r>
        <w:t>R</w:t>
      </w:r>
      <w:r w:rsidRPr="000F25DC">
        <w:t>eporting to the Legislature biennially on the education and employment outcomes of students in the adult education and literacy programs.</w:t>
      </w:r>
    </w:p>
    <w:p w14:paraId="69C824BF" w14:textId="77777777" w:rsidR="006420CB" w:rsidRPr="0041026F" w:rsidRDefault="006420CB" w:rsidP="0041026F">
      <w:pPr>
        <w:pStyle w:val="BodyText"/>
      </w:pPr>
      <w:r w:rsidRPr="0041026F">
        <w:t xml:space="preserve">The transfer of the program aligned to the federal adoption of WIOA, which required Adult Education and Family Literacy programs to be a core partner alongside Workforce and Vocational Rehabilitation programs. </w:t>
      </w:r>
    </w:p>
    <w:p w14:paraId="3E369279" w14:textId="4F93148B" w:rsidR="006420CB" w:rsidRPr="0041026F" w:rsidRDefault="006420CB" w:rsidP="0041026F">
      <w:pPr>
        <w:pStyle w:val="BodyText"/>
      </w:pPr>
      <w:r w:rsidRPr="0041026F">
        <w:t xml:space="preserve">After the transfer and completion of rulemaking for the AEL program, TWC held its first solicitation for grant awards in 2013, which was the first AEL grant solicitation in 10 years. Current TWC Rule §805.41 requires a multiyear grant award, and when considering a renewal, the Commission shall </w:t>
      </w:r>
      <w:proofErr w:type="gramStart"/>
      <w:r w:rsidRPr="0041026F">
        <w:t>take into account</w:t>
      </w:r>
      <w:proofErr w:type="gramEnd"/>
      <w:r w:rsidRPr="0041026F">
        <w:t xml:space="preserve"> performance and other factors. TWC held solicitations in 2014, 2018, and 2023. OCTAE provides states with technical assistance on </w:t>
      </w:r>
      <w:r w:rsidRPr="0041026F">
        <w:lastRenderedPageBreak/>
        <w:t xml:space="preserve">this topic in the </w:t>
      </w:r>
      <w:hyperlink r:id="rId158">
        <w:r w:rsidRPr="0041026F">
          <w:t>Determining Applicant Eligibility When Conducting</w:t>
        </w:r>
      </w:hyperlink>
      <w:r w:rsidRPr="0041026F">
        <w:t xml:space="preserve"> </w:t>
      </w:r>
      <w:hyperlink r:id="rId159">
        <w:r w:rsidRPr="0041026F">
          <w:t>a State Solicitation for Adult Education and Family Literacy Act Funds Technical Assistance Guide</w:t>
        </w:r>
      </w:hyperlink>
      <w:r w:rsidRPr="0041026F">
        <w:t>. Requiring the demonstration of past effectiveness helps the grant solicitation attract high-quality applicants, which was a priority when AEL was transferred to TWC.</w:t>
      </w:r>
    </w:p>
    <w:p w14:paraId="4E9DF2B0" w14:textId="5AAB3EAD" w:rsidR="006420CB" w:rsidRPr="0041026F" w:rsidRDefault="006420CB" w:rsidP="0041026F">
      <w:pPr>
        <w:pStyle w:val="BodyText"/>
      </w:pPr>
      <w:r w:rsidRPr="0041026F">
        <w:t xml:space="preserve">On March 20, 2025, the President signed an Executive Order eliminating the U.S. Department of Education. As of July 2025, </w:t>
      </w:r>
      <w:proofErr w:type="gramStart"/>
      <w:r w:rsidRPr="0041026F">
        <w:t>future plans</w:t>
      </w:r>
      <w:proofErr w:type="gramEnd"/>
      <w:r w:rsidRPr="0041026F">
        <w:t xml:space="preserve"> for the Department have not been shared with state workforce agencies.</w:t>
      </w:r>
    </w:p>
    <w:p w14:paraId="1C7435C3" w14:textId="165B2702" w:rsidR="006420CB" w:rsidRDefault="001129B3" w:rsidP="001129B3">
      <w:pPr>
        <w:pStyle w:val="BodyText3"/>
        <w:ind w:left="720" w:hanging="720"/>
      </w:pPr>
      <w:r>
        <w:t>E.</w:t>
      </w:r>
      <w:r>
        <w:tab/>
      </w:r>
      <w:r w:rsidR="006420CB" w:rsidRPr="000F25DC">
        <w:t>List any qualifications or eligibility requirements for persons or entities affected by this division or program (e.g., licensees, consumers, and landowners). Provide a statistical breakdown of persons or entities affected.</w:t>
      </w:r>
    </w:p>
    <w:p w14:paraId="61EAD4E1" w14:textId="77777777" w:rsidR="006420CB" w:rsidRPr="001129B3" w:rsidRDefault="006420CB" w:rsidP="001129B3">
      <w:pPr>
        <w:pStyle w:val="BodyText"/>
      </w:pPr>
      <w:r w:rsidRPr="001129B3">
        <w:t>The eligible population to be served consists of an individual who is a legal resident of the United States, has attained 16 years of age and who is not enrolled or required to be enrolled in secondary school under state law and who:</w:t>
      </w:r>
    </w:p>
    <w:p w14:paraId="08F59728" w14:textId="77777777" w:rsidR="006420CB" w:rsidRPr="000F25DC" w:rsidRDefault="006420CB" w:rsidP="00C64851">
      <w:pPr>
        <w:pStyle w:val="BodyText"/>
        <w:numPr>
          <w:ilvl w:val="0"/>
          <w:numId w:val="832"/>
        </w:numPr>
      </w:pPr>
      <w:proofErr w:type="gramStart"/>
      <w:r>
        <w:t>I</w:t>
      </w:r>
      <w:r w:rsidRPr="000F25DC">
        <w:t>s</w:t>
      </w:r>
      <w:proofErr w:type="gramEnd"/>
      <w:r w:rsidRPr="000F25DC">
        <w:rPr>
          <w:spacing w:val="-4"/>
        </w:rPr>
        <w:t xml:space="preserve"> </w:t>
      </w:r>
      <w:r w:rsidRPr="000F25DC">
        <w:t>basic</w:t>
      </w:r>
      <w:r w:rsidRPr="000F25DC">
        <w:rPr>
          <w:spacing w:val="-4"/>
        </w:rPr>
        <w:t xml:space="preserve"> </w:t>
      </w:r>
      <w:r w:rsidRPr="000F25DC">
        <w:t>skills</w:t>
      </w:r>
      <w:r w:rsidRPr="000F25DC">
        <w:rPr>
          <w:spacing w:val="-6"/>
        </w:rPr>
        <w:t xml:space="preserve"> </w:t>
      </w:r>
      <w:r w:rsidRPr="000F25DC">
        <w:t>deficient</w:t>
      </w:r>
      <w:r>
        <w:rPr>
          <w:spacing w:val="-2"/>
        </w:rPr>
        <w:t>.</w:t>
      </w:r>
    </w:p>
    <w:p w14:paraId="50B47DB9" w14:textId="77777777" w:rsidR="006420CB" w:rsidRPr="000F25DC" w:rsidRDefault="006420CB" w:rsidP="00C64851">
      <w:pPr>
        <w:pStyle w:val="BodyText"/>
        <w:numPr>
          <w:ilvl w:val="0"/>
          <w:numId w:val="832"/>
        </w:numPr>
      </w:pPr>
      <w:r>
        <w:t>D</w:t>
      </w:r>
      <w:r w:rsidRPr="000F25DC">
        <w:t>oes</w:t>
      </w:r>
      <w:r w:rsidRPr="000F25DC">
        <w:rPr>
          <w:spacing w:val="3"/>
        </w:rPr>
        <w:t xml:space="preserve"> </w:t>
      </w:r>
      <w:r w:rsidRPr="000F25DC">
        <w:t>not have a</w:t>
      </w:r>
      <w:r w:rsidRPr="000F25DC">
        <w:rPr>
          <w:spacing w:val="2"/>
        </w:rPr>
        <w:t xml:space="preserve"> </w:t>
      </w:r>
      <w:r w:rsidRPr="000F25DC">
        <w:t>secondary</w:t>
      </w:r>
      <w:r w:rsidRPr="000F25DC">
        <w:rPr>
          <w:spacing w:val="3"/>
        </w:rPr>
        <w:t xml:space="preserve"> </w:t>
      </w:r>
      <w:r w:rsidRPr="000F25DC">
        <w:t>school</w:t>
      </w:r>
      <w:r w:rsidRPr="000F25DC">
        <w:rPr>
          <w:spacing w:val="4"/>
        </w:rPr>
        <w:t xml:space="preserve"> </w:t>
      </w:r>
      <w:r w:rsidRPr="000F25DC">
        <w:t>diploma</w:t>
      </w:r>
      <w:r w:rsidRPr="000F25DC">
        <w:rPr>
          <w:spacing w:val="2"/>
        </w:rPr>
        <w:t xml:space="preserve"> </w:t>
      </w:r>
      <w:r w:rsidRPr="000F25DC">
        <w:t>or</w:t>
      </w:r>
      <w:r w:rsidRPr="000F25DC">
        <w:rPr>
          <w:spacing w:val="4"/>
        </w:rPr>
        <w:t xml:space="preserve"> </w:t>
      </w:r>
      <w:r w:rsidRPr="000F25DC">
        <w:t>its</w:t>
      </w:r>
      <w:r w:rsidRPr="000F25DC">
        <w:rPr>
          <w:spacing w:val="4"/>
        </w:rPr>
        <w:t xml:space="preserve"> </w:t>
      </w:r>
      <w:r w:rsidRPr="000F25DC">
        <w:t>recognized</w:t>
      </w:r>
      <w:r w:rsidRPr="000F25DC">
        <w:rPr>
          <w:spacing w:val="4"/>
        </w:rPr>
        <w:t xml:space="preserve"> </w:t>
      </w:r>
      <w:r w:rsidRPr="000F25DC">
        <w:t>equivalent and</w:t>
      </w:r>
      <w:r w:rsidRPr="000F25DC">
        <w:rPr>
          <w:spacing w:val="4"/>
        </w:rPr>
        <w:t xml:space="preserve"> </w:t>
      </w:r>
      <w:r w:rsidRPr="000F25DC">
        <w:t>has not achieved</w:t>
      </w:r>
      <w:r w:rsidRPr="000F25DC">
        <w:rPr>
          <w:spacing w:val="4"/>
        </w:rPr>
        <w:t xml:space="preserve"> </w:t>
      </w:r>
      <w:r w:rsidRPr="000F25DC">
        <w:rPr>
          <w:spacing w:val="-5"/>
        </w:rPr>
        <w:t>an</w:t>
      </w:r>
      <w:r w:rsidRPr="000F25DC">
        <w:t xml:space="preserve"> equivalent</w:t>
      </w:r>
      <w:r w:rsidRPr="000F25DC">
        <w:rPr>
          <w:spacing w:val="-6"/>
        </w:rPr>
        <w:t xml:space="preserve"> </w:t>
      </w:r>
      <w:r w:rsidRPr="000F25DC">
        <w:t>level</w:t>
      </w:r>
      <w:r w:rsidRPr="000F25DC">
        <w:rPr>
          <w:spacing w:val="-7"/>
        </w:rPr>
        <w:t xml:space="preserve"> </w:t>
      </w:r>
      <w:r w:rsidRPr="000F25DC">
        <w:t>of</w:t>
      </w:r>
      <w:r w:rsidRPr="000F25DC">
        <w:rPr>
          <w:spacing w:val="-4"/>
        </w:rPr>
        <w:t xml:space="preserve"> </w:t>
      </w:r>
      <w:r w:rsidRPr="000F25DC">
        <w:t>education</w:t>
      </w:r>
      <w:r>
        <w:t>,</w:t>
      </w:r>
      <w:r w:rsidRPr="000F25DC">
        <w:rPr>
          <w:spacing w:val="-5"/>
        </w:rPr>
        <w:t xml:space="preserve"> or</w:t>
      </w:r>
    </w:p>
    <w:p w14:paraId="3747F1C8" w14:textId="77777777" w:rsidR="006420CB" w:rsidRPr="000F25DC" w:rsidRDefault="006420CB" w:rsidP="00C64851">
      <w:pPr>
        <w:pStyle w:val="BodyText"/>
        <w:numPr>
          <w:ilvl w:val="0"/>
          <w:numId w:val="832"/>
        </w:numPr>
      </w:pPr>
      <w:r>
        <w:t>I</w:t>
      </w:r>
      <w:r w:rsidRPr="000F25DC">
        <w:t>s</w:t>
      </w:r>
      <w:r w:rsidRPr="000F25DC">
        <w:rPr>
          <w:spacing w:val="-4"/>
        </w:rPr>
        <w:t xml:space="preserve"> </w:t>
      </w:r>
      <w:r w:rsidRPr="000F25DC">
        <w:t>an</w:t>
      </w:r>
      <w:r w:rsidRPr="000F25DC">
        <w:rPr>
          <w:spacing w:val="-4"/>
        </w:rPr>
        <w:t xml:space="preserve"> </w:t>
      </w:r>
      <w:r w:rsidRPr="000F25DC">
        <w:t>English</w:t>
      </w:r>
      <w:r w:rsidRPr="000F25DC">
        <w:rPr>
          <w:spacing w:val="-4"/>
        </w:rPr>
        <w:t xml:space="preserve"> </w:t>
      </w:r>
      <w:r w:rsidRPr="000F25DC">
        <w:t>language</w:t>
      </w:r>
      <w:r w:rsidRPr="000F25DC">
        <w:rPr>
          <w:spacing w:val="-2"/>
        </w:rPr>
        <w:t xml:space="preserve"> learner.</w:t>
      </w:r>
    </w:p>
    <w:p w14:paraId="5E135BBF" w14:textId="77777777" w:rsidR="006420CB" w:rsidRPr="00CA38FD" w:rsidRDefault="006420CB" w:rsidP="00CA38FD">
      <w:pPr>
        <w:pStyle w:val="BodyText"/>
      </w:pPr>
      <w:r w:rsidRPr="00CA38FD">
        <w:t xml:space="preserve">Each of these eligibility criteria indicates that the individual needs academic supports—whether to increase numeracy or literacy skills or improve English fluency—to attain an educational or employment goal. Therefore, service providers provide all AEL participants basic skills instruction in math, reading, writing, and/or English. </w:t>
      </w:r>
    </w:p>
    <w:p w14:paraId="27B3A347" w14:textId="77777777" w:rsidR="006420CB" w:rsidRPr="00CA38FD" w:rsidRDefault="006420CB" w:rsidP="00CA38FD">
      <w:pPr>
        <w:pStyle w:val="BodyText"/>
      </w:pPr>
      <w:r w:rsidRPr="00CA38FD">
        <w:t xml:space="preserve">A comprehensive report – </w:t>
      </w:r>
      <w:hyperlink r:id="rId160">
        <w:r w:rsidRPr="00CA38FD">
          <w:rPr>
            <w:rStyle w:val="Hyperlink"/>
          </w:rPr>
          <w:t>Adult Education in Texas: A Demographic Study</w:t>
        </w:r>
      </w:hyperlink>
      <w:r w:rsidRPr="00CA38FD">
        <w:t xml:space="preserve"> – published by the Texas Workforce Investment Council (TWIC) in December 2024 indicates that 20.7 percent of the Texas population over the age of 16 met the federal definition to qualify for AEL services. Texas' population in need of AEL services has slightly decreased since the previous report in 2018, from 4,807,600 in 2018 to 4,700,115 in 2024.</w:t>
      </w:r>
    </w:p>
    <w:p w14:paraId="53EEA6F1" w14:textId="7056B1D5" w:rsidR="006420CB" w:rsidRPr="000F25DC" w:rsidRDefault="00147805" w:rsidP="00147805">
      <w:pPr>
        <w:pStyle w:val="BodyText3"/>
        <w:ind w:left="720" w:hanging="720"/>
      </w:pPr>
      <w:r>
        <w:t>F.</w:t>
      </w:r>
      <w:r>
        <w:tab/>
      </w:r>
      <w:r w:rsidR="006420CB" w:rsidRPr="000F25DC">
        <w:t xml:space="preserve">Describe how the division or program is administered, including a description of key processes </w:t>
      </w:r>
      <w:r w:rsidR="006420CB" w:rsidRPr="000C13EF">
        <w:t>involved</w:t>
      </w:r>
      <w:r w:rsidR="006420CB" w:rsidRPr="000F25DC">
        <w:t>. If you have existing documentation (e.g., flowcharts, timelines, and other illustrations)</w:t>
      </w:r>
      <w:r w:rsidR="006420CB" w:rsidRPr="000F25DC">
        <w:rPr>
          <w:spacing w:val="-3"/>
        </w:rPr>
        <w:t xml:space="preserve"> </w:t>
      </w:r>
      <w:r w:rsidR="006420CB" w:rsidRPr="000F25DC">
        <w:t>to</w:t>
      </w:r>
      <w:r w:rsidR="006420CB" w:rsidRPr="000F25DC">
        <w:rPr>
          <w:spacing w:val="-2"/>
        </w:rPr>
        <w:t xml:space="preserve"> </w:t>
      </w:r>
      <w:r w:rsidR="006420CB" w:rsidRPr="000F25DC">
        <w:t>describe</w:t>
      </w:r>
      <w:r w:rsidR="006420CB" w:rsidRPr="000F25DC">
        <w:rPr>
          <w:spacing w:val="-6"/>
        </w:rPr>
        <w:t xml:space="preserve"> </w:t>
      </w:r>
      <w:r w:rsidR="006420CB" w:rsidRPr="000F25DC">
        <w:t>agency</w:t>
      </w:r>
      <w:r w:rsidR="006420CB" w:rsidRPr="000F25DC">
        <w:rPr>
          <w:spacing w:val="-3"/>
        </w:rPr>
        <w:t xml:space="preserve"> </w:t>
      </w:r>
      <w:r w:rsidR="006420CB" w:rsidRPr="000F25DC">
        <w:t>policies</w:t>
      </w:r>
      <w:r w:rsidR="006420CB" w:rsidRPr="000F25DC">
        <w:rPr>
          <w:spacing w:val="-2"/>
        </w:rPr>
        <w:t xml:space="preserve"> </w:t>
      </w:r>
      <w:r w:rsidR="006420CB" w:rsidRPr="000F25DC">
        <w:t>and</w:t>
      </w:r>
      <w:r w:rsidR="006420CB" w:rsidRPr="000F25DC">
        <w:rPr>
          <w:spacing w:val="-2"/>
        </w:rPr>
        <w:t xml:space="preserve"> </w:t>
      </w:r>
      <w:r w:rsidR="006420CB" w:rsidRPr="000F25DC">
        <w:t>procedures,</w:t>
      </w:r>
      <w:r w:rsidR="006420CB" w:rsidRPr="000F25DC">
        <w:rPr>
          <w:spacing w:val="-2"/>
        </w:rPr>
        <w:t xml:space="preserve"> </w:t>
      </w:r>
      <w:r w:rsidR="006420CB" w:rsidRPr="000F25DC">
        <w:t>please</w:t>
      </w:r>
      <w:r w:rsidR="006420CB" w:rsidRPr="000F25DC">
        <w:rPr>
          <w:spacing w:val="-3"/>
        </w:rPr>
        <w:t xml:space="preserve"> </w:t>
      </w:r>
      <w:r w:rsidR="006420CB" w:rsidRPr="000F25DC">
        <w:t>include</w:t>
      </w:r>
      <w:r w:rsidR="006420CB" w:rsidRPr="000F25DC">
        <w:rPr>
          <w:spacing w:val="-3"/>
        </w:rPr>
        <w:t xml:space="preserve"> </w:t>
      </w:r>
      <w:r w:rsidR="006420CB" w:rsidRPr="000F25DC">
        <w:t>them</w:t>
      </w:r>
      <w:r w:rsidR="006420CB" w:rsidRPr="000F25DC">
        <w:rPr>
          <w:spacing w:val="-3"/>
        </w:rPr>
        <w:t xml:space="preserve"> </w:t>
      </w:r>
      <w:r w:rsidR="006420CB" w:rsidRPr="000F25DC">
        <w:t>as</w:t>
      </w:r>
      <w:r w:rsidR="006420CB" w:rsidRPr="000F25DC">
        <w:rPr>
          <w:spacing w:val="-2"/>
        </w:rPr>
        <w:t xml:space="preserve"> </w:t>
      </w:r>
      <w:r w:rsidR="006420CB" w:rsidRPr="000F25DC">
        <w:t>attachments. Indicate how field/regional services are used, if applicable.</w:t>
      </w:r>
    </w:p>
    <w:p w14:paraId="32C59042" w14:textId="77777777" w:rsidR="006420CB" w:rsidRPr="000F25DC" w:rsidRDefault="006420CB" w:rsidP="00147805">
      <w:pPr>
        <w:pStyle w:val="BodyText"/>
      </w:pPr>
      <w:r w:rsidRPr="000F25DC">
        <w:t>TWC</w:t>
      </w:r>
      <w:r>
        <w:t>’s</w:t>
      </w:r>
      <w:r w:rsidRPr="000F25DC">
        <w:t xml:space="preserve"> AEL department administers adult education and literacy programs by:</w:t>
      </w:r>
    </w:p>
    <w:p w14:paraId="603C03EC" w14:textId="77777777" w:rsidR="006420CB" w:rsidRPr="00A93584" w:rsidRDefault="006420CB" w:rsidP="00C64851">
      <w:pPr>
        <w:pStyle w:val="BodyText"/>
        <w:numPr>
          <w:ilvl w:val="0"/>
          <w:numId w:val="833"/>
        </w:numPr>
      </w:pPr>
      <w:r>
        <w:t>D</w:t>
      </w:r>
      <w:r w:rsidRPr="00A93584">
        <w:t>eveloping policy for adult education and literacy services</w:t>
      </w:r>
      <w:r>
        <w:t>.</w:t>
      </w:r>
    </w:p>
    <w:p w14:paraId="796F6DAA" w14:textId="77777777" w:rsidR="006420CB" w:rsidRPr="00A93584" w:rsidRDefault="006420CB" w:rsidP="00C64851">
      <w:pPr>
        <w:pStyle w:val="BodyText"/>
        <w:numPr>
          <w:ilvl w:val="0"/>
          <w:numId w:val="833"/>
        </w:numPr>
      </w:pPr>
      <w:r>
        <w:lastRenderedPageBreak/>
        <w:t>I</w:t>
      </w:r>
      <w:r w:rsidRPr="00A93584">
        <w:t>nterpreting and implementing the requirements of state and federal statutes and regulations governing AEL</w:t>
      </w:r>
      <w:r>
        <w:t>.</w:t>
      </w:r>
    </w:p>
    <w:p w14:paraId="42CF1967" w14:textId="77777777" w:rsidR="006420CB" w:rsidRPr="00A93584" w:rsidRDefault="006420CB" w:rsidP="00C64851">
      <w:pPr>
        <w:pStyle w:val="BodyText"/>
        <w:numPr>
          <w:ilvl w:val="0"/>
          <w:numId w:val="833"/>
        </w:numPr>
      </w:pPr>
      <w:r>
        <w:t>A</w:t>
      </w:r>
      <w:r w:rsidRPr="00A93584">
        <w:t>llocating and competitively awarding funds for the provision of AEL services</w:t>
      </w:r>
      <w:r>
        <w:t>.</w:t>
      </w:r>
    </w:p>
    <w:p w14:paraId="1E0E6DFF" w14:textId="77777777" w:rsidR="006420CB" w:rsidRPr="00A93584" w:rsidRDefault="006420CB" w:rsidP="00C64851">
      <w:pPr>
        <w:pStyle w:val="BodyText"/>
        <w:numPr>
          <w:ilvl w:val="0"/>
          <w:numId w:val="833"/>
        </w:numPr>
      </w:pPr>
      <w:r>
        <w:t>P</w:t>
      </w:r>
      <w:r w:rsidRPr="00A93584">
        <w:t>roviding technical assistance</w:t>
      </w:r>
      <w:r>
        <w:t>.</w:t>
      </w:r>
    </w:p>
    <w:p w14:paraId="2A9E807E" w14:textId="77777777" w:rsidR="006420CB" w:rsidRPr="00A93584" w:rsidRDefault="006420CB" w:rsidP="00C64851">
      <w:pPr>
        <w:pStyle w:val="BodyText"/>
        <w:numPr>
          <w:ilvl w:val="0"/>
          <w:numId w:val="833"/>
        </w:numPr>
      </w:pPr>
      <w:r>
        <w:t>E</w:t>
      </w:r>
      <w:r w:rsidRPr="00A93584">
        <w:t>stablishing performance targets aligning adult education and literacy programs with other programs and services within the Texas workforce system.</w:t>
      </w:r>
    </w:p>
    <w:p w14:paraId="23186D79" w14:textId="77777777" w:rsidR="006420CB" w:rsidRPr="000F25DC" w:rsidRDefault="006420CB" w:rsidP="006E2CD4">
      <w:pPr>
        <w:pStyle w:val="BodyText"/>
      </w:pPr>
      <w:r w:rsidRPr="000F25DC">
        <w:t>The</w:t>
      </w:r>
      <w:r w:rsidRPr="000F25DC">
        <w:rPr>
          <w:spacing w:val="-1"/>
        </w:rPr>
        <w:t xml:space="preserve"> </w:t>
      </w:r>
      <w:r w:rsidRPr="000F25DC">
        <w:t>TWC AEL</w:t>
      </w:r>
      <w:r w:rsidRPr="000F25DC">
        <w:rPr>
          <w:spacing w:val="-2"/>
        </w:rPr>
        <w:t xml:space="preserve"> </w:t>
      </w:r>
      <w:r w:rsidRPr="000F25DC">
        <w:t>department works with other</w:t>
      </w:r>
      <w:r w:rsidRPr="000F25DC">
        <w:rPr>
          <w:spacing w:val="-1"/>
        </w:rPr>
        <w:t xml:space="preserve"> </w:t>
      </w:r>
      <w:r w:rsidRPr="000F25DC">
        <w:t>TWC</w:t>
      </w:r>
      <w:r w:rsidRPr="000F25DC">
        <w:rPr>
          <w:spacing w:val="-2"/>
        </w:rPr>
        <w:t xml:space="preserve"> </w:t>
      </w:r>
      <w:r w:rsidRPr="000F25DC">
        <w:t>departments</w:t>
      </w:r>
      <w:r w:rsidRPr="000F25DC">
        <w:rPr>
          <w:spacing w:val="-2"/>
        </w:rPr>
        <w:t xml:space="preserve"> </w:t>
      </w:r>
      <w:r w:rsidRPr="000F25DC">
        <w:t>as well as</w:t>
      </w:r>
      <w:r w:rsidRPr="000F25DC">
        <w:rPr>
          <w:spacing w:val="-2"/>
        </w:rPr>
        <w:t xml:space="preserve"> </w:t>
      </w:r>
      <w:r w:rsidRPr="000F25DC">
        <w:t>external</w:t>
      </w:r>
      <w:r w:rsidRPr="000F25DC">
        <w:rPr>
          <w:spacing w:val="-1"/>
        </w:rPr>
        <w:t xml:space="preserve"> </w:t>
      </w:r>
      <w:r w:rsidRPr="000F25DC">
        <w:t>contractors</w:t>
      </w:r>
      <w:r w:rsidRPr="000F25DC">
        <w:rPr>
          <w:spacing w:val="-2"/>
        </w:rPr>
        <w:t xml:space="preserve"> </w:t>
      </w:r>
      <w:r w:rsidRPr="000F25DC">
        <w:t>to provide statewide service delivery of the AEL program through its vast network of AEL grantees/providers. Collaborating TWC divisions and departments include:</w:t>
      </w:r>
    </w:p>
    <w:p w14:paraId="7B2C7C11" w14:textId="77777777" w:rsidR="006420CB" w:rsidRPr="000F25DC" w:rsidRDefault="006420CB" w:rsidP="00C64851">
      <w:pPr>
        <w:pStyle w:val="BodyText"/>
        <w:numPr>
          <w:ilvl w:val="0"/>
          <w:numId w:val="834"/>
        </w:numPr>
      </w:pPr>
      <w:r w:rsidRPr="000F25DC">
        <w:t>Workforce</w:t>
      </w:r>
      <w:r w:rsidRPr="000F25DC">
        <w:rPr>
          <w:spacing w:val="-1"/>
        </w:rPr>
        <w:t xml:space="preserve"> </w:t>
      </w:r>
      <w:r w:rsidRPr="000F25DC">
        <w:rPr>
          <w:spacing w:val="-2"/>
        </w:rPr>
        <w:t>Grants</w:t>
      </w:r>
    </w:p>
    <w:p w14:paraId="74A09275" w14:textId="77777777" w:rsidR="006420CB" w:rsidRPr="000F25DC" w:rsidRDefault="006420CB" w:rsidP="00C64851">
      <w:pPr>
        <w:pStyle w:val="BodyText"/>
        <w:numPr>
          <w:ilvl w:val="0"/>
          <w:numId w:val="834"/>
        </w:numPr>
      </w:pPr>
      <w:r w:rsidRPr="000F25DC">
        <w:t>Information</w:t>
      </w:r>
      <w:r w:rsidRPr="000F25DC">
        <w:rPr>
          <w:spacing w:val="-5"/>
        </w:rPr>
        <w:t xml:space="preserve"> </w:t>
      </w:r>
      <w:r w:rsidRPr="000F25DC">
        <w:t>Technology</w:t>
      </w:r>
    </w:p>
    <w:p w14:paraId="4F1F7D20" w14:textId="77777777" w:rsidR="006420CB" w:rsidRPr="000F25DC" w:rsidRDefault="006420CB" w:rsidP="00C64851">
      <w:pPr>
        <w:pStyle w:val="BodyText"/>
        <w:numPr>
          <w:ilvl w:val="0"/>
          <w:numId w:val="834"/>
        </w:numPr>
      </w:pPr>
      <w:r w:rsidRPr="000F25DC">
        <w:t>Information,</w:t>
      </w:r>
      <w:r w:rsidRPr="000F25DC">
        <w:rPr>
          <w:spacing w:val="-4"/>
        </w:rPr>
        <w:t xml:space="preserve"> </w:t>
      </w:r>
      <w:r w:rsidRPr="000F25DC">
        <w:t>Innovation</w:t>
      </w:r>
      <w:r w:rsidRPr="000F25DC">
        <w:rPr>
          <w:spacing w:val="-5"/>
        </w:rPr>
        <w:t xml:space="preserve"> </w:t>
      </w:r>
      <w:r w:rsidRPr="000F25DC">
        <w:t>and Insight</w:t>
      </w:r>
    </w:p>
    <w:p w14:paraId="061020C0" w14:textId="77777777" w:rsidR="006420CB" w:rsidRPr="000F25DC" w:rsidRDefault="006420CB" w:rsidP="00C64851">
      <w:pPr>
        <w:pStyle w:val="BodyText"/>
        <w:numPr>
          <w:ilvl w:val="0"/>
          <w:numId w:val="834"/>
        </w:numPr>
      </w:pPr>
      <w:r w:rsidRPr="000F25DC">
        <w:t>Office</w:t>
      </w:r>
      <w:r w:rsidRPr="000F25DC">
        <w:rPr>
          <w:spacing w:val="-1"/>
        </w:rPr>
        <w:t xml:space="preserve"> </w:t>
      </w:r>
      <w:r w:rsidRPr="000F25DC">
        <w:t>of</w:t>
      </w:r>
      <w:r w:rsidRPr="000F25DC">
        <w:rPr>
          <w:spacing w:val="1"/>
        </w:rPr>
        <w:t xml:space="preserve"> </w:t>
      </w:r>
      <w:r w:rsidRPr="000F25DC">
        <w:t>General</w:t>
      </w:r>
      <w:r w:rsidRPr="000F25DC">
        <w:rPr>
          <w:spacing w:val="-3"/>
        </w:rPr>
        <w:t xml:space="preserve"> </w:t>
      </w:r>
      <w:r w:rsidRPr="000F25DC">
        <w:rPr>
          <w:spacing w:val="-2"/>
        </w:rPr>
        <w:t>Counsel</w:t>
      </w:r>
    </w:p>
    <w:p w14:paraId="33C51D59" w14:textId="77777777" w:rsidR="006420CB" w:rsidRPr="000F25DC" w:rsidRDefault="006420CB" w:rsidP="00C64851">
      <w:pPr>
        <w:pStyle w:val="BodyText"/>
        <w:numPr>
          <w:ilvl w:val="0"/>
          <w:numId w:val="834"/>
        </w:numPr>
      </w:pPr>
      <w:r w:rsidRPr="000F25DC">
        <w:t>Finance</w:t>
      </w:r>
    </w:p>
    <w:p w14:paraId="2C03B0A1" w14:textId="77777777" w:rsidR="006420CB" w:rsidRPr="000F25DC" w:rsidRDefault="006420CB" w:rsidP="00C64851">
      <w:pPr>
        <w:pStyle w:val="BodyText"/>
        <w:numPr>
          <w:ilvl w:val="0"/>
          <w:numId w:val="834"/>
        </w:numPr>
      </w:pPr>
      <w:r w:rsidRPr="000F25DC">
        <w:t>Fraud</w:t>
      </w:r>
      <w:r w:rsidRPr="000F25DC">
        <w:rPr>
          <w:spacing w:val="-3"/>
        </w:rPr>
        <w:t xml:space="preserve"> </w:t>
      </w:r>
      <w:r w:rsidRPr="000F25DC">
        <w:t>Deterrence and</w:t>
      </w:r>
      <w:r w:rsidRPr="000F25DC">
        <w:rPr>
          <w:spacing w:val="-3"/>
        </w:rPr>
        <w:t xml:space="preserve"> </w:t>
      </w:r>
      <w:r w:rsidRPr="000F25DC">
        <w:t>Compliance</w:t>
      </w:r>
      <w:r w:rsidRPr="000F25DC">
        <w:rPr>
          <w:spacing w:val="-2"/>
        </w:rPr>
        <w:t xml:space="preserve"> </w:t>
      </w:r>
      <w:r w:rsidRPr="000F25DC">
        <w:t>Monitoring</w:t>
      </w:r>
    </w:p>
    <w:p w14:paraId="0CEF44E3" w14:textId="77777777" w:rsidR="006420CB" w:rsidRPr="00AF6623" w:rsidRDefault="006420CB" w:rsidP="00AF6623">
      <w:pPr>
        <w:pStyle w:val="BodyText"/>
        <w:rPr>
          <w:b/>
          <w:bCs/>
        </w:rPr>
      </w:pPr>
      <w:r w:rsidRPr="00AF6623">
        <w:rPr>
          <w:b/>
          <w:bCs/>
        </w:rPr>
        <w:t>External Contractors</w:t>
      </w:r>
    </w:p>
    <w:p w14:paraId="52328258" w14:textId="07F2D150" w:rsidR="006420CB" w:rsidRPr="000F25DC" w:rsidRDefault="006420CB" w:rsidP="00AF6623">
      <w:pPr>
        <w:pStyle w:val="BodyText"/>
      </w:pPr>
      <w:r w:rsidRPr="000F25DC">
        <w:t>Using federal discretionary funds, TWC also contracts with several entities to supplement the state’s technical assistance approach. Below are a few of the state’s targeted initiatives that support</w:t>
      </w:r>
      <w:r w:rsidRPr="000F25DC">
        <w:rPr>
          <w:spacing w:val="-6"/>
        </w:rPr>
        <w:t xml:space="preserve"> </w:t>
      </w:r>
      <w:r w:rsidRPr="000F25DC">
        <w:t>a</w:t>
      </w:r>
      <w:r w:rsidRPr="000F25DC">
        <w:rPr>
          <w:spacing w:val="-5"/>
        </w:rPr>
        <w:t xml:space="preserve"> </w:t>
      </w:r>
      <w:r w:rsidRPr="000F25DC">
        <w:t>robust</w:t>
      </w:r>
      <w:r w:rsidRPr="000F25DC">
        <w:rPr>
          <w:spacing w:val="-4"/>
        </w:rPr>
        <w:t xml:space="preserve"> </w:t>
      </w:r>
      <w:r w:rsidRPr="000F25DC">
        <w:t>and</w:t>
      </w:r>
      <w:r w:rsidRPr="000F25DC">
        <w:rPr>
          <w:spacing w:val="-4"/>
        </w:rPr>
        <w:t xml:space="preserve"> </w:t>
      </w:r>
      <w:r w:rsidRPr="000F25DC">
        <w:t>informed</w:t>
      </w:r>
      <w:r w:rsidRPr="000F25DC">
        <w:rPr>
          <w:spacing w:val="-6"/>
        </w:rPr>
        <w:t xml:space="preserve"> </w:t>
      </w:r>
      <w:r w:rsidRPr="000F25DC">
        <w:t>system</w:t>
      </w:r>
      <w:r w:rsidRPr="000F25DC">
        <w:rPr>
          <w:spacing w:val="-7"/>
        </w:rPr>
        <w:t xml:space="preserve"> </w:t>
      </w:r>
      <w:r w:rsidRPr="000F25DC">
        <w:t>of</w:t>
      </w:r>
      <w:r w:rsidRPr="000F25DC">
        <w:rPr>
          <w:spacing w:val="-4"/>
        </w:rPr>
        <w:t xml:space="preserve"> </w:t>
      </w:r>
      <w:r w:rsidRPr="000F25DC">
        <w:t>service</w:t>
      </w:r>
      <w:r w:rsidRPr="000F25DC">
        <w:rPr>
          <w:spacing w:val="-4"/>
        </w:rPr>
        <w:t xml:space="preserve"> </w:t>
      </w:r>
      <w:r w:rsidRPr="000F25DC">
        <w:t>providers</w:t>
      </w:r>
      <w:r w:rsidRPr="000F25DC">
        <w:rPr>
          <w:spacing w:val="-5"/>
        </w:rPr>
        <w:t xml:space="preserve"> </w:t>
      </w:r>
      <w:r w:rsidRPr="000F25DC">
        <w:t>across</w:t>
      </w:r>
      <w:r w:rsidRPr="000F25DC">
        <w:rPr>
          <w:spacing w:val="-8"/>
        </w:rPr>
        <w:t xml:space="preserve"> </w:t>
      </w:r>
      <w:r w:rsidRPr="000F25DC">
        <w:t>the</w:t>
      </w:r>
      <w:r w:rsidRPr="000F25DC">
        <w:rPr>
          <w:spacing w:val="-7"/>
        </w:rPr>
        <w:t xml:space="preserve"> </w:t>
      </w:r>
      <w:r w:rsidRPr="000F25DC">
        <w:t>state.</w:t>
      </w:r>
      <w:r w:rsidRPr="000F25DC">
        <w:rPr>
          <w:spacing w:val="-6"/>
        </w:rPr>
        <w:t xml:space="preserve"> </w:t>
      </w:r>
      <w:r w:rsidRPr="000F25DC">
        <w:t>Each</w:t>
      </w:r>
      <w:r w:rsidRPr="000F25DC">
        <w:rPr>
          <w:spacing w:val="-4"/>
        </w:rPr>
        <w:t xml:space="preserve"> </w:t>
      </w:r>
      <w:r w:rsidRPr="000F25DC">
        <w:t>initiative</w:t>
      </w:r>
      <w:r w:rsidRPr="000F25DC">
        <w:rPr>
          <w:spacing w:val="-4"/>
        </w:rPr>
        <w:t xml:space="preserve"> </w:t>
      </w:r>
      <w:r w:rsidRPr="000F25DC">
        <w:t>is reprocured at least every five years.</w:t>
      </w:r>
    </w:p>
    <w:tbl>
      <w:tblPr>
        <w:tblStyle w:val="TableGrid1"/>
        <w:tblW w:w="8970" w:type="dxa"/>
        <w:tblCellMar>
          <w:top w:w="58" w:type="dxa"/>
          <w:bottom w:w="58" w:type="dxa"/>
        </w:tblCellMar>
        <w:tblLook w:val="04A0" w:firstRow="1" w:lastRow="0" w:firstColumn="1" w:lastColumn="0" w:noHBand="0" w:noVBand="1"/>
      </w:tblPr>
      <w:tblGrid>
        <w:gridCol w:w="4485"/>
        <w:gridCol w:w="4485"/>
      </w:tblGrid>
      <w:tr w:rsidR="006420CB" w:rsidRPr="000F25DC" w14:paraId="73424BEE" w14:textId="77777777" w:rsidTr="00F60605">
        <w:trPr>
          <w:trHeight w:val="300"/>
          <w:tblHeader/>
        </w:trPr>
        <w:tc>
          <w:tcPr>
            <w:tcW w:w="4485" w:type="dxa"/>
            <w:shd w:val="clear" w:color="auto" w:fill="B8CCE4" w:themeFill="accent1" w:themeFillTint="66"/>
            <w:vAlign w:val="center"/>
            <w:hideMark/>
          </w:tcPr>
          <w:p w14:paraId="76BF478D" w14:textId="738DE36C" w:rsidR="006420CB" w:rsidRPr="000F25DC" w:rsidRDefault="006420CB" w:rsidP="00AF6623">
            <w:pPr>
              <w:pStyle w:val="TableHeaders"/>
            </w:pPr>
            <w:r w:rsidRPr="000F25DC">
              <w:t>TWC Funded Initiative</w:t>
            </w:r>
          </w:p>
        </w:tc>
        <w:tc>
          <w:tcPr>
            <w:tcW w:w="4485" w:type="dxa"/>
            <w:shd w:val="clear" w:color="auto" w:fill="B8CCE4" w:themeFill="accent1" w:themeFillTint="66"/>
            <w:vAlign w:val="center"/>
            <w:hideMark/>
          </w:tcPr>
          <w:p w14:paraId="2328E768" w14:textId="255A9594" w:rsidR="006420CB" w:rsidRPr="000F25DC" w:rsidRDefault="006420CB" w:rsidP="00AF6623">
            <w:pPr>
              <w:pStyle w:val="TableHeaders"/>
            </w:pPr>
            <w:r w:rsidRPr="000F25DC">
              <w:t>Description</w:t>
            </w:r>
          </w:p>
        </w:tc>
      </w:tr>
      <w:tr w:rsidR="006420CB" w:rsidRPr="000F25DC" w14:paraId="0BEA90B5" w14:textId="77777777" w:rsidTr="00AF6623">
        <w:trPr>
          <w:trHeight w:val="300"/>
        </w:trPr>
        <w:tc>
          <w:tcPr>
            <w:tcW w:w="4485" w:type="dxa"/>
            <w:vAlign w:val="center"/>
            <w:hideMark/>
          </w:tcPr>
          <w:p w14:paraId="5167F0C8" w14:textId="77777777" w:rsidR="006420CB" w:rsidRPr="000F25DC" w:rsidRDefault="006420CB" w:rsidP="00AF6623">
            <w:pPr>
              <w:pStyle w:val="TableText"/>
            </w:pPr>
            <w:r w:rsidRPr="000F25DC">
              <w:t>Statewide Professional Development Provider  </w:t>
            </w:r>
          </w:p>
        </w:tc>
        <w:tc>
          <w:tcPr>
            <w:tcW w:w="4485" w:type="dxa"/>
            <w:vAlign w:val="center"/>
            <w:hideMark/>
          </w:tcPr>
          <w:p w14:paraId="1B8D044C" w14:textId="77777777" w:rsidR="006420CB" w:rsidRPr="000F25DC" w:rsidRDefault="006420CB" w:rsidP="00AF6623">
            <w:pPr>
              <w:pStyle w:val="TableText"/>
            </w:pPr>
            <w:r w:rsidRPr="000F25DC">
              <w:t xml:space="preserve">Delivers </w:t>
            </w:r>
            <w:r>
              <w:t>professional development</w:t>
            </w:r>
            <w:r w:rsidRPr="000F25DC">
              <w:t xml:space="preserve"> strategies and </w:t>
            </w:r>
            <w:r>
              <w:t>t</w:t>
            </w:r>
            <w:r w:rsidRPr="000F25DC">
              <w:t xml:space="preserve">echnical </w:t>
            </w:r>
            <w:r>
              <w:t>a</w:t>
            </w:r>
            <w:r w:rsidRPr="000F25DC">
              <w:t xml:space="preserve">ssistance to all TWC-funded AEL </w:t>
            </w:r>
            <w:r>
              <w:t>g</w:t>
            </w:r>
            <w:r w:rsidRPr="000F25DC">
              <w:t>rantees and stakeholders so they may provide comprehensive services to AEL participants. Currently, Texas A&amp;M University’s Texas Center for the Advancement of Literacy and Learning (TCALL) is the state’s contracted service provider.  </w:t>
            </w:r>
          </w:p>
        </w:tc>
      </w:tr>
      <w:tr w:rsidR="006420CB" w:rsidRPr="000F25DC" w14:paraId="70E8A23C" w14:textId="77777777" w:rsidTr="00AF6623">
        <w:trPr>
          <w:trHeight w:val="300"/>
        </w:trPr>
        <w:tc>
          <w:tcPr>
            <w:tcW w:w="4485" w:type="dxa"/>
            <w:vAlign w:val="center"/>
            <w:hideMark/>
          </w:tcPr>
          <w:p w14:paraId="40BE32F7" w14:textId="77777777" w:rsidR="006420CB" w:rsidRPr="000F25DC" w:rsidRDefault="006420CB" w:rsidP="00AF6623">
            <w:pPr>
              <w:pStyle w:val="TableText"/>
            </w:pPr>
            <w:r w:rsidRPr="000F25DC">
              <w:t>Distance Learning Professional Development Center </w:t>
            </w:r>
          </w:p>
        </w:tc>
        <w:tc>
          <w:tcPr>
            <w:tcW w:w="4485" w:type="dxa"/>
            <w:vAlign w:val="center"/>
            <w:hideMark/>
          </w:tcPr>
          <w:p w14:paraId="5BB604F2" w14:textId="77777777" w:rsidR="006420CB" w:rsidRPr="000F25DC" w:rsidRDefault="006420CB" w:rsidP="00AF6623">
            <w:pPr>
              <w:pStyle w:val="TableText"/>
            </w:pPr>
            <w:r w:rsidRPr="000F25DC">
              <w:t xml:space="preserve">Delivers </w:t>
            </w:r>
            <w:r>
              <w:t>d</w:t>
            </w:r>
            <w:r w:rsidRPr="000F25DC">
              <w:t xml:space="preserve">istance </w:t>
            </w:r>
            <w:r>
              <w:t>l</w:t>
            </w:r>
            <w:r w:rsidRPr="000F25DC">
              <w:t xml:space="preserve">earning and </w:t>
            </w:r>
            <w:r>
              <w:t>r</w:t>
            </w:r>
            <w:r w:rsidRPr="000F25DC">
              <w:t xml:space="preserve">emote </w:t>
            </w:r>
            <w:r>
              <w:t>l</w:t>
            </w:r>
            <w:r w:rsidRPr="000F25DC">
              <w:t xml:space="preserve">earning training, technical assistance, and capacity building services for AEL </w:t>
            </w:r>
            <w:r>
              <w:t>g</w:t>
            </w:r>
            <w:r w:rsidRPr="000F25DC">
              <w:t xml:space="preserve">rantees and students.  Runs the state’s distance learning call center and provides support for digital-based activities, including education technology, digital </w:t>
            </w:r>
            <w:r w:rsidRPr="000F25DC">
              <w:lastRenderedPageBreak/>
              <w:t>literacy, AI in the classroom, and distance education curriculum.  </w:t>
            </w:r>
          </w:p>
        </w:tc>
      </w:tr>
      <w:tr w:rsidR="006420CB" w:rsidRPr="000F25DC" w14:paraId="445C728A" w14:textId="77777777" w:rsidTr="00F60605">
        <w:trPr>
          <w:trHeight w:val="300"/>
        </w:trPr>
        <w:tc>
          <w:tcPr>
            <w:tcW w:w="4485" w:type="dxa"/>
            <w:vAlign w:val="center"/>
            <w:hideMark/>
          </w:tcPr>
          <w:p w14:paraId="27A4CE56" w14:textId="77777777" w:rsidR="006420CB" w:rsidRPr="000F25DC" w:rsidRDefault="006420CB" w:rsidP="00F60605">
            <w:pPr>
              <w:pStyle w:val="TableText"/>
            </w:pPr>
            <w:r w:rsidRPr="000F25DC">
              <w:lastRenderedPageBreak/>
              <w:t>Career Pathways Professional Development Center </w:t>
            </w:r>
          </w:p>
        </w:tc>
        <w:tc>
          <w:tcPr>
            <w:tcW w:w="4485" w:type="dxa"/>
            <w:vAlign w:val="center"/>
            <w:hideMark/>
          </w:tcPr>
          <w:p w14:paraId="788C7A80" w14:textId="45FD08CC" w:rsidR="006420CB" w:rsidRPr="000F25DC" w:rsidRDefault="006420CB" w:rsidP="00F60605">
            <w:pPr>
              <w:pStyle w:val="TableText"/>
            </w:pPr>
            <w:r w:rsidRPr="000F25DC">
              <w:t xml:space="preserve">Delivers evidence-based </w:t>
            </w:r>
            <w:r>
              <w:t xml:space="preserve">professional development </w:t>
            </w:r>
            <w:r w:rsidRPr="000F25DC">
              <w:t xml:space="preserve">services and conducts evaluation projects for AEL </w:t>
            </w:r>
            <w:r>
              <w:t>g</w:t>
            </w:r>
            <w:r w:rsidRPr="000F25DC">
              <w:t xml:space="preserve">rantees and </w:t>
            </w:r>
            <w:r>
              <w:t>w</w:t>
            </w:r>
            <w:r w:rsidRPr="000F25DC">
              <w:t xml:space="preserve">orkforce </w:t>
            </w:r>
            <w:r>
              <w:t>s</w:t>
            </w:r>
            <w:r w:rsidRPr="000F25DC">
              <w:t xml:space="preserve">ystem </w:t>
            </w:r>
            <w:r>
              <w:t>s</w:t>
            </w:r>
            <w:r w:rsidRPr="000F25DC">
              <w:t xml:space="preserve">takeholders on AEL </w:t>
            </w:r>
            <w:r>
              <w:t>c</w:t>
            </w:r>
            <w:r w:rsidRPr="000F25DC">
              <w:t xml:space="preserve">areer </w:t>
            </w:r>
            <w:r>
              <w:t>p</w:t>
            </w:r>
            <w:r w:rsidRPr="000F25DC">
              <w:t>athway model expansion. These career pathway models include, but are not limited to:</w:t>
            </w:r>
          </w:p>
          <w:p w14:paraId="404488B8" w14:textId="77777777" w:rsidR="006420CB" w:rsidRPr="000F25DC" w:rsidRDefault="006420CB" w:rsidP="00C64851">
            <w:pPr>
              <w:pStyle w:val="TableText"/>
              <w:numPr>
                <w:ilvl w:val="0"/>
                <w:numId w:val="835"/>
              </w:numPr>
            </w:pPr>
            <w:r>
              <w:t>i</w:t>
            </w:r>
            <w:r w:rsidRPr="07CD05FB">
              <w:t xml:space="preserve">ntegrated </w:t>
            </w:r>
            <w:r>
              <w:t>e</w:t>
            </w:r>
            <w:r w:rsidRPr="07CD05FB">
              <w:t xml:space="preserve">ducation </w:t>
            </w:r>
            <w:r>
              <w:t>and t</w:t>
            </w:r>
            <w:r w:rsidRPr="07CD05FB">
              <w:t>raining</w:t>
            </w:r>
          </w:p>
          <w:p w14:paraId="042815CE" w14:textId="77777777" w:rsidR="003F5D20" w:rsidRDefault="006420CB" w:rsidP="00C64851">
            <w:pPr>
              <w:pStyle w:val="TableText"/>
              <w:numPr>
                <w:ilvl w:val="0"/>
                <w:numId w:val="835"/>
              </w:numPr>
            </w:pPr>
            <w:r>
              <w:t>i</w:t>
            </w:r>
            <w:r w:rsidRPr="000F25DC">
              <w:t xml:space="preserve">ntegrated English </w:t>
            </w:r>
            <w:r>
              <w:t>l</w:t>
            </w:r>
            <w:r w:rsidRPr="000F25DC">
              <w:t xml:space="preserve">iteracy and </w:t>
            </w:r>
            <w:r>
              <w:t>i</w:t>
            </w:r>
            <w:r w:rsidRPr="000F25DC">
              <w:t xml:space="preserve">ntensive </w:t>
            </w:r>
            <w:r>
              <w:t>s</w:t>
            </w:r>
            <w:r w:rsidRPr="000F25DC">
              <w:t xml:space="preserve">ervice models which include services for </w:t>
            </w:r>
            <w:r>
              <w:t>i</w:t>
            </w:r>
            <w:r w:rsidRPr="000F25DC">
              <w:t xml:space="preserve">nternationally </w:t>
            </w:r>
            <w:r>
              <w:t>t</w:t>
            </w:r>
            <w:r w:rsidRPr="000F25DC">
              <w:t xml:space="preserve">rained </w:t>
            </w:r>
            <w:r>
              <w:t>p</w:t>
            </w:r>
            <w:r w:rsidRPr="000F25DC">
              <w:t>rofessionals</w:t>
            </w:r>
            <w:r w:rsidR="003F5D20">
              <w:t xml:space="preserve"> </w:t>
            </w:r>
          </w:p>
          <w:p w14:paraId="00628040" w14:textId="0EF26562" w:rsidR="006420CB" w:rsidRPr="000F25DC" w:rsidRDefault="006420CB" w:rsidP="00C64851">
            <w:pPr>
              <w:pStyle w:val="TableText"/>
              <w:numPr>
                <w:ilvl w:val="0"/>
                <w:numId w:val="835"/>
              </w:numPr>
            </w:pPr>
            <w:r w:rsidRPr="000F25DC">
              <w:t>workplace literacy and employer engagement</w:t>
            </w:r>
          </w:p>
          <w:p w14:paraId="5DDEB897" w14:textId="77777777" w:rsidR="006420CB" w:rsidRPr="000F25DC" w:rsidRDefault="006420CB" w:rsidP="00C64851">
            <w:pPr>
              <w:pStyle w:val="TableText"/>
              <w:numPr>
                <w:ilvl w:val="0"/>
                <w:numId w:val="835"/>
              </w:numPr>
            </w:pPr>
            <w:r w:rsidRPr="000F25DC">
              <w:t xml:space="preserve">post-release services for </w:t>
            </w:r>
            <w:r>
              <w:t>s</w:t>
            </w:r>
            <w:r w:rsidRPr="000F25DC">
              <w:t xml:space="preserve">econd </w:t>
            </w:r>
            <w:r>
              <w:t>c</w:t>
            </w:r>
            <w:r w:rsidRPr="000F25DC">
              <w:t xml:space="preserve">hance </w:t>
            </w:r>
            <w:r>
              <w:t>i</w:t>
            </w:r>
            <w:r w:rsidRPr="000F25DC">
              <w:t>ndividuals</w:t>
            </w:r>
          </w:p>
        </w:tc>
      </w:tr>
      <w:tr w:rsidR="006420CB" w:rsidRPr="000F25DC" w14:paraId="7BCC7A42" w14:textId="77777777" w:rsidTr="00F60605">
        <w:trPr>
          <w:trHeight w:val="300"/>
        </w:trPr>
        <w:tc>
          <w:tcPr>
            <w:tcW w:w="4485" w:type="dxa"/>
            <w:vAlign w:val="center"/>
            <w:hideMark/>
          </w:tcPr>
          <w:p w14:paraId="29A2FFC3" w14:textId="77777777" w:rsidR="006420CB" w:rsidRPr="000F25DC" w:rsidRDefault="006420CB" w:rsidP="00F60605">
            <w:pPr>
              <w:pStyle w:val="TableText"/>
            </w:pPr>
            <w:r w:rsidRPr="000F25DC">
              <w:t>Community Based Professional Development Grant </w:t>
            </w:r>
          </w:p>
        </w:tc>
        <w:tc>
          <w:tcPr>
            <w:tcW w:w="4485" w:type="dxa"/>
            <w:vAlign w:val="center"/>
            <w:hideMark/>
          </w:tcPr>
          <w:p w14:paraId="6D3A9755" w14:textId="77777777" w:rsidR="006420CB" w:rsidRPr="000F25DC" w:rsidRDefault="006420CB" w:rsidP="00F60605">
            <w:pPr>
              <w:pStyle w:val="TableText"/>
            </w:pPr>
            <w:r w:rsidRPr="000F25DC">
              <w:t>Delivers professional development to community</w:t>
            </w:r>
            <w:r>
              <w:t>-</w:t>
            </w:r>
            <w:r w:rsidRPr="000F25DC">
              <w:t>based non-profit organizations through one annual conference and seven regional symposia. The events ensure quality instructional practices and strategies for non</w:t>
            </w:r>
            <w:r>
              <w:t>-T</w:t>
            </w:r>
            <w:r w:rsidRPr="000F25DC">
              <w:t>WC funded adult education providers and allow for partnership and referrals to ensure leverage of community resources to support adult learners in the state </w:t>
            </w:r>
          </w:p>
        </w:tc>
      </w:tr>
    </w:tbl>
    <w:p w14:paraId="6E7B22D8" w14:textId="77777777" w:rsidR="006420CB" w:rsidRPr="00F60605" w:rsidRDefault="006420CB" w:rsidP="00F60605">
      <w:pPr>
        <w:pStyle w:val="BodyText"/>
      </w:pPr>
      <w:r w:rsidRPr="00F60605">
        <w:t xml:space="preserve">Additional information about program administration can be found in the </w:t>
      </w:r>
      <w:hyperlink r:id="rId161" w:history="1">
        <w:r w:rsidRPr="00F60605">
          <w:rPr>
            <w:rStyle w:val="Hyperlink"/>
          </w:rPr>
          <w:t>Texas AEL Guide</w:t>
        </w:r>
      </w:hyperlink>
      <w:r w:rsidRPr="00F60605">
        <w:t>.</w:t>
      </w:r>
    </w:p>
    <w:p w14:paraId="3AF03525" w14:textId="5AE7DA1D" w:rsidR="006420CB" w:rsidRPr="00902622" w:rsidRDefault="005D7593" w:rsidP="005D7593">
      <w:pPr>
        <w:pStyle w:val="BodyText3"/>
        <w:ind w:left="720" w:hanging="720"/>
      </w:pPr>
      <w:r>
        <w:t>G.</w:t>
      </w:r>
      <w:r>
        <w:tab/>
      </w:r>
      <w:r w:rsidR="006420CB" w:rsidRPr="000F25DC">
        <w:t>If key to understanding the division or program, identify funding sources and amounts, including federal grants and pass-through monies. Describe any funding formulas or funding conventions.</w:t>
      </w:r>
      <w:r w:rsidR="006420CB" w:rsidRPr="00902622">
        <w:rPr>
          <w:spacing w:val="-1"/>
        </w:rPr>
        <w:t xml:space="preserve"> </w:t>
      </w:r>
      <w:r w:rsidR="006420CB" w:rsidRPr="000F25DC">
        <w:t>Please specify</w:t>
      </w:r>
      <w:r w:rsidR="006420CB" w:rsidRPr="00902622">
        <w:rPr>
          <w:spacing w:val="-1"/>
        </w:rPr>
        <w:t xml:space="preserve"> </w:t>
      </w:r>
      <w:r w:rsidR="006420CB" w:rsidRPr="000F25DC">
        <w:t>state funding sources (e.g.,</w:t>
      </w:r>
      <w:r w:rsidR="006420CB" w:rsidRPr="00902622">
        <w:rPr>
          <w:spacing w:val="1"/>
        </w:rPr>
        <w:t xml:space="preserve"> </w:t>
      </w:r>
      <w:r w:rsidR="006420CB" w:rsidRPr="000F25DC">
        <w:t>general</w:t>
      </w:r>
      <w:r w:rsidR="006420CB" w:rsidRPr="00902622">
        <w:rPr>
          <w:spacing w:val="1"/>
        </w:rPr>
        <w:t xml:space="preserve"> </w:t>
      </w:r>
      <w:r w:rsidR="006420CB" w:rsidRPr="000F25DC">
        <w:t>revenue,</w:t>
      </w:r>
      <w:r w:rsidR="006420CB" w:rsidRPr="00902622">
        <w:rPr>
          <w:spacing w:val="1"/>
        </w:rPr>
        <w:t xml:space="preserve"> </w:t>
      </w:r>
      <w:r w:rsidR="006420CB" w:rsidRPr="000F25DC">
        <w:t>appropriations</w:t>
      </w:r>
      <w:r w:rsidR="006420CB" w:rsidRPr="00902622">
        <w:rPr>
          <w:spacing w:val="-1"/>
        </w:rPr>
        <w:t xml:space="preserve"> </w:t>
      </w:r>
      <w:r w:rsidR="006420CB" w:rsidRPr="00902622">
        <w:rPr>
          <w:spacing w:val="-2"/>
        </w:rPr>
        <w:t xml:space="preserve">rider, </w:t>
      </w:r>
      <w:r w:rsidR="006420CB" w:rsidRPr="00902622">
        <w:t>budget</w:t>
      </w:r>
      <w:r w:rsidR="006420CB" w:rsidRPr="00902622">
        <w:rPr>
          <w:spacing w:val="-5"/>
        </w:rPr>
        <w:t xml:space="preserve"> </w:t>
      </w:r>
      <w:r w:rsidR="006420CB" w:rsidRPr="00902622">
        <w:t>strategy,</w:t>
      </w:r>
      <w:r w:rsidR="006420CB" w:rsidRPr="00902622">
        <w:rPr>
          <w:spacing w:val="-5"/>
        </w:rPr>
        <w:t xml:space="preserve"> </w:t>
      </w:r>
      <w:r w:rsidR="006420CB" w:rsidRPr="00902622">
        <w:t>and</w:t>
      </w:r>
      <w:r w:rsidR="006420CB" w:rsidRPr="00902622">
        <w:rPr>
          <w:spacing w:val="-5"/>
        </w:rPr>
        <w:t xml:space="preserve"> </w:t>
      </w:r>
      <w:r w:rsidR="006420CB" w:rsidRPr="00902622">
        <w:t>fees/dues).</w:t>
      </w:r>
      <w:r w:rsidR="006420CB" w:rsidRPr="00902622">
        <w:rPr>
          <w:spacing w:val="-5"/>
        </w:rPr>
        <w:t xml:space="preserve"> </w:t>
      </w:r>
      <w:r w:rsidR="006420CB" w:rsidRPr="00902622">
        <w:t>(If</w:t>
      </w:r>
      <w:r w:rsidR="006420CB" w:rsidRPr="00902622">
        <w:rPr>
          <w:spacing w:val="-7"/>
        </w:rPr>
        <w:t xml:space="preserve"> </w:t>
      </w:r>
      <w:r w:rsidR="006420CB" w:rsidRPr="00902622">
        <w:t>you</w:t>
      </w:r>
      <w:r w:rsidR="006420CB" w:rsidRPr="00902622">
        <w:rPr>
          <w:spacing w:val="-7"/>
        </w:rPr>
        <w:t xml:space="preserve"> </w:t>
      </w:r>
      <w:r w:rsidR="006420CB" w:rsidRPr="00902622">
        <w:t>have</w:t>
      </w:r>
      <w:r w:rsidR="006420CB" w:rsidRPr="00902622">
        <w:rPr>
          <w:spacing w:val="-5"/>
        </w:rPr>
        <w:t xml:space="preserve"> </w:t>
      </w:r>
      <w:r w:rsidR="006420CB" w:rsidRPr="00902622">
        <w:t>already</w:t>
      </w:r>
      <w:r w:rsidR="006420CB" w:rsidRPr="00902622">
        <w:rPr>
          <w:spacing w:val="-5"/>
        </w:rPr>
        <w:t xml:space="preserve"> </w:t>
      </w:r>
      <w:r w:rsidR="006420CB" w:rsidRPr="00902622">
        <w:t>submitted</w:t>
      </w:r>
      <w:r w:rsidR="006420CB" w:rsidRPr="00902622">
        <w:rPr>
          <w:spacing w:val="-7"/>
        </w:rPr>
        <w:t xml:space="preserve"> </w:t>
      </w:r>
      <w:r w:rsidR="006420CB" w:rsidRPr="00902622">
        <w:t>funding</w:t>
      </w:r>
      <w:r w:rsidR="006420CB" w:rsidRPr="00902622">
        <w:rPr>
          <w:spacing w:val="-7"/>
        </w:rPr>
        <w:t xml:space="preserve"> </w:t>
      </w:r>
      <w:r w:rsidR="006420CB" w:rsidRPr="00902622">
        <w:t>source</w:t>
      </w:r>
      <w:r w:rsidR="006420CB" w:rsidRPr="00902622">
        <w:rPr>
          <w:spacing w:val="-5"/>
        </w:rPr>
        <w:t xml:space="preserve"> </w:t>
      </w:r>
      <w:r w:rsidR="006420CB" w:rsidRPr="00902622">
        <w:t>info</w:t>
      </w:r>
      <w:r w:rsidR="006420CB" w:rsidRPr="00902622">
        <w:rPr>
          <w:spacing w:val="-7"/>
        </w:rPr>
        <w:t xml:space="preserve"> </w:t>
      </w:r>
      <w:r w:rsidR="006420CB" w:rsidRPr="00902622">
        <w:t>through</w:t>
      </w:r>
      <w:r w:rsidR="006420CB" w:rsidRPr="00902622">
        <w:rPr>
          <w:spacing w:val="-7"/>
        </w:rPr>
        <w:t xml:space="preserve"> </w:t>
      </w:r>
      <w:r w:rsidR="006420CB" w:rsidRPr="00902622">
        <w:t>the “Agency Program Information” spreadsheet, please limit your response to funding formulas or funding conventions.)</w:t>
      </w:r>
    </w:p>
    <w:tbl>
      <w:tblPr>
        <w:tblStyle w:val="TableGrid1"/>
        <w:tblW w:w="0" w:type="dxa"/>
        <w:tblCellMar>
          <w:top w:w="58" w:type="dxa"/>
          <w:bottom w:w="58" w:type="dxa"/>
        </w:tblCellMar>
        <w:tblLook w:val="04A0" w:firstRow="1" w:lastRow="0" w:firstColumn="1" w:lastColumn="0" w:noHBand="0" w:noVBand="1"/>
      </w:tblPr>
      <w:tblGrid>
        <w:gridCol w:w="2441"/>
        <w:gridCol w:w="2201"/>
        <w:gridCol w:w="2123"/>
        <w:gridCol w:w="2585"/>
      </w:tblGrid>
      <w:tr w:rsidR="00C8287D" w:rsidRPr="00C8287D" w14:paraId="2591A902" w14:textId="77777777" w:rsidTr="007E0993">
        <w:trPr>
          <w:trHeight w:val="450"/>
          <w:tblHeader/>
        </w:trPr>
        <w:tc>
          <w:tcPr>
            <w:tcW w:w="2595" w:type="dxa"/>
            <w:shd w:val="clear" w:color="auto" w:fill="B8CCE4" w:themeFill="accent1" w:themeFillTint="66"/>
            <w:vAlign w:val="center"/>
            <w:hideMark/>
          </w:tcPr>
          <w:p w14:paraId="0AB78EF1" w14:textId="3180D988" w:rsidR="00C8287D" w:rsidRPr="00C8287D" w:rsidRDefault="00C8287D" w:rsidP="007E0993">
            <w:pPr>
              <w:pStyle w:val="TableHeaders"/>
            </w:pPr>
            <w:r w:rsidRPr="00C8287D">
              <w:t>Program or Function Detail Description</w:t>
            </w:r>
          </w:p>
        </w:tc>
        <w:tc>
          <w:tcPr>
            <w:tcW w:w="2340" w:type="dxa"/>
            <w:shd w:val="clear" w:color="auto" w:fill="B8CCE4" w:themeFill="accent1" w:themeFillTint="66"/>
            <w:vAlign w:val="center"/>
            <w:hideMark/>
          </w:tcPr>
          <w:p w14:paraId="3EF373B1" w14:textId="3725FA5E" w:rsidR="00C8287D" w:rsidRPr="00C8287D" w:rsidRDefault="00C8287D" w:rsidP="007E0993">
            <w:pPr>
              <w:pStyle w:val="TableHeaders"/>
            </w:pPr>
            <w:r w:rsidRPr="00C8287D">
              <w:t>Total FY 2024</w:t>
            </w:r>
          </w:p>
        </w:tc>
        <w:tc>
          <w:tcPr>
            <w:tcW w:w="2250" w:type="dxa"/>
            <w:shd w:val="clear" w:color="auto" w:fill="B8CCE4" w:themeFill="accent1" w:themeFillTint="66"/>
            <w:vAlign w:val="center"/>
            <w:hideMark/>
          </w:tcPr>
          <w:p w14:paraId="1CAA135C" w14:textId="4702B852" w:rsidR="00C8287D" w:rsidRPr="00C8287D" w:rsidRDefault="00C8287D" w:rsidP="007E0993">
            <w:pPr>
              <w:pStyle w:val="TableHeaders"/>
            </w:pPr>
            <w:r w:rsidRPr="00C8287D">
              <w:t>Federal Funding</w:t>
            </w:r>
          </w:p>
        </w:tc>
        <w:tc>
          <w:tcPr>
            <w:tcW w:w="2790" w:type="dxa"/>
            <w:shd w:val="clear" w:color="auto" w:fill="B8CCE4" w:themeFill="accent1" w:themeFillTint="66"/>
            <w:vAlign w:val="center"/>
            <w:hideMark/>
          </w:tcPr>
          <w:p w14:paraId="43B583E4" w14:textId="4E660944" w:rsidR="00C8287D" w:rsidRPr="00C8287D" w:rsidRDefault="00C8287D" w:rsidP="007E0993">
            <w:pPr>
              <w:pStyle w:val="TableHeaders"/>
            </w:pPr>
            <w:r w:rsidRPr="00C8287D">
              <w:t>State Funding</w:t>
            </w:r>
          </w:p>
        </w:tc>
      </w:tr>
      <w:tr w:rsidR="00C8287D" w:rsidRPr="00C8287D" w14:paraId="23D4EB7A" w14:textId="77777777" w:rsidTr="001B711B">
        <w:trPr>
          <w:trHeight w:val="300"/>
        </w:trPr>
        <w:tc>
          <w:tcPr>
            <w:tcW w:w="2595" w:type="dxa"/>
            <w:vAlign w:val="center"/>
            <w:hideMark/>
          </w:tcPr>
          <w:p w14:paraId="600D69C5" w14:textId="77777777" w:rsidR="00C8287D" w:rsidRPr="00C8287D" w:rsidRDefault="00C8287D" w:rsidP="001B711B">
            <w:pPr>
              <w:pStyle w:val="TableText"/>
            </w:pPr>
            <w:r w:rsidRPr="00C8287D">
              <w:t>Administrative Funds </w:t>
            </w:r>
          </w:p>
        </w:tc>
        <w:tc>
          <w:tcPr>
            <w:tcW w:w="2340" w:type="dxa"/>
            <w:vAlign w:val="center"/>
            <w:hideMark/>
          </w:tcPr>
          <w:p w14:paraId="7D9FA5AC" w14:textId="77777777" w:rsidR="00C8287D" w:rsidRPr="00C8287D" w:rsidRDefault="00C8287D" w:rsidP="001B711B">
            <w:pPr>
              <w:pStyle w:val="TableText"/>
              <w:jc w:val="right"/>
            </w:pPr>
            <w:r w:rsidRPr="00C8287D">
              <w:t>6,202,881 </w:t>
            </w:r>
          </w:p>
        </w:tc>
        <w:tc>
          <w:tcPr>
            <w:tcW w:w="2250" w:type="dxa"/>
            <w:vAlign w:val="center"/>
            <w:hideMark/>
          </w:tcPr>
          <w:p w14:paraId="70A3A208" w14:textId="77777777" w:rsidR="00C8287D" w:rsidRPr="00C8287D" w:rsidRDefault="00C8287D" w:rsidP="001B711B">
            <w:pPr>
              <w:pStyle w:val="TableText"/>
              <w:jc w:val="right"/>
            </w:pPr>
            <w:r w:rsidRPr="00C8287D">
              <w:t>5,452,881  </w:t>
            </w:r>
          </w:p>
        </w:tc>
        <w:tc>
          <w:tcPr>
            <w:tcW w:w="2790" w:type="dxa"/>
            <w:vAlign w:val="center"/>
            <w:hideMark/>
          </w:tcPr>
          <w:p w14:paraId="508BF222" w14:textId="77777777" w:rsidR="00C8287D" w:rsidRPr="00C8287D" w:rsidRDefault="00C8287D" w:rsidP="001B711B">
            <w:pPr>
              <w:pStyle w:val="TableText"/>
              <w:jc w:val="right"/>
            </w:pPr>
            <w:r w:rsidRPr="00C8287D">
              <w:t>750,000  </w:t>
            </w:r>
          </w:p>
        </w:tc>
      </w:tr>
      <w:tr w:rsidR="00C8287D" w:rsidRPr="00C8287D" w14:paraId="26EB1B49" w14:textId="77777777" w:rsidTr="001B711B">
        <w:trPr>
          <w:trHeight w:val="300"/>
        </w:trPr>
        <w:tc>
          <w:tcPr>
            <w:tcW w:w="2595" w:type="dxa"/>
            <w:vAlign w:val="center"/>
            <w:hideMark/>
          </w:tcPr>
          <w:p w14:paraId="3A5A7B17" w14:textId="77777777" w:rsidR="00C8287D" w:rsidRPr="00C8287D" w:rsidRDefault="00C8287D" w:rsidP="001B711B">
            <w:pPr>
              <w:pStyle w:val="TableText"/>
            </w:pPr>
            <w:r w:rsidRPr="00C8287D">
              <w:t>Allocated Funds </w:t>
            </w:r>
          </w:p>
        </w:tc>
        <w:tc>
          <w:tcPr>
            <w:tcW w:w="2340" w:type="dxa"/>
            <w:vAlign w:val="center"/>
            <w:hideMark/>
          </w:tcPr>
          <w:p w14:paraId="3C30FE0B" w14:textId="77777777" w:rsidR="00C8287D" w:rsidRPr="00C8287D" w:rsidRDefault="00C8287D" w:rsidP="001B711B">
            <w:pPr>
              <w:pStyle w:val="TableText"/>
              <w:jc w:val="right"/>
            </w:pPr>
            <w:r w:rsidRPr="00C8287D">
              <w:t>82,989,002  </w:t>
            </w:r>
          </w:p>
        </w:tc>
        <w:tc>
          <w:tcPr>
            <w:tcW w:w="2250" w:type="dxa"/>
            <w:vAlign w:val="center"/>
            <w:hideMark/>
          </w:tcPr>
          <w:p w14:paraId="3E8EB9EC" w14:textId="77777777" w:rsidR="00C8287D" w:rsidRPr="00C8287D" w:rsidRDefault="00C8287D" w:rsidP="001B711B">
            <w:pPr>
              <w:pStyle w:val="TableText"/>
              <w:jc w:val="right"/>
            </w:pPr>
            <w:r w:rsidRPr="00C8287D">
              <w:t>73,506,224  </w:t>
            </w:r>
          </w:p>
        </w:tc>
        <w:tc>
          <w:tcPr>
            <w:tcW w:w="2790" w:type="dxa"/>
            <w:vAlign w:val="center"/>
            <w:hideMark/>
          </w:tcPr>
          <w:p w14:paraId="047F68FB" w14:textId="77777777" w:rsidR="00C8287D" w:rsidRPr="00C8287D" w:rsidRDefault="00C8287D" w:rsidP="001B711B">
            <w:pPr>
              <w:pStyle w:val="TableText"/>
              <w:jc w:val="right"/>
            </w:pPr>
            <w:r w:rsidRPr="00C8287D">
              <w:t>9,482,779  </w:t>
            </w:r>
          </w:p>
        </w:tc>
      </w:tr>
      <w:tr w:rsidR="00C8287D" w:rsidRPr="00C8287D" w14:paraId="1CF70B57" w14:textId="77777777" w:rsidTr="001B711B">
        <w:trPr>
          <w:trHeight w:val="300"/>
        </w:trPr>
        <w:tc>
          <w:tcPr>
            <w:tcW w:w="2595" w:type="dxa"/>
            <w:vAlign w:val="center"/>
            <w:hideMark/>
          </w:tcPr>
          <w:p w14:paraId="2482788B" w14:textId="77777777" w:rsidR="00C8287D" w:rsidRPr="00C8287D" w:rsidRDefault="00C8287D" w:rsidP="001B711B">
            <w:pPr>
              <w:pStyle w:val="TableText"/>
            </w:pPr>
            <w:r w:rsidRPr="00C8287D">
              <w:t>State Leadership </w:t>
            </w:r>
          </w:p>
        </w:tc>
        <w:tc>
          <w:tcPr>
            <w:tcW w:w="2340" w:type="dxa"/>
            <w:vAlign w:val="center"/>
            <w:hideMark/>
          </w:tcPr>
          <w:p w14:paraId="3C5728BD" w14:textId="77777777" w:rsidR="00C8287D" w:rsidRPr="00C8287D" w:rsidRDefault="00C8287D" w:rsidP="001B711B">
            <w:pPr>
              <w:pStyle w:val="TableText"/>
              <w:jc w:val="right"/>
            </w:pPr>
            <w:r w:rsidRPr="00C8287D">
              <w:t>6,035,550  </w:t>
            </w:r>
          </w:p>
        </w:tc>
        <w:tc>
          <w:tcPr>
            <w:tcW w:w="2250" w:type="dxa"/>
            <w:vAlign w:val="center"/>
            <w:hideMark/>
          </w:tcPr>
          <w:p w14:paraId="76C2B5FF" w14:textId="77777777" w:rsidR="00C8287D" w:rsidRPr="00C8287D" w:rsidRDefault="00C8287D" w:rsidP="001B711B">
            <w:pPr>
              <w:pStyle w:val="TableText"/>
              <w:jc w:val="right"/>
            </w:pPr>
            <w:r w:rsidRPr="00C8287D">
              <w:t>5,635,550  </w:t>
            </w:r>
          </w:p>
        </w:tc>
        <w:tc>
          <w:tcPr>
            <w:tcW w:w="2790" w:type="dxa"/>
            <w:vAlign w:val="center"/>
            <w:hideMark/>
          </w:tcPr>
          <w:p w14:paraId="26CCE196" w14:textId="77777777" w:rsidR="00C8287D" w:rsidRPr="00C8287D" w:rsidRDefault="00C8287D" w:rsidP="001B711B">
            <w:pPr>
              <w:pStyle w:val="TableText"/>
              <w:jc w:val="right"/>
            </w:pPr>
            <w:r w:rsidRPr="00C8287D">
              <w:t>400,000  </w:t>
            </w:r>
          </w:p>
        </w:tc>
      </w:tr>
      <w:tr w:rsidR="00C8287D" w:rsidRPr="00C8287D" w14:paraId="5BA2842E" w14:textId="77777777" w:rsidTr="001B711B">
        <w:trPr>
          <w:trHeight w:val="300"/>
        </w:trPr>
        <w:tc>
          <w:tcPr>
            <w:tcW w:w="2595" w:type="dxa"/>
            <w:vAlign w:val="center"/>
            <w:hideMark/>
          </w:tcPr>
          <w:p w14:paraId="4C7AC5E5" w14:textId="77777777" w:rsidR="00C8287D" w:rsidRPr="00C8287D" w:rsidRDefault="00C8287D" w:rsidP="001B711B">
            <w:pPr>
              <w:pStyle w:val="TableText"/>
            </w:pPr>
            <w:r w:rsidRPr="00C8287D">
              <w:t>TOTAL </w:t>
            </w:r>
          </w:p>
        </w:tc>
        <w:tc>
          <w:tcPr>
            <w:tcW w:w="2340" w:type="dxa"/>
            <w:vAlign w:val="center"/>
            <w:hideMark/>
          </w:tcPr>
          <w:p w14:paraId="1D06D25D" w14:textId="77777777" w:rsidR="00C8287D" w:rsidRPr="00C8287D" w:rsidRDefault="00C8287D" w:rsidP="001B711B">
            <w:pPr>
              <w:pStyle w:val="TableText"/>
              <w:jc w:val="right"/>
            </w:pPr>
            <w:r w:rsidRPr="00C8287D">
              <w:t>95,227,433 </w:t>
            </w:r>
          </w:p>
        </w:tc>
        <w:tc>
          <w:tcPr>
            <w:tcW w:w="2250" w:type="dxa"/>
            <w:vAlign w:val="center"/>
            <w:hideMark/>
          </w:tcPr>
          <w:p w14:paraId="29C0EA0A" w14:textId="77777777" w:rsidR="00C8287D" w:rsidRPr="00C8287D" w:rsidRDefault="00C8287D" w:rsidP="001B711B">
            <w:pPr>
              <w:pStyle w:val="TableText"/>
              <w:jc w:val="right"/>
            </w:pPr>
            <w:r w:rsidRPr="00C8287D">
              <w:t>84,594,655 </w:t>
            </w:r>
          </w:p>
        </w:tc>
        <w:tc>
          <w:tcPr>
            <w:tcW w:w="2790" w:type="dxa"/>
            <w:vAlign w:val="center"/>
            <w:hideMark/>
          </w:tcPr>
          <w:p w14:paraId="68DF5A92" w14:textId="77777777" w:rsidR="00C8287D" w:rsidRPr="00C8287D" w:rsidRDefault="00C8287D" w:rsidP="001B711B">
            <w:pPr>
              <w:pStyle w:val="TableText"/>
              <w:jc w:val="right"/>
            </w:pPr>
            <w:r w:rsidRPr="00C8287D">
              <w:t>10,632,779 </w:t>
            </w:r>
          </w:p>
        </w:tc>
      </w:tr>
    </w:tbl>
    <w:p w14:paraId="23E4252A" w14:textId="691C4BB0" w:rsidR="006420CB" w:rsidRPr="000F25DC" w:rsidRDefault="005D7593" w:rsidP="005D7593">
      <w:pPr>
        <w:pStyle w:val="BodyText3"/>
        <w:ind w:left="720" w:hanging="720"/>
      </w:pPr>
      <w:r>
        <w:t>H.</w:t>
      </w:r>
      <w:r>
        <w:tab/>
      </w:r>
      <w:r w:rsidR="006420CB"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006420CB" w:rsidRPr="000F25DC">
        <w:rPr>
          <w:spacing w:val="-2"/>
        </w:rPr>
        <w:t>population.</w:t>
      </w:r>
    </w:p>
    <w:p w14:paraId="7FC17C97" w14:textId="77777777" w:rsidR="006420CB" w:rsidRPr="000F25DC" w:rsidRDefault="006420CB" w:rsidP="005D7593">
      <w:pPr>
        <w:pStyle w:val="BodyText"/>
      </w:pPr>
      <w:r w:rsidRPr="000F25DC">
        <w:lastRenderedPageBreak/>
        <w:t>The state has made investments in providing AEL services to individuals who lack a high school diploma or its recognized equivalent. Similarities to other state programs are indicated below. TWC</w:t>
      </w:r>
      <w:r>
        <w:t>’s</w:t>
      </w:r>
      <w:r w:rsidRPr="000F25DC">
        <w:rPr>
          <w:spacing w:val="-14"/>
        </w:rPr>
        <w:t xml:space="preserve"> </w:t>
      </w:r>
      <w:r>
        <w:t>AEL</w:t>
      </w:r>
      <w:r w:rsidRPr="000F25DC">
        <w:rPr>
          <w:spacing w:val="-13"/>
        </w:rPr>
        <w:t xml:space="preserve"> </w:t>
      </w:r>
      <w:r w:rsidRPr="000F25DC">
        <w:t>program,</w:t>
      </w:r>
      <w:r w:rsidRPr="000F25DC">
        <w:rPr>
          <w:spacing w:val="-14"/>
        </w:rPr>
        <w:t xml:space="preserve"> </w:t>
      </w:r>
      <w:r w:rsidRPr="000F25DC">
        <w:t>however,</w:t>
      </w:r>
      <w:r w:rsidRPr="000F25DC">
        <w:rPr>
          <w:spacing w:val="-13"/>
        </w:rPr>
        <w:t xml:space="preserve"> </w:t>
      </w:r>
      <w:r w:rsidRPr="000F25DC">
        <w:t>is</w:t>
      </w:r>
      <w:r w:rsidRPr="000F25DC">
        <w:rPr>
          <w:spacing w:val="-14"/>
        </w:rPr>
        <w:t xml:space="preserve"> </w:t>
      </w:r>
      <w:r w:rsidRPr="000F25DC">
        <w:t>unique</w:t>
      </w:r>
      <w:r w:rsidRPr="000F25DC">
        <w:rPr>
          <w:spacing w:val="-14"/>
        </w:rPr>
        <w:t xml:space="preserve"> </w:t>
      </w:r>
      <w:r w:rsidRPr="000F25DC">
        <w:t>in</w:t>
      </w:r>
      <w:r w:rsidRPr="000F25DC">
        <w:rPr>
          <w:spacing w:val="-13"/>
        </w:rPr>
        <w:t xml:space="preserve"> </w:t>
      </w:r>
      <w:r w:rsidRPr="000F25DC">
        <w:t>that</w:t>
      </w:r>
      <w:r w:rsidRPr="000F25DC">
        <w:rPr>
          <w:spacing w:val="-14"/>
        </w:rPr>
        <w:t xml:space="preserve"> </w:t>
      </w:r>
      <w:r w:rsidRPr="000F25DC">
        <w:t>it</w:t>
      </w:r>
      <w:r w:rsidRPr="000F25DC">
        <w:rPr>
          <w:spacing w:val="-13"/>
        </w:rPr>
        <w:t xml:space="preserve"> </w:t>
      </w:r>
      <w:r w:rsidRPr="000F25DC">
        <w:t>has</w:t>
      </w:r>
      <w:r w:rsidRPr="000F25DC">
        <w:rPr>
          <w:spacing w:val="-14"/>
        </w:rPr>
        <w:t xml:space="preserve"> </w:t>
      </w:r>
      <w:r w:rsidRPr="000F25DC">
        <w:t>a</w:t>
      </w:r>
      <w:r w:rsidRPr="000F25DC">
        <w:rPr>
          <w:spacing w:val="-13"/>
        </w:rPr>
        <w:t xml:space="preserve"> </w:t>
      </w:r>
      <w:r w:rsidRPr="000F25DC">
        <w:t>statewide</w:t>
      </w:r>
      <w:r w:rsidRPr="000F25DC">
        <w:rPr>
          <w:spacing w:val="-14"/>
        </w:rPr>
        <w:t xml:space="preserve"> </w:t>
      </w:r>
      <w:r w:rsidRPr="000F25DC">
        <w:t>network</w:t>
      </w:r>
      <w:r w:rsidRPr="000F25DC">
        <w:rPr>
          <w:spacing w:val="-14"/>
        </w:rPr>
        <w:t xml:space="preserve"> </w:t>
      </w:r>
      <w:r w:rsidRPr="000F25DC">
        <w:t>of</w:t>
      </w:r>
      <w:r w:rsidRPr="000F25DC">
        <w:rPr>
          <w:spacing w:val="-13"/>
        </w:rPr>
        <w:t xml:space="preserve"> </w:t>
      </w:r>
      <w:r w:rsidRPr="000F25DC">
        <w:t>providers and a robust menu of allowable services.</w:t>
      </w:r>
    </w:p>
    <w:p w14:paraId="69634378" w14:textId="77777777" w:rsidR="006420CB" w:rsidRPr="000F25DC" w:rsidRDefault="006420CB" w:rsidP="005D7593">
      <w:pPr>
        <w:pStyle w:val="BodyText"/>
      </w:pPr>
      <w:r w:rsidRPr="000F25DC">
        <w:t xml:space="preserve">In addition to state funded programs, through a comprehensive survey of adult education in Texas, </w:t>
      </w:r>
      <w:r>
        <w:t>the TWIC</w:t>
      </w:r>
      <w:r w:rsidRPr="000F25DC">
        <w:rPr>
          <w:kern w:val="2"/>
          <w14:ligatures w14:val="standardContextual"/>
        </w:rPr>
        <w:t xml:space="preserve"> </w:t>
      </w:r>
      <w:r w:rsidRPr="000F25DC">
        <w:t>estimated that nonprofit organizations and volunteer groups served about 80,000 students in 2011.</w:t>
      </w:r>
    </w:p>
    <w:p w14:paraId="0FA2B57D" w14:textId="77777777" w:rsidR="006420CB" w:rsidRPr="000F25DC" w:rsidRDefault="006420CB" w:rsidP="005D7593">
      <w:pPr>
        <w:pStyle w:val="BodyText"/>
      </w:pPr>
      <w:r w:rsidRPr="000F25DC">
        <w:t>When</w:t>
      </w:r>
      <w:r w:rsidRPr="000F25DC">
        <w:rPr>
          <w:spacing w:val="-6"/>
        </w:rPr>
        <w:t xml:space="preserve"> </w:t>
      </w:r>
      <w:r w:rsidRPr="000F25DC">
        <w:t>directed</w:t>
      </w:r>
      <w:r w:rsidRPr="000F25DC">
        <w:rPr>
          <w:spacing w:val="-6"/>
        </w:rPr>
        <w:t xml:space="preserve"> </w:t>
      </w:r>
      <w:r w:rsidRPr="000F25DC">
        <w:t>through</w:t>
      </w:r>
      <w:r w:rsidRPr="000F25DC">
        <w:rPr>
          <w:spacing w:val="-4"/>
        </w:rPr>
        <w:t xml:space="preserve"> </w:t>
      </w:r>
      <w:r w:rsidRPr="000F25DC">
        <w:t>statute</w:t>
      </w:r>
      <w:r w:rsidRPr="000F25DC">
        <w:rPr>
          <w:spacing w:val="-7"/>
        </w:rPr>
        <w:t xml:space="preserve"> </w:t>
      </w:r>
      <w:r w:rsidRPr="000F25DC">
        <w:t>or</w:t>
      </w:r>
      <w:r w:rsidRPr="000F25DC">
        <w:rPr>
          <w:spacing w:val="-5"/>
        </w:rPr>
        <w:t xml:space="preserve"> </w:t>
      </w:r>
      <w:r w:rsidRPr="000F25DC">
        <w:t>requested</w:t>
      </w:r>
      <w:r w:rsidRPr="000F25DC">
        <w:rPr>
          <w:spacing w:val="-4"/>
        </w:rPr>
        <w:t xml:space="preserve"> </w:t>
      </w:r>
      <w:r w:rsidRPr="000F25DC">
        <w:t>by</w:t>
      </w:r>
      <w:r w:rsidRPr="000F25DC">
        <w:rPr>
          <w:spacing w:val="-8"/>
        </w:rPr>
        <w:t xml:space="preserve"> </w:t>
      </w:r>
      <w:r w:rsidRPr="000F25DC">
        <w:t>partners,</w:t>
      </w:r>
      <w:r w:rsidRPr="000F25DC">
        <w:rPr>
          <w:spacing w:val="-5"/>
        </w:rPr>
        <w:t xml:space="preserve"> </w:t>
      </w:r>
      <w:r w:rsidRPr="000F25DC">
        <w:t>the</w:t>
      </w:r>
      <w:r w:rsidRPr="000F25DC">
        <w:rPr>
          <w:spacing w:val="-4"/>
        </w:rPr>
        <w:t xml:space="preserve"> </w:t>
      </w:r>
      <w:r w:rsidRPr="000F25DC">
        <w:t>TWC</w:t>
      </w:r>
      <w:r w:rsidRPr="000F25DC">
        <w:rPr>
          <w:spacing w:val="-6"/>
        </w:rPr>
        <w:t xml:space="preserve"> </w:t>
      </w:r>
      <w:r w:rsidRPr="000F25DC">
        <w:t>Executive</w:t>
      </w:r>
      <w:r w:rsidRPr="000F25DC">
        <w:rPr>
          <w:spacing w:val="-4"/>
        </w:rPr>
        <w:t xml:space="preserve"> </w:t>
      </w:r>
      <w:r w:rsidRPr="000F25DC">
        <w:t>Director</w:t>
      </w:r>
      <w:r w:rsidRPr="000F25DC">
        <w:rPr>
          <w:spacing w:val="-5"/>
        </w:rPr>
        <w:t xml:space="preserve"> </w:t>
      </w:r>
      <w:r w:rsidRPr="000F25DC">
        <w:t>appoints</w:t>
      </w:r>
      <w:r w:rsidRPr="000F25DC">
        <w:rPr>
          <w:spacing w:val="-5"/>
        </w:rPr>
        <w:t xml:space="preserve"> </w:t>
      </w:r>
      <w:r w:rsidRPr="000F25DC">
        <w:t xml:space="preserve">a representative to sit on various committees. Recent AEL-related appointments include participation in setting frameworks and performance indicators and benchmarks for both the </w:t>
      </w:r>
      <w:r>
        <w:t>TEA</w:t>
      </w:r>
      <w:r w:rsidRPr="000F25DC">
        <w:t xml:space="preserve"> and </w:t>
      </w:r>
      <w:r>
        <w:t xml:space="preserve">THECB </w:t>
      </w:r>
      <w:r w:rsidRPr="000F25DC">
        <w:t>adult high school diploma programs.</w:t>
      </w:r>
    </w:p>
    <w:p w14:paraId="111E0B57" w14:textId="77777777" w:rsidR="006420CB" w:rsidRPr="000F25DC" w:rsidRDefault="006420CB" w:rsidP="005D7593">
      <w:pPr>
        <w:pStyle w:val="BodyText"/>
      </w:pPr>
      <w:r w:rsidRPr="000F25DC">
        <w:t>At the local level, AEL</w:t>
      </w:r>
      <w:r>
        <w:t xml:space="preserve"> </w:t>
      </w:r>
      <w:r w:rsidRPr="000F25DC">
        <w:t xml:space="preserve">providers are required to develop and implement an MOU with </w:t>
      </w:r>
      <w:r>
        <w:t>their l</w:t>
      </w:r>
      <w:r w:rsidRPr="000F25DC">
        <w:t xml:space="preserve">ocal </w:t>
      </w:r>
      <w:r>
        <w:t>w</w:t>
      </w:r>
      <w:r w:rsidRPr="000F25DC">
        <w:t xml:space="preserve">orkforce </w:t>
      </w:r>
      <w:r>
        <w:t>d</w:t>
      </w:r>
      <w:r w:rsidRPr="000F25DC">
        <w:t xml:space="preserve">evelopment </w:t>
      </w:r>
      <w:r>
        <w:t>b</w:t>
      </w:r>
      <w:r w:rsidRPr="000F25DC">
        <w:t>oards. As required partners under WIOA, duplication of services should be avoided by working together via the various funding streams each partner receives. Per WIOA §121(b)(1)(A), One-Stop partners must:</w:t>
      </w:r>
    </w:p>
    <w:p w14:paraId="48A5B50A" w14:textId="77777777" w:rsidR="006420CB" w:rsidRPr="000F25DC" w:rsidRDefault="006420CB" w:rsidP="00C64851">
      <w:pPr>
        <w:pStyle w:val="BodyText"/>
        <w:numPr>
          <w:ilvl w:val="0"/>
          <w:numId w:val="836"/>
        </w:numPr>
      </w:pPr>
      <w:r>
        <w:t>P</w:t>
      </w:r>
      <w:r w:rsidRPr="000F25DC">
        <w:t>rovide</w:t>
      </w:r>
      <w:r w:rsidRPr="000F25DC">
        <w:rPr>
          <w:spacing w:val="-5"/>
        </w:rPr>
        <w:t xml:space="preserve"> </w:t>
      </w:r>
      <w:r w:rsidRPr="000F25DC">
        <w:t>program</w:t>
      </w:r>
      <w:r w:rsidRPr="000F25DC">
        <w:rPr>
          <w:spacing w:val="-1"/>
        </w:rPr>
        <w:t xml:space="preserve"> </w:t>
      </w:r>
      <w:r w:rsidRPr="000F25DC">
        <w:t>access</w:t>
      </w:r>
      <w:r w:rsidRPr="000F25DC">
        <w:rPr>
          <w:spacing w:val="-4"/>
        </w:rPr>
        <w:t xml:space="preserve"> </w:t>
      </w:r>
      <w:r w:rsidRPr="000F25DC">
        <w:t>and career</w:t>
      </w:r>
      <w:r w:rsidRPr="000F25DC">
        <w:rPr>
          <w:spacing w:val="-1"/>
        </w:rPr>
        <w:t xml:space="preserve"> </w:t>
      </w:r>
      <w:r w:rsidRPr="000F25DC">
        <w:t>services</w:t>
      </w:r>
      <w:r w:rsidRPr="000F25DC">
        <w:rPr>
          <w:spacing w:val="-2"/>
        </w:rPr>
        <w:t xml:space="preserve"> </w:t>
      </w:r>
      <w:r w:rsidRPr="000F25DC">
        <w:t>through</w:t>
      </w:r>
      <w:r w:rsidRPr="000F25DC">
        <w:rPr>
          <w:spacing w:val="-3"/>
        </w:rPr>
        <w:t xml:space="preserve"> </w:t>
      </w:r>
      <w:r w:rsidRPr="000F25DC">
        <w:t>the</w:t>
      </w:r>
      <w:r w:rsidRPr="000F25DC">
        <w:rPr>
          <w:spacing w:val="-3"/>
        </w:rPr>
        <w:t xml:space="preserve"> </w:t>
      </w:r>
      <w:r w:rsidRPr="000F25DC">
        <w:t>One-Stop</w:t>
      </w:r>
      <w:r w:rsidRPr="000F25DC">
        <w:rPr>
          <w:spacing w:val="1"/>
        </w:rPr>
        <w:t xml:space="preserve"> </w:t>
      </w:r>
      <w:r w:rsidRPr="000F25DC">
        <w:rPr>
          <w:spacing w:val="-2"/>
        </w:rPr>
        <w:t>system</w:t>
      </w:r>
      <w:r>
        <w:rPr>
          <w:spacing w:val="-2"/>
        </w:rPr>
        <w:t>.</w:t>
      </w:r>
    </w:p>
    <w:p w14:paraId="181F0F76" w14:textId="77777777" w:rsidR="006420CB" w:rsidRPr="000F25DC" w:rsidRDefault="006420CB" w:rsidP="00C64851">
      <w:pPr>
        <w:pStyle w:val="BodyText"/>
        <w:numPr>
          <w:ilvl w:val="0"/>
          <w:numId w:val="836"/>
        </w:numPr>
      </w:pPr>
      <w:r>
        <w:t>C</w:t>
      </w:r>
      <w:r w:rsidRPr="000F25DC">
        <w:t>ontribute</w:t>
      </w:r>
      <w:r w:rsidRPr="000F25DC">
        <w:rPr>
          <w:spacing w:val="-5"/>
        </w:rPr>
        <w:t xml:space="preserve"> </w:t>
      </w:r>
      <w:r w:rsidRPr="000F25DC">
        <w:t>funds</w:t>
      </w:r>
      <w:r w:rsidRPr="000F25DC">
        <w:rPr>
          <w:spacing w:val="-4"/>
        </w:rPr>
        <w:t xml:space="preserve"> </w:t>
      </w:r>
      <w:r w:rsidRPr="000F25DC">
        <w:t>to</w:t>
      </w:r>
      <w:r w:rsidRPr="000F25DC">
        <w:rPr>
          <w:spacing w:val="-3"/>
        </w:rPr>
        <w:t xml:space="preserve"> </w:t>
      </w:r>
      <w:r w:rsidRPr="000F25DC">
        <w:t>maintain</w:t>
      </w:r>
      <w:r w:rsidRPr="000F25DC">
        <w:rPr>
          <w:spacing w:val="-3"/>
        </w:rPr>
        <w:t xml:space="preserve"> </w:t>
      </w:r>
      <w:r w:rsidRPr="000F25DC">
        <w:t>the One-Stop</w:t>
      </w:r>
      <w:r w:rsidRPr="000F25DC">
        <w:rPr>
          <w:spacing w:val="-3"/>
        </w:rPr>
        <w:t xml:space="preserve"> </w:t>
      </w:r>
      <w:r w:rsidRPr="000F25DC">
        <w:t>system,</w:t>
      </w:r>
      <w:r w:rsidRPr="000F25DC">
        <w:rPr>
          <w:spacing w:val="-1"/>
        </w:rPr>
        <w:t xml:space="preserve"> </w:t>
      </w:r>
      <w:r w:rsidRPr="000F25DC">
        <w:t>including</w:t>
      </w:r>
      <w:r w:rsidRPr="000F25DC">
        <w:rPr>
          <w:spacing w:val="-4"/>
        </w:rPr>
        <w:t xml:space="preserve"> </w:t>
      </w:r>
      <w:r w:rsidRPr="000F25DC">
        <w:t xml:space="preserve">infrastructure </w:t>
      </w:r>
      <w:r w:rsidRPr="000F25DC">
        <w:rPr>
          <w:spacing w:val="-2"/>
        </w:rPr>
        <w:t>costs</w:t>
      </w:r>
      <w:r>
        <w:rPr>
          <w:spacing w:val="-2"/>
        </w:rPr>
        <w:t>.</w:t>
      </w:r>
    </w:p>
    <w:p w14:paraId="7AA0D8A3" w14:textId="77777777" w:rsidR="006420CB" w:rsidRPr="000F25DC" w:rsidRDefault="006420CB" w:rsidP="00C64851">
      <w:pPr>
        <w:pStyle w:val="BodyText"/>
        <w:numPr>
          <w:ilvl w:val="0"/>
          <w:numId w:val="836"/>
        </w:numPr>
      </w:pPr>
      <w:proofErr w:type="gramStart"/>
      <w:r>
        <w:t>E</w:t>
      </w:r>
      <w:r w:rsidRPr="000F25DC">
        <w:t>nter</w:t>
      </w:r>
      <w:r w:rsidRPr="000F25DC">
        <w:rPr>
          <w:spacing w:val="-1"/>
        </w:rPr>
        <w:t xml:space="preserve"> </w:t>
      </w:r>
      <w:r w:rsidRPr="000F25DC">
        <w:t>into</w:t>
      </w:r>
      <w:proofErr w:type="gramEnd"/>
      <w:r w:rsidRPr="000F25DC">
        <w:rPr>
          <w:spacing w:val="-2"/>
        </w:rPr>
        <w:t xml:space="preserve"> </w:t>
      </w:r>
      <w:r w:rsidRPr="000F25DC">
        <w:t>a local</w:t>
      </w:r>
      <w:r w:rsidRPr="000F25DC">
        <w:rPr>
          <w:spacing w:val="-3"/>
        </w:rPr>
        <w:t xml:space="preserve"> </w:t>
      </w:r>
      <w:r w:rsidRPr="000F25DC">
        <w:t>memorandum of</w:t>
      </w:r>
      <w:r w:rsidRPr="000F25DC">
        <w:rPr>
          <w:spacing w:val="-3"/>
        </w:rPr>
        <w:t xml:space="preserve"> </w:t>
      </w:r>
      <w:r w:rsidRPr="000F25DC">
        <w:t>understanding</w:t>
      </w:r>
      <w:r w:rsidRPr="000F25DC">
        <w:rPr>
          <w:spacing w:val="-3"/>
        </w:rPr>
        <w:t xml:space="preserve"> </w:t>
      </w:r>
      <w:r w:rsidRPr="000F25DC">
        <w:t>with</w:t>
      </w:r>
      <w:r w:rsidRPr="000F25DC">
        <w:rPr>
          <w:spacing w:val="-2"/>
        </w:rPr>
        <w:t xml:space="preserve"> </w:t>
      </w:r>
      <w:r w:rsidRPr="000F25DC">
        <w:t>the</w:t>
      </w:r>
      <w:r w:rsidRPr="000F25DC">
        <w:rPr>
          <w:spacing w:val="-2"/>
        </w:rPr>
        <w:t xml:space="preserve"> </w:t>
      </w:r>
      <w:r w:rsidRPr="000F25DC">
        <w:t>local</w:t>
      </w:r>
      <w:r w:rsidRPr="000F25DC">
        <w:rPr>
          <w:spacing w:val="-3"/>
        </w:rPr>
        <w:t xml:space="preserve"> </w:t>
      </w:r>
      <w:r w:rsidRPr="000F25DC">
        <w:t>board</w:t>
      </w:r>
      <w:r>
        <w:t>.</w:t>
      </w:r>
    </w:p>
    <w:p w14:paraId="07A3DCF4" w14:textId="77777777" w:rsidR="006420CB" w:rsidRPr="000F25DC" w:rsidRDefault="006420CB" w:rsidP="00C64851">
      <w:pPr>
        <w:pStyle w:val="BodyText"/>
        <w:numPr>
          <w:ilvl w:val="0"/>
          <w:numId w:val="836"/>
        </w:numPr>
      </w:pPr>
      <w:r>
        <w:t>P</w:t>
      </w:r>
      <w:r w:rsidRPr="000F25DC">
        <w:t>articipate</w:t>
      </w:r>
      <w:r w:rsidRPr="000F25DC">
        <w:rPr>
          <w:spacing w:val="34"/>
        </w:rPr>
        <w:t xml:space="preserve"> </w:t>
      </w:r>
      <w:r w:rsidRPr="000F25DC">
        <w:t>in</w:t>
      </w:r>
      <w:r w:rsidRPr="000F25DC">
        <w:rPr>
          <w:spacing w:val="32"/>
        </w:rPr>
        <w:t xml:space="preserve"> </w:t>
      </w:r>
      <w:r w:rsidRPr="000F25DC">
        <w:t>the</w:t>
      </w:r>
      <w:r w:rsidRPr="000F25DC">
        <w:rPr>
          <w:spacing w:val="34"/>
        </w:rPr>
        <w:t xml:space="preserve"> </w:t>
      </w:r>
      <w:r w:rsidRPr="000F25DC">
        <w:t>One-Stop</w:t>
      </w:r>
      <w:r w:rsidRPr="000F25DC">
        <w:rPr>
          <w:spacing w:val="34"/>
        </w:rPr>
        <w:t xml:space="preserve"> </w:t>
      </w:r>
      <w:r w:rsidRPr="000F25DC">
        <w:t>system's</w:t>
      </w:r>
      <w:r w:rsidRPr="000F25DC">
        <w:rPr>
          <w:spacing w:val="33"/>
        </w:rPr>
        <w:t xml:space="preserve"> </w:t>
      </w:r>
      <w:r w:rsidRPr="000F25DC">
        <w:t>operation</w:t>
      </w:r>
      <w:r w:rsidRPr="000F25DC">
        <w:rPr>
          <w:spacing w:val="32"/>
        </w:rPr>
        <w:t xml:space="preserve"> </w:t>
      </w:r>
      <w:r w:rsidRPr="000F25DC">
        <w:t>according</w:t>
      </w:r>
      <w:r w:rsidRPr="000F25DC">
        <w:rPr>
          <w:spacing w:val="33"/>
        </w:rPr>
        <w:t xml:space="preserve"> </w:t>
      </w:r>
      <w:r w:rsidRPr="000F25DC">
        <w:t>to</w:t>
      </w:r>
      <w:r w:rsidRPr="000F25DC">
        <w:rPr>
          <w:spacing w:val="34"/>
        </w:rPr>
        <w:t xml:space="preserve"> </w:t>
      </w:r>
      <w:r w:rsidRPr="000F25DC">
        <w:t>the</w:t>
      </w:r>
      <w:r w:rsidRPr="000F25DC">
        <w:rPr>
          <w:spacing w:val="31"/>
        </w:rPr>
        <w:t xml:space="preserve"> </w:t>
      </w:r>
      <w:r w:rsidRPr="000F25DC">
        <w:t>MOU</w:t>
      </w:r>
      <w:r w:rsidRPr="000F25DC">
        <w:rPr>
          <w:spacing w:val="33"/>
        </w:rPr>
        <w:t xml:space="preserve"> </w:t>
      </w:r>
      <w:r w:rsidRPr="000F25DC">
        <w:t>and</w:t>
      </w:r>
      <w:r w:rsidRPr="000F25DC">
        <w:rPr>
          <w:spacing w:val="34"/>
        </w:rPr>
        <w:t xml:space="preserve"> </w:t>
      </w:r>
      <w:r w:rsidRPr="000F25DC">
        <w:t xml:space="preserve">applicable </w:t>
      </w:r>
      <w:r w:rsidRPr="000F25DC">
        <w:rPr>
          <w:spacing w:val="-2"/>
        </w:rPr>
        <w:t>laws.</w:t>
      </w:r>
    </w:p>
    <w:p w14:paraId="34603A4F" w14:textId="225A0754" w:rsidR="006420CB" w:rsidRPr="000F25DC" w:rsidRDefault="00F42780" w:rsidP="00F42780">
      <w:pPr>
        <w:pStyle w:val="BodyText3"/>
        <w:ind w:left="720" w:hanging="720"/>
      </w:pPr>
      <w:r>
        <w:t>I.</w:t>
      </w:r>
      <w:r>
        <w:tab/>
      </w:r>
      <w:r w:rsidR="006420CB" w:rsidRPr="000F25DC">
        <w:t>If</w:t>
      </w:r>
      <w:r w:rsidR="006420CB" w:rsidRPr="000F25DC">
        <w:rPr>
          <w:spacing w:val="-3"/>
        </w:rPr>
        <w:t xml:space="preserve"> </w:t>
      </w:r>
      <w:r w:rsidR="006420CB" w:rsidRPr="000F25DC">
        <w:t>the</w:t>
      </w:r>
      <w:r w:rsidR="006420CB" w:rsidRPr="000F25DC">
        <w:rPr>
          <w:spacing w:val="-2"/>
        </w:rPr>
        <w:t xml:space="preserve"> </w:t>
      </w:r>
      <w:r w:rsidR="006420CB" w:rsidRPr="000F25DC">
        <w:t>division</w:t>
      </w:r>
      <w:r w:rsidR="006420CB" w:rsidRPr="000F25DC">
        <w:rPr>
          <w:spacing w:val="-1"/>
        </w:rPr>
        <w:t xml:space="preserve"> </w:t>
      </w:r>
      <w:r w:rsidR="006420CB" w:rsidRPr="000F25DC">
        <w:t>or</w:t>
      </w:r>
      <w:r w:rsidR="006420CB" w:rsidRPr="000F25DC">
        <w:rPr>
          <w:spacing w:val="-3"/>
        </w:rPr>
        <w:t xml:space="preserve"> </w:t>
      </w:r>
      <w:r w:rsidR="006420CB" w:rsidRPr="000F25DC">
        <w:t>program</w:t>
      </w:r>
      <w:r w:rsidR="006420CB" w:rsidRPr="000F25DC">
        <w:rPr>
          <w:spacing w:val="-2"/>
        </w:rPr>
        <w:t xml:space="preserve"> </w:t>
      </w:r>
      <w:r w:rsidR="006420CB" w:rsidRPr="000F25DC">
        <w:t>works</w:t>
      </w:r>
      <w:r w:rsidR="006420CB" w:rsidRPr="000F25DC">
        <w:rPr>
          <w:spacing w:val="-1"/>
        </w:rPr>
        <w:t xml:space="preserve"> </w:t>
      </w:r>
      <w:r w:rsidR="006420CB" w:rsidRPr="000F25DC">
        <w:t>with</w:t>
      </w:r>
      <w:r w:rsidR="006420CB" w:rsidRPr="000F25DC">
        <w:rPr>
          <w:spacing w:val="-3"/>
        </w:rPr>
        <w:t xml:space="preserve"> </w:t>
      </w:r>
      <w:r w:rsidR="006420CB" w:rsidRPr="000F25DC">
        <w:t>local,</w:t>
      </w:r>
      <w:r w:rsidR="006420CB" w:rsidRPr="000F25DC">
        <w:rPr>
          <w:spacing w:val="-3"/>
        </w:rPr>
        <w:t xml:space="preserve"> </w:t>
      </w:r>
      <w:r w:rsidR="006420CB" w:rsidRPr="000F25DC">
        <w:t>regional,</w:t>
      </w:r>
      <w:r w:rsidR="006420CB" w:rsidRPr="000F25DC">
        <w:rPr>
          <w:spacing w:val="-3"/>
        </w:rPr>
        <w:t xml:space="preserve"> </w:t>
      </w:r>
      <w:r w:rsidR="006420CB" w:rsidRPr="000F25DC">
        <w:t>or federal</w:t>
      </w:r>
      <w:r w:rsidR="006420CB" w:rsidRPr="000F25DC">
        <w:rPr>
          <w:spacing w:val="-3"/>
        </w:rPr>
        <w:t xml:space="preserve"> </w:t>
      </w:r>
      <w:r w:rsidR="006420CB" w:rsidRPr="000F25DC">
        <w:t>units</w:t>
      </w:r>
      <w:r w:rsidR="006420CB" w:rsidRPr="000F25DC">
        <w:rPr>
          <w:spacing w:val="-1"/>
        </w:rPr>
        <w:t xml:space="preserve"> </w:t>
      </w:r>
      <w:r w:rsidR="006420CB" w:rsidRPr="000F25DC">
        <w:t>of</w:t>
      </w:r>
      <w:r w:rsidR="006420CB" w:rsidRPr="000F25DC">
        <w:rPr>
          <w:spacing w:val="-3"/>
        </w:rPr>
        <w:t xml:space="preserve"> </w:t>
      </w:r>
      <w:r w:rsidR="006420CB" w:rsidRPr="000F25DC">
        <w:t>government,</w:t>
      </w:r>
      <w:r w:rsidR="006420CB" w:rsidRPr="000F25DC">
        <w:rPr>
          <w:spacing w:val="-1"/>
        </w:rPr>
        <w:t xml:space="preserve"> </w:t>
      </w:r>
      <w:r w:rsidR="006420CB" w:rsidRPr="000F25DC">
        <w:t>include a brief description of these entities and their relationship to the agency.</w:t>
      </w:r>
    </w:p>
    <w:p w14:paraId="6AA9AEFB" w14:textId="77777777" w:rsidR="006420CB" w:rsidRPr="000F25DC" w:rsidRDefault="006420CB" w:rsidP="00F42780">
      <w:pPr>
        <w:pStyle w:val="BodyText"/>
      </w:pPr>
      <w:r w:rsidRPr="000F25DC">
        <w:rPr>
          <w:rFonts w:eastAsia="Times New Roman"/>
        </w:rPr>
        <w:t>Local Workforce Development Boards</w:t>
      </w:r>
      <w:r>
        <w:rPr>
          <w:rFonts w:eastAsia="Times New Roman"/>
        </w:rPr>
        <w:t xml:space="preserve"> –</w:t>
      </w:r>
      <w:r w:rsidRPr="000F25DC">
        <w:rPr>
          <w:shd w:val="clear" w:color="auto" w:fill="FFFFFF"/>
        </w:rPr>
        <w:t xml:space="preserve"> </w:t>
      </w:r>
      <w:r>
        <w:rPr>
          <w:shd w:val="clear" w:color="auto" w:fill="FFFFFF"/>
        </w:rPr>
        <w:t>Boards</w:t>
      </w:r>
      <w:r w:rsidRPr="000F25DC">
        <w:rPr>
          <w:shd w:val="clear" w:color="auto" w:fill="FFFFFF"/>
        </w:rPr>
        <w:t xml:space="preserve"> are responsible for assessing community needs, developing a local workforce plan that includes AEL, overseeing the performance of AEL providers, and ensuring alignment with regional economic development goals. Essentially, TWC sets the statewide strategy and provides funding, while </w:t>
      </w:r>
      <w:r>
        <w:rPr>
          <w:shd w:val="clear" w:color="auto" w:fill="FFFFFF"/>
        </w:rPr>
        <w:t>Boards</w:t>
      </w:r>
      <w:r w:rsidRPr="000F25DC">
        <w:rPr>
          <w:shd w:val="clear" w:color="auto" w:fill="FFFFFF"/>
        </w:rPr>
        <w:t xml:space="preserve"> implement the strategy at the local level.</w:t>
      </w:r>
    </w:p>
    <w:p w14:paraId="0AAABB90" w14:textId="77777777" w:rsidR="006420CB" w:rsidRPr="00F42780" w:rsidRDefault="006420CB" w:rsidP="00F42780">
      <w:pPr>
        <w:pStyle w:val="BodyText"/>
      </w:pPr>
      <w:r w:rsidRPr="00F42780">
        <w:t xml:space="preserve">AEL Providers – AEL providers are contracted by Boards to provide direct services. They are accountable to the Board for meeting performance goals and adhering to state and federal regulations. TWC sets the overall performance standards and provides technical assistance to both Boards and providers. These are typically community colleges, school districts, community-based organizations, and other non-profit entities that directly deliver AEL services to adults.  TWC ensures that funding is allocated to each county in the state and each applicant chooses which counties they will serve if selected for an award. These counties roll up into designated Board areas. As part of the state’s competitive application </w:t>
      </w:r>
      <w:r w:rsidRPr="00F42780">
        <w:lastRenderedPageBreak/>
        <w:t>for AEL funding, each applicant must demonstrate how it will align services to support the needs of the Board areas included in its application.</w:t>
      </w:r>
    </w:p>
    <w:p w14:paraId="52EA37C3" w14:textId="77777777" w:rsidR="006420CB" w:rsidRPr="000F25DC" w:rsidRDefault="006420CB" w:rsidP="00F42780">
      <w:pPr>
        <w:pStyle w:val="BodyText"/>
      </w:pPr>
      <w:r w:rsidRPr="000F25DC">
        <w:t xml:space="preserve">Texas Education Agency </w:t>
      </w:r>
      <w:r>
        <w:t xml:space="preserve">– </w:t>
      </w:r>
      <w:r w:rsidRPr="000F25DC">
        <w:t>TWC and TEA have a</w:t>
      </w:r>
      <w:r>
        <w:t xml:space="preserve">n </w:t>
      </w:r>
      <w:r w:rsidRPr="000F25DC">
        <w:t>MOU that promotes collaboration and coordination between adult education and secondary education. This is particularly important for programs that serve students who are transitioning between secondary and adult education or who are pursuing dual enrollment options. Collaboration also addresses issues like data sharing and alignment of curriculum standards.</w:t>
      </w:r>
    </w:p>
    <w:p w14:paraId="7E6A135F" w14:textId="77777777" w:rsidR="006420CB" w:rsidRPr="000F25DC" w:rsidRDefault="006420CB" w:rsidP="00F42780">
      <w:pPr>
        <w:pStyle w:val="BodyText"/>
      </w:pPr>
      <w:r w:rsidRPr="000F25DC">
        <w:t>Texas Higher Education Coordinating Board</w:t>
      </w:r>
      <w:r>
        <w:t xml:space="preserve"> –</w:t>
      </w:r>
      <w:r w:rsidRPr="000F25DC">
        <w:t xml:space="preserve"> TWC collaborates with THECB to ensure that AEL programs are aligned with postsecondary education and training opportunities. This includes developing pathways for AEL students to transition into college programs and ensuring that AEL curriculum prepares students for the demands of higher education.</w:t>
      </w:r>
    </w:p>
    <w:p w14:paraId="4676140E" w14:textId="77777777" w:rsidR="006420CB" w:rsidRPr="000F25DC" w:rsidRDefault="006420CB" w:rsidP="00F42780">
      <w:pPr>
        <w:pStyle w:val="BodyText"/>
      </w:pPr>
      <w:r w:rsidRPr="000F25DC">
        <w:t>U.S. Department of Education</w:t>
      </w:r>
      <w:r>
        <w:t xml:space="preserve">, </w:t>
      </w:r>
      <w:r w:rsidRPr="000F25DC">
        <w:t>Office of Career, Technical, and Adult Education</w:t>
      </w:r>
      <w:r>
        <w:t xml:space="preserve"> –</w:t>
      </w:r>
      <w:r w:rsidRPr="000F25DC">
        <w:t xml:space="preserve"> OCTAE provides funding and guidance to TWC for adult education programs. </w:t>
      </w:r>
    </w:p>
    <w:p w14:paraId="3AEC3055" w14:textId="77777777" w:rsidR="006420CB" w:rsidRPr="000F25DC" w:rsidRDefault="006420CB" w:rsidP="00F42780">
      <w:pPr>
        <w:pStyle w:val="BodyText"/>
      </w:pPr>
      <w:r w:rsidRPr="000F25DC">
        <w:t xml:space="preserve">Texas Department of Criminal Justice (TDCJ) </w:t>
      </w:r>
      <w:r>
        <w:t>–</w:t>
      </w:r>
      <w:r w:rsidRPr="000F25DC">
        <w:t xml:space="preserve"> TWC partners with TDCJ to provide education programs for inmates, which prepares them for success upon release.</w:t>
      </w:r>
    </w:p>
    <w:p w14:paraId="1206FF27" w14:textId="15D400E5" w:rsidR="006420CB" w:rsidRPr="000F25DC" w:rsidRDefault="009263D0" w:rsidP="009263D0">
      <w:pPr>
        <w:pStyle w:val="BodyText3"/>
        <w:ind w:left="720" w:hanging="720"/>
      </w:pPr>
      <w:r>
        <w:t>J.</w:t>
      </w:r>
      <w:r>
        <w:tab/>
      </w:r>
      <w:r w:rsidR="006420CB" w:rsidRPr="000F25DC">
        <w:t>Are there any barriers or challenges that impede the division or</w:t>
      </w:r>
      <w:r w:rsidR="006420CB" w:rsidRPr="000F25DC">
        <w:rPr>
          <w:spacing w:val="27"/>
        </w:rPr>
        <w:t xml:space="preserve"> </w:t>
      </w:r>
      <w:r w:rsidR="006420CB" w:rsidRPr="000F25DC">
        <w:t>program’s performance,</w:t>
      </w:r>
      <w:r w:rsidR="006420CB" w:rsidRPr="000F25DC">
        <w:rPr>
          <w:spacing w:val="80"/>
        </w:rPr>
        <w:t xml:space="preserve"> </w:t>
      </w:r>
      <w:r w:rsidR="006420CB" w:rsidRPr="000F25DC">
        <w:t>including any outdated or ineffective state laws? Explain.</w:t>
      </w:r>
    </w:p>
    <w:p w14:paraId="46CEE463" w14:textId="77777777" w:rsidR="006420CB" w:rsidRPr="009263D0" w:rsidRDefault="006420CB" w:rsidP="009263D0">
      <w:pPr>
        <w:pStyle w:val="BodyText"/>
      </w:pPr>
      <w:r w:rsidRPr="009263D0">
        <w:t>Since 2014, TWC has created and implemented a strategic plan for the AEL program to maximize available funding that supports career pathway services for lower skilled adults. These services allow AEL participants to receive basic literacy and numeracy instruction, complete workforce training, and, as a result, contribute to and benefit from the growing Texas economy.</w:t>
      </w:r>
    </w:p>
    <w:p w14:paraId="0A1C78B8" w14:textId="77777777" w:rsidR="006420CB" w:rsidRPr="009263D0" w:rsidRDefault="006420CB" w:rsidP="009263D0">
      <w:pPr>
        <w:pStyle w:val="BodyText"/>
      </w:pPr>
      <w:r w:rsidRPr="009263D0">
        <w:t>There is a growing need for AEL services, but the state contribution of funding does not allow for the level of innovation or services Texas needs to develop and implement programs specifically designed for AEL participants. There is a higher cost associated with workforce training, support services, and tailored instruction and curriculum for adult learners. In addition, it is important to note that state funds are not bound by federal regulatory guidance, thereby allowing TWC to be more visionary in its AEL services.</w:t>
      </w:r>
    </w:p>
    <w:p w14:paraId="014FDAA7" w14:textId="77777777" w:rsidR="006420CB" w:rsidRPr="009263D0" w:rsidRDefault="006420CB" w:rsidP="009263D0">
      <w:pPr>
        <w:pStyle w:val="BodyText"/>
      </w:pPr>
      <w:r w:rsidRPr="009263D0">
        <w:t>Regardless of funding and regulatory obstacles, TWC has implemented several models to support more career pathway options for lower skilled adults. Because of this focus, the number of individuals enrolled in career pathway programs continues to grow. As a result, the need for additional state funding and greater flexibility also continues to grow.</w:t>
      </w:r>
    </w:p>
    <w:p w14:paraId="6F83E7CC" w14:textId="77777777" w:rsidR="006420CB" w:rsidRPr="009263D0" w:rsidRDefault="006420CB" w:rsidP="009263D0">
      <w:pPr>
        <w:pStyle w:val="BodyText"/>
      </w:pPr>
      <w:r w:rsidRPr="009263D0">
        <w:t xml:space="preserve">TWC is currently tracking federal Senate Bill 1400, known as the “Adult Education WORKS Act”, which was introduced in the 119th Congress this year and would amend the Adult Education and Family Literacy Act and the WIOA to strengthen adult education. This bill's proposed amendments are not expected to have a significant impact on existing program </w:t>
      </w:r>
      <w:r w:rsidRPr="009263D0">
        <w:lastRenderedPageBreak/>
        <w:t>requirements or implementation strategies if enacted. TWC is carefully tracking the bill's development.</w:t>
      </w:r>
    </w:p>
    <w:p w14:paraId="3260609E" w14:textId="77777777" w:rsidR="006420CB" w:rsidRPr="009263D0" w:rsidRDefault="006420CB" w:rsidP="009263D0">
      <w:pPr>
        <w:pStyle w:val="BodyText"/>
      </w:pPr>
      <w:proofErr w:type="gramStart"/>
      <w:r w:rsidRPr="009263D0">
        <w:t>In light of</w:t>
      </w:r>
      <w:proofErr w:type="gramEnd"/>
      <w:r w:rsidRPr="009263D0">
        <w:t xml:space="preserve"> the Presidential Executive Order issued on March 20, 2025, "Improving Education Outcomes by Empowering Parents, States, and Communities," the function, funding, and long-term sustainability of the AEL program require careful consideration. The AEL program is closely monitoring the partial or complete closure of the U.S. Department of Education and where the current functions and roles of the department (pertaining to AEL) will be reassigned, whether to the state or to other federal agencies.</w:t>
      </w:r>
    </w:p>
    <w:p w14:paraId="352D40A6" w14:textId="3A499C2E" w:rsidR="006420CB" w:rsidRPr="000F25DC" w:rsidRDefault="00485CE7" w:rsidP="00485CE7">
      <w:pPr>
        <w:pStyle w:val="BodyText3"/>
        <w:ind w:left="720" w:hanging="720"/>
      </w:pPr>
      <w:r>
        <w:t>K.</w:t>
      </w:r>
      <w:r>
        <w:tab/>
      </w:r>
      <w:r w:rsidR="006420CB" w:rsidRPr="000F25DC">
        <w:t>Provide</w:t>
      </w:r>
      <w:r w:rsidR="006420CB" w:rsidRPr="000F25DC">
        <w:rPr>
          <w:spacing w:val="40"/>
        </w:rPr>
        <w:t xml:space="preserve"> </w:t>
      </w:r>
      <w:r w:rsidR="006420CB" w:rsidRPr="000F25DC">
        <w:t>any</w:t>
      </w:r>
      <w:r w:rsidR="006420CB" w:rsidRPr="000F25DC">
        <w:rPr>
          <w:spacing w:val="40"/>
        </w:rPr>
        <w:t xml:space="preserve"> </w:t>
      </w:r>
      <w:r w:rsidR="006420CB" w:rsidRPr="000F25DC">
        <w:t>additional</w:t>
      </w:r>
      <w:r w:rsidR="006420CB" w:rsidRPr="000F25DC">
        <w:rPr>
          <w:spacing w:val="40"/>
        </w:rPr>
        <w:t xml:space="preserve"> </w:t>
      </w:r>
      <w:r w:rsidR="006420CB" w:rsidRPr="000F25DC">
        <w:t>information</w:t>
      </w:r>
      <w:r w:rsidR="006420CB" w:rsidRPr="000F25DC">
        <w:rPr>
          <w:spacing w:val="40"/>
        </w:rPr>
        <w:t xml:space="preserve"> </w:t>
      </w:r>
      <w:r w:rsidR="006420CB" w:rsidRPr="000F25DC">
        <w:t>needed</w:t>
      </w:r>
      <w:r w:rsidR="006420CB" w:rsidRPr="000F25DC">
        <w:rPr>
          <w:spacing w:val="40"/>
        </w:rPr>
        <w:t xml:space="preserve"> </w:t>
      </w:r>
      <w:r w:rsidR="006420CB" w:rsidRPr="000F25DC">
        <w:t>to</w:t>
      </w:r>
      <w:r w:rsidR="006420CB" w:rsidRPr="000F25DC">
        <w:rPr>
          <w:spacing w:val="40"/>
        </w:rPr>
        <w:t xml:space="preserve"> </w:t>
      </w:r>
      <w:r w:rsidR="006420CB" w:rsidRPr="000F25DC">
        <w:t>gain</w:t>
      </w:r>
      <w:r w:rsidR="006420CB" w:rsidRPr="000F25DC">
        <w:rPr>
          <w:spacing w:val="40"/>
        </w:rPr>
        <w:t xml:space="preserve"> </w:t>
      </w:r>
      <w:r w:rsidR="006420CB" w:rsidRPr="000F25DC">
        <w:t>a</w:t>
      </w:r>
      <w:r w:rsidR="006420CB" w:rsidRPr="000F25DC">
        <w:rPr>
          <w:spacing w:val="40"/>
        </w:rPr>
        <w:t xml:space="preserve"> </w:t>
      </w:r>
      <w:r w:rsidR="006420CB" w:rsidRPr="000F25DC">
        <w:t>preliminary</w:t>
      </w:r>
      <w:r w:rsidR="006420CB" w:rsidRPr="000F25DC">
        <w:rPr>
          <w:spacing w:val="40"/>
        </w:rPr>
        <w:t xml:space="preserve"> </w:t>
      </w:r>
      <w:r w:rsidR="006420CB" w:rsidRPr="000F25DC">
        <w:t>understanding</w:t>
      </w:r>
      <w:r w:rsidR="006420CB" w:rsidRPr="000F25DC">
        <w:rPr>
          <w:spacing w:val="39"/>
        </w:rPr>
        <w:t xml:space="preserve"> </w:t>
      </w:r>
      <w:r w:rsidR="006420CB" w:rsidRPr="000F25DC">
        <w:t>of</w:t>
      </w:r>
      <w:r w:rsidR="006420CB" w:rsidRPr="000F25DC">
        <w:rPr>
          <w:spacing w:val="40"/>
        </w:rPr>
        <w:t xml:space="preserve"> </w:t>
      </w:r>
      <w:r w:rsidR="006420CB" w:rsidRPr="000F25DC">
        <w:t>the division or program.</w:t>
      </w:r>
    </w:p>
    <w:p w14:paraId="76CBD5E8" w14:textId="77777777" w:rsidR="006420CB" w:rsidRPr="00485CE7" w:rsidRDefault="006420CB" w:rsidP="00485CE7">
      <w:pPr>
        <w:pStyle w:val="BodyText"/>
        <w:rPr>
          <w:b/>
          <w:bCs/>
        </w:rPr>
      </w:pPr>
      <w:r w:rsidRPr="00485CE7">
        <w:rPr>
          <w:b/>
          <w:bCs/>
        </w:rPr>
        <w:t>Advisory Committee Report</w:t>
      </w:r>
    </w:p>
    <w:p w14:paraId="04DA2DBB" w14:textId="77777777" w:rsidR="006420CB" w:rsidRPr="000F25DC" w:rsidRDefault="006420CB" w:rsidP="00485CE7">
      <w:pPr>
        <w:pStyle w:val="BodyText"/>
      </w:pPr>
      <w:r w:rsidRPr="000F25DC">
        <w:t>On</w:t>
      </w:r>
      <w:r w:rsidRPr="000F25DC">
        <w:rPr>
          <w:spacing w:val="-2"/>
        </w:rPr>
        <w:t xml:space="preserve"> </w:t>
      </w:r>
      <w:r w:rsidRPr="000F25DC">
        <w:t>Jan</w:t>
      </w:r>
      <w:r>
        <w:t>.</w:t>
      </w:r>
      <w:r w:rsidRPr="000F25DC">
        <w:t xml:space="preserve"> 28,</w:t>
      </w:r>
      <w:r w:rsidRPr="000F25DC">
        <w:rPr>
          <w:spacing w:val="-1"/>
        </w:rPr>
        <w:t xml:space="preserve"> </w:t>
      </w:r>
      <w:r w:rsidRPr="000F25DC">
        <w:t>2025,</w:t>
      </w:r>
      <w:r w:rsidRPr="000F25DC">
        <w:rPr>
          <w:spacing w:val="-1"/>
        </w:rPr>
        <w:t xml:space="preserve"> </w:t>
      </w:r>
      <w:r w:rsidRPr="000F25DC">
        <w:t>TWC</w:t>
      </w:r>
      <w:r w:rsidRPr="000F25DC">
        <w:rPr>
          <w:spacing w:val="-3"/>
        </w:rPr>
        <w:t xml:space="preserve"> </w:t>
      </w:r>
      <w:r w:rsidRPr="000F25DC">
        <w:t>on</w:t>
      </w:r>
      <w:r w:rsidRPr="000F25DC">
        <w:rPr>
          <w:spacing w:val="-2"/>
        </w:rPr>
        <w:t xml:space="preserve"> </w:t>
      </w:r>
      <w:r w:rsidRPr="000F25DC">
        <w:t>behalf</w:t>
      </w:r>
      <w:r w:rsidRPr="000F25DC">
        <w:rPr>
          <w:spacing w:val="-1"/>
        </w:rPr>
        <w:t xml:space="preserve"> </w:t>
      </w:r>
      <w:r w:rsidRPr="000F25DC">
        <w:t>of</w:t>
      </w:r>
      <w:r w:rsidRPr="000F25DC">
        <w:rPr>
          <w:spacing w:val="-1"/>
        </w:rPr>
        <w:t xml:space="preserve"> </w:t>
      </w:r>
      <w:r w:rsidRPr="000F25DC">
        <w:t>the presiding</w:t>
      </w:r>
      <w:r w:rsidRPr="000F25DC">
        <w:rPr>
          <w:spacing w:val="-4"/>
        </w:rPr>
        <w:t xml:space="preserve"> </w:t>
      </w:r>
      <w:r w:rsidRPr="000F25DC">
        <w:t>officer</w:t>
      </w:r>
      <w:r w:rsidRPr="000F25DC">
        <w:rPr>
          <w:spacing w:val="-3"/>
        </w:rPr>
        <w:t xml:space="preserve"> </w:t>
      </w:r>
      <w:r w:rsidRPr="000F25DC">
        <w:t>of</w:t>
      </w:r>
      <w:r w:rsidRPr="000F25DC">
        <w:rPr>
          <w:spacing w:val="-1"/>
        </w:rPr>
        <w:t xml:space="preserve"> </w:t>
      </w:r>
      <w:r w:rsidRPr="000F25DC">
        <w:t>the Adult Education</w:t>
      </w:r>
      <w:r w:rsidRPr="000F25DC">
        <w:rPr>
          <w:spacing w:val="-2"/>
        </w:rPr>
        <w:t xml:space="preserve"> </w:t>
      </w:r>
      <w:r w:rsidRPr="000F25DC">
        <w:t>and</w:t>
      </w:r>
      <w:r w:rsidRPr="000F25DC">
        <w:rPr>
          <w:spacing w:val="-2"/>
        </w:rPr>
        <w:t xml:space="preserve"> </w:t>
      </w:r>
      <w:r w:rsidRPr="000F25DC">
        <w:t>Literacy Advisory Committee</w:t>
      </w:r>
      <w:r w:rsidRPr="000F25DC">
        <w:rPr>
          <w:spacing w:val="-6"/>
        </w:rPr>
        <w:t xml:space="preserve"> </w:t>
      </w:r>
      <w:r w:rsidRPr="000F25DC">
        <w:t>presented</w:t>
      </w:r>
      <w:r w:rsidRPr="000F25DC">
        <w:rPr>
          <w:spacing w:val="-7"/>
        </w:rPr>
        <w:t xml:space="preserve"> </w:t>
      </w:r>
      <w:r w:rsidRPr="000F25DC">
        <w:t>the</w:t>
      </w:r>
      <w:r w:rsidRPr="000F25DC">
        <w:rPr>
          <w:spacing w:val="-8"/>
        </w:rPr>
        <w:t xml:space="preserve"> </w:t>
      </w:r>
      <w:hyperlink r:id="rId162">
        <w:r w:rsidRPr="000F25DC">
          <w:rPr>
            <w:color w:val="0562C1"/>
            <w:u w:val="single" w:color="0562C1"/>
          </w:rPr>
          <w:t>Adult</w:t>
        </w:r>
        <w:r w:rsidRPr="000F25DC">
          <w:rPr>
            <w:color w:val="0562C1"/>
            <w:spacing w:val="-6"/>
            <w:u w:val="single" w:color="0562C1"/>
          </w:rPr>
          <w:t xml:space="preserve"> </w:t>
        </w:r>
        <w:r w:rsidRPr="000F25DC">
          <w:rPr>
            <w:color w:val="0562C1"/>
            <w:u w:val="single" w:color="0562C1"/>
          </w:rPr>
          <w:t>Education</w:t>
        </w:r>
        <w:r w:rsidRPr="000F25DC">
          <w:rPr>
            <w:color w:val="0562C1"/>
            <w:spacing w:val="-7"/>
            <w:u w:val="single" w:color="0562C1"/>
          </w:rPr>
          <w:t xml:space="preserve"> </w:t>
        </w:r>
        <w:r w:rsidRPr="000F25DC">
          <w:rPr>
            <w:color w:val="0562C1"/>
            <w:u w:val="single" w:color="0562C1"/>
          </w:rPr>
          <w:t>and</w:t>
        </w:r>
        <w:r w:rsidRPr="000F25DC">
          <w:rPr>
            <w:color w:val="0562C1"/>
            <w:spacing w:val="-7"/>
            <w:u w:val="single" w:color="0562C1"/>
          </w:rPr>
          <w:t xml:space="preserve"> </w:t>
        </w:r>
        <w:r w:rsidRPr="000F25DC">
          <w:rPr>
            <w:color w:val="0562C1"/>
            <w:u w:val="single" w:color="0562C1"/>
          </w:rPr>
          <w:t>Literacy</w:t>
        </w:r>
        <w:r w:rsidRPr="000F25DC">
          <w:rPr>
            <w:color w:val="0562C1"/>
            <w:spacing w:val="-6"/>
            <w:u w:val="single" w:color="0562C1"/>
          </w:rPr>
          <w:t xml:space="preserve"> </w:t>
        </w:r>
        <w:r w:rsidRPr="000F25DC">
          <w:rPr>
            <w:color w:val="0562C1"/>
            <w:u w:val="single" w:color="0562C1"/>
          </w:rPr>
          <w:t>Committee’s</w:t>
        </w:r>
        <w:r w:rsidRPr="000F25DC">
          <w:rPr>
            <w:color w:val="0562C1"/>
            <w:spacing w:val="-7"/>
            <w:u w:val="single" w:color="0562C1"/>
          </w:rPr>
          <w:t xml:space="preserve"> </w:t>
        </w:r>
        <w:r w:rsidRPr="000F25DC">
          <w:rPr>
            <w:color w:val="0562C1"/>
            <w:u w:val="single" w:color="0562C1"/>
          </w:rPr>
          <w:t>Annual</w:t>
        </w:r>
        <w:r w:rsidRPr="000F25DC">
          <w:rPr>
            <w:color w:val="0562C1"/>
            <w:spacing w:val="-7"/>
            <w:u w:val="single" w:color="0562C1"/>
          </w:rPr>
          <w:t xml:space="preserve"> </w:t>
        </w:r>
        <w:r w:rsidRPr="000F25DC">
          <w:rPr>
            <w:color w:val="0562C1"/>
            <w:u w:val="single" w:color="0562C1"/>
          </w:rPr>
          <w:t>Report</w:t>
        </w:r>
        <w:r w:rsidRPr="000F25DC">
          <w:rPr>
            <w:color w:val="0562C1"/>
            <w:spacing w:val="-6"/>
            <w:u w:val="single" w:color="0562C1"/>
          </w:rPr>
          <w:t xml:space="preserve"> </w:t>
        </w:r>
        <w:r w:rsidRPr="000F25DC">
          <w:rPr>
            <w:color w:val="0562C1"/>
            <w:u w:val="single" w:color="0562C1"/>
          </w:rPr>
          <w:t>for</w:t>
        </w:r>
        <w:r w:rsidRPr="000F25DC">
          <w:rPr>
            <w:color w:val="0562C1"/>
            <w:spacing w:val="-7"/>
            <w:u w:val="single" w:color="0562C1"/>
          </w:rPr>
          <w:t xml:space="preserve"> </w:t>
        </w:r>
        <w:r w:rsidRPr="000F25DC">
          <w:rPr>
            <w:color w:val="0562C1"/>
            <w:u w:val="single" w:color="0562C1"/>
          </w:rPr>
          <w:t>2024</w:t>
        </w:r>
        <w:r w:rsidRPr="000F25DC">
          <w:t>,</w:t>
        </w:r>
      </w:hyperlink>
      <w:r w:rsidRPr="000F25DC">
        <w:rPr>
          <w:spacing w:val="-7"/>
        </w:rPr>
        <w:t xml:space="preserve"> </w:t>
      </w:r>
      <w:r w:rsidRPr="000F25DC">
        <w:t>pursuant</w:t>
      </w:r>
      <w:r w:rsidRPr="000F25DC">
        <w:rPr>
          <w:spacing w:val="-6"/>
        </w:rPr>
        <w:t xml:space="preserve"> </w:t>
      </w:r>
      <w:r w:rsidRPr="000F25DC">
        <w:t xml:space="preserve">to </w:t>
      </w:r>
      <w:hyperlink r:id="rId163">
        <w:r w:rsidRPr="000F25DC">
          <w:t xml:space="preserve"> §315.005,</w:t>
        </w:r>
      </w:hyperlink>
      <w:r w:rsidRPr="000F25DC">
        <w:t xml:space="preserve"> to the Commission. The Advisory Committee consists of nine members who represent various community entities, including the required business and workforce development board. Two recommendations were provided to the </w:t>
      </w:r>
      <w:r>
        <w:t>C</w:t>
      </w:r>
      <w:r w:rsidRPr="000F25DC">
        <w:t>ommission:</w:t>
      </w:r>
    </w:p>
    <w:p w14:paraId="7890E713" w14:textId="77777777" w:rsidR="006420CB" w:rsidRPr="000F25DC" w:rsidRDefault="006420CB" w:rsidP="00C64851">
      <w:pPr>
        <w:pStyle w:val="BodyText"/>
        <w:numPr>
          <w:ilvl w:val="0"/>
          <w:numId w:val="837"/>
        </w:numPr>
      </w:pPr>
      <w:r w:rsidRPr="000F25DC">
        <w:t xml:space="preserve">Strengthen collaboration with Texas employers to provide AEL customers, including special populations, with vocational and employability skills, supporting a "no wrong door" approach and meeting employer </w:t>
      </w:r>
      <w:r w:rsidRPr="008C01F6">
        <w:rPr>
          <w:spacing w:val="-2"/>
        </w:rPr>
        <w:t>needs.</w:t>
      </w:r>
    </w:p>
    <w:p w14:paraId="456AA7CD" w14:textId="77777777" w:rsidR="006420CB" w:rsidRPr="000F25DC" w:rsidRDefault="006420CB" w:rsidP="00C64851">
      <w:pPr>
        <w:pStyle w:val="BodyText"/>
        <w:numPr>
          <w:ilvl w:val="0"/>
          <w:numId w:val="837"/>
        </w:numPr>
      </w:pPr>
      <w:r w:rsidRPr="000F25DC">
        <w:t xml:space="preserve">Revise the AEL Strategic Plan to include quantitative metrics, creating a public dashboard. This will increase transparency and accountability by tracking key performance indicators, measuring program effectiveness, and informing data-driven decisions to improve outcomes and meet employer </w:t>
      </w:r>
      <w:r w:rsidRPr="008C01F6">
        <w:rPr>
          <w:spacing w:val="-2"/>
        </w:rPr>
        <w:t xml:space="preserve">needs. </w:t>
      </w:r>
      <w:r w:rsidRPr="000F25DC">
        <w:t xml:space="preserve">Regulatory programs relate to the licensing, registration, certification, or permitting of a person, business, piece of equipment, or other entity (e.g., a facility). For each regulatory program, if applicable, </w:t>
      </w:r>
      <w:r w:rsidRPr="008C01F6">
        <w:rPr>
          <w:spacing w:val="-2"/>
        </w:rPr>
        <w:t>describe:</w:t>
      </w:r>
    </w:p>
    <w:p w14:paraId="27B42FC0" w14:textId="77777777" w:rsidR="006420CB" w:rsidRPr="002D3857" w:rsidRDefault="006420CB" w:rsidP="00C64851">
      <w:pPr>
        <w:pStyle w:val="BodyText"/>
        <w:numPr>
          <w:ilvl w:val="0"/>
          <w:numId w:val="838"/>
        </w:numPr>
      </w:pPr>
      <w:r>
        <w:t>W</w:t>
      </w:r>
      <w:r w:rsidRPr="002D3857">
        <w:t>hy the regulation is needed</w:t>
      </w:r>
      <w:r>
        <w:t>.</w:t>
      </w:r>
    </w:p>
    <w:p w14:paraId="4698AF24" w14:textId="77777777" w:rsidR="006420CB" w:rsidRPr="002D3857" w:rsidRDefault="006420CB" w:rsidP="00C64851">
      <w:pPr>
        <w:pStyle w:val="BodyText"/>
        <w:numPr>
          <w:ilvl w:val="0"/>
          <w:numId w:val="838"/>
        </w:numPr>
      </w:pPr>
      <w:r>
        <w:t>T</w:t>
      </w:r>
      <w:r w:rsidRPr="002D3857">
        <w:t>he scope of, and procedures for, inspections or audits of regulated entities</w:t>
      </w:r>
      <w:r>
        <w:t>.</w:t>
      </w:r>
    </w:p>
    <w:p w14:paraId="6A83E279" w14:textId="77777777" w:rsidR="006420CB" w:rsidRPr="002D3857" w:rsidRDefault="006420CB" w:rsidP="00C64851">
      <w:pPr>
        <w:pStyle w:val="BodyText"/>
        <w:numPr>
          <w:ilvl w:val="0"/>
          <w:numId w:val="838"/>
        </w:numPr>
      </w:pPr>
      <w:r>
        <w:t>F</w:t>
      </w:r>
      <w:r w:rsidRPr="002D3857">
        <w:t>ollow-up activities conducted when non-compliance is identified</w:t>
      </w:r>
      <w:r>
        <w:t>.</w:t>
      </w:r>
    </w:p>
    <w:p w14:paraId="60943976" w14:textId="77777777" w:rsidR="006420CB" w:rsidRPr="002D3857" w:rsidRDefault="006420CB" w:rsidP="00C64851">
      <w:pPr>
        <w:pStyle w:val="BodyText"/>
        <w:numPr>
          <w:ilvl w:val="0"/>
          <w:numId w:val="838"/>
        </w:numPr>
      </w:pPr>
      <w:r>
        <w:t>A</w:t>
      </w:r>
      <w:r w:rsidRPr="002D3857">
        <w:t>ctions available to the agency to ensure compliance</w:t>
      </w:r>
      <w:r>
        <w:t>.</w:t>
      </w:r>
    </w:p>
    <w:p w14:paraId="316D4739" w14:textId="77777777" w:rsidR="006420CB" w:rsidRPr="002D3857" w:rsidRDefault="006420CB" w:rsidP="00C64851">
      <w:pPr>
        <w:pStyle w:val="BodyText"/>
        <w:numPr>
          <w:ilvl w:val="0"/>
          <w:numId w:val="838"/>
        </w:numPr>
      </w:pPr>
      <w:r>
        <w:t>P</w:t>
      </w:r>
      <w:r w:rsidRPr="002D3857">
        <w:t>rocedures for handling consumer/public complaints against regulated entities.</w:t>
      </w:r>
    </w:p>
    <w:p w14:paraId="1322291B" w14:textId="75D34C7B" w:rsidR="006420CB" w:rsidRPr="000F25DC" w:rsidRDefault="00CA49E3" w:rsidP="00CA49E3">
      <w:pPr>
        <w:pStyle w:val="BodyText3"/>
        <w:ind w:left="720" w:hanging="720"/>
      </w:pPr>
      <w:r>
        <w:lastRenderedPageBreak/>
        <w:t>L.</w:t>
      </w:r>
      <w:r>
        <w:tab/>
      </w:r>
      <w:r w:rsidR="006420CB" w:rsidRPr="000F25DC">
        <w:t>Regulatory programs relate to the licensing, registration, certification, or permitting of a person, business, piece of equipment, or other entity (e.g., a facility). For each regulatory program, if applicable, describe:</w:t>
      </w:r>
    </w:p>
    <w:p w14:paraId="41425A54" w14:textId="77777777" w:rsidR="006420CB" w:rsidRPr="000F25DC" w:rsidRDefault="006420CB" w:rsidP="00CA49E3">
      <w:pPr>
        <w:pStyle w:val="BodyText"/>
      </w:pPr>
      <w:r w:rsidRPr="000F25DC">
        <w:t>N</w:t>
      </w:r>
      <w:r>
        <w:t>/A</w:t>
      </w:r>
    </w:p>
    <w:p w14:paraId="1BF5728A" w14:textId="6A5F2E1B" w:rsidR="006420CB" w:rsidRPr="000F25DC" w:rsidRDefault="00CA49E3" w:rsidP="00CA49E3">
      <w:pPr>
        <w:pStyle w:val="BodyText3"/>
        <w:ind w:left="720" w:hanging="720"/>
      </w:pPr>
      <w:r>
        <w:t>M.</w:t>
      </w:r>
      <w:r>
        <w:tab/>
      </w:r>
      <w:r w:rsidR="006420CB" w:rsidRPr="000F25DC">
        <w:t>For each regulatory</w:t>
      </w:r>
      <w:r w:rsidR="006420CB" w:rsidRPr="000F25DC">
        <w:rPr>
          <w:spacing w:val="-1"/>
        </w:rPr>
        <w:t xml:space="preserve"> </w:t>
      </w:r>
      <w:r w:rsidR="006420CB" w:rsidRPr="000F25DC">
        <w:t>program, if applicable, provide</w:t>
      </w:r>
      <w:r w:rsidR="006420CB" w:rsidRPr="000F25DC">
        <w:rPr>
          <w:spacing w:val="-1"/>
        </w:rPr>
        <w:t xml:space="preserve"> </w:t>
      </w:r>
      <w:r w:rsidR="006420CB" w:rsidRPr="000F25DC">
        <w:t>detailed information on complaint and regulatory actions, including investigations and complaint resolutions. The data should cover the last five fiscal years and give a complete picture of the program’s regulatory activity, including</w:t>
      </w:r>
      <w:r w:rsidR="006420CB" w:rsidRPr="000F25DC">
        <w:rPr>
          <w:spacing w:val="-12"/>
        </w:rPr>
        <w:t xml:space="preserve"> </w:t>
      </w:r>
      <w:r w:rsidR="006420CB" w:rsidRPr="000F25DC">
        <w:t>comprehensive</w:t>
      </w:r>
      <w:r w:rsidR="006420CB" w:rsidRPr="000F25DC">
        <w:rPr>
          <w:spacing w:val="-12"/>
        </w:rPr>
        <w:t xml:space="preserve"> </w:t>
      </w:r>
      <w:r w:rsidR="006420CB" w:rsidRPr="000F25DC">
        <w:t>information</w:t>
      </w:r>
      <w:r w:rsidR="006420CB" w:rsidRPr="000F25DC">
        <w:rPr>
          <w:spacing w:val="-10"/>
        </w:rPr>
        <w:t xml:space="preserve"> </w:t>
      </w:r>
      <w:r w:rsidR="006420CB" w:rsidRPr="000F25DC">
        <w:t>from</w:t>
      </w:r>
      <w:r w:rsidR="006420CB" w:rsidRPr="000F25DC">
        <w:rPr>
          <w:spacing w:val="-12"/>
        </w:rPr>
        <w:t xml:space="preserve"> </w:t>
      </w:r>
      <w:r w:rsidR="006420CB" w:rsidRPr="000F25DC">
        <w:t>initiation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complaint</w:t>
      </w:r>
      <w:r w:rsidR="006420CB" w:rsidRPr="000F25DC">
        <w:rPr>
          <w:spacing w:val="-10"/>
        </w:rPr>
        <w:t xml:space="preserve"> </w:t>
      </w:r>
      <w:r w:rsidR="006420CB" w:rsidRPr="000F25DC">
        <w:t>to</w:t>
      </w:r>
      <w:r w:rsidR="006420CB" w:rsidRPr="000F25DC">
        <w:rPr>
          <w:spacing w:val="-13"/>
        </w:rPr>
        <w:t xml:space="preserve"> </w:t>
      </w:r>
      <w:r w:rsidR="006420CB" w:rsidRPr="000F25DC">
        <w:t>resolution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case.</w:t>
      </w:r>
      <w:r w:rsidR="006420CB" w:rsidRPr="000F25DC">
        <w:rPr>
          <w:spacing w:val="-10"/>
        </w:rPr>
        <w:t xml:space="preserve"> </w:t>
      </w:r>
      <w:r w:rsidR="006420CB" w:rsidRPr="000F25DC">
        <w:t>The purpose</w:t>
      </w:r>
      <w:r w:rsidR="006420CB" w:rsidRPr="000F25DC">
        <w:rPr>
          <w:spacing w:val="-14"/>
        </w:rPr>
        <w:t xml:space="preserve"> </w:t>
      </w:r>
      <w:r w:rsidR="006420CB" w:rsidRPr="000F25DC">
        <w:t>of</w:t>
      </w:r>
      <w:r w:rsidR="006420CB" w:rsidRPr="000F25DC">
        <w:rPr>
          <w:spacing w:val="-14"/>
        </w:rPr>
        <w:t xml:space="preserve"> </w:t>
      </w:r>
      <w:r w:rsidR="006420CB" w:rsidRPr="000F25DC">
        <w:t>the</w:t>
      </w:r>
      <w:r w:rsidR="006420CB" w:rsidRPr="000F25DC">
        <w:rPr>
          <w:spacing w:val="-13"/>
        </w:rPr>
        <w:t xml:space="preserve"> </w:t>
      </w:r>
      <w:r w:rsidR="006420CB" w:rsidRPr="000F25DC">
        <w:t>table</w:t>
      </w:r>
      <w:r w:rsidR="006420CB" w:rsidRPr="000F25DC">
        <w:rPr>
          <w:spacing w:val="-14"/>
        </w:rPr>
        <w:t xml:space="preserve"> </w:t>
      </w:r>
      <w:r w:rsidR="006420CB" w:rsidRPr="000F25DC">
        <w:t>is</w:t>
      </w:r>
      <w:r w:rsidR="006420CB" w:rsidRPr="000F25DC">
        <w:rPr>
          <w:spacing w:val="-13"/>
        </w:rPr>
        <w:t xml:space="preserve"> </w:t>
      </w:r>
      <w:r w:rsidR="006420CB" w:rsidRPr="000F25DC">
        <w:t>to</w:t>
      </w:r>
      <w:r w:rsidR="006420CB" w:rsidRPr="000F25DC">
        <w:rPr>
          <w:spacing w:val="-14"/>
        </w:rPr>
        <w:t xml:space="preserve"> </w:t>
      </w:r>
      <w:r w:rsidR="006420CB" w:rsidRPr="000F25DC">
        <w:t>create</w:t>
      </w:r>
      <w:r w:rsidR="006420CB" w:rsidRPr="000F25DC">
        <w:rPr>
          <w:spacing w:val="-13"/>
        </w:rPr>
        <w:t xml:space="preserve"> </w:t>
      </w:r>
      <w:r w:rsidR="006420CB" w:rsidRPr="000F25DC">
        <w:t>uniformity</w:t>
      </w:r>
      <w:r w:rsidR="006420CB" w:rsidRPr="000F25DC">
        <w:rPr>
          <w:spacing w:val="-14"/>
        </w:rPr>
        <w:t xml:space="preserve"> </w:t>
      </w:r>
      <w:r w:rsidR="006420CB" w:rsidRPr="000F25DC">
        <w:t>across</w:t>
      </w:r>
      <w:r w:rsidR="006420CB" w:rsidRPr="000F25DC">
        <w:rPr>
          <w:spacing w:val="-14"/>
        </w:rPr>
        <w:t xml:space="preserve"> </w:t>
      </w:r>
      <w:r w:rsidR="006420CB" w:rsidRPr="000F25DC">
        <w:t>agencies</w:t>
      </w:r>
      <w:r w:rsidR="006420CB" w:rsidRPr="000F25DC">
        <w:rPr>
          <w:spacing w:val="-13"/>
        </w:rPr>
        <w:t xml:space="preserve"> </w:t>
      </w:r>
      <w:r w:rsidR="006420CB" w:rsidRPr="000F25DC">
        <w:t>under</w:t>
      </w:r>
      <w:r w:rsidR="006420CB" w:rsidRPr="000F25DC">
        <w:rPr>
          <w:spacing w:val="-14"/>
        </w:rPr>
        <w:t xml:space="preserve"> </w:t>
      </w:r>
      <w:r w:rsidR="006420CB" w:rsidRPr="000F25DC">
        <w:t>review</w:t>
      </w:r>
      <w:r w:rsidR="006420CB" w:rsidRPr="000F25DC">
        <w:rPr>
          <w:spacing w:val="-13"/>
        </w:rPr>
        <w:t xml:space="preserve"> </w:t>
      </w:r>
      <w:r w:rsidR="006420CB" w:rsidRPr="000F25DC">
        <w:t>to</w:t>
      </w:r>
      <w:r w:rsidR="006420CB" w:rsidRPr="000F25DC">
        <w:rPr>
          <w:spacing w:val="-14"/>
        </w:rPr>
        <w:t xml:space="preserve"> </w:t>
      </w:r>
      <w:r w:rsidR="006420CB" w:rsidRPr="000F25DC">
        <w:t>the</w:t>
      </w:r>
      <w:r w:rsidR="006420CB" w:rsidRPr="000F25DC">
        <w:rPr>
          <w:spacing w:val="-13"/>
        </w:rPr>
        <w:t xml:space="preserve"> </w:t>
      </w:r>
      <w:r w:rsidR="006420CB" w:rsidRPr="000F25DC">
        <w:t>extent</w:t>
      </w:r>
      <w:r w:rsidR="006420CB" w:rsidRPr="000F25DC">
        <w:rPr>
          <w:spacing w:val="-14"/>
        </w:rPr>
        <w:t xml:space="preserve"> </w:t>
      </w:r>
      <w:r w:rsidR="006420CB"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5AEC790D" w14:textId="77777777" w:rsidR="00791CA6" w:rsidRDefault="006420CB" w:rsidP="0034038B">
      <w:pPr>
        <w:pStyle w:val="BodyText"/>
      </w:pPr>
      <w:r w:rsidRPr="000F25DC">
        <w:t>N</w:t>
      </w:r>
      <w:r>
        <w:t>/A</w:t>
      </w:r>
    </w:p>
    <w:p w14:paraId="32AA5E6F" w14:textId="3CECDF62" w:rsidR="006420CB" w:rsidRDefault="006420CB" w:rsidP="0034038B">
      <w:pPr>
        <w:pStyle w:val="BodyText"/>
      </w:pPr>
    </w:p>
    <w:p w14:paraId="4CF590DB" w14:textId="77777777" w:rsidR="006420CB" w:rsidRDefault="006420CB" w:rsidP="00CA49E3">
      <w:pPr>
        <w:pStyle w:val="BodyText3"/>
      </w:pPr>
      <w:bookmarkStart w:id="249" w:name="Apprenticeship"/>
      <w:bookmarkStart w:id="250" w:name="_Toc1667359576"/>
      <w:bookmarkStart w:id="251" w:name="_Toc204688535"/>
      <w:bookmarkEnd w:id="249"/>
      <w:r w:rsidRPr="061A6DF0">
        <w:t>Apprenticeship</w:t>
      </w:r>
      <w:bookmarkEnd w:id="250"/>
      <w:bookmarkEnd w:id="251"/>
    </w:p>
    <w:p w14:paraId="6936551B" w14:textId="77777777" w:rsidR="006420CB" w:rsidRPr="00CA49E3" w:rsidRDefault="006420CB" w:rsidP="00CA49E3">
      <w:pPr>
        <w:pStyle w:val="BodyText3"/>
        <w:rPr>
          <w:rStyle w:val="HeaderChar"/>
          <w:rFonts w:ascii="Arial" w:hAnsi="Arial"/>
          <w:sz w:val="22"/>
          <w:szCs w:val="16"/>
        </w:rPr>
      </w:pPr>
      <w:r w:rsidRPr="00CA49E3">
        <w:rPr>
          <w:rStyle w:val="HeaderChar"/>
          <w:rFonts w:ascii="Arial" w:hAnsi="Arial"/>
          <w:sz w:val="22"/>
          <w:szCs w:val="16"/>
        </w:rPr>
        <w:t>A.</w:t>
      </w:r>
      <w:r w:rsidRPr="00CA49E3">
        <w:rPr>
          <w:rStyle w:val="HeaderChar"/>
          <w:rFonts w:ascii="Arial" w:hAnsi="Arial"/>
          <w:sz w:val="22"/>
          <w:szCs w:val="16"/>
        </w:rPr>
        <w:tab/>
        <w:t>Provide the following information at the beginning of each description.</w:t>
      </w:r>
    </w:p>
    <w:p w14:paraId="183A42C0" w14:textId="77777777" w:rsidR="006420CB" w:rsidRPr="00C554E5" w:rsidRDefault="006420CB" w:rsidP="00C554E5">
      <w:pPr>
        <w:pStyle w:val="BodyText"/>
        <w:rPr>
          <w:rStyle w:val="IntenseEmphasis"/>
          <w:b w:val="0"/>
          <w:bCs w:val="0"/>
          <w:i w:val="0"/>
          <w:iCs w:val="0"/>
        </w:rPr>
      </w:pPr>
      <w:r w:rsidRPr="00C554E5">
        <w:rPr>
          <w:rStyle w:val="IntenseEmphasis"/>
          <w:b w:val="0"/>
          <w:bCs w:val="0"/>
          <w:i w:val="0"/>
          <w:iCs w:val="0"/>
        </w:rPr>
        <w:t xml:space="preserve">Name of division or program: Office of Apprenticeship </w:t>
      </w:r>
    </w:p>
    <w:p w14:paraId="0E1F8E81" w14:textId="77777777" w:rsidR="006420CB" w:rsidRPr="00C554E5" w:rsidRDefault="006420CB" w:rsidP="00C554E5">
      <w:pPr>
        <w:pStyle w:val="BodyText"/>
        <w:rPr>
          <w:rStyle w:val="IntenseEmphasis"/>
          <w:b w:val="0"/>
          <w:bCs w:val="0"/>
          <w:i w:val="0"/>
          <w:iCs w:val="0"/>
        </w:rPr>
      </w:pPr>
      <w:r w:rsidRPr="00C554E5">
        <w:rPr>
          <w:rStyle w:val="IntenseEmphasis"/>
          <w:b w:val="0"/>
          <w:bCs w:val="0"/>
          <w:i w:val="0"/>
          <w:iCs w:val="0"/>
        </w:rPr>
        <w:t>Location within the agency: Workforce Development Division, Education and Outreach</w:t>
      </w:r>
    </w:p>
    <w:p w14:paraId="6BAA9AAA" w14:textId="77777777" w:rsidR="006420CB" w:rsidRPr="00C554E5" w:rsidRDefault="006420CB" w:rsidP="00C554E5">
      <w:pPr>
        <w:pStyle w:val="BodyText"/>
        <w:rPr>
          <w:rStyle w:val="IntenseEmphasis"/>
          <w:b w:val="0"/>
          <w:bCs w:val="0"/>
          <w:i w:val="0"/>
          <w:iCs w:val="0"/>
        </w:rPr>
      </w:pPr>
      <w:r w:rsidRPr="00C554E5">
        <w:rPr>
          <w:rStyle w:val="IntenseEmphasis"/>
          <w:b w:val="0"/>
          <w:bCs w:val="0"/>
          <w:i w:val="0"/>
          <w:iCs w:val="0"/>
        </w:rPr>
        <w:t>Contact name: Desi Holmes</w:t>
      </w:r>
    </w:p>
    <w:p w14:paraId="0AFC679E" w14:textId="77777777" w:rsidR="006420CB" w:rsidRPr="00C554E5" w:rsidRDefault="006420CB" w:rsidP="00C554E5">
      <w:pPr>
        <w:pStyle w:val="BodyText"/>
      </w:pPr>
      <w:r w:rsidRPr="00C554E5">
        <w:t>Statutory citation: Texas Education Code, Chapter 133; Texas Labor Code, Sections 302.251-302.258</w:t>
      </w:r>
    </w:p>
    <w:p w14:paraId="3052D13C" w14:textId="77777777" w:rsidR="006420CB" w:rsidRPr="00C554E5" w:rsidRDefault="006420CB" w:rsidP="00C554E5">
      <w:pPr>
        <w:pStyle w:val="BodyText3"/>
        <w:rPr>
          <w:rStyle w:val="Strong"/>
          <w:bCs w:val="0"/>
        </w:rPr>
      </w:pPr>
      <w:r w:rsidRPr="00C554E5">
        <w:rPr>
          <w:rStyle w:val="Strong"/>
          <w:bCs w:val="0"/>
        </w:rPr>
        <w:t>B.</w:t>
      </w:r>
      <w:r w:rsidRPr="00C554E5">
        <w:rPr>
          <w:rStyle w:val="Strong"/>
          <w:bCs w:val="0"/>
        </w:rPr>
        <w:tab/>
        <w:t>What is the objective of this division or program? Describe its major activities.</w:t>
      </w:r>
    </w:p>
    <w:p w14:paraId="3473F156" w14:textId="77777777" w:rsidR="006420CB" w:rsidRPr="000F25DC" w:rsidRDefault="006420CB" w:rsidP="00C554E5">
      <w:pPr>
        <w:pStyle w:val="BodyText"/>
      </w:pPr>
      <w:r w:rsidRPr="000F25DC">
        <w:t xml:space="preserve">TWC's Office of Apprenticeship (OA) plays a comprehensive role in expanding apprenticeship programs across Texas, utilizing both state and federal funding. </w:t>
      </w:r>
      <w:r>
        <w:t>E</w:t>
      </w:r>
      <w:r w:rsidRPr="000F25DC">
        <w:t xml:space="preserve">fforts involve providing extensive resources and technical assistance through online platforms, conferences, and presentations, </w:t>
      </w:r>
      <w:r>
        <w:t xml:space="preserve">and </w:t>
      </w:r>
      <w:r w:rsidRPr="000F25DC">
        <w:t xml:space="preserve">supporting current and future grantees. OA conducts broad outreach via virtual and in-person events, including an annual statewide conference and targeted webinars, to assist employers in developing and registering programs with the </w:t>
      </w:r>
      <w:r>
        <w:t xml:space="preserve">U.S. </w:t>
      </w:r>
      <w:r w:rsidRPr="000F25DC">
        <w:t xml:space="preserve">Department </w:t>
      </w:r>
      <w:r>
        <w:t xml:space="preserve">of Labor’s Office of Apprenticeship (DOL-OA). </w:t>
      </w:r>
      <w:r w:rsidRPr="000F25DC">
        <w:t xml:space="preserve">Further, </w:t>
      </w:r>
      <w:r>
        <w:t>OA</w:t>
      </w:r>
      <w:r w:rsidRPr="000F25DC">
        <w:t xml:space="preserve"> facilitate</w:t>
      </w:r>
      <w:r>
        <w:t>s</w:t>
      </w:r>
      <w:r w:rsidRPr="000F25DC">
        <w:t xml:space="preserve"> the strategic distribution of funding to local entities to foster the development and expansion of Registered Apprenticeship Programs and increase the number of apprentices.</w:t>
      </w:r>
    </w:p>
    <w:p w14:paraId="5EFE3EB1" w14:textId="2E4A0FC8" w:rsidR="006420CB" w:rsidRPr="00FB4E88" w:rsidRDefault="006420CB" w:rsidP="00FB4E88">
      <w:pPr>
        <w:pStyle w:val="BodyText"/>
      </w:pPr>
      <w:r w:rsidRPr="00FB4E88">
        <w:lastRenderedPageBreak/>
        <w:t xml:space="preserve">Additional information </w:t>
      </w:r>
      <w:r w:rsidR="004B3DF2">
        <w:t xml:space="preserve">is available </w:t>
      </w:r>
      <w:r w:rsidR="0055033F">
        <w:t xml:space="preserve">on the </w:t>
      </w:r>
      <w:hyperlink r:id="rId164" w:history="1">
        <w:r w:rsidR="00FB4E88">
          <w:rPr>
            <w:rStyle w:val="Hyperlink"/>
          </w:rPr>
          <w:t>Apprenticeship Program</w:t>
        </w:r>
      </w:hyperlink>
      <w:r w:rsidR="00FB4E88">
        <w:rPr>
          <w:rStyle w:val="Hyperlink"/>
        </w:rPr>
        <w:t>.</w:t>
      </w:r>
    </w:p>
    <w:p w14:paraId="5D0A58FB" w14:textId="77777777" w:rsidR="006420CB" w:rsidRDefault="006420CB" w:rsidP="004B3DF2">
      <w:pPr>
        <w:pStyle w:val="BodyText"/>
      </w:pPr>
      <w:hyperlink r:id="rId165" w:history="1">
        <w:r w:rsidRPr="004B3DF2">
          <w:rPr>
            <w:rStyle w:val="Hyperlink"/>
          </w:rPr>
          <w:t>Report on Available Apprenticeships in Texas - Program Year 2024</w:t>
        </w:r>
      </w:hyperlink>
      <w:r>
        <w:t xml:space="preserve"> has additional information about apprenticeships in Texas.</w:t>
      </w:r>
    </w:p>
    <w:p w14:paraId="535D5CC1" w14:textId="3C3A757F" w:rsidR="006420CB" w:rsidRPr="004B3DF2" w:rsidRDefault="006420CB" w:rsidP="004B3DF2">
      <w:pPr>
        <w:pStyle w:val="BodyText3"/>
        <w:ind w:left="720" w:hanging="720"/>
        <w:rPr>
          <w:rStyle w:val="Strong"/>
          <w:bCs w:val="0"/>
        </w:rPr>
      </w:pPr>
      <w:r w:rsidRPr="004B3DF2">
        <w:rPr>
          <w:rStyle w:val="Strong"/>
          <w:bCs w:val="0"/>
        </w:rPr>
        <w:t>C.</w:t>
      </w:r>
      <w:r w:rsidR="004B3DF2">
        <w:rPr>
          <w:rStyle w:val="Strong"/>
          <w:bCs w:val="0"/>
        </w:rPr>
        <w:tab/>
      </w:r>
      <w:r w:rsidRPr="004B3DF2">
        <w:rPr>
          <w:rStyle w:val="Strong"/>
          <w:bCs w:val="0"/>
        </w:rPr>
        <w:t xml:space="preserve">What information does the agency collect/use to assess the effectiveness and efficiency of this division or program? If applicable, briefly note any LBB performance measures (from Section II, </w:t>
      </w:r>
      <w:proofErr w:type="gramStart"/>
      <w:r w:rsidRPr="004B3DF2">
        <w:rPr>
          <w:rStyle w:val="Strong"/>
          <w:bCs w:val="0"/>
        </w:rPr>
        <w:t>Exhibit</w:t>
      </w:r>
      <w:proofErr w:type="gramEnd"/>
      <w:r w:rsidRPr="004B3DF2">
        <w:rPr>
          <w:rStyle w:val="Strong"/>
          <w:bCs w:val="0"/>
        </w:rP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33731CB1" w14:textId="77777777" w:rsidR="006420CB" w:rsidRDefault="006420CB" w:rsidP="00DD60B3">
      <w:pPr>
        <w:pStyle w:val="BodyText"/>
        <w:rPr>
          <w:spacing w:val="-2"/>
        </w:rPr>
      </w:pPr>
      <w:r w:rsidRPr="000F25DC">
        <w:t xml:space="preserve">The Apprenticeship </w:t>
      </w:r>
      <w:r>
        <w:t>P</w:t>
      </w:r>
      <w:r w:rsidRPr="000F25DC">
        <w:t>rogram’s Legislative Budget Board performance measure</w:t>
      </w:r>
      <w:r>
        <w:t xml:space="preserve"> –</w:t>
      </w:r>
      <w:r w:rsidRPr="000F25DC">
        <w:t xml:space="preserve"> Participants Served</w:t>
      </w:r>
      <w:r>
        <w:t xml:space="preserve"> –</w:t>
      </w:r>
      <w:r w:rsidRPr="000F25DC">
        <w:t xml:space="preserve"> is the unduplicated number of </w:t>
      </w:r>
      <w:r>
        <w:t>p</w:t>
      </w:r>
      <w:r w:rsidRPr="000F25DC">
        <w:t xml:space="preserve">articipants receiving </w:t>
      </w:r>
      <w:r>
        <w:t>a</w:t>
      </w:r>
      <w:r w:rsidRPr="000F25DC">
        <w:t xml:space="preserve">pprenticeship-funded services. </w:t>
      </w:r>
      <w:r>
        <w:t>The number of p</w:t>
      </w:r>
      <w:r w:rsidRPr="000F25DC">
        <w:t xml:space="preserve">articipants </w:t>
      </w:r>
      <w:r>
        <w:t>s</w:t>
      </w:r>
      <w:r w:rsidRPr="000F25DC">
        <w:t xml:space="preserve">erved in the Apprenticeship </w:t>
      </w:r>
      <w:r>
        <w:t>P</w:t>
      </w:r>
      <w:r w:rsidRPr="000F25DC">
        <w:t xml:space="preserve">rogram is also included in the Participants Served – Career &amp; Training </w:t>
      </w:r>
      <w:r>
        <w:t>S</w:t>
      </w:r>
      <w:r w:rsidRPr="000F25DC">
        <w:t>ervices performance calculation.</w:t>
      </w:r>
      <w:r w:rsidRPr="00F4100A">
        <w:t xml:space="preserve"> </w:t>
      </w:r>
      <w:r w:rsidRPr="002A3C7F">
        <w:t>Refer</w:t>
      </w:r>
      <w:r w:rsidRPr="002A3C7F">
        <w:rPr>
          <w:spacing w:val="-6"/>
        </w:rPr>
        <w:t xml:space="preserve"> </w:t>
      </w:r>
      <w:r w:rsidRPr="002A3C7F">
        <w:t>to</w:t>
      </w:r>
      <w:r w:rsidRPr="002A3C7F">
        <w:rPr>
          <w:spacing w:val="-4"/>
        </w:rPr>
        <w:t xml:space="preserve"> </w:t>
      </w:r>
      <w:r w:rsidRPr="002A3C7F">
        <w:t>Section</w:t>
      </w:r>
      <w:r w:rsidRPr="002A3C7F">
        <w:rPr>
          <w:spacing w:val="-4"/>
        </w:rPr>
        <w:t xml:space="preserve"> </w:t>
      </w:r>
      <w:r w:rsidRPr="002A3C7F">
        <w:t>II,</w:t>
      </w:r>
      <w:r w:rsidRPr="002A3C7F">
        <w:rPr>
          <w:spacing w:val="-4"/>
        </w:rPr>
        <w:t xml:space="preserve"> </w:t>
      </w:r>
      <w:r w:rsidRPr="002A3C7F">
        <w:t>Exhibit</w:t>
      </w:r>
      <w:r w:rsidRPr="002A3C7F">
        <w:rPr>
          <w:spacing w:val="-5"/>
        </w:rPr>
        <w:t xml:space="preserve"> </w:t>
      </w:r>
      <w:r w:rsidRPr="002A3C7F">
        <w:t>2</w:t>
      </w:r>
      <w:r w:rsidRPr="002A3C7F">
        <w:rPr>
          <w:spacing w:val="-2"/>
        </w:rPr>
        <w:t xml:space="preserve"> </w:t>
      </w:r>
      <w:r w:rsidRPr="002A3C7F">
        <w:t>for</w:t>
      </w:r>
      <w:r w:rsidRPr="002A3C7F">
        <w:rPr>
          <w:spacing w:val="-5"/>
        </w:rPr>
        <w:t xml:space="preserve"> </w:t>
      </w:r>
      <w:r w:rsidRPr="002A3C7F">
        <w:t>actual</w:t>
      </w:r>
      <w:r w:rsidRPr="002A3C7F">
        <w:rPr>
          <w:spacing w:val="-4"/>
        </w:rPr>
        <w:t xml:space="preserve"> </w:t>
      </w:r>
      <w:r w:rsidRPr="002A3C7F">
        <w:t>program</w:t>
      </w:r>
      <w:r w:rsidRPr="002A3C7F">
        <w:rPr>
          <w:spacing w:val="-5"/>
        </w:rPr>
        <w:t xml:space="preserve"> </w:t>
      </w:r>
      <w:r w:rsidRPr="002A3C7F">
        <w:t>performance</w:t>
      </w:r>
      <w:r w:rsidRPr="002A3C7F">
        <w:rPr>
          <w:spacing w:val="-2"/>
        </w:rPr>
        <w:t xml:space="preserve"> outcomes.</w:t>
      </w:r>
    </w:p>
    <w:p w14:paraId="12E9F291" w14:textId="77777777" w:rsidR="006420CB" w:rsidRPr="00DD60B3" w:rsidRDefault="006420CB" w:rsidP="00DD60B3">
      <w:pPr>
        <w:pStyle w:val="BodyText"/>
      </w:pPr>
      <w:hyperlink r:id="rId166">
        <w:r w:rsidRPr="00DD60B3">
          <w:rPr>
            <w:rStyle w:val="Hyperlink"/>
          </w:rPr>
          <w:t>Apprenticeship Related Instruction Cost Study FYs 2021-2022</w:t>
        </w:r>
      </w:hyperlink>
      <w:r w:rsidRPr="00DD60B3">
        <w:t xml:space="preserve"> provides more detail on the cost effectiveness of the Apprenticeship Program in Texas.</w:t>
      </w:r>
    </w:p>
    <w:p w14:paraId="34A3066C" w14:textId="77777777" w:rsidR="006420CB" w:rsidRPr="000F25DC" w:rsidRDefault="006420CB" w:rsidP="00DD60B3">
      <w:pPr>
        <w:pStyle w:val="BodyText3"/>
        <w:ind w:left="720" w:hanging="720"/>
      </w:pPr>
      <w:r>
        <w:t>D.</w:t>
      </w:r>
      <w:r>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rsidRPr="000F25DC">
        <w:t>regarding</w:t>
      </w:r>
      <w:r w:rsidRPr="000F25DC">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6E9BD759" w14:textId="77777777" w:rsidR="006420CB" w:rsidRPr="00DD60B3" w:rsidRDefault="006420CB" w:rsidP="00DD60B3">
      <w:pPr>
        <w:pStyle w:val="BodyText"/>
      </w:pPr>
      <w:r w:rsidRPr="00DD60B3">
        <w:t xml:space="preserve">During the Regular Session of 2021, the 87th Texas Legislature passed Senate Bill 1524 creating a pilot program called the Apprenticeship Tax Refund Pilot Program.  The purpose of this program is to encourage more Registered Apprenticeship Programs (RAPs) in new and diverse fields.  More information on the program is available in </w:t>
      </w:r>
      <w:hyperlink r:id="rId167">
        <w:r w:rsidRPr="00DD60B3">
          <w:rPr>
            <w:rStyle w:val="Hyperlink"/>
          </w:rPr>
          <w:t>Report on Apprenticeship Tax Refund Pilot Program for Program Year 2023</w:t>
        </w:r>
      </w:hyperlink>
      <w:r w:rsidRPr="00DD60B3">
        <w:t>.</w:t>
      </w:r>
    </w:p>
    <w:p w14:paraId="6BA151C3" w14:textId="77777777" w:rsidR="006420CB" w:rsidRPr="000F25DC" w:rsidRDefault="006420CB" w:rsidP="00DD60B3">
      <w:pPr>
        <w:pStyle w:val="BodyText"/>
      </w:pPr>
      <w:r w:rsidRPr="000F25DC">
        <w:t>The Critical Skills Apprenticeship Initiative, which TWC’s Commission approved in February 2022, address</w:t>
      </w:r>
      <w:r>
        <w:t>ed</w:t>
      </w:r>
      <w:r w:rsidRPr="000F25DC">
        <w:t xml:space="preserve"> workforce shortages in middle skills occupations </w:t>
      </w:r>
      <w:r>
        <w:t xml:space="preserve">by focusing on </w:t>
      </w:r>
      <w:r w:rsidRPr="000F25DC">
        <w:t xml:space="preserve">the critical skills needed within those occupations. The initiative focused on creating and expanding apprenticeship training programs such as: </w:t>
      </w:r>
    </w:p>
    <w:p w14:paraId="26CA9D5A" w14:textId="77777777" w:rsidR="006420CB" w:rsidRPr="000F25DC" w:rsidRDefault="006420CB" w:rsidP="00C64851">
      <w:pPr>
        <w:pStyle w:val="BodyText"/>
        <w:numPr>
          <w:ilvl w:val="0"/>
          <w:numId w:val="839"/>
        </w:numPr>
      </w:pPr>
      <w:r>
        <w:t>A</w:t>
      </w:r>
      <w:r w:rsidRPr="000F25DC">
        <w:t>utomotive service technicians and mechanics</w:t>
      </w:r>
    </w:p>
    <w:p w14:paraId="460354BF" w14:textId="77777777" w:rsidR="006420CB" w:rsidRPr="000F25DC" w:rsidRDefault="006420CB" w:rsidP="00C64851">
      <w:pPr>
        <w:pStyle w:val="BodyText"/>
        <w:numPr>
          <w:ilvl w:val="0"/>
          <w:numId w:val="839"/>
        </w:numPr>
      </w:pPr>
      <w:r>
        <w:t>N</w:t>
      </w:r>
      <w:r w:rsidRPr="000F25DC">
        <w:t>ursing assistants</w:t>
      </w:r>
    </w:p>
    <w:p w14:paraId="08D6EF11" w14:textId="77777777" w:rsidR="006420CB" w:rsidRPr="000F25DC" w:rsidRDefault="006420CB" w:rsidP="00C64851">
      <w:pPr>
        <w:pStyle w:val="BodyText"/>
        <w:numPr>
          <w:ilvl w:val="0"/>
          <w:numId w:val="839"/>
        </w:numPr>
      </w:pPr>
      <w:r>
        <w:t>P</w:t>
      </w:r>
      <w:r w:rsidRPr="000F25DC">
        <w:t>atient care technicians</w:t>
      </w:r>
    </w:p>
    <w:p w14:paraId="389E242F" w14:textId="77777777" w:rsidR="006420CB" w:rsidRPr="000F25DC" w:rsidRDefault="006420CB" w:rsidP="00C64851">
      <w:pPr>
        <w:pStyle w:val="BodyText"/>
        <w:numPr>
          <w:ilvl w:val="0"/>
          <w:numId w:val="839"/>
        </w:numPr>
      </w:pPr>
      <w:r>
        <w:t>P</w:t>
      </w:r>
      <w:r w:rsidRPr="000F25DC">
        <w:t>roduction machinists, assemblers, and fabricator</w:t>
      </w:r>
      <w:r>
        <w:t>s</w:t>
      </w:r>
    </w:p>
    <w:p w14:paraId="25DF0414" w14:textId="77777777" w:rsidR="006420CB" w:rsidRPr="000F25DC" w:rsidRDefault="006420CB" w:rsidP="00C64851">
      <w:pPr>
        <w:pStyle w:val="BodyText"/>
        <w:numPr>
          <w:ilvl w:val="0"/>
          <w:numId w:val="839"/>
        </w:numPr>
      </w:pPr>
      <w:r>
        <w:lastRenderedPageBreak/>
        <w:t>L</w:t>
      </w:r>
      <w:r w:rsidRPr="000F25DC">
        <w:t>ogistics management and supply chain analysts</w:t>
      </w:r>
    </w:p>
    <w:p w14:paraId="77AC4768" w14:textId="77777777" w:rsidR="006420CB" w:rsidRPr="000F25DC" w:rsidRDefault="006420CB" w:rsidP="00DD60B3">
      <w:pPr>
        <w:pStyle w:val="BodyText"/>
      </w:pPr>
      <w:r>
        <w:t>In 2023, t</w:t>
      </w:r>
      <w:r w:rsidRPr="000F25DC">
        <w:t xml:space="preserve">he 88th Texas Legislature approved funding to support quality pre-apprenticeship programs in which </w:t>
      </w:r>
      <w:r>
        <w:t>a participant</w:t>
      </w:r>
      <w:r w:rsidRPr="000F25DC">
        <w:t xml:space="preserve"> has a clear pathway to a Registered Apprenticeship. The approved funding </w:t>
      </w:r>
      <w:r>
        <w:t>was</w:t>
      </w:r>
      <w:r w:rsidRPr="000F25DC">
        <w:t xml:space="preserve"> approximately </w:t>
      </w:r>
      <w:r>
        <w:t>$</w:t>
      </w:r>
      <w:r w:rsidRPr="000F25DC">
        <w:t>6 million for the FY</w:t>
      </w:r>
      <w:r>
        <w:t xml:space="preserve"> 20</w:t>
      </w:r>
      <w:r w:rsidRPr="000F25DC">
        <w:t>24</w:t>
      </w:r>
      <w:r>
        <w:t>-</w:t>
      </w:r>
      <w:r w:rsidRPr="000F25DC">
        <w:t xml:space="preserve">25 biennium. </w:t>
      </w:r>
    </w:p>
    <w:p w14:paraId="273C6050" w14:textId="77777777" w:rsidR="006420CB" w:rsidRPr="000F25DC" w:rsidRDefault="006420CB" w:rsidP="00DD60B3">
      <w:pPr>
        <w:pStyle w:val="BodyText"/>
      </w:pPr>
      <w:r w:rsidRPr="0BBD25AA">
        <w:rPr>
          <w:rFonts w:cstheme="minorBidi"/>
        </w:rPr>
        <w:t>The 88th Texas Legislature also approved $20 million for the FY</w:t>
      </w:r>
      <w:r>
        <w:rPr>
          <w:rFonts w:cstheme="minorBidi"/>
        </w:rPr>
        <w:t xml:space="preserve"> 20</w:t>
      </w:r>
      <w:r w:rsidRPr="0BBD25AA">
        <w:rPr>
          <w:rFonts w:cstheme="minorBidi"/>
        </w:rPr>
        <w:t>24</w:t>
      </w:r>
      <w:r>
        <w:rPr>
          <w:rFonts w:cstheme="minorBidi"/>
        </w:rPr>
        <w:t>-</w:t>
      </w:r>
      <w:r w:rsidRPr="0BBD25AA">
        <w:rPr>
          <w:rFonts w:cstheme="minorBidi"/>
        </w:rPr>
        <w:t xml:space="preserve">25 biennium to support Texas Industry Recognized Apprenticeships (TIRAs). TIRAs combine on-the-job training that is supervised by experienced workers with job-related classroom instruction. </w:t>
      </w:r>
    </w:p>
    <w:p w14:paraId="1F66C576" w14:textId="203D9CB8" w:rsidR="006420CB" w:rsidRPr="000F25DC" w:rsidRDefault="006420CB" w:rsidP="00F93A41">
      <w:pPr>
        <w:pStyle w:val="BodyText3"/>
        <w:ind w:left="720" w:hanging="720"/>
      </w:pPr>
      <w:r>
        <w:t>E.</w:t>
      </w:r>
      <w:r w:rsidR="00F93A41">
        <w:tab/>
      </w:r>
      <w:r w:rsidRPr="000F25DC">
        <w:t>List any qualifications or eligibility requirements for persons or entities affected by this division or program (e.g., licensees, consumers, and landowners). Provide a statistical breakdown of persons or entities affected.</w:t>
      </w:r>
    </w:p>
    <w:p w14:paraId="44B2027A" w14:textId="77777777" w:rsidR="006420CB" w:rsidRPr="00F93A41" w:rsidRDefault="006420CB" w:rsidP="00F93A41">
      <w:pPr>
        <w:pStyle w:val="BodyText"/>
      </w:pPr>
      <w:r w:rsidRPr="00F93A41">
        <w:t xml:space="preserve">There are three primary groups directly affected by this program: </w:t>
      </w:r>
    </w:p>
    <w:p w14:paraId="7C15EE83" w14:textId="77777777" w:rsidR="006420CB" w:rsidRPr="00F93A41" w:rsidRDefault="006420CB" w:rsidP="00C64851">
      <w:pPr>
        <w:pStyle w:val="BodyText"/>
        <w:numPr>
          <w:ilvl w:val="0"/>
          <w:numId w:val="840"/>
        </w:numPr>
      </w:pPr>
      <w:r w:rsidRPr="00F93A41">
        <w:t>Apprentices – seeking employment and/or a career</w:t>
      </w:r>
    </w:p>
    <w:p w14:paraId="706C22E1" w14:textId="77777777" w:rsidR="006420CB" w:rsidRPr="00F93A41" w:rsidRDefault="006420CB" w:rsidP="00C64851">
      <w:pPr>
        <w:pStyle w:val="BodyText"/>
        <w:numPr>
          <w:ilvl w:val="0"/>
          <w:numId w:val="840"/>
        </w:numPr>
      </w:pPr>
      <w:r w:rsidRPr="00F93A41">
        <w:t>Employers/business – seeking a well-trained/highly skilled workforce</w:t>
      </w:r>
    </w:p>
    <w:p w14:paraId="7F830559" w14:textId="77777777" w:rsidR="006420CB" w:rsidRPr="00F93A41" w:rsidRDefault="006420CB" w:rsidP="00C64851">
      <w:pPr>
        <w:pStyle w:val="BodyText"/>
        <w:numPr>
          <w:ilvl w:val="0"/>
          <w:numId w:val="840"/>
        </w:numPr>
      </w:pPr>
      <w:r w:rsidRPr="00F93A41">
        <w:t xml:space="preserve">Apprenticeship training programs – providing classroom-related training </w:t>
      </w:r>
    </w:p>
    <w:p w14:paraId="60713206" w14:textId="77777777" w:rsidR="006420CB" w:rsidRPr="00F93A41" w:rsidRDefault="006420CB" w:rsidP="00F93A41">
      <w:pPr>
        <w:pStyle w:val="BodyText"/>
      </w:pPr>
      <w:r w:rsidRPr="00F93A41">
        <w:t xml:space="preserve">Each apprenticeship training program is a partnership between industry and education. The industry partner is represented by an Apprenticeship Committee, whose members are appointed by one or more employers of the apprentices and is responsible for overseeing the training program. The education partner is represented by a public school district or a state postsecondary institution. The educational partner is generally referred to as a Local Education Agency (LEA). Training programs seeking funding </w:t>
      </w:r>
      <w:proofErr w:type="gramStart"/>
      <w:r w:rsidRPr="00F93A41">
        <w:t>have to</w:t>
      </w:r>
      <w:proofErr w:type="gramEnd"/>
      <w:r w:rsidRPr="00F93A41">
        <w:t xml:space="preserve"> partner with an LEA that will serve as the fiscal agent for the distribution of the funding. Each Training Program that is funded as well as each apprentice </w:t>
      </w:r>
      <w:proofErr w:type="gramStart"/>
      <w:r w:rsidRPr="00F93A41">
        <w:t>has to</w:t>
      </w:r>
      <w:proofErr w:type="gramEnd"/>
      <w:r w:rsidRPr="00F93A41">
        <w:t xml:space="preserve"> be actively registered with U.S. Department of Labor Education and Training Administration – Office of Apprenticeship. </w:t>
      </w:r>
    </w:p>
    <w:p w14:paraId="7198F268" w14:textId="77777777" w:rsidR="006420CB" w:rsidRPr="00F93A41" w:rsidRDefault="006420CB" w:rsidP="00F93A41">
      <w:pPr>
        <w:pStyle w:val="BodyText"/>
      </w:pPr>
      <w:r w:rsidRPr="00F93A41">
        <w:t xml:space="preserve">Each training program may have specific qualifications for job seekers entry into their apprenticeship training program such as the following. </w:t>
      </w:r>
    </w:p>
    <w:p w14:paraId="13988502" w14:textId="77777777" w:rsidR="006420CB" w:rsidRPr="00F93A41" w:rsidRDefault="006420CB" w:rsidP="00C64851">
      <w:pPr>
        <w:pStyle w:val="BodyText"/>
        <w:numPr>
          <w:ilvl w:val="0"/>
          <w:numId w:val="841"/>
        </w:numPr>
      </w:pPr>
      <w:r w:rsidRPr="00F93A41">
        <w:t>Age – 18 years of age to be an apprentice in a hazardous occupation.</w:t>
      </w:r>
    </w:p>
    <w:p w14:paraId="5D334FB4" w14:textId="77777777" w:rsidR="006420CB" w:rsidRPr="00F93A41" w:rsidRDefault="006420CB" w:rsidP="00C64851">
      <w:pPr>
        <w:pStyle w:val="BodyText"/>
        <w:numPr>
          <w:ilvl w:val="0"/>
          <w:numId w:val="841"/>
        </w:numPr>
      </w:pPr>
      <w:r w:rsidRPr="00F93A41">
        <w:t>Education – Typically a high school diploma or high school equivalency certificate.</w:t>
      </w:r>
    </w:p>
    <w:p w14:paraId="14858C27" w14:textId="77777777" w:rsidR="006420CB" w:rsidRPr="00F93A41" w:rsidRDefault="006420CB" w:rsidP="00C64851">
      <w:pPr>
        <w:pStyle w:val="BodyText"/>
        <w:numPr>
          <w:ilvl w:val="0"/>
          <w:numId w:val="841"/>
        </w:numPr>
      </w:pPr>
      <w:r w:rsidRPr="00F93A41">
        <w:t xml:space="preserve">Physical Ability – In some instances both physical strength and endurance. When necessary, apprentices must be able to work in a physically demanding environment for extended periods of time and in all weather conditions. </w:t>
      </w:r>
    </w:p>
    <w:p w14:paraId="625E6CE3" w14:textId="77777777" w:rsidR="006420CB" w:rsidRPr="00F93A41" w:rsidRDefault="006420CB" w:rsidP="00C64851">
      <w:pPr>
        <w:pStyle w:val="BodyText"/>
        <w:numPr>
          <w:ilvl w:val="0"/>
          <w:numId w:val="841"/>
        </w:numPr>
      </w:pPr>
      <w:r w:rsidRPr="00F93A41">
        <w:t>Performance on aptitude tests.</w:t>
      </w:r>
    </w:p>
    <w:p w14:paraId="5B842D8F" w14:textId="77777777" w:rsidR="006420CB" w:rsidRPr="00F93A41" w:rsidRDefault="006420CB" w:rsidP="00C64851">
      <w:pPr>
        <w:pStyle w:val="BodyText"/>
        <w:numPr>
          <w:ilvl w:val="0"/>
          <w:numId w:val="841"/>
        </w:numPr>
      </w:pPr>
      <w:r w:rsidRPr="00F93A41">
        <w:t>Secondary or postsecondary grades.</w:t>
      </w:r>
    </w:p>
    <w:p w14:paraId="78D4B2C5" w14:textId="77777777" w:rsidR="006420CB" w:rsidRPr="00F93A41" w:rsidRDefault="006420CB" w:rsidP="00C64851">
      <w:pPr>
        <w:pStyle w:val="BodyText"/>
        <w:numPr>
          <w:ilvl w:val="0"/>
          <w:numId w:val="841"/>
        </w:numPr>
      </w:pPr>
      <w:r w:rsidRPr="00F93A41">
        <w:lastRenderedPageBreak/>
        <w:t>Previous work experience.</w:t>
      </w:r>
    </w:p>
    <w:p w14:paraId="12DB1805" w14:textId="77777777" w:rsidR="006420CB" w:rsidRPr="00F93A41" w:rsidRDefault="006420CB" w:rsidP="00F93A41">
      <w:pPr>
        <w:pStyle w:val="BodyText"/>
      </w:pPr>
      <w:r w:rsidRPr="00F93A41">
        <w:t>In addition,</w:t>
      </w:r>
      <w:r w:rsidRPr="00F93A41" w:rsidDel="00E70496">
        <w:t xml:space="preserve"> </w:t>
      </w:r>
      <w:r w:rsidRPr="00F93A41">
        <w:t xml:space="preserve">federal WIOA funds, which supplement the State General Revenue apprenticeship funds, require that apprentices must also meet basic WIOA eligibility requirements, as follows: </w:t>
      </w:r>
    </w:p>
    <w:p w14:paraId="7A353362" w14:textId="77777777" w:rsidR="006420CB" w:rsidRPr="00F93A41" w:rsidRDefault="006420CB" w:rsidP="00C64851">
      <w:pPr>
        <w:pStyle w:val="BodyText"/>
        <w:numPr>
          <w:ilvl w:val="0"/>
          <w:numId w:val="842"/>
        </w:numPr>
      </w:pPr>
      <w:r w:rsidRPr="00F93A41">
        <w:t>18 years of age or older (adults)</w:t>
      </w:r>
    </w:p>
    <w:p w14:paraId="66011FF3" w14:textId="77777777" w:rsidR="006420CB" w:rsidRPr="00F93A41" w:rsidRDefault="006420CB" w:rsidP="00C64851">
      <w:pPr>
        <w:pStyle w:val="BodyText"/>
        <w:numPr>
          <w:ilvl w:val="0"/>
          <w:numId w:val="842"/>
        </w:numPr>
      </w:pPr>
      <w:r w:rsidRPr="00F93A41">
        <w:t>U.S. citizen or noncitizen authorized to work in the U.S.</w:t>
      </w:r>
    </w:p>
    <w:p w14:paraId="5433961A" w14:textId="77777777" w:rsidR="006420CB" w:rsidRPr="00F93A41" w:rsidRDefault="006420CB" w:rsidP="00C64851">
      <w:pPr>
        <w:pStyle w:val="BodyText"/>
        <w:numPr>
          <w:ilvl w:val="0"/>
          <w:numId w:val="842"/>
        </w:numPr>
      </w:pPr>
      <w:r w:rsidRPr="00F93A41">
        <w:t>meets Military Selective Service registration requirements (male only)</w:t>
      </w:r>
    </w:p>
    <w:p w14:paraId="5A1241B4" w14:textId="27515661" w:rsidR="006420CB" w:rsidRPr="004C5FF0" w:rsidRDefault="006420CB" w:rsidP="00F93A41">
      <w:pPr>
        <w:pStyle w:val="BodyText3"/>
        <w:ind w:left="720" w:hanging="720"/>
      </w:pPr>
      <w:r w:rsidRPr="000F25DC">
        <w:t>F.</w:t>
      </w:r>
      <w:r w:rsidR="00F93A41">
        <w:tab/>
      </w:r>
      <w:r w:rsidRPr="000F25DC">
        <w:t>Describe how the division or program is administered, including a description of key processes involved. If you have existing documentation (e.g., flowcharts, timelines, and other illustrations)</w:t>
      </w:r>
      <w:r w:rsidRPr="000F25DC">
        <w:rPr>
          <w:spacing w:val="-3"/>
        </w:rPr>
        <w:t xml:space="preserve"> </w:t>
      </w:r>
      <w:r w:rsidRPr="000F25DC">
        <w:t>to</w:t>
      </w:r>
      <w:r w:rsidRPr="000F25DC">
        <w:rPr>
          <w:spacing w:val="-2"/>
        </w:rPr>
        <w:t xml:space="preserve"> </w:t>
      </w:r>
      <w:r w:rsidRPr="000F25DC">
        <w:t>describe</w:t>
      </w:r>
      <w:r w:rsidRPr="000F25DC">
        <w:rPr>
          <w:spacing w:val="-6"/>
        </w:rPr>
        <w:t xml:space="preserve"> </w:t>
      </w:r>
      <w:r w:rsidRPr="000F25DC">
        <w:t>agency</w:t>
      </w:r>
      <w:r w:rsidRPr="000F25DC">
        <w:rPr>
          <w:spacing w:val="-3"/>
        </w:rPr>
        <w:t xml:space="preserve"> </w:t>
      </w:r>
      <w:r w:rsidRPr="000F25DC">
        <w:t>policies</w:t>
      </w:r>
      <w:r w:rsidRPr="000F25DC">
        <w:rPr>
          <w:spacing w:val="-2"/>
        </w:rPr>
        <w:t xml:space="preserve"> </w:t>
      </w:r>
      <w:r w:rsidRPr="000F25DC">
        <w:t>and</w:t>
      </w:r>
      <w:r w:rsidRPr="000F25DC">
        <w:rPr>
          <w:spacing w:val="-2"/>
        </w:rPr>
        <w:t xml:space="preserve"> </w:t>
      </w:r>
      <w:r w:rsidRPr="000F25DC">
        <w:t>procedures,</w:t>
      </w:r>
      <w:r w:rsidRPr="000F25DC">
        <w:rPr>
          <w:spacing w:val="-2"/>
        </w:rPr>
        <w:t xml:space="preserve"> </w:t>
      </w:r>
      <w:r w:rsidRPr="000F25DC">
        <w:t>please</w:t>
      </w:r>
      <w:r w:rsidRPr="000F25DC">
        <w:rPr>
          <w:spacing w:val="-3"/>
        </w:rPr>
        <w:t xml:space="preserve"> </w:t>
      </w:r>
      <w:r w:rsidRPr="000F25DC">
        <w:t>include</w:t>
      </w:r>
      <w:r w:rsidRPr="000F25DC">
        <w:rPr>
          <w:spacing w:val="-3"/>
        </w:rPr>
        <w:t xml:space="preserve"> </w:t>
      </w:r>
      <w:r w:rsidRPr="000F25DC">
        <w:t>them</w:t>
      </w:r>
      <w:r w:rsidRPr="000F25DC">
        <w:rPr>
          <w:spacing w:val="-3"/>
        </w:rPr>
        <w:t xml:space="preserve"> </w:t>
      </w:r>
      <w:r w:rsidRPr="000F25DC">
        <w:t>as</w:t>
      </w:r>
      <w:r w:rsidRPr="000F25DC">
        <w:rPr>
          <w:spacing w:val="-2"/>
        </w:rPr>
        <w:t xml:space="preserve"> </w:t>
      </w:r>
      <w:r w:rsidRPr="000F25DC">
        <w:t>attachments. Indicate how field/regional services are used, if applicable.</w:t>
      </w:r>
    </w:p>
    <w:p w14:paraId="096F8391" w14:textId="77777777" w:rsidR="006420CB" w:rsidRDefault="006420CB" w:rsidP="00F93A41">
      <w:pPr>
        <w:pStyle w:val="BodyText"/>
      </w:pPr>
      <w:r w:rsidRPr="023C45C8">
        <w:t>For state</w:t>
      </w:r>
      <w:r>
        <w:t>-</w:t>
      </w:r>
      <w:r w:rsidRPr="023C45C8">
        <w:t xml:space="preserve">funded apprenticeship </w:t>
      </w:r>
      <w:r w:rsidRPr="1F2378CA">
        <w:t xml:space="preserve">programs and </w:t>
      </w:r>
      <w:r w:rsidRPr="5A482176">
        <w:t>initiatives</w:t>
      </w:r>
      <w:r w:rsidRPr="023C45C8">
        <w:t xml:space="preserve">, </w:t>
      </w:r>
      <w:r w:rsidRPr="3A1EB7E4">
        <w:t xml:space="preserve">TWC’s OA provides information via the internet (website materials), conferences, and presentations, including presentations to the </w:t>
      </w:r>
      <w:r>
        <w:t>TWIC</w:t>
      </w:r>
      <w:r w:rsidRPr="3A1EB7E4">
        <w:t xml:space="preserve"> and its sub-committee, Apprenticeship Training and Advisory Committee. </w:t>
      </w:r>
      <w:r w:rsidRPr="2DE8D5F3">
        <w:t>TWC OA works</w:t>
      </w:r>
      <w:r w:rsidRPr="3A1EB7E4">
        <w:t xml:space="preserve"> with current and future grantees on upcoming timelines and provide</w:t>
      </w:r>
      <w:r>
        <w:t>s</w:t>
      </w:r>
      <w:r w:rsidRPr="3A1EB7E4">
        <w:t xml:space="preserve"> technical assistance. </w:t>
      </w:r>
      <w:r>
        <w:t>Online</w:t>
      </w:r>
      <w:r w:rsidRPr="3A1EB7E4">
        <w:t xml:space="preserve"> materials include items such as the </w:t>
      </w:r>
      <w:hyperlink r:id="rId168" w:history="1">
        <w:r w:rsidRPr="006B4DC3">
          <w:rPr>
            <w:rStyle w:val="Hyperlink"/>
          </w:rPr>
          <w:t>Chapter 133 Administrator Guide</w:t>
        </w:r>
      </w:hyperlink>
      <w:r w:rsidRPr="3A1EB7E4">
        <w:t>, program applications, and data collection systems. Materials are maintained and updated as needed to support the different funding streams.</w:t>
      </w:r>
      <w:r w:rsidRPr="005676E3">
        <w:t xml:space="preserve"> </w:t>
      </w:r>
      <w:r w:rsidRPr="023C45C8">
        <w:t xml:space="preserve">Staff populate the </w:t>
      </w:r>
      <w:hyperlink r:id="rId169" w:history="1">
        <w:r>
          <w:rPr>
            <w:rStyle w:val="Hyperlink"/>
          </w:rPr>
          <w:t>Funding Opportunities</w:t>
        </w:r>
      </w:hyperlink>
      <w:r>
        <w:t xml:space="preserve"> information</w:t>
      </w:r>
      <w:r w:rsidRPr="023C45C8">
        <w:t xml:space="preserve"> that include</w:t>
      </w:r>
      <w:r>
        <w:t>s</w:t>
      </w:r>
      <w:r w:rsidRPr="023C45C8">
        <w:t xml:space="preserve"> items such as “next available opportunity,” applications, and frequently asked questions.</w:t>
      </w:r>
      <w:r>
        <w:t xml:space="preserve">  </w:t>
      </w:r>
      <w:r w:rsidRPr="023C45C8">
        <w:t xml:space="preserve">For federally funded apprenticeship </w:t>
      </w:r>
      <w:r w:rsidRPr="5A482176">
        <w:t>programs,</w:t>
      </w:r>
      <w:r w:rsidRPr="023C45C8">
        <w:t xml:space="preserve"> TWC’s OA staff do outreach activities both virtually (including social media) and in-person. </w:t>
      </w:r>
    </w:p>
    <w:p w14:paraId="0A2AF1FE" w14:textId="77777777" w:rsidR="006420CB" w:rsidRDefault="006420CB" w:rsidP="00F93A41">
      <w:pPr>
        <w:pStyle w:val="BodyText"/>
      </w:pPr>
      <w:r w:rsidRPr="023C45C8">
        <w:t xml:space="preserve">Staff also coordinate an annual </w:t>
      </w:r>
      <w:hyperlink r:id="rId170" w:history="1">
        <w:proofErr w:type="spellStart"/>
        <w:r w:rsidRPr="005641D7">
          <w:rPr>
            <w:rStyle w:val="Hyperlink"/>
          </w:rPr>
          <w:t>ApprenticeshipTexas</w:t>
        </w:r>
        <w:proofErr w:type="spellEnd"/>
      </w:hyperlink>
      <w:r w:rsidRPr="023C45C8">
        <w:t xml:space="preserve"> statewide conference and periodic outreach webinars promoted to all workforce partners. Monthly webinars are directed to the grantees and their local navigator and are supported through apprenticeship expansion funding. These webinars are designed to expand local capacity to build and support apprenticeship expansion.</w:t>
      </w:r>
    </w:p>
    <w:p w14:paraId="056FB912" w14:textId="77777777" w:rsidR="006420CB" w:rsidRDefault="006420CB" w:rsidP="00F93A41">
      <w:pPr>
        <w:pStyle w:val="BodyText"/>
      </w:pPr>
      <w:r w:rsidRPr="023C45C8">
        <w:t xml:space="preserve">Staff’s focus is to assist employers in exploring apprenticeship, developing RAP standards, and assisting in a seamless </w:t>
      </w:r>
      <w:r>
        <w:t xml:space="preserve">DOL </w:t>
      </w:r>
      <w:r w:rsidRPr="023C45C8">
        <w:t>registration process. OA staff also collaborate in the development of Requests for Application to distribute funding to support local entities for the development and expansion of RAPs and growth of number of apprentices.</w:t>
      </w:r>
    </w:p>
    <w:p w14:paraId="007595DD" w14:textId="77777777" w:rsidR="006420CB" w:rsidRDefault="006420CB" w:rsidP="00F93A41">
      <w:pPr>
        <w:pStyle w:val="BodyText"/>
      </w:pPr>
      <w:r w:rsidRPr="023C45C8">
        <w:t xml:space="preserve">TWC has been successful in all </w:t>
      </w:r>
      <w:r>
        <w:t xml:space="preserve">DOL </w:t>
      </w:r>
      <w:r w:rsidRPr="023C45C8">
        <w:t>grant opportunities since 2017 and has exceeded performance for increased number of RAPs and apprentices in each grant closed thus far.</w:t>
      </w:r>
    </w:p>
    <w:p w14:paraId="1AF4B960" w14:textId="77777777" w:rsidR="006420CB" w:rsidRPr="00F93A41" w:rsidRDefault="006420CB" w:rsidP="00F93A41">
      <w:pPr>
        <w:pStyle w:val="BodyText"/>
      </w:pPr>
      <w:r w:rsidRPr="00F93A41">
        <w:lastRenderedPageBreak/>
        <w:t xml:space="preserve">TWC receives federal grant funding from DOL-OA to increase, modernize, and expand Registered Apprenticeship Programs and the number of apprentices in Texas. The federally funded expansion grants include: </w:t>
      </w:r>
    </w:p>
    <w:p w14:paraId="3978479B" w14:textId="77777777" w:rsidR="006420CB" w:rsidRPr="00F93A41" w:rsidRDefault="006420CB" w:rsidP="00C64851">
      <w:pPr>
        <w:pStyle w:val="BodyText"/>
        <w:numPr>
          <w:ilvl w:val="0"/>
          <w:numId w:val="843"/>
        </w:numPr>
      </w:pPr>
      <w:r w:rsidRPr="00F93A41">
        <w:t>State Apprenticeship Expansion (SAE 2020) – Expired June 30, 2024</w:t>
      </w:r>
    </w:p>
    <w:p w14:paraId="565FD3D5" w14:textId="77777777" w:rsidR="006420CB" w:rsidRPr="00F93A41" w:rsidRDefault="006420CB" w:rsidP="00C64851">
      <w:pPr>
        <w:pStyle w:val="BodyText"/>
        <w:numPr>
          <w:ilvl w:val="0"/>
          <w:numId w:val="843"/>
        </w:numPr>
      </w:pPr>
      <w:r w:rsidRPr="00F93A41">
        <w:t>State Apprenticeship Expansion, Equity and Innovation (SAEEI)</w:t>
      </w:r>
    </w:p>
    <w:p w14:paraId="354E7A01" w14:textId="77777777" w:rsidR="006420CB" w:rsidRPr="00F93A41" w:rsidRDefault="006420CB" w:rsidP="00C64851">
      <w:pPr>
        <w:pStyle w:val="BodyText"/>
        <w:numPr>
          <w:ilvl w:val="0"/>
          <w:numId w:val="843"/>
        </w:numPr>
      </w:pPr>
      <w:r w:rsidRPr="00F93A41">
        <w:t>Healthcare Initiative</w:t>
      </w:r>
    </w:p>
    <w:p w14:paraId="1EAB5A39" w14:textId="77777777" w:rsidR="006420CB" w:rsidRPr="00F93A41" w:rsidRDefault="006420CB" w:rsidP="00C64851">
      <w:pPr>
        <w:pStyle w:val="BodyText"/>
        <w:numPr>
          <w:ilvl w:val="0"/>
          <w:numId w:val="843"/>
        </w:numPr>
      </w:pPr>
      <w:r w:rsidRPr="00F93A41">
        <w:t>Critical Skills Initiative</w:t>
      </w:r>
    </w:p>
    <w:p w14:paraId="2EB0F8BA" w14:textId="77777777" w:rsidR="006420CB" w:rsidRPr="00F93A41" w:rsidRDefault="006420CB" w:rsidP="00C64851">
      <w:pPr>
        <w:pStyle w:val="BodyText"/>
        <w:numPr>
          <w:ilvl w:val="0"/>
          <w:numId w:val="843"/>
        </w:numPr>
      </w:pPr>
      <w:r w:rsidRPr="00F93A41">
        <w:t>Apprenticeship Building America</w:t>
      </w:r>
    </w:p>
    <w:p w14:paraId="5642BE00" w14:textId="77777777" w:rsidR="006420CB" w:rsidRPr="00F93A41" w:rsidRDefault="006420CB" w:rsidP="00C64851">
      <w:pPr>
        <w:pStyle w:val="BodyText"/>
        <w:numPr>
          <w:ilvl w:val="0"/>
          <w:numId w:val="843"/>
        </w:numPr>
      </w:pPr>
      <w:r w:rsidRPr="00F93A41">
        <w:t>Apprenticeship Expansion Formula</w:t>
      </w:r>
    </w:p>
    <w:p w14:paraId="597FFC4F" w14:textId="77777777" w:rsidR="006420CB" w:rsidRPr="00F93A41" w:rsidRDefault="006420CB" w:rsidP="00C64851">
      <w:pPr>
        <w:pStyle w:val="BodyText"/>
        <w:numPr>
          <w:ilvl w:val="0"/>
          <w:numId w:val="843"/>
        </w:numPr>
      </w:pPr>
      <w:r w:rsidRPr="00F93A41">
        <w:t>State Apprenticeship Expansion Formula</w:t>
      </w:r>
    </w:p>
    <w:p w14:paraId="686B3622" w14:textId="7BC8D1F1" w:rsidR="006420CB" w:rsidRPr="000F25DC" w:rsidRDefault="006420CB" w:rsidP="00F93A41">
      <w:pPr>
        <w:pStyle w:val="BodyText3"/>
        <w:ind w:left="720" w:hanging="720"/>
        <w:rPr>
          <w:i/>
        </w:rPr>
      </w:pPr>
      <w:r w:rsidRPr="0BBD25AA">
        <w:t>G.</w:t>
      </w:r>
      <w:r w:rsidR="00F93A41">
        <w:tab/>
      </w:r>
      <w:r w:rsidRPr="0BBD25AA">
        <w:t>If key to understanding the division or program, identify funding sources and amounts, including federal grants and pass-through monies. Describe any funding formulas or funding conventions. Please</w:t>
      </w:r>
      <w:r w:rsidRPr="0BBD25AA">
        <w:rPr>
          <w:spacing w:val="-1"/>
        </w:rPr>
        <w:t xml:space="preserve"> </w:t>
      </w:r>
      <w:r w:rsidRPr="0BBD25AA">
        <w:t>specify</w:t>
      </w:r>
      <w:r w:rsidRPr="0BBD25AA">
        <w:rPr>
          <w:spacing w:val="-1"/>
        </w:rPr>
        <w:t xml:space="preserve"> </w:t>
      </w:r>
      <w:r w:rsidRPr="0BBD25AA">
        <w:t>state</w:t>
      </w:r>
      <w:r w:rsidRPr="0BBD25AA">
        <w:rPr>
          <w:spacing w:val="-1"/>
        </w:rPr>
        <w:t xml:space="preserve"> </w:t>
      </w:r>
      <w:r w:rsidRPr="0BBD25AA">
        <w:t>funding</w:t>
      </w:r>
      <w:r w:rsidRPr="0BBD25AA">
        <w:rPr>
          <w:spacing w:val="-1"/>
        </w:rPr>
        <w:t xml:space="preserve"> </w:t>
      </w:r>
      <w:r w:rsidRPr="0BBD25AA">
        <w:t>sources (e.g., general revenue, appropriations</w:t>
      </w:r>
      <w:r w:rsidRPr="0BBD25AA">
        <w:rPr>
          <w:spacing w:val="-2"/>
        </w:rPr>
        <w:t xml:space="preserve"> </w:t>
      </w:r>
      <w:r w:rsidRPr="0BBD25AA">
        <w:t>rider, budget</w:t>
      </w:r>
      <w:r w:rsidRPr="0BBD25AA">
        <w:rPr>
          <w:spacing w:val="-5"/>
        </w:rPr>
        <w:t xml:space="preserve"> </w:t>
      </w:r>
      <w:r w:rsidRPr="0BBD25AA">
        <w:t>strategy,</w:t>
      </w:r>
      <w:r w:rsidRPr="0BBD25AA">
        <w:rPr>
          <w:spacing w:val="-5"/>
        </w:rPr>
        <w:t xml:space="preserve"> </w:t>
      </w:r>
      <w:r w:rsidRPr="0BBD25AA">
        <w:t>and</w:t>
      </w:r>
      <w:r w:rsidRPr="0BBD25AA">
        <w:rPr>
          <w:spacing w:val="-5"/>
        </w:rPr>
        <w:t xml:space="preserve"> </w:t>
      </w:r>
      <w:r w:rsidRPr="0BBD25AA">
        <w:t>fees/dues).</w:t>
      </w:r>
      <w:r w:rsidRPr="0BBD25AA">
        <w:rPr>
          <w:spacing w:val="-5"/>
        </w:rPr>
        <w:t xml:space="preserve"> </w:t>
      </w:r>
      <w:r w:rsidRPr="0BBD25AA">
        <w:rPr>
          <w:i/>
        </w:rPr>
        <w:t>(If</w:t>
      </w:r>
      <w:r w:rsidRPr="0BBD25AA">
        <w:rPr>
          <w:i/>
          <w:spacing w:val="-6"/>
        </w:rPr>
        <w:t xml:space="preserve"> </w:t>
      </w:r>
      <w:r w:rsidRPr="0BBD25AA">
        <w:rPr>
          <w:i/>
        </w:rPr>
        <w:t>you</w:t>
      </w:r>
      <w:r w:rsidRPr="0BBD25AA">
        <w:rPr>
          <w:i/>
          <w:spacing w:val="-6"/>
        </w:rPr>
        <w:t xml:space="preserve"> </w:t>
      </w:r>
      <w:r w:rsidRPr="0BBD25AA">
        <w:rPr>
          <w:i/>
        </w:rPr>
        <w:t>have</w:t>
      </w:r>
      <w:r w:rsidRPr="0BBD25AA">
        <w:rPr>
          <w:i/>
          <w:spacing w:val="-5"/>
        </w:rPr>
        <w:t xml:space="preserve"> </w:t>
      </w:r>
      <w:r w:rsidRPr="0BBD25AA">
        <w:rPr>
          <w:i/>
        </w:rPr>
        <w:t>already</w:t>
      </w:r>
      <w:r w:rsidRPr="0BBD25AA">
        <w:rPr>
          <w:i/>
          <w:spacing w:val="-5"/>
        </w:rPr>
        <w:t xml:space="preserve"> </w:t>
      </w:r>
      <w:r w:rsidRPr="0BBD25AA">
        <w:rPr>
          <w:i/>
        </w:rPr>
        <w:t>submitted</w:t>
      </w:r>
      <w:r w:rsidRPr="0BBD25AA">
        <w:rPr>
          <w:i/>
          <w:spacing w:val="-6"/>
        </w:rPr>
        <w:t xml:space="preserve"> </w:t>
      </w:r>
      <w:r w:rsidRPr="0BBD25AA">
        <w:rPr>
          <w:i/>
        </w:rPr>
        <w:t>funding</w:t>
      </w:r>
      <w:r w:rsidRPr="0BBD25AA">
        <w:rPr>
          <w:i/>
          <w:spacing w:val="-6"/>
        </w:rPr>
        <w:t xml:space="preserve"> </w:t>
      </w:r>
      <w:r w:rsidRPr="0BBD25AA">
        <w:rPr>
          <w:i/>
        </w:rPr>
        <w:t>source</w:t>
      </w:r>
      <w:r w:rsidRPr="0BBD25AA">
        <w:rPr>
          <w:i/>
          <w:spacing w:val="-5"/>
        </w:rPr>
        <w:t xml:space="preserve"> </w:t>
      </w:r>
      <w:r w:rsidRPr="0BBD25AA">
        <w:rPr>
          <w:i/>
        </w:rPr>
        <w:t>info</w:t>
      </w:r>
      <w:r w:rsidRPr="0BBD25AA">
        <w:rPr>
          <w:i/>
          <w:spacing w:val="-6"/>
        </w:rPr>
        <w:t xml:space="preserve"> </w:t>
      </w:r>
      <w:r w:rsidRPr="0BBD25AA">
        <w:rPr>
          <w:i/>
        </w:rPr>
        <w:t>through</w:t>
      </w:r>
      <w:r w:rsidRPr="0BBD25AA">
        <w:rPr>
          <w:i/>
          <w:spacing w:val="-6"/>
        </w:rPr>
        <w:t xml:space="preserve"> </w:t>
      </w:r>
      <w:r w:rsidRPr="0BBD25AA">
        <w:rPr>
          <w:i/>
        </w:rPr>
        <w:t>the “Agency Program Information” spreadsheet, please limit your response to funding formulas or funding conventions.)</w:t>
      </w:r>
    </w:p>
    <w:tbl>
      <w:tblPr>
        <w:tblStyle w:val="TableGrid1"/>
        <w:tblW w:w="0" w:type="auto"/>
        <w:tblCellMar>
          <w:top w:w="58" w:type="dxa"/>
          <w:bottom w:w="58" w:type="dxa"/>
        </w:tblCellMar>
        <w:tblLook w:val="04A0" w:firstRow="1" w:lastRow="0" w:firstColumn="1" w:lastColumn="0" w:noHBand="0" w:noVBand="1"/>
      </w:tblPr>
      <w:tblGrid>
        <w:gridCol w:w="3955"/>
        <w:gridCol w:w="2070"/>
        <w:gridCol w:w="1530"/>
        <w:gridCol w:w="1795"/>
      </w:tblGrid>
      <w:tr w:rsidR="007E632B" w14:paraId="4DEA4B68" w14:textId="77777777" w:rsidTr="00F10AE4">
        <w:trPr>
          <w:tblHeader/>
        </w:trPr>
        <w:tc>
          <w:tcPr>
            <w:tcW w:w="3955" w:type="dxa"/>
            <w:shd w:val="clear" w:color="auto" w:fill="B8CCE4" w:themeFill="accent1" w:themeFillTint="66"/>
            <w:vAlign w:val="center"/>
          </w:tcPr>
          <w:p w14:paraId="798302AE" w14:textId="7E904533" w:rsidR="007E632B" w:rsidRDefault="00F627B3" w:rsidP="00C555A6">
            <w:pPr>
              <w:pStyle w:val="TableHeaders"/>
            </w:pPr>
            <w:r>
              <w:t>Program or Function Detail Description</w:t>
            </w:r>
          </w:p>
        </w:tc>
        <w:tc>
          <w:tcPr>
            <w:tcW w:w="2070" w:type="dxa"/>
            <w:shd w:val="clear" w:color="auto" w:fill="B8CCE4" w:themeFill="accent1" w:themeFillTint="66"/>
            <w:vAlign w:val="center"/>
          </w:tcPr>
          <w:p w14:paraId="320AC64C" w14:textId="4FA19FB8" w:rsidR="007E632B" w:rsidRDefault="00F627B3" w:rsidP="00C555A6">
            <w:pPr>
              <w:pStyle w:val="TableHeaders"/>
            </w:pPr>
            <w:r>
              <w:t xml:space="preserve">Total FY </w:t>
            </w:r>
            <w:r w:rsidR="0015576A">
              <w:t>2024</w:t>
            </w:r>
          </w:p>
        </w:tc>
        <w:tc>
          <w:tcPr>
            <w:tcW w:w="1530" w:type="dxa"/>
            <w:shd w:val="clear" w:color="auto" w:fill="B8CCE4" w:themeFill="accent1" w:themeFillTint="66"/>
            <w:vAlign w:val="center"/>
          </w:tcPr>
          <w:p w14:paraId="62661977" w14:textId="2B40D706" w:rsidR="007E632B" w:rsidRDefault="0015576A" w:rsidP="00C555A6">
            <w:pPr>
              <w:pStyle w:val="TableHeaders"/>
            </w:pPr>
            <w:r>
              <w:t>Federal Funding</w:t>
            </w:r>
          </w:p>
        </w:tc>
        <w:tc>
          <w:tcPr>
            <w:tcW w:w="1795" w:type="dxa"/>
            <w:shd w:val="clear" w:color="auto" w:fill="B8CCE4" w:themeFill="accent1" w:themeFillTint="66"/>
            <w:vAlign w:val="center"/>
          </w:tcPr>
          <w:p w14:paraId="01EBCB7E" w14:textId="22477E74" w:rsidR="007E632B" w:rsidRDefault="0015576A" w:rsidP="00C555A6">
            <w:pPr>
              <w:pStyle w:val="TableHeaders"/>
            </w:pPr>
            <w:r>
              <w:t>State Funding</w:t>
            </w:r>
          </w:p>
        </w:tc>
      </w:tr>
      <w:tr w:rsidR="007E632B" w14:paraId="2E0C4B8C" w14:textId="77777777" w:rsidTr="00F10AE4">
        <w:tc>
          <w:tcPr>
            <w:tcW w:w="3955" w:type="dxa"/>
            <w:vAlign w:val="center"/>
          </w:tcPr>
          <w:p w14:paraId="305BBC30" w14:textId="55CD7259" w:rsidR="007E632B" w:rsidRDefault="0015576A" w:rsidP="006E2295">
            <w:pPr>
              <w:pStyle w:val="TableText"/>
            </w:pPr>
            <w:r>
              <w:t>Apprenticeship</w:t>
            </w:r>
          </w:p>
        </w:tc>
        <w:tc>
          <w:tcPr>
            <w:tcW w:w="2070" w:type="dxa"/>
            <w:vAlign w:val="center"/>
          </w:tcPr>
          <w:p w14:paraId="4A4F3B07" w14:textId="4DB112E4" w:rsidR="007E632B" w:rsidRDefault="00903A4A" w:rsidP="006E2295">
            <w:pPr>
              <w:pStyle w:val="TableText"/>
            </w:pPr>
            <w:r>
              <w:t>4,168,</w:t>
            </w:r>
            <w:r w:rsidR="0059039D">
              <w:t>824</w:t>
            </w:r>
          </w:p>
        </w:tc>
        <w:tc>
          <w:tcPr>
            <w:tcW w:w="1530" w:type="dxa"/>
            <w:vAlign w:val="center"/>
          </w:tcPr>
          <w:p w14:paraId="5C986138" w14:textId="4E812E6D" w:rsidR="007E632B" w:rsidRDefault="0059039D" w:rsidP="006E2295">
            <w:pPr>
              <w:pStyle w:val="TableText"/>
            </w:pPr>
            <w:r>
              <w:t>0</w:t>
            </w:r>
          </w:p>
        </w:tc>
        <w:tc>
          <w:tcPr>
            <w:tcW w:w="1795" w:type="dxa"/>
            <w:vAlign w:val="center"/>
          </w:tcPr>
          <w:p w14:paraId="5CD68DD7" w14:textId="3FC362CB" w:rsidR="007E632B" w:rsidRDefault="0059039D" w:rsidP="006E2295">
            <w:pPr>
              <w:pStyle w:val="TableText"/>
            </w:pPr>
            <w:r>
              <w:t>4,168,824</w:t>
            </w:r>
          </w:p>
        </w:tc>
      </w:tr>
      <w:tr w:rsidR="007E632B" w14:paraId="2B75264C" w14:textId="77777777" w:rsidTr="00F10AE4">
        <w:trPr>
          <w:trHeight w:val="697"/>
        </w:trPr>
        <w:tc>
          <w:tcPr>
            <w:tcW w:w="3955" w:type="dxa"/>
            <w:vAlign w:val="center"/>
          </w:tcPr>
          <w:p w14:paraId="28BAF68E" w14:textId="45161A29" w:rsidR="007E632B" w:rsidRDefault="0059039D" w:rsidP="006E2295">
            <w:pPr>
              <w:pStyle w:val="TableText"/>
            </w:pPr>
            <w:r>
              <w:t>Appr</w:t>
            </w:r>
            <w:r w:rsidR="00156502">
              <w:t>enticeship Federal</w:t>
            </w:r>
          </w:p>
        </w:tc>
        <w:tc>
          <w:tcPr>
            <w:tcW w:w="2070" w:type="dxa"/>
            <w:vAlign w:val="center"/>
          </w:tcPr>
          <w:p w14:paraId="27915E02" w14:textId="3010CDF1" w:rsidR="007E632B" w:rsidRDefault="00156502" w:rsidP="006E2295">
            <w:pPr>
              <w:pStyle w:val="TableText"/>
            </w:pPr>
            <w:r>
              <w:t>5,060,183</w:t>
            </w:r>
          </w:p>
        </w:tc>
        <w:tc>
          <w:tcPr>
            <w:tcW w:w="1530" w:type="dxa"/>
            <w:vAlign w:val="center"/>
          </w:tcPr>
          <w:p w14:paraId="0ED043F4" w14:textId="383C1E0A" w:rsidR="007E632B" w:rsidRDefault="00156502" w:rsidP="006E2295">
            <w:pPr>
              <w:pStyle w:val="TableText"/>
            </w:pPr>
            <w:r>
              <w:t>5,060,183</w:t>
            </w:r>
          </w:p>
        </w:tc>
        <w:tc>
          <w:tcPr>
            <w:tcW w:w="1795" w:type="dxa"/>
            <w:vAlign w:val="center"/>
          </w:tcPr>
          <w:p w14:paraId="66CB9738" w14:textId="755932A8" w:rsidR="007E632B" w:rsidRDefault="00156502" w:rsidP="006E2295">
            <w:pPr>
              <w:pStyle w:val="TableText"/>
            </w:pPr>
            <w:r>
              <w:t>0</w:t>
            </w:r>
          </w:p>
        </w:tc>
      </w:tr>
      <w:tr w:rsidR="007E632B" w14:paraId="221F6604" w14:textId="77777777" w:rsidTr="00F10AE4">
        <w:trPr>
          <w:trHeight w:val="1102"/>
        </w:trPr>
        <w:tc>
          <w:tcPr>
            <w:tcW w:w="3955" w:type="dxa"/>
            <w:vAlign w:val="center"/>
          </w:tcPr>
          <w:p w14:paraId="484AFB1D" w14:textId="57288C20" w:rsidR="007E632B" w:rsidRDefault="00156502" w:rsidP="006E2295">
            <w:pPr>
              <w:pStyle w:val="TableText"/>
            </w:pPr>
            <w:r>
              <w:t>Industry Recognized Apprenticeship Program (IRA</w:t>
            </w:r>
            <w:r w:rsidR="00AB4C82">
              <w:t>P</w:t>
            </w:r>
            <w:r>
              <w:t>)</w:t>
            </w:r>
          </w:p>
        </w:tc>
        <w:tc>
          <w:tcPr>
            <w:tcW w:w="2070" w:type="dxa"/>
            <w:vAlign w:val="center"/>
          </w:tcPr>
          <w:p w14:paraId="7F9068A3" w14:textId="570749D3" w:rsidR="007E632B" w:rsidRDefault="00156502" w:rsidP="006E2295">
            <w:pPr>
              <w:pStyle w:val="TableText"/>
            </w:pPr>
            <w:r>
              <w:t>45,689</w:t>
            </w:r>
          </w:p>
        </w:tc>
        <w:tc>
          <w:tcPr>
            <w:tcW w:w="1530" w:type="dxa"/>
            <w:vAlign w:val="center"/>
          </w:tcPr>
          <w:p w14:paraId="620B4500" w14:textId="5D9F3451" w:rsidR="007E632B" w:rsidRDefault="00AB4C82" w:rsidP="006E2295">
            <w:pPr>
              <w:pStyle w:val="TableText"/>
            </w:pPr>
            <w:r>
              <w:t>0</w:t>
            </w:r>
          </w:p>
        </w:tc>
        <w:tc>
          <w:tcPr>
            <w:tcW w:w="1795" w:type="dxa"/>
            <w:vAlign w:val="center"/>
          </w:tcPr>
          <w:p w14:paraId="656300B7" w14:textId="0DE5656B" w:rsidR="007E632B" w:rsidRDefault="00AB4C82" w:rsidP="006E2295">
            <w:pPr>
              <w:pStyle w:val="TableText"/>
            </w:pPr>
            <w:r>
              <w:t>45,689</w:t>
            </w:r>
          </w:p>
        </w:tc>
      </w:tr>
      <w:tr w:rsidR="007E632B" w14:paraId="2AABB437" w14:textId="77777777" w:rsidTr="00F10AE4">
        <w:trPr>
          <w:trHeight w:val="679"/>
        </w:trPr>
        <w:tc>
          <w:tcPr>
            <w:tcW w:w="3955" w:type="dxa"/>
            <w:vAlign w:val="center"/>
          </w:tcPr>
          <w:p w14:paraId="299972C2" w14:textId="0CFA5DD6" w:rsidR="007E632B" w:rsidRDefault="00FC3988" w:rsidP="006E2295">
            <w:pPr>
              <w:pStyle w:val="TableText"/>
            </w:pPr>
            <w:r>
              <w:t>Pre-Apprenticeship</w:t>
            </w:r>
          </w:p>
        </w:tc>
        <w:tc>
          <w:tcPr>
            <w:tcW w:w="2070" w:type="dxa"/>
            <w:vAlign w:val="center"/>
          </w:tcPr>
          <w:p w14:paraId="7ED44501" w14:textId="7A4D8079" w:rsidR="007E632B" w:rsidRDefault="00FC3988" w:rsidP="006E2295">
            <w:pPr>
              <w:pStyle w:val="TableText"/>
            </w:pPr>
            <w:r>
              <w:t>1,158,065</w:t>
            </w:r>
          </w:p>
        </w:tc>
        <w:tc>
          <w:tcPr>
            <w:tcW w:w="1530" w:type="dxa"/>
            <w:vAlign w:val="center"/>
          </w:tcPr>
          <w:p w14:paraId="306830F9" w14:textId="0A469DAB" w:rsidR="007E632B" w:rsidRDefault="00FC3988" w:rsidP="006E2295">
            <w:pPr>
              <w:pStyle w:val="TableText"/>
            </w:pPr>
            <w:r>
              <w:t>0</w:t>
            </w:r>
          </w:p>
        </w:tc>
        <w:tc>
          <w:tcPr>
            <w:tcW w:w="1795" w:type="dxa"/>
            <w:vAlign w:val="center"/>
          </w:tcPr>
          <w:p w14:paraId="282B92CE" w14:textId="620B952D" w:rsidR="007E632B" w:rsidRDefault="00FC3988" w:rsidP="006E2295">
            <w:pPr>
              <w:pStyle w:val="TableText"/>
            </w:pPr>
            <w:r>
              <w:t>1,</w:t>
            </w:r>
            <w:r w:rsidR="00B312F7">
              <w:t>158,065</w:t>
            </w:r>
          </w:p>
        </w:tc>
      </w:tr>
      <w:tr w:rsidR="007E632B" w14:paraId="2AD3CA60" w14:textId="77777777" w:rsidTr="00F10AE4">
        <w:tc>
          <w:tcPr>
            <w:tcW w:w="3955" w:type="dxa"/>
            <w:vAlign w:val="center"/>
          </w:tcPr>
          <w:p w14:paraId="182D717B" w14:textId="08F1C06A" w:rsidR="007E632B" w:rsidRDefault="00B312F7" w:rsidP="006E2295">
            <w:pPr>
              <w:pStyle w:val="TableText"/>
            </w:pPr>
            <w:r>
              <w:t>Total</w:t>
            </w:r>
          </w:p>
        </w:tc>
        <w:tc>
          <w:tcPr>
            <w:tcW w:w="2070" w:type="dxa"/>
            <w:vAlign w:val="center"/>
          </w:tcPr>
          <w:p w14:paraId="22674ACF" w14:textId="0CA7FA2B" w:rsidR="007E632B" w:rsidRDefault="00B312F7" w:rsidP="006E2295">
            <w:pPr>
              <w:pStyle w:val="TableText"/>
            </w:pPr>
            <w:r>
              <w:t>10,432,761</w:t>
            </w:r>
          </w:p>
        </w:tc>
        <w:tc>
          <w:tcPr>
            <w:tcW w:w="1530" w:type="dxa"/>
            <w:vAlign w:val="center"/>
          </w:tcPr>
          <w:p w14:paraId="6FADB9D8" w14:textId="471FFE38" w:rsidR="007E632B" w:rsidRDefault="00B312F7" w:rsidP="006E2295">
            <w:pPr>
              <w:pStyle w:val="TableText"/>
            </w:pPr>
            <w:r>
              <w:t>5,060,183</w:t>
            </w:r>
          </w:p>
        </w:tc>
        <w:tc>
          <w:tcPr>
            <w:tcW w:w="1795" w:type="dxa"/>
            <w:vAlign w:val="center"/>
          </w:tcPr>
          <w:p w14:paraId="76BF7AB8" w14:textId="3C243573" w:rsidR="007E632B" w:rsidRDefault="00B312F7" w:rsidP="006E2295">
            <w:pPr>
              <w:pStyle w:val="TableText"/>
            </w:pPr>
            <w:r>
              <w:t>5,372,578</w:t>
            </w:r>
          </w:p>
        </w:tc>
      </w:tr>
    </w:tbl>
    <w:p w14:paraId="540D6392" w14:textId="6DF48D1D" w:rsidR="006420CB" w:rsidRPr="000F25DC" w:rsidRDefault="006420CB" w:rsidP="00F93A41">
      <w:pPr>
        <w:pStyle w:val="BodyText3"/>
        <w:ind w:left="720" w:hanging="720"/>
      </w:pPr>
      <w:r w:rsidRPr="000F25DC">
        <w:t>H.</w:t>
      </w:r>
      <w:r w:rsidR="00F93A41">
        <w:tab/>
      </w:r>
      <w:r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Pr="000F25DC">
        <w:rPr>
          <w:spacing w:val="-2"/>
        </w:rPr>
        <w:t>population.</w:t>
      </w:r>
    </w:p>
    <w:p w14:paraId="20B1AECF" w14:textId="77777777" w:rsidR="006420CB" w:rsidRPr="00F93A41" w:rsidRDefault="006420CB" w:rsidP="00F93A41">
      <w:pPr>
        <w:pStyle w:val="BodyText"/>
      </w:pPr>
      <w:r w:rsidRPr="00F93A41">
        <w:lastRenderedPageBreak/>
        <w:t xml:space="preserve">OA has </w:t>
      </w:r>
      <w:proofErr w:type="gramStart"/>
      <w:r w:rsidRPr="00F93A41">
        <w:t>entered into</w:t>
      </w:r>
      <w:proofErr w:type="gramEnd"/>
      <w:r w:rsidRPr="00F93A41">
        <w:t xml:space="preserve"> an Interagency Contract (IAC) with San Jacinto College that includes working with six Boards (Cameron, Capital Area, Gulf Coast, Northeast Texas, North Central, and West Central) to develop an apprenticeship expansion five-year plan. The funding in this IAC is to support capacity building to continue expanding the knowledge and use of the apprenticeship model. </w:t>
      </w:r>
    </w:p>
    <w:p w14:paraId="5B8BFBB6" w14:textId="77777777" w:rsidR="006420CB" w:rsidRPr="00F93A41" w:rsidRDefault="006420CB" w:rsidP="00F93A41">
      <w:pPr>
        <w:pStyle w:val="BodyText"/>
      </w:pPr>
      <w:r w:rsidRPr="00F93A41">
        <w:t xml:space="preserve">OA has also </w:t>
      </w:r>
      <w:proofErr w:type="gramStart"/>
      <w:r w:rsidRPr="00F93A41">
        <w:t>entered into</w:t>
      </w:r>
      <w:proofErr w:type="gramEnd"/>
      <w:r w:rsidRPr="00F93A41">
        <w:t xml:space="preserve"> an IAC with Dallas College. The college was selected by the Texas Education Agency to serve as the technical assistance center for development of K–12 teacher apprenticeships. TWC furthered that partnership as part of the Tri-Agency Workforce Initiative. Dallas College works with education stakeholders such as education service centers, local education agencies, Boards, and community organizations to support the development and implementation of K–12 teacher apprenticeships. Dallas College is also working with San Jacinto College in the development of the apprenticeship expansion five-year plan.</w:t>
      </w:r>
    </w:p>
    <w:p w14:paraId="6DD7A4AE" w14:textId="3D35A724" w:rsidR="006420CB" w:rsidRPr="000F25DC" w:rsidRDefault="00F93A41" w:rsidP="00F93A41">
      <w:pPr>
        <w:pStyle w:val="BodyText3"/>
        <w:ind w:left="720" w:hanging="720"/>
      </w:pPr>
      <w:r>
        <w:t>I.</w:t>
      </w:r>
      <w:r>
        <w:tab/>
      </w:r>
      <w:r w:rsidR="006420CB" w:rsidRPr="000F25DC">
        <w:t>If</w:t>
      </w:r>
      <w:r w:rsidR="006420CB" w:rsidRPr="000F25DC">
        <w:rPr>
          <w:spacing w:val="-3"/>
        </w:rPr>
        <w:t xml:space="preserve"> </w:t>
      </w:r>
      <w:r w:rsidR="006420CB" w:rsidRPr="000F25DC">
        <w:t>the</w:t>
      </w:r>
      <w:r w:rsidR="006420CB" w:rsidRPr="000F25DC">
        <w:rPr>
          <w:spacing w:val="-2"/>
        </w:rPr>
        <w:t xml:space="preserve"> </w:t>
      </w:r>
      <w:r w:rsidR="006420CB" w:rsidRPr="000F25DC">
        <w:t>division</w:t>
      </w:r>
      <w:r w:rsidR="006420CB" w:rsidRPr="000F25DC">
        <w:rPr>
          <w:spacing w:val="-1"/>
        </w:rPr>
        <w:t xml:space="preserve"> </w:t>
      </w:r>
      <w:r w:rsidR="006420CB" w:rsidRPr="000F25DC">
        <w:t>or</w:t>
      </w:r>
      <w:r w:rsidR="006420CB" w:rsidRPr="000F25DC">
        <w:rPr>
          <w:spacing w:val="-3"/>
        </w:rPr>
        <w:t xml:space="preserve"> </w:t>
      </w:r>
      <w:r w:rsidR="006420CB" w:rsidRPr="000F25DC">
        <w:t>program</w:t>
      </w:r>
      <w:r w:rsidR="006420CB" w:rsidRPr="000F25DC">
        <w:rPr>
          <w:spacing w:val="-2"/>
        </w:rPr>
        <w:t xml:space="preserve"> </w:t>
      </w:r>
      <w:r w:rsidR="006420CB" w:rsidRPr="000F25DC">
        <w:t>works</w:t>
      </w:r>
      <w:r w:rsidR="006420CB" w:rsidRPr="000F25DC">
        <w:rPr>
          <w:spacing w:val="-1"/>
        </w:rPr>
        <w:t xml:space="preserve"> </w:t>
      </w:r>
      <w:r w:rsidR="006420CB" w:rsidRPr="000F25DC">
        <w:t>with</w:t>
      </w:r>
      <w:r w:rsidR="006420CB" w:rsidRPr="000F25DC">
        <w:rPr>
          <w:spacing w:val="-3"/>
        </w:rPr>
        <w:t xml:space="preserve"> </w:t>
      </w:r>
      <w:r w:rsidR="006420CB" w:rsidRPr="000F25DC">
        <w:t>local,</w:t>
      </w:r>
      <w:r w:rsidR="006420CB" w:rsidRPr="000F25DC">
        <w:rPr>
          <w:spacing w:val="-3"/>
        </w:rPr>
        <w:t xml:space="preserve"> </w:t>
      </w:r>
      <w:r w:rsidR="006420CB" w:rsidRPr="000F25DC">
        <w:t>regional,</w:t>
      </w:r>
      <w:r w:rsidR="006420CB" w:rsidRPr="000F25DC">
        <w:rPr>
          <w:spacing w:val="-3"/>
        </w:rPr>
        <w:t xml:space="preserve"> </w:t>
      </w:r>
      <w:r w:rsidR="006420CB" w:rsidRPr="000F25DC">
        <w:t>or federal</w:t>
      </w:r>
      <w:r w:rsidR="006420CB" w:rsidRPr="000F25DC">
        <w:rPr>
          <w:spacing w:val="-3"/>
        </w:rPr>
        <w:t xml:space="preserve"> </w:t>
      </w:r>
      <w:r w:rsidR="006420CB" w:rsidRPr="000F25DC">
        <w:t>units</w:t>
      </w:r>
      <w:r w:rsidR="006420CB" w:rsidRPr="000F25DC">
        <w:rPr>
          <w:spacing w:val="-1"/>
        </w:rPr>
        <w:t xml:space="preserve"> </w:t>
      </w:r>
      <w:r w:rsidR="006420CB" w:rsidRPr="000F25DC">
        <w:t>of</w:t>
      </w:r>
      <w:r w:rsidR="006420CB" w:rsidRPr="000F25DC">
        <w:rPr>
          <w:spacing w:val="-3"/>
        </w:rPr>
        <w:t xml:space="preserve"> </w:t>
      </w:r>
      <w:r w:rsidR="006420CB" w:rsidRPr="000F25DC">
        <w:t>government,</w:t>
      </w:r>
      <w:r w:rsidR="006420CB" w:rsidRPr="000F25DC">
        <w:rPr>
          <w:spacing w:val="-1"/>
        </w:rPr>
        <w:t xml:space="preserve"> </w:t>
      </w:r>
      <w:r w:rsidR="006420CB" w:rsidRPr="000F25DC">
        <w:t>include a brief description of these entities and their relationship to the agency.</w:t>
      </w:r>
    </w:p>
    <w:p w14:paraId="100C274B" w14:textId="77777777" w:rsidR="006420CB" w:rsidRPr="00C36B0C" w:rsidRDefault="006420CB" w:rsidP="00C36B0C">
      <w:pPr>
        <w:pStyle w:val="BodyText"/>
      </w:pPr>
      <w:r w:rsidRPr="00C36B0C">
        <w:t xml:space="preserve">TWC works closely with DOL-OA to ensure its programs meet federal requirements and qualify for federal funding, aligning Texas' apprenticeship efforts with national goals. This federal agency is the primary partner for TWC's apprenticeship initiatives, and provides grant funding, guidance and technical assistance to TWC. </w:t>
      </w:r>
    </w:p>
    <w:p w14:paraId="2EF255CC" w14:textId="77777777" w:rsidR="006420CB" w:rsidRDefault="006420CB" w:rsidP="00C36B0C">
      <w:pPr>
        <w:pStyle w:val="BodyText"/>
      </w:pPr>
      <w:r w:rsidRPr="3FA81943">
        <w:t xml:space="preserve">TWC </w:t>
      </w:r>
      <w:r w:rsidRPr="37F642D4">
        <w:t>p</w:t>
      </w:r>
      <w:r>
        <w:t xml:space="preserve">artners with the </w:t>
      </w:r>
      <w:r w:rsidRPr="4DCDA2E2">
        <w:t>Boards</w:t>
      </w:r>
      <w:r w:rsidRPr="3FA81943">
        <w:t xml:space="preserve"> to tailor apprenticeship programs to regional economic conditions and ensure they meet the specific skill needs of local employers.</w:t>
      </w:r>
    </w:p>
    <w:p w14:paraId="1BF8B6CA" w14:textId="77777777" w:rsidR="006420CB" w:rsidRDefault="006420CB" w:rsidP="00C36B0C">
      <w:pPr>
        <w:pStyle w:val="BodyText"/>
      </w:pPr>
      <w:r w:rsidRPr="00F54988">
        <w:t>TWC</w:t>
      </w:r>
      <w:r>
        <w:t xml:space="preserve"> </w:t>
      </w:r>
      <w:r w:rsidRPr="00F54988">
        <w:t>as provided in Texas Education Code, Chapter 133</w:t>
      </w:r>
      <w:r>
        <w:t xml:space="preserve">, </w:t>
      </w:r>
      <w:r w:rsidRPr="00F54988">
        <w:t>grants funds to local education</w:t>
      </w:r>
      <w:r>
        <w:t xml:space="preserve"> </w:t>
      </w:r>
      <w:r w:rsidRPr="00F54988">
        <w:t>agencies (LEAs) and apprenticeship committees to support the costs of job</w:t>
      </w:r>
      <w:r w:rsidRPr="00247F4B">
        <w:t>-</w:t>
      </w:r>
      <w:r w:rsidRPr="00F54988">
        <w:t>related classroom instruction in registered apprenticeship training programs. Registered apprenticeship training programs must partner with an LEA or their own apprenticeship committee, which act as fiscal agents for Apprenticeship Training Program funds</w:t>
      </w:r>
      <w:r w:rsidRPr="00247F4B">
        <w:t xml:space="preserve">. </w:t>
      </w:r>
    </w:p>
    <w:p w14:paraId="395E662C" w14:textId="2D44F70F" w:rsidR="006420CB" w:rsidRPr="000F25DC" w:rsidRDefault="006420CB" w:rsidP="00C36B0C">
      <w:pPr>
        <w:pStyle w:val="BodyText3"/>
        <w:ind w:left="720" w:hanging="720"/>
      </w:pPr>
      <w:r w:rsidRPr="000F25DC">
        <w:t>J.</w:t>
      </w:r>
      <w:r w:rsidR="00C36B0C">
        <w:tab/>
      </w:r>
      <w:r w:rsidRPr="000F25DC">
        <w:t>Are there any barriers or challenges that impede the division or</w:t>
      </w:r>
      <w:r w:rsidRPr="000F25DC">
        <w:rPr>
          <w:spacing w:val="27"/>
        </w:rPr>
        <w:t xml:space="preserve"> </w:t>
      </w:r>
      <w:r w:rsidRPr="000F25DC">
        <w:t>program’s performance,</w:t>
      </w:r>
      <w:r w:rsidRPr="000F25DC">
        <w:rPr>
          <w:spacing w:val="80"/>
        </w:rPr>
        <w:t xml:space="preserve"> </w:t>
      </w:r>
      <w:r w:rsidRPr="000F25DC">
        <w:t>including any outdated or ineffective state laws? Explain.</w:t>
      </w:r>
    </w:p>
    <w:p w14:paraId="29520021" w14:textId="77777777" w:rsidR="006420CB" w:rsidRPr="000F25DC" w:rsidRDefault="006420CB" w:rsidP="00C36B0C">
      <w:pPr>
        <w:pStyle w:val="BodyText"/>
      </w:pPr>
      <w:r w:rsidRPr="000F25DC">
        <w:t>N</w:t>
      </w:r>
      <w:r>
        <w:t>/A</w:t>
      </w:r>
    </w:p>
    <w:p w14:paraId="0DFF6E85" w14:textId="105F30C5" w:rsidR="006420CB" w:rsidRPr="000F25DC" w:rsidRDefault="006420CB" w:rsidP="00E064C9">
      <w:pPr>
        <w:pStyle w:val="BodyText3"/>
        <w:ind w:left="720" w:hanging="720"/>
      </w:pPr>
      <w:r w:rsidRPr="000F25DC">
        <w:t>K</w:t>
      </w:r>
      <w:r w:rsidR="00E064C9">
        <w:t>.</w:t>
      </w:r>
      <w:r w:rsidR="00E064C9">
        <w:tab/>
      </w:r>
      <w:r w:rsidRPr="000F25DC">
        <w:t>Provide</w:t>
      </w:r>
      <w:r w:rsidRPr="000F25DC">
        <w:rPr>
          <w:spacing w:val="40"/>
        </w:rPr>
        <w:t xml:space="preserve"> </w:t>
      </w:r>
      <w:r w:rsidRPr="000F25DC">
        <w:t>any</w:t>
      </w:r>
      <w:r w:rsidRPr="000F25DC">
        <w:rPr>
          <w:spacing w:val="40"/>
        </w:rPr>
        <w:t xml:space="preserve"> </w:t>
      </w:r>
      <w:r w:rsidRPr="000F25DC">
        <w:t>additional</w:t>
      </w:r>
      <w:r w:rsidRPr="000F25DC">
        <w:rPr>
          <w:spacing w:val="40"/>
        </w:rPr>
        <w:t xml:space="preserve"> </w:t>
      </w:r>
      <w:r w:rsidRPr="000F25DC">
        <w:t>information</w:t>
      </w:r>
      <w:r w:rsidRPr="000F25DC">
        <w:rPr>
          <w:spacing w:val="40"/>
        </w:rPr>
        <w:t xml:space="preserve"> </w:t>
      </w:r>
      <w:r w:rsidRPr="000F25DC">
        <w:t>needed</w:t>
      </w:r>
      <w:r w:rsidRPr="000F25DC">
        <w:rPr>
          <w:spacing w:val="40"/>
        </w:rPr>
        <w:t xml:space="preserve"> </w:t>
      </w:r>
      <w:r w:rsidRPr="000F25DC">
        <w:t>to</w:t>
      </w:r>
      <w:r w:rsidRPr="000F25DC">
        <w:rPr>
          <w:spacing w:val="40"/>
        </w:rPr>
        <w:t xml:space="preserve"> </w:t>
      </w:r>
      <w:r w:rsidRPr="000F25DC">
        <w:t>gain</w:t>
      </w:r>
      <w:r w:rsidRPr="000F25DC">
        <w:rPr>
          <w:spacing w:val="40"/>
        </w:rPr>
        <w:t xml:space="preserve"> </w:t>
      </w:r>
      <w:r w:rsidRPr="000F25DC">
        <w:t>a</w:t>
      </w:r>
      <w:r w:rsidRPr="000F25DC">
        <w:rPr>
          <w:spacing w:val="40"/>
        </w:rPr>
        <w:t xml:space="preserve"> </w:t>
      </w:r>
      <w:r w:rsidRPr="000F25DC">
        <w:t>preliminary</w:t>
      </w:r>
      <w:r w:rsidRPr="000F25DC">
        <w:rPr>
          <w:spacing w:val="40"/>
        </w:rPr>
        <w:t xml:space="preserve"> </w:t>
      </w:r>
      <w:r w:rsidRPr="000F25DC">
        <w:t>understanding</w:t>
      </w:r>
      <w:r w:rsidRPr="000F25DC">
        <w:rPr>
          <w:spacing w:val="39"/>
        </w:rPr>
        <w:t xml:space="preserve"> </w:t>
      </w:r>
      <w:r w:rsidRPr="000F25DC">
        <w:t>of</w:t>
      </w:r>
      <w:r w:rsidRPr="000F25DC">
        <w:rPr>
          <w:spacing w:val="40"/>
        </w:rPr>
        <w:t xml:space="preserve"> </w:t>
      </w:r>
      <w:r w:rsidRPr="000F25DC">
        <w:t>the division or program.</w:t>
      </w:r>
    </w:p>
    <w:p w14:paraId="1B3FAF52" w14:textId="77777777" w:rsidR="006420CB" w:rsidRPr="00E064C9" w:rsidRDefault="006420CB" w:rsidP="00E064C9">
      <w:pPr>
        <w:pStyle w:val="BodyText"/>
      </w:pPr>
      <w:r w:rsidRPr="00E064C9">
        <w:t>N/A</w:t>
      </w:r>
    </w:p>
    <w:p w14:paraId="7535AFCF" w14:textId="77777777" w:rsidR="006420CB" w:rsidRPr="000F25DC" w:rsidRDefault="006420CB" w:rsidP="006420CB">
      <w:pPr>
        <w:pStyle w:val="BodyText"/>
        <w:spacing w:before="240"/>
        <w:ind w:left="720" w:right="3538"/>
        <w:rPr>
          <w:rFonts w:asciiTheme="minorHAnsi" w:hAnsiTheme="minorHAnsi" w:cstheme="minorHAnsi"/>
          <w:color w:val="0562C1"/>
          <w:sz w:val="24"/>
          <w:szCs w:val="24"/>
          <w:u w:val="single" w:color="0562C1"/>
        </w:rPr>
      </w:pPr>
    </w:p>
    <w:p w14:paraId="27A67BEE" w14:textId="2C4DFE00" w:rsidR="006420CB" w:rsidRPr="000F25DC" w:rsidRDefault="006420CB" w:rsidP="00E064C9">
      <w:pPr>
        <w:pStyle w:val="BodyText3"/>
        <w:ind w:left="720" w:hanging="720"/>
      </w:pPr>
      <w:r>
        <w:lastRenderedPageBreak/>
        <w:t>L.</w:t>
      </w:r>
      <w:r w:rsidR="00E064C9">
        <w:tab/>
      </w:r>
      <w:r w:rsidRPr="000F25DC">
        <w:t>Regulatory programs relate to the licensing, registration, certification, or permitting of a person, business, piece of equipment, or other entity (e.g., a facility). For each regulatory program, if applicable, describe:</w:t>
      </w:r>
    </w:p>
    <w:p w14:paraId="38ED2A4F" w14:textId="77777777" w:rsidR="006420CB" w:rsidRPr="00E064C9" w:rsidRDefault="006420CB" w:rsidP="00E064C9">
      <w:pPr>
        <w:pStyle w:val="BodyText"/>
      </w:pPr>
      <w:r w:rsidRPr="00E064C9">
        <w:t>N/A</w:t>
      </w:r>
    </w:p>
    <w:p w14:paraId="7D7CF229" w14:textId="2E8D3D38" w:rsidR="006420CB" w:rsidRPr="000F25DC" w:rsidRDefault="006420CB" w:rsidP="00E064C9">
      <w:pPr>
        <w:pStyle w:val="BodyText3"/>
        <w:ind w:left="720" w:hanging="720"/>
      </w:pPr>
      <w:r w:rsidRPr="000F25DC">
        <w:t>M.</w:t>
      </w:r>
      <w:r w:rsidR="00E064C9">
        <w:tab/>
      </w:r>
      <w:r w:rsidRPr="000F25DC">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2288776C" w14:textId="77777777" w:rsidR="00791CA6" w:rsidRDefault="006420CB" w:rsidP="00D33520">
      <w:pPr>
        <w:pStyle w:val="BodyText"/>
      </w:pPr>
      <w:r w:rsidRPr="000F25DC">
        <w:t>N</w:t>
      </w:r>
      <w:r>
        <w:t>/A</w:t>
      </w:r>
    </w:p>
    <w:p w14:paraId="1B94CBD9" w14:textId="685A341D" w:rsidR="006420CB" w:rsidRDefault="006420CB" w:rsidP="00D33520">
      <w:pPr>
        <w:pStyle w:val="BodyText"/>
        <w:rPr>
          <w:rFonts w:asciiTheme="minorHAnsi" w:hAnsiTheme="minorHAnsi" w:cstheme="minorHAnsi"/>
          <w:sz w:val="24"/>
          <w:szCs w:val="24"/>
        </w:rPr>
      </w:pPr>
    </w:p>
    <w:p w14:paraId="365D1727" w14:textId="77777777" w:rsidR="006420CB" w:rsidRDefault="006420CB" w:rsidP="00E064C9">
      <w:pPr>
        <w:pStyle w:val="BodyText3"/>
      </w:pPr>
      <w:bookmarkStart w:id="252" w:name="Career_Schools_and_College"/>
      <w:bookmarkStart w:id="253" w:name="_Toc1383754785"/>
      <w:bookmarkStart w:id="254" w:name="_Toc204688540"/>
      <w:bookmarkStart w:id="255" w:name="_Toc1641224612"/>
      <w:bookmarkStart w:id="256" w:name="_Toc204688536"/>
      <w:bookmarkEnd w:id="252"/>
      <w:r w:rsidRPr="061A6DF0">
        <w:t>Jobs</w:t>
      </w:r>
      <w:r w:rsidRPr="061A6DF0">
        <w:rPr>
          <w:spacing w:val="-9"/>
        </w:rPr>
        <w:t xml:space="preserve"> </w:t>
      </w:r>
      <w:r w:rsidRPr="061A6DF0">
        <w:t>and</w:t>
      </w:r>
      <w:r w:rsidRPr="061A6DF0">
        <w:rPr>
          <w:spacing w:val="-7"/>
        </w:rPr>
        <w:t xml:space="preserve"> </w:t>
      </w:r>
      <w:r w:rsidRPr="061A6DF0">
        <w:t>Education</w:t>
      </w:r>
      <w:r w:rsidRPr="061A6DF0">
        <w:rPr>
          <w:spacing w:val="-8"/>
        </w:rPr>
        <w:t xml:space="preserve"> </w:t>
      </w:r>
      <w:r w:rsidRPr="061A6DF0">
        <w:t>for</w:t>
      </w:r>
      <w:r w:rsidRPr="061A6DF0">
        <w:rPr>
          <w:spacing w:val="-6"/>
        </w:rPr>
        <w:t xml:space="preserve"> </w:t>
      </w:r>
      <w:r w:rsidRPr="061A6DF0">
        <w:t>Texans</w:t>
      </w:r>
      <w:r w:rsidRPr="061A6DF0">
        <w:rPr>
          <w:spacing w:val="-8"/>
        </w:rPr>
        <w:t xml:space="preserve"> </w:t>
      </w:r>
      <w:bookmarkEnd w:id="253"/>
      <w:r>
        <w:rPr>
          <w:spacing w:val="-8"/>
        </w:rPr>
        <w:t>Grant</w:t>
      </w:r>
      <w:bookmarkEnd w:id="254"/>
    </w:p>
    <w:p w14:paraId="493ED86F" w14:textId="27F017AF" w:rsidR="006420CB" w:rsidRPr="00AC6073" w:rsidRDefault="00695EF2" w:rsidP="00695EF2">
      <w:pPr>
        <w:pStyle w:val="BodyText3"/>
        <w:rPr>
          <w:rStyle w:val="Strong"/>
          <w:rFonts w:eastAsiaTheme="majorEastAsia"/>
        </w:rPr>
      </w:pPr>
      <w:r>
        <w:rPr>
          <w:rStyle w:val="Strong"/>
          <w:rFonts w:eastAsiaTheme="majorEastAsia"/>
        </w:rPr>
        <w:t>A.</w:t>
      </w:r>
      <w:r>
        <w:rPr>
          <w:rStyle w:val="Strong"/>
          <w:rFonts w:eastAsiaTheme="majorEastAsia"/>
        </w:rPr>
        <w:tab/>
      </w:r>
      <w:r w:rsidR="006420CB" w:rsidRPr="00AC6073">
        <w:rPr>
          <w:rStyle w:val="Strong"/>
          <w:rFonts w:eastAsiaTheme="majorEastAsia"/>
        </w:rPr>
        <w:t>Provide the following information at the beginning of each description.</w:t>
      </w:r>
    </w:p>
    <w:p w14:paraId="0B01EE53" w14:textId="77777777" w:rsidR="006420CB" w:rsidRPr="00695EF2" w:rsidRDefault="006420CB" w:rsidP="00695EF2">
      <w:pPr>
        <w:pStyle w:val="BodyText"/>
        <w:rPr>
          <w:rStyle w:val="IntenseEmphasis"/>
          <w:b w:val="0"/>
          <w:bCs w:val="0"/>
          <w:i w:val="0"/>
          <w:iCs w:val="0"/>
        </w:rPr>
      </w:pPr>
      <w:r w:rsidRPr="00695EF2">
        <w:rPr>
          <w:rStyle w:val="IntenseEmphasis"/>
          <w:b w:val="0"/>
          <w:bCs w:val="0"/>
          <w:i w:val="0"/>
          <w:iCs w:val="0"/>
        </w:rPr>
        <w:t>Name of Program or Function: Jobs and Education for Texans Grant</w:t>
      </w:r>
    </w:p>
    <w:p w14:paraId="64208B04" w14:textId="77777777" w:rsidR="006420CB" w:rsidRPr="00695EF2" w:rsidRDefault="006420CB" w:rsidP="00695EF2">
      <w:pPr>
        <w:pStyle w:val="BodyText"/>
        <w:rPr>
          <w:rStyle w:val="IntenseEmphasis"/>
          <w:b w:val="0"/>
          <w:bCs w:val="0"/>
          <w:i w:val="0"/>
          <w:iCs w:val="0"/>
        </w:rPr>
      </w:pPr>
      <w:r w:rsidRPr="00695EF2">
        <w:rPr>
          <w:rStyle w:val="IntenseEmphasis"/>
          <w:b w:val="0"/>
          <w:bCs w:val="0"/>
          <w:i w:val="0"/>
          <w:iCs w:val="0"/>
        </w:rPr>
        <w:t xml:space="preserve">Location/Division: Workforce Development Division, Education and Outreach </w:t>
      </w:r>
    </w:p>
    <w:p w14:paraId="4F820061" w14:textId="77777777" w:rsidR="006420CB" w:rsidRPr="00695EF2" w:rsidRDefault="006420CB" w:rsidP="00695EF2">
      <w:pPr>
        <w:pStyle w:val="BodyText"/>
        <w:rPr>
          <w:rStyle w:val="IntenseEmphasis"/>
          <w:b w:val="0"/>
          <w:bCs w:val="0"/>
          <w:i w:val="0"/>
          <w:iCs w:val="0"/>
        </w:rPr>
      </w:pPr>
      <w:r w:rsidRPr="00695EF2">
        <w:rPr>
          <w:rStyle w:val="IntenseEmphasis"/>
          <w:b w:val="0"/>
          <w:bCs w:val="0"/>
          <w:i w:val="0"/>
          <w:iCs w:val="0"/>
        </w:rPr>
        <w:t>Contact Name: Matthew Sniadecki</w:t>
      </w:r>
    </w:p>
    <w:p w14:paraId="4955609B" w14:textId="77777777" w:rsidR="006420CB" w:rsidRPr="00695EF2" w:rsidRDefault="006420CB" w:rsidP="00695EF2">
      <w:pPr>
        <w:pStyle w:val="BodyText"/>
        <w:rPr>
          <w:rStyle w:val="IntenseEmphasis"/>
          <w:b w:val="0"/>
          <w:bCs w:val="0"/>
          <w:i w:val="0"/>
          <w:iCs w:val="0"/>
        </w:rPr>
      </w:pPr>
      <w:r w:rsidRPr="00695EF2">
        <w:rPr>
          <w:rStyle w:val="IntenseEmphasis"/>
          <w:b w:val="0"/>
          <w:bCs w:val="0"/>
          <w:i w:val="0"/>
          <w:iCs w:val="0"/>
        </w:rPr>
        <w:t>Statutory Citation for Program: Texas Education Code Chapter 134</w:t>
      </w:r>
    </w:p>
    <w:p w14:paraId="6B67EC34" w14:textId="6300D445" w:rsidR="006420CB" w:rsidRPr="000F25DC" w:rsidRDefault="006420CB" w:rsidP="00695EF2">
      <w:pPr>
        <w:pStyle w:val="BodyText3"/>
        <w:rPr>
          <w:rFonts w:eastAsia="Times New Roman"/>
          <w:color w:val="000000"/>
        </w:rPr>
      </w:pPr>
      <w:r>
        <w:t>B.</w:t>
      </w:r>
      <w:r w:rsidR="00695EF2">
        <w:tab/>
      </w:r>
      <w:r w:rsidRPr="000F25DC">
        <w:t>What</w:t>
      </w:r>
      <w:r w:rsidRPr="000F25DC">
        <w:rPr>
          <w:spacing w:val="-5"/>
        </w:rPr>
        <w:t xml:space="preserve"> </w:t>
      </w:r>
      <w:r w:rsidRPr="000F25DC">
        <w:t>is</w:t>
      </w:r>
      <w:r w:rsidRPr="000F25DC">
        <w:rPr>
          <w:spacing w:val="-4"/>
        </w:rPr>
        <w:t xml:space="preserve"> </w:t>
      </w:r>
      <w:r w:rsidRPr="000F25DC">
        <w:t>the</w:t>
      </w:r>
      <w:r w:rsidRPr="000F25DC">
        <w:rPr>
          <w:spacing w:val="-4"/>
        </w:rPr>
        <w:t xml:space="preserve"> </w:t>
      </w:r>
      <w:r w:rsidRPr="00895C13">
        <w:t>objective</w:t>
      </w:r>
      <w:r w:rsidRPr="000F25DC">
        <w:rPr>
          <w:spacing w:val="-5"/>
        </w:rPr>
        <w:t xml:space="preserve"> </w:t>
      </w:r>
      <w:r w:rsidRPr="000F25DC">
        <w:t>of this</w:t>
      </w:r>
      <w:r w:rsidRPr="000F25DC">
        <w:rPr>
          <w:spacing w:val="-4"/>
        </w:rPr>
        <w:t xml:space="preserve"> </w:t>
      </w:r>
      <w:r w:rsidRPr="000F25DC">
        <w:t>division or program?</w:t>
      </w:r>
      <w:r w:rsidRPr="000F25DC">
        <w:rPr>
          <w:spacing w:val="-2"/>
        </w:rPr>
        <w:t xml:space="preserve"> </w:t>
      </w:r>
      <w:r w:rsidRPr="000F25DC">
        <w:t>Describe</w:t>
      </w:r>
      <w:r w:rsidRPr="000F25DC">
        <w:rPr>
          <w:spacing w:val="-1"/>
        </w:rPr>
        <w:t xml:space="preserve"> </w:t>
      </w:r>
      <w:r w:rsidRPr="000F25DC">
        <w:t>its</w:t>
      </w:r>
      <w:r w:rsidRPr="000F25DC">
        <w:rPr>
          <w:spacing w:val="-1"/>
        </w:rPr>
        <w:t xml:space="preserve"> </w:t>
      </w:r>
      <w:r w:rsidRPr="000F25DC">
        <w:t>major</w:t>
      </w:r>
      <w:r w:rsidRPr="000F25DC">
        <w:rPr>
          <w:spacing w:val="1"/>
        </w:rPr>
        <w:t xml:space="preserve"> </w:t>
      </w:r>
      <w:r w:rsidRPr="000F25DC">
        <w:rPr>
          <w:spacing w:val="-2"/>
        </w:rPr>
        <w:t>activities.</w:t>
      </w:r>
    </w:p>
    <w:p w14:paraId="0CDD7530" w14:textId="77777777" w:rsidR="006420CB" w:rsidRPr="000F25DC" w:rsidRDefault="006420CB" w:rsidP="00695EF2">
      <w:pPr>
        <w:pStyle w:val="BodyText"/>
      </w:pPr>
      <w:r>
        <w:t xml:space="preserve">The </w:t>
      </w:r>
      <w:hyperlink r:id="rId171" w:history="1">
        <w:r w:rsidRPr="006D4E02">
          <w:rPr>
            <w:rStyle w:val="Hyperlink"/>
          </w:rPr>
          <w:t>Jobs and Education for Texans (JET)</w:t>
        </w:r>
        <w:r w:rsidRPr="006D4E02">
          <w:rPr>
            <w:rStyle w:val="Hyperlink"/>
            <w:spacing w:val="40"/>
          </w:rPr>
          <w:t xml:space="preserve"> </w:t>
        </w:r>
        <w:r w:rsidRPr="006D4E02">
          <w:rPr>
            <w:rStyle w:val="Hyperlink"/>
          </w:rPr>
          <w:t>Grant Program</w:t>
        </w:r>
      </w:hyperlink>
      <w:r w:rsidRPr="000F25DC">
        <w:rPr>
          <w:spacing w:val="40"/>
        </w:rPr>
        <w:t xml:space="preserve"> </w:t>
      </w:r>
      <w:r w:rsidRPr="000F25DC">
        <w:t>support</w:t>
      </w:r>
      <w:r>
        <w:t>s</w:t>
      </w:r>
      <w:r w:rsidRPr="000F25DC">
        <w:rPr>
          <w:spacing w:val="40"/>
        </w:rPr>
        <w:t xml:space="preserve"> </w:t>
      </w:r>
      <w:r w:rsidRPr="000F25DC">
        <w:t>the</w:t>
      </w:r>
      <w:r w:rsidRPr="000F25DC">
        <w:rPr>
          <w:spacing w:val="40"/>
        </w:rPr>
        <w:t xml:space="preserve"> </w:t>
      </w:r>
      <w:r w:rsidRPr="000F25DC">
        <w:t>purchase</w:t>
      </w:r>
      <w:r w:rsidRPr="000F25DC">
        <w:rPr>
          <w:spacing w:val="40"/>
        </w:rPr>
        <w:t xml:space="preserve"> </w:t>
      </w:r>
      <w:r w:rsidRPr="000F25DC">
        <w:t>of</w:t>
      </w:r>
      <w:r w:rsidRPr="000F25DC">
        <w:rPr>
          <w:spacing w:val="40"/>
        </w:rPr>
        <w:t xml:space="preserve"> </w:t>
      </w:r>
      <w:r w:rsidRPr="000F25DC">
        <w:t>equipment</w:t>
      </w:r>
      <w:r w:rsidRPr="000F25DC">
        <w:rPr>
          <w:spacing w:val="40"/>
        </w:rPr>
        <w:t xml:space="preserve"> </w:t>
      </w:r>
      <w:r w:rsidRPr="000F25DC">
        <w:t>connected</w:t>
      </w:r>
      <w:r w:rsidRPr="000F25DC">
        <w:rPr>
          <w:spacing w:val="40"/>
        </w:rPr>
        <w:t xml:space="preserve"> </w:t>
      </w:r>
      <w:r w:rsidRPr="000F25DC">
        <w:t>to</w:t>
      </w:r>
      <w:r w:rsidRPr="000F25DC">
        <w:rPr>
          <w:spacing w:val="40"/>
        </w:rPr>
        <w:t xml:space="preserve"> </w:t>
      </w:r>
      <w:r w:rsidRPr="000F25DC">
        <w:t>new</w:t>
      </w:r>
      <w:r w:rsidRPr="000F25DC">
        <w:rPr>
          <w:spacing w:val="40"/>
        </w:rPr>
        <w:t xml:space="preserve"> </w:t>
      </w:r>
      <w:r w:rsidRPr="000F25DC">
        <w:t>or</w:t>
      </w:r>
      <w:r w:rsidRPr="000F25DC">
        <w:rPr>
          <w:spacing w:val="40"/>
        </w:rPr>
        <w:t xml:space="preserve"> </w:t>
      </w:r>
      <w:r w:rsidRPr="000F25DC">
        <w:t>expanding</w:t>
      </w:r>
      <w:r w:rsidRPr="000F25DC">
        <w:rPr>
          <w:spacing w:val="40"/>
        </w:rPr>
        <w:t xml:space="preserve"> </w:t>
      </w:r>
      <w:r>
        <w:t>c</w:t>
      </w:r>
      <w:r w:rsidRPr="000F25DC">
        <w:t>areer</w:t>
      </w:r>
      <w:r w:rsidRPr="000F25DC">
        <w:rPr>
          <w:spacing w:val="40"/>
        </w:rPr>
        <w:t xml:space="preserve"> </w:t>
      </w:r>
      <w:r w:rsidRPr="000F25DC">
        <w:t xml:space="preserve">and </w:t>
      </w:r>
      <w:r>
        <w:t>t</w:t>
      </w:r>
      <w:r w:rsidRPr="000F25DC">
        <w:t xml:space="preserve">echnical </w:t>
      </w:r>
      <w:r>
        <w:t>e</w:t>
      </w:r>
      <w:r w:rsidRPr="000F25DC">
        <w:t>ducation (CTE) programs that:</w:t>
      </w:r>
    </w:p>
    <w:p w14:paraId="26E5744D" w14:textId="77777777" w:rsidR="006420CB" w:rsidRPr="00695EF2" w:rsidRDefault="006420CB" w:rsidP="00C64851">
      <w:pPr>
        <w:pStyle w:val="BodyText"/>
        <w:numPr>
          <w:ilvl w:val="0"/>
          <w:numId w:val="844"/>
        </w:numPr>
      </w:pPr>
      <w:r w:rsidRPr="00695EF2">
        <w:t>Prepare students for employment in local high demand occupations.</w:t>
      </w:r>
    </w:p>
    <w:p w14:paraId="4BAB7AD9" w14:textId="77777777" w:rsidR="006420CB" w:rsidRPr="00695EF2" w:rsidRDefault="006420CB" w:rsidP="00C64851">
      <w:pPr>
        <w:pStyle w:val="BodyText"/>
        <w:numPr>
          <w:ilvl w:val="0"/>
          <w:numId w:val="844"/>
        </w:numPr>
      </w:pPr>
      <w:r w:rsidRPr="00695EF2">
        <w:t>Lead to a license, certificate, or postsecondary degree.</w:t>
      </w:r>
    </w:p>
    <w:p w14:paraId="0C94BE9C" w14:textId="77777777" w:rsidR="006420CB" w:rsidRPr="00695EF2" w:rsidRDefault="006420CB" w:rsidP="00C64851">
      <w:pPr>
        <w:pStyle w:val="BodyText"/>
        <w:numPr>
          <w:ilvl w:val="0"/>
          <w:numId w:val="844"/>
        </w:numPr>
      </w:pPr>
      <w:r w:rsidRPr="00695EF2">
        <w:t>Are provided in school districts in cooperation with other public junior, technical or state colleges.</w:t>
      </w:r>
    </w:p>
    <w:p w14:paraId="4161301A" w14:textId="77777777" w:rsidR="006420CB" w:rsidRPr="00695EF2" w:rsidRDefault="006420CB" w:rsidP="00695EF2">
      <w:pPr>
        <w:pStyle w:val="BodyText"/>
      </w:pPr>
      <w:r w:rsidRPr="00695EF2">
        <w:lastRenderedPageBreak/>
        <w:t>JET grants provide potential economic returns through:</w:t>
      </w:r>
    </w:p>
    <w:p w14:paraId="487F2F95" w14:textId="77777777" w:rsidR="006420CB" w:rsidRPr="00695EF2" w:rsidRDefault="006420CB" w:rsidP="00C64851">
      <w:pPr>
        <w:pStyle w:val="BodyText"/>
        <w:numPr>
          <w:ilvl w:val="0"/>
          <w:numId w:val="845"/>
        </w:numPr>
      </w:pPr>
      <w:r w:rsidRPr="00695EF2">
        <w:t>Supporting emerging industries or high-demand occupations.</w:t>
      </w:r>
    </w:p>
    <w:p w14:paraId="525154AC" w14:textId="77777777" w:rsidR="006420CB" w:rsidRPr="00695EF2" w:rsidRDefault="006420CB" w:rsidP="00C64851">
      <w:pPr>
        <w:pStyle w:val="BodyText"/>
        <w:numPr>
          <w:ilvl w:val="0"/>
          <w:numId w:val="845"/>
        </w:numPr>
      </w:pPr>
      <w:r w:rsidRPr="00695EF2">
        <w:t>Offering new or expanded CTE opportunities in public high schools.</w:t>
      </w:r>
    </w:p>
    <w:p w14:paraId="152A39C1" w14:textId="77777777" w:rsidR="006420CB" w:rsidRPr="000F25DC" w:rsidRDefault="006420CB" w:rsidP="00695EF2">
      <w:pPr>
        <w:pStyle w:val="BodyText"/>
      </w:pPr>
      <w:r w:rsidRPr="000F25DC">
        <w:t xml:space="preserve">TWC administers the JET </w:t>
      </w:r>
      <w:r>
        <w:t>g</w:t>
      </w:r>
      <w:r w:rsidRPr="000F25DC">
        <w:t>rant program through a structured process that includes:</w:t>
      </w:r>
    </w:p>
    <w:p w14:paraId="0FF670D7" w14:textId="77777777" w:rsidR="006420CB" w:rsidRPr="000F25DC" w:rsidRDefault="006420CB" w:rsidP="00C64851">
      <w:pPr>
        <w:pStyle w:val="BodyText"/>
        <w:numPr>
          <w:ilvl w:val="0"/>
          <w:numId w:val="846"/>
        </w:numPr>
      </w:pPr>
      <w:r>
        <w:t>A</w:t>
      </w:r>
      <w:r w:rsidRPr="000F25DC">
        <w:t xml:space="preserve">nnouncing </w:t>
      </w:r>
      <w:r>
        <w:t>f</w:t>
      </w:r>
      <w:r w:rsidRPr="000F25DC">
        <w:t xml:space="preserve">unding </w:t>
      </w:r>
      <w:r>
        <w:t>o</w:t>
      </w:r>
      <w:r w:rsidRPr="000F25DC">
        <w:t>pportunities</w:t>
      </w:r>
    </w:p>
    <w:p w14:paraId="7C53A5C5" w14:textId="77777777" w:rsidR="006420CB" w:rsidRPr="000F25DC" w:rsidRDefault="006420CB" w:rsidP="00C64851">
      <w:pPr>
        <w:pStyle w:val="BodyText"/>
        <w:numPr>
          <w:ilvl w:val="0"/>
          <w:numId w:val="846"/>
        </w:numPr>
      </w:pPr>
      <w:r>
        <w:t>A</w:t>
      </w:r>
      <w:r w:rsidRPr="000F25DC">
        <w:t xml:space="preserve">ccepting and </w:t>
      </w:r>
      <w:r>
        <w:t>r</w:t>
      </w:r>
      <w:r w:rsidRPr="000F25DC">
        <w:t xml:space="preserve">eviewing </w:t>
      </w:r>
      <w:r>
        <w:t>a</w:t>
      </w:r>
      <w:r w:rsidRPr="000F25DC">
        <w:t>pplications</w:t>
      </w:r>
    </w:p>
    <w:p w14:paraId="300B6337" w14:textId="77777777" w:rsidR="006420CB" w:rsidRPr="000F25DC" w:rsidRDefault="006420CB" w:rsidP="00C64851">
      <w:pPr>
        <w:pStyle w:val="BodyText"/>
        <w:numPr>
          <w:ilvl w:val="0"/>
          <w:numId w:val="846"/>
        </w:numPr>
      </w:pPr>
      <w:r>
        <w:t>A</w:t>
      </w:r>
      <w:r w:rsidRPr="000F25DC">
        <w:t xml:space="preserve">warding </w:t>
      </w:r>
      <w:r>
        <w:t>g</w:t>
      </w:r>
      <w:r w:rsidRPr="000F25DC">
        <w:t xml:space="preserve">rants based on </w:t>
      </w:r>
      <w:r>
        <w:t>m</w:t>
      </w:r>
      <w:r w:rsidRPr="000F25DC">
        <w:t xml:space="preserve">erit and </w:t>
      </w:r>
      <w:r>
        <w:t>a</w:t>
      </w:r>
      <w:r w:rsidRPr="000F25DC">
        <w:t xml:space="preserve">lignment with </w:t>
      </w:r>
      <w:r>
        <w:t>s</w:t>
      </w:r>
      <w:r w:rsidRPr="000F25DC">
        <w:t xml:space="preserve">tate </w:t>
      </w:r>
      <w:r>
        <w:t>w</w:t>
      </w:r>
      <w:r w:rsidRPr="000F25DC">
        <w:t xml:space="preserve">orkforce </w:t>
      </w:r>
      <w:r>
        <w:t>n</w:t>
      </w:r>
      <w:r w:rsidRPr="000F25DC">
        <w:t>eeds</w:t>
      </w:r>
    </w:p>
    <w:p w14:paraId="3FE9F724" w14:textId="77777777" w:rsidR="006420CB" w:rsidRPr="000F25DC" w:rsidRDefault="006420CB" w:rsidP="00C64851">
      <w:pPr>
        <w:pStyle w:val="BodyText"/>
        <w:numPr>
          <w:ilvl w:val="0"/>
          <w:numId w:val="846"/>
        </w:numPr>
      </w:pPr>
      <w:r>
        <w:t>On</w:t>
      </w:r>
      <w:r w:rsidRPr="000F25DC">
        <w:t xml:space="preserve">going </w:t>
      </w:r>
      <w:r>
        <w:t>m</w:t>
      </w:r>
      <w:r w:rsidRPr="000F25DC">
        <w:t xml:space="preserve">onitoring and </w:t>
      </w:r>
      <w:r>
        <w:t>r</w:t>
      </w:r>
      <w:r w:rsidRPr="000F25DC">
        <w:t xml:space="preserve">eporting to </w:t>
      </w:r>
      <w:r>
        <w:t>e</w:t>
      </w:r>
      <w:r w:rsidRPr="000F25DC">
        <w:t xml:space="preserve">nsure </w:t>
      </w:r>
      <w:r>
        <w:t>a</w:t>
      </w:r>
      <w:r w:rsidRPr="000F25DC">
        <w:t xml:space="preserve">ccountability and </w:t>
      </w:r>
      <w:r>
        <w:t>p</w:t>
      </w:r>
      <w:r w:rsidRPr="000F25DC">
        <w:t xml:space="preserve">rogram </w:t>
      </w:r>
      <w:r>
        <w:t>s</w:t>
      </w:r>
      <w:r w:rsidRPr="000F25DC">
        <w:t>uccess</w:t>
      </w:r>
    </w:p>
    <w:p w14:paraId="0DBB08D5" w14:textId="77777777" w:rsidR="006420CB" w:rsidRPr="000F25DC" w:rsidRDefault="006420CB" w:rsidP="00F135A5">
      <w:pPr>
        <w:pStyle w:val="BodyText"/>
      </w:pPr>
      <w:r>
        <w:t>TWC</w:t>
      </w:r>
      <w:r w:rsidRPr="000F25DC">
        <w:t xml:space="preserve"> staff leverage partnerships with key stakeholders to market this grant opportunity,</w:t>
      </w:r>
      <w:r w:rsidRPr="000F25DC">
        <w:rPr>
          <w:spacing w:val="-14"/>
        </w:rPr>
        <w:t xml:space="preserve"> </w:t>
      </w:r>
      <w:r w:rsidRPr="000F25DC">
        <w:t>assist</w:t>
      </w:r>
      <w:r w:rsidRPr="000F25DC">
        <w:rPr>
          <w:spacing w:val="-14"/>
        </w:rPr>
        <w:t xml:space="preserve"> </w:t>
      </w:r>
      <w:r w:rsidRPr="000F25DC">
        <w:t>with</w:t>
      </w:r>
      <w:r w:rsidRPr="000F25DC">
        <w:rPr>
          <w:spacing w:val="-13"/>
        </w:rPr>
        <w:t xml:space="preserve"> </w:t>
      </w:r>
      <w:r w:rsidRPr="000F25DC">
        <w:t>the</w:t>
      </w:r>
      <w:r w:rsidRPr="000F25DC">
        <w:rPr>
          <w:spacing w:val="-14"/>
        </w:rPr>
        <w:t xml:space="preserve"> </w:t>
      </w:r>
      <w:r w:rsidRPr="000F25DC">
        <w:t>development</w:t>
      </w:r>
      <w:r w:rsidRPr="000F25DC">
        <w:rPr>
          <w:spacing w:val="-13"/>
        </w:rPr>
        <w:t xml:space="preserve"> </w:t>
      </w:r>
      <w:r w:rsidRPr="000F25DC">
        <w:t>of</w:t>
      </w:r>
      <w:r w:rsidRPr="000F25DC">
        <w:rPr>
          <w:spacing w:val="-14"/>
        </w:rPr>
        <w:t xml:space="preserve"> </w:t>
      </w:r>
      <w:r w:rsidRPr="000F25DC">
        <w:t>application</w:t>
      </w:r>
      <w:r w:rsidRPr="000F25DC">
        <w:rPr>
          <w:spacing w:val="-13"/>
        </w:rPr>
        <w:t xml:space="preserve"> </w:t>
      </w:r>
      <w:r w:rsidRPr="000F25DC">
        <w:t>documents,</w:t>
      </w:r>
      <w:r w:rsidRPr="000F25DC">
        <w:rPr>
          <w:spacing w:val="-14"/>
        </w:rPr>
        <w:t xml:space="preserve"> </w:t>
      </w:r>
      <w:r w:rsidRPr="000F25DC">
        <w:t>and</w:t>
      </w:r>
      <w:r w:rsidRPr="000F25DC">
        <w:rPr>
          <w:spacing w:val="-14"/>
        </w:rPr>
        <w:t xml:space="preserve"> </w:t>
      </w:r>
      <w:r w:rsidRPr="000F25DC">
        <w:t>participate</w:t>
      </w:r>
      <w:r w:rsidRPr="000F25DC">
        <w:rPr>
          <w:spacing w:val="-13"/>
        </w:rPr>
        <w:t xml:space="preserve"> </w:t>
      </w:r>
      <w:r w:rsidRPr="000F25DC">
        <w:t>as</w:t>
      </w:r>
      <w:r w:rsidRPr="000F25DC">
        <w:rPr>
          <w:spacing w:val="-14"/>
        </w:rPr>
        <w:t xml:space="preserve"> </w:t>
      </w:r>
      <w:r w:rsidRPr="000F25DC">
        <w:t>evaluators when needed.</w:t>
      </w:r>
    </w:p>
    <w:p w14:paraId="5B4E844E" w14:textId="77777777" w:rsidR="006420CB" w:rsidRDefault="006420CB" w:rsidP="00F135A5">
      <w:pPr>
        <w:pStyle w:val="BodyText"/>
      </w:pPr>
      <w:r>
        <w:t xml:space="preserve">The list of entities that received JET grants in 2024 is included in </w:t>
      </w:r>
      <w:hyperlink r:id="rId172" w:history="1">
        <w:r w:rsidRPr="00E1178F">
          <w:rPr>
            <w:rStyle w:val="Hyperlink"/>
          </w:rPr>
          <w:t>Governor Abbott Announces Over $15 Million In Career Training Grants Across Texas</w:t>
        </w:r>
      </w:hyperlink>
      <w:r>
        <w:t>.</w:t>
      </w:r>
    </w:p>
    <w:p w14:paraId="3F170D8A" w14:textId="2EDEB9FD" w:rsidR="006420CB" w:rsidRPr="000F25DC" w:rsidRDefault="006420CB" w:rsidP="00F135A5">
      <w:pPr>
        <w:pStyle w:val="BodyText3"/>
        <w:ind w:left="720" w:hanging="720"/>
      </w:pPr>
      <w:r>
        <w:t>C.</w:t>
      </w:r>
      <w:r w:rsidR="00F135A5">
        <w:tab/>
      </w:r>
      <w:r w:rsidRPr="000F25DC">
        <w:t>What information does the agency collect/use to assess the effectiveness and efficiency of this division or program? If applicable, briefly note any LBB performance measures (from Section</w:t>
      </w:r>
      <w:r w:rsidRPr="000F25DC">
        <w:rPr>
          <w:spacing w:val="-11"/>
        </w:rPr>
        <w:t xml:space="preserve"> </w:t>
      </w:r>
      <w:r w:rsidRPr="000F25DC">
        <w:t>II,</w:t>
      </w:r>
      <w:r w:rsidRPr="000F25DC">
        <w:rPr>
          <w:spacing w:val="-12"/>
        </w:rPr>
        <w:t xml:space="preserve"> </w:t>
      </w:r>
      <w:proofErr w:type="gramStart"/>
      <w:r w:rsidRPr="000F25DC">
        <w:t>Exhibit</w:t>
      </w:r>
      <w:proofErr w:type="gramEnd"/>
      <w:r w:rsidRPr="000F25DC">
        <w:rPr>
          <w:spacing w:val="-14"/>
        </w:rPr>
        <w:t xml:space="preserve"> </w:t>
      </w:r>
      <w:r w:rsidRPr="000F25DC">
        <w:t>2)</w:t>
      </w:r>
      <w:r w:rsidRPr="000F25DC">
        <w:rPr>
          <w:spacing w:val="-12"/>
        </w:rPr>
        <w:t xml:space="preserve"> </w:t>
      </w:r>
      <w:r w:rsidRPr="000F25DC">
        <w:t>but</w:t>
      </w:r>
      <w:r w:rsidRPr="000F25DC">
        <w:rPr>
          <w:spacing w:val="-14"/>
        </w:rPr>
        <w:t xml:space="preserve"> </w:t>
      </w:r>
      <w:r w:rsidRPr="000F25DC">
        <w:t>also</w:t>
      </w:r>
      <w:r w:rsidRPr="000F25DC">
        <w:rPr>
          <w:spacing w:val="-11"/>
        </w:rPr>
        <w:t xml:space="preserve"> </w:t>
      </w:r>
      <w:r w:rsidRPr="000F25DC">
        <w:t>provide</w:t>
      </w:r>
      <w:r w:rsidRPr="000F25DC">
        <w:rPr>
          <w:spacing w:val="-13"/>
        </w:rPr>
        <w:t xml:space="preserve"> </w:t>
      </w:r>
      <w:r w:rsidRPr="000F25DC">
        <w:t>any</w:t>
      </w:r>
      <w:r w:rsidRPr="000F25DC">
        <w:rPr>
          <w:spacing w:val="-13"/>
        </w:rPr>
        <w:t xml:space="preserve"> </w:t>
      </w:r>
      <w:r w:rsidRPr="000F25DC">
        <w:t>other</w:t>
      </w:r>
      <w:r w:rsidRPr="000F25DC">
        <w:rPr>
          <w:spacing w:val="-11"/>
        </w:rPr>
        <w:t xml:space="preserve"> </w:t>
      </w:r>
      <w:r w:rsidRPr="000F25DC">
        <w:t>metrics</w:t>
      </w:r>
      <w:r w:rsidRPr="000F25DC">
        <w:rPr>
          <w:spacing w:val="-14"/>
        </w:rPr>
        <w:t xml:space="preserve"> </w:t>
      </w:r>
      <w:r w:rsidRPr="000F25DC">
        <w:t>of</w:t>
      </w:r>
      <w:r w:rsidRPr="000F25DC">
        <w:rPr>
          <w:spacing w:val="-13"/>
        </w:rPr>
        <w:t xml:space="preserve"> </w:t>
      </w:r>
      <w:r w:rsidRPr="000F25DC">
        <w:t>program</w:t>
      </w:r>
      <w:r w:rsidRPr="000F25DC">
        <w:rPr>
          <w:spacing w:val="-13"/>
        </w:rPr>
        <w:t xml:space="preserve"> </w:t>
      </w:r>
      <w:r w:rsidRPr="000F25DC">
        <w:t>effectiveness</w:t>
      </w:r>
      <w:r w:rsidRPr="000F25DC">
        <w:rPr>
          <w:spacing w:val="-12"/>
        </w:rPr>
        <w:t xml:space="preserve"> </w:t>
      </w:r>
      <w:r w:rsidRPr="000F25DC">
        <w:t>and</w:t>
      </w:r>
      <w:r w:rsidRPr="000F25DC">
        <w:rPr>
          <w:spacing w:val="-11"/>
        </w:rPr>
        <w:t xml:space="preserve"> </w:t>
      </w:r>
      <w:r w:rsidRPr="000F25DC">
        <w:t>efficiency. Please</w:t>
      </w:r>
      <w:r w:rsidRPr="000F25DC">
        <w:rPr>
          <w:spacing w:val="-7"/>
        </w:rPr>
        <w:t xml:space="preserve"> </w:t>
      </w:r>
      <w:r w:rsidRPr="000F25DC">
        <w:t>provide</w:t>
      </w:r>
      <w:r w:rsidRPr="000F25DC">
        <w:rPr>
          <w:spacing w:val="-7"/>
        </w:rPr>
        <w:t xml:space="preserve"> </w:t>
      </w:r>
      <w:r w:rsidRPr="000F25DC">
        <w:t>the</w:t>
      </w:r>
      <w:r w:rsidRPr="000F25DC">
        <w:rPr>
          <w:spacing w:val="-7"/>
        </w:rPr>
        <w:t xml:space="preserve"> </w:t>
      </w:r>
      <w:r w:rsidRPr="000F25DC">
        <w:t>data</w:t>
      </w:r>
      <w:r w:rsidRPr="000F25DC">
        <w:rPr>
          <w:spacing w:val="-10"/>
        </w:rPr>
        <w:t xml:space="preserve"> </w:t>
      </w:r>
      <w:r w:rsidRPr="000F25DC">
        <w:t>source</w:t>
      </w:r>
      <w:r w:rsidRPr="000F25DC">
        <w:rPr>
          <w:spacing w:val="-7"/>
        </w:rPr>
        <w:t xml:space="preserve"> </w:t>
      </w:r>
      <w:r w:rsidRPr="000F25DC">
        <w:t>and/or</w:t>
      </w:r>
      <w:r w:rsidRPr="000F25DC">
        <w:rPr>
          <w:spacing w:val="-5"/>
        </w:rPr>
        <w:t xml:space="preserve"> </w:t>
      </w:r>
      <w:r w:rsidRPr="000F25DC">
        <w:t>methodology</w:t>
      </w:r>
      <w:r w:rsidRPr="000F25DC">
        <w:rPr>
          <w:spacing w:val="-7"/>
        </w:rPr>
        <w:t xml:space="preserve"> </w:t>
      </w:r>
      <w:r w:rsidRPr="000F25DC">
        <w:t>behind</w:t>
      </w:r>
      <w:r w:rsidRPr="000F25DC">
        <w:rPr>
          <w:spacing w:val="-6"/>
        </w:rPr>
        <w:t xml:space="preserve"> </w:t>
      </w:r>
      <w:r w:rsidRPr="000F25DC">
        <w:t>how</w:t>
      </w:r>
      <w:r w:rsidRPr="000F25DC">
        <w:rPr>
          <w:spacing w:val="-5"/>
        </w:rPr>
        <w:t xml:space="preserve"> </w:t>
      </w:r>
      <w:r w:rsidRPr="000F25DC">
        <w:t>each</w:t>
      </w:r>
      <w:r w:rsidRPr="000F25DC">
        <w:rPr>
          <w:spacing w:val="-6"/>
        </w:rPr>
        <w:t xml:space="preserve"> </w:t>
      </w:r>
      <w:r w:rsidRPr="000F25DC">
        <w:t>statistic</w:t>
      </w:r>
      <w:r w:rsidRPr="000F25DC">
        <w:rPr>
          <w:spacing w:val="-6"/>
        </w:rPr>
        <w:t xml:space="preserve"> </w:t>
      </w:r>
      <w:r w:rsidRPr="000F25DC">
        <w:t>or</w:t>
      </w:r>
      <w:r w:rsidRPr="000F25DC">
        <w:rPr>
          <w:spacing w:val="-8"/>
        </w:rPr>
        <w:t xml:space="preserve"> </w:t>
      </w:r>
      <w:r w:rsidRPr="000F25DC">
        <w:t>performance measure was determined. If you do not track measures of effectiveness for a given division, department, or program, please explain why.</w:t>
      </w:r>
    </w:p>
    <w:p w14:paraId="3338C9D1" w14:textId="77777777" w:rsidR="006420CB" w:rsidRPr="00F135A5" w:rsidRDefault="006420CB" w:rsidP="00F135A5">
      <w:pPr>
        <w:pStyle w:val="BodyText"/>
      </w:pPr>
      <w:r w:rsidRPr="00F135A5">
        <w:t>The LBB has established the following two measures for the JET grant program. Refer to Section II, Exhibit 2 for actual program performance outcomes.</w:t>
      </w:r>
    </w:p>
    <w:p w14:paraId="24A328F9" w14:textId="77777777" w:rsidR="006420CB" w:rsidRPr="00F135A5" w:rsidRDefault="006420CB" w:rsidP="00C64851">
      <w:pPr>
        <w:pStyle w:val="BodyText"/>
        <w:numPr>
          <w:ilvl w:val="0"/>
          <w:numId w:val="847"/>
        </w:numPr>
      </w:pPr>
      <w:r w:rsidRPr="00F135A5">
        <w:t>Contracted Number of First-Year JET Trainees or Students</w:t>
      </w:r>
    </w:p>
    <w:p w14:paraId="2267AE54" w14:textId="77777777" w:rsidR="006420CB" w:rsidRPr="00F135A5" w:rsidRDefault="006420CB" w:rsidP="00C64851">
      <w:pPr>
        <w:pStyle w:val="BodyText"/>
        <w:numPr>
          <w:ilvl w:val="0"/>
          <w:numId w:val="847"/>
        </w:numPr>
      </w:pPr>
      <w:r w:rsidRPr="00F135A5">
        <w:t xml:space="preserve">Number of New First Year JET Contracts. </w:t>
      </w:r>
    </w:p>
    <w:p w14:paraId="7E978622" w14:textId="77777777" w:rsidR="006420CB" w:rsidRPr="00F135A5" w:rsidRDefault="006420CB" w:rsidP="00F135A5">
      <w:pPr>
        <w:pStyle w:val="BodyText"/>
      </w:pPr>
      <w:r w:rsidRPr="00F135A5" w:rsidDel="00CC75E3">
        <w:t>Refer to Section II, Exhibit 2 for actual program performance outcomes.</w:t>
      </w:r>
      <w:r w:rsidRPr="00F135A5">
        <w:t xml:space="preserve"> </w:t>
      </w:r>
      <w:hyperlink r:id="rId173" w:history="1">
        <w:r w:rsidRPr="00F135A5">
          <w:rPr>
            <w:rStyle w:val="Hyperlink"/>
            <w:color w:val="auto"/>
            <w:u w:val="none"/>
          </w:rPr>
          <w:t>Jobs &amp; Education for Texans (JET) Grant Program</w:t>
        </w:r>
      </w:hyperlink>
      <w:r w:rsidRPr="00F135A5">
        <w:t xml:space="preserve"> provides</w:t>
      </w:r>
      <w:r w:rsidRPr="00F135A5" w:rsidDel="00E326D4">
        <w:t xml:space="preserve"> a </w:t>
      </w:r>
      <w:r w:rsidRPr="00F135A5" w:rsidDel="00E85C7F">
        <w:t>grant</w:t>
      </w:r>
      <w:r w:rsidRPr="00F135A5">
        <w:t xml:space="preserve"> </w:t>
      </w:r>
      <w:hyperlink r:id="rId174" w:history="1">
        <w:r w:rsidRPr="00F135A5">
          <w:t>dashboard</w:t>
        </w:r>
      </w:hyperlink>
      <w:r w:rsidRPr="00F135A5">
        <w:t xml:space="preserve"> displaying information regarding all grants awarded since 2016. Information can be filtered by any of the categories displayed. The data provided includes:</w:t>
      </w:r>
    </w:p>
    <w:p w14:paraId="1601BA58" w14:textId="77777777" w:rsidR="006420CB" w:rsidRPr="000F25DC" w:rsidRDefault="006420CB" w:rsidP="00C64851">
      <w:pPr>
        <w:pStyle w:val="BodyText"/>
        <w:numPr>
          <w:ilvl w:val="0"/>
          <w:numId w:val="848"/>
        </w:numPr>
      </w:pPr>
      <w:r w:rsidRPr="000F25DC">
        <w:t>Grantee</w:t>
      </w:r>
      <w:r w:rsidRPr="000F25DC">
        <w:rPr>
          <w:spacing w:val="-8"/>
        </w:rPr>
        <w:t xml:space="preserve"> </w:t>
      </w:r>
      <w:r w:rsidRPr="000F25DC">
        <w:rPr>
          <w:spacing w:val="-2"/>
        </w:rPr>
        <w:t>types</w:t>
      </w:r>
    </w:p>
    <w:p w14:paraId="5B567C56" w14:textId="77777777" w:rsidR="006420CB" w:rsidRPr="000F25DC" w:rsidRDefault="006420CB" w:rsidP="00C64851">
      <w:pPr>
        <w:pStyle w:val="BodyText"/>
        <w:numPr>
          <w:ilvl w:val="1"/>
          <w:numId w:val="848"/>
        </w:numPr>
      </w:pPr>
      <w:r w:rsidRPr="000F25DC">
        <w:t>Academic</w:t>
      </w:r>
      <w:r w:rsidRPr="000F25DC">
        <w:rPr>
          <w:spacing w:val="-6"/>
        </w:rPr>
        <w:t xml:space="preserve"> </w:t>
      </w:r>
      <w:r w:rsidRPr="000F25DC">
        <w:t>Institute=</w:t>
      </w:r>
      <w:r w:rsidRPr="000F25DC">
        <w:rPr>
          <w:spacing w:val="-4"/>
        </w:rPr>
        <w:t xml:space="preserve"> </w:t>
      </w:r>
      <w:r w:rsidRPr="000F25DC">
        <w:t>Institutes</w:t>
      </w:r>
      <w:r w:rsidRPr="000F25DC">
        <w:rPr>
          <w:spacing w:val="-6"/>
        </w:rPr>
        <w:t xml:space="preserve"> </w:t>
      </w:r>
      <w:r w:rsidRPr="000F25DC">
        <w:t>of</w:t>
      </w:r>
      <w:r w:rsidRPr="000F25DC">
        <w:rPr>
          <w:spacing w:val="-4"/>
        </w:rPr>
        <w:t xml:space="preserve"> </w:t>
      </w:r>
      <w:r w:rsidRPr="000F25DC">
        <w:t>Higher</w:t>
      </w:r>
      <w:r w:rsidRPr="000F25DC">
        <w:rPr>
          <w:spacing w:val="-6"/>
        </w:rPr>
        <w:t xml:space="preserve"> </w:t>
      </w:r>
      <w:r w:rsidRPr="000F25DC">
        <w:t>Education</w:t>
      </w:r>
    </w:p>
    <w:p w14:paraId="1FECDC31" w14:textId="77777777" w:rsidR="006420CB" w:rsidRPr="000F25DC" w:rsidRDefault="006420CB" w:rsidP="00C64851">
      <w:pPr>
        <w:pStyle w:val="BodyText"/>
        <w:numPr>
          <w:ilvl w:val="1"/>
          <w:numId w:val="848"/>
        </w:numPr>
      </w:pPr>
      <w:r w:rsidRPr="000F25DC">
        <w:lastRenderedPageBreak/>
        <w:t>School</w:t>
      </w:r>
      <w:r w:rsidRPr="000F25DC">
        <w:rPr>
          <w:spacing w:val="-5"/>
        </w:rPr>
        <w:t xml:space="preserve"> </w:t>
      </w:r>
      <w:r w:rsidRPr="000F25DC">
        <w:rPr>
          <w:spacing w:val="-2"/>
        </w:rPr>
        <w:t>Districts</w:t>
      </w:r>
    </w:p>
    <w:p w14:paraId="5CC7FB52" w14:textId="77777777" w:rsidR="006420CB" w:rsidRPr="000F25DC" w:rsidRDefault="006420CB" w:rsidP="00C64851">
      <w:pPr>
        <w:pStyle w:val="BodyText"/>
        <w:numPr>
          <w:ilvl w:val="0"/>
          <w:numId w:val="848"/>
        </w:numPr>
      </w:pPr>
      <w:r w:rsidRPr="000F25DC">
        <w:t>Names</w:t>
      </w:r>
      <w:r w:rsidRPr="000F25DC">
        <w:rPr>
          <w:spacing w:val="-3"/>
        </w:rPr>
        <w:t xml:space="preserve"> </w:t>
      </w:r>
      <w:r w:rsidRPr="000F25DC">
        <w:t>of</w:t>
      </w:r>
      <w:r w:rsidRPr="000F25DC">
        <w:rPr>
          <w:spacing w:val="-2"/>
        </w:rPr>
        <w:t xml:space="preserve"> </w:t>
      </w:r>
      <w:r w:rsidRPr="000F25DC">
        <w:t>the</w:t>
      </w:r>
      <w:r w:rsidRPr="000F25DC">
        <w:rPr>
          <w:spacing w:val="1"/>
        </w:rPr>
        <w:t xml:space="preserve"> </w:t>
      </w:r>
      <w:r w:rsidRPr="000F25DC">
        <w:rPr>
          <w:spacing w:val="-2"/>
        </w:rPr>
        <w:t>Grantees</w:t>
      </w:r>
    </w:p>
    <w:p w14:paraId="7F01697A" w14:textId="77777777" w:rsidR="006420CB" w:rsidRPr="000F25DC" w:rsidRDefault="006420CB" w:rsidP="00C64851">
      <w:pPr>
        <w:pStyle w:val="BodyText"/>
        <w:numPr>
          <w:ilvl w:val="0"/>
          <w:numId w:val="848"/>
        </w:numPr>
      </w:pPr>
      <w:r w:rsidRPr="000F25DC">
        <w:t>Workforce</w:t>
      </w:r>
      <w:r w:rsidRPr="000F25DC">
        <w:rPr>
          <w:spacing w:val="-7"/>
        </w:rPr>
        <w:t xml:space="preserve"> </w:t>
      </w:r>
      <w:r w:rsidRPr="000F25DC">
        <w:t>Board</w:t>
      </w:r>
      <w:r w:rsidRPr="000F25DC">
        <w:rPr>
          <w:spacing w:val="-5"/>
        </w:rPr>
        <w:t xml:space="preserve"> </w:t>
      </w:r>
      <w:r w:rsidRPr="000F25DC">
        <w:rPr>
          <w:spacing w:val="-4"/>
        </w:rPr>
        <w:t>area</w:t>
      </w:r>
    </w:p>
    <w:p w14:paraId="743874B6" w14:textId="77777777" w:rsidR="006420CB" w:rsidRPr="000F25DC" w:rsidRDefault="006420CB" w:rsidP="00C64851">
      <w:pPr>
        <w:pStyle w:val="BodyText"/>
        <w:numPr>
          <w:ilvl w:val="0"/>
          <w:numId w:val="848"/>
        </w:numPr>
      </w:pPr>
      <w:r w:rsidRPr="000F25DC">
        <w:t>Occupations</w:t>
      </w:r>
      <w:r w:rsidRPr="000F25DC">
        <w:rPr>
          <w:spacing w:val="-6"/>
        </w:rPr>
        <w:t xml:space="preserve"> </w:t>
      </w:r>
      <w:r w:rsidRPr="000F25DC">
        <w:rPr>
          <w:spacing w:val="-2"/>
        </w:rPr>
        <w:t>supported</w:t>
      </w:r>
    </w:p>
    <w:p w14:paraId="34E27303" w14:textId="77777777" w:rsidR="006420CB" w:rsidRPr="000F25DC" w:rsidRDefault="006420CB" w:rsidP="00C64851">
      <w:pPr>
        <w:pStyle w:val="BodyText"/>
        <w:numPr>
          <w:ilvl w:val="0"/>
          <w:numId w:val="848"/>
        </w:numPr>
      </w:pPr>
      <w:r w:rsidRPr="000F25DC">
        <w:t>Fiscal</w:t>
      </w:r>
      <w:r w:rsidRPr="000F25DC">
        <w:rPr>
          <w:spacing w:val="-3"/>
        </w:rPr>
        <w:t xml:space="preserve"> </w:t>
      </w:r>
      <w:r w:rsidRPr="000F25DC">
        <w:t>year</w:t>
      </w:r>
      <w:r w:rsidRPr="000F25DC">
        <w:rPr>
          <w:spacing w:val="-2"/>
        </w:rPr>
        <w:t xml:space="preserve"> </w:t>
      </w:r>
      <w:r w:rsidRPr="000F25DC">
        <w:t>of</w:t>
      </w:r>
      <w:r w:rsidRPr="000F25DC">
        <w:rPr>
          <w:spacing w:val="-2"/>
        </w:rPr>
        <w:t xml:space="preserve"> </w:t>
      </w:r>
      <w:r w:rsidRPr="000F25DC">
        <w:t>the</w:t>
      </w:r>
      <w:r w:rsidRPr="000F25DC">
        <w:rPr>
          <w:spacing w:val="-4"/>
        </w:rPr>
        <w:t xml:space="preserve"> award</w:t>
      </w:r>
    </w:p>
    <w:p w14:paraId="6E630E88" w14:textId="77777777" w:rsidR="006420CB" w:rsidRPr="000F25DC" w:rsidRDefault="006420CB" w:rsidP="00C64851">
      <w:pPr>
        <w:pStyle w:val="BodyText"/>
        <w:numPr>
          <w:ilvl w:val="0"/>
          <w:numId w:val="848"/>
        </w:numPr>
      </w:pPr>
      <w:r w:rsidRPr="000F25DC">
        <w:t>Total</w:t>
      </w:r>
      <w:r w:rsidRPr="000F25DC">
        <w:rPr>
          <w:spacing w:val="-5"/>
        </w:rPr>
        <w:t xml:space="preserve"> </w:t>
      </w:r>
      <w:r w:rsidRPr="000F25DC">
        <w:t>number</w:t>
      </w:r>
      <w:r w:rsidRPr="000F25DC">
        <w:rPr>
          <w:spacing w:val="-3"/>
        </w:rPr>
        <w:t xml:space="preserve"> </w:t>
      </w:r>
      <w:r w:rsidRPr="000F25DC">
        <w:t>of</w:t>
      </w:r>
      <w:r w:rsidRPr="000F25DC">
        <w:rPr>
          <w:spacing w:val="-3"/>
        </w:rPr>
        <w:t xml:space="preserve"> </w:t>
      </w:r>
      <w:r w:rsidRPr="000F25DC">
        <w:t>grants</w:t>
      </w:r>
      <w:r w:rsidRPr="000F25DC">
        <w:rPr>
          <w:spacing w:val="-1"/>
        </w:rPr>
        <w:t xml:space="preserve"> </w:t>
      </w:r>
      <w:r w:rsidRPr="000F25DC">
        <w:rPr>
          <w:spacing w:val="-2"/>
        </w:rPr>
        <w:t>awarded</w:t>
      </w:r>
    </w:p>
    <w:p w14:paraId="69316C71" w14:textId="77777777" w:rsidR="006420CB" w:rsidRPr="000F25DC" w:rsidRDefault="006420CB" w:rsidP="00C64851">
      <w:pPr>
        <w:pStyle w:val="BodyText"/>
        <w:numPr>
          <w:ilvl w:val="0"/>
          <w:numId w:val="848"/>
        </w:numPr>
      </w:pPr>
      <w:r w:rsidRPr="000F25DC">
        <w:t>Total</w:t>
      </w:r>
      <w:r w:rsidRPr="000F25DC">
        <w:rPr>
          <w:spacing w:val="-6"/>
        </w:rPr>
        <w:t xml:space="preserve"> </w:t>
      </w:r>
      <w:r w:rsidRPr="000F25DC">
        <w:t>number</w:t>
      </w:r>
      <w:r w:rsidRPr="000F25DC">
        <w:rPr>
          <w:spacing w:val="-4"/>
        </w:rPr>
        <w:t xml:space="preserve"> </w:t>
      </w:r>
      <w:r w:rsidRPr="000F25DC">
        <w:t>of</w:t>
      </w:r>
      <w:r w:rsidRPr="000F25DC">
        <w:rPr>
          <w:spacing w:val="-5"/>
        </w:rPr>
        <w:t xml:space="preserve"> </w:t>
      </w:r>
      <w:r w:rsidRPr="000F25DC">
        <w:t>students</w:t>
      </w:r>
      <w:r w:rsidRPr="000F25DC">
        <w:rPr>
          <w:spacing w:val="-4"/>
        </w:rPr>
        <w:t xml:space="preserve"> </w:t>
      </w:r>
      <w:r w:rsidRPr="000F25DC">
        <w:t>trained</w:t>
      </w:r>
      <w:r w:rsidRPr="000F25DC">
        <w:rPr>
          <w:spacing w:val="-4"/>
        </w:rPr>
        <w:t xml:space="preserve"> </w:t>
      </w:r>
      <w:r w:rsidRPr="000F25DC">
        <w:t>(during</w:t>
      </w:r>
      <w:r w:rsidRPr="000F25DC">
        <w:rPr>
          <w:spacing w:val="-3"/>
        </w:rPr>
        <w:t xml:space="preserve"> </w:t>
      </w:r>
      <w:r w:rsidRPr="000F25DC">
        <w:t>the</w:t>
      </w:r>
      <w:r w:rsidRPr="000F25DC">
        <w:rPr>
          <w:spacing w:val="-2"/>
        </w:rPr>
        <w:t xml:space="preserve"> </w:t>
      </w:r>
      <w:r w:rsidRPr="000F25DC">
        <w:t>grant</w:t>
      </w:r>
      <w:r w:rsidRPr="000F25DC">
        <w:rPr>
          <w:spacing w:val="-1"/>
        </w:rPr>
        <w:t xml:space="preserve"> </w:t>
      </w:r>
      <w:r w:rsidRPr="000F25DC">
        <w:rPr>
          <w:spacing w:val="-2"/>
        </w:rPr>
        <w:t>period)</w:t>
      </w:r>
    </w:p>
    <w:p w14:paraId="281A20C4" w14:textId="77777777" w:rsidR="006420CB" w:rsidRPr="000F25DC" w:rsidRDefault="006420CB" w:rsidP="00C64851">
      <w:pPr>
        <w:pStyle w:val="BodyText"/>
        <w:numPr>
          <w:ilvl w:val="0"/>
          <w:numId w:val="848"/>
        </w:numPr>
      </w:pPr>
      <w:r w:rsidRPr="000F25DC">
        <w:t>Estimated economic impact – estimated year one wage increase (number of participants</w:t>
      </w:r>
      <w:r w:rsidRPr="000F25DC">
        <w:rPr>
          <w:spacing w:val="-2"/>
        </w:rPr>
        <w:t xml:space="preserve"> </w:t>
      </w:r>
      <w:r w:rsidRPr="000F25DC">
        <w:t>in</w:t>
      </w:r>
      <w:r w:rsidRPr="000F25DC">
        <w:rPr>
          <w:spacing w:val="-3"/>
        </w:rPr>
        <w:t xml:space="preserve"> </w:t>
      </w:r>
      <w:r w:rsidRPr="000F25DC">
        <w:t>the</w:t>
      </w:r>
      <w:r w:rsidRPr="000F25DC">
        <w:rPr>
          <w:spacing w:val="-4"/>
        </w:rPr>
        <w:t xml:space="preserve"> </w:t>
      </w:r>
      <w:r w:rsidRPr="000F25DC">
        <w:t>program</w:t>
      </w:r>
      <w:r w:rsidRPr="000F25DC">
        <w:rPr>
          <w:spacing w:val="-3"/>
        </w:rPr>
        <w:t xml:space="preserve"> </w:t>
      </w:r>
      <w:r w:rsidRPr="000F25DC">
        <w:t>during</w:t>
      </w:r>
      <w:r w:rsidRPr="000F25DC">
        <w:rPr>
          <w:spacing w:val="-3"/>
        </w:rPr>
        <w:t xml:space="preserve"> </w:t>
      </w:r>
      <w:r w:rsidRPr="000F25DC">
        <w:t>the</w:t>
      </w:r>
      <w:r w:rsidRPr="000F25DC">
        <w:rPr>
          <w:spacing w:val="-1"/>
        </w:rPr>
        <w:t xml:space="preserve"> </w:t>
      </w:r>
      <w:r w:rsidRPr="000F25DC">
        <w:t>grant</w:t>
      </w:r>
      <w:r w:rsidRPr="000F25DC">
        <w:rPr>
          <w:spacing w:val="-1"/>
        </w:rPr>
        <w:t xml:space="preserve"> </w:t>
      </w:r>
      <w:r w:rsidRPr="000F25DC">
        <w:t>period</w:t>
      </w:r>
      <w:r w:rsidRPr="000F25DC">
        <w:rPr>
          <w:spacing w:val="-5"/>
        </w:rPr>
        <w:t xml:space="preserve"> </w:t>
      </w:r>
      <w:r w:rsidRPr="000F25DC">
        <w:t>multiplied</w:t>
      </w:r>
      <w:r w:rsidRPr="000F25DC">
        <w:rPr>
          <w:spacing w:val="-3"/>
        </w:rPr>
        <w:t xml:space="preserve"> </w:t>
      </w:r>
      <w:r w:rsidRPr="000F25DC">
        <w:t>by</w:t>
      </w:r>
      <w:r w:rsidRPr="000F25DC">
        <w:rPr>
          <w:spacing w:val="-1"/>
        </w:rPr>
        <w:t xml:space="preserve"> </w:t>
      </w:r>
      <w:r w:rsidRPr="000F25DC">
        <w:t>the</w:t>
      </w:r>
      <w:r w:rsidRPr="000F25DC">
        <w:rPr>
          <w:spacing w:val="-4"/>
        </w:rPr>
        <w:t xml:space="preserve"> </w:t>
      </w:r>
      <w:r w:rsidRPr="000F25DC">
        <w:t>entry-wage</w:t>
      </w:r>
      <w:r w:rsidRPr="000F25DC">
        <w:rPr>
          <w:spacing w:val="-4"/>
        </w:rPr>
        <w:t xml:space="preserve"> </w:t>
      </w:r>
      <w:r w:rsidRPr="000F25DC">
        <w:t>for</w:t>
      </w:r>
      <w:r w:rsidRPr="000F25DC">
        <w:rPr>
          <w:spacing w:val="-4"/>
        </w:rPr>
        <w:t xml:space="preserve"> </w:t>
      </w:r>
      <w:r w:rsidRPr="000F25DC">
        <w:t>the occupation supported by the grant)</w:t>
      </w:r>
    </w:p>
    <w:p w14:paraId="0D67C065" w14:textId="77777777" w:rsidR="006420CB" w:rsidRPr="000F25DC" w:rsidRDefault="006420CB" w:rsidP="00C64851">
      <w:pPr>
        <w:pStyle w:val="BodyText"/>
        <w:numPr>
          <w:ilvl w:val="0"/>
          <w:numId w:val="848"/>
        </w:numPr>
      </w:pPr>
      <w:r w:rsidRPr="000F25DC">
        <w:t>Award</w:t>
      </w:r>
      <w:r w:rsidRPr="000F25DC">
        <w:rPr>
          <w:spacing w:val="-5"/>
        </w:rPr>
        <w:t xml:space="preserve"> </w:t>
      </w:r>
      <w:r w:rsidRPr="000F25DC">
        <w:t>amount</w:t>
      </w:r>
      <w:r w:rsidRPr="000F25DC">
        <w:rPr>
          <w:spacing w:val="-2"/>
        </w:rPr>
        <w:t xml:space="preserve"> </w:t>
      </w:r>
      <w:r w:rsidRPr="000F25DC">
        <w:t>per</w:t>
      </w:r>
      <w:r w:rsidRPr="000F25DC">
        <w:rPr>
          <w:spacing w:val="-3"/>
        </w:rPr>
        <w:t xml:space="preserve"> </w:t>
      </w:r>
      <w:r w:rsidRPr="000F25DC">
        <w:t>student</w:t>
      </w:r>
      <w:r w:rsidRPr="000F25DC">
        <w:rPr>
          <w:spacing w:val="-5"/>
        </w:rPr>
        <w:t xml:space="preserve"> </w:t>
      </w:r>
      <w:r w:rsidRPr="000F25DC">
        <w:t>–</w:t>
      </w:r>
      <w:r>
        <w:t xml:space="preserve"> a</w:t>
      </w:r>
      <w:r w:rsidRPr="000F25DC">
        <w:t>mount</w:t>
      </w:r>
      <w:r w:rsidRPr="000F25DC">
        <w:rPr>
          <w:spacing w:val="-5"/>
        </w:rPr>
        <w:t xml:space="preserve"> </w:t>
      </w:r>
      <w:r w:rsidRPr="000F25DC">
        <w:t>awarded</w:t>
      </w:r>
      <w:r w:rsidRPr="000F25DC">
        <w:rPr>
          <w:spacing w:val="-6"/>
        </w:rPr>
        <w:t xml:space="preserve"> </w:t>
      </w:r>
      <w:r w:rsidRPr="000F25DC">
        <w:t>divided</w:t>
      </w:r>
      <w:r w:rsidRPr="000F25DC">
        <w:rPr>
          <w:spacing w:val="-4"/>
        </w:rPr>
        <w:t xml:space="preserve"> </w:t>
      </w:r>
      <w:r w:rsidRPr="000F25DC">
        <w:t>by</w:t>
      </w:r>
      <w:r w:rsidRPr="000F25DC">
        <w:rPr>
          <w:spacing w:val="-2"/>
        </w:rPr>
        <w:t xml:space="preserve"> </w:t>
      </w:r>
      <w:r w:rsidRPr="000F25DC">
        <w:t>students</w:t>
      </w:r>
      <w:r w:rsidRPr="000F25DC">
        <w:rPr>
          <w:spacing w:val="-5"/>
        </w:rPr>
        <w:t xml:space="preserve"> </w:t>
      </w:r>
      <w:r w:rsidRPr="000F25DC">
        <w:rPr>
          <w:spacing w:val="-2"/>
        </w:rPr>
        <w:t>trained</w:t>
      </w:r>
    </w:p>
    <w:p w14:paraId="604C9737" w14:textId="77777777" w:rsidR="006420CB" w:rsidRPr="000F25DC" w:rsidRDefault="006420CB" w:rsidP="00C64851">
      <w:pPr>
        <w:pStyle w:val="BodyText"/>
        <w:numPr>
          <w:ilvl w:val="0"/>
          <w:numId w:val="848"/>
        </w:numPr>
      </w:pPr>
      <w:r w:rsidRPr="000F25DC">
        <w:t>Average</w:t>
      </w:r>
      <w:r w:rsidRPr="000F25DC">
        <w:rPr>
          <w:spacing w:val="-5"/>
        </w:rPr>
        <w:t xml:space="preserve"> </w:t>
      </w:r>
      <w:r w:rsidRPr="000F25DC">
        <w:t>award</w:t>
      </w:r>
      <w:r w:rsidRPr="000F25DC">
        <w:rPr>
          <w:spacing w:val="-4"/>
        </w:rPr>
        <w:t xml:space="preserve"> </w:t>
      </w:r>
      <w:r w:rsidRPr="000F25DC">
        <w:rPr>
          <w:spacing w:val="-2"/>
        </w:rPr>
        <w:t>amount</w:t>
      </w:r>
    </w:p>
    <w:p w14:paraId="7551FF7B" w14:textId="77777777" w:rsidR="006420CB" w:rsidRPr="000F25DC" w:rsidRDefault="006420CB" w:rsidP="00C64851">
      <w:pPr>
        <w:pStyle w:val="BodyText"/>
        <w:numPr>
          <w:ilvl w:val="0"/>
          <w:numId w:val="848"/>
        </w:numPr>
      </w:pPr>
      <w:r w:rsidRPr="000F25DC">
        <w:t>Estimated</w:t>
      </w:r>
      <w:r w:rsidRPr="000F25DC">
        <w:rPr>
          <w:spacing w:val="-6"/>
        </w:rPr>
        <w:t xml:space="preserve"> </w:t>
      </w:r>
      <w:r>
        <w:rPr>
          <w:spacing w:val="-5"/>
        </w:rPr>
        <w:t>return on investment</w:t>
      </w:r>
    </w:p>
    <w:p w14:paraId="65C2FE1A" w14:textId="77777777" w:rsidR="006420CB" w:rsidRPr="000F25DC" w:rsidRDefault="006420CB" w:rsidP="00C64851">
      <w:pPr>
        <w:pStyle w:val="BodyText"/>
        <w:numPr>
          <w:ilvl w:val="0"/>
          <w:numId w:val="848"/>
        </w:numPr>
      </w:pPr>
      <w:r w:rsidRPr="000F25DC">
        <w:t>Awards</w:t>
      </w:r>
      <w:r w:rsidRPr="000F25DC">
        <w:rPr>
          <w:spacing w:val="-5"/>
        </w:rPr>
        <w:t xml:space="preserve"> </w:t>
      </w:r>
      <w:r w:rsidRPr="000F25DC">
        <w:t>categorized</w:t>
      </w:r>
      <w:r w:rsidRPr="000F25DC">
        <w:rPr>
          <w:spacing w:val="-6"/>
        </w:rPr>
        <w:t xml:space="preserve"> </w:t>
      </w:r>
      <w:r w:rsidRPr="000F25DC">
        <w:t>by</w:t>
      </w:r>
      <w:r w:rsidRPr="000F25DC">
        <w:rPr>
          <w:spacing w:val="-5"/>
        </w:rPr>
        <w:t xml:space="preserve"> </w:t>
      </w:r>
      <w:r w:rsidRPr="000F25DC">
        <w:t>occupation</w:t>
      </w:r>
      <w:r w:rsidRPr="000F25DC">
        <w:rPr>
          <w:spacing w:val="-5"/>
        </w:rPr>
        <w:t xml:space="preserve"> </w:t>
      </w:r>
      <w:r w:rsidRPr="000F25DC">
        <w:rPr>
          <w:spacing w:val="-4"/>
        </w:rPr>
        <w:t>group</w:t>
      </w:r>
    </w:p>
    <w:p w14:paraId="049B255C" w14:textId="77777777" w:rsidR="006420CB" w:rsidRPr="000F25DC" w:rsidRDefault="006420CB" w:rsidP="00C64851">
      <w:pPr>
        <w:pStyle w:val="BodyText"/>
        <w:numPr>
          <w:ilvl w:val="0"/>
          <w:numId w:val="848"/>
        </w:numPr>
      </w:pPr>
      <w:r w:rsidRPr="000F25DC">
        <w:t>Award</w:t>
      </w:r>
      <w:r w:rsidRPr="000F25DC">
        <w:rPr>
          <w:spacing w:val="-7"/>
        </w:rPr>
        <w:t xml:space="preserve"> </w:t>
      </w:r>
      <w:r w:rsidRPr="000F25DC">
        <w:t>amount</w:t>
      </w:r>
      <w:r w:rsidRPr="000F25DC">
        <w:rPr>
          <w:spacing w:val="-2"/>
        </w:rPr>
        <w:t xml:space="preserve"> </w:t>
      </w:r>
      <w:r w:rsidRPr="000F25DC">
        <w:t>by</w:t>
      </w:r>
      <w:r w:rsidRPr="000F25DC">
        <w:rPr>
          <w:spacing w:val="-2"/>
        </w:rPr>
        <w:t xml:space="preserve"> grantee</w:t>
      </w:r>
    </w:p>
    <w:p w14:paraId="4EF4DBD7" w14:textId="6E674468" w:rsidR="006420CB" w:rsidRPr="000F25DC" w:rsidRDefault="006420CB" w:rsidP="00D01309">
      <w:pPr>
        <w:pStyle w:val="BodyText3"/>
        <w:ind w:left="720" w:hanging="720"/>
      </w:pPr>
      <w:r>
        <w:t>D.</w:t>
      </w:r>
      <w:r w:rsidR="00D01309">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rsidRPr="000F25DC">
        <w:t>regarding</w:t>
      </w:r>
      <w:r w:rsidRPr="000F25DC">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22A2A165" w14:textId="77777777" w:rsidR="006420CB" w:rsidRPr="000F25DC" w:rsidRDefault="006420CB" w:rsidP="00D01309">
      <w:pPr>
        <w:pStyle w:val="BodyText"/>
      </w:pPr>
      <w:r w:rsidRPr="58D0E01B">
        <w:t xml:space="preserve">The JET grant transitioned to TWC in 2016. JET was previously administered by the Texas Comptroller’s </w:t>
      </w:r>
      <w:r>
        <w:t>O</w:t>
      </w:r>
      <w:r w:rsidRPr="58D0E01B">
        <w:t xml:space="preserve">ffice. Since 2016, the </w:t>
      </w:r>
      <w:r>
        <w:t>Legislature has increased the G</w:t>
      </w:r>
      <w:r w:rsidRPr="58D0E01B">
        <w:t xml:space="preserve">eneral </w:t>
      </w:r>
      <w:r>
        <w:t>R</w:t>
      </w:r>
      <w:r w:rsidRPr="58D0E01B">
        <w:t>evenue</w:t>
      </w:r>
      <w:r>
        <w:t xml:space="preserve"> funding </w:t>
      </w:r>
      <w:r w:rsidRPr="58D0E01B">
        <w:t xml:space="preserve">dedicated to this program multiple times. As of January 2025, the program is allocated approximately $30 million per biennium to award in grants. </w:t>
      </w:r>
    </w:p>
    <w:p w14:paraId="7C8C1039" w14:textId="77777777" w:rsidR="006420CB" w:rsidRDefault="006420CB" w:rsidP="00D01309">
      <w:pPr>
        <w:pStyle w:val="BodyText"/>
      </w:pPr>
      <w:r>
        <w:t>In 2021, t</w:t>
      </w:r>
      <w:r w:rsidRPr="58D0E01B">
        <w:t>he 87</w:t>
      </w:r>
      <w:r w:rsidRPr="004D6CDD">
        <w:t xml:space="preserve">th </w:t>
      </w:r>
      <w:r>
        <w:t>Legislature passed</w:t>
      </w:r>
      <w:r w:rsidRPr="58D0E01B">
        <w:t xml:space="preserve"> HB 4279</w:t>
      </w:r>
      <w:r>
        <w:t xml:space="preserve"> designating</w:t>
      </w:r>
      <w:r w:rsidRPr="58D0E01B">
        <w:t xml:space="preserve"> the Windham School District as an eligible participant</w:t>
      </w:r>
      <w:r>
        <w:t xml:space="preserve"> </w:t>
      </w:r>
      <w:r w:rsidRPr="002E4354">
        <w:t xml:space="preserve">to provide educational services to inmates in the custody of </w:t>
      </w:r>
      <w:r>
        <w:t>TDCJ</w:t>
      </w:r>
      <w:r w:rsidRPr="002E4354">
        <w:t xml:space="preserve">. This law benefited student inmates by providing the opportunity for </w:t>
      </w:r>
      <w:r>
        <w:t xml:space="preserve">the district </w:t>
      </w:r>
      <w:r w:rsidRPr="002E4354">
        <w:t>to be awarded funds through the JET grant program.</w:t>
      </w:r>
      <w:r w:rsidRPr="58D0E01B">
        <w:rPr>
          <w:rFonts w:eastAsia="Arial" w:cs="Arial"/>
          <w:color w:val="000000" w:themeColor="text1"/>
          <w:sz w:val="21"/>
          <w:szCs w:val="21"/>
        </w:rPr>
        <w:t xml:space="preserve"> </w:t>
      </w:r>
      <w:r w:rsidRPr="58D0E01B">
        <w:t xml:space="preserve"> </w:t>
      </w:r>
    </w:p>
    <w:p w14:paraId="2457518C" w14:textId="77777777" w:rsidR="006420CB" w:rsidRPr="000F25DC" w:rsidRDefault="006420CB" w:rsidP="00D01309">
      <w:pPr>
        <w:pStyle w:val="BodyText"/>
      </w:pPr>
      <w:r w:rsidRPr="000F25DC">
        <w:t>In 2022, the T</w:t>
      </w:r>
      <w:r>
        <w:t>E</w:t>
      </w:r>
      <w:r w:rsidRPr="000F25DC">
        <w:t>A signed an Inter-Agency Contract with TWC to provide $50,000,000 in funds for the 2022-23 JET grants for Texas school districts and open enrollment charter schools</w:t>
      </w:r>
      <w:r>
        <w:t>.  With this funding, schools could</w:t>
      </w:r>
      <w:r w:rsidRPr="000F25DC">
        <w:t xml:space="preserve"> purchase equipment to develop </w:t>
      </w:r>
      <w:r>
        <w:t xml:space="preserve">CTE </w:t>
      </w:r>
      <w:r w:rsidRPr="000F25DC">
        <w:t>programs. </w:t>
      </w:r>
    </w:p>
    <w:p w14:paraId="44E01EA2" w14:textId="77777777" w:rsidR="006420CB" w:rsidRPr="000F25DC" w:rsidRDefault="006420CB" w:rsidP="00D01309">
      <w:pPr>
        <w:pStyle w:val="BodyText"/>
      </w:pPr>
      <w:r>
        <w:lastRenderedPageBreak/>
        <w:t>In 2025, t</w:t>
      </w:r>
      <w:r w:rsidRPr="000F25DC">
        <w:t>he 89</w:t>
      </w:r>
      <w:r w:rsidRPr="004D6CDD">
        <w:t>th</w:t>
      </w:r>
      <w:r w:rsidRPr="000F25DC">
        <w:t xml:space="preserve"> Legislat</w:t>
      </w:r>
      <w:r>
        <w:t xml:space="preserve">ure passed </w:t>
      </w:r>
      <w:r w:rsidRPr="000F25DC">
        <w:t>two bills relating to the JET grant program. The first, HB 322, authorize</w:t>
      </w:r>
      <w:r>
        <w:t>s</w:t>
      </w:r>
      <w:r w:rsidRPr="000F25DC">
        <w:t xml:space="preserve"> </w:t>
      </w:r>
      <w:r>
        <w:t xml:space="preserve">JET </w:t>
      </w:r>
      <w:r w:rsidRPr="000F25DC">
        <w:t xml:space="preserve">grants to pay costs for the acquisition, implementation, and ongoing maintenance of technology solutions necessary to support new </w:t>
      </w:r>
      <w:r>
        <w:t>CTE</w:t>
      </w:r>
      <w:r w:rsidRPr="000F25DC">
        <w:t xml:space="preserve"> programs at public junior colleges, public technical institutes, public state colleges, and school districts and open-enrollment charter schools. </w:t>
      </w:r>
      <w:r>
        <w:t>T</w:t>
      </w:r>
      <w:r w:rsidRPr="000F25DC">
        <w:t>he second, SB 1728, add</w:t>
      </w:r>
      <w:r>
        <w:t>s</w:t>
      </w:r>
      <w:r w:rsidRPr="000F25DC">
        <w:t xml:space="preserve"> new eligible applicants to the program</w:t>
      </w:r>
      <w:r>
        <w:t xml:space="preserve"> </w:t>
      </w:r>
      <w:r w:rsidRPr="000F25DC">
        <w:t>includ</w:t>
      </w:r>
      <w:r>
        <w:t>i</w:t>
      </w:r>
      <w:r w:rsidRPr="000F25DC">
        <w:t xml:space="preserve">ng </w:t>
      </w:r>
      <w:r>
        <w:t>TJJD</w:t>
      </w:r>
      <w:r w:rsidRPr="000F25DC">
        <w:t xml:space="preserve">, juvenile </w:t>
      </w:r>
      <w:r>
        <w:t xml:space="preserve">justice </w:t>
      </w:r>
      <w:r w:rsidRPr="000F25DC">
        <w:t>boards, and juvenile probation departments.</w:t>
      </w:r>
    </w:p>
    <w:p w14:paraId="6503FE39" w14:textId="77777777" w:rsidR="006420CB" w:rsidRPr="000F25DC" w:rsidRDefault="006420CB" w:rsidP="00D01309">
      <w:pPr>
        <w:pStyle w:val="BodyText3"/>
        <w:ind w:left="720" w:hanging="720"/>
      </w:pPr>
      <w:r>
        <w:t>E.</w:t>
      </w:r>
      <w:r w:rsidRPr="000F25DC">
        <w:tab/>
        <w:t>List any qualifications or eligibility requirements for persons or entities affected by this program, such as licensees, consumers, landowners, for example. Provide a statistical breakdown of persons or entities affected.</w:t>
      </w:r>
    </w:p>
    <w:p w14:paraId="653CB496" w14:textId="77777777" w:rsidR="006420CB" w:rsidRPr="000F25DC" w:rsidRDefault="006420CB" w:rsidP="00D01309">
      <w:pPr>
        <w:pStyle w:val="BodyText"/>
      </w:pPr>
      <w:r w:rsidRPr="000F25DC">
        <w:t>The JET program provides grants to buy and install equipment for CTE courses. These courses must lead to a license, certificate or post-secondary degree in a high-demand occupation. </w:t>
      </w:r>
      <w:r w:rsidRPr="00392C8C">
        <w:rPr>
          <w:rFonts w:ascii="Helvetica" w:hAnsi="Helvetica" w:cs="Helvetica"/>
          <w:color w:val="1B1B1B"/>
          <w:shd w:val="clear" w:color="auto" w:fill="FFFFFF"/>
        </w:rPr>
        <w:t> </w:t>
      </w:r>
    </w:p>
    <w:p w14:paraId="4FAF3E25" w14:textId="77777777" w:rsidR="006420CB" w:rsidRPr="000F25DC" w:rsidRDefault="006420CB" w:rsidP="00D01309">
      <w:pPr>
        <w:pStyle w:val="BodyText"/>
      </w:pPr>
      <w:r>
        <w:t>Entities that are e</w:t>
      </w:r>
      <w:r w:rsidRPr="000F25DC">
        <w:t>ligible</w:t>
      </w:r>
      <w:r>
        <w:t xml:space="preserve"> for JET grants</w:t>
      </w:r>
      <w:r w:rsidRPr="000F25DC">
        <w:t xml:space="preserve"> include:</w:t>
      </w:r>
    </w:p>
    <w:p w14:paraId="10EFEB82" w14:textId="77777777" w:rsidR="006420CB" w:rsidRPr="000F25DC" w:rsidRDefault="006420CB" w:rsidP="00C64851">
      <w:pPr>
        <w:pStyle w:val="BodyText"/>
        <w:numPr>
          <w:ilvl w:val="0"/>
          <w:numId w:val="849"/>
        </w:numPr>
      </w:pPr>
      <w:r w:rsidRPr="000F25DC">
        <w:t>Public junior, state or technical colleges</w:t>
      </w:r>
    </w:p>
    <w:p w14:paraId="5F2A9A70" w14:textId="77777777" w:rsidR="006420CB" w:rsidRPr="000F25DC" w:rsidRDefault="006420CB" w:rsidP="00C64851">
      <w:pPr>
        <w:pStyle w:val="BodyText"/>
        <w:numPr>
          <w:ilvl w:val="0"/>
          <w:numId w:val="849"/>
        </w:numPr>
      </w:pPr>
      <w:r w:rsidRPr="000F25DC">
        <w:t>Texas Independent School Districts (ISDs) in partnership with a public junior, state, or technical college</w:t>
      </w:r>
    </w:p>
    <w:p w14:paraId="0073AE15" w14:textId="77777777" w:rsidR="006420CB" w:rsidRPr="000F25DC" w:rsidRDefault="006420CB" w:rsidP="00C64851">
      <w:pPr>
        <w:pStyle w:val="BodyText"/>
        <w:numPr>
          <w:ilvl w:val="0"/>
          <w:numId w:val="849"/>
        </w:numPr>
      </w:pPr>
      <w:r w:rsidRPr="000F25DC">
        <w:t>Open-enrollment charter schools in partnership with a public junior, state, or technical college</w:t>
      </w:r>
    </w:p>
    <w:p w14:paraId="70EA049D" w14:textId="77777777" w:rsidR="006420CB" w:rsidRPr="000F25DC" w:rsidRDefault="006420CB" w:rsidP="00C64851">
      <w:pPr>
        <w:pStyle w:val="BodyText"/>
        <w:numPr>
          <w:ilvl w:val="0"/>
          <w:numId w:val="849"/>
        </w:numPr>
      </w:pPr>
      <w:r w:rsidRPr="000F25DC">
        <w:t>Windham School District</w:t>
      </w:r>
    </w:p>
    <w:p w14:paraId="5CBFE296" w14:textId="50CBC856" w:rsidR="006420CB" w:rsidRPr="000F25DC" w:rsidRDefault="006420CB" w:rsidP="00D01309">
      <w:pPr>
        <w:pStyle w:val="BodyText3"/>
        <w:ind w:left="720" w:hanging="720"/>
      </w:pPr>
      <w:r>
        <w:t>F.</w:t>
      </w:r>
      <w:r w:rsidR="00D01309">
        <w:tab/>
      </w:r>
      <w:r w:rsidRPr="000F25DC">
        <w:t>Describe how the division or program is administered, including a description of key processes involved. If you have existing documentation (e.g., flowcharts, timelines, and other illustrations)</w:t>
      </w:r>
      <w:r w:rsidRPr="000F25DC">
        <w:rPr>
          <w:spacing w:val="-3"/>
        </w:rPr>
        <w:t xml:space="preserve"> </w:t>
      </w:r>
      <w:r w:rsidRPr="000F25DC">
        <w:t>to</w:t>
      </w:r>
      <w:r w:rsidRPr="000F25DC">
        <w:rPr>
          <w:spacing w:val="-2"/>
        </w:rPr>
        <w:t xml:space="preserve"> </w:t>
      </w:r>
      <w:r w:rsidRPr="000F25DC">
        <w:t>describe</w:t>
      </w:r>
      <w:r w:rsidRPr="000F25DC">
        <w:rPr>
          <w:spacing w:val="-6"/>
        </w:rPr>
        <w:t xml:space="preserve"> </w:t>
      </w:r>
      <w:r w:rsidRPr="000F25DC">
        <w:t>agency</w:t>
      </w:r>
      <w:r w:rsidRPr="000F25DC">
        <w:rPr>
          <w:spacing w:val="-3"/>
        </w:rPr>
        <w:t xml:space="preserve"> </w:t>
      </w:r>
      <w:r w:rsidRPr="000F25DC">
        <w:t>policies</w:t>
      </w:r>
      <w:r w:rsidRPr="000F25DC">
        <w:rPr>
          <w:spacing w:val="-2"/>
        </w:rPr>
        <w:t xml:space="preserve"> </w:t>
      </w:r>
      <w:r w:rsidRPr="000F25DC">
        <w:t>and</w:t>
      </w:r>
      <w:r w:rsidRPr="000F25DC">
        <w:rPr>
          <w:spacing w:val="-2"/>
        </w:rPr>
        <w:t xml:space="preserve"> </w:t>
      </w:r>
      <w:r w:rsidRPr="000F25DC">
        <w:t>procedures,</w:t>
      </w:r>
      <w:r w:rsidRPr="000F25DC">
        <w:rPr>
          <w:spacing w:val="-2"/>
        </w:rPr>
        <w:t xml:space="preserve"> </w:t>
      </w:r>
      <w:r w:rsidRPr="000F25DC">
        <w:t>please</w:t>
      </w:r>
      <w:r w:rsidRPr="000F25DC">
        <w:rPr>
          <w:spacing w:val="-3"/>
        </w:rPr>
        <w:t xml:space="preserve"> </w:t>
      </w:r>
      <w:r w:rsidRPr="000F25DC">
        <w:t>include</w:t>
      </w:r>
      <w:r w:rsidRPr="000F25DC">
        <w:rPr>
          <w:spacing w:val="-3"/>
        </w:rPr>
        <w:t xml:space="preserve"> </w:t>
      </w:r>
      <w:r w:rsidRPr="000F25DC">
        <w:t>them</w:t>
      </w:r>
      <w:r w:rsidRPr="000F25DC">
        <w:rPr>
          <w:spacing w:val="-3"/>
        </w:rPr>
        <w:t xml:space="preserve"> </w:t>
      </w:r>
      <w:r w:rsidRPr="000F25DC">
        <w:t>as</w:t>
      </w:r>
      <w:r w:rsidRPr="000F25DC">
        <w:rPr>
          <w:spacing w:val="-2"/>
        </w:rPr>
        <w:t xml:space="preserve"> </w:t>
      </w:r>
      <w:r w:rsidRPr="000F25DC">
        <w:t>attachments. Indicate how field/regional services are used, if applicable.</w:t>
      </w:r>
    </w:p>
    <w:p w14:paraId="51CC6ED3" w14:textId="77777777" w:rsidR="006420CB" w:rsidRDefault="006420CB" w:rsidP="00D01309">
      <w:pPr>
        <w:pStyle w:val="BodyText"/>
        <w:rPr>
          <w:rFonts w:ascii="Aptos" w:hAnsi="Aptos"/>
        </w:rPr>
      </w:pPr>
      <w:r>
        <w:t>Grants are offered through a highly competitive annual Request for Application (RFA) process.  Three Workforce Development Division teams are involved in the process. </w:t>
      </w:r>
    </w:p>
    <w:p w14:paraId="593A64E9" w14:textId="77777777" w:rsidR="008A26EC" w:rsidRDefault="006420CB" w:rsidP="00D01309">
      <w:pPr>
        <w:pStyle w:val="BodyText"/>
        <w:rPr>
          <w:b/>
          <w:bCs/>
        </w:rPr>
      </w:pPr>
      <w:r>
        <w:rPr>
          <w:b/>
          <w:bCs/>
        </w:rPr>
        <w:t>Education Outreach and JET Grant Program Team</w:t>
      </w:r>
    </w:p>
    <w:p w14:paraId="2AC46C3F" w14:textId="65A00B99" w:rsidR="006420CB" w:rsidRDefault="006420CB" w:rsidP="00564A08">
      <w:pPr>
        <w:pStyle w:val="BodyText"/>
      </w:pPr>
      <w:r>
        <w:t>This team is responsible for working directly with TWC’s Grant Administration, General Counsel, Finance, Labor Market Information (LMI) staff and agency leadership for grant document development and updating resources for applicants including but not limited to the following tasks</w:t>
      </w:r>
      <w:r w:rsidR="00564A08">
        <w:t>:</w:t>
      </w:r>
    </w:p>
    <w:p w14:paraId="4C796D53" w14:textId="77777777" w:rsidR="006420CB" w:rsidRDefault="006420CB" w:rsidP="00C64851">
      <w:pPr>
        <w:pStyle w:val="BodyText"/>
        <w:numPr>
          <w:ilvl w:val="0"/>
          <w:numId w:val="850"/>
        </w:numPr>
      </w:pPr>
      <w:r>
        <w:rPr>
          <w:color w:val="000000"/>
        </w:rPr>
        <w:t>Assisting with the development and drafting of all RFA documents</w:t>
      </w:r>
      <w:r>
        <w:rPr>
          <w:color w:val="156082"/>
        </w:rPr>
        <w:t>. </w:t>
      </w:r>
    </w:p>
    <w:p w14:paraId="6963EB15" w14:textId="77777777" w:rsidR="006420CB" w:rsidRDefault="006420CB" w:rsidP="00C64851">
      <w:pPr>
        <w:pStyle w:val="BodyText"/>
        <w:numPr>
          <w:ilvl w:val="0"/>
          <w:numId w:val="850"/>
        </w:numPr>
      </w:pPr>
      <w:r>
        <w:rPr>
          <w:color w:val="000000"/>
        </w:rPr>
        <w:lastRenderedPageBreak/>
        <w:t>Working with LMI Economists to develop supporting data to include in applications or as attachments to the RFA for reference. </w:t>
      </w:r>
    </w:p>
    <w:p w14:paraId="393E6DFB" w14:textId="77777777" w:rsidR="006420CB" w:rsidRDefault="006420CB" w:rsidP="00C64851">
      <w:pPr>
        <w:pStyle w:val="BodyText"/>
        <w:numPr>
          <w:ilvl w:val="0"/>
          <w:numId w:val="850"/>
        </w:numPr>
      </w:pPr>
      <w:r>
        <w:t>Research, evaluate, and test the way JET grant applicants will be scored for each cycle of the grant and update as needed. </w:t>
      </w:r>
    </w:p>
    <w:p w14:paraId="2B0DF87F" w14:textId="77777777" w:rsidR="006420CB" w:rsidRDefault="006420CB" w:rsidP="00C64851">
      <w:pPr>
        <w:pStyle w:val="BodyText"/>
        <w:numPr>
          <w:ilvl w:val="0"/>
          <w:numId w:val="850"/>
        </w:numPr>
      </w:pPr>
      <w:r>
        <w:t xml:space="preserve">Communicate with local workforce development boards on all JET grant requirements and guidelines </w:t>
      </w:r>
      <w:r>
        <w:rPr>
          <w:color w:val="000000"/>
        </w:rPr>
        <w:t>that results in a better and useful understanding of grant program and application process. </w:t>
      </w:r>
    </w:p>
    <w:p w14:paraId="5202F076" w14:textId="77777777" w:rsidR="006420CB" w:rsidRDefault="006420CB" w:rsidP="00C64851">
      <w:pPr>
        <w:pStyle w:val="BodyText"/>
        <w:numPr>
          <w:ilvl w:val="0"/>
          <w:numId w:val="850"/>
        </w:numPr>
      </w:pPr>
      <w:r>
        <w:rPr>
          <w:color w:val="000000"/>
        </w:rPr>
        <w:t>A</w:t>
      </w:r>
      <w:r>
        <w:t>nnual update of all JET grant support resources, tools, and videos in the JET grant tool kit to assist applicants during the application process. </w:t>
      </w:r>
    </w:p>
    <w:p w14:paraId="55CFADEA" w14:textId="77777777" w:rsidR="006420CB" w:rsidRDefault="006420CB" w:rsidP="00C64851">
      <w:pPr>
        <w:pStyle w:val="BodyText"/>
        <w:numPr>
          <w:ilvl w:val="0"/>
          <w:numId w:val="850"/>
        </w:numPr>
      </w:pPr>
      <w:r>
        <w:rPr>
          <w:color w:val="000000"/>
        </w:rPr>
        <w:t>Development and coordination of any marketing or informative webinars to generate interest in applicants. </w:t>
      </w:r>
    </w:p>
    <w:p w14:paraId="1B4FDC0D" w14:textId="77777777" w:rsidR="006420CB" w:rsidRDefault="006420CB" w:rsidP="00C64851">
      <w:pPr>
        <w:pStyle w:val="BodyText"/>
        <w:numPr>
          <w:ilvl w:val="0"/>
          <w:numId w:val="850"/>
        </w:numPr>
      </w:pPr>
      <w:r>
        <w:rPr>
          <w:color w:val="000000"/>
        </w:rPr>
        <w:t>Train all evaluators to ensure a useful understanding of grant scoring criteria and application requirements to ensure accurate and consistent evaluation results. </w:t>
      </w:r>
    </w:p>
    <w:p w14:paraId="61B9A3BB" w14:textId="7C065688" w:rsidR="006420CB" w:rsidRDefault="006420CB" w:rsidP="00C64851">
      <w:pPr>
        <w:pStyle w:val="BodyText"/>
        <w:numPr>
          <w:ilvl w:val="0"/>
          <w:numId w:val="850"/>
        </w:numPr>
      </w:pPr>
      <w:r>
        <w:rPr>
          <w:color w:val="000000"/>
        </w:rPr>
        <w:t>Participate as evaluators.</w:t>
      </w:r>
    </w:p>
    <w:p w14:paraId="29CB21F0" w14:textId="77777777" w:rsidR="006420CB" w:rsidRDefault="006420CB" w:rsidP="00C64851">
      <w:pPr>
        <w:pStyle w:val="BodyText"/>
        <w:numPr>
          <w:ilvl w:val="0"/>
          <w:numId w:val="850"/>
        </w:numPr>
      </w:pPr>
      <w:r>
        <w:rPr>
          <w:color w:val="000000"/>
        </w:rPr>
        <w:t>Review all evaluation results with General Counsel staff to eliminate and prevent errors. </w:t>
      </w:r>
    </w:p>
    <w:p w14:paraId="70E1C854" w14:textId="77777777" w:rsidR="006420CB" w:rsidRDefault="006420CB" w:rsidP="00C64851">
      <w:pPr>
        <w:pStyle w:val="BodyText"/>
        <w:numPr>
          <w:ilvl w:val="0"/>
          <w:numId w:val="850"/>
        </w:numPr>
      </w:pPr>
      <w:r>
        <w:rPr>
          <w:color w:val="000000"/>
        </w:rPr>
        <w:t>After an RFA closes, work with Grant Administration staff to develop recommended updates for the next grant cycle, discuss and develop trend analysis and data reports to share with JET Advisory Board members and TWC leadership. </w:t>
      </w:r>
    </w:p>
    <w:p w14:paraId="20CF3E0C" w14:textId="77777777" w:rsidR="006420CB" w:rsidRDefault="006420CB" w:rsidP="00C64851">
      <w:pPr>
        <w:pStyle w:val="BodyText"/>
        <w:numPr>
          <w:ilvl w:val="0"/>
          <w:numId w:val="850"/>
        </w:numPr>
      </w:pPr>
      <w:r>
        <w:rPr>
          <w:color w:val="000000"/>
        </w:rPr>
        <w:t>Coordinate meeting of the JET Advisory Board to share evaluation results and provide program recommendations for awards and perimeters for future grant cycles.  </w:t>
      </w:r>
      <w:r w:rsidRPr="002E4354">
        <w:rPr>
          <w:color w:val="000000"/>
        </w:rPr>
        <w:t>The </w:t>
      </w:r>
      <w:hyperlink r:id="rId175" w:tooltip="Jobs &amp; Education for Texans (JET) Advisory Board" w:history="1">
        <w:r w:rsidRPr="001E0BD5">
          <w:rPr>
            <w:rStyle w:val="Hyperlink"/>
          </w:rPr>
          <w:t>JET Advisory Board</w:t>
        </w:r>
      </w:hyperlink>
      <w:r w:rsidRPr="002E4354">
        <w:rPr>
          <w:color w:val="000000"/>
        </w:rPr>
        <w:t xml:space="preserve"> meets </w:t>
      </w:r>
      <w:r w:rsidRPr="007A4771">
        <w:rPr>
          <w:color w:val="000000"/>
        </w:rPr>
        <w:t>at least once each quarter, or as needed</w:t>
      </w:r>
      <w:r>
        <w:rPr>
          <w:color w:val="000000"/>
        </w:rPr>
        <w:t xml:space="preserve">, </w:t>
      </w:r>
      <w:r w:rsidRPr="002E4354">
        <w:rPr>
          <w:color w:val="000000"/>
        </w:rPr>
        <w:t>to review all applications received.</w:t>
      </w:r>
      <w:r w:rsidRPr="009D4D5E">
        <w:rPr>
          <w:color w:val="000000"/>
        </w:rPr>
        <w:t> </w:t>
      </w:r>
    </w:p>
    <w:p w14:paraId="498C0BD4" w14:textId="77777777" w:rsidR="006420CB" w:rsidRDefault="006420CB" w:rsidP="00C64851">
      <w:pPr>
        <w:pStyle w:val="BodyText"/>
        <w:numPr>
          <w:ilvl w:val="0"/>
          <w:numId w:val="850"/>
        </w:numPr>
      </w:pPr>
      <w:r>
        <w:t>Collect final Advisory Board recommendations and present to Commission for action and implementation approvals. </w:t>
      </w:r>
    </w:p>
    <w:p w14:paraId="2B003D0C" w14:textId="77777777" w:rsidR="00352213" w:rsidRPr="00352213" w:rsidRDefault="006420CB" w:rsidP="00352213">
      <w:pPr>
        <w:pStyle w:val="BodyText"/>
        <w:rPr>
          <w:rStyle w:val="textrun"/>
          <w:b/>
          <w:bCs/>
        </w:rPr>
      </w:pPr>
      <w:r w:rsidRPr="00352213">
        <w:rPr>
          <w:rStyle w:val="textrun"/>
          <w:b/>
          <w:bCs/>
        </w:rPr>
        <w:t>Application Evaluation Team</w:t>
      </w:r>
    </w:p>
    <w:p w14:paraId="73BF3726" w14:textId="374ABA24" w:rsidR="006420CB" w:rsidRPr="00352213" w:rsidRDefault="006420CB" w:rsidP="00352213">
      <w:pPr>
        <w:pStyle w:val="BodyText"/>
        <w:rPr>
          <w:rStyle w:val="textrun"/>
        </w:rPr>
      </w:pPr>
      <w:r w:rsidRPr="00352213">
        <w:rPr>
          <w:rStyle w:val="textrun"/>
        </w:rPr>
        <w:t>This team is responsible for reviewing all applications submitted for funding. Evaluation includes the following tasks</w:t>
      </w:r>
      <w:r w:rsidR="001E42A7">
        <w:rPr>
          <w:rStyle w:val="textrun"/>
        </w:rPr>
        <w:t>:</w:t>
      </w:r>
    </w:p>
    <w:p w14:paraId="09B39901" w14:textId="77777777" w:rsidR="006420CB" w:rsidRPr="00352213" w:rsidRDefault="006420CB" w:rsidP="00C64851">
      <w:pPr>
        <w:pStyle w:val="BodyText"/>
        <w:numPr>
          <w:ilvl w:val="0"/>
          <w:numId w:val="851"/>
        </w:numPr>
        <w:rPr>
          <w:rStyle w:val="textrun"/>
        </w:rPr>
      </w:pPr>
      <w:r w:rsidRPr="00352213">
        <w:rPr>
          <w:rStyle w:val="textrun"/>
        </w:rPr>
        <w:t>Ensure all program guidelines and requirements are met.  </w:t>
      </w:r>
    </w:p>
    <w:p w14:paraId="4A0179EE" w14:textId="77777777" w:rsidR="006420CB" w:rsidRPr="00352213" w:rsidRDefault="006420CB" w:rsidP="00C64851">
      <w:pPr>
        <w:pStyle w:val="BodyText"/>
        <w:numPr>
          <w:ilvl w:val="0"/>
          <w:numId w:val="851"/>
        </w:numPr>
        <w:rPr>
          <w:rStyle w:val="textrun"/>
        </w:rPr>
      </w:pPr>
      <w:r w:rsidRPr="00352213">
        <w:rPr>
          <w:rStyle w:val="textrun"/>
        </w:rPr>
        <w:t>Review assigned applications to score within established guidelines and criteria that leads to selecting the strongest applicants for each grant cycle. </w:t>
      </w:r>
    </w:p>
    <w:p w14:paraId="35AF6CA3" w14:textId="77777777" w:rsidR="006420CB" w:rsidRPr="00352213" w:rsidRDefault="006420CB" w:rsidP="00C64851">
      <w:pPr>
        <w:pStyle w:val="BodyText"/>
        <w:numPr>
          <w:ilvl w:val="0"/>
          <w:numId w:val="851"/>
        </w:numPr>
        <w:rPr>
          <w:rStyle w:val="textrun"/>
        </w:rPr>
      </w:pPr>
      <w:r w:rsidRPr="00352213">
        <w:rPr>
          <w:rStyle w:val="textrun"/>
        </w:rPr>
        <w:lastRenderedPageBreak/>
        <w:t>Complete evaluation during assigned timeframe and enter resulting scores in the format required by the Grant Administration team. </w:t>
      </w:r>
    </w:p>
    <w:p w14:paraId="25E78681" w14:textId="77777777" w:rsidR="006420CB" w:rsidRPr="00352213" w:rsidRDefault="006420CB" w:rsidP="00C64851">
      <w:pPr>
        <w:pStyle w:val="BodyText"/>
        <w:numPr>
          <w:ilvl w:val="0"/>
          <w:numId w:val="851"/>
        </w:numPr>
        <w:rPr>
          <w:rStyle w:val="textrun"/>
        </w:rPr>
      </w:pPr>
      <w:r w:rsidRPr="00352213">
        <w:rPr>
          <w:rStyle w:val="textrun"/>
        </w:rPr>
        <w:t>Meet with Grant Administration team and fellow evaluators if there are discrepancies in scores to align. </w:t>
      </w:r>
    </w:p>
    <w:p w14:paraId="0C57FA18" w14:textId="77777777" w:rsidR="001E42A7" w:rsidRDefault="006420CB" w:rsidP="001E42A7">
      <w:pPr>
        <w:pStyle w:val="BodyText"/>
        <w:rPr>
          <w:b/>
          <w:bCs/>
        </w:rPr>
      </w:pPr>
      <w:r>
        <w:rPr>
          <w:b/>
          <w:bCs/>
        </w:rPr>
        <w:t>Contract Management Team</w:t>
      </w:r>
    </w:p>
    <w:p w14:paraId="6274CFD6" w14:textId="7B83D184" w:rsidR="006420CB" w:rsidRDefault="006420CB" w:rsidP="001E42A7">
      <w:pPr>
        <w:pStyle w:val="BodyText"/>
      </w:pPr>
      <w:r>
        <w:t>This team is responsible for the day-to-day management of projects after they have been awarded and put into contracts. Management includes the following tasks</w:t>
      </w:r>
      <w:r w:rsidR="00B4206D">
        <w:t>:</w:t>
      </w:r>
    </w:p>
    <w:p w14:paraId="36562434" w14:textId="77777777" w:rsidR="006420CB" w:rsidRDefault="006420CB" w:rsidP="00C64851">
      <w:pPr>
        <w:pStyle w:val="BodyText"/>
        <w:numPr>
          <w:ilvl w:val="0"/>
          <w:numId w:val="852"/>
        </w:numPr>
      </w:pPr>
      <w:r>
        <w:t>Develop contract documents utilizing standard templates.  </w:t>
      </w:r>
    </w:p>
    <w:p w14:paraId="21B7A21A" w14:textId="77777777" w:rsidR="006420CB" w:rsidRDefault="006420CB" w:rsidP="00C64851">
      <w:pPr>
        <w:pStyle w:val="BodyText"/>
        <w:numPr>
          <w:ilvl w:val="0"/>
          <w:numId w:val="852"/>
        </w:numPr>
      </w:pPr>
      <w:r>
        <w:t>Quarterly review of reports to ensure training is on target.  </w:t>
      </w:r>
    </w:p>
    <w:p w14:paraId="1CD296AA" w14:textId="77777777" w:rsidR="006420CB" w:rsidRDefault="006420CB" w:rsidP="00C64851">
      <w:pPr>
        <w:pStyle w:val="BodyText"/>
        <w:numPr>
          <w:ilvl w:val="0"/>
          <w:numId w:val="852"/>
        </w:numPr>
      </w:pPr>
      <w:r>
        <w:t>Regular communications with grantee to ensure smooth progress of training and identification of any potential issues.</w:t>
      </w:r>
    </w:p>
    <w:p w14:paraId="55EABBB7" w14:textId="77777777" w:rsidR="006420CB" w:rsidRDefault="006420CB" w:rsidP="00C64851">
      <w:pPr>
        <w:pStyle w:val="BodyText"/>
        <w:numPr>
          <w:ilvl w:val="0"/>
          <w:numId w:val="852"/>
        </w:numPr>
      </w:pPr>
      <w:r>
        <w:t>Review of program outcomes to confirm reasonable expenditures by grantee. </w:t>
      </w:r>
    </w:p>
    <w:p w14:paraId="29305205" w14:textId="77777777" w:rsidR="006420CB" w:rsidRDefault="006420CB" w:rsidP="00C64851">
      <w:pPr>
        <w:pStyle w:val="BodyText"/>
        <w:numPr>
          <w:ilvl w:val="0"/>
          <w:numId w:val="852"/>
        </w:numPr>
        <w:rPr>
          <w:rFonts w:ascii="Aptos" w:hAnsi="Aptos"/>
        </w:rPr>
      </w:pPr>
      <w:r>
        <w:t>Other items as needed.</w:t>
      </w:r>
      <w:r>
        <w:rPr>
          <w:rFonts w:ascii="Aptos" w:hAnsi="Aptos"/>
        </w:rPr>
        <w:t> </w:t>
      </w:r>
    </w:p>
    <w:p w14:paraId="3DC74AEE" w14:textId="77777777" w:rsidR="006420CB" w:rsidRDefault="006420CB" w:rsidP="002F0247">
      <w:pPr>
        <w:pStyle w:val="BodyText"/>
        <w:rPr>
          <w:rFonts w:asciiTheme="minorHAnsi" w:hAnsiTheme="minorHAnsi" w:cstheme="minorHAnsi"/>
          <w:sz w:val="24"/>
          <w:szCs w:val="24"/>
        </w:rPr>
      </w:pPr>
      <w:r>
        <w:rPr>
          <w:rFonts w:asciiTheme="minorHAnsi" w:hAnsiTheme="minorHAnsi" w:cstheme="minorHAnsi"/>
          <w:sz w:val="24"/>
          <w:szCs w:val="24"/>
        </w:rPr>
        <w:t xml:space="preserve">In addition to administering the JET grants, this team also manages the </w:t>
      </w:r>
      <w:hyperlink r:id="rId176" w:history="1">
        <w:r w:rsidRPr="007872D2">
          <w:rPr>
            <w:rStyle w:val="Hyperlink"/>
            <w:rFonts w:asciiTheme="minorHAnsi" w:hAnsiTheme="minorHAnsi" w:cstheme="minorHAnsi"/>
            <w:sz w:val="24"/>
            <w:szCs w:val="24"/>
          </w:rPr>
          <w:t>Dual Credit Grant Program</w:t>
        </w:r>
      </w:hyperlink>
      <w:r>
        <w:rPr>
          <w:rFonts w:asciiTheme="minorHAnsi" w:hAnsiTheme="minorHAnsi" w:cstheme="minorHAnsi"/>
          <w:sz w:val="24"/>
          <w:szCs w:val="24"/>
        </w:rPr>
        <w:t xml:space="preserve"> and TWC’s sponsorship of the </w:t>
      </w:r>
      <w:hyperlink r:id="rId177" w:history="1">
        <w:r w:rsidRPr="009F4D5C">
          <w:rPr>
            <w:rStyle w:val="Hyperlink"/>
            <w:rFonts w:asciiTheme="minorHAnsi" w:hAnsiTheme="minorHAnsi" w:cstheme="minorHAnsi"/>
            <w:sz w:val="24"/>
            <w:szCs w:val="24"/>
          </w:rPr>
          <w:t>Texas Science and Engineering Fair</w:t>
        </w:r>
      </w:hyperlink>
      <w:r>
        <w:rPr>
          <w:rFonts w:asciiTheme="minorHAnsi" w:hAnsiTheme="minorHAnsi" w:cstheme="minorHAnsi"/>
          <w:sz w:val="24"/>
          <w:szCs w:val="24"/>
        </w:rPr>
        <w:t xml:space="preserve">.  </w:t>
      </w:r>
    </w:p>
    <w:p w14:paraId="21926062" w14:textId="77777777" w:rsidR="006420CB" w:rsidRPr="008D2CF7" w:rsidRDefault="006420CB" w:rsidP="002F0247">
      <w:pPr>
        <w:pStyle w:val="BodyText3"/>
        <w:ind w:left="720" w:hanging="720"/>
        <w:rPr>
          <w:i/>
        </w:rPr>
      </w:pPr>
      <w:r>
        <w:t>G.</w:t>
      </w:r>
      <w:r>
        <w:tab/>
      </w:r>
      <w:r w:rsidRPr="008D2CF7">
        <w:t>If key to understanding the division or program, identify funding sources and amounts, including federal grants and pass-through monies. Describe any funding formulas or funding conventions. Please</w:t>
      </w:r>
      <w:r w:rsidRPr="008D2CF7">
        <w:rPr>
          <w:spacing w:val="-1"/>
        </w:rPr>
        <w:t xml:space="preserve"> </w:t>
      </w:r>
      <w:r w:rsidRPr="008D2CF7">
        <w:t>specify</w:t>
      </w:r>
      <w:r w:rsidRPr="008D2CF7">
        <w:rPr>
          <w:spacing w:val="-1"/>
        </w:rPr>
        <w:t xml:space="preserve"> </w:t>
      </w:r>
      <w:r w:rsidRPr="008D2CF7">
        <w:t>state</w:t>
      </w:r>
      <w:r w:rsidRPr="008D2CF7">
        <w:rPr>
          <w:spacing w:val="-1"/>
        </w:rPr>
        <w:t xml:space="preserve"> </w:t>
      </w:r>
      <w:r w:rsidRPr="008D2CF7">
        <w:t>funding</w:t>
      </w:r>
      <w:r w:rsidRPr="008D2CF7">
        <w:rPr>
          <w:spacing w:val="-1"/>
        </w:rPr>
        <w:t xml:space="preserve"> </w:t>
      </w:r>
      <w:r w:rsidRPr="008D2CF7">
        <w:t>sources (e.g., general revenue, appropriations</w:t>
      </w:r>
      <w:r w:rsidRPr="008D2CF7">
        <w:rPr>
          <w:spacing w:val="-2"/>
        </w:rPr>
        <w:t xml:space="preserve"> </w:t>
      </w:r>
      <w:r w:rsidRPr="008D2CF7">
        <w:t>rider, budget</w:t>
      </w:r>
      <w:r w:rsidRPr="008D2CF7">
        <w:rPr>
          <w:spacing w:val="-5"/>
        </w:rPr>
        <w:t xml:space="preserve"> </w:t>
      </w:r>
      <w:r w:rsidRPr="008D2CF7">
        <w:t>strategy,</w:t>
      </w:r>
      <w:r w:rsidRPr="008D2CF7">
        <w:rPr>
          <w:spacing w:val="-5"/>
        </w:rPr>
        <w:t xml:space="preserve"> </w:t>
      </w:r>
      <w:r w:rsidRPr="008D2CF7">
        <w:t>and</w:t>
      </w:r>
      <w:r w:rsidRPr="008D2CF7">
        <w:rPr>
          <w:spacing w:val="-5"/>
        </w:rPr>
        <w:t xml:space="preserve"> </w:t>
      </w:r>
      <w:r w:rsidRPr="008D2CF7">
        <w:t>fees/dues).</w:t>
      </w:r>
      <w:r w:rsidRPr="008D2CF7">
        <w:rPr>
          <w:spacing w:val="-5"/>
        </w:rPr>
        <w:t xml:space="preserve"> </w:t>
      </w:r>
      <w:r w:rsidRPr="008D2CF7">
        <w:rPr>
          <w:i/>
        </w:rPr>
        <w:t>(If</w:t>
      </w:r>
      <w:r w:rsidRPr="008D2CF7">
        <w:rPr>
          <w:i/>
          <w:spacing w:val="-6"/>
        </w:rPr>
        <w:t xml:space="preserve"> </w:t>
      </w:r>
      <w:r w:rsidRPr="008D2CF7">
        <w:rPr>
          <w:i/>
        </w:rPr>
        <w:t>you</w:t>
      </w:r>
      <w:r w:rsidRPr="008D2CF7">
        <w:rPr>
          <w:i/>
          <w:spacing w:val="-6"/>
        </w:rPr>
        <w:t xml:space="preserve"> </w:t>
      </w:r>
      <w:r w:rsidRPr="008D2CF7">
        <w:rPr>
          <w:i/>
        </w:rPr>
        <w:t>have</w:t>
      </w:r>
      <w:r w:rsidRPr="008D2CF7">
        <w:rPr>
          <w:i/>
          <w:spacing w:val="-5"/>
        </w:rPr>
        <w:t xml:space="preserve"> </w:t>
      </w:r>
      <w:r w:rsidRPr="008D2CF7">
        <w:rPr>
          <w:i/>
        </w:rPr>
        <w:t>already</w:t>
      </w:r>
      <w:r w:rsidRPr="008D2CF7">
        <w:rPr>
          <w:i/>
          <w:spacing w:val="-5"/>
        </w:rPr>
        <w:t xml:space="preserve"> </w:t>
      </w:r>
      <w:r w:rsidRPr="008D2CF7">
        <w:rPr>
          <w:i/>
        </w:rPr>
        <w:t>submitted</w:t>
      </w:r>
      <w:r w:rsidRPr="008D2CF7">
        <w:rPr>
          <w:i/>
          <w:spacing w:val="-6"/>
        </w:rPr>
        <w:t xml:space="preserve"> </w:t>
      </w:r>
      <w:r w:rsidRPr="008D2CF7">
        <w:rPr>
          <w:i/>
        </w:rPr>
        <w:t>funding</w:t>
      </w:r>
      <w:r w:rsidRPr="008D2CF7">
        <w:rPr>
          <w:i/>
          <w:spacing w:val="-6"/>
        </w:rPr>
        <w:t xml:space="preserve"> </w:t>
      </w:r>
      <w:r w:rsidRPr="008D2CF7">
        <w:rPr>
          <w:i/>
        </w:rPr>
        <w:t>source</w:t>
      </w:r>
      <w:r w:rsidRPr="008D2CF7">
        <w:rPr>
          <w:i/>
          <w:spacing w:val="-5"/>
        </w:rPr>
        <w:t xml:space="preserve"> </w:t>
      </w:r>
      <w:r w:rsidRPr="008D2CF7">
        <w:rPr>
          <w:i/>
        </w:rPr>
        <w:t>info</w:t>
      </w:r>
      <w:r w:rsidRPr="008D2CF7">
        <w:rPr>
          <w:i/>
          <w:spacing w:val="-6"/>
        </w:rPr>
        <w:t xml:space="preserve"> </w:t>
      </w:r>
      <w:r w:rsidRPr="008D2CF7">
        <w:rPr>
          <w:i/>
        </w:rPr>
        <w:t>through</w:t>
      </w:r>
      <w:r w:rsidRPr="008D2CF7">
        <w:rPr>
          <w:i/>
          <w:spacing w:val="-6"/>
        </w:rPr>
        <w:t xml:space="preserve"> </w:t>
      </w:r>
      <w:r w:rsidRPr="008D2CF7">
        <w:rPr>
          <w:i/>
        </w:rPr>
        <w:t>the “Agency Program Information” spreadsheet, please limit your response to funding formulas or funding conventions.)</w:t>
      </w:r>
    </w:p>
    <w:tbl>
      <w:tblPr>
        <w:tblStyle w:val="TableGrid1"/>
        <w:tblW w:w="9390" w:type="dxa"/>
        <w:tblLayout w:type="fixed"/>
        <w:tblCellMar>
          <w:top w:w="58" w:type="dxa"/>
          <w:bottom w:w="58" w:type="dxa"/>
        </w:tblCellMar>
        <w:tblLook w:val="0000" w:firstRow="0" w:lastRow="0" w:firstColumn="0" w:lastColumn="0" w:noHBand="0" w:noVBand="0"/>
      </w:tblPr>
      <w:tblGrid>
        <w:gridCol w:w="3485"/>
        <w:gridCol w:w="2407"/>
        <w:gridCol w:w="1698"/>
        <w:gridCol w:w="1800"/>
      </w:tblGrid>
      <w:tr w:rsidR="0017675C" w:rsidRPr="0057362F" w14:paraId="779010E4" w14:textId="77777777" w:rsidTr="0017675C">
        <w:trPr>
          <w:trHeight w:val="610"/>
        </w:trPr>
        <w:tc>
          <w:tcPr>
            <w:tcW w:w="3485" w:type="dxa"/>
            <w:shd w:val="clear" w:color="auto" w:fill="B8CCE4" w:themeFill="accent1" w:themeFillTint="66"/>
            <w:vAlign w:val="center"/>
          </w:tcPr>
          <w:p w14:paraId="3707B0FC" w14:textId="77777777" w:rsidR="0017675C" w:rsidRPr="0057362F" w:rsidRDefault="0017675C" w:rsidP="0017675C">
            <w:pPr>
              <w:pStyle w:val="TableHeaders"/>
            </w:pPr>
            <w:r w:rsidRPr="0057362F">
              <w:t>Program or Function Detail Description</w:t>
            </w:r>
          </w:p>
        </w:tc>
        <w:tc>
          <w:tcPr>
            <w:tcW w:w="2407" w:type="dxa"/>
            <w:shd w:val="clear" w:color="auto" w:fill="B8CCE4" w:themeFill="accent1" w:themeFillTint="66"/>
            <w:vAlign w:val="center"/>
          </w:tcPr>
          <w:p w14:paraId="3D1D9721" w14:textId="77777777" w:rsidR="0017675C" w:rsidRPr="0057362F" w:rsidRDefault="0017675C" w:rsidP="0017675C">
            <w:pPr>
              <w:pStyle w:val="TableHeaders"/>
            </w:pPr>
            <w:r w:rsidRPr="0057362F">
              <w:t>Total FY 2024</w:t>
            </w:r>
          </w:p>
        </w:tc>
        <w:tc>
          <w:tcPr>
            <w:tcW w:w="1698" w:type="dxa"/>
            <w:shd w:val="clear" w:color="auto" w:fill="B8CCE4" w:themeFill="accent1" w:themeFillTint="66"/>
            <w:vAlign w:val="center"/>
          </w:tcPr>
          <w:p w14:paraId="333B8FD3" w14:textId="77777777" w:rsidR="0017675C" w:rsidRPr="0057362F" w:rsidRDefault="0017675C" w:rsidP="0017675C">
            <w:pPr>
              <w:pStyle w:val="TableHeaders"/>
            </w:pPr>
            <w:r w:rsidRPr="0057362F">
              <w:t>Federal Funding</w:t>
            </w:r>
          </w:p>
        </w:tc>
        <w:tc>
          <w:tcPr>
            <w:tcW w:w="1800" w:type="dxa"/>
            <w:shd w:val="clear" w:color="auto" w:fill="B8CCE4" w:themeFill="accent1" w:themeFillTint="66"/>
            <w:vAlign w:val="center"/>
          </w:tcPr>
          <w:p w14:paraId="0F096C65" w14:textId="77777777" w:rsidR="0017675C" w:rsidRPr="0057362F" w:rsidRDefault="0017675C" w:rsidP="0017675C">
            <w:pPr>
              <w:pStyle w:val="TableHeaders"/>
            </w:pPr>
            <w:r w:rsidRPr="0057362F">
              <w:t>State Funding</w:t>
            </w:r>
          </w:p>
        </w:tc>
      </w:tr>
      <w:tr w:rsidR="0017675C" w:rsidRPr="0057362F" w14:paraId="798B2363" w14:textId="77777777" w:rsidTr="001534AE">
        <w:trPr>
          <w:trHeight w:val="363"/>
        </w:trPr>
        <w:tc>
          <w:tcPr>
            <w:tcW w:w="3485" w:type="dxa"/>
            <w:vAlign w:val="center"/>
          </w:tcPr>
          <w:p w14:paraId="25C48792" w14:textId="77777777" w:rsidR="0017675C" w:rsidRPr="0057362F" w:rsidRDefault="0017675C" w:rsidP="001534AE">
            <w:pPr>
              <w:pStyle w:val="TableText"/>
            </w:pPr>
            <w:r w:rsidRPr="0057362F">
              <w:t>Jobs and Education for Texans</w:t>
            </w:r>
          </w:p>
        </w:tc>
        <w:tc>
          <w:tcPr>
            <w:tcW w:w="2407" w:type="dxa"/>
            <w:vAlign w:val="center"/>
          </w:tcPr>
          <w:p w14:paraId="7F91BAEF" w14:textId="77777777" w:rsidR="0017675C" w:rsidRPr="0057362F" w:rsidRDefault="0017675C" w:rsidP="001534AE">
            <w:pPr>
              <w:pStyle w:val="TableText"/>
              <w:jc w:val="right"/>
            </w:pPr>
            <w:r w:rsidRPr="0057362F">
              <w:t xml:space="preserve">15,150,742 </w:t>
            </w:r>
          </w:p>
        </w:tc>
        <w:tc>
          <w:tcPr>
            <w:tcW w:w="1698" w:type="dxa"/>
            <w:vAlign w:val="center"/>
          </w:tcPr>
          <w:p w14:paraId="14BD6D4B" w14:textId="77777777" w:rsidR="0017675C" w:rsidRPr="0057362F" w:rsidRDefault="0017675C" w:rsidP="001534AE">
            <w:pPr>
              <w:pStyle w:val="TableText"/>
              <w:jc w:val="right"/>
            </w:pPr>
            <w:r>
              <w:t>0</w:t>
            </w:r>
          </w:p>
        </w:tc>
        <w:tc>
          <w:tcPr>
            <w:tcW w:w="1800" w:type="dxa"/>
            <w:vAlign w:val="center"/>
          </w:tcPr>
          <w:p w14:paraId="4216A37F" w14:textId="77777777" w:rsidR="0017675C" w:rsidRPr="0057362F" w:rsidRDefault="0017675C" w:rsidP="001534AE">
            <w:pPr>
              <w:pStyle w:val="TableText"/>
              <w:jc w:val="right"/>
            </w:pPr>
            <w:r w:rsidRPr="0057362F">
              <w:t xml:space="preserve">15,150,742 </w:t>
            </w:r>
          </w:p>
        </w:tc>
      </w:tr>
    </w:tbl>
    <w:p w14:paraId="46DFA316" w14:textId="77777777" w:rsidR="006420CB" w:rsidRPr="000F25DC" w:rsidRDefault="006420CB" w:rsidP="002F0247">
      <w:pPr>
        <w:pStyle w:val="BodyText3"/>
        <w:ind w:left="720" w:hanging="720"/>
      </w:pPr>
      <w:r>
        <w:t>H.</w:t>
      </w:r>
      <w:r>
        <w:tab/>
      </w:r>
      <w:r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Pr="000F25DC">
        <w:rPr>
          <w:spacing w:val="-2"/>
        </w:rPr>
        <w:t>population.</w:t>
      </w:r>
      <w:r w:rsidRPr="000F25DC">
        <w:t xml:space="preserve"> No</w:t>
      </w:r>
      <w:r w:rsidRPr="000F25DC">
        <w:rPr>
          <w:spacing w:val="-4"/>
        </w:rPr>
        <w:t xml:space="preserve"> </w:t>
      </w:r>
      <w:r w:rsidRPr="000F25DC">
        <w:t>identical</w:t>
      </w:r>
      <w:r w:rsidRPr="000F25DC">
        <w:rPr>
          <w:spacing w:val="-6"/>
        </w:rPr>
        <w:t xml:space="preserve"> </w:t>
      </w:r>
      <w:r w:rsidRPr="000F25DC">
        <w:t>programs,</w:t>
      </w:r>
      <w:r w:rsidRPr="000F25DC">
        <w:rPr>
          <w:spacing w:val="-4"/>
        </w:rPr>
        <w:t xml:space="preserve"> </w:t>
      </w:r>
      <w:r w:rsidRPr="000F25DC">
        <w:t>but</w:t>
      </w:r>
      <w:r w:rsidRPr="000F25DC">
        <w:rPr>
          <w:spacing w:val="-8"/>
        </w:rPr>
        <w:t xml:space="preserve"> </w:t>
      </w:r>
      <w:r w:rsidRPr="000F25DC">
        <w:t>similar</w:t>
      </w:r>
      <w:r w:rsidRPr="000F25DC">
        <w:rPr>
          <w:spacing w:val="-4"/>
        </w:rPr>
        <w:t xml:space="preserve"> </w:t>
      </w:r>
      <w:r w:rsidRPr="000F25DC">
        <w:t>programs</w:t>
      </w:r>
      <w:r w:rsidRPr="000F25DC">
        <w:rPr>
          <w:spacing w:val="-4"/>
        </w:rPr>
        <w:t xml:space="preserve"> </w:t>
      </w:r>
      <w:r w:rsidRPr="000F25DC">
        <w:t>would</w:t>
      </w:r>
      <w:r w:rsidRPr="000F25DC">
        <w:rPr>
          <w:spacing w:val="-4"/>
        </w:rPr>
        <w:t xml:space="preserve"> </w:t>
      </w:r>
      <w:r w:rsidRPr="000F25DC">
        <w:rPr>
          <w:spacing w:val="-5"/>
        </w:rPr>
        <w:t>be:</w:t>
      </w:r>
    </w:p>
    <w:p w14:paraId="32CC90AF" w14:textId="79C57EF4" w:rsidR="006420CB" w:rsidRPr="005D7B42" w:rsidRDefault="006420CB" w:rsidP="002F0247">
      <w:pPr>
        <w:pStyle w:val="BodyText"/>
      </w:pPr>
      <w:r>
        <w:t xml:space="preserve">TWC does not have any MOUs, interagency agreements, or interagency contracts in place regarding this grant program.  While other entities may provide funding opportunities to </w:t>
      </w:r>
      <w:r>
        <w:lastRenderedPageBreak/>
        <w:t>purchase training equipment, TWC’s JET grant program has specific eligibility requirements.</w:t>
      </w:r>
    </w:p>
    <w:p w14:paraId="708828E5" w14:textId="77777777" w:rsidR="006420CB" w:rsidRPr="000F25DC" w:rsidRDefault="006420CB" w:rsidP="002F0247">
      <w:pPr>
        <w:pStyle w:val="BodyText3"/>
        <w:ind w:left="720" w:hanging="720"/>
      </w:pPr>
      <w:r>
        <w:t>I.</w:t>
      </w:r>
      <w:r>
        <w:tab/>
      </w:r>
      <w:r w:rsidRPr="000F25DC">
        <w:t>If</w:t>
      </w:r>
      <w:r w:rsidRPr="000F25DC">
        <w:rPr>
          <w:spacing w:val="-3"/>
        </w:rPr>
        <w:t xml:space="preserve"> </w:t>
      </w:r>
      <w:r w:rsidRPr="000F25DC">
        <w:t>the</w:t>
      </w:r>
      <w:r w:rsidRPr="000F25DC">
        <w:rPr>
          <w:spacing w:val="-2"/>
        </w:rPr>
        <w:t xml:space="preserve"> </w:t>
      </w:r>
      <w:r w:rsidRPr="000F25DC">
        <w:t>division</w:t>
      </w:r>
      <w:r w:rsidRPr="000F25DC">
        <w:rPr>
          <w:spacing w:val="-1"/>
        </w:rPr>
        <w:t xml:space="preserve"> </w:t>
      </w:r>
      <w:r w:rsidRPr="000F25DC">
        <w:t>or</w:t>
      </w:r>
      <w:r w:rsidRPr="000F25DC">
        <w:rPr>
          <w:spacing w:val="-3"/>
        </w:rPr>
        <w:t xml:space="preserve"> </w:t>
      </w:r>
      <w:r w:rsidRPr="000F25DC">
        <w:t>program</w:t>
      </w:r>
      <w:r w:rsidRPr="000F25DC">
        <w:rPr>
          <w:spacing w:val="-2"/>
        </w:rPr>
        <w:t xml:space="preserve"> </w:t>
      </w:r>
      <w:r w:rsidRPr="000F25DC">
        <w:t>works</w:t>
      </w:r>
      <w:r w:rsidRPr="000F25DC">
        <w:rPr>
          <w:spacing w:val="-1"/>
        </w:rPr>
        <w:t xml:space="preserve"> </w:t>
      </w:r>
      <w:r w:rsidRPr="000F25DC">
        <w:t>with</w:t>
      </w:r>
      <w:r w:rsidRPr="000F25DC">
        <w:rPr>
          <w:spacing w:val="-3"/>
        </w:rPr>
        <w:t xml:space="preserve"> </w:t>
      </w:r>
      <w:r w:rsidRPr="000F25DC">
        <w:t>local,</w:t>
      </w:r>
      <w:r w:rsidRPr="000F25DC">
        <w:rPr>
          <w:spacing w:val="-3"/>
        </w:rPr>
        <w:t xml:space="preserve"> </w:t>
      </w:r>
      <w:r w:rsidRPr="000F25DC">
        <w:t>regional,</w:t>
      </w:r>
      <w:r w:rsidRPr="000F25DC">
        <w:rPr>
          <w:spacing w:val="-3"/>
        </w:rPr>
        <w:t xml:space="preserve"> </w:t>
      </w:r>
      <w:r w:rsidRPr="000F25DC">
        <w:t>or federal</w:t>
      </w:r>
      <w:r w:rsidRPr="000F25DC">
        <w:rPr>
          <w:spacing w:val="-3"/>
        </w:rPr>
        <w:t xml:space="preserve"> </w:t>
      </w:r>
      <w:r w:rsidRPr="000F25DC">
        <w:t>units</w:t>
      </w:r>
      <w:r w:rsidRPr="000F25DC">
        <w:rPr>
          <w:spacing w:val="-1"/>
        </w:rPr>
        <w:t xml:space="preserve"> </w:t>
      </w:r>
      <w:r w:rsidRPr="000F25DC">
        <w:t>of</w:t>
      </w:r>
      <w:r w:rsidRPr="000F25DC">
        <w:rPr>
          <w:spacing w:val="-3"/>
        </w:rPr>
        <w:t xml:space="preserve"> </w:t>
      </w:r>
      <w:r w:rsidRPr="000F25DC">
        <w:t>government,</w:t>
      </w:r>
      <w:r w:rsidRPr="000F25DC">
        <w:rPr>
          <w:spacing w:val="-1"/>
        </w:rPr>
        <w:t xml:space="preserve"> </w:t>
      </w:r>
      <w:r w:rsidRPr="000F25DC">
        <w:t>include a brief description of these entities and their relationship to the agency.</w:t>
      </w:r>
    </w:p>
    <w:p w14:paraId="3295C696" w14:textId="77777777" w:rsidR="006420CB" w:rsidRPr="002F0247" w:rsidRDefault="006420CB" w:rsidP="002F0247">
      <w:pPr>
        <w:pStyle w:val="BodyText"/>
      </w:pPr>
      <w:r w:rsidRPr="002F0247">
        <w:t>Career coaches in the Workforce Readiness Outreach program at the Boards help to promote this grant program to the schools they partner with. They forward announcements and press releases the agency publishes relating to this program.</w:t>
      </w:r>
    </w:p>
    <w:p w14:paraId="36F049D3" w14:textId="77777777" w:rsidR="006420CB" w:rsidRPr="000F25DC" w:rsidRDefault="006420CB" w:rsidP="002F0247">
      <w:pPr>
        <w:pStyle w:val="BodyText3"/>
        <w:ind w:left="720" w:hanging="720"/>
      </w:pPr>
      <w:r>
        <w:t>J.</w:t>
      </w:r>
      <w:r>
        <w:tab/>
      </w:r>
      <w:r w:rsidRPr="000F25DC">
        <w:t>Are there any barriers or challenges that impede the division or</w:t>
      </w:r>
      <w:r w:rsidRPr="000F25DC">
        <w:rPr>
          <w:spacing w:val="27"/>
        </w:rPr>
        <w:t xml:space="preserve"> </w:t>
      </w:r>
      <w:r w:rsidRPr="000F25DC">
        <w:t>program’s performance,</w:t>
      </w:r>
      <w:r w:rsidRPr="000F25DC">
        <w:rPr>
          <w:spacing w:val="80"/>
        </w:rPr>
        <w:t xml:space="preserve"> </w:t>
      </w:r>
      <w:r w:rsidRPr="000F25DC">
        <w:t>including any outdated or ineffective state laws? Explain.</w:t>
      </w:r>
    </w:p>
    <w:p w14:paraId="135DBFAE" w14:textId="77777777" w:rsidR="006420CB" w:rsidRPr="002F0247" w:rsidRDefault="006420CB" w:rsidP="002F0247">
      <w:pPr>
        <w:pStyle w:val="BodyText"/>
      </w:pPr>
      <w:r w:rsidRPr="002F0247">
        <w:t>The timeframe to get information back to applicants on whether their application was awarded, not awarded, or disqualified is too lengthy. Applicants are often waiting on grant decisions to be made to build programs, recruit students, hire faculty, etc. to develop the programs proposed in their grant documents. Based on current timelines, JET grant applicants often wait more than eight months to learn that they have been disqualified, scored too low, or were not awarded because funds have been depleted.</w:t>
      </w:r>
    </w:p>
    <w:p w14:paraId="291EC9FE" w14:textId="77777777" w:rsidR="006420CB" w:rsidRPr="007B2DF3" w:rsidRDefault="006420CB" w:rsidP="007B2DF3">
      <w:pPr>
        <w:pStyle w:val="BodyText"/>
      </w:pPr>
      <w:r w:rsidRPr="007B2DF3">
        <w:t xml:space="preserve">Sharing grant status information earlier, when staff </w:t>
      </w:r>
      <w:proofErr w:type="gramStart"/>
      <w:r w:rsidRPr="007B2DF3">
        <w:t>have the ability to</w:t>
      </w:r>
      <w:proofErr w:type="gramEnd"/>
      <w:r w:rsidRPr="007B2DF3">
        <w:t xml:space="preserve"> provide it, can be especially helpful to schools, teachers, and students across the state.  </w:t>
      </w:r>
    </w:p>
    <w:p w14:paraId="0572A1FF" w14:textId="6AD9224A" w:rsidR="006420CB" w:rsidRPr="007B2DF3" w:rsidRDefault="006420CB" w:rsidP="007B2DF3">
      <w:pPr>
        <w:pStyle w:val="BodyText"/>
      </w:pPr>
      <w:r w:rsidRPr="007B2DF3">
        <w:t>Historically, TWC has waited to announce awardees until all contracts are executed in case grant funds are made available during the contract negotiation phase, possibly freeing up enough funding to award additional grants. On previous occasions when additional grants could be awarded, it has affected about one to three grantees per year.</w:t>
      </w:r>
    </w:p>
    <w:p w14:paraId="11F2F7AB" w14:textId="77777777" w:rsidR="006420CB" w:rsidRPr="007B2DF3" w:rsidRDefault="006420CB" w:rsidP="007B2DF3">
      <w:pPr>
        <w:pStyle w:val="BodyText"/>
      </w:pPr>
      <w:r w:rsidRPr="007B2DF3">
        <w:t xml:space="preserve">However, the list of those applicants who score above the minimum threshold but cannot be awarded due to lack of funds is usually quite long. For example, in the past three fiscal years, TWC had the following number of applications that scored enough points to be eligible to be awarded, but the program exhausted all funds:  </w:t>
      </w:r>
    </w:p>
    <w:p w14:paraId="31140FB9" w14:textId="77777777" w:rsidR="006420CB" w:rsidRPr="007B2DF3" w:rsidRDefault="006420CB" w:rsidP="00C64851">
      <w:pPr>
        <w:pStyle w:val="BodyText"/>
        <w:numPr>
          <w:ilvl w:val="0"/>
          <w:numId w:val="853"/>
        </w:numPr>
      </w:pPr>
      <w:r w:rsidRPr="007B2DF3">
        <w:t>53 in FY 2023</w:t>
      </w:r>
    </w:p>
    <w:p w14:paraId="69ABF350" w14:textId="77777777" w:rsidR="006420CB" w:rsidRPr="007B2DF3" w:rsidRDefault="006420CB" w:rsidP="00C64851">
      <w:pPr>
        <w:pStyle w:val="BodyText"/>
        <w:numPr>
          <w:ilvl w:val="0"/>
          <w:numId w:val="853"/>
        </w:numPr>
      </w:pPr>
      <w:r w:rsidRPr="007B2DF3">
        <w:t>58 in FY 2024</w:t>
      </w:r>
    </w:p>
    <w:p w14:paraId="04A22C5E" w14:textId="77777777" w:rsidR="006420CB" w:rsidRPr="007B2DF3" w:rsidRDefault="006420CB" w:rsidP="00C64851">
      <w:pPr>
        <w:pStyle w:val="BodyText"/>
        <w:numPr>
          <w:ilvl w:val="0"/>
          <w:numId w:val="853"/>
        </w:numPr>
      </w:pPr>
      <w:r w:rsidRPr="007B2DF3">
        <w:t>68 in FY 2025</w:t>
      </w:r>
    </w:p>
    <w:p w14:paraId="1EA06725" w14:textId="77777777" w:rsidR="006420CB" w:rsidRPr="007B2DF3" w:rsidRDefault="006420CB" w:rsidP="007B2DF3">
      <w:pPr>
        <w:pStyle w:val="BodyText"/>
      </w:pPr>
      <w:r w:rsidRPr="007B2DF3">
        <w:t>With these factors in mind, program and contract staff continue to work together to improve policies and processes related to grant award notifications.</w:t>
      </w:r>
    </w:p>
    <w:p w14:paraId="7A590780" w14:textId="77777777" w:rsidR="006420CB" w:rsidRPr="000F25DC" w:rsidRDefault="006420CB" w:rsidP="007B2DF3">
      <w:pPr>
        <w:pStyle w:val="BodyText3"/>
        <w:ind w:left="720" w:hanging="720"/>
      </w:pPr>
      <w:r>
        <w:t>K.</w:t>
      </w:r>
      <w:r>
        <w:tab/>
      </w:r>
      <w:r w:rsidRPr="000F25DC">
        <w:t>Provide any additional information needed to gain a preliminary understanding of the division or program.</w:t>
      </w:r>
    </w:p>
    <w:p w14:paraId="4481B8CE" w14:textId="77777777" w:rsidR="006420CB" w:rsidRDefault="006420CB" w:rsidP="007B2DF3">
      <w:pPr>
        <w:pStyle w:val="BodyText"/>
      </w:pPr>
      <w:r>
        <w:lastRenderedPageBreak/>
        <w:t>N/A</w:t>
      </w:r>
    </w:p>
    <w:p w14:paraId="4BCB2862" w14:textId="77777777" w:rsidR="006420CB" w:rsidRPr="007B2DF3" w:rsidRDefault="006420CB" w:rsidP="007B2DF3">
      <w:pPr>
        <w:pStyle w:val="BodyText3"/>
        <w:ind w:left="720" w:hanging="720"/>
      </w:pPr>
      <w:r w:rsidRPr="007B2DF3">
        <w:t>L.</w:t>
      </w:r>
      <w:r w:rsidRPr="007B2DF3">
        <w:tab/>
        <w:t>Regulatory programs relate to the licensing, registration, certification, or permitting of a person, business, piece of equipment, or other entity (e.g., a facility). For each regulatory program, if applicable, describe:</w:t>
      </w:r>
    </w:p>
    <w:p w14:paraId="4BD92393" w14:textId="77777777" w:rsidR="006420CB" w:rsidRPr="000F25DC" w:rsidRDefault="006420CB" w:rsidP="007B2DF3">
      <w:pPr>
        <w:pStyle w:val="BodyText"/>
      </w:pPr>
      <w:r w:rsidRPr="000F25DC">
        <w:t>N</w:t>
      </w:r>
      <w:r>
        <w:t>/A</w:t>
      </w:r>
    </w:p>
    <w:p w14:paraId="64368E6D" w14:textId="77777777" w:rsidR="006420CB" w:rsidRPr="000F25DC" w:rsidRDefault="006420CB" w:rsidP="007B2DF3">
      <w:pPr>
        <w:pStyle w:val="BodyText3"/>
        <w:ind w:left="720" w:hanging="720"/>
      </w:pPr>
      <w:r>
        <w:t>M.</w:t>
      </w:r>
      <w:r>
        <w:tab/>
      </w:r>
      <w:r w:rsidRPr="000F25DC">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518CEC14" w14:textId="77777777" w:rsidR="00791CA6" w:rsidRDefault="006420CB" w:rsidP="00135850">
      <w:pPr>
        <w:pStyle w:val="BodyText"/>
      </w:pPr>
      <w:r w:rsidRPr="000F25DC">
        <w:t>N</w:t>
      </w:r>
      <w:r>
        <w:t>/A</w:t>
      </w:r>
    </w:p>
    <w:p w14:paraId="3151ABE1" w14:textId="2649ACC9" w:rsidR="006420CB" w:rsidRDefault="006420CB" w:rsidP="00135850">
      <w:pPr>
        <w:pStyle w:val="BodyText"/>
        <w:rPr>
          <w:rFonts w:asciiTheme="minorHAnsi" w:hAnsiTheme="minorHAnsi" w:cstheme="minorHAnsi"/>
          <w:sz w:val="24"/>
          <w:szCs w:val="24"/>
        </w:rPr>
      </w:pPr>
    </w:p>
    <w:p w14:paraId="253B9A40" w14:textId="77777777" w:rsidR="006420CB" w:rsidRPr="000F25DC" w:rsidRDefault="006420CB" w:rsidP="00535944">
      <w:pPr>
        <w:pStyle w:val="BodyText3"/>
      </w:pPr>
      <w:bookmarkStart w:id="257" w:name="_Toc204688546"/>
      <w:r>
        <w:t>Texas Veterans Leadership Program</w:t>
      </w:r>
      <w:bookmarkEnd w:id="257"/>
    </w:p>
    <w:p w14:paraId="7A9955F9" w14:textId="5D624F73" w:rsidR="006420CB" w:rsidRPr="000F25DC" w:rsidRDefault="007C4D33" w:rsidP="007C4D33">
      <w:pPr>
        <w:pStyle w:val="BodyText3"/>
      </w:pPr>
      <w:r>
        <w:t>A.</w:t>
      </w:r>
      <w:r>
        <w:tab/>
      </w:r>
      <w:r w:rsidR="006420CB" w:rsidRPr="000F25DC">
        <w:t>Provide</w:t>
      </w:r>
      <w:r w:rsidR="006420CB" w:rsidRPr="000F25DC">
        <w:rPr>
          <w:spacing w:val="-5"/>
        </w:rPr>
        <w:t xml:space="preserve"> </w:t>
      </w:r>
      <w:r w:rsidR="006420CB" w:rsidRPr="000F25DC">
        <w:t>the</w:t>
      </w:r>
      <w:r w:rsidR="006420CB" w:rsidRPr="000F25DC">
        <w:rPr>
          <w:spacing w:val="-2"/>
        </w:rPr>
        <w:t xml:space="preserve"> </w:t>
      </w:r>
      <w:r w:rsidR="006420CB" w:rsidRPr="000F25DC">
        <w:t>following</w:t>
      </w:r>
      <w:r w:rsidR="006420CB" w:rsidRPr="000F25DC">
        <w:rPr>
          <w:spacing w:val="-4"/>
        </w:rPr>
        <w:t xml:space="preserve"> </w:t>
      </w:r>
      <w:r w:rsidR="006420CB" w:rsidRPr="000F25DC">
        <w:t>information</w:t>
      </w:r>
      <w:r w:rsidR="006420CB" w:rsidRPr="000F25DC">
        <w:rPr>
          <w:spacing w:val="-3"/>
        </w:rPr>
        <w:t xml:space="preserve"> </w:t>
      </w:r>
      <w:r w:rsidR="006420CB" w:rsidRPr="000F25DC">
        <w:t>at</w:t>
      </w:r>
      <w:r w:rsidR="006420CB" w:rsidRPr="000F25DC">
        <w:rPr>
          <w:spacing w:val="-1"/>
        </w:rPr>
        <w:t xml:space="preserve"> </w:t>
      </w:r>
      <w:r w:rsidR="006420CB" w:rsidRPr="000F25DC">
        <w:t>the</w:t>
      </w:r>
      <w:r w:rsidR="006420CB" w:rsidRPr="000F25DC">
        <w:rPr>
          <w:spacing w:val="-2"/>
        </w:rPr>
        <w:t xml:space="preserve"> </w:t>
      </w:r>
      <w:r w:rsidR="006420CB" w:rsidRPr="000F25DC">
        <w:t>beginning</w:t>
      </w:r>
      <w:r w:rsidR="006420CB" w:rsidRPr="000F25DC">
        <w:rPr>
          <w:spacing w:val="-3"/>
        </w:rPr>
        <w:t xml:space="preserve"> </w:t>
      </w:r>
      <w:r w:rsidR="006420CB" w:rsidRPr="000F25DC">
        <w:t>of</w:t>
      </w:r>
      <w:r w:rsidR="006420CB" w:rsidRPr="000F25DC">
        <w:rPr>
          <w:spacing w:val="-2"/>
        </w:rPr>
        <w:t xml:space="preserve"> </w:t>
      </w:r>
      <w:r w:rsidR="006420CB" w:rsidRPr="000F25DC">
        <w:t>each</w:t>
      </w:r>
      <w:r w:rsidR="006420CB" w:rsidRPr="000F25DC">
        <w:rPr>
          <w:spacing w:val="-2"/>
        </w:rPr>
        <w:t xml:space="preserve"> description.</w:t>
      </w:r>
    </w:p>
    <w:p w14:paraId="678431A8" w14:textId="77777777" w:rsidR="006420CB" w:rsidRPr="002069B4" w:rsidRDefault="006420CB" w:rsidP="00D15B5C">
      <w:pPr>
        <w:pStyle w:val="BodyText"/>
        <w:rPr>
          <w:spacing w:val="-2"/>
        </w:rPr>
      </w:pPr>
      <w:r w:rsidRPr="002069B4">
        <w:t>Name</w:t>
      </w:r>
      <w:r w:rsidRPr="002069B4">
        <w:rPr>
          <w:spacing w:val="-4"/>
        </w:rPr>
        <w:t xml:space="preserve"> </w:t>
      </w:r>
      <w:r w:rsidRPr="002069B4">
        <w:t>of division</w:t>
      </w:r>
      <w:r w:rsidRPr="002069B4">
        <w:rPr>
          <w:spacing w:val="-3"/>
        </w:rPr>
        <w:t xml:space="preserve"> </w:t>
      </w:r>
      <w:r w:rsidRPr="002069B4">
        <w:t>or</w:t>
      </w:r>
      <w:r w:rsidRPr="002069B4">
        <w:rPr>
          <w:spacing w:val="-2"/>
        </w:rPr>
        <w:t xml:space="preserve"> </w:t>
      </w:r>
      <w:r w:rsidRPr="002069B4">
        <w:t>program:</w:t>
      </w:r>
      <w:r w:rsidRPr="002069B4">
        <w:rPr>
          <w:spacing w:val="-2"/>
        </w:rPr>
        <w:t xml:space="preserve"> </w:t>
      </w:r>
      <w:r w:rsidRPr="002069B4">
        <w:t>Texas</w:t>
      </w:r>
      <w:r w:rsidRPr="002069B4">
        <w:rPr>
          <w:spacing w:val="-3"/>
        </w:rPr>
        <w:t xml:space="preserve"> </w:t>
      </w:r>
      <w:r w:rsidRPr="002069B4">
        <w:t>Veterans</w:t>
      </w:r>
      <w:r w:rsidRPr="002069B4">
        <w:rPr>
          <w:spacing w:val="-3"/>
        </w:rPr>
        <w:t xml:space="preserve"> </w:t>
      </w:r>
      <w:r w:rsidRPr="002069B4">
        <w:t>Leadership</w:t>
      </w:r>
      <w:r w:rsidRPr="002069B4">
        <w:rPr>
          <w:spacing w:val="-1"/>
        </w:rPr>
        <w:t xml:space="preserve"> </w:t>
      </w:r>
      <w:r w:rsidRPr="002069B4">
        <w:t>Program</w:t>
      </w:r>
    </w:p>
    <w:p w14:paraId="5571F224" w14:textId="77777777" w:rsidR="006420CB" w:rsidRPr="000F25DC" w:rsidRDefault="006420CB" w:rsidP="00D15B5C">
      <w:pPr>
        <w:pStyle w:val="BodyText"/>
        <w:rPr>
          <w:spacing w:val="-2"/>
        </w:rPr>
      </w:pPr>
      <w:r w:rsidRPr="000F25DC">
        <w:t>Location</w:t>
      </w:r>
      <w:r w:rsidRPr="000F25DC">
        <w:rPr>
          <w:spacing w:val="-4"/>
        </w:rPr>
        <w:t xml:space="preserve"> </w:t>
      </w:r>
      <w:r w:rsidRPr="000F25DC">
        <w:t>within</w:t>
      </w:r>
      <w:r w:rsidRPr="000F25DC">
        <w:rPr>
          <w:spacing w:val="-4"/>
        </w:rPr>
        <w:t xml:space="preserve"> </w:t>
      </w:r>
      <w:r w:rsidRPr="000F25DC">
        <w:t>the</w:t>
      </w:r>
      <w:r w:rsidRPr="000F25DC">
        <w:rPr>
          <w:spacing w:val="-2"/>
        </w:rPr>
        <w:t xml:space="preserve"> </w:t>
      </w:r>
      <w:r w:rsidRPr="000F25DC">
        <w:t>agency:</w:t>
      </w:r>
      <w:r w:rsidRPr="000F25DC">
        <w:rPr>
          <w:spacing w:val="-5"/>
        </w:rPr>
        <w:t xml:space="preserve"> </w:t>
      </w:r>
      <w:r w:rsidRPr="000F25DC">
        <w:t>Workforce</w:t>
      </w:r>
      <w:r w:rsidRPr="000F25DC">
        <w:rPr>
          <w:spacing w:val="-3"/>
        </w:rPr>
        <w:t xml:space="preserve"> </w:t>
      </w:r>
      <w:r w:rsidRPr="000F25DC">
        <w:t>Development</w:t>
      </w:r>
      <w:r w:rsidRPr="000F25DC">
        <w:rPr>
          <w:spacing w:val="-1"/>
        </w:rPr>
        <w:t xml:space="preserve"> </w:t>
      </w:r>
      <w:r w:rsidRPr="000F25DC">
        <w:rPr>
          <w:spacing w:val="-2"/>
        </w:rPr>
        <w:t>Division</w:t>
      </w:r>
      <w:r>
        <w:rPr>
          <w:spacing w:val="-2"/>
        </w:rPr>
        <w:t>, Education and Outreach</w:t>
      </w:r>
    </w:p>
    <w:p w14:paraId="0F632F70" w14:textId="77777777" w:rsidR="006420CB" w:rsidRPr="000F25DC" w:rsidRDefault="006420CB" w:rsidP="00D15B5C">
      <w:pPr>
        <w:pStyle w:val="BodyText"/>
      </w:pPr>
      <w:r w:rsidRPr="000F25DC">
        <w:t>Contact</w:t>
      </w:r>
      <w:r w:rsidRPr="000F25DC">
        <w:rPr>
          <w:spacing w:val="-3"/>
        </w:rPr>
        <w:t xml:space="preserve"> </w:t>
      </w:r>
      <w:r w:rsidRPr="000F25DC">
        <w:t>name:</w:t>
      </w:r>
      <w:r w:rsidRPr="000F25DC">
        <w:rPr>
          <w:spacing w:val="-1"/>
        </w:rPr>
        <w:t xml:space="preserve"> </w:t>
      </w:r>
      <w:r w:rsidRPr="000F25DC">
        <w:t>Bob</w:t>
      </w:r>
      <w:r w:rsidRPr="000F25DC">
        <w:rPr>
          <w:spacing w:val="-1"/>
        </w:rPr>
        <w:t xml:space="preserve"> </w:t>
      </w:r>
      <w:r w:rsidRPr="000F25DC">
        <w:rPr>
          <w:spacing w:val="-4"/>
        </w:rPr>
        <w:t>Gear</w:t>
      </w:r>
    </w:p>
    <w:p w14:paraId="6B1FA5CA" w14:textId="77777777" w:rsidR="006420CB" w:rsidRPr="000F25DC" w:rsidRDefault="006420CB" w:rsidP="00D15B5C">
      <w:pPr>
        <w:pStyle w:val="BodyText"/>
        <w:rPr>
          <w:spacing w:val="-2"/>
        </w:rPr>
      </w:pPr>
      <w:r w:rsidRPr="000F25DC">
        <w:rPr>
          <w:spacing w:val="-2"/>
        </w:rPr>
        <w:t>Statutory</w:t>
      </w:r>
      <w:r w:rsidRPr="000F25DC">
        <w:rPr>
          <w:spacing w:val="1"/>
        </w:rPr>
        <w:t xml:space="preserve"> </w:t>
      </w:r>
      <w:r w:rsidRPr="000F25DC">
        <w:rPr>
          <w:spacing w:val="-2"/>
        </w:rPr>
        <w:t>citation: Texas</w:t>
      </w:r>
      <w:r w:rsidRPr="000F25DC">
        <w:rPr>
          <w:spacing w:val="2"/>
        </w:rPr>
        <w:t xml:space="preserve"> </w:t>
      </w:r>
      <w:r w:rsidRPr="000F25DC">
        <w:rPr>
          <w:spacing w:val="-2"/>
        </w:rPr>
        <w:t>Labor</w:t>
      </w:r>
      <w:r>
        <w:rPr>
          <w:spacing w:val="-2"/>
        </w:rPr>
        <w:t xml:space="preserve"> Code</w:t>
      </w:r>
      <w:r w:rsidRPr="000F25DC">
        <w:rPr>
          <w:spacing w:val="-2"/>
        </w:rPr>
        <w:t>,</w:t>
      </w:r>
      <w:r w:rsidRPr="000F25DC">
        <w:rPr>
          <w:spacing w:val="2"/>
        </w:rPr>
        <w:t xml:space="preserve"> </w:t>
      </w:r>
      <w:r w:rsidRPr="000F25DC">
        <w:rPr>
          <w:spacing w:val="-2"/>
        </w:rPr>
        <w:t>Chapter</w:t>
      </w:r>
      <w:r w:rsidRPr="000F25DC">
        <w:rPr>
          <w:spacing w:val="-1"/>
        </w:rPr>
        <w:t xml:space="preserve"> </w:t>
      </w:r>
      <w:r w:rsidRPr="000F25DC">
        <w:rPr>
          <w:spacing w:val="-4"/>
        </w:rPr>
        <w:t>302</w:t>
      </w:r>
      <w:r>
        <w:rPr>
          <w:spacing w:val="-4"/>
        </w:rPr>
        <w:t>, specifically the following sections</w:t>
      </w:r>
      <w:r w:rsidRPr="000F25DC">
        <w:rPr>
          <w:spacing w:val="-4"/>
        </w:rPr>
        <w:t>:</w:t>
      </w:r>
    </w:p>
    <w:p w14:paraId="382828E0" w14:textId="77777777" w:rsidR="006420CB" w:rsidRPr="000F25DC" w:rsidRDefault="006420CB" w:rsidP="00C64851">
      <w:pPr>
        <w:pStyle w:val="BodyText"/>
        <w:numPr>
          <w:ilvl w:val="0"/>
          <w:numId w:val="854"/>
        </w:numPr>
        <w:rPr>
          <w:b/>
          <w:bCs/>
        </w:rPr>
      </w:pPr>
      <w:r w:rsidRPr="000F25DC">
        <w:t>Section</w:t>
      </w:r>
      <w:r w:rsidRPr="000F25DC">
        <w:rPr>
          <w:spacing w:val="-8"/>
        </w:rPr>
        <w:t xml:space="preserve"> </w:t>
      </w:r>
      <w:r w:rsidRPr="000F25DC">
        <w:t>302.0031,</w:t>
      </w:r>
      <w:r w:rsidRPr="000F25DC">
        <w:rPr>
          <w:spacing w:val="-8"/>
        </w:rPr>
        <w:t xml:space="preserve"> </w:t>
      </w:r>
      <w:r w:rsidRPr="000F25DC">
        <w:t>College</w:t>
      </w:r>
      <w:r w:rsidRPr="000F25DC">
        <w:rPr>
          <w:spacing w:val="-9"/>
        </w:rPr>
        <w:t xml:space="preserve"> </w:t>
      </w:r>
      <w:r w:rsidRPr="000F25DC">
        <w:t>Credit</w:t>
      </w:r>
      <w:r w:rsidRPr="000F25DC">
        <w:rPr>
          <w:spacing w:val="-8"/>
        </w:rPr>
        <w:t xml:space="preserve"> </w:t>
      </w:r>
      <w:r w:rsidRPr="000F25DC">
        <w:t>for</w:t>
      </w:r>
      <w:r w:rsidRPr="000F25DC">
        <w:rPr>
          <w:spacing w:val="-8"/>
        </w:rPr>
        <w:t xml:space="preserve"> </w:t>
      </w:r>
      <w:r w:rsidRPr="000F25DC">
        <w:rPr>
          <w:spacing w:val="-2"/>
        </w:rPr>
        <w:t>Heroes</w:t>
      </w:r>
    </w:p>
    <w:p w14:paraId="77B4E1D4" w14:textId="77777777" w:rsidR="006420CB" w:rsidRPr="000F25DC" w:rsidRDefault="006420CB" w:rsidP="00C64851">
      <w:pPr>
        <w:pStyle w:val="BodyText"/>
        <w:numPr>
          <w:ilvl w:val="0"/>
          <w:numId w:val="854"/>
        </w:numPr>
        <w:rPr>
          <w:b/>
          <w:bCs/>
        </w:rPr>
      </w:pPr>
      <w:r w:rsidRPr="000F25DC">
        <w:rPr>
          <w:spacing w:val="-2"/>
        </w:rPr>
        <w:t>Section 302.0033, Texas</w:t>
      </w:r>
      <w:r w:rsidRPr="000F25DC">
        <w:rPr>
          <w:spacing w:val="1"/>
        </w:rPr>
        <w:t xml:space="preserve"> </w:t>
      </w:r>
      <w:r w:rsidRPr="000F25DC">
        <w:rPr>
          <w:spacing w:val="-2"/>
        </w:rPr>
        <w:t>Operation</w:t>
      </w:r>
      <w:r w:rsidRPr="000F25DC">
        <w:rPr>
          <w:spacing w:val="-1"/>
        </w:rPr>
        <w:t xml:space="preserve"> </w:t>
      </w:r>
      <w:r w:rsidRPr="000F25DC">
        <w:rPr>
          <w:spacing w:val="-2"/>
        </w:rPr>
        <w:t>Welcome</w:t>
      </w:r>
      <w:r w:rsidRPr="000F25DC">
        <w:rPr>
          <w:spacing w:val="-1"/>
        </w:rPr>
        <w:t xml:space="preserve"> </w:t>
      </w:r>
      <w:r w:rsidRPr="000F25DC">
        <w:rPr>
          <w:spacing w:val="-4"/>
        </w:rPr>
        <w:t>Home</w:t>
      </w:r>
    </w:p>
    <w:p w14:paraId="714874A7" w14:textId="77777777" w:rsidR="006420CB" w:rsidRPr="000F25DC" w:rsidRDefault="006420CB" w:rsidP="00C64851">
      <w:pPr>
        <w:pStyle w:val="BodyText"/>
        <w:numPr>
          <w:ilvl w:val="0"/>
          <w:numId w:val="854"/>
        </w:numPr>
        <w:rPr>
          <w:b/>
          <w:bCs/>
        </w:rPr>
      </w:pPr>
      <w:r w:rsidRPr="000F25DC">
        <w:rPr>
          <w:spacing w:val="-2"/>
        </w:rPr>
        <w:t>Section</w:t>
      </w:r>
      <w:r w:rsidRPr="000F25DC">
        <w:rPr>
          <w:spacing w:val="-1"/>
        </w:rPr>
        <w:t xml:space="preserve"> </w:t>
      </w:r>
      <w:r w:rsidRPr="000F25DC">
        <w:rPr>
          <w:spacing w:val="-2"/>
        </w:rPr>
        <w:t>302.00335,</w:t>
      </w:r>
      <w:r w:rsidRPr="000F25DC">
        <w:rPr>
          <w:spacing w:val="-1"/>
        </w:rPr>
        <w:t xml:space="preserve"> </w:t>
      </w:r>
      <w:r w:rsidRPr="000F25DC">
        <w:rPr>
          <w:spacing w:val="-2"/>
        </w:rPr>
        <w:t>Texas</w:t>
      </w:r>
      <w:r w:rsidRPr="000F25DC">
        <w:rPr>
          <w:spacing w:val="-1"/>
        </w:rPr>
        <w:t xml:space="preserve"> </w:t>
      </w:r>
      <w:r w:rsidRPr="000F25DC">
        <w:rPr>
          <w:spacing w:val="-2"/>
        </w:rPr>
        <w:t>Veterans Leadership</w:t>
      </w:r>
      <w:r w:rsidRPr="000F25DC">
        <w:t xml:space="preserve"> </w:t>
      </w:r>
      <w:r w:rsidRPr="000F25DC">
        <w:rPr>
          <w:spacing w:val="-2"/>
        </w:rPr>
        <w:t>Program</w:t>
      </w:r>
    </w:p>
    <w:p w14:paraId="03B02794" w14:textId="083191BF" w:rsidR="006420CB" w:rsidRPr="000F25DC" w:rsidRDefault="00D15B5C" w:rsidP="00D15B5C">
      <w:pPr>
        <w:pStyle w:val="BodyText3"/>
      </w:pPr>
      <w:r>
        <w:t>B.</w:t>
      </w:r>
      <w:r>
        <w:tab/>
      </w:r>
      <w:r w:rsidR="006420CB" w:rsidRPr="000F25DC">
        <w:t>What</w:t>
      </w:r>
      <w:r w:rsidR="006420CB" w:rsidRPr="000F25DC">
        <w:rPr>
          <w:spacing w:val="-5"/>
        </w:rPr>
        <w:t xml:space="preserve"> </w:t>
      </w:r>
      <w:r w:rsidR="006420CB" w:rsidRPr="000F25DC">
        <w:t>is</w:t>
      </w:r>
      <w:r w:rsidR="006420CB" w:rsidRPr="000F25DC">
        <w:rPr>
          <w:spacing w:val="-4"/>
        </w:rPr>
        <w:t xml:space="preserve"> </w:t>
      </w:r>
      <w:r w:rsidR="006420CB" w:rsidRPr="000F25DC">
        <w:t>the</w:t>
      </w:r>
      <w:r w:rsidR="006420CB" w:rsidRPr="000F25DC">
        <w:rPr>
          <w:spacing w:val="-4"/>
        </w:rPr>
        <w:t xml:space="preserve"> </w:t>
      </w:r>
      <w:r w:rsidR="006420CB" w:rsidRPr="000F25DC">
        <w:t>objective</w:t>
      </w:r>
      <w:r w:rsidR="006420CB" w:rsidRPr="000F25DC">
        <w:rPr>
          <w:spacing w:val="-5"/>
        </w:rPr>
        <w:t xml:space="preserve"> </w:t>
      </w:r>
      <w:r w:rsidR="006420CB" w:rsidRPr="000F25DC">
        <w:t>of this</w:t>
      </w:r>
      <w:r w:rsidR="006420CB" w:rsidRPr="000F25DC">
        <w:rPr>
          <w:spacing w:val="-4"/>
        </w:rPr>
        <w:t xml:space="preserve"> </w:t>
      </w:r>
      <w:r w:rsidR="006420CB" w:rsidRPr="000F25DC">
        <w:t>division or program?</w:t>
      </w:r>
      <w:r w:rsidR="006420CB" w:rsidRPr="000F25DC">
        <w:rPr>
          <w:spacing w:val="-2"/>
        </w:rPr>
        <w:t xml:space="preserve"> </w:t>
      </w:r>
      <w:r w:rsidR="006420CB" w:rsidRPr="000F25DC">
        <w:t>Describe</w:t>
      </w:r>
      <w:r w:rsidR="006420CB" w:rsidRPr="000F25DC">
        <w:rPr>
          <w:spacing w:val="-1"/>
        </w:rPr>
        <w:t xml:space="preserve"> </w:t>
      </w:r>
      <w:r w:rsidR="006420CB" w:rsidRPr="000F25DC">
        <w:t>its</w:t>
      </w:r>
      <w:r w:rsidR="006420CB" w:rsidRPr="000F25DC">
        <w:rPr>
          <w:spacing w:val="-1"/>
        </w:rPr>
        <w:t xml:space="preserve"> </w:t>
      </w:r>
      <w:r w:rsidR="006420CB" w:rsidRPr="000F25DC">
        <w:t>major</w:t>
      </w:r>
      <w:r w:rsidR="006420CB" w:rsidRPr="000F25DC">
        <w:rPr>
          <w:spacing w:val="1"/>
        </w:rPr>
        <w:t xml:space="preserve"> </w:t>
      </w:r>
      <w:r w:rsidR="006420CB" w:rsidRPr="000F25DC">
        <w:rPr>
          <w:spacing w:val="-2"/>
        </w:rPr>
        <w:t>activities.</w:t>
      </w:r>
    </w:p>
    <w:p w14:paraId="17EB0474" w14:textId="77777777" w:rsidR="006420CB" w:rsidRPr="00D15B5C" w:rsidRDefault="006420CB" w:rsidP="00D15B5C">
      <w:pPr>
        <w:pStyle w:val="BodyText"/>
      </w:pPr>
      <w:r w:rsidRPr="00D15B5C">
        <w:lastRenderedPageBreak/>
        <w:t>The Texas Veterans Leadership Program is a TWC resource and referral network. It connects returning veterans with the resources they need to lead productive lives and enjoy the full benefits of the society they have willingly served.</w:t>
      </w:r>
    </w:p>
    <w:p w14:paraId="2E1685A6" w14:textId="77777777" w:rsidR="006420CB" w:rsidRPr="00D15B5C" w:rsidRDefault="006420CB" w:rsidP="00D15B5C">
      <w:pPr>
        <w:pStyle w:val="BodyText"/>
      </w:pPr>
      <w:r w:rsidRPr="00D15B5C">
        <w:t xml:space="preserve">TVLP’s Veterans Resource and Referral Specialists (VRRSs) are assigned to each of the 28 Workforce Development Board areas plus three transition centers on military installations. They work closely with staff members from Workforce Solutions offices and TVC. These specialists understand the needs of veterans because they also are veterans. All VRRSs are veterans who have served in Iraq and/or Afghanistan. VRRSs outreach veterans and transitioning service members (TSMs) directing them to help in obtaining employment, veteran beneﬁts, and other programs. The program emphasizes serving individuals facing speciﬁc or complex challenges as they reintegrate into the workforce. A list of the VRRSs and their contact information is available in the </w:t>
      </w:r>
      <w:hyperlink r:id="rId178" w:history="1">
        <w:r w:rsidRPr="00D15B5C">
          <w:rPr>
            <w:rStyle w:val="Hyperlink"/>
          </w:rPr>
          <w:t>Veterans Resource &amp; Referral Specialists Contact Directory</w:t>
        </w:r>
      </w:hyperlink>
      <w:r w:rsidRPr="00D15B5C">
        <w:t xml:space="preserve">. </w:t>
      </w:r>
    </w:p>
    <w:p w14:paraId="3111EAED" w14:textId="2AAE5213" w:rsidR="006420CB" w:rsidRPr="00D15B5C" w:rsidRDefault="006420CB" w:rsidP="00D15B5C">
      <w:pPr>
        <w:pStyle w:val="BodyText"/>
      </w:pPr>
      <w:r w:rsidRPr="00D15B5C">
        <w:t xml:space="preserve">TVLP is the umbrella over all other TWC veteran programs and is the catalyst that drives the programs, listed below. </w:t>
      </w:r>
      <w:hyperlink r:id="rId179" w:history="1">
        <w:r w:rsidRPr="00D15B5C">
          <w:rPr>
            <w:rStyle w:val="Hyperlink"/>
          </w:rPr>
          <w:t>Texas Veterans Leadership Program</w:t>
        </w:r>
      </w:hyperlink>
      <w:r w:rsidRPr="00D15B5C">
        <w:t xml:space="preserve"> is an online source for veteran services. </w:t>
      </w:r>
    </w:p>
    <w:p w14:paraId="7E8EC0F0" w14:textId="77777777" w:rsidR="006420CB" w:rsidRPr="00B64474" w:rsidRDefault="006420CB" w:rsidP="00C64851">
      <w:pPr>
        <w:pStyle w:val="BodyText"/>
        <w:numPr>
          <w:ilvl w:val="0"/>
          <w:numId w:val="855"/>
        </w:numPr>
      </w:pPr>
      <w:r w:rsidRPr="00B64474">
        <w:rPr>
          <w:b/>
          <w:bCs/>
        </w:rPr>
        <w:t>Texas Operation Welcome Home</w:t>
      </w:r>
      <w:r>
        <w:t xml:space="preserve"> – In response to one of the Governor’s </w:t>
      </w:r>
      <w:r w:rsidRPr="000F25DC">
        <w:t>Tri-Agency Workforce Initiative</w:t>
      </w:r>
      <w:r>
        <w:t xml:space="preserve"> charges, TVLP worked</w:t>
      </w:r>
      <w:r w:rsidRPr="000F25DC">
        <w:t xml:space="preserve"> with the Boards</w:t>
      </w:r>
      <w:r>
        <w:t>,</w:t>
      </w:r>
      <w:r w:rsidRPr="000F25DC">
        <w:rPr>
          <w:spacing w:val="-4"/>
        </w:rPr>
        <w:t xml:space="preserve"> </w:t>
      </w:r>
      <w:r w:rsidRPr="000F25DC">
        <w:t>TVC</w:t>
      </w:r>
      <w:r>
        <w:t>,</w:t>
      </w:r>
      <w:r w:rsidRPr="000F25DC">
        <w:rPr>
          <w:spacing w:val="-4"/>
        </w:rPr>
        <w:t xml:space="preserve"> </w:t>
      </w:r>
      <w:r w:rsidRPr="000F25DC">
        <w:t>and</w:t>
      </w:r>
      <w:r w:rsidRPr="000F25DC">
        <w:rPr>
          <w:spacing w:val="-6"/>
        </w:rPr>
        <w:t xml:space="preserve"> </w:t>
      </w:r>
      <w:r w:rsidRPr="000F25DC">
        <w:t>military</w:t>
      </w:r>
      <w:r w:rsidRPr="000F25DC">
        <w:rPr>
          <w:spacing w:val="-4"/>
        </w:rPr>
        <w:t xml:space="preserve"> </w:t>
      </w:r>
      <w:r w:rsidRPr="000F25DC">
        <w:t>installations</w:t>
      </w:r>
      <w:r w:rsidRPr="000F25DC">
        <w:rPr>
          <w:spacing w:val="-5"/>
        </w:rPr>
        <w:t xml:space="preserve"> </w:t>
      </w:r>
      <w:r w:rsidRPr="000F25DC">
        <w:t>includ</w:t>
      </w:r>
      <w:r>
        <w:t>ing</w:t>
      </w:r>
      <w:r w:rsidRPr="000F25DC">
        <w:rPr>
          <w:spacing w:val="-7"/>
        </w:rPr>
        <w:t xml:space="preserve"> </w:t>
      </w:r>
      <w:r w:rsidRPr="000F25DC">
        <w:t>nine</w:t>
      </w:r>
      <w:r w:rsidRPr="000F25DC">
        <w:rPr>
          <w:spacing w:val="-4"/>
        </w:rPr>
        <w:t xml:space="preserve"> </w:t>
      </w:r>
      <w:r w:rsidRPr="000F25DC">
        <w:t>active</w:t>
      </w:r>
      <w:r w:rsidRPr="000F25DC">
        <w:rPr>
          <w:spacing w:val="-4"/>
        </w:rPr>
        <w:t xml:space="preserve"> </w:t>
      </w:r>
      <w:r w:rsidRPr="000F25DC">
        <w:t>duty,</w:t>
      </w:r>
      <w:r w:rsidRPr="000F25DC">
        <w:rPr>
          <w:spacing w:val="-7"/>
        </w:rPr>
        <w:t xml:space="preserve"> </w:t>
      </w:r>
      <w:r w:rsidRPr="000F25DC">
        <w:t>two</w:t>
      </w:r>
      <w:r w:rsidRPr="000F25DC">
        <w:rPr>
          <w:spacing w:val="-4"/>
        </w:rPr>
        <w:t xml:space="preserve"> </w:t>
      </w:r>
      <w:r w:rsidRPr="000F25DC">
        <w:t>reserves, and one National Guard facility</w:t>
      </w:r>
      <w:r>
        <w:t xml:space="preserve"> to develop this program</w:t>
      </w:r>
      <w:r w:rsidRPr="000F25DC">
        <w:t xml:space="preserve"> to better meet the education, training, and employment needs of transitioning service members, recently separated veterans, and military spouses in Texas.</w:t>
      </w:r>
    </w:p>
    <w:p w14:paraId="458CA422" w14:textId="77777777" w:rsidR="006420CB" w:rsidRPr="000F25DC" w:rsidRDefault="006420CB" w:rsidP="00C64851">
      <w:pPr>
        <w:pStyle w:val="BodyText"/>
        <w:numPr>
          <w:ilvl w:val="0"/>
          <w:numId w:val="855"/>
        </w:numPr>
      </w:pPr>
      <w:r w:rsidRPr="00B64474">
        <w:rPr>
          <w:b/>
        </w:rPr>
        <w:t>We Hire Vets Employer Recognition Program</w:t>
      </w:r>
      <w:r w:rsidRPr="00B64474">
        <w:t xml:space="preserve"> –</w:t>
      </w:r>
      <w:r w:rsidRPr="000F25DC">
        <w:t xml:space="preserve"> TWC and TVC co-sponsor We Hire Vets, a program that recognizes Texas employers for their commitment to hiring veterans. Employers whose workforces are composed</w:t>
      </w:r>
      <w:r w:rsidRPr="000F25DC">
        <w:rPr>
          <w:spacing w:val="-8"/>
        </w:rPr>
        <w:t xml:space="preserve"> </w:t>
      </w:r>
      <w:r w:rsidRPr="000F25DC">
        <w:t>of</w:t>
      </w:r>
      <w:r w:rsidRPr="000F25DC">
        <w:rPr>
          <w:spacing w:val="-8"/>
        </w:rPr>
        <w:t xml:space="preserve"> </w:t>
      </w:r>
      <w:r w:rsidRPr="000F25DC">
        <w:t>at</w:t>
      </w:r>
      <w:r w:rsidRPr="000F25DC">
        <w:rPr>
          <w:spacing w:val="-5"/>
        </w:rPr>
        <w:t xml:space="preserve"> </w:t>
      </w:r>
      <w:r w:rsidRPr="000F25DC">
        <w:t>least</w:t>
      </w:r>
      <w:r w:rsidRPr="000F25DC">
        <w:rPr>
          <w:spacing w:val="-8"/>
        </w:rPr>
        <w:t xml:space="preserve"> </w:t>
      </w:r>
      <w:r w:rsidRPr="000F25DC">
        <w:t>10</w:t>
      </w:r>
      <w:r w:rsidRPr="000F25DC">
        <w:rPr>
          <w:spacing w:val="-7"/>
        </w:rPr>
        <w:t xml:space="preserve"> </w:t>
      </w:r>
      <w:r w:rsidRPr="000F25DC">
        <w:t>percent</w:t>
      </w:r>
      <w:r w:rsidRPr="000F25DC">
        <w:rPr>
          <w:spacing w:val="-5"/>
        </w:rPr>
        <w:t xml:space="preserve"> </w:t>
      </w:r>
      <w:r w:rsidRPr="000F25DC">
        <w:t>military</w:t>
      </w:r>
      <w:r w:rsidRPr="000F25DC">
        <w:rPr>
          <w:spacing w:val="-5"/>
        </w:rPr>
        <w:t xml:space="preserve"> </w:t>
      </w:r>
      <w:r w:rsidRPr="000F25DC">
        <w:t>veterans</w:t>
      </w:r>
      <w:r w:rsidRPr="000F25DC">
        <w:rPr>
          <w:spacing w:val="-6"/>
        </w:rPr>
        <w:t xml:space="preserve"> </w:t>
      </w:r>
      <w:r w:rsidRPr="000F25DC">
        <w:t>are</w:t>
      </w:r>
      <w:r w:rsidRPr="000F25DC">
        <w:rPr>
          <w:spacing w:val="-8"/>
        </w:rPr>
        <w:t xml:space="preserve"> </w:t>
      </w:r>
      <w:r w:rsidRPr="000F25DC">
        <w:t>eligible</w:t>
      </w:r>
      <w:r w:rsidRPr="000F25DC">
        <w:rPr>
          <w:spacing w:val="-5"/>
        </w:rPr>
        <w:t xml:space="preserve"> </w:t>
      </w:r>
      <w:r w:rsidRPr="000F25DC">
        <w:t>to</w:t>
      </w:r>
      <w:r w:rsidRPr="000F25DC">
        <w:rPr>
          <w:spacing w:val="-7"/>
        </w:rPr>
        <w:t xml:space="preserve"> </w:t>
      </w:r>
      <w:r w:rsidRPr="000F25DC">
        <w:t>receive</w:t>
      </w:r>
      <w:r w:rsidRPr="000F25DC">
        <w:rPr>
          <w:spacing w:val="-5"/>
        </w:rPr>
        <w:t xml:space="preserve"> </w:t>
      </w:r>
      <w:r w:rsidRPr="000F25DC">
        <w:t>a</w:t>
      </w:r>
      <w:r w:rsidRPr="000F25DC">
        <w:rPr>
          <w:spacing w:val="-8"/>
        </w:rPr>
        <w:t xml:space="preserve"> </w:t>
      </w:r>
      <w:r w:rsidRPr="000F25DC">
        <w:t>“We</w:t>
      </w:r>
      <w:r w:rsidRPr="000F25DC">
        <w:rPr>
          <w:spacing w:val="-5"/>
        </w:rPr>
        <w:t xml:space="preserve"> </w:t>
      </w:r>
      <w:r w:rsidRPr="000F25DC">
        <w:t>Hire</w:t>
      </w:r>
      <w:r w:rsidRPr="000F25DC">
        <w:rPr>
          <w:spacing w:val="-5"/>
        </w:rPr>
        <w:t xml:space="preserve"> </w:t>
      </w:r>
      <w:r w:rsidRPr="000F25DC">
        <w:t>Vets”</w:t>
      </w:r>
      <w:r w:rsidRPr="000F25DC">
        <w:rPr>
          <w:spacing w:val="-7"/>
        </w:rPr>
        <w:t xml:space="preserve"> </w:t>
      </w:r>
      <w:r w:rsidRPr="000F25DC">
        <w:t>decal</w:t>
      </w:r>
      <w:r w:rsidRPr="000F25DC">
        <w:rPr>
          <w:spacing w:val="-6"/>
        </w:rPr>
        <w:t xml:space="preserve"> </w:t>
      </w:r>
      <w:r w:rsidRPr="000F25DC">
        <w:t>to</w:t>
      </w:r>
      <w:r w:rsidRPr="000F25DC">
        <w:rPr>
          <w:spacing w:val="-5"/>
        </w:rPr>
        <w:t xml:space="preserve"> </w:t>
      </w:r>
      <w:r w:rsidRPr="000F25DC">
        <w:t>display on their storefronts and an electronic decal to display on their websites.</w:t>
      </w:r>
    </w:p>
    <w:p w14:paraId="3F818A63" w14:textId="77777777" w:rsidR="006420CB" w:rsidRPr="000F25DC" w:rsidRDefault="006420CB" w:rsidP="00C64851">
      <w:pPr>
        <w:pStyle w:val="BodyText"/>
        <w:numPr>
          <w:ilvl w:val="0"/>
          <w:numId w:val="855"/>
        </w:numPr>
      </w:pPr>
      <w:r w:rsidRPr="00B64474">
        <w:rPr>
          <w:b/>
          <w:bCs/>
        </w:rPr>
        <w:t>Texas</w:t>
      </w:r>
      <w:r w:rsidRPr="00B64474">
        <w:rPr>
          <w:b/>
          <w:bCs/>
          <w:spacing w:val="-1"/>
        </w:rPr>
        <w:t xml:space="preserve"> </w:t>
      </w:r>
      <w:r w:rsidRPr="00B64474">
        <w:rPr>
          <w:b/>
          <w:bCs/>
        </w:rPr>
        <w:t>Transition</w:t>
      </w:r>
      <w:r w:rsidRPr="00B64474">
        <w:rPr>
          <w:b/>
          <w:bCs/>
          <w:spacing w:val="-2"/>
        </w:rPr>
        <w:t xml:space="preserve"> Alliance</w:t>
      </w:r>
      <w:r>
        <w:rPr>
          <w:spacing w:val="-2"/>
        </w:rPr>
        <w:t xml:space="preserve"> – </w:t>
      </w:r>
      <w:r w:rsidRPr="000F25DC">
        <w:t>Th</w:t>
      </w:r>
      <w:r>
        <w:t xml:space="preserve">is </w:t>
      </w:r>
      <w:r w:rsidRPr="000F25DC">
        <w:t>group</w:t>
      </w:r>
      <w:r w:rsidRPr="000F25DC">
        <w:rPr>
          <w:spacing w:val="-2"/>
        </w:rPr>
        <w:t xml:space="preserve"> </w:t>
      </w:r>
      <w:r w:rsidRPr="000F25DC">
        <w:t>of stakeholders meet</w:t>
      </w:r>
      <w:r>
        <w:t>s</w:t>
      </w:r>
      <w:r w:rsidRPr="000F25DC">
        <w:t xml:space="preserve"> on a semiannual basis to discuss best practices, cross-train on one another’s programs, collaborate to address the needs of TSMs, and facilitate ongoing coordination to improve employment</w:t>
      </w:r>
      <w:r w:rsidRPr="000F25DC">
        <w:rPr>
          <w:spacing w:val="-10"/>
        </w:rPr>
        <w:t xml:space="preserve"> </w:t>
      </w:r>
      <w:r w:rsidRPr="000F25DC">
        <w:t>outcomes</w:t>
      </w:r>
      <w:r w:rsidRPr="000F25DC">
        <w:rPr>
          <w:spacing w:val="-8"/>
        </w:rPr>
        <w:t xml:space="preserve"> </w:t>
      </w:r>
      <w:r w:rsidRPr="000F25DC">
        <w:t>for</w:t>
      </w:r>
      <w:r w:rsidRPr="000F25DC">
        <w:rPr>
          <w:spacing w:val="-10"/>
        </w:rPr>
        <w:t xml:space="preserve"> </w:t>
      </w:r>
      <w:r w:rsidRPr="000F25DC">
        <w:t>veterans.</w:t>
      </w:r>
      <w:r w:rsidRPr="000F25DC">
        <w:rPr>
          <w:spacing w:val="-8"/>
        </w:rPr>
        <w:t xml:space="preserve"> </w:t>
      </w:r>
      <w:r w:rsidRPr="000F25DC">
        <w:t>The</w:t>
      </w:r>
      <w:r w:rsidRPr="000F25DC">
        <w:rPr>
          <w:spacing w:val="-8"/>
        </w:rPr>
        <w:t xml:space="preserve"> </w:t>
      </w:r>
      <w:r>
        <w:rPr>
          <w:spacing w:val="-8"/>
        </w:rPr>
        <w:t>members include</w:t>
      </w:r>
      <w:r w:rsidRPr="000F25DC">
        <w:rPr>
          <w:spacing w:val="-8"/>
        </w:rPr>
        <w:t xml:space="preserve"> </w:t>
      </w:r>
      <w:r>
        <w:rPr>
          <w:spacing w:val="-8"/>
        </w:rPr>
        <w:t>staff from</w:t>
      </w:r>
      <w:r w:rsidRPr="000F25DC">
        <w:rPr>
          <w:spacing w:val="-11"/>
        </w:rPr>
        <w:t xml:space="preserve"> </w:t>
      </w:r>
      <w:r w:rsidRPr="000F25DC">
        <w:t>TWC,</w:t>
      </w:r>
      <w:r w:rsidRPr="000F25DC">
        <w:rPr>
          <w:spacing w:val="-10"/>
        </w:rPr>
        <w:t xml:space="preserve"> </w:t>
      </w:r>
      <w:r w:rsidRPr="000F25DC">
        <w:t>TVC,</w:t>
      </w:r>
      <w:r w:rsidRPr="000F25DC">
        <w:rPr>
          <w:spacing w:val="-8"/>
        </w:rPr>
        <w:t xml:space="preserve"> </w:t>
      </w:r>
      <w:r w:rsidRPr="000F25DC">
        <w:t>and</w:t>
      </w:r>
      <w:r w:rsidRPr="000F25DC">
        <w:rPr>
          <w:spacing w:val="-9"/>
        </w:rPr>
        <w:t xml:space="preserve"> </w:t>
      </w:r>
      <w:r w:rsidRPr="000F25DC">
        <w:t>military transition</w:t>
      </w:r>
      <w:r w:rsidRPr="000F25DC">
        <w:rPr>
          <w:spacing w:val="-6"/>
        </w:rPr>
        <w:t xml:space="preserve"> </w:t>
      </w:r>
      <w:r w:rsidRPr="000F25DC">
        <w:t>centers,</w:t>
      </w:r>
      <w:r w:rsidRPr="000F25DC">
        <w:rPr>
          <w:spacing w:val="-5"/>
        </w:rPr>
        <w:t xml:space="preserve"> </w:t>
      </w:r>
      <w:r w:rsidRPr="000F25DC">
        <w:t>as</w:t>
      </w:r>
      <w:r w:rsidRPr="000F25DC">
        <w:rPr>
          <w:spacing w:val="-7"/>
        </w:rPr>
        <w:t xml:space="preserve"> </w:t>
      </w:r>
      <w:r w:rsidRPr="000F25DC">
        <w:t>well</w:t>
      </w:r>
      <w:r w:rsidRPr="000F25DC">
        <w:rPr>
          <w:spacing w:val="-8"/>
        </w:rPr>
        <w:t xml:space="preserve"> </w:t>
      </w:r>
      <w:r w:rsidRPr="000F25DC">
        <w:t>as</w:t>
      </w:r>
      <w:r w:rsidRPr="000F25DC">
        <w:rPr>
          <w:spacing w:val="-5"/>
        </w:rPr>
        <w:t xml:space="preserve"> </w:t>
      </w:r>
      <w:r w:rsidRPr="000F25DC">
        <w:t>garrison/base</w:t>
      </w:r>
      <w:r w:rsidRPr="000F25DC">
        <w:rPr>
          <w:spacing w:val="-4"/>
        </w:rPr>
        <w:t xml:space="preserve"> </w:t>
      </w:r>
      <w:r w:rsidRPr="000F25DC">
        <w:t>commanders,</w:t>
      </w:r>
      <w:r w:rsidRPr="000F25DC">
        <w:rPr>
          <w:spacing w:val="-7"/>
        </w:rPr>
        <w:t xml:space="preserve"> </w:t>
      </w:r>
      <w:r w:rsidRPr="000F25DC">
        <w:t>employers,</w:t>
      </w:r>
      <w:r w:rsidRPr="000F25DC">
        <w:rPr>
          <w:spacing w:val="-7"/>
        </w:rPr>
        <w:t xml:space="preserve"> </w:t>
      </w:r>
      <w:r w:rsidRPr="000F25DC">
        <w:t>employer</w:t>
      </w:r>
      <w:r w:rsidRPr="000F25DC">
        <w:rPr>
          <w:spacing w:val="-5"/>
        </w:rPr>
        <w:t xml:space="preserve"> </w:t>
      </w:r>
      <w:r w:rsidRPr="000F25DC">
        <w:t>associations,</w:t>
      </w:r>
      <w:r w:rsidRPr="000F25DC">
        <w:rPr>
          <w:spacing w:val="-5"/>
        </w:rPr>
        <w:t xml:space="preserve"> </w:t>
      </w:r>
      <w:r>
        <w:rPr>
          <w:spacing w:val="-5"/>
        </w:rPr>
        <w:t xml:space="preserve">and </w:t>
      </w:r>
      <w:r w:rsidRPr="000F25DC">
        <w:t>designated Boards and Workforce Solutions Oﬃces.</w:t>
      </w:r>
    </w:p>
    <w:p w14:paraId="67A6D03A" w14:textId="77777777" w:rsidR="006420CB" w:rsidRPr="000F25DC" w:rsidRDefault="006420CB" w:rsidP="00C64851">
      <w:pPr>
        <w:pStyle w:val="BodyText"/>
        <w:numPr>
          <w:ilvl w:val="0"/>
          <w:numId w:val="855"/>
        </w:numPr>
      </w:pPr>
      <w:r w:rsidRPr="00B64474">
        <w:rPr>
          <w:b/>
        </w:rPr>
        <w:t>Statewide</w:t>
      </w:r>
      <w:r w:rsidRPr="00B64474">
        <w:rPr>
          <w:b/>
          <w:spacing w:val="-4"/>
        </w:rPr>
        <w:t xml:space="preserve"> </w:t>
      </w:r>
      <w:r w:rsidRPr="00B64474">
        <w:rPr>
          <w:b/>
        </w:rPr>
        <w:t>Program</w:t>
      </w:r>
      <w:r w:rsidRPr="00B64474">
        <w:rPr>
          <w:b/>
          <w:spacing w:val="-1"/>
        </w:rPr>
        <w:t xml:space="preserve"> </w:t>
      </w:r>
      <w:r w:rsidRPr="00B64474">
        <w:rPr>
          <w:b/>
        </w:rPr>
        <w:t>to</w:t>
      </w:r>
      <w:r w:rsidRPr="00B64474">
        <w:rPr>
          <w:b/>
          <w:spacing w:val="-3"/>
        </w:rPr>
        <w:t xml:space="preserve"> </w:t>
      </w:r>
      <w:r w:rsidRPr="00B64474">
        <w:rPr>
          <w:b/>
        </w:rPr>
        <w:t>Transition</w:t>
      </w:r>
      <w:r w:rsidRPr="00B64474">
        <w:rPr>
          <w:b/>
          <w:spacing w:val="-2"/>
        </w:rPr>
        <w:t xml:space="preserve"> </w:t>
      </w:r>
      <w:r w:rsidRPr="00B64474">
        <w:rPr>
          <w:b/>
        </w:rPr>
        <w:t>from</w:t>
      </w:r>
      <w:r w:rsidRPr="00B64474">
        <w:rPr>
          <w:b/>
          <w:spacing w:val="-1"/>
        </w:rPr>
        <w:t xml:space="preserve"> </w:t>
      </w:r>
      <w:r w:rsidRPr="00B64474">
        <w:rPr>
          <w:b/>
        </w:rPr>
        <w:t>Military</w:t>
      </w:r>
      <w:r w:rsidRPr="00B64474">
        <w:rPr>
          <w:b/>
          <w:spacing w:val="-2"/>
        </w:rPr>
        <w:t xml:space="preserve"> </w:t>
      </w:r>
      <w:r w:rsidRPr="00B64474">
        <w:rPr>
          <w:b/>
        </w:rPr>
        <w:t>to</w:t>
      </w:r>
      <w:r w:rsidRPr="00B64474">
        <w:rPr>
          <w:b/>
          <w:spacing w:val="-2"/>
        </w:rPr>
        <w:t xml:space="preserve"> </w:t>
      </w:r>
      <w:r w:rsidRPr="00B64474">
        <w:rPr>
          <w:b/>
        </w:rPr>
        <w:t xml:space="preserve">Civilian </w:t>
      </w:r>
      <w:r w:rsidRPr="00B64474">
        <w:rPr>
          <w:b/>
          <w:spacing w:val="-2"/>
        </w:rPr>
        <w:t>Employment</w:t>
      </w:r>
      <w:r>
        <w:rPr>
          <w:spacing w:val="-2"/>
        </w:rPr>
        <w:t xml:space="preserve"> – </w:t>
      </w:r>
      <w:r w:rsidRPr="00315C78">
        <w:rPr>
          <w:spacing w:val="-2"/>
        </w:rPr>
        <w:t xml:space="preserve">This program is designed to assist transitioning military service members, recently separated veterans, and military spouses transition from military service to civilian employment. </w:t>
      </w:r>
      <w:r>
        <w:rPr>
          <w:spacing w:val="-2"/>
        </w:rPr>
        <w:t>It</w:t>
      </w:r>
      <w:r w:rsidRPr="00315C78">
        <w:rPr>
          <w:spacing w:val="-2"/>
        </w:rPr>
        <w:t xml:space="preserve"> is dedicated to helping </w:t>
      </w:r>
      <w:r>
        <w:rPr>
          <w:spacing w:val="-2"/>
        </w:rPr>
        <w:t>participants</w:t>
      </w:r>
      <w:r w:rsidRPr="00315C78">
        <w:rPr>
          <w:spacing w:val="-2"/>
        </w:rPr>
        <w:t xml:space="preserve"> translate their military skills to the civilian labor market and includes employment services, training, wraparound support services.</w:t>
      </w:r>
    </w:p>
    <w:p w14:paraId="058F403A" w14:textId="77777777" w:rsidR="006420CB" w:rsidRPr="000F25DC" w:rsidRDefault="006420CB" w:rsidP="00C64851">
      <w:pPr>
        <w:pStyle w:val="BodyText"/>
        <w:numPr>
          <w:ilvl w:val="0"/>
          <w:numId w:val="855"/>
        </w:numPr>
      </w:pPr>
      <w:r w:rsidRPr="00B64474">
        <w:rPr>
          <w:b/>
        </w:rPr>
        <w:lastRenderedPageBreak/>
        <w:t>Texas</w:t>
      </w:r>
      <w:r w:rsidRPr="00B64474">
        <w:rPr>
          <w:b/>
          <w:spacing w:val="-1"/>
        </w:rPr>
        <w:t xml:space="preserve"> </w:t>
      </w:r>
      <w:r w:rsidRPr="00B64474">
        <w:rPr>
          <w:b/>
        </w:rPr>
        <w:t>Veterans</w:t>
      </w:r>
      <w:r w:rsidRPr="00B64474">
        <w:rPr>
          <w:b/>
          <w:spacing w:val="-1"/>
        </w:rPr>
        <w:t xml:space="preserve"> </w:t>
      </w:r>
      <w:r w:rsidRPr="00B64474">
        <w:rPr>
          <w:b/>
          <w:spacing w:val="-2"/>
        </w:rPr>
        <w:t>Network</w:t>
      </w:r>
      <w:r>
        <w:rPr>
          <w:spacing w:val="-2"/>
        </w:rPr>
        <w:t xml:space="preserve"> – This is</w:t>
      </w:r>
      <w:r w:rsidRPr="000F25DC">
        <w:t xml:space="preserve"> a</w:t>
      </w:r>
      <w:r w:rsidRPr="000F25DC">
        <w:rPr>
          <w:spacing w:val="-1"/>
        </w:rPr>
        <w:t xml:space="preserve"> </w:t>
      </w:r>
      <w:r w:rsidRPr="000F25DC">
        <w:t>statewide automated veteran service coordination referral system that captures services received, referrals made, and services available through</w:t>
      </w:r>
      <w:r w:rsidRPr="000F25DC">
        <w:rPr>
          <w:spacing w:val="-7"/>
        </w:rPr>
        <w:t xml:space="preserve"> </w:t>
      </w:r>
      <w:r w:rsidRPr="000F25DC">
        <w:t>an</w:t>
      </w:r>
      <w:r w:rsidRPr="000F25DC">
        <w:rPr>
          <w:spacing w:val="-7"/>
        </w:rPr>
        <w:t xml:space="preserve"> </w:t>
      </w:r>
      <w:r w:rsidRPr="000F25DC">
        <w:t>integrated</w:t>
      </w:r>
      <w:r w:rsidRPr="000F25DC">
        <w:rPr>
          <w:spacing w:val="-7"/>
        </w:rPr>
        <w:t xml:space="preserve"> </w:t>
      </w:r>
      <w:r w:rsidRPr="000F25DC">
        <w:t>network</w:t>
      </w:r>
      <w:r>
        <w:t>.  It is</w:t>
      </w:r>
      <w:r w:rsidRPr="000F25DC">
        <w:rPr>
          <w:spacing w:val="-8"/>
        </w:rPr>
        <w:t xml:space="preserve"> </w:t>
      </w:r>
      <w:r w:rsidRPr="000F25DC">
        <w:t>designed</w:t>
      </w:r>
      <w:r w:rsidRPr="000F25DC">
        <w:rPr>
          <w:spacing w:val="-7"/>
        </w:rPr>
        <w:t xml:space="preserve"> </w:t>
      </w:r>
      <w:r w:rsidRPr="000F25DC">
        <w:t>to</w:t>
      </w:r>
      <w:r w:rsidRPr="000F25DC">
        <w:rPr>
          <w:spacing w:val="-5"/>
        </w:rPr>
        <w:t xml:space="preserve"> </w:t>
      </w:r>
      <w:r w:rsidRPr="000F25DC">
        <w:t>increase</w:t>
      </w:r>
      <w:r w:rsidRPr="000F25DC">
        <w:rPr>
          <w:spacing w:val="-8"/>
        </w:rPr>
        <w:t xml:space="preserve"> </w:t>
      </w:r>
      <w:r>
        <w:rPr>
          <w:spacing w:val="-8"/>
        </w:rPr>
        <w:t>access to services</w:t>
      </w:r>
      <w:r w:rsidRPr="000F25DC">
        <w:rPr>
          <w:spacing w:val="-8"/>
        </w:rPr>
        <w:t xml:space="preserve"> </w:t>
      </w:r>
      <w:r w:rsidRPr="000F25DC">
        <w:t>for</w:t>
      </w:r>
      <w:r w:rsidRPr="000F25DC">
        <w:rPr>
          <w:spacing w:val="-8"/>
        </w:rPr>
        <w:t xml:space="preserve"> </w:t>
      </w:r>
      <w:r w:rsidRPr="000F25DC">
        <w:t>TSMs,</w:t>
      </w:r>
      <w:r w:rsidRPr="000F25DC">
        <w:rPr>
          <w:spacing w:val="-8"/>
        </w:rPr>
        <w:t xml:space="preserve"> </w:t>
      </w:r>
      <w:r w:rsidRPr="000F25DC">
        <w:t>veterans,</w:t>
      </w:r>
      <w:r w:rsidRPr="000F25DC">
        <w:rPr>
          <w:spacing w:val="-6"/>
        </w:rPr>
        <w:t xml:space="preserve"> </w:t>
      </w:r>
      <w:r w:rsidRPr="000F25DC">
        <w:t>and</w:t>
      </w:r>
      <w:r w:rsidRPr="000F25DC">
        <w:rPr>
          <w:spacing w:val="-7"/>
        </w:rPr>
        <w:t xml:space="preserve"> </w:t>
      </w:r>
      <w:r w:rsidRPr="000F25DC">
        <w:t>their</w:t>
      </w:r>
      <w:r w:rsidRPr="000F25DC">
        <w:rPr>
          <w:spacing w:val="-8"/>
        </w:rPr>
        <w:t xml:space="preserve"> </w:t>
      </w:r>
      <w:r w:rsidRPr="000F25DC">
        <w:t xml:space="preserve">families </w:t>
      </w:r>
      <w:r>
        <w:t>to ensure a successful</w:t>
      </w:r>
      <w:r w:rsidRPr="000F25DC">
        <w:t xml:space="preserve"> transition into civilian life.</w:t>
      </w:r>
    </w:p>
    <w:p w14:paraId="639FADE9" w14:textId="77777777" w:rsidR="006420CB" w:rsidRPr="000F25DC" w:rsidRDefault="006420CB" w:rsidP="00C64851">
      <w:pPr>
        <w:pStyle w:val="BodyText"/>
        <w:numPr>
          <w:ilvl w:val="0"/>
          <w:numId w:val="855"/>
        </w:numPr>
      </w:pPr>
      <w:r w:rsidRPr="00B64474">
        <w:rPr>
          <w:b/>
        </w:rPr>
        <w:t>College Credit for Heroes</w:t>
      </w:r>
      <w:r>
        <w:t xml:space="preserve"> – </w:t>
      </w:r>
      <w:r w:rsidRPr="000F25DC">
        <w:t>T</w:t>
      </w:r>
      <w:r>
        <w:t>his</w:t>
      </w:r>
      <w:r w:rsidRPr="000F25DC">
        <w:t xml:space="preserve"> program seeks to maximize college</w:t>
      </w:r>
      <w:r w:rsidRPr="000F25DC">
        <w:rPr>
          <w:spacing w:val="-1"/>
        </w:rPr>
        <w:t xml:space="preserve"> </w:t>
      </w:r>
      <w:r w:rsidRPr="000F25DC">
        <w:t>credits</w:t>
      </w:r>
      <w:r w:rsidRPr="000F25DC">
        <w:rPr>
          <w:spacing w:val="-4"/>
        </w:rPr>
        <w:t xml:space="preserve"> </w:t>
      </w:r>
      <w:r w:rsidRPr="000F25DC">
        <w:t>awarded</w:t>
      </w:r>
      <w:r w:rsidRPr="000F25DC">
        <w:rPr>
          <w:spacing w:val="-5"/>
        </w:rPr>
        <w:t xml:space="preserve"> </w:t>
      </w:r>
      <w:r w:rsidRPr="000F25DC">
        <w:t>to</w:t>
      </w:r>
      <w:r w:rsidRPr="000F25DC">
        <w:rPr>
          <w:spacing w:val="-5"/>
        </w:rPr>
        <w:t xml:space="preserve"> </w:t>
      </w:r>
      <w:r w:rsidRPr="000F25DC">
        <w:t>veterans</w:t>
      </w:r>
      <w:r w:rsidRPr="000F25DC">
        <w:rPr>
          <w:spacing w:val="-2"/>
        </w:rPr>
        <w:t xml:space="preserve"> </w:t>
      </w:r>
      <w:r w:rsidRPr="000F25DC">
        <w:t>and</w:t>
      </w:r>
      <w:r w:rsidRPr="000F25DC">
        <w:rPr>
          <w:spacing w:val="-3"/>
        </w:rPr>
        <w:t xml:space="preserve"> </w:t>
      </w:r>
      <w:r w:rsidRPr="000F25DC">
        <w:t>service</w:t>
      </w:r>
      <w:r w:rsidRPr="000F25DC">
        <w:rPr>
          <w:spacing w:val="-4"/>
        </w:rPr>
        <w:t xml:space="preserve"> </w:t>
      </w:r>
      <w:r w:rsidRPr="000F25DC">
        <w:t>members</w:t>
      </w:r>
      <w:r w:rsidRPr="000F25DC">
        <w:rPr>
          <w:spacing w:val="-2"/>
        </w:rPr>
        <w:t xml:space="preserve"> </w:t>
      </w:r>
      <w:r w:rsidRPr="000F25DC">
        <w:t>for</w:t>
      </w:r>
      <w:r w:rsidRPr="000F25DC">
        <w:rPr>
          <w:spacing w:val="-4"/>
        </w:rPr>
        <w:t xml:space="preserve"> </w:t>
      </w:r>
      <w:r w:rsidRPr="000F25DC">
        <w:t>their</w:t>
      </w:r>
      <w:r w:rsidRPr="000F25DC">
        <w:rPr>
          <w:spacing w:val="-2"/>
        </w:rPr>
        <w:t xml:space="preserve"> </w:t>
      </w:r>
      <w:r w:rsidRPr="000F25DC">
        <w:t>military</w:t>
      </w:r>
      <w:r w:rsidRPr="000F25DC">
        <w:rPr>
          <w:spacing w:val="-3"/>
        </w:rPr>
        <w:t xml:space="preserve"> </w:t>
      </w:r>
      <w:r w:rsidRPr="000F25DC">
        <w:t>experience</w:t>
      </w:r>
      <w:r w:rsidRPr="000F25DC">
        <w:rPr>
          <w:spacing w:val="-1"/>
        </w:rPr>
        <w:t xml:space="preserve"> </w:t>
      </w:r>
      <w:r w:rsidRPr="000F25DC">
        <w:t>to</w:t>
      </w:r>
      <w:r w:rsidRPr="000F25DC">
        <w:rPr>
          <w:spacing w:val="-1"/>
        </w:rPr>
        <w:t xml:space="preserve"> </w:t>
      </w:r>
      <w:r w:rsidRPr="000F25DC">
        <w:t>expedite</w:t>
      </w:r>
      <w:r w:rsidRPr="000F25DC">
        <w:rPr>
          <w:spacing w:val="-4"/>
        </w:rPr>
        <w:t xml:space="preserve"> </w:t>
      </w:r>
      <w:r w:rsidRPr="000F25DC">
        <w:t>their transition into the Texas workforce. The program’s goal</w:t>
      </w:r>
      <w:r w:rsidRPr="000F25DC">
        <w:rPr>
          <w:spacing w:val="-1"/>
        </w:rPr>
        <w:t xml:space="preserve"> </w:t>
      </w:r>
      <w:r w:rsidRPr="000F25DC">
        <w:t>is to eliminate obstacles to attaining licensing, certiﬁcation</w:t>
      </w:r>
      <w:r w:rsidRPr="000F25DC">
        <w:rPr>
          <w:spacing w:val="-8"/>
        </w:rPr>
        <w:t xml:space="preserve"> </w:t>
      </w:r>
      <w:r w:rsidRPr="000F25DC">
        <w:t>and</w:t>
      </w:r>
      <w:r w:rsidRPr="000F25DC">
        <w:rPr>
          <w:spacing w:val="-8"/>
        </w:rPr>
        <w:t xml:space="preserve"> </w:t>
      </w:r>
      <w:r w:rsidRPr="000F25DC">
        <w:t>accreditation,</w:t>
      </w:r>
      <w:r w:rsidRPr="000F25DC">
        <w:rPr>
          <w:spacing w:val="-7"/>
        </w:rPr>
        <w:t xml:space="preserve"> </w:t>
      </w:r>
      <w:r w:rsidRPr="000F25DC">
        <w:t>and</w:t>
      </w:r>
      <w:r w:rsidRPr="000F25DC">
        <w:rPr>
          <w:spacing w:val="-8"/>
        </w:rPr>
        <w:t xml:space="preserve"> </w:t>
      </w:r>
      <w:r w:rsidRPr="000F25DC">
        <w:t>degree</w:t>
      </w:r>
      <w:r w:rsidRPr="000F25DC">
        <w:rPr>
          <w:spacing w:val="-6"/>
        </w:rPr>
        <w:t xml:space="preserve"> </w:t>
      </w:r>
      <w:r w:rsidRPr="000F25DC">
        <w:t>awards</w:t>
      </w:r>
      <w:r w:rsidRPr="000F25DC">
        <w:rPr>
          <w:spacing w:val="-7"/>
        </w:rPr>
        <w:t xml:space="preserve"> </w:t>
      </w:r>
      <w:r w:rsidRPr="000F25DC">
        <w:t>at</w:t>
      </w:r>
      <w:r w:rsidRPr="000F25DC">
        <w:rPr>
          <w:spacing w:val="-9"/>
        </w:rPr>
        <w:t xml:space="preserve"> </w:t>
      </w:r>
      <w:r w:rsidRPr="000F25DC">
        <w:t>state</w:t>
      </w:r>
      <w:r w:rsidRPr="000F25DC">
        <w:rPr>
          <w:spacing w:val="-6"/>
        </w:rPr>
        <w:t xml:space="preserve"> </w:t>
      </w:r>
      <w:r w:rsidRPr="000F25DC">
        <w:t>and</w:t>
      </w:r>
      <w:r w:rsidRPr="000F25DC">
        <w:rPr>
          <w:spacing w:val="-8"/>
        </w:rPr>
        <w:t xml:space="preserve"> </w:t>
      </w:r>
      <w:r w:rsidRPr="000F25DC">
        <w:t>national</w:t>
      </w:r>
      <w:r w:rsidRPr="000F25DC">
        <w:rPr>
          <w:spacing w:val="-7"/>
        </w:rPr>
        <w:t xml:space="preserve"> </w:t>
      </w:r>
      <w:r w:rsidRPr="000F25DC">
        <w:t>levels</w:t>
      </w:r>
      <w:r w:rsidRPr="000F25DC">
        <w:rPr>
          <w:spacing w:val="-7"/>
        </w:rPr>
        <w:t xml:space="preserve"> </w:t>
      </w:r>
      <w:r w:rsidRPr="000F25DC">
        <w:t>so</w:t>
      </w:r>
      <w:r w:rsidRPr="000F25DC">
        <w:rPr>
          <w:spacing w:val="-8"/>
        </w:rPr>
        <w:t xml:space="preserve"> </w:t>
      </w:r>
      <w:r w:rsidRPr="000F25DC">
        <w:t>veterans</w:t>
      </w:r>
      <w:r w:rsidRPr="000F25DC">
        <w:rPr>
          <w:spacing w:val="-7"/>
        </w:rPr>
        <w:t xml:space="preserve"> </w:t>
      </w:r>
      <w:r w:rsidRPr="000F25DC">
        <w:t>can</w:t>
      </w:r>
      <w:r w:rsidRPr="000F25DC">
        <w:rPr>
          <w:spacing w:val="-10"/>
        </w:rPr>
        <w:t xml:space="preserve"> </w:t>
      </w:r>
      <w:r w:rsidRPr="000F25DC">
        <w:t>transition more quickly from college classrooms to the workforce.</w:t>
      </w:r>
    </w:p>
    <w:p w14:paraId="7FDFB05D" w14:textId="77777777" w:rsidR="006420CB" w:rsidRPr="000F25DC" w:rsidRDefault="006420CB" w:rsidP="00C64851">
      <w:pPr>
        <w:pStyle w:val="BodyText"/>
        <w:numPr>
          <w:ilvl w:val="0"/>
          <w:numId w:val="855"/>
        </w:numPr>
      </w:pPr>
      <w:r w:rsidRPr="00B64474">
        <w:rPr>
          <w:b/>
          <w:bCs/>
        </w:rPr>
        <w:t>Hiring Red, White, and You Job Fair</w:t>
      </w:r>
      <w:r>
        <w:rPr>
          <w:b/>
          <w:bCs/>
        </w:rPr>
        <w:t xml:space="preserve"> </w:t>
      </w:r>
      <w:r w:rsidRPr="00B64474">
        <w:t>–</w:t>
      </w:r>
      <w:r>
        <w:t xml:space="preserve"> </w:t>
      </w:r>
      <w:r w:rsidRPr="000F25DC">
        <w:t>Each</w:t>
      </w:r>
      <w:r w:rsidRPr="000F25DC">
        <w:rPr>
          <w:spacing w:val="-9"/>
        </w:rPr>
        <w:t xml:space="preserve"> </w:t>
      </w:r>
      <w:r w:rsidRPr="000F25DC">
        <w:t>November,</w:t>
      </w:r>
      <w:r w:rsidRPr="000F25DC">
        <w:rPr>
          <w:spacing w:val="-6"/>
        </w:rPr>
        <w:t xml:space="preserve"> </w:t>
      </w:r>
      <w:r>
        <w:t>TVLP,</w:t>
      </w:r>
      <w:r w:rsidRPr="000F25DC">
        <w:rPr>
          <w:spacing w:val="-6"/>
        </w:rPr>
        <w:t xml:space="preserve"> </w:t>
      </w:r>
      <w:r w:rsidRPr="000F25DC">
        <w:t>in</w:t>
      </w:r>
      <w:r w:rsidRPr="000F25DC">
        <w:rPr>
          <w:spacing w:val="-7"/>
        </w:rPr>
        <w:t xml:space="preserve"> </w:t>
      </w:r>
      <w:r w:rsidRPr="000F25DC">
        <w:t>conjunction</w:t>
      </w:r>
      <w:r w:rsidRPr="000F25DC">
        <w:rPr>
          <w:spacing w:val="-7"/>
        </w:rPr>
        <w:t xml:space="preserve"> </w:t>
      </w:r>
      <w:r w:rsidRPr="000F25DC">
        <w:t>with</w:t>
      </w:r>
      <w:r w:rsidRPr="000F25DC">
        <w:rPr>
          <w:spacing w:val="-9"/>
        </w:rPr>
        <w:t xml:space="preserve"> </w:t>
      </w:r>
      <w:r w:rsidRPr="000F25DC">
        <w:t>the</w:t>
      </w:r>
      <w:r w:rsidRPr="000F25DC">
        <w:rPr>
          <w:spacing w:val="-8"/>
        </w:rPr>
        <w:t xml:space="preserve"> </w:t>
      </w:r>
      <w:r w:rsidRPr="000F25DC">
        <w:t>28</w:t>
      </w:r>
      <w:r w:rsidRPr="000F25DC">
        <w:rPr>
          <w:spacing w:val="-7"/>
        </w:rPr>
        <w:t xml:space="preserve"> </w:t>
      </w:r>
      <w:r w:rsidRPr="000F25DC">
        <w:t>Boards, Texas</w:t>
      </w:r>
      <w:r w:rsidRPr="000F25DC">
        <w:rPr>
          <w:spacing w:val="-7"/>
        </w:rPr>
        <w:t xml:space="preserve"> </w:t>
      </w:r>
      <w:r w:rsidRPr="000F25DC">
        <w:t>Medical</w:t>
      </w:r>
      <w:r w:rsidRPr="000F25DC">
        <w:rPr>
          <w:spacing w:val="-7"/>
        </w:rPr>
        <w:t xml:space="preserve"> </w:t>
      </w:r>
      <w:r w:rsidRPr="000F25DC">
        <w:t>Center,</w:t>
      </w:r>
      <w:r w:rsidRPr="000F25DC">
        <w:rPr>
          <w:spacing w:val="-7"/>
        </w:rPr>
        <w:t xml:space="preserve"> </w:t>
      </w:r>
      <w:r w:rsidRPr="000F25DC">
        <w:t>and</w:t>
      </w:r>
      <w:r w:rsidRPr="000F25DC">
        <w:rPr>
          <w:spacing w:val="-8"/>
        </w:rPr>
        <w:t xml:space="preserve"> </w:t>
      </w:r>
      <w:r w:rsidRPr="000F25DC">
        <w:t>TVC</w:t>
      </w:r>
      <w:r>
        <w:t>,</w:t>
      </w:r>
      <w:r w:rsidRPr="000F25DC">
        <w:rPr>
          <w:spacing w:val="-7"/>
        </w:rPr>
        <w:t xml:space="preserve"> </w:t>
      </w:r>
      <w:r w:rsidRPr="000F25DC">
        <w:t>hosts</w:t>
      </w:r>
      <w:r w:rsidRPr="000F25DC">
        <w:rPr>
          <w:spacing w:val="-7"/>
        </w:rPr>
        <w:t xml:space="preserve"> </w:t>
      </w:r>
      <w:r w:rsidRPr="000F25DC">
        <w:t>an</w:t>
      </w:r>
      <w:r w:rsidRPr="000F25DC">
        <w:rPr>
          <w:spacing w:val="-10"/>
        </w:rPr>
        <w:t xml:space="preserve"> </w:t>
      </w:r>
      <w:r w:rsidRPr="000F25DC">
        <w:t>annual</w:t>
      </w:r>
      <w:r w:rsidRPr="000F25DC">
        <w:rPr>
          <w:spacing w:val="-7"/>
        </w:rPr>
        <w:t xml:space="preserve"> </w:t>
      </w:r>
      <w:r w:rsidRPr="000F25DC">
        <w:t>statewide</w:t>
      </w:r>
      <w:r w:rsidRPr="000F25DC">
        <w:rPr>
          <w:spacing w:val="-7"/>
        </w:rPr>
        <w:t xml:space="preserve"> </w:t>
      </w:r>
      <w:r w:rsidRPr="000F25DC">
        <w:t>job</w:t>
      </w:r>
      <w:r w:rsidRPr="000F25DC">
        <w:rPr>
          <w:spacing w:val="-10"/>
        </w:rPr>
        <w:t xml:space="preserve"> </w:t>
      </w:r>
      <w:r w:rsidRPr="000F25DC">
        <w:t>fair</w:t>
      </w:r>
      <w:r w:rsidRPr="000F25DC">
        <w:rPr>
          <w:spacing w:val="-7"/>
        </w:rPr>
        <w:t xml:space="preserve"> </w:t>
      </w:r>
      <w:r w:rsidRPr="000F25DC">
        <w:t>to</w:t>
      </w:r>
      <w:r w:rsidRPr="000F25DC">
        <w:rPr>
          <w:spacing w:val="-7"/>
        </w:rPr>
        <w:t xml:space="preserve"> </w:t>
      </w:r>
      <w:r w:rsidRPr="000F25DC">
        <w:t>connect</w:t>
      </w:r>
      <w:r w:rsidRPr="000F25DC">
        <w:rPr>
          <w:spacing w:val="-9"/>
        </w:rPr>
        <w:t xml:space="preserve"> </w:t>
      </w:r>
      <w:r w:rsidRPr="000F25DC">
        <w:t>Texas</w:t>
      </w:r>
      <w:r w:rsidRPr="000F25DC">
        <w:rPr>
          <w:spacing w:val="-7"/>
        </w:rPr>
        <w:t xml:space="preserve"> </w:t>
      </w:r>
      <w:r w:rsidRPr="000F25DC">
        <w:t>veterans</w:t>
      </w:r>
      <w:r w:rsidRPr="000F25DC">
        <w:rPr>
          <w:spacing w:val="-9"/>
        </w:rPr>
        <w:t xml:space="preserve"> </w:t>
      </w:r>
      <w:r w:rsidRPr="000F25DC">
        <w:t>and</w:t>
      </w:r>
      <w:r w:rsidRPr="000F25DC">
        <w:rPr>
          <w:spacing w:val="-8"/>
        </w:rPr>
        <w:t xml:space="preserve"> </w:t>
      </w:r>
      <w:r w:rsidRPr="000F25DC">
        <w:t>their spouses to Texas employers that value the experience, discipline, and other exceptional qualities often inherent in a military background.</w:t>
      </w:r>
    </w:p>
    <w:p w14:paraId="437DCF21" w14:textId="77777777" w:rsidR="006420CB" w:rsidRPr="000F25DC" w:rsidRDefault="006420CB" w:rsidP="00C64851">
      <w:pPr>
        <w:pStyle w:val="BodyText"/>
        <w:numPr>
          <w:ilvl w:val="0"/>
          <w:numId w:val="855"/>
        </w:numPr>
      </w:pPr>
      <w:r w:rsidRPr="00B64474">
        <w:rPr>
          <w:b/>
        </w:rPr>
        <w:t>Veterans</w:t>
      </w:r>
      <w:r w:rsidRPr="00B64474">
        <w:rPr>
          <w:b/>
          <w:spacing w:val="-2"/>
        </w:rPr>
        <w:t xml:space="preserve"> </w:t>
      </w:r>
      <w:r w:rsidRPr="00B64474">
        <w:rPr>
          <w:b/>
        </w:rPr>
        <w:t>Workforce</w:t>
      </w:r>
      <w:r w:rsidRPr="00B64474">
        <w:rPr>
          <w:b/>
          <w:spacing w:val="-3"/>
        </w:rPr>
        <w:t xml:space="preserve"> </w:t>
      </w:r>
      <w:r w:rsidRPr="00B64474">
        <w:rPr>
          <w:b/>
        </w:rPr>
        <w:t>Outreach</w:t>
      </w:r>
      <w:r w:rsidRPr="00B64474">
        <w:rPr>
          <w:b/>
          <w:spacing w:val="-1"/>
        </w:rPr>
        <w:t xml:space="preserve"> </w:t>
      </w:r>
      <w:r w:rsidRPr="00B64474">
        <w:rPr>
          <w:b/>
          <w:spacing w:val="-2"/>
        </w:rPr>
        <w:t>Initiative</w:t>
      </w:r>
      <w:r>
        <w:rPr>
          <w:spacing w:val="-2"/>
        </w:rPr>
        <w:t xml:space="preserve"> – </w:t>
      </w:r>
      <w:r w:rsidRPr="000F25DC">
        <w:t xml:space="preserve">TWC </w:t>
      </w:r>
      <w:r>
        <w:t>contracted with two vendors to provide</w:t>
      </w:r>
      <w:r w:rsidRPr="000F25DC">
        <w:t xml:space="preserve"> services to hard-to-serve veterans who are not currently being served through Workforce Solutions oﬃces and have one or more signiﬁcant barriers to employment</w:t>
      </w:r>
      <w:r>
        <w:t>.</w:t>
      </w:r>
    </w:p>
    <w:p w14:paraId="64ECE1DC" w14:textId="490396E0" w:rsidR="006420CB" w:rsidRPr="000F25DC" w:rsidRDefault="0090370F" w:rsidP="0090370F">
      <w:pPr>
        <w:pStyle w:val="BodyText3"/>
        <w:ind w:left="720" w:hanging="720"/>
      </w:pPr>
      <w:r>
        <w:t>C.</w:t>
      </w:r>
      <w:r>
        <w:tab/>
      </w:r>
      <w:r w:rsidR="006420CB" w:rsidRPr="000F25DC">
        <w:t>What information does the agency collect/use to assess the effectiveness and efficiency of this division or program? If applicable, briefly note any LBB performance measures (from Section</w:t>
      </w:r>
      <w:r w:rsidR="006420CB" w:rsidRPr="000F25DC">
        <w:rPr>
          <w:spacing w:val="-11"/>
        </w:rPr>
        <w:t xml:space="preserve"> </w:t>
      </w:r>
      <w:r w:rsidR="006420CB" w:rsidRPr="000F25DC">
        <w:t>II,</w:t>
      </w:r>
      <w:r w:rsidR="006420CB" w:rsidRPr="000F25DC">
        <w:rPr>
          <w:spacing w:val="-12"/>
        </w:rPr>
        <w:t xml:space="preserve"> </w:t>
      </w:r>
      <w:proofErr w:type="gramStart"/>
      <w:r w:rsidR="006420CB" w:rsidRPr="000F25DC">
        <w:t>Exhibit</w:t>
      </w:r>
      <w:proofErr w:type="gramEnd"/>
      <w:r w:rsidR="006420CB" w:rsidRPr="000F25DC">
        <w:rPr>
          <w:spacing w:val="-14"/>
        </w:rPr>
        <w:t xml:space="preserve"> </w:t>
      </w:r>
      <w:r w:rsidR="006420CB" w:rsidRPr="000F25DC">
        <w:t>2)</w:t>
      </w:r>
      <w:r w:rsidR="006420CB" w:rsidRPr="000F25DC">
        <w:rPr>
          <w:spacing w:val="-12"/>
        </w:rPr>
        <w:t xml:space="preserve"> </w:t>
      </w:r>
      <w:r w:rsidR="006420CB" w:rsidRPr="000F25DC">
        <w:t>but</w:t>
      </w:r>
      <w:r w:rsidR="006420CB" w:rsidRPr="000F25DC">
        <w:rPr>
          <w:spacing w:val="-14"/>
        </w:rPr>
        <w:t xml:space="preserve"> </w:t>
      </w:r>
      <w:r w:rsidR="006420CB" w:rsidRPr="000F25DC">
        <w:t>also</w:t>
      </w:r>
      <w:r w:rsidR="006420CB" w:rsidRPr="000F25DC">
        <w:rPr>
          <w:spacing w:val="-11"/>
        </w:rPr>
        <w:t xml:space="preserve"> </w:t>
      </w:r>
      <w:r w:rsidR="006420CB" w:rsidRPr="000F25DC">
        <w:t>provide</w:t>
      </w:r>
      <w:r w:rsidR="006420CB" w:rsidRPr="000F25DC">
        <w:rPr>
          <w:spacing w:val="-13"/>
        </w:rPr>
        <w:t xml:space="preserve"> </w:t>
      </w:r>
      <w:r w:rsidR="006420CB" w:rsidRPr="000F25DC">
        <w:t>any</w:t>
      </w:r>
      <w:r w:rsidR="006420CB" w:rsidRPr="000F25DC">
        <w:rPr>
          <w:spacing w:val="-13"/>
        </w:rPr>
        <w:t xml:space="preserve"> </w:t>
      </w:r>
      <w:r w:rsidR="006420CB" w:rsidRPr="000F25DC">
        <w:t>other</w:t>
      </w:r>
      <w:r w:rsidR="006420CB" w:rsidRPr="000F25DC">
        <w:rPr>
          <w:spacing w:val="-11"/>
        </w:rPr>
        <w:t xml:space="preserve"> </w:t>
      </w:r>
      <w:r w:rsidR="006420CB" w:rsidRPr="000F25DC">
        <w:t>metrics</w:t>
      </w:r>
      <w:r w:rsidR="006420CB" w:rsidRPr="000F25DC">
        <w:rPr>
          <w:spacing w:val="-14"/>
        </w:rPr>
        <w:t xml:space="preserve"> </w:t>
      </w:r>
      <w:r w:rsidR="006420CB" w:rsidRPr="000F25DC">
        <w:t>of</w:t>
      </w:r>
      <w:r w:rsidR="006420CB" w:rsidRPr="000F25DC">
        <w:rPr>
          <w:spacing w:val="-13"/>
        </w:rPr>
        <w:t xml:space="preserve"> </w:t>
      </w:r>
      <w:r w:rsidR="006420CB" w:rsidRPr="000F25DC">
        <w:t>program</w:t>
      </w:r>
      <w:r w:rsidR="006420CB" w:rsidRPr="000F25DC">
        <w:rPr>
          <w:spacing w:val="-13"/>
        </w:rPr>
        <w:t xml:space="preserve"> </w:t>
      </w:r>
      <w:r w:rsidR="006420CB" w:rsidRPr="000F25DC">
        <w:t>effectiveness</w:t>
      </w:r>
      <w:r w:rsidR="006420CB" w:rsidRPr="000F25DC">
        <w:rPr>
          <w:spacing w:val="-12"/>
        </w:rPr>
        <w:t xml:space="preserve"> </w:t>
      </w:r>
      <w:r w:rsidR="006420CB" w:rsidRPr="000F25DC">
        <w:t>and</w:t>
      </w:r>
      <w:r w:rsidR="006420CB" w:rsidRPr="000F25DC">
        <w:rPr>
          <w:spacing w:val="-11"/>
        </w:rPr>
        <w:t xml:space="preserve"> </w:t>
      </w:r>
      <w:r w:rsidR="006420CB" w:rsidRPr="000F25DC">
        <w:t>efficiency. Please</w:t>
      </w:r>
      <w:r w:rsidR="006420CB" w:rsidRPr="000F25DC">
        <w:rPr>
          <w:spacing w:val="-7"/>
        </w:rPr>
        <w:t xml:space="preserve"> </w:t>
      </w:r>
      <w:r w:rsidR="006420CB" w:rsidRPr="000F25DC">
        <w:t>provide</w:t>
      </w:r>
      <w:r w:rsidR="006420CB" w:rsidRPr="000F25DC">
        <w:rPr>
          <w:spacing w:val="-7"/>
        </w:rPr>
        <w:t xml:space="preserve"> </w:t>
      </w:r>
      <w:r w:rsidR="006420CB" w:rsidRPr="000F25DC">
        <w:t>the</w:t>
      </w:r>
      <w:r w:rsidR="006420CB" w:rsidRPr="000F25DC">
        <w:rPr>
          <w:spacing w:val="-7"/>
        </w:rPr>
        <w:t xml:space="preserve"> </w:t>
      </w:r>
      <w:r w:rsidR="006420CB" w:rsidRPr="000F25DC">
        <w:t>data</w:t>
      </w:r>
      <w:r w:rsidR="006420CB" w:rsidRPr="000F25DC">
        <w:rPr>
          <w:spacing w:val="-10"/>
        </w:rPr>
        <w:t xml:space="preserve"> </w:t>
      </w:r>
      <w:r w:rsidR="006420CB" w:rsidRPr="000F25DC">
        <w:t>source</w:t>
      </w:r>
      <w:r w:rsidR="006420CB" w:rsidRPr="000F25DC">
        <w:rPr>
          <w:spacing w:val="-7"/>
        </w:rPr>
        <w:t xml:space="preserve"> </w:t>
      </w:r>
      <w:r w:rsidR="006420CB" w:rsidRPr="000F25DC">
        <w:t>and/or</w:t>
      </w:r>
      <w:r w:rsidR="006420CB" w:rsidRPr="000F25DC">
        <w:rPr>
          <w:spacing w:val="-5"/>
        </w:rPr>
        <w:t xml:space="preserve"> </w:t>
      </w:r>
      <w:r w:rsidR="006420CB" w:rsidRPr="000F25DC">
        <w:t>methodology</w:t>
      </w:r>
      <w:r w:rsidR="006420CB" w:rsidRPr="000F25DC">
        <w:rPr>
          <w:spacing w:val="-7"/>
        </w:rPr>
        <w:t xml:space="preserve"> </w:t>
      </w:r>
      <w:r w:rsidR="006420CB" w:rsidRPr="000F25DC">
        <w:t>behind</w:t>
      </w:r>
      <w:r w:rsidR="006420CB" w:rsidRPr="000F25DC">
        <w:rPr>
          <w:spacing w:val="-6"/>
        </w:rPr>
        <w:t xml:space="preserve"> </w:t>
      </w:r>
      <w:r w:rsidR="006420CB" w:rsidRPr="000F25DC">
        <w:t>how</w:t>
      </w:r>
      <w:r w:rsidR="006420CB" w:rsidRPr="000F25DC">
        <w:rPr>
          <w:spacing w:val="-5"/>
        </w:rPr>
        <w:t xml:space="preserve"> </w:t>
      </w:r>
      <w:r w:rsidR="006420CB" w:rsidRPr="000F25DC">
        <w:t>each</w:t>
      </w:r>
      <w:r w:rsidR="006420CB" w:rsidRPr="000F25DC">
        <w:rPr>
          <w:spacing w:val="-6"/>
        </w:rPr>
        <w:t xml:space="preserve"> </w:t>
      </w:r>
      <w:r w:rsidR="006420CB" w:rsidRPr="000F25DC">
        <w:t>statistic</w:t>
      </w:r>
      <w:r w:rsidR="006420CB" w:rsidRPr="000F25DC">
        <w:rPr>
          <w:spacing w:val="-6"/>
        </w:rPr>
        <w:t xml:space="preserve"> </w:t>
      </w:r>
      <w:r w:rsidR="006420CB" w:rsidRPr="000F25DC">
        <w:t>or</w:t>
      </w:r>
      <w:r w:rsidR="006420CB" w:rsidRPr="000F25DC">
        <w:rPr>
          <w:spacing w:val="-8"/>
        </w:rPr>
        <w:t xml:space="preserve"> </w:t>
      </w:r>
      <w:r w:rsidR="006420CB" w:rsidRPr="000F25DC">
        <w:t>performance measure was determined. If you do not track measures of effectiveness for a given division, department, or program, please explain why.</w:t>
      </w:r>
    </w:p>
    <w:p w14:paraId="6EA199B3" w14:textId="77777777" w:rsidR="006420CB" w:rsidRPr="0090370F" w:rsidRDefault="006420CB" w:rsidP="0090370F">
      <w:pPr>
        <w:pStyle w:val="BodyText"/>
      </w:pPr>
      <w:r w:rsidRPr="0090370F">
        <w:t xml:space="preserve">Information regarding the eﬀectiveness and eﬃciency of TVLP and the programs is as follows: </w:t>
      </w:r>
    </w:p>
    <w:p w14:paraId="48924DA1" w14:textId="77777777" w:rsidR="006420CB" w:rsidRPr="005138F2" w:rsidRDefault="006420CB" w:rsidP="005138F2">
      <w:pPr>
        <w:pStyle w:val="BodyText"/>
        <w:rPr>
          <w:b/>
          <w:bCs/>
        </w:rPr>
      </w:pPr>
      <w:r w:rsidRPr="005138F2">
        <w:rPr>
          <w:b/>
          <w:bCs/>
        </w:rPr>
        <w:t>Texas</w:t>
      </w:r>
      <w:r w:rsidRPr="005138F2">
        <w:rPr>
          <w:b/>
          <w:bCs/>
          <w:spacing w:val="-7"/>
        </w:rPr>
        <w:t xml:space="preserve"> </w:t>
      </w:r>
      <w:r w:rsidRPr="005138F2">
        <w:rPr>
          <w:b/>
          <w:bCs/>
        </w:rPr>
        <w:t>Veterans</w:t>
      </w:r>
      <w:r w:rsidRPr="005138F2">
        <w:rPr>
          <w:b/>
          <w:bCs/>
          <w:spacing w:val="-7"/>
        </w:rPr>
        <w:t xml:space="preserve"> </w:t>
      </w:r>
      <w:r w:rsidRPr="005138F2">
        <w:rPr>
          <w:b/>
          <w:bCs/>
        </w:rPr>
        <w:t>Leadership</w:t>
      </w:r>
      <w:r w:rsidRPr="005138F2">
        <w:rPr>
          <w:b/>
          <w:bCs/>
          <w:spacing w:val="-7"/>
        </w:rPr>
        <w:t xml:space="preserve"> </w:t>
      </w:r>
      <w:r w:rsidRPr="005138F2">
        <w:rPr>
          <w:b/>
          <w:bCs/>
        </w:rPr>
        <w:t>Program</w:t>
      </w:r>
    </w:p>
    <w:p w14:paraId="2FB8FF04" w14:textId="77777777" w:rsidR="006420CB" w:rsidRPr="000F25DC" w:rsidRDefault="006420CB" w:rsidP="005138F2">
      <w:pPr>
        <w:pStyle w:val="BodyText"/>
      </w:pPr>
      <w:r>
        <w:t>Since its inception in July 2008, TVLP</w:t>
      </w:r>
      <w:r w:rsidRPr="000F25DC">
        <w:rPr>
          <w:spacing w:val="-9"/>
        </w:rPr>
        <w:t xml:space="preserve"> </w:t>
      </w:r>
      <w:r w:rsidRPr="000F25DC">
        <w:t>has</w:t>
      </w:r>
      <w:r w:rsidRPr="000F25DC">
        <w:rPr>
          <w:spacing w:val="-8"/>
        </w:rPr>
        <w:t xml:space="preserve"> </w:t>
      </w:r>
      <w:r w:rsidRPr="000F25DC">
        <w:t>assisted</w:t>
      </w:r>
      <w:r w:rsidRPr="000F25DC">
        <w:rPr>
          <w:spacing w:val="-10"/>
        </w:rPr>
        <w:t xml:space="preserve"> </w:t>
      </w:r>
      <w:r w:rsidRPr="000F25DC">
        <w:t>59,159</w:t>
      </w:r>
      <w:r w:rsidRPr="000F25DC">
        <w:rPr>
          <w:spacing w:val="-9"/>
        </w:rPr>
        <w:t xml:space="preserve"> </w:t>
      </w:r>
      <w:r w:rsidRPr="000F25DC">
        <w:t>Texas</w:t>
      </w:r>
      <w:r w:rsidRPr="000F25DC">
        <w:rPr>
          <w:spacing w:val="-10"/>
        </w:rPr>
        <w:t xml:space="preserve"> </w:t>
      </w:r>
      <w:r w:rsidRPr="000F25DC">
        <w:t>veterans.</w:t>
      </w:r>
      <w:r w:rsidRPr="000F25DC">
        <w:rPr>
          <w:spacing w:val="-10"/>
        </w:rPr>
        <w:t xml:space="preserve"> </w:t>
      </w:r>
      <w:r w:rsidRPr="000F25DC">
        <w:t>This</w:t>
      </w:r>
      <w:r w:rsidRPr="000F25DC">
        <w:rPr>
          <w:spacing w:val="-10"/>
        </w:rPr>
        <w:t xml:space="preserve"> </w:t>
      </w:r>
      <w:r w:rsidRPr="000F25DC">
        <w:t>assistance</w:t>
      </w:r>
      <w:r w:rsidRPr="000F25DC">
        <w:rPr>
          <w:spacing w:val="-10"/>
        </w:rPr>
        <w:t xml:space="preserve"> </w:t>
      </w:r>
      <w:r w:rsidRPr="000F25DC">
        <w:t>includes</w:t>
      </w:r>
      <w:r w:rsidRPr="000F25DC">
        <w:rPr>
          <w:spacing w:val="-10"/>
        </w:rPr>
        <w:t xml:space="preserve"> </w:t>
      </w:r>
      <w:r w:rsidRPr="000F25DC">
        <w:t>obtaining</w:t>
      </w:r>
      <w:r w:rsidRPr="000F25DC">
        <w:rPr>
          <w:spacing w:val="-9"/>
        </w:rPr>
        <w:t xml:space="preserve"> </w:t>
      </w:r>
      <w:r w:rsidRPr="000F25DC">
        <w:t>employment, ﬁnancial</w:t>
      </w:r>
      <w:r w:rsidRPr="000F25DC">
        <w:rPr>
          <w:spacing w:val="-1"/>
        </w:rPr>
        <w:t xml:space="preserve"> </w:t>
      </w:r>
      <w:r w:rsidRPr="000F25DC">
        <w:t>assistance,</w:t>
      </w:r>
      <w:r w:rsidRPr="000F25DC">
        <w:rPr>
          <w:spacing w:val="-3"/>
        </w:rPr>
        <w:t xml:space="preserve"> </w:t>
      </w:r>
      <w:r w:rsidRPr="000F25DC">
        <w:t>housing,</w:t>
      </w:r>
      <w:r w:rsidRPr="000F25DC">
        <w:rPr>
          <w:spacing w:val="-1"/>
        </w:rPr>
        <w:t xml:space="preserve"> </w:t>
      </w:r>
      <w:r w:rsidRPr="000F25DC">
        <w:t>food</w:t>
      </w:r>
      <w:r w:rsidRPr="000F25DC">
        <w:rPr>
          <w:spacing w:val="-4"/>
        </w:rPr>
        <w:t xml:space="preserve"> </w:t>
      </w:r>
      <w:r w:rsidRPr="000F25DC">
        <w:t>assistance,</w:t>
      </w:r>
      <w:r w:rsidRPr="000F25DC">
        <w:rPr>
          <w:spacing w:val="-3"/>
        </w:rPr>
        <w:t xml:space="preserve"> </w:t>
      </w:r>
      <w:r w:rsidRPr="000F25DC">
        <w:t>and enrollment into federal</w:t>
      </w:r>
      <w:r w:rsidRPr="000F25DC">
        <w:rPr>
          <w:spacing w:val="-1"/>
        </w:rPr>
        <w:t xml:space="preserve"> </w:t>
      </w:r>
      <w:r w:rsidRPr="000F25DC">
        <w:t>and state government veteran programs and beneﬁts. TVLP staﬀ have connect</w:t>
      </w:r>
      <w:r>
        <w:t>ed</w:t>
      </w:r>
      <w:r w:rsidRPr="000F25DC">
        <w:t xml:space="preserve"> veterans to physical and mental health care and have prevented numerous veterans from suicide.</w:t>
      </w:r>
    </w:p>
    <w:p w14:paraId="671C1B03" w14:textId="77777777" w:rsidR="006420CB" w:rsidRPr="000F25DC" w:rsidRDefault="006420CB" w:rsidP="005138F2">
      <w:pPr>
        <w:pStyle w:val="BodyText"/>
      </w:pPr>
      <w:r w:rsidRPr="003660BE">
        <w:t>TVLP’s</w:t>
      </w:r>
      <w:r w:rsidRPr="00E11852">
        <w:rPr>
          <w:spacing w:val="-7"/>
        </w:rPr>
        <w:t xml:space="preserve"> </w:t>
      </w:r>
      <w:r w:rsidRPr="00E11852">
        <w:t>programs</w:t>
      </w:r>
      <w:r w:rsidRPr="00E11852">
        <w:rPr>
          <w:spacing w:val="-8"/>
        </w:rPr>
        <w:t xml:space="preserve"> </w:t>
      </w:r>
      <w:r w:rsidRPr="00E11852">
        <w:t>have</w:t>
      </w:r>
      <w:r w:rsidRPr="00E11852">
        <w:rPr>
          <w:spacing w:val="-9"/>
        </w:rPr>
        <w:t xml:space="preserve"> </w:t>
      </w:r>
      <w:r w:rsidRPr="00E11852">
        <w:t>been</w:t>
      </w:r>
      <w:r w:rsidRPr="00E11852">
        <w:rPr>
          <w:spacing w:val="-9"/>
        </w:rPr>
        <w:t xml:space="preserve"> </w:t>
      </w:r>
      <w:r w:rsidRPr="00E11852">
        <w:t>critical</w:t>
      </w:r>
      <w:r w:rsidRPr="00E11852">
        <w:rPr>
          <w:spacing w:val="-8"/>
        </w:rPr>
        <w:t xml:space="preserve"> </w:t>
      </w:r>
      <w:r w:rsidRPr="00E11852">
        <w:t>to</w:t>
      </w:r>
      <w:r w:rsidRPr="00E11852">
        <w:rPr>
          <w:spacing w:val="-8"/>
        </w:rPr>
        <w:t xml:space="preserve"> </w:t>
      </w:r>
      <w:r w:rsidRPr="00E11852">
        <w:t>retaining</w:t>
      </w:r>
      <w:r w:rsidRPr="00E11852">
        <w:rPr>
          <w:spacing w:val="-9"/>
        </w:rPr>
        <w:t xml:space="preserve"> </w:t>
      </w:r>
      <w:r w:rsidRPr="00E11852">
        <w:t>top</w:t>
      </w:r>
      <w:r w:rsidRPr="00E11852">
        <w:rPr>
          <w:spacing w:val="-9"/>
        </w:rPr>
        <w:t xml:space="preserve"> </w:t>
      </w:r>
      <w:r w:rsidRPr="00E11852">
        <w:t>level</w:t>
      </w:r>
      <w:r w:rsidRPr="00E11852">
        <w:rPr>
          <w:spacing w:val="-7"/>
        </w:rPr>
        <w:t xml:space="preserve"> </w:t>
      </w:r>
      <w:r w:rsidRPr="00E11852">
        <w:t>talent</w:t>
      </w:r>
      <w:r w:rsidRPr="00E11852">
        <w:rPr>
          <w:spacing w:val="-7"/>
        </w:rPr>
        <w:t xml:space="preserve"> </w:t>
      </w:r>
      <w:r w:rsidRPr="00E11852">
        <w:t>for</w:t>
      </w:r>
      <w:r w:rsidRPr="00E11852">
        <w:rPr>
          <w:spacing w:val="-10"/>
        </w:rPr>
        <w:t xml:space="preserve"> </w:t>
      </w:r>
      <w:r w:rsidRPr="00E11852">
        <w:t>Texas</w:t>
      </w:r>
      <w:r w:rsidRPr="003660BE">
        <w:t xml:space="preserve"> </w:t>
      </w:r>
      <w:r w:rsidRPr="000F25DC">
        <w:t>employers</w:t>
      </w:r>
      <w:r w:rsidRPr="000F25DC">
        <w:rPr>
          <w:spacing w:val="-11"/>
        </w:rPr>
        <w:t xml:space="preserve"> </w:t>
      </w:r>
      <w:r w:rsidRPr="000F25DC">
        <w:t>and</w:t>
      </w:r>
      <w:r w:rsidRPr="000F25DC">
        <w:rPr>
          <w:spacing w:val="-10"/>
        </w:rPr>
        <w:t xml:space="preserve"> </w:t>
      </w:r>
      <w:r w:rsidRPr="000F25DC">
        <w:t>maintaining</w:t>
      </w:r>
      <w:r w:rsidRPr="000F25DC">
        <w:rPr>
          <w:spacing w:val="-12"/>
        </w:rPr>
        <w:t xml:space="preserve"> </w:t>
      </w:r>
      <w:r w:rsidRPr="000F25DC">
        <w:t>the</w:t>
      </w:r>
      <w:r w:rsidRPr="000F25DC">
        <w:rPr>
          <w:spacing w:val="-10"/>
        </w:rPr>
        <w:t xml:space="preserve"> </w:t>
      </w:r>
      <w:r w:rsidRPr="000F25DC">
        <w:t>Texas</w:t>
      </w:r>
      <w:r w:rsidRPr="000F25DC">
        <w:rPr>
          <w:spacing w:val="-9"/>
        </w:rPr>
        <w:t xml:space="preserve"> </w:t>
      </w:r>
      <w:r w:rsidRPr="000F25DC">
        <w:t>veteran</w:t>
      </w:r>
      <w:r w:rsidRPr="000F25DC">
        <w:rPr>
          <w:spacing w:val="-10"/>
        </w:rPr>
        <w:t xml:space="preserve"> </w:t>
      </w:r>
      <w:r w:rsidRPr="000F25DC">
        <w:t>unemployment</w:t>
      </w:r>
      <w:r w:rsidRPr="000F25DC">
        <w:rPr>
          <w:spacing w:val="-8"/>
        </w:rPr>
        <w:t xml:space="preserve"> </w:t>
      </w:r>
      <w:r w:rsidRPr="000F25DC">
        <w:t>rate</w:t>
      </w:r>
      <w:r w:rsidRPr="000F25DC">
        <w:rPr>
          <w:spacing w:val="-11"/>
        </w:rPr>
        <w:t xml:space="preserve"> </w:t>
      </w:r>
      <w:r w:rsidRPr="000F25DC">
        <w:t>below</w:t>
      </w:r>
      <w:r w:rsidRPr="000F25DC">
        <w:rPr>
          <w:spacing w:val="-11"/>
        </w:rPr>
        <w:t xml:space="preserve"> </w:t>
      </w:r>
      <w:r w:rsidRPr="000F25DC">
        <w:t>3.2</w:t>
      </w:r>
      <w:r>
        <w:t xml:space="preserve"> percent</w:t>
      </w:r>
      <w:r w:rsidRPr="00A169E3">
        <w:rPr>
          <w:spacing w:val="-8"/>
        </w:rPr>
        <w:t xml:space="preserve"> </w:t>
      </w:r>
      <w:r w:rsidRPr="000F25DC">
        <w:t>for</w:t>
      </w:r>
      <w:r w:rsidRPr="000F25DC">
        <w:rPr>
          <w:spacing w:val="-10"/>
        </w:rPr>
        <w:t xml:space="preserve"> </w:t>
      </w:r>
      <w:r w:rsidRPr="000F25DC">
        <w:t>the</w:t>
      </w:r>
      <w:r w:rsidRPr="000F25DC">
        <w:rPr>
          <w:spacing w:val="-9"/>
        </w:rPr>
        <w:t xml:space="preserve"> </w:t>
      </w:r>
      <w:r w:rsidRPr="000F25DC">
        <w:t>past</w:t>
      </w:r>
      <w:r w:rsidRPr="000F25DC">
        <w:rPr>
          <w:spacing w:val="-10"/>
        </w:rPr>
        <w:t xml:space="preserve"> </w:t>
      </w:r>
      <w:r w:rsidRPr="000F25DC">
        <w:t>15</w:t>
      </w:r>
      <w:r w:rsidRPr="000F25DC">
        <w:rPr>
          <w:spacing w:val="-8"/>
        </w:rPr>
        <w:t xml:space="preserve"> </w:t>
      </w:r>
      <w:r w:rsidRPr="000F25DC">
        <w:t>months.</w:t>
      </w:r>
    </w:p>
    <w:p w14:paraId="3C4524C5" w14:textId="77777777" w:rsidR="006420CB" w:rsidRPr="005D480E" w:rsidRDefault="006420CB" w:rsidP="005D480E">
      <w:pPr>
        <w:pStyle w:val="BodyText"/>
        <w:rPr>
          <w:b/>
          <w:bCs/>
        </w:rPr>
      </w:pPr>
      <w:r w:rsidRPr="005D480E">
        <w:rPr>
          <w:b/>
          <w:bCs/>
        </w:rPr>
        <w:lastRenderedPageBreak/>
        <w:t>We</w:t>
      </w:r>
      <w:r w:rsidRPr="005D480E">
        <w:rPr>
          <w:b/>
          <w:bCs/>
          <w:spacing w:val="-13"/>
        </w:rPr>
        <w:t xml:space="preserve"> </w:t>
      </w:r>
      <w:r w:rsidRPr="005D480E">
        <w:rPr>
          <w:b/>
          <w:bCs/>
        </w:rPr>
        <w:t>Hire</w:t>
      </w:r>
      <w:r w:rsidRPr="005D480E">
        <w:rPr>
          <w:b/>
          <w:bCs/>
          <w:spacing w:val="-12"/>
        </w:rPr>
        <w:t xml:space="preserve"> </w:t>
      </w:r>
      <w:r w:rsidRPr="005D480E">
        <w:rPr>
          <w:b/>
          <w:bCs/>
        </w:rPr>
        <w:t>Vets</w:t>
      </w:r>
      <w:r w:rsidRPr="005D480E">
        <w:rPr>
          <w:b/>
          <w:bCs/>
          <w:spacing w:val="-12"/>
        </w:rPr>
        <w:t xml:space="preserve"> </w:t>
      </w:r>
      <w:r w:rsidRPr="005D480E">
        <w:rPr>
          <w:b/>
          <w:bCs/>
        </w:rPr>
        <w:t>Employer</w:t>
      </w:r>
      <w:r w:rsidRPr="005D480E">
        <w:rPr>
          <w:b/>
          <w:bCs/>
          <w:spacing w:val="-10"/>
        </w:rPr>
        <w:t xml:space="preserve"> </w:t>
      </w:r>
      <w:r w:rsidRPr="005D480E">
        <w:rPr>
          <w:b/>
          <w:bCs/>
        </w:rPr>
        <w:t>Recognition</w:t>
      </w:r>
      <w:r w:rsidRPr="005D480E">
        <w:rPr>
          <w:b/>
          <w:bCs/>
          <w:spacing w:val="-12"/>
        </w:rPr>
        <w:t xml:space="preserve"> </w:t>
      </w:r>
      <w:r w:rsidRPr="005D480E">
        <w:rPr>
          <w:b/>
          <w:bCs/>
          <w:spacing w:val="-2"/>
        </w:rPr>
        <w:t>Program</w:t>
      </w:r>
    </w:p>
    <w:p w14:paraId="43A07BDF" w14:textId="77777777" w:rsidR="006420CB" w:rsidRPr="000F25DC" w:rsidRDefault="006420CB" w:rsidP="005D480E">
      <w:pPr>
        <w:pStyle w:val="BodyText"/>
      </w:pPr>
      <w:r w:rsidRPr="000F25DC">
        <w:t>From</w:t>
      </w:r>
      <w:r w:rsidRPr="000F25DC">
        <w:rPr>
          <w:spacing w:val="-5"/>
        </w:rPr>
        <w:t xml:space="preserve"> </w:t>
      </w:r>
      <w:r w:rsidRPr="000F25DC">
        <w:t>September</w:t>
      </w:r>
      <w:r w:rsidRPr="000F25DC">
        <w:rPr>
          <w:spacing w:val="-6"/>
        </w:rPr>
        <w:t xml:space="preserve"> </w:t>
      </w:r>
      <w:r w:rsidRPr="000F25DC">
        <w:t>2008</w:t>
      </w:r>
      <w:r w:rsidRPr="000F25DC">
        <w:rPr>
          <w:spacing w:val="-3"/>
        </w:rPr>
        <w:t xml:space="preserve"> </w:t>
      </w:r>
      <w:r w:rsidRPr="000F25DC">
        <w:t>through</w:t>
      </w:r>
      <w:r w:rsidRPr="000F25DC">
        <w:rPr>
          <w:spacing w:val="-5"/>
        </w:rPr>
        <w:t xml:space="preserve"> </w:t>
      </w:r>
      <w:r w:rsidRPr="000F25DC">
        <w:t>the</w:t>
      </w:r>
      <w:r w:rsidRPr="000F25DC">
        <w:rPr>
          <w:spacing w:val="-3"/>
        </w:rPr>
        <w:t xml:space="preserve"> </w:t>
      </w:r>
      <w:r w:rsidRPr="000F25DC">
        <w:t>end</w:t>
      </w:r>
      <w:r w:rsidRPr="000F25DC">
        <w:rPr>
          <w:spacing w:val="-7"/>
        </w:rPr>
        <w:t xml:space="preserve"> </w:t>
      </w:r>
      <w:r w:rsidRPr="000F25DC">
        <w:t>of</w:t>
      </w:r>
      <w:r w:rsidRPr="000F25DC">
        <w:rPr>
          <w:spacing w:val="-4"/>
        </w:rPr>
        <w:t xml:space="preserve"> </w:t>
      </w:r>
      <w:r w:rsidRPr="000F25DC">
        <w:t>March</w:t>
      </w:r>
      <w:r w:rsidRPr="000F25DC">
        <w:rPr>
          <w:spacing w:val="-7"/>
        </w:rPr>
        <w:t xml:space="preserve"> </w:t>
      </w:r>
      <w:r w:rsidRPr="000F25DC">
        <w:t>2025,</w:t>
      </w:r>
      <w:r w:rsidRPr="000F25DC">
        <w:rPr>
          <w:spacing w:val="-4"/>
        </w:rPr>
        <w:t xml:space="preserve"> </w:t>
      </w:r>
      <w:r w:rsidRPr="000F25DC">
        <w:t>the</w:t>
      </w:r>
      <w:r w:rsidRPr="000F25DC">
        <w:rPr>
          <w:spacing w:val="-3"/>
        </w:rPr>
        <w:t xml:space="preserve"> </w:t>
      </w:r>
      <w:r w:rsidRPr="000F25DC">
        <w:t>program</w:t>
      </w:r>
      <w:r w:rsidRPr="000F25DC">
        <w:rPr>
          <w:spacing w:val="-5"/>
        </w:rPr>
        <w:t xml:space="preserve"> </w:t>
      </w:r>
      <w:r w:rsidRPr="000F25DC">
        <w:t>has</w:t>
      </w:r>
      <w:r w:rsidRPr="000F25DC">
        <w:rPr>
          <w:spacing w:val="-4"/>
        </w:rPr>
        <w:t xml:space="preserve"> </w:t>
      </w:r>
      <w:r w:rsidRPr="000F25DC">
        <w:t>distributed</w:t>
      </w:r>
      <w:r w:rsidRPr="000F25DC">
        <w:rPr>
          <w:spacing w:val="-5"/>
        </w:rPr>
        <w:t xml:space="preserve"> </w:t>
      </w:r>
      <w:r w:rsidRPr="000F25DC">
        <w:t>1,412</w:t>
      </w:r>
      <w:r w:rsidRPr="000F25DC">
        <w:rPr>
          <w:spacing w:val="-3"/>
        </w:rPr>
        <w:t xml:space="preserve"> </w:t>
      </w:r>
      <w:r>
        <w:rPr>
          <w:spacing w:val="-3"/>
        </w:rPr>
        <w:t xml:space="preserve">We Hire Vets </w:t>
      </w:r>
      <w:r w:rsidRPr="000F25DC">
        <w:t>decals to deserving Texas employers.</w:t>
      </w:r>
    </w:p>
    <w:p w14:paraId="7EBCFFD6" w14:textId="77777777" w:rsidR="006420CB" w:rsidRPr="000F25DC" w:rsidRDefault="006420CB" w:rsidP="005D480E">
      <w:pPr>
        <w:pStyle w:val="BodyText"/>
      </w:pPr>
      <w:r w:rsidRPr="000F25DC">
        <w:t>In</w:t>
      </w:r>
      <w:r w:rsidRPr="000F25DC">
        <w:rPr>
          <w:spacing w:val="-10"/>
        </w:rPr>
        <w:t xml:space="preserve"> </w:t>
      </w:r>
      <w:r w:rsidRPr="000F25DC">
        <w:t>fall</w:t>
      </w:r>
      <w:r w:rsidRPr="000F25DC">
        <w:rPr>
          <w:spacing w:val="-10"/>
        </w:rPr>
        <w:t xml:space="preserve"> </w:t>
      </w:r>
      <w:r w:rsidRPr="000F25DC">
        <w:t>2023,</w:t>
      </w:r>
      <w:r w:rsidRPr="000F25DC">
        <w:rPr>
          <w:spacing w:val="-11"/>
        </w:rPr>
        <w:t xml:space="preserve"> </w:t>
      </w:r>
      <w:r w:rsidRPr="000F25DC">
        <w:t>Workforce</w:t>
      </w:r>
      <w:r w:rsidRPr="000F25DC">
        <w:rPr>
          <w:spacing w:val="-9"/>
        </w:rPr>
        <w:t xml:space="preserve"> </w:t>
      </w:r>
      <w:r w:rsidRPr="000F25DC">
        <w:t>Solutions</w:t>
      </w:r>
      <w:r w:rsidRPr="000F25DC">
        <w:rPr>
          <w:spacing w:val="-10"/>
        </w:rPr>
        <w:t xml:space="preserve"> </w:t>
      </w:r>
      <w:r w:rsidRPr="000F25DC">
        <w:t>Central</w:t>
      </w:r>
      <w:r w:rsidRPr="000F25DC">
        <w:rPr>
          <w:spacing w:val="-11"/>
        </w:rPr>
        <w:t xml:space="preserve"> </w:t>
      </w:r>
      <w:r w:rsidRPr="000F25DC">
        <w:t>Texas,</w:t>
      </w:r>
      <w:r w:rsidRPr="000F25DC">
        <w:rPr>
          <w:spacing w:val="-11"/>
        </w:rPr>
        <w:t xml:space="preserve"> </w:t>
      </w:r>
      <w:r w:rsidRPr="000F25DC">
        <w:t>TVLP,</w:t>
      </w:r>
      <w:r w:rsidRPr="000F25DC">
        <w:rPr>
          <w:spacing w:val="-10"/>
        </w:rPr>
        <w:t xml:space="preserve"> </w:t>
      </w:r>
      <w:r w:rsidRPr="000F25DC">
        <w:t>and</w:t>
      </w:r>
      <w:r w:rsidRPr="000F25DC">
        <w:rPr>
          <w:spacing w:val="-10"/>
        </w:rPr>
        <w:t xml:space="preserve"> </w:t>
      </w:r>
      <w:r w:rsidRPr="000F25DC">
        <w:t>TVC</w:t>
      </w:r>
      <w:r w:rsidRPr="000F25DC">
        <w:rPr>
          <w:spacing w:val="-10"/>
        </w:rPr>
        <w:t xml:space="preserve"> </w:t>
      </w:r>
      <w:r w:rsidRPr="000F25DC">
        <w:t>conducted</w:t>
      </w:r>
      <w:r w:rsidRPr="000F25DC">
        <w:rPr>
          <w:spacing w:val="-12"/>
        </w:rPr>
        <w:t xml:space="preserve"> </w:t>
      </w:r>
      <w:r w:rsidRPr="000F25DC">
        <w:t>the</w:t>
      </w:r>
      <w:r w:rsidRPr="000F25DC">
        <w:rPr>
          <w:spacing w:val="-9"/>
        </w:rPr>
        <w:t xml:space="preserve"> </w:t>
      </w:r>
      <w:r w:rsidRPr="000F25DC">
        <w:t>largest</w:t>
      </w:r>
      <w:r w:rsidRPr="000F25DC">
        <w:rPr>
          <w:spacing w:val="-11"/>
        </w:rPr>
        <w:t xml:space="preserve"> </w:t>
      </w:r>
      <w:r w:rsidRPr="000F25DC">
        <w:t>We</w:t>
      </w:r>
      <w:r w:rsidRPr="000F25DC">
        <w:rPr>
          <w:spacing w:val="-9"/>
        </w:rPr>
        <w:t xml:space="preserve"> </w:t>
      </w:r>
      <w:r w:rsidRPr="000F25DC">
        <w:t>Hire Vets</w:t>
      </w:r>
      <w:r w:rsidRPr="000F25DC">
        <w:rPr>
          <w:spacing w:val="-2"/>
        </w:rPr>
        <w:t xml:space="preserve"> </w:t>
      </w:r>
      <w:r w:rsidRPr="000F25DC">
        <w:t>Employer</w:t>
      </w:r>
      <w:r w:rsidRPr="000F25DC">
        <w:rPr>
          <w:spacing w:val="-2"/>
        </w:rPr>
        <w:t xml:space="preserve"> </w:t>
      </w:r>
      <w:r w:rsidRPr="000F25DC">
        <w:t>Recognition</w:t>
      </w:r>
      <w:r w:rsidRPr="000F25DC">
        <w:rPr>
          <w:spacing w:val="-5"/>
        </w:rPr>
        <w:t xml:space="preserve"> </w:t>
      </w:r>
      <w:r w:rsidRPr="000F25DC">
        <w:t>Ceremony</w:t>
      </w:r>
      <w:r w:rsidRPr="000F25DC">
        <w:rPr>
          <w:spacing w:val="-1"/>
        </w:rPr>
        <w:t xml:space="preserve"> </w:t>
      </w:r>
      <w:r w:rsidRPr="000F25DC">
        <w:t>to</w:t>
      </w:r>
      <w:r w:rsidRPr="000F25DC">
        <w:rPr>
          <w:spacing w:val="-1"/>
        </w:rPr>
        <w:t xml:space="preserve"> </w:t>
      </w:r>
      <w:r w:rsidRPr="000F25DC">
        <w:t>date.</w:t>
      </w:r>
      <w:r w:rsidRPr="000F25DC">
        <w:rPr>
          <w:spacing w:val="-5"/>
        </w:rPr>
        <w:t xml:space="preserve"> </w:t>
      </w:r>
      <w:r w:rsidRPr="000F25DC">
        <w:t>Fifty-four</w:t>
      </w:r>
      <w:r w:rsidRPr="000F25DC">
        <w:rPr>
          <w:spacing w:val="-2"/>
        </w:rPr>
        <w:t xml:space="preserve"> </w:t>
      </w:r>
      <w:r w:rsidRPr="000F25DC">
        <w:t>local</w:t>
      </w:r>
      <w:r w:rsidRPr="000F25DC">
        <w:rPr>
          <w:spacing w:val="-2"/>
        </w:rPr>
        <w:t xml:space="preserve"> </w:t>
      </w:r>
      <w:r w:rsidRPr="000F25DC">
        <w:t>employers</w:t>
      </w:r>
      <w:r w:rsidRPr="000F25DC">
        <w:rPr>
          <w:spacing w:val="-2"/>
        </w:rPr>
        <w:t xml:space="preserve"> </w:t>
      </w:r>
      <w:r w:rsidRPr="000F25DC">
        <w:t>were</w:t>
      </w:r>
      <w:r w:rsidRPr="000F25DC">
        <w:rPr>
          <w:spacing w:val="-4"/>
        </w:rPr>
        <w:t xml:space="preserve"> </w:t>
      </w:r>
      <w:r w:rsidRPr="000F25DC">
        <w:t>awarded</w:t>
      </w:r>
      <w:r w:rsidRPr="000F25DC">
        <w:rPr>
          <w:spacing w:val="-3"/>
        </w:rPr>
        <w:t xml:space="preserve"> </w:t>
      </w:r>
      <w:r w:rsidRPr="000F25DC">
        <w:t>We Hire Vets decals.</w:t>
      </w:r>
    </w:p>
    <w:p w14:paraId="33AFAF2D" w14:textId="77777777" w:rsidR="006420CB" w:rsidRPr="005D480E" w:rsidRDefault="006420CB" w:rsidP="005D480E">
      <w:pPr>
        <w:pStyle w:val="BodyText"/>
        <w:rPr>
          <w:b/>
          <w:bCs/>
        </w:rPr>
      </w:pPr>
      <w:r w:rsidRPr="005D480E">
        <w:rPr>
          <w:b/>
          <w:bCs/>
        </w:rPr>
        <w:t>Texas</w:t>
      </w:r>
      <w:r w:rsidRPr="005D480E">
        <w:rPr>
          <w:b/>
          <w:bCs/>
          <w:spacing w:val="-5"/>
        </w:rPr>
        <w:t xml:space="preserve"> </w:t>
      </w:r>
      <w:r w:rsidRPr="005D480E">
        <w:rPr>
          <w:b/>
          <w:bCs/>
        </w:rPr>
        <w:t>Transition</w:t>
      </w:r>
      <w:r w:rsidRPr="005D480E">
        <w:rPr>
          <w:b/>
          <w:bCs/>
          <w:spacing w:val="-6"/>
        </w:rPr>
        <w:t xml:space="preserve"> </w:t>
      </w:r>
      <w:r w:rsidRPr="005D480E">
        <w:rPr>
          <w:b/>
          <w:bCs/>
        </w:rPr>
        <w:t>Alliance</w:t>
      </w:r>
    </w:p>
    <w:p w14:paraId="75E023B1" w14:textId="77777777" w:rsidR="006420CB" w:rsidRPr="000F25DC" w:rsidRDefault="006420CB" w:rsidP="005D480E">
      <w:pPr>
        <w:pStyle w:val="BodyText"/>
      </w:pPr>
      <w:r w:rsidRPr="000F25DC">
        <w:t>The</w:t>
      </w:r>
      <w:r w:rsidRPr="000F25DC">
        <w:rPr>
          <w:spacing w:val="-5"/>
        </w:rPr>
        <w:t xml:space="preserve"> </w:t>
      </w:r>
      <w:r w:rsidRPr="000F25DC">
        <w:t>Alliance</w:t>
      </w:r>
      <w:r w:rsidRPr="000F25DC">
        <w:rPr>
          <w:spacing w:val="-5"/>
        </w:rPr>
        <w:t xml:space="preserve"> </w:t>
      </w:r>
      <w:r w:rsidRPr="000F25DC">
        <w:t>meetings</w:t>
      </w:r>
      <w:r w:rsidRPr="000F25DC">
        <w:rPr>
          <w:spacing w:val="-6"/>
        </w:rPr>
        <w:t xml:space="preserve"> </w:t>
      </w:r>
      <w:r w:rsidRPr="000F25DC">
        <w:t>allow</w:t>
      </w:r>
      <w:r w:rsidRPr="000F25DC">
        <w:rPr>
          <w:spacing w:val="-5"/>
        </w:rPr>
        <w:t xml:space="preserve"> </w:t>
      </w:r>
      <w:r w:rsidRPr="000F25DC">
        <w:t>military</w:t>
      </w:r>
      <w:r w:rsidRPr="000F25DC">
        <w:rPr>
          <w:spacing w:val="-7"/>
        </w:rPr>
        <w:t xml:space="preserve"> </w:t>
      </w:r>
      <w:r w:rsidRPr="000F25DC">
        <w:t>transition</w:t>
      </w:r>
      <w:r w:rsidRPr="000F25DC">
        <w:rPr>
          <w:spacing w:val="-7"/>
        </w:rPr>
        <w:t xml:space="preserve"> </w:t>
      </w:r>
      <w:r w:rsidRPr="000F25DC">
        <w:t>centers</w:t>
      </w:r>
      <w:r w:rsidRPr="000F25DC">
        <w:rPr>
          <w:spacing w:val="-6"/>
        </w:rPr>
        <w:t xml:space="preserve"> </w:t>
      </w:r>
      <w:r w:rsidRPr="000F25DC">
        <w:t>and</w:t>
      </w:r>
      <w:r w:rsidRPr="000F25DC">
        <w:rPr>
          <w:spacing w:val="-7"/>
        </w:rPr>
        <w:t xml:space="preserve"> </w:t>
      </w:r>
      <w:r w:rsidRPr="000F25DC">
        <w:t>Boards</w:t>
      </w:r>
      <w:r w:rsidRPr="000F25DC">
        <w:rPr>
          <w:spacing w:val="-6"/>
        </w:rPr>
        <w:t xml:space="preserve"> </w:t>
      </w:r>
      <w:r w:rsidRPr="000F25DC">
        <w:t>to</w:t>
      </w:r>
      <w:r w:rsidRPr="000F25DC">
        <w:rPr>
          <w:spacing w:val="-5"/>
        </w:rPr>
        <w:t xml:space="preserve"> </w:t>
      </w:r>
      <w:r w:rsidRPr="000F25DC">
        <w:t>highlight</w:t>
      </w:r>
      <w:r w:rsidRPr="000F25DC">
        <w:rPr>
          <w:spacing w:val="-5"/>
        </w:rPr>
        <w:t xml:space="preserve"> </w:t>
      </w:r>
      <w:r w:rsidRPr="000F25DC">
        <w:t>their</w:t>
      </w:r>
      <w:r w:rsidRPr="000F25DC">
        <w:rPr>
          <w:spacing w:val="-6"/>
        </w:rPr>
        <w:t xml:space="preserve"> </w:t>
      </w:r>
      <w:r w:rsidRPr="000F25DC">
        <w:t>best practices and discuss current issues and challenges they are facing.</w:t>
      </w:r>
    </w:p>
    <w:p w14:paraId="32C62F0B" w14:textId="77777777" w:rsidR="006420CB" w:rsidRPr="000F25DC" w:rsidRDefault="006420CB" w:rsidP="005D480E">
      <w:pPr>
        <w:pStyle w:val="BodyText"/>
      </w:pPr>
      <w:r w:rsidRPr="000F25DC">
        <w:t>An</w:t>
      </w:r>
      <w:r w:rsidRPr="000F25DC">
        <w:rPr>
          <w:spacing w:val="-3"/>
        </w:rPr>
        <w:t xml:space="preserve"> </w:t>
      </w:r>
      <w:r w:rsidRPr="000F25DC">
        <w:t>example</w:t>
      </w:r>
      <w:r w:rsidRPr="000F25DC">
        <w:rPr>
          <w:spacing w:val="-1"/>
        </w:rPr>
        <w:t xml:space="preserve"> </w:t>
      </w:r>
      <w:r w:rsidRPr="000F25DC">
        <w:t>of a best</w:t>
      </w:r>
      <w:r w:rsidRPr="000F25DC">
        <w:rPr>
          <w:spacing w:val="-1"/>
        </w:rPr>
        <w:t xml:space="preserve"> </w:t>
      </w:r>
      <w:r w:rsidRPr="000F25DC">
        <w:t>practice</w:t>
      </w:r>
      <w:r w:rsidRPr="000F25DC">
        <w:rPr>
          <w:spacing w:val="-1"/>
        </w:rPr>
        <w:t xml:space="preserve"> </w:t>
      </w:r>
      <w:r w:rsidRPr="000F25DC">
        <w:t>adopted</w:t>
      </w:r>
      <w:r w:rsidRPr="000F25DC">
        <w:rPr>
          <w:spacing w:val="-5"/>
        </w:rPr>
        <w:t xml:space="preserve"> </w:t>
      </w:r>
      <w:r w:rsidRPr="000F25DC">
        <w:t>by</w:t>
      </w:r>
      <w:r w:rsidRPr="000F25DC">
        <w:rPr>
          <w:spacing w:val="-3"/>
        </w:rPr>
        <w:t xml:space="preserve"> </w:t>
      </w:r>
      <w:r w:rsidRPr="000F25DC">
        <w:t>the</w:t>
      </w:r>
      <w:r w:rsidRPr="000F25DC">
        <w:rPr>
          <w:spacing w:val="-1"/>
        </w:rPr>
        <w:t xml:space="preserve"> </w:t>
      </w:r>
      <w:r w:rsidRPr="000F25DC">
        <w:t>Alliance</w:t>
      </w:r>
      <w:r w:rsidRPr="000F25DC">
        <w:rPr>
          <w:spacing w:val="-4"/>
        </w:rPr>
        <w:t xml:space="preserve"> </w:t>
      </w:r>
      <w:r w:rsidRPr="000F25DC">
        <w:t>is the</w:t>
      </w:r>
      <w:r w:rsidRPr="000F25DC">
        <w:rPr>
          <w:spacing w:val="-1"/>
        </w:rPr>
        <w:t xml:space="preserve"> </w:t>
      </w:r>
      <w:r w:rsidRPr="000F25DC">
        <w:t>use</w:t>
      </w:r>
      <w:r w:rsidRPr="000F25DC">
        <w:rPr>
          <w:spacing w:val="-1"/>
        </w:rPr>
        <w:t xml:space="preserve"> </w:t>
      </w:r>
      <w:r w:rsidRPr="000F25DC">
        <w:t>of</w:t>
      </w:r>
      <w:r w:rsidRPr="000F25DC">
        <w:rPr>
          <w:spacing w:val="-4"/>
        </w:rPr>
        <w:t xml:space="preserve"> </w:t>
      </w:r>
      <w:r w:rsidRPr="000F25DC">
        <w:t>a needs assessment</w:t>
      </w:r>
      <w:r w:rsidRPr="000F25DC">
        <w:rPr>
          <w:spacing w:val="-1"/>
        </w:rPr>
        <w:t xml:space="preserve"> </w:t>
      </w:r>
      <w:r w:rsidRPr="000F25DC">
        <w:t>for TSMs and</w:t>
      </w:r>
      <w:r w:rsidRPr="000F25DC">
        <w:rPr>
          <w:spacing w:val="-6"/>
        </w:rPr>
        <w:t xml:space="preserve"> </w:t>
      </w:r>
      <w:r w:rsidRPr="000F25DC">
        <w:t>military</w:t>
      </w:r>
      <w:r w:rsidRPr="000F25DC">
        <w:rPr>
          <w:spacing w:val="-6"/>
        </w:rPr>
        <w:t xml:space="preserve"> </w:t>
      </w:r>
      <w:r w:rsidRPr="000F25DC">
        <w:t>spouses</w:t>
      </w:r>
      <w:r w:rsidRPr="000F25DC">
        <w:rPr>
          <w:spacing w:val="-5"/>
        </w:rPr>
        <w:t xml:space="preserve"> </w:t>
      </w:r>
      <w:r w:rsidRPr="000F25DC">
        <w:t>by</w:t>
      </w:r>
      <w:r w:rsidRPr="000F25DC">
        <w:rPr>
          <w:spacing w:val="-4"/>
        </w:rPr>
        <w:t xml:space="preserve"> </w:t>
      </w:r>
      <w:r w:rsidRPr="000F25DC">
        <w:t>several</w:t>
      </w:r>
      <w:r w:rsidRPr="000F25DC">
        <w:rPr>
          <w:spacing w:val="-5"/>
        </w:rPr>
        <w:t xml:space="preserve"> </w:t>
      </w:r>
      <w:r w:rsidRPr="000F25DC">
        <w:t>military</w:t>
      </w:r>
      <w:r w:rsidRPr="000F25DC">
        <w:rPr>
          <w:spacing w:val="-4"/>
        </w:rPr>
        <w:t xml:space="preserve"> </w:t>
      </w:r>
      <w:r w:rsidRPr="000F25DC">
        <w:t>installations.</w:t>
      </w:r>
      <w:r w:rsidRPr="000F25DC">
        <w:rPr>
          <w:spacing w:val="-8"/>
        </w:rPr>
        <w:t xml:space="preserve"> </w:t>
      </w:r>
      <w:r w:rsidRPr="000F25DC">
        <w:t>The</w:t>
      </w:r>
      <w:r w:rsidRPr="000F25DC">
        <w:rPr>
          <w:spacing w:val="-4"/>
        </w:rPr>
        <w:t xml:space="preserve"> </w:t>
      </w:r>
      <w:r w:rsidRPr="000F25DC">
        <w:t>assessments</w:t>
      </w:r>
      <w:r w:rsidRPr="000F25DC">
        <w:rPr>
          <w:spacing w:val="-5"/>
        </w:rPr>
        <w:t xml:space="preserve"> </w:t>
      </w:r>
      <w:r w:rsidRPr="000F25DC">
        <w:t>help</w:t>
      </w:r>
      <w:r w:rsidRPr="000F25DC">
        <w:rPr>
          <w:spacing w:val="-6"/>
        </w:rPr>
        <w:t xml:space="preserve"> </w:t>
      </w:r>
      <w:r w:rsidRPr="000F25DC">
        <w:t>highlight</w:t>
      </w:r>
      <w:r w:rsidRPr="000F25DC">
        <w:rPr>
          <w:spacing w:val="-4"/>
        </w:rPr>
        <w:t xml:space="preserve"> </w:t>
      </w:r>
      <w:r w:rsidRPr="000F25DC">
        <w:t>the</w:t>
      </w:r>
      <w:r w:rsidRPr="000F25DC">
        <w:rPr>
          <w:spacing w:val="-4"/>
        </w:rPr>
        <w:t xml:space="preserve"> </w:t>
      </w:r>
      <w:r w:rsidRPr="000F25DC">
        <w:t>types</w:t>
      </w:r>
      <w:r w:rsidRPr="000F25DC">
        <w:rPr>
          <w:spacing w:val="-7"/>
        </w:rPr>
        <w:t xml:space="preserve"> </w:t>
      </w:r>
      <w:r w:rsidRPr="000F25DC">
        <w:t>of training, certiﬁcations, and licensures that TSMs and military spouses are seeking. These assessments also identify gaps in services provided by the Texas workforce system.</w:t>
      </w:r>
    </w:p>
    <w:p w14:paraId="780788A4" w14:textId="77777777" w:rsidR="006420CB" w:rsidRPr="005D480E" w:rsidRDefault="006420CB" w:rsidP="005D480E">
      <w:pPr>
        <w:pStyle w:val="BodyText"/>
        <w:rPr>
          <w:b/>
          <w:bCs/>
        </w:rPr>
      </w:pPr>
      <w:r w:rsidRPr="005D480E">
        <w:rPr>
          <w:b/>
          <w:bCs/>
        </w:rPr>
        <w:t>Statewide</w:t>
      </w:r>
      <w:r w:rsidRPr="005D480E">
        <w:rPr>
          <w:b/>
          <w:bCs/>
          <w:spacing w:val="-12"/>
        </w:rPr>
        <w:t xml:space="preserve"> </w:t>
      </w:r>
      <w:r w:rsidRPr="005D480E">
        <w:rPr>
          <w:b/>
          <w:bCs/>
        </w:rPr>
        <w:t>Program</w:t>
      </w:r>
      <w:r w:rsidRPr="005D480E">
        <w:rPr>
          <w:b/>
          <w:bCs/>
          <w:spacing w:val="-9"/>
        </w:rPr>
        <w:t xml:space="preserve"> </w:t>
      </w:r>
      <w:r w:rsidRPr="005D480E">
        <w:rPr>
          <w:b/>
          <w:bCs/>
        </w:rPr>
        <w:t>to</w:t>
      </w:r>
      <w:r w:rsidRPr="005D480E">
        <w:rPr>
          <w:b/>
          <w:bCs/>
          <w:spacing w:val="-11"/>
        </w:rPr>
        <w:t xml:space="preserve"> </w:t>
      </w:r>
      <w:r w:rsidRPr="005D480E">
        <w:rPr>
          <w:b/>
          <w:bCs/>
        </w:rPr>
        <w:t>Transition</w:t>
      </w:r>
      <w:r w:rsidRPr="005D480E">
        <w:rPr>
          <w:b/>
          <w:bCs/>
          <w:spacing w:val="-11"/>
        </w:rPr>
        <w:t xml:space="preserve"> </w:t>
      </w:r>
      <w:r w:rsidRPr="005D480E">
        <w:rPr>
          <w:b/>
          <w:bCs/>
        </w:rPr>
        <w:t>from</w:t>
      </w:r>
      <w:r w:rsidRPr="005D480E">
        <w:rPr>
          <w:b/>
          <w:bCs/>
          <w:spacing w:val="-9"/>
        </w:rPr>
        <w:t xml:space="preserve"> </w:t>
      </w:r>
      <w:r w:rsidRPr="005D480E">
        <w:rPr>
          <w:b/>
          <w:bCs/>
        </w:rPr>
        <w:t>Military</w:t>
      </w:r>
      <w:r w:rsidRPr="005D480E">
        <w:rPr>
          <w:b/>
          <w:bCs/>
          <w:spacing w:val="-9"/>
        </w:rPr>
        <w:t xml:space="preserve"> </w:t>
      </w:r>
      <w:r w:rsidRPr="005D480E">
        <w:rPr>
          <w:b/>
          <w:bCs/>
        </w:rPr>
        <w:t>to</w:t>
      </w:r>
      <w:r w:rsidRPr="005D480E">
        <w:rPr>
          <w:b/>
          <w:bCs/>
          <w:spacing w:val="-13"/>
        </w:rPr>
        <w:t xml:space="preserve"> </w:t>
      </w:r>
      <w:r w:rsidRPr="005D480E">
        <w:rPr>
          <w:b/>
          <w:bCs/>
        </w:rPr>
        <w:t>Civilian</w:t>
      </w:r>
      <w:r w:rsidRPr="005D480E">
        <w:rPr>
          <w:b/>
          <w:bCs/>
          <w:spacing w:val="-11"/>
        </w:rPr>
        <w:t xml:space="preserve"> </w:t>
      </w:r>
      <w:r w:rsidRPr="005D480E">
        <w:rPr>
          <w:b/>
          <w:bCs/>
          <w:spacing w:val="-2"/>
        </w:rPr>
        <w:t>Employment</w:t>
      </w:r>
    </w:p>
    <w:p w14:paraId="5411FF00" w14:textId="77777777" w:rsidR="006420CB" w:rsidRPr="000F25DC" w:rsidRDefault="006420CB" w:rsidP="005D480E">
      <w:pPr>
        <w:pStyle w:val="BodyText"/>
      </w:pPr>
      <w:r w:rsidRPr="000F25DC">
        <w:t>As</w:t>
      </w:r>
      <w:r w:rsidRPr="000F25DC">
        <w:rPr>
          <w:spacing w:val="-6"/>
        </w:rPr>
        <w:t xml:space="preserve"> </w:t>
      </w:r>
      <w:r w:rsidRPr="000F25DC">
        <w:t>of</w:t>
      </w:r>
      <w:r w:rsidRPr="000F25DC">
        <w:rPr>
          <w:spacing w:val="-8"/>
        </w:rPr>
        <w:t xml:space="preserve"> </w:t>
      </w:r>
      <w:r w:rsidRPr="000F25DC">
        <w:t>May</w:t>
      </w:r>
      <w:r w:rsidRPr="000F25DC">
        <w:rPr>
          <w:spacing w:val="-7"/>
        </w:rPr>
        <w:t xml:space="preserve"> </w:t>
      </w:r>
      <w:r w:rsidRPr="000F25DC">
        <w:t>29,</w:t>
      </w:r>
      <w:r w:rsidRPr="000F25DC">
        <w:rPr>
          <w:spacing w:val="-8"/>
        </w:rPr>
        <w:t xml:space="preserve"> </w:t>
      </w:r>
      <w:r w:rsidRPr="000F25DC">
        <w:t>2025,</w:t>
      </w:r>
      <w:r w:rsidRPr="000F25DC">
        <w:rPr>
          <w:spacing w:val="-6"/>
        </w:rPr>
        <w:t xml:space="preserve"> </w:t>
      </w:r>
      <w:r w:rsidRPr="000F25DC">
        <w:t>six</w:t>
      </w:r>
      <w:r w:rsidRPr="000F25DC">
        <w:rPr>
          <w:spacing w:val="-8"/>
        </w:rPr>
        <w:t xml:space="preserve"> </w:t>
      </w:r>
      <w:r w:rsidRPr="000F25DC">
        <w:t>Board</w:t>
      </w:r>
      <w:r w:rsidRPr="000F25DC">
        <w:rPr>
          <w:spacing w:val="-7"/>
        </w:rPr>
        <w:t xml:space="preserve"> </w:t>
      </w:r>
      <w:r w:rsidRPr="000F25DC">
        <w:t>areas</w:t>
      </w:r>
      <w:r w:rsidRPr="000F25DC">
        <w:rPr>
          <w:spacing w:val="-8"/>
        </w:rPr>
        <w:t xml:space="preserve"> </w:t>
      </w:r>
      <w:r w:rsidRPr="000F25DC">
        <w:t>have</w:t>
      </w:r>
      <w:r w:rsidRPr="000F25DC">
        <w:rPr>
          <w:spacing w:val="-5"/>
        </w:rPr>
        <w:t xml:space="preserve"> </w:t>
      </w:r>
      <w:r w:rsidRPr="000F25DC">
        <w:t>been</w:t>
      </w:r>
      <w:r w:rsidRPr="000F25DC">
        <w:rPr>
          <w:spacing w:val="-7"/>
        </w:rPr>
        <w:t xml:space="preserve"> </w:t>
      </w:r>
      <w:r w:rsidRPr="000F25DC">
        <w:t>approved</w:t>
      </w:r>
      <w:r w:rsidRPr="000F25DC">
        <w:rPr>
          <w:spacing w:val="-7"/>
        </w:rPr>
        <w:t xml:space="preserve"> </w:t>
      </w:r>
      <w:r w:rsidRPr="000F25DC">
        <w:t>for</w:t>
      </w:r>
      <w:r w:rsidRPr="000F25DC">
        <w:rPr>
          <w:spacing w:val="-6"/>
        </w:rPr>
        <w:t xml:space="preserve"> </w:t>
      </w:r>
      <w:r w:rsidRPr="000F25DC">
        <w:t>this</w:t>
      </w:r>
      <w:r w:rsidRPr="000F25DC">
        <w:rPr>
          <w:spacing w:val="-6"/>
        </w:rPr>
        <w:t xml:space="preserve"> </w:t>
      </w:r>
      <w:r w:rsidRPr="000F25DC">
        <w:t>grant</w:t>
      </w:r>
      <w:r w:rsidRPr="000F25DC">
        <w:rPr>
          <w:spacing w:val="-8"/>
        </w:rPr>
        <w:t xml:space="preserve"> </w:t>
      </w:r>
      <w:r w:rsidRPr="000F25DC">
        <w:t>funding.</w:t>
      </w:r>
      <w:r w:rsidRPr="00D57D0A">
        <w:t xml:space="preserve">  </w:t>
      </w:r>
      <w:r w:rsidRPr="000F25DC">
        <w:t>Two</w:t>
      </w:r>
      <w:r w:rsidRPr="000F25DC">
        <w:rPr>
          <w:spacing w:val="-12"/>
        </w:rPr>
        <w:t xml:space="preserve"> </w:t>
      </w:r>
      <w:r w:rsidRPr="000F25DC">
        <w:t>Board</w:t>
      </w:r>
      <w:r w:rsidRPr="000F25DC">
        <w:rPr>
          <w:spacing w:val="-9"/>
        </w:rPr>
        <w:t xml:space="preserve"> </w:t>
      </w:r>
      <w:r w:rsidRPr="000F25DC">
        <w:t>areas</w:t>
      </w:r>
      <w:r w:rsidRPr="000F25DC">
        <w:rPr>
          <w:spacing w:val="-9"/>
        </w:rPr>
        <w:t xml:space="preserve"> </w:t>
      </w:r>
      <w:r w:rsidRPr="000F25DC">
        <w:t>have</w:t>
      </w:r>
      <w:r w:rsidRPr="000F25DC">
        <w:rPr>
          <w:spacing w:val="-10"/>
        </w:rPr>
        <w:t xml:space="preserve"> </w:t>
      </w:r>
      <w:r w:rsidRPr="000F25DC">
        <w:t>received</w:t>
      </w:r>
      <w:r w:rsidRPr="000F25DC">
        <w:rPr>
          <w:spacing w:val="-10"/>
        </w:rPr>
        <w:t xml:space="preserve"> </w:t>
      </w:r>
      <w:r w:rsidRPr="000F25DC">
        <w:t>funding</w:t>
      </w:r>
      <w:r w:rsidRPr="000F25DC">
        <w:rPr>
          <w:spacing w:val="-9"/>
        </w:rPr>
        <w:t xml:space="preserve"> </w:t>
      </w:r>
      <w:r w:rsidRPr="000F25DC">
        <w:t>and</w:t>
      </w:r>
      <w:r w:rsidRPr="000F25DC">
        <w:rPr>
          <w:spacing w:val="-10"/>
        </w:rPr>
        <w:t xml:space="preserve"> </w:t>
      </w:r>
      <w:r w:rsidRPr="000F25DC">
        <w:t>are</w:t>
      </w:r>
      <w:r w:rsidRPr="000F25DC">
        <w:rPr>
          <w:spacing w:val="-10"/>
        </w:rPr>
        <w:t xml:space="preserve"> </w:t>
      </w:r>
      <w:r w:rsidRPr="000F25DC">
        <w:t>enrolling</w:t>
      </w:r>
      <w:r w:rsidRPr="000F25DC">
        <w:rPr>
          <w:spacing w:val="-10"/>
        </w:rPr>
        <w:t xml:space="preserve"> </w:t>
      </w:r>
      <w:r w:rsidRPr="000F25DC">
        <w:t>TSMs,</w:t>
      </w:r>
      <w:r w:rsidRPr="000F25DC">
        <w:rPr>
          <w:spacing w:val="-8"/>
        </w:rPr>
        <w:t xml:space="preserve"> </w:t>
      </w:r>
      <w:r w:rsidRPr="000F25DC">
        <w:t>recently</w:t>
      </w:r>
      <w:r w:rsidRPr="000F25DC">
        <w:rPr>
          <w:spacing w:val="-10"/>
        </w:rPr>
        <w:t xml:space="preserve"> </w:t>
      </w:r>
      <w:r w:rsidRPr="000F25DC">
        <w:t>separated</w:t>
      </w:r>
      <w:r w:rsidRPr="000F25DC">
        <w:rPr>
          <w:spacing w:val="-9"/>
        </w:rPr>
        <w:t xml:space="preserve"> </w:t>
      </w:r>
      <w:r w:rsidRPr="000F25DC">
        <w:t>veterans,</w:t>
      </w:r>
      <w:r w:rsidRPr="000F25DC">
        <w:rPr>
          <w:spacing w:val="-10"/>
        </w:rPr>
        <w:t xml:space="preserve"> </w:t>
      </w:r>
      <w:r w:rsidRPr="000F25DC">
        <w:rPr>
          <w:spacing w:val="-5"/>
        </w:rPr>
        <w:t>and</w:t>
      </w:r>
      <w:r w:rsidRPr="000F25DC">
        <w:t xml:space="preserve"> military</w:t>
      </w:r>
      <w:r w:rsidRPr="000F25DC">
        <w:rPr>
          <w:spacing w:val="-11"/>
        </w:rPr>
        <w:t xml:space="preserve"> </w:t>
      </w:r>
      <w:r w:rsidRPr="000F25DC">
        <w:t>spouses</w:t>
      </w:r>
      <w:r w:rsidRPr="000F25DC">
        <w:rPr>
          <w:spacing w:val="-8"/>
        </w:rPr>
        <w:t xml:space="preserve"> </w:t>
      </w:r>
      <w:r w:rsidRPr="000F25DC">
        <w:t>into</w:t>
      </w:r>
      <w:r w:rsidRPr="000F25DC">
        <w:rPr>
          <w:spacing w:val="-9"/>
        </w:rPr>
        <w:t xml:space="preserve"> </w:t>
      </w:r>
      <w:r w:rsidRPr="000F25DC">
        <w:t>training</w:t>
      </w:r>
      <w:r w:rsidRPr="000F25DC">
        <w:rPr>
          <w:spacing w:val="-9"/>
        </w:rPr>
        <w:t xml:space="preserve"> </w:t>
      </w:r>
      <w:r w:rsidRPr="000F25DC">
        <w:t>or</w:t>
      </w:r>
      <w:r w:rsidRPr="000F25DC">
        <w:rPr>
          <w:spacing w:val="-8"/>
        </w:rPr>
        <w:t xml:space="preserve"> </w:t>
      </w:r>
      <w:r w:rsidRPr="000F25DC">
        <w:t>have</w:t>
      </w:r>
      <w:r w:rsidRPr="000F25DC">
        <w:rPr>
          <w:spacing w:val="-9"/>
        </w:rPr>
        <w:t xml:space="preserve"> </w:t>
      </w:r>
      <w:r w:rsidRPr="000F25DC">
        <w:t>started</w:t>
      </w:r>
      <w:r w:rsidRPr="000F25DC">
        <w:rPr>
          <w:spacing w:val="-9"/>
        </w:rPr>
        <w:t xml:space="preserve"> </w:t>
      </w:r>
      <w:r w:rsidRPr="000F25DC">
        <w:t>providing</w:t>
      </w:r>
      <w:r w:rsidRPr="000F25DC">
        <w:rPr>
          <w:spacing w:val="-9"/>
        </w:rPr>
        <w:t xml:space="preserve"> </w:t>
      </w:r>
      <w:r w:rsidRPr="000F25DC">
        <w:t>supportive</w:t>
      </w:r>
      <w:r w:rsidRPr="000F25DC">
        <w:rPr>
          <w:spacing w:val="-9"/>
        </w:rPr>
        <w:t xml:space="preserve"> </w:t>
      </w:r>
      <w:r w:rsidRPr="000F25DC">
        <w:rPr>
          <w:spacing w:val="-2"/>
        </w:rPr>
        <w:t>services.</w:t>
      </w:r>
    </w:p>
    <w:p w14:paraId="66E76DF1" w14:textId="77777777" w:rsidR="006420CB" w:rsidRPr="005D480E" w:rsidRDefault="006420CB" w:rsidP="005D480E">
      <w:pPr>
        <w:pStyle w:val="BodyText"/>
        <w:rPr>
          <w:b/>
          <w:bCs/>
        </w:rPr>
      </w:pPr>
      <w:r w:rsidRPr="005D480E">
        <w:rPr>
          <w:b/>
          <w:bCs/>
        </w:rPr>
        <w:t>Texas Veterans Network</w:t>
      </w:r>
    </w:p>
    <w:p w14:paraId="5771B301" w14:textId="340B76B6" w:rsidR="006420CB" w:rsidRPr="0073626F" w:rsidRDefault="006420CB" w:rsidP="005D480E">
      <w:pPr>
        <w:pStyle w:val="BodyText"/>
      </w:pPr>
      <w:r w:rsidRPr="0073626F">
        <w:t>Performance</w:t>
      </w:r>
      <w:r w:rsidRPr="000B1C3D">
        <w:rPr>
          <w:spacing w:val="-8"/>
        </w:rPr>
        <w:t xml:space="preserve"> </w:t>
      </w:r>
      <w:r w:rsidRPr="0073626F">
        <w:t>highlights for April</w:t>
      </w:r>
      <w:r w:rsidRPr="000B1C3D">
        <w:rPr>
          <w:spacing w:val="-8"/>
        </w:rPr>
        <w:t xml:space="preserve"> </w:t>
      </w:r>
      <w:r w:rsidRPr="0073626F">
        <w:t>1,</w:t>
      </w:r>
      <w:r w:rsidRPr="000B1C3D">
        <w:rPr>
          <w:spacing w:val="-9"/>
        </w:rPr>
        <w:t xml:space="preserve"> </w:t>
      </w:r>
      <w:proofErr w:type="gramStart"/>
      <w:r w:rsidRPr="0073626F">
        <w:t>2023</w:t>
      </w:r>
      <w:proofErr w:type="gramEnd"/>
      <w:r w:rsidRPr="0073626F">
        <w:t xml:space="preserve"> through Dec</w:t>
      </w:r>
      <w:r w:rsidR="00BC536B">
        <w:t>.</w:t>
      </w:r>
      <w:r w:rsidRPr="000B1C3D">
        <w:rPr>
          <w:spacing w:val="-9"/>
        </w:rPr>
        <w:t xml:space="preserve"> </w:t>
      </w:r>
      <w:r w:rsidRPr="0073626F">
        <w:t>31,</w:t>
      </w:r>
      <w:r w:rsidRPr="000B1C3D">
        <w:rPr>
          <w:spacing w:val="-8"/>
        </w:rPr>
        <w:t xml:space="preserve"> </w:t>
      </w:r>
      <w:r w:rsidRPr="0073626F">
        <w:t>2024 are included in the chart below.</w:t>
      </w:r>
    </w:p>
    <w:tbl>
      <w:tblPr>
        <w:tblStyle w:val="TableGrid1"/>
        <w:tblW w:w="0" w:type="auto"/>
        <w:tblLayout w:type="fixed"/>
        <w:tblLook w:val="01E0" w:firstRow="1" w:lastRow="1" w:firstColumn="1" w:lastColumn="1" w:noHBand="0" w:noVBand="0"/>
      </w:tblPr>
      <w:tblGrid>
        <w:gridCol w:w="5246"/>
        <w:gridCol w:w="1639"/>
        <w:gridCol w:w="1639"/>
      </w:tblGrid>
      <w:tr w:rsidR="0053702C" w:rsidRPr="000F25DC" w14:paraId="4EA2295F" w14:textId="77777777" w:rsidTr="0053702C">
        <w:trPr>
          <w:trHeight w:val="1075"/>
        </w:trPr>
        <w:tc>
          <w:tcPr>
            <w:tcW w:w="5246" w:type="dxa"/>
            <w:shd w:val="clear" w:color="auto" w:fill="B8CCE4" w:themeFill="accent1" w:themeFillTint="66"/>
            <w:vAlign w:val="center"/>
          </w:tcPr>
          <w:p w14:paraId="0747D8E1" w14:textId="77777777" w:rsidR="006420CB" w:rsidRDefault="006420CB" w:rsidP="0053702C">
            <w:pPr>
              <w:pStyle w:val="TableHeaders"/>
              <w:rPr>
                <w:bCs/>
                <w:spacing w:val="-2"/>
              </w:rPr>
            </w:pPr>
            <w:r w:rsidRPr="00B64474">
              <w:t>Quarterly</w:t>
            </w:r>
            <w:r w:rsidRPr="00B64474">
              <w:rPr>
                <w:spacing w:val="-9"/>
              </w:rPr>
              <w:t xml:space="preserve"> </w:t>
            </w:r>
            <w:r w:rsidRPr="00B64474">
              <w:t>Outcome</w:t>
            </w:r>
            <w:r w:rsidRPr="00B64474">
              <w:rPr>
                <w:spacing w:val="-11"/>
              </w:rPr>
              <w:t xml:space="preserve"> </w:t>
            </w:r>
            <w:r w:rsidRPr="00B64474">
              <w:rPr>
                <w:spacing w:val="-2"/>
              </w:rPr>
              <w:t>Measures</w:t>
            </w:r>
          </w:p>
          <w:p w14:paraId="6A57EB3B" w14:textId="77777777" w:rsidR="006420CB" w:rsidRPr="00B64474" w:rsidRDefault="006420CB" w:rsidP="0053702C">
            <w:pPr>
              <w:pStyle w:val="TableHeaders"/>
            </w:pPr>
            <w:r>
              <w:rPr>
                <w:bCs/>
                <w:spacing w:val="-2"/>
              </w:rPr>
              <w:t>Texas Veterans Network</w:t>
            </w:r>
          </w:p>
        </w:tc>
        <w:tc>
          <w:tcPr>
            <w:tcW w:w="1639" w:type="dxa"/>
            <w:shd w:val="clear" w:color="auto" w:fill="B8CCE4" w:themeFill="accent1" w:themeFillTint="66"/>
            <w:vAlign w:val="center"/>
          </w:tcPr>
          <w:p w14:paraId="49E818D0" w14:textId="77777777" w:rsidR="006420CB" w:rsidRPr="00B64474" w:rsidRDefault="006420CB" w:rsidP="0053702C">
            <w:pPr>
              <w:pStyle w:val="TableHeaders"/>
            </w:pPr>
            <w:r w:rsidRPr="00B64474">
              <w:rPr>
                <w:spacing w:val="-2"/>
              </w:rPr>
              <w:t>TARGET</w:t>
            </w:r>
          </w:p>
        </w:tc>
        <w:tc>
          <w:tcPr>
            <w:tcW w:w="1639" w:type="dxa"/>
            <w:shd w:val="clear" w:color="auto" w:fill="B8CCE4" w:themeFill="accent1" w:themeFillTint="66"/>
            <w:vAlign w:val="center"/>
          </w:tcPr>
          <w:p w14:paraId="680CD05B" w14:textId="77777777" w:rsidR="006420CB" w:rsidRPr="00B64474" w:rsidRDefault="006420CB" w:rsidP="0053702C">
            <w:pPr>
              <w:pStyle w:val="TableHeaders"/>
            </w:pPr>
            <w:r w:rsidRPr="00B64474">
              <w:rPr>
                <w:spacing w:val="-2"/>
              </w:rPr>
              <w:t>RESULTS</w:t>
            </w:r>
          </w:p>
        </w:tc>
      </w:tr>
      <w:tr w:rsidR="006420CB" w:rsidRPr="000F25DC" w14:paraId="7C5110B0" w14:textId="77777777" w:rsidTr="0053702C">
        <w:trPr>
          <w:trHeight w:val="584"/>
        </w:trPr>
        <w:tc>
          <w:tcPr>
            <w:tcW w:w="5246" w:type="dxa"/>
            <w:vAlign w:val="center"/>
          </w:tcPr>
          <w:p w14:paraId="3E19F415" w14:textId="77777777" w:rsidR="006420CB" w:rsidRPr="000F25DC" w:rsidRDefault="006420CB" w:rsidP="0053702C">
            <w:pPr>
              <w:pStyle w:val="TableText"/>
            </w:pPr>
            <w:r w:rsidRPr="000F25DC">
              <w:t>Total</w:t>
            </w:r>
            <w:r w:rsidRPr="000F25DC">
              <w:rPr>
                <w:spacing w:val="-11"/>
              </w:rPr>
              <w:t xml:space="preserve"> </w:t>
            </w:r>
            <w:r w:rsidRPr="000F25DC">
              <w:t>Number</w:t>
            </w:r>
            <w:r w:rsidRPr="000F25DC">
              <w:rPr>
                <w:spacing w:val="-13"/>
              </w:rPr>
              <w:t xml:space="preserve"> </w:t>
            </w:r>
            <w:r w:rsidRPr="000F25DC">
              <w:t>of</w:t>
            </w:r>
            <w:r w:rsidRPr="000F25DC">
              <w:rPr>
                <w:spacing w:val="-10"/>
              </w:rPr>
              <w:t xml:space="preserve"> </w:t>
            </w:r>
            <w:r w:rsidRPr="000F25DC">
              <w:t>Organizations</w:t>
            </w:r>
            <w:r w:rsidRPr="000F25DC">
              <w:rPr>
                <w:spacing w:val="-11"/>
              </w:rPr>
              <w:t xml:space="preserve"> </w:t>
            </w:r>
            <w:r w:rsidRPr="000F25DC">
              <w:t>in</w:t>
            </w:r>
            <w:r w:rsidRPr="000F25DC">
              <w:rPr>
                <w:spacing w:val="-12"/>
              </w:rPr>
              <w:t xml:space="preserve"> </w:t>
            </w:r>
            <w:r>
              <w:rPr>
                <w:spacing w:val="-2"/>
              </w:rPr>
              <w:t>N</w:t>
            </w:r>
            <w:r w:rsidRPr="000F25DC">
              <w:rPr>
                <w:spacing w:val="-2"/>
              </w:rPr>
              <w:t>etwork</w:t>
            </w:r>
          </w:p>
        </w:tc>
        <w:tc>
          <w:tcPr>
            <w:tcW w:w="1639" w:type="dxa"/>
            <w:vAlign w:val="center"/>
          </w:tcPr>
          <w:p w14:paraId="04B5A9EA" w14:textId="77777777" w:rsidR="006420CB" w:rsidRPr="000F25DC" w:rsidRDefault="006420CB" w:rsidP="0053702C">
            <w:pPr>
              <w:pStyle w:val="TableText"/>
              <w:jc w:val="right"/>
            </w:pPr>
            <w:r w:rsidRPr="000F25DC">
              <w:rPr>
                <w:spacing w:val="-5"/>
              </w:rPr>
              <w:t>100</w:t>
            </w:r>
          </w:p>
        </w:tc>
        <w:tc>
          <w:tcPr>
            <w:tcW w:w="1639" w:type="dxa"/>
            <w:vAlign w:val="center"/>
          </w:tcPr>
          <w:p w14:paraId="48443925" w14:textId="77777777" w:rsidR="006420CB" w:rsidRPr="000F25DC" w:rsidRDefault="006420CB" w:rsidP="0053702C">
            <w:pPr>
              <w:pStyle w:val="TableText"/>
              <w:jc w:val="right"/>
            </w:pPr>
            <w:r w:rsidRPr="000F25DC">
              <w:rPr>
                <w:spacing w:val="-5"/>
              </w:rPr>
              <w:t>94</w:t>
            </w:r>
          </w:p>
        </w:tc>
      </w:tr>
      <w:tr w:rsidR="006420CB" w:rsidRPr="000F25DC" w14:paraId="793EE007" w14:textId="77777777" w:rsidTr="0053702C">
        <w:trPr>
          <w:trHeight w:val="496"/>
        </w:trPr>
        <w:tc>
          <w:tcPr>
            <w:tcW w:w="5246" w:type="dxa"/>
            <w:vAlign w:val="center"/>
          </w:tcPr>
          <w:p w14:paraId="4CFA1E62" w14:textId="77777777" w:rsidR="006420CB" w:rsidRPr="000F25DC" w:rsidRDefault="006420CB" w:rsidP="0053702C">
            <w:pPr>
              <w:pStyle w:val="TableText"/>
            </w:pPr>
            <w:r w:rsidRPr="000F25DC">
              <w:t>Number</w:t>
            </w:r>
            <w:r w:rsidRPr="000F25DC">
              <w:rPr>
                <w:spacing w:val="-6"/>
              </w:rPr>
              <w:t xml:space="preserve"> </w:t>
            </w:r>
            <w:r w:rsidRPr="000F25DC">
              <w:t>of</w:t>
            </w:r>
            <w:r w:rsidRPr="000F25DC">
              <w:rPr>
                <w:spacing w:val="-5"/>
              </w:rPr>
              <w:t xml:space="preserve"> </w:t>
            </w:r>
            <w:r w:rsidRPr="000F25DC">
              <w:t>Network</w:t>
            </w:r>
            <w:r w:rsidRPr="000F25DC">
              <w:rPr>
                <w:spacing w:val="-7"/>
              </w:rPr>
              <w:t xml:space="preserve"> </w:t>
            </w:r>
            <w:r w:rsidRPr="000F25DC">
              <w:t>Building</w:t>
            </w:r>
            <w:r w:rsidRPr="000F25DC">
              <w:rPr>
                <w:spacing w:val="-6"/>
              </w:rPr>
              <w:t xml:space="preserve"> </w:t>
            </w:r>
            <w:r w:rsidRPr="000F25DC">
              <w:t>Events</w:t>
            </w:r>
            <w:r w:rsidRPr="000F25DC">
              <w:rPr>
                <w:spacing w:val="-5"/>
              </w:rPr>
              <w:t xml:space="preserve"> </w:t>
            </w:r>
            <w:r>
              <w:rPr>
                <w:spacing w:val="-4"/>
              </w:rPr>
              <w:t>H</w:t>
            </w:r>
            <w:r w:rsidRPr="000F25DC">
              <w:rPr>
                <w:spacing w:val="-4"/>
              </w:rPr>
              <w:t>eld</w:t>
            </w:r>
          </w:p>
        </w:tc>
        <w:tc>
          <w:tcPr>
            <w:tcW w:w="1639" w:type="dxa"/>
            <w:vAlign w:val="center"/>
          </w:tcPr>
          <w:p w14:paraId="326C658D" w14:textId="77777777" w:rsidR="006420CB" w:rsidRPr="000F25DC" w:rsidRDefault="006420CB" w:rsidP="0053702C">
            <w:pPr>
              <w:pStyle w:val="TableText"/>
              <w:jc w:val="right"/>
            </w:pPr>
            <w:r w:rsidRPr="000F25DC">
              <w:rPr>
                <w:spacing w:val="-5"/>
              </w:rPr>
              <w:t>250</w:t>
            </w:r>
          </w:p>
        </w:tc>
        <w:tc>
          <w:tcPr>
            <w:tcW w:w="1639" w:type="dxa"/>
            <w:vAlign w:val="center"/>
          </w:tcPr>
          <w:p w14:paraId="0380A4CC" w14:textId="77777777" w:rsidR="006420CB" w:rsidRPr="000F25DC" w:rsidRDefault="006420CB" w:rsidP="0053702C">
            <w:pPr>
              <w:pStyle w:val="TableText"/>
              <w:jc w:val="right"/>
            </w:pPr>
            <w:r w:rsidRPr="000F25DC">
              <w:rPr>
                <w:spacing w:val="-5"/>
              </w:rPr>
              <w:t>236</w:t>
            </w:r>
          </w:p>
        </w:tc>
      </w:tr>
      <w:tr w:rsidR="006420CB" w:rsidRPr="000F25DC" w14:paraId="2DFA85C4" w14:textId="77777777" w:rsidTr="0053702C">
        <w:trPr>
          <w:trHeight w:val="479"/>
        </w:trPr>
        <w:tc>
          <w:tcPr>
            <w:tcW w:w="5246" w:type="dxa"/>
            <w:vAlign w:val="center"/>
          </w:tcPr>
          <w:p w14:paraId="7C25560A" w14:textId="77777777" w:rsidR="006420CB" w:rsidRPr="000F25DC" w:rsidRDefault="006420CB" w:rsidP="0053702C">
            <w:pPr>
              <w:pStyle w:val="TableText"/>
            </w:pPr>
            <w:r w:rsidRPr="000F25DC">
              <w:t>Number</w:t>
            </w:r>
            <w:r w:rsidRPr="000F25DC">
              <w:rPr>
                <w:spacing w:val="-13"/>
              </w:rPr>
              <w:t xml:space="preserve"> </w:t>
            </w:r>
            <w:r w:rsidRPr="000F25DC">
              <w:t>of</w:t>
            </w:r>
            <w:r w:rsidRPr="000F25DC">
              <w:rPr>
                <w:spacing w:val="-12"/>
              </w:rPr>
              <w:t xml:space="preserve"> </w:t>
            </w:r>
            <w:r w:rsidRPr="000F25DC">
              <w:t>Network</w:t>
            </w:r>
            <w:r w:rsidRPr="000F25DC">
              <w:rPr>
                <w:spacing w:val="-12"/>
              </w:rPr>
              <w:t xml:space="preserve"> </w:t>
            </w:r>
            <w:r w:rsidRPr="000F25DC">
              <w:t>Training/Workshops</w:t>
            </w:r>
            <w:r w:rsidRPr="000F25DC">
              <w:rPr>
                <w:spacing w:val="-12"/>
              </w:rPr>
              <w:t xml:space="preserve"> </w:t>
            </w:r>
            <w:r w:rsidRPr="000F25DC">
              <w:rPr>
                <w:spacing w:val="-4"/>
              </w:rPr>
              <w:t>Held</w:t>
            </w:r>
          </w:p>
        </w:tc>
        <w:tc>
          <w:tcPr>
            <w:tcW w:w="1639" w:type="dxa"/>
            <w:vAlign w:val="center"/>
          </w:tcPr>
          <w:p w14:paraId="3F62B43F" w14:textId="77777777" w:rsidR="006420CB" w:rsidRPr="000F25DC" w:rsidRDefault="006420CB" w:rsidP="0053702C">
            <w:pPr>
              <w:pStyle w:val="TableText"/>
              <w:jc w:val="right"/>
            </w:pPr>
            <w:r w:rsidRPr="000F25DC">
              <w:rPr>
                <w:spacing w:val="-5"/>
              </w:rPr>
              <w:t>70</w:t>
            </w:r>
          </w:p>
        </w:tc>
        <w:tc>
          <w:tcPr>
            <w:tcW w:w="1639" w:type="dxa"/>
            <w:vAlign w:val="center"/>
          </w:tcPr>
          <w:p w14:paraId="48A99D0B" w14:textId="77777777" w:rsidR="006420CB" w:rsidRPr="000F25DC" w:rsidRDefault="006420CB" w:rsidP="0053702C">
            <w:pPr>
              <w:pStyle w:val="TableText"/>
              <w:jc w:val="right"/>
            </w:pPr>
            <w:r w:rsidRPr="000F25DC">
              <w:rPr>
                <w:spacing w:val="-5"/>
              </w:rPr>
              <w:t>83</w:t>
            </w:r>
          </w:p>
        </w:tc>
      </w:tr>
      <w:tr w:rsidR="006420CB" w:rsidRPr="000F25DC" w14:paraId="7CE9A147" w14:textId="77777777" w:rsidTr="007C1B01">
        <w:trPr>
          <w:trHeight w:val="890"/>
        </w:trPr>
        <w:tc>
          <w:tcPr>
            <w:tcW w:w="5246" w:type="dxa"/>
            <w:vAlign w:val="center"/>
          </w:tcPr>
          <w:p w14:paraId="7EEA70B6" w14:textId="77777777" w:rsidR="006420CB" w:rsidRPr="000F25DC" w:rsidRDefault="006420CB" w:rsidP="0053702C">
            <w:pPr>
              <w:pStyle w:val="TableText"/>
            </w:pPr>
            <w:r w:rsidRPr="000F25DC">
              <w:t>Number</w:t>
            </w:r>
            <w:r w:rsidRPr="000F25DC">
              <w:rPr>
                <w:spacing w:val="-10"/>
              </w:rPr>
              <w:t xml:space="preserve"> </w:t>
            </w:r>
            <w:r w:rsidRPr="000F25DC">
              <w:t>of</w:t>
            </w:r>
            <w:r w:rsidRPr="000F25DC">
              <w:rPr>
                <w:spacing w:val="-10"/>
              </w:rPr>
              <w:t xml:space="preserve"> </w:t>
            </w:r>
            <w:r w:rsidRPr="000F25DC">
              <w:t>Network</w:t>
            </w:r>
            <w:r w:rsidRPr="000F25DC">
              <w:rPr>
                <w:spacing w:val="-12"/>
              </w:rPr>
              <w:t xml:space="preserve"> </w:t>
            </w:r>
            <w:r w:rsidRPr="000F25DC">
              <w:t>Providers</w:t>
            </w:r>
            <w:r w:rsidRPr="000F25DC">
              <w:rPr>
                <w:spacing w:val="-12"/>
              </w:rPr>
              <w:t xml:space="preserve"> </w:t>
            </w:r>
            <w:r w:rsidRPr="000F25DC">
              <w:t>that</w:t>
            </w:r>
            <w:r w:rsidRPr="000F25DC">
              <w:rPr>
                <w:spacing w:val="-9"/>
              </w:rPr>
              <w:t xml:space="preserve"> </w:t>
            </w:r>
            <w:r w:rsidRPr="000F25DC">
              <w:t>have</w:t>
            </w:r>
            <w:r w:rsidRPr="000F25DC">
              <w:rPr>
                <w:spacing w:val="-12"/>
              </w:rPr>
              <w:t xml:space="preserve"> </w:t>
            </w:r>
            <w:r w:rsidRPr="000F25DC">
              <w:t>Veteran</w:t>
            </w:r>
            <w:r w:rsidRPr="000F25DC">
              <w:rPr>
                <w:spacing w:val="-11"/>
              </w:rPr>
              <w:t xml:space="preserve"> </w:t>
            </w:r>
            <w:r w:rsidRPr="000F25DC">
              <w:t xml:space="preserve">Service Coordination and Referral System installed and fully </w:t>
            </w:r>
            <w:r w:rsidRPr="000F25DC">
              <w:rPr>
                <w:spacing w:val="-2"/>
              </w:rPr>
              <w:t>accessible</w:t>
            </w:r>
          </w:p>
        </w:tc>
        <w:tc>
          <w:tcPr>
            <w:tcW w:w="1639" w:type="dxa"/>
            <w:vAlign w:val="center"/>
          </w:tcPr>
          <w:p w14:paraId="02F30562" w14:textId="77777777" w:rsidR="006420CB" w:rsidRPr="000F25DC" w:rsidRDefault="006420CB" w:rsidP="0053702C">
            <w:pPr>
              <w:pStyle w:val="TableText"/>
              <w:jc w:val="right"/>
            </w:pPr>
            <w:r w:rsidRPr="000F25DC">
              <w:rPr>
                <w:spacing w:val="-5"/>
              </w:rPr>
              <w:t>100</w:t>
            </w:r>
          </w:p>
        </w:tc>
        <w:tc>
          <w:tcPr>
            <w:tcW w:w="1639" w:type="dxa"/>
            <w:vAlign w:val="center"/>
          </w:tcPr>
          <w:p w14:paraId="40223F77" w14:textId="77777777" w:rsidR="006420CB" w:rsidRPr="000F25DC" w:rsidRDefault="006420CB" w:rsidP="0053702C">
            <w:pPr>
              <w:pStyle w:val="TableText"/>
              <w:jc w:val="right"/>
            </w:pPr>
            <w:r w:rsidRPr="000F25DC">
              <w:rPr>
                <w:spacing w:val="-5"/>
              </w:rPr>
              <w:t>94</w:t>
            </w:r>
          </w:p>
        </w:tc>
      </w:tr>
      <w:tr w:rsidR="006420CB" w:rsidRPr="000F25DC" w14:paraId="4618C38C" w14:textId="77777777" w:rsidTr="007C1B01">
        <w:trPr>
          <w:trHeight w:val="917"/>
        </w:trPr>
        <w:tc>
          <w:tcPr>
            <w:tcW w:w="5246" w:type="dxa"/>
            <w:vAlign w:val="center"/>
          </w:tcPr>
          <w:p w14:paraId="29DD2AF6" w14:textId="77777777" w:rsidR="006420CB" w:rsidRPr="000F25DC" w:rsidRDefault="006420CB" w:rsidP="0053702C">
            <w:pPr>
              <w:pStyle w:val="TableText"/>
            </w:pPr>
            <w:r w:rsidRPr="000F25DC">
              <w:t>Number of referrals made in the Veteran Service Coordination</w:t>
            </w:r>
            <w:r w:rsidRPr="000F25DC">
              <w:rPr>
                <w:spacing w:val="-12"/>
              </w:rPr>
              <w:t xml:space="preserve"> </w:t>
            </w:r>
            <w:r w:rsidRPr="000F25DC">
              <w:t>and</w:t>
            </w:r>
            <w:r w:rsidRPr="000F25DC">
              <w:rPr>
                <w:spacing w:val="-12"/>
              </w:rPr>
              <w:t xml:space="preserve"> </w:t>
            </w:r>
            <w:r w:rsidRPr="000F25DC">
              <w:t>Referral</w:t>
            </w:r>
            <w:r w:rsidRPr="000F25DC">
              <w:rPr>
                <w:spacing w:val="-11"/>
              </w:rPr>
              <w:t xml:space="preserve"> </w:t>
            </w:r>
            <w:r w:rsidRPr="000F25DC">
              <w:t>System</w:t>
            </w:r>
            <w:r w:rsidRPr="000F25DC">
              <w:rPr>
                <w:spacing w:val="-12"/>
              </w:rPr>
              <w:t xml:space="preserve"> </w:t>
            </w:r>
            <w:r w:rsidRPr="000F25DC">
              <w:t>including</w:t>
            </w:r>
            <w:r w:rsidRPr="000F25DC">
              <w:rPr>
                <w:spacing w:val="-12"/>
              </w:rPr>
              <w:t xml:space="preserve"> </w:t>
            </w:r>
            <w:r w:rsidRPr="000F25DC">
              <w:t>partner</w:t>
            </w:r>
            <w:r w:rsidRPr="000F25DC">
              <w:rPr>
                <w:spacing w:val="-13"/>
              </w:rPr>
              <w:t xml:space="preserve"> </w:t>
            </w:r>
            <w:r w:rsidRPr="000F25DC">
              <w:t>to partner; call center to coordination; coordination to</w:t>
            </w:r>
            <w:r>
              <w:t xml:space="preserve"> </w:t>
            </w:r>
            <w:r w:rsidRPr="000F25DC">
              <w:rPr>
                <w:spacing w:val="-4"/>
              </w:rPr>
              <w:t>CBO.</w:t>
            </w:r>
          </w:p>
        </w:tc>
        <w:tc>
          <w:tcPr>
            <w:tcW w:w="1639" w:type="dxa"/>
            <w:vAlign w:val="center"/>
          </w:tcPr>
          <w:p w14:paraId="24C5F71C" w14:textId="77777777" w:rsidR="006420CB" w:rsidRPr="000F25DC" w:rsidRDefault="006420CB" w:rsidP="0053702C">
            <w:pPr>
              <w:pStyle w:val="TableText"/>
              <w:jc w:val="right"/>
            </w:pPr>
            <w:r w:rsidRPr="000F25DC">
              <w:rPr>
                <w:spacing w:val="-2"/>
              </w:rPr>
              <w:t>62,400</w:t>
            </w:r>
          </w:p>
        </w:tc>
        <w:tc>
          <w:tcPr>
            <w:tcW w:w="1639" w:type="dxa"/>
            <w:vAlign w:val="center"/>
          </w:tcPr>
          <w:p w14:paraId="59A5BB8C" w14:textId="77777777" w:rsidR="006420CB" w:rsidRPr="000F25DC" w:rsidRDefault="006420CB" w:rsidP="0053702C">
            <w:pPr>
              <w:pStyle w:val="TableText"/>
              <w:jc w:val="right"/>
            </w:pPr>
            <w:r w:rsidRPr="000F25DC">
              <w:rPr>
                <w:spacing w:val="-2"/>
              </w:rPr>
              <w:t>65,958</w:t>
            </w:r>
          </w:p>
        </w:tc>
      </w:tr>
      <w:tr w:rsidR="006420CB" w:rsidRPr="000F25DC" w14:paraId="5BE76A18" w14:textId="77777777" w:rsidTr="007C1B01">
        <w:trPr>
          <w:trHeight w:val="620"/>
        </w:trPr>
        <w:tc>
          <w:tcPr>
            <w:tcW w:w="5246" w:type="dxa"/>
            <w:vAlign w:val="center"/>
          </w:tcPr>
          <w:p w14:paraId="3F12BBF5" w14:textId="77777777" w:rsidR="006420CB" w:rsidRPr="000F25DC" w:rsidRDefault="006420CB" w:rsidP="0053702C">
            <w:pPr>
              <w:pStyle w:val="TableText"/>
            </w:pPr>
            <w:r w:rsidRPr="000F25DC">
              <w:lastRenderedPageBreak/>
              <w:t>Number</w:t>
            </w:r>
            <w:r w:rsidRPr="000F25DC">
              <w:rPr>
                <w:spacing w:val="-9"/>
              </w:rPr>
              <w:t xml:space="preserve"> </w:t>
            </w:r>
            <w:r w:rsidRPr="000F25DC">
              <w:t>of</w:t>
            </w:r>
            <w:r w:rsidRPr="000F25DC">
              <w:rPr>
                <w:spacing w:val="-9"/>
              </w:rPr>
              <w:t xml:space="preserve"> </w:t>
            </w:r>
            <w:r w:rsidRPr="000F25DC">
              <w:t>Successful</w:t>
            </w:r>
            <w:r w:rsidRPr="000F25DC">
              <w:rPr>
                <w:spacing w:val="-9"/>
              </w:rPr>
              <w:t xml:space="preserve"> </w:t>
            </w:r>
            <w:r w:rsidRPr="000F25DC">
              <w:t>Referrals</w:t>
            </w:r>
            <w:r w:rsidRPr="000F25DC">
              <w:rPr>
                <w:spacing w:val="-8"/>
              </w:rPr>
              <w:t xml:space="preserve"> </w:t>
            </w:r>
            <w:r w:rsidRPr="000F25DC">
              <w:rPr>
                <w:spacing w:val="-2"/>
              </w:rPr>
              <w:t>closed</w:t>
            </w:r>
          </w:p>
        </w:tc>
        <w:tc>
          <w:tcPr>
            <w:tcW w:w="1639" w:type="dxa"/>
            <w:vAlign w:val="center"/>
          </w:tcPr>
          <w:p w14:paraId="4CC187A3" w14:textId="77777777" w:rsidR="006420CB" w:rsidRPr="000F25DC" w:rsidRDefault="006420CB" w:rsidP="0053702C">
            <w:pPr>
              <w:pStyle w:val="TableText"/>
              <w:jc w:val="right"/>
            </w:pPr>
            <w:r w:rsidRPr="000F25DC">
              <w:rPr>
                <w:spacing w:val="-2"/>
              </w:rPr>
              <w:t>45,300</w:t>
            </w:r>
          </w:p>
        </w:tc>
        <w:tc>
          <w:tcPr>
            <w:tcW w:w="1639" w:type="dxa"/>
            <w:vAlign w:val="center"/>
          </w:tcPr>
          <w:p w14:paraId="377D45B1" w14:textId="77777777" w:rsidR="006420CB" w:rsidRPr="000F25DC" w:rsidRDefault="006420CB" w:rsidP="0053702C">
            <w:pPr>
              <w:pStyle w:val="TableText"/>
              <w:jc w:val="right"/>
            </w:pPr>
            <w:r w:rsidRPr="000F25DC">
              <w:rPr>
                <w:spacing w:val="-2"/>
              </w:rPr>
              <w:t>52,958</w:t>
            </w:r>
          </w:p>
        </w:tc>
      </w:tr>
      <w:tr w:rsidR="006420CB" w:rsidRPr="000F25DC" w14:paraId="6E3E148D" w14:textId="77777777" w:rsidTr="0053702C">
        <w:trPr>
          <w:trHeight w:val="796"/>
        </w:trPr>
        <w:tc>
          <w:tcPr>
            <w:tcW w:w="5246" w:type="dxa"/>
            <w:vAlign w:val="center"/>
          </w:tcPr>
          <w:p w14:paraId="57DE0FE8" w14:textId="77777777" w:rsidR="006420CB" w:rsidRPr="000F25DC" w:rsidRDefault="006420CB" w:rsidP="0053702C">
            <w:pPr>
              <w:pStyle w:val="TableText"/>
            </w:pPr>
            <w:r w:rsidRPr="000F25DC">
              <w:t>Number</w:t>
            </w:r>
            <w:r w:rsidRPr="000F25DC">
              <w:rPr>
                <w:spacing w:val="-11"/>
              </w:rPr>
              <w:t xml:space="preserve"> </w:t>
            </w:r>
            <w:r w:rsidRPr="000F25DC">
              <w:t>of</w:t>
            </w:r>
            <w:r w:rsidRPr="000F25DC">
              <w:rPr>
                <w:spacing w:val="-8"/>
              </w:rPr>
              <w:t xml:space="preserve"> </w:t>
            </w:r>
            <w:r w:rsidRPr="000F25DC">
              <w:t>Unduplicated</w:t>
            </w:r>
            <w:r w:rsidRPr="000F25DC">
              <w:rPr>
                <w:spacing w:val="-11"/>
              </w:rPr>
              <w:t xml:space="preserve"> </w:t>
            </w:r>
            <w:r w:rsidRPr="000F25DC">
              <w:t>Veterans</w:t>
            </w:r>
            <w:r w:rsidRPr="000F25DC">
              <w:rPr>
                <w:spacing w:val="-9"/>
              </w:rPr>
              <w:t xml:space="preserve"> </w:t>
            </w:r>
            <w:r w:rsidRPr="000F25DC">
              <w:t>Served</w:t>
            </w:r>
            <w:r w:rsidRPr="000F25DC">
              <w:rPr>
                <w:spacing w:val="-9"/>
              </w:rPr>
              <w:t xml:space="preserve"> </w:t>
            </w:r>
            <w:r w:rsidRPr="000F25DC">
              <w:t>using</w:t>
            </w:r>
            <w:r w:rsidRPr="000F25DC">
              <w:rPr>
                <w:spacing w:val="-9"/>
              </w:rPr>
              <w:t xml:space="preserve"> </w:t>
            </w:r>
            <w:r w:rsidRPr="000F25DC">
              <w:rPr>
                <w:spacing w:val="-5"/>
              </w:rPr>
              <w:t>the</w:t>
            </w:r>
            <w:r>
              <w:rPr>
                <w:spacing w:val="-5"/>
              </w:rPr>
              <w:t xml:space="preserve"> </w:t>
            </w:r>
            <w:r w:rsidRPr="000F25DC">
              <w:rPr>
                <w:spacing w:val="-2"/>
              </w:rPr>
              <w:t>Veterans</w:t>
            </w:r>
            <w:r w:rsidRPr="000F25DC">
              <w:rPr>
                <w:spacing w:val="2"/>
              </w:rPr>
              <w:t xml:space="preserve"> </w:t>
            </w:r>
            <w:r w:rsidRPr="000F25DC">
              <w:rPr>
                <w:spacing w:val="-2"/>
              </w:rPr>
              <w:t>Service</w:t>
            </w:r>
            <w:r w:rsidRPr="000F25DC">
              <w:rPr>
                <w:spacing w:val="3"/>
              </w:rPr>
              <w:t xml:space="preserve"> </w:t>
            </w:r>
            <w:r w:rsidRPr="000F25DC">
              <w:rPr>
                <w:spacing w:val="-2"/>
              </w:rPr>
              <w:t>Coordination</w:t>
            </w:r>
            <w:r w:rsidRPr="000F25DC">
              <w:rPr>
                <w:spacing w:val="2"/>
              </w:rPr>
              <w:t xml:space="preserve"> </w:t>
            </w:r>
            <w:r w:rsidRPr="000F25DC">
              <w:rPr>
                <w:spacing w:val="-2"/>
              </w:rPr>
              <w:t>and</w:t>
            </w:r>
            <w:r w:rsidRPr="000F25DC">
              <w:rPr>
                <w:spacing w:val="1"/>
              </w:rPr>
              <w:t xml:space="preserve"> </w:t>
            </w:r>
            <w:r w:rsidRPr="000F25DC">
              <w:rPr>
                <w:spacing w:val="-2"/>
              </w:rPr>
              <w:t>Referral</w:t>
            </w:r>
            <w:r w:rsidRPr="000F25DC">
              <w:rPr>
                <w:spacing w:val="2"/>
              </w:rPr>
              <w:t xml:space="preserve"> </w:t>
            </w:r>
            <w:r w:rsidRPr="000F25DC">
              <w:rPr>
                <w:spacing w:val="-2"/>
              </w:rPr>
              <w:t>System</w:t>
            </w:r>
          </w:p>
        </w:tc>
        <w:tc>
          <w:tcPr>
            <w:tcW w:w="1639" w:type="dxa"/>
            <w:vAlign w:val="center"/>
          </w:tcPr>
          <w:p w14:paraId="7D15146A" w14:textId="77777777" w:rsidR="006420CB" w:rsidRPr="000F25DC" w:rsidRDefault="006420CB" w:rsidP="0053702C">
            <w:pPr>
              <w:pStyle w:val="TableText"/>
              <w:jc w:val="right"/>
            </w:pPr>
            <w:r w:rsidRPr="000F25DC">
              <w:rPr>
                <w:spacing w:val="-2"/>
              </w:rPr>
              <w:t>34,000</w:t>
            </w:r>
          </w:p>
        </w:tc>
        <w:tc>
          <w:tcPr>
            <w:tcW w:w="1639" w:type="dxa"/>
            <w:vAlign w:val="center"/>
          </w:tcPr>
          <w:p w14:paraId="2CBD1E3F" w14:textId="77777777" w:rsidR="006420CB" w:rsidRPr="000F25DC" w:rsidRDefault="006420CB" w:rsidP="0053702C">
            <w:pPr>
              <w:pStyle w:val="TableText"/>
              <w:jc w:val="right"/>
            </w:pPr>
            <w:r w:rsidRPr="000F25DC">
              <w:rPr>
                <w:spacing w:val="-2"/>
              </w:rPr>
              <w:t>27,099</w:t>
            </w:r>
          </w:p>
        </w:tc>
      </w:tr>
    </w:tbl>
    <w:p w14:paraId="53FC9A2C" w14:textId="77777777" w:rsidR="006420CB" w:rsidRPr="00D065AF" w:rsidRDefault="006420CB" w:rsidP="00D065AF">
      <w:pPr>
        <w:pStyle w:val="BodyText"/>
        <w:rPr>
          <w:b/>
          <w:bCs/>
        </w:rPr>
      </w:pPr>
      <w:r w:rsidRPr="00D065AF">
        <w:rPr>
          <w:b/>
          <w:bCs/>
        </w:rPr>
        <w:t>College Credit for Heroes</w:t>
      </w:r>
    </w:p>
    <w:p w14:paraId="1CB372BD" w14:textId="77777777" w:rsidR="006420CB" w:rsidRPr="009E7E9C" w:rsidRDefault="006420CB" w:rsidP="00D065AF">
      <w:pPr>
        <w:pStyle w:val="BodyText"/>
      </w:pPr>
      <w:r w:rsidRPr="000F25DC">
        <w:t xml:space="preserve">Data from </w:t>
      </w:r>
      <w:r>
        <w:t>a</w:t>
      </w:r>
      <w:r w:rsidRPr="000F25DC">
        <w:t xml:space="preserve"> 2022 study reveals a notable increase in the average number of credit hours awarded to veterans and transferred to </w:t>
      </w:r>
      <w:r>
        <w:t>College Credit for Heroes</w:t>
      </w:r>
      <w:r w:rsidRPr="000F25DC">
        <w:t xml:space="preserve"> grantees and partner schools. In 2022, veterans received</w:t>
      </w:r>
      <w:r w:rsidRPr="0068412D">
        <w:rPr>
          <w:spacing w:val="-6"/>
        </w:rPr>
        <w:t xml:space="preserve"> </w:t>
      </w:r>
      <w:r w:rsidRPr="000F25DC">
        <w:t>an</w:t>
      </w:r>
      <w:r w:rsidRPr="0068412D">
        <w:rPr>
          <w:spacing w:val="-8"/>
        </w:rPr>
        <w:t xml:space="preserve"> </w:t>
      </w:r>
      <w:r w:rsidRPr="000F25DC">
        <w:t>average</w:t>
      </w:r>
      <w:r w:rsidRPr="0068412D">
        <w:rPr>
          <w:spacing w:val="-7"/>
        </w:rPr>
        <w:t xml:space="preserve"> </w:t>
      </w:r>
      <w:r w:rsidRPr="000F25DC">
        <w:t>of</w:t>
      </w:r>
      <w:r w:rsidRPr="0068412D">
        <w:rPr>
          <w:spacing w:val="-7"/>
        </w:rPr>
        <w:t xml:space="preserve"> </w:t>
      </w:r>
      <w:r w:rsidRPr="000F25DC">
        <w:t>43</w:t>
      </w:r>
      <w:r w:rsidRPr="0068412D">
        <w:rPr>
          <w:spacing w:val="-6"/>
        </w:rPr>
        <w:t xml:space="preserve"> </w:t>
      </w:r>
      <w:r w:rsidRPr="000F25DC">
        <w:t>credit</w:t>
      </w:r>
      <w:r w:rsidRPr="0068412D">
        <w:rPr>
          <w:spacing w:val="-5"/>
        </w:rPr>
        <w:t xml:space="preserve"> </w:t>
      </w:r>
      <w:r w:rsidRPr="000F25DC">
        <w:t>hours,</w:t>
      </w:r>
      <w:r w:rsidRPr="0068412D">
        <w:rPr>
          <w:spacing w:val="-7"/>
        </w:rPr>
        <w:t xml:space="preserve"> </w:t>
      </w:r>
      <w:r w:rsidRPr="000F25DC">
        <w:t>a</w:t>
      </w:r>
      <w:r w:rsidRPr="0068412D">
        <w:rPr>
          <w:spacing w:val="-6"/>
        </w:rPr>
        <w:t xml:space="preserve"> </w:t>
      </w:r>
      <w:r w:rsidRPr="000F25DC">
        <w:t>substantial</w:t>
      </w:r>
      <w:r w:rsidRPr="0068412D">
        <w:rPr>
          <w:spacing w:val="-6"/>
        </w:rPr>
        <w:t xml:space="preserve"> </w:t>
      </w:r>
      <w:r w:rsidRPr="000F25DC">
        <w:t>increase</w:t>
      </w:r>
      <w:r w:rsidRPr="0068412D">
        <w:rPr>
          <w:spacing w:val="-7"/>
        </w:rPr>
        <w:t xml:space="preserve"> </w:t>
      </w:r>
      <w:r w:rsidRPr="000F25DC">
        <w:t>from</w:t>
      </w:r>
      <w:r w:rsidRPr="0068412D">
        <w:rPr>
          <w:spacing w:val="-6"/>
        </w:rPr>
        <w:t xml:space="preserve"> </w:t>
      </w:r>
      <w:r w:rsidRPr="000F25DC">
        <w:t>the</w:t>
      </w:r>
      <w:r w:rsidRPr="0068412D">
        <w:rPr>
          <w:spacing w:val="-5"/>
        </w:rPr>
        <w:t xml:space="preserve"> </w:t>
      </w:r>
      <w:r w:rsidRPr="000F25DC">
        <w:t>seven</w:t>
      </w:r>
      <w:r w:rsidRPr="0068412D">
        <w:rPr>
          <w:spacing w:val="-6"/>
        </w:rPr>
        <w:t xml:space="preserve"> </w:t>
      </w:r>
      <w:r w:rsidRPr="000F25DC">
        <w:t>credit</w:t>
      </w:r>
      <w:r w:rsidRPr="0068412D">
        <w:rPr>
          <w:spacing w:val="-5"/>
        </w:rPr>
        <w:t xml:space="preserve"> </w:t>
      </w:r>
      <w:r w:rsidRPr="000F25DC">
        <w:t>hours</w:t>
      </w:r>
      <w:r w:rsidRPr="0068412D">
        <w:rPr>
          <w:spacing w:val="-6"/>
        </w:rPr>
        <w:t xml:space="preserve"> </w:t>
      </w:r>
      <w:r w:rsidRPr="000F25DC">
        <w:t>reported</w:t>
      </w:r>
      <w:r w:rsidRPr="0068412D">
        <w:rPr>
          <w:spacing w:val="-6"/>
        </w:rPr>
        <w:t xml:space="preserve"> </w:t>
      </w:r>
      <w:r w:rsidRPr="000F25DC">
        <w:t xml:space="preserve">in </w:t>
      </w:r>
      <w:r w:rsidRPr="0068412D">
        <w:rPr>
          <w:spacing w:val="-2"/>
        </w:rPr>
        <w:t>2021.</w:t>
      </w:r>
    </w:p>
    <w:p w14:paraId="2B456D97" w14:textId="77777777" w:rsidR="006420CB" w:rsidRPr="006B75E8" w:rsidRDefault="006420CB" w:rsidP="00D065AF">
      <w:pPr>
        <w:pStyle w:val="BodyText"/>
        <w:rPr>
          <w:spacing w:val="0"/>
        </w:rPr>
      </w:pPr>
      <w:r>
        <w:rPr>
          <w:spacing w:val="-2"/>
        </w:rPr>
        <w:t xml:space="preserve">Additional information on the Texas Veterans Leadership Program is available in the </w:t>
      </w:r>
      <w:hyperlink r:id="rId180" w:history="1">
        <w:r w:rsidRPr="006B75E8">
          <w:rPr>
            <w:rStyle w:val="Hyperlink"/>
            <w:spacing w:val="-2"/>
          </w:rPr>
          <w:t>Supplemental Annual Report 2024</w:t>
        </w:r>
      </w:hyperlink>
      <w:r>
        <w:rPr>
          <w:spacing w:val="-2"/>
        </w:rPr>
        <w:t>.</w:t>
      </w:r>
    </w:p>
    <w:p w14:paraId="46E65F12" w14:textId="77777777" w:rsidR="006420CB" w:rsidRPr="00D065AF" w:rsidRDefault="006420CB" w:rsidP="00D065AF">
      <w:pPr>
        <w:pStyle w:val="BodyText"/>
        <w:rPr>
          <w:b/>
        </w:rPr>
      </w:pPr>
      <w:r w:rsidRPr="00D065AF">
        <w:rPr>
          <w:b/>
        </w:rPr>
        <w:t xml:space="preserve">Hiring Red, White, and You Job Fair </w:t>
      </w:r>
    </w:p>
    <w:p w14:paraId="0EDA1D65" w14:textId="77777777" w:rsidR="006420CB" w:rsidRPr="0068412D" w:rsidRDefault="006420CB" w:rsidP="00D065AF">
      <w:pPr>
        <w:pStyle w:val="BodyText"/>
      </w:pPr>
      <w:r w:rsidRPr="00B64474">
        <w:t xml:space="preserve">The 2024 event drew more than 16,005 job seekers and included 4,699 veterans and 2,107 employers. Since its 2012 inception, </w:t>
      </w:r>
      <w:r>
        <w:t xml:space="preserve">the Hiring Red, White, and You Job Fair </w:t>
      </w:r>
      <w:r w:rsidRPr="00B64474">
        <w:t xml:space="preserve">has connected more than 153,407 job seekers to 26,569 employers, with more than 3,860 same-day hires. </w:t>
      </w:r>
    </w:p>
    <w:p w14:paraId="68339696" w14:textId="77777777" w:rsidR="006420CB" w:rsidRPr="00D065AF" w:rsidRDefault="006420CB" w:rsidP="00D065AF">
      <w:pPr>
        <w:pStyle w:val="BodyText"/>
        <w:rPr>
          <w:b/>
          <w:bCs/>
        </w:rPr>
      </w:pPr>
      <w:r w:rsidRPr="00D065AF">
        <w:rPr>
          <w:b/>
          <w:bCs/>
        </w:rPr>
        <w:t>Veterans</w:t>
      </w:r>
      <w:r w:rsidRPr="00D065AF">
        <w:rPr>
          <w:b/>
          <w:bCs/>
          <w:spacing w:val="-3"/>
        </w:rPr>
        <w:t xml:space="preserve"> </w:t>
      </w:r>
      <w:r w:rsidRPr="00D065AF">
        <w:rPr>
          <w:b/>
          <w:bCs/>
        </w:rPr>
        <w:t>Workforce</w:t>
      </w:r>
      <w:r w:rsidRPr="00D065AF">
        <w:rPr>
          <w:b/>
          <w:bCs/>
          <w:spacing w:val="-4"/>
        </w:rPr>
        <w:t xml:space="preserve"> </w:t>
      </w:r>
      <w:r w:rsidRPr="00D065AF">
        <w:rPr>
          <w:b/>
          <w:bCs/>
        </w:rPr>
        <w:t>Outreach</w:t>
      </w:r>
      <w:r w:rsidRPr="00D065AF">
        <w:rPr>
          <w:b/>
          <w:bCs/>
          <w:spacing w:val="-4"/>
        </w:rPr>
        <w:t xml:space="preserve"> </w:t>
      </w:r>
      <w:r w:rsidRPr="00D065AF">
        <w:rPr>
          <w:b/>
          <w:bCs/>
        </w:rPr>
        <w:t>Initiative</w:t>
      </w:r>
    </w:p>
    <w:tbl>
      <w:tblPr>
        <w:tblStyle w:val="TableGrid1"/>
        <w:tblW w:w="0" w:type="auto"/>
        <w:tblLayout w:type="fixed"/>
        <w:tblLook w:val="01E0" w:firstRow="1" w:lastRow="1" w:firstColumn="1" w:lastColumn="1" w:noHBand="0" w:noVBand="0"/>
      </w:tblPr>
      <w:tblGrid>
        <w:gridCol w:w="6475"/>
        <w:gridCol w:w="991"/>
        <w:gridCol w:w="989"/>
        <w:gridCol w:w="895"/>
      </w:tblGrid>
      <w:tr w:rsidR="006420CB" w:rsidRPr="000F25DC" w14:paraId="25BD24B3" w14:textId="77777777" w:rsidTr="00D065AF">
        <w:trPr>
          <w:trHeight w:val="577"/>
          <w:tblHeader/>
        </w:trPr>
        <w:tc>
          <w:tcPr>
            <w:tcW w:w="6475" w:type="dxa"/>
            <w:shd w:val="clear" w:color="auto" w:fill="B8CCE4" w:themeFill="accent1" w:themeFillTint="66"/>
            <w:vAlign w:val="center"/>
          </w:tcPr>
          <w:p w14:paraId="08A835E5" w14:textId="77777777" w:rsidR="006420CB" w:rsidRPr="00B64474" w:rsidRDefault="006420CB" w:rsidP="00D065AF">
            <w:pPr>
              <w:pStyle w:val="TableHeaders"/>
            </w:pPr>
            <w:r w:rsidRPr="00B64474">
              <w:t>Program</w:t>
            </w:r>
            <w:r w:rsidRPr="00B64474">
              <w:rPr>
                <w:spacing w:val="3"/>
              </w:rPr>
              <w:t xml:space="preserve"> </w:t>
            </w:r>
            <w:r w:rsidRPr="00B64474">
              <w:t>Performance</w:t>
            </w:r>
            <w:r w:rsidRPr="00B64474">
              <w:rPr>
                <w:spacing w:val="2"/>
              </w:rPr>
              <w:t xml:space="preserve"> </w:t>
            </w:r>
            <w:r w:rsidRPr="00B64474">
              <w:t>Targets</w:t>
            </w:r>
          </w:p>
        </w:tc>
        <w:tc>
          <w:tcPr>
            <w:tcW w:w="991" w:type="dxa"/>
            <w:shd w:val="clear" w:color="auto" w:fill="B8CCE4" w:themeFill="accent1" w:themeFillTint="66"/>
            <w:vAlign w:val="center"/>
          </w:tcPr>
          <w:p w14:paraId="38284D50" w14:textId="77777777" w:rsidR="006420CB" w:rsidRPr="00B64474" w:rsidRDefault="006420CB" w:rsidP="00D065AF">
            <w:pPr>
              <w:pStyle w:val="TableHeaders"/>
            </w:pPr>
            <w:r w:rsidRPr="00B64474">
              <w:t>Target</w:t>
            </w:r>
          </w:p>
        </w:tc>
        <w:tc>
          <w:tcPr>
            <w:tcW w:w="989" w:type="dxa"/>
            <w:shd w:val="clear" w:color="auto" w:fill="B8CCE4" w:themeFill="accent1" w:themeFillTint="66"/>
            <w:vAlign w:val="center"/>
          </w:tcPr>
          <w:p w14:paraId="7D2AB599" w14:textId="77777777" w:rsidR="006420CB" w:rsidRPr="00B64474" w:rsidRDefault="006420CB" w:rsidP="00D065AF">
            <w:pPr>
              <w:pStyle w:val="TableHeaders"/>
            </w:pPr>
            <w:r w:rsidRPr="00B64474">
              <w:t>Total</w:t>
            </w:r>
            <w:r>
              <w:t xml:space="preserve"> </w:t>
            </w:r>
            <w:r w:rsidRPr="00B64474">
              <w:t>Target</w:t>
            </w:r>
          </w:p>
        </w:tc>
        <w:tc>
          <w:tcPr>
            <w:tcW w:w="895" w:type="dxa"/>
            <w:shd w:val="clear" w:color="auto" w:fill="B8CCE4" w:themeFill="accent1" w:themeFillTint="66"/>
            <w:vAlign w:val="center"/>
          </w:tcPr>
          <w:p w14:paraId="6A85AFFB" w14:textId="77777777" w:rsidR="006420CB" w:rsidRPr="00B64474" w:rsidRDefault="006420CB" w:rsidP="00D065AF">
            <w:pPr>
              <w:pStyle w:val="TableHeaders"/>
            </w:pPr>
            <w:r w:rsidRPr="00B64474">
              <w:t xml:space="preserve">% </w:t>
            </w:r>
            <w:r w:rsidRPr="00B64474">
              <w:rPr>
                <w:spacing w:val="-5"/>
              </w:rPr>
              <w:t>Met</w:t>
            </w:r>
          </w:p>
        </w:tc>
      </w:tr>
      <w:tr w:rsidR="006420CB" w:rsidRPr="000F25DC" w14:paraId="2503AF41" w14:textId="77777777" w:rsidTr="005655DA">
        <w:trPr>
          <w:trHeight w:val="301"/>
        </w:trPr>
        <w:tc>
          <w:tcPr>
            <w:tcW w:w="6475" w:type="dxa"/>
          </w:tcPr>
          <w:p w14:paraId="6435ABCF" w14:textId="77777777" w:rsidR="006420CB" w:rsidRPr="000F25DC" w:rsidRDefault="006420CB" w:rsidP="00D065AF">
            <w:pPr>
              <w:pStyle w:val="TableText"/>
            </w:pPr>
            <w:r w:rsidRPr="000F25DC">
              <w:t>Total</w:t>
            </w:r>
            <w:r w:rsidRPr="000F25DC">
              <w:rPr>
                <w:spacing w:val="-11"/>
              </w:rPr>
              <w:t xml:space="preserve"> </w:t>
            </w:r>
            <w:r w:rsidRPr="000F25DC">
              <w:t>number</w:t>
            </w:r>
            <w:r w:rsidRPr="000F25DC">
              <w:rPr>
                <w:spacing w:val="-10"/>
              </w:rPr>
              <w:t xml:space="preserve"> </w:t>
            </w:r>
            <w:r w:rsidRPr="000F25DC">
              <w:t>of</w:t>
            </w:r>
            <w:r w:rsidRPr="000F25DC">
              <w:rPr>
                <w:spacing w:val="-10"/>
              </w:rPr>
              <w:t xml:space="preserve"> </w:t>
            </w:r>
            <w:r w:rsidRPr="000F25DC">
              <w:rPr>
                <w:spacing w:val="-2"/>
              </w:rPr>
              <w:t>enrollments</w:t>
            </w:r>
          </w:p>
        </w:tc>
        <w:tc>
          <w:tcPr>
            <w:tcW w:w="991" w:type="dxa"/>
            <w:vAlign w:val="center"/>
          </w:tcPr>
          <w:p w14:paraId="7A0D1AA8" w14:textId="77777777" w:rsidR="006420CB" w:rsidRPr="000F25DC" w:rsidRDefault="006420CB" w:rsidP="005655DA">
            <w:pPr>
              <w:pStyle w:val="TableText"/>
              <w:jc w:val="right"/>
            </w:pPr>
            <w:r w:rsidRPr="000F25DC">
              <w:rPr>
                <w:spacing w:val="-5"/>
              </w:rPr>
              <w:t>478</w:t>
            </w:r>
          </w:p>
        </w:tc>
        <w:tc>
          <w:tcPr>
            <w:tcW w:w="989" w:type="dxa"/>
            <w:vAlign w:val="center"/>
          </w:tcPr>
          <w:p w14:paraId="63C4A5E6" w14:textId="77777777" w:rsidR="006420CB" w:rsidRPr="000F25DC" w:rsidRDefault="006420CB" w:rsidP="005655DA">
            <w:pPr>
              <w:pStyle w:val="TableText"/>
              <w:jc w:val="right"/>
            </w:pPr>
            <w:r w:rsidRPr="000F25DC">
              <w:rPr>
                <w:spacing w:val="-5"/>
              </w:rPr>
              <w:t>476</w:t>
            </w:r>
          </w:p>
        </w:tc>
        <w:tc>
          <w:tcPr>
            <w:tcW w:w="895" w:type="dxa"/>
            <w:vAlign w:val="center"/>
          </w:tcPr>
          <w:p w14:paraId="0A1D66F6" w14:textId="77777777" w:rsidR="006420CB" w:rsidRPr="000F25DC" w:rsidRDefault="006420CB" w:rsidP="005655DA">
            <w:pPr>
              <w:pStyle w:val="TableText"/>
              <w:jc w:val="right"/>
            </w:pPr>
            <w:r w:rsidRPr="000F25DC">
              <w:rPr>
                <w:spacing w:val="-5"/>
              </w:rPr>
              <w:t>99%</w:t>
            </w:r>
          </w:p>
        </w:tc>
      </w:tr>
      <w:tr w:rsidR="006420CB" w:rsidRPr="000F25DC" w14:paraId="08A7DF7D" w14:textId="77777777" w:rsidTr="005655DA">
        <w:trPr>
          <w:trHeight w:val="299"/>
        </w:trPr>
        <w:tc>
          <w:tcPr>
            <w:tcW w:w="6475" w:type="dxa"/>
          </w:tcPr>
          <w:p w14:paraId="196719D2" w14:textId="77777777" w:rsidR="006420CB" w:rsidRPr="000F25DC" w:rsidRDefault="006420CB" w:rsidP="00D065AF">
            <w:pPr>
              <w:pStyle w:val="TableText"/>
            </w:pPr>
            <w:r w:rsidRPr="000F25DC">
              <w:t>Number</w:t>
            </w:r>
            <w:r w:rsidRPr="000F25DC">
              <w:rPr>
                <w:spacing w:val="-5"/>
              </w:rPr>
              <w:t xml:space="preserve"> </w:t>
            </w:r>
            <w:r w:rsidRPr="000F25DC">
              <w:t>of</w:t>
            </w:r>
            <w:r w:rsidRPr="000F25DC">
              <w:rPr>
                <w:spacing w:val="-5"/>
              </w:rPr>
              <w:t xml:space="preserve"> </w:t>
            </w:r>
            <w:r w:rsidRPr="000F25DC">
              <w:t>assessments</w:t>
            </w:r>
            <w:r w:rsidRPr="000F25DC">
              <w:rPr>
                <w:spacing w:val="-6"/>
              </w:rPr>
              <w:t xml:space="preserve"> </w:t>
            </w:r>
            <w:r w:rsidRPr="000F25DC">
              <w:rPr>
                <w:spacing w:val="-2"/>
              </w:rPr>
              <w:t>provided</w:t>
            </w:r>
          </w:p>
        </w:tc>
        <w:tc>
          <w:tcPr>
            <w:tcW w:w="991" w:type="dxa"/>
            <w:vAlign w:val="center"/>
          </w:tcPr>
          <w:p w14:paraId="23565286" w14:textId="77777777" w:rsidR="006420CB" w:rsidRPr="000F25DC" w:rsidRDefault="006420CB" w:rsidP="005655DA">
            <w:pPr>
              <w:pStyle w:val="TableText"/>
              <w:jc w:val="right"/>
            </w:pPr>
            <w:r w:rsidRPr="000F25DC">
              <w:rPr>
                <w:spacing w:val="-5"/>
              </w:rPr>
              <w:t>476</w:t>
            </w:r>
          </w:p>
        </w:tc>
        <w:tc>
          <w:tcPr>
            <w:tcW w:w="989" w:type="dxa"/>
            <w:vAlign w:val="center"/>
          </w:tcPr>
          <w:p w14:paraId="41A8B23A" w14:textId="77777777" w:rsidR="006420CB" w:rsidRPr="000F25DC" w:rsidRDefault="006420CB" w:rsidP="005655DA">
            <w:pPr>
              <w:pStyle w:val="TableText"/>
              <w:jc w:val="right"/>
            </w:pPr>
            <w:r w:rsidRPr="000F25DC">
              <w:rPr>
                <w:spacing w:val="-5"/>
              </w:rPr>
              <w:t>599</w:t>
            </w:r>
          </w:p>
        </w:tc>
        <w:tc>
          <w:tcPr>
            <w:tcW w:w="895" w:type="dxa"/>
            <w:vAlign w:val="center"/>
          </w:tcPr>
          <w:p w14:paraId="7FCA22D9" w14:textId="77777777" w:rsidR="006420CB" w:rsidRPr="000F25DC" w:rsidRDefault="006420CB" w:rsidP="005655DA">
            <w:pPr>
              <w:pStyle w:val="TableText"/>
              <w:jc w:val="right"/>
            </w:pPr>
            <w:r w:rsidRPr="000F25DC">
              <w:rPr>
                <w:spacing w:val="-4"/>
              </w:rPr>
              <w:t>126%</w:t>
            </w:r>
          </w:p>
        </w:tc>
      </w:tr>
      <w:tr w:rsidR="006420CB" w:rsidRPr="000F25DC" w14:paraId="42B47525" w14:textId="77777777" w:rsidTr="005655DA">
        <w:trPr>
          <w:trHeight w:val="299"/>
        </w:trPr>
        <w:tc>
          <w:tcPr>
            <w:tcW w:w="6475" w:type="dxa"/>
          </w:tcPr>
          <w:p w14:paraId="2B356D3E" w14:textId="77777777" w:rsidR="006420CB" w:rsidRPr="000F25DC" w:rsidRDefault="006420CB" w:rsidP="00D065AF">
            <w:pPr>
              <w:pStyle w:val="TableText"/>
            </w:pPr>
            <w:r w:rsidRPr="000F25DC">
              <w:t>Number</w:t>
            </w:r>
            <w:r w:rsidRPr="000F25DC">
              <w:rPr>
                <w:spacing w:val="-7"/>
              </w:rPr>
              <w:t xml:space="preserve"> </w:t>
            </w:r>
            <w:r w:rsidRPr="000F25DC">
              <w:t>of</w:t>
            </w:r>
            <w:r w:rsidRPr="000F25DC">
              <w:rPr>
                <w:spacing w:val="-6"/>
              </w:rPr>
              <w:t xml:space="preserve"> </w:t>
            </w:r>
            <w:r w:rsidRPr="000F25DC">
              <w:t>participants</w:t>
            </w:r>
            <w:r w:rsidRPr="000F25DC">
              <w:rPr>
                <w:spacing w:val="-8"/>
              </w:rPr>
              <w:t xml:space="preserve"> </w:t>
            </w:r>
            <w:r w:rsidRPr="000F25DC">
              <w:t>receiving</w:t>
            </w:r>
            <w:r w:rsidRPr="000F25DC">
              <w:rPr>
                <w:spacing w:val="-7"/>
              </w:rPr>
              <w:t xml:space="preserve"> </w:t>
            </w:r>
            <w:r w:rsidRPr="000F25DC">
              <w:t>basic</w:t>
            </w:r>
            <w:r w:rsidRPr="000F25DC">
              <w:rPr>
                <w:spacing w:val="-8"/>
              </w:rPr>
              <w:t xml:space="preserve"> </w:t>
            </w:r>
            <w:r w:rsidRPr="000F25DC">
              <w:t>skills</w:t>
            </w:r>
            <w:r w:rsidRPr="000F25DC">
              <w:rPr>
                <w:spacing w:val="-6"/>
              </w:rPr>
              <w:t xml:space="preserve"> </w:t>
            </w:r>
            <w:r w:rsidRPr="000F25DC">
              <w:t>upgrade</w:t>
            </w:r>
            <w:r w:rsidRPr="000F25DC">
              <w:rPr>
                <w:spacing w:val="-6"/>
              </w:rPr>
              <w:t xml:space="preserve"> </w:t>
            </w:r>
            <w:r w:rsidRPr="000F25DC">
              <w:rPr>
                <w:spacing w:val="-2"/>
              </w:rPr>
              <w:t>training</w:t>
            </w:r>
          </w:p>
        </w:tc>
        <w:tc>
          <w:tcPr>
            <w:tcW w:w="991" w:type="dxa"/>
            <w:vAlign w:val="center"/>
          </w:tcPr>
          <w:p w14:paraId="3BACAB28" w14:textId="77777777" w:rsidR="006420CB" w:rsidRPr="000F25DC" w:rsidRDefault="006420CB" w:rsidP="005655DA">
            <w:pPr>
              <w:pStyle w:val="TableText"/>
              <w:jc w:val="right"/>
            </w:pPr>
            <w:r w:rsidRPr="000F25DC">
              <w:rPr>
                <w:spacing w:val="-5"/>
              </w:rPr>
              <w:t>350</w:t>
            </w:r>
          </w:p>
        </w:tc>
        <w:tc>
          <w:tcPr>
            <w:tcW w:w="989" w:type="dxa"/>
            <w:vAlign w:val="center"/>
          </w:tcPr>
          <w:p w14:paraId="6A2EE9E2" w14:textId="77777777" w:rsidR="006420CB" w:rsidRPr="000F25DC" w:rsidRDefault="006420CB" w:rsidP="005655DA">
            <w:pPr>
              <w:pStyle w:val="TableText"/>
              <w:jc w:val="right"/>
            </w:pPr>
            <w:r w:rsidRPr="000F25DC">
              <w:rPr>
                <w:spacing w:val="-5"/>
              </w:rPr>
              <w:t>476</w:t>
            </w:r>
          </w:p>
        </w:tc>
        <w:tc>
          <w:tcPr>
            <w:tcW w:w="895" w:type="dxa"/>
            <w:vAlign w:val="center"/>
          </w:tcPr>
          <w:p w14:paraId="24CF6077" w14:textId="77777777" w:rsidR="006420CB" w:rsidRPr="000F25DC" w:rsidRDefault="006420CB" w:rsidP="005655DA">
            <w:pPr>
              <w:pStyle w:val="TableText"/>
              <w:jc w:val="right"/>
            </w:pPr>
            <w:r w:rsidRPr="000F25DC">
              <w:rPr>
                <w:spacing w:val="-4"/>
              </w:rPr>
              <w:t>136%</w:t>
            </w:r>
          </w:p>
        </w:tc>
      </w:tr>
      <w:tr w:rsidR="006420CB" w:rsidRPr="000F25DC" w14:paraId="2D9B330B" w14:textId="77777777" w:rsidTr="005655DA">
        <w:trPr>
          <w:trHeight w:val="301"/>
        </w:trPr>
        <w:tc>
          <w:tcPr>
            <w:tcW w:w="6475" w:type="dxa"/>
          </w:tcPr>
          <w:p w14:paraId="1FFEE3F6" w14:textId="77777777" w:rsidR="006420CB" w:rsidRPr="000F25DC" w:rsidRDefault="006420CB" w:rsidP="00D065AF">
            <w:pPr>
              <w:pStyle w:val="TableText"/>
            </w:pPr>
            <w:r w:rsidRPr="000F25DC">
              <w:t>Number</w:t>
            </w:r>
            <w:r w:rsidRPr="000F25DC">
              <w:rPr>
                <w:spacing w:val="-8"/>
              </w:rPr>
              <w:t xml:space="preserve"> </w:t>
            </w:r>
            <w:r w:rsidRPr="000F25DC">
              <w:t>of</w:t>
            </w:r>
            <w:r w:rsidRPr="000F25DC">
              <w:rPr>
                <w:spacing w:val="-8"/>
              </w:rPr>
              <w:t xml:space="preserve"> </w:t>
            </w:r>
            <w:r w:rsidRPr="000F25DC">
              <w:t>participants</w:t>
            </w:r>
            <w:r w:rsidRPr="000F25DC">
              <w:rPr>
                <w:spacing w:val="-9"/>
              </w:rPr>
              <w:t xml:space="preserve"> </w:t>
            </w:r>
            <w:r w:rsidRPr="000F25DC">
              <w:t>receiving</w:t>
            </w:r>
            <w:r w:rsidRPr="000F25DC">
              <w:rPr>
                <w:spacing w:val="-9"/>
              </w:rPr>
              <w:t xml:space="preserve"> </w:t>
            </w:r>
            <w:r w:rsidRPr="000F25DC">
              <w:t>supportive</w:t>
            </w:r>
            <w:r w:rsidRPr="000F25DC">
              <w:rPr>
                <w:spacing w:val="-7"/>
              </w:rPr>
              <w:t xml:space="preserve"> </w:t>
            </w:r>
            <w:r w:rsidRPr="000F25DC">
              <w:rPr>
                <w:spacing w:val="-2"/>
              </w:rPr>
              <w:t>services</w:t>
            </w:r>
          </w:p>
        </w:tc>
        <w:tc>
          <w:tcPr>
            <w:tcW w:w="991" w:type="dxa"/>
            <w:vAlign w:val="center"/>
          </w:tcPr>
          <w:p w14:paraId="107C0DD7" w14:textId="77777777" w:rsidR="006420CB" w:rsidRPr="000F25DC" w:rsidRDefault="006420CB" w:rsidP="005655DA">
            <w:pPr>
              <w:pStyle w:val="TableText"/>
              <w:jc w:val="right"/>
            </w:pPr>
            <w:r w:rsidRPr="000F25DC">
              <w:rPr>
                <w:spacing w:val="-5"/>
              </w:rPr>
              <w:t>358</w:t>
            </w:r>
          </w:p>
        </w:tc>
        <w:tc>
          <w:tcPr>
            <w:tcW w:w="989" w:type="dxa"/>
            <w:vAlign w:val="center"/>
          </w:tcPr>
          <w:p w14:paraId="022BB0CC" w14:textId="77777777" w:rsidR="006420CB" w:rsidRPr="000F25DC" w:rsidRDefault="006420CB" w:rsidP="005655DA">
            <w:pPr>
              <w:pStyle w:val="TableText"/>
              <w:jc w:val="right"/>
            </w:pPr>
            <w:r w:rsidRPr="000F25DC">
              <w:rPr>
                <w:spacing w:val="-5"/>
              </w:rPr>
              <w:t>220</w:t>
            </w:r>
          </w:p>
        </w:tc>
        <w:tc>
          <w:tcPr>
            <w:tcW w:w="895" w:type="dxa"/>
            <w:vAlign w:val="center"/>
          </w:tcPr>
          <w:p w14:paraId="612A44B8" w14:textId="77777777" w:rsidR="006420CB" w:rsidRPr="000F25DC" w:rsidRDefault="006420CB" w:rsidP="005655DA">
            <w:pPr>
              <w:pStyle w:val="TableText"/>
              <w:jc w:val="right"/>
            </w:pPr>
            <w:r w:rsidRPr="000F25DC">
              <w:rPr>
                <w:spacing w:val="-5"/>
              </w:rPr>
              <w:t>61%</w:t>
            </w:r>
          </w:p>
        </w:tc>
      </w:tr>
      <w:tr w:rsidR="006420CB" w:rsidRPr="000F25DC" w14:paraId="64AC0973" w14:textId="77777777" w:rsidTr="005655DA">
        <w:trPr>
          <w:trHeight w:val="299"/>
        </w:trPr>
        <w:tc>
          <w:tcPr>
            <w:tcW w:w="6475" w:type="dxa"/>
          </w:tcPr>
          <w:p w14:paraId="36020291" w14:textId="77777777" w:rsidR="006420CB" w:rsidRPr="000F25DC" w:rsidRDefault="006420CB" w:rsidP="00D065AF">
            <w:pPr>
              <w:pStyle w:val="TableText"/>
            </w:pPr>
            <w:r w:rsidRPr="000F25DC">
              <w:t>Number</w:t>
            </w:r>
            <w:r w:rsidRPr="000F25DC">
              <w:rPr>
                <w:spacing w:val="-5"/>
              </w:rPr>
              <w:t xml:space="preserve"> </w:t>
            </w:r>
            <w:r w:rsidRPr="000F25DC">
              <w:t>of</w:t>
            </w:r>
            <w:r w:rsidRPr="000F25DC">
              <w:rPr>
                <w:spacing w:val="-4"/>
              </w:rPr>
              <w:t xml:space="preserve"> </w:t>
            </w:r>
            <w:r w:rsidRPr="000F25DC">
              <w:t>participants</w:t>
            </w:r>
            <w:r w:rsidRPr="000F25DC">
              <w:rPr>
                <w:spacing w:val="-5"/>
              </w:rPr>
              <w:t xml:space="preserve"> </w:t>
            </w:r>
            <w:r w:rsidRPr="000F25DC">
              <w:t>placed</w:t>
            </w:r>
            <w:r w:rsidRPr="000F25DC">
              <w:rPr>
                <w:spacing w:val="-5"/>
              </w:rPr>
              <w:t xml:space="preserve"> </w:t>
            </w:r>
            <w:r w:rsidRPr="000F25DC">
              <w:t>in</w:t>
            </w:r>
            <w:r w:rsidRPr="000F25DC">
              <w:rPr>
                <w:spacing w:val="-6"/>
              </w:rPr>
              <w:t xml:space="preserve"> </w:t>
            </w:r>
            <w:r w:rsidRPr="000F25DC">
              <w:rPr>
                <w:spacing w:val="-2"/>
              </w:rPr>
              <w:t>employment</w:t>
            </w:r>
          </w:p>
        </w:tc>
        <w:tc>
          <w:tcPr>
            <w:tcW w:w="991" w:type="dxa"/>
            <w:vAlign w:val="center"/>
          </w:tcPr>
          <w:p w14:paraId="062938CA" w14:textId="77777777" w:rsidR="006420CB" w:rsidRPr="000F25DC" w:rsidRDefault="006420CB" w:rsidP="005655DA">
            <w:pPr>
              <w:pStyle w:val="TableText"/>
              <w:jc w:val="right"/>
            </w:pPr>
            <w:r w:rsidRPr="000F25DC">
              <w:rPr>
                <w:spacing w:val="-5"/>
              </w:rPr>
              <w:t>324</w:t>
            </w:r>
          </w:p>
        </w:tc>
        <w:tc>
          <w:tcPr>
            <w:tcW w:w="989" w:type="dxa"/>
            <w:vAlign w:val="center"/>
          </w:tcPr>
          <w:p w14:paraId="76745520" w14:textId="77777777" w:rsidR="006420CB" w:rsidRPr="000F25DC" w:rsidRDefault="006420CB" w:rsidP="005655DA">
            <w:pPr>
              <w:pStyle w:val="TableText"/>
              <w:jc w:val="right"/>
            </w:pPr>
            <w:r w:rsidRPr="000F25DC">
              <w:rPr>
                <w:spacing w:val="-5"/>
              </w:rPr>
              <w:t>301</w:t>
            </w:r>
          </w:p>
        </w:tc>
        <w:tc>
          <w:tcPr>
            <w:tcW w:w="895" w:type="dxa"/>
            <w:vAlign w:val="center"/>
          </w:tcPr>
          <w:p w14:paraId="67F2B238" w14:textId="77777777" w:rsidR="006420CB" w:rsidRPr="000F25DC" w:rsidRDefault="006420CB" w:rsidP="005655DA">
            <w:pPr>
              <w:pStyle w:val="TableText"/>
              <w:jc w:val="right"/>
            </w:pPr>
            <w:r w:rsidRPr="000F25DC">
              <w:rPr>
                <w:spacing w:val="-5"/>
              </w:rPr>
              <w:t>93%</w:t>
            </w:r>
          </w:p>
        </w:tc>
      </w:tr>
    </w:tbl>
    <w:p w14:paraId="3369343B" w14:textId="4B43395E" w:rsidR="006420CB" w:rsidRPr="000F25DC" w:rsidRDefault="005655DA" w:rsidP="005655DA">
      <w:pPr>
        <w:pStyle w:val="BodyText3"/>
        <w:ind w:left="720" w:hanging="720"/>
      </w:pPr>
      <w:r>
        <w:t>D.</w:t>
      </w:r>
      <w:r>
        <w:tab/>
      </w:r>
      <w:r w:rsidR="006420CB" w:rsidRPr="000F25DC">
        <w:t>Describe</w:t>
      </w:r>
      <w:r w:rsidR="006420CB" w:rsidRPr="000F25DC">
        <w:rPr>
          <w:spacing w:val="-14"/>
        </w:rPr>
        <w:t xml:space="preserve"> </w:t>
      </w:r>
      <w:r w:rsidR="006420CB" w:rsidRPr="000F25DC">
        <w:t>any</w:t>
      </w:r>
      <w:r w:rsidR="006420CB" w:rsidRPr="000F25DC">
        <w:rPr>
          <w:spacing w:val="-14"/>
        </w:rPr>
        <w:t xml:space="preserve"> </w:t>
      </w:r>
      <w:r w:rsidR="006420CB" w:rsidRPr="000F25DC">
        <w:t>important</w:t>
      </w:r>
      <w:r w:rsidR="006420CB" w:rsidRPr="000F25DC">
        <w:rPr>
          <w:spacing w:val="-13"/>
        </w:rPr>
        <w:t xml:space="preserve"> </w:t>
      </w:r>
      <w:r w:rsidR="006420CB" w:rsidRPr="000F25DC">
        <w:t>history</w:t>
      </w:r>
      <w:r w:rsidR="006420CB" w:rsidRPr="000F25DC">
        <w:rPr>
          <w:spacing w:val="-14"/>
        </w:rPr>
        <w:t xml:space="preserve"> </w:t>
      </w:r>
      <w:r w:rsidR="006420CB" w:rsidRPr="000F25DC">
        <w:t>regarding</w:t>
      </w:r>
      <w:r w:rsidR="006420CB" w:rsidRPr="000F25DC">
        <w:rPr>
          <w:spacing w:val="-13"/>
        </w:rPr>
        <w:t xml:space="preserve"> </w:t>
      </w:r>
      <w:r w:rsidR="006420CB" w:rsidRPr="000F25DC">
        <w:t>this</w:t>
      </w:r>
      <w:r w:rsidR="006420CB" w:rsidRPr="000F25DC">
        <w:rPr>
          <w:spacing w:val="-14"/>
        </w:rPr>
        <w:t xml:space="preserve"> </w:t>
      </w:r>
      <w:r w:rsidR="006420CB" w:rsidRPr="000F25DC">
        <w:t>division</w:t>
      </w:r>
      <w:r w:rsidR="006420CB" w:rsidRPr="000F25DC">
        <w:rPr>
          <w:spacing w:val="-13"/>
        </w:rPr>
        <w:t xml:space="preserve"> </w:t>
      </w:r>
      <w:r w:rsidR="006420CB" w:rsidRPr="000F25DC">
        <w:t>or</w:t>
      </w:r>
      <w:r w:rsidR="006420CB" w:rsidRPr="000F25DC">
        <w:rPr>
          <w:spacing w:val="-14"/>
        </w:rPr>
        <w:t xml:space="preserve"> </w:t>
      </w:r>
      <w:r w:rsidR="006420CB" w:rsidRPr="000F25DC">
        <w:t>program</w:t>
      </w:r>
      <w:r w:rsidR="006420CB" w:rsidRPr="000F25DC">
        <w:rPr>
          <w:spacing w:val="-14"/>
        </w:rPr>
        <w:t xml:space="preserve"> </w:t>
      </w:r>
      <w:r w:rsidR="006420CB" w:rsidRPr="000F25DC">
        <w:t>not</w:t>
      </w:r>
      <w:r w:rsidR="006420CB" w:rsidRPr="000F25DC">
        <w:rPr>
          <w:spacing w:val="-13"/>
        </w:rPr>
        <w:t xml:space="preserve"> </w:t>
      </w:r>
      <w:r w:rsidR="006420CB" w:rsidRPr="000F25DC">
        <w:t>included</w:t>
      </w:r>
      <w:r w:rsidR="006420CB" w:rsidRPr="000F25DC">
        <w:rPr>
          <w:spacing w:val="-14"/>
        </w:rPr>
        <w:t xml:space="preserve"> </w:t>
      </w:r>
      <w:r w:rsidR="006420CB" w:rsidRPr="000F25DC">
        <w:t>in</w:t>
      </w:r>
      <w:r w:rsidR="006420CB" w:rsidRPr="000F25DC">
        <w:rPr>
          <w:spacing w:val="-13"/>
        </w:rPr>
        <w:t xml:space="preserve"> </w:t>
      </w:r>
      <w:r w:rsidR="006420CB" w:rsidRPr="000F25DC">
        <w:t>the</w:t>
      </w:r>
      <w:r w:rsidR="006420CB" w:rsidRPr="000F25DC">
        <w:rPr>
          <w:spacing w:val="-14"/>
        </w:rPr>
        <w:t xml:space="preserve"> </w:t>
      </w:r>
      <w:r w:rsidR="006420CB" w:rsidRPr="000F25DC">
        <w:t>general agency history section, including</w:t>
      </w:r>
      <w:r w:rsidR="006420CB" w:rsidRPr="000F25DC">
        <w:rPr>
          <w:spacing w:val="-1"/>
        </w:rPr>
        <w:t xml:space="preserve"> </w:t>
      </w:r>
      <w:r w:rsidR="006420CB" w:rsidRPr="000F25DC">
        <w:t>how the</w:t>
      </w:r>
      <w:r w:rsidR="006420CB" w:rsidRPr="000F25DC">
        <w:rPr>
          <w:spacing w:val="-1"/>
        </w:rPr>
        <w:t xml:space="preserve"> </w:t>
      </w:r>
      <w:r w:rsidR="006420CB" w:rsidRPr="000F25DC">
        <w:t>functions or services have changed over time. If the response to Section III of this report is sufficient, please leave this section blank.</w:t>
      </w:r>
    </w:p>
    <w:p w14:paraId="6605968B" w14:textId="77777777" w:rsidR="006420CB" w:rsidRPr="005655DA" w:rsidRDefault="006420CB" w:rsidP="005655DA">
      <w:pPr>
        <w:pStyle w:val="BodyText"/>
      </w:pPr>
      <w:r w:rsidRPr="005655DA">
        <w:t>In 2008, TVLP was created to work with and assist returning veterans from the wars in Iraq and Afghanistan as well with all veterans. During this period, returning veterans were facing many obstacles to employment. TVLP staﬀ provided peer-to-peer mentoring to assist veterans in overcoming these obstacles.</w:t>
      </w:r>
    </w:p>
    <w:p w14:paraId="7F6D4DE6" w14:textId="77777777" w:rsidR="006420CB" w:rsidRPr="005655DA" w:rsidRDefault="006420CB" w:rsidP="005655DA">
      <w:pPr>
        <w:pStyle w:val="BodyText"/>
      </w:pPr>
      <w:r w:rsidRPr="005655DA">
        <w:t xml:space="preserve">Through the next ﬁve years, TVLP assisted 15,281 returning veterans. This period included the recession brought on by the housing market crash. The veteran unemployment rate in </w:t>
      </w:r>
      <w:r w:rsidRPr="005655DA">
        <w:lastRenderedPageBreak/>
        <w:t xml:space="preserve">2011 was 12.1 percent and the unemployment rate for veterans from 18 to 29 years old was 29 percent. </w:t>
      </w:r>
    </w:p>
    <w:p w14:paraId="1F5276FA" w14:textId="77777777" w:rsidR="006420CB" w:rsidRPr="005655DA" w:rsidRDefault="006420CB" w:rsidP="005655DA">
      <w:pPr>
        <w:pStyle w:val="BodyText"/>
      </w:pPr>
      <w:r w:rsidRPr="005655DA">
        <w:t>TVLP saw an opportunity for TWC to be one of four states participating in a joint U.S. Army and U.S. Department of Labor Employment and Training Administration grant to increase outreach to transitioning service members and increase their employment opportunities. TWC applied for a $750,000 grant to create the State of Texas Soldier Employment Initiative (STSEI). The grant lasted from 2012 through June 2015. The major accomplishments of the grant were getting TVLP and TVC staﬀ on Fort Hood and Fort Bliss to share information on employment, training, beneﬁts, and veteran programs to TSMs at least three months before they separated from the Army. The STSEI program outreached over 24,560 Army Unemployment Compensation for Ex-Servicemembers claimants. To measure the success of its work, TWC tracked the average number of weeks these claimants had been drawing unemployment. The starting average was 24.6 in September 2012. In April 2015, the average number dropped to 15.8 weeks. The work done through STSEI continues today through Texas Operation Welcome Home.</w:t>
      </w:r>
    </w:p>
    <w:p w14:paraId="766663DC" w14:textId="6713225B" w:rsidR="006420CB" w:rsidRPr="000F25DC" w:rsidRDefault="00D95837" w:rsidP="00D95837">
      <w:pPr>
        <w:pStyle w:val="BodyText3"/>
        <w:ind w:left="720" w:hanging="720"/>
      </w:pPr>
      <w:r>
        <w:t>E.</w:t>
      </w:r>
      <w:r>
        <w:tab/>
      </w:r>
      <w:r w:rsidR="006420CB" w:rsidRPr="000F25DC">
        <w:t>List any qualifications or eligibility requirements for persons or entities affected by this division or program (e.g., licensees, consumers, and landowners). Provide a statistical breakdown of persons or entities affected.</w:t>
      </w:r>
    </w:p>
    <w:p w14:paraId="33FEDF30" w14:textId="77777777" w:rsidR="006420CB" w:rsidRPr="00723392" w:rsidRDefault="006420CB" w:rsidP="00D95837">
      <w:pPr>
        <w:pStyle w:val="BodyText"/>
      </w:pPr>
      <w:r w:rsidRPr="00723392">
        <w:t>The</w:t>
      </w:r>
      <w:r w:rsidRPr="00723392">
        <w:rPr>
          <w:spacing w:val="-13"/>
        </w:rPr>
        <w:t xml:space="preserve"> </w:t>
      </w:r>
      <w:r w:rsidRPr="00723392">
        <w:t>TVLP</w:t>
      </w:r>
      <w:r w:rsidRPr="00723392">
        <w:rPr>
          <w:spacing w:val="-12"/>
        </w:rPr>
        <w:t xml:space="preserve"> </w:t>
      </w:r>
      <w:r w:rsidRPr="00723392">
        <w:t>program</w:t>
      </w:r>
      <w:r w:rsidRPr="00723392">
        <w:rPr>
          <w:spacing w:val="-12"/>
        </w:rPr>
        <w:t xml:space="preserve"> </w:t>
      </w:r>
      <w:r w:rsidRPr="00723392">
        <w:t>follows</w:t>
      </w:r>
      <w:r w:rsidRPr="00723392">
        <w:rPr>
          <w:spacing w:val="-13"/>
        </w:rPr>
        <w:t xml:space="preserve"> </w:t>
      </w:r>
      <w:r w:rsidRPr="00723392">
        <w:t>basic</w:t>
      </w:r>
      <w:r w:rsidRPr="00723392">
        <w:rPr>
          <w:spacing w:val="-10"/>
        </w:rPr>
        <w:t xml:space="preserve"> </w:t>
      </w:r>
      <w:r w:rsidRPr="00723392">
        <w:t>self-attestation</w:t>
      </w:r>
      <w:r w:rsidRPr="00723392">
        <w:rPr>
          <w:spacing w:val="-12"/>
        </w:rPr>
        <w:t xml:space="preserve"> </w:t>
      </w:r>
      <w:r w:rsidRPr="00723392">
        <w:t>for</w:t>
      </w:r>
      <w:r w:rsidRPr="00723392">
        <w:rPr>
          <w:spacing w:val="-13"/>
        </w:rPr>
        <w:t xml:space="preserve"> </w:t>
      </w:r>
      <w:r w:rsidRPr="00723392">
        <w:t>veterans</w:t>
      </w:r>
      <w:r w:rsidRPr="00723392">
        <w:rPr>
          <w:spacing w:val="-11"/>
        </w:rPr>
        <w:t xml:space="preserve"> </w:t>
      </w:r>
      <w:r w:rsidRPr="00723392">
        <w:t>meeting</w:t>
      </w:r>
      <w:r w:rsidRPr="00723392">
        <w:rPr>
          <w:spacing w:val="-11"/>
        </w:rPr>
        <w:t xml:space="preserve"> </w:t>
      </w:r>
      <w:r w:rsidRPr="00723392">
        <w:t>Wagener</w:t>
      </w:r>
      <w:r w:rsidRPr="00723392">
        <w:rPr>
          <w:spacing w:val="-13"/>
        </w:rPr>
        <w:t xml:space="preserve"> </w:t>
      </w:r>
      <w:r w:rsidRPr="00723392">
        <w:t>Peyser</w:t>
      </w:r>
      <w:r w:rsidRPr="00723392">
        <w:rPr>
          <w:spacing w:val="-12"/>
        </w:rPr>
        <w:t xml:space="preserve"> </w:t>
      </w:r>
      <w:r w:rsidRPr="00723392">
        <w:t>eligibility</w:t>
      </w:r>
      <w:r>
        <w:t xml:space="preserve"> requirements</w:t>
      </w:r>
      <w:r w:rsidRPr="00723392">
        <w:t>.</w:t>
      </w:r>
    </w:p>
    <w:p w14:paraId="4A14E7B7" w14:textId="77777777" w:rsidR="006420CB" w:rsidRPr="009E7E9C" w:rsidRDefault="006420CB" w:rsidP="00BA1114">
      <w:pPr>
        <w:pStyle w:val="BodyText"/>
      </w:pPr>
      <w:r w:rsidRPr="009E7E9C">
        <w:t>The</w:t>
      </w:r>
      <w:r w:rsidRPr="009E7E9C">
        <w:rPr>
          <w:spacing w:val="-6"/>
        </w:rPr>
        <w:t xml:space="preserve"> </w:t>
      </w:r>
      <w:r w:rsidRPr="009E7E9C">
        <w:t>Statewide</w:t>
      </w:r>
      <w:r w:rsidRPr="009E7E9C">
        <w:rPr>
          <w:spacing w:val="-9"/>
        </w:rPr>
        <w:t xml:space="preserve"> </w:t>
      </w:r>
      <w:r w:rsidRPr="009E7E9C">
        <w:t>Program</w:t>
      </w:r>
      <w:r w:rsidRPr="009E7E9C">
        <w:rPr>
          <w:spacing w:val="-8"/>
        </w:rPr>
        <w:t xml:space="preserve"> </w:t>
      </w:r>
      <w:r w:rsidRPr="009E7E9C">
        <w:t>to</w:t>
      </w:r>
      <w:r w:rsidRPr="009E7E9C">
        <w:rPr>
          <w:spacing w:val="-8"/>
        </w:rPr>
        <w:t xml:space="preserve"> </w:t>
      </w:r>
      <w:r w:rsidRPr="009E7E9C">
        <w:t>Transition</w:t>
      </w:r>
      <w:r w:rsidRPr="009E7E9C">
        <w:rPr>
          <w:spacing w:val="-8"/>
        </w:rPr>
        <w:t xml:space="preserve"> </w:t>
      </w:r>
      <w:r w:rsidRPr="009E7E9C">
        <w:t>from</w:t>
      </w:r>
      <w:r w:rsidRPr="009E7E9C">
        <w:rPr>
          <w:spacing w:val="-10"/>
        </w:rPr>
        <w:t xml:space="preserve"> </w:t>
      </w:r>
      <w:r w:rsidRPr="009E7E9C">
        <w:t>Military</w:t>
      </w:r>
      <w:r w:rsidRPr="009E7E9C">
        <w:rPr>
          <w:spacing w:val="-6"/>
        </w:rPr>
        <w:t xml:space="preserve"> </w:t>
      </w:r>
      <w:r w:rsidRPr="009E7E9C">
        <w:t>to</w:t>
      </w:r>
      <w:r w:rsidRPr="009E7E9C">
        <w:rPr>
          <w:spacing w:val="-8"/>
        </w:rPr>
        <w:t xml:space="preserve"> </w:t>
      </w:r>
      <w:r w:rsidRPr="009E7E9C">
        <w:t>Civilian</w:t>
      </w:r>
      <w:r w:rsidRPr="009E7E9C">
        <w:rPr>
          <w:spacing w:val="-8"/>
        </w:rPr>
        <w:t xml:space="preserve"> </w:t>
      </w:r>
      <w:r w:rsidRPr="009E7E9C">
        <w:t>Employment</w:t>
      </w:r>
      <w:r w:rsidRPr="009E7E9C">
        <w:rPr>
          <w:spacing w:val="-9"/>
        </w:rPr>
        <w:t xml:space="preserve"> </w:t>
      </w:r>
      <w:r w:rsidRPr="009E7E9C">
        <w:t>uses</w:t>
      </w:r>
      <w:r w:rsidRPr="009E7E9C">
        <w:rPr>
          <w:spacing w:val="-9"/>
        </w:rPr>
        <w:t xml:space="preserve"> </w:t>
      </w:r>
      <w:r w:rsidRPr="009E7E9C">
        <w:t>the</w:t>
      </w:r>
      <w:r w:rsidRPr="009E7E9C">
        <w:rPr>
          <w:spacing w:val="-6"/>
        </w:rPr>
        <w:t xml:space="preserve"> </w:t>
      </w:r>
      <w:r w:rsidRPr="009E7E9C">
        <w:t xml:space="preserve">standard dislocated worker eligibility </w:t>
      </w:r>
      <w:r>
        <w:t xml:space="preserve">requirements </w:t>
      </w:r>
      <w:r w:rsidRPr="009E7E9C">
        <w:t>for the Workforce Innovation Opportunity Act.</w:t>
      </w:r>
    </w:p>
    <w:p w14:paraId="645810DD" w14:textId="77777777" w:rsidR="006420CB" w:rsidRPr="009E7E9C" w:rsidRDefault="006420CB" w:rsidP="0090153B">
      <w:pPr>
        <w:pStyle w:val="BodyText"/>
      </w:pPr>
      <w:r w:rsidRPr="009E7E9C">
        <w:t>Employers</w:t>
      </w:r>
      <w:r w:rsidRPr="009E7E9C">
        <w:rPr>
          <w:spacing w:val="-9"/>
        </w:rPr>
        <w:t xml:space="preserve"> </w:t>
      </w:r>
      <w:r w:rsidRPr="009E7E9C">
        <w:t>eligible</w:t>
      </w:r>
      <w:r w:rsidRPr="009E7E9C">
        <w:rPr>
          <w:spacing w:val="-10"/>
        </w:rPr>
        <w:t xml:space="preserve"> </w:t>
      </w:r>
      <w:r w:rsidRPr="009E7E9C">
        <w:t>to</w:t>
      </w:r>
      <w:r w:rsidRPr="009E7E9C">
        <w:rPr>
          <w:spacing w:val="-9"/>
        </w:rPr>
        <w:t xml:space="preserve"> </w:t>
      </w:r>
      <w:r w:rsidRPr="009E7E9C">
        <w:t>receive</w:t>
      </w:r>
      <w:r w:rsidRPr="009E7E9C">
        <w:rPr>
          <w:spacing w:val="-8"/>
        </w:rPr>
        <w:t xml:space="preserve"> </w:t>
      </w:r>
      <w:r w:rsidRPr="009E7E9C">
        <w:t>the</w:t>
      </w:r>
      <w:r w:rsidRPr="009E7E9C">
        <w:rPr>
          <w:spacing w:val="-7"/>
        </w:rPr>
        <w:t xml:space="preserve"> </w:t>
      </w:r>
      <w:r w:rsidRPr="009E7E9C">
        <w:t>We</w:t>
      </w:r>
      <w:r w:rsidRPr="009E7E9C">
        <w:rPr>
          <w:spacing w:val="-8"/>
        </w:rPr>
        <w:t xml:space="preserve"> </w:t>
      </w:r>
      <w:r w:rsidRPr="009E7E9C">
        <w:t>Hire</w:t>
      </w:r>
      <w:r w:rsidRPr="009E7E9C">
        <w:rPr>
          <w:spacing w:val="-10"/>
        </w:rPr>
        <w:t xml:space="preserve"> </w:t>
      </w:r>
      <w:r w:rsidRPr="009E7E9C">
        <w:t>Vets</w:t>
      </w:r>
      <w:r w:rsidRPr="009E7E9C">
        <w:rPr>
          <w:spacing w:val="-8"/>
        </w:rPr>
        <w:t xml:space="preserve"> </w:t>
      </w:r>
      <w:r w:rsidRPr="009E7E9C">
        <w:t>recognition</w:t>
      </w:r>
      <w:r w:rsidRPr="009E7E9C">
        <w:rPr>
          <w:spacing w:val="-9"/>
        </w:rPr>
        <w:t xml:space="preserve"> </w:t>
      </w:r>
      <w:r w:rsidRPr="009E7E9C">
        <w:t>must</w:t>
      </w:r>
      <w:r w:rsidRPr="009E7E9C">
        <w:rPr>
          <w:spacing w:val="-8"/>
        </w:rPr>
        <w:t xml:space="preserve"> </w:t>
      </w:r>
      <w:r w:rsidRPr="009E7E9C">
        <w:rPr>
          <w:spacing w:val="-2"/>
        </w:rPr>
        <w:t>have:</w:t>
      </w:r>
    </w:p>
    <w:p w14:paraId="218BED5E" w14:textId="77777777" w:rsidR="006420CB" w:rsidRPr="000F25DC" w:rsidRDefault="006420CB" w:rsidP="00C64851">
      <w:pPr>
        <w:pStyle w:val="BodyText"/>
        <w:numPr>
          <w:ilvl w:val="0"/>
          <w:numId w:val="856"/>
        </w:numPr>
      </w:pPr>
      <w:r>
        <w:t>A</w:t>
      </w:r>
      <w:r w:rsidRPr="000F25DC">
        <w:rPr>
          <w:spacing w:val="-6"/>
        </w:rPr>
        <w:t xml:space="preserve"> </w:t>
      </w:r>
      <w:r w:rsidRPr="000F25DC">
        <w:t>workforce</w:t>
      </w:r>
      <w:r w:rsidRPr="000F25DC">
        <w:rPr>
          <w:spacing w:val="-8"/>
        </w:rPr>
        <w:t xml:space="preserve"> </w:t>
      </w:r>
      <w:r w:rsidRPr="000F25DC">
        <w:t>comprised</w:t>
      </w:r>
      <w:r w:rsidRPr="000F25DC">
        <w:rPr>
          <w:spacing w:val="-8"/>
        </w:rPr>
        <w:t xml:space="preserve"> </w:t>
      </w:r>
      <w:r w:rsidRPr="000F25DC">
        <w:t>of</w:t>
      </w:r>
      <w:r w:rsidRPr="000F25DC">
        <w:rPr>
          <w:spacing w:val="-8"/>
        </w:rPr>
        <w:t xml:space="preserve"> </w:t>
      </w:r>
      <w:r w:rsidRPr="000F25DC">
        <w:t>10</w:t>
      </w:r>
      <w:r>
        <w:t xml:space="preserve"> percent</w:t>
      </w:r>
      <w:r w:rsidRPr="000F25DC">
        <w:rPr>
          <w:spacing w:val="-7"/>
        </w:rPr>
        <w:t xml:space="preserve"> </w:t>
      </w:r>
      <w:r w:rsidRPr="000F25DC">
        <w:t>or</w:t>
      </w:r>
      <w:r w:rsidRPr="000F25DC">
        <w:rPr>
          <w:spacing w:val="-6"/>
        </w:rPr>
        <w:t xml:space="preserve"> </w:t>
      </w:r>
      <w:r w:rsidRPr="000F25DC">
        <w:t>more</w:t>
      </w:r>
      <w:r w:rsidRPr="000F25DC">
        <w:rPr>
          <w:spacing w:val="-7"/>
        </w:rPr>
        <w:t xml:space="preserve"> </w:t>
      </w:r>
      <w:r w:rsidRPr="000F25DC">
        <w:t>of</w:t>
      </w:r>
      <w:r w:rsidRPr="000F25DC">
        <w:rPr>
          <w:spacing w:val="-8"/>
        </w:rPr>
        <w:t xml:space="preserve"> </w:t>
      </w:r>
      <w:r w:rsidRPr="000F25DC">
        <w:t>U.S.</w:t>
      </w:r>
      <w:r w:rsidRPr="000F25DC">
        <w:rPr>
          <w:spacing w:val="-5"/>
        </w:rPr>
        <w:t xml:space="preserve"> </w:t>
      </w:r>
      <w:r w:rsidRPr="000F25DC">
        <w:t>Military</w:t>
      </w:r>
      <w:r w:rsidRPr="000F25DC">
        <w:rPr>
          <w:spacing w:val="-7"/>
        </w:rPr>
        <w:t xml:space="preserve"> </w:t>
      </w:r>
      <w:r w:rsidRPr="000F25DC">
        <w:t>Veterans</w:t>
      </w:r>
      <w:r>
        <w:t>.</w:t>
      </w:r>
    </w:p>
    <w:p w14:paraId="101DE506" w14:textId="77777777" w:rsidR="006420CB" w:rsidRPr="009E7E9C" w:rsidRDefault="006420CB" w:rsidP="00C64851">
      <w:pPr>
        <w:pStyle w:val="BodyText"/>
        <w:numPr>
          <w:ilvl w:val="0"/>
          <w:numId w:val="856"/>
        </w:numPr>
      </w:pPr>
      <w:r>
        <w:rPr>
          <w:spacing w:val="-2"/>
        </w:rPr>
        <w:t>A</w:t>
      </w:r>
      <w:r w:rsidRPr="000F25DC">
        <w:rPr>
          <w:spacing w:val="-1"/>
        </w:rPr>
        <w:t xml:space="preserve"> </w:t>
      </w:r>
      <w:r w:rsidRPr="000F25DC">
        <w:rPr>
          <w:spacing w:val="-2"/>
        </w:rPr>
        <w:t>Texas Taxpayer Unemployment</w:t>
      </w:r>
      <w:r w:rsidRPr="000F25DC">
        <w:rPr>
          <w:spacing w:val="1"/>
        </w:rPr>
        <w:t xml:space="preserve"> </w:t>
      </w:r>
      <w:r w:rsidRPr="000F25DC">
        <w:rPr>
          <w:spacing w:val="-2"/>
        </w:rPr>
        <w:t>Insurance</w:t>
      </w:r>
      <w:r w:rsidRPr="000F25DC">
        <w:rPr>
          <w:spacing w:val="1"/>
        </w:rPr>
        <w:t xml:space="preserve"> </w:t>
      </w:r>
      <w:r w:rsidRPr="000F25DC">
        <w:rPr>
          <w:spacing w:val="-2"/>
        </w:rPr>
        <w:t>Account</w:t>
      </w:r>
      <w:r w:rsidRPr="000F25DC">
        <w:rPr>
          <w:spacing w:val="1"/>
        </w:rPr>
        <w:t xml:space="preserve"> </w:t>
      </w:r>
      <w:r w:rsidRPr="000F25DC">
        <w:rPr>
          <w:spacing w:val="-2"/>
        </w:rPr>
        <w:t>in</w:t>
      </w:r>
      <w:r w:rsidRPr="000F25DC">
        <w:rPr>
          <w:spacing w:val="-3"/>
        </w:rPr>
        <w:t xml:space="preserve"> </w:t>
      </w:r>
      <w:r w:rsidRPr="000F25DC">
        <w:rPr>
          <w:spacing w:val="-2"/>
        </w:rPr>
        <w:t>good</w:t>
      </w:r>
      <w:r w:rsidRPr="000F25DC">
        <w:rPr>
          <w:spacing w:val="-1"/>
        </w:rPr>
        <w:t xml:space="preserve"> </w:t>
      </w:r>
      <w:r w:rsidRPr="000F25DC">
        <w:rPr>
          <w:spacing w:val="-2"/>
        </w:rPr>
        <w:t>standing.</w:t>
      </w:r>
    </w:p>
    <w:p w14:paraId="0BC8D901" w14:textId="45E11B6E" w:rsidR="006420CB" w:rsidRPr="000F25DC" w:rsidRDefault="00221F1F" w:rsidP="00221F1F">
      <w:pPr>
        <w:pStyle w:val="BodyText3"/>
        <w:ind w:left="720" w:hanging="720"/>
      </w:pPr>
      <w:r>
        <w:t>F.</w:t>
      </w:r>
      <w:r>
        <w:tab/>
      </w:r>
      <w:r w:rsidR="006420CB" w:rsidRPr="000F25DC">
        <w:t>Describe how the division or program is administered, including a description of key processes involved. If you have existing documentation (e.g., flowcharts, timelines, and other illustrations)</w:t>
      </w:r>
      <w:r w:rsidR="006420CB" w:rsidRPr="000F25DC">
        <w:rPr>
          <w:spacing w:val="-3"/>
        </w:rPr>
        <w:t xml:space="preserve"> </w:t>
      </w:r>
      <w:r w:rsidR="006420CB" w:rsidRPr="000F25DC">
        <w:t>to</w:t>
      </w:r>
      <w:r w:rsidR="006420CB" w:rsidRPr="000F25DC">
        <w:rPr>
          <w:spacing w:val="-2"/>
        </w:rPr>
        <w:t xml:space="preserve"> </w:t>
      </w:r>
      <w:r w:rsidR="006420CB" w:rsidRPr="000F25DC">
        <w:t>describe</w:t>
      </w:r>
      <w:r w:rsidR="006420CB" w:rsidRPr="000F25DC">
        <w:rPr>
          <w:spacing w:val="-6"/>
        </w:rPr>
        <w:t xml:space="preserve"> </w:t>
      </w:r>
      <w:r w:rsidR="006420CB" w:rsidRPr="000F25DC">
        <w:t>agency</w:t>
      </w:r>
      <w:r w:rsidR="006420CB" w:rsidRPr="000F25DC">
        <w:rPr>
          <w:spacing w:val="-3"/>
        </w:rPr>
        <w:t xml:space="preserve"> </w:t>
      </w:r>
      <w:r w:rsidR="006420CB" w:rsidRPr="000F25DC">
        <w:t>policies</w:t>
      </w:r>
      <w:r w:rsidR="006420CB" w:rsidRPr="000F25DC">
        <w:rPr>
          <w:spacing w:val="-2"/>
        </w:rPr>
        <w:t xml:space="preserve"> </w:t>
      </w:r>
      <w:r w:rsidR="006420CB" w:rsidRPr="000F25DC">
        <w:t>and</w:t>
      </w:r>
      <w:r w:rsidR="006420CB" w:rsidRPr="000F25DC">
        <w:rPr>
          <w:spacing w:val="-2"/>
        </w:rPr>
        <w:t xml:space="preserve"> </w:t>
      </w:r>
      <w:r w:rsidR="006420CB" w:rsidRPr="000F25DC">
        <w:t>procedures,</w:t>
      </w:r>
      <w:r w:rsidR="006420CB" w:rsidRPr="000F25DC">
        <w:rPr>
          <w:spacing w:val="-2"/>
        </w:rPr>
        <w:t xml:space="preserve"> </w:t>
      </w:r>
      <w:r w:rsidR="006420CB" w:rsidRPr="000F25DC">
        <w:t>please</w:t>
      </w:r>
      <w:r w:rsidR="006420CB" w:rsidRPr="000F25DC">
        <w:rPr>
          <w:spacing w:val="-3"/>
        </w:rPr>
        <w:t xml:space="preserve"> </w:t>
      </w:r>
      <w:r w:rsidR="006420CB" w:rsidRPr="000F25DC">
        <w:t>include</w:t>
      </w:r>
      <w:r w:rsidR="006420CB" w:rsidRPr="000F25DC">
        <w:rPr>
          <w:spacing w:val="-3"/>
        </w:rPr>
        <w:t xml:space="preserve"> </w:t>
      </w:r>
      <w:r w:rsidR="006420CB" w:rsidRPr="000F25DC">
        <w:t>them</w:t>
      </w:r>
      <w:r w:rsidR="006420CB" w:rsidRPr="000F25DC">
        <w:rPr>
          <w:spacing w:val="-3"/>
        </w:rPr>
        <w:t xml:space="preserve"> </w:t>
      </w:r>
      <w:r w:rsidR="006420CB" w:rsidRPr="000F25DC">
        <w:t>as</w:t>
      </w:r>
      <w:r w:rsidR="006420CB" w:rsidRPr="000F25DC">
        <w:rPr>
          <w:spacing w:val="-2"/>
        </w:rPr>
        <w:t xml:space="preserve"> </w:t>
      </w:r>
      <w:r w:rsidR="006420CB" w:rsidRPr="000F25DC">
        <w:t>attachments. Indicate how field/regional services are used, if applicable.</w:t>
      </w:r>
    </w:p>
    <w:p w14:paraId="3339AF37" w14:textId="77777777" w:rsidR="006420CB" w:rsidRPr="00221F1F" w:rsidRDefault="006420CB" w:rsidP="00221F1F">
      <w:pPr>
        <w:pStyle w:val="BodyText"/>
      </w:pPr>
      <w:r w:rsidRPr="00221F1F">
        <w:t>TVLP works with nearly every department in TWC, all 28 Boards, TVC, other state agencies, city governments, county governments, chambers of commerce, employers, veteran service organizations, community-based organizations, faith-based organizations, and the federal government, specifically military installations and the Department of Veterans Aﬀairs. TVLP’s mission is to take care of the veterans and maintain outstanding partnerships.</w:t>
      </w:r>
    </w:p>
    <w:p w14:paraId="47039F21" w14:textId="77777777" w:rsidR="006420CB" w:rsidRPr="00221F1F" w:rsidRDefault="006420CB" w:rsidP="00221F1F">
      <w:pPr>
        <w:pStyle w:val="BodyText"/>
      </w:pPr>
      <w:r w:rsidRPr="00221F1F">
        <w:lastRenderedPageBreak/>
        <w:t xml:space="preserve">Seventeen VRRSs work with the 28 Boards and TVC staﬀ throughout the state. These team members </w:t>
      </w:r>
      <w:proofErr w:type="gramStart"/>
      <w:r w:rsidRPr="00221F1F">
        <w:t>are located in</w:t>
      </w:r>
      <w:proofErr w:type="gramEnd"/>
      <w:r w:rsidRPr="00221F1F">
        <w:t xml:space="preserve"> Workforce Solutions Offices and available to work with veterans who are not eligible to be seen by TVC employment staﬀ or if TVC staﬀ are not available.</w:t>
      </w:r>
    </w:p>
    <w:p w14:paraId="70FCA022" w14:textId="77777777" w:rsidR="006420CB" w:rsidRPr="00221F1F" w:rsidRDefault="006420CB" w:rsidP="00221F1F">
      <w:pPr>
        <w:pStyle w:val="BodyText"/>
      </w:pPr>
      <w:r w:rsidRPr="00221F1F">
        <w:t>Three VRRSs work on military installations with transition assistance centers including Fort Hood, Fort Bliss, and Joint Base San Antonio. They work directly with TSMs and military families.</w:t>
      </w:r>
    </w:p>
    <w:p w14:paraId="26982ED1" w14:textId="77777777" w:rsidR="006420CB" w:rsidRPr="00221F1F" w:rsidRDefault="006420CB" w:rsidP="00221F1F">
      <w:pPr>
        <w:pStyle w:val="BodyText"/>
      </w:pPr>
      <w:r w:rsidRPr="00221F1F">
        <w:t>One TVLP staﬀ member works directly with participating schools in the College Credit for Heroes program. This staﬀ member also:</w:t>
      </w:r>
    </w:p>
    <w:p w14:paraId="3748C225" w14:textId="77777777" w:rsidR="006420CB" w:rsidRPr="00221F1F" w:rsidRDefault="006420CB" w:rsidP="00C64851">
      <w:pPr>
        <w:pStyle w:val="BodyText"/>
        <w:numPr>
          <w:ilvl w:val="0"/>
          <w:numId w:val="857"/>
        </w:numPr>
      </w:pPr>
      <w:r w:rsidRPr="00221F1F">
        <w:t>Conducts outreach to institutions of higher education and handles veterans' education questions.</w:t>
      </w:r>
    </w:p>
    <w:p w14:paraId="7D4CE472" w14:textId="77777777" w:rsidR="006420CB" w:rsidRPr="00221F1F" w:rsidRDefault="006420CB" w:rsidP="00C64851">
      <w:pPr>
        <w:pStyle w:val="BodyText"/>
        <w:numPr>
          <w:ilvl w:val="0"/>
          <w:numId w:val="857"/>
        </w:numPr>
      </w:pPr>
      <w:r w:rsidRPr="00221F1F">
        <w:t>Maintains the We Hire Vets tracking sheet.</w:t>
      </w:r>
    </w:p>
    <w:p w14:paraId="09E4F5E9" w14:textId="77777777" w:rsidR="006420CB" w:rsidRPr="00221F1F" w:rsidRDefault="006420CB" w:rsidP="00C64851">
      <w:pPr>
        <w:pStyle w:val="BodyText"/>
        <w:numPr>
          <w:ilvl w:val="0"/>
          <w:numId w:val="857"/>
        </w:numPr>
      </w:pPr>
      <w:r w:rsidRPr="00221F1F">
        <w:t xml:space="preserve">Assists the TVLP director with the annual Hiring Red, White and You Job Fair. </w:t>
      </w:r>
    </w:p>
    <w:p w14:paraId="2FBA8EF0" w14:textId="77777777" w:rsidR="006420CB" w:rsidRPr="00221F1F" w:rsidRDefault="006420CB" w:rsidP="00221F1F">
      <w:pPr>
        <w:pStyle w:val="BodyText"/>
      </w:pPr>
      <w:r w:rsidRPr="00221F1F">
        <w:t>The TVLP director is designated as TWC’s veteran liaison. The liaison duties include responsibilities ranging from hiring procedures, training hiring managers on the state’s military employment preference, training other state agency human resources personnel on the state’s Military Employment Preference, handling complaints, and facilitating resolutions when employees who are veterans experience issues.</w:t>
      </w:r>
    </w:p>
    <w:p w14:paraId="5E8D06D4" w14:textId="1E4DAA5B" w:rsidR="006420CB" w:rsidRDefault="006420CB" w:rsidP="00221F1F">
      <w:pPr>
        <w:pStyle w:val="BodyText"/>
      </w:pPr>
      <w:r>
        <w:t>Other TVLP staff functions include the following</w:t>
      </w:r>
      <w:r w:rsidR="000207A4">
        <w:t>:</w:t>
      </w:r>
    </w:p>
    <w:p w14:paraId="634BE368" w14:textId="77777777" w:rsidR="006420CB" w:rsidRPr="0063746F" w:rsidRDefault="006420CB" w:rsidP="00C64851">
      <w:pPr>
        <w:pStyle w:val="BodyText"/>
        <w:numPr>
          <w:ilvl w:val="0"/>
          <w:numId w:val="858"/>
        </w:numPr>
      </w:pPr>
      <w:r>
        <w:t>C</w:t>
      </w:r>
      <w:r w:rsidRPr="0063746F">
        <w:t>hair</w:t>
      </w:r>
      <w:r w:rsidRPr="0063746F">
        <w:rPr>
          <w:spacing w:val="-9"/>
        </w:rPr>
        <w:t xml:space="preserve"> </w:t>
      </w:r>
      <w:r w:rsidRPr="0063746F">
        <w:t>the</w:t>
      </w:r>
      <w:r w:rsidRPr="0063746F">
        <w:rPr>
          <w:spacing w:val="-11"/>
        </w:rPr>
        <w:t xml:space="preserve"> </w:t>
      </w:r>
      <w:r w:rsidRPr="0063746F">
        <w:t>Employment</w:t>
      </w:r>
      <w:r w:rsidRPr="0063746F">
        <w:rPr>
          <w:spacing w:val="-9"/>
        </w:rPr>
        <w:t xml:space="preserve"> </w:t>
      </w:r>
      <w:r w:rsidRPr="0063746F">
        <w:t>Workgroup</w:t>
      </w:r>
      <w:r w:rsidRPr="0063746F">
        <w:rPr>
          <w:spacing w:val="-12"/>
        </w:rPr>
        <w:t xml:space="preserve"> </w:t>
      </w:r>
      <w:r w:rsidRPr="0063746F">
        <w:t>of</w:t>
      </w:r>
      <w:r w:rsidRPr="0063746F">
        <w:rPr>
          <w:spacing w:val="-9"/>
        </w:rPr>
        <w:t xml:space="preserve"> </w:t>
      </w:r>
      <w:r w:rsidRPr="0063746F">
        <w:t>the</w:t>
      </w:r>
      <w:r w:rsidRPr="0063746F">
        <w:rPr>
          <w:spacing w:val="-9"/>
        </w:rPr>
        <w:t xml:space="preserve"> </w:t>
      </w:r>
      <w:r w:rsidRPr="0063746F">
        <w:t>Texas</w:t>
      </w:r>
      <w:r w:rsidRPr="0063746F">
        <w:rPr>
          <w:spacing w:val="-9"/>
        </w:rPr>
        <w:t xml:space="preserve"> </w:t>
      </w:r>
      <w:r w:rsidRPr="0063746F">
        <w:t>Coordinating</w:t>
      </w:r>
      <w:r w:rsidRPr="0063746F">
        <w:rPr>
          <w:spacing w:val="-10"/>
        </w:rPr>
        <w:t xml:space="preserve"> </w:t>
      </w:r>
      <w:r w:rsidRPr="0063746F">
        <w:t>Council</w:t>
      </w:r>
      <w:r w:rsidRPr="0063746F">
        <w:rPr>
          <w:spacing w:val="-12"/>
        </w:rPr>
        <w:t xml:space="preserve"> </w:t>
      </w:r>
      <w:r w:rsidRPr="0063746F">
        <w:t>for</w:t>
      </w:r>
      <w:r w:rsidRPr="0063746F">
        <w:rPr>
          <w:spacing w:val="-9"/>
        </w:rPr>
        <w:t xml:space="preserve"> </w:t>
      </w:r>
      <w:r w:rsidRPr="0063746F">
        <w:t>Veteran Services.</w:t>
      </w:r>
      <w:r w:rsidRPr="0063746F">
        <w:rPr>
          <w:spacing w:val="-3"/>
        </w:rPr>
        <w:t xml:space="preserve"> </w:t>
      </w:r>
      <w:r w:rsidRPr="0063746F">
        <w:t>At</w:t>
      </w:r>
      <w:r w:rsidRPr="0063746F">
        <w:rPr>
          <w:spacing w:val="-5"/>
        </w:rPr>
        <w:t xml:space="preserve"> </w:t>
      </w:r>
      <w:r w:rsidRPr="0063746F">
        <w:t>least</w:t>
      </w:r>
      <w:r w:rsidRPr="0063746F">
        <w:rPr>
          <w:spacing w:val="-2"/>
        </w:rPr>
        <w:t xml:space="preserve"> </w:t>
      </w:r>
      <w:r>
        <w:t>two</w:t>
      </w:r>
      <w:r w:rsidRPr="0063746F">
        <w:rPr>
          <w:spacing w:val="-4"/>
        </w:rPr>
        <w:t xml:space="preserve"> </w:t>
      </w:r>
      <w:r w:rsidRPr="0063746F">
        <w:t>staﬀ</w:t>
      </w:r>
      <w:r w:rsidRPr="0063746F">
        <w:rPr>
          <w:spacing w:val="-5"/>
        </w:rPr>
        <w:t xml:space="preserve"> </w:t>
      </w:r>
      <w:r w:rsidRPr="0063746F">
        <w:t>members</w:t>
      </w:r>
      <w:r w:rsidRPr="0063746F">
        <w:rPr>
          <w:spacing w:val="-3"/>
        </w:rPr>
        <w:t xml:space="preserve"> </w:t>
      </w:r>
      <w:r w:rsidRPr="0063746F">
        <w:t>participate</w:t>
      </w:r>
      <w:r w:rsidRPr="0063746F">
        <w:rPr>
          <w:spacing w:val="-2"/>
        </w:rPr>
        <w:t xml:space="preserve"> </w:t>
      </w:r>
      <w:r w:rsidRPr="0063746F">
        <w:t>in</w:t>
      </w:r>
      <w:r w:rsidRPr="0063746F">
        <w:rPr>
          <w:spacing w:val="-4"/>
        </w:rPr>
        <w:t xml:space="preserve"> </w:t>
      </w:r>
      <w:r w:rsidRPr="0063746F">
        <w:t>all</w:t>
      </w:r>
      <w:r>
        <w:t xml:space="preserve"> nine</w:t>
      </w:r>
      <w:r w:rsidRPr="0063746F">
        <w:rPr>
          <w:spacing w:val="-2"/>
        </w:rPr>
        <w:t xml:space="preserve"> </w:t>
      </w:r>
      <w:r w:rsidRPr="0063746F">
        <w:t>workgroups</w:t>
      </w:r>
      <w:r w:rsidRPr="0063746F">
        <w:rPr>
          <w:spacing w:val="-5"/>
        </w:rPr>
        <w:t xml:space="preserve"> </w:t>
      </w:r>
      <w:r w:rsidRPr="0063746F">
        <w:t>of</w:t>
      </w:r>
      <w:r w:rsidRPr="0063746F">
        <w:rPr>
          <w:spacing w:val="-5"/>
        </w:rPr>
        <w:t xml:space="preserve"> </w:t>
      </w:r>
      <w:r w:rsidRPr="0063746F">
        <w:t>the</w:t>
      </w:r>
      <w:r w:rsidRPr="0063746F">
        <w:rPr>
          <w:spacing w:val="-5"/>
        </w:rPr>
        <w:t xml:space="preserve"> </w:t>
      </w:r>
      <w:r>
        <w:t>council</w:t>
      </w:r>
      <w:r w:rsidRPr="0063746F">
        <w:t>.</w:t>
      </w:r>
    </w:p>
    <w:p w14:paraId="715FF84D" w14:textId="77777777" w:rsidR="006420CB" w:rsidRDefault="006420CB" w:rsidP="00C64851">
      <w:pPr>
        <w:pStyle w:val="BodyText"/>
        <w:numPr>
          <w:ilvl w:val="0"/>
          <w:numId w:val="858"/>
        </w:numPr>
      </w:pPr>
      <w:r>
        <w:t>P</w:t>
      </w:r>
      <w:r w:rsidRPr="000F25DC">
        <w:t>articipate</w:t>
      </w:r>
      <w:r w:rsidRPr="000F25DC">
        <w:rPr>
          <w:spacing w:val="-6"/>
        </w:rPr>
        <w:t xml:space="preserve"> </w:t>
      </w:r>
      <w:r w:rsidRPr="000F25DC">
        <w:t>in</w:t>
      </w:r>
      <w:r w:rsidRPr="000F25DC">
        <w:rPr>
          <w:spacing w:val="-8"/>
        </w:rPr>
        <w:t xml:space="preserve"> </w:t>
      </w:r>
      <w:r w:rsidRPr="000F25DC">
        <w:t>veteran</w:t>
      </w:r>
      <w:r w:rsidRPr="000F25DC">
        <w:rPr>
          <w:spacing w:val="-8"/>
        </w:rPr>
        <w:t xml:space="preserve"> </w:t>
      </w:r>
      <w:r w:rsidRPr="000F25DC">
        <w:t>treatment</w:t>
      </w:r>
      <w:r w:rsidRPr="000F25DC">
        <w:rPr>
          <w:spacing w:val="-9"/>
        </w:rPr>
        <w:t xml:space="preserve"> </w:t>
      </w:r>
      <w:r w:rsidRPr="000F25DC">
        <w:t>courts</w:t>
      </w:r>
      <w:r w:rsidRPr="000F25DC">
        <w:rPr>
          <w:spacing w:val="-7"/>
        </w:rPr>
        <w:t xml:space="preserve"> </w:t>
      </w:r>
      <w:r w:rsidRPr="000F25DC">
        <w:t>and</w:t>
      </w:r>
      <w:r w:rsidRPr="000F25DC">
        <w:rPr>
          <w:spacing w:val="-8"/>
        </w:rPr>
        <w:t xml:space="preserve"> </w:t>
      </w:r>
      <w:r w:rsidRPr="000F25DC">
        <w:t>serve</w:t>
      </w:r>
      <w:r w:rsidRPr="000F25DC">
        <w:rPr>
          <w:spacing w:val="-9"/>
        </w:rPr>
        <w:t xml:space="preserve"> </w:t>
      </w:r>
      <w:r w:rsidRPr="000F25DC">
        <w:t>on</w:t>
      </w:r>
      <w:r w:rsidRPr="000F25DC">
        <w:rPr>
          <w:spacing w:val="-8"/>
        </w:rPr>
        <w:t xml:space="preserve"> </w:t>
      </w:r>
      <w:r w:rsidRPr="000F25DC">
        <w:t>homeless</w:t>
      </w:r>
      <w:r w:rsidRPr="000F25DC">
        <w:rPr>
          <w:spacing w:val="-7"/>
        </w:rPr>
        <w:t xml:space="preserve"> </w:t>
      </w:r>
      <w:r w:rsidRPr="000F25DC">
        <w:t>veteran</w:t>
      </w:r>
      <w:r w:rsidRPr="000F25DC">
        <w:rPr>
          <w:spacing w:val="-8"/>
        </w:rPr>
        <w:t xml:space="preserve"> </w:t>
      </w:r>
      <w:r w:rsidRPr="000F25DC">
        <w:t>committees, veteran suicide-prevention committees, and U</w:t>
      </w:r>
      <w:r>
        <w:t>.</w:t>
      </w:r>
      <w:r w:rsidRPr="000F25DC">
        <w:t>S</w:t>
      </w:r>
      <w:r>
        <w:t>.</w:t>
      </w:r>
      <w:r w:rsidRPr="000F25DC">
        <w:t xml:space="preserve"> Department of Veterans Aﬀairs’ community veterans engagement boards across the state. </w:t>
      </w:r>
    </w:p>
    <w:p w14:paraId="09C594EB" w14:textId="77777777" w:rsidR="006420CB" w:rsidRPr="0075735F" w:rsidRDefault="006420CB" w:rsidP="00C64851">
      <w:pPr>
        <w:pStyle w:val="BodyText"/>
        <w:numPr>
          <w:ilvl w:val="0"/>
          <w:numId w:val="858"/>
        </w:numPr>
      </w:pPr>
      <w:r>
        <w:t>P</w:t>
      </w:r>
      <w:r w:rsidRPr="000F25DC">
        <w:t>artner</w:t>
      </w:r>
      <w:r w:rsidRPr="000F25DC">
        <w:rPr>
          <w:spacing w:val="-9"/>
        </w:rPr>
        <w:t xml:space="preserve"> </w:t>
      </w:r>
      <w:r w:rsidRPr="000F25DC">
        <w:t>with</w:t>
      </w:r>
      <w:r w:rsidRPr="000F25DC">
        <w:rPr>
          <w:spacing w:val="-10"/>
        </w:rPr>
        <w:t xml:space="preserve"> </w:t>
      </w:r>
      <w:r w:rsidRPr="000F25DC">
        <w:t>the</w:t>
      </w:r>
      <w:r w:rsidRPr="000F25DC">
        <w:rPr>
          <w:spacing w:val="-11"/>
        </w:rPr>
        <w:t xml:space="preserve"> </w:t>
      </w:r>
      <w:r w:rsidRPr="000F25DC">
        <w:t>Texas</w:t>
      </w:r>
      <w:r w:rsidRPr="000F25DC">
        <w:rPr>
          <w:spacing w:val="-11"/>
        </w:rPr>
        <w:t xml:space="preserve"> </w:t>
      </w:r>
      <w:r w:rsidRPr="000F25DC">
        <w:t>Veterans</w:t>
      </w:r>
      <w:r w:rsidRPr="000F25DC">
        <w:rPr>
          <w:spacing w:val="-9"/>
        </w:rPr>
        <w:t xml:space="preserve"> </w:t>
      </w:r>
      <w:r w:rsidRPr="000F25DC">
        <w:t>of</w:t>
      </w:r>
      <w:r w:rsidRPr="000F25DC">
        <w:rPr>
          <w:spacing w:val="-9"/>
        </w:rPr>
        <w:t xml:space="preserve"> </w:t>
      </w:r>
      <w:r w:rsidRPr="000F25DC">
        <w:t>Foreign</w:t>
      </w:r>
      <w:r w:rsidRPr="000F25DC">
        <w:rPr>
          <w:spacing w:val="-10"/>
        </w:rPr>
        <w:t xml:space="preserve"> </w:t>
      </w:r>
      <w:r w:rsidRPr="000F25DC">
        <w:t>Wars,</w:t>
      </w:r>
      <w:r w:rsidRPr="000F25DC">
        <w:rPr>
          <w:spacing w:val="-10"/>
        </w:rPr>
        <w:t xml:space="preserve"> </w:t>
      </w:r>
      <w:r w:rsidRPr="000F25DC">
        <w:t>American</w:t>
      </w:r>
      <w:r w:rsidRPr="000F25DC">
        <w:rPr>
          <w:spacing w:val="-10"/>
        </w:rPr>
        <w:t xml:space="preserve"> </w:t>
      </w:r>
      <w:r w:rsidRPr="000F25DC">
        <w:rPr>
          <w:spacing w:val="-2"/>
        </w:rPr>
        <w:t>Legion,</w:t>
      </w:r>
      <w:r>
        <w:rPr>
          <w:spacing w:val="-2"/>
        </w:rPr>
        <w:t xml:space="preserve"> </w:t>
      </w:r>
      <w:r w:rsidRPr="000F25DC">
        <w:t>Boards,</w:t>
      </w:r>
      <w:r w:rsidRPr="000F25DC">
        <w:rPr>
          <w:spacing w:val="-9"/>
        </w:rPr>
        <w:t xml:space="preserve"> </w:t>
      </w:r>
      <w:r w:rsidRPr="000F25DC">
        <w:t>and</w:t>
      </w:r>
      <w:r w:rsidRPr="000F25DC">
        <w:rPr>
          <w:spacing w:val="-7"/>
        </w:rPr>
        <w:t xml:space="preserve"> </w:t>
      </w:r>
      <w:r>
        <w:rPr>
          <w:spacing w:val="-6"/>
        </w:rPr>
        <w:t xml:space="preserve">TVC </w:t>
      </w:r>
      <w:r w:rsidRPr="000F25DC">
        <w:t>to</w:t>
      </w:r>
      <w:r w:rsidRPr="000F25DC">
        <w:rPr>
          <w:spacing w:val="-6"/>
        </w:rPr>
        <w:t xml:space="preserve"> </w:t>
      </w:r>
      <w:r w:rsidRPr="000F25DC">
        <w:t>host</w:t>
      </w:r>
      <w:r w:rsidRPr="000F25DC">
        <w:rPr>
          <w:spacing w:val="-6"/>
        </w:rPr>
        <w:t xml:space="preserve"> </w:t>
      </w:r>
      <w:r w:rsidRPr="000F25DC">
        <w:t>in-person</w:t>
      </w:r>
      <w:r w:rsidRPr="000F25DC">
        <w:rPr>
          <w:spacing w:val="-7"/>
        </w:rPr>
        <w:t xml:space="preserve"> </w:t>
      </w:r>
      <w:r w:rsidRPr="000F25DC">
        <w:t>job</w:t>
      </w:r>
      <w:r w:rsidRPr="000F25DC">
        <w:rPr>
          <w:spacing w:val="-9"/>
        </w:rPr>
        <w:t xml:space="preserve"> </w:t>
      </w:r>
      <w:r w:rsidRPr="000F25DC">
        <w:t>fairs,</w:t>
      </w:r>
      <w:r w:rsidRPr="000F25DC">
        <w:rPr>
          <w:spacing w:val="-8"/>
        </w:rPr>
        <w:t xml:space="preserve"> </w:t>
      </w:r>
      <w:r w:rsidRPr="000F25DC">
        <w:t>dedicated</w:t>
      </w:r>
      <w:r w:rsidRPr="000F25DC">
        <w:rPr>
          <w:spacing w:val="-9"/>
        </w:rPr>
        <w:t xml:space="preserve"> </w:t>
      </w:r>
      <w:r w:rsidRPr="000F25DC">
        <w:t>to</w:t>
      </w:r>
      <w:r w:rsidRPr="000F25DC">
        <w:rPr>
          <w:spacing w:val="-6"/>
        </w:rPr>
        <w:t xml:space="preserve"> </w:t>
      </w:r>
      <w:r w:rsidRPr="000F25DC">
        <w:t>connecting</w:t>
      </w:r>
      <w:r w:rsidRPr="000F25DC">
        <w:rPr>
          <w:spacing w:val="-7"/>
        </w:rPr>
        <w:t xml:space="preserve"> </w:t>
      </w:r>
      <w:r w:rsidRPr="000F25DC">
        <w:t>veterans</w:t>
      </w:r>
      <w:r w:rsidRPr="000F25DC">
        <w:rPr>
          <w:spacing w:val="-8"/>
        </w:rPr>
        <w:t xml:space="preserve"> </w:t>
      </w:r>
      <w:r w:rsidRPr="000F25DC">
        <w:t>with</w:t>
      </w:r>
      <w:r w:rsidRPr="000F25DC">
        <w:rPr>
          <w:spacing w:val="-7"/>
        </w:rPr>
        <w:t xml:space="preserve"> </w:t>
      </w:r>
      <w:r w:rsidRPr="000F25DC">
        <w:t>hiring</w:t>
      </w:r>
      <w:r w:rsidRPr="000F25DC">
        <w:rPr>
          <w:spacing w:val="-8"/>
        </w:rPr>
        <w:t xml:space="preserve"> </w:t>
      </w:r>
      <w:r w:rsidRPr="000F25DC">
        <w:rPr>
          <w:spacing w:val="-2"/>
        </w:rPr>
        <w:t>employers.</w:t>
      </w:r>
    </w:p>
    <w:p w14:paraId="7BEEA10F" w14:textId="77777777" w:rsidR="006420CB" w:rsidRPr="009577C6" w:rsidRDefault="006420CB" w:rsidP="00C64851">
      <w:pPr>
        <w:pStyle w:val="BodyText"/>
        <w:numPr>
          <w:ilvl w:val="0"/>
          <w:numId w:val="858"/>
        </w:numPr>
      </w:pPr>
      <w:r w:rsidRPr="0075735F">
        <w:rPr>
          <w:rFonts w:asciiTheme="minorHAnsi" w:hAnsiTheme="minorHAnsi" w:cstheme="minorHAnsi"/>
          <w:sz w:val="24"/>
          <w:szCs w:val="24"/>
        </w:rPr>
        <w:t xml:space="preserve">Connect TSMs, recently separated veterans, and military spouses with </w:t>
      </w:r>
      <w:r>
        <w:rPr>
          <w:rFonts w:asciiTheme="minorHAnsi" w:hAnsiTheme="minorHAnsi" w:cstheme="minorHAnsi"/>
          <w:sz w:val="24"/>
          <w:szCs w:val="24"/>
        </w:rPr>
        <w:t>specific</w:t>
      </w:r>
      <w:r w:rsidRPr="00B64474">
        <w:rPr>
          <w:rFonts w:asciiTheme="minorHAnsi" w:hAnsiTheme="minorHAnsi" w:cstheme="minorHAnsi"/>
          <w:sz w:val="24"/>
          <w:szCs w:val="24"/>
        </w:rPr>
        <w:t xml:space="preserve"> </w:t>
      </w:r>
      <w:r w:rsidRPr="0075735F">
        <w:rPr>
          <w:rFonts w:asciiTheme="minorHAnsi" w:hAnsiTheme="minorHAnsi" w:cstheme="minorHAnsi"/>
          <w:sz w:val="24"/>
          <w:szCs w:val="24"/>
        </w:rPr>
        <w:t>employers</w:t>
      </w:r>
      <w:r w:rsidRPr="00B64474">
        <w:rPr>
          <w:rFonts w:asciiTheme="minorHAnsi" w:hAnsiTheme="minorHAnsi" w:cstheme="minorHAnsi"/>
          <w:sz w:val="24"/>
          <w:szCs w:val="24"/>
        </w:rPr>
        <w:t>, including</w:t>
      </w:r>
      <w:r w:rsidRPr="0075735F">
        <w:rPr>
          <w:rFonts w:asciiTheme="minorHAnsi" w:hAnsiTheme="minorHAnsi" w:cstheme="minorHAnsi"/>
          <w:sz w:val="24"/>
          <w:szCs w:val="24"/>
        </w:rPr>
        <w:t xml:space="preserve"> state agencies</w:t>
      </w:r>
      <w:r w:rsidRPr="00B64474">
        <w:rPr>
          <w:rFonts w:asciiTheme="minorHAnsi" w:hAnsiTheme="minorHAnsi" w:cstheme="minorHAnsi"/>
          <w:sz w:val="24"/>
          <w:szCs w:val="24"/>
        </w:rPr>
        <w:t xml:space="preserve">. </w:t>
      </w:r>
      <w:r w:rsidRPr="0075735F">
        <w:rPr>
          <w:rFonts w:asciiTheme="minorHAnsi" w:hAnsiTheme="minorHAnsi" w:cstheme="minorHAnsi"/>
          <w:sz w:val="24"/>
          <w:szCs w:val="24"/>
        </w:rPr>
        <w:t xml:space="preserve"> </w:t>
      </w:r>
    </w:p>
    <w:p w14:paraId="0CA5A44E" w14:textId="77777777" w:rsidR="006420CB" w:rsidRPr="000F25DC" w:rsidRDefault="006420CB" w:rsidP="00C64851">
      <w:pPr>
        <w:pStyle w:val="BodyText"/>
        <w:numPr>
          <w:ilvl w:val="0"/>
          <w:numId w:val="858"/>
        </w:numPr>
      </w:pPr>
      <w:r>
        <w:t>E</w:t>
      </w:r>
      <w:r w:rsidRPr="000F25DC">
        <w:t>nter</w:t>
      </w:r>
      <w:r w:rsidRPr="000F25DC">
        <w:rPr>
          <w:spacing w:val="-9"/>
        </w:rPr>
        <w:t xml:space="preserve"> </w:t>
      </w:r>
      <w:r w:rsidRPr="000F25DC">
        <w:t>information</w:t>
      </w:r>
      <w:r w:rsidRPr="000F25DC">
        <w:rPr>
          <w:spacing w:val="-10"/>
        </w:rPr>
        <w:t xml:space="preserve"> </w:t>
      </w:r>
      <w:r w:rsidRPr="000F25DC">
        <w:t>into</w:t>
      </w:r>
      <w:r w:rsidRPr="000F25DC">
        <w:rPr>
          <w:spacing w:val="-9"/>
        </w:rPr>
        <w:t xml:space="preserve"> </w:t>
      </w:r>
      <w:r w:rsidRPr="000F25DC">
        <w:t>the</w:t>
      </w:r>
      <w:r w:rsidRPr="000F25DC">
        <w:rPr>
          <w:spacing w:val="-9"/>
        </w:rPr>
        <w:t xml:space="preserve"> </w:t>
      </w:r>
      <w:r w:rsidRPr="000F25DC">
        <w:t>Work</w:t>
      </w:r>
      <w:r w:rsidRPr="000F25DC">
        <w:rPr>
          <w:spacing w:val="-11"/>
        </w:rPr>
        <w:t xml:space="preserve"> </w:t>
      </w:r>
      <w:r w:rsidRPr="000F25DC">
        <w:t>Opportunity</w:t>
      </w:r>
      <w:r w:rsidRPr="000F25DC">
        <w:rPr>
          <w:spacing w:val="-10"/>
        </w:rPr>
        <w:t xml:space="preserve"> </w:t>
      </w:r>
      <w:r w:rsidRPr="000F25DC">
        <w:t>Tax</w:t>
      </w:r>
      <w:r w:rsidRPr="000F25DC">
        <w:rPr>
          <w:spacing w:val="-9"/>
        </w:rPr>
        <w:t xml:space="preserve"> </w:t>
      </w:r>
      <w:r w:rsidRPr="000F25DC">
        <w:t>Credit</w:t>
      </w:r>
      <w:r w:rsidRPr="000F25DC">
        <w:rPr>
          <w:spacing w:val="-9"/>
        </w:rPr>
        <w:t xml:space="preserve"> </w:t>
      </w:r>
      <w:r w:rsidRPr="000F25DC">
        <w:t>(WOTC)</w:t>
      </w:r>
      <w:r w:rsidRPr="000F25DC">
        <w:rPr>
          <w:spacing w:val="-9"/>
        </w:rPr>
        <w:t xml:space="preserve"> </w:t>
      </w:r>
      <w:r w:rsidRPr="000F25DC">
        <w:t>system</w:t>
      </w:r>
      <w:r w:rsidRPr="000F25DC">
        <w:rPr>
          <w:spacing w:val="-12"/>
        </w:rPr>
        <w:t xml:space="preserve"> </w:t>
      </w:r>
      <w:r w:rsidRPr="000F25DC">
        <w:t>that</w:t>
      </w:r>
      <w:r w:rsidRPr="000F25DC">
        <w:rPr>
          <w:spacing w:val="-9"/>
        </w:rPr>
        <w:t xml:space="preserve"> </w:t>
      </w:r>
      <w:r w:rsidRPr="000F25DC">
        <w:t>generates the conditional WOTC letter for eligible veterans. This letter is given to employers to inform them a veteran is eligible for the WOTC incentive to hire veterans.</w:t>
      </w:r>
      <w:r w:rsidRPr="007160FD">
        <w:t xml:space="preserve"> </w:t>
      </w:r>
    </w:p>
    <w:p w14:paraId="499CEE85" w14:textId="77777777" w:rsidR="006420CB" w:rsidRPr="000F25DC" w:rsidRDefault="006420CB" w:rsidP="00C64851">
      <w:pPr>
        <w:pStyle w:val="BodyText"/>
        <w:numPr>
          <w:ilvl w:val="0"/>
          <w:numId w:val="858"/>
        </w:numPr>
      </w:pPr>
      <w:r>
        <w:lastRenderedPageBreak/>
        <w:t xml:space="preserve">Prepare the </w:t>
      </w:r>
      <w:hyperlink r:id="rId181" w:history="1">
        <w:r w:rsidRPr="001270C8">
          <w:rPr>
            <w:rStyle w:val="Hyperlink"/>
            <w:rFonts w:asciiTheme="minorHAnsi" w:hAnsiTheme="minorHAnsi" w:cstheme="minorHAnsi"/>
            <w:sz w:val="24"/>
            <w:szCs w:val="24"/>
          </w:rPr>
          <w:t>Report on the Transition from Military Service to Employment 2024</w:t>
        </w:r>
      </w:hyperlink>
      <w:r>
        <w:t xml:space="preserve"> report according to Texas Labor Code, Section 302.020.</w:t>
      </w:r>
    </w:p>
    <w:p w14:paraId="24774846" w14:textId="77777777" w:rsidR="006420CB" w:rsidRPr="00CD6FFB" w:rsidRDefault="006420CB" w:rsidP="00CD6FFB">
      <w:pPr>
        <w:pStyle w:val="BodyText"/>
        <w:rPr>
          <w:b/>
          <w:bCs/>
        </w:rPr>
      </w:pPr>
      <w:r w:rsidRPr="00CD6FFB">
        <w:rPr>
          <w:b/>
          <w:bCs/>
        </w:rPr>
        <w:t>Texas Operation Welcome Home</w:t>
      </w:r>
    </w:p>
    <w:p w14:paraId="0F1C64BF" w14:textId="77777777" w:rsidR="006420CB" w:rsidRPr="00CD6FFB" w:rsidRDefault="006420CB" w:rsidP="00CD6FFB">
      <w:pPr>
        <w:pStyle w:val="BodyText"/>
      </w:pPr>
      <w:r w:rsidRPr="00CD6FFB">
        <w:t>On March 7, 2016, Governor Greg Abbott established the Tri-Agency Workforce Initiative to assess local economic activities, examine workforce challenges and opportunities, and consider innovative approaches to meeting the state’s workforce goals. Included in the Tri-Agency’s charge was an evaluation of gaps in services to Texas veterans. The Texas Operation Welcome Home program was developed by the Tri-Agency Workforce Initiative in conjunction with the 28 Workforce Development Boards (Boards); TVC; and military installations that include nine active duty, two reserves, and one National Guard facility. The program is designed to better meet the education, training, and employment needs of transitioning service members, recently separated veterans, and military spouses in Texas.</w:t>
      </w:r>
    </w:p>
    <w:p w14:paraId="4F51B985" w14:textId="77777777" w:rsidR="006420CB" w:rsidRPr="00CD6FFB" w:rsidRDefault="006420CB" w:rsidP="00CD6FFB">
      <w:pPr>
        <w:pStyle w:val="BodyText"/>
        <w:rPr>
          <w:b/>
          <w:bCs/>
        </w:rPr>
      </w:pPr>
      <w:r w:rsidRPr="00CD6FFB">
        <w:rPr>
          <w:b/>
          <w:bCs/>
        </w:rPr>
        <w:t>We Hire Vets Employer Recognition Program</w:t>
      </w:r>
    </w:p>
    <w:p w14:paraId="0D46FDC2" w14:textId="77777777" w:rsidR="006420CB" w:rsidRPr="00CD6FFB" w:rsidRDefault="006420CB" w:rsidP="00CD6FFB">
      <w:pPr>
        <w:pStyle w:val="BodyText"/>
      </w:pPr>
      <w:r w:rsidRPr="00CD6FFB">
        <w:t xml:space="preserve">TWC and TVC co-sponsor We Hire Vets, a program that recognizes Texas employers for their commitment to hiring veterans. Employers whose workforces are composed of at least 10 percent military veterans are eligible to receive a “We Hire Vets” decal to display on their storefronts and an electronic decal to display on their websites. Employers that qualify for the We Hire Vets program also receive a letter signed by the TWC Commissioner Representing Employers and the TVC Chairwoman. TWC and TVC outreach and encourage employers to hire veterans. The eﬀorts made by </w:t>
      </w:r>
      <w:proofErr w:type="gramStart"/>
      <w:r w:rsidRPr="00CD6FFB">
        <w:t>We</w:t>
      </w:r>
      <w:proofErr w:type="gramEnd"/>
      <w:r w:rsidRPr="00CD6FFB">
        <w:t xml:space="preserve"> Hire Vets employers help to inspire other employers to hire veterans as well.</w:t>
      </w:r>
    </w:p>
    <w:p w14:paraId="7781B82A" w14:textId="77777777" w:rsidR="006420CB" w:rsidRPr="00CD6FFB" w:rsidRDefault="006420CB" w:rsidP="00CD6FFB">
      <w:pPr>
        <w:pStyle w:val="BodyText"/>
      </w:pPr>
      <w:r w:rsidRPr="00CD6FFB">
        <w:t>Since 2017 until March of 2025, the We Hire Vets program has issued 1,412 decals and letters to Texas employers. TWC’s Commissioner Representing Employers recognizes We Hire Vets employers at the Texas Conference for Employers. These conferences are held throughout the state.</w:t>
      </w:r>
    </w:p>
    <w:p w14:paraId="46832868" w14:textId="77777777" w:rsidR="006420CB" w:rsidRPr="00CD6FFB" w:rsidRDefault="006420CB" w:rsidP="00CD6FFB">
      <w:pPr>
        <w:pStyle w:val="BodyText"/>
        <w:rPr>
          <w:b/>
          <w:bCs/>
        </w:rPr>
      </w:pPr>
      <w:r w:rsidRPr="00CD6FFB">
        <w:rPr>
          <w:b/>
          <w:bCs/>
        </w:rPr>
        <w:t>Welcome Home Texas Transition Alliance</w:t>
      </w:r>
    </w:p>
    <w:p w14:paraId="30B1EF14" w14:textId="77777777" w:rsidR="006420CB" w:rsidRPr="00CD6FFB" w:rsidRDefault="006420CB" w:rsidP="00CD6FFB">
      <w:pPr>
        <w:pStyle w:val="BodyText"/>
      </w:pPr>
      <w:r w:rsidRPr="00CD6FFB">
        <w:t>The Welcome Home Texas Transition Alliance is a group of stakeholders that meet on a semiannual basis to discuss best practices, cross-train on one another’s programs, collaborate to address the needs of TSMs, and facilitate ongoing coordination to improve employment outcomes for veterans. The stakeholders include members of TWC, TVLP, TVC, and military transition centers, as well as garrison/base commanders, employers, employer associations, designated Boards, and Workforce Solutions Oﬃces.</w:t>
      </w:r>
    </w:p>
    <w:p w14:paraId="352DAF2D" w14:textId="77777777" w:rsidR="006420CB" w:rsidRPr="00CD6FFB" w:rsidRDefault="006420CB" w:rsidP="00CD6FFB">
      <w:pPr>
        <w:pStyle w:val="BodyText"/>
      </w:pPr>
      <w:r w:rsidRPr="00CD6FFB">
        <w:t>As a best practice set forth by the alliance, military installations now conduct needs assessments of TSMs and military spouses. The assessments help highlight the types of training, certiﬁcations, and licensures that TSMs and military spouses are seeking. Such assessments also identify gaps in services provided by the Texas workforce system.</w:t>
      </w:r>
    </w:p>
    <w:p w14:paraId="34A6342E" w14:textId="77777777" w:rsidR="006420CB" w:rsidRPr="00CD6FFB" w:rsidRDefault="006420CB" w:rsidP="00CD6FFB">
      <w:pPr>
        <w:pStyle w:val="BodyText"/>
        <w:rPr>
          <w:b/>
          <w:bCs/>
        </w:rPr>
      </w:pPr>
      <w:r w:rsidRPr="00CD6FFB">
        <w:rPr>
          <w:b/>
          <w:bCs/>
        </w:rPr>
        <w:t>Statewide Program to Transition from Military to Civilian Employment</w:t>
      </w:r>
    </w:p>
    <w:p w14:paraId="672C9297" w14:textId="77777777" w:rsidR="006420CB" w:rsidRPr="00CD6FFB" w:rsidRDefault="006420CB" w:rsidP="00CD6FFB">
      <w:pPr>
        <w:pStyle w:val="BodyText"/>
      </w:pPr>
      <w:r w:rsidRPr="00CD6FFB">
        <w:lastRenderedPageBreak/>
        <w:t>This program is designed to assist transitioning military service members, recently separated veterans, and military spouses transition from military service to civilian employment. This program is dedicated to helping service members and veterans translate their military skills to the civilian labor market and includes employment services, training, and wraparound support services. This program also assists these populations in ﬁnding apprenticeships with civilian employers.</w:t>
      </w:r>
    </w:p>
    <w:p w14:paraId="34008871" w14:textId="77777777" w:rsidR="006420CB" w:rsidRPr="00CD6FFB" w:rsidRDefault="006420CB" w:rsidP="00CD6FFB">
      <w:pPr>
        <w:pStyle w:val="BodyText"/>
      </w:pPr>
      <w:r w:rsidRPr="00CD6FFB">
        <w:t>Texas Veterans Network: The Texas Veterans Network (TVN) is a statewide automated veteran service coordination referral system that captures services received, referrals made, and services available through an integrated network designed to increase opportunities for TSMs, veterans, and their families to receive all services necessary for a successful transition into civilian life.</w:t>
      </w:r>
    </w:p>
    <w:p w14:paraId="33AE69EA" w14:textId="77777777" w:rsidR="0045035F" w:rsidRDefault="006420CB" w:rsidP="0045035F">
      <w:pPr>
        <w:pStyle w:val="BodyText"/>
        <w:rPr>
          <w:rStyle w:val="BodyTextChar"/>
        </w:rPr>
      </w:pPr>
      <w:r w:rsidRPr="0045035F">
        <w:rPr>
          <w:rStyle w:val="BodyTextChar"/>
        </w:rPr>
        <w:t>College Credit for Heroes Program: The College Credit for Heroes (CCH) program seeks to maximize college credits awarded to veterans and service members for their military experience to expedite their transition into the Texas workforce. The program’s goal is to eliminate obstacles to attaining licensing, certiﬁcation and accreditation, and degree awards at state and national levels so veterans can transition more quickly from college classrooms to the workforce.</w:t>
      </w:r>
    </w:p>
    <w:p w14:paraId="137F2BDF" w14:textId="00E2C176" w:rsidR="006420CB" w:rsidRPr="000F25DC" w:rsidRDefault="00E44651" w:rsidP="00E44651">
      <w:pPr>
        <w:pStyle w:val="BodyText3"/>
        <w:ind w:left="720" w:hanging="720"/>
        <w:rPr>
          <w:i/>
        </w:rPr>
      </w:pPr>
      <w:r>
        <w:t>G.</w:t>
      </w:r>
      <w:r>
        <w:tab/>
      </w:r>
      <w:r w:rsidR="006420CB" w:rsidRPr="000F25DC">
        <w:t>If key to understanding the division or program, identify funding sources and amounts, including federal grants and pass-through monies. Describe any funding formulas or funding conventions. Please</w:t>
      </w:r>
      <w:r w:rsidR="006420CB" w:rsidRPr="000F25DC">
        <w:rPr>
          <w:spacing w:val="-1"/>
        </w:rPr>
        <w:t xml:space="preserve"> </w:t>
      </w:r>
      <w:r w:rsidR="006420CB" w:rsidRPr="000F25DC">
        <w:t>specify</w:t>
      </w:r>
      <w:r w:rsidR="006420CB" w:rsidRPr="000F25DC">
        <w:rPr>
          <w:spacing w:val="-1"/>
        </w:rPr>
        <w:t xml:space="preserve"> </w:t>
      </w:r>
      <w:r w:rsidR="006420CB" w:rsidRPr="000F25DC">
        <w:t>state</w:t>
      </w:r>
      <w:r w:rsidR="006420CB" w:rsidRPr="000F25DC">
        <w:rPr>
          <w:spacing w:val="-1"/>
        </w:rPr>
        <w:t xml:space="preserve"> </w:t>
      </w:r>
      <w:r w:rsidR="006420CB" w:rsidRPr="000F25DC">
        <w:t>funding</w:t>
      </w:r>
      <w:r w:rsidR="006420CB" w:rsidRPr="000F25DC">
        <w:rPr>
          <w:spacing w:val="-1"/>
        </w:rPr>
        <w:t xml:space="preserve"> </w:t>
      </w:r>
      <w:r w:rsidR="006420CB" w:rsidRPr="000F25DC">
        <w:t>sources (e.g., general revenue, appropriations</w:t>
      </w:r>
      <w:r w:rsidR="006420CB" w:rsidRPr="000F25DC">
        <w:rPr>
          <w:spacing w:val="-2"/>
        </w:rPr>
        <w:t xml:space="preserve"> </w:t>
      </w:r>
      <w:r w:rsidR="006420CB" w:rsidRPr="000F25DC">
        <w:t xml:space="preserve">rider, budget strategy, and fees/dues). </w:t>
      </w:r>
      <w:r w:rsidR="006420CB" w:rsidRPr="000F25DC">
        <w:rPr>
          <w:i/>
        </w:rPr>
        <w:t>(If you have already submitted funding source info through the</w:t>
      </w:r>
      <w:r w:rsidR="006420CB" w:rsidRPr="000F25DC">
        <w:rPr>
          <w:i/>
          <w:spacing w:val="-14"/>
        </w:rPr>
        <w:t xml:space="preserve"> </w:t>
      </w:r>
      <w:r w:rsidR="006420CB" w:rsidRPr="000F25DC">
        <w:rPr>
          <w:i/>
        </w:rPr>
        <w:t>“Agency</w:t>
      </w:r>
      <w:r w:rsidR="006420CB" w:rsidRPr="000F25DC">
        <w:rPr>
          <w:i/>
          <w:spacing w:val="-14"/>
        </w:rPr>
        <w:t xml:space="preserve"> </w:t>
      </w:r>
      <w:r w:rsidR="006420CB" w:rsidRPr="000F25DC">
        <w:rPr>
          <w:i/>
        </w:rPr>
        <w:t>Program</w:t>
      </w:r>
      <w:r w:rsidR="006420CB" w:rsidRPr="000F25DC">
        <w:rPr>
          <w:i/>
          <w:spacing w:val="-13"/>
        </w:rPr>
        <w:t xml:space="preserve"> </w:t>
      </w:r>
      <w:r w:rsidR="006420CB" w:rsidRPr="000F25DC">
        <w:rPr>
          <w:i/>
        </w:rPr>
        <w:t>Information”</w:t>
      </w:r>
      <w:r w:rsidR="006420CB" w:rsidRPr="000F25DC">
        <w:rPr>
          <w:i/>
          <w:spacing w:val="-14"/>
        </w:rPr>
        <w:t xml:space="preserve"> </w:t>
      </w:r>
      <w:r w:rsidR="006420CB" w:rsidRPr="000F25DC">
        <w:rPr>
          <w:i/>
        </w:rPr>
        <w:t>spreadsheet,</w:t>
      </w:r>
      <w:r w:rsidR="006420CB" w:rsidRPr="000F25DC">
        <w:rPr>
          <w:i/>
          <w:spacing w:val="-13"/>
        </w:rPr>
        <w:t xml:space="preserve"> </w:t>
      </w:r>
      <w:r w:rsidR="006420CB" w:rsidRPr="000F25DC">
        <w:rPr>
          <w:i/>
        </w:rPr>
        <w:t>please</w:t>
      </w:r>
      <w:r w:rsidR="006420CB" w:rsidRPr="000F25DC">
        <w:rPr>
          <w:i/>
          <w:spacing w:val="-14"/>
        </w:rPr>
        <w:t xml:space="preserve"> </w:t>
      </w:r>
      <w:r w:rsidR="006420CB" w:rsidRPr="000F25DC">
        <w:rPr>
          <w:i/>
        </w:rPr>
        <w:t>limit</w:t>
      </w:r>
      <w:r w:rsidR="006420CB" w:rsidRPr="000F25DC">
        <w:rPr>
          <w:i/>
          <w:spacing w:val="-13"/>
        </w:rPr>
        <w:t xml:space="preserve"> </w:t>
      </w:r>
      <w:r w:rsidR="006420CB" w:rsidRPr="000F25DC">
        <w:rPr>
          <w:i/>
        </w:rPr>
        <w:t>your</w:t>
      </w:r>
      <w:r w:rsidR="006420CB" w:rsidRPr="000F25DC">
        <w:rPr>
          <w:i/>
          <w:spacing w:val="-14"/>
        </w:rPr>
        <w:t xml:space="preserve"> </w:t>
      </w:r>
      <w:r w:rsidR="006420CB" w:rsidRPr="000F25DC">
        <w:rPr>
          <w:i/>
        </w:rPr>
        <w:t>response</w:t>
      </w:r>
      <w:r w:rsidR="006420CB" w:rsidRPr="000F25DC">
        <w:rPr>
          <w:i/>
          <w:spacing w:val="-14"/>
        </w:rPr>
        <w:t xml:space="preserve"> </w:t>
      </w:r>
      <w:r w:rsidR="006420CB" w:rsidRPr="000F25DC">
        <w:rPr>
          <w:i/>
        </w:rPr>
        <w:t>to</w:t>
      </w:r>
      <w:r w:rsidR="006420CB" w:rsidRPr="000F25DC">
        <w:rPr>
          <w:i/>
          <w:spacing w:val="-13"/>
        </w:rPr>
        <w:t xml:space="preserve"> </w:t>
      </w:r>
      <w:r w:rsidR="006420CB" w:rsidRPr="000F25DC">
        <w:rPr>
          <w:i/>
        </w:rPr>
        <w:t>funding</w:t>
      </w:r>
      <w:r w:rsidR="006420CB" w:rsidRPr="000F25DC">
        <w:rPr>
          <w:i/>
          <w:spacing w:val="-14"/>
        </w:rPr>
        <w:t xml:space="preserve"> </w:t>
      </w:r>
      <w:r w:rsidR="006420CB" w:rsidRPr="000F25DC">
        <w:rPr>
          <w:i/>
        </w:rPr>
        <w:t>formulas or funding conventions.)</w:t>
      </w:r>
    </w:p>
    <w:tbl>
      <w:tblPr>
        <w:tblStyle w:val="TableGrid1"/>
        <w:tblW w:w="9288" w:type="dxa"/>
        <w:tblCellMar>
          <w:top w:w="58" w:type="dxa"/>
          <w:bottom w:w="58" w:type="dxa"/>
        </w:tblCellMar>
        <w:tblLook w:val="04A0" w:firstRow="1" w:lastRow="0" w:firstColumn="1" w:lastColumn="0" w:noHBand="0" w:noVBand="1"/>
      </w:tblPr>
      <w:tblGrid>
        <w:gridCol w:w="3330"/>
        <w:gridCol w:w="2084"/>
        <w:gridCol w:w="1774"/>
        <w:gridCol w:w="2100"/>
      </w:tblGrid>
      <w:tr w:rsidR="0082402D" w:rsidRPr="00470ADC" w14:paraId="6E9726B4" w14:textId="77777777" w:rsidTr="001D4992">
        <w:trPr>
          <w:tblHeader/>
        </w:trPr>
        <w:tc>
          <w:tcPr>
            <w:tcW w:w="3706" w:type="dxa"/>
            <w:shd w:val="clear" w:color="auto" w:fill="B8CCE4" w:themeFill="accent1" w:themeFillTint="66"/>
            <w:vAlign w:val="center"/>
            <w:hideMark/>
          </w:tcPr>
          <w:p w14:paraId="6E5726B9" w14:textId="77777777" w:rsidR="0082402D" w:rsidRPr="00EC2215" w:rsidRDefault="0082402D" w:rsidP="0082402D">
            <w:pPr>
              <w:pStyle w:val="TableHeaders"/>
              <w:rPr>
                <w:color w:val="000000"/>
              </w:rPr>
            </w:pPr>
            <w:r w:rsidRPr="00EC2215">
              <w:t>Program or Function Detail Description</w:t>
            </w:r>
          </w:p>
        </w:tc>
        <w:tc>
          <w:tcPr>
            <w:tcW w:w="2253" w:type="dxa"/>
            <w:shd w:val="clear" w:color="auto" w:fill="B8CCE4" w:themeFill="accent1" w:themeFillTint="66"/>
            <w:vAlign w:val="center"/>
            <w:hideMark/>
          </w:tcPr>
          <w:p w14:paraId="20756B63" w14:textId="77777777" w:rsidR="0082402D" w:rsidRPr="00EC2215" w:rsidRDefault="0082402D" w:rsidP="0082402D">
            <w:pPr>
              <w:pStyle w:val="TableHeaders"/>
              <w:rPr>
                <w:color w:val="000000"/>
                <w:sz w:val="20"/>
                <w:szCs w:val="20"/>
              </w:rPr>
            </w:pPr>
            <w:r w:rsidRPr="00EC2215">
              <w:rPr>
                <w:sz w:val="20"/>
                <w:szCs w:val="20"/>
              </w:rPr>
              <w:t>Total FY 2024</w:t>
            </w:r>
          </w:p>
        </w:tc>
        <w:tc>
          <w:tcPr>
            <w:tcW w:w="1887" w:type="dxa"/>
            <w:shd w:val="clear" w:color="auto" w:fill="B8CCE4" w:themeFill="accent1" w:themeFillTint="66"/>
            <w:vAlign w:val="center"/>
            <w:hideMark/>
          </w:tcPr>
          <w:p w14:paraId="53A58942" w14:textId="77777777" w:rsidR="0082402D" w:rsidRPr="00EC2215" w:rsidRDefault="0082402D" w:rsidP="0082402D">
            <w:pPr>
              <w:pStyle w:val="TableHeaders"/>
              <w:rPr>
                <w:color w:val="000000"/>
                <w:sz w:val="20"/>
                <w:szCs w:val="20"/>
              </w:rPr>
            </w:pPr>
            <w:r w:rsidRPr="00EC2215">
              <w:rPr>
                <w:sz w:val="20"/>
                <w:szCs w:val="20"/>
              </w:rPr>
              <w:t>Federal Funding</w:t>
            </w:r>
          </w:p>
        </w:tc>
        <w:tc>
          <w:tcPr>
            <w:tcW w:w="2272" w:type="dxa"/>
            <w:shd w:val="clear" w:color="auto" w:fill="B8CCE4" w:themeFill="accent1" w:themeFillTint="66"/>
            <w:vAlign w:val="center"/>
            <w:hideMark/>
          </w:tcPr>
          <w:p w14:paraId="108F9015" w14:textId="77777777" w:rsidR="0082402D" w:rsidRPr="00EC2215" w:rsidRDefault="0082402D" w:rsidP="0082402D">
            <w:pPr>
              <w:pStyle w:val="TableHeaders"/>
              <w:rPr>
                <w:color w:val="000000"/>
                <w:sz w:val="20"/>
                <w:szCs w:val="20"/>
              </w:rPr>
            </w:pPr>
            <w:r w:rsidRPr="00EC2215">
              <w:rPr>
                <w:sz w:val="20"/>
                <w:szCs w:val="20"/>
              </w:rPr>
              <w:t>State Funding</w:t>
            </w:r>
          </w:p>
        </w:tc>
      </w:tr>
      <w:tr w:rsidR="0082402D" w:rsidRPr="00470ADC" w14:paraId="06A71A67" w14:textId="77777777" w:rsidTr="001D4992">
        <w:trPr>
          <w:trHeight w:val="300"/>
        </w:trPr>
        <w:tc>
          <w:tcPr>
            <w:tcW w:w="3706" w:type="dxa"/>
            <w:vAlign w:val="center"/>
          </w:tcPr>
          <w:p w14:paraId="37B4C69F" w14:textId="77777777" w:rsidR="0082402D" w:rsidRPr="00EC2215" w:rsidRDefault="0082402D" w:rsidP="001D4992">
            <w:pPr>
              <w:pStyle w:val="TableText"/>
            </w:pPr>
            <w:r w:rsidRPr="006833A4">
              <w:t>Services to Veterans</w:t>
            </w:r>
          </w:p>
        </w:tc>
        <w:tc>
          <w:tcPr>
            <w:tcW w:w="2253" w:type="dxa"/>
            <w:vAlign w:val="center"/>
          </w:tcPr>
          <w:p w14:paraId="2D3485B9" w14:textId="77777777" w:rsidR="0082402D" w:rsidRPr="00EC2215" w:rsidRDefault="0082402D" w:rsidP="0082402D">
            <w:pPr>
              <w:pStyle w:val="TableText"/>
              <w:jc w:val="right"/>
              <w:rPr>
                <w:sz w:val="20"/>
                <w:szCs w:val="20"/>
              </w:rPr>
            </w:pPr>
            <w:r w:rsidRPr="006833A4">
              <w:rPr>
                <w:sz w:val="20"/>
                <w:szCs w:val="20"/>
              </w:rPr>
              <w:t xml:space="preserve">2,373,061 </w:t>
            </w:r>
          </w:p>
        </w:tc>
        <w:tc>
          <w:tcPr>
            <w:tcW w:w="1887" w:type="dxa"/>
            <w:vAlign w:val="center"/>
          </w:tcPr>
          <w:p w14:paraId="52FADA61" w14:textId="77777777" w:rsidR="0082402D" w:rsidRPr="00EC2215" w:rsidRDefault="0082402D" w:rsidP="0082402D">
            <w:pPr>
              <w:pStyle w:val="TableText"/>
              <w:jc w:val="right"/>
              <w:rPr>
                <w:sz w:val="20"/>
                <w:szCs w:val="20"/>
              </w:rPr>
            </w:pPr>
            <w:r w:rsidRPr="006833A4">
              <w:rPr>
                <w:sz w:val="20"/>
                <w:szCs w:val="20"/>
              </w:rPr>
              <w:t xml:space="preserve">192,272 </w:t>
            </w:r>
          </w:p>
        </w:tc>
        <w:tc>
          <w:tcPr>
            <w:tcW w:w="2272" w:type="dxa"/>
            <w:vAlign w:val="center"/>
          </w:tcPr>
          <w:p w14:paraId="7C98A2B6" w14:textId="77777777" w:rsidR="0082402D" w:rsidRPr="00EC2215" w:rsidRDefault="0082402D" w:rsidP="0082402D">
            <w:pPr>
              <w:pStyle w:val="TableText"/>
              <w:jc w:val="right"/>
              <w:rPr>
                <w:sz w:val="20"/>
                <w:szCs w:val="20"/>
              </w:rPr>
            </w:pPr>
            <w:r w:rsidRPr="006833A4">
              <w:rPr>
                <w:sz w:val="20"/>
                <w:szCs w:val="20"/>
              </w:rPr>
              <w:t xml:space="preserve">2,180,789 </w:t>
            </w:r>
          </w:p>
        </w:tc>
      </w:tr>
      <w:tr w:rsidR="0082402D" w:rsidRPr="00470ADC" w14:paraId="67A79D49" w14:textId="77777777" w:rsidTr="001D4992">
        <w:trPr>
          <w:trHeight w:val="207"/>
        </w:trPr>
        <w:tc>
          <w:tcPr>
            <w:tcW w:w="3706" w:type="dxa"/>
            <w:vMerge w:val="restart"/>
            <w:vAlign w:val="center"/>
          </w:tcPr>
          <w:p w14:paraId="53ACA5AD" w14:textId="77777777" w:rsidR="0082402D" w:rsidRPr="006833A4" w:rsidRDefault="0082402D" w:rsidP="001D4992">
            <w:pPr>
              <w:pStyle w:val="TableText"/>
            </w:pPr>
            <w:r w:rsidRPr="006833A4">
              <w:t>Texas Veterans Leadership Program (TVLP)</w:t>
            </w:r>
          </w:p>
        </w:tc>
        <w:tc>
          <w:tcPr>
            <w:tcW w:w="2253" w:type="dxa"/>
            <w:vMerge w:val="restart"/>
            <w:vAlign w:val="center"/>
          </w:tcPr>
          <w:p w14:paraId="2464397F" w14:textId="77777777" w:rsidR="0082402D" w:rsidRPr="006833A4" w:rsidRDefault="0082402D" w:rsidP="0082402D">
            <w:pPr>
              <w:pStyle w:val="TableText"/>
              <w:jc w:val="right"/>
              <w:rPr>
                <w:sz w:val="20"/>
                <w:szCs w:val="20"/>
              </w:rPr>
            </w:pPr>
            <w:r w:rsidRPr="006833A4">
              <w:rPr>
                <w:sz w:val="20"/>
                <w:szCs w:val="20"/>
              </w:rPr>
              <w:t xml:space="preserve">1,357,239 </w:t>
            </w:r>
          </w:p>
        </w:tc>
        <w:tc>
          <w:tcPr>
            <w:tcW w:w="1887" w:type="dxa"/>
            <w:vMerge w:val="restart"/>
            <w:vAlign w:val="center"/>
          </w:tcPr>
          <w:p w14:paraId="19C8C536" w14:textId="77777777" w:rsidR="0082402D" w:rsidRPr="006833A4" w:rsidRDefault="0082402D" w:rsidP="0082402D">
            <w:pPr>
              <w:pStyle w:val="TableText"/>
              <w:jc w:val="right"/>
              <w:rPr>
                <w:sz w:val="20"/>
                <w:szCs w:val="20"/>
              </w:rPr>
            </w:pPr>
            <w:r w:rsidRPr="006833A4">
              <w:rPr>
                <w:sz w:val="20"/>
                <w:szCs w:val="20"/>
              </w:rPr>
              <w:t xml:space="preserve">1,285,976 </w:t>
            </w:r>
          </w:p>
        </w:tc>
        <w:tc>
          <w:tcPr>
            <w:tcW w:w="2272" w:type="dxa"/>
            <w:vMerge w:val="restart"/>
            <w:vAlign w:val="center"/>
          </w:tcPr>
          <w:p w14:paraId="70B4EAFB" w14:textId="77777777" w:rsidR="0082402D" w:rsidRPr="006833A4" w:rsidRDefault="0082402D" w:rsidP="0082402D">
            <w:pPr>
              <w:pStyle w:val="TableText"/>
              <w:jc w:val="right"/>
              <w:rPr>
                <w:sz w:val="20"/>
                <w:szCs w:val="20"/>
              </w:rPr>
            </w:pPr>
            <w:r w:rsidRPr="006833A4">
              <w:rPr>
                <w:sz w:val="20"/>
                <w:szCs w:val="20"/>
              </w:rPr>
              <w:t xml:space="preserve">71,264 </w:t>
            </w:r>
          </w:p>
        </w:tc>
      </w:tr>
      <w:tr w:rsidR="0082402D" w:rsidRPr="00470ADC" w14:paraId="01424780" w14:textId="77777777" w:rsidTr="001D4992">
        <w:trPr>
          <w:trHeight w:val="207"/>
        </w:trPr>
        <w:tc>
          <w:tcPr>
            <w:tcW w:w="3706" w:type="dxa"/>
            <w:vMerge/>
            <w:vAlign w:val="center"/>
          </w:tcPr>
          <w:p w14:paraId="2449EE56" w14:textId="77777777" w:rsidR="0082402D" w:rsidRPr="006833A4" w:rsidRDefault="0082402D" w:rsidP="001D4992">
            <w:pPr>
              <w:pStyle w:val="TableText"/>
            </w:pPr>
          </w:p>
        </w:tc>
        <w:tc>
          <w:tcPr>
            <w:tcW w:w="2253" w:type="dxa"/>
            <w:vMerge/>
            <w:vAlign w:val="center"/>
          </w:tcPr>
          <w:p w14:paraId="43491389" w14:textId="77777777" w:rsidR="0082402D" w:rsidRPr="006833A4" w:rsidRDefault="0082402D" w:rsidP="0082402D">
            <w:pPr>
              <w:pStyle w:val="TableText"/>
              <w:jc w:val="right"/>
              <w:rPr>
                <w:sz w:val="20"/>
                <w:szCs w:val="20"/>
              </w:rPr>
            </w:pPr>
          </w:p>
        </w:tc>
        <w:tc>
          <w:tcPr>
            <w:tcW w:w="1887" w:type="dxa"/>
            <w:vMerge/>
            <w:vAlign w:val="center"/>
          </w:tcPr>
          <w:p w14:paraId="657F54BF" w14:textId="77777777" w:rsidR="0082402D" w:rsidRPr="006833A4" w:rsidRDefault="0082402D" w:rsidP="0082402D">
            <w:pPr>
              <w:pStyle w:val="TableText"/>
              <w:jc w:val="right"/>
              <w:rPr>
                <w:sz w:val="20"/>
                <w:szCs w:val="20"/>
              </w:rPr>
            </w:pPr>
          </w:p>
        </w:tc>
        <w:tc>
          <w:tcPr>
            <w:tcW w:w="2272" w:type="dxa"/>
            <w:vMerge/>
            <w:vAlign w:val="center"/>
          </w:tcPr>
          <w:p w14:paraId="60E30564" w14:textId="77777777" w:rsidR="0082402D" w:rsidRPr="006833A4" w:rsidRDefault="0082402D" w:rsidP="0082402D">
            <w:pPr>
              <w:pStyle w:val="TableText"/>
              <w:jc w:val="right"/>
              <w:rPr>
                <w:sz w:val="20"/>
                <w:szCs w:val="20"/>
              </w:rPr>
            </w:pPr>
          </w:p>
        </w:tc>
      </w:tr>
      <w:tr w:rsidR="0082402D" w:rsidRPr="00470ADC" w14:paraId="339564C5" w14:textId="77777777" w:rsidTr="001D4992">
        <w:trPr>
          <w:trHeight w:val="288"/>
        </w:trPr>
        <w:tc>
          <w:tcPr>
            <w:tcW w:w="3706" w:type="dxa"/>
            <w:vMerge w:val="restart"/>
            <w:vAlign w:val="center"/>
          </w:tcPr>
          <w:p w14:paraId="144322A5" w14:textId="77777777" w:rsidR="0082402D" w:rsidRPr="006833A4" w:rsidRDefault="0082402D" w:rsidP="001D4992">
            <w:pPr>
              <w:pStyle w:val="TableText"/>
            </w:pPr>
            <w:r w:rsidRPr="006833A4">
              <w:t>Total</w:t>
            </w:r>
          </w:p>
        </w:tc>
        <w:tc>
          <w:tcPr>
            <w:tcW w:w="2253" w:type="dxa"/>
            <w:vMerge w:val="restart"/>
            <w:vAlign w:val="center"/>
          </w:tcPr>
          <w:p w14:paraId="6E94E131" w14:textId="77777777" w:rsidR="0082402D" w:rsidRPr="0082402D" w:rsidRDefault="0082402D" w:rsidP="0082402D">
            <w:pPr>
              <w:pStyle w:val="TableText"/>
              <w:jc w:val="right"/>
              <w:rPr>
                <w:sz w:val="20"/>
                <w:szCs w:val="20"/>
              </w:rPr>
            </w:pPr>
            <w:r w:rsidRPr="0082402D">
              <w:rPr>
                <w:sz w:val="20"/>
                <w:szCs w:val="20"/>
              </w:rPr>
              <w:t>3,730,300</w:t>
            </w:r>
          </w:p>
        </w:tc>
        <w:tc>
          <w:tcPr>
            <w:tcW w:w="1887" w:type="dxa"/>
            <w:vMerge w:val="restart"/>
            <w:vAlign w:val="center"/>
          </w:tcPr>
          <w:p w14:paraId="608FF90E" w14:textId="77777777" w:rsidR="0082402D" w:rsidRPr="0082402D" w:rsidRDefault="0082402D" w:rsidP="0082402D">
            <w:pPr>
              <w:pStyle w:val="TableText"/>
              <w:jc w:val="right"/>
              <w:rPr>
                <w:sz w:val="20"/>
                <w:szCs w:val="20"/>
              </w:rPr>
            </w:pPr>
            <w:r w:rsidRPr="0082402D">
              <w:rPr>
                <w:sz w:val="20"/>
                <w:szCs w:val="20"/>
              </w:rPr>
              <w:t>1,478,248</w:t>
            </w:r>
          </w:p>
        </w:tc>
        <w:tc>
          <w:tcPr>
            <w:tcW w:w="2272" w:type="dxa"/>
            <w:vMerge w:val="restart"/>
            <w:vAlign w:val="center"/>
          </w:tcPr>
          <w:p w14:paraId="0E52696D" w14:textId="77777777" w:rsidR="0082402D" w:rsidRPr="0082402D" w:rsidRDefault="0082402D" w:rsidP="0082402D">
            <w:pPr>
              <w:pStyle w:val="TableText"/>
              <w:jc w:val="right"/>
              <w:rPr>
                <w:sz w:val="20"/>
                <w:szCs w:val="20"/>
              </w:rPr>
            </w:pPr>
            <w:r w:rsidRPr="0082402D">
              <w:rPr>
                <w:sz w:val="20"/>
                <w:szCs w:val="20"/>
              </w:rPr>
              <w:t>2,252,053</w:t>
            </w:r>
          </w:p>
        </w:tc>
      </w:tr>
      <w:tr w:rsidR="0082402D" w:rsidRPr="00470ADC" w14:paraId="33350C6F" w14:textId="77777777" w:rsidTr="001D4992">
        <w:trPr>
          <w:trHeight w:val="300"/>
        </w:trPr>
        <w:tc>
          <w:tcPr>
            <w:tcW w:w="3706" w:type="dxa"/>
            <w:vMerge/>
          </w:tcPr>
          <w:p w14:paraId="0547AF4A" w14:textId="77777777" w:rsidR="0082402D" w:rsidRPr="00470ADC" w:rsidRDefault="0082402D">
            <w:pPr>
              <w:rPr>
                <w:rFonts w:ascii="Arial" w:eastAsia="Times New Roman" w:hAnsi="Arial" w:cs="Arial"/>
                <w:color w:val="000000"/>
                <w:kern w:val="0"/>
              </w:rPr>
            </w:pPr>
          </w:p>
        </w:tc>
        <w:tc>
          <w:tcPr>
            <w:tcW w:w="2253" w:type="dxa"/>
            <w:vMerge/>
          </w:tcPr>
          <w:p w14:paraId="2A1C5591" w14:textId="77777777" w:rsidR="0082402D" w:rsidRPr="00470ADC" w:rsidRDefault="0082402D">
            <w:pPr>
              <w:rPr>
                <w:rFonts w:ascii="Arial" w:eastAsia="Times New Roman" w:hAnsi="Arial" w:cs="Arial"/>
                <w:color w:val="000000"/>
                <w:kern w:val="0"/>
                <w:sz w:val="20"/>
                <w:szCs w:val="20"/>
              </w:rPr>
            </w:pPr>
          </w:p>
        </w:tc>
        <w:tc>
          <w:tcPr>
            <w:tcW w:w="1887" w:type="dxa"/>
            <w:vMerge/>
          </w:tcPr>
          <w:p w14:paraId="1C0B718C" w14:textId="77777777" w:rsidR="0082402D" w:rsidRPr="00470ADC" w:rsidRDefault="0082402D">
            <w:pPr>
              <w:rPr>
                <w:rFonts w:ascii="Arial" w:eastAsia="Times New Roman" w:hAnsi="Arial" w:cs="Arial"/>
                <w:color w:val="000000"/>
                <w:kern w:val="0"/>
                <w:sz w:val="20"/>
                <w:szCs w:val="20"/>
              </w:rPr>
            </w:pPr>
          </w:p>
        </w:tc>
        <w:tc>
          <w:tcPr>
            <w:tcW w:w="2272" w:type="dxa"/>
            <w:vMerge/>
          </w:tcPr>
          <w:p w14:paraId="7E0FC17A" w14:textId="77777777" w:rsidR="0082402D" w:rsidRPr="00470ADC" w:rsidRDefault="0082402D">
            <w:pPr>
              <w:rPr>
                <w:rFonts w:ascii="Arial" w:eastAsia="Times New Roman" w:hAnsi="Arial" w:cs="Arial"/>
                <w:color w:val="000000"/>
                <w:kern w:val="0"/>
                <w:sz w:val="20"/>
                <w:szCs w:val="20"/>
              </w:rPr>
            </w:pPr>
          </w:p>
        </w:tc>
      </w:tr>
    </w:tbl>
    <w:p w14:paraId="1D788D38" w14:textId="76734AE1" w:rsidR="006420CB" w:rsidRPr="000F25DC" w:rsidRDefault="00C777D0" w:rsidP="00C777D0">
      <w:pPr>
        <w:pStyle w:val="BodyText3"/>
        <w:ind w:left="720" w:hanging="720"/>
      </w:pPr>
      <w:r>
        <w:t>H.</w:t>
      </w:r>
      <w:r>
        <w:tab/>
      </w:r>
      <w:r w:rsidR="006420CB"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006420CB" w:rsidRPr="000F25DC">
        <w:rPr>
          <w:spacing w:val="-2"/>
        </w:rPr>
        <w:t>population.</w:t>
      </w:r>
    </w:p>
    <w:p w14:paraId="34CE5278" w14:textId="77777777" w:rsidR="006420CB" w:rsidRDefault="006420CB" w:rsidP="000B745A">
      <w:pPr>
        <w:pStyle w:val="BodyText"/>
        <w:rPr>
          <w:color w:val="202429"/>
          <w:spacing w:val="-2"/>
        </w:rPr>
      </w:pPr>
      <w:r>
        <w:t>T</w:t>
      </w:r>
      <w:r w:rsidRPr="00B64474">
        <w:t>he</w:t>
      </w:r>
      <w:r w:rsidRPr="00B64474">
        <w:rPr>
          <w:spacing w:val="-6"/>
        </w:rPr>
        <w:t xml:space="preserve"> </w:t>
      </w:r>
      <w:r>
        <w:rPr>
          <w:spacing w:val="-6"/>
        </w:rPr>
        <w:t xml:space="preserve">U.S. </w:t>
      </w:r>
      <w:r w:rsidRPr="00FF04D1">
        <w:t>Department of Labor Veterans Employment and Training Service</w:t>
      </w:r>
      <w:r>
        <w:t xml:space="preserve">s administers </w:t>
      </w:r>
      <w:r w:rsidRPr="00966E82">
        <w:t>the</w:t>
      </w:r>
      <w:r w:rsidRPr="0075735F">
        <w:rPr>
          <w:spacing w:val="-7"/>
        </w:rPr>
        <w:t xml:space="preserve"> </w:t>
      </w:r>
      <w:r w:rsidRPr="0075735F">
        <w:t>Hire</w:t>
      </w:r>
      <w:r w:rsidRPr="0075735F">
        <w:rPr>
          <w:spacing w:val="-6"/>
        </w:rPr>
        <w:t xml:space="preserve"> </w:t>
      </w:r>
      <w:r w:rsidRPr="0075735F">
        <w:t>Vets</w:t>
      </w:r>
      <w:r w:rsidRPr="0075735F">
        <w:rPr>
          <w:spacing w:val="-8"/>
        </w:rPr>
        <w:t xml:space="preserve"> </w:t>
      </w:r>
      <w:r w:rsidRPr="0075735F">
        <w:t>Medallion</w:t>
      </w:r>
      <w:r w:rsidRPr="0075735F">
        <w:rPr>
          <w:spacing w:val="-7"/>
        </w:rPr>
        <w:t xml:space="preserve"> </w:t>
      </w:r>
      <w:r w:rsidRPr="0075735F">
        <w:t>Program,</w:t>
      </w:r>
      <w:r w:rsidRPr="0075735F">
        <w:rPr>
          <w:spacing w:val="-8"/>
        </w:rPr>
        <w:t xml:space="preserve"> </w:t>
      </w:r>
      <w:r w:rsidRPr="0075735F">
        <w:t>which</w:t>
      </w:r>
      <w:r w:rsidRPr="0075735F">
        <w:rPr>
          <w:spacing w:val="-7"/>
        </w:rPr>
        <w:t xml:space="preserve"> </w:t>
      </w:r>
      <w:r w:rsidRPr="0075735F">
        <w:t>was</w:t>
      </w:r>
      <w:r w:rsidRPr="0075735F">
        <w:rPr>
          <w:spacing w:val="-7"/>
        </w:rPr>
        <w:t xml:space="preserve"> </w:t>
      </w:r>
      <w:r w:rsidRPr="0075735F">
        <w:t>started</w:t>
      </w:r>
      <w:r w:rsidRPr="0075735F">
        <w:rPr>
          <w:spacing w:val="-9"/>
        </w:rPr>
        <w:t xml:space="preserve"> </w:t>
      </w:r>
      <w:r w:rsidRPr="0075735F">
        <w:t>after</w:t>
      </w:r>
      <w:r w:rsidRPr="0075735F">
        <w:rPr>
          <w:spacing w:val="-7"/>
        </w:rPr>
        <w:t xml:space="preserve"> </w:t>
      </w:r>
      <w:r>
        <w:t>TWC’s</w:t>
      </w:r>
      <w:r w:rsidRPr="0075735F">
        <w:rPr>
          <w:spacing w:val="-8"/>
        </w:rPr>
        <w:t xml:space="preserve"> </w:t>
      </w:r>
      <w:r w:rsidRPr="0075735F">
        <w:t xml:space="preserve">We Hire Vets program. </w:t>
      </w:r>
      <w:r w:rsidRPr="000F25DC">
        <w:t>Employers</w:t>
      </w:r>
      <w:r w:rsidRPr="000F25DC">
        <w:rPr>
          <w:spacing w:val="-7"/>
        </w:rPr>
        <w:t xml:space="preserve"> </w:t>
      </w:r>
      <w:r w:rsidRPr="000F25DC">
        <w:t>must</w:t>
      </w:r>
      <w:r w:rsidRPr="000F25DC">
        <w:rPr>
          <w:spacing w:val="-6"/>
        </w:rPr>
        <w:t xml:space="preserve"> </w:t>
      </w:r>
      <w:r w:rsidRPr="000F25DC">
        <w:t>pay</w:t>
      </w:r>
      <w:r w:rsidRPr="000F25DC">
        <w:rPr>
          <w:spacing w:val="-7"/>
        </w:rPr>
        <w:t xml:space="preserve"> </w:t>
      </w:r>
      <w:r w:rsidRPr="000F25DC">
        <w:t>to</w:t>
      </w:r>
      <w:r w:rsidRPr="000F25DC">
        <w:rPr>
          <w:spacing w:val="-5"/>
        </w:rPr>
        <w:t xml:space="preserve"> </w:t>
      </w:r>
      <w:r w:rsidRPr="000F25DC">
        <w:t>receive</w:t>
      </w:r>
      <w:r w:rsidRPr="000F25DC">
        <w:rPr>
          <w:spacing w:val="-9"/>
        </w:rPr>
        <w:t xml:space="preserve"> </w:t>
      </w:r>
      <w:r>
        <w:t xml:space="preserve">a medallion.  </w:t>
      </w:r>
      <w:r w:rsidRPr="000F25DC">
        <w:t>Not</w:t>
      </w:r>
      <w:r w:rsidRPr="000F25DC">
        <w:rPr>
          <w:spacing w:val="-5"/>
        </w:rPr>
        <w:t xml:space="preserve"> </w:t>
      </w:r>
      <w:r w:rsidRPr="000F25DC">
        <w:t>all</w:t>
      </w:r>
      <w:r w:rsidRPr="000F25DC">
        <w:rPr>
          <w:spacing w:val="-8"/>
        </w:rPr>
        <w:t xml:space="preserve"> </w:t>
      </w:r>
      <w:r w:rsidRPr="000F25DC">
        <w:t>employers</w:t>
      </w:r>
      <w:r w:rsidRPr="000F25DC">
        <w:rPr>
          <w:spacing w:val="-7"/>
        </w:rPr>
        <w:t xml:space="preserve"> </w:t>
      </w:r>
      <w:r w:rsidRPr="000F25DC">
        <w:t>are</w:t>
      </w:r>
      <w:r w:rsidRPr="000F25DC">
        <w:rPr>
          <w:spacing w:val="-7"/>
        </w:rPr>
        <w:t xml:space="preserve"> </w:t>
      </w:r>
      <w:r w:rsidRPr="000F25DC">
        <w:t>eligible</w:t>
      </w:r>
      <w:r w:rsidRPr="000F25DC">
        <w:rPr>
          <w:spacing w:val="-5"/>
        </w:rPr>
        <w:t xml:space="preserve"> </w:t>
      </w:r>
      <w:r w:rsidRPr="000F25DC">
        <w:t>to</w:t>
      </w:r>
      <w:r w:rsidRPr="000F25DC">
        <w:rPr>
          <w:spacing w:val="-7"/>
        </w:rPr>
        <w:t xml:space="preserve"> </w:t>
      </w:r>
      <w:r w:rsidRPr="000F25DC">
        <w:t>participate</w:t>
      </w:r>
      <w:r w:rsidRPr="000F25DC">
        <w:rPr>
          <w:spacing w:val="-7"/>
        </w:rPr>
        <w:t xml:space="preserve"> </w:t>
      </w:r>
      <w:r w:rsidRPr="000F25DC">
        <w:t>in</w:t>
      </w:r>
      <w:r w:rsidRPr="000F25DC">
        <w:rPr>
          <w:spacing w:val="-7"/>
        </w:rPr>
        <w:t xml:space="preserve"> </w:t>
      </w:r>
      <w:r w:rsidRPr="000F25DC">
        <w:lastRenderedPageBreak/>
        <w:t>the</w:t>
      </w:r>
      <w:r w:rsidRPr="000F25DC">
        <w:rPr>
          <w:spacing w:val="-5"/>
        </w:rPr>
        <w:t xml:space="preserve"> </w:t>
      </w:r>
      <w:r w:rsidRPr="000F25DC">
        <w:t>Hire</w:t>
      </w:r>
      <w:r w:rsidRPr="000F25DC">
        <w:rPr>
          <w:spacing w:val="-7"/>
        </w:rPr>
        <w:t xml:space="preserve"> </w:t>
      </w:r>
      <w:r w:rsidRPr="000F25DC">
        <w:t>Vets</w:t>
      </w:r>
      <w:r w:rsidRPr="000F25DC">
        <w:rPr>
          <w:spacing w:val="-7"/>
        </w:rPr>
        <w:t xml:space="preserve"> </w:t>
      </w:r>
      <w:r w:rsidRPr="000F25DC">
        <w:t>Medallion</w:t>
      </w:r>
      <w:r w:rsidRPr="000F25DC">
        <w:rPr>
          <w:spacing w:val="-7"/>
        </w:rPr>
        <w:t xml:space="preserve"> </w:t>
      </w:r>
      <w:r w:rsidRPr="000F25DC">
        <w:t>Program.</w:t>
      </w:r>
      <w:r w:rsidRPr="000F25DC">
        <w:rPr>
          <w:spacing w:val="-6"/>
        </w:rPr>
        <w:t xml:space="preserve"> </w:t>
      </w:r>
      <w:r w:rsidRPr="000F25DC">
        <w:t>For</w:t>
      </w:r>
      <w:r w:rsidRPr="000F25DC">
        <w:rPr>
          <w:spacing w:val="-6"/>
        </w:rPr>
        <w:t xml:space="preserve"> </w:t>
      </w:r>
      <w:r w:rsidRPr="000F25DC">
        <w:t>example, state and federal governmental agencies are not allowed to participate.</w:t>
      </w:r>
      <w:r>
        <w:t xml:space="preserve">  </w:t>
      </w:r>
      <w:r w:rsidRPr="000F25DC">
        <w:t xml:space="preserve">When compared to the We Hire Vets </w:t>
      </w:r>
      <w:r>
        <w:t>c</w:t>
      </w:r>
      <w:r w:rsidRPr="000F25DC">
        <w:t>ampaign, any employer—</w:t>
      </w:r>
      <w:r w:rsidRPr="000F25DC">
        <w:rPr>
          <w:color w:val="202429"/>
        </w:rPr>
        <w:t>as in any person, institution, organization,</w:t>
      </w:r>
      <w:r w:rsidRPr="000F25DC">
        <w:rPr>
          <w:color w:val="202429"/>
          <w:spacing w:val="-7"/>
        </w:rPr>
        <w:t xml:space="preserve"> </w:t>
      </w:r>
      <w:r w:rsidRPr="000F25DC">
        <w:rPr>
          <w:color w:val="202429"/>
        </w:rPr>
        <w:t>or</w:t>
      </w:r>
      <w:r w:rsidRPr="000F25DC">
        <w:rPr>
          <w:color w:val="202429"/>
          <w:spacing w:val="-7"/>
        </w:rPr>
        <w:t xml:space="preserve"> </w:t>
      </w:r>
      <w:r w:rsidRPr="000F25DC">
        <w:rPr>
          <w:color w:val="202429"/>
        </w:rPr>
        <w:t>other</w:t>
      </w:r>
      <w:r w:rsidRPr="000F25DC">
        <w:rPr>
          <w:color w:val="202429"/>
          <w:spacing w:val="-6"/>
        </w:rPr>
        <w:t xml:space="preserve"> </w:t>
      </w:r>
      <w:r w:rsidRPr="000F25DC">
        <w:rPr>
          <w:color w:val="202429"/>
        </w:rPr>
        <w:t>entity—that</w:t>
      </w:r>
      <w:r w:rsidRPr="000F25DC">
        <w:rPr>
          <w:color w:val="202429"/>
          <w:spacing w:val="-5"/>
        </w:rPr>
        <w:t xml:space="preserve"> </w:t>
      </w:r>
      <w:r w:rsidRPr="000F25DC">
        <w:rPr>
          <w:color w:val="202429"/>
        </w:rPr>
        <w:t>pays</w:t>
      </w:r>
      <w:r w:rsidRPr="000F25DC">
        <w:rPr>
          <w:color w:val="202429"/>
          <w:spacing w:val="-7"/>
        </w:rPr>
        <w:t xml:space="preserve"> </w:t>
      </w:r>
      <w:r w:rsidRPr="000F25DC">
        <w:rPr>
          <w:color w:val="202429"/>
        </w:rPr>
        <w:t>salaries</w:t>
      </w:r>
      <w:r w:rsidRPr="000F25DC">
        <w:rPr>
          <w:color w:val="202429"/>
          <w:spacing w:val="-7"/>
        </w:rPr>
        <w:t xml:space="preserve"> </w:t>
      </w:r>
      <w:r w:rsidRPr="000F25DC">
        <w:rPr>
          <w:color w:val="202429"/>
        </w:rPr>
        <w:t>or</w:t>
      </w:r>
      <w:r w:rsidRPr="000F25DC">
        <w:rPr>
          <w:color w:val="202429"/>
          <w:spacing w:val="-7"/>
        </w:rPr>
        <w:t xml:space="preserve"> </w:t>
      </w:r>
      <w:r w:rsidRPr="000F25DC">
        <w:rPr>
          <w:color w:val="202429"/>
        </w:rPr>
        <w:t>wages</w:t>
      </w:r>
      <w:r w:rsidRPr="000F25DC">
        <w:rPr>
          <w:color w:val="202429"/>
          <w:spacing w:val="-6"/>
        </w:rPr>
        <w:t xml:space="preserve"> </w:t>
      </w:r>
      <w:r w:rsidRPr="000F25DC">
        <w:rPr>
          <w:color w:val="202429"/>
        </w:rPr>
        <w:t>for</w:t>
      </w:r>
      <w:r w:rsidRPr="000F25DC">
        <w:rPr>
          <w:color w:val="202429"/>
          <w:spacing w:val="-7"/>
        </w:rPr>
        <w:t xml:space="preserve"> </w:t>
      </w:r>
      <w:r w:rsidRPr="000F25DC">
        <w:rPr>
          <w:color w:val="202429"/>
        </w:rPr>
        <w:t>work</w:t>
      </w:r>
      <w:r w:rsidRPr="000F25DC">
        <w:rPr>
          <w:color w:val="202429"/>
          <w:spacing w:val="-5"/>
        </w:rPr>
        <w:t xml:space="preserve"> </w:t>
      </w:r>
      <w:r w:rsidRPr="000F25DC">
        <w:rPr>
          <w:color w:val="202429"/>
        </w:rPr>
        <w:t>performed</w:t>
      </w:r>
      <w:r w:rsidRPr="000F25DC">
        <w:rPr>
          <w:color w:val="202429"/>
          <w:spacing w:val="-8"/>
        </w:rPr>
        <w:t xml:space="preserve"> </w:t>
      </w:r>
      <w:r w:rsidRPr="000F25DC">
        <w:rPr>
          <w:color w:val="202429"/>
        </w:rPr>
        <w:t>or</w:t>
      </w:r>
      <w:r w:rsidRPr="000F25DC">
        <w:rPr>
          <w:color w:val="202429"/>
          <w:spacing w:val="-7"/>
        </w:rPr>
        <w:t xml:space="preserve"> </w:t>
      </w:r>
      <w:r w:rsidRPr="000F25DC">
        <w:rPr>
          <w:color w:val="202429"/>
        </w:rPr>
        <w:t>that</w:t>
      </w:r>
      <w:r w:rsidRPr="000F25DC">
        <w:rPr>
          <w:color w:val="202429"/>
          <w:spacing w:val="-5"/>
        </w:rPr>
        <w:t xml:space="preserve"> </w:t>
      </w:r>
      <w:r w:rsidRPr="000F25DC">
        <w:rPr>
          <w:color w:val="202429"/>
        </w:rPr>
        <w:t>has</w:t>
      </w:r>
      <w:r w:rsidRPr="000F25DC">
        <w:rPr>
          <w:color w:val="202429"/>
          <w:spacing w:val="-6"/>
        </w:rPr>
        <w:t xml:space="preserve"> </w:t>
      </w:r>
      <w:r w:rsidRPr="000F25DC">
        <w:rPr>
          <w:color w:val="202429"/>
        </w:rPr>
        <w:t xml:space="preserve">control over employment opportunities is eligible to apply, including state and federal government agencies. In addition, there is no charge for employers to participate in the We Hire Vets </w:t>
      </w:r>
      <w:r w:rsidRPr="000F25DC">
        <w:rPr>
          <w:color w:val="202429"/>
          <w:spacing w:val="-2"/>
        </w:rPr>
        <w:t>program.</w:t>
      </w:r>
    </w:p>
    <w:p w14:paraId="7E382559" w14:textId="77777777" w:rsidR="006420CB" w:rsidRPr="0075735F" w:rsidRDefault="006420CB" w:rsidP="000B745A">
      <w:pPr>
        <w:pStyle w:val="BodyText"/>
      </w:pPr>
      <w:r w:rsidRPr="0075735F">
        <w:t>The</w:t>
      </w:r>
      <w:r w:rsidRPr="0075735F">
        <w:rPr>
          <w:spacing w:val="-9"/>
        </w:rPr>
        <w:t xml:space="preserve"> </w:t>
      </w:r>
      <w:r w:rsidRPr="0075735F">
        <w:t>Jobs</w:t>
      </w:r>
      <w:r w:rsidRPr="0075735F">
        <w:rPr>
          <w:spacing w:val="-10"/>
        </w:rPr>
        <w:t xml:space="preserve"> </w:t>
      </w:r>
      <w:r w:rsidRPr="0075735F">
        <w:t>for</w:t>
      </w:r>
      <w:r w:rsidRPr="0075735F">
        <w:rPr>
          <w:spacing w:val="-9"/>
        </w:rPr>
        <w:t xml:space="preserve"> </w:t>
      </w:r>
      <w:r w:rsidRPr="0075735F">
        <w:t>Veterans</w:t>
      </w:r>
      <w:r w:rsidRPr="0075735F">
        <w:rPr>
          <w:spacing w:val="-10"/>
        </w:rPr>
        <w:t xml:space="preserve"> </w:t>
      </w:r>
      <w:r w:rsidRPr="0075735F">
        <w:t>State</w:t>
      </w:r>
      <w:r w:rsidRPr="0075735F">
        <w:rPr>
          <w:spacing w:val="-11"/>
        </w:rPr>
        <w:t xml:space="preserve"> </w:t>
      </w:r>
      <w:r w:rsidRPr="0075735F">
        <w:t>Grant</w:t>
      </w:r>
      <w:r w:rsidRPr="0075735F">
        <w:rPr>
          <w:spacing w:val="-8"/>
        </w:rPr>
        <w:t xml:space="preserve"> </w:t>
      </w:r>
      <w:r w:rsidRPr="0075735F">
        <w:t>Program,</w:t>
      </w:r>
      <w:r w:rsidRPr="0075735F">
        <w:rPr>
          <w:spacing w:val="-10"/>
        </w:rPr>
        <w:t xml:space="preserve"> </w:t>
      </w:r>
      <w:r w:rsidRPr="0075735F">
        <w:t>which</w:t>
      </w:r>
      <w:r w:rsidRPr="0075735F">
        <w:rPr>
          <w:spacing w:val="-10"/>
        </w:rPr>
        <w:t xml:space="preserve"> </w:t>
      </w:r>
      <w:r w:rsidRPr="0075735F">
        <w:t>provides</w:t>
      </w:r>
      <w:r w:rsidRPr="0075735F">
        <w:rPr>
          <w:spacing w:val="-10"/>
        </w:rPr>
        <w:t xml:space="preserve"> </w:t>
      </w:r>
      <w:r w:rsidRPr="0075735F">
        <w:t>federal</w:t>
      </w:r>
      <w:r w:rsidRPr="0075735F">
        <w:rPr>
          <w:spacing w:val="-9"/>
        </w:rPr>
        <w:t xml:space="preserve"> </w:t>
      </w:r>
      <w:r w:rsidRPr="0075735F">
        <w:t>funding</w:t>
      </w:r>
      <w:r w:rsidRPr="0075735F">
        <w:rPr>
          <w:spacing w:val="-10"/>
        </w:rPr>
        <w:t xml:space="preserve"> </w:t>
      </w:r>
      <w:r w:rsidRPr="0075735F">
        <w:t>to</w:t>
      </w:r>
      <w:r w:rsidRPr="0075735F">
        <w:rPr>
          <w:spacing w:val="-11"/>
        </w:rPr>
        <w:t xml:space="preserve"> </w:t>
      </w:r>
      <w:r w:rsidRPr="0075735F">
        <w:t>state</w:t>
      </w:r>
      <w:r w:rsidRPr="0075735F">
        <w:rPr>
          <w:spacing w:val="-8"/>
        </w:rPr>
        <w:t xml:space="preserve"> </w:t>
      </w:r>
      <w:r w:rsidRPr="0075735F">
        <w:t>agencies,</w:t>
      </w:r>
      <w:r w:rsidRPr="0075735F">
        <w:rPr>
          <w:spacing w:val="-11"/>
        </w:rPr>
        <w:t xml:space="preserve"> </w:t>
      </w:r>
      <w:r w:rsidRPr="0075735F">
        <w:rPr>
          <w:spacing w:val="-5"/>
        </w:rPr>
        <w:t>and</w:t>
      </w:r>
      <w:r w:rsidRPr="0075735F">
        <w:t xml:space="preserve"> the</w:t>
      </w:r>
      <w:r w:rsidRPr="0075735F">
        <w:rPr>
          <w:spacing w:val="-9"/>
        </w:rPr>
        <w:t xml:space="preserve"> </w:t>
      </w:r>
      <w:r w:rsidRPr="0075735F">
        <w:t>TVLP</w:t>
      </w:r>
      <w:r w:rsidRPr="0075735F">
        <w:rPr>
          <w:spacing w:val="-8"/>
        </w:rPr>
        <w:t xml:space="preserve"> </w:t>
      </w:r>
      <w:r w:rsidRPr="0075735F">
        <w:t>are</w:t>
      </w:r>
      <w:r w:rsidRPr="0075735F">
        <w:rPr>
          <w:spacing w:val="-8"/>
        </w:rPr>
        <w:t xml:space="preserve"> </w:t>
      </w:r>
      <w:r w:rsidRPr="0075735F">
        <w:t>similar</w:t>
      </w:r>
      <w:r w:rsidRPr="0075735F">
        <w:rPr>
          <w:spacing w:val="-8"/>
        </w:rPr>
        <w:t xml:space="preserve"> </w:t>
      </w:r>
      <w:r w:rsidRPr="0075735F">
        <w:t>but</w:t>
      </w:r>
      <w:r w:rsidRPr="0075735F">
        <w:rPr>
          <w:spacing w:val="-6"/>
        </w:rPr>
        <w:t xml:space="preserve"> </w:t>
      </w:r>
      <w:r w:rsidRPr="0075735F">
        <w:t>far</w:t>
      </w:r>
      <w:r w:rsidRPr="0075735F">
        <w:rPr>
          <w:spacing w:val="-9"/>
        </w:rPr>
        <w:t xml:space="preserve"> </w:t>
      </w:r>
      <w:r w:rsidRPr="0075735F">
        <w:t>diﬀerent</w:t>
      </w:r>
      <w:r w:rsidRPr="0075735F">
        <w:rPr>
          <w:spacing w:val="-6"/>
        </w:rPr>
        <w:t xml:space="preserve"> </w:t>
      </w:r>
      <w:r w:rsidRPr="0075735F">
        <w:t>programs.</w:t>
      </w:r>
      <w:r w:rsidRPr="0075735F">
        <w:rPr>
          <w:spacing w:val="-7"/>
        </w:rPr>
        <w:t xml:space="preserve"> </w:t>
      </w:r>
      <w:r w:rsidRPr="0075735F">
        <w:t>The</w:t>
      </w:r>
      <w:r w:rsidRPr="0075735F">
        <w:rPr>
          <w:spacing w:val="-6"/>
        </w:rPr>
        <w:t xml:space="preserve"> </w:t>
      </w:r>
      <w:r w:rsidRPr="0075735F">
        <w:t>two</w:t>
      </w:r>
      <w:r w:rsidRPr="0075735F">
        <w:rPr>
          <w:spacing w:val="-6"/>
        </w:rPr>
        <w:t xml:space="preserve"> </w:t>
      </w:r>
      <w:r w:rsidRPr="0075735F">
        <w:t>programs</w:t>
      </w:r>
      <w:r w:rsidRPr="0075735F">
        <w:rPr>
          <w:spacing w:val="-7"/>
        </w:rPr>
        <w:t xml:space="preserve"> </w:t>
      </w:r>
      <w:r w:rsidRPr="0075735F">
        <w:t>complement</w:t>
      </w:r>
      <w:r w:rsidRPr="0075735F">
        <w:rPr>
          <w:spacing w:val="-9"/>
        </w:rPr>
        <w:t xml:space="preserve"> </w:t>
      </w:r>
      <w:r w:rsidRPr="0075735F">
        <w:t>one</w:t>
      </w:r>
      <w:r w:rsidRPr="0075735F">
        <w:rPr>
          <w:spacing w:val="-6"/>
        </w:rPr>
        <w:t xml:space="preserve"> </w:t>
      </w:r>
      <w:r w:rsidRPr="0075735F">
        <w:rPr>
          <w:spacing w:val="-2"/>
        </w:rPr>
        <w:t xml:space="preserve">another. </w:t>
      </w:r>
      <w:r w:rsidRPr="0075735F">
        <w:t>Most</w:t>
      </w:r>
      <w:r w:rsidRPr="0075735F">
        <w:rPr>
          <w:spacing w:val="-6"/>
        </w:rPr>
        <w:t xml:space="preserve"> </w:t>
      </w:r>
      <w:r w:rsidRPr="0075735F">
        <w:t>important,</w:t>
      </w:r>
      <w:r w:rsidRPr="0075735F">
        <w:rPr>
          <w:spacing w:val="-7"/>
        </w:rPr>
        <w:t xml:space="preserve"> </w:t>
      </w:r>
      <w:r w:rsidRPr="0075735F">
        <w:t>they</w:t>
      </w:r>
      <w:r w:rsidRPr="0075735F">
        <w:rPr>
          <w:spacing w:val="-6"/>
        </w:rPr>
        <w:t xml:space="preserve"> </w:t>
      </w:r>
      <w:r w:rsidRPr="0075735F">
        <w:t>work</w:t>
      </w:r>
      <w:r w:rsidRPr="0075735F">
        <w:rPr>
          <w:spacing w:val="-9"/>
        </w:rPr>
        <w:t xml:space="preserve"> </w:t>
      </w:r>
      <w:r w:rsidRPr="0075735F">
        <w:t>together</w:t>
      </w:r>
      <w:r w:rsidRPr="0075735F">
        <w:rPr>
          <w:spacing w:val="-7"/>
        </w:rPr>
        <w:t xml:space="preserve"> </w:t>
      </w:r>
      <w:r w:rsidRPr="0075735F">
        <w:t>for</w:t>
      </w:r>
      <w:r w:rsidRPr="0075735F">
        <w:rPr>
          <w:spacing w:val="-9"/>
        </w:rPr>
        <w:t xml:space="preserve"> </w:t>
      </w:r>
      <w:r w:rsidRPr="0075735F">
        <w:t>the</w:t>
      </w:r>
      <w:r w:rsidRPr="0075735F">
        <w:rPr>
          <w:spacing w:val="-6"/>
        </w:rPr>
        <w:t xml:space="preserve"> </w:t>
      </w:r>
      <w:r w:rsidRPr="0075735F">
        <w:t>beneﬁt</w:t>
      </w:r>
      <w:r w:rsidRPr="0075735F">
        <w:rPr>
          <w:spacing w:val="-9"/>
        </w:rPr>
        <w:t xml:space="preserve"> </w:t>
      </w:r>
      <w:r w:rsidRPr="0075735F">
        <w:t>of</w:t>
      </w:r>
      <w:r w:rsidRPr="0075735F">
        <w:rPr>
          <w:spacing w:val="-9"/>
        </w:rPr>
        <w:t xml:space="preserve"> </w:t>
      </w:r>
      <w:r w:rsidRPr="0075735F">
        <w:t>the</w:t>
      </w:r>
      <w:r w:rsidRPr="0075735F">
        <w:rPr>
          <w:spacing w:val="-6"/>
        </w:rPr>
        <w:t xml:space="preserve"> </w:t>
      </w:r>
      <w:r w:rsidRPr="0075735F">
        <w:t>veteran.</w:t>
      </w:r>
      <w:r w:rsidRPr="0075735F">
        <w:rPr>
          <w:spacing w:val="-7"/>
        </w:rPr>
        <w:t xml:space="preserve"> </w:t>
      </w:r>
      <w:r w:rsidRPr="0075735F">
        <w:t>Texas</w:t>
      </w:r>
      <w:r w:rsidRPr="0075735F">
        <w:rPr>
          <w:spacing w:val="-9"/>
        </w:rPr>
        <w:t xml:space="preserve"> </w:t>
      </w:r>
      <w:r w:rsidRPr="0075735F">
        <w:t>has</w:t>
      </w:r>
      <w:r w:rsidRPr="0075735F">
        <w:rPr>
          <w:spacing w:val="-7"/>
        </w:rPr>
        <w:t xml:space="preserve"> </w:t>
      </w:r>
      <w:r w:rsidRPr="0075735F">
        <w:t>the</w:t>
      </w:r>
      <w:r w:rsidRPr="0075735F">
        <w:rPr>
          <w:spacing w:val="-9"/>
        </w:rPr>
        <w:t xml:space="preserve"> </w:t>
      </w:r>
      <w:r w:rsidRPr="0075735F">
        <w:t>largest</w:t>
      </w:r>
      <w:r w:rsidRPr="0075735F">
        <w:rPr>
          <w:spacing w:val="-9"/>
        </w:rPr>
        <w:t xml:space="preserve"> </w:t>
      </w:r>
      <w:r w:rsidRPr="0075735F">
        <w:t>veteran population of 1.5 million</w:t>
      </w:r>
      <w:r>
        <w:t xml:space="preserve"> and t</w:t>
      </w:r>
      <w:r w:rsidRPr="00B64474">
        <w:t>here</w:t>
      </w:r>
      <w:r w:rsidRPr="0075735F">
        <w:t xml:space="preserve"> is no shortage of work regarding this population.</w:t>
      </w:r>
    </w:p>
    <w:p w14:paraId="045B4A6A" w14:textId="0010559C" w:rsidR="006420CB" w:rsidRPr="000F25DC" w:rsidRDefault="00D9664C" w:rsidP="00D9664C">
      <w:pPr>
        <w:pStyle w:val="BodyText3"/>
        <w:ind w:left="720" w:hanging="720"/>
      </w:pPr>
      <w:r>
        <w:t>I.</w:t>
      </w:r>
      <w:r>
        <w:tab/>
      </w:r>
      <w:r w:rsidR="006420CB" w:rsidRPr="000F25DC">
        <w:t>If</w:t>
      </w:r>
      <w:r w:rsidR="006420CB" w:rsidRPr="000F25DC">
        <w:rPr>
          <w:spacing w:val="-3"/>
        </w:rPr>
        <w:t xml:space="preserve"> </w:t>
      </w:r>
      <w:r w:rsidR="006420CB" w:rsidRPr="000F25DC">
        <w:t>the</w:t>
      </w:r>
      <w:r w:rsidR="006420CB" w:rsidRPr="000F25DC">
        <w:rPr>
          <w:spacing w:val="-2"/>
        </w:rPr>
        <w:t xml:space="preserve"> </w:t>
      </w:r>
      <w:r w:rsidR="006420CB" w:rsidRPr="000F25DC">
        <w:t>division</w:t>
      </w:r>
      <w:r w:rsidR="006420CB" w:rsidRPr="000F25DC">
        <w:rPr>
          <w:spacing w:val="-1"/>
        </w:rPr>
        <w:t xml:space="preserve"> </w:t>
      </w:r>
      <w:r w:rsidR="006420CB" w:rsidRPr="000F25DC">
        <w:t>or</w:t>
      </w:r>
      <w:r w:rsidR="006420CB" w:rsidRPr="000F25DC">
        <w:rPr>
          <w:spacing w:val="-3"/>
        </w:rPr>
        <w:t xml:space="preserve"> </w:t>
      </w:r>
      <w:r w:rsidR="006420CB" w:rsidRPr="000F25DC">
        <w:t>program</w:t>
      </w:r>
      <w:r w:rsidR="006420CB" w:rsidRPr="000F25DC">
        <w:rPr>
          <w:spacing w:val="-2"/>
        </w:rPr>
        <w:t xml:space="preserve"> </w:t>
      </w:r>
      <w:r w:rsidR="006420CB" w:rsidRPr="000F25DC">
        <w:t>works</w:t>
      </w:r>
      <w:r w:rsidR="006420CB" w:rsidRPr="000F25DC">
        <w:rPr>
          <w:spacing w:val="-1"/>
        </w:rPr>
        <w:t xml:space="preserve"> </w:t>
      </w:r>
      <w:r w:rsidR="006420CB" w:rsidRPr="000F25DC">
        <w:t>with</w:t>
      </w:r>
      <w:r w:rsidR="006420CB" w:rsidRPr="000F25DC">
        <w:rPr>
          <w:spacing w:val="-3"/>
        </w:rPr>
        <w:t xml:space="preserve"> </w:t>
      </w:r>
      <w:r w:rsidR="006420CB" w:rsidRPr="000F25DC">
        <w:t>local,</w:t>
      </w:r>
      <w:r w:rsidR="006420CB" w:rsidRPr="000F25DC">
        <w:rPr>
          <w:spacing w:val="-3"/>
        </w:rPr>
        <w:t xml:space="preserve"> </w:t>
      </w:r>
      <w:r w:rsidR="006420CB" w:rsidRPr="000F25DC">
        <w:t>regional,</w:t>
      </w:r>
      <w:r w:rsidR="006420CB" w:rsidRPr="000F25DC">
        <w:rPr>
          <w:spacing w:val="-3"/>
        </w:rPr>
        <w:t xml:space="preserve"> </w:t>
      </w:r>
      <w:r w:rsidR="006420CB" w:rsidRPr="000F25DC">
        <w:t>or federal</w:t>
      </w:r>
      <w:r w:rsidR="006420CB" w:rsidRPr="000F25DC">
        <w:rPr>
          <w:spacing w:val="-3"/>
        </w:rPr>
        <w:t xml:space="preserve"> </w:t>
      </w:r>
      <w:r w:rsidR="006420CB" w:rsidRPr="000F25DC">
        <w:t>units</w:t>
      </w:r>
      <w:r w:rsidR="006420CB" w:rsidRPr="000F25DC">
        <w:rPr>
          <w:spacing w:val="-1"/>
        </w:rPr>
        <w:t xml:space="preserve"> </w:t>
      </w:r>
      <w:r w:rsidR="006420CB" w:rsidRPr="000F25DC">
        <w:t>of</w:t>
      </w:r>
      <w:r w:rsidR="006420CB" w:rsidRPr="000F25DC">
        <w:rPr>
          <w:spacing w:val="-3"/>
        </w:rPr>
        <w:t xml:space="preserve"> </w:t>
      </w:r>
      <w:r w:rsidR="006420CB" w:rsidRPr="000F25DC">
        <w:t>government,</w:t>
      </w:r>
      <w:r w:rsidR="006420CB" w:rsidRPr="000F25DC">
        <w:rPr>
          <w:spacing w:val="-1"/>
        </w:rPr>
        <w:t xml:space="preserve"> </w:t>
      </w:r>
      <w:r w:rsidR="006420CB" w:rsidRPr="000F25DC">
        <w:t>include a brief description of these entities and their relationship to the agency.</w:t>
      </w:r>
    </w:p>
    <w:p w14:paraId="3D427F1A" w14:textId="77777777" w:rsidR="006420CB" w:rsidRPr="0075735F" w:rsidRDefault="006420CB" w:rsidP="00D9664C">
      <w:pPr>
        <w:pStyle w:val="BodyText"/>
      </w:pPr>
      <w:r w:rsidRPr="0075735F">
        <w:t xml:space="preserve">TVLP staﬀ work with all 28 </w:t>
      </w:r>
      <w:r>
        <w:t xml:space="preserve">Local </w:t>
      </w:r>
      <w:r w:rsidRPr="0075735F">
        <w:t xml:space="preserve">Workforce </w:t>
      </w:r>
      <w:r>
        <w:t xml:space="preserve">Development </w:t>
      </w:r>
      <w:r w:rsidRPr="0075735F">
        <w:t xml:space="preserve">Boards. Coordination and collaboration with </w:t>
      </w:r>
      <w:r w:rsidRPr="00B64474">
        <w:t>Board</w:t>
      </w:r>
      <w:r>
        <w:t>s</w:t>
      </w:r>
      <w:r w:rsidRPr="0075735F">
        <w:t xml:space="preserve"> and </w:t>
      </w:r>
      <w:r>
        <w:t xml:space="preserve">their </w:t>
      </w:r>
      <w:r w:rsidRPr="0075735F">
        <w:t>contractor staﬀ is paramount. For example, TVLP is part of the planning committees for the annual hiring Red, White and You job fairs. TVLP staﬀ members brief veterans, TSMs, and military</w:t>
      </w:r>
      <w:r w:rsidRPr="0075735F">
        <w:rPr>
          <w:spacing w:val="-7"/>
        </w:rPr>
        <w:t xml:space="preserve"> </w:t>
      </w:r>
      <w:r w:rsidRPr="0075735F">
        <w:t>spouses</w:t>
      </w:r>
      <w:r w:rsidRPr="0075735F">
        <w:rPr>
          <w:spacing w:val="-7"/>
        </w:rPr>
        <w:t xml:space="preserve"> </w:t>
      </w:r>
      <w:r w:rsidRPr="0075735F">
        <w:t>on</w:t>
      </w:r>
      <w:r w:rsidRPr="0075735F">
        <w:rPr>
          <w:spacing w:val="-7"/>
        </w:rPr>
        <w:t xml:space="preserve"> </w:t>
      </w:r>
      <w:proofErr w:type="gramStart"/>
      <w:r w:rsidRPr="0075735F">
        <w:t>all</w:t>
      </w:r>
      <w:r w:rsidRPr="0075735F">
        <w:rPr>
          <w:spacing w:val="-8"/>
        </w:rPr>
        <w:t xml:space="preserve"> </w:t>
      </w:r>
      <w:r w:rsidRPr="0075735F">
        <w:t>of</w:t>
      </w:r>
      <w:proofErr w:type="gramEnd"/>
      <w:r w:rsidRPr="0075735F">
        <w:rPr>
          <w:spacing w:val="-6"/>
        </w:rPr>
        <w:t xml:space="preserve"> </w:t>
      </w:r>
      <w:r w:rsidRPr="0075735F">
        <w:t>the</w:t>
      </w:r>
      <w:r w:rsidRPr="0075735F">
        <w:rPr>
          <w:spacing w:val="-5"/>
        </w:rPr>
        <w:t xml:space="preserve"> </w:t>
      </w:r>
      <w:r w:rsidRPr="0075735F">
        <w:t>diﬀerent</w:t>
      </w:r>
      <w:r w:rsidRPr="0075735F">
        <w:rPr>
          <w:spacing w:val="-7"/>
        </w:rPr>
        <w:t xml:space="preserve"> </w:t>
      </w:r>
      <w:r w:rsidRPr="0075735F">
        <w:t>programs</w:t>
      </w:r>
      <w:r w:rsidRPr="0075735F">
        <w:rPr>
          <w:spacing w:val="-6"/>
        </w:rPr>
        <w:t xml:space="preserve"> </w:t>
      </w:r>
      <w:r w:rsidRPr="0075735F">
        <w:t>and</w:t>
      </w:r>
      <w:r w:rsidRPr="0075735F">
        <w:rPr>
          <w:spacing w:val="-7"/>
        </w:rPr>
        <w:t xml:space="preserve"> </w:t>
      </w:r>
      <w:r w:rsidRPr="0075735F">
        <w:t>services</w:t>
      </w:r>
      <w:r w:rsidRPr="0075735F">
        <w:rPr>
          <w:spacing w:val="-7"/>
        </w:rPr>
        <w:t xml:space="preserve"> </w:t>
      </w:r>
      <w:r w:rsidRPr="0075735F">
        <w:t>oﬀered</w:t>
      </w:r>
      <w:r w:rsidRPr="0075735F">
        <w:rPr>
          <w:spacing w:val="-7"/>
        </w:rPr>
        <w:t xml:space="preserve"> </w:t>
      </w:r>
      <w:r w:rsidRPr="0075735F">
        <w:t>at</w:t>
      </w:r>
      <w:r w:rsidRPr="0075735F">
        <w:rPr>
          <w:spacing w:val="-7"/>
        </w:rPr>
        <w:t xml:space="preserve"> </w:t>
      </w:r>
      <w:r w:rsidRPr="0075735F">
        <w:t>the</w:t>
      </w:r>
      <w:r w:rsidRPr="0075735F">
        <w:rPr>
          <w:spacing w:val="-5"/>
        </w:rPr>
        <w:t xml:space="preserve"> </w:t>
      </w:r>
      <w:r w:rsidRPr="0075735F">
        <w:t>Workforce</w:t>
      </w:r>
      <w:r w:rsidRPr="0075735F">
        <w:rPr>
          <w:spacing w:val="-5"/>
        </w:rPr>
        <w:t xml:space="preserve"> </w:t>
      </w:r>
      <w:r w:rsidRPr="0075735F">
        <w:t>Solution Oﬃces.</w:t>
      </w:r>
      <w:r w:rsidRPr="0075735F">
        <w:rPr>
          <w:spacing w:val="-5"/>
        </w:rPr>
        <w:t xml:space="preserve"> </w:t>
      </w:r>
      <w:r w:rsidRPr="0075735F">
        <w:t>TVLP</w:t>
      </w:r>
      <w:r w:rsidRPr="0075735F">
        <w:rPr>
          <w:spacing w:val="-4"/>
        </w:rPr>
        <w:t xml:space="preserve"> </w:t>
      </w:r>
      <w:r w:rsidRPr="0075735F">
        <w:t>staﬀ</w:t>
      </w:r>
      <w:r w:rsidRPr="0075735F">
        <w:rPr>
          <w:spacing w:val="-4"/>
        </w:rPr>
        <w:t xml:space="preserve"> </w:t>
      </w:r>
      <w:r w:rsidRPr="0075735F">
        <w:t>refer</w:t>
      </w:r>
      <w:r w:rsidRPr="0075735F">
        <w:rPr>
          <w:spacing w:val="-6"/>
        </w:rPr>
        <w:t xml:space="preserve"> </w:t>
      </w:r>
      <w:r w:rsidRPr="00B64474">
        <w:t>veteran</w:t>
      </w:r>
      <w:r>
        <w:t>s</w:t>
      </w:r>
      <w:r w:rsidRPr="0075735F">
        <w:rPr>
          <w:spacing w:val="-5"/>
        </w:rPr>
        <w:t xml:space="preserve"> </w:t>
      </w:r>
      <w:r w:rsidRPr="0075735F">
        <w:t>to</w:t>
      </w:r>
      <w:r w:rsidRPr="0075735F">
        <w:rPr>
          <w:spacing w:val="-5"/>
        </w:rPr>
        <w:t xml:space="preserve"> </w:t>
      </w:r>
      <w:r w:rsidRPr="0075735F">
        <w:t>the</w:t>
      </w:r>
      <w:r w:rsidRPr="0075735F">
        <w:rPr>
          <w:spacing w:val="-4"/>
        </w:rPr>
        <w:t xml:space="preserve"> </w:t>
      </w:r>
      <w:r w:rsidRPr="0075735F">
        <w:t>multiple</w:t>
      </w:r>
      <w:r w:rsidRPr="0075735F">
        <w:rPr>
          <w:spacing w:val="-4"/>
        </w:rPr>
        <w:t xml:space="preserve"> </w:t>
      </w:r>
      <w:r w:rsidRPr="0075735F">
        <w:t>programs</w:t>
      </w:r>
      <w:r w:rsidRPr="0075735F">
        <w:rPr>
          <w:spacing w:val="-5"/>
        </w:rPr>
        <w:t xml:space="preserve"> </w:t>
      </w:r>
      <w:r w:rsidRPr="0075735F">
        <w:t>housed</w:t>
      </w:r>
      <w:r w:rsidRPr="0075735F">
        <w:rPr>
          <w:spacing w:val="-7"/>
        </w:rPr>
        <w:t xml:space="preserve"> </w:t>
      </w:r>
      <w:r w:rsidRPr="0075735F">
        <w:t>with</w:t>
      </w:r>
      <w:r w:rsidRPr="0075735F">
        <w:rPr>
          <w:spacing w:val="-5"/>
        </w:rPr>
        <w:t xml:space="preserve"> </w:t>
      </w:r>
      <w:r w:rsidRPr="0075735F">
        <w:t>the</w:t>
      </w:r>
      <w:r w:rsidRPr="0075735F">
        <w:rPr>
          <w:spacing w:val="-4"/>
        </w:rPr>
        <w:t xml:space="preserve"> </w:t>
      </w:r>
      <w:r w:rsidRPr="0075735F">
        <w:t>Workforce</w:t>
      </w:r>
      <w:r w:rsidRPr="0075735F">
        <w:rPr>
          <w:spacing w:val="-4"/>
        </w:rPr>
        <w:t xml:space="preserve"> </w:t>
      </w:r>
      <w:r w:rsidRPr="0075735F">
        <w:t xml:space="preserve">Solutions </w:t>
      </w:r>
      <w:r w:rsidRPr="0075735F">
        <w:rPr>
          <w:spacing w:val="-2"/>
        </w:rPr>
        <w:t>Oﬃces.</w:t>
      </w:r>
    </w:p>
    <w:p w14:paraId="3B12E3EF" w14:textId="77777777" w:rsidR="006420CB" w:rsidRPr="0075735F" w:rsidRDefault="006420CB" w:rsidP="00D9664C">
      <w:pPr>
        <w:pStyle w:val="BodyText"/>
      </w:pPr>
      <w:r w:rsidRPr="0075735F">
        <w:t>TVLP</w:t>
      </w:r>
      <w:r w:rsidRPr="0075735F">
        <w:rPr>
          <w:spacing w:val="-5"/>
        </w:rPr>
        <w:t xml:space="preserve"> </w:t>
      </w:r>
      <w:r w:rsidRPr="0075735F">
        <w:t>staﬀ</w:t>
      </w:r>
      <w:r w:rsidRPr="0075735F">
        <w:rPr>
          <w:spacing w:val="-5"/>
        </w:rPr>
        <w:t xml:space="preserve"> </w:t>
      </w:r>
      <w:r w:rsidRPr="0075735F">
        <w:t>working</w:t>
      </w:r>
      <w:r w:rsidRPr="0075735F">
        <w:rPr>
          <w:spacing w:val="-7"/>
        </w:rPr>
        <w:t xml:space="preserve"> </w:t>
      </w:r>
      <w:r w:rsidRPr="0075735F">
        <w:t>on</w:t>
      </w:r>
      <w:r w:rsidRPr="0075735F">
        <w:rPr>
          <w:spacing w:val="-5"/>
        </w:rPr>
        <w:t xml:space="preserve"> </w:t>
      </w:r>
      <w:r w:rsidRPr="0075735F">
        <w:t>military</w:t>
      </w:r>
      <w:r w:rsidRPr="0075735F">
        <w:rPr>
          <w:spacing w:val="-3"/>
        </w:rPr>
        <w:t xml:space="preserve"> </w:t>
      </w:r>
      <w:r w:rsidRPr="0075735F">
        <w:t>installations</w:t>
      </w:r>
      <w:r w:rsidRPr="0075735F">
        <w:rPr>
          <w:spacing w:val="-6"/>
        </w:rPr>
        <w:t xml:space="preserve"> </w:t>
      </w:r>
      <w:r w:rsidRPr="0075735F">
        <w:t>brief</w:t>
      </w:r>
      <w:r w:rsidRPr="0075735F">
        <w:rPr>
          <w:spacing w:val="-6"/>
        </w:rPr>
        <w:t xml:space="preserve"> </w:t>
      </w:r>
      <w:r>
        <w:rPr>
          <w:spacing w:val="-6"/>
        </w:rPr>
        <w:t xml:space="preserve">U.S. </w:t>
      </w:r>
      <w:r>
        <w:t>Department of Defense</w:t>
      </w:r>
      <w:r w:rsidRPr="0075735F">
        <w:rPr>
          <w:spacing w:val="-5"/>
        </w:rPr>
        <w:t xml:space="preserve"> </w:t>
      </w:r>
      <w:r w:rsidRPr="0075735F">
        <w:t>personnel</w:t>
      </w:r>
      <w:r>
        <w:rPr>
          <w:spacing w:val="-6"/>
        </w:rPr>
        <w:t xml:space="preserve"> </w:t>
      </w:r>
      <w:r w:rsidRPr="0075735F">
        <w:t>on</w:t>
      </w:r>
      <w:r w:rsidRPr="0075735F">
        <w:rPr>
          <w:spacing w:val="-5"/>
        </w:rPr>
        <w:t xml:space="preserve"> </w:t>
      </w:r>
      <w:proofErr w:type="gramStart"/>
      <w:r w:rsidRPr="0075735F">
        <w:t>all</w:t>
      </w:r>
      <w:r w:rsidRPr="0075735F">
        <w:rPr>
          <w:spacing w:val="-7"/>
        </w:rPr>
        <w:t xml:space="preserve"> </w:t>
      </w:r>
      <w:r w:rsidRPr="0075735F">
        <w:t>of</w:t>
      </w:r>
      <w:proofErr w:type="gramEnd"/>
      <w:r w:rsidRPr="0075735F">
        <w:t xml:space="preserve"> the</w:t>
      </w:r>
      <w:r w:rsidRPr="0075735F">
        <w:rPr>
          <w:spacing w:val="-1"/>
        </w:rPr>
        <w:t xml:space="preserve"> </w:t>
      </w:r>
      <w:r w:rsidRPr="0075735F">
        <w:t>state</w:t>
      </w:r>
      <w:r w:rsidRPr="0075735F">
        <w:rPr>
          <w:spacing w:val="-1"/>
        </w:rPr>
        <w:t xml:space="preserve"> </w:t>
      </w:r>
      <w:r w:rsidRPr="0075735F">
        <w:t>services</w:t>
      </w:r>
      <w:r w:rsidRPr="0075735F">
        <w:rPr>
          <w:spacing w:val="-4"/>
        </w:rPr>
        <w:t xml:space="preserve"> </w:t>
      </w:r>
      <w:r w:rsidRPr="0075735F">
        <w:t>and</w:t>
      </w:r>
      <w:r w:rsidRPr="0075735F">
        <w:rPr>
          <w:spacing w:val="-3"/>
        </w:rPr>
        <w:t xml:space="preserve"> </w:t>
      </w:r>
      <w:r w:rsidRPr="0075735F">
        <w:t>programs</w:t>
      </w:r>
      <w:r w:rsidRPr="0075735F">
        <w:rPr>
          <w:spacing w:val="-2"/>
        </w:rPr>
        <w:t xml:space="preserve"> </w:t>
      </w:r>
      <w:r w:rsidRPr="0075735F">
        <w:t>TSMs,</w:t>
      </w:r>
      <w:r w:rsidRPr="0075735F">
        <w:rPr>
          <w:spacing w:val="-4"/>
        </w:rPr>
        <w:t xml:space="preserve"> </w:t>
      </w:r>
      <w:r w:rsidRPr="0075735F">
        <w:t>veterans,</w:t>
      </w:r>
      <w:r w:rsidRPr="0075735F">
        <w:rPr>
          <w:spacing w:val="-4"/>
        </w:rPr>
        <w:t xml:space="preserve"> </w:t>
      </w:r>
      <w:r w:rsidRPr="0075735F">
        <w:t>and</w:t>
      </w:r>
      <w:r w:rsidRPr="0075735F">
        <w:rPr>
          <w:spacing w:val="-3"/>
        </w:rPr>
        <w:t xml:space="preserve"> </w:t>
      </w:r>
      <w:r w:rsidRPr="0075735F">
        <w:t>military</w:t>
      </w:r>
      <w:r w:rsidRPr="0075735F">
        <w:rPr>
          <w:spacing w:val="-3"/>
        </w:rPr>
        <w:t xml:space="preserve"> </w:t>
      </w:r>
      <w:r w:rsidRPr="0075735F">
        <w:t>spouses</w:t>
      </w:r>
      <w:r w:rsidRPr="0075735F">
        <w:rPr>
          <w:spacing w:val="-2"/>
        </w:rPr>
        <w:t xml:space="preserve"> </w:t>
      </w:r>
      <w:r w:rsidRPr="0075735F">
        <w:t>are</w:t>
      </w:r>
      <w:r w:rsidRPr="0075735F">
        <w:rPr>
          <w:spacing w:val="-1"/>
        </w:rPr>
        <w:t xml:space="preserve"> </w:t>
      </w:r>
      <w:r w:rsidRPr="0075735F">
        <w:t>eligible</w:t>
      </w:r>
      <w:r w:rsidRPr="0075735F">
        <w:rPr>
          <w:spacing w:val="-1"/>
        </w:rPr>
        <w:t xml:space="preserve"> </w:t>
      </w:r>
      <w:r w:rsidRPr="0075735F">
        <w:t>for.</w:t>
      </w:r>
      <w:r w:rsidRPr="0075735F">
        <w:rPr>
          <w:spacing w:val="-2"/>
        </w:rPr>
        <w:t xml:space="preserve"> </w:t>
      </w:r>
      <w:r w:rsidRPr="0075735F">
        <w:t>The</w:t>
      </w:r>
      <w:r w:rsidRPr="0075735F">
        <w:rPr>
          <w:spacing w:val="-4"/>
        </w:rPr>
        <w:t xml:space="preserve"> </w:t>
      </w:r>
      <w:r w:rsidRPr="0075735F">
        <w:t>goal</w:t>
      </w:r>
      <w:r w:rsidRPr="0075735F">
        <w:rPr>
          <w:spacing w:val="-2"/>
        </w:rPr>
        <w:t xml:space="preserve"> </w:t>
      </w:r>
      <w:r w:rsidRPr="0075735F">
        <w:t xml:space="preserve">is to bring these state services to services members so </w:t>
      </w:r>
      <w:r>
        <w:t xml:space="preserve">Texas </w:t>
      </w:r>
      <w:r w:rsidRPr="0075735F">
        <w:t xml:space="preserve">can retain top talent for </w:t>
      </w:r>
      <w:r>
        <w:t>the state’s</w:t>
      </w:r>
      <w:r w:rsidRPr="0075735F">
        <w:t xml:space="preserve"> ever-growing workforce.</w:t>
      </w:r>
    </w:p>
    <w:p w14:paraId="5EBF1958" w14:textId="77777777" w:rsidR="006420CB" w:rsidRPr="0075735F" w:rsidRDefault="006420CB" w:rsidP="00D9664C">
      <w:pPr>
        <w:pStyle w:val="BodyText"/>
      </w:pPr>
      <w:r w:rsidRPr="0075735F">
        <w:t>TVLP</w:t>
      </w:r>
      <w:r w:rsidRPr="0075735F">
        <w:rPr>
          <w:spacing w:val="-9"/>
        </w:rPr>
        <w:t xml:space="preserve"> </w:t>
      </w:r>
      <w:r w:rsidRPr="0075735F">
        <w:t>staﬀ</w:t>
      </w:r>
      <w:r w:rsidRPr="0075735F">
        <w:rPr>
          <w:spacing w:val="-9"/>
        </w:rPr>
        <w:t xml:space="preserve"> </w:t>
      </w:r>
      <w:r w:rsidRPr="0075735F">
        <w:t>have</w:t>
      </w:r>
      <w:r w:rsidRPr="0075735F">
        <w:rPr>
          <w:spacing w:val="-7"/>
        </w:rPr>
        <w:t xml:space="preserve"> </w:t>
      </w:r>
      <w:r w:rsidRPr="0075735F">
        <w:t>brought</w:t>
      </w:r>
      <w:r w:rsidRPr="0075735F">
        <w:rPr>
          <w:spacing w:val="-7"/>
        </w:rPr>
        <w:t xml:space="preserve"> </w:t>
      </w:r>
      <w:r w:rsidRPr="0075735F">
        <w:t>top</w:t>
      </w:r>
      <w:r w:rsidRPr="0075735F">
        <w:rPr>
          <w:spacing w:val="-9"/>
        </w:rPr>
        <w:t xml:space="preserve"> </w:t>
      </w:r>
      <w:r w:rsidRPr="0075735F">
        <w:t>employers</w:t>
      </w:r>
      <w:r w:rsidRPr="0075735F">
        <w:rPr>
          <w:spacing w:val="-8"/>
        </w:rPr>
        <w:t xml:space="preserve"> </w:t>
      </w:r>
      <w:r w:rsidRPr="0075735F">
        <w:t>to</w:t>
      </w:r>
      <w:r w:rsidRPr="0075735F">
        <w:rPr>
          <w:spacing w:val="-7"/>
        </w:rPr>
        <w:t xml:space="preserve"> </w:t>
      </w:r>
      <w:r w:rsidRPr="0075735F">
        <w:t>military</w:t>
      </w:r>
      <w:r w:rsidRPr="0075735F">
        <w:rPr>
          <w:spacing w:val="-7"/>
        </w:rPr>
        <w:t xml:space="preserve"> </w:t>
      </w:r>
      <w:r w:rsidRPr="0075735F">
        <w:t>installations,</w:t>
      </w:r>
      <w:r w:rsidRPr="0075735F">
        <w:rPr>
          <w:spacing w:val="-8"/>
        </w:rPr>
        <w:t xml:space="preserve"> </w:t>
      </w:r>
      <w:r w:rsidRPr="0075735F">
        <w:t>enabling</w:t>
      </w:r>
      <w:r w:rsidRPr="0075735F">
        <w:rPr>
          <w:spacing w:val="-9"/>
        </w:rPr>
        <w:t xml:space="preserve"> </w:t>
      </w:r>
      <w:r w:rsidRPr="0075735F">
        <w:t>connections</w:t>
      </w:r>
      <w:r w:rsidRPr="0075735F">
        <w:rPr>
          <w:spacing w:val="-8"/>
        </w:rPr>
        <w:t xml:space="preserve"> </w:t>
      </w:r>
      <w:r w:rsidRPr="0075735F">
        <w:t>to</w:t>
      </w:r>
      <w:r w:rsidRPr="0075735F">
        <w:rPr>
          <w:spacing w:val="-7"/>
        </w:rPr>
        <w:t xml:space="preserve"> </w:t>
      </w:r>
      <w:r w:rsidRPr="0075735F">
        <w:t>private- sector businesses such as Tesla and Samsung and public-sector entities such as state agencies. Multiple state agencies have participated in the Army’s individualized Career Skills Program, which allows a TSM to participate in an internship with a Texas state agency.</w:t>
      </w:r>
    </w:p>
    <w:p w14:paraId="643C36C8" w14:textId="77777777" w:rsidR="006420CB" w:rsidRPr="0075735F" w:rsidRDefault="006420CB" w:rsidP="00D9664C">
      <w:pPr>
        <w:pStyle w:val="BodyText"/>
      </w:pPr>
      <w:r w:rsidRPr="0075735F">
        <w:t>TVLP</w:t>
      </w:r>
      <w:r w:rsidRPr="0075735F">
        <w:rPr>
          <w:spacing w:val="-7"/>
        </w:rPr>
        <w:t xml:space="preserve"> </w:t>
      </w:r>
      <w:r w:rsidRPr="0075735F">
        <w:t>and</w:t>
      </w:r>
      <w:r w:rsidRPr="0075735F">
        <w:rPr>
          <w:spacing w:val="-7"/>
        </w:rPr>
        <w:t xml:space="preserve"> </w:t>
      </w:r>
      <w:r w:rsidRPr="0075735F">
        <w:t>TVC</w:t>
      </w:r>
      <w:r w:rsidRPr="0075735F">
        <w:rPr>
          <w:spacing w:val="-6"/>
        </w:rPr>
        <w:t xml:space="preserve"> </w:t>
      </w:r>
      <w:r w:rsidRPr="0075735F">
        <w:t>staﬀ</w:t>
      </w:r>
      <w:r w:rsidRPr="0075735F">
        <w:rPr>
          <w:spacing w:val="-6"/>
        </w:rPr>
        <w:t xml:space="preserve"> </w:t>
      </w:r>
      <w:r w:rsidRPr="0075735F">
        <w:t>have</w:t>
      </w:r>
      <w:r w:rsidRPr="0075735F">
        <w:rPr>
          <w:spacing w:val="-6"/>
        </w:rPr>
        <w:t xml:space="preserve"> </w:t>
      </w:r>
      <w:r w:rsidRPr="0075735F">
        <w:t>worked</w:t>
      </w:r>
      <w:r w:rsidRPr="0075735F">
        <w:rPr>
          <w:spacing w:val="-7"/>
        </w:rPr>
        <w:t xml:space="preserve"> </w:t>
      </w:r>
      <w:r w:rsidRPr="0075735F">
        <w:t>with</w:t>
      </w:r>
      <w:r w:rsidRPr="0075735F">
        <w:rPr>
          <w:spacing w:val="-7"/>
        </w:rPr>
        <w:t xml:space="preserve"> </w:t>
      </w:r>
      <w:r w:rsidRPr="0075735F">
        <w:t>multiple</w:t>
      </w:r>
      <w:r w:rsidRPr="0075735F">
        <w:rPr>
          <w:spacing w:val="-6"/>
        </w:rPr>
        <w:t xml:space="preserve"> </w:t>
      </w:r>
      <w:r w:rsidRPr="0075735F">
        <w:t>state</w:t>
      </w:r>
      <w:r w:rsidRPr="0075735F">
        <w:rPr>
          <w:spacing w:val="-6"/>
        </w:rPr>
        <w:t xml:space="preserve"> </w:t>
      </w:r>
      <w:r w:rsidRPr="0075735F">
        <w:t>agencies</w:t>
      </w:r>
      <w:r w:rsidRPr="0075735F">
        <w:rPr>
          <w:spacing w:val="-6"/>
        </w:rPr>
        <w:t xml:space="preserve"> </w:t>
      </w:r>
      <w:r w:rsidRPr="0075735F">
        <w:t>in</w:t>
      </w:r>
      <w:r w:rsidRPr="0075735F">
        <w:rPr>
          <w:spacing w:val="-7"/>
        </w:rPr>
        <w:t xml:space="preserve"> </w:t>
      </w:r>
      <w:r w:rsidRPr="0075735F">
        <w:t>identifying</w:t>
      </w:r>
      <w:r w:rsidRPr="0075735F">
        <w:rPr>
          <w:spacing w:val="-7"/>
        </w:rPr>
        <w:t xml:space="preserve"> </w:t>
      </w:r>
      <w:r w:rsidRPr="0075735F">
        <w:t>TSMs</w:t>
      </w:r>
      <w:r w:rsidRPr="0075735F">
        <w:rPr>
          <w:spacing w:val="-8"/>
        </w:rPr>
        <w:t xml:space="preserve"> </w:t>
      </w:r>
      <w:r w:rsidRPr="0075735F">
        <w:t>and</w:t>
      </w:r>
      <w:r w:rsidRPr="0075735F">
        <w:rPr>
          <w:spacing w:val="-7"/>
        </w:rPr>
        <w:t xml:space="preserve"> </w:t>
      </w:r>
      <w:r w:rsidRPr="0075735F">
        <w:t>veterans for the Military Employment Preference Direct Hire provision for open positions.</w:t>
      </w:r>
    </w:p>
    <w:p w14:paraId="750E937C" w14:textId="77777777" w:rsidR="006420CB" w:rsidRPr="0075735F" w:rsidRDefault="006420CB" w:rsidP="00D9664C">
      <w:pPr>
        <w:pStyle w:val="BodyText"/>
      </w:pPr>
      <w:r w:rsidRPr="0075735F">
        <w:t>TVLP</w:t>
      </w:r>
      <w:r w:rsidRPr="0075735F">
        <w:rPr>
          <w:spacing w:val="-9"/>
        </w:rPr>
        <w:t xml:space="preserve"> </w:t>
      </w:r>
      <w:r w:rsidRPr="0075735F">
        <w:t>staﬀ</w:t>
      </w:r>
      <w:r w:rsidRPr="0075735F">
        <w:rPr>
          <w:spacing w:val="-9"/>
        </w:rPr>
        <w:t xml:space="preserve"> </w:t>
      </w:r>
      <w:r w:rsidRPr="0075735F">
        <w:t>network,</w:t>
      </w:r>
      <w:r w:rsidRPr="0075735F">
        <w:rPr>
          <w:spacing w:val="-8"/>
        </w:rPr>
        <w:t xml:space="preserve"> </w:t>
      </w:r>
      <w:r w:rsidRPr="0075735F">
        <w:t>maintain</w:t>
      </w:r>
      <w:r w:rsidRPr="0075735F">
        <w:rPr>
          <w:spacing w:val="-9"/>
        </w:rPr>
        <w:t xml:space="preserve"> </w:t>
      </w:r>
      <w:r w:rsidRPr="0075735F">
        <w:t>relationships,</w:t>
      </w:r>
      <w:r w:rsidRPr="0075735F">
        <w:rPr>
          <w:spacing w:val="-8"/>
        </w:rPr>
        <w:t xml:space="preserve"> </w:t>
      </w:r>
      <w:r w:rsidRPr="0075735F">
        <w:t>and</w:t>
      </w:r>
      <w:r w:rsidRPr="0075735F">
        <w:rPr>
          <w:spacing w:val="-9"/>
        </w:rPr>
        <w:t xml:space="preserve"> </w:t>
      </w:r>
      <w:r w:rsidRPr="0075735F">
        <w:t>refer</w:t>
      </w:r>
      <w:r w:rsidRPr="0075735F">
        <w:rPr>
          <w:spacing w:val="-9"/>
        </w:rPr>
        <w:t xml:space="preserve"> </w:t>
      </w:r>
      <w:r w:rsidRPr="0075735F">
        <w:t>veterans</w:t>
      </w:r>
      <w:r w:rsidRPr="0075735F">
        <w:rPr>
          <w:spacing w:val="-8"/>
        </w:rPr>
        <w:t xml:space="preserve"> </w:t>
      </w:r>
      <w:r w:rsidRPr="0075735F">
        <w:t>to</w:t>
      </w:r>
      <w:r w:rsidRPr="0075735F">
        <w:rPr>
          <w:spacing w:val="-7"/>
        </w:rPr>
        <w:t xml:space="preserve"> </w:t>
      </w:r>
      <w:r w:rsidRPr="0075735F">
        <w:t>the</w:t>
      </w:r>
      <w:r w:rsidRPr="0075735F">
        <w:rPr>
          <w:spacing w:val="-9"/>
        </w:rPr>
        <w:t xml:space="preserve"> </w:t>
      </w:r>
      <w:r w:rsidRPr="0075735F">
        <w:t>many</w:t>
      </w:r>
      <w:r w:rsidRPr="0075735F">
        <w:rPr>
          <w:spacing w:val="-7"/>
        </w:rPr>
        <w:t xml:space="preserve"> </w:t>
      </w:r>
      <w:r w:rsidRPr="0075735F">
        <w:t>diﬀerent</w:t>
      </w:r>
      <w:r w:rsidRPr="0075735F">
        <w:rPr>
          <w:spacing w:val="-7"/>
        </w:rPr>
        <w:t xml:space="preserve"> </w:t>
      </w:r>
      <w:r w:rsidRPr="0075735F">
        <w:t>programs</w:t>
      </w:r>
      <w:r w:rsidRPr="0075735F">
        <w:rPr>
          <w:spacing w:val="-9"/>
        </w:rPr>
        <w:t xml:space="preserve"> </w:t>
      </w:r>
      <w:r w:rsidRPr="0075735F">
        <w:t xml:space="preserve">of the </w:t>
      </w:r>
      <w:r>
        <w:t xml:space="preserve">U.S. </w:t>
      </w:r>
      <w:r w:rsidRPr="0075735F">
        <w:t>Department of Veteran Aﬀairs</w:t>
      </w:r>
      <w:r w:rsidRPr="000F25DC">
        <w:t xml:space="preserve"> (VA</w:t>
      </w:r>
      <w:r>
        <w:t>)</w:t>
      </w:r>
      <w:r w:rsidRPr="0075735F">
        <w:t>. Mental health and the homeless veteran</w:t>
      </w:r>
      <w:r w:rsidRPr="0075735F">
        <w:rPr>
          <w:spacing w:val="-1"/>
        </w:rPr>
        <w:t xml:space="preserve"> </w:t>
      </w:r>
      <w:r w:rsidRPr="0075735F">
        <w:t>programs are the two most pressing programs in which TVLP and VA</w:t>
      </w:r>
      <w:r w:rsidRPr="0075735F">
        <w:rPr>
          <w:spacing w:val="-1"/>
        </w:rPr>
        <w:t xml:space="preserve"> </w:t>
      </w:r>
      <w:r w:rsidRPr="0075735F">
        <w:t>work together. The VA’s Veterans Readiness and Employment Program refers veterans to the TVLP.</w:t>
      </w:r>
    </w:p>
    <w:p w14:paraId="4B3CED6A" w14:textId="5F82C18E" w:rsidR="006420CB" w:rsidRPr="000F25DC" w:rsidRDefault="0043384F" w:rsidP="0043384F">
      <w:pPr>
        <w:pStyle w:val="BodyText3"/>
        <w:ind w:left="720" w:hanging="720"/>
      </w:pPr>
      <w:r>
        <w:t>J.</w:t>
      </w:r>
      <w:r>
        <w:tab/>
      </w:r>
      <w:r w:rsidR="006420CB" w:rsidRPr="000F25DC">
        <w:t>Are there any barriers or challenges that impede the division or</w:t>
      </w:r>
      <w:r w:rsidR="006420CB" w:rsidRPr="000F25DC">
        <w:rPr>
          <w:spacing w:val="27"/>
        </w:rPr>
        <w:t xml:space="preserve"> </w:t>
      </w:r>
      <w:r w:rsidR="006420CB" w:rsidRPr="000F25DC">
        <w:t>program’s performance,</w:t>
      </w:r>
      <w:r w:rsidR="006420CB" w:rsidRPr="000F25DC">
        <w:rPr>
          <w:spacing w:val="80"/>
        </w:rPr>
        <w:t xml:space="preserve"> </w:t>
      </w:r>
      <w:r w:rsidR="006420CB" w:rsidRPr="000F25DC">
        <w:t>including any outdated or ineffective state laws? Explain.</w:t>
      </w:r>
    </w:p>
    <w:p w14:paraId="183ED4A5" w14:textId="77777777" w:rsidR="006420CB" w:rsidRDefault="006420CB" w:rsidP="0043384F">
      <w:pPr>
        <w:pStyle w:val="BodyText"/>
      </w:pPr>
      <w:r w:rsidRPr="000F25DC">
        <w:lastRenderedPageBreak/>
        <w:t>Since</w:t>
      </w:r>
      <w:r w:rsidRPr="000F25DC">
        <w:rPr>
          <w:spacing w:val="-5"/>
        </w:rPr>
        <w:t xml:space="preserve"> </w:t>
      </w:r>
      <w:r w:rsidRPr="000F25DC">
        <w:t>2020,</w:t>
      </w:r>
      <w:r w:rsidRPr="000F25DC">
        <w:rPr>
          <w:spacing w:val="-6"/>
        </w:rPr>
        <w:t xml:space="preserve"> </w:t>
      </w:r>
      <w:r w:rsidRPr="000F25DC">
        <w:t>the</w:t>
      </w:r>
      <w:r w:rsidRPr="000F25DC">
        <w:rPr>
          <w:spacing w:val="-5"/>
        </w:rPr>
        <w:t xml:space="preserve"> </w:t>
      </w:r>
      <w:r>
        <w:rPr>
          <w:spacing w:val="-7"/>
        </w:rPr>
        <w:t xml:space="preserve">College Credit for Heroes </w:t>
      </w:r>
      <w:r w:rsidRPr="000F25DC">
        <w:t>program</w:t>
      </w:r>
      <w:r w:rsidRPr="000F25DC">
        <w:rPr>
          <w:spacing w:val="-7"/>
        </w:rPr>
        <w:t xml:space="preserve"> </w:t>
      </w:r>
      <w:r w:rsidRPr="000F25DC">
        <w:t>has</w:t>
      </w:r>
      <w:r w:rsidRPr="000F25DC">
        <w:rPr>
          <w:spacing w:val="-6"/>
        </w:rPr>
        <w:t xml:space="preserve"> </w:t>
      </w:r>
      <w:r w:rsidRPr="000F25DC">
        <w:t>focused</w:t>
      </w:r>
      <w:r w:rsidRPr="000F25DC">
        <w:rPr>
          <w:spacing w:val="-7"/>
        </w:rPr>
        <w:t xml:space="preserve"> </w:t>
      </w:r>
      <w:r w:rsidRPr="000F25DC">
        <w:t>on</w:t>
      </w:r>
      <w:r w:rsidRPr="000F25DC">
        <w:rPr>
          <w:spacing w:val="-9"/>
        </w:rPr>
        <w:t xml:space="preserve"> </w:t>
      </w:r>
      <w:r>
        <w:t>c</w:t>
      </w:r>
      <w:r w:rsidRPr="000F25DC">
        <w:t>apacity</w:t>
      </w:r>
      <w:r w:rsidRPr="000F25DC">
        <w:rPr>
          <w:spacing w:val="-7"/>
        </w:rPr>
        <w:t xml:space="preserve"> </w:t>
      </w:r>
      <w:r>
        <w:t>b</w:t>
      </w:r>
      <w:r w:rsidRPr="000F25DC">
        <w:t>uilding</w:t>
      </w:r>
      <w:r w:rsidRPr="000F25DC">
        <w:rPr>
          <w:spacing w:val="-7"/>
        </w:rPr>
        <w:t xml:space="preserve"> </w:t>
      </w:r>
      <w:r w:rsidRPr="000F25DC">
        <w:t>and</w:t>
      </w:r>
      <w:r w:rsidRPr="000F25DC">
        <w:rPr>
          <w:spacing w:val="-7"/>
        </w:rPr>
        <w:t xml:space="preserve"> </w:t>
      </w:r>
      <w:r>
        <w:t>s</w:t>
      </w:r>
      <w:r w:rsidRPr="000F25DC">
        <w:t>ustainability</w:t>
      </w:r>
      <w:r>
        <w:t xml:space="preserve"> due to the limited number of grant applications the program has received</w:t>
      </w:r>
      <w:r w:rsidRPr="000F25DC">
        <w:t>. In</w:t>
      </w:r>
      <w:r w:rsidRPr="000F25DC">
        <w:rPr>
          <w:spacing w:val="-6"/>
        </w:rPr>
        <w:t xml:space="preserve"> </w:t>
      </w:r>
      <w:r w:rsidRPr="000F25DC">
        <w:t>2025,</w:t>
      </w:r>
      <w:r w:rsidRPr="000F25DC">
        <w:rPr>
          <w:spacing w:val="-7"/>
        </w:rPr>
        <w:t xml:space="preserve"> </w:t>
      </w:r>
      <w:r w:rsidRPr="000F25DC">
        <w:t>the</w:t>
      </w:r>
      <w:r w:rsidRPr="000F25DC">
        <w:rPr>
          <w:spacing w:val="-4"/>
        </w:rPr>
        <w:t xml:space="preserve"> </w:t>
      </w:r>
      <w:r w:rsidRPr="000F25DC">
        <w:t>program</w:t>
      </w:r>
      <w:r w:rsidRPr="000F25DC">
        <w:rPr>
          <w:spacing w:val="-6"/>
        </w:rPr>
        <w:t xml:space="preserve"> </w:t>
      </w:r>
      <w:r w:rsidRPr="000F25DC">
        <w:t>is</w:t>
      </w:r>
      <w:r w:rsidRPr="000F25DC">
        <w:rPr>
          <w:spacing w:val="-5"/>
        </w:rPr>
        <w:t xml:space="preserve"> </w:t>
      </w:r>
      <w:r w:rsidRPr="000F25DC">
        <w:t>using</w:t>
      </w:r>
      <w:r w:rsidRPr="000F25DC">
        <w:rPr>
          <w:spacing w:val="-6"/>
        </w:rPr>
        <w:t xml:space="preserve"> </w:t>
      </w:r>
      <w:r w:rsidRPr="000F25DC">
        <w:t>the</w:t>
      </w:r>
      <w:r w:rsidRPr="000F25DC">
        <w:rPr>
          <w:spacing w:val="-4"/>
        </w:rPr>
        <w:t xml:space="preserve"> </w:t>
      </w:r>
      <w:r w:rsidRPr="000F25DC">
        <w:t>focus</w:t>
      </w:r>
      <w:r w:rsidRPr="000F25DC">
        <w:rPr>
          <w:spacing w:val="-7"/>
        </w:rPr>
        <w:t xml:space="preserve"> </w:t>
      </w:r>
      <w:r w:rsidRPr="000F25DC">
        <w:t>on</w:t>
      </w:r>
      <w:r w:rsidRPr="000F25DC">
        <w:rPr>
          <w:spacing w:val="-6"/>
        </w:rPr>
        <w:t xml:space="preserve"> </w:t>
      </w:r>
      <w:r w:rsidRPr="000F25DC">
        <w:t>capacity</w:t>
      </w:r>
      <w:r w:rsidRPr="000F25DC">
        <w:rPr>
          <w:spacing w:val="-4"/>
        </w:rPr>
        <w:t xml:space="preserve"> </w:t>
      </w:r>
      <w:r w:rsidRPr="000F25DC">
        <w:t>building</w:t>
      </w:r>
      <w:r w:rsidRPr="000F25DC">
        <w:rPr>
          <w:spacing w:val="-6"/>
        </w:rPr>
        <w:t xml:space="preserve"> </w:t>
      </w:r>
      <w:r w:rsidRPr="000F25DC">
        <w:t>to</w:t>
      </w:r>
      <w:r w:rsidRPr="000F25DC">
        <w:rPr>
          <w:spacing w:val="-4"/>
        </w:rPr>
        <w:t xml:space="preserve"> </w:t>
      </w:r>
      <w:r w:rsidRPr="000F25DC">
        <w:t>challenge</w:t>
      </w:r>
      <w:r w:rsidRPr="000F25DC">
        <w:rPr>
          <w:spacing w:val="-4"/>
        </w:rPr>
        <w:t xml:space="preserve"> </w:t>
      </w:r>
      <w:r w:rsidRPr="000F25DC">
        <w:t>Texas</w:t>
      </w:r>
      <w:r w:rsidRPr="000F25DC">
        <w:rPr>
          <w:spacing w:val="-5"/>
        </w:rPr>
        <w:t xml:space="preserve"> </w:t>
      </w:r>
      <w:r>
        <w:t>i</w:t>
      </w:r>
      <w:r w:rsidRPr="000F25DC">
        <w:t>nstitutions</w:t>
      </w:r>
      <w:r w:rsidRPr="000F25DC">
        <w:rPr>
          <w:spacing w:val="-7"/>
        </w:rPr>
        <w:t xml:space="preserve"> </w:t>
      </w:r>
      <w:r w:rsidRPr="000F25DC">
        <w:t>of</w:t>
      </w:r>
      <w:r w:rsidRPr="000F25DC">
        <w:rPr>
          <w:spacing w:val="-5"/>
        </w:rPr>
        <w:t xml:space="preserve"> </w:t>
      </w:r>
      <w:r>
        <w:t>h</w:t>
      </w:r>
      <w:r w:rsidRPr="000F25DC">
        <w:t xml:space="preserve">igher </w:t>
      </w:r>
      <w:r>
        <w:t>e</w:t>
      </w:r>
      <w:r w:rsidRPr="000F25DC">
        <w:t>ducation to evaluate military education and training to award credit toward credentials that are stackable towards degree plans in targeted occupations.</w:t>
      </w:r>
    </w:p>
    <w:p w14:paraId="09199427" w14:textId="44771FA7" w:rsidR="006420CB" w:rsidRPr="000F25DC" w:rsidRDefault="0043384F" w:rsidP="0043384F">
      <w:pPr>
        <w:pStyle w:val="BodyText3"/>
        <w:ind w:left="720" w:hanging="720"/>
      </w:pPr>
      <w:r>
        <w:t>K.</w:t>
      </w:r>
      <w:r>
        <w:tab/>
      </w:r>
      <w:r w:rsidR="006420CB" w:rsidRPr="000F25DC">
        <w:t>Provide</w:t>
      </w:r>
      <w:r w:rsidR="006420CB" w:rsidRPr="000F25DC">
        <w:rPr>
          <w:spacing w:val="40"/>
        </w:rPr>
        <w:t xml:space="preserve"> </w:t>
      </w:r>
      <w:r w:rsidR="006420CB" w:rsidRPr="000F25DC">
        <w:t>any</w:t>
      </w:r>
      <w:r w:rsidR="006420CB" w:rsidRPr="000F25DC">
        <w:rPr>
          <w:spacing w:val="40"/>
        </w:rPr>
        <w:t xml:space="preserve"> </w:t>
      </w:r>
      <w:r w:rsidR="006420CB" w:rsidRPr="000F25DC">
        <w:t>additional</w:t>
      </w:r>
      <w:r w:rsidR="006420CB" w:rsidRPr="000F25DC">
        <w:rPr>
          <w:spacing w:val="40"/>
        </w:rPr>
        <w:t xml:space="preserve"> </w:t>
      </w:r>
      <w:r w:rsidR="006420CB" w:rsidRPr="000F25DC">
        <w:t>information</w:t>
      </w:r>
      <w:r w:rsidR="006420CB" w:rsidRPr="000F25DC">
        <w:rPr>
          <w:spacing w:val="40"/>
        </w:rPr>
        <w:t xml:space="preserve"> </w:t>
      </w:r>
      <w:r w:rsidR="006420CB" w:rsidRPr="000F25DC">
        <w:t>needed</w:t>
      </w:r>
      <w:r w:rsidR="006420CB" w:rsidRPr="000F25DC">
        <w:rPr>
          <w:spacing w:val="40"/>
        </w:rPr>
        <w:t xml:space="preserve"> </w:t>
      </w:r>
      <w:r w:rsidR="006420CB" w:rsidRPr="000F25DC">
        <w:t>to</w:t>
      </w:r>
      <w:r w:rsidR="006420CB" w:rsidRPr="000F25DC">
        <w:rPr>
          <w:spacing w:val="40"/>
        </w:rPr>
        <w:t xml:space="preserve"> </w:t>
      </w:r>
      <w:r w:rsidR="006420CB" w:rsidRPr="000F25DC">
        <w:t>gain</w:t>
      </w:r>
      <w:r w:rsidR="006420CB" w:rsidRPr="000F25DC">
        <w:rPr>
          <w:spacing w:val="40"/>
        </w:rPr>
        <w:t xml:space="preserve"> </w:t>
      </w:r>
      <w:r w:rsidR="006420CB" w:rsidRPr="000F25DC">
        <w:t>a</w:t>
      </w:r>
      <w:r w:rsidR="006420CB" w:rsidRPr="000F25DC">
        <w:rPr>
          <w:spacing w:val="40"/>
        </w:rPr>
        <w:t xml:space="preserve"> </w:t>
      </w:r>
      <w:r w:rsidR="006420CB" w:rsidRPr="000F25DC">
        <w:t>preliminary</w:t>
      </w:r>
      <w:r w:rsidR="006420CB" w:rsidRPr="000F25DC">
        <w:rPr>
          <w:spacing w:val="40"/>
        </w:rPr>
        <w:t xml:space="preserve"> </w:t>
      </w:r>
      <w:r w:rsidR="006420CB" w:rsidRPr="000F25DC">
        <w:t>understanding</w:t>
      </w:r>
      <w:r w:rsidR="006420CB" w:rsidRPr="000F25DC">
        <w:rPr>
          <w:spacing w:val="39"/>
        </w:rPr>
        <w:t xml:space="preserve"> </w:t>
      </w:r>
      <w:r w:rsidR="006420CB" w:rsidRPr="000F25DC">
        <w:t>of</w:t>
      </w:r>
      <w:r w:rsidR="006420CB" w:rsidRPr="000F25DC">
        <w:rPr>
          <w:spacing w:val="40"/>
        </w:rPr>
        <w:t xml:space="preserve"> </w:t>
      </w:r>
      <w:r w:rsidR="006420CB" w:rsidRPr="000F25DC">
        <w:t>the division or program.</w:t>
      </w:r>
    </w:p>
    <w:p w14:paraId="35554ED2" w14:textId="77777777" w:rsidR="006420CB" w:rsidRDefault="006420CB" w:rsidP="0043384F">
      <w:pPr>
        <w:pStyle w:val="BodyText"/>
      </w:pPr>
      <w:r w:rsidRPr="000F25DC">
        <w:t>N</w:t>
      </w:r>
      <w:r>
        <w:t>/A</w:t>
      </w:r>
    </w:p>
    <w:p w14:paraId="24BDA00A" w14:textId="648F112A" w:rsidR="006420CB" w:rsidRPr="000F25DC" w:rsidRDefault="006420CB" w:rsidP="0043384F">
      <w:pPr>
        <w:pStyle w:val="BodyText3"/>
        <w:ind w:left="720" w:hanging="720"/>
      </w:pPr>
      <w:r>
        <w:t>L</w:t>
      </w:r>
      <w:r w:rsidR="0043384F">
        <w:tab/>
      </w:r>
      <w:r w:rsidRPr="000F25DC">
        <w:t>Regulatory programs relate to the licensing, registration, certification, or permitting of a person, business, piece of equipment, or other entity (e.g., a facility). For each regulatory program, if applicable, describe:</w:t>
      </w:r>
    </w:p>
    <w:p w14:paraId="19B159A1" w14:textId="77777777" w:rsidR="006420CB" w:rsidRPr="000F25DC" w:rsidRDefault="006420CB" w:rsidP="0043384F">
      <w:pPr>
        <w:pStyle w:val="BodyText"/>
      </w:pPr>
      <w:r w:rsidRPr="000F25DC">
        <w:t>N</w:t>
      </w:r>
      <w:r>
        <w:t>/A</w:t>
      </w:r>
    </w:p>
    <w:p w14:paraId="43C83F98" w14:textId="5F8BEC33" w:rsidR="006420CB" w:rsidRPr="000F25DC" w:rsidRDefault="0043384F" w:rsidP="0043384F">
      <w:pPr>
        <w:pStyle w:val="BodyText3"/>
        <w:ind w:left="720" w:hanging="720"/>
      </w:pPr>
      <w:r>
        <w:t>M.</w:t>
      </w:r>
      <w:r>
        <w:tab/>
      </w:r>
      <w:r w:rsidR="006420CB" w:rsidRPr="000F25DC">
        <w:t>For each regulatory</w:t>
      </w:r>
      <w:r w:rsidR="006420CB" w:rsidRPr="000F25DC">
        <w:rPr>
          <w:spacing w:val="-1"/>
        </w:rPr>
        <w:t xml:space="preserve"> </w:t>
      </w:r>
      <w:r w:rsidR="006420CB" w:rsidRPr="000F25DC">
        <w:t>program, if applicable, provide</w:t>
      </w:r>
      <w:r w:rsidR="006420CB" w:rsidRPr="000F25DC">
        <w:rPr>
          <w:spacing w:val="-1"/>
        </w:rPr>
        <w:t xml:space="preserve"> </w:t>
      </w:r>
      <w:r w:rsidR="006420CB" w:rsidRPr="000F25DC">
        <w:t>detailed information on complaint and regulatory actions, including investigations and complaint resolutions. The data should cover the last five fiscal years and give a complete picture of the program’s regulatory activity, including</w:t>
      </w:r>
      <w:r w:rsidR="006420CB" w:rsidRPr="000F25DC">
        <w:rPr>
          <w:spacing w:val="-12"/>
        </w:rPr>
        <w:t xml:space="preserve"> </w:t>
      </w:r>
      <w:r w:rsidR="006420CB" w:rsidRPr="000F25DC">
        <w:t>comprehensive</w:t>
      </w:r>
      <w:r w:rsidR="006420CB" w:rsidRPr="000F25DC">
        <w:rPr>
          <w:spacing w:val="-12"/>
        </w:rPr>
        <w:t xml:space="preserve"> </w:t>
      </w:r>
      <w:r w:rsidR="006420CB" w:rsidRPr="000F25DC">
        <w:t>information</w:t>
      </w:r>
      <w:r w:rsidR="006420CB" w:rsidRPr="000F25DC">
        <w:rPr>
          <w:spacing w:val="-10"/>
        </w:rPr>
        <w:t xml:space="preserve"> </w:t>
      </w:r>
      <w:r w:rsidR="006420CB" w:rsidRPr="000F25DC">
        <w:t>from</w:t>
      </w:r>
      <w:r w:rsidR="006420CB" w:rsidRPr="000F25DC">
        <w:rPr>
          <w:spacing w:val="-12"/>
        </w:rPr>
        <w:t xml:space="preserve"> </w:t>
      </w:r>
      <w:r w:rsidR="006420CB" w:rsidRPr="000F25DC">
        <w:t>initiation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complaint</w:t>
      </w:r>
      <w:r w:rsidR="006420CB" w:rsidRPr="000F25DC">
        <w:rPr>
          <w:spacing w:val="-10"/>
        </w:rPr>
        <w:t xml:space="preserve"> </w:t>
      </w:r>
      <w:r w:rsidR="006420CB" w:rsidRPr="000F25DC">
        <w:t>to</w:t>
      </w:r>
      <w:r w:rsidR="006420CB" w:rsidRPr="000F25DC">
        <w:rPr>
          <w:spacing w:val="-13"/>
        </w:rPr>
        <w:t xml:space="preserve"> </w:t>
      </w:r>
      <w:r w:rsidR="006420CB" w:rsidRPr="000F25DC">
        <w:t>resolution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case.</w:t>
      </w:r>
      <w:r w:rsidR="006420CB" w:rsidRPr="000F25DC">
        <w:rPr>
          <w:spacing w:val="-10"/>
        </w:rPr>
        <w:t xml:space="preserve"> </w:t>
      </w:r>
      <w:r w:rsidR="006420CB" w:rsidRPr="000F25DC">
        <w:t>The purpose</w:t>
      </w:r>
      <w:r w:rsidR="006420CB" w:rsidRPr="000F25DC">
        <w:rPr>
          <w:spacing w:val="-14"/>
        </w:rPr>
        <w:t xml:space="preserve"> </w:t>
      </w:r>
      <w:r w:rsidR="006420CB" w:rsidRPr="000F25DC">
        <w:t>of</w:t>
      </w:r>
      <w:r w:rsidR="006420CB" w:rsidRPr="000F25DC">
        <w:rPr>
          <w:spacing w:val="-14"/>
        </w:rPr>
        <w:t xml:space="preserve"> </w:t>
      </w:r>
      <w:r w:rsidR="006420CB" w:rsidRPr="000F25DC">
        <w:t>the</w:t>
      </w:r>
      <w:r w:rsidR="006420CB" w:rsidRPr="000F25DC">
        <w:rPr>
          <w:spacing w:val="-13"/>
        </w:rPr>
        <w:t xml:space="preserve"> </w:t>
      </w:r>
      <w:r w:rsidR="006420CB" w:rsidRPr="000F25DC">
        <w:t>table</w:t>
      </w:r>
      <w:r w:rsidR="006420CB" w:rsidRPr="000F25DC">
        <w:rPr>
          <w:spacing w:val="-14"/>
        </w:rPr>
        <w:t xml:space="preserve"> </w:t>
      </w:r>
      <w:r w:rsidR="006420CB" w:rsidRPr="000F25DC">
        <w:t>is</w:t>
      </w:r>
      <w:r w:rsidR="006420CB" w:rsidRPr="000F25DC">
        <w:rPr>
          <w:spacing w:val="-13"/>
        </w:rPr>
        <w:t xml:space="preserve"> </w:t>
      </w:r>
      <w:r w:rsidR="006420CB" w:rsidRPr="000F25DC">
        <w:t>to</w:t>
      </w:r>
      <w:r w:rsidR="006420CB" w:rsidRPr="000F25DC">
        <w:rPr>
          <w:spacing w:val="-14"/>
        </w:rPr>
        <w:t xml:space="preserve"> </w:t>
      </w:r>
      <w:r w:rsidR="006420CB" w:rsidRPr="000F25DC">
        <w:t>create</w:t>
      </w:r>
      <w:r w:rsidR="006420CB" w:rsidRPr="000F25DC">
        <w:rPr>
          <w:spacing w:val="-13"/>
        </w:rPr>
        <w:t xml:space="preserve"> </w:t>
      </w:r>
      <w:r w:rsidR="006420CB" w:rsidRPr="000F25DC">
        <w:t>uniformity</w:t>
      </w:r>
      <w:r w:rsidR="006420CB" w:rsidRPr="000F25DC">
        <w:rPr>
          <w:spacing w:val="-14"/>
        </w:rPr>
        <w:t xml:space="preserve"> </w:t>
      </w:r>
      <w:r w:rsidR="006420CB" w:rsidRPr="000F25DC">
        <w:t>across</w:t>
      </w:r>
      <w:r w:rsidR="006420CB" w:rsidRPr="000F25DC">
        <w:rPr>
          <w:spacing w:val="-14"/>
        </w:rPr>
        <w:t xml:space="preserve"> </w:t>
      </w:r>
      <w:r w:rsidR="006420CB" w:rsidRPr="000F25DC">
        <w:t>agencies</w:t>
      </w:r>
      <w:r w:rsidR="006420CB" w:rsidRPr="000F25DC">
        <w:rPr>
          <w:spacing w:val="-13"/>
        </w:rPr>
        <w:t xml:space="preserve"> </w:t>
      </w:r>
      <w:r w:rsidR="006420CB" w:rsidRPr="000F25DC">
        <w:t>under</w:t>
      </w:r>
      <w:r w:rsidR="006420CB" w:rsidRPr="000F25DC">
        <w:rPr>
          <w:spacing w:val="-14"/>
        </w:rPr>
        <w:t xml:space="preserve"> </w:t>
      </w:r>
      <w:r w:rsidR="006420CB" w:rsidRPr="000F25DC">
        <w:t>review</w:t>
      </w:r>
      <w:r w:rsidR="006420CB" w:rsidRPr="000F25DC">
        <w:rPr>
          <w:spacing w:val="-13"/>
        </w:rPr>
        <w:t xml:space="preserve"> </w:t>
      </w:r>
      <w:r w:rsidR="006420CB" w:rsidRPr="000F25DC">
        <w:t>to</w:t>
      </w:r>
      <w:r w:rsidR="006420CB" w:rsidRPr="000F25DC">
        <w:rPr>
          <w:spacing w:val="-14"/>
        </w:rPr>
        <w:t xml:space="preserve"> </w:t>
      </w:r>
      <w:r w:rsidR="006420CB" w:rsidRPr="000F25DC">
        <w:t>the</w:t>
      </w:r>
      <w:r w:rsidR="006420CB" w:rsidRPr="000F25DC">
        <w:rPr>
          <w:spacing w:val="-13"/>
        </w:rPr>
        <w:t xml:space="preserve"> </w:t>
      </w:r>
      <w:r w:rsidR="006420CB" w:rsidRPr="000F25DC">
        <w:t>extent</w:t>
      </w:r>
      <w:r w:rsidR="006420CB" w:rsidRPr="000F25DC">
        <w:rPr>
          <w:spacing w:val="-14"/>
        </w:rPr>
        <w:t xml:space="preserve"> </w:t>
      </w:r>
      <w:r w:rsidR="006420CB"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4E94FCCA" w14:textId="7376559C" w:rsidR="006420CB" w:rsidRDefault="006420CB" w:rsidP="006B02E7">
      <w:pPr>
        <w:pStyle w:val="BodyText"/>
        <w:rPr>
          <w:rFonts w:asciiTheme="minorHAnsi" w:hAnsiTheme="minorHAnsi" w:cstheme="minorHAnsi"/>
          <w:sz w:val="24"/>
          <w:szCs w:val="24"/>
        </w:rPr>
      </w:pPr>
      <w:r w:rsidRPr="000F25DC">
        <w:t>N</w:t>
      </w:r>
      <w:r>
        <w:t>/A</w:t>
      </w:r>
    </w:p>
    <w:p w14:paraId="44B29DBC" w14:textId="77777777" w:rsidR="006420CB" w:rsidRDefault="006420CB" w:rsidP="0043384F">
      <w:pPr>
        <w:pStyle w:val="BodyText3"/>
      </w:pPr>
      <w:bookmarkStart w:id="258" w:name="_Toc204688537"/>
      <w:r>
        <w:t>Employer Engagement and Community Outreach</w:t>
      </w:r>
      <w:bookmarkEnd w:id="258"/>
    </w:p>
    <w:p w14:paraId="018A9D50" w14:textId="77777777" w:rsidR="006420CB" w:rsidRDefault="006420CB" w:rsidP="00C64EB2">
      <w:pPr>
        <w:pStyle w:val="BodyText3"/>
        <w:rPr>
          <w:rFonts w:ascii="Segoe UI" w:hAnsi="Segoe UI" w:cs="Segoe UI"/>
          <w:sz w:val="18"/>
          <w:szCs w:val="18"/>
        </w:rPr>
      </w:pPr>
      <w:r>
        <w:t>A.</w:t>
      </w:r>
      <w:r>
        <w:rPr>
          <w:rStyle w:val="tabchar"/>
          <w:rFonts w:ascii="Calibri" w:hAnsi="Calibri" w:cs="Calibri"/>
          <w:sz w:val="26"/>
          <w:szCs w:val="26"/>
        </w:rPr>
        <w:tab/>
      </w:r>
      <w:r>
        <w:t>Provide the following information at the beginning of each description. </w:t>
      </w:r>
    </w:p>
    <w:p w14:paraId="3DC1B737" w14:textId="77777777" w:rsidR="006420CB" w:rsidRDefault="006420CB" w:rsidP="00C64EB2">
      <w:pPr>
        <w:pStyle w:val="BodyText"/>
        <w:rPr>
          <w:rFonts w:ascii="Segoe UI" w:hAnsi="Segoe UI" w:cs="Segoe UI"/>
          <w:sz w:val="18"/>
          <w:szCs w:val="18"/>
        </w:rPr>
      </w:pPr>
      <w:r>
        <w:t>Name of division or program:  Employer Engagement and Community Outreach </w:t>
      </w:r>
    </w:p>
    <w:p w14:paraId="4B9E98D1" w14:textId="77777777" w:rsidR="006420CB" w:rsidRDefault="006420CB" w:rsidP="00C64EB2">
      <w:pPr>
        <w:pStyle w:val="BodyText"/>
        <w:rPr>
          <w:rFonts w:ascii="Segoe UI" w:hAnsi="Segoe UI" w:cs="Segoe UI"/>
          <w:sz w:val="18"/>
          <w:szCs w:val="18"/>
        </w:rPr>
      </w:pPr>
      <w:r>
        <w:t>Location within the agency: Workforce Development Division, Education and Outreach </w:t>
      </w:r>
    </w:p>
    <w:p w14:paraId="1E595515" w14:textId="77777777" w:rsidR="006420CB" w:rsidRDefault="006420CB" w:rsidP="00C64EB2">
      <w:pPr>
        <w:pStyle w:val="BodyText"/>
        <w:rPr>
          <w:rFonts w:ascii="Segoe UI" w:hAnsi="Segoe UI" w:cs="Segoe UI"/>
          <w:sz w:val="18"/>
          <w:szCs w:val="18"/>
        </w:rPr>
      </w:pPr>
      <w:r>
        <w:t>Contact name:  Kristie Caviness </w:t>
      </w:r>
    </w:p>
    <w:p w14:paraId="6421C139" w14:textId="77777777" w:rsidR="006420CB" w:rsidRDefault="006420CB" w:rsidP="00C64EB2">
      <w:pPr>
        <w:pStyle w:val="BodyText"/>
      </w:pPr>
      <w:r>
        <w:t>Statutory citation: Texas Labor Code, Chapters 303 and 309; Texas Education Code, Chapter 134A </w:t>
      </w:r>
    </w:p>
    <w:p w14:paraId="27FBE6B0" w14:textId="77777777" w:rsidR="006420CB" w:rsidRDefault="006420CB" w:rsidP="00C64EB2">
      <w:pPr>
        <w:pStyle w:val="BodyText3"/>
      </w:pPr>
      <w:r>
        <w:t>B.</w:t>
      </w:r>
      <w:r>
        <w:rPr>
          <w:rStyle w:val="tabchar"/>
          <w:rFonts w:ascii="Calibri" w:hAnsi="Calibri" w:cs="Calibri"/>
          <w:sz w:val="26"/>
          <w:szCs w:val="26"/>
        </w:rPr>
        <w:tab/>
      </w:r>
      <w:r>
        <w:t>What is the objective of this division or program? Describe its major activities.</w:t>
      </w:r>
    </w:p>
    <w:p w14:paraId="404E07CC" w14:textId="77777777" w:rsidR="006420CB" w:rsidRDefault="006420CB" w:rsidP="000F1F18">
      <w:pPr>
        <w:pStyle w:val="BodyText"/>
        <w:rPr>
          <w:rFonts w:ascii="Segoe UI" w:hAnsi="Segoe UI" w:cs="Segoe UI"/>
          <w:sz w:val="18"/>
          <w:szCs w:val="18"/>
        </w:rPr>
      </w:pPr>
      <w:r>
        <w:lastRenderedPageBreak/>
        <w:t>TWC’s Employer Engagement and Community Outreach (EECO) team works with a broad range of partners around the state to help employers train and upskill their employees through a network of public community and technical colleges, Local Workforce Development Boards, and other community-based organizations.  The team has staff located around the state to support the following grant programs, which are all available through a non-competitive application process. </w:t>
      </w:r>
    </w:p>
    <w:p w14:paraId="0C8DE81E" w14:textId="77777777" w:rsidR="006420CB" w:rsidRDefault="006420CB" w:rsidP="00C64851">
      <w:pPr>
        <w:pStyle w:val="BodyText"/>
        <w:numPr>
          <w:ilvl w:val="0"/>
          <w:numId w:val="859"/>
        </w:numPr>
      </w:pPr>
      <w:hyperlink r:id="rId182" w:tgtFrame="_blank" w:history="1">
        <w:r>
          <w:rPr>
            <w:color w:val="0563C1"/>
            <w:u w:val="single"/>
          </w:rPr>
          <w:t>Skills Development Fund</w:t>
        </w:r>
      </w:hyperlink>
      <w:r>
        <w:t> </w:t>
      </w:r>
    </w:p>
    <w:p w14:paraId="3B0E738E" w14:textId="77777777" w:rsidR="006420CB" w:rsidRDefault="006420CB" w:rsidP="00C64851">
      <w:pPr>
        <w:pStyle w:val="BodyText"/>
        <w:numPr>
          <w:ilvl w:val="0"/>
          <w:numId w:val="859"/>
        </w:numPr>
      </w:pPr>
      <w:hyperlink r:id="rId183" w:tgtFrame="_blank" w:history="1">
        <w:r>
          <w:rPr>
            <w:color w:val="0563C1"/>
            <w:u w:val="single"/>
          </w:rPr>
          <w:t>Skills for Small Business</w:t>
        </w:r>
      </w:hyperlink>
      <w:r>
        <w:t> </w:t>
      </w:r>
    </w:p>
    <w:p w14:paraId="3473F251" w14:textId="77777777" w:rsidR="006420CB" w:rsidRDefault="006420CB" w:rsidP="00C64851">
      <w:pPr>
        <w:pStyle w:val="BodyText"/>
        <w:numPr>
          <w:ilvl w:val="0"/>
          <w:numId w:val="859"/>
        </w:numPr>
      </w:pPr>
      <w:hyperlink r:id="rId184" w:tgtFrame="_blank" w:history="1">
        <w:r>
          <w:rPr>
            <w:color w:val="0563C1"/>
            <w:u w:val="single"/>
          </w:rPr>
          <w:t>Self Sufficiency Fund</w:t>
        </w:r>
      </w:hyperlink>
      <w:r>
        <w:t> </w:t>
      </w:r>
    </w:p>
    <w:p w14:paraId="5F23DE32" w14:textId="77777777" w:rsidR="006420CB" w:rsidRDefault="006420CB" w:rsidP="00C64851">
      <w:pPr>
        <w:pStyle w:val="BodyText"/>
        <w:numPr>
          <w:ilvl w:val="0"/>
          <w:numId w:val="859"/>
        </w:numPr>
      </w:pPr>
      <w:hyperlink r:id="rId185" w:tgtFrame="_blank" w:history="1">
        <w:r>
          <w:rPr>
            <w:color w:val="0563C1"/>
            <w:u w:val="single"/>
          </w:rPr>
          <w:t>High Demand Job Training</w:t>
        </w:r>
      </w:hyperlink>
      <w:r>
        <w:t> </w:t>
      </w:r>
    </w:p>
    <w:p w14:paraId="7E101D05" w14:textId="77777777" w:rsidR="006420CB" w:rsidRDefault="006420CB" w:rsidP="00C64851">
      <w:pPr>
        <w:pStyle w:val="BodyText"/>
        <w:numPr>
          <w:ilvl w:val="0"/>
          <w:numId w:val="859"/>
        </w:numPr>
      </w:pPr>
      <w:hyperlink r:id="rId186" w:tgtFrame="_blank" w:history="1">
        <w:r>
          <w:rPr>
            <w:color w:val="0563C1"/>
            <w:u w:val="single"/>
          </w:rPr>
          <w:t>Texas Industry Partnerships</w:t>
        </w:r>
      </w:hyperlink>
      <w:r>
        <w:t> </w:t>
      </w:r>
    </w:p>
    <w:p w14:paraId="4B36487E" w14:textId="77777777" w:rsidR="006420CB" w:rsidRDefault="006420CB" w:rsidP="00C64851">
      <w:pPr>
        <w:pStyle w:val="BodyText"/>
        <w:numPr>
          <w:ilvl w:val="0"/>
          <w:numId w:val="859"/>
        </w:numPr>
      </w:pPr>
      <w:hyperlink r:id="rId187" w:tgtFrame="_blank" w:history="1">
        <w:r>
          <w:rPr>
            <w:color w:val="0563C1"/>
            <w:u w:val="single"/>
          </w:rPr>
          <w:t>Lone Star Workforce of the Future</w:t>
        </w:r>
      </w:hyperlink>
      <w:r>
        <w:t> </w:t>
      </w:r>
    </w:p>
    <w:p w14:paraId="7C87F764" w14:textId="77777777" w:rsidR="006420CB" w:rsidRDefault="006420CB" w:rsidP="00C64851">
      <w:pPr>
        <w:pStyle w:val="BodyText"/>
        <w:numPr>
          <w:ilvl w:val="0"/>
          <w:numId w:val="859"/>
        </w:numPr>
      </w:pPr>
      <w:hyperlink r:id="rId188" w:tgtFrame="_blank" w:history="1">
        <w:r>
          <w:rPr>
            <w:color w:val="0563C1"/>
            <w:u w:val="single"/>
          </w:rPr>
          <w:t>Upskill Texas</w:t>
        </w:r>
      </w:hyperlink>
      <w:r>
        <w:t> </w:t>
      </w:r>
    </w:p>
    <w:p w14:paraId="0B515F6F" w14:textId="77777777" w:rsidR="006420CB" w:rsidRDefault="006420CB" w:rsidP="000F1F18">
      <w:pPr>
        <w:pStyle w:val="BodyText"/>
        <w:rPr>
          <w:rFonts w:ascii="Segoe UI" w:hAnsi="Segoe UI" w:cs="Segoe UI"/>
          <w:sz w:val="18"/>
          <w:szCs w:val="18"/>
        </w:rPr>
      </w:pPr>
      <w:r>
        <w:t xml:space="preserve">The EECO team’s main activities include: </w:t>
      </w:r>
    </w:p>
    <w:p w14:paraId="4BC6CAF0" w14:textId="77777777" w:rsidR="006420CB" w:rsidRDefault="006420CB" w:rsidP="00C64851">
      <w:pPr>
        <w:pStyle w:val="List"/>
        <w:numPr>
          <w:ilvl w:val="0"/>
          <w:numId w:val="860"/>
        </w:numPr>
      </w:pPr>
      <w:r>
        <w:t>Engaging in collaboration and outreach with community partners to promote grant opportunities.</w:t>
      </w:r>
    </w:p>
    <w:p w14:paraId="24643A12" w14:textId="77777777" w:rsidR="006420CB" w:rsidRDefault="006420CB" w:rsidP="00C64851">
      <w:pPr>
        <w:pStyle w:val="List"/>
        <w:numPr>
          <w:ilvl w:val="0"/>
          <w:numId w:val="860"/>
        </w:numPr>
      </w:pPr>
      <w:r>
        <w:t>Providing technical assistance to all grant applicants. </w:t>
      </w:r>
    </w:p>
    <w:p w14:paraId="1540AA18" w14:textId="77777777" w:rsidR="006420CB" w:rsidRDefault="006420CB" w:rsidP="000F1F18">
      <w:pPr>
        <w:pStyle w:val="BodyText"/>
        <w:tabs>
          <w:tab w:val="left" w:pos="540"/>
        </w:tabs>
      </w:pPr>
      <w:hyperlink r:id="rId189" w:tgtFrame="_blank" w:history="1">
        <w:r>
          <w:rPr>
            <w:color w:val="0563C1"/>
            <w:u w:val="single"/>
          </w:rPr>
          <w:t>The Lone Star Workforce of the Future Fund Advisory Board</w:t>
        </w:r>
      </w:hyperlink>
      <w:r>
        <w:t xml:space="preserve"> assists TWC in administering the program. The advisory board meets at least twice a year, or as needed, to make recommendations to the Commission. </w:t>
      </w:r>
    </w:p>
    <w:p w14:paraId="2218DD1A" w14:textId="77777777" w:rsidR="006420CB" w:rsidRDefault="006420CB" w:rsidP="00E84991">
      <w:pPr>
        <w:pStyle w:val="BodyText3"/>
        <w:ind w:left="720" w:hanging="720"/>
      </w:pPr>
      <w:r>
        <w:t>C.</w:t>
      </w:r>
      <w:r>
        <w:rPr>
          <w:rStyle w:val="tabchar"/>
          <w:rFonts w:ascii="Calibri" w:hAnsi="Calibri" w:cs="Calibri"/>
          <w:sz w:val="26"/>
          <w:szCs w:val="26"/>
        </w:rPr>
        <w:tab/>
      </w:r>
      <w:r>
        <w:t xml:space="preserve">What information does the agency collect/use to assess the effectiveness and efficiency of this division or program? If applicable, briefly note any LBB performance measures (from Section II, </w:t>
      </w:r>
      <w:proofErr w:type="gramStart"/>
      <w:r>
        <w:t>Exhibit</w:t>
      </w:r>
      <w:proofErr w:type="gramEnd"/>
      <w: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6B562251" w14:textId="17D58500" w:rsidR="006420CB" w:rsidRDefault="006420CB" w:rsidP="003C0843">
      <w:pPr>
        <w:pStyle w:val="BodyText"/>
      </w:pPr>
      <w:r>
        <w:t>TWC tracks a variety of metrics for each grant program promoted by the EECO team.  Performance measures related to trainees served by Self-Sufficiency and Skills Development grants are listed in Section II, Exhibit 2.  Additional examples of performance data for individual grant programs are provided below.</w:t>
      </w:r>
    </w:p>
    <w:p w14:paraId="67F47519" w14:textId="77777777" w:rsidR="006420CB" w:rsidRDefault="006420CB" w:rsidP="003C0843">
      <w:pPr>
        <w:pStyle w:val="BodyText"/>
      </w:pPr>
      <w:r>
        <w:rPr>
          <w:b/>
          <w:bCs/>
        </w:rPr>
        <w:t>Lone Star Workforce of the Future:</w:t>
      </w:r>
      <w:r>
        <w:t xml:space="preserve"> The main goal of this grant is to train and place at least 50 percent of program participants in full-time employment in high-demand </w:t>
      </w:r>
      <w:r>
        <w:lastRenderedPageBreak/>
        <w:t xml:space="preserve">occupations making a self-sufficient wage in the county where they live or work. The grant program launched in </w:t>
      </w:r>
      <w:proofErr w:type="gramStart"/>
      <w:r>
        <w:t>2024</w:t>
      </w:r>
      <w:proofErr w:type="gramEnd"/>
      <w:r>
        <w:t xml:space="preserve"> and outcome data is not yet available. Grants last for 18 months to allow time for training (12 months) and placement (6 months).  </w:t>
      </w:r>
    </w:p>
    <w:p w14:paraId="4EDB3915" w14:textId="13AF94C8" w:rsidR="006420CB" w:rsidRDefault="006420CB" w:rsidP="003C0843">
      <w:pPr>
        <w:pStyle w:val="BodyText"/>
      </w:pPr>
      <w:r>
        <w:rPr>
          <w:b/>
          <w:bCs/>
        </w:rPr>
        <w:t>Skills Development Fund:</w:t>
      </w:r>
      <w:r>
        <w:t xml:space="preserve"> In FY 2024, 26 projects received an average grant award amount of $423,833 serving 42 businesses and supporting the creation of 2,286 new jobs while assisting with the upskilling of 4,294 existing jobs.  Statewide, the average wage paid to workers trained with Skills Development Fund grants increased from $10.33 per hour in FY 1996 to $33.93 per hour in FY 2024.  </w:t>
      </w:r>
      <w:proofErr w:type="gramStart"/>
      <w:r>
        <w:t>Also</w:t>
      </w:r>
      <w:proofErr w:type="gramEnd"/>
      <w:r>
        <w:t xml:space="preserve"> since 1996, these grants have provided training to more than 4,800 employers to upgrade or support the creation of more than 435,000 jobs.  Annual performance data for the Skills Development Fund is included in </w:t>
      </w:r>
      <w:hyperlink r:id="rId190" w:tgtFrame="_blank" w:history="1">
        <w:r>
          <w:rPr>
            <w:color w:val="0563C1"/>
            <w:u w:val="single"/>
          </w:rPr>
          <w:t>TWC’s Supplemental Report</w:t>
        </w:r>
      </w:hyperlink>
      <w:r>
        <w:t xml:space="preserve"> each year. In 2020, TWC conducted an </w:t>
      </w:r>
      <w:hyperlink r:id="rId191" w:tgtFrame="_blank" w:history="1">
        <w:r>
          <w:rPr>
            <w:color w:val="0563C1"/>
            <w:u w:val="single"/>
          </w:rPr>
          <w:t>effectiveness study</w:t>
        </w:r>
      </w:hyperlink>
      <w:r>
        <w:t xml:space="preserve"> of the Skills Development Fund at the direction of the 86</w:t>
      </w:r>
      <w:r w:rsidRPr="002771BF">
        <w:rPr>
          <w:sz w:val="19"/>
          <w:szCs w:val="19"/>
        </w:rPr>
        <w:t>th</w:t>
      </w:r>
      <w:r>
        <w:t xml:space="preserve"> Texas Legislature.</w:t>
      </w:r>
    </w:p>
    <w:p w14:paraId="1A001124" w14:textId="77777777" w:rsidR="006420CB" w:rsidRPr="00562422" w:rsidRDefault="006420CB" w:rsidP="003C0843">
      <w:pPr>
        <w:pStyle w:val="BodyText"/>
        <w:rPr>
          <w:bCs/>
          <w:kern w:val="2"/>
          <w14:ligatures w14:val="standardContextual"/>
        </w:rPr>
      </w:pPr>
      <w:r>
        <w:t xml:space="preserve">LBB has established the following two measures for the Skills Development Fund.  </w:t>
      </w:r>
      <w:r w:rsidRPr="00562422">
        <w:rPr>
          <w:bCs/>
        </w:rPr>
        <w:t>Refer</w:t>
      </w:r>
      <w:r w:rsidRPr="00562422">
        <w:rPr>
          <w:bCs/>
          <w:spacing w:val="-6"/>
        </w:rPr>
        <w:t xml:space="preserve"> </w:t>
      </w:r>
      <w:r w:rsidRPr="00562422">
        <w:rPr>
          <w:bCs/>
        </w:rPr>
        <w:t>to</w:t>
      </w:r>
      <w:r w:rsidRPr="00562422">
        <w:rPr>
          <w:bCs/>
          <w:spacing w:val="-4"/>
        </w:rPr>
        <w:t xml:space="preserve"> </w:t>
      </w:r>
      <w:r w:rsidRPr="00562422">
        <w:rPr>
          <w:bCs/>
        </w:rPr>
        <w:t>Section</w:t>
      </w:r>
      <w:r w:rsidRPr="00562422">
        <w:rPr>
          <w:bCs/>
          <w:spacing w:val="-4"/>
        </w:rPr>
        <w:t xml:space="preserve"> </w:t>
      </w:r>
      <w:r w:rsidRPr="00562422">
        <w:rPr>
          <w:bCs/>
        </w:rPr>
        <w:t>II,</w:t>
      </w:r>
      <w:r w:rsidRPr="00562422">
        <w:rPr>
          <w:bCs/>
          <w:spacing w:val="-4"/>
        </w:rPr>
        <w:t xml:space="preserve"> </w:t>
      </w:r>
      <w:r w:rsidRPr="00562422">
        <w:rPr>
          <w:bCs/>
        </w:rPr>
        <w:t>Exhibit</w:t>
      </w:r>
      <w:r w:rsidRPr="00562422">
        <w:rPr>
          <w:bCs/>
          <w:spacing w:val="-5"/>
        </w:rPr>
        <w:t xml:space="preserve"> </w:t>
      </w:r>
      <w:r w:rsidRPr="00562422">
        <w:rPr>
          <w:bCs/>
        </w:rPr>
        <w:t>2</w:t>
      </w:r>
      <w:r w:rsidRPr="00562422">
        <w:rPr>
          <w:bCs/>
          <w:spacing w:val="-2"/>
        </w:rPr>
        <w:t xml:space="preserve"> </w:t>
      </w:r>
      <w:r w:rsidRPr="00562422">
        <w:rPr>
          <w:bCs/>
        </w:rPr>
        <w:t>for</w:t>
      </w:r>
      <w:r w:rsidRPr="00562422">
        <w:rPr>
          <w:bCs/>
          <w:spacing w:val="-5"/>
        </w:rPr>
        <w:t xml:space="preserve"> </w:t>
      </w:r>
      <w:r w:rsidRPr="00562422">
        <w:rPr>
          <w:bCs/>
        </w:rPr>
        <w:t>actual</w:t>
      </w:r>
      <w:r w:rsidRPr="00562422">
        <w:rPr>
          <w:bCs/>
          <w:spacing w:val="-4"/>
        </w:rPr>
        <w:t xml:space="preserve"> </w:t>
      </w:r>
      <w:r w:rsidRPr="00562422">
        <w:rPr>
          <w:bCs/>
        </w:rPr>
        <w:t>program</w:t>
      </w:r>
      <w:r w:rsidRPr="00562422">
        <w:rPr>
          <w:bCs/>
          <w:spacing w:val="-5"/>
        </w:rPr>
        <w:t xml:space="preserve"> </w:t>
      </w:r>
      <w:r w:rsidRPr="00562422">
        <w:rPr>
          <w:bCs/>
        </w:rPr>
        <w:t>performance</w:t>
      </w:r>
      <w:r w:rsidRPr="00562422">
        <w:rPr>
          <w:bCs/>
          <w:spacing w:val="-2"/>
        </w:rPr>
        <w:t xml:space="preserve"> outcomes.</w:t>
      </w:r>
    </w:p>
    <w:p w14:paraId="0F9E40FD" w14:textId="77777777" w:rsidR="006420CB" w:rsidRPr="001C28AD" w:rsidRDefault="006420CB" w:rsidP="00C64851">
      <w:pPr>
        <w:pStyle w:val="BodyText"/>
        <w:numPr>
          <w:ilvl w:val="0"/>
          <w:numId w:val="861"/>
        </w:numPr>
        <w:rPr>
          <w:rFonts w:eastAsia="Calibri"/>
        </w:rPr>
      </w:pPr>
      <w:r w:rsidRPr="001C28AD">
        <w:t>Contracted Avg. Cost Per Skills Development Trainees - The average contracted cost per trainee in Skills Development Fund grants</w:t>
      </w:r>
      <w:r>
        <w:t>. T</w:t>
      </w:r>
      <w:r w:rsidRPr="001C28AD">
        <w:t>he purpose of the measure is to report the average contracted cost for training individuals through the Skills Development Fund.</w:t>
      </w:r>
    </w:p>
    <w:p w14:paraId="452FD226" w14:textId="77777777" w:rsidR="006420CB" w:rsidRDefault="006420CB" w:rsidP="00C64851">
      <w:pPr>
        <w:pStyle w:val="BodyText"/>
        <w:numPr>
          <w:ilvl w:val="0"/>
          <w:numId w:val="861"/>
        </w:numPr>
      </w:pPr>
      <w:r w:rsidRPr="001C28AD">
        <w:t>Contracted # of Skills Development Trainees - The number of individuals required to be trained in Skills Development Fund contracts.</w:t>
      </w:r>
      <w:r>
        <w:t xml:space="preserve"> </w:t>
      </w:r>
      <w:r w:rsidRPr="001C28AD">
        <w:t>The purpose of the measure is to report on the number of people contracted to be trained through the Skills Development program.</w:t>
      </w:r>
    </w:p>
    <w:p w14:paraId="7D766B00" w14:textId="77777777" w:rsidR="006420CB" w:rsidRDefault="006420CB" w:rsidP="003C0843">
      <w:pPr>
        <w:pStyle w:val="BodyText"/>
        <w:rPr>
          <w:rFonts w:ascii="Segoe UI" w:hAnsi="Segoe UI" w:cs="Segoe UI"/>
          <w:sz w:val="18"/>
          <w:szCs w:val="18"/>
        </w:rPr>
      </w:pPr>
      <w:r>
        <w:rPr>
          <w:b/>
          <w:bCs/>
        </w:rPr>
        <w:t xml:space="preserve">Self Sufficiency Fund: </w:t>
      </w:r>
      <w:r>
        <w:t>In FY 2024, 744 participants gained industry recognized certifications in high demand target occupations and at least 60 percent of those trainees were placed in an occupation for which they were trained. </w:t>
      </w:r>
    </w:p>
    <w:p w14:paraId="221CB053" w14:textId="77777777" w:rsidR="006420CB" w:rsidRPr="00562422" w:rsidRDefault="006420CB" w:rsidP="003C0843">
      <w:pPr>
        <w:pStyle w:val="BodyText"/>
        <w:rPr>
          <w:bCs/>
          <w:kern w:val="2"/>
          <w14:ligatures w14:val="standardContextual"/>
        </w:rPr>
      </w:pPr>
      <w:r w:rsidRPr="00195957">
        <w:t xml:space="preserve">LBB has established </w:t>
      </w:r>
      <w:r>
        <w:t xml:space="preserve">the following </w:t>
      </w:r>
      <w:r w:rsidRPr="00195957">
        <w:t xml:space="preserve">two measures for the </w:t>
      </w:r>
      <w:r>
        <w:t>Self Sufficiency</w:t>
      </w:r>
      <w:r w:rsidRPr="00195957">
        <w:t xml:space="preserve"> Fund</w:t>
      </w:r>
      <w:r>
        <w:t xml:space="preserve">.  </w:t>
      </w:r>
      <w:r w:rsidRPr="00562422">
        <w:rPr>
          <w:bCs/>
        </w:rPr>
        <w:t>Refer</w:t>
      </w:r>
      <w:r w:rsidRPr="00562422">
        <w:rPr>
          <w:bCs/>
          <w:spacing w:val="-6"/>
        </w:rPr>
        <w:t xml:space="preserve"> </w:t>
      </w:r>
      <w:r w:rsidRPr="00562422">
        <w:rPr>
          <w:bCs/>
        </w:rPr>
        <w:t>to</w:t>
      </w:r>
      <w:r w:rsidRPr="00562422">
        <w:rPr>
          <w:bCs/>
          <w:spacing w:val="-4"/>
        </w:rPr>
        <w:t xml:space="preserve"> </w:t>
      </w:r>
      <w:r w:rsidRPr="00562422">
        <w:rPr>
          <w:bCs/>
        </w:rPr>
        <w:t>Section</w:t>
      </w:r>
      <w:r w:rsidRPr="00562422">
        <w:rPr>
          <w:bCs/>
          <w:spacing w:val="-4"/>
        </w:rPr>
        <w:t xml:space="preserve"> </w:t>
      </w:r>
      <w:r w:rsidRPr="00562422">
        <w:rPr>
          <w:bCs/>
        </w:rPr>
        <w:t>II,</w:t>
      </w:r>
      <w:r w:rsidRPr="00562422">
        <w:rPr>
          <w:bCs/>
          <w:spacing w:val="-4"/>
        </w:rPr>
        <w:t xml:space="preserve"> </w:t>
      </w:r>
      <w:r w:rsidRPr="00562422">
        <w:rPr>
          <w:bCs/>
        </w:rPr>
        <w:t>Exhibit</w:t>
      </w:r>
      <w:r w:rsidRPr="00562422">
        <w:rPr>
          <w:bCs/>
          <w:spacing w:val="-5"/>
        </w:rPr>
        <w:t xml:space="preserve"> </w:t>
      </w:r>
      <w:r w:rsidRPr="00562422">
        <w:rPr>
          <w:bCs/>
        </w:rPr>
        <w:t>2</w:t>
      </w:r>
      <w:r w:rsidRPr="00562422">
        <w:rPr>
          <w:bCs/>
          <w:spacing w:val="-2"/>
        </w:rPr>
        <w:t xml:space="preserve"> </w:t>
      </w:r>
      <w:r w:rsidRPr="00562422">
        <w:rPr>
          <w:bCs/>
        </w:rPr>
        <w:t>for</w:t>
      </w:r>
      <w:r w:rsidRPr="00562422">
        <w:rPr>
          <w:bCs/>
          <w:spacing w:val="-5"/>
        </w:rPr>
        <w:t xml:space="preserve"> </w:t>
      </w:r>
      <w:r w:rsidRPr="00562422">
        <w:rPr>
          <w:bCs/>
        </w:rPr>
        <w:t>actual</w:t>
      </w:r>
      <w:r w:rsidRPr="00562422">
        <w:rPr>
          <w:bCs/>
          <w:spacing w:val="-4"/>
        </w:rPr>
        <w:t xml:space="preserve"> </w:t>
      </w:r>
      <w:r w:rsidRPr="00562422">
        <w:rPr>
          <w:bCs/>
        </w:rPr>
        <w:t>program</w:t>
      </w:r>
      <w:r w:rsidRPr="00562422">
        <w:rPr>
          <w:bCs/>
          <w:spacing w:val="-5"/>
        </w:rPr>
        <w:t xml:space="preserve"> </w:t>
      </w:r>
      <w:r w:rsidRPr="00562422">
        <w:rPr>
          <w:bCs/>
        </w:rPr>
        <w:t>performance</w:t>
      </w:r>
      <w:r w:rsidRPr="00562422">
        <w:rPr>
          <w:bCs/>
          <w:spacing w:val="-2"/>
        </w:rPr>
        <w:t xml:space="preserve"> outcomes.</w:t>
      </w:r>
    </w:p>
    <w:p w14:paraId="78335386" w14:textId="77777777" w:rsidR="006420CB" w:rsidRPr="005E3BA8" w:rsidRDefault="006420CB" w:rsidP="00C64851">
      <w:pPr>
        <w:pStyle w:val="BodyText"/>
        <w:numPr>
          <w:ilvl w:val="0"/>
          <w:numId w:val="862"/>
        </w:numPr>
      </w:pPr>
      <w:r w:rsidRPr="005E3BA8">
        <w:t>Contracted Number of Self-Sufficiency Trainees</w:t>
      </w:r>
      <w:r>
        <w:t xml:space="preserve">. </w:t>
      </w:r>
      <w:r w:rsidRPr="001C28AD">
        <w:t>The average contracted cost per trainee in Skills Development Fund grants</w:t>
      </w:r>
      <w:r>
        <w:t>. T</w:t>
      </w:r>
      <w:r w:rsidRPr="001C28AD">
        <w:t>he purpose of the measure is to report the average contracted cost for training individuals through the S</w:t>
      </w:r>
      <w:r>
        <w:t xml:space="preserve">elf Sufficiency </w:t>
      </w:r>
      <w:r w:rsidRPr="001C28AD">
        <w:t>Fund.</w:t>
      </w:r>
    </w:p>
    <w:p w14:paraId="64183177" w14:textId="77777777" w:rsidR="006420CB" w:rsidRPr="005E3BA8" w:rsidRDefault="006420CB" w:rsidP="00C64851">
      <w:pPr>
        <w:pStyle w:val="BodyText"/>
        <w:numPr>
          <w:ilvl w:val="0"/>
          <w:numId w:val="862"/>
        </w:numPr>
      </w:pPr>
      <w:r w:rsidRPr="005E3BA8">
        <w:t>Contracted Average Cost per Self-Sufficiency Development Trainee</w:t>
      </w:r>
      <w:r>
        <w:t xml:space="preserve">.  </w:t>
      </w:r>
      <w:r w:rsidRPr="00E45A30">
        <w:t>The number of individuals required to be trained in Skills Development Fund contracts. The purpose of the measure is to report on the number of people contracted to be trained through the S</w:t>
      </w:r>
      <w:r>
        <w:t>ufficiency</w:t>
      </w:r>
      <w:r w:rsidRPr="00E45A30">
        <w:t xml:space="preserve"> program.</w:t>
      </w:r>
    </w:p>
    <w:p w14:paraId="62456AD4" w14:textId="77777777" w:rsidR="006420CB" w:rsidRDefault="006420CB" w:rsidP="003C0843">
      <w:pPr>
        <w:pStyle w:val="BodyText3"/>
        <w:ind w:left="720" w:hanging="720"/>
        <w:rPr>
          <w:rFonts w:ascii="Segoe UI" w:hAnsi="Segoe UI" w:cs="Segoe UI"/>
          <w:sz w:val="18"/>
          <w:szCs w:val="18"/>
        </w:rPr>
      </w:pPr>
      <w:r>
        <w:t>D.</w:t>
      </w:r>
      <w:r>
        <w:rPr>
          <w:rStyle w:val="tabchar"/>
          <w:rFonts w:ascii="Calibri" w:hAnsi="Calibri" w:cs="Calibri"/>
          <w:sz w:val="26"/>
          <w:szCs w:val="26"/>
        </w:rPr>
        <w:tab/>
      </w:r>
      <w:r>
        <w:t xml:space="preserve">Describe any important history regarding this division or program not included in the general agency history section, including how the functions or </w:t>
      </w:r>
      <w:r>
        <w:lastRenderedPageBreak/>
        <w:t>services have changed over time. If the response to Section III of this report is sufficient, please leave this section blank. </w:t>
      </w:r>
    </w:p>
    <w:p w14:paraId="19DB093D" w14:textId="77777777" w:rsidR="006420CB" w:rsidRDefault="006420CB" w:rsidP="003C0843">
      <w:pPr>
        <w:pStyle w:val="BodyText"/>
        <w:rPr>
          <w:rFonts w:ascii="Segoe UI" w:hAnsi="Segoe UI" w:cs="Segoe UI"/>
          <w:sz w:val="18"/>
          <w:szCs w:val="18"/>
        </w:rPr>
      </w:pPr>
      <w:r>
        <w:t>The Skills Development Fund was created in 1995 by the 74</w:t>
      </w:r>
      <w:r w:rsidRPr="006A7CAC">
        <w:rPr>
          <w:sz w:val="19"/>
          <w:szCs w:val="19"/>
        </w:rPr>
        <w:t>th</w:t>
      </w:r>
      <w:r>
        <w:t xml:space="preserve"> Texas Legislature through House Bill 1863. This legislation charged TWC with administering the program and established its framework.  In 2019, the Legislature passed House Bill 700 expanding the list of entities eligible to apply for funding from the Skills Development Fund to include Local Workforce Development Boards and required a study and report regarding the effectiveness of the fund. Since that time, the Legislature has continued to provide funding for these grants and increased the amount by more than $5 million from the 2024-25 biennium to the 2026-27 biennium.</w:t>
      </w:r>
    </w:p>
    <w:p w14:paraId="6BE4F0A2" w14:textId="77777777" w:rsidR="006420CB" w:rsidRDefault="006420CB" w:rsidP="00C826F4">
      <w:pPr>
        <w:pStyle w:val="BodyText"/>
      </w:pPr>
      <w:r>
        <w:t>In 2023, the 88</w:t>
      </w:r>
      <w:r w:rsidRPr="008F22A1">
        <w:rPr>
          <w:sz w:val="19"/>
          <w:szCs w:val="19"/>
        </w:rPr>
        <w:t>th</w:t>
      </w:r>
      <w:r>
        <w:t xml:space="preserve"> Legislature passed House Bill 1755 directing TWC to establish and administer the Lone Star Workforce Fund program. The bill also required TWC to establish an advisory board consisting of education and workforce stakeholders to assist the Commission in administering the program.</w:t>
      </w:r>
    </w:p>
    <w:p w14:paraId="475FD306" w14:textId="77777777" w:rsidR="006420CB" w:rsidRDefault="006420CB" w:rsidP="00C826F4">
      <w:pPr>
        <w:pStyle w:val="BodyText3"/>
        <w:ind w:left="720" w:hanging="720"/>
      </w:pPr>
      <w:r>
        <w:t>E.</w:t>
      </w:r>
      <w:r>
        <w:rPr>
          <w:rStyle w:val="tabchar"/>
          <w:rFonts w:ascii="Calibri" w:hAnsi="Calibri" w:cs="Calibri"/>
          <w:sz w:val="26"/>
          <w:szCs w:val="26"/>
        </w:rPr>
        <w:tab/>
      </w:r>
      <w:r>
        <w:t>List any qualifications or eligibility requirements for persons or entities affected by this division or program (e.g., licensees, consumers, and landowners). Provide a statistical breakdown of persons or entities affected. </w:t>
      </w:r>
    </w:p>
    <w:p w14:paraId="2F3CA03D" w14:textId="43C5ED41" w:rsidR="006420CB" w:rsidRDefault="006420CB" w:rsidP="00C826F4">
      <w:pPr>
        <w:pStyle w:val="BodyText"/>
      </w:pPr>
      <w:r>
        <w:t>Employers, public community and technical colleges, Local Workforce Development Boards, and other community partners across the state are eligible for the grants promoted by the EECO team.  Each grant program has specific eligibility requirements, as outlined above in Question B.</w:t>
      </w:r>
    </w:p>
    <w:p w14:paraId="6F1010D1" w14:textId="77777777" w:rsidR="006420CB" w:rsidRDefault="006420CB" w:rsidP="00C826F4">
      <w:pPr>
        <w:pStyle w:val="BodyText3"/>
        <w:ind w:left="720" w:hanging="720"/>
      </w:pPr>
      <w:r>
        <w:t>F.</w:t>
      </w:r>
      <w:r>
        <w:rPr>
          <w:rStyle w:val="tabchar"/>
          <w:rFonts w:ascii="Calibri" w:hAnsi="Calibri" w:cs="Calibri"/>
          <w:sz w:val="26"/>
          <w:szCs w:val="26"/>
        </w:rPr>
        <w:tab/>
      </w:r>
      <w:r>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9B66C80" w14:textId="77777777" w:rsidR="006420CB" w:rsidRDefault="006420CB" w:rsidP="00BF19D2">
      <w:pPr>
        <w:pStyle w:val="BodyText"/>
      </w:pPr>
      <w:r>
        <w:t xml:space="preserve">The EECO team’s 10 Regional Business Liaisons live in the areas they serve and provide technical support to all stakeholders and partners to ensure eligible employers across the state are aware of workforce training dollars that are available to them. The liaisons develop and present information to various stakeholders, including economic development organizations, chambers of commerce, non-profits, businesses, community and technical colleges, Local Workforce Development Boards, and various industry organizations like Texas Manufacturing Assistance Center. Through conversations and collaboration, the liaisons assist in bringing partners together to identify the types of training and resources needed and to design a program that fits those needs. The liaisons also serve as guides to other workforce services available in </w:t>
      </w:r>
      <w:r>
        <w:rPr>
          <w:rStyle w:val="spellingerror"/>
          <w:rFonts w:ascii="Calibri" w:hAnsi="Calibri" w:cs="Calibri"/>
        </w:rPr>
        <w:t>their</w:t>
      </w:r>
      <w:r>
        <w:t xml:space="preserve"> area, helping businesses and communities make the connections they need to maximize their workforce. The </w:t>
      </w:r>
      <w:hyperlink r:id="rId192" w:tgtFrame="_blank" w:history="1">
        <w:r w:rsidRPr="00BF19D2">
          <w:rPr>
            <w:rStyle w:val="Hyperlink"/>
          </w:rPr>
          <w:t>EECO Map</w:t>
        </w:r>
      </w:hyperlink>
      <w:r>
        <w:t xml:space="preserve"> sets out regions with contact information for the Regional Business Liaisons.</w:t>
      </w:r>
    </w:p>
    <w:p w14:paraId="13E468D5" w14:textId="0287F258" w:rsidR="006420CB" w:rsidRDefault="006420CB" w:rsidP="00BF19D2">
      <w:pPr>
        <w:pStyle w:val="BodyText"/>
      </w:pPr>
      <w:r>
        <w:lastRenderedPageBreak/>
        <w:t xml:space="preserve">The EECO team provides technical support to eligible applicants by reviewing application documents and offering suggestions on how to improve the submission. They ask questions to determine what grant type is most appropriate for the employer and they ensure applicants are meeting all requirements of the grant program.  Grants are available on a first-come, first-served basis.  The EECO team takes grant applications throughout the year until all funds are obligated. </w:t>
      </w:r>
    </w:p>
    <w:p w14:paraId="6FC11F11" w14:textId="77777777" w:rsidR="006420CB" w:rsidRDefault="006420CB" w:rsidP="00BF19D2">
      <w:pPr>
        <w:pStyle w:val="BodyText"/>
        <w:rPr>
          <w:rFonts w:ascii="Segoe UI" w:hAnsi="Segoe UI" w:cs="Segoe UI"/>
          <w:sz w:val="18"/>
          <w:szCs w:val="18"/>
        </w:rPr>
      </w:pPr>
      <w:r>
        <w:t>Once a grant is formally submitted to TWC, the Workforce Development Division’s Grants team is responsible for evaluating applications for eligibility, issuing grant awards, monitoring performance and expenditures on active grants, and closing out grants and reporting outcomes.    During the evaluation process, the EECO team communicates requested revisions to the applicant and answers questions related to the proposed project. Once the project moves to the award stage, the EECO team steps aside and moves on to the next project.  </w:t>
      </w:r>
    </w:p>
    <w:p w14:paraId="2F13D055" w14:textId="0535209F" w:rsidR="006420CB" w:rsidRDefault="006420CB" w:rsidP="00BF19D2">
      <w:pPr>
        <w:pStyle w:val="BodyText3"/>
        <w:ind w:left="720" w:hanging="720"/>
      </w:pPr>
      <w:r>
        <w:t>G.</w:t>
      </w:r>
      <w:r>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Pr>
          <w:i/>
          <w:iCs/>
        </w:rPr>
        <w:t>(If you have already submitted funding source info through the “Agency Program Information” spreadsheet, please limit your response to funding formulas or funding conventions.)</w:t>
      </w:r>
      <w:r>
        <w:t> </w:t>
      </w:r>
    </w:p>
    <w:tbl>
      <w:tblPr>
        <w:tblStyle w:val="TableGrid1"/>
        <w:tblW w:w="9325" w:type="dxa"/>
        <w:tblCellMar>
          <w:top w:w="58" w:type="dxa"/>
          <w:bottom w:w="58" w:type="dxa"/>
        </w:tblCellMar>
        <w:tblLook w:val="04A0" w:firstRow="1" w:lastRow="0" w:firstColumn="1" w:lastColumn="0" w:noHBand="0" w:noVBand="1"/>
      </w:tblPr>
      <w:tblGrid>
        <w:gridCol w:w="2900"/>
        <w:gridCol w:w="2201"/>
        <w:gridCol w:w="1797"/>
        <w:gridCol w:w="2427"/>
      </w:tblGrid>
      <w:tr w:rsidR="00735141" w:rsidRPr="00B32810" w14:paraId="009813AB" w14:textId="77777777" w:rsidTr="00735141">
        <w:trPr>
          <w:trHeight w:val="431"/>
          <w:tblHeader/>
        </w:trPr>
        <w:tc>
          <w:tcPr>
            <w:tcW w:w="2900" w:type="dxa"/>
            <w:shd w:val="clear" w:color="auto" w:fill="B8CCE4" w:themeFill="accent1" w:themeFillTint="66"/>
            <w:vAlign w:val="center"/>
            <w:hideMark/>
          </w:tcPr>
          <w:p w14:paraId="15BD8710" w14:textId="77777777" w:rsidR="00735141" w:rsidRPr="00D61A5C" w:rsidRDefault="00735141" w:rsidP="00735141">
            <w:pPr>
              <w:pStyle w:val="TableHeaders"/>
            </w:pPr>
            <w:r w:rsidRPr="00D61A5C">
              <w:t>Program or Function Detail Description</w:t>
            </w:r>
          </w:p>
        </w:tc>
        <w:tc>
          <w:tcPr>
            <w:tcW w:w="2201" w:type="dxa"/>
            <w:shd w:val="clear" w:color="auto" w:fill="B8CCE4" w:themeFill="accent1" w:themeFillTint="66"/>
            <w:vAlign w:val="center"/>
            <w:hideMark/>
          </w:tcPr>
          <w:p w14:paraId="22F31F58" w14:textId="77777777" w:rsidR="00735141" w:rsidRPr="00D61A5C" w:rsidRDefault="00735141" w:rsidP="00735141">
            <w:pPr>
              <w:pStyle w:val="TableHeaders"/>
            </w:pPr>
            <w:r w:rsidRPr="00D61A5C">
              <w:t>Total FY 2024</w:t>
            </w:r>
          </w:p>
        </w:tc>
        <w:tc>
          <w:tcPr>
            <w:tcW w:w="1797" w:type="dxa"/>
            <w:shd w:val="clear" w:color="auto" w:fill="B8CCE4" w:themeFill="accent1" w:themeFillTint="66"/>
            <w:vAlign w:val="center"/>
            <w:hideMark/>
          </w:tcPr>
          <w:p w14:paraId="64064517" w14:textId="77777777" w:rsidR="00735141" w:rsidRPr="00D61A5C" w:rsidRDefault="00735141" w:rsidP="00735141">
            <w:pPr>
              <w:pStyle w:val="TableHeaders"/>
            </w:pPr>
            <w:r w:rsidRPr="00D61A5C">
              <w:t>Federal Funding</w:t>
            </w:r>
          </w:p>
        </w:tc>
        <w:tc>
          <w:tcPr>
            <w:tcW w:w="2427" w:type="dxa"/>
            <w:shd w:val="clear" w:color="auto" w:fill="B8CCE4" w:themeFill="accent1" w:themeFillTint="66"/>
            <w:vAlign w:val="center"/>
            <w:hideMark/>
          </w:tcPr>
          <w:p w14:paraId="5F956031" w14:textId="77777777" w:rsidR="00735141" w:rsidRPr="00D61A5C" w:rsidRDefault="00735141" w:rsidP="00735141">
            <w:pPr>
              <w:pStyle w:val="TableHeaders"/>
            </w:pPr>
            <w:r w:rsidRPr="00D61A5C">
              <w:t>State Funding</w:t>
            </w:r>
          </w:p>
        </w:tc>
      </w:tr>
      <w:tr w:rsidR="00735141" w:rsidRPr="00B32810" w14:paraId="436F1194" w14:textId="77777777" w:rsidTr="00735141">
        <w:trPr>
          <w:trHeight w:val="350"/>
        </w:trPr>
        <w:tc>
          <w:tcPr>
            <w:tcW w:w="2900" w:type="dxa"/>
          </w:tcPr>
          <w:p w14:paraId="65372EC2" w14:textId="77777777" w:rsidR="00735141" w:rsidRDefault="00735141" w:rsidP="00735141">
            <w:pPr>
              <w:pStyle w:val="TableText"/>
            </w:pPr>
            <w:r>
              <w:t>Skills Development Fund</w:t>
            </w:r>
          </w:p>
        </w:tc>
        <w:tc>
          <w:tcPr>
            <w:tcW w:w="2201" w:type="dxa"/>
            <w:vAlign w:val="center"/>
          </w:tcPr>
          <w:p w14:paraId="1109A5B1" w14:textId="77777777" w:rsidR="00735141" w:rsidRPr="00D61A5C" w:rsidRDefault="00735141" w:rsidP="00735141">
            <w:pPr>
              <w:pStyle w:val="TableText"/>
              <w:jc w:val="right"/>
            </w:pPr>
            <w:r w:rsidRPr="00EF437D">
              <w:rPr>
                <w:color w:val="000000"/>
                <w:kern w:val="0"/>
              </w:rPr>
              <w:t>17,831,667</w:t>
            </w:r>
          </w:p>
        </w:tc>
        <w:tc>
          <w:tcPr>
            <w:tcW w:w="1797" w:type="dxa"/>
            <w:vAlign w:val="center"/>
          </w:tcPr>
          <w:p w14:paraId="3A2634BE" w14:textId="77777777" w:rsidR="00735141" w:rsidRDefault="00735141" w:rsidP="00735141">
            <w:pPr>
              <w:pStyle w:val="TableText"/>
              <w:jc w:val="right"/>
            </w:pPr>
            <w:r w:rsidRPr="00EF437D">
              <w:rPr>
                <w:color w:val="000000"/>
                <w:kern w:val="0"/>
              </w:rPr>
              <w:t>0</w:t>
            </w:r>
          </w:p>
        </w:tc>
        <w:tc>
          <w:tcPr>
            <w:tcW w:w="2427" w:type="dxa"/>
            <w:vAlign w:val="center"/>
          </w:tcPr>
          <w:p w14:paraId="66C234C3" w14:textId="77777777" w:rsidR="00735141" w:rsidRPr="00D61A5C" w:rsidRDefault="00735141" w:rsidP="00735141">
            <w:pPr>
              <w:pStyle w:val="TableText"/>
              <w:jc w:val="right"/>
            </w:pPr>
            <w:r w:rsidRPr="00EF437D">
              <w:rPr>
                <w:color w:val="000000"/>
                <w:kern w:val="0"/>
              </w:rPr>
              <w:t>17,831,667</w:t>
            </w:r>
          </w:p>
        </w:tc>
      </w:tr>
      <w:tr w:rsidR="00735141" w:rsidRPr="00B32810" w14:paraId="27E9EFA8" w14:textId="77777777" w:rsidTr="00735141">
        <w:trPr>
          <w:trHeight w:val="350"/>
        </w:trPr>
        <w:tc>
          <w:tcPr>
            <w:tcW w:w="2900" w:type="dxa"/>
          </w:tcPr>
          <w:p w14:paraId="17023475" w14:textId="77777777" w:rsidR="00735141" w:rsidRDefault="00735141" w:rsidP="00735141">
            <w:pPr>
              <w:pStyle w:val="TableText"/>
            </w:pPr>
            <w:r>
              <w:t>Self Sufficiency Fund</w:t>
            </w:r>
          </w:p>
        </w:tc>
        <w:tc>
          <w:tcPr>
            <w:tcW w:w="2201" w:type="dxa"/>
            <w:vAlign w:val="center"/>
          </w:tcPr>
          <w:p w14:paraId="4AA3303D" w14:textId="77777777" w:rsidR="00735141" w:rsidRPr="00D61A5C" w:rsidRDefault="00735141" w:rsidP="00735141">
            <w:pPr>
              <w:pStyle w:val="TableText"/>
              <w:jc w:val="right"/>
            </w:pPr>
            <w:r w:rsidRPr="00EC2215">
              <w:rPr>
                <w:rFonts w:eastAsia="Times New Roman"/>
                <w:color w:val="000000"/>
                <w:kern w:val="0"/>
              </w:rPr>
              <w:t>1,577,431</w:t>
            </w:r>
          </w:p>
        </w:tc>
        <w:tc>
          <w:tcPr>
            <w:tcW w:w="1797" w:type="dxa"/>
            <w:vAlign w:val="center"/>
          </w:tcPr>
          <w:p w14:paraId="717E75CA" w14:textId="77777777" w:rsidR="00735141" w:rsidRDefault="00735141" w:rsidP="00735141">
            <w:pPr>
              <w:pStyle w:val="TableText"/>
              <w:jc w:val="right"/>
            </w:pPr>
            <w:r w:rsidRPr="00EC2215">
              <w:rPr>
                <w:rFonts w:eastAsia="Times New Roman"/>
                <w:color w:val="000000"/>
                <w:kern w:val="0"/>
              </w:rPr>
              <w:t>1,577,431</w:t>
            </w:r>
          </w:p>
        </w:tc>
        <w:tc>
          <w:tcPr>
            <w:tcW w:w="2427" w:type="dxa"/>
            <w:vAlign w:val="center"/>
          </w:tcPr>
          <w:p w14:paraId="1B79BA39" w14:textId="77777777" w:rsidR="00735141" w:rsidRPr="00D61A5C" w:rsidRDefault="00735141" w:rsidP="00735141">
            <w:pPr>
              <w:pStyle w:val="TableText"/>
              <w:jc w:val="right"/>
            </w:pPr>
            <w:r w:rsidRPr="00EF437D">
              <w:t>0</w:t>
            </w:r>
          </w:p>
        </w:tc>
      </w:tr>
      <w:tr w:rsidR="00735141" w:rsidRPr="00B32810" w14:paraId="1547AD95" w14:textId="77777777" w:rsidTr="00474209">
        <w:trPr>
          <w:trHeight w:val="450"/>
        </w:trPr>
        <w:tc>
          <w:tcPr>
            <w:tcW w:w="2900" w:type="dxa"/>
            <w:vMerge w:val="restart"/>
            <w:vAlign w:val="center"/>
            <w:hideMark/>
          </w:tcPr>
          <w:p w14:paraId="74B26EDA" w14:textId="77777777" w:rsidR="00735141" w:rsidRPr="00D61A5C" w:rsidRDefault="00735141" w:rsidP="00474209">
            <w:pPr>
              <w:pStyle w:val="TableText"/>
            </w:pPr>
            <w:r>
              <w:t>Total</w:t>
            </w:r>
          </w:p>
        </w:tc>
        <w:tc>
          <w:tcPr>
            <w:tcW w:w="2201" w:type="dxa"/>
            <w:vMerge w:val="restart"/>
            <w:vAlign w:val="center"/>
            <w:hideMark/>
          </w:tcPr>
          <w:p w14:paraId="7C5399AD" w14:textId="77777777" w:rsidR="00735141" w:rsidRPr="00735141" w:rsidRDefault="00735141" w:rsidP="00474209">
            <w:pPr>
              <w:pStyle w:val="TableText"/>
              <w:jc w:val="right"/>
            </w:pPr>
            <w:r w:rsidRPr="00735141">
              <w:t>19,409,098</w:t>
            </w:r>
          </w:p>
        </w:tc>
        <w:tc>
          <w:tcPr>
            <w:tcW w:w="1797" w:type="dxa"/>
            <w:vMerge w:val="restart"/>
            <w:vAlign w:val="center"/>
            <w:hideMark/>
          </w:tcPr>
          <w:p w14:paraId="2E3B850C" w14:textId="77777777" w:rsidR="00735141" w:rsidRPr="00735141" w:rsidRDefault="00735141" w:rsidP="00474209">
            <w:pPr>
              <w:pStyle w:val="TableText"/>
              <w:jc w:val="right"/>
            </w:pPr>
            <w:r w:rsidRPr="00735141">
              <w:t>1,577,431</w:t>
            </w:r>
          </w:p>
        </w:tc>
        <w:tc>
          <w:tcPr>
            <w:tcW w:w="2427" w:type="dxa"/>
            <w:vMerge w:val="restart"/>
            <w:vAlign w:val="center"/>
            <w:hideMark/>
          </w:tcPr>
          <w:p w14:paraId="3C6BF94C" w14:textId="77777777" w:rsidR="00735141" w:rsidRPr="00735141" w:rsidRDefault="00735141" w:rsidP="00474209">
            <w:pPr>
              <w:pStyle w:val="TableText"/>
              <w:jc w:val="right"/>
            </w:pPr>
            <w:r w:rsidRPr="00735141">
              <w:t>17,831,667</w:t>
            </w:r>
          </w:p>
        </w:tc>
      </w:tr>
      <w:tr w:rsidR="00735141" w:rsidRPr="00B32810" w14:paraId="1A4B1B84" w14:textId="77777777" w:rsidTr="00735141">
        <w:trPr>
          <w:trHeight w:val="269"/>
        </w:trPr>
        <w:tc>
          <w:tcPr>
            <w:tcW w:w="2900" w:type="dxa"/>
            <w:vMerge/>
            <w:hideMark/>
          </w:tcPr>
          <w:p w14:paraId="79DADFDA" w14:textId="77777777" w:rsidR="00735141" w:rsidRPr="00B32810" w:rsidRDefault="00735141"/>
        </w:tc>
        <w:tc>
          <w:tcPr>
            <w:tcW w:w="2201" w:type="dxa"/>
            <w:vMerge/>
            <w:hideMark/>
          </w:tcPr>
          <w:p w14:paraId="5CCAAD46" w14:textId="77777777" w:rsidR="00735141" w:rsidRPr="00B32810" w:rsidRDefault="00735141"/>
        </w:tc>
        <w:tc>
          <w:tcPr>
            <w:tcW w:w="1797" w:type="dxa"/>
            <w:vMerge/>
            <w:hideMark/>
          </w:tcPr>
          <w:p w14:paraId="666632AA" w14:textId="77777777" w:rsidR="00735141" w:rsidRPr="00B32810" w:rsidRDefault="00735141"/>
        </w:tc>
        <w:tc>
          <w:tcPr>
            <w:tcW w:w="2427" w:type="dxa"/>
            <w:vMerge/>
            <w:hideMark/>
          </w:tcPr>
          <w:p w14:paraId="79B29499" w14:textId="77777777" w:rsidR="00735141" w:rsidRPr="00B32810" w:rsidRDefault="00735141"/>
        </w:tc>
      </w:tr>
    </w:tbl>
    <w:p w14:paraId="25F6BC2D" w14:textId="75BDD077" w:rsidR="00200C88" w:rsidRDefault="00200C88" w:rsidP="00E0354B">
      <w:pPr>
        <w:pStyle w:val="BodyText"/>
      </w:pPr>
      <w:r w:rsidRPr="002D0E08">
        <w:t xml:space="preserve">The Employer Engagement and Community Outreach </w:t>
      </w:r>
      <w:r>
        <w:t xml:space="preserve">team supports </w:t>
      </w:r>
      <w:r w:rsidRPr="002D0E08">
        <w:t>a portfolio of</w:t>
      </w:r>
      <w:r>
        <w:t xml:space="preserve"> additional</w:t>
      </w:r>
      <w:r w:rsidRPr="002D0E08">
        <w:t xml:space="preserve"> </w:t>
      </w:r>
      <w:r>
        <w:t xml:space="preserve">grant </w:t>
      </w:r>
      <w:r w:rsidRPr="002D0E08">
        <w:t>programs</w:t>
      </w:r>
      <w:r>
        <w:t xml:space="preserve">, such as </w:t>
      </w:r>
      <w:r w:rsidRPr="002D0E08">
        <w:t xml:space="preserve">High Demand Job Training Grants, Skills for Small Businesses, Upskill Texas, and Texas </w:t>
      </w:r>
      <w:r>
        <w:t xml:space="preserve">Industry </w:t>
      </w:r>
      <w:r w:rsidRPr="002D0E08">
        <w:t>Partnership</w:t>
      </w:r>
      <w:r>
        <w:t xml:space="preserve">s. The Commission has allocated statewide WIOA and other funds for each of these </w:t>
      </w:r>
      <w:r w:rsidRPr="00EC2215">
        <w:t>programs</w:t>
      </w:r>
      <w:r>
        <w:t xml:space="preserve">. </w:t>
      </w:r>
      <w:r w:rsidRPr="008049B1">
        <w:t>The Legislature funded the Lone Star Workforce of the Future grant program for the first time in FY 2025 with $2.5 mi</w:t>
      </w:r>
      <w:r>
        <w:t>llion.</w:t>
      </w:r>
    </w:p>
    <w:p w14:paraId="6A389A56" w14:textId="77777777" w:rsidR="006420CB" w:rsidRDefault="006420CB" w:rsidP="00BF19D2">
      <w:pPr>
        <w:pStyle w:val="BodyText3"/>
        <w:ind w:left="720" w:hanging="720"/>
      </w:pPr>
      <w:r>
        <w:t>H.</w:t>
      </w:r>
      <w:r>
        <w:rPr>
          <w:rStyle w:val="tabchar"/>
          <w:rFonts w:ascii="Calibri" w:hAnsi="Calibri" w:cs="Calibri"/>
          <w:sz w:val="26"/>
          <w:szCs w:val="26"/>
        </w:rPr>
        <w:tab/>
      </w:r>
      <w: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5C949F0C" w14:textId="77777777" w:rsidR="006420CB" w:rsidRDefault="006420CB" w:rsidP="00BF19D2">
      <w:pPr>
        <w:pStyle w:val="BodyText"/>
      </w:pPr>
      <w:r>
        <w:lastRenderedPageBreak/>
        <w:t xml:space="preserve">TWC does not have any MOUs, interagency agreements, or interagency contracts in place regarding its employer engagement and community outreach activities.  While other entities may provide funding opportunities </w:t>
      </w:r>
      <w:proofErr w:type="gramStart"/>
      <w:r>
        <w:t>similar to</w:t>
      </w:r>
      <w:proofErr w:type="gramEnd"/>
      <w:r>
        <w:t xml:space="preserve"> those offered by the EECO team, TWC’s grant programs has specific eligibility requirements.</w:t>
      </w:r>
    </w:p>
    <w:p w14:paraId="2AD050A7" w14:textId="77777777" w:rsidR="006420CB" w:rsidRDefault="006420CB" w:rsidP="00BF19D2">
      <w:pPr>
        <w:pStyle w:val="BodyText"/>
      </w:pPr>
      <w:r>
        <w:t>The Skills Development Fund requires an MOU between the applicant and the business that outlines the responsibilities of each partner to the grant. There are five specific bullet points that must be included in all MOUs that are taken directly from the contract with the applicant and TWC. Short of that, the MOU is strictly between the two entities and is part of the application documents.  </w:t>
      </w:r>
    </w:p>
    <w:p w14:paraId="2DB9344F" w14:textId="77777777" w:rsidR="006420CB" w:rsidRDefault="006420CB" w:rsidP="00BF19D2">
      <w:pPr>
        <w:pStyle w:val="BodyText3"/>
        <w:ind w:left="720" w:hanging="720"/>
      </w:pPr>
      <w:r>
        <w:t>I.</w:t>
      </w:r>
      <w:r>
        <w:rPr>
          <w:rStyle w:val="tabchar"/>
          <w:rFonts w:ascii="Calibri" w:hAnsi="Calibri" w:cs="Calibri"/>
          <w:sz w:val="26"/>
          <w:szCs w:val="26"/>
        </w:rPr>
        <w:tab/>
      </w:r>
      <w:r>
        <w:t>If the division or program works with local, regional, or federal units of government, include a brief description of these entities and their relationship to the agency. </w:t>
      </w:r>
    </w:p>
    <w:p w14:paraId="07C2C971" w14:textId="77777777" w:rsidR="006420CB" w:rsidRDefault="006420CB" w:rsidP="00BF19D2">
      <w:pPr>
        <w:pStyle w:val="BodyText"/>
      </w:pPr>
      <w:r>
        <w:t>As previously discussed, the EECO team works with a variety of partners to promote grant opportunities and develop collaborations to apply for grants.   </w:t>
      </w:r>
    </w:p>
    <w:p w14:paraId="39B2C74B" w14:textId="77777777" w:rsidR="006420CB" w:rsidRDefault="006420CB" w:rsidP="00BF19D2">
      <w:pPr>
        <w:pStyle w:val="BodyText"/>
      </w:pPr>
      <w:r>
        <w:t>TWC works closely with the Boards to facilitate partnerships and identify training needs. Boards play an important leadership role in working with training entities and develop successful customized training projects. Public community colleges and public technical colleges are key partners in many of the grant programs. </w:t>
      </w:r>
    </w:p>
    <w:p w14:paraId="45C0C2FD" w14:textId="77777777" w:rsidR="006420CB" w:rsidRDefault="006420CB" w:rsidP="00BF19D2">
      <w:pPr>
        <w:pStyle w:val="BodyText"/>
        <w:rPr>
          <w:rFonts w:ascii="Segoe UI" w:hAnsi="Segoe UI" w:cs="Segoe UI"/>
          <w:sz w:val="18"/>
          <w:szCs w:val="18"/>
        </w:rPr>
      </w:pPr>
      <w:r>
        <w:t>Although Boards are not eligible applicants for Skills for Small Business grants, they are instrumental in helping TWC’s business liaisons outreach to as many employers as possible. TWC staff provide training and collateral material to the Boards’ Business Services Units staff so they can also outreach employers about the grant.  </w:t>
      </w:r>
    </w:p>
    <w:p w14:paraId="56F9621A" w14:textId="77777777" w:rsidR="006420CB" w:rsidRDefault="006420CB" w:rsidP="00BF19D2">
      <w:pPr>
        <w:pStyle w:val="BodyText3"/>
        <w:ind w:left="720" w:hanging="720"/>
      </w:pPr>
      <w:r>
        <w:t>J.</w:t>
      </w:r>
      <w:r>
        <w:rPr>
          <w:rStyle w:val="tabchar"/>
          <w:rFonts w:ascii="Calibri" w:hAnsi="Calibri" w:cs="Calibri"/>
          <w:sz w:val="26"/>
          <w:szCs w:val="26"/>
        </w:rPr>
        <w:tab/>
      </w:r>
      <w:r>
        <w:t>Are there any barriers or challenges that impede the division or program’s performance, including any outdated or ineffective state laws? Explain. </w:t>
      </w:r>
    </w:p>
    <w:p w14:paraId="73E55DB6" w14:textId="77777777" w:rsidR="006420CB" w:rsidRDefault="006420CB" w:rsidP="00BF19D2">
      <w:pPr>
        <w:pStyle w:val="BodyText"/>
      </w:pPr>
      <w:r>
        <w:t xml:space="preserve">The Skills Development Fund is Texas’ premiere training </w:t>
      </w:r>
      <w:proofErr w:type="gramStart"/>
      <w:r>
        <w:t>grant</w:t>
      </w:r>
      <w:proofErr w:type="gramEnd"/>
      <w:r>
        <w:t xml:space="preserve"> and the Legislature has allocated millions of dollars to it each year. EECO’s goal is to encumber as many of those dollars as possible throughout the state to help Texas employers invest in their employees. However, staff has struggled to find enough applicants to allocate </w:t>
      </w:r>
      <w:proofErr w:type="gramStart"/>
      <w:r>
        <w:t>all of</w:t>
      </w:r>
      <w:proofErr w:type="gramEnd"/>
      <w:r>
        <w:t xml:space="preserve"> the available funding every year.  </w:t>
      </w:r>
      <w:proofErr w:type="gramStart"/>
      <w:r>
        <w:t>In an effort to</w:t>
      </w:r>
      <w:proofErr w:type="gramEnd"/>
      <w:r>
        <w:t xml:space="preserve"> overcome this issue, the team has expanded its focus within the last two years by making presentations directly to employers and employer organizations, rather than only college partners, to spread the word about the many grant opportunities available to them through our partners.  </w:t>
      </w:r>
    </w:p>
    <w:p w14:paraId="29DDBA1F" w14:textId="77777777" w:rsidR="006420CB" w:rsidRDefault="006420CB" w:rsidP="00E35C5E">
      <w:pPr>
        <w:pStyle w:val="BodyText"/>
      </w:pPr>
      <w:r>
        <w:t>Additionally, some requirements of the individual grant programs, including the average cost of training per participant and the prevailing wage threshold, are difficult for certain applicants to meet due to increasing training costs and differing wages in small vs. large cities. </w:t>
      </w:r>
    </w:p>
    <w:p w14:paraId="602D89EF" w14:textId="77777777" w:rsidR="006420CB" w:rsidRDefault="006420CB" w:rsidP="00E35C5E">
      <w:pPr>
        <w:pStyle w:val="BodyText3"/>
      </w:pPr>
      <w:r>
        <w:lastRenderedPageBreak/>
        <w:t>K.</w:t>
      </w:r>
      <w:r>
        <w:rPr>
          <w:rStyle w:val="tabchar"/>
          <w:rFonts w:ascii="Calibri" w:hAnsi="Calibri" w:cs="Calibri"/>
          <w:sz w:val="26"/>
          <w:szCs w:val="26"/>
        </w:rPr>
        <w:tab/>
      </w:r>
      <w:r>
        <w:t>Provide any additional information needed to gain a preliminary understanding of the division or program. </w:t>
      </w:r>
    </w:p>
    <w:p w14:paraId="12AFC7FD" w14:textId="77777777" w:rsidR="006420CB" w:rsidRDefault="006420CB" w:rsidP="00E35C5E">
      <w:pPr>
        <w:pStyle w:val="BodyText"/>
      </w:pPr>
      <w:r>
        <w:t>N/A</w:t>
      </w:r>
    </w:p>
    <w:p w14:paraId="695F1F48" w14:textId="77777777" w:rsidR="006420CB" w:rsidRDefault="006420CB" w:rsidP="00E35C5E">
      <w:pPr>
        <w:pStyle w:val="BodyText3"/>
        <w:ind w:left="720" w:hanging="720"/>
        <w:rPr>
          <w:rFonts w:ascii="Segoe UI" w:hAnsi="Segoe UI" w:cs="Segoe UI"/>
          <w:sz w:val="18"/>
          <w:szCs w:val="18"/>
        </w:rPr>
      </w:pPr>
      <w:r>
        <w:t>L.</w:t>
      </w:r>
      <w:r>
        <w:rPr>
          <w:rStyle w:val="tabchar"/>
          <w:rFonts w:ascii="Calibri" w:hAnsi="Calibri" w:cs="Calibri"/>
          <w:sz w:val="26"/>
          <w:szCs w:val="26"/>
        </w:rPr>
        <w:tab/>
      </w:r>
      <w:r>
        <w:t>Regulatory programs relate to the licensing, registration, certification, or permitting of a person, business, piece of equipment, or other entity (e.g., a facility). For each regulatory program, if applicable, describe: </w:t>
      </w:r>
    </w:p>
    <w:p w14:paraId="113C14DF" w14:textId="77777777" w:rsidR="006420CB" w:rsidRDefault="006420CB" w:rsidP="00E35C5E">
      <w:pPr>
        <w:pStyle w:val="BodyText"/>
      </w:pPr>
      <w:r>
        <w:t>N/A</w:t>
      </w:r>
    </w:p>
    <w:p w14:paraId="25E788AF" w14:textId="622F8807" w:rsidR="006420CB" w:rsidRDefault="00E35C5E" w:rsidP="00E35C5E">
      <w:pPr>
        <w:pStyle w:val="BodyText3"/>
        <w:ind w:left="720" w:hanging="720"/>
      </w:pPr>
      <w:r>
        <w:t>M.</w:t>
      </w:r>
      <w:r>
        <w:tab/>
      </w:r>
      <w:r w:rsidR="006420C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4D8E3D47" w14:textId="77777777" w:rsidR="00791CA6" w:rsidRDefault="006420CB" w:rsidP="00D4195A">
      <w:pPr>
        <w:pStyle w:val="BodyText"/>
      </w:pPr>
      <w:r>
        <w:t>N/A</w:t>
      </w:r>
    </w:p>
    <w:p w14:paraId="375D777C" w14:textId="64D19F36" w:rsidR="006420CB" w:rsidRDefault="006420CB" w:rsidP="00D4195A">
      <w:pPr>
        <w:pStyle w:val="BodyText"/>
      </w:pPr>
    </w:p>
    <w:p w14:paraId="17BD979B" w14:textId="77777777" w:rsidR="006420CB" w:rsidRPr="000F25DC" w:rsidRDefault="006420CB" w:rsidP="00587821">
      <w:pPr>
        <w:pStyle w:val="BodyText3"/>
      </w:pPr>
      <w:bookmarkStart w:id="259" w:name="_Toc1222223398"/>
      <w:bookmarkStart w:id="260" w:name="_Toc204688545"/>
      <w:r w:rsidRPr="061A6DF0">
        <w:t>Tri-Agency</w:t>
      </w:r>
      <w:r w:rsidRPr="061A6DF0">
        <w:rPr>
          <w:spacing w:val="-18"/>
        </w:rPr>
        <w:t xml:space="preserve"> </w:t>
      </w:r>
      <w:r>
        <w:t>Initiatives</w:t>
      </w:r>
      <w:bookmarkEnd w:id="259"/>
      <w:bookmarkEnd w:id="260"/>
    </w:p>
    <w:p w14:paraId="5F6DDAB1" w14:textId="77777777" w:rsidR="006420CB" w:rsidRPr="000F25DC" w:rsidRDefault="006420CB" w:rsidP="00587821">
      <w:pPr>
        <w:pStyle w:val="BodyText3"/>
      </w:pPr>
      <w:r>
        <w:t>A.</w:t>
      </w:r>
      <w:r>
        <w:tab/>
      </w:r>
      <w:r w:rsidRPr="000F25DC">
        <w:t>Provide</w:t>
      </w:r>
      <w:r w:rsidRPr="000F25DC">
        <w:rPr>
          <w:spacing w:val="-5"/>
        </w:rPr>
        <w:t xml:space="preserve"> </w:t>
      </w:r>
      <w:r w:rsidRPr="000F25DC">
        <w:t>the</w:t>
      </w:r>
      <w:r w:rsidRPr="000F25DC">
        <w:rPr>
          <w:spacing w:val="-2"/>
        </w:rPr>
        <w:t xml:space="preserve"> </w:t>
      </w:r>
      <w:r w:rsidRPr="000F25DC">
        <w:t>following</w:t>
      </w:r>
      <w:r w:rsidRPr="000F25DC">
        <w:rPr>
          <w:spacing w:val="-4"/>
        </w:rPr>
        <w:t xml:space="preserve"> </w:t>
      </w:r>
      <w:r w:rsidRPr="000F25DC">
        <w:t>information</w:t>
      </w:r>
      <w:r w:rsidRPr="000F25DC">
        <w:rPr>
          <w:spacing w:val="-3"/>
        </w:rPr>
        <w:t xml:space="preserve"> </w:t>
      </w:r>
      <w:r w:rsidRPr="000F25DC">
        <w:t>at</w:t>
      </w:r>
      <w:r w:rsidRPr="000F25DC">
        <w:rPr>
          <w:spacing w:val="-1"/>
        </w:rPr>
        <w:t xml:space="preserve"> </w:t>
      </w:r>
      <w:r w:rsidRPr="000F25DC">
        <w:t>the</w:t>
      </w:r>
      <w:r w:rsidRPr="000F25DC">
        <w:rPr>
          <w:spacing w:val="-2"/>
        </w:rPr>
        <w:t xml:space="preserve"> </w:t>
      </w:r>
      <w:r w:rsidRPr="000F25DC">
        <w:t>beginning</w:t>
      </w:r>
      <w:r w:rsidRPr="000F25DC">
        <w:rPr>
          <w:spacing w:val="-3"/>
        </w:rPr>
        <w:t xml:space="preserve"> </w:t>
      </w:r>
      <w:r w:rsidRPr="000F25DC">
        <w:t>of</w:t>
      </w:r>
      <w:r w:rsidRPr="000F25DC">
        <w:rPr>
          <w:spacing w:val="-2"/>
        </w:rPr>
        <w:t xml:space="preserve"> </w:t>
      </w:r>
      <w:r w:rsidRPr="000F25DC">
        <w:t>each</w:t>
      </w:r>
      <w:r w:rsidRPr="000F25DC">
        <w:rPr>
          <w:spacing w:val="-2"/>
        </w:rPr>
        <w:t xml:space="preserve"> description.</w:t>
      </w:r>
    </w:p>
    <w:p w14:paraId="146B99C9" w14:textId="77777777" w:rsidR="006420CB" w:rsidRPr="00587821" w:rsidRDefault="006420CB" w:rsidP="00587821">
      <w:pPr>
        <w:pStyle w:val="BodyText"/>
        <w:rPr>
          <w:rStyle w:val="textrun"/>
        </w:rPr>
      </w:pPr>
      <w:r w:rsidRPr="00587821">
        <w:rPr>
          <w:rStyle w:val="textrun"/>
        </w:rPr>
        <w:t xml:space="preserve">Name of division or program: Tri-Agency Initiatives </w:t>
      </w:r>
    </w:p>
    <w:p w14:paraId="7EF7738E" w14:textId="77777777" w:rsidR="006420CB" w:rsidRPr="00587821" w:rsidRDefault="006420CB" w:rsidP="00587821">
      <w:pPr>
        <w:pStyle w:val="BodyText"/>
        <w:rPr>
          <w:rStyle w:val="textrun"/>
        </w:rPr>
      </w:pPr>
      <w:r w:rsidRPr="00587821">
        <w:rPr>
          <w:rStyle w:val="textrun"/>
        </w:rPr>
        <w:t xml:space="preserve">Location within the agency: Workforce Development Division, Education and Outreach  </w:t>
      </w:r>
    </w:p>
    <w:p w14:paraId="76190FFC" w14:textId="77777777" w:rsidR="006420CB" w:rsidRPr="00587821" w:rsidRDefault="006420CB" w:rsidP="00587821">
      <w:pPr>
        <w:pStyle w:val="BodyText"/>
        <w:rPr>
          <w:rStyle w:val="textrun"/>
        </w:rPr>
      </w:pPr>
      <w:r w:rsidRPr="00587821">
        <w:rPr>
          <w:rStyle w:val="textrun"/>
        </w:rPr>
        <w:t>Contact name: Lorena Knight</w:t>
      </w:r>
    </w:p>
    <w:p w14:paraId="3A872B10" w14:textId="59F83FAA" w:rsidR="006420CB" w:rsidRPr="00587821" w:rsidRDefault="006420CB" w:rsidP="00587821">
      <w:pPr>
        <w:pStyle w:val="BodyText"/>
        <w:rPr>
          <w:rStyle w:val="textrun"/>
        </w:rPr>
      </w:pPr>
      <w:r w:rsidRPr="00587821">
        <w:rPr>
          <w:rStyle w:val="textrun"/>
        </w:rPr>
        <w:t>Statutory Citation: Texas Government Code, Chapter 2308</w:t>
      </w:r>
    </w:p>
    <w:p w14:paraId="6E8BC9AB" w14:textId="499A4D48" w:rsidR="006420CB" w:rsidRPr="000F25DC" w:rsidRDefault="006420CB" w:rsidP="00587821">
      <w:pPr>
        <w:pStyle w:val="BodyText3"/>
      </w:pPr>
      <w:r>
        <w:t>B.</w:t>
      </w:r>
      <w:r w:rsidR="00587821">
        <w:tab/>
      </w:r>
      <w:r w:rsidRPr="000F25DC">
        <w:t>What</w:t>
      </w:r>
      <w:r w:rsidRPr="000F25DC">
        <w:rPr>
          <w:spacing w:val="-5"/>
        </w:rPr>
        <w:t xml:space="preserve"> </w:t>
      </w:r>
      <w:r w:rsidRPr="000F25DC">
        <w:t>is</w:t>
      </w:r>
      <w:r w:rsidRPr="000F25DC">
        <w:rPr>
          <w:spacing w:val="-4"/>
        </w:rPr>
        <w:t xml:space="preserve"> </w:t>
      </w:r>
      <w:r w:rsidRPr="000F25DC">
        <w:t>the</w:t>
      </w:r>
      <w:r w:rsidRPr="000F25DC">
        <w:rPr>
          <w:spacing w:val="-4"/>
        </w:rPr>
        <w:t xml:space="preserve"> </w:t>
      </w:r>
      <w:r w:rsidRPr="000F25DC">
        <w:t>objective</w:t>
      </w:r>
      <w:r w:rsidRPr="000F25DC">
        <w:rPr>
          <w:spacing w:val="-5"/>
        </w:rPr>
        <w:t xml:space="preserve"> </w:t>
      </w:r>
      <w:r w:rsidRPr="000F25DC">
        <w:t>of this</w:t>
      </w:r>
      <w:r w:rsidRPr="000F25DC">
        <w:rPr>
          <w:spacing w:val="-4"/>
        </w:rPr>
        <w:t xml:space="preserve"> </w:t>
      </w:r>
      <w:r w:rsidRPr="000F25DC">
        <w:t>division or program?</w:t>
      </w:r>
      <w:r w:rsidRPr="000F25DC">
        <w:rPr>
          <w:spacing w:val="-2"/>
        </w:rPr>
        <w:t xml:space="preserve"> </w:t>
      </w:r>
      <w:r w:rsidRPr="000F25DC">
        <w:t>Describe</w:t>
      </w:r>
      <w:r w:rsidRPr="000F25DC">
        <w:rPr>
          <w:spacing w:val="-1"/>
        </w:rPr>
        <w:t xml:space="preserve"> </w:t>
      </w:r>
      <w:r w:rsidRPr="000F25DC">
        <w:t>its</w:t>
      </w:r>
      <w:r w:rsidRPr="000F25DC">
        <w:rPr>
          <w:spacing w:val="-1"/>
        </w:rPr>
        <w:t xml:space="preserve"> </w:t>
      </w:r>
      <w:r w:rsidRPr="000F25DC">
        <w:t>major</w:t>
      </w:r>
      <w:r w:rsidRPr="000F25DC">
        <w:rPr>
          <w:spacing w:val="1"/>
        </w:rPr>
        <w:t xml:space="preserve"> </w:t>
      </w:r>
      <w:r w:rsidRPr="000F25DC">
        <w:rPr>
          <w:spacing w:val="-2"/>
        </w:rPr>
        <w:t>activities.</w:t>
      </w:r>
    </w:p>
    <w:p w14:paraId="03C4A28E" w14:textId="77777777" w:rsidR="006420CB" w:rsidRPr="000F25DC" w:rsidRDefault="006420CB" w:rsidP="00587821">
      <w:pPr>
        <w:pStyle w:val="BodyText"/>
      </w:pPr>
      <w:r w:rsidRPr="000F25DC">
        <w:t>In</w:t>
      </w:r>
      <w:r w:rsidRPr="000F25DC">
        <w:rPr>
          <w:spacing w:val="-4"/>
        </w:rPr>
        <w:t xml:space="preserve"> </w:t>
      </w:r>
      <w:r w:rsidRPr="000F25DC">
        <w:t>March</w:t>
      </w:r>
      <w:r w:rsidRPr="000F25DC">
        <w:rPr>
          <w:spacing w:val="-6"/>
        </w:rPr>
        <w:t xml:space="preserve"> </w:t>
      </w:r>
      <w:r w:rsidRPr="000F25DC">
        <w:t>2016,</w:t>
      </w:r>
      <w:r w:rsidRPr="000F25DC">
        <w:rPr>
          <w:spacing w:val="-7"/>
        </w:rPr>
        <w:t xml:space="preserve"> </w:t>
      </w:r>
      <w:r w:rsidRPr="000F25DC">
        <w:t>Governor</w:t>
      </w:r>
      <w:r w:rsidRPr="000F25DC">
        <w:rPr>
          <w:spacing w:val="-7"/>
        </w:rPr>
        <w:t xml:space="preserve"> </w:t>
      </w:r>
      <w:r w:rsidRPr="000F25DC">
        <w:t>Greg</w:t>
      </w:r>
      <w:r w:rsidRPr="000F25DC">
        <w:rPr>
          <w:spacing w:val="-8"/>
        </w:rPr>
        <w:t xml:space="preserve"> </w:t>
      </w:r>
      <w:r w:rsidRPr="000F25DC">
        <w:t>Abbott</w:t>
      </w:r>
      <w:r w:rsidRPr="000F25DC">
        <w:rPr>
          <w:spacing w:val="-6"/>
        </w:rPr>
        <w:t xml:space="preserve"> </w:t>
      </w:r>
      <w:r w:rsidRPr="000F25DC">
        <w:t>created</w:t>
      </w:r>
      <w:r w:rsidRPr="000F25DC">
        <w:rPr>
          <w:spacing w:val="-6"/>
        </w:rPr>
        <w:t xml:space="preserve"> </w:t>
      </w:r>
      <w:r w:rsidRPr="000F25DC">
        <w:t>the</w:t>
      </w:r>
      <w:r w:rsidRPr="000F25DC">
        <w:rPr>
          <w:spacing w:val="-7"/>
        </w:rPr>
        <w:t xml:space="preserve"> </w:t>
      </w:r>
      <w:r w:rsidRPr="000F25DC">
        <w:t>Tri-Agency</w:t>
      </w:r>
      <w:r w:rsidRPr="000F25DC">
        <w:rPr>
          <w:spacing w:val="-6"/>
        </w:rPr>
        <w:t xml:space="preserve"> </w:t>
      </w:r>
      <w:r w:rsidRPr="000F25DC">
        <w:t>Workforce</w:t>
      </w:r>
      <w:r w:rsidRPr="000F25DC">
        <w:rPr>
          <w:spacing w:val="-7"/>
        </w:rPr>
        <w:t xml:space="preserve"> </w:t>
      </w:r>
      <w:r w:rsidRPr="000F25DC">
        <w:t>Initiative.</w:t>
      </w:r>
      <w:r w:rsidRPr="000F25DC">
        <w:rPr>
          <w:spacing w:val="-8"/>
        </w:rPr>
        <w:t xml:space="preserve"> </w:t>
      </w:r>
      <w:r w:rsidRPr="000F25DC">
        <w:t>The</w:t>
      </w:r>
      <w:r w:rsidRPr="000F25DC">
        <w:rPr>
          <w:spacing w:val="-4"/>
        </w:rPr>
        <w:t xml:space="preserve"> </w:t>
      </w:r>
      <w:r>
        <w:t>G</w:t>
      </w:r>
      <w:r w:rsidRPr="000F25DC">
        <w:t>overnor tasked TEA, THECB and TWC to work together on developing strong links between education and industry, with the goal of helping Texas grow in economic prosperity.</w:t>
      </w:r>
    </w:p>
    <w:p w14:paraId="299CD7C3" w14:textId="77777777" w:rsidR="006420CB" w:rsidRPr="00587821" w:rsidRDefault="006420CB" w:rsidP="00587821">
      <w:pPr>
        <w:pStyle w:val="BodyText"/>
      </w:pPr>
      <w:r w:rsidRPr="00587821">
        <w:lastRenderedPageBreak/>
        <w:t>In response to the charges laid out by Governor Abbott and by House Bill 3767 from the 87th Texas Legislature, Regular Session, TEA, THECB, and TWC partnered to identify the following three high-priority focus areas for the Tri-Agency Workforce Initiative.</w:t>
      </w:r>
    </w:p>
    <w:p w14:paraId="010E13D5" w14:textId="77777777" w:rsidR="006420CB" w:rsidRPr="000F25DC" w:rsidRDefault="006420CB" w:rsidP="00C64851">
      <w:pPr>
        <w:pStyle w:val="BodyText"/>
        <w:numPr>
          <w:ilvl w:val="0"/>
          <w:numId w:val="863"/>
        </w:numPr>
      </w:pPr>
      <w:r w:rsidRPr="00CE673B">
        <w:rPr>
          <w:b/>
          <w:bCs/>
        </w:rPr>
        <w:t>Pathways:</w:t>
      </w:r>
      <w:r w:rsidRPr="000F25DC">
        <w:t xml:space="preserve"> Support efficient and flexible pathways to earning degrees, certificates, and other credentials linked to high-wage, in-demand jobs.</w:t>
      </w:r>
    </w:p>
    <w:p w14:paraId="141B8A81" w14:textId="77777777" w:rsidR="006420CB" w:rsidRDefault="006420CB" w:rsidP="00C64851">
      <w:pPr>
        <w:pStyle w:val="BodyText"/>
        <w:numPr>
          <w:ilvl w:val="0"/>
          <w:numId w:val="863"/>
        </w:numPr>
      </w:pPr>
      <w:r w:rsidRPr="00CE673B">
        <w:rPr>
          <w:b/>
          <w:bCs/>
        </w:rPr>
        <w:t>Support:</w:t>
      </w:r>
      <w:r w:rsidRPr="000F25DC">
        <w:t xml:space="preserve"> Ensure</w:t>
      </w:r>
      <w:r w:rsidRPr="000F25DC">
        <w:rPr>
          <w:spacing w:val="-2"/>
        </w:rPr>
        <w:t xml:space="preserve"> </w:t>
      </w:r>
      <w:r w:rsidRPr="000F25DC">
        <w:t>students receive</w:t>
      </w:r>
      <w:r w:rsidRPr="000F25DC">
        <w:rPr>
          <w:spacing w:val="-2"/>
        </w:rPr>
        <w:t xml:space="preserve"> </w:t>
      </w:r>
      <w:r w:rsidRPr="000F25DC">
        <w:t>the</w:t>
      </w:r>
      <w:r w:rsidRPr="000F25DC">
        <w:rPr>
          <w:spacing w:val="-2"/>
        </w:rPr>
        <w:t xml:space="preserve"> </w:t>
      </w:r>
      <w:r w:rsidRPr="000F25DC">
        <w:t>supports necessary</w:t>
      </w:r>
      <w:r w:rsidRPr="000F25DC">
        <w:rPr>
          <w:spacing w:val="-1"/>
        </w:rPr>
        <w:t xml:space="preserve"> </w:t>
      </w:r>
      <w:r w:rsidRPr="000F25DC">
        <w:t>to succeed at all</w:t>
      </w:r>
      <w:r w:rsidRPr="000F25DC">
        <w:rPr>
          <w:spacing w:val="-5"/>
        </w:rPr>
        <w:t xml:space="preserve"> </w:t>
      </w:r>
      <w:r w:rsidRPr="000F25DC">
        <w:t xml:space="preserve">stages of their educations and in their transitions to the workforce. </w:t>
      </w:r>
    </w:p>
    <w:p w14:paraId="7F9D2C36" w14:textId="77777777" w:rsidR="006420CB" w:rsidRPr="000F25DC" w:rsidRDefault="006420CB" w:rsidP="00C64851">
      <w:pPr>
        <w:pStyle w:val="BodyText"/>
        <w:numPr>
          <w:ilvl w:val="0"/>
          <w:numId w:val="863"/>
        </w:numPr>
      </w:pPr>
      <w:r w:rsidRPr="00CE673B">
        <w:rPr>
          <w:b/>
          <w:bCs/>
        </w:rPr>
        <w:t>Infrastructure:</w:t>
      </w:r>
      <w:r w:rsidRPr="000F25DC">
        <w:t xml:space="preserve"> Create a robust infrastructure for interagency collaboration around common goals, data, and processes to ensure improved student outcomes and meet employers’ needs.</w:t>
      </w:r>
    </w:p>
    <w:p w14:paraId="20FF99B6" w14:textId="77777777" w:rsidR="006420CB" w:rsidRPr="009D0B7D" w:rsidRDefault="006420CB" w:rsidP="009D0B7D">
      <w:pPr>
        <w:pStyle w:val="BodyText"/>
      </w:pPr>
      <w:r w:rsidRPr="009D0B7D">
        <w:t xml:space="preserve">The </w:t>
      </w:r>
      <w:hyperlink r:id="rId193" w:history="1">
        <w:r w:rsidRPr="009D0B7D">
          <w:rPr>
            <w:rStyle w:val="Hyperlink"/>
            <w:color w:val="auto"/>
            <w:u w:val="none"/>
          </w:rPr>
          <w:t>Tri-Agency Initiative</w:t>
        </w:r>
      </w:hyperlink>
      <w:r w:rsidRPr="009D0B7D">
        <w:t xml:space="preserve"> sets out goals and resources along with the </w:t>
      </w:r>
      <w:hyperlink r:id="rId194" w:history="1">
        <w:r w:rsidRPr="009D0B7D">
          <w:rPr>
            <w:rStyle w:val="Hyperlink"/>
            <w:color w:val="auto"/>
            <w:u w:val="none"/>
          </w:rPr>
          <w:t>Tri-Agency Workforce Goals and Strategies</w:t>
        </w:r>
      </w:hyperlink>
      <w:r w:rsidRPr="009D0B7D">
        <w:t>.</w:t>
      </w:r>
    </w:p>
    <w:p w14:paraId="08B8AA65" w14:textId="77777777" w:rsidR="006420CB" w:rsidRPr="009D0B7D" w:rsidRDefault="006420CB" w:rsidP="009D0B7D">
      <w:pPr>
        <w:pStyle w:val="BodyText"/>
      </w:pPr>
      <w:r w:rsidRPr="009D0B7D">
        <w:t>In addition to maintaining regular communications and collaboration, Tri-Agency staff from the three agencies work under the direction of the three agencies’ commissioners – TEA’s Commissioner, THECB’s Commissioner, and TWC’s Chairman.  In addition to maintaining regular communications and collaboration, Tri-Agency staff have completed and launched three statewide programs designed to address the initiative’s priorities – Credential Library, Texas Regional Pathways Network, and Texas Teacher Apprenticeship Strategy – which are described along with other activities in Question F below.</w:t>
      </w:r>
    </w:p>
    <w:p w14:paraId="1B762FA8" w14:textId="1D2AD60A" w:rsidR="006420CB" w:rsidRPr="00587821" w:rsidRDefault="006420CB" w:rsidP="00587821">
      <w:pPr>
        <w:pStyle w:val="BodyText3"/>
        <w:ind w:left="720" w:hanging="720"/>
      </w:pPr>
      <w:r w:rsidRPr="00587821">
        <w:rPr>
          <w:rStyle w:val="BodyText3Char"/>
          <w:b/>
        </w:rPr>
        <w:t>C.</w:t>
      </w:r>
      <w:r w:rsidR="00587821">
        <w:rPr>
          <w:rStyle w:val="BodyText3Char"/>
          <w:b/>
        </w:rPr>
        <w:tab/>
      </w:r>
      <w:r w:rsidRPr="00587821">
        <w:rPr>
          <w:rStyle w:val="BodyText3Char"/>
          <w:b/>
        </w:rPr>
        <w:t>What information does the agency collect/use to assess the effectiveness and efficiency of this division or program? If applicable, briefly note any LBB performance</w:t>
      </w:r>
      <w:r w:rsidRPr="00587821">
        <w:t xml:space="preserve"> measures (from Section II, </w:t>
      </w:r>
      <w:proofErr w:type="gramStart"/>
      <w:r w:rsidRPr="00587821">
        <w:t>Exhibit</w:t>
      </w:r>
      <w:proofErr w:type="gramEnd"/>
      <w:r w:rsidRPr="00587821">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200EFFCC" w14:textId="77777777" w:rsidR="006420CB" w:rsidRPr="003312FB" w:rsidRDefault="006420CB" w:rsidP="003312FB">
      <w:pPr>
        <w:pStyle w:val="BodyText"/>
      </w:pPr>
      <w:r w:rsidRPr="003312FB">
        <w:t xml:space="preserve">In 2020, the Tri-Agency Workforce Initiative released the </w:t>
      </w:r>
      <w:hyperlink r:id="rId195" w:history="1">
        <w:r w:rsidRPr="003312FB">
          <w:rPr>
            <w:rStyle w:val="Hyperlink"/>
          </w:rPr>
          <w:t>Tri-Agency Workforce Initiative 2020 Commissioners’ Report Executive Summary</w:t>
        </w:r>
      </w:hyperlink>
      <w:r w:rsidRPr="003312FB">
        <w:t>, a progress report on their responses to the Governor’s charges and the implementation of HB 3, 86th Texas Legislature, Regular Session.</w:t>
      </w:r>
    </w:p>
    <w:p w14:paraId="68728E03" w14:textId="7A323C6E" w:rsidR="006420CB" w:rsidRPr="000F25DC" w:rsidRDefault="006420CB" w:rsidP="003312FB">
      <w:pPr>
        <w:pStyle w:val="BodyText3"/>
        <w:ind w:left="720" w:hanging="720"/>
      </w:pPr>
      <w:r>
        <w:t>D.</w:t>
      </w:r>
      <w:r w:rsidR="003312FB">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rsidRPr="000F25DC">
        <w:t>regarding</w:t>
      </w:r>
      <w:r w:rsidRPr="000F25DC">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0DBEEE79" w14:textId="77777777" w:rsidR="006420CB" w:rsidRPr="000F25DC" w:rsidRDefault="006420CB" w:rsidP="003312FB">
      <w:pPr>
        <w:pStyle w:val="BodyText"/>
      </w:pPr>
      <w:r>
        <w:t xml:space="preserve">The foundations of </w:t>
      </w:r>
      <w:r w:rsidRPr="000F25DC">
        <w:t>Texas's commitment to a robust workforce began in 2015 with THECB</w:t>
      </w:r>
      <w:r>
        <w:t>’s</w:t>
      </w:r>
      <w:r w:rsidRPr="000F25DC">
        <w:t xml:space="preserve"> 60x30TX plan outlining ambitious goals for college completion and workforce readiness by 2030. Building on this vision, Governor Abbott officially established the Tri-Agency </w:t>
      </w:r>
      <w:r w:rsidRPr="000F25DC">
        <w:lastRenderedPageBreak/>
        <w:t xml:space="preserve">Workforce Initiative in March 2016. This collaborative powerhouse brought together TEA, THECB, and </w:t>
      </w:r>
      <w:r>
        <w:t>T</w:t>
      </w:r>
      <w:r w:rsidRPr="000F25DC">
        <w:t>WC to foster economic prosperity, publishing their first recommendations shortly thereafter</w:t>
      </w:r>
      <w:r>
        <w:t xml:space="preserve"> in the 2016 report </w:t>
      </w:r>
      <w:hyperlink r:id="rId196" w:history="1">
        <w:r w:rsidRPr="00CE673B">
          <w:rPr>
            <w:rStyle w:val="Hyperlink"/>
            <w:i/>
            <w:iCs/>
          </w:rPr>
          <w:t>Prosperity Requires Being Bold: Integrating Education and the Workforce for a Bright Texas Future</w:t>
        </w:r>
      </w:hyperlink>
      <w:r>
        <w:rPr>
          <w:i/>
          <w:iCs/>
        </w:rPr>
        <w:t>.</w:t>
      </w:r>
      <w:r w:rsidRPr="00CE673B" w:rsidDel="003C65DB">
        <w:rPr>
          <w:i/>
          <w:iCs/>
        </w:rPr>
        <w:t xml:space="preserve"> </w:t>
      </w:r>
    </w:p>
    <w:p w14:paraId="70CF4237" w14:textId="77777777" w:rsidR="006420CB" w:rsidRPr="000F25DC" w:rsidRDefault="006420CB" w:rsidP="003312FB">
      <w:pPr>
        <w:pStyle w:val="BodyText"/>
      </w:pPr>
      <w:r w:rsidRPr="000F25DC">
        <w:t>Momentum grew in 2019 when House Bill 3 revolutionized school finance, emphasizing college, career, and military readiness. Governor Abbott charged the Tri-Agency with implementing this legislation, and the Initiative also established the Texas Regional Pathways Network's steering committee. By February 2020, Governor Abbott expanded the Tri-Agency's mandate, directing them to tackle long-term education and employment needs across seven key areas: readiness, completion, transitions, upskilling, educator pipeline, partnerships, and infrastructure. A progress report followed later that year.</w:t>
      </w:r>
    </w:p>
    <w:p w14:paraId="5A2C22E7" w14:textId="77777777" w:rsidR="006420CB" w:rsidRDefault="006420CB" w:rsidP="003312FB">
      <w:pPr>
        <w:pStyle w:val="BodyText"/>
      </w:pPr>
      <w:r w:rsidRPr="000F25DC">
        <w:t xml:space="preserve">2021 proved pivotal as Governor Abbott signed three bills solidifying the Tri-Agency's framework: </w:t>
      </w:r>
    </w:p>
    <w:p w14:paraId="6A43D98C" w14:textId="77777777" w:rsidR="006420CB" w:rsidRDefault="006420CB" w:rsidP="00C64851">
      <w:pPr>
        <w:pStyle w:val="BodyText"/>
        <w:numPr>
          <w:ilvl w:val="0"/>
          <w:numId w:val="864"/>
        </w:numPr>
      </w:pPr>
      <w:r w:rsidRPr="000F25DC">
        <w:t>HB 3767 formalized their collaboration and goals</w:t>
      </w:r>
    </w:p>
    <w:p w14:paraId="47FDC3B3" w14:textId="77777777" w:rsidR="006420CB" w:rsidRDefault="006420CB" w:rsidP="00C64851">
      <w:pPr>
        <w:pStyle w:val="BodyText"/>
        <w:numPr>
          <w:ilvl w:val="0"/>
          <w:numId w:val="864"/>
        </w:numPr>
      </w:pPr>
      <w:r w:rsidRPr="000F25DC">
        <w:t>SB 788 standardized data sharing</w:t>
      </w:r>
    </w:p>
    <w:p w14:paraId="6D497CD2" w14:textId="77777777" w:rsidR="006420CB" w:rsidRDefault="006420CB" w:rsidP="00C64851">
      <w:pPr>
        <w:pStyle w:val="BodyText"/>
        <w:numPr>
          <w:ilvl w:val="0"/>
          <w:numId w:val="864"/>
        </w:numPr>
      </w:pPr>
      <w:r w:rsidRPr="000F25DC">
        <w:t>SB 1230 established the Texas Commission on Community College Finance</w:t>
      </w:r>
    </w:p>
    <w:p w14:paraId="3746797A" w14:textId="77777777" w:rsidR="006420CB" w:rsidRPr="000F25DC" w:rsidRDefault="006420CB" w:rsidP="003312FB">
      <w:pPr>
        <w:pStyle w:val="BodyText"/>
      </w:pPr>
      <w:r w:rsidRPr="000F25DC">
        <w:t xml:space="preserve">These legislative steps enabled the 2022 adoption of </w:t>
      </w:r>
      <w:hyperlink r:id="rId197" w:history="1">
        <w:r w:rsidRPr="00CE673B">
          <w:rPr>
            <w:rStyle w:val="Hyperlink"/>
            <w:rFonts w:asciiTheme="minorHAnsi" w:hAnsiTheme="minorHAnsi" w:cstheme="minorHAnsi"/>
            <w:i/>
            <w:iCs/>
          </w:rPr>
          <w:t>Building a Talent Strong Texas</w:t>
        </w:r>
      </w:hyperlink>
      <w:r w:rsidRPr="000F25DC">
        <w:t xml:space="preserve">, an expansion of the original 60x30TX objectives. That same year, the Tri-Agency </w:t>
      </w:r>
      <w:r>
        <w:t xml:space="preserve">Initiative </w:t>
      </w:r>
      <w:r w:rsidRPr="000F25DC">
        <w:t>released its Work-Based Learning Strategic Framework and began developing a Texas-specific credential library.</w:t>
      </w:r>
    </w:p>
    <w:p w14:paraId="25AF1A75" w14:textId="77777777" w:rsidR="006420CB" w:rsidRPr="000F25DC" w:rsidRDefault="006420CB" w:rsidP="003312FB">
      <w:pPr>
        <w:pStyle w:val="BodyText"/>
      </w:pPr>
      <w:r w:rsidRPr="000F25DC">
        <w:t>The transformation continued into 2023 with House Bill 8, which revolutionized community college funding. In 2025, the Tri-Agency Commissioners are set to approve the Texas Teacher Apprenticeship Strategy, marking a decade of strategic efforts to cultivate a skilled and prosperous Texas.</w:t>
      </w:r>
    </w:p>
    <w:p w14:paraId="4996CBE0" w14:textId="77777777" w:rsidR="006420CB" w:rsidRPr="000F25DC" w:rsidRDefault="006420CB" w:rsidP="003312FB">
      <w:pPr>
        <w:pStyle w:val="BodyText3"/>
        <w:ind w:left="720" w:hanging="720"/>
      </w:pPr>
      <w:r>
        <w:t>E.</w:t>
      </w:r>
      <w:r>
        <w:tab/>
      </w:r>
      <w:r w:rsidRPr="000F25DC">
        <w:t>List any qualifications or eligibility requirements for persons or entities affected by this division or program (e.g., licensees, consumers, and landowners). Provide a statistical breakdown of persons or entities affected.</w:t>
      </w:r>
    </w:p>
    <w:p w14:paraId="39183441" w14:textId="77777777" w:rsidR="006420CB" w:rsidRPr="000F25DC" w:rsidRDefault="006420CB" w:rsidP="003312FB">
      <w:pPr>
        <w:pStyle w:val="BodyText"/>
      </w:pPr>
      <w:r w:rsidRPr="000F25DC">
        <w:t>The Tri-Agency Workforce initiative seeks to build a strong Texas workforce and ensure that Texans are prepared for jobs in the industries that power the state’s economy today and tomorrow. This support is available to all Texans, so no eligibility qualifications are required.</w:t>
      </w:r>
    </w:p>
    <w:p w14:paraId="4BDCBA68" w14:textId="776877F6" w:rsidR="006420CB" w:rsidRPr="000F25DC" w:rsidRDefault="006420CB" w:rsidP="003312FB">
      <w:pPr>
        <w:pStyle w:val="BodyText3"/>
        <w:ind w:left="720" w:hanging="720"/>
      </w:pPr>
      <w:r>
        <w:t>F.</w:t>
      </w:r>
      <w:r>
        <w:tab/>
      </w:r>
      <w:r w:rsidRPr="000F25DC">
        <w:t>Describe how the division or program is administered, including a description of key processes involved. If you have existing documentation (e.g., flowcharts, timelines, and other</w:t>
      </w:r>
      <w:r>
        <w:t xml:space="preserve"> </w:t>
      </w:r>
      <w:r w:rsidRPr="000F25DC">
        <w:t>illustrations)</w:t>
      </w:r>
      <w:r w:rsidRPr="00895B6B">
        <w:rPr>
          <w:spacing w:val="-3"/>
        </w:rPr>
        <w:t xml:space="preserve"> </w:t>
      </w:r>
      <w:r w:rsidRPr="000F25DC">
        <w:t>to</w:t>
      </w:r>
      <w:r w:rsidRPr="00895B6B">
        <w:rPr>
          <w:spacing w:val="-2"/>
        </w:rPr>
        <w:t xml:space="preserve"> </w:t>
      </w:r>
      <w:r w:rsidRPr="000F25DC">
        <w:t>describe</w:t>
      </w:r>
      <w:r w:rsidRPr="00895B6B">
        <w:rPr>
          <w:spacing w:val="-6"/>
        </w:rPr>
        <w:t xml:space="preserve"> </w:t>
      </w:r>
      <w:r w:rsidRPr="000F25DC">
        <w:t>agency</w:t>
      </w:r>
      <w:r w:rsidRPr="00895B6B">
        <w:rPr>
          <w:spacing w:val="-3"/>
        </w:rPr>
        <w:t xml:space="preserve"> </w:t>
      </w:r>
      <w:r w:rsidRPr="000F25DC">
        <w:t>policies</w:t>
      </w:r>
      <w:r w:rsidRPr="00895B6B">
        <w:rPr>
          <w:spacing w:val="-2"/>
        </w:rPr>
        <w:t xml:space="preserve"> </w:t>
      </w:r>
      <w:r w:rsidRPr="000F25DC">
        <w:t>and</w:t>
      </w:r>
      <w:r w:rsidRPr="00895B6B">
        <w:rPr>
          <w:spacing w:val="-2"/>
        </w:rPr>
        <w:t xml:space="preserve"> </w:t>
      </w:r>
      <w:r w:rsidRPr="000F25DC">
        <w:t>procedures,</w:t>
      </w:r>
      <w:r w:rsidRPr="00895B6B">
        <w:rPr>
          <w:spacing w:val="-2"/>
        </w:rPr>
        <w:t xml:space="preserve"> </w:t>
      </w:r>
      <w:r w:rsidRPr="000F25DC">
        <w:t>please</w:t>
      </w:r>
      <w:r w:rsidRPr="00895B6B">
        <w:rPr>
          <w:spacing w:val="-3"/>
        </w:rPr>
        <w:t xml:space="preserve"> </w:t>
      </w:r>
      <w:r w:rsidRPr="000F25DC">
        <w:t>include</w:t>
      </w:r>
      <w:r w:rsidRPr="00895B6B">
        <w:rPr>
          <w:spacing w:val="-3"/>
        </w:rPr>
        <w:t xml:space="preserve"> </w:t>
      </w:r>
      <w:r w:rsidRPr="000F25DC">
        <w:t>them</w:t>
      </w:r>
      <w:r w:rsidRPr="00895B6B">
        <w:rPr>
          <w:spacing w:val="-3"/>
        </w:rPr>
        <w:t xml:space="preserve"> </w:t>
      </w:r>
      <w:r w:rsidRPr="000F25DC">
        <w:t>as</w:t>
      </w:r>
      <w:r w:rsidRPr="00895B6B">
        <w:rPr>
          <w:spacing w:val="-2"/>
        </w:rPr>
        <w:t xml:space="preserve"> </w:t>
      </w:r>
      <w:r w:rsidRPr="000F25DC">
        <w:t>attachments. Indicate how field/regional services are used, if applicable.</w:t>
      </w:r>
    </w:p>
    <w:p w14:paraId="6DE801EB" w14:textId="77777777" w:rsidR="006420CB" w:rsidRDefault="006420CB" w:rsidP="003312FB">
      <w:pPr>
        <w:pStyle w:val="BodyText"/>
        <w:rPr>
          <w:spacing w:val="-2"/>
        </w:rPr>
      </w:pPr>
      <w:r w:rsidRPr="000F25DC">
        <w:lastRenderedPageBreak/>
        <w:t xml:space="preserve">The Tri-Agency </w:t>
      </w:r>
      <w:r>
        <w:t xml:space="preserve">partners </w:t>
      </w:r>
      <w:r w:rsidRPr="000F25DC">
        <w:t>collaborate on signature projects that support Texas students and workers and build</w:t>
      </w:r>
      <w:r w:rsidRPr="000F25DC">
        <w:rPr>
          <w:spacing w:val="-14"/>
        </w:rPr>
        <w:t xml:space="preserve"> </w:t>
      </w:r>
      <w:r w:rsidRPr="000F25DC">
        <w:t>talent</w:t>
      </w:r>
      <w:r w:rsidRPr="000F25DC">
        <w:rPr>
          <w:spacing w:val="-14"/>
        </w:rPr>
        <w:t xml:space="preserve"> </w:t>
      </w:r>
      <w:r w:rsidRPr="000F25DC">
        <w:t>pipelines</w:t>
      </w:r>
      <w:r w:rsidRPr="000F25DC">
        <w:rPr>
          <w:spacing w:val="-13"/>
        </w:rPr>
        <w:t xml:space="preserve"> </w:t>
      </w:r>
      <w:r w:rsidRPr="000F25DC">
        <w:t>to</w:t>
      </w:r>
      <w:r w:rsidRPr="000F25DC">
        <w:rPr>
          <w:spacing w:val="-14"/>
        </w:rPr>
        <w:t xml:space="preserve"> </w:t>
      </w:r>
      <w:r w:rsidRPr="000F25DC">
        <w:t>spur</w:t>
      </w:r>
      <w:r w:rsidRPr="000F25DC">
        <w:rPr>
          <w:spacing w:val="-13"/>
        </w:rPr>
        <w:t xml:space="preserve"> </w:t>
      </w:r>
      <w:r w:rsidRPr="000F25DC">
        <w:t>economic</w:t>
      </w:r>
      <w:r w:rsidRPr="000F25DC">
        <w:rPr>
          <w:spacing w:val="-14"/>
        </w:rPr>
        <w:t xml:space="preserve"> </w:t>
      </w:r>
      <w:r w:rsidRPr="000F25DC">
        <w:t>growth</w:t>
      </w:r>
      <w:r w:rsidRPr="000F25DC">
        <w:rPr>
          <w:spacing w:val="-13"/>
        </w:rPr>
        <w:t xml:space="preserve"> </w:t>
      </w:r>
      <w:r w:rsidRPr="000F25DC">
        <w:t>across</w:t>
      </w:r>
      <w:r w:rsidRPr="000F25DC">
        <w:rPr>
          <w:spacing w:val="-14"/>
        </w:rPr>
        <w:t xml:space="preserve"> </w:t>
      </w:r>
      <w:r w:rsidRPr="000F25DC">
        <w:t>the</w:t>
      </w:r>
      <w:r w:rsidRPr="000F25DC">
        <w:rPr>
          <w:spacing w:val="-14"/>
        </w:rPr>
        <w:t xml:space="preserve"> </w:t>
      </w:r>
      <w:r w:rsidRPr="000F25DC">
        <w:t>state.</w:t>
      </w:r>
      <w:r w:rsidRPr="000F25DC">
        <w:rPr>
          <w:spacing w:val="-13"/>
        </w:rPr>
        <w:t xml:space="preserve"> </w:t>
      </w:r>
      <w:r w:rsidRPr="000F25DC">
        <w:t>Staff</w:t>
      </w:r>
      <w:r w:rsidRPr="000F25DC">
        <w:rPr>
          <w:spacing w:val="-13"/>
        </w:rPr>
        <w:t xml:space="preserve"> </w:t>
      </w:r>
      <w:r w:rsidRPr="000F25DC">
        <w:t>work</w:t>
      </w:r>
      <w:r w:rsidRPr="000F25DC">
        <w:rPr>
          <w:spacing w:val="-14"/>
        </w:rPr>
        <w:t xml:space="preserve"> </w:t>
      </w:r>
      <w:r w:rsidRPr="000F25DC">
        <w:t>together</w:t>
      </w:r>
      <w:r w:rsidRPr="000F25DC">
        <w:rPr>
          <w:spacing w:val="-12"/>
        </w:rPr>
        <w:t xml:space="preserve"> </w:t>
      </w:r>
      <w:r w:rsidRPr="000F25DC">
        <w:t>to</w:t>
      </w:r>
      <w:r w:rsidRPr="000F25DC">
        <w:rPr>
          <w:spacing w:val="-13"/>
        </w:rPr>
        <w:t xml:space="preserve"> </w:t>
      </w:r>
      <w:r w:rsidRPr="000F25DC">
        <w:t>streamline the implementation of individual and combined efforts, respond to legislation, and share information and other resources with constituents. Staff support regional and local implementation</w:t>
      </w:r>
      <w:r w:rsidRPr="000F25DC">
        <w:rPr>
          <w:spacing w:val="-1"/>
        </w:rPr>
        <w:t xml:space="preserve"> </w:t>
      </w:r>
      <w:r w:rsidRPr="000F25DC">
        <w:t>of</w:t>
      </w:r>
      <w:r w:rsidRPr="000F25DC">
        <w:rPr>
          <w:spacing w:val="-1"/>
        </w:rPr>
        <w:t xml:space="preserve"> </w:t>
      </w:r>
      <w:r w:rsidRPr="000F25DC">
        <w:t>state</w:t>
      </w:r>
      <w:r w:rsidRPr="000F25DC">
        <w:rPr>
          <w:spacing w:val="-3"/>
        </w:rPr>
        <w:t xml:space="preserve"> </w:t>
      </w:r>
      <w:r w:rsidRPr="000F25DC">
        <w:t>strategies and</w:t>
      </w:r>
      <w:r w:rsidRPr="000F25DC">
        <w:rPr>
          <w:spacing w:val="-1"/>
        </w:rPr>
        <w:t xml:space="preserve"> </w:t>
      </w:r>
      <w:r w:rsidRPr="000F25DC">
        <w:t>gather</w:t>
      </w:r>
      <w:r w:rsidRPr="000F25DC">
        <w:rPr>
          <w:spacing w:val="-4"/>
        </w:rPr>
        <w:t xml:space="preserve"> </w:t>
      </w:r>
      <w:r w:rsidRPr="000F25DC">
        <w:t>feedback</w:t>
      </w:r>
      <w:r w:rsidRPr="000F25DC">
        <w:rPr>
          <w:spacing w:val="-3"/>
        </w:rPr>
        <w:t xml:space="preserve"> </w:t>
      </w:r>
      <w:r w:rsidRPr="000F25DC">
        <w:t>from</w:t>
      </w:r>
      <w:r w:rsidRPr="000F25DC">
        <w:rPr>
          <w:spacing w:val="-2"/>
        </w:rPr>
        <w:t xml:space="preserve"> </w:t>
      </w:r>
      <w:r w:rsidRPr="000F25DC">
        <w:t>local</w:t>
      </w:r>
      <w:r w:rsidRPr="000F25DC">
        <w:rPr>
          <w:spacing w:val="-2"/>
        </w:rPr>
        <w:t xml:space="preserve"> </w:t>
      </w:r>
      <w:r w:rsidRPr="000F25DC">
        <w:t>stakeholders</w:t>
      </w:r>
      <w:r w:rsidRPr="000F25DC">
        <w:rPr>
          <w:spacing w:val="-2"/>
        </w:rPr>
        <w:t xml:space="preserve"> </w:t>
      </w:r>
      <w:r w:rsidRPr="000F25DC">
        <w:t>who</w:t>
      </w:r>
      <w:r w:rsidRPr="000F25DC">
        <w:rPr>
          <w:spacing w:val="-2"/>
        </w:rPr>
        <w:t xml:space="preserve"> </w:t>
      </w:r>
      <w:r w:rsidRPr="000F25DC">
        <w:t>are</w:t>
      </w:r>
      <w:r w:rsidRPr="000F25DC">
        <w:rPr>
          <w:spacing w:val="-2"/>
        </w:rPr>
        <w:t xml:space="preserve"> </w:t>
      </w:r>
      <w:r w:rsidRPr="000F25DC">
        <w:t xml:space="preserve">driving </w:t>
      </w:r>
      <w:r w:rsidRPr="000F25DC">
        <w:rPr>
          <w:spacing w:val="-2"/>
        </w:rPr>
        <w:t>impact.</w:t>
      </w:r>
      <w:r>
        <w:rPr>
          <w:spacing w:val="-2"/>
        </w:rPr>
        <w:t xml:space="preserve">  Several of the largest initiatives are described below.</w:t>
      </w:r>
    </w:p>
    <w:p w14:paraId="73EADD6C" w14:textId="77777777" w:rsidR="006420CB" w:rsidRPr="003312FB" w:rsidRDefault="006420CB" w:rsidP="003312FB">
      <w:pPr>
        <w:pStyle w:val="BodyText"/>
        <w:rPr>
          <w:b/>
          <w:bCs/>
        </w:rPr>
      </w:pPr>
      <w:r w:rsidRPr="003312FB">
        <w:rPr>
          <w:b/>
          <w:bCs/>
        </w:rPr>
        <w:t xml:space="preserve">Credential Library </w:t>
      </w:r>
    </w:p>
    <w:p w14:paraId="143D7C56" w14:textId="77777777" w:rsidR="006420CB" w:rsidRPr="003312FB" w:rsidRDefault="006420CB" w:rsidP="003312FB">
      <w:pPr>
        <w:pStyle w:val="BodyText"/>
      </w:pPr>
      <w:r w:rsidRPr="003312FB">
        <w:t xml:space="preserve">This project is managed by Tri-Agency staff. The credential library, referred to as </w:t>
      </w:r>
      <w:hyperlink r:id="rId198">
        <w:proofErr w:type="spellStart"/>
        <w:r w:rsidRPr="003312FB">
          <w:t>MyTXLibrary</w:t>
        </w:r>
        <w:proofErr w:type="spellEnd"/>
      </w:hyperlink>
      <w:r w:rsidRPr="003312FB">
        <w:t>, provides a publicly accessible web-based library of credentials such as diplomas, certificates, certifications, digital badges, apprenticeships, licenses, or degrees that are delivered, issued, funded, or governed by the state; aligned with recognized skills and industry standards; available to residents of the state; and used by employers in the state.</w:t>
      </w:r>
    </w:p>
    <w:p w14:paraId="15D7ABB6" w14:textId="77777777" w:rsidR="006420CB" w:rsidRPr="003312FB" w:rsidRDefault="006420CB" w:rsidP="003312FB">
      <w:pPr>
        <w:pStyle w:val="BodyText"/>
      </w:pPr>
      <w:r w:rsidRPr="003312FB">
        <w:t>Members of TWC’s Tri-Agency and Special Projects department work with a contractor, Credential Engine, to build, modify, expand, and vet information included in the online credential library for Texas. The team meets with Credential Engine on a weekly or bi-weekly basis to review the status of the project, test new functions, and initiate next phases of the project.</w:t>
      </w:r>
    </w:p>
    <w:p w14:paraId="5F8ECA38" w14:textId="77777777" w:rsidR="006420CB" w:rsidRPr="003312FB" w:rsidRDefault="006420CB" w:rsidP="003312FB">
      <w:pPr>
        <w:pStyle w:val="BodyText"/>
        <w:rPr>
          <w:b/>
          <w:bCs/>
        </w:rPr>
      </w:pPr>
      <w:r w:rsidRPr="003312FB">
        <w:rPr>
          <w:b/>
          <w:bCs/>
        </w:rPr>
        <w:t>Texas</w:t>
      </w:r>
      <w:r w:rsidRPr="003312FB">
        <w:rPr>
          <w:b/>
          <w:bCs/>
          <w:spacing w:val="-3"/>
        </w:rPr>
        <w:t xml:space="preserve"> </w:t>
      </w:r>
      <w:r w:rsidRPr="003312FB">
        <w:rPr>
          <w:b/>
          <w:bCs/>
        </w:rPr>
        <w:t>Regional</w:t>
      </w:r>
      <w:r w:rsidRPr="003312FB">
        <w:rPr>
          <w:b/>
          <w:bCs/>
          <w:spacing w:val="-1"/>
        </w:rPr>
        <w:t xml:space="preserve"> </w:t>
      </w:r>
      <w:r w:rsidRPr="003312FB">
        <w:rPr>
          <w:b/>
          <w:bCs/>
        </w:rPr>
        <w:t>Pathways</w:t>
      </w:r>
      <w:r w:rsidRPr="003312FB">
        <w:rPr>
          <w:b/>
          <w:bCs/>
          <w:spacing w:val="-2"/>
        </w:rPr>
        <w:t xml:space="preserve"> Network</w:t>
      </w:r>
      <w:r w:rsidRPr="003312FB">
        <w:rPr>
          <w:b/>
          <w:bCs/>
          <w:spacing w:val="40"/>
        </w:rPr>
        <w:t xml:space="preserve"> </w:t>
      </w:r>
    </w:p>
    <w:p w14:paraId="03F0C188" w14:textId="77777777" w:rsidR="006420CB" w:rsidRPr="000F25DC" w:rsidRDefault="006420CB" w:rsidP="003312FB">
      <w:pPr>
        <w:pStyle w:val="BodyText"/>
      </w:pPr>
      <w:r w:rsidRPr="000F25DC">
        <w:t>The</w:t>
      </w:r>
      <w:r w:rsidRPr="000F25DC">
        <w:rPr>
          <w:spacing w:val="-6"/>
        </w:rPr>
        <w:t xml:space="preserve"> </w:t>
      </w:r>
      <w:hyperlink r:id="rId199">
        <w:r w:rsidRPr="000F25DC">
          <w:rPr>
            <w:color w:val="0562C1"/>
            <w:u w:val="single" w:color="0562C1"/>
          </w:rPr>
          <w:t>Texas</w:t>
        </w:r>
        <w:r w:rsidRPr="000F25DC">
          <w:rPr>
            <w:color w:val="0562C1"/>
            <w:spacing w:val="-7"/>
            <w:u w:val="single" w:color="0562C1"/>
          </w:rPr>
          <w:t xml:space="preserve"> </w:t>
        </w:r>
        <w:r w:rsidRPr="000F25DC">
          <w:rPr>
            <w:color w:val="0562C1"/>
            <w:u w:val="single" w:color="0562C1"/>
          </w:rPr>
          <w:t>Regional</w:t>
        </w:r>
        <w:r w:rsidRPr="000F25DC">
          <w:rPr>
            <w:color w:val="0562C1"/>
            <w:spacing w:val="-9"/>
            <w:u w:val="single" w:color="0562C1"/>
          </w:rPr>
          <w:t xml:space="preserve"> </w:t>
        </w:r>
        <w:r w:rsidRPr="000F25DC">
          <w:rPr>
            <w:color w:val="0562C1"/>
            <w:u w:val="single" w:color="0562C1"/>
          </w:rPr>
          <w:t>Pathways</w:t>
        </w:r>
        <w:r w:rsidRPr="000F25DC">
          <w:rPr>
            <w:color w:val="0562C1"/>
            <w:spacing w:val="-7"/>
            <w:u w:val="single" w:color="0562C1"/>
          </w:rPr>
          <w:t xml:space="preserve"> </w:t>
        </w:r>
        <w:r w:rsidRPr="000F25DC">
          <w:rPr>
            <w:color w:val="0562C1"/>
            <w:u w:val="single" w:color="0562C1"/>
          </w:rPr>
          <w:t>Network</w:t>
        </w:r>
      </w:hyperlink>
      <w:r w:rsidRPr="000F25DC">
        <w:rPr>
          <w:color w:val="0562C1"/>
          <w:spacing w:val="-8"/>
        </w:rPr>
        <w:t xml:space="preserve"> </w:t>
      </w:r>
      <w:r w:rsidRPr="000F25DC">
        <w:t>(TRPN)</w:t>
      </w:r>
      <w:r w:rsidRPr="000F25DC">
        <w:rPr>
          <w:spacing w:val="-7"/>
        </w:rPr>
        <w:t xml:space="preserve"> </w:t>
      </w:r>
      <w:r w:rsidRPr="000F25DC">
        <w:t>brings</w:t>
      </w:r>
      <w:r w:rsidRPr="000F25DC">
        <w:rPr>
          <w:spacing w:val="-7"/>
        </w:rPr>
        <w:t xml:space="preserve"> </w:t>
      </w:r>
      <w:r w:rsidRPr="000F25DC">
        <w:t>together</w:t>
      </w:r>
      <w:r w:rsidRPr="000F25DC">
        <w:rPr>
          <w:spacing w:val="-6"/>
        </w:rPr>
        <w:t xml:space="preserve"> </w:t>
      </w:r>
      <w:r w:rsidRPr="000F25DC">
        <w:t>state</w:t>
      </w:r>
      <w:r w:rsidRPr="000F25DC">
        <w:rPr>
          <w:spacing w:val="-6"/>
        </w:rPr>
        <w:t xml:space="preserve"> </w:t>
      </w:r>
      <w:r w:rsidRPr="000F25DC">
        <w:t>and</w:t>
      </w:r>
      <w:r w:rsidRPr="000F25DC">
        <w:rPr>
          <w:spacing w:val="-5"/>
        </w:rPr>
        <w:t xml:space="preserve"> </w:t>
      </w:r>
      <w:r w:rsidRPr="000F25DC">
        <w:t>regional</w:t>
      </w:r>
      <w:r w:rsidRPr="000F25DC">
        <w:rPr>
          <w:spacing w:val="-6"/>
        </w:rPr>
        <w:t xml:space="preserve"> </w:t>
      </w:r>
      <w:r w:rsidRPr="000F25DC">
        <w:t>leaders</w:t>
      </w:r>
      <w:r w:rsidRPr="000F25DC">
        <w:rPr>
          <w:spacing w:val="-9"/>
        </w:rPr>
        <w:t xml:space="preserve"> </w:t>
      </w:r>
      <w:r w:rsidRPr="000F25DC">
        <w:t>to</w:t>
      </w:r>
      <w:r w:rsidRPr="000F25DC">
        <w:rPr>
          <w:spacing w:val="-8"/>
        </w:rPr>
        <w:t xml:space="preserve"> </w:t>
      </w:r>
      <w:r w:rsidRPr="000F25DC">
        <w:t>build strong</w:t>
      </w:r>
      <w:r w:rsidRPr="000F25DC">
        <w:rPr>
          <w:spacing w:val="-14"/>
        </w:rPr>
        <w:t xml:space="preserve"> </w:t>
      </w:r>
      <w:r w:rsidRPr="000F25DC">
        <w:t>educational</w:t>
      </w:r>
      <w:r w:rsidRPr="000F25DC">
        <w:rPr>
          <w:spacing w:val="-14"/>
        </w:rPr>
        <w:t xml:space="preserve"> </w:t>
      </w:r>
      <w:r w:rsidRPr="000F25DC">
        <w:t>and</w:t>
      </w:r>
      <w:r w:rsidRPr="000F25DC">
        <w:rPr>
          <w:spacing w:val="-13"/>
        </w:rPr>
        <w:t xml:space="preserve"> </w:t>
      </w:r>
      <w:r w:rsidRPr="000F25DC">
        <w:t>career</w:t>
      </w:r>
      <w:r w:rsidRPr="000F25DC">
        <w:rPr>
          <w:spacing w:val="-14"/>
        </w:rPr>
        <w:t xml:space="preserve"> </w:t>
      </w:r>
      <w:r w:rsidRPr="000F25DC">
        <w:t>pathways</w:t>
      </w:r>
      <w:r w:rsidRPr="000F25DC">
        <w:rPr>
          <w:spacing w:val="-13"/>
        </w:rPr>
        <w:t xml:space="preserve"> </w:t>
      </w:r>
      <w:r w:rsidRPr="000F25DC">
        <w:t>that</w:t>
      </w:r>
      <w:r w:rsidRPr="000F25DC">
        <w:rPr>
          <w:spacing w:val="-14"/>
        </w:rPr>
        <w:t xml:space="preserve"> </w:t>
      </w:r>
      <w:r w:rsidRPr="000F25DC">
        <w:t>prepare</w:t>
      </w:r>
      <w:r w:rsidRPr="000F25DC">
        <w:rPr>
          <w:spacing w:val="-13"/>
        </w:rPr>
        <w:t xml:space="preserve"> </w:t>
      </w:r>
      <w:r w:rsidRPr="000F25DC">
        <w:t>Texans</w:t>
      </w:r>
      <w:r w:rsidRPr="000F25DC">
        <w:rPr>
          <w:spacing w:val="-14"/>
        </w:rPr>
        <w:t xml:space="preserve"> </w:t>
      </w:r>
      <w:r w:rsidRPr="000F25DC">
        <w:t>for</w:t>
      </w:r>
      <w:r w:rsidRPr="000F25DC">
        <w:rPr>
          <w:spacing w:val="-14"/>
        </w:rPr>
        <w:t xml:space="preserve"> </w:t>
      </w:r>
      <w:r w:rsidRPr="000F25DC">
        <w:t>careers</w:t>
      </w:r>
      <w:r w:rsidRPr="000F25DC">
        <w:rPr>
          <w:spacing w:val="-13"/>
        </w:rPr>
        <w:t xml:space="preserve"> </w:t>
      </w:r>
      <w:r w:rsidRPr="000F25DC">
        <w:t>in</w:t>
      </w:r>
      <w:r w:rsidRPr="000F25DC">
        <w:rPr>
          <w:spacing w:val="-14"/>
        </w:rPr>
        <w:t xml:space="preserve"> </w:t>
      </w:r>
      <w:r w:rsidRPr="000F25DC">
        <w:t>high-wage,</w:t>
      </w:r>
      <w:r w:rsidRPr="000F25DC">
        <w:rPr>
          <w:spacing w:val="-13"/>
        </w:rPr>
        <w:t xml:space="preserve"> </w:t>
      </w:r>
      <w:r w:rsidRPr="000F25DC">
        <w:t>in-demand industries. Leaders engaged in the TRPN represent multiple sectors, including K-12 education, postsecondary education, workforce and economic development, business and industry, government, and nonprofit and community-based organizations.</w:t>
      </w:r>
    </w:p>
    <w:p w14:paraId="463D2332" w14:textId="77777777" w:rsidR="006420CB" w:rsidRPr="000F25DC" w:rsidRDefault="006420CB" w:rsidP="003312FB">
      <w:pPr>
        <w:pStyle w:val="BodyText"/>
      </w:pPr>
      <w:r w:rsidRPr="000F25DC">
        <w:t xml:space="preserve">TRPN was launched in 2019 to support Governor Abbott’s Tri-Agency Workforce Initiative. With a vision that all Texans are prepared to contribute to a competitive Texas economy, the mission of the TRPN is to build regional talent pipelines that begin in high school </w:t>
      </w:r>
      <w:r>
        <w:t>career and technical education (</w:t>
      </w:r>
      <w:r w:rsidRPr="000F25DC">
        <w:t>CTE</w:t>
      </w:r>
      <w:r>
        <w:t>)</w:t>
      </w:r>
      <w:r w:rsidRPr="000F25DC">
        <w:t xml:space="preserve"> programs. These pathways are designed to support economic growth across the state and ensure that all Texans have the skills and credentials needed for economic advancement.</w:t>
      </w:r>
    </w:p>
    <w:p w14:paraId="327C161F" w14:textId="77777777" w:rsidR="006420CB" w:rsidRDefault="006420CB" w:rsidP="003312FB">
      <w:pPr>
        <w:pStyle w:val="BodyText"/>
      </w:pPr>
      <w:r w:rsidRPr="000F25DC">
        <w:t>The TRPN is a growing community of regions across the state working to develop, refine, and scale high-quality career and education pathways. Through the network, grantees share knowledge and best practices, make strategic connections, and build intentional partnerships across regions in service of their goals.</w:t>
      </w:r>
    </w:p>
    <w:p w14:paraId="33305D46" w14:textId="77777777" w:rsidR="006420CB" w:rsidRPr="003312FB" w:rsidRDefault="006420CB" w:rsidP="003312FB">
      <w:pPr>
        <w:pStyle w:val="BodyText"/>
        <w:rPr>
          <w:b/>
          <w:bCs/>
          <w:spacing w:val="40"/>
        </w:rPr>
      </w:pPr>
      <w:r w:rsidRPr="003312FB">
        <w:rPr>
          <w:b/>
          <w:bCs/>
        </w:rPr>
        <w:t>Texas</w:t>
      </w:r>
      <w:r w:rsidRPr="003312FB">
        <w:rPr>
          <w:b/>
          <w:bCs/>
          <w:spacing w:val="-2"/>
        </w:rPr>
        <w:t xml:space="preserve"> </w:t>
      </w:r>
      <w:r w:rsidRPr="003312FB">
        <w:rPr>
          <w:b/>
          <w:bCs/>
        </w:rPr>
        <w:t>Teacher</w:t>
      </w:r>
      <w:r w:rsidRPr="003312FB">
        <w:rPr>
          <w:b/>
          <w:bCs/>
          <w:spacing w:val="-2"/>
        </w:rPr>
        <w:t xml:space="preserve"> </w:t>
      </w:r>
      <w:r w:rsidRPr="003312FB">
        <w:rPr>
          <w:b/>
          <w:bCs/>
        </w:rPr>
        <w:t>Apprenticeship</w:t>
      </w:r>
      <w:r w:rsidRPr="003312FB">
        <w:rPr>
          <w:b/>
          <w:bCs/>
          <w:spacing w:val="-1"/>
        </w:rPr>
        <w:t xml:space="preserve"> </w:t>
      </w:r>
      <w:r w:rsidRPr="003312FB">
        <w:rPr>
          <w:b/>
          <w:bCs/>
          <w:spacing w:val="-2"/>
        </w:rPr>
        <w:t>Strategy</w:t>
      </w:r>
      <w:r w:rsidRPr="003312FB">
        <w:rPr>
          <w:b/>
          <w:bCs/>
          <w:spacing w:val="40"/>
        </w:rPr>
        <w:t xml:space="preserve"> </w:t>
      </w:r>
    </w:p>
    <w:p w14:paraId="617711E1" w14:textId="77777777" w:rsidR="006420CB" w:rsidRPr="002D042C" w:rsidRDefault="006420CB" w:rsidP="003312FB">
      <w:pPr>
        <w:pStyle w:val="BodyText"/>
      </w:pPr>
      <w:r w:rsidRPr="002D042C">
        <w:t>To promote a work-based learning model, Tri-Agency staff worked together and with stakeholders</w:t>
      </w:r>
      <w:r w:rsidRPr="002D042C">
        <w:rPr>
          <w:spacing w:val="-3"/>
        </w:rPr>
        <w:t xml:space="preserve"> </w:t>
      </w:r>
      <w:r w:rsidRPr="002D042C">
        <w:t>such</w:t>
      </w:r>
      <w:r w:rsidRPr="002D042C">
        <w:rPr>
          <w:spacing w:val="-1"/>
        </w:rPr>
        <w:t xml:space="preserve"> </w:t>
      </w:r>
      <w:r w:rsidRPr="002D042C">
        <w:t>as</w:t>
      </w:r>
      <w:r w:rsidRPr="002D042C">
        <w:rPr>
          <w:spacing w:val="-3"/>
        </w:rPr>
        <w:t xml:space="preserve"> </w:t>
      </w:r>
      <w:r w:rsidRPr="002D042C">
        <w:t>school</w:t>
      </w:r>
      <w:r w:rsidRPr="002D042C">
        <w:rPr>
          <w:spacing w:val="-2"/>
        </w:rPr>
        <w:t xml:space="preserve"> </w:t>
      </w:r>
      <w:r w:rsidRPr="002D042C">
        <w:t>district</w:t>
      </w:r>
      <w:r>
        <w:t>s</w:t>
      </w:r>
      <w:r w:rsidRPr="002D042C">
        <w:t>,</w:t>
      </w:r>
      <w:r w:rsidRPr="002D042C">
        <w:rPr>
          <w:spacing w:val="-2"/>
        </w:rPr>
        <w:t xml:space="preserve"> </w:t>
      </w:r>
      <w:r w:rsidRPr="002D042C">
        <w:t>Board</w:t>
      </w:r>
      <w:r>
        <w:t>s</w:t>
      </w:r>
      <w:r w:rsidRPr="002D042C">
        <w:t>,</w:t>
      </w:r>
      <w:r w:rsidRPr="002D042C">
        <w:rPr>
          <w:spacing w:val="-2"/>
        </w:rPr>
        <w:t xml:space="preserve"> </w:t>
      </w:r>
      <w:r w:rsidRPr="002D042C">
        <w:t>and</w:t>
      </w:r>
      <w:r w:rsidRPr="002D042C">
        <w:rPr>
          <w:spacing w:val="-1"/>
        </w:rPr>
        <w:t xml:space="preserve"> </w:t>
      </w:r>
      <w:r w:rsidRPr="002D042C">
        <w:t>non-profit</w:t>
      </w:r>
      <w:r w:rsidRPr="002D042C">
        <w:rPr>
          <w:spacing w:val="-1"/>
        </w:rPr>
        <w:t xml:space="preserve"> </w:t>
      </w:r>
      <w:r w:rsidRPr="002D042C">
        <w:t>representatives</w:t>
      </w:r>
      <w:r w:rsidRPr="002D042C">
        <w:rPr>
          <w:spacing w:val="-5"/>
        </w:rPr>
        <w:t xml:space="preserve"> </w:t>
      </w:r>
      <w:r w:rsidRPr="002D042C">
        <w:t>to</w:t>
      </w:r>
      <w:r w:rsidRPr="002D042C">
        <w:rPr>
          <w:spacing w:val="-2"/>
        </w:rPr>
        <w:t xml:space="preserve"> </w:t>
      </w:r>
      <w:r w:rsidRPr="002D042C">
        <w:t>develop</w:t>
      </w:r>
      <w:r w:rsidRPr="002D042C">
        <w:rPr>
          <w:spacing w:val="-1"/>
        </w:rPr>
        <w:t xml:space="preserve"> </w:t>
      </w:r>
      <w:r w:rsidRPr="002D042C">
        <w:t>a</w:t>
      </w:r>
      <w:r w:rsidRPr="002D042C">
        <w:rPr>
          <w:spacing w:val="-2"/>
        </w:rPr>
        <w:t xml:space="preserve"> </w:t>
      </w:r>
      <w:r w:rsidRPr="002D042C">
        <w:lastRenderedPageBreak/>
        <w:t>strategy for</w:t>
      </w:r>
      <w:r w:rsidRPr="002D042C">
        <w:rPr>
          <w:spacing w:val="-5"/>
        </w:rPr>
        <w:t xml:space="preserve"> </w:t>
      </w:r>
      <w:r w:rsidRPr="002D042C">
        <w:t>K-12</w:t>
      </w:r>
      <w:r w:rsidRPr="002D042C">
        <w:rPr>
          <w:spacing w:val="-4"/>
        </w:rPr>
        <w:t xml:space="preserve"> </w:t>
      </w:r>
      <w:r w:rsidRPr="002D042C">
        <w:t>teacher</w:t>
      </w:r>
      <w:r w:rsidRPr="002D042C">
        <w:rPr>
          <w:spacing w:val="-2"/>
        </w:rPr>
        <w:t xml:space="preserve"> </w:t>
      </w:r>
      <w:r w:rsidRPr="002D042C">
        <w:t>apprenticeships.</w:t>
      </w:r>
      <w:r w:rsidRPr="002D042C">
        <w:rPr>
          <w:spacing w:val="-3"/>
        </w:rPr>
        <w:t xml:space="preserve"> </w:t>
      </w:r>
      <w:r w:rsidRPr="002D042C">
        <w:t>These</w:t>
      </w:r>
      <w:r w:rsidRPr="002D042C">
        <w:rPr>
          <w:spacing w:val="-4"/>
        </w:rPr>
        <w:t xml:space="preserve"> </w:t>
      </w:r>
      <w:r w:rsidRPr="002D042C">
        <w:t>apprenticeships</w:t>
      </w:r>
      <w:r w:rsidRPr="002D042C">
        <w:rPr>
          <w:spacing w:val="-5"/>
        </w:rPr>
        <w:t xml:space="preserve"> </w:t>
      </w:r>
      <w:r w:rsidRPr="002D042C">
        <w:t>are</w:t>
      </w:r>
      <w:r w:rsidRPr="002D042C">
        <w:rPr>
          <w:spacing w:val="-4"/>
        </w:rPr>
        <w:t xml:space="preserve"> </w:t>
      </w:r>
      <w:r w:rsidRPr="002D042C">
        <w:t>designed</w:t>
      </w:r>
      <w:r w:rsidRPr="002D042C">
        <w:rPr>
          <w:spacing w:val="-6"/>
        </w:rPr>
        <w:t xml:space="preserve"> </w:t>
      </w:r>
      <w:r w:rsidRPr="002D042C">
        <w:t>to</w:t>
      </w:r>
      <w:r w:rsidRPr="002D042C">
        <w:rPr>
          <w:spacing w:val="-2"/>
        </w:rPr>
        <w:t xml:space="preserve"> </w:t>
      </w:r>
      <w:r w:rsidRPr="002D042C">
        <w:t>continue</w:t>
      </w:r>
      <w:r w:rsidRPr="002D042C">
        <w:rPr>
          <w:spacing w:val="-7"/>
        </w:rPr>
        <w:t xml:space="preserve"> </w:t>
      </w:r>
      <w:r w:rsidRPr="002D042C">
        <w:t>the</w:t>
      </w:r>
      <w:r w:rsidRPr="002D042C">
        <w:rPr>
          <w:spacing w:val="-4"/>
        </w:rPr>
        <w:t xml:space="preserve"> </w:t>
      </w:r>
      <w:r w:rsidRPr="002D042C">
        <w:t>education and training of existing employees</w:t>
      </w:r>
      <w:r>
        <w:t>,</w:t>
      </w:r>
      <w:r w:rsidRPr="002D042C">
        <w:t xml:space="preserve"> such as paraprofessionals</w:t>
      </w:r>
      <w:r>
        <w:t>,</w:t>
      </w:r>
      <w:r w:rsidRPr="002D042C">
        <w:t xml:space="preserve"> and provide valuable support to high school students aspiring to become highly skilled teachers.</w:t>
      </w:r>
    </w:p>
    <w:p w14:paraId="2FF5E192" w14:textId="77777777" w:rsidR="006420CB" w:rsidRDefault="006420CB" w:rsidP="003312FB">
      <w:pPr>
        <w:pStyle w:val="BodyText"/>
      </w:pPr>
      <w:r w:rsidRPr="000F25DC">
        <w:t>Apprenticeship programs integrate essential on-the-job training with educator preparation coursework, ensuring apprentices gain practical experience alongside academic learning. Each apprentice</w:t>
      </w:r>
      <w:r w:rsidRPr="000F25DC">
        <w:rPr>
          <w:spacing w:val="-3"/>
        </w:rPr>
        <w:t xml:space="preserve"> </w:t>
      </w:r>
      <w:r w:rsidRPr="000F25DC">
        <w:t>works under</w:t>
      </w:r>
      <w:r w:rsidRPr="000F25DC">
        <w:rPr>
          <w:spacing w:val="-1"/>
        </w:rPr>
        <w:t xml:space="preserve"> </w:t>
      </w:r>
      <w:r w:rsidRPr="000F25DC">
        <w:t>the</w:t>
      </w:r>
      <w:r w:rsidRPr="000F25DC">
        <w:rPr>
          <w:spacing w:val="-1"/>
        </w:rPr>
        <w:t xml:space="preserve"> </w:t>
      </w:r>
      <w:r w:rsidRPr="000F25DC">
        <w:t>guidance</w:t>
      </w:r>
      <w:r w:rsidRPr="000F25DC">
        <w:rPr>
          <w:spacing w:val="-1"/>
        </w:rPr>
        <w:t xml:space="preserve"> </w:t>
      </w:r>
      <w:r w:rsidRPr="000F25DC">
        <w:t>of a</w:t>
      </w:r>
      <w:r w:rsidRPr="000F25DC">
        <w:rPr>
          <w:spacing w:val="-1"/>
        </w:rPr>
        <w:t xml:space="preserve"> </w:t>
      </w:r>
      <w:r w:rsidRPr="000F25DC">
        <w:t>dedicated mentor,</w:t>
      </w:r>
      <w:r w:rsidRPr="000F25DC">
        <w:rPr>
          <w:spacing w:val="-1"/>
        </w:rPr>
        <w:t xml:space="preserve"> </w:t>
      </w:r>
      <w:r w:rsidRPr="000F25DC">
        <w:t>following</w:t>
      </w:r>
      <w:r w:rsidRPr="000F25DC">
        <w:rPr>
          <w:spacing w:val="-2"/>
        </w:rPr>
        <w:t xml:space="preserve"> </w:t>
      </w:r>
      <w:r w:rsidRPr="000F25DC">
        <w:t>a</w:t>
      </w:r>
      <w:r w:rsidRPr="000F25DC">
        <w:rPr>
          <w:spacing w:val="-1"/>
        </w:rPr>
        <w:t xml:space="preserve"> </w:t>
      </w:r>
      <w:r w:rsidRPr="000F25DC">
        <w:t>framework</w:t>
      </w:r>
      <w:r w:rsidRPr="000F25DC">
        <w:rPr>
          <w:spacing w:val="-3"/>
        </w:rPr>
        <w:t xml:space="preserve"> </w:t>
      </w:r>
      <w:r w:rsidRPr="000F25DC">
        <w:t xml:space="preserve">of strategic teacher competencies to foster professional growth. Throughout the process, apprentices </w:t>
      </w:r>
      <w:r w:rsidRPr="000F25DC">
        <w:rPr>
          <w:spacing w:val="-2"/>
        </w:rPr>
        <w:t>receive compensation and benefits</w:t>
      </w:r>
      <w:r w:rsidRPr="000F25DC">
        <w:rPr>
          <w:spacing w:val="-3"/>
        </w:rPr>
        <w:t xml:space="preserve"> </w:t>
      </w:r>
      <w:r w:rsidRPr="000F25DC">
        <w:rPr>
          <w:spacing w:val="-2"/>
        </w:rPr>
        <w:t>following</w:t>
      </w:r>
      <w:r w:rsidRPr="000F25DC">
        <w:rPr>
          <w:spacing w:val="-3"/>
        </w:rPr>
        <w:t xml:space="preserve"> </w:t>
      </w:r>
      <w:r w:rsidRPr="000F25DC">
        <w:rPr>
          <w:spacing w:val="-2"/>
        </w:rPr>
        <w:t>a</w:t>
      </w:r>
      <w:r w:rsidRPr="000F25DC">
        <w:rPr>
          <w:spacing w:val="-3"/>
        </w:rPr>
        <w:t xml:space="preserve"> </w:t>
      </w:r>
      <w:r w:rsidRPr="000F25DC">
        <w:rPr>
          <w:spacing w:val="-2"/>
        </w:rPr>
        <w:t>progressive wage scale that supports</w:t>
      </w:r>
      <w:r w:rsidRPr="000F25DC">
        <w:rPr>
          <w:spacing w:val="-7"/>
        </w:rPr>
        <w:t xml:space="preserve"> </w:t>
      </w:r>
      <w:r w:rsidRPr="000F25DC">
        <w:rPr>
          <w:spacing w:val="-2"/>
        </w:rPr>
        <w:t>their</w:t>
      </w:r>
      <w:r w:rsidRPr="000F25DC">
        <w:rPr>
          <w:spacing w:val="-3"/>
        </w:rPr>
        <w:t xml:space="preserve"> </w:t>
      </w:r>
      <w:r w:rsidRPr="000F25DC">
        <w:rPr>
          <w:spacing w:val="-2"/>
        </w:rPr>
        <w:t xml:space="preserve">journey </w:t>
      </w:r>
      <w:r w:rsidRPr="000F25DC">
        <w:t>toward becoming fully credentialed, effective educators.</w:t>
      </w:r>
    </w:p>
    <w:p w14:paraId="06DB690C" w14:textId="77777777" w:rsidR="006420CB" w:rsidRPr="003312FB" w:rsidRDefault="006420CB" w:rsidP="003312FB">
      <w:pPr>
        <w:pStyle w:val="BodyText"/>
        <w:rPr>
          <w:b/>
          <w:bCs/>
        </w:rPr>
      </w:pPr>
      <w:r w:rsidRPr="003312FB">
        <w:rPr>
          <w:b/>
          <w:bCs/>
        </w:rPr>
        <w:t>Other Projects</w:t>
      </w:r>
    </w:p>
    <w:p w14:paraId="2A599E05" w14:textId="77777777" w:rsidR="006420CB" w:rsidRPr="00CE673B" w:rsidRDefault="006420CB" w:rsidP="003312FB">
      <w:pPr>
        <w:pStyle w:val="BodyText"/>
        <w:rPr>
          <w:b/>
          <w:bCs/>
        </w:rPr>
      </w:pPr>
      <w:r w:rsidRPr="000F25DC">
        <w:t xml:space="preserve">In response to </w:t>
      </w:r>
      <w:r>
        <w:t xml:space="preserve">Texas </w:t>
      </w:r>
      <w:r w:rsidRPr="000F25DC">
        <w:t>Education Code</w:t>
      </w:r>
      <w:r>
        <w:t xml:space="preserve">, Section </w:t>
      </w:r>
      <w:r w:rsidRPr="000F25DC">
        <w:t>7.012, the Tri-Agency partners developed and posted a model data-sharing agreement for use by public schools, public and private institutions of higher education, and state and local workforce entities when sharing data protected under the Family Educational Rights and Privacy Act of 1974 among themselves as well as with other entities authorized to receive these data</w:t>
      </w:r>
      <w:r>
        <w:t>.</w:t>
      </w:r>
    </w:p>
    <w:p w14:paraId="3B8B52D9" w14:textId="77777777" w:rsidR="006420CB" w:rsidRDefault="006420CB" w:rsidP="003312FB">
      <w:pPr>
        <w:pStyle w:val="BodyText"/>
      </w:pPr>
      <w:r w:rsidRPr="000F25DC">
        <w:t xml:space="preserve">In response to </w:t>
      </w:r>
      <w:r>
        <w:t xml:space="preserve">Texas </w:t>
      </w:r>
      <w:r w:rsidRPr="000F25DC">
        <w:t>Labor Code</w:t>
      </w:r>
      <w:r>
        <w:t>,</w:t>
      </w:r>
      <w:r w:rsidRPr="000F25DC">
        <w:t xml:space="preserve"> Chapter 318, the Tri-Agency Workforce Initiative developed the </w:t>
      </w:r>
      <w:hyperlink r:id="rId200" w:history="1">
        <w:r w:rsidRPr="008B6AB1">
          <w:rPr>
            <w:rStyle w:val="Hyperlink"/>
            <w:rFonts w:asciiTheme="minorHAnsi" w:hAnsiTheme="minorHAnsi" w:cstheme="minorHAnsi"/>
          </w:rPr>
          <w:t>Tri-Agency Framework for Work-Based Learning</w:t>
        </w:r>
      </w:hyperlink>
      <w:r w:rsidRPr="000F25DC">
        <w:t xml:space="preserve">, which establishes a comprehensive, functional definition of “work-based learning,” organizes </w:t>
      </w:r>
      <w:r>
        <w:t>work-based learning</w:t>
      </w:r>
      <w:r w:rsidRPr="000F25DC">
        <w:t xml:space="preserve"> programs by type (such as apprenticeships, internships</w:t>
      </w:r>
      <w:r w:rsidRPr="000F25DC">
        <w:rPr>
          <w:spacing w:val="-2"/>
        </w:rPr>
        <w:t xml:space="preserve">, and service-learning experiences), and provides guidance on </w:t>
      </w:r>
      <w:r w:rsidRPr="000F25DC">
        <w:t xml:space="preserve">implementing high-quality </w:t>
      </w:r>
      <w:r>
        <w:t>work-based learning.</w:t>
      </w:r>
    </w:p>
    <w:p w14:paraId="7F696CD4" w14:textId="77777777" w:rsidR="006420CB" w:rsidRPr="000F25DC" w:rsidRDefault="006420CB" w:rsidP="003312FB">
      <w:pPr>
        <w:pStyle w:val="BodyText"/>
        <w:rPr>
          <w:rFonts w:asciiTheme="minorHAnsi" w:hAnsiTheme="minorHAnsi" w:cstheme="minorHAnsi"/>
        </w:rPr>
      </w:pPr>
      <w:r w:rsidRPr="003312FB">
        <w:rPr>
          <w:rStyle w:val="BodyTextChar"/>
        </w:rPr>
        <w:t xml:space="preserve">In response to Rider 51 of the General Appropriations Act, 88th Texas Legislature, Regular Session (2023), TWC staff gathered information about cross-agency coordination on apprenticeship and other work-based learning funding and worked with TEA and THECB to identify available funding sources for future apprenticeship and other work-based learning programs, </w:t>
      </w:r>
      <w:hyperlink r:id="rId201" w:history="1">
        <w:r w:rsidRPr="003312FB">
          <w:rPr>
            <w:rStyle w:val="BodyTextChar"/>
          </w:rPr>
          <w:t>Cross Agency Coordination on Apprenticeship and Work-Based Learning Funding, General Appropriations Act, Article VII, TWC, Rider 51</w:t>
        </w:r>
      </w:hyperlink>
      <w:r>
        <w:t>.</w:t>
      </w:r>
    </w:p>
    <w:p w14:paraId="0A80EEA4" w14:textId="0AB614E2" w:rsidR="006420CB" w:rsidRPr="002069B4" w:rsidRDefault="006420CB" w:rsidP="003312FB">
      <w:pPr>
        <w:pStyle w:val="BodyText3"/>
        <w:ind w:left="720" w:hanging="720"/>
      </w:pPr>
      <w:r>
        <w:t>G.</w:t>
      </w:r>
      <w:r w:rsidR="003312FB">
        <w:tab/>
      </w:r>
      <w:r w:rsidRPr="002069B4">
        <w:t>If key to understanding the division or program, identify funding sources and amounts, including federal grants and pass-through monies. Describe any funding formulas or funding conventions. Please</w:t>
      </w:r>
      <w:r w:rsidRPr="002069B4">
        <w:rPr>
          <w:spacing w:val="-1"/>
        </w:rPr>
        <w:t xml:space="preserve"> </w:t>
      </w:r>
      <w:r w:rsidRPr="002069B4">
        <w:t>specify</w:t>
      </w:r>
      <w:r w:rsidRPr="002069B4">
        <w:rPr>
          <w:spacing w:val="-1"/>
        </w:rPr>
        <w:t xml:space="preserve"> </w:t>
      </w:r>
      <w:r w:rsidRPr="002069B4">
        <w:t>state</w:t>
      </w:r>
      <w:r w:rsidRPr="002069B4">
        <w:rPr>
          <w:spacing w:val="-1"/>
        </w:rPr>
        <w:t xml:space="preserve"> </w:t>
      </w:r>
      <w:r w:rsidRPr="002069B4">
        <w:t>funding</w:t>
      </w:r>
      <w:r w:rsidRPr="002069B4">
        <w:rPr>
          <w:spacing w:val="-1"/>
        </w:rPr>
        <w:t xml:space="preserve"> </w:t>
      </w:r>
      <w:r w:rsidRPr="002069B4">
        <w:t>sources (e.g., general revenue, appropriations</w:t>
      </w:r>
      <w:r w:rsidRPr="002069B4">
        <w:rPr>
          <w:spacing w:val="-2"/>
        </w:rPr>
        <w:t xml:space="preserve"> </w:t>
      </w:r>
      <w:r w:rsidRPr="002069B4">
        <w:t>rider, budget</w:t>
      </w:r>
      <w:r w:rsidRPr="002069B4">
        <w:rPr>
          <w:spacing w:val="-5"/>
        </w:rPr>
        <w:t xml:space="preserve"> </w:t>
      </w:r>
      <w:r w:rsidRPr="002069B4">
        <w:t>strategy,</w:t>
      </w:r>
      <w:r w:rsidRPr="002069B4">
        <w:rPr>
          <w:spacing w:val="-5"/>
        </w:rPr>
        <w:t xml:space="preserve"> </w:t>
      </w:r>
      <w:r w:rsidRPr="002069B4">
        <w:t>and</w:t>
      </w:r>
      <w:r w:rsidRPr="002069B4">
        <w:rPr>
          <w:spacing w:val="-5"/>
        </w:rPr>
        <w:t xml:space="preserve"> </w:t>
      </w:r>
      <w:r w:rsidRPr="002069B4">
        <w:t>fees/dues).</w:t>
      </w:r>
      <w:r w:rsidRPr="002069B4">
        <w:rPr>
          <w:spacing w:val="-5"/>
        </w:rPr>
        <w:t xml:space="preserve"> </w:t>
      </w:r>
      <w:r w:rsidRPr="002069B4">
        <w:rPr>
          <w:i/>
        </w:rPr>
        <w:t>(If</w:t>
      </w:r>
      <w:r w:rsidRPr="002069B4">
        <w:rPr>
          <w:i/>
          <w:spacing w:val="-6"/>
        </w:rPr>
        <w:t xml:space="preserve"> </w:t>
      </w:r>
      <w:r w:rsidRPr="002069B4">
        <w:rPr>
          <w:i/>
        </w:rPr>
        <w:t>you</w:t>
      </w:r>
      <w:r w:rsidRPr="002069B4">
        <w:rPr>
          <w:i/>
          <w:spacing w:val="-6"/>
        </w:rPr>
        <w:t xml:space="preserve"> </w:t>
      </w:r>
      <w:r w:rsidRPr="002069B4">
        <w:rPr>
          <w:i/>
        </w:rPr>
        <w:t>have</w:t>
      </w:r>
      <w:r w:rsidRPr="002069B4">
        <w:rPr>
          <w:i/>
          <w:spacing w:val="-5"/>
        </w:rPr>
        <w:t xml:space="preserve"> </w:t>
      </w:r>
      <w:r w:rsidRPr="002069B4">
        <w:rPr>
          <w:i/>
        </w:rPr>
        <w:t>already</w:t>
      </w:r>
      <w:r w:rsidRPr="002069B4">
        <w:rPr>
          <w:i/>
          <w:spacing w:val="-5"/>
        </w:rPr>
        <w:t xml:space="preserve"> </w:t>
      </w:r>
      <w:r w:rsidRPr="002069B4">
        <w:rPr>
          <w:i/>
        </w:rPr>
        <w:t>submitted</w:t>
      </w:r>
      <w:r w:rsidRPr="002069B4">
        <w:rPr>
          <w:i/>
          <w:spacing w:val="-6"/>
        </w:rPr>
        <w:t xml:space="preserve"> </w:t>
      </w:r>
      <w:r w:rsidRPr="002069B4">
        <w:rPr>
          <w:i/>
        </w:rPr>
        <w:t>funding</w:t>
      </w:r>
      <w:r w:rsidRPr="002069B4">
        <w:rPr>
          <w:i/>
          <w:spacing w:val="-6"/>
        </w:rPr>
        <w:t xml:space="preserve"> </w:t>
      </w:r>
      <w:r w:rsidRPr="002069B4">
        <w:rPr>
          <w:i/>
        </w:rPr>
        <w:t>source</w:t>
      </w:r>
      <w:r w:rsidRPr="002069B4">
        <w:rPr>
          <w:i/>
          <w:spacing w:val="-5"/>
        </w:rPr>
        <w:t xml:space="preserve"> </w:t>
      </w:r>
      <w:r w:rsidRPr="002069B4">
        <w:rPr>
          <w:i/>
        </w:rPr>
        <w:t>info</w:t>
      </w:r>
      <w:r w:rsidRPr="002069B4">
        <w:rPr>
          <w:i/>
          <w:spacing w:val="-6"/>
        </w:rPr>
        <w:t xml:space="preserve"> </w:t>
      </w:r>
      <w:r w:rsidRPr="002069B4">
        <w:rPr>
          <w:i/>
        </w:rPr>
        <w:t>through</w:t>
      </w:r>
      <w:r w:rsidRPr="002069B4">
        <w:rPr>
          <w:i/>
          <w:spacing w:val="-6"/>
        </w:rPr>
        <w:t xml:space="preserve"> </w:t>
      </w:r>
      <w:r w:rsidRPr="002069B4">
        <w:rPr>
          <w:i/>
        </w:rPr>
        <w:t>the “Agency Program Information” spreadsheet, please limit your response to funding formulas or funding conventions.)</w:t>
      </w:r>
    </w:p>
    <w:p w14:paraId="7B67FBD1" w14:textId="2C5C7B86" w:rsidR="00395108" w:rsidRPr="00EC2215" w:rsidRDefault="00395108" w:rsidP="00395108">
      <w:pPr>
        <w:pStyle w:val="BodyText"/>
      </w:pPr>
      <w:r w:rsidRPr="00EC2215">
        <w:t>TWC strategically allocates funding from federal program funding streams, including WIOA, DOLETA, and TANF, to support the activities of the Tri-Agency Initiative.</w:t>
      </w:r>
    </w:p>
    <w:p w14:paraId="7F9924D3" w14:textId="3CF93749" w:rsidR="006420CB" w:rsidRPr="000F25DC" w:rsidRDefault="006420CB" w:rsidP="003312FB">
      <w:pPr>
        <w:pStyle w:val="BodyText3"/>
        <w:ind w:left="720" w:hanging="720"/>
      </w:pPr>
      <w:r>
        <w:t>H.</w:t>
      </w:r>
      <w:r w:rsidR="003312FB">
        <w:tab/>
      </w:r>
      <w:r w:rsidRPr="000F25DC">
        <w:t xml:space="preserve">Briefly discuss any memoranda of understanding (MOU), interagency agreements, or interagency contracts the agency uses to coordinate its </w:t>
      </w:r>
      <w:r w:rsidRPr="000F25DC">
        <w:lastRenderedPageBreak/>
        <w:t xml:space="preserve">activities and avoid duplication or conflict with other entities that provide similar or identical services or functions to the target </w:t>
      </w:r>
      <w:r w:rsidRPr="000F25DC">
        <w:rPr>
          <w:spacing w:val="-2"/>
        </w:rPr>
        <w:t>population.</w:t>
      </w:r>
    </w:p>
    <w:p w14:paraId="3126B94D" w14:textId="77777777" w:rsidR="006420CB" w:rsidRPr="000F25DC" w:rsidRDefault="006420CB" w:rsidP="003312FB">
      <w:pPr>
        <w:pStyle w:val="BodyText"/>
      </w:pPr>
      <w:r w:rsidRPr="000F25DC">
        <w:t xml:space="preserve">The Tri-Agency Workforce Initiative brings three state agencies together to meet statewide education and workforce goals. Projects are coordinated across the three agencies and are not launched until the three Tri-Agency Commissioners have reviewed and approved. Projects are guided by the priorities and strategies developed in response to the governor’s charges and HB </w:t>
      </w:r>
      <w:r w:rsidRPr="000F25DC">
        <w:rPr>
          <w:spacing w:val="-2"/>
        </w:rPr>
        <w:t>3767.</w:t>
      </w:r>
    </w:p>
    <w:p w14:paraId="359F822F" w14:textId="77777777" w:rsidR="006420CB" w:rsidRPr="000F25DC" w:rsidRDefault="006420CB" w:rsidP="003312FB">
      <w:pPr>
        <w:pStyle w:val="BodyText"/>
      </w:pPr>
      <w:r w:rsidRPr="000F25DC">
        <w:t>Other initiatives are sometimes mislabeled as “Tri-Agency.” For example, if the public sees that TEA</w:t>
      </w:r>
      <w:r w:rsidRPr="000F25DC">
        <w:rPr>
          <w:spacing w:val="-4"/>
        </w:rPr>
        <w:t xml:space="preserve"> </w:t>
      </w:r>
      <w:r w:rsidRPr="000F25DC">
        <w:t>and</w:t>
      </w:r>
      <w:r w:rsidRPr="000F25DC">
        <w:rPr>
          <w:spacing w:val="-5"/>
        </w:rPr>
        <w:t xml:space="preserve"> </w:t>
      </w:r>
      <w:r w:rsidRPr="000F25DC">
        <w:t>THECB</w:t>
      </w:r>
      <w:r w:rsidRPr="000F25DC">
        <w:rPr>
          <w:spacing w:val="-5"/>
        </w:rPr>
        <w:t xml:space="preserve"> </w:t>
      </w:r>
      <w:r w:rsidRPr="000F25DC">
        <w:t>are</w:t>
      </w:r>
      <w:r w:rsidRPr="000F25DC">
        <w:rPr>
          <w:spacing w:val="-6"/>
        </w:rPr>
        <w:t xml:space="preserve"> </w:t>
      </w:r>
      <w:r w:rsidRPr="000F25DC">
        <w:t>working</w:t>
      </w:r>
      <w:r w:rsidRPr="000F25DC">
        <w:rPr>
          <w:spacing w:val="-7"/>
        </w:rPr>
        <w:t xml:space="preserve"> </w:t>
      </w:r>
      <w:r w:rsidRPr="000F25DC">
        <w:t>together</w:t>
      </w:r>
      <w:r w:rsidRPr="000F25DC">
        <w:rPr>
          <w:spacing w:val="-6"/>
        </w:rPr>
        <w:t xml:space="preserve"> </w:t>
      </w:r>
      <w:r w:rsidRPr="000F25DC">
        <w:t>on</w:t>
      </w:r>
      <w:r w:rsidRPr="000F25DC">
        <w:rPr>
          <w:spacing w:val="-5"/>
        </w:rPr>
        <w:t xml:space="preserve"> </w:t>
      </w:r>
      <w:r w:rsidRPr="000F25DC">
        <w:t>dual</w:t>
      </w:r>
      <w:r w:rsidRPr="000F25DC">
        <w:rPr>
          <w:spacing w:val="-6"/>
        </w:rPr>
        <w:t xml:space="preserve"> </w:t>
      </w:r>
      <w:r w:rsidRPr="000F25DC">
        <w:t>credit</w:t>
      </w:r>
      <w:r w:rsidRPr="000F25DC">
        <w:rPr>
          <w:spacing w:val="-5"/>
        </w:rPr>
        <w:t xml:space="preserve"> </w:t>
      </w:r>
      <w:r w:rsidRPr="000F25DC">
        <w:t>program,</w:t>
      </w:r>
      <w:r w:rsidRPr="000F25DC">
        <w:rPr>
          <w:spacing w:val="-6"/>
        </w:rPr>
        <w:t xml:space="preserve"> </w:t>
      </w:r>
      <w:r w:rsidRPr="000F25DC">
        <w:t>it</w:t>
      </w:r>
      <w:r w:rsidRPr="000F25DC">
        <w:rPr>
          <w:spacing w:val="-5"/>
        </w:rPr>
        <w:t xml:space="preserve"> </w:t>
      </w:r>
      <w:r w:rsidRPr="000F25DC">
        <w:t>is</w:t>
      </w:r>
      <w:r w:rsidRPr="000F25DC">
        <w:rPr>
          <w:spacing w:val="-7"/>
        </w:rPr>
        <w:t xml:space="preserve"> </w:t>
      </w:r>
      <w:r w:rsidRPr="000F25DC">
        <w:t>assumed</w:t>
      </w:r>
      <w:r w:rsidRPr="000F25DC">
        <w:rPr>
          <w:spacing w:val="-5"/>
        </w:rPr>
        <w:t xml:space="preserve"> </w:t>
      </w:r>
      <w:r w:rsidRPr="000F25DC">
        <w:t>that</w:t>
      </w:r>
      <w:r w:rsidRPr="000F25DC">
        <w:rPr>
          <w:spacing w:val="-5"/>
        </w:rPr>
        <w:t xml:space="preserve"> </w:t>
      </w:r>
      <w:r w:rsidRPr="000F25DC">
        <w:t>the</w:t>
      </w:r>
      <w:r w:rsidRPr="000F25DC">
        <w:rPr>
          <w:spacing w:val="-8"/>
        </w:rPr>
        <w:t xml:space="preserve"> </w:t>
      </w:r>
      <w:r w:rsidRPr="000F25DC">
        <w:t>work</w:t>
      </w:r>
      <w:r w:rsidRPr="000F25DC">
        <w:rPr>
          <w:spacing w:val="-5"/>
        </w:rPr>
        <w:t xml:space="preserve"> </w:t>
      </w:r>
      <w:r w:rsidRPr="000F25DC">
        <w:t>is</w:t>
      </w:r>
      <w:r w:rsidRPr="000F25DC">
        <w:rPr>
          <w:spacing w:val="-7"/>
        </w:rPr>
        <w:t xml:space="preserve"> </w:t>
      </w:r>
      <w:r w:rsidRPr="000F25DC">
        <w:t>a</w:t>
      </w:r>
      <w:r w:rsidRPr="000F25DC">
        <w:rPr>
          <w:spacing w:val="-6"/>
        </w:rPr>
        <w:t xml:space="preserve"> </w:t>
      </w:r>
      <w:r w:rsidRPr="000F25DC">
        <w:t>Tri- Agency initiative. That assumption, however, is not correct. The three agencies typically work together</w:t>
      </w:r>
      <w:r w:rsidRPr="000F25DC">
        <w:rPr>
          <w:spacing w:val="-6"/>
        </w:rPr>
        <w:t xml:space="preserve"> </w:t>
      </w:r>
      <w:r w:rsidRPr="000F25DC">
        <w:t>on</w:t>
      </w:r>
      <w:r w:rsidRPr="000F25DC">
        <w:rPr>
          <w:spacing w:val="-3"/>
        </w:rPr>
        <w:t xml:space="preserve"> </w:t>
      </w:r>
      <w:r w:rsidRPr="000F25DC">
        <w:t>many</w:t>
      </w:r>
      <w:r w:rsidRPr="000F25DC">
        <w:rPr>
          <w:spacing w:val="-7"/>
        </w:rPr>
        <w:t xml:space="preserve"> </w:t>
      </w:r>
      <w:r w:rsidRPr="000F25DC">
        <w:t>projects</w:t>
      </w:r>
      <w:r w:rsidRPr="000F25DC">
        <w:rPr>
          <w:spacing w:val="-4"/>
        </w:rPr>
        <w:t xml:space="preserve"> </w:t>
      </w:r>
      <w:r w:rsidRPr="000F25DC">
        <w:t>and</w:t>
      </w:r>
      <w:r w:rsidRPr="000F25DC">
        <w:rPr>
          <w:spacing w:val="-5"/>
        </w:rPr>
        <w:t xml:space="preserve"> </w:t>
      </w:r>
      <w:r w:rsidRPr="000F25DC">
        <w:t>will</w:t>
      </w:r>
      <w:r w:rsidRPr="000F25DC">
        <w:rPr>
          <w:spacing w:val="-6"/>
        </w:rPr>
        <w:t xml:space="preserve"> </w:t>
      </w:r>
      <w:r w:rsidRPr="000F25DC">
        <w:t>continue</w:t>
      </w:r>
      <w:r w:rsidRPr="000F25DC">
        <w:rPr>
          <w:spacing w:val="-6"/>
        </w:rPr>
        <w:t xml:space="preserve"> </w:t>
      </w:r>
      <w:r w:rsidRPr="000F25DC">
        <w:t>to</w:t>
      </w:r>
      <w:r w:rsidRPr="000F25DC">
        <w:rPr>
          <w:spacing w:val="-6"/>
        </w:rPr>
        <w:t xml:space="preserve"> </w:t>
      </w:r>
      <w:r w:rsidRPr="000F25DC">
        <w:t>do</w:t>
      </w:r>
      <w:r w:rsidRPr="000F25DC">
        <w:rPr>
          <w:spacing w:val="-6"/>
        </w:rPr>
        <w:t xml:space="preserve"> </w:t>
      </w:r>
      <w:r w:rsidRPr="000F25DC">
        <w:t>so</w:t>
      </w:r>
      <w:r w:rsidRPr="000F25DC">
        <w:rPr>
          <w:spacing w:val="-6"/>
        </w:rPr>
        <w:t xml:space="preserve"> </w:t>
      </w:r>
      <w:r w:rsidRPr="000F25DC">
        <w:t>as</w:t>
      </w:r>
      <w:r w:rsidRPr="000F25DC">
        <w:rPr>
          <w:spacing w:val="-7"/>
        </w:rPr>
        <w:t xml:space="preserve"> </w:t>
      </w:r>
      <w:r w:rsidRPr="000F25DC">
        <w:t>part</w:t>
      </w:r>
      <w:r w:rsidRPr="000F25DC">
        <w:rPr>
          <w:spacing w:val="-5"/>
        </w:rPr>
        <w:t xml:space="preserve"> </w:t>
      </w:r>
      <w:r w:rsidRPr="000F25DC">
        <w:t>of</w:t>
      </w:r>
      <w:r w:rsidRPr="000F25DC">
        <w:rPr>
          <w:spacing w:val="-5"/>
        </w:rPr>
        <w:t xml:space="preserve"> </w:t>
      </w:r>
      <w:r w:rsidRPr="000F25DC">
        <w:t>normal</w:t>
      </w:r>
      <w:r w:rsidRPr="000F25DC">
        <w:rPr>
          <w:spacing w:val="-6"/>
        </w:rPr>
        <w:t xml:space="preserve"> </w:t>
      </w:r>
      <w:r w:rsidRPr="000F25DC">
        <w:t>operations.</w:t>
      </w:r>
      <w:r w:rsidRPr="000F25DC">
        <w:rPr>
          <w:spacing w:val="-7"/>
        </w:rPr>
        <w:t xml:space="preserve"> </w:t>
      </w:r>
      <w:r w:rsidRPr="000F25DC">
        <w:t>Only</w:t>
      </w:r>
      <w:r w:rsidRPr="000F25DC">
        <w:rPr>
          <w:spacing w:val="-7"/>
        </w:rPr>
        <w:t xml:space="preserve"> </w:t>
      </w:r>
      <w:r w:rsidRPr="000F25DC">
        <w:t>projects guided and approved by the Tri-Agency Commissioners bear the Tri-Agency label.</w:t>
      </w:r>
    </w:p>
    <w:p w14:paraId="43521C4A" w14:textId="10039AD6" w:rsidR="006420CB" w:rsidRPr="000F25DC" w:rsidRDefault="006420CB" w:rsidP="003312FB">
      <w:pPr>
        <w:pStyle w:val="BodyText"/>
      </w:pPr>
      <w:r w:rsidRPr="00936E04">
        <w:t>In response to Rider 51 of the General Appropriations Act, 88th Texas Legislature, Regular Session (2023), TWC staff gathered information about cross-agency coordination on apprenticeship and other WBL funding and worked with TEA and THECB to identify available funding sources for future apprenticeship and other WBL programs: Cross Agency Coordination on Apprenticeship and Work-Based Learning Funding, General Appropriations Act, Article VII, TWC, Rider 51</w:t>
      </w:r>
      <w:r w:rsidR="002770CC">
        <w:t>.</w:t>
      </w:r>
    </w:p>
    <w:p w14:paraId="40142D35" w14:textId="77777777" w:rsidR="006420CB" w:rsidRPr="000F25DC" w:rsidRDefault="006420CB" w:rsidP="002770CC">
      <w:pPr>
        <w:pStyle w:val="BodyText"/>
      </w:pPr>
      <w:r w:rsidRPr="00FE046B">
        <w:t xml:space="preserve">In response to </w:t>
      </w:r>
      <w:r>
        <w:t xml:space="preserve">Texas </w:t>
      </w:r>
      <w:r w:rsidRPr="00FE046B">
        <w:t>Education Code</w:t>
      </w:r>
      <w:r>
        <w:t xml:space="preserve">, Section </w:t>
      </w:r>
      <w:r w:rsidRPr="00FE046B">
        <w:t xml:space="preserve">7.012, the Tri-Agency partners developed and posted a model data-sharing agreement for use by public schools, public and private institutions of higher education, and state and local workforce entities when sharing data protected under the Family Educational Rights and Privacy Act of 1974 (FERPA) among themselves as well as with other entities authorized to receive these data: SB 788 (87R) Mode Data Sharing Agreement </w:t>
      </w:r>
    </w:p>
    <w:p w14:paraId="4E5DAF13" w14:textId="1D15B415" w:rsidR="006420CB" w:rsidRPr="000F25DC" w:rsidRDefault="006420CB" w:rsidP="002770CC">
      <w:pPr>
        <w:pStyle w:val="BodyText3"/>
        <w:ind w:left="720" w:hanging="720"/>
      </w:pPr>
      <w:r>
        <w:t>I.</w:t>
      </w:r>
      <w:r w:rsidR="002770CC">
        <w:tab/>
      </w:r>
      <w:r w:rsidRPr="000F25DC">
        <w:t>If</w:t>
      </w:r>
      <w:r w:rsidRPr="000F25DC">
        <w:rPr>
          <w:spacing w:val="-3"/>
        </w:rPr>
        <w:t xml:space="preserve"> </w:t>
      </w:r>
      <w:r w:rsidRPr="000F25DC">
        <w:t>the</w:t>
      </w:r>
      <w:r w:rsidRPr="000F25DC">
        <w:rPr>
          <w:spacing w:val="-2"/>
        </w:rPr>
        <w:t xml:space="preserve"> </w:t>
      </w:r>
      <w:r w:rsidRPr="000F25DC">
        <w:t>division</w:t>
      </w:r>
      <w:r w:rsidRPr="000F25DC">
        <w:rPr>
          <w:spacing w:val="-1"/>
        </w:rPr>
        <w:t xml:space="preserve"> </w:t>
      </w:r>
      <w:r w:rsidRPr="000F25DC">
        <w:t>or</w:t>
      </w:r>
      <w:r w:rsidRPr="000F25DC">
        <w:rPr>
          <w:spacing w:val="-3"/>
        </w:rPr>
        <w:t xml:space="preserve"> </w:t>
      </w:r>
      <w:r w:rsidRPr="000F25DC">
        <w:t>program</w:t>
      </w:r>
      <w:r w:rsidRPr="000F25DC">
        <w:rPr>
          <w:spacing w:val="-2"/>
        </w:rPr>
        <w:t xml:space="preserve"> </w:t>
      </w:r>
      <w:r w:rsidRPr="000F25DC">
        <w:t>works</w:t>
      </w:r>
      <w:r w:rsidRPr="000F25DC">
        <w:rPr>
          <w:spacing w:val="-1"/>
        </w:rPr>
        <w:t xml:space="preserve"> </w:t>
      </w:r>
      <w:r w:rsidRPr="000F25DC">
        <w:t>with</w:t>
      </w:r>
      <w:r w:rsidRPr="000F25DC">
        <w:rPr>
          <w:spacing w:val="-3"/>
        </w:rPr>
        <w:t xml:space="preserve"> </w:t>
      </w:r>
      <w:r w:rsidRPr="000F25DC">
        <w:t>local,</w:t>
      </w:r>
      <w:r w:rsidRPr="000F25DC">
        <w:rPr>
          <w:spacing w:val="-3"/>
        </w:rPr>
        <w:t xml:space="preserve"> </w:t>
      </w:r>
      <w:r w:rsidRPr="000F25DC">
        <w:t>regional,</w:t>
      </w:r>
      <w:r w:rsidRPr="000F25DC">
        <w:rPr>
          <w:spacing w:val="-3"/>
        </w:rPr>
        <w:t xml:space="preserve"> </w:t>
      </w:r>
      <w:r w:rsidRPr="000F25DC">
        <w:t>or federal</w:t>
      </w:r>
      <w:r w:rsidRPr="000F25DC">
        <w:rPr>
          <w:spacing w:val="-3"/>
        </w:rPr>
        <w:t xml:space="preserve"> </w:t>
      </w:r>
      <w:r w:rsidRPr="000F25DC">
        <w:t>units</w:t>
      </w:r>
      <w:r w:rsidRPr="000F25DC">
        <w:rPr>
          <w:spacing w:val="-1"/>
        </w:rPr>
        <w:t xml:space="preserve"> </w:t>
      </w:r>
      <w:r w:rsidRPr="000F25DC">
        <w:t>of</w:t>
      </w:r>
      <w:r w:rsidRPr="000F25DC">
        <w:rPr>
          <w:spacing w:val="-3"/>
        </w:rPr>
        <w:t xml:space="preserve"> </w:t>
      </w:r>
      <w:r w:rsidRPr="000F25DC">
        <w:t>government,</w:t>
      </w:r>
      <w:r w:rsidRPr="000F25DC">
        <w:rPr>
          <w:spacing w:val="-1"/>
        </w:rPr>
        <w:t xml:space="preserve"> </w:t>
      </w:r>
      <w:r w:rsidRPr="000F25DC">
        <w:t xml:space="preserve">include a brief description of these entities and their relationship to the agency. </w:t>
      </w:r>
    </w:p>
    <w:p w14:paraId="062745EA" w14:textId="77777777" w:rsidR="006420CB" w:rsidRPr="000F25DC" w:rsidRDefault="006420CB" w:rsidP="002770CC">
      <w:pPr>
        <w:pStyle w:val="BodyText3"/>
      </w:pPr>
      <w:r w:rsidRPr="000F25DC">
        <w:t>Tri-Agency</w:t>
      </w:r>
      <w:r w:rsidRPr="000F25DC">
        <w:rPr>
          <w:spacing w:val="-2"/>
        </w:rPr>
        <w:t xml:space="preserve"> </w:t>
      </w:r>
      <w:r w:rsidRPr="000F25DC">
        <w:t>staff</w:t>
      </w:r>
      <w:r w:rsidRPr="000F25DC">
        <w:rPr>
          <w:spacing w:val="1"/>
        </w:rPr>
        <w:t xml:space="preserve"> </w:t>
      </w:r>
      <w:r w:rsidRPr="000F25DC">
        <w:t>regularly</w:t>
      </w:r>
      <w:r w:rsidRPr="000F25DC">
        <w:rPr>
          <w:spacing w:val="-4"/>
        </w:rPr>
        <w:t xml:space="preserve"> </w:t>
      </w:r>
      <w:r w:rsidRPr="000F25DC">
        <w:t>work</w:t>
      </w:r>
      <w:r w:rsidRPr="000F25DC">
        <w:rPr>
          <w:spacing w:val="-4"/>
        </w:rPr>
        <w:t xml:space="preserve"> </w:t>
      </w:r>
      <w:r w:rsidRPr="000F25DC">
        <w:t>with</w:t>
      </w:r>
      <w:r w:rsidRPr="000F25DC">
        <w:rPr>
          <w:spacing w:val="-2"/>
        </w:rPr>
        <w:t xml:space="preserve"> </w:t>
      </w:r>
      <w:r w:rsidRPr="000F25DC">
        <w:t>the</w:t>
      </w:r>
      <w:r w:rsidRPr="000F25DC">
        <w:rPr>
          <w:spacing w:val="-2"/>
        </w:rPr>
        <w:t xml:space="preserve"> </w:t>
      </w:r>
      <w:r w:rsidRPr="000F25DC">
        <w:t>following</w:t>
      </w:r>
      <w:r w:rsidRPr="000F25DC">
        <w:rPr>
          <w:spacing w:val="-2"/>
        </w:rPr>
        <w:t xml:space="preserve"> entities:</w:t>
      </w:r>
    </w:p>
    <w:p w14:paraId="2BB1E7C5" w14:textId="77777777" w:rsidR="006420CB" w:rsidRPr="000F25DC" w:rsidRDefault="006420CB" w:rsidP="00C64851">
      <w:pPr>
        <w:pStyle w:val="BodyText"/>
        <w:numPr>
          <w:ilvl w:val="0"/>
          <w:numId w:val="865"/>
        </w:numPr>
      </w:pPr>
      <w:r w:rsidRPr="000F25DC">
        <w:t>Independent</w:t>
      </w:r>
      <w:r w:rsidRPr="000F25DC">
        <w:rPr>
          <w:spacing w:val="-4"/>
        </w:rPr>
        <w:t xml:space="preserve"> </w:t>
      </w:r>
      <w:r w:rsidRPr="000F25DC">
        <w:t>School</w:t>
      </w:r>
      <w:r w:rsidRPr="000F25DC">
        <w:rPr>
          <w:spacing w:val="-6"/>
        </w:rPr>
        <w:t xml:space="preserve"> </w:t>
      </w:r>
      <w:r w:rsidRPr="000F25DC">
        <w:t>Districts</w:t>
      </w:r>
      <w:r w:rsidRPr="000F25DC">
        <w:rPr>
          <w:spacing w:val="-4"/>
        </w:rPr>
        <w:t xml:space="preserve"> </w:t>
      </w:r>
      <w:r w:rsidRPr="000F25DC">
        <w:t>and</w:t>
      </w:r>
      <w:r w:rsidRPr="000F25DC">
        <w:rPr>
          <w:spacing w:val="-2"/>
        </w:rPr>
        <w:t xml:space="preserve"> </w:t>
      </w:r>
      <w:r w:rsidRPr="000F25DC">
        <w:t>Open-Enrollment</w:t>
      </w:r>
      <w:r w:rsidRPr="000F25DC">
        <w:rPr>
          <w:spacing w:val="-1"/>
        </w:rPr>
        <w:t xml:space="preserve"> </w:t>
      </w:r>
      <w:r w:rsidRPr="000F25DC">
        <w:rPr>
          <w:spacing w:val="-2"/>
        </w:rPr>
        <w:t>Charter Schools</w:t>
      </w:r>
    </w:p>
    <w:p w14:paraId="63152829" w14:textId="77777777" w:rsidR="006420CB" w:rsidRPr="000F25DC" w:rsidRDefault="006420CB" w:rsidP="00C64851">
      <w:pPr>
        <w:pStyle w:val="BodyText"/>
        <w:numPr>
          <w:ilvl w:val="0"/>
          <w:numId w:val="865"/>
        </w:numPr>
      </w:pPr>
      <w:r w:rsidRPr="000F25DC">
        <w:t>Local</w:t>
      </w:r>
      <w:r w:rsidRPr="000F25DC">
        <w:rPr>
          <w:spacing w:val="-2"/>
        </w:rPr>
        <w:t xml:space="preserve"> </w:t>
      </w:r>
      <w:r w:rsidRPr="000F25DC">
        <w:t>Workforce</w:t>
      </w:r>
      <w:r w:rsidRPr="000F25DC">
        <w:rPr>
          <w:spacing w:val="-4"/>
        </w:rPr>
        <w:t xml:space="preserve"> </w:t>
      </w:r>
      <w:r w:rsidRPr="000F25DC">
        <w:t>Development</w:t>
      </w:r>
      <w:r w:rsidRPr="000F25DC">
        <w:rPr>
          <w:spacing w:val="-3"/>
        </w:rPr>
        <w:t xml:space="preserve"> </w:t>
      </w:r>
      <w:r w:rsidRPr="000F25DC">
        <w:rPr>
          <w:spacing w:val="-2"/>
        </w:rPr>
        <w:t>Boards</w:t>
      </w:r>
    </w:p>
    <w:p w14:paraId="3DB2A48E" w14:textId="77777777" w:rsidR="006420CB" w:rsidRPr="000F25DC" w:rsidRDefault="006420CB" w:rsidP="00C64851">
      <w:pPr>
        <w:pStyle w:val="BodyText"/>
        <w:numPr>
          <w:ilvl w:val="0"/>
          <w:numId w:val="865"/>
        </w:numPr>
      </w:pPr>
      <w:r w:rsidRPr="000F25DC">
        <w:t>Institutions</w:t>
      </w:r>
      <w:r w:rsidRPr="000F25DC">
        <w:rPr>
          <w:spacing w:val="-3"/>
        </w:rPr>
        <w:t xml:space="preserve"> </w:t>
      </w:r>
      <w:r w:rsidRPr="000F25DC">
        <w:t>of</w:t>
      </w:r>
      <w:r w:rsidRPr="000F25DC">
        <w:rPr>
          <w:spacing w:val="-1"/>
        </w:rPr>
        <w:t xml:space="preserve"> </w:t>
      </w:r>
      <w:r w:rsidRPr="000F25DC">
        <w:t>Higher</w:t>
      </w:r>
      <w:r w:rsidRPr="000F25DC">
        <w:rPr>
          <w:spacing w:val="-2"/>
        </w:rPr>
        <w:t xml:space="preserve"> </w:t>
      </w:r>
      <w:r w:rsidRPr="000F25DC">
        <w:t>Education</w:t>
      </w:r>
    </w:p>
    <w:p w14:paraId="095FB880" w14:textId="77777777" w:rsidR="006420CB" w:rsidRDefault="006420CB" w:rsidP="00C64851">
      <w:pPr>
        <w:pStyle w:val="BodyText"/>
        <w:numPr>
          <w:ilvl w:val="0"/>
          <w:numId w:val="865"/>
        </w:numPr>
      </w:pPr>
      <w:r w:rsidRPr="000F25DC">
        <w:t>Community-based</w:t>
      </w:r>
      <w:r w:rsidRPr="000F25DC">
        <w:rPr>
          <w:spacing w:val="-14"/>
        </w:rPr>
        <w:t xml:space="preserve"> </w:t>
      </w:r>
      <w:r>
        <w:t>p</w:t>
      </w:r>
      <w:r w:rsidRPr="000F25DC">
        <w:t>rograms</w:t>
      </w:r>
    </w:p>
    <w:p w14:paraId="01856DFA" w14:textId="77777777" w:rsidR="006420CB" w:rsidRPr="000F25DC" w:rsidRDefault="006420CB" w:rsidP="002770CC">
      <w:pPr>
        <w:pStyle w:val="BodyText"/>
      </w:pPr>
      <w:r w:rsidRPr="000F25DC">
        <w:t>Staff work with these entities to:</w:t>
      </w:r>
    </w:p>
    <w:p w14:paraId="76D8C70A" w14:textId="77777777" w:rsidR="006420CB" w:rsidRPr="000F25DC" w:rsidRDefault="006420CB" w:rsidP="00C64851">
      <w:pPr>
        <w:pStyle w:val="BodyText"/>
        <w:numPr>
          <w:ilvl w:val="0"/>
          <w:numId w:val="866"/>
        </w:numPr>
      </w:pPr>
      <w:r>
        <w:lastRenderedPageBreak/>
        <w:t>P</w:t>
      </w:r>
      <w:r w:rsidRPr="000F25DC">
        <w:t>romote</w:t>
      </w:r>
      <w:r w:rsidRPr="000F25DC">
        <w:rPr>
          <w:spacing w:val="1"/>
        </w:rPr>
        <w:t xml:space="preserve"> </w:t>
      </w:r>
      <w:r>
        <w:t xml:space="preserve">work-based learning </w:t>
      </w:r>
      <w:r w:rsidRPr="000F25DC">
        <w:t>programs</w:t>
      </w:r>
      <w:r w:rsidRPr="000F25DC">
        <w:rPr>
          <w:spacing w:val="-5"/>
        </w:rPr>
        <w:t xml:space="preserve"> </w:t>
      </w:r>
      <w:r w:rsidRPr="000F25DC">
        <w:t>and</w:t>
      </w:r>
      <w:r w:rsidRPr="000F25DC">
        <w:rPr>
          <w:spacing w:val="-1"/>
        </w:rPr>
        <w:t xml:space="preserve"> </w:t>
      </w:r>
      <w:r w:rsidRPr="000F25DC">
        <w:rPr>
          <w:spacing w:val="-2"/>
        </w:rPr>
        <w:t>experiences</w:t>
      </w:r>
      <w:r>
        <w:rPr>
          <w:spacing w:val="-2"/>
        </w:rPr>
        <w:t>.</w:t>
      </w:r>
    </w:p>
    <w:p w14:paraId="7558C5D0" w14:textId="77777777" w:rsidR="006420CB" w:rsidRPr="000F25DC" w:rsidRDefault="006420CB" w:rsidP="00C64851">
      <w:pPr>
        <w:pStyle w:val="BodyText"/>
        <w:numPr>
          <w:ilvl w:val="0"/>
          <w:numId w:val="866"/>
        </w:numPr>
      </w:pPr>
      <w:r>
        <w:t>L</w:t>
      </w:r>
      <w:r w:rsidRPr="000F25DC">
        <w:t>aunch</w:t>
      </w:r>
      <w:r w:rsidRPr="000F25DC">
        <w:rPr>
          <w:spacing w:val="-3"/>
        </w:rPr>
        <w:t xml:space="preserve"> </w:t>
      </w:r>
      <w:r w:rsidRPr="000F25DC">
        <w:t>and expand</w:t>
      </w:r>
      <w:r w:rsidRPr="000F25DC">
        <w:rPr>
          <w:spacing w:val="-2"/>
        </w:rPr>
        <w:t xml:space="preserve"> </w:t>
      </w:r>
      <w:r w:rsidRPr="000F25DC">
        <w:t>TRPN</w:t>
      </w:r>
      <w:r w:rsidRPr="000F25DC">
        <w:rPr>
          <w:spacing w:val="-2"/>
        </w:rPr>
        <w:t xml:space="preserve"> opportunities</w:t>
      </w:r>
      <w:r>
        <w:rPr>
          <w:spacing w:val="-2"/>
        </w:rPr>
        <w:t>.</w:t>
      </w:r>
    </w:p>
    <w:p w14:paraId="69A9B99E" w14:textId="77777777" w:rsidR="006420CB" w:rsidRPr="000F25DC" w:rsidRDefault="006420CB" w:rsidP="00C64851">
      <w:pPr>
        <w:pStyle w:val="BodyText"/>
        <w:numPr>
          <w:ilvl w:val="0"/>
          <w:numId w:val="866"/>
        </w:numPr>
      </w:pPr>
      <w:r>
        <w:t>P</w:t>
      </w:r>
      <w:r w:rsidRPr="000F25DC">
        <w:t>rovide</w:t>
      </w:r>
      <w:r w:rsidRPr="000F25DC">
        <w:rPr>
          <w:spacing w:val="-3"/>
        </w:rPr>
        <w:t xml:space="preserve"> </w:t>
      </w:r>
      <w:r w:rsidRPr="000F25DC">
        <w:t>strategies</w:t>
      </w:r>
      <w:r w:rsidRPr="000F25DC">
        <w:rPr>
          <w:spacing w:val="-3"/>
        </w:rPr>
        <w:t xml:space="preserve"> </w:t>
      </w:r>
      <w:r w:rsidRPr="000F25DC">
        <w:t>for</w:t>
      </w:r>
      <w:r w:rsidRPr="000F25DC">
        <w:rPr>
          <w:spacing w:val="-1"/>
        </w:rPr>
        <w:t xml:space="preserve"> </w:t>
      </w:r>
      <w:r w:rsidRPr="000F25DC">
        <w:t>addressing</w:t>
      </w:r>
      <w:r w:rsidRPr="000F25DC">
        <w:rPr>
          <w:spacing w:val="-3"/>
        </w:rPr>
        <w:t xml:space="preserve"> </w:t>
      </w:r>
      <w:r w:rsidRPr="000F25DC">
        <w:t xml:space="preserve">teacher </w:t>
      </w:r>
      <w:r w:rsidRPr="000F25DC">
        <w:rPr>
          <w:spacing w:val="-2"/>
        </w:rPr>
        <w:t>vacancies</w:t>
      </w:r>
      <w:r>
        <w:rPr>
          <w:spacing w:val="-2"/>
        </w:rPr>
        <w:t>.</w:t>
      </w:r>
    </w:p>
    <w:p w14:paraId="2F42C262" w14:textId="77777777" w:rsidR="006420CB" w:rsidRPr="000F25DC" w:rsidRDefault="006420CB" w:rsidP="00C64851">
      <w:pPr>
        <w:pStyle w:val="BodyText"/>
        <w:numPr>
          <w:ilvl w:val="0"/>
          <w:numId w:val="866"/>
        </w:numPr>
      </w:pPr>
      <w:r>
        <w:t>S</w:t>
      </w:r>
      <w:r w:rsidRPr="000F25DC">
        <w:t>hare</w:t>
      </w:r>
      <w:r w:rsidRPr="000F25DC">
        <w:rPr>
          <w:spacing w:val="-14"/>
        </w:rPr>
        <w:t xml:space="preserve"> </w:t>
      </w:r>
      <w:r w:rsidRPr="000F25DC">
        <w:t>information</w:t>
      </w:r>
      <w:r w:rsidRPr="000F25DC">
        <w:rPr>
          <w:spacing w:val="-14"/>
        </w:rPr>
        <w:t xml:space="preserve"> </w:t>
      </w:r>
      <w:r w:rsidRPr="000F25DC">
        <w:t>and</w:t>
      </w:r>
      <w:r w:rsidRPr="000F25DC">
        <w:rPr>
          <w:spacing w:val="-13"/>
        </w:rPr>
        <w:t xml:space="preserve"> </w:t>
      </w:r>
      <w:r w:rsidRPr="000F25DC">
        <w:t>other</w:t>
      </w:r>
      <w:r w:rsidRPr="000F25DC">
        <w:rPr>
          <w:spacing w:val="-14"/>
        </w:rPr>
        <w:t xml:space="preserve"> </w:t>
      </w:r>
      <w:r w:rsidRPr="000F25DC">
        <w:t>resources</w:t>
      </w:r>
      <w:r w:rsidRPr="000F25DC">
        <w:rPr>
          <w:spacing w:val="-13"/>
        </w:rPr>
        <w:t xml:space="preserve"> </w:t>
      </w:r>
      <w:r w:rsidRPr="000F25DC">
        <w:t>that</w:t>
      </w:r>
      <w:r w:rsidRPr="000F25DC">
        <w:rPr>
          <w:spacing w:val="-14"/>
        </w:rPr>
        <w:t xml:space="preserve"> </w:t>
      </w:r>
      <w:r w:rsidRPr="000F25DC">
        <w:t>enable</w:t>
      </w:r>
      <w:r w:rsidRPr="000F25DC">
        <w:rPr>
          <w:spacing w:val="-13"/>
        </w:rPr>
        <w:t xml:space="preserve"> </w:t>
      </w:r>
      <w:r w:rsidRPr="000F25DC">
        <w:t>workforce</w:t>
      </w:r>
      <w:r w:rsidRPr="000F25DC">
        <w:rPr>
          <w:spacing w:val="-14"/>
        </w:rPr>
        <w:t xml:space="preserve"> </w:t>
      </w:r>
      <w:r w:rsidRPr="000F25DC">
        <w:t>and</w:t>
      </w:r>
      <w:r w:rsidRPr="000F25DC">
        <w:rPr>
          <w:spacing w:val="-14"/>
        </w:rPr>
        <w:t xml:space="preserve"> </w:t>
      </w:r>
      <w:r w:rsidRPr="000F25DC">
        <w:t>education</w:t>
      </w:r>
      <w:r w:rsidRPr="000F25DC">
        <w:rPr>
          <w:spacing w:val="-13"/>
        </w:rPr>
        <w:t xml:space="preserve"> </w:t>
      </w:r>
      <w:r w:rsidRPr="000F25DC">
        <w:t>stakeholders to work together</w:t>
      </w:r>
      <w:r>
        <w:t>.</w:t>
      </w:r>
    </w:p>
    <w:p w14:paraId="2F27F73B" w14:textId="77777777" w:rsidR="006420CB" w:rsidRPr="000F25DC" w:rsidRDefault="006420CB" w:rsidP="00C64851">
      <w:pPr>
        <w:pStyle w:val="BodyText"/>
        <w:numPr>
          <w:ilvl w:val="0"/>
          <w:numId w:val="866"/>
        </w:numPr>
      </w:pPr>
      <w:r>
        <w:t>P</w:t>
      </w:r>
      <w:r w:rsidRPr="000F25DC">
        <w:t>rovide</w:t>
      </w:r>
      <w:r w:rsidRPr="000F25DC">
        <w:rPr>
          <w:spacing w:val="-5"/>
        </w:rPr>
        <w:t xml:space="preserve"> </w:t>
      </w:r>
      <w:r w:rsidRPr="000F25DC">
        <w:t>guidance</w:t>
      </w:r>
      <w:r w:rsidRPr="000F25DC">
        <w:rPr>
          <w:spacing w:val="-3"/>
        </w:rPr>
        <w:t xml:space="preserve"> </w:t>
      </w:r>
      <w:r w:rsidRPr="000F25DC">
        <w:t>on</w:t>
      </w:r>
      <w:r w:rsidRPr="000F25DC">
        <w:rPr>
          <w:spacing w:val="-2"/>
        </w:rPr>
        <w:t xml:space="preserve"> </w:t>
      </w:r>
      <w:r w:rsidRPr="000F25DC">
        <w:t>funding</w:t>
      </w:r>
      <w:r w:rsidRPr="000F25DC">
        <w:rPr>
          <w:spacing w:val="-2"/>
        </w:rPr>
        <w:t xml:space="preserve"> </w:t>
      </w:r>
      <w:r w:rsidRPr="000F25DC">
        <w:t>available</w:t>
      </w:r>
      <w:r w:rsidRPr="000F25DC">
        <w:rPr>
          <w:spacing w:val="-2"/>
        </w:rPr>
        <w:t xml:space="preserve"> </w:t>
      </w:r>
      <w:r w:rsidRPr="000F25DC">
        <w:t>through each</w:t>
      </w:r>
      <w:r w:rsidRPr="000F25DC">
        <w:rPr>
          <w:spacing w:val="1"/>
        </w:rPr>
        <w:t xml:space="preserve"> </w:t>
      </w:r>
      <w:r w:rsidRPr="000F25DC">
        <w:rPr>
          <w:spacing w:val="-2"/>
        </w:rPr>
        <w:t>agency</w:t>
      </w:r>
      <w:r>
        <w:rPr>
          <w:spacing w:val="-2"/>
        </w:rPr>
        <w:t>.</w:t>
      </w:r>
    </w:p>
    <w:p w14:paraId="2B444CCE" w14:textId="77777777" w:rsidR="006420CB" w:rsidRPr="000F25DC" w:rsidRDefault="006420CB" w:rsidP="00C64851">
      <w:pPr>
        <w:pStyle w:val="BodyText"/>
        <w:numPr>
          <w:ilvl w:val="0"/>
          <w:numId w:val="866"/>
        </w:numPr>
      </w:pPr>
      <w:r>
        <w:t>T</w:t>
      </w:r>
      <w:r w:rsidRPr="000F25DC">
        <w:t>ake</w:t>
      </w:r>
      <w:r w:rsidRPr="000F25DC">
        <w:rPr>
          <w:spacing w:val="-2"/>
        </w:rPr>
        <w:t xml:space="preserve"> </w:t>
      </w:r>
      <w:r w:rsidRPr="000F25DC">
        <w:t>inventory</w:t>
      </w:r>
      <w:r w:rsidRPr="000F25DC">
        <w:rPr>
          <w:spacing w:val="-2"/>
        </w:rPr>
        <w:t xml:space="preserve"> </w:t>
      </w:r>
      <w:r w:rsidRPr="000F25DC">
        <w:t>of workforce</w:t>
      </w:r>
      <w:r w:rsidRPr="000F25DC">
        <w:rPr>
          <w:spacing w:val="-2"/>
        </w:rPr>
        <w:t xml:space="preserve"> </w:t>
      </w:r>
      <w:r w:rsidRPr="000F25DC">
        <w:t>credentials</w:t>
      </w:r>
      <w:r w:rsidRPr="000F25DC">
        <w:rPr>
          <w:spacing w:val="-4"/>
        </w:rPr>
        <w:t xml:space="preserve"> </w:t>
      </w:r>
      <w:r w:rsidRPr="000F25DC">
        <w:t>available</w:t>
      </w:r>
      <w:r w:rsidRPr="000F25DC">
        <w:rPr>
          <w:spacing w:val="-3"/>
        </w:rPr>
        <w:t xml:space="preserve"> </w:t>
      </w:r>
      <w:r w:rsidRPr="000F25DC">
        <w:t>throughout</w:t>
      </w:r>
      <w:r w:rsidRPr="000F25DC">
        <w:rPr>
          <w:spacing w:val="-3"/>
        </w:rPr>
        <w:t xml:space="preserve"> </w:t>
      </w:r>
      <w:r w:rsidRPr="000F25DC">
        <w:t>the</w:t>
      </w:r>
      <w:r w:rsidRPr="000F25DC">
        <w:rPr>
          <w:spacing w:val="-1"/>
        </w:rPr>
        <w:t xml:space="preserve"> </w:t>
      </w:r>
      <w:r w:rsidRPr="000F25DC">
        <w:t>state</w:t>
      </w:r>
      <w:r>
        <w:t>.</w:t>
      </w:r>
    </w:p>
    <w:p w14:paraId="7643416A" w14:textId="34E51F04" w:rsidR="006420CB" w:rsidRPr="000F25DC" w:rsidRDefault="00AF7F18" w:rsidP="00C64851">
      <w:pPr>
        <w:pStyle w:val="BodyText"/>
        <w:numPr>
          <w:ilvl w:val="0"/>
          <w:numId w:val="866"/>
        </w:numPr>
      </w:pPr>
      <w:r>
        <w:t>D</w:t>
      </w:r>
      <w:r w:rsidR="006420CB" w:rsidRPr="000F25DC">
        <w:t>etermine</w:t>
      </w:r>
      <w:r w:rsidR="006420CB" w:rsidRPr="000F25DC">
        <w:rPr>
          <w:spacing w:val="-4"/>
        </w:rPr>
        <w:t xml:space="preserve"> </w:t>
      </w:r>
      <w:r w:rsidR="006420CB" w:rsidRPr="000F25DC">
        <w:t>the</w:t>
      </w:r>
      <w:r w:rsidR="006420CB" w:rsidRPr="000F25DC">
        <w:rPr>
          <w:spacing w:val="-1"/>
        </w:rPr>
        <w:t xml:space="preserve"> </w:t>
      </w:r>
      <w:r w:rsidR="006420CB" w:rsidRPr="000F25DC">
        <w:t>value</w:t>
      </w:r>
      <w:r w:rsidR="006420CB" w:rsidRPr="000F25DC">
        <w:rPr>
          <w:spacing w:val="-2"/>
        </w:rPr>
        <w:t xml:space="preserve"> </w:t>
      </w:r>
      <w:r w:rsidR="006420CB" w:rsidRPr="000F25DC">
        <w:t>of</w:t>
      </w:r>
      <w:r w:rsidR="006420CB" w:rsidRPr="000F25DC">
        <w:rPr>
          <w:spacing w:val="-2"/>
        </w:rPr>
        <w:t xml:space="preserve"> </w:t>
      </w:r>
      <w:r w:rsidR="006420CB" w:rsidRPr="000F25DC">
        <w:t>those credentials</w:t>
      </w:r>
      <w:r w:rsidR="006420CB" w:rsidRPr="000F25DC">
        <w:rPr>
          <w:spacing w:val="-3"/>
        </w:rPr>
        <w:t xml:space="preserve"> </w:t>
      </w:r>
      <w:r w:rsidR="006420CB" w:rsidRPr="000F25DC">
        <w:t>to</w:t>
      </w:r>
      <w:r w:rsidR="006420CB" w:rsidRPr="000F25DC">
        <w:rPr>
          <w:spacing w:val="-2"/>
        </w:rPr>
        <w:t xml:space="preserve"> </w:t>
      </w:r>
      <w:r w:rsidR="006420CB" w:rsidRPr="000F25DC">
        <w:t>employers</w:t>
      </w:r>
      <w:r w:rsidR="006420CB" w:rsidRPr="000F25DC">
        <w:rPr>
          <w:spacing w:val="-1"/>
        </w:rPr>
        <w:t xml:space="preserve"> </w:t>
      </w:r>
      <w:r w:rsidR="006420CB" w:rsidRPr="000F25DC">
        <w:t>and</w:t>
      </w:r>
      <w:r w:rsidR="006420CB" w:rsidRPr="000F25DC">
        <w:rPr>
          <w:spacing w:val="-2"/>
        </w:rPr>
        <w:t xml:space="preserve"> </w:t>
      </w:r>
      <w:r w:rsidR="006420CB" w:rsidRPr="000F25DC">
        <w:t>their</w:t>
      </w:r>
      <w:r w:rsidR="006420CB" w:rsidRPr="000F25DC">
        <w:rPr>
          <w:spacing w:val="-2"/>
        </w:rPr>
        <w:t xml:space="preserve"> employees.</w:t>
      </w:r>
    </w:p>
    <w:p w14:paraId="0D3183C2" w14:textId="74AAB229" w:rsidR="006420CB" w:rsidRPr="000F25DC" w:rsidRDefault="006420CB" w:rsidP="00AF7F18">
      <w:pPr>
        <w:pStyle w:val="BodyText3"/>
        <w:ind w:left="720" w:hanging="720"/>
      </w:pPr>
      <w:r>
        <w:t>J.</w:t>
      </w:r>
      <w:r w:rsidR="00AF7F18">
        <w:tab/>
      </w:r>
      <w:r w:rsidRPr="000F25DC">
        <w:t>Are there any barriers or challenges that impede the division or</w:t>
      </w:r>
      <w:r w:rsidRPr="000F25DC">
        <w:rPr>
          <w:spacing w:val="27"/>
        </w:rPr>
        <w:t xml:space="preserve"> </w:t>
      </w:r>
      <w:r w:rsidRPr="000F25DC">
        <w:t>program’s performance,</w:t>
      </w:r>
      <w:r w:rsidRPr="000F25DC">
        <w:rPr>
          <w:spacing w:val="80"/>
        </w:rPr>
        <w:t xml:space="preserve"> </w:t>
      </w:r>
      <w:r w:rsidRPr="000F25DC">
        <w:t>including any outdated or ineffective state laws? Explain.</w:t>
      </w:r>
    </w:p>
    <w:p w14:paraId="3F9873E1" w14:textId="77777777" w:rsidR="006420CB" w:rsidRPr="000F25DC" w:rsidRDefault="006420CB" w:rsidP="00AF7F18">
      <w:pPr>
        <w:pStyle w:val="BodyText"/>
      </w:pPr>
      <w:r w:rsidRPr="000F25DC">
        <w:t>N</w:t>
      </w:r>
      <w:r>
        <w:t>/A</w:t>
      </w:r>
    </w:p>
    <w:p w14:paraId="56A266BD" w14:textId="77777777" w:rsidR="006420CB" w:rsidRPr="000F25DC" w:rsidRDefault="006420CB" w:rsidP="00AF7F18">
      <w:pPr>
        <w:pStyle w:val="BodyText3"/>
        <w:ind w:left="720" w:hanging="720"/>
      </w:pPr>
      <w:r>
        <w:t>K.</w:t>
      </w:r>
      <w:r>
        <w:tab/>
      </w:r>
      <w:r w:rsidRPr="000F25DC">
        <w:t>Provide</w:t>
      </w:r>
      <w:r w:rsidRPr="000F25DC">
        <w:rPr>
          <w:spacing w:val="40"/>
        </w:rPr>
        <w:t xml:space="preserve"> </w:t>
      </w:r>
      <w:r w:rsidRPr="000F25DC">
        <w:t>any</w:t>
      </w:r>
      <w:r w:rsidRPr="000F25DC">
        <w:rPr>
          <w:spacing w:val="40"/>
        </w:rPr>
        <w:t xml:space="preserve"> </w:t>
      </w:r>
      <w:r w:rsidRPr="000F25DC">
        <w:t>additional</w:t>
      </w:r>
      <w:r w:rsidRPr="000F25DC">
        <w:rPr>
          <w:spacing w:val="40"/>
        </w:rPr>
        <w:t xml:space="preserve"> </w:t>
      </w:r>
      <w:r w:rsidRPr="000F25DC">
        <w:t>information</w:t>
      </w:r>
      <w:r w:rsidRPr="000F25DC">
        <w:rPr>
          <w:spacing w:val="40"/>
        </w:rPr>
        <w:t xml:space="preserve"> </w:t>
      </w:r>
      <w:r w:rsidRPr="000F25DC">
        <w:t>needed</w:t>
      </w:r>
      <w:r w:rsidRPr="000F25DC">
        <w:rPr>
          <w:spacing w:val="40"/>
        </w:rPr>
        <w:t xml:space="preserve"> </w:t>
      </w:r>
      <w:r w:rsidRPr="000F25DC">
        <w:t>to</w:t>
      </w:r>
      <w:r w:rsidRPr="000F25DC">
        <w:rPr>
          <w:spacing w:val="40"/>
        </w:rPr>
        <w:t xml:space="preserve"> </w:t>
      </w:r>
      <w:r w:rsidRPr="000F25DC">
        <w:t>gain</w:t>
      </w:r>
      <w:r w:rsidRPr="000F25DC">
        <w:rPr>
          <w:spacing w:val="40"/>
        </w:rPr>
        <w:t xml:space="preserve"> </w:t>
      </w:r>
      <w:r w:rsidRPr="000F25DC">
        <w:t>a</w:t>
      </w:r>
      <w:r w:rsidRPr="000F25DC">
        <w:rPr>
          <w:spacing w:val="40"/>
        </w:rPr>
        <w:t xml:space="preserve"> </w:t>
      </w:r>
      <w:r w:rsidRPr="000F25DC">
        <w:t>preliminary</w:t>
      </w:r>
      <w:r w:rsidRPr="000F25DC">
        <w:rPr>
          <w:spacing w:val="40"/>
        </w:rPr>
        <w:t xml:space="preserve"> </w:t>
      </w:r>
      <w:r w:rsidRPr="000F25DC">
        <w:t>understanding</w:t>
      </w:r>
      <w:r w:rsidRPr="000F25DC">
        <w:rPr>
          <w:spacing w:val="39"/>
        </w:rPr>
        <w:t xml:space="preserve"> </w:t>
      </w:r>
      <w:r w:rsidRPr="000F25DC">
        <w:t>of</w:t>
      </w:r>
      <w:r w:rsidRPr="000F25DC">
        <w:rPr>
          <w:spacing w:val="40"/>
        </w:rPr>
        <w:t xml:space="preserve"> </w:t>
      </w:r>
      <w:r w:rsidRPr="000F25DC">
        <w:t>the division or program.</w:t>
      </w:r>
    </w:p>
    <w:p w14:paraId="1B198A6A" w14:textId="77777777" w:rsidR="006420CB" w:rsidRPr="00430531" w:rsidRDefault="006420CB" w:rsidP="00AF7F18">
      <w:pPr>
        <w:pStyle w:val="BodyText"/>
      </w:pPr>
      <w:r w:rsidRPr="00430531">
        <w:t xml:space="preserve">In response to </w:t>
      </w:r>
      <w:r>
        <w:t xml:space="preserve">Texas </w:t>
      </w:r>
      <w:r w:rsidRPr="00430531">
        <w:t>Labor Code</w:t>
      </w:r>
      <w:r>
        <w:t>,</w:t>
      </w:r>
      <w:r w:rsidRPr="00430531">
        <w:t xml:space="preserve"> Chapter 318, the Tri-Agency Workforce Initiative developed the Tri-Agency Framework for Work-Based Learning, which establishes a comprehensive, functional definition of “work-based learning,” organizes Work-Based Learning programs by type (such as apprenticeships, internships, and service-learning experiences), and provides guidance on implementing high-quality W</w:t>
      </w:r>
      <w:r>
        <w:t>-Based Learning</w:t>
      </w:r>
      <w:r w:rsidRPr="00430531">
        <w:t xml:space="preserve">:  </w:t>
      </w:r>
      <w:hyperlink r:id="rId202" w:history="1">
        <w:r w:rsidRPr="00430531">
          <w:rPr>
            <w:rStyle w:val="Hyperlink"/>
          </w:rPr>
          <w:t>The Tri-Agency Strategic Framework for Work-Based Learning Report</w:t>
        </w:r>
      </w:hyperlink>
    </w:p>
    <w:p w14:paraId="4DC12C44" w14:textId="77777777" w:rsidR="006420CB" w:rsidRPr="00B2145A" w:rsidRDefault="006420CB" w:rsidP="00AF7F18">
      <w:pPr>
        <w:pStyle w:val="BodyText3"/>
        <w:ind w:left="720" w:hanging="720"/>
      </w:pPr>
      <w:r>
        <w:t>L.</w:t>
      </w:r>
      <w:r>
        <w:tab/>
        <w:t>R</w:t>
      </w:r>
      <w:r w:rsidRPr="00B2145A">
        <w:t>egulatory programs relate to the licensing, registration, certification, or permitting of a person, business, piece of equipment, or other entity (e.g., a facility). For each regulatory program, if applicable, describe:</w:t>
      </w:r>
    </w:p>
    <w:p w14:paraId="5CDBCBE4" w14:textId="77777777" w:rsidR="006420CB" w:rsidRPr="000F25DC" w:rsidRDefault="006420CB" w:rsidP="00AF7F18">
      <w:pPr>
        <w:pStyle w:val="BodyText"/>
      </w:pPr>
      <w:r w:rsidRPr="000F25DC">
        <w:t>N</w:t>
      </w:r>
      <w:r>
        <w:t>/A</w:t>
      </w:r>
    </w:p>
    <w:p w14:paraId="7729C803" w14:textId="77777777" w:rsidR="006420CB" w:rsidRPr="000F25DC" w:rsidRDefault="006420CB" w:rsidP="00AF7F18">
      <w:pPr>
        <w:pStyle w:val="BodyText3"/>
        <w:ind w:left="720" w:hanging="720"/>
      </w:pPr>
      <w:r>
        <w:t>K.</w:t>
      </w:r>
      <w:r>
        <w:tab/>
      </w:r>
      <w:r w:rsidRPr="000F25DC">
        <w:t>For</w:t>
      </w:r>
      <w:r w:rsidRPr="000F25DC">
        <w:rPr>
          <w:spacing w:val="-14"/>
        </w:rPr>
        <w:t xml:space="preserve"> </w:t>
      </w:r>
      <w:r w:rsidRPr="000F25DC">
        <w:t>each</w:t>
      </w:r>
      <w:r w:rsidRPr="000F25DC">
        <w:rPr>
          <w:spacing w:val="-14"/>
        </w:rPr>
        <w:t xml:space="preserve"> </w:t>
      </w:r>
      <w:r w:rsidRPr="000F25DC">
        <w:t>regulatory</w:t>
      </w:r>
      <w:r w:rsidRPr="000F25DC">
        <w:rPr>
          <w:spacing w:val="-13"/>
        </w:rPr>
        <w:t xml:space="preserve"> </w:t>
      </w:r>
      <w:r w:rsidRPr="000F25DC">
        <w:t>program,</w:t>
      </w:r>
      <w:r w:rsidRPr="000F25DC">
        <w:rPr>
          <w:spacing w:val="-14"/>
        </w:rPr>
        <w:t xml:space="preserve"> </w:t>
      </w:r>
      <w:r w:rsidRPr="000F25DC">
        <w:t>if</w:t>
      </w:r>
      <w:r w:rsidRPr="000F25DC">
        <w:rPr>
          <w:spacing w:val="-13"/>
        </w:rPr>
        <w:t xml:space="preserve"> </w:t>
      </w:r>
      <w:r w:rsidRPr="000F25DC">
        <w:t>applicable,</w:t>
      </w:r>
      <w:r w:rsidRPr="000F25DC">
        <w:rPr>
          <w:spacing w:val="-14"/>
        </w:rPr>
        <w:t xml:space="preserve"> </w:t>
      </w:r>
      <w:r w:rsidRPr="000F25DC">
        <w:t>provide</w:t>
      </w:r>
      <w:r w:rsidRPr="000F25DC">
        <w:rPr>
          <w:spacing w:val="-13"/>
        </w:rPr>
        <w:t xml:space="preserve"> </w:t>
      </w:r>
      <w:r w:rsidRPr="000F25DC">
        <w:t>detailed</w:t>
      </w:r>
      <w:r w:rsidRPr="000F25DC">
        <w:rPr>
          <w:spacing w:val="-14"/>
        </w:rPr>
        <w:t xml:space="preserve"> </w:t>
      </w:r>
      <w:r w:rsidRPr="000F25DC">
        <w:t>information</w:t>
      </w:r>
      <w:r w:rsidRPr="000F25DC">
        <w:rPr>
          <w:spacing w:val="-14"/>
        </w:rPr>
        <w:t xml:space="preserve"> </w:t>
      </w:r>
      <w:r w:rsidRPr="000F25DC">
        <w:t>on</w:t>
      </w:r>
      <w:r w:rsidRPr="000F25DC">
        <w:rPr>
          <w:spacing w:val="-13"/>
        </w:rPr>
        <w:t xml:space="preserve"> </w:t>
      </w:r>
      <w:r w:rsidRPr="000F25DC">
        <w:t>complaint</w:t>
      </w:r>
      <w:r w:rsidRPr="000F25DC">
        <w:rPr>
          <w:spacing w:val="-14"/>
        </w:rPr>
        <w:t xml:space="preserve"> </w:t>
      </w:r>
      <w:r w:rsidRPr="000F25DC">
        <w:t>and regulatory</w:t>
      </w:r>
      <w:r w:rsidRPr="000F25DC">
        <w:rPr>
          <w:spacing w:val="-8"/>
        </w:rPr>
        <w:t xml:space="preserve"> </w:t>
      </w:r>
      <w:r w:rsidRPr="000F25DC">
        <w:t>actions,</w:t>
      </w:r>
      <w:r w:rsidRPr="000F25DC">
        <w:rPr>
          <w:spacing w:val="-7"/>
        </w:rPr>
        <w:t xml:space="preserve"> </w:t>
      </w:r>
      <w:r w:rsidRPr="000F25DC">
        <w:t>including</w:t>
      </w:r>
      <w:r w:rsidRPr="000F25DC">
        <w:rPr>
          <w:spacing w:val="-8"/>
        </w:rPr>
        <w:t xml:space="preserve"> </w:t>
      </w:r>
      <w:r w:rsidRPr="000F25DC">
        <w:t>investigations</w:t>
      </w:r>
      <w:r w:rsidRPr="000F25DC">
        <w:rPr>
          <w:spacing w:val="-10"/>
        </w:rPr>
        <w:t xml:space="preserve"> </w:t>
      </w:r>
      <w:r w:rsidRPr="000F25DC">
        <w:t>and</w:t>
      </w:r>
      <w:r w:rsidRPr="000F25DC">
        <w:rPr>
          <w:spacing w:val="-6"/>
        </w:rPr>
        <w:t xml:space="preserve"> </w:t>
      </w:r>
      <w:r w:rsidRPr="000F25DC">
        <w:t>complaint</w:t>
      </w:r>
      <w:r w:rsidRPr="000F25DC">
        <w:rPr>
          <w:spacing w:val="-6"/>
        </w:rPr>
        <w:t xml:space="preserve"> </w:t>
      </w:r>
      <w:r w:rsidRPr="000F25DC">
        <w:t>resolutions.</w:t>
      </w:r>
      <w:r w:rsidRPr="000F25DC">
        <w:rPr>
          <w:spacing w:val="-8"/>
        </w:rPr>
        <w:t xml:space="preserve"> </w:t>
      </w:r>
      <w:r w:rsidRPr="000F25DC">
        <w:t>The</w:t>
      </w:r>
      <w:r w:rsidRPr="000F25DC">
        <w:rPr>
          <w:spacing w:val="-7"/>
        </w:rPr>
        <w:t xml:space="preserve"> </w:t>
      </w:r>
      <w:r w:rsidRPr="000F25DC">
        <w:t>data</w:t>
      </w:r>
      <w:r w:rsidRPr="000F25DC">
        <w:rPr>
          <w:spacing w:val="-7"/>
        </w:rPr>
        <w:t xml:space="preserve"> </w:t>
      </w:r>
      <w:r w:rsidRPr="000F25DC">
        <w:t>should</w:t>
      </w:r>
      <w:r w:rsidRPr="000F25DC">
        <w:rPr>
          <w:spacing w:val="-9"/>
        </w:rPr>
        <w:t xml:space="preserve"> </w:t>
      </w:r>
      <w:r w:rsidRPr="000F25DC">
        <w:t>cover</w:t>
      </w:r>
      <w:r w:rsidRPr="000F25DC">
        <w:rPr>
          <w:spacing w:val="-9"/>
        </w:rPr>
        <w:t xml:space="preserve"> </w:t>
      </w:r>
      <w:r w:rsidRPr="000F25DC">
        <w:t>the last five fiscal years and give a complete picture of the program’s regulatory activity, including comprehensive</w:t>
      </w:r>
      <w:r w:rsidRPr="000F25DC">
        <w:rPr>
          <w:spacing w:val="-8"/>
        </w:rPr>
        <w:t xml:space="preserve"> </w:t>
      </w:r>
      <w:r w:rsidRPr="000F25DC">
        <w:t>information</w:t>
      </w:r>
      <w:r w:rsidRPr="000F25DC">
        <w:rPr>
          <w:spacing w:val="-9"/>
        </w:rPr>
        <w:t xml:space="preserve"> </w:t>
      </w:r>
      <w:r w:rsidRPr="000F25DC">
        <w:t>from</w:t>
      </w:r>
      <w:r w:rsidRPr="000F25DC">
        <w:rPr>
          <w:spacing w:val="-8"/>
        </w:rPr>
        <w:t xml:space="preserve"> </w:t>
      </w:r>
      <w:r w:rsidRPr="000F25DC">
        <w:t>initiation</w:t>
      </w:r>
      <w:r w:rsidRPr="000F25DC">
        <w:rPr>
          <w:spacing w:val="-9"/>
        </w:rPr>
        <w:t xml:space="preserve"> </w:t>
      </w:r>
      <w:r w:rsidRPr="000F25DC">
        <w:t>of</w:t>
      </w:r>
      <w:r w:rsidRPr="000F25DC">
        <w:rPr>
          <w:spacing w:val="-8"/>
        </w:rPr>
        <w:t xml:space="preserve"> </w:t>
      </w:r>
      <w:r w:rsidRPr="000F25DC">
        <w:t>a</w:t>
      </w:r>
      <w:r w:rsidRPr="000F25DC">
        <w:rPr>
          <w:spacing w:val="-7"/>
        </w:rPr>
        <w:t xml:space="preserve"> </w:t>
      </w:r>
      <w:r w:rsidRPr="000F25DC">
        <w:t>complaint</w:t>
      </w:r>
      <w:r w:rsidRPr="000F25DC">
        <w:rPr>
          <w:spacing w:val="-8"/>
        </w:rPr>
        <w:t xml:space="preserve"> </w:t>
      </w:r>
      <w:r w:rsidRPr="000F25DC">
        <w:t>to</w:t>
      </w:r>
      <w:r w:rsidRPr="000F25DC">
        <w:rPr>
          <w:spacing w:val="-7"/>
        </w:rPr>
        <w:t xml:space="preserve"> </w:t>
      </w:r>
      <w:r w:rsidRPr="000F25DC">
        <w:t>resolution</w:t>
      </w:r>
      <w:r w:rsidRPr="000F25DC">
        <w:rPr>
          <w:spacing w:val="-6"/>
        </w:rPr>
        <w:t xml:space="preserve"> </w:t>
      </w:r>
      <w:r w:rsidRPr="000F25DC">
        <w:t>of</w:t>
      </w:r>
      <w:r w:rsidRPr="000F25DC">
        <w:rPr>
          <w:spacing w:val="-8"/>
        </w:rPr>
        <w:t xml:space="preserve"> </w:t>
      </w:r>
      <w:r w:rsidRPr="000F25DC">
        <w:t>a</w:t>
      </w:r>
      <w:r w:rsidRPr="000F25DC">
        <w:rPr>
          <w:spacing w:val="-7"/>
        </w:rPr>
        <w:t xml:space="preserve"> </w:t>
      </w:r>
      <w:r w:rsidRPr="000F25DC">
        <w:t>case.</w:t>
      </w:r>
      <w:r w:rsidRPr="000F25DC">
        <w:rPr>
          <w:spacing w:val="-8"/>
        </w:rPr>
        <w:t xml:space="preserve"> </w:t>
      </w:r>
      <w:r w:rsidRPr="000F25DC">
        <w:t>The</w:t>
      </w:r>
      <w:r w:rsidRPr="000F25DC">
        <w:rPr>
          <w:spacing w:val="-7"/>
        </w:rPr>
        <w:t xml:space="preserve"> </w:t>
      </w:r>
      <w:r w:rsidRPr="000F25DC">
        <w:t>purpose</w:t>
      </w:r>
      <w:r w:rsidRPr="000F25DC">
        <w:rPr>
          <w:spacing w:val="-7"/>
        </w:rPr>
        <w:t xml:space="preserve"> </w:t>
      </w:r>
      <w:r w:rsidRPr="000F25DC">
        <w:t>of the</w:t>
      </w:r>
      <w:r w:rsidRPr="000F25DC">
        <w:rPr>
          <w:spacing w:val="-13"/>
        </w:rPr>
        <w:t xml:space="preserve"> </w:t>
      </w:r>
      <w:r w:rsidRPr="000F25DC">
        <w:t>table</w:t>
      </w:r>
      <w:r w:rsidRPr="000F25DC">
        <w:rPr>
          <w:spacing w:val="-11"/>
        </w:rPr>
        <w:t xml:space="preserve"> </w:t>
      </w:r>
      <w:r w:rsidRPr="000F25DC">
        <w:t>is</w:t>
      </w:r>
      <w:r w:rsidRPr="000F25DC">
        <w:rPr>
          <w:spacing w:val="-14"/>
        </w:rPr>
        <w:t xml:space="preserve"> </w:t>
      </w:r>
      <w:r w:rsidRPr="000F25DC">
        <w:t>to</w:t>
      </w:r>
      <w:r w:rsidRPr="000F25DC">
        <w:rPr>
          <w:spacing w:val="-11"/>
        </w:rPr>
        <w:t xml:space="preserve"> </w:t>
      </w:r>
      <w:r w:rsidRPr="000F25DC">
        <w:t>create</w:t>
      </w:r>
      <w:r w:rsidRPr="000F25DC">
        <w:rPr>
          <w:spacing w:val="-13"/>
        </w:rPr>
        <w:t xml:space="preserve"> </w:t>
      </w:r>
      <w:r w:rsidRPr="000F25DC">
        <w:t>uniformity</w:t>
      </w:r>
      <w:r w:rsidRPr="000F25DC">
        <w:rPr>
          <w:spacing w:val="-12"/>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3"/>
        </w:rPr>
        <w:t xml:space="preserve"> </w:t>
      </w:r>
      <w:r w:rsidRPr="000F25DC">
        <w:t>review</w:t>
      </w:r>
      <w:r w:rsidRPr="000F25DC">
        <w:rPr>
          <w:spacing w:val="-12"/>
        </w:rPr>
        <w:t xml:space="preserve"> </w:t>
      </w:r>
      <w:r w:rsidRPr="000F25DC">
        <w:t>to</w:t>
      </w:r>
      <w:r w:rsidRPr="000F25DC">
        <w:rPr>
          <w:spacing w:val="-13"/>
        </w:rPr>
        <w:t xml:space="preserve"> </w:t>
      </w:r>
      <w:r w:rsidRPr="000F25DC">
        <w:t>the</w:t>
      </w:r>
      <w:r w:rsidRPr="000F25DC">
        <w:rPr>
          <w:spacing w:val="-11"/>
        </w:rPr>
        <w:t xml:space="preserve"> </w:t>
      </w:r>
      <w:r w:rsidRPr="000F25DC">
        <w:t>extent</w:t>
      </w:r>
      <w:r w:rsidRPr="000F25DC">
        <w:rPr>
          <w:spacing w:val="-12"/>
        </w:rPr>
        <w:t xml:space="preserve"> </w:t>
      </w:r>
      <w:r w:rsidRPr="000F25DC">
        <w:t>possible,</w:t>
      </w:r>
      <w:r w:rsidRPr="000F25DC">
        <w:rPr>
          <w:spacing w:val="-13"/>
        </w:rPr>
        <w:t xml:space="preserve"> </w:t>
      </w:r>
      <w:r w:rsidRPr="000F25DC">
        <w:t>but</w:t>
      </w:r>
      <w:r w:rsidRPr="000F25DC">
        <w:rPr>
          <w:spacing w:val="-10"/>
        </w:rPr>
        <w:t xml:space="preserve"> </w:t>
      </w:r>
      <w:r w:rsidRPr="000F25DC">
        <w:t>you</w:t>
      </w:r>
      <w:r w:rsidRPr="000F25DC">
        <w:rPr>
          <w:spacing w:val="-10"/>
        </w:rPr>
        <w:t xml:space="preserve"> </w:t>
      </w:r>
      <w:r w:rsidRPr="000F25DC">
        <w:t>may make</w:t>
      </w:r>
      <w:r w:rsidRPr="000F25DC">
        <w:rPr>
          <w:spacing w:val="-14"/>
        </w:rPr>
        <w:t xml:space="preserve"> </w:t>
      </w:r>
      <w:r w:rsidRPr="000F25DC">
        <w:t>small</w:t>
      </w:r>
      <w:r w:rsidRPr="000F25DC">
        <w:rPr>
          <w:spacing w:val="-14"/>
        </w:rPr>
        <w:t xml:space="preserve"> </w:t>
      </w:r>
      <w:r w:rsidRPr="000F25DC">
        <w:t>adjustments</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headings</w:t>
      </w:r>
      <w:r w:rsidRPr="000F25DC">
        <w:rPr>
          <w:spacing w:val="-13"/>
        </w:rPr>
        <w:t xml:space="preserve"> </w:t>
      </w:r>
      <w:r w:rsidRPr="000F25DC">
        <w:t>as</w:t>
      </w:r>
      <w:r w:rsidRPr="000F25DC">
        <w:rPr>
          <w:spacing w:val="-14"/>
        </w:rPr>
        <w:t xml:space="preserve"> </w:t>
      </w:r>
      <w:r w:rsidRPr="000F25DC">
        <w:t>needed</w:t>
      </w:r>
      <w:r w:rsidRPr="000F25DC">
        <w:rPr>
          <w:spacing w:val="-14"/>
        </w:rPr>
        <w:t xml:space="preserve"> </w:t>
      </w:r>
      <w:r w:rsidRPr="000F25DC">
        <w:t>to</w:t>
      </w:r>
      <w:r w:rsidRPr="000F25DC">
        <w:rPr>
          <w:spacing w:val="-13"/>
        </w:rPr>
        <w:t xml:space="preserve"> </w:t>
      </w:r>
      <w:r w:rsidRPr="000F25DC">
        <w:t>better</w:t>
      </w:r>
      <w:r w:rsidRPr="000F25DC">
        <w:rPr>
          <w:spacing w:val="-14"/>
        </w:rPr>
        <w:t xml:space="preserve"> </w:t>
      </w:r>
      <w:r w:rsidRPr="000F25DC">
        <w:t>reflect</w:t>
      </w:r>
      <w:r w:rsidRPr="000F25DC">
        <w:rPr>
          <w:spacing w:val="-13"/>
        </w:rPr>
        <w:t xml:space="preserve"> </w:t>
      </w:r>
      <w:r w:rsidRPr="000F25DC">
        <w:t>your</w:t>
      </w:r>
      <w:r w:rsidRPr="000F25DC">
        <w:rPr>
          <w:spacing w:val="-14"/>
        </w:rPr>
        <w:t xml:space="preserve"> </w:t>
      </w:r>
      <w:r w:rsidRPr="000F25DC">
        <w:t>agency’s</w:t>
      </w:r>
      <w:r w:rsidRPr="000F25DC">
        <w:rPr>
          <w:spacing w:val="-13"/>
        </w:rPr>
        <w:t xml:space="preserve"> </w:t>
      </w:r>
      <w:r w:rsidRPr="000F25DC">
        <w:t xml:space="preserve">particular programs. If necessary to understand the data, please include a brief description of the data source and/or methodology supporting each measure. In addition, please </w:t>
      </w:r>
      <w:r w:rsidRPr="000F25DC">
        <w:lastRenderedPageBreak/>
        <w:t>briefly explain or define terms as used by your agency such as complaint, grievance, investigation, enforcement action, jurisdictional scope, etc.</w:t>
      </w:r>
    </w:p>
    <w:p w14:paraId="2FA19745" w14:textId="77777777" w:rsidR="00905E87" w:rsidRDefault="006420CB" w:rsidP="009D0B7D">
      <w:pPr>
        <w:pStyle w:val="BodyText"/>
      </w:pPr>
      <w:r w:rsidRPr="000F25DC">
        <w:t>N</w:t>
      </w:r>
      <w:r>
        <w:t>/A</w:t>
      </w:r>
    </w:p>
    <w:p w14:paraId="0A9D6ACC" w14:textId="6535047C" w:rsidR="006420CB" w:rsidRDefault="006420CB" w:rsidP="009D0B7D">
      <w:pPr>
        <w:pStyle w:val="BodyText"/>
        <w:rPr>
          <w:rFonts w:asciiTheme="minorHAnsi" w:hAnsiTheme="minorHAnsi" w:cstheme="minorHAnsi"/>
          <w:sz w:val="24"/>
          <w:szCs w:val="24"/>
        </w:rPr>
      </w:pPr>
    </w:p>
    <w:p w14:paraId="5416D1B3" w14:textId="77777777" w:rsidR="006420CB" w:rsidRPr="000F25DC" w:rsidRDefault="006420CB" w:rsidP="00AF7F18">
      <w:pPr>
        <w:pStyle w:val="BodyText3"/>
      </w:pPr>
      <w:bookmarkStart w:id="261" w:name="_Toc27960756"/>
      <w:bookmarkStart w:id="262" w:name="_Toc204688549"/>
      <w:r w:rsidRPr="061A6DF0">
        <w:t>Workforce Readiness</w:t>
      </w:r>
      <w:r w:rsidRPr="061A6DF0">
        <w:rPr>
          <w:spacing w:val="-15"/>
        </w:rPr>
        <w:t xml:space="preserve"> </w:t>
      </w:r>
      <w:r w:rsidRPr="061A6DF0">
        <w:t>Outreach</w:t>
      </w:r>
      <w:bookmarkEnd w:id="261"/>
      <w:bookmarkEnd w:id="262"/>
      <w:r w:rsidRPr="061A6DF0">
        <w:rPr>
          <w:spacing w:val="-15"/>
        </w:rPr>
        <w:t xml:space="preserve"> </w:t>
      </w:r>
    </w:p>
    <w:p w14:paraId="2B1CD6E3" w14:textId="0BDA2FE8" w:rsidR="006420CB" w:rsidRPr="000F25DC" w:rsidRDefault="00A36932" w:rsidP="00A36932">
      <w:pPr>
        <w:pStyle w:val="BodyText3"/>
      </w:pPr>
      <w:r>
        <w:t>A.</w:t>
      </w:r>
      <w:r>
        <w:tab/>
      </w:r>
      <w:r w:rsidR="006420CB" w:rsidRPr="000F25DC">
        <w:t>Provide</w:t>
      </w:r>
      <w:r w:rsidR="006420CB" w:rsidRPr="000F25DC">
        <w:rPr>
          <w:spacing w:val="-5"/>
        </w:rPr>
        <w:t xml:space="preserve"> </w:t>
      </w:r>
      <w:r w:rsidR="006420CB" w:rsidRPr="000F25DC">
        <w:t>the</w:t>
      </w:r>
      <w:r w:rsidR="006420CB" w:rsidRPr="000F25DC">
        <w:rPr>
          <w:spacing w:val="-2"/>
        </w:rPr>
        <w:t xml:space="preserve"> </w:t>
      </w:r>
      <w:r w:rsidR="006420CB" w:rsidRPr="000F25DC">
        <w:t>following</w:t>
      </w:r>
      <w:r w:rsidR="006420CB" w:rsidRPr="000F25DC">
        <w:rPr>
          <w:spacing w:val="-4"/>
        </w:rPr>
        <w:t xml:space="preserve"> </w:t>
      </w:r>
      <w:r w:rsidR="006420CB" w:rsidRPr="000F25DC">
        <w:t>information</w:t>
      </w:r>
      <w:r w:rsidR="006420CB" w:rsidRPr="000F25DC">
        <w:rPr>
          <w:spacing w:val="-3"/>
        </w:rPr>
        <w:t xml:space="preserve"> </w:t>
      </w:r>
      <w:r w:rsidR="006420CB" w:rsidRPr="000F25DC">
        <w:t>at</w:t>
      </w:r>
      <w:r w:rsidR="006420CB" w:rsidRPr="000F25DC">
        <w:rPr>
          <w:spacing w:val="-1"/>
        </w:rPr>
        <w:t xml:space="preserve"> </w:t>
      </w:r>
      <w:r w:rsidR="006420CB" w:rsidRPr="000F25DC">
        <w:t>the</w:t>
      </w:r>
      <w:r w:rsidR="006420CB" w:rsidRPr="000F25DC">
        <w:rPr>
          <w:spacing w:val="-2"/>
        </w:rPr>
        <w:t xml:space="preserve"> </w:t>
      </w:r>
      <w:r w:rsidR="006420CB" w:rsidRPr="000F25DC">
        <w:t>beginning</w:t>
      </w:r>
      <w:r w:rsidR="006420CB" w:rsidRPr="000F25DC">
        <w:rPr>
          <w:spacing w:val="-3"/>
        </w:rPr>
        <w:t xml:space="preserve"> </w:t>
      </w:r>
      <w:r w:rsidR="006420CB" w:rsidRPr="000F25DC">
        <w:t>of</w:t>
      </w:r>
      <w:r w:rsidR="006420CB" w:rsidRPr="000F25DC">
        <w:rPr>
          <w:spacing w:val="-2"/>
        </w:rPr>
        <w:t xml:space="preserve"> </w:t>
      </w:r>
      <w:r w:rsidR="006420CB" w:rsidRPr="000F25DC">
        <w:t>each</w:t>
      </w:r>
      <w:r w:rsidR="006420CB" w:rsidRPr="000F25DC">
        <w:rPr>
          <w:spacing w:val="-2"/>
        </w:rPr>
        <w:t xml:space="preserve"> description.</w:t>
      </w:r>
    </w:p>
    <w:p w14:paraId="0C6C9CE8" w14:textId="77777777" w:rsidR="006420CB" w:rsidRPr="000F25DC" w:rsidRDefault="006420CB" w:rsidP="00A36932">
      <w:pPr>
        <w:pStyle w:val="BodyText"/>
      </w:pPr>
      <w:r w:rsidRPr="000F25DC">
        <w:rPr>
          <w:i/>
        </w:rPr>
        <w:t>Name</w:t>
      </w:r>
      <w:r w:rsidRPr="000F25DC">
        <w:rPr>
          <w:i/>
          <w:spacing w:val="-5"/>
        </w:rPr>
        <w:t xml:space="preserve"> </w:t>
      </w:r>
      <w:r w:rsidRPr="000F25DC">
        <w:rPr>
          <w:i/>
        </w:rPr>
        <w:t>of</w:t>
      </w:r>
      <w:r w:rsidRPr="000F25DC">
        <w:rPr>
          <w:i/>
          <w:spacing w:val="-1"/>
        </w:rPr>
        <w:t xml:space="preserve"> </w:t>
      </w:r>
      <w:r w:rsidRPr="000F25DC">
        <w:rPr>
          <w:i/>
        </w:rPr>
        <w:t>division</w:t>
      </w:r>
      <w:r w:rsidRPr="000F25DC">
        <w:rPr>
          <w:i/>
          <w:spacing w:val="-4"/>
        </w:rPr>
        <w:t xml:space="preserve"> </w:t>
      </w:r>
      <w:r w:rsidRPr="000F25DC">
        <w:rPr>
          <w:i/>
        </w:rPr>
        <w:t>or</w:t>
      </w:r>
      <w:r w:rsidRPr="000F25DC">
        <w:rPr>
          <w:i/>
          <w:spacing w:val="-4"/>
        </w:rPr>
        <w:t xml:space="preserve"> </w:t>
      </w:r>
      <w:r w:rsidRPr="000F25DC">
        <w:rPr>
          <w:i/>
        </w:rPr>
        <w:t>program:</w:t>
      </w:r>
      <w:r w:rsidRPr="000F25DC">
        <w:rPr>
          <w:i/>
          <w:spacing w:val="-7"/>
        </w:rPr>
        <w:t xml:space="preserve"> </w:t>
      </w:r>
      <w:r w:rsidRPr="000F25DC">
        <w:t>Workforce</w:t>
      </w:r>
      <w:r w:rsidRPr="000F25DC">
        <w:rPr>
          <w:spacing w:val="-4"/>
        </w:rPr>
        <w:t xml:space="preserve"> </w:t>
      </w:r>
      <w:r w:rsidRPr="000F25DC">
        <w:t>Readiness</w:t>
      </w:r>
      <w:r w:rsidRPr="000F25DC">
        <w:rPr>
          <w:spacing w:val="-5"/>
        </w:rPr>
        <w:t xml:space="preserve"> </w:t>
      </w:r>
      <w:r w:rsidRPr="000F25DC">
        <w:t>Outreach</w:t>
      </w:r>
      <w:r w:rsidRPr="000F25DC">
        <w:rPr>
          <w:spacing w:val="-3"/>
        </w:rPr>
        <w:t xml:space="preserve"> </w:t>
      </w:r>
    </w:p>
    <w:p w14:paraId="3DCC2CF9" w14:textId="77777777" w:rsidR="006420CB" w:rsidRPr="000F25DC" w:rsidRDefault="006420CB" w:rsidP="00A36932">
      <w:pPr>
        <w:pStyle w:val="BodyText"/>
      </w:pPr>
      <w:r w:rsidRPr="000F25DC">
        <w:rPr>
          <w:i/>
        </w:rPr>
        <w:t>Location</w:t>
      </w:r>
      <w:r w:rsidRPr="000F25DC">
        <w:rPr>
          <w:i/>
          <w:spacing w:val="-4"/>
        </w:rPr>
        <w:t xml:space="preserve"> </w:t>
      </w:r>
      <w:r w:rsidRPr="000F25DC">
        <w:rPr>
          <w:i/>
        </w:rPr>
        <w:t>within</w:t>
      </w:r>
      <w:r w:rsidRPr="000F25DC">
        <w:rPr>
          <w:i/>
          <w:spacing w:val="-4"/>
        </w:rPr>
        <w:t xml:space="preserve"> </w:t>
      </w:r>
      <w:r w:rsidRPr="000F25DC">
        <w:rPr>
          <w:i/>
        </w:rPr>
        <w:t>the</w:t>
      </w:r>
      <w:r w:rsidRPr="000F25DC">
        <w:rPr>
          <w:i/>
          <w:spacing w:val="-2"/>
        </w:rPr>
        <w:t xml:space="preserve"> </w:t>
      </w:r>
      <w:r w:rsidRPr="000F25DC">
        <w:rPr>
          <w:i/>
        </w:rPr>
        <w:t>agency:</w:t>
      </w:r>
      <w:r w:rsidRPr="000F25DC">
        <w:rPr>
          <w:i/>
          <w:spacing w:val="-7"/>
        </w:rPr>
        <w:t xml:space="preserve"> </w:t>
      </w:r>
      <w:r w:rsidRPr="000F25DC">
        <w:t>Workforce</w:t>
      </w:r>
      <w:r w:rsidRPr="000F25DC">
        <w:rPr>
          <w:spacing w:val="-3"/>
        </w:rPr>
        <w:t xml:space="preserve"> </w:t>
      </w:r>
      <w:r w:rsidRPr="000F25DC">
        <w:rPr>
          <w:spacing w:val="-2"/>
        </w:rPr>
        <w:t>Development</w:t>
      </w:r>
      <w:r>
        <w:rPr>
          <w:spacing w:val="-2"/>
        </w:rPr>
        <w:t xml:space="preserve"> Division, Education and Outreach</w:t>
      </w:r>
    </w:p>
    <w:p w14:paraId="5CE62B3D" w14:textId="77777777" w:rsidR="006420CB" w:rsidRPr="000F25DC" w:rsidRDefault="006420CB" w:rsidP="00A36932">
      <w:pPr>
        <w:pStyle w:val="BodyText"/>
        <w:rPr>
          <w:i/>
        </w:rPr>
      </w:pPr>
      <w:r w:rsidRPr="000F25DC">
        <w:rPr>
          <w:i/>
        </w:rPr>
        <w:t>Contact</w:t>
      </w:r>
      <w:r w:rsidRPr="000F25DC">
        <w:rPr>
          <w:i/>
          <w:spacing w:val="-1"/>
        </w:rPr>
        <w:t xml:space="preserve"> </w:t>
      </w:r>
      <w:r w:rsidRPr="000F25DC">
        <w:rPr>
          <w:i/>
        </w:rPr>
        <w:t>name:</w:t>
      </w:r>
      <w:r w:rsidRPr="000F25DC">
        <w:rPr>
          <w:i/>
          <w:spacing w:val="-7"/>
        </w:rPr>
        <w:t xml:space="preserve"> </w:t>
      </w:r>
      <w:r w:rsidRPr="000F25DC">
        <w:rPr>
          <w:i/>
        </w:rPr>
        <w:t>Matthew</w:t>
      </w:r>
      <w:r w:rsidRPr="000F25DC">
        <w:rPr>
          <w:i/>
          <w:spacing w:val="-5"/>
        </w:rPr>
        <w:t xml:space="preserve"> </w:t>
      </w:r>
      <w:proofErr w:type="spellStart"/>
      <w:r w:rsidRPr="000F25DC">
        <w:rPr>
          <w:i/>
          <w:spacing w:val="-2"/>
        </w:rPr>
        <w:t>Snaidecki</w:t>
      </w:r>
      <w:proofErr w:type="spellEnd"/>
    </w:p>
    <w:p w14:paraId="0515BAC0" w14:textId="77777777" w:rsidR="006420CB" w:rsidRPr="000F25DC" w:rsidRDefault="006420CB" w:rsidP="00A36932">
      <w:pPr>
        <w:pStyle w:val="BodyText"/>
        <w:rPr>
          <w:i/>
        </w:rPr>
      </w:pPr>
      <w:r w:rsidRPr="000F25DC">
        <w:rPr>
          <w:i/>
        </w:rPr>
        <w:t>Statutory</w:t>
      </w:r>
      <w:r w:rsidRPr="000F25DC">
        <w:rPr>
          <w:i/>
          <w:spacing w:val="-1"/>
        </w:rPr>
        <w:t xml:space="preserve"> </w:t>
      </w:r>
      <w:r w:rsidRPr="000F25DC">
        <w:rPr>
          <w:i/>
        </w:rPr>
        <w:t>citation:</w:t>
      </w:r>
      <w:r w:rsidRPr="000F25DC">
        <w:rPr>
          <w:i/>
          <w:spacing w:val="52"/>
        </w:rPr>
        <w:t xml:space="preserve"> </w:t>
      </w:r>
      <w:r>
        <w:rPr>
          <w:i/>
        </w:rPr>
        <w:t>N/A</w:t>
      </w:r>
    </w:p>
    <w:p w14:paraId="2DAA0755" w14:textId="12355301" w:rsidR="006420CB" w:rsidRPr="000F25DC" w:rsidRDefault="00A36932" w:rsidP="00A36932">
      <w:pPr>
        <w:pStyle w:val="BodyText3"/>
      </w:pPr>
      <w:r>
        <w:t>B.</w:t>
      </w:r>
      <w:r>
        <w:tab/>
      </w:r>
      <w:r w:rsidR="006420CB" w:rsidRPr="000F25DC">
        <w:t>What</w:t>
      </w:r>
      <w:r w:rsidR="006420CB" w:rsidRPr="000F25DC">
        <w:rPr>
          <w:spacing w:val="-5"/>
        </w:rPr>
        <w:t xml:space="preserve"> </w:t>
      </w:r>
      <w:r w:rsidR="006420CB" w:rsidRPr="000F25DC">
        <w:t>is</w:t>
      </w:r>
      <w:r w:rsidR="006420CB" w:rsidRPr="000F25DC">
        <w:rPr>
          <w:spacing w:val="-4"/>
        </w:rPr>
        <w:t xml:space="preserve"> </w:t>
      </w:r>
      <w:r w:rsidR="006420CB" w:rsidRPr="000F25DC">
        <w:t>the</w:t>
      </w:r>
      <w:r w:rsidR="006420CB" w:rsidRPr="000F25DC">
        <w:rPr>
          <w:spacing w:val="-4"/>
        </w:rPr>
        <w:t xml:space="preserve"> </w:t>
      </w:r>
      <w:r w:rsidR="006420CB" w:rsidRPr="000F25DC">
        <w:t>objective</w:t>
      </w:r>
      <w:r w:rsidR="006420CB" w:rsidRPr="000F25DC">
        <w:rPr>
          <w:spacing w:val="-5"/>
        </w:rPr>
        <w:t xml:space="preserve"> </w:t>
      </w:r>
      <w:r w:rsidR="006420CB" w:rsidRPr="000F25DC">
        <w:t>of this</w:t>
      </w:r>
      <w:r w:rsidR="006420CB" w:rsidRPr="000F25DC">
        <w:rPr>
          <w:spacing w:val="-4"/>
        </w:rPr>
        <w:t xml:space="preserve"> </w:t>
      </w:r>
      <w:r w:rsidR="006420CB" w:rsidRPr="000F25DC">
        <w:t>division or program?</w:t>
      </w:r>
      <w:r w:rsidR="006420CB" w:rsidRPr="000F25DC">
        <w:rPr>
          <w:spacing w:val="-2"/>
        </w:rPr>
        <w:t xml:space="preserve"> </w:t>
      </w:r>
      <w:r w:rsidR="006420CB" w:rsidRPr="000F25DC">
        <w:t>Describe</w:t>
      </w:r>
      <w:r w:rsidR="006420CB" w:rsidRPr="000F25DC">
        <w:rPr>
          <w:spacing w:val="-1"/>
        </w:rPr>
        <w:t xml:space="preserve"> </w:t>
      </w:r>
      <w:r w:rsidR="006420CB" w:rsidRPr="000F25DC">
        <w:t>its</w:t>
      </w:r>
      <w:r w:rsidR="006420CB" w:rsidRPr="000F25DC">
        <w:rPr>
          <w:spacing w:val="-1"/>
        </w:rPr>
        <w:t xml:space="preserve"> </w:t>
      </w:r>
      <w:r w:rsidR="006420CB" w:rsidRPr="000F25DC">
        <w:t>major</w:t>
      </w:r>
      <w:r w:rsidR="006420CB" w:rsidRPr="000F25DC">
        <w:rPr>
          <w:spacing w:val="1"/>
        </w:rPr>
        <w:t xml:space="preserve"> </w:t>
      </w:r>
      <w:r w:rsidR="006420CB" w:rsidRPr="000F25DC">
        <w:rPr>
          <w:spacing w:val="-2"/>
        </w:rPr>
        <w:t>activities.</w:t>
      </w:r>
    </w:p>
    <w:p w14:paraId="6EE80877" w14:textId="77777777" w:rsidR="006420CB" w:rsidRPr="000F25DC" w:rsidRDefault="006420CB" w:rsidP="008D113A">
      <w:pPr>
        <w:pStyle w:val="BodyText"/>
      </w:pPr>
      <w:r w:rsidRPr="000F25DC">
        <w:t>The</w:t>
      </w:r>
      <w:r w:rsidRPr="000F25DC">
        <w:rPr>
          <w:spacing w:val="-5"/>
        </w:rPr>
        <w:t xml:space="preserve"> </w:t>
      </w:r>
      <w:r w:rsidRPr="000F25DC">
        <w:t>Workforce</w:t>
      </w:r>
      <w:r w:rsidRPr="000F25DC">
        <w:rPr>
          <w:spacing w:val="-5"/>
        </w:rPr>
        <w:t xml:space="preserve"> </w:t>
      </w:r>
      <w:r w:rsidRPr="000F25DC">
        <w:t>Readiness</w:t>
      </w:r>
      <w:r w:rsidRPr="000F25DC">
        <w:rPr>
          <w:spacing w:val="-6"/>
        </w:rPr>
        <w:t xml:space="preserve"> </w:t>
      </w:r>
      <w:r w:rsidRPr="000F25DC">
        <w:t>Outreach</w:t>
      </w:r>
      <w:r w:rsidRPr="000F25DC">
        <w:rPr>
          <w:spacing w:val="-5"/>
        </w:rPr>
        <w:t xml:space="preserve"> </w:t>
      </w:r>
      <w:r>
        <w:rPr>
          <w:spacing w:val="-5"/>
        </w:rPr>
        <w:t xml:space="preserve">(WRO) </w:t>
      </w:r>
      <w:r w:rsidRPr="000F25DC">
        <w:t>program</w:t>
      </w:r>
      <w:r w:rsidRPr="000F25DC">
        <w:rPr>
          <w:spacing w:val="-8"/>
        </w:rPr>
        <w:t xml:space="preserve"> </w:t>
      </w:r>
      <w:r w:rsidRPr="000F25DC">
        <w:t>helps</w:t>
      </w:r>
      <w:r w:rsidRPr="000F25DC">
        <w:rPr>
          <w:spacing w:val="-6"/>
        </w:rPr>
        <w:t xml:space="preserve"> </w:t>
      </w:r>
      <w:r w:rsidRPr="000F25DC">
        <w:t>Texas</w:t>
      </w:r>
      <w:r w:rsidRPr="000F25DC">
        <w:rPr>
          <w:spacing w:val="-6"/>
        </w:rPr>
        <w:t xml:space="preserve"> </w:t>
      </w:r>
      <w:r w:rsidRPr="000F25DC">
        <w:t>secondary</w:t>
      </w:r>
      <w:r w:rsidRPr="000F25DC">
        <w:rPr>
          <w:spacing w:val="-7"/>
        </w:rPr>
        <w:t xml:space="preserve"> </w:t>
      </w:r>
      <w:r w:rsidRPr="000F25DC">
        <w:t>and</w:t>
      </w:r>
      <w:r w:rsidRPr="000F25DC">
        <w:rPr>
          <w:spacing w:val="-7"/>
        </w:rPr>
        <w:t xml:space="preserve"> </w:t>
      </w:r>
      <w:r w:rsidRPr="000F25DC">
        <w:t>postsecondary</w:t>
      </w:r>
      <w:r w:rsidRPr="000F25DC">
        <w:rPr>
          <w:spacing w:val="-7"/>
        </w:rPr>
        <w:t xml:space="preserve"> </w:t>
      </w:r>
      <w:r w:rsidRPr="000F25DC">
        <w:t>students explore all training and education options beyond high school and how they align to different career interests. Under the program, a team of career coaches provides students with practical guidance</w:t>
      </w:r>
      <w:r w:rsidRPr="000F25DC">
        <w:rPr>
          <w:spacing w:val="-12"/>
        </w:rPr>
        <w:t xml:space="preserve"> </w:t>
      </w:r>
      <w:r w:rsidRPr="000F25DC">
        <w:t>about</w:t>
      </w:r>
      <w:r w:rsidRPr="000F25DC">
        <w:rPr>
          <w:spacing w:val="-9"/>
        </w:rPr>
        <w:t xml:space="preserve"> </w:t>
      </w:r>
      <w:r w:rsidRPr="000F25DC">
        <w:t>labor</w:t>
      </w:r>
      <w:r w:rsidRPr="000F25DC">
        <w:rPr>
          <w:spacing w:val="-12"/>
        </w:rPr>
        <w:t xml:space="preserve"> </w:t>
      </w:r>
      <w:r w:rsidRPr="000F25DC">
        <w:t>market</w:t>
      </w:r>
      <w:r w:rsidRPr="000F25DC">
        <w:rPr>
          <w:spacing w:val="-9"/>
        </w:rPr>
        <w:t xml:space="preserve"> </w:t>
      </w:r>
      <w:r w:rsidRPr="000F25DC">
        <w:t>data,</w:t>
      </w:r>
      <w:r w:rsidRPr="000F25DC">
        <w:rPr>
          <w:spacing w:val="-12"/>
        </w:rPr>
        <w:t xml:space="preserve"> </w:t>
      </w:r>
      <w:r w:rsidRPr="000F25DC">
        <w:t>career</w:t>
      </w:r>
      <w:r w:rsidRPr="000F25DC">
        <w:rPr>
          <w:spacing w:val="-12"/>
        </w:rPr>
        <w:t xml:space="preserve"> </w:t>
      </w:r>
      <w:r w:rsidRPr="000F25DC">
        <w:t>readiness,</w:t>
      </w:r>
      <w:r w:rsidRPr="000F25DC">
        <w:rPr>
          <w:spacing w:val="-10"/>
        </w:rPr>
        <w:t xml:space="preserve"> </w:t>
      </w:r>
      <w:r w:rsidRPr="000F25DC">
        <w:t>secondary</w:t>
      </w:r>
      <w:r w:rsidRPr="000F25DC">
        <w:rPr>
          <w:spacing w:val="-10"/>
        </w:rPr>
        <w:t xml:space="preserve"> </w:t>
      </w:r>
      <w:r w:rsidRPr="000F25DC">
        <w:t>education</w:t>
      </w:r>
      <w:r w:rsidRPr="000F25DC">
        <w:rPr>
          <w:spacing w:val="-11"/>
        </w:rPr>
        <w:t xml:space="preserve"> </w:t>
      </w:r>
      <w:r w:rsidRPr="000F25DC">
        <w:t>pathways,</w:t>
      </w:r>
      <w:r w:rsidRPr="000F25DC">
        <w:rPr>
          <w:spacing w:val="-12"/>
        </w:rPr>
        <w:t xml:space="preserve"> </w:t>
      </w:r>
      <w:r w:rsidRPr="000F25DC">
        <w:t>work-based learning, apprenticeships, and internships.</w:t>
      </w:r>
    </w:p>
    <w:p w14:paraId="5699AD19" w14:textId="77777777" w:rsidR="006420CB" w:rsidRDefault="006420CB" w:rsidP="008D113A">
      <w:pPr>
        <w:pStyle w:val="BodyText"/>
        <w:rPr>
          <w:spacing w:val="-2"/>
        </w:rPr>
      </w:pPr>
      <w:r>
        <w:t>TWC’s c</w:t>
      </w:r>
      <w:r w:rsidRPr="000F25DC">
        <w:t>areer coaches travel to schools and colleges across the state to offer these services and coordinate</w:t>
      </w:r>
      <w:r w:rsidRPr="000F25DC">
        <w:rPr>
          <w:spacing w:val="-10"/>
        </w:rPr>
        <w:t xml:space="preserve"> </w:t>
      </w:r>
      <w:r w:rsidRPr="000F25DC">
        <w:t>the</w:t>
      </w:r>
      <w:r w:rsidRPr="000F25DC">
        <w:rPr>
          <w:spacing w:val="-6"/>
        </w:rPr>
        <w:t xml:space="preserve"> </w:t>
      </w:r>
      <w:r w:rsidRPr="000F25DC">
        <w:t>efforts</w:t>
      </w:r>
      <w:r w:rsidRPr="000F25DC">
        <w:rPr>
          <w:spacing w:val="-7"/>
        </w:rPr>
        <w:t xml:space="preserve"> </w:t>
      </w:r>
      <w:r>
        <w:rPr>
          <w:spacing w:val="-7"/>
        </w:rPr>
        <w:t xml:space="preserve">of </w:t>
      </w:r>
      <w:r w:rsidRPr="000F25DC">
        <w:t>several</w:t>
      </w:r>
      <w:r w:rsidRPr="000F25DC">
        <w:rPr>
          <w:spacing w:val="-6"/>
        </w:rPr>
        <w:t xml:space="preserve"> </w:t>
      </w:r>
      <w:r w:rsidRPr="000F25DC">
        <w:t>regional</w:t>
      </w:r>
      <w:r w:rsidRPr="000F25DC">
        <w:rPr>
          <w:spacing w:val="-9"/>
        </w:rPr>
        <w:t xml:space="preserve"> </w:t>
      </w:r>
      <w:r w:rsidRPr="000F25DC">
        <w:t>teams</w:t>
      </w:r>
      <w:r>
        <w:t xml:space="preserve"> of career coaches</w:t>
      </w:r>
      <w:r w:rsidRPr="000F25DC">
        <w:rPr>
          <w:spacing w:val="-6"/>
        </w:rPr>
        <w:t xml:space="preserve"> </w:t>
      </w:r>
      <w:r w:rsidRPr="000F25DC">
        <w:t>employed</w:t>
      </w:r>
      <w:r w:rsidRPr="000F25DC">
        <w:rPr>
          <w:spacing w:val="-8"/>
        </w:rPr>
        <w:t xml:space="preserve"> </w:t>
      </w:r>
      <w:r w:rsidRPr="000F25DC">
        <w:t>by</w:t>
      </w:r>
      <w:r w:rsidRPr="000F25DC">
        <w:rPr>
          <w:spacing w:val="-7"/>
        </w:rPr>
        <w:t xml:space="preserve"> </w:t>
      </w:r>
      <w:r>
        <w:t>L</w:t>
      </w:r>
      <w:r w:rsidRPr="000F25DC">
        <w:t>ocal</w:t>
      </w:r>
      <w:r w:rsidRPr="000F25DC">
        <w:rPr>
          <w:spacing w:val="-9"/>
        </w:rPr>
        <w:t xml:space="preserve"> </w:t>
      </w:r>
      <w:r>
        <w:t>W</w:t>
      </w:r>
      <w:r w:rsidRPr="000F25DC">
        <w:t>orkforce</w:t>
      </w:r>
      <w:r w:rsidRPr="000F25DC">
        <w:rPr>
          <w:spacing w:val="-6"/>
        </w:rPr>
        <w:t xml:space="preserve"> </w:t>
      </w:r>
      <w:r>
        <w:t>D</w:t>
      </w:r>
      <w:r w:rsidRPr="000F25DC">
        <w:t>evelopment</w:t>
      </w:r>
      <w:r w:rsidRPr="000F25DC">
        <w:rPr>
          <w:spacing w:val="-7"/>
        </w:rPr>
        <w:t xml:space="preserve"> </w:t>
      </w:r>
      <w:r>
        <w:rPr>
          <w:spacing w:val="-2"/>
        </w:rPr>
        <w:t>B</w:t>
      </w:r>
      <w:r w:rsidRPr="000F25DC">
        <w:rPr>
          <w:spacing w:val="-2"/>
        </w:rPr>
        <w:t>oards.</w:t>
      </w:r>
    </w:p>
    <w:p w14:paraId="6E42EFBB" w14:textId="67AA2C5A" w:rsidR="006420CB" w:rsidRPr="000F25DC" w:rsidRDefault="008D113A" w:rsidP="008D113A">
      <w:pPr>
        <w:pStyle w:val="BodyText3"/>
        <w:ind w:left="720" w:hanging="720"/>
      </w:pPr>
      <w:r>
        <w:t>C.</w:t>
      </w:r>
      <w:r>
        <w:tab/>
      </w:r>
      <w:r w:rsidR="006420CB" w:rsidRPr="000F25DC">
        <w:t>What information does the agency collect/use to assess the effectiveness and efficiency of this division or program? If applicable, briefly note any LBB performance measures (from Section</w:t>
      </w:r>
      <w:r w:rsidR="006420CB" w:rsidRPr="000F25DC">
        <w:rPr>
          <w:spacing w:val="-11"/>
        </w:rPr>
        <w:t xml:space="preserve"> </w:t>
      </w:r>
      <w:r w:rsidR="006420CB" w:rsidRPr="000F25DC">
        <w:t>II,</w:t>
      </w:r>
      <w:r w:rsidR="006420CB" w:rsidRPr="000F25DC">
        <w:rPr>
          <w:spacing w:val="-12"/>
        </w:rPr>
        <w:t xml:space="preserve"> </w:t>
      </w:r>
      <w:proofErr w:type="gramStart"/>
      <w:r w:rsidR="006420CB" w:rsidRPr="000F25DC">
        <w:t>Exhibit</w:t>
      </w:r>
      <w:proofErr w:type="gramEnd"/>
      <w:r w:rsidR="006420CB" w:rsidRPr="000F25DC">
        <w:rPr>
          <w:spacing w:val="-14"/>
        </w:rPr>
        <w:t xml:space="preserve"> </w:t>
      </w:r>
      <w:r w:rsidR="006420CB" w:rsidRPr="000F25DC">
        <w:t>2)</w:t>
      </w:r>
      <w:r w:rsidR="006420CB" w:rsidRPr="000F25DC">
        <w:rPr>
          <w:spacing w:val="-12"/>
        </w:rPr>
        <w:t xml:space="preserve"> </w:t>
      </w:r>
      <w:r w:rsidR="006420CB" w:rsidRPr="000F25DC">
        <w:t>but</w:t>
      </w:r>
      <w:r w:rsidR="006420CB" w:rsidRPr="000F25DC">
        <w:rPr>
          <w:spacing w:val="-14"/>
        </w:rPr>
        <w:t xml:space="preserve"> </w:t>
      </w:r>
      <w:r w:rsidR="006420CB" w:rsidRPr="000F25DC">
        <w:t>also</w:t>
      </w:r>
      <w:r w:rsidR="006420CB" w:rsidRPr="000F25DC">
        <w:rPr>
          <w:spacing w:val="-11"/>
        </w:rPr>
        <w:t xml:space="preserve"> </w:t>
      </w:r>
      <w:r w:rsidR="006420CB" w:rsidRPr="000F25DC">
        <w:t>provide</w:t>
      </w:r>
      <w:r w:rsidR="006420CB" w:rsidRPr="000F25DC">
        <w:rPr>
          <w:spacing w:val="-13"/>
        </w:rPr>
        <w:t xml:space="preserve"> </w:t>
      </w:r>
      <w:r w:rsidR="006420CB" w:rsidRPr="000F25DC">
        <w:t>any</w:t>
      </w:r>
      <w:r w:rsidR="006420CB" w:rsidRPr="000F25DC">
        <w:rPr>
          <w:spacing w:val="-13"/>
        </w:rPr>
        <w:t xml:space="preserve"> </w:t>
      </w:r>
      <w:r w:rsidR="006420CB" w:rsidRPr="000F25DC">
        <w:t>other</w:t>
      </w:r>
      <w:r w:rsidR="006420CB" w:rsidRPr="000F25DC">
        <w:rPr>
          <w:spacing w:val="-11"/>
        </w:rPr>
        <w:t xml:space="preserve"> </w:t>
      </w:r>
      <w:r w:rsidR="006420CB" w:rsidRPr="000F25DC">
        <w:t>metrics</w:t>
      </w:r>
      <w:r w:rsidR="006420CB" w:rsidRPr="000F25DC">
        <w:rPr>
          <w:spacing w:val="-14"/>
        </w:rPr>
        <w:t xml:space="preserve"> </w:t>
      </w:r>
      <w:r w:rsidR="006420CB" w:rsidRPr="000F25DC">
        <w:t>of</w:t>
      </w:r>
      <w:r w:rsidR="006420CB" w:rsidRPr="000F25DC">
        <w:rPr>
          <w:spacing w:val="-13"/>
        </w:rPr>
        <w:t xml:space="preserve"> </w:t>
      </w:r>
      <w:r w:rsidR="006420CB" w:rsidRPr="000F25DC">
        <w:t>program</w:t>
      </w:r>
      <w:r w:rsidR="006420CB" w:rsidRPr="000F25DC">
        <w:rPr>
          <w:spacing w:val="-13"/>
        </w:rPr>
        <w:t xml:space="preserve"> </w:t>
      </w:r>
      <w:r w:rsidR="006420CB" w:rsidRPr="000F25DC">
        <w:t>effectiveness</w:t>
      </w:r>
      <w:r w:rsidR="006420CB" w:rsidRPr="000F25DC">
        <w:rPr>
          <w:spacing w:val="-12"/>
        </w:rPr>
        <w:t xml:space="preserve"> </w:t>
      </w:r>
      <w:r w:rsidR="006420CB" w:rsidRPr="000F25DC">
        <w:t>and</w:t>
      </w:r>
      <w:r w:rsidR="006420CB" w:rsidRPr="000F25DC">
        <w:rPr>
          <w:spacing w:val="-11"/>
        </w:rPr>
        <w:t xml:space="preserve"> </w:t>
      </w:r>
      <w:r w:rsidR="006420CB" w:rsidRPr="000F25DC">
        <w:t>efficiency. Please</w:t>
      </w:r>
      <w:r w:rsidR="006420CB" w:rsidRPr="000F25DC">
        <w:rPr>
          <w:spacing w:val="-7"/>
        </w:rPr>
        <w:t xml:space="preserve"> </w:t>
      </w:r>
      <w:r w:rsidR="006420CB" w:rsidRPr="000F25DC">
        <w:t>provide</w:t>
      </w:r>
      <w:r w:rsidR="006420CB" w:rsidRPr="000F25DC">
        <w:rPr>
          <w:spacing w:val="-7"/>
        </w:rPr>
        <w:t xml:space="preserve"> </w:t>
      </w:r>
      <w:r w:rsidR="006420CB" w:rsidRPr="000F25DC">
        <w:t>the</w:t>
      </w:r>
      <w:r w:rsidR="006420CB" w:rsidRPr="000F25DC">
        <w:rPr>
          <w:spacing w:val="-7"/>
        </w:rPr>
        <w:t xml:space="preserve"> </w:t>
      </w:r>
      <w:r w:rsidR="006420CB" w:rsidRPr="000F25DC">
        <w:t>data</w:t>
      </w:r>
      <w:r w:rsidR="006420CB" w:rsidRPr="000F25DC">
        <w:rPr>
          <w:spacing w:val="-10"/>
        </w:rPr>
        <w:t xml:space="preserve"> </w:t>
      </w:r>
      <w:r w:rsidR="006420CB" w:rsidRPr="000F25DC">
        <w:t>source</w:t>
      </w:r>
      <w:r w:rsidR="006420CB" w:rsidRPr="000F25DC">
        <w:rPr>
          <w:spacing w:val="-7"/>
        </w:rPr>
        <w:t xml:space="preserve"> </w:t>
      </w:r>
      <w:r w:rsidR="006420CB" w:rsidRPr="000F25DC">
        <w:t>and/or</w:t>
      </w:r>
      <w:r w:rsidR="006420CB" w:rsidRPr="000F25DC">
        <w:rPr>
          <w:spacing w:val="-5"/>
        </w:rPr>
        <w:t xml:space="preserve"> </w:t>
      </w:r>
      <w:r w:rsidR="006420CB" w:rsidRPr="000F25DC">
        <w:t>methodology</w:t>
      </w:r>
      <w:r w:rsidR="006420CB" w:rsidRPr="000F25DC">
        <w:rPr>
          <w:spacing w:val="-7"/>
        </w:rPr>
        <w:t xml:space="preserve"> </w:t>
      </w:r>
      <w:r w:rsidR="006420CB" w:rsidRPr="000F25DC">
        <w:t>behind</w:t>
      </w:r>
      <w:r w:rsidR="006420CB" w:rsidRPr="000F25DC">
        <w:rPr>
          <w:spacing w:val="-6"/>
        </w:rPr>
        <w:t xml:space="preserve"> </w:t>
      </w:r>
      <w:r w:rsidR="006420CB" w:rsidRPr="000F25DC">
        <w:t>how</w:t>
      </w:r>
      <w:r w:rsidR="006420CB" w:rsidRPr="000F25DC">
        <w:rPr>
          <w:spacing w:val="-5"/>
        </w:rPr>
        <w:t xml:space="preserve"> </w:t>
      </w:r>
      <w:r w:rsidR="006420CB" w:rsidRPr="000F25DC">
        <w:t>each</w:t>
      </w:r>
      <w:r w:rsidR="006420CB" w:rsidRPr="000F25DC">
        <w:rPr>
          <w:spacing w:val="-6"/>
        </w:rPr>
        <w:t xml:space="preserve"> </w:t>
      </w:r>
      <w:r w:rsidR="006420CB" w:rsidRPr="000F25DC">
        <w:t>statistic</w:t>
      </w:r>
      <w:r w:rsidR="006420CB" w:rsidRPr="000F25DC">
        <w:rPr>
          <w:spacing w:val="-6"/>
        </w:rPr>
        <w:t xml:space="preserve"> </w:t>
      </w:r>
      <w:r w:rsidR="006420CB" w:rsidRPr="000F25DC">
        <w:t>or</w:t>
      </w:r>
      <w:r w:rsidR="006420CB" w:rsidRPr="000F25DC">
        <w:rPr>
          <w:spacing w:val="-8"/>
        </w:rPr>
        <w:t xml:space="preserve"> </w:t>
      </w:r>
      <w:r w:rsidR="006420CB" w:rsidRPr="000F25DC">
        <w:t>performance measure was determined. If you do not track measures of effectiveness for a given division, department, or program, please explain why.</w:t>
      </w:r>
    </w:p>
    <w:p w14:paraId="5AC48927" w14:textId="77777777" w:rsidR="006420CB" w:rsidRPr="00C26198" w:rsidRDefault="006420CB" w:rsidP="008D113A">
      <w:pPr>
        <w:pStyle w:val="BodyText"/>
        <w:rPr>
          <w:spacing w:val="-2"/>
        </w:rPr>
      </w:pPr>
      <w:r w:rsidRPr="000F25DC">
        <w:t>In</w:t>
      </w:r>
      <w:r w:rsidRPr="000F25DC">
        <w:rPr>
          <w:spacing w:val="-3"/>
        </w:rPr>
        <w:t xml:space="preserve"> </w:t>
      </w:r>
      <w:r w:rsidRPr="000F25DC">
        <w:t>2024,</w:t>
      </w:r>
      <w:r w:rsidRPr="000F25DC">
        <w:rPr>
          <w:spacing w:val="-5"/>
        </w:rPr>
        <w:t xml:space="preserve"> </w:t>
      </w:r>
      <w:r>
        <w:t xml:space="preserve">WRO career coaches from TWC and the Boards </w:t>
      </w:r>
      <w:r w:rsidRPr="000F25DC">
        <w:t>collectively</w:t>
      </w:r>
      <w:r w:rsidRPr="000F25DC">
        <w:rPr>
          <w:spacing w:val="-2"/>
        </w:rPr>
        <w:t xml:space="preserve"> </w:t>
      </w:r>
      <w:r>
        <w:rPr>
          <w:spacing w:val="-2"/>
        </w:rPr>
        <w:t>p</w:t>
      </w:r>
      <w:r w:rsidRPr="00907BD6">
        <w:t>rovided</w:t>
      </w:r>
      <w:r w:rsidRPr="003E5306">
        <w:t xml:space="preserve"> </w:t>
      </w:r>
      <w:r w:rsidRPr="004B7328">
        <w:t>11,072 workforce rea</w:t>
      </w:r>
      <w:r w:rsidRPr="00F23A6B">
        <w:t xml:space="preserve">diness group </w:t>
      </w:r>
      <w:r w:rsidRPr="004C216E">
        <w:t xml:space="preserve">sessions </w:t>
      </w:r>
      <w:r w:rsidRPr="00DA680C">
        <w:t>and 16,</w:t>
      </w:r>
      <w:r w:rsidRPr="008E5C4C">
        <w:t>939 one-on-one meetings</w:t>
      </w:r>
      <w:r w:rsidRPr="004F1FDD">
        <w:t xml:space="preserve"> with </w:t>
      </w:r>
      <w:r w:rsidRPr="00C172FE">
        <w:t xml:space="preserve">233,313 </w:t>
      </w:r>
      <w:r w:rsidRPr="00D92C12">
        <w:t>students</w:t>
      </w:r>
      <w:r>
        <w:t xml:space="preserve"> and 64,432 adults.  TWC’s team also responded to 4,612 hotline calls.</w:t>
      </w:r>
    </w:p>
    <w:p w14:paraId="506CC336" w14:textId="77777777" w:rsidR="006420CB" w:rsidRDefault="006420CB" w:rsidP="008D113A">
      <w:pPr>
        <w:pStyle w:val="BodyText"/>
      </w:pPr>
      <w:r>
        <w:t>TWC</w:t>
      </w:r>
      <w:r w:rsidRPr="000F25DC">
        <w:t xml:space="preserve"> track</w:t>
      </w:r>
      <w:r>
        <w:t>s</w:t>
      </w:r>
      <w:r w:rsidRPr="000F25DC">
        <w:t xml:space="preserve"> several student outcome data points to determine if there </w:t>
      </w:r>
      <w:r>
        <w:t>i</w:t>
      </w:r>
      <w:r w:rsidRPr="000F25DC">
        <w:t xml:space="preserve">s a difference between the performance of districts </w:t>
      </w:r>
      <w:r>
        <w:t>that</w:t>
      </w:r>
      <w:r w:rsidRPr="000F25DC">
        <w:t xml:space="preserve"> received </w:t>
      </w:r>
      <w:r>
        <w:t xml:space="preserve">WRO </w:t>
      </w:r>
      <w:r w:rsidRPr="000F25DC">
        <w:t>services from TWC versus all other school districts across the state.</w:t>
      </w:r>
      <w:r>
        <w:t xml:space="preserve">  </w:t>
      </w:r>
      <w:r w:rsidRPr="000F25DC">
        <w:t xml:space="preserve">The data collected shows a higher performance rate in several categories for the </w:t>
      </w:r>
      <w:r>
        <w:t>districts receiving WRO services</w:t>
      </w:r>
      <w:r w:rsidRPr="000F25DC">
        <w:rPr>
          <w:spacing w:val="-7"/>
        </w:rPr>
        <w:t xml:space="preserve"> </w:t>
      </w:r>
      <w:r w:rsidRPr="000F25DC">
        <w:t>in</w:t>
      </w:r>
      <w:r w:rsidRPr="000F25DC">
        <w:rPr>
          <w:spacing w:val="-5"/>
        </w:rPr>
        <w:t xml:space="preserve"> </w:t>
      </w:r>
      <w:r w:rsidRPr="000F25DC">
        <w:t>comparison</w:t>
      </w:r>
      <w:r w:rsidRPr="000F25DC">
        <w:rPr>
          <w:spacing w:val="-8"/>
        </w:rPr>
        <w:t xml:space="preserve"> </w:t>
      </w:r>
      <w:r w:rsidRPr="000F25DC">
        <w:t>to</w:t>
      </w:r>
      <w:r w:rsidRPr="000F25DC">
        <w:rPr>
          <w:spacing w:val="-6"/>
        </w:rPr>
        <w:t xml:space="preserve"> </w:t>
      </w:r>
      <w:r w:rsidRPr="000F25DC">
        <w:t>the</w:t>
      </w:r>
      <w:r w:rsidRPr="000F25DC">
        <w:rPr>
          <w:spacing w:val="-6"/>
        </w:rPr>
        <w:t xml:space="preserve"> </w:t>
      </w:r>
      <w:r w:rsidRPr="000F25DC">
        <w:t>statewide</w:t>
      </w:r>
      <w:r w:rsidRPr="000F25DC">
        <w:rPr>
          <w:spacing w:val="-8"/>
        </w:rPr>
        <w:t xml:space="preserve"> </w:t>
      </w:r>
      <w:r w:rsidRPr="000F25DC">
        <w:lastRenderedPageBreak/>
        <w:t>data.</w:t>
      </w:r>
      <w:r w:rsidRPr="000F25DC">
        <w:rPr>
          <w:spacing w:val="-7"/>
        </w:rPr>
        <w:t xml:space="preserve"> </w:t>
      </w:r>
      <w:r>
        <w:t xml:space="preserve">For example, students completing career and technical education (CTE) requirements in the 2021-2022 academic year was </w:t>
      </w:r>
      <w:r w:rsidRPr="000F25DC">
        <w:t>31.2</w:t>
      </w:r>
      <w:r>
        <w:t xml:space="preserve"> percent </w:t>
      </w:r>
      <w:r w:rsidRPr="000F25DC">
        <w:t>for</w:t>
      </w:r>
      <w:r w:rsidRPr="000F25DC">
        <w:rPr>
          <w:spacing w:val="-1"/>
        </w:rPr>
        <w:t xml:space="preserve"> </w:t>
      </w:r>
      <w:r>
        <w:rPr>
          <w:spacing w:val="-1"/>
        </w:rPr>
        <w:t xml:space="preserve">those receiving </w:t>
      </w:r>
      <w:r w:rsidRPr="000F25DC">
        <w:t>WRO</w:t>
      </w:r>
      <w:r>
        <w:t xml:space="preserve"> services compared to </w:t>
      </w:r>
      <w:r w:rsidRPr="000F25DC">
        <w:t>27.6</w:t>
      </w:r>
      <w:r>
        <w:t xml:space="preserve"> percent</w:t>
      </w:r>
      <w:r w:rsidRPr="000F25DC">
        <w:rPr>
          <w:spacing w:val="-3"/>
        </w:rPr>
        <w:t xml:space="preserve"> </w:t>
      </w:r>
      <w:r w:rsidRPr="000F25DC">
        <w:t>for</w:t>
      </w:r>
      <w:r w:rsidRPr="000F25DC">
        <w:rPr>
          <w:spacing w:val="-1"/>
        </w:rPr>
        <w:t xml:space="preserve"> </w:t>
      </w:r>
      <w:r w:rsidRPr="000F25DC">
        <w:t>all</w:t>
      </w:r>
      <w:r>
        <w:rPr>
          <w:spacing w:val="-2"/>
        </w:rPr>
        <w:t xml:space="preserve"> schools</w:t>
      </w:r>
      <w:r w:rsidRPr="000F25DC">
        <w:rPr>
          <w:spacing w:val="-2"/>
        </w:rPr>
        <w:t>.</w:t>
      </w:r>
      <w:r>
        <w:rPr>
          <w:spacing w:val="-2"/>
        </w:rPr>
        <w:t xml:space="preserve">  That same year, high school graduates meeting Career or Military Ready criteria was </w:t>
      </w:r>
      <w:r w:rsidRPr="000F25DC">
        <w:t>26.7</w:t>
      </w:r>
      <w:r>
        <w:t xml:space="preserve"> percent</w:t>
      </w:r>
      <w:r w:rsidRPr="000F25DC">
        <w:rPr>
          <w:spacing w:val="-3"/>
        </w:rPr>
        <w:t xml:space="preserve"> </w:t>
      </w:r>
      <w:r w:rsidRPr="000F25DC">
        <w:t>for</w:t>
      </w:r>
      <w:r w:rsidRPr="000F25DC">
        <w:rPr>
          <w:spacing w:val="-1"/>
        </w:rPr>
        <w:t xml:space="preserve"> </w:t>
      </w:r>
      <w:r>
        <w:rPr>
          <w:spacing w:val="-1"/>
        </w:rPr>
        <w:t xml:space="preserve">those receiving </w:t>
      </w:r>
      <w:r w:rsidRPr="000F25DC">
        <w:t>WRO</w:t>
      </w:r>
      <w:r w:rsidRPr="000F25DC">
        <w:rPr>
          <w:spacing w:val="-2"/>
        </w:rPr>
        <w:t xml:space="preserve"> </w:t>
      </w:r>
      <w:r>
        <w:rPr>
          <w:spacing w:val="-2"/>
        </w:rPr>
        <w:t xml:space="preserve">services </w:t>
      </w:r>
      <w:r w:rsidRPr="000F25DC">
        <w:t>and 24.2</w:t>
      </w:r>
      <w:r>
        <w:t xml:space="preserve"> percent</w:t>
      </w:r>
      <w:r w:rsidRPr="000F25DC">
        <w:rPr>
          <w:spacing w:val="-3"/>
        </w:rPr>
        <w:t xml:space="preserve"> </w:t>
      </w:r>
      <w:r w:rsidRPr="000F25DC">
        <w:t>for</w:t>
      </w:r>
      <w:r w:rsidRPr="000F25DC">
        <w:rPr>
          <w:spacing w:val="-1"/>
        </w:rPr>
        <w:t xml:space="preserve"> </w:t>
      </w:r>
      <w:r w:rsidRPr="000F25DC">
        <w:t xml:space="preserve">all </w:t>
      </w:r>
      <w:r w:rsidRPr="000F25DC">
        <w:rPr>
          <w:spacing w:val="-2"/>
        </w:rPr>
        <w:t>schools.</w:t>
      </w:r>
      <w:r>
        <w:rPr>
          <w:spacing w:val="-2"/>
        </w:rPr>
        <w:t xml:space="preserve">  </w:t>
      </w:r>
    </w:p>
    <w:p w14:paraId="7BBC6398" w14:textId="77777777" w:rsidR="006420CB" w:rsidRPr="000F25DC" w:rsidRDefault="006420CB" w:rsidP="008D113A">
      <w:pPr>
        <w:pStyle w:val="BodyText3"/>
        <w:ind w:left="720" w:hanging="720"/>
      </w:pPr>
      <w:r>
        <w:t>D.</w:t>
      </w:r>
      <w:r>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t>regarding</w:t>
      </w:r>
      <w:r>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0545C505" w14:textId="77777777" w:rsidR="006420CB" w:rsidRPr="000F25DC" w:rsidRDefault="006420CB" w:rsidP="008D113A">
      <w:pPr>
        <w:pStyle w:val="BodyText"/>
      </w:pPr>
      <w:r w:rsidRPr="000F25DC">
        <w:t>TWC</w:t>
      </w:r>
      <w:r w:rsidRPr="000F25DC">
        <w:rPr>
          <w:spacing w:val="-13"/>
        </w:rPr>
        <w:t xml:space="preserve"> </w:t>
      </w:r>
      <w:r w:rsidRPr="000F25DC">
        <w:t>began</w:t>
      </w:r>
      <w:r w:rsidRPr="000F25DC">
        <w:rPr>
          <w:spacing w:val="-13"/>
        </w:rPr>
        <w:t xml:space="preserve"> </w:t>
      </w:r>
      <w:r w:rsidRPr="000F25DC">
        <w:t>providing</w:t>
      </w:r>
      <w:r w:rsidRPr="000F25DC">
        <w:rPr>
          <w:spacing w:val="-12"/>
        </w:rPr>
        <w:t xml:space="preserve"> </w:t>
      </w:r>
      <w:r>
        <w:t>WRO</w:t>
      </w:r>
      <w:r w:rsidRPr="000F25DC">
        <w:rPr>
          <w:spacing w:val="-11"/>
        </w:rPr>
        <w:t xml:space="preserve"> </w:t>
      </w:r>
      <w:r w:rsidRPr="000F25DC">
        <w:t>services</w:t>
      </w:r>
      <w:r w:rsidRPr="000F25DC">
        <w:rPr>
          <w:spacing w:val="-12"/>
        </w:rPr>
        <w:t xml:space="preserve"> </w:t>
      </w:r>
      <w:r w:rsidRPr="000F25DC">
        <w:t>to</w:t>
      </w:r>
      <w:r w:rsidRPr="000F25DC">
        <w:rPr>
          <w:spacing w:val="-12"/>
        </w:rPr>
        <w:t xml:space="preserve"> </w:t>
      </w:r>
      <w:r w:rsidRPr="000F25DC">
        <w:t>schools</w:t>
      </w:r>
      <w:r w:rsidRPr="000F25DC">
        <w:rPr>
          <w:spacing w:val="-12"/>
        </w:rPr>
        <w:t xml:space="preserve"> </w:t>
      </w:r>
      <w:r w:rsidRPr="000F25DC">
        <w:t>across</w:t>
      </w:r>
      <w:r w:rsidRPr="000F25DC">
        <w:rPr>
          <w:spacing w:val="-12"/>
        </w:rPr>
        <w:t xml:space="preserve"> </w:t>
      </w:r>
      <w:r w:rsidRPr="000F25DC">
        <w:t>the</w:t>
      </w:r>
      <w:r w:rsidRPr="000F25DC">
        <w:rPr>
          <w:spacing w:val="-12"/>
        </w:rPr>
        <w:t xml:space="preserve"> </w:t>
      </w:r>
      <w:r w:rsidRPr="000F25DC">
        <w:t>state</w:t>
      </w:r>
      <w:r w:rsidRPr="000F25DC">
        <w:rPr>
          <w:spacing w:val="-12"/>
        </w:rPr>
        <w:t xml:space="preserve"> </w:t>
      </w:r>
      <w:r w:rsidRPr="000F25DC">
        <w:t>in</w:t>
      </w:r>
      <w:r w:rsidRPr="000F25DC">
        <w:rPr>
          <w:spacing w:val="-11"/>
        </w:rPr>
        <w:t xml:space="preserve"> </w:t>
      </w:r>
      <w:r w:rsidRPr="000F25DC">
        <w:t>2014. The demand for these services was so large, the team quickly expanded from one career coach to three coaches on staff in roughly two years. In 2019, the agency launched a pilot program to replicate</w:t>
      </w:r>
      <w:r w:rsidRPr="000F25DC">
        <w:rPr>
          <w:spacing w:val="-3"/>
        </w:rPr>
        <w:t xml:space="preserve"> </w:t>
      </w:r>
      <w:r w:rsidRPr="000F25DC">
        <w:t>the</w:t>
      </w:r>
      <w:r w:rsidRPr="000F25DC">
        <w:rPr>
          <w:spacing w:val="-1"/>
        </w:rPr>
        <w:t xml:space="preserve"> </w:t>
      </w:r>
      <w:r w:rsidRPr="000F25DC">
        <w:t>state-level</w:t>
      </w:r>
      <w:r w:rsidRPr="000F25DC">
        <w:rPr>
          <w:spacing w:val="-4"/>
        </w:rPr>
        <w:t xml:space="preserve"> </w:t>
      </w:r>
      <w:r w:rsidRPr="000F25DC">
        <w:t>team at the</w:t>
      </w:r>
      <w:r w:rsidRPr="000F25DC">
        <w:rPr>
          <w:spacing w:val="-1"/>
        </w:rPr>
        <w:t xml:space="preserve"> </w:t>
      </w:r>
      <w:r>
        <w:t>local</w:t>
      </w:r>
      <w:r w:rsidRPr="000F25DC">
        <w:t xml:space="preserve"> level</w:t>
      </w:r>
      <w:r w:rsidRPr="000F25DC">
        <w:rPr>
          <w:spacing w:val="-1"/>
        </w:rPr>
        <w:t xml:space="preserve"> </w:t>
      </w:r>
      <w:r w:rsidRPr="000F25DC">
        <w:t>by</w:t>
      </w:r>
      <w:r w:rsidRPr="000F25DC">
        <w:rPr>
          <w:spacing w:val="-2"/>
        </w:rPr>
        <w:t xml:space="preserve"> </w:t>
      </w:r>
      <w:r w:rsidRPr="000F25DC">
        <w:t xml:space="preserve">awarding seven </w:t>
      </w:r>
      <w:r>
        <w:t>B</w:t>
      </w:r>
      <w:r w:rsidRPr="000F25DC">
        <w:t>oards</w:t>
      </w:r>
      <w:r w:rsidRPr="000F25DC">
        <w:rPr>
          <w:spacing w:val="-2"/>
        </w:rPr>
        <w:t xml:space="preserve"> </w:t>
      </w:r>
      <w:r w:rsidRPr="000F25DC">
        <w:t>a grant to build</w:t>
      </w:r>
      <w:r w:rsidRPr="000F25DC">
        <w:rPr>
          <w:spacing w:val="-14"/>
        </w:rPr>
        <w:t xml:space="preserve"> </w:t>
      </w:r>
      <w:r w:rsidRPr="000F25DC">
        <w:t>a</w:t>
      </w:r>
      <w:r w:rsidRPr="000F25DC">
        <w:rPr>
          <w:spacing w:val="-14"/>
        </w:rPr>
        <w:t xml:space="preserve"> </w:t>
      </w:r>
      <w:r>
        <w:t>regional</w:t>
      </w:r>
      <w:r w:rsidRPr="000F25DC">
        <w:rPr>
          <w:spacing w:val="-13"/>
        </w:rPr>
        <w:t xml:space="preserve"> </w:t>
      </w:r>
      <w:r w:rsidRPr="000F25DC">
        <w:t>Workforce</w:t>
      </w:r>
      <w:r w:rsidRPr="000F25DC">
        <w:rPr>
          <w:spacing w:val="-14"/>
        </w:rPr>
        <w:t xml:space="preserve"> </w:t>
      </w:r>
      <w:r w:rsidRPr="000F25DC">
        <w:t>Readiness</w:t>
      </w:r>
      <w:r w:rsidRPr="000F25DC">
        <w:rPr>
          <w:spacing w:val="-13"/>
        </w:rPr>
        <w:t xml:space="preserve"> </w:t>
      </w:r>
      <w:r w:rsidRPr="000F25DC">
        <w:t>Outreach</w:t>
      </w:r>
      <w:r w:rsidRPr="000F25DC">
        <w:rPr>
          <w:spacing w:val="-14"/>
        </w:rPr>
        <w:t xml:space="preserve"> </w:t>
      </w:r>
      <w:r w:rsidRPr="000F25DC">
        <w:t>of</w:t>
      </w:r>
      <w:r w:rsidRPr="000F25DC">
        <w:rPr>
          <w:spacing w:val="-13"/>
        </w:rPr>
        <w:t xml:space="preserve"> </w:t>
      </w:r>
      <w:r w:rsidRPr="000F25DC">
        <w:t>their</w:t>
      </w:r>
      <w:r w:rsidRPr="000F25DC">
        <w:rPr>
          <w:spacing w:val="-14"/>
        </w:rPr>
        <w:t xml:space="preserve"> </w:t>
      </w:r>
      <w:r w:rsidRPr="000F25DC">
        <w:t>own.</w:t>
      </w:r>
      <w:r w:rsidRPr="000F25DC">
        <w:rPr>
          <w:spacing w:val="-14"/>
        </w:rPr>
        <w:t xml:space="preserve"> </w:t>
      </w:r>
      <w:r w:rsidRPr="000F25DC">
        <w:t>The</w:t>
      </w:r>
      <w:r w:rsidRPr="000F25DC">
        <w:rPr>
          <w:spacing w:val="-13"/>
        </w:rPr>
        <w:t xml:space="preserve"> </w:t>
      </w:r>
      <w:r w:rsidRPr="000F25DC">
        <w:t>TWC</w:t>
      </w:r>
      <w:r w:rsidRPr="000F25DC">
        <w:rPr>
          <w:spacing w:val="-14"/>
        </w:rPr>
        <w:t xml:space="preserve"> </w:t>
      </w:r>
      <w:r w:rsidRPr="000F25DC">
        <w:t>team</w:t>
      </w:r>
      <w:r w:rsidRPr="000F25DC">
        <w:rPr>
          <w:spacing w:val="-13"/>
        </w:rPr>
        <w:t xml:space="preserve"> </w:t>
      </w:r>
      <w:r w:rsidRPr="000F25DC">
        <w:t>on-boarded</w:t>
      </w:r>
      <w:r w:rsidRPr="000F25DC">
        <w:rPr>
          <w:spacing w:val="-14"/>
        </w:rPr>
        <w:t xml:space="preserve"> </w:t>
      </w:r>
      <w:r w:rsidRPr="000F25DC">
        <w:t>the</w:t>
      </w:r>
      <w:r w:rsidRPr="000F25DC">
        <w:rPr>
          <w:spacing w:val="-13"/>
        </w:rPr>
        <w:t xml:space="preserve"> </w:t>
      </w:r>
      <w:r w:rsidRPr="000F25DC">
        <w:t xml:space="preserve">pilot teams and worked closely with them as they built their programs. The pilot ended in 2021 with great success and though there were no longer any grant dollars available, all </w:t>
      </w:r>
      <w:r>
        <w:t>28</w:t>
      </w:r>
      <w:r w:rsidRPr="000F25DC">
        <w:t xml:space="preserve"> </w:t>
      </w:r>
      <w:r>
        <w:t>B</w:t>
      </w:r>
      <w:r w:rsidRPr="000F25DC">
        <w:t xml:space="preserve">oards were invited to grow their own teams and use any appropriate funding sources available to support this work. Seven new </w:t>
      </w:r>
      <w:r>
        <w:t>B</w:t>
      </w:r>
      <w:r w:rsidRPr="000F25DC">
        <w:t>oards opted in, and the original seven pilot teams remained.</w:t>
      </w:r>
    </w:p>
    <w:p w14:paraId="60A3FB99" w14:textId="77777777" w:rsidR="006420CB" w:rsidRPr="000F25DC" w:rsidRDefault="006420CB" w:rsidP="008D113A">
      <w:pPr>
        <w:pStyle w:val="BodyText"/>
      </w:pPr>
      <w:r w:rsidRPr="000F25DC">
        <w:t>Each year, more boards show interest in joining the outreach network, but lack of sustainable funding has proven a great challenge to the efforts to grow the team.</w:t>
      </w:r>
    </w:p>
    <w:p w14:paraId="0DF811EC" w14:textId="77777777" w:rsidR="006420CB" w:rsidRDefault="006420CB" w:rsidP="008D113A">
      <w:pPr>
        <w:pStyle w:val="BodyText"/>
        <w:rPr>
          <w:shd w:val="clear" w:color="auto" w:fill="FFFFFF"/>
        </w:rPr>
      </w:pPr>
      <w:r w:rsidRPr="000F25DC">
        <w:rPr>
          <w:shd w:val="clear" w:color="auto" w:fill="FFFFFF"/>
        </w:rPr>
        <w:t xml:space="preserve">The program continues to seek ways to secure sustainable funding to ensure permanence and ability to scale. </w:t>
      </w:r>
      <w:r>
        <w:rPr>
          <w:shd w:val="clear" w:color="auto" w:fill="FFFFFF"/>
        </w:rPr>
        <w:t xml:space="preserve">The </w:t>
      </w:r>
      <w:r w:rsidRPr="000F25DC">
        <w:rPr>
          <w:shd w:val="clear" w:color="auto" w:fill="FFFFFF"/>
        </w:rPr>
        <w:t xml:space="preserve">89th </w:t>
      </w:r>
      <w:r>
        <w:rPr>
          <w:shd w:val="clear" w:color="auto" w:fill="FFFFFF"/>
        </w:rPr>
        <w:t xml:space="preserve">Texas </w:t>
      </w:r>
      <w:r w:rsidRPr="000F25DC">
        <w:rPr>
          <w:shd w:val="clear" w:color="auto" w:fill="FFFFFF"/>
        </w:rPr>
        <w:t>Legislat</w:t>
      </w:r>
      <w:r>
        <w:rPr>
          <w:shd w:val="clear" w:color="auto" w:fill="FFFFFF"/>
        </w:rPr>
        <w:t>ure</w:t>
      </w:r>
      <w:r w:rsidRPr="000F25DC">
        <w:rPr>
          <w:shd w:val="clear" w:color="auto" w:fill="FFFFFF"/>
        </w:rPr>
        <w:t xml:space="preserve"> pass</w:t>
      </w:r>
      <w:r>
        <w:rPr>
          <w:shd w:val="clear" w:color="auto" w:fill="FFFFFF"/>
        </w:rPr>
        <w:t>ed</w:t>
      </w:r>
      <w:r w:rsidRPr="000F25DC">
        <w:rPr>
          <w:shd w:val="clear" w:color="auto" w:fill="FFFFFF"/>
        </w:rPr>
        <w:t xml:space="preserve"> </w:t>
      </w:r>
      <w:r>
        <w:rPr>
          <w:shd w:val="clear" w:color="auto" w:fill="FFFFFF"/>
        </w:rPr>
        <w:t>House Bill</w:t>
      </w:r>
      <w:r w:rsidRPr="000F25DC">
        <w:rPr>
          <w:shd w:val="clear" w:color="auto" w:fill="FFFFFF"/>
        </w:rPr>
        <w:t xml:space="preserve"> 120</w:t>
      </w:r>
      <w:r>
        <w:rPr>
          <w:shd w:val="clear" w:color="auto" w:fill="FFFFFF"/>
        </w:rPr>
        <w:t>,</w:t>
      </w:r>
      <w:r w:rsidRPr="000F25DC">
        <w:rPr>
          <w:shd w:val="clear" w:color="auto" w:fill="FFFFFF"/>
        </w:rPr>
        <w:t xml:space="preserve"> which may provide an opportunity for </w:t>
      </w:r>
      <w:r>
        <w:rPr>
          <w:shd w:val="clear" w:color="auto" w:fill="FFFFFF"/>
        </w:rPr>
        <w:t>c</w:t>
      </w:r>
      <w:r w:rsidRPr="000F25DC">
        <w:rPr>
          <w:shd w:val="clear" w:color="auto" w:fill="FFFFFF"/>
        </w:rPr>
        <w:t xml:space="preserve">areer </w:t>
      </w:r>
      <w:r>
        <w:rPr>
          <w:shd w:val="clear" w:color="auto" w:fill="FFFFFF"/>
        </w:rPr>
        <w:t>c</w:t>
      </w:r>
      <w:r w:rsidRPr="000F25DC">
        <w:rPr>
          <w:shd w:val="clear" w:color="auto" w:fill="FFFFFF"/>
        </w:rPr>
        <w:t xml:space="preserve">oach roles to be supported through Foundation High School funding as external </w:t>
      </w:r>
      <w:r>
        <w:rPr>
          <w:shd w:val="clear" w:color="auto" w:fill="FFFFFF"/>
        </w:rPr>
        <w:t>c</w:t>
      </w:r>
      <w:r w:rsidRPr="000F25DC">
        <w:rPr>
          <w:shd w:val="clear" w:color="auto" w:fill="FFFFFF"/>
        </w:rPr>
        <w:t xml:space="preserve">areer </w:t>
      </w:r>
      <w:r>
        <w:rPr>
          <w:shd w:val="clear" w:color="auto" w:fill="FFFFFF"/>
        </w:rPr>
        <w:t>a</w:t>
      </w:r>
      <w:r w:rsidRPr="000F25DC">
        <w:rPr>
          <w:shd w:val="clear" w:color="auto" w:fill="FFFFFF"/>
        </w:rPr>
        <w:t>dvisers. More research and communications with agency partners are needed to determine feasibility</w:t>
      </w:r>
      <w:r>
        <w:rPr>
          <w:shd w:val="clear" w:color="auto" w:fill="FFFFFF"/>
        </w:rPr>
        <w:t xml:space="preserve"> and develop a plan.</w:t>
      </w:r>
    </w:p>
    <w:p w14:paraId="6BF8918B" w14:textId="77777777" w:rsidR="006420CB" w:rsidRPr="000F25DC" w:rsidRDefault="006420CB" w:rsidP="008D113A">
      <w:pPr>
        <w:pStyle w:val="BodyText3"/>
        <w:ind w:left="720" w:hanging="720"/>
      </w:pPr>
      <w:r>
        <w:t>E.</w:t>
      </w:r>
      <w:r>
        <w:tab/>
      </w:r>
      <w:r w:rsidRPr="000F25DC">
        <w:t>List any qualifications or eligibility requirements for persons or entities affected by this division or program (e.g., licensees, consumers, and landowners). Provide a statistical breakdown of persons or entities affected.</w:t>
      </w:r>
    </w:p>
    <w:p w14:paraId="39F46620" w14:textId="77777777" w:rsidR="006420CB" w:rsidRPr="000F25DC" w:rsidRDefault="006420CB" w:rsidP="008D113A">
      <w:pPr>
        <w:pStyle w:val="BodyText"/>
      </w:pPr>
      <w:r>
        <w:t>WRO s</w:t>
      </w:r>
      <w:r w:rsidRPr="000F25DC">
        <w:t>ervices are available to any secondary or postsecondary students, their parents, or district/campus</w:t>
      </w:r>
      <w:r w:rsidRPr="000F25DC">
        <w:rPr>
          <w:spacing w:val="-14"/>
        </w:rPr>
        <w:t xml:space="preserve"> </w:t>
      </w:r>
      <w:r w:rsidRPr="000F25DC">
        <w:t>staff</w:t>
      </w:r>
      <w:r w:rsidRPr="000F25DC">
        <w:rPr>
          <w:spacing w:val="-14"/>
        </w:rPr>
        <w:t xml:space="preserve"> </w:t>
      </w:r>
      <w:r w:rsidRPr="000F25DC">
        <w:t>across</w:t>
      </w:r>
      <w:r w:rsidRPr="000F25DC">
        <w:rPr>
          <w:spacing w:val="-13"/>
        </w:rPr>
        <w:t xml:space="preserve"> </w:t>
      </w:r>
      <w:r w:rsidRPr="000F25DC">
        <w:t>the</w:t>
      </w:r>
      <w:r w:rsidRPr="000F25DC">
        <w:rPr>
          <w:spacing w:val="-14"/>
        </w:rPr>
        <w:t xml:space="preserve"> </w:t>
      </w:r>
      <w:r w:rsidRPr="000F25DC">
        <w:t>state.</w:t>
      </w:r>
      <w:r w:rsidRPr="000F25DC">
        <w:rPr>
          <w:spacing w:val="-13"/>
        </w:rPr>
        <w:t xml:space="preserve"> </w:t>
      </w:r>
      <w:r w:rsidRPr="000F25DC">
        <w:t>Services</w:t>
      </w:r>
      <w:r w:rsidRPr="000F25DC">
        <w:rPr>
          <w:spacing w:val="-14"/>
        </w:rPr>
        <w:t xml:space="preserve"> </w:t>
      </w:r>
      <w:r w:rsidRPr="000F25DC">
        <w:t>may</w:t>
      </w:r>
      <w:r w:rsidRPr="000F25DC">
        <w:rPr>
          <w:spacing w:val="-13"/>
        </w:rPr>
        <w:t xml:space="preserve"> </w:t>
      </w:r>
      <w:r w:rsidRPr="000F25DC">
        <w:t>also</w:t>
      </w:r>
      <w:r w:rsidRPr="000F25DC">
        <w:rPr>
          <w:spacing w:val="-14"/>
        </w:rPr>
        <w:t xml:space="preserve"> </w:t>
      </w:r>
      <w:r w:rsidRPr="000F25DC">
        <w:t>be</w:t>
      </w:r>
      <w:r w:rsidRPr="000F25DC">
        <w:rPr>
          <w:spacing w:val="-14"/>
        </w:rPr>
        <w:t xml:space="preserve"> </w:t>
      </w:r>
      <w:r w:rsidRPr="000F25DC">
        <w:t>provided</w:t>
      </w:r>
      <w:r w:rsidRPr="000F25DC">
        <w:rPr>
          <w:spacing w:val="-13"/>
        </w:rPr>
        <w:t xml:space="preserve"> </w:t>
      </w:r>
      <w:r w:rsidRPr="000F25DC">
        <w:t>in</w:t>
      </w:r>
      <w:r w:rsidRPr="000F25DC">
        <w:rPr>
          <w:spacing w:val="-14"/>
        </w:rPr>
        <w:t xml:space="preserve"> </w:t>
      </w:r>
      <w:r>
        <w:t>f</w:t>
      </w:r>
      <w:r w:rsidRPr="000F25DC">
        <w:t>oster</w:t>
      </w:r>
      <w:r w:rsidRPr="000F25DC">
        <w:rPr>
          <w:spacing w:val="-13"/>
        </w:rPr>
        <w:t xml:space="preserve"> </w:t>
      </w:r>
      <w:r>
        <w:t>y</w:t>
      </w:r>
      <w:r w:rsidRPr="000F25DC">
        <w:t>outh</w:t>
      </w:r>
      <w:r w:rsidRPr="000F25DC">
        <w:rPr>
          <w:spacing w:val="-14"/>
        </w:rPr>
        <w:t xml:space="preserve"> </w:t>
      </w:r>
      <w:r w:rsidRPr="000F25DC">
        <w:t>group</w:t>
      </w:r>
      <w:r w:rsidRPr="000F25DC">
        <w:rPr>
          <w:spacing w:val="-13"/>
        </w:rPr>
        <w:t xml:space="preserve"> </w:t>
      </w:r>
      <w:r w:rsidRPr="000F25DC">
        <w:t>homes or transition centers and</w:t>
      </w:r>
      <w:r>
        <w:t xml:space="preserve"> in TDCJ and TJJD facilities</w:t>
      </w:r>
      <w:r w:rsidRPr="000F25DC">
        <w:t>.</w:t>
      </w:r>
    </w:p>
    <w:p w14:paraId="1AA1DD9C" w14:textId="77777777" w:rsidR="006420CB" w:rsidRDefault="006420CB" w:rsidP="008D113A">
      <w:pPr>
        <w:pStyle w:val="BodyText"/>
      </w:pPr>
      <w:r w:rsidRPr="000F25DC">
        <w:t xml:space="preserve">Career </w:t>
      </w:r>
      <w:r>
        <w:t>c</w:t>
      </w:r>
      <w:r w:rsidRPr="000F25DC">
        <w:t xml:space="preserve">oaches can also partner with fellow </w:t>
      </w:r>
      <w:r>
        <w:t>Board</w:t>
      </w:r>
      <w:r w:rsidRPr="000F25DC">
        <w:t xml:space="preserve"> program staff, industry representatives, employers, local colleges, and community organizations for the purposes of partnership and collaboration as appropriate.</w:t>
      </w:r>
    </w:p>
    <w:p w14:paraId="21002E7A" w14:textId="77777777" w:rsidR="006420CB" w:rsidRPr="000F25DC" w:rsidRDefault="006420CB" w:rsidP="008D113A">
      <w:pPr>
        <w:pStyle w:val="BodyText3"/>
        <w:ind w:left="720" w:hanging="720"/>
      </w:pPr>
      <w:r>
        <w:t>F.</w:t>
      </w:r>
      <w:r>
        <w:tab/>
      </w:r>
      <w:r w:rsidRPr="000F25DC">
        <w:t>Describe how the division or program is administered, including a description of key processes involved. If you have existing documentation (e.g., flowcharts, timelines, and other illustrations)</w:t>
      </w:r>
      <w:r w:rsidRPr="000F25DC">
        <w:rPr>
          <w:spacing w:val="-3"/>
        </w:rPr>
        <w:t xml:space="preserve"> </w:t>
      </w:r>
      <w:r w:rsidRPr="000F25DC">
        <w:t>to</w:t>
      </w:r>
      <w:r w:rsidRPr="000F25DC">
        <w:rPr>
          <w:spacing w:val="-2"/>
        </w:rPr>
        <w:t xml:space="preserve"> </w:t>
      </w:r>
      <w:r w:rsidRPr="000F25DC">
        <w:t>describe</w:t>
      </w:r>
      <w:r w:rsidRPr="000F25DC">
        <w:rPr>
          <w:spacing w:val="-6"/>
        </w:rPr>
        <w:t xml:space="preserve"> </w:t>
      </w:r>
      <w:r w:rsidRPr="000F25DC">
        <w:t>agency</w:t>
      </w:r>
      <w:r w:rsidRPr="000F25DC">
        <w:rPr>
          <w:spacing w:val="-3"/>
        </w:rPr>
        <w:t xml:space="preserve"> </w:t>
      </w:r>
      <w:r w:rsidRPr="000F25DC">
        <w:t>policies</w:t>
      </w:r>
      <w:r w:rsidRPr="000F25DC">
        <w:rPr>
          <w:spacing w:val="-2"/>
        </w:rPr>
        <w:t xml:space="preserve"> </w:t>
      </w:r>
      <w:r w:rsidRPr="000F25DC">
        <w:t>and</w:t>
      </w:r>
      <w:r w:rsidRPr="000F25DC">
        <w:rPr>
          <w:spacing w:val="-2"/>
        </w:rPr>
        <w:t xml:space="preserve"> </w:t>
      </w:r>
      <w:r w:rsidRPr="000F25DC">
        <w:lastRenderedPageBreak/>
        <w:t>procedures,</w:t>
      </w:r>
      <w:r w:rsidRPr="000F25DC">
        <w:rPr>
          <w:spacing w:val="-2"/>
        </w:rPr>
        <w:t xml:space="preserve"> </w:t>
      </w:r>
      <w:r w:rsidRPr="000F25DC">
        <w:t>please</w:t>
      </w:r>
      <w:r w:rsidRPr="000F25DC">
        <w:rPr>
          <w:spacing w:val="-3"/>
        </w:rPr>
        <w:t xml:space="preserve"> </w:t>
      </w:r>
      <w:r w:rsidRPr="000F25DC">
        <w:t>include</w:t>
      </w:r>
      <w:r w:rsidRPr="000F25DC">
        <w:rPr>
          <w:spacing w:val="-3"/>
        </w:rPr>
        <w:t xml:space="preserve"> </w:t>
      </w:r>
      <w:r w:rsidRPr="000F25DC">
        <w:t>them</w:t>
      </w:r>
      <w:r w:rsidRPr="000F25DC">
        <w:rPr>
          <w:spacing w:val="-3"/>
        </w:rPr>
        <w:t xml:space="preserve"> </w:t>
      </w:r>
      <w:r w:rsidRPr="000F25DC">
        <w:t>as</w:t>
      </w:r>
      <w:r w:rsidRPr="000F25DC">
        <w:rPr>
          <w:spacing w:val="-2"/>
        </w:rPr>
        <w:t xml:space="preserve"> </w:t>
      </w:r>
      <w:r w:rsidRPr="000F25DC">
        <w:t>attachments. Indicate how field/regional services are used, if applicable.</w:t>
      </w:r>
    </w:p>
    <w:p w14:paraId="1F03B459" w14:textId="77777777" w:rsidR="006420CB" w:rsidRDefault="006420CB" w:rsidP="00376427">
      <w:pPr>
        <w:pStyle w:val="BodyText"/>
      </w:pPr>
      <w:r>
        <w:t xml:space="preserve">TWC’s WRO team includes three career coach positions.  23 of the 28 Boards have signed letters of intent to maintain their own teams of career coaches, but only 19 Boards have active teams as of July 2025.  TWC provides guidance to the Boards on the operation of the WRO program through </w:t>
      </w:r>
      <w:hyperlink r:id="rId203" w:history="1">
        <w:r w:rsidRPr="00655A9C">
          <w:rPr>
            <w:rStyle w:val="Hyperlink"/>
            <w:rFonts w:asciiTheme="minorHAnsi" w:hAnsiTheme="minorHAnsi" w:cstheme="minorHAnsi"/>
          </w:rPr>
          <w:t>Workforce Development Letter 05-21</w:t>
        </w:r>
      </w:hyperlink>
    </w:p>
    <w:p w14:paraId="6C2A6C62" w14:textId="77777777" w:rsidR="006420CB" w:rsidRDefault="006420CB" w:rsidP="00376427">
      <w:pPr>
        <w:pStyle w:val="BodyText"/>
      </w:pPr>
      <w:r w:rsidRPr="000F25DC">
        <w:t xml:space="preserve">Schools can reach out to </w:t>
      </w:r>
      <w:r>
        <w:t>the WRO</w:t>
      </w:r>
      <w:r w:rsidRPr="000F25DC">
        <w:t xml:space="preserve"> teams</w:t>
      </w:r>
      <w:r>
        <w:t xml:space="preserve"> at TWC or the Boards</w:t>
      </w:r>
      <w:r w:rsidRPr="000F25DC">
        <w:t xml:space="preserve"> to request to have a </w:t>
      </w:r>
      <w:r>
        <w:t>c</w:t>
      </w:r>
      <w:r w:rsidRPr="000F25DC">
        <w:t xml:space="preserve">areer </w:t>
      </w:r>
      <w:r>
        <w:t>c</w:t>
      </w:r>
      <w:r w:rsidRPr="000F25DC">
        <w:t xml:space="preserve">oach visit a campus, district, or regional office </w:t>
      </w:r>
      <w:r>
        <w:t>and</w:t>
      </w:r>
      <w:r w:rsidRPr="000F25DC">
        <w:t xml:space="preserve"> provide services to students and/or faculty and staff. </w:t>
      </w:r>
      <w:r>
        <w:t>WRO</w:t>
      </w:r>
      <w:r w:rsidRPr="000F25DC">
        <w:t xml:space="preserve"> staff will work together between the local team and state-level team to cover all invitation requests as needed.</w:t>
      </w:r>
    </w:p>
    <w:p w14:paraId="5F6DBB8D" w14:textId="77777777" w:rsidR="006420CB" w:rsidRDefault="006420CB" w:rsidP="00376427">
      <w:pPr>
        <w:pStyle w:val="BodyText"/>
      </w:pPr>
      <w:r w:rsidRPr="000F25DC">
        <w:t>The</w:t>
      </w:r>
      <w:r w:rsidRPr="000F25DC">
        <w:rPr>
          <w:spacing w:val="-11"/>
        </w:rPr>
        <w:t xml:space="preserve"> </w:t>
      </w:r>
      <w:r>
        <w:t>WRO</w:t>
      </w:r>
      <w:r w:rsidRPr="000F25DC">
        <w:rPr>
          <w:spacing w:val="-14"/>
        </w:rPr>
        <w:t xml:space="preserve"> </w:t>
      </w:r>
      <w:r w:rsidRPr="000F25DC">
        <w:t>team</w:t>
      </w:r>
      <w:r>
        <w:t>s</w:t>
      </w:r>
      <w:r w:rsidRPr="000F25DC">
        <w:rPr>
          <w:spacing w:val="-7"/>
        </w:rPr>
        <w:t xml:space="preserve"> </w:t>
      </w:r>
      <w:r w:rsidRPr="000F25DC">
        <w:t>at</w:t>
      </w:r>
      <w:r w:rsidRPr="000F25DC">
        <w:rPr>
          <w:spacing w:val="-10"/>
        </w:rPr>
        <w:t xml:space="preserve"> </w:t>
      </w:r>
      <w:r w:rsidRPr="000F25DC">
        <w:t>TWC</w:t>
      </w:r>
      <w:r w:rsidRPr="000F25DC">
        <w:rPr>
          <w:spacing w:val="-12"/>
        </w:rPr>
        <w:t xml:space="preserve"> </w:t>
      </w:r>
      <w:r>
        <w:rPr>
          <w:spacing w:val="-12"/>
        </w:rPr>
        <w:t xml:space="preserve">and the Boards </w:t>
      </w:r>
      <w:r w:rsidRPr="000F25DC">
        <w:t>play</w:t>
      </w:r>
      <w:r w:rsidRPr="000F25DC">
        <w:rPr>
          <w:spacing w:val="-11"/>
        </w:rPr>
        <w:t xml:space="preserve"> </w:t>
      </w:r>
      <w:r w:rsidRPr="000F25DC">
        <w:t>a</w:t>
      </w:r>
      <w:r w:rsidRPr="000F25DC">
        <w:rPr>
          <w:spacing w:val="-9"/>
        </w:rPr>
        <w:t xml:space="preserve"> </w:t>
      </w:r>
      <w:r w:rsidRPr="000F25DC">
        <w:t>critical</w:t>
      </w:r>
      <w:r w:rsidRPr="000F25DC">
        <w:rPr>
          <w:spacing w:val="-11"/>
        </w:rPr>
        <w:t xml:space="preserve"> </w:t>
      </w:r>
      <w:r w:rsidRPr="000F25DC">
        <w:t>role</w:t>
      </w:r>
      <w:r w:rsidRPr="000F25DC">
        <w:rPr>
          <w:spacing w:val="-8"/>
        </w:rPr>
        <w:t xml:space="preserve"> </w:t>
      </w:r>
      <w:r w:rsidRPr="000F25DC">
        <w:t>in</w:t>
      </w:r>
      <w:r w:rsidRPr="000F25DC">
        <w:rPr>
          <w:spacing w:val="-10"/>
        </w:rPr>
        <w:t xml:space="preserve"> </w:t>
      </w:r>
      <w:r w:rsidRPr="000F25DC">
        <w:t>helping</w:t>
      </w:r>
      <w:r w:rsidRPr="000F25DC">
        <w:rPr>
          <w:spacing w:val="-11"/>
        </w:rPr>
        <w:t xml:space="preserve"> </w:t>
      </w:r>
      <w:r w:rsidRPr="000F25DC">
        <w:t>the</w:t>
      </w:r>
      <w:r w:rsidRPr="000F25DC">
        <w:rPr>
          <w:spacing w:val="-11"/>
        </w:rPr>
        <w:t xml:space="preserve"> </w:t>
      </w:r>
      <w:r w:rsidRPr="000F25DC">
        <w:t>future</w:t>
      </w:r>
      <w:r w:rsidRPr="000F25DC">
        <w:rPr>
          <w:spacing w:val="-13"/>
        </w:rPr>
        <w:t xml:space="preserve"> </w:t>
      </w:r>
      <w:r w:rsidRPr="000F25DC">
        <w:t>workforce</w:t>
      </w:r>
      <w:r w:rsidRPr="000F25DC">
        <w:rPr>
          <w:spacing w:val="-11"/>
        </w:rPr>
        <w:t xml:space="preserve"> </w:t>
      </w:r>
      <w:r w:rsidRPr="000F25DC">
        <w:t xml:space="preserve">understand and adapt to the growing Texas economy. Career </w:t>
      </w:r>
      <w:r>
        <w:t>c</w:t>
      </w:r>
      <w:r w:rsidRPr="000F25DC">
        <w:t>oaches use labor market information to inform students, educators, and counselors about in-demand careers in their regions. They are also</w:t>
      </w:r>
      <w:r w:rsidRPr="000F25DC">
        <w:rPr>
          <w:spacing w:val="-8"/>
        </w:rPr>
        <w:t xml:space="preserve"> </w:t>
      </w:r>
      <w:r w:rsidRPr="000F25DC">
        <w:t>trained</w:t>
      </w:r>
      <w:r w:rsidRPr="000F25DC">
        <w:rPr>
          <w:spacing w:val="-8"/>
        </w:rPr>
        <w:t xml:space="preserve"> </w:t>
      </w:r>
      <w:r w:rsidRPr="000F25DC">
        <w:t>in</w:t>
      </w:r>
      <w:r w:rsidRPr="000F25DC">
        <w:rPr>
          <w:spacing w:val="-8"/>
        </w:rPr>
        <w:t xml:space="preserve"> </w:t>
      </w:r>
      <w:r w:rsidRPr="000F25DC">
        <w:t>career</w:t>
      </w:r>
      <w:r w:rsidRPr="000F25DC">
        <w:rPr>
          <w:spacing w:val="-8"/>
        </w:rPr>
        <w:t xml:space="preserve"> </w:t>
      </w:r>
      <w:r w:rsidRPr="000F25DC">
        <w:t>guidance</w:t>
      </w:r>
      <w:r w:rsidRPr="000F25DC">
        <w:rPr>
          <w:spacing w:val="-8"/>
        </w:rPr>
        <w:t xml:space="preserve"> </w:t>
      </w:r>
      <w:r w:rsidRPr="000F25DC">
        <w:t>and</w:t>
      </w:r>
      <w:r w:rsidRPr="000F25DC">
        <w:rPr>
          <w:spacing w:val="-8"/>
        </w:rPr>
        <w:t xml:space="preserve"> </w:t>
      </w:r>
      <w:r w:rsidRPr="000F25DC">
        <w:t>workforce</w:t>
      </w:r>
      <w:r w:rsidRPr="000F25DC">
        <w:rPr>
          <w:spacing w:val="-11"/>
        </w:rPr>
        <w:t xml:space="preserve"> </w:t>
      </w:r>
      <w:r w:rsidRPr="000F25DC">
        <w:t>development,</w:t>
      </w:r>
      <w:r w:rsidRPr="000F25DC">
        <w:rPr>
          <w:spacing w:val="-11"/>
        </w:rPr>
        <w:t xml:space="preserve"> </w:t>
      </w:r>
      <w:r w:rsidRPr="000F25DC">
        <w:t>which</w:t>
      </w:r>
      <w:r w:rsidRPr="000F25DC">
        <w:rPr>
          <w:spacing w:val="-8"/>
        </w:rPr>
        <w:t xml:space="preserve"> </w:t>
      </w:r>
      <w:r w:rsidRPr="000F25DC">
        <w:t>is</w:t>
      </w:r>
      <w:r w:rsidRPr="000F25DC">
        <w:rPr>
          <w:spacing w:val="-9"/>
        </w:rPr>
        <w:t xml:space="preserve"> </w:t>
      </w:r>
      <w:r w:rsidRPr="000F25DC">
        <w:t>not</w:t>
      </w:r>
      <w:r w:rsidRPr="000F25DC">
        <w:rPr>
          <w:spacing w:val="-8"/>
        </w:rPr>
        <w:t xml:space="preserve"> </w:t>
      </w:r>
      <w:r w:rsidRPr="000F25DC">
        <w:t>a</w:t>
      </w:r>
      <w:r w:rsidRPr="000F25DC">
        <w:rPr>
          <w:spacing w:val="-11"/>
        </w:rPr>
        <w:t xml:space="preserve"> </w:t>
      </w:r>
      <w:r w:rsidRPr="000F25DC">
        <w:t>requirement</w:t>
      </w:r>
      <w:r w:rsidRPr="000F25DC">
        <w:rPr>
          <w:spacing w:val="-8"/>
        </w:rPr>
        <w:t xml:space="preserve"> </w:t>
      </w:r>
      <w:r w:rsidRPr="000F25DC">
        <w:t>for</w:t>
      </w:r>
      <w:r w:rsidRPr="000F25DC">
        <w:rPr>
          <w:spacing w:val="-8"/>
        </w:rPr>
        <w:t xml:space="preserve"> </w:t>
      </w:r>
      <w:r w:rsidRPr="000F25DC">
        <w:t>most school counselors so the services they provide are distinct to this team.</w:t>
      </w:r>
      <w:r>
        <w:t xml:space="preserve">  Career coaches offer a wide variety of useful materials to students, parents, and schools, including those available on </w:t>
      </w:r>
      <w:hyperlink r:id="rId204" w:history="1">
        <w:r w:rsidRPr="00473570">
          <w:rPr>
            <w:rStyle w:val="Hyperlink"/>
            <w:rFonts w:asciiTheme="minorHAnsi" w:hAnsiTheme="minorHAnsi" w:cstheme="minorHAnsi"/>
          </w:rPr>
          <w:t>TWC’s Labor Market Information website</w:t>
        </w:r>
      </w:hyperlink>
      <w:r>
        <w:t xml:space="preserve">.  </w:t>
      </w:r>
    </w:p>
    <w:p w14:paraId="7ADCAB92" w14:textId="77777777" w:rsidR="006420CB" w:rsidRPr="000F25DC" w:rsidRDefault="006420CB" w:rsidP="00376427">
      <w:pPr>
        <w:pStyle w:val="BodyText"/>
        <w:rPr>
          <w:rFonts w:asciiTheme="minorHAnsi" w:hAnsiTheme="minorHAnsi" w:cstheme="minorHAnsi"/>
        </w:rPr>
      </w:pPr>
      <w:r w:rsidRPr="00376427">
        <w:rPr>
          <w:rStyle w:val="BodyTextChar"/>
        </w:rPr>
        <w:t xml:space="preserve">TWC’s WRO team also responds to requests received through a 1-800 hotline.  Students, parents, teachers, school counselors, and currently and previously incarcerated individuals can call this hotline to request personalized career exploration data or information packets.  WRO staff also produce and update informational materials such as the </w:t>
      </w:r>
      <w:hyperlink r:id="rId205" w:history="1">
        <w:r w:rsidRPr="00376427">
          <w:rPr>
            <w:rStyle w:val="BodyTextChar"/>
          </w:rPr>
          <w:t>Foundation High School Endorsement Bulletins</w:t>
        </w:r>
      </w:hyperlink>
      <w:r>
        <w:rPr>
          <w:rFonts w:asciiTheme="minorHAnsi" w:hAnsiTheme="minorHAnsi" w:cstheme="minorHAnsi"/>
        </w:rPr>
        <w:t xml:space="preserve">.  </w:t>
      </w:r>
    </w:p>
    <w:p w14:paraId="19D185E6" w14:textId="77777777" w:rsidR="006420CB" w:rsidRPr="000F25DC" w:rsidRDefault="006420CB" w:rsidP="00376427">
      <w:pPr>
        <w:pStyle w:val="BodyText3"/>
        <w:ind w:left="720" w:hanging="720"/>
      </w:pPr>
      <w:r>
        <w:t>G.</w:t>
      </w:r>
      <w:r>
        <w:tab/>
      </w:r>
      <w:r w:rsidRPr="000F25DC">
        <w:t>If key to understanding the division or program, identify funding sources and amounts, including federal grants and pass-through monies. Describe any funding formulas or funding conventions. Please</w:t>
      </w:r>
      <w:r w:rsidRPr="000F25DC">
        <w:rPr>
          <w:spacing w:val="-1"/>
        </w:rPr>
        <w:t xml:space="preserve"> </w:t>
      </w:r>
      <w:r w:rsidRPr="000F25DC">
        <w:t>specify</w:t>
      </w:r>
      <w:r w:rsidRPr="000F25DC">
        <w:rPr>
          <w:spacing w:val="-1"/>
        </w:rPr>
        <w:t xml:space="preserve"> </w:t>
      </w:r>
      <w:r w:rsidRPr="000F25DC">
        <w:t>state</w:t>
      </w:r>
      <w:r w:rsidRPr="000F25DC">
        <w:rPr>
          <w:spacing w:val="-1"/>
        </w:rPr>
        <w:t xml:space="preserve"> </w:t>
      </w:r>
      <w:r w:rsidRPr="000F25DC">
        <w:t>funding</w:t>
      </w:r>
      <w:r w:rsidRPr="000F25DC">
        <w:rPr>
          <w:spacing w:val="-1"/>
        </w:rPr>
        <w:t xml:space="preserve"> </w:t>
      </w:r>
      <w:r w:rsidRPr="000F25DC">
        <w:t>sources (e.g., general revenue, appropriations</w:t>
      </w:r>
      <w:r w:rsidRPr="000F25DC">
        <w:rPr>
          <w:spacing w:val="-2"/>
        </w:rPr>
        <w:t xml:space="preserve"> </w:t>
      </w:r>
      <w:r w:rsidRPr="000F25DC">
        <w:t>rider, budget strategy, and fees/dues). (If you have already submitted funding source info through the “Agency Program Information” spreadsheet, please limit your response to funding formulas or funding conventions.)</w:t>
      </w:r>
    </w:p>
    <w:p w14:paraId="59823574" w14:textId="77777777" w:rsidR="00D27B39" w:rsidRPr="00D27B39" w:rsidRDefault="00D27B39" w:rsidP="00D27B39">
      <w:pPr>
        <w:pStyle w:val="BodyText"/>
      </w:pPr>
      <w:r w:rsidRPr="00D27B39">
        <w:t>TWC strategically allocates funding from federal program funding streams, including WIOA, DOLETA, and TANF, to support the activities of the Workforce Readiness Outreach team. </w:t>
      </w:r>
    </w:p>
    <w:p w14:paraId="2B8A0D7A" w14:textId="77777777" w:rsidR="006420CB" w:rsidRPr="000F25DC" w:rsidRDefault="006420CB" w:rsidP="00376427">
      <w:pPr>
        <w:pStyle w:val="BodyText3"/>
        <w:ind w:left="720" w:hanging="720"/>
      </w:pPr>
      <w:r>
        <w:t>H.</w:t>
      </w:r>
      <w:r>
        <w:tab/>
      </w:r>
      <w:r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Pr="000F25DC">
        <w:rPr>
          <w:spacing w:val="-2"/>
        </w:rPr>
        <w:t>population.</w:t>
      </w:r>
    </w:p>
    <w:p w14:paraId="6A33C487" w14:textId="77777777" w:rsidR="006420CB" w:rsidRPr="000F25DC" w:rsidRDefault="006420CB" w:rsidP="00376427">
      <w:pPr>
        <w:pStyle w:val="BodyText"/>
      </w:pPr>
      <w:r>
        <w:t>Most of the Board r</w:t>
      </w:r>
      <w:r w:rsidRPr="000F25DC">
        <w:t xml:space="preserve">egional teams </w:t>
      </w:r>
      <w:r>
        <w:t>have</w:t>
      </w:r>
      <w:r w:rsidRPr="000F25DC">
        <w:t xml:space="preserve"> MOUs or Letters of Agreement with school districts to ensure that the services provided by the Workforce Readiness Outreach teams do not </w:t>
      </w:r>
      <w:r w:rsidRPr="000F25DC">
        <w:lastRenderedPageBreak/>
        <w:t>replicate or supplant the academic or college advising services readily available on school campuses.</w:t>
      </w:r>
    </w:p>
    <w:p w14:paraId="5F076C9F" w14:textId="77777777" w:rsidR="006420CB" w:rsidRPr="000F25DC" w:rsidRDefault="006420CB" w:rsidP="00376427">
      <w:pPr>
        <w:pStyle w:val="BodyText"/>
      </w:pPr>
      <w:r w:rsidRPr="000F25DC">
        <w:t>The</w:t>
      </w:r>
      <w:r w:rsidRPr="000F25DC">
        <w:rPr>
          <w:spacing w:val="-2"/>
        </w:rPr>
        <w:t xml:space="preserve"> </w:t>
      </w:r>
      <w:r w:rsidRPr="000F25DC">
        <w:t>state-level</w:t>
      </w:r>
      <w:r w:rsidRPr="000F25DC">
        <w:rPr>
          <w:spacing w:val="-4"/>
        </w:rPr>
        <w:t xml:space="preserve"> </w:t>
      </w:r>
      <w:r w:rsidRPr="000F25DC">
        <w:t>team</w:t>
      </w:r>
      <w:r w:rsidRPr="000F25DC">
        <w:rPr>
          <w:spacing w:val="-4"/>
        </w:rPr>
        <w:t xml:space="preserve"> </w:t>
      </w:r>
      <w:r w:rsidRPr="000F25DC">
        <w:t>does</w:t>
      </w:r>
      <w:r w:rsidRPr="000F25DC">
        <w:rPr>
          <w:spacing w:val="-3"/>
        </w:rPr>
        <w:t xml:space="preserve"> </w:t>
      </w:r>
      <w:r w:rsidRPr="000F25DC">
        <w:t>not</w:t>
      </w:r>
      <w:r w:rsidRPr="000F25DC">
        <w:rPr>
          <w:spacing w:val="-3"/>
        </w:rPr>
        <w:t xml:space="preserve"> </w:t>
      </w:r>
      <w:r w:rsidRPr="000F25DC">
        <w:t>require</w:t>
      </w:r>
      <w:r w:rsidRPr="000F25DC">
        <w:rPr>
          <w:spacing w:val="-2"/>
        </w:rPr>
        <w:t xml:space="preserve"> </w:t>
      </w:r>
      <w:r w:rsidRPr="000F25DC">
        <w:t>Letters</w:t>
      </w:r>
      <w:r w:rsidRPr="000F25DC">
        <w:rPr>
          <w:spacing w:val="-3"/>
        </w:rPr>
        <w:t xml:space="preserve"> </w:t>
      </w:r>
      <w:r w:rsidRPr="000F25DC">
        <w:t>of</w:t>
      </w:r>
      <w:r w:rsidRPr="000F25DC">
        <w:rPr>
          <w:spacing w:val="-1"/>
        </w:rPr>
        <w:t xml:space="preserve"> </w:t>
      </w:r>
      <w:r w:rsidRPr="000F25DC">
        <w:t>Agreements</w:t>
      </w:r>
      <w:r w:rsidRPr="000F25DC">
        <w:rPr>
          <w:spacing w:val="-3"/>
        </w:rPr>
        <w:t xml:space="preserve"> </w:t>
      </w:r>
      <w:r w:rsidRPr="000F25DC">
        <w:t>or</w:t>
      </w:r>
      <w:r w:rsidRPr="000F25DC">
        <w:rPr>
          <w:spacing w:val="-2"/>
        </w:rPr>
        <w:t xml:space="preserve"> </w:t>
      </w:r>
      <w:r w:rsidRPr="000F25DC">
        <w:t>MOUs</w:t>
      </w:r>
      <w:r w:rsidRPr="000F25DC">
        <w:rPr>
          <w:spacing w:val="-4"/>
        </w:rPr>
        <w:t xml:space="preserve"> </w:t>
      </w:r>
      <w:r w:rsidRPr="000F25DC">
        <w:t>to</w:t>
      </w:r>
      <w:r w:rsidRPr="000F25DC">
        <w:rPr>
          <w:spacing w:val="-3"/>
        </w:rPr>
        <w:t xml:space="preserve"> </w:t>
      </w:r>
      <w:r w:rsidRPr="000F25DC">
        <w:t>work</w:t>
      </w:r>
      <w:r w:rsidRPr="000F25DC">
        <w:rPr>
          <w:spacing w:val="-3"/>
        </w:rPr>
        <w:t xml:space="preserve"> </w:t>
      </w:r>
      <w:r w:rsidRPr="000F25DC">
        <w:t>with</w:t>
      </w:r>
      <w:r w:rsidRPr="000F25DC">
        <w:rPr>
          <w:spacing w:val="-3"/>
        </w:rPr>
        <w:t xml:space="preserve"> </w:t>
      </w:r>
      <w:r w:rsidRPr="000F25DC">
        <w:t xml:space="preserve">schools. There are no identical </w:t>
      </w:r>
      <w:r>
        <w:t xml:space="preserve">or similar </w:t>
      </w:r>
      <w:r w:rsidRPr="000F25DC">
        <w:t>programs.</w:t>
      </w:r>
    </w:p>
    <w:p w14:paraId="172CEE2B" w14:textId="77777777" w:rsidR="006420CB" w:rsidRPr="000F25DC" w:rsidRDefault="006420CB" w:rsidP="00376427">
      <w:pPr>
        <w:pStyle w:val="BodyText3"/>
        <w:ind w:left="720" w:hanging="720"/>
      </w:pPr>
      <w:r>
        <w:t>I.</w:t>
      </w:r>
      <w:r>
        <w:tab/>
      </w:r>
      <w:r w:rsidRPr="000F25DC">
        <w:t>If</w:t>
      </w:r>
      <w:r w:rsidRPr="000F25DC">
        <w:rPr>
          <w:spacing w:val="-3"/>
        </w:rPr>
        <w:t xml:space="preserve"> </w:t>
      </w:r>
      <w:r w:rsidRPr="000F25DC">
        <w:t>the</w:t>
      </w:r>
      <w:r w:rsidRPr="000F25DC">
        <w:rPr>
          <w:spacing w:val="-2"/>
        </w:rPr>
        <w:t xml:space="preserve"> </w:t>
      </w:r>
      <w:r w:rsidRPr="000F25DC">
        <w:t>division</w:t>
      </w:r>
      <w:r w:rsidRPr="000F25DC">
        <w:rPr>
          <w:spacing w:val="-1"/>
        </w:rPr>
        <w:t xml:space="preserve"> </w:t>
      </w:r>
      <w:r w:rsidRPr="000F25DC">
        <w:t>or</w:t>
      </w:r>
      <w:r w:rsidRPr="000F25DC">
        <w:rPr>
          <w:spacing w:val="-3"/>
        </w:rPr>
        <w:t xml:space="preserve"> </w:t>
      </w:r>
      <w:r w:rsidRPr="000F25DC">
        <w:t>program</w:t>
      </w:r>
      <w:r w:rsidRPr="000F25DC">
        <w:rPr>
          <w:spacing w:val="-2"/>
        </w:rPr>
        <w:t xml:space="preserve"> </w:t>
      </w:r>
      <w:r w:rsidRPr="000F25DC">
        <w:t>works</w:t>
      </w:r>
      <w:r w:rsidRPr="000F25DC">
        <w:rPr>
          <w:spacing w:val="-1"/>
        </w:rPr>
        <w:t xml:space="preserve"> </w:t>
      </w:r>
      <w:r w:rsidRPr="000F25DC">
        <w:t>with</w:t>
      </w:r>
      <w:r w:rsidRPr="000F25DC">
        <w:rPr>
          <w:spacing w:val="-3"/>
        </w:rPr>
        <w:t xml:space="preserve"> </w:t>
      </w:r>
      <w:r w:rsidRPr="000F25DC">
        <w:t>local,</w:t>
      </w:r>
      <w:r w:rsidRPr="000F25DC">
        <w:rPr>
          <w:spacing w:val="-3"/>
        </w:rPr>
        <w:t xml:space="preserve"> </w:t>
      </w:r>
      <w:r w:rsidRPr="000F25DC">
        <w:t>regional,</w:t>
      </w:r>
      <w:r w:rsidRPr="000F25DC">
        <w:rPr>
          <w:spacing w:val="-3"/>
        </w:rPr>
        <w:t xml:space="preserve"> </w:t>
      </w:r>
      <w:r w:rsidRPr="000F25DC">
        <w:t>or federal</w:t>
      </w:r>
      <w:r w:rsidRPr="000F25DC">
        <w:rPr>
          <w:spacing w:val="-3"/>
        </w:rPr>
        <w:t xml:space="preserve"> </w:t>
      </w:r>
      <w:r w:rsidRPr="000F25DC">
        <w:t>units</w:t>
      </w:r>
      <w:r w:rsidRPr="000F25DC">
        <w:rPr>
          <w:spacing w:val="-1"/>
        </w:rPr>
        <w:t xml:space="preserve"> </w:t>
      </w:r>
      <w:r w:rsidRPr="000F25DC">
        <w:t>of</w:t>
      </w:r>
      <w:r w:rsidRPr="000F25DC">
        <w:rPr>
          <w:spacing w:val="-3"/>
        </w:rPr>
        <w:t xml:space="preserve"> </w:t>
      </w:r>
      <w:r w:rsidRPr="000F25DC">
        <w:t>government,</w:t>
      </w:r>
      <w:r w:rsidRPr="000F25DC">
        <w:rPr>
          <w:spacing w:val="-1"/>
        </w:rPr>
        <w:t xml:space="preserve"> </w:t>
      </w:r>
      <w:r w:rsidRPr="000F25DC">
        <w:t>include a brief description of these entities and their relationship to the agency.</w:t>
      </w:r>
    </w:p>
    <w:p w14:paraId="31B9A8BC" w14:textId="77777777" w:rsidR="006420CB" w:rsidRPr="000F25DC" w:rsidRDefault="006420CB" w:rsidP="00376427">
      <w:pPr>
        <w:pStyle w:val="BodyText"/>
      </w:pPr>
      <w:r w:rsidRPr="000F25DC">
        <w:t>Career</w:t>
      </w:r>
      <w:r w:rsidRPr="000F25DC">
        <w:rPr>
          <w:spacing w:val="-2"/>
        </w:rPr>
        <w:t xml:space="preserve"> </w:t>
      </w:r>
      <w:r w:rsidRPr="000F25DC">
        <w:t>Coaches</w:t>
      </w:r>
      <w:r w:rsidRPr="000F25DC">
        <w:rPr>
          <w:spacing w:val="-3"/>
        </w:rPr>
        <w:t xml:space="preserve"> </w:t>
      </w:r>
      <w:r w:rsidRPr="000F25DC">
        <w:t>at</w:t>
      </w:r>
      <w:r w:rsidRPr="000F25DC">
        <w:rPr>
          <w:spacing w:val="-4"/>
        </w:rPr>
        <w:t xml:space="preserve"> </w:t>
      </w:r>
      <w:r w:rsidRPr="000F25DC">
        <w:t>the</w:t>
      </w:r>
      <w:r w:rsidRPr="000F25DC">
        <w:rPr>
          <w:spacing w:val="-2"/>
        </w:rPr>
        <w:t xml:space="preserve"> </w:t>
      </w:r>
      <w:r w:rsidRPr="000F25DC">
        <w:t>Local</w:t>
      </w:r>
      <w:r w:rsidRPr="000F25DC">
        <w:rPr>
          <w:spacing w:val="-2"/>
        </w:rPr>
        <w:t xml:space="preserve"> </w:t>
      </w:r>
      <w:r w:rsidRPr="000F25DC">
        <w:t>Workforce</w:t>
      </w:r>
      <w:r w:rsidRPr="000F25DC">
        <w:rPr>
          <w:spacing w:val="-2"/>
        </w:rPr>
        <w:t xml:space="preserve"> </w:t>
      </w:r>
      <w:r w:rsidRPr="000F25DC">
        <w:t>Development</w:t>
      </w:r>
      <w:r w:rsidRPr="000F25DC">
        <w:rPr>
          <w:spacing w:val="-1"/>
        </w:rPr>
        <w:t xml:space="preserve"> </w:t>
      </w:r>
      <w:r w:rsidRPr="000F25DC">
        <w:t>Boards</w:t>
      </w:r>
      <w:r w:rsidRPr="000F25DC">
        <w:rPr>
          <w:spacing w:val="-3"/>
        </w:rPr>
        <w:t xml:space="preserve"> </w:t>
      </w:r>
      <w:r w:rsidRPr="000F25DC">
        <w:t>work</w:t>
      </w:r>
      <w:r w:rsidRPr="000F25DC">
        <w:rPr>
          <w:spacing w:val="-4"/>
        </w:rPr>
        <w:t xml:space="preserve"> </w:t>
      </w:r>
      <w:r w:rsidRPr="000F25DC">
        <w:t>in</w:t>
      </w:r>
      <w:r w:rsidRPr="000F25DC">
        <w:rPr>
          <w:spacing w:val="-1"/>
        </w:rPr>
        <w:t xml:space="preserve"> </w:t>
      </w:r>
      <w:r w:rsidRPr="000F25DC">
        <w:t>partnership</w:t>
      </w:r>
      <w:r w:rsidRPr="000F25DC">
        <w:rPr>
          <w:spacing w:val="-4"/>
        </w:rPr>
        <w:t xml:space="preserve"> </w:t>
      </w:r>
      <w:r w:rsidRPr="000F25DC">
        <w:t>with</w:t>
      </w:r>
      <w:r w:rsidRPr="000F25DC">
        <w:rPr>
          <w:spacing w:val="-1"/>
        </w:rPr>
        <w:t xml:space="preserve"> </w:t>
      </w:r>
      <w:r w:rsidRPr="000F25DC">
        <w:t>the</w:t>
      </w:r>
      <w:r w:rsidRPr="000F25DC">
        <w:rPr>
          <w:spacing w:val="-2"/>
        </w:rPr>
        <w:t xml:space="preserve"> </w:t>
      </w:r>
      <w:r w:rsidRPr="000F25DC">
        <w:t>state- level team to ensure there is consistency in the basic services provided by the teams as well as the content the teams cover in all workshops, trainings, and presentations.</w:t>
      </w:r>
    </w:p>
    <w:p w14:paraId="3A8B0838" w14:textId="37605C16" w:rsidR="006420CB" w:rsidRPr="000F25DC" w:rsidRDefault="006420CB" w:rsidP="00376427">
      <w:pPr>
        <w:pStyle w:val="BodyText"/>
      </w:pPr>
      <w:r w:rsidRPr="000F25DC">
        <w:t>The</w:t>
      </w:r>
      <w:r w:rsidRPr="000F25DC">
        <w:rPr>
          <w:spacing w:val="-11"/>
        </w:rPr>
        <w:t xml:space="preserve"> </w:t>
      </w:r>
      <w:r w:rsidRPr="000F25DC">
        <w:t>team</w:t>
      </w:r>
      <w:r w:rsidRPr="000F25DC">
        <w:rPr>
          <w:spacing w:val="-11"/>
        </w:rPr>
        <w:t xml:space="preserve"> </w:t>
      </w:r>
      <w:r w:rsidRPr="000F25DC">
        <w:t>works</w:t>
      </w:r>
      <w:r w:rsidRPr="000F25DC">
        <w:rPr>
          <w:spacing w:val="-11"/>
        </w:rPr>
        <w:t xml:space="preserve"> </w:t>
      </w:r>
      <w:r w:rsidRPr="000F25DC">
        <w:t>closely</w:t>
      </w:r>
      <w:r w:rsidRPr="000F25DC">
        <w:rPr>
          <w:spacing w:val="-12"/>
        </w:rPr>
        <w:t xml:space="preserve"> </w:t>
      </w:r>
      <w:r w:rsidRPr="000F25DC">
        <w:t>with</w:t>
      </w:r>
      <w:r w:rsidRPr="000F25DC">
        <w:rPr>
          <w:spacing w:val="-8"/>
        </w:rPr>
        <w:t xml:space="preserve"> </w:t>
      </w:r>
      <w:r w:rsidRPr="000F25DC">
        <w:t>staff</w:t>
      </w:r>
      <w:r w:rsidRPr="000F25DC">
        <w:rPr>
          <w:spacing w:val="-10"/>
        </w:rPr>
        <w:t xml:space="preserve"> </w:t>
      </w:r>
      <w:r w:rsidRPr="000F25DC">
        <w:t>from</w:t>
      </w:r>
      <w:r w:rsidRPr="000F25DC">
        <w:rPr>
          <w:spacing w:val="-11"/>
        </w:rPr>
        <w:t xml:space="preserve"> </w:t>
      </w:r>
      <w:r w:rsidR="00376427">
        <w:rPr>
          <w:spacing w:val="-11"/>
        </w:rPr>
        <w:t>TEA</w:t>
      </w:r>
      <w:r w:rsidRPr="000F25DC">
        <w:rPr>
          <w:spacing w:val="-12"/>
        </w:rPr>
        <w:t xml:space="preserve"> </w:t>
      </w:r>
      <w:r w:rsidRPr="000F25DC">
        <w:t>to</w:t>
      </w:r>
      <w:r w:rsidRPr="000F25DC">
        <w:rPr>
          <w:spacing w:val="-11"/>
        </w:rPr>
        <w:t xml:space="preserve"> </w:t>
      </w:r>
      <w:r w:rsidRPr="000F25DC">
        <w:t>ensure</w:t>
      </w:r>
      <w:r w:rsidRPr="000F25DC">
        <w:rPr>
          <w:spacing w:val="-11"/>
        </w:rPr>
        <w:t xml:space="preserve"> </w:t>
      </w:r>
      <w:r w:rsidRPr="000F25DC">
        <w:t>all</w:t>
      </w:r>
      <w:r w:rsidRPr="000F25DC">
        <w:rPr>
          <w:spacing w:val="-11"/>
        </w:rPr>
        <w:t xml:space="preserve"> </w:t>
      </w:r>
      <w:r w:rsidRPr="000F25DC">
        <w:t>career</w:t>
      </w:r>
      <w:r w:rsidRPr="000F25DC">
        <w:rPr>
          <w:spacing w:val="-11"/>
        </w:rPr>
        <w:t xml:space="preserve"> </w:t>
      </w:r>
      <w:r w:rsidRPr="000F25DC">
        <w:t>readiness materials are up to date with education policy and requirements.</w:t>
      </w:r>
    </w:p>
    <w:p w14:paraId="02C7109C" w14:textId="77777777" w:rsidR="006420CB" w:rsidRPr="000F25DC" w:rsidRDefault="006420CB" w:rsidP="00720046">
      <w:pPr>
        <w:pStyle w:val="BodyText3"/>
        <w:ind w:left="720" w:hanging="720"/>
      </w:pPr>
      <w:r>
        <w:t>J.</w:t>
      </w:r>
      <w:r>
        <w:tab/>
      </w:r>
      <w:r w:rsidRPr="000F25DC">
        <w:t>Are there any barriers or challenges that impede the division or</w:t>
      </w:r>
      <w:r w:rsidRPr="000F25DC">
        <w:rPr>
          <w:spacing w:val="27"/>
        </w:rPr>
        <w:t xml:space="preserve"> </w:t>
      </w:r>
      <w:r w:rsidRPr="000F25DC">
        <w:t>program’s performance,</w:t>
      </w:r>
      <w:r w:rsidRPr="000F25DC">
        <w:rPr>
          <w:spacing w:val="80"/>
        </w:rPr>
        <w:t xml:space="preserve"> </w:t>
      </w:r>
      <w:r w:rsidRPr="000F25DC">
        <w:t>including any outdated or ineffective state laws? Explain.</w:t>
      </w:r>
    </w:p>
    <w:p w14:paraId="29D4CFFE" w14:textId="77777777" w:rsidR="006420CB" w:rsidRDefault="006420CB" w:rsidP="00720046">
      <w:pPr>
        <w:pStyle w:val="BodyText"/>
      </w:pPr>
      <w:r>
        <w:t>As previously mentioned, i</w:t>
      </w:r>
      <w:r w:rsidRPr="000F25DC">
        <w:t>nconsistency</w:t>
      </w:r>
      <w:r>
        <w:t xml:space="preserve"> of</w:t>
      </w:r>
      <w:r w:rsidRPr="000F25DC">
        <w:t xml:space="preserve"> funding availability or sustainability has made it challenging for </w:t>
      </w:r>
      <w:r>
        <w:t>the</w:t>
      </w:r>
      <w:r w:rsidRPr="000F25DC">
        <w:t xml:space="preserve"> Boards to establish, expand, and retain </w:t>
      </w:r>
      <w:r>
        <w:t>c</w:t>
      </w:r>
      <w:r w:rsidRPr="000F25DC">
        <w:t xml:space="preserve">areer </w:t>
      </w:r>
      <w:r>
        <w:t>c</w:t>
      </w:r>
      <w:r w:rsidRPr="000F25DC">
        <w:t>oaching staff.</w:t>
      </w:r>
      <w:r>
        <w:t xml:space="preserve">  Further, TWC uses federal workforce funding to support Workforce Readiness Outreach services and decisions by Congress and U.S. DOL could impact the continuing availability of funding for this purpose.  </w:t>
      </w:r>
    </w:p>
    <w:p w14:paraId="70C88F1F" w14:textId="5EA34C18" w:rsidR="006420CB" w:rsidRPr="000F25DC" w:rsidRDefault="006420CB" w:rsidP="00720046">
      <w:pPr>
        <w:pStyle w:val="BodyText"/>
      </w:pPr>
      <w:r>
        <w:t>Other challenges for the WRO program include the following</w:t>
      </w:r>
      <w:r w:rsidR="00720046">
        <w:t>:</w:t>
      </w:r>
    </w:p>
    <w:p w14:paraId="59279218" w14:textId="77777777" w:rsidR="006420CB" w:rsidRPr="000F25DC" w:rsidRDefault="006420CB" w:rsidP="00C64851">
      <w:pPr>
        <w:pStyle w:val="BodyText"/>
        <w:numPr>
          <w:ilvl w:val="0"/>
          <w:numId w:val="867"/>
        </w:numPr>
      </w:pPr>
      <w:r w:rsidRPr="000F25DC">
        <w:t>Local</w:t>
      </w:r>
      <w:r w:rsidRPr="000F25DC">
        <w:rPr>
          <w:spacing w:val="-1"/>
        </w:rPr>
        <w:t xml:space="preserve"> </w:t>
      </w:r>
      <w:r w:rsidRPr="000F25DC">
        <w:t>flexibility</w:t>
      </w:r>
      <w:r w:rsidRPr="000F25DC">
        <w:rPr>
          <w:spacing w:val="-2"/>
        </w:rPr>
        <w:t xml:space="preserve"> </w:t>
      </w:r>
      <w:r w:rsidRPr="000F25DC">
        <w:t>for</w:t>
      </w:r>
      <w:r w:rsidRPr="000F25DC">
        <w:rPr>
          <w:spacing w:val="-4"/>
        </w:rPr>
        <w:t xml:space="preserve"> </w:t>
      </w:r>
      <w:r w:rsidRPr="000F25DC">
        <w:t>Board</w:t>
      </w:r>
      <w:r w:rsidRPr="000F25DC">
        <w:rPr>
          <w:spacing w:val="-3"/>
        </w:rPr>
        <w:t xml:space="preserve"> </w:t>
      </w:r>
      <w:r w:rsidRPr="000F25DC">
        <w:t>teams</w:t>
      </w:r>
      <w:r w:rsidRPr="000F25DC">
        <w:rPr>
          <w:spacing w:val="-2"/>
        </w:rPr>
        <w:t xml:space="preserve"> </w:t>
      </w:r>
      <w:r w:rsidRPr="000F25DC">
        <w:t>to</w:t>
      </w:r>
      <w:r w:rsidRPr="000F25DC">
        <w:rPr>
          <w:spacing w:val="-1"/>
        </w:rPr>
        <w:t xml:space="preserve"> </w:t>
      </w:r>
      <w:r w:rsidRPr="000F25DC">
        <w:t>modify</w:t>
      </w:r>
      <w:r w:rsidRPr="000F25DC">
        <w:rPr>
          <w:spacing w:val="-2"/>
        </w:rPr>
        <w:t xml:space="preserve"> </w:t>
      </w:r>
      <w:r w:rsidRPr="000F25DC">
        <w:t>program</w:t>
      </w:r>
      <w:r w:rsidRPr="000F25DC">
        <w:rPr>
          <w:spacing w:val="-1"/>
        </w:rPr>
        <w:t xml:space="preserve"> </w:t>
      </w:r>
      <w:r w:rsidRPr="000F25DC">
        <w:t>offerings</w:t>
      </w:r>
      <w:r w:rsidRPr="000F25DC">
        <w:rPr>
          <w:spacing w:val="-4"/>
        </w:rPr>
        <w:t xml:space="preserve"> </w:t>
      </w:r>
      <w:r w:rsidRPr="000F25DC">
        <w:t>has</w:t>
      </w:r>
      <w:r w:rsidRPr="000F25DC">
        <w:rPr>
          <w:spacing w:val="-4"/>
        </w:rPr>
        <w:t xml:space="preserve"> </w:t>
      </w:r>
      <w:r w:rsidRPr="000F25DC">
        <w:t>made</w:t>
      </w:r>
      <w:r w:rsidRPr="000F25DC">
        <w:rPr>
          <w:spacing w:val="-1"/>
        </w:rPr>
        <w:t xml:space="preserve"> </w:t>
      </w:r>
      <w:r w:rsidRPr="000F25DC">
        <w:t>it challenging</w:t>
      </w:r>
      <w:r w:rsidRPr="000F25DC">
        <w:rPr>
          <w:spacing w:val="-4"/>
        </w:rPr>
        <w:t xml:space="preserve"> </w:t>
      </w:r>
      <w:r w:rsidRPr="000F25DC">
        <w:t>for the state</w:t>
      </w:r>
      <w:r>
        <w:t>-</w:t>
      </w:r>
      <w:r w:rsidRPr="000F25DC">
        <w:t>level staff to ensure consistency of</w:t>
      </w:r>
      <w:r>
        <w:t xml:space="preserve"> services across the state.</w:t>
      </w:r>
    </w:p>
    <w:p w14:paraId="5E1C8A0B" w14:textId="77777777" w:rsidR="006420CB" w:rsidRPr="000F25DC" w:rsidRDefault="006420CB" w:rsidP="00C64851">
      <w:pPr>
        <w:pStyle w:val="BodyText"/>
        <w:numPr>
          <w:ilvl w:val="0"/>
          <w:numId w:val="867"/>
        </w:numPr>
      </w:pPr>
      <w:r w:rsidRPr="000F25DC">
        <w:t>Frequent changes to local staff have made it difficult for state-level staff to keep up with onboarding needs</w:t>
      </w:r>
      <w:r>
        <w:t>,</w:t>
      </w:r>
      <w:r w:rsidRPr="000F25DC">
        <w:t xml:space="preserve"> as well as collecting team productivity data.</w:t>
      </w:r>
    </w:p>
    <w:p w14:paraId="07E8B459" w14:textId="77777777" w:rsidR="006420CB" w:rsidRDefault="006420CB" w:rsidP="00C64851">
      <w:pPr>
        <w:pStyle w:val="BodyText"/>
        <w:numPr>
          <w:ilvl w:val="0"/>
          <w:numId w:val="867"/>
        </w:numPr>
      </w:pPr>
      <w:r w:rsidRPr="000F25DC">
        <w:t xml:space="preserve">Finally, some </w:t>
      </w:r>
      <w:r>
        <w:t xml:space="preserve">Board </w:t>
      </w:r>
      <w:r w:rsidRPr="000F25DC">
        <w:t>teams are very committed to remaining closely partnered with the outreach network,</w:t>
      </w:r>
      <w:r w:rsidRPr="000F25DC">
        <w:rPr>
          <w:spacing w:val="-1"/>
        </w:rPr>
        <w:t xml:space="preserve"> </w:t>
      </w:r>
      <w:r w:rsidRPr="000F25DC">
        <w:t>while other</w:t>
      </w:r>
      <w:r w:rsidRPr="000F25DC">
        <w:rPr>
          <w:spacing w:val="-1"/>
        </w:rPr>
        <w:t xml:space="preserve"> </w:t>
      </w:r>
      <w:r w:rsidRPr="000F25DC">
        <w:t>teams appear</w:t>
      </w:r>
      <w:r w:rsidRPr="000F25DC">
        <w:rPr>
          <w:spacing w:val="-1"/>
        </w:rPr>
        <w:t xml:space="preserve"> </w:t>
      </w:r>
      <w:r w:rsidRPr="000F25DC">
        <w:t>to</w:t>
      </w:r>
      <w:r w:rsidRPr="000F25DC">
        <w:rPr>
          <w:spacing w:val="-1"/>
        </w:rPr>
        <w:t xml:space="preserve"> </w:t>
      </w:r>
      <w:r w:rsidRPr="000F25DC">
        <w:t>want to</w:t>
      </w:r>
      <w:r w:rsidRPr="000F25DC">
        <w:rPr>
          <w:spacing w:val="-1"/>
        </w:rPr>
        <w:t xml:space="preserve"> </w:t>
      </w:r>
      <w:r w:rsidRPr="000F25DC">
        <w:t>focus only</w:t>
      </w:r>
      <w:r w:rsidRPr="000F25DC">
        <w:rPr>
          <w:spacing w:val="-2"/>
        </w:rPr>
        <w:t xml:space="preserve"> </w:t>
      </w:r>
      <w:r w:rsidRPr="000F25DC">
        <w:t>on their</w:t>
      </w:r>
      <w:r w:rsidRPr="000F25DC">
        <w:rPr>
          <w:spacing w:val="-1"/>
        </w:rPr>
        <w:t xml:space="preserve"> </w:t>
      </w:r>
      <w:r w:rsidRPr="000F25DC">
        <w:t xml:space="preserve">regional interests. </w:t>
      </w:r>
    </w:p>
    <w:p w14:paraId="055B6079" w14:textId="77777777" w:rsidR="006420CB" w:rsidRDefault="006420CB" w:rsidP="00093031">
      <w:pPr>
        <w:pStyle w:val="BodyText3"/>
        <w:ind w:left="720" w:hanging="720"/>
      </w:pPr>
      <w:r>
        <w:t>K.</w:t>
      </w:r>
      <w:r>
        <w:tab/>
      </w:r>
      <w:r w:rsidRPr="000F25DC">
        <w:t>Provide</w:t>
      </w:r>
      <w:r w:rsidRPr="000F25DC">
        <w:rPr>
          <w:spacing w:val="40"/>
        </w:rPr>
        <w:t xml:space="preserve"> </w:t>
      </w:r>
      <w:r w:rsidRPr="000F25DC">
        <w:t>any</w:t>
      </w:r>
      <w:r w:rsidRPr="000F25DC">
        <w:rPr>
          <w:spacing w:val="40"/>
        </w:rPr>
        <w:t xml:space="preserve"> </w:t>
      </w:r>
      <w:r w:rsidRPr="000F25DC">
        <w:t>additional</w:t>
      </w:r>
      <w:r w:rsidRPr="000F25DC">
        <w:rPr>
          <w:spacing w:val="40"/>
        </w:rPr>
        <w:t xml:space="preserve"> </w:t>
      </w:r>
      <w:r w:rsidRPr="000F25DC">
        <w:t>information</w:t>
      </w:r>
      <w:r w:rsidRPr="000F25DC">
        <w:rPr>
          <w:spacing w:val="40"/>
        </w:rPr>
        <w:t xml:space="preserve"> </w:t>
      </w:r>
      <w:r w:rsidRPr="000F25DC">
        <w:t>needed</w:t>
      </w:r>
      <w:r w:rsidRPr="000F25DC">
        <w:rPr>
          <w:spacing w:val="40"/>
        </w:rPr>
        <w:t xml:space="preserve"> </w:t>
      </w:r>
      <w:r w:rsidRPr="000F25DC">
        <w:t>to</w:t>
      </w:r>
      <w:r w:rsidRPr="000F25DC">
        <w:rPr>
          <w:spacing w:val="40"/>
        </w:rPr>
        <w:t xml:space="preserve"> </w:t>
      </w:r>
      <w:r w:rsidRPr="000F25DC">
        <w:t>gain</w:t>
      </w:r>
      <w:r w:rsidRPr="000F25DC">
        <w:rPr>
          <w:spacing w:val="40"/>
        </w:rPr>
        <w:t xml:space="preserve"> </w:t>
      </w:r>
      <w:r w:rsidRPr="000F25DC">
        <w:t>a</w:t>
      </w:r>
      <w:r w:rsidRPr="000F25DC">
        <w:rPr>
          <w:spacing w:val="40"/>
        </w:rPr>
        <w:t xml:space="preserve"> </w:t>
      </w:r>
      <w:r w:rsidRPr="000F25DC">
        <w:t>preliminary</w:t>
      </w:r>
      <w:r w:rsidRPr="000F25DC">
        <w:rPr>
          <w:spacing w:val="40"/>
        </w:rPr>
        <w:t xml:space="preserve"> </w:t>
      </w:r>
      <w:r w:rsidRPr="000F25DC">
        <w:t>understanding</w:t>
      </w:r>
      <w:r w:rsidRPr="000F25DC">
        <w:rPr>
          <w:spacing w:val="39"/>
        </w:rPr>
        <w:t xml:space="preserve"> </w:t>
      </w:r>
      <w:r w:rsidRPr="000F25DC">
        <w:t>of</w:t>
      </w:r>
      <w:r w:rsidRPr="000F25DC">
        <w:rPr>
          <w:spacing w:val="40"/>
        </w:rPr>
        <w:t xml:space="preserve"> </w:t>
      </w:r>
      <w:r w:rsidRPr="000F25DC">
        <w:t>the division or program.</w:t>
      </w:r>
    </w:p>
    <w:p w14:paraId="562AF6DD" w14:textId="3F2518B9" w:rsidR="006420CB" w:rsidRDefault="006420CB" w:rsidP="00093031">
      <w:pPr>
        <w:pStyle w:val="BodyText"/>
      </w:pPr>
      <w:r>
        <w:t>N/</w:t>
      </w:r>
      <w:r w:rsidR="00093031">
        <w:t>A</w:t>
      </w:r>
    </w:p>
    <w:p w14:paraId="36B17E03" w14:textId="77777777" w:rsidR="006420CB" w:rsidRPr="000F25DC" w:rsidRDefault="006420CB" w:rsidP="00093031">
      <w:pPr>
        <w:pStyle w:val="BodyText3"/>
        <w:ind w:left="720" w:hanging="720"/>
      </w:pPr>
      <w:r>
        <w:t>L.</w:t>
      </w:r>
      <w:r>
        <w:tab/>
      </w:r>
      <w:r w:rsidRPr="000F25DC">
        <w:t>Regulatory programs relate to the licensing, registration, certification, or permitting of a person, business, piece of equipment, or other entity (e.g., a facility). For each regulatory program, if applicable, describe:</w:t>
      </w:r>
    </w:p>
    <w:p w14:paraId="523C1C4B" w14:textId="77777777" w:rsidR="006420CB" w:rsidRDefault="006420CB" w:rsidP="00093031">
      <w:pPr>
        <w:pStyle w:val="BodyText"/>
      </w:pPr>
      <w:r w:rsidRPr="000F25DC">
        <w:lastRenderedPageBreak/>
        <w:t>N</w:t>
      </w:r>
      <w:r>
        <w:t>/A</w:t>
      </w:r>
    </w:p>
    <w:p w14:paraId="5EECD413" w14:textId="77777777" w:rsidR="006420CB" w:rsidRDefault="006420CB" w:rsidP="00093031">
      <w:pPr>
        <w:pStyle w:val="BodyText3"/>
        <w:ind w:left="720" w:hanging="720"/>
      </w:pPr>
      <w:r>
        <w:t>M.</w:t>
      </w:r>
      <w:r>
        <w:tab/>
      </w:r>
      <w:r w:rsidRPr="000F25DC">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3B223ADB" w14:textId="77777777" w:rsidR="00905E87" w:rsidRDefault="006420CB" w:rsidP="00764737">
      <w:pPr>
        <w:pStyle w:val="BodyText"/>
      </w:pPr>
      <w:r w:rsidRPr="00093031">
        <w:t>N/A</w:t>
      </w:r>
    </w:p>
    <w:p w14:paraId="4292EEA5" w14:textId="2B38B30F" w:rsidR="006420CB" w:rsidRDefault="006420CB" w:rsidP="00764737">
      <w:pPr>
        <w:pStyle w:val="BodyText"/>
      </w:pPr>
    </w:p>
    <w:p w14:paraId="19DA14CC" w14:textId="77777777" w:rsidR="006420CB" w:rsidRPr="000F25DC" w:rsidRDefault="006420CB" w:rsidP="00093031">
      <w:pPr>
        <w:pStyle w:val="BodyText3"/>
      </w:pPr>
      <w:bookmarkStart w:id="263" w:name="_Toc1546039292"/>
      <w:bookmarkStart w:id="264" w:name="_Toc204688550"/>
      <w:r w:rsidRPr="061A6DF0">
        <w:t>Workforce Development Grant</w:t>
      </w:r>
      <w:r>
        <w:t xml:space="preserve"> Administration</w:t>
      </w:r>
      <w:bookmarkEnd w:id="263"/>
      <w:bookmarkEnd w:id="264"/>
    </w:p>
    <w:p w14:paraId="5E5C9C51" w14:textId="7265876B" w:rsidR="006420CB" w:rsidRPr="000F25DC" w:rsidRDefault="00CA7CC9" w:rsidP="00CA7CC9">
      <w:pPr>
        <w:pStyle w:val="BodyText3"/>
      </w:pPr>
      <w:r>
        <w:t>A.</w:t>
      </w:r>
      <w:r>
        <w:tab/>
      </w:r>
      <w:r w:rsidR="006420CB" w:rsidRPr="000F25DC">
        <w:t>Provide</w:t>
      </w:r>
      <w:r w:rsidR="006420CB" w:rsidRPr="000F25DC">
        <w:rPr>
          <w:spacing w:val="-5"/>
        </w:rPr>
        <w:t xml:space="preserve"> </w:t>
      </w:r>
      <w:r w:rsidR="006420CB" w:rsidRPr="000F25DC">
        <w:t>the</w:t>
      </w:r>
      <w:r w:rsidR="006420CB" w:rsidRPr="000F25DC">
        <w:rPr>
          <w:spacing w:val="-2"/>
        </w:rPr>
        <w:t xml:space="preserve"> </w:t>
      </w:r>
      <w:r w:rsidR="006420CB" w:rsidRPr="000F25DC">
        <w:t>following</w:t>
      </w:r>
      <w:r w:rsidR="006420CB" w:rsidRPr="000F25DC">
        <w:rPr>
          <w:spacing w:val="-4"/>
        </w:rPr>
        <w:t xml:space="preserve"> </w:t>
      </w:r>
      <w:r w:rsidR="006420CB" w:rsidRPr="000F25DC">
        <w:t>information</w:t>
      </w:r>
      <w:r w:rsidR="006420CB" w:rsidRPr="000F25DC">
        <w:rPr>
          <w:spacing w:val="-3"/>
        </w:rPr>
        <w:t xml:space="preserve"> </w:t>
      </w:r>
      <w:r w:rsidR="006420CB" w:rsidRPr="000F25DC">
        <w:t>at</w:t>
      </w:r>
      <w:r w:rsidR="006420CB" w:rsidRPr="000F25DC">
        <w:rPr>
          <w:spacing w:val="-1"/>
        </w:rPr>
        <w:t xml:space="preserve"> </w:t>
      </w:r>
      <w:r w:rsidR="006420CB" w:rsidRPr="000F25DC">
        <w:t>the</w:t>
      </w:r>
      <w:r w:rsidR="006420CB" w:rsidRPr="000F25DC">
        <w:rPr>
          <w:spacing w:val="-2"/>
        </w:rPr>
        <w:t xml:space="preserve"> </w:t>
      </w:r>
      <w:r w:rsidR="006420CB" w:rsidRPr="000F25DC">
        <w:t>beginning</w:t>
      </w:r>
      <w:r w:rsidR="006420CB" w:rsidRPr="000F25DC">
        <w:rPr>
          <w:spacing w:val="-3"/>
        </w:rPr>
        <w:t xml:space="preserve"> </w:t>
      </w:r>
      <w:r w:rsidR="006420CB" w:rsidRPr="000F25DC">
        <w:t>of</w:t>
      </w:r>
      <w:r w:rsidR="006420CB" w:rsidRPr="000F25DC">
        <w:rPr>
          <w:spacing w:val="-2"/>
        </w:rPr>
        <w:t xml:space="preserve"> </w:t>
      </w:r>
      <w:r w:rsidR="006420CB" w:rsidRPr="000F25DC">
        <w:t>each</w:t>
      </w:r>
      <w:r w:rsidR="006420CB" w:rsidRPr="000F25DC">
        <w:rPr>
          <w:spacing w:val="-2"/>
        </w:rPr>
        <w:t xml:space="preserve"> description.  </w:t>
      </w:r>
    </w:p>
    <w:p w14:paraId="03BDBA51" w14:textId="77777777" w:rsidR="006420CB" w:rsidRDefault="006420CB" w:rsidP="00CA7CC9">
      <w:pPr>
        <w:pStyle w:val="BodyText"/>
      </w:pPr>
      <w:r w:rsidRPr="000F25DC">
        <w:t>Name of Program or Function: Workforce Development Grant</w:t>
      </w:r>
      <w:r>
        <w:t xml:space="preserve"> Administration</w:t>
      </w:r>
    </w:p>
    <w:p w14:paraId="6C0E4E68" w14:textId="77777777" w:rsidR="006420CB" w:rsidRDefault="006420CB" w:rsidP="00CA7CC9">
      <w:pPr>
        <w:pStyle w:val="BodyText"/>
      </w:pPr>
      <w:r w:rsidRPr="000F25DC">
        <w:t>Location/Division: Workforce Development Division</w:t>
      </w:r>
      <w:r>
        <w:t>, Grants</w:t>
      </w:r>
      <w:r w:rsidRPr="000F25DC">
        <w:t xml:space="preserve"> </w:t>
      </w:r>
    </w:p>
    <w:p w14:paraId="47D7FE82" w14:textId="77777777" w:rsidR="006420CB" w:rsidRDefault="006420CB" w:rsidP="00CA7CC9">
      <w:pPr>
        <w:pStyle w:val="BodyText"/>
      </w:pPr>
      <w:r w:rsidRPr="000F25DC">
        <w:t xml:space="preserve">Contact Name: Leslie Kruse </w:t>
      </w:r>
    </w:p>
    <w:p w14:paraId="24352517" w14:textId="77777777" w:rsidR="006420CB" w:rsidRPr="000F25DC" w:rsidRDefault="006420CB" w:rsidP="00CA7CC9">
      <w:pPr>
        <w:pStyle w:val="BodyText"/>
        <w:rPr>
          <w:spacing w:val="-2"/>
        </w:rPr>
      </w:pPr>
      <w:r w:rsidRPr="000F25DC">
        <w:t>Statutory</w:t>
      </w:r>
      <w:r w:rsidRPr="000F25DC">
        <w:rPr>
          <w:spacing w:val="-1"/>
        </w:rPr>
        <w:t xml:space="preserve"> </w:t>
      </w:r>
      <w:r w:rsidRPr="000F25DC">
        <w:rPr>
          <w:spacing w:val="-2"/>
        </w:rPr>
        <w:t xml:space="preserve">citation: </w:t>
      </w:r>
      <w:r>
        <w:rPr>
          <w:spacing w:val="-2"/>
        </w:rPr>
        <w:t>N/A</w:t>
      </w:r>
    </w:p>
    <w:p w14:paraId="1DB2571A" w14:textId="765EB003" w:rsidR="006420CB" w:rsidRPr="000F25DC" w:rsidRDefault="00CA7CC9" w:rsidP="00CA7CC9">
      <w:pPr>
        <w:pStyle w:val="BodyText3"/>
        <w:rPr>
          <w:rFonts w:cstheme="minorHAnsi"/>
        </w:rPr>
      </w:pPr>
      <w:r>
        <w:t>B.</w:t>
      </w:r>
      <w:r>
        <w:tab/>
      </w:r>
      <w:r w:rsidR="006420CB" w:rsidRPr="58D0E01B">
        <w:t>What</w:t>
      </w:r>
      <w:r w:rsidR="006420CB" w:rsidRPr="58D0E01B">
        <w:rPr>
          <w:spacing w:val="-5"/>
        </w:rPr>
        <w:t xml:space="preserve"> </w:t>
      </w:r>
      <w:r w:rsidR="006420CB" w:rsidRPr="58D0E01B">
        <w:t>is</w:t>
      </w:r>
      <w:r w:rsidR="006420CB" w:rsidRPr="58D0E01B">
        <w:rPr>
          <w:spacing w:val="-4"/>
        </w:rPr>
        <w:t xml:space="preserve"> </w:t>
      </w:r>
      <w:r w:rsidR="006420CB" w:rsidRPr="58D0E01B">
        <w:t>the</w:t>
      </w:r>
      <w:r w:rsidR="006420CB" w:rsidRPr="58D0E01B">
        <w:rPr>
          <w:spacing w:val="-4"/>
        </w:rPr>
        <w:t xml:space="preserve"> </w:t>
      </w:r>
      <w:r w:rsidR="006420CB" w:rsidRPr="58D0E01B">
        <w:t>objective</w:t>
      </w:r>
      <w:r w:rsidR="006420CB" w:rsidRPr="58D0E01B">
        <w:rPr>
          <w:spacing w:val="-5"/>
        </w:rPr>
        <w:t xml:space="preserve"> </w:t>
      </w:r>
      <w:r w:rsidR="006420CB" w:rsidRPr="58D0E01B">
        <w:t>of this</w:t>
      </w:r>
      <w:r w:rsidR="006420CB" w:rsidRPr="58D0E01B">
        <w:rPr>
          <w:spacing w:val="-4"/>
        </w:rPr>
        <w:t xml:space="preserve"> </w:t>
      </w:r>
      <w:r w:rsidR="006420CB" w:rsidRPr="58D0E01B">
        <w:t>division or program?</w:t>
      </w:r>
      <w:r w:rsidR="006420CB" w:rsidRPr="58D0E01B">
        <w:rPr>
          <w:spacing w:val="-2"/>
        </w:rPr>
        <w:t xml:space="preserve"> </w:t>
      </w:r>
      <w:r w:rsidR="006420CB" w:rsidRPr="58D0E01B">
        <w:t>Describe</w:t>
      </w:r>
      <w:r w:rsidR="006420CB" w:rsidRPr="58D0E01B">
        <w:rPr>
          <w:spacing w:val="-1"/>
        </w:rPr>
        <w:t xml:space="preserve"> </w:t>
      </w:r>
      <w:r w:rsidR="006420CB" w:rsidRPr="58D0E01B">
        <w:t>its</w:t>
      </w:r>
      <w:r w:rsidR="006420CB" w:rsidRPr="58D0E01B">
        <w:rPr>
          <w:spacing w:val="-1"/>
        </w:rPr>
        <w:t xml:space="preserve"> </w:t>
      </w:r>
      <w:r w:rsidR="006420CB" w:rsidRPr="58D0E01B">
        <w:t>major</w:t>
      </w:r>
      <w:r w:rsidR="006420CB" w:rsidRPr="58D0E01B">
        <w:rPr>
          <w:spacing w:val="1"/>
        </w:rPr>
        <w:t xml:space="preserve"> </w:t>
      </w:r>
      <w:r w:rsidR="006420CB" w:rsidRPr="58D0E01B">
        <w:rPr>
          <w:spacing w:val="-2"/>
        </w:rPr>
        <w:t>activities.</w:t>
      </w:r>
    </w:p>
    <w:p w14:paraId="4BC0AE21" w14:textId="77777777" w:rsidR="006420CB" w:rsidRDefault="006420CB" w:rsidP="00CA7CC9">
      <w:pPr>
        <w:pStyle w:val="BodyText"/>
      </w:pPr>
      <w:r w:rsidRPr="000F25DC">
        <w:t xml:space="preserve">The </w:t>
      </w:r>
      <w:r>
        <w:t>Workforce Development Division’s</w:t>
      </w:r>
      <w:r w:rsidRPr="000F25DC">
        <w:t xml:space="preserve"> </w:t>
      </w:r>
      <w:r>
        <w:t>G</w:t>
      </w:r>
      <w:r w:rsidRPr="000F25DC">
        <w:t>rant</w:t>
      </w:r>
      <w:r>
        <w:t>s</w:t>
      </w:r>
      <w:r w:rsidRPr="000F25DC">
        <w:t xml:space="preserve"> </w:t>
      </w:r>
      <w:r>
        <w:t>team</w:t>
      </w:r>
      <w:r w:rsidRPr="000F25DC">
        <w:t xml:space="preserve"> play</w:t>
      </w:r>
      <w:r>
        <w:t>s</w:t>
      </w:r>
      <w:r w:rsidRPr="000F25DC">
        <w:t xml:space="preserve"> a crucial role in empowering </w:t>
      </w:r>
      <w:r>
        <w:t xml:space="preserve">and maintaining the integrity of </w:t>
      </w:r>
      <w:r w:rsidRPr="000F25DC">
        <w:t>the Texas workforce</w:t>
      </w:r>
      <w:r>
        <w:t xml:space="preserve"> system</w:t>
      </w:r>
      <w:r w:rsidRPr="000F25DC">
        <w:t>.</w:t>
      </w:r>
      <w:r>
        <w:t xml:space="preserve">  </w:t>
      </w:r>
      <w:r w:rsidRPr="000F25DC">
        <w:t>TWC has strategically consolidated the</w:t>
      </w:r>
      <w:r>
        <w:t xml:space="preserve"> administration of most </w:t>
      </w:r>
      <w:r w:rsidRPr="000F25DC">
        <w:t xml:space="preserve">of its </w:t>
      </w:r>
      <w:r>
        <w:t xml:space="preserve">workforce </w:t>
      </w:r>
      <w:r w:rsidRPr="000F25DC">
        <w:t xml:space="preserve">grant programs under </w:t>
      </w:r>
      <w:r>
        <w:t xml:space="preserve">the </w:t>
      </w:r>
      <w:r w:rsidRPr="000F25DC">
        <w:t xml:space="preserve">Workforce </w:t>
      </w:r>
      <w:r>
        <w:t xml:space="preserve">Development </w:t>
      </w:r>
      <w:r w:rsidRPr="000F25DC">
        <w:t>Grants</w:t>
      </w:r>
      <w:r>
        <w:t xml:space="preserve"> team</w:t>
      </w:r>
      <w:r w:rsidRPr="000F25DC">
        <w:t xml:space="preserve">, aiming to streamline and enhance consistency </w:t>
      </w:r>
      <w:r>
        <w:t>a</w:t>
      </w:r>
      <w:r w:rsidRPr="000F25DC">
        <w:t xml:space="preserve">cross </w:t>
      </w:r>
      <w:r>
        <w:t>programs</w:t>
      </w:r>
      <w:r w:rsidRPr="000F25DC">
        <w:t xml:space="preserve">. </w:t>
      </w:r>
      <w:r w:rsidRPr="58D0E01B">
        <w:rPr>
          <w:rFonts w:cstheme="minorBidi"/>
        </w:rPr>
        <w:t xml:space="preserve">This structure ensures </w:t>
      </w:r>
      <w:r>
        <w:rPr>
          <w:rFonts w:cstheme="minorBidi"/>
        </w:rPr>
        <w:t>grant administration staff</w:t>
      </w:r>
      <w:r w:rsidRPr="58D0E01B">
        <w:rPr>
          <w:rFonts w:cstheme="minorBidi"/>
        </w:rPr>
        <w:t xml:space="preserve"> operate under shared leadership and a common vision, facilitating the establishment of standardized policies, procedures, and reporting requirements</w:t>
      </w:r>
      <w:r>
        <w:rPr>
          <w:rFonts w:cstheme="minorBidi"/>
        </w:rPr>
        <w:t xml:space="preserve">. </w:t>
      </w:r>
      <w:r w:rsidRPr="58D0E01B">
        <w:rPr>
          <w:rFonts w:cstheme="minorBidi"/>
        </w:rPr>
        <w:t>Ultimately, this alignment aims to create a more cohesive and efficient grant administration framework, benefiting both TWC staff and Texans across the state.</w:t>
      </w:r>
    </w:p>
    <w:p w14:paraId="39E5062D" w14:textId="77777777" w:rsidR="006420CB" w:rsidRDefault="006420CB" w:rsidP="00E92204">
      <w:pPr>
        <w:pStyle w:val="BodyText"/>
        <w:rPr>
          <w:rFonts w:cstheme="minorHAnsi"/>
        </w:rPr>
      </w:pPr>
      <w:r w:rsidRPr="002B6D79">
        <w:t xml:space="preserve">In PY 2024, </w:t>
      </w:r>
      <w:r>
        <w:t xml:space="preserve">the Workforce Development </w:t>
      </w:r>
      <w:r w:rsidRPr="002B6D79">
        <w:t>Grants</w:t>
      </w:r>
      <w:r>
        <w:t xml:space="preserve"> team</w:t>
      </w:r>
      <w:r w:rsidRPr="002B6D79">
        <w:t xml:space="preserve"> awarded 1,083 grants to 278 unique grantees, totaling</w:t>
      </w:r>
      <w:r>
        <w:t xml:space="preserve"> </w:t>
      </w:r>
      <w:r w:rsidRPr="002B6D79">
        <w:t>$2,216,915,233.50</w:t>
      </w:r>
      <w:r>
        <w:t xml:space="preserve">, in addition to monitoring previously awarded grants.  </w:t>
      </w:r>
      <w:r>
        <w:rPr>
          <w:rFonts w:cstheme="minorHAnsi"/>
        </w:rPr>
        <w:t xml:space="preserve">Attachment 17 provides a list of all grants awarded by TWC from FY 2020-24. </w:t>
      </w:r>
    </w:p>
    <w:p w14:paraId="5A1C7DFC" w14:textId="77777777" w:rsidR="006420CB" w:rsidRPr="00721B56" w:rsidRDefault="006420CB" w:rsidP="00E92204">
      <w:pPr>
        <w:pStyle w:val="BodyText"/>
      </w:pPr>
      <w:r w:rsidRPr="00721B56">
        <w:lastRenderedPageBreak/>
        <w:t xml:space="preserve">The larger grant programs administered by the Workforce Development Grants team are discussed in other sections of the Guide to Agency Programs. Overviews of all grants managed by the Workforce Development Division are available and can be provided to Sunset staff upon request. </w:t>
      </w:r>
    </w:p>
    <w:p w14:paraId="0CF7E42E" w14:textId="4EF98271" w:rsidR="006420CB" w:rsidRPr="000F25DC" w:rsidRDefault="00E92204" w:rsidP="00E92204">
      <w:pPr>
        <w:pStyle w:val="BodyText3"/>
        <w:ind w:left="720" w:hanging="720"/>
      </w:pPr>
      <w:r>
        <w:t>C.</w:t>
      </w:r>
      <w:r>
        <w:tab/>
      </w:r>
      <w:r w:rsidR="006420CB" w:rsidRPr="000F25DC">
        <w:t>What information does the agency collect/use to assess the effectiveness and efficiency of this division or program? If applicable, briefly note any LBB performance measures (from Section</w:t>
      </w:r>
      <w:r w:rsidR="006420CB" w:rsidRPr="000F25DC">
        <w:rPr>
          <w:spacing w:val="-11"/>
        </w:rPr>
        <w:t xml:space="preserve"> </w:t>
      </w:r>
      <w:r w:rsidR="006420CB" w:rsidRPr="000F25DC">
        <w:t>II,</w:t>
      </w:r>
      <w:r w:rsidR="006420CB" w:rsidRPr="000F25DC">
        <w:rPr>
          <w:spacing w:val="-12"/>
        </w:rPr>
        <w:t xml:space="preserve"> </w:t>
      </w:r>
      <w:proofErr w:type="gramStart"/>
      <w:r w:rsidR="006420CB" w:rsidRPr="000F25DC">
        <w:t>Exhibit</w:t>
      </w:r>
      <w:proofErr w:type="gramEnd"/>
      <w:r w:rsidR="006420CB" w:rsidRPr="000F25DC">
        <w:rPr>
          <w:spacing w:val="-14"/>
        </w:rPr>
        <w:t xml:space="preserve"> </w:t>
      </w:r>
      <w:r w:rsidR="006420CB" w:rsidRPr="000F25DC">
        <w:t>2)</w:t>
      </w:r>
      <w:r w:rsidR="006420CB" w:rsidRPr="000F25DC">
        <w:rPr>
          <w:spacing w:val="-12"/>
        </w:rPr>
        <w:t xml:space="preserve"> </w:t>
      </w:r>
      <w:r w:rsidR="006420CB" w:rsidRPr="000F25DC">
        <w:t>but</w:t>
      </w:r>
      <w:r w:rsidR="006420CB" w:rsidRPr="000F25DC">
        <w:rPr>
          <w:spacing w:val="-14"/>
        </w:rPr>
        <w:t xml:space="preserve"> </w:t>
      </w:r>
      <w:r w:rsidR="006420CB" w:rsidRPr="000F25DC">
        <w:t>also</w:t>
      </w:r>
      <w:r w:rsidR="006420CB" w:rsidRPr="000F25DC">
        <w:rPr>
          <w:spacing w:val="-11"/>
        </w:rPr>
        <w:t xml:space="preserve"> </w:t>
      </w:r>
      <w:r w:rsidR="006420CB" w:rsidRPr="000F25DC">
        <w:t>provide</w:t>
      </w:r>
      <w:r w:rsidR="006420CB" w:rsidRPr="000F25DC">
        <w:rPr>
          <w:spacing w:val="-13"/>
        </w:rPr>
        <w:t xml:space="preserve"> </w:t>
      </w:r>
      <w:r w:rsidR="006420CB" w:rsidRPr="000F25DC">
        <w:t>any</w:t>
      </w:r>
      <w:r w:rsidR="006420CB" w:rsidRPr="000F25DC">
        <w:rPr>
          <w:spacing w:val="-13"/>
        </w:rPr>
        <w:t xml:space="preserve"> </w:t>
      </w:r>
      <w:r w:rsidR="006420CB" w:rsidRPr="000F25DC">
        <w:t>other</w:t>
      </w:r>
      <w:r w:rsidR="006420CB" w:rsidRPr="000F25DC">
        <w:rPr>
          <w:spacing w:val="-11"/>
        </w:rPr>
        <w:t xml:space="preserve"> </w:t>
      </w:r>
      <w:r w:rsidR="006420CB" w:rsidRPr="000F25DC">
        <w:t>metrics</w:t>
      </w:r>
      <w:r w:rsidR="006420CB" w:rsidRPr="000F25DC">
        <w:rPr>
          <w:spacing w:val="-14"/>
        </w:rPr>
        <w:t xml:space="preserve"> </w:t>
      </w:r>
      <w:r w:rsidR="006420CB" w:rsidRPr="000F25DC">
        <w:t>of</w:t>
      </w:r>
      <w:r w:rsidR="006420CB" w:rsidRPr="000F25DC">
        <w:rPr>
          <w:spacing w:val="-13"/>
        </w:rPr>
        <w:t xml:space="preserve"> </w:t>
      </w:r>
      <w:r w:rsidR="006420CB" w:rsidRPr="000F25DC">
        <w:t>program</w:t>
      </w:r>
      <w:r w:rsidR="006420CB" w:rsidRPr="000F25DC">
        <w:rPr>
          <w:spacing w:val="-13"/>
        </w:rPr>
        <w:t xml:space="preserve"> </w:t>
      </w:r>
      <w:r w:rsidR="006420CB" w:rsidRPr="000F25DC">
        <w:t>effectiveness</w:t>
      </w:r>
      <w:r w:rsidR="006420CB" w:rsidRPr="000F25DC">
        <w:rPr>
          <w:spacing w:val="-12"/>
        </w:rPr>
        <w:t xml:space="preserve"> </w:t>
      </w:r>
      <w:r w:rsidR="006420CB" w:rsidRPr="000F25DC">
        <w:t>and</w:t>
      </w:r>
      <w:r w:rsidR="006420CB" w:rsidRPr="000F25DC">
        <w:rPr>
          <w:spacing w:val="-11"/>
        </w:rPr>
        <w:t xml:space="preserve"> </w:t>
      </w:r>
      <w:r w:rsidR="006420CB" w:rsidRPr="000F25DC">
        <w:t>efficiency. Please</w:t>
      </w:r>
      <w:r w:rsidR="006420CB" w:rsidRPr="000F25DC">
        <w:rPr>
          <w:spacing w:val="-7"/>
        </w:rPr>
        <w:t xml:space="preserve"> </w:t>
      </w:r>
      <w:r w:rsidR="006420CB" w:rsidRPr="000F25DC">
        <w:t>provide</w:t>
      </w:r>
      <w:r w:rsidR="006420CB" w:rsidRPr="000F25DC">
        <w:rPr>
          <w:spacing w:val="-7"/>
        </w:rPr>
        <w:t xml:space="preserve"> </w:t>
      </w:r>
      <w:r w:rsidR="006420CB" w:rsidRPr="000F25DC">
        <w:t>the</w:t>
      </w:r>
      <w:r w:rsidR="006420CB" w:rsidRPr="000F25DC">
        <w:rPr>
          <w:spacing w:val="-7"/>
        </w:rPr>
        <w:t xml:space="preserve"> </w:t>
      </w:r>
      <w:r w:rsidR="006420CB" w:rsidRPr="000F25DC">
        <w:t>data</w:t>
      </w:r>
      <w:r w:rsidR="006420CB" w:rsidRPr="000F25DC">
        <w:rPr>
          <w:spacing w:val="-10"/>
        </w:rPr>
        <w:t xml:space="preserve"> </w:t>
      </w:r>
      <w:r w:rsidR="006420CB" w:rsidRPr="000F25DC">
        <w:t>source</w:t>
      </w:r>
      <w:r w:rsidR="006420CB" w:rsidRPr="000F25DC">
        <w:rPr>
          <w:spacing w:val="-7"/>
        </w:rPr>
        <w:t xml:space="preserve"> </w:t>
      </w:r>
      <w:r w:rsidR="006420CB" w:rsidRPr="000F25DC">
        <w:t>and/or</w:t>
      </w:r>
      <w:r w:rsidR="006420CB" w:rsidRPr="000F25DC">
        <w:rPr>
          <w:spacing w:val="-5"/>
        </w:rPr>
        <w:t xml:space="preserve"> </w:t>
      </w:r>
      <w:r w:rsidR="006420CB" w:rsidRPr="000F25DC">
        <w:t>methodology</w:t>
      </w:r>
      <w:r w:rsidR="006420CB" w:rsidRPr="000F25DC">
        <w:rPr>
          <w:spacing w:val="-7"/>
        </w:rPr>
        <w:t xml:space="preserve"> </w:t>
      </w:r>
      <w:r w:rsidR="006420CB" w:rsidRPr="000F25DC">
        <w:t>behind</w:t>
      </w:r>
      <w:r w:rsidR="006420CB" w:rsidRPr="000F25DC">
        <w:rPr>
          <w:spacing w:val="-6"/>
        </w:rPr>
        <w:t xml:space="preserve"> </w:t>
      </w:r>
      <w:r w:rsidR="006420CB" w:rsidRPr="000F25DC">
        <w:t>how</w:t>
      </w:r>
      <w:r w:rsidR="006420CB" w:rsidRPr="000F25DC">
        <w:rPr>
          <w:spacing w:val="-5"/>
        </w:rPr>
        <w:t xml:space="preserve"> </w:t>
      </w:r>
      <w:r w:rsidR="006420CB" w:rsidRPr="000F25DC">
        <w:t>each</w:t>
      </w:r>
      <w:r w:rsidR="006420CB" w:rsidRPr="000F25DC">
        <w:rPr>
          <w:spacing w:val="-6"/>
        </w:rPr>
        <w:t xml:space="preserve"> </w:t>
      </w:r>
      <w:r w:rsidR="006420CB" w:rsidRPr="000F25DC">
        <w:t>statistic</w:t>
      </w:r>
      <w:r w:rsidR="006420CB" w:rsidRPr="000F25DC">
        <w:rPr>
          <w:spacing w:val="-6"/>
        </w:rPr>
        <w:t xml:space="preserve"> </w:t>
      </w:r>
      <w:r w:rsidR="006420CB" w:rsidRPr="000F25DC">
        <w:t>or</w:t>
      </w:r>
      <w:r w:rsidR="006420CB" w:rsidRPr="000F25DC">
        <w:rPr>
          <w:spacing w:val="-8"/>
        </w:rPr>
        <w:t xml:space="preserve"> </w:t>
      </w:r>
      <w:r w:rsidR="006420CB" w:rsidRPr="000F25DC">
        <w:t>performance measure was determined. If you do not track measures of effectiveness for a given division, department, or program, please explain why.</w:t>
      </w:r>
    </w:p>
    <w:p w14:paraId="2A83FEE9" w14:textId="77777777" w:rsidR="006420CB" w:rsidRPr="000F25DC" w:rsidRDefault="006420CB" w:rsidP="00E92204">
      <w:pPr>
        <w:pStyle w:val="BodyText"/>
      </w:pPr>
      <w:r w:rsidRPr="000F25DC">
        <w:t>TWC utilizes a structured reporting tool to gather comprehensive information from its grantees. This tool serves as a crucial mechanism for monitoring performance and understanding the activities of grant funded programs. By implementing a standardized approach, TWC ensures consistent data collection across grantees in an initiative, enabling effective comparison and analysis of program outcomes. This allows the Commission to track progress toward established goals, ensure accountability for the use of public funds, share successes, and identify areas for improvement and shared learning.</w:t>
      </w:r>
    </w:p>
    <w:p w14:paraId="24D6ED57" w14:textId="77777777" w:rsidR="006420CB" w:rsidRPr="000F25DC" w:rsidRDefault="006420CB" w:rsidP="00E92204">
      <w:pPr>
        <w:pStyle w:val="BodyText"/>
      </w:pPr>
      <w:r w:rsidRPr="000F25DC">
        <w:t>The reporting tool captures both quantitative and qualitative insights into program implementation. Grantees are required to report on specific, measurable indicators, as well as providing detailed, qualitative reviews of accomplishments. Examples of quantitative performance metrics include:</w:t>
      </w:r>
    </w:p>
    <w:p w14:paraId="645BDB06" w14:textId="77777777" w:rsidR="006420CB" w:rsidRPr="000F25DC" w:rsidRDefault="006420CB" w:rsidP="00C64851">
      <w:pPr>
        <w:pStyle w:val="BodyText"/>
        <w:numPr>
          <w:ilvl w:val="0"/>
          <w:numId w:val="868"/>
        </w:numPr>
      </w:pPr>
      <w:r w:rsidRPr="000F25DC">
        <w:t>Number of participants outreached and recruited for enrollment. This metric assesses the program's effectiveness in attracting individuals to training opportunities.</w:t>
      </w:r>
    </w:p>
    <w:p w14:paraId="32EE6CC4" w14:textId="77777777" w:rsidR="006420CB" w:rsidRPr="000F25DC" w:rsidRDefault="006420CB" w:rsidP="00C64851">
      <w:pPr>
        <w:pStyle w:val="BodyText"/>
        <w:numPr>
          <w:ilvl w:val="0"/>
          <w:numId w:val="868"/>
        </w:numPr>
      </w:pPr>
      <w:r w:rsidRPr="000F25DC">
        <w:t>Number of eligible participants enrolled. This indicates the program’s effectiveness in converting outreach efforts into actual program participation.</w:t>
      </w:r>
    </w:p>
    <w:p w14:paraId="7FCF7124" w14:textId="77777777" w:rsidR="006420CB" w:rsidRPr="000F25DC" w:rsidRDefault="006420CB" w:rsidP="00C64851">
      <w:pPr>
        <w:pStyle w:val="BodyText"/>
        <w:numPr>
          <w:ilvl w:val="0"/>
          <w:numId w:val="868"/>
        </w:numPr>
      </w:pPr>
      <w:r w:rsidRPr="000F25DC">
        <w:t>Number of participants that obtain employment. This is a key outcome metric, reflecting the program's impact on participants' career prospects.</w:t>
      </w:r>
    </w:p>
    <w:p w14:paraId="54347F64" w14:textId="77777777" w:rsidR="006420CB" w:rsidRPr="000F25DC" w:rsidRDefault="006420CB" w:rsidP="00C64851">
      <w:pPr>
        <w:pStyle w:val="BodyText"/>
        <w:numPr>
          <w:ilvl w:val="0"/>
          <w:numId w:val="868"/>
        </w:numPr>
      </w:pPr>
      <w:r w:rsidRPr="000F25DC">
        <w:t>Number of Industry-Based Certifications awarded. This highlights the program's success in equipping participants with recognized industry credentials.</w:t>
      </w:r>
    </w:p>
    <w:p w14:paraId="39419203" w14:textId="77777777" w:rsidR="006420CB" w:rsidRPr="000F25DC" w:rsidRDefault="006420CB" w:rsidP="00E92204">
      <w:pPr>
        <w:pStyle w:val="BodyText"/>
      </w:pPr>
      <w:r w:rsidRPr="000F25DC">
        <w:t>Qualitative reviews include analyzing performance outcomes, describing training activities and support services provided, explaining factors influencing program results, and outlining strategies to address challenges or enhance program delivery. This approach allows TWC to gain a deeper understanding of the “story” behind the reported numbers, developing a more informed and effective oversight of its grant work.</w:t>
      </w:r>
    </w:p>
    <w:p w14:paraId="238B5E6C" w14:textId="77777777" w:rsidR="006420CB" w:rsidRPr="000F25DC" w:rsidRDefault="006420CB" w:rsidP="00E92204">
      <w:pPr>
        <w:pStyle w:val="BodyText"/>
      </w:pPr>
      <w:r w:rsidRPr="000F25DC">
        <w:lastRenderedPageBreak/>
        <w:t xml:space="preserve">The measures above are a small sample of a library of metrics each </w:t>
      </w:r>
      <w:r>
        <w:t xml:space="preserve">grant </w:t>
      </w:r>
      <w:r w:rsidRPr="000F25DC">
        <w:t xml:space="preserve">program may use for collecting data. Prior to each program start, staff defines program outcomes to measure program success, and existing metrics are revised, updated, or supplemented to ensure appropriate data is collected. Report tools specific to each initiative are developed and provided to each </w:t>
      </w:r>
      <w:r>
        <w:t>g</w:t>
      </w:r>
      <w:r w:rsidRPr="000F25DC">
        <w:t>rantee, ensuring consistency among reported data.</w:t>
      </w:r>
    </w:p>
    <w:p w14:paraId="34B22D34" w14:textId="77777777" w:rsidR="006420CB" w:rsidRPr="000F25DC" w:rsidRDefault="006420CB" w:rsidP="00E92204">
      <w:pPr>
        <w:pStyle w:val="BodyText"/>
      </w:pPr>
      <w:r w:rsidRPr="000F25DC">
        <w:t xml:space="preserve">Using the data collected, Staff analyze outcomes to measure </w:t>
      </w:r>
      <w:r>
        <w:t>g</w:t>
      </w:r>
      <w:r w:rsidRPr="000F25DC">
        <w:t xml:space="preserve">rantee performance, program success, and return on investment. Success is determined based on a comparison of </w:t>
      </w:r>
      <w:proofErr w:type="gramStart"/>
      <w:r w:rsidRPr="000F25DC">
        <w:t>final results</w:t>
      </w:r>
      <w:proofErr w:type="gramEnd"/>
      <w:r w:rsidRPr="000F25DC">
        <w:t xml:space="preserve"> to the defined success standards. Successful programs are evaluated for opportunities for scaling, while unsuccessful programs are revised </w:t>
      </w:r>
      <w:proofErr w:type="gramStart"/>
      <w:r w:rsidRPr="000F25DC">
        <w:t>in an effort to</w:t>
      </w:r>
      <w:proofErr w:type="gramEnd"/>
      <w:r w:rsidRPr="000F25DC">
        <w:t xml:space="preserve"> achieve success or discontinued.</w:t>
      </w:r>
    </w:p>
    <w:p w14:paraId="327CE0CF" w14:textId="15A1B2F5" w:rsidR="006420CB" w:rsidRPr="000F25DC" w:rsidRDefault="00247837" w:rsidP="00247837">
      <w:pPr>
        <w:pStyle w:val="BodyText3"/>
        <w:ind w:left="720" w:hanging="720"/>
      </w:pPr>
      <w:r>
        <w:t>D.</w:t>
      </w:r>
      <w:r>
        <w:tab/>
      </w:r>
      <w:r w:rsidR="006420CB" w:rsidRPr="000F25DC">
        <w:t>Describe</w:t>
      </w:r>
      <w:r w:rsidR="006420CB" w:rsidRPr="000F25DC">
        <w:rPr>
          <w:spacing w:val="-14"/>
        </w:rPr>
        <w:t xml:space="preserve"> </w:t>
      </w:r>
      <w:r w:rsidR="006420CB" w:rsidRPr="000F25DC">
        <w:t>any</w:t>
      </w:r>
      <w:r w:rsidR="006420CB" w:rsidRPr="000F25DC">
        <w:rPr>
          <w:spacing w:val="-14"/>
        </w:rPr>
        <w:t xml:space="preserve"> </w:t>
      </w:r>
      <w:r w:rsidR="006420CB" w:rsidRPr="000F25DC">
        <w:t>important</w:t>
      </w:r>
      <w:r w:rsidR="006420CB" w:rsidRPr="000F25DC">
        <w:rPr>
          <w:spacing w:val="-13"/>
        </w:rPr>
        <w:t xml:space="preserve"> </w:t>
      </w:r>
      <w:r w:rsidR="006420CB" w:rsidRPr="000F25DC">
        <w:t>history</w:t>
      </w:r>
      <w:r w:rsidR="006420CB" w:rsidRPr="000F25DC">
        <w:rPr>
          <w:spacing w:val="-14"/>
        </w:rPr>
        <w:t xml:space="preserve"> </w:t>
      </w:r>
      <w:r w:rsidR="006420CB" w:rsidRPr="000F25DC">
        <w:t>regarding</w:t>
      </w:r>
      <w:r w:rsidR="006420CB" w:rsidRPr="000F25DC">
        <w:rPr>
          <w:spacing w:val="-13"/>
        </w:rPr>
        <w:t xml:space="preserve"> </w:t>
      </w:r>
      <w:r w:rsidR="006420CB" w:rsidRPr="000F25DC">
        <w:t>this</w:t>
      </w:r>
      <w:r w:rsidR="006420CB" w:rsidRPr="000F25DC">
        <w:rPr>
          <w:spacing w:val="-14"/>
        </w:rPr>
        <w:t xml:space="preserve"> </w:t>
      </w:r>
      <w:r w:rsidR="006420CB" w:rsidRPr="000F25DC">
        <w:t>division</w:t>
      </w:r>
      <w:r w:rsidR="006420CB" w:rsidRPr="000F25DC">
        <w:rPr>
          <w:spacing w:val="-13"/>
        </w:rPr>
        <w:t xml:space="preserve"> </w:t>
      </w:r>
      <w:r w:rsidR="006420CB" w:rsidRPr="000F25DC">
        <w:t>or</w:t>
      </w:r>
      <w:r w:rsidR="006420CB" w:rsidRPr="000F25DC">
        <w:rPr>
          <w:spacing w:val="-14"/>
        </w:rPr>
        <w:t xml:space="preserve"> </w:t>
      </w:r>
      <w:r w:rsidR="006420CB" w:rsidRPr="000F25DC">
        <w:t>program</w:t>
      </w:r>
      <w:r w:rsidR="006420CB" w:rsidRPr="000F25DC">
        <w:rPr>
          <w:spacing w:val="-14"/>
        </w:rPr>
        <w:t xml:space="preserve"> </w:t>
      </w:r>
      <w:r w:rsidR="006420CB" w:rsidRPr="000F25DC">
        <w:t>not</w:t>
      </w:r>
      <w:r w:rsidR="006420CB" w:rsidRPr="000F25DC">
        <w:rPr>
          <w:spacing w:val="-13"/>
        </w:rPr>
        <w:t xml:space="preserve"> </w:t>
      </w:r>
      <w:r w:rsidR="006420CB" w:rsidRPr="000F25DC">
        <w:t>included</w:t>
      </w:r>
      <w:r w:rsidR="006420CB" w:rsidRPr="000F25DC">
        <w:rPr>
          <w:spacing w:val="-14"/>
        </w:rPr>
        <w:t xml:space="preserve"> </w:t>
      </w:r>
      <w:r w:rsidR="006420CB" w:rsidRPr="000F25DC">
        <w:t>in</w:t>
      </w:r>
      <w:r w:rsidR="006420CB" w:rsidRPr="000F25DC">
        <w:rPr>
          <w:spacing w:val="-13"/>
        </w:rPr>
        <w:t xml:space="preserve"> </w:t>
      </w:r>
      <w:r w:rsidR="006420CB" w:rsidRPr="000F25DC">
        <w:t>the</w:t>
      </w:r>
      <w:r w:rsidR="006420CB" w:rsidRPr="000F25DC">
        <w:rPr>
          <w:spacing w:val="-14"/>
        </w:rPr>
        <w:t xml:space="preserve"> </w:t>
      </w:r>
      <w:r w:rsidR="006420CB" w:rsidRPr="000F25DC">
        <w:t>general agency history section, including</w:t>
      </w:r>
      <w:r w:rsidR="006420CB" w:rsidRPr="000F25DC">
        <w:rPr>
          <w:spacing w:val="-1"/>
        </w:rPr>
        <w:t xml:space="preserve"> </w:t>
      </w:r>
      <w:r w:rsidR="006420CB" w:rsidRPr="000F25DC">
        <w:t>how the</w:t>
      </w:r>
      <w:r w:rsidR="006420CB" w:rsidRPr="000F25DC">
        <w:rPr>
          <w:spacing w:val="-1"/>
        </w:rPr>
        <w:t xml:space="preserve"> </w:t>
      </w:r>
      <w:r w:rsidR="006420CB" w:rsidRPr="000F25DC">
        <w:t>functions or services have changed over time. If the response to Section III of this report is sufficient, please leave this section blank.</w:t>
      </w:r>
    </w:p>
    <w:p w14:paraId="7BC93286" w14:textId="6D9CCDE7" w:rsidR="006420CB" w:rsidRDefault="006420CB" w:rsidP="00247837">
      <w:pPr>
        <w:pStyle w:val="BodyText"/>
        <w:rPr>
          <w:b/>
          <w:bCs/>
        </w:rPr>
      </w:pPr>
      <w:r>
        <w:t>N/A</w:t>
      </w:r>
    </w:p>
    <w:p w14:paraId="64E85A0F" w14:textId="47013DDB" w:rsidR="006420CB" w:rsidRDefault="00247837" w:rsidP="00247837">
      <w:pPr>
        <w:pStyle w:val="BodyText3"/>
        <w:ind w:left="720" w:hanging="720"/>
      </w:pPr>
      <w:r>
        <w:t>E.</w:t>
      </w:r>
      <w:r>
        <w:tab/>
      </w:r>
      <w:r w:rsidR="006420CB" w:rsidRPr="000F25DC">
        <w:t>List any qualifications or eligibility requirements for persons or entities affected by this division or program (e.g., licensees, consumers, and landowners). Provide a statistical breakdown of persons or entities affected.</w:t>
      </w:r>
    </w:p>
    <w:p w14:paraId="199A9701" w14:textId="77777777" w:rsidR="006420CB" w:rsidRDefault="006420CB" w:rsidP="00247837">
      <w:pPr>
        <w:pStyle w:val="BodyText"/>
      </w:pPr>
      <w:r>
        <w:t>Eligibility for the grants administered varies according to the specific requirement and guidelines established by the funder. E</w:t>
      </w:r>
      <w:r w:rsidRPr="000F25DC">
        <w:t xml:space="preserve">ligibility guidelines for </w:t>
      </w:r>
      <w:r>
        <w:t xml:space="preserve">individual </w:t>
      </w:r>
      <w:r w:rsidRPr="000F25DC">
        <w:t>grant</w:t>
      </w:r>
      <w:r>
        <w:t xml:space="preserve"> programs </w:t>
      </w:r>
      <w:proofErr w:type="gramStart"/>
      <w:r>
        <w:t>is</w:t>
      </w:r>
      <w:proofErr w:type="gramEnd"/>
      <w:r>
        <w:t xml:space="preserve"> provided in the Guide to Agency Programs sections for each program.</w:t>
      </w:r>
      <w:r w:rsidRPr="000F25DC">
        <w:t xml:space="preserve"> </w:t>
      </w:r>
    </w:p>
    <w:p w14:paraId="3D481E00" w14:textId="00AE1E99" w:rsidR="006420CB" w:rsidRPr="000F25DC" w:rsidRDefault="002E7C3B" w:rsidP="002E7C3B">
      <w:pPr>
        <w:pStyle w:val="BodyText3"/>
        <w:ind w:left="720" w:hanging="720"/>
      </w:pPr>
      <w:r>
        <w:t>F.</w:t>
      </w:r>
      <w:r>
        <w:tab/>
      </w:r>
      <w:r w:rsidR="006420CB" w:rsidRPr="000F25DC">
        <w:t>Describe how the division or program is administered, including a description of key processes involved. If you have existing documentation (e.g., flowcharts, timelines, and other illustrations)</w:t>
      </w:r>
      <w:r w:rsidR="006420CB" w:rsidRPr="000F25DC">
        <w:rPr>
          <w:spacing w:val="-3"/>
        </w:rPr>
        <w:t xml:space="preserve"> </w:t>
      </w:r>
      <w:r w:rsidR="006420CB" w:rsidRPr="000F25DC">
        <w:t>to</w:t>
      </w:r>
      <w:r w:rsidR="006420CB" w:rsidRPr="000F25DC">
        <w:rPr>
          <w:spacing w:val="-2"/>
        </w:rPr>
        <w:t xml:space="preserve"> </w:t>
      </w:r>
      <w:r w:rsidR="006420CB" w:rsidRPr="000F25DC">
        <w:t>describe</w:t>
      </w:r>
      <w:r w:rsidR="006420CB" w:rsidRPr="000F25DC">
        <w:rPr>
          <w:spacing w:val="-6"/>
        </w:rPr>
        <w:t xml:space="preserve"> </w:t>
      </w:r>
      <w:r w:rsidR="006420CB" w:rsidRPr="000F25DC">
        <w:t>agency</w:t>
      </w:r>
      <w:r w:rsidR="006420CB" w:rsidRPr="000F25DC">
        <w:rPr>
          <w:spacing w:val="-3"/>
        </w:rPr>
        <w:t xml:space="preserve"> </w:t>
      </w:r>
      <w:r w:rsidR="006420CB" w:rsidRPr="000F25DC">
        <w:t>policies</w:t>
      </w:r>
      <w:r w:rsidR="006420CB" w:rsidRPr="000F25DC">
        <w:rPr>
          <w:spacing w:val="-2"/>
        </w:rPr>
        <w:t xml:space="preserve"> </w:t>
      </w:r>
      <w:r w:rsidR="006420CB" w:rsidRPr="000F25DC">
        <w:t>and</w:t>
      </w:r>
      <w:r w:rsidR="006420CB" w:rsidRPr="000F25DC">
        <w:rPr>
          <w:spacing w:val="-2"/>
        </w:rPr>
        <w:t xml:space="preserve"> </w:t>
      </w:r>
      <w:r w:rsidR="006420CB" w:rsidRPr="000F25DC">
        <w:t>procedures,</w:t>
      </w:r>
      <w:r w:rsidR="006420CB" w:rsidRPr="000F25DC">
        <w:rPr>
          <w:spacing w:val="-2"/>
        </w:rPr>
        <w:t xml:space="preserve"> </w:t>
      </w:r>
      <w:r w:rsidR="006420CB" w:rsidRPr="000F25DC">
        <w:t>please</w:t>
      </w:r>
      <w:r w:rsidR="006420CB" w:rsidRPr="000F25DC">
        <w:rPr>
          <w:spacing w:val="-3"/>
        </w:rPr>
        <w:t xml:space="preserve"> </w:t>
      </w:r>
      <w:r w:rsidR="006420CB" w:rsidRPr="000F25DC">
        <w:t>include</w:t>
      </w:r>
      <w:r w:rsidR="006420CB" w:rsidRPr="000F25DC">
        <w:rPr>
          <w:spacing w:val="-3"/>
        </w:rPr>
        <w:t xml:space="preserve"> </w:t>
      </w:r>
      <w:r w:rsidR="006420CB" w:rsidRPr="000F25DC">
        <w:t>them</w:t>
      </w:r>
      <w:r w:rsidR="006420CB" w:rsidRPr="000F25DC">
        <w:rPr>
          <w:spacing w:val="-3"/>
        </w:rPr>
        <w:t xml:space="preserve"> </w:t>
      </w:r>
      <w:r w:rsidR="006420CB" w:rsidRPr="000F25DC">
        <w:t>as</w:t>
      </w:r>
      <w:r w:rsidR="006420CB" w:rsidRPr="000F25DC">
        <w:rPr>
          <w:spacing w:val="-2"/>
        </w:rPr>
        <w:t xml:space="preserve"> </w:t>
      </w:r>
      <w:r w:rsidR="006420CB" w:rsidRPr="000F25DC">
        <w:t>attachments. Indicate how field/regional services are used, if applicable.</w:t>
      </w:r>
    </w:p>
    <w:p w14:paraId="1426F48A" w14:textId="77777777" w:rsidR="006420CB" w:rsidRDefault="006420CB" w:rsidP="002E7C3B">
      <w:pPr>
        <w:pStyle w:val="BodyText"/>
      </w:pPr>
      <w:r>
        <w:t>TWC grants are awarded through both competitive and noncompetitive processes, depending on the individual program requirements.</w:t>
      </w:r>
    </w:p>
    <w:p w14:paraId="0DE226A3" w14:textId="77777777" w:rsidR="006420CB" w:rsidRDefault="006420CB" w:rsidP="002E7C3B">
      <w:pPr>
        <w:pStyle w:val="BodyText"/>
      </w:pPr>
      <w:r>
        <w:t xml:space="preserve">For competitive grants, the Workforce Development Grants team works with program staff to complete the Request for Applications (RFA) development, evaluation and award processes and monitor performance of grantees. </w:t>
      </w:r>
    </w:p>
    <w:p w14:paraId="31D0C4AA" w14:textId="77777777" w:rsidR="006420CB" w:rsidRDefault="006420CB" w:rsidP="002E7C3B">
      <w:pPr>
        <w:pStyle w:val="BodyText"/>
      </w:pPr>
      <w:r>
        <w:t>Non-competitive grants are typically awarded through application-based statewide initiatives, formula allocations, distributions, or specific legislative mandates, rather than through a competitive proposal process.  The Workforce Development Grants team works jointly with the Office of General Counsel and Grants Administration Department to define evaluation criteria and terms and conditions and to develop grant and final executed documents.</w:t>
      </w:r>
    </w:p>
    <w:p w14:paraId="1DB5BBA9" w14:textId="77777777" w:rsidR="006420CB" w:rsidRDefault="006420CB" w:rsidP="002E7C3B">
      <w:pPr>
        <w:pStyle w:val="BodyText"/>
      </w:pPr>
      <w:r>
        <w:lastRenderedPageBreak/>
        <w:t>The TWC grant process is a collaborative effort between multiple business units, emphasizing coordination and preventing duplication. All units involved must adhere to TWC's policies.  The key roles and responsibilities of those involved in grant processes are described below.</w:t>
      </w:r>
    </w:p>
    <w:p w14:paraId="5FECF6C5" w14:textId="77777777" w:rsidR="006420CB" w:rsidRPr="00E9361F" w:rsidRDefault="006420CB" w:rsidP="00C64851">
      <w:pPr>
        <w:pStyle w:val="BodyText"/>
        <w:numPr>
          <w:ilvl w:val="0"/>
          <w:numId w:val="869"/>
        </w:numPr>
      </w:pPr>
      <w:r w:rsidRPr="00E9361F">
        <w:t xml:space="preserve">Commissioners: Approve allocations, distributions, other statewide funding, program design, functioning as policymakers. </w:t>
      </w:r>
    </w:p>
    <w:p w14:paraId="20C3BC22" w14:textId="77777777" w:rsidR="006420CB" w:rsidRPr="00E9361F" w:rsidRDefault="006420CB" w:rsidP="00C64851">
      <w:pPr>
        <w:pStyle w:val="BodyText"/>
        <w:numPr>
          <w:ilvl w:val="0"/>
          <w:numId w:val="869"/>
        </w:numPr>
      </w:pPr>
      <w:r>
        <w:t xml:space="preserve">Initiating </w:t>
      </w:r>
      <w:r w:rsidRPr="00E9361F">
        <w:t xml:space="preserve">Program: Manages the solicitation process for both competitive and non-competitive grants, including preparing both solicitation or application-based opportunities with complete packages and documentation, facilitate meetings, develops evaluation criteria and manages evaluations, formats award notification and documents. </w:t>
      </w:r>
    </w:p>
    <w:p w14:paraId="101532A8" w14:textId="77777777" w:rsidR="006420CB" w:rsidRPr="00E9361F" w:rsidRDefault="006420CB" w:rsidP="00C64851">
      <w:pPr>
        <w:pStyle w:val="BodyText"/>
        <w:numPr>
          <w:ilvl w:val="0"/>
          <w:numId w:val="869"/>
        </w:numPr>
      </w:pPr>
      <w:r w:rsidRPr="00E9361F">
        <w:t xml:space="preserve">Project Managers/Program Contacts/Subject Matter Experts: Contribute to work plans, outcome measures, and evaluation criteria, and may also participate in evaluation teams. </w:t>
      </w:r>
    </w:p>
    <w:p w14:paraId="18450364" w14:textId="77777777" w:rsidR="006420CB" w:rsidRPr="00E9361F" w:rsidRDefault="006420CB" w:rsidP="00C64851">
      <w:pPr>
        <w:pStyle w:val="BodyText"/>
        <w:numPr>
          <w:ilvl w:val="0"/>
          <w:numId w:val="869"/>
        </w:numPr>
      </w:pPr>
      <w:r>
        <w:t xml:space="preserve">Business Operations Division, </w:t>
      </w:r>
      <w:r w:rsidRPr="00E9361F">
        <w:t>Procurement and Contract Services</w:t>
      </w:r>
      <w:r>
        <w:t xml:space="preserve">, </w:t>
      </w:r>
      <w:r w:rsidRPr="00E9361F" w:rsidDel="00FE0023">
        <w:t>Grant</w:t>
      </w:r>
      <w:r>
        <w:t>s</w:t>
      </w:r>
      <w:r w:rsidRPr="00E9361F">
        <w:t xml:space="preserve"> Administration </w:t>
      </w:r>
      <w:r>
        <w:t>Department</w:t>
      </w:r>
      <w:r w:rsidRPr="00E9361F">
        <w:t xml:space="preserve">: Oversees the solicitation process, ensuring legal and policy compliance, developing evaluation tools, leading the evaluation process, and managing award execution and record-keeping. </w:t>
      </w:r>
    </w:p>
    <w:p w14:paraId="2A9FDB30" w14:textId="77777777" w:rsidR="006420CB" w:rsidRPr="00E9361F" w:rsidRDefault="006420CB" w:rsidP="00C64851">
      <w:pPr>
        <w:pStyle w:val="BodyText"/>
        <w:numPr>
          <w:ilvl w:val="0"/>
          <w:numId w:val="869"/>
        </w:numPr>
      </w:pPr>
      <w:r w:rsidRPr="00E9361F">
        <w:t xml:space="preserve">Office of General Counsel: Ensures legal authority, mitigates risks, advises on solicitation language, develops legal terms and conditions, and reviews final award documents. </w:t>
      </w:r>
    </w:p>
    <w:p w14:paraId="51A87B55" w14:textId="77777777" w:rsidR="006420CB" w:rsidRPr="00E9361F" w:rsidRDefault="006420CB" w:rsidP="00C64851">
      <w:pPr>
        <w:pStyle w:val="BodyText"/>
        <w:numPr>
          <w:ilvl w:val="0"/>
          <w:numId w:val="869"/>
        </w:numPr>
      </w:pPr>
      <w:r w:rsidRPr="00E9361F">
        <w:t>Finance</w:t>
      </w:r>
      <w:r>
        <w:t xml:space="preserve"> Division</w:t>
      </w:r>
      <w:r w:rsidRPr="00E9361F">
        <w:t xml:space="preserve">: Advises on fiscal matters, participates in budget development within solicitations, and reviews financial terms. </w:t>
      </w:r>
    </w:p>
    <w:p w14:paraId="47903CE0" w14:textId="77777777" w:rsidR="006420CB" w:rsidRDefault="006420CB" w:rsidP="00C64851">
      <w:pPr>
        <w:pStyle w:val="BodyText"/>
        <w:numPr>
          <w:ilvl w:val="0"/>
          <w:numId w:val="869"/>
        </w:numPr>
      </w:pPr>
      <w:r>
        <w:t xml:space="preserve">Workforce Development </w:t>
      </w:r>
      <w:r w:rsidRPr="00E9361F">
        <w:t>Grant</w:t>
      </w:r>
      <w:r>
        <w:t>s</w:t>
      </w:r>
      <w:r w:rsidRPr="00E9361F">
        <w:t>: Negotiates and develops grant documents, executes grant awards, consistently reviews expenditures and performance targets, outputs and measures, processes and approve</w:t>
      </w:r>
      <w:r>
        <w:t>s</w:t>
      </w:r>
      <w:r w:rsidRPr="00E9361F">
        <w:t xml:space="preserve"> amendments, and</w:t>
      </w:r>
      <w:r>
        <w:t xml:space="preserve"> conducts grant closeouts. </w:t>
      </w:r>
    </w:p>
    <w:p w14:paraId="037C44C8" w14:textId="0CD28BBF" w:rsidR="006420CB" w:rsidRPr="000F25DC" w:rsidRDefault="00722A47" w:rsidP="00722A47">
      <w:pPr>
        <w:pStyle w:val="BodyText3"/>
        <w:ind w:left="720" w:hanging="720"/>
      </w:pPr>
      <w:r>
        <w:t>G.</w:t>
      </w:r>
      <w:r>
        <w:tab/>
      </w:r>
      <w:r w:rsidR="006420CB" w:rsidRPr="000F25DC">
        <w:t>If key to understanding the division or program, identify funding sources and amounts, including federal grants and pass-through monies. Describe any funding formulas or funding conventions. Please</w:t>
      </w:r>
      <w:r w:rsidR="006420CB" w:rsidRPr="000F25DC">
        <w:rPr>
          <w:spacing w:val="-1"/>
        </w:rPr>
        <w:t xml:space="preserve"> </w:t>
      </w:r>
      <w:r w:rsidR="006420CB" w:rsidRPr="000F25DC">
        <w:t>specify</w:t>
      </w:r>
      <w:r w:rsidR="006420CB" w:rsidRPr="000F25DC">
        <w:rPr>
          <w:spacing w:val="-1"/>
        </w:rPr>
        <w:t xml:space="preserve"> </w:t>
      </w:r>
      <w:r w:rsidR="006420CB" w:rsidRPr="000F25DC">
        <w:t>state</w:t>
      </w:r>
      <w:r w:rsidR="006420CB" w:rsidRPr="000F25DC">
        <w:rPr>
          <w:spacing w:val="-1"/>
        </w:rPr>
        <w:t xml:space="preserve"> </w:t>
      </w:r>
      <w:r w:rsidR="006420CB" w:rsidRPr="000F25DC">
        <w:t>funding</w:t>
      </w:r>
      <w:r w:rsidR="006420CB" w:rsidRPr="000F25DC">
        <w:rPr>
          <w:spacing w:val="-1"/>
        </w:rPr>
        <w:t xml:space="preserve"> </w:t>
      </w:r>
      <w:r w:rsidR="006420CB" w:rsidRPr="000F25DC">
        <w:t>sources (e.g., general revenue, appropriations</w:t>
      </w:r>
      <w:r w:rsidR="006420CB" w:rsidRPr="000F25DC">
        <w:rPr>
          <w:spacing w:val="-2"/>
        </w:rPr>
        <w:t xml:space="preserve"> </w:t>
      </w:r>
      <w:r w:rsidR="006420CB" w:rsidRPr="000F25DC">
        <w:t>rider, budget</w:t>
      </w:r>
      <w:r w:rsidR="006420CB" w:rsidRPr="000F25DC">
        <w:rPr>
          <w:spacing w:val="-5"/>
        </w:rPr>
        <w:t xml:space="preserve"> </w:t>
      </w:r>
      <w:r w:rsidR="006420CB" w:rsidRPr="000F25DC">
        <w:t>strategy,</w:t>
      </w:r>
      <w:r w:rsidR="006420CB" w:rsidRPr="000F25DC">
        <w:rPr>
          <w:spacing w:val="-5"/>
        </w:rPr>
        <w:t xml:space="preserve"> </w:t>
      </w:r>
      <w:r w:rsidR="006420CB" w:rsidRPr="000F25DC">
        <w:t>and</w:t>
      </w:r>
      <w:r w:rsidR="006420CB" w:rsidRPr="000F25DC">
        <w:rPr>
          <w:spacing w:val="-5"/>
        </w:rPr>
        <w:t xml:space="preserve"> </w:t>
      </w:r>
      <w:r w:rsidR="006420CB" w:rsidRPr="000F25DC">
        <w:t>fees/dues).</w:t>
      </w:r>
      <w:r w:rsidR="006420CB" w:rsidRPr="000F25DC">
        <w:rPr>
          <w:spacing w:val="-5"/>
        </w:rPr>
        <w:t xml:space="preserve"> </w:t>
      </w:r>
      <w:r w:rsidR="006420CB" w:rsidRPr="000F25DC">
        <w:t>(If</w:t>
      </w:r>
      <w:r w:rsidR="006420CB" w:rsidRPr="000F25DC">
        <w:rPr>
          <w:spacing w:val="-6"/>
        </w:rPr>
        <w:t xml:space="preserve"> </w:t>
      </w:r>
      <w:r w:rsidR="006420CB" w:rsidRPr="000F25DC">
        <w:t>you</w:t>
      </w:r>
      <w:r w:rsidR="006420CB" w:rsidRPr="000F25DC">
        <w:rPr>
          <w:spacing w:val="-6"/>
        </w:rPr>
        <w:t xml:space="preserve"> </w:t>
      </w:r>
      <w:r w:rsidR="006420CB" w:rsidRPr="000F25DC">
        <w:t>have</w:t>
      </w:r>
      <w:r w:rsidR="006420CB" w:rsidRPr="000F25DC">
        <w:rPr>
          <w:spacing w:val="-5"/>
        </w:rPr>
        <w:t xml:space="preserve"> </w:t>
      </w:r>
      <w:r w:rsidR="006420CB" w:rsidRPr="000F25DC">
        <w:t>already</w:t>
      </w:r>
      <w:r w:rsidR="006420CB" w:rsidRPr="000F25DC">
        <w:rPr>
          <w:spacing w:val="-5"/>
        </w:rPr>
        <w:t xml:space="preserve"> </w:t>
      </w:r>
      <w:r w:rsidR="006420CB" w:rsidRPr="000F25DC">
        <w:t>submitted</w:t>
      </w:r>
      <w:r w:rsidR="006420CB" w:rsidRPr="000F25DC">
        <w:rPr>
          <w:spacing w:val="-6"/>
        </w:rPr>
        <w:t xml:space="preserve"> </w:t>
      </w:r>
      <w:r w:rsidR="006420CB" w:rsidRPr="000F25DC">
        <w:t>funding</w:t>
      </w:r>
      <w:r w:rsidR="006420CB" w:rsidRPr="000F25DC">
        <w:rPr>
          <w:spacing w:val="-6"/>
        </w:rPr>
        <w:t xml:space="preserve"> </w:t>
      </w:r>
      <w:r w:rsidR="006420CB" w:rsidRPr="000F25DC">
        <w:t>source</w:t>
      </w:r>
      <w:r w:rsidR="006420CB" w:rsidRPr="000F25DC">
        <w:rPr>
          <w:spacing w:val="-5"/>
        </w:rPr>
        <w:t xml:space="preserve"> </w:t>
      </w:r>
      <w:r w:rsidR="006420CB" w:rsidRPr="000F25DC">
        <w:t>info</w:t>
      </w:r>
      <w:r w:rsidR="006420CB" w:rsidRPr="000F25DC">
        <w:rPr>
          <w:spacing w:val="-6"/>
        </w:rPr>
        <w:t xml:space="preserve"> </w:t>
      </w:r>
      <w:r w:rsidR="006420CB" w:rsidRPr="000F25DC">
        <w:t>through</w:t>
      </w:r>
      <w:r w:rsidR="006420CB" w:rsidRPr="000F25DC">
        <w:rPr>
          <w:spacing w:val="-6"/>
        </w:rPr>
        <w:t xml:space="preserve"> </w:t>
      </w:r>
      <w:r w:rsidR="006420CB" w:rsidRPr="000F25DC">
        <w:t>the “Agency Program Information” spreadsheet, please limit your response to funding formulas or funding conventions.)</w:t>
      </w:r>
    </w:p>
    <w:p w14:paraId="2F5D55B1" w14:textId="77777777" w:rsidR="002F3C8D" w:rsidRPr="00A10C2B" w:rsidRDefault="002F3C8D" w:rsidP="00A10C2B">
      <w:pPr>
        <w:pStyle w:val="BodyText"/>
      </w:pPr>
      <w:r w:rsidRPr="00A10C2B">
        <w:t>Funding for the Workforce Development Grants team is strategically allocated across the multiple grant programs that the team administers.</w:t>
      </w:r>
    </w:p>
    <w:p w14:paraId="5E06FC60" w14:textId="579FEE14" w:rsidR="006420CB" w:rsidRPr="00BC58E1" w:rsidRDefault="0019304C" w:rsidP="0019304C">
      <w:pPr>
        <w:pStyle w:val="BodyText3"/>
        <w:ind w:left="720" w:hanging="720"/>
        <w:rPr>
          <w:rFonts w:cstheme="minorHAnsi"/>
        </w:rPr>
      </w:pPr>
      <w:r>
        <w:lastRenderedPageBreak/>
        <w:t>H.</w:t>
      </w:r>
      <w:r>
        <w:tab/>
      </w:r>
      <w:r w:rsidR="006420CB" w:rsidRPr="00154E20">
        <w:t xml:space="preserve">Briefly discuss any memoranda of understanding (MOU), interagency agreements, or interagency contracts the agency uses to coordinate its activities and avoid duplication or </w:t>
      </w:r>
      <w:r w:rsidR="006420CB" w:rsidRPr="00BC58E1">
        <w:rPr>
          <w:rFonts w:cstheme="minorHAnsi"/>
        </w:rPr>
        <w:t>conflict with other entities that provide similar or identical services or functions to the target population.</w:t>
      </w:r>
    </w:p>
    <w:p w14:paraId="7E96C4FC" w14:textId="77777777" w:rsidR="006420CB" w:rsidRPr="000F25DC" w:rsidRDefault="006420CB" w:rsidP="0019304C">
      <w:pPr>
        <w:pStyle w:val="BodyText"/>
      </w:pPr>
      <w:r w:rsidRPr="000F25DC">
        <w:t>TWC's grantmaking remains strategically focused on broad workforce development initiatives. This mission driven approach ensures TWC's programs complement, rather than duplicate, the efforts of other agencies, leading to strategic referrals and a more comprehensive service network for Texans.</w:t>
      </w:r>
    </w:p>
    <w:p w14:paraId="790FF892" w14:textId="7FD6EF11" w:rsidR="006420CB" w:rsidRPr="000F25DC" w:rsidRDefault="0019304C" w:rsidP="0019304C">
      <w:pPr>
        <w:pStyle w:val="BodyText3"/>
        <w:ind w:left="720" w:hanging="720"/>
      </w:pPr>
      <w:r>
        <w:t>I.</w:t>
      </w:r>
      <w:r>
        <w:tab/>
      </w:r>
      <w:r w:rsidR="006420CB" w:rsidRPr="000F25DC">
        <w:t>If</w:t>
      </w:r>
      <w:r w:rsidR="006420CB" w:rsidRPr="000F25DC">
        <w:rPr>
          <w:spacing w:val="-3"/>
        </w:rPr>
        <w:t xml:space="preserve"> </w:t>
      </w:r>
      <w:r w:rsidR="006420CB" w:rsidRPr="000F25DC">
        <w:t>the</w:t>
      </w:r>
      <w:r w:rsidR="006420CB" w:rsidRPr="000F25DC">
        <w:rPr>
          <w:spacing w:val="-2"/>
        </w:rPr>
        <w:t xml:space="preserve"> </w:t>
      </w:r>
      <w:r w:rsidR="006420CB" w:rsidRPr="000F25DC">
        <w:t>division</w:t>
      </w:r>
      <w:r w:rsidR="006420CB" w:rsidRPr="000F25DC">
        <w:rPr>
          <w:spacing w:val="-1"/>
        </w:rPr>
        <w:t xml:space="preserve"> </w:t>
      </w:r>
      <w:r w:rsidR="006420CB" w:rsidRPr="000F25DC">
        <w:t>or</w:t>
      </w:r>
      <w:r w:rsidR="006420CB" w:rsidRPr="000F25DC">
        <w:rPr>
          <w:spacing w:val="-3"/>
        </w:rPr>
        <w:t xml:space="preserve"> </w:t>
      </w:r>
      <w:r w:rsidR="006420CB" w:rsidRPr="000F25DC">
        <w:t>program</w:t>
      </w:r>
      <w:r w:rsidR="006420CB" w:rsidRPr="000F25DC">
        <w:rPr>
          <w:spacing w:val="-2"/>
        </w:rPr>
        <w:t xml:space="preserve"> </w:t>
      </w:r>
      <w:r w:rsidR="006420CB" w:rsidRPr="000F25DC">
        <w:t>works</w:t>
      </w:r>
      <w:r w:rsidR="006420CB" w:rsidRPr="000F25DC">
        <w:rPr>
          <w:spacing w:val="-1"/>
        </w:rPr>
        <w:t xml:space="preserve"> </w:t>
      </w:r>
      <w:r w:rsidR="006420CB" w:rsidRPr="000F25DC">
        <w:t>with</w:t>
      </w:r>
      <w:r w:rsidR="006420CB" w:rsidRPr="000F25DC">
        <w:rPr>
          <w:spacing w:val="-3"/>
        </w:rPr>
        <w:t xml:space="preserve"> </w:t>
      </w:r>
      <w:r w:rsidR="006420CB" w:rsidRPr="000F25DC">
        <w:t>local,</w:t>
      </w:r>
      <w:r w:rsidR="006420CB" w:rsidRPr="000F25DC">
        <w:rPr>
          <w:spacing w:val="-3"/>
        </w:rPr>
        <w:t xml:space="preserve"> </w:t>
      </w:r>
      <w:r w:rsidR="006420CB" w:rsidRPr="000F25DC">
        <w:t>regional,</w:t>
      </w:r>
      <w:r w:rsidR="006420CB" w:rsidRPr="000F25DC">
        <w:rPr>
          <w:spacing w:val="-3"/>
        </w:rPr>
        <w:t xml:space="preserve"> </w:t>
      </w:r>
      <w:r w:rsidR="006420CB" w:rsidRPr="000F25DC">
        <w:t>or federal</w:t>
      </w:r>
      <w:r w:rsidR="006420CB" w:rsidRPr="000F25DC">
        <w:rPr>
          <w:spacing w:val="-3"/>
        </w:rPr>
        <w:t xml:space="preserve"> </w:t>
      </w:r>
      <w:r w:rsidR="006420CB" w:rsidRPr="000F25DC">
        <w:t>units</w:t>
      </w:r>
      <w:r w:rsidR="006420CB" w:rsidRPr="000F25DC">
        <w:rPr>
          <w:spacing w:val="-1"/>
        </w:rPr>
        <w:t xml:space="preserve"> </w:t>
      </w:r>
      <w:r w:rsidR="006420CB" w:rsidRPr="000F25DC">
        <w:t>of</w:t>
      </w:r>
      <w:r w:rsidR="006420CB" w:rsidRPr="000F25DC">
        <w:rPr>
          <w:spacing w:val="-3"/>
        </w:rPr>
        <w:t xml:space="preserve"> </w:t>
      </w:r>
      <w:r w:rsidR="006420CB" w:rsidRPr="000F25DC">
        <w:t>government,</w:t>
      </w:r>
      <w:r w:rsidR="006420CB" w:rsidRPr="000F25DC">
        <w:rPr>
          <w:spacing w:val="-1"/>
        </w:rPr>
        <w:t xml:space="preserve"> </w:t>
      </w:r>
      <w:r w:rsidR="006420CB" w:rsidRPr="000F25DC">
        <w:t>include a brief description of these entities and their relationship to the agency.</w:t>
      </w:r>
    </w:p>
    <w:p w14:paraId="02931F3E" w14:textId="77777777" w:rsidR="006420CB" w:rsidRDefault="006420CB" w:rsidP="0019304C">
      <w:pPr>
        <w:pStyle w:val="BodyText"/>
      </w:pPr>
      <w:r w:rsidRPr="000F25DC">
        <w:t xml:space="preserve">TWC grant programs actively engage with local, regional, and federal government entities to enhance workforce development. Primarily, TWC funds Boards to tailor programs to community needs. Collaboration also occurs through partnerships on local initiatives aligned with economic development strategies and leveraging regional bodies for addressing multi-county workforce challenges and accessing regional expertise. TWC receives and administers federal funding </w:t>
      </w:r>
      <w:r>
        <w:t xml:space="preserve">and </w:t>
      </w:r>
      <w:r w:rsidRPr="000F25DC">
        <w:t>align</w:t>
      </w:r>
      <w:r>
        <w:t>s</w:t>
      </w:r>
      <w:r w:rsidRPr="000F25DC">
        <w:t xml:space="preserve"> with federal priorities and implementing national initiatives at the state and local levels. </w:t>
      </w:r>
    </w:p>
    <w:p w14:paraId="78D6FDAC" w14:textId="1C2C9BDC" w:rsidR="006420CB" w:rsidRPr="000F25DC" w:rsidRDefault="003A07C8" w:rsidP="003A07C8">
      <w:pPr>
        <w:pStyle w:val="BodyText3"/>
        <w:ind w:left="720" w:hanging="720"/>
      </w:pPr>
      <w:r>
        <w:t>J.</w:t>
      </w:r>
      <w:r>
        <w:tab/>
      </w:r>
      <w:r w:rsidR="006420CB" w:rsidRPr="000F25DC">
        <w:t>Are there any barriers or challenges that impede the division or program’s performance, including any outdated or ineffective state laws? Explain.</w:t>
      </w:r>
    </w:p>
    <w:p w14:paraId="167EA161" w14:textId="77777777" w:rsidR="006420CB" w:rsidRPr="000F25DC" w:rsidRDefault="006420CB" w:rsidP="003A07C8">
      <w:pPr>
        <w:pStyle w:val="BodyText"/>
      </w:pPr>
      <w:r w:rsidRPr="000F25DC">
        <w:t>TWC</w:t>
      </w:r>
      <w:r>
        <w:t>’s</w:t>
      </w:r>
      <w:r w:rsidRPr="000F25DC">
        <w:t xml:space="preserve"> grant management is hindered by a</w:t>
      </w:r>
      <w:r>
        <w:t xml:space="preserve">n IT </w:t>
      </w:r>
      <w:r w:rsidRPr="000F25DC">
        <w:t>system</w:t>
      </w:r>
      <w:r>
        <w:t xml:space="preserve"> intended for procurements, not grant management activities</w:t>
      </w:r>
      <w:r w:rsidRPr="000F25DC">
        <w:t xml:space="preserve">. </w:t>
      </w:r>
      <w:r>
        <w:t>Additional k</w:t>
      </w:r>
      <w:r w:rsidRPr="000F25DC">
        <w:t>ey grant functions are spread across disparate platforms. This reliance on multiple, unintegrated systems creates extensive manual processes, data silos, and ultimately obstructs efficient and comprehensive grant oversight.</w:t>
      </w:r>
    </w:p>
    <w:p w14:paraId="45FEDEFA" w14:textId="6E093F48" w:rsidR="006420CB" w:rsidRPr="000F25DC" w:rsidRDefault="003A07C8" w:rsidP="003A07C8">
      <w:pPr>
        <w:pStyle w:val="BodyText3"/>
        <w:ind w:left="720" w:hanging="720"/>
      </w:pPr>
      <w:r>
        <w:t>K.</w:t>
      </w:r>
      <w:r>
        <w:tab/>
      </w:r>
      <w:r w:rsidR="006420CB" w:rsidRPr="000F25DC">
        <w:t>Provide any additional information needed to gain a preliminary understanding of the division or program.</w:t>
      </w:r>
    </w:p>
    <w:p w14:paraId="36A2B3CF" w14:textId="77777777" w:rsidR="006420CB" w:rsidRPr="000F25DC" w:rsidRDefault="006420CB" w:rsidP="003A07C8">
      <w:pPr>
        <w:pStyle w:val="BodyText"/>
      </w:pPr>
      <w:r w:rsidRPr="000F25DC">
        <w:t xml:space="preserve">The </w:t>
      </w:r>
      <w:r>
        <w:t>Workforce Development G</w:t>
      </w:r>
      <w:r w:rsidRPr="000F25DC">
        <w:t>rants team is currently involved in a Rapid Process Improvement (RPI) project focused on RFAs and grant development, aiming to eliminate inefficiencies</w:t>
      </w:r>
      <w:r>
        <w:t>,</w:t>
      </w:r>
      <w:r w:rsidRPr="000F25DC">
        <w:t xml:space="preserve"> standardize processes</w:t>
      </w:r>
      <w:r>
        <w:t>, and reduce the timeline from program initiation to grant award</w:t>
      </w:r>
      <w:r w:rsidRPr="000F25DC">
        <w:t>.</w:t>
      </w:r>
    </w:p>
    <w:p w14:paraId="0A0A0CD5" w14:textId="76EA83B1" w:rsidR="006420CB" w:rsidRPr="000F25DC" w:rsidRDefault="003A07C8" w:rsidP="003A07C8">
      <w:pPr>
        <w:pStyle w:val="BodyText3"/>
        <w:ind w:left="720" w:hanging="720"/>
      </w:pPr>
      <w:r>
        <w:t>L.</w:t>
      </w:r>
      <w:r>
        <w:tab/>
      </w:r>
      <w:r w:rsidR="006420CB" w:rsidRPr="000F25DC">
        <w:t>Regulatory programs relate to the licensing, registration, certification, or permitting of a person, business, piece of equipment, or other entity (e.g., a facility). For each regulatory program, if applicable, describe:</w:t>
      </w:r>
    </w:p>
    <w:p w14:paraId="3E9AF336" w14:textId="77777777" w:rsidR="006420CB" w:rsidRPr="000F25DC" w:rsidRDefault="006420CB" w:rsidP="003A07C8">
      <w:pPr>
        <w:pStyle w:val="BodyText"/>
      </w:pPr>
      <w:r>
        <w:t>N/A</w:t>
      </w:r>
    </w:p>
    <w:p w14:paraId="5971426C" w14:textId="251766FF" w:rsidR="006420CB" w:rsidRPr="000F25DC" w:rsidRDefault="003A07C8" w:rsidP="003A07C8">
      <w:pPr>
        <w:pStyle w:val="BodyText3"/>
        <w:ind w:left="720" w:hanging="720"/>
      </w:pPr>
      <w:r>
        <w:t>M.</w:t>
      </w:r>
      <w:r>
        <w:tab/>
      </w:r>
      <w:r w:rsidR="006420CB" w:rsidRPr="000F25DC">
        <w:t>For each regulatory</w:t>
      </w:r>
      <w:r w:rsidR="006420CB" w:rsidRPr="000F25DC">
        <w:rPr>
          <w:spacing w:val="-1"/>
        </w:rPr>
        <w:t xml:space="preserve"> </w:t>
      </w:r>
      <w:r w:rsidR="006420CB" w:rsidRPr="000F25DC">
        <w:t>program, if applicable, provide</w:t>
      </w:r>
      <w:r w:rsidR="006420CB" w:rsidRPr="000F25DC">
        <w:rPr>
          <w:spacing w:val="-1"/>
        </w:rPr>
        <w:t xml:space="preserve"> </w:t>
      </w:r>
      <w:r w:rsidR="006420CB" w:rsidRPr="000F25DC">
        <w:t xml:space="preserve">detailed information on complaint and regulatory actions, including investigations and complaint </w:t>
      </w:r>
      <w:r w:rsidR="006420CB" w:rsidRPr="000F25DC">
        <w:lastRenderedPageBreak/>
        <w:t>resolutions. The data should cover the last five fiscal years and give a complete picture of the program’s regulatory activity, including</w:t>
      </w:r>
      <w:r w:rsidR="006420CB" w:rsidRPr="000F25DC">
        <w:rPr>
          <w:spacing w:val="-12"/>
        </w:rPr>
        <w:t xml:space="preserve"> </w:t>
      </w:r>
      <w:r w:rsidR="006420CB" w:rsidRPr="000F25DC">
        <w:t>comprehensive</w:t>
      </w:r>
      <w:r w:rsidR="006420CB" w:rsidRPr="000F25DC">
        <w:rPr>
          <w:spacing w:val="-12"/>
        </w:rPr>
        <w:t xml:space="preserve"> </w:t>
      </w:r>
      <w:r w:rsidR="006420CB" w:rsidRPr="000F25DC">
        <w:t>information</w:t>
      </w:r>
      <w:r w:rsidR="006420CB" w:rsidRPr="000F25DC">
        <w:rPr>
          <w:spacing w:val="-10"/>
        </w:rPr>
        <w:t xml:space="preserve"> </w:t>
      </w:r>
      <w:r w:rsidR="006420CB" w:rsidRPr="000F25DC">
        <w:t>from</w:t>
      </w:r>
      <w:r w:rsidR="006420CB" w:rsidRPr="000F25DC">
        <w:rPr>
          <w:spacing w:val="-12"/>
        </w:rPr>
        <w:t xml:space="preserve"> </w:t>
      </w:r>
      <w:r w:rsidR="006420CB" w:rsidRPr="000F25DC">
        <w:t>initiation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complaint</w:t>
      </w:r>
      <w:r w:rsidR="006420CB" w:rsidRPr="000F25DC">
        <w:rPr>
          <w:spacing w:val="-10"/>
        </w:rPr>
        <w:t xml:space="preserve"> </w:t>
      </w:r>
      <w:r w:rsidR="006420CB" w:rsidRPr="000F25DC">
        <w:t>to</w:t>
      </w:r>
      <w:r w:rsidR="006420CB" w:rsidRPr="000F25DC">
        <w:rPr>
          <w:spacing w:val="-13"/>
        </w:rPr>
        <w:t xml:space="preserve"> </w:t>
      </w:r>
      <w:r w:rsidR="006420CB" w:rsidRPr="000F25DC">
        <w:t>resolution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case.</w:t>
      </w:r>
      <w:r w:rsidR="006420CB" w:rsidRPr="000F25DC">
        <w:rPr>
          <w:spacing w:val="-10"/>
        </w:rPr>
        <w:t xml:space="preserve"> </w:t>
      </w:r>
      <w:r w:rsidR="006420CB" w:rsidRPr="000F25DC">
        <w:t>The purpose</w:t>
      </w:r>
      <w:r w:rsidR="006420CB" w:rsidRPr="000F25DC">
        <w:rPr>
          <w:spacing w:val="-14"/>
        </w:rPr>
        <w:t xml:space="preserve"> </w:t>
      </w:r>
      <w:r w:rsidR="006420CB" w:rsidRPr="000F25DC">
        <w:t>of</w:t>
      </w:r>
      <w:r w:rsidR="006420CB" w:rsidRPr="000F25DC">
        <w:rPr>
          <w:spacing w:val="-14"/>
        </w:rPr>
        <w:t xml:space="preserve"> </w:t>
      </w:r>
      <w:r w:rsidR="006420CB" w:rsidRPr="000F25DC">
        <w:t>the</w:t>
      </w:r>
      <w:r w:rsidR="006420CB" w:rsidRPr="000F25DC">
        <w:rPr>
          <w:spacing w:val="-13"/>
        </w:rPr>
        <w:t xml:space="preserve"> </w:t>
      </w:r>
      <w:r w:rsidR="006420CB" w:rsidRPr="000F25DC">
        <w:t>table</w:t>
      </w:r>
      <w:r w:rsidR="006420CB" w:rsidRPr="000F25DC">
        <w:rPr>
          <w:spacing w:val="-14"/>
        </w:rPr>
        <w:t xml:space="preserve"> </w:t>
      </w:r>
      <w:r w:rsidR="006420CB" w:rsidRPr="000F25DC">
        <w:t>is</w:t>
      </w:r>
      <w:r w:rsidR="006420CB" w:rsidRPr="000F25DC">
        <w:rPr>
          <w:spacing w:val="-13"/>
        </w:rPr>
        <w:t xml:space="preserve"> </w:t>
      </w:r>
      <w:r w:rsidR="006420CB" w:rsidRPr="000F25DC">
        <w:t>to</w:t>
      </w:r>
      <w:r w:rsidR="006420CB" w:rsidRPr="000F25DC">
        <w:rPr>
          <w:spacing w:val="-14"/>
        </w:rPr>
        <w:t xml:space="preserve"> </w:t>
      </w:r>
      <w:r w:rsidR="006420CB" w:rsidRPr="000F25DC">
        <w:t>create</w:t>
      </w:r>
      <w:r w:rsidR="006420CB" w:rsidRPr="000F25DC">
        <w:rPr>
          <w:spacing w:val="-13"/>
        </w:rPr>
        <w:t xml:space="preserve"> </w:t>
      </w:r>
      <w:r w:rsidR="006420CB" w:rsidRPr="000F25DC">
        <w:t>uniformity</w:t>
      </w:r>
      <w:r w:rsidR="006420CB" w:rsidRPr="000F25DC">
        <w:rPr>
          <w:spacing w:val="-14"/>
        </w:rPr>
        <w:t xml:space="preserve"> </w:t>
      </w:r>
      <w:r w:rsidR="006420CB" w:rsidRPr="000F25DC">
        <w:t>across</w:t>
      </w:r>
      <w:r w:rsidR="006420CB" w:rsidRPr="000F25DC">
        <w:rPr>
          <w:spacing w:val="-14"/>
        </w:rPr>
        <w:t xml:space="preserve"> </w:t>
      </w:r>
      <w:r w:rsidR="006420CB" w:rsidRPr="000F25DC">
        <w:t>agencies</w:t>
      </w:r>
      <w:r w:rsidR="006420CB" w:rsidRPr="000F25DC">
        <w:rPr>
          <w:spacing w:val="-13"/>
        </w:rPr>
        <w:t xml:space="preserve"> </w:t>
      </w:r>
      <w:r w:rsidR="006420CB" w:rsidRPr="000F25DC">
        <w:t>under</w:t>
      </w:r>
      <w:r w:rsidR="006420CB" w:rsidRPr="000F25DC">
        <w:rPr>
          <w:spacing w:val="-14"/>
        </w:rPr>
        <w:t xml:space="preserve"> </w:t>
      </w:r>
      <w:r w:rsidR="006420CB" w:rsidRPr="000F25DC">
        <w:t>review</w:t>
      </w:r>
      <w:r w:rsidR="006420CB" w:rsidRPr="000F25DC">
        <w:rPr>
          <w:spacing w:val="-13"/>
        </w:rPr>
        <w:t xml:space="preserve"> </w:t>
      </w:r>
      <w:r w:rsidR="006420CB" w:rsidRPr="000F25DC">
        <w:t>to</w:t>
      </w:r>
      <w:r w:rsidR="006420CB" w:rsidRPr="000F25DC">
        <w:rPr>
          <w:spacing w:val="-14"/>
        </w:rPr>
        <w:t xml:space="preserve"> </w:t>
      </w:r>
      <w:r w:rsidR="006420CB" w:rsidRPr="000F25DC">
        <w:t>the</w:t>
      </w:r>
      <w:r w:rsidR="006420CB" w:rsidRPr="000F25DC">
        <w:rPr>
          <w:spacing w:val="-13"/>
        </w:rPr>
        <w:t xml:space="preserve"> </w:t>
      </w:r>
      <w:r w:rsidR="006420CB" w:rsidRPr="000F25DC">
        <w:t>extent</w:t>
      </w:r>
      <w:r w:rsidR="006420CB" w:rsidRPr="000F25DC">
        <w:rPr>
          <w:spacing w:val="-14"/>
        </w:rPr>
        <w:t xml:space="preserve"> </w:t>
      </w:r>
      <w:r w:rsidR="006420CB"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045A7B0D" w14:textId="77777777" w:rsidR="00905E87" w:rsidRDefault="006420CB" w:rsidP="00764737">
      <w:pPr>
        <w:pStyle w:val="BodyText"/>
      </w:pPr>
      <w:r w:rsidRPr="000F25DC">
        <w:t>N</w:t>
      </w:r>
      <w:r>
        <w:t>/A</w:t>
      </w:r>
    </w:p>
    <w:p w14:paraId="449368DA" w14:textId="1E2F629D" w:rsidR="006420CB" w:rsidRDefault="006420CB" w:rsidP="00764737">
      <w:pPr>
        <w:pStyle w:val="BodyText"/>
      </w:pPr>
    </w:p>
    <w:p w14:paraId="0249E7E2" w14:textId="6AC16662" w:rsidR="006420CB" w:rsidRDefault="006420CB" w:rsidP="003A07C8">
      <w:pPr>
        <w:pStyle w:val="BodyText3"/>
      </w:pPr>
      <w:r w:rsidRPr="000F25DC">
        <w:t>Career Schools and Colleges</w:t>
      </w:r>
      <w:bookmarkEnd w:id="255"/>
      <w:bookmarkEnd w:id="256"/>
      <w:r>
        <w:t xml:space="preserve"> </w:t>
      </w:r>
    </w:p>
    <w:p w14:paraId="174AC0C8" w14:textId="77777777" w:rsidR="006420CB" w:rsidRPr="00E767D4" w:rsidRDefault="006420CB" w:rsidP="003A07C8">
      <w:pPr>
        <w:pStyle w:val="BodyText3"/>
        <w:rPr>
          <w:rStyle w:val="Strong"/>
          <w:rFonts w:eastAsiaTheme="majorEastAsia"/>
        </w:rPr>
      </w:pPr>
      <w:r>
        <w:rPr>
          <w:rStyle w:val="Strong"/>
          <w:rFonts w:eastAsiaTheme="majorEastAsia"/>
        </w:rPr>
        <w:t>A.</w:t>
      </w:r>
      <w:r>
        <w:rPr>
          <w:rStyle w:val="Strong"/>
          <w:rFonts w:eastAsiaTheme="majorEastAsia"/>
        </w:rPr>
        <w:tab/>
      </w:r>
      <w:r w:rsidRPr="00E767D4">
        <w:rPr>
          <w:rStyle w:val="Strong"/>
          <w:rFonts w:eastAsiaTheme="majorEastAsia"/>
        </w:rPr>
        <w:t xml:space="preserve">Provide the following information at the beginning of each description. </w:t>
      </w:r>
    </w:p>
    <w:p w14:paraId="29D2781F" w14:textId="77777777" w:rsidR="006420CB" w:rsidRPr="000F25DC" w:rsidRDefault="006420CB" w:rsidP="003A07C8">
      <w:pPr>
        <w:pStyle w:val="BodyText"/>
      </w:pPr>
      <w:r w:rsidRPr="000F25DC">
        <w:t>Name</w:t>
      </w:r>
      <w:r w:rsidRPr="000F25DC">
        <w:rPr>
          <w:spacing w:val="-3"/>
        </w:rPr>
        <w:t xml:space="preserve"> </w:t>
      </w:r>
      <w:r w:rsidRPr="000F25DC">
        <w:t>of</w:t>
      </w:r>
      <w:r w:rsidRPr="000F25DC">
        <w:rPr>
          <w:spacing w:val="-1"/>
        </w:rPr>
        <w:t xml:space="preserve"> </w:t>
      </w:r>
      <w:r w:rsidRPr="000F25DC">
        <w:t>Program</w:t>
      </w:r>
      <w:r w:rsidRPr="000F25DC">
        <w:rPr>
          <w:spacing w:val="-3"/>
        </w:rPr>
        <w:t xml:space="preserve"> </w:t>
      </w:r>
      <w:r w:rsidRPr="000F25DC">
        <w:t>or</w:t>
      </w:r>
      <w:r w:rsidRPr="000F25DC">
        <w:rPr>
          <w:spacing w:val="-2"/>
        </w:rPr>
        <w:t xml:space="preserve"> </w:t>
      </w:r>
      <w:r w:rsidRPr="000F25DC">
        <w:t>Function:</w:t>
      </w:r>
      <w:r w:rsidRPr="000F25DC">
        <w:rPr>
          <w:spacing w:val="-1"/>
        </w:rPr>
        <w:t xml:space="preserve"> </w:t>
      </w:r>
      <w:r w:rsidRPr="000F25DC">
        <w:t>Career</w:t>
      </w:r>
      <w:r w:rsidRPr="000F25DC">
        <w:rPr>
          <w:spacing w:val="-3"/>
        </w:rPr>
        <w:t xml:space="preserve"> </w:t>
      </w:r>
      <w:r w:rsidRPr="000F25DC">
        <w:t>Schools</w:t>
      </w:r>
      <w:r w:rsidRPr="000F25DC">
        <w:rPr>
          <w:spacing w:val="-1"/>
        </w:rPr>
        <w:t xml:space="preserve"> </w:t>
      </w:r>
      <w:r w:rsidRPr="000F25DC">
        <w:t>and</w:t>
      </w:r>
      <w:r w:rsidRPr="000F25DC">
        <w:rPr>
          <w:spacing w:val="-3"/>
        </w:rPr>
        <w:t xml:space="preserve"> </w:t>
      </w:r>
      <w:r w:rsidRPr="000F25DC">
        <w:rPr>
          <w:spacing w:val="-2"/>
        </w:rPr>
        <w:t>Colleges</w:t>
      </w:r>
      <w:r>
        <w:rPr>
          <w:spacing w:val="-2"/>
        </w:rPr>
        <w:t xml:space="preserve"> </w:t>
      </w:r>
    </w:p>
    <w:p w14:paraId="0A571156" w14:textId="77777777" w:rsidR="006420CB" w:rsidRPr="000F25DC" w:rsidRDefault="006420CB" w:rsidP="003A07C8">
      <w:pPr>
        <w:pStyle w:val="BodyText"/>
      </w:pPr>
      <w:r w:rsidRPr="000F25DC">
        <w:t>Location/Division:</w:t>
      </w:r>
      <w:r w:rsidRPr="000F25DC">
        <w:rPr>
          <w:spacing w:val="-7"/>
        </w:rPr>
        <w:t xml:space="preserve"> </w:t>
      </w:r>
      <w:r w:rsidRPr="000F25DC">
        <w:t>Workforce</w:t>
      </w:r>
      <w:r w:rsidRPr="000F25DC">
        <w:rPr>
          <w:spacing w:val="-4"/>
        </w:rPr>
        <w:t xml:space="preserve"> </w:t>
      </w:r>
      <w:r w:rsidRPr="000F25DC">
        <w:t>Development</w:t>
      </w:r>
      <w:r w:rsidRPr="000F25DC">
        <w:rPr>
          <w:spacing w:val="-4"/>
        </w:rPr>
        <w:t xml:space="preserve"> </w:t>
      </w:r>
      <w:r>
        <w:rPr>
          <w:spacing w:val="-4"/>
        </w:rPr>
        <w:t>Division, Compliance and Assistance</w:t>
      </w:r>
    </w:p>
    <w:p w14:paraId="4940BC13" w14:textId="77777777" w:rsidR="006420CB" w:rsidRPr="000F25DC" w:rsidRDefault="006420CB" w:rsidP="003A07C8">
      <w:pPr>
        <w:pStyle w:val="BodyText"/>
      </w:pPr>
      <w:r w:rsidRPr="000F25DC">
        <w:t>Contact</w:t>
      </w:r>
      <w:r w:rsidRPr="000F25DC">
        <w:rPr>
          <w:spacing w:val="-3"/>
        </w:rPr>
        <w:t xml:space="preserve"> </w:t>
      </w:r>
      <w:r w:rsidRPr="000F25DC">
        <w:t>Name:</w:t>
      </w:r>
      <w:r w:rsidRPr="000F25DC">
        <w:rPr>
          <w:spacing w:val="-1"/>
        </w:rPr>
        <w:t xml:space="preserve"> </w:t>
      </w:r>
      <w:r w:rsidRPr="000F25DC">
        <w:t>Blair</w:t>
      </w:r>
      <w:r w:rsidRPr="000F25DC">
        <w:rPr>
          <w:spacing w:val="-1"/>
        </w:rPr>
        <w:t xml:space="preserve"> </w:t>
      </w:r>
      <w:r w:rsidRPr="000F25DC">
        <w:rPr>
          <w:spacing w:val="-2"/>
        </w:rPr>
        <w:t>Mosley</w:t>
      </w:r>
    </w:p>
    <w:p w14:paraId="537C08B5" w14:textId="77777777" w:rsidR="006420CB" w:rsidRPr="001D742F" w:rsidRDefault="006420CB" w:rsidP="003A07C8">
      <w:pPr>
        <w:pStyle w:val="BodyText"/>
      </w:pPr>
      <w:r w:rsidRPr="001D742F">
        <w:t>Statutory</w:t>
      </w:r>
      <w:r w:rsidRPr="001D742F">
        <w:rPr>
          <w:spacing w:val="-3"/>
        </w:rPr>
        <w:t xml:space="preserve"> </w:t>
      </w:r>
      <w:r w:rsidRPr="001D742F">
        <w:t>Citation</w:t>
      </w:r>
      <w:r w:rsidRPr="001D742F">
        <w:rPr>
          <w:spacing w:val="-4"/>
        </w:rPr>
        <w:t xml:space="preserve"> </w:t>
      </w:r>
      <w:r w:rsidRPr="001D742F">
        <w:t>for</w:t>
      </w:r>
      <w:r w:rsidRPr="001D742F">
        <w:rPr>
          <w:spacing w:val="-3"/>
        </w:rPr>
        <w:t xml:space="preserve"> </w:t>
      </w:r>
      <w:r w:rsidRPr="001D742F">
        <w:t>Program:</w:t>
      </w:r>
      <w:r w:rsidRPr="001D742F">
        <w:rPr>
          <w:spacing w:val="-2"/>
        </w:rPr>
        <w:t xml:space="preserve"> </w:t>
      </w:r>
      <w:r w:rsidRPr="001D742F">
        <w:t>Texas</w:t>
      </w:r>
      <w:r w:rsidRPr="001D742F">
        <w:rPr>
          <w:spacing w:val="-2"/>
        </w:rPr>
        <w:t xml:space="preserve"> </w:t>
      </w:r>
      <w:r w:rsidRPr="001D742F">
        <w:t>Education</w:t>
      </w:r>
      <w:r w:rsidRPr="001D742F">
        <w:rPr>
          <w:spacing w:val="-4"/>
        </w:rPr>
        <w:t xml:space="preserve"> </w:t>
      </w:r>
      <w:r w:rsidRPr="001D742F">
        <w:t>Code,</w:t>
      </w:r>
      <w:r w:rsidRPr="001D742F">
        <w:rPr>
          <w:spacing w:val="-2"/>
        </w:rPr>
        <w:t xml:space="preserve"> </w:t>
      </w:r>
      <w:r w:rsidRPr="001D742F">
        <w:t>Chapter</w:t>
      </w:r>
      <w:r w:rsidRPr="001D742F">
        <w:rPr>
          <w:spacing w:val="-2"/>
        </w:rPr>
        <w:t xml:space="preserve"> </w:t>
      </w:r>
      <w:r w:rsidRPr="001D742F">
        <w:rPr>
          <w:spacing w:val="-5"/>
        </w:rPr>
        <w:t xml:space="preserve">132 </w:t>
      </w:r>
    </w:p>
    <w:p w14:paraId="5866DF7E" w14:textId="39E5FCAA" w:rsidR="006420CB" w:rsidRPr="00A56C48" w:rsidRDefault="003A07C8" w:rsidP="003A07C8">
      <w:pPr>
        <w:pStyle w:val="BodyText3"/>
        <w:rPr>
          <w:rStyle w:val="Strong"/>
          <w:rFonts w:eastAsiaTheme="majorEastAsia"/>
        </w:rPr>
      </w:pPr>
      <w:r>
        <w:rPr>
          <w:rStyle w:val="Strong"/>
          <w:rFonts w:asciiTheme="minorHAnsi" w:eastAsiaTheme="majorEastAsia" w:hAnsiTheme="minorHAnsi"/>
        </w:rPr>
        <w:t>B.</w:t>
      </w:r>
      <w:r>
        <w:rPr>
          <w:rStyle w:val="Strong"/>
          <w:rFonts w:asciiTheme="minorHAnsi" w:eastAsiaTheme="majorEastAsia" w:hAnsiTheme="minorHAnsi"/>
        </w:rPr>
        <w:tab/>
      </w:r>
      <w:r w:rsidR="006420CB" w:rsidRPr="00A56C48">
        <w:rPr>
          <w:rStyle w:val="Strong"/>
          <w:rFonts w:asciiTheme="minorHAnsi" w:eastAsiaTheme="majorEastAsia" w:hAnsiTheme="minorHAnsi"/>
        </w:rPr>
        <w:t>What</w:t>
      </w:r>
      <w:r w:rsidR="006420CB" w:rsidRPr="00A56C48">
        <w:rPr>
          <w:rStyle w:val="Strong"/>
          <w:rFonts w:eastAsiaTheme="majorEastAsia"/>
        </w:rPr>
        <w:t xml:space="preserve"> is the objective of this division or program? Describe its major activities.</w:t>
      </w:r>
    </w:p>
    <w:p w14:paraId="6BDD5047" w14:textId="77777777" w:rsidR="006420CB" w:rsidRPr="003A07C8" w:rsidRDefault="006420CB" w:rsidP="003A07C8">
      <w:pPr>
        <w:pStyle w:val="BodyText"/>
      </w:pPr>
      <w:r w:rsidRPr="003A07C8">
        <w:t xml:space="preserve">The Career Schools and Colleges (CSC) program is responsible for regulating most private postsecondary educational programs in Texas in accordance with state statute and rule. The program ensures quality in program offerings leading predominantly to employment or upskilling and provides consumer protection. </w:t>
      </w:r>
    </w:p>
    <w:p w14:paraId="3681F568" w14:textId="77777777" w:rsidR="006420CB" w:rsidRPr="000F25DC" w:rsidRDefault="006420CB" w:rsidP="003A07C8">
      <w:pPr>
        <w:pStyle w:val="BodyText"/>
      </w:pPr>
      <w:r w:rsidRPr="000F25DC">
        <w:t>Critical</w:t>
      </w:r>
      <w:r w:rsidRPr="000F25DC">
        <w:rPr>
          <w:spacing w:val="-6"/>
        </w:rPr>
        <w:t xml:space="preserve"> </w:t>
      </w:r>
      <w:r w:rsidRPr="000F25DC">
        <w:t>functions</w:t>
      </w:r>
      <w:r w:rsidRPr="000F25DC">
        <w:rPr>
          <w:spacing w:val="-5"/>
        </w:rPr>
        <w:t xml:space="preserve"> </w:t>
      </w:r>
      <w:r w:rsidRPr="000F25DC">
        <w:rPr>
          <w:spacing w:val="-2"/>
        </w:rPr>
        <w:t>include:</w:t>
      </w:r>
    </w:p>
    <w:p w14:paraId="32B0671B" w14:textId="77777777" w:rsidR="006420CB" w:rsidRPr="000F25DC" w:rsidRDefault="006420CB" w:rsidP="00C64851">
      <w:pPr>
        <w:pStyle w:val="BodyText"/>
        <w:numPr>
          <w:ilvl w:val="0"/>
          <w:numId w:val="870"/>
        </w:numPr>
      </w:pPr>
      <w:r w:rsidRPr="000F25DC">
        <w:t>Licensing</w:t>
      </w:r>
      <w:r w:rsidRPr="000F25DC">
        <w:rPr>
          <w:spacing w:val="-5"/>
        </w:rPr>
        <w:t xml:space="preserve"> </w:t>
      </w:r>
      <w:r w:rsidRPr="000F25DC">
        <w:t>career</w:t>
      </w:r>
      <w:r w:rsidRPr="000F25DC">
        <w:rPr>
          <w:spacing w:val="-5"/>
        </w:rPr>
        <w:t xml:space="preserve"> </w:t>
      </w:r>
      <w:r w:rsidRPr="000F25DC">
        <w:t>schools</w:t>
      </w:r>
      <w:r w:rsidRPr="000F25DC">
        <w:rPr>
          <w:spacing w:val="-3"/>
        </w:rPr>
        <w:t xml:space="preserve"> </w:t>
      </w:r>
      <w:r w:rsidRPr="000F25DC">
        <w:t>in</w:t>
      </w:r>
      <w:r w:rsidRPr="000F25DC">
        <w:rPr>
          <w:spacing w:val="-6"/>
        </w:rPr>
        <w:t xml:space="preserve"> </w:t>
      </w:r>
      <w:r w:rsidRPr="000F25DC">
        <w:t>compliance</w:t>
      </w:r>
      <w:r w:rsidRPr="000F25DC">
        <w:rPr>
          <w:spacing w:val="-5"/>
        </w:rPr>
        <w:t xml:space="preserve"> </w:t>
      </w:r>
      <w:r w:rsidRPr="000F25DC">
        <w:t>with</w:t>
      </w:r>
      <w:r w:rsidRPr="000F25DC">
        <w:rPr>
          <w:spacing w:val="-4"/>
        </w:rPr>
        <w:t xml:space="preserve"> </w:t>
      </w:r>
      <w:r w:rsidRPr="000F25DC">
        <w:t>legal</w:t>
      </w:r>
      <w:r w:rsidRPr="000F25DC">
        <w:rPr>
          <w:spacing w:val="-6"/>
        </w:rPr>
        <w:t xml:space="preserve"> </w:t>
      </w:r>
      <w:r w:rsidRPr="000F25DC">
        <w:rPr>
          <w:spacing w:val="-2"/>
        </w:rPr>
        <w:t>requirements</w:t>
      </w:r>
      <w:r>
        <w:rPr>
          <w:spacing w:val="-2"/>
        </w:rPr>
        <w:t>.</w:t>
      </w:r>
    </w:p>
    <w:p w14:paraId="347045DC" w14:textId="77777777" w:rsidR="006420CB" w:rsidRPr="000F25DC" w:rsidRDefault="006420CB" w:rsidP="00C64851">
      <w:pPr>
        <w:pStyle w:val="BodyText"/>
        <w:numPr>
          <w:ilvl w:val="0"/>
          <w:numId w:val="870"/>
        </w:numPr>
      </w:pPr>
      <w:r w:rsidRPr="000F25DC">
        <w:t>Issuing</w:t>
      </w:r>
      <w:r w:rsidRPr="000F25DC">
        <w:rPr>
          <w:spacing w:val="-5"/>
        </w:rPr>
        <w:t xml:space="preserve"> </w:t>
      </w:r>
      <w:r w:rsidRPr="000F25DC">
        <w:t>exemptions</w:t>
      </w:r>
      <w:r w:rsidRPr="000F25DC">
        <w:rPr>
          <w:spacing w:val="-4"/>
        </w:rPr>
        <w:t xml:space="preserve"> </w:t>
      </w:r>
      <w:r w:rsidRPr="000F25DC">
        <w:t>to</w:t>
      </w:r>
      <w:r w:rsidRPr="000F25DC">
        <w:rPr>
          <w:spacing w:val="-3"/>
        </w:rPr>
        <w:t xml:space="preserve"> </w:t>
      </w:r>
      <w:r w:rsidRPr="000F25DC">
        <w:t>career</w:t>
      </w:r>
      <w:r w:rsidRPr="000F25DC">
        <w:rPr>
          <w:spacing w:val="-3"/>
        </w:rPr>
        <w:t xml:space="preserve"> </w:t>
      </w:r>
      <w:r w:rsidRPr="000F25DC">
        <w:t>schools</w:t>
      </w:r>
      <w:r w:rsidRPr="000F25DC">
        <w:rPr>
          <w:spacing w:val="-6"/>
        </w:rPr>
        <w:t xml:space="preserve"> </w:t>
      </w:r>
      <w:r w:rsidRPr="000F25DC">
        <w:t>that</w:t>
      </w:r>
      <w:r w:rsidRPr="000F25DC">
        <w:rPr>
          <w:spacing w:val="-3"/>
        </w:rPr>
        <w:t xml:space="preserve"> </w:t>
      </w:r>
      <w:r w:rsidRPr="000F25DC">
        <w:t>are</w:t>
      </w:r>
      <w:r w:rsidRPr="000F25DC">
        <w:rPr>
          <w:spacing w:val="-5"/>
        </w:rPr>
        <w:t xml:space="preserve"> </w:t>
      </w:r>
      <w:r w:rsidRPr="000F25DC">
        <w:t>eligible</w:t>
      </w:r>
      <w:r w:rsidRPr="000F25DC">
        <w:rPr>
          <w:spacing w:val="-6"/>
        </w:rPr>
        <w:t xml:space="preserve"> </w:t>
      </w:r>
      <w:r w:rsidRPr="000F25DC">
        <w:t>for</w:t>
      </w:r>
      <w:r w:rsidRPr="000F25DC">
        <w:rPr>
          <w:spacing w:val="-3"/>
        </w:rPr>
        <w:t xml:space="preserve"> </w:t>
      </w:r>
      <w:r w:rsidRPr="000F25DC">
        <w:t>exemptions</w:t>
      </w:r>
      <w:r w:rsidRPr="000F25DC">
        <w:rPr>
          <w:spacing w:val="-4"/>
        </w:rPr>
        <w:t xml:space="preserve"> </w:t>
      </w:r>
      <w:r w:rsidRPr="000F25DC">
        <w:t>from</w:t>
      </w:r>
      <w:r w:rsidRPr="000F25DC">
        <w:rPr>
          <w:spacing w:val="-5"/>
        </w:rPr>
        <w:t xml:space="preserve"> </w:t>
      </w:r>
      <w:r w:rsidRPr="000F25DC">
        <w:t>Ch.</w:t>
      </w:r>
      <w:r w:rsidRPr="000F25DC">
        <w:rPr>
          <w:spacing w:val="-3"/>
        </w:rPr>
        <w:t xml:space="preserve"> </w:t>
      </w:r>
      <w:r w:rsidRPr="000F25DC">
        <w:rPr>
          <w:spacing w:val="-5"/>
        </w:rPr>
        <w:t>132</w:t>
      </w:r>
      <w:r>
        <w:rPr>
          <w:spacing w:val="-5"/>
        </w:rPr>
        <w:t>.</w:t>
      </w:r>
    </w:p>
    <w:p w14:paraId="5234D499" w14:textId="77777777" w:rsidR="006420CB" w:rsidRPr="000F25DC" w:rsidRDefault="006420CB" w:rsidP="00C64851">
      <w:pPr>
        <w:pStyle w:val="BodyText"/>
        <w:numPr>
          <w:ilvl w:val="0"/>
          <w:numId w:val="870"/>
        </w:numPr>
      </w:pPr>
      <w:r w:rsidRPr="000F25DC">
        <w:t>Reviewing</w:t>
      </w:r>
      <w:r w:rsidRPr="000F25DC">
        <w:rPr>
          <w:spacing w:val="-6"/>
        </w:rPr>
        <w:t xml:space="preserve"> </w:t>
      </w:r>
      <w:r w:rsidRPr="000F25DC">
        <w:t>and</w:t>
      </w:r>
      <w:r w:rsidRPr="000F25DC">
        <w:rPr>
          <w:spacing w:val="-5"/>
        </w:rPr>
        <w:t xml:space="preserve"> </w:t>
      </w:r>
      <w:r w:rsidRPr="000F25DC">
        <w:t>approving</w:t>
      </w:r>
      <w:r w:rsidRPr="000F25DC">
        <w:rPr>
          <w:spacing w:val="-5"/>
        </w:rPr>
        <w:t xml:space="preserve"> </w:t>
      </w:r>
      <w:r w:rsidRPr="000F25DC">
        <w:t>programs</w:t>
      </w:r>
      <w:r w:rsidRPr="000F25DC">
        <w:rPr>
          <w:spacing w:val="-6"/>
        </w:rPr>
        <w:t xml:space="preserve"> </w:t>
      </w:r>
      <w:r w:rsidRPr="000F25DC">
        <w:t>of</w:t>
      </w:r>
      <w:r w:rsidRPr="000F25DC">
        <w:rPr>
          <w:spacing w:val="-4"/>
        </w:rPr>
        <w:t xml:space="preserve"> </w:t>
      </w:r>
      <w:r w:rsidRPr="000F25DC">
        <w:rPr>
          <w:spacing w:val="-2"/>
        </w:rPr>
        <w:t>instruction</w:t>
      </w:r>
      <w:r>
        <w:rPr>
          <w:spacing w:val="-2"/>
        </w:rPr>
        <w:t>.</w:t>
      </w:r>
    </w:p>
    <w:p w14:paraId="4FCCDCF4" w14:textId="77777777" w:rsidR="006420CB" w:rsidRPr="000F25DC" w:rsidRDefault="006420CB" w:rsidP="00C64851">
      <w:pPr>
        <w:pStyle w:val="BodyText"/>
        <w:numPr>
          <w:ilvl w:val="0"/>
          <w:numId w:val="870"/>
        </w:numPr>
      </w:pPr>
      <w:r w:rsidRPr="000F25DC">
        <w:t>Reviewing</w:t>
      </w:r>
      <w:r w:rsidRPr="000F25DC">
        <w:rPr>
          <w:spacing w:val="-7"/>
        </w:rPr>
        <w:t xml:space="preserve"> </w:t>
      </w:r>
      <w:r w:rsidRPr="000F25DC">
        <w:t>the</w:t>
      </w:r>
      <w:r w:rsidRPr="000F25DC">
        <w:rPr>
          <w:spacing w:val="-5"/>
        </w:rPr>
        <w:t xml:space="preserve"> </w:t>
      </w:r>
      <w:r w:rsidRPr="000F25DC">
        <w:t>qualifications</w:t>
      </w:r>
      <w:r w:rsidRPr="000F25DC">
        <w:rPr>
          <w:spacing w:val="-4"/>
        </w:rPr>
        <w:t xml:space="preserve"> </w:t>
      </w:r>
      <w:r w:rsidRPr="000F25DC">
        <w:t>of</w:t>
      </w:r>
      <w:r w:rsidRPr="000F25DC">
        <w:rPr>
          <w:spacing w:val="-3"/>
        </w:rPr>
        <w:t xml:space="preserve"> </w:t>
      </w:r>
      <w:r w:rsidRPr="000F25DC">
        <w:t>and</w:t>
      </w:r>
      <w:r w:rsidRPr="000F25DC">
        <w:rPr>
          <w:spacing w:val="-4"/>
        </w:rPr>
        <w:t xml:space="preserve"> </w:t>
      </w:r>
      <w:r w:rsidRPr="000F25DC">
        <w:t>approving</w:t>
      </w:r>
      <w:r w:rsidRPr="000F25DC">
        <w:rPr>
          <w:spacing w:val="-7"/>
        </w:rPr>
        <w:t xml:space="preserve"> </w:t>
      </w:r>
      <w:r w:rsidRPr="000F25DC">
        <w:t>key</w:t>
      </w:r>
      <w:r w:rsidRPr="000F25DC">
        <w:rPr>
          <w:spacing w:val="-2"/>
        </w:rPr>
        <w:t xml:space="preserve"> </w:t>
      </w:r>
      <w:r w:rsidRPr="000F25DC">
        <w:t>staff</w:t>
      </w:r>
      <w:r w:rsidRPr="000F25DC">
        <w:rPr>
          <w:spacing w:val="-4"/>
        </w:rPr>
        <w:t xml:space="preserve"> </w:t>
      </w:r>
      <w:r w:rsidRPr="000F25DC">
        <w:t>at</w:t>
      </w:r>
      <w:r w:rsidRPr="000F25DC">
        <w:rPr>
          <w:spacing w:val="-2"/>
        </w:rPr>
        <w:t xml:space="preserve"> </w:t>
      </w:r>
      <w:r w:rsidRPr="000F25DC">
        <w:t>career</w:t>
      </w:r>
      <w:r w:rsidRPr="000F25DC">
        <w:rPr>
          <w:spacing w:val="-5"/>
        </w:rPr>
        <w:t xml:space="preserve"> </w:t>
      </w:r>
      <w:r w:rsidRPr="000F25DC">
        <w:rPr>
          <w:spacing w:val="-2"/>
        </w:rPr>
        <w:t>schools</w:t>
      </w:r>
      <w:r>
        <w:rPr>
          <w:spacing w:val="-2"/>
        </w:rPr>
        <w:t>.</w:t>
      </w:r>
    </w:p>
    <w:p w14:paraId="014561A6" w14:textId="77777777" w:rsidR="006420CB" w:rsidRPr="000F25DC" w:rsidRDefault="006420CB" w:rsidP="00C64851">
      <w:pPr>
        <w:pStyle w:val="BodyText"/>
        <w:numPr>
          <w:ilvl w:val="0"/>
          <w:numId w:val="870"/>
        </w:numPr>
      </w:pPr>
      <w:r w:rsidRPr="000F25DC">
        <w:t>Monitoring</w:t>
      </w:r>
      <w:r w:rsidRPr="000F25DC">
        <w:rPr>
          <w:spacing w:val="-7"/>
        </w:rPr>
        <w:t xml:space="preserve"> </w:t>
      </w:r>
      <w:r w:rsidRPr="000F25DC">
        <w:t>student</w:t>
      </w:r>
      <w:r w:rsidRPr="000F25DC">
        <w:rPr>
          <w:spacing w:val="-7"/>
        </w:rPr>
        <w:t xml:space="preserve"> </w:t>
      </w:r>
      <w:r w:rsidRPr="000F25DC">
        <w:rPr>
          <w:spacing w:val="-2"/>
        </w:rPr>
        <w:t>outcomes</w:t>
      </w:r>
      <w:r>
        <w:rPr>
          <w:spacing w:val="-2"/>
        </w:rPr>
        <w:t>.</w:t>
      </w:r>
    </w:p>
    <w:p w14:paraId="5DBFCB16" w14:textId="77777777" w:rsidR="006420CB" w:rsidRPr="000F25DC" w:rsidRDefault="006420CB" w:rsidP="00C64851">
      <w:pPr>
        <w:pStyle w:val="BodyText"/>
        <w:numPr>
          <w:ilvl w:val="0"/>
          <w:numId w:val="870"/>
        </w:numPr>
      </w:pPr>
      <w:r w:rsidRPr="000F25DC">
        <w:lastRenderedPageBreak/>
        <w:t>Ensuring</w:t>
      </w:r>
      <w:r w:rsidRPr="000F25DC">
        <w:rPr>
          <w:spacing w:val="-5"/>
        </w:rPr>
        <w:t xml:space="preserve"> </w:t>
      </w:r>
      <w:r w:rsidRPr="000F25DC">
        <w:t>compliance</w:t>
      </w:r>
      <w:r w:rsidRPr="000F25DC">
        <w:rPr>
          <w:spacing w:val="-6"/>
        </w:rPr>
        <w:t xml:space="preserve"> </w:t>
      </w:r>
      <w:r w:rsidRPr="000F25DC">
        <w:t>of</w:t>
      </w:r>
      <w:r w:rsidRPr="000F25DC">
        <w:rPr>
          <w:spacing w:val="-4"/>
        </w:rPr>
        <w:t xml:space="preserve"> </w:t>
      </w:r>
      <w:r w:rsidRPr="000F25DC">
        <w:t>licensed</w:t>
      </w:r>
      <w:r w:rsidRPr="000F25DC">
        <w:rPr>
          <w:spacing w:val="-5"/>
        </w:rPr>
        <w:t xml:space="preserve"> </w:t>
      </w:r>
      <w:r w:rsidRPr="000F25DC">
        <w:t>schools</w:t>
      </w:r>
      <w:r w:rsidRPr="000F25DC">
        <w:rPr>
          <w:spacing w:val="-6"/>
        </w:rPr>
        <w:t xml:space="preserve"> </w:t>
      </w:r>
      <w:r w:rsidRPr="000F25DC">
        <w:t>with</w:t>
      </w:r>
      <w:r w:rsidRPr="000F25DC">
        <w:rPr>
          <w:spacing w:val="-5"/>
        </w:rPr>
        <w:t xml:space="preserve"> </w:t>
      </w:r>
      <w:r w:rsidRPr="000F25DC">
        <w:t>legal</w:t>
      </w:r>
      <w:r w:rsidRPr="000F25DC">
        <w:rPr>
          <w:spacing w:val="-4"/>
        </w:rPr>
        <w:t xml:space="preserve"> </w:t>
      </w:r>
      <w:r w:rsidRPr="000F25DC">
        <w:t>requirements</w:t>
      </w:r>
      <w:r w:rsidRPr="000F25DC">
        <w:rPr>
          <w:spacing w:val="-4"/>
        </w:rPr>
        <w:t xml:space="preserve"> </w:t>
      </w:r>
      <w:r w:rsidRPr="000F25DC">
        <w:t>and</w:t>
      </w:r>
      <w:r w:rsidRPr="000F25DC">
        <w:rPr>
          <w:spacing w:val="-5"/>
        </w:rPr>
        <w:t xml:space="preserve"> </w:t>
      </w:r>
      <w:r w:rsidRPr="000F25DC">
        <w:t>taking enforcement actions in response to violations and handling appeals</w:t>
      </w:r>
      <w:r>
        <w:t>.</w:t>
      </w:r>
    </w:p>
    <w:p w14:paraId="21DEE429" w14:textId="77777777" w:rsidR="006420CB" w:rsidRPr="000F25DC" w:rsidRDefault="006420CB" w:rsidP="00C64851">
      <w:pPr>
        <w:pStyle w:val="BodyText"/>
        <w:numPr>
          <w:ilvl w:val="0"/>
          <w:numId w:val="870"/>
        </w:numPr>
      </w:pPr>
      <w:r w:rsidRPr="000F25DC">
        <w:t>Investigating</w:t>
      </w:r>
      <w:r w:rsidRPr="000F25DC">
        <w:rPr>
          <w:spacing w:val="-8"/>
        </w:rPr>
        <w:t xml:space="preserve"> </w:t>
      </w:r>
      <w:r w:rsidRPr="000F25DC">
        <w:t>and</w:t>
      </w:r>
      <w:r w:rsidRPr="000F25DC">
        <w:rPr>
          <w:spacing w:val="-7"/>
        </w:rPr>
        <w:t xml:space="preserve"> </w:t>
      </w:r>
      <w:r w:rsidRPr="000F25DC">
        <w:t>initiating</w:t>
      </w:r>
      <w:r w:rsidRPr="000F25DC">
        <w:rPr>
          <w:spacing w:val="-9"/>
        </w:rPr>
        <w:t xml:space="preserve"> </w:t>
      </w:r>
      <w:r w:rsidRPr="000F25DC">
        <w:t>enforcement</w:t>
      </w:r>
      <w:r w:rsidRPr="000F25DC">
        <w:rPr>
          <w:spacing w:val="-5"/>
        </w:rPr>
        <w:t xml:space="preserve"> </w:t>
      </w:r>
      <w:r w:rsidRPr="000F25DC">
        <w:t>against</w:t>
      </w:r>
      <w:r w:rsidRPr="000F25DC">
        <w:rPr>
          <w:spacing w:val="-8"/>
        </w:rPr>
        <w:t xml:space="preserve"> </w:t>
      </w:r>
      <w:r w:rsidRPr="000F25DC">
        <w:t>unlicensed</w:t>
      </w:r>
      <w:r w:rsidRPr="000F25DC">
        <w:rPr>
          <w:spacing w:val="-7"/>
        </w:rPr>
        <w:t xml:space="preserve"> </w:t>
      </w:r>
      <w:r w:rsidRPr="000F25DC">
        <w:rPr>
          <w:spacing w:val="-2"/>
        </w:rPr>
        <w:t>schools</w:t>
      </w:r>
      <w:r>
        <w:rPr>
          <w:spacing w:val="-2"/>
        </w:rPr>
        <w:t>.</w:t>
      </w:r>
    </w:p>
    <w:p w14:paraId="7EE3BDAD" w14:textId="77777777" w:rsidR="006420CB" w:rsidRPr="000F25DC" w:rsidRDefault="006420CB" w:rsidP="00C64851">
      <w:pPr>
        <w:pStyle w:val="BodyText"/>
        <w:numPr>
          <w:ilvl w:val="0"/>
          <w:numId w:val="870"/>
        </w:numPr>
      </w:pPr>
      <w:r w:rsidRPr="000F25DC">
        <w:t>Reviewing</w:t>
      </w:r>
      <w:r w:rsidRPr="000F25DC">
        <w:rPr>
          <w:spacing w:val="-4"/>
        </w:rPr>
        <w:t xml:space="preserve"> </w:t>
      </w:r>
      <w:r w:rsidRPr="000F25DC">
        <w:t>and</w:t>
      </w:r>
      <w:r w:rsidRPr="000F25DC">
        <w:rPr>
          <w:spacing w:val="-6"/>
        </w:rPr>
        <w:t xml:space="preserve"> </w:t>
      </w:r>
      <w:r w:rsidRPr="000F25DC">
        <w:t>monitoring</w:t>
      </w:r>
      <w:r w:rsidRPr="000F25DC">
        <w:rPr>
          <w:spacing w:val="-6"/>
        </w:rPr>
        <w:t xml:space="preserve"> </w:t>
      </w:r>
      <w:r w:rsidRPr="000F25DC">
        <w:t>program-related</w:t>
      </w:r>
      <w:r w:rsidRPr="000F25DC">
        <w:rPr>
          <w:spacing w:val="-6"/>
        </w:rPr>
        <w:t xml:space="preserve"> </w:t>
      </w:r>
      <w:r w:rsidRPr="000F25DC">
        <w:t>activities</w:t>
      </w:r>
      <w:r w:rsidRPr="000F25DC">
        <w:rPr>
          <w:spacing w:val="-8"/>
        </w:rPr>
        <w:t xml:space="preserve"> </w:t>
      </w:r>
      <w:r w:rsidRPr="000F25DC">
        <w:t>conducted</w:t>
      </w:r>
      <w:r w:rsidRPr="000F25DC">
        <w:rPr>
          <w:spacing w:val="-4"/>
        </w:rPr>
        <w:t xml:space="preserve"> </w:t>
      </w:r>
      <w:r w:rsidRPr="000F25DC">
        <w:t>by</w:t>
      </w:r>
      <w:r w:rsidRPr="000F25DC">
        <w:rPr>
          <w:spacing w:val="-2"/>
        </w:rPr>
        <w:t xml:space="preserve"> </w:t>
      </w:r>
      <w:r w:rsidRPr="000F25DC">
        <w:t>Integrated</w:t>
      </w:r>
      <w:r w:rsidRPr="000F25DC">
        <w:rPr>
          <w:spacing w:val="-4"/>
        </w:rPr>
        <w:t xml:space="preserve"> </w:t>
      </w:r>
      <w:r w:rsidRPr="000F25DC">
        <w:t>Service Area Managers, including:</w:t>
      </w:r>
    </w:p>
    <w:p w14:paraId="01F08C50" w14:textId="77777777" w:rsidR="006420CB" w:rsidRPr="00F1645D" w:rsidRDefault="006420CB" w:rsidP="00C64851">
      <w:pPr>
        <w:pStyle w:val="BodyText"/>
        <w:numPr>
          <w:ilvl w:val="0"/>
          <w:numId w:val="870"/>
        </w:numPr>
        <w:rPr>
          <w:spacing w:val="0"/>
        </w:rPr>
      </w:pPr>
      <w:r>
        <w:t>I</w:t>
      </w:r>
      <w:r w:rsidRPr="000F25DC">
        <w:t>nvestigating</w:t>
      </w:r>
      <w:r w:rsidRPr="000F25DC">
        <w:rPr>
          <w:spacing w:val="-7"/>
        </w:rPr>
        <w:t xml:space="preserve"> </w:t>
      </w:r>
      <w:r w:rsidRPr="000F25DC">
        <w:t>student</w:t>
      </w:r>
      <w:r w:rsidRPr="000F25DC">
        <w:rPr>
          <w:spacing w:val="-5"/>
        </w:rPr>
        <w:t xml:space="preserve"> </w:t>
      </w:r>
      <w:r w:rsidRPr="000F25DC">
        <w:rPr>
          <w:spacing w:val="-2"/>
        </w:rPr>
        <w:t>complaints</w:t>
      </w:r>
    </w:p>
    <w:p w14:paraId="04439349" w14:textId="77777777" w:rsidR="006420CB" w:rsidRPr="00F1645D" w:rsidRDefault="006420CB" w:rsidP="00C64851">
      <w:pPr>
        <w:pStyle w:val="BodyText"/>
        <w:numPr>
          <w:ilvl w:val="0"/>
          <w:numId w:val="870"/>
        </w:numPr>
      </w:pPr>
      <w:r w:rsidRPr="00F1645D">
        <w:t>Performing</w:t>
      </w:r>
      <w:r w:rsidRPr="00F1645D">
        <w:rPr>
          <w:spacing w:val="-5"/>
        </w:rPr>
        <w:t xml:space="preserve"> </w:t>
      </w:r>
      <w:r w:rsidRPr="00F1645D">
        <w:t>on-site</w:t>
      </w:r>
      <w:r w:rsidRPr="00F1645D">
        <w:rPr>
          <w:spacing w:val="-4"/>
        </w:rPr>
        <w:t xml:space="preserve"> </w:t>
      </w:r>
      <w:r w:rsidRPr="00F1645D">
        <w:t>school</w:t>
      </w:r>
      <w:r w:rsidRPr="00F1645D">
        <w:rPr>
          <w:spacing w:val="-6"/>
        </w:rPr>
        <w:t xml:space="preserve"> </w:t>
      </w:r>
      <w:r w:rsidRPr="00F1645D">
        <w:rPr>
          <w:spacing w:val="-2"/>
        </w:rPr>
        <w:t>visits.</w:t>
      </w:r>
    </w:p>
    <w:p w14:paraId="2F76102B" w14:textId="77777777" w:rsidR="006420CB" w:rsidRPr="00A8791D" w:rsidRDefault="006420CB" w:rsidP="00C64851">
      <w:pPr>
        <w:pStyle w:val="BodyText"/>
        <w:numPr>
          <w:ilvl w:val="0"/>
          <w:numId w:val="870"/>
        </w:numPr>
      </w:pPr>
      <w:r w:rsidRPr="00A8791D">
        <w:t>Providing</w:t>
      </w:r>
      <w:r w:rsidRPr="00A8791D">
        <w:rPr>
          <w:spacing w:val="-6"/>
        </w:rPr>
        <w:t xml:space="preserve"> </w:t>
      </w:r>
      <w:r w:rsidRPr="00A8791D">
        <w:t>technical</w:t>
      </w:r>
      <w:r w:rsidRPr="00A8791D">
        <w:rPr>
          <w:spacing w:val="-4"/>
        </w:rPr>
        <w:t xml:space="preserve"> </w:t>
      </w:r>
      <w:r w:rsidRPr="00A8791D">
        <w:t>assistance</w:t>
      </w:r>
      <w:r w:rsidRPr="00A8791D">
        <w:rPr>
          <w:spacing w:val="-4"/>
        </w:rPr>
        <w:t xml:space="preserve"> </w:t>
      </w:r>
      <w:r w:rsidRPr="00A8791D">
        <w:t>to</w:t>
      </w:r>
      <w:r w:rsidRPr="00A8791D">
        <w:rPr>
          <w:spacing w:val="-3"/>
        </w:rPr>
        <w:t xml:space="preserve"> </w:t>
      </w:r>
      <w:r w:rsidRPr="00A8791D">
        <w:t>career</w:t>
      </w:r>
      <w:r w:rsidRPr="00A8791D">
        <w:rPr>
          <w:spacing w:val="-7"/>
        </w:rPr>
        <w:t xml:space="preserve"> </w:t>
      </w:r>
      <w:r w:rsidRPr="00A8791D">
        <w:t>schools</w:t>
      </w:r>
      <w:r w:rsidRPr="00A8791D">
        <w:rPr>
          <w:spacing w:val="-4"/>
        </w:rPr>
        <w:t xml:space="preserve"> </w:t>
      </w:r>
      <w:r w:rsidRPr="00A8791D">
        <w:t>and</w:t>
      </w:r>
      <w:r w:rsidRPr="00A8791D">
        <w:rPr>
          <w:spacing w:val="-5"/>
        </w:rPr>
        <w:t xml:space="preserve"> </w:t>
      </w:r>
      <w:r w:rsidRPr="00A8791D">
        <w:rPr>
          <w:spacing w:val="-2"/>
        </w:rPr>
        <w:t>students.</w:t>
      </w:r>
    </w:p>
    <w:p w14:paraId="5F571861" w14:textId="77777777" w:rsidR="006420CB" w:rsidRPr="00A8791D" w:rsidRDefault="006420CB" w:rsidP="00C64851">
      <w:pPr>
        <w:pStyle w:val="BodyText"/>
        <w:numPr>
          <w:ilvl w:val="0"/>
          <w:numId w:val="870"/>
        </w:numPr>
      </w:pPr>
      <w:r w:rsidRPr="00A8791D">
        <w:t>Administering</w:t>
      </w:r>
      <w:r w:rsidRPr="00A8791D">
        <w:rPr>
          <w:spacing w:val="-7"/>
        </w:rPr>
        <w:t xml:space="preserve"> </w:t>
      </w:r>
      <w:r w:rsidRPr="00A8791D">
        <w:t>refunds</w:t>
      </w:r>
      <w:r w:rsidRPr="00A8791D">
        <w:rPr>
          <w:spacing w:val="-5"/>
        </w:rPr>
        <w:t xml:space="preserve"> </w:t>
      </w:r>
      <w:r w:rsidRPr="00A8791D">
        <w:t>from</w:t>
      </w:r>
      <w:r w:rsidRPr="00A8791D">
        <w:rPr>
          <w:spacing w:val="-4"/>
        </w:rPr>
        <w:t xml:space="preserve"> </w:t>
      </w:r>
      <w:r w:rsidRPr="00A8791D">
        <w:t>the</w:t>
      </w:r>
      <w:r w:rsidRPr="00A8791D">
        <w:rPr>
          <w:spacing w:val="-4"/>
        </w:rPr>
        <w:t xml:space="preserve"> </w:t>
      </w:r>
      <w:r w:rsidRPr="00A8791D">
        <w:t>Tuition</w:t>
      </w:r>
      <w:r w:rsidRPr="00A8791D">
        <w:rPr>
          <w:spacing w:val="-6"/>
        </w:rPr>
        <w:t xml:space="preserve"> </w:t>
      </w:r>
      <w:r w:rsidRPr="00A8791D">
        <w:t>Trust</w:t>
      </w:r>
      <w:r w:rsidRPr="00A8791D">
        <w:rPr>
          <w:spacing w:val="-4"/>
        </w:rPr>
        <w:t xml:space="preserve"> </w:t>
      </w:r>
      <w:r w:rsidRPr="00A8791D">
        <w:rPr>
          <w:spacing w:val="-2"/>
        </w:rPr>
        <w:t>Account.</w:t>
      </w:r>
    </w:p>
    <w:p w14:paraId="2B4F18DE" w14:textId="77777777" w:rsidR="006420CB" w:rsidRPr="00A8791D" w:rsidRDefault="006420CB" w:rsidP="00C64851">
      <w:pPr>
        <w:pStyle w:val="BodyText"/>
        <w:numPr>
          <w:ilvl w:val="0"/>
          <w:numId w:val="870"/>
        </w:numPr>
      </w:pPr>
      <w:r w:rsidRPr="00A8791D">
        <w:t>Monitoring</w:t>
      </w:r>
      <w:r w:rsidRPr="00A8791D">
        <w:rPr>
          <w:spacing w:val="-6"/>
        </w:rPr>
        <w:t xml:space="preserve"> </w:t>
      </w:r>
      <w:r w:rsidRPr="00A8791D">
        <w:t>school</w:t>
      </w:r>
      <w:r w:rsidRPr="00A8791D">
        <w:rPr>
          <w:spacing w:val="-5"/>
        </w:rPr>
        <w:t xml:space="preserve"> </w:t>
      </w:r>
      <w:r w:rsidRPr="00A8791D">
        <w:rPr>
          <w:spacing w:val="-2"/>
        </w:rPr>
        <w:t>closures.</w:t>
      </w:r>
    </w:p>
    <w:p w14:paraId="1479D3B8" w14:textId="77777777" w:rsidR="006420CB" w:rsidRPr="00A8791D" w:rsidRDefault="006420CB" w:rsidP="00C64851">
      <w:pPr>
        <w:pStyle w:val="BodyText"/>
        <w:numPr>
          <w:ilvl w:val="0"/>
          <w:numId w:val="870"/>
        </w:numPr>
      </w:pPr>
      <w:r w:rsidRPr="00A8791D">
        <w:t>Collecting</w:t>
      </w:r>
      <w:r w:rsidRPr="00A8791D">
        <w:rPr>
          <w:spacing w:val="-5"/>
        </w:rPr>
        <w:t xml:space="preserve"> </w:t>
      </w:r>
      <w:r w:rsidRPr="00A8791D">
        <w:t>and</w:t>
      </w:r>
      <w:r w:rsidRPr="00A8791D">
        <w:rPr>
          <w:spacing w:val="-5"/>
        </w:rPr>
        <w:t xml:space="preserve"> </w:t>
      </w:r>
      <w:r w:rsidRPr="00A8791D">
        <w:t>publishing</w:t>
      </w:r>
      <w:r w:rsidRPr="00A8791D">
        <w:rPr>
          <w:spacing w:val="-5"/>
        </w:rPr>
        <w:t xml:space="preserve"> </w:t>
      </w:r>
      <w:r w:rsidRPr="00A8791D">
        <w:t>data</w:t>
      </w:r>
      <w:r w:rsidRPr="00A8791D">
        <w:rPr>
          <w:spacing w:val="-4"/>
        </w:rPr>
        <w:t xml:space="preserve"> </w:t>
      </w:r>
      <w:r w:rsidRPr="00A8791D">
        <w:t>on</w:t>
      </w:r>
      <w:r w:rsidRPr="00A8791D">
        <w:rPr>
          <w:spacing w:val="-7"/>
        </w:rPr>
        <w:t xml:space="preserve"> </w:t>
      </w:r>
      <w:r w:rsidRPr="00A8791D">
        <w:t>regulated</w:t>
      </w:r>
      <w:r w:rsidRPr="00A8791D">
        <w:rPr>
          <w:spacing w:val="-6"/>
        </w:rPr>
        <w:t xml:space="preserve"> </w:t>
      </w:r>
      <w:r w:rsidRPr="00A8791D">
        <w:rPr>
          <w:spacing w:val="-2"/>
        </w:rPr>
        <w:t>schools.</w:t>
      </w:r>
    </w:p>
    <w:p w14:paraId="64EDF010" w14:textId="77777777" w:rsidR="006420CB" w:rsidRPr="000F02B3" w:rsidRDefault="006420CB" w:rsidP="000F02B3">
      <w:pPr>
        <w:pStyle w:val="BodyText"/>
      </w:pPr>
      <w:r w:rsidRPr="000F02B3">
        <w:t>The Tuition Trust Account exists to help reimburse students if a closed school did not complete the training of enrolled students or did not pay refunds already due. The Tuition Trust Account also reimburses other schools for direct, additional expenses incurred in providing a "teach-out" for the closed school's students, when this can be arranged.</w:t>
      </w:r>
    </w:p>
    <w:p w14:paraId="2DF99519" w14:textId="77777777" w:rsidR="006420CB" w:rsidRPr="000F02B3" w:rsidRDefault="006420CB" w:rsidP="000F02B3">
      <w:pPr>
        <w:pStyle w:val="BodyText"/>
      </w:pPr>
      <w:r w:rsidRPr="000F02B3">
        <w:t xml:space="preserve">Additional information is available online, </w:t>
      </w:r>
      <w:hyperlink r:id="rId206" w:history="1">
        <w:r w:rsidRPr="000F02B3">
          <w:rPr>
            <w:rStyle w:val="Hyperlink"/>
          </w:rPr>
          <w:t>Career Schools &amp; Colleges Program</w:t>
        </w:r>
      </w:hyperlink>
      <w:r w:rsidRPr="000F02B3">
        <w:t>.</w:t>
      </w:r>
    </w:p>
    <w:p w14:paraId="6AEFC4BC" w14:textId="77777777" w:rsidR="006420CB" w:rsidRPr="00123164" w:rsidRDefault="006420CB" w:rsidP="00123164">
      <w:pPr>
        <w:pStyle w:val="BodyText"/>
      </w:pPr>
      <w:r w:rsidRPr="00123164">
        <w:t>The Eligible Training Provider (ETP) program provides WIOA and other workforce program training participants with access to a wide selection of approved training programs. TWC’s Eligible Training Provider Coordinators manage the application process for training providers in their assigned Board areas. They also provide guidance on program eligibility and help with submitting program information. Besides that, they handle updates for existing ETPs.</w:t>
      </w:r>
    </w:p>
    <w:p w14:paraId="4AABEA98" w14:textId="77777777" w:rsidR="006420CB" w:rsidRPr="00123164" w:rsidRDefault="006420CB" w:rsidP="00123164">
      <w:pPr>
        <w:pStyle w:val="BodyText"/>
      </w:pPr>
      <w:r w:rsidRPr="00123164">
        <w:t>The critical functions of TWC’s ETP program are: </w:t>
      </w:r>
    </w:p>
    <w:p w14:paraId="405399FE" w14:textId="77777777" w:rsidR="006420CB" w:rsidRPr="00123164" w:rsidRDefault="006420CB" w:rsidP="00C64851">
      <w:pPr>
        <w:pStyle w:val="BodyText"/>
        <w:numPr>
          <w:ilvl w:val="0"/>
          <w:numId w:val="871"/>
        </w:numPr>
      </w:pPr>
      <w:r w:rsidRPr="00123164">
        <w:t>Serving as the TWC point of contact for Boards, training providers, and the public regarding the ETP program’s procedures, policy, and automated system.  </w:t>
      </w:r>
    </w:p>
    <w:p w14:paraId="624777C5" w14:textId="77777777" w:rsidR="006420CB" w:rsidRPr="00123164" w:rsidRDefault="006420CB" w:rsidP="00C64851">
      <w:pPr>
        <w:pStyle w:val="BodyText"/>
        <w:numPr>
          <w:ilvl w:val="0"/>
          <w:numId w:val="871"/>
        </w:numPr>
      </w:pPr>
      <w:r w:rsidRPr="00123164">
        <w:t>Verifying and certifying Board-approved applications for inclusion on the statewide list and ensuring that all information is complete, accurate, verifiable, and in compliance with WIOA and TWC requirements. </w:t>
      </w:r>
    </w:p>
    <w:p w14:paraId="6ACA99E1" w14:textId="77777777" w:rsidR="006420CB" w:rsidRPr="00123164" w:rsidRDefault="006420CB" w:rsidP="00C64851">
      <w:pPr>
        <w:pStyle w:val="BodyText"/>
        <w:numPr>
          <w:ilvl w:val="0"/>
          <w:numId w:val="871"/>
        </w:numPr>
      </w:pPr>
      <w:r w:rsidRPr="00123164">
        <w:t>Providing training and technical assistance to support training providers and Boards.  </w:t>
      </w:r>
    </w:p>
    <w:p w14:paraId="797E3A5B" w14:textId="77777777" w:rsidR="006420CB" w:rsidRPr="00123164" w:rsidRDefault="006420CB" w:rsidP="00C64851">
      <w:pPr>
        <w:pStyle w:val="BodyText"/>
        <w:numPr>
          <w:ilvl w:val="0"/>
          <w:numId w:val="871"/>
        </w:numPr>
      </w:pPr>
      <w:r w:rsidRPr="00123164">
        <w:lastRenderedPageBreak/>
        <w:t>Providing a UI Wage match service for training providers interested in becoming certified. </w:t>
      </w:r>
    </w:p>
    <w:p w14:paraId="7A91AB5E" w14:textId="77777777" w:rsidR="006420CB" w:rsidRPr="00123164" w:rsidRDefault="006420CB" w:rsidP="00C64851">
      <w:pPr>
        <w:pStyle w:val="BodyText"/>
        <w:numPr>
          <w:ilvl w:val="0"/>
          <w:numId w:val="871"/>
        </w:numPr>
      </w:pPr>
      <w:r w:rsidRPr="00123164">
        <w:t>Maintaining the automated application and certification system for training providers.  </w:t>
      </w:r>
    </w:p>
    <w:p w14:paraId="54BF9BDB" w14:textId="1A0FF2C0" w:rsidR="006420CB" w:rsidRPr="00123164" w:rsidRDefault="006420CB" w:rsidP="00123164">
      <w:pPr>
        <w:pStyle w:val="BodyText"/>
      </w:pPr>
      <w:r w:rsidRPr="00123164">
        <w:t>To be listed on the statewide ETP list, WIOA mandates that all ETPs, except U.S. Department of Labor’s Employment and Training Administration (DOLETA) Registered Apprenticeships, provide verifiable performance data for all students. TWC collects the data through the annual student data report, and TWC submits it to DOLETA. </w:t>
      </w:r>
    </w:p>
    <w:p w14:paraId="69BAECC8" w14:textId="77777777" w:rsidR="006420CB" w:rsidRPr="00123164" w:rsidRDefault="006420CB" w:rsidP="00123164">
      <w:pPr>
        <w:pStyle w:val="BodyText"/>
      </w:pPr>
      <w:r w:rsidRPr="00123164">
        <w:t xml:space="preserve">The ETP list and program and administration information is available online, </w:t>
      </w:r>
      <w:hyperlink r:id="rId207" w:history="1">
        <w:r w:rsidRPr="00123164">
          <w:rPr>
            <w:rStyle w:val="Hyperlink"/>
          </w:rPr>
          <w:t>Eligible Training Providers</w:t>
        </w:r>
      </w:hyperlink>
      <w:r w:rsidRPr="00123164">
        <w:t>.</w:t>
      </w:r>
    </w:p>
    <w:p w14:paraId="6F7731AC" w14:textId="01F18931" w:rsidR="006420CB" w:rsidRPr="000F25DC" w:rsidRDefault="00A6131F" w:rsidP="00A6131F">
      <w:pPr>
        <w:pStyle w:val="BodyText3"/>
        <w:ind w:left="720" w:hanging="720"/>
      </w:pPr>
      <w:r>
        <w:t>C.</w:t>
      </w:r>
      <w:r>
        <w:tab/>
      </w:r>
      <w:r w:rsidR="006420CB" w:rsidRPr="000F25DC">
        <w:t>What information does the agency collect/use to assess the effectiveness and efficiency of this division or program? If applicable, briefly note any LBB performance measures (from Section</w:t>
      </w:r>
      <w:r w:rsidR="006420CB" w:rsidRPr="000F25DC">
        <w:rPr>
          <w:spacing w:val="-11"/>
        </w:rPr>
        <w:t xml:space="preserve"> </w:t>
      </w:r>
      <w:r w:rsidR="006420CB" w:rsidRPr="000F25DC">
        <w:t>II,</w:t>
      </w:r>
      <w:r w:rsidR="006420CB" w:rsidRPr="000F25DC">
        <w:rPr>
          <w:spacing w:val="-12"/>
        </w:rPr>
        <w:t xml:space="preserve"> </w:t>
      </w:r>
      <w:proofErr w:type="gramStart"/>
      <w:r w:rsidR="006420CB" w:rsidRPr="000F25DC">
        <w:t>Exhibit</w:t>
      </w:r>
      <w:proofErr w:type="gramEnd"/>
      <w:r w:rsidR="006420CB" w:rsidRPr="000F25DC">
        <w:rPr>
          <w:spacing w:val="-14"/>
        </w:rPr>
        <w:t xml:space="preserve"> </w:t>
      </w:r>
      <w:r w:rsidR="006420CB" w:rsidRPr="000F25DC">
        <w:t>2)</w:t>
      </w:r>
      <w:r w:rsidR="006420CB" w:rsidRPr="000F25DC">
        <w:rPr>
          <w:spacing w:val="-12"/>
        </w:rPr>
        <w:t xml:space="preserve"> </w:t>
      </w:r>
      <w:r w:rsidR="006420CB" w:rsidRPr="000F25DC">
        <w:t>but</w:t>
      </w:r>
      <w:r w:rsidR="006420CB" w:rsidRPr="000F25DC">
        <w:rPr>
          <w:spacing w:val="-14"/>
        </w:rPr>
        <w:t xml:space="preserve"> </w:t>
      </w:r>
      <w:r w:rsidR="006420CB" w:rsidRPr="000F25DC">
        <w:t>also</w:t>
      </w:r>
      <w:r w:rsidR="006420CB" w:rsidRPr="000F25DC">
        <w:rPr>
          <w:spacing w:val="-11"/>
        </w:rPr>
        <w:t xml:space="preserve"> </w:t>
      </w:r>
      <w:r w:rsidR="006420CB" w:rsidRPr="000F25DC">
        <w:t>provide</w:t>
      </w:r>
      <w:r w:rsidR="006420CB" w:rsidRPr="000F25DC">
        <w:rPr>
          <w:spacing w:val="-13"/>
        </w:rPr>
        <w:t xml:space="preserve"> </w:t>
      </w:r>
      <w:r w:rsidR="006420CB" w:rsidRPr="000F25DC">
        <w:t>any</w:t>
      </w:r>
      <w:r w:rsidR="006420CB" w:rsidRPr="000F25DC">
        <w:rPr>
          <w:spacing w:val="-13"/>
        </w:rPr>
        <w:t xml:space="preserve"> </w:t>
      </w:r>
      <w:r w:rsidR="006420CB" w:rsidRPr="000F25DC">
        <w:t>other</w:t>
      </w:r>
      <w:r w:rsidR="006420CB" w:rsidRPr="000F25DC">
        <w:rPr>
          <w:spacing w:val="-11"/>
        </w:rPr>
        <w:t xml:space="preserve"> </w:t>
      </w:r>
      <w:r w:rsidR="006420CB" w:rsidRPr="000F25DC">
        <w:t>metrics</w:t>
      </w:r>
      <w:r w:rsidR="006420CB" w:rsidRPr="000F25DC">
        <w:rPr>
          <w:spacing w:val="-14"/>
        </w:rPr>
        <w:t xml:space="preserve"> </w:t>
      </w:r>
      <w:r w:rsidR="006420CB" w:rsidRPr="000F25DC">
        <w:t>of</w:t>
      </w:r>
      <w:r w:rsidR="006420CB" w:rsidRPr="000F25DC">
        <w:rPr>
          <w:spacing w:val="-13"/>
        </w:rPr>
        <w:t xml:space="preserve"> </w:t>
      </w:r>
      <w:r w:rsidR="006420CB" w:rsidRPr="000F25DC">
        <w:t>program</w:t>
      </w:r>
      <w:r w:rsidR="006420CB" w:rsidRPr="000F25DC">
        <w:rPr>
          <w:spacing w:val="-13"/>
        </w:rPr>
        <w:t xml:space="preserve"> </w:t>
      </w:r>
      <w:r w:rsidR="006420CB" w:rsidRPr="000F25DC">
        <w:t>effectiveness</w:t>
      </w:r>
      <w:r w:rsidR="006420CB" w:rsidRPr="000F25DC">
        <w:rPr>
          <w:spacing w:val="-12"/>
        </w:rPr>
        <w:t xml:space="preserve"> </w:t>
      </w:r>
      <w:r w:rsidR="006420CB" w:rsidRPr="000F25DC">
        <w:t>and</w:t>
      </w:r>
      <w:r w:rsidR="006420CB" w:rsidRPr="000F25DC">
        <w:rPr>
          <w:spacing w:val="-11"/>
        </w:rPr>
        <w:t xml:space="preserve"> </w:t>
      </w:r>
      <w:r w:rsidR="006420CB" w:rsidRPr="000F25DC">
        <w:t>efficiency. Please</w:t>
      </w:r>
      <w:r w:rsidR="006420CB" w:rsidRPr="000F25DC">
        <w:rPr>
          <w:spacing w:val="-7"/>
        </w:rPr>
        <w:t xml:space="preserve"> </w:t>
      </w:r>
      <w:r w:rsidR="006420CB" w:rsidRPr="000F25DC">
        <w:t>provide</w:t>
      </w:r>
      <w:r w:rsidR="006420CB" w:rsidRPr="000F25DC">
        <w:rPr>
          <w:spacing w:val="-7"/>
        </w:rPr>
        <w:t xml:space="preserve"> </w:t>
      </w:r>
      <w:r w:rsidR="006420CB" w:rsidRPr="000F25DC">
        <w:t>the</w:t>
      </w:r>
      <w:r w:rsidR="006420CB" w:rsidRPr="000F25DC">
        <w:rPr>
          <w:spacing w:val="-7"/>
        </w:rPr>
        <w:t xml:space="preserve"> </w:t>
      </w:r>
      <w:r w:rsidR="006420CB" w:rsidRPr="000F25DC">
        <w:t>data</w:t>
      </w:r>
      <w:r w:rsidR="006420CB" w:rsidRPr="000F25DC">
        <w:rPr>
          <w:spacing w:val="-10"/>
        </w:rPr>
        <w:t xml:space="preserve"> </w:t>
      </w:r>
      <w:r w:rsidR="006420CB" w:rsidRPr="000F25DC">
        <w:t>source</w:t>
      </w:r>
      <w:r w:rsidR="006420CB" w:rsidRPr="000F25DC">
        <w:rPr>
          <w:spacing w:val="-7"/>
        </w:rPr>
        <w:t xml:space="preserve"> </w:t>
      </w:r>
      <w:r w:rsidR="006420CB" w:rsidRPr="000F25DC">
        <w:t>and/or</w:t>
      </w:r>
      <w:r w:rsidR="006420CB" w:rsidRPr="000F25DC">
        <w:rPr>
          <w:spacing w:val="-5"/>
        </w:rPr>
        <w:t xml:space="preserve"> </w:t>
      </w:r>
      <w:r w:rsidR="006420CB" w:rsidRPr="000F25DC">
        <w:t>methodology</w:t>
      </w:r>
      <w:r w:rsidR="006420CB" w:rsidRPr="000F25DC">
        <w:rPr>
          <w:spacing w:val="-7"/>
        </w:rPr>
        <w:t xml:space="preserve"> </w:t>
      </w:r>
      <w:r w:rsidR="006420CB" w:rsidRPr="000F25DC">
        <w:t>behind</w:t>
      </w:r>
      <w:r w:rsidR="006420CB" w:rsidRPr="000F25DC">
        <w:rPr>
          <w:spacing w:val="-6"/>
        </w:rPr>
        <w:t xml:space="preserve"> </w:t>
      </w:r>
      <w:r w:rsidR="006420CB" w:rsidRPr="000F25DC">
        <w:t>how</w:t>
      </w:r>
      <w:r w:rsidR="006420CB" w:rsidRPr="000F25DC">
        <w:rPr>
          <w:spacing w:val="-5"/>
        </w:rPr>
        <w:t xml:space="preserve"> </w:t>
      </w:r>
      <w:r w:rsidR="006420CB" w:rsidRPr="000F25DC">
        <w:t>each</w:t>
      </w:r>
      <w:r w:rsidR="006420CB" w:rsidRPr="000F25DC">
        <w:rPr>
          <w:spacing w:val="-6"/>
        </w:rPr>
        <w:t xml:space="preserve"> </w:t>
      </w:r>
      <w:r w:rsidR="006420CB" w:rsidRPr="000F25DC">
        <w:t>statistic</w:t>
      </w:r>
      <w:r w:rsidR="006420CB" w:rsidRPr="000F25DC">
        <w:rPr>
          <w:spacing w:val="-6"/>
        </w:rPr>
        <w:t xml:space="preserve"> </w:t>
      </w:r>
      <w:r w:rsidR="006420CB" w:rsidRPr="000F25DC">
        <w:t>or</w:t>
      </w:r>
      <w:r w:rsidR="006420CB" w:rsidRPr="000F25DC">
        <w:rPr>
          <w:spacing w:val="-8"/>
        </w:rPr>
        <w:t xml:space="preserve"> </w:t>
      </w:r>
      <w:r w:rsidR="006420CB" w:rsidRPr="000F25DC">
        <w:t>performance measure was determined. If you do not track measures of effectiveness for a given division, department, or program, please explain why.</w:t>
      </w:r>
    </w:p>
    <w:p w14:paraId="4C273B7A" w14:textId="77777777" w:rsidR="006420CB" w:rsidRPr="006D6BFF" w:rsidRDefault="006420CB" w:rsidP="006D6BFF">
      <w:pPr>
        <w:pStyle w:val="BodyText"/>
      </w:pPr>
      <w:r w:rsidRPr="006D6BFF">
        <w:t xml:space="preserve">The following data comes from the Proprietary Education Consolidated Online System (PECOS) system which was replaced in November 2024 with a new online portal called </w:t>
      </w:r>
      <w:proofErr w:type="spellStart"/>
      <w:r w:rsidRPr="006D6BFF">
        <w:rPr>
          <w:rStyle w:val="spellingerror"/>
        </w:rPr>
        <w:t>EDvera</w:t>
      </w:r>
      <w:proofErr w:type="spellEnd"/>
      <w:r w:rsidRPr="006D6BFF">
        <w:t xml:space="preserve">. Staff continues to work with </w:t>
      </w:r>
      <w:proofErr w:type="spellStart"/>
      <w:r w:rsidRPr="006D6BFF">
        <w:rPr>
          <w:rStyle w:val="spellingerror"/>
        </w:rPr>
        <w:t>EDvera</w:t>
      </w:r>
      <w:proofErr w:type="spellEnd"/>
      <w:r w:rsidRPr="006D6BFF">
        <w:t xml:space="preserve"> to configure it to meet Texas’ needs. Some critical data and functions are still being developed. Staff are planning to automate queries in </w:t>
      </w:r>
      <w:proofErr w:type="spellStart"/>
      <w:r w:rsidRPr="006D6BFF">
        <w:rPr>
          <w:rStyle w:val="spellingerror"/>
        </w:rPr>
        <w:t>EDvera</w:t>
      </w:r>
      <w:proofErr w:type="spellEnd"/>
      <w:r w:rsidRPr="006D6BFF">
        <w:t xml:space="preserve"> to allow performance metrics to be reported through a department dashboard. </w:t>
      </w:r>
    </w:p>
    <w:p w14:paraId="5888DD8F" w14:textId="77777777" w:rsidR="006420CB" w:rsidRPr="000F25DC" w:rsidRDefault="006420CB" w:rsidP="00A6131F">
      <w:pPr>
        <w:pStyle w:val="BodyText"/>
      </w:pPr>
      <w:r w:rsidRPr="000F25DC">
        <w:t xml:space="preserve">In FY 2024, </w:t>
      </w:r>
      <w:r>
        <w:t xml:space="preserve">the </w:t>
      </w:r>
      <w:r w:rsidRPr="000F25DC">
        <w:t>Career Schools and Colleges</w:t>
      </w:r>
      <w:r>
        <w:t xml:space="preserve"> program</w:t>
      </w:r>
      <w:r w:rsidRPr="000F25DC">
        <w:t>:  </w:t>
      </w:r>
    </w:p>
    <w:p w14:paraId="15A8A70B" w14:textId="77777777" w:rsidR="006420CB" w:rsidRPr="000F25DC" w:rsidRDefault="006420CB" w:rsidP="00C64851">
      <w:pPr>
        <w:pStyle w:val="BodyText"/>
        <w:numPr>
          <w:ilvl w:val="0"/>
          <w:numId w:val="872"/>
        </w:numPr>
      </w:pPr>
      <w:r>
        <w:t>M</w:t>
      </w:r>
      <w:r w:rsidRPr="000F25DC">
        <w:t xml:space="preserve">onitored the compliance of </w:t>
      </w:r>
      <w:r>
        <w:t>703</w:t>
      </w:r>
      <w:r w:rsidRPr="000F25DC">
        <w:t xml:space="preserve"> career schools or colleges</w:t>
      </w:r>
      <w:r>
        <w:t xml:space="preserve"> (LBB measure).</w:t>
      </w:r>
    </w:p>
    <w:p w14:paraId="021D20A6" w14:textId="77777777" w:rsidR="006420CB" w:rsidRPr="000F25DC" w:rsidRDefault="006420CB" w:rsidP="00C64851">
      <w:pPr>
        <w:pStyle w:val="BodyText"/>
        <w:numPr>
          <w:ilvl w:val="0"/>
          <w:numId w:val="872"/>
        </w:numPr>
      </w:pPr>
      <w:r w:rsidRPr="000F25DC">
        <w:t>Processed the renewal applications of 292 career schools or colleges</w:t>
      </w:r>
      <w:r>
        <w:t>.</w:t>
      </w:r>
    </w:p>
    <w:p w14:paraId="327A3701" w14:textId="77777777" w:rsidR="006420CB" w:rsidRPr="000F25DC" w:rsidRDefault="006420CB" w:rsidP="00C64851">
      <w:pPr>
        <w:pStyle w:val="BodyText"/>
        <w:numPr>
          <w:ilvl w:val="0"/>
          <w:numId w:val="872"/>
        </w:numPr>
      </w:pPr>
      <w:r w:rsidRPr="000F25DC">
        <w:t>Evaluated and made determinations in 121 exemption requests</w:t>
      </w:r>
      <w:r>
        <w:t>.</w:t>
      </w:r>
    </w:p>
    <w:p w14:paraId="159CEBC6" w14:textId="77777777" w:rsidR="006420CB" w:rsidRDefault="006420CB" w:rsidP="00C64851">
      <w:pPr>
        <w:pStyle w:val="BodyText"/>
        <w:numPr>
          <w:ilvl w:val="0"/>
          <w:numId w:val="872"/>
        </w:numPr>
      </w:pPr>
      <w:r w:rsidRPr="000F25DC">
        <w:t>Investigated 21 complaints against career schools or colleges</w:t>
      </w:r>
      <w:r>
        <w:t>.</w:t>
      </w:r>
    </w:p>
    <w:p w14:paraId="400DBD35" w14:textId="77777777" w:rsidR="006420CB" w:rsidRDefault="006420CB" w:rsidP="00C64851">
      <w:pPr>
        <w:pStyle w:val="BodyText"/>
        <w:numPr>
          <w:ilvl w:val="0"/>
          <w:numId w:val="872"/>
        </w:numPr>
      </w:pPr>
      <w:r w:rsidRPr="000F25DC">
        <w:t>Processed 17 school closures</w:t>
      </w:r>
      <w:r>
        <w:t>.</w:t>
      </w:r>
    </w:p>
    <w:p w14:paraId="6A206F85" w14:textId="77777777" w:rsidR="006420CB" w:rsidRPr="0050300D" w:rsidRDefault="006420CB" w:rsidP="00C64851">
      <w:pPr>
        <w:pStyle w:val="BodyText"/>
        <w:numPr>
          <w:ilvl w:val="0"/>
          <w:numId w:val="872"/>
        </w:numPr>
      </w:pPr>
      <w:r w:rsidRPr="0050300D">
        <w:t>Investigated 4 tips on suspected unlicensed schools</w:t>
      </w:r>
      <w:r>
        <w:t>.</w:t>
      </w:r>
    </w:p>
    <w:p w14:paraId="79633647" w14:textId="77777777" w:rsidR="006420CB" w:rsidRPr="000F25DC" w:rsidRDefault="006420CB" w:rsidP="00C64851">
      <w:pPr>
        <w:pStyle w:val="BodyText"/>
        <w:numPr>
          <w:ilvl w:val="0"/>
          <w:numId w:val="872"/>
        </w:numPr>
      </w:pPr>
      <w:r w:rsidRPr="000F25DC">
        <w:t>Conducted 836 on-site visits to schools</w:t>
      </w:r>
      <w:r>
        <w:t>.</w:t>
      </w:r>
    </w:p>
    <w:p w14:paraId="6E263062" w14:textId="77777777" w:rsidR="006420CB" w:rsidRPr="000F25DC" w:rsidRDefault="006420CB" w:rsidP="00C64851">
      <w:pPr>
        <w:pStyle w:val="BodyText"/>
        <w:numPr>
          <w:ilvl w:val="0"/>
          <w:numId w:val="872"/>
        </w:numPr>
      </w:pPr>
      <w:r w:rsidRPr="000F25DC">
        <w:t>Processed applications for over 613 school staff</w:t>
      </w:r>
      <w:r>
        <w:t>.</w:t>
      </w:r>
    </w:p>
    <w:p w14:paraId="4A1B23B3" w14:textId="77777777" w:rsidR="006420CB" w:rsidRPr="000F25DC" w:rsidRDefault="006420CB" w:rsidP="00C64851">
      <w:pPr>
        <w:pStyle w:val="BodyText"/>
        <w:numPr>
          <w:ilvl w:val="0"/>
          <w:numId w:val="872"/>
        </w:numPr>
      </w:pPr>
      <w:r w:rsidRPr="000F25DC">
        <w:lastRenderedPageBreak/>
        <w:t>Processed applications for 103 new and 56 revised courses of instruction</w:t>
      </w:r>
      <w:r>
        <w:t>.</w:t>
      </w:r>
    </w:p>
    <w:p w14:paraId="0E356CDC" w14:textId="77777777" w:rsidR="006420CB" w:rsidRPr="000F25DC" w:rsidRDefault="006420CB" w:rsidP="00C64851">
      <w:pPr>
        <w:pStyle w:val="BodyText"/>
        <w:numPr>
          <w:ilvl w:val="0"/>
          <w:numId w:val="872"/>
        </w:numPr>
      </w:pPr>
      <w:r w:rsidRPr="000F25DC">
        <w:t>Processed 229 school catalog and enrollment material revisions</w:t>
      </w:r>
      <w:r>
        <w:t>.</w:t>
      </w:r>
    </w:p>
    <w:p w14:paraId="329DFDCD" w14:textId="77777777" w:rsidR="006420CB" w:rsidRPr="000F25DC" w:rsidRDefault="006420CB" w:rsidP="00C64851">
      <w:pPr>
        <w:pStyle w:val="BodyText"/>
        <w:numPr>
          <w:ilvl w:val="0"/>
          <w:numId w:val="872"/>
        </w:numPr>
      </w:pPr>
      <w:r w:rsidRPr="000F25DC">
        <w:t>Processed 30 changes of school ownership or name</w:t>
      </w:r>
      <w:r>
        <w:t>.</w:t>
      </w:r>
    </w:p>
    <w:p w14:paraId="721E7F0E" w14:textId="77777777" w:rsidR="006420CB" w:rsidRPr="000F25DC" w:rsidRDefault="006420CB" w:rsidP="00C64851">
      <w:pPr>
        <w:pStyle w:val="BodyText"/>
        <w:numPr>
          <w:ilvl w:val="0"/>
          <w:numId w:val="872"/>
        </w:numPr>
      </w:pPr>
      <w:r w:rsidRPr="000F25DC">
        <w:t>Processed 69 changes of school name or address</w:t>
      </w:r>
      <w:r>
        <w:t>.</w:t>
      </w:r>
    </w:p>
    <w:p w14:paraId="16FD3745" w14:textId="77777777" w:rsidR="006420CB" w:rsidRPr="000F25DC" w:rsidRDefault="006420CB" w:rsidP="00C64851">
      <w:pPr>
        <w:pStyle w:val="BodyText"/>
        <w:numPr>
          <w:ilvl w:val="0"/>
          <w:numId w:val="872"/>
        </w:numPr>
      </w:pPr>
      <w:r w:rsidRPr="000F25DC">
        <w:t>Reviewed the completer, placement, and employment data for 1</w:t>
      </w:r>
      <w:r>
        <w:t>,</w:t>
      </w:r>
      <w:r w:rsidRPr="000F25DC">
        <w:t>244 programs approved during the fiscal year</w:t>
      </w:r>
      <w:r>
        <w:t>.</w:t>
      </w:r>
    </w:p>
    <w:p w14:paraId="68F3CE4C" w14:textId="77777777" w:rsidR="006420CB" w:rsidRPr="00A6131F" w:rsidRDefault="006420CB" w:rsidP="00A6131F">
      <w:pPr>
        <w:pStyle w:val="BodyText"/>
      </w:pPr>
      <w:r w:rsidRPr="00A6131F">
        <w:t>In Fiscal Year 2024, the ETP program:  </w:t>
      </w:r>
    </w:p>
    <w:p w14:paraId="6C3E3B75" w14:textId="77777777" w:rsidR="006420CB" w:rsidRPr="00A6131F" w:rsidRDefault="006420CB" w:rsidP="00C64851">
      <w:pPr>
        <w:pStyle w:val="BodyText"/>
        <w:numPr>
          <w:ilvl w:val="0"/>
          <w:numId w:val="873"/>
        </w:numPr>
      </w:pPr>
      <w:r w:rsidRPr="00A6131F">
        <w:t>Maintained 533 certified training programs.</w:t>
      </w:r>
    </w:p>
    <w:p w14:paraId="2A7BEF64" w14:textId="77777777" w:rsidR="006420CB" w:rsidRPr="00A6131F" w:rsidRDefault="006420CB" w:rsidP="00C64851">
      <w:pPr>
        <w:pStyle w:val="BodyText"/>
        <w:numPr>
          <w:ilvl w:val="0"/>
          <w:numId w:val="873"/>
        </w:numPr>
      </w:pPr>
      <w:r w:rsidRPr="00A6131F">
        <w:t>Approved 122 new certified training programs.</w:t>
      </w:r>
    </w:p>
    <w:p w14:paraId="6F9B9AC7" w14:textId="77777777" w:rsidR="006420CB" w:rsidRPr="00A6131F" w:rsidRDefault="006420CB" w:rsidP="00C64851">
      <w:pPr>
        <w:pStyle w:val="BodyText"/>
        <w:numPr>
          <w:ilvl w:val="0"/>
          <w:numId w:val="873"/>
        </w:numPr>
      </w:pPr>
      <w:r w:rsidRPr="00A6131F">
        <w:t xml:space="preserve">Approved 206,569 updates to certified programs on the </w:t>
      </w:r>
      <w:proofErr w:type="gramStart"/>
      <w:r w:rsidRPr="00A6131F">
        <w:t>state’s  Eligible</w:t>
      </w:r>
      <w:proofErr w:type="gramEnd"/>
      <w:r w:rsidRPr="00A6131F">
        <w:t xml:space="preserve"> Training Provider List.</w:t>
      </w:r>
    </w:p>
    <w:p w14:paraId="3F8DC120" w14:textId="77777777" w:rsidR="006420CB" w:rsidRPr="00A6131F" w:rsidRDefault="006420CB" w:rsidP="00C64851">
      <w:pPr>
        <w:pStyle w:val="BodyText"/>
        <w:numPr>
          <w:ilvl w:val="0"/>
          <w:numId w:val="873"/>
        </w:numPr>
      </w:pPr>
      <w:r w:rsidRPr="00A6131F">
        <w:t>Provided training and technical assistance to hundreds of users of the ETP online system, including Board ETP contacts, training providers, and members of the public.</w:t>
      </w:r>
    </w:p>
    <w:p w14:paraId="3C36B3C7" w14:textId="77777777" w:rsidR="006420CB" w:rsidRPr="00A6131F" w:rsidRDefault="006420CB" w:rsidP="00C64851">
      <w:pPr>
        <w:pStyle w:val="BodyText"/>
        <w:numPr>
          <w:ilvl w:val="0"/>
          <w:numId w:val="873"/>
        </w:numPr>
      </w:pPr>
      <w:r w:rsidRPr="00A6131F">
        <w:t>Provided three onsite workshops to Board ETP staff and training providers.</w:t>
      </w:r>
    </w:p>
    <w:p w14:paraId="064504BE" w14:textId="7FEDEC36" w:rsidR="006420CB" w:rsidRPr="000F25DC" w:rsidRDefault="003F4FD6" w:rsidP="003F4FD6">
      <w:pPr>
        <w:pStyle w:val="BodyText3"/>
        <w:ind w:left="720" w:hanging="720"/>
        <w:rPr>
          <w:rFonts w:cstheme="minorHAnsi"/>
        </w:rPr>
      </w:pPr>
      <w:r>
        <w:t>D.</w:t>
      </w:r>
      <w:r>
        <w:tab/>
      </w:r>
      <w:r w:rsidR="006420CB" w:rsidRPr="000F25DC">
        <w:t>Describe</w:t>
      </w:r>
      <w:r w:rsidR="006420CB" w:rsidRPr="000F25DC">
        <w:rPr>
          <w:spacing w:val="-14"/>
        </w:rPr>
        <w:t xml:space="preserve"> </w:t>
      </w:r>
      <w:r w:rsidR="006420CB" w:rsidRPr="000F25DC">
        <w:t>any</w:t>
      </w:r>
      <w:r w:rsidR="006420CB" w:rsidRPr="000F25DC">
        <w:rPr>
          <w:spacing w:val="-14"/>
        </w:rPr>
        <w:t xml:space="preserve"> </w:t>
      </w:r>
      <w:r w:rsidR="006420CB" w:rsidRPr="000F25DC">
        <w:t>important</w:t>
      </w:r>
      <w:r w:rsidR="006420CB" w:rsidRPr="000F25DC">
        <w:rPr>
          <w:spacing w:val="-13"/>
        </w:rPr>
        <w:t xml:space="preserve"> </w:t>
      </w:r>
      <w:r w:rsidR="006420CB" w:rsidRPr="000F25DC">
        <w:t>history</w:t>
      </w:r>
      <w:r w:rsidR="006420CB" w:rsidRPr="000F25DC">
        <w:rPr>
          <w:spacing w:val="-14"/>
        </w:rPr>
        <w:t xml:space="preserve"> </w:t>
      </w:r>
      <w:r w:rsidR="006420CB" w:rsidRPr="000F25DC">
        <w:t>regarding</w:t>
      </w:r>
      <w:r w:rsidR="006420CB" w:rsidRPr="000F25DC">
        <w:rPr>
          <w:spacing w:val="-13"/>
        </w:rPr>
        <w:t xml:space="preserve"> </w:t>
      </w:r>
      <w:r w:rsidR="006420CB" w:rsidRPr="000F25DC">
        <w:t>this</w:t>
      </w:r>
      <w:r w:rsidR="006420CB" w:rsidRPr="000F25DC">
        <w:rPr>
          <w:spacing w:val="-14"/>
        </w:rPr>
        <w:t xml:space="preserve"> </w:t>
      </w:r>
      <w:r w:rsidR="006420CB" w:rsidRPr="000F25DC">
        <w:t>division</w:t>
      </w:r>
      <w:r w:rsidR="006420CB" w:rsidRPr="000F25DC">
        <w:rPr>
          <w:spacing w:val="-13"/>
        </w:rPr>
        <w:t xml:space="preserve"> </w:t>
      </w:r>
      <w:r w:rsidR="006420CB" w:rsidRPr="000F25DC">
        <w:t>or</w:t>
      </w:r>
      <w:r w:rsidR="006420CB" w:rsidRPr="000F25DC">
        <w:rPr>
          <w:spacing w:val="-14"/>
        </w:rPr>
        <w:t xml:space="preserve"> </w:t>
      </w:r>
      <w:r w:rsidR="006420CB" w:rsidRPr="000F25DC">
        <w:t>program</w:t>
      </w:r>
      <w:r w:rsidR="006420CB" w:rsidRPr="000F25DC">
        <w:rPr>
          <w:spacing w:val="-14"/>
        </w:rPr>
        <w:t xml:space="preserve"> </w:t>
      </w:r>
      <w:r w:rsidR="006420CB" w:rsidRPr="000F25DC">
        <w:t>not</w:t>
      </w:r>
      <w:r w:rsidR="006420CB" w:rsidRPr="000F25DC">
        <w:rPr>
          <w:spacing w:val="-13"/>
        </w:rPr>
        <w:t xml:space="preserve"> </w:t>
      </w:r>
      <w:r w:rsidR="006420CB" w:rsidRPr="000F25DC">
        <w:t>included</w:t>
      </w:r>
      <w:r w:rsidR="006420CB" w:rsidRPr="000F25DC">
        <w:rPr>
          <w:spacing w:val="-14"/>
        </w:rPr>
        <w:t xml:space="preserve"> </w:t>
      </w:r>
      <w:r w:rsidR="006420CB" w:rsidRPr="000F25DC">
        <w:t>in</w:t>
      </w:r>
      <w:r w:rsidR="006420CB" w:rsidRPr="000F25DC">
        <w:rPr>
          <w:spacing w:val="-13"/>
        </w:rPr>
        <w:t xml:space="preserve"> </w:t>
      </w:r>
      <w:r w:rsidR="006420CB" w:rsidRPr="000F25DC">
        <w:t>the</w:t>
      </w:r>
      <w:r w:rsidR="006420CB" w:rsidRPr="000F25DC">
        <w:rPr>
          <w:spacing w:val="-14"/>
        </w:rPr>
        <w:t xml:space="preserve"> </w:t>
      </w:r>
      <w:r w:rsidR="006420CB" w:rsidRPr="000F25DC">
        <w:t>general agency history section, including</w:t>
      </w:r>
      <w:r w:rsidR="006420CB" w:rsidRPr="000F25DC">
        <w:rPr>
          <w:spacing w:val="-1"/>
        </w:rPr>
        <w:t xml:space="preserve"> </w:t>
      </w:r>
      <w:r w:rsidR="006420CB" w:rsidRPr="000F25DC">
        <w:t>how the</w:t>
      </w:r>
      <w:r w:rsidR="006420CB" w:rsidRPr="000F25DC">
        <w:rPr>
          <w:spacing w:val="-1"/>
        </w:rPr>
        <w:t xml:space="preserve"> </w:t>
      </w:r>
      <w:r w:rsidR="006420CB" w:rsidRPr="000F25DC">
        <w:t>functions or services have changed over time. If the response to Section III of this report is sufficient, please leave this section blank.</w:t>
      </w:r>
      <w:r w:rsidR="006420CB" w:rsidRPr="000F25DC">
        <w:rPr>
          <w:rFonts w:cstheme="minorHAnsi"/>
          <w:shd w:val="clear" w:color="auto" w:fill="FFFFFF"/>
        </w:rPr>
        <w:t xml:space="preserve"> </w:t>
      </w:r>
    </w:p>
    <w:p w14:paraId="70820E86" w14:textId="77777777" w:rsidR="006420CB" w:rsidRPr="000F25DC" w:rsidRDefault="006420CB" w:rsidP="003F4FD6">
      <w:pPr>
        <w:pStyle w:val="BodyText"/>
      </w:pPr>
      <w:r>
        <w:rPr>
          <w:shd w:val="clear" w:color="auto" w:fill="FFFFFF"/>
        </w:rPr>
        <w:t>In 2003, the 78</w:t>
      </w:r>
      <w:r w:rsidRPr="008F7AF2">
        <w:rPr>
          <w:shd w:val="clear" w:color="auto" w:fill="FFFFFF"/>
        </w:rPr>
        <w:t xml:space="preserve">th </w:t>
      </w:r>
      <w:r>
        <w:rPr>
          <w:shd w:val="clear" w:color="auto" w:fill="FFFFFF"/>
        </w:rPr>
        <w:t xml:space="preserve">Texas Legislature passed </w:t>
      </w:r>
      <w:r w:rsidRPr="000F25DC">
        <w:rPr>
          <w:shd w:val="clear" w:color="auto" w:fill="FFFFFF"/>
        </w:rPr>
        <w:t>House Bill 2492 transferr</w:t>
      </w:r>
      <w:r>
        <w:rPr>
          <w:shd w:val="clear" w:color="auto" w:fill="FFFFFF"/>
        </w:rPr>
        <w:t>ing</w:t>
      </w:r>
      <w:r w:rsidRPr="000F25DC">
        <w:rPr>
          <w:shd w:val="clear" w:color="auto" w:fill="FFFFFF"/>
        </w:rPr>
        <w:t xml:space="preserve"> the regulation of career schools and colleges from </w:t>
      </w:r>
      <w:r>
        <w:rPr>
          <w:shd w:val="clear" w:color="auto" w:fill="FFFFFF"/>
        </w:rPr>
        <w:t>THECB</w:t>
      </w:r>
      <w:r w:rsidRPr="000F25DC">
        <w:rPr>
          <w:shd w:val="clear" w:color="auto" w:fill="FFFFFF"/>
        </w:rPr>
        <w:t xml:space="preserve"> to </w:t>
      </w:r>
      <w:r>
        <w:rPr>
          <w:shd w:val="clear" w:color="auto" w:fill="FFFFFF"/>
        </w:rPr>
        <w:t>TWC</w:t>
      </w:r>
      <w:r w:rsidRPr="000F25DC">
        <w:rPr>
          <w:shd w:val="clear" w:color="auto" w:fill="FFFFFF"/>
        </w:rPr>
        <w:t xml:space="preserve"> to better align career and technical education with the state’s workforce development efforts. Since 2003, TWC has worked to streamline the regulatory process by implementing process improvements and technology enhancements to improve coordination with workforce training providers. The number of licensed career schools in Texas has grown from 416 licensed schools to currently more than 700 licensed schools.  </w:t>
      </w:r>
    </w:p>
    <w:p w14:paraId="48742783" w14:textId="3FA53D92" w:rsidR="006420CB" w:rsidRPr="000F25DC" w:rsidRDefault="003F4FD6" w:rsidP="003F4FD6">
      <w:pPr>
        <w:pStyle w:val="BodyText3"/>
      </w:pPr>
      <w:r>
        <w:t>E.</w:t>
      </w:r>
      <w:r>
        <w:tab/>
      </w:r>
      <w:r w:rsidR="006420CB" w:rsidRPr="000F25DC">
        <w:t>List any qualifications or eligibility requirements for persons or entities affected by this division or program (e.g., licensees, consumers, and landowners). Provide a statistical breakdown of persons or entities affected.</w:t>
      </w:r>
    </w:p>
    <w:p w14:paraId="02F634FC" w14:textId="77777777" w:rsidR="006420CB" w:rsidRPr="000F25DC" w:rsidRDefault="006420CB" w:rsidP="002D5124">
      <w:pPr>
        <w:pStyle w:val="BodyText"/>
      </w:pPr>
      <w:r w:rsidRPr="000F25DC">
        <w:t xml:space="preserve">Texas Administrative Code Chapter 807 provides requirements that must be met by </w:t>
      </w:r>
      <w:r>
        <w:t xml:space="preserve">a career </w:t>
      </w:r>
      <w:r w:rsidRPr="000F25DC">
        <w:t>school</w:t>
      </w:r>
      <w:r>
        <w:t xml:space="preserve"> or college</w:t>
      </w:r>
      <w:r w:rsidRPr="000F25DC">
        <w:t xml:space="preserve">, its owners, staff, instructors and programs. Schools must meet financial standards including positive equity or net worth balance; a current ratio of at least </w:t>
      </w:r>
      <w:r w:rsidRPr="000F25DC">
        <w:lastRenderedPageBreak/>
        <w:t xml:space="preserve">one-to-one (current assets/current liabilities); and stockholder's equity or net worth exceeding the amount shown for goodwill, if applicable. All owners, directors, representatives, instructors, and administrative staff must be of "good reputation" A full description of requirements can be found in </w:t>
      </w:r>
      <w:hyperlink r:id="rId208" w:history="1">
        <w:r w:rsidRPr="000F25DC">
          <w:rPr>
            <w:rStyle w:val="Hyperlink"/>
            <w:rFonts w:asciiTheme="minorHAnsi" w:hAnsiTheme="minorHAnsi" w:cstheme="minorHAnsi"/>
          </w:rPr>
          <w:t>TAC Subchapters E-G</w:t>
        </w:r>
      </w:hyperlink>
      <w:r>
        <w:t>.</w:t>
      </w:r>
    </w:p>
    <w:p w14:paraId="3A5B5CAC" w14:textId="77777777" w:rsidR="006420CB" w:rsidRPr="00BA47DF" w:rsidRDefault="006420CB" w:rsidP="00BA47DF">
      <w:pPr>
        <w:pStyle w:val="BodyText"/>
      </w:pPr>
      <w:r w:rsidRPr="00BA47DF">
        <w:rPr>
          <w:rStyle w:val="BodyTextChar"/>
        </w:rPr>
        <w:t>To be listed on the statewide ETP list, WIOA mandates that all ETPs provide verifiable performance data for all students in their programs. This requirement does not include Registered Apprenticeships. The data is collected through Student Data Reports (SDRs) distributed to providers by TWC. For new programs, submission of SDRs is required before</w:t>
      </w:r>
      <w:r w:rsidRPr="00BA47DF">
        <w:t xml:space="preserve"> they can be on the statewide ETPL. This requirement ensures training programs are effective and benefit the students. SDRs are required to be submitted annually for programs to remain on the ETP list. </w:t>
      </w:r>
    </w:p>
    <w:p w14:paraId="5DFF0402" w14:textId="77777777" w:rsidR="006420CB" w:rsidRPr="000F25DC" w:rsidRDefault="006420CB" w:rsidP="002D5124">
      <w:pPr>
        <w:pStyle w:val="BodyText"/>
      </w:pPr>
      <w:hyperlink r:id="rId209" w:history="1">
        <w:r w:rsidRPr="005D0E73">
          <w:rPr>
            <w:rStyle w:val="Hyperlink"/>
            <w:rFonts w:asciiTheme="minorHAnsi" w:hAnsiTheme="minorHAnsi" w:cstheme="minorHAnsi"/>
          </w:rPr>
          <w:t>WD Letter 15-19, Change 2,</w:t>
        </w:r>
      </w:hyperlink>
      <w:r w:rsidRPr="005D0E73">
        <w:t xml:space="preserve"> provides the eligibility criteria and performance expectations for Eligible Training Providers.</w:t>
      </w:r>
    </w:p>
    <w:p w14:paraId="1B49A32F" w14:textId="564EA347" w:rsidR="006420CB" w:rsidRDefault="002D5124" w:rsidP="002D5124">
      <w:pPr>
        <w:pStyle w:val="BodyText3"/>
        <w:ind w:left="720" w:hanging="720"/>
      </w:pPr>
      <w:r>
        <w:t>F.</w:t>
      </w:r>
      <w:r>
        <w:tab/>
      </w:r>
      <w:r w:rsidR="006420CB" w:rsidRPr="000F25DC">
        <w:t>Describe how the division or program is administered, including a description of key processes involved. If you have existing documentation (e.g., flowcharts, timelines, and other illustrations)</w:t>
      </w:r>
      <w:r w:rsidR="006420CB" w:rsidRPr="000F25DC">
        <w:rPr>
          <w:spacing w:val="-3"/>
        </w:rPr>
        <w:t xml:space="preserve"> </w:t>
      </w:r>
      <w:r w:rsidR="006420CB" w:rsidRPr="000F25DC">
        <w:t>to</w:t>
      </w:r>
      <w:r w:rsidR="006420CB" w:rsidRPr="000F25DC">
        <w:rPr>
          <w:spacing w:val="-2"/>
        </w:rPr>
        <w:t xml:space="preserve"> </w:t>
      </w:r>
      <w:r w:rsidR="006420CB" w:rsidRPr="000F25DC">
        <w:t>describe</w:t>
      </w:r>
      <w:r w:rsidR="006420CB" w:rsidRPr="000F25DC">
        <w:rPr>
          <w:spacing w:val="-6"/>
        </w:rPr>
        <w:t xml:space="preserve"> </w:t>
      </w:r>
      <w:r w:rsidR="006420CB" w:rsidRPr="000F25DC">
        <w:t>agency</w:t>
      </w:r>
      <w:r w:rsidR="006420CB" w:rsidRPr="000F25DC">
        <w:rPr>
          <w:spacing w:val="-3"/>
        </w:rPr>
        <w:t xml:space="preserve"> </w:t>
      </w:r>
      <w:r w:rsidR="006420CB" w:rsidRPr="000F25DC">
        <w:t>policies</w:t>
      </w:r>
      <w:r w:rsidR="006420CB" w:rsidRPr="000F25DC">
        <w:rPr>
          <w:spacing w:val="-2"/>
        </w:rPr>
        <w:t xml:space="preserve"> </w:t>
      </w:r>
      <w:r w:rsidR="006420CB" w:rsidRPr="000F25DC">
        <w:t>and</w:t>
      </w:r>
      <w:r w:rsidR="006420CB" w:rsidRPr="000F25DC">
        <w:rPr>
          <w:spacing w:val="-2"/>
        </w:rPr>
        <w:t xml:space="preserve"> </w:t>
      </w:r>
      <w:r w:rsidR="006420CB" w:rsidRPr="000F25DC">
        <w:t>procedures,</w:t>
      </w:r>
      <w:r w:rsidR="006420CB" w:rsidRPr="000F25DC">
        <w:rPr>
          <w:spacing w:val="-2"/>
        </w:rPr>
        <w:t xml:space="preserve"> </w:t>
      </w:r>
      <w:r w:rsidR="006420CB" w:rsidRPr="000F25DC">
        <w:t>please</w:t>
      </w:r>
      <w:r w:rsidR="006420CB" w:rsidRPr="000F25DC">
        <w:rPr>
          <w:spacing w:val="-3"/>
        </w:rPr>
        <w:t xml:space="preserve"> </w:t>
      </w:r>
      <w:r w:rsidR="006420CB" w:rsidRPr="000F25DC">
        <w:t>include</w:t>
      </w:r>
      <w:r w:rsidR="006420CB" w:rsidRPr="000F25DC">
        <w:rPr>
          <w:spacing w:val="-3"/>
        </w:rPr>
        <w:t xml:space="preserve"> </w:t>
      </w:r>
      <w:r w:rsidR="006420CB" w:rsidRPr="000F25DC">
        <w:t>them</w:t>
      </w:r>
      <w:r w:rsidR="006420CB" w:rsidRPr="000F25DC">
        <w:rPr>
          <w:spacing w:val="-3"/>
        </w:rPr>
        <w:t xml:space="preserve"> </w:t>
      </w:r>
      <w:r w:rsidR="006420CB" w:rsidRPr="000F25DC">
        <w:t>as</w:t>
      </w:r>
      <w:r w:rsidR="006420CB" w:rsidRPr="000F25DC">
        <w:rPr>
          <w:spacing w:val="-2"/>
        </w:rPr>
        <w:t xml:space="preserve"> </w:t>
      </w:r>
      <w:r w:rsidR="006420CB" w:rsidRPr="000F25DC">
        <w:t>attachments. Indicate how field/regional services are used, if applicable.</w:t>
      </w:r>
    </w:p>
    <w:p w14:paraId="4A8C8726" w14:textId="082D8420" w:rsidR="006420CB" w:rsidRPr="000F25DC" w:rsidRDefault="006420CB" w:rsidP="001D050E">
      <w:pPr>
        <w:pStyle w:val="BodyText"/>
      </w:pPr>
      <w:r w:rsidRPr="005E3BA8">
        <w:rPr>
          <w:b/>
          <w:bCs/>
        </w:rPr>
        <w:t>New School Applications</w:t>
      </w:r>
      <w:r w:rsidR="00B551BD">
        <w:rPr>
          <w:b/>
          <w:bCs/>
        </w:rPr>
        <w:t xml:space="preserve">: </w:t>
      </w:r>
      <w:r>
        <w:t xml:space="preserve">The CSC program </w:t>
      </w:r>
      <w:r w:rsidRPr="000F25DC">
        <w:t>oversees the process for any new career school or college seeking to open and operate in Texas. This involves</w:t>
      </w:r>
      <w:r>
        <w:t xml:space="preserve"> the following:</w:t>
      </w:r>
    </w:p>
    <w:p w14:paraId="0C298FC1" w14:textId="77777777" w:rsidR="006420CB" w:rsidRPr="000F25DC" w:rsidRDefault="006420CB" w:rsidP="00C64851">
      <w:pPr>
        <w:pStyle w:val="BodyText"/>
        <w:numPr>
          <w:ilvl w:val="0"/>
          <w:numId w:val="874"/>
        </w:numPr>
      </w:pPr>
      <w:r w:rsidRPr="000F25DC">
        <w:t>Providing application materials and guidance to prospective schools. </w:t>
      </w:r>
    </w:p>
    <w:p w14:paraId="317C9583" w14:textId="77777777" w:rsidR="006420CB" w:rsidRPr="000F25DC" w:rsidRDefault="006420CB" w:rsidP="00C64851">
      <w:pPr>
        <w:pStyle w:val="BodyText"/>
        <w:numPr>
          <w:ilvl w:val="0"/>
          <w:numId w:val="874"/>
        </w:numPr>
      </w:pPr>
      <w:r w:rsidRPr="000F25DC">
        <w:t>Reviewing applications for completeness, accuracy, and compliance with legal requirements, including financial stability. </w:t>
      </w:r>
    </w:p>
    <w:p w14:paraId="1380977D" w14:textId="77777777" w:rsidR="006420CB" w:rsidRPr="000F25DC" w:rsidRDefault="006420CB" w:rsidP="00C64851">
      <w:pPr>
        <w:pStyle w:val="BodyText"/>
        <w:numPr>
          <w:ilvl w:val="0"/>
          <w:numId w:val="874"/>
        </w:numPr>
      </w:pPr>
      <w:r w:rsidRPr="000F25DC">
        <w:t>Monitoring site surveys/visits conducted by Integrated Service Area Managers (ISAMs) to assess facilities, equipment, and administrative operations. </w:t>
      </w:r>
    </w:p>
    <w:p w14:paraId="4740422B" w14:textId="77777777" w:rsidR="006420CB" w:rsidRPr="000F25DC" w:rsidRDefault="006420CB" w:rsidP="00C64851">
      <w:pPr>
        <w:pStyle w:val="BodyText"/>
        <w:numPr>
          <w:ilvl w:val="0"/>
          <w:numId w:val="874"/>
        </w:numPr>
      </w:pPr>
      <w:r w:rsidRPr="000F25DC">
        <w:t>Approving qualified schools for operation by issuing a Certificate of Approval. </w:t>
      </w:r>
    </w:p>
    <w:p w14:paraId="07374876" w14:textId="77777777" w:rsidR="006420CB" w:rsidRPr="000F25DC" w:rsidRDefault="006420CB" w:rsidP="00C64851">
      <w:pPr>
        <w:pStyle w:val="BodyText"/>
        <w:numPr>
          <w:ilvl w:val="0"/>
          <w:numId w:val="874"/>
        </w:numPr>
      </w:pPr>
      <w:r w:rsidRPr="000F25DC">
        <w:t>Managing application withdrawals or denials for schools not meeting the specified criteria. </w:t>
      </w:r>
    </w:p>
    <w:p w14:paraId="2A8CC027" w14:textId="1F6C2AAE" w:rsidR="006420CB" w:rsidRPr="000F25DC" w:rsidRDefault="006420CB" w:rsidP="001D050E">
      <w:pPr>
        <w:pStyle w:val="BodyText"/>
      </w:pPr>
      <w:r w:rsidRPr="005E3BA8">
        <w:rPr>
          <w:b/>
          <w:bCs/>
        </w:rPr>
        <w:t>Certificate of Approval Renewals</w:t>
      </w:r>
      <w:r w:rsidR="00B551BD">
        <w:rPr>
          <w:b/>
          <w:bCs/>
        </w:rPr>
        <w:t xml:space="preserve">: </w:t>
      </w:r>
      <w:r w:rsidRPr="000F25DC">
        <w:t xml:space="preserve">Existing licensed schools must undergo periodic renewal to continue operating. The CSC </w:t>
      </w:r>
      <w:r>
        <w:t xml:space="preserve">program </w:t>
      </w:r>
      <w:r w:rsidRPr="000F25DC">
        <w:t>is responsible for: </w:t>
      </w:r>
    </w:p>
    <w:p w14:paraId="74B44F16" w14:textId="77777777" w:rsidR="006420CB" w:rsidRPr="000F25DC" w:rsidRDefault="006420CB" w:rsidP="00C64851">
      <w:pPr>
        <w:pStyle w:val="BodyText"/>
        <w:numPr>
          <w:ilvl w:val="0"/>
          <w:numId w:val="875"/>
        </w:numPr>
      </w:pPr>
      <w:r w:rsidRPr="000F25DC">
        <w:t>Providing timely notice of renewal requirements to schools. </w:t>
      </w:r>
    </w:p>
    <w:p w14:paraId="444B04AA" w14:textId="77777777" w:rsidR="006420CB" w:rsidRPr="000F25DC" w:rsidRDefault="006420CB" w:rsidP="00C64851">
      <w:pPr>
        <w:pStyle w:val="BodyText"/>
        <w:numPr>
          <w:ilvl w:val="0"/>
          <w:numId w:val="875"/>
        </w:numPr>
      </w:pPr>
      <w:r w:rsidRPr="000F25DC">
        <w:t>Reviewing renewal applications for ongoing compliance with financial, operational, and programmatic standards. </w:t>
      </w:r>
    </w:p>
    <w:p w14:paraId="0CFEC966" w14:textId="77777777" w:rsidR="006420CB" w:rsidRPr="000F25DC" w:rsidRDefault="006420CB" w:rsidP="00C64851">
      <w:pPr>
        <w:pStyle w:val="BodyText"/>
        <w:numPr>
          <w:ilvl w:val="0"/>
          <w:numId w:val="875"/>
        </w:numPr>
      </w:pPr>
      <w:r w:rsidRPr="000F25DC">
        <w:lastRenderedPageBreak/>
        <w:t>Addressing deficiencies identified during the renewal process, including potential corrective actions and penalties for non-compliance. </w:t>
      </w:r>
    </w:p>
    <w:p w14:paraId="25810727" w14:textId="77777777" w:rsidR="006420CB" w:rsidRPr="000F25DC" w:rsidRDefault="006420CB" w:rsidP="00C64851">
      <w:pPr>
        <w:pStyle w:val="BodyText"/>
        <w:numPr>
          <w:ilvl w:val="0"/>
          <w:numId w:val="875"/>
        </w:numPr>
      </w:pPr>
      <w:r w:rsidRPr="000F25DC">
        <w:t>Denying renewal if compliance is not achieved, which may result in school closure. </w:t>
      </w:r>
    </w:p>
    <w:p w14:paraId="21592E75" w14:textId="77777777" w:rsidR="006420CB" w:rsidRPr="000F25DC" w:rsidRDefault="006420CB" w:rsidP="00B551BD">
      <w:pPr>
        <w:pStyle w:val="BodyText"/>
      </w:pPr>
      <w:r w:rsidRPr="005E3BA8">
        <w:rPr>
          <w:b/>
          <w:bCs/>
        </w:rPr>
        <w:t>Staff Registration:</w:t>
      </w:r>
      <w:r w:rsidRPr="000F25DC">
        <w:t xml:space="preserve"> The CSC </w:t>
      </w:r>
      <w:r>
        <w:t xml:space="preserve">program </w:t>
      </w:r>
      <w:r w:rsidRPr="000F25DC">
        <w:t>monitors who is representing the school and if they are properly registered as a staff member with the state. Staff will assist applicants for the approval, process and document for each one and retain records and follow up as well. </w:t>
      </w:r>
    </w:p>
    <w:p w14:paraId="4C635F67" w14:textId="77777777" w:rsidR="006420CB" w:rsidRPr="000F25DC" w:rsidRDefault="006420CB" w:rsidP="00B551BD">
      <w:pPr>
        <w:pStyle w:val="BodyText"/>
      </w:pPr>
      <w:r w:rsidRPr="005E3BA8">
        <w:rPr>
          <w:b/>
          <w:bCs/>
        </w:rPr>
        <w:t>Program of Instruction Application:</w:t>
      </w:r>
      <w:r w:rsidRPr="000F25DC">
        <w:t xml:space="preserve"> The CSC </w:t>
      </w:r>
      <w:r>
        <w:t xml:space="preserve">program </w:t>
      </w:r>
      <w:r w:rsidRPr="000F25DC">
        <w:t>handles all applications for a new or revised programs of instruction at Career Schools. This includes assessing course outline information, the need for the course and all the data for that program of instruction to be properly followed to ensure success. </w:t>
      </w:r>
    </w:p>
    <w:p w14:paraId="616CB9DA" w14:textId="77777777" w:rsidR="006420CB" w:rsidRPr="000F25DC" w:rsidRDefault="006420CB" w:rsidP="00B551BD">
      <w:pPr>
        <w:pStyle w:val="BodyText"/>
      </w:pPr>
      <w:r w:rsidRPr="005E3BA8">
        <w:rPr>
          <w:b/>
          <w:bCs/>
        </w:rPr>
        <w:t>Exemptions:</w:t>
      </w:r>
      <w:r w:rsidRPr="000F25DC">
        <w:t xml:space="preserve"> The CSC </w:t>
      </w:r>
      <w:r>
        <w:t xml:space="preserve">program </w:t>
      </w:r>
      <w:r w:rsidRPr="000F25DC">
        <w:t>also handles any school seeking exemptions from CSC regulation based on statutory criteria. </w:t>
      </w:r>
    </w:p>
    <w:p w14:paraId="078F6E34" w14:textId="77777777" w:rsidR="006420CB" w:rsidRPr="000F25DC" w:rsidRDefault="006420CB" w:rsidP="00B551BD">
      <w:pPr>
        <w:pStyle w:val="BodyText"/>
      </w:pPr>
      <w:r w:rsidRPr="005E3BA8">
        <w:rPr>
          <w:b/>
          <w:bCs/>
        </w:rPr>
        <w:t>Changes of Ownership:</w:t>
      </w:r>
      <w:r w:rsidRPr="000F25DC">
        <w:t> The change of ownership means to reapply with the state to be considered as the owner, in whole, with all regulations. Any changes require proper documentation and notification as requested. </w:t>
      </w:r>
    </w:p>
    <w:p w14:paraId="60989CE4" w14:textId="77777777" w:rsidR="006420CB" w:rsidRPr="000F25DC" w:rsidRDefault="006420CB" w:rsidP="00B551BD">
      <w:pPr>
        <w:pStyle w:val="BodyText"/>
      </w:pPr>
      <w:r w:rsidRPr="005E3BA8">
        <w:rPr>
          <w:b/>
          <w:bCs/>
        </w:rPr>
        <w:t>Regularly Scheduled Surveys:</w:t>
      </w:r>
      <w:r w:rsidRPr="000F25DC">
        <w:t> Conducted by Integrated Service Area Managers (ISAMs) or other designated staff. These surveys involve: </w:t>
      </w:r>
    </w:p>
    <w:p w14:paraId="59C7B71C" w14:textId="77777777" w:rsidR="006420CB" w:rsidRPr="000F25DC" w:rsidRDefault="006420CB" w:rsidP="00C64851">
      <w:pPr>
        <w:pStyle w:val="BodyText"/>
        <w:numPr>
          <w:ilvl w:val="0"/>
          <w:numId w:val="876"/>
        </w:numPr>
      </w:pPr>
      <w:r w:rsidRPr="005E3BA8">
        <w:rPr>
          <w:i/>
          <w:iCs/>
        </w:rPr>
        <w:t>Physical Site Inspections:</w:t>
      </w:r>
      <w:r w:rsidRPr="000F25DC">
        <w:t xml:space="preserve"> Verify adequate facilities, equipment, and safety standards. </w:t>
      </w:r>
    </w:p>
    <w:p w14:paraId="5DC896AB" w14:textId="77777777" w:rsidR="006420CB" w:rsidRPr="000F25DC" w:rsidRDefault="006420CB" w:rsidP="00C64851">
      <w:pPr>
        <w:pStyle w:val="BodyText"/>
        <w:numPr>
          <w:ilvl w:val="0"/>
          <w:numId w:val="876"/>
        </w:numPr>
      </w:pPr>
      <w:r w:rsidRPr="005E3BA8">
        <w:rPr>
          <w:i/>
          <w:iCs/>
        </w:rPr>
        <w:t>Record Review:</w:t>
      </w:r>
      <w:r w:rsidRPr="000F25DC">
        <w:t xml:space="preserve"> Examine student files, attendance records, financial documentation, and compliance with policies. </w:t>
      </w:r>
    </w:p>
    <w:p w14:paraId="734914BB" w14:textId="77777777" w:rsidR="006420CB" w:rsidRPr="000F25DC" w:rsidRDefault="006420CB" w:rsidP="00C64851">
      <w:pPr>
        <w:pStyle w:val="BodyText"/>
        <w:numPr>
          <w:ilvl w:val="0"/>
          <w:numId w:val="876"/>
        </w:numPr>
      </w:pPr>
      <w:r w:rsidRPr="005E3BA8">
        <w:rPr>
          <w:i/>
          <w:iCs/>
        </w:rPr>
        <w:t>Staff Interviews:</w:t>
      </w:r>
      <w:r w:rsidRPr="000F25DC">
        <w:t xml:space="preserve"> Gather information from school administrators, instructors, and staff. </w:t>
      </w:r>
    </w:p>
    <w:p w14:paraId="7158B12F" w14:textId="77777777" w:rsidR="006420CB" w:rsidRPr="00596AC3" w:rsidRDefault="006420CB" w:rsidP="00B551BD">
      <w:pPr>
        <w:pStyle w:val="BodyText"/>
        <w:rPr>
          <w:b/>
          <w:bCs/>
        </w:rPr>
      </w:pPr>
      <w:r w:rsidRPr="00596AC3">
        <w:rPr>
          <w:b/>
          <w:bCs/>
        </w:rPr>
        <w:t>Annual Reporting: </w:t>
      </w:r>
    </w:p>
    <w:p w14:paraId="72925101" w14:textId="77777777" w:rsidR="006420CB" w:rsidRPr="000F25DC" w:rsidRDefault="006420CB" w:rsidP="00C64851">
      <w:pPr>
        <w:pStyle w:val="BodyText"/>
        <w:numPr>
          <w:ilvl w:val="0"/>
          <w:numId w:val="877"/>
        </w:numPr>
      </w:pPr>
      <w:r w:rsidRPr="005E3BA8">
        <w:rPr>
          <w:i/>
          <w:iCs/>
        </w:rPr>
        <w:t>Collecting Data:</w:t>
      </w:r>
      <w:r w:rsidRPr="000F25DC">
        <w:t xml:space="preserve"> Requiring schools to submit data on student enrollment, completion rates, job placement, and employment outcomes (Completer, Placement, and Employment Reporting). </w:t>
      </w:r>
    </w:p>
    <w:p w14:paraId="723A9A28" w14:textId="77777777" w:rsidR="006420CB" w:rsidRPr="000F25DC" w:rsidRDefault="006420CB" w:rsidP="00C64851">
      <w:pPr>
        <w:pStyle w:val="BodyText"/>
        <w:numPr>
          <w:ilvl w:val="0"/>
          <w:numId w:val="877"/>
        </w:numPr>
      </w:pPr>
      <w:r w:rsidRPr="005E3BA8">
        <w:rPr>
          <w:i/>
          <w:iCs/>
        </w:rPr>
        <w:t>Data Analysis:</w:t>
      </w:r>
      <w:r w:rsidRPr="000F25DC">
        <w:t xml:space="preserve"> Analyzing this data to assess the quality and effectiveness of schools and programs. </w:t>
      </w:r>
    </w:p>
    <w:p w14:paraId="1B2ABD0C" w14:textId="77777777" w:rsidR="006420CB" w:rsidRPr="00596AC3" w:rsidRDefault="006420CB" w:rsidP="00596AC3">
      <w:pPr>
        <w:pStyle w:val="BodyText"/>
        <w:rPr>
          <w:b/>
          <w:bCs/>
        </w:rPr>
      </w:pPr>
      <w:r w:rsidRPr="00596AC3">
        <w:rPr>
          <w:b/>
          <w:bCs/>
        </w:rPr>
        <w:t>Complaint Investigation: </w:t>
      </w:r>
    </w:p>
    <w:p w14:paraId="51A34109" w14:textId="77777777" w:rsidR="006420CB" w:rsidRPr="000F25DC" w:rsidRDefault="006420CB" w:rsidP="00C64851">
      <w:pPr>
        <w:pStyle w:val="BodyText"/>
        <w:numPr>
          <w:ilvl w:val="0"/>
          <w:numId w:val="878"/>
        </w:numPr>
      </w:pPr>
      <w:r w:rsidRPr="005E3BA8">
        <w:rPr>
          <w:i/>
          <w:iCs/>
        </w:rPr>
        <w:t>Complaint Receipt:</w:t>
      </w:r>
      <w:r w:rsidRPr="000F25DC">
        <w:t xml:space="preserve"> The process of receiving complaints from enrolled or previously enrolled students for actions that violate statutory and rule requirements. </w:t>
      </w:r>
    </w:p>
    <w:p w14:paraId="7F02E1A3" w14:textId="77777777" w:rsidR="006420CB" w:rsidRPr="000F25DC" w:rsidRDefault="006420CB" w:rsidP="00C64851">
      <w:pPr>
        <w:pStyle w:val="BodyText"/>
        <w:numPr>
          <w:ilvl w:val="0"/>
          <w:numId w:val="878"/>
        </w:numPr>
      </w:pPr>
      <w:r w:rsidRPr="005E3BA8">
        <w:rPr>
          <w:i/>
          <w:iCs/>
        </w:rPr>
        <w:lastRenderedPageBreak/>
        <w:t>Initial Review:</w:t>
      </w:r>
      <w:r w:rsidRPr="000F25DC">
        <w:t xml:space="preserve"> Review for completeness, timeliness, and jurisdiction. </w:t>
      </w:r>
    </w:p>
    <w:p w14:paraId="2C973595" w14:textId="77777777" w:rsidR="006420CB" w:rsidRPr="000F25DC" w:rsidRDefault="006420CB" w:rsidP="00C64851">
      <w:pPr>
        <w:pStyle w:val="BodyText"/>
        <w:numPr>
          <w:ilvl w:val="0"/>
          <w:numId w:val="878"/>
        </w:numPr>
      </w:pPr>
      <w:r w:rsidRPr="005E3BA8">
        <w:rPr>
          <w:i/>
          <w:iCs/>
        </w:rPr>
        <w:t>Investigation and Notification:</w:t>
      </w:r>
      <w:r w:rsidRPr="000F25DC">
        <w:t xml:space="preserve"> If found to be in violation, will issue a warning letter and give instructions on how to resolve violations. </w:t>
      </w:r>
    </w:p>
    <w:p w14:paraId="5EA67B98" w14:textId="77777777" w:rsidR="006420CB" w:rsidRPr="000F25DC" w:rsidRDefault="006420CB" w:rsidP="00596AC3">
      <w:pPr>
        <w:pStyle w:val="BodyText"/>
      </w:pPr>
      <w:r w:rsidRPr="005E3BA8">
        <w:rPr>
          <w:b/>
          <w:bCs/>
        </w:rPr>
        <w:t>Handling School Closures and Tuition Protection:</w:t>
      </w:r>
      <w:r w:rsidRPr="000F25DC">
        <w:t xml:space="preserve"> This function protects students financially in the event of school closures. </w:t>
      </w:r>
    </w:p>
    <w:p w14:paraId="33E055E7" w14:textId="77777777" w:rsidR="006420CB" w:rsidRPr="000F25DC" w:rsidRDefault="006420CB" w:rsidP="00C64851">
      <w:pPr>
        <w:pStyle w:val="BodyText"/>
        <w:numPr>
          <w:ilvl w:val="0"/>
          <w:numId w:val="879"/>
        </w:numPr>
      </w:pPr>
      <w:r w:rsidRPr="005E3BA8">
        <w:rPr>
          <w:i/>
          <w:iCs/>
        </w:rPr>
        <w:t>School Closures:</w:t>
      </w:r>
      <w:r w:rsidRPr="000F25DC">
        <w:t xml:space="preserve"> Overseeing school closures to ensure all requirements were met before closure. </w:t>
      </w:r>
    </w:p>
    <w:p w14:paraId="404C5709" w14:textId="77777777" w:rsidR="006420CB" w:rsidRPr="000F25DC" w:rsidRDefault="006420CB" w:rsidP="00C64851">
      <w:pPr>
        <w:pStyle w:val="BodyText"/>
        <w:numPr>
          <w:ilvl w:val="0"/>
          <w:numId w:val="879"/>
        </w:numPr>
      </w:pPr>
      <w:r w:rsidRPr="005E3BA8">
        <w:rPr>
          <w:i/>
          <w:iCs/>
        </w:rPr>
        <w:t>Ensuring Refunds:</w:t>
      </w:r>
      <w:r w:rsidRPr="000F25DC">
        <w:t> Guaranteeing refunds to students who are part of a school's closure. </w:t>
      </w:r>
    </w:p>
    <w:p w14:paraId="49B7F3B5" w14:textId="77777777" w:rsidR="006420CB" w:rsidRPr="00596AC3" w:rsidRDefault="006420CB" w:rsidP="00596AC3">
      <w:pPr>
        <w:pStyle w:val="BodyText"/>
        <w:rPr>
          <w:b/>
          <w:bCs/>
        </w:rPr>
      </w:pPr>
      <w:r w:rsidRPr="00596AC3">
        <w:rPr>
          <w:b/>
          <w:bCs/>
        </w:rPr>
        <w:t>Tuition Trust Account Management: </w:t>
      </w:r>
    </w:p>
    <w:p w14:paraId="310D52BA" w14:textId="77777777" w:rsidR="006420CB" w:rsidRPr="000F25DC" w:rsidRDefault="006420CB" w:rsidP="00C64851">
      <w:pPr>
        <w:pStyle w:val="BodyText"/>
        <w:numPr>
          <w:ilvl w:val="0"/>
          <w:numId w:val="880"/>
        </w:numPr>
      </w:pPr>
      <w:r w:rsidRPr="000F25DC">
        <w:t>Collecting funds from schools for the Tuition Trust Account (TTA). </w:t>
      </w:r>
    </w:p>
    <w:p w14:paraId="672B7997" w14:textId="77777777" w:rsidR="006420CB" w:rsidRPr="000F25DC" w:rsidRDefault="006420CB" w:rsidP="00C64851">
      <w:pPr>
        <w:pStyle w:val="BodyText"/>
        <w:numPr>
          <w:ilvl w:val="0"/>
          <w:numId w:val="880"/>
        </w:numPr>
      </w:pPr>
      <w:r w:rsidRPr="000F25DC">
        <w:t>Managing and disbursing funds from the TTA to cover student refunds or teach-out expenses. </w:t>
      </w:r>
    </w:p>
    <w:p w14:paraId="21520FA4" w14:textId="77777777" w:rsidR="006420CB" w:rsidRPr="000F25DC" w:rsidRDefault="006420CB" w:rsidP="00596AC3">
      <w:pPr>
        <w:pStyle w:val="BodyText"/>
      </w:pPr>
      <w:r w:rsidRPr="005E3BA8">
        <w:rPr>
          <w:b/>
          <w:bCs/>
        </w:rPr>
        <w:t xml:space="preserve">Customer Service: </w:t>
      </w:r>
      <w:r w:rsidRPr="000F25DC">
        <w:t>Handling telephone calls, responding to emails, and providing information to schools, students, and the public. </w:t>
      </w:r>
    </w:p>
    <w:p w14:paraId="720BA114" w14:textId="77777777" w:rsidR="006420CB" w:rsidRPr="0051250F" w:rsidRDefault="006420CB" w:rsidP="00596AC3">
      <w:pPr>
        <w:pStyle w:val="BodyText"/>
      </w:pPr>
      <w:r w:rsidRPr="00596AC3">
        <w:rPr>
          <w:b/>
          <w:bCs/>
        </w:rPr>
        <w:t>Eligible Training Provider List Applications:</w:t>
      </w:r>
      <w:r w:rsidRPr="000F25DC">
        <w:t xml:space="preserve"> </w:t>
      </w:r>
      <w:r w:rsidRPr="0051250F">
        <w:t>The application process is as follows</w:t>
      </w:r>
      <w:r w:rsidRPr="000F25DC">
        <w:t>:</w:t>
      </w:r>
    </w:p>
    <w:p w14:paraId="432F7C78" w14:textId="77777777" w:rsidR="006420CB" w:rsidRPr="0051250F" w:rsidRDefault="006420CB" w:rsidP="00C64851">
      <w:pPr>
        <w:pStyle w:val="BodyText"/>
        <w:numPr>
          <w:ilvl w:val="0"/>
          <w:numId w:val="881"/>
        </w:numPr>
      </w:pPr>
      <w:r w:rsidRPr="0051250F">
        <w:t>The provider submits provider, campus and program information to their local Board. The Board reviews the information and may require updates. </w:t>
      </w:r>
    </w:p>
    <w:p w14:paraId="0FC6D958" w14:textId="77777777" w:rsidR="006420CB" w:rsidRDefault="006420CB" w:rsidP="00C64851">
      <w:pPr>
        <w:pStyle w:val="BodyText"/>
        <w:numPr>
          <w:ilvl w:val="0"/>
          <w:numId w:val="881"/>
        </w:numPr>
      </w:pPr>
      <w:r w:rsidRPr="0051250F">
        <w:t>The Board submits provider/program information to TWC. </w:t>
      </w:r>
    </w:p>
    <w:p w14:paraId="5A8CBEF6" w14:textId="77777777" w:rsidR="006420CB" w:rsidRPr="0051250F" w:rsidRDefault="006420CB" w:rsidP="00C64851">
      <w:pPr>
        <w:pStyle w:val="BodyText"/>
        <w:numPr>
          <w:ilvl w:val="0"/>
          <w:numId w:val="881"/>
        </w:numPr>
      </w:pPr>
      <w:r w:rsidRPr="0051250F">
        <w:t>TWC reviews the information and may require updates. </w:t>
      </w:r>
    </w:p>
    <w:p w14:paraId="6486D3D5" w14:textId="77777777" w:rsidR="006420CB" w:rsidRDefault="006420CB" w:rsidP="00C64851">
      <w:pPr>
        <w:pStyle w:val="BodyText"/>
        <w:numPr>
          <w:ilvl w:val="0"/>
          <w:numId w:val="881"/>
        </w:numPr>
      </w:pPr>
      <w:r w:rsidRPr="009751C4">
        <w:t>TWC includes the provider’s programs on the statewide Eligible Training Provider List.</w:t>
      </w:r>
    </w:p>
    <w:p w14:paraId="237984DF" w14:textId="77777777" w:rsidR="006420CB" w:rsidRPr="009751C4" w:rsidRDefault="006420CB" w:rsidP="00C64851">
      <w:pPr>
        <w:pStyle w:val="BodyText"/>
        <w:numPr>
          <w:ilvl w:val="0"/>
          <w:numId w:val="881"/>
        </w:numPr>
      </w:pPr>
      <w:r w:rsidRPr="009751C4">
        <w:t>This process usually takes between two to four weeks, depending on the amount and accuracy of information provided. DOL Registered Apprenticeships do not go through this process and are added directly to the list.</w:t>
      </w:r>
    </w:p>
    <w:p w14:paraId="6355F2DE" w14:textId="44BA55F9" w:rsidR="006420CB" w:rsidRPr="000F25DC" w:rsidRDefault="00D06B4D" w:rsidP="00D06B4D">
      <w:pPr>
        <w:pStyle w:val="BodyText3"/>
        <w:ind w:left="720" w:hanging="720"/>
      </w:pPr>
      <w:r>
        <w:t>G.</w:t>
      </w:r>
      <w:r>
        <w:tab/>
      </w:r>
      <w:r w:rsidR="006420CB" w:rsidRPr="000F25DC">
        <w:t>If key to understanding the division or program, identify funding sources and amounts, including federal grants and pass-through monies. Describe any funding formulas or funding conventions. Please</w:t>
      </w:r>
      <w:r w:rsidR="006420CB" w:rsidRPr="000F25DC">
        <w:rPr>
          <w:spacing w:val="-1"/>
        </w:rPr>
        <w:t xml:space="preserve"> </w:t>
      </w:r>
      <w:r w:rsidR="006420CB" w:rsidRPr="000F25DC">
        <w:t>specify</w:t>
      </w:r>
      <w:r w:rsidR="006420CB" w:rsidRPr="000F25DC">
        <w:rPr>
          <w:spacing w:val="-1"/>
        </w:rPr>
        <w:t xml:space="preserve"> </w:t>
      </w:r>
      <w:r w:rsidR="006420CB" w:rsidRPr="000F25DC">
        <w:t>state</w:t>
      </w:r>
      <w:r w:rsidR="006420CB" w:rsidRPr="000F25DC">
        <w:rPr>
          <w:spacing w:val="-1"/>
        </w:rPr>
        <w:t xml:space="preserve"> </w:t>
      </w:r>
      <w:r w:rsidR="006420CB" w:rsidRPr="000F25DC">
        <w:t>funding</w:t>
      </w:r>
      <w:r w:rsidR="006420CB" w:rsidRPr="000F25DC">
        <w:rPr>
          <w:spacing w:val="-1"/>
        </w:rPr>
        <w:t xml:space="preserve"> </w:t>
      </w:r>
      <w:r w:rsidR="006420CB" w:rsidRPr="000F25DC">
        <w:t>sources (e.g., general revenue, appropriations</w:t>
      </w:r>
      <w:r w:rsidR="006420CB" w:rsidRPr="000F25DC">
        <w:rPr>
          <w:spacing w:val="-2"/>
        </w:rPr>
        <w:t xml:space="preserve"> </w:t>
      </w:r>
      <w:r w:rsidR="006420CB" w:rsidRPr="000F25DC">
        <w:t>rider, budget</w:t>
      </w:r>
      <w:r w:rsidR="006420CB" w:rsidRPr="000F25DC">
        <w:rPr>
          <w:spacing w:val="-5"/>
        </w:rPr>
        <w:t xml:space="preserve"> </w:t>
      </w:r>
      <w:r w:rsidR="006420CB" w:rsidRPr="000F25DC">
        <w:t>strategy,</w:t>
      </w:r>
      <w:r w:rsidR="006420CB" w:rsidRPr="000F25DC">
        <w:rPr>
          <w:spacing w:val="-5"/>
        </w:rPr>
        <w:t xml:space="preserve"> </w:t>
      </w:r>
      <w:r w:rsidR="006420CB" w:rsidRPr="000F25DC">
        <w:t>and</w:t>
      </w:r>
      <w:r w:rsidR="006420CB" w:rsidRPr="000F25DC">
        <w:rPr>
          <w:spacing w:val="-5"/>
        </w:rPr>
        <w:t xml:space="preserve"> </w:t>
      </w:r>
      <w:r w:rsidR="006420CB" w:rsidRPr="000F25DC">
        <w:t>fees/dues).</w:t>
      </w:r>
      <w:r w:rsidR="006420CB" w:rsidRPr="000F25DC">
        <w:rPr>
          <w:spacing w:val="-5"/>
        </w:rPr>
        <w:t xml:space="preserve"> </w:t>
      </w:r>
      <w:r w:rsidR="006420CB" w:rsidRPr="000F25DC">
        <w:t>(If</w:t>
      </w:r>
      <w:r w:rsidR="006420CB" w:rsidRPr="000F25DC">
        <w:rPr>
          <w:spacing w:val="-6"/>
        </w:rPr>
        <w:t xml:space="preserve"> </w:t>
      </w:r>
      <w:r w:rsidR="006420CB" w:rsidRPr="000F25DC">
        <w:t>you</w:t>
      </w:r>
      <w:r w:rsidR="006420CB" w:rsidRPr="000F25DC">
        <w:rPr>
          <w:spacing w:val="-6"/>
        </w:rPr>
        <w:t xml:space="preserve"> </w:t>
      </w:r>
      <w:r w:rsidR="006420CB" w:rsidRPr="000F25DC">
        <w:t>have</w:t>
      </w:r>
      <w:r w:rsidR="006420CB" w:rsidRPr="000F25DC">
        <w:rPr>
          <w:spacing w:val="-5"/>
        </w:rPr>
        <w:t xml:space="preserve"> </w:t>
      </w:r>
      <w:r w:rsidR="006420CB" w:rsidRPr="000F25DC">
        <w:t>already</w:t>
      </w:r>
      <w:r w:rsidR="006420CB" w:rsidRPr="000F25DC">
        <w:rPr>
          <w:spacing w:val="-5"/>
        </w:rPr>
        <w:t xml:space="preserve"> </w:t>
      </w:r>
      <w:r w:rsidR="006420CB" w:rsidRPr="000F25DC">
        <w:t>submitted</w:t>
      </w:r>
      <w:r w:rsidR="006420CB" w:rsidRPr="000F25DC">
        <w:rPr>
          <w:spacing w:val="-6"/>
        </w:rPr>
        <w:t xml:space="preserve"> </w:t>
      </w:r>
      <w:r w:rsidR="006420CB" w:rsidRPr="000F25DC">
        <w:t>funding</w:t>
      </w:r>
      <w:r w:rsidR="006420CB" w:rsidRPr="000F25DC">
        <w:rPr>
          <w:spacing w:val="-6"/>
        </w:rPr>
        <w:t xml:space="preserve"> </w:t>
      </w:r>
      <w:r w:rsidR="006420CB" w:rsidRPr="000F25DC">
        <w:t>source</w:t>
      </w:r>
      <w:r w:rsidR="006420CB" w:rsidRPr="000F25DC">
        <w:rPr>
          <w:spacing w:val="-5"/>
        </w:rPr>
        <w:t xml:space="preserve"> </w:t>
      </w:r>
      <w:r w:rsidR="006420CB" w:rsidRPr="000F25DC">
        <w:t>info</w:t>
      </w:r>
      <w:r w:rsidR="006420CB" w:rsidRPr="000F25DC">
        <w:rPr>
          <w:spacing w:val="-6"/>
        </w:rPr>
        <w:t xml:space="preserve"> </w:t>
      </w:r>
      <w:r w:rsidR="006420CB" w:rsidRPr="000F25DC">
        <w:t>through</w:t>
      </w:r>
      <w:r w:rsidR="006420CB" w:rsidRPr="000F25DC">
        <w:rPr>
          <w:spacing w:val="-6"/>
        </w:rPr>
        <w:t xml:space="preserve"> </w:t>
      </w:r>
      <w:r w:rsidR="006420CB" w:rsidRPr="000F25DC">
        <w:t xml:space="preserve">the </w:t>
      </w:r>
      <w:r w:rsidR="006420CB" w:rsidRPr="000F25DC">
        <w:lastRenderedPageBreak/>
        <w:t>“Agency Program Information” spreadsheet, please limit your response to funding formulas or funding conventions.)</w:t>
      </w:r>
    </w:p>
    <w:tbl>
      <w:tblPr>
        <w:tblStyle w:val="TableGrid1"/>
        <w:tblW w:w="9067" w:type="dxa"/>
        <w:tblCellMar>
          <w:top w:w="58" w:type="dxa"/>
          <w:bottom w:w="58" w:type="dxa"/>
        </w:tblCellMar>
        <w:tblLook w:val="04A0" w:firstRow="1" w:lastRow="0" w:firstColumn="1" w:lastColumn="0" w:noHBand="0" w:noVBand="1"/>
      </w:tblPr>
      <w:tblGrid>
        <w:gridCol w:w="2819"/>
        <w:gridCol w:w="2143"/>
        <w:gridCol w:w="1747"/>
        <w:gridCol w:w="2358"/>
      </w:tblGrid>
      <w:tr w:rsidR="00A37184" w:rsidRPr="00A56456" w14:paraId="2C460EB7" w14:textId="77777777" w:rsidTr="00A37184">
        <w:trPr>
          <w:trHeight w:val="420"/>
        </w:trPr>
        <w:tc>
          <w:tcPr>
            <w:tcW w:w="2819" w:type="dxa"/>
            <w:shd w:val="clear" w:color="auto" w:fill="B8CCE4" w:themeFill="accent1" w:themeFillTint="66"/>
            <w:vAlign w:val="center"/>
            <w:hideMark/>
          </w:tcPr>
          <w:p w14:paraId="4AD7519C" w14:textId="4E527E33" w:rsidR="00A37184" w:rsidRPr="00A56456" w:rsidRDefault="00A37184" w:rsidP="00613BBD">
            <w:pPr>
              <w:pStyle w:val="TableHeaders"/>
            </w:pPr>
            <w:r w:rsidRPr="00A56456">
              <w:t>Program or Function Detail Description</w:t>
            </w:r>
          </w:p>
        </w:tc>
        <w:tc>
          <w:tcPr>
            <w:tcW w:w="2143" w:type="dxa"/>
            <w:shd w:val="clear" w:color="auto" w:fill="B8CCE4" w:themeFill="accent1" w:themeFillTint="66"/>
            <w:vAlign w:val="center"/>
            <w:hideMark/>
          </w:tcPr>
          <w:p w14:paraId="41629ED2" w14:textId="4DC0553A" w:rsidR="00A37184" w:rsidRPr="00A56456" w:rsidRDefault="00A37184" w:rsidP="00613BBD">
            <w:pPr>
              <w:pStyle w:val="TableHeaders"/>
            </w:pPr>
            <w:r w:rsidRPr="00A56456">
              <w:t>Total FY 2024</w:t>
            </w:r>
          </w:p>
        </w:tc>
        <w:tc>
          <w:tcPr>
            <w:tcW w:w="1747" w:type="dxa"/>
            <w:shd w:val="clear" w:color="auto" w:fill="B8CCE4" w:themeFill="accent1" w:themeFillTint="66"/>
            <w:vAlign w:val="center"/>
            <w:hideMark/>
          </w:tcPr>
          <w:p w14:paraId="7F73AD43" w14:textId="66925EB8" w:rsidR="00A37184" w:rsidRPr="00A56456" w:rsidRDefault="00A37184" w:rsidP="00613BBD">
            <w:pPr>
              <w:pStyle w:val="TableHeaders"/>
            </w:pPr>
            <w:r w:rsidRPr="00A56456">
              <w:t>Federal Funding</w:t>
            </w:r>
          </w:p>
        </w:tc>
        <w:tc>
          <w:tcPr>
            <w:tcW w:w="2358" w:type="dxa"/>
            <w:shd w:val="clear" w:color="auto" w:fill="B8CCE4" w:themeFill="accent1" w:themeFillTint="66"/>
            <w:vAlign w:val="center"/>
            <w:hideMark/>
          </w:tcPr>
          <w:p w14:paraId="13CACE6A" w14:textId="1848B215" w:rsidR="00A37184" w:rsidRPr="00A56456" w:rsidRDefault="00A37184" w:rsidP="00613BBD">
            <w:pPr>
              <w:pStyle w:val="TableHeaders"/>
            </w:pPr>
            <w:r w:rsidRPr="00A56456">
              <w:t>State Funding</w:t>
            </w:r>
          </w:p>
        </w:tc>
      </w:tr>
      <w:tr w:rsidR="00A37184" w:rsidRPr="00A56456" w14:paraId="49C09F47" w14:textId="77777777" w:rsidTr="00A37184">
        <w:trPr>
          <w:trHeight w:val="450"/>
        </w:trPr>
        <w:tc>
          <w:tcPr>
            <w:tcW w:w="2819" w:type="dxa"/>
            <w:vMerge w:val="restart"/>
            <w:vAlign w:val="center"/>
            <w:hideMark/>
          </w:tcPr>
          <w:p w14:paraId="5F841253" w14:textId="77777777" w:rsidR="00A37184" w:rsidRPr="00A56456" w:rsidRDefault="00A37184" w:rsidP="00A37184">
            <w:pPr>
              <w:pStyle w:val="TableText"/>
            </w:pPr>
            <w:r w:rsidRPr="00A56456">
              <w:t>Career Schools and Colleges </w:t>
            </w:r>
          </w:p>
        </w:tc>
        <w:tc>
          <w:tcPr>
            <w:tcW w:w="2143" w:type="dxa"/>
            <w:vMerge w:val="restart"/>
            <w:vAlign w:val="center"/>
            <w:hideMark/>
          </w:tcPr>
          <w:p w14:paraId="68BFD470" w14:textId="77777777" w:rsidR="00A37184" w:rsidRPr="00A56456" w:rsidRDefault="00A37184" w:rsidP="00A37184">
            <w:pPr>
              <w:pStyle w:val="TableText"/>
              <w:jc w:val="right"/>
            </w:pPr>
            <w:r w:rsidRPr="00A56456">
              <w:t>1,185,889  </w:t>
            </w:r>
          </w:p>
        </w:tc>
        <w:tc>
          <w:tcPr>
            <w:tcW w:w="1747" w:type="dxa"/>
            <w:vMerge w:val="restart"/>
            <w:vAlign w:val="center"/>
            <w:hideMark/>
          </w:tcPr>
          <w:p w14:paraId="2245C82C" w14:textId="77777777" w:rsidR="00A37184" w:rsidRPr="00A56456" w:rsidRDefault="00A37184" w:rsidP="00A37184">
            <w:pPr>
              <w:pStyle w:val="TableText"/>
              <w:jc w:val="right"/>
            </w:pPr>
            <w:r w:rsidRPr="00A56456">
              <w:t>0 </w:t>
            </w:r>
          </w:p>
        </w:tc>
        <w:tc>
          <w:tcPr>
            <w:tcW w:w="2358" w:type="dxa"/>
            <w:vMerge w:val="restart"/>
            <w:vAlign w:val="center"/>
            <w:hideMark/>
          </w:tcPr>
          <w:p w14:paraId="6A1D00A5" w14:textId="77777777" w:rsidR="00A37184" w:rsidRPr="00A56456" w:rsidRDefault="00A37184" w:rsidP="00A37184">
            <w:pPr>
              <w:pStyle w:val="TableText"/>
              <w:jc w:val="right"/>
            </w:pPr>
            <w:r w:rsidRPr="00A56456">
              <w:t>1,185,889  </w:t>
            </w:r>
          </w:p>
        </w:tc>
      </w:tr>
      <w:tr w:rsidR="00A37184" w:rsidRPr="00A56456" w14:paraId="0DF5C7F7" w14:textId="77777777" w:rsidTr="00A37184">
        <w:trPr>
          <w:trHeight w:val="269"/>
        </w:trPr>
        <w:tc>
          <w:tcPr>
            <w:tcW w:w="0" w:type="auto"/>
            <w:vMerge/>
            <w:hideMark/>
          </w:tcPr>
          <w:p w14:paraId="7DAB50AA" w14:textId="77777777" w:rsidR="00A37184" w:rsidRPr="00A56456" w:rsidRDefault="00A37184" w:rsidP="00A56456">
            <w:pPr>
              <w:pStyle w:val="BodyText"/>
            </w:pPr>
          </w:p>
        </w:tc>
        <w:tc>
          <w:tcPr>
            <w:tcW w:w="0" w:type="auto"/>
            <w:vMerge/>
            <w:hideMark/>
          </w:tcPr>
          <w:p w14:paraId="30427CD9" w14:textId="77777777" w:rsidR="00A37184" w:rsidRPr="00A56456" w:rsidRDefault="00A37184" w:rsidP="00A56456">
            <w:pPr>
              <w:pStyle w:val="BodyText"/>
            </w:pPr>
          </w:p>
        </w:tc>
        <w:tc>
          <w:tcPr>
            <w:tcW w:w="0" w:type="auto"/>
            <w:vMerge/>
            <w:hideMark/>
          </w:tcPr>
          <w:p w14:paraId="01BC6AAD" w14:textId="77777777" w:rsidR="00A37184" w:rsidRPr="00A56456" w:rsidRDefault="00A37184" w:rsidP="00A56456">
            <w:pPr>
              <w:pStyle w:val="BodyText"/>
            </w:pPr>
          </w:p>
        </w:tc>
        <w:tc>
          <w:tcPr>
            <w:tcW w:w="0" w:type="auto"/>
            <w:vMerge/>
            <w:hideMark/>
          </w:tcPr>
          <w:p w14:paraId="34551A28" w14:textId="77777777" w:rsidR="00A37184" w:rsidRPr="00A56456" w:rsidRDefault="00A37184" w:rsidP="00A56456">
            <w:pPr>
              <w:pStyle w:val="BodyText"/>
            </w:pPr>
          </w:p>
        </w:tc>
      </w:tr>
    </w:tbl>
    <w:p w14:paraId="58B4F8D1" w14:textId="7F7D9BCA" w:rsidR="006420CB" w:rsidRPr="000F25DC" w:rsidRDefault="00D06B4D" w:rsidP="00D06B4D">
      <w:pPr>
        <w:pStyle w:val="BodyText3"/>
        <w:ind w:left="720" w:hanging="720"/>
      </w:pPr>
      <w:r>
        <w:t>H.</w:t>
      </w:r>
      <w:r>
        <w:tab/>
      </w:r>
      <w:r w:rsidR="006420CB"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006420CB" w:rsidRPr="000F25DC">
        <w:rPr>
          <w:spacing w:val="-2"/>
        </w:rPr>
        <w:t>population.</w:t>
      </w:r>
    </w:p>
    <w:p w14:paraId="515F0C88" w14:textId="77777777" w:rsidR="006420CB" w:rsidRPr="000F25DC" w:rsidRDefault="006420CB" w:rsidP="00D06B4D">
      <w:pPr>
        <w:pStyle w:val="BodyText"/>
      </w:pPr>
      <w:r w:rsidRPr="000F25DC">
        <w:t>There is no duplication of oversight, as schools approved and regulated by another state agency are statutorily exempt from regulation by TWC. </w:t>
      </w:r>
    </w:p>
    <w:p w14:paraId="67926720" w14:textId="77777777" w:rsidR="006420CB" w:rsidRPr="000F25DC" w:rsidRDefault="006420CB" w:rsidP="00D06B4D">
      <w:pPr>
        <w:pStyle w:val="BodyText"/>
      </w:pPr>
      <w:r w:rsidRPr="000F25DC">
        <w:t>THECB approves degree programs in Texas. For career schools and colleges with degree programs, THECB provides degree-granting authority or approves degrees and TWC approves the school.  </w:t>
      </w:r>
    </w:p>
    <w:p w14:paraId="556738D3" w14:textId="77777777" w:rsidR="006420CB" w:rsidRPr="000F25DC" w:rsidRDefault="006420CB" w:rsidP="00D06B4D">
      <w:pPr>
        <w:pStyle w:val="BodyText"/>
      </w:pPr>
      <w:r>
        <w:t>TVC</w:t>
      </w:r>
      <w:r w:rsidRPr="000F25DC">
        <w:t xml:space="preserve"> Veterans Education program approves programs for which qualified veterans and dependents may use their GI Bill education benefits. Some career schools and colleges have programs approved by TVC. In this case, TVC requires compliance with CSC requirements and as well as the requirements of TVC.  </w:t>
      </w:r>
    </w:p>
    <w:p w14:paraId="20F2A6FF" w14:textId="77777777" w:rsidR="006420CB" w:rsidRPr="000F25DC" w:rsidRDefault="006420CB" w:rsidP="00D06B4D">
      <w:pPr>
        <w:pStyle w:val="BodyText"/>
      </w:pPr>
      <w:r w:rsidRPr="000F25DC">
        <w:t>TWC coordinates with several state agencies to regulate career schools and colleges that offer specialized types of training. Licensed career schools and colleges provide training in the following areas where the expertise of other agencies is necessary to ensure that the requirements for licensure or certification are met:</w:t>
      </w:r>
    </w:p>
    <w:p w14:paraId="17FD45E7" w14:textId="77777777" w:rsidR="006420CB" w:rsidRPr="000F25DC" w:rsidRDefault="006420CB" w:rsidP="00C64851">
      <w:pPr>
        <w:pStyle w:val="BodyText"/>
        <w:numPr>
          <w:ilvl w:val="0"/>
          <w:numId w:val="882"/>
        </w:numPr>
      </w:pPr>
      <w:r w:rsidRPr="000F25DC">
        <w:t>Texas Board of Nursing: Professional Nursing programs  </w:t>
      </w:r>
    </w:p>
    <w:p w14:paraId="6A6F6A69" w14:textId="77777777" w:rsidR="006420CB" w:rsidRPr="000F25DC" w:rsidRDefault="006420CB" w:rsidP="00C64851">
      <w:pPr>
        <w:pStyle w:val="BodyText"/>
        <w:numPr>
          <w:ilvl w:val="0"/>
          <w:numId w:val="882"/>
        </w:numPr>
      </w:pPr>
      <w:r w:rsidRPr="000F25DC">
        <w:t>Department of Texas Health and Human Services: Medication Aide, Nurse Aide programs </w:t>
      </w:r>
    </w:p>
    <w:p w14:paraId="4F522086" w14:textId="77777777" w:rsidR="006420CB" w:rsidRPr="000F25DC" w:rsidRDefault="006420CB" w:rsidP="00C64851">
      <w:pPr>
        <w:pStyle w:val="BodyText"/>
        <w:numPr>
          <w:ilvl w:val="0"/>
          <w:numId w:val="882"/>
        </w:numPr>
      </w:pPr>
      <w:r w:rsidRPr="000F25DC">
        <w:t>Texas Board of Dental Examiners: Dental Assisting programs </w:t>
      </w:r>
    </w:p>
    <w:p w14:paraId="1CB6A17A" w14:textId="77777777" w:rsidR="006420CB" w:rsidRPr="000F25DC" w:rsidRDefault="006420CB" w:rsidP="00C64851">
      <w:pPr>
        <w:pStyle w:val="BodyText"/>
        <w:numPr>
          <w:ilvl w:val="0"/>
          <w:numId w:val="882"/>
        </w:numPr>
      </w:pPr>
      <w:r w:rsidRPr="000F25DC">
        <w:t>Department of State Health Services: Laser Hair Removal and Limited Radiologic Technician programs</w:t>
      </w:r>
    </w:p>
    <w:p w14:paraId="12344AA4" w14:textId="50A5891F" w:rsidR="006420CB" w:rsidRPr="000F25DC" w:rsidRDefault="006420CB" w:rsidP="00D06B4D">
      <w:pPr>
        <w:pStyle w:val="BodyText"/>
      </w:pPr>
      <w:r w:rsidRPr="000F25DC">
        <w:t>Other state agencies, such as the Texas Department of Licensing and Regulation, also oversee specific types of specialized career schools not regulated by TWC</w:t>
      </w:r>
      <w:r>
        <w:t>,</w:t>
      </w:r>
      <w:r w:rsidRPr="000F25DC">
        <w:t xml:space="preserve"> such as barbers.</w:t>
      </w:r>
    </w:p>
    <w:p w14:paraId="1CCB04A3" w14:textId="77777777" w:rsidR="006420CB" w:rsidRDefault="006420CB" w:rsidP="00D06B4D">
      <w:pPr>
        <w:pStyle w:val="BodyText"/>
      </w:pPr>
      <w:r w:rsidRPr="000F25DC">
        <w:lastRenderedPageBreak/>
        <w:t>As outlined above, several state agencies rely on TWC to grant legal approval for a career school or college to operate, while also imposing additional program-specific requirements. TWC collaborates closely with these agencies to clarify regulatory roles and ensure coordinated oversight. This interagency coordination</w:t>
      </w:r>
      <w:r>
        <w:t>,</w:t>
      </w:r>
      <w:r w:rsidRPr="000F25DC">
        <w:t xml:space="preserve"> including defined processes and responsibilities</w:t>
      </w:r>
      <w:r>
        <w:t>,</w:t>
      </w:r>
      <w:r w:rsidRPr="000F25DC">
        <w:t xml:space="preserve"> is communicated to schools that must obtain approval from multiple entities to offer certain programs.  </w:t>
      </w:r>
    </w:p>
    <w:p w14:paraId="780DEA4F" w14:textId="77777777" w:rsidR="006420CB" w:rsidRPr="000F25DC" w:rsidRDefault="006420CB" w:rsidP="00D06B4D">
      <w:pPr>
        <w:pStyle w:val="BodyText"/>
      </w:pPr>
      <w:r w:rsidRPr="000F25DC">
        <w:t>Texas Education Code, Section 132.023, requires TWC, in consultation with the Texas Guaranteed Student Loan Corporation (TGSLC) and state agencies that regulate career schools and colleges, to develop a comprehensive strategy to reduce default rates at career schools and colleges and to improve the overall quality of the programs operated by these schools and colleges. TWC currently has an MOU with THECB, TGSLC</w:t>
      </w:r>
      <w:r>
        <w:t>,</w:t>
      </w:r>
      <w:r w:rsidRPr="000F25DC">
        <w:t xml:space="preserve"> and the Texas Department of Licensing and Regulation. </w:t>
      </w:r>
    </w:p>
    <w:p w14:paraId="4026B8FF" w14:textId="0A790D47" w:rsidR="006420CB" w:rsidRPr="000F25DC" w:rsidRDefault="00515E59" w:rsidP="00515E59">
      <w:pPr>
        <w:pStyle w:val="BodyText3"/>
        <w:ind w:left="720" w:hanging="720"/>
      </w:pPr>
      <w:r>
        <w:t>I.</w:t>
      </w:r>
      <w:r>
        <w:tab/>
      </w:r>
      <w:r w:rsidR="006420CB" w:rsidRPr="000F25DC">
        <w:t>If</w:t>
      </w:r>
      <w:r w:rsidR="006420CB" w:rsidRPr="000F25DC">
        <w:rPr>
          <w:spacing w:val="-3"/>
        </w:rPr>
        <w:t xml:space="preserve"> </w:t>
      </w:r>
      <w:r w:rsidR="006420CB" w:rsidRPr="000F25DC">
        <w:t>the</w:t>
      </w:r>
      <w:r w:rsidR="006420CB" w:rsidRPr="000F25DC">
        <w:rPr>
          <w:spacing w:val="-2"/>
        </w:rPr>
        <w:t xml:space="preserve"> </w:t>
      </w:r>
      <w:r w:rsidR="006420CB" w:rsidRPr="000F25DC">
        <w:t>division</w:t>
      </w:r>
      <w:r w:rsidR="006420CB" w:rsidRPr="000F25DC">
        <w:rPr>
          <w:spacing w:val="-1"/>
        </w:rPr>
        <w:t xml:space="preserve"> </w:t>
      </w:r>
      <w:r w:rsidR="006420CB" w:rsidRPr="000F25DC">
        <w:t>or</w:t>
      </w:r>
      <w:r w:rsidR="006420CB" w:rsidRPr="000F25DC">
        <w:rPr>
          <w:spacing w:val="-3"/>
        </w:rPr>
        <w:t xml:space="preserve"> </w:t>
      </w:r>
      <w:r w:rsidR="006420CB" w:rsidRPr="000F25DC">
        <w:t>program</w:t>
      </w:r>
      <w:r w:rsidR="006420CB" w:rsidRPr="000F25DC">
        <w:rPr>
          <w:spacing w:val="-2"/>
        </w:rPr>
        <w:t xml:space="preserve"> </w:t>
      </w:r>
      <w:r w:rsidR="006420CB" w:rsidRPr="000F25DC">
        <w:t>works</w:t>
      </w:r>
      <w:r w:rsidR="006420CB" w:rsidRPr="000F25DC">
        <w:rPr>
          <w:spacing w:val="-1"/>
        </w:rPr>
        <w:t xml:space="preserve"> </w:t>
      </w:r>
      <w:r w:rsidR="006420CB" w:rsidRPr="000F25DC">
        <w:t>with</w:t>
      </w:r>
      <w:r w:rsidR="006420CB" w:rsidRPr="000F25DC">
        <w:rPr>
          <w:spacing w:val="-3"/>
        </w:rPr>
        <w:t xml:space="preserve"> </w:t>
      </w:r>
      <w:r w:rsidR="006420CB" w:rsidRPr="000F25DC">
        <w:t>local,</w:t>
      </w:r>
      <w:r w:rsidR="006420CB" w:rsidRPr="000F25DC">
        <w:rPr>
          <w:spacing w:val="-3"/>
        </w:rPr>
        <w:t xml:space="preserve"> </w:t>
      </w:r>
      <w:r w:rsidR="006420CB" w:rsidRPr="000F25DC">
        <w:t>regional,</w:t>
      </w:r>
      <w:r w:rsidR="006420CB" w:rsidRPr="000F25DC">
        <w:rPr>
          <w:spacing w:val="-3"/>
        </w:rPr>
        <w:t xml:space="preserve"> </w:t>
      </w:r>
      <w:r w:rsidR="006420CB" w:rsidRPr="000F25DC">
        <w:t>or federal</w:t>
      </w:r>
      <w:r w:rsidR="006420CB" w:rsidRPr="000F25DC">
        <w:rPr>
          <w:spacing w:val="-3"/>
        </w:rPr>
        <w:t xml:space="preserve"> </w:t>
      </w:r>
      <w:r w:rsidR="006420CB" w:rsidRPr="000F25DC">
        <w:t>units</w:t>
      </w:r>
      <w:r w:rsidR="006420CB" w:rsidRPr="000F25DC">
        <w:rPr>
          <w:spacing w:val="-1"/>
        </w:rPr>
        <w:t xml:space="preserve"> </w:t>
      </w:r>
      <w:r w:rsidR="006420CB" w:rsidRPr="000F25DC">
        <w:t>of</w:t>
      </w:r>
      <w:r w:rsidR="006420CB" w:rsidRPr="000F25DC">
        <w:rPr>
          <w:spacing w:val="-3"/>
        </w:rPr>
        <w:t xml:space="preserve"> </w:t>
      </w:r>
      <w:r w:rsidR="006420CB" w:rsidRPr="000F25DC">
        <w:t>government,</w:t>
      </w:r>
      <w:r w:rsidR="006420CB" w:rsidRPr="000F25DC">
        <w:rPr>
          <w:spacing w:val="-1"/>
        </w:rPr>
        <w:t xml:space="preserve"> </w:t>
      </w:r>
      <w:r w:rsidR="006420CB" w:rsidRPr="000F25DC">
        <w:t>include a brief description of these entities and their relationship to the agency.</w:t>
      </w:r>
    </w:p>
    <w:p w14:paraId="2893D7C5" w14:textId="77777777" w:rsidR="006420CB" w:rsidRPr="00515E59" w:rsidRDefault="006420CB" w:rsidP="00515E59">
      <w:pPr>
        <w:pStyle w:val="BodyText"/>
      </w:pPr>
      <w:r w:rsidRPr="00515E59">
        <w:t>The U.S. Department of Education (ED) oversees Title IV funds in schools authorized to participate in the Title IV program. Title IV is a form of federal student financial aid. In general terms, a school must have a Certificate of Approval (issued by TWC), operate for two years, and become accredited by an accrediting agency recognized by ED before it can apply for the right to participate in the Title IV program. TWC has no jurisdiction for or involvement in the administration of federal financial aid; however, ED consults with TWC on questions of state authorization of schools that are or may become Title IV schools. Additionally, TWC and ED share information with one another while developing corrective actions to understand the impact of corrective actions on students at the career schools.</w:t>
      </w:r>
    </w:p>
    <w:p w14:paraId="4AC95ED5" w14:textId="4279FDB1" w:rsidR="006420CB" w:rsidRDefault="00515E59" w:rsidP="00515E59">
      <w:pPr>
        <w:pStyle w:val="BodyText3"/>
        <w:ind w:left="720" w:hanging="720"/>
      </w:pPr>
      <w:r>
        <w:t>J.</w:t>
      </w:r>
      <w:r>
        <w:tab/>
      </w:r>
      <w:r w:rsidR="006420CB" w:rsidRPr="000F25DC">
        <w:t>Are there any barriers or challenges that impede the division or</w:t>
      </w:r>
      <w:r w:rsidR="006420CB" w:rsidRPr="000F25DC">
        <w:rPr>
          <w:spacing w:val="27"/>
        </w:rPr>
        <w:t xml:space="preserve"> </w:t>
      </w:r>
      <w:r w:rsidR="006420CB" w:rsidRPr="000F25DC">
        <w:t>program’s performance,</w:t>
      </w:r>
      <w:r w:rsidR="006420CB" w:rsidRPr="000F25DC">
        <w:rPr>
          <w:spacing w:val="80"/>
        </w:rPr>
        <w:t xml:space="preserve"> </w:t>
      </w:r>
      <w:r w:rsidR="006420CB" w:rsidRPr="000F25DC">
        <w:t>including any outdated or ineffective state laws? Explain.</w:t>
      </w:r>
    </w:p>
    <w:p w14:paraId="23C438C5" w14:textId="77777777" w:rsidR="006420CB" w:rsidRPr="000F25DC" w:rsidRDefault="006420CB" w:rsidP="00515E59">
      <w:pPr>
        <w:pStyle w:val="BodyText"/>
      </w:pPr>
      <w:r>
        <w:t xml:space="preserve">The </w:t>
      </w:r>
      <w:r w:rsidRPr="000F25DC">
        <w:t xml:space="preserve">CSC </w:t>
      </w:r>
      <w:r>
        <w:t xml:space="preserve">program </w:t>
      </w:r>
      <w:r w:rsidRPr="000F25DC">
        <w:t xml:space="preserve">has faced several challenges including leadership turnover and staffing vacancies. The program did receive </w:t>
      </w:r>
      <w:r>
        <w:t>one</w:t>
      </w:r>
      <w:r w:rsidRPr="000F25DC">
        <w:t xml:space="preserve"> additional requested FTE for FY</w:t>
      </w:r>
      <w:r>
        <w:t xml:space="preserve"> 2026-</w:t>
      </w:r>
      <w:r w:rsidRPr="000F25DC">
        <w:t>27. TWC’s exceptional item request focused on the expansive growth of career schools to establish the need for additional staff; over the last 20 years, the program has grown from 416 licensed schools to 729 licensed schools as of May 2025. </w:t>
      </w:r>
    </w:p>
    <w:p w14:paraId="78DB7DCF" w14:textId="77777777" w:rsidR="006420CB" w:rsidRPr="000F25DC" w:rsidRDefault="006420CB" w:rsidP="00515E59">
      <w:pPr>
        <w:pStyle w:val="BodyText"/>
      </w:pPr>
      <w:r w:rsidRPr="000F25DC">
        <w:t xml:space="preserve">Due to the previously cited turnover and increase in licensing volume, as well as staff time being spent on a new system development, more than half of licensed career schools’ certificates of approval being expired including some for two to five years. </w:t>
      </w:r>
    </w:p>
    <w:p w14:paraId="372843B6" w14:textId="77777777" w:rsidR="006420CB" w:rsidRPr="000F25DC" w:rsidRDefault="006420CB" w:rsidP="00515E59">
      <w:pPr>
        <w:pStyle w:val="BodyText"/>
      </w:pPr>
      <w:r w:rsidRPr="000F25DC">
        <w:t xml:space="preserve">In </w:t>
      </w:r>
      <w:r>
        <w:t xml:space="preserve">early </w:t>
      </w:r>
      <w:r w:rsidRPr="000F25DC">
        <w:t xml:space="preserve">2025, </w:t>
      </w:r>
      <w:r>
        <w:t xml:space="preserve">the </w:t>
      </w:r>
      <w:r w:rsidRPr="000F25DC">
        <w:t xml:space="preserve">CSC </w:t>
      </w:r>
      <w:r>
        <w:t xml:space="preserve">program </w:t>
      </w:r>
      <w:r w:rsidRPr="000F25DC">
        <w:t xml:space="preserve">began a focused effort to dedicate most staff resources to reducing and eliminating a backlog of 400+ overdue renewal applications from licensed schools. As of May 2025, 59 overdue renewals remained, and efforts continue to bring these schools into compliance with law. Concurrent with efforts to eliminate the backlog, </w:t>
      </w:r>
      <w:r w:rsidRPr="000F25DC">
        <w:lastRenderedPageBreak/>
        <w:t>CSC</w:t>
      </w:r>
      <w:r>
        <w:t xml:space="preserve"> program</w:t>
      </w:r>
      <w:r w:rsidRPr="000F25DC">
        <w:t xml:space="preserve"> leadership has focused on reinstating processes to help ensure statutory application processing timeframes are met. </w:t>
      </w:r>
    </w:p>
    <w:p w14:paraId="7332FE02" w14:textId="77777777" w:rsidR="006420CB" w:rsidRPr="000F25DC" w:rsidRDefault="006420CB" w:rsidP="00515E59">
      <w:pPr>
        <w:pStyle w:val="BodyText"/>
      </w:pPr>
      <w:r w:rsidRPr="000F25DC">
        <w:t xml:space="preserve">A new online platform and database of record, </w:t>
      </w:r>
      <w:proofErr w:type="spellStart"/>
      <w:r w:rsidRPr="000F25DC">
        <w:rPr>
          <w:rStyle w:val="spellingerror"/>
          <w:rFonts w:asciiTheme="minorHAnsi" w:hAnsiTheme="minorHAnsi" w:cstheme="minorHAnsi"/>
        </w:rPr>
        <w:t>EDvera</w:t>
      </w:r>
      <w:proofErr w:type="spellEnd"/>
      <w:r w:rsidRPr="000F25DC">
        <w:t xml:space="preserve">, is still being fully deployed. Its development and implementation were significantly delayed from expected launch in December 2023, and at go-live in November 2024, essential functionality was still incomplete. </w:t>
      </w:r>
      <w:r>
        <w:t xml:space="preserve">The </w:t>
      </w:r>
      <w:r w:rsidRPr="000F25DC">
        <w:t xml:space="preserve">CSC </w:t>
      </w:r>
      <w:r>
        <w:t xml:space="preserve">program </w:t>
      </w:r>
      <w:r w:rsidRPr="000F25DC">
        <w:t>is still working with the vendor to achieve full functionality, with staff performing manual workarounds. The system is anticipated to be fully functional by Fall 2025, but with several necessary components unrealized because as an off-the-shelf solution, it cannot be cost-effectively customized to meet all TWC</w:t>
      </w:r>
      <w:r>
        <w:t>’s</w:t>
      </w:r>
      <w:r w:rsidRPr="000F25DC">
        <w:t xml:space="preserve"> requirements or needs including a statutory requirement to publish enforcement actions against career schools on TWC’s website. Thus, TWC resources will be required to establish manual data reporting. Additionally, many of the standard operating processes mentioned previously that are needed to ensure applications are processed timely are not available in </w:t>
      </w:r>
      <w:proofErr w:type="spellStart"/>
      <w:r w:rsidRPr="000F25DC">
        <w:rPr>
          <w:rStyle w:val="spellingerror"/>
          <w:rFonts w:asciiTheme="minorHAnsi" w:hAnsiTheme="minorHAnsi" w:cstheme="minorHAnsi"/>
        </w:rPr>
        <w:t>EDvera</w:t>
      </w:r>
      <w:proofErr w:type="spellEnd"/>
      <w:r w:rsidRPr="000F25DC">
        <w:t xml:space="preserve">, which will require parallel processes to continue and will not allow for consolidation of tracking into </w:t>
      </w:r>
      <w:proofErr w:type="spellStart"/>
      <w:r w:rsidRPr="000F25DC">
        <w:rPr>
          <w:rStyle w:val="spellingerror"/>
          <w:rFonts w:asciiTheme="minorHAnsi" w:hAnsiTheme="minorHAnsi" w:cstheme="minorHAnsi"/>
        </w:rPr>
        <w:t>EDvera</w:t>
      </w:r>
      <w:proofErr w:type="spellEnd"/>
      <w:r w:rsidRPr="000F25DC">
        <w:t>. </w:t>
      </w:r>
    </w:p>
    <w:p w14:paraId="06478AEA" w14:textId="7DB9C852" w:rsidR="006420CB" w:rsidRPr="000F25DC" w:rsidRDefault="00D43693" w:rsidP="00D43693">
      <w:pPr>
        <w:pStyle w:val="BodyText3"/>
        <w:ind w:left="720" w:hanging="720"/>
      </w:pPr>
      <w:r>
        <w:t>K.</w:t>
      </w:r>
      <w:r>
        <w:tab/>
      </w:r>
      <w:r w:rsidR="006420CB" w:rsidRPr="000F25DC">
        <w:t>Provide</w:t>
      </w:r>
      <w:r w:rsidR="006420CB" w:rsidRPr="000F25DC">
        <w:rPr>
          <w:spacing w:val="40"/>
        </w:rPr>
        <w:t xml:space="preserve"> </w:t>
      </w:r>
      <w:r w:rsidR="006420CB" w:rsidRPr="000F25DC">
        <w:t>any</w:t>
      </w:r>
      <w:r w:rsidR="006420CB" w:rsidRPr="000F25DC">
        <w:rPr>
          <w:spacing w:val="40"/>
        </w:rPr>
        <w:t xml:space="preserve"> </w:t>
      </w:r>
      <w:r w:rsidR="006420CB" w:rsidRPr="000F25DC">
        <w:t>additional</w:t>
      </w:r>
      <w:r w:rsidR="006420CB" w:rsidRPr="000F25DC">
        <w:rPr>
          <w:spacing w:val="40"/>
        </w:rPr>
        <w:t xml:space="preserve"> </w:t>
      </w:r>
      <w:r w:rsidR="006420CB" w:rsidRPr="000F25DC">
        <w:t>information</w:t>
      </w:r>
      <w:r w:rsidR="006420CB" w:rsidRPr="000F25DC">
        <w:rPr>
          <w:spacing w:val="40"/>
        </w:rPr>
        <w:t xml:space="preserve"> </w:t>
      </w:r>
      <w:r w:rsidR="006420CB" w:rsidRPr="000F25DC">
        <w:t>needed</w:t>
      </w:r>
      <w:r w:rsidR="006420CB" w:rsidRPr="000F25DC">
        <w:rPr>
          <w:spacing w:val="40"/>
        </w:rPr>
        <w:t xml:space="preserve"> </w:t>
      </w:r>
      <w:r w:rsidR="006420CB" w:rsidRPr="000F25DC">
        <w:t>to</w:t>
      </w:r>
      <w:r w:rsidR="006420CB" w:rsidRPr="000F25DC">
        <w:rPr>
          <w:spacing w:val="40"/>
        </w:rPr>
        <w:t xml:space="preserve"> </w:t>
      </w:r>
      <w:r w:rsidR="006420CB" w:rsidRPr="000F25DC">
        <w:t>gain</w:t>
      </w:r>
      <w:r w:rsidR="006420CB" w:rsidRPr="000F25DC">
        <w:rPr>
          <w:spacing w:val="40"/>
        </w:rPr>
        <w:t xml:space="preserve"> </w:t>
      </w:r>
      <w:r w:rsidR="006420CB" w:rsidRPr="000F25DC">
        <w:t>a</w:t>
      </w:r>
      <w:r w:rsidR="006420CB" w:rsidRPr="000F25DC">
        <w:rPr>
          <w:spacing w:val="40"/>
        </w:rPr>
        <w:t xml:space="preserve"> </w:t>
      </w:r>
      <w:r w:rsidR="006420CB" w:rsidRPr="000F25DC">
        <w:t>preliminary</w:t>
      </w:r>
      <w:r w:rsidR="006420CB" w:rsidRPr="000F25DC">
        <w:rPr>
          <w:spacing w:val="40"/>
        </w:rPr>
        <w:t xml:space="preserve"> </w:t>
      </w:r>
      <w:r w:rsidR="006420CB" w:rsidRPr="000F25DC">
        <w:t>understanding</w:t>
      </w:r>
      <w:r w:rsidR="006420CB" w:rsidRPr="000F25DC">
        <w:rPr>
          <w:spacing w:val="39"/>
        </w:rPr>
        <w:t xml:space="preserve"> </w:t>
      </w:r>
      <w:r w:rsidR="006420CB" w:rsidRPr="000F25DC">
        <w:t>of</w:t>
      </w:r>
      <w:r w:rsidR="006420CB" w:rsidRPr="000F25DC">
        <w:rPr>
          <w:spacing w:val="40"/>
        </w:rPr>
        <w:t xml:space="preserve"> </w:t>
      </w:r>
      <w:r w:rsidR="006420CB" w:rsidRPr="000F25DC">
        <w:t>the division or program.</w:t>
      </w:r>
    </w:p>
    <w:p w14:paraId="49A45D71" w14:textId="77777777" w:rsidR="006420CB" w:rsidRPr="000F25DC" w:rsidRDefault="006420CB" w:rsidP="00D43693">
      <w:pPr>
        <w:pStyle w:val="BodyText"/>
      </w:pPr>
      <w:r w:rsidRPr="000F25DC">
        <w:t>N</w:t>
      </w:r>
      <w:r>
        <w:t>/A</w:t>
      </w:r>
    </w:p>
    <w:p w14:paraId="41A1848E" w14:textId="4AD99048" w:rsidR="006420CB" w:rsidRPr="000F25DC" w:rsidRDefault="00D43693" w:rsidP="00D43693">
      <w:pPr>
        <w:pStyle w:val="BodyText3"/>
        <w:ind w:left="720" w:hanging="720"/>
      </w:pPr>
      <w:r>
        <w:t>L.</w:t>
      </w:r>
      <w:r>
        <w:tab/>
      </w:r>
      <w:r w:rsidR="006420CB" w:rsidRPr="000F25DC">
        <w:t>Regulatory programs relate to the licensing, registration, certification, or permitting of a person, business, piece of equipment, or other entity (e.g., a facility). For each regulatory program, if applicable, describe:</w:t>
      </w:r>
    </w:p>
    <w:p w14:paraId="48439890" w14:textId="77777777" w:rsidR="006420CB" w:rsidRPr="00D43693" w:rsidRDefault="006420CB" w:rsidP="00D43693">
      <w:pPr>
        <w:pStyle w:val="BodyText"/>
        <w:rPr>
          <w:b/>
          <w:bCs/>
        </w:rPr>
      </w:pPr>
      <w:r w:rsidRPr="00D43693">
        <w:rPr>
          <w:b/>
          <w:bCs/>
        </w:rPr>
        <w:t>Purpose of Regulation </w:t>
      </w:r>
    </w:p>
    <w:p w14:paraId="6440BA3B" w14:textId="77777777" w:rsidR="006420CB" w:rsidRPr="000F25DC" w:rsidRDefault="006420CB" w:rsidP="00D43693">
      <w:pPr>
        <w:pStyle w:val="BodyText"/>
      </w:pPr>
      <w:r w:rsidRPr="000F25DC">
        <w:t>The purpose of regulation is to ensure that career schools and colleges provide training that prepares students for gainful employment in the occupation for which they are trained. Regulation also offers consumer protection by ensuring schools are compliant with law and rule and establishing safeguards for students in the event a school ceases operations before fulfilling the training for which payment has been made. </w:t>
      </w:r>
    </w:p>
    <w:p w14:paraId="7311A731" w14:textId="77777777" w:rsidR="006420CB" w:rsidRPr="00D43693" w:rsidRDefault="006420CB" w:rsidP="00D43693">
      <w:pPr>
        <w:pStyle w:val="BodyText"/>
        <w:rPr>
          <w:b/>
          <w:bCs/>
        </w:rPr>
      </w:pPr>
      <w:r w:rsidRPr="00D43693">
        <w:rPr>
          <w:b/>
          <w:bCs/>
        </w:rPr>
        <w:t>Inspections </w:t>
      </w:r>
    </w:p>
    <w:p w14:paraId="0747E8B5" w14:textId="77777777" w:rsidR="006420CB" w:rsidRPr="000F25DC" w:rsidRDefault="006420CB" w:rsidP="00D43693">
      <w:pPr>
        <w:pStyle w:val="BodyText"/>
      </w:pPr>
      <w:r w:rsidRPr="000F25DC">
        <w:t>Integrated Service Area Managers (ISAMs) conduct on-site inspections at all regulated career schools and colleges prior to issuing an initial Certificate of Approval. An ISAM conducts technical assistance visit approximately 90 days after the school begins operations. Thereafter, visits are annual. Additional ISAM visits may be initiated in response to complaints or other regulatory concerns, and a final inspection is conducted when a school closes. All ISAM visits—including initial, 90-day, annual, and closure inspections—are conducted using a standardized protocol and method of review. When appropriate, TWC may coordinate inspections with other co-regulating agencies.  </w:t>
      </w:r>
    </w:p>
    <w:p w14:paraId="47CA7609" w14:textId="77777777" w:rsidR="006420CB" w:rsidRPr="00D43693" w:rsidRDefault="006420CB" w:rsidP="00D43693">
      <w:pPr>
        <w:pStyle w:val="BodyText"/>
        <w:rPr>
          <w:b/>
          <w:bCs/>
        </w:rPr>
      </w:pPr>
      <w:r w:rsidRPr="00D43693">
        <w:rPr>
          <w:b/>
          <w:bCs/>
        </w:rPr>
        <w:t>Compliance Actions and Enforcement Tools </w:t>
      </w:r>
    </w:p>
    <w:p w14:paraId="3D1F1B99" w14:textId="71D51AF3" w:rsidR="006420CB" w:rsidRPr="000F25DC" w:rsidRDefault="006420CB" w:rsidP="00D43693">
      <w:pPr>
        <w:pStyle w:val="BodyText"/>
      </w:pPr>
      <w:r w:rsidRPr="000F25DC">
        <w:lastRenderedPageBreak/>
        <w:t>Follow-up actions including sanctions when institutions meeting the definition of a career school or college are found to be non-compliant with the legal and regulatory requirements include the following:</w:t>
      </w:r>
    </w:p>
    <w:p w14:paraId="6D729EBC" w14:textId="77777777" w:rsidR="006420CB" w:rsidRPr="000F25DC" w:rsidRDefault="006420CB" w:rsidP="00C64851">
      <w:pPr>
        <w:pStyle w:val="BodyText"/>
        <w:numPr>
          <w:ilvl w:val="0"/>
          <w:numId w:val="883"/>
        </w:numPr>
      </w:pPr>
      <w:r w:rsidRPr="000F25DC">
        <w:t xml:space="preserve">Corrective action plans when compliance deficiencies are identified </w:t>
      </w:r>
      <w:proofErr w:type="gramStart"/>
      <w:r w:rsidRPr="000F25DC">
        <w:t>as a result of</w:t>
      </w:r>
      <w:proofErr w:type="gramEnd"/>
      <w:r w:rsidRPr="000F25DC">
        <w:t xml:space="preserve"> site visits, complaint or other investigations, or failure to maintain approvals necessary to retain licensure</w:t>
      </w:r>
      <w:r>
        <w:t>.</w:t>
      </w:r>
    </w:p>
    <w:p w14:paraId="6140908D" w14:textId="77777777" w:rsidR="006420CB" w:rsidRPr="000F25DC" w:rsidRDefault="006420CB" w:rsidP="00C64851">
      <w:pPr>
        <w:pStyle w:val="BodyText"/>
        <w:numPr>
          <w:ilvl w:val="0"/>
          <w:numId w:val="883"/>
        </w:numPr>
      </w:pPr>
      <w:r w:rsidRPr="000F25DC">
        <w:t xml:space="preserve">Refund orders when student complaints are substantiated with findings of </w:t>
      </w:r>
      <w:proofErr w:type="gramStart"/>
      <w:r w:rsidRPr="000F25DC">
        <w:t>particular violations</w:t>
      </w:r>
      <w:proofErr w:type="gramEnd"/>
      <w:r>
        <w:t>.</w:t>
      </w:r>
    </w:p>
    <w:p w14:paraId="04F64D9D" w14:textId="77777777" w:rsidR="006420CB" w:rsidRPr="000F25DC" w:rsidRDefault="006420CB" w:rsidP="00C64851">
      <w:pPr>
        <w:pStyle w:val="BodyText"/>
        <w:numPr>
          <w:ilvl w:val="0"/>
          <w:numId w:val="883"/>
        </w:numPr>
      </w:pPr>
      <w:r w:rsidRPr="000F25DC">
        <w:t>Financial penalties for certain violations</w:t>
      </w:r>
      <w:r>
        <w:t>.</w:t>
      </w:r>
    </w:p>
    <w:p w14:paraId="780C3216" w14:textId="77777777" w:rsidR="006420CB" w:rsidRPr="000F25DC" w:rsidRDefault="006420CB" w:rsidP="00C64851">
      <w:pPr>
        <w:pStyle w:val="BodyText"/>
        <w:numPr>
          <w:ilvl w:val="0"/>
          <w:numId w:val="883"/>
        </w:numPr>
      </w:pPr>
      <w:r w:rsidRPr="000F25DC">
        <w:t>Revocation of program approvals when not meeting employment rate requirements</w:t>
      </w:r>
      <w:r>
        <w:t>.</w:t>
      </w:r>
    </w:p>
    <w:p w14:paraId="06EA5CB9" w14:textId="77777777" w:rsidR="006420CB" w:rsidRPr="000F25DC" w:rsidRDefault="006420CB" w:rsidP="00C64851">
      <w:pPr>
        <w:pStyle w:val="BodyText"/>
        <w:numPr>
          <w:ilvl w:val="0"/>
          <w:numId w:val="883"/>
        </w:numPr>
      </w:pPr>
      <w:r w:rsidRPr="000F25DC">
        <w:t xml:space="preserve">Denial or revocation of licenses for schools that engage in serious violations or continue to fail to comply with requirements when directed to do </w:t>
      </w:r>
      <w:proofErr w:type="gramStart"/>
      <w:r w:rsidRPr="000F25DC">
        <w:t>so </w:t>
      </w:r>
      <w:r>
        <w:t>.</w:t>
      </w:r>
      <w:proofErr w:type="gramEnd"/>
    </w:p>
    <w:p w14:paraId="67F3D9E1" w14:textId="77777777" w:rsidR="006420CB" w:rsidRPr="000F25DC" w:rsidRDefault="006420CB" w:rsidP="00C64851">
      <w:pPr>
        <w:pStyle w:val="BodyText"/>
        <w:numPr>
          <w:ilvl w:val="0"/>
          <w:numId w:val="883"/>
        </w:numPr>
      </w:pPr>
      <w:r w:rsidRPr="000F25DC">
        <w:t>Orders to cease and desist operation if operating without approval and non-responsive to directives</w:t>
      </w:r>
      <w:r>
        <w:t>.</w:t>
      </w:r>
    </w:p>
    <w:p w14:paraId="753A7F86" w14:textId="77777777" w:rsidR="006420CB" w:rsidRPr="000F25DC" w:rsidRDefault="006420CB" w:rsidP="00D43693">
      <w:pPr>
        <w:pStyle w:val="BodyText"/>
      </w:pPr>
      <w:r w:rsidRPr="000F25DC">
        <w:t xml:space="preserve">The full range of sanctions is outlined in Texas Administrative Code, Title 40, </w:t>
      </w:r>
      <w:r>
        <w:t xml:space="preserve">Section </w:t>
      </w:r>
      <w:r w:rsidRPr="000F25DC">
        <w:t>807.351–807.353. For all compliance matters, standard deadlines for resolution are provided, along with sufficient notice and opportunity to remedy deficiencies. Enforcement actions—such as license denial or revocation—are pursued only after an institution fails to comply despite multiple opportunities to do so. Schools may appeal financial penalties, program denials, or license revocations through the administrative hearing process. </w:t>
      </w:r>
    </w:p>
    <w:p w14:paraId="5A041479" w14:textId="77777777" w:rsidR="006420CB" w:rsidRPr="00D43693" w:rsidRDefault="006420CB" w:rsidP="00D43693">
      <w:pPr>
        <w:pStyle w:val="BodyText"/>
        <w:rPr>
          <w:b/>
          <w:bCs/>
        </w:rPr>
      </w:pPr>
      <w:r w:rsidRPr="00D43693">
        <w:rPr>
          <w:b/>
          <w:bCs/>
        </w:rPr>
        <w:t>Complaint Procedures </w:t>
      </w:r>
    </w:p>
    <w:p w14:paraId="69924184" w14:textId="77777777" w:rsidR="006420CB" w:rsidRPr="000F25DC" w:rsidRDefault="006420CB" w:rsidP="00D43693">
      <w:pPr>
        <w:pStyle w:val="BodyText"/>
      </w:pPr>
      <w:r w:rsidRPr="000F25DC">
        <w:t>In accordance with Texas Administrative Code</w:t>
      </w:r>
      <w:r>
        <w:t>, Title 40, Section</w:t>
      </w:r>
      <w:r w:rsidRPr="000F25DC">
        <w:t xml:space="preserve"> 807.301, schools are required to establish a student complaint process that includes a clearly written procedure outlined in the school catalog. Complaint policies must be posted in public areas, and any unresolved complaints must be referred to TWC or the appropriate accrediting agency. </w:t>
      </w:r>
    </w:p>
    <w:p w14:paraId="3049C388" w14:textId="77777777" w:rsidR="006420CB" w:rsidRPr="000F25DC" w:rsidRDefault="006420CB" w:rsidP="00D43693">
      <w:pPr>
        <w:pStyle w:val="BodyText"/>
      </w:pPr>
      <w:r w:rsidRPr="000F25DC">
        <w:t>The complaint process is governed by Texas Administrative Code, Title 40,</w:t>
      </w:r>
      <w:r>
        <w:t xml:space="preserve"> Sections</w:t>
      </w:r>
      <w:r w:rsidRPr="000F25DC">
        <w:t xml:space="preserve"> 807.301 and 807.302. Upon receipt of a written complaint, TWC assesses whether it falls within the agency’s jurisdiction and whether investigation is feasible. If both criteria are met, the complaint is assigned to the appropriate </w:t>
      </w:r>
    </w:p>
    <w:p w14:paraId="18DF0F40" w14:textId="77777777" w:rsidR="006420CB" w:rsidRPr="000F25DC" w:rsidRDefault="006420CB" w:rsidP="00D43693">
      <w:pPr>
        <w:pStyle w:val="BodyText"/>
      </w:pPr>
      <w:r w:rsidRPr="000F25DC">
        <w:t>ISAM staff for field investigation. The investigation follows a standardized protocol, including formal correspondence with both the complainant and the school, collection of relevant documentation, and issuance of a written decision. If warranted, the decision may include directives for refunds or other corrective actions. All activity and outcomes are recorded in permanent complaint records. </w:t>
      </w:r>
    </w:p>
    <w:p w14:paraId="2A72D7B7" w14:textId="77777777" w:rsidR="006420CB" w:rsidRPr="000F25DC" w:rsidRDefault="006420CB" w:rsidP="00D43693">
      <w:pPr>
        <w:pStyle w:val="BodyText3"/>
      </w:pPr>
      <w:r w:rsidRPr="000F25DC">
        <w:lastRenderedPageBreak/>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tbl>
      <w:tblPr>
        <w:tblStyle w:val="TableGrid1"/>
        <w:tblW w:w="9330" w:type="dxa"/>
        <w:tblCellMar>
          <w:top w:w="58" w:type="dxa"/>
          <w:bottom w:w="58" w:type="dxa"/>
        </w:tblCellMar>
        <w:tblLook w:val="04A0" w:firstRow="1" w:lastRow="0" w:firstColumn="1" w:lastColumn="0" w:noHBand="0" w:noVBand="1"/>
      </w:tblPr>
      <w:tblGrid>
        <w:gridCol w:w="3315"/>
        <w:gridCol w:w="1260"/>
        <w:gridCol w:w="1170"/>
        <w:gridCol w:w="1170"/>
        <w:gridCol w:w="1260"/>
        <w:gridCol w:w="1155"/>
      </w:tblGrid>
      <w:tr w:rsidR="006420CB" w:rsidRPr="003324D5" w14:paraId="0CEB0495" w14:textId="77777777" w:rsidTr="00D43693">
        <w:trPr>
          <w:trHeight w:val="300"/>
          <w:tblHeader/>
        </w:trPr>
        <w:tc>
          <w:tcPr>
            <w:tcW w:w="3315" w:type="dxa"/>
            <w:shd w:val="clear" w:color="auto" w:fill="B8CCE4" w:themeFill="accent1" w:themeFillTint="66"/>
            <w:vAlign w:val="center"/>
            <w:hideMark/>
          </w:tcPr>
          <w:p w14:paraId="4B1DA912" w14:textId="77777777" w:rsidR="006420CB" w:rsidRPr="003324D5" w:rsidRDefault="006420CB" w:rsidP="00D43693">
            <w:pPr>
              <w:pStyle w:val="TableHeaders"/>
              <w:rPr>
                <w:rFonts w:ascii="Times New Roman" w:hAnsi="Times New Roman" w:cs="Times New Roman"/>
                <w:sz w:val="24"/>
                <w:szCs w:val="24"/>
              </w:rPr>
            </w:pPr>
            <w:r w:rsidRPr="003324D5">
              <w:t>Complaints Received by Source</w:t>
            </w:r>
          </w:p>
        </w:tc>
        <w:tc>
          <w:tcPr>
            <w:tcW w:w="1260" w:type="dxa"/>
            <w:shd w:val="clear" w:color="auto" w:fill="B8CCE4" w:themeFill="accent1" w:themeFillTint="66"/>
            <w:vAlign w:val="center"/>
            <w:hideMark/>
          </w:tcPr>
          <w:p w14:paraId="4BEBFA5E" w14:textId="77777777" w:rsidR="006420CB" w:rsidRPr="003324D5" w:rsidRDefault="006420CB" w:rsidP="00D43693">
            <w:pPr>
              <w:pStyle w:val="TableHeaders"/>
              <w:rPr>
                <w:rFonts w:ascii="Times New Roman" w:hAnsi="Times New Roman" w:cs="Times New Roman"/>
                <w:sz w:val="24"/>
                <w:szCs w:val="24"/>
              </w:rPr>
            </w:pPr>
            <w:r w:rsidRPr="003324D5">
              <w:t>FY</w:t>
            </w:r>
            <w:r>
              <w:t xml:space="preserve"> </w:t>
            </w:r>
            <w:r w:rsidRPr="003324D5">
              <w:t>2020</w:t>
            </w:r>
          </w:p>
        </w:tc>
        <w:tc>
          <w:tcPr>
            <w:tcW w:w="1170" w:type="dxa"/>
            <w:shd w:val="clear" w:color="auto" w:fill="B8CCE4" w:themeFill="accent1" w:themeFillTint="66"/>
            <w:vAlign w:val="center"/>
            <w:hideMark/>
          </w:tcPr>
          <w:p w14:paraId="36F0D864" w14:textId="77777777" w:rsidR="006420CB" w:rsidRPr="003324D5" w:rsidRDefault="006420CB" w:rsidP="00D43693">
            <w:pPr>
              <w:pStyle w:val="TableHeaders"/>
              <w:rPr>
                <w:rFonts w:ascii="Times New Roman" w:hAnsi="Times New Roman" w:cs="Times New Roman"/>
                <w:sz w:val="24"/>
                <w:szCs w:val="24"/>
              </w:rPr>
            </w:pPr>
            <w:r w:rsidRPr="003324D5">
              <w:t>FY 2021</w:t>
            </w:r>
          </w:p>
        </w:tc>
        <w:tc>
          <w:tcPr>
            <w:tcW w:w="1170" w:type="dxa"/>
            <w:shd w:val="clear" w:color="auto" w:fill="B8CCE4" w:themeFill="accent1" w:themeFillTint="66"/>
            <w:vAlign w:val="center"/>
            <w:hideMark/>
          </w:tcPr>
          <w:p w14:paraId="50AA51EA" w14:textId="77777777" w:rsidR="006420CB" w:rsidRPr="003324D5" w:rsidRDefault="006420CB" w:rsidP="00D43693">
            <w:pPr>
              <w:pStyle w:val="TableHeaders"/>
              <w:rPr>
                <w:rFonts w:ascii="Times New Roman" w:hAnsi="Times New Roman" w:cs="Times New Roman"/>
                <w:sz w:val="24"/>
                <w:szCs w:val="24"/>
              </w:rPr>
            </w:pPr>
            <w:r w:rsidRPr="003324D5">
              <w:t>FY 2022</w:t>
            </w:r>
          </w:p>
        </w:tc>
        <w:tc>
          <w:tcPr>
            <w:tcW w:w="1260" w:type="dxa"/>
            <w:shd w:val="clear" w:color="auto" w:fill="B8CCE4" w:themeFill="accent1" w:themeFillTint="66"/>
            <w:vAlign w:val="center"/>
            <w:hideMark/>
          </w:tcPr>
          <w:p w14:paraId="311552D4" w14:textId="77777777" w:rsidR="006420CB" w:rsidRPr="003324D5" w:rsidRDefault="006420CB" w:rsidP="00D43693">
            <w:pPr>
              <w:pStyle w:val="TableHeaders"/>
              <w:rPr>
                <w:rFonts w:ascii="Times New Roman" w:hAnsi="Times New Roman" w:cs="Times New Roman"/>
                <w:sz w:val="24"/>
                <w:szCs w:val="24"/>
              </w:rPr>
            </w:pPr>
            <w:r w:rsidRPr="003324D5">
              <w:t>FY 2023</w:t>
            </w:r>
          </w:p>
        </w:tc>
        <w:tc>
          <w:tcPr>
            <w:tcW w:w="1155" w:type="dxa"/>
            <w:shd w:val="clear" w:color="auto" w:fill="B8CCE4" w:themeFill="accent1" w:themeFillTint="66"/>
            <w:vAlign w:val="center"/>
            <w:hideMark/>
          </w:tcPr>
          <w:p w14:paraId="1A175A2C" w14:textId="77777777" w:rsidR="006420CB" w:rsidRPr="003324D5" w:rsidRDefault="006420CB" w:rsidP="00D43693">
            <w:pPr>
              <w:pStyle w:val="TableHeaders"/>
              <w:rPr>
                <w:rFonts w:ascii="Times New Roman" w:hAnsi="Times New Roman" w:cs="Times New Roman"/>
                <w:sz w:val="24"/>
                <w:szCs w:val="24"/>
              </w:rPr>
            </w:pPr>
            <w:r w:rsidRPr="003324D5">
              <w:t>FY 2024</w:t>
            </w:r>
          </w:p>
        </w:tc>
      </w:tr>
      <w:tr w:rsidR="006420CB" w:rsidRPr="003324D5" w14:paraId="693F8DC7" w14:textId="77777777" w:rsidTr="00CA5C2C">
        <w:trPr>
          <w:trHeight w:val="300"/>
        </w:trPr>
        <w:tc>
          <w:tcPr>
            <w:tcW w:w="3315" w:type="dxa"/>
            <w:vAlign w:val="center"/>
            <w:hideMark/>
          </w:tcPr>
          <w:p w14:paraId="2F1B7D41" w14:textId="77777777" w:rsidR="006420CB" w:rsidRPr="003324D5" w:rsidRDefault="006420CB" w:rsidP="00CA5C2C">
            <w:pPr>
              <w:pStyle w:val="TableText"/>
              <w:rPr>
                <w:rFonts w:ascii="Times New Roman" w:hAnsi="Times New Roman" w:cs="Times New Roman"/>
                <w:sz w:val="24"/>
                <w:szCs w:val="24"/>
              </w:rPr>
            </w:pPr>
            <w:r w:rsidRPr="003324D5">
              <w:t>Total Complaints Received </w:t>
            </w:r>
          </w:p>
        </w:tc>
        <w:tc>
          <w:tcPr>
            <w:tcW w:w="1260" w:type="dxa"/>
            <w:vAlign w:val="center"/>
            <w:hideMark/>
          </w:tcPr>
          <w:p w14:paraId="4CA0F823" w14:textId="77777777" w:rsidR="006420CB" w:rsidRPr="003324D5" w:rsidRDefault="006420CB" w:rsidP="00CA5C2C">
            <w:pPr>
              <w:pStyle w:val="TableText"/>
              <w:jc w:val="right"/>
              <w:rPr>
                <w:rFonts w:ascii="Times New Roman" w:hAnsi="Times New Roman" w:cs="Times New Roman"/>
                <w:sz w:val="24"/>
                <w:szCs w:val="24"/>
              </w:rPr>
            </w:pPr>
            <w:r w:rsidRPr="003324D5">
              <w:t>33 </w:t>
            </w:r>
          </w:p>
        </w:tc>
        <w:tc>
          <w:tcPr>
            <w:tcW w:w="1170" w:type="dxa"/>
            <w:vAlign w:val="center"/>
            <w:hideMark/>
          </w:tcPr>
          <w:p w14:paraId="565C222B" w14:textId="77777777" w:rsidR="006420CB" w:rsidRPr="003324D5" w:rsidRDefault="006420CB" w:rsidP="00CA5C2C">
            <w:pPr>
              <w:pStyle w:val="TableText"/>
              <w:jc w:val="right"/>
              <w:rPr>
                <w:rFonts w:ascii="Times New Roman" w:hAnsi="Times New Roman" w:cs="Times New Roman"/>
                <w:sz w:val="24"/>
                <w:szCs w:val="24"/>
              </w:rPr>
            </w:pPr>
            <w:r w:rsidRPr="003324D5">
              <w:t>28 </w:t>
            </w:r>
          </w:p>
        </w:tc>
        <w:tc>
          <w:tcPr>
            <w:tcW w:w="1170" w:type="dxa"/>
            <w:vAlign w:val="center"/>
            <w:hideMark/>
          </w:tcPr>
          <w:p w14:paraId="2797A217" w14:textId="77777777" w:rsidR="006420CB" w:rsidRPr="003324D5" w:rsidRDefault="006420CB" w:rsidP="00CA5C2C">
            <w:pPr>
              <w:pStyle w:val="TableText"/>
              <w:jc w:val="right"/>
              <w:rPr>
                <w:rFonts w:ascii="Times New Roman" w:hAnsi="Times New Roman" w:cs="Times New Roman"/>
                <w:sz w:val="24"/>
                <w:szCs w:val="24"/>
              </w:rPr>
            </w:pPr>
            <w:r w:rsidRPr="003324D5">
              <w:t>47 </w:t>
            </w:r>
          </w:p>
        </w:tc>
        <w:tc>
          <w:tcPr>
            <w:tcW w:w="1260" w:type="dxa"/>
            <w:vAlign w:val="center"/>
            <w:hideMark/>
          </w:tcPr>
          <w:p w14:paraId="7F32175B" w14:textId="77777777" w:rsidR="006420CB" w:rsidRPr="003324D5" w:rsidRDefault="006420CB" w:rsidP="00CA5C2C">
            <w:pPr>
              <w:pStyle w:val="TableText"/>
              <w:jc w:val="right"/>
              <w:rPr>
                <w:rFonts w:ascii="Times New Roman" w:hAnsi="Times New Roman" w:cs="Times New Roman"/>
                <w:sz w:val="24"/>
                <w:szCs w:val="24"/>
              </w:rPr>
            </w:pPr>
            <w:r w:rsidRPr="003324D5">
              <w:t>27 </w:t>
            </w:r>
          </w:p>
        </w:tc>
        <w:tc>
          <w:tcPr>
            <w:tcW w:w="1155" w:type="dxa"/>
            <w:vAlign w:val="center"/>
            <w:hideMark/>
          </w:tcPr>
          <w:p w14:paraId="3FB6F771" w14:textId="77777777" w:rsidR="006420CB" w:rsidRPr="003324D5" w:rsidRDefault="006420CB" w:rsidP="00CA5C2C">
            <w:pPr>
              <w:pStyle w:val="TableText"/>
              <w:jc w:val="right"/>
              <w:rPr>
                <w:rFonts w:ascii="Times New Roman" w:hAnsi="Times New Roman" w:cs="Times New Roman"/>
                <w:sz w:val="24"/>
                <w:szCs w:val="24"/>
              </w:rPr>
            </w:pPr>
            <w:r w:rsidRPr="003324D5">
              <w:t>25 </w:t>
            </w:r>
          </w:p>
        </w:tc>
      </w:tr>
      <w:tr w:rsidR="006420CB" w:rsidRPr="003324D5" w14:paraId="3FEE84F5" w14:textId="77777777" w:rsidTr="00CA5C2C">
        <w:trPr>
          <w:trHeight w:val="300"/>
        </w:trPr>
        <w:tc>
          <w:tcPr>
            <w:tcW w:w="3315" w:type="dxa"/>
            <w:vAlign w:val="center"/>
            <w:hideMark/>
          </w:tcPr>
          <w:p w14:paraId="462F026E" w14:textId="77777777" w:rsidR="006420CB" w:rsidRPr="003324D5" w:rsidRDefault="006420CB" w:rsidP="00CA5C2C">
            <w:pPr>
              <w:pStyle w:val="TableText"/>
              <w:rPr>
                <w:rFonts w:ascii="Times New Roman" w:hAnsi="Times New Roman" w:cs="Times New Roman"/>
                <w:sz w:val="24"/>
                <w:szCs w:val="24"/>
              </w:rPr>
            </w:pPr>
            <w:r w:rsidRPr="003324D5">
              <w:t xml:space="preserve">Complaints Initiated by Agency (originating from criminal history </w:t>
            </w:r>
            <w:proofErr w:type="gramStart"/>
            <w:r w:rsidRPr="003324D5">
              <w:t>checks)*</w:t>
            </w:r>
            <w:proofErr w:type="gramEnd"/>
            <w:r w:rsidRPr="003324D5">
              <w:t> </w:t>
            </w:r>
          </w:p>
        </w:tc>
        <w:tc>
          <w:tcPr>
            <w:tcW w:w="1260" w:type="dxa"/>
            <w:vAlign w:val="center"/>
            <w:hideMark/>
          </w:tcPr>
          <w:p w14:paraId="147D0876"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70" w:type="dxa"/>
            <w:vAlign w:val="center"/>
            <w:hideMark/>
          </w:tcPr>
          <w:p w14:paraId="1BBA49D2"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70" w:type="dxa"/>
            <w:vAlign w:val="center"/>
            <w:hideMark/>
          </w:tcPr>
          <w:p w14:paraId="54AEC48C"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260" w:type="dxa"/>
            <w:vAlign w:val="center"/>
            <w:hideMark/>
          </w:tcPr>
          <w:p w14:paraId="4FB6FEBB"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55" w:type="dxa"/>
            <w:vAlign w:val="center"/>
            <w:hideMark/>
          </w:tcPr>
          <w:p w14:paraId="3A573DE6" w14:textId="77777777" w:rsidR="006420CB" w:rsidRPr="003324D5" w:rsidRDefault="006420CB" w:rsidP="00CA5C2C">
            <w:pPr>
              <w:pStyle w:val="TableText"/>
              <w:jc w:val="right"/>
              <w:rPr>
                <w:rFonts w:ascii="Times New Roman" w:hAnsi="Times New Roman" w:cs="Times New Roman"/>
                <w:sz w:val="24"/>
                <w:szCs w:val="24"/>
              </w:rPr>
            </w:pPr>
            <w:r w:rsidRPr="003324D5">
              <w:t>0 </w:t>
            </w:r>
          </w:p>
        </w:tc>
      </w:tr>
      <w:tr w:rsidR="006420CB" w:rsidRPr="003324D5" w14:paraId="6767A0D9" w14:textId="77777777" w:rsidTr="00CA5C2C">
        <w:trPr>
          <w:trHeight w:val="300"/>
        </w:trPr>
        <w:tc>
          <w:tcPr>
            <w:tcW w:w="3315" w:type="dxa"/>
            <w:vAlign w:val="center"/>
            <w:hideMark/>
          </w:tcPr>
          <w:p w14:paraId="3C6F9421" w14:textId="77777777" w:rsidR="006420CB" w:rsidRPr="003324D5" w:rsidRDefault="006420CB" w:rsidP="00CA5C2C">
            <w:pPr>
              <w:pStyle w:val="TableText"/>
              <w:rPr>
                <w:rFonts w:ascii="Times New Roman" w:hAnsi="Times New Roman" w:cs="Times New Roman"/>
                <w:sz w:val="24"/>
                <w:szCs w:val="24"/>
              </w:rPr>
            </w:pPr>
            <w:r w:rsidRPr="003324D5">
              <w:t>Complaints Initiated by Agency (not originating from criminal history check) </w:t>
            </w:r>
          </w:p>
        </w:tc>
        <w:tc>
          <w:tcPr>
            <w:tcW w:w="1260" w:type="dxa"/>
            <w:vAlign w:val="center"/>
            <w:hideMark/>
          </w:tcPr>
          <w:p w14:paraId="1F9289C3"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70" w:type="dxa"/>
            <w:vAlign w:val="center"/>
            <w:hideMark/>
          </w:tcPr>
          <w:p w14:paraId="53BBB429"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70" w:type="dxa"/>
            <w:vAlign w:val="center"/>
            <w:hideMark/>
          </w:tcPr>
          <w:p w14:paraId="62FB7D2E"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260" w:type="dxa"/>
            <w:vAlign w:val="center"/>
            <w:hideMark/>
          </w:tcPr>
          <w:p w14:paraId="64FE4A51"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55" w:type="dxa"/>
            <w:vAlign w:val="center"/>
            <w:hideMark/>
          </w:tcPr>
          <w:p w14:paraId="0A75E1E4" w14:textId="77777777" w:rsidR="006420CB" w:rsidRPr="003324D5" w:rsidRDefault="006420CB" w:rsidP="00CA5C2C">
            <w:pPr>
              <w:pStyle w:val="TableText"/>
              <w:jc w:val="right"/>
              <w:rPr>
                <w:rFonts w:ascii="Times New Roman" w:hAnsi="Times New Roman" w:cs="Times New Roman"/>
                <w:sz w:val="24"/>
                <w:szCs w:val="24"/>
              </w:rPr>
            </w:pPr>
            <w:r w:rsidRPr="003324D5">
              <w:t>0 </w:t>
            </w:r>
          </w:p>
        </w:tc>
      </w:tr>
      <w:tr w:rsidR="006420CB" w:rsidRPr="003324D5" w14:paraId="25E4F931" w14:textId="77777777" w:rsidTr="00CA5C2C">
        <w:trPr>
          <w:trHeight w:val="300"/>
        </w:trPr>
        <w:tc>
          <w:tcPr>
            <w:tcW w:w="3315" w:type="dxa"/>
            <w:vAlign w:val="center"/>
            <w:hideMark/>
          </w:tcPr>
          <w:p w14:paraId="0D928771" w14:textId="77777777" w:rsidR="006420CB" w:rsidRPr="003324D5" w:rsidRDefault="006420CB" w:rsidP="00CA5C2C">
            <w:pPr>
              <w:pStyle w:val="TableText"/>
              <w:rPr>
                <w:rFonts w:ascii="Times New Roman" w:hAnsi="Times New Roman" w:cs="Times New Roman"/>
                <w:sz w:val="24"/>
                <w:szCs w:val="24"/>
              </w:rPr>
            </w:pPr>
            <w:r w:rsidRPr="003324D5">
              <w:t>Complaints Originating from Public (including other regulated persons or entities) </w:t>
            </w:r>
          </w:p>
        </w:tc>
        <w:tc>
          <w:tcPr>
            <w:tcW w:w="1260" w:type="dxa"/>
            <w:vAlign w:val="center"/>
            <w:hideMark/>
          </w:tcPr>
          <w:p w14:paraId="4962AF06" w14:textId="77777777" w:rsidR="006420CB" w:rsidRPr="003324D5" w:rsidRDefault="006420CB" w:rsidP="00CA5C2C">
            <w:pPr>
              <w:pStyle w:val="TableText"/>
              <w:jc w:val="right"/>
              <w:rPr>
                <w:rFonts w:ascii="Times New Roman" w:hAnsi="Times New Roman" w:cs="Times New Roman"/>
                <w:sz w:val="24"/>
                <w:szCs w:val="24"/>
              </w:rPr>
            </w:pPr>
            <w:r w:rsidRPr="003324D5">
              <w:t>33 </w:t>
            </w:r>
          </w:p>
        </w:tc>
        <w:tc>
          <w:tcPr>
            <w:tcW w:w="1170" w:type="dxa"/>
            <w:vAlign w:val="center"/>
            <w:hideMark/>
          </w:tcPr>
          <w:p w14:paraId="69E16320" w14:textId="77777777" w:rsidR="006420CB" w:rsidRPr="003324D5" w:rsidRDefault="006420CB" w:rsidP="00CA5C2C">
            <w:pPr>
              <w:pStyle w:val="TableText"/>
              <w:jc w:val="right"/>
              <w:rPr>
                <w:rFonts w:ascii="Times New Roman" w:hAnsi="Times New Roman" w:cs="Times New Roman"/>
                <w:sz w:val="24"/>
                <w:szCs w:val="24"/>
              </w:rPr>
            </w:pPr>
            <w:r w:rsidRPr="003324D5">
              <w:t>28 </w:t>
            </w:r>
          </w:p>
        </w:tc>
        <w:tc>
          <w:tcPr>
            <w:tcW w:w="1170" w:type="dxa"/>
            <w:vAlign w:val="center"/>
            <w:hideMark/>
          </w:tcPr>
          <w:p w14:paraId="06A4BCB0" w14:textId="77777777" w:rsidR="006420CB" w:rsidRPr="003324D5" w:rsidRDefault="006420CB" w:rsidP="00CA5C2C">
            <w:pPr>
              <w:pStyle w:val="TableText"/>
              <w:jc w:val="right"/>
              <w:rPr>
                <w:rFonts w:ascii="Times New Roman" w:hAnsi="Times New Roman" w:cs="Times New Roman"/>
                <w:sz w:val="24"/>
                <w:szCs w:val="24"/>
              </w:rPr>
            </w:pPr>
            <w:r w:rsidRPr="003324D5">
              <w:t>47 </w:t>
            </w:r>
          </w:p>
        </w:tc>
        <w:tc>
          <w:tcPr>
            <w:tcW w:w="1260" w:type="dxa"/>
            <w:vAlign w:val="center"/>
            <w:hideMark/>
          </w:tcPr>
          <w:p w14:paraId="78E75B4A" w14:textId="77777777" w:rsidR="006420CB" w:rsidRPr="003324D5" w:rsidRDefault="006420CB" w:rsidP="00CA5C2C">
            <w:pPr>
              <w:pStyle w:val="TableText"/>
              <w:jc w:val="right"/>
              <w:rPr>
                <w:rFonts w:ascii="Times New Roman" w:hAnsi="Times New Roman" w:cs="Times New Roman"/>
                <w:sz w:val="24"/>
                <w:szCs w:val="24"/>
              </w:rPr>
            </w:pPr>
            <w:r w:rsidRPr="003324D5">
              <w:t>27 </w:t>
            </w:r>
          </w:p>
        </w:tc>
        <w:tc>
          <w:tcPr>
            <w:tcW w:w="1155" w:type="dxa"/>
            <w:vAlign w:val="center"/>
            <w:hideMark/>
          </w:tcPr>
          <w:p w14:paraId="5EA61E4B" w14:textId="77777777" w:rsidR="006420CB" w:rsidRPr="003324D5" w:rsidRDefault="006420CB" w:rsidP="00CA5C2C">
            <w:pPr>
              <w:pStyle w:val="TableText"/>
              <w:jc w:val="right"/>
              <w:rPr>
                <w:rFonts w:ascii="Times New Roman" w:hAnsi="Times New Roman" w:cs="Times New Roman"/>
                <w:sz w:val="24"/>
                <w:szCs w:val="24"/>
              </w:rPr>
            </w:pPr>
            <w:r w:rsidRPr="003324D5">
              <w:t>25 </w:t>
            </w:r>
          </w:p>
        </w:tc>
      </w:tr>
      <w:tr w:rsidR="006420CB" w:rsidRPr="003324D5" w14:paraId="3645B744" w14:textId="77777777" w:rsidTr="00CA5C2C">
        <w:trPr>
          <w:trHeight w:val="300"/>
        </w:trPr>
        <w:tc>
          <w:tcPr>
            <w:tcW w:w="3315" w:type="dxa"/>
            <w:vAlign w:val="center"/>
            <w:hideMark/>
          </w:tcPr>
          <w:p w14:paraId="5C388D63" w14:textId="77777777" w:rsidR="006420CB" w:rsidRPr="003324D5" w:rsidRDefault="006420CB" w:rsidP="00CA5C2C">
            <w:pPr>
              <w:pStyle w:val="TableText"/>
              <w:rPr>
                <w:rFonts w:ascii="Times New Roman" w:hAnsi="Times New Roman" w:cs="Times New Roman"/>
                <w:sz w:val="24"/>
                <w:szCs w:val="24"/>
              </w:rPr>
            </w:pPr>
            <w:r w:rsidRPr="003324D5">
              <w:t>Complaints Originating from Other Agencies </w:t>
            </w:r>
          </w:p>
        </w:tc>
        <w:tc>
          <w:tcPr>
            <w:tcW w:w="1260" w:type="dxa"/>
            <w:vAlign w:val="center"/>
            <w:hideMark/>
          </w:tcPr>
          <w:p w14:paraId="0094FED6"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70" w:type="dxa"/>
            <w:vAlign w:val="center"/>
            <w:hideMark/>
          </w:tcPr>
          <w:p w14:paraId="6F01127C"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70" w:type="dxa"/>
            <w:vAlign w:val="center"/>
            <w:hideMark/>
          </w:tcPr>
          <w:p w14:paraId="172F087A"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260" w:type="dxa"/>
            <w:vAlign w:val="center"/>
            <w:hideMark/>
          </w:tcPr>
          <w:p w14:paraId="0264DEDB" w14:textId="77777777" w:rsidR="006420CB" w:rsidRPr="003324D5" w:rsidRDefault="006420CB" w:rsidP="00CA5C2C">
            <w:pPr>
              <w:pStyle w:val="TableText"/>
              <w:jc w:val="right"/>
              <w:rPr>
                <w:rFonts w:ascii="Times New Roman" w:hAnsi="Times New Roman" w:cs="Times New Roman"/>
                <w:sz w:val="24"/>
                <w:szCs w:val="24"/>
              </w:rPr>
            </w:pPr>
            <w:r w:rsidRPr="003324D5">
              <w:t>0 </w:t>
            </w:r>
          </w:p>
        </w:tc>
        <w:tc>
          <w:tcPr>
            <w:tcW w:w="1155" w:type="dxa"/>
            <w:vAlign w:val="center"/>
            <w:hideMark/>
          </w:tcPr>
          <w:p w14:paraId="72C62350" w14:textId="77777777" w:rsidR="006420CB" w:rsidRPr="003324D5" w:rsidRDefault="006420CB" w:rsidP="00CA5C2C">
            <w:pPr>
              <w:pStyle w:val="TableText"/>
              <w:jc w:val="right"/>
              <w:rPr>
                <w:rFonts w:ascii="Times New Roman" w:hAnsi="Times New Roman" w:cs="Times New Roman"/>
                <w:sz w:val="24"/>
                <w:szCs w:val="24"/>
              </w:rPr>
            </w:pPr>
            <w:r w:rsidRPr="003324D5">
              <w:t>0 </w:t>
            </w:r>
          </w:p>
        </w:tc>
      </w:tr>
    </w:tbl>
    <w:p w14:paraId="2B947835" w14:textId="77777777" w:rsidR="006420CB" w:rsidRPr="003324D5" w:rsidRDefault="006420CB" w:rsidP="00CA5C2C">
      <w:pPr>
        <w:pStyle w:val="BodyText"/>
        <w:rPr>
          <w:rFonts w:ascii="Segoe UI" w:hAnsi="Segoe UI" w:cs="Segoe UI"/>
          <w:sz w:val="18"/>
          <w:szCs w:val="18"/>
        </w:rPr>
      </w:pPr>
      <w:r w:rsidRPr="003324D5">
        <w:t>*Only applicable if conducting fingerprint criminal history checks </w:t>
      </w:r>
    </w:p>
    <w:tbl>
      <w:tblPr>
        <w:tblStyle w:val="TableGrid1"/>
        <w:tblW w:w="9330" w:type="dxa"/>
        <w:tblCellMar>
          <w:top w:w="58" w:type="dxa"/>
          <w:bottom w:w="58" w:type="dxa"/>
        </w:tblCellMar>
        <w:tblLook w:val="04A0" w:firstRow="1" w:lastRow="0" w:firstColumn="1" w:lastColumn="0" w:noHBand="0" w:noVBand="1"/>
      </w:tblPr>
      <w:tblGrid>
        <w:gridCol w:w="3315"/>
        <w:gridCol w:w="1260"/>
        <w:gridCol w:w="1170"/>
        <w:gridCol w:w="1170"/>
        <w:gridCol w:w="1260"/>
        <w:gridCol w:w="1155"/>
      </w:tblGrid>
      <w:tr w:rsidR="006420CB" w:rsidRPr="003324D5" w14:paraId="7FB56009" w14:textId="77777777" w:rsidTr="00CA5C2C">
        <w:trPr>
          <w:trHeight w:val="300"/>
          <w:tblHeader/>
        </w:trPr>
        <w:tc>
          <w:tcPr>
            <w:tcW w:w="3315" w:type="dxa"/>
            <w:shd w:val="clear" w:color="auto" w:fill="B8CCE4" w:themeFill="accent1" w:themeFillTint="66"/>
            <w:vAlign w:val="center"/>
            <w:hideMark/>
          </w:tcPr>
          <w:p w14:paraId="60C86579" w14:textId="77777777" w:rsidR="006420CB" w:rsidRPr="003324D5" w:rsidRDefault="006420CB" w:rsidP="00CA5C2C">
            <w:pPr>
              <w:pStyle w:val="TableHeaders"/>
              <w:rPr>
                <w:rFonts w:ascii="Times New Roman" w:hAnsi="Times New Roman" w:cs="Times New Roman"/>
                <w:sz w:val="24"/>
                <w:szCs w:val="24"/>
              </w:rPr>
            </w:pPr>
            <w:r w:rsidRPr="003324D5">
              <w:t>Disposition of Complaints</w:t>
            </w:r>
          </w:p>
        </w:tc>
        <w:tc>
          <w:tcPr>
            <w:tcW w:w="1260" w:type="dxa"/>
            <w:shd w:val="clear" w:color="auto" w:fill="B8CCE4" w:themeFill="accent1" w:themeFillTint="66"/>
            <w:vAlign w:val="center"/>
            <w:hideMark/>
          </w:tcPr>
          <w:p w14:paraId="02E9AB4D" w14:textId="77777777" w:rsidR="006420CB" w:rsidRPr="003324D5" w:rsidRDefault="006420CB" w:rsidP="00CA5C2C">
            <w:pPr>
              <w:pStyle w:val="TableHeaders"/>
              <w:rPr>
                <w:rFonts w:ascii="Times New Roman" w:hAnsi="Times New Roman" w:cs="Times New Roman"/>
                <w:sz w:val="24"/>
                <w:szCs w:val="24"/>
              </w:rPr>
            </w:pPr>
            <w:r w:rsidRPr="003324D5">
              <w:t>FY 2020</w:t>
            </w:r>
          </w:p>
        </w:tc>
        <w:tc>
          <w:tcPr>
            <w:tcW w:w="1170" w:type="dxa"/>
            <w:shd w:val="clear" w:color="auto" w:fill="B8CCE4" w:themeFill="accent1" w:themeFillTint="66"/>
            <w:vAlign w:val="center"/>
            <w:hideMark/>
          </w:tcPr>
          <w:p w14:paraId="595D625E" w14:textId="77777777" w:rsidR="006420CB" w:rsidRPr="003324D5" w:rsidRDefault="006420CB" w:rsidP="00CA5C2C">
            <w:pPr>
              <w:pStyle w:val="TableHeaders"/>
              <w:rPr>
                <w:rFonts w:ascii="Times New Roman" w:hAnsi="Times New Roman" w:cs="Times New Roman"/>
                <w:sz w:val="24"/>
                <w:szCs w:val="24"/>
              </w:rPr>
            </w:pPr>
            <w:r w:rsidRPr="003324D5">
              <w:t>FY 2021</w:t>
            </w:r>
          </w:p>
        </w:tc>
        <w:tc>
          <w:tcPr>
            <w:tcW w:w="1170" w:type="dxa"/>
            <w:shd w:val="clear" w:color="auto" w:fill="B8CCE4" w:themeFill="accent1" w:themeFillTint="66"/>
            <w:vAlign w:val="center"/>
            <w:hideMark/>
          </w:tcPr>
          <w:p w14:paraId="6E938F3B" w14:textId="77777777" w:rsidR="006420CB" w:rsidRPr="003324D5" w:rsidRDefault="006420CB" w:rsidP="00CA5C2C">
            <w:pPr>
              <w:pStyle w:val="TableHeaders"/>
              <w:rPr>
                <w:rFonts w:ascii="Times New Roman" w:hAnsi="Times New Roman" w:cs="Times New Roman"/>
                <w:sz w:val="24"/>
                <w:szCs w:val="24"/>
              </w:rPr>
            </w:pPr>
            <w:r w:rsidRPr="003324D5">
              <w:t>FY 2022</w:t>
            </w:r>
          </w:p>
        </w:tc>
        <w:tc>
          <w:tcPr>
            <w:tcW w:w="1260" w:type="dxa"/>
            <w:shd w:val="clear" w:color="auto" w:fill="B8CCE4" w:themeFill="accent1" w:themeFillTint="66"/>
            <w:vAlign w:val="center"/>
            <w:hideMark/>
          </w:tcPr>
          <w:p w14:paraId="2DEACE89" w14:textId="77777777" w:rsidR="006420CB" w:rsidRPr="003324D5" w:rsidRDefault="006420CB" w:rsidP="00CA5C2C">
            <w:pPr>
              <w:pStyle w:val="TableHeaders"/>
              <w:rPr>
                <w:rFonts w:ascii="Times New Roman" w:hAnsi="Times New Roman" w:cs="Times New Roman"/>
                <w:sz w:val="24"/>
                <w:szCs w:val="24"/>
              </w:rPr>
            </w:pPr>
            <w:r w:rsidRPr="003324D5">
              <w:t>FY 2023</w:t>
            </w:r>
          </w:p>
        </w:tc>
        <w:tc>
          <w:tcPr>
            <w:tcW w:w="1155" w:type="dxa"/>
            <w:shd w:val="clear" w:color="auto" w:fill="B8CCE4" w:themeFill="accent1" w:themeFillTint="66"/>
            <w:vAlign w:val="center"/>
            <w:hideMark/>
          </w:tcPr>
          <w:p w14:paraId="24021A3D" w14:textId="77777777" w:rsidR="006420CB" w:rsidRPr="003324D5" w:rsidRDefault="006420CB" w:rsidP="00CA5C2C">
            <w:pPr>
              <w:pStyle w:val="TableHeaders"/>
              <w:rPr>
                <w:rFonts w:ascii="Times New Roman" w:hAnsi="Times New Roman" w:cs="Times New Roman"/>
                <w:sz w:val="24"/>
                <w:szCs w:val="24"/>
              </w:rPr>
            </w:pPr>
            <w:r w:rsidRPr="003324D5">
              <w:t>FY 2024</w:t>
            </w:r>
          </w:p>
        </w:tc>
      </w:tr>
      <w:tr w:rsidR="006420CB" w:rsidRPr="003324D5" w14:paraId="2C5E9710" w14:textId="77777777" w:rsidTr="00CA5C2C">
        <w:trPr>
          <w:trHeight w:val="300"/>
        </w:trPr>
        <w:tc>
          <w:tcPr>
            <w:tcW w:w="3315" w:type="dxa"/>
            <w:vAlign w:val="center"/>
            <w:hideMark/>
          </w:tcPr>
          <w:p w14:paraId="6C323D37" w14:textId="77777777" w:rsidR="006420CB" w:rsidRPr="003324D5" w:rsidRDefault="006420CB" w:rsidP="00CA5C2C">
            <w:pPr>
              <w:pStyle w:val="TableText"/>
              <w:rPr>
                <w:rFonts w:ascii="Times New Roman" w:hAnsi="Times New Roman" w:cs="Times New Roman"/>
                <w:sz w:val="24"/>
                <w:szCs w:val="24"/>
              </w:rPr>
            </w:pPr>
            <w:r w:rsidRPr="003324D5">
              <w:t>Total Complaints Received* </w:t>
            </w:r>
          </w:p>
        </w:tc>
        <w:tc>
          <w:tcPr>
            <w:tcW w:w="1260" w:type="dxa"/>
            <w:vAlign w:val="center"/>
            <w:hideMark/>
          </w:tcPr>
          <w:p w14:paraId="5E63623C" w14:textId="77777777" w:rsidR="006420CB" w:rsidRPr="003324D5" w:rsidRDefault="006420CB" w:rsidP="00CA5C2C">
            <w:pPr>
              <w:pStyle w:val="TableText"/>
              <w:jc w:val="right"/>
              <w:rPr>
                <w:rFonts w:ascii="Times New Roman" w:hAnsi="Times New Roman" w:cs="Times New Roman"/>
                <w:sz w:val="24"/>
                <w:szCs w:val="24"/>
              </w:rPr>
            </w:pPr>
            <w:r w:rsidRPr="003324D5">
              <w:t>33 </w:t>
            </w:r>
          </w:p>
        </w:tc>
        <w:tc>
          <w:tcPr>
            <w:tcW w:w="1170" w:type="dxa"/>
            <w:vAlign w:val="center"/>
            <w:hideMark/>
          </w:tcPr>
          <w:p w14:paraId="25BC905C" w14:textId="77777777" w:rsidR="006420CB" w:rsidRPr="003324D5" w:rsidRDefault="006420CB" w:rsidP="00CA5C2C">
            <w:pPr>
              <w:pStyle w:val="TableText"/>
              <w:jc w:val="right"/>
              <w:rPr>
                <w:rFonts w:ascii="Times New Roman" w:hAnsi="Times New Roman" w:cs="Times New Roman"/>
                <w:sz w:val="24"/>
                <w:szCs w:val="24"/>
              </w:rPr>
            </w:pPr>
            <w:r w:rsidRPr="003324D5">
              <w:t>28 </w:t>
            </w:r>
          </w:p>
        </w:tc>
        <w:tc>
          <w:tcPr>
            <w:tcW w:w="1170" w:type="dxa"/>
            <w:vAlign w:val="center"/>
            <w:hideMark/>
          </w:tcPr>
          <w:p w14:paraId="4DFAD6DD" w14:textId="77777777" w:rsidR="006420CB" w:rsidRPr="003324D5" w:rsidRDefault="006420CB" w:rsidP="00CA5C2C">
            <w:pPr>
              <w:pStyle w:val="TableText"/>
              <w:jc w:val="right"/>
              <w:rPr>
                <w:rFonts w:ascii="Times New Roman" w:hAnsi="Times New Roman" w:cs="Times New Roman"/>
                <w:sz w:val="24"/>
                <w:szCs w:val="24"/>
              </w:rPr>
            </w:pPr>
            <w:r w:rsidRPr="003324D5">
              <w:t>47 </w:t>
            </w:r>
          </w:p>
        </w:tc>
        <w:tc>
          <w:tcPr>
            <w:tcW w:w="1260" w:type="dxa"/>
            <w:vAlign w:val="center"/>
            <w:hideMark/>
          </w:tcPr>
          <w:p w14:paraId="2B11B407" w14:textId="77777777" w:rsidR="006420CB" w:rsidRPr="003324D5" w:rsidRDefault="006420CB" w:rsidP="00CA5C2C">
            <w:pPr>
              <w:pStyle w:val="TableText"/>
              <w:jc w:val="right"/>
              <w:rPr>
                <w:rFonts w:ascii="Times New Roman" w:hAnsi="Times New Roman" w:cs="Times New Roman"/>
                <w:sz w:val="24"/>
                <w:szCs w:val="24"/>
              </w:rPr>
            </w:pPr>
            <w:r w:rsidRPr="003324D5">
              <w:t>27 </w:t>
            </w:r>
          </w:p>
        </w:tc>
        <w:tc>
          <w:tcPr>
            <w:tcW w:w="1155" w:type="dxa"/>
            <w:vAlign w:val="center"/>
            <w:hideMark/>
          </w:tcPr>
          <w:p w14:paraId="61343EEB" w14:textId="77777777" w:rsidR="006420CB" w:rsidRPr="003324D5" w:rsidRDefault="006420CB" w:rsidP="00CA5C2C">
            <w:pPr>
              <w:pStyle w:val="TableText"/>
              <w:jc w:val="right"/>
              <w:rPr>
                <w:rFonts w:ascii="Times New Roman" w:hAnsi="Times New Roman" w:cs="Times New Roman"/>
                <w:sz w:val="24"/>
                <w:szCs w:val="24"/>
              </w:rPr>
            </w:pPr>
            <w:r w:rsidRPr="003324D5">
              <w:t>25 </w:t>
            </w:r>
          </w:p>
        </w:tc>
      </w:tr>
      <w:tr w:rsidR="006420CB" w:rsidRPr="003324D5" w14:paraId="593CE4FD" w14:textId="77777777" w:rsidTr="00CA5C2C">
        <w:trPr>
          <w:trHeight w:val="300"/>
        </w:trPr>
        <w:tc>
          <w:tcPr>
            <w:tcW w:w="3315" w:type="dxa"/>
            <w:vAlign w:val="center"/>
            <w:hideMark/>
          </w:tcPr>
          <w:p w14:paraId="43D6048C" w14:textId="77777777" w:rsidR="006420CB" w:rsidRPr="003324D5" w:rsidRDefault="006420CB" w:rsidP="00CA5C2C">
            <w:pPr>
              <w:pStyle w:val="TableText"/>
              <w:rPr>
                <w:rFonts w:ascii="Times New Roman" w:hAnsi="Times New Roman" w:cs="Times New Roman"/>
                <w:sz w:val="24"/>
                <w:szCs w:val="24"/>
              </w:rPr>
            </w:pPr>
            <w:r w:rsidRPr="003324D5">
              <w:t>Complaints Found Jurisdictional  </w:t>
            </w:r>
          </w:p>
        </w:tc>
        <w:tc>
          <w:tcPr>
            <w:tcW w:w="1260" w:type="dxa"/>
            <w:vAlign w:val="center"/>
            <w:hideMark/>
          </w:tcPr>
          <w:p w14:paraId="0479507F" w14:textId="77777777" w:rsidR="006420CB" w:rsidRPr="003324D5" w:rsidRDefault="006420CB" w:rsidP="00CA5C2C">
            <w:pPr>
              <w:pStyle w:val="TableText"/>
              <w:jc w:val="right"/>
              <w:rPr>
                <w:rFonts w:ascii="Times New Roman" w:hAnsi="Times New Roman" w:cs="Times New Roman"/>
                <w:sz w:val="24"/>
                <w:szCs w:val="24"/>
              </w:rPr>
            </w:pPr>
            <w:r w:rsidRPr="003324D5">
              <w:t>31 </w:t>
            </w:r>
          </w:p>
        </w:tc>
        <w:tc>
          <w:tcPr>
            <w:tcW w:w="1170" w:type="dxa"/>
            <w:vAlign w:val="center"/>
            <w:hideMark/>
          </w:tcPr>
          <w:p w14:paraId="3D11BF40" w14:textId="77777777" w:rsidR="006420CB" w:rsidRPr="003324D5" w:rsidRDefault="006420CB" w:rsidP="00CA5C2C">
            <w:pPr>
              <w:pStyle w:val="TableText"/>
              <w:jc w:val="right"/>
              <w:rPr>
                <w:rFonts w:ascii="Times New Roman" w:hAnsi="Times New Roman" w:cs="Times New Roman"/>
                <w:sz w:val="24"/>
                <w:szCs w:val="24"/>
              </w:rPr>
            </w:pPr>
            <w:r w:rsidRPr="003324D5">
              <w:t>27 </w:t>
            </w:r>
          </w:p>
        </w:tc>
        <w:tc>
          <w:tcPr>
            <w:tcW w:w="1170" w:type="dxa"/>
            <w:vAlign w:val="center"/>
            <w:hideMark/>
          </w:tcPr>
          <w:p w14:paraId="6CE2CD0B" w14:textId="77777777" w:rsidR="006420CB" w:rsidRPr="003324D5" w:rsidRDefault="006420CB" w:rsidP="00CA5C2C">
            <w:pPr>
              <w:pStyle w:val="TableText"/>
              <w:jc w:val="right"/>
              <w:rPr>
                <w:rFonts w:ascii="Times New Roman" w:hAnsi="Times New Roman" w:cs="Times New Roman"/>
                <w:sz w:val="24"/>
                <w:szCs w:val="24"/>
              </w:rPr>
            </w:pPr>
            <w:r w:rsidRPr="003324D5">
              <w:t>47 </w:t>
            </w:r>
          </w:p>
        </w:tc>
        <w:tc>
          <w:tcPr>
            <w:tcW w:w="1260" w:type="dxa"/>
            <w:vAlign w:val="center"/>
            <w:hideMark/>
          </w:tcPr>
          <w:p w14:paraId="53E1142F" w14:textId="77777777" w:rsidR="006420CB" w:rsidRPr="003324D5" w:rsidRDefault="006420CB" w:rsidP="00CA5C2C">
            <w:pPr>
              <w:pStyle w:val="TableText"/>
              <w:jc w:val="right"/>
              <w:rPr>
                <w:rFonts w:ascii="Times New Roman" w:hAnsi="Times New Roman" w:cs="Times New Roman"/>
                <w:sz w:val="24"/>
                <w:szCs w:val="24"/>
              </w:rPr>
            </w:pPr>
            <w:r w:rsidRPr="003324D5">
              <w:t>26 </w:t>
            </w:r>
          </w:p>
        </w:tc>
        <w:tc>
          <w:tcPr>
            <w:tcW w:w="1155" w:type="dxa"/>
            <w:vAlign w:val="center"/>
            <w:hideMark/>
          </w:tcPr>
          <w:p w14:paraId="7CD02C35" w14:textId="77777777" w:rsidR="006420CB" w:rsidRPr="003324D5" w:rsidRDefault="006420CB" w:rsidP="00CA5C2C">
            <w:pPr>
              <w:pStyle w:val="TableText"/>
              <w:jc w:val="right"/>
              <w:rPr>
                <w:rFonts w:ascii="Times New Roman" w:hAnsi="Times New Roman" w:cs="Times New Roman"/>
                <w:sz w:val="24"/>
                <w:szCs w:val="24"/>
              </w:rPr>
            </w:pPr>
            <w:r w:rsidRPr="003324D5">
              <w:t>24 </w:t>
            </w:r>
          </w:p>
        </w:tc>
      </w:tr>
      <w:tr w:rsidR="006420CB" w:rsidRPr="003324D5" w14:paraId="44F7CEF3" w14:textId="77777777" w:rsidTr="00CA5C2C">
        <w:trPr>
          <w:trHeight w:val="300"/>
        </w:trPr>
        <w:tc>
          <w:tcPr>
            <w:tcW w:w="3315" w:type="dxa"/>
            <w:vAlign w:val="center"/>
            <w:hideMark/>
          </w:tcPr>
          <w:p w14:paraId="1029A1F1" w14:textId="77777777" w:rsidR="006420CB" w:rsidRPr="003324D5" w:rsidRDefault="006420CB" w:rsidP="00CA5C2C">
            <w:pPr>
              <w:pStyle w:val="TableText"/>
              <w:rPr>
                <w:rFonts w:ascii="Times New Roman" w:hAnsi="Times New Roman" w:cs="Times New Roman"/>
                <w:sz w:val="24"/>
                <w:szCs w:val="24"/>
              </w:rPr>
            </w:pPr>
            <w:r w:rsidRPr="003324D5">
              <w:t>Claims Found Non-Jurisdictional </w:t>
            </w:r>
          </w:p>
        </w:tc>
        <w:tc>
          <w:tcPr>
            <w:tcW w:w="1260" w:type="dxa"/>
            <w:vAlign w:val="center"/>
            <w:hideMark/>
          </w:tcPr>
          <w:p w14:paraId="283660D6" w14:textId="77777777" w:rsidR="006420CB" w:rsidRPr="003324D5" w:rsidRDefault="006420CB" w:rsidP="00CA5C2C">
            <w:pPr>
              <w:pStyle w:val="TableText"/>
              <w:jc w:val="right"/>
              <w:rPr>
                <w:rFonts w:ascii="Times New Roman" w:hAnsi="Times New Roman" w:cs="Times New Roman"/>
                <w:sz w:val="24"/>
                <w:szCs w:val="24"/>
              </w:rPr>
            </w:pPr>
            <w:r w:rsidRPr="003324D5">
              <w:t>3 </w:t>
            </w:r>
          </w:p>
        </w:tc>
        <w:tc>
          <w:tcPr>
            <w:tcW w:w="1170" w:type="dxa"/>
            <w:vAlign w:val="center"/>
            <w:hideMark/>
          </w:tcPr>
          <w:p w14:paraId="492DB3C1" w14:textId="77777777" w:rsidR="006420CB" w:rsidRPr="003324D5" w:rsidRDefault="006420CB" w:rsidP="00CA5C2C">
            <w:pPr>
              <w:pStyle w:val="TableText"/>
              <w:jc w:val="right"/>
              <w:rPr>
                <w:rFonts w:ascii="Times New Roman" w:hAnsi="Times New Roman" w:cs="Times New Roman"/>
                <w:sz w:val="24"/>
                <w:szCs w:val="24"/>
              </w:rPr>
            </w:pPr>
            <w:r w:rsidRPr="003324D5">
              <w:t>1 </w:t>
            </w:r>
          </w:p>
        </w:tc>
        <w:tc>
          <w:tcPr>
            <w:tcW w:w="1170" w:type="dxa"/>
            <w:vAlign w:val="center"/>
            <w:hideMark/>
          </w:tcPr>
          <w:p w14:paraId="7955CDEC" w14:textId="77777777" w:rsidR="006420CB" w:rsidRPr="003324D5" w:rsidRDefault="006420CB" w:rsidP="00CA5C2C">
            <w:pPr>
              <w:pStyle w:val="TableText"/>
              <w:jc w:val="right"/>
              <w:rPr>
                <w:rFonts w:ascii="Times New Roman" w:hAnsi="Times New Roman" w:cs="Times New Roman"/>
                <w:sz w:val="24"/>
                <w:szCs w:val="24"/>
              </w:rPr>
            </w:pPr>
            <w:r w:rsidRPr="003324D5">
              <w:t>1 </w:t>
            </w:r>
          </w:p>
        </w:tc>
        <w:tc>
          <w:tcPr>
            <w:tcW w:w="1260" w:type="dxa"/>
            <w:vAlign w:val="center"/>
            <w:hideMark/>
          </w:tcPr>
          <w:p w14:paraId="6BC9DCA1" w14:textId="77777777" w:rsidR="006420CB" w:rsidRPr="003324D5" w:rsidRDefault="006420CB" w:rsidP="00CA5C2C">
            <w:pPr>
              <w:pStyle w:val="TableText"/>
              <w:jc w:val="right"/>
              <w:rPr>
                <w:rFonts w:ascii="Times New Roman" w:hAnsi="Times New Roman" w:cs="Times New Roman"/>
                <w:sz w:val="24"/>
                <w:szCs w:val="24"/>
              </w:rPr>
            </w:pPr>
            <w:r w:rsidRPr="003324D5">
              <w:t>1 </w:t>
            </w:r>
          </w:p>
        </w:tc>
        <w:tc>
          <w:tcPr>
            <w:tcW w:w="1155" w:type="dxa"/>
            <w:vAlign w:val="center"/>
            <w:hideMark/>
          </w:tcPr>
          <w:p w14:paraId="3A21FD1B" w14:textId="77777777" w:rsidR="006420CB" w:rsidRPr="003324D5" w:rsidRDefault="006420CB" w:rsidP="00CA5C2C">
            <w:pPr>
              <w:pStyle w:val="TableText"/>
              <w:jc w:val="right"/>
              <w:rPr>
                <w:rFonts w:ascii="Times New Roman" w:hAnsi="Times New Roman" w:cs="Times New Roman"/>
                <w:sz w:val="24"/>
                <w:szCs w:val="24"/>
              </w:rPr>
            </w:pPr>
            <w:r w:rsidRPr="003324D5">
              <w:t>2 </w:t>
            </w:r>
          </w:p>
        </w:tc>
      </w:tr>
    </w:tbl>
    <w:p w14:paraId="71CB0775" w14:textId="43EEA294" w:rsidR="006420CB" w:rsidRPr="003324D5" w:rsidRDefault="006420CB" w:rsidP="00CE6E43">
      <w:pPr>
        <w:pStyle w:val="BodyText"/>
        <w:rPr>
          <w:rFonts w:ascii="Segoe UI" w:hAnsi="Segoe UI" w:cs="Segoe UI"/>
          <w:sz w:val="18"/>
          <w:szCs w:val="18"/>
        </w:rPr>
      </w:pPr>
      <w:r w:rsidRPr="003324D5">
        <w:t>*Since complaints may not be processed within a single fiscal year, rows below may not equal the total. Also,</w:t>
      </w:r>
      <w:r w:rsidRPr="654ADCEE">
        <w:rPr>
          <w:rFonts w:ascii="Times New Roman" w:hAnsi="Times New Roman" w:cs="Times New Roman"/>
          <w:color w:val="000000" w:themeColor="text1"/>
          <w:sz w:val="24"/>
          <w:szCs w:val="24"/>
        </w:rPr>
        <w:t xml:space="preserve"> </w:t>
      </w:r>
      <w:r w:rsidRPr="003324D5">
        <w:t>a single complaint often has multiple claims made within it. CSC's PECOS database tracks complaint disposition at claim level, therefore, complaints can have multiple dispositions, e.g., one complaint can have 3 claims and therefore have 3 different dispositional outcomes such as substantiated, unsubstantiated and indeterminate. </w:t>
      </w:r>
    </w:p>
    <w:tbl>
      <w:tblPr>
        <w:tblStyle w:val="TableGrid1"/>
        <w:tblW w:w="9330" w:type="dxa"/>
        <w:tblCellMar>
          <w:top w:w="58" w:type="dxa"/>
          <w:bottom w:w="58" w:type="dxa"/>
        </w:tblCellMar>
        <w:tblLook w:val="04A0" w:firstRow="1" w:lastRow="0" w:firstColumn="1" w:lastColumn="0" w:noHBand="0" w:noVBand="1"/>
      </w:tblPr>
      <w:tblGrid>
        <w:gridCol w:w="3405"/>
        <w:gridCol w:w="1260"/>
        <w:gridCol w:w="1170"/>
        <w:gridCol w:w="1170"/>
        <w:gridCol w:w="1170"/>
        <w:gridCol w:w="1155"/>
      </w:tblGrid>
      <w:tr w:rsidR="006420CB" w:rsidRPr="003324D5" w14:paraId="5F430DFD" w14:textId="77777777" w:rsidTr="008E6044">
        <w:trPr>
          <w:trHeight w:val="300"/>
          <w:tblHeader/>
        </w:trPr>
        <w:tc>
          <w:tcPr>
            <w:tcW w:w="3405" w:type="dxa"/>
            <w:shd w:val="clear" w:color="auto" w:fill="B8CCE4" w:themeFill="accent1" w:themeFillTint="66"/>
            <w:vAlign w:val="center"/>
            <w:hideMark/>
          </w:tcPr>
          <w:p w14:paraId="707935BA" w14:textId="77777777" w:rsidR="006420CB" w:rsidRPr="003324D5" w:rsidRDefault="006420CB" w:rsidP="00CE6E43">
            <w:pPr>
              <w:pStyle w:val="TableHeaders"/>
              <w:rPr>
                <w:rFonts w:ascii="Times New Roman" w:hAnsi="Times New Roman" w:cs="Times New Roman"/>
                <w:sz w:val="24"/>
                <w:szCs w:val="24"/>
              </w:rPr>
            </w:pPr>
            <w:r w:rsidRPr="003324D5">
              <w:t>Complaints Resolved</w:t>
            </w:r>
          </w:p>
        </w:tc>
        <w:tc>
          <w:tcPr>
            <w:tcW w:w="1260" w:type="dxa"/>
            <w:shd w:val="clear" w:color="auto" w:fill="B8CCE4" w:themeFill="accent1" w:themeFillTint="66"/>
            <w:vAlign w:val="center"/>
            <w:hideMark/>
          </w:tcPr>
          <w:p w14:paraId="750F0B91" w14:textId="77777777" w:rsidR="006420CB" w:rsidRPr="003324D5" w:rsidRDefault="006420CB" w:rsidP="00CE6E43">
            <w:pPr>
              <w:pStyle w:val="TableHeaders"/>
              <w:rPr>
                <w:rFonts w:ascii="Times New Roman" w:hAnsi="Times New Roman" w:cs="Times New Roman"/>
                <w:sz w:val="24"/>
                <w:szCs w:val="24"/>
              </w:rPr>
            </w:pPr>
            <w:r w:rsidRPr="003324D5">
              <w:t>FY 2020</w:t>
            </w:r>
          </w:p>
        </w:tc>
        <w:tc>
          <w:tcPr>
            <w:tcW w:w="1170" w:type="dxa"/>
            <w:shd w:val="clear" w:color="auto" w:fill="B8CCE4" w:themeFill="accent1" w:themeFillTint="66"/>
            <w:vAlign w:val="center"/>
            <w:hideMark/>
          </w:tcPr>
          <w:p w14:paraId="5D3BA233" w14:textId="77777777" w:rsidR="006420CB" w:rsidRPr="003324D5" w:rsidRDefault="006420CB" w:rsidP="00CE6E43">
            <w:pPr>
              <w:pStyle w:val="TableHeaders"/>
              <w:rPr>
                <w:rFonts w:ascii="Times New Roman" w:hAnsi="Times New Roman" w:cs="Times New Roman"/>
                <w:sz w:val="24"/>
                <w:szCs w:val="24"/>
              </w:rPr>
            </w:pPr>
            <w:r w:rsidRPr="003324D5">
              <w:t>FY 2021</w:t>
            </w:r>
          </w:p>
        </w:tc>
        <w:tc>
          <w:tcPr>
            <w:tcW w:w="1170" w:type="dxa"/>
            <w:shd w:val="clear" w:color="auto" w:fill="B8CCE4" w:themeFill="accent1" w:themeFillTint="66"/>
            <w:vAlign w:val="center"/>
            <w:hideMark/>
          </w:tcPr>
          <w:p w14:paraId="53CA675A" w14:textId="77777777" w:rsidR="006420CB" w:rsidRPr="003324D5" w:rsidRDefault="006420CB" w:rsidP="00CE6E43">
            <w:pPr>
              <w:pStyle w:val="TableHeaders"/>
              <w:rPr>
                <w:rFonts w:ascii="Times New Roman" w:hAnsi="Times New Roman" w:cs="Times New Roman"/>
                <w:sz w:val="24"/>
                <w:szCs w:val="24"/>
              </w:rPr>
            </w:pPr>
            <w:r w:rsidRPr="003324D5">
              <w:t>FY 2022</w:t>
            </w:r>
          </w:p>
        </w:tc>
        <w:tc>
          <w:tcPr>
            <w:tcW w:w="1170" w:type="dxa"/>
            <w:shd w:val="clear" w:color="auto" w:fill="B8CCE4" w:themeFill="accent1" w:themeFillTint="66"/>
            <w:vAlign w:val="center"/>
            <w:hideMark/>
          </w:tcPr>
          <w:p w14:paraId="16EBC5F5" w14:textId="77777777" w:rsidR="006420CB" w:rsidRPr="003324D5" w:rsidRDefault="006420CB" w:rsidP="00CE6E43">
            <w:pPr>
              <w:pStyle w:val="TableHeaders"/>
              <w:rPr>
                <w:rFonts w:ascii="Times New Roman" w:hAnsi="Times New Roman" w:cs="Times New Roman"/>
                <w:sz w:val="24"/>
                <w:szCs w:val="24"/>
              </w:rPr>
            </w:pPr>
            <w:r w:rsidRPr="003324D5">
              <w:t>FY 2023</w:t>
            </w:r>
          </w:p>
        </w:tc>
        <w:tc>
          <w:tcPr>
            <w:tcW w:w="1155" w:type="dxa"/>
            <w:shd w:val="clear" w:color="auto" w:fill="B8CCE4" w:themeFill="accent1" w:themeFillTint="66"/>
            <w:vAlign w:val="center"/>
            <w:hideMark/>
          </w:tcPr>
          <w:p w14:paraId="6E160ECF" w14:textId="77777777" w:rsidR="006420CB" w:rsidRPr="003324D5" w:rsidRDefault="006420CB" w:rsidP="00CE6E43">
            <w:pPr>
              <w:pStyle w:val="TableHeaders"/>
              <w:rPr>
                <w:rFonts w:ascii="Times New Roman" w:hAnsi="Times New Roman" w:cs="Times New Roman"/>
                <w:sz w:val="24"/>
                <w:szCs w:val="24"/>
              </w:rPr>
            </w:pPr>
            <w:r w:rsidRPr="003324D5">
              <w:t>FY 2024</w:t>
            </w:r>
          </w:p>
        </w:tc>
      </w:tr>
      <w:tr w:rsidR="006420CB" w:rsidRPr="003324D5" w14:paraId="16704CC6" w14:textId="77777777" w:rsidTr="008E6044">
        <w:trPr>
          <w:trHeight w:val="300"/>
        </w:trPr>
        <w:tc>
          <w:tcPr>
            <w:tcW w:w="3405" w:type="dxa"/>
            <w:vAlign w:val="center"/>
            <w:hideMark/>
          </w:tcPr>
          <w:p w14:paraId="2A7C873E" w14:textId="77777777" w:rsidR="006420CB" w:rsidRPr="003324D5" w:rsidRDefault="006420CB" w:rsidP="00CE6E43">
            <w:pPr>
              <w:pStyle w:val="TableText"/>
              <w:rPr>
                <w:rFonts w:ascii="Times New Roman" w:hAnsi="Times New Roman" w:cs="Times New Roman"/>
                <w:sz w:val="24"/>
                <w:szCs w:val="24"/>
              </w:rPr>
            </w:pPr>
            <w:r w:rsidRPr="003324D5">
              <w:t>Total Complaints Resolved After Investigation </w:t>
            </w:r>
          </w:p>
        </w:tc>
        <w:tc>
          <w:tcPr>
            <w:tcW w:w="1260" w:type="dxa"/>
            <w:vAlign w:val="center"/>
            <w:hideMark/>
          </w:tcPr>
          <w:p w14:paraId="065D1152" w14:textId="77777777" w:rsidR="006420CB" w:rsidRPr="003324D5" w:rsidRDefault="006420CB" w:rsidP="00CE6E43">
            <w:pPr>
              <w:pStyle w:val="TableText"/>
              <w:jc w:val="right"/>
              <w:rPr>
                <w:rFonts w:ascii="Times New Roman" w:hAnsi="Times New Roman" w:cs="Times New Roman"/>
                <w:sz w:val="24"/>
                <w:szCs w:val="24"/>
              </w:rPr>
            </w:pPr>
            <w:r w:rsidRPr="003324D5">
              <w:t>28 </w:t>
            </w:r>
          </w:p>
        </w:tc>
        <w:tc>
          <w:tcPr>
            <w:tcW w:w="1170" w:type="dxa"/>
            <w:vAlign w:val="center"/>
            <w:hideMark/>
          </w:tcPr>
          <w:p w14:paraId="3B6E2851" w14:textId="77777777" w:rsidR="006420CB" w:rsidRPr="003324D5" w:rsidRDefault="006420CB" w:rsidP="00CE6E43">
            <w:pPr>
              <w:pStyle w:val="TableText"/>
              <w:jc w:val="right"/>
              <w:rPr>
                <w:rFonts w:ascii="Times New Roman" w:hAnsi="Times New Roman" w:cs="Times New Roman"/>
                <w:sz w:val="24"/>
                <w:szCs w:val="24"/>
              </w:rPr>
            </w:pPr>
            <w:r w:rsidRPr="003324D5">
              <w:t>24 </w:t>
            </w:r>
          </w:p>
        </w:tc>
        <w:tc>
          <w:tcPr>
            <w:tcW w:w="1170" w:type="dxa"/>
            <w:vAlign w:val="center"/>
            <w:hideMark/>
          </w:tcPr>
          <w:p w14:paraId="0C0D87BE" w14:textId="77777777" w:rsidR="006420CB" w:rsidRPr="003324D5" w:rsidRDefault="006420CB" w:rsidP="00CE6E43">
            <w:pPr>
              <w:pStyle w:val="TableText"/>
              <w:jc w:val="right"/>
              <w:rPr>
                <w:rFonts w:ascii="Times New Roman" w:hAnsi="Times New Roman" w:cs="Times New Roman"/>
                <w:sz w:val="24"/>
                <w:szCs w:val="24"/>
              </w:rPr>
            </w:pPr>
            <w:r w:rsidRPr="003324D5">
              <w:t>17 </w:t>
            </w:r>
          </w:p>
        </w:tc>
        <w:tc>
          <w:tcPr>
            <w:tcW w:w="1170" w:type="dxa"/>
            <w:vAlign w:val="center"/>
            <w:hideMark/>
          </w:tcPr>
          <w:p w14:paraId="7E1D2F1B" w14:textId="77777777" w:rsidR="006420CB" w:rsidRPr="003324D5" w:rsidRDefault="006420CB" w:rsidP="00CE6E43">
            <w:pPr>
              <w:pStyle w:val="TableText"/>
              <w:jc w:val="right"/>
              <w:rPr>
                <w:rFonts w:ascii="Times New Roman" w:hAnsi="Times New Roman" w:cs="Times New Roman"/>
                <w:sz w:val="24"/>
                <w:szCs w:val="24"/>
              </w:rPr>
            </w:pPr>
            <w:r w:rsidRPr="003324D5">
              <w:t>24 </w:t>
            </w:r>
          </w:p>
        </w:tc>
        <w:tc>
          <w:tcPr>
            <w:tcW w:w="1155" w:type="dxa"/>
            <w:vAlign w:val="center"/>
            <w:hideMark/>
          </w:tcPr>
          <w:p w14:paraId="40A509A8" w14:textId="77777777" w:rsidR="006420CB" w:rsidRPr="003324D5" w:rsidRDefault="006420CB" w:rsidP="00CE6E43">
            <w:pPr>
              <w:pStyle w:val="TableText"/>
              <w:jc w:val="right"/>
              <w:rPr>
                <w:rFonts w:ascii="Times New Roman" w:hAnsi="Times New Roman" w:cs="Times New Roman"/>
                <w:sz w:val="24"/>
                <w:szCs w:val="24"/>
              </w:rPr>
            </w:pPr>
            <w:r w:rsidRPr="003324D5">
              <w:t>8 </w:t>
            </w:r>
          </w:p>
        </w:tc>
      </w:tr>
      <w:tr w:rsidR="006420CB" w:rsidRPr="003324D5" w14:paraId="0DB97A5A" w14:textId="77777777" w:rsidTr="008E6044">
        <w:trPr>
          <w:trHeight w:val="300"/>
        </w:trPr>
        <w:tc>
          <w:tcPr>
            <w:tcW w:w="3405" w:type="dxa"/>
            <w:vAlign w:val="center"/>
            <w:hideMark/>
          </w:tcPr>
          <w:p w14:paraId="6D3DFA21" w14:textId="77777777" w:rsidR="006420CB" w:rsidRPr="003324D5" w:rsidRDefault="006420CB" w:rsidP="00CE6E43">
            <w:pPr>
              <w:pStyle w:val="TableText"/>
              <w:rPr>
                <w:rFonts w:ascii="Times New Roman" w:hAnsi="Times New Roman" w:cs="Times New Roman"/>
                <w:sz w:val="24"/>
                <w:szCs w:val="24"/>
              </w:rPr>
            </w:pPr>
            <w:r w:rsidRPr="003324D5">
              <w:t>Claims Dismissed for Lack of Evidence Found in Investigation </w:t>
            </w:r>
          </w:p>
        </w:tc>
        <w:tc>
          <w:tcPr>
            <w:tcW w:w="1260" w:type="dxa"/>
            <w:vAlign w:val="center"/>
            <w:hideMark/>
          </w:tcPr>
          <w:p w14:paraId="7DB1B8A6" w14:textId="77777777" w:rsidR="006420CB" w:rsidRPr="003324D5" w:rsidRDefault="006420CB" w:rsidP="00CE6E43">
            <w:pPr>
              <w:pStyle w:val="TableText"/>
              <w:jc w:val="right"/>
              <w:rPr>
                <w:rFonts w:ascii="Times New Roman" w:hAnsi="Times New Roman" w:cs="Times New Roman"/>
                <w:sz w:val="24"/>
                <w:szCs w:val="24"/>
              </w:rPr>
            </w:pPr>
            <w:r w:rsidRPr="003324D5">
              <w:t>0 </w:t>
            </w:r>
          </w:p>
        </w:tc>
        <w:tc>
          <w:tcPr>
            <w:tcW w:w="1170" w:type="dxa"/>
            <w:vAlign w:val="center"/>
            <w:hideMark/>
          </w:tcPr>
          <w:p w14:paraId="2605B177" w14:textId="77777777" w:rsidR="006420CB" w:rsidRPr="003324D5" w:rsidRDefault="006420CB" w:rsidP="00CE6E43">
            <w:pPr>
              <w:pStyle w:val="TableText"/>
              <w:jc w:val="right"/>
              <w:rPr>
                <w:rFonts w:ascii="Times New Roman" w:hAnsi="Times New Roman" w:cs="Times New Roman"/>
                <w:sz w:val="24"/>
                <w:szCs w:val="24"/>
              </w:rPr>
            </w:pPr>
            <w:r w:rsidRPr="003324D5">
              <w:t>1 </w:t>
            </w:r>
          </w:p>
        </w:tc>
        <w:tc>
          <w:tcPr>
            <w:tcW w:w="1170" w:type="dxa"/>
            <w:vAlign w:val="center"/>
            <w:hideMark/>
          </w:tcPr>
          <w:p w14:paraId="4375F121" w14:textId="77777777" w:rsidR="006420CB" w:rsidRPr="003324D5" w:rsidRDefault="006420CB" w:rsidP="00CE6E43">
            <w:pPr>
              <w:pStyle w:val="TableText"/>
              <w:jc w:val="right"/>
              <w:rPr>
                <w:rFonts w:ascii="Times New Roman" w:hAnsi="Times New Roman" w:cs="Times New Roman"/>
                <w:sz w:val="24"/>
                <w:szCs w:val="24"/>
              </w:rPr>
            </w:pPr>
            <w:r w:rsidRPr="003324D5">
              <w:t>0 </w:t>
            </w:r>
          </w:p>
        </w:tc>
        <w:tc>
          <w:tcPr>
            <w:tcW w:w="1170" w:type="dxa"/>
            <w:vAlign w:val="center"/>
            <w:hideMark/>
          </w:tcPr>
          <w:p w14:paraId="1EB06318" w14:textId="77777777" w:rsidR="006420CB" w:rsidRPr="003324D5" w:rsidRDefault="006420CB" w:rsidP="00CE6E43">
            <w:pPr>
              <w:pStyle w:val="TableText"/>
              <w:jc w:val="right"/>
              <w:rPr>
                <w:rFonts w:ascii="Times New Roman" w:hAnsi="Times New Roman" w:cs="Times New Roman"/>
                <w:sz w:val="24"/>
                <w:szCs w:val="24"/>
              </w:rPr>
            </w:pPr>
            <w:r w:rsidRPr="003324D5">
              <w:t>2 </w:t>
            </w:r>
          </w:p>
        </w:tc>
        <w:tc>
          <w:tcPr>
            <w:tcW w:w="1155" w:type="dxa"/>
            <w:vAlign w:val="center"/>
            <w:hideMark/>
          </w:tcPr>
          <w:p w14:paraId="6FD65CF8" w14:textId="77777777" w:rsidR="006420CB" w:rsidRPr="003324D5" w:rsidRDefault="006420CB" w:rsidP="00CE6E43">
            <w:pPr>
              <w:pStyle w:val="TableText"/>
              <w:jc w:val="right"/>
              <w:rPr>
                <w:rFonts w:ascii="Times New Roman" w:hAnsi="Times New Roman" w:cs="Times New Roman"/>
                <w:sz w:val="24"/>
                <w:szCs w:val="24"/>
              </w:rPr>
            </w:pPr>
            <w:r w:rsidRPr="003324D5">
              <w:t>0 </w:t>
            </w:r>
          </w:p>
        </w:tc>
      </w:tr>
      <w:tr w:rsidR="006420CB" w:rsidRPr="003324D5" w14:paraId="29E06181" w14:textId="77777777" w:rsidTr="008E6044">
        <w:trPr>
          <w:trHeight w:val="300"/>
        </w:trPr>
        <w:tc>
          <w:tcPr>
            <w:tcW w:w="3405" w:type="dxa"/>
            <w:vAlign w:val="center"/>
            <w:hideMark/>
          </w:tcPr>
          <w:p w14:paraId="1F9783AC" w14:textId="77777777" w:rsidR="006420CB" w:rsidRPr="003324D5" w:rsidRDefault="006420CB" w:rsidP="00CE6E43">
            <w:pPr>
              <w:pStyle w:val="TableText"/>
              <w:rPr>
                <w:rFonts w:ascii="Times New Roman" w:hAnsi="Times New Roman" w:cs="Times New Roman"/>
                <w:sz w:val="24"/>
                <w:szCs w:val="24"/>
              </w:rPr>
            </w:pPr>
            <w:r w:rsidRPr="003324D5">
              <w:lastRenderedPageBreak/>
              <w:t>Claims Dismissed Due to No Violation Found in Investigation* </w:t>
            </w:r>
          </w:p>
        </w:tc>
        <w:tc>
          <w:tcPr>
            <w:tcW w:w="1260" w:type="dxa"/>
            <w:vAlign w:val="center"/>
            <w:hideMark/>
          </w:tcPr>
          <w:p w14:paraId="12A32113" w14:textId="77777777" w:rsidR="006420CB" w:rsidRPr="003324D5" w:rsidRDefault="006420CB" w:rsidP="00CE6E43">
            <w:pPr>
              <w:pStyle w:val="TableText"/>
              <w:jc w:val="right"/>
              <w:rPr>
                <w:rFonts w:ascii="Times New Roman" w:hAnsi="Times New Roman" w:cs="Times New Roman"/>
                <w:sz w:val="24"/>
                <w:szCs w:val="24"/>
              </w:rPr>
            </w:pPr>
            <w:r w:rsidRPr="003324D5">
              <w:t>22 </w:t>
            </w:r>
          </w:p>
        </w:tc>
        <w:tc>
          <w:tcPr>
            <w:tcW w:w="1170" w:type="dxa"/>
            <w:vAlign w:val="center"/>
            <w:hideMark/>
          </w:tcPr>
          <w:p w14:paraId="1738833D" w14:textId="77777777" w:rsidR="006420CB" w:rsidRPr="003324D5" w:rsidRDefault="006420CB" w:rsidP="00CE6E43">
            <w:pPr>
              <w:pStyle w:val="TableText"/>
              <w:jc w:val="right"/>
              <w:rPr>
                <w:rFonts w:ascii="Times New Roman" w:hAnsi="Times New Roman" w:cs="Times New Roman"/>
                <w:sz w:val="24"/>
                <w:szCs w:val="24"/>
              </w:rPr>
            </w:pPr>
            <w:r w:rsidRPr="003324D5">
              <w:t>12 </w:t>
            </w:r>
          </w:p>
        </w:tc>
        <w:tc>
          <w:tcPr>
            <w:tcW w:w="1170" w:type="dxa"/>
            <w:vAlign w:val="center"/>
            <w:hideMark/>
          </w:tcPr>
          <w:p w14:paraId="6E0F6A83" w14:textId="77777777" w:rsidR="006420CB" w:rsidRPr="003324D5" w:rsidRDefault="006420CB" w:rsidP="00CE6E43">
            <w:pPr>
              <w:pStyle w:val="TableText"/>
              <w:jc w:val="right"/>
              <w:rPr>
                <w:rFonts w:ascii="Times New Roman" w:hAnsi="Times New Roman" w:cs="Times New Roman"/>
                <w:sz w:val="24"/>
                <w:szCs w:val="24"/>
              </w:rPr>
            </w:pPr>
            <w:r w:rsidRPr="003324D5">
              <w:t>14 </w:t>
            </w:r>
          </w:p>
        </w:tc>
        <w:tc>
          <w:tcPr>
            <w:tcW w:w="1170" w:type="dxa"/>
            <w:vAlign w:val="center"/>
            <w:hideMark/>
          </w:tcPr>
          <w:p w14:paraId="60761BFF" w14:textId="77777777" w:rsidR="006420CB" w:rsidRPr="003324D5" w:rsidRDefault="006420CB" w:rsidP="00CE6E43">
            <w:pPr>
              <w:pStyle w:val="TableText"/>
              <w:jc w:val="right"/>
              <w:rPr>
                <w:rFonts w:ascii="Times New Roman" w:hAnsi="Times New Roman" w:cs="Times New Roman"/>
                <w:sz w:val="24"/>
                <w:szCs w:val="24"/>
              </w:rPr>
            </w:pPr>
            <w:r w:rsidRPr="003324D5">
              <w:t>9 </w:t>
            </w:r>
          </w:p>
        </w:tc>
        <w:tc>
          <w:tcPr>
            <w:tcW w:w="1155" w:type="dxa"/>
            <w:vAlign w:val="center"/>
            <w:hideMark/>
          </w:tcPr>
          <w:p w14:paraId="2E1D01F2" w14:textId="77777777" w:rsidR="006420CB" w:rsidRPr="003324D5" w:rsidRDefault="006420CB" w:rsidP="00CE6E43">
            <w:pPr>
              <w:pStyle w:val="TableText"/>
              <w:jc w:val="right"/>
              <w:rPr>
                <w:rFonts w:ascii="Times New Roman" w:hAnsi="Times New Roman" w:cs="Times New Roman"/>
                <w:sz w:val="24"/>
                <w:szCs w:val="24"/>
              </w:rPr>
            </w:pPr>
            <w:r w:rsidRPr="003324D5">
              <w:t>8 </w:t>
            </w:r>
          </w:p>
        </w:tc>
      </w:tr>
      <w:tr w:rsidR="006420CB" w:rsidRPr="003324D5" w14:paraId="09192B28" w14:textId="77777777" w:rsidTr="008E6044">
        <w:trPr>
          <w:trHeight w:val="300"/>
        </w:trPr>
        <w:tc>
          <w:tcPr>
            <w:tcW w:w="3405" w:type="dxa"/>
            <w:vAlign w:val="center"/>
            <w:hideMark/>
          </w:tcPr>
          <w:p w14:paraId="20095B5F" w14:textId="77777777" w:rsidR="006420CB" w:rsidRPr="003324D5" w:rsidRDefault="006420CB" w:rsidP="00CE6E43">
            <w:pPr>
              <w:pStyle w:val="TableText"/>
              <w:rPr>
                <w:rFonts w:ascii="Times New Roman" w:hAnsi="Times New Roman" w:cs="Times New Roman"/>
                <w:sz w:val="24"/>
                <w:szCs w:val="24"/>
              </w:rPr>
            </w:pPr>
            <w:r w:rsidRPr="003324D5">
              <w:t>Total Claims Resolved Through Informal Action </w:t>
            </w:r>
          </w:p>
        </w:tc>
        <w:tc>
          <w:tcPr>
            <w:tcW w:w="1260" w:type="dxa"/>
            <w:vAlign w:val="center"/>
            <w:hideMark/>
          </w:tcPr>
          <w:p w14:paraId="22030642" w14:textId="77777777" w:rsidR="006420CB" w:rsidRPr="003324D5" w:rsidRDefault="006420CB" w:rsidP="00CE6E43">
            <w:pPr>
              <w:pStyle w:val="TableText"/>
              <w:jc w:val="right"/>
              <w:rPr>
                <w:rFonts w:ascii="Times New Roman" w:hAnsi="Times New Roman" w:cs="Times New Roman"/>
                <w:sz w:val="24"/>
                <w:szCs w:val="24"/>
              </w:rPr>
            </w:pPr>
            <w:r w:rsidRPr="003324D5">
              <w:t>0 </w:t>
            </w:r>
          </w:p>
        </w:tc>
        <w:tc>
          <w:tcPr>
            <w:tcW w:w="1170" w:type="dxa"/>
            <w:vAlign w:val="center"/>
            <w:hideMark/>
          </w:tcPr>
          <w:p w14:paraId="6913D509" w14:textId="77777777" w:rsidR="006420CB" w:rsidRPr="003324D5" w:rsidRDefault="006420CB" w:rsidP="00CE6E43">
            <w:pPr>
              <w:pStyle w:val="TableText"/>
              <w:jc w:val="right"/>
              <w:rPr>
                <w:rFonts w:ascii="Times New Roman" w:hAnsi="Times New Roman" w:cs="Times New Roman"/>
                <w:sz w:val="24"/>
                <w:szCs w:val="24"/>
              </w:rPr>
            </w:pPr>
            <w:r w:rsidRPr="003324D5">
              <w:t>0 </w:t>
            </w:r>
          </w:p>
        </w:tc>
        <w:tc>
          <w:tcPr>
            <w:tcW w:w="1170" w:type="dxa"/>
            <w:vAlign w:val="center"/>
            <w:hideMark/>
          </w:tcPr>
          <w:p w14:paraId="38E0A9EA" w14:textId="77777777" w:rsidR="006420CB" w:rsidRPr="003324D5" w:rsidRDefault="006420CB" w:rsidP="00CE6E43">
            <w:pPr>
              <w:pStyle w:val="TableText"/>
              <w:jc w:val="right"/>
              <w:rPr>
                <w:rFonts w:ascii="Times New Roman" w:hAnsi="Times New Roman" w:cs="Times New Roman"/>
                <w:sz w:val="24"/>
                <w:szCs w:val="24"/>
              </w:rPr>
            </w:pPr>
            <w:r w:rsidRPr="003324D5">
              <w:t>0 </w:t>
            </w:r>
          </w:p>
        </w:tc>
        <w:tc>
          <w:tcPr>
            <w:tcW w:w="1170" w:type="dxa"/>
            <w:vAlign w:val="center"/>
            <w:hideMark/>
          </w:tcPr>
          <w:p w14:paraId="1DE34236" w14:textId="77777777" w:rsidR="006420CB" w:rsidRPr="003324D5" w:rsidRDefault="006420CB" w:rsidP="00CE6E43">
            <w:pPr>
              <w:pStyle w:val="TableText"/>
              <w:jc w:val="right"/>
              <w:rPr>
                <w:rFonts w:ascii="Times New Roman" w:hAnsi="Times New Roman" w:cs="Times New Roman"/>
                <w:sz w:val="24"/>
                <w:szCs w:val="24"/>
              </w:rPr>
            </w:pPr>
            <w:r w:rsidRPr="003324D5">
              <w:t>0 </w:t>
            </w:r>
          </w:p>
        </w:tc>
        <w:tc>
          <w:tcPr>
            <w:tcW w:w="1155" w:type="dxa"/>
            <w:vAlign w:val="center"/>
            <w:hideMark/>
          </w:tcPr>
          <w:p w14:paraId="326FE10B" w14:textId="77777777" w:rsidR="006420CB" w:rsidRPr="003324D5" w:rsidRDefault="006420CB" w:rsidP="00CE6E43">
            <w:pPr>
              <w:pStyle w:val="TableText"/>
              <w:jc w:val="right"/>
              <w:rPr>
                <w:rFonts w:ascii="Times New Roman" w:hAnsi="Times New Roman" w:cs="Times New Roman"/>
                <w:sz w:val="24"/>
                <w:szCs w:val="24"/>
              </w:rPr>
            </w:pPr>
            <w:r w:rsidRPr="003324D5">
              <w:t>0 </w:t>
            </w:r>
          </w:p>
        </w:tc>
      </w:tr>
      <w:tr w:rsidR="006420CB" w:rsidRPr="003324D5" w14:paraId="6154CB1B" w14:textId="77777777" w:rsidTr="008E6044">
        <w:trPr>
          <w:trHeight w:val="300"/>
        </w:trPr>
        <w:tc>
          <w:tcPr>
            <w:tcW w:w="3405" w:type="dxa"/>
            <w:vAlign w:val="center"/>
            <w:hideMark/>
          </w:tcPr>
          <w:p w14:paraId="25994DF0" w14:textId="77777777" w:rsidR="006420CB" w:rsidRPr="003324D5" w:rsidRDefault="006420CB" w:rsidP="00CE6E43">
            <w:pPr>
              <w:pStyle w:val="TableText"/>
              <w:rPr>
                <w:rFonts w:ascii="Times New Roman" w:hAnsi="Times New Roman" w:cs="Times New Roman"/>
                <w:sz w:val="24"/>
                <w:szCs w:val="24"/>
              </w:rPr>
            </w:pPr>
            <w:r w:rsidRPr="003324D5">
              <w:t>Total Claims Resolved Through Formal Action </w:t>
            </w:r>
          </w:p>
        </w:tc>
        <w:tc>
          <w:tcPr>
            <w:tcW w:w="1260" w:type="dxa"/>
            <w:vAlign w:val="center"/>
            <w:hideMark/>
          </w:tcPr>
          <w:p w14:paraId="054FB0B4" w14:textId="77777777" w:rsidR="006420CB" w:rsidRPr="003324D5" w:rsidRDefault="006420CB" w:rsidP="00CE6E43">
            <w:pPr>
              <w:pStyle w:val="TableText"/>
              <w:jc w:val="right"/>
              <w:rPr>
                <w:rFonts w:ascii="Times New Roman" w:hAnsi="Times New Roman" w:cs="Times New Roman"/>
                <w:sz w:val="24"/>
                <w:szCs w:val="24"/>
              </w:rPr>
            </w:pPr>
            <w:r w:rsidRPr="003324D5">
              <w:t>7 </w:t>
            </w:r>
          </w:p>
        </w:tc>
        <w:tc>
          <w:tcPr>
            <w:tcW w:w="1170" w:type="dxa"/>
            <w:vAlign w:val="center"/>
            <w:hideMark/>
          </w:tcPr>
          <w:p w14:paraId="5D3AABED" w14:textId="77777777" w:rsidR="006420CB" w:rsidRPr="003324D5" w:rsidRDefault="006420CB" w:rsidP="00CE6E43">
            <w:pPr>
              <w:pStyle w:val="TableText"/>
              <w:jc w:val="right"/>
              <w:rPr>
                <w:rFonts w:ascii="Times New Roman" w:hAnsi="Times New Roman" w:cs="Times New Roman"/>
                <w:sz w:val="24"/>
                <w:szCs w:val="24"/>
              </w:rPr>
            </w:pPr>
            <w:r w:rsidRPr="003324D5">
              <w:t>4 </w:t>
            </w:r>
          </w:p>
        </w:tc>
        <w:tc>
          <w:tcPr>
            <w:tcW w:w="1170" w:type="dxa"/>
            <w:vAlign w:val="center"/>
            <w:hideMark/>
          </w:tcPr>
          <w:p w14:paraId="2EE28854" w14:textId="77777777" w:rsidR="006420CB" w:rsidRPr="003324D5" w:rsidRDefault="006420CB" w:rsidP="00CE6E43">
            <w:pPr>
              <w:pStyle w:val="TableText"/>
              <w:jc w:val="right"/>
              <w:rPr>
                <w:rFonts w:ascii="Times New Roman" w:hAnsi="Times New Roman" w:cs="Times New Roman"/>
                <w:sz w:val="24"/>
                <w:szCs w:val="24"/>
              </w:rPr>
            </w:pPr>
            <w:r w:rsidRPr="003324D5">
              <w:t>1 </w:t>
            </w:r>
          </w:p>
        </w:tc>
        <w:tc>
          <w:tcPr>
            <w:tcW w:w="1170" w:type="dxa"/>
            <w:vAlign w:val="center"/>
            <w:hideMark/>
          </w:tcPr>
          <w:p w14:paraId="4394C134" w14:textId="77777777" w:rsidR="006420CB" w:rsidRPr="003324D5" w:rsidRDefault="006420CB" w:rsidP="00CE6E43">
            <w:pPr>
              <w:pStyle w:val="TableText"/>
              <w:jc w:val="right"/>
              <w:rPr>
                <w:rFonts w:ascii="Times New Roman" w:hAnsi="Times New Roman" w:cs="Times New Roman"/>
                <w:sz w:val="24"/>
                <w:szCs w:val="24"/>
              </w:rPr>
            </w:pPr>
            <w:r w:rsidRPr="003324D5">
              <w:t>2 </w:t>
            </w:r>
          </w:p>
        </w:tc>
        <w:tc>
          <w:tcPr>
            <w:tcW w:w="1155" w:type="dxa"/>
            <w:vAlign w:val="center"/>
            <w:hideMark/>
          </w:tcPr>
          <w:p w14:paraId="3CC4B4B1" w14:textId="77777777" w:rsidR="006420CB" w:rsidRPr="003324D5" w:rsidRDefault="006420CB" w:rsidP="00CE6E43">
            <w:pPr>
              <w:pStyle w:val="TableText"/>
              <w:jc w:val="right"/>
              <w:rPr>
                <w:rFonts w:ascii="Times New Roman" w:hAnsi="Times New Roman" w:cs="Times New Roman"/>
                <w:sz w:val="24"/>
                <w:szCs w:val="24"/>
              </w:rPr>
            </w:pPr>
            <w:r w:rsidRPr="003324D5">
              <w:t>0 </w:t>
            </w:r>
          </w:p>
        </w:tc>
      </w:tr>
    </w:tbl>
    <w:p w14:paraId="0D00BEBA" w14:textId="77777777" w:rsidR="006420CB" w:rsidRPr="003324D5" w:rsidRDefault="006420CB" w:rsidP="00CE6E43">
      <w:pPr>
        <w:pStyle w:val="BodyText"/>
        <w:rPr>
          <w:rFonts w:ascii="Segoe UI" w:hAnsi="Segoe UI" w:cs="Segoe UI"/>
          <w:sz w:val="18"/>
          <w:szCs w:val="18"/>
        </w:rPr>
      </w:pPr>
      <w:r w:rsidRPr="003324D5">
        <w:t>*Multiple claims can be attached to the same complaint. It is possible for one claim to be dismissed, and another claim substantiated on the same complaint. </w:t>
      </w:r>
    </w:p>
    <w:tbl>
      <w:tblPr>
        <w:tblStyle w:val="TableGrid1"/>
        <w:tblW w:w="9350" w:type="dxa"/>
        <w:tblCellMar>
          <w:top w:w="58" w:type="dxa"/>
          <w:bottom w:w="58" w:type="dxa"/>
        </w:tblCellMar>
        <w:tblLook w:val="04A0" w:firstRow="1" w:lastRow="0" w:firstColumn="1" w:lastColumn="0" w:noHBand="0" w:noVBand="1"/>
      </w:tblPr>
      <w:tblGrid>
        <w:gridCol w:w="2945"/>
        <w:gridCol w:w="1281"/>
        <w:gridCol w:w="1281"/>
        <w:gridCol w:w="1281"/>
        <w:gridCol w:w="1281"/>
        <w:gridCol w:w="1281"/>
      </w:tblGrid>
      <w:tr w:rsidR="006420CB" w:rsidRPr="003324D5" w14:paraId="35D40768" w14:textId="77777777" w:rsidTr="00CD59A9">
        <w:trPr>
          <w:trHeight w:val="300"/>
          <w:tblHeader/>
        </w:trPr>
        <w:tc>
          <w:tcPr>
            <w:tcW w:w="2945" w:type="dxa"/>
            <w:shd w:val="clear" w:color="auto" w:fill="B8CCE4" w:themeFill="accent1" w:themeFillTint="66"/>
            <w:vAlign w:val="center"/>
            <w:hideMark/>
          </w:tcPr>
          <w:p w14:paraId="0276532A" w14:textId="77777777" w:rsidR="006420CB" w:rsidRPr="003324D5" w:rsidRDefault="006420CB" w:rsidP="00CD59A9">
            <w:pPr>
              <w:pStyle w:val="TableHeaders"/>
              <w:rPr>
                <w:rFonts w:ascii="Times New Roman" w:hAnsi="Times New Roman" w:cs="Times New Roman"/>
                <w:sz w:val="24"/>
                <w:szCs w:val="24"/>
              </w:rPr>
            </w:pPr>
            <w:r w:rsidRPr="003324D5">
              <w:t>Disciplinary Actions Taken</w:t>
            </w:r>
          </w:p>
        </w:tc>
        <w:tc>
          <w:tcPr>
            <w:tcW w:w="1281" w:type="dxa"/>
            <w:shd w:val="clear" w:color="auto" w:fill="B8CCE4" w:themeFill="accent1" w:themeFillTint="66"/>
            <w:vAlign w:val="center"/>
            <w:hideMark/>
          </w:tcPr>
          <w:p w14:paraId="1061297C" w14:textId="77777777" w:rsidR="006420CB" w:rsidRPr="003324D5" w:rsidRDefault="006420CB" w:rsidP="00CD59A9">
            <w:pPr>
              <w:pStyle w:val="TableHeaders"/>
              <w:rPr>
                <w:rFonts w:ascii="Times New Roman" w:hAnsi="Times New Roman" w:cs="Times New Roman"/>
                <w:sz w:val="24"/>
                <w:szCs w:val="24"/>
              </w:rPr>
            </w:pPr>
            <w:r w:rsidRPr="003324D5">
              <w:t>FY 2020</w:t>
            </w:r>
          </w:p>
        </w:tc>
        <w:tc>
          <w:tcPr>
            <w:tcW w:w="1281" w:type="dxa"/>
            <w:shd w:val="clear" w:color="auto" w:fill="B8CCE4" w:themeFill="accent1" w:themeFillTint="66"/>
            <w:vAlign w:val="center"/>
            <w:hideMark/>
          </w:tcPr>
          <w:p w14:paraId="7A812880" w14:textId="77777777" w:rsidR="006420CB" w:rsidRPr="003324D5" w:rsidRDefault="006420CB" w:rsidP="00CD59A9">
            <w:pPr>
              <w:pStyle w:val="TableHeaders"/>
              <w:rPr>
                <w:rFonts w:ascii="Times New Roman" w:hAnsi="Times New Roman" w:cs="Times New Roman"/>
                <w:sz w:val="24"/>
                <w:szCs w:val="24"/>
              </w:rPr>
            </w:pPr>
            <w:r w:rsidRPr="003324D5">
              <w:t>FY 2021</w:t>
            </w:r>
          </w:p>
        </w:tc>
        <w:tc>
          <w:tcPr>
            <w:tcW w:w="1281" w:type="dxa"/>
            <w:shd w:val="clear" w:color="auto" w:fill="B8CCE4" w:themeFill="accent1" w:themeFillTint="66"/>
            <w:vAlign w:val="center"/>
            <w:hideMark/>
          </w:tcPr>
          <w:p w14:paraId="47FBBF05" w14:textId="77777777" w:rsidR="006420CB" w:rsidRPr="003324D5" w:rsidRDefault="006420CB" w:rsidP="00CD59A9">
            <w:pPr>
              <w:pStyle w:val="TableHeaders"/>
              <w:rPr>
                <w:rFonts w:ascii="Times New Roman" w:hAnsi="Times New Roman" w:cs="Times New Roman"/>
                <w:sz w:val="24"/>
                <w:szCs w:val="24"/>
              </w:rPr>
            </w:pPr>
            <w:r w:rsidRPr="003324D5">
              <w:t>FY 2022</w:t>
            </w:r>
          </w:p>
        </w:tc>
        <w:tc>
          <w:tcPr>
            <w:tcW w:w="1281" w:type="dxa"/>
            <w:shd w:val="clear" w:color="auto" w:fill="B8CCE4" w:themeFill="accent1" w:themeFillTint="66"/>
            <w:vAlign w:val="center"/>
            <w:hideMark/>
          </w:tcPr>
          <w:p w14:paraId="1FDBFADC" w14:textId="77777777" w:rsidR="006420CB" w:rsidRPr="003324D5" w:rsidRDefault="006420CB" w:rsidP="00CD59A9">
            <w:pPr>
              <w:pStyle w:val="TableHeaders"/>
              <w:rPr>
                <w:rFonts w:ascii="Times New Roman" w:hAnsi="Times New Roman" w:cs="Times New Roman"/>
                <w:sz w:val="24"/>
                <w:szCs w:val="24"/>
              </w:rPr>
            </w:pPr>
            <w:r w:rsidRPr="003324D5">
              <w:t>FY 2023</w:t>
            </w:r>
          </w:p>
        </w:tc>
        <w:tc>
          <w:tcPr>
            <w:tcW w:w="1281" w:type="dxa"/>
            <w:shd w:val="clear" w:color="auto" w:fill="B8CCE4" w:themeFill="accent1" w:themeFillTint="66"/>
            <w:vAlign w:val="center"/>
            <w:hideMark/>
          </w:tcPr>
          <w:p w14:paraId="55338DCE" w14:textId="77777777" w:rsidR="006420CB" w:rsidRPr="003324D5" w:rsidRDefault="006420CB" w:rsidP="00CD59A9">
            <w:pPr>
              <w:pStyle w:val="TableHeaders"/>
              <w:rPr>
                <w:rFonts w:ascii="Times New Roman" w:hAnsi="Times New Roman" w:cs="Times New Roman"/>
                <w:sz w:val="24"/>
                <w:szCs w:val="24"/>
              </w:rPr>
            </w:pPr>
            <w:r w:rsidRPr="003324D5">
              <w:t>FY 2024</w:t>
            </w:r>
          </w:p>
        </w:tc>
      </w:tr>
      <w:tr w:rsidR="006420CB" w:rsidRPr="003324D5" w14:paraId="429BBF98" w14:textId="77777777" w:rsidTr="00CD59A9">
        <w:trPr>
          <w:trHeight w:val="300"/>
        </w:trPr>
        <w:tc>
          <w:tcPr>
            <w:tcW w:w="2945" w:type="dxa"/>
            <w:vAlign w:val="center"/>
            <w:hideMark/>
          </w:tcPr>
          <w:p w14:paraId="222CE604" w14:textId="77777777" w:rsidR="006420CB" w:rsidRPr="003324D5" w:rsidRDefault="006420CB" w:rsidP="00CD59A9">
            <w:pPr>
              <w:pStyle w:val="TableText"/>
              <w:rPr>
                <w:rFonts w:ascii="Times New Roman" w:hAnsi="Times New Roman" w:cs="Times New Roman"/>
                <w:sz w:val="24"/>
                <w:szCs w:val="24"/>
              </w:rPr>
            </w:pPr>
            <w:r w:rsidRPr="003324D5">
              <w:t xml:space="preserve">Total Complaints Resolved Through Final Orders (Formal and </w:t>
            </w:r>
            <w:proofErr w:type="gramStart"/>
            <w:r w:rsidRPr="003324D5">
              <w:t>Informal)*</w:t>
            </w:r>
            <w:proofErr w:type="gramEnd"/>
            <w:r w:rsidRPr="003324D5">
              <w:t> </w:t>
            </w:r>
          </w:p>
        </w:tc>
        <w:tc>
          <w:tcPr>
            <w:tcW w:w="1281" w:type="dxa"/>
            <w:vAlign w:val="center"/>
            <w:hideMark/>
          </w:tcPr>
          <w:p w14:paraId="2F80FB00"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0229F6C9"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1EED30F2"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0C7B890A"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7A44F5EF"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630D260D" w14:textId="77777777" w:rsidTr="00CD59A9">
        <w:trPr>
          <w:trHeight w:val="300"/>
        </w:trPr>
        <w:tc>
          <w:tcPr>
            <w:tcW w:w="2945" w:type="dxa"/>
            <w:vAlign w:val="center"/>
            <w:hideMark/>
          </w:tcPr>
          <w:p w14:paraId="6C12081A" w14:textId="77777777" w:rsidR="006420CB" w:rsidRPr="003324D5" w:rsidRDefault="006420CB" w:rsidP="00CD59A9">
            <w:pPr>
              <w:pStyle w:val="TableText"/>
              <w:rPr>
                <w:rFonts w:ascii="Times New Roman" w:hAnsi="Times New Roman" w:cs="Times New Roman"/>
                <w:sz w:val="24"/>
                <w:szCs w:val="24"/>
              </w:rPr>
            </w:pPr>
            <w:r w:rsidRPr="003324D5">
              <w:rPr>
                <w:u w:val="single"/>
              </w:rPr>
              <w:t>Number</w:t>
            </w:r>
            <w:r w:rsidRPr="003324D5">
              <w:t xml:space="preserve"> of Administrative Penalties Issued </w:t>
            </w:r>
          </w:p>
        </w:tc>
        <w:tc>
          <w:tcPr>
            <w:tcW w:w="1281" w:type="dxa"/>
            <w:vAlign w:val="center"/>
            <w:hideMark/>
          </w:tcPr>
          <w:p w14:paraId="0ACDBE24" w14:textId="77777777" w:rsidR="006420CB" w:rsidRPr="003324D5" w:rsidRDefault="006420CB" w:rsidP="00CD59A9">
            <w:pPr>
              <w:pStyle w:val="TableText"/>
              <w:jc w:val="right"/>
              <w:rPr>
                <w:rFonts w:ascii="Times New Roman" w:hAnsi="Times New Roman" w:cs="Times New Roman"/>
                <w:sz w:val="24"/>
                <w:szCs w:val="24"/>
              </w:rPr>
            </w:pPr>
            <w:r w:rsidRPr="003324D5">
              <w:t>28 </w:t>
            </w:r>
          </w:p>
        </w:tc>
        <w:tc>
          <w:tcPr>
            <w:tcW w:w="1281" w:type="dxa"/>
            <w:vAlign w:val="center"/>
            <w:hideMark/>
          </w:tcPr>
          <w:p w14:paraId="120425C0" w14:textId="77777777" w:rsidR="006420CB" w:rsidRPr="003324D5" w:rsidRDefault="006420CB" w:rsidP="00CD59A9">
            <w:pPr>
              <w:pStyle w:val="TableText"/>
              <w:jc w:val="right"/>
              <w:rPr>
                <w:rFonts w:ascii="Times New Roman" w:hAnsi="Times New Roman" w:cs="Times New Roman"/>
                <w:sz w:val="24"/>
                <w:szCs w:val="24"/>
              </w:rPr>
            </w:pPr>
            <w:r w:rsidRPr="003324D5">
              <w:t>56 </w:t>
            </w:r>
          </w:p>
        </w:tc>
        <w:tc>
          <w:tcPr>
            <w:tcW w:w="1281" w:type="dxa"/>
            <w:vAlign w:val="center"/>
            <w:hideMark/>
          </w:tcPr>
          <w:p w14:paraId="4428F2D8" w14:textId="77777777" w:rsidR="006420CB" w:rsidRPr="003324D5" w:rsidRDefault="006420CB" w:rsidP="00CD59A9">
            <w:pPr>
              <w:pStyle w:val="TableText"/>
              <w:jc w:val="right"/>
              <w:rPr>
                <w:rFonts w:ascii="Times New Roman" w:hAnsi="Times New Roman" w:cs="Times New Roman"/>
                <w:sz w:val="24"/>
                <w:szCs w:val="24"/>
              </w:rPr>
            </w:pPr>
            <w:r w:rsidRPr="003324D5">
              <w:t>83 </w:t>
            </w:r>
          </w:p>
        </w:tc>
        <w:tc>
          <w:tcPr>
            <w:tcW w:w="1281" w:type="dxa"/>
            <w:vAlign w:val="center"/>
            <w:hideMark/>
          </w:tcPr>
          <w:p w14:paraId="71F915DE" w14:textId="77777777" w:rsidR="006420CB" w:rsidRPr="003324D5" w:rsidRDefault="006420CB" w:rsidP="00CD59A9">
            <w:pPr>
              <w:pStyle w:val="TableText"/>
              <w:jc w:val="right"/>
              <w:rPr>
                <w:rFonts w:ascii="Times New Roman" w:hAnsi="Times New Roman" w:cs="Times New Roman"/>
                <w:sz w:val="24"/>
                <w:szCs w:val="24"/>
              </w:rPr>
            </w:pPr>
            <w:r w:rsidRPr="003324D5">
              <w:t>71 </w:t>
            </w:r>
          </w:p>
        </w:tc>
        <w:tc>
          <w:tcPr>
            <w:tcW w:w="1281" w:type="dxa"/>
            <w:vAlign w:val="center"/>
            <w:hideMark/>
          </w:tcPr>
          <w:p w14:paraId="7BC8D7D6" w14:textId="77777777" w:rsidR="006420CB" w:rsidRPr="003324D5" w:rsidRDefault="006420CB" w:rsidP="00CD59A9">
            <w:pPr>
              <w:pStyle w:val="TableText"/>
              <w:jc w:val="right"/>
              <w:rPr>
                <w:rFonts w:ascii="Times New Roman" w:hAnsi="Times New Roman" w:cs="Times New Roman"/>
                <w:sz w:val="24"/>
                <w:szCs w:val="24"/>
              </w:rPr>
            </w:pPr>
            <w:r w:rsidRPr="003324D5">
              <w:t>33 </w:t>
            </w:r>
          </w:p>
        </w:tc>
      </w:tr>
      <w:tr w:rsidR="006420CB" w:rsidRPr="003324D5" w14:paraId="4AA276B0" w14:textId="77777777" w:rsidTr="00CD59A9">
        <w:trPr>
          <w:trHeight w:val="300"/>
        </w:trPr>
        <w:tc>
          <w:tcPr>
            <w:tcW w:w="2945" w:type="dxa"/>
            <w:vAlign w:val="center"/>
            <w:hideMark/>
          </w:tcPr>
          <w:p w14:paraId="0A799D90" w14:textId="77777777" w:rsidR="006420CB" w:rsidRPr="003324D5" w:rsidRDefault="006420CB" w:rsidP="00CD59A9">
            <w:pPr>
              <w:pStyle w:val="TableText"/>
              <w:rPr>
                <w:rFonts w:ascii="Times New Roman" w:hAnsi="Times New Roman" w:cs="Times New Roman"/>
                <w:sz w:val="24"/>
                <w:szCs w:val="24"/>
              </w:rPr>
            </w:pPr>
            <w:r w:rsidRPr="003324D5">
              <w:rPr>
                <w:u w:val="single"/>
              </w:rPr>
              <w:t>Total Amount</w:t>
            </w:r>
            <w:r w:rsidRPr="003324D5">
              <w:t xml:space="preserve"> of Administrative Penalties </w:t>
            </w:r>
            <w:r w:rsidRPr="003324D5">
              <w:rPr>
                <w:u w:val="single"/>
              </w:rPr>
              <w:t>Issued</w:t>
            </w:r>
            <w:r w:rsidRPr="003324D5">
              <w:t> </w:t>
            </w:r>
          </w:p>
        </w:tc>
        <w:tc>
          <w:tcPr>
            <w:tcW w:w="1281" w:type="dxa"/>
            <w:vAlign w:val="center"/>
            <w:hideMark/>
          </w:tcPr>
          <w:p w14:paraId="769E52CF"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2DBC390"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3EA4899"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DEFF4E4"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992AA77"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02BFAB1F" w14:textId="77777777" w:rsidTr="00CD59A9">
        <w:trPr>
          <w:trHeight w:val="300"/>
        </w:trPr>
        <w:tc>
          <w:tcPr>
            <w:tcW w:w="2945" w:type="dxa"/>
            <w:vAlign w:val="center"/>
            <w:hideMark/>
          </w:tcPr>
          <w:p w14:paraId="55B02783" w14:textId="77777777" w:rsidR="006420CB" w:rsidRPr="003324D5" w:rsidRDefault="006420CB" w:rsidP="00CD59A9">
            <w:pPr>
              <w:pStyle w:val="TableText"/>
              <w:rPr>
                <w:rFonts w:ascii="Times New Roman" w:hAnsi="Times New Roman" w:cs="Times New Roman"/>
                <w:sz w:val="24"/>
                <w:szCs w:val="24"/>
              </w:rPr>
            </w:pPr>
            <w:r w:rsidRPr="003324D5">
              <w:rPr>
                <w:u w:val="single"/>
              </w:rPr>
              <w:t>Total Amount</w:t>
            </w:r>
            <w:r w:rsidRPr="003324D5">
              <w:t xml:space="preserve"> of Administrative Penalties </w:t>
            </w:r>
            <w:r w:rsidRPr="003324D5">
              <w:rPr>
                <w:u w:val="single"/>
              </w:rPr>
              <w:t>Collected</w:t>
            </w:r>
            <w:r w:rsidRPr="003324D5">
              <w:t> </w:t>
            </w:r>
          </w:p>
        </w:tc>
        <w:tc>
          <w:tcPr>
            <w:tcW w:w="1281" w:type="dxa"/>
            <w:vAlign w:val="center"/>
            <w:hideMark/>
          </w:tcPr>
          <w:p w14:paraId="61E8A3CE" w14:textId="77777777" w:rsidR="006420CB" w:rsidRPr="003324D5" w:rsidRDefault="006420CB" w:rsidP="00CD59A9">
            <w:pPr>
              <w:pStyle w:val="TableText"/>
              <w:jc w:val="right"/>
              <w:rPr>
                <w:rFonts w:ascii="Times New Roman" w:hAnsi="Times New Roman" w:cs="Times New Roman"/>
                <w:sz w:val="24"/>
                <w:szCs w:val="24"/>
              </w:rPr>
            </w:pPr>
            <w:r w:rsidRPr="003324D5">
              <w:t>$32,334.00 </w:t>
            </w:r>
          </w:p>
        </w:tc>
        <w:tc>
          <w:tcPr>
            <w:tcW w:w="1281" w:type="dxa"/>
            <w:vAlign w:val="center"/>
            <w:hideMark/>
          </w:tcPr>
          <w:p w14:paraId="34E10029" w14:textId="77777777" w:rsidR="006420CB" w:rsidRPr="003324D5" w:rsidRDefault="006420CB" w:rsidP="00CD59A9">
            <w:pPr>
              <w:pStyle w:val="TableText"/>
              <w:jc w:val="right"/>
              <w:rPr>
                <w:rFonts w:ascii="Times New Roman" w:hAnsi="Times New Roman" w:cs="Times New Roman"/>
                <w:sz w:val="24"/>
                <w:szCs w:val="24"/>
              </w:rPr>
            </w:pPr>
            <w:r w:rsidRPr="003324D5">
              <w:t>$54,200.00 </w:t>
            </w:r>
          </w:p>
        </w:tc>
        <w:tc>
          <w:tcPr>
            <w:tcW w:w="1281" w:type="dxa"/>
            <w:vAlign w:val="center"/>
            <w:hideMark/>
          </w:tcPr>
          <w:p w14:paraId="36CFF512" w14:textId="77777777" w:rsidR="006420CB" w:rsidRPr="003324D5" w:rsidRDefault="006420CB" w:rsidP="00CD59A9">
            <w:pPr>
              <w:pStyle w:val="TableText"/>
              <w:jc w:val="right"/>
              <w:rPr>
                <w:rFonts w:ascii="Times New Roman" w:hAnsi="Times New Roman" w:cs="Times New Roman"/>
                <w:sz w:val="24"/>
                <w:szCs w:val="24"/>
              </w:rPr>
            </w:pPr>
            <w:r w:rsidRPr="003324D5">
              <w:t>$68,987.50 </w:t>
            </w:r>
          </w:p>
        </w:tc>
        <w:tc>
          <w:tcPr>
            <w:tcW w:w="1281" w:type="dxa"/>
            <w:vAlign w:val="center"/>
            <w:hideMark/>
          </w:tcPr>
          <w:p w14:paraId="62F974A6" w14:textId="77777777" w:rsidR="006420CB" w:rsidRPr="003324D5" w:rsidRDefault="006420CB" w:rsidP="00CD59A9">
            <w:pPr>
              <w:pStyle w:val="TableText"/>
              <w:jc w:val="right"/>
              <w:rPr>
                <w:rFonts w:ascii="Times New Roman" w:hAnsi="Times New Roman" w:cs="Times New Roman"/>
                <w:sz w:val="24"/>
                <w:szCs w:val="24"/>
              </w:rPr>
            </w:pPr>
            <w:r w:rsidRPr="003324D5">
              <w:t>$57,750.00 </w:t>
            </w:r>
          </w:p>
        </w:tc>
        <w:tc>
          <w:tcPr>
            <w:tcW w:w="1281" w:type="dxa"/>
            <w:vAlign w:val="center"/>
            <w:hideMark/>
          </w:tcPr>
          <w:p w14:paraId="16FCFE97" w14:textId="77777777" w:rsidR="006420CB" w:rsidRPr="003324D5" w:rsidRDefault="006420CB" w:rsidP="00CD59A9">
            <w:pPr>
              <w:pStyle w:val="TableText"/>
              <w:jc w:val="right"/>
              <w:rPr>
                <w:rFonts w:ascii="Times New Roman" w:hAnsi="Times New Roman" w:cs="Times New Roman"/>
                <w:sz w:val="24"/>
                <w:szCs w:val="24"/>
              </w:rPr>
            </w:pPr>
            <w:r w:rsidRPr="003324D5">
              <w:t>$28,250.00 </w:t>
            </w:r>
          </w:p>
        </w:tc>
      </w:tr>
      <w:tr w:rsidR="006420CB" w:rsidRPr="003324D5" w14:paraId="1C61A670" w14:textId="77777777" w:rsidTr="00CD59A9">
        <w:trPr>
          <w:trHeight w:val="300"/>
        </w:trPr>
        <w:tc>
          <w:tcPr>
            <w:tcW w:w="2945" w:type="dxa"/>
            <w:vAlign w:val="center"/>
            <w:hideMark/>
          </w:tcPr>
          <w:p w14:paraId="0E146396" w14:textId="77777777" w:rsidR="006420CB" w:rsidRPr="003324D5" w:rsidRDefault="006420CB" w:rsidP="00CD59A9">
            <w:pPr>
              <w:pStyle w:val="TableText"/>
              <w:rPr>
                <w:rFonts w:ascii="Times New Roman" w:hAnsi="Times New Roman" w:cs="Times New Roman"/>
                <w:sz w:val="24"/>
                <w:szCs w:val="24"/>
              </w:rPr>
            </w:pPr>
            <w:r w:rsidRPr="003324D5">
              <w:rPr>
                <w:u w:val="single"/>
              </w:rPr>
              <w:t>Average Amount</w:t>
            </w:r>
            <w:r w:rsidRPr="003324D5">
              <w:t xml:space="preserve"> of Administrative Penalties</w:t>
            </w:r>
            <w:r w:rsidRPr="003324D5">
              <w:rPr>
                <w:u w:val="single"/>
              </w:rPr>
              <w:t xml:space="preserve"> Issued</w:t>
            </w:r>
            <w:r w:rsidRPr="003324D5">
              <w:t> </w:t>
            </w:r>
          </w:p>
        </w:tc>
        <w:tc>
          <w:tcPr>
            <w:tcW w:w="1281" w:type="dxa"/>
            <w:vAlign w:val="center"/>
            <w:hideMark/>
          </w:tcPr>
          <w:p w14:paraId="3F3D2220"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2752EBAF"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3286C0C"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0C5C92C"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2EC37B65"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6DB848CA" w14:textId="77777777" w:rsidTr="00CD59A9">
        <w:trPr>
          <w:trHeight w:val="300"/>
        </w:trPr>
        <w:tc>
          <w:tcPr>
            <w:tcW w:w="2945" w:type="dxa"/>
            <w:vAlign w:val="center"/>
            <w:hideMark/>
          </w:tcPr>
          <w:p w14:paraId="693ADADF" w14:textId="77777777" w:rsidR="006420CB" w:rsidRPr="003324D5" w:rsidRDefault="006420CB" w:rsidP="00CD59A9">
            <w:pPr>
              <w:pStyle w:val="TableText"/>
              <w:rPr>
                <w:rFonts w:ascii="Times New Roman" w:hAnsi="Times New Roman" w:cs="Times New Roman"/>
                <w:sz w:val="24"/>
                <w:szCs w:val="24"/>
              </w:rPr>
            </w:pPr>
            <w:r w:rsidRPr="003324D5">
              <w:rPr>
                <w:u w:val="single"/>
              </w:rPr>
              <w:t>Average Amount</w:t>
            </w:r>
            <w:r w:rsidRPr="003324D5">
              <w:t xml:space="preserve"> of Administrative Penalties </w:t>
            </w:r>
            <w:r w:rsidRPr="003324D5">
              <w:rPr>
                <w:u w:val="single"/>
              </w:rPr>
              <w:t>Collected</w:t>
            </w:r>
            <w:r w:rsidRPr="003324D5">
              <w:t> </w:t>
            </w:r>
          </w:p>
        </w:tc>
        <w:tc>
          <w:tcPr>
            <w:tcW w:w="1281" w:type="dxa"/>
            <w:vAlign w:val="center"/>
            <w:hideMark/>
          </w:tcPr>
          <w:p w14:paraId="11EB8218" w14:textId="77777777" w:rsidR="006420CB" w:rsidRPr="003324D5" w:rsidRDefault="006420CB" w:rsidP="00CD59A9">
            <w:pPr>
              <w:pStyle w:val="TableText"/>
              <w:jc w:val="right"/>
              <w:rPr>
                <w:rFonts w:ascii="Times New Roman" w:hAnsi="Times New Roman" w:cs="Times New Roman"/>
                <w:sz w:val="24"/>
                <w:szCs w:val="24"/>
              </w:rPr>
            </w:pPr>
            <w:r w:rsidRPr="003324D5">
              <w:t>$1,154,79 </w:t>
            </w:r>
          </w:p>
        </w:tc>
        <w:tc>
          <w:tcPr>
            <w:tcW w:w="1281" w:type="dxa"/>
            <w:vAlign w:val="center"/>
            <w:hideMark/>
          </w:tcPr>
          <w:p w14:paraId="12EA8779" w14:textId="77777777" w:rsidR="006420CB" w:rsidRPr="003324D5" w:rsidRDefault="006420CB" w:rsidP="00CD59A9">
            <w:pPr>
              <w:pStyle w:val="TableText"/>
              <w:jc w:val="right"/>
              <w:rPr>
                <w:rFonts w:ascii="Times New Roman" w:hAnsi="Times New Roman" w:cs="Times New Roman"/>
                <w:sz w:val="24"/>
                <w:szCs w:val="24"/>
              </w:rPr>
            </w:pPr>
            <w:r w:rsidRPr="003324D5">
              <w:t>$967.86 </w:t>
            </w:r>
          </w:p>
        </w:tc>
        <w:tc>
          <w:tcPr>
            <w:tcW w:w="1281" w:type="dxa"/>
            <w:vAlign w:val="center"/>
            <w:hideMark/>
          </w:tcPr>
          <w:p w14:paraId="4A5BDBA3" w14:textId="77777777" w:rsidR="006420CB" w:rsidRPr="003324D5" w:rsidRDefault="006420CB" w:rsidP="00CD59A9">
            <w:pPr>
              <w:pStyle w:val="TableText"/>
              <w:jc w:val="right"/>
              <w:rPr>
                <w:rFonts w:ascii="Times New Roman" w:hAnsi="Times New Roman" w:cs="Times New Roman"/>
                <w:sz w:val="24"/>
                <w:szCs w:val="24"/>
              </w:rPr>
            </w:pPr>
            <w:r w:rsidRPr="003324D5">
              <w:t>$831.17 </w:t>
            </w:r>
          </w:p>
        </w:tc>
        <w:tc>
          <w:tcPr>
            <w:tcW w:w="1281" w:type="dxa"/>
            <w:vAlign w:val="center"/>
            <w:hideMark/>
          </w:tcPr>
          <w:p w14:paraId="4105DC46" w14:textId="77777777" w:rsidR="006420CB" w:rsidRPr="003324D5" w:rsidRDefault="006420CB" w:rsidP="00CD59A9">
            <w:pPr>
              <w:pStyle w:val="TableText"/>
              <w:jc w:val="right"/>
              <w:rPr>
                <w:rFonts w:ascii="Times New Roman" w:hAnsi="Times New Roman" w:cs="Times New Roman"/>
                <w:sz w:val="24"/>
                <w:szCs w:val="24"/>
              </w:rPr>
            </w:pPr>
            <w:r w:rsidRPr="003324D5">
              <w:t>$813.38 </w:t>
            </w:r>
          </w:p>
        </w:tc>
        <w:tc>
          <w:tcPr>
            <w:tcW w:w="1281" w:type="dxa"/>
            <w:vAlign w:val="center"/>
            <w:hideMark/>
          </w:tcPr>
          <w:p w14:paraId="18E03E07" w14:textId="77777777" w:rsidR="006420CB" w:rsidRPr="003324D5" w:rsidRDefault="006420CB" w:rsidP="00CD59A9">
            <w:pPr>
              <w:pStyle w:val="TableText"/>
              <w:jc w:val="right"/>
              <w:rPr>
                <w:rFonts w:ascii="Times New Roman" w:hAnsi="Times New Roman" w:cs="Times New Roman"/>
                <w:sz w:val="24"/>
                <w:szCs w:val="24"/>
              </w:rPr>
            </w:pPr>
            <w:r w:rsidRPr="003324D5">
              <w:t>$856.06 </w:t>
            </w:r>
          </w:p>
        </w:tc>
      </w:tr>
      <w:tr w:rsidR="006420CB" w:rsidRPr="003324D5" w14:paraId="28D3B7E1" w14:textId="77777777" w:rsidTr="00CD59A9">
        <w:trPr>
          <w:trHeight w:val="300"/>
        </w:trPr>
        <w:tc>
          <w:tcPr>
            <w:tcW w:w="2945" w:type="dxa"/>
            <w:vAlign w:val="center"/>
            <w:hideMark/>
          </w:tcPr>
          <w:p w14:paraId="51CD5AB4" w14:textId="77777777" w:rsidR="006420CB" w:rsidRPr="003324D5" w:rsidRDefault="006420CB" w:rsidP="00CD59A9">
            <w:pPr>
              <w:pStyle w:val="TableText"/>
              <w:rPr>
                <w:rFonts w:ascii="Times New Roman" w:hAnsi="Times New Roman" w:cs="Times New Roman"/>
                <w:sz w:val="24"/>
                <w:szCs w:val="24"/>
              </w:rPr>
            </w:pPr>
            <w:r w:rsidRPr="003324D5">
              <w:t>Warnings </w:t>
            </w:r>
          </w:p>
        </w:tc>
        <w:tc>
          <w:tcPr>
            <w:tcW w:w="1281" w:type="dxa"/>
            <w:vAlign w:val="center"/>
            <w:hideMark/>
          </w:tcPr>
          <w:p w14:paraId="4E1D85D4"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5DA3F912"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76970652"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1ADA6F61"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48EF8BD1"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1AB6E108" w14:textId="77777777" w:rsidTr="00CD59A9">
        <w:trPr>
          <w:trHeight w:val="300"/>
        </w:trPr>
        <w:tc>
          <w:tcPr>
            <w:tcW w:w="2945" w:type="dxa"/>
            <w:vAlign w:val="center"/>
            <w:hideMark/>
          </w:tcPr>
          <w:p w14:paraId="5D41FC3E" w14:textId="77777777" w:rsidR="006420CB" w:rsidRPr="003324D5" w:rsidRDefault="006420CB" w:rsidP="00CD59A9">
            <w:pPr>
              <w:pStyle w:val="TableText"/>
              <w:rPr>
                <w:rFonts w:ascii="Times New Roman" w:hAnsi="Times New Roman" w:cs="Times New Roman"/>
                <w:sz w:val="24"/>
                <w:szCs w:val="24"/>
              </w:rPr>
            </w:pPr>
            <w:r w:rsidRPr="003324D5">
              <w:t>Reprimands </w:t>
            </w:r>
          </w:p>
        </w:tc>
        <w:tc>
          <w:tcPr>
            <w:tcW w:w="1281" w:type="dxa"/>
            <w:vAlign w:val="center"/>
            <w:hideMark/>
          </w:tcPr>
          <w:p w14:paraId="4776B7A1"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06F84EA"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414ACE4A"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6DD8B915"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2E41506B"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5505ADDA" w14:textId="77777777" w:rsidTr="00CD59A9">
        <w:trPr>
          <w:trHeight w:val="300"/>
        </w:trPr>
        <w:tc>
          <w:tcPr>
            <w:tcW w:w="2945" w:type="dxa"/>
            <w:vAlign w:val="center"/>
            <w:hideMark/>
          </w:tcPr>
          <w:p w14:paraId="74E3A04F" w14:textId="77777777" w:rsidR="006420CB" w:rsidRPr="003324D5" w:rsidRDefault="006420CB" w:rsidP="00CD59A9">
            <w:pPr>
              <w:pStyle w:val="TableText"/>
              <w:rPr>
                <w:rFonts w:ascii="Times New Roman" w:hAnsi="Times New Roman" w:cs="Times New Roman"/>
                <w:sz w:val="24"/>
                <w:szCs w:val="24"/>
              </w:rPr>
            </w:pPr>
            <w:r w:rsidRPr="003324D5">
              <w:t>Suspensions </w:t>
            </w:r>
          </w:p>
        </w:tc>
        <w:tc>
          <w:tcPr>
            <w:tcW w:w="1281" w:type="dxa"/>
            <w:vAlign w:val="center"/>
            <w:hideMark/>
          </w:tcPr>
          <w:p w14:paraId="5B89DD93"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53063960"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0D40413"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50AD0B77"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199DC7C6"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6BCE5279" w14:textId="77777777" w:rsidTr="00CD59A9">
        <w:trPr>
          <w:trHeight w:val="300"/>
        </w:trPr>
        <w:tc>
          <w:tcPr>
            <w:tcW w:w="2945" w:type="dxa"/>
            <w:vAlign w:val="center"/>
            <w:hideMark/>
          </w:tcPr>
          <w:p w14:paraId="55EB6381" w14:textId="77777777" w:rsidR="006420CB" w:rsidRPr="003324D5" w:rsidRDefault="006420CB" w:rsidP="00CD59A9">
            <w:pPr>
              <w:pStyle w:val="TableText"/>
              <w:rPr>
                <w:rFonts w:ascii="Times New Roman" w:hAnsi="Times New Roman" w:cs="Times New Roman"/>
                <w:sz w:val="24"/>
                <w:szCs w:val="24"/>
              </w:rPr>
            </w:pPr>
            <w:r w:rsidRPr="003324D5">
              <w:t>Probated Suspensions </w:t>
            </w:r>
          </w:p>
        </w:tc>
        <w:tc>
          <w:tcPr>
            <w:tcW w:w="1281" w:type="dxa"/>
            <w:vAlign w:val="center"/>
            <w:hideMark/>
          </w:tcPr>
          <w:p w14:paraId="42552780"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57D938F5"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436AF894"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79CF1CFB"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1997B382"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2ABD0988" w14:textId="77777777" w:rsidTr="00CD59A9">
        <w:trPr>
          <w:trHeight w:val="300"/>
        </w:trPr>
        <w:tc>
          <w:tcPr>
            <w:tcW w:w="2945" w:type="dxa"/>
            <w:vAlign w:val="center"/>
            <w:hideMark/>
          </w:tcPr>
          <w:p w14:paraId="653EDA66" w14:textId="77777777" w:rsidR="006420CB" w:rsidRPr="003324D5" w:rsidRDefault="006420CB" w:rsidP="00CD59A9">
            <w:pPr>
              <w:pStyle w:val="TableText"/>
              <w:rPr>
                <w:rFonts w:ascii="Times New Roman" w:hAnsi="Times New Roman" w:cs="Times New Roman"/>
                <w:sz w:val="24"/>
                <w:szCs w:val="24"/>
              </w:rPr>
            </w:pPr>
            <w:r w:rsidRPr="003324D5">
              <w:t>Revocations </w:t>
            </w:r>
          </w:p>
        </w:tc>
        <w:tc>
          <w:tcPr>
            <w:tcW w:w="1281" w:type="dxa"/>
            <w:vAlign w:val="center"/>
            <w:hideMark/>
          </w:tcPr>
          <w:p w14:paraId="374D715E"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102F5B8"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59997420"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6F08D91F"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417E70E0"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6EE5F810" w14:textId="77777777" w:rsidTr="00CD59A9">
        <w:trPr>
          <w:trHeight w:val="300"/>
        </w:trPr>
        <w:tc>
          <w:tcPr>
            <w:tcW w:w="2945" w:type="dxa"/>
            <w:vAlign w:val="center"/>
            <w:hideMark/>
          </w:tcPr>
          <w:p w14:paraId="31237D2D" w14:textId="77777777" w:rsidR="006420CB" w:rsidRPr="003324D5" w:rsidRDefault="006420CB" w:rsidP="00CD59A9">
            <w:pPr>
              <w:pStyle w:val="TableText"/>
              <w:rPr>
                <w:rFonts w:ascii="Times New Roman" w:hAnsi="Times New Roman" w:cs="Times New Roman"/>
                <w:sz w:val="24"/>
                <w:szCs w:val="24"/>
              </w:rPr>
            </w:pPr>
            <w:r w:rsidRPr="003324D5">
              <w:t>Remedial Plans (if applicable) </w:t>
            </w:r>
          </w:p>
        </w:tc>
        <w:tc>
          <w:tcPr>
            <w:tcW w:w="1281" w:type="dxa"/>
            <w:vAlign w:val="center"/>
            <w:hideMark/>
          </w:tcPr>
          <w:p w14:paraId="3985E7DD"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611CCBD2"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28C41C85"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0686DD02"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7ED93C29"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r w:rsidR="006420CB" w:rsidRPr="003324D5" w14:paraId="02CBC04A" w14:textId="77777777" w:rsidTr="00CD59A9">
        <w:trPr>
          <w:trHeight w:val="300"/>
        </w:trPr>
        <w:tc>
          <w:tcPr>
            <w:tcW w:w="2945" w:type="dxa"/>
            <w:vAlign w:val="center"/>
            <w:hideMark/>
          </w:tcPr>
          <w:p w14:paraId="076A71BB" w14:textId="77777777" w:rsidR="006420CB" w:rsidRPr="003324D5" w:rsidRDefault="006420CB" w:rsidP="00CD59A9">
            <w:pPr>
              <w:pStyle w:val="TableText"/>
              <w:rPr>
                <w:rFonts w:ascii="Times New Roman" w:hAnsi="Times New Roman" w:cs="Times New Roman"/>
                <w:sz w:val="24"/>
                <w:szCs w:val="24"/>
              </w:rPr>
            </w:pPr>
            <w:r w:rsidRPr="003324D5">
              <w:t xml:space="preserve">(Other Disciplinary Action – </w:t>
            </w:r>
            <w:proofErr w:type="gramStart"/>
            <w:r w:rsidRPr="003324D5">
              <w:t>Specify)*</w:t>
            </w:r>
            <w:proofErr w:type="gramEnd"/>
            <w:r w:rsidRPr="003324D5">
              <w:t>* </w:t>
            </w:r>
          </w:p>
        </w:tc>
        <w:tc>
          <w:tcPr>
            <w:tcW w:w="1281" w:type="dxa"/>
            <w:vAlign w:val="center"/>
            <w:hideMark/>
          </w:tcPr>
          <w:p w14:paraId="1999C669"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B5D7BD1"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0C63DA52"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6DBB23A6" w14:textId="77777777" w:rsidR="006420CB" w:rsidRPr="003324D5" w:rsidRDefault="006420CB" w:rsidP="00CD59A9">
            <w:pPr>
              <w:pStyle w:val="TableText"/>
              <w:jc w:val="right"/>
              <w:rPr>
                <w:rFonts w:ascii="Times New Roman" w:hAnsi="Times New Roman" w:cs="Times New Roman"/>
                <w:sz w:val="24"/>
                <w:szCs w:val="24"/>
              </w:rPr>
            </w:pPr>
            <w:r w:rsidRPr="003324D5">
              <w:t>0 </w:t>
            </w:r>
          </w:p>
        </w:tc>
        <w:tc>
          <w:tcPr>
            <w:tcW w:w="1281" w:type="dxa"/>
            <w:vAlign w:val="center"/>
            <w:hideMark/>
          </w:tcPr>
          <w:p w14:paraId="3F53896C" w14:textId="77777777" w:rsidR="006420CB" w:rsidRPr="003324D5" w:rsidRDefault="006420CB" w:rsidP="00CD59A9">
            <w:pPr>
              <w:pStyle w:val="TableText"/>
              <w:jc w:val="right"/>
              <w:rPr>
                <w:rFonts w:ascii="Times New Roman" w:hAnsi="Times New Roman" w:cs="Times New Roman"/>
                <w:sz w:val="24"/>
                <w:szCs w:val="24"/>
              </w:rPr>
            </w:pPr>
            <w:r w:rsidRPr="003324D5">
              <w:t>0 </w:t>
            </w:r>
          </w:p>
        </w:tc>
      </w:tr>
    </w:tbl>
    <w:p w14:paraId="5D9C985E" w14:textId="6DD776F4" w:rsidR="006420CB" w:rsidRPr="003324D5" w:rsidRDefault="006420CB" w:rsidP="00CD59A9">
      <w:pPr>
        <w:pStyle w:val="BodyText"/>
        <w:rPr>
          <w:rFonts w:ascii="Segoe UI" w:hAnsi="Segoe UI" w:cs="Segoe UI"/>
          <w:sz w:val="18"/>
          <w:szCs w:val="18"/>
        </w:rPr>
      </w:pPr>
      <w:r w:rsidRPr="003324D5">
        <w:t>* Since complaints may not be processed within a single fiscal year, rows below may not equal the total </w:t>
      </w:r>
    </w:p>
    <w:tbl>
      <w:tblPr>
        <w:tblStyle w:val="TableGrid1"/>
        <w:tblW w:w="9345" w:type="dxa"/>
        <w:tblCellMar>
          <w:top w:w="58" w:type="dxa"/>
          <w:bottom w:w="58" w:type="dxa"/>
        </w:tblCellMar>
        <w:tblLook w:val="04A0" w:firstRow="1" w:lastRow="0" w:firstColumn="1" w:lastColumn="0" w:noHBand="0" w:noVBand="1"/>
      </w:tblPr>
      <w:tblGrid>
        <w:gridCol w:w="3315"/>
        <w:gridCol w:w="1260"/>
        <w:gridCol w:w="1170"/>
        <w:gridCol w:w="1170"/>
        <w:gridCol w:w="1260"/>
        <w:gridCol w:w="1170"/>
      </w:tblGrid>
      <w:tr w:rsidR="006420CB" w:rsidRPr="003324D5" w14:paraId="133762A3" w14:textId="77777777" w:rsidTr="003742CD">
        <w:trPr>
          <w:trHeight w:val="300"/>
        </w:trPr>
        <w:tc>
          <w:tcPr>
            <w:tcW w:w="3315" w:type="dxa"/>
            <w:shd w:val="clear" w:color="auto" w:fill="B8CCE4" w:themeFill="accent1" w:themeFillTint="66"/>
            <w:vAlign w:val="center"/>
            <w:hideMark/>
          </w:tcPr>
          <w:p w14:paraId="7BF68BA9" w14:textId="788EA0DB" w:rsidR="006420CB" w:rsidRPr="003324D5" w:rsidRDefault="006420CB" w:rsidP="00CD59A9">
            <w:pPr>
              <w:pStyle w:val="TableHeaders"/>
              <w:rPr>
                <w:rFonts w:ascii="Times New Roman" w:hAnsi="Times New Roman" w:cs="Times New Roman"/>
                <w:sz w:val="24"/>
                <w:szCs w:val="24"/>
              </w:rPr>
            </w:pPr>
            <w:r w:rsidRPr="003324D5">
              <w:t>Timelines for Enforcement Actions</w:t>
            </w:r>
          </w:p>
        </w:tc>
        <w:tc>
          <w:tcPr>
            <w:tcW w:w="1260" w:type="dxa"/>
            <w:shd w:val="clear" w:color="auto" w:fill="B8CCE4" w:themeFill="accent1" w:themeFillTint="66"/>
            <w:vAlign w:val="center"/>
            <w:hideMark/>
          </w:tcPr>
          <w:p w14:paraId="3C58DD9D" w14:textId="12BDFA61" w:rsidR="006420CB" w:rsidRPr="003324D5" w:rsidRDefault="006420CB" w:rsidP="00CD59A9">
            <w:pPr>
              <w:pStyle w:val="TableHeaders"/>
              <w:rPr>
                <w:rFonts w:ascii="Times New Roman" w:hAnsi="Times New Roman" w:cs="Times New Roman"/>
                <w:sz w:val="24"/>
                <w:szCs w:val="24"/>
              </w:rPr>
            </w:pPr>
            <w:r w:rsidRPr="003324D5">
              <w:t>FY 2020</w:t>
            </w:r>
          </w:p>
        </w:tc>
        <w:tc>
          <w:tcPr>
            <w:tcW w:w="1170" w:type="dxa"/>
            <w:shd w:val="clear" w:color="auto" w:fill="B8CCE4" w:themeFill="accent1" w:themeFillTint="66"/>
            <w:vAlign w:val="center"/>
            <w:hideMark/>
          </w:tcPr>
          <w:p w14:paraId="383A9665" w14:textId="1D3B28CB" w:rsidR="006420CB" w:rsidRPr="003324D5" w:rsidRDefault="006420CB" w:rsidP="00CD59A9">
            <w:pPr>
              <w:pStyle w:val="TableHeaders"/>
              <w:rPr>
                <w:rFonts w:ascii="Times New Roman" w:hAnsi="Times New Roman" w:cs="Times New Roman"/>
                <w:sz w:val="24"/>
                <w:szCs w:val="24"/>
              </w:rPr>
            </w:pPr>
            <w:r w:rsidRPr="003324D5">
              <w:t>FY 2021</w:t>
            </w:r>
          </w:p>
        </w:tc>
        <w:tc>
          <w:tcPr>
            <w:tcW w:w="1170" w:type="dxa"/>
            <w:shd w:val="clear" w:color="auto" w:fill="B8CCE4" w:themeFill="accent1" w:themeFillTint="66"/>
            <w:vAlign w:val="center"/>
            <w:hideMark/>
          </w:tcPr>
          <w:p w14:paraId="3AA869AC" w14:textId="0198A727" w:rsidR="006420CB" w:rsidRPr="003324D5" w:rsidRDefault="006420CB" w:rsidP="00CD59A9">
            <w:pPr>
              <w:pStyle w:val="TableHeaders"/>
              <w:rPr>
                <w:rFonts w:ascii="Times New Roman" w:hAnsi="Times New Roman" w:cs="Times New Roman"/>
                <w:sz w:val="24"/>
                <w:szCs w:val="24"/>
              </w:rPr>
            </w:pPr>
            <w:r w:rsidRPr="003324D5">
              <w:t>FY 2022</w:t>
            </w:r>
          </w:p>
        </w:tc>
        <w:tc>
          <w:tcPr>
            <w:tcW w:w="1260" w:type="dxa"/>
            <w:shd w:val="clear" w:color="auto" w:fill="B8CCE4" w:themeFill="accent1" w:themeFillTint="66"/>
            <w:vAlign w:val="center"/>
            <w:hideMark/>
          </w:tcPr>
          <w:p w14:paraId="69EAC22D" w14:textId="58512782" w:rsidR="006420CB" w:rsidRPr="003324D5" w:rsidRDefault="006420CB" w:rsidP="00CD59A9">
            <w:pPr>
              <w:pStyle w:val="TableHeaders"/>
              <w:rPr>
                <w:rFonts w:ascii="Times New Roman" w:hAnsi="Times New Roman" w:cs="Times New Roman"/>
                <w:sz w:val="24"/>
                <w:szCs w:val="24"/>
              </w:rPr>
            </w:pPr>
            <w:r w:rsidRPr="003324D5">
              <w:t>FY 2023</w:t>
            </w:r>
          </w:p>
        </w:tc>
        <w:tc>
          <w:tcPr>
            <w:tcW w:w="1170" w:type="dxa"/>
            <w:shd w:val="clear" w:color="auto" w:fill="B8CCE4" w:themeFill="accent1" w:themeFillTint="66"/>
            <w:vAlign w:val="center"/>
            <w:hideMark/>
          </w:tcPr>
          <w:p w14:paraId="6E281841" w14:textId="3C6583BD" w:rsidR="006420CB" w:rsidRPr="003324D5" w:rsidRDefault="006420CB" w:rsidP="00CD59A9">
            <w:pPr>
              <w:pStyle w:val="TableHeaders"/>
              <w:rPr>
                <w:rFonts w:ascii="Times New Roman" w:hAnsi="Times New Roman" w:cs="Times New Roman"/>
                <w:sz w:val="24"/>
                <w:szCs w:val="24"/>
              </w:rPr>
            </w:pPr>
            <w:r w:rsidRPr="003324D5">
              <w:t>FY 2024</w:t>
            </w:r>
          </w:p>
        </w:tc>
      </w:tr>
      <w:tr w:rsidR="006420CB" w:rsidRPr="003324D5" w14:paraId="30725FD2" w14:textId="77777777" w:rsidTr="009678E9">
        <w:trPr>
          <w:trHeight w:val="300"/>
        </w:trPr>
        <w:tc>
          <w:tcPr>
            <w:tcW w:w="3315" w:type="dxa"/>
            <w:vAlign w:val="center"/>
            <w:hideMark/>
          </w:tcPr>
          <w:p w14:paraId="138706AB" w14:textId="77777777" w:rsidR="006420CB" w:rsidRPr="003324D5" w:rsidRDefault="006420CB" w:rsidP="003742CD">
            <w:pPr>
              <w:pStyle w:val="TableText"/>
              <w:rPr>
                <w:rFonts w:ascii="Times New Roman" w:hAnsi="Times New Roman" w:cs="Times New Roman"/>
                <w:sz w:val="24"/>
                <w:szCs w:val="24"/>
              </w:rPr>
            </w:pPr>
            <w:r w:rsidRPr="003324D5">
              <w:t>Average Days from Complaint Received to Final Resolution </w:t>
            </w:r>
          </w:p>
        </w:tc>
        <w:tc>
          <w:tcPr>
            <w:tcW w:w="1260" w:type="dxa"/>
            <w:vAlign w:val="center"/>
            <w:hideMark/>
          </w:tcPr>
          <w:p w14:paraId="3E178711" w14:textId="77777777" w:rsidR="006420CB" w:rsidRPr="003324D5" w:rsidRDefault="006420CB" w:rsidP="009678E9">
            <w:pPr>
              <w:pStyle w:val="TableText"/>
              <w:jc w:val="right"/>
              <w:rPr>
                <w:rFonts w:ascii="Times New Roman" w:hAnsi="Times New Roman" w:cs="Times New Roman"/>
                <w:sz w:val="24"/>
                <w:szCs w:val="24"/>
              </w:rPr>
            </w:pPr>
            <w:r w:rsidRPr="003324D5">
              <w:t>114 </w:t>
            </w:r>
          </w:p>
        </w:tc>
        <w:tc>
          <w:tcPr>
            <w:tcW w:w="1170" w:type="dxa"/>
            <w:vAlign w:val="center"/>
            <w:hideMark/>
          </w:tcPr>
          <w:p w14:paraId="27A572D1" w14:textId="77777777" w:rsidR="006420CB" w:rsidRPr="003324D5" w:rsidRDefault="006420CB" w:rsidP="009678E9">
            <w:pPr>
              <w:pStyle w:val="TableText"/>
              <w:jc w:val="right"/>
              <w:rPr>
                <w:rFonts w:ascii="Times New Roman" w:hAnsi="Times New Roman" w:cs="Times New Roman"/>
                <w:sz w:val="24"/>
                <w:szCs w:val="24"/>
              </w:rPr>
            </w:pPr>
            <w:r w:rsidRPr="003324D5">
              <w:t>64 </w:t>
            </w:r>
          </w:p>
        </w:tc>
        <w:tc>
          <w:tcPr>
            <w:tcW w:w="1170" w:type="dxa"/>
            <w:vAlign w:val="center"/>
            <w:hideMark/>
          </w:tcPr>
          <w:p w14:paraId="11327506" w14:textId="77777777" w:rsidR="006420CB" w:rsidRPr="003324D5" w:rsidRDefault="006420CB" w:rsidP="009678E9">
            <w:pPr>
              <w:pStyle w:val="TableText"/>
              <w:jc w:val="right"/>
              <w:rPr>
                <w:rFonts w:ascii="Times New Roman" w:hAnsi="Times New Roman" w:cs="Times New Roman"/>
                <w:sz w:val="24"/>
                <w:szCs w:val="24"/>
              </w:rPr>
            </w:pPr>
            <w:r w:rsidRPr="003324D5">
              <w:t>77 </w:t>
            </w:r>
          </w:p>
        </w:tc>
        <w:tc>
          <w:tcPr>
            <w:tcW w:w="1260" w:type="dxa"/>
            <w:vAlign w:val="center"/>
            <w:hideMark/>
          </w:tcPr>
          <w:p w14:paraId="57C02A64" w14:textId="77777777" w:rsidR="006420CB" w:rsidRPr="003324D5" w:rsidRDefault="006420CB" w:rsidP="009678E9">
            <w:pPr>
              <w:pStyle w:val="TableText"/>
              <w:jc w:val="right"/>
              <w:rPr>
                <w:rFonts w:ascii="Times New Roman" w:hAnsi="Times New Roman" w:cs="Times New Roman"/>
                <w:sz w:val="24"/>
                <w:szCs w:val="24"/>
              </w:rPr>
            </w:pPr>
            <w:r w:rsidRPr="003324D5">
              <w:t>68 </w:t>
            </w:r>
          </w:p>
        </w:tc>
        <w:tc>
          <w:tcPr>
            <w:tcW w:w="1170" w:type="dxa"/>
            <w:vAlign w:val="center"/>
            <w:hideMark/>
          </w:tcPr>
          <w:p w14:paraId="0227158C" w14:textId="77777777" w:rsidR="006420CB" w:rsidRPr="003324D5" w:rsidRDefault="006420CB" w:rsidP="009678E9">
            <w:pPr>
              <w:pStyle w:val="TableText"/>
              <w:jc w:val="right"/>
              <w:rPr>
                <w:rFonts w:ascii="Times New Roman" w:hAnsi="Times New Roman" w:cs="Times New Roman"/>
                <w:sz w:val="24"/>
                <w:szCs w:val="24"/>
              </w:rPr>
            </w:pPr>
            <w:r w:rsidRPr="003324D5">
              <w:t>80 </w:t>
            </w:r>
          </w:p>
        </w:tc>
      </w:tr>
      <w:tr w:rsidR="006420CB" w:rsidRPr="003324D5" w14:paraId="5EE710D2" w14:textId="77777777" w:rsidTr="009678E9">
        <w:trPr>
          <w:trHeight w:val="300"/>
        </w:trPr>
        <w:tc>
          <w:tcPr>
            <w:tcW w:w="3315" w:type="dxa"/>
            <w:vAlign w:val="center"/>
            <w:hideMark/>
          </w:tcPr>
          <w:p w14:paraId="2ED2CB77" w14:textId="77777777" w:rsidR="006420CB" w:rsidRPr="003324D5" w:rsidRDefault="006420CB" w:rsidP="003742CD">
            <w:pPr>
              <w:pStyle w:val="TableText"/>
              <w:rPr>
                <w:rFonts w:ascii="Times New Roman" w:hAnsi="Times New Roman" w:cs="Times New Roman"/>
                <w:sz w:val="24"/>
                <w:szCs w:val="24"/>
              </w:rPr>
            </w:pPr>
            <w:r w:rsidRPr="003324D5">
              <w:t>Maximum Days from Complaint Received to Final Resolution </w:t>
            </w:r>
          </w:p>
        </w:tc>
        <w:tc>
          <w:tcPr>
            <w:tcW w:w="1260" w:type="dxa"/>
            <w:vAlign w:val="center"/>
            <w:hideMark/>
          </w:tcPr>
          <w:p w14:paraId="67D46C58" w14:textId="77777777" w:rsidR="006420CB" w:rsidRPr="003324D5" w:rsidRDefault="006420CB" w:rsidP="009678E9">
            <w:pPr>
              <w:pStyle w:val="TableText"/>
              <w:jc w:val="right"/>
              <w:rPr>
                <w:rFonts w:ascii="Times New Roman" w:hAnsi="Times New Roman" w:cs="Times New Roman"/>
                <w:sz w:val="24"/>
                <w:szCs w:val="24"/>
              </w:rPr>
            </w:pPr>
            <w:r w:rsidRPr="003324D5">
              <w:t>225 </w:t>
            </w:r>
          </w:p>
        </w:tc>
        <w:tc>
          <w:tcPr>
            <w:tcW w:w="1170" w:type="dxa"/>
            <w:vAlign w:val="center"/>
            <w:hideMark/>
          </w:tcPr>
          <w:p w14:paraId="5B4D5D2F" w14:textId="77777777" w:rsidR="006420CB" w:rsidRPr="003324D5" w:rsidRDefault="006420CB" w:rsidP="009678E9">
            <w:pPr>
              <w:pStyle w:val="TableText"/>
              <w:jc w:val="right"/>
              <w:rPr>
                <w:rFonts w:ascii="Times New Roman" w:hAnsi="Times New Roman" w:cs="Times New Roman"/>
                <w:sz w:val="24"/>
                <w:szCs w:val="24"/>
              </w:rPr>
            </w:pPr>
            <w:r w:rsidRPr="003324D5">
              <w:t>134 </w:t>
            </w:r>
          </w:p>
        </w:tc>
        <w:tc>
          <w:tcPr>
            <w:tcW w:w="1170" w:type="dxa"/>
            <w:vAlign w:val="center"/>
            <w:hideMark/>
          </w:tcPr>
          <w:p w14:paraId="41FCBF86" w14:textId="77777777" w:rsidR="006420CB" w:rsidRPr="003324D5" w:rsidRDefault="006420CB" w:rsidP="009678E9">
            <w:pPr>
              <w:pStyle w:val="TableText"/>
              <w:jc w:val="right"/>
              <w:rPr>
                <w:rFonts w:ascii="Times New Roman" w:hAnsi="Times New Roman" w:cs="Times New Roman"/>
                <w:sz w:val="24"/>
                <w:szCs w:val="24"/>
              </w:rPr>
            </w:pPr>
            <w:r w:rsidRPr="003324D5">
              <w:t>157 </w:t>
            </w:r>
          </w:p>
        </w:tc>
        <w:tc>
          <w:tcPr>
            <w:tcW w:w="1260" w:type="dxa"/>
            <w:vAlign w:val="center"/>
            <w:hideMark/>
          </w:tcPr>
          <w:p w14:paraId="184C3D4A" w14:textId="77777777" w:rsidR="006420CB" w:rsidRPr="003324D5" w:rsidRDefault="006420CB" w:rsidP="009678E9">
            <w:pPr>
              <w:pStyle w:val="TableText"/>
              <w:jc w:val="right"/>
              <w:rPr>
                <w:rFonts w:ascii="Times New Roman" w:hAnsi="Times New Roman" w:cs="Times New Roman"/>
                <w:sz w:val="24"/>
                <w:szCs w:val="24"/>
              </w:rPr>
            </w:pPr>
            <w:r w:rsidRPr="003324D5">
              <w:t>112 </w:t>
            </w:r>
          </w:p>
        </w:tc>
        <w:tc>
          <w:tcPr>
            <w:tcW w:w="1170" w:type="dxa"/>
            <w:vAlign w:val="center"/>
            <w:hideMark/>
          </w:tcPr>
          <w:p w14:paraId="3FD80FE8" w14:textId="77777777" w:rsidR="006420CB" w:rsidRPr="003324D5" w:rsidRDefault="006420CB" w:rsidP="009678E9">
            <w:pPr>
              <w:pStyle w:val="TableText"/>
              <w:jc w:val="right"/>
              <w:rPr>
                <w:rFonts w:ascii="Times New Roman" w:hAnsi="Times New Roman" w:cs="Times New Roman"/>
                <w:sz w:val="24"/>
                <w:szCs w:val="24"/>
              </w:rPr>
            </w:pPr>
            <w:r w:rsidRPr="003324D5">
              <w:t>90 </w:t>
            </w:r>
          </w:p>
        </w:tc>
      </w:tr>
      <w:tr w:rsidR="006420CB" w:rsidRPr="003324D5" w14:paraId="4B6E7242" w14:textId="77777777" w:rsidTr="009678E9">
        <w:trPr>
          <w:trHeight w:val="300"/>
        </w:trPr>
        <w:tc>
          <w:tcPr>
            <w:tcW w:w="3315" w:type="dxa"/>
            <w:vAlign w:val="center"/>
            <w:hideMark/>
          </w:tcPr>
          <w:p w14:paraId="617D2473" w14:textId="77777777" w:rsidR="006420CB" w:rsidRPr="003324D5" w:rsidRDefault="006420CB" w:rsidP="003742CD">
            <w:pPr>
              <w:pStyle w:val="TableText"/>
              <w:rPr>
                <w:rFonts w:ascii="Times New Roman" w:hAnsi="Times New Roman" w:cs="Times New Roman"/>
                <w:sz w:val="24"/>
                <w:szCs w:val="24"/>
              </w:rPr>
            </w:pPr>
            <w:r w:rsidRPr="003324D5">
              <w:lastRenderedPageBreak/>
              <w:t>Average Days from Complaint Received to Dismissed </w:t>
            </w:r>
          </w:p>
        </w:tc>
        <w:tc>
          <w:tcPr>
            <w:tcW w:w="1260" w:type="dxa"/>
            <w:vAlign w:val="center"/>
            <w:hideMark/>
          </w:tcPr>
          <w:p w14:paraId="18EC39A7" w14:textId="77777777" w:rsidR="006420CB" w:rsidRPr="003324D5" w:rsidRDefault="006420CB" w:rsidP="009678E9">
            <w:pPr>
              <w:pStyle w:val="TableText"/>
              <w:jc w:val="right"/>
              <w:rPr>
                <w:rFonts w:ascii="Times New Roman" w:hAnsi="Times New Roman" w:cs="Times New Roman"/>
                <w:sz w:val="24"/>
                <w:szCs w:val="24"/>
              </w:rPr>
            </w:pPr>
            <w:r w:rsidRPr="003324D5">
              <w:t>136 </w:t>
            </w:r>
          </w:p>
        </w:tc>
        <w:tc>
          <w:tcPr>
            <w:tcW w:w="1170" w:type="dxa"/>
            <w:vAlign w:val="center"/>
            <w:hideMark/>
          </w:tcPr>
          <w:p w14:paraId="396C8865" w14:textId="77777777" w:rsidR="006420CB" w:rsidRPr="003324D5" w:rsidRDefault="006420CB" w:rsidP="009678E9">
            <w:pPr>
              <w:pStyle w:val="TableText"/>
              <w:jc w:val="right"/>
              <w:rPr>
                <w:rFonts w:ascii="Times New Roman" w:hAnsi="Times New Roman" w:cs="Times New Roman"/>
                <w:sz w:val="24"/>
                <w:szCs w:val="24"/>
              </w:rPr>
            </w:pPr>
            <w:r w:rsidRPr="003324D5">
              <w:t>73 </w:t>
            </w:r>
          </w:p>
        </w:tc>
        <w:tc>
          <w:tcPr>
            <w:tcW w:w="1170" w:type="dxa"/>
            <w:vAlign w:val="center"/>
            <w:hideMark/>
          </w:tcPr>
          <w:p w14:paraId="13B96489" w14:textId="77777777" w:rsidR="006420CB" w:rsidRPr="003324D5" w:rsidRDefault="006420CB" w:rsidP="009678E9">
            <w:pPr>
              <w:pStyle w:val="TableText"/>
              <w:jc w:val="right"/>
              <w:rPr>
                <w:rFonts w:ascii="Times New Roman" w:hAnsi="Times New Roman" w:cs="Times New Roman"/>
                <w:sz w:val="24"/>
                <w:szCs w:val="24"/>
              </w:rPr>
            </w:pPr>
            <w:r w:rsidRPr="003324D5">
              <w:t>55 </w:t>
            </w:r>
          </w:p>
        </w:tc>
        <w:tc>
          <w:tcPr>
            <w:tcW w:w="1260" w:type="dxa"/>
            <w:vAlign w:val="center"/>
            <w:hideMark/>
          </w:tcPr>
          <w:p w14:paraId="4A528714" w14:textId="77777777" w:rsidR="006420CB" w:rsidRPr="003324D5" w:rsidRDefault="006420CB" w:rsidP="009678E9">
            <w:pPr>
              <w:pStyle w:val="TableText"/>
              <w:jc w:val="right"/>
              <w:rPr>
                <w:rFonts w:ascii="Times New Roman" w:hAnsi="Times New Roman" w:cs="Times New Roman"/>
                <w:sz w:val="24"/>
                <w:szCs w:val="24"/>
              </w:rPr>
            </w:pPr>
            <w:r w:rsidRPr="003324D5">
              <w:t>81 </w:t>
            </w:r>
          </w:p>
        </w:tc>
        <w:tc>
          <w:tcPr>
            <w:tcW w:w="1170" w:type="dxa"/>
            <w:vAlign w:val="center"/>
            <w:hideMark/>
          </w:tcPr>
          <w:p w14:paraId="5B14E3A7" w14:textId="77777777" w:rsidR="006420CB" w:rsidRPr="003324D5" w:rsidRDefault="006420CB" w:rsidP="009678E9">
            <w:pPr>
              <w:pStyle w:val="TableText"/>
              <w:jc w:val="right"/>
              <w:rPr>
                <w:rFonts w:ascii="Times New Roman" w:hAnsi="Times New Roman" w:cs="Times New Roman"/>
                <w:sz w:val="24"/>
                <w:szCs w:val="24"/>
              </w:rPr>
            </w:pPr>
            <w:r w:rsidRPr="003324D5">
              <w:t>101 </w:t>
            </w:r>
          </w:p>
        </w:tc>
      </w:tr>
      <w:tr w:rsidR="006420CB" w:rsidRPr="003324D5" w14:paraId="56DA9E9E" w14:textId="77777777" w:rsidTr="009678E9">
        <w:trPr>
          <w:trHeight w:val="300"/>
        </w:trPr>
        <w:tc>
          <w:tcPr>
            <w:tcW w:w="3315" w:type="dxa"/>
            <w:vAlign w:val="center"/>
            <w:hideMark/>
          </w:tcPr>
          <w:p w14:paraId="672219BA" w14:textId="77777777" w:rsidR="006420CB" w:rsidRPr="003324D5" w:rsidRDefault="006420CB" w:rsidP="003742CD">
            <w:pPr>
              <w:pStyle w:val="TableText"/>
              <w:rPr>
                <w:rFonts w:ascii="Times New Roman" w:hAnsi="Times New Roman" w:cs="Times New Roman"/>
                <w:sz w:val="24"/>
                <w:szCs w:val="24"/>
              </w:rPr>
            </w:pPr>
            <w:r w:rsidRPr="003324D5">
              <w:t>Average Days from Complaint Received to Dismissed</w:t>
            </w:r>
            <w:r>
              <w:t xml:space="preserve"> </w:t>
            </w:r>
            <w:r w:rsidRPr="003324D5">
              <w:t>(no investigation) </w:t>
            </w:r>
          </w:p>
        </w:tc>
        <w:tc>
          <w:tcPr>
            <w:tcW w:w="1260" w:type="dxa"/>
            <w:vAlign w:val="center"/>
            <w:hideMark/>
          </w:tcPr>
          <w:p w14:paraId="2241E6EA" w14:textId="77777777" w:rsidR="006420CB" w:rsidRPr="003324D5" w:rsidRDefault="006420CB" w:rsidP="009678E9">
            <w:pPr>
              <w:pStyle w:val="TableText"/>
              <w:jc w:val="right"/>
              <w:rPr>
                <w:rFonts w:ascii="Times New Roman" w:hAnsi="Times New Roman" w:cs="Times New Roman"/>
                <w:sz w:val="24"/>
                <w:szCs w:val="24"/>
              </w:rPr>
            </w:pPr>
            <w:r w:rsidRPr="003324D5">
              <w:t>132 </w:t>
            </w:r>
          </w:p>
        </w:tc>
        <w:tc>
          <w:tcPr>
            <w:tcW w:w="1170" w:type="dxa"/>
            <w:vAlign w:val="center"/>
            <w:hideMark/>
          </w:tcPr>
          <w:p w14:paraId="55445987" w14:textId="77777777" w:rsidR="006420CB" w:rsidRPr="003324D5" w:rsidRDefault="006420CB" w:rsidP="009678E9">
            <w:pPr>
              <w:pStyle w:val="TableText"/>
              <w:jc w:val="right"/>
              <w:rPr>
                <w:rFonts w:ascii="Times New Roman" w:hAnsi="Times New Roman" w:cs="Times New Roman"/>
                <w:sz w:val="24"/>
                <w:szCs w:val="24"/>
              </w:rPr>
            </w:pPr>
            <w:r w:rsidRPr="003324D5">
              <w:t>0 </w:t>
            </w:r>
          </w:p>
        </w:tc>
        <w:tc>
          <w:tcPr>
            <w:tcW w:w="1170" w:type="dxa"/>
            <w:vAlign w:val="center"/>
            <w:hideMark/>
          </w:tcPr>
          <w:p w14:paraId="3A2B6490" w14:textId="77777777" w:rsidR="006420CB" w:rsidRPr="003324D5" w:rsidRDefault="006420CB" w:rsidP="009678E9">
            <w:pPr>
              <w:pStyle w:val="TableText"/>
              <w:jc w:val="right"/>
              <w:rPr>
                <w:rFonts w:ascii="Times New Roman" w:hAnsi="Times New Roman" w:cs="Times New Roman"/>
                <w:sz w:val="24"/>
                <w:szCs w:val="24"/>
              </w:rPr>
            </w:pPr>
            <w:r w:rsidRPr="003324D5">
              <w:t>0 </w:t>
            </w:r>
          </w:p>
        </w:tc>
        <w:tc>
          <w:tcPr>
            <w:tcW w:w="1260" w:type="dxa"/>
            <w:vAlign w:val="center"/>
            <w:hideMark/>
          </w:tcPr>
          <w:p w14:paraId="2DBDBDF5" w14:textId="77777777" w:rsidR="006420CB" w:rsidRPr="003324D5" w:rsidRDefault="006420CB" w:rsidP="009678E9">
            <w:pPr>
              <w:pStyle w:val="TableText"/>
              <w:jc w:val="right"/>
              <w:rPr>
                <w:rFonts w:ascii="Times New Roman" w:hAnsi="Times New Roman" w:cs="Times New Roman"/>
                <w:sz w:val="24"/>
                <w:szCs w:val="24"/>
              </w:rPr>
            </w:pPr>
            <w:r w:rsidRPr="003324D5">
              <w:t>12 </w:t>
            </w:r>
          </w:p>
        </w:tc>
        <w:tc>
          <w:tcPr>
            <w:tcW w:w="1170" w:type="dxa"/>
            <w:vAlign w:val="center"/>
            <w:hideMark/>
          </w:tcPr>
          <w:p w14:paraId="632D2B15" w14:textId="77777777" w:rsidR="006420CB" w:rsidRPr="003324D5" w:rsidRDefault="006420CB" w:rsidP="009678E9">
            <w:pPr>
              <w:pStyle w:val="TableText"/>
              <w:jc w:val="right"/>
              <w:rPr>
                <w:rFonts w:ascii="Times New Roman" w:hAnsi="Times New Roman" w:cs="Times New Roman"/>
                <w:sz w:val="24"/>
                <w:szCs w:val="24"/>
              </w:rPr>
            </w:pPr>
            <w:r w:rsidRPr="003324D5">
              <w:t>88 </w:t>
            </w:r>
          </w:p>
        </w:tc>
      </w:tr>
      <w:tr w:rsidR="006420CB" w:rsidRPr="003324D5" w14:paraId="7AE58F18" w14:textId="77777777" w:rsidTr="009678E9">
        <w:trPr>
          <w:trHeight w:val="300"/>
        </w:trPr>
        <w:tc>
          <w:tcPr>
            <w:tcW w:w="3315" w:type="dxa"/>
            <w:hideMark/>
          </w:tcPr>
          <w:p w14:paraId="1C03F302" w14:textId="77777777" w:rsidR="006420CB" w:rsidRPr="003324D5" w:rsidRDefault="006420CB">
            <w:pPr>
              <w:textAlignment w:val="baseline"/>
              <w:rPr>
                <w:rFonts w:ascii="Times New Roman" w:eastAsia="Times New Roman" w:hAnsi="Times New Roman" w:cs="Times New Roman"/>
                <w:sz w:val="24"/>
                <w:szCs w:val="24"/>
              </w:rPr>
            </w:pPr>
            <w:r w:rsidRPr="003324D5">
              <w:rPr>
                <w:rFonts w:eastAsia="Times New Roman"/>
                <w:sz w:val="20"/>
                <w:szCs w:val="20"/>
              </w:rPr>
              <w:t>Average Days from Complaint Received to Investigation Finished </w:t>
            </w:r>
          </w:p>
        </w:tc>
        <w:tc>
          <w:tcPr>
            <w:tcW w:w="1260" w:type="dxa"/>
            <w:vAlign w:val="center"/>
            <w:hideMark/>
          </w:tcPr>
          <w:p w14:paraId="5E8E64DF"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149 </w:t>
            </w:r>
          </w:p>
        </w:tc>
        <w:tc>
          <w:tcPr>
            <w:tcW w:w="1170" w:type="dxa"/>
            <w:vAlign w:val="center"/>
            <w:hideMark/>
          </w:tcPr>
          <w:p w14:paraId="17C0B45A"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56 </w:t>
            </w:r>
          </w:p>
        </w:tc>
        <w:tc>
          <w:tcPr>
            <w:tcW w:w="1170" w:type="dxa"/>
            <w:vAlign w:val="center"/>
            <w:hideMark/>
          </w:tcPr>
          <w:p w14:paraId="56D3A567"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56 </w:t>
            </w:r>
          </w:p>
        </w:tc>
        <w:tc>
          <w:tcPr>
            <w:tcW w:w="1260" w:type="dxa"/>
            <w:vAlign w:val="center"/>
            <w:hideMark/>
          </w:tcPr>
          <w:p w14:paraId="107D4FEA"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79 </w:t>
            </w:r>
          </w:p>
        </w:tc>
        <w:tc>
          <w:tcPr>
            <w:tcW w:w="1170" w:type="dxa"/>
            <w:vAlign w:val="center"/>
            <w:hideMark/>
          </w:tcPr>
          <w:p w14:paraId="326F8246"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102 </w:t>
            </w:r>
          </w:p>
        </w:tc>
      </w:tr>
      <w:tr w:rsidR="006420CB" w:rsidRPr="003324D5" w14:paraId="3DB90F34" w14:textId="77777777" w:rsidTr="009678E9">
        <w:trPr>
          <w:trHeight w:val="300"/>
        </w:trPr>
        <w:tc>
          <w:tcPr>
            <w:tcW w:w="3315" w:type="dxa"/>
            <w:hideMark/>
          </w:tcPr>
          <w:p w14:paraId="53AF797D" w14:textId="77777777" w:rsidR="006420CB" w:rsidRPr="003324D5" w:rsidRDefault="006420CB">
            <w:pPr>
              <w:textAlignment w:val="baseline"/>
              <w:rPr>
                <w:rFonts w:ascii="Times New Roman" w:eastAsia="Times New Roman" w:hAnsi="Times New Roman" w:cs="Times New Roman"/>
                <w:sz w:val="24"/>
                <w:szCs w:val="24"/>
              </w:rPr>
            </w:pPr>
            <w:r w:rsidRPr="003324D5">
              <w:rPr>
                <w:rFonts w:eastAsia="Times New Roman"/>
                <w:sz w:val="20"/>
                <w:szCs w:val="20"/>
              </w:rPr>
              <w:t>Average Days from Start to Finish of Investigation </w:t>
            </w:r>
          </w:p>
        </w:tc>
        <w:tc>
          <w:tcPr>
            <w:tcW w:w="1260" w:type="dxa"/>
            <w:vAlign w:val="center"/>
            <w:hideMark/>
          </w:tcPr>
          <w:p w14:paraId="0DD48E4C"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49 </w:t>
            </w:r>
          </w:p>
        </w:tc>
        <w:tc>
          <w:tcPr>
            <w:tcW w:w="1170" w:type="dxa"/>
            <w:vAlign w:val="center"/>
            <w:hideMark/>
          </w:tcPr>
          <w:p w14:paraId="2E63C3F1"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61 </w:t>
            </w:r>
          </w:p>
        </w:tc>
        <w:tc>
          <w:tcPr>
            <w:tcW w:w="1170" w:type="dxa"/>
            <w:vAlign w:val="center"/>
            <w:hideMark/>
          </w:tcPr>
          <w:p w14:paraId="4460AF38"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20 </w:t>
            </w:r>
          </w:p>
        </w:tc>
        <w:tc>
          <w:tcPr>
            <w:tcW w:w="1260" w:type="dxa"/>
            <w:vAlign w:val="center"/>
            <w:hideMark/>
          </w:tcPr>
          <w:p w14:paraId="4C2ED9CD"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42 </w:t>
            </w:r>
          </w:p>
        </w:tc>
        <w:tc>
          <w:tcPr>
            <w:tcW w:w="1170" w:type="dxa"/>
            <w:vAlign w:val="center"/>
            <w:hideMark/>
          </w:tcPr>
          <w:p w14:paraId="3C665AE0"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0 </w:t>
            </w:r>
          </w:p>
        </w:tc>
      </w:tr>
      <w:tr w:rsidR="006420CB" w:rsidRPr="003324D5" w14:paraId="2D71EA09" w14:textId="77777777" w:rsidTr="009678E9">
        <w:trPr>
          <w:trHeight w:val="300"/>
        </w:trPr>
        <w:tc>
          <w:tcPr>
            <w:tcW w:w="3315" w:type="dxa"/>
            <w:hideMark/>
          </w:tcPr>
          <w:p w14:paraId="7F8910D5" w14:textId="77777777" w:rsidR="006420CB" w:rsidRPr="003324D5" w:rsidRDefault="006420CB">
            <w:pPr>
              <w:textAlignment w:val="baseline"/>
              <w:rPr>
                <w:rFonts w:ascii="Times New Roman" w:eastAsia="Times New Roman" w:hAnsi="Times New Roman" w:cs="Times New Roman"/>
                <w:sz w:val="24"/>
                <w:szCs w:val="24"/>
              </w:rPr>
            </w:pPr>
            <w:r w:rsidRPr="003324D5">
              <w:rPr>
                <w:rFonts w:eastAsia="Times New Roman"/>
                <w:sz w:val="20"/>
                <w:szCs w:val="20"/>
              </w:rPr>
              <w:t>Number of Complaints Open for More than One Year (as of August 31 of Fiscal Year) </w:t>
            </w:r>
          </w:p>
        </w:tc>
        <w:tc>
          <w:tcPr>
            <w:tcW w:w="1260" w:type="dxa"/>
            <w:vAlign w:val="center"/>
            <w:hideMark/>
          </w:tcPr>
          <w:p w14:paraId="4857BE81"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0 </w:t>
            </w:r>
          </w:p>
        </w:tc>
        <w:tc>
          <w:tcPr>
            <w:tcW w:w="1170" w:type="dxa"/>
            <w:vAlign w:val="center"/>
            <w:hideMark/>
          </w:tcPr>
          <w:p w14:paraId="69342FE8"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0 </w:t>
            </w:r>
          </w:p>
        </w:tc>
        <w:tc>
          <w:tcPr>
            <w:tcW w:w="1170" w:type="dxa"/>
            <w:vAlign w:val="center"/>
            <w:hideMark/>
          </w:tcPr>
          <w:p w14:paraId="121EB758"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0 </w:t>
            </w:r>
          </w:p>
        </w:tc>
        <w:tc>
          <w:tcPr>
            <w:tcW w:w="1260" w:type="dxa"/>
            <w:vAlign w:val="center"/>
            <w:hideMark/>
          </w:tcPr>
          <w:p w14:paraId="3F6C5933"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0 </w:t>
            </w:r>
          </w:p>
        </w:tc>
        <w:tc>
          <w:tcPr>
            <w:tcW w:w="1170" w:type="dxa"/>
            <w:vAlign w:val="center"/>
            <w:hideMark/>
          </w:tcPr>
          <w:p w14:paraId="3AA6D624" w14:textId="77777777" w:rsidR="006420CB" w:rsidRPr="003324D5" w:rsidRDefault="006420CB" w:rsidP="009678E9">
            <w:pPr>
              <w:jc w:val="right"/>
              <w:textAlignment w:val="baseline"/>
              <w:rPr>
                <w:rFonts w:ascii="Times New Roman" w:eastAsia="Times New Roman" w:hAnsi="Times New Roman" w:cs="Times New Roman"/>
                <w:sz w:val="24"/>
                <w:szCs w:val="24"/>
              </w:rPr>
            </w:pPr>
            <w:r w:rsidRPr="003324D5">
              <w:rPr>
                <w:rFonts w:eastAsia="Times New Roman"/>
                <w:sz w:val="20"/>
                <w:szCs w:val="20"/>
              </w:rPr>
              <w:t>0 </w:t>
            </w:r>
          </w:p>
        </w:tc>
      </w:tr>
    </w:tbl>
    <w:p w14:paraId="3784BCA8" w14:textId="77777777" w:rsidR="00254A77" w:rsidRDefault="003742CD" w:rsidP="00F030FB">
      <w:pPr>
        <w:pStyle w:val="BodyText"/>
      </w:pPr>
      <w:r w:rsidRPr="003324D5">
        <w:t xml:space="preserve">Final Resolution = complaint dismissed, or final order entered; does not include time in appeals to </w:t>
      </w:r>
      <w:r w:rsidRPr="009678E9">
        <w:t>district court</w:t>
      </w:r>
      <w:r w:rsidR="002A3FC8">
        <w:t>.</w:t>
      </w:r>
    </w:p>
    <w:p w14:paraId="691263F0" w14:textId="7A465963" w:rsidR="006420CB" w:rsidRDefault="006420CB" w:rsidP="00F030FB">
      <w:pPr>
        <w:pStyle w:val="BodyText"/>
      </w:pPr>
    </w:p>
    <w:p w14:paraId="0190D119" w14:textId="77777777" w:rsidR="006420CB" w:rsidRPr="000F25DC" w:rsidRDefault="006420CB" w:rsidP="002A3FC8">
      <w:pPr>
        <w:pStyle w:val="BodyText3"/>
      </w:pPr>
      <w:bookmarkStart w:id="265" w:name="Employment_&amp;_Workforce_Training_Programs"/>
      <w:bookmarkStart w:id="266" w:name="Foreign_Labor_Certification"/>
      <w:bookmarkStart w:id="267" w:name="_Toc2000081996"/>
      <w:bookmarkStart w:id="268" w:name="_Toc204688544"/>
      <w:bookmarkStart w:id="269" w:name="_Toc615707514"/>
      <w:bookmarkStart w:id="270" w:name="_Toc204688539"/>
      <w:bookmarkEnd w:id="265"/>
      <w:bookmarkEnd w:id="266"/>
      <w:r w:rsidRPr="000F25DC">
        <w:t>State Monitor Advocate</w:t>
      </w:r>
      <w:bookmarkEnd w:id="267"/>
      <w:bookmarkEnd w:id="268"/>
      <w:r w:rsidRPr="000F25DC">
        <w:t xml:space="preserve"> </w:t>
      </w:r>
    </w:p>
    <w:p w14:paraId="2BB25691" w14:textId="77777777" w:rsidR="006420CB" w:rsidRPr="000F25DC" w:rsidRDefault="006420CB" w:rsidP="00542EF4">
      <w:pPr>
        <w:pStyle w:val="BodyText3"/>
      </w:pPr>
      <w:bookmarkStart w:id="271" w:name="_Hlk201134546"/>
      <w:r>
        <w:t>A.</w:t>
      </w:r>
      <w:r>
        <w:tab/>
      </w:r>
      <w:r w:rsidRPr="000F25DC">
        <w:t>Provide</w:t>
      </w:r>
      <w:r w:rsidRPr="000F25DC">
        <w:rPr>
          <w:spacing w:val="-5"/>
        </w:rPr>
        <w:t xml:space="preserve"> </w:t>
      </w:r>
      <w:r w:rsidRPr="000F25DC">
        <w:t>the</w:t>
      </w:r>
      <w:r w:rsidRPr="000F25DC">
        <w:rPr>
          <w:spacing w:val="-2"/>
        </w:rPr>
        <w:t xml:space="preserve"> </w:t>
      </w:r>
      <w:r w:rsidRPr="000F25DC">
        <w:t>following</w:t>
      </w:r>
      <w:r w:rsidRPr="000F25DC">
        <w:rPr>
          <w:spacing w:val="-4"/>
        </w:rPr>
        <w:t xml:space="preserve"> </w:t>
      </w:r>
      <w:r w:rsidRPr="000F25DC">
        <w:t>information</w:t>
      </w:r>
      <w:r w:rsidRPr="000F25DC">
        <w:rPr>
          <w:spacing w:val="-3"/>
        </w:rPr>
        <w:t xml:space="preserve"> </w:t>
      </w:r>
      <w:r w:rsidRPr="000F25DC">
        <w:t>at</w:t>
      </w:r>
      <w:r w:rsidRPr="000F25DC">
        <w:rPr>
          <w:spacing w:val="-1"/>
        </w:rPr>
        <w:t xml:space="preserve"> </w:t>
      </w:r>
      <w:r w:rsidRPr="000F25DC">
        <w:t>the</w:t>
      </w:r>
      <w:r w:rsidRPr="000F25DC">
        <w:rPr>
          <w:spacing w:val="-2"/>
        </w:rPr>
        <w:t xml:space="preserve"> </w:t>
      </w:r>
      <w:r w:rsidRPr="000F25DC">
        <w:t>beginning</w:t>
      </w:r>
      <w:r w:rsidRPr="000F25DC">
        <w:rPr>
          <w:spacing w:val="-3"/>
        </w:rPr>
        <w:t xml:space="preserve"> </w:t>
      </w:r>
      <w:r w:rsidRPr="000F25DC">
        <w:t>of</w:t>
      </w:r>
      <w:r w:rsidRPr="000F25DC">
        <w:rPr>
          <w:spacing w:val="-2"/>
        </w:rPr>
        <w:t xml:space="preserve"> </w:t>
      </w:r>
      <w:r w:rsidRPr="000F25DC">
        <w:t>each</w:t>
      </w:r>
      <w:r w:rsidRPr="000F25DC">
        <w:rPr>
          <w:spacing w:val="-2"/>
        </w:rPr>
        <w:t xml:space="preserve"> description.</w:t>
      </w:r>
    </w:p>
    <w:p w14:paraId="73AFD223" w14:textId="77777777" w:rsidR="006420CB" w:rsidRPr="000F25DC" w:rsidRDefault="006420CB" w:rsidP="00542EF4">
      <w:pPr>
        <w:pStyle w:val="BodyText"/>
      </w:pPr>
      <w:r w:rsidRPr="000F25DC">
        <w:t>Name of Program or Function: State Monitor Advocate  </w:t>
      </w:r>
    </w:p>
    <w:p w14:paraId="3B1D8FC6" w14:textId="77777777" w:rsidR="006420CB" w:rsidRPr="000F25DC" w:rsidRDefault="006420CB" w:rsidP="00542EF4">
      <w:pPr>
        <w:pStyle w:val="BodyText"/>
      </w:pPr>
      <w:r w:rsidRPr="000F25DC">
        <w:t>Location/Division: Workforce Development Division</w:t>
      </w:r>
      <w:r>
        <w:t xml:space="preserve">, Compliance and Assistance </w:t>
      </w:r>
      <w:r w:rsidRPr="000F25DC">
        <w:t>  </w:t>
      </w:r>
    </w:p>
    <w:p w14:paraId="78217552" w14:textId="77777777" w:rsidR="006420CB" w:rsidRPr="000F25DC" w:rsidRDefault="006420CB" w:rsidP="00542EF4">
      <w:pPr>
        <w:pStyle w:val="BodyText"/>
      </w:pPr>
      <w:r w:rsidRPr="000F25DC">
        <w:t>Contact Name:  Horacio Lopez–Montes</w:t>
      </w:r>
      <w:r>
        <w:t>,</w:t>
      </w:r>
      <w:r w:rsidRPr="000F25DC">
        <w:t xml:space="preserve"> Texas State Monitor Advocate  </w:t>
      </w:r>
    </w:p>
    <w:p w14:paraId="369EB530" w14:textId="77777777" w:rsidR="006420CB" w:rsidRPr="000F25DC" w:rsidRDefault="006420CB" w:rsidP="00542EF4">
      <w:pPr>
        <w:pStyle w:val="BodyText"/>
        <w:rPr>
          <w:spacing w:val="-2"/>
        </w:rPr>
      </w:pPr>
      <w:r w:rsidRPr="004716F2">
        <w:t>Statutory</w:t>
      </w:r>
      <w:r w:rsidRPr="004716F2">
        <w:rPr>
          <w:spacing w:val="-1"/>
        </w:rPr>
        <w:t xml:space="preserve"> </w:t>
      </w:r>
      <w:r w:rsidRPr="004716F2">
        <w:rPr>
          <w:spacing w:val="-2"/>
        </w:rPr>
        <w:t>citation:</w:t>
      </w:r>
      <w:r w:rsidRPr="004716F2">
        <w:t xml:space="preserve"> </w:t>
      </w:r>
      <w:r>
        <w:rPr>
          <w:spacing w:val="-2"/>
        </w:rPr>
        <w:t>Texas Labor Code, Chapter 307</w:t>
      </w:r>
    </w:p>
    <w:p w14:paraId="03D71620" w14:textId="77777777" w:rsidR="006420CB" w:rsidRPr="000F25DC" w:rsidRDefault="006420CB" w:rsidP="00542EF4">
      <w:pPr>
        <w:pStyle w:val="BodyText3"/>
      </w:pPr>
      <w:r>
        <w:t>B.</w:t>
      </w:r>
      <w:r>
        <w:tab/>
      </w:r>
      <w:r w:rsidRPr="000F25DC">
        <w:t>What</w:t>
      </w:r>
      <w:r w:rsidRPr="000F25DC">
        <w:rPr>
          <w:spacing w:val="-5"/>
        </w:rPr>
        <w:t xml:space="preserve"> </w:t>
      </w:r>
      <w:r w:rsidRPr="000F25DC">
        <w:t>is</w:t>
      </w:r>
      <w:r w:rsidRPr="000F25DC">
        <w:rPr>
          <w:spacing w:val="-4"/>
        </w:rPr>
        <w:t xml:space="preserve"> </w:t>
      </w:r>
      <w:r w:rsidRPr="000F25DC">
        <w:t>the</w:t>
      </w:r>
      <w:r w:rsidRPr="000F25DC">
        <w:rPr>
          <w:spacing w:val="-4"/>
        </w:rPr>
        <w:t xml:space="preserve"> </w:t>
      </w:r>
      <w:r w:rsidRPr="000F25DC">
        <w:t>objective</w:t>
      </w:r>
      <w:r w:rsidRPr="000F25DC">
        <w:rPr>
          <w:spacing w:val="-5"/>
        </w:rPr>
        <w:t xml:space="preserve"> </w:t>
      </w:r>
      <w:r w:rsidRPr="000F25DC">
        <w:t>of this</w:t>
      </w:r>
      <w:r w:rsidRPr="000F25DC">
        <w:rPr>
          <w:spacing w:val="-4"/>
        </w:rPr>
        <w:t xml:space="preserve"> </w:t>
      </w:r>
      <w:r w:rsidRPr="000F25DC">
        <w:t>division or program?</w:t>
      </w:r>
      <w:r w:rsidRPr="000F25DC">
        <w:rPr>
          <w:spacing w:val="-2"/>
        </w:rPr>
        <w:t xml:space="preserve"> </w:t>
      </w:r>
      <w:r w:rsidRPr="000F25DC">
        <w:t>Describe</w:t>
      </w:r>
      <w:r w:rsidRPr="000F25DC">
        <w:rPr>
          <w:spacing w:val="-1"/>
        </w:rPr>
        <w:t xml:space="preserve"> </w:t>
      </w:r>
      <w:r w:rsidRPr="000F25DC">
        <w:t>its</w:t>
      </w:r>
      <w:r w:rsidRPr="000F25DC">
        <w:rPr>
          <w:spacing w:val="-1"/>
        </w:rPr>
        <w:t xml:space="preserve"> </w:t>
      </w:r>
      <w:r w:rsidRPr="000F25DC">
        <w:t>major</w:t>
      </w:r>
      <w:r w:rsidRPr="000F25DC">
        <w:rPr>
          <w:spacing w:val="1"/>
        </w:rPr>
        <w:t xml:space="preserve"> </w:t>
      </w:r>
      <w:r w:rsidRPr="000F25DC">
        <w:rPr>
          <w:spacing w:val="-2"/>
        </w:rPr>
        <w:t>activities.</w:t>
      </w:r>
    </w:p>
    <w:p w14:paraId="418F752F" w14:textId="77777777" w:rsidR="006420CB" w:rsidRDefault="006420CB" w:rsidP="00542EF4">
      <w:pPr>
        <w:pStyle w:val="BodyText"/>
      </w:pPr>
      <w:r w:rsidRPr="00F23CAB">
        <w:t>The Monitor Advocate System is a federal/state control function that ensures migrant and seasonal</w:t>
      </w:r>
      <w:r>
        <w:t xml:space="preserve"> </w:t>
      </w:r>
      <w:r w:rsidRPr="00F23CAB">
        <w:t>farmworkers (MSFWs) have equitable access to employment services offered by Workforce Solutions Offices across the state. Each state in the U.S. and Puerto Rico has a State Monitor Advocate whose monitoring and advocating responsibilities are outlined in federal regulations stemming from the</w:t>
      </w:r>
      <w:r>
        <w:t xml:space="preserve"> </w:t>
      </w:r>
      <w:r w:rsidRPr="00F23CAB">
        <w:t>Wagner-Peyser Act (as amended by Title III of WIOA).</w:t>
      </w:r>
      <w:r>
        <w:t xml:space="preserve">  The U.S. Department of Labor Employment and Training Administration (DOLETA) administers the </w:t>
      </w:r>
      <w:hyperlink r:id="rId210" w:history="1">
        <w:r w:rsidRPr="004F3FA8">
          <w:rPr>
            <w:rStyle w:val="Hyperlink"/>
            <w:rFonts w:asciiTheme="minorHAnsi" w:hAnsiTheme="minorHAnsi" w:cstheme="minorHAnsi"/>
          </w:rPr>
          <w:t>Monitor Advocate System</w:t>
        </w:r>
      </w:hyperlink>
      <w:r>
        <w:t xml:space="preserve"> at the federal level.  </w:t>
      </w:r>
    </w:p>
    <w:p w14:paraId="378F6A8F" w14:textId="77777777" w:rsidR="006420CB" w:rsidRPr="000F25DC" w:rsidRDefault="006420CB" w:rsidP="00965D3C">
      <w:pPr>
        <w:pStyle w:val="BodyText"/>
      </w:pPr>
      <w:r w:rsidRPr="000F25DC">
        <w:t>Texas</w:t>
      </w:r>
      <w:r>
        <w:t>’</w:t>
      </w:r>
      <w:r w:rsidRPr="000F25DC">
        <w:t xml:space="preserve"> State Monitor Advocate (SMA) works diligently to achieve the goals set by our regional and national partners. The role of the SMA is to ensure compliance with federal regulations, such as equal access to</w:t>
      </w:r>
      <w:r>
        <w:t xml:space="preserve"> workforce</w:t>
      </w:r>
      <w:r w:rsidRPr="000F25DC">
        <w:t xml:space="preserve"> services</w:t>
      </w:r>
      <w:r>
        <w:t>, and t</w:t>
      </w:r>
      <w:r w:rsidRPr="000F25DC">
        <w:t xml:space="preserve">hat MSFWs are not discriminated </w:t>
      </w:r>
      <w:r>
        <w:t xml:space="preserve">against </w:t>
      </w:r>
      <w:r w:rsidRPr="000F25DC">
        <w:t>in any way. The SMA monitors each</w:t>
      </w:r>
      <w:r>
        <w:t xml:space="preserve"> Workforce Solutions Office</w:t>
      </w:r>
      <w:r w:rsidRPr="000F25DC">
        <w:t xml:space="preserve"> for compliance and gives guidance. The SMA also advocates for improved services to MSFWS such as</w:t>
      </w:r>
      <w:r>
        <w:t xml:space="preserve"> the following:</w:t>
      </w:r>
    </w:p>
    <w:p w14:paraId="13F7CBAA" w14:textId="77777777" w:rsidR="006420CB" w:rsidRPr="000F25DC" w:rsidRDefault="006420CB" w:rsidP="00C64851">
      <w:pPr>
        <w:pStyle w:val="BodyText"/>
        <w:numPr>
          <w:ilvl w:val="0"/>
          <w:numId w:val="884"/>
        </w:numPr>
      </w:pPr>
      <w:r w:rsidRPr="000F25DC">
        <w:lastRenderedPageBreak/>
        <w:t xml:space="preserve">Finding MSFWs who are not being reached by the normal intake activities of the </w:t>
      </w:r>
      <w:r>
        <w:t>W</w:t>
      </w:r>
      <w:r w:rsidRPr="000F25DC">
        <w:t xml:space="preserve">orkforce </w:t>
      </w:r>
      <w:r>
        <w:t>So</w:t>
      </w:r>
      <w:r w:rsidRPr="000F25DC">
        <w:t xml:space="preserve">lutions </w:t>
      </w:r>
      <w:r>
        <w:t>Offices</w:t>
      </w:r>
      <w:r w:rsidRPr="000F25DC">
        <w:t>. In other words, MSFW outreach.  </w:t>
      </w:r>
    </w:p>
    <w:p w14:paraId="244CF8D3" w14:textId="1EE26A33" w:rsidR="006420CB" w:rsidRPr="000F25DC" w:rsidRDefault="006420CB" w:rsidP="00C64851">
      <w:pPr>
        <w:pStyle w:val="BodyText"/>
        <w:numPr>
          <w:ilvl w:val="0"/>
          <w:numId w:val="884"/>
        </w:numPr>
      </w:pPr>
      <w:r w:rsidRPr="000F25DC">
        <w:t>Boosting awareness of agricultural jobs available through the Agricultural Recruitment System</w:t>
      </w:r>
      <w:r>
        <w:t>.</w:t>
      </w:r>
    </w:p>
    <w:p w14:paraId="37F275BE" w14:textId="77777777" w:rsidR="006420CB" w:rsidRPr="000F25DC" w:rsidRDefault="006420CB" w:rsidP="00C64851">
      <w:pPr>
        <w:pStyle w:val="BodyText"/>
        <w:numPr>
          <w:ilvl w:val="0"/>
          <w:numId w:val="884"/>
        </w:numPr>
      </w:pPr>
      <w:r w:rsidRPr="000F25DC">
        <w:t>Increasing the number of employers utilizing the Agricultural Recruitment System</w:t>
      </w:r>
      <w:r>
        <w:t>.</w:t>
      </w:r>
      <w:r w:rsidRPr="000F25DC">
        <w:t>  </w:t>
      </w:r>
    </w:p>
    <w:p w14:paraId="6B9BD19D" w14:textId="77777777" w:rsidR="006420CB" w:rsidRPr="000F25DC" w:rsidRDefault="006420CB" w:rsidP="00C64851">
      <w:pPr>
        <w:pStyle w:val="BodyText"/>
        <w:numPr>
          <w:ilvl w:val="0"/>
          <w:numId w:val="884"/>
        </w:numPr>
      </w:pPr>
      <w:r w:rsidRPr="000F25DC">
        <w:t>Identifying and removing roadblocks that prevent MSFWs from getting good jobs</w:t>
      </w:r>
      <w:r>
        <w:t>.</w:t>
      </w:r>
      <w:r w:rsidRPr="000F25DC">
        <w:t> </w:t>
      </w:r>
    </w:p>
    <w:p w14:paraId="53C55AD6" w14:textId="77777777" w:rsidR="006420CB" w:rsidRPr="000F25DC" w:rsidRDefault="006420CB" w:rsidP="00C64851">
      <w:pPr>
        <w:pStyle w:val="BodyText"/>
        <w:numPr>
          <w:ilvl w:val="0"/>
          <w:numId w:val="884"/>
        </w:numPr>
      </w:pPr>
      <w:r w:rsidRPr="000F25DC">
        <w:t>Providing upskilling programs to help MSFWs qualify for even better-paying jobs</w:t>
      </w:r>
      <w:r>
        <w:t>.</w:t>
      </w:r>
      <w:r w:rsidRPr="000F25DC">
        <w:t>  </w:t>
      </w:r>
    </w:p>
    <w:p w14:paraId="553AA5AC" w14:textId="77777777" w:rsidR="006420CB" w:rsidRPr="000F25DC" w:rsidRDefault="006420CB" w:rsidP="00C64851">
      <w:pPr>
        <w:pStyle w:val="BodyText"/>
        <w:numPr>
          <w:ilvl w:val="0"/>
          <w:numId w:val="884"/>
        </w:numPr>
      </w:pPr>
      <w:r w:rsidRPr="000F25DC">
        <w:t>Teaming up with other organizations that support MSFWs</w:t>
      </w:r>
      <w:r>
        <w:t>.</w:t>
      </w:r>
      <w:r w:rsidRPr="000F25DC">
        <w:t>   </w:t>
      </w:r>
    </w:p>
    <w:p w14:paraId="45F2A0D5" w14:textId="4168368F" w:rsidR="006420CB" w:rsidRPr="000F25DC" w:rsidRDefault="006420CB" w:rsidP="00C64851">
      <w:pPr>
        <w:pStyle w:val="BodyText"/>
        <w:numPr>
          <w:ilvl w:val="0"/>
          <w:numId w:val="884"/>
        </w:numPr>
      </w:pPr>
      <w:r w:rsidRPr="000F25DC">
        <w:t>Creating awareness and keeping an eye out for exploitation and illegal practices that might target MSFWs</w:t>
      </w:r>
      <w:r>
        <w:t>.</w:t>
      </w:r>
    </w:p>
    <w:p w14:paraId="0D6F8D6A" w14:textId="77777777" w:rsidR="006420CB" w:rsidRDefault="006420CB" w:rsidP="00965D3C">
      <w:pPr>
        <w:pStyle w:val="BodyText"/>
      </w:pPr>
      <w:r w:rsidRPr="000F25DC">
        <w:rPr>
          <w:rFonts w:ascii="Calibri" w:eastAsia="Calibri" w:hAnsi="Calibri" w:cs="Calibri"/>
        </w:rPr>
        <w:t xml:space="preserve">Additional information </w:t>
      </w:r>
      <w:r>
        <w:rPr>
          <w:rFonts w:ascii="Calibri" w:eastAsia="Calibri" w:hAnsi="Calibri" w:cs="Calibri"/>
        </w:rPr>
        <w:t xml:space="preserve">is available online at </w:t>
      </w:r>
      <w:hyperlink r:id="rId211" w:history="1">
        <w:r>
          <w:rPr>
            <w:rStyle w:val="Hyperlink"/>
            <w:rFonts w:asciiTheme="minorHAnsi" w:hAnsiTheme="minorHAnsi" w:cstheme="minorHAnsi"/>
          </w:rPr>
          <w:t>Migrant &amp; Seasonal Farmworker Resources</w:t>
        </w:r>
      </w:hyperlink>
      <w:r>
        <w:t>.</w:t>
      </w:r>
    </w:p>
    <w:p w14:paraId="4BC37DD7" w14:textId="77777777" w:rsidR="006420CB" w:rsidRPr="000F25DC" w:rsidRDefault="006420CB" w:rsidP="00965D3C">
      <w:pPr>
        <w:pStyle w:val="BodyText3"/>
        <w:ind w:left="720" w:hanging="720"/>
      </w:pPr>
      <w:r>
        <w:t>C.</w:t>
      </w:r>
      <w:r>
        <w:tab/>
      </w:r>
      <w:r w:rsidRPr="000F25DC">
        <w:t>What information does the agency collect/use to assess the effectiveness and efficiency of this division or program? If applicable, briefly note any LBB performance measures (from Section</w:t>
      </w:r>
      <w:r w:rsidRPr="000F25DC">
        <w:rPr>
          <w:spacing w:val="-11"/>
        </w:rPr>
        <w:t xml:space="preserve"> </w:t>
      </w:r>
      <w:r w:rsidRPr="000F25DC">
        <w:t>II,</w:t>
      </w:r>
      <w:r w:rsidRPr="000F25DC">
        <w:rPr>
          <w:spacing w:val="-12"/>
        </w:rPr>
        <w:t xml:space="preserve"> </w:t>
      </w:r>
      <w:proofErr w:type="gramStart"/>
      <w:r w:rsidRPr="000F25DC">
        <w:t>Exhibit</w:t>
      </w:r>
      <w:proofErr w:type="gramEnd"/>
      <w:r w:rsidRPr="000F25DC">
        <w:rPr>
          <w:spacing w:val="-14"/>
        </w:rPr>
        <w:t xml:space="preserve"> </w:t>
      </w:r>
      <w:r w:rsidRPr="000F25DC">
        <w:t>2)</w:t>
      </w:r>
      <w:r w:rsidRPr="000F25DC">
        <w:rPr>
          <w:spacing w:val="-12"/>
        </w:rPr>
        <w:t xml:space="preserve"> </w:t>
      </w:r>
      <w:r w:rsidRPr="000F25DC">
        <w:t>but</w:t>
      </w:r>
      <w:r w:rsidRPr="000F25DC">
        <w:rPr>
          <w:spacing w:val="-14"/>
        </w:rPr>
        <w:t xml:space="preserve"> </w:t>
      </w:r>
      <w:r w:rsidRPr="000F25DC">
        <w:t>also</w:t>
      </w:r>
      <w:r w:rsidRPr="000F25DC">
        <w:rPr>
          <w:spacing w:val="-11"/>
        </w:rPr>
        <w:t xml:space="preserve"> </w:t>
      </w:r>
      <w:r w:rsidRPr="000F25DC">
        <w:t>provide</w:t>
      </w:r>
      <w:r w:rsidRPr="000F25DC">
        <w:rPr>
          <w:spacing w:val="-13"/>
        </w:rPr>
        <w:t xml:space="preserve"> </w:t>
      </w:r>
      <w:r w:rsidRPr="000F25DC">
        <w:t>any</w:t>
      </w:r>
      <w:r w:rsidRPr="000F25DC">
        <w:rPr>
          <w:spacing w:val="-13"/>
        </w:rPr>
        <w:t xml:space="preserve"> </w:t>
      </w:r>
      <w:r w:rsidRPr="000F25DC">
        <w:t>other</w:t>
      </w:r>
      <w:r w:rsidRPr="000F25DC">
        <w:rPr>
          <w:spacing w:val="-11"/>
        </w:rPr>
        <w:t xml:space="preserve"> </w:t>
      </w:r>
      <w:r w:rsidRPr="000F25DC">
        <w:t>metrics</w:t>
      </w:r>
      <w:r w:rsidRPr="000F25DC">
        <w:rPr>
          <w:spacing w:val="-14"/>
        </w:rPr>
        <w:t xml:space="preserve"> </w:t>
      </w:r>
      <w:r w:rsidRPr="000F25DC">
        <w:t>of</w:t>
      </w:r>
      <w:r w:rsidRPr="000F25DC">
        <w:rPr>
          <w:spacing w:val="-13"/>
        </w:rPr>
        <w:t xml:space="preserve"> </w:t>
      </w:r>
      <w:r w:rsidRPr="000F25DC">
        <w:t>program</w:t>
      </w:r>
      <w:r w:rsidRPr="000F25DC">
        <w:rPr>
          <w:spacing w:val="-13"/>
        </w:rPr>
        <w:t xml:space="preserve"> </w:t>
      </w:r>
      <w:r w:rsidRPr="000F25DC">
        <w:t>effectiveness</w:t>
      </w:r>
      <w:r w:rsidRPr="000F25DC">
        <w:rPr>
          <w:spacing w:val="-12"/>
        </w:rPr>
        <w:t xml:space="preserve"> </w:t>
      </w:r>
      <w:r w:rsidRPr="000F25DC">
        <w:t>and</w:t>
      </w:r>
      <w:r w:rsidRPr="000F25DC">
        <w:rPr>
          <w:spacing w:val="-11"/>
        </w:rPr>
        <w:t xml:space="preserve"> </w:t>
      </w:r>
      <w:r w:rsidRPr="000F25DC">
        <w:t>efficiency. Please</w:t>
      </w:r>
      <w:r w:rsidRPr="000F25DC">
        <w:rPr>
          <w:spacing w:val="-7"/>
        </w:rPr>
        <w:t xml:space="preserve"> </w:t>
      </w:r>
      <w:r w:rsidRPr="000F25DC">
        <w:t>provide</w:t>
      </w:r>
      <w:r w:rsidRPr="000F25DC">
        <w:rPr>
          <w:spacing w:val="-7"/>
        </w:rPr>
        <w:t xml:space="preserve"> </w:t>
      </w:r>
      <w:r w:rsidRPr="000F25DC">
        <w:t>the</w:t>
      </w:r>
      <w:r w:rsidRPr="000F25DC">
        <w:rPr>
          <w:spacing w:val="-7"/>
        </w:rPr>
        <w:t xml:space="preserve"> </w:t>
      </w:r>
      <w:r w:rsidRPr="000F25DC">
        <w:t>data</w:t>
      </w:r>
      <w:r w:rsidRPr="000F25DC">
        <w:rPr>
          <w:spacing w:val="-10"/>
        </w:rPr>
        <w:t xml:space="preserve"> </w:t>
      </w:r>
      <w:r w:rsidRPr="000F25DC">
        <w:t>source</w:t>
      </w:r>
      <w:r w:rsidRPr="000F25DC">
        <w:rPr>
          <w:spacing w:val="-7"/>
        </w:rPr>
        <w:t xml:space="preserve"> </w:t>
      </w:r>
      <w:r w:rsidRPr="000F25DC">
        <w:t>and/or</w:t>
      </w:r>
      <w:r w:rsidRPr="000F25DC">
        <w:rPr>
          <w:spacing w:val="-5"/>
        </w:rPr>
        <w:t xml:space="preserve"> </w:t>
      </w:r>
      <w:r w:rsidRPr="000F25DC">
        <w:t>methodology</w:t>
      </w:r>
      <w:r w:rsidRPr="000F25DC">
        <w:rPr>
          <w:spacing w:val="-7"/>
        </w:rPr>
        <w:t xml:space="preserve"> </w:t>
      </w:r>
      <w:r w:rsidRPr="000F25DC">
        <w:t>behind</w:t>
      </w:r>
      <w:r w:rsidRPr="000F25DC">
        <w:rPr>
          <w:spacing w:val="-6"/>
        </w:rPr>
        <w:t xml:space="preserve"> </w:t>
      </w:r>
      <w:r w:rsidRPr="000F25DC">
        <w:t>how</w:t>
      </w:r>
      <w:r w:rsidRPr="000F25DC">
        <w:rPr>
          <w:spacing w:val="-5"/>
        </w:rPr>
        <w:t xml:space="preserve"> </w:t>
      </w:r>
      <w:r w:rsidRPr="000F25DC">
        <w:t>each</w:t>
      </w:r>
      <w:r w:rsidRPr="000F25DC">
        <w:rPr>
          <w:spacing w:val="-6"/>
        </w:rPr>
        <w:t xml:space="preserve"> </w:t>
      </w:r>
      <w:r w:rsidRPr="000F25DC">
        <w:t>statistic</w:t>
      </w:r>
      <w:r w:rsidRPr="000F25DC">
        <w:rPr>
          <w:spacing w:val="-6"/>
        </w:rPr>
        <w:t xml:space="preserve"> </w:t>
      </w:r>
      <w:r w:rsidRPr="000F25DC">
        <w:t>or</w:t>
      </w:r>
      <w:r w:rsidRPr="000F25DC">
        <w:rPr>
          <w:spacing w:val="-8"/>
        </w:rPr>
        <w:t xml:space="preserve"> </w:t>
      </w:r>
      <w:r w:rsidRPr="000F25DC">
        <w:t>performance measure was determined. If you do not track measures of effectiveness for a given division, department, or program, please explain why.</w:t>
      </w:r>
    </w:p>
    <w:p w14:paraId="407D0953" w14:textId="77777777" w:rsidR="006420CB" w:rsidRPr="00E05B9A" w:rsidRDefault="006420CB" w:rsidP="00E05B9A">
      <w:pPr>
        <w:pStyle w:val="BodyText"/>
      </w:pPr>
      <w:r w:rsidRPr="00E05B9A">
        <w:t xml:space="preserve">DOLETA establishes five annual performance targets for SMAs. To monitor compliance, state workforce agencies submit quarterly performance data to DOLETA. The chart below summarizes the performance targets. </w:t>
      </w:r>
    </w:p>
    <w:tbl>
      <w:tblPr>
        <w:tblStyle w:val="TableGrid1"/>
        <w:tblW w:w="8229" w:type="dxa"/>
        <w:tblLook w:val="04A0" w:firstRow="1" w:lastRow="0" w:firstColumn="1" w:lastColumn="0" w:noHBand="0" w:noVBand="1"/>
      </w:tblPr>
      <w:tblGrid>
        <w:gridCol w:w="4447"/>
        <w:gridCol w:w="3782"/>
      </w:tblGrid>
      <w:tr w:rsidR="006420CB" w:rsidRPr="00BE2B42" w14:paraId="1DDFA727" w14:textId="77777777" w:rsidTr="004127DE">
        <w:trPr>
          <w:trHeight w:val="532"/>
        </w:trPr>
        <w:tc>
          <w:tcPr>
            <w:tcW w:w="4447" w:type="dxa"/>
            <w:shd w:val="clear" w:color="auto" w:fill="B8CCE4" w:themeFill="accent1" w:themeFillTint="66"/>
            <w:vAlign w:val="center"/>
          </w:tcPr>
          <w:p w14:paraId="5C2F01C6" w14:textId="77777777" w:rsidR="006420CB" w:rsidRPr="002A0D65" w:rsidRDefault="006420CB" w:rsidP="004127DE">
            <w:pPr>
              <w:pStyle w:val="TableHeaders"/>
            </w:pPr>
            <w:r w:rsidRPr="002A0D65">
              <w:t>Item</w:t>
            </w:r>
          </w:p>
        </w:tc>
        <w:tc>
          <w:tcPr>
            <w:tcW w:w="3782" w:type="dxa"/>
            <w:shd w:val="clear" w:color="auto" w:fill="B8CCE4" w:themeFill="accent1" w:themeFillTint="66"/>
            <w:vAlign w:val="center"/>
          </w:tcPr>
          <w:p w14:paraId="1263E89E" w14:textId="77777777" w:rsidR="006420CB" w:rsidRPr="002A0D65" w:rsidRDefault="006420CB" w:rsidP="004127DE">
            <w:pPr>
              <w:pStyle w:val="TableHeaders"/>
            </w:pPr>
            <w:r w:rsidRPr="002A0D65">
              <w:t>Compliance Level</w:t>
            </w:r>
          </w:p>
        </w:tc>
      </w:tr>
      <w:tr w:rsidR="006420CB" w:rsidRPr="002E5E5F" w14:paraId="0C3F5351" w14:textId="77777777" w:rsidTr="002F776E">
        <w:trPr>
          <w:trHeight w:val="638"/>
        </w:trPr>
        <w:tc>
          <w:tcPr>
            <w:tcW w:w="4447" w:type="dxa"/>
            <w:vAlign w:val="center"/>
          </w:tcPr>
          <w:p w14:paraId="281C4E06" w14:textId="77777777" w:rsidR="006420CB" w:rsidRPr="002E5E5F" w:rsidRDefault="006420CB" w:rsidP="002E5E5F">
            <w:pPr>
              <w:pStyle w:val="TableText"/>
            </w:pPr>
            <w:r w:rsidRPr="002E5E5F">
              <w:t>Reviews of Significant Offices</w:t>
            </w:r>
          </w:p>
        </w:tc>
        <w:tc>
          <w:tcPr>
            <w:tcW w:w="3782" w:type="dxa"/>
            <w:vAlign w:val="center"/>
          </w:tcPr>
          <w:p w14:paraId="60EA0143" w14:textId="77777777" w:rsidR="006420CB" w:rsidRPr="002E5E5F" w:rsidRDefault="006420CB" w:rsidP="002E5E5F">
            <w:pPr>
              <w:pStyle w:val="TableText"/>
              <w:jc w:val="right"/>
            </w:pPr>
            <w:r w:rsidRPr="002E5E5F">
              <w:t>100%</w:t>
            </w:r>
          </w:p>
        </w:tc>
      </w:tr>
      <w:tr w:rsidR="006420CB" w:rsidRPr="002E5E5F" w14:paraId="7D6342A4" w14:textId="77777777" w:rsidTr="002F776E">
        <w:trPr>
          <w:trHeight w:val="980"/>
        </w:trPr>
        <w:tc>
          <w:tcPr>
            <w:tcW w:w="4447" w:type="dxa"/>
            <w:vAlign w:val="center"/>
          </w:tcPr>
          <w:p w14:paraId="746BF415" w14:textId="77777777" w:rsidR="006420CB" w:rsidRPr="002E5E5F" w:rsidRDefault="006420CB" w:rsidP="002E5E5F">
            <w:pPr>
              <w:pStyle w:val="TableText"/>
            </w:pPr>
            <w:r w:rsidRPr="002E5E5F">
              <w:t xml:space="preserve">Field checks conducted when more than 10 job orders have been placed through the Agricultural Recruitment System </w:t>
            </w:r>
          </w:p>
        </w:tc>
        <w:tc>
          <w:tcPr>
            <w:tcW w:w="3782" w:type="dxa"/>
            <w:vAlign w:val="center"/>
          </w:tcPr>
          <w:p w14:paraId="6C7FC987" w14:textId="77777777" w:rsidR="006420CB" w:rsidRPr="002E5E5F" w:rsidRDefault="006420CB" w:rsidP="002E5E5F">
            <w:pPr>
              <w:pStyle w:val="TableText"/>
              <w:jc w:val="right"/>
            </w:pPr>
            <w:r w:rsidRPr="002E5E5F">
              <w:t>25%</w:t>
            </w:r>
          </w:p>
        </w:tc>
      </w:tr>
      <w:tr w:rsidR="006420CB" w:rsidRPr="00BE2B42" w14:paraId="130F0515" w14:textId="77777777" w:rsidTr="002F776E">
        <w:trPr>
          <w:trHeight w:val="1070"/>
        </w:trPr>
        <w:tc>
          <w:tcPr>
            <w:tcW w:w="4447" w:type="dxa"/>
            <w:vAlign w:val="center"/>
          </w:tcPr>
          <w:p w14:paraId="64007E7E" w14:textId="77777777" w:rsidR="006420CB" w:rsidRPr="002A0D65" w:rsidRDefault="006420CB" w:rsidP="002E5E5F">
            <w:pPr>
              <w:pStyle w:val="TableText"/>
            </w:pPr>
            <w:r w:rsidRPr="002A0D65">
              <w:t>Field checks conducted when 10 or fewer job orders (but at least one) have been placed through the Agricultural Recruitment System</w:t>
            </w:r>
          </w:p>
        </w:tc>
        <w:tc>
          <w:tcPr>
            <w:tcW w:w="3782" w:type="dxa"/>
            <w:vAlign w:val="center"/>
          </w:tcPr>
          <w:p w14:paraId="02019DCA" w14:textId="77777777" w:rsidR="006420CB" w:rsidRPr="002A0D65" w:rsidRDefault="006420CB" w:rsidP="002E5E5F">
            <w:pPr>
              <w:pStyle w:val="TableText"/>
              <w:jc w:val="right"/>
            </w:pPr>
            <w:r w:rsidRPr="002A0D65">
              <w:t>100%</w:t>
            </w:r>
          </w:p>
        </w:tc>
      </w:tr>
      <w:tr w:rsidR="006420CB" w:rsidRPr="00BE2B42" w14:paraId="588415E9" w14:textId="77777777" w:rsidTr="002F776E">
        <w:trPr>
          <w:trHeight w:val="440"/>
        </w:trPr>
        <w:tc>
          <w:tcPr>
            <w:tcW w:w="4447" w:type="dxa"/>
            <w:vAlign w:val="center"/>
          </w:tcPr>
          <w:p w14:paraId="4242C109" w14:textId="77777777" w:rsidR="006420CB" w:rsidRPr="002A0D65" w:rsidRDefault="006420CB" w:rsidP="002E5E5F">
            <w:pPr>
              <w:pStyle w:val="TableText"/>
            </w:pPr>
            <w:r w:rsidRPr="002A0D65">
              <w:t>Outreach contacts per week</w:t>
            </w:r>
          </w:p>
        </w:tc>
        <w:tc>
          <w:tcPr>
            <w:tcW w:w="3782" w:type="dxa"/>
            <w:vAlign w:val="center"/>
          </w:tcPr>
          <w:p w14:paraId="15F44EEA" w14:textId="77777777" w:rsidR="006420CB" w:rsidRPr="002A0D65" w:rsidRDefault="006420CB" w:rsidP="002E5E5F">
            <w:pPr>
              <w:pStyle w:val="TableText"/>
              <w:jc w:val="right"/>
            </w:pPr>
            <w:r w:rsidRPr="002A0D65">
              <w:t>40</w:t>
            </w:r>
          </w:p>
        </w:tc>
      </w:tr>
      <w:tr w:rsidR="006420CB" w:rsidRPr="00BE2B42" w14:paraId="207783A8" w14:textId="77777777" w:rsidTr="002E5E5F">
        <w:trPr>
          <w:trHeight w:val="520"/>
        </w:trPr>
        <w:tc>
          <w:tcPr>
            <w:tcW w:w="4447" w:type="dxa"/>
            <w:vAlign w:val="center"/>
          </w:tcPr>
          <w:p w14:paraId="5E49809B" w14:textId="77777777" w:rsidR="006420CB" w:rsidRPr="002A0D65" w:rsidRDefault="006420CB" w:rsidP="002E5E5F">
            <w:pPr>
              <w:pStyle w:val="TableText"/>
            </w:pPr>
            <w:r w:rsidRPr="002A0D65">
              <w:t>Timely processing of ES complaints</w:t>
            </w:r>
          </w:p>
        </w:tc>
        <w:tc>
          <w:tcPr>
            <w:tcW w:w="3782" w:type="dxa"/>
            <w:vAlign w:val="center"/>
          </w:tcPr>
          <w:p w14:paraId="44D7A8E7" w14:textId="77777777" w:rsidR="006420CB" w:rsidRPr="002A0D65" w:rsidRDefault="006420CB" w:rsidP="002E5E5F">
            <w:pPr>
              <w:pStyle w:val="TableText"/>
              <w:jc w:val="right"/>
            </w:pPr>
            <w:r w:rsidRPr="002A0D65">
              <w:t>100%</w:t>
            </w:r>
          </w:p>
        </w:tc>
      </w:tr>
    </w:tbl>
    <w:p w14:paraId="0F059883" w14:textId="77777777" w:rsidR="006420CB" w:rsidRDefault="006420CB" w:rsidP="00790B3A">
      <w:pPr>
        <w:pStyle w:val="BodyText"/>
      </w:pPr>
      <w:r>
        <w:lastRenderedPageBreak/>
        <w:t xml:space="preserve">Performance outcomes for all states in PY 2023 are available online, </w:t>
      </w:r>
      <w:hyperlink r:id="rId212" w:history="1">
        <w:r w:rsidRPr="00CE673B">
          <w:rPr>
            <w:rStyle w:val="Hyperlink"/>
          </w:rPr>
          <w:t>PY 2023 LEARS 5148 Report Part I Data by SWA</w:t>
        </w:r>
      </w:hyperlink>
      <w:r>
        <w:t>.</w:t>
      </w:r>
    </w:p>
    <w:p w14:paraId="18366945" w14:textId="77777777" w:rsidR="006420CB" w:rsidRPr="000F25DC" w:rsidRDefault="006420CB" w:rsidP="00EB3D97">
      <w:pPr>
        <w:pStyle w:val="BodyText3"/>
        <w:ind w:left="720" w:hanging="720"/>
      </w:pPr>
      <w:r>
        <w:t>D.</w:t>
      </w:r>
      <w:r>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rsidRPr="000F25DC">
        <w:t>regarding</w:t>
      </w:r>
      <w:r w:rsidRPr="000F25DC">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7A714ABD" w14:textId="19D6C233" w:rsidR="006420CB" w:rsidRDefault="006420CB" w:rsidP="00DE3D21">
      <w:pPr>
        <w:pStyle w:val="BodyText"/>
      </w:pPr>
      <w:r w:rsidRPr="000F25DC">
        <w:t>The Wagner-Peyser Final Rule</w:t>
      </w:r>
      <w:r>
        <w:t xml:space="preserve">, discussed in the Employment Services Guide to Agency Programs section, </w:t>
      </w:r>
      <w:r w:rsidRPr="000F25DC">
        <w:t xml:space="preserve">strengthens </w:t>
      </w:r>
      <w:r>
        <w:t xml:space="preserve">the </w:t>
      </w:r>
      <w:r w:rsidRPr="000F25DC">
        <w:t>SMA role by increasing its authority and independence. Key changes include requiring the SMA to be a senior-level employee reporting directly to the Executive Director</w:t>
      </w:r>
      <w:r>
        <w:t xml:space="preserve"> or designee</w:t>
      </w:r>
      <w:r w:rsidRPr="000F25DC">
        <w:t>, providing adequate resources and access to management, preventing conflicts of interest</w:t>
      </w:r>
      <w:r>
        <w:t xml:space="preserve">, </w:t>
      </w:r>
      <w:r w:rsidRPr="000F25DC">
        <w:t>especially in complaint processing</w:t>
      </w:r>
      <w:r>
        <w:t>,</w:t>
      </w:r>
      <w:r w:rsidRPr="000F25DC">
        <w:t xml:space="preserve"> and protecting the SMA from retaliation for reporting noncompliance with Employment Service</w:t>
      </w:r>
      <w:r>
        <w:t>s</w:t>
      </w:r>
      <w:r w:rsidRPr="000F25DC">
        <w:t xml:space="preserve"> regulations.</w:t>
      </w:r>
    </w:p>
    <w:p w14:paraId="1659A666" w14:textId="77777777" w:rsidR="006420CB" w:rsidRPr="000F25DC" w:rsidRDefault="006420CB" w:rsidP="00DE3D21">
      <w:pPr>
        <w:pStyle w:val="BodyText3"/>
        <w:ind w:left="720" w:hanging="720"/>
      </w:pPr>
      <w:r>
        <w:t>E.</w:t>
      </w:r>
      <w:r>
        <w:tab/>
      </w:r>
      <w:r w:rsidRPr="000F25DC">
        <w:t>List any qualifications or eligibility requirements for persons or entities affected by this division or program (e.g., licensees, consumers, and landowners). Provide a statistical breakdown of persons or entities affected.</w:t>
      </w:r>
    </w:p>
    <w:p w14:paraId="08515ACB" w14:textId="77E01B6E" w:rsidR="006420CB" w:rsidRDefault="006420CB" w:rsidP="00774251">
      <w:pPr>
        <w:pStyle w:val="BodyText"/>
        <w:rPr>
          <w:rFonts w:ascii="Segoe UI" w:hAnsi="Segoe UI" w:cs="Segoe UI"/>
          <w:sz w:val="18"/>
          <w:szCs w:val="18"/>
        </w:rPr>
      </w:pPr>
      <w:r>
        <w:t xml:space="preserve">According to the 2022 U.S. Department of Agriculture 2022 Agricultural Census report, there are 120,468 MSFWs in Texas. </w:t>
      </w:r>
      <w:r w:rsidRPr="005E5498">
        <w:t>DOL</w:t>
      </w:r>
      <w:r>
        <w:t>ETA</w:t>
      </w:r>
      <w:r w:rsidRPr="005E5498">
        <w:t xml:space="preserve"> designates Workforce Solutions Offices as Significant MSFW Workforce Solutions Offices if their MSFW population accounts for 10 percent or more of their annual participants or reportable individuals in E</w:t>
      </w:r>
      <w:r>
        <w:t xml:space="preserve">mployment </w:t>
      </w:r>
      <w:r w:rsidRPr="005E5498">
        <w:t>S</w:t>
      </w:r>
      <w:r>
        <w:t>ervices</w:t>
      </w:r>
      <w:r w:rsidRPr="005E5498">
        <w:t xml:space="preserve">, as well as those who are included due to special circumstances such as when there is </w:t>
      </w:r>
      <w:proofErr w:type="gramStart"/>
      <w:r w:rsidRPr="005E5498">
        <w:t>a large number of</w:t>
      </w:r>
      <w:proofErr w:type="gramEnd"/>
      <w:r w:rsidRPr="005E5498">
        <w:t xml:space="preserve"> MSFWs estimated in the Board area. MSFW outreach staff who are assigned to Significant Workforce Solutions Office areas must implement a targeted outreach strategy</w:t>
      </w:r>
      <w:r>
        <w:t>, annually outreaching each office,</w:t>
      </w:r>
      <w:r w:rsidRPr="005E5498">
        <w:t xml:space="preserve"> to ensure that </w:t>
      </w:r>
      <w:r>
        <w:t>employment</w:t>
      </w:r>
      <w:r w:rsidRPr="005E5498">
        <w:t xml:space="preserve"> services are tailored to the unique needs of MSFWs in the area. </w:t>
      </w:r>
      <w:r>
        <w:t>Twelve Employment Services are designated for MSFW outreach in six Board areas, either full or part time, and nine of those positions are filled. The majority of the MSFW outreach staff split their duties between outreach and other Employment Services responsibilities in their respective offices.  </w:t>
      </w:r>
    </w:p>
    <w:p w14:paraId="3414D904" w14:textId="77777777" w:rsidR="006420CB" w:rsidRPr="005E5498" w:rsidRDefault="006420CB" w:rsidP="00774251">
      <w:pPr>
        <w:pStyle w:val="BodyText"/>
      </w:pPr>
      <w:r w:rsidRPr="005E5498">
        <w:t xml:space="preserve">The </w:t>
      </w:r>
      <w:r>
        <w:t xml:space="preserve">table below lists </w:t>
      </w:r>
      <w:r w:rsidRPr="005E5498">
        <w:t xml:space="preserve">Workforce Solutions </w:t>
      </w:r>
      <w:r>
        <w:t>o</w:t>
      </w:r>
      <w:r w:rsidRPr="005E5498">
        <w:t xml:space="preserve">ffices </w:t>
      </w:r>
      <w:r>
        <w:t xml:space="preserve">that </w:t>
      </w:r>
      <w:r w:rsidRPr="005E5498">
        <w:t xml:space="preserve">currently have such a designation. </w:t>
      </w:r>
    </w:p>
    <w:tbl>
      <w:tblPr>
        <w:tblStyle w:val="TableGrid1"/>
        <w:tblW w:w="7776" w:type="dxa"/>
        <w:tblLayout w:type="fixed"/>
        <w:tblCellMar>
          <w:top w:w="58" w:type="dxa"/>
          <w:bottom w:w="58" w:type="dxa"/>
        </w:tblCellMar>
        <w:tblLook w:val="0000" w:firstRow="0" w:lastRow="0" w:firstColumn="0" w:lastColumn="0" w:noHBand="0" w:noVBand="0"/>
      </w:tblPr>
      <w:tblGrid>
        <w:gridCol w:w="4045"/>
        <w:gridCol w:w="3731"/>
      </w:tblGrid>
      <w:tr w:rsidR="006420CB" w:rsidRPr="005E5498" w14:paraId="52788B9C" w14:textId="77777777" w:rsidTr="00254A77">
        <w:trPr>
          <w:trHeight w:val="108"/>
          <w:tblHeader/>
        </w:trPr>
        <w:tc>
          <w:tcPr>
            <w:tcW w:w="4045" w:type="dxa"/>
            <w:shd w:val="clear" w:color="auto" w:fill="B8CCE4" w:themeFill="accent1" w:themeFillTint="66"/>
            <w:vAlign w:val="center"/>
          </w:tcPr>
          <w:p w14:paraId="1BC5EC42" w14:textId="77777777" w:rsidR="006420CB" w:rsidRPr="005E5498" w:rsidRDefault="006420CB" w:rsidP="00774251">
            <w:pPr>
              <w:pStyle w:val="TableHeaders"/>
            </w:pPr>
            <w:r w:rsidRPr="005E5498">
              <w:t>Texas Significant MSFW Offices by Board Area</w:t>
            </w:r>
          </w:p>
        </w:tc>
        <w:tc>
          <w:tcPr>
            <w:tcW w:w="3731" w:type="dxa"/>
            <w:shd w:val="clear" w:color="auto" w:fill="B8CCE4" w:themeFill="accent1" w:themeFillTint="66"/>
            <w:vAlign w:val="center"/>
          </w:tcPr>
          <w:p w14:paraId="13056ECE" w14:textId="77777777" w:rsidR="006420CB" w:rsidRPr="005E5498" w:rsidRDefault="006420CB" w:rsidP="00774251">
            <w:pPr>
              <w:pStyle w:val="TableHeaders"/>
            </w:pPr>
            <w:r w:rsidRPr="005E5498">
              <w:t>Cities</w:t>
            </w:r>
          </w:p>
        </w:tc>
      </w:tr>
      <w:tr w:rsidR="006420CB" w:rsidRPr="005E5498" w14:paraId="64C6AF0E" w14:textId="77777777" w:rsidTr="0028269D">
        <w:trPr>
          <w:trHeight w:val="529"/>
        </w:trPr>
        <w:tc>
          <w:tcPr>
            <w:tcW w:w="4045" w:type="dxa"/>
            <w:vAlign w:val="center"/>
          </w:tcPr>
          <w:p w14:paraId="7590B10B" w14:textId="77777777" w:rsidR="006420CB" w:rsidRPr="005E5498" w:rsidRDefault="006420CB" w:rsidP="00774251">
            <w:pPr>
              <w:pStyle w:val="TableText"/>
            </w:pPr>
            <w:r w:rsidRPr="005E5498">
              <w:t>Workforce Solutions Lower Rio Grande Valley</w:t>
            </w:r>
          </w:p>
        </w:tc>
        <w:tc>
          <w:tcPr>
            <w:tcW w:w="3731" w:type="dxa"/>
            <w:vAlign w:val="center"/>
          </w:tcPr>
          <w:p w14:paraId="4AE4D6E0" w14:textId="77777777" w:rsidR="006420CB" w:rsidRPr="005E5498" w:rsidRDefault="006420CB" w:rsidP="00774251">
            <w:pPr>
              <w:pStyle w:val="TableText"/>
            </w:pPr>
            <w:r w:rsidRPr="005E5498">
              <w:t>Mission/Rio Grande City</w:t>
            </w:r>
          </w:p>
          <w:p w14:paraId="48142E29" w14:textId="77777777" w:rsidR="006420CB" w:rsidRPr="005E5498" w:rsidRDefault="006420CB" w:rsidP="00774251">
            <w:pPr>
              <w:pStyle w:val="TableText"/>
            </w:pPr>
            <w:r w:rsidRPr="005E5498">
              <w:t>Edinburg</w:t>
            </w:r>
          </w:p>
          <w:p w14:paraId="493BAC1E" w14:textId="77777777" w:rsidR="006420CB" w:rsidRPr="005E5498" w:rsidRDefault="006420CB" w:rsidP="00774251">
            <w:pPr>
              <w:pStyle w:val="TableText"/>
            </w:pPr>
            <w:r w:rsidRPr="005E5498">
              <w:t>Weslaco</w:t>
            </w:r>
          </w:p>
          <w:p w14:paraId="1146D0D8" w14:textId="77777777" w:rsidR="006420CB" w:rsidRPr="005E5498" w:rsidRDefault="006420CB" w:rsidP="00774251">
            <w:pPr>
              <w:pStyle w:val="TableText"/>
            </w:pPr>
            <w:r w:rsidRPr="005E5498">
              <w:t>Raymondville</w:t>
            </w:r>
          </w:p>
        </w:tc>
      </w:tr>
      <w:tr w:rsidR="006420CB" w:rsidRPr="005E5498" w14:paraId="103448D0" w14:textId="77777777" w:rsidTr="0028269D">
        <w:trPr>
          <w:trHeight w:val="110"/>
        </w:trPr>
        <w:tc>
          <w:tcPr>
            <w:tcW w:w="4045" w:type="dxa"/>
            <w:vAlign w:val="center"/>
          </w:tcPr>
          <w:p w14:paraId="35369BF4" w14:textId="77777777" w:rsidR="006420CB" w:rsidRPr="005E5498" w:rsidRDefault="006420CB" w:rsidP="00774251">
            <w:pPr>
              <w:pStyle w:val="TableText"/>
            </w:pPr>
            <w:r w:rsidRPr="005E5498">
              <w:t xml:space="preserve">Workforce Solutions </w:t>
            </w:r>
            <w:proofErr w:type="spellStart"/>
            <w:r w:rsidRPr="005E5498">
              <w:t>Borderplex</w:t>
            </w:r>
            <w:proofErr w:type="spellEnd"/>
          </w:p>
        </w:tc>
        <w:tc>
          <w:tcPr>
            <w:tcW w:w="3731" w:type="dxa"/>
            <w:vAlign w:val="center"/>
          </w:tcPr>
          <w:p w14:paraId="0B09C0C0" w14:textId="77777777" w:rsidR="006420CB" w:rsidRPr="005E5498" w:rsidRDefault="006420CB" w:rsidP="00774251">
            <w:pPr>
              <w:pStyle w:val="TableText"/>
            </w:pPr>
            <w:r w:rsidRPr="005E5498">
              <w:t>Horizon (North Loop)</w:t>
            </w:r>
          </w:p>
        </w:tc>
      </w:tr>
      <w:tr w:rsidR="006420CB" w:rsidRPr="005E5498" w14:paraId="74EC59CC" w14:textId="77777777" w:rsidTr="0028269D">
        <w:trPr>
          <w:trHeight w:val="249"/>
        </w:trPr>
        <w:tc>
          <w:tcPr>
            <w:tcW w:w="4045" w:type="dxa"/>
            <w:vAlign w:val="center"/>
          </w:tcPr>
          <w:p w14:paraId="40DA1CD8" w14:textId="77777777" w:rsidR="006420CB" w:rsidRPr="005E5498" w:rsidRDefault="006420CB" w:rsidP="00774251">
            <w:pPr>
              <w:pStyle w:val="TableText"/>
            </w:pPr>
            <w:r w:rsidRPr="005E5498">
              <w:t>Workforce Solutions South Plains</w:t>
            </w:r>
          </w:p>
        </w:tc>
        <w:tc>
          <w:tcPr>
            <w:tcW w:w="3731" w:type="dxa"/>
            <w:vAlign w:val="center"/>
          </w:tcPr>
          <w:p w14:paraId="0A9156AD" w14:textId="77777777" w:rsidR="006420CB" w:rsidRPr="005E5498" w:rsidRDefault="006420CB" w:rsidP="00774251">
            <w:pPr>
              <w:pStyle w:val="TableText"/>
            </w:pPr>
            <w:r w:rsidRPr="005E5498">
              <w:t>Muleshoe</w:t>
            </w:r>
          </w:p>
          <w:p w14:paraId="04B6D3EA" w14:textId="77777777" w:rsidR="006420CB" w:rsidRPr="005E5498" w:rsidRDefault="006420CB" w:rsidP="00774251">
            <w:pPr>
              <w:pStyle w:val="TableText"/>
            </w:pPr>
            <w:r w:rsidRPr="005E5498">
              <w:t>Plainview</w:t>
            </w:r>
          </w:p>
        </w:tc>
      </w:tr>
      <w:tr w:rsidR="006420CB" w:rsidRPr="005E5498" w14:paraId="2FA404E9" w14:textId="77777777" w:rsidTr="0028269D">
        <w:trPr>
          <w:trHeight w:val="110"/>
        </w:trPr>
        <w:tc>
          <w:tcPr>
            <w:tcW w:w="4045" w:type="dxa"/>
            <w:vAlign w:val="center"/>
          </w:tcPr>
          <w:p w14:paraId="2A3DE43E" w14:textId="77777777" w:rsidR="006420CB" w:rsidRPr="005E5498" w:rsidRDefault="006420CB" w:rsidP="00774251">
            <w:pPr>
              <w:pStyle w:val="TableText"/>
            </w:pPr>
            <w:r w:rsidRPr="005E5498">
              <w:t>Workforce Solutions Middle Rio Grande</w:t>
            </w:r>
          </w:p>
        </w:tc>
        <w:tc>
          <w:tcPr>
            <w:tcW w:w="3731" w:type="dxa"/>
            <w:vAlign w:val="center"/>
          </w:tcPr>
          <w:p w14:paraId="2369DF30" w14:textId="77777777" w:rsidR="006420CB" w:rsidRPr="005E5498" w:rsidRDefault="006420CB" w:rsidP="00774251">
            <w:pPr>
              <w:pStyle w:val="TableText"/>
            </w:pPr>
            <w:r w:rsidRPr="005E5498">
              <w:t>Eagle Pass</w:t>
            </w:r>
          </w:p>
        </w:tc>
      </w:tr>
      <w:tr w:rsidR="006420CB" w:rsidRPr="005E5498" w14:paraId="6BCAD1A4" w14:textId="77777777" w:rsidTr="0028269D">
        <w:trPr>
          <w:trHeight w:val="110"/>
        </w:trPr>
        <w:tc>
          <w:tcPr>
            <w:tcW w:w="4045" w:type="dxa"/>
            <w:vAlign w:val="center"/>
          </w:tcPr>
          <w:p w14:paraId="425D3BA1" w14:textId="77777777" w:rsidR="006420CB" w:rsidRPr="005E5498" w:rsidRDefault="006420CB" w:rsidP="00774251">
            <w:pPr>
              <w:pStyle w:val="TableText"/>
            </w:pPr>
            <w:r w:rsidRPr="005E5498">
              <w:t>Workforce Solutions South Texas</w:t>
            </w:r>
          </w:p>
        </w:tc>
        <w:tc>
          <w:tcPr>
            <w:tcW w:w="3731" w:type="dxa"/>
            <w:vAlign w:val="center"/>
          </w:tcPr>
          <w:p w14:paraId="0DC5794A" w14:textId="77777777" w:rsidR="006420CB" w:rsidRPr="005E5498" w:rsidRDefault="006420CB" w:rsidP="00774251">
            <w:pPr>
              <w:pStyle w:val="TableText"/>
            </w:pPr>
            <w:r w:rsidRPr="005E5498">
              <w:t>Laredo</w:t>
            </w:r>
          </w:p>
        </w:tc>
      </w:tr>
      <w:tr w:rsidR="006420CB" w:rsidRPr="005E5498" w14:paraId="1B32A6A0" w14:textId="77777777" w:rsidTr="0028269D">
        <w:trPr>
          <w:trHeight w:val="249"/>
        </w:trPr>
        <w:tc>
          <w:tcPr>
            <w:tcW w:w="4045" w:type="dxa"/>
            <w:vAlign w:val="center"/>
          </w:tcPr>
          <w:p w14:paraId="5ED95E89" w14:textId="77777777" w:rsidR="006420CB" w:rsidRPr="005E5498" w:rsidRDefault="006420CB" w:rsidP="00774251">
            <w:pPr>
              <w:pStyle w:val="TableText"/>
            </w:pPr>
            <w:r w:rsidRPr="005E5498">
              <w:lastRenderedPageBreak/>
              <w:t>Workforce Solutions Cameron County</w:t>
            </w:r>
          </w:p>
        </w:tc>
        <w:tc>
          <w:tcPr>
            <w:tcW w:w="3731" w:type="dxa"/>
            <w:vAlign w:val="center"/>
          </w:tcPr>
          <w:p w14:paraId="540CA594" w14:textId="77777777" w:rsidR="006420CB" w:rsidRPr="005E5498" w:rsidRDefault="006420CB" w:rsidP="00774251">
            <w:pPr>
              <w:pStyle w:val="TableText"/>
            </w:pPr>
            <w:r w:rsidRPr="005E5498">
              <w:t>Brownsville</w:t>
            </w:r>
          </w:p>
          <w:p w14:paraId="0439099E" w14:textId="77777777" w:rsidR="006420CB" w:rsidRPr="005E5498" w:rsidRDefault="006420CB" w:rsidP="00774251">
            <w:pPr>
              <w:pStyle w:val="TableText"/>
            </w:pPr>
            <w:r w:rsidRPr="005E5498">
              <w:t>Harlingen</w:t>
            </w:r>
          </w:p>
        </w:tc>
      </w:tr>
    </w:tbl>
    <w:p w14:paraId="05EF4CA9" w14:textId="77777777" w:rsidR="006420CB" w:rsidRPr="000F25DC" w:rsidRDefault="006420CB" w:rsidP="005A1D73">
      <w:pPr>
        <w:pStyle w:val="BodyText3"/>
        <w:ind w:left="720" w:hanging="720"/>
      </w:pPr>
      <w:r>
        <w:t>F.</w:t>
      </w:r>
      <w:r>
        <w:tab/>
      </w:r>
      <w:r w:rsidRPr="000F25DC">
        <w:t>Describe how the division or program is administered, including a description of key processes involved. If you have existing documentation (e.g., flowcharts, timelines, and other illustrations)</w:t>
      </w:r>
      <w:r w:rsidRPr="000F25DC">
        <w:rPr>
          <w:spacing w:val="-3"/>
        </w:rPr>
        <w:t xml:space="preserve"> </w:t>
      </w:r>
      <w:r w:rsidRPr="000F25DC">
        <w:t>to</w:t>
      </w:r>
      <w:r w:rsidRPr="000F25DC">
        <w:rPr>
          <w:spacing w:val="-2"/>
        </w:rPr>
        <w:t xml:space="preserve"> </w:t>
      </w:r>
      <w:r w:rsidRPr="000F25DC">
        <w:t>describe</w:t>
      </w:r>
      <w:r w:rsidRPr="000F25DC">
        <w:rPr>
          <w:spacing w:val="-6"/>
        </w:rPr>
        <w:t xml:space="preserve"> </w:t>
      </w:r>
      <w:r w:rsidRPr="000F25DC">
        <w:t>agency</w:t>
      </w:r>
      <w:r w:rsidRPr="000F25DC">
        <w:rPr>
          <w:spacing w:val="-3"/>
        </w:rPr>
        <w:t xml:space="preserve"> </w:t>
      </w:r>
      <w:r w:rsidRPr="000F25DC">
        <w:t>policies</w:t>
      </w:r>
      <w:r w:rsidRPr="000F25DC">
        <w:rPr>
          <w:spacing w:val="-2"/>
        </w:rPr>
        <w:t xml:space="preserve"> </w:t>
      </w:r>
      <w:r w:rsidRPr="000F25DC">
        <w:t>and</w:t>
      </w:r>
      <w:r w:rsidRPr="000F25DC">
        <w:rPr>
          <w:spacing w:val="-2"/>
        </w:rPr>
        <w:t xml:space="preserve"> </w:t>
      </w:r>
      <w:r w:rsidRPr="000F25DC">
        <w:t>procedures,</w:t>
      </w:r>
      <w:r w:rsidRPr="000F25DC">
        <w:rPr>
          <w:spacing w:val="-2"/>
        </w:rPr>
        <w:t xml:space="preserve"> </w:t>
      </w:r>
      <w:r w:rsidRPr="000F25DC">
        <w:t>please</w:t>
      </w:r>
      <w:r w:rsidRPr="000F25DC">
        <w:rPr>
          <w:spacing w:val="-3"/>
        </w:rPr>
        <w:t xml:space="preserve"> </w:t>
      </w:r>
      <w:r w:rsidRPr="000F25DC">
        <w:t>include</w:t>
      </w:r>
      <w:r w:rsidRPr="000F25DC">
        <w:rPr>
          <w:spacing w:val="-3"/>
        </w:rPr>
        <w:t xml:space="preserve"> </w:t>
      </w:r>
      <w:r w:rsidRPr="000F25DC">
        <w:t>them</w:t>
      </w:r>
      <w:r w:rsidRPr="000F25DC">
        <w:rPr>
          <w:spacing w:val="-3"/>
        </w:rPr>
        <w:t xml:space="preserve"> </w:t>
      </w:r>
      <w:r w:rsidRPr="000F25DC">
        <w:t>as</w:t>
      </w:r>
      <w:r w:rsidRPr="000F25DC">
        <w:rPr>
          <w:spacing w:val="-2"/>
        </w:rPr>
        <w:t xml:space="preserve"> </w:t>
      </w:r>
      <w:r w:rsidRPr="000F25DC">
        <w:t>attachments. Indicate how field/regional services are used, if applicable.</w:t>
      </w:r>
    </w:p>
    <w:p w14:paraId="23B34FC3" w14:textId="77777777" w:rsidR="006420CB" w:rsidRPr="002C2AF4" w:rsidRDefault="006420CB" w:rsidP="00D427FF">
      <w:pPr>
        <w:pStyle w:val="BodyText"/>
      </w:pPr>
      <w:r w:rsidRPr="002C2AF4">
        <w:t xml:space="preserve">The SMA’s functions fall into the following two main categories: monitoring and advocating, hence the name “State Monitor Advocate.” The SMA has two FTE’s that assist with state monitor activities. </w:t>
      </w:r>
    </w:p>
    <w:p w14:paraId="3107B0A0" w14:textId="77777777" w:rsidR="006420CB" w:rsidRDefault="006420CB" w:rsidP="00C64851">
      <w:pPr>
        <w:pStyle w:val="BodyText"/>
        <w:numPr>
          <w:ilvl w:val="0"/>
          <w:numId w:val="885"/>
        </w:numPr>
      </w:pPr>
      <w:r w:rsidRPr="000F25DC">
        <w:t>Monitoring involves observing and measuring progress as well as the degree of compliance with Employment Service</w:t>
      </w:r>
      <w:r>
        <w:t>s</w:t>
      </w:r>
      <w:r w:rsidRPr="000F25DC">
        <w:t xml:space="preserve"> regulations</w:t>
      </w:r>
      <w:r>
        <w:t>.</w:t>
      </w:r>
    </w:p>
    <w:p w14:paraId="0F0FBA3A" w14:textId="77777777" w:rsidR="006420CB" w:rsidRPr="000F25DC" w:rsidRDefault="006420CB" w:rsidP="00C64851">
      <w:pPr>
        <w:pStyle w:val="BodyText"/>
        <w:numPr>
          <w:ilvl w:val="0"/>
          <w:numId w:val="886"/>
        </w:numPr>
      </w:pPr>
      <w:r w:rsidRPr="000F25DC">
        <w:t xml:space="preserve">Annually, </w:t>
      </w:r>
      <w:r>
        <w:t>Texas’</w:t>
      </w:r>
      <w:r w:rsidRPr="000F25DC">
        <w:t xml:space="preserve"> SMA conducts on-site visits to all twelve </w:t>
      </w:r>
      <w:r>
        <w:t>W</w:t>
      </w:r>
      <w:r w:rsidRPr="000F25DC">
        <w:t xml:space="preserve">orkforce </w:t>
      </w:r>
      <w:r>
        <w:t>S</w:t>
      </w:r>
      <w:r w:rsidRPr="000F25DC">
        <w:t xml:space="preserve">olutions </w:t>
      </w:r>
      <w:r>
        <w:t>O</w:t>
      </w:r>
      <w:r w:rsidRPr="000F25DC">
        <w:t xml:space="preserve">ffices designated as significant MSFW offices by </w:t>
      </w:r>
      <w:r>
        <w:t>DOLETA</w:t>
      </w:r>
      <w:r w:rsidRPr="000F25DC">
        <w:t xml:space="preserve">. In addition, the SMA visits </w:t>
      </w:r>
      <w:r>
        <w:t>five to seven</w:t>
      </w:r>
      <w:r w:rsidRPr="000F25DC">
        <w:t xml:space="preserve"> other </w:t>
      </w:r>
      <w:r>
        <w:t>W</w:t>
      </w:r>
      <w:r w:rsidRPr="000F25DC">
        <w:t xml:space="preserve">orkforce </w:t>
      </w:r>
      <w:r>
        <w:t>S</w:t>
      </w:r>
      <w:r w:rsidRPr="000F25DC">
        <w:t xml:space="preserve">olutions </w:t>
      </w:r>
      <w:r>
        <w:t>O</w:t>
      </w:r>
      <w:r w:rsidRPr="000F25DC">
        <w:t>ffices across the state. During these visits, the SMA assesses the level of compliance with federal statutes and regulations. Information gathered during these monitoring visits is compiled into reports that assist TWC in fulfilling its Wagner-Peyser Act objectives and in delivering quality, non-discriminatory employment services to MSFWs. Currently, six monitoring reports are completed each year, covering six board areas, with the goal of increasing this to seven reports in the coming year. </w:t>
      </w:r>
    </w:p>
    <w:p w14:paraId="5569FF05" w14:textId="5CABEE50" w:rsidR="006420CB" w:rsidRPr="00F84B88" w:rsidRDefault="006420CB" w:rsidP="00C64851">
      <w:pPr>
        <w:pStyle w:val="BodyText"/>
        <w:numPr>
          <w:ilvl w:val="0"/>
          <w:numId w:val="886"/>
        </w:numPr>
      </w:pPr>
      <w:r w:rsidRPr="000F25DC">
        <w:t>The SMA provides technical assistance during each monitoring visit. These sessions aim to inform local staff about best practices and provide detailed explanations of the protections afforded to MSFWs under federal regulations. These technical sessions help local staff improve their proficiency in serving the MSFW population. </w:t>
      </w:r>
    </w:p>
    <w:p w14:paraId="5E694D10" w14:textId="00DB0A1B" w:rsidR="006420CB" w:rsidRPr="000F25DC" w:rsidRDefault="00D64470" w:rsidP="00D64470">
      <w:pPr>
        <w:pStyle w:val="BodyText"/>
        <w:ind w:left="720" w:hanging="360"/>
        <w:rPr>
          <w:rFonts w:ascii="Calibri" w:eastAsia="Calibri" w:hAnsi="Calibri" w:cs="Calibri"/>
        </w:rPr>
      </w:pPr>
      <w:r>
        <w:t>2.</w:t>
      </w:r>
      <w:r>
        <w:tab/>
      </w:r>
      <w:r w:rsidR="006420CB" w:rsidRPr="000F25DC">
        <w:t>Advocating involves publicly defending, recommending, and supporting improved services for MSFWs</w:t>
      </w:r>
      <w:r w:rsidR="006420CB">
        <w:t>.</w:t>
      </w:r>
      <w:r w:rsidR="006420CB" w:rsidRPr="000F25DC">
        <w:t xml:space="preserve"> </w:t>
      </w:r>
    </w:p>
    <w:p w14:paraId="08BE4E62" w14:textId="10DADD5C" w:rsidR="006420CB" w:rsidRPr="009355CC" w:rsidRDefault="006420CB" w:rsidP="007A5EB0">
      <w:pPr>
        <w:pStyle w:val="BodyText"/>
        <w:numPr>
          <w:ilvl w:val="0"/>
          <w:numId w:val="894"/>
        </w:numPr>
        <w:ind w:left="1080"/>
        <w:rPr>
          <w:rFonts w:asciiTheme="minorHAnsi" w:hAnsiTheme="minorHAnsi" w:cstheme="minorBidi"/>
        </w:rPr>
      </w:pPr>
      <w:r w:rsidRPr="00D64470">
        <w:rPr>
          <w:rStyle w:val="BodyTextChar"/>
        </w:rPr>
        <w:t xml:space="preserve">The SMA and SMA staff are responsible for reviewing the effectiveness of the Employment Services and Employment Related Law Complaint System. The SMA and SMA staff are prohibited from activities that may conflict with their monitoring responsibilities, including having an active role in the complaint in-take process, logging of complaints and apparent violations, investigations into apparent violations and complaints, contact with the complainants, resolution decisions or notification of resolutions. Additionally, they are not involved in the appeals process for complaints. The SMA and SMA staff receive complaint logs </w:t>
      </w:r>
      <w:r w:rsidRPr="00D64470">
        <w:rPr>
          <w:rStyle w:val="BodyTextChar"/>
        </w:rPr>
        <w:lastRenderedPageBreak/>
        <w:t>and a monthly outreach summary report from the Boards. These reports are used to monitor the complaint system and to process and resolve complaints.</w:t>
      </w:r>
    </w:p>
    <w:p w14:paraId="07D1CAD7" w14:textId="3AF12157" w:rsidR="006420CB" w:rsidRDefault="006420CB" w:rsidP="007A5EB0">
      <w:pPr>
        <w:pStyle w:val="BodyText"/>
        <w:numPr>
          <w:ilvl w:val="0"/>
          <w:numId w:val="799"/>
        </w:numPr>
        <w:ind w:left="1080"/>
      </w:pPr>
      <w:r w:rsidRPr="70664181">
        <w:t>The SMA offers ongoing guidance to TWC supervisory staff regarding the implementation of regulatory changes and new strategic plans. This guidance is designed to improve service delivery and ensure full compliance with the terms and conditions of the federal grant. Key areas where the SMA provides valuable information include the complaint system, the agricultural recruitment system, and MSFW outreach in the field</w:t>
      </w:r>
      <w:r w:rsidR="00D64470">
        <w:t>.</w:t>
      </w:r>
    </w:p>
    <w:p w14:paraId="165F474A" w14:textId="77777777" w:rsidR="006420CB" w:rsidRPr="00827C45" w:rsidRDefault="006420CB" w:rsidP="00D96D27">
      <w:pPr>
        <w:pStyle w:val="BodyText"/>
        <w:numPr>
          <w:ilvl w:val="0"/>
          <w:numId w:val="799"/>
        </w:numPr>
        <w:ind w:left="1080"/>
      </w:pPr>
      <w:r w:rsidRPr="00827C45">
        <w:t>The SMA contributes to the development of statewide guidance, operating manuals, and directives that impact service delivery to MSFWs by providing technical assistance.</w:t>
      </w:r>
    </w:p>
    <w:p w14:paraId="603EA9AA" w14:textId="77777777" w:rsidR="006420CB" w:rsidRDefault="006420CB" w:rsidP="00D96D27">
      <w:pPr>
        <w:pStyle w:val="BodyText"/>
        <w:numPr>
          <w:ilvl w:val="0"/>
          <w:numId w:val="799"/>
        </w:numPr>
        <w:ind w:left="1080"/>
      </w:pPr>
      <w:r w:rsidRPr="00827C45">
        <w:t>To enhance awareness and combat crime and illegal practices within the agricultural sector, the SMA coordinates webinars for all TWC boards and moderates training sessions led by professionals with expertise in human trafficking, with a focus on labor trafficking, and U.S. hires before and during the H-2A visa program. These webinars and training sessions are scheduled every one to two months. </w:t>
      </w:r>
    </w:p>
    <w:p w14:paraId="5EFFB90B" w14:textId="77777777" w:rsidR="006420CB" w:rsidRDefault="006420CB" w:rsidP="00B226C6">
      <w:pPr>
        <w:pStyle w:val="BodyText"/>
        <w:numPr>
          <w:ilvl w:val="0"/>
          <w:numId w:val="799"/>
        </w:numPr>
        <w:ind w:left="1080"/>
      </w:pPr>
      <w:r>
        <w:t>T</w:t>
      </w:r>
      <w:r w:rsidRPr="00F80A95">
        <w:t xml:space="preserve">he SMA meets at least monthly with organizations supporting farmworkers, such as the Texas Farmworker Coalition, as well as with employer organizations. These meetings facilitate a better understanding of their needs and the </w:t>
      </w:r>
      <w:proofErr w:type="gramStart"/>
      <w:r w:rsidRPr="00F80A95">
        <w:t>current status</w:t>
      </w:r>
      <w:proofErr w:type="gramEnd"/>
      <w:r w:rsidRPr="00F80A95">
        <w:t xml:space="preserve"> of the agricultural industry. </w:t>
      </w:r>
    </w:p>
    <w:p w14:paraId="136AD67B" w14:textId="77777777" w:rsidR="006420CB" w:rsidRPr="00F80A95" w:rsidRDefault="006420CB" w:rsidP="00B226C6">
      <w:pPr>
        <w:pStyle w:val="BodyText"/>
        <w:numPr>
          <w:ilvl w:val="0"/>
          <w:numId w:val="799"/>
        </w:numPr>
        <w:ind w:left="1080"/>
      </w:pPr>
      <w:r w:rsidRPr="00F80A95">
        <w:t>The SMA also must explain and make available, at the requestor’s cost, pertinent directives and procedures to employers, employer organizations, farmworkers, farmworker organizations, and other parties expressing an interest in a readily identifiable directive or procedure issued and receive suggestions on how these documents can be improved. </w:t>
      </w:r>
    </w:p>
    <w:p w14:paraId="5F483FCE" w14:textId="77777777" w:rsidR="006420CB" w:rsidRPr="000F25DC" w:rsidRDefault="006420CB" w:rsidP="00886910">
      <w:pPr>
        <w:pStyle w:val="BodyText3"/>
        <w:ind w:left="720" w:hanging="720"/>
        <w:rPr>
          <w:i/>
        </w:rPr>
      </w:pPr>
      <w:r>
        <w:t>G.</w:t>
      </w:r>
      <w:r>
        <w:tab/>
      </w:r>
      <w:r w:rsidRPr="000F25DC">
        <w:t>If key to understanding the division or program, identify funding sources and amounts, including federal grants and pass-through monies. Describe any funding formulas or funding conventions. Please</w:t>
      </w:r>
      <w:r w:rsidRPr="000F25DC">
        <w:rPr>
          <w:spacing w:val="-1"/>
        </w:rPr>
        <w:t xml:space="preserve"> </w:t>
      </w:r>
      <w:r w:rsidRPr="000F25DC">
        <w:t>specify</w:t>
      </w:r>
      <w:r w:rsidRPr="000F25DC">
        <w:rPr>
          <w:spacing w:val="-1"/>
        </w:rPr>
        <w:t xml:space="preserve"> </w:t>
      </w:r>
      <w:r w:rsidRPr="000F25DC">
        <w:t>state</w:t>
      </w:r>
      <w:r w:rsidRPr="000F25DC">
        <w:rPr>
          <w:spacing w:val="-1"/>
        </w:rPr>
        <w:t xml:space="preserve"> </w:t>
      </w:r>
      <w:r w:rsidRPr="000F25DC">
        <w:t>funding</w:t>
      </w:r>
      <w:r w:rsidRPr="000F25DC">
        <w:rPr>
          <w:spacing w:val="-1"/>
        </w:rPr>
        <w:t xml:space="preserve"> </w:t>
      </w:r>
      <w:r w:rsidRPr="000F25DC">
        <w:t>sources (e.g., general revenue, appropriations</w:t>
      </w:r>
      <w:r w:rsidRPr="000F25DC">
        <w:rPr>
          <w:spacing w:val="-2"/>
        </w:rPr>
        <w:t xml:space="preserve"> </w:t>
      </w:r>
      <w:r w:rsidRPr="000F25DC">
        <w:t>rider, budget</w:t>
      </w:r>
      <w:r w:rsidRPr="000F25DC">
        <w:rPr>
          <w:spacing w:val="-5"/>
        </w:rPr>
        <w:t xml:space="preserve"> </w:t>
      </w:r>
      <w:r w:rsidRPr="000F25DC">
        <w:t>strategy,</w:t>
      </w:r>
      <w:r w:rsidRPr="000F25DC">
        <w:rPr>
          <w:spacing w:val="-5"/>
        </w:rPr>
        <w:t xml:space="preserve"> </w:t>
      </w:r>
      <w:r w:rsidRPr="000F25DC">
        <w:t>and</w:t>
      </w:r>
      <w:r w:rsidRPr="000F25DC">
        <w:rPr>
          <w:spacing w:val="-5"/>
        </w:rPr>
        <w:t xml:space="preserve"> </w:t>
      </w:r>
      <w:r w:rsidRPr="000F25DC">
        <w:t>fees/dues).</w:t>
      </w:r>
      <w:r w:rsidRPr="000F25DC">
        <w:rPr>
          <w:spacing w:val="-5"/>
        </w:rPr>
        <w:t xml:space="preserve"> </w:t>
      </w:r>
      <w:r w:rsidRPr="000F25DC">
        <w:rPr>
          <w:i/>
        </w:rPr>
        <w:t>(If</w:t>
      </w:r>
      <w:r w:rsidRPr="000F25DC">
        <w:rPr>
          <w:i/>
          <w:spacing w:val="-6"/>
        </w:rPr>
        <w:t xml:space="preserve"> </w:t>
      </w:r>
      <w:r w:rsidRPr="000F25DC">
        <w:rPr>
          <w:i/>
        </w:rPr>
        <w:t>you</w:t>
      </w:r>
      <w:r w:rsidRPr="000F25DC">
        <w:rPr>
          <w:i/>
          <w:spacing w:val="-6"/>
        </w:rPr>
        <w:t xml:space="preserve"> </w:t>
      </w:r>
      <w:r w:rsidRPr="000F25DC">
        <w:rPr>
          <w:i/>
        </w:rPr>
        <w:t>have</w:t>
      </w:r>
      <w:r w:rsidRPr="000F25DC">
        <w:rPr>
          <w:i/>
          <w:spacing w:val="-5"/>
        </w:rPr>
        <w:t xml:space="preserve"> </w:t>
      </w:r>
      <w:r w:rsidRPr="000F25DC">
        <w:rPr>
          <w:i/>
        </w:rPr>
        <w:t>already</w:t>
      </w:r>
      <w:r w:rsidRPr="000F25DC">
        <w:rPr>
          <w:i/>
          <w:spacing w:val="-5"/>
        </w:rPr>
        <w:t xml:space="preserve"> </w:t>
      </w:r>
      <w:r w:rsidRPr="000F25DC">
        <w:rPr>
          <w:i/>
        </w:rPr>
        <w:t>submitted</w:t>
      </w:r>
      <w:r w:rsidRPr="000F25DC">
        <w:rPr>
          <w:i/>
          <w:spacing w:val="-6"/>
        </w:rPr>
        <w:t xml:space="preserve"> </w:t>
      </w:r>
      <w:r w:rsidRPr="000F25DC">
        <w:rPr>
          <w:i/>
        </w:rPr>
        <w:t>funding</w:t>
      </w:r>
      <w:r w:rsidRPr="000F25DC">
        <w:rPr>
          <w:i/>
          <w:spacing w:val="-6"/>
        </w:rPr>
        <w:t xml:space="preserve"> </w:t>
      </w:r>
      <w:r w:rsidRPr="000F25DC">
        <w:rPr>
          <w:i/>
        </w:rPr>
        <w:t>source</w:t>
      </w:r>
      <w:r w:rsidRPr="000F25DC">
        <w:rPr>
          <w:i/>
          <w:spacing w:val="-5"/>
        </w:rPr>
        <w:t xml:space="preserve"> </w:t>
      </w:r>
      <w:r w:rsidRPr="000F25DC">
        <w:rPr>
          <w:i/>
        </w:rPr>
        <w:t>info</w:t>
      </w:r>
      <w:r w:rsidRPr="000F25DC">
        <w:rPr>
          <w:i/>
          <w:spacing w:val="-6"/>
        </w:rPr>
        <w:t xml:space="preserve"> </w:t>
      </w:r>
      <w:r w:rsidRPr="000F25DC">
        <w:rPr>
          <w:i/>
        </w:rPr>
        <w:t>through</w:t>
      </w:r>
      <w:r w:rsidRPr="000F25DC">
        <w:rPr>
          <w:i/>
          <w:spacing w:val="-6"/>
        </w:rPr>
        <w:t xml:space="preserve"> </w:t>
      </w:r>
      <w:r w:rsidRPr="000F25DC">
        <w:rPr>
          <w:i/>
        </w:rPr>
        <w:t>the “Agency Program Information” spreadsheet, please limit your response to funding formulas or funding conventions.)</w:t>
      </w:r>
    </w:p>
    <w:tbl>
      <w:tblPr>
        <w:tblStyle w:val="TableGrid1"/>
        <w:tblW w:w="8640" w:type="dxa"/>
        <w:tblLayout w:type="fixed"/>
        <w:tblCellMar>
          <w:top w:w="58" w:type="dxa"/>
          <w:bottom w:w="58" w:type="dxa"/>
        </w:tblCellMar>
        <w:tblLook w:val="0000" w:firstRow="0" w:lastRow="0" w:firstColumn="0" w:lastColumn="0" w:noHBand="0" w:noVBand="0"/>
      </w:tblPr>
      <w:tblGrid>
        <w:gridCol w:w="2904"/>
        <w:gridCol w:w="2018"/>
        <w:gridCol w:w="1689"/>
        <w:gridCol w:w="2029"/>
      </w:tblGrid>
      <w:tr w:rsidR="007B03DF" w:rsidRPr="00FF2F97" w14:paraId="69F36D23" w14:textId="77777777" w:rsidTr="00E65E8C">
        <w:trPr>
          <w:trHeight w:val="610"/>
          <w:tblHeader/>
        </w:trPr>
        <w:tc>
          <w:tcPr>
            <w:tcW w:w="3485" w:type="dxa"/>
            <w:shd w:val="clear" w:color="auto" w:fill="B8CCE4" w:themeFill="accent1" w:themeFillTint="66"/>
            <w:vAlign w:val="center"/>
          </w:tcPr>
          <w:p w14:paraId="4821CCBB" w14:textId="77777777" w:rsidR="007B03DF" w:rsidRPr="00FF2F97" w:rsidRDefault="007B03DF" w:rsidP="00A4309F">
            <w:pPr>
              <w:pStyle w:val="TableHeaders"/>
            </w:pPr>
            <w:r w:rsidRPr="00FF2F97">
              <w:t>Program or Function Detail Description</w:t>
            </w:r>
          </w:p>
        </w:tc>
        <w:tc>
          <w:tcPr>
            <w:tcW w:w="2407" w:type="dxa"/>
            <w:shd w:val="clear" w:color="auto" w:fill="B8CCE4" w:themeFill="accent1" w:themeFillTint="66"/>
            <w:vAlign w:val="center"/>
          </w:tcPr>
          <w:p w14:paraId="53B7F853" w14:textId="77777777" w:rsidR="007B03DF" w:rsidRPr="00FF2F97" w:rsidRDefault="007B03DF" w:rsidP="00A4309F">
            <w:pPr>
              <w:pStyle w:val="TableHeaders"/>
            </w:pPr>
            <w:r w:rsidRPr="00FF2F97">
              <w:t>Total FY 2024</w:t>
            </w:r>
          </w:p>
        </w:tc>
        <w:tc>
          <w:tcPr>
            <w:tcW w:w="2006" w:type="dxa"/>
            <w:shd w:val="clear" w:color="auto" w:fill="B8CCE4" w:themeFill="accent1" w:themeFillTint="66"/>
            <w:vAlign w:val="center"/>
          </w:tcPr>
          <w:p w14:paraId="53BE728D" w14:textId="77777777" w:rsidR="007B03DF" w:rsidRPr="00FF2F97" w:rsidRDefault="007B03DF" w:rsidP="00A4309F">
            <w:pPr>
              <w:pStyle w:val="TableHeaders"/>
            </w:pPr>
            <w:r w:rsidRPr="00FF2F97">
              <w:t>Federal Funding</w:t>
            </w:r>
          </w:p>
        </w:tc>
        <w:tc>
          <w:tcPr>
            <w:tcW w:w="2420" w:type="dxa"/>
            <w:shd w:val="clear" w:color="auto" w:fill="B8CCE4" w:themeFill="accent1" w:themeFillTint="66"/>
            <w:vAlign w:val="center"/>
          </w:tcPr>
          <w:p w14:paraId="4C3D625D" w14:textId="77777777" w:rsidR="007B03DF" w:rsidRPr="00FF2F97" w:rsidRDefault="007B03DF" w:rsidP="00A4309F">
            <w:pPr>
              <w:pStyle w:val="TableHeaders"/>
            </w:pPr>
            <w:r w:rsidRPr="00FF2F97">
              <w:t>State Funding</w:t>
            </w:r>
          </w:p>
        </w:tc>
      </w:tr>
      <w:tr w:rsidR="007B03DF" w:rsidRPr="00FF2F97" w14:paraId="7253E13F" w14:textId="77777777" w:rsidTr="00E65E8C">
        <w:trPr>
          <w:trHeight w:val="444"/>
          <w:tblHeader/>
        </w:trPr>
        <w:tc>
          <w:tcPr>
            <w:tcW w:w="3485" w:type="dxa"/>
            <w:vAlign w:val="center"/>
          </w:tcPr>
          <w:p w14:paraId="3AAED260" w14:textId="77777777" w:rsidR="007B03DF" w:rsidRPr="00FF2F97" w:rsidRDefault="007B03DF" w:rsidP="00A4309F">
            <w:pPr>
              <w:pStyle w:val="TableText"/>
            </w:pPr>
            <w:r w:rsidRPr="00FF2F97">
              <w:t>Senior Community Service Employment Program</w:t>
            </w:r>
          </w:p>
        </w:tc>
        <w:tc>
          <w:tcPr>
            <w:tcW w:w="2407" w:type="dxa"/>
            <w:vAlign w:val="center"/>
          </w:tcPr>
          <w:p w14:paraId="5FC96D9D" w14:textId="77777777" w:rsidR="007B03DF" w:rsidRPr="00FF2F97" w:rsidRDefault="007B03DF" w:rsidP="00A4309F">
            <w:pPr>
              <w:pStyle w:val="TableText"/>
              <w:jc w:val="right"/>
            </w:pPr>
            <w:r w:rsidRPr="00FF2F97">
              <w:t xml:space="preserve">4,439,676 </w:t>
            </w:r>
          </w:p>
        </w:tc>
        <w:tc>
          <w:tcPr>
            <w:tcW w:w="2006" w:type="dxa"/>
            <w:vAlign w:val="center"/>
          </w:tcPr>
          <w:p w14:paraId="4D7EF77A" w14:textId="77777777" w:rsidR="007B03DF" w:rsidRPr="00FF2F97" w:rsidRDefault="007B03DF" w:rsidP="00A4309F">
            <w:pPr>
              <w:pStyle w:val="TableText"/>
              <w:jc w:val="right"/>
            </w:pPr>
            <w:r w:rsidRPr="00FF2F97">
              <w:t xml:space="preserve">4,409,039 </w:t>
            </w:r>
          </w:p>
        </w:tc>
        <w:tc>
          <w:tcPr>
            <w:tcW w:w="2420" w:type="dxa"/>
            <w:vAlign w:val="center"/>
          </w:tcPr>
          <w:p w14:paraId="1AE8DC30" w14:textId="77777777" w:rsidR="007B03DF" w:rsidRPr="00FF2F97" w:rsidRDefault="007B03DF" w:rsidP="00A4309F">
            <w:pPr>
              <w:pStyle w:val="TableText"/>
              <w:jc w:val="right"/>
            </w:pPr>
            <w:r w:rsidRPr="00FF2F97">
              <w:t xml:space="preserve">30,637 </w:t>
            </w:r>
          </w:p>
        </w:tc>
      </w:tr>
    </w:tbl>
    <w:p w14:paraId="1F0DC817" w14:textId="77777777" w:rsidR="006420CB" w:rsidRPr="00AA2A3D" w:rsidRDefault="006420CB" w:rsidP="00886910">
      <w:pPr>
        <w:pStyle w:val="BodyText3"/>
        <w:ind w:left="720" w:hanging="720"/>
        <w:rPr>
          <w:spacing w:val="-2"/>
        </w:rPr>
      </w:pPr>
      <w:r>
        <w:lastRenderedPageBreak/>
        <w:t>H.</w:t>
      </w:r>
      <w:r>
        <w:tab/>
      </w:r>
      <w:r w:rsidRPr="000F25DC">
        <w:t>Briefly discuss any memoranda of understanding (MOU), interagency agreements, or interagency</w:t>
      </w:r>
      <w:r w:rsidRPr="00AA2A3D">
        <w:rPr>
          <w:spacing w:val="35"/>
        </w:rPr>
        <w:t xml:space="preserve"> </w:t>
      </w:r>
      <w:r w:rsidRPr="000F25DC">
        <w:t>contracts</w:t>
      </w:r>
      <w:r w:rsidRPr="00AA2A3D">
        <w:rPr>
          <w:spacing w:val="37"/>
        </w:rPr>
        <w:t xml:space="preserve"> </w:t>
      </w:r>
      <w:r w:rsidRPr="000F25DC">
        <w:t>the</w:t>
      </w:r>
      <w:r w:rsidRPr="00AA2A3D">
        <w:rPr>
          <w:spacing w:val="35"/>
        </w:rPr>
        <w:t xml:space="preserve"> </w:t>
      </w:r>
      <w:r w:rsidRPr="000F25DC">
        <w:t>agency</w:t>
      </w:r>
      <w:r w:rsidRPr="00AA2A3D">
        <w:rPr>
          <w:spacing w:val="36"/>
        </w:rPr>
        <w:t xml:space="preserve"> </w:t>
      </w:r>
      <w:r w:rsidRPr="000F25DC">
        <w:t>uses</w:t>
      </w:r>
      <w:r w:rsidRPr="00AA2A3D">
        <w:rPr>
          <w:spacing w:val="37"/>
        </w:rPr>
        <w:t xml:space="preserve"> </w:t>
      </w:r>
      <w:r w:rsidRPr="000F25DC">
        <w:t>to</w:t>
      </w:r>
      <w:r w:rsidRPr="00AA2A3D">
        <w:rPr>
          <w:spacing w:val="36"/>
        </w:rPr>
        <w:t xml:space="preserve"> </w:t>
      </w:r>
      <w:r w:rsidRPr="000F25DC">
        <w:t>coordinate</w:t>
      </w:r>
      <w:r w:rsidRPr="00AA2A3D">
        <w:rPr>
          <w:spacing w:val="33"/>
        </w:rPr>
        <w:t xml:space="preserve"> </w:t>
      </w:r>
      <w:r w:rsidRPr="000F25DC">
        <w:t>its</w:t>
      </w:r>
      <w:r w:rsidRPr="00AA2A3D">
        <w:rPr>
          <w:spacing w:val="34"/>
        </w:rPr>
        <w:t xml:space="preserve"> </w:t>
      </w:r>
      <w:r w:rsidRPr="000F25DC">
        <w:t>activities</w:t>
      </w:r>
      <w:r w:rsidRPr="00AA2A3D">
        <w:rPr>
          <w:spacing w:val="34"/>
        </w:rPr>
        <w:t xml:space="preserve"> </w:t>
      </w:r>
      <w:r w:rsidRPr="000F25DC">
        <w:t>and</w:t>
      </w:r>
      <w:r w:rsidRPr="00AA2A3D">
        <w:rPr>
          <w:spacing w:val="34"/>
        </w:rPr>
        <w:t xml:space="preserve"> </w:t>
      </w:r>
      <w:r w:rsidRPr="000F25DC">
        <w:t>avoid</w:t>
      </w:r>
      <w:r w:rsidRPr="00AA2A3D">
        <w:rPr>
          <w:spacing w:val="35"/>
        </w:rPr>
        <w:t xml:space="preserve"> </w:t>
      </w:r>
      <w:r w:rsidRPr="000F25DC">
        <w:t>duplication</w:t>
      </w:r>
      <w:r w:rsidRPr="00AA2A3D">
        <w:rPr>
          <w:spacing w:val="37"/>
        </w:rPr>
        <w:t xml:space="preserve"> </w:t>
      </w:r>
      <w:r w:rsidRPr="00AA2A3D">
        <w:rPr>
          <w:spacing w:val="-5"/>
        </w:rPr>
        <w:t>or</w:t>
      </w:r>
      <w:r>
        <w:t xml:space="preserve"> </w:t>
      </w:r>
      <w:r w:rsidRPr="000F25DC">
        <w:t xml:space="preserve">conflict with other entities that provide similar or identical services or functions to the target </w:t>
      </w:r>
      <w:r w:rsidRPr="00AA2A3D">
        <w:rPr>
          <w:spacing w:val="-2"/>
        </w:rPr>
        <w:t>population.</w:t>
      </w:r>
    </w:p>
    <w:p w14:paraId="1EBF967F" w14:textId="77777777" w:rsidR="006420CB" w:rsidRPr="000F25DC" w:rsidRDefault="006420CB" w:rsidP="00886910">
      <w:pPr>
        <w:pStyle w:val="BodyText"/>
      </w:pPr>
      <w:r w:rsidRPr="000F25DC">
        <w:t xml:space="preserve">The National Farmworker Jobs Program (NFJP) is a </w:t>
      </w:r>
      <w:r>
        <w:t>DOLETA-</w:t>
      </w:r>
      <w:r w:rsidRPr="000F25DC">
        <w:t xml:space="preserve">funded initiative aimed at assisting MSFWs and their families </w:t>
      </w:r>
      <w:r>
        <w:t xml:space="preserve">in </w:t>
      </w:r>
      <w:r w:rsidRPr="000F25DC">
        <w:t xml:space="preserve">achieving greater economic stability. The current grantee operating in Texas is Motivation, Education and Training. They are a private non-profit offering career services, trainings for upskilled work and in some instances economic assistance for housing needs. </w:t>
      </w:r>
      <w:r>
        <w:t xml:space="preserve">Unlike </w:t>
      </w:r>
      <w:r w:rsidRPr="000F25DC">
        <w:t>Wagner-Peyser</w:t>
      </w:r>
      <w:r>
        <w:t xml:space="preserve"> Act services</w:t>
      </w:r>
      <w:r w:rsidRPr="000F25DC">
        <w:t>, NFJPs have eligibility requirements and can also include dependents of MSFWs. NFJP's have a regional approach where service coverage is focused on areas where they have historically high number of MSFWs requesting services.</w:t>
      </w:r>
      <w:r>
        <w:t xml:space="preserve"> </w:t>
      </w:r>
      <w:r w:rsidRPr="58D0E01B">
        <w:t>TWC has an MOU in place with</w:t>
      </w:r>
      <w:r w:rsidRPr="58D0E01B">
        <w:rPr>
          <w:color w:val="000000"/>
          <w:bdr w:val="none" w:sz="0" w:space="0" w:color="auto" w:frame="1"/>
        </w:rPr>
        <w:t xml:space="preserve"> </w:t>
      </w:r>
      <w:r w:rsidRPr="58D0E01B">
        <w:t xml:space="preserve">Motivation, Education and Training aimed at coordinating efforts to serve the MSFW population, including customer referral and outreach activities. </w:t>
      </w:r>
    </w:p>
    <w:p w14:paraId="3015D9FA" w14:textId="77777777" w:rsidR="006420CB" w:rsidRDefault="006420CB" w:rsidP="007B6DA7">
      <w:pPr>
        <w:pStyle w:val="BodyText"/>
      </w:pPr>
      <w:r w:rsidRPr="000F25DC">
        <w:t>The Migrant Education Program is a</w:t>
      </w:r>
      <w:r>
        <w:t>n</w:t>
      </w:r>
      <w:r w:rsidRPr="000F25DC">
        <w:t xml:space="preserve"> </w:t>
      </w:r>
      <w:r>
        <w:t>i</w:t>
      </w:r>
      <w:r w:rsidRPr="000F25DC">
        <w:t>nitiative</w:t>
      </w:r>
      <w:r>
        <w:t xml:space="preserve"> funded by the </w:t>
      </w:r>
      <w:r w:rsidRPr="000F25DC">
        <w:t>U</w:t>
      </w:r>
      <w:r>
        <w:t>.</w:t>
      </w:r>
      <w:r w:rsidRPr="000F25DC">
        <w:t>S</w:t>
      </w:r>
      <w:r>
        <w:t>.</w:t>
      </w:r>
      <w:r w:rsidRPr="000F25DC">
        <w:t xml:space="preserve"> Department of Education aimed at ensuring children</w:t>
      </w:r>
      <w:r>
        <w:t xml:space="preserve"> </w:t>
      </w:r>
      <w:r w:rsidRPr="000F25DC">
        <w:t>in migrant families</w:t>
      </w:r>
      <w:r>
        <w:t xml:space="preserve">, </w:t>
      </w:r>
      <w:r w:rsidRPr="000F25DC">
        <w:t>ages 3 through 21</w:t>
      </w:r>
      <w:r>
        <w:t>,</w:t>
      </w:r>
      <w:r w:rsidRPr="000F25DC">
        <w:t xml:space="preserve"> </w:t>
      </w:r>
      <w:r>
        <w:t>overcome</w:t>
      </w:r>
      <w:r w:rsidRPr="000F25DC">
        <w:t xml:space="preserve"> academic challenges and graduate with a high-school diploma. T</w:t>
      </w:r>
      <w:r>
        <w:t>EA</w:t>
      </w:r>
      <w:r w:rsidRPr="000F25DC">
        <w:t xml:space="preserve"> runs the </w:t>
      </w:r>
      <w:r>
        <w:t xml:space="preserve">Migrant Education Program.  </w:t>
      </w:r>
      <w:r w:rsidRPr="000F25DC">
        <w:t xml:space="preserve">TWC is working on an MOU with </w:t>
      </w:r>
      <w:r>
        <w:t>TEA’s</w:t>
      </w:r>
      <w:r w:rsidRPr="000F25DC">
        <w:t xml:space="preserve"> Migrant Education Program to coordinate efforts in locating and referring customers.  </w:t>
      </w:r>
    </w:p>
    <w:p w14:paraId="51582668" w14:textId="77777777" w:rsidR="006420CB" w:rsidRPr="000F25DC" w:rsidRDefault="006420CB" w:rsidP="007B6DA7">
      <w:pPr>
        <w:pStyle w:val="BodyText3"/>
        <w:ind w:left="720" w:hanging="720"/>
      </w:pPr>
      <w:r>
        <w:t>I.</w:t>
      </w:r>
      <w:r>
        <w:tab/>
      </w:r>
      <w:r w:rsidRPr="000F25DC">
        <w:t>If</w:t>
      </w:r>
      <w:r w:rsidRPr="000F25DC">
        <w:rPr>
          <w:spacing w:val="-3"/>
        </w:rPr>
        <w:t xml:space="preserve"> </w:t>
      </w:r>
      <w:r w:rsidRPr="000F25DC">
        <w:t>the</w:t>
      </w:r>
      <w:r w:rsidRPr="000F25DC">
        <w:rPr>
          <w:spacing w:val="-2"/>
        </w:rPr>
        <w:t xml:space="preserve"> </w:t>
      </w:r>
      <w:r w:rsidRPr="000F25DC">
        <w:t>division</w:t>
      </w:r>
      <w:r w:rsidRPr="000F25DC">
        <w:rPr>
          <w:spacing w:val="-1"/>
        </w:rPr>
        <w:t xml:space="preserve"> </w:t>
      </w:r>
      <w:r w:rsidRPr="000F25DC">
        <w:t>or</w:t>
      </w:r>
      <w:r w:rsidRPr="000F25DC">
        <w:rPr>
          <w:spacing w:val="-3"/>
        </w:rPr>
        <w:t xml:space="preserve"> </w:t>
      </w:r>
      <w:r w:rsidRPr="000F25DC">
        <w:t>program</w:t>
      </w:r>
      <w:r w:rsidRPr="000F25DC">
        <w:rPr>
          <w:spacing w:val="-2"/>
        </w:rPr>
        <w:t xml:space="preserve"> </w:t>
      </w:r>
      <w:r w:rsidRPr="000F25DC">
        <w:t>works</w:t>
      </w:r>
      <w:r w:rsidRPr="000F25DC">
        <w:rPr>
          <w:spacing w:val="-1"/>
        </w:rPr>
        <w:t xml:space="preserve"> </w:t>
      </w:r>
      <w:r w:rsidRPr="000F25DC">
        <w:t>with</w:t>
      </w:r>
      <w:r w:rsidRPr="000F25DC">
        <w:rPr>
          <w:spacing w:val="-3"/>
        </w:rPr>
        <w:t xml:space="preserve"> </w:t>
      </w:r>
      <w:r w:rsidRPr="000F25DC">
        <w:t>local,</w:t>
      </w:r>
      <w:r w:rsidRPr="000F25DC">
        <w:rPr>
          <w:spacing w:val="-3"/>
        </w:rPr>
        <w:t xml:space="preserve"> </w:t>
      </w:r>
      <w:r w:rsidRPr="000F25DC">
        <w:t>regional,</w:t>
      </w:r>
      <w:r w:rsidRPr="000F25DC">
        <w:rPr>
          <w:spacing w:val="-3"/>
        </w:rPr>
        <w:t xml:space="preserve"> </w:t>
      </w:r>
      <w:r w:rsidRPr="000F25DC">
        <w:t>or federal</w:t>
      </w:r>
      <w:r w:rsidRPr="000F25DC">
        <w:rPr>
          <w:spacing w:val="-3"/>
        </w:rPr>
        <w:t xml:space="preserve"> </w:t>
      </w:r>
      <w:r w:rsidRPr="000F25DC">
        <w:t>units</w:t>
      </w:r>
      <w:r w:rsidRPr="000F25DC">
        <w:rPr>
          <w:spacing w:val="-1"/>
        </w:rPr>
        <w:t xml:space="preserve"> </w:t>
      </w:r>
      <w:r w:rsidRPr="000F25DC">
        <w:t>of</w:t>
      </w:r>
      <w:r w:rsidRPr="000F25DC">
        <w:rPr>
          <w:spacing w:val="-3"/>
        </w:rPr>
        <w:t xml:space="preserve"> </w:t>
      </w:r>
      <w:r w:rsidRPr="000F25DC">
        <w:t>government,</w:t>
      </w:r>
      <w:r w:rsidRPr="000F25DC">
        <w:rPr>
          <w:spacing w:val="-1"/>
        </w:rPr>
        <w:t xml:space="preserve"> </w:t>
      </w:r>
      <w:r w:rsidRPr="000F25DC">
        <w:t>include a brief description of these entities and their relationship to the agency.</w:t>
      </w:r>
    </w:p>
    <w:p w14:paraId="3DC654C6" w14:textId="77777777" w:rsidR="006420CB" w:rsidRPr="000F25DC" w:rsidRDefault="006420CB" w:rsidP="007B6DA7">
      <w:pPr>
        <w:pStyle w:val="BodyText"/>
      </w:pPr>
      <w:r w:rsidRPr="000F25DC">
        <w:t>The Monitor Advocate System is a federal/state monitoring system. Each state workforce agency has a</w:t>
      </w:r>
      <w:r>
        <w:t xml:space="preserve">n </w:t>
      </w:r>
      <w:r w:rsidRPr="000F25DC">
        <w:t xml:space="preserve">SMA who reviews state MSFW services on an ongoing basis. At the federal level, the </w:t>
      </w:r>
      <w:r>
        <w:t>DOLETA r</w:t>
      </w:r>
      <w:r w:rsidRPr="000F25DC">
        <w:t xml:space="preserve">egional offices have Regional Monitor Advocates who provide support to SMAs and one National Monitor Advocate who oversees the entire system.  SMAs hold meetings and receive trainings from other divisions within </w:t>
      </w:r>
      <w:r>
        <w:t xml:space="preserve">DOLETA, </w:t>
      </w:r>
      <w:r w:rsidRPr="000F25DC">
        <w:t xml:space="preserve">such as the Wage &amp; Hour Division and </w:t>
      </w:r>
      <w:r>
        <w:t>Occupational Safety and Health Administration.</w:t>
      </w:r>
      <w:r w:rsidRPr="000F25DC">
        <w:t>  </w:t>
      </w:r>
    </w:p>
    <w:p w14:paraId="7CAF0678" w14:textId="77777777" w:rsidR="006420CB" w:rsidRPr="000F25DC" w:rsidRDefault="006420CB" w:rsidP="007B6DA7">
      <w:pPr>
        <w:pStyle w:val="BodyText3"/>
        <w:ind w:left="720" w:hanging="720"/>
      </w:pPr>
      <w:r>
        <w:t>J.</w:t>
      </w:r>
      <w:r>
        <w:tab/>
      </w:r>
      <w:r w:rsidRPr="000F25DC">
        <w:t>Are there any barriers or challenges that impede the division or program’s performance, including any outdated or ineffective state laws? Explain.</w:t>
      </w:r>
    </w:p>
    <w:p w14:paraId="619821ED" w14:textId="77777777" w:rsidR="006420CB" w:rsidRDefault="006420CB" w:rsidP="006C47F4">
      <w:pPr>
        <w:pStyle w:val="BodyText"/>
        <w:rPr>
          <w:shd w:val="clear" w:color="auto" w:fill="FFFFFF"/>
        </w:rPr>
      </w:pPr>
      <w:r w:rsidRPr="000F25DC">
        <w:rPr>
          <w:shd w:val="clear" w:color="auto" w:fill="FFFFFF"/>
        </w:rPr>
        <w:t xml:space="preserve">The greatest challenge is sufficient funding for staff and resources to the State Monitor Advocate office </w:t>
      </w:r>
      <w:r>
        <w:rPr>
          <w:shd w:val="clear" w:color="auto" w:fill="FFFFFF"/>
        </w:rPr>
        <w:t xml:space="preserve">to allow </w:t>
      </w:r>
      <w:r w:rsidRPr="000F25DC">
        <w:rPr>
          <w:shd w:val="clear" w:color="auto" w:fill="FFFFFF"/>
        </w:rPr>
        <w:t xml:space="preserve">coverage </w:t>
      </w:r>
      <w:r>
        <w:rPr>
          <w:shd w:val="clear" w:color="auto" w:fill="FFFFFF"/>
        </w:rPr>
        <w:t xml:space="preserve">to </w:t>
      </w:r>
      <w:r w:rsidRPr="000F25DC">
        <w:rPr>
          <w:shd w:val="clear" w:color="auto" w:fill="FFFFFF"/>
        </w:rPr>
        <w:t>expand to the entire state. </w:t>
      </w:r>
    </w:p>
    <w:p w14:paraId="3D814B45" w14:textId="77777777" w:rsidR="006420CB" w:rsidRPr="000F25DC" w:rsidRDefault="006420CB" w:rsidP="006C47F4">
      <w:pPr>
        <w:pStyle w:val="BodyText3"/>
        <w:ind w:left="720" w:hanging="720"/>
      </w:pPr>
      <w:r>
        <w:t>K.</w:t>
      </w:r>
      <w:r>
        <w:tab/>
      </w:r>
      <w:r w:rsidRPr="000F25DC">
        <w:t>Provide any additional information needed to gain a preliminary understanding of the division or program.</w:t>
      </w:r>
    </w:p>
    <w:p w14:paraId="24315B14" w14:textId="77777777" w:rsidR="006420CB" w:rsidRPr="000F25DC" w:rsidRDefault="006420CB" w:rsidP="006C47F4">
      <w:pPr>
        <w:pStyle w:val="BodyText"/>
      </w:pPr>
      <w:r>
        <w:t>N/A</w:t>
      </w:r>
    </w:p>
    <w:p w14:paraId="05E4B46E" w14:textId="77777777" w:rsidR="006420CB" w:rsidRPr="000F25DC" w:rsidRDefault="006420CB" w:rsidP="006C47F4">
      <w:pPr>
        <w:pStyle w:val="BodyText3"/>
        <w:ind w:left="720" w:hanging="720"/>
      </w:pPr>
      <w:r>
        <w:lastRenderedPageBreak/>
        <w:t>L.</w:t>
      </w:r>
      <w:r>
        <w:tab/>
      </w:r>
      <w:r w:rsidRPr="000F25DC">
        <w:t>Regulatory programs relate to the licensing, registration, certification, or permitting of a person, business, piece of equipment, or other entity (e.g., a facility). For each regulatory program, if applicable, describe:</w:t>
      </w:r>
    </w:p>
    <w:p w14:paraId="31EA92C3" w14:textId="77777777" w:rsidR="006420CB" w:rsidRPr="000F25DC" w:rsidRDefault="006420CB" w:rsidP="006C47F4">
      <w:pPr>
        <w:pStyle w:val="BodyText"/>
      </w:pPr>
      <w:r>
        <w:t>N/A</w:t>
      </w:r>
    </w:p>
    <w:p w14:paraId="0F0D2287" w14:textId="77777777" w:rsidR="006420CB" w:rsidRPr="000F25DC" w:rsidRDefault="006420CB" w:rsidP="006C47F4">
      <w:pPr>
        <w:pStyle w:val="BodyText3"/>
        <w:ind w:left="720" w:hanging="720"/>
      </w:pPr>
      <w:r>
        <w:t>M.</w:t>
      </w:r>
      <w:r>
        <w:tab/>
      </w:r>
      <w:r w:rsidRPr="000F25DC">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0B0A338C" w14:textId="77777777" w:rsidR="00254A77" w:rsidRDefault="006420CB" w:rsidP="00F030FB">
      <w:pPr>
        <w:pStyle w:val="BodyText"/>
      </w:pPr>
      <w:r w:rsidRPr="000F25DC">
        <w:t>N</w:t>
      </w:r>
      <w:r>
        <w:t>/A</w:t>
      </w:r>
    </w:p>
    <w:p w14:paraId="2C812AD1" w14:textId="21682AB3" w:rsidR="006420CB" w:rsidRDefault="006420CB" w:rsidP="00F030FB">
      <w:pPr>
        <w:pStyle w:val="BodyText"/>
        <w:rPr>
          <w:rFonts w:asciiTheme="minorHAnsi" w:eastAsia="Times New Roman" w:hAnsiTheme="minorHAnsi" w:cstheme="minorHAnsi"/>
          <w:sz w:val="24"/>
          <w:szCs w:val="24"/>
        </w:rPr>
      </w:pPr>
    </w:p>
    <w:bookmarkEnd w:id="271"/>
    <w:p w14:paraId="72545988" w14:textId="77777777" w:rsidR="006420CB" w:rsidRDefault="006420CB" w:rsidP="00BC19C6">
      <w:pPr>
        <w:pStyle w:val="BodyText3"/>
      </w:pPr>
      <w:r w:rsidRPr="061A6DF0">
        <w:t>Foreign</w:t>
      </w:r>
      <w:r w:rsidRPr="061A6DF0">
        <w:rPr>
          <w:spacing w:val="-10"/>
        </w:rPr>
        <w:t xml:space="preserve"> </w:t>
      </w:r>
      <w:r w:rsidRPr="061A6DF0">
        <w:t>Labor</w:t>
      </w:r>
      <w:r w:rsidRPr="061A6DF0">
        <w:rPr>
          <w:spacing w:val="-9"/>
        </w:rPr>
        <w:t xml:space="preserve"> </w:t>
      </w:r>
      <w:r w:rsidRPr="061A6DF0">
        <w:t>Certification</w:t>
      </w:r>
      <w:bookmarkEnd w:id="269"/>
      <w:bookmarkEnd w:id="270"/>
    </w:p>
    <w:p w14:paraId="5A20C149" w14:textId="3F10CA90" w:rsidR="006420CB" w:rsidRPr="00652750" w:rsidRDefault="00BC19C6" w:rsidP="00BC19C6">
      <w:pPr>
        <w:pStyle w:val="BodyText3"/>
        <w:rPr>
          <w:rStyle w:val="Strong"/>
          <w:rFonts w:eastAsiaTheme="majorEastAsia"/>
        </w:rPr>
      </w:pPr>
      <w:r>
        <w:rPr>
          <w:rStyle w:val="Strong"/>
          <w:rFonts w:asciiTheme="minorHAnsi" w:eastAsiaTheme="majorEastAsia" w:hAnsiTheme="minorHAnsi"/>
        </w:rPr>
        <w:t>A.</w:t>
      </w:r>
      <w:r>
        <w:rPr>
          <w:rStyle w:val="Strong"/>
          <w:rFonts w:asciiTheme="minorHAnsi" w:eastAsiaTheme="majorEastAsia" w:hAnsiTheme="minorHAnsi"/>
        </w:rPr>
        <w:tab/>
      </w:r>
      <w:r w:rsidR="006420CB" w:rsidRPr="00652750">
        <w:rPr>
          <w:rStyle w:val="Strong"/>
          <w:rFonts w:asciiTheme="minorHAnsi" w:eastAsiaTheme="majorEastAsia" w:hAnsiTheme="minorHAnsi"/>
        </w:rPr>
        <w:t>Provide</w:t>
      </w:r>
      <w:r w:rsidR="006420CB" w:rsidRPr="00652750">
        <w:rPr>
          <w:rStyle w:val="Strong"/>
          <w:rFonts w:eastAsiaTheme="majorEastAsia"/>
        </w:rPr>
        <w:t xml:space="preserve"> the following information at the beginning of each description.</w:t>
      </w:r>
    </w:p>
    <w:p w14:paraId="35A3E9AF" w14:textId="77777777" w:rsidR="006420CB" w:rsidRPr="000F25DC" w:rsidRDefault="006420CB" w:rsidP="0094278E">
      <w:pPr>
        <w:pStyle w:val="BodyText"/>
      </w:pPr>
      <w:r w:rsidRPr="000F25DC">
        <w:t>Name</w:t>
      </w:r>
      <w:r w:rsidRPr="000F25DC">
        <w:rPr>
          <w:spacing w:val="-2"/>
        </w:rPr>
        <w:t xml:space="preserve"> </w:t>
      </w:r>
      <w:r w:rsidRPr="000F25DC">
        <w:t>of division</w:t>
      </w:r>
      <w:r w:rsidRPr="000F25DC">
        <w:rPr>
          <w:spacing w:val="-3"/>
        </w:rPr>
        <w:t xml:space="preserve"> </w:t>
      </w:r>
      <w:r w:rsidRPr="000F25DC">
        <w:t>or</w:t>
      </w:r>
      <w:r w:rsidRPr="000F25DC">
        <w:rPr>
          <w:spacing w:val="-1"/>
        </w:rPr>
        <w:t xml:space="preserve"> </w:t>
      </w:r>
      <w:r w:rsidRPr="000F25DC">
        <w:rPr>
          <w:spacing w:val="-2"/>
        </w:rPr>
        <w:t>program:</w:t>
      </w:r>
      <w:r w:rsidRPr="000F25DC">
        <w:rPr>
          <w:bdr w:val="none" w:sz="0" w:space="0" w:color="auto" w:frame="1"/>
        </w:rPr>
        <w:t xml:space="preserve"> Foreign Labor Certification</w:t>
      </w:r>
    </w:p>
    <w:p w14:paraId="6C48A215" w14:textId="77777777" w:rsidR="006420CB" w:rsidRPr="000F25DC" w:rsidRDefault="006420CB" w:rsidP="0094278E">
      <w:pPr>
        <w:pStyle w:val="BodyText"/>
      </w:pPr>
      <w:r w:rsidRPr="000F25DC">
        <w:t>Location</w:t>
      </w:r>
      <w:r w:rsidRPr="000F25DC">
        <w:rPr>
          <w:spacing w:val="-2"/>
        </w:rPr>
        <w:t xml:space="preserve"> </w:t>
      </w:r>
      <w:r w:rsidRPr="000F25DC">
        <w:t>within</w:t>
      </w:r>
      <w:r w:rsidRPr="000F25DC">
        <w:rPr>
          <w:spacing w:val="-2"/>
        </w:rPr>
        <w:t xml:space="preserve"> </w:t>
      </w:r>
      <w:r w:rsidRPr="000F25DC">
        <w:t xml:space="preserve">the </w:t>
      </w:r>
      <w:r w:rsidRPr="000F25DC">
        <w:rPr>
          <w:spacing w:val="-2"/>
        </w:rPr>
        <w:t>agency:</w:t>
      </w:r>
      <w:r w:rsidRPr="000F25DC">
        <w:rPr>
          <w:bdr w:val="none" w:sz="0" w:space="0" w:color="auto" w:frame="1"/>
        </w:rPr>
        <w:t xml:space="preserve"> Workforce Development Divisio</w:t>
      </w:r>
      <w:r>
        <w:rPr>
          <w:bdr w:val="none" w:sz="0" w:space="0" w:color="auto" w:frame="1"/>
        </w:rPr>
        <w:t>n, Compliance and Assistance</w:t>
      </w:r>
    </w:p>
    <w:p w14:paraId="397EF2B8" w14:textId="77777777" w:rsidR="006420CB" w:rsidRPr="000F25DC" w:rsidRDefault="006420CB" w:rsidP="0094278E">
      <w:pPr>
        <w:pStyle w:val="BodyText"/>
      </w:pPr>
      <w:r w:rsidRPr="000F25DC">
        <w:t>Contact</w:t>
      </w:r>
      <w:r w:rsidRPr="000F25DC">
        <w:rPr>
          <w:spacing w:val="-1"/>
        </w:rPr>
        <w:t xml:space="preserve"> </w:t>
      </w:r>
      <w:r w:rsidRPr="000F25DC">
        <w:rPr>
          <w:spacing w:val="-2"/>
        </w:rPr>
        <w:t>name:</w:t>
      </w:r>
      <w:r w:rsidRPr="000F25DC">
        <w:rPr>
          <w:bdr w:val="none" w:sz="0" w:space="0" w:color="auto" w:frame="1"/>
        </w:rPr>
        <w:t xml:space="preserve"> Stacey Wire</w:t>
      </w:r>
    </w:p>
    <w:p w14:paraId="6434493F" w14:textId="77777777" w:rsidR="006420CB" w:rsidRDefault="006420CB" w:rsidP="0094278E">
      <w:pPr>
        <w:pStyle w:val="BodyText"/>
        <w:rPr>
          <w:u w:val="single"/>
          <w:shd w:val="clear" w:color="auto" w:fill="FFFFFF"/>
        </w:rPr>
      </w:pPr>
      <w:r w:rsidRPr="006848E1">
        <w:t>Statutory</w:t>
      </w:r>
      <w:r w:rsidRPr="006848E1">
        <w:rPr>
          <w:spacing w:val="-1"/>
        </w:rPr>
        <w:t xml:space="preserve"> </w:t>
      </w:r>
      <w:r w:rsidRPr="006848E1">
        <w:rPr>
          <w:spacing w:val="-2"/>
        </w:rPr>
        <w:t>citation:</w:t>
      </w:r>
      <w:r w:rsidRPr="006848E1">
        <w:t xml:space="preserve"> </w:t>
      </w:r>
      <w:r w:rsidRPr="006848E1">
        <w:rPr>
          <w:shd w:val="clear" w:color="auto" w:fill="FFFFFF"/>
        </w:rPr>
        <w:t>Texas Labor Code, Chapter 307</w:t>
      </w:r>
    </w:p>
    <w:p w14:paraId="7F1EA504" w14:textId="113CCCC8" w:rsidR="006420CB" w:rsidRPr="000F25DC" w:rsidRDefault="0094278E" w:rsidP="0094278E">
      <w:pPr>
        <w:pStyle w:val="BodyText3"/>
        <w:rPr>
          <w:bCs/>
        </w:rPr>
      </w:pPr>
      <w:r>
        <w:rPr>
          <w:rStyle w:val="Strong"/>
          <w:rFonts w:eastAsiaTheme="majorEastAsia"/>
        </w:rPr>
        <w:t>B.</w:t>
      </w:r>
      <w:r>
        <w:rPr>
          <w:rStyle w:val="Strong"/>
          <w:rFonts w:eastAsiaTheme="majorEastAsia"/>
        </w:rPr>
        <w:tab/>
      </w:r>
      <w:r w:rsidR="006420CB" w:rsidRPr="001C62FF">
        <w:rPr>
          <w:rStyle w:val="Strong"/>
          <w:rFonts w:eastAsiaTheme="majorEastAsia"/>
        </w:rPr>
        <w:t>What</w:t>
      </w:r>
      <w:r w:rsidR="006420CB" w:rsidRPr="001C62FF">
        <w:rPr>
          <w:spacing w:val="-5"/>
        </w:rPr>
        <w:t xml:space="preserve"> </w:t>
      </w:r>
      <w:r w:rsidR="006420CB" w:rsidRPr="000F25DC">
        <w:t>is</w:t>
      </w:r>
      <w:r w:rsidR="006420CB" w:rsidRPr="000F25DC">
        <w:rPr>
          <w:spacing w:val="-4"/>
        </w:rPr>
        <w:t xml:space="preserve"> </w:t>
      </w:r>
      <w:r w:rsidR="006420CB" w:rsidRPr="000F25DC">
        <w:t>the</w:t>
      </w:r>
      <w:r w:rsidR="006420CB" w:rsidRPr="000F25DC">
        <w:rPr>
          <w:spacing w:val="-3"/>
        </w:rPr>
        <w:t xml:space="preserve"> </w:t>
      </w:r>
      <w:r w:rsidR="006420CB" w:rsidRPr="000F25DC">
        <w:t>objective</w:t>
      </w:r>
      <w:r w:rsidR="006420CB" w:rsidRPr="000F25DC">
        <w:rPr>
          <w:spacing w:val="-5"/>
        </w:rPr>
        <w:t xml:space="preserve"> </w:t>
      </w:r>
      <w:r w:rsidR="006420CB" w:rsidRPr="000F25DC">
        <w:t>of this</w:t>
      </w:r>
      <w:r w:rsidR="006420CB" w:rsidRPr="000F25DC">
        <w:rPr>
          <w:spacing w:val="-4"/>
        </w:rPr>
        <w:t xml:space="preserve"> </w:t>
      </w:r>
      <w:r w:rsidR="006420CB" w:rsidRPr="000F25DC">
        <w:t>division or program?</w:t>
      </w:r>
      <w:r w:rsidR="006420CB" w:rsidRPr="000F25DC">
        <w:rPr>
          <w:spacing w:val="-2"/>
        </w:rPr>
        <w:t xml:space="preserve"> </w:t>
      </w:r>
      <w:r w:rsidR="006420CB" w:rsidRPr="000F25DC">
        <w:t>Describe</w:t>
      </w:r>
      <w:r w:rsidR="006420CB" w:rsidRPr="000F25DC">
        <w:rPr>
          <w:spacing w:val="-1"/>
        </w:rPr>
        <w:t xml:space="preserve"> </w:t>
      </w:r>
      <w:r w:rsidR="006420CB" w:rsidRPr="000F25DC">
        <w:t>its</w:t>
      </w:r>
      <w:r w:rsidR="006420CB" w:rsidRPr="000F25DC">
        <w:rPr>
          <w:spacing w:val="-1"/>
        </w:rPr>
        <w:t xml:space="preserve"> </w:t>
      </w:r>
      <w:r w:rsidR="006420CB" w:rsidRPr="000F25DC">
        <w:t>major</w:t>
      </w:r>
      <w:r w:rsidR="006420CB" w:rsidRPr="000F25DC">
        <w:rPr>
          <w:spacing w:val="1"/>
        </w:rPr>
        <w:t xml:space="preserve"> </w:t>
      </w:r>
      <w:r w:rsidR="006420CB" w:rsidRPr="000F25DC">
        <w:rPr>
          <w:spacing w:val="-2"/>
        </w:rPr>
        <w:t>activities.</w:t>
      </w:r>
    </w:p>
    <w:p w14:paraId="55AD7C91" w14:textId="77777777" w:rsidR="006420CB" w:rsidRPr="000F25DC" w:rsidRDefault="006420CB" w:rsidP="0094278E">
      <w:pPr>
        <w:pStyle w:val="BodyText"/>
      </w:pPr>
      <w:r w:rsidRPr="000F25DC">
        <w:t xml:space="preserve">The </w:t>
      </w:r>
      <w:hyperlink r:id="rId213" w:history="1">
        <w:r w:rsidRPr="00B86C80">
          <w:rPr>
            <w:rStyle w:val="Hyperlink"/>
            <w:rFonts w:asciiTheme="minorHAnsi" w:hAnsiTheme="minorHAnsi" w:cstheme="minorHAnsi"/>
          </w:rPr>
          <w:t>Foreign Labor Certification</w:t>
        </w:r>
      </w:hyperlink>
      <w:r w:rsidRPr="000F25DC">
        <w:t xml:space="preserve"> (FLC) program enables employers to hire temporary foreign workers through the H-2A (agricultural) and H-2B (non-agricultural) visa programs when qualified U.S. workers are unavailable. The program’s primary objective is to meet employer needs while protecting the domestic workforce by ensuring that the hiring of foreign workers does not negatively affect the wages or working conditions of U.S. workers.</w:t>
      </w:r>
    </w:p>
    <w:p w14:paraId="7B90B917" w14:textId="77777777" w:rsidR="006420CB" w:rsidRPr="000F25DC" w:rsidRDefault="006420CB" w:rsidP="0094278E">
      <w:pPr>
        <w:pStyle w:val="BodyText"/>
      </w:pPr>
      <w:r w:rsidRPr="000F25DC">
        <w:t>Major activities</w:t>
      </w:r>
      <w:r>
        <w:t xml:space="preserve"> performed by TWC program staff</w:t>
      </w:r>
      <w:r w:rsidRPr="000F25DC">
        <w:t xml:space="preserve"> include</w:t>
      </w:r>
      <w:r>
        <w:t xml:space="preserve"> the following.</w:t>
      </w:r>
      <w:r w:rsidRPr="000F25DC">
        <w:t xml:space="preserve"> </w:t>
      </w:r>
    </w:p>
    <w:p w14:paraId="7A198F34" w14:textId="77777777" w:rsidR="006420CB" w:rsidRPr="000F25DC" w:rsidRDefault="006420CB" w:rsidP="00C64851">
      <w:pPr>
        <w:pStyle w:val="BodyText"/>
        <w:numPr>
          <w:ilvl w:val="0"/>
          <w:numId w:val="887"/>
        </w:numPr>
      </w:pPr>
      <w:r w:rsidRPr="002E4354">
        <w:rPr>
          <w:b/>
          <w:bCs/>
        </w:rPr>
        <w:lastRenderedPageBreak/>
        <w:t>U.S. Worker Recruitment:</w:t>
      </w:r>
      <w:r w:rsidRPr="000F25DC">
        <w:t> Actively recruit U.S. workers for open positions before an employer can be certified to hire foreign labor.</w:t>
      </w:r>
      <w:r>
        <w:t xml:space="preserve"> Job postings area reviewed to ensure that wages, job duties and requirements are </w:t>
      </w:r>
      <w:proofErr w:type="gramStart"/>
      <w:r>
        <w:t>similar to</w:t>
      </w:r>
      <w:proofErr w:type="gramEnd"/>
      <w:r>
        <w:t xml:space="preserve"> U.S. workers in the same occupations.</w:t>
      </w:r>
    </w:p>
    <w:p w14:paraId="4197B4CD" w14:textId="77777777" w:rsidR="006420CB" w:rsidRPr="000F25DC" w:rsidRDefault="006420CB" w:rsidP="00C64851">
      <w:pPr>
        <w:pStyle w:val="BodyText"/>
        <w:numPr>
          <w:ilvl w:val="0"/>
          <w:numId w:val="887"/>
        </w:numPr>
      </w:pPr>
      <w:r w:rsidRPr="002E4354">
        <w:rPr>
          <w:b/>
          <w:bCs/>
        </w:rPr>
        <w:t>Application Review:</w:t>
      </w:r>
      <w:r w:rsidRPr="000F25DC">
        <w:t> Review employer applications to verify that proposed job duties, wages, and working conditions are comparable to domestic standards.</w:t>
      </w:r>
    </w:p>
    <w:p w14:paraId="74000080" w14:textId="77777777" w:rsidR="006420CB" w:rsidRPr="000F25DC" w:rsidRDefault="006420CB" w:rsidP="00C64851">
      <w:pPr>
        <w:pStyle w:val="BodyText"/>
        <w:numPr>
          <w:ilvl w:val="0"/>
          <w:numId w:val="887"/>
        </w:numPr>
        <w:rPr>
          <w:rFonts w:cstheme="minorBidi"/>
        </w:rPr>
      </w:pPr>
      <w:r w:rsidRPr="002E4354">
        <w:rPr>
          <w:rFonts w:cstheme="minorBidi"/>
          <w:b/>
          <w:bCs/>
        </w:rPr>
        <w:t>Compliance and Oversight:</w:t>
      </w:r>
      <w:r w:rsidRPr="48DC11A9">
        <w:rPr>
          <w:rFonts w:cstheme="minorBidi"/>
        </w:rPr>
        <w:t> Coordinates site visits and housing inspections to ensure employers comply with program requirements</w:t>
      </w:r>
    </w:p>
    <w:p w14:paraId="3F201B25" w14:textId="77777777" w:rsidR="006420CB" w:rsidRPr="000F25DC" w:rsidRDefault="006420CB" w:rsidP="00C64851">
      <w:pPr>
        <w:pStyle w:val="BodyText"/>
        <w:numPr>
          <w:ilvl w:val="0"/>
          <w:numId w:val="887"/>
        </w:numPr>
      </w:pPr>
      <w:r w:rsidRPr="002E4354">
        <w:rPr>
          <w:b/>
          <w:bCs/>
        </w:rPr>
        <w:t>Wage Surveys:</w:t>
      </w:r>
      <w:r w:rsidRPr="000F25DC">
        <w:t> Perform annual agricultural wage and practice surveys to establish prevailing compensation rates.</w:t>
      </w:r>
    </w:p>
    <w:p w14:paraId="4DBE42F7" w14:textId="77777777" w:rsidR="006420CB" w:rsidRPr="000F25DC" w:rsidRDefault="006420CB" w:rsidP="00C64851">
      <w:pPr>
        <w:pStyle w:val="BodyText"/>
        <w:numPr>
          <w:ilvl w:val="0"/>
          <w:numId w:val="887"/>
        </w:numPr>
      </w:pPr>
      <w:r w:rsidRPr="002E4354">
        <w:rPr>
          <w:b/>
          <w:bCs/>
        </w:rPr>
        <w:t>Complaint Resolution:</w:t>
      </w:r>
      <w:r w:rsidRPr="000F25DC">
        <w:t> Assist in resolving complaints related to H-2A or H-2B employment and coordinates with the appropriate federal agencies.</w:t>
      </w:r>
    </w:p>
    <w:p w14:paraId="171BE67C" w14:textId="6FE7FBD4" w:rsidR="006420CB" w:rsidRDefault="00762FEB" w:rsidP="00762FEB">
      <w:pPr>
        <w:pStyle w:val="BodyText3"/>
        <w:ind w:left="720" w:hanging="720"/>
      </w:pPr>
      <w:r>
        <w:t>C.</w:t>
      </w:r>
      <w:r>
        <w:tab/>
      </w:r>
      <w:r w:rsidR="006420CB" w:rsidRPr="000F25DC">
        <w:t>What information does the agency collect/use to assess the effectiveness and efficiency of this division or program? If applicable, briefly note any LBB performance measures (from Section</w:t>
      </w:r>
      <w:r w:rsidR="006420CB" w:rsidRPr="000F25DC">
        <w:rPr>
          <w:spacing w:val="-11"/>
        </w:rPr>
        <w:t xml:space="preserve"> </w:t>
      </w:r>
      <w:r w:rsidR="006420CB" w:rsidRPr="000F25DC">
        <w:t>II,</w:t>
      </w:r>
      <w:r w:rsidR="006420CB" w:rsidRPr="000F25DC">
        <w:rPr>
          <w:spacing w:val="-12"/>
        </w:rPr>
        <w:t xml:space="preserve"> </w:t>
      </w:r>
      <w:proofErr w:type="gramStart"/>
      <w:r w:rsidR="006420CB" w:rsidRPr="000F25DC">
        <w:t>Exhibit</w:t>
      </w:r>
      <w:proofErr w:type="gramEnd"/>
      <w:r w:rsidR="006420CB" w:rsidRPr="000F25DC">
        <w:rPr>
          <w:spacing w:val="-14"/>
        </w:rPr>
        <w:t xml:space="preserve"> </w:t>
      </w:r>
      <w:r w:rsidR="006420CB" w:rsidRPr="000F25DC">
        <w:t>2)</w:t>
      </w:r>
      <w:r w:rsidR="006420CB" w:rsidRPr="000F25DC">
        <w:rPr>
          <w:spacing w:val="-12"/>
        </w:rPr>
        <w:t xml:space="preserve"> </w:t>
      </w:r>
      <w:r w:rsidR="006420CB" w:rsidRPr="000F25DC">
        <w:t>but</w:t>
      </w:r>
      <w:r w:rsidR="006420CB" w:rsidRPr="000F25DC">
        <w:rPr>
          <w:spacing w:val="-14"/>
        </w:rPr>
        <w:t xml:space="preserve"> </w:t>
      </w:r>
      <w:r w:rsidR="006420CB" w:rsidRPr="000F25DC">
        <w:t>also</w:t>
      </w:r>
      <w:r w:rsidR="006420CB" w:rsidRPr="000F25DC">
        <w:rPr>
          <w:spacing w:val="-11"/>
        </w:rPr>
        <w:t xml:space="preserve"> </w:t>
      </w:r>
      <w:r w:rsidR="006420CB" w:rsidRPr="000F25DC">
        <w:t>provide</w:t>
      </w:r>
      <w:r w:rsidR="006420CB" w:rsidRPr="000F25DC">
        <w:rPr>
          <w:spacing w:val="-13"/>
        </w:rPr>
        <w:t xml:space="preserve"> </w:t>
      </w:r>
      <w:r w:rsidR="006420CB" w:rsidRPr="000F25DC">
        <w:t>any</w:t>
      </w:r>
      <w:r w:rsidR="006420CB" w:rsidRPr="000F25DC">
        <w:rPr>
          <w:spacing w:val="-13"/>
        </w:rPr>
        <w:t xml:space="preserve"> </w:t>
      </w:r>
      <w:r w:rsidR="006420CB" w:rsidRPr="000F25DC">
        <w:t>other</w:t>
      </w:r>
      <w:r w:rsidR="006420CB" w:rsidRPr="000F25DC">
        <w:rPr>
          <w:spacing w:val="-11"/>
        </w:rPr>
        <w:t xml:space="preserve"> </w:t>
      </w:r>
      <w:r w:rsidR="006420CB" w:rsidRPr="000F25DC">
        <w:t>metrics</w:t>
      </w:r>
      <w:r w:rsidR="006420CB" w:rsidRPr="000F25DC">
        <w:rPr>
          <w:spacing w:val="-14"/>
        </w:rPr>
        <w:t xml:space="preserve"> </w:t>
      </w:r>
      <w:r w:rsidR="006420CB" w:rsidRPr="000F25DC">
        <w:t>of</w:t>
      </w:r>
      <w:r w:rsidR="006420CB" w:rsidRPr="000F25DC">
        <w:rPr>
          <w:spacing w:val="-13"/>
        </w:rPr>
        <w:t xml:space="preserve"> </w:t>
      </w:r>
      <w:r w:rsidR="006420CB" w:rsidRPr="000F25DC">
        <w:t>program</w:t>
      </w:r>
      <w:r w:rsidR="006420CB" w:rsidRPr="000F25DC">
        <w:rPr>
          <w:spacing w:val="-13"/>
        </w:rPr>
        <w:t xml:space="preserve"> </w:t>
      </w:r>
      <w:r w:rsidR="006420CB" w:rsidRPr="000F25DC">
        <w:t>effectiveness</w:t>
      </w:r>
      <w:r w:rsidR="006420CB" w:rsidRPr="000F25DC">
        <w:rPr>
          <w:spacing w:val="-12"/>
        </w:rPr>
        <w:t xml:space="preserve"> </w:t>
      </w:r>
      <w:r w:rsidR="006420CB" w:rsidRPr="000F25DC">
        <w:t>and</w:t>
      </w:r>
      <w:r w:rsidR="006420CB" w:rsidRPr="000F25DC">
        <w:rPr>
          <w:spacing w:val="-11"/>
        </w:rPr>
        <w:t xml:space="preserve"> </w:t>
      </w:r>
      <w:r w:rsidR="006420CB" w:rsidRPr="000F25DC">
        <w:t>efficiency. Please</w:t>
      </w:r>
      <w:r w:rsidR="006420CB" w:rsidRPr="000F25DC">
        <w:rPr>
          <w:spacing w:val="-7"/>
        </w:rPr>
        <w:t xml:space="preserve"> </w:t>
      </w:r>
      <w:r w:rsidR="006420CB" w:rsidRPr="000F25DC">
        <w:t>provide</w:t>
      </w:r>
      <w:r w:rsidR="006420CB" w:rsidRPr="000F25DC">
        <w:rPr>
          <w:spacing w:val="-7"/>
        </w:rPr>
        <w:t xml:space="preserve"> </w:t>
      </w:r>
      <w:r w:rsidR="006420CB" w:rsidRPr="000F25DC">
        <w:t>the</w:t>
      </w:r>
      <w:r w:rsidR="006420CB" w:rsidRPr="000F25DC">
        <w:rPr>
          <w:spacing w:val="-7"/>
        </w:rPr>
        <w:t xml:space="preserve"> </w:t>
      </w:r>
      <w:r w:rsidR="006420CB" w:rsidRPr="000F25DC">
        <w:t>data</w:t>
      </w:r>
      <w:r w:rsidR="006420CB" w:rsidRPr="000F25DC">
        <w:rPr>
          <w:spacing w:val="-10"/>
        </w:rPr>
        <w:t xml:space="preserve"> </w:t>
      </w:r>
      <w:r w:rsidR="006420CB" w:rsidRPr="000F25DC">
        <w:t>source</w:t>
      </w:r>
      <w:r w:rsidR="006420CB" w:rsidRPr="000F25DC">
        <w:rPr>
          <w:spacing w:val="-7"/>
        </w:rPr>
        <w:t xml:space="preserve"> </w:t>
      </w:r>
      <w:r w:rsidR="006420CB" w:rsidRPr="000F25DC">
        <w:t>and/or</w:t>
      </w:r>
      <w:r w:rsidR="006420CB" w:rsidRPr="000F25DC">
        <w:rPr>
          <w:spacing w:val="-5"/>
        </w:rPr>
        <w:t xml:space="preserve"> </w:t>
      </w:r>
      <w:r w:rsidR="006420CB" w:rsidRPr="000F25DC">
        <w:t>methodology</w:t>
      </w:r>
      <w:r w:rsidR="006420CB" w:rsidRPr="000F25DC">
        <w:rPr>
          <w:spacing w:val="-7"/>
        </w:rPr>
        <w:t xml:space="preserve"> </w:t>
      </w:r>
      <w:r w:rsidR="006420CB" w:rsidRPr="000F25DC">
        <w:t>behind</w:t>
      </w:r>
      <w:r w:rsidR="006420CB" w:rsidRPr="000F25DC">
        <w:rPr>
          <w:spacing w:val="-6"/>
        </w:rPr>
        <w:t xml:space="preserve"> </w:t>
      </w:r>
      <w:r w:rsidR="006420CB" w:rsidRPr="000F25DC">
        <w:t>how</w:t>
      </w:r>
      <w:r w:rsidR="006420CB" w:rsidRPr="000F25DC">
        <w:rPr>
          <w:spacing w:val="-5"/>
        </w:rPr>
        <w:t xml:space="preserve"> </w:t>
      </w:r>
      <w:r w:rsidR="006420CB" w:rsidRPr="000F25DC">
        <w:t>each</w:t>
      </w:r>
      <w:r w:rsidR="006420CB" w:rsidRPr="000F25DC">
        <w:rPr>
          <w:spacing w:val="-6"/>
        </w:rPr>
        <w:t xml:space="preserve"> </w:t>
      </w:r>
      <w:r w:rsidR="006420CB" w:rsidRPr="000F25DC">
        <w:t>statistic</w:t>
      </w:r>
      <w:r w:rsidR="006420CB" w:rsidRPr="000F25DC">
        <w:rPr>
          <w:spacing w:val="-6"/>
        </w:rPr>
        <w:t xml:space="preserve"> </w:t>
      </w:r>
      <w:r w:rsidR="006420CB" w:rsidRPr="000F25DC">
        <w:t>or</w:t>
      </w:r>
      <w:r w:rsidR="006420CB" w:rsidRPr="000F25DC">
        <w:rPr>
          <w:spacing w:val="-8"/>
        </w:rPr>
        <w:t xml:space="preserve"> </w:t>
      </w:r>
      <w:r w:rsidR="006420CB" w:rsidRPr="000F25DC">
        <w:t>performance measure was determined. If you do not track measures of effectiveness for a given division, department, or program, please explain why.</w:t>
      </w:r>
    </w:p>
    <w:p w14:paraId="7181E8BF" w14:textId="5DF821CE" w:rsidR="006420CB" w:rsidRDefault="006420CB" w:rsidP="00762FEB">
      <w:pPr>
        <w:pStyle w:val="BodyText"/>
      </w:pPr>
      <w:r>
        <w:t xml:space="preserve">The </w:t>
      </w:r>
      <w:r w:rsidRPr="000F25DC">
        <w:t xml:space="preserve">FLC </w:t>
      </w:r>
      <w:r>
        <w:t xml:space="preserve">program </w:t>
      </w:r>
      <w:r w:rsidRPr="000F25DC">
        <w:t xml:space="preserve">is responsible for completing housing inspections for H-2A job orders. DOL requires housing inspections to be completed at least 30 days prior to the employer’s intended work start date. For job postings, DOL has no performance measures, but TWC has its own goal of having H-2A postings opened within </w:t>
      </w:r>
      <w:r>
        <w:t>seven</w:t>
      </w:r>
      <w:r w:rsidRPr="000F25DC">
        <w:t xml:space="preserve"> days after receiving the job order</w:t>
      </w:r>
      <w:r w:rsidR="00762FEB">
        <w:t>.</w:t>
      </w:r>
    </w:p>
    <w:p w14:paraId="44127566" w14:textId="77777777" w:rsidR="006420CB" w:rsidRPr="000F25DC" w:rsidRDefault="006420CB" w:rsidP="00762FEB">
      <w:pPr>
        <w:pStyle w:val="BodyText"/>
      </w:pPr>
      <w:r w:rsidRPr="000F25DC">
        <w:t xml:space="preserve">The following table provides </w:t>
      </w:r>
      <w:r>
        <w:t>data on</w:t>
      </w:r>
      <w:r w:rsidRPr="000F25DC">
        <w:t xml:space="preserve"> work completed</w:t>
      </w:r>
      <w:r>
        <w:t xml:space="preserve"> in the FLC program</w:t>
      </w:r>
      <w:r w:rsidRPr="000F25DC">
        <w:t xml:space="preserve"> </w:t>
      </w:r>
      <w:r>
        <w:t>over</w:t>
      </w:r>
      <w:r w:rsidRPr="000F25DC">
        <w:t xml:space="preserve"> the past five program years. </w:t>
      </w:r>
    </w:p>
    <w:tbl>
      <w:tblPr>
        <w:tblStyle w:val="TableGrid1"/>
        <w:tblW w:w="8970" w:type="dxa"/>
        <w:tblCellMar>
          <w:top w:w="58" w:type="dxa"/>
          <w:bottom w:w="58" w:type="dxa"/>
        </w:tblCellMar>
        <w:tblLook w:val="04A0" w:firstRow="1" w:lastRow="0" w:firstColumn="1" w:lastColumn="0" w:noHBand="0" w:noVBand="1"/>
      </w:tblPr>
      <w:tblGrid>
        <w:gridCol w:w="2970"/>
        <w:gridCol w:w="1200"/>
        <w:gridCol w:w="1200"/>
        <w:gridCol w:w="1200"/>
        <w:gridCol w:w="1200"/>
        <w:gridCol w:w="1200"/>
      </w:tblGrid>
      <w:tr w:rsidR="006420CB" w:rsidRPr="000F25DC" w14:paraId="43D1FFBB" w14:textId="77777777" w:rsidTr="00762FEB">
        <w:trPr>
          <w:trHeight w:val="435"/>
          <w:tblHeader/>
        </w:trPr>
        <w:tc>
          <w:tcPr>
            <w:tcW w:w="2970" w:type="dxa"/>
            <w:shd w:val="clear" w:color="auto" w:fill="B8CCE4" w:themeFill="accent1" w:themeFillTint="66"/>
            <w:vAlign w:val="center"/>
            <w:hideMark/>
          </w:tcPr>
          <w:p w14:paraId="7EF37E21" w14:textId="77777777" w:rsidR="006420CB" w:rsidRPr="002E4354" w:rsidRDefault="006420CB" w:rsidP="00762FEB">
            <w:pPr>
              <w:pStyle w:val="TableHeaders"/>
            </w:pPr>
          </w:p>
        </w:tc>
        <w:tc>
          <w:tcPr>
            <w:tcW w:w="1200" w:type="dxa"/>
            <w:shd w:val="clear" w:color="auto" w:fill="B8CCE4" w:themeFill="accent1" w:themeFillTint="66"/>
            <w:vAlign w:val="center"/>
            <w:hideMark/>
          </w:tcPr>
          <w:p w14:paraId="5E3AA648" w14:textId="77777777" w:rsidR="006420CB" w:rsidRPr="002E4354" w:rsidRDefault="006420CB" w:rsidP="00762FEB">
            <w:pPr>
              <w:pStyle w:val="TableHeaders"/>
            </w:pPr>
            <w:r w:rsidRPr="002E4354">
              <w:t>FY 2020</w:t>
            </w:r>
          </w:p>
        </w:tc>
        <w:tc>
          <w:tcPr>
            <w:tcW w:w="1200" w:type="dxa"/>
            <w:shd w:val="clear" w:color="auto" w:fill="B8CCE4" w:themeFill="accent1" w:themeFillTint="66"/>
            <w:vAlign w:val="center"/>
            <w:hideMark/>
          </w:tcPr>
          <w:p w14:paraId="0B0A0063" w14:textId="77777777" w:rsidR="006420CB" w:rsidRPr="002E4354" w:rsidRDefault="006420CB" w:rsidP="00762FEB">
            <w:pPr>
              <w:pStyle w:val="TableHeaders"/>
            </w:pPr>
            <w:r w:rsidRPr="002E4354">
              <w:t>FY 2021</w:t>
            </w:r>
          </w:p>
        </w:tc>
        <w:tc>
          <w:tcPr>
            <w:tcW w:w="1200" w:type="dxa"/>
            <w:shd w:val="clear" w:color="auto" w:fill="B8CCE4" w:themeFill="accent1" w:themeFillTint="66"/>
            <w:vAlign w:val="center"/>
            <w:hideMark/>
          </w:tcPr>
          <w:p w14:paraId="19BD7C7B" w14:textId="77777777" w:rsidR="006420CB" w:rsidRPr="002E4354" w:rsidRDefault="006420CB" w:rsidP="00762FEB">
            <w:pPr>
              <w:pStyle w:val="TableHeaders"/>
            </w:pPr>
            <w:r w:rsidRPr="002E4354">
              <w:t>FY 2022</w:t>
            </w:r>
          </w:p>
        </w:tc>
        <w:tc>
          <w:tcPr>
            <w:tcW w:w="1200" w:type="dxa"/>
            <w:shd w:val="clear" w:color="auto" w:fill="B8CCE4" w:themeFill="accent1" w:themeFillTint="66"/>
            <w:vAlign w:val="center"/>
            <w:hideMark/>
          </w:tcPr>
          <w:p w14:paraId="155D3C19" w14:textId="77777777" w:rsidR="006420CB" w:rsidRPr="002E4354" w:rsidRDefault="006420CB" w:rsidP="00762FEB">
            <w:pPr>
              <w:pStyle w:val="TableHeaders"/>
            </w:pPr>
            <w:r w:rsidRPr="002E4354">
              <w:t>FY 2023</w:t>
            </w:r>
          </w:p>
        </w:tc>
        <w:tc>
          <w:tcPr>
            <w:tcW w:w="1200" w:type="dxa"/>
            <w:shd w:val="clear" w:color="auto" w:fill="B8CCE4" w:themeFill="accent1" w:themeFillTint="66"/>
            <w:vAlign w:val="center"/>
            <w:hideMark/>
          </w:tcPr>
          <w:p w14:paraId="34D75483" w14:textId="77777777" w:rsidR="006420CB" w:rsidRPr="002E4354" w:rsidRDefault="006420CB" w:rsidP="00762FEB">
            <w:pPr>
              <w:pStyle w:val="TableHeaders"/>
            </w:pPr>
            <w:r w:rsidRPr="002E4354">
              <w:t>FY 2024</w:t>
            </w:r>
          </w:p>
        </w:tc>
      </w:tr>
      <w:tr w:rsidR="006420CB" w:rsidRPr="000F25DC" w14:paraId="27823104" w14:textId="77777777" w:rsidTr="00762FEB">
        <w:trPr>
          <w:trHeight w:val="495"/>
        </w:trPr>
        <w:tc>
          <w:tcPr>
            <w:tcW w:w="2970" w:type="dxa"/>
            <w:vAlign w:val="center"/>
            <w:hideMark/>
          </w:tcPr>
          <w:p w14:paraId="6A4C701D" w14:textId="77777777" w:rsidR="006420CB" w:rsidRPr="002E4354" w:rsidRDefault="006420CB" w:rsidP="00762FEB">
            <w:pPr>
              <w:pStyle w:val="TableText"/>
            </w:pPr>
            <w:r w:rsidRPr="002E4354">
              <w:t>H-2A Job Orders Filed  </w:t>
            </w:r>
          </w:p>
        </w:tc>
        <w:tc>
          <w:tcPr>
            <w:tcW w:w="1200" w:type="dxa"/>
            <w:vAlign w:val="center"/>
            <w:hideMark/>
          </w:tcPr>
          <w:p w14:paraId="1175F7CF" w14:textId="77777777" w:rsidR="006420CB" w:rsidRPr="000F25DC" w:rsidRDefault="006420CB" w:rsidP="00762FEB">
            <w:pPr>
              <w:pStyle w:val="TableText"/>
              <w:jc w:val="right"/>
            </w:pPr>
            <w:r w:rsidRPr="000F25DC">
              <w:t>761  </w:t>
            </w:r>
          </w:p>
        </w:tc>
        <w:tc>
          <w:tcPr>
            <w:tcW w:w="1200" w:type="dxa"/>
            <w:vAlign w:val="center"/>
            <w:hideMark/>
          </w:tcPr>
          <w:p w14:paraId="75B0698F" w14:textId="77777777" w:rsidR="006420CB" w:rsidRPr="000F25DC" w:rsidRDefault="006420CB" w:rsidP="00762FEB">
            <w:pPr>
              <w:pStyle w:val="TableText"/>
              <w:jc w:val="right"/>
            </w:pPr>
            <w:r w:rsidRPr="000F25DC">
              <w:t>923  </w:t>
            </w:r>
          </w:p>
        </w:tc>
        <w:tc>
          <w:tcPr>
            <w:tcW w:w="1200" w:type="dxa"/>
            <w:vAlign w:val="center"/>
            <w:hideMark/>
          </w:tcPr>
          <w:p w14:paraId="0BCE76FB" w14:textId="77777777" w:rsidR="006420CB" w:rsidRPr="000F25DC" w:rsidRDefault="006420CB" w:rsidP="00762FEB">
            <w:pPr>
              <w:pStyle w:val="TableText"/>
              <w:jc w:val="right"/>
            </w:pPr>
            <w:r w:rsidRPr="000F25DC">
              <w:t>1156  </w:t>
            </w:r>
          </w:p>
        </w:tc>
        <w:tc>
          <w:tcPr>
            <w:tcW w:w="1200" w:type="dxa"/>
            <w:vAlign w:val="center"/>
            <w:hideMark/>
          </w:tcPr>
          <w:p w14:paraId="0AB7418B" w14:textId="77777777" w:rsidR="006420CB" w:rsidRPr="000F25DC" w:rsidRDefault="006420CB" w:rsidP="00762FEB">
            <w:pPr>
              <w:pStyle w:val="TableText"/>
              <w:jc w:val="right"/>
            </w:pPr>
            <w:r w:rsidRPr="000F25DC">
              <w:t>1292  </w:t>
            </w:r>
          </w:p>
        </w:tc>
        <w:tc>
          <w:tcPr>
            <w:tcW w:w="1200" w:type="dxa"/>
            <w:vAlign w:val="center"/>
            <w:hideMark/>
          </w:tcPr>
          <w:p w14:paraId="335A3A7A" w14:textId="77777777" w:rsidR="006420CB" w:rsidRPr="000F25DC" w:rsidRDefault="006420CB" w:rsidP="00762FEB">
            <w:pPr>
              <w:pStyle w:val="TableText"/>
              <w:jc w:val="right"/>
            </w:pPr>
            <w:r w:rsidRPr="000F25DC">
              <w:t>1488  </w:t>
            </w:r>
          </w:p>
        </w:tc>
      </w:tr>
      <w:tr w:rsidR="006420CB" w:rsidRPr="000F25DC" w14:paraId="1AA4BD00" w14:textId="77777777" w:rsidTr="00762FEB">
        <w:trPr>
          <w:trHeight w:val="495"/>
        </w:trPr>
        <w:tc>
          <w:tcPr>
            <w:tcW w:w="2970" w:type="dxa"/>
            <w:vAlign w:val="center"/>
            <w:hideMark/>
          </w:tcPr>
          <w:p w14:paraId="489F1FFF" w14:textId="77777777" w:rsidR="006420CB" w:rsidRPr="002E4354" w:rsidRDefault="006420CB" w:rsidP="00762FEB">
            <w:pPr>
              <w:pStyle w:val="TableText"/>
            </w:pPr>
            <w:r w:rsidRPr="002E4354">
              <w:t>H-2A Job postings created  </w:t>
            </w:r>
          </w:p>
        </w:tc>
        <w:tc>
          <w:tcPr>
            <w:tcW w:w="1200" w:type="dxa"/>
            <w:vAlign w:val="center"/>
            <w:hideMark/>
          </w:tcPr>
          <w:p w14:paraId="1B9B66A9" w14:textId="77777777" w:rsidR="006420CB" w:rsidRPr="000F25DC" w:rsidRDefault="006420CB" w:rsidP="00762FEB">
            <w:pPr>
              <w:pStyle w:val="TableText"/>
              <w:jc w:val="right"/>
            </w:pPr>
            <w:r w:rsidRPr="000F25DC">
              <w:t>708  </w:t>
            </w:r>
          </w:p>
        </w:tc>
        <w:tc>
          <w:tcPr>
            <w:tcW w:w="1200" w:type="dxa"/>
            <w:vAlign w:val="center"/>
            <w:hideMark/>
          </w:tcPr>
          <w:p w14:paraId="33BE1FE3" w14:textId="77777777" w:rsidR="006420CB" w:rsidRPr="000F25DC" w:rsidRDefault="006420CB" w:rsidP="00762FEB">
            <w:pPr>
              <w:pStyle w:val="TableText"/>
              <w:jc w:val="right"/>
            </w:pPr>
            <w:r w:rsidRPr="000F25DC">
              <w:t>903  </w:t>
            </w:r>
          </w:p>
        </w:tc>
        <w:tc>
          <w:tcPr>
            <w:tcW w:w="1200" w:type="dxa"/>
            <w:vAlign w:val="center"/>
            <w:hideMark/>
          </w:tcPr>
          <w:p w14:paraId="1FDA0DAD" w14:textId="77777777" w:rsidR="006420CB" w:rsidRPr="000F25DC" w:rsidRDefault="006420CB" w:rsidP="00762FEB">
            <w:pPr>
              <w:pStyle w:val="TableText"/>
              <w:jc w:val="right"/>
            </w:pPr>
            <w:r w:rsidRPr="000F25DC">
              <w:t>1138  </w:t>
            </w:r>
          </w:p>
        </w:tc>
        <w:tc>
          <w:tcPr>
            <w:tcW w:w="1200" w:type="dxa"/>
            <w:vAlign w:val="center"/>
            <w:hideMark/>
          </w:tcPr>
          <w:p w14:paraId="0B4B60E5" w14:textId="77777777" w:rsidR="006420CB" w:rsidRPr="000F25DC" w:rsidRDefault="006420CB" w:rsidP="00762FEB">
            <w:pPr>
              <w:pStyle w:val="TableText"/>
              <w:jc w:val="right"/>
            </w:pPr>
            <w:r w:rsidRPr="000F25DC">
              <w:t>1234  </w:t>
            </w:r>
          </w:p>
        </w:tc>
        <w:tc>
          <w:tcPr>
            <w:tcW w:w="1200" w:type="dxa"/>
            <w:vAlign w:val="center"/>
            <w:hideMark/>
          </w:tcPr>
          <w:p w14:paraId="65D0E9C3" w14:textId="77777777" w:rsidR="006420CB" w:rsidRPr="000F25DC" w:rsidRDefault="006420CB" w:rsidP="00762FEB">
            <w:pPr>
              <w:pStyle w:val="TableText"/>
              <w:jc w:val="right"/>
            </w:pPr>
            <w:r w:rsidRPr="000F25DC">
              <w:t>1424  </w:t>
            </w:r>
          </w:p>
        </w:tc>
      </w:tr>
      <w:tr w:rsidR="006420CB" w:rsidRPr="000F25DC" w14:paraId="6634225E" w14:textId="77777777" w:rsidTr="00762FEB">
        <w:trPr>
          <w:trHeight w:val="495"/>
        </w:trPr>
        <w:tc>
          <w:tcPr>
            <w:tcW w:w="2970" w:type="dxa"/>
            <w:vAlign w:val="center"/>
            <w:hideMark/>
          </w:tcPr>
          <w:p w14:paraId="3CF376B3" w14:textId="77777777" w:rsidR="006420CB" w:rsidRPr="002E4354" w:rsidRDefault="006420CB" w:rsidP="00762FEB">
            <w:pPr>
              <w:pStyle w:val="TableText"/>
            </w:pPr>
            <w:r w:rsidRPr="002E4354">
              <w:t>H-2B Job orders filed  </w:t>
            </w:r>
          </w:p>
        </w:tc>
        <w:tc>
          <w:tcPr>
            <w:tcW w:w="1200" w:type="dxa"/>
            <w:vAlign w:val="center"/>
            <w:hideMark/>
          </w:tcPr>
          <w:p w14:paraId="631D98BA" w14:textId="77777777" w:rsidR="006420CB" w:rsidRPr="000F25DC" w:rsidRDefault="006420CB" w:rsidP="00762FEB">
            <w:pPr>
              <w:pStyle w:val="TableText"/>
              <w:jc w:val="right"/>
            </w:pPr>
            <w:r w:rsidRPr="000F25DC">
              <w:t>1147  </w:t>
            </w:r>
          </w:p>
        </w:tc>
        <w:tc>
          <w:tcPr>
            <w:tcW w:w="1200" w:type="dxa"/>
            <w:vAlign w:val="center"/>
            <w:hideMark/>
          </w:tcPr>
          <w:p w14:paraId="01790066" w14:textId="77777777" w:rsidR="006420CB" w:rsidRPr="000F25DC" w:rsidRDefault="006420CB" w:rsidP="00762FEB">
            <w:pPr>
              <w:pStyle w:val="TableText"/>
              <w:jc w:val="right"/>
            </w:pPr>
            <w:r w:rsidRPr="000F25DC">
              <w:t>1209  </w:t>
            </w:r>
          </w:p>
        </w:tc>
        <w:tc>
          <w:tcPr>
            <w:tcW w:w="1200" w:type="dxa"/>
            <w:vAlign w:val="center"/>
            <w:hideMark/>
          </w:tcPr>
          <w:p w14:paraId="1A1100F4" w14:textId="77777777" w:rsidR="006420CB" w:rsidRPr="000F25DC" w:rsidRDefault="006420CB" w:rsidP="00762FEB">
            <w:pPr>
              <w:pStyle w:val="TableText"/>
              <w:jc w:val="right"/>
            </w:pPr>
            <w:r w:rsidRPr="000F25DC">
              <w:t>1471  </w:t>
            </w:r>
          </w:p>
        </w:tc>
        <w:tc>
          <w:tcPr>
            <w:tcW w:w="1200" w:type="dxa"/>
            <w:vAlign w:val="center"/>
            <w:hideMark/>
          </w:tcPr>
          <w:p w14:paraId="195E5774" w14:textId="77777777" w:rsidR="006420CB" w:rsidRPr="000F25DC" w:rsidRDefault="006420CB" w:rsidP="00762FEB">
            <w:pPr>
              <w:pStyle w:val="TableText"/>
              <w:jc w:val="right"/>
            </w:pPr>
            <w:r w:rsidRPr="000F25DC">
              <w:t>1481  </w:t>
            </w:r>
          </w:p>
        </w:tc>
        <w:tc>
          <w:tcPr>
            <w:tcW w:w="1200" w:type="dxa"/>
            <w:vAlign w:val="center"/>
            <w:hideMark/>
          </w:tcPr>
          <w:p w14:paraId="534DAEB4" w14:textId="77777777" w:rsidR="006420CB" w:rsidRPr="000F25DC" w:rsidRDefault="006420CB" w:rsidP="00762FEB">
            <w:pPr>
              <w:pStyle w:val="TableText"/>
              <w:jc w:val="right"/>
            </w:pPr>
            <w:r w:rsidRPr="000F25DC">
              <w:t>1372  </w:t>
            </w:r>
          </w:p>
        </w:tc>
      </w:tr>
      <w:tr w:rsidR="006420CB" w:rsidRPr="000F25DC" w14:paraId="3EC47B65" w14:textId="77777777" w:rsidTr="00762FEB">
        <w:trPr>
          <w:trHeight w:val="495"/>
        </w:trPr>
        <w:tc>
          <w:tcPr>
            <w:tcW w:w="2970" w:type="dxa"/>
            <w:vAlign w:val="center"/>
            <w:hideMark/>
          </w:tcPr>
          <w:p w14:paraId="791752C0" w14:textId="77777777" w:rsidR="006420CB" w:rsidRPr="002E4354" w:rsidRDefault="006420CB" w:rsidP="00762FEB">
            <w:pPr>
              <w:pStyle w:val="TableText"/>
            </w:pPr>
            <w:r w:rsidRPr="002E4354">
              <w:t>H-2B Job postings created  </w:t>
            </w:r>
          </w:p>
        </w:tc>
        <w:tc>
          <w:tcPr>
            <w:tcW w:w="1200" w:type="dxa"/>
            <w:vAlign w:val="center"/>
            <w:hideMark/>
          </w:tcPr>
          <w:p w14:paraId="0ECE9174" w14:textId="77777777" w:rsidR="006420CB" w:rsidRPr="000F25DC" w:rsidRDefault="006420CB" w:rsidP="00762FEB">
            <w:pPr>
              <w:pStyle w:val="TableText"/>
              <w:jc w:val="right"/>
            </w:pPr>
            <w:r w:rsidRPr="000F25DC">
              <w:t>462  </w:t>
            </w:r>
          </w:p>
        </w:tc>
        <w:tc>
          <w:tcPr>
            <w:tcW w:w="1200" w:type="dxa"/>
            <w:vAlign w:val="center"/>
            <w:hideMark/>
          </w:tcPr>
          <w:p w14:paraId="25AED2CE" w14:textId="77777777" w:rsidR="006420CB" w:rsidRPr="000F25DC" w:rsidRDefault="006420CB" w:rsidP="00762FEB">
            <w:pPr>
              <w:pStyle w:val="TableText"/>
              <w:jc w:val="right"/>
            </w:pPr>
            <w:r w:rsidRPr="000F25DC">
              <w:t>930  </w:t>
            </w:r>
          </w:p>
        </w:tc>
        <w:tc>
          <w:tcPr>
            <w:tcW w:w="1200" w:type="dxa"/>
            <w:vAlign w:val="center"/>
            <w:hideMark/>
          </w:tcPr>
          <w:p w14:paraId="3ED9DD23" w14:textId="77777777" w:rsidR="006420CB" w:rsidRPr="000F25DC" w:rsidRDefault="006420CB" w:rsidP="00762FEB">
            <w:pPr>
              <w:pStyle w:val="TableText"/>
              <w:jc w:val="right"/>
            </w:pPr>
            <w:r w:rsidRPr="000F25DC">
              <w:t>1178  </w:t>
            </w:r>
          </w:p>
        </w:tc>
        <w:tc>
          <w:tcPr>
            <w:tcW w:w="1200" w:type="dxa"/>
            <w:vAlign w:val="center"/>
            <w:hideMark/>
          </w:tcPr>
          <w:p w14:paraId="47055950" w14:textId="77777777" w:rsidR="006420CB" w:rsidRPr="000F25DC" w:rsidRDefault="006420CB" w:rsidP="00762FEB">
            <w:pPr>
              <w:pStyle w:val="TableText"/>
              <w:jc w:val="right"/>
            </w:pPr>
            <w:r w:rsidRPr="000F25DC">
              <w:t>1032  </w:t>
            </w:r>
          </w:p>
        </w:tc>
        <w:tc>
          <w:tcPr>
            <w:tcW w:w="1200" w:type="dxa"/>
            <w:vAlign w:val="center"/>
            <w:hideMark/>
          </w:tcPr>
          <w:p w14:paraId="3340247C" w14:textId="77777777" w:rsidR="006420CB" w:rsidRPr="000F25DC" w:rsidRDefault="006420CB" w:rsidP="00762FEB">
            <w:pPr>
              <w:pStyle w:val="TableText"/>
              <w:jc w:val="right"/>
            </w:pPr>
            <w:r w:rsidRPr="000F25DC">
              <w:t>1052  </w:t>
            </w:r>
          </w:p>
        </w:tc>
      </w:tr>
      <w:tr w:rsidR="006420CB" w:rsidRPr="000F25DC" w14:paraId="1ED92A76" w14:textId="77777777" w:rsidTr="00762FEB">
        <w:trPr>
          <w:trHeight w:val="495"/>
        </w:trPr>
        <w:tc>
          <w:tcPr>
            <w:tcW w:w="2970" w:type="dxa"/>
            <w:vAlign w:val="center"/>
            <w:hideMark/>
          </w:tcPr>
          <w:p w14:paraId="12BE9D13" w14:textId="77777777" w:rsidR="006420CB" w:rsidRPr="002E4354" w:rsidRDefault="006420CB" w:rsidP="00762FEB">
            <w:pPr>
              <w:pStyle w:val="TableText"/>
            </w:pPr>
            <w:r w:rsidRPr="002E4354">
              <w:lastRenderedPageBreak/>
              <w:t>Housing inspections completed  </w:t>
            </w:r>
          </w:p>
        </w:tc>
        <w:tc>
          <w:tcPr>
            <w:tcW w:w="1200" w:type="dxa"/>
            <w:vAlign w:val="center"/>
            <w:hideMark/>
          </w:tcPr>
          <w:p w14:paraId="359C8B0A" w14:textId="77777777" w:rsidR="006420CB" w:rsidRPr="000F25DC" w:rsidRDefault="006420CB" w:rsidP="00762FEB">
            <w:pPr>
              <w:pStyle w:val="TableText"/>
              <w:jc w:val="right"/>
            </w:pPr>
            <w:r w:rsidRPr="000F25DC">
              <w:t>632  </w:t>
            </w:r>
          </w:p>
        </w:tc>
        <w:tc>
          <w:tcPr>
            <w:tcW w:w="1200" w:type="dxa"/>
            <w:vAlign w:val="center"/>
            <w:hideMark/>
          </w:tcPr>
          <w:p w14:paraId="518ECDC2" w14:textId="77777777" w:rsidR="006420CB" w:rsidRPr="000F25DC" w:rsidRDefault="006420CB" w:rsidP="00762FEB">
            <w:pPr>
              <w:pStyle w:val="TableText"/>
              <w:jc w:val="right"/>
            </w:pPr>
            <w:r w:rsidRPr="000F25DC">
              <w:t>731  </w:t>
            </w:r>
          </w:p>
        </w:tc>
        <w:tc>
          <w:tcPr>
            <w:tcW w:w="1200" w:type="dxa"/>
            <w:vAlign w:val="center"/>
            <w:hideMark/>
          </w:tcPr>
          <w:p w14:paraId="6E785E1F" w14:textId="77777777" w:rsidR="006420CB" w:rsidRPr="000F25DC" w:rsidRDefault="006420CB" w:rsidP="00762FEB">
            <w:pPr>
              <w:pStyle w:val="TableText"/>
              <w:jc w:val="right"/>
            </w:pPr>
            <w:r w:rsidRPr="000F25DC">
              <w:t>954  </w:t>
            </w:r>
          </w:p>
        </w:tc>
        <w:tc>
          <w:tcPr>
            <w:tcW w:w="1200" w:type="dxa"/>
            <w:vAlign w:val="center"/>
            <w:hideMark/>
          </w:tcPr>
          <w:p w14:paraId="1ABFB284" w14:textId="77777777" w:rsidR="006420CB" w:rsidRPr="000F25DC" w:rsidRDefault="006420CB" w:rsidP="00762FEB">
            <w:pPr>
              <w:pStyle w:val="TableText"/>
              <w:jc w:val="right"/>
            </w:pPr>
            <w:r w:rsidRPr="000F25DC">
              <w:t>1020  </w:t>
            </w:r>
          </w:p>
        </w:tc>
        <w:tc>
          <w:tcPr>
            <w:tcW w:w="1200" w:type="dxa"/>
            <w:vAlign w:val="center"/>
            <w:hideMark/>
          </w:tcPr>
          <w:p w14:paraId="4730311E" w14:textId="77777777" w:rsidR="006420CB" w:rsidRPr="000F25DC" w:rsidRDefault="006420CB" w:rsidP="00762FEB">
            <w:pPr>
              <w:pStyle w:val="TableText"/>
              <w:jc w:val="right"/>
            </w:pPr>
            <w:r w:rsidRPr="000F25DC">
              <w:t>1232  </w:t>
            </w:r>
          </w:p>
        </w:tc>
      </w:tr>
      <w:tr w:rsidR="006420CB" w:rsidRPr="000F25DC" w14:paraId="00C12712" w14:textId="77777777" w:rsidTr="00762FEB">
        <w:trPr>
          <w:trHeight w:val="495"/>
        </w:trPr>
        <w:tc>
          <w:tcPr>
            <w:tcW w:w="2970" w:type="dxa"/>
            <w:vAlign w:val="center"/>
            <w:hideMark/>
          </w:tcPr>
          <w:p w14:paraId="0C3EAD30" w14:textId="77777777" w:rsidR="006420CB" w:rsidRPr="002E4354" w:rsidRDefault="006420CB" w:rsidP="00762FEB">
            <w:pPr>
              <w:pStyle w:val="TableText"/>
            </w:pPr>
            <w:r w:rsidRPr="002E4354">
              <w:t>Total units inspected  </w:t>
            </w:r>
          </w:p>
        </w:tc>
        <w:tc>
          <w:tcPr>
            <w:tcW w:w="1200" w:type="dxa"/>
            <w:vAlign w:val="center"/>
            <w:hideMark/>
          </w:tcPr>
          <w:p w14:paraId="5B86C661" w14:textId="77777777" w:rsidR="006420CB" w:rsidRPr="000F25DC" w:rsidRDefault="006420CB" w:rsidP="00762FEB">
            <w:pPr>
              <w:pStyle w:val="TableText"/>
              <w:jc w:val="right"/>
            </w:pPr>
            <w:r w:rsidRPr="000F25DC">
              <w:t>2749  </w:t>
            </w:r>
          </w:p>
        </w:tc>
        <w:tc>
          <w:tcPr>
            <w:tcW w:w="1200" w:type="dxa"/>
            <w:vAlign w:val="center"/>
            <w:hideMark/>
          </w:tcPr>
          <w:p w14:paraId="5C755D10" w14:textId="77777777" w:rsidR="006420CB" w:rsidRPr="000F25DC" w:rsidRDefault="006420CB" w:rsidP="00762FEB">
            <w:pPr>
              <w:pStyle w:val="TableText"/>
              <w:jc w:val="right"/>
            </w:pPr>
            <w:r w:rsidRPr="000F25DC">
              <w:t>3152  </w:t>
            </w:r>
          </w:p>
        </w:tc>
        <w:tc>
          <w:tcPr>
            <w:tcW w:w="1200" w:type="dxa"/>
            <w:vAlign w:val="center"/>
            <w:hideMark/>
          </w:tcPr>
          <w:p w14:paraId="1D80293F" w14:textId="77777777" w:rsidR="006420CB" w:rsidRPr="000F25DC" w:rsidRDefault="006420CB" w:rsidP="00762FEB">
            <w:pPr>
              <w:pStyle w:val="TableText"/>
              <w:jc w:val="right"/>
            </w:pPr>
            <w:r w:rsidRPr="000F25DC">
              <w:t>1692*  </w:t>
            </w:r>
          </w:p>
        </w:tc>
        <w:tc>
          <w:tcPr>
            <w:tcW w:w="1200" w:type="dxa"/>
            <w:vAlign w:val="center"/>
            <w:hideMark/>
          </w:tcPr>
          <w:p w14:paraId="58BB2815" w14:textId="77777777" w:rsidR="006420CB" w:rsidRPr="000F25DC" w:rsidRDefault="006420CB" w:rsidP="00762FEB">
            <w:pPr>
              <w:pStyle w:val="TableText"/>
              <w:jc w:val="right"/>
            </w:pPr>
            <w:r w:rsidRPr="000F25DC">
              <w:t>1876  </w:t>
            </w:r>
          </w:p>
        </w:tc>
        <w:tc>
          <w:tcPr>
            <w:tcW w:w="1200" w:type="dxa"/>
            <w:vAlign w:val="center"/>
            <w:hideMark/>
          </w:tcPr>
          <w:p w14:paraId="1EFD9170" w14:textId="77777777" w:rsidR="006420CB" w:rsidRPr="000F25DC" w:rsidRDefault="006420CB" w:rsidP="00762FEB">
            <w:pPr>
              <w:pStyle w:val="TableText"/>
              <w:jc w:val="right"/>
            </w:pPr>
            <w:r w:rsidRPr="000F25DC">
              <w:t>2130  </w:t>
            </w:r>
          </w:p>
        </w:tc>
      </w:tr>
      <w:tr w:rsidR="006420CB" w:rsidRPr="000F25DC" w14:paraId="376F3B5D" w14:textId="77777777" w:rsidTr="00762FEB">
        <w:trPr>
          <w:trHeight w:val="495"/>
        </w:trPr>
        <w:tc>
          <w:tcPr>
            <w:tcW w:w="2970" w:type="dxa"/>
            <w:vAlign w:val="center"/>
            <w:hideMark/>
          </w:tcPr>
          <w:p w14:paraId="0D04858E" w14:textId="77777777" w:rsidR="006420CB" w:rsidRPr="002E4354" w:rsidRDefault="006420CB" w:rsidP="00762FEB">
            <w:pPr>
              <w:pStyle w:val="TableText"/>
              <w:rPr>
                <w:rFonts w:cstheme="minorBidi"/>
                <w:color w:val="000000" w:themeColor="text1"/>
              </w:rPr>
            </w:pPr>
            <w:r w:rsidRPr="002E4354">
              <w:rPr>
                <w:rFonts w:cstheme="minorBidi"/>
                <w:color w:val="000000" w:themeColor="text1"/>
              </w:rPr>
              <w:t>Housing capacity for all units </w:t>
            </w:r>
            <w:r w:rsidRPr="542FF538">
              <w:rPr>
                <w:rFonts w:cstheme="minorBidi"/>
                <w:color w:val="000000" w:themeColor="text1"/>
              </w:rPr>
              <w:t>inspected</w:t>
            </w:r>
          </w:p>
        </w:tc>
        <w:tc>
          <w:tcPr>
            <w:tcW w:w="1200" w:type="dxa"/>
            <w:vAlign w:val="center"/>
            <w:hideMark/>
          </w:tcPr>
          <w:p w14:paraId="01844BEB" w14:textId="77777777" w:rsidR="006420CB" w:rsidRPr="000F25DC" w:rsidRDefault="006420CB" w:rsidP="00762FEB">
            <w:pPr>
              <w:pStyle w:val="TableText"/>
              <w:jc w:val="right"/>
            </w:pPr>
            <w:r w:rsidRPr="000F25DC">
              <w:t>5980  </w:t>
            </w:r>
          </w:p>
        </w:tc>
        <w:tc>
          <w:tcPr>
            <w:tcW w:w="1200" w:type="dxa"/>
            <w:vAlign w:val="center"/>
            <w:hideMark/>
          </w:tcPr>
          <w:p w14:paraId="4B611F3E" w14:textId="77777777" w:rsidR="006420CB" w:rsidRPr="000F25DC" w:rsidRDefault="006420CB" w:rsidP="00762FEB">
            <w:pPr>
              <w:pStyle w:val="TableText"/>
              <w:jc w:val="right"/>
            </w:pPr>
            <w:r w:rsidRPr="000F25DC">
              <w:t>7522  </w:t>
            </w:r>
          </w:p>
        </w:tc>
        <w:tc>
          <w:tcPr>
            <w:tcW w:w="1200" w:type="dxa"/>
            <w:vAlign w:val="center"/>
            <w:hideMark/>
          </w:tcPr>
          <w:p w14:paraId="67F87DCD" w14:textId="77777777" w:rsidR="006420CB" w:rsidRPr="000F25DC" w:rsidRDefault="006420CB" w:rsidP="00762FEB">
            <w:pPr>
              <w:pStyle w:val="TableText"/>
              <w:jc w:val="right"/>
            </w:pPr>
            <w:r w:rsidRPr="000F25DC">
              <w:t>10332  </w:t>
            </w:r>
          </w:p>
        </w:tc>
        <w:tc>
          <w:tcPr>
            <w:tcW w:w="1200" w:type="dxa"/>
            <w:vAlign w:val="center"/>
            <w:hideMark/>
          </w:tcPr>
          <w:p w14:paraId="42FF213A" w14:textId="77777777" w:rsidR="006420CB" w:rsidRPr="000F25DC" w:rsidRDefault="006420CB" w:rsidP="00762FEB">
            <w:pPr>
              <w:pStyle w:val="TableText"/>
              <w:jc w:val="right"/>
            </w:pPr>
            <w:r w:rsidRPr="000F25DC">
              <w:t>11334  </w:t>
            </w:r>
          </w:p>
        </w:tc>
        <w:tc>
          <w:tcPr>
            <w:tcW w:w="1200" w:type="dxa"/>
            <w:vAlign w:val="center"/>
            <w:hideMark/>
          </w:tcPr>
          <w:p w14:paraId="50AA7C4B" w14:textId="77777777" w:rsidR="006420CB" w:rsidRPr="000F25DC" w:rsidRDefault="006420CB" w:rsidP="00762FEB">
            <w:pPr>
              <w:pStyle w:val="TableText"/>
              <w:jc w:val="right"/>
            </w:pPr>
            <w:r w:rsidRPr="000F25DC">
              <w:t>12584 </w:t>
            </w:r>
          </w:p>
        </w:tc>
      </w:tr>
    </w:tbl>
    <w:p w14:paraId="15865BBA" w14:textId="77777777" w:rsidR="006420CB" w:rsidRPr="00D25E7F" w:rsidRDefault="006420CB" w:rsidP="00762FEB">
      <w:pPr>
        <w:pStyle w:val="BodyText"/>
        <w:rPr>
          <w:rFonts w:asciiTheme="minorHAnsi" w:eastAsia="Times New Roman" w:hAnsiTheme="minorHAnsi" w:cstheme="minorHAnsi"/>
          <w:sz w:val="24"/>
          <w:szCs w:val="24"/>
        </w:rPr>
      </w:pPr>
      <w:r w:rsidRPr="002E4354">
        <w:rPr>
          <w:shd w:val="clear" w:color="auto" w:fill="FFFFFF"/>
        </w:rPr>
        <w:t>*</w:t>
      </w:r>
      <w:r>
        <w:rPr>
          <w:shd w:val="clear" w:color="auto" w:fill="FFFFFF"/>
        </w:rPr>
        <w:t xml:space="preserve"> The n</w:t>
      </w:r>
      <w:r w:rsidRPr="002E4354">
        <w:rPr>
          <w:shd w:val="clear" w:color="auto" w:fill="FFFFFF"/>
        </w:rPr>
        <w:t xml:space="preserve">umber of units decreased after 2021 due to a change in the way units were counted. Through 2021, each individual sleeping area (bedrooms, etc.) were counted as distinct units. As of 2022, </w:t>
      </w:r>
      <w:r w:rsidRPr="002E4354">
        <w:t>units are counted as distinct housing facilities (each house, trailer, apartment, etc. Is counted as a single unit). </w:t>
      </w:r>
    </w:p>
    <w:p w14:paraId="7A7E6136" w14:textId="77777777" w:rsidR="006420CB" w:rsidRPr="000F25DC" w:rsidRDefault="006420CB" w:rsidP="001D23B8">
      <w:pPr>
        <w:pStyle w:val="BodyText"/>
      </w:pPr>
      <w:r>
        <w:t>The following table shows the percent of job postings and housing inspections that the FLC program staff completed within goal timeframes over the last five program years.</w:t>
      </w:r>
    </w:p>
    <w:tbl>
      <w:tblPr>
        <w:tblStyle w:val="TableGrid1"/>
        <w:tblW w:w="0" w:type="auto"/>
        <w:tblCellMar>
          <w:top w:w="58" w:type="dxa"/>
          <w:bottom w:w="58" w:type="dxa"/>
        </w:tblCellMar>
        <w:tblLook w:val="04A0" w:firstRow="1" w:lastRow="0" w:firstColumn="1" w:lastColumn="0" w:noHBand="0" w:noVBand="1"/>
      </w:tblPr>
      <w:tblGrid>
        <w:gridCol w:w="1345"/>
        <w:gridCol w:w="1530"/>
        <w:gridCol w:w="2250"/>
      </w:tblGrid>
      <w:tr w:rsidR="006420CB" w14:paraId="5D76B099" w14:textId="77777777" w:rsidTr="001D23B8">
        <w:trPr>
          <w:tblHeader/>
        </w:trPr>
        <w:tc>
          <w:tcPr>
            <w:tcW w:w="1345" w:type="dxa"/>
            <w:shd w:val="clear" w:color="auto" w:fill="B8CCE4" w:themeFill="accent1" w:themeFillTint="66"/>
            <w:vAlign w:val="center"/>
          </w:tcPr>
          <w:p w14:paraId="6AE08796" w14:textId="77777777" w:rsidR="006420CB" w:rsidRPr="00DC48F4" w:rsidRDefault="006420CB" w:rsidP="001D23B8">
            <w:pPr>
              <w:pStyle w:val="TableHeaders"/>
            </w:pPr>
            <w:r w:rsidRPr="00DC48F4">
              <w:t>Fiscal Year</w:t>
            </w:r>
          </w:p>
        </w:tc>
        <w:tc>
          <w:tcPr>
            <w:tcW w:w="1530" w:type="dxa"/>
            <w:shd w:val="clear" w:color="auto" w:fill="B8CCE4" w:themeFill="accent1" w:themeFillTint="66"/>
            <w:vAlign w:val="center"/>
          </w:tcPr>
          <w:p w14:paraId="42BE730A" w14:textId="77777777" w:rsidR="006420CB" w:rsidRPr="00DC48F4" w:rsidRDefault="006420CB" w:rsidP="001D23B8">
            <w:pPr>
              <w:pStyle w:val="TableHeaders"/>
            </w:pPr>
            <w:r w:rsidRPr="00DC48F4">
              <w:t>Job Postings</w:t>
            </w:r>
          </w:p>
        </w:tc>
        <w:tc>
          <w:tcPr>
            <w:tcW w:w="2250" w:type="dxa"/>
            <w:shd w:val="clear" w:color="auto" w:fill="B8CCE4" w:themeFill="accent1" w:themeFillTint="66"/>
            <w:vAlign w:val="center"/>
          </w:tcPr>
          <w:p w14:paraId="1F500FB1" w14:textId="77777777" w:rsidR="006420CB" w:rsidRPr="00DC48F4" w:rsidRDefault="006420CB" w:rsidP="001D23B8">
            <w:pPr>
              <w:pStyle w:val="TableHeaders"/>
            </w:pPr>
            <w:r w:rsidRPr="00DC48F4">
              <w:t>Housing Inspections</w:t>
            </w:r>
          </w:p>
        </w:tc>
      </w:tr>
      <w:tr w:rsidR="006420CB" w14:paraId="242655FC" w14:textId="77777777" w:rsidTr="001D23B8">
        <w:tc>
          <w:tcPr>
            <w:tcW w:w="1345" w:type="dxa"/>
            <w:vAlign w:val="center"/>
          </w:tcPr>
          <w:p w14:paraId="2D61B95F" w14:textId="77777777" w:rsidR="006420CB" w:rsidRDefault="006420CB" w:rsidP="001D23B8">
            <w:pPr>
              <w:pStyle w:val="TableText"/>
            </w:pPr>
            <w:r>
              <w:t>2020</w:t>
            </w:r>
          </w:p>
        </w:tc>
        <w:tc>
          <w:tcPr>
            <w:tcW w:w="1530" w:type="dxa"/>
            <w:vAlign w:val="center"/>
          </w:tcPr>
          <w:p w14:paraId="1911388C" w14:textId="77777777" w:rsidR="006420CB" w:rsidRDefault="006420CB" w:rsidP="001D23B8">
            <w:pPr>
              <w:pStyle w:val="TableText"/>
              <w:jc w:val="right"/>
            </w:pPr>
            <w:r>
              <w:t>72 %</w:t>
            </w:r>
          </w:p>
        </w:tc>
        <w:tc>
          <w:tcPr>
            <w:tcW w:w="2250" w:type="dxa"/>
            <w:vAlign w:val="center"/>
          </w:tcPr>
          <w:p w14:paraId="44B30DD4" w14:textId="77777777" w:rsidR="006420CB" w:rsidRDefault="006420CB" w:rsidP="001D23B8">
            <w:pPr>
              <w:pStyle w:val="TableText"/>
              <w:jc w:val="right"/>
            </w:pPr>
            <w:r>
              <w:t>91 %</w:t>
            </w:r>
          </w:p>
        </w:tc>
      </w:tr>
      <w:tr w:rsidR="006420CB" w14:paraId="5C261D44" w14:textId="77777777" w:rsidTr="001D23B8">
        <w:tc>
          <w:tcPr>
            <w:tcW w:w="1345" w:type="dxa"/>
            <w:vAlign w:val="center"/>
          </w:tcPr>
          <w:p w14:paraId="6DBD6176" w14:textId="77777777" w:rsidR="006420CB" w:rsidRDefault="006420CB" w:rsidP="001D23B8">
            <w:pPr>
              <w:pStyle w:val="TableText"/>
            </w:pPr>
            <w:r>
              <w:t>2021</w:t>
            </w:r>
          </w:p>
        </w:tc>
        <w:tc>
          <w:tcPr>
            <w:tcW w:w="1530" w:type="dxa"/>
            <w:vAlign w:val="center"/>
          </w:tcPr>
          <w:p w14:paraId="1550DF8F" w14:textId="77777777" w:rsidR="006420CB" w:rsidRDefault="006420CB" w:rsidP="001D23B8">
            <w:pPr>
              <w:pStyle w:val="TableText"/>
              <w:jc w:val="right"/>
            </w:pPr>
            <w:r>
              <w:t>86 %</w:t>
            </w:r>
          </w:p>
        </w:tc>
        <w:tc>
          <w:tcPr>
            <w:tcW w:w="2250" w:type="dxa"/>
            <w:vAlign w:val="center"/>
          </w:tcPr>
          <w:p w14:paraId="5A9D35CF" w14:textId="77777777" w:rsidR="006420CB" w:rsidRDefault="006420CB" w:rsidP="001D23B8">
            <w:pPr>
              <w:pStyle w:val="TableText"/>
              <w:jc w:val="right"/>
            </w:pPr>
            <w:r>
              <w:t>89 %</w:t>
            </w:r>
          </w:p>
        </w:tc>
      </w:tr>
      <w:tr w:rsidR="006420CB" w14:paraId="33595C49" w14:textId="77777777" w:rsidTr="001D23B8">
        <w:tc>
          <w:tcPr>
            <w:tcW w:w="1345" w:type="dxa"/>
            <w:vAlign w:val="center"/>
          </w:tcPr>
          <w:p w14:paraId="3D3D9617" w14:textId="77777777" w:rsidR="006420CB" w:rsidRDefault="006420CB" w:rsidP="001D23B8">
            <w:pPr>
              <w:pStyle w:val="TableText"/>
            </w:pPr>
            <w:r>
              <w:t>2022</w:t>
            </w:r>
          </w:p>
        </w:tc>
        <w:tc>
          <w:tcPr>
            <w:tcW w:w="1530" w:type="dxa"/>
            <w:vAlign w:val="center"/>
          </w:tcPr>
          <w:p w14:paraId="7EB3C8C4" w14:textId="77777777" w:rsidR="006420CB" w:rsidRDefault="006420CB" w:rsidP="001D23B8">
            <w:pPr>
              <w:pStyle w:val="TableText"/>
              <w:jc w:val="right"/>
            </w:pPr>
            <w:r>
              <w:t>90 %</w:t>
            </w:r>
          </w:p>
        </w:tc>
        <w:tc>
          <w:tcPr>
            <w:tcW w:w="2250" w:type="dxa"/>
            <w:vAlign w:val="center"/>
          </w:tcPr>
          <w:p w14:paraId="522A144B" w14:textId="77777777" w:rsidR="006420CB" w:rsidRDefault="006420CB" w:rsidP="001D23B8">
            <w:pPr>
              <w:pStyle w:val="TableText"/>
              <w:jc w:val="right"/>
            </w:pPr>
            <w:r>
              <w:t>84 %</w:t>
            </w:r>
          </w:p>
        </w:tc>
      </w:tr>
      <w:tr w:rsidR="006420CB" w14:paraId="67BAFB90" w14:textId="77777777" w:rsidTr="001D23B8">
        <w:tc>
          <w:tcPr>
            <w:tcW w:w="1345" w:type="dxa"/>
            <w:vAlign w:val="center"/>
          </w:tcPr>
          <w:p w14:paraId="06362A99" w14:textId="77777777" w:rsidR="006420CB" w:rsidRDefault="006420CB" w:rsidP="001D23B8">
            <w:pPr>
              <w:pStyle w:val="TableText"/>
            </w:pPr>
            <w:r>
              <w:t>2023</w:t>
            </w:r>
          </w:p>
        </w:tc>
        <w:tc>
          <w:tcPr>
            <w:tcW w:w="1530" w:type="dxa"/>
            <w:vAlign w:val="center"/>
          </w:tcPr>
          <w:p w14:paraId="670CED65" w14:textId="77777777" w:rsidR="006420CB" w:rsidRDefault="006420CB" w:rsidP="001D23B8">
            <w:pPr>
              <w:pStyle w:val="TableText"/>
              <w:jc w:val="right"/>
            </w:pPr>
            <w:r>
              <w:t>88 %</w:t>
            </w:r>
          </w:p>
        </w:tc>
        <w:tc>
          <w:tcPr>
            <w:tcW w:w="2250" w:type="dxa"/>
            <w:vAlign w:val="center"/>
          </w:tcPr>
          <w:p w14:paraId="75FC3645" w14:textId="77777777" w:rsidR="006420CB" w:rsidRDefault="006420CB" w:rsidP="001D23B8">
            <w:pPr>
              <w:pStyle w:val="TableText"/>
              <w:jc w:val="right"/>
            </w:pPr>
            <w:r>
              <w:t>87 %</w:t>
            </w:r>
          </w:p>
        </w:tc>
      </w:tr>
      <w:tr w:rsidR="006420CB" w14:paraId="7BD84A3A" w14:textId="77777777" w:rsidTr="001D23B8">
        <w:tc>
          <w:tcPr>
            <w:tcW w:w="1345" w:type="dxa"/>
            <w:vAlign w:val="center"/>
          </w:tcPr>
          <w:p w14:paraId="0B519EF4" w14:textId="77777777" w:rsidR="006420CB" w:rsidRDefault="006420CB" w:rsidP="001D23B8">
            <w:pPr>
              <w:pStyle w:val="TableText"/>
            </w:pPr>
            <w:r>
              <w:t>2024</w:t>
            </w:r>
          </w:p>
        </w:tc>
        <w:tc>
          <w:tcPr>
            <w:tcW w:w="1530" w:type="dxa"/>
            <w:vAlign w:val="center"/>
          </w:tcPr>
          <w:p w14:paraId="554BAFBC" w14:textId="77777777" w:rsidR="006420CB" w:rsidRDefault="006420CB" w:rsidP="001D23B8">
            <w:pPr>
              <w:pStyle w:val="TableText"/>
              <w:jc w:val="right"/>
            </w:pPr>
            <w:r>
              <w:t>71 %</w:t>
            </w:r>
          </w:p>
        </w:tc>
        <w:tc>
          <w:tcPr>
            <w:tcW w:w="2250" w:type="dxa"/>
            <w:vAlign w:val="center"/>
          </w:tcPr>
          <w:p w14:paraId="53A1A8DF" w14:textId="77777777" w:rsidR="006420CB" w:rsidRDefault="006420CB" w:rsidP="001D23B8">
            <w:pPr>
              <w:pStyle w:val="TableText"/>
              <w:jc w:val="right"/>
            </w:pPr>
            <w:r>
              <w:t>89 %</w:t>
            </w:r>
          </w:p>
        </w:tc>
      </w:tr>
    </w:tbl>
    <w:p w14:paraId="486B5BF0" w14:textId="6AEABB89" w:rsidR="006420CB" w:rsidRDefault="007D68D6" w:rsidP="007D68D6">
      <w:pPr>
        <w:pStyle w:val="BodyText3"/>
        <w:ind w:left="720" w:hanging="720"/>
      </w:pPr>
      <w:r>
        <w:t>D.</w:t>
      </w:r>
      <w:r>
        <w:tab/>
      </w:r>
      <w:r w:rsidR="006420CB" w:rsidRPr="000F25DC">
        <w:t>Describe</w:t>
      </w:r>
      <w:r w:rsidR="006420CB" w:rsidRPr="000F25DC">
        <w:rPr>
          <w:spacing w:val="-14"/>
        </w:rPr>
        <w:t xml:space="preserve"> </w:t>
      </w:r>
      <w:r w:rsidR="006420CB" w:rsidRPr="000F25DC">
        <w:t>any</w:t>
      </w:r>
      <w:r w:rsidR="006420CB" w:rsidRPr="000F25DC">
        <w:rPr>
          <w:spacing w:val="-14"/>
        </w:rPr>
        <w:t xml:space="preserve"> </w:t>
      </w:r>
      <w:r w:rsidR="006420CB" w:rsidRPr="000F25DC">
        <w:t>important</w:t>
      </w:r>
      <w:r w:rsidR="006420CB" w:rsidRPr="000F25DC">
        <w:rPr>
          <w:spacing w:val="-13"/>
        </w:rPr>
        <w:t xml:space="preserve"> </w:t>
      </w:r>
      <w:r w:rsidR="006420CB" w:rsidRPr="000F25DC">
        <w:t>history</w:t>
      </w:r>
      <w:r w:rsidR="006420CB" w:rsidRPr="000F25DC">
        <w:rPr>
          <w:spacing w:val="-14"/>
        </w:rPr>
        <w:t xml:space="preserve"> </w:t>
      </w:r>
      <w:r w:rsidR="006420CB" w:rsidRPr="000F25DC">
        <w:t>regarding</w:t>
      </w:r>
      <w:r w:rsidR="006420CB" w:rsidRPr="000F25DC">
        <w:rPr>
          <w:spacing w:val="-13"/>
        </w:rPr>
        <w:t xml:space="preserve"> </w:t>
      </w:r>
      <w:r w:rsidR="006420CB" w:rsidRPr="000F25DC">
        <w:t>this</w:t>
      </w:r>
      <w:r w:rsidR="006420CB" w:rsidRPr="000F25DC">
        <w:rPr>
          <w:spacing w:val="-14"/>
        </w:rPr>
        <w:t xml:space="preserve"> </w:t>
      </w:r>
      <w:r w:rsidR="006420CB" w:rsidRPr="000F25DC">
        <w:t>division</w:t>
      </w:r>
      <w:r w:rsidR="006420CB" w:rsidRPr="000F25DC">
        <w:rPr>
          <w:spacing w:val="-13"/>
        </w:rPr>
        <w:t xml:space="preserve"> </w:t>
      </w:r>
      <w:r w:rsidR="006420CB" w:rsidRPr="000F25DC">
        <w:t>or</w:t>
      </w:r>
      <w:r w:rsidR="006420CB" w:rsidRPr="000F25DC">
        <w:rPr>
          <w:spacing w:val="-14"/>
        </w:rPr>
        <w:t xml:space="preserve"> </w:t>
      </w:r>
      <w:r w:rsidR="006420CB" w:rsidRPr="000F25DC">
        <w:t>program</w:t>
      </w:r>
      <w:r w:rsidR="006420CB" w:rsidRPr="000F25DC">
        <w:rPr>
          <w:spacing w:val="-14"/>
        </w:rPr>
        <w:t xml:space="preserve"> </w:t>
      </w:r>
      <w:r w:rsidR="006420CB" w:rsidRPr="000F25DC">
        <w:t>not</w:t>
      </w:r>
      <w:r w:rsidR="006420CB" w:rsidRPr="000F25DC">
        <w:rPr>
          <w:spacing w:val="-13"/>
        </w:rPr>
        <w:t xml:space="preserve"> </w:t>
      </w:r>
      <w:r w:rsidR="006420CB" w:rsidRPr="000F25DC">
        <w:t>included</w:t>
      </w:r>
      <w:r w:rsidR="006420CB" w:rsidRPr="000F25DC">
        <w:rPr>
          <w:spacing w:val="-14"/>
        </w:rPr>
        <w:t xml:space="preserve"> </w:t>
      </w:r>
      <w:r w:rsidR="006420CB" w:rsidRPr="000F25DC">
        <w:t>in</w:t>
      </w:r>
      <w:r w:rsidR="006420CB" w:rsidRPr="000F25DC">
        <w:rPr>
          <w:spacing w:val="-13"/>
        </w:rPr>
        <w:t xml:space="preserve"> </w:t>
      </w:r>
      <w:r w:rsidR="006420CB" w:rsidRPr="000F25DC">
        <w:t>the</w:t>
      </w:r>
      <w:r w:rsidR="006420CB" w:rsidRPr="000F25DC">
        <w:rPr>
          <w:spacing w:val="-14"/>
        </w:rPr>
        <w:t xml:space="preserve"> </w:t>
      </w:r>
      <w:r w:rsidR="006420CB" w:rsidRPr="000F25DC">
        <w:t>general agency history section, including</w:t>
      </w:r>
      <w:r w:rsidR="006420CB" w:rsidRPr="000F25DC">
        <w:rPr>
          <w:spacing w:val="-1"/>
        </w:rPr>
        <w:t xml:space="preserve"> </w:t>
      </w:r>
      <w:r w:rsidR="006420CB" w:rsidRPr="000F25DC">
        <w:t>how the</w:t>
      </w:r>
      <w:r w:rsidR="006420CB" w:rsidRPr="000F25DC">
        <w:rPr>
          <w:spacing w:val="-1"/>
        </w:rPr>
        <w:t xml:space="preserve"> </w:t>
      </w:r>
      <w:r w:rsidR="006420CB" w:rsidRPr="000F25DC">
        <w:t>functions or services have changed over time. If the response to Section III of this report is sufficient, please leave this section blank.</w:t>
      </w:r>
    </w:p>
    <w:p w14:paraId="415FBAA7" w14:textId="77777777" w:rsidR="006420CB" w:rsidRPr="000F25DC" w:rsidRDefault="006420CB" w:rsidP="007D68D6">
      <w:pPr>
        <w:pStyle w:val="BodyText"/>
      </w:pPr>
      <w:r w:rsidRPr="000F25DC">
        <w:t>Prior to March 2005, all permanent labor certifications were processed by state FLC units. In March 2005, DOL restructured the process to make all permanent labor determinations at the federal level. Applications for permanent labor certifications are no longer performed by the states.  </w:t>
      </w:r>
    </w:p>
    <w:p w14:paraId="5A703B7F" w14:textId="77777777" w:rsidR="006420CB" w:rsidRPr="000F25DC" w:rsidRDefault="006420CB" w:rsidP="007D68D6">
      <w:pPr>
        <w:pStyle w:val="BodyText"/>
      </w:pPr>
      <w:r w:rsidRPr="000F25DC">
        <w:t xml:space="preserve">In January 2010, DOL assumed the responsibility for making prevailing wage determinations, a responsibility previously performed by </w:t>
      </w:r>
      <w:r>
        <w:t>states</w:t>
      </w:r>
      <w:r w:rsidRPr="000F25DC">
        <w:t xml:space="preserve">. The </w:t>
      </w:r>
      <w:r>
        <w:t>states</w:t>
      </w:r>
      <w:r w:rsidRPr="000F25DC">
        <w:t xml:space="preserve"> still conduct the annual agricultural prevailing wage and practice surveys. </w:t>
      </w:r>
    </w:p>
    <w:p w14:paraId="16165EC2" w14:textId="77777777" w:rsidR="006420CB" w:rsidRPr="000F25DC" w:rsidRDefault="006420CB" w:rsidP="007D68D6">
      <w:pPr>
        <w:pStyle w:val="BodyText"/>
      </w:pPr>
      <w:r w:rsidRPr="000F25DC">
        <w:t>TWC is still responsible for reviewing H-2A and H-2B job orders, opening job postings for these orders, and conducting pre-occupancy housing inspections for H-2A employers.</w:t>
      </w:r>
    </w:p>
    <w:p w14:paraId="2D1578D6" w14:textId="275F6970" w:rsidR="006420CB" w:rsidRPr="000F25DC" w:rsidRDefault="00FE266B" w:rsidP="00FE266B">
      <w:pPr>
        <w:pStyle w:val="BodyText3"/>
        <w:ind w:left="720" w:hanging="720"/>
      </w:pPr>
      <w:r>
        <w:t>E.</w:t>
      </w:r>
      <w:r>
        <w:tab/>
      </w:r>
      <w:r w:rsidR="006420CB" w:rsidRPr="000F25DC">
        <w:t>List any qualifications or eligibility requirements for persons or entities affected by this division or program (e.g., licensees, consumers, and landowners). Provide a statistical breakdown of persons or entities affected.</w:t>
      </w:r>
    </w:p>
    <w:p w14:paraId="692666B3" w14:textId="77777777" w:rsidR="006420CB" w:rsidRPr="000F25DC" w:rsidRDefault="006420CB" w:rsidP="00FE266B">
      <w:pPr>
        <w:pStyle w:val="BodyText"/>
      </w:pPr>
      <w:r w:rsidRPr="000F25DC">
        <w:lastRenderedPageBreak/>
        <w:t>Employers who can document business need for temporary workers</w:t>
      </w:r>
      <w:r>
        <w:t xml:space="preserve">, </w:t>
      </w:r>
      <w:r w:rsidRPr="000F25DC">
        <w:t>and who have not been debarred from participation</w:t>
      </w:r>
      <w:r>
        <w:t>,</w:t>
      </w:r>
      <w:r w:rsidRPr="000F25DC">
        <w:t xml:space="preserve"> are eligible for the program. Eligibility is determined by </w:t>
      </w:r>
      <w:r>
        <w:t>DOL</w:t>
      </w:r>
      <w:r w:rsidRPr="000F25DC">
        <w:t xml:space="preserve"> rather than TWC. </w:t>
      </w:r>
    </w:p>
    <w:p w14:paraId="6322B3D0" w14:textId="77777777" w:rsidR="006420CB" w:rsidRPr="00FE266B" w:rsidRDefault="006420CB" w:rsidP="00FE266B">
      <w:pPr>
        <w:pStyle w:val="BodyText"/>
      </w:pPr>
      <w:r w:rsidRPr="00FE266B">
        <w:t xml:space="preserve">Eligibility information for individuals seeking H-2A or H-2B visas can be found in the </w:t>
      </w:r>
      <w:hyperlink r:id="rId214" w:tgtFrame="_blank" w:history="1">
        <w:r w:rsidRPr="00FE266B">
          <w:t>Immigration and Naturalization Act</w:t>
        </w:r>
      </w:hyperlink>
      <w:r w:rsidRPr="00FE266B">
        <w:t xml:space="preserve"> at </w:t>
      </w:r>
      <w:hyperlink r:id="rId215" w:tgtFrame="_blank" w:history="1">
        <w:r w:rsidRPr="00FE266B">
          <w:t>8 U.S.C. 1184(a)(1)</w:t>
        </w:r>
      </w:hyperlink>
      <w:r w:rsidRPr="00FE266B">
        <w:t xml:space="preserve"> and </w:t>
      </w:r>
      <w:hyperlink r:id="rId216" w:tgtFrame="_blank" w:history="1">
        <w:r w:rsidRPr="00FE266B">
          <w:t>1185(a)(1)</w:t>
        </w:r>
      </w:hyperlink>
      <w:r w:rsidRPr="00FE266B">
        <w:t>. TWC does not play a role in determining the eligibility of foreign workers to obtain work visas. </w:t>
      </w:r>
    </w:p>
    <w:p w14:paraId="45591ACA" w14:textId="65CDB62A" w:rsidR="006420CB" w:rsidRPr="000F25DC" w:rsidRDefault="00F36EFF" w:rsidP="00F36EFF">
      <w:pPr>
        <w:pStyle w:val="BodyText3"/>
        <w:ind w:left="720" w:hanging="720"/>
      </w:pPr>
      <w:r>
        <w:t>F.</w:t>
      </w:r>
      <w:r>
        <w:tab/>
      </w:r>
      <w:r w:rsidR="006420CB" w:rsidRPr="000F25DC">
        <w:t>Describe how the division or program is administered, including a description of key processes involved. If you have existing documentation (e.g., flowcharts, timelines, and other illustrations)</w:t>
      </w:r>
      <w:r w:rsidR="006420CB" w:rsidRPr="000F25DC">
        <w:rPr>
          <w:spacing w:val="-3"/>
        </w:rPr>
        <w:t xml:space="preserve"> </w:t>
      </w:r>
      <w:r w:rsidR="006420CB" w:rsidRPr="000F25DC">
        <w:t>to</w:t>
      </w:r>
      <w:r w:rsidR="006420CB" w:rsidRPr="000F25DC">
        <w:rPr>
          <w:spacing w:val="-2"/>
        </w:rPr>
        <w:t xml:space="preserve"> </w:t>
      </w:r>
      <w:r w:rsidR="006420CB" w:rsidRPr="000F25DC">
        <w:t>describe</w:t>
      </w:r>
      <w:r w:rsidR="006420CB" w:rsidRPr="000F25DC">
        <w:rPr>
          <w:spacing w:val="-6"/>
        </w:rPr>
        <w:t xml:space="preserve"> </w:t>
      </w:r>
      <w:r w:rsidR="006420CB" w:rsidRPr="000F25DC">
        <w:t>agency</w:t>
      </w:r>
      <w:r w:rsidR="006420CB" w:rsidRPr="000F25DC">
        <w:rPr>
          <w:spacing w:val="-3"/>
        </w:rPr>
        <w:t xml:space="preserve"> </w:t>
      </w:r>
      <w:r w:rsidR="006420CB" w:rsidRPr="000F25DC">
        <w:t>policies</w:t>
      </w:r>
      <w:r w:rsidR="006420CB" w:rsidRPr="000F25DC">
        <w:rPr>
          <w:spacing w:val="-2"/>
        </w:rPr>
        <w:t xml:space="preserve"> </w:t>
      </w:r>
      <w:r w:rsidR="006420CB" w:rsidRPr="000F25DC">
        <w:t>and</w:t>
      </w:r>
      <w:r w:rsidR="006420CB" w:rsidRPr="000F25DC">
        <w:rPr>
          <w:spacing w:val="-2"/>
        </w:rPr>
        <w:t xml:space="preserve"> </w:t>
      </w:r>
      <w:r w:rsidR="006420CB" w:rsidRPr="000F25DC">
        <w:t>procedures,</w:t>
      </w:r>
      <w:r w:rsidR="006420CB" w:rsidRPr="000F25DC">
        <w:rPr>
          <w:spacing w:val="-2"/>
        </w:rPr>
        <w:t xml:space="preserve"> </w:t>
      </w:r>
      <w:r w:rsidR="006420CB" w:rsidRPr="000F25DC">
        <w:t>please</w:t>
      </w:r>
      <w:r w:rsidR="006420CB" w:rsidRPr="000F25DC">
        <w:rPr>
          <w:spacing w:val="-3"/>
        </w:rPr>
        <w:t xml:space="preserve"> </w:t>
      </w:r>
      <w:r w:rsidR="006420CB" w:rsidRPr="000F25DC">
        <w:t>include</w:t>
      </w:r>
      <w:r w:rsidR="006420CB" w:rsidRPr="000F25DC">
        <w:rPr>
          <w:spacing w:val="-3"/>
        </w:rPr>
        <w:t xml:space="preserve"> </w:t>
      </w:r>
      <w:r w:rsidR="006420CB" w:rsidRPr="000F25DC">
        <w:t>them</w:t>
      </w:r>
      <w:r w:rsidR="006420CB" w:rsidRPr="000F25DC">
        <w:rPr>
          <w:spacing w:val="-3"/>
        </w:rPr>
        <w:t xml:space="preserve"> </w:t>
      </w:r>
      <w:r w:rsidR="006420CB" w:rsidRPr="000F25DC">
        <w:t>as</w:t>
      </w:r>
      <w:r w:rsidR="006420CB" w:rsidRPr="000F25DC">
        <w:rPr>
          <w:spacing w:val="-2"/>
        </w:rPr>
        <w:t xml:space="preserve"> </w:t>
      </w:r>
      <w:r w:rsidR="006420CB" w:rsidRPr="000F25DC">
        <w:t>attachments. Indicate how field/regional services are used, if applicable.</w:t>
      </w:r>
    </w:p>
    <w:p w14:paraId="06658FBA" w14:textId="77777777" w:rsidR="006420CB" w:rsidRPr="000F25DC" w:rsidRDefault="006420CB" w:rsidP="00F36EFF">
      <w:pPr>
        <w:pStyle w:val="BodyText"/>
      </w:pPr>
      <w:r w:rsidRPr="000F25DC">
        <w:t>The F</w:t>
      </w:r>
      <w:r>
        <w:t>LC</w:t>
      </w:r>
      <w:r w:rsidRPr="000F25DC">
        <w:t xml:space="preserve"> program is administered through two distinct processes, H-2B for non-agricultural jobs and H-2A for agricultural jobs, both involving coordinated review by </w:t>
      </w:r>
      <w:r>
        <w:t xml:space="preserve">TWC staff </w:t>
      </w:r>
      <w:r w:rsidRPr="000F25DC">
        <w:t>and</w:t>
      </w:r>
      <w:r>
        <w:t xml:space="preserve"> </w:t>
      </w:r>
      <w:r w:rsidRPr="000F25DC">
        <w:t>DOL.</w:t>
      </w:r>
    </w:p>
    <w:p w14:paraId="01478BF8" w14:textId="77777777" w:rsidR="006420CB" w:rsidRPr="00F36EFF" w:rsidRDefault="006420CB" w:rsidP="00F36EFF">
      <w:pPr>
        <w:pStyle w:val="BodyText"/>
        <w:rPr>
          <w:b/>
          <w:bCs/>
        </w:rPr>
      </w:pPr>
      <w:r w:rsidRPr="00F36EFF">
        <w:rPr>
          <w:b/>
          <w:bCs/>
        </w:rPr>
        <w:t>H-2B (Non-Agricultural) Process</w:t>
      </w:r>
    </w:p>
    <w:p w14:paraId="30D161D1" w14:textId="77777777" w:rsidR="006420CB" w:rsidRPr="000F25DC" w:rsidRDefault="006420CB" w:rsidP="00F36EFF">
      <w:pPr>
        <w:pStyle w:val="BodyText"/>
      </w:pPr>
      <w:r w:rsidRPr="000F25DC">
        <w:t xml:space="preserve">Employers initiate the H-2B process by concurrently </w:t>
      </w:r>
      <w:proofErr w:type="gramStart"/>
      <w:r w:rsidRPr="000F25DC">
        <w:t>submitting an application</w:t>
      </w:r>
      <w:proofErr w:type="gramEnd"/>
      <w:r w:rsidRPr="000F25DC">
        <w:t xml:space="preserve"> to DOL’s online portal and a corresponding job posting to the state’s job bank</w:t>
      </w:r>
      <w:r>
        <w:t xml:space="preserve">, </w:t>
      </w:r>
      <w:hyperlink r:id="rId217" w:history="1">
        <w:r w:rsidRPr="006F7462">
          <w:rPr>
            <w:rStyle w:val="Hyperlink"/>
            <w:rFonts w:asciiTheme="minorHAnsi" w:hAnsiTheme="minorHAnsi" w:cstheme="minorHAnsi"/>
          </w:rPr>
          <w:t>WorkInTexas.com</w:t>
        </w:r>
      </w:hyperlink>
      <w:r w:rsidRPr="000F25DC">
        <w:t xml:space="preserve">. </w:t>
      </w:r>
      <w:r>
        <w:t xml:space="preserve">TWC </w:t>
      </w:r>
      <w:r w:rsidRPr="000F25DC">
        <w:t>staff and DOL review the submissions for compliance. DOL notifies the employer of any required corrections.</w:t>
      </w:r>
    </w:p>
    <w:p w14:paraId="6BA255A8" w14:textId="77777777" w:rsidR="006420CB" w:rsidRPr="000F25DC" w:rsidRDefault="006420CB" w:rsidP="00F36EFF">
      <w:pPr>
        <w:pStyle w:val="BodyText"/>
      </w:pPr>
      <w:r w:rsidRPr="000F25DC">
        <w:t xml:space="preserve">Once DOL issues a Notice of Acceptance, </w:t>
      </w:r>
      <w:r>
        <w:t>TWC</w:t>
      </w:r>
      <w:r w:rsidRPr="000F25DC">
        <w:t xml:space="preserve"> activates the public job posting to begin the recruitment period. Following recruitment, the employer submits a report of their efforts to DOL. If all program requirements are met, DOL provides the employer with a final certification letter, which is required for their visa petition to U.S. Citizenship and Immigration Services (USCIS).</w:t>
      </w:r>
    </w:p>
    <w:p w14:paraId="4DBD055B" w14:textId="77777777" w:rsidR="006420CB" w:rsidRPr="00F36EFF" w:rsidRDefault="006420CB" w:rsidP="00F36EFF">
      <w:pPr>
        <w:pStyle w:val="BodyText"/>
        <w:rPr>
          <w:b/>
          <w:bCs/>
        </w:rPr>
      </w:pPr>
      <w:r w:rsidRPr="00F36EFF">
        <w:rPr>
          <w:b/>
          <w:bCs/>
        </w:rPr>
        <w:t>H-2A (Agricultural) Process</w:t>
      </w:r>
    </w:p>
    <w:p w14:paraId="678344E7" w14:textId="77777777" w:rsidR="006420CB" w:rsidRPr="000F25DC" w:rsidRDefault="006420CB" w:rsidP="00F36EFF">
      <w:pPr>
        <w:pStyle w:val="BodyText"/>
      </w:pPr>
      <w:r w:rsidRPr="000F25DC">
        <w:t xml:space="preserve">The H-2A process begins when an employer submits a job order directly to our agency. </w:t>
      </w:r>
      <w:r>
        <w:t xml:space="preserve">TWC staff </w:t>
      </w:r>
      <w:r w:rsidRPr="000F25DC">
        <w:t xml:space="preserve">review the order for compliance and dispatch regional staff to conduct a mandatory inspection of the employer-provided housing. After the employer addresses any deficiencies and the job order is approved by </w:t>
      </w:r>
      <w:r>
        <w:t>TWC</w:t>
      </w:r>
      <w:r w:rsidRPr="000F25DC">
        <w:t>, the job is posted publicly.</w:t>
      </w:r>
    </w:p>
    <w:p w14:paraId="31F751BF" w14:textId="77777777" w:rsidR="006420CB" w:rsidRPr="000F25DC" w:rsidRDefault="006420CB" w:rsidP="00F36EFF">
      <w:pPr>
        <w:pStyle w:val="BodyText"/>
      </w:pPr>
      <w:r w:rsidRPr="000F25DC">
        <w:t>The employer then submits their primary application to DOL. From this point, the process mirrors the H-2B program: DOL reviews the application, issues a final acceptance, and, after a successful recruitment period and housing inspection approval, grants a certification letter for the employer’s USCIS petition.</w:t>
      </w:r>
    </w:p>
    <w:p w14:paraId="7807E194" w14:textId="77777777" w:rsidR="006420CB" w:rsidRDefault="006420CB" w:rsidP="00F36EFF">
      <w:pPr>
        <w:pStyle w:val="BodyText"/>
        <w:rPr>
          <w:b/>
          <w:bCs/>
        </w:rPr>
      </w:pPr>
      <w:r w:rsidRPr="00A51B8E">
        <w:rPr>
          <w:b/>
          <w:bCs/>
        </w:rPr>
        <w:t>Referral and Field Services</w:t>
      </w:r>
    </w:p>
    <w:p w14:paraId="6165D8C2" w14:textId="77777777" w:rsidR="006420CB" w:rsidRPr="000F25DC" w:rsidRDefault="006420CB" w:rsidP="00F36EFF">
      <w:pPr>
        <w:pStyle w:val="BodyText"/>
      </w:pPr>
      <w:r w:rsidRPr="000F25DC">
        <w:lastRenderedPageBreak/>
        <w:t xml:space="preserve">Workforce Solutions </w:t>
      </w:r>
      <w:r>
        <w:t>O</w:t>
      </w:r>
      <w:r w:rsidRPr="000F25DC">
        <w:t>ffice staff administer regional services by recruiting and referring qualified U.S. job seekers to these positions.</w:t>
      </w:r>
    </w:p>
    <w:p w14:paraId="1B397D32" w14:textId="77777777" w:rsidR="006420CB" w:rsidRPr="000F25DC" w:rsidRDefault="006420CB" w:rsidP="00C64851">
      <w:pPr>
        <w:pStyle w:val="BodyText"/>
        <w:numPr>
          <w:ilvl w:val="0"/>
          <w:numId w:val="888"/>
        </w:numPr>
      </w:pPr>
      <w:r w:rsidRPr="000F25DC">
        <w:t xml:space="preserve">For H-2B jobs, job seekers may self-refer through </w:t>
      </w:r>
      <w:r>
        <w:t>WorkinTexas.com.</w:t>
      </w:r>
    </w:p>
    <w:p w14:paraId="07849E2A" w14:textId="77777777" w:rsidR="006420CB" w:rsidRPr="000F25DC" w:rsidRDefault="006420CB" w:rsidP="00C64851">
      <w:pPr>
        <w:pStyle w:val="BodyText"/>
        <w:numPr>
          <w:ilvl w:val="0"/>
          <w:numId w:val="888"/>
        </w:numPr>
      </w:pPr>
      <w:r w:rsidRPr="000F25DC">
        <w:t>For H-2A jobs, referrals are managed directly by staff to ensure compliance with federal regulations, which includes reviewing job terms and worker rights with each applicant. Staff may mediate contact between the job seeker and employer to ensure qualified applicants are properly considered.</w:t>
      </w:r>
    </w:p>
    <w:p w14:paraId="05B4712D" w14:textId="77777777" w:rsidR="006420CB" w:rsidRPr="000F25DC" w:rsidRDefault="006420CB" w:rsidP="00F36EFF">
      <w:pPr>
        <w:pStyle w:val="BodyText"/>
      </w:pPr>
      <w:r w:rsidRPr="000F25DC">
        <w:t>Field services are integral to the H-2A program</w:t>
      </w:r>
      <w:r>
        <w:t xml:space="preserve">. </w:t>
      </w:r>
      <w:r w:rsidRPr="000F25DC">
        <w:t xml:space="preserve"> </w:t>
      </w:r>
      <w:r w:rsidRPr="006537B6">
        <w:t xml:space="preserve">Integrated Service Area Managers (ISAMs) </w:t>
      </w:r>
      <w:r w:rsidRPr="000F25DC">
        <w:t xml:space="preserve">and their assistants conduct </w:t>
      </w:r>
      <w:r>
        <w:t>mandatory</w:t>
      </w:r>
      <w:r w:rsidRPr="000F25DC">
        <w:t xml:space="preserve"> housing inspections and field </w:t>
      </w:r>
      <w:proofErr w:type="gramStart"/>
      <w:r w:rsidRPr="000F25DC">
        <w:t xml:space="preserve">visits </w:t>
      </w:r>
      <w:r>
        <w:t xml:space="preserve"> of</w:t>
      </w:r>
      <w:proofErr w:type="gramEnd"/>
      <w:r>
        <w:t xml:space="preserve"> employer provided housing </w:t>
      </w:r>
      <w:r w:rsidRPr="000F25DC">
        <w:t>for H-2A job orders</w:t>
      </w:r>
      <w:r>
        <w:t>, to ensure it meets federal standards</w:t>
      </w:r>
      <w:r w:rsidRPr="000F25DC">
        <w:t xml:space="preserve"> </w:t>
      </w:r>
      <w:r>
        <w:t>I</w:t>
      </w:r>
      <w:r w:rsidRPr="000F25DC">
        <w:t xml:space="preserve">nspections are generally conducted on an annual basis for as long as the employer participates in the program. Field visits are informal and can be completed at the discretion of the </w:t>
      </w:r>
      <w:r>
        <w:t>state</w:t>
      </w:r>
      <w:r w:rsidRPr="000F25DC">
        <w:t>, usually when there is a problem with the employer housing or when an informal complaint is received.</w:t>
      </w:r>
    </w:p>
    <w:p w14:paraId="76667C7F" w14:textId="0D1E5822" w:rsidR="006420CB" w:rsidRPr="000F25DC" w:rsidRDefault="007835F0" w:rsidP="007835F0">
      <w:pPr>
        <w:pStyle w:val="BodyText3"/>
        <w:ind w:left="720" w:hanging="720"/>
        <w:rPr>
          <w:i/>
        </w:rPr>
      </w:pPr>
      <w:r>
        <w:t>G.</w:t>
      </w:r>
      <w:r>
        <w:tab/>
      </w:r>
      <w:r w:rsidR="006420CB" w:rsidRPr="000F25DC">
        <w:t>If key to understanding the division or program, identify funding sources and amounts, including federal grants and pass-through monies. Describe any funding formulas or funding conventions. Please</w:t>
      </w:r>
      <w:r w:rsidR="006420CB" w:rsidRPr="000F25DC">
        <w:rPr>
          <w:spacing w:val="-1"/>
        </w:rPr>
        <w:t xml:space="preserve"> </w:t>
      </w:r>
      <w:r w:rsidR="006420CB" w:rsidRPr="000F25DC">
        <w:t>specify</w:t>
      </w:r>
      <w:r w:rsidR="006420CB" w:rsidRPr="000F25DC">
        <w:rPr>
          <w:spacing w:val="-1"/>
        </w:rPr>
        <w:t xml:space="preserve"> </w:t>
      </w:r>
      <w:r w:rsidR="006420CB" w:rsidRPr="000F25DC">
        <w:t>state</w:t>
      </w:r>
      <w:r w:rsidR="006420CB" w:rsidRPr="000F25DC">
        <w:rPr>
          <w:spacing w:val="-1"/>
        </w:rPr>
        <w:t xml:space="preserve"> </w:t>
      </w:r>
      <w:r w:rsidR="006420CB" w:rsidRPr="000F25DC">
        <w:t>funding</w:t>
      </w:r>
      <w:r w:rsidR="006420CB" w:rsidRPr="000F25DC">
        <w:rPr>
          <w:spacing w:val="-1"/>
        </w:rPr>
        <w:t xml:space="preserve"> </w:t>
      </w:r>
      <w:r w:rsidR="006420CB" w:rsidRPr="000F25DC">
        <w:t>sources (e.g., general revenue, appropriations</w:t>
      </w:r>
      <w:r w:rsidR="006420CB" w:rsidRPr="000F25DC">
        <w:rPr>
          <w:spacing w:val="-2"/>
        </w:rPr>
        <w:t xml:space="preserve"> </w:t>
      </w:r>
      <w:r w:rsidR="006420CB" w:rsidRPr="000F25DC">
        <w:t>rider, budget</w:t>
      </w:r>
      <w:r w:rsidR="006420CB" w:rsidRPr="000F25DC">
        <w:rPr>
          <w:spacing w:val="-5"/>
        </w:rPr>
        <w:t xml:space="preserve"> </w:t>
      </w:r>
      <w:r w:rsidR="006420CB" w:rsidRPr="000F25DC">
        <w:t>strategy,</w:t>
      </w:r>
      <w:r w:rsidR="006420CB" w:rsidRPr="000F25DC">
        <w:rPr>
          <w:spacing w:val="-5"/>
        </w:rPr>
        <w:t xml:space="preserve"> </w:t>
      </w:r>
      <w:r w:rsidR="006420CB" w:rsidRPr="000F25DC">
        <w:t>and</w:t>
      </w:r>
      <w:r w:rsidR="006420CB" w:rsidRPr="000F25DC">
        <w:rPr>
          <w:spacing w:val="-5"/>
        </w:rPr>
        <w:t xml:space="preserve"> </w:t>
      </w:r>
      <w:r w:rsidR="006420CB" w:rsidRPr="000F25DC">
        <w:t>fees/dues).</w:t>
      </w:r>
      <w:r w:rsidR="006420CB" w:rsidRPr="000F25DC">
        <w:rPr>
          <w:spacing w:val="-5"/>
        </w:rPr>
        <w:t xml:space="preserve"> </w:t>
      </w:r>
      <w:r w:rsidR="006420CB" w:rsidRPr="000F25DC">
        <w:rPr>
          <w:i/>
        </w:rPr>
        <w:t>(If</w:t>
      </w:r>
      <w:r w:rsidR="006420CB" w:rsidRPr="000F25DC">
        <w:rPr>
          <w:i/>
          <w:spacing w:val="-6"/>
        </w:rPr>
        <w:t xml:space="preserve"> </w:t>
      </w:r>
      <w:r w:rsidR="006420CB" w:rsidRPr="000F25DC">
        <w:rPr>
          <w:i/>
        </w:rPr>
        <w:t>you</w:t>
      </w:r>
      <w:r w:rsidR="006420CB" w:rsidRPr="000F25DC">
        <w:rPr>
          <w:i/>
          <w:spacing w:val="-6"/>
        </w:rPr>
        <w:t xml:space="preserve"> </w:t>
      </w:r>
      <w:r w:rsidR="006420CB" w:rsidRPr="000F25DC">
        <w:rPr>
          <w:i/>
        </w:rPr>
        <w:t>have</w:t>
      </w:r>
      <w:r w:rsidR="006420CB" w:rsidRPr="000F25DC">
        <w:rPr>
          <w:i/>
          <w:spacing w:val="-5"/>
        </w:rPr>
        <w:t xml:space="preserve"> </w:t>
      </w:r>
      <w:r w:rsidR="006420CB" w:rsidRPr="000F25DC">
        <w:rPr>
          <w:i/>
        </w:rPr>
        <w:t>already</w:t>
      </w:r>
      <w:r w:rsidR="006420CB" w:rsidRPr="000F25DC">
        <w:rPr>
          <w:i/>
          <w:spacing w:val="-5"/>
        </w:rPr>
        <w:t xml:space="preserve"> </w:t>
      </w:r>
      <w:r w:rsidR="006420CB" w:rsidRPr="000F25DC">
        <w:rPr>
          <w:i/>
        </w:rPr>
        <w:t>submitted</w:t>
      </w:r>
      <w:r w:rsidR="006420CB" w:rsidRPr="000F25DC">
        <w:rPr>
          <w:i/>
          <w:spacing w:val="-6"/>
        </w:rPr>
        <w:t xml:space="preserve"> </w:t>
      </w:r>
      <w:r w:rsidR="006420CB" w:rsidRPr="000F25DC">
        <w:rPr>
          <w:i/>
        </w:rPr>
        <w:t>funding</w:t>
      </w:r>
      <w:r w:rsidR="006420CB" w:rsidRPr="000F25DC">
        <w:rPr>
          <w:i/>
          <w:spacing w:val="-6"/>
        </w:rPr>
        <w:t xml:space="preserve"> </w:t>
      </w:r>
      <w:r w:rsidR="006420CB" w:rsidRPr="000F25DC">
        <w:rPr>
          <w:i/>
        </w:rPr>
        <w:t>source</w:t>
      </w:r>
      <w:r w:rsidR="006420CB" w:rsidRPr="000F25DC">
        <w:rPr>
          <w:i/>
          <w:spacing w:val="-5"/>
        </w:rPr>
        <w:t xml:space="preserve"> </w:t>
      </w:r>
      <w:r w:rsidR="006420CB" w:rsidRPr="000F25DC">
        <w:rPr>
          <w:i/>
        </w:rPr>
        <w:t>info</w:t>
      </w:r>
      <w:r w:rsidR="006420CB" w:rsidRPr="000F25DC">
        <w:rPr>
          <w:i/>
          <w:spacing w:val="-6"/>
        </w:rPr>
        <w:t xml:space="preserve"> </w:t>
      </w:r>
      <w:r w:rsidR="006420CB" w:rsidRPr="000F25DC">
        <w:rPr>
          <w:i/>
        </w:rPr>
        <w:t>through</w:t>
      </w:r>
      <w:r w:rsidR="006420CB" w:rsidRPr="000F25DC">
        <w:rPr>
          <w:i/>
          <w:spacing w:val="-6"/>
        </w:rPr>
        <w:t xml:space="preserve"> </w:t>
      </w:r>
      <w:r w:rsidR="006420CB" w:rsidRPr="000F25DC">
        <w:rPr>
          <w:i/>
        </w:rPr>
        <w:t>the “Agency Program Information” spreadsheet, please limit your response to funding formulas or funding conventions.)</w:t>
      </w:r>
    </w:p>
    <w:tbl>
      <w:tblPr>
        <w:tblStyle w:val="TableGrid1"/>
        <w:tblW w:w="9540" w:type="dxa"/>
        <w:tblLook w:val="04A0" w:firstRow="1" w:lastRow="0" w:firstColumn="1" w:lastColumn="0" w:noHBand="0" w:noVBand="1"/>
      </w:tblPr>
      <w:tblGrid>
        <w:gridCol w:w="2790"/>
        <w:gridCol w:w="2700"/>
        <w:gridCol w:w="2250"/>
        <w:gridCol w:w="1800"/>
      </w:tblGrid>
      <w:tr w:rsidR="00DF77D5" w:rsidRPr="0057362F" w14:paraId="761305E7" w14:textId="77777777" w:rsidTr="00D20D66">
        <w:trPr>
          <w:trHeight w:val="576"/>
          <w:tblHeader/>
        </w:trPr>
        <w:tc>
          <w:tcPr>
            <w:tcW w:w="2790" w:type="dxa"/>
            <w:shd w:val="clear" w:color="auto" w:fill="B8CCE4" w:themeFill="accent1" w:themeFillTint="66"/>
            <w:vAlign w:val="center"/>
            <w:hideMark/>
          </w:tcPr>
          <w:p w14:paraId="28853C66" w14:textId="77777777" w:rsidR="00DF77D5" w:rsidRPr="00E10509" w:rsidRDefault="00DF77D5" w:rsidP="00DF77D5">
            <w:pPr>
              <w:pStyle w:val="TableHeaders"/>
            </w:pPr>
            <w:r w:rsidRPr="00E10509">
              <w:t>Program or Function Detail Description</w:t>
            </w:r>
          </w:p>
        </w:tc>
        <w:tc>
          <w:tcPr>
            <w:tcW w:w="2700" w:type="dxa"/>
            <w:shd w:val="clear" w:color="auto" w:fill="B8CCE4" w:themeFill="accent1" w:themeFillTint="66"/>
            <w:vAlign w:val="center"/>
            <w:hideMark/>
          </w:tcPr>
          <w:p w14:paraId="1A6ADA24" w14:textId="77777777" w:rsidR="00DF77D5" w:rsidRPr="00E10509" w:rsidRDefault="00DF77D5" w:rsidP="00DF77D5">
            <w:pPr>
              <w:pStyle w:val="TableHeaders"/>
            </w:pPr>
            <w:r w:rsidRPr="00E10509">
              <w:t>Total FY 2024</w:t>
            </w:r>
          </w:p>
        </w:tc>
        <w:tc>
          <w:tcPr>
            <w:tcW w:w="2250" w:type="dxa"/>
            <w:shd w:val="clear" w:color="auto" w:fill="B8CCE4" w:themeFill="accent1" w:themeFillTint="66"/>
            <w:vAlign w:val="center"/>
            <w:hideMark/>
          </w:tcPr>
          <w:p w14:paraId="103F5CB1" w14:textId="77777777" w:rsidR="00DF77D5" w:rsidRPr="00E10509" w:rsidRDefault="00DF77D5" w:rsidP="00DF77D5">
            <w:pPr>
              <w:pStyle w:val="TableHeaders"/>
            </w:pPr>
            <w:r w:rsidRPr="00E10509">
              <w:t>Federal Funding</w:t>
            </w:r>
          </w:p>
        </w:tc>
        <w:tc>
          <w:tcPr>
            <w:tcW w:w="1800" w:type="dxa"/>
            <w:shd w:val="clear" w:color="auto" w:fill="B8CCE4" w:themeFill="accent1" w:themeFillTint="66"/>
            <w:vAlign w:val="center"/>
            <w:hideMark/>
          </w:tcPr>
          <w:p w14:paraId="69D39BF5" w14:textId="77777777" w:rsidR="00DF77D5" w:rsidRPr="00E10509" w:rsidRDefault="00DF77D5" w:rsidP="00DF77D5">
            <w:pPr>
              <w:pStyle w:val="TableHeaders"/>
            </w:pPr>
            <w:r w:rsidRPr="00E10509">
              <w:t>State Funding</w:t>
            </w:r>
          </w:p>
        </w:tc>
      </w:tr>
      <w:tr w:rsidR="00DF77D5" w:rsidRPr="0057362F" w14:paraId="3F31618B" w14:textId="77777777" w:rsidTr="001B6ED3">
        <w:trPr>
          <w:trHeight w:val="359"/>
        </w:trPr>
        <w:tc>
          <w:tcPr>
            <w:tcW w:w="2790" w:type="dxa"/>
            <w:noWrap/>
            <w:hideMark/>
          </w:tcPr>
          <w:p w14:paraId="07CAE614" w14:textId="77777777" w:rsidR="00DF77D5" w:rsidRPr="00E10509" w:rsidRDefault="00DF77D5" w:rsidP="001B6ED3">
            <w:pPr>
              <w:pStyle w:val="TableText"/>
            </w:pPr>
            <w:r w:rsidRPr="00E10509">
              <w:t>Foreign Labor Certification</w:t>
            </w:r>
          </w:p>
        </w:tc>
        <w:tc>
          <w:tcPr>
            <w:tcW w:w="2700" w:type="dxa"/>
            <w:vAlign w:val="center"/>
            <w:hideMark/>
          </w:tcPr>
          <w:p w14:paraId="0DE94192" w14:textId="77777777" w:rsidR="00DF77D5" w:rsidRPr="00E10509" w:rsidRDefault="00DF77D5" w:rsidP="001B6ED3">
            <w:pPr>
              <w:pStyle w:val="TableText"/>
              <w:jc w:val="right"/>
            </w:pPr>
            <w:r w:rsidRPr="00E10509">
              <w:t xml:space="preserve">1,027,111 </w:t>
            </w:r>
          </w:p>
        </w:tc>
        <w:tc>
          <w:tcPr>
            <w:tcW w:w="2250" w:type="dxa"/>
            <w:vAlign w:val="center"/>
            <w:hideMark/>
          </w:tcPr>
          <w:p w14:paraId="48852946" w14:textId="77777777" w:rsidR="00DF77D5" w:rsidRPr="00E10509" w:rsidRDefault="00DF77D5" w:rsidP="001B6ED3">
            <w:pPr>
              <w:pStyle w:val="TableText"/>
              <w:jc w:val="right"/>
            </w:pPr>
            <w:r w:rsidRPr="00E10509">
              <w:t xml:space="preserve">993,857 </w:t>
            </w:r>
          </w:p>
        </w:tc>
        <w:tc>
          <w:tcPr>
            <w:tcW w:w="1800" w:type="dxa"/>
            <w:vAlign w:val="center"/>
            <w:hideMark/>
          </w:tcPr>
          <w:p w14:paraId="378D34DA" w14:textId="77777777" w:rsidR="00DF77D5" w:rsidRPr="00E10509" w:rsidRDefault="00DF77D5" w:rsidP="001B6ED3">
            <w:pPr>
              <w:pStyle w:val="TableText"/>
              <w:jc w:val="right"/>
            </w:pPr>
            <w:r w:rsidRPr="00E10509">
              <w:t>33,254</w:t>
            </w:r>
          </w:p>
        </w:tc>
      </w:tr>
    </w:tbl>
    <w:p w14:paraId="5BD61501" w14:textId="574D98B5" w:rsidR="006420CB" w:rsidRPr="000F25DC" w:rsidRDefault="003970D2" w:rsidP="003970D2">
      <w:pPr>
        <w:pStyle w:val="BodyText3"/>
        <w:ind w:left="720" w:hanging="720"/>
      </w:pPr>
      <w:r>
        <w:t>H.</w:t>
      </w:r>
      <w:r>
        <w:tab/>
      </w:r>
      <w:r w:rsidR="006420CB"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006420CB" w:rsidRPr="000F25DC">
        <w:rPr>
          <w:spacing w:val="-2"/>
        </w:rPr>
        <w:t>population.</w:t>
      </w:r>
    </w:p>
    <w:p w14:paraId="3EF0B74E" w14:textId="1B073FFE" w:rsidR="006420CB" w:rsidRPr="000F25DC" w:rsidRDefault="006420CB" w:rsidP="003970D2">
      <w:pPr>
        <w:pStyle w:val="BodyText"/>
      </w:pPr>
      <w:r w:rsidRPr="217EB794">
        <w:t>The Texas Department of Housing and Community Affairs (TDHCA) also inspects migrant seasonal farmworker (MSFW) housing. TDHCA licensing is independent of the H-2A program and is required for any employer who houses more than two migrant seasonal farmworkers or more than one MSFW family.</w:t>
      </w:r>
    </w:p>
    <w:p w14:paraId="33B5136A" w14:textId="77777777" w:rsidR="006420CB" w:rsidRPr="000F25DC" w:rsidRDefault="006420CB" w:rsidP="003970D2">
      <w:pPr>
        <w:pStyle w:val="BodyText"/>
        <w:rPr>
          <w:rFonts w:cstheme="minorHAnsi"/>
        </w:rPr>
      </w:pPr>
      <w:r w:rsidRPr="000F25DC">
        <w:rPr>
          <w:rFonts w:cstheme="minorHAnsi"/>
        </w:rPr>
        <w:t xml:space="preserve">TDHCA licenses all MSFW housing, both private and public, </w:t>
      </w:r>
      <w:proofErr w:type="gramStart"/>
      <w:r w:rsidRPr="000F25DC">
        <w:rPr>
          <w:rFonts w:cstheme="minorHAnsi"/>
        </w:rPr>
        <w:t>as long as</w:t>
      </w:r>
      <w:proofErr w:type="gramEnd"/>
      <w:r w:rsidRPr="000F25DC">
        <w:rPr>
          <w:rFonts w:cstheme="minorHAnsi"/>
        </w:rPr>
        <w:t xml:space="preserve"> the housing meets their threshold for the number of workers housed (more than two MSFWs or more than one MSFW family). TDHCA can use TWC inspections at a lower cost for employers, so TWC shares all MSFW housing inspections they do with TDHCA. Also, since TDHCA, not TWC, inspects public MSFW housing, </w:t>
      </w:r>
      <w:r>
        <w:rPr>
          <w:rFonts w:cstheme="minorHAnsi"/>
        </w:rPr>
        <w:t xml:space="preserve">through an informal agreement </w:t>
      </w:r>
      <w:r w:rsidRPr="000F25DC">
        <w:rPr>
          <w:rFonts w:cstheme="minorHAnsi"/>
        </w:rPr>
        <w:t xml:space="preserve">TDCHA shares this data with TWC to pass on to DOL.  </w:t>
      </w:r>
    </w:p>
    <w:p w14:paraId="44B68873" w14:textId="77777777" w:rsidR="006420CB" w:rsidRPr="000F25DC" w:rsidRDefault="006420CB" w:rsidP="003970D2">
      <w:pPr>
        <w:pStyle w:val="BodyText"/>
        <w:rPr>
          <w:rFonts w:cstheme="minorHAnsi"/>
        </w:rPr>
      </w:pPr>
      <w:r w:rsidRPr="000F25DC">
        <w:rPr>
          <w:rFonts w:cstheme="minorHAnsi"/>
        </w:rPr>
        <w:lastRenderedPageBreak/>
        <w:t>TWC inspects all private, not public, MSFW housing. TWC also inspects public housing that does not meet TDHCA’s threshold for licensing. Although not required by DOL, TWC has a Memorandum of Understanding with Texas Rio Grande Legal Aid that requires TWC to inspect these accommodations so that no housing will be approved by DOL without a state inspection. </w:t>
      </w:r>
    </w:p>
    <w:p w14:paraId="299D6D6F" w14:textId="77777777" w:rsidR="006420CB" w:rsidRPr="000F25DC" w:rsidRDefault="006420CB" w:rsidP="003970D2">
      <w:pPr>
        <w:pStyle w:val="BodyText"/>
      </w:pPr>
      <w:r w:rsidRPr="000F25DC">
        <w:t>TDHCA’s regulations allow them to use inspections completed by other state or federal agencies at a reduced license fee for employers who use these inspections. TWC provides copies of housing inspections we conduct for H-2A employers to TDHCA to assist with issuing licenses to these employers and to allow H-2A employers to pay the reduced fee for their licenses. H-2A employers who use public accommodations housing need to have that housing inspected by TDHCA and must pay the full licensing fee. TDHCA informs the FLC unit when these employers file their license applications so that we can inform DOL that the housing is being inspected by another state agency.</w:t>
      </w:r>
    </w:p>
    <w:p w14:paraId="177C0402" w14:textId="61E5EB6F" w:rsidR="006420CB" w:rsidRPr="000F25DC" w:rsidRDefault="005628FD" w:rsidP="005628FD">
      <w:pPr>
        <w:pStyle w:val="BodyText3"/>
        <w:ind w:left="720" w:hanging="720"/>
      </w:pPr>
      <w:r>
        <w:t>I.</w:t>
      </w:r>
      <w:r>
        <w:tab/>
      </w:r>
      <w:r w:rsidR="006420CB" w:rsidRPr="000F25DC">
        <w:t>If</w:t>
      </w:r>
      <w:r w:rsidR="006420CB" w:rsidRPr="000F25DC">
        <w:rPr>
          <w:spacing w:val="-3"/>
        </w:rPr>
        <w:t xml:space="preserve"> </w:t>
      </w:r>
      <w:r w:rsidR="006420CB" w:rsidRPr="000F25DC">
        <w:t>the</w:t>
      </w:r>
      <w:r w:rsidR="006420CB" w:rsidRPr="000F25DC">
        <w:rPr>
          <w:spacing w:val="-2"/>
        </w:rPr>
        <w:t xml:space="preserve"> </w:t>
      </w:r>
      <w:r w:rsidR="006420CB" w:rsidRPr="000F25DC">
        <w:t>division</w:t>
      </w:r>
      <w:r w:rsidR="006420CB" w:rsidRPr="000F25DC">
        <w:rPr>
          <w:spacing w:val="-1"/>
        </w:rPr>
        <w:t xml:space="preserve"> </w:t>
      </w:r>
      <w:r w:rsidR="006420CB" w:rsidRPr="000F25DC">
        <w:t>or</w:t>
      </w:r>
      <w:r w:rsidR="006420CB" w:rsidRPr="000F25DC">
        <w:rPr>
          <w:spacing w:val="-3"/>
        </w:rPr>
        <w:t xml:space="preserve"> </w:t>
      </w:r>
      <w:r w:rsidR="006420CB" w:rsidRPr="000F25DC">
        <w:t>program</w:t>
      </w:r>
      <w:r w:rsidR="006420CB" w:rsidRPr="000F25DC">
        <w:rPr>
          <w:spacing w:val="-2"/>
        </w:rPr>
        <w:t xml:space="preserve"> </w:t>
      </w:r>
      <w:r w:rsidR="006420CB" w:rsidRPr="000F25DC">
        <w:t>works</w:t>
      </w:r>
      <w:r w:rsidR="006420CB" w:rsidRPr="000F25DC">
        <w:rPr>
          <w:spacing w:val="-1"/>
        </w:rPr>
        <w:t xml:space="preserve"> </w:t>
      </w:r>
      <w:r w:rsidR="006420CB" w:rsidRPr="000F25DC">
        <w:t>with</w:t>
      </w:r>
      <w:r w:rsidR="006420CB" w:rsidRPr="000F25DC">
        <w:rPr>
          <w:spacing w:val="-3"/>
        </w:rPr>
        <w:t xml:space="preserve"> </w:t>
      </w:r>
      <w:r w:rsidR="006420CB" w:rsidRPr="000F25DC">
        <w:t>local,</w:t>
      </w:r>
      <w:r w:rsidR="006420CB" w:rsidRPr="000F25DC">
        <w:rPr>
          <w:spacing w:val="-3"/>
        </w:rPr>
        <w:t xml:space="preserve"> </w:t>
      </w:r>
      <w:r w:rsidR="006420CB" w:rsidRPr="000F25DC">
        <w:t>regional,</w:t>
      </w:r>
      <w:r w:rsidR="006420CB" w:rsidRPr="000F25DC">
        <w:rPr>
          <w:spacing w:val="-3"/>
        </w:rPr>
        <w:t xml:space="preserve"> </w:t>
      </w:r>
      <w:r w:rsidR="006420CB" w:rsidRPr="000F25DC">
        <w:t>or federal</w:t>
      </w:r>
      <w:r w:rsidR="006420CB" w:rsidRPr="000F25DC">
        <w:rPr>
          <w:spacing w:val="-3"/>
        </w:rPr>
        <w:t xml:space="preserve"> </w:t>
      </w:r>
      <w:r w:rsidR="006420CB" w:rsidRPr="000F25DC">
        <w:t>units</w:t>
      </w:r>
      <w:r w:rsidR="006420CB" w:rsidRPr="000F25DC">
        <w:rPr>
          <w:spacing w:val="-1"/>
        </w:rPr>
        <w:t xml:space="preserve"> </w:t>
      </w:r>
      <w:r w:rsidR="006420CB" w:rsidRPr="000F25DC">
        <w:t>of</w:t>
      </w:r>
      <w:r w:rsidR="006420CB" w:rsidRPr="000F25DC">
        <w:rPr>
          <w:spacing w:val="-3"/>
        </w:rPr>
        <w:t xml:space="preserve"> </w:t>
      </w:r>
      <w:r w:rsidR="006420CB" w:rsidRPr="000F25DC">
        <w:t>government,</w:t>
      </w:r>
      <w:r w:rsidR="006420CB" w:rsidRPr="000F25DC">
        <w:rPr>
          <w:spacing w:val="-1"/>
        </w:rPr>
        <w:t xml:space="preserve"> </w:t>
      </w:r>
      <w:r w:rsidR="006420CB" w:rsidRPr="000F25DC">
        <w:t>include a brief description of these entities and their relationship to the agency.</w:t>
      </w:r>
    </w:p>
    <w:p w14:paraId="0BB27B8C" w14:textId="77777777" w:rsidR="006420CB" w:rsidRPr="000F25DC" w:rsidRDefault="006420CB" w:rsidP="005628FD">
      <w:pPr>
        <w:pStyle w:val="BodyText"/>
      </w:pPr>
      <w:r w:rsidRPr="000F25DC">
        <w:t xml:space="preserve">DOLETA allocates funds to TWC for the administration of the FLC program in Texas. The FLC program operates within regulations published by DOLETA, which also issues program guidance to </w:t>
      </w:r>
      <w:r>
        <w:t>the states a</w:t>
      </w:r>
      <w:r w:rsidRPr="000F25DC">
        <w:t xml:space="preserve">nd grant certifications to employers that allow them to petition the U.S. Citizenship and Immigration Services (USCIS) for a visa. Certification from DOLETA does not guarantee visa issuance by USCIS.  FLC works with </w:t>
      </w:r>
      <w:r>
        <w:t>lo</w:t>
      </w:r>
      <w:r w:rsidRPr="000F25DC">
        <w:t>cal Workforce Solutions staff across the state. Workforce Solutions staff conduct recruitment for the job postings created by FLC and attempt to find U</w:t>
      </w:r>
      <w:r>
        <w:t>.</w:t>
      </w:r>
      <w:r w:rsidRPr="000F25DC">
        <w:t>S</w:t>
      </w:r>
      <w:r>
        <w:t>.</w:t>
      </w:r>
      <w:r w:rsidRPr="000F25DC">
        <w:t xml:space="preserve"> workers to fill the open positions.</w:t>
      </w:r>
    </w:p>
    <w:p w14:paraId="593A73E3" w14:textId="298DC82B" w:rsidR="006420CB" w:rsidRPr="000F25DC" w:rsidRDefault="00A86716" w:rsidP="00A86716">
      <w:pPr>
        <w:pStyle w:val="BodyText3"/>
        <w:ind w:left="720" w:hanging="720"/>
      </w:pPr>
      <w:r>
        <w:t>J.</w:t>
      </w:r>
      <w:r>
        <w:tab/>
      </w:r>
      <w:r w:rsidR="006420CB" w:rsidRPr="000F25DC">
        <w:t>Are there any barriers or challenges that impede the division or program’s performance, including any outdated or ineffective state laws? Explain.</w:t>
      </w:r>
    </w:p>
    <w:p w14:paraId="327CB6FD" w14:textId="77777777" w:rsidR="006420CB" w:rsidRPr="000F25DC" w:rsidRDefault="006420CB" w:rsidP="00A86716">
      <w:pPr>
        <w:pStyle w:val="BodyText"/>
      </w:pPr>
      <w:r w:rsidRPr="000F25DC">
        <w:t>N</w:t>
      </w:r>
      <w:r>
        <w:t>/A</w:t>
      </w:r>
    </w:p>
    <w:p w14:paraId="7584D47C" w14:textId="7FF4AAD1" w:rsidR="006420CB" w:rsidRPr="000F25DC" w:rsidRDefault="00A86716" w:rsidP="00A86716">
      <w:pPr>
        <w:pStyle w:val="BodyText3"/>
        <w:ind w:left="720" w:hanging="720"/>
      </w:pPr>
      <w:r>
        <w:t>K.</w:t>
      </w:r>
      <w:r>
        <w:tab/>
      </w:r>
      <w:r w:rsidR="006420CB" w:rsidRPr="000F25DC">
        <w:t>Provide any additional information needed to gain a preliminary understanding of the division or program.</w:t>
      </w:r>
    </w:p>
    <w:p w14:paraId="03D88B51" w14:textId="77777777" w:rsidR="006420CB" w:rsidRPr="000F25DC" w:rsidRDefault="006420CB" w:rsidP="00A86716">
      <w:pPr>
        <w:pStyle w:val="BodyText"/>
      </w:pPr>
      <w:r w:rsidRPr="000F25DC">
        <w:t xml:space="preserve">Texas is one of 17 states </w:t>
      </w:r>
      <w:r>
        <w:t>that</w:t>
      </w:r>
      <w:r w:rsidRPr="000F25DC">
        <w:t xml:space="preserve"> filed a lawsuit (</w:t>
      </w:r>
      <w:r w:rsidRPr="000F25DC">
        <w:rPr>
          <w:i/>
          <w:iCs/>
        </w:rPr>
        <w:t>Kansas, et al. vs. U.S. Department of Labor</w:t>
      </w:r>
      <w:r w:rsidRPr="000F25DC">
        <w:t xml:space="preserve">) against the Department of Labor to prevent the implementation of the Farmworker Protection Rule, which was published in the Federal Register on April 29, 2024. A preliminary injunction has been issued prohibiting DOL from enforcing the </w:t>
      </w:r>
      <w:r>
        <w:t>r</w:t>
      </w:r>
      <w:r w:rsidRPr="000F25DC">
        <w:t>ule in any of the states involved in the lawsuit. Until further notice, H-2A employers in Texas are still filing under the regulations that were in effect on June 27, 2024. If the rule does take effect in Texas, employers will be responsible for guaranteeing additional protections to workers hired on H-2A job orders</w:t>
      </w:r>
      <w:r>
        <w:t>, i</w:t>
      </w:r>
      <w:r w:rsidRPr="000F25DC">
        <w:t>ncluding U</w:t>
      </w:r>
      <w:r>
        <w:t>.</w:t>
      </w:r>
      <w:r w:rsidRPr="000F25DC">
        <w:t>S</w:t>
      </w:r>
      <w:r>
        <w:t>.</w:t>
      </w:r>
      <w:r w:rsidRPr="000F25DC">
        <w:t xml:space="preserve"> workers and those in corresponding employment, and TWC will be required to discontinue services to employers in specific circumstances.</w:t>
      </w:r>
    </w:p>
    <w:p w14:paraId="2565560E" w14:textId="55DF1A78" w:rsidR="006420CB" w:rsidRPr="000F25DC" w:rsidRDefault="00D079B7" w:rsidP="00D079B7">
      <w:pPr>
        <w:pStyle w:val="BodyText3"/>
        <w:ind w:left="720" w:hanging="720"/>
      </w:pPr>
      <w:r>
        <w:lastRenderedPageBreak/>
        <w:t>L.</w:t>
      </w:r>
      <w:r>
        <w:tab/>
      </w:r>
      <w:r w:rsidR="006420CB" w:rsidRPr="000F25DC">
        <w:t>Regulatory programs relate to the licensing, registration, certification, or permitting of a person, business, piece of equipment, or other entity (e.g., a facility). For each regulatory program, if applicable, describe:</w:t>
      </w:r>
    </w:p>
    <w:p w14:paraId="3BA31055" w14:textId="77777777" w:rsidR="006420CB" w:rsidRPr="000F25DC" w:rsidRDefault="006420CB" w:rsidP="00D079B7">
      <w:pPr>
        <w:pStyle w:val="BodyText"/>
      </w:pPr>
      <w:r w:rsidRPr="000F25DC">
        <w:t>N</w:t>
      </w:r>
      <w:r>
        <w:t>/A</w:t>
      </w:r>
      <w:r w:rsidRPr="000F25DC">
        <w:t xml:space="preserve"> </w:t>
      </w:r>
    </w:p>
    <w:p w14:paraId="79B65E06" w14:textId="054F3BB9" w:rsidR="006420CB" w:rsidRPr="000F25DC" w:rsidRDefault="00D079B7" w:rsidP="00D079B7">
      <w:pPr>
        <w:pStyle w:val="BodyText3"/>
        <w:ind w:left="720" w:hanging="720"/>
      </w:pPr>
      <w:r>
        <w:t>M.</w:t>
      </w:r>
      <w:r>
        <w:tab/>
      </w:r>
      <w:r w:rsidR="006420CB" w:rsidRPr="000F25DC">
        <w:t>For each regulatory</w:t>
      </w:r>
      <w:r w:rsidR="006420CB" w:rsidRPr="000F25DC">
        <w:rPr>
          <w:spacing w:val="-1"/>
        </w:rPr>
        <w:t xml:space="preserve"> </w:t>
      </w:r>
      <w:r w:rsidR="006420CB" w:rsidRPr="000F25DC">
        <w:t>program, if applicable, provide</w:t>
      </w:r>
      <w:r w:rsidR="006420CB" w:rsidRPr="000F25DC">
        <w:rPr>
          <w:spacing w:val="-1"/>
        </w:rPr>
        <w:t xml:space="preserve"> </w:t>
      </w:r>
      <w:r w:rsidR="006420CB" w:rsidRPr="000F25DC">
        <w:t>detailed information on complaint and regulatory actions, including investigations and complaint resolutions. The data should cover the last five fiscal years and give a complete picture of the program’s regulatory activity, including</w:t>
      </w:r>
      <w:r w:rsidR="006420CB" w:rsidRPr="000F25DC">
        <w:rPr>
          <w:spacing w:val="-12"/>
        </w:rPr>
        <w:t xml:space="preserve"> </w:t>
      </w:r>
      <w:r w:rsidR="006420CB" w:rsidRPr="000F25DC">
        <w:t>comprehensive</w:t>
      </w:r>
      <w:r w:rsidR="006420CB" w:rsidRPr="000F25DC">
        <w:rPr>
          <w:spacing w:val="-12"/>
        </w:rPr>
        <w:t xml:space="preserve"> </w:t>
      </w:r>
      <w:r w:rsidR="006420CB" w:rsidRPr="000F25DC">
        <w:t>information</w:t>
      </w:r>
      <w:r w:rsidR="006420CB" w:rsidRPr="000F25DC">
        <w:rPr>
          <w:spacing w:val="-10"/>
        </w:rPr>
        <w:t xml:space="preserve"> </w:t>
      </w:r>
      <w:r w:rsidR="006420CB" w:rsidRPr="000F25DC">
        <w:t>from</w:t>
      </w:r>
      <w:r w:rsidR="006420CB" w:rsidRPr="000F25DC">
        <w:rPr>
          <w:spacing w:val="-12"/>
        </w:rPr>
        <w:t xml:space="preserve"> </w:t>
      </w:r>
      <w:r w:rsidR="006420CB" w:rsidRPr="000F25DC">
        <w:t>initiation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complaint</w:t>
      </w:r>
      <w:r w:rsidR="006420CB" w:rsidRPr="000F25DC">
        <w:rPr>
          <w:spacing w:val="-10"/>
        </w:rPr>
        <w:t xml:space="preserve"> </w:t>
      </w:r>
      <w:r w:rsidR="006420CB" w:rsidRPr="000F25DC">
        <w:t>to</w:t>
      </w:r>
      <w:r w:rsidR="006420CB" w:rsidRPr="000F25DC">
        <w:rPr>
          <w:spacing w:val="-13"/>
        </w:rPr>
        <w:t xml:space="preserve"> </w:t>
      </w:r>
      <w:r w:rsidR="006420CB" w:rsidRPr="000F25DC">
        <w:t>resolution</w:t>
      </w:r>
      <w:r w:rsidR="006420CB" w:rsidRPr="000F25DC">
        <w:rPr>
          <w:spacing w:val="-13"/>
        </w:rPr>
        <w:t xml:space="preserve"> </w:t>
      </w:r>
      <w:r w:rsidR="006420CB" w:rsidRPr="000F25DC">
        <w:t>of</w:t>
      </w:r>
      <w:r w:rsidR="006420CB" w:rsidRPr="000F25DC">
        <w:rPr>
          <w:spacing w:val="-10"/>
        </w:rPr>
        <w:t xml:space="preserve"> </w:t>
      </w:r>
      <w:r w:rsidR="006420CB" w:rsidRPr="000F25DC">
        <w:t>a</w:t>
      </w:r>
      <w:r w:rsidR="006420CB" w:rsidRPr="000F25DC">
        <w:rPr>
          <w:spacing w:val="-12"/>
        </w:rPr>
        <w:t xml:space="preserve"> </w:t>
      </w:r>
      <w:r w:rsidR="006420CB" w:rsidRPr="000F25DC">
        <w:t>case.</w:t>
      </w:r>
      <w:r w:rsidR="006420CB" w:rsidRPr="000F25DC">
        <w:rPr>
          <w:spacing w:val="-10"/>
        </w:rPr>
        <w:t xml:space="preserve"> </w:t>
      </w:r>
      <w:r w:rsidR="006420CB" w:rsidRPr="000F25DC">
        <w:t>The purpose</w:t>
      </w:r>
      <w:r w:rsidR="006420CB" w:rsidRPr="000F25DC">
        <w:rPr>
          <w:spacing w:val="-14"/>
        </w:rPr>
        <w:t xml:space="preserve"> </w:t>
      </w:r>
      <w:r w:rsidR="006420CB" w:rsidRPr="000F25DC">
        <w:t>of</w:t>
      </w:r>
      <w:r w:rsidR="006420CB" w:rsidRPr="000F25DC">
        <w:rPr>
          <w:spacing w:val="-14"/>
        </w:rPr>
        <w:t xml:space="preserve"> </w:t>
      </w:r>
      <w:r w:rsidR="006420CB" w:rsidRPr="000F25DC">
        <w:t>the</w:t>
      </w:r>
      <w:r w:rsidR="006420CB" w:rsidRPr="000F25DC">
        <w:rPr>
          <w:spacing w:val="-13"/>
        </w:rPr>
        <w:t xml:space="preserve"> </w:t>
      </w:r>
      <w:r w:rsidR="006420CB" w:rsidRPr="000F25DC">
        <w:t>table</w:t>
      </w:r>
      <w:r w:rsidR="006420CB" w:rsidRPr="000F25DC">
        <w:rPr>
          <w:spacing w:val="-14"/>
        </w:rPr>
        <w:t xml:space="preserve"> </w:t>
      </w:r>
      <w:r w:rsidR="006420CB" w:rsidRPr="000F25DC">
        <w:t>is</w:t>
      </w:r>
      <w:r w:rsidR="006420CB" w:rsidRPr="000F25DC">
        <w:rPr>
          <w:spacing w:val="-13"/>
        </w:rPr>
        <w:t xml:space="preserve"> </w:t>
      </w:r>
      <w:r w:rsidR="006420CB" w:rsidRPr="000F25DC">
        <w:t>to</w:t>
      </w:r>
      <w:r w:rsidR="006420CB" w:rsidRPr="000F25DC">
        <w:rPr>
          <w:spacing w:val="-14"/>
        </w:rPr>
        <w:t xml:space="preserve"> </w:t>
      </w:r>
      <w:r w:rsidR="006420CB" w:rsidRPr="000F25DC">
        <w:t>create</w:t>
      </w:r>
      <w:r w:rsidR="006420CB" w:rsidRPr="000F25DC">
        <w:rPr>
          <w:spacing w:val="-13"/>
        </w:rPr>
        <w:t xml:space="preserve"> </w:t>
      </w:r>
      <w:r w:rsidR="006420CB" w:rsidRPr="000F25DC">
        <w:t>uniformity</w:t>
      </w:r>
      <w:r w:rsidR="006420CB" w:rsidRPr="000F25DC">
        <w:rPr>
          <w:spacing w:val="-14"/>
        </w:rPr>
        <w:t xml:space="preserve"> </w:t>
      </w:r>
      <w:r w:rsidR="006420CB" w:rsidRPr="000F25DC">
        <w:t>across</w:t>
      </w:r>
      <w:r w:rsidR="006420CB" w:rsidRPr="000F25DC">
        <w:rPr>
          <w:spacing w:val="-14"/>
        </w:rPr>
        <w:t xml:space="preserve"> </w:t>
      </w:r>
      <w:r w:rsidR="006420CB" w:rsidRPr="000F25DC">
        <w:t>agencies</w:t>
      </w:r>
      <w:r w:rsidR="006420CB" w:rsidRPr="000F25DC">
        <w:rPr>
          <w:spacing w:val="-13"/>
        </w:rPr>
        <w:t xml:space="preserve"> </w:t>
      </w:r>
      <w:r w:rsidR="006420CB" w:rsidRPr="000F25DC">
        <w:t>under</w:t>
      </w:r>
      <w:r w:rsidR="006420CB" w:rsidRPr="000F25DC">
        <w:rPr>
          <w:spacing w:val="-14"/>
        </w:rPr>
        <w:t xml:space="preserve"> </w:t>
      </w:r>
      <w:r w:rsidR="006420CB" w:rsidRPr="000F25DC">
        <w:t>review</w:t>
      </w:r>
      <w:r w:rsidR="006420CB" w:rsidRPr="000F25DC">
        <w:rPr>
          <w:spacing w:val="-13"/>
        </w:rPr>
        <w:t xml:space="preserve"> </w:t>
      </w:r>
      <w:r w:rsidR="006420CB" w:rsidRPr="000F25DC">
        <w:t>to</w:t>
      </w:r>
      <w:r w:rsidR="006420CB" w:rsidRPr="000F25DC">
        <w:rPr>
          <w:spacing w:val="-14"/>
        </w:rPr>
        <w:t xml:space="preserve"> </w:t>
      </w:r>
      <w:r w:rsidR="006420CB" w:rsidRPr="000F25DC">
        <w:t>the</w:t>
      </w:r>
      <w:r w:rsidR="006420CB" w:rsidRPr="000F25DC">
        <w:rPr>
          <w:spacing w:val="-13"/>
        </w:rPr>
        <w:t xml:space="preserve"> </w:t>
      </w:r>
      <w:r w:rsidR="006420CB" w:rsidRPr="000F25DC">
        <w:t>extent</w:t>
      </w:r>
      <w:r w:rsidR="006420CB" w:rsidRPr="000F25DC">
        <w:rPr>
          <w:spacing w:val="-14"/>
        </w:rPr>
        <w:t xml:space="preserve"> </w:t>
      </w:r>
      <w:r w:rsidR="006420CB"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4E222EEC" w14:textId="77777777" w:rsidR="00254A77" w:rsidRDefault="006420CB" w:rsidP="006740A5">
      <w:pPr>
        <w:pStyle w:val="BodyText"/>
      </w:pPr>
      <w:r w:rsidRPr="00D079B7">
        <w:t>N/A</w:t>
      </w:r>
    </w:p>
    <w:p w14:paraId="0216656B" w14:textId="106EF97D" w:rsidR="006420CB" w:rsidRDefault="006420CB" w:rsidP="006740A5">
      <w:pPr>
        <w:pStyle w:val="BodyText"/>
        <w:rPr>
          <w:rFonts w:asciiTheme="minorHAnsi" w:hAnsiTheme="minorHAnsi" w:cstheme="minorHAnsi"/>
          <w:sz w:val="24"/>
          <w:szCs w:val="24"/>
        </w:rPr>
      </w:pPr>
    </w:p>
    <w:p w14:paraId="303D6FE5" w14:textId="77777777" w:rsidR="006420CB" w:rsidRPr="000F25DC" w:rsidRDefault="006420CB" w:rsidP="00D079B7">
      <w:pPr>
        <w:pStyle w:val="BodyText3"/>
      </w:pPr>
      <w:bookmarkStart w:id="272" w:name="Jobs_and_Education_for_Texans_(JET)"/>
      <w:bookmarkStart w:id="273" w:name="Mandatory_Workforce_Programs"/>
      <w:bookmarkStart w:id="274" w:name="Employment_Services_Program/State_Monito"/>
      <w:bookmarkStart w:id="275" w:name="Veteran_Services_Program"/>
      <w:bookmarkStart w:id="276" w:name="Work_Opportunity_Tax_Credit"/>
      <w:bookmarkStart w:id="277" w:name="_Toc1205299301"/>
      <w:bookmarkStart w:id="278" w:name="_Toc204688547"/>
      <w:bookmarkEnd w:id="272"/>
      <w:bookmarkEnd w:id="273"/>
      <w:bookmarkEnd w:id="274"/>
      <w:bookmarkEnd w:id="275"/>
      <w:bookmarkEnd w:id="276"/>
      <w:r w:rsidRPr="061A6DF0">
        <w:t>Work</w:t>
      </w:r>
      <w:r w:rsidRPr="061A6DF0">
        <w:rPr>
          <w:spacing w:val="-11"/>
        </w:rPr>
        <w:t xml:space="preserve"> </w:t>
      </w:r>
      <w:r w:rsidRPr="061A6DF0">
        <w:t>Opportunity</w:t>
      </w:r>
      <w:r w:rsidRPr="061A6DF0">
        <w:rPr>
          <w:spacing w:val="-8"/>
        </w:rPr>
        <w:t xml:space="preserve"> </w:t>
      </w:r>
      <w:r w:rsidRPr="061A6DF0">
        <w:t>Tax</w:t>
      </w:r>
      <w:r w:rsidRPr="061A6DF0">
        <w:rPr>
          <w:spacing w:val="-11"/>
        </w:rPr>
        <w:t xml:space="preserve"> </w:t>
      </w:r>
      <w:r w:rsidRPr="061A6DF0">
        <w:rPr>
          <w:spacing w:val="-2"/>
        </w:rPr>
        <w:t>Credit</w:t>
      </w:r>
      <w:bookmarkEnd w:id="277"/>
      <w:bookmarkEnd w:id="278"/>
    </w:p>
    <w:p w14:paraId="3FFA7C9C" w14:textId="4C9119DA" w:rsidR="006420CB" w:rsidRPr="000F25DC" w:rsidRDefault="00D079B7" w:rsidP="00D079B7">
      <w:pPr>
        <w:pStyle w:val="BodyText3"/>
      </w:pPr>
      <w:r>
        <w:t>A.</w:t>
      </w:r>
      <w:r>
        <w:tab/>
      </w:r>
      <w:r w:rsidR="006420CB" w:rsidRPr="000F25DC">
        <w:t>Provide</w:t>
      </w:r>
      <w:r w:rsidR="006420CB" w:rsidRPr="000F25DC">
        <w:rPr>
          <w:spacing w:val="-5"/>
        </w:rPr>
        <w:t xml:space="preserve"> </w:t>
      </w:r>
      <w:r w:rsidR="006420CB" w:rsidRPr="000F25DC">
        <w:t>the</w:t>
      </w:r>
      <w:r w:rsidR="006420CB" w:rsidRPr="000F25DC">
        <w:rPr>
          <w:spacing w:val="-2"/>
        </w:rPr>
        <w:t xml:space="preserve"> </w:t>
      </w:r>
      <w:r w:rsidR="006420CB" w:rsidRPr="000F25DC">
        <w:t>following</w:t>
      </w:r>
      <w:r w:rsidR="006420CB" w:rsidRPr="000F25DC">
        <w:rPr>
          <w:spacing w:val="-4"/>
        </w:rPr>
        <w:t xml:space="preserve"> </w:t>
      </w:r>
      <w:r w:rsidR="006420CB" w:rsidRPr="000F25DC">
        <w:t>information</w:t>
      </w:r>
      <w:r w:rsidR="006420CB" w:rsidRPr="000F25DC">
        <w:rPr>
          <w:spacing w:val="-3"/>
        </w:rPr>
        <w:t xml:space="preserve"> </w:t>
      </w:r>
      <w:r w:rsidR="006420CB" w:rsidRPr="000F25DC">
        <w:t>at</w:t>
      </w:r>
      <w:r w:rsidR="006420CB" w:rsidRPr="000F25DC">
        <w:rPr>
          <w:spacing w:val="-1"/>
        </w:rPr>
        <w:t xml:space="preserve"> </w:t>
      </w:r>
      <w:r w:rsidR="006420CB" w:rsidRPr="000F25DC">
        <w:t>the</w:t>
      </w:r>
      <w:r w:rsidR="006420CB" w:rsidRPr="000F25DC">
        <w:rPr>
          <w:spacing w:val="-2"/>
        </w:rPr>
        <w:t xml:space="preserve"> </w:t>
      </w:r>
      <w:r w:rsidR="006420CB" w:rsidRPr="000F25DC">
        <w:t>beginning</w:t>
      </w:r>
      <w:r w:rsidR="006420CB" w:rsidRPr="000F25DC">
        <w:rPr>
          <w:spacing w:val="-3"/>
        </w:rPr>
        <w:t xml:space="preserve"> </w:t>
      </w:r>
      <w:r w:rsidR="006420CB" w:rsidRPr="000F25DC">
        <w:t>of</w:t>
      </w:r>
      <w:r w:rsidR="006420CB" w:rsidRPr="000F25DC">
        <w:rPr>
          <w:spacing w:val="-2"/>
        </w:rPr>
        <w:t xml:space="preserve"> </w:t>
      </w:r>
      <w:r w:rsidR="006420CB" w:rsidRPr="000F25DC">
        <w:t>each</w:t>
      </w:r>
      <w:r w:rsidR="006420CB" w:rsidRPr="000F25DC">
        <w:rPr>
          <w:spacing w:val="-2"/>
        </w:rPr>
        <w:t xml:space="preserve"> description.</w:t>
      </w:r>
    </w:p>
    <w:p w14:paraId="078B440B" w14:textId="77777777" w:rsidR="006420CB" w:rsidRPr="000F25DC" w:rsidRDefault="006420CB" w:rsidP="00D079B7">
      <w:pPr>
        <w:pStyle w:val="BodyText"/>
      </w:pPr>
      <w:r w:rsidRPr="000F25DC">
        <w:rPr>
          <w:i/>
        </w:rPr>
        <w:t>Name of Program or Function</w:t>
      </w:r>
      <w:r w:rsidRPr="000F25DC">
        <w:t>: Work Opportunity Tax Credit</w:t>
      </w:r>
    </w:p>
    <w:p w14:paraId="08E6FA57" w14:textId="77777777" w:rsidR="006420CB" w:rsidRPr="000F25DC" w:rsidRDefault="006420CB" w:rsidP="00D079B7">
      <w:pPr>
        <w:pStyle w:val="BodyText"/>
      </w:pPr>
      <w:r w:rsidRPr="000F25DC">
        <w:rPr>
          <w:i/>
        </w:rPr>
        <w:t>Location/Division:</w:t>
      </w:r>
      <w:r w:rsidRPr="000F25DC">
        <w:t xml:space="preserve"> Workforce Development</w:t>
      </w:r>
      <w:r>
        <w:t xml:space="preserve"> Division, Compliance and Assistance</w:t>
      </w:r>
    </w:p>
    <w:p w14:paraId="518BD178" w14:textId="77777777" w:rsidR="006420CB" w:rsidRPr="000F25DC" w:rsidRDefault="006420CB" w:rsidP="00D079B7">
      <w:pPr>
        <w:pStyle w:val="BodyText"/>
      </w:pPr>
      <w:r w:rsidRPr="000F25DC">
        <w:rPr>
          <w:i/>
        </w:rPr>
        <w:t>Contact Name</w:t>
      </w:r>
      <w:r w:rsidRPr="000F25DC">
        <w:t xml:space="preserve">: Michelle </w:t>
      </w:r>
      <w:proofErr w:type="spellStart"/>
      <w:r w:rsidRPr="000F25DC">
        <w:t>Kranes</w:t>
      </w:r>
      <w:proofErr w:type="spellEnd"/>
    </w:p>
    <w:p w14:paraId="7BEFD05E" w14:textId="77777777" w:rsidR="006420CB" w:rsidRPr="000F25DC" w:rsidRDefault="006420CB" w:rsidP="00D079B7">
      <w:pPr>
        <w:pStyle w:val="BodyText"/>
      </w:pPr>
      <w:r w:rsidRPr="000F25DC">
        <w:rPr>
          <w:i/>
        </w:rPr>
        <w:t>Statutory Citation for Program</w:t>
      </w:r>
      <w:r w:rsidRPr="000F25DC">
        <w:t>: Texas Labor Code</w:t>
      </w:r>
      <w:r>
        <w:t>, Section 302.021</w:t>
      </w:r>
    </w:p>
    <w:p w14:paraId="3A1995F1" w14:textId="521F6409" w:rsidR="006420CB" w:rsidRPr="000F25DC" w:rsidRDefault="006420CB" w:rsidP="00D079B7">
      <w:pPr>
        <w:pStyle w:val="BodyText3"/>
      </w:pPr>
      <w:r w:rsidRPr="000F25DC">
        <w:t>B.</w:t>
      </w:r>
      <w:r w:rsidR="00D079B7">
        <w:tab/>
      </w:r>
      <w:r w:rsidRPr="000F25DC">
        <w:t>What</w:t>
      </w:r>
      <w:r w:rsidRPr="000F25DC">
        <w:rPr>
          <w:spacing w:val="-5"/>
        </w:rPr>
        <w:t xml:space="preserve"> </w:t>
      </w:r>
      <w:r w:rsidRPr="000F25DC">
        <w:t>is</w:t>
      </w:r>
      <w:r w:rsidRPr="000F25DC">
        <w:rPr>
          <w:spacing w:val="-4"/>
        </w:rPr>
        <w:t xml:space="preserve"> </w:t>
      </w:r>
      <w:r w:rsidRPr="000F25DC">
        <w:t>the</w:t>
      </w:r>
      <w:r w:rsidRPr="000F25DC">
        <w:rPr>
          <w:spacing w:val="-4"/>
        </w:rPr>
        <w:t xml:space="preserve"> </w:t>
      </w:r>
      <w:r w:rsidRPr="000F25DC">
        <w:t>objective</w:t>
      </w:r>
      <w:r w:rsidRPr="000F25DC">
        <w:rPr>
          <w:spacing w:val="-5"/>
        </w:rPr>
        <w:t xml:space="preserve"> </w:t>
      </w:r>
      <w:r w:rsidRPr="000F25DC">
        <w:t>of this</w:t>
      </w:r>
      <w:r w:rsidRPr="000F25DC">
        <w:rPr>
          <w:spacing w:val="-4"/>
        </w:rPr>
        <w:t xml:space="preserve"> </w:t>
      </w:r>
      <w:r w:rsidRPr="000F25DC">
        <w:t>division or program?</w:t>
      </w:r>
      <w:r w:rsidRPr="000F25DC">
        <w:rPr>
          <w:spacing w:val="-2"/>
        </w:rPr>
        <w:t xml:space="preserve"> </w:t>
      </w:r>
      <w:r w:rsidRPr="000F25DC">
        <w:t>Describe</w:t>
      </w:r>
      <w:r w:rsidRPr="000F25DC">
        <w:rPr>
          <w:spacing w:val="-1"/>
        </w:rPr>
        <w:t xml:space="preserve"> </w:t>
      </w:r>
      <w:r w:rsidRPr="000F25DC">
        <w:t>its</w:t>
      </w:r>
      <w:r w:rsidRPr="000F25DC">
        <w:rPr>
          <w:spacing w:val="-1"/>
        </w:rPr>
        <w:t xml:space="preserve"> </w:t>
      </w:r>
      <w:r w:rsidRPr="000F25DC">
        <w:t>major</w:t>
      </w:r>
      <w:r w:rsidRPr="000F25DC">
        <w:rPr>
          <w:spacing w:val="1"/>
        </w:rPr>
        <w:t xml:space="preserve"> </w:t>
      </w:r>
      <w:r w:rsidRPr="000F25DC">
        <w:rPr>
          <w:spacing w:val="-2"/>
        </w:rPr>
        <w:t>activities.</w:t>
      </w:r>
    </w:p>
    <w:p w14:paraId="029A18B2" w14:textId="77777777" w:rsidR="006420CB" w:rsidRPr="000F25DC" w:rsidRDefault="006420CB" w:rsidP="00C76538">
      <w:pPr>
        <w:pStyle w:val="BodyText"/>
      </w:pPr>
      <w:r w:rsidRPr="000F25DC">
        <w:t xml:space="preserve">The </w:t>
      </w:r>
      <w:hyperlink r:id="rId218" w:history="1">
        <w:r w:rsidRPr="002937D8">
          <w:rPr>
            <w:rStyle w:val="Hyperlink"/>
            <w:rFonts w:asciiTheme="minorHAnsi" w:hAnsiTheme="minorHAnsi" w:cstheme="minorHAnsi"/>
            <w:sz w:val="24"/>
            <w:szCs w:val="24"/>
          </w:rPr>
          <w:t>Work Opportunity Tax Credit</w:t>
        </w:r>
      </w:hyperlink>
      <w:r>
        <w:t xml:space="preserve"> (WOTC)</w:t>
      </w:r>
      <w:r w:rsidRPr="000F25DC">
        <w:t xml:space="preserve"> is a federal income tax benefit administered by</w:t>
      </w:r>
      <w:r>
        <w:t xml:space="preserve"> DOLETA </w:t>
      </w:r>
      <w:r w:rsidRPr="000F25DC">
        <w:t>for private employers who hire from target populations. WOTC reduces a business’ federal tax liability during the first year of employment, serving as an incentive to select job candidates who may be somewhat disadvantaged in their efforts to find employment.</w:t>
      </w:r>
      <w:r>
        <w:t xml:space="preserve"> </w:t>
      </w:r>
    </w:p>
    <w:p w14:paraId="04892EF5" w14:textId="77777777" w:rsidR="006420CB" w:rsidRDefault="006420CB" w:rsidP="00C76538">
      <w:pPr>
        <w:pStyle w:val="BodyText"/>
      </w:pPr>
      <w:r w:rsidRPr="000F25DC">
        <w:t>Employers must apply for and receive a certification from the state workforce agency</w:t>
      </w:r>
      <w:r>
        <w:t>, which is TWC in Texas,</w:t>
      </w:r>
      <w:r w:rsidRPr="000F25DC">
        <w:t xml:space="preserve"> verifying the new hire is a member of a targeted group before they can claim the tax credit. The </w:t>
      </w:r>
      <w:r>
        <w:t>amount</w:t>
      </w:r>
      <w:r w:rsidRPr="000F25DC">
        <w:t xml:space="preserve"> of </w:t>
      </w:r>
      <w:r>
        <w:t xml:space="preserve">the </w:t>
      </w:r>
      <w:r w:rsidRPr="000F25DC">
        <w:t xml:space="preserve">tax credit </w:t>
      </w:r>
      <w:r>
        <w:t>ranges</w:t>
      </w:r>
      <w:r w:rsidRPr="000F25DC">
        <w:t xml:space="preserve"> from $1,200 to $9,600 per </w:t>
      </w:r>
      <w:r w:rsidRPr="000F25DC">
        <w:lastRenderedPageBreak/>
        <w:t>qualifying employee</w:t>
      </w:r>
      <w:r>
        <w:t>, as detailed in the chart below</w:t>
      </w:r>
      <w:r w:rsidRPr="000F25DC">
        <w:t>. The credit is based on employee retention and their qualified wages during the first year of employment. There are 14 different target groups eligible for certification under the WOTC program. Each target group has qualifiers that need to be met to be certified.</w:t>
      </w:r>
      <w:r>
        <w:t xml:space="preserve"> </w:t>
      </w:r>
      <w:r w:rsidRPr="000F25DC">
        <w:t xml:space="preserve">For information about the requirements for each target group, please review the </w:t>
      </w:r>
      <w:hyperlink r:id="rId219" w:history="1">
        <w:r>
          <w:rPr>
            <w:rStyle w:val="Hyperlink"/>
            <w:rFonts w:asciiTheme="minorHAnsi" w:hAnsiTheme="minorHAnsi" w:cstheme="minorHAnsi"/>
            <w:sz w:val="24"/>
            <w:szCs w:val="24"/>
          </w:rPr>
          <w:t>WOTC brochure</w:t>
        </w:r>
      </w:hyperlink>
      <w:r w:rsidRPr="000F25DC">
        <w:t>.</w:t>
      </w:r>
    </w:p>
    <w:p w14:paraId="1DDB2D5F" w14:textId="77777777" w:rsidR="006420CB" w:rsidRPr="000F25DC" w:rsidRDefault="006420CB" w:rsidP="006420CB">
      <w:pPr>
        <w:rPr>
          <w:rFonts w:asciiTheme="minorHAnsi" w:hAnsiTheme="minorHAnsi" w:cstheme="minorHAnsi"/>
          <w:sz w:val="24"/>
          <w:szCs w:val="24"/>
        </w:rPr>
      </w:pPr>
    </w:p>
    <w:tbl>
      <w:tblPr>
        <w:tblStyle w:val="TableGrid1"/>
        <w:tblW w:w="0" w:type="auto"/>
        <w:tblLook w:val="04A0" w:firstRow="1" w:lastRow="0" w:firstColumn="1" w:lastColumn="0" w:noHBand="0" w:noVBand="1"/>
      </w:tblPr>
      <w:tblGrid>
        <w:gridCol w:w="1345"/>
        <w:gridCol w:w="6210"/>
      </w:tblGrid>
      <w:tr w:rsidR="006420CB" w:rsidRPr="000F25DC" w14:paraId="5D7BD8F4" w14:textId="77777777" w:rsidTr="00F252EA">
        <w:trPr>
          <w:tblHeader/>
        </w:trPr>
        <w:tc>
          <w:tcPr>
            <w:tcW w:w="1345" w:type="dxa"/>
            <w:shd w:val="clear" w:color="auto" w:fill="B8CCE4" w:themeFill="accent1" w:themeFillTint="66"/>
            <w:vAlign w:val="center"/>
          </w:tcPr>
          <w:p w14:paraId="7C684A1C" w14:textId="77777777" w:rsidR="006420CB" w:rsidRPr="00B64474" w:rsidRDefault="006420CB" w:rsidP="00F252EA">
            <w:pPr>
              <w:pStyle w:val="TableHeaders"/>
            </w:pPr>
            <w:r w:rsidRPr="00B64474">
              <w:t>Tax Credit Amount</w:t>
            </w:r>
          </w:p>
        </w:tc>
        <w:tc>
          <w:tcPr>
            <w:tcW w:w="6210" w:type="dxa"/>
            <w:shd w:val="clear" w:color="auto" w:fill="B8CCE4" w:themeFill="accent1" w:themeFillTint="66"/>
            <w:vAlign w:val="center"/>
          </w:tcPr>
          <w:p w14:paraId="47F001A4" w14:textId="77777777" w:rsidR="006420CB" w:rsidRPr="00B64474" w:rsidRDefault="006420CB" w:rsidP="00F252EA">
            <w:pPr>
              <w:pStyle w:val="TableHeaders"/>
            </w:pPr>
            <w:r w:rsidRPr="00B64474">
              <w:t>Target Group Name</w:t>
            </w:r>
          </w:p>
        </w:tc>
      </w:tr>
      <w:tr w:rsidR="006420CB" w:rsidRPr="000F25DC" w14:paraId="39C18F1A" w14:textId="77777777" w:rsidTr="00F252EA">
        <w:tc>
          <w:tcPr>
            <w:tcW w:w="1345" w:type="dxa"/>
          </w:tcPr>
          <w:p w14:paraId="733EE373" w14:textId="77777777" w:rsidR="006420CB" w:rsidRPr="000F25DC" w:rsidRDefault="006420CB" w:rsidP="00F252EA">
            <w:pPr>
              <w:pStyle w:val="TableText"/>
            </w:pPr>
            <w:r w:rsidRPr="000F25DC">
              <w:t>$1,200</w:t>
            </w:r>
          </w:p>
        </w:tc>
        <w:tc>
          <w:tcPr>
            <w:tcW w:w="6210" w:type="dxa"/>
          </w:tcPr>
          <w:p w14:paraId="4EA8B8AC" w14:textId="77777777" w:rsidR="006420CB" w:rsidRPr="000F25DC" w:rsidRDefault="006420CB" w:rsidP="00F252EA">
            <w:pPr>
              <w:pStyle w:val="TableText"/>
            </w:pPr>
            <w:r w:rsidRPr="000F25DC">
              <w:t>Summer Youth</w:t>
            </w:r>
          </w:p>
        </w:tc>
      </w:tr>
      <w:tr w:rsidR="006420CB" w:rsidRPr="000F25DC" w14:paraId="17FDAADD" w14:textId="77777777" w:rsidTr="00F252EA">
        <w:tc>
          <w:tcPr>
            <w:tcW w:w="1345" w:type="dxa"/>
          </w:tcPr>
          <w:p w14:paraId="519BB282" w14:textId="77777777" w:rsidR="006420CB" w:rsidRPr="000F25DC" w:rsidRDefault="006420CB" w:rsidP="00F252EA">
            <w:pPr>
              <w:pStyle w:val="TableText"/>
            </w:pPr>
            <w:r w:rsidRPr="000F25DC">
              <w:t>$2,400</w:t>
            </w:r>
          </w:p>
        </w:tc>
        <w:tc>
          <w:tcPr>
            <w:tcW w:w="6210" w:type="dxa"/>
          </w:tcPr>
          <w:p w14:paraId="5D1C0BCD" w14:textId="77777777" w:rsidR="006420CB" w:rsidRPr="000F25DC" w:rsidRDefault="006420CB" w:rsidP="00F252EA">
            <w:pPr>
              <w:pStyle w:val="TableText"/>
            </w:pPr>
            <w:r w:rsidRPr="000F25DC">
              <w:t>Long-Term Unemployment</w:t>
            </w:r>
          </w:p>
        </w:tc>
      </w:tr>
      <w:tr w:rsidR="006420CB" w:rsidRPr="000F25DC" w14:paraId="513E6775" w14:textId="77777777" w:rsidTr="00F252EA">
        <w:tc>
          <w:tcPr>
            <w:tcW w:w="1345" w:type="dxa"/>
          </w:tcPr>
          <w:p w14:paraId="7990AFA2" w14:textId="77777777" w:rsidR="006420CB" w:rsidRPr="000F25DC" w:rsidRDefault="006420CB" w:rsidP="00F252EA">
            <w:pPr>
              <w:pStyle w:val="TableText"/>
            </w:pPr>
            <w:r w:rsidRPr="000F25DC">
              <w:t>$2,400</w:t>
            </w:r>
          </w:p>
        </w:tc>
        <w:tc>
          <w:tcPr>
            <w:tcW w:w="6210" w:type="dxa"/>
          </w:tcPr>
          <w:p w14:paraId="3EAEC167" w14:textId="77777777" w:rsidR="006420CB" w:rsidRPr="000F25DC" w:rsidRDefault="006420CB" w:rsidP="00F252EA">
            <w:pPr>
              <w:pStyle w:val="TableText"/>
            </w:pPr>
            <w:r w:rsidRPr="000F25DC">
              <w:t xml:space="preserve">Supplemental Nutrition Assistance Program </w:t>
            </w:r>
            <w:r>
              <w:t>(SNAP)</w:t>
            </w:r>
          </w:p>
        </w:tc>
      </w:tr>
      <w:tr w:rsidR="006420CB" w:rsidRPr="000F25DC" w14:paraId="4173CE22" w14:textId="77777777" w:rsidTr="00F252EA">
        <w:tc>
          <w:tcPr>
            <w:tcW w:w="1345" w:type="dxa"/>
          </w:tcPr>
          <w:p w14:paraId="6213C194" w14:textId="77777777" w:rsidR="006420CB" w:rsidRPr="000F25DC" w:rsidRDefault="006420CB" w:rsidP="00F252EA">
            <w:pPr>
              <w:pStyle w:val="TableText"/>
            </w:pPr>
            <w:r w:rsidRPr="000F25DC">
              <w:t>$2,400</w:t>
            </w:r>
          </w:p>
        </w:tc>
        <w:tc>
          <w:tcPr>
            <w:tcW w:w="6210" w:type="dxa"/>
          </w:tcPr>
          <w:p w14:paraId="2AF62EF2" w14:textId="77777777" w:rsidR="006420CB" w:rsidRPr="000F25DC" w:rsidRDefault="006420CB" w:rsidP="00F252EA">
            <w:pPr>
              <w:pStyle w:val="TableText"/>
            </w:pPr>
            <w:r w:rsidRPr="000F25DC">
              <w:t xml:space="preserve">Temporary Assistance for Needy Families </w:t>
            </w:r>
            <w:r>
              <w:t>(TANF)</w:t>
            </w:r>
          </w:p>
        </w:tc>
      </w:tr>
      <w:tr w:rsidR="006420CB" w:rsidRPr="000F25DC" w14:paraId="3796A72A" w14:textId="77777777" w:rsidTr="00F252EA">
        <w:tc>
          <w:tcPr>
            <w:tcW w:w="1345" w:type="dxa"/>
          </w:tcPr>
          <w:p w14:paraId="12B7CE7D" w14:textId="77777777" w:rsidR="006420CB" w:rsidRPr="000F25DC" w:rsidRDefault="006420CB" w:rsidP="00F252EA">
            <w:pPr>
              <w:pStyle w:val="TableText"/>
            </w:pPr>
            <w:r w:rsidRPr="000F25DC">
              <w:t>$2,400</w:t>
            </w:r>
          </w:p>
        </w:tc>
        <w:tc>
          <w:tcPr>
            <w:tcW w:w="6210" w:type="dxa"/>
          </w:tcPr>
          <w:p w14:paraId="3079469C" w14:textId="77777777" w:rsidR="006420CB" w:rsidRPr="000F25DC" w:rsidRDefault="006420CB" w:rsidP="00F252EA">
            <w:pPr>
              <w:pStyle w:val="TableText"/>
            </w:pPr>
            <w:r w:rsidRPr="000F25DC">
              <w:t>Ex-</w:t>
            </w:r>
            <w:r>
              <w:t>f</w:t>
            </w:r>
            <w:r w:rsidRPr="000F25DC">
              <w:t>elons</w:t>
            </w:r>
          </w:p>
        </w:tc>
      </w:tr>
      <w:tr w:rsidR="006420CB" w:rsidRPr="000F25DC" w14:paraId="6C603A82" w14:textId="77777777" w:rsidTr="00F252EA">
        <w:tc>
          <w:tcPr>
            <w:tcW w:w="1345" w:type="dxa"/>
          </w:tcPr>
          <w:p w14:paraId="2997BD97" w14:textId="77777777" w:rsidR="006420CB" w:rsidRPr="000F25DC" w:rsidRDefault="006420CB" w:rsidP="00F252EA">
            <w:pPr>
              <w:pStyle w:val="TableText"/>
            </w:pPr>
            <w:r w:rsidRPr="000F25DC">
              <w:t>$2,400</w:t>
            </w:r>
          </w:p>
        </w:tc>
        <w:tc>
          <w:tcPr>
            <w:tcW w:w="6210" w:type="dxa"/>
          </w:tcPr>
          <w:p w14:paraId="3D5120B3" w14:textId="77777777" w:rsidR="006420CB" w:rsidRPr="000F25DC" w:rsidRDefault="006420CB" w:rsidP="00F252EA">
            <w:pPr>
              <w:pStyle w:val="TableText"/>
            </w:pPr>
            <w:r w:rsidRPr="000F25DC">
              <w:t>Designated Community Residents</w:t>
            </w:r>
          </w:p>
        </w:tc>
      </w:tr>
      <w:tr w:rsidR="006420CB" w:rsidRPr="000F25DC" w14:paraId="4B104A21" w14:textId="77777777" w:rsidTr="00F252EA">
        <w:tc>
          <w:tcPr>
            <w:tcW w:w="1345" w:type="dxa"/>
          </w:tcPr>
          <w:p w14:paraId="42B17201" w14:textId="77777777" w:rsidR="006420CB" w:rsidRPr="000F25DC" w:rsidRDefault="006420CB" w:rsidP="00F252EA">
            <w:pPr>
              <w:pStyle w:val="TableText"/>
            </w:pPr>
            <w:r w:rsidRPr="000F25DC">
              <w:t>$2,400</w:t>
            </w:r>
          </w:p>
        </w:tc>
        <w:tc>
          <w:tcPr>
            <w:tcW w:w="6210" w:type="dxa"/>
          </w:tcPr>
          <w:p w14:paraId="2C6F760B" w14:textId="77777777" w:rsidR="006420CB" w:rsidRPr="000F25DC" w:rsidRDefault="006420CB" w:rsidP="00F252EA">
            <w:pPr>
              <w:pStyle w:val="TableText"/>
            </w:pPr>
            <w:r w:rsidRPr="000F25DC">
              <w:t xml:space="preserve">Vocational Rehabilitation </w:t>
            </w:r>
            <w:r>
              <w:t>R</w:t>
            </w:r>
            <w:r w:rsidRPr="000F25DC">
              <w:t>ecipients</w:t>
            </w:r>
          </w:p>
        </w:tc>
      </w:tr>
      <w:tr w:rsidR="006420CB" w:rsidRPr="000F25DC" w14:paraId="12C9DB75" w14:textId="77777777" w:rsidTr="00F252EA">
        <w:tc>
          <w:tcPr>
            <w:tcW w:w="1345" w:type="dxa"/>
          </w:tcPr>
          <w:p w14:paraId="4AF8AE6D" w14:textId="77777777" w:rsidR="006420CB" w:rsidRPr="000F25DC" w:rsidRDefault="006420CB" w:rsidP="00F252EA">
            <w:pPr>
              <w:pStyle w:val="TableText"/>
            </w:pPr>
            <w:r w:rsidRPr="000F25DC">
              <w:t>$2,400</w:t>
            </w:r>
          </w:p>
        </w:tc>
        <w:tc>
          <w:tcPr>
            <w:tcW w:w="6210" w:type="dxa"/>
          </w:tcPr>
          <w:p w14:paraId="41486EA7" w14:textId="77777777" w:rsidR="006420CB" w:rsidRPr="000F25DC" w:rsidRDefault="006420CB" w:rsidP="00F252EA">
            <w:pPr>
              <w:pStyle w:val="TableText"/>
            </w:pPr>
            <w:r w:rsidRPr="000F25DC">
              <w:t>Supplemental Security Inco</w:t>
            </w:r>
            <w:r>
              <w:t>m</w:t>
            </w:r>
            <w:r w:rsidRPr="000F25DC">
              <w:t xml:space="preserve">e </w:t>
            </w:r>
            <w:r>
              <w:t>R</w:t>
            </w:r>
            <w:r w:rsidRPr="000F25DC">
              <w:t>ecipients</w:t>
            </w:r>
          </w:p>
        </w:tc>
      </w:tr>
      <w:tr w:rsidR="006420CB" w:rsidRPr="000F25DC" w14:paraId="2286A986" w14:textId="77777777" w:rsidTr="00F252EA">
        <w:tc>
          <w:tcPr>
            <w:tcW w:w="1345" w:type="dxa"/>
          </w:tcPr>
          <w:p w14:paraId="64F4C25C" w14:textId="77777777" w:rsidR="006420CB" w:rsidRPr="000F25DC" w:rsidRDefault="006420CB" w:rsidP="00F252EA">
            <w:pPr>
              <w:pStyle w:val="TableText"/>
            </w:pPr>
            <w:r w:rsidRPr="000F25DC">
              <w:t>$9,000</w:t>
            </w:r>
          </w:p>
        </w:tc>
        <w:tc>
          <w:tcPr>
            <w:tcW w:w="6210" w:type="dxa"/>
          </w:tcPr>
          <w:p w14:paraId="1CD13FBB" w14:textId="77777777" w:rsidR="006420CB" w:rsidRPr="000F25DC" w:rsidRDefault="006420CB" w:rsidP="00F252EA">
            <w:pPr>
              <w:pStyle w:val="TableText"/>
            </w:pPr>
            <w:r w:rsidRPr="000F25DC">
              <w:t xml:space="preserve">Long Term Family Assistance </w:t>
            </w:r>
            <w:r>
              <w:t>R</w:t>
            </w:r>
            <w:r w:rsidRPr="000F25DC">
              <w:t>ecipients</w:t>
            </w:r>
          </w:p>
        </w:tc>
      </w:tr>
      <w:tr w:rsidR="006420CB" w:rsidRPr="000F25DC" w14:paraId="44B62523" w14:textId="77777777" w:rsidTr="00F252EA">
        <w:tc>
          <w:tcPr>
            <w:tcW w:w="1345" w:type="dxa"/>
          </w:tcPr>
          <w:p w14:paraId="23224330" w14:textId="77777777" w:rsidR="006420CB" w:rsidRPr="000F25DC" w:rsidRDefault="006420CB" w:rsidP="00F252EA">
            <w:pPr>
              <w:pStyle w:val="TableText"/>
            </w:pPr>
            <w:r w:rsidRPr="000F25DC">
              <w:t>$2,400</w:t>
            </w:r>
          </w:p>
        </w:tc>
        <w:tc>
          <w:tcPr>
            <w:tcW w:w="6210" w:type="dxa"/>
          </w:tcPr>
          <w:p w14:paraId="7478432E" w14:textId="77777777" w:rsidR="006420CB" w:rsidRPr="000F25DC" w:rsidRDefault="006420CB" w:rsidP="00F252EA">
            <w:pPr>
              <w:pStyle w:val="TableText"/>
            </w:pPr>
            <w:r w:rsidRPr="000F25DC">
              <w:t xml:space="preserve">Veterans </w:t>
            </w:r>
            <w:r>
              <w:t>R</w:t>
            </w:r>
            <w:r w:rsidRPr="000F25DC">
              <w:t xml:space="preserve">eceiving SNAP </w:t>
            </w:r>
            <w:r>
              <w:t>B</w:t>
            </w:r>
            <w:r w:rsidRPr="000F25DC">
              <w:t>enefits</w:t>
            </w:r>
          </w:p>
        </w:tc>
      </w:tr>
      <w:tr w:rsidR="006420CB" w:rsidRPr="000F25DC" w14:paraId="6A10636B" w14:textId="77777777" w:rsidTr="00F252EA">
        <w:tc>
          <w:tcPr>
            <w:tcW w:w="1345" w:type="dxa"/>
          </w:tcPr>
          <w:p w14:paraId="1ABB7912" w14:textId="77777777" w:rsidR="006420CB" w:rsidRPr="000F25DC" w:rsidRDefault="006420CB" w:rsidP="00F252EA">
            <w:pPr>
              <w:pStyle w:val="TableText"/>
            </w:pPr>
            <w:r w:rsidRPr="000F25DC">
              <w:t>$2,400</w:t>
            </w:r>
          </w:p>
        </w:tc>
        <w:tc>
          <w:tcPr>
            <w:tcW w:w="6210" w:type="dxa"/>
          </w:tcPr>
          <w:p w14:paraId="25207AB6" w14:textId="77777777" w:rsidR="006420CB" w:rsidRPr="000F25DC" w:rsidRDefault="006420CB" w:rsidP="00F252EA">
            <w:pPr>
              <w:pStyle w:val="TableText"/>
            </w:pPr>
            <w:r w:rsidRPr="000F25DC">
              <w:t>Unemployed Veterans (</w:t>
            </w:r>
            <w:r>
              <w:t xml:space="preserve">unemployed </w:t>
            </w:r>
            <w:r w:rsidRPr="000F25DC">
              <w:t>4 weeks to 6 months)</w:t>
            </w:r>
          </w:p>
        </w:tc>
      </w:tr>
      <w:tr w:rsidR="006420CB" w:rsidRPr="000F25DC" w14:paraId="2AA1160D" w14:textId="77777777" w:rsidTr="00F252EA">
        <w:tc>
          <w:tcPr>
            <w:tcW w:w="1345" w:type="dxa"/>
          </w:tcPr>
          <w:p w14:paraId="11C2EEC5" w14:textId="77777777" w:rsidR="006420CB" w:rsidRPr="000F25DC" w:rsidRDefault="006420CB" w:rsidP="00F252EA">
            <w:pPr>
              <w:pStyle w:val="TableText"/>
            </w:pPr>
            <w:r w:rsidRPr="000F25DC">
              <w:t>$4,800</w:t>
            </w:r>
          </w:p>
        </w:tc>
        <w:tc>
          <w:tcPr>
            <w:tcW w:w="6210" w:type="dxa"/>
          </w:tcPr>
          <w:p w14:paraId="7E4EA872" w14:textId="77777777" w:rsidR="006420CB" w:rsidRPr="000F25DC" w:rsidRDefault="006420CB" w:rsidP="00F252EA">
            <w:pPr>
              <w:pStyle w:val="TableText"/>
            </w:pPr>
            <w:r w:rsidRPr="000F25DC">
              <w:t>Disabled Veterans (unemployed 4 weeks to 6 months)</w:t>
            </w:r>
          </w:p>
        </w:tc>
      </w:tr>
      <w:tr w:rsidR="006420CB" w:rsidRPr="000F25DC" w14:paraId="6B216EFD" w14:textId="77777777" w:rsidTr="00F252EA">
        <w:tc>
          <w:tcPr>
            <w:tcW w:w="1345" w:type="dxa"/>
          </w:tcPr>
          <w:p w14:paraId="00D7B549" w14:textId="77777777" w:rsidR="006420CB" w:rsidRPr="000F25DC" w:rsidRDefault="006420CB" w:rsidP="00F252EA">
            <w:pPr>
              <w:pStyle w:val="TableText"/>
            </w:pPr>
            <w:r w:rsidRPr="000F25DC">
              <w:t>$5,600</w:t>
            </w:r>
          </w:p>
        </w:tc>
        <w:tc>
          <w:tcPr>
            <w:tcW w:w="6210" w:type="dxa"/>
          </w:tcPr>
          <w:p w14:paraId="6E526CB6" w14:textId="77777777" w:rsidR="006420CB" w:rsidRPr="000F25DC" w:rsidRDefault="006420CB" w:rsidP="00F252EA">
            <w:pPr>
              <w:pStyle w:val="TableText"/>
            </w:pPr>
            <w:r w:rsidRPr="000F25DC">
              <w:t>Unemployed Veterans (greater than 6 months)</w:t>
            </w:r>
          </w:p>
        </w:tc>
      </w:tr>
      <w:tr w:rsidR="006420CB" w:rsidRPr="000F25DC" w14:paraId="4EF6FFE3" w14:textId="77777777" w:rsidTr="00F252EA">
        <w:tc>
          <w:tcPr>
            <w:tcW w:w="1345" w:type="dxa"/>
          </w:tcPr>
          <w:p w14:paraId="7CABC270" w14:textId="77777777" w:rsidR="006420CB" w:rsidRPr="000F25DC" w:rsidRDefault="006420CB" w:rsidP="00F252EA">
            <w:pPr>
              <w:pStyle w:val="TableText"/>
            </w:pPr>
            <w:r w:rsidRPr="000F25DC">
              <w:t>$9,600</w:t>
            </w:r>
          </w:p>
        </w:tc>
        <w:tc>
          <w:tcPr>
            <w:tcW w:w="6210" w:type="dxa"/>
          </w:tcPr>
          <w:p w14:paraId="644F3D7E" w14:textId="77777777" w:rsidR="006420CB" w:rsidRPr="000F25DC" w:rsidRDefault="006420CB" w:rsidP="00F252EA">
            <w:pPr>
              <w:pStyle w:val="TableText"/>
            </w:pPr>
            <w:r w:rsidRPr="000F25DC">
              <w:t>Disabled Veterans (greater than 6 months)</w:t>
            </w:r>
          </w:p>
        </w:tc>
      </w:tr>
    </w:tbl>
    <w:p w14:paraId="74C37DA1" w14:textId="77777777" w:rsidR="006420CB" w:rsidRPr="000F25DC" w:rsidRDefault="006420CB" w:rsidP="006420CB">
      <w:pPr>
        <w:rPr>
          <w:rFonts w:asciiTheme="minorHAnsi" w:hAnsiTheme="minorHAnsi" w:cstheme="minorHAnsi"/>
          <w:color w:val="0070C0"/>
          <w:sz w:val="24"/>
          <w:szCs w:val="24"/>
        </w:rPr>
      </w:pPr>
    </w:p>
    <w:p w14:paraId="0AB78559" w14:textId="77777777" w:rsidR="006420CB" w:rsidRDefault="006420CB" w:rsidP="006470AE">
      <w:pPr>
        <w:pStyle w:val="BodyText"/>
      </w:pPr>
      <w:r>
        <w:t>In addition to processing WOTC applications for Texas employers, T</w:t>
      </w:r>
      <w:r w:rsidRPr="000F25DC">
        <w:t>WC</w:t>
      </w:r>
      <w:r>
        <w:t>’s</w:t>
      </w:r>
      <w:r w:rsidRPr="000F25DC">
        <w:t xml:space="preserve"> WOTC</w:t>
      </w:r>
      <w:r>
        <w:t xml:space="preserve"> unit</w:t>
      </w:r>
      <w:r w:rsidRPr="000F25DC">
        <w:t xml:space="preserve"> also support</w:t>
      </w:r>
      <w:r>
        <w:t>s</w:t>
      </w:r>
      <w:r w:rsidRPr="000F25DC">
        <w:t xml:space="preserve"> other state workforce agencies throughout the country by determining if benefits were received in Texas </w:t>
      </w:r>
      <w:r>
        <w:t>that</w:t>
      </w:r>
      <w:r w:rsidRPr="000F25DC">
        <w:t xml:space="preserve"> can </w:t>
      </w:r>
      <w:r>
        <w:t xml:space="preserve">be </w:t>
      </w:r>
      <w:r w:rsidRPr="000F25DC">
        <w:t>use</w:t>
      </w:r>
      <w:r>
        <w:t>d</w:t>
      </w:r>
      <w:r w:rsidRPr="000F25DC">
        <w:t xml:space="preserve"> to certify the claim in their state for their employers. This action is called an Out of State Verification of Eligibility request.</w:t>
      </w:r>
    </w:p>
    <w:p w14:paraId="74B5380E" w14:textId="33A0BAEF" w:rsidR="006420CB" w:rsidRPr="000F25DC" w:rsidRDefault="006420CB" w:rsidP="006470AE">
      <w:pPr>
        <w:pStyle w:val="BodyText3"/>
        <w:ind w:left="720" w:hanging="720"/>
      </w:pPr>
      <w:r w:rsidRPr="000F25DC">
        <w:t>C.</w:t>
      </w:r>
      <w:r w:rsidR="006470AE">
        <w:tab/>
      </w:r>
      <w:r w:rsidRPr="000F25DC">
        <w:t>What information does the agency collect/use to assess the effectiveness and efficiency of this</w:t>
      </w:r>
      <w:r w:rsidRPr="000F25DC">
        <w:rPr>
          <w:spacing w:val="38"/>
        </w:rPr>
        <w:t xml:space="preserve"> </w:t>
      </w:r>
      <w:r w:rsidRPr="000F25DC">
        <w:t>division</w:t>
      </w:r>
      <w:r w:rsidRPr="000F25DC">
        <w:rPr>
          <w:spacing w:val="40"/>
        </w:rPr>
        <w:t xml:space="preserve"> </w:t>
      </w:r>
      <w:r w:rsidRPr="000F25DC">
        <w:t>or</w:t>
      </w:r>
      <w:r w:rsidRPr="000F25DC">
        <w:rPr>
          <w:spacing w:val="40"/>
        </w:rPr>
        <w:t xml:space="preserve"> </w:t>
      </w:r>
      <w:r w:rsidRPr="000F25DC">
        <w:t>program?</w:t>
      </w:r>
      <w:r w:rsidRPr="000F25DC">
        <w:rPr>
          <w:spacing w:val="40"/>
        </w:rPr>
        <w:t xml:space="preserve"> </w:t>
      </w:r>
      <w:r w:rsidRPr="000F25DC">
        <w:t>If</w:t>
      </w:r>
      <w:r w:rsidRPr="000F25DC">
        <w:rPr>
          <w:spacing w:val="40"/>
        </w:rPr>
        <w:t xml:space="preserve"> </w:t>
      </w:r>
      <w:r w:rsidRPr="000F25DC">
        <w:t>applicable,</w:t>
      </w:r>
      <w:r w:rsidRPr="000F25DC">
        <w:rPr>
          <w:spacing w:val="39"/>
        </w:rPr>
        <w:t xml:space="preserve"> </w:t>
      </w:r>
      <w:r w:rsidRPr="000F25DC">
        <w:t>briefly</w:t>
      </w:r>
      <w:r w:rsidRPr="000F25DC">
        <w:rPr>
          <w:spacing w:val="40"/>
        </w:rPr>
        <w:t xml:space="preserve"> </w:t>
      </w:r>
      <w:r w:rsidRPr="000F25DC">
        <w:t>note</w:t>
      </w:r>
      <w:r w:rsidRPr="000F25DC">
        <w:rPr>
          <w:spacing w:val="40"/>
        </w:rPr>
        <w:t xml:space="preserve"> </w:t>
      </w:r>
      <w:r w:rsidRPr="000F25DC">
        <w:t>any</w:t>
      </w:r>
      <w:r w:rsidRPr="000F25DC">
        <w:rPr>
          <w:spacing w:val="40"/>
        </w:rPr>
        <w:t xml:space="preserve"> </w:t>
      </w:r>
      <w:r w:rsidRPr="000F25DC">
        <w:t>LBB</w:t>
      </w:r>
      <w:r w:rsidRPr="000F25DC">
        <w:rPr>
          <w:spacing w:val="40"/>
        </w:rPr>
        <w:t xml:space="preserve"> </w:t>
      </w:r>
      <w:r w:rsidRPr="000F25DC">
        <w:t>performance</w:t>
      </w:r>
      <w:r w:rsidRPr="000F25DC">
        <w:rPr>
          <w:spacing w:val="40"/>
        </w:rPr>
        <w:t xml:space="preserve"> </w:t>
      </w:r>
      <w:r w:rsidRPr="000F25DC">
        <w:t>measures</w:t>
      </w:r>
      <w:r w:rsidRPr="000F25DC">
        <w:rPr>
          <w:spacing w:val="40"/>
        </w:rPr>
        <w:t xml:space="preserve"> </w:t>
      </w:r>
      <w:r w:rsidRPr="000F25DC">
        <w:t>(from Section</w:t>
      </w:r>
      <w:r w:rsidRPr="000F25DC">
        <w:rPr>
          <w:spacing w:val="-11"/>
        </w:rPr>
        <w:t xml:space="preserve"> </w:t>
      </w:r>
      <w:r w:rsidRPr="000F25DC">
        <w:t>II,</w:t>
      </w:r>
      <w:r w:rsidRPr="000F25DC">
        <w:rPr>
          <w:spacing w:val="-12"/>
        </w:rPr>
        <w:t xml:space="preserve"> </w:t>
      </w:r>
      <w:proofErr w:type="gramStart"/>
      <w:r w:rsidRPr="000F25DC">
        <w:t>Exhibit</w:t>
      </w:r>
      <w:proofErr w:type="gramEnd"/>
      <w:r w:rsidRPr="000F25DC">
        <w:rPr>
          <w:spacing w:val="-14"/>
        </w:rPr>
        <w:t xml:space="preserve"> </w:t>
      </w:r>
      <w:r w:rsidRPr="000F25DC">
        <w:t>2)</w:t>
      </w:r>
      <w:r w:rsidRPr="000F25DC">
        <w:rPr>
          <w:spacing w:val="-12"/>
        </w:rPr>
        <w:t xml:space="preserve"> </w:t>
      </w:r>
      <w:r w:rsidRPr="000F25DC">
        <w:t>but</w:t>
      </w:r>
      <w:r w:rsidRPr="000F25DC">
        <w:rPr>
          <w:spacing w:val="-14"/>
        </w:rPr>
        <w:t xml:space="preserve"> </w:t>
      </w:r>
      <w:r w:rsidRPr="000F25DC">
        <w:t>also</w:t>
      </w:r>
      <w:r w:rsidRPr="000F25DC">
        <w:rPr>
          <w:spacing w:val="-11"/>
        </w:rPr>
        <w:t xml:space="preserve"> </w:t>
      </w:r>
      <w:r w:rsidRPr="000F25DC">
        <w:t>provide</w:t>
      </w:r>
      <w:r w:rsidRPr="000F25DC">
        <w:rPr>
          <w:spacing w:val="-13"/>
        </w:rPr>
        <w:t xml:space="preserve"> </w:t>
      </w:r>
      <w:r w:rsidRPr="000F25DC">
        <w:t>any</w:t>
      </w:r>
      <w:r w:rsidRPr="000F25DC">
        <w:rPr>
          <w:spacing w:val="-13"/>
        </w:rPr>
        <w:t xml:space="preserve"> </w:t>
      </w:r>
      <w:r w:rsidRPr="000F25DC">
        <w:t>other</w:t>
      </w:r>
      <w:r w:rsidRPr="000F25DC">
        <w:rPr>
          <w:spacing w:val="-11"/>
        </w:rPr>
        <w:t xml:space="preserve"> </w:t>
      </w:r>
      <w:r w:rsidRPr="000F25DC">
        <w:t>metrics</w:t>
      </w:r>
      <w:r w:rsidRPr="000F25DC">
        <w:rPr>
          <w:spacing w:val="-14"/>
        </w:rPr>
        <w:t xml:space="preserve"> </w:t>
      </w:r>
      <w:r w:rsidRPr="000F25DC">
        <w:t>of</w:t>
      </w:r>
      <w:r w:rsidRPr="000F25DC">
        <w:rPr>
          <w:spacing w:val="-13"/>
        </w:rPr>
        <w:t xml:space="preserve"> </w:t>
      </w:r>
      <w:r w:rsidRPr="000F25DC">
        <w:t>program</w:t>
      </w:r>
      <w:r w:rsidRPr="000F25DC">
        <w:rPr>
          <w:spacing w:val="-13"/>
        </w:rPr>
        <w:t xml:space="preserve"> </w:t>
      </w:r>
      <w:r w:rsidRPr="000F25DC">
        <w:t>effectiveness</w:t>
      </w:r>
      <w:r w:rsidRPr="000F25DC">
        <w:rPr>
          <w:spacing w:val="-12"/>
        </w:rPr>
        <w:t xml:space="preserve"> </w:t>
      </w:r>
      <w:r w:rsidRPr="000F25DC">
        <w:t>and</w:t>
      </w:r>
      <w:r w:rsidRPr="000F25DC">
        <w:rPr>
          <w:spacing w:val="-11"/>
        </w:rPr>
        <w:t xml:space="preserve"> </w:t>
      </w:r>
      <w:r w:rsidRPr="000F25DC">
        <w:t>efficiency. Please</w:t>
      </w:r>
      <w:r w:rsidRPr="000F25DC">
        <w:rPr>
          <w:spacing w:val="-8"/>
        </w:rPr>
        <w:t xml:space="preserve"> </w:t>
      </w:r>
      <w:r w:rsidRPr="000F25DC">
        <w:t>provide</w:t>
      </w:r>
      <w:r w:rsidRPr="000F25DC">
        <w:rPr>
          <w:spacing w:val="-8"/>
        </w:rPr>
        <w:t xml:space="preserve"> </w:t>
      </w:r>
      <w:r w:rsidRPr="000F25DC">
        <w:t>the</w:t>
      </w:r>
      <w:r w:rsidRPr="000F25DC">
        <w:rPr>
          <w:spacing w:val="-8"/>
        </w:rPr>
        <w:t xml:space="preserve"> </w:t>
      </w:r>
      <w:r w:rsidRPr="000F25DC">
        <w:t>data</w:t>
      </w:r>
      <w:r w:rsidRPr="000F25DC">
        <w:rPr>
          <w:spacing w:val="-10"/>
        </w:rPr>
        <w:t xml:space="preserve"> </w:t>
      </w:r>
      <w:r w:rsidRPr="000F25DC">
        <w:t>source</w:t>
      </w:r>
      <w:r w:rsidRPr="000F25DC">
        <w:rPr>
          <w:spacing w:val="-8"/>
        </w:rPr>
        <w:t xml:space="preserve"> </w:t>
      </w:r>
      <w:r w:rsidRPr="000F25DC">
        <w:t>and/or</w:t>
      </w:r>
      <w:r w:rsidRPr="000F25DC">
        <w:rPr>
          <w:spacing w:val="-6"/>
        </w:rPr>
        <w:t xml:space="preserve"> </w:t>
      </w:r>
      <w:r w:rsidRPr="000F25DC">
        <w:t>methodology</w:t>
      </w:r>
      <w:r w:rsidRPr="000F25DC">
        <w:rPr>
          <w:spacing w:val="-8"/>
        </w:rPr>
        <w:t xml:space="preserve"> </w:t>
      </w:r>
      <w:r w:rsidRPr="000F25DC">
        <w:t>behind</w:t>
      </w:r>
      <w:r w:rsidRPr="000F25DC">
        <w:rPr>
          <w:spacing w:val="-7"/>
        </w:rPr>
        <w:t xml:space="preserve"> </w:t>
      </w:r>
      <w:r w:rsidRPr="000F25DC">
        <w:t>how</w:t>
      </w:r>
      <w:r w:rsidRPr="000F25DC">
        <w:rPr>
          <w:spacing w:val="-6"/>
        </w:rPr>
        <w:t xml:space="preserve"> </w:t>
      </w:r>
      <w:r w:rsidRPr="000F25DC">
        <w:t>each</w:t>
      </w:r>
      <w:r w:rsidRPr="000F25DC">
        <w:rPr>
          <w:spacing w:val="-7"/>
        </w:rPr>
        <w:t xml:space="preserve"> </w:t>
      </w:r>
      <w:r w:rsidRPr="000F25DC">
        <w:t>statistic</w:t>
      </w:r>
      <w:r w:rsidRPr="000F25DC">
        <w:rPr>
          <w:spacing w:val="-7"/>
        </w:rPr>
        <w:t xml:space="preserve"> </w:t>
      </w:r>
      <w:r w:rsidRPr="000F25DC">
        <w:t>or</w:t>
      </w:r>
      <w:r w:rsidRPr="000F25DC">
        <w:rPr>
          <w:spacing w:val="-9"/>
        </w:rPr>
        <w:t xml:space="preserve"> </w:t>
      </w:r>
      <w:r w:rsidRPr="000F25DC">
        <w:t>performance measure was determined. If you do not track measures of effectiveness for a given division, department, or program, please explain why.</w:t>
      </w:r>
    </w:p>
    <w:p w14:paraId="620D7413" w14:textId="77777777" w:rsidR="006420CB" w:rsidRDefault="006420CB" w:rsidP="006470AE">
      <w:pPr>
        <w:pStyle w:val="BodyText"/>
      </w:pPr>
      <w:r w:rsidRPr="000F25DC">
        <w:t xml:space="preserve">The </w:t>
      </w:r>
      <w:r>
        <w:t xml:space="preserve">work of the </w:t>
      </w:r>
      <w:r w:rsidRPr="000F25DC">
        <w:t>WOTC unit is production</w:t>
      </w:r>
      <w:r>
        <w:t xml:space="preserve"> </w:t>
      </w:r>
      <w:r w:rsidRPr="000F25DC">
        <w:t xml:space="preserve">based with performance goals for processing and accuracy. The service level standard is to issue first decisions to customers within 40 days. </w:t>
      </w:r>
      <w:r>
        <w:t>TWC</w:t>
      </w:r>
      <w:r w:rsidRPr="000F25DC">
        <w:t xml:space="preserve"> also track</w:t>
      </w:r>
      <w:r>
        <w:t>s</w:t>
      </w:r>
      <w:r w:rsidRPr="000F25DC">
        <w:t xml:space="preserve"> the average turn-around time for processing to help track backlog numbers and develop plans for backlog reduction when necessary.</w:t>
      </w:r>
    </w:p>
    <w:p w14:paraId="408D6E5F" w14:textId="77777777" w:rsidR="006420CB" w:rsidRDefault="006420CB" w:rsidP="006470AE">
      <w:pPr>
        <w:pStyle w:val="BodyText"/>
      </w:pPr>
      <w:r w:rsidRPr="000F25DC">
        <w:t xml:space="preserve">The </w:t>
      </w:r>
      <w:r>
        <w:t>chart</w:t>
      </w:r>
      <w:r w:rsidRPr="000F25DC">
        <w:t xml:space="preserve"> below shows </w:t>
      </w:r>
      <w:r>
        <w:t xml:space="preserve">production </w:t>
      </w:r>
      <w:r w:rsidRPr="000F25DC">
        <w:t>statistics over the last five federal program years (</w:t>
      </w:r>
      <w:r>
        <w:t xml:space="preserve">October </w:t>
      </w:r>
      <w:r w:rsidRPr="000F25DC">
        <w:t xml:space="preserve">2019 to </w:t>
      </w:r>
      <w:r>
        <w:t xml:space="preserve">June </w:t>
      </w:r>
      <w:r w:rsidRPr="000F25DC">
        <w:t>2025)</w:t>
      </w:r>
      <w:r>
        <w:t xml:space="preserve"> for TWC’s WOTC unit</w:t>
      </w:r>
      <w:r w:rsidRPr="000F25DC">
        <w:t>.</w:t>
      </w:r>
    </w:p>
    <w:tbl>
      <w:tblPr>
        <w:tblStyle w:val="TableGrid1"/>
        <w:tblW w:w="9475" w:type="dxa"/>
        <w:tblCellMar>
          <w:top w:w="58" w:type="dxa"/>
          <w:bottom w:w="58" w:type="dxa"/>
        </w:tblCellMar>
        <w:tblLook w:val="04A0" w:firstRow="1" w:lastRow="0" w:firstColumn="1" w:lastColumn="0" w:noHBand="0" w:noVBand="1"/>
      </w:tblPr>
      <w:tblGrid>
        <w:gridCol w:w="1331"/>
        <w:gridCol w:w="1029"/>
        <w:gridCol w:w="1345"/>
        <w:gridCol w:w="1163"/>
        <w:gridCol w:w="983"/>
        <w:gridCol w:w="1577"/>
        <w:gridCol w:w="2047"/>
      </w:tblGrid>
      <w:tr w:rsidR="006420CB" w:rsidRPr="000F25DC" w14:paraId="61A318E6" w14:textId="77777777" w:rsidTr="006740A5">
        <w:trPr>
          <w:trHeight w:val="300"/>
          <w:tblHeader/>
        </w:trPr>
        <w:tc>
          <w:tcPr>
            <w:tcW w:w="1331" w:type="dxa"/>
            <w:shd w:val="clear" w:color="auto" w:fill="B8CCE4" w:themeFill="accent1" w:themeFillTint="66"/>
            <w:vAlign w:val="center"/>
            <w:hideMark/>
          </w:tcPr>
          <w:p w14:paraId="21D328C3" w14:textId="77777777" w:rsidR="006420CB" w:rsidRPr="000F25DC" w:rsidRDefault="006420CB" w:rsidP="006470AE">
            <w:pPr>
              <w:pStyle w:val="TableHeaders"/>
              <w:rPr>
                <w:rFonts w:ascii="Segoe UI" w:hAnsi="Segoe UI"/>
                <w:szCs w:val="18"/>
              </w:rPr>
            </w:pPr>
            <w:r w:rsidRPr="000F25DC">
              <w:t>Program Fiscal Year</w:t>
            </w:r>
          </w:p>
          <w:p w14:paraId="3CCF7D3C" w14:textId="77777777" w:rsidR="006420CB" w:rsidRPr="000F25DC" w:rsidRDefault="006420CB" w:rsidP="006470AE">
            <w:pPr>
              <w:pStyle w:val="TableHeaders"/>
              <w:rPr>
                <w:rFonts w:ascii="Segoe UI" w:hAnsi="Segoe UI"/>
                <w:szCs w:val="18"/>
              </w:rPr>
            </w:pPr>
            <w:r w:rsidRPr="000F25DC">
              <w:t>(Oct – Sep)</w:t>
            </w:r>
          </w:p>
        </w:tc>
        <w:tc>
          <w:tcPr>
            <w:tcW w:w="1029" w:type="dxa"/>
            <w:shd w:val="clear" w:color="auto" w:fill="B8CCE4" w:themeFill="accent1" w:themeFillTint="66"/>
            <w:vAlign w:val="center"/>
            <w:hideMark/>
          </w:tcPr>
          <w:p w14:paraId="7F0429B4" w14:textId="77777777" w:rsidR="006420CB" w:rsidRPr="000F25DC" w:rsidRDefault="006420CB" w:rsidP="006470AE">
            <w:pPr>
              <w:pStyle w:val="TableHeaders"/>
              <w:rPr>
                <w:rFonts w:ascii="Segoe UI" w:hAnsi="Segoe UI"/>
                <w:szCs w:val="18"/>
              </w:rPr>
            </w:pPr>
            <w:r w:rsidRPr="000F25DC">
              <w:t>Receipts</w:t>
            </w:r>
          </w:p>
        </w:tc>
        <w:tc>
          <w:tcPr>
            <w:tcW w:w="1345" w:type="dxa"/>
            <w:shd w:val="clear" w:color="auto" w:fill="B8CCE4" w:themeFill="accent1" w:themeFillTint="66"/>
            <w:vAlign w:val="center"/>
            <w:hideMark/>
          </w:tcPr>
          <w:p w14:paraId="5DC0E675" w14:textId="77777777" w:rsidR="006420CB" w:rsidRPr="000F25DC" w:rsidRDefault="006420CB" w:rsidP="006470AE">
            <w:pPr>
              <w:pStyle w:val="TableHeaders"/>
              <w:rPr>
                <w:rFonts w:ascii="Segoe UI" w:hAnsi="Segoe UI"/>
                <w:szCs w:val="18"/>
              </w:rPr>
            </w:pPr>
            <w:r w:rsidRPr="000F25DC">
              <w:t>Certificates</w:t>
            </w:r>
          </w:p>
        </w:tc>
        <w:tc>
          <w:tcPr>
            <w:tcW w:w="1163" w:type="dxa"/>
            <w:shd w:val="clear" w:color="auto" w:fill="B8CCE4" w:themeFill="accent1" w:themeFillTint="66"/>
            <w:vAlign w:val="center"/>
            <w:hideMark/>
          </w:tcPr>
          <w:p w14:paraId="4C561150" w14:textId="77777777" w:rsidR="006420CB" w:rsidRPr="000F25DC" w:rsidRDefault="006420CB" w:rsidP="006470AE">
            <w:pPr>
              <w:pStyle w:val="TableHeaders"/>
              <w:rPr>
                <w:rFonts w:ascii="Segoe UI" w:hAnsi="Segoe UI"/>
                <w:szCs w:val="18"/>
              </w:rPr>
            </w:pPr>
            <w:r w:rsidRPr="000F25DC">
              <w:t>Denials**</w:t>
            </w:r>
          </w:p>
        </w:tc>
        <w:tc>
          <w:tcPr>
            <w:tcW w:w="983" w:type="dxa"/>
            <w:shd w:val="clear" w:color="auto" w:fill="B8CCE4" w:themeFill="accent1" w:themeFillTint="66"/>
            <w:vAlign w:val="center"/>
            <w:hideMark/>
          </w:tcPr>
          <w:p w14:paraId="1CE2F8BD" w14:textId="77777777" w:rsidR="006420CB" w:rsidRPr="000F25DC" w:rsidRDefault="006420CB" w:rsidP="006470AE">
            <w:pPr>
              <w:pStyle w:val="TableHeaders"/>
              <w:rPr>
                <w:rFonts w:ascii="Segoe UI" w:hAnsi="Segoe UI"/>
                <w:szCs w:val="18"/>
              </w:rPr>
            </w:pPr>
            <w:r w:rsidRPr="000F25DC">
              <w:t>Error Rate***</w:t>
            </w:r>
          </w:p>
        </w:tc>
        <w:tc>
          <w:tcPr>
            <w:tcW w:w="1577" w:type="dxa"/>
            <w:shd w:val="clear" w:color="auto" w:fill="B8CCE4" w:themeFill="accent1" w:themeFillTint="66"/>
            <w:vAlign w:val="center"/>
            <w:hideMark/>
          </w:tcPr>
          <w:p w14:paraId="4A6D39DC" w14:textId="77777777" w:rsidR="006420CB" w:rsidRPr="000F25DC" w:rsidRDefault="006420CB" w:rsidP="006470AE">
            <w:pPr>
              <w:pStyle w:val="TableHeaders"/>
              <w:rPr>
                <w:rFonts w:ascii="Segoe UI" w:hAnsi="Segoe UI"/>
                <w:szCs w:val="18"/>
              </w:rPr>
            </w:pPr>
            <w:r w:rsidRPr="000F25DC">
              <w:t>% of first determinations in 40 days****</w:t>
            </w:r>
          </w:p>
        </w:tc>
        <w:tc>
          <w:tcPr>
            <w:tcW w:w="2047" w:type="dxa"/>
            <w:shd w:val="clear" w:color="auto" w:fill="B8CCE4" w:themeFill="accent1" w:themeFillTint="66"/>
            <w:vAlign w:val="center"/>
            <w:hideMark/>
          </w:tcPr>
          <w:p w14:paraId="5B518689" w14:textId="77777777" w:rsidR="006420CB" w:rsidRPr="000F25DC" w:rsidRDefault="006420CB" w:rsidP="006470AE">
            <w:pPr>
              <w:pStyle w:val="TableHeaders"/>
              <w:rPr>
                <w:rFonts w:ascii="Segoe UI" w:hAnsi="Segoe UI"/>
                <w:szCs w:val="18"/>
              </w:rPr>
            </w:pPr>
            <w:r w:rsidRPr="000F25DC">
              <w:t>Value of Tax Credits</w:t>
            </w:r>
          </w:p>
        </w:tc>
      </w:tr>
      <w:tr w:rsidR="006420CB" w:rsidRPr="000F25DC" w14:paraId="08FE8478" w14:textId="77777777" w:rsidTr="006740A5">
        <w:trPr>
          <w:trHeight w:val="300"/>
        </w:trPr>
        <w:tc>
          <w:tcPr>
            <w:tcW w:w="1331" w:type="dxa"/>
            <w:vAlign w:val="center"/>
            <w:hideMark/>
          </w:tcPr>
          <w:p w14:paraId="48FF154F" w14:textId="77777777" w:rsidR="006420CB" w:rsidRPr="000F25DC" w:rsidRDefault="006420CB" w:rsidP="006470AE">
            <w:pPr>
              <w:pStyle w:val="TableText"/>
              <w:rPr>
                <w:rFonts w:ascii="Segoe UI" w:hAnsi="Segoe UI"/>
                <w:szCs w:val="18"/>
              </w:rPr>
            </w:pPr>
            <w:r w:rsidRPr="000F25DC">
              <w:t>2020</w:t>
            </w:r>
          </w:p>
        </w:tc>
        <w:tc>
          <w:tcPr>
            <w:tcW w:w="1029" w:type="dxa"/>
            <w:vAlign w:val="center"/>
            <w:hideMark/>
          </w:tcPr>
          <w:p w14:paraId="7CE144CC" w14:textId="77777777" w:rsidR="006420CB" w:rsidRPr="000F25DC" w:rsidRDefault="006420CB" w:rsidP="006470AE">
            <w:pPr>
              <w:pStyle w:val="TableText"/>
              <w:jc w:val="right"/>
              <w:rPr>
                <w:rFonts w:ascii="Segoe UI" w:hAnsi="Segoe UI"/>
                <w:szCs w:val="18"/>
              </w:rPr>
            </w:pPr>
            <w:r w:rsidRPr="000F25DC">
              <w:t>527,033</w:t>
            </w:r>
          </w:p>
        </w:tc>
        <w:tc>
          <w:tcPr>
            <w:tcW w:w="1345" w:type="dxa"/>
            <w:vAlign w:val="center"/>
            <w:hideMark/>
          </w:tcPr>
          <w:p w14:paraId="691942CA" w14:textId="77777777" w:rsidR="006420CB" w:rsidRPr="000F25DC" w:rsidRDefault="006420CB" w:rsidP="006470AE">
            <w:pPr>
              <w:pStyle w:val="TableText"/>
              <w:jc w:val="right"/>
              <w:rPr>
                <w:rFonts w:ascii="Segoe UI" w:hAnsi="Segoe UI"/>
                <w:szCs w:val="18"/>
              </w:rPr>
            </w:pPr>
            <w:r w:rsidRPr="000F25DC">
              <w:t>128,164</w:t>
            </w:r>
          </w:p>
        </w:tc>
        <w:tc>
          <w:tcPr>
            <w:tcW w:w="1163" w:type="dxa"/>
            <w:vAlign w:val="center"/>
            <w:hideMark/>
          </w:tcPr>
          <w:p w14:paraId="092422D1" w14:textId="77777777" w:rsidR="006420CB" w:rsidRPr="000F25DC" w:rsidRDefault="006420CB" w:rsidP="006470AE">
            <w:pPr>
              <w:pStyle w:val="TableText"/>
              <w:jc w:val="right"/>
              <w:rPr>
                <w:rFonts w:ascii="Segoe UI" w:hAnsi="Segoe UI"/>
                <w:szCs w:val="18"/>
              </w:rPr>
            </w:pPr>
            <w:r w:rsidRPr="000F25DC">
              <w:t>361,310</w:t>
            </w:r>
          </w:p>
        </w:tc>
        <w:tc>
          <w:tcPr>
            <w:tcW w:w="983" w:type="dxa"/>
            <w:vAlign w:val="center"/>
            <w:hideMark/>
          </w:tcPr>
          <w:p w14:paraId="4A5860D3" w14:textId="77777777" w:rsidR="006420CB" w:rsidRPr="000F25DC" w:rsidRDefault="006420CB" w:rsidP="006470AE">
            <w:pPr>
              <w:pStyle w:val="TableText"/>
              <w:jc w:val="right"/>
              <w:rPr>
                <w:rFonts w:ascii="Segoe UI" w:hAnsi="Segoe UI"/>
                <w:szCs w:val="18"/>
              </w:rPr>
            </w:pPr>
            <w:r>
              <w:t>n/a</w:t>
            </w:r>
          </w:p>
        </w:tc>
        <w:tc>
          <w:tcPr>
            <w:tcW w:w="1577" w:type="dxa"/>
            <w:vAlign w:val="center"/>
            <w:hideMark/>
          </w:tcPr>
          <w:p w14:paraId="3B8761A2" w14:textId="77777777" w:rsidR="006420CB" w:rsidRPr="000F25DC" w:rsidRDefault="006420CB" w:rsidP="006470AE">
            <w:pPr>
              <w:pStyle w:val="TableText"/>
              <w:jc w:val="right"/>
              <w:rPr>
                <w:rFonts w:ascii="Segoe UI" w:hAnsi="Segoe UI"/>
                <w:szCs w:val="18"/>
              </w:rPr>
            </w:pPr>
            <w:r w:rsidRPr="000F25DC">
              <w:t>97.37% </w:t>
            </w:r>
          </w:p>
        </w:tc>
        <w:tc>
          <w:tcPr>
            <w:tcW w:w="2047" w:type="dxa"/>
            <w:vAlign w:val="center"/>
            <w:hideMark/>
          </w:tcPr>
          <w:p w14:paraId="53B95BAB" w14:textId="77777777" w:rsidR="006420CB" w:rsidRPr="000F25DC" w:rsidRDefault="006420CB" w:rsidP="006470AE">
            <w:pPr>
              <w:pStyle w:val="TableText"/>
              <w:jc w:val="right"/>
              <w:rPr>
                <w:rFonts w:ascii="Segoe UI" w:hAnsi="Segoe UI"/>
                <w:szCs w:val="18"/>
              </w:rPr>
            </w:pPr>
            <w:r w:rsidRPr="000F25DC">
              <w:t>$339,784,200.00</w:t>
            </w:r>
          </w:p>
        </w:tc>
      </w:tr>
      <w:tr w:rsidR="006420CB" w:rsidRPr="000F25DC" w14:paraId="38260197" w14:textId="77777777" w:rsidTr="006740A5">
        <w:trPr>
          <w:trHeight w:val="300"/>
        </w:trPr>
        <w:tc>
          <w:tcPr>
            <w:tcW w:w="1331" w:type="dxa"/>
            <w:vAlign w:val="center"/>
            <w:hideMark/>
          </w:tcPr>
          <w:p w14:paraId="272C9ECD" w14:textId="77777777" w:rsidR="006420CB" w:rsidRPr="000F25DC" w:rsidRDefault="006420CB" w:rsidP="006470AE">
            <w:pPr>
              <w:pStyle w:val="TableText"/>
              <w:rPr>
                <w:rFonts w:ascii="Segoe UI" w:hAnsi="Segoe UI"/>
                <w:szCs w:val="18"/>
              </w:rPr>
            </w:pPr>
            <w:r w:rsidRPr="000F25DC">
              <w:lastRenderedPageBreak/>
              <w:t>2021</w:t>
            </w:r>
          </w:p>
        </w:tc>
        <w:tc>
          <w:tcPr>
            <w:tcW w:w="1029" w:type="dxa"/>
            <w:vAlign w:val="center"/>
            <w:hideMark/>
          </w:tcPr>
          <w:p w14:paraId="75D4E294" w14:textId="77777777" w:rsidR="006420CB" w:rsidRPr="000F25DC" w:rsidRDefault="006420CB" w:rsidP="006470AE">
            <w:pPr>
              <w:pStyle w:val="TableText"/>
              <w:jc w:val="right"/>
              <w:rPr>
                <w:rFonts w:ascii="Segoe UI" w:hAnsi="Segoe UI"/>
                <w:szCs w:val="18"/>
              </w:rPr>
            </w:pPr>
            <w:r w:rsidRPr="000F25DC">
              <w:t>709,693</w:t>
            </w:r>
          </w:p>
        </w:tc>
        <w:tc>
          <w:tcPr>
            <w:tcW w:w="1345" w:type="dxa"/>
            <w:vAlign w:val="center"/>
            <w:hideMark/>
          </w:tcPr>
          <w:p w14:paraId="03054C3E" w14:textId="77777777" w:rsidR="006420CB" w:rsidRPr="000F25DC" w:rsidRDefault="006420CB" w:rsidP="006470AE">
            <w:pPr>
              <w:pStyle w:val="TableText"/>
              <w:jc w:val="right"/>
              <w:rPr>
                <w:rFonts w:ascii="Segoe UI" w:hAnsi="Segoe UI"/>
                <w:szCs w:val="18"/>
              </w:rPr>
            </w:pPr>
            <w:r w:rsidRPr="000F25DC">
              <w:t>192,417</w:t>
            </w:r>
          </w:p>
        </w:tc>
        <w:tc>
          <w:tcPr>
            <w:tcW w:w="1163" w:type="dxa"/>
            <w:vAlign w:val="center"/>
            <w:hideMark/>
          </w:tcPr>
          <w:p w14:paraId="7D4A9F64" w14:textId="77777777" w:rsidR="006420CB" w:rsidRPr="000F25DC" w:rsidRDefault="006420CB" w:rsidP="006470AE">
            <w:pPr>
              <w:pStyle w:val="TableText"/>
              <w:jc w:val="right"/>
              <w:rPr>
                <w:rFonts w:ascii="Segoe UI" w:hAnsi="Segoe UI"/>
                <w:szCs w:val="18"/>
              </w:rPr>
            </w:pPr>
            <w:r w:rsidRPr="000F25DC">
              <w:t>458,514</w:t>
            </w:r>
          </w:p>
        </w:tc>
        <w:tc>
          <w:tcPr>
            <w:tcW w:w="983" w:type="dxa"/>
            <w:vAlign w:val="center"/>
            <w:hideMark/>
          </w:tcPr>
          <w:p w14:paraId="32D1BA5D" w14:textId="77777777" w:rsidR="006420CB" w:rsidRPr="000F25DC" w:rsidRDefault="006420CB" w:rsidP="006470AE">
            <w:pPr>
              <w:pStyle w:val="TableText"/>
              <w:jc w:val="right"/>
              <w:rPr>
                <w:rFonts w:ascii="Segoe UI" w:hAnsi="Segoe UI"/>
                <w:szCs w:val="18"/>
              </w:rPr>
            </w:pPr>
            <w:r w:rsidRPr="000F25DC">
              <w:t>1.14%</w:t>
            </w:r>
          </w:p>
        </w:tc>
        <w:tc>
          <w:tcPr>
            <w:tcW w:w="1577" w:type="dxa"/>
            <w:vAlign w:val="center"/>
            <w:hideMark/>
          </w:tcPr>
          <w:p w14:paraId="32E75615" w14:textId="77777777" w:rsidR="006420CB" w:rsidRPr="000F25DC" w:rsidRDefault="006420CB" w:rsidP="006470AE">
            <w:pPr>
              <w:pStyle w:val="TableText"/>
              <w:jc w:val="right"/>
              <w:rPr>
                <w:rFonts w:ascii="Segoe UI" w:hAnsi="Segoe UI"/>
                <w:szCs w:val="18"/>
              </w:rPr>
            </w:pPr>
            <w:r w:rsidRPr="000F25DC">
              <w:t>97.01% </w:t>
            </w:r>
          </w:p>
        </w:tc>
        <w:tc>
          <w:tcPr>
            <w:tcW w:w="2047" w:type="dxa"/>
            <w:vAlign w:val="center"/>
            <w:hideMark/>
          </w:tcPr>
          <w:p w14:paraId="6FDE245D" w14:textId="77777777" w:rsidR="006420CB" w:rsidRPr="000F25DC" w:rsidRDefault="006420CB" w:rsidP="006470AE">
            <w:pPr>
              <w:pStyle w:val="TableText"/>
              <w:jc w:val="right"/>
              <w:rPr>
                <w:rFonts w:ascii="Segoe UI" w:hAnsi="Segoe UI"/>
                <w:szCs w:val="18"/>
              </w:rPr>
            </w:pPr>
            <w:r w:rsidRPr="000F25DC">
              <w:t>$522,590,400.00</w:t>
            </w:r>
          </w:p>
        </w:tc>
      </w:tr>
      <w:tr w:rsidR="006420CB" w:rsidRPr="000F25DC" w14:paraId="16B8B1EF" w14:textId="77777777" w:rsidTr="006740A5">
        <w:trPr>
          <w:trHeight w:val="300"/>
        </w:trPr>
        <w:tc>
          <w:tcPr>
            <w:tcW w:w="1331" w:type="dxa"/>
            <w:vAlign w:val="center"/>
            <w:hideMark/>
          </w:tcPr>
          <w:p w14:paraId="2517D6CC" w14:textId="77777777" w:rsidR="006420CB" w:rsidRPr="000F25DC" w:rsidRDefault="006420CB" w:rsidP="006470AE">
            <w:pPr>
              <w:pStyle w:val="TableText"/>
              <w:rPr>
                <w:rFonts w:ascii="Segoe UI" w:hAnsi="Segoe UI"/>
                <w:szCs w:val="18"/>
              </w:rPr>
            </w:pPr>
            <w:r w:rsidRPr="000F25DC">
              <w:t>2022 </w:t>
            </w:r>
          </w:p>
        </w:tc>
        <w:tc>
          <w:tcPr>
            <w:tcW w:w="1029" w:type="dxa"/>
            <w:vAlign w:val="center"/>
            <w:hideMark/>
          </w:tcPr>
          <w:p w14:paraId="1E981AE4" w14:textId="77777777" w:rsidR="006420CB" w:rsidRPr="000F25DC" w:rsidRDefault="006420CB" w:rsidP="006470AE">
            <w:pPr>
              <w:pStyle w:val="TableText"/>
              <w:jc w:val="right"/>
              <w:rPr>
                <w:rFonts w:ascii="Segoe UI" w:hAnsi="Segoe UI"/>
                <w:szCs w:val="18"/>
              </w:rPr>
            </w:pPr>
            <w:r w:rsidRPr="000F25DC">
              <w:t>764,110</w:t>
            </w:r>
          </w:p>
        </w:tc>
        <w:tc>
          <w:tcPr>
            <w:tcW w:w="1345" w:type="dxa"/>
            <w:vAlign w:val="center"/>
            <w:hideMark/>
          </w:tcPr>
          <w:p w14:paraId="4C4C5AF1" w14:textId="77777777" w:rsidR="006420CB" w:rsidRPr="000F25DC" w:rsidRDefault="006420CB" w:rsidP="006470AE">
            <w:pPr>
              <w:pStyle w:val="TableText"/>
              <w:jc w:val="right"/>
              <w:rPr>
                <w:rFonts w:ascii="Segoe UI" w:hAnsi="Segoe UI"/>
                <w:szCs w:val="18"/>
              </w:rPr>
            </w:pPr>
            <w:r w:rsidRPr="000F25DC">
              <w:t>185,715</w:t>
            </w:r>
          </w:p>
        </w:tc>
        <w:tc>
          <w:tcPr>
            <w:tcW w:w="1163" w:type="dxa"/>
            <w:vAlign w:val="center"/>
            <w:hideMark/>
          </w:tcPr>
          <w:p w14:paraId="2849BFA5" w14:textId="77777777" w:rsidR="006420CB" w:rsidRPr="000F25DC" w:rsidRDefault="006420CB" w:rsidP="006470AE">
            <w:pPr>
              <w:pStyle w:val="TableText"/>
              <w:jc w:val="right"/>
              <w:rPr>
                <w:rFonts w:ascii="Segoe UI" w:hAnsi="Segoe UI"/>
                <w:szCs w:val="18"/>
              </w:rPr>
            </w:pPr>
            <w:r w:rsidRPr="000F25DC">
              <w:t>561,889</w:t>
            </w:r>
          </w:p>
        </w:tc>
        <w:tc>
          <w:tcPr>
            <w:tcW w:w="983" w:type="dxa"/>
            <w:vAlign w:val="center"/>
            <w:hideMark/>
          </w:tcPr>
          <w:p w14:paraId="3049EC97" w14:textId="77777777" w:rsidR="006420CB" w:rsidRPr="000F25DC" w:rsidRDefault="006420CB" w:rsidP="006470AE">
            <w:pPr>
              <w:pStyle w:val="TableText"/>
              <w:jc w:val="right"/>
              <w:rPr>
                <w:rFonts w:ascii="Segoe UI" w:hAnsi="Segoe UI"/>
                <w:szCs w:val="18"/>
              </w:rPr>
            </w:pPr>
            <w:r w:rsidRPr="000F25DC">
              <w:t>0.46%</w:t>
            </w:r>
          </w:p>
        </w:tc>
        <w:tc>
          <w:tcPr>
            <w:tcW w:w="1577" w:type="dxa"/>
            <w:vAlign w:val="center"/>
            <w:hideMark/>
          </w:tcPr>
          <w:p w14:paraId="1F0639EB" w14:textId="77777777" w:rsidR="006420CB" w:rsidRPr="000F25DC" w:rsidRDefault="006420CB" w:rsidP="006470AE">
            <w:pPr>
              <w:pStyle w:val="TableText"/>
              <w:jc w:val="right"/>
              <w:rPr>
                <w:rFonts w:ascii="Segoe UI" w:hAnsi="Segoe UI"/>
                <w:szCs w:val="18"/>
              </w:rPr>
            </w:pPr>
            <w:r w:rsidRPr="000F25DC">
              <w:t>98.07% </w:t>
            </w:r>
          </w:p>
        </w:tc>
        <w:tc>
          <w:tcPr>
            <w:tcW w:w="2047" w:type="dxa"/>
            <w:vAlign w:val="center"/>
            <w:hideMark/>
          </w:tcPr>
          <w:p w14:paraId="4CE8B6C6" w14:textId="77777777" w:rsidR="006420CB" w:rsidRPr="000F25DC" w:rsidRDefault="006420CB" w:rsidP="006470AE">
            <w:pPr>
              <w:pStyle w:val="TableText"/>
              <w:jc w:val="right"/>
              <w:rPr>
                <w:rFonts w:ascii="Segoe UI" w:hAnsi="Segoe UI"/>
                <w:szCs w:val="18"/>
              </w:rPr>
            </w:pPr>
            <w:r w:rsidRPr="000F25DC">
              <w:t>$475,931,800.00</w:t>
            </w:r>
          </w:p>
        </w:tc>
      </w:tr>
      <w:tr w:rsidR="006420CB" w:rsidRPr="000F25DC" w14:paraId="500B7A7A" w14:textId="77777777" w:rsidTr="006740A5">
        <w:trPr>
          <w:trHeight w:val="300"/>
        </w:trPr>
        <w:tc>
          <w:tcPr>
            <w:tcW w:w="1331" w:type="dxa"/>
            <w:vAlign w:val="center"/>
            <w:hideMark/>
          </w:tcPr>
          <w:p w14:paraId="468ED5CC" w14:textId="77777777" w:rsidR="006420CB" w:rsidRPr="000F25DC" w:rsidRDefault="006420CB" w:rsidP="006470AE">
            <w:pPr>
              <w:pStyle w:val="TableText"/>
              <w:rPr>
                <w:rFonts w:ascii="Segoe UI" w:hAnsi="Segoe UI"/>
                <w:szCs w:val="18"/>
              </w:rPr>
            </w:pPr>
            <w:r w:rsidRPr="000F25DC">
              <w:t>2023 </w:t>
            </w:r>
          </w:p>
        </w:tc>
        <w:tc>
          <w:tcPr>
            <w:tcW w:w="1029" w:type="dxa"/>
            <w:vAlign w:val="center"/>
            <w:hideMark/>
          </w:tcPr>
          <w:p w14:paraId="70ACC0E2" w14:textId="77777777" w:rsidR="006420CB" w:rsidRPr="000F25DC" w:rsidRDefault="006420CB" w:rsidP="006470AE">
            <w:pPr>
              <w:pStyle w:val="TableText"/>
              <w:jc w:val="right"/>
              <w:rPr>
                <w:rFonts w:ascii="Segoe UI" w:hAnsi="Segoe UI"/>
                <w:szCs w:val="18"/>
              </w:rPr>
            </w:pPr>
            <w:r w:rsidRPr="000F25DC">
              <w:t>641,541</w:t>
            </w:r>
          </w:p>
        </w:tc>
        <w:tc>
          <w:tcPr>
            <w:tcW w:w="1345" w:type="dxa"/>
            <w:vAlign w:val="center"/>
            <w:hideMark/>
          </w:tcPr>
          <w:p w14:paraId="2E708CC6" w14:textId="77777777" w:rsidR="006420CB" w:rsidRPr="000F25DC" w:rsidRDefault="006420CB" w:rsidP="006470AE">
            <w:pPr>
              <w:pStyle w:val="TableText"/>
              <w:jc w:val="right"/>
              <w:rPr>
                <w:rFonts w:ascii="Segoe UI" w:hAnsi="Segoe UI"/>
                <w:szCs w:val="18"/>
              </w:rPr>
            </w:pPr>
            <w:r w:rsidRPr="000F25DC">
              <w:t>134,381</w:t>
            </w:r>
          </w:p>
        </w:tc>
        <w:tc>
          <w:tcPr>
            <w:tcW w:w="1163" w:type="dxa"/>
            <w:vAlign w:val="center"/>
            <w:hideMark/>
          </w:tcPr>
          <w:p w14:paraId="2ED54659" w14:textId="77777777" w:rsidR="006420CB" w:rsidRPr="000F25DC" w:rsidRDefault="006420CB" w:rsidP="006470AE">
            <w:pPr>
              <w:pStyle w:val="TableText"/>
              <w:jc w:val="right"/>
              <w:rPr>
                <w:rFonts w:ascii="Segoe UI" w:hAnsi="Segoe UI"/>
                <w:szCs w:val="18"/>
              </w:rPr>
            </w:pPr>
            <w:r w:rsidRPr="000F25DC">
              <w:t>500,747</w:t>
            </w:r>
          </w:p>
        </w:tc>
        <w:tc>
          <w:tcPr>
            <w:tcW w:w="983" w:type="dxa"/>
            <w:vAlign w:val="center"/>
            <w:hideMark/>
          </w:tcPr>
          <w:p w14:paraId="46F88392" w14:textId="77777777" w:rsidR="006420CB" w:rsidRPr="000F25DC" w:rsidRDefault="006420CB" w:rsidP="006470AE">
            <w:pPr>
              <w:pStyle w:val="TableText"/>
              <w:jc w:val="right"/>
              <w:rPr>
                <w:rFonts w:ascii="Segoe UI" w:hAnsi="Segoe UI"/>
                <w:szCs w:val="18"/>
              </w:rPr>
            </w:pPr>
            <w:r w:rsidRPr="000F25DC">
              <w:t>0.46%</w:t>
            </w:r>
          </w:p>
        </w:tc>
        <w:tc>
          <w:tcPr>
            <w:tcW w:w="1577" w:type="dxa"/>
            <w:vAlign w:val="center"/>
            <w:hideMark/>
          </w:tcPr>
          <w:p w14:paraId="46DC5D91" w14:textId="77777777" w:rsidR="006420CB" w:rsidRPr="000F25DC" w:rsidRDefault="006420CB" w:rsidP="006470AE">
            <w:pPr>
              <w:pStyle w:val="TableText"/>
              <w:jc w:val="right"/>
              <w:rPr>
                <w:rFonts w:ascii="Segoe UI" w:hAnsi="Segoe UI"/>
                <w:szCs w:val="18"/>
              </w:rPr>
            </w:pPr>
            <w:r w:rsidRPr="000F25DC">
              <w:t>96.24% </w:t>
            </w:r>
          </w:p>
        </w:tc>
        <w:tc>
          <w:tcPr>
            <w:tcW w:w="2047" w:type="dxa"/>
            <w:vAlign w:val="center"/>
            <w:hideMark/>
          </w:tcPr>
          <w:p w14:paraId="0EFE623D" w14:textId="77777777" w:rsidR="006420CB" w:rsidRPr="000F25DC" w:rsidRDefault="006420CB" w:rsidP="006470AE">
            <w:pPr>
              <w:pStyle w:val="TableText"/>
              <w:jc w:val="right"/>
              <w:rPr>
                <w:rFonts w:ascii="Segoe UI" w:hAnsi="Segoe UI"/>
                <w:szCs w:val="18"/>
              </w:rPr>
            </w:pPr>
            <w:r w:rsidRPr="000F25DC">
              <w:t>$347,022,600.00</w:t>
            </w:r>
          </w:p>
        </w:tc>
      </w:tr>
      <w:tr w:rsidR="006420CB" w:rsidRPr="000F25DC" w14:paraId="506A3299" w14:textId="77777777" w:rsidTr="006740A5">
        <w:trPr>
          <w:trHeight w:val="300"/>
        </w:trPr>
        <w:tc>
          <w:tcPr>
            <w:tcW w:w="1331" w:type="dxa"/>
            <w:vAlign w:val="center"/>
            <w:hideMark/>
          </w:tcPr>
          <w:p w14:paraId="63667CA0" w14:textId="77777777" w:rsidR="006420CB" w:rsidRPr="000F25DC" w:rsidRDefault="006420CB" w:rsidP="006470AE">
            <w:pPr>
              <w:pStyle w:val="TableText"/>
              <w:rPr>
                <w:rFonts w:ascii="Segoe UI" w:hAnsi="Segoe UI"/>
                <w:szCs w:val="18"/>
              </w:rPr>
            </w:pPr>
            <w:r w:rsidRPr="000F25DC">
              <w:t>2024 </w:t>
            </w:r>
          </w:p>
        </w:tc>
        <w:tc>
          <w:tcPr>
            <w:tcW w:w="1029" w:type="dxa"/>
            <w:vAlign w:val="center"/>
            <w:hideMark/>
          </w:tcPr>
          <w:p w14:paraId="6DC7EBF3" w14:textId="77777777" w:rsidR="006420CB" w:rsidRPr="000F25DC" w:rsidRDefault="006420CB" w:rsidP="006470AE">
            <w:pPr>
              <w:pStyle w:val="TableText"/>
              <w:jc w:val="right"/>
              <w:rPr>
                <w:rFonts w:ascii="Segoe UI" w:hAnsi="Segoe UI"/>
                <w:szCs w:val="18"/>
              </w:rPr>
            </w:pPr>
            <w:r w:rsidRPr="000F25DC">
              <w:t>515,244</w:t>
            </w:r>
          </w:p>
        </w:tc>
        <w:tc>
          <w:tcPr>
            <w:tcW w:w="1345" w:type="dxa"/>
            <w:vAlign w:val="center"/>
            <w:hideMark/>
          </w:tcPr>
          <w:p w14:paraId="29B3C3B6" w14:textId="77777777" w:rsidR="006420CB" w:rsidRPr="000F25DC" w:rsidRDefault="006420CB" w:rsidP="006470AE">
            <w:pPr>
              <w:pStyle w:val="TableText"/>
              <w:jc w:val="right"/>
              <w:rPr>
                <w:rFonts w:ascii="Segoe UI" w:hAnsi="Segoe UI"/>
                <w:szCs w:val="18"/>
              </w:rPr>
            </w:pPr>
            <w:r w:rsidRPr="000F25DC">
              <w:t>65,766*</w:t>
            </w:r>
          </w:p>
        </w:tc>
        <w:tc>
          <w:tcPr>
            <w:tcW w:w="1163" w:type="dxa"/>
            <w:vAlign w:val="center"/>
            <w:hideMark/>
          </w:tcPr>
          <w:p w14:paraId="7067EF76" w14:textId="77777777" w:rsidR="006420CB" w:rsidRPr="000F25DC" w:rsidRDefault="006420CB" w:rsidP="006470AE">
            <w:pPr>
              <w:pStyle w:val="TableText"/>
              <w:jc w:val="right"/>
              <w:rPr>
                <w:rFonts w:ascii="Segoe UI" w:hAnsi="Segoe UI"/>
                <w:szCs w:val="18"/>
              </w:rPr>
            </w:pPr>
            <w:r w:rsidRPr="000F25DC">
              <w:t>353,391</w:t>
            </w:r>
          </w:p>
        </w:tc>
        <w:tc>
          <w:tcPr>
            <w:tcW w:w="983" w:type="dxa"/>
            <w:vAlign w:val="center"/>
            <w:hideMark/>
          </w:tcPr>
          <w:p w14:paraId="5E5A739B" w14:textId="77777777" w:rsidR="006420CB" w:rsidRPr="000F25DC" w:rsidRDefault="006420CB" w:rsidP="006470AE">
            <w:pPr>
              <w:pStyle w:val="TableText"/>
              <w:jc w:val="right"/>
              <w:rPr>
                <w:rFonts w:ascii="Segoe UI" w:hAnsi="Segoe UI"/>
                <w:szCs w:val="18"/>
              </w:rPr>
            </w:pPr>
            <w:r w:rsidRPr="000F25DC">
              <w:t>0.35%</w:t>
            </w:r>
          </w:p>
        </w:tc>
        <w:tc>
          <w:tcPr>
            <w:tcW w:w="1577" w:type="dxa"/>
            <w:vAlign w:val="center"/>
            <w:hideMark/>
          </w:tcPr>
          <w:p w14:paraId="4F11F752" w14:textId="77777777" w:rsidR="006420CB" w:rsidRPr="000F25DC" w:rsidRDefault="006420CB" w:rsidP="006470AE">
            <w:pPr>
              <w:pStyle w:val="TableText"/>
              <w:jc w:val="right"/>
              <w:rPr>
                <w:rFonts w:ascii="Segoe UI" w:hAnsi="Segoe UI"/>
                <w:szCs w:val="18"/>
              </w:rPr>
            </w:pPr>
            <w:r w:rsidRPr="000F25DC">
              <w:t>64.63% </w:t>
            </w:r>
          </w:p>
        </w:tc>
        <w:tc>
          <w:tcPr>
            <w:tcW w:w="2047" w:type="dxa"/>
            <w:vAlign w:val="center"/>
            <w:hideMark/>
          </w:tcPr>
          <w:p w14:paraId="7F49E1D9" w14:textId="77777777" w:rsidR="006420CB" w:rsidRPr="000F25DC" w:rsidRDefault="006420CB" w:rsidP="006470AE">
            <w:pPr>
              <w:pStyle w:val="TableText"/>
              <w:jc w:val="right"/>
              <w:rPr>
                <w:rFonts w:ascii="Segoe UI" w:hAnsi="Segoe UI"/>
                <w:szCs w:val="18"/>
              </w:rPr>
            </w:pPr>
            <w:r w:rsidRPr="000F25DC">
              <w:t>$163,977,600.00</w:t>
            </w:r>
          </w:p>
        </w:tc>
      </w:tr>
      <w:tr w:rsidR="006420CB" w:rsidRPr="000F25DC" w14:paraId="6505A6A7" w14:textId="77777777" w:rsidTr="006740A5">
        <w:trPr>
          <w:trHeight w:val="480"/>
        </w:trPr>
        <w:tc>
          <w:tcPr>
            <w:tcW w:w="1331" w:type="dxa"/>
            <w:vAlign w:val="center"/>
            <w:hideMark/>
          </w:tcPr>
          <w:p w14:paraId="1523FFA9" w14:textId="77777777" w:rsidR="006420CB" w:rsidRPr="000F25DC" w:rsidRDefault="006420CB" w:rsidP="006470AE">
            <w:pPr>
              <w:pStyle w:val="TableText"/>
              <w:rPr>
                <w:rFonts w:ascii="Segoe UI" w:hAnsi="Segoe UI"/>
                <w:szCs w:val="18"/>
              </w:rPr>
            </w:pPr>
            <w:r w:rsidRPr="000F25DC">
              <w:t xml:space="preserve">2025 through </w:t>
            </w:r>
            <w:r>
              <w:t>June</w:t>
            </w:r>
            <w:r w:rsidRPr="000F25DC">
              <w:t> </w:t>
            </w:r>
          </w:p>
        </w:tc>
        <w:tc>
          <w:tcPr>
            <w:tcW w:w="1029" w:type="dxa"/>
            <w:vAlign w:val="center"/>
            <w:hideMark/>
          </w:tcPr>
          <w:p w14:paraId="2113B556" w14:textId="77777777" w:rsidR="006420CB" w:rsidRPr="000F25DC" w:rsidRDefault="006420CB" w:rsidP="006470AE">
            <w:pPr>
              <w:pStyle w:val="TableText"/>
              <w:jc w:val="right"/>
              <w:rPr>
                <w:rFonts w:ascii="Segoe UI" w:hAnsi="Segoe UI"/>
                <w:szCs w:val="18"/>
              </w:rPr>
            </w:pPr>
            <w:r w:rsidRPr="000F25DC">
              <w:t>416,033</w:t>
            </w:r>
          </w:p>
        </w:tc>
        <w:tc>
          <w:tcPr>
            <w:tcW w:w="1345" w:type="dxa"/>
            <w:vAlign w:val="center"/>
            <w:hideMark/>
          </w:tcPr>
          <w:p w14:paraId="0C206DE6" w14:textId="77777777" w:rsidR="006420CB" w:rsidRPr="000F25DC" w:rsidRDefault="006420CB" w:rsidP="006470AE">
            <w:pPr>
              <w:pStyle w:val="TableText"/>
              <w:jc w:val="right"/>
              <w:rPr>
                <w:rFonts w:ascii="Segoe UI" w:hAnsi="Segoe UI"/>
                <w:szCs w:val="18"/>
              </w:rPr>
            </w:pPr>
            <w:r w:rsidRPr="000F25DC">
              <w:t>86,866</w:t>
            </w:r>
          </w:p>
        </w:tc>
        <w:tc>
          <w:tcPr>
            <w:tcW w:w="1163" w:type="dxa"/>
            <w:vAlign w:val="center"/>
            <w:hideMark/>
          </w:tcPr>
          <w:p w14:paraId="5324D93C" w14:textId="77777777" w:rsidR="006420CB" w:rsidRPr="000F25DC" w:rsidRDefault="006420CB" w:rsidP="006470AE">
            <w:pPr>
              <w:pStyle w:val="TableText"/>
              <w:jc w:val="right"/>
              <w:rPr>
                <w:rFonts w:ascii="Segoe UI" w:hAnsi="Segoe UI"/>
                <w:szCs w:val="18"/>
              </w:rPr>
            </w:pPr>
            <w:r w:rsidRPr="000F25DC">
              <w:t>398,391</w:t>
            </w:r>
          </w:p>
        </w:tc>
        <w:tc>
          <w:tcPr>
            <w:tcW w:w="983" w:type="dxa"/>
            <w:vAlign w:val="center"/>
            <w:hideMark/>
          </w:tcPr>
          <w:p w14:paraId="47AEB3FB" w14:textId="77777777" w:rsidR="006420CB" w:rsidRPr="000F25DC" w:rsidRDefault="006420CB" w:rsidP="006470AE">
            <w:pPr>
              <w:pStyle w:val="TableText"/>
              <w:jc w:val="right"/>
              <w:rPr>
                <w:rFonts w:ascii="Segoe UI" w:hAnsi="Segoe UI"/>
                <w:szCs w:val="18"/>
              </w:rPr>
            </w:pPr>
            <w:r w:rsidRPr="000F25DC">
              <w:t>1.70%</w:t>
            </w:r>
          </w:p>
        </w:tc>
        <w:tc>
          <w:tcPr>
            <w:tcW w:w="1577" w:type="dxa"/>
            <w:vAlign w:val="center"/>
            <w:hideMark/>
          </w:tcPr>
          <w:p w14:paraId="143B6E37" w14:textId="77777777" w:rsidR="006420CB" w:rsidRPr="000F25DC" w:rsidRDefault="006420CB" w:rsidP="006470AE">
            <w:pPr>
              <w:pStyle w:val="TableText"/>
              <w:jc w:val="right"/>
              <w:rPr>
                <w:rFonts w:ascii="Segoe UI" w:hAnsi="Segoe UI"/>
                <w:szCs w:val="18"/>
              </w:rPr>
            </w:pPr>
            <w:r w:rsidRPr="000F25DC">
              <w:t>66.25% </w:t>
            </w:r>
          </w:p>
        </w:tc>
        <w:tc>
          <w:tcPr>
            <w:tcW w:w="2047" w:type="dxa"/>
            <w:vAlign w:val="center"/>
            <w:hideMark/>
          </w:tcPr>
          <w:p w14:paraId="46FFF924" w14:textId="77777777" w:rsidR="006420CB" w:rsidRPr="000F25DC" w:rsidRDefault="006420CB" w:rsidP="006470AE">
            <w:pPr>
              <w:pStyle w:val="TableText"/>
              <w:jc w:val="right"/>
              <w:rPr>
                <w:rFonts w:ascii="Segoe UI" w:hAnsi="Segoe UI"/>
                <w:szCs w:val="18"/>
              </w:rPr>
            </w:pPr>
            <w:r w:rsidRPr="000F25DC">
              <w:t>$229,529,000.00</w:t>
            </w:r>
          </w:p>
        </w:tc>
      </w:tr>
      <w:tr w:rsidR="006420CB" w:rsidRPr="000F25DC" w14:paraId="768B083D" w14:textId="77777777" w:rsidTr="006740A5">
        <w:trPr>
          <w:trHeight w:val="300"/>
        </w:trPr>
        <w:tc>
          <w:tcPr>
            <w:tcW w:w="1331" w:type="dxa"/>
            <w:vAlign w:val="center"/>
            <w:hideMark/>
          </w:tcPr>
          <w:p w14:paraId="24D746F0" w14:textId="77777777" w:rsidR="006420CB" w:rsidRPr="000F25DC" w:rsidRDefault="006420CB" w:rsidP="006470AE">
            <w:pPr>
              <w:pStyle w:val="TableText"/>
              <w:rPr>
                <w:rFonts w:ascii="Segoe UI" w:hAnsi="Segoe UI"/>
                <w:szCs w:val="18"/>
              </w:rPr>
            </w:pPr>
            <w:r w:rsidRPr="000F25DC">
              <w:t>Average – does not include 2025 data. </w:t>
            </w:r>
          </w:p>
        </w:tc>
        <w:tc>
          <w:tcPr>
            <w:tcW w:w="1029" w:type="dxa"/>
            <w:vAlign w:val="center"/>
            <w:hideMark/>
          </w:tcPr>
          <w:p w14:paraId="71C918BC" w14:textId="77777777" w:rsidR="006420CB" w:rsidRPr="000F25DC" w:rsidRDefault="006420CB" w:rsidP="006470AE">
            <w:pPr>
              <w:pStyle w:val="TableText"/>
              <w:jc w:val="right"/>
              <w:rPr>
                <w:rFonts w:ascii="Segoe UI" w:hAnsi="Segoe UI"/>
                <w:szCs w:val="18"/>
              </w:rPr>
            </w:pPr>
            <w:r w:rsidRPr="000F25DC">
              <w:t>631,524</w:t>
            </w:r>
          </w:p>
        </w:tc>
        <w:tc>
          <w:tcPr>
            <w:tcW w:w="1345" w:type="dxa"/>
            <w:vAlign w:val="center"/>
            <w:hideMark/>
          </w:tcPr>
          <w:p w14:paraId="4AC6E34D" w14:textId="77777777" w:rsidR="006420CB" w:rsidRPr="000F25DC" w:rsidRDefault="006420CB" w:rsidP="006470AE">
            <w:pPr>
              <w:pStyle w:val="TableText"/>
              <w:jc w:val="right"/>
              <w:rPr>
                <w:rFonts w:ascii="Segoe UI" w:hAnsi="Segoe UI"/>
                <w:szCs w:val="18"/>
              </w:rPr>
            </w:pPr>
            <w:r w:rsidRPr="000F25DC">
              <w:t>141,289</w:t>
            </w:r>
          </w:p>
        </w:tc>
        <w:tc>
          <w:tcPr>
            <w:tcW w:w="1163" w:type="dxa"/>
            <w:vAlign w:val="center"/>
            <w:hideMark/>
          </w:tcPr>
          <w:p w14:paraId="4B0AD651" w14:textId="77777777" w:rsidR="006420CB" w:rsidRPr="000F25DC" w:rsidRDefault="006420CB" w:rsidP="006470AE">
            <w:pPr>
              <w:pStyle w:val="TableText"/>
              <w:jc w:val="right"/>
              <w:rPr>
                <w:rFonts w:ascii="Segoe UI" w:hAnsi="Segoe UI"/>
                <w:szCs w:val="18"/>
              </w:rPr>
            </w:pPr>
            <w:r w:rsidRPr="000F25DC">
              <w:t>447,170</w:t>
            </w:r>
          </w:p>
        </w:tc>
        <w:tc>
          <w:tcPr>
            <w:tcW w:w="983" w:type="dxa"/>
            <w:vAlign w:val="center"/>
            <w:hideMark/>
          </w:tcPr>
          <w:p w14:paraId="79CCB6FE" w14:textId="77777777" w:rsidR="006420CB" w:rsidRPr="000F25DC" w:rsidRDefault="006420CB" w:rsidP="006470AE">
            <w:pPr>
              <w:pStyle w:val="TableText"/>
              <w:jc w:val="right"/>
              <w:rPr>
                <w:rFonts w:ascii="Segoe UI" w:hAnsi="Segoe UI"/>
                <w:szCs w:val="18"/>
              </w:rPr>
            </w:pPr>
            <w:r w:rsidRPr="000F25DC">
              <w:t>0.60%</w:t>
            </w:r>
          </w:p>
        </w:tc>
        <w:tc>
          <w:tcPr>
            <w:tcW w:w="1577" w:type="dxa"/>
            <w:vAlign w:val="center"/>
            <w:hideMark/>
          </w:tcPr>
          <w:p w14:paraId="3D9518BF" w14:textId="77777777" w:rsidR="006420CB" w:rsidRPr="000F25DC" w:rsidRDefault="006420CB" w:rsidP="006470AE">
            <w:pPr>
              <w:pStyle w:val="TableText"/>
              <w:jc w:val="right"/>
              <w:rPr>
                <w:rFonts w:ascii="Segoe UI" w:hAnsi="Segoe UI"/>
                <w:szCs w:val="18"/>
              </w:rPr>
            </w:pPr>
            <w:r w:rsidRPr="000F25DC">
              <w:t>90.66% </w:t>
            </w:r>
          </w:p>
        </w:tc>
        <w:tc>
          <w:tcPr>
            <w:tcW w:w="2047" w:type="dxa"/>
            <w:vAlign w:val="center"/>
            <w:hideMark/>
          </w:tcPr>
          <w:p w14:paraId="1BE33593" w14:textId="77777777" w:rsidR="006420CB" w:rsidRPr="000F25DC" w:rsidRDefault="006420CB" w:rsidP="006470AE">
            <w:pPr>
              <w:pStyle w:val="TableText"/>
              <w:jc w:val="right"/>
              <w:rPr>
                <w:rFonts w:ascii="Segoe UI" w:hAnsi="Segoe UI"/>
                <w:szCs w:val="18"/>
              </w:rPr>
            </w:pPr>
            <w:r w:rsidRPr="000F25DC">
              <w:t>$369,861,320.00</w:t>
            </w:r>
          </w:p>
        </w:tc>
      </w:tr>
    </w:tbl>
    <w:p w14:paraId="02518053" w14:textId="77777777" w:rsidR="006420CB" w:rsidRPr="000F25DC" w:rsidRDefault="006420CB" w:rsidP="006470AE">
      <w:pPr>
        <w:pStyle w:val="BodyText"/>
      </w:pPr>
      <w:r w:rsidRPr="000F25DC">
        <w:t>*Fr</w:t>
      </w:r>
      <w:r>
        <w:t>om</w:t>
      </w:r>
      <w:r w:rsidRPr="000F25DC">
        <w:t xml:space="preserve"> the end of </w:t>
      </w:r>
      <w:r>
        <w:t xml:space="preserve">FY </w:t>
      </w:r>
      <w:r w:rsidRPr="000F25DC">
        <w:t xml:space="preserve">2023 </w:t>
      </w:r>
      <w:r>
        <w:t xml:space="preserve">through FY </w:t>
      </w:r>
      <w:r w:rsidRPr="000F25DC">
        <w:t>2024, the WOTC program was converting to a new online portal, creating a backlog staff is working to address. This resulted in a lower number of certificates and denials being issued for those fiscal years.</w:t>
      </w:r>
    </w:p>
    <w:p w14:paraId="0BB4B22B" w14:textId="77777777" w:rsidR="006420CB" w:rsidRPr="000F25DC" w:rsidRDefault="006420CB" w:rsidP="006470AE">
      <w:pPr>
        <w:pStyle w:val="BodyText"/>
      </w:pPr>
      <w:r w:rsidRPr="000F25DC">
        <w:t>**Texas encourages employers to submit all applications for possible certification. This eliminates employers having to do research and helps identify certification opportunities the job seeker may not realize they are eligible for and results in a relatively high number of denials.</w:t>
      </w:r>
    </w:p>
    <w:p w14:paraId="2E23D013" w14:textId="77777777" w:rsidR="006420CB" w:rsidRPr="000F25DC" w:rsidRDefault="006420CB" w:rsidP="006470AE">
      <w:pPr>
        <w:pStyle w:val="BodyText"/>
      </w:pPr>
      <w:r w:rsidRPr="000F25DC">
        <w:t>***The average error rate for WOTC is below the 5</w:t>
      </w:r>
      <w:r>
        <w:t xml:space="preserve"> percent </w:t>
      </w:r>
      <w:r w:rsidRPr="000F25DC">
        <w:t>error rate mandated by DOLETA. Calculation of the error rate began in 2020.</w:t>
      </w:r>
    </w:p>
    <w:p w14:paraId="2EF23911" w14:textId="1F813C65" w:rsidR="006420CB" w:rsidRPr="000F25DC" w:rsidRDefault="006420CB" w:rsidP="006470AE">
      <w:pPr>
        <w:pStyle w:val="BodyText"/>
      </w:pPr>
      <w:r w:rsidRPr="000F25DC">
        <w:t>****WOTC strives for 95</w:t>
      </w:r>
      <w:r>
        <w:t xml:space="preserve"> percent</w:t>
      </w:r>
      <w:r w:rsidRPr="000F25DC">
        <w:t xml:space="preserve"> of all applications having a first decision within 40 days. F</w:t>
      </w:r>
      <w:r w:rsidR="006470AE">
        <w:t>Y</w:t>
      </w:r>
      <w:r w:rsidRPr="000F25DC">
        <w:t xml:space="preserve"> 2024 is below this </w:t>
      </w:r>
      <w:r>
        <w:t xml:space="preserve">goal </w:t>
      </w:r>
      <w:r w:rsidRPr="000F25DC">
        <w:t xml:space="preserve">due to delays in the </w:t>
      </w:r>
      <w:r>
        <w:t xml:space="preserve">online portal </w:t>
      </w:r>
      <w:r w:rsidRPr="000F25DC">
        <w:t>conversion.</w:t>
      </w:r>
    </w:p>
    <w:p w14:paraId="1D841968" w14:textId="79BEBE58" w:rsidR="006420CB" w:rsidRPr="000F25DC" w:rsidRDefault="006420CB" w:rsidP="00000F69">
      <w:pPr>
        <w:pStyle w:val="BodyText3"/>
        <w:ind w:left="720" w:hanging="720"/>
      </w:pPr>
      <w:r w:rsidRPr="000F25DC">
        <w:t>D.</w:t>
      </w:r>
      <w:r w:rsidR="00000F69">
        <w:tab/>
      </w:r>
      <w:r w:rsidRPr="000F25DC">
        <w:t>Describe</w:t>
      </w:r>
      <w:r w:rsidRPr="000F25DC">
        <w:rPr>
          <w:spacing w:val="-14"/>
        </w:rPr>
        <w:t xml:space="preserve"> </w:t>
      </w:r>
      <w:r w:rsidRPr="000F25DC">
        <w:t>any</w:t>
      </w:r>
      <w:r w:rsidRPr="000F25DC">
        <w:rPr>
          <w:spacing w:val="-14"/>
        </w:rPr>
        <w:t xml:space="preserve"> </w:t>
      </w:r>
      <w:r w:rsidRPr="000F25DC">
        <w:t>important</w:t>
      </w:r>
      <w:r w:rsidRPr="000F25DC">
        <w:rPr>
          <w:spacing w:val="-13"/>
        </w:rPr>
        <w:t xml:space="preserve"> </w:t>
      </w:r>
      <w:r w:rsidRPr="000F25DC">
        <w:t>history</w:t>
      </w:r>
      <w:r w:rsidRPr="000F25DC">
        <w:rPr>
          <w:spacing w:val="-14"/>
        </w:rPr>
        <w:t xml:space="preserve"> </w:t>
      </w:r>
      <w:r w:rsidRPr="000F25DC">
        <w:t>regarding</w:t>
      </w:r>
      <w:r w:rsidRPr="000F25DC">
        <w:rPr>
          <w:spacing w:val="-13"/>
        </w:rPr>
        <w:t xml:space="preserve"> </w:t>
      </w:r>
      <w:r w:rsidRPr="000F25DC">
        <w:t>this</w:t>
      </w:r>
      <w:r w:rsidRPr="000F25DC">
        <w:rPr>
          <w:spacing w:val="-14"/>
        </w:rPr>
        <w:t xml:space="preserve"> </w:t>
      </w:r>
      <w:r w:rsidRPr="000F25DC">
        <w:t>division</w:t>
      </w:r>
      <w:r w:rsidRPr="000F25DC">
        <w:rPr>
          <w:spacing w:val="-13"/>
        </w:rPr>
        <w:t xml:space="preserve"> </w:t>
      </w:r>
      <w:r w:rsidRPr="000F25DC">
        <w:t>or</w:t>
      </w:r>
      <w:r w:rsidRPr="000F25DC">
        <w:rPr>
          <w:spacing w:val="-14"/>
        </w:rPr>
        <w:t xml:space="preserve"> </w:t>
      </w:r>
      <w:r w:rsidRPr="000F25DC">
        <w:t>program</w:t>
      </w:r>
      <w:r w:rsidRPr="000F25DC">
        <w:rPr>
          <w:spacing w:val="-14"/>
        </w:rPr>
        <w:t xml:space="preserve"> </w:t>
      </w:r>
      <w:r w:rsidRPr="000F25DC">
        <w:t>not</w:t>
      </w:r>
      <w:r w:rsidRPr="000F25DC">
        <w:rPr>
          <w:spacing w:val="-13"/>
        </w:rPr>
        <w:t xml:space="preserve"> </w:t>
      </w:r>
      <w:r w:rsidRPr="000F25DC">
        <w:t>included</w:t>
      </w:r>
      <w:r w:rsidRPr="000F25DC">
        <w:rPr>
          <w:spacing w:val="-14"/>
        </w:rPr>
        <w:t xml:space="preserve"> </w:t>
      </w:r>
      <w:r w:rsidRPr="000F25DC">
        <w:t>in</w:t>
      </w:r>
      <w:r w:rsidRPr="000F25DC">
        <w:rPr>
          <w:spacing w:val="-13"/>
        </w:rPr>
        <w:t xml:space="preserve"> </w:t>
      </w:r>
      <w:r w:rsidRPr="000F25DC">
        <w:t>the</w:t>
      </w:r>
      <w:r w:rsidRPr="000F25DC">
        <w:rPr>
          <w:spacing w:val="-14"/>
        </w:rPr>
        <w:t xml:space="preserve"> </w:t>
      </w:r>
      <w:r w:rsidRPr="000F25DC">
        <w:t>general agency history section, including</w:t>
      </w:r>
      <w:r w:rsidRPr="000F25DC">
        <w:rPr>
          <w:spacing w:val="-1"/>
        </w:rPr>
        <w:t xml:space="preserve"> </w:t>
      </w:r>
      <w:r w:rsidRPr="000F25DC">
        <w:t>how the</w:t>
      </w:r>
      <w:r w:rsidRPr="000F25DC">
        <w:rPr>
          <w:spacing w:val="-1"/>
        </w:rPr>
        <w:t xml:space="preserve"> </w:t>
      </w:r>
      <w:r w:rsidRPr="000F25DC">
        <w:t>functions or services have changed over time. If the response to Section III of this report is sufficient, please leave this section blank.</w:t>
      </w:r>
    </w:p>
    <w:p w14:paraId="0391D25F" w14:textId="77777777" w:rsidR="006420CB" w:rsidRDefault="006420CB" w:rsidP="00000F69">
      <w:pPr>
        <w:pStyle w:val="BodyText"/>
      </w:pPr>
      <w:r w:rsidRPr="000F25DC">
        <w:t xml:space="preserve">WOTC first emerged in 1996, born from the </w:t>
      </w:r>
      <w:r>
        <w:t xml:space="preserve">federal </w:t>
      </w:r>
      <w:r w:rsidRPr="000F25DC">
        <w:t>Small Business Job Protection Act. Its initial purpose was to encourage businesses to hire individuals from specific, often underserved, populations. These foundational target groups included recipients of TANF, veterans, food stamp recipients, ex-felons entering the workforce, economically disadvantaged youth, and those receiving Supplemental Security Income. However, WOTC's early years were marked by uncertainty. From 1997 through 2005, the program faced multiple short-term reauthorizations, creating a somewhat unstable environment for employers relying on its benefits. During this period, it also overlapped with the Welfare-to-Work tax credit, leading to some administrative complexity.</w:t>
      </w:r>
    </w:p>
    <w:p w14:paraId="140C5278" w14:textId="77777777" w:rsidR="006420CB" w:rsidRDefault="006420CB" w:rsidP="00000F69">
      <w:pPr>
        <w:pStyle w:val="BodyText"/>
      </w:pPr>
      <w:r w:rsidRPr="000F25DC">
        <w:lastRenderedPageBreak/>
        <w:t xml:space="preserve">A significant streamlining occurred in 2006 with the passage of the </w:t>
      </w:r>
      <w:r>
        <w:t xml:space="preserve">federal </w:t>
      </w:r>
      <w:r w:rsidRPr="000F25DC">
        <w:t xml:space="preserve">Tax Relief and Health Care Act. This legislation effectively merged the Welfare-to-Work tax credit directly into WOTC, simplifying its structure and ultimately reducing redundant programs. </w:t>
      </w:r>
      <w:r>
        <w:t>The Act</w:t>
      </w:r>
      <w:r w:rsidRPr="000F25DC">
        <w:t xml:space="preserve"> also took steps to simplify the overall target group definitions.</w:t>
      </w:r>
    </w:p>
    <w:p w14:paraId="0828F06C" w14:textId="77777777" w:rsidR="006420CB" w:rsidRDefault="006420CB" w:rsidP="00000F69">
      <w:pPr>
        <w:pStyle w:val="BodyText"/>
      </w:pPr>
      <w:r w:rsidRPr="000F25DC">
        <w:t xml:space="preserve">The economic challenges following the 2008 recession brought about temporary expansions to WOTC's reach. In 2009, the </w:t>
      </w:r>
      <w:r>
        <w:t xml:space="preserve">federal </w:t>
      </w:r>
      <w:r w:rsidRPr="000F25DC">
        <w:t>American Recovery and Reinvestment Act temporarily introduced two new target groups: Disconnected Youth and Unemployed Veterans. While separate from WOTC, the 2010 HIRE Act also demonstrated a broader legislative focus on employment, offering temporary tax credits for hiring unemployed workers, highlighting a national commitment to job creation. Further emphasizing support for veterans, 2012 saw the addition of another temporary group: Long-Term Unemployed Veterans.</w:t>
      </w:r>
    </w:p>
    <w:p w14:paraId="6DB4F6BD" w14:textId="77777777" w:rsidR="006420CB" w:rsidRPr="000F25DC" w:rsidRDefault="006420CB" w:rsidP="00BB51E0">
      <w:pPr>
        <w:pStyle w:val="BodyText"/>
      </w:pPr>
      <w:r w:rsidRPr="000F25DC">
        <w:t xml:space="preserve">A turning point for stability arrived in 2015 with the </w:t>
      </w:r>
      <w:r>
        <w:t xml:space="preserve">federal </w:t>
      </w:r>
      <w:r w:rsidRPr="000F25DC">
        <w:t>Protecting Americans from Tax Hikes Act. This crucial legislation not only provided multi-year stability for WOTC, reducing its reliance on frequent reauthorizations, but also expanded its reach by adding a new permanent target group: the Long-Term Unemployed (individuals unemployed for 27 weeks or more).</w:t>
      </w:r>
      <w:r>
        <w:t xml:space="preserve">  </w:t>
      </w:r>
      <w:r w:rsidRPr="000F25DC">
        <w:t>The program's continued relevance was affirmed in 2021, when the</w:t>
      </w:r>
      <w:r>
        <w:t xml:space="preserve"> federal </w:t>
      </w:r>
      <w:r w:rsidRPr="000F25DC">
        <w:t xml:space="preserve">Consolidated Appropriations Act extended WOTC through 2025, ensuring its availability for businesses for several more years. </w:t>
      </w:r>
    </w:p>
    <w:p w14:paraId="5E8F0861" w14:textId="4CE7F773" w:rsidR="006420CB" w:rsidRPr="000F25DC" w:rsidRDefault="006420CB" w:rsidP="00BB51E0">
      <w:pPr>
        <w:pStyle w:val="BodyText3"/>
        <w:ind w:left="720" w:hanging="720"/>
      </w:pPr>
      <w:r w:rsidRPr="000F25DC">
        <w:t>E.</w:t>
      </w:r>
      <w:r w:rsidR="00BB51E0">
        <w:tab/>
      </w:r>
      <w:r w:rsidRPr="000F25DC">
        <w:t>List any qualifications or eligibility requirements for persons or entities affected by this division or program (e.g., licensees, consumers, and landowners). Provide a statistical breakdown of persons or entities affected.</w:t>
      </w:r>
    </w:p>
    <w:p w14:paraId="30416561" w14:textId="77777777" w:rsidR="006420CB" w:rsidRPr="000F25DC" w:rsidRDefault="006420CB" w:rsidP="00BB51E0">
      <w:pPr>
        <w:pStyle w:val="BodyText"/>
        <w:rPr>
          <w:spacing w:val="-2"/>
        </w:rPr>
      </w:pPr>
      <w:r w:rsidRPr="58D0E01B">
        <w:t xml:space="preserve">Employers must have an active and liable </w:t>
      </w:r>
      <w:r>
        <w:t xml:space="preserve">Unemployment Tax </w:t>
      </w:r>
      <w:r w:rsidRPr="58D0E01B">
        <w:t>account with TWC to be able to submit applications.</w:t>
      </w:r>
    </w:p>
    <w:p w14:paraId="57DB028B" w14:textId="4CB65E36" w:rsidR="006420CB" w:rsidRPr="000F25DC" w:rsidRDefault="006420CB" w:rsidP="00BB51E0">
      <w:pPr>
        <w:pStyle w:val="BodyText3"/>
        <w:ind w:left="720" w:hanging="720"/>
      </w:pPr>
      <w:r w:rsidRPr="000F25DC">
        <w:t>F.</w:t>
      </w:r>
      <w:r w:rsidR="00BB51E0">
        <w:tab/>
      </w:r>
      <w:r w:rsidRPr="000F25DC">
        <w:t>Describe how the division or program is administered, including a description of key processes involved. If you have existing documentation (e.g., flowcharts, timelines, and other illustrations)</w:t>
      </w:r>
      <w:r w:rsidRPr="000F25DC">
        <w:rPr>
          <w:spacing w:val="-3"/>
        </w:rPr>
        <w:t xml:space="preserve"> </w:t>
      </w:r>
      <w:r w:rsidRPr="000F25DC">
        <w:t>to</w:t>
      </w:r>
      <w:r w:rsidRPr="000F25DC">
        <w:rPr>
          <w:spacing w:val="-2"/>
        </w:rPr>
        <w:t xml:space="preserve"> </w:t>
      </w:r>
      <w:r w:rsidRPr="000F25DC">
        <w:t>describe</w:t>
      </w:r>
      <w:r w:rsidRPr="000F25DC">
        <w:rPr>
          <w:spacing w:val="-6"/>
        </w:rPr>
        <w:t xml:space="preserve"> </w:t>
      </w:r>
      <w:r w:rsidRPr="000F25DC">
        <w:t>agency</w:t>
      </w:r>
      <w:r w:rsidRPr="000F25DC">
        <w:rPr>
          <w:spacing w:val="-3"/>
        </w:rPr>
        <w:t xml:space="preserve"> </w:t>
      </w:r>
      <w:r w:rsidRPr="000F25DC">
        <w:t>policies</w:t>
      </w:r>
      <w:r w:rsidRPr="000F25DC">
        <w:rPr>
          <w:spacing w:val="-2"/>
        </w:rPr>
        <w:t xml:space="preserve"> </w:t>
      </w:r>
      <w:r w:rsidRPr="000F25DC">
        <w:t>and</w:t>
      </w:r>
      <w:r w:rsidRPr="000F25DC">
        <w:rPr>
          <w:spacing w:val="-2"/>
        </w:rPr>
        <w:t xml:space="preserve"> </w:t>
      </w:r>
      <w:r w:rsidRPr="000F25DC">
        <w:t>procedures,</w:t>
      </w:r>
      <w:r w:rsidRPr="000F25DC">
        <w:rPr>
          <w:spacing w:val="-2"/>
        </w:rPr>
        <w:t xml:space="preserve"> </w:t>
      </w:r>
      <w:r w:rsidRPr="000F25DC">
        <w:t>please</w:t>
      </w:r>
      <w:r w:rsidRPr="000F25DC">
        <w:rPr>
          <w:spacing w:val="-3"/>
        </w:rPr>
        <w:t xml:space="preserve"> </w:t>
      </w:r>
      <w:r w:rsidRPr="000F25DC">
        <w:t>include</w:t>
      </w:r>
      <w:r w:rsidRPr="000F25DC">
        <w:rPr>
          <w:spacing w:val="-3"/>
        </w:rPr>
        <w:t xml:space="preserve"> </w:t>
      </w:r>
      <w:r w:rsidRPr="000F25DC">
        <w:t>them</w:t>
      </w:r>
      <w:r w:rsidRPr="000F25DC">
        <w:rPr>
          <w:spacing w:val="-3"/>
        </w:rPr>
        <w:t xml:space="preserve"> </w:t>
      </w:r>
      <w:r w:rsidRPr="000F25DC">
        <w:t>as</w:t>
      </w:r>
      <w:r w:rsidRPr="000F25DC">
        <w:rPr>
          <w:spacing w:val="-2"/>
        </w:rPr>
        <w:t xml:space="preserve"> </w:t>
      </w:r>
      <w:r w:rsidRPr="000F25DC">
        <w:t>attachments. Indicate how field/regional services are used, if applicable.</w:t>
      </w:r>
    </w:p>
    <w:p w14:paraId="07FD7334" w14:textId="77777777" w:rsidR="006420CB" w:rsidRPr="000F25DC" w:rsidRDefault="006420CB" w:rsidP="00BB51E0">
      <w:pPr>
        <w:pStyle w:val="BodyText"/>
      </w:pPr>
      <w:r>
        <w:t xml:space="preserve">TWC processes </w:t>
      </w:r>
      <w:r w:rsidRPr="000F25DC">
        <w:t xml:space="preserve">WOTC claims </w:t>
      </w:r>
      <w:r>
        <w:t>in</w:t>
      </w:r>
      <w:r w:rsidRPr="000F25DC">
        <w:t xml:space="preserve"> three phases</w:t>
      </w:r>
      <w:r>
        <w:t xml:space="preserve">, described below. </w:t>
      </w:r>
    </w:p>
    <w:p w14:paraId="21394A2A" w14:textId="77777777" w:rsidR="006420CB" w:rsidRPr="00F317A2" w:rsidRDefault="006420CB" w:rsidP="00BB51E0">
      <w:pPr>
        <w:pStyle w:val="BodyText"/>
        <w:rPr>
          <w:b/>
          <w:bCs/>
        </w:rPr>
      </w:pPr>
      <w:r w:rsidRPr="00F317A2">
        <w:rPr>
          <w:b/>
          <w:bCs/>
        </w:rPr>
        <w:t>Intake</w:t>
      </w:r>
    </w:p>
    <w:p w14:paraId="2DDEF08B" w14:textId="77777777" w:rsidR="006420CB" w:rsidRPr="000F25DC" w:rsidRDefault="006420CB" w:rsidP="00BB51E0">
      <w:pPr>
        <w:pStyle w:val="BodyText"/>
      </w:pPr>
      <w:r>
        <w:t>Employers may file c</w:t>
      </w:r>
      <w:r w:rsidRPr="000F25DC">
        <w:t xml:space="preserve">laims </w:t>
      </w:r>
      <w:r>
        <w:t xml:space="preserve">with TWC </w:t>
      </w:r>
      <w:r w:rsidRPr="000F25DC">
        <w:t xml:space="preserve">by mail, email, or </w:t>
      </w:r>
      <w:r>
        <w:t xml:space="preserve">by </w:t>
      </w:r>
      <w:r w:rsidRPr="000F25DC">
        <w:t>uploading to the WOTC portal</w:t>
      </w:r>
      <w:r>
        <w:t>.  Claims</w:t>
      </w:r>
      <w:r w:rsidRPr="000F25DC">
        <w:t xml:space="preserve"> must be filed within 28 calendar days of the employee’s start date. Claims beyond the 28 days are denied for untimely filing. The employee must be a first-time hire and cannot have been previously employed by the employer. </w:t>
      </w:r>
    </w:p>
    <w:p w14:paraId="5CBEE2AE" w14:textId="77777777" w:rsidR="006420CB" w:rsidRPr="00F317A2" w:rsidRDefault="006420CB" w:rsidP="00BB51E0">
      <w:pPr>
        <w:pStyle w:val="BodyText"/>
        <w:rPr>
          <w:b/>
          <w:bCs/>
        </w:rPr>
      </w:pPr>
      <w:r w:rsidRPr="00F317A2">
        <w:rPr>
          <w:b/>
          <w:bCs/>
        </w:rPr>
        <w:t>Verification</w:t>
      </w:r>
    </w:p>
    <w:p w14:paraId="220B136A" w14:textId="77777777" w:rsidR="006420CB" w:rsidRPr="000F25DC" w:rsidRDefault="006420CB" w:rsidP="00BB51E0">
      <w:pPr>
        <w:pStyle w:val="BodyText"/>
      </w:pPr>
      <w:r>
        <w:lastRenderedPageBreak/>
        <w:t xml:space="preserve">TWC’s WOTC unit </w:t>
      </w:r>
      <w:r w:rsidRPr="000F25DC">
        <w:t>verif</w:t>
      </w:r>
      <w:r>
        <w:t>ies</w:t>
      </w:r>
      <w:r w:rsidRPr="000F25DC">
        <w:t xml:space="preserve"> eligibility and issue</w:t>
      </w:r>
      <w:r>
        <w:t>s</w:t>
      </w:r>
      <w:r w:rsidRPr="000F25DC">
        <w:t xml:space="preserve"> a determination on an application by either certifying, denying</w:t>
      </w:r>
      <w:r>
        <w:t>,</w:t>
      </w:r>
      <w:r w:rsidRPr="000F25DC">
        <w:t xml:space="preserve"> or pending the application for manual review. The WOTC portal runs automation that can make three possible decisions:</w:t>
      </w:r>
    </w:p>
    <w:p w14:paraId="1DF49A0F" w14:textId="77777777" w:rsidR="006420CB" w:rsidRPr="00C95537" w:rsidRDefault="006420CB" w:rsidP="00C64851">
      <w:pPr>
        <w:pStyle w:val="BodyText"/>
        <w:numPr>
          <w:ilvl w:val="0"/>
          <w:numId w:val="889"/>
        </w:numPr>
      </w:pPr>
      <w:r w:rsidRPr="00B64474">
        <w:rPr>
          <w:i/>
          <w:iCs/>
        </w:rPr>
        <w:t>Certified</w:t>
      </w:r>
      <w:r w:rsidRPr="00C95537">
        <w:t xml:space="preserve"> –100</w:t>
      </w:r>
      <w:r>
        <w:t xml:space="preserve"> percent</w:t>
      </w:r>
      <w:r w:rsidRPr="00C95537">
        <w:t xml:space="preserve"> qualifier match to certify the application under one of the fourteen target groups.</w:t>
      </w:r>
    </w:p>
    <w:p w14:paraId="4BC6EF0A" w14:textId="77777777" w:rsidR="006420CB" w:rsidRPr="00C95537" w:rsidRDefault="006420CB" w:rsidP="00C64851">
      <w:pPr>
        <w:pStyle w:val="BodyText"/>
        <w:numPr>
          <w:ilvl w:val="0"/>
          <w:numId w:val="889"/>
        </w:numPr>
      </w:pPr>
      <w:r w:rsidRPr="00B64474">
        <w:rPr>
          <w:i/>
          <w:iCs/>
        </w:rPr>
        <w:t>Need Further Review (NFR)</w:t>
      </w:r>
      <w:r w:rsidRPr="00C95537">
        <w:t xml:space="preserve"> – At least 50-99</w:t>
      </w:r>
      <w:r>
        <w:t xml:space="preserve"> percent</w:t>
      </w:r>
      <w:r w:rsidRPr="00B64474">
        <w:t xml:space="preserve"> </w:t>
      </w:r>
      <w:r w:rsidRPr="00C95537">
        <w:t>eligibility match and requires manual intervention to reach a final review.</w:t>
      </w:r>
    </w:p>
    <w:p w14:paraId="29CD3850" w14:textId="77777777" w:rsidR="006420CB" w:rsidRPr="00C95537" w:rsidRDefault="006420CB" w:rsidP="00C64851">
      <w:pPr>
        <w:pStyle w:val="BodyText"/>
        <w:numPr>
          <w:ilvl w:val="0"/>
          <w:numId w:val="889"/>
        </w:numPr>
      </w:pPr>
      <w:r w:rsidRPr="00B64474">
        <w:rPr>
          <w:i/>
          <w:iCs/>
        </w:rPr>
        <w:t>Denial</w:t>
      </w:r>
      <w:r w:rsidRPr="00C95537">
        <w:t xml:space="preserve"> – Less than a 50</w:t>
      </w:r>
      <w:r>
        <w:t xml:space="preserve"> percent</w:t>
      </w:r>
      <w:r w:rsidRPr="00B64474">
        <w:t xml:space="preserve"> </w:t>
      </w:r>
      <w:r w:rsidRPr="00C95537">
        <w:t>eligibility match so the application is denied.</w:t>
      </w:r>
    </w:p>
    <w:p w14:paraId="40F61B32" w14:textId="77777777" w:rsidR="006420CB" w:rsidRPr="000F25DC" w:rsidRDefault="006420CB" w:rsidP="00F317A2">
      <w:pPr>
        <w:pStyle w:val="BodyText"/>
      </w:pPr>
      <w:r w:rsidRPr="000F25DC">
        <w:t>Claims that are pended for NFR are then placed into a queue by postmark date to be reviewed by an analyst. An analyst will then review the qualifiers and search additional databases to try to find information needed to create a 100</w:t>
      </w:r>
      <w:r>
        <w:t xml:space="preserve"> percent</w:t>
      </w:r>
      <w:r w:rsidRPr="000F25DC">
        <w:t xml:space="preserve"> match for eligibility. An analyst can take one of three actions:</w:t>
      </w:r>
    </w:p>
    <w:p w14:paraId="3C7E279A" w14:textId="77777777" w:rsidR="006420CB" w:rsidRPr="00C95537" w:rsidRDefault="006420CB" w:rsidP="00C64851">
      <w:pPr>
        <w:pStyle w:val="BodyText"/>
        <w:numPr>
          <w:ilvl w:val="0"/>
          <w:numId w:val="890"/>
        </w:numPr>
      </w:pPr>
      <w:r w:rsidRPr="00B64474">
        <w:rPr>
          <w:i/>
          <w:iCs/>
        </w:rPr>
        <w:t>Certify the application</w:t>
      </w:r>
      <w:r w:rsidRPr="00C95537">
        <w:t xml:space="preserve"> – The analyst was able to locate the additional benefits to reach the 100</w:t>
      </w:r>
      <w:r>
        <w:t xml:space="preserve"> percent</w:t>
      </w:r>
      <w:r w:rsidRPr="00B64474">
        <w:t xml:space="preserve"> </w:t>
      </w:r>
      <w:r w:rsidRPr="00C95537">
        <w:t xml:space="preserve">requirement for certification. Examples would be identifying additional months of SNAP or TANF benefits and </w:t>
      </w:r>
      <w:r w:rsidRPr="000F25DC">
        <w:t>Supplemental Security Inco</w:t>
      </w:r>
      <w:r>
        <w:t>m</w:t>
      </w:r>
      <w:r w:rsidRPr="000F25DC">
        <w:t xml:space="preserve">e </w:t>
      </w:r>
      <w:r w:rsidRPr="00C95537">
        <w:t>identification.</w:t>
      </w:r>
    </w:p>
    <w:p w14:paraId="4EC22200" w14:textId="77777777" w:rsidR="006420CB" w:rsidRPr="00C95537" w:rsidRDefault="006420CB" w:rsidP="00C64851">
      <w:pPr>
        <w:pStyle w:val="BodyText"/>
        <w:numPr>
          <w:ilvl w:val="0"/>
          <w:numId w:val="890"/>
        </w:numPr>
      </w:pPr>
      <w:r w:rsidRPr="00B64474">
        <w:rPr>
          <w:i/>
          <w:iCs/>
        </w:rPr>
        <w:t>Issue a “needs” request</w:t>
      </w:r>
      <w:r w:rsidRPr="00C95537">
        <w:t xml:space="preserve"> – Sometimes additional information is needed from an employer or a consultant submitting on their behalf to make the final decision on an application. The needs letter will tell the customer what we require to finalize processing.</w:t>
      </w:r>
    </w:p>
    <w:p w14:paraId="089F38CA" w14:textId="77777777" w:rsidR="006420CB" w:rsidRPr="00C95537" w:rsidRDefault="006420CB" w:rsidP="00C64851">
      <w:pPr>
        <w:pStyle w:val="BodyText"/>
        <w:numPr>
          <w:ilvl w:val="0"/>
          <w:numId w:val="890"/>
        </w:numPr>
      </w:pPr>
      <w:r w:rsidRPr="00B64474">
        <w:rPr>
          <w:i/>
          <w:iCs/>
        </w:rPr>
        <w:t>Deny the application</w:t>
      </w:r>
      <w:r w:rsidRPr="00C95537">
        <w:t xml:space="preserve"> – The analyst was not able to find the additional benefits to issue a certification. The application does not meet the requirement for certification and is denied.</w:t>
      </w:r>
    </w:p>
    <w:p w14:paraId="5F52483D" w14:textId="77777777" w:rsidR="006420CB" w:rsidRPr="000F25DC" w:rsidRDefault="006420CB" w:rsidP="00F317A2">
      <w:pPr>
        <w:pStyle w:val="BodyText"/>
      </w:pPr>
      <w:r w:rsidRPr="000F25DC">
        <w:t>The WOTC portal allows for approximately 75</w:t>
      </w:r>
      <w:r>
        <w:t xml:space="preserve"> percent</w:t>
      </w:r>
      <w:r w:rsidRPr="000F25DC">
        <w:t xml:space="preserve"> of all applications to be processed using system automation</w:t>
      </w:r>
      <w:r>
        <w:t>.  T</w:t>
      </w:r>
      <w:r w:rsidRPr="000F25DC">
        <w:t>he remaining 25</w:t>
      </w:r>
      <w:r>
        <w:t xml:space="preserve"> percent</w:t>
      </w:r>
      <w:r w:rsidRPr="000F25DC">
        <w:t xml:space="preserve"> must be researched by staff to issue a determination. TWC has data sharing agreements with </w:t>
      </w:r>
      <w:r>
        <w:t>the Texas Health and Human Services Commission and Texas Department of Criminal Justice</w:t>
      </w:r>
      <w:r w:rsidRPr="000F25DC">
        <w:t xml:space="preserve"> that provide information to assist in reviewing applications for certification.</w:t>
      </w:r>
    </w:p>
    <w:p w14:paraId="72AA4877" w14:textId="77777777" w:rsidR="006420CB" w:rsidRPr="00DD3E2C" w:rsidRDefault="006420CB" w:rsidP="00DD3E2C">
      <w:pPr>
        <w:pStyle w:val="BodyText"/>
        <w:rPr>
          <w:b/>
          <w:bCs/>
        </w:rPr>
      </w:pPr>
      <w:r w:rsidRPr="00DD3E2C">
        <w:rPr>
          <w:b/>
          <w:bCs/>
        </w:rPr>
        <w:t>Notification</w:t>
      </w:r>
    </w:p>
    <w:p w14:paraId="09AAE430" w14:textId="77777777" w:rsidR="006420CB" w:rsidRPr="000F25DC" w:rsidRDefault="006420CB" w:rsidP="00DD3E2C">
      <w:pPr>
        <w:pStyle w:val="BodyText"/>
      </w:pPr>
      <w:r w:rsidRPr="000F25DC">
        <w:t xml:space="preserve">This phase consists of mailing or posting decisions </w:t>
      </w:r>
      <w:r>
        <w:t>on</w:t>
      </w:r>
      <w:r w:rsidRPr="000F25DC">
        <w:t xml:space="preserve"> applications. Customers with online access can print their own decision letters and reports. Customers without online access receive decision letters through the mail.</w:t>
      </w:r>
    </w:p>
    <w:p w14:paraId="7C00A8BA" w14:textId="77777777" w:rsidR="006420CB" w:rsidRPr="000F25DC" w:rsidRDefault="006420CB" w:rsidP="00DD3E2C">
      <w:pPr>
        <w:pStyle w:val="BodyText"/>
      </w:pPr>
      <w:r>
        <w:t xml:space="preserve">The </w:t>
      </w:r>
      <w:r w:rsidRPr="000F25DC">
        <w:t xml:space="preserve">WOTC </w:t>
      </w:r>
      <w:r>
        <w:t xml:space="preserve">unit </w:t>
      </w:r>
      <w:r w:rsidRPr="000F25DC">
        <w:t xml:space="preserve">also issues conditional certificates to job seekers to assist them in gaining employment. The conditional certificates are a preliminary determination indicating the job seeker may qualify as a veteran, ex-felon, or vocational rehabilitation recipient. The </w:t>
      </w:r>
      <w:r w:rsidRPr="000F25DC">
        <w:lastRenderedPageBreak/>
        <w:t>conditional certificates are used as a hiring tool to let employers know there is a good chance of receiving a tax credit for hiring the individual. The conditional cert</w:t>
      </w:r>
      <w:r>
        <w:t>ifications</w:t>
      </w:r>
      <w:r w:rsidRPr="000F25DC">
        <w:t xml:space="preserve"> are mailed directly to the jobseeker advising them to use them as a part of the application process.</w:t>
      </w:r>
    </w:p>
    <w:p w14:paraId="4055D69D" w14:textId="77777777" w:rsidR="006420CB" w:rsidRPr="00DD3E2C" w:rsidRDefault="006420CB" w:rsidP="00DD3E2C">
      <w:pPr>
        <w:pStyle w:val="BodyText"/>
        <w:rPr>
          <w:b/>
          <w:bCs/>
        </w:rPr>
      </w:pPr>
      <w:r w:rsidRPr="00DD3E2C">
        <w:rPr>
          <w:b/>
          <w:bCs/>
        </w:rPr>
        <w:t>Tax Refund for Wages Paid to Employee Receiving Financial Assistance</w:t>
      </w:r>
    </w:p>
    <w:p w14:paraId="3817265E" w14:textId="77777777" w:rsidR="006420CB" w:rsidRPr="000F25DC" w:rsidRDefault="006420CB" w:rsidP="00DD3E2C">
      <w:pPr>
        <w:pStyle w:val="BodyText"/>
      </w:pPr>
      <w:r>
        <w:t>TWC’s WOTC unit also administers t</w:t>
      </w:r>
      <w:r w:rsidRPr="000F25DC">
        <w:t xml:space="preserve">he TSR </w:t>
      </w:r>
      <w:r>
        <w:t xml:space="preserve">program, which </w:t>
      </w:r>
      <w:r w:rsidRPr="000F25DC">
        <w:t xml:space="preserve">provides incentives for employers to hire and employ individuals who have received financial assistance in accordance with Chapter 31, Human Resources Code or medical assistance in accordance with Chapter 32, Human Resources Code (TANF and Medicaid specifically). </w:t>
      </w:r>
      <w:r>
        <w:t>Staff</w:t>
      </w:r>
      <w:r w:rsidRPr="000F25DC">
        <w:t xml:space="preserve"> process the applications and send certified applications to the Comptroller’s Office so a refund can be issued to the employer. The tax refund cannot exceed $2,000 in the first year of employment.</w:t>
      </w:r>
    </w:p>
    <w:p w14:paraId="6B27BC1D" w14:textId="77777777" w:rsidR="006420CB" w:rsidRPr="000F25DC" w:rsidRDefault="006420CB" w:rsidP="00DD3E2C">
      <w:pPr>
        <w:pStyle w:val="BodyText"/>
      </w:pPr>
      <w:r w:rsidRPr="000F25DC">
        <w:t>All applications must be submitted between January 1st and March 31st for the previous calendar year. Processing of applications must be complete</w:t>
      </w:r>
      <w:r>
        <w:t>d</w:t>
      </w:r>
      <w:r w:rsidRPr="000F25DC">
        <w:t xml:space="preserve"> by October 1st. Applications can be submitted by mail, email, or through the online portal. The TSR program is currently handled by one staff member. Fewer than 1,000 applications are received each year. These applications are manually processed due to the requirements for certification.</w:t>
      </w:r>
    </w:p>
    <w:p w14:paraId="6E6887D0" w14:textId="77777777" w:rsidR="006420CB" w:rsidRPr="000F25DC" w:rsidRDefault="006420CB" w:rsidP="00DD3E2C">
      <w:pPr>
        <w:pStyle w:val="BodyText3"/>
        <w:rPr>
          <w:i/>
        </w:rPr>
      </w:pPr>
      <w:r w:rsidRPr="000F25DC">
        <w:t>G. If key to understanding the division or program, identify funding sources and amounts, including federal grants and pass-through monies. Describe any funding formulas or funding conventions. Please</w:t>
      </w:r>
      <w:r w:rsidRPr="000F25DC">
        <w:rPr>
          <w:spacing w:val="-1"/>
        </w:rPr>
        <w:t xml:space="preserve"> </w:t>
      </w:r>
      <w:r w:rsidRPr="000F25DC">
        <w:t>specify</w:t>
      </w:r>
      <w:r w:rsidRPr="000F25DC">
        <w:rPr>
          <w:spacing w:val="-1"/>
        </w:rPr>
        <w:t xml:space="preserve"> </w:t>
      </w:r>
      <w:r w:rsidRPr="000F25DC">
        <w:t>state</w:t>
      </w:r>
      <w:r w:rsidRPr="000F25DC">
        <w:rPr>
          <w:spacing w:val="-1"/>
        </w:rPr>
        <w:t xml:space="preserve"> </w:t>
      </w:r>
      <w:r w:rsidRPr="000F25DC">
        <w:t>funding</w:t>
      </w:r>
      <w:r w:rsidRPr="000F25DC">
        <w:rPr>
          <w:spacing w:val="-1"/>
        </w:rPr>
        <w:t xml:space="preserve"> </w:t>
      </w:r>
      <w:r w:rsidRPr="000F25DC">
        <w:t>sources (e.g., general revenue, appropriations</w:t>
      </w:r>
      <w:r w:rsidRPr="000F25DC">
        <w:rPr>
          <w:spacing w:val="-2"/>
        </w:rPr>
        <w:t xml:space="preserve"> </w:t>
      </w:r>
      <w:r w:rsidRPr="000F25DC">
        <w:t>rider, budget</w:t>
      </w:r>
      <w:r w:rsidRPr="000F25DC">
        <w:rPr>
          <w:spacing w:val="-5"/>
        </w:rPr>
        <w:t xml:space="preserve"> </w:t>
      </w:r>
      <w:r w:rsidRPr="000F25DC">
        <w:t>strategy,</w:t>
      </w:r>
      <w:r w:rsidRPr="000F25DC">
        <w:rPr>
          <w:spacing w:val="-5"/>
        </w:rPr>
        <w:t xml:space="preserve"> </w:t>
      </w:r>
      <w:r w:rsidRPr="000F25DC">
        <w:t>and</w:t>
      </w:r>
      <w:r w:rsidRPr="000F25DC">
        <w:rPr>
          <w:spacing w:val="-5"/>
        </w:rPr>
        <w:t xml:space="preserve"> </w:t>
      </w:r>
      <w:r w:rsidRPr="000F25DC">
        <w:t>fees/dues).</w:t>
      </w:r>
      <w:r w:rsidRPr="000F25DC">
        <w:rPr>
          <w:spacing w:val="-5"/>
        </w:rPr>
        <w:t xml:space="preserve"> </w:t>
      </w:r>
      <w:r w:rsidRPr="000F25DC">
        <w:rPr>
          <w:i/>
        </w:rPr>
        <w:t>(If</w:t>
      </w:r>
      <w:r w:rsidRPr="000F25DC">
        <w:rPr>
          <w:i/>
          <w:spacing w:val="-6"/>
        </w:rPr>
        <w:t xml:space="preserve"> </w:t>
      </w:r>
      <w:r w:rsidRPr="000F25DC">
        <w:rPr>
          <w:i/>
        </w:rPr>
        <w:t>you</w:t>
      </w:r>
      <w:r w:rsidRPr="000F25DC">
        <w:rPr>
          <w:i/>
          <w:spacing w:val="-6"/>
        </w:rPr>
        <w:t xml:space="preserve"> </w:t>
      </w:r>
      <w:r w:rsidRPr="000F25DC">
        <w:rPr>
          <w:i/>
        </w:rPr>
        <w:t>have</w:t>
      </w:r>
      <w:r w:rsidRPr="000F25DC">
        <w:rPr>
          <w:i/>
          <w:spacing w:val="-5"/>
        </w:rPr>
        <w:t xml:space="preserve"> </w:t>
      </w:r>
      <w:r w:rsidRPr="000F25DC">
        <w:rPr>
          <w:i/>
        </w:rPr>
        <w:t>already</w:t>
      </w:r>
      <w:r w:rsidRPr="000F25DC">
        <w:rPr>
          <w:i/>
          <w:spacing w:val="-5"/>
        </w:rPr>
        <w:t xml:space="preserve"> </w:t>
      </w:r>
      <w:r w:rsidRPr="000F25DC">
        <w:rPr>
          <w:i/>
        </w:rPr>
        <w:t>submitted</w:t>
      </w:r>
      <w:r w:rsidRPr="000F25DC">
        <w:rPr>
          <w:i/>
          <w:spacing w:val="-6"/>
        </w:rPr>
        <w:t xml:space="preserve"> </w:t>
      </w:r>
      <w:r w:rsidRPr="000F25DC">
        <w:rPr>
          <w:i/>
        </w:rPr>
        <w:t>funding</w:t>
      </w:r>
      <w:r w:rsidRPr="000F25DC">
        <w:rPr>
          <w:i/>
          <w:spacing w:val="-6"/>
        </w:rPr>
        <w:t xml:space="preserve"> </w:t>
      </w:r>
      <w:r w:rsidRPr="000F25DC">
        <w:rPr>
          <w:i/>
        </w:rPr>
        <w:t>source</w:t>
      </w:r>
      <w:r w:rsidRPr="000F25DC">
        <w:rPr>
          <w:i/>
          <w:spacing w:val="-5"/>
        </w:rPr>
        <w:t xml:space="preserve"> </w:t>
      </w:r>
      <w:r w:rsidRPr="000F25DC">
        <w:rPr>
          <w:i/>
        </w:rPr>
        <w:t>info</w:t>
      </w:r>
      <w:r w:rsidRPr="000F25DC">
        <w:rPr>
          <w:i/>
          <w:spacing w:val="-6"/>
        </w:rPr>
        <w:t xml:space="preserve"> </w:t>
      </w:r>
      <w:r w:rsidRPr="000F25DC">
        <w:rPr>
          <w:i/>
        </w:rPr>
        <w:t>through</w:t>
      </w:r>
      <w:r w:rsidRPr="000F25DC">
        <w:rPr>
          <w:i/>
          <w:spacing w:val="-6"/>
        </w:rPr>
        <w:t xml:space="preserve"> </w:t>
      </w:r>
      <w:r w:rsidRPr="000F25DC">
        <w:rPr>
          <w:i/>
        </w:rPr>
        <w:t>the “Agency Program Information” spreadsheet, please limit your response to funding formulas or funding conventions.)</w:t>
      </w:r>
    </w:p>
    <w:tbl>
      <w:tblPr>
        <w:tblStyle w:val="TableGrid1"/>
        <w:tblW w:w="9288" w:type="dxa"/>
        <w:tblLayout w:type="fixed"/>
        <w:tblCellMar>
          <w:top w:w="58" w:type="dxa"/>
          <w:bottom w:w="58" w:type="dxa"/>
        </w:tblCellMar>
        <w:tblLook w:val="0000" w:firstRow="0" w:lastRow="0" w:firstColumn="0" w:lastColumn="0" w:noHBand="0" w:noVBand="0"/>
      </w:tblPr>
      <w:tblGrid>
        <w:gridCol w:w="3128"/>
        <w:gridCol w:w="2168"/>
        <w:gridCol w:w="1812"/>
        <w:gridCol w:w="2180"/>
      </w:tblGrid>
      <w:tr w:rsidR="008A5458" w14:paraId="2BCA4EAA" w14:textId="77777777" w:rsidTr="003F3520">
        <w:trPr>
          <w:trHeight w:val="610"/>
          <w:tblHeader/>
        </w:trPr>
        <w:tc>
          <w:tcPr>
            <w:tcW w:w="3485" w:type="dxa"/>
            <w:shd w:val="clear" w:color="auto" w:fill="B8CCE4" w:themeFill="accent1" w:themeFillTint="66"/>
            <w:vAlign w:val="center"/>
          </w:tcPr>
          <w:p w14:paraId="22E622D9" w14:textId="77777777" w:rsidR="008A5458" w:rsidRPr="00BD0B77" w:rsidRDefault="008A5458" w:rsidP="003F3520">
            <w:pPr>
              <w:pStyle w:val="TableHeaders"/>
            </w:pPr>
            <w:r w:rsidRPr="00BD0B77">
              <w:t>Program or Function Detail Description</w:t>
            </w:r>
          </w:p>
        </w:tc>
        <w:tc>
          <w:tcPr>
            <w:tcW w:w="2407" w:type="dxa"/>
            <w:shd w:val="clear" w:color="auto" w:fill="B8CCE4" w:themeFill="accent1" w:themeFillTint="66"/>
            <w:vAlign w:val="center"/>
          </w:tcPr>
          <w:p w14:paraId="71D3A3EA" w14:textId="77777777" w:rsidR="008A5458" w:rsidRPr="00BD0B77" w:rsidRDefault="008A5458" w:rsidP="003F3520">
            <w:pPr>
              <w:pStyle w:val="TableHeaders"/>
            </w:pPr>
            <w:r w:rsidRPr="00BD0B77">
              <w:t>Total FY 2024</w:t>
            </w:r>
          </w:p>
        </w:tc>
        <w:tc>
          <w:tcPr>
            <w:tcW w:w="2006" w:type="dxa"/>
            <w:shd w:val="clear" w:color="auto" w:fill="B8CCE4" w:themeFill="accent1" w:themeFillTint="66"/>
            <w:vAlign w:val="center"/>
          </w:tcPr>
          <w:p w14:paraId="5F4433FA" w14:textId="77777777" w:rsidR="008A5458" w:rsidRPr="00BD0B77" w:rsidRDefault="008A5458" w:rsidP="003F3520">
            <w:pPr>
              <w:pStyle w:val="TableHeaders"/>
            </w:pPr>
            <w:r w:rsidRPr="00BD0B77">
              <w:t>Federal Funding</w:t>
            </w:r>
          </w:p>
        </w:tc>
        <w:tc>
          <w:tcPr>
            <w:tcW w:w="2420" w:type="dxa"/>
            <w:shd w:val="clear" w:color="auto" w:fill="B8CCE4" w:themeFill="accent1" w:themeFillTint="66"/>
            <w:vAlign w:val="center"/>
          </w:tcPr>
          <w:p w14:paraId="568AF448" w14:textId="77777777" w:rsidR="008A5458" w:rsidRPr="00BD0B77" w:rsidRDefault="008A5458" w:rsidP="003F3520">
            <w:pPr>
              <w:pStyle w:val="TableHeaders"/>
            </w:pPr>
            <w:r w:rsidRPr="00BD0B77">
              <w:t>State Funding</w:t>
            </w:r>
          </w:p>
        </w:tc>
      </w:tr>
      <w:tr w:rsidR="008A5458" w:rsidRPr="00BD0B77" w14:paraId="4E5F22C0" w14:textId="77777777" w:rsidTr="003F3520">
        <w:trPr>
          <w:trHeight w:val="444"/>
        </w:trPr>
        <w:tc>
          <w:tcPr>
            <w:tcW w:w="3485" w:type="dxa"/>
            <w:vAlign w:val="center"/>
          </w:tcPr>
          <w:p w14:paraId="0B38A7CD" w14:textId="77777777" w:rsidR="008A5458" w:rsidRPr="00BD0B77" w:rsidRDefault="008A5458" w:rsidP="003F3520">
            <w:pPr>
              <w:pStyle w:val="TableText"/>
            </w:pPr>
            <w:r w:rsidRPr="00BD0B77">
              <w:t>Work Opportunity Tax Credit (WOTC)</w:t>
            </w:r>
          </w:p>
        </w:tc>
        <w:tc>
          <w:tcPr>
            <w:tcW w:w="2407" w:type="dxa"/>
            <w:vAlign w:val="center"/>
          </w:tcPr>
          <w:p w14:paraId="178A275C" w14:textId="77777777" w:rsidR="008A5458" w:rsidRPr="00BD0B77" w:rsidRDefault="008A5458" w:rsidP="003F3520">
            <w:pPr>
              <w:pStyle w:val="TableText"/>
              <w:jc w:val="right"/>
            </w:pPr>
            <w:r w:rsidRPr="00BD0B77">
              <w:t xml:space="preserve">1,328,508 </w:t>
            </w:r>
          </w:p>
        </w:tc>
        <w:tc>
          <w:tcPr>
            <w:tcW w:w="2006" w:type="dxa"/>
            <w:vAlign w:val="center"/>
          </w:tcPr>
          <w:p w14:paraId="2A14BDA1" w14:textId="77777777" w:rsidR="008A5458" w:rsidRPr="00BD0B77" w:rsidRDefault="008A5458" w:rsidP="003F3520">
            <w:pPr>
              <w:pStyle w:val="TableText"/>
              <w:jc w:val="right"/>
            </w:pPr>
            <w:r w:rsidRPr="00BD0B77">
              <w:t xml:space="preserve">1,281,525 </w:t>
            </w:r>
          </w:p>
        </w:tc>
        <w:tc>
          <w:tcPr>
            <w:tcW w:w="2420" w:type="dxa"/>
            <w:vAlign w:val="center"/>
          </w:tcPr>
          <w:p w14:paraId="78BB8EB8" w14:textId="77777777" w:rsidR="008A5458" w:rsidRPr="00BD0B77" w:rsidRDefault="008A5458" w:rsidP="003F3520">
            <w:pPr>
              <w:pStyle w:val="TableText"/>
              <w:jc w:val="right"/>
            </w:pPr>
            <w:r w:rsidRPr="00BD0B77">
              <w:t xml:space="preserve">46,983 </w:t>
            </w:r>
          </w:p>
        </w:tc>
      </w:tr>
    </w:tbl>
    <w:p w14:paraId="1B77A46C" w14:textId="6F1DA8F4" w:rsidR="006420CB" w:rsidRPr="000F25DC" w:rsidRDefault="006420CB" w:rsidP="00DD3E2C">
      <w:pPr>
        <w:pStyle w:val="BodyText3"/>
        <w:ind w:left="720" w:hanging="720"/>
      </w:pPr>
      <w:r w:rsidRPr="000F25DC">
        <w:t>H.</w:t>
      </w:r>
      <w:r w:rsidR="00DD3E2C">
        <w:tab/>
      </w:r>
      <w:r w:rsidRPr="000F25DC">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w:t>
      </w:r>
      <w:r w:rsidRPr="000F25DC">
        <w:rPr>
          <w:spacing w:val="-2"/>
        </w:rPr>
        <w:t>population.</w:t>
      </w:r>
    </w:p>
    <w:p w14:paraId="57EB76C9" w14:textId="77777777" w:rsidR="006420CB" w:rsidRDefault="006420CB" w:rsidP="00DD3E2C">
      <w:pPr>
        <w:pStyle w:val="BodyText"/>
      </w:pPr>
      <w:r w:rsidRPr="000F25DC">
        <w:t xml:space="preserve">There are no MOUs specific to the WOTC program.  WOTC uses TWC’s current data sharing agreement with </w:t>
      </w:r>
      <w:r>
        <w:t xml:space="preserve">Texas HHSC </w:t>
      </w:r>
      <w:r w:rsidRPr="000F25DC">
        <w:t xml:space="preserve">and </w:t>
      </w:r>
      <w:r>
        <w:t>TDCJ</w:t>
      </w:r>
      <w:r w:rsidRPr="000F25DC">
        <w:t>.</w:t>
      </w:r>
    </w:p>
    <w:p w14:paraId="426989AA" w14:textId="56BB6FD3" w:rsidR="006420CB" w:rsidRPr="000F25DC" w:rsidRDefault="006420CB" w:rsidP="00DD3E2C">
      <w:pPr>
        <w:pStyle w:val="BodyText3"/>
        <w:ind w:left="720" w:hanging="720"/>
      </w:pPr>
      <w:r w:rsidRPr="000F25DC">
        <w:t>I.</w:t>
      </w:r>
      <w:r w:rsidR="00DD3E2C">
        <w:tab/>
      </w:r>
      <w:r w:rsidRPr="000F25DC">
        <w:t>If</w:t>
      </w:r>
      <w:r w:rsidRPr="000F25DC">
        <w:rPr>
          <w:spacing w:val="-3"/>
        </w:rPr>
        <w:t xml:space="preserve"> </w:t>
      </w:r>
      <w:r w:rsidRPr="000F25DC">
        <w:t>the</w:t>
      </w:r>
      <w:r w:rsidRPr="000F25DC">
        <w:rPr>
          <w:spacing w:val="-2"/>
        </w:rPr>
        <w:t xml:space="preserve"> </w:t>
      </w:r>
      <w:r w:rsidRPr="000F25DC">
        <w:t>division</w:t>
      </w:r>
      <w:r w:rsidRPr="000F25DC">
        <w:rPr>
          <w:spacing w:val="-1"/>
        </w:rPr>
        <w:t xml:space="preserve"> </w:t>
      </w:r>
      <w:r w:rsidRPr="000F25DC">
        <w:t>or</w:t>
      </w:r>
      <w:r w:rsidRPr="000F25DC">
        <w:rPr>
          <w:spacing w:val="-3"/>
        </w:rPr>
        <w:t xml:space="preserve"> </w:t>
      </w:r>
      <w:r w:rsidRPr="000F25DC">
        <w:t>program</w:t>
      </w:r>
      <w:r w:rsidRPr="000F25DC">
        <w:rPr>
          <w:spacing w:val="-2"/>
        </w:rPr>
        <w:t xml:space="preserve"> </w:t>
      </w:r>
      <w:r w:rsidRPr="000F25DC">
        <w:t>works</w:t>
      </w:r>
      <w:r w:rsidRPr="000F25DC">
        <w:rPr>
          <w:spacing w:val="-1"/>
        </w:rPr>
        <w:t xml:space="preserve"> </w:t>
      </w:r>
      <w:r w:rsidRPr="000F25DC">
        <w:t>with</w:t>
      </w:r>
      <w:r w:rsidRPr="000F25DC">
        <w:rPr>
          <w:spacing w:val="-3"/>
        </w:rPr>
        <w:t xml:space="preserve"> </w:t>
      </w:r>
      <w:r w:rsidRPr="000F25DC">
        <w:t>local,</w:t>
      </w:r>
      <w:r w:rsidRPr="000F25DC">
        <w:rPr>
          <w:spacing w:val="-3"/>
        </w:rPr>
        <w:t xml:space="preserve"> </w:t>
      </w:r>
      <w:r w:rsidRPr="000F25DC">
        <w:t>regional,</w:t>
      </w:r>
      <w:r w:rsidRPr="000F25DC">
        <w:rPr>
          <w:spacing w:val="-3"/>
        </w:rPr>
        <w:t xml:space="preserve"> </w:t>
      </w:r>
      <w:r w:rsidRPr="000F25DC">
        <w:t>or federal</w:t>
      </w:r>
      <w:r w:rsidRPr="000F25DC">
        <w:rPr>
          <w:spacing w:val="-3"/>
        </w:rPr>
        <w:t xml:space="preserve"> </w:t>
      </w:r>
      <w:r w:rsidRPr="000F25DC">
        <w:t>units</w:t>
      </w:r>
      <w:r w:rsidRPr="000F25DC">
        <w:rPr>
          <w:spacing w:val="-1"/>
        </w:rPr>
        <w:t xml:space="preserve"> </w:t>
      </w:r>
      <w:r w:rsidRPr="000F25DC">
        <w:t>of</w:t>
      </w:r>
      <w:r w:rsidRPr="000F25DC">
        <w:rPr>
          <w:spacing w:val="-3"/>
        </w:rPr>
        <w:t xml:space="preserve"> </w:t>
      </w:r>
      <w:r w:rsidRPr="000F25DC">
        <w:t>government,</w:t>
      </w:r>
      <w:r w:rsidRPr="000F25DC">
        <w:rPr>
          <w:spacing w:val="-1"/>
        </w:rPr>
        <w:t xml:space="preserve"> </w:t>
      </w:r>
      <w:r w:rsidRPr="000F25DC">
        <w:t>include a brief description of these entities and their relationship to the agency.</w:t>
      </w:r>
    </w:p>
    <w:p w14:paraId="6CBA0A64" w14:textId="77777777" w:rsidR="006420CB" w:rsidRPr="000F25DC" w:rsidRDefault="006420CB" w:rsidP="00DD3E2C">
      <w:pPr>
        <w:pStyle w:val="BodyText"/>
        <w:rPr>
          <w:rFonts w:asciiTheme="minorHAnsi" w:hAnsiTheme="minorHAnsi" w:cstheme="minorHAnsi"/>
          <w:kern w:val="2"/>
          <w:sz w:val="24"/>
          <w:szCs w:val="24"/>
          <w14:ligatures w14:val="standardContextual"/>
        </w:rPr>
      </w:pPr>
      <w:r w:rsidRPr="000F25DC">
        <w:rPr>
          <w:rFonts w:asciiTheme="minorHAnsi" w:hAnsiTheme="minorHAnsi" w:cstheme="minorHAnsi"/>
          <w:kern w:val="2"/>
          <w:sz w:val="24"/>
          <w:szCs w:val="24"/>
          <w14:ligatures w14:val="standardContextual"/>
        </w:rPr>
        <w:lastRenderedPageBreak/>
        <w:t>T</w:t>
      </w:r>
      <w:r>
        <w:rPr>
          <w:rFonts w:asciiTheme="minorHAnsi" w:hAnsiTheme="minorHAnsi" w:cstheme="minorHAnsi"/>
          <w:kern w:val="2"/>
          <w:sz w:val="24"/>
          <w:szCs w:val="24"/>
          <w14:ligatures w14:val="standardContextual"/>
        </w:rPr>
        <w:t>he</w:t>
      </w:r>
      <w:r w:rsidRPr="000F25DC">
        <w:rPr>
          <w:rFonts w:asciiTheme="minorHAnsi" w:hAnsiTheme="minorHAnsi" w:cstheme="minorHAnsi"/>
          <w:kern w:val="2"/>
          <w:sz w:val="24"/>
          <w:szCs w:val="24"/>
          <w14:ligatures w14:val="standardContextual"/>
        </w:rPr>
        <w:t xml:space="preserve"> Local Workforce Development Boards provide employers an overview of the WOTC program through their business services unit</w:t>
      </w:r>
      <w:r>
        <w:rPr>
          <w:rFonts w:asciiTheme="minorHAnsi" w:hAnsiTheme="minorHAnsi" w:cstheme="minorHAnsi"/>
          <w:kern w:val="2"/>
          <w:sz w:val="24"/>
          <w:szCs w:val="24"/>
          <w14:ligatures w14:val="standardContextual"/>
        </w:rPr>
        <w:t>s</w:t>
      </w:r>
      <w:r w:rsidRPr="000F25DC">
        <w:rPr>
          <w:rFonts w:asciiTheme="minorHAnsi" w:hAnsiTheme="minorHAnsi" w:cstheme="minorHAnsi"/>
          <w:kern w:val="2"/>
          <w:sz w:val="24"/>
          <w:szCs w:val="24"/>
          <w14:ligatures w14:val="standardContextual"/>
        </w:rPr>
        <w:t xml:space="preserve">. Additionally, </w:t>
      </w:r>
      <w:r>
        <w:rPr>
          <w:rFonts w:asciiTheme="minorHAnsi" w:hAnsiTheme="minorHAnsi" w:cstheme="minorHAnsi"/>
          <w:kern w:val="2"/>
          <w:sz w:val="24"/>
          <w:szCs w:val="24"/>
          <w14:ligatures w14:val="standardContextual"/>
        </w:rPr>
        <w:t>Boards</w:t>
      </w:r>
      <w:r w:rsidRPr="000F25DC">
        <w:rPr>
          <w:rFonts w:asciiTheme="minorHAnsi" w:hAnsiTheme="minorHAnsi" w:cstheme="minorHAnsi"/>
          <w:kern w:val="2"/>
          <w:sz w:val="24"/>
          <w:szCs w:val="24"/>
          <w14:ligatures w14:val="standardContextual"/>
        </w:rPr>
        <w:t xml:space="preserve"> can request conditional certifications for jobseekers through </w:t>
      </w:r>
      <w:r>
        <w:rPr>
          <w:rFonts w:asciiTheme="minorHAnsi" w:hAnsiTheme="minorHAnsi" w:cstheme="minorHAnsi"/>
          <w:kern w:val="2"/>
          <w:sz w:val="24"/>
          <w:szCs w:val="24"/>
          <w14:ligatures w14:val="standardContextual"/>
        </w:rPr>
        <w:t xml:space="preserve">the </w:t>
      </w:r>
      <w:r w:rsidRPr="000F25DC">
        <w:rPr>
          <w:rFonts w:asciiTheme="minorHAnsi" w:hAnsiTheme="minorHAnsi" w:cstheme="minorHAnsi"/>
          <w:kern w:val="2"/>
          <w:sz w:val="24"/>
          <w:szCs w:val="24"/>
          <w14:ligatures w14:val="standardContextual"/>
        </w:rPr>
        <w:t>T</w:t>
      </w:r>
      <w:r>
        <w:rPr>
          <w:rFonts w:asciiTheme="minorHAnsi" w:hAnsiTheme="minorHAnsi" w:cstheme="minorHAnsi"/>
          <w:kern w:val="2"/>
          <w:sz w:val="24"/>
          <w:szCs w:val="24"/>
          <w14:ligatures w14:val="standardContextual"/>
        </w:rPr>
        <w:t>VC</w:t>
      </w:r>
      <w:r w:rsidRPr="000F25DC">
        <w:rPr>
          <w:rFonts w:asciiTheme="minorHAnsi" w:hAnsiTheme="minorHAnsi" w:cstheme="minorHAnsi"/>
          <w:kern w:val="2"/>
          <w:sz w:val="24"/>
          <w:szCs w:val="24"/>
          <w14:ligatures w14:val="standardContextual"/>
        </w:rPr>
        <w:t xml:space="preserve"> staff, </w:t>
      </w:r>
      <w:r>
        <w:rPr>
          <w:rFonts w:asciiTheme="minorHAnsi" w:hAnsiTheme="minorHAnsi" w:cstheme="minorHAnsi"/>
          <w:kern w:val="2"/>
          <w:sz w:val="24"/>
          <w:szCs w:val="24"/>
          <w14:ligatures w14:val="standardContextual"/>
        </w:rPr>
        <w:t xml:space="preserve">Workforce Solutions Office </w:t>
      </w:r>
      <w:r w:rsidRPr="000F25DC">
        <w:rPr>
          <w:rFonts w:asciiTheme="minorHAnsi" w:hAnsiTheme="minorHAnsi" w:cstheme="minorHAnsi"/>
          <w:kern w:val="2"/>
          <w:sz w:val="24"/>
          <w:szCs w:val="24"/>
          <w14:ligatures w14:val="standardContextual"/>
        </w:rPr>
        <w:t>staff, and Texas Veterans Leadership Program staff.</w:t>
      </w:r>
    </w:p>
    <w:p w14:paraId="4880E0A7" w14:textId="77777777" w:rsidR="006420CB" w:rsidRPr="000F25DC" w:rsidRDefault="006420CB" w:rsidP="00DD3E2C">
      <w:pPr>
        <w:pStyle w:val="BodyText"/>
      </w:pPr>
      <w:r w:rsidRPr="000F25DC">
        <w:t>State workforce agencies submit data to DOLETA through the quarterly electronic submission via the web-based State Workforce Agency Reporting System</w:t>
      </w:r>
      <w:r>
        <w:t>.</w:t>
      </w:r>
      <w:r w:rsidRPr="000F25DC">
        <w:t xml:space="preserve"> The report requires the following information</w:t>
      </w:r>
      <w:r>
        <w:t>.</w:t>
      </w:r>
    </w:p>
    <w:p w14:paraId="13374FDF" w14:textId="77777777" w:rsidR="006420CB" w:rsidRPr="000F25DC" w:rsidRDefault="006420CB" w:rsidP="00C64851">
      <w:pPr>
        <w:pStyle w:val="BodyText"/>
        <w:numPr>
          <w:ilvl w:val="0"/>
          <w:numId w:val="891"/>
        </w:numPr>
      </w:pPr>
      <w:r w:rsidRPr="000F25DC">
        <w:t>Applications Received</w:t>
      </w:r>
    </w:p>
    <w:p w14:paraId="4BFFD263" w14:textId="77777777" w:rsidR="006420CB" w:rsidRPr="000F25DC" w:rsidRDefault="006420CB" w:rsidP="00C64851">
      <w:pPr>
        <w:pStyle w:val="BodyText"/>
        <w:numPr>
          <w:ilvl w:val="1"/>
          <w:numId w:val="891"/>
        </w:numPr>
      </w:pPr>
      <w:r w:rsidRPr="000F25DC">
        <w:t>WOTC applications</w:t>
      </w:r>
    </w:p>
    <w:p w14:paraId="3036F888" w14:textId="77777777" w:rsidR="006420CB" w:rsidRPr="000F25DC" w:rsidRDefault="006420CB" w:rsidP="00C64851">
      <w:pPr>
        <w:pStyle w:val="BodyText"/>
        <w:numPr>
          <w:ilvl w:val="1"/>
          <w:numId w:val="891"/>
        </w:numPr>
      </w:pPr>
      <w:r w:rsidRPr="000F25DC">
        <w:t>Out</w:t>
      </w:r>
      <w:r>
        <w:t>-</w:t>
      </w:r>
      <w:r w:rsidRPr="000F25DC">
        <w:t>of</w:t>
      </w:r>
      <w:r>
        <w:t>-</w:t>
      </w:r>
      <w:r w:rsidRPr="000F25DC">
        <w:t>State Verification of Eligibility requests</w:t>
      </w:r>
    </w:p>
    <w:p w14:paraId="47E947B5" w14:textId="77777777" w:rsidR="006420CB" w:rsidRPr="000F25DC" w:rsidRDefault="006420CB" w:rsidP="00C64851">
      <w:pPr>
        <w:pStyle w:val="BodyText"/>
        <w:numPr>
          <w:ilvl w:val="0"/>
          <w:numId w:val="891"/>
        </w:numPr>
      </w:pPr>
      <w:r w:rsidRPr="000F25DC">
        <w:t>Denials Processed</w:t>
      </w:r>
    </w:p>
    <w:p w14:paraId="5B70BD79" w14:textId="77777777" w:rsidR="006420CB" w:rsidRPr="000F25DC" w:rsidRDefault="006420CB" w:rsidP="00C64851">
      <w:pPr>
        <w:pStyle w:val="BodyText"/>
        <w:numPr>
          <w:ilvl w:val="1"/>
          <w:numId w:val="891"/>
        </w:numPr>
      </w:pPr>
      <w:r w:rsidRPr="000F25DC">
        <w:t>Untimely applications</w:t>
      </w:r>
    </w:p>
    <w:p w14:paraId="0F21B92E" w14:textId="77777777" w:rsidR="006420CB" w:rsidRPr="000F25DC" w:rsidRDefault="006420CB" w:rsidP="00C64851">
      <w:pPr>
        <w:pStyle w:val="BodyText"/>
        <w:numPr>
          <w:ilvl w:val="1"/>
          <w:numId w:val="891"/>
        </w:numPr>
      </w:pPr>
      <w:r w:rsidRPr="000F25DC">
        <w:t>Prior employment</w:t>
      </w:r>
    </w:p>
    <w:p w14:paraId="1BC9D49B" w14:textId="77777777" w:rsidR="006420CB" w:rsidRPr="000F25DC" w:rsidRDefault="006420CB" w:rsidP="00C64851">
      <w:pPr>
        <w:pStyle w:val="BodyText"/>
        <w:numPr>
          <w:ilvl w:val="1"/>
          <w:numId w:val="891"/>
        </w:numPr>
      </w:pPr>
      <w:r w:rsidRPr="000F25DC">
        <w:t>No target group</w:t>
      </w:r>
    </w:p>
    <w:p w14:paraId="28EE0F4F" w14:textId="77777777" w:rsidR="006420CB" w:rsidRPr="000F25DC" w:rsidRDefault="006420CB" w:rsidP="00C64851">
      <w:pPr>
        <w:pStyle w:val="BodyText"/>
        <w:numPr>
          <w:ilvl w:val="0"/>
          <w:numId w:val="891"/>
        </w:numPr>
      </w:pPr>
      <w:r w:rsidRPr="000F25DC">
        <w:t>Certificates Issued</w:t>
      </w:r>
    </w:p>
    <w:p w14:paraId="4FCE0ABD" w14:textId="77777777" w:rsidR="006420CB" w:rsidRPr="000F25DC" w:rsidRDefault="006420CB" w:rsidP="00C64851">
      <w:pPr>
        <w:pStyle w:val="BodyText"/>
        <w:numPr>
          <w:ilvl w:val="1"/>
          <w:numId w:val="891"/>
        </w:numPr>
      </w:pPr>
      <w:r w:rsidRPr="000F25DC">
        <w:t>Broken down by O*Net (Occupational Information Network)</w:t>
      </w:r>
      <w:r>
        <w:t xml:space="preserve"> Code</w:t>
      </w:r>
    </w:p>
    <w:p w14:paraId="2E7EC19D" w14:textId="77777777" w:rsidR="006420CB" w:rsidRPr="000F25DC" w:rsidRDefault="006420CB" w:rsidP="00C64851">
      <w:pPr>
        <w:pStyle w:val="BodyText"/>
        <w:numPr>
          <w:ilvl w:val="1"/>
          <w:numId w:val="891"/>
        </w:numPr>
      </w:pPr>
      <w:r w:rsidRPr="000F25DC">
        <w:t>Broken down by Target Group</w:t>
      </w:r>
    </w:p>
    <w:p w14:paraId="4FD66C6A" w14:textId="77777777" w:rsidR="006420CB" w:rsidRPr="000F25DC" w:rsidRDefault="006420CB" w:rsidP="00C64851">
      <w:pPr>
        <w:pStyle w:val="BodyText"/>
        <w:numPr>
          <w:ilvl w:val="1"/>
          <w:numId w:val="891"/>
        </w:numPr>
      </w:pPr>
      <w:r w:rsidRPr="000F25DC">
        <w:t>Broken down by Wages</w:t>
      </w:r>
    </w:p>
    <w:p w14:paraId="700A0A2D" w14:textId="77777777" w:rsidR="006420CB" w:rsidRPr="000F25DC" w:rsidRDefault="006420CB" w:rsidP="00C64851">
      <w:pPr>
        <w:pStyle w:val="BodyText"/>
        <w:numPr>
          <w:ilvl w:val="0"/>
          <w:numId w:val="891"/>
        </w:numPr>
      </w:pPr>
      <w:r w:rsidRPr="000F25DC">
        <w:t>Needs Pending – applications awaiting a response to a needs letter</w:t>
      </w:r>
    </w:p>
    <w:p w14:paraId="4C356139" w14:textId="77777777" w:rsidR="006420CB" w:rsidRPr="000F25DC" w:rsidRDefault="006420CB" w:rsidP="00C64851">
      <w:pPr>
        <w:pStyle w:val="BodyText"/>
        <w:numPr>
          <w:ilvl w:val="0"/>
          <w:numId w:val="891"/>
        </w:numPr>
      </w:pPr>
      <w:r w:rsidRPr="000F25DC">
        <w:t>Requests needing action (backlog)</w:t>
      </w:r>
    </w:p>
    <w:p w14:paraId="36DFB1BB" w14:textId="0126AB53" w:rsidR="006420CB" w:rsidRPr="000F25DC" w:rsidRDefault="006420CB" w:rsidP="00483971">
      <w:pPr>
        <w:pStyle w:val="BodyText3"/>
        <w:ind w:left="720" w:hanging="720"/>
      </w:pPr>
      <w:r w:rsidRPr="000F25DC">
        <w:t>J.</w:t>
      </w:r>
      <w:r w:rsidR="00483971">
        <w:tab/>
      </w:r>
      <w:r w:rsidRPr="000F25DC">
        <w:t>Are there any barriers or challenges that impede the division or program’s performance, including any outdated or ineffective state laws? Explain.</w:t>
      </w:r>
    </w:p>
    <w:p w14:paraId="3EB22D99" w14:textId="77777777" w:rsidR="006420CB" w:rsidRPr="000F25DC" w:rsidRDefault="006420CB" w:rsidP="00483971">
      <w:pPr>
        <w:pStyle w:val="BodyText"/>
      </w:pPr>
      <w:r w:rsidRPr="000F25DC">
        <w:t>N</w:t>
      </w:r>
      <w:r>
        <w:t>/A</w:t>
      </w:r>
    </w:p>
    <w:p w14:paraId="548C182E" w14:textId="0DB0D627" w:rsidR="006420CB" w:rsidRPr="000F25DC" w:rsidRDefault="006420CB" w:rsidP="00483971">
      <w:pPr>
        <w:pStyle w:val="BodyText3"/>
        <w:ind w:left="720" w:hanging="720"/>
      </w:pPr>
      <w:r w:rsidRPr="000F25DC">
        <w:t>K.</w:t>
      </w:r>
      <w:r w:rsidR="00483971">
        <w:tab/>
      </w:r>
      <w:r w:rsidRPr="000F25DC">
        <w:t>Provide any additional information needed to gain a preliminary understanding of the division or program.</w:t>
      </w:r>
    </w:p>
    <w:p w14:paraId="1D886F22" w14:textId="77777777" w:rsidR="006420CB" w:rsidRPr="000F25DC" w:rsidRDefault="006420CB" w:rsidP="00483971">
      <w:pPr>
        <w:pStyle w:val="BodyText"/>
      </w:pPr>
      <w:r w:rsidRPr="000F25DC">
        <w:t>N</w:t>
      </w:r>
      <w:r>
        <w:t>/A</w:t>
      </w:r>
    </w:p>
    <w:p w14:paraId="161C3DB3" w14:textId="7206E835" w:rsidR="006420CB" w:rsidRPr="000F25DC" w:rsidRDefault="006420CB" w:rsidP="00483971">
      <w:pPr>
        <w:pStyle w:val="BodyText3"/>
        <w:ind w:left="720" w:hanging="720"/>
      </w:pPr>
      <w:r w:rsidRPr="000F25DC">
        <w:lastRenderedPageBreak/>
        <w:t>L.</w:t>
      </w:r>
      <w:r w:rsidR="00483971">
        <w:tab/>
      </w:r>
      <w:r w:rsidRPr="000F25DC">
        <w:t>Regulatory programs relate to the licensing, registration, certification, or permitting of a person, business, piece of equipment, or other entity (e.g., a facility). For each regulatory program, if applicable, describe:</w:t>
      </w:r>
    </w:p>
    <w:p w14:paraId="5477C767" w14:textId="77777777" w:rsidR="006420CB" w:rsidRPr="000F25DC" w:rsidRDefault="006420CB" w:rsidP="00483971">
      <w:pPr>
        <w:pStyle w:val="BodyText"/>
      </w:pPr>
      <w:r w:rsidRPr="000F25DC">
        <w:t>N</w:t>
      </w:r>
      <w:r>
        <w:t>/A</w:t>
      </w:r>
    </w:p>
    <w:p w14:paraId="1229B049" w14:textId="57E433B2" w:rsidR="006420CB" w:rsidRPr="000F25DC" w:rsidRDefault="006420CB" w:rsidP="00483971">
      <w:pPr>
        <w:pStyle w:val="BodyText3"/>
        <w:ind w:left="720" w:hanging="720"/>
      </w:pPr>
      <w:r w:rsidRPr="000F25DC">
        <w:t>M.</w:t>
      </w:r>
      <w:r w:rsidR="00483971">
        <w:tab/>
      </w:r>
      <w:r w:rsidRPr="000F25DC">
        <w:t>For each regulatory</w:t>
      </w:r>
      <w:r w:rsidRPr="000F25DC">
        <w:rPr>
          <w:spacing w:val="-1"/>
        </w:rPr>
        <w:t xml:space="preserve"> </w:t>
      </w:r>
      <w:r w:rsidRPr="000F25DC">
        <w:t>program, if applicable, provide</w:t>
      </w:r>
      <w:r w:rsidRPr="000F25DC">
        <w:rPr>
          <w:spacing w:val="-1"/>
        </w:rPr>
        <w:t xml:space="preserve"> </w:t>
      </w:r>
      <w:r w:rsidRPr="000F25DC">
        <w:t>detailed information on complaint and regulatory actions, including investigations and complaint resolutions. The data should cover the last five fiscal years and give a complete picture of the program’s regulatory activity, including</w:t>
      </w:r>
      <w:r w:rsidRPr="000F25DC">
        <w:rPr>
          <w:spacing w:val="-12"/>
        </w:rPr>
        <w:t xml:space="preserve"> </w:t>
      </w:r>
      <w:r w:rsidRPr="000F25DC">
        <w:t>comprehensive</w:t>
      </w:r>
      <w:r w:rsidRPr="000F25DC">
        <w:rPr>
          <w:spacing w:val="-12"/>
        </w:rPr>
        <w:t xml:space="preserve"> </w:t>
      </w:r>
      <w:r w:rsidRPr="000F25DC">
        <w:t>information</w:t>
      </w:r>
      <w:r w:rsidRPr="000F25DC">
        <w:rPr>
          <w:spacing w:val="-10"/>
        </w:rPr>
        <w:t xml:space="preserve"> </w:t>
      </w:r>
      <w:r w:rsidRPr="000F25DC">
        <w:t>from</w:t>
      </w:r>
      <w:r w:rsidRPr="000F25DC">
        <w:rPr>
          <w:spacing w:val="-12"/>
        </w:rPr>
        <w:t xml:space="preserve"> </w:t>
      </w:r>
      <w:r w:rsidRPr="000F25DC">
        <w:t>initiation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complaint</w:t>
      </w:r>
      <w:r w:rsidRPr="000F25DC">
        <w:rPr>
          <w:spacing w:val="-10"/>
        </w:rPr>
        <w:t xml:space="preserve"> </w:t>
      </w:r>
      <w:r w:rsidRPr="000F25DC">
        <w:t>to</w:t>
      </w:r>
      <w:r w:rsidRPr="000F25DC">
        <w:rPr>
          <w:spacing w:val="-13"/>
        </w:rPr>
        <w:t xml:space="preserve"> </w:t>
      </w:r>
      <w:r w:rsidRPr="000F25DC">
        <w:t>resolution</w:t>
      </w:r>
      <w:r w:rsidRPr="000F25DC">
        <w:rPr>
          <w:spacing w:val="-13"/>
        </w:rPr>
        <w:t xml:space="preserve"> </w:t>
      </w:r>
      <w:r w:rsidRPr="000F25DC">
        <w:t>of</w:t>
      </w:r>
      <w:r w:rsidRPr="000F25DC">
        <w:rPr>
          <w:spacing w:val="-10"/>
        </w:rPr>
        <w:t xml:space="preserve"> </w:t>
      </w:r>
      <w:r w:rsidRPr="000F25DC">
        <w:t>a</w:t>
      </w:r>
      <w:r w:rsidRPr="000F25DC">
        <w:rPr>
          <w:spacing w:val="-12"/>
        </w:rPr>
        <w:t xml:space="preserve"> </w:t>
      </w:r>
      <w:r w:rsidRPr="000F25DC">
        <w:t>case.</w:t>
      </w:r>
      <w:r w:rsidRPr="000F25DC">
        <w:rPr>
          <w:spacing w:val="-10"/>
        </w:rPr>
        <w:t xml:space="preserve"> </w:t>
      </w:r>
      <w:r w:rsidRPr="000F25DC">
        <w:t>The purpose</w:t>
      </w:r>
      <w:r w:rsidRPr="000F25DC">
        <w:rPr>
          <w:spacing w:val="-14"/>
        </w:rPr>
        <w:t xml:space="preserve"> </w:t>
      </w:r>
      <w:r w:rsidRPr="000F25DC">
        <w:t>of</w:t>
      </w:r>
      <w:r w:rsidRPr="000F25DC">
        <w:rPr>
          <w:spacing w:val="-14"/>
        </w:rPr>
        <w:t xml:space="preserve"> </w:t>
      </w:r>
      <w:r w:rsidRPr="000F25DC">
        <w:t>the</w:t>
      </w:r>
      <w:r w:rsidRPr="000F25DC">
        <w:rPr>
          <w:spacing w:val="-13"/>
        </w:rPr>
        <w:t xml:space="preserve"> </w:t>
      </w:r>
      <w:r w:rsidRPr="000F25DC">
        <w:t>table</w:t>
      </w:r>
      <w:r w:rsidRPr="000F25DC">
        <w:rPr>
          <w:spacing w:val="-14"/>
        </w:rPr>
        <w:t xml:space="preserve"> </w:t>
      </w:r>
      <w:r w:rsidRPr="000F25DC">
        <w:t>is</w:t>
      </w:r>
      <w:r w:rsidRPr="000F25DC">
        <w:rPr>
          <w:spacing w:val="-13"/>
        </w:rPr>
        <w:t xml:space="preserve"> </w:t>
      </w:r>
      <w:r w:rsidRPr="000F25DC">
        <w:t>to</w:t>
      </w:r>
      <w:r w:rsidRPr="000F25DC">
        <w:rPr>
          <w:spacing w:val="-14"/>
        </w:rPr>
        <w:t xml:space="preserve"> </w:t>
      </w:r>
      <w:r w:rsidRPr="000F25DC">
        <w:t>create</w:t>
      </w:r>
      <w:r w:rsidRPr="000F25DC">
        <w:rPr>
          <w:spacing w:val="-13"/>
        </w:rPr>
        <w:t xml:space="preserve"> </w:t>
      </w:r>
      <w:r w:rsidRPr="000F25DC">
        <w:t>uniformity</w:t>
      </w:r>
      <w:r w:rsidRPr="000F25DC">
        <w:rPr>
          <w:spacing w:val="-14"/>
        </w:rPr>
        <w:t xml:space="preserve"> </w:t>
      </w:r>
      <w:r w:rsidRPr="000F25DC">
        <w:t>across</w:t>
      </w:r>
      <w:r w:rsidRPr="000F25DC">
        <w:rPr>
          <w:spacing w:val="-14"/>
        </w:rPr>
        <w:t xml:space="preserve"> </w:t>
      </w:r>
      <w:r w:rsidRPr="000F25DC">
        <w:t>agencies</w:t>
      </w:r>
      <w:r w:rsidRPr="000F25DC">
        <w:rPr>
          <w:spacing w:val="-13"/>
        </w:rPr>
        <w:t xml:space="preserve"> </w:t>
      </w:r>
      <w:r w:rsidRPr="000F25DC">
        <w:t>under</w:t>
      </w:r>
      <w:r w:rsidRPr="000F25DC">
        <w:rPr>
          <w:spacing w:val="-14"/>
        </w:rPr>
        <w:t xml:space="preserve"> </w:t>
      </w:r>
      <w:r w:rsidRPr="000F25DC">
        <w:t>review</w:t>
      </w:r>
      <w:r w:rsidRPr="000F25DC">
        <w:rPr>
          <w:spacing w:val="-13"/>
        </w:rPr>
        <w:t xml:space="preserve"> </w:t>
      </w:r>
      <w:r w:rsidRPr="000F25DC">
        <w:t>to</w:t>
      </w:r>
      <w:r w:rsidRPr="000F25DC">
        <w:rPr>
          <w:spacing w:val="-14"/>
        </w:rPr>
        <w:t xml:space="preserve"> </w:t>
      </w:r>
      <w:r w:rsidRPr="000F25DC">
        <w:t>the</w:t>
      </w:r>
      <w:r w:rsidRPr="000F25DC">
        <w:rPr>
          <w:spacing w:val="-13"/>
        </w:rPr>
        <w:t xml:space="preserve"> </w:t>
      </w:r>
      <w:r w:rsidRPr="000F25DC">
        <w:t>extent</w:t>
      </w:r>
      <w:r w:rsidRPr="000F25DC">
        <w:rPr>
          <w:spacing w:val="-14"/>
        </w:rPr>
        <w:t xml:space="preserve"> </w:t>
      </w:r>
      <w:r w:rsidRPr="000F25DC">
        <w:t>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p>
    <w:p w14:paraId="4D0B61CD" w14:textId="75290681" w:rsidR="006420CB" w:rsidRDefault="006420CB" w:rsidP="006740A5">
      <w:pPr>
        <w:pStyle w:val="BodyText"/>
        <w:rPr>
          <w:rFonts w:asciiTheme="minorHAnsi" w:eastAsiaTheme="majorEastAsia" w:hAnsiTheme="minorHAnsi"/>
          <w:kern w:val="2"/>
          <w:sz w:val="24"/>
          <w:szCs w:val="24"/>
          <w14:ligatures w14:val="standardContextual"/>
        </w:rPr>
      </w:pPr>
      <w:r w:rsidRPr="000F25DC">
        <w:t>N</w:t>
      </w:r>
      <w:r>
        <w:t>/A</w:t>
      </w:r>
      <w:bookmarkStart w:id="279" w:name="_Toc2087242029"/>
      <w:r>
        <w:br w:type="page"/>
      </w:r>
    </w:p>
    <w:p w14:paraId="6014FAFA" w14:textId="689161DD" w:rsidR="00C468CB" w:rsidRPr="00C468CB" w:rsidRDefault="00832C47" w:rsidP="009D4C16">
      <w:pPr>
        <w:pStyle w:val="Heading2"/>
      </w:pPr>
      <w:bookmarkStart w:id="280" w:name="_Toc1575329014"/>
      <w:bookmarkStart w:id="281" w:name="_Toc203377327"/>
      <w:bookmarkEnd w:id="279"/>
      <w:r>
        <w:lastRenderedPageBreak/>
        <w:t xml:space="preserve">Operational and Customer </w:t>
      </w:r>
      <w:r w:rsidR="00C468CB" w:rsidRPr="00C468CB">
        <w:t>Support</w:t>
      </w:r>
      <w:bookmarkEnd w:id="280"/>
      <w:r w:rsidR="00C468CB" w:rsidRPr="00C468CB">
        <w:t xml:space="preserve"> </w:t>
      </w:r>
      <w:bookmarkEnd w:id="281"/>
    </w:p>
    <w:p w14:paraId="66DEC47F" w14:textId="56F07CE0" w:rsidR="00C468CB" w:rsidRPr="00C468CB" w:rsidRDefault="00C468CB" w:rsidP="00D57B8B">
      <w:pPr>
        <w:pStyle w:val="BodyText"/>
      </w:pPr>
      <w:r w:rsidRPr="00C468CB">
        <w:t xml:space="preserve">Four TWC divisions provide </w:t>
      </w:r>
      <w:r w:rsidR="00A13C44">
        <w:t>essential</w:t>
      </w:r>
      <w:r w:rsidRPr="00C468CB">
        <w:t xml:space="preserve"> support structures designed to enhance the effectiveness of the agency’s core programs that directly serve the public. While not directly interacting with the public, these divisions are critical to ensuring positive customer experiences, fair processes, data-driven improvements, and program integrity. Customer Care lays the groundwork for positive interactions, the Appellate Services Division ensures fairness and due process in decisions, Information Innovation and Insight provides valuable data and analysis to optimize service delivery, and Fraud Deterrence and Compliance Monitoring safeguards the system against </w:t>
      </w:r>
      <w:r w:rsidR="00801797">
        <w:t>fraud, waste, and</w:t>
      </w:r>
      <w:r w:rsidRPr="00C468CB">
        <w:t xml:space="preserve"> abuse.  Overall, these divisions work interdependently to build a more robust, efficient, and reliable TWC that effectively serves the needs of Texas's workforce and employers. </w:t>
      </w:r>
    </w:p>
    <w:p w14:paraId="2BA8C863" w14:textId="77777777" w:rsidR="00C468CB" w:rsidRPr="00C468CB" w:rsidRDefault="00C468CB" w:rsidP="00193B85">
      <w:pPr>
        <w:pStyle w:val="Heading3"/>
      </w:pPr>
      <w:bookmarkStart w:id="282" w:name="_Toc504846348"/>
      <w:bookmarkStart w:id="283" w:name="_Toc203377328"/>
      <w:r w:rsidRPr="00C468CB">
        <w:t>Appellate Services Division</w:t>
      </w:r>
      <w:bookmarkEnd w:id="282"/>
      <w:bookmarkEnd w:id="283"/>
      <w:r w:rsidRPr="00C468CB">
        <w:t xml:space="preserve"> </w:t>
      </w:r>
    </w:p>
    <w:p w14:paraId="28702D65" w14:textId="62F379D6" w:rsidR="00C468CB" w:rsidRDefault="00C468CB" w:rsidP="00D57B8B">
      <w:pPr>
        <w:pStyle w:val="BodyText"/>
      </w:pPr>
      <w:r w:rsidRPr="00C468CB">
        <w:t xml:space="preserve">TWC’s Appellate Services Division (ASD) reviews and </w:t>
      </w:r>
      <w:r w:rsidR="00E0434D">
        <w:t>issue</w:t>
      </w:r>
      <w:r w:rsidRPr="00C468CB">
        <w:t>s decisions on cases where individuals or employers disagree with initial determinations made by the agency regarding eligibility for unemployment or other programs. This division conducts hearings, reviews evidence, and issues rulings that can be appealed further to civil courts.</w:t>
      </w:r>
    </w:p>
    <w:p w14:paraId="5370300B" w14:textId="73F1A85F" w:rsidR="00043D10" w:rsidRDefault="00043D10" w:rsidP="00043D10">
      <w:pPr>
        <w:pStyle w:val="BodyText3"/>
      </w:pPr>
      <w:r>
        <w:t>Special Program Appeals</w:t>
      </w:r>
    </w:p>
    <w:p w14:paraId="2C9CD738" w14:textId="79FF6A8D" w:rsidR="00366A03" w:rsidRPr="00E549A0" w:rsidRDefault="00366A03" w:rsidP="00C64851">
      <w:pPr>
        <w:pStyle w:val="BodyText3"/>
        <w:numPr>
          <w:ilvl w:val="0"/>
          <w:numId w:val="329"/>
        </w:numPr>
      </w:pPr>
      <w:r w:rsidRPr="00E549A0">
        <w:t>Provide the following information at the beginning of each description. </w:t>
      </w:r>
    </w:p>
    <w:p w14:paraId="17F95511" w14:textId="77777777" w:rsidR="00366A03" w:rsidRPr="00366A03" w:rsidRDefault="00366A03" w:rsidP="00E549A0">
      <w:pPr>
        <w:pStyle w:val="BodyText"/>
      </w:pPr>
      <w:r w:rsidRPr="00366A03">
        <w:t>Name of division or program: Special Program Appeals </w:t>
      </w:r>
    </w:p>
    <w:p w14:paraId="534118DC" w14:textId="77777777" w:rsidR="00366A03" w:rsidRPr="00366A03" w:rsidRDefault="00366A03" w:rsidP="00E549A0">
      <w:pPr>
        <w:pStyle w:val="BodyText"/>
      </w:pPr>
      <w:r w:rsidRPr="00366A03">
        <w:t>Location within the agency: Appellate Services Division </w:t>
      </w:r>
    </w:p>
    <w:p w14:paraId="036385CB" w14:textId="77777777" w:rsidR="00366A03" w:rsidRPr="00366A03" w:rsidRDefault="00366A03" w:rsidP="00E549A0">
      <w:pPr>
        <w:pStyle w:val="BodyText"/>
      </w:pPr>
      <w:r w:rsidRPr="00366A03">
        <w:t>Contact name:  Hugh Daniel (Department Director); Melissa Butler (ASD Deputy Director); Lasha Lenzy (ASD Division Director) </w:t>
      </w:r>
    </w:p>
    <w:p w14:paraId="1C10765E" w14:textId="34A68AAC" w:rsidR="00366A03" w:rsidRPr="00366A03" w:rsidRDefault="00366A03" w:rsidP="00E549A0">
      <w:pPr>
        <w:pStyle w:val="BodyText"/>
      </w:pPr>
      <w:r w:rsidRPr="00366A03">
        <w:t>Statutory citation:</w:t>
      </w:r>
    </w:p>
    <w:p w14:paraId="3E99C1C6" w14:textId="6D33EC49" w:rsidR="00366A03" w:rsidRPr="00366A03" w:rsidRDefault="00304EE3" w:rsidP="00C64851">
      <w:pPr>
        <w:pStyle w:val="BodyText"/>
        <w:numPr>
          <w:ilvl w:val="0"/>
          <w:numId w:val="401"/>
        </w:numPr>
      </w:pPr>
      <w:r>
        <w:t xml:space="preserve">Texas </w:t>
      </w:r>
      <w:r w:rsidR="00366A03" w:rsidRPr="00366A03">
        <w:t>Education Code</w:t>
      </w:r>
      <w:r w:rsidR="007C0416">
        <w:t>,</w:t>
      </w:r>
      <w:r w:rsidR="00366A03" w:rsidRPr="00366A03">
        <w:t xml:space="preserve"> Chapters 132, 204, 208, 212, 61 </w:t>
      </w:r>
    </w:p>
    <w:p w14:paraId="2BABA9AA" w14:textId="0873A7E0" w:rsidR="00366A03" w:rsidRPr="00366A03" w:rsidRDefault="00304EE3" w:rsidP="00C64851">
      <w:pPr>
        <w:pStyle w:val="BodyText"/>
        <w:numPr>
          <w:ilvl w:val="0"/>
          <w:numId w:val="401"/>
        </w:numPr>
      </w:pPr>
      <w:r>
        <w:t xml:space="preserve">Texas </w:t>
      </w:r>
      <w:r w:rsidR="00366A03" w:rsidRPr="00366A03">
        <w:t>Labor Code</w:t>
      </w:r>
      <w:r w:rsidR="007C0416">
        <w:t>,</w:t>
      </w:r>
      <w:r w:rsidR="00366A03" w:rsidRPr="00366A03">
        <w:t xml:space="preserve"> Chapters 51, 61 </w:t>
      </w:r>
    </w:p>
    <w:p w14:paraId="7398A556" w14:textId="2B2A8C15" w:rsidR="00366A03" w:rsidRPr="00366A03" w:rsidRDefault="00366A03" w:rsidP="00C64851">
      <w:pPr>
        <w:pStyle w:val="BodyText"/>
        <w:numPr>
          <w:ilvl w:val="0"/>
          <w:numId w:val="401"/>
        </w:numPr>
      </w:pPr>
      <w:r w:rsidRPr="00366A03">
        <w:t>Texas Property Code</w:t>
      </w:r>
      <w:r w:rsidR="007C0416">
        <w:t>,</w:t>
      </w:r>
      <w:r w:rsidRPr="00366A03">
        <w:t xml:space="preserve"> Chapter 301 </w:t>
      </w:r>
    </w:p>
    <w:p w14:paraId="56052ECE" w14:textId="55C6F1F9" w:rsidR="00366A03" w:rsidRPr="000E4685" w:rsidRDefault="00366A03" w:rsidP="00C64851">
      <w:pPr>
        <w:pStyle w:val="BodyText3"/>
        <w:numPr>
          <w:ilvl w:val="0"/>
          <w:numId w:val="329"/>
        </w:numPr>
      </w:pPr>
      <w:r w:rsidRPr="000E4685">
        <w:t>What is the objective of this division or program? Describe its major activities. </w:t>
      </w:r>
    </w:p>
    <w:p w14:paraId="1FE17C64" w14:textId="77777777" w:rsidR="00366A03" w:rsidRPr="000E4685" w:rsidRDefault="00366A03" w:rsidP="000E4685">
      <w:pPr>
        <w:pStyle w:val="BodyText"/>
      </w:pPr>
      <w:r w:rsidRPr="000E4685">
        <w:t xml:space="preserve">Originally labelled the “special hearings” unit, Special Program Appeals (SPA) was created as a standalone department in 2022 to promote the efficient, consistent, and professional handling of appeals processes across the agency. SPA hearing officers primarily conduct administrative hearings and issue written decisions on lower-level Wage Claim appeals under the Texas Labor Code, Chapter 61 and Tax Liability hearings under TAC §815,113. </w:t>
      </w:r>
      <w:r w:rsidRPr="000E4685">
        <w:lastRenderedPageBreak/>
        <w:t>Additionally, SPA supports other TWC Divisions such as Child Care, Workforce, and Civil Rights. By centralizing appeals processes for diverse divisions under a single department, SPA fosters greater consistency in legal interpretation, reduces redundancies, promotes the sharing of best practices across the agency, and contributes to a more unified and effective TWC. </w:t>
      </w:r>
    </w:p>
    <w:p w14:paraId="14F2DDB3" w14:textId="0B9ACED3" w:rsidR="00366A03" w:rsidRPr="00AB77C8" w:rsidRDefault="00366A03" w:rsidP="00C64851">
      <w:pPr>
        <w:pStyle w:val="BodyText3"/>
        <w:numPr>
          <w:ilvl w:val="0"/>
          <w:numId w:val="329"/>
        </w:numPr>
      </w:pPr>
      <w:r w:rsidRPr="00AB77C8">
        <w:t xml:space="preserve">What information does the agency collect/use to assess the effectiveness and efficiency of this division or program? If applicable, briefly note any LBB performance measures (from Section II, </w:t>
      </w:r>
      <w:proofErr w:type="gramStart"/>
      <w:r w:rsidRPr="00AB77C8">
        <w:t>Exhibit</w:t>
      </w:r>
      <w:proofErr w:type="gramEnd"/>
      <w:r w:rsidRPr="00AB77C8">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442FE216" w14:textId="77777777" w:rsidR="00366A03" w:rsidRPr="00AB77C8" w:rsidRDefault="00366A03" w:rsidP="00AB77C8">
      <w:pPr>
        <w:pStyle w:val="BodyText"/>
      </w:pPr>
      <w:r w:rsidRPr="00AB77C8">
        <w:t>SPA support staff process incoming appeals, schedule those appeals for hearing, send hearing notices and evidentiary packets to the parties, register parties for hearings, answer questions, and ensure decisions are properly mailed. SPA hearing officers conduct the administrative hearings and issue written decisions or present proposed decisions to TWC’s Commissioners.  </w:t>
      </w:r>
    </w:p>
    <w:p w14:paraId="7C013975" w14:textId="613B4C54" w:rsidR="00366A03" w:rsidRPr="00366A03" w:rsidRDefault="00366A03" w:rsidP="00AB77C8">
      <w:pPr>
        <w:pStyle w:val="BodyText"/>
      </w:pPr>
      <w:r w:rsidRPr="00366A03">
        <w:t xml:space="preserve">As SPA matures, efficiencies have been realized. For example, the department identified </w:t>
      </w:r>
      <w:r w:rsidR="00474304">
        <w:t>that</w:t>
      </w:r>
      <w:r w:rsidRPr="00366A03">
        <w:t xml:space="preserve"> both a paper case folder </w:t>
      </w:r>
      <w:r w:rsidR="00286963">
        <w:t xml:space="preserve">was being maintained </w:t>
      </w:r>
      <w:r w:rsidRPr="00366A03">
        <w:t xml:space="preserve">at the state office for documentation retention purposes and an electronic case folder with convenience copies of documents used by hearing officers. SPA staff determined that a paperless process could increase efficiency within the department. </w:t>
      </w:r>
      <w:r w:rsidR="00286963">
        <w:t>A</w:t>
      </w:r>
      <w:r w:rsidRPr="00366A03">
        <w:t xml:space="preserve"> RPI project was initiated in 2024 </w:t>
      </w:r>
      <w:r w:rsidR="00247C21">
        <w:t>seeking</w:t>
      </w:r>
      <w:r w:rsidRPr="00366A03">
        <w:t xml:space="preserve"> to reduce the duplicate, parallel processes and develop a leaner, more efficient workflow. This six-month project made case documents available digitally as a comprehensive records case management system for SPA, without unnecessary printing and re-scanning. Completed on schedule in September 2024, the project eliminated 20 workflow tasks associated with printing and scanning documents, enabled uploading to increase visibility and accessibility of documents in a digital format, reduced approximately 19 minutes of processing time per case, simplified record retention and disposal of printed documents; and created digital case management standard operating procedures for administrative and hearing officer staff. </w:t>
      </w:r>
    </w:p>
    <w:p w14:paraId="56064B0B" w14:textId="10BA393C" w:rsidR="00366A03" w:rsidRPr="00366A03" w:rsidRDefault="00366A03" w:rsidP="00AB77C8">
      <w:pPr>
        <w:pStyle w:val="BodyText"/>
      </w:pPr>
      <w:r w:rsidRPr="00366A03">
        <w:t>SPA production levels are as follows:</w:t>
      </w:r>
    </w:p>
    <w:p w14:paraId="4A79C37B" w14:textId="0A287D70" w:rsidR="00366A03" w:rsidRPr="00366A03" w:rsidRDefault="00366A03" w:rsidP="00366A03">
      <w:pPr>
        <w:pStyle w:val="BodyText"/>
      </w:pPr>
      <w:r w:rsidRPr="00366A03">
        <w:rPr>
          <w:noProof/>
        </w:rPr>
        <w:lastRenderedPageBreak/>
        <w:drawing>
          <wp:inline distT="0" distB="0" distL="0" distR="0" wp14:anchorId="6259AB25" wp14:editId="7E908AC4">
            <wp:extent cx="5173980" cy="6652260"/>
            <wp:effectExtent l="0" t="0" r="7620" b="0"/>
            <wp:docPr id="1552726933" name="Picture 2" descr="Appellate Services Division, Special Program Appeals Decision char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ellate Services Division, Special Program Appeals Decision chart, Pictur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173980" cy="6652260"/>
                    </a:xfrm>
                    <a:prstGeom prst="rect">
                      <a:avLst/>
                    </a:prstGeom>
                    <a:noFill/>
                    <a:ln>
                      <a:noFill/>
                    </a:ln>
                  </pic:spPr>
                </pic:pic>
              </a:graphicData>
            </a:graphic>
          </wp:inline>
        </w:drawing>
      </w:r>
      <w:r w:rsidRPr="00366A03">
        <w:t> </w:t>
      </w:r>
    </w:p>
    <w:p w14:paraId="7607061E" w14:textId="7B8EBADA" w:rsidR="00366A03" w:rsidRPr="00AB77C8" w:rsidRDefault="00366A03" w:rsidP="00C64851">
      <w:pPr>
        <w:pStyle w:val="BodyText3"/>
        <w:numPr>
          <w:ilvl w:val="0"/>
          <w:numId w:val="329"/>
        </w:numPr>
      </w:pPr>
      <w:r w:rsidRPr="00AB77C8">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0682925B" w14:textId="77777777" w:rsidR="00366A03" w:rsidRPr="00366A03" w:rsidRDefault="00366A03" w:rsidP="00AB77C8">
      <w:pPr>
        <w:pStyle w:val="BodyText"/>
      </w:pPr>
      <w:r w:rsidRPr="00366A03">
        <w:t>N/A </w:t>
      </w:r>
    </w:p>
    <w:p w14:paraId="4C74BD10" w14:textId="2FB3EE3A" w:rsidR="00366A03" w:rsidRPr="00AB77C8" w:rsidRDefault="00366A03" w:rsidP="00C64851">
      <w:pPr>
        <w:pStyle w:val="BodyText3"/>
        <w:numPr>
          <w:ilvl w:val="0"/>
          <w:numId w:val="329"/>
        </w:numPr>
      </w:pPr>
      <w:r w:rsidRPr="00AB77C8">
        <w:lastRenderedPageBreak/>
        <w:t>List any qualifications or eligibility requirements for persons or entities affected by this division or program (e.g., licensees, consumers, and landowners). Provide a statistical breakdown of persons or entities affected. </w:t>
      </w:r>
    </w:p>
    <w:p w14:paraId="3585E881" w14:textId="77777777" w:rsidR="00366A03" w:rsidRPr="00366A03" w:rsidRDefault="00366A03" w:rsidP="00AB77C8">
      <w:pPr>
        <w:pStyle w:val="BodyText"/>
      </w:pPr>
      <w:r w:rsidRPr="00366A03">
        <w:t>There are no eligibility requirements beyond the requirement that the affected person or entity have received an adverse determination from the relevant TWC Division regarding the program in question and that the affected person or entity have filed the necessary appeal to have their case adjudicated. Please see Section “f” for more detailed information. </w:t>
      </w:r>
    </w:p>
    <w:p w14:paraId="6D356099" w14:textId="18528316" w:rsidR="00366A03" w:rsidRPr="00AB77C8" w:rsidRDefault="00366A03" w:rsidP="00C64851">
      <w:pPr>
        <w:pStyle w:val="BodyText3"/>
        <w:numPr>
          <w:ilvl w:val="0"/>
          <w:numId w:val="329"/>
        </w:numPr>
      </w:pPr>
      <w:r w:rsidRPr="00AB77C8">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E999E89" w14:textId="3AEC2DEC" w:rsidR="00366A03" w:rsidRPr="00366A03" w:rsidRDefault="00366A03" w:rsidP="00832E8C">
      <w:pPr>
        <w:pStyle w:val="BodyText"/>
      </w:pPr>
      <w:r w:rsidRPr="00366A03">
        <w:t>SPA is responsible for the impartial and efficient resolution of appeals within the supported TWC Divisions and programs. When combined with the SPA hearing officers’ expertise in adjudication, value and efficiency are the natural byproducts.  </w:t>
      </w:r>
    </w:p>
    <w:p w14:paraId="3663A12C" w14:textId="1EFDEC38" w:rsidR="00366A03" w:rsidRPr="00366A03" w:rsidRDefault="00366A03" w:rsidP="00832E8C">
      <w:pPr>
        <w:pStyle w:val="BodyText"/>
      </w:pPr>
      <w:r w:rsidRPr="00366A03">
        <w:t xml:space="preserve">A breakdown of the divisions and programs that SPA supports can be found in </w:t>
      </w:r>
      <w:proofErr w:type="spellStart"/>
      <w:r w:rsidRPr="00366A03">
        <w:t>Exhibit</w:t>
      </w:r>
      <w:r w:rsidR="00DA4DF9">
        <w:t>_GAP_</w:t>
      </w:r>
      <w:r w:rsidRPr="00366A03">
        <w:t>SPAProcesses</w:t>
      </w:r>
      <w:proofErr w:type="spellEnd"/>
      <w:r w:rsidR="00DA4DF9">
        <w:t>.</w:t>
      </w:r>
    </w:p>
    <w:p w14:paraId="272ADFB1" w14:textId="77777777" w:rsidR="00366A03" w:rsidRPr="00832E8C" w:rsidRDefault="00366A03" w:rsidP="00832E8C">
      <w:pPr>
        <w:pStyle w:val="BodyText3"/>
      </w:pPr>
      <w:r w:rsidRPr="00832E8C">
        <w:t>G.</w:t>
      </w:r>
      <w:r w:rsidRPr="00832E8C">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pPr w:leftFromText="180" w:rightFromText="180" w:vertAnchor="text" w:horzAnchor="margin" w:tblpXSpec="center" w:tblpY="323"/>
        <w:tblW w:w="9360" w:type="dxa"/>
        <w:tblCellMar>
          <w:top w:w="58" w:type="dxa"/>
          <w:bottom w:w="58" w:type="dxa"/>
        </w:tblCellMar>
        <w:tblLook w:val="04A0" w:firstRow="1" w:lastRow="0" w:firstColumn="1" w:lastColumn="0" w:noHBand="0" w:noVBand="1"/>
      </w:tblPr>
      <w:tblGrid>
        <w:gridCol w:w="2880"/>
        <w:gridCol w:w="2271"/>
        <w:gridCol w:w="1801"/>
        <w:gridCol w:w="2408"/>
      </w:tblGrid>
      <w:tr w:rsidR="00CE63E3" w:rsidRPr="00B639B5" w14:paraId="49423EAA" w14:textId="77777777" w:rsidTr="00CE63E3">
        <w:trPr>
          <w:trHeight w:val="564"/>
        </w:trPr>
        <w:tc>
          <w:tcPr>
            <w:tcW w:w="2880" w:type="dxa"/>
            <w:shd w:val="clear" w:color="auto" w:fill="B8CCE4" w:themeFill="accent1" w:themeFillTint="66"/>
            <w:vAlign w:val="center"/>
            <w:hideMark/>
          </w:tcPr>
          <w:p w14:paraId="36B584CE" w14:textId="77777777" w:rsidR="00CE63E3" w:rsidRPr="008B525B" w:rsidRDefault="00CE63E3" w:rsidP="00CE63E3">
            <w:pPr>
              <w:pStyle w:val="TableHeaders"/>
              <w:rPr>
                <w:color w:val="000000"/>
              </w:rPr>
            </w:pPr>
            <w:r w:rsidRPr="008B525B">
              <w:t>Program or Function Detail Description</w:t>
            </w:r>
          </w:p>
        </w:tc>
        <w:tc>
          <w:tcPr>
            <w:tcW w:w="2657" w:type="dxa"/>
            <w:shd w:val="clear" w:color="auto" w:fill="B8CCE4" w:themeFill="accent1" w:themeFillTint="66"/>
            <w:vAlign w:val="center"/>
            <w:hideMark/>
          </w:tcPr>
          <w:p w14:paraId="6CB4AB2D" w14:textId="77777777" w:rsidR="00CE63E3" w:rsidRPr="008B525B" w:rsidRDefault="00CE63E3" w:rsidP="00CE63E3">
            <w:pPr>
              <w:pStyle w:val="TableHeaders"/>
              <w:rPr>
                <w:color w:val="000000"/>
              </w:rPr>
            </w:pPr>
            <w:r w:rsidRPr="008B525B">
              <w:t>Total FY 2024</w:t>
            </w:r>
          </w:p>
        </w:tc>
        <w:tc>
          <w:tcPr>
            <w:tcW w:w="2023" w:type="dxa"/>
            <w:shd w:val="clear" w:color="auto" w:fill="B8CCE4" w:themeFill="accent1" w:themeFillTint="66"/>
            <w:vAlign w:val="center"/>
            <w:hideMark/>
          </w:tcPr>
          <w:p w14:paraId="6A17BD1B" w14:textId="77777777" w:rsidR="00CE63E3" w:rsidRPr="008B525B" w:rsidRDefault="00CE63E3" w:rsidP="00CE63E3">
            <w:pPr>
              <w:pStyle w:val="TableHeaders"/>
              <w:rPr>
                <w:color w:val="000000"/>
              </w:rPr>
            </w:pPr>
            <w:r w:rsidRPr="008B525B">
              <w:t>Federal Funding</w:t>
            </w:r>
          </w:p>
        </w:tc>
        <w:tc>
          <w:tcPr>
            <w:tcW w:w="2880" w:type="dxa"/>
            <w:shd w:val="clear" w:color="auto" w:fill="B8CCE4" w:themeFill="accent1" w:themeFillTint="66"/>
            <w:vAlign w:val="center"/>
            <w:hideMark/>
          </w:tcPr>
          <w:p w14:paraId="2BBE940B" w14:textId="77777777" w:rsidR="00CE63E3" w:rsidRPr="008B525B" w:rsidRDefault="00CE63E3" w:rsidP="00CE63E3">
            <w:pPr>
              <w:pStyle w:val="TableHeaders"/>
              <w:rPr>
                <w:color w:val="000000"/>
              </w:rPr>
            </w:pPr>
            <w:r w:rsidRPr="008B525B">
              <w:t>State Funding</w:t>
            </w:r>
          </w:p>
        </w:tc>
      </w:tr>
      <w:tr w:rsidR="00CE63E3" w:rsidRPr="00B639B5" w14:paraId="4769E194" w14:textId="77777777" w:rsidTr="00CE63E3">
        <w:trPr>
          <w:trHeight w:val="288"/>
        </w:trPr>
        <w:tc>
          <w:tcPr>
            <w:tcW w:w="2880" w:type="dxa"/>
            <w:noWrap/>
            <w:vAlign w:val="center"/>
            <w:hideMark/>
          </w:tcPr>
          <w:p w14:paraId="0D6AE357" w14:textId="77777777" w:rsidR="00CE63E3" w:rsidRPr="008B525B" w:rsidRDefault="00CE63E3" w:rsidP="00CE63E3">
            <w:pPr>
              <w:pStyle w:val="TableText"/>
            </w:pPr>
            <w:r w:rsidRPr="008B525B">
              <w:t>Appellate Services</w:t>
            </w:r>
            <w:r>
              <w:t>: Special Appeals and Appeals Tribunal</w:t>
            </w:r>
          </w:p>
        </w:tc>
        <w:tc>
          <w:tcPr>
            <w:tcW w:w="2657" w:type="dxa"/>
            <w:vAlign w:val="center"/>
            <w:hideMark/>
          </w:tcPr>
          <w:p w14:paraId="58A04371" w14:textId="121E7765" w:rsidR="00CE63E3" w:rsidRPr="008B525B" w:rsidRDefault="00CE63E3" w:rsidP="00CE63E3">
            <w:pPr>
              <w:pStyle w:val="TableText"/>
              <w:jc w:val="right"/>
            </w:pPr>
            <w:r w:rsidRPr="008B525B">
              <w:t xml:space="preserve">13,542,669 </w:t>
            </w:r>
          </w:p>
        </w:tc>
        <w:tc>
          <w:tcPr>
            <w:tcW w:w="2023" w:type="dxa"/>
            <w:vAlign w:val="center"/>
            <w:hideMark/>
          </w:tcPr>
          <w:p w14:paraId="174820CB" w14:textId="1A943C52" w:rsidR="00CE63E3" w:rsidRPr="008B525B" w:rsidRDefault="00CE63E3" w:rsidP="00CE63E3">
            <w:pPr>
              <w:pStyle w:val="TableText"/>
              <w:jc w:val="right"/>
            </w:pPr>
            <w:r w:rsidRPr="008B525B">
              <w:t xml:space="preserve">12,504,078 </w:t>
            </w:r>
          </w:p>
        </w:tc>
        <w:tc>
          <w:tcPr>
            <w:tcW w:w="2880" w:type="dxa"/>
            <w:vAlign w:val="center"/>
            <w:hideMark/>
          </w:tcPr>
          <w:p w14:paraId="451EBDF3" w14:textId="1AB86D4E" w:rsidR="00CE63E3" w:rsidRPr="008B525B" w:rsidRDefault="00CE63E3" w:rsidP="00CE63E3">
            <w:pPr>
              <w:pStyle w:val="TableText"/>
              <w:jc w:val="right"/>
            </w:pPr>
            <w:r w:rsidRPr="008B525B">
              <w:t xml:space="preserve">1,038,591 </w:t>
            </w:r>
          </w:p>
        </w:tc>
      </w:tr>
    </w:tbl>
    <w:p w14:paraId="464A74C3" w14:textId="77777777" w:rsidR="00366A03" w:rsidRPr="00832E8C" w:rsidRDefault="00366A03" w:rsidP="00832E8C">
      <w:pPr>
        <w:pStyle w:val="BodyText3"/>
      </w:pPr>
      <w:r w:rsidRPr="00832E8C">
        <w:t>H.</w:t>
      </w:r>
      <w:r w:rsidRPr="00832E8C">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316E3D6C" w14:textId="77777777" w:rsidR="00366A03" w:rsidRPr="00366A03" w:rsidRDefault="00366A03" w:rsidP="00832E8C">
      <w:pPr>
        <w:pStyle w:val="BodyText"/>
      </w:pPr>
      <w:r w:rsidRPr="00366A03">
        <w:t xml:space="preserve">SPA provides specialized adjudication services to the TWC divisions that it supports. There is no analogous program inside the agency; however, the State Office of Administrative Hearings (SOAH) could be considered to provide similar services; but with SPA providing services entirely within TWC, and with TWC not soliciting services from SOAH, any threat </w:t>
      </w:r>
      <w:r w:rsidRPr="00366A03">
        <w:lastRenderedPageBreak/>
        <w:t>of overlap, duplication, or conflict is removed. Additionally, TWC hearings conducted under TWC rules are generally less formal and designed for a quicker resolution than SOAH hearings conducted under the Texas Administrative Procedures Act. </w:t>
      </w:r>
    </w:p>
    <w:p w14:paraId="6D37373E" w14:textId="77777777" w:rsidR="00366A03" w:rsidRPr="00832E8C" w:rsidRDefault="00366A03" w:rsidP="00832E8C">
      <w:pPr>
        <w:pStyle w:val="BodyText3"/>
      </w:pPr>
      <w:r w:rsidRPr="00832E8C">
        <w:t>I.</w:t>
      </w:r>
      <w:r w:rsidRPr="00832E8C">
        <w:tab/>
        <w:t>If the division or program works with local, regional, or federal units of government, include a brief description of these entities and their relationship to the agency. </w:t>
      </w:r>
    </w:p>
    <w:p w14:paraId="7A4F2BA6" w14:textId="0E5BE74E" w:rsidR="00366A03" w:rsidRPr="00366A03" w:rsidRDefault="00155424" w:rsidP="00832E8C">
      <w:pPr>
        <w:pStyle w:val="BodyText"/>
      </w:pPr>
      <w:r>
        <w:t>N/A</w:t>
      </w:r>
    </w:p>
    <w:p w14:paraId="4A4A6F52" w14:textId="77777777" w:rsidR="00366A03" w:rsidRPr="00832E8C" w:rsidRDefault="00366A03" w:rsidP="00832E8C">
      <w:pPr>
        <w:pStyle w:val="BodyText3"/>
      </w:pPr>
      <w:r w:rsidRPr="00832E8C">
        <w:t>J.</w:t>
      </w:r>
      <w:r w:rsidRPr="00832E8C">
        <w:tab/>
        <w:t>Are there any barriers or challenges that impede the division or program’s performance, including any outdated or ineffective state laws? Explain. </w:t>
      </w:r>
    </w:p>
    <w:p w14:paraId="249D8BE9" w14:textId="77777777" w:rsidR="00366A03" w:rsidRPr="00366A03" w:rsidRDefault="00366A03" w:rsidP="00832E8C">
      <w:pPr>
        <w:pStyle w:val="BodyText"/>
      </w:pPr>
      <w:r w:rsidRPr="00366A03">
        <w:t>N/A </w:t>
      </w:r>
    </w:p>
    <w:p w14:paraId="4B0D2B6E" w14:textId="77777777" w:rsidR="00366A03" w:rsidRPr="00832E8C" w:rsidRDefault="00366A03" w:rsidP="00832E8C">
      <w:pPr>
        <w:pStyle w:val="BodyText3"/>
      </w:pPr>
      <w:r w:rsidRPr="00832E8C">
        <w:t>K.</w:t>
      </w:r>
      <w:r w:rsidRPr="00832E8C">
        <w:tab/>
        <w:t>Provide any additional information needed to gain a preliminary understanding of the division or program. </w:t>
      </w:r>
    </w:p>
    <w:p w14:paraId="5348073B" w14:textId="77777777" w:rsidR="00366A03" w:rsidRPr="00366A03" w:rsidRDefault="00366A03" w:rsidP="00832E8C">
      <w:pPr>
        <w:pStyle w:val="BodyText"/>
      </w:pPr>
      <w:r w:rsidRPr="00366A03">
        <w:t>N/A </w:t>
      </w:r>
    </w:p>
    <w:p w14:paraId="0D4A4E55" w14:textId="77777777" w:rsidR="00366A03" w:rsidRPr="00832E8C" w:rsidRDefault="00366A03" w:rsidP="00832E8C">
      <w:pPr>
        <w:pStyle w:val="BodyText3"/>
      </w:pPr>
      <w:r w:rsidRPr="00832E8C">
        <w:t>L.</w:t>
      </w:r>
      <w:r w:rsidRPr="00832E8C">
        <w:tab/>
        <w:t>Regulatory programs relate to the licensing, registration, certification, or permitting of a person, business, piece of equipment, or other entity (e.g., a facility). For each regulatory program, if applicable, describe: </w:t>
      </w:r>
    </w:p>
    <w:p w14:paraId="76ABDBEE" w14:textId="77777777" w:rsidR="00366A03" w:rsidRPr="00832E8C" w:rsidRDefault="00366A03" w:rsidP="00832E8C">
      <w:pPr>
        <w:pStyle w:val="BodyText"/>
      </w:pPr>
      <w:r w:rsidRPr="00832E8C">
        <w:t>N/A </w:t>
      </w:r>
    </w:p>
    <w:p w14:paraId="3A213D7C" w14:textId="77777777" w:rsidR="00366A03" w:rsidRPr="00832E8C" w:rsidRDefault="00366A03" w:rsidP="00832E8C">
      <w:pPr>
        <w:pStyle w:val="BodyText3"/>
      </w:pPr>
      <w:r w:rsidRPr="00832E8C">
        <w:t>M.</w:t>
      </w:r>
      <w:r w:rsidRPr="00832E8C">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621C45AC" w14:textId="7EDDEB51" w:rsidR="003C3650" w:rsidRDefault="00366A03" w:rsidP="00C47D6F">
      <w:pPr>
        <w:pStyle w:val="BodyText"/>
      </w:pPr>
      <w:r w:rsidRPr="00366A03">
        <w:t>N/A</w:t>
      </w:r>
      <w:r w:rsidR="003C3650">
        <w:br w:type="page"/>
      </w:r>
    </w:p>
    <w:p w14:paraId="04C750A0" w14:textId="77777777" w:rsidR="006F2A19" w:rsidRDefault="0058677A" w:rsidP="006F2A19">
      <w:pPr>
        <w:pStyle w:val="BodyText3"/>
      </w:pPr>
      <w:r>
        <w:lastRenderedPageBreak/>
        <w:t>Appeals</w:t>
      </w:r>
      <w:r w:rsidR="006F2A19">
        <w:t xml:space="preserve"> Tribunal</w:t>
      </w:r>
    </w:p>
    <w:p w14:paraId="17857183" w14:textId="5BEBEBF0" w:rsidR="00992624" w:rsidRPr="00992624" w:rsidRDefault="00992624" w:rsidP="006F2A19">
      <w:pPr>
        <w:pStyle w:val="BodyText3"/>
      </w:pPr>
      <w:r w:rsidRPr="00992624">
        <w:t>A.</w:t>
      </w:r>
      <w:r w:rsidRPr="00992624">
        <w:tab/>
        <w:t>Provide the following information at the beginning of each description. </w:t>
      </w:r>
    </w:p>
    <w:p w14:paraId="75606B47" w14:textId="77777777" w:rsidR="00992624" w:rsidRPr="00992624" w:rsidRDefault="00992624" w:rsidP="006F2A19">
      <w:pPr>
        <w:pStyle w:val="BodyText"/>
      </w:pPr>
      <w:r w:rsidRPr="00992624">
        <w:t>Name of division or program: Appeals Department (Lower-Level UI Appeals) </w:t>
      </w:r>
    </w:p>
    <w:p w14:paraId="0F0087F2" w14:textId="77777777" w:rsidR="00992624" w:rsidRPr="00992624" w:rsidRDefault="00992624" w:rsidP="006F2A19">
      <w:pPr>
        <w:pStyle w:val="BodyText"/>
      </w:pPr>
      <w:r w:rsidRPr="00992624">
        <w:t>Location within the agency: Appellate Services Division </w:t>
      </w:r>
    </w:p>
    <w:p w14:paraId="226BF9DA" w14:textId="77777777" w:rsidR="00992624" w:rsidRPr="00992624" w:rsidRDefault="00992624" w:rsidP="006F2A19">
      <w:pPr>
        <w:pStyle w:val="BodyText"/>
      </w:pPr>
      <w:r w:rsidRPr="00992624">
        <w:t>Contact name:  Christina Karnes; Melissa Butler; Lasha Lenzy </w:t>
      </w:r>
    </w:p>
    <w:p w14:paraId="6AF3C555" w14:textId="51D512CB" w:rsidR="00304EE3" w:rsidRDefault="00992624" w:rsidP="00986B80">
      <w:pPr>
        <w:pStyle w:val="BodyText"/>
      </w:pPr>
      <w:r w:rsidRPr="00992624">
        <w:t xml:space="preserve">Statutory citation: Texas Labor Code, Chapters 201-215 &amp; 301 </w:t>
      </w:r>
    </w:p>
    <w:p w14:paraId="3BA719DB" w14:textId="77777777" w:rsidR="00992624" w:rsidRPr="00992624" w:rsidRDefault="00992624" w:rsidP="00AB0879">
      <w:pPr>
        <w:pStyle w:val="BodyText3"/>
        <w:ind w:left="720" w:hanging="720"/>
      </w:pPr>
      <w:r w:rsidRPr="00992624">
        <w:t>B.</w:t>
      </w:r>
      <w:r w:rsidRPr="00992624">
        <w:tab/>
        <w:t>What is the objective of this division or program? Describe its major activities. </w:t>
      </w:r>
    </w:p>
    <w:p w14:paraId="1497B071" w14:textId="1A2356F5" w:rsidR="00992624" w:rsidRPr="00992624" w:rsidRDefault="00992624" w:rsidP="006F2A19">
      <w:pPr>
        <w:pStyle w:val="BodyText"/>
      </w:pPr>
      <w:r w:rsidRPr="00992624">
        <w:t>The appeals department’s purpose flows from the foundational principle that “The right to appeal from a determination is a specific right, and it is essential all State unemployment compensation programs provide the means for ensuring that hearings on appeals shall be fair to all persons concerned.” (Benefit Payment Procedures, Memorandum VII, Part I, Appeals Procedures; Social Security Board, Aug</w:t>
      </w:r>
      <w:r w:rsidR="00523816">
        <w:t>.</w:t>
      </w:r>
      <w:r w:rsidRPr="00992624">
        <w:t xml:space="preserve"> 2, 1938). This principal is enshrined in federal regulations, beginning with the Social Security Act (SSA). Accordingly, TWC is required to operate an </w:t>
      </w:r>
      <w:proofErr w:type="gramStart"/>
      <w:r w:rsidRPr="00992624">
        <w:t>Appeals</w:t>
      </w:r>
      <w:proofErr w:type="gramEnd"/>
      <w:r w:rsidRPr="00992624">
        <w:t xml:space="preserve"> Department aka Lower-Level Unemployment Insurance (UI) Appeals due to federal mandates stemming from the SSA and the U.S. Department of Labor's (USDOL) oversight role. </w:t>
      </w:r>
    </w:p>
    <w:p w14:paraId="1A589647" w14:textId="77777777" w:rsidR="00992624" w:rsidRPr="00992624" w:rsidRDefault="00992624" w:rsidP="006F2A19">
      <w:pPr>
        <w:pStyle w:val="BodyText"/>
      </w:pPr>
      <w:r w:rsidRPr="00992624">
        <w:t>Because the UI program is built upon this unique federal/state partnership, regulatory authority for the UI program (and from it, appeals) is vested in the state Legislature, yet state laws governing UI must conform to federal law, to regulations established by the federal government, and to general guidelines established by USDOL.  </w:t>
      </w:r>
    </w:p>
    <w:p w14:paraId="5389D03F" w14:textId="77777777" w:rsidR="00992624" w:rsidRPr="00992624" w:rsidRDefault="00992624" w:rsidP="006F2A19">
      <w:pPr>
        <w:pStyle w:val="BodyText"/>
      </w:pPr>
      <w:r w:rsidRPr="00992624">
        <w:t>In carrying out its functions, the Appeals Department is charged with ensuring due process by providing fair and impartial hearings that are far less costly than court. The Appeals Department prioritizes providing appeal proceedings that are simple, speedy, and inexpensive. This approach ensures sound, practical, and fair appeal and hearing procedures for claimants and other interested parties, while also promoting responsible resource management. Simplicity in hearings ensures that all parties can understand their rights without the burden of overly formal or technical procedures. Speed in conducting and disposing of hearings helps to ensure prompt benefit payments. Furthermore, cost-effective hearings guarantee that individuals are not deprived of their rights due to financial limitations, and that the state efficiently manages its appellate workload, minimizing unnecessary expenses. </w:t>
      </w:r>
    </w:p>
    <w:p w14:paraId="6906F267" w14:textId="77777777" w:rsidR="00992624" w:rsidRPr="00085F4E" w:rsidRDefault="00992624" w:rsidP="00085F4E">
      <w:pPr>
        <w:pStyle w:val="BodyText"/>
      </w:pPr>
      <w:r w:rsidRPr="00085F4E">
        <w:t xml:space="preserve">Appeals Department staff process incoming appeals, schedule those appeals for hearing, send hearing notices and evidentiary packets to the parties, register parties for hearings, answer questions and promptly hold administrative hearings and issue written decisions accurately and promptly. Appeals Department hearing officers conduct the administrative </w:t>
      </w:r>
      <w:r w:rsidRPr="00085F4E">
        <w:lastRenderedPageBreak/>
        <w:t>hearings and issue written decisions primarily on regular UI benefits lower-level appeals pursuant to the Texas Unemployment Compensation Act (TUCA). Appeals Department staff and hearing officers also handle other appeals related to unemployment, such as: </w:t>
      </w:r>
    </w:p>
    <w:p w14:paraId="4A8E3A60" w14:textId="077BC258" w:rsidR="00992624" w:rsidRPr="00992624" w:rsidRDefault="00992624" w:rsidP="00C64851">
      <w:pPr>
        <w:pStyle w:val="BodyText"/>
        <w:numPr>
          <w:ilvl w:val="0"/>
          <w:numId w:val="330"/>
        </w:numPr>
      </w:pPr>
      <w:r w:rsidRPr="00992624">
        <w:t xml:space="preserve">Disaster Unemployment </w:t>
      </w:r>
      <w:r w:rsidR="00FC2A36" w:rsidRPr="00992624">
        <w:t>Assistance</w:t>
      </w:r>
    </w:p>
    <w:p w14:paraId="4D62505D" w14:textId="2D0129DE" w:rsidR="00992624" w:rsidRPr="00992624" w:rsidRDefault="00992624" w:rsidP="00C64851">
      <w:pPr>
        <w:pStyle w:val="BodyText"/>
        <w:numPr>
          <w:ilvl w:val="0"/>
          <w:numId w:val="330"/>
        </w:numPr>
      </w:pPr>
      <w:r w:rsidRPr="00992624">
        <w:t>State Extended Benefits</w:t>
      </w:r>
    </w:p>
    <w:p w14:paraId="4FB1D14E" w14:textId="231169CC" w:rsidR="00992624" w:rsidRPr="00992624" w:rsidRDefault="00992624" w:rsidP="00C64851">
      <w:pPr>
        <w:pStyle w:val="BodyText"/>
        <w:numPr>
          <w:ilvl w:val="0"/>
          <w:numId w:val="330"/>
        </w:numPr>
      </w:pPr>
      <w:r w:rsidRPr="00992624">
        <w:t>Other federal unemployment programs enacted during times of emergenc</w:t>
      </w:r>
      <w:r w:rsidR="00FC2A36">
        <w:t>y</w:t>
      </w:r>
    </w:p>
    <w:p w14:paraId="63FBA1A2" w14:textId="77777777" w:rsidR="00992624" w:rsidRPr="00992624" w:rsidRDefault="00992624" w:rsidP="00F6510B">
      <w:pPr>
        <w:pStyle w:val="BodyText3"/>
        <w:ind w:left="720" w:hanging="720"/>
      </w:pPr>
      <w:r w:rsidRPr="00992624">
        <w:t>C.</w:t>
      </w:r>
      <w:r w:rsidRPr="00992624">
        <w:tab/>
        <w:t xml:space="preserve">What information does the agency collect/use to assess the effectiveness and efficiency of this division or program? If applicable, briefly note any LBB performance measures (from Section II, </w:t>
      </w:r>
      <w:proofErr w:type="gramStart"/>
      <w:r w:rsidRPr="00992624">
        <w:t>Exhibit</w:t>
      </w:r>
      <w:proofErr w:type="gramEnd"/>
      <w:r w:rsidRPr="00992624">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4774B55E" w14:textId="58CBA3FC" w:rsidR="00992624" w:rsidRPr="00992624" w:rsidRDefault="00992624" w:rsidP="00FC2A36">
      <w:pPr>
        <w:pStyle w:val="BodyText"/>
      </w:pPr>
      <w:r w:rsidRPr="00992624">
        <w:t>Since 2013, the Appeals Department has increased efficiency, improved customer service, and maximized available resources. This has allowed the Appeals Department to increase production from 137,001 processed appeals in FY 2012 to 206,234 in FY</w:t>
      </w:r>
      <w:r w:rsidR="002027B2">
        <w:t xml:space="preserve"> </w:t>
      </w:r>
      <w:r w:rsidRPr="00992624">
        <w:t xml:space="preserve">2024 while maintaining required USDOL quality standards. Currently, budgeted FTEs are 183.5, including support functions. </w:t>
      </w:r>
      <w:r w:rsidR="0088498B">
        <w:t xml:space="preserve">The following chart </w:t>
      </w:r>
      <w:r w:rsidR="00B018C1">
        <w:t xml:space="preserve">sets out </w:t>
      </w:r>
      <w:r w:rsidRPr="00992624">
        <w:t xml:space="preserve">for additional </w:t>
      </w:r>
      <w:r w:rsidR="00B018C1">
        <w:t xml:space="preserve">metric </w:t>
      </w:r>
      <w:r w:rsidRPr="00992624">
        <w:t>information. </w:t>
      </w:r>
    </w:p>
    <w:p w14:paraId="43C9BF4C" w14:textId="7711CAAC" w:rsidR="00992624" w:rsidRPr="00992624" w:rsidRDefault="00992624" w:rsidP="00992624">
      <w:r w:rsidRPr="00992624">
        <w:rPr>
          <w:noProof/>
        </w:rPr>
        <w:lastRenderedPageBreak/>
        <w:drawing>
          <wp:inline distT="0" distB="0" distL="0" distR="0" wp14:anchorId="2297E5B2" wp14:editId="5EA83BFA">
            <wp:extent cx="5173980" cy="6652260"/>
            <wp:effectExtent l="0" t="0" r="7620" b="0"/>
            <wp:docPr id="1479902320" name="Picture 6" descr="Appellate Services Division productivity chart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pellate Services Division productivity charts, Pictur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173980" cy="6652260"/>
                    </a:xfrm>
                    <a:prstGeom prst="rect">
                      <a:avLst/>
                    </a:prstGeom>
                    <a:noFill/>
                    <a:ln>
                      <a:noFill/>
                    </a:ln>
                  </pic:spPr>
                </pic:pic>
              </a:graphicData>
            </a:graphic>
          </wp:inline>
        </w:drawing>
      </w:r>
      <w:r w:rsidRPr="00992624">
        <w:t> </w:t>
      </w:r>
    </w:p>
    <w:p w14:paraId="25A8844E" w14:textId="77777777" w:rsidR="00992624" w:rsidRPr="00992624" w:rsidRDefault="00992624" w:rsidP="00F6510B">
      <w:pPr>
        <w:pStyle w:val="BodyText3"/>
        <w:ind w:left="720" w:hanging="720"/>
      </w:pPr>
      <w:r w:rsidRPr="00992624">
        <w:t>D.</w:t>
      </w:r>
      <w:r w:rsidRPr="00992624">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4CE86F57" w14:textId="44522A20" w:rsidR="00992624" w:rsidRPr="00992624" w:rsidRDefault="000841EB" w:rsidP="002027B2">
      <w:pPr>
        <w:pStyle w:val="BodyText"/>
      </w:pPr>
      <w:r>
        <w:t>N/A</w:t>
      </w:r>
    </w:p>
    <w:p w14:paraId="0C042FA1" w14:textId="77777777" w:rsidR="00992624" w:rsidRPr="00992624" w:rsidRDefault="00992624" w:rsidP="00F6510B">
      <w:pPr>
        <w:pStyle w:val="BodyText3"/>
        <w:ind w:left="720" w:hanging="720"/>
      </w:pPr>
      <w:r w:rsidRPr="00992624">
        <w:lastRenderedPageBreak/>
        <w:t>E.</w:t>
      </w:r>
      <w:r w:rsidRPr="00992624">
        <w:tab/>
        <w:t>List any qualifications or eligibility requirements for persons or entities affected by this division or program (e.g., licensees, consumers, and landowners). Provide a statistical breakdown of persons or entities affected. </w:t>
      </w:r>
    </w:p>
    <w:p w14:paraId="17A3F0DB" w14:textId="77777777" w:rsidR="00992624" w:rsidRPr="00992624" w:rsidRDefault="00992624" w:rsidP="000841EB">
      <w:pPr>
        <w:pStyle w:val="BodyText"/>
      </w:pPr>
      <w:r w:rsidRPr="00992624">
        <w:t>Appeal Tribunal customers are a subset of UI claimants and employers, and must meet the following general requirements to avail themselves of Appeal Tribunal processes: </w:t>
      </w:r>
    </w:p>
    <w:p w14:paraId="075BD256" w14:textId="463B6D68" w:rsidR="00992624" w:rsidRPr="00F6510B" w:rsidRDefault="00992624" w:rsidP="00C64851">
      <w:pPr>
        <w:pStyle w:val="BodyText"/>
        <w:numPr>
          <w:ilvl w:val="0"/>
          <w:numId w:val="402"/>
        </w:numPr>
      </w:pPr>
      <w:r w:rsidRPr="00F6510B">
        <w:t>Must be a party of interest to the case. </w:t>
      </w:r>
    </w:p>
    <w:p w14:paraId="68A0D95F" w14:textId="02B8BD16" w:rsidR="00992624" w:rsidRPr="00F6510B" w:rsidRDefault="00992624" w:rsidP="00C64851">
      <w:pPr>
        <w:pStyle w:val="BodyText"/>
        <w:numPr>
          <w:ilvl w:val="0"/>
          <w:numId w:val="402"/>
        </w:numPr>
      </w:pPr>
      <w:r w:rsidRPr="00F6510B">
        <w:t>Must have received an adverse determination. </w:t>
      </w:r>
    </w:p>
    <w:p w14:paraId="7DC01130" w14:textId="594C960B" w:rsidR="00992624" w:rsidRPr="00F6510B" w:rsidRDefault="00992624" w:rsidP="00C64851">
      <w:pPr>
        <w:pStyle w:val="BodyText"/>
        <w:numPr>
          <w:ilvl w:val="0"/>
          <w:numId w:val="402"/>
        </w:numPr>
      </w:pPr>
      <w:r w:rsidRPr="00F6510B">
        <w:t>Must file the appeal during the statutory 14-day appeal period. </w:t>
      </w:r>
    </w:p>
    <w:p w14:paraId="4C604C0F" w14:textId="77777777" w:rsidR="00992624" w:rsidRPr="00992624" w:rsidRDefault="00992624" w:rsidP="000841EB">
      <w:pPr>
        <w:pStyle w:val="BodyText"/>
      </w:pPr>
      <w:r w:rsidRPr="00992624">
        <w:t>Party of Interest is defined by TWC Rule 15 (40 TAC §815.15). </w:t>
      </w:r>
    </w:p>
    <w:p w14:paraId="2552AB66" w14:textId="77777777" w:rsidR="00992624" w:rsidRPr="00992624" w:rsidRDefault="00992624" w:rsidP="000841EB">
      <w:pPr>
        <w:pStyle w:val="BodyText"/>
      </w:pPr>
      <w:r w:rsidRPr="00992624">
        <w:t>Appeal period is defined by Texas Labor Code §212.053 and 40 TAC §815.32.  </w:t>
      </w:r>
    </w:p>
    <w:p w14:paraId="6F863AA0" w14:textId="7207906F" w:rsidR="00992624" w:rsidRPr="00992624" w:rsidRDefault="00992624" w:rsidP="000841EB">
      <w:pPr>
        <w:pStyle w:val="BodyText"/>
      </w:pPr>
      <w:r w:rsidRPr="00992624">
        <w:t>For FY</w:t>
      </w:r>
      <w:r w:rsidR="00E449B5">
        <w:t xml:space="preserve"> 20</w:t>
      </w:r>
      <w:r w:rsidRPr="00992624">
        <w:t>24, Appeals Department customers were comprised of approximately 80 percent claimant appellants and 20 percent employer appellants. </w:t>
      </w:r>
    </w:p>
    <w:p w14:paraId="0B83EC69" w14:textId="77777777" w:rsidR="00992624" w:rsidRPr="00E449B5" w:rsidRDefault="00992624" w:rsidP="00A66F71">
      <w:pPr>
        <w:pStyle w:val="BodyText3"/>
        <w:ind w:left="720" w:hanging="720"/>
      </w:pPr>
      <w:r w:rsidRPr="00E449B5">
        <w:t>F.</w:t>
      </w:r>
      <w:r w:rsidRPr="00E449B5">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331EE947" w14:textId="77777777" w:rsidR="00992624" w:rsidRPr="00992624" w:rsidRDefault="00992624" w:rsidP="00E449B5">
      <w:pPr>
        <w:pStyle w:val="BodyText"/>
      </w:pPr>
      <w:r w:rsidRPr="00992624">
        <w:t>The Appeals Department is responsible for the impartial and efficient resolution of appeals related to UI programs. With a long-standing history within the agency, the Appeals Department has honed its processes and developed deep expertise in adjudicating these types of cases with a commitment to fairness and accuracy that has made the Appeals Department a trusted arbiter in these critical matters. </w:t>
      </w:r>
    </w:p>
    <w:p w14:paraId="43E80CC1" w14:textId="77777777" w:rsidR="00992624" w:rsidRPr="00992624" w:rsidRDefault="00992624" w:rsidP="00E449B5">
      <w:pPr>
        <w:pStyle w:val="BodyText"/>
      </w:pPr>
      <w:r w:rsidRPr="00992624">
        <w:t>Process Overview: </w:t>
      </w:r>
    </w:p>
    <w:p w14:paraId="383E184A" w14:textId="475A7219" w:rsidR="00992624" w:rsidRPr="00992624" w:rsidRDefault="00992624" w:rsidP="00E449B5">
      <w:pPr>
        <w:pStyle w:val="BodyText"/>
      </w:pPr>
      <w:r w:rsidRPr="00992624">
        <w:t xml:space="preserve">The appeals process typically follows the stages </w:t>
      </w:r>
      <w:r w:rsidR="00A70569">
        <w:t xml:space="preserve">as visually mapped out in </w:t>
      </w:r>
      <w:proofErr w:type="spellStart"/>
      <w:r w:rsidR="00A70569">
        <w:t>Exhibit</w:t>
      </w:r>
      <w:r w:rsidR="009714A0">
        <w:t>_GAP_</w:t>
      </w:r>
      <w:r w:rsidR="00C32C5E">
        <w:t>UI</w:t>
      </w:r>
      <w:proofErr w:type="spellEnd"/>
      <w:r w:rsidR="00C32C5E">
        <w:t xml:space="preserve"> Journey of Appeal</w:t>
      </w:r>
      <w:r w:rsidR="00992E3E">
        <w:t>.</w:t>
      </w:r>
    </w:p>
    <w:p w14:paraId="4C2AAC4D" w14:textId="77777777" w:rsidR="00992624" w:rsidRPr="00992624" w:rsidRDefault="00992624" w:rsidP="00D10091">
      <w:pPr>
        <w:pStyle w:val="BodyText"/>
      </w:pPr>
      <w:r w:rsidRPr="00992624">
        <w:t>Timeliness Metrics: </w:t>
      </w:r>
    </w:p>
    <w:p w14:paraId="1C20DCF8" w14:textId="03A462FE" w:rsidR="00992624" w:rsidRPr="00992624" w:rsidRDefault="00992624" w:rsidP="00D10091">
      <w:pPr>
        <w:pStyle w:val="BodyText"/>
      </w:pPr>
      <w:r w:rsidRPr="00992624">
        <w:t>The Appeals Department is committed to processing appeals in a timely manner in accordance with USDOL and LBB measures. While the exact timeframe can vary depending on the complexity of the case and the volume of appeals being processed, striv</w:t>
      </w:r>
      <w:r w:rsidR="00A17E6D">
        <w:t>ing</w:t>
      </w:r>
      <w:r w:rsidRPr="00992624">
        <w:t xml:space="preserve"> to adhere to the following timeliness and quality measures: </w:t>
      </w:r>
    </w:p>
    <w:p w14:paraId="33C9C526" w14:textId="77777777" w:rsidR="00992624" w:rsidRPr="00992624" w:rsidRDefault="00992624" w:rsidP="00D10091">
      <w:pPr>
        <w:pStyle w:val="BodyText"/>
      </w:pPr>
      <w:r w:rsidRPr="00992624">
        <w:t>USDOL Measures: </w:t>
      </w:r>
    </w:p>
    <w:p w14:paraId="5E9D1F57" w14:textId="77777777" w:rsidR="00992624" w:rsidRPr="00C27E9D" w:rsidRDefault="00992624" w:rsidP="00D10091">
      <w:pPr>
        <w:pStyle w:val="BodyText"/>
        <w:rPr>
          <w:b/>
        </w:rPr>
      </w:pPr>
      <w:r w:rsidRPr="00C27E9D">
        <w:rPr>
          <w:b/>
        </w:rPr>
        <w:t>UI PERFORMS Core Measures: Acceptable Levels of Performance </w:t>
      </w:r>
    </w:p>
    <w:p w14:paraId="4CC832F5" w14:textId="77777777" w:rsidR="00992624" w:rsidRPr="00C16595" w:rsidRDefault="00992624" w:rsidP="00C64851">
      <w:pPr>
        <w:pStyle w:val="BodyText"/>
        <w:numPr>
          <w:ilvl w:val="0"/>
          <w:numId w:val="404"/>
        </w:numPr>
      </w:pPr>
      <w:r w:rsidRPr="00C16595">
        <w:lastRenderedPageBreak/>
        <w:t>Average Age of Pending Lower Authority Appeals: The sum of the ages, in days from filing, of all pending Lower Authority Appeals divided by the number of Lower Authority Appeals.  </w:t>
      </w:r>
    </w:p>
    <w:p w14:paraId="3757BF7D" w14:textId="77777777" w:rsidR="00992624" w:rsidRPr="00C16595" w:rsidRDefault="00992624" w:rsidP="00C64851">
      <w:pPr>
        <w:pStyle w:val="BodyText"/>
        <w:numPr>
          <w:ilvl w:val="1"/>
          <w:numId w:val="404"/>
        </w:numPr>
      </w:pPr>
      <w:r w:rsidRPr="00C16595">
        <w:t>Acceptable Level of Performance ≤30 Days </w:t>
      </w:r>
    </w:p>
    <w:p w14:paraId="3C59FA1F" w14:textId="77777777" w:rsidR="00992624" w:rsidRPr="00C16595" w:rsidRDefault="00992624" w:rsidP="00C64851">
      <w:pPr>
        <w:pStyle w:val="BodyText"/>
        <w:numPr>
          <w:ilvl w:val="0"/>
          <w:numId w:val="404"/>
        </w:numPr>
      </w:pPr>
      <w:r w:rsidRPr="00C16595">
        <w:t>Average Age of Pending Higher Authority Appeals: The sum of the ages, in days from filing, of all pending Higher Authority Appeals divided by the number of Higher Authority Appeals.  </w:t>
      </w:r>
    </w:p>
    <w:p w14:paraId="62DD5DB0" w14:textId="77777777" w:rsidR="00992624" w:rsidRPr="00C16595" w:rsidRDefault="00992624" w:rsidP="00C64851">
      <w:pPr>
        <w:pStyle w:val="BodyText"/>
        <w:numPr>
          <w:ilvl w:val="1"/>
          <w:numId w:val="404"/>
        </w:numPr>
      </w:pPr>
      <w:r w:rsidRPr="00C16595">
        <w:t>Acceptable Level of Performance ≤40 Days </w:t>
      </w:r>
    </w:p>
    <w:p w14:paraId="61600E64" w14:textId="77777777" w:rsidR="00992624" w:rsidRPr="00C16595" w:rsidRDefault="00992624" w:rsidP="00C64851">
      <w:pPr>
        <w:pStyle w:val="BodyText"/>
        <w:numPr>
          <w:ilvl w:val="0"/>
          <w:numId w:val="404"/>
        </w:numPr>
      </w:pPr>
      <w:r w:rsidRPr="00C16595">
        <w:t>Lower Authority Appeals Quality: Percentage of Lower Authority Appeals with Quality Scores equal to or greater than 85% of potential points, based on the evaluation results of quarterly samples selected from the universe of lower authority benefit appeal hearings.  </w:t>
      </w:r>
    </w:p>
    <w:p w14:paraId="3D14E9EB" w14:textId="77777777" w:rsidR="00992624" w:rsidRPr="00C16595" w:rsidRDefault="00992624" w:rsidP="00C64851">
      <w:pPr>
        <w:pStyle w:val="BodyText"/>
        <w:numPr>
          <w:ilvl w:val="1"/>
          <w:numId w:val="404"/>
        </w:numPr>
      </w:pPr>
      <w:r w:rsidRPr="00C16595">
        <w:t>Acceptable Level of Performance ≥80% </w:t>
      </w:r>
    </w:p>
    <w:p w14:paraId="5C7250EA" w14:textId="77777777" w:rsidR="00992624" w:rsidRPr="006C4EB7" w:rsidRDefault="00992624" w:rsidP="00D10091">
      <w:pPr>
        <w:pStyle w:val="BodyText"/>
        <w:rPr>
          <w:b/>
        </w:rPr>
      </w:pPr>
      <w:r w:rsidRPr="006C4EB7">
        <w:rPr>
          <w:b/>
        </w:rPr>
        <w:t>Secretary Standards in Regulations </w:t>
      </w:r>
    </w:p>
    <w:p w14:paraId="28970A5C" w14:textId="41CE7A53" w:rsidR="00992624" w:rsidRPr="00C16595" w:rsidRDefault="00992624" w:rsidP="00C64851">
      <w:pPr>
        <w:pStyle w:val="BodyText"/>
        <w:numPr>
          <w:ilvl w:val="0"/>
          <w:numId w:val="405"/>
        </w:numPr>
      </w:pPr>
      <w:r w:rsidRPr="00C16595">
        <w:t>Lower Authority Appeals (Regulation): Percent decided within 30 days of filing</w:t>
      </w:r>
    </w:p>
    <w:p w14:paraId="45752DBC" w14:textId="77777777" w:rsidR="00992624" w:rsidRPr="00C16595" w:rsidRDefault="00992624" w:rsidP="00C64851">
      <w:pPr>
        <w:pStyle w:val="BodyText"/>
        <w:numPr>
          <w:ilvl w:val="1"/>
          <w:numId w:val="405"/>
        </w:numPr>
      </w:pPr>
      <w:r w:rsidRPr="00C16595">
        <w:t>Acceptable Level of Performance ≥60% </w:t>
      </w:r>
    </w:p>
    <w:p w14:paraId="3B68559F" w14:textId="75728A75" w:rsidR="00992624" w:rsidRPr="00C16595" w:rsidRDefault="00992624" w:rsidP="00C64851">
      <w:pPr>
        <w:pStyle w:val="BodyText"/>
        <w:numPr>
          <w:ilvl w:val="0"/>
          <w:numId w:val="405"/>
        </w:numPr>
      </w:pPr>
      <w:r w:rsidRPr="00C16595">
        <w:t>Lower Authority Appeals (Regulation): Percent decided within 45 days of filing</w:t>
      </w:r>
    </w:p>
    <w:p w14:paraId="2CA983D0" w14:textId="77777777" w:rsidR="00992624" w:rsidRPr="00C16595" w:rsidRDefault="00992624" w:rsidP="00C64851">
      <w:pPr>
        <w:pStyle w:val="BodyText"/>
        <w:numPr>
          <w:ilvl w:val="1"/>
          <w:numId w:val="405"/>
        </w:numPr>
      </w:pPr>
      <w:r w:rsidRPr="00C16595">
        <w:t>Acceptable Level of Performance ≥80% </w:t>
      </w:r>
    </w:p>
    <w:p w14:paraId="7487A588" w14:textId="77777777" w:rsidR="00992624" w:rsidRPr="007E3D2A" w:rsidRDefault="00992624" w:rsidP="0001761B">
      <w:pPr>
        <w:pStyle w:val="BodyText"/>
        <w:rPr>
          <w:b/>
        </w:rPr>
      </w:pPr>
      <w:r w:rsidRPr="007E3D2A">
        <w:rPr>
          <w:b/>
        </w:rPr>
        <w:t>UI PERFORMS Management Information Measures- Secretary’s Standards </w:t>
      </w:r>
    </w:p>
    <w:p w14:paraId="12E6377D" w14:textId="77777777" w:rsidR="00992624" w:rsidRPr="00C16595" w:rsidRDefault="00992624" w:rsidP="00C64851">
      <w:pPr>
        <w:pStyle w:val="BodyText"/>
        <w:numPr>
          <w:ilvl w:val="0"/>
          <w:numId w:val="406"/>
        </w:numPr>
      </w:pPr>
      <w:r w:rsidRPr="00C16595">
        <w:t>Lower Authority Appeals Timeliness  </w:t>
      </w:r>
    </w:p>
    <w:p w14:paraId="24EB6B3D" w14:textId="77777777" w:rsidR="00992624" w:rsidRPr="00C16595" w:rsidRDefault="00992624" w:rsidP="00C64851">
      <w:pPr>
        <w:pStyle w:val="BodyText"/>
        <w:numPr>
          <w:ilvl w:val="1"/>
          <w:numId w:val="406"/>
        </w:numPr>
      </w:pPr>
      <w:r w:rsidRPr="00C16595">
        <w:t>Acceptable Level of Performance: 30 days </w:t>
      </w:r>
    </w:p>
    <w:p w14:paraId="767DB8CE" w14:textId="77777777" w:rsidR="00992624" w:rsidRPr="00C16595" w:rsidRDefault="00992624" w:rsidP="00C64851">
      <w:pPr>
        <w:pStyle w:val="BodyText"/>
        <w:numPr>
          <w:ilvl w:val="0"/>
          <w:numId w:val="406"/>
        </w:numPr>
      </w:pPr>
      <w:r w:rsidRPr="00C16595">
        <w:t>Lower Authority Appeals Timeliness </w:t>
      </w:r>
    </w:p>
    <w:p w14:paraId="5027B923" w14:textId="77777777" w:rsidR="00992624" w:rsidRPr="00C16595" w:rsidRDefault="00992624" w:rsidP="00C64851">
      <w:pPr>
        <w:pStyle w:val="BodyText"/>
        <w:numPr>
          <w:ilvl w:val="1"/>
          <w:numId w:val="406"/>
        </w:numPr>
      </w:pPr>
      <w:r w:rsidRPr="00C16595">
        <w:t>Acceptable Level of Performance: 45 days </w:t>
      </w:r>
    </w:p>
    <w:p w14:paraId="69521A88" w14:textId="77777777" w:rsidR="00992624" w:rsidRPr="00992624" w:rsidRDefault="00992624" w:rsidP="002D64CC">
      <w:pPr>
        <w:pStyle w:val="BodyText"/>
      </w:pPr>
      <w:r w:rsidRPr="00992624">
        <w:t>Other Appeals Measures include: </w:t>
      </w:r>
    </w:p>
    <w:p w14:paraId="0DD0CE5E" w14:textId="77777777" w:rsidR="00992624" w:rsidRPr="00992624" w:rsidRDefault="00992624" w:rsidP="00C64851">
      <w:pPr>
        <w:pStyle w:val="BodyText"/>
        <w:numPr>
          <w:ilvl w:val="0"/>
          <w:numId w:val="403"/>
        </w:numPr>
      </w:pPr>
      <w:r w:rsidRPr="00992624">
        <w:t>Appeals Timeliness Measures and Case Aging Measures </w:t>
      </w:r>
    </w:p>
    <w:p w14:paraId="1E89A266" w14:textId="77777777" w:rsidR="00992624" w:rsidRPr="00992624" w:rsidRDefault="00992624" w:rsidP="00C64851">
      <w:pPr>
        <w:pStyle w:val="BodyText"/>
        <w:numPr>
          <w:ilvl w:val="0"/>
          <w:numId w:val="403"/>
        </w:numPr>
      </w:pPr>
      <w:r w:rsidRPr="00992624">
        <w:t>Lower Authority Appeals Timeliness </w:t>
      </w:r>
    </w:p>
    <w:p w14:paraId="2127EA04" w14:textId="77777777" w:rsidR="00992624" w:rsidRPr="00992624" w:rsidRDefault="00992624" w:rsidP="00C64851">
      <w:pPr>
        <w:pStyle w:val="BodyText"/>
        <w:numPr>
          <w:ilvl w:val="0"/>
          <w:numId w:val="403"/>
        </w:numPr>
      </w:pPr>
      <w:r w:rsidRPr="00992624">
        <w:t>Lower Authority Appeals, Case Aging </w:t>
      </w:r>
    </w:p>
    <w:p w14:paraId="13494F75" w14:textId="77777777" w:rsidR="00992624" w:rsidRPr="00992624" w:rsidRDefault="00992624" w:rsidP="00C64851">
      <w:pPr>
        <w:pStyle w:val="BodyText"/>
        <w:numPr>
          <w:ilvl w:val="0"/>
          <w:numId w:val="403"/>
        </w:numPr>
      </w:pPr>
      <w:r w:rsidRPr="00992624">
        <w:lastRenderedPageBreak/>
        <w:t>Lower Authority Appeals Quality - Due Process </w:t>
      </w:r>
    </w:p>
    <w:p w14:paraId="7E79F139" w14:textId="77777777" w:rsidR="00992624" w:rsidRPr="00992624" w:rsidRDefault="00992624" w:rsidP="002D64CC">
      <w:pPr>
        <w:pStyle w:val="BodyText"/>
      </w:pPr>
      <w:r w:rsidRPr="00992624">
        <w:t>See section II, Key Functions and Performance, for information on LBB measures. </w:t>
      </w:r>
    </w:p>
    <w:p w14:paraId="272820FA" w14:textId="77777777" w:rsidR="00992624" w:rsidRPr="00992624" w:rsidRDefault="00992624" w:rsidP="006E257F">
      <w:pPr>
        <w:pStyle w:val="BodyText3"/>
        <w:ind w:left="720" w:hanging="720"/>
      </w:pPr>
      <w:r w:rsidRPr="00992624">
        <w:t>G.</w:t>
      </w:r>
      <w:r w:rsidRPr="00992624">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992624">
        <w:rPr>
          <w:i/>
          <w:iCs/>
        </w:rPr>
        <w:t>(If you have already submitted funding source info through the “Agency Program Information” spreadsheet, please limit your response to funding formulas or funding conventions.)</w:t>
      </w:r>
      <w:r w:rsidRPr="00992624">
        <w:t> </w:t>
      </w:r>
    </w:p>
    <w:tbl>
      <w:tblPr>
        <w:tblStyle w:val="TableGrid1"/>
        <w:tblW w:w="9360" w:type="dxa"/>
        <w:tblCellMar>
          <w:top w:w="58" w:type="dxa"/>
          <w:bottom w:w="58" w:type="dxa"/>
        </w:tblCellMar>
        <w:tblLook w:val="04A0" w:firstRow="1" w:lastRow="0" w:firstColumn="1" w:lastColumn="0" w:noHBand="0" w:noVBand="1"/>
      </w:tblPr>
      <w:tblGrid>
        <w:gridCol w:w="2880"/>
        <w:gridCol w:w="2271"/>
        <w:gridCol w:w="1801"/>
        <w:gridCol w:w="2408"/>
      </w:tblGrid>
      <w:tr w:rsidR="006F0B44" w:rsidRPr="00B639B5" w14:paraId="0C3C28BC" w14:textId="77777777" w:rsidTr="001F5E94">
        <w:trPr>
          <w:trHeight w:val="564"/>
        </w:trPr>
        <w:tc>
          <w:tcPr>
            <w:tcW w:w="2880" w:type="dxa"/>
            <w:shd w:val="clear" w:color="auto" w:fill="B8CCE4" w:themeFill="accent1" w:themeFillTint="66"/>
            <w:vAlign w:val="center"/>
            <w:hideMark/>
          </w:tcPr>
          <w:p w14:paraId="4AAD48E9" w14:textId="77777777" w:rsidR="006F0B44" w:rsidRPr="008B525B" w:rsidRDefault="006F0B44" w:rsidP="001F5E94">
            <w:pPr>
              <w:pStyle w:val="TableHeaders"/>
              <w:rPr>
                <w:color w:val="000000"/>
              </w:rPr>
            </w:pPr>
            <w:bookmarkStart w:id="284" w:name="_Hlk204167554"/>
            <w:r w:rsidRPr="008B525B">
              <w:t>Program or Function Detail Description</w:t>
            </w:r>
          </w:p>
        </w:tc>
        <w:tc>
          <w:tcPr>
            <w:tcW w:w="2271" w:type="dxa"/>
            <w:shd w:val="clear" w:color="auto" w:fill="B8CCE4" w:themeFill="accent1" w:themeFillTint="66"/>
            <w:vAlign w:val="center"/>
            <w:hideMark/>
          </w:tcPr>
          <w:p w14:paraId="74D2E630" w14:textId="77777777" w:rsidR="006F0B44" w:rsidRPr="008B525B" w:rsidRDefault="006F0B44" w:rsidP="001F5E94">
            <w:pPr>
              <w:pStyle w:val="TableHeaders"/>
              <w:rPr>
                <w:color w:val="000000"/>
              </w:rPr>
            </w:pPr>
            <w:r w:rsidRPr="008B525B">
              <w:t>Total FY 2024</w:t>
            </w:r>
          </w:p>
        </w:tc>
        <w:tc>
          <w:tcPr>
            <w:tcW w:w="1801" w:type="dxa"/>
            <w:shd w:val="clear" w:color="auto" w:fill="B8CCE4" w:themeFill="accent1" w:themeFillTint="66"/>
            <w:vAlign w:val="center"/>
            <w:hideMark/>
          </w:tcPr>
          <w:p w14:paraId="59D5AD95" w14:textId="77777777" w:rsidR="006F0B44" w:rsidRPr="008B525B" w:rsidRDefault="006F0B44" w:rsidP="001F5E94">
            <w:pPr>
              <w:pStyle w:val="TableHeaders"/>
              <w:rPr>
                <w:color w:val="000000"/>
              </w:rPr>
            </w:pPr>
            <w:r w:rsidRPr="008B525B">
              <w:t>Federal Funding</w:t>
            </w:r>
          </w:p>
        </w:tc>
        <w:tc>
          <w:tcPr>
            <w:tcW w:w="2408" w:type="dxa"/>
            <w:shd w:val="clear" w:color="auto" w:fill="B8CCE4" w:themeFill="accent1" w:themeFillTint="66"/>
            <w:vAlign w:val="center"/>
            <w:hideMark/>
          </w:tcPr>
          <w:p w14:paraId="75710790" w14:textId="77777777" w:rsidR="006F0B44" w:rsidRPr="008B525B" w:rsidRDefault="006F0B44" w:rsidP="001F5E94">
            <w:pPr>
              <w:pStyle w:val="TableHeaders"/>
              <w:rPr>
                <w:color w:val="000000"/>
              </w:rPr>
            </w:pPr>
            <w:r w:rsidRPr="008B525B">
              <w:t>State Funding</w:t>
            </w:r>
          </w:p>
        </w:tc>
      </w:tr>
      <w:tr w:rsidR="006F0B44" w:rsidRPr="00B639B5" w14:paraId="7AD2BA37" w14:textId="77777777" w:rsidTr="001F5E94">
        <w:trPr>
          <w:trHeight w:val="288"/>
        </w:trPr>
        <w:tc>
          <w:tcPr>
            <w:tcW w:w="2880" w:type="dxa"/>
            <w:noWrap/>
            <w:vAlign w:val="center"/>
            <w:hideMark/>
          </w:tcPr>
          <w:p w14:paraId="7AF36CDD" w14:textId="77777777" w:rsidR="006F0B44" w:rsidRPr="008B525B" w:rsidRDefault="006F0B44" w:rsidP="001F5E94">
            <w:pPr>
              <w:pStyle w:val="TableText"/>
            </w:pPr>
            <w:r w:rsidRPr="008B525B">
              <w:t>Appellate Services</w:t>
            </w:r>
            <w:r>
              <w:t>: Special Appeals and Appeals Tribunal</w:t>
            </w:r>
          </w:p>
        </w:tc>
        <w:tc>
          <w:tcPr>
            <w:tcW w:w="2271" w:type="dxa"/>
            <w:vAlign w:val="center"/>
            <w:hideMark/>
          </w:tcPr>
          <w:p w14:paraId="67A45FCE" w14:textId="77777777" w:rsidR="006F0B44" w:rsidRPr="008B525B" w:rsidRDefault="006F0B44" w:rsidP="001F5E94">
            <w:pPr>
              <w:pStyle w:val="TableText"/>
              <w:jc w:val="right"/>
            </w:pPr>
            <w:r w:rsidRPr="008B525B">
              <w:t xml:space="preserve">13,542,669 </w:t>
            </w:r>
          </w:p>
        </w:tc>
        <w:tc>
          <w:tcPr>
            <w:tcW w:w="1801" w:type="dxa"/>
            <w:vAlign w:val="center"/>
            <w:hideMark/>
          </w:tcPr>
          <w:p w14:paraId="27FC560D" w14:textId="77777777" w:rsidR="006F0B44" w:rsidRPr="008B525B" w:rsidRDefault="006F0B44" w:rsidP="001F5E94">
            <w:pPr>
              <w:pStyle w:val="TableText"/>
              <w:jc w:val="right"/>
            </w:pPr>
            <w:r w:rsidRPr="008B525B">
              <w:t xml:space="preserve">12,504,078 </w:t>
            </w:r>
          </w:p>
        </w:tc>
        <w:tc>
          <w:tcPr>
            <w:tcW w:w="2408" w:type="dxa"/>
            <w:vAlign w:val="center"/>
            <w:hideMark/>
          </w:tcPr>
          <w:p w14:paraId="167E0000" w14:textId="77777777" w:rsidR="006F0B44" w:rsidRPr="008B525B" w:rsidRDefault="006F0B44" w:rsidP="001F5E94">
            <w:pPr>
              <w:pStyle w:val="TableText"/>
              <w:jc w:val="right"/>
            </w:pPr>
            <w:r w:rsidRPr="008B525B">
              <w:t xml:space="preserve">1,038,591 </w:t>
            </w:r>
          </w:p>
        </w:tc>
      </w:tr>
    </w:tbl>
    <w:bookmarkEnd w:id="284"/>
    <w:p w14:paraId="1CC0A3B0" w14:textId="77777777" w:rsidR="00992624" w:rsidRPr="00992624" w:rsidRDefault="00992624" w:rsidP="006E257F">
      <w:pPr>
        <w:pStyle w:val="BodyText3"/>
        <w:ind w:left="720" w:hanging="720"/>
      </w:pPr>
      <w:r w:rsidRPr="00992624">
        <w:t>H.</w:t>
      </w:r>
      <w:r w:rsidRPr="00992624">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25545E92" w14:textId="0D043FB2" w:rsidR="00992624" w:rsidRPr="00992624" w:rsidRDefault="00992624" w:rsidP="00BC04D0">
      <w:pPr>
        <w:pStyle w:val="BodyText"/>
      </w:pPr>
      <w:r w:rsidRPr="00992624">
        <w:t>N/A</w:t>
      </w:r>
    </w:p>
    <w:p w14:paraId="30BCD364" w14:textId="77777777" w:rsidR="00992624" w:rsidRPr="00992624" w:rsidRDefault="00992624" w:rsidP="006E257F">
      <w:pPr>
        <w:pStyle w:val="BodyText3"/>
        <w:ind w:left="720" w:hanging="720"/>
      </w:pPr>
      <w:r w:rsidRPr="00992624">
        <w:t>I.</w:t>
      </w:r>
      <w:r w:rsidRPr="00992624">
        <w:tab/>
        <w:t>If the division or program works with local, regional, or federal units of government, include a brief description of these entities and their relationship to the agency. </w:t>
      </w:r>
    </w:p>
    <w:p w14:paraId="570680B0" w14:textId="54766D1C" w:rsidR="00992624" w:rsidRPr="00992624" w:rsidRDefault="00992624" w:rsidP="00BC04D0">
      <w:pPr>
        <w:pStyle w:val="BodyText"/>
      </w:pPr>
      <w:r w:rsidRPr="00992624">
        <w:t>The Appeals Department operates within the mandatory federal/state partnership between the USDOL and TWC.  </w:t>
      </w:r>
    </w:p>
    <w:p w14:paraId="2F83C637" w14:textId="77777777" w:rsidR="00992624" w:rsidRPr="00992624" w:rsidRDefault="00992624" w:rsidP="00BC04D0">
      <w:pPr>
        <w:pStyle w:val="BodyText"/>
      </w:pPr>
      <w:r w:rsidRPr="00992624">
        <w:t>USDOL has oversight responsibility for the quality of state UC appellate processes, as outlined in the Social Security Act (SSA). Specifically, the Secretary of Labor certifies states as eligible for administrative grants for the "proper and efficient administration" of their UC law if their unemployment laws are approved under the Federal Unemployment Tax Act (FUTA). USDOL also ensures states have methods of administration that ensure full payment of unemployment compensation when due, and that state law provides an opportunity for a fair hearing before an impartial tribunal for those whose UC claims have been denied. USDOL's authority is derived from Sections 302(a) and 303(a)(1) and (3) of the SSA. </w:t>
      </w:r>
    </w:p>
    <w:p w14:paraId="6D58037F" w14:textId="5E44A5E9" w:rsidR="00992624" w:rsidRPr="00992624" w:rsidRDefault="00992624" w:rsidP="00BC04D0">
      <w:pPr>
        <w:pStyle w:val="BodyText"/>
      </w:pPr>
      <w:r w:rsidRPr="00992624">
        <w:t xml:space="preserve">The relationship between the federal and state entities is </w:t>
      </w:r>
      <w:r w:rsidR="00772E6F">
        <w:t>vital</w:t>
      </w:r>
      <w:r w:rsidRPr="00992624">
        <w:t xml:space="preserve">. The federal government provides the overarching framework, funding, and oversight, while the states implement and administer the program at the local level. Non-compliance by a state can result in a loss of the federal UI tax credit, which would significantly increase costs for employers </w:t>
      </w:r>
      <w:r w:rsidRPr="00992624">
        <w:lastRenderedPageBreak/>
        <w:t>within that state. State cooperation and adherence to federal guidelines are critical to the success of the UI program. </w:t>
      </w:r>
    </w:p>
    <w:p w14:paraId="648AFEF8" w14:textId="77777777" w:rsidR="00992624" w:rsidRPr="00992624" w:rsidRDefault="00992624" w:rsidP="006E257F">
      <w:pPr>
        <w:pStyle w:val="BodyText3"/>
        <w:ind w:left="720" w:hanging="720"/>
      </w:pPr>
      <w:r w:rsidRPr="00992624">
        <w:t>J.</w:t>
      </w:r>
      <w:r w:rsidRPr="00992624">
        <w:tab/>
        <w:t>Are there any barriers or challenges that impede the division or program’s performance, including any outdated or ineffective state laws? Explain. </w:t>
      </w:r>
    </w:p>
    <w:p w14:paraId="43645639" w14:textId="77777777" w:rsidR="00992624" w:rsidRPr="00992624" w:rsidRDefault="00992624" w:rsidP="00767A39">
      <w:pPr>
        <w:pStyle w:val="BodyText"/>
      </w:pPr>
      <w:r w:rsidRPr="00992624">
        <w:t>N/A </w:t>
      </w:r>
    </w:p>
    <w:p w14:paraId="7B4C9249" w14:textId="77777777" w:rsidR="00992624" w:rsidRPr="00992624" w:rsidRDefault="00992624" w:rsidP="006E257F">
      <w:pPr>
        <w:pStyle w:val="BodyText3"/>
        <w:ind w:left="720" w:hanging="720"/>
      </w:pPr>
      <w:r w:rsidRPr="00992624">
        <w:t>K.</w:t>
      </w:r>
      <w:r w:rsidRPr="00992624">
        <w:tab/>
        <w:t>Provide any additional information needed to gain a preliminary understanding of the division or program. </w:t>
      </w:r>
    </w:p>
    <w:p w14:paraId="41C5C699" w14:textId="0A9DB437" w:rsidR="00992624" w:rsidRPr="00992624" w:rsidRDefault="00992624" w:rsidP="00767A39">
      <w:pPr>
        <w:pStyle w:val="BodyText"/>
      </w:pPr>
      <w:r w:rsidRPr="00992624">
        <w:t>TWC maintains historical files including reviews and audits that may provide additional understanding of the partnership with USDOL</w:t>
      </w:r>
      <w:r w:rsidR="009467B0">
        <w:t>,</w:t>
      </w:r>
      <w:r w:rsidRPr="00992624">
        <w:t xml:space="preserve"> if needed. </w:t>
      </w:r>
    </w:p>
    <w:p w14:paraId="26BB31D1" w14:textId="77777777" w:rsidR="00992624" w:rsidRPr="00992624" w:rsidRDefault="00992624" w:rsidP="006E257F">
      <w:pPr>
        <w:pStyle w:val="BodyText3"/>
        <w:ind w:left="720" w:hanging="720"/>
      </w:pPr>
      <w:r w:rsidRPr="00992624">
        <w:t>L.</w:t>
      </w:r>
      <w:r w:rsidRPr="00992624">
        <w:tab/>
        <w:t>Regulatory programs relate to the licensing, registration, certification, or permitting of a person, business, piece of equipment, or other entity (e.g., a facility). For each regulatory program, if applicable, describe: </w:t>
      </w:r>
    </w:p>
    <w:p w14:paraId="7672DA1E" w14:textId="77777777" w:rsidR="00992624" w:rsidRPr="00992624" w:rsidRDefault="00992624" w:rsidP="00767A39">
      <w:pPr>
        <w:pStyle w:val="BodyText"/>
      </w:pPr>
      <w:r w:rsidRPr="00992624">
        <w:t>N/A </w:t>
      </w:r>
    </w:p>
    <w:p w14:paraId="2F269DC5" w14:textId="77777777" w:rsidR="00992624" w:rsidRPr="00992624" w:rsidRDefault="00992624" w:rsidP="006E257F">
      <w:pPr>
        <w:pStyle w:val="BodyText3"/>
        <w:ind w:left="720" w:hanging="720"/>
      </w:pPr>
      <w:r w:rsidRPr="00992624">
        <w:t>M.</w:t>
      </w:r>
      <w:r w:rsidRPr="00992624">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6615DDC2" w14:textId="2C1162C3" w:rsidR="0005229F" w:rsidRDefault="00992624" w:rsidP="00C47D6F">
      <w:pPr>
        <w:pStyle w:val="BodyText"/>
      </w:pPr>
      <w:r w:rsidRPr="00992624">
        <w:t>N/A </w:t>
      </w:r>
      <w:r w:rsidR="0005229F">
        <w:br w:type="page"/>
      </w:r>
    </w:p>
    <w:p w14:paraId="1DE999DC" w14:textId="77777777" w:rsidR="00C468CB" w:rsidRPr="00193B85" w:rsidRDefault="00C468CB" w:rsidP="00193B85">
      <w:pPr>
        <w:pStyle w:val="Heading3"/>
      </w:pPr>
      <w:bookmarkStart w:id="285" w:name="_Toc570078016"/>
      <w:bookmarkStart w:id="286" w:name="_Toc203377329"/>
      <w:r w:rsidRPr="00193B85">
        <w:lastRenderedPageBreak/>
        <w:t>Customer Care Division</w:t>
      </w:r>
      <w:bookmarkEnd w:id="285"/>
      <w:bookmarkEnd w:id="286"/>
      <w:r w:rsidRPr="00193B85">
        <w:t xml:space="preserve"> </w:t>
      </w:r>
    </w:p>
    <w:p w14:paraId="5D4AC584" w14:textId="652B9C05" w:rsidR="00C468CB" w:rsidRDefault="00C468CB" w:rsidP="00D91FFC">
      <w:pPr>
        <w:pStyle w:val="BodyText"/>
      </w:pPr>
      <w:r w:rsidRPr="00C468CB">
        <w:t>Customer Care provides exceptional customer service and streamlines access to agency services. It is a central point of contact, aiming to create a clear pathway for customers seeking information and assistance. The division focuses on continuous improvement by gathering customer feedback, eliminating redundancies, and enhancing online accessibility and usability.  Essentially, the division strives to make all TWC processes more user-friendly and responsive to customer needs.</w:t>
      </w:r>
    </w:p>
    <w:p w14:paraId="1BDBB353" w14:textId="77777777" w:rsidR="00BE1626" w:rsidRDefault="00BE1626" w:rsidP="00BE1626">
      <w:pPr>
        <w:pStyle w:val="BodyText3"/>
      </w:pPr>
      <w:r>
        <w:t xml:space="preserve">Customer Experience </w:t>
      </w:r>
    </w:p>
    <w:p w14:paraId="1005FA05" w14:textId="77777777" w:rsidR="00BE1626" w:rsidRPr="00AB4AC5" w:rsidRDefault="00BE1626" w:rsidP="00AB4AC5">
      <w:pPr>
        <w:pStyle w:val="BodyText3"/>
      </w:pPr>
      <w:r w:rsidRPr="00AB4AC5">
        <w:t>A.</w:t>
      </w:r>
      <w:r w:rsidRPr="00AB4AC5">
        <w:tab/>
        <w:t xml:space="preserve">Provide the following information at the beginning of each description. </w:t>
      </w:r>
    </w:p>
    <w:p w14:paraId="74302A51" w14:textId="77777777" w:rsidR="00BE1626" w:rsidRPr="00AC3D75" w:rsidRDefault="00BE1626" w:rsidP="00C64851">
      <w:pPr>
        <w:pStyle w:val="BodyText"/>
        <w:numPr>
          <w:ilvl w:val="0"/>
          <w:numId w:val="407"/>
        </w:numPr>
      </w:pPr>
      <w:r w:rsidRPr="00AC3D75">
        <w:t xml:space="preserve">Name of division or program: Customer Experience </w:t>
      </w:r>
    </w:p>
    <w:p w14:paraId="4D937FED" w14:textId="77777777" w:rsidR="00BE1626" w:rsidRPr="00AC3D75" w:rsidRDefault="00BE1626" w:rsidP="00C64851">
      <w:pPr>
        <w:pStyle w:val="BodyText"/>
        <w:numPr>
          <w:ilvl w:val="0"/>
          <w:numId w:val="407"/>
        </w:numPr>
      </w:pPr>
      <w:r w:rsidRPr="00AC3D75">
        <w:t xml:space="preserve">Location within the agency: Customer Care </w:t>
      </w:r>
    </w:p>
    <w:p w14:paraId="39E2B4AF" w14:textId="77777777" w:rsidR="00BE1626" w:rsidRPr="00AC3D75" w:rsidRDefault="00BE1626" w:rsidP="00C64851">
      <w:pPr>
        <w:pStyle w:val="BodyText"/>
        <w:numPr>
          <w:ilvl w:val="0"/>
          <w:numId w:val="407"/>
        </w:numPr>
      </w:pPr>
      <w:r w:rsidRPr="00AC3D75">
        <w:t xml:space="preserve">Contact name: Michael Hamilton </w:t>
      </w:r>
    </w:p>
    <w:p w14:paraId="64571FEB" w14:textId="09595901" w:rsidR="00BE1626" w:rsidRDefault="00BE1626" w:rsidP="00C64851">
      <w:pPr>
        <w:pStyle w:val="BodyText"/>
        <w:numPr>
          <w:ilvl w:val="0"/>
          <w:numId w:val="407"/>
        </w:numPr>
      </w:pPr>
      <w:r w:rsidRPr="00AC3D75">
        <w:t>Statutory citation: Texas Administrative Code, Sections 206.50, 206.52,</w:t>
      </w:r>
      <w:r>
        <w:t xml:space="preserve"> 206.53, 206.55, 206.56, 206.70, 206.72, 206.73, and 206.75  </w:t>
      </w:r>
    </w:p>
    <w:p w14:paraId="5B275898" w14:textId="77777777" w:rsidR="00BE1626" w:rsidRDefault="00BE1626" w:rsidP="001D731D">
      <w:pPr>
        <w:pStyle w:val="BodyText3"/>
      </w:pPr>
      <w:r>
        <w:t>B.</w:t>
      </w:r>
      <w:r>
        <w:tab/>
        <w:t xml:space="preserve">What is the objective of this division or program? Describe its major activities. </w:t>
      </w:r>
    </w:p>
    <w:p w14:paraId="0B62F0D8" w14:textId="57EE571F" w:rsidR="00BE1626" w:rsidRDefault="00BE1626" w:rsidP="00BE1626">
      <w:pPr>
        <w:pStyle w:val="BodyText"/>
      </w:pPr>
      <w:r>
        <w:t>TWC</w:t>
      </w:r>
      <w:r w:rsidR="001D731D">
        <w:t>’s</w:t>
      </w:r>
      <w:r>
        <w:t xml:space="preserve"> website (</w:t>
      </w:r>
      <w:hyperlink r:id="rId222" w:history="1">
        <w:r w:rsidR="00891292" w:rsidRPr="00891292">
          <w:rPr>
            <w:rStyle w:val="Hyperlink"/>
          </w:rPr>
          <w:t>Texas Workforce Commission</w:t>
        </w:r>
      </w:hyperlink>
      <w:r>
        <w:t xml:space="preserve">) serves as the comprehensive online resource platform for the public to find and receive TWC services. To achieve this standard, the website was rewritten and upgraded in the fall of 2023.  Upgrades included accessibility enhancements for the customer, standardized level at which the website is written for customer to easily understand content, and webpages being dynamic to be viewed on a mobile device, tablet, or desktop computer. The main objective is to connect individuals with employment opportunities and resources while supporting employers in their workforce needs. The website offers unemployment benefits, information on job training and career services for individuals. It also gives employers information on workforce development, unemployment tax, and recruiting. In addition, the TWC website has resources on labor market trends, </w:t>
      </w:r>
      <w:proofErr w:type="gramStart"/>
      <w:r>
        <w:t>child care</w:t>
      </w:r>
      <w:proofErr w:type="gramEnd"/>
      <w:r>
        <w:t xml:space="preserve"> and early learning, employment laws, grant administration, and local Workforce Development Boards.  </w:t>
      </w:r>
    </w:p>
    <w:p w14:paraId="3568046F" w14:textId="1B7B8F18" w:rsidR="00BE1626" w:rsidRDefault="00BE1626" w:rsidP="00BE1626">
      <w:pPr>
        <w:pStyle w:val="BodyText"/>
      </w:pPr>
      <w:r>
        <w:t>The TWC website provides essential resources for both individuals and employers related to workforce development</w:t>
      </w:r>
      <w:r w:rsidR="00291DC9">
        <w:t>, including</w:t>
      </w:r>
      <w:r>
        <w:t xml:space="preserve">:  </w:t>
      </w:r>
    </w:p>
    <w:p w14:paraId="6C4E68B2" w14:textId="77777777" w:rsidR="00BE1626" w:rsidRDefault="00BE1626" w:rsidP="00BE1626">
      <w:pPr>
        <w:pStyle w:val="BodyText"/>
      </w:pPr>
      <w:r w:rsidRPr="00145363">
        <w:rPr>
          <w:b/>
          <w:bCs/>
        </w:rPr>
        <w:t>Individuals:</w:t>
      </w:r>
      <w:r>
        <w:t xml:space="preserve"> Unemployment, training, career help, labor market data, and </w:t>
      </w:r>
      <w:proofErr w:type="gramStart"/>
      <w:r>
        <w:t>child care</w:t>
      </w:r>
      <w:proofErr w:type="gramEnd"/>
      <w:r>
        <w:t xml:space="preserve"> resources.  </w:t>
      </w:r>
    </w:p>
    <w:p w14:paraId="5C0AAD59" w14:textId="77777777" w:rsidR="00BE1626" w:rsidRDefault="00BE1626" w:rsidP="00BE1626">
      <w:pPr>
        <w:pStyle w:val="BodyText"/>
      </w:pPr>
      <w:r w:rsidRPr="00145363">
        <w:rPr>
          <w:b/>
          <w:bCs/>
        </w:rPr>
        <w:t>Employers:</w:t>
      </w:r>
      <w:r>
        <w:t xml:space="preserve"> Workforce development support, tax information, and recruiting employees. General: employment law, grants, and Workforce Development Boards. </w:t>
      </w:r>
    </w:p>
    <w:p w14:paraId="12A8EDF1" w14:textId="44A6126B" w:rsidR="00BE1626" w:rsidRPr="00345C16" w:rsidRDefault="00BE1626" w:rsidP="00AC3D75">
      <w:pPr>
        <w:pStyle w:val="BodyText"/>
        <w:ind w:left="720" w:hanging="720"/>
        <w:rPr>
          <w:b/>
          <w:bCs/>
        </w:rPr>
      </w:pPr>
      <w:r w:rsidRPr="00345C16">
        <w:rPr>
          <w:b/>
          <w:bCs/>
        </w:rPr>
        <w:lastRenderedPageBreak/>
        <w:t>C.</w:t>
      </w:r>
      <w:r w:rsidRPr="00345C16">
        <w:rPr>
          <w:b/>
          <w:bCs/>
        </w:rPr>
        <w:tab/>
        <w:t xml:space="preserve">What information does the agency collect/use to assess the effectiveness and efficiency of this division or program? If applicable, briefly note any LBB performance measures (from Section II, </w:t>
      </w:r>
      <w:proofErr w:type="gramStart"/>
      <w:r w:rsidRPr="00345C16">
        <w:rPr>
          <w:b/>
          <w:bCs/>
        </w:rPr>
        <w:t>Exhibit</w:t>
      </w:r>
      <w:proofErr w:type="gramEnd"/>
      <w:r w:rsidRPr="00345C16">
        <w:rPr>
          <w:b/>
          <w:bCs/>
        </w:rP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6A540CC2" w14:textId="77777777" w:rsidR="00BE1626" w:rsidRDefault="00BE1626" w:rsidP="00BE1626">
      <w:pPr>
        <w:pStyle w:val="BodyText"/>
      </w:pPr>
      <w:r>
        <w:t xml:space="preserve">To measure effectiveness and efficiency, the department monitors:  </w:t>
      </w:r>
    </w:p>
    <w:p w14:paraId="3190C1F1" w14:textId="11E59C3A" w:rsidR="00BE1626" w:rsidRDefault="00BE1626" w:rsidP="00345C16">
      <w:pPr>
        <w:pStyle w:val="BodyText3"/>
      </w:pPr>
      <w:r>
        <w:t>Website Performance Standards</w:t>
      </w:r>
    </w:p>
    <w:p w14:paraId="056CB7C4" w14:textId="77777777" w:rsidR="00BE1626" w:rsidRDefault="00BE1626" w:rsidP="00BE1626">
      <w:pPr>
        <w:pStyle w:val="BodyText"/>
      </w:pPr>
      <w:r>
        <w:t xml:space="preserve">Digital Certainty Index (DCI) measures the overall quality of the website by combining results from three categories: Quality Assurance, Search Engine Optimization, and Accessibility. Each category receives a percentage </w:t>
      </w:r>
      <w:proofErr w:type="gramStart"/>
      <w:r>
        <w:t>score</w:t>
      </w:r>
      <w:proofErr w:type="gramEnd"/>
      <w:r>
        <w:t xml:space="preserve"> and these scores are weighted differently when calculating the DCI Score.  </w:t>
      </w:r>
    </w:p>
    <w:p w14:paraId="489D4658" w14:textId="77777777" w:rsidR="00BE1626" w:rsidRDefault="00BE1626" w:rsidP="00C64851">
      <w:pPr>
        <w:pStyle w:val="BodyText"/>
        <w:numPr>
          <w:ilvl w:val="0"/>
          <w:numId w:val="52"/>
        </w:numPr>
      </w:pPr>
      <w:r>
        <w:t xml:space="preserve">Quality Assurance measures how credible and usable our site is for the user. The measurement is broken down into these major categories: Content Quality, Content Freshness, Security, and User Experience.  </w:t>
      </w:r>
    </w:p>
    <w:p w14:paraId="2DA4F4E7" w14:textId="77777777" w:rsidR="00BE1626" w:rsidRDefault="00BE1626" w:rsidP="00C64851">
      <w:pPr>
        <w:pStyle w:val="BodyText"/>
        <w:numPr>
          <w:ilvl w:val="0"/>
          <w:numId w:val="52"/>
        </w:numPr>
      </w:pPr>
      <w:r>
        <w:t xml:space="preserve">Search Engine Optimization (SEO) measures how well the site enables search engine optimization in the following major categories: Technical, Content, User Experience, and Mobile.  </w:t>
      </w:r>
    </w:p>
    <w:p w14:paraId="314C7810" w14:textId="77777777" w:rsidR="00BE1626" w:rsidRDefault="00BE1626" w:rsidP="00C64851">
      <w:pPr>
        <w:pStyle w:val="BodyText"/>
        <w:numPr>
          <w:ilvl w:val="0"/>
          <w:numId w:val="52"/>
        </w:numPr>
      </w:pPr>
      <w:r>
        <w:t xml:space="preserve">Accessibility measures how well the site meets Web Content Accessibility Guidelines (WCAG), which are categorized into three levels (A, AA, and AAA) to meet the needs of various situations with different groups.  </w:t>
      </w:r>
    </w:p>
    <w:p w14:paraId="65136EAF" w14:textId="77777777" w:rsidR="00BE1626" w:rsidRDefault="00BE1626" w:rsidP="00C00FE5">
      <w:pPr>
        <w:pStyle w:val="BodyText3"/>
      </w:pPr>
      <w:r>
        <w:t xml:space="preserve">Internal Customer Ticket Close Rate  </w:t>
      </w:r>
    </w:p>
    <w:p w14:paraId="0C4A312A" w14:textId="77777777" w:rsidR="00BE1626" w:rsidRDefault="00BE1626" w:rsidP="00BE1626">
      <w:pPr>
        <w:pStyle w:val="BodyText"/>
      </w:pPr>
      <w:r>
        <w:t xml:space="preserve">Refers to percentage of support of service requests (tickets) successfully resolved and marked as “closed” within a defined period.  </w:t>
      </w:r>
    </w:p>
    <w:p w14:paraId="4013A73E" w14:textId="6E2D5393" w:rsidR="00BE1626" w:rsidRDefault="00BE1626" w:rsidP="00C64851">
      <w:pPr>
        <w:pStyle w:val="BodyText"/>
        <w:numPr>
          <w:ilvl w:val="0"/>
          <w:numId w:val="53"/>
        </w:numPr>
      </w:pPr>
      <w:r>
        <w:t xml:space="preserve">Reflects the efficiency and effectiveness of the Customer Experience team to address and complete internal customer requests.  </w:t>
      </w:r>
    </w:p>
    <w:p w14:paraId="25E0B857" w14:textId="77777777" w:rsidR="00BE1626" w:rsidRPr="00C00FE5" w:rsidRDefault="00BE1626" w:rsidP="00BE1626">
      <w:pPr>
        <w:pStyle w:val="BodyText"/>
        <w:rPr>
          <w:b/>
          <w:bCs/>
        </w:rPr>
      </w:pPr>
      <w:r w:rsidRPr="00C00FE5">
        <w:rPr>
          <w:b/>
          <w:bCs/>
        </w:rPr>
        <w:t xml:space="preserve">Website Analytics  </w:t>
      </w:r>
    </w:p>
    <w:p w14:paraId="33F68A56" w14:textId="77777777" w:rsidR="00BE1626" w:rsidRDefault="00BE1626" w:rsidP="00BE1626">
      <w:pPr>
        <w:pStyle w:val="BodyText"/>
      </w:pPr>
      <w:r>
        <w:t xml:space="preserve">Data collected about users' interaction with the website which allows:  </w:t>
      </w:r>
    </w:p>
    <w:p w14:paraId="086562EA" w14:textId="77777777" w:rsidR="00BE1626" w:rsidRDefault="00BE1626" w:rsidP="00C64851">
      <w:pPr>
        <w:pStyle w:val="BodyText"/>
        <w:numPr>
          <w:ilvl w:val="0"/>
          <w:numId w:val="53"/>
        </w:numPr>
      </w:pPr>
      <w:r>
        <w:t xml:space="preserve">data-driven decisions about the audience, their interests, and ease of content navigation.  </w:t>
      </w:r>
    </w:p>
    <w:p w14:paraId="1FE79F58" w14:textId="77777777" w:rsidR="00BE1626" w:rsidRDefault="00BE1626" w:rsidP="00C64851">
      <w:pPr>
        <w:pStyle w:val="BodyText"/>
        <w:numPr>
          <w:ilvl w:val="0"/>
          <w:numId w:val="53"/>
        </w:numPr>
      </w:pPr>
      <w:r>
        <w:t xml:space="preserve">targeted improvement areas and prioritize resolutions.   </w:t>
      </w:r>
    </w:p>
    <w:p w14:paraId="7C16D6D2" w14:textId="77777777" w:rsidR="00BE1626" w:rsidRDefault="00BE1626" w:rsidP="00C64851">
      <w:pPr>
        <w:pStyle w:val="BodyText"/>
        <w:numPr>
          <w:ilvl w:val="0"/>
          <w:numId w:val="53"/>
        </w:numPr>
      </w:pPr>
      <w:r>
        <w:lastRenderedPageBreak/>
        <w:t xml:space="preserve">content optimization by learning which content performs the best and resonates with visitors.  </w:t>
      </w:r>
    </w:p>
    <w:p w14:paraId="0728DB5A" w14:textId="6E1EBE65" w:rsidR="00BE1626" w:rsidRPr="001F474F" w:rsidRDefault="00BE1626" w:rsidP="00BE1626">
      <w:pPr>
        <w:pStyle w:val="BodyText"/>
        <w:rPr>
          <w:b/>
          <w:bCs/>
        </w:rPr>
      </w:pPr>
      <w:r w:rsidRPr="001F474F">
        <w:rPr>
          <w:b/>
          <w:bCs/>
        </w:rPr>
        <w:t xml:space="preserve">Methodologies involve:  </w:t>
      </w:r>
    </w:p>
    <w:p w14:paraId="0665568C" w14:textId="77777777" w:rsidR="00BE1626" w:rsidRDefault="00BE1626" w:rsidP="00C64851">
      <w:pPr>
        <w:pStyle w:val="BodyText"/>
        <w:numPr>
          <w:ilvl w:val="0"/>
          <w:numId w:val="54"/>
        </w:numPr>
      </w:pPr>
      <w:r>
        <w:t xml:space="preserve">Scanning sites for compliance and performance  </w:t>
      </w:r>
    </w:p>
    <w:p w14:paraId="7407EA21" w14:textId="77777777" w:rsidR="00BE1626" w:rsidRDefault="00BE1626" w:rsidP="00C64851">
      <w:pPr>
        <w:pStyle w:val="BodyText"/>
        <w:numPr>
          <w:ilvl w:val="0"/>
          <w:numId w:val="54"/>
        </w:numPr>
      </w:pPr>
      <w:r>
        <w:t xml:space="preserve">Mitigating content to meet standards  </w:t>
      </w:r>
    </w:p>
    <w:p w14:paraId="2221D1B0" w14:textId="77777777" w:rsidR="00BE1626" w:rsidRDefault="00BE1626" w:rsidP="00C64851">
      <w:pPr>
        <w:pStyle w:val="BodyText"/>
        <w:numPr>
          <w:ilvl w:val="0"/>
          <w:numId w:val="54"/>
        </w:numPr>
      </w:pPr>
      <w:r>
        <w:t xml:space="preserve">Processing requests to update content for relevancy  </w:t>
      </w:r>
    </w:p>
    <w:p w14:paraId="7B7B8BD4" w14:textId="77777777" w:rsidR="00BE1626" w:rsidRPr="001F474F" w:rsidRDefault="00BE1626" w:rsidP="00AC3D75">
      <w:pPr>
        <w:pStyle w:val="BodyText"/>
        <w:ind w:left="720" w:hanging="720"/>
        <w:rPr>
          <w:b/>
          <w:bCs/>
        </w:rPr>
      </w:pPr>
      <w:r w:rsidRPr="001F474F">
        <w:rPr>
          <w:b/>
          <w:bCs/>
        </w:rPr>
        <w:t>D.</w:t>
      </w:r>
      <w:r w:rsidRPr="001F474F">
        <w:rPr>
          <w:b/>
          <w:bCs/>
        </w:rPr>
        <w:tab/>
        <w:t xml:space="preserve">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7B2DCD01" w14:textId="77777777" w:rsidR="00BE1626" w:rsidRDefault="00BE1626" w:rsidP="00BE1626">
      <w:pPr>
        <w:pStyle w:val="BodyText"/>
      </w:pPr>
      <w:r>
        <w:t xml:space="preserve">N/A </w:t>
      </w:r>
    </w:p>
    <w:p w14:paraId="5DDC23D6" w14:textId="77777777" w:rsidR="00BE1626" w:rsidRDefault="00BE1626" w:rsidP="00AC3D75">
      <w:pPr>
        <w:pStyle w:val="BodyText3"/>
        <w:ind w:left="720" w:hanging="720"/>
      </w:pPr>
      <w:r>
        <w:t>E.</w:t>
      </w:r>
      <w:r>
        <w:tab/>
        <w:t xml:space="preserve">List any qualifications or eligibility requirements for persons or entities affected by this division or program (e.g., licensees, consumers, and landowners). Provide a statistical breakdown of persons or entities affected. </w:t>
      </w:r>
    </w:p>
    <w:p w14:paraId="7C7A837A" w14:textId="77777777" w:rsidR="00BE1626" w:rsidRDefault="00BE1626" w:rsidP="00BE1626">
      <w:pPr>
        <w:pStyle w:val="BodyText"/>
      </w:pPr>
      <w:r>
        <w:t xml:space="preserve">N/A </w:t>
      </w:r>
    </w:p>
    <w:p w14:paraId="02FF6CEC" w14:textId="77777777" w:rsidR="00BE1626" w:rsidRDefault="00BE1626" w:rsidP="00AC3D75">
      <w:pPr>
        <w:pStyle w:val="BodyText3"/>
        <w:ind w:left="720" w:hanging="720"/>
      </w:pPr>
      <w:r>
        <w:t>F.</w:t>
      </w:r>
      <w:r>
        <w:tab/>
        <w:t xml:space="preserve">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1CA43875" w14:textId="45BF7E78" w:rsidR="00BE1626" w:rsidRDefault="00BE1626" w:rsidP="00BE1626">
      <w:pPr>
        <w:pStyle w:val="BodyText"/>
      </w:pPr>
      <w:r>
        <w:t xml:space="preserve">The TWC website is administered through a multifaceted approach, combining internal TWC staff expertise with external vendor support to ensure functionality, security, and accessibility. The online resource platform is administered involving the </w:t>
      </w:r>
      <w:r w:rsidR="00071F8F">
        <w:t xml:space="preserve">operational </w:t>
      </w:r>
      <w:r>
        <w:t>processes</w:t>
      </w:r>
      <w:r w:rsidR="00071F8F">
        <w:t xml:space="preserve"> described in </w:t>
      </w:r>
      <w:proofErr w:type="spellStart"/>
      <w:r w:rsidR="00071F8F">
        <w:t>Exhibit_GAP_</w:t>
      </w:r>
      <w:r w:rsidR="00365E09">
        <w:t>Website</w:t>
      </w:r>
      <w:r w:rsidR="00721B60">
        <w:t>Operations</w:t>
      </w:r>
      <w:proofErr w:type="spellEnd"/>
      <w:r w:rsidR="00721B60">
        <w:t>.</w:t>
      </w:r>
    </w:p>
    <w:p w14:paraId="309F4E40" w14:textId="77777777" w:rsidR="00BE1626" w:rsidRDefault="00BE1626" w:rsidP="000F47DB">
      <w:pPr>
        <w:pStyle w:val="BodyText3"/>
        <w:ind w:left="720" w:hanging="720"/>
      </w:pPr>
      <w:r>
        <w:t>G.</w:t>
      </w:r>
      <w:r>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595"/>
        <w:gridCol w:w="2015"/>
        <w:gridCol w:w="1765"/>
        <w:gridCol w:w="1985"/>
      </w:tblGrid>
      <w:tr w:rsidR="00CF2B3F" w:rsidRPr="003D12B3" w14:paraId="47CADE88" w14:textId="77777777" w:rsidTr="006020F5">
        <w:trPr>
          <w:trHeight w:val="576"/>
          <w:tblHeader/>
        </w:trPr>
        <w:tc>
          <w:tcPr>
            <w:tcW w:w="3595" w:type="dxa"/>
            <w:shd w:val="clear" w:color="auto" w:fill="B8CCE4" w:themeFill="accent1" w:themeFillTint="66"/>
            <w:vAlign w:val="center"/>
            <w:hideMark/>
          </w:tcPr>
          <w:p w14:paraId="24DA6E24" w14:textId="77777777" w:rsidR="00CF2B3F" w:rsidRPr="003D12B3" w:rsidRDefault="00CF2B3F" w:rsidP="00CF2B3F">
            <w:pPr>
              <w:pStyle w:val="TableHeaders"/>
              <w:rPr>
                <w:color w:val="000000"/>
              </w:rPr>
            </w:pPr>
            <w:r w:rsidRPr="003D12B3">
              <w:lastRenderedPageBreak/>
              <w:t>Program or Function Detail Description</w:t>
            </w:r>
          </w:p>
        </w:tc>
        <w:tc>
          <w:tcPr>
            <w:tcW w:w="2430" w:type="dxa"/>
            <w:shd w:val="clear" w:color="auto" w:fill="B8CCE4" w:themeFill="accent1" w:themeFillTint="66"/>
            <w:vAlign w:val="center"/>
            <w:hideMark/>
          </w:tcPr>
          <w:p w14:paraId="6AC01838" w14:textId="77777777" w:rsidR="00CF2B3F" w:rsidRPr="003D12B3" w:rsidRDefault="00CF2B3F" w:rsidP="00CF2B3F">
            <w:pPr>
              <w:pStyle w:val="TableHeaders"/>
              <w:rPr>
                <w:color w:val="000000"/>
              </w:rPr>
            </w:pPr>
            <w:r w:rsidRPr="003D12B3">
              <w:t>Total FY 2024</w:t>
            </w:r>
          </w:p>
        </w:tc>
        <w:tc>
          <w:tcPr>
            <w:tcW w:w="2070" w:type="dxa"/>
            <w:shd w:val="clear" w:color="auto" w:fill="B8CCE4" w:themeFill="accent1" w:themeFillTint="66"/>
            <w:vAlign w:val="center"/>
            <w:hideMark/>
          </w:tcPr>
          <w:p w14:paraId="666DFE93" w14:textId="77777777" w:rsidR="00CF2B3F" w:rsidRPr="003D12B3" w:rsidRDefault="00CF2B3F" w:rsidP="00CF2B3F">
            <w:pPr>
              <w:pStyle w:val="TableHeaders"/>
              <w:rPr>
                <w:color w:val="000000"/>
              </w:rPr>
            </w:pPr>
            <w:r w:rsidRPr="003D12B3">
              <w:t>Federal Funding</w:t>
            </w:r>
          </w:p>
        </w:tc>
        <w:tc>
          <w:tcPr>
            <w:tcW w:w="2430" w:type="dxa"/>
            <w:shd w:val="clear" w:color="auto" w:fill="B8CCE4" w:themeFill="accent1" w:themeFillTint="66"/>
            <w:vAlign w:val="center"/>
            <w:hideMark/>
          </w:tcPr>
          <w:p w14:paraId="24CC2C43" w14:textId="77777777" w:rsidR="00CF2B3F" w:rsidRPr="003D12B3" w:rsidRDefault="00CF2B3F" w:rsidP="00CF2B3F">
            <w:pPr>
              <w:pStyle w:val="TableHeaders"/>
              <w:rPr>
                <w:color w:val="000000"/>
              </w:rPr>
            </w:pPr>
            <w:r w:rsidRPr="003D12B3">
              <w:t>State Funding</w:t>
            </w:r>
          </w:p>
        </w:tc>
      </w:tr>
      <w:tr w:rsidR="00CF2B3F" w:rsidRPr="003D12B3" w14:paraId="254987A7" w14:textId="77777777" w:rsidTr="00C537C5">
        <w:trPr>
          <w:trHeight w:val="386"/>
        </w:trPr>
        <w:tc>
          <w:tcPr>
            <w:tcW w:w="3595" w:type="dxa"/>
            <w:noWrap/>
            <w:vAlign w:val="center"/>
            <w:hideMark/>
          </w:tcPr>
          <w:p w14:paraId="4CC7D93A" w14:textId="77777777" w:rsidR="00CF2B3F" w:rsidRPr="003D12B3" w:rsidRDefault="00CF2B3F" w:rsidP="00C537C5">
            <w:pPr>
              <w:pStyle w:val="TableText"/>
            </w:pPr>
            <w:r w:rsidRPr="003D12B3">
              <w:t>Customer Relations and Customer Experience</w:t>
            </w:r>
          </w:p>
        </w:tc>
        <w:tc>
          <w:tcPr>
            <w:tcW w:w="2430" w:type="dxa"/>
            <w:vAlign w:val="center"/>
            <w:hideMark/>
          </w:tcPr>
          <w:p w14:paraId="29E56D66" w14:textId="737FA761" w:rsidR="00CF2B3F" w:rsidRPr="003D12B3" w:rsidRDefault="00CF2B3F" w:rsidP="00C537C5">
            <w:pPr>
              <w:pStyle w:val="TableText"/>
              <w:jc w:val="right"/>
            </w:pPr>
            <w:r w:rsidRPr="003D12B3">
              <w:t xml:space="preserve">1,150,205 </w:t>
            </w:r>
          </w:p>
        </w:tc>
        <w:tc>
          <w:tcPr>
            <w:tcW w:w="2070" w:type="dxa"/>
            <w:vAlign w:val="center"/>
            <w:hideMark/>
          </w:tcPr>
          <w:p w14:paraId="61A2A809" w14:textId="154E4495" w:rsidR="00CF2B3F" w:rsidRPr="003D12B3" w:rsidRDefault="00CF2B3F" w:rsidP="00C537C5">
            <w:pPr>
              <w:pStyle w:val="TableText"/>
              <w:jc w:val="right"/>
            </w:pPr>
            <w:r w:rsidRPr="003D12B3">
              <w:t xml:space="preserve">1,084,943 </w:t>
            </w:r>
          </w:p>
        </w:tc>
        <w:tc>
          <w:tcPr>
            <w:tcW w:w="2430" w:type="dxa"/>
            <w:vAlign w:val="center"/>
            <w:hideMark/>
          </w:tcPr>
          <w:p w14:paraId="38155423" w14:textId="2F8919BF" w:rsidR="00CF2B3F" w:rsidRPr="003D12B3" w:rsidRDefault="00CF2B3F" w:rsidP="00C537C5">
            <w:pPr>
              <w:pStyle w:val="TableText"/>
              <w:jc w:val="right"/>
            </w:pPr>
            <w:r w:rsidRPr="003D12B3">
              <w:t xml:space="preserve">65,261 </w:t>
            </w:r>
          </w:p>
        </w:tc>
      </w:tr>
    </w:tbl>
    <w:p w14:paraId="1640DD7C" w14:textId="77777777" w:rsidR="00BE1626" w:rsidRDefault="00BE1626" w:rsidP="000F47DB">
      <w:pPr>
        <w:pStyle w:val="BodyText3"/>
        <w:ind w:left="720" w:hanging="720"/>
      </w:pPr>
      <w:r>
        <w:t>H.</w:t>
      </w:r>
      <w:r>
        <w:tab/>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5BDC957A" w14:textId="5568C3BC" w:rsidR="00BE1626" w:rsidRDefault="00BE1626" w:rsidP="00BE1626">
      <w:pPr>
        <w:pStyle w:val="BodyText"/>
      </w:pPr>
      <w:r>
        <w:t>N/A</w:t>
      </w:r>
    </w:p>
    <w:p w14:paraId="3AA0220F" w14:textId="77777777" w:rsidR="00BE1626" w:rsidRDefault="00BE1626" w:rsidP="000F47DB">
      <w:pPr>
        <w:pStyle w:val="BodyText3"/>
        <w:ind w:left="720" w:hanging="720"/>
      </w:pPr>
      <w:r>
        <w:t>I.</w:t>
      </w:r>
      <w:r>
        <w:tab/>
        <w:t xml:space="preserve">If the division or program works with local, regional, or federal units of government, include a brief description of these entities and their relationship to the agency. </w:t>
      </w:r>
    </w:p>
    <w:p w14:paraId="19AA8204" w14:textId="3D6AB464" w:rsidR="00BE1626" w:rsidRDefault="00BE1626" w:rsidP="00BE1626">
      <w:pPr>
        <w:pStyle w:val="BodyText"/>
      </w:pPr>
      <w:r>
        <w:t xml:space="preserve">N/A </w:t>
      </w:r>
    </w:p>
    <w:p w14:paraId="3D4A80A3" w14:textId="77777777" w:rsidR="00BE1626" w:rsidRDefault="00BE1626" w:rsidP="000F47DB">
      <w:pPr>
        <w:pStyle w:val="BodyText3"/>
        <w:ind w:left="720" w:hanging="720"/>
      </w:pPr>
      <w:r>
        <w:t>J.</w:t>
      </w:r>
      <w:r>
        <w:tab/>
        <w:t xml:space="preserve">Are there any barriers or challenges that impede the division or program’s performance, including any outdated or ineffective state laws? Explain. </w:t>
      </w:r>
    </w:p>
    <w:p w14:paraId="1D6D74EE" w14:textId="77777777" w:rsidR="00BE1626" w:rsidRDefault="00BE1626" w:rsidP="00BE1626">
      <w:pPr>
        <w:pStyle w:val="BodyText"/>
      </w:pPr>
      <w:r>
        <w:t xml:space="preserve">N/A </w:t>
      </w:r>
    </w:p>
    <w:p w14:paraId="1E726DE1" w14:textId="77777777" w:rsidR="00BE1626" w:rsidRPr="008E60C8" w:rsidRDefault="00BE1626" w:rsidP="000F47DB">
      <w:pPr>
        <w:pStyle w:val="BodyText"/>
        <w:ind w:left="720" w:hanging="720"/>
        <w:rPr>
          <w:b/>
          <w:bCs/>
        </w:rPr>
      </w:pPr>
      <w:r w:rsidRPr="008E60C8">
        <w:rPr>
          <w:b/>
          <w:bCs/>
        </w:rPr>
        <w:t>K.</w:t>
      </w:r>
      <w:r w:rsidRPr="008E60C8">
        <w:rPr>
          <w:b/>
          <w:bCs/>
        </w:rPr>
        <w:tab/>
        <w:t xml:space="preserve">Provide any additional information needed to gain a preliminary understanding of the division or program. </w:t>
      </w:r>
    </w:p>
    <w:p w14:paraId="17DED8B8" w14:textId="77777777" w:rsidR="00BE1626" w:rsidRDefault="00BE1626" w:rsidP="00BE1626">
      <w:pPr>
        <w:pStyle w:val="BodyText"/>
      </w:pPr>
      <w:r>
        <w:t xml:space="preserve">N/A </w:t>
      </w:r>
    </w:p>
    <w:p w14:paraId="606B4BFE" w14:textId="77777777" w:rsidR="00BE1626" w:rsidRPr="008E60C8" w:rsidRDefault="00BE1626" w:rsidP="000F47DB">
      <w:pPr>
        <w:pStyle w:val="BodyText3"/>
        <w:ind w:left="720" w:hanging="720"/>
      </w:pPr>
      <w:r w:rsidRPr="008E60C8">
        <w:t>L.</w:t>
      </w:r>
      <w:r w:rsidRPr="008E60C8">
        <w:tab/>
        <w:t xml:space="preserve">Regulatory programs relate to the licensing, registration, certification, or permitting of a person, business, piece of equipment, or other entity (e.g., a facility). For each regulatory program, if applicable, describe: </w:t>
      </w:r>
    </w:p>
    <w:p w14:paraId="303B17A5" w14:textId="77777777" w:rsidR="00BE1626" w:rsidRDefault="00BE1626" w:rsidP="00BE1626">
      <w:pPr>
        <w:pStyle w:val="BodyText"/>
      </w:pPr>
      <w:r>
        <w:t xml:space="preserve">N/A </w:t>
      </w:r>
    </w:p>
    <w:p w14:paraId="32F7C0D9" w14:textId="77777777" w:rsidR="00BE1626" w:rsidRDefault="00BE1626" w:rsidP="00465F4D">
      <w:pPr>
        <w:pStyle w:val="BodyText3"/>
        <w:ind w:left="720" w:hanging="720"/>
      </w:pPr>
      <w:r>
        <w:t>M.</w:t>
      </w:r>
      <w:r>
        <w:tab/>
        <w:t xml:space="preserve">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56E77209" w14:textId="77777777" w:rsidR="006020F5" w:rsidRDefault="00BE1626" w:rsidP="00BC382A">
      <w:pPr>
        <w:pStyle w:val="BodyText"/>
      </w:pPr>
      <w:r>
        <w:lastRenderedPageBreak/>
        <w:t>N/A</w:t>
      </w:r>
    </w:p>
    <w:p w14:paraId="1A18818C" w14:textId="080EA85A" w:rsidR="000D72C1" w:rsidRDefault="000D72C1" w:rsidP="00BC382A">
      <w:pPr>
        <w:pStyle w:val="BodyText"/>
        <w:rPr>
          <w:b/>
        </w:rPr>
      </w:pPr>
    </w:p>
    <w:p w14:paraId="0151B4A2" w14:textId="77777777" w:rsidR="00CF4AC7" w:rsidRDefault="00CF4AC7" w:rsidP="007E3CE0">
      <w:pPr>
        <w:pStyle w:val="BodyText3"/>
      </w:pPr>
      <w:r>
        <w:t xml:space="preserve">Customer Relations </w:t>
      </w:r>
    </w:p>
    <w:p w14:paraId="55B90C78" w14:textId="77777777" w:rsidR="00CF4AC7" w:rsidRDefault="00CF4AC7" w:rsidP="00460DB0">
      <w:pPr>
        <w:pStyle w:val="BodyText3"/>
      </w:pPr>
      <w:r>
        <w:t>A.</w:t>
      </w:r>
      <w:r>
        <w:tab/>
        <w:t xml:space="preserve">Provide the following information at the beginning of each description. </w:t>
      </w:r>
    </w:p>
    <w:p w14:paraId="6809ED05" w14:textId="77777777" w:rsidR="00CF4AC7" w:rsidRDefault="00CF4AC7" w:rsidP="00C64851">
      <w:pPr>
        <w:pStyle w:val="BodyText"/>
        <w:numPr>
          <w:ilvl w:val="0"/>
          <w:numId w:val="300"/>
        </w:numPr>
        <w:spacing w:before="120" w:after="120"/>
      </w:pPr>
      <w:r>
        <w:t xml:space="preserve">Name of division or program: Customer Relations </w:t>
      </w:r>
    </w:p>
    <w:p w14:paraId="5030C7E9" w14:textId="77777777" w:rsidR="00CF4AC7" w:rsidRDefault="00CF4AC7" w:rsidP="00C64851">
      <w:pPr>
        <w:pStyle w:val="BodyText"/>
        <w:numPr>
          <w:ilvl w:val="0"/>
          <w:numId w:val="300"/>
        </w:numPr>
        <w:spacing w:before="120" w:after="120"/>
      </w:pPr>
      <w:r>
        <w:t xml:space="preserve">Location within the agency: Customer Care </w:t>
      </w:r>
    </w:p>
    <w:p w14:paraId="05C2EE79" w14:textId="77777777" w:rsidR="00CF4AC7" w:rsidRDefault="00CF4AC7" w:rsidP="00C64851">
      <w:pPr>
        <w:pStyle w:val="BodyText"/>
        <w:numPr>
          <w:ilvl w:val="0"/>
          <w:numId w:val="300"/>
        </w:numPr>
        <w:spacing w:before="120" w:after="120"/>
      </w:pPr>
      <w:r>
        <w:t xml:space="preserve">Contact name: Henri Chen </w:t>
      </w:r>
    </w:p>
    <w:p w14:paraId="02363BF4" w14:textId="77777777" w:rsidR="00A62453" w:rsidRDefault="00CF4AC7" w:rsidP="00C64851">
      <w:pPr>
        <w:pStyle w:val="BodyText"/>
        <w:numPr>
          <w:ilvl w:val="0"/>
          <w:numId w:val="300"/>
        </w:numPr>
        <w:spacing w:before="120" w:after="120"/>
      </w:pPr>
      <w:r>
        <w:t>Statutory citation:</w:t>
      </w:r>
    </w:p>
    <w:p w14:paraId="1CA867DE" w14:textId="5FB4A523" w:rsidR="00CF4AC7" w:rsidRDefault="00C97B6E" w:rsidP="0068320E">
      <w:pPr>
        <w:pStyle w:val="BodyText"/>
        <w:numPr>
          <w:ilvl w:val="1"/>
          <w:numId w:val="893"/>
        </w:numPr>
        <w:spacing w:before="120" w:after="120"/>
      </w:pPr>
      <w:r>
        <w:t xml:space="preserve">Texas </w:t>
      </w:r>
      <w:r w:rsidR="00CF4AC7">
        <w:t>Government Code</w:t>
      </w:r>
      <w:r>
        <w:t>, Chap</w:t>
      </w:r>
      <w:r w:rsidR="0068320E">
        <w:t>ter 2114</w:t>
      </w:r>
      <w:r w:rsidR="00CF4AC7">
        <w:t xml:space="preserve"> </w:t>
      </w:r>
    </w:p>
    <w:p w14:paraId="7CD27D88" w14:textId="03EFA85E" w:rsidR="00CF4AC7" w:rsidRDefault="00CF4AC7" w:rsidP="0068320E">
      <w:pPr>
        <w:pStyle w:val="BodyText"/>
        <w:numPr>
          <w:ilvl w:val="1"/>
          <w:numId w:val="893"/>
        </w:numPr>
        <w:spacing w:before="120" w:after="120"/>
      </w:pPr>
      <w:r>
        <w:t xml:space="preserve">Texas Labor Code, Chapter 301.023 </w:t>
      </w:r>
    </w:p>
    <w:p w14:paraId="15B04EFD" w14:textId="3B411792" w:rsidR="00CF4AC7" w:rsidRDefault="00CF4AC7" w:rsidP="0068320E">
      <w:pPr>
        <w:pStyle w:val="BodyText"/>
        <w:numPr>
          <w:ilvl w:val="1"/>
          <w:numId w:val="893"/>
        </w:numPr>
        <w:spacing w:before="120" w:after="120"/>
      </w:pPr>
      <w:r>
        <w:t>Texas Government Code</w:t>
      </w:r>
      <w:r w:rsidR="0068320E">
        <w:t>,</w:t>
      </w:r>
      <w:r>
        <w:t xml:space="preserve"> Chapter 2114</w:t>
      </w:r>
    </w:p>
    <w:p w14:paraId="6698A30D" w14:textId="77777777" w:rsidR="00CF4AC7" w:rsidRDefault="00CF4AC7" w:rsidP="00460DB0">
      <w:pPr>
        <w:pStyle w:val="BodyText3"/>
      </w:pPr>
      <w:r>
        <w:t>B.</w:t>
      </w:r>
      <w:r>
        <w:tab/>
        <w:t xml:space="preserve">What is the objective of this division or program? Describe its major activities. </w:t>
      </w:r>
    </w:p>
    <w:p w14:paraId="017FE8DF" w14:textId="1D945011" w:rsidR="00CF4AC7" w:rsidRDefault="00CF4AC7" w:rsidP="00350E00">
      <w:pPr>
        <w:pStyle w:val="BodyText"/>
      </w:pPr>
      <w:r>
        <w:t xml:space="preserve">The Customer Relations Department serves as the agency’s Ombudsman’s department and central access point for individuals seeking assistance from the agency. Its primary objective is to ensure that all customers, particularly those unfamiliar with the agency’s services or uncertain how to access them, receive prompt, accurate, and respectful guidance.  </w:t>
      </w:r>
    </w:p>
    <w:p w14:paraId="054C0F22" w14:textId="77777777" w:rsidR="00CF4AC7" w:rsidRDefault="00CF4AC7" w:rsidP="00350E00">
      <w:pPr>
        <w:pStyle w:val="BodyText"/>
      </w:pPr>
      <w:r>
        <w:t xml:space="preserve">Key functions include:  </w:t>
      </w:r>
    </w:p>
    <w:p w14:paraId="153590C4" w14:textId="77777777" w:rsidR="00CF4AC7" w:rsidRDefault="00CF4AC7" w:rsidP="00C64851">
      <w:pPr>
        <w:pStyle w:val="BodyText"/>
        <w:numPr>
          <w:ilvl w:val="0"/>
          <w:numId w:val="55"/>
        </w:numPr>
        <w:spacing w:before="120" w:after="120"/>
      </w:pPr>
      <w:r>
        <w:t xml:space="preserve">Providing general customer support across all areas of the agency.  </w:t>
      </w:r>
    </w:p>
    <w:p w14:paraId="59BEA74A" w14:textId="77777777" w:rsidR="00CF4AC7" w:rsidRDefault="00CF4AC7" w:rsidP="00C64851">
      <w:pPr>
        <w:pStyle w:val="BodyText"/>
        <w:numPr>
          <w:ilvl w:val="0"/>
          <w:numId w:val="55"/>
        </w:numPr>
        <w:spacing w:before="120" w:after="120"/>
      </w:pPr>
      <w:r>
        <w:t xml:space="preserve">Assisting customers in navigating TWC programs and identifying appropriate services.  </w:t>
      </w:r>
    </w:p>
    <w:p w14:paraId="514BBBD1" w14:textId="77777777" w:rsidR="00CF4AC7" w:rsidRDefault="00CF4AC7" w:rsidP="00C64851">
      <w:pPr>
        <w:pStyle w:val="BodyText"/>
        <w:numPr>
          <w:ilvl w:val="0"/>
          <w:numId w:val="55"/>
        </w:numPr>
        <w:spacing w:before="120" w:after="120"/>
      </w:pPr>
      <w:r>
        <w:t xml:space="preserve">Offering service to the public and business owners who seek clarity on agency processes or program eligibility.  </w:t>
      </w:r>
    </w:p>
    <w:p w14:paraId="4E8F322D" w14:textId="7877CE16" w:rsidR="00CF4AC7" w:rsidRDefault="00CF4AC7" w:rsidP="00350E00">
      <w:pPr>
        <w:pStyle w:val="BodyText"/>
      </w:pPr>
      <w:r>
        <w:t>The department houses the agency’s Ombudsman team, which plays a critical role in resolving complex or escalated customer concerns. Responsibilities of the Ombudsman include:</w:t>
      </w:r>
    </w:p>
    <w:p w14:paraId="0CCD0C1D" w14:textId="77777777" w:rsidR="00CF4AC7" w:rsidRDefault="00CF4AC7" w:rsidP="00350E00">
      <w:pPr>
        <w:pStyle w:val="BodyText"/>
      </w:pPr>
      <w:r w:rsidRPr="00350E00">
        <w:rPr>
          <w:b/>
          <w:bCs/>
        </w:rPr>
        <w:t>Investigating complaints:</w:t>
      </w:r>
      <w:r>
        <w:t xml:space="preserve"> Receiving and investigating complaints from individuals who believe they have been treated unfairly or have experienced a problem with the agency’s services, processes, or decisions.  </w:t>
      </w:r>
    </w:p>
    <w:p w14:paraId="5D762F04" w14:textId="77777777" w:rsidR="00CF4AC7" w:rsidRDefault="00CF4AC7" w:rsidP="00350E00">
      <w:pPr>
        <w:pStyle w:val="BodyText"/>
      </w:pPr>
      <w:r w:rsidRPr="00350E00">
        <w:rPr>
          <w:b/>
          <w:bCs/>
        </w:rPr>
        <w:t>Facilitating resolution:</w:t>
      </w:r>
      <w:r>
        <w:t xml:space="preserve"> Working collaboratively across divisions to ensure complaints that have not been resolved through standard escalation channels are addressed fairly and thoroughly.  </w:t>
      </w:r>
    </w:p>
    <w:p w14:paraId="2328AA4C" w14:textId="77777777" w:rsidR="00CF4AC7" w:rsidRDefault="00CF4AC7" w:rsidP="00350E00">
      <w:pPr>
        <w:pStyle w:val="BodyText"/>
      </w:pPr>
      <w:r w:rsidRPr="00350E00">
        <w:rPr>
          <w:b/>
          <w:bCs/>
        </w:rPr>
        <w:lastRenderedPageBreak/>
        <w:t>Recommending improvements:</w:t>
      </w:r>
      <w:r>
        <w:t xml:space="preserve"> Based on investigations and observations, the Ombudsman team may recommend changes to agency policies, procedures, or practices to prevent future problems and enhance service delivery.  </w:t>
      </w:r>
    </w:p>
    <w:p w14:paraId="7FA69043" w14:textId="77777777" w:rsidR="00CF4AC7" w:rsidRDefault="00CF4AC7" w:rsidP="00350E00">
      <w:pPr>
        <w:pStyle w:val="BodyText"/>
      </w:pPr>
      <w:r w:rsidRPr="00350E00">
        <w:rPr>
          <w:b/>
          <w:bCs/>
        </w:rPr>
        <w:t>Identifying systemic issues:</w:t>
      </w:r>
      <w:r>
        <w:t xml:space="preserve"> Analyzing patterns in complaints to uncover root causes and proposing solutions to improve agency operations and customer outcomes.  </w:t>
      </w:r>
    </w:p>
    <w:p w14:paraId="7CB4FF0A" w14:textId="77777777" w:rsidR="00CF4AC7" w:rsidRDefault="00CF4AC7" w:rsidP="00350E00">
      <w:pPr>
        <w:pStyle w:val="BodyText"/>
      </w:pPr>
      <w:r>
        <w:t xml:space="preserve">Department staff deliver services through a multi-channel support model that includes phone, in-person, email, online chat, and website inquires. Each inquiry is assessed, and customers are connected to the appropriate TWC division or resources. For complex or unresolved cases, the Ombudsman team’s function provides a final opportunity for resolution, reinforcing the agency’s commitment to transparency, fairness, and continuous improvement.  </w:t>
      </w:r>
    </w:p>
    <w:p w14:paraId="5E320586" w14:textId="051B85F2" w:rsidR="00CF4AC7" w:rsidRDefault="00CF4AC7" w:rsidP="00350E00">
      <w:pPr>
        <w:pStyle w:val="BodyText"/>
      </w:pPr>
      <w:r>
        <w:t xml:space="preserve">The Customer Relations Department is also responsible for ensuring compliance with customer service expectations set by the Texas Legislature, specifically outlined in Texas Labor Code Section 301.023, titled "Complaints," as amended by SB 280 (78th Regular Session, 2003), and Texas Government Code Chapter 2114, known as the Customer Service Act.  </w:t>
      </w:r>
    </w:p>
    <w:p w14:paraId="7A841EE7" w14:textId="17EA18D8" w:rsidR="00CF4AC7" w:rsidRDefault="00CF4AC7" w:rsidP="00350E00">
      <w:pPr>
        <w:pStyle w:val="BodyText"/>
      </w:pPr>
      <w:r>
        <w:t xml:space="preserve">Additionally, the Customer Relations Department plays a key role in upholding TWC’s customer service commitment, which is reflected in our day-to-day public service efforts and is documented in the Agency’s Philosophy, Standards of Conduct, </w:t>
      </w:r>
      <w:hyperlink r:id="rId223" w:history="1">
        <w:r w:rsidRPr="00831F2B">
          <w:rPr>
            <w:rStyle w:val="Hyperlink"/>
          </w:rPr>
          <w:t>Compact with Texans</w:t>
        </w:r>
      </w:hyperlink>
      <w:r>
        <w:t xml:space="preserve">, and Performance Planning and Review System. </w:t>
      </w:r>
    </w:p>
    <w:p w14:paraId="2ACD49C5" w14:textId="77777777" w:rsidR="00CF4AC7" w:rsidRDefault="00CF4AC7" w:rsidP="00465F4D">
      <w:pPr>
        <w:pStyle w:val="BodyText3"/>
        <w:ind w:left="720" w:hanging="720"/>
      </w:pPr>
      <w:r>
        <w:t>C.</w:t>
      </w:r>
      <w:r>
        <w:tab/>
        <w:t xml:space="preserve">What information does the agency collect/use to assess the effectiveness and efficiency of this division or program? If applicable, briefly note any LBB performance measures (from Section II, </w:t>
      </w:r>
      <w:proofErr w:type="gramStart"/>
      <w:r>
        <w:t>Exhibit</w:t>
      </w:r>
      <w:proofErr w:type="gramEnd"/>
      <w: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64CDDA07" w14:textId="77777777" w:rsidR="00CF4AC7" w:rsidRDefault="00CF4AC7" w:rsidP="00350E00">
      <w:pPr>
        <w:pStyle w:val="BodyText"/>
      </w:pPr>
      <w:r>
        <w:t xml:space="preserve">Under the Customer Service Act, TWC is required to create an inventory of external customers, gather and measure service delivery quality, and report customer satisfaction data. This law allows TWC to establish customer service goals, benchmark performance, and enhance service delivery. The Customer Relations Department administers and monitors these activities to promote customer service excellence.  </w:t>
      </w:r>
    </w:p>
    <w:p w14:paraId="498163DD" w14:textId="5BD1AC50" w:rsidR="00CF4AC7" w:rsidRDefault="00CF4AC7" w:rsidP="00350E00">
      <w:pPr>
        <w:pStyle w:val="BodyText"/>
      </w:pPr>
      <w:r>
        <w:t xml:space="preserve">As part of its responsibilities, the Customer Relations Department maintains the Customer Complaint Tracking and Reporting System, which is crucial for the tracking and reporting of complaints. </w:t>
      </w:r>
      <w:r w:rsidR="00333528">
        <w:t>The</w:t>
      </w:r>
      <w:r>
        <w:t xml:space="preserve"> department ensures all written and electronic complaints are acknowledged within five business days, and telephone inquiries are addressed within one business day. This commitment is reflected in </w:t>
      </w:r>
      <w:r w:rsidR="0008170E">
        <w:t xml:space="preserve">the </w:t>
      </w:r>
      <w:r>
        <w:t xml:space="preserve">Compact with Texans and the agency’s Strategic Plan.  </w:t>
      </w:r>
    </w:p>
    <w:p w14:paraId="6517A941" w14:textId="15CC566D" w:rsidR="00CF4AC7" w:rsidRDefault="00333528" w:rsidP="00350E00">
      <w:pPr>
        <w:pStyle w:val="BodyText"/>
      </w:pPr>
      <w:r>
        <w:lastRenderedPageBreak/>
        <w:t>The</w:t>
      </w:r>
      <w:r w:rsidR="00CF4AC7">
        <w:t xml:space="preserve"> Customer Relations Department compiles and reports on performance measures to monitor progress in complaint resolution and ensure continuous improvement in customer service.  </w:t>
      </w:r>
    </w:p>
    <w:p w14:paraId="3F3A7017" w14:textId="77777777" w:rsidR="00CF4AC7" w:rsidRDefault="00CF4AC7" w:rsidP="00350E00">
      <w:pPr>
        <w:pStyle w:val="BodyText"/>
      </w:pPr>
      <w:r>
        <w:t xml:space="preserve">To measure effectiveness and efficiency, the department monitors:  </w:t>
      </w:r>
    </w:p>
    <w:p w14:paraId="36DC64B0" w14:textId="77777777" w:rsidR="00CF4AC7" w:rsidRDefault="00CF4AC7" w:rsidP="00C64851">
      <w:pPr>
        <w:pStyle w:val="BodyText"/>
        <w:numPr>
          <w:ilvl w:val="0"/>
          <w:numId w:val="56"/>
        </w:numPr>
        <w:spacing w:before="120" w:after="120"/>
      </w:pPr>
      <w:r w:rsidRPr="00076578">
        <w:rPr>
          <w:b/>
          <w:bCs/>
        </w:rPr>
        <w:t>Ticket Close Rate</w:t>
      </w:r>
      <w:r>
        <w:t xml:space="preserve"> - Number of tickets closed per month.  </w:t>
      </w:r>
    </w:p>
    <w:p w14:paraId="2E5D4CE0" w14:textId="77777777" w:rsidR="00CF4AC7" w:rsidRDefault="00CF4AC7" w:rsidP="00C64851">
      <w:pPr>
        <w:pStyle w:val="BodyText"/>
        <w:numPr>
          <w:ilvl w:val="0"/>
          <w:numId w:val="56"/>
        </w:numPr>
        <w:spacing w:before="120" w:after="120"/>
      </w:pPr>
      <w:r w:rsidRPr="00076578">
        <w:rPr>
          <w:b/>
          <w:bCs/>
        </w:rPr>
        <w:t>Customer Satisfaction Surveys</w:t>
      </w:r>
      <w:r>
        <w:t xml:space="preserve"> - Administered randomly to assess helpfulness, timeliness, and clarity of assistance.  </w:t>
      </w:r>
    </w:p>
    <w:p w14:paraId="5698EF8C" w14:textId="77777777" w:rsidR="00CF4AC7" w:rsidRDefault="00CF4AC7" w:rsidP="00C64851">
      <w:pPr>
        <w:pStyle w:val="BodyText"/>
        <w:numPr>
          <w:ilvl w:val="0"/>
          <w:numId w:val="56"/>
        </w:numPr>
        <w:spacing w:before="120" w:after="120"/>
      </w:pPr>
      <w:r w:rsidRPr="00076578">
        <w:rPr>
          <w:b/>
          <w:bCs/>
        </w:rPr>
        <w:t>Average Phone Handle Time</w:t>
      </w:r>
      <w:r>
        <w:t xml:space="preserve"> - The number of minutes it requires to help a customer.  </w:t>
      </w:r>
    </w:p>
    <w:p w14:paraId="330034BE" w14:textId="77777777" w:rsidR="00CF4AC7" w:rsidRDefault="00CF4AC7" w:rsidP="00076578">
      <w:pPr>
        <w:pStyle w:val="BodyText"/>
      </w:pPr>
      <w:r>
        <w:t xml:space="preserve">Methodologies involve:  </w:t>
      </w:r>
    </w:p>
    <w:p w14:paraId="19EF2231" w14:textId="77777777" w:rsidR="00CF4AC7" w:rsidRDefault="00CF4AC7" w:rsidP="00C64851">
      <w:pPr>
        <w:pStyle w:val="BodyText"/>
        <w:numPr>
          <w:ilvl w:val="0"/>
          <w:numId w:val="57"/>
        </w:numPr>
        <w:spacing w:before="120" w:after="120"/>
      </w:pPr>
      <w:r>
        <w:t xml:space="preserve">Data extracted from the Customer Relations Department’s ticketing tool.  </w:t>
      </w:r>
    </w:p>
    <w:p w14:paraId="3316785F" w14:textId="77777777" w:rsidR="00CF4AC7" w:rsidRDefault="00CF4AC7" w:rsidP="00C64851">
      <w:pPr>
        <w:pStyle w:val="BodyText"/>
        <w:numPr>
          <w:ilvl w:val="0"/>
          <w:numId w:val="57"/>
        </w:numPr>
        <w:spacing w:before="120" w:after="120"/>
      </w:pPr>
      <w:r>
        <w:t xml:space="preserve">Direct feedback through survey results. </w:t>
      </w:r>
    </w:p>
    <w:p w14:paraId="304CD417" w14:textId="77777777" w:rsidR="00CF4AC7" w:rsidRDefault="00CF4AC7" w:rsidP="00465F4D">
      <w:pPr>
        <w:pStyle w:val="BodyText3"/>
        <w:ind w:left="720" w:hanging="720"/>
      </w:pPr>
      <w:r>
        <w:t>D.</w:t>
      </w:r>
      <w:r>
        <w:tab/>
        <w:t xml:space="preserve">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29F9662D" w14:textId="77777777" w:rsidR="00CF4AC7" w:rsidRDefault="00CF4AC7" w:rsidP="00076578">
      <w:pPr>
        <w:pStyle w:val="BodyText"/>
      </w:pPr>
      <w:r>
        <w:t xml:space="preserve">N/A </w:t>
      </w:r>
    </w:p>
    <w:p w14:paraId="06604DF4" w14:textId="77777777" w:rsidR="00CF4AC7" w:rsidRDefault="00CF4AC7" w:rsidP="00465F4D">
      <w:pPr>
        <w:pStyle w:val="BodyText3"/>
        <w:ind w:left="720" w:hanging="720"/>
      </w:pPr>
      <w:r>
        <w:t>E.</w:t>
      </w:r>
      <w:r>
        <w:tab/>
        <w:t xml:space="preserve">List any qualifications or eligibility requirements for persons or entities affected by this division or program (e.g., licensees, consumers, and landowners). Provide a statistical breakdown of persons or entities affected. </w:t>
      </w:r>
    </w:p>
    <w:p w14:paraId="59311D52" w14:textId="77777777" w:rsidR="00CF4AC7" w:rsidRDefault="00CF4AC7" w:rsidP="00076578">
      <w:pPr>
        <w:pStyle w:val="BodyText"/>
      </w:pPr>
      <w:r>
        <w:t xml:space="preserve">There are no eligibility requirements for the public to access the Ombudsman unit at TWC. It can be a valuable resource for customers facing unresolved issues, offering a path to a fair and impartial resolution. </w:t>
      </w:r>
    </w:p>
    <w:p w14:paraId="1C09C74F" w14:textId="28685AE1" w:rsidR="00CF4AC7" w:rsidRPr="00460DB0" w:rsidRDefault="00CF4AC7" w:rsidP="00465F4D">
      <w:pPr>
        <w:pStyle w:val="BodyText3"/>
        <w:ind w:left="720" w:hanging="720"/>
      </w:pPr>
      <w:r w:rsidRPr="00460DB0">
        <w:t>F.</w:t>
      </w:r>
      <w:r w:rsidRPr="00460DB0">
        <w:tab/>
        <w:t xml:space="preserve">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4DC3FD7E" w14:textId="77777777" w:rsidR="00CF4AC7" w:rsidRPr="00460DB0" w:rsidRDefault="00CF4AC7" w:rsidP="00460DB0">
      <w:pPr>
        <w:pStyle w:val="BodyText"/>
        <w:rPr>
          <w:b/>
          <w:bCs/>
        </w:rPr>
      </w:pPr>
      <w:r w:rsidRPr="00460DB0">
        <w:rPr>
          <w:b/>
          <w:bCs/>
        </w:rPr>
        <w:t xml:space="preserve">Program Administration and Process Overview </w:t>
      </w:r>
    </w:p>
    <w:p w14:paraId="2DC1DC19" w14:textId="27570BA5" w:rsidR="00CF4AC7" w:rsidRDefault="00DF1D86" w:rsidP="00460DB0">
      <w:pPr>
        <w:pStyle w:val="BodyText"/>
      </w:pPr>
      <w:r>
        <w:t>The</w:t>
      </w:r>
      <w:r w:rsidR="00CF4AC7">
        <w:t xml:space="preserve"> department plays a critical role in ensuring seamless communication and customer support across various channels. Customers can reach </w:t>
      </w:r>
      <w:r w:rsidR="00957FA1">
        <w:t xml:space="preserve">Customer Relations </w:t>
      </w:r>
      <w:r w:rsidR="00CF4AC7">
        <w:t xml:space="preserve">in-person, by phone, through live chat, email, or web form, ensuring accessibility for all.  </w:t>
      </w:r>
    </w:p>
    <w:p w14:paraId="161BB269" w14:textId="09987F5D" w:rsidR="00CF4AC7" w:rsidRDefault="00CF4AC7" w:rsidP="00460DB0">
      <w:pPr>
        <w:pStyle w:val="BodyText"/>
      </w:pPr>
      <w:r>
        <w:lastRenderedPageBreak/>
        <w:t xml:space="preserve">Each inquiry is carefully processed, tracked, and logged in </w:t>
      </w:r>
      <w:proofErr w:type="gramStart"/>
      <w:r w:rsidR="00911319">
        <w:t xml:space="preserve">the </w:t>
      </w:r>
      <w:r>
        <w:t xml:space="preserve"> Zendesk</w:t>
      </w:r>
      <w:proofErr w:type="gramEnd"/>
      <w:r>
        <w:t xml:space="preserve"> Customer Relationship Management system, maintaining a high standard of accountability and efficiency. All communication channels, including recorded phone calls and electronic messages, are documented to guarantee transparency and consistency. By responding to inquiries within 24 hours, </w:t>
      </w:r>
      <w:r w:rsidR="00911319">
        <w:t xml:space="preserve">TWC </w:t>
      </w:r>
      <w:r>
        <w:t>help</w:t>
      </w:r>
      <w:r w:rsidR="00333528">
        <w:t>s</w:t>
      </w:r>
      <w:r>
        <w:t xml:space="preserve"> maintain a high level of customer satisfaction and trust.  </w:t>
      </w:r>
    </w:p>
    <w:p w14:paraId="4BB0E831" w14:textId="7057F741" w:rsidR="00CF4AC7" w:rsidRPr="00460DB0" w:rsidRDefault="00CF4AC7" w:rsidP="00460DB0">
      <w:pPr>
        <w:pStyle w:val="BodyText"/>
        <w:rPr>
          <w:b/>
          <w:bCs/>
        </w:rPr>
      </w:pPr>
      <w:r w:rsidRPr="00460DB0">
        <w:rPr>
          <w:b/>
          <w:bCs/>
        </w:rPr>
        <w:t>Process Flow:</w:t>
      </w:r>
    </w:p>
    <w:p w14:paraId="0FFE10A0" w14:textId="0EF51811" w:rsidR="00CF4AC7" w:rsidRDefault="00CF4AC7" w:rsidP="00C64851">
      <w:pPr>
        <w:pStyle w:val="BodyText"/>
        <w:numPr>
          <w:ilvl w:val="0"/>
          <w:numId w:val="58"/>
        </w:numPr>
      </w:pPr>
      <w:r w:rsidRPr="00460DB0">
        <w:rPr>
          <w:b/>
          <w:bCs/>
        </w:rPr>
        <w:t>Inquiry Receipt:</w:t>
      </w:r>
      <w:r>
        <w:t xml:space="preserve"> Customers contact </w:t>
      </w:r>
      <w:r w:rsidR="00911319">
        <w:t>TWC staff</w:t>
      </w:r>
      <w:r>
        <w:t xml:space="preserve"> through their preferred communication method.  </w:t>
      </w:r>
    </w:p>
    <w:p w14:paraId="7CB988B9" w14:textId="77777777" w:rsidR="00CF4AC7" w:rsidRDefault="00CF4AC7" w:rsidP="00C64851">
      <w:pPr>
        <w:pStyle w:val="BodyText"/>
        <w:numPr>
          <w:ilvl w:val="0"/>
          <w:numId w:val="58"/>
        </w:numPr>
      </w:pPr>
      <w:r w:rsidRPr="00460DB0">
        <w:rPr>
          <w:b/>
          <w:bCs/>
        </w:rPr>
        <w:t>Tracking and Logging:</w:t>
      </w:r>
      <w:r>
        <w:t xml:space="preserve"> All inquiries are logged in Zendesk CRM, enabling quick follow-up, referral to another program area, and accurate record-keeping.  </w:t>
      </w:r>
    </w:p>
    <w:p w14:paraId="60A5CB2B" w14:textId="6BA902BD" w:rsidR="00CF4AC7" w:rsidRDefault="00CF4AC7" w:rsidP="00C64851">
      <w:pPr>
        <w:pStyle w:val="BodyText"/>
        <w:numPr>
          <w:ilvl w:val="0"/>
          <w:numId w:val="58"/>
        </w:numPr>
      </w:pPr>
      <w:r w:rsidRPr="00460DB0">
        <w:rPr>
          <w:b/>
          <w:bCs/>
        </w:rPr>
        <w:t>Response and Education:</w:t>
      </w:r>
      <w:r>
        <w:t xml:space="preserve"> </w:t>
      </w:r>
      <w:r w:rsidR="00911319">
        <w:t>Staff</w:t>
      </w:r>
      <w:r>
        <w:t xml:space="preserve"> resolve inquiries and provide educational support to empower customers to self-serve in the future, gradually reducing their reliance on our services.  </w:t>
      </w:r>
    </w:p>
    <w:p w14:paraId="0CE39BD1" w14:textId="65A381F6" w:rsidR="00CF4AC7" w:rsidRDefault="00CF4AC7" w:rsidP="00C64851">
      <w:pPr>
        <w:pStyle w:val="BodyText"/>
        <w:numPr>
          <w:ilvl w:val="0"/>
          <w:numId w:val="58"/>
        </w:numPr>
      </w:pPr>
      <w:r w:rsidRPr="00460DB0">
        <w:rPr>
          <w:b/>
          <w:bCs/>
        </w:rPr>
        <w:t>Referral Process:</w:t>
      </w:r>
      <w:r>
        <w:t xml:space="preserve"> For complex issues or those requiring access to restricted information, </w:t>
      </w:r>
      <w:r w:rsidR="00911319">
        <w:t>staff</w:t>
      </w:r>
      <w:r>
        <w:t xml:space="preserve"> refer customers to the appropriate program area. </w:t>
      </w:r>
      <w:r w:rsidR="00911319">
        <w:t>Staff</w:t>
      </w:r>
      <w:r>
        <w:t xml:space="preserve"> provide multiple contact options, allowing customers to choose the communication channel that best suits their preference.  </w:t>
      </w:r>
    </w:p>
    <w:p w14:paraId="524BEA73" w14:textId="77777777" w:rsidR="00CF4AC7" w:rsidRDefault="00CF4AC7" w:rsidP="00460DB0">
      <w:pPr>
        <w:pStyle w:val="BodyText3"/>
      </w:pPr>
      <w:r>
        <w:t xml:space="preserve">Collaboration with Other TWC Divisions  </w:t>
      </w:r>
    </w:p>
    <w:p w14:paraId="2ABDE362" w14:textId="22D4056F" w:rsidR="00CF4AC7" w:rsidRDefault="00CF4AC7" w:rsidP="00460DB0">
      <w:pPr>
        <w:pStyle w:val="BodyText"/>
      </w:pPr>
      <w:r>
        <w:t xml:space="preserve">The Customer Relations Department is a central hub that fosters collaboration across TWC divisions and Commission offices. </w:t>
      </w:r>
      <w:r w:rsidR="00D51F10">
        <w:t>The</w:t>
      </w:r>
      <w:r>
        <w:t xml:space="preserve"> department ensures that customer inquiries are addressed promptly and accurately, preventing delays and enhancing the overall customer experience. By acting as a bridge between departments, </w:t>
      </w:r>
      <w:r w:rsidR="00876540">
        <w:t>customer relations staff</w:t>
      </w:r>
      <w:r>
        <w:t xml:space="preserve"> help resolve more complex issues, ensuring that each customer receives the assistance they need through the most efficient channels.  </w:t>
      </w:r>
    </w:p>
    <w:p w14:paraId="05D93CE8" w14:textId="77777777" w:rsidR="00CF4AC7" w:rsidRPr="00460DB0" w:rsidRDefault="00CF4AC7" w:rsidP="00460DB0">
      <w:pPr>
        <w:pStyle w:val="BodyText"/>
        <w:rPr>
          <w:b/>
          <w:bCs/>
        </w:rPr>
      </w:pPr>
      <w:r w:rsidRPr="00460DB0">
        <w:rPr>
          <w:b/>
          <w:bCs/>
        </w:rPr>
        <w:t xml:space="preserve">Value of the Customer Relations Department </w:t>
      </w:r>
    </w:p>
    <w:p w14:paraId="455E2A98" w14:textId="1230C6FE" w:rsidR="00CF4AC7" w:rsidRDefault="00876540" w:rsidP="00460DB0">
      <w:pPr>
        <w:pStyle w:val="BodyText"/>
      </w:pPr>
      <w:r>
        <w:t xml:space="preserve">The </w:t>
      </w:r>
      <w:r w:rsidR="00CF4AC7">
        <w:t xml:space="preserve">department is essential to maintaining the smooth operation of the agency. </w:t>
      </w:r>
      <w:r>
        <w:t>Staff</w:t>
      </w:r>
      <w:r w:rsidR="00CF4AC7">
        <w:t xml:space="preserve">e streamline the process of managing inquiries, reduce the burden on specialized program areas, and ensure that customers are always informed, empowered, and supported. </w:t>
      </w:r>
      <w:proofErr w:type="spellStart"/>
      <w:r>
        <w:t>This</w:t>
      </w:r>
      <w:r w:rsidR="00CF4AC7">
        <w:t>r</w:t>
      </w:r>
      <w:proofErr w:type="spellEnd"/>
      <w:r w:rsidR="00CF4AC7">
        <w:t xml:space="preserve"> work not only helps resolve customer issues but also builds trust in the agency, improves service delivery, and ensures a cohesive experience for everyone involved. </w:t>
      </w:r>
    </w:p>
    <w:p w14:paraId="143BF816" w14:textId="77777777" w:rsidR="00CF4AC7" w:rsidRDefault="00CF4AC7" w:rsidP="00465F4D">
      <w:pPr>
        <w:pStyle w:val="BodyText3"/>
        <w:ind w:left="720" w:hanging="720"/>
      </w:pPr>
      <w:r>
        <w:t>G.</w:t>
      </w:r>
      <w:r>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w:t>
      </w:r>
      <w:r>
        <w:lastRenderedPageBreak/>
        <w:t xml:space="preserve">“Agency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595"/>
        <w:gridCol w:w="2015"/>
        <w:gridCol w:w="1765"/>
        <w:gridCol w:w="1985"/>
      </w:tblGrid>
      <w:tr w:rsidR="002467C4" w:rsidRPr="003D12B3" w14:paraId="3E52C293" w14:textId="77777777" w:rsidTr="00734674">
        <w:trPr>
          <w:trHeight w:val="576"/>
        </w:trPr>
        <w:tc>
          <w:tcPr>
            <w:tcW w:w="3595" w:type="dxa"/>
            <w:shd w:val="clear" w:color="auto" w:fill="B8CCE4" w:themeFill="accent1" w:themeFillTint="66"/>
            <w:vAlign w:val="center"/>
            <w:hideMark/>
          </w:tcPr>
          <w:p w14:paraId="453CFF28" w14:textId="77777777" w:rsidR="002467C4" w:rsidRPr="003D12B3" w:rsidRDefault="002467C4" w:rsidP="00734674">
            <w:pPr>
              <w:pStyle w:val="TableHeaders"/>
              <w:rPr>
                <w:color w:val="000000"/>
              </w:rPr>
            </w:pPr>
            <w:r w:rsidRPr="003D12B3">
              <w:t>Program or Function Detail Description</w:t>
            </w:r>
          </w:p>
        </w:tc>
        <w:tc>
          <w:tcPr>
            <w:tcW w:w="2430" w:type="dxa"/>
            <w:shd w:val="clear" w:color="auto" w:fill="B8CCE4" w:themeFill="accent1" w:themeFillTint="66"/>
            <w:vAlign w:val="center"/>
            <w:hideMark/>
          </w:tcPr>
          <w:p w14:paraId="50158975" w14:textId="77777777" w:rsidR="002467C4" w:rsidRPr="003D12B3" w:rsidRDefault="002467C4" w:rsidP="00734674">
            <w:pPr>
              <w:pStyle w:val="TableHeaders"/>
              <w:rPr>
                <w:color w:val="000000"/>
              </w:rPr>
            </w:pPr>
            <w:r w:rsidRPr="003D12B3">
              <w:t>Total FY 2024</w:t>
            </w:r>
          </w:p>
        </w:tc>
        <w:tc>
          <w:tcPr>
            <w:tcW w:w="2070" w:type="dxa"/>
            <w:shd w:val="clear" w:color="auto" w:fill="B8CCE4" w:themeFill="accent1" w:themeFillTint="66"/>
            <w:vAlign w:val="center"/>
            <w:hideMark/>
          </w:tcPr>
          <w:p w14:paraId="654724DE" w14:textId="77777777" w:rsidR="002467C4" w:rsidRPr="003D12B3" w:rsidRDefault="002467C4" w:rsidP="00734674">
            <w:pPr>
              <w:pStyle w:val="TableHeaders"/>
              <w:rPr>
                <w:color w:val="000000"/>
              </w:rPr>
            </w:pPr>
            <w:r w:rsidRPr="003D12B3">
              <w:t>Federal Funding</w:t>
            </w:r>
          </w:p>
        </w:tc>
        <w:tc>
          <w:tcPr>
            <w:tcW w:w="2430" w:type="dxa"/>
            <w:shd w:val="clear" w:color="auto" w:fill="B8CCE4" w:themeFill="accent1" w:themeFillTint="66"/>
            <w:vAlign w:val="center"/>
            <w:hideMark/>
          </w:tcPr>
          <w:p w14:paraId="755E50E8" w14:textId="77777777" w:rsidR="002467C4" w:rsidRPr="003D12B3" w:rsidRDefault="002467C4" w:rsidP="00734674">
            <w:pPr>
              <w:pStyle w:val="TableHeaders"/>
              <w:rPr>
                <w:color w:val="000000"/>
              </w:rPr>
            </w:pPr>
            <w:r w:rsidRPr="003D12B3">
              <w:t>State Funding</w:t>
            </w:r>
          </w:p>
        </w:tc>
      </w:tr>
      <w:tr w:rsidR="002467C4" w:rsidRPr="003D12B3" w14:paraId="34E82509" w14:textId="77777777" w:rsidTr="00734674">
        <w:trPr>
          <w:trHeight w:val="386"/>
        </w:trPr>
        <w:tc>
          <w:tcPr>
            <w:tcW w:w="3595" w:type="dxa"/>
            <w:noWrap/>
            <w:vAlign w:val="center"/>
            <w:hideMark/>
          </w:tcPr>
          <w:p w14:paraId="07FF69A2" w14:textId="77777777" w:rsidR="002467C4" w:rsidRPr="003D12B3" w:rsidRDefault="002467C4" w:rsidP="00734674">
            <w:pPr>
              <w:pStyle w:val="TableText"/>
            </w:pPr>
            <w:r w:rsidRPr="003D12B3">
              <w:t>Customer Relations and Customer Experience</w:t>
            </w:r>
          </w:p>
        </w:tc>
        <w:tc>
          <w:tcPr>
            <w:tcW w:w="2430" w:type="dxa"/>
            <w:vAlign w:val="center"/>
            <w:hideMark/>
          </w:tcPr>
          <w:p w14:paraId="6C84125D" w14:textId="33D859B8" w:rsidR="002467C4" w:rsidRPr="003D12B3" w:rsidRDefault="002467C4" w:rsidP="00734674">
            <w:pPr>
              <w:pStyle w:val="TableText"/>
              <w:jc w:val="right"/>
            </w:pPr>
            <w:r w:rsidRPr="003D12B3">
              <w:t xml:space="preserve">1,150,205 </w:t>
            </w:r>
          </w:p>
        </w:tc>
        <w:tc>
          <w:tcPr>
            <w:tcW w:w="2070" w:type="dxa"/>
            <w:vAlign w:val="center"/>
            <w:hideMark/>
          </w:tcPr>
          <w:p w14:paraId="21C16190" w14:textId="1D2A6B33" w:rsidR="002467C4" w:rsidRPr="003D12B3" w:rsidRDefault="002467C4" w:rsidP="00734674">
            <w:pPr>
              <w:pStyle w:val="TableText"/>
              <w:jc w:val="right"/>
            </w:pPr>
            <w:r w:rsidRPr="003D12B3">
              <w:t xml:space="preserve">1,084,943 </w:t>
            </w:r>
          </w:p>
        </w:tc>
        <w:tc>
          <w:tcPr>
            <w:tcW w:w="2430" w:type="dxa"/>
            <w:vAlign w:val="center"/>
            <w:hideMark/>
          </w:tcPr>
          <w:p w14:paraId="12C89AD2" w14:textId="775C1900" w:rsidR="002467C4" w:rsidRPr="003D12B3" w:rsidRDefault="002467C4" w:rsidP="00734674">
            <w:pPr>
              <w:pStyle w:val="TableText"/>
              <w:jc w:val="right"/>
            </w:pPr>
            <w:r w:rsidRPr="003D12B3">
              <w:t xml:space="preserve">65,261 </w:t>
            </w:r>
          </w:p>
        </w:tc>
      </w:tr>
    </w:tbl>
    <w:p w14:paraId="1AAB964B" w14:textId="77777777" w:rsidR="00CF4AC7" w:rsidRDefault="00CF4AC7" w:rsidP="00465F4D">
      <w:pPr>
        <w:pStyle w:val="BodyText3"/>
        <w:ind w:left="720" w:hanging="720"/>
      </w:pPr>
      <w:r>
        <w:t>H.</w:t>
      </w:r>
      <w:r>
        <w:tab/>
        <w:t xml:space="preserve">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0A50311B" w14:textId="00ACC988" w:rsidR="00CF4AC7" w:rsidRDefault="00CF4AC7" w:rsidP="00460DB0">
      <w:pPr>
        <w:pStyle w:val="BodyText"/>
      </w:pPr>
      <w:r>
        <w:t>N/A</w:t>
      </w:r>
    </w:p>
    <w:p w14:paraId="47FE25F3" w14:textId="77777777" w:rsidR="00CF4AC7" w:rsidRDefault="00CF4AC7" w:rsidP="00465F4D">
      <w:pPr>
        <w:pStyle w:val="BodyText3"/>
        <w:ind w:left="720" w:hanging="720"/>
      </w:pPr>
      <w:r>
        <w:t>I.</w:t>
      </w:r>
      <w:r>
        <w:tab/>
        <w:t xml:space="preserve">If the division or program works with local, regional, or federal units of government, include a brief description of these entities and their relationship to the agency. </w:t>
      </w:r>
    </w:p>
    <w:p w14:paraId="116934DD" w14:textId="4453CFE0" w:rsidR="00CF4AC7" w:rsidRDefault="00CF4AC7" w:rsidP="00460DB0">
      <w:pPr>
        <w:pStyle w:val="BodyText"/>
      </w:pPr>
      <w:r>
        <w:t xml:space="preserve">The Customer Relations Department regularly refers customer inquiries to the Local Workforce Development Boards for resolution. </w:t>
      </w:r>
      <w:r w:rsidR="006126CE">
        <w:t xml:space="preserve">The referrals are </w:t>
      </w:r>
      <w:r>
        <w:t>track</w:t>
      </w:r>
      <w:r w:rsidR="006126CE">
        <w:t>ed</w:t>
      </w:r>
      <w:r>
        <w:t xml:space="preserve"> and </w:t>
      </w:r>
      <w:proofErr w:type="gramStart"/>
      <w:r>
        <w:t>monitor</w:t>
      </w:r>
      <w:r w:rsidR="006126CE">
        <w:t>ed</w:t>
      </w:r>
      <w:r>
        <w:t xml:space="preserve"> ,</w:t>
      </w:r>
      <w:proofErr w:type="gramEnd"/>
      <w:r>
        <w:t xml:space="preserve"> providing performance reports that measure how efficiently the boards address and resolve customer issues or complaints.</w:t>
      </w:r>
      <w:r>
        <w:rPr>
          <w:rFonts w:cs="Arial"/>
        </w:rPr>
        <w:t> </w:t>
      </w:r>
      <w:r>
        <w:t xml:space="preserve"> </w:t>
      </w:r>
    </w:p>
    <w:p w14:paraId="6BA1C233" w14:textId="77777777" w:rsidR="00CF4AC7" w:rsidRDefault="00CF4AC7" w:rsidP="00465F4D">
      <w:pPr>
        <w:pStyle w:val="BodyText3"/>
        <w:ind w:left="720" w:hanging="720"/>
      </w:pPr>
      <w:r>
        <w:t>J.</w:t>
      </w:r>
      <w:r>
        <w:tab/>
        <w:t xml:space="preserve">Are there any barriers or challenges that impede the division or program’s performance, including any outdated or ineffective state laws? Explain. </w:t>
      </w:r>
    </w:p>
    <w:p w14:paraId="29F1AF16" w14:textId="77777777" w:rsidR="00CF4AC7" w:rsidRDefault="00CF4AC7" w:rsidP="00460DB0">
      <w:pPr>
        <w:pStyle w:val="BodyText"/>
      </w:pPr>
      <w:r>
        <w:t xml:space="preserve">N/A </w:t>
      </w:r>
    </w:p>
    <w:p w14:paraId="3EEBA9B0" w14:textId="77777777" w:rsidR="00CF4AC7" w:rsidRPr="00460DB0" w:rsidRDefault="00CF4AC7" w:rsidP="00465F4D">
      <w:pPr>
        <w:pStyle w:val="BodyText"/>
        <w:ind w:left="720" w:hanging="720"/>
        <w:rPr>
          <w:b/>
          <w:bCs/>
        </w:rPr>
      </w:pPr>
      <w:r w:rsidRPr="00460DB0">
        <w:rPr>
          <w:b/>
          <w:bCs/>
        </w:rPr>
        <w:t>K.</w:t>
      </w:r>
      <w:r w:rsidRPr="00460DB0">
        <w:rPr>
          <w:b/>
          <w:bCs/>
        </w:rPr>
        <w:tab/>
        <w:t xml:space="preserve">Provide any additional information needed to gain a preliminary understanding of the division or program. </w:t>
      </w:r>
    </w:p>
    <w:p w14:paraId="4300BD3C" w14:textId="77777777" w:rsidR="00CF4AC7" w:rsidRDefault="00CF4AC7" w:rsidP="00460DB0">
      <w:pPr>
        <w:pStyle w:val="BodyText"/>
      </w:pPr>
      <w:r>
        <w:t xml:space="preserve">N/A </w:t>
      </w:r>
    </w:p>
    <w:p w14:paraId="5A15FF25" w14:textId="77777777" w:rsidR="00CF4AC7" w:rsidRPr="00460DB0" w:rsidRDefault="00CF4AC7" w:rsidP="00465F4D">
      <w:pPr>
        <w:pStyle w:val="BodyText"/>
        <w:ind w:left="720" w:hanging="720"/>
        <w:rPr>
          <w:b/>
          <w:bCs/>
        </w:rPr>
      </w:pPr>
      <w:r w:rsidRPr="00460DB0">
        <w:rPr>
          <w:b/>
          <w:bCs/>
        </w:rPr>
        <w:t>L.</w:t>
      </w:r>
      <w:r w:rsidRPr="00460DB0">
        <w:rPr>
          <w:b/>
          <w:bCs/>
        </w:rPr>
        <w:tab/>
        <w:t xml:space="preserve">Regulatory programs relate to the licensing, registration, certification, or permitting of a person, business, piece of equipment, or other entity (e.g., a facility). For each regulatory program, if applicable, describe: </w:t>
      </w:r>
    </w:p>
    <w:p w14:paraId="0379E6D5" w14:textId="77777777" w:rsidR="00CF4AC7" w:rsidRDefault="00CF4AC7" w:rsidP="00460DB0">
      <w:pPr>
        <w:pStyle w:val="BodyText"/>
      </w:pPr>
      <w:r>
        <w:t xml:space="preserve">N/A </w:t>
      </w:r>
    </w:p>
    <w:p w14:paraId="6CD3854E" w14:textId="77777777" w:rsidR="00CF4AC7" w:rsidRPr="00460DB0" w:rsidRDefault="00CF4AC7" w:rsidP="00465F4D">
      <w:pPr>
        <w:pStyle w:val="BodyText"/>
        <w:ind w:left="720" w:hanging="720"/>
        <w:rPr>
          <w:b/>
          <w:bCs/>
        </w:rPr>
      </w:pPr>
      <w:r w:rsidRPr="00460DB0">
        <w:rPr>
          <w:b/>
          <w:bCs/>
        </w:rPr>
        <w:t>M.</w:t>
      </w:r>
      <w:r w:rsidRPr="00460DB0">
        <w:rPr>
          <w:b/>
          <w:bCs/>
        </w:rPr>
        <w:tab/>
        <w:t xml:space="preserve">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w:t>
      </w:r>
      <w:r w:rsidRPr="00460DB0">
        <w:rPr>
          <w:b/>
          <w:bCs/>
        </w:rPr>
        <w:lastRenderedPageBreak/>
        <w:t xml:space="preserve">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351087D0" w14:textId="174DE458" w:rsidR="00F619E8" w:rsidRDefault="00CF4AC7" w:rsidP="00414D53">
      <w:pPr>
        <w:pStyle w:val="BodyText"/>
      </w:pPr>
      <w:r>
        <w:t>N/A</w:t>
      </w:r>
      <w:r w:rsidR="00F619E8">
        <w:br w:type="page"/>
      </w:r>
    </w:p>
    <w:p w14:paraId="3B428B6B" w14:textId="77777777" w:rsidR="00C468CB" w:rsidRPr="00C468CB" w:rsidRDefault="00C468CB" w:rsidP="0053736B">
      <w:pPr>
        <w:pStyle w:val="Heading3"/>
      </w:pPr>
      <w:bookmarkStart w:id="287" w:name="_Toc1105552563"/>
      <w:bookmarkStart w:id="288" w:name="_Toc203377330"/>
      <w:r w:rsidRPr="00C468CB">
        <w:lastRenderedPageBreak/>
        <w:t>Fraud Deterrence and Compliance Monitoring Division</w:t>
      </w:r>
      <w:bookmarkEnd w:id="287"/>
      <w:bookmarkEnd w:id="288"/>
      <w:r w:rsidRPr="00C468CB">
        <w:t xml:space="preserve"> </w:t>
      </w:r>
    </w:p>
    <w:p w14:paraId="19138BAF" w14:textId="78812F3C" w:rsidR="00C468CB" w:rsidRDefault="0BC0E42E" w:rsidP="00117EB9">
      <w:pPr>
        <w:pStyle w:val="BodyText"/>
      </w:pPr>
      <w:r>
        <w:t xml:space="preserve">Fraud, Deterrence and Compliance Monitoring (FDCM) </w:t>
      </w:r>
      <w:r w:rsidR="2F9CD73E">
        <w:t xml:space="preserve">is </w:t>
      </w:r>
      <w:r>
        <w:t>dedicated to safeguarding the integrity of TWC programs and funds. The division’s primary function is to prevent, detect, and address fraud and ensure compliance with TWC rules and regulations. This function is accomplished through protecting unemployment insurance funds, monitoring employer compliance with labor laws, investigating potential fraud and abuse, taking enforcement actions, and implementing deterrent strategies to discourage future fraudulent or non-compliant behavior.</w:t>
      </w:r>
    </w:p>
    <w:p w14:paraId="0B94BBC6" w14:textId="77777777" w:rsidR="0012123C" w:rsidRPr="0012123C" w:rsidRDefault="0012123C" w:rsidP="0012123C">
      <w:pPr>
        <w:pStyle w:val="BodyText"/>
      </w:pPr>
      <w:r w:rsidRPr="0012123C">
        <w:rPr>
          <w:b/>
          <w:bCs/>
        </w:rPr>
        <w:t>Fraud Deterrence and Compliance Monitoring</w:t>
      </w:r>
      <w:r w:rsidRPr="0012123C">
        <w:t> </w:t>
      </w:r>
    </w:p>
    <w:p w14:paraId="2FE94C83" w14:textId="77777777" w:rsidR="0012123C" w:rsidRPr="00E36922" w:rsidRDefault="0012123C" w:rsidP="00E36922">
      <w:pPr>
        <w:pStyle w:val="BodyText3"/>
      </w:pPr>
      <w:r w:rsidRPr="00E36922">
        <w:t>A.</w:t>
      </w:r>
      <w:r w:rsidRPr="00E36922">
        <w:tab/>
        <w:t>Provide the following information at the beginning of each description. </w:t>
      </w:r>
    </w:p>
    <w:p w14:paraId="24291435" w14:textId="77777777" w:rsidR="0012123C" w:rsidRPr="0012123C" w:rsidRDefault="0012123C" w:rsidP="00C64851">
      <w:pPr>
        <w:pStyle w:val="BodyText"/>
        <w:numPr>
          <w:ilvl w:val="0"/>
          <w:numId w:val="94"/>
        </w:numPr>
        <w:spacing w:before="120" w:after="120"/>
      </w:pPr>
      <w:r w:rsidRPr="0012123C">
        <w:rPr>
          <w:i/>
          <w:iCs/>
        </w:rPr>
        <w:t>Name of division or program:</w:t>
      </w:r>
      <w:r w:rsidRPr="0012123C">
        <w:t xml:space="preserve"> Fraud Deterrence and Compliance Monitoring </w:t>
      </w:r>
    </w:p>
    <w:p w14:paraId="56F90E31" w14:textId="77777777" w:rsidR="0012123C" w:rsidRPr="0012123C" w:rsidRDefault="0012123C" w:rsidP="00C64851">
      <w:pPr>
        <w:pStyle w:val="BodyText"/>
        <w:numPr>
          <w:ilvl w:val="0"/>
          <w:numId w:val="94"/>
        </w:numPr>
        <w:spacing w:before="120" w:after="120"/>
      </w:pPr>
      <w:r w:rsidRPr="0012123C">
        <w:rPr>
          <w:i/>
          <w:iCs/>
        </w:rPr>
        <w:t xml:space="preserve">Location within the agency: </w:t>
      </w:r>
      <w:r w:rsidRPr="0012123C">
        <w:t>Fraud Deterrence and Compliance Monitoring </w:t>
      </w:r>
    </w:p>
    <w:p w14:paraId="2BA25EF2" w14:textId="562B0E3E" w:rsidR="0012123C" w:rsidRPr="0012123C" w:rsidRDefault="0012123C" w:rsidP="00C64851">
      <w:pPr>
        <w:pStyle w:val="BodyText"/>
        <w:numPr>
          <w:ilvl w:val="0"/>
          <w:numId w:val="94"/>
        </w:numPr>
        <w:spacing w:before="120" w:after="120"/>
      </w:pPr>
      <w:r w:rsidRPr="0012123C">
        <w:rPr>
          <w:i/>
          <w:iCs/>
        </w:rPr>
        <w:t>Contact name:</w:t>
      </w:r>
      <w:r w:rsidRPr="0012123C">
        <w:t xml:space="preserve"> </w:t>
      </w:r>
      <w:r w:rsidR="009C2E80">
        <w:t xml:space="preserve">Jason </w:t>
      </w:r>
      <w:proofErr w:type="spellStart"/>
      <w:r w:rsidR="009C2E80">
        <w:t>Stalinksky</w:t>
      </w:r>
      <w:proofErr w:type="spellEnd"/>
    </w:p>
    <w:p w14:paraId="0F212808" w14:textId="77777777" w:rsidR="0012123C" w:rsidRPr="0012123C" w:rsidRDefault="0012123C" w:rsidP="00C64851">
      <w:pPr>
        <w:pStyle w:val="BodyText"/>
        <w:numPr>
          <w:ilvl w:val="0"/>
          <w:numId w:val="94"/>
        </w:numPr>
        <w:spacing w:before="120" w:after="120"/>
      </w:pPr>
      <w:r w:rsidRPr="0012123C">
        <w:rPr>
          <w:i/>
          <w:iCs/>
        </w:rPr>
        <w:t>Statutory citation:</w:t>
      </w:r>
      <w:r w:rsidRPr="0012123C">
        <w:t xml:space="preserve"> See Gap summaries for the various departments within Fraud Deterrence and Compliance Monitoring </w:t>
      </w:r>
    </w:p>
    <w:p w14:paraId="060984A4" w14:textId="77777777" w:rsidR="0012123C" w:rsidRPr="00C612A8" w:rsidRDefault="0012123C" w:rsidP="00C612A8">
      <w:pPr>
        <w:pStyle w:val="BodyText3"/>
      </w:pPr>
      <w:r w:rsidRPr="00C612A8">
        <w:t>B.</w:t>
      </w:r>
      <w:r w:rsidRPr="00C612A8">
        <w:tab/>
        <w:t>What is the objective of this division or program? Describe its major activities. </w:t>
      </w:r>
    </w:p>
    <w:p w14:paraId="363230DD" w14:textId="77777777" w:rsidR="0012123C" w:rsidRPr="0012123C" w:rsidRDefault="0012123C" w:rsidP="0012123C">
      <w:pPr>
        <w:pStyle w:val="BodyText"/>
      </w:pPr>
      <w:r w:rsidRPr="0012123C">
        <w:t>The objective and function of the Fraud Deterrence and Compliance Monitoring (FDCM) is to detect and deter fraud, waste, theft, and abuse in all TWC programs and operations. FDCM monitors the effectiveness, efficiency, economy, and integrity of all TWC programs and operations including those performed by its contractors and grantees.  </w:t>
      </w:r>
    </w:p>
    <w:p w14:paraId="3E896B59" w14:textId="77777777" w:rsidR="0012123C" w:rsidRPr="0012123C" w:rsidRDefault="0012123C" w:rsidP="0012123C">
      <w:pPr>
        <w:pStyle w:val="BodyText"/>
      </w:pPr>
      <w:r w:rsidRPr="0012123C">
        <w:rPr>
          <w:b/>
          <w:bCs/>
        </w:rPr>
        <w:t>Objective:</w:t>
      </w:r>
      <w:r w:rsidRPr="0012123C">
        <w:t>  </w:t>
      </w:r>
    </w:p>
    <w:p w14:paraId="38E7FFBD" w14:textId="77777777" w:rsidR="0012123C" w:rsidRPr="0012123C" w:rsidRDefault="0012123C" w:rsidP="00C64851">
      <w:pPr>
        <w:pStyle w:val="BodyText"/>
        <w:numPr>
          <w:ilvl w:val="0"/>
          <w:numId w:val="64"/>
        </w:numPr>
      </w:pPr>
      <w:r w:rsidRPr="0012123C">
        <w:rPr>
          <w:b/>
          <w:bCs/>
        </w:rPr>
        <w:t>To protect state and federal funds:</w:t>
      </w:r>
      <w:r w:rsidRPr="0012123C">
        <w:t xml:space="preserve"> FDCM aims to ensure that taxpayer money and other resources allocated to TWC programs are used appropriately and not lost to fraud, waste, and abuse.  </w:t>
      </w:r>
    </w:p>
    <w:p w14:paraId="374AB74C" w14:textId="77777777" w:rsidR="0012123C" w:rsidRPr="0012123C" w:rsidRDefault="0012123C" w:rsidP="00C64851">
      <w:pPr>
        <w:pStyle w:val="BodyText"/>
        <w:numPr>
          <w:ilvl w:val="0"/>
          <w:numId w:val="65"/>
        </w:numPr>
      </w:pPr>
      <w:r w:rsidRPr="0012123C">
        <w:rPr>
          <w:b/>
          <w:bCs/>
        </w:rPr>
        <w:t>To ensure program integrity:</w:t>
      </w:r>
      <w:r w:rsidRPr="0012123C">
        <w:t xml:space="preserve"> FDCM seeks to maintain the trustworthiness and reliability of TWC programs, ensuring that they operate as intended and serve their intended beneficiaries.  </w:t>
      </w:r>
    </w:p>
    <w:p w14:paraId="4866BCF2" w14:textId="77777777" w:rsidR="0012123C" w:rsidRPr="0012123C" w:rsidRDefault="0012123C" w:rsidP="00C64851">
      <w:pPr>
        <w:pStyle w:val="BodyText"/>
        <w:numPr>
          <w:ilvl w:val="0"/>
          <w:numId w:val="66"/>
        </w:numPr>
      </w:pPr>
      <w:r w:rsidRPr="0012123C">
        <w:rPr>
          <w:b/>
          <w:bCs/>
        </w:rPr>
        <w:t>To deter fraudulent activity:</w:t>
      </w:r>
      <w:r w:rsidRPr="0012123C">
        <w:t xml:space="preserve"> By detecting, preventing, and investigating fraud, waste, and abuse, FDCM aims to discourage individuals and entities from attempting to defraud TWC programs.  </w:t>
      </w:r>
    </w:p>
    <w:p w14:paraId="286B5DB1" w14:textId="77777777" w:rsidR="0012123C" w:rsidRPr="0012123C" w:rsidRDefault="0012123C" w:rsidP="00C64851">
      <w:pPr>
        <w:pStyle w:val="BodyText"/>
        <w:numPr>
          <w:ilvl w:val="0"/>
          <w:numId w:val="67"/>
        </w:numPr>
      </w:pPr>
      <w:r w:rsidRPr="0012123C">
        <w:rPr>
          <w:b/>
          <w:bCs/>
        </w:rPr>
        <w:t>To comply with federal and state laws:</w:t>
      </w:r>
      <w:r w:rsidRPr="0012123C">
        <w:t xml:space="preserve"> FDCM ensures that TWC programs operate in compliance with relevant state and federal laws and regulations.  </w:t>
      </w:r>
    </w:p>
    <w:p w14:paraId="39F6179B" w14:textId="77777777" w:rsidR="0012123C" w:rsidRPr="0012123C" w:rsidRDefault="0012123C" w:rsidP="0012123C">
      <w:pPr>
        <w:pStyle w:val="BodyText"/>
      </w:pPr>
      <w:r w:rsidRPr="0012123C">
        <w:rPr>
          <w:b/>
          <w:bCs/>
        </w:rPr>
        <w:lastRenderedPageBreak/>
        <w:t>Function:</w:t>
      </w:r>
      <w:r w:rsidRPr="0012123C">
        <w:t>  </w:t>
      </w:r>
    </w:p>
    <w:p w14:paraId="30F47A03" w14:textId="77777777" w:rsidR="0012123C" w:rsidRPr="0012123C" w:rsidRDefault="0012123C" w:rsidP="00C64851">
      <w:pPr>
        <w:pStyle w:val="BodyText"/>
        <w:numPr>
          <w:ilvl w:val="0"/>
          <w:numId w:val="68"/>
        </w:numPr>
      </w:pPr>
      <w:r w:rsidRPr="0012123C">
        <w:rPr>
          <w:b/>
          <w:bCs/>
        </w:rPr>
        <w:t>Fraud Detection:</w:t>
      </w:r>
      <w:r w:rsidRPr="0012123C">
        <w:t>  </w:t>
      </w:r>
    </w:p>
    <w:p w14:paraId="2DF9A3BA" w14:textId="77777777" w:rsidR="0012123C" w:rsidRPr="0012123C" w:rsidRDefault="0012123C" w:rsidP="00C64851">
      <w:pPr>
        <w:pStyle w:val="BodyText"/>
        <w:numPr>
          <w:ilvl w:val="0"/>
          <w:numId w:val="69"/>
        </w:numPr>
      </w:pPr>
      <w:r w:rsidRPr="0012123C">
        <w:t>Analyzing data to identify patterns, anomalies, and high-risk indicators of potential fraud.  </w:t>
      </w:r>
    </w:p>
    <w:p w14:paraId="5D0AD9DB" w14:textId="77777777" w:rsidR="0012123C" w:rsidRPr="0012123C" w:rsidRDefault="0012123C" w:rsidP="00C64851">
      <w:pPr>
        <w:pStyle w:val="BodyText"/>
        <w:numPr>
          <w:ilvl w:val="0"/>
          <w:numId w:val="70"/>
        </w:numPr>
      </w:pPr>
      <w:r w:rsidRPr="0012123C">
        <w:t>Using data analytics tools and techniques to proactively detect fraudulent activity.  </w:t>
      </w:r>
    </w:p>
    <w:p w14:paraId="045484BF" w14:textId="77777777" w:rsidR="0012123C" w:rsidRPr="0012123C" w:rsidRDefault="0012123C" w:rsidP="00C64851">
      <w:pPr>
        <w:pStyle w:val="BodyText"/>
        <w:numPr>
          <w:ilvl w:val="0"/>
          <w:numId w:val="71"/>
        </w:numPr>
      </w:pPr>
      <w:r w:rsidRPr="0012123C">
        <w:rPr>
          <w:b/>
          <w:bCs/>
        </w:rPr>
        <w:t>Fraud Prevention:</w:t>
      </w:r>
      <w:r w:rsidRPr="0012123C">
        <w:t>  </w:t>
      </w:r>
    </w:p>
    <w:p w14:paraId="3975533A" w14:textId="77777777" w:rsidR="0012123C" w:rsidRPr="0012123C" w:rsidRDefault="0012123C" w:rsidP="00C64851">
      <w:pPr>
        <w:pStyle w:val="BodyText"/>
        <w:numPr>
          <w:ilvl w:val="0"/>
          <w:numId w:val="72"/>
        </w:numPr>
      </w:pPr>
      <w:r w:rsidRPr="0012123C">
        <w:t>Implementing internal controls and safeguards to prevent fraud from occurring.  </w:t>
      </w:r>
    </w:p>
    <w:p w14:paraId="6506A89E" w14:textId="77777777" w:rsidR="0012123C" w:rsidRPr="0012123C" w:rsidRDefault="0012123C" w:rsidP="00C64851">
      <w:pPr>
        <w:pStyle w:val="BodyText"/>
        <w:numPr>
          <w:ilvl w:val="0"/>
          <w:numId w:val="73"/>
        </w:numPr>
      </w:pPr>
      <w:r w:rsidRPr="0012123C">
        <w:t>Providing training and education to staff and stakeholders on fraud awareness and prevention.  </w:t>
      </w:r>
    </w:p>
    <w:p w14:paraId="4B7F995A" w14:textId="77777777" w:rsidR="0012123C" w:rsidRPr="0012123C" w:rsidRDefault="0012123C" w:rsidP="00C64851">
      <w:pPr>
        <w:pStyle w:val="BodyText"/>
        <w:numPr>
          <w:ilvl w:val="0"/>
          <w:numId w:val="74"/>
        </w:numPr>
      </w:pPr>
      <w:r w:rsidRPr="0012123C">
        <w:rPr>
          <w:b/>
          <w:bCs/>
        </w:rPr>
        <w:t>Investigation:</w:t>
      </w:r>
      <w:r w:rsidRPr="0012123C">
        <w:t>  </w:t>
      </w:r>
    </w:p>
    <w:p w14:paraId="792AF75F" w14:textId="77777777" w:rsidR="0012123C" w:rsidRPr="0012123C" w:rsidRDefault="0012123C" w:rsidP="00C64851">
      <w:pPr>
        <w:pStyle w:val="BodyText"/>
        <w:numPr>
          <w:ilvl w:val="0"/>
          <w:numId w:val="75"/>
        </w:numPr>
      </w:pPr>
      <w:r w:rsidRPr="0012123C">
        <w:t>Conducting thorough investigations of suspected fraud, waste, and abuse.  </w:t>
      </w:r>
    </w:p>
    <w:p w14:paraId="0060E403" w14:textId="77777777" w:rsidR="0012123C" w:rsidRPr="0012123C" w:rsidRDefault="0012123C" w:rsidP="00C64851">
      <w:pPr>
        <w:pStyle w:val="BodyText"/>
        <w:numPr>
          <w:ilvl w:val="0"/>
          <w:numId w:val="76"/>
        </w:numPr>
      </w:pPr>
      <w:r w:rsidRPr="0012123C">
        <w:t>Gathering evidence, interviewing witnesses, and preparing cases for prosecution or administrative action.  </w:t>
      </w:r>
    </w:p>
    <w:p w14:paraId="2017FB2B" w14:textId="77777777" w:rsidR="0012123C" w:rsidRPr="0012123C" w:rsidRDefault="0012123C" w:rsidP="00C64851">
      <w:pPr>
        <w:pStyle w:val="BodyText"/>
        <w:numPr>
          <w:ilvl w:val="0"/>
          <w:numId w:val="77"/>
        </w:numPr>
      </w:pPr>
      <w:r w:rsidRPr="0012123C">
        <w:rPr>
          <w:b/>
          <w:bCs/>
        </w:rPr>
        <w:t>Compliance Monitoring:</w:t>
      </w:r>
      <w:r w:rsidRPr="0012123C">
        <w:t>  </w:t>
      </w:r>
    </w:p>
    <w:p w14:paraId="530B5D50" w14:textId="77777777" w:rsidR="0012123C" w:rsidRPr="0012123C" w:rsidRDefault="0012123C" w:rsidP="00C64851">
      <w:pPr>
        <w:pStyle w:val="BodyText"/>
        <w:numPr>
          <w:ilvl w:val="0"/>
          <w:numId w:val="78"/>
        </w:numPr>
      </w:pPr>
      <w:r w:rsidRPr="0012123C">
        <w:t>Conducting audits and reviews to ensure compliance with TWC policies and procedures, as well as state and federal laws and regulations.  </w:t>
      </w:r>
    </w:p>
    <w:p w14:paraId="7607B33B" w14:textId="77777777" w:rsidR="0012123C" w:rsidRPr="0012123C" w:rsidRDefault="0012123C" w:rsidP="00C64851">
      <w:pPr>
        <w:pStyle w:val="BodyText"/>
        <w:numPr>
          <w:ilvl w:val="0"/>
          <w:numId w:val="79"/>
        </w:numPr>
      </w:pPr>
      <w:r w:rsidRPr="0012123C">
        <w:t>Identifying and addressing weaknesses in internal controls and program operations.  </w:t>
      </w:r>
    </w:p>
    <w:p w14:paraId="2073D13A" w14:textId="77777777" w:rsidR="0012123C" w:rsidRPr="0012123C" w:rsidRDefault="0012123C" w:rsidP="00C64851">
      <w:pPr>
        <w:pStyle w:val="BodyText"/>
        <w:numPr>
          <w:ilvl w:val="0"/>
          <w:numId w:val="80"/>
        </w:numPr>
      </w:pPr>
      <w:r w:rsidRPr="0012123C">
        <w:rPr>
          <w:b/>
          <w:bCs/>
        </w:rPr>
        <w:t>Enforcement:</w:t>
      </w:r>
      <w:r w:rsidRPr="0012123C">
        <w:t>  </w:t>
      </w:r>
    </w:p>
    <w:p w14:paraId="162E5C0A" w14:textId="77777777" w:rsidR="0012123C" w:rsidRPr="0012123C" w:rsidRDefault="0012123C" w:rsidP="00C64851">
      <w:pPr>
        <w:pStyle w:val="BodyText"/>
        <w:numPr>
          <w:ilvl w:val="0"/>
          <w:numId w:val="81"/>
        </w:numPr>
      </w:pPr>
      <w:r w:rsidRPr="0012123C">
        <w:t>Referring cases of suspected fraud to law enforcement agencies for prosecution.  </w:t>
      </w:r>
    </w:p>
    <w:p w14:paraId="0B8DA76E" w14:textId="77777777" w:rsidR="0012123C" w:rsidRPr="0012123C" w:rsidRDefault="0012123C" w:rsidP="00C64851">
      <w:pPr>
        <w:pStyle w:val="BodyText"/>
        <w:numPr>
          <w:ilvl w:val="0"/>
          <w:numId w:val="82"/>
        </w:numPr>
      </w:pPr>
      <w:r w:rsidRPr="0012123C">
        <w:t>Imposing administrative sanctions on individuals and entities that have engaged in fraud, waste, or abuse.  </w:t>
      </w:r>
    </w:p>
    <w:p w14:paraId="545CD87D" w14:textId="77777777" w:rsidR="0012123C" w:rsidRPr="0012123C" w:rsidRDefault="0012123C" w:rsidP="00C64851">
      <w:pPr>
        <w:pStyle w:val="BodyText"/>
        <w:numPr>
          <w:ilvl w:val="0"/>
          <w:numId w:val="83"/>
        </w:numPr>
      </w:pPr>
      <w:r w:rsidRPr="0012123C">
        <w:rPr>
          <w:b/>
          <w:bCs/>
        </w:rPr>
        <w:t>Work with stakeholders:</w:t>
      </w:r>
      <w:r w:rsidRPr="0012123C">
        <w:t>  </w:t>
      </w:r>
    </w:p>
    <w:p w14:paraId="08EA0FBA" w14:textId="77777777" w:rsidR="0012123C" w:rsidRPr="0012123C" w:rsidRDefault="0012123C" w:rsidP="00C64851">
      <w:pPr>
        <w:pStyle w:val="BodyText"/>
        <w:numPr>
          <w:ilvl w:val="0"/>
          <w:numId w:val="84"/>
        </w:numPr>
      </w:pPr>
      <w:r w:rsidRPr="0012123C">
        <w:t>Partnering with various entities including local workforce development boards, prosecutors, local governments, and other organizations.  </w:t>
      </w:r>
    </w:p>
    <w:p w14:paraId="1669FDA8" w14:textId="77777777" w:rsidR="0012123C" w:rsidRPr="0012123C" w:rsidRDefault="0012123C" w:rsidP="00C64851">
      <w:pPr>
        <w:pStyle w:val="BodyText"/>
        <w:numPr>
          <w:ilvl w:val="0"/>
          <w:numId w:val="85"/>
        </w:numPr>
      </w:pPr>
      <w:r w:rsidRPr="0012123C">
        <w:t>Providing resources on laws, regulations, and best practices to internal and external stakeholders.  </w:t>
      </w:r>
    </w:p>
    <w:p w14:paraId="7B34DA83" w14:textId="77777777" w:rsidR="0012123C" w:rsidRPr="0097622A" w:rsidRDefault="0012123C" w:rsidP="00416205">
      <w:pPr>
        <w:pStyle w:val="BodyText3"/>
        <w:ind w:left="720" w:hanging="720"/>
      </w:pPr>
      <w:r w:rsidRPr="0097622A">
        <w:lastRenderedPageBreak/>
        <w:t>C.</w:t>
      </w:r>
      <w:r w:rsidRPr="0097622A">
        <w:tab/>
        <w:t xml:space="preserve">What information does the agency collect/use to assess the effectiveness and efficiency of this division or program? If applicable, briefly note any LBB performance measures (from Section II, </w:t>
      </w:r>
      <w:proofErr w:type="gramStart"/>
      <w:r w:rsidRPr="0097622A">
        <w:t>Exhibit</w:t>
      </w:r>
      <w:proofErr w:type="gramEnd"/>
      <w:r w:rsidRPr="0097622A">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5AFD48B" w14:textId="77777777" w:rsidR="0012123C" w:rsidRPr="0012123C" w:rsidRDefault="0012123C" w:rsidP="0012123C">
      <w:pPr>
        <w:pStyle w:val="BodyText"/>
      </w:pPr>
      <w:r w:rsidRPr="0012123C">
        <w:t>N/A </w:t>
      </w:r>
    </w:p>
    <w:p w14:paraId="3579A333" w14:textId="77777777" w:rsidR="0012123C" w:rsidRPr="0097622A" w:rsidRDefault="0012123C" w:rsidP="00416205">
      <w:pPr>
        <w:pStyle w:val="BodyText3"/>
        <w:ind w:left="720" w:hanging="720"/>
      </w:pPr>
      <w:r w:rsidRPr="0097622A">
        <w:t>D.</w:t>
      </w:r>
      <w:r w:rsidRPr="0097622A">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1676B90A" w14:textId="5E5A984B" w:rsidR="0012123C" w:rsidRPr="0012123C" w:rsidRDefault="0012123C" w:rsidP="0012123C">
      <w:pPr>
        <w:pStyle w:val="BodyText"/>
      </w:pPr>
      <w:r w:rsidRPr="0012123C">
        <w:t>In 2005, TWC’s Executive Director Larry Temple created the Regulatory Integrity Division (RID) in response to Governor Rick Perry’s Executive Order RP36. Temple consolidated all agency accountability functions, which had previously been scattered among the various divisions, into this new division. The new division ensures that the agency’s accountability functions were performed independent of various other departments.  </w:t>
      </w:r>
    </w:p>
    <w:p w14:paraId="63A5827B" w14:textId="54915FDE" w:rsidR="0012123C" w:rsidRPr="0012123C" w:rsidRDefault="0012123C" w:rsidP="0012123C">
      <w:pPr>
        <w:pStyle w:val="BodyText"/>
      </w:pPr>
      <w:r w:rsidRPr="0012123C">
        <w:t>Effective Sept</w:t>
      </w:r>
      <w:r w:rsidR="00BE5DB3">
        <w:t>.</w:t>
      </w:r>
      <w:r w:rsidRPr="0012123C">
        <w:t xml:space="preserve"> 1, 2021, RID was rebranded as the Division of Fraud Deterrence and Compliance Monitoring (FDCM). The change from “Regulatory Integrity” to “Fraud Deterrence and Compliance Monitoring” made clear TWC’s obligation to fight fraud in all programs and ensuring both the public and internal staff understood the agency’s commitment to the highest standards of accountability in its handling and expenditure of public funds.  As part of the restructuring, TWC moved the Collections &amp; Civil Actions Department, which collects debt for the Unemployment Insurance and Payday law programs to the Finance Division. </w:t>
      </w:r>
    </w:p>
    <w:p w14:paraId="0A459060" w14:textId="77777777" w:rsidR="0012123C" w:rsidRPr="0097622A" w:rsidRDefault="0012123C" w:rsidP="00416205">
      <w:pPr>
        <w:pStyle w:val="BodyText3"/>
        <w:ind w:left="720" w:hanging="720"/>
      </w:pPr>
      <w:r w:rsidRPr="0097622A">
        <w:t>E.</w:t>
      </w:r>
      <w:r w:rsidRPr="0097622A">
        <w:tab/>
        <w:t>List any qualifications or eligibility requirements for persons or entities affected by this division or program (e.g., licensees, consumers, and landowners). Provide a statistical breakdown of persons or entities affected. </w:t>
      </w:r>
    </w:p>
    <w:p w14:paraId="29C06B86" w14:textId="77777777" w:rsidR="0012123C" w:rsidRPr="0012123C" w:rsidRDefault="0012123C" w:rsidP="0012123C">
      <w:pPr>
        <w:pStyle w:val="BodyText"/>
      </w:pPr>
      <w:r w:rsidRPr="0012123C">
        <w:t>N/A </w:t>
      </w:r>
    </w:p>
    <w:p w14:paraId="55E9B371" w14:textId="77777777" w:rsidR="0012123C" w:rsidRPr="0097622A" w:rsidRDefault="0012123C" w:rsidP="00416205">
      <w:pPr>
        <w:pStyle w:val="BodyText3"/>
        <w:ind w:left="720" w:hanging="720"/>
      </w:pPr>
      <w:r w:rsidRPr="0097622A">
        <w:t>F.</w:t>
      </w:r>
      <w:r w:rsidRPr="0097622A">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529EA5A4" w14:textId="77777777" w:rsidR="00804C30" w:rsidRPr="0012123C" w:rsidRDefault="0012123C" w:rsidP="00804C30">
      <w:pPr>
        <w:pStyle w:val="BodyText"/>
      </w:pPr>
      <w:r w:rsidRPr="0012123C">
        <w:t xml:space="preserve">FDCM is made up of several departments which work together to help prevent, detect, and reduce fraud waste and program abuse within all TWC-governed programs as well as to monitor the effectiveness, efficiency, economy, and integrity of all TWC programs and operations including those performed by its contractors and grantees.  Each department </w:t>
      </w:r>
      <w:r w:rsidRPr="0012123C">
        <w:lastRenderedPageBreak/>
        <w:t>fulfills a function as part of TWC’s overall mission</w:t>
      </w:r>
      <w:r w:rsidR="00E51EA8">
        <w:t xml:space="preserve"> and </w:t>
      </w:r>
      <w:r w:rsidR="00C76D23">
        <w:t xml:space="preserve">is </w:t>
      </w:r>
      <w:r w:rsidR="00E51EA8">
        <w:t>explained in detail</w:t>
      </w:r>
      <w:r w:rsidR="00DE604F">
        <w:t xml:space="preserve"> in</w:t>
      </w:r>
      <w:r w:rsidR="00E51EA8">
        <w:t xml:space="preserve"> </w:t>
      </w:r>
      <w:r w:rsidR="00CA2E07">
        <w:t>additional G</w:t>
      </w:r>
      <w:r w:rsidR="00126257">
        <w:t>AP</w:t>
      </w:r>
      <w:r w:rsidR="00CA2E07">
        <w:t xml:space="preserve"> documents</w:t>
      </w:r>
      <w:r w:rsidRPr="0012123C">
        <w:t>. </w:t>
      </w:r>
    </w:p>
    <w:p w14:paraId="1FA55B8D" w14:textId="77777777" w:rsidR="00804C30" w:rsidRPr="0012123C" w:rsidRDefault="00804C30" w:rsidP="00804C30">
      <w:pPr>
        <w:pStyle w:val="BodyText"/>
      </w:pPr>
      <w:r w:rsidRPr="0012123C">
        <w:t>Departments within the Division include Benefit Payment Control, Equal Opportunity Compliance, Fraud Prosecutions, Office of Investigations, Quality Control and Evaluation, Subrecipient Monitoring, Unemployment Insurance Data Analysis, Vocational Rehabilitation (VR) Contract Oversight, and Wage and Hour. </w:t>
      </w:r>
    </w:p>
    <w:p w14:paraId="0D45602B" w14:textId="6A8BD589" w:rsidR="0012123C" w:rsidRPr="0097622A" w:rsidRDefault="0012123C" w:rsidP="00260196">
      <w:pPr>
        <w:pStyle w:val="BodyText3"/>
        <w:ind w:left="720" w:hanging="720"/>
      </w:pPr>
      <w:r w:rsidRPr="0097622A">
        <w:t>G.</w:t>
      </w:r>
      <w:r w:rsidRPr="0097622A">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p w14:paraId="6EEDEA96" w14:textId="545C9855" w:rsidR="00C47D0A" w:rsidRPr="005055D8" w:rsidRDefault="00742E0A" w:rsidP="00427D0C">
      <w:pPr>
        <w:pStyle w:val="BodyText3"/>
        <w:rPr>
          <w:b w:val="0"/>
          <w:bCs/>
        </w:rPr>
      </w:pPr>
      <w:r w:rsidRPr="005055D8">
        <w:rPr>
          <w:b w:val="0"/>
          <w:bCs/>
        </w:rPr>
        <w:t xml:space="preserve">See </w:t>
      </w:r>
      <w:r w:rsidR="00E544D2">
        <w:rPr>
          <w:b w:val="0"/>
          <w:bCs/>
        </w:rPr>
        <w:t xml:space="preserve">subsequent </w:t>
      </w:r>
      <w:r w:rsidRPr="005055D8">
        <w:rPr>
          <w:b w:val="0"/>
          <w:bCs/>
        </w:rPr>
        <w:t>GAPs</w:t>
      </w:r>
      <w:r w:rsidR="005228FC" w:rsidRPr="005055D8">
        <w:rPr>
          <w:b w:val="0"/>
          <w:bCs/>
        </w:rPr>
        <w:t xml:space="preserve"> </w:t>
      </w:r>
      <w:r w:rsidR="00671BB5" w:rsidRPr="005055D8">
        <w:rPr>
          <w:b w:val="0"/>
          <w:bCs/>
        </w:rPr>
        <w:t>for FDCM.</w:t>
      </w:r>
    </w:p>
    <w:p w14:paraId="0A827147" w14:textId="77777777" w:rsidR="0012123C" w:rsidRPr="0097622A" w:rsidRDefault="0012123C" w:rsidP="00290CF7">
      <w:pPr>
        <w:pStyle w:val="BodyText3"/>
        <w:ind w:left="720" w:hanging="720"/>
      </w:pPr>
      <w:r w:rsidRPr="0097622A">
        <w:t>H.</w:t>
      </w:r>
      <w:r w:rsidRPr="0097622A">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49405F9F" w14:textId="5B04FB41" w:rsidR="0012123C" w:rsidRPr="0012123C" w:rsidRDefault="0012123C" w:rsidP="0012123C">
      <w:pPr>
        <w:pStyle w:val="BodyText"/>
      </w:pPr>
      <w:r w:rsidRPr="0012123C">
        <w:t xml:space="preserve">Each Federal agency that partners with TWC has </w:t>
      </w:r>
      <w:r w:rsidR="00A61FAA">
        <w:t>an</w:t>
      </w:r>
      <w:r w:rsidRPr="0012123C">
        <w:t xml:space="preserve"> office of inspector general or similar oversight entity that has the authority to investigate fraud, waste and abuse issues that come to their attention.  </w:t>
      </w:r>
    </w:p>
    <w:p w14:paraId="45A144C2" w14:textId="1B8C98B3" w:rsidR="0012123C" w:rsidRPr="0012123C" w:rsidRDefault="0012123C" w:rsidP="0012123C">
      <w:pPr>
        <w:pStyle w:val="BodyText"/>
      </w:pPr>
      <w:r w:rsidRPr="0012123C">
        <w:t>HHSC is the state grantee for SNAP and is responsible for fraud, waste and abuse related to the SNAP program.  If TWC becomes aware of fraud, waste and abuse issues related to SNAP Employment and Training, those issues are reported to HHSC.  </w:t>
      </w:r>
    </w:p>
    <w:p w14:paraId="56D792D4" w14:textId="77777777" w:rsidR="0012123C" w:rsidRPr="0012123C" w:rsidRDefault="0012123C" w:rsidP="0012123C">
      <w:pPr>
        <w:pStyle w:val="BodyText"/>
      </w:pPr>
      <w:r w:rsidRPr="0012123C">
        <w:t>The State Auditing Office (SAO) notifies state agencies of fraud, waste, and abuse reports.  If TWC is informed of an SAO inquiry, the agency checks whether the inquiry relates to a matter already under review by TWC and TWC will work with SAO to resolve the issue.  Similarly, TWC collaborates with federal entities as needed if they are investigating a fraud, waste, and abuse issue. </w:t>
      </w:r>
    </w:p>
    <w:p w14:paraId="2728AC61" w14:textId="77777777" w:rsidR="0012123C" w:rsidRPr="0097622A" w:rsidRDefault="0012123C" w:rsidP="00290CF7">
      <w:pPr>
        <w:pStyle w:val="BodyText3"/>
        <w:ind w:left="720" w:hanging="720"/>
      </w:pPr>
      <w:r w:rsidRPr="0097622A">
        <w:t>I.</w:t>
      </w:r>
      <w:r w:rsidRPr="0097622A">
        <w:tab/>
        <w:t>If the division or program works with local, regional, or federal units of government, include a brief description of these entities and their relationship to the agency. </w:t>
      </w:r>
    </w:p>
    <w:p w14:paraId="5E69C527" w14:textId="77777777" w:rsidR="0012123C" w:rsidRPr="0012123C" w:rsidRDefault="0012123C" w:rsidP="0012123C">
      <w:pPr>
        <w:pStyle w:val="BodyText"/>
      </w:pPr>
      <w:r w:rsidRPr="0012123C">
        <w:rPr>
          <w:b/>
          <w:bCs/>
        </w:rPr>
        <w:t>Federal Agencies:</w:t>
      </w:r>
      <w:r w:rsidRPr="0012123C">
        <w:t>  </w:t>
      </w:r>
    </w:p>
    <w:p w14:paraId="1ABD40B0" w14:textId="2DCCD796" w:rsidR="0012123C" w:rsidRPr="0012123C" w:rsidRDefault="0012123C" w:rsidP="00C64851">
      <w:pPr>
        <w:pStyle w:val="BodyText"/>
        <w:numPr>
          <w:ilvl w:val="0"/>
          <w:numId w:val="86"/>
        </w:numPr>
      </w:pPr>
      <w:r w:rsidRPr="0012123C">
        <w:rPr>
          <w:b/>
          <w:bCs/>
        </w:rPr>
        <w:t>U.S. Department of Labor</w:t>
      </w:r>
      <w:r w:rsidRPr="0012123C">
        <w:t xml:space="preserve">: The unemployment compensation (UC) program is a federal/state partnership. DOL determines whether states’ UI program operations conform and comply to federal UC laws. DOL also provides guidance to states on </w:t>
      </w:r>
      <w:r w:rsidRPr="0012123C">
        <w:lastRenderedPageBreak/>
        <w:t>UC policies and procedure. FDCM interact</w:t>
      </w:r>
      <w:r w:rsidR="00790208">
        <w:t>s</w:t>
      </w:r>
      <w:r w:rsidRPr="0012123C">
        <w:t xml:space="preserve"> with DOL for</w:t>
      </w:r>
      <w:r w:rsidR="00790208">
        <w:t xml:space="preserve"> reporting</w:t>
      </w:r>
      <w:r w:rsidR="00C955A7">
        <w:t>, guidance</w:t>
      </w:r>
      <w:r w:rsidR="003E0F86">
        <w:t>, coordination of investigations and data sharing initiatives</w:t>
      </w:r>
      <w:r w:rsidRPr="0012123C">
        <w:t>:  </w:t>
      </w:r>
    </w:p>
    <w:p w14:paraId="64C25BC1" w14:textId="77777777" w:rsidR="0012123C" w:rsidRPr="0012123C" w:rsidRDefault="0012123C" w:rsidP="00C64851">
      <w:pPr>
        <w:pStyle w:val="BodyText"/>
        <w:numPr>
          <w:ilvl w:val="0"/>
          <w:numId w:val="87"/>
        </w:numPr>
      </w:pPr>
      <w:r w:rsidRPr="0012123C">
        <w:rPr>
          <w:b/>
          <w:bCs/>
        </w:rPr>
        <w:t>U.S. Department of Education:</w:t>
      </w:r>
      <w:r w:rsidRPr="0012123C">
        <w:t xml:space="preserve"> The Department of Education provides funding and oversight for the Vocational Rehabilitation program, which relates to FDCM’s compliance monitoring of vocational rehabilitation vendors through VR Contract Oversight. </w:t>
      </w:r>
    </w:p>
    <w:p w14:paraId="72D6E577" w14:textId="5FA96200" w:rsidR="0012123C" w:rsidRPr="0012123C" w:rsidRDefault="0012123C" w:rsidP="00C64851">
      <w:pPr>
        <w:pStyle w:val="BodyText"/>
        <w:numPr>
          <w:ilvl w:val="0"/>
          <w:numId w:val="88"/>
        </w:numPr>
      </w:pPr>
      <w:r w:rsidRPr="0012123C">
        <w:rPr>
          <w:b/>
          <w:bCs/>
        </w:rPr>
        <w:t>Department of Justice (DOJ), U.S. Attorneys for the various districts in Texas, Federal Bureau of Investigations (FBI), U.S. Postal Service:</w:t>
      </w:r>
      <w:r w:rsidRPr="0012123C">
        <w:t xml:space="preserve"> FDCM works with these entities for</w:t>
      </w:r>
      <w:r w:rsidR="00B25DDA">
        <w:t xml:space="preserve"> case referrals, </w:t>
      </w:r>
      <w:r w:rsidR="00DA7AF9">
        <w:t>investigation collaboration</w:t>
      </w:r>
      <w:r w:rsidR="00BC0B52">
        <w:t xml:space="preserve"> and sharing </w:t>
      </w:r>
      <w:r w:rsidR="001C309F">
        <w:t>best practices related to fraud detection.</w:t>
      </w:r>
      <w:r w:rsidR="001C309F" w:rsidRPr="0012123C" w:rsidDel="00B25DDA">
        <w:t xml:space="preserve"> </w:t>
      </w:r>
    </w:p>
    <w:p w14:paraId="392DEFCE" w14:textId="77777777" w:rsidR="0012123C" w:rsidRPr="0012123C" w:rsidRDefault="0012123C" w:rsidP="00C64851">
      <w:pPr>
        <w:pStyle w:val="BodyText"/>
        <w:numPr>
          <w:ilvl w:val="0"/>
          <w:numId w:val="89"/>
        </w:numPr>
      </w:pPr>
      <w:r w:rsidRPr="0012123C">
        <w:rPr>
          <w:b/>
          <w:bCs/>
        </w:rPr>
        <w:t>United States Department of Health and Human Services (HHS):</w:t>
      </w:r>
      <w:r w:rsidRPr="0012123C">
        <w:t>  FDCM works with HHS on cases of possible shared fraudulent activity in the subsidized childcare program.  </w:t>
      </w:r>
    </w:p>
    <w:p w14:paraId="32558921" w14:textId="77777777" w:rsidR="0012123C" w:rsidRPr="0012123C" w:rsidRDefault="0012123C" w:rsidP="0012123C">
      <w:pPr>
        <w:pStyle w:val="BodyText"/>
      </w:pPr>
      <w:r w:rsidRPr="0012123C">
        <w:rPr>
          <w:b/>
          <w:bCs/>
        </w:rPr>
        <w:t>State Agencies:</w:t>
      </w:r>
      <w:r w:rsidRPr="0012123C">
        <w:t>  </w:t>
      </w:r>
    </w:p>
    <w:p w14:paraId="4621578A" w14:textId="018F4984" w:rsidR="0012123C" w:rsidRPr="0012123C" w:rsidRDefault="0012123C" w:rsidP="00C64851">
      <w:pPr>
        <w:pStyle w:val="BodyText"/>
        <w:numPr>
          <w:ilvl w:val="0"/>
          <w:numId w:val="90"/>
        </w:numPr>
      </w:pPr>
      <w:r w:rsidRPr="0012123C">
        <w:rPr>
          <w:b/>
          <w:bCs/>
        </w:rPr>
        <w:t>Office of the Attorney General for the state of Texas:</w:t>
      </w:r>
      <w:r w:rsidRPr="0012123C">
        <w:t xml:space="preserve"> FDCM collaborates with the Attorney General's Office on legal matters related to fraud prevention and prosecution</w:t>
      </w:r>
    </w:p>
    <w:p w14:paraId="69591881" w14:textId="35590F82" w:rsidR="0012123C" w:rsidRPr="0012123C" w:rsidRDefault="0012123C" w:rsidP="00C64851">
      <w:pPr>
        <w:pStyle w:val="BodyText"/>
        <w:numPr>
          <w:ilvl w:val="0"/>
          <w:numId w:val="91"/>
        </w:numPr>
      </w:pPr>
      <w:r w:rsidRPr="0012123C">
        <w:rPr>
          <w:b/>
          <w:bCs/>
        </w:rPr>
        <w:t>Texas Department of Health and Human Services (HHSC):</w:t>
      </w:r>
      <w:r w:rsidRPr="0012123C">
        <w:t xml:space="preserve"> FDCM has a relationship with HHSC to refer fraud cases that involve the SNAP. This collaboration might involve</w:t>
      </w:r>
      <w:r w:rsidR="00C54A20">
        <w:t xml:space="preserve"> data sharing and coordination of investigations.</w:t>
      </w:r>
      <w:r w:rsidR="00C54A20" w:rsidRPr="0012123C" w:rsidDel="00C54A20">
        <w:t xml:space="preserve"> </w:t>
      </w:r>
    </w:p>
    <w:p w14:paraId="1A0E0E0B" w14:textId="77777777" w:rsidR="0012123C" w:rsidRPr="0012123C" w:rsidRDefault="0012123C" w:rsidP="0012123C">
      <w:pPr>
        <w:pStyle w:val="BodyText"/>
      </w:pPr>
      <w:r w:rsidRPr="0012123C">
        <w:rPr>
          <w:b/>
          <w:bCs/>
        </w:rPr>
        <w:t>Local Agencies:</w:t>
      </w:r>
      <w:r w:rsidRPr="0012123C">
        <w:t>  </w:t>
      </w:r>
    </w:p>
    <w:p w14:paraId="283D752B" w14:textId="34B4C1FF" w:rsidR="0012123C" w:rsidRPr="0012123C" w:rsidRDefault="0012123C" w:rsidP="00C64851">
      <w:pPr>
        <w:pStyle w:val="BodyText"/>
        <w:numPr>
          <w:ilvl w:val="0"/>
          <w:numId w:val="92"/>
        </w:numPr>
      </w:pPr>
      <w:r w:rsidRPr="0012123C">
        <w:rPr>
          <w:b/>
          <w:bCs/>
        </w:rPr>
        <w:t>District and County Attorneys for all counties in the state of Texas:</w:t>
      </w:r>
      <w:r w:rsidRPr="0012123C">
        <w:t xml:space="preserve"> These are the local prosecuting authorities. FDCM works closely with these offices to</w:t>
      </w:r>
      <w:r w:rsidR="000C05B6">
        <w:t xml:space="preserve"> refer cases, provide evidence and coordinate </w:t>
      </w:r>
      <w:r w:rsidR="002F4B92">
        <w:t>restitution efforts.</w:t>
      </w:r>
      <w:r w:rsidRPr="0012123C">
        <w:t> </w:t>
      </w:r>
    </w:p>
    <w:p w14:paraId="2DB5EF87" w14:textId="252E0AA1" w:rsidR="0012123C" w:rsidRPr="0012123C" w:rsidRDefault="0012123C" w:rsidP="00C64851">
      <w:pPr>
        <w:pStyle w:val="BodyText"/>
        <w:numPr>
          <w:ilvl w:val="0"/>
          <w:numId w:val="93"/>
        </w:numPr>
      </w:pPr>
      <w:r w:rsidRPr="0012123C">
        <w:rPr>
          <w:b/>
          <w:bCs/>
        </w:rPr>
        <w:t>All Sheriffs and Police Departments in the state of Texas:</w:t>
      </w:r>
      <w:r w:rsidRPr="0012123C">
        <w:t xml:space="preserve"> Local law enforcement agencies assist with</w:t>
      </w:r>
      <w:r w:rsidR="002F4B92">
        <w:t xml:space="preserve"> serving warrants, conducting interviews and gathering evidence.</w:t>
      </w:r>
      <w:r w:rsidRPr="0012123C">
        <w:t> </w:t>
      </w:r>
    </w:p>
    <w:p w14:paraId="36613028" w14:textId="77777777" w:rsidR="0012123C" w:rsidRPr="00766E00" w:rsidRDefault="0012123C" w:rsidP="00B25073">
      <w:pPr>
        <w:pStyle w:val="BodyText3"/>
        <w:ind w:left="720" w:hanging="720"/>
      </w:pPr>
      <w:r w:rsidRPr="00766E00">
        <w:t>J.</w:t>
      </w:r>
      <w:r w:rsidRPr="00766E00">
        <w:tab/>
        <w:t>Are there any barriers or challenges that impede the division or program’s performance, including any outdated or ineffective state laws? Explain. </w:t>
      </w:r>
    </w:p>
    <w:p w14:paraId="49814EE4" w14:textId="0854CC33" w:rsidR="0012123C" w:rsidRPr="0012123C" w:rsidRDefault="0012123C" w:rsidP="0012123C">
      <w:pPr>
        <w:pStyle w:val="BodyText"/>
      </w:pPr>
      <w:r w:rsidRPr="0012123C">
        <w:t xml:space="preserve">While the Agency is committed to fraud, waste, and abuse prevention, detection, and investigation across TWC programs and services, only the subsidized childcare program is specifically enumerated in statute as having fraud, waste, and abuse assigned activities.  During the 89th Legislative Session, HB 3700 was filed by Rep. Hubert Vo, which would amend statute to require TWC to prevent, detect, and investigate fraud, waste, and abuse </w:t>
      </w:r>
      <w:r w:rsidRPr="0012123C">
        <w:lastRenderedPageBreak/>
        <w:t>in all TWC programs. The bill was passed and signed by Gov</w:t>
      </w:r>
      <w:r w:rsidR="008B3FA7">
        <w:t>.</w:t>
      </w:r>
      <w:r w:rsidRPr="0012123C">
        <w:t xml:space="preserve"> </w:t>
      </w:r>
      <w:r w:rsidR="008B3FA7">
        <w:t>Greg</w:t>
      </w:r>
      <w:r w:rsidRPr="0012123C">
        <w:t xml:space="preserve"> Abbott and takes effect Sept. 1, 2025. </w:t>
      </w:r>
    </w:p>
    <w:p w14:paraId="00BC61F0" w14:textId="77777777" w:rsidR="0012123C" w:rsidRPr="00D87E99" w:rsidRDefault="0012123C" w:rsidP="00B25073">
      <w:pPr>
        <w:pStyle w:val="BodyText3"/>
        <w:ind w:left="720" w:hanging="720"/>
      </w:pPr>
      <w:r w:rsidRPr="00D87E99">
        <w:t>K.</w:t>
      </w:r>
      <w:r w:rsidRPr="00D87E99">
        <w:tab/>
        <w:t>Provide any additional information needed to gain a preliminary understanding of the division or program. </w:t>
      </w:r>
    </w:p>
    <w:p w14:paraId="5605F73F" w14:textId="77777777" w:rsidR="0012123C" w:rsidRPr="0012123C" w:rsidRDefault="0012123C" w:rsidP="0012123C">
      <w:pPr>
        <w:pStyle w:val="BodyText"/>
      </w:pPr>
      <w:r w:rsidRPr="0012123C">
        <w:t>N/A </w:t>
      </w:r>
    </w:p>
    <w:p w14:paraId="3DEB1B88" w14:textId="77777777" w:rsidR="0012123C" w:rsidRPr="00D87E99" w:rsidRDefault="0012123C" w:rsidP="00B25073">
      <w:pPr>
        <w:pStyle w:val="BodyText3"/>
        <w:ind w:left="720" w:hanging="720"/>
      </w:pPr>
      <w:r w:rsidRPr="00D87E99">
        <w:t>L.</w:t>
      </w:r>
      <w:r w:rsidRPr="00D87E99">
        <w:tab/>
        <w:t>Regulatory programs relate to the licensing, registration, certification, or permitting of a person, business, piece of equipment, or other entity (e.g., a facility). For each regulatory program, if applicable, describe: </w:t>
      </w:r>
    </w:p>
    <w:p w14:paraId="0F107140" w14:textId="77777777" w:rsidR="0012123C" w:rsidRPr="0012123C" w:rsidRDefault="0012123C" w:rsidP="0012123C">
      <w:pPr>
        <w:pStyle w:val="BodyText"/>
      </w:pPr>
      <w:r w:rsidRPr="0012123C">
        <w:t>N/A </w:t>
      </w:r>
    </w:p>
    <w:p w14:paraId="04D54B4B" w14:textId="77777777" w:rsidR="0012123C" w:rsidRPr="00D87E99" w:rsidRDefault="0012123C" w:rsidP="00B25073">
      <w:pPr>
        <w:pStyle w:val="BodyText3"/>
        <w:ind w:left="720" w:hanging="720"/>
      </w:pPr>
      <w:r w:rsidRPr="00D87E99">
        <w:t>M.</w:t>
      </w:r>
      <w:r w:rsidRPr="00D87E99">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05B621B7" w14:textId="77777777" w:rsidR="0012123C" w:rsidRDefault="0012123C" w:rsidP="0012123C">
      <w:pPr>
        <w:pStyle w:val="BodyText"/>
      </w:pPr>
      <w:r w:rsidRPr="0012123C">
        <w:t>N/A </w:t>
      </w:r>
    </w:p>
    <w:p w14:paraId="6AC2EA34" w14:textId="355D3972" w:rsidR="00501DD6" w:rsidRDefault="00501DD6">
      <w:pPr>
        <w:rPr>
          <w:rFonts w:ascii="Arial" w:eastAsiaTheme="minorEastAsia" w:hAnsi="Arial"/>
          <w:b/>
          <w:szCs w:val="22"/>
        </w:rPr>
      </w:pPr>
    </w:p>
    <w:p w14:paraId="55150B7E" w14:textId="77777777" w:rsidR="00F965AA" w:rsidRPr="00F965AA" w:rsidRDefault="00F965AA" w:rsidP="00F965AA">
      <w:pPr>
        <w:pStyle w:val="BodyText"/>
      </w:pPr>
      <w:r w:rsidRPr="00F965AA">
        <w:rPr>
          <w:b/>
          <w:bCs/>
        </w:rPr>
        <w:t>Office of Investigations</w:t>
      </w:r>
      <w:r w:rsidRPr="00F965AA">
        <w:t> </w:t>
      </w:r>
    </w:p>
    <w:p w14:paraId="366B3235" w14:textId="77777777" w:rsidR="00F965AA" w:rsidRPr="0094121E" w:rsidRDefault="00F965AA" w:rsidP="0094121E">
      <w:pPr>
        <w:pStyle w:val="BodyText3"/>
      </w:pPr>
      <w:r w:rsidRPr="0094121E">
        <w:t>A.</w:t>
      </w:r>
      <w:r w:rsidRPr="0094121E">
        <w:tab/>
        <w:t>Provide the following information at the beginning of each description. </w:t>
      </w:r>
    </w:p>
    <w:p w14:paraId="4971FD7C" w14:textId="77777777" w:rsidR="00F965AA" w:rsidRPr="00F965AA" w:rsidRDefault="00F965AA" w:rsidP="00C64851">
      <w:pPr>
        <w:pStyle w:val="BodyText"/>
        <w:numPr>
          <w:ilvl w:val="0"/>
          <w:numId w:val="108"/>
        </w:numPr>
        <w:spacing w:before="120" w:after="120"/>
      </w:pPr>
      <w:r w:rsidRPr="00F965AA">
        <w:rPr>
          <w:i/>
          <w:iCs/>
        </w:rPr>
        <w:t>Name of division or program:</w:t>
      </w:r>
      <w:r w:rsidRPr="00F965AA">
        <w:t>  Office of Investigations </w:t>
      </w:r>
    </w:p>
    <w:p w14:paraId="35165CE8" w14:textId="77777777" w:rsidR="00F965AA" w:rsidRPr="00F965AA" w:rsidRDefault="00F965AA" w:rsidP="00C64851">
      <w:pPr>
        <w:pStyle w:val="BodyText"/>
        <w:numPr>
          <w:ilvl w:val="0"/>
          <w:numId w:val="108"/>
        </w:numPr>
        <w:spacing w:before="120" w:after="120"/>
      </w:pPr>
      <w:r w:rsidRPr="00F965AA">
        <w:rPr>
          <w:i/>
          <w:iCs/>
        </w:rPr>
        <w:t xml:space="preserve">Location within the agency: </w:t>
      </w:r>
      <w:r w:rsidRPr="00F965AA">
        <w:t>Fraud Deterrence and Compliance Monitoring </w:t>
      </w:r>
    </w:p>
    <w:p w14:paraId="35F70879" w14:textId="77777777" w:rsidR="00F965AA" w:rsidRPr="00F965AA" w:rsidRDefault="00F965AA" w:rsidP="00C64851">
      <w:pPr>
        <w:pStyle w:val="BodyText"/>
        <w:numPr>
          <w:ilvl w:val="0"/>
          <w:numId w:val="108"/>
        </w:numPr>
        <w:spacing w:before="120" w:after="120"/>
      </w:pPr>
      <w:r w:rsidRPr="00F965AA">
        <w:rPr>
          <w:i/>
          <w:iCs/>
        </w:rPr>
        <w:t>Contact name:</w:t>
      </w:r>
      <w:r w:rsidRPr="00F965AA">
        <w:t>  Emy Montoya </w:t>
      </w:r>
    </w:p>
    <w:p w14:paraId="6D7F4A35" w14:textId="77777777" w:rsidR="00935508" w:rsidRDefault="00F965AA" w:rsidP="0094121E">
      <w:pPr>
        <w:pStyle w:val="BodyText3"/>
      </w:pPr>
      <w:r w:rsidRPr="00F965AA">
        <w:rPr>
          <w:i/>
          <w:iCs/>
        </w:rPr>
        <w:t>Statutory citation:</w:t>
      </w:r>
      <w:r w:rsidRPr="00F965AA">
        <w:t xml:space="preserve"> Authority to investigate is authorized to the Texas Workforce Commission in </w:t>
      </w:r>
      <w:r w:rsidR="1D83344F">
        <w:t xml:space="preserve">Texas </w:t>
      </w:r>
      <w:r w:rsidRPr="00F965AA">
        <w:t>Labor Code § 301.071(a) and (b), Chapter 301, Subchapter K, § 302.002(b), and Chapter 214.</w:t>
      </w:r>
      <w:r>
        <w:t> </w:t>
      </w:r>
      <w:r w:rsidRPr="00F965AA">
        <w:t xml:space="preserve"> Texas Executive Order RP36, Relating to Preventing, Detecting and Eliminating Fraud, Waste and Abuse – issued by Governor Perry (July 12, 2004).  </w:t>
      </w:r>
    </w:p>
    <w:p w14:paraId="4558489E" w14:textId="5DDFCB18" w:rsidR="00F965AA" w:rsidRPr="0094121E" w:rsidRDefault="00F965AA" w:rsidP="0094121E">
      <w:pPr>
        <w:pStyle w:val="BodyText3"/>
      </w:pPr>
      <w:r w:rsidRPr="0094121E">
        <w:lastRenderedPageBreak/>
        <w:t>B.</w:t>
      </w:r>
      <w:r w:rsidRPr="0094121E">
        <w:tab/>
        <w:t>What is the objective of this division or program? Describe its major activities. </w:t>
      </w:r>
    </w:p>
    <w:p w14:paraId="66E6C1BE" w14:textId="77777777" w:rsidR="00F965AA" w:rsidRPr="00F965AA" w:rsidRDefault="00F965AA" w:rsidP="00F965AA">
      <w:pPr>
        <w:pStyle w:val="BodyText"/>
      </w:pPr>
      <w:r w:rsidRPr="00F965AA">
        <w:t>The mission of the Office of Investigations is to support TWC’s commitment to the highest standards of accountability in its handling and expenditure of public funds. This is accomplished by providing selected inquiry and investigative services pertaining to allegations of fraud, theft, program abuse, or misconduct.  </w:t>
      </w:r>
    </w:p>
    <w:p w14:paraId="3DA388E4" w14:textId="198D3952" w:rsidR="00F965AA" w:rsidRPr="00F965AA" w:rsidRDefault="00F965AA" w:rsidP="00F965AA">
      <w:pPr>
        <w:pStyle w:val="BodyText"/>
      </w:pPr>
      <w:r w:rsidRPr="00F965AA">
        <w:t>The Office of Investigations encompasses the areas of Program Investigations, UI ID Theft Investigations, Fictitious Employer Investigations, investigations of complaints under Chapter 81D, Texas Health and Safety Code related to COVID-19 vaccination mandates by private employers, and Internal Investigations.  </w:t>
      </w:r>
    </w:p>
    <w:p w14:paraId="45C757C3" w14:textId="0472F813" w:rsidR="00F965AA" w:rsidRPr="00F965AA" w:rsidRDefault="00F965AA" w:rsidP="00F965AA">
      <w:pPr>
        <w:pStyle w:val="BodyText"/>
      </w:pPr>
      <w:r w:rsidRPr="00F965AA">
        <w:t>Program Investigations includes the Program Investigations Unit, Fictitious Employer Unit, and the UI Unit. The critical functions performed include:  </w:t>
      </w:r>
    </w:p>
    <w:p w14:paraId="0B7EB1E1" w14:textId="77777777" w:rsidR="00F965AA" w:rsidRPr="00F965AA" w:rsidRDefault="00F965AA" w:rsidP="00C64851">
      <w:pPr>
        <w:pStyle w:val="BodyText"/>
        <w:numPr>
          <w:ilvl w:val="0"/>
          <w:numId w:val="95"/>
        </w:numPr>
      </w:pPr>
      <w:r w:rsidRPr="00F965AA">
        <w:t>Conducts investigations of allegations of fraud, theft, waste, misconduct and program abuse.  </w:t>
      </w:r>
    </w:p>
    <w:p w14:paraId="167AB6A5" w14:textId="77777777" w:rsidR="00F965AA" w:rsidRPr="00F965AA" w:rsidRDefault="00F965AA" w:rsidP="00C64851">
      <w:pPr>
        <w:pStyle w:val="BodyText"/>
        <w:numPr>
          <w:ilvl w:val="0"/>
          <w:numId w:val="96"/>
        </w:numPr>
      </w:pPr>
      <w:r w:rsidRPr="00F965AA">
        <w:t>Presents evidence in the prosecution of criminal investigations.  </w:t>
      </w:r>
    </w:p>
    <w:p w14:paraId="7CBD8A5D" w14:textId="77777777" w:rsidR="00F965AA" w:rsidRPr="00F965AA" w:rsidRDefault="00F965AA" w:rsidP="00C64851">
      <w:pPr>
        <w:pStyle w:val="BodyText"/>
        <w:numPr>
          <w:ilvl w:val="0"/>
          <w:numId w:val="97"/>
        </w:numPr>
      </w:pPr>
      <w:r w:rsidRPr="00F965AA">
        <w:t>Provides technical assistance on Workforce Board level investigations of Child Care Program fraud.  </w:t>
      </w:r>
    </w:p>
    <w:p w14:paraId="0E721B5B" w14:textId="77777777" w:rsidR="00F965AA" w:rsidRPr="00F965AA" w:rsidRDefault="00F965AA" w:rsidP="00C64851">
      <w:pPr>
        <w:pStyle w:val="BodyText"/>
        <w:numPr>
          <w:ilvl w:val="0"/>
          <w:numId w:val="98"/>
        </w:numPr>
      </w:pPr>
      <w:r w:rsidRPr="00F965AA">
        <w:t>Develops and conducts fraud prevention/detection and fact-finding training for Workforce Board/Contractor employees.  </w:t>
      </w:r>
    </w:p>
    <w:p w14:paraId="4A90386A" w14:textId="77777777" w:rsidR="00F965AA" w:rsidRPr="00F965AA" w:rsidRDefault="00F965AA" w:rsidP="00C64851">
      <w:pPr>
        <w:pStyle w:val="BodyText"/>
        <w:numPr>
          <w:ilvl w:val="0"/>
          <w:numId w:val="99"/>
        </w:numPr>
      </w:pPr>
      <w:r w:rsidRPr="00F965AA">
        <w:t>Provides investigative technical guidance and consultation to Workforce Board/Contractor employees.  </w:t>
      </w:r>
    </w:p>
    <w:p w14:paraId="19D129DB" w14:textId="77777777" w:rsidR="00F965AA" w:rsidRPr="00F965AA" w:rsidRDefault="00F965AA" w:rsidP="00C64851">
      <w:pPr>
        <w:pStyle w:val="BodyText"/>
        <w:numPr>
          <w:ilvl w:val="0"/>
          <w:numId w:val="100"/>
        </w:numPr>
      </w:pPr>
      <w:r w:rsidRPr="00F965AA">
        <w:t>Provides investigative assistance to local/state/federal law enforcement agencies.  </w:t>
      </w:r>
    </w:p>
    <w:p w14:paraId="083F66E4" w14:textId="77777777" w:rsidR="00F965AA" w:rsidRPr="00F965AA" w:rsidRDefault="00F965AA" w:rsidP="00C64851">
      <w:pPr>
        <w:pStyle w:val="BodyText"/>
        <w:numPr>
          <w:ilvl w:val="0"/>
          <w:numId w:val="101"/>
        </w:numPr>
      </w:pPr>
      <w:r w:rsidRPr="00F965AA">
        <w:t>Fictitious Employer Unit investigates schemes where there’s a fraudulent TWC tax account that is used as the last employer and/or in conjunction with false base period wage credits.  </w:t>
      </w:r>
    </w:p>
    <w:p w14:paraId="035AF261" w14:textId="77777777" w:rsidR="00F965AA" w:rsidRPr="00F965AA" w:rsidRDefault="00F965AA" w:rsidP="00C64851">
      <w:pPr>
        <w:pStyle w:val="BodyText"/>
        <w:numPr>
          <w:ilvl w:val="0"/>
          <w:numId w:val="102"/>
        </w:numPr>
      </w:pPr>
      <w:r w:rsidRPr="00F965AA">
        <w:t>UI Investigations Unit conducts investigations into cases of identity theft involving individuals who fraudulently claim unemployment benefits using stolen identities.   </w:t>
      </w:r>
    </w:p>
    <w:p w14:paraId="53111388" w14:textId="77777777" w:rsidR="00F965AA" w:rsidRPr="00F965AA" w:rsidRDefault="00F965AA" w:rsidP="00F965AA">
      <w:pPr>
        <w:pStyle w:val="BodyText"/>
      </w:pPr>
      <w:r w:rsidRPr="00F965AA">
        <w:t>Internal Investigations performs the following critical function:  </w:t>
      </w:r>
    </w:p>
    <w:p w14:paraId="51272D42" w14:textId="77777777" w:rsidR="00F965AA" w:rsidRPr="00F965AA" w:rsidRDefault="00F965AA" w:rsidP="00C64851">
      <w:pPr>
        <w:pStyle w:val="BodyText"/>
        <w:numPr>
          <w:ilvl w:val="0"/>
          <w:numId w:val="103"/>
        </w:numPr>
      </w:pPr>
      <w:r w:rsidRPr="00F965AA">
        <w:t>Conducts investigations of allegations of fraud, theft, waste, misconduct and program abuse against TWC and Workforce Board staff.  </w:t>
      </w:r>
    </w:p>
    <w:p w14:paraId="6700298C" w14:textId="77777777" w:rsidR="00F965AA" w:rsidRPr="00F965AA" w:rsidRDefault="00F965AA" w:rsidP="00C64851">
      <w:pPr>
        <w:pStyle w:val="BodyText"/>
        <w:numPr>
          <w:ilvl w:val="0"/>
          <w:numId w:val="104"/>
        </w:numPr>
      </w:pPr>
      <w:r w:rsidRPr="00F965AA">
        <w:t>Investigates misuse of the unemployment benefits system by TWC or Workforce Board staff.  </w:t>
      </w:r>
    </w:p>
    <w:p w14:paraId="0C46C145" w14:textId="77777777" w:rsidR="00F965AA" w:rsidRPr="00F965AA" w:rsidRDefault="00F965AA" w:rsidP="00C64851">
      <w:pPr>
        <w:pStyle w:val="BodyText"/>
        <w:numPr>
          <w:ilvl w:val="0"/>
          <w:numId w:val="105"/>
        </w:numPr>
      </w:pPr>
      <w:r w:rsidRPr="00F965AA">
        <w:lastRenderedPageBreak/>
        <w:t>Performs background checks on new hires and speakers at TWC conferences. </w:t>
      </w:r>
    </w:p>
    <w:p w14:paraId="11712CA4" w14:textId="77777777" w:rsidR="00F965AA" w:rsidRPr="0094121E" w:rsidRDefault="00F965AA" w:rsidP="00DB5447">
      <w:pPr>
        <w:pStyle w:val="BodyText3"/>
        <w:ind w:left="720" w:hanging="720"/>
      </w:pPr>
      <w:r w:rsidRPr="0094121E">
        <w:t>C.</w:t>
      </w:r>
      <w:r w:rsidRPr="0094121E">
        <w:tab/>
        <w:t xml:space="preserve">What information does the agency collect/use to assess the effectiveness and efficiency of this division or program? If applicable, briefly note any LBB performance measures (from Section II, </w:t>
      </w:r>
      <w:proofErr w:type="gramStart"/>
      <w:r w:rsidRPr="0094121E">
        <w:t>Exhibit</w:t>
      </w:r>
      <w:proofErr w:type="gramEnd"/>
      <w:r w:rsidRPr="0094121E">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DCA4860" w14:textId="77777777" w:rsidR="00F965AA" w:rsidRPr="00F965AA" w:rsidRDefault="00F965AA" w:rsidP="00117EB9">
      <w:pPr>
        <w:pStyle w:val="BodyText"/>
      </w:pPr>
      <w:r w:rsidRPr="00F965AA">
        <w:t>Office of Investigations’ services and functions evolved from a detect and collect methodology to a robust system dedicated to preventing waste, fraud and program abuse by implementing controls within TWC programs. Office of Investigations works closely with UI, Information Technology (IT), and Information, Innovation, and Insight (I|3) Divisions to analyze unemployment claims for ID theft, implement processes to detect and prevent fraud, develop risk assessments, and ensure that payments are timely and accurately made and preventing overpayments (whether accidental or fraudulent).  </w:t>
      </w:r>
    </w:p>
    <w:p w14:paraId="14475894" w14:textId="77777777" w:rsidR="00F965AA" w:rsidRPr="00F965AA" w:rsidRDefault="00F965AA" w:rsidP="00F965AA">
      <w:pPr>
        <w:pStyle w:val="BodyText"/>
      </w:pPr>
      <w:r w:rsidRPr="00F965AA">
        <w:t>The Coronavirus Aid, Relief and Economic Security Act, while essential in supporting citizens of Texas during the pandemic, brought an unprecedented surge in fraudulent activity targeting the UI system.   From FY 2022 through FY 2024, staff closed a total of 280,331 UI identity theft cases, with 75,356 of those closures occurring in FY 2024. A major step forward in our prevention efforts came in the Summer of 2024 with the implementation of enhanced identity verification requirements. Claimants who are selected for identity verification must do so either through in-person verification at their local United States Postal Service or through the ID.me platform. The dedication and vigilance of our investigative staff have been instrumental in not only stopping the release of fraudulent payments but also in recovering improperly paid benefits.  </w:t>
      </w:r>
    </w:p>
    <w:p w14:paraId="101DE71B" w14:textId="77777777" w:rsidR="00F965AA" w:rsidRPr="00F965AA" w:rsidRDefault="00F965AA" w:rsidP="00F965AA">
      <w:pPr>
        <w:pStyle w:val="BodyText"/>
      </w:pPr>
      <w:r w:rsidRPr="00F965AA">
        <w:rPr>
          <w:b/>
          <w:bCs/>
        </w:rPr>
        <w:t>Investigations</w:t>
      </w:r>
      <w:r w:rsidRPr="00F965AA">
        <w:t> </w:t>
      </w:r>
    </w:p>
    <w:tbl>
      <w:tblPr>
        <w:tblStyle w:val="TableGrid1"/>
        <w:tblW w:w="0" w:type="dxa"/>
        <w:tblCellMar>
          <w:top w:w="58" w:type="dxa"/>
          <w:bottom w:w="58" w:type="dxa"/>
        </w:tblCellMar>
        <w:tblLook w:val="04A0" w:firstRow="1" w:lastRow="0" w:firstColumn="1" w:lastColumn="0" w:noHBand="0" w:noVBand="1"/>
      </w:tblPr>
      <w:tblGrid>
        <w:gridCol w:w="3675"/>
        <w:gridCol w:w="3060"/>
      </w:tblGrid>
      <w:tr w:rsidR="00F965AA" w:rsidRPr="00F965AA" w14:paraId="50BADF52" w14:textId="77777777" w:rsidTr="006020F5">
        <w:trPr>
          <w:trHeight w:val="705"/>
          <w:tblHeader/>
        </w:trPr>
        <w:tc>
          <w:tcPr>
            <w:tcW w:w="3675" w:type="dxa"/>
            <w:shd w:val="clear" w:color="auto" w:fill="B8CCE4" w:themeFill="accent1" w:themeFillTint="66"/>
            <w:vAlign w:val="center"/>
            <w:hideMark/>
          </w:tcPr>
          <w:p w14:paraId="6637B945" w14:textId="39321242" w:rsidR="00F965AA" w:rsidRPr="00F965AA" w:rsidRDefault="00F965AA" w:rsidP="001A6707">
            <w:pPr>
              <w:pStyle w:val="TableHeaders"/>
              <w:rPr>
                <w:b w:val="0"/>
              </w:rPr>
            </w:pPr>
            <w:r w:rsidRPr="00F965AA">
              <w:t>Type of Investigations</w:t>
            </w:r>
          </w:p>
        </w:tc>
        <w:tc>
          <w:tcPr>
            <w:tcW w:w="3060" w:type="dxa"/>
            <w:shd w:val="clear" w:color="auto" w:fill="B8CCE4" w:themeFill="accent1" w:themeFillTint="66"/>
            <w:vAlign w:val="center"/>
            <w:hideMark/>
          </w:tcPr>
          <w:p w14:paraId="02CB6A55" w14:textId="50F32D4A" w:rsidR="00F965AA" w:rsidRPr="00F965AA" w:rsidRDefault="00F965AA" w:rsidP="001A6707">
            <w:pPr>
              <w:pStyle w:val="TableHeaders"/>
              <w:rPr>
                <w:b w:val="0"/>
              </w:rPr>
            </w:pPr>
            <w:r w:rsidRPr="00F965AA">
              <w:t>FY 2024</w:t>
            </w:r>
          </w:p>
        </w:tc>
      </w:tr>
      <w:tr w:rsidR="00F965AA" w:rsidRPr="00F965AA" w14:paraId="39E6F42C" w14:textId="77777777" w:rsidTr="008978DC">
        <w:trPr>
          <w:trHeight w:val="544"/>
        </w:trPr>
        <w:tc>
          <w:tcPr>
            <w:tcW w:w="3675" w:type="dxa"/>
            <w:vAlign w:val="center"/>
            <w:hideMark/>
          </w:tcPr>
          <w:p w14:paraId="2C163F95" w14:textId="77777777" w:rsidR="00F965AA" w:rsidRPr="00F965AA" w:rsidRDefault="00F965AA" w:rsidP="001A6707">
            <w:pPr>
              <w:pStyle w:val="TableText"/>
            </w:pPr>
            <w:r w:rsidRPr="00F965AA">
              <w:t>Child Care* </w:t>
            </w:r>
          </w:p>
        </w:tc>
        <w:tc>
          <w:tcPr>
            <w:tcW w:w="3060" w:type="dxa"/>
            <w:vAlign w:val="center"/>
            <w:hideMark/>
          </w:tcPr>
          <w:p w14:paraId="6C920C18" w14:textId="77777777" w:rsidR="00F965AA" w:rsidRPr="00F965AA" w:rsidRDefault="00F965AA" w:rsidP="001A6707">
            <w:pPr>
              <w:pStyle w:val="TableText"/>
              <w:jc w:val="right"/>
            </w:pPr>
            <w:r w:rsidRPr="00F965AA">
              <w:t>241* </w:t>
            </w:r>
          </w:p>
        </w:tc>
      </w:tr>
      <w:tr w:rsidR="00F965AA" w:rsidRPr="00F965AA" w14:paraId="22D7AC13" w14:textId="77777777" w:rsidTr="008978DC">
        <w:trPr>
          <w:trHeight w:val="589"/>
        </w:trPr>
        <w:tc>
          <w:tcPr>
            <w:tcW w:w="3675" w:type="dxa"/>
            <w:vAlign w:val="center"/>
            <w:hideMark/>
          </w:tcPr>
          <w:p w14:paraId="6C3214C6" w14:textId="77777777" w:rsidR="00F965AA" w:rsidRPr="00F965AA" w:rsidRDefault="00F965AA" w:rsidP="001A6707">
            <w:pPr>
              <w:pStyle w:val="TableText"/>
            </w:pPr>
            <w:r w:rsidRPr="00F965AA">
              <w:t>Internal </w:t>
            </w:r>
          </w:p>
        </w:tc>
        <w:tc>
          <w:tcPr>
            <w:tcW w:w="3060" w:type="dxa"/>
            <w:vAlign w:val="center"/>
            <w:hideMark/>
          </w:tcPr>
          <w:p w14:paraId="5853D322" w14:textId="77777777" w:rsidR="00F965AA" w:rsidRPr="00F965AA" w:rsidRDefault="00F965AA" w:rsidP="001A6707">
            <w:pPr>
              <w:pStyle w:val="TableText"/>
              <w:jc w:val="right"/>
            </w:pPr>
            <w:r w:rsidRPr="00F965AA">
              <w:t>3 </w:t>
            </w:r>
          </w:p>
        </w:tc>
      </w:tr>
      <w:tr w:rsidR="00F965AA" w:rsidRPr="00F965AA" w14:paraId="429374A8" w14:textId="77777777" w:rsidTr="008978DC">
        <w:trPr>
          <w:trHeight w:val="598"/>
        </w:trPr>
        <w:tc>
          <w:tcPr>
            <w:tcW w:w="3675" w:type="dxa"/>
            <w:vAlign w:val="center"/>
            <w:hideMark/>
          </w:tcPr>
          <w:p w14:paraId="46F11DE2" w14:textId="77777777" w:rsidR="00F965AA" w:rsidRPr="00F965AA" w:rsidRDefault="00F965AA" w:rsidP="001A6707">
            <w:pPr>
              <w:pStyle w:val="TableText"/>
            </w:pPr>
            <w:r w:rsidRPr="00F965AA">
              <w:t>Background Reviews </w:t>
            </w:r>
          </w:p>
        </w:tc>
        <w:tc>
          <w:tcPr>
            <w:tcW w:w="3060" w:type="dxa"/>
            <w:vAlign w:val="center"/>
            <w:hideMark/>
          </w:tcPr>
          <w:p w14:paraId="2B143DCC" w14:textId="77777777" w:rsidR="00F965AA" w:rsidRPr="00F965AA" w:rsidRDefault="00F965AA" w:rsidP="001A6707">
            <w:pPr>
              <w:pStyle w:val="TableText"/>
              <w:jc w:val="right"/>
            </w:pPr>
            <w:r w:rsidRPr="00F965AA">
              <w:t>361 </w:t>
            </w:r>
          </w:p>
        </w:tc>
      </w:tr>
      <w:tr w:rsidR="00F965AA" w:rsidRPr="00F965AA" w14:paraId="0A3AF4F5" w14:textId="77777777" w:rsidTr="008978DC">
        <w:trPr>
          <w:trHeight w:val="598"/>
        </w:trPr>
        <w:tc>
          <w:tcPr>
            <w:tcW w:w="3675" w:type="dxa"/>
            <w:vAlign w:val="center"/>
            <w:hideMark/>
          </w:tcPr>
          <w:p w14:paraId="2DEF17B1" w14:textId="77777777" w:rsidR="00F965AA" w:rsidRPr="00F965AA" w:rsidRDefault="00F965AA" w:rsidP="001A6707">
            <w:pPr>
              <w:pStyle w:val="TableText"/>
            </w:pPr>
            <w:r w:rsidRPr="00F965AA">
              <w:t>UI – ID Theft </w:t>
            </w:r>
          </w:p>
        </w:tc>
        <w:tc>
          <w:tcPr>
            <w:tcW w:w="3060" w:type="dxa"/>
            <w:vAlign w:val="center"/>
            <w:hideMark/>
          </w:tcPr>
          <w:p w14:paraId="486C9FCA" w14:textId="77777777" w:rsidR="00F965AA" w:rsidRPr="00F965AA" w:rsidRDefault="00F965AA" w:rsidP="001A6707">
            <w:pPr>
              <w:pStyle w:val="TableText"/>
              <w:jc w:val="right"/>
            </w:pPr>
            <w:r w:rsidRPr="00F965AA">
              <w:t>75,356 </w:t>
            </w:r>
          </w:p>
        </w:tc>
      </w:tr>
      <w:tr w:rsidR="00F965AA" w:rsidRPr="00F965AA" w14:paraId="63918167" w14:textId="77777777" w:rsidTr="001A6707">
        <w:trPr>
          <w:trHeight w:val="705"/>
        </w:trPr>
        <w:tc>
          <w:tcPr>
            <w:tcW w:w="3675" w:type="dxa"/>
            <w:vAlign w:val="center"/>
            <w:hideMark/>
          </w:tcPr>
          <w:p w14:paraId="12D4160D" w14:textId="77777777" w:rsidR="00F965AA" w:rsidRPr="00F965AA" w:rsidRDefault="00F965AA" w:rsidP="001A6707">
            <w:pPr>
              <w:pStyle w:val="TableText"/>
            </w:pPr>
            <w:r w:rsidRPr="00F965AA">
              <w:lastRenderedPageBreak/>
              <w:t>Career Schools </w:t>
            </w:r>
          </w:p>
        </w:tc>
        <w:tc>
          <w:tcPr>
            <w:tcW w:w="3060" w:type="dxa"/>
            <w:vAlign w:val="center"/>
            <w:hideMark/>
          </w:tcPr>
          <w:p w14:paraId="6D5EA94B" w14:textId="77777777" w:rsidR="00F965AA" w:rsidRPr="00F965AA" w:rsidRDefault="00F965AA" w:rsidP="001A6707">
            <w:pPr>
              <w:pStyle w:val="TableText"/>
              <w:jc w:val="right"/>
            </w:pPr>
            <w:r w:rsidRPr="00F965AA">
              <w:t>3 </w:t>
            </w:r>
          </w:p>
        </w:tc>
      </w:tr>
      <w:tr w:rsidR="00F965AA" w:rsidRPr="00F965AA" w14:paraId="05CEEA36" w14:textId="77777777" w:rsidTr="001A6707">
        <w:trPr>
          <w:trHeight w:val="705"/>
        </w:trPr>
        <w:tc>
          <w:tcPr>
            <w:tcW w:w="3675" w:type="dxa"/>
            <w:vAlign w:val="center"/>
            <w:hideMark/>
          </w:tcPr>
          <w:p w14:paraId="601E40A1" w14:textId="77777777" w:rsidR="00F965AA" w:rsidRPr="00F965AA" w:rsidRDefault="00F965AA" w:rsidP="001A6707">
            <w:pPr>
              <w:pStyle w:val="TableText"/>
            </w:pPr>
            <w:r w:rsidRPr="00F965AA">
              <w:t>Total </w:t>
            </w:r>
          </w:p>
        </w:tc>
        <w:tc>
          <w:tcPr>
            <w:tcW w:w="3060" w:type="dxa"/>
            <w:vAlign w:val="center"/>
            <w:hideMark/>
          </w:tcPr>
          <w:p w14:paraId="03A25621" w14:textId="77777777" w:rsidR="00F965AA" w:rsidRPr="00F965AA" w:rsidRDefault="00F965AA" w:rsidP="001A6707">
            <w:pPr>
              <w:pStyle w:val="TableText"/>
              <w:jc w:val="right"/>
            </w:pPr>
            <w:r w:rsidRPr="00F965AA">
              <w:t>75, 964 </w:t>
            </w:r>
          </w:p>
        </w:tc>
      </w:tr>
      <w:tr w:rsidR="00F965AA" w:rsidRPr="00F965AA" w14:paraId="4CD5D73F" w14:textId="77777777" w:rsidTr="001A6707">
        <w:trPr>
          <w:trHeight w:val="705"/>
        </w:trPr>
        <w:tc>
          <w:tcPr>
            <w:tcW w:w="3675" w:type="dxa"/>
            <w:vAlign w:val="center"/>
            <w:hideMark/>
          </w:tcPr>
          <w:p w14:paraId="6DFBD243" w14:textId="77777777" w:rsidR="00F965AA" w:rsidRPr="00F965AA" w:rsidRDefault="00F965AA" w:rsidP="001A6707">
            <w:pPr>
              <w:pStyle w:val="TableText"/>
            </w:pPr>
            <w:r w:rsidRPr="00F965AA">
              <w:t>Resulting Intentional Program Violation Fraud Overpayments </w:t>
            </w:r>
          </w:p>
        </w:tc>
        <w:tc>
          <w:tcPr>
            <w:tcW w:w="3060" w:type="dxa"/>
            <w:vAlign w:val="center"/>
            <w:hideMark/>
          </w:tcPr>
          <w:p w14:paraId="70BE3A77" w14:textId="77777777" w:rsidR="00F965AA" w:rsidRPr="00F965AA" w:rsidRDefault="00F965AA" w:rsidP="001A6707">
            <w:pPr>
              <w:pStyle w:val="TableText"/>
              <w:jc w:val="right"/>
            </w:pPr>
            <w:r w:rsidRPr="00F965AA">
              <w:t>$2,185,864.56  </w:t>
            </w:r>
          </w:p>
        </w:tc>
      </w:tr>
    </w:tbl>
    <w:p w14:paraId="42AF7B01" w14:textId="77777777" w:rsidR="00F965AA" w:rsidRPr="00F965AA" w:rsidRDefault="00F965AA" w:rsidP="00F965AA">
      <w:pPr>
        <w:pStyle w:val="BodyText"/>
      </w:pPr>
      <w:r w:rsidRPr="00F965AA">
        <w:t xml:space="preserve">*On most </w:t>
      </w:r>
      <w:proofErr w:type="gramStart"/>
      <w:r w:rsidRPr="00F965AA">
        <w:t>child care</w:t>
      </w:r>
      <w:proofErr w:type="gramEnd"/>
      <w:r w:rsidRPr="00F965AA">
        <w:t xml:space="preserve"> cases, the Board/Contractor staff completed the fact-finding with the Office of Investigations providing technical support.  </w:t>
      </w:r>
    </w:p>
    <w:p w14:paraId="610EBD83" w14:textId="77777777" w:rsidR="00F965AA" w:rsidRPr="001A6707" w:rsidRDefault="00F965AA" w:rsidP="00DB5447">
      <w:pPr>
        <w:pStyle w:val="BodyText3"/>
        <w:ind w:left="720" w:hanging="720"/>
      </w:pPr>
      <w:r w:rsidRPr="001A6707">
        <w:t>D.</w:t>
      </w:r>
      <w:r w:rsidRPr="001A6707">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0D8936DD" w14:textId="77777777" w:rsidR="00F965AA" w:rsidRPr="00F965AA" w:rsidRDefault="00F965AA" w:rsidP="00F965AA">
      <w:pPr>
        <w:pStyle w:val="BodyText"/>
      </w:pPr>
      <w:r w:rsidRPr="00F965AA">
        <w:t>N/A </w:t>
      </w:r>
    </w:p>
    <w:p w14:paraId="640A81D1" w14:textId="77777777" w:rsidR="00F965AA" w:rsidRPr="001A6707" w:rsidRDefault="00F965AA" w:rsidP="00DB5447">
      <w:pPr>
        <w:pStyle w:val="BodyText3"/>
        <w:ind w:left="720" w:hanging="720"/>
      </w:pPr>
      <w:r w:rsidRPr="001A6707">
        <w:t>E.</w:t>
      </w:r>
      <w:r w:rsidRPr="001A6707">
        <w:tab/>
        <w:t>List any qualifications or eligibility requirements for persons or entities affected by this division or program (e.g., licensees, consumers, and landowners). Provide a statistical breakdown of persons or entities affected. </w:t>
      </w:r>
    </w:p>
    <w:p w14:paraId="184FF3A2" w14:textId="77777777" w:rsidR="00F965AA" w:rsidRPr="00F965AA" w:rsidRDefault="00F965AA" w:rsidP="00F965AA">
      <w:pPr>
        <w:pStyle w:val="BodyText"/>
      </w:pPr>
      <w:r w:rsidRPr="00F965AA">
        <w:t>TWC’s anti-fraud policy and procedures aid in the prevention and detection of fraud, waste, and abuse that may impact agency operations or the programs it administers. TWC’s policy applies to employees, consultants, vendors, contractors, system participants, and other persons/entities doing business with TWC.</w:t>
      </w:r>
      <w:r w:rsidR="2EFC6BAA">
        <w:t> </w:t>
      </w:r>
      <w:r w:rsidRPr="00F965AA">
        <w:t> </w:t>
      </w:r>
    </w:p>
    <w:p w14:paraId="4E424347" w14:textId="77777777" w:rsidR="00F965AA" w:rsidRPr="001A6707" w:rsidRDefault="00F965AA" w:rsidP="00DB5447">
      <w:pPr>
        <w:pStyle w:val="BodyText3"/>
        <w:ind w:left="720" w:hanging="720"/>
      </w:pPr>
      <w:r w:rsidRPr="001A6707">
        <w:t>F.</w:t>
      </w:r>
      <w:r w:rsidRPr="001A6707">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4A5A1548" w14:textId="0C458924" w:rsidR="00F965AA" w:rsidRPr="00F965AA" w:rsidRDefault="00F965AA" w:rsidP="00F965AA">
      <w:pPr>
        <w:pStyle w:val="BodyText"/>
      </w:pPr>
      <w:r w:rsidRPr="00F965AA">
        <w:t>The Office of Investigations includes a Director and a Program Investigations Manager. The Program Investigations Manager oversees the Fictious Employer Unit, Program Investigations Unit, and Unemployment Insurance Unit.  The Internal Investigations Unit reports directly to the OI Director.  The OI Director reports to the Deputy Division Director of Fraud Deterrence.  </w:t>
      </w:r>
    </w:p>
    <w:p w14:paraId="020E7E20" w14:textId="6432ED37" w:rsidR="00F965AA" w:rsidRPr="00F965AA" w:rsidRDefault="00F965AA" w:rsidP="00F965AA">
      <w:pPr>
        <w:pStyle w:val="BodyText"/>
      </w:pPr>
      <w:r w:rsidRPr="00F965AA">
        <w:t>As a department within FDCM, O</w:t>
      </w:r>
      <w:r w:rsidR="0081143E">
        <w:t xml:space="preserve">ffice of </w:t>
      </w:r>
      <w:r w:rsidRPr="00F965AA">
        <w:t>I</w:t>
      </w:r>
      <w:r w:rsidR="0081143E">
        <w:t>nvestigations</w:t>
      </w:r>
      <w:r w:rsidRPr="00F965AA">
        <w:t xml:space="preserve"> has primary responsibility for administering and reporting the investigations of suspected fraudulent acts. OI coordinates investigative activities with Internal Audit, Office of General Counsel, Human Resources </w:t>
      </w:r>
      <w:r w:rsidRPr="00F965AA">
        <w:lastRenderedPageBreak/>
        <w:t>Management, local workforce boards and when necessary, appropriate external law enforcement and other oversight agencies. OI shares information with UI Tax regarding potential fraudulent accounts used for UI claims (i.e. fictitious employers) and UI Tax notifies FDCM about findings. </w:t>
      </w:r>
    </w:p>
    <w:p w14:paraId="010931A0" w14:textId="77777777" w:rsidR="00F965AA" w:rsidRPr="00F965AA" w:rsidRDefault="00F965AA" w:rsidP="00F965AA">
      <w:pPr>
        <w:pStyle w:val="BodyText"/>
      </w:pPr>
      <w:r w:rsidRPr="00F965AA">
        <w:rPr>
          <w:b/>
          <w:bCs/>
        </w:rPr>
        <w:t>Program Investigations Unit</w:t>
      </w:r>
      <w:r w:rsidRPr="00F965AA">
        <w:t>  </w:t>
      </w:r>
    </w:p>
    <w:p w14:paraId="58C169BE" w14:textId="77777777" w:rsidR="00F965AA" w:rsidRPr="00F965AA" w:rsidRDefault="00F965AA" w:rsidP="00F965AA">
      <w:pPr>
        <w:pStyle w:val="BodyText"/>
      </w:pPr>
      <w:r w:rsidRPr="00F965AA">
        <w:t>The Program Investigations Unit conducts investigations of allegations of fraud, theft, waste, misconduct and program abuse in TWC programs except for the Unemployment Insurance program, which is handled by the Unemployment Insurance Unit.  The unit provides technical assistance and direction on Workforce Board level investigations of Child Care Program fraud.  When necessary, the Program Investigations Unit will accept a Child Care Program fraud case for investigation or action at the state level or refer the case for criminal prosecution.  The Program Investigations Unit is also responsible for investigating complaints filed under Chapter 81D, Texas Health and Safety Code related to COVID-19 vaccination mandates by private employers.  Finally, the unit also develops and conducts fraud prevention, detection, and fact-finding training for Workforce Board/Contractor staff. </w:t>
      </w:r>
    </w:p>
    <w:p w14:paraId="0F028BB7" w14:textId="77777777" w:rsidR="00F965AA" w:rsidRPr="00F965AA" w:rsidRDefault="00F965AA" w:rsidP="00F965AA">
      <w:pPr>
        <w:pStyle w:val="BodyText"/>
      </w:pPr>
      <w:r w:rsidRPr="00F965AA">
        <w:rPr>
          <w:b/>
          <w:bCs/>
        </w:rPr>
        <w:t>Unemployment Insurance Unit</w:t>
      </w:r>
      <w:r w:rsidRPr="00F965AA">
        <w:t>  </w:t>
      </w:r>
    </w:p>
    <w:p w14:paraId="6FB6AF37" w14:textId="77777777" w:rsidR="00F965AA" w:rsidRPr="00F965AA" w:rsidRDefault="00F965AA" w:rsidP="00F965AA">
      <w:pPr>
        <w:pStyle w:val="BodyText"/>
      </w:pPr>
      <w:r w:rsidRPr="00F965AA">
        <w:t>Specific to the UI program, TWC has a robust ID verification process and fraud detection (“high risk protocol”) that has prevented over 1 million fraudulent attempts from receiving payment. Individuals with claims identified as suspicious under this protocol are required to complete identity verification procedures through a third-party vendor or in-person verification at United States Postal Service locations.  OI is a key line of defense in investigating suspected fraudulent UI claims that have been flagged as suspicious through TWC fraud detection process. </w:t>
      </w:r>
    </w:p>
    <w:p w14:paraId="4E6CB29D" w14:textId="77777777" w:rsidR="00F965AA" w:rsidRPr="00F965AA" w:rsidRDefault="00F965AA" w:rsidP="00F965AA">
      <w:pPr>
        <w:pStyle w:val="BodyText"/>
      </w:pPr>
      <w:r w:rsidRPr="00F965AA">
        <w:t xml:space="preserve">TWC provides information on the agency’s website to inform the public about unemployment benefits and identity fraud at </w:t>
      </w:r>
      <w:hyperlink r:id="rId224" w:tgtFrame="_blank" w:history="1">
        <w:r w:rsidRPr="00F965AA">
          <w:rPr>
            <w:rStyle w:val="Hyperlink"/>
          </w:rPr>
          <w:t>Unemployment Benefits Fraud &amp; Identity Fraud</w:t>
        </w:r>
      </w:hyperlink>
      <w:r w:rsidRPr="00F965AA">
        <w:t>.  This webpage includes instructions that allow individuals and employers to report suspected identity theft related unemployment benefit fraud using TWC’s secure online fraud portal.  The online resources also provide information on the warning signs of unemployment identity fraud and provides steps that may help protect individuals from unemployment identity fraud. </w:t>
      </w:r>
    </w:p>
    <w:p w14:paraId="3B0CFE96" w14:textId="77777777" w:rsidR="00F965AA" w:rsidRPr="00F965AA" w:rsidRDefault="00F965AA" w:rsidP="00F965AA">
      <w:pPr>
        <w:pStyle w:val="BodyText"/>
      </w:pPr>
      <w:r w:rsidRPr="00F965AA">
        <w:rPr>
          <w:b/>
          <w:bCs/>
        </w:rPr>
        <w:t>Fictious Employer Unit</w:t>
      </w:r>
      <w:r w:rsidRPr="00F965AA">
        <w:t>  </w:t>
      </w:r>
    </w:p>
    <w:p w14:paraId="7C8F9A41" w14:textId="77777777" w:rsidR="00F965AA" w:rsidRPr="00F965AA" w:rsidRDefault="00F965AA" w:rsidP="00F965AA">
      <w:pPr>
        <w:pStyle w:val="BodyText"/>
      </w:pPr>
      <w:r w:rsidRPr="00F965AA">
        <w:t xml:space="preserve">The Fictitious Employer Unit works to identify and investigate potential fraudulent UI Tax accounts used for UI claims (i.e., fictitious employers).  This unit collaborates with the Unemployment Insurance Division, the Tax Department, and Information, Innovation, &amp; Insight and analyzes claims data, data reports, and other leads to identify potential fictious employers.  The unit investigates these leads by reviewing employer and claimant information and conducting interviews. If sufficient evidence of fraud is found, the unit takes appropriate action and identifies affected claims. Throughout the investigation process, the </w:t>
      </w:r>
      <w:r w:rsidRPr="00F965AA">
        <w:lastRenderedPageBreak/>
        <w:t>unit prioritizes data security, confidentiality, and collaboration with other departments to ensure the integrity of the unemployment insurance system. </w:t>
      </w:r>
    </w:p>
    <w:p w14:paraId="2C1DA0AE" w14:textId="77777777" w:rsidR="00F965AA" w:rsidRPr="00F965AA" w:rsidRDefault="00F965AA" w:rsidP="00F965AA">
      <w:pPr>
        <w:pStyle w:val="BodyText"/>
      </w:pPr>
      <w:r w:rsidRPr="00F965AA">
        <w:rPr>
          <w:b/>
          <w:bCs/>
        </w:rPr>
        <w:t>Internal Investigations Unit</w:t>
      </w:r>
      <w:r w:rsidRPr="00F965AA">
        <w:t>  </w:t>
      </w:r>
    </w:p>
    <w:p w14:paraId="07AA10CD" w14:textId="77777777" w:rsidR="00F965AA" w:rsidRPr="00F965AA" w:rsidRDefault="00F965AA" w:rsidP="00F965AA">
      <w:pPr>
        <w:pStyle w:val="BodyText"/>
      </w:pPr>
      <w:r w:rsidRPr="00F965AA">
        <w:t>The Internal Investigations Unit investigates allegations of fraud, theft, waste, misconduct and program abuse against TWC and Workforce Board staff.  The Internal Investigations Unit is also responsible for investigating fraud, waste, and abuse allegations against vocational rehabilitation staff.  This unit also investigates misuse of the unemployment benefits system by staff and conducts background checks on new hires and TWC conference speakers.  </w:t>
      </w:r>
    </w:p>
    <w:p w14:paraId="225336EE" w14:textId="2C9A3BB1" w:rsidR="00F965AA" w:rsidRPr="00F965AA" w:rsidRDefault="00F965AA" w:rsidP="00F965AA">
      <w:pPr>
        <w:pStyle w:val="BodyText"/>
      </w:pPr>
      <w:r w:rsidRPr="00F965AA">
        <w:t>O</w:t>
      </w:r>
      <w:r w:rsidR="00C97CD6">
        <w:t xml:space="preserve">ffice of </w:t>
      </w:r>
      <w:r w:rsidRPr="00F965AA">
        <w:t>I</w:t>
      </w:r>
      <w:r w:rsidR="00C97CD6">
        <w:t>nvestigations</w:t>
      </w:r>
      <w:r w:rsidRPr="00F965AA">
        <w:t xml:space="preserve"> makes every effort to protect the rights and the reputations of those involved in an investigation involving allegations of fraud, including the employee/complainant who reports alleged fraud, the individual(s) interviewed during the resultant investigation, and the individual(s)/entity(s) against whom the allegations were made. </w:t>
      </w:r>
    </w:p>
    <w:p w14:paraId="6D6F139D" w14:textId="782CDEB6" w:rsidR="00F965AA" w:rsidRPr="00F965AA" w:rsidRDefault="00F965AA" w:rsidP="00F965AA">
      <w:pPr>
        <w:pStyle w:val="BodyText"/>
      </w:pPr>
      <w:proofErr w:type="gramStart"/>
      <w:r w:rsidRPr="00F965AA">
        <w:t>In the event that</w:t>
      </w:r>
      <w:proofErr w:type="gramEnd"/>
      <w:r w:rsidRPr="00F965AA">
        <w:t xml:space="preserve"> an investigation substantiates that fraudulent activities have occurred, O</w:t>
      </w:r>
      <w:r w:rsidR="00C97CD6">
        <w:t xml:space="preserve">ffice of </w:t>
      </w:r>
      <w:r w:rsidRPr="00F965AA">
        <w:t>I</w:t>
      </w:r>
      <w:r w:rsidR="00C97CD6">
        <w:t>nvestigations</w:t>
      </w:r>
      <w:r w:rsidRPr="00F965AA">
        <w:t xml:space="preserve"> will prepare and distribute a report to appropriate management personnel and the Executive Director. To avoid any appearance of bias, OI should not be involved in any disciplinary process that may result from an investigation it conducted. Any planned disciplinary action must be coordinated with Human Resources, Office of General Counsel, Regulatory Integrity Division, and if necessary, outside counsel.  </w:t>
      </w:r>
    </w:p>
    <w:p w14:paraId="59504EFE" w14:textId="77777777" w:rsidR="00F965AA" w:rsidRPr="00F965AA" w:rsidRDefault="00F965AA" w:rsidP="00F965AA">
      <w:pPr>
        <w:pStyle w:val="BodyText"/>
      </w:pPr>
      <w:r w:rsidRPr="00F965AA">
        <w:rPr>
          <w:b/>
          <w:bCs/>
        </w:rPr>
        <w:t>Reports to State Auditor’s Office</w:t>
      </w:r>
      <w:r w:rsidRPr="00F965AA">
        <w:t>  </w:t>
      </w:r>
    </w:p>
    <w:p w14:paraId="78F341E8" w14:textId="7498BD49" w:rsidR="00F965AA" w:rsidRPr="00F965AA" w:rsidRDefault="00F965AA" w:rsidP="00F965AA">
      <w:pPr>
        <w:pStyle w:val="BodyText"/>
      </w:pPr>
      <w:r w:rsidRPr="00F965AA">
        <w:t>When O</w:t>
      </w:r>
      <w:r w:rsidR="008671DA">
        <w:t xml:space="preserve">ffice of </w:t>
      </w:r>
      <w:r w:rsidRPr="00F965AA">
        <w:t>I</w:t>
      </w:r>
      <w:r w:rsidR="008671DA">
        <w:t>nvestigations</w:t>
      </w:r>
      <w:r w:rsidRPr="00F965AA">
        <w:t xml:space="preserve"> has reasonable cause to believe that money received from the state by the department or entity or by a client or contractor of the department or entity may have been lost, misappropriated, or misused, or that fraudulent or unlawful conduct has occurred in relation to the department or entity, O</w:t>
      </w:r>
      <w:r w:rsidR="008671DA">
        <w:t xml:space="preserve">ffice of </w:t>
      </w:r>
      <w:r w:rsidRPr="00F965AA">
        <w:t>I</w:t>
      </w:r>
      <w:r w:rsidR="008671DA">
        <w:t>nvestigations</w:t>
      </w:r>
      <w:r w:rsidRPr="00F965AA">
        <w:t xml:space="preserve"> shall report the reason and basis to the State Auditor’s Office in accordance with Texas Government Code §321.022. O</w:t>
      </w:r>
      <w:r w:rsidR="0011199C">
        <w:t xml:space="preserve">ffice of </w:t>
      </w:r>
      <w:r w:rsidRPr="00F965AA">
        <w:t>I</w:t>
      </w:r>
      <w:r w:rsidR="0011199C">
        <w:t>nvestigations</w:t>
      </w:r>
      <w:r w:rsidRPr="00F965AA">
        <w:t xml:space="preserve"> will report once a month during the same week the monthly O</w:t>
      </w:r>
      <w:r w:rsidR="00D11FC5">
        <w:t xml:space="preserve">ffice of </w:t>
      </w:r>
      <w:r w:rsidRPr="00F965AA">
        <w:t>I</w:t>
      </w:r>
      <w:r w:rsidR="00D11FC5">
        <w:t>nvestigations</w:t>
      </w:r>
      <w:r w:rsidRPr="00F965AA">
        <w:t xml:space="preserve"> Operations Update is provided to the FDCM Director; and on a case-by-case basis when a case of interest to the State Auditor’s Office is opened. Exceptions to this reporting requirement are as follows:  </w:t>
      </w:r>
    </w:p>
    <w:p w14:paraId="2734671B" w14:textId="77777777" w:rsidR="00F965AA" w:rsidRPr="00783B60" w:rsidRDefault="00F965AA" w:rsidP="00C64851">
      <w:pPr>
        <w:pStyle w:val="BodyText"/>
        <w:numPr>
          <w:ilvl w:val="0"/>
          <w:numId w:val="408"/>
        </w:numPr>
      </w:pPr>
      <w:r w:rsidRPr="00783B60">
        <w:t>Losses involving client eligibility.  </w:t>
      </w:r>
    </w:p>
    <w:p w14:paraId="20643A2C" w14:textId="77777777" w:rsidR="00F965AA" w:rsidRPr="00783B60" w:rsidRDefault="00F965AA" w:rsidP="00C64851">
      <w:pPr>
        <w:pStyle w:val="BodyText"/>
        <w:numPr>
          <w:ilvl w:val="0"/>
          <w:numId w:val="408"/>
        </w:numPr>
      </w:pPr>
      <w:r w:rsidRPr="00783B60">
        <w:t>Human Resources issues or complaints.  </w:t>
      </w:r>
    </w:p>
    <w:p w14:paraId="401868C6" w14:textId="77777777" w:rsidR="00F965AA" w:rsidRPr="00783B60" w:rsidRDefault="00F965AA" w:rsidP="00C64851">
      <w:pPr>
        <w:pStyle w:val="BodyText"/>
        <w:numPr>
          <w:ilvl w:val="0"/>
          <w:numId w:val="408"/>
        </w:numPr>
      </w:pPr>
      <w:r w:rsidRPr="00783B60">
        <w:t>Losses involving fraud/unlawful conduct by unemployment insurance claimants.  </w:t>
      </w:r>
    </w:p>
    <w:p w14:paraId="03785604" w14:textId="77777777" w:rsidR="00F965AA" w:rsidRPr="00783B60" w:rsidRDefault="00F965AA" w:rsidP="00C64851">
      <w:pPr>
        <w:pStyle w:val="BodyText"/>
        <w:numPr>
          <w:ilvl w:val="0"/>
          <w:numId w:val="408"/>
        </w:numPr>
      </w:pPr>
      <w:r w:rsidRPr="00783B60">
        <w:t>Internal agency matters not involving losses due to fraudulent/unlawful conduct.  </w:t>
      </w:r>
    </w:p>
    <w:p w14:paraId="3A888203" w14:textId="77777777" w:rsidR="00F965AA" w:rsidRPr="00783B60" w:rsidRDefault="00F965AA" w:rsidP="00C64851">
      <w:pPr>
        <w:pStyle w:val="BodyText"/>
        <w:numPr>
          <w:ilvl w:val="0"/>
          <w:numId w:val="408"/>
        </w:numPr>
      </w:pPr>
      <w:r w:rsidRPr="00783B60">
        <w:t>Investigation Issues.  </w:t>
      </w:r>
    </w:p>
    <w:p w14:paraId="21F08D86" w14:textId="22063382" w:rsidR="00F965AA" w:rsidRPr="00F965AA" w:rsidRDefault="00F965AA" w:rsidP="00C64851">
      <w:pPr>
        <w:pStyle w:val="BodyText"/>
        <w:numPr>
          <w:ilvl w:val="0"/>
          <w:numId w:val="408"/>
        </w:numPr>
      </w:pPr>
      <w:r w:rsidRPr="00783B60">
        <w:lastRenderedPageBreak/>
        <w:t>Issues that should be reported to O</w:t>
      </w:r>
      <w:r w:rsidR="00A02ACD">
        <w:t xml:space="preserve">ffice of </w:t>
      </w:r>
      <w:r w:rsidRPr="00783B60">
        <w:t>I</w:t>
      </w:r>
      <w:r w:rsidR="00A02ACD">
        <w:t>nvestigations</w:t>
      </w:r>
      <w:r w:rsidRPr="00783B60">
        <w:t xml:space="preserve"> for action include fraud, policy violations and</w:t>
      </w:r>
      <w:r w:rsidRPr="00F965AA">
        <w:t xml:space="preserve"> employee misconduct.  </w:t>
      </w:r>
    </w:p>
    <w:p w14:paraId="24721EC1" w14:textId="3069C4EC" w:rsidR="00F965AA" w:rsidRPr="00F965AA" w:rsidRDefault="00F965AA" w:rsidP="00F965AA">
      <w:pPr>
        <w:pStyle w:val="BodyText"/>
      </w:pPr>
      <w:r w:rsidRPr="00F965AA">
        <w:rPr>
          <w:b/>
          <w:bCs/>
        </w:rPr>
        <w:t>Reporting Suspected Fraud, Waste, and Abuse</w:t>
      </w:r>
    </w:p>
    <w:p w14:paraId="4F3F1A7C" w14:textId="6A5F1E3D" w:rsidR="00F965AA" w:rsidRPr="00F965AA" w:rsidRDefault="00F965AA" w:rsidP="00F965AA">
      <w:pPr>
        <w:pStyle w:val="BodyText"/>
      </w:pPr>
      <w:r w:rsidRPr="00F965AA">
        <w:t>An employee may report fraud, theft, waste, or abuse in a TWC Program</w:t>
      </w:r>
      <w:r w:rsidR="007F1730">
        <w:t xml:space="preserve"> through an established internal procedure</w:t>
      </w:r>
      <w:r w:rsidRPr="00F965AA">
        <w:t>.</w:t>
      </w:r>
      <w:r w:rsidR="007F1730" w:rsidRPr="00F965AA" w:rsidDel="007F1730">
        <w:t xml:space="preserve"> </w:t>
      </w:r>
      <w:r w:rsidR="00DC6ED1">
        <w:t>Also, a</w:t>
      </w:r>
      <w:r w:rsidRPr="00F965AA">
        <w:t xml:space="preserve">n employee or other complainant </w:t>
      </w:r>
      <w:r w:rsidR="0036384F">
        <w:t xml:space="preserve">has access </w:t>
      </w:r>
      <w:r w:rsidR="00070695">
        <w:t>and instructions for reporting fraud</w:t>
      </w:r>
      <w:r w:rsidR="00BF1D59">
        <w:t xml:space="preserve"> as set out online</w:t>
      </w:r>
      <w:r w:rsidR="00265D58">
        <w:t>,</w:t>
      </w:r>
      <w:r w:rsidR="00BF1D59">
        <w:t xml:space="preserve"> at</w:t>
      </w:r>
      <w:r w:rsidRPr="00F965AA">
        <w:t>.   </w:t>
      </w:r>
    </w:p>
    <w:p w14:paraId="42E7DF16" w14:textId="380A3854" w:rsidR="00F965AA" w:rsidRPr="00F965AA" w:rsidRDefault="00F965AA" w:rsidP="00F965AA">
      <w:pPr>
        <w:pStyle w:val="BodyText"/>
      </w:pPr>
      <w:r w:rsidRPr="00F965AA">
        <w:t xml:space="preserve">  </w:t>
      </w:r>
      <w:hyperlink r:id="rId225" w:tgtFrame="_blank" w:history="1">
        <w:r w:rsidRPr="00F965AA">
          <w:rPr>
            <w:rStyle w:val="Hyperlink"/>
          </w:rPr>
          <w:t>Reporting Fraud, Theft, Waste, or Abuse in a TWC Program</w:t>
        </w:r>
      </w:hyperlink>
      <w:r w:rsidRPr="00F965AA">
        <w:t xml:space="preserve">. Also, a complaint may be submitted directly to the State Auditor’s Office at </w:t>
      </w:r>
      <w:hyperlink r:id="rId226" w:tgtFrame="_blank" w:history="1">
        <w:proofErr w:type="gramStart"/>
        <w:r w:rsidRPr="00F965AA">
          <w:rPr>
            <w:rStyle w:val="Hyperlink"/>
          </w:rPr>
          <w:t>Fraud  Hotline</w:t>
        </w:r>
        <w:proofErr w:type="gramEnd"/>
      </w:hyperlink>
      <w:r w:rsidRPr="00F965AA">
        <w:t>.  </w:t>
      </w:r>
    </w:p>
    <w:p w14:paraId="5466393D" w14:textId="77777777" w:rsidR="00F965AA" w:rsidRPr="00F965AA" w:rsidRDefault="00F965AA" w:rsidP="00F965AA">
      <w:pPr>
        <w:pStyle w:val="BodyText"/>
      </w:pPr>
      <w:r w:rsidRPr="00F965AA">
        <w:t>Failure of any TWC employee to promptly report any violation could result in disciplinary action up to and including termination of employment.   </w:t>
      </w:r>
    </w:p>
    <w:p w14:paraId="70AEC8BA" w14:textId="77777777" w:rsidR="00F965AA" w:rsidRPr="00F965AA" w:rsidRDefault="00F965AA" w:rsidP="00F965AA">
      <w:pPr>
        <w:pStyle w:val="BodyText"/>
      </w:pPr>
      <w:r w:rsidRPr="00F965AA">
        <w:t xml:space="preserve">An employee or other complainant who reports suspected fraudulent activities is not privy to details or other information gathered during the investigation, while it is in progress. Investigation results are not routinely disclosed or discussed with anyone other than those who have a legitimate need to know. If an allegation was not made anonymously, a summary report stating </w:t>
      </w:r>
      <w:proofErr w:type="gramStart"/>
      <w:r w:rsidRPr="00F965AA">
        <w:t>whether or not</w:t>
      </w:r>
      <w:proofErr w:type="gramEnd"/>
      <w:r w:rsidRPr="00F965AA">
        <w:t xml:space="preserve"> the allegation was substantiated may be submitted to the employee/complainant.   </w:t>
      </w:r>
    </w:p>
    <w:p w14:paraId="7C57732A" w14:textId="77777777" w:rsidR="00F965AA" w:rsidRPr="00F965AA" w:rsidRDefault="00F965AA" w:rsidP="00F965AA">
      <w:pPr>
        <w:pStyle w:val="BodyText"/>
      </w:pPr>
      <w:r w:rsidRPr="00F965AA">
        <w:t>Because of the potential for damaging the reputation of an innocent party if a false allegation is made, a TWC employee who knowingly reports false or misleading information regarding suspected fraud is subject to disciplinary action, up to and including termination of employment. </w:t>
      </w:r>
    </w:p>
    <w:p w14:paraId="41EA0C2B" w14:textId="77777777" w:rsidR="00F965AA" w:rsidRPr="00FF7756" w:rsidRDefault="00F965AA" w:rsidP="00783B60">
      <w:pPr>
        <w:pStyle w:val="BodyText3"/>
        <w:ind w:left="720" w:hanging="720"/>
      </w:pPr>
      <w:r w:rsidRPr="00FF7756">
        <w:t>G.</w:t>
      </w:r>
      <w:r w:rsidRPr="00FF7756">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800"/>
        <w:gridCol w:w="1948"/>
        <w:gridCol w:w="1677"/>
        <w:gridCol w:w="1935"/>
      </w:tblGrid>
      <w:tr w:rsidR="0049196B" w:rsidRPr="00D45138" w14:paraId="7EA35A0B" w14:textId="77777777" w:rsidTr="00DA018F">
        <w:trPr>
          <w:trHeight w:val="288"/>
        </w:trPr>
        <w:tc>
          <w:tcPr>
            <w:tcW w:w="3800" w:type="dxa"/>
            <w:shd w:val="clear" w:color="auto" w:fill="B8CCE4" w:themeFill="accent1" w:themeFillTint="66"/>
            <w:vAlign w:val="center"/>
            <w:hideMark/>
          </w:tcPr>
          <w:p w14:paraId="0DCB9332" w14:textId="77777777" w:rsidR="0049196B" w:rsidRPr="00394439" w:rsidRDefault="0049196B" w:rsidP="00DA018F">
            <w:pPr>
              <w:pStyle w:val="TableHeaders"/>
              <w:rPr>
                <w:color w:val="000000"/>
              </w:rPr>
            </w:pPr>
            <w:r w:rsidRPr="00394439">
              <w:t>Program or Function Detail Description</w:t>
            </w:r>
          </w:p>
        </w:tc>
        <w:tc>
          <w:tcPr>
            <w:tcW w:w="2300" w:type="dxa"/>
            <w:shd w:val="clear" w:color="auto" w:fill="B8CCE4" w:themeFill="accent1" w:themeFillTint="66"/>
            <w:vAlign w:val="center"/>
            <w:hideMark/>
          </w:tcPr>
          <w:p w14:paraId="55DA99D6" w14:textId="77777777" w:rsidR="0049196B" w:rsidRPr="00394439" w:rsidRDefault="0049196B" w:rsidP="00DA018F">
            <w:pPr>
              <w:pStyle w:val="TableHeaders"/>
              <w:rPr>
                <w:color w:val="000000"/>
              </w:rPr>
            </w:pPr>
            <w:r w:rsidRPr="00394439">
              <w:t>Total FY 2024</w:t>
            </w:r>
          </w:p>
        </w:tc>
        <w:tc>
          <w:tcPr>
            <w:tcW w:w="1920" w:type="dxa"/>
            <w:shd w:val="clear" w:color="auto" w:fill="B8CCE4" w:themeFill="accent1" w:themeFillTint="66"/>
            <w:vAlign w:val="center"/>
            <w:hideMark/>
          </w:tcPr>
          <w:p w14:paraId="3E4C9B2E" w14:textId="77777777" w:rsidR="0049196B" w:rsidRPr="00394439" w:rsidRDefault="0049196B" w:rsidP="00DA018F">
            <w:pPr>
              <w:pStyle w:val="TableHeaders"/>
              <w:rPr>
                <w:color w:val="000000"/>
              </w:rPr>
            </w:pPr>
            <w:r w:rsidRPr="00394439">
              <w:t>Federal Funding</w:t>
            </w:r>
          </w:p>
        </w:tc>
        <w:tc>
          <w:tcPr>
            <w:tcW w:w="2320" w:type="dxa"/>
            <w:shd w:val="clear" w:color="auto" w:fill="B8CCE4" w:themeFill="accent1" w:themeFillTint="66"/>
            <w:vAlign w:val="center"/>
            <w:hideMark/>
          </w:tcPr>
          <w:p w14:paraId="1BEA17E5" w14:textId="77777777" w:rsidR="0049196B" w:rsidRPr="00394439" w:rsidRDefault="0049196B" w:rsidP="00DA018F">
            <w:pPr>
              <w:pStyle w:val="TableHeaders"/>
              <w:rPr>
                <w:color w:val="000000"/>
              </w:rPr>
            </w:pPr>
            <w:r w:rsidRPr="00394439">
              <w:t>State Funding</w:t>
            </w:r>
          </w:p>
        </w:tc>
      </w:tr>
      <w:tr w:rsidR="0049196B" w:rsidRPr="00D45138" w14:paraId="536DD088" w14:textId="77777777" w:rsidTr="00DA018F">
        <w:trPr>
          <w:trHeight w:val="288"/>
        </w:trPr>
        <w:tc>
          <w:tcPr>
            <w:tcW w:w="3800" w:type="dxa"/>
            <w:noWrap/>
            <w:vAlign w:val="center"/>
            <w:hideMark/>
          </w:tcPr>
          <w:p w14:paraId="5BC25E7E" w14:textId="77777777" w:rsidR="0049196B" w:rsidRPr="00394439" w:rsidRDefault="0049196B" w:rsidP="00DA018F">
            <w:pPr>
              <w:pStyle w:val="TableText"/>
            </w:pPr>
            <w:r w:rsidRPr="00394439">
              <w:t>Investigations &amp; Fraud Prosecutions</w:t>
            </w:r>
          </w:p>
        </w:tc>
        <w:tc>
          <w:tcPr>
            <w:tcW w:w="2300" w:type="dxa"/>
            <w:vAlign w:val="center"/>
            <w:hideMark/>
          </w:tcPr>
          <w:p w14:paraId="4AAFE369" w14:textId="32AD4B5A" w:rsidR="0049196B" w:rsidRPr="00394439" w:rsidRDefault="0049196B" w:rsidP="00DA018F">
            <w:pPr>
              <w:pStyle w:val="TableText"/>
              <w:jc w:val="right"/>
            </w:pPr>
            <w:r w:rsidRPr="00394439">
              <w:t xml:space="preserve">3,785,110 </w:t>
            </w:r>
          </w:p>
        </w:tc>
        <w:tc>
          <w:tcPr>
            <w:tcW w:w="1920" w:type="dxa"/>
            <w:vAlign w:val="center"/>
            <w:hideMark/>
          </w:tcPr>
          <w:p w14:paraId="58B4129A" w14:textId="0391DCF2" w:rsidR="0049196B" w:rsidRPr="00394439" w:rsidRDefault="0049196B" w:rsidP="00DA018F">
            <w:pPr>
              <w:pStyle w:val="TableText"/>
              <w:jc w:val="right"/>
            </w:pPr>
            <w:r w:rsidRPr="00394439">
              <w:t xml:space="preserve">3,709,303 </w:t>
            </w:r>
          </w:p>
        </w:tc>
        <w:tc>
          <w:tcPr>
            <w:tcW w:w="2320" w:type="dxa"/>
            <w:vAlign w:val="center"/>
            <w:hideMark/>
          </w:tcPr>
          <w:p w14:paraId="0F3A8786" w14:textId="247549D0" w:rsidR="0049196B" w:rsidRPr="00394439" w:rsidRDefault="0049196B" w:rsidP="00DA018F">
            <w:pPr>
              <w:pStyle w:val="TableText"/>
              <w:jc w:val="right"/>
            </w:pPr>
            <w:r w:rsidRPr="00394439">
              <w:t xml:space="preserve">75,807 </w:t>
            </w:r>
          </w:p>
        </w:tc>
      </w:tr>
    </w:tbl>
    <w:p w14:paraId="4B304A94" w14:textId="77777777" w:rsidR="00F965AA" w:rsidRPr="00FF7756" w:rsidRDefault="00F965AA" w:rsidP="00783B60">
      <w:pPr>
        <w:pStyle w:val="BodyText3"/>
        <w:ind w:left="720" w:hanging="720"/>
      </w:pPr>
      <w:r w:rsidRPr="00FF7756">
        <w:t>H.</w:t>
      </w:r>
      <w:r w:rsidRPr="00FF7756">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16A9E0C4" w14:textId="3F57E999" w:rsidR="00F965AA" w:rsidRPr="00F965AA" w:rsidRDefault="00F965AA" w:rsidP="00F965AA">
      <w:pPr>
        <w:pStyle w:val="BodyText"/>
      </w:pPr>
      <w:r w:rsidRPr="00F965AA">
        <w:t xml:space="preserve">The U.S. Department of Labor Office of Inspector General (DOL-OIG) investigates fraud, waste and abuse of all DOL programs. The TWC Office of Investigations often conducts </w:t>
      </w:r>
      <w:r w:rsidRPr="00F965AA">
        <w:lastRenderedPageBreak/>
        <w:t xml:space="preserve">joint investigations with DOL-OIG. Additionally, </w:t>
      </w:r>
      <w:r w:rsidR="00E87820">
        <w:t>the</w:t>
      </w:r>
      <w:r w:rsidRPr="00F965AA">
        <w:t xml:space="preserve"> O</w:t>
      </w:r>
      <w:r w:rsidR="00E96BFE">
        <w:t xml:space="preserve">ffice of </w:t>
      </w:r>
      <w:r w:rsidRPr="00F965AA">
        <w:t>I</w:t>
      </w:r>
      <w:r w:rsidR="00E96BFE">
        <w:t>nvestigations</w:t>
      </w:r>
      <w:r w:rsidRPr="00F965AA">
        <w:t xml:space="preserve"> coordinates with other Federal Agencies, as applicable (Postal-OIF, HUD-OIG, DOE-OIG, etc.). Where interests overlap, </w:t>
      </w:r>
      <w:r w:rsidR="00E87820">
        <w:t xml:space="preserve">the </w:t>
      </w:r>
      <w:r w:rsidRPr="00F965AA">
        <w:t>O</w:t>
      </w:r>
      <w:r w:rsidR="00E87820">
        <w:t xml:space="preserve">ffice of </w:t>
      </w:r>
      <w:r w:rsidRPr="00F965AA">
        <w:t>I</w:t>
      </w:r>
      <w:r w:rsidR="00E87820">
        <w:t>nvestigations</w:t>
      </w:r>
      <w:r w:rsidRPr="00F965AA">
        <w:t xml:space="preserve"> works with or assists other state agencies, such as HHSC-OIG or the Texas Office of the Attorney General investigators.  </w:t>
      </w:r>
    </w:p>
    <w:p w14:paraId="0E20803F" w14:textId="77777777" w:rsidR="00F965AA" w:rsidRPr="00F965AA" w:rsidRDefault="00F965AA" w:rsidP="00F965AA">
      <w:pPr>
        <w:pStyle w:val="BodyText"/>
      </w:pPr>
      <w:r w:rsidRPr="00F965AA">
        <w:t>When allegations of fraud, theft, program abuse, or violations of State or federal law are brought to the attention of the Office of Investigations, the following may occur:  </w:t>
      </w:r>
    </w:p>
    <w:p w14:paraId="0FE4977A" w14:textId="77777777" w:rsidR="00F965AA" w:rsidRPr="00F965AA" w:rsidRDefault="00F965AA" w:rsidP="00C64851">
      <w:pPr>
        <w:pStyle w:val="BodyText"/>
        <w:numPr>
          <w:ilvl w:val="0"/>
          <w:numId w:val="106"/>
        </w:numPr>
      </w:pPr>
      <w:r w:rsidRPr="00F965AA">
        <w:t>The allegation may be elevated to the appropriate state or federal authority.  </w:t>
      </w:r>
    </w:p>
    <w:p w14:paraId="4F93EBB3" w14:textId="77777777" w:rsidR="00F965AA" w:rsidRPr="00F965AA" w:rsidRDefault="00F965AA" w:rsidP="00C64851">
      <w:pPr>
        <w:pStyle w:val="BodyText"/>
        <w:numPr>
          <w:ilvl w:val="0"/>
          <w:numId w:val="107"/>
        </w:numPr>
      </w:pPr>
      <w:r w:rsidRPr="00F965AA">
        <w:t>The allegation may be accepted for investigation and/or action at the state level. </w:t>
      </w:r>
    </w:p>
    <w:p w14:paraId="78C61DB2" w14:textId="77777777" w:rsidR="00F965AA" w:rsidRPr="00FF7756" w:rsidRDefault="00F965AA" w:rsidP="00783B60">
      <w:pPr>
        <w:pStyle w:val="BodyText3"/>
        <w:ind w:left="720" w:hanging="720"/>
      </w:pPr>
      <w:r w:rsidRPr="00FF7756">
        <w:t>I.</w:t>
      </w:r>
      <w:r w:rsidRPr="00FF7756">
        <w:tab/>
        <w:t>If the division or program works with local, regional, or federal units of government, include a brief description of these entities and their relationship to the agency. </w:t>
      </w:r>
    </w:p>
    <w:p w14:paraId="636E368A" w14:textId="77777777" w:rsidR="00F965AA" w:rsidRPr="00F965AA" w:rsidRDefault="00F965AA" w:rsidP="00F965AA">
      <w:pPr>
        <w:pStyle w:val="BodyText"/>
      </w:pPr>
      <w:r w:rsidRPr="00F965AA">
        <w:rPr>
          <w:b/>
          <w:bCs/>
        </w:rPr>
        <w:t>Conducting Investigations with Federal/Outside Agencies</w:t>
      </w:r>
      <w:r w:rsidRPr="00F965AA">
        <w:t>  </w:t>
      </w:r>
    </w:p>
    <w:p w14:paraId="162F3629" w14:textId="0D86FA89" w:rsidR="00F965AA" w:rsidRPr="00F965AA" w:rsidRDefault="00F965AA" w:rsidP="00F965AA">
      <w:pPr>
        <w:pStyle w:val="BodyText"/>
      </w:pPr>
      <w:r w:rsidRPr="00F965AA">
        <w:t xml:space="preserve">When not directed by law, regulations or policy, the Director of the Office of Investigations will determine when it is appropriate to partner with federal or outside agencies on conducting investigations. When required, the supervising investigator will prepare the incident reports to notify federal and outside agencies of an incident detected by or reported to OI. Based on DOL-OIG’s mission and </w:t>
      </w:r>
      <w:r w:rsidR="006B47AC" w:rsidRPr="00F965AA">
        <w:t>the Office of Investigations</w:t>
      </w:r>
      <w:r w:rsidRPr="00F965AA">
        <w:t xml:space="preserve"> mission, many incidents will be reported, and DOL-OIG will assign a Special Agent to the case. Likewise, DOL-OIG will often request TWC OI’s assistance on a case. DOL-OIG special agents are commissioned federal law enforcement officers. Each TWC investigator must become familiar with DOL-OIG Special Agent’s authority and operating procedures. TWC investigators represent the state, TWC and themselves in a professional and courteous manner </w:t>
      </w:r>
      <w:proofErr w:type="gramStart"/>
      <w:r w:rsidRPr="00F965AA">
        <w:t>at all times</w:t>
      </w:r>
      <w:proofErr w:type="gramEnd"/>
      <w:r w:rsidRPr="00F965AA">
        <w:t>. If an investigator has any questions, issues or concerns during or about joint operations with other agencies, they direct them to their supervising investigator for resolution.  </w:t>
      </w:r>
    </w:p>
    <w:p w14:paraId="2C3D7732" w14:textId="53002320" w:rsidR="00F965AA" w:rsidRPr="00F965AA" w:rsidRDefault="00CA2397" w:rsidP="00F965AA">
      <w:pPr>
        <w:pStyle w:val="BodyText"/>
      </w:pPr>
      <w:r>
        <w:t>T</w:t>
      </w:r>
      <w:r w:rsidRPr="00F965AA">
        <w:t xml:space="preserve">he Office of </w:t>
      </w:r>
      <w:proofErr w:type="gramStart"/>
      <w:r w:rsidRPr="00F965AA">
        <w:t xml:space="preserve">Investigations </w:t>
      </w:r>
      <w:r w:rsidR="00F965AA" w:rsidRPr="00F965AA">
        <w:t xml:space="preserve"> typically</w:t>
      </w:r>
      <w:proofErr w:type="gramEnd"/>
      <w:r w:rsidR="00F965AA" w:rsidRPr="00F965AA">
        <w:t xml:space="preserve"> partners with federal or state agency investigators on investigations involving suspected criminal activity against a TWC program with the shared aim to refer the investigation results for criminal prosecution. TWC investigators are not law enforcement agents</w:t>
      </w:r>
      <w:r w:rsidR="00977769">
        <w:t xml:space="preserve"> and </w:t>
      </w:r>
      <w:r w:rsidR="00F965AA" w:rsidRPr="00F965AA">
        <w:t xml:space="preserve">partner with law </w:t>
      </w:r>
      <w:proofErr w:type="gramStart"/>
      <w:r w:rsidR="00F965AA" w:rsidRPr="00F965AA">
        <w:t>enforcement</w:t>
      </w:r>
      <w:proofErr w:type="gramEnd"/>
      <w:r w:rsidR="00F965AA" w:rsidRPr="00F965AA">
        <w:t xml:space="preserve"> when necessary, as part of </w:t>
      </w:r>
      <w:r w:rsidR="00977769">
        <w:t>a</w:t>
      </w:r>
      <w:r w:rsidR="00977769" w:rsidRPr="00F965AA">
        <w:t xml:space="preserve"> </w:t>
      </w:r>
      <w:r w:rsidR="00F965AA" w:rsidRPr="00F965AA">
        <w:t>case.  </w:t>
      </w:r>
    </w:p>
    <w:p w14:paraId="4D128AC3" w14:textId="47507078" w:rsidR="00F965AA" w:rsidRPr="00F965AA" w:rsidRDefault="00977769" w:rsidP="00F965AA">
      <w:pPr>
        <w:pStyle w:val="BodyText"/>
      </w:pPr>
      <w:r>
        <w:t>T</w:t>
      </w:r>
      <w:r w:rsidRPr="00F965AA">
        <w:t xml:space="preserve">he Office of Investigations </w:t>
      </w:r>
      <w:r w:rsidR="00F965AA" w:rsidRPr="00F965AA">
        <w:t>collaborates with the Fraud Prosecutions Unit on cases referred to the state level after being declined at the federal level. </w:t>
      </w:r>
    </w:p>
    <w:p w14:paraId="5B622D42" w14:textId="77777777" w:rsidR="00F965AA" w:rsidRPr="00FF7756" w:rsidRDefault="00F965AA" w:rsidP="00783B60">
      <w:pPr>
        <w:pStyle w:val="BodyText3"/>
        <w:ind w:left="720" w:hanging="720"/>
      </w:pPr>
      <w:r w:rsidRPr="00FF7756">
        <w:t>J.</w:t>
      </w:r>
      <w:r w:rsidRPr="00FF7756">
        <w:tab/>
        <w:t>Are there any barriers or challenges that impede the division or program’s performance, including any outdated or ineffective state laws? Explain. </w:t>
      </w:r>
    </w:p>
    <w:p w14:paraId="606F35AF" w14:textId="73F7905F" w:rsidR="00F965AA" w:rsidRPr="00F965AA" w:rsidRDefault="00F965AA" w:rsidP="00F965AA">
      <w:pPr>
        <w:pStyle w:val="BodyText"/>
      </w:pPr>
      <w:r w:rsidRPr="00F965AA">
        <w:t xml:space="preserve">TWC is up against constant fraud attacks with a declining federal UI administrative grant from the Department of Labor. The agency has been relying on additional federal integrity grants to support fraud prevention and detection efforts during the pandemic (for example, </w:t>
      </w:r>
      <w:r w:rsidRPr="00F965AA">
        <w:lastRenderedPageBreak/>
        <w:t xml:space="preserve">for </w:t>
      </w:r>
      <w:proofErr w:type="spellStart"/>
      <w:r w:rsidRPr="00F965AA">
        <w:t>OneSupport</w:t>
      </w:r>
      <w:proofErr w:type="spellEnd"/>
      <w:r w:rsidRPr="00F965AA">
        <w:t xml:space="preserve"> call center support) but the additional grant funds are ending.  The loss in administrative funding, combined with the increased workload of preventing and detecting constant fraud attempts, poses a challenge to the agency.  </w:t>
      </w:r>
    </w:p>
    <w:p w14:paraId="256B6C51" w14:textId="77777777" w:rsidR="00F965AA" w:rsidRPr="00F965AA" w:rsidRDefault="00F965AA" w:rsidP="00F965AA">
      <w:pPr>
        <w:pStyle w:val="BodyText"/>
      </w:pPr>
      <w:r w:rsidRPr="00F965AA">
        <w:t>While the Texas Unemployment Compensation Act has sections addressing earnings and eligibility related benefit fraud, there are no statutes in the Act addressing identity theft related benefit fraud.    </w:t>
      </w:r>
    </w:p>
    <w:p w14:paraId="25272EED" w14:textId="77777777" w:rsidR="00F965AA" w:rsidRPr="00FF7756" w:rsidRDefault="00F965AA" w:rsidP="00783B60">
      <w:pPr>
        <w:pStyle w:val="BodyText3"/>
        <w:ind w:left="720" w:hanging="720"/>
      </w:pPr>
      <w:r w:rsidRPr="00FF7756">
        <w:t>K.</w:t>
      </w:r>
      <w:r w:rsidRPr="00FF7756">
        <w:tab/>
        <w:t>Provide any additional information needed to gain a preliminary understanding of the division or program. </w:t>
      </w:r>
    </w:p>
    <w:p w14:paraId="6B400938" w14:textId="3DA8A810" w:rsidR="00F965AA" w:rsidRPr="00F965AA" w:rsidRDefault="00F965AA" w:rsidP="00F965AA">
      <w:pPr>
        <w:pStyle w:val="BodyText"/>
      </w:pPr>
      <w:r w:rsidRPr="00F965AA">
        <w:t xml:space="preserve">CliftonLarsonAllen conducted an audit of the Child Care Program in FY 2023 and determined that Local Workforce Development Boards were not making adequate attempts to collect overpayments.  FDCM developed additional guidance, and the Office of Investigations provided technical assistance to assist with resolution of the issue.  The audit conducted by </w:t>
      </w:r>
      <w:proofErr w:type="gramStart"/>
      <w:r w:rsidRPr="00F965AA">
        <w:t>CliftonLarsonAllen  for</w:t>
      </w:r>
      <w:proofErr w:type="gramEnd"/>
      <w:r w:rsidRPr="00F965AA">
        <w:t xml:space="preserve"> FY 2024 concluded with favorable results for the Child Care Program. The FY 2024 audit stated that all findings identified in the prior FY 2023) were appropriately addressed and resolved. No new findings or issues were reported for FY 2024. </w:t>
      </w:r>
    </w:p>
    <w:p w14:paraId="12AEA25B" w14:textId="0A444C73" w:rsidR="00F965AA" w:rsidRPr="00F965AA" w:rsidRDefault="00F965AA" w:rsidP="00F965AA">
      <w:pPr>
        <w:pStyle w:val="BodyText"/>
      </w:pPr>
      <w:r w:rsidRPr="00F965AA">
        <w:t xml:space="preserve">DOL </w:t>
      </w:r>
      <w:hyperlink r:id="rId227" w:tgtFrame="_blank" w:history="1">
        <w:r w:rsidRPr="00F965AA">
          <w:rPr>
            <w:rStyle w:val="Hyperlink"/>
          </w:rPr>
          <w:t>Unemployment Insurance Program Letter (UIPL) Number 16-21, Change 1</w:t>
        </w:r>
      </w:hyperlink>
      <w:r w:rsidRPr="00F965AA">
        <w:t>,  highlights the importance of identity verification as part of the UI claims process to prevent fraudulent claims and sets forth the required administrative procedures when processing claims and determining UI eligibility.  UIPL 16-21, Change 1, places restrictions on when a state may request identity verification, provides requirements for the identity verification process, and establishes information that must be reported to DOL. </w:t>
      </w:r>
    </w:p>
    <w:p w14:paraId="50973E05" w14:textId="77777777" w:rsidR="00F965AA" w:rsidRPr="00FF7756" w:rsidRDefault="00F965AA" w:rsidP="00783B60">
      <w:pPr>
        <w:pStyle w:val="BodyText3"/>
        <w:ind w:left="720" w:hanging="720"/>
      </w:pPr>
      <w:r w:rsidRPr="00FF7756">
        <w:t>L.</w:t>
      </w:r>
      <w:r w:rsidRPr="00FF7756">
        <w:tab/>
        <w:t>Regulatory programs relate to the licensing, registration, certification, or permitting of a person, business, piece of equipment, or other entity (e.g., a facility). For each regulatory program, if applicable, describe: </w:t>
      </w:r>
    </w:p>
    <w:p w14:paraId="4FCA316D" w14:textId="77777777" w:rsidR="00F965AA" w:rsidRPr="00F965AA" w:rsidRDefault="00F965AA" w:rsidP="00F965AA">
      <w:pPr>
        <w:pStyle w:val="BodyText"/>
      </w:pPr>
      <w:r w:rsidRPr="00F965AA">
        <w:t>N/A </w:t>
      </w:r>
    </w:p>
    <w:p w14:paraId="1AD705CE" w14:textId="77777777" w:rsidR="00F965AA" w:rsidRPr="00FF7756" w:rsidRDefault="00F965AA" w:rsidP="00783B60">
      <w:pPr>
        <w:pStyle w:val="BodyText3"/>
        <w:ind w:left="720" w:hanging="720"/>
      </w:pPr>
      <w:r w:rsidRPr="00FF7756">
        <w:t>M.</w:t>
      </w:r>
      <w:r w:rsidRPr="00FF7756">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309F6DBC" w14:textId="77777777" w:rsidR="00135F85" w:rsidRDefault="00F965AA" w:rsidP="00465419">
      <w:pPr>
        <w:pStyle w:val="BodyText"/>
      </w:pPr>
      <w:r w:rsidRPr="00F965AA">
        <w:lastRenderedPageBreak/>
        <w:t>N/A</w:t>
      </w:r>
    </w:p>
    <w:p w14:paraId="5580BAED" w14:textId="6F41A3B4" w:rsidR="00B83389" w:rsidRDefault="00B83389" w:rsidP="00465419">
      <w:pPr>
        <w:pStyle w:val="BodyText"/>
        <w:rPr>
          <w:b/>
        </w:rPr>
      </w:pPr>
    </w:p>
    <w:p w14:paraId="33129CA3" w14:textId="77777777" w:rsidR="00AD27CD" w:rsidRPr="00AD27CD" w:rsidRDefault="00AD27CD" w:rsidP="00AD27CD">
      <w:pPr>
        <w:pStyle w:val="BodyText"/>
      </w:pPr>
      <w:r w:rsidRPr="00AD27CD">
        <w:rPr>
          <w:b/>
          <w:bCs/>
        </w:rPr>
        <w:t>Benefit Payment Control</w:t>
      </w:r>
      <w:r w:rsidRPr="00AD27CD">
        <w:t> </w:t>
      </w:r>
    </w:p>
    <w:p w14:paraId="368B2432" w14:textId="77777777" w:rsidR="00AD27CD" w:rsidRPr="00B620B5" w:rsidRDefault="00AD27CD" w:rsidP="00B620B5">
      <w:pPr>
        <w:pStyle w:val="BodyText3"/>
      </w:pPr>
      <w:r w:rsidRPr="00B620B5">
        <w:t>A.</w:t>
      </w:r>
      <w:r w:rsidRPr="00B620B5">
        <w:tab/>
        <w:t>Provide the following information at the beginning of each description. </w:t>
      </w:r>
    </w:p>
    <w:p w14:paraId="12F86783" w14:textId="77777777" w:rsidR="00AD27CD" w:rsidRPr="00AD27CD" w:rsidRDefault="00AD27CD" w:rsidP="00C64851">
      <w:pPr>
        <w:pStyle w:val="BodyText"/>
        <w:numPr>
          <w:ilvl w:val="0"/>
          <w:numId w:val="134"/>
        </w:numPr>
        <w:spacing w:before="120" w:after="120"/>
      </w:pPr>
      <w:r w:rsidRPr="00AD27CD">
        <w:rPr>
          <w:i/>
          <w:iCs/>
        </w:rPr>
        <w:t>Name of division or program:</w:t>
      </w:r>
      <w:r w:rsidRPr="00AD27CD">
        <w:t xml:space="preserve"> Benefit Payment Control </w:t>
      </w:r>
    </w:p>
    <w:p w14:paraId="5EA7BBCB" w14:textId="77777777" w:rsidR="00AD27CD" w:rsidRPr="00AD27CD" w:rsidRDefault="00AD27CD" w:rsidP="00C64851">
      <w:pPr>
        <w:pStyle w:val="BodyText"/>
        <w:numPr>
          <w:ilvl w:val="0"/>
          <w:numId w:val="134"/>
        </w:numPr>
        <w:spacing w:before="120" w:after="120"/>
      </w:pPr>
      <w:r w:rsidRPr="00AD27CD">
        <w:rPr>
          <w:i/>
          <w:iCs/>
        </w:rPr>
        <w:t xml:space="preserve">Location within the agency: </w:t>
      </w:r>
      <w:r w:rsidRPr="00AD27CD">
        <w:t>Fraud Deterrence and Compliance Monitoring </w:t>
      </w:r>
    </w:p>
    <w:p w14:paraId="63DC4538" w14:textId="77777777" w:rsidR="00AD27CD" w:rsidRPr="00AD27CD" w:rsidRDefault="00AD27CD" w:rsidP="00C64851">
      <w:pPr>
        <w:pStyle w:val="BodyText"/>
        <w:numPr>
          <w:ilvl w:val="0"/>
          <w:numId w:val="134"/>
        </w:numPr>
        <w:spacing w:before="120" w:after="120"/>
      </w:pPr>
      <w:r w:rsidRPr="00AD27CD">
        <w:rPr>
          <w:i/>
          <w:iCs/>
        </w:rPr>
        <w:t>Contact name:</w:t>
      </w:r>
      <w:r w:rsidRPr="00AD27CD">
        <w:t xml:space="preserve"> Patricia Haeber </w:t>
      </w:r>
    </w:p>
    <w:p w14:paraId="14585375" w14:textId="77777777" w:rsidR="00AD27CD" w:rsidRPr="00AD27CD" w:rsidRDefault="00AD27CD" w:rsidP="00C64851">
      <w:pPr>
        <w:pStyle w:val="BodyText"/>
        <w:numPr>
          <w:ilvl w:val="0"/>
          <w:numId w:val="134"/>
        </w:numPr>
        <w:spacing w:before="120" w:after="120"/>
      </w:pPr>
      <w:r w:rsidRPr="00AD27CD">
        <w:rPr>
          <w:i/>
          <w:iCs/>
        </w:rPr>
        <w:t>Statutory citation:</w:t>
      </w:r>
      <w:r w:rsidRPr="00AD27CD">
        <w:t xml:space="preserve"> Texas Unemployment Compensation Act, Chapter 214 </w:t>
      </w:r>
    </w:p>
    <w:p w14:paraId="1B866861" w14:textId="77777777" w:rsidR="00AD27CD" w:rsidRPr="00B620B5" w:rsidRDefault="00AD27CD" w:rsidP="00783B60">
      <w:pPr>
        <w:pStyle w:val="BodyText3"/>
        <w:ind w:left="720" w:hanging="720"/>
      </w:pPr>
      <w:r w:rsidRPr="00B620B5">
        <w:t>B.</w:t>
      </w:r>
      <w:r w:rsidRPr="00B620B5">
        <w:tab/>
        <w:t>What is the objective of this division or program? Describe its major activities. </w:t>
      </w:r>
    </w:p>
    <w:p w14:paraId="0E5EFF8C" w14:textId="258A1284" w:rsidR="00AD27CD" w:rsidRPr="00AD27CD" w:rsidRDefault="00AD27CD" w:rsidP="00AD27CD">
      <w:pPr>
        <w:pStyle w:val="BodyText"/>
      </w:pPr>
      <w:r w:rsidRPr="00AD27CD">
        <w:t>Benefit Payment Control (BPC) is a UI function required by DOL. The objective of BPC is to promote and maintain integrity of the UI program through prevention, detection, investigation, and establishment of UI overpayments made to claimants. Preventing and detecting improper payments and recovering benefit overpayments, whether fraudulent or not, are among DOL’s highest priorities.  </w:t>
      </w:r>
    </w:p>
    <w:p w14:paraId="6D7E5B13" w14:textId="20B2A98E" w:rsidR="00AD27CD" w:rsidRPr="00AD27CD" w:rsidRDefault="00AD27CD" w:rsidP="00AD27CD">
      <w:pPr>
        <w:pStyle w:val="BodyText"/>
      </w:pPr>
      <w:r w:rsidRPr="00AD27CD">
        <w:t xml:space="preserve">TWC is responsible for safeguarding UI funds and ensuring program integrity. This requires collaboration between multiple divisions, </w:t>
      </w:r>
      <w:r w:rsidR="00AE7CA1">
        <w:t xml:space="preserve">including </w:t>
      </w:r>
      <w:r w:rsidRPr="00AD27CD">
        <w:t>FDCM. FDCM’s Benefit Payment Control department’s major activities for ensuring program integrity include:  </w:t>
      </w:r>
    </w:p>
    <w:p w14:paraId="2378D11B" w14:textId="77777777" w:rsidR="00AD27CD" w:rsidRPr="00AD27CD" w:rsidRDefault="00AD27CD" w:rsidP="00AD27CD">
      <w:pPr>
        <w:pStyle w:val="BodyText"/>
      </w:pPr>
      <w:r w:rsidRPr="00AD27CD">
        <w:rPr>
          <w:b/>
          <w:bCs/>
        </w:rPr>
        <w:t>1. Fraud Detection and Prevention:</w:t>
      </w:r>
      <w:r w:rsidRPr="00AD27CD">
        <w:t>  </w:t>
      </w:r>
    </w:p>
    <w:p w14:paraId="6CFAAD2E" w14:textId="77777777" w:rsidR="00AD27CD" w:rsidRPr="00AD27CD" w:rsidRDefault="00AD27CD" w:rsidP="00C64851">
      <w:pPr>
        <w:pStyle w:val="BodyText"/>
        <w:numPr>
          <w:ilvl w:val="0"/>
          <w:numId w:val="109"/>
        </w:numPr>
      </w:pPr>
      <w:r w:rsidRPr="00AD27CD">
        <w:rPr>
          <w:b/>
          <w:bCs/>
        </w:rPr>
        <w:t>Data Crossmatches:</w:t>
      </w:r>
      <w:r w:rsidRPr="00AD27CD">
        <w:t xml:space="preserve"> BPC utilizes crossmatches with Federal, State, and Local partners to detect when an individual fails to report, or incorrectly reports earnings, along with other eligibility issues.   </w:t>
      </w:r>
    </w:p>
    <w:p w14:paraId="67D2BCA3" w14:textId="77777777" w:rsidR="00AD27CD" w:rsidRPr="00AD27CD" w:rsidRDefault="00AD27CD" w:rsidP="00C64851">
      <w:pPr>
        <w:pStyle w:val="BodyText"/>
        <w:numPr>
          <w:ilvl w:val="0"/>
          <w:numId w:val="110"/>
        </w:numPr>
      </w:pPr>
      <w:r w:rsidRPr="00AD27CD">
        <w:rPr>
          <w:b/>
          <w:bCs/>
        </w:rPr>
        <w:t>Employer Outreach and Education:</w:t>
      </w:r>
      <w:r w:rsidRPr="00AD27CD">
        <w:t xml:space="preserve"> Providing information to employers about UI fraud and how to prevent it, encouraging them to report suspected fraud and participate in verification efforts.  </w:t>
      </w:r>
    </w:p>
    <w:p w14:paraId="1A9BAE08" w14:textId="77777777" w:rsidR="00AD27CD" w:rsidRPr="00AD27CD" w:rsidRDefault="00AD27CD" w:rsidP="00AD27CD">
      <w:pPr>
        <w:pStyle w:val="BodyText"/>
      </w:pPr>
      <w:r w:rsidRPr="00AD27CD">
        <w:rPr>
          <w:b/>
          <w:bCs/>
        </w:rPr>
        <w:t>2. Investigation:</w:t>
      </w:r>
      <w:r w:rsidRPr="00AD27CD">
        <w:t>  </w:t>
      </w:r>
    </w:p>
    <w:p w14:paraId="61702333" w14:textId="77777777" w:rsidR="00AD27CD" w:rsidRPr="00AD27CD" w:rsidRDefault="00AD27CD" w:rsidP="00C64851">
      <w:pPr>
        <w:pStyle w:val="BodyText"/>
        <w:numPr>
          <w:ilvl w:val="0"/>
          <w:numId w:val="111"/>
        </w:numPr>
      </w:pPr>
      <w:r w:rsidRPr="00AD27CD">
        <w:rPr>
          <w:b/>
          <w:bCs/>
        </w:rPr>
        <w:t>Investigating Allegations of Fraud:</w:t>
      </w:r>
      <w:r w:rsidRPr="00AD27CD">
        <w:t xml:space="preserve"> Conducting thorough investigations of suspected UI fraud by gathering evidence, contacting claimants and employers, and evaluating whether the individual committed fraud.  </w:t>
      </w:r>
    </w:p>
    <w:p w14:paraId="26034182" w14:textId="77777777" w:rsidR="00AD27CD" w:rsidRPr="00AD27CD" w:rsidRDefault="00AD27CD" w:rsidP="00C64851">
      <w:pPr>
        <w:pStyle w:val="BodyText"/>
        <w:numPr>
          <w:ilvl w:val="0"/>
          <w:numId w:val="112"/>
        </w:numPr>
      </w:pPr>
      <w:r w:rsidRPr="00AD27CD">
        <w:rPr>
          <w:b/>
          <w:bCs/>
        </w:rPr>
        <w:t>Administrative Penalties and Sanctions:</w:t>
      </w:r>
      <w:r w:rsidRPr="00AD27CD">
        <w:t xml:space="preserve"> Imposing administrative penalties and sanctions on individuals who commit UI fraud, such as disqualifying them from receiving remaining UI benefits in the claim year and establishing which benefit </w:t>
      </w:r>
      <w:r w:rsidRPr="00AD27CD">
        <w:lastRenderedPageBreak/>
        <w:t>weeks are subject to a mandatory 15 percent fraud penalty due to the individual’s fraudulent activity.  </w:t>
      </w:r>
    </w:p>
    <w:p w14:paraId="65F4D3DE" w14:textId="77777777" w:rsidR="00AD27CD" w:rsidRPr="00AD27CD" w:rsidRDefault="00AD27CD" w:rsidP="00AD27CD">
      <w:pPr>
        <w:pStyle w:val="BodyText"/>
      </w:pPr>
      <w:r w:rsidRPr="00AD27CD">
        <w:rPr>
          <w:b/>
          <w:bCs/>
        </w:rPr>
        <w:t>3. Benefit Payment Control:</w:t>
      </w:r>
      <w:r w:rsidRPr="00AD27CD">
        <w:t>  </w:t>
      </w:r>
    </w:p>
    <w:p w14:paraId="7C70DBF6" w14:textId="77777777" w:rsidR="00AD27CD" w:rsidRPr="00AD27CD" w:rsidRDefault="00AD27CD" w:rsidP="00C64851">
      <w:pPr>
        <w:pStyle w:val="BodyText"/>
        <w:numPr>
          <w:ilvl w:val="0"/>
          <w:numId w:val="113"/>
        </w:numPr>
      </w:pPr>
      <w:r w:rsidRPr="00AD27CD">
        <w:rPr>
          <w:b/>
          <w:bCs/>
        </w:rPr>
        <w:t>Audits and Reviews:</w:t>
      </w:r>
      <w:r w:rsidRPr="00AD27CD">
        <w:t xml:space="preserve"> Conducting audits and reviews of UI claims after payments have been issued to identify improper payments and ensure compliance with UI laws and regulations.  </w:t>
      </w:r>
    </w:p>
    <w:p w14:paraId="10B3774A" w14:textId="77777777" w:rsidR="00AD27CD" w:rsidRPr="00AD27CD" w:rsidRDefault="00AD27CD" w:rsidP="00C64851">
      <w:pPr>
        <w:pStyle w:val="BodyText"/>
        <w:numPr>
          <w:ilvl w:val="0"/>
          <w:numId w:val="114"/>
        </w:numPr>
      </w:pPr>
      <w:r w:rsidRPr="00AD27CD">
        <w:rPr>
          <w:b/>
          <w:bCs/>
        </w:rPr>
        <w:t>Overpayment Establishment:</w:t>
      </w:r>
      <w:r w:rsidRPr="00AD27CD">
        <w:t xml:space="preserve"> Establishing overpayments for improperly received UI benefits, identifying the benefit weeks subject to the 15 percent penalty, determining the amount owed, and notifying claimants of their repayment obligations.  </w:t>
      </w:r>
    </w:p>
    <w:p w14:paraId="4FF3FC5E" w14:textId="77777777" w:rsidR="00AD27CD" w:rsidRPr="00AD27CD" w:rsidRDefault="00AD27CD" w:rsidP="00C64851">
      <w:pPr>
        <w:pStyle w:val="BodyText"/>
        <w:numPr>
          <w:ilvl w:val="0"/>
          <w:numId w:val="115"/>
        </w:numPr>
      </w:pPr>
      <w:r w:rsidRPr="00AD27CD">
        <w:rPr>
          <w:b/>
          <w:bCs/>
        </w:rPr>
        <w:t>Fraud Reporting:</w:t>
      </w:r>
      <w:r w:rsidRPr="00AD27CD">
        <w:t xml:space="preserve"> Establishing methods for reporting suspected fraud.  </w:t>
      </w:r>
    </w:p>
    <w:p w14:paraId="5E257B9C" w14:textId="77777777" w:rsidR="00AD27CD" w:rsidRPr="00AD27CD" w:rsidRDefault="00AD27CD" w:rsidP="00AD27CD">
      <w:pPr>
        <w:pStyle w:val="BodyText"/>
      </w:pPr>
      <w:r w:rsidRPr="00AD27CD">
        <w:rPr>
          <w:b/>
          <w:bCs/>
        </w:rPr>
        <w:t>4. Compliance Monitoring:</w:t>
      </w:r>
      <w:r w:rsidRPr="00AD27CD">
        <w:t>  </w:t>
      </w:r>
    </w:p>
    <w:p w14:paraId="5F040B3A" w14:textId="77777777" w:rsidR="00AD27CD" w:rsidRPr="00AD27CD" w:rsidRDefault="00AD27CD" w:rsidP="00C64851">
      <w:pPr>
        <w:pStyle w:val="BodyText"/>
        <w:numPr>
          <w:ilvl w:val="0"/>
          <w:numId w:val="116"/>
        </w:numPr>
      </w:pPr>
      <w:r w:rsidRPr="00AD27CD">
        <w:rPr>
          <w:b/>
          <w:bCs/>
        </w:rPr>
        <w:t>Process Improvement:</w:t>
      </w:r>
      <w:r w:rsidRPr="00AD27CD">
        <w:t xml:space="preserve"> Continuously reviewing and improving the department's processes and procedures to enhance efficiency, effectiveness, and customer service.  </w:t>
      </w:r>
    </w:p>
    <w:p w14:paraId="392F9E11" w14:textId="77777777" w:rsidR="00AD27CD" w:rsidRPr="00AD27CD" w:rsidRDefault="00AD27CD" w:rsidP="00C64851">
      <w:pPr>
        <w:pStyle w:val="BodyText"/>
        <w:numPr>
          <w:ilvl w:val="0"/>
          <w:numId w:val="117"/>
        </w:numPr>
      </w:pPr>
      <w:r w:rsidRPr="00AD27CD">
        <w:rPr>
          <w:b/>
          <w:bCs/>
        </w:rPr>
        <w:t>Staff Training:</w:t>
      </w:r>
      <w:r w:rsidRPr="00AD27CD">
        <w:t xml:space="preserve"> Providing ongoing training to staff on investigation procedures, best practices, and how to improve performance.  </w:t>
      </w:r>
    </w:p>
    <w:p w14:paraId="72CFBE86" w14:textId="011F726C" w:rsidR="00AD27CD" w:rsidRPr="00AD27CD" w:rsidRDefault="00AD27CD" w:rsidP="00AD27CD">
      <w:pPr>
        <w:pStyle w:val="BodyText"/>
      </w:pPr>
      <w:r w:rsidRPr="00AD27CD">
        <w:t xml:space="preserve">These activities are </w:t>
      </w:r>
      <w:r w:rsidR="00784181">
        <w:t>vital</w:t>
      </w:r>
      <w:r w:rsidR="00784181" w:rsidRPr="00AD27CD">
        <w:t xml:space="preserve"> </w:t>
      </w:r>
      <w:r w:rsidRPr="00AD27CD">
        <w:t>to maintaining the integrity of the Texas UI program and ensuring that benefits are paid to eligible individuals who are unemployed through no fault of their own. By preventing fraud and holding individuals who commit fraud accountable, FDCM’s Benefit Payment Control department helps to protect the UI trust fund and ensure that resources are available to support workers who need them most.  </w:t>
      </w:r>
    </w:p>
    <w:p w14:paraId="26CD1E68" w14:textId="77777777" w:rsidR="00AD27CD" w:rsidRPr="00B620B5" w:rsidRDefault="00AD27CD" w:rsidP="006B588C">
      <w:pPr>
        <w:pStyle w:val="BodyText3"/>
        <w:ind w:left="720" w:hanging="720"/>
      </w:pPr>
      <w:r w:rsidRPr="00B620B5">
        <w:t>C.</w:t>
      </w:r>
      <w:r w:rsidRPr="00B620B5">
        <w:tab/>
        <w:t xml:space="preserve">What information does the agency collect/use to assess the effectiveness and efficiency of this division or program? If applicable, briefly note any LBB performance measures (from Section II, </w:t>
      </w:r>
      <w:proofErr w:type="gramStart"/>
      <w:r w:rsidRPr="00B620B5">
        <w:t>Exhibit</w:t>
      </w:r>
      <w:proofErr w:type="gramEnd"/>
      <w:r w:rsidRPr="00B620B5">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26143BD9" w14:textId="77777777" w:rsidR="00AD27CD" w:rsidRPr="00AD27CD" w:rsidRDefault="00AD27CD" w:rsidP="00AD27CD">
      <w:pPr>
        <w:pStyle w:val="BodyText"/>
      </w:pPr>
      <w:r w:rsidRPr="00AD27CD">
        <w:t>Potential fraud is detected in a variety of ways, but the most effective is the automated crossmatches that TWC employs. TWC utilizes crossmatches with Federal, State, and Local partners to detect when an individual fails to report, or incorrectly reports earnings, along with other eligibility issues. The following are crossmatches that BPC staff are directly involved with:   </w:t>
      </w:r>
    </w:p>
    <w:p w14:paraId="0D04DF54" w14:textId="66B620A6" w:rsidR="00AD27CD" w:rsidRPr="00AD27CD" w:rsidRDefault="00AD27CD" w:rsidP="00C64851">
      <w:pPr>
        <w:pStyle w:val="BodyText"/>
        <w:numPr>
          <w:ilvl w:val="0"/>
          <w:numId w:val="796"/>
        </w:numPr>
      </w:pPr>
      <w:r w:rsidRPr="00AD27CD">
        <w:rPr>
          <w:b/>
          <w:bCs/>
        </w:rPr>
        <w:lastRenderedPageBreak/>
        <w:t xml:space="preserve">National Directory of New Hires and State Directory of New Hires </w:t>
      </w:r>
      <w:r w:rsidRPr="00AD27CD">
        <w:t>– Federal and state laws require employers to report the date a person is hired to the Texas Attorney General. This weekly crossmatch uses the date a person returned to work and compares it to claimants filing for benefits. If a claimant requests unemployment benefits after the date an employer reported that person as being hired, BPC contacts the parties and will investigate. The investigation may result in a correction of earnings due to a claimant’s error or a determination of fraud if the claimant committed fraud.  BPC investigated 23,396 New Hire cases</w:t>
      </w:r>
      <w:r w:rsidR="00097201">
        <w:t xml:space="preserve"> in FY 2024</w:t>
      </w:r>
      <w:r w:rsidRPr="00AD27CD">
        <w:t>.  </w:t>
      </w:r>
    </w:p>
    <w:p w14:paraId="0EF85A08" w14:textId="30562791" w:rsidR="00AD27CD" w:rsidRPr="00AD27CD" w:rsidRDefault="00AD27CD" w:rsidP="00C64851">
      <w:pPr>
        <w:pStyle w:val="BodyText"/>
        <w:numPr>
          <w:ilvl w:val="0"/>
          <w:numId w:val="118"/>
        </w:numPr>
      </w:pPr>
      <w:r w:rsidRPr="00AD27CD">
        <w:rPr>
          <w:b/>
          <w:bCs/>
        </w:rPr>
        <w:t>Employer Quarterly Tax Records</w:t>
      </w:r>
      <w:r w:rsidRPr="00AD27CD">
        <w:t xml:space="preserve"> – TWC’s Unemployment Tax program collects wage information and unemployment taxes from Texas employers on a quarterly basis. The BPC department compares the quarterly tax wage records to the wages reported by claimants who filed for benefits during the same period. BPC investigates discrepancies between what the employer and claimant reported. This may result in a correction of earnings or a fraud determination.  </w:t>
      </w:r>
      <w:r w:rsidR="007A56C4">
        <w:t xml:space="preserve"> BPC investigated 19,444 Tax Wage Record cases</w:t>
      </w:r>
      <w:r w:rsidR="00097201">
        <w:t xml:space="preserve"> in FY 2024</w:t>
      </w:r>
      <w:r w:rsidR="007A56C4">
        <w:t>.</w:t>
      </w:r>
    </w:p>
    <w:p w14:paraId="42FE7F47" w14:textId="25C4277D" w:rsidR="00AD27CD" w:rsidRPr="00AD27CD" w:rsidRDefault="00AD27CD" w:rsidP="00C64851">
      <w:pPr>
        <w:pStyle w:val="BodyText"/>
        <w:numPr>
          <w:ilvl w:val="0"/>
          <w:numId w:val="119"/>
        </w:numPr>
      </w:pPr>
      <w:r w:rsidRPr="00AD27CD">
        <w:rPr>
          <w:b/>
          <w:bCs/>
        </w:rPr>
        <w:t>Interstate Benefits Crossmatch</w:t>
      </w:r>
      <w:r w:rsidRPr="00AD27CD">
        <w:t xml:space="preserve"> – Like the Employer Quarterly Tax Records crossmatch, this biweekly crossmatch compares quarterly tax records to claimants filing for benefits. However, this crossmatch focuses on claimants who have a Texas claim but are residing in another state. The Interstate Benefits (IB) system looks for reported wages in the claimant’s state of residence, and border states, that were earned during the same period the claimant filed for benefits in Texas. BPC investigates discrepancies, which may result in a correction of earnings or a fraud determination. </w:t>
      </w:r>
      <w:r w:rsidR="007A56C4">
        <w:t>BPC processed 93 IB crossmatch cases</w:t>
      </w:r>
      <w:r w:rsidR="00097201">
        <w:t xml:space="preserve"> in CY 2024</w:t>
      </w:r>
      <w:r w:rsidR="003D6615">
        <w:t>.</w:t>
      </w:r>
    </w:p>
    <w:p w14:paraId="3017BE46" w14:textId="51B3FB87" w:rsidR="00AD27CD" w:rsidRPr="00AD27CD" w:rsidRDefault="00AD27CD" w:rsidP="00C64851">
      <w:pPr>
        <w:pStyle w:val="BodyText"/>
        <w:numPr>
          <w:ilvl w:val="0"/>
          <w:numId w:val="120"/>
        </w:numPr>
      </w:pPr>
      <w:r w:rsidRPr="00AD27CD">
        <w:rPr>
          <w:b/>
          <w:bCs/>
        </w:rPr>
        <w:t>Incarceration Crossmatch</w:t>
      </w:r>
      <w:r w:rsidRPr="00AD27CD">
        <w:t xml:space="preserve"> – – BPC uses information from Texas Department of Criminal Justice (TDCJ) for state incarcerations and from Appriss for county incarcerations to conduct a weekly crossmatch against claimants who are filing for benefits. The goal of this comparison is to identify individuals who are filing for unemployment benefits while they are incarcerated. When a match is found, BPC investigates the claim. This investigation may result in the claimant being found ineligible during the time of incarceration or a fraud determination. </w:t>
      </w:r>
      <w:r w:rsidR="003D6615">
        <w:t>In FY 2024, BPC investigated 1,903 incarceration cases, which resulted in 633 fraud votes and 1,270 non-fraud votes. BPC imposed $2,831,442 in total overpayments.</w:t>
      </w:r>
    </w:p>
    <w:p w14:paraId="70B187EC" w14:textId="2FBFAD71" w:rsidR="00AD27CD" w:rsidRPr="00AD27CD" w:rsidRDefault="00AD27CD" w:rsidP="00C64851">
      <w:pPr>
        <w:pStyle w:val="BodyText"/>
        <w:numPr>
          <w:ilvl w:val="0"/>
          <w:numId w:val="121"/>
        </w:numPr>
      </w:pPr>
      <w:r w:rsidRPr="00AD27CD">
        <w:rPr>
          <w:b/>
          <w:bCs/>
        </w:rPr>
        <w:t>Death Crossmatch</w:t>
      </w:r>
      <w:r w:rsidRPr="00AD27CD">
        <w:t xml:space="preserve"> –– BPC uses the date of death records from the Texas Department of State Health Services (DSHS) to conduct a weekly crossmatch against claimants who are filing for benefits. BPC immediately suspends payment on claims and reviews the date of death to ensure there has been no activity on the claim after the claimant died.  The investigation normally results in a permanent hold (deactivation) on any further claim activity. </w:t>
      </w:r>
      <w:r w:rsidR="007864EB">
        <w:t>These cases are not tracked separately.</w:t>
      </w:r>
    </w:p>
    <w:p w14:paraId="6E9BB123" w14:textId="655880BF" w:rsidR="00AD27CD" w:rsidRPr="00AD27CD" w:rsidRDefault="00AD27CD" w:rsidP="00AD27CD">
      <w:pPr>
        <w:pStyle w:val="BodyText"/>
      </w:pPr>
      <w:r w:rsidRPr="00AD27CD">
        <w:t xml:space="preserve">In addition to crossmatches, BPC investigates potential fraud that comes from internal or external tips and leads. Internal detection occurs when TWC staff who work with UI claims discover potentially fraudulent or improper activity or payments on a claim and refer the </w:t>
      </w:r>
      <w:r w:rsidRPr="00AD27CD">
        <w:lastRenderedPageBreak/>
        <w:t>issue for investigation. External detection comes from tips submitted to our Fraud Hotline and online Fraud Reporting Portal, or other external sources. </w:t>
      </w:r>
      <w:r w:rsidR="001D5B73">
        <w:t>BPC handled 18,333 inboun</w:t>
      </w:r>
      <w:r w:rsidR="00A50EB1">
        <w:t>d</w:t>
      </w:r>
      <w:r w:rsidR="001D5B73">
        <w:t xml:space="preserve"> calls from claimants in FY 2024.</w:t>
      </w:r>
      <w:r w:rsidRPr="00AD27CD">
        <w:t>   </w:t>
      </w:r>
    </w:p>
    <w:p w14:paraId="7BD34C03" w14:textId="62AA1E12" w:rsidR="00AD27CD" w:rsidRPr="00AD27CD" w:rsidRDefault="00AD27CD" w:rsidP="00AD27CD">
      <w:pPr>
        <w:pStyle w:val="BodyText"/>
      </w:pPr>
      <w:r w:rsidRPr="00AD27CD">
        <w:t xml:space="preserve">In 2013-2014, the UI Division and the Regulatory Integrity Division (RID), now called the Division of Fraud Deterrence Compliance and Monitoring, collaborated to create and operationalize a standardized process known as the Fraud Criteria Mandate. The Mandate is TWC’s process for how to determine fraud, as described in the bullets below.  A Fraud Detection matrix was developed that applies consistent standards to the circumstances of the case to ensure UI Benefits fraud determinations meet quality standards, that fraud is consistently applied, and cases are completed in a timely manner. The Matrix is a tool that helps staff with recommendations for whether to pursue fraud or not. The purpose was to standardize </w:t>
      </w:r>
      <w:r w:rsidR="00215562">
        <w:t>TWC</w:t>
      </w:r>
      <w:r w:rsidRPr="00AD27CD">
        <w:t xml:space="preserve">’s understanding and administration of the law. As a result, </w:t>
      </w:r>
      <w:r w:rsidR="00C2788A">
        <w:t>TWC</w:t>
      </w:r>
      <w:r w:rsidRPr="00AD27CD">
        <w:t>: </w:t>
      </w:r>
    </w:p>
    <w:p w14:paraId="74181369" w14:textId="77777777" w:rsidR="00AD27CD" w:rsidRPr="00AD27CD" w:rsidRDefault="00AD27CD" w:rsidP="00C64851">
      <w:pPr>
        <w:pStyle w:val="BodyText"/>
        <w:numPr>
          <w:ilvl w:val="0"/>
          <w:numId w:val="122"/>
        </w:numPr>
      </w:pPr>
      <w:r w:rsidRPr="00AD27CD">
        <w:t>More closely aligned procedures with the definition of Fraud in the Texas Unemployment Compensation Act (TUCA).    </w:t>
      </w:r>
    </w:p>
    <w:p w14:paraId="5AAD9AF4" w14:textId="77777777" w:rsidR="00AD27CD" w:rsidRPr="00AD27CD" w:rsidRDefault="00AD27CD" w:rsidP="00C64851">
      <w:pPr>
        <w:pStyle w:val="BodyText"/>
        <w:numPr>
          <w:ilvl w:val="0"/>
          <w:numId w:val="123"/>
        </w:numPr>
      </w:pPr>
      <w:r w:rsidRPr="00AD27CD">
        <w:t>Created a Fraud Detection Matrix review which provides a guideline for staff to determine if the investigation meets all the legal elements required to issue a fraud ruling as well as providing a scale to identify the egregiousness of the fraud.    </w:t>
      </w:r>
    </w:p>
    <w:p w14:paraId="511E6D90" w14:textId="77777777" w:rsidR="00AD27CD" w:rsidRPr="00AD27CD" w:rsidRDefault="00AD27CD" w:rsidP="00C64851">
      <w:pPr>
        <w:pStyle w:val="BodyText"/>
        <w:numPr>
          <w:ilvl w:val="0"/>
          <w:numId w:val="124"/>
        </w:numPr>
      </w:pPr>
      <w:r w:rsidRPr="00AD27CD">
        <w:t>The matrix looks at the number of weeks overpaid, or the amount overpaid, any prior fraud or earning corrections, and whether the claimant admits a willful misrepresentation.   </w:t>
      </w:r>
    </w:p>
    <w:p w14:paraId="175E0EDF" w14:textId="77777777" w:rsidR="00AD27CD" w:rsidRPr="00AD27CD" w:rsidRDefault="00AD27CD" w:rsidP="00C64851">
      <w:pPr>
        <w:pStyle w:val="BodyText"/>
        <w:numPr>
          <w:ilvl w:val="0"/>
          <w:numId w:val="125"/>
        </w:numPr>
      </w:pPr>
      <w:r w:rsidRPr="00AD27CD">
        <w:t>Updated fact-finding questionnaires to align with the Fraud Criteria Mandate.  </w:t>
      </w:r>
    </w:p>
    <w:p w14:paraId="0E6D4786" w14:textId="77777777" w:rsidR="00AD27CD" w:rsidRPr="00AD27CD" w:rsidRDefault="00AD27CD" w:rsidP="00C64851">
      <w:pPr>
        <w:pStyle w:val="BodyText"/>
        <w:numPr>
          <w:ilvl w:val="0"/>
          <w:numId w:val="126"/>
        </w:numPr>
      </w:pPr>
      <w:r w:rsidRPr="00AD27CD">
        <w:t>Eliminated the three-vote system for all fraud decisions. TWC now uses a two-vote system.   </w:t>
      </w:r>
    </w:p>
    <w:p w14:paraId="115D903D" w14:textId="77777777" w:rsidR="00AD27CD" w:rsidRPr="00AD27CD" w:rsidRDefault="00AD27CD" w:rsidP="00C64851">
      <w:pPr>
        <w:pStyle w:val="BodyText"/>
        <w:numPr>
          <w:ilvl w:val="0"/>
          <w:numId w:val="127"/>
        </w:numPr>
      </w:pPr>
      <w:r w:rsidRPr="00AD27CD">
        <w:t>Implemented a 15 percent penalty applied to all fraud overpayments.   </w:t>
      </w:r>
    </w:p>
    <w:p w14:paraId="4D731C3F" w14:textId="77777777" w:rsidR="00AD27CD" w:rsidRPr="00AD27CD" w:rsidRDefault="00AD27CD" w:rsidP="00AD27CD">
      <w:pPr>
        <w:pStyle w:val="BodyText"/>
      </w:pPr>
      <w:r w:rsidRPr="00AD27CD">
        <w:t>TWC adopted the campaign “Everyone Owns Integrity” and provided agency employees and workforce partners a unified message promoting the concept that everyone can take steps to reduce the risk of fraud. TWC also informs employers about the benefits of reporting new hires and responding to requests for information to help in reducing the number of fraudulent claims. </w:t>
      </w:r>
    </w:p>
    <w:p w14:paraId="540F7D8B" w14:textId="77777777" w:rsidR="00AD27CD" w:rsidRPr="00AD27CD" w:rsidRDefault="00AD27CD" w:rsidP="00AD27CD">
      <w:pPr>
        <w:pStyle w:val="BodyText"/>
      </w:pPr>
      <w:r w:rsidRPr="00AD27CD">
        <w:t>In 2016, the BPC department began using a custom case management system. This multi-level application allows BPC to efficiently manage all open and closed investigations. The system also provides the ability to run performance reports, store case documents, track quality evaluations shared with staff, store training materials (FAQ), tracks absenteeism, and generate supervisor reports to address performance issues. </w:t>
      </w:r>
    </w:p>
    <w:p w14:paraId="71502379" w14:textId="77777777" w:rsidR="00AD27CD" w:rsidRPr="00AD27CD" w:rsidRDefault="00AD27CD" w:rsidP="00AD27CD">
      <w:pPr>
        <w:pStyle w:val="BodyText"/>
      </w:pPr>
      <w:r w:rsidRPr="00AD27CD">
        <w:t xml:space="preserve">In 2020, because of the increase in claims due to the pandemic, BPC streamlined its fraud hotline process to efficiently handle the complaints in a timelier manner. Prior to the </w:t>
      </w:r>
      <w:r w:rsidRPr="00AD27CD">
        <w:lastRenderedPageBreak/>
        <w:t>pandemic, information received through the hotline was reviewed by several staff, including management approval, to analyze the complaint and determine next steps. The new process included providing training to staff and giving them the tools to review and process the fraud hotline complaints on their own in a timely manner. Staff were able to reduce the turnaround time for handling complaints by approximately 70 percent. </w:t>
      </w:r>
    </w:p>
    <w:p w14:paraId="2A6DBAF7" w14:textId="77777777" w:rsidR="00AD27CD" w:rsidRPr="00AD27CD" w:rsidRDefault="00AD27CD" w:rsidP="00AD27CD">
      <w:pPr>
        <w:pStyle w:val="BodyText"/>
      </w:pPr>
      <w:r w:rsidRPr="00AD27CD">
        <w:t>In 2024, BPC streamlined the department’s investigation process through a Rapid Process Improvement project. The project’s outcome enables staff to focus on more recent fraud cases. This allows BPC to direct efforts toward cases where the involved parties are likely to have accurate information and documentation regarding earnings. Management assigned investigation staff to focus on the most egregious cases as a priority. </w:t>
      </w:r>
    </w:p>
    <w:p w14:paraId="4EAA5FAF" w14:textId="77777777" w:rsidR="00AD27CD" w:rsidRPr="00AD27CD" w:rsidRDefault="00AD27CD" w:rsidP="00AD27CD">
      <w:pPr>
        <w:pStyle w:val="BodyText"/>
      </w:pPr>
      <w:r w:rsidRPr="00AD27CD">
        <w:t>Additionally, to increase BPC’s effectiveness and efficiency, BPC collaborates with staff in the I|3 division. This division analyzes data and provides a list of Social Security Numbers with the most egregious potential fraudulent claims. BPC prioritizes the claims by assigning staff to investigate these cases and issue fraud determinations. </w:t>
      </w:r>
    </w:p>
    <w:p w14:paraId="7925A120" w14:textId="77777777" w:rsidR="00AD27CD" w:rsidRPr="00AD27CD" w:rsidRDefault="00AD27CD" w:rsidP="00AD27CD">
      <w:pPr>
        <w:pStyle w:val="BodyText"/>
      </w:pPr>
      <w:r w:rsidRPr="00AD27CD">
        <w:t>In 2024, FDCM hired a dedicated trainer and a quality assurance specialist to increase quality and drive performance.  This includes: </w:t>
      </w:r>
    </w:p>
    <w:p w14:paraId="33A33FB0" w14:textId="77777777" w:rsidR="00AD27CD" w:rsidRPr="00AD27CD" w:rsidRDefault="00AD27CD" w:rsidP="00C64851">
      <w:pPr>
        <w:pStyle w:val="BodyText"/>
        <w:numPr>
          <w:ilvl w:val="0"/>
          <w:numId w:val="128"/>
        </w:numPr>
      </w:pPr>
      <w:r w:rsidRPr="00AD27CD">
        <w:t>Both the trainer and quality specialist participated in the Rapid Process Improvement process. The quality specialist was able to use knowledge gained from reviewing calls and cases when discussing and implementing ideas for improving processes. The trainer took the process decisions made during the RPI project and created training materials for staff and provided instructor-led training on the new procedures. </w:t>
      </w:r>
    </w:p>
    <w:p w14:paraId="18CF0E8B" w14:textId="77777777" w:rsidR="00AD27CD" w:rsidRPr="00AD27CD" w:rsidRDefault="00AD27CD" w:rsidP="00C64851">
      <w:pPr>
        <w:pStyle w:val="BodyText"/>
        <w:numPr>
          <w:ilvl w:val="0"/>
          <w:numId w:val="129"/>
        </w:numPr>
      </w:pPr>
      <w:r w:rsidRPr="00AD27CD">
        <w:t>When the quality assurance specialist detects a potential training need, either for an individual or a group, they can coordinate with the training specialist to provide training or develop materials to assist BPC staff who perform the fraud investigation work. </w:t>
      </w:r>
    </w:p>
    <w:p w14:paraId="5A6DA889" w14:textId="77777777" w:rsidR="00AD27CD" w:rsidRPr="00AD27CD" w:rsidRDefault="00AD27CD" w:rsidP="00C64851">
      <w:pPr>
        <w:pStyle w:val="BodyText"/>
        <w:numPr>
          <w:ilvl w:val="0"/>
          <w:numId w:val="130"/>
        </w:numPr>
      </w:pPr>
      <w:r w:rsidRPr="00AD27CD">
        <w:t>BPC management has direct communication with the quality assurance and training specialist so immediate action can be taken when necessary. </w:t>
      </w:r>
    </w:p>
    <w:p w14:paraId="3BE778E5" w14:textId="77777777" w:rsidR="00AD27CD" w:rsidRPr="00AA790A" w:rsidRDefault="00AD27CD" w:rsidP="007A4B6F">
      <w:pPr>
        <w:pStyle w:val="BodyText3"/>
        <w:ind w:left="720" w:hanging="720"/>
      </w:pPr>
      <w:r w:rsidRPr="00AA790A">
        <w:t>D.</w:t>
      </w:r>
      <w:r w:rsidRPr="00AA790A">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3A15BCF6" w14:textId="77777777" w:rsidR="00AD27CD" w:rsidRPr="00AD27CD" w:rsidRDefault="00AD27CD" w:rsidP="00AD27CD">
      <w:pPr>
        <w:pStyle w:val="BodyText"/>
      </w:pPr>
      <w:r w:rsidRPr="00AD27CD">
        <w:t xml:space="preserve">In 2021, the Regulatory Integrity Division reorganized and is renamed the Fraud Deterrence and Compliance Monitoring Division. The reorganization reinforced the division’s primary goal to deter fraud before it happens so improper payments are not made. The new FDCM Division encompasses a broader range of activities, including enhanced data analytics, proactive investigations, and closer collaboration with other </w:t>
      </w:r>
      <w:r w:rsidRPr="00AD27CD">
        <w:lastRenderedPageBreak/>
        <w:t>divisions within TWC, and other agencies, to combat unemployment insurance fraud more effectively.  </w:t>
      </w:r>
    </w:p>
    <w:p w14:paraId="6EFF060D" w14:textId="439CC029" w:rsidR="00AD27CD" w:rsidRPr="00AD27CD" w:rsidRDefault="00AD27CD" w:rsidP="00AD27CD">
      <w:pPr>
        <w:pStyle w:val="BodyText"/>
      </w:pPr>
      <w:r w:rsidRPr="00AD27CD">
        <w:t>As an agency, TWC continues to leverage a multi-disciplinary team of experts that analyze and develop actionable recommendations for enhancing existing efforts towards preventing, detecting, and recovering funds from fraud, promoting access</w:t>
      </w:r>
      <w:r w:rsidR="001F5698">
        <w:t xml:space="preserve"> for all</w:t>
      </w:r>
      <w:r w:rsidRPr="00AD27CD">
        <w:t>, ensuring timely benefit payments, and reducing workload backlogs.  </w:t>
      </w:r>
    </w:p>
    <w:p w14:paraId="48981503" w14:textId="77777777" w:rsidR="00AD27CD" w:rsidRPr="00AA790A" w:rsidRDefault="00AD27CD" w:rsidP="007A4B6F">
      <w:pPr>
        <w:pStyle w:val="BodyText3"/>
        <w:ind w:left="720" w:hanging="720"/>
      </w:pPr>
      <w:r w:rsidRPr="00AA790A">
        <w:t>E.</w:t>
      </w:r>
      <w:r w:rsidRPr="00AA790A">
        <w:tab/>
        <w:t>List any qualifications or eligibility requirements for persons or entities affected by this division or program (e.g., licensees, consumers, and landowners). Provide a statistical breakdown of persons or entities affected. </w:t>
      </w:r>
    </w:p>
    <w:p w14:paraId="0D6AEA56" w14:textId="54E34975" w:rsidR="00AD27CD" w:rsidRPr="00AD27CD" w:rsidRDefault="00AD27CD" w:rsidP="00AD27CD">
      <w:pPr>
        <w:pStyle w:val="BodyText"/>
      </w:pPr>
      <w:r w:rsidRPr="00AD27CD">
        <w:t xml:space="preserve">The BPC program primarily affects claimants who received unemployment benefits for </w:t>
      </w:r>
      <w:r w:rsidR="004871B8">
        <w:t xml:space="preserve">the </w:t>
      </w:r>
      <w:r w:rsidRPr="00AD27CD">
        <w:t>weeks when they were not eligible. Claimants can remain eligible to receive unemployment benefits as long as there are funds to draw from and they meet eligibility requirements such as:  </w:t>
      </w:r>
    </w:p>
    <w:p w14:paraId="59AC9B57" w14:textId="7E0749A9" w:rsidR="00AD27CD" w:rsidRPr="00AD27CD" w:rsidRDefault="0017665D" w:rsidP="00C64851">
      <w:pPr>
        <w:pStyle w:val="BodyText"/>
        <w:numPr>
          <w:ilvl w:val="0"/>
          <w:numId w:val="131"/>
        </w:numPr>
      </w:pPr>
      <w:r>
        <w:t>B</w:t>
      </w:r>
      <w:r w:rsidR="00AD27CD" w:rsidRPr="00AD27CD">
        <w:t>eing registered for work  </w:t>
      </w:r>
    </w:p>
    <w:p w14:paraId="4DD037FD" w14:textId="726CC96F" w:rsidR="00AD27CD" w:rsidRPr="00AD27CD" w:rsidRDefault="0017665D" w:rsidP="00C64851">
      <w:pPr>
        <w:pStyle w:val="BodyText"/>
        <w:numPr>
          <w:ilvl w:val="0"/>
          <w:numId w:val="132"/>
        </w:numPr>
      </w:pPr>
      <w:r>
        <w:t>B</w:t>
      </w:r>
      <w:r w:rsidR="00AD27CD" w:rsidRPr="00AD27CD">
        <w:t>eing able and available for work </w:t>
      </w:r>
    </w:p>
    <w:p w14:paraId="4800C784" w14:textId="75366C09" w:rsidR="00AD27CD" w:rsidRPr="00AD27CD" w:rsidRDefault="0017665D" w:rsidP="00C64851">
      <w:pPr>
        <w:pStyle w:val="BodyText"/>
        <w:numPr>
          <w:ilvl w:val="0"/>
          <w:numId w:val="133"/>
        </w:numPr>
      </w:pPr>
      <w:r>
        <w:t>M</w:t>
      </w:r>
      <w:r w:rsidR="00AD27CD" w:rsidRPr="00AD27CD">
        <w:t>aking an active search for work  </w:t>
      </w:r>
    </w:p>
    <w:p w14:paraId="60F2EE4A" w14:textId="77777777" w:rsidR="00AD27CD" w:rsidRPr="00AD27CD" w:rsidRDefault="00AD27CD" w:rsidP="00AD27CD">
      <w:pPr>
        <w:pStyle w:val="BodyText"/>
      </w:pPr>
      <w:r w:rsidRPr="00AD27CD">
        <w:t xml:space="preserve">An incarcerated individual is not considered available for work because they are not </w:t>
      </w:r>
      <w:proofErr w:type="gramStart"/>
      <w:r w:rsidRPr="00AD27CD">
        <w:t>in a position</w:t>
      </w:r>
      <w:proofErr w:type="gramEnd"/>
      <w:r w:rsidRPr="00AD27CD">
        <w:t xml:space="preserve"> to start a full-time job while in prison.  A claimant can receive partial UI benefits when working part time but becomes ineligible when they begin working full time or if their earnings during a benefit week exceed 125 percent of their weekly benefit amount. In FY 2024, BPC investigations completed 42,840 cases and established $38,660,123 in overpaid UI benefits. It is estimated that 50 percent of these overpayments were due to claimants who failed to correctly report employment, both intentional fraud and unintentional errors. </w:t>
      </w:r>
    </w:p>
    <w:p w14:paraId="62AC76D4" w14:textId="77777777" w:rsidR="00AD27CD" w:rsidRPr="00AA790A" w:rsidRDefault="00AD27CD" w:rsidP="007A4B6F">
      <w:pPr>
        <w:pStyle w:val="BodyText3"/>
        <w:ind w:left="720" w:hanging="720"/>
      </w:pPr>
      <w:r w:rsidRPr="00AA790A">
        <w:t>F.</w:t>
      </w:r>
      <w:r w:rsidRPr="00AA790A">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D579D14" w14:textId="68AD1FA3" w:rsidR="00AD27CD" w:rsidRPr="00AD27CD" w:rsidRDefault="00AD27CD" w:rsidP="00AD27CD">
      <w:pPr>
        <w:pStyle w:val="BodyText"/>
      </w:pPr>
      <w:r w:rsidRPr="00AD27CD">
        <w:t xml:space="preserve">The BPC program emanates from provisions of the Social Security Act and Internal Revenue Code through the US Secretary of Labor and is administered in the State of Texas by TWC. The Employment and Training Handbook 301, issued by </w:t>
      </w:r>
      <w:r w:rsidR="00EE3A0C">
        <w:t>USDOL</w:t>
      </w:r>
      <w:r w:rsidRPr="00AD27CD">
        <w:t>, provides standards and guidance for conducting investigations.  As described in Section C of the handbook, BPC uses a series of crossmatches and tips to assist in identifying possible cases of UI eligibility fraud, investigating those claims, and then issuing an earnings or fraud determination depending on the results of the case. </w:t>
      </w:r>
    </w:p>
    <w:p w14:paraId="7D06847E" w14:textId="77777777" w:rsidR="00083923" w:rsidRPr="00AD27CD" w:rsidRDefault="00083923" w:rsidP="00083923">
      <w:pPr>
        <w:pStyle w:val="BodyText"/>
      </w:pPr>
      <w:r w:rsidRPr="00AD27CD">
        <w:lastRenderedPageBreak/>
        <w:t>U</w:t>
      </w:r>
      <w:r>
        <w:t>I</w:t>
      </w:r>
      <w:r w:rsidRPr="00AD27CD">
        <w:t xml:space="preserve"> benefit fraud generally falls into two categories.  </w:t>
      </w:r>
      <w:r>
        <w:t xml:space="preserve">The first </w:t>
      </w:r>
      <w:r w:rsidRPr="00AD27CD">
        <w:t xml:space="preserve">category </w:t>
      </w:r>
      <w:proofErr w:type="gramStart"/>
      <w:r w:rsidRPr="00AD27CD">
        <w:t>concerns</w:t>
      </w:r>
      <w:proofErr w:type="gramEnd"/>
      <w:r w:rsidRPr="00AD27CD">
        <w:t xml:space="preserve"> identity related fraud, in which a claim is filed by a bad actor using someone else’s identity without that person’s knowledge or consent.  Identity related benefit fraud is investigated by the Office of Investigations. </w:t>
      </w:r>
    </w:p>
    <w:p w14:paraId="7E15C3B1" w14:textId="77777777" w:rsidR="00083923" w:rsidRPr="00AD27CD" w:rsidRDefault="00083923" w:rsidP="00083923">
      <w:pPr>
        <w:pStyle w:val="BodyText"/>
      </w:pPr>
      <w:r w:rsidRPr="00AD27CD">
        <w:t xml:space="preserve">The second type of benefit fraud is eligibility related fraud, in which the individual owns the social security number (SSN) or colludes with the SSN owner to file a claim but provides false or misleading information </w:t>
      </w:r>
      <w:proofErr w:type="gramStart"/>
      <w:r w:rsidRPr="00AD27CD">
        <w:t>in an effort to</w:t>
      </w:r>
      <w:proofErr w:type="gramEnd"/>
      <w:r w:rsidRPr="00AD27CD">
        <w:t xml:space="preserve"> increase the weekly benefit payment.  In some cases, the UI Division will conduct the initial investigation and provide the first fraud vote based on UI’s investigation before the case is referred to BPC.  Ultimately, all potential eligibility related fraud is referred to BPC for an investigation and a first and/or second fraud vote.  The most common type of eligibility fraud is when a claimant fails to report, or incorrectly reports, their work and earnings while filing for benefits. </w:t>
      </w:r>
    </w:p>
    <w:p w14:paraId="24014920" w14:textId="77777777" w:rsidR="00083923" w:rsidRPr="00AD27CD" w:rsidRDefault="00083923" w:rsidP="00083923">
      <w:pPr>
        <w:pStyle w:val="BodyText"/>
      </w:pPr>
      <w:r w:rsidRPr="00AD27CD">
        <w:t>BPC also issues second fraud votes on claims filed under the Disaster Unemployment Assistance and other federal benefit extension programs (Pandemic Unemployment Assistance). </w:t>
      </w:r>
    </w:p>
    <w:p w14:paraId="605F12C9" w14:textId="77777777" w:rsidR="00083923" w:rsidRPr="00AD27CD" w:rsidRDefault="00083923" w:rsidP="00083923">
      <w:pPr>
        <w:pStyle w:val="BodyText"/>
      </w:pPr>
      <w:r w:rsidRPr="00AD27CD">
        <w:t>Since one UI benefit system mainframe is used by the agency there is little opportunity for duplication. The benefit system creates assignments that are routed to the appropriate departments for handling. </w:t>
      </w:r>
    </w:p>
    <w:p w14:paraId="3A6091C5" w14:textId="77777777" w:rsidR="00083923" w:rsidRPr="00AD27CD" w:rsidRDefault="00083923" w:rsidP="00083923">
      <w:pPr>
        <w:pStyle w:val="BodyText"/>
      </w:pPr>
      <w:r>
        <w:t>FDCM</w:t>
      </w:r>
      <w:r w:rsidRPr="00AD27CD">
        <w:t>, Information Innovation &amp; Insight (I|3), UI, Appellate Services, Finance, and Information Technology (IT) divisions collaborate on a cross-divisional integrity team, along with TWC’s Deputy Director, to assess strategies for enduring the integrity of the UI system by reducing improper payments and fraud, especially ID fraud. </w:t>
      </w:r>
    </w:p>
    <w:p w14:paraId="7531B79E" w14:textId="77777777" w:rsidR="00AD27CD" w:rsidRPr="00AA790A" w:rsidRDefault="00AD27CD" w:rsidP="007A4B6F">
      <w:pPr>
        <w:pStyle w:val="BodyText3"/>
        <w:ind w:left="720" w:hanging="720"/>
      </w:pPr>
      <w:r w:rsidRPr="00AA790A">
        <w:t>G.</w:t>
      </w:r>
      <w:r w:rsidRPr="00AA790A">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402"/>
        <w:gridCol w:w="2081"/>
        <w:gridCol w:w="1770"/>
        <w:gridCol w:w="2107"/>
      </w:tblGrid>
      <w:tr w:rsidR="00F6175F" w:rsidRPr="00AC2B4E" w14:paraId="3253A22E" w14:textId="77777777" w:rsidTr="00F6175F">
        <w:trPr>
          <w:trHeight w:val="288"/>
        </w:trPr>
        <w:tc>
          <w:tcPr>
            <w:tcW w:w="3800" w:type="dxa"/>
            <w:shd w:val="clear" w:color="auto" w:fill="B8CCE4" w:themeFill="accent1" w:themeFillTint="66"/>
            <w:vAlign w:val="center"/>
            <w:hideMark/>
          </w:tcPr>
          <w:p w14:paraId="30B9E58B" w14:textId="77777777" w:rsidR="00F6175F" w:rsidRPr="008811F9" w:rsidRDefault="00F6175F" w:rsidP="00F6175F">
            <w:pPr>
              <w:pStyle w:val="TableHeaders"/>
              <w:rPr>
                <w:color w:val="000000"/>
              </w:rPr>
            </w:pPr>
            <w:r w:rsidRPr="008811F9">
              <w:t>Program or Function Detail Description</w:t>
            </w:r>
          </w:p>
        </w:tc>
        <w:tc>
          <w:tcPr>
            <w:tcW w:w="2300" w:type="dxa"/>
            <w:shd w:val="clear" w:color="auto" w:fill="B8CCE4" w:themeFill="accent1" w:themeFillTint="66"/>
            <w:vAlign w:val="center"/>
            <w:hideMark/>
          </w:tcPr>
          <w:p w14:paraId="66A7D72A" w14:textId="77777777" w:rsidR="00F6175F" w:rsidRPr="008811F9" w:rsidRDefault="00F6175F" w:rsidP="00F6175F">
            <w:pPr>
              <w:pStyle w:val="TableHeaders"/>
              <w:rPr>
                <w:color w:val="000000"/>
              </w:rPr>
            </w:pPr>
            <w:r w:rsidRPr="008811F9">
              <w:t>Total FY 2024</w:t>
            </w:r>
          </w:p>
        </w:tc>
        <w:tc>
          <w:tcPr>
            <w:tcW w:w="1920" w:type="dxa"/>
            <w:shd w:val="clear" w:color="auto" w:fill="B8CCE4" w:themeFill="accent1" w:themeFillTint="66"/>
            <w:vAlign w:val="center"/>
            <w:hideMark/>
          </w:tcPr>
          <w:p w14:paraId="4FF66603" w14:textId="77777777" w:rsidR="00F6175F" w:rsidRPr="008811F9" w:rsidRDefault="00F6175F" w:rsidP="00F6175F">
            <w:pPr>
              <w:pStyle w:val="TableHeaders"/>
              <w:rPr>
                <w:color w:val="000000"/>
              </w:rPr>
            </w:pPr>
            <w:r w:rsidRPr="008811F9">
              <w:t>Federal Funding</w:t>
            </w:r>
          </w:p>
        </w:tc>
        <w:tc>
          <w:tcPr>
            <w:tcW w:w="2320" w:type="dxa"/>
            <w:shd w:val="clear" w:color="auto" w:fill="B8CCE4" w:themeFill="accent1" w:themeFillTint="66"/>
            <w:vAlign w:val="center"/>
            <w:hideMark/>
          </w:tcPr>
          <w:p w14:paraId="3AB44F51" w14:textId="77777777" w:rsidR="00F6175F" w:rsidRPr="008811F9" w:rsidRDefault="00F6175F" w:rsidP="00F6175F">
            <w:pPr>
              <w:pStyle w:val="TableHeaders"/>
              <w:rPr>
                <w:color w:val="000000"/>
              </w:rPr>
            </w:pPr>
            <w:r w:rsidRPr="008811F9">
              <w:t>State Funding</w:t>
            </w:r>
          </w:p>
        </w:tc>
      </w:tr>
      <w:tr w:rsidR="00F6175F" w:rsidRPr="00AC2B4E" w14:paraId="5166F18C" w14:textId="77777777" w:rsidTr="00F6175F">
        <w:trPr>
          <w:trHeight w:val="288"/>
        </w:trPr>
        <w:tc>
          <w:tcPr>
            <w:tcW w:w="3800" w:type="dxa"/>
            <w:vAlign w:val="center"/>
            <w:hideMark/>
          </w:tcPr>
          <w:p w14:paraId="4D818AB0" w14:textId="77777777" w:rsidR="00F6175F" w:rsidRPr="008811F9" w:rsidRDefault="00F6175F" w:rsidP="00F6175F">
            <w:pPr>
              <w:pStyle w:val="TableText"/>
            </w:pPr>
            <w:r w:rsidRPr="008811F9">
              <w:t>Quality Control and Evaluation (Includes Benefit Payment Control &amp; VR Contract Oversight)</w:t>
            </w:r>
          </w:p>
        </w:tc>
        <w:tc>
          <w:tcPr>
            <w:tcW w:w="2300" w:type="dxa"/>
            <w:vAlign w:val="center"/>
            <w:hideMark/>
          </w:tcPr>
          <w:p w14:paraId="7DB262D1" w14:textId="77777777" w:rsidR="00F6175F" w:rsidRPr="008811F9" w:rsidRDefault="00F6175F" w:rsidP="00F6175F">
            <w:pPr>
              <w:pStyle w:val="TableText"/>
              <w:jc w:val="right"/>
            </w:pPr>
            <w:r w:rsidRPr="008811F9">
              <w:t>871,275</w:t>
            </w:r>
          </w:p>
        </w:tc>
        <w:tc>
          <w:tcPr>
            <w:tcW w:w="1920" w:type="dxa"/>
            <w:vAlign w:val="center"/>
            <w:hideMark/>
          </w:tcPr>
          <w:p w14:paraId="3F85E6CF" w14:textId="77777777" w:rsidR="00F6175F" w:rsidRPr="008811F9" w:rsidRDefault="00F6175F" w:rsidP="00F6175F">
            <w:pPr>
              <w:pStyle w:val="TableText"/>
              <w:jc w:val="right"/>
            </w:pPr>
            <w:r w:rsidRPr="008811F9">
              <w:t>619,233</w:t>
            </w:r>
          </w:p>
        </w:tc>
        <w:tc>
          <w:tcPr>
            <w:tcW w:w="2320" w:type="dxa"/>
            <w:vAlign w:val="center"/>
            <w:hideMark/>
          </w:tcPr>
          <w:p w14:paraId="0EF468D8" w14:textId="77777777" w:rsidR="00F6175F" w:rsidRPr="008811F9" w:rsidRDefault="00F6175F" w:rsidP="00F6175F">
            <w:pPr>
              <w:pStyle w:val="TableText"/>
              <w:jc w:val="right"/>
            </w:pPr>
            <w:r w:rsidRPr="008811F9">
              <w:t>252,042</w:t>
            </w:r>
          </w:p>
        </w:tc>
      </w:tr>
    </w:tbl>
    <w:p w14:paraId="291D7B25" w14:textId="77777777" w:rsidR="00AD27CD" w:rsidRPr="00AA790A" w:rsidRDefault="00AD27CD" w:rsidP="007A4B6F">
      <w:pPr>
        <w:pStyle w:val="BodyText3"/>
        <w:ind w:left="720" w:hanging="720"/>
      </w:pPr>
      <w:r w:rsidRPr="00AA790A">
        <w:t>H.</w:t>
      </w:r>
      <w:r w:rsidRPr="00AA790A">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107A4249" w14:textId="77777777" w:rsidR="00AD27CD" w:rsidRPr="00AD27CD" w:rsidRDefault="00AD27CD" w:rsidP="00AD27CD">
      <w:pPr>
        <w:pStyle w:val="BodyText"/>
      </w:pPr>
      <w:r w:rsidRPr="00AD27CD">
        <w:lastRenderedPageBreak/>
        <w:t>TWC has a data sharing agreement with the Department of State Health Services to obtain access to death data, which allows BPC to complete the Death Crossmatch. </w:t>
      </w:r>
    </w:p>
    <w:p w14:paraId="3D4DB6CC" w14:textId="77777777" w:rsidR="00AD27CD" w:rsidRPr="00077020" w:rsidRDefault="00AD27CD" w:rsidP="00FE0138">
      <w:pPr>
        <w:pStyle w:val="BodyText3"/>
        <w:ind w:left="720" w:hanging="720"/>
      </w:pPr>
      <w:r w:rsidRPr="00077020">
        <w:t>I.</w:t>
      </w:r>
      <w:r w:rsidRPr="00077020">
        <w:tab/>
        <w:t>If the division or program works with local, regional, or federal units of government, include a brief description of these entities and their relationship to the agency. </w:t>
      </w:r>
    </w:p>
    <w:p w14:paraId="696A8680" w14:textId="70B96545" w:rsidR="00AD27CD" w:rsidRPr="00AD27CD" w:rsidRDefault="00AD27CD" w:rsidP="00AD27CD">
      <w:pPr>
        <w:pStyle w:val="BodyText"/>
      </w:pPr>
      <w:r w:rsidRPr="00AD27CD">
        <w:t>US</w:t>
      </w:r>
      <w:r w:rsidR="00FF3A6A">
        <w:t>DOL</w:t>
      </w:r>
      <w:r w:rsidRPr="00AD27CD">
        <w:t xml:space="preserve"> issues program letters, support, guidance and sets performance standards.  The DOL Employment and Training Administration monitor’s the agency's fraud and overpayment prevention, detection, and recovery efforts.  The Office of the Inspector General conducts audits of the UI program to strengthen integrity </w:t>
      </w:r>
      <w:proofErr w:type="gramStart"/>
      <w:r w:rsidRPr="00AD27CD">
        <w:t>and also</w:t>
      </w:r>
      <w:proofErr w:type="gramEnd"/>
      <w:r w:rsidRPr="00AD27CD">
        <w:t xml:space="preserve"> investigates cases of UI fraud for criminal prosecution. </w:t>
      </w:r>
    </w:p>
    <w:p w14:paraId="36B6C6E6" w14:textId="77777777" w:rsidR="00AD27CD" w:rsidRPr="00077020" w:rsidRDefault="00AD27CD" w:rsidP="00FE0138">
      <w:pPr>
        <w:pStyle w:val="BodyText3"/>
        <w:ind w:left="720" w:hanging="720"/>
      </w:pPr>
      <w:r w:rsidRPr="00077020">
        <w:t>J.</w:t>
      </w:r>
      <w:r w:rsidRPr="00077020">
        <w:tab/>
        <w:t>Are there any barriers or challenges that impede the division or program’s performance, including any outdated or ineffective state laws? Explain. </w:t>
      </w:r>
    </w:p>
    <w:p w14:paraId="1CF93CB3" w14:textId="77777777" w:rsidR="00AD27CD" w:rsidRPr="00AD27CD" w:rsidRDefault="00AD27CD" w:rsidP="00AD27CD">
      <w:pPr>
        <w:pStyle w:val="BodyText"/>
      </w:pPr>
      <w:r w:rsidRPr="00AD27CD">
        <w:t>N/A </w:t>
      </w:r>
    </w:p>
    <w:p w14:paraId="209A5C05" w14:textId="77777777" w:rsidR="00AD27CD" w:rsidRPr="00077020" w:rsidRDefault="00AD27CD" w:rsidP="00FE0138">
      <w:pPr>
        <w:pStyle w:val="BodyText3"/>
        <w:ind w:left="720" w:hanging="720"/>
      </w:pPr>
      <w:r w:rsidRPr="00077020">
        <w:t>K.</w:t>
      </w:r>
      <w:r w:rsidRPr="00077020">
        <w:tab/>
        <w:t>Provide any additional information needed to gain a preliminary understanding of the division or program. </w:t>
      </w:r>
    </w:p>
    <w:p w14:paraId="5CC9001C" w14:textId="77777777" w:rsidR="00AD27CD" w:rsidRPr="00AD27CD" w:rsidRDefault="00AD27CD" w:rsidP="00AD27CD">
      <w:pPr>
        <w:pStyle w:val="BodyText"/>
      </w:pPr>
      <w:r w:rsidRPr="00AD27CD">
        <w:t>Following are the last three calendar years of performance data produced by TWC’s BPC investigations.  </w:t>
      </w:r>
    </w:p>
    <w:p w14:paraId="26161946" w14:textId="77777777" w:rsidR="00AD27CD" w:rsidRPr="00AD27CD" w:rsidRDefault="00AD27CD" w:rsidP="00AD27CD">
      <w:pPr>
        <w:pStyle w:val="BodyText"/>
      </w:pPr>
      <w:r w:rsidRPr="00AD27CD">
        <w:rPr>
          <w:b/>
          <w:bCs/>
        </w:rPr>
        <w:t>January 2022 to December 2022</w:t>
      </w:r>
      <w:r w:rsidRPr="00AD27CD">
        <w:t> </w:t>
      </w:r>
    </w:p>
    <w:tbl>
      <w:tblPr>
        <w:tblStyle w:val="TableGrid1"/>
        <w:tblW w:w="0" w:type="dxa"/>
        <w:tblCellMar>
          <w:top w:w="58" w:type="dxa"/>
          <w:bottom w:w="58" w:type="dxa"/>
        </w:tblCellMar>
        <w:tblLook w:val="04A0" w:firstRow="1" w:lastRow="0" w:firstColumn="1" w:lastColumn="0" w:noHBand="0" w:noVBand="1"/>
      </w:tblPr>
      <w:tblGrid>
        <w:gridCol w:w="3615"/>
        <w:gridCol w:w="1710"/>
        <w:gridCol w:w="2295"/>
        <w:gridCol w:w="1545"/>
      </w:tblGrid>
      <w:tr w:rsidR="00AD27CD" w:rsidRPr="00AD27CD" w14:paraId="4C558A39" w14:textId="77777777" w:rsidTr="00135F85">
        <w:trPr>
          <w:trHeight w:val="570"/>
          <w:tblHeader/>
        </w:trPr>
        <w:tc>
          <w:tcPr>
            <w:tcW w:w="3615" w:type="dxa"/>
            <w:shd w:val="clear" w:color="auto" w:fill="B8CCE4" w:themeFill="accent1" w:themeFillTint="66"/>
            <w:vAlign w:val="center"/>
            <w:hideMark/>
          </w:tcPr>
          <w:p w14:paraId="38D469DF" w14:textId="4B53272D" w:rsidR="00AD27CD" w:rsidRPr="00AD27CD" w:rsidRDefault="00AD27CD" w:rsidP="00117D6E">
            <w:pPr>
              <w:pStyle w:val="TableHeaders"/>
              <w:rPr>
                <w:b w:val="0"/>
              </w:rPr>
            </w:pPr>
            <w:r w:rsidRPr="00AD27CD">
              <w:t>Overpayment Detection Method</w:t>
            </w:r>
          </w:p>
        </w:tc>
        <w:tc>
          <w:tcPr>
            <w:tcW w:w="1710" w:type="dxa"/>
            <w:shd w:val="clear" w:color="auto" w:fill="B8CCE4" w:themeFill="accent1" w:themeFillTint="66"/>
            <w:vAlign w:val="center"/>
            <w:hideMark/>
          </w:tcPr>
          <w:p w14:paraId="47EE68E0" w14:textId="5012C090" w:rsidR="00AD27CD" w:rsidRPr="00AD27CD" w:rsidRDefault="00AD27CD" w:rsidP="00117D6E">
            <w:pPr>
              <w:pStyle w:val="TableHeaders"/>
              <w:rPr>
                <w:b w:val="0"/>
              </w:rPr>
            </w:pPr>
            <w:r w:rsidRPr="00AD27CD">
              <w:t>Dollars Established Non fraud</w:t>
            </w:r>
          </w:p>
        </w:tc>
        <w:tc>
          <w:tcPr>
            <w:tcW w:w="2295" w:type="dxa"/>
            <w:shd w:val="clear" w:color="auto" w:fill="B8CCE4" w:themeFill="accent1" w:themeFillTint="66"/>
            <w:vAlign w:val="center"/>
            <w:hideMark/>
          </w:tcPr>
          <w:p w14:paraId="203A438D" w14:textId="7A723EA2" w:rsidR="00AD27CD" w:rsidRPr="00AD27CD" w:rsidRDefault="00AD27CD" w:rsidP="00117D6E">
            <w:pPr>
              <w:pStyle w:val="TableHeaders"/>
              <w:rPr>
                <w:b w:val="0"/>
              </w:rPr>
            </w:pPr>
            <w:r w:rsidRPr="00AD27CD">
              <w:t>Dollars Established Fraud</w:t>
            </w:r>
          </w:p>
        </w:tc>
        <w:tc>
          <w:tcPr>
            <w:tcW w:w="1545" w:type="dxa"/>
            <w:shd w:val="clear" w:color="auto" w:fill="B8CCE4" w:themeFill="accent1" w:themeFillTint="66"/>
            <w:vAlign w:val="center"/>
            <w:hideMark/>
          </w:tcPr>
          <w:p w14:paraId="763E3A75" w14:textId="0BD9C364" w:rsidR="00AD27CD" w:rsidRPr="00AD27CD" w:rsidRDefault="00AD27CD" w:rsidP="00117D6E">
            <w:pPr>
              <w:pStyle w:val="TableHeaders"/>
              <w:rPr>
                <w:b w:val="0"/>
              </w:rPr>
            </w:pPr>
            <w:r w:rsidRPr="00AD27CD">
              <w:t>Total</w:t>
            </w:r>
          </w:p>
        </w:tc>
      </w:tr>
      <w:tr w:rsidR="00AD27CD" w:rsidRPr="00AD27CD" w14:paraId="50FE7286" w14:textId="77777777" w:rsidTr="00117D6E">
        <w:trPr>
          <w:trHeight w:val="570"/>
        </w:trPr>
        <w:tc>
          <w:tcPr>
            <w:tcW w:w="3615" w:type="dxa"/>
            <w:vAlign w:val="center"/>
            <w:hideMark/>
          </w:tcPr>
          <w:p w14:paraId="08A47FF5" w14:textId="77777777" w:rsidR="00AD27CD" w:rsidRPr="00AD27CD" w:rsidRDefault="00AD27CD" w:rsidP="00117D6E">
            <w:pPr>
              <w:pStyle w:val="TableText"/>
            </w:pPr>
            <w:r w:rsidRPr="00AD27CD">
              <w:t>Wage/Benefit cross match  </w:t>
            </w:r>
          </w:p>
        </w:tc>
        <w:tc>
          <w:tcPr>
            <w:tcW w:w="1710" w:type="dxa"/>
            <w:vAlign w:val="center"/>
            <w:hideMark/>
          </w:tcPr>
          <w:p w14:paraId="29CD85EA" w14:textId="77777777" w:rsidR="00AD27CD" w:rsidRPr="00AD27CD" w:rsidRDefault="00AD27CD" w:rsidP="00117D6E">
            <w:pPr>
              <w:pStyle w:val="TableText"/>
              <w:jc w:val="right"/>
            </w:pPr>
            <w:r w:rsidRPr="00AD27CD">
              <w:t>$18,649,918  </w:t>
            </w:r>
          </w:p>
        </w:tc>
        <w:tc>
          <w:tcPr>
            <w:tcW w:w="2295" w:type="dxa"/>
            <w:vAlign w:val="center"/>
            <w:hideMark/>
          </w:tcPr>
          <w:p w14:paraId="4C97266B" w14:textId="77777777" w:rsidR="00AD27CD" w:rsidRPr="00AD27CD" w:rsidRDefault="00AD27CD" w:rsidP="00117D6E">
            <w:pPr>
              <w:pStyle w:val="TableText"/>
              <w:jc w:val="right"/>
            </w:pPr>
            <w:r w:rsidRPr="00AD27CD">
              <w:t>$697,945  </w:t>
            </w:r>
          </w:p>
        </w:tc>
        <w:tc>
          <w:tcPr>
            <w:tcW w:w="1545" w:type="dxa"/>
            <w:vAlign w:val="center"/>
            <w:hideMark/>
          </w:tcPr>
          <w:p w14:paraId="5DA9AA7D" w14:textId="77777777" w:rsidR="00AD27CD" w:rsidRPr="00AD27CD" w:rsidRDefault="00AD27CD" w:rsidP="00117D6E">
            <w:pPr>
              <w:pStyle w:val="TableText"/>
              <w:jc w:val="right"/>
            </w:pPr>
            <w:r w:rsidRPr="00AD27CD">
              <w:t>$19,347,863  </w:t>
            </w:r>
          </w:p>
        </w:tc>
      </w:tr>
      <w:tr w:rsidR="00AD27CD" w:rsidRPr="00AD27CD" w14:paraId="1FCCDD34" w14:textId="77777777" w:rsidTr="00117D6E">
        <w:trPr>
          <w:trHeight w:val="570"/>
        </w:trPr>
        <w:tc>
          <w:tcPr>
            <w:tcW w:w="3615" w:type="dxa"/>
            <w:vAlign w:val="center"/>
            <w:hideMark/>
          </w:tcPr>
          <w:p w14:paraId="4C7C54D9" w14:textId="77777777" w:rsidR="00AD27CD" w:rsidRPr="00AD27CD" w:rsidRDefault="00AD27CD" w:rsidP="00117D6E">
            <w:pPr>
              <w:pStyle w:val="TableText"/>
            </w:pPr>
            <w:r w:rsidRPr="00AD27CD">
              <w:t>Interstate cross match  </w:t>
            </w:r>
          </w:p>
        </w:tc>
        <w:tc>
          <w:tcPr>
            <w:tcW w:w="1710" w:type="dxa"/>
            <w:vAlign w:val="center"/>
            <w:hideMark/>
          </w:tcPr>
          <w:p w14:paraId="58CFDE53" w14:textId="77777777" w:rsidR="00AD27CD" w:rsidRPr="00AD27CD" w:rsidRDefault="00AD27CD" w:rsidP="00117D6E">
            <w:pPr>
              <w:pStyle w:val="TableText"/>
              <w:jc w:val="right"/>
            </w:pPr>
            <w:r w:rsidRPr="00AD27CD">
              <w:t>$66,618  </w:t>
            </w:r>
          </w:p>
        </w:tc>
        <w:tc>
          <w:tcPr>
            <w:tcW w:w="2295" w:type="dxa"/>
            <w:vAlign w:val="center"/>
            <w:hideMark/>
          </w:tcPr>
          <w:p w14:paraId="3990F9A8" w14:textId="77777777" w:rsidR="00AD27CD" w:rsidRPr="00AD27CD" w:rsidRDefault="00AD27CD" w:rsidP="00117D6E">
            <w:pPr>
              <w:pStyle w:val="TableText"/>
              <w:jc w:val="right"/>
            </w:pPr>
            <w:r w:rsidRPr="00AD27CD">
              <w:t>$0  </w:t>
            </w:r>
          </w:p>
        </w:tc>
        <w:tc>
          <w:tcPr>
            <w:tcW w:w="1545" w:type="dxa"/>
            <w:vAlign w:val="center"/>
            <w:hideMark/>
          </w:tcPr>
          <w:p w14:paraId="09C68444" w14:textId="77777777" w:rsidR="00AD27CD" w:rsidRPr="00AD27CD" w:rsidRDefault="00AD27CD" w:rsidP="00117D6E">
            <w:pPr>
              <w:pStyle w:val="TableText"/>
              <w:jc w:val="right"/>
            </w:pPr>
            <w:r w:rsidRPr="00AD27CD">
              <w:t>$66,618  </w:t>
            </w:r>
          </w:p>
        </w:tc>
      </w:tr>
      <w:tr w:rsidR="00AD27CD" w:rsidRPr="00AD27CD" w14:paraId="4CC96252" w14:textId="77777777" w:rsidTr="00117D6E">
        <w:trPr>
          <w:trHeight w:val="570"/>
        </w:trPr>
        <w:tc>
          <w:tcPr>
            <w:tcW w:w="3615" w:type="dxa"/>
            <w:vAlign w:val="center"/>
            <w:hideMark/>
          </w:tcPr>
          <w:p w14:paraId="114EC5B9" w14:textId="77777777" w:rsidR="00AD27CD" w:rsidRPr="00AD27CD" w:rsidRDefault="00AD27CD" w:rsidP="00117D6E">
            <w:pPr>
              <w:pStyle w:val="TableText"/>
            </w:pPr>
            <w:r w:rsidRPr="00AD27CD">
              <w:t>New Hire cross match  </w:t>
            </w:r>
          </w:p>
        </w:tc>
        <w:tc>
          <w:tcPr>
            <w:tcW w:w="1710" w:type="dxa"/>
            <w:vAlign w:val="center"/>
            <w:hideMark/>
          </w:tcPr>
          <w:p w14:paraId="1603F5AB" w14:textId="77777777" w:rsidR="00AD27CD" w:rsidRPr="00AD27CD" w:rsidRDefault="00AD27CD" w:rsidP="00117D6E">
            <w:pPr>
              <w:pStyle w:val="TableText"/>
              <w:jc w:val="right"/>
            </w:pPr>
            <w:r w:rsidRPr="00AD27CD">
              <w:t>$8,352,267  </w:t>
            </w:r>
          </w:p>
        </w:tc>
        <w:tc>
          <w:tcPr>
            <w:tcW w:w="2295" w:type="dxa"/>
            <w:vAlign w:val="center"/>
            <w:hideMark/>
          </w:tcPr>
          <w:p w14:paraId="30F46216" w14:textId="77777777" w:rsidR="00AD27CD" w:rsidRPr="00AD27CD" w:rsidRDefault="00AD27CD" w:rsidP="00117D6E">
            <w:pPr>
              <w:pStyle w:val="TableText"/>
              <w:jc w:val="right"/>
            </w:pPr>
            <w:r w:rsidRPr="00AD27CD">
              <w:t>$1,227,309  </w:t>
            </w:r>
          </w:p>
        </w:tc>
        <w:tc>
          <w:tcPr>
            <w:tcW w:w="1545" w:type="dxa"/>
            <w:vAlign w:val="center"/>
            <w:hideMark/>
          </w:tcPr>
          <w:p w14:paraId="2A63ABFA" w14:textId="77777777" w:rsidR="00AD27CD" w:rsidRPr="00AD27CD" w:rsidRDefault="00AD27CD" w:rsidP="00117D6E">
            <w:pPr>
              <w:pStyle w:val="TableText"/>
              <w:jc w:val="right"/>
            </w:pPr>
            <w:r w:rsidRPr="00AD27CD">
              <w:t>$9,579,576  </w:t>
            </w:r>
          </w:p>
        </w:tc>
      </w:tr>
      <w:tr w:rsidR="00AD27CD" w:rsidRPr="00AD27CD" w14:paraId="589BEB1D" w14:textId="77777777" w:rsidTr="00117D6E">
        <w:trPr>
          <w:trHeight w:val="570"/>
        </w:trPr>
        <w:tc>
          <w:tcPr>
            <w:tcW w:w="3615" w:type="dxa"/>
            <w:vAlign w:val="center"/>
            <w:hideMark/>
          </w:tcPr>
          <w:p w14:paraId="64CDCF16" w14:textId="77777777" w:rsidR="00AD27CD" w:rsidRPr="00AD27CD" w:rsidRDefault="00AD27CD" w:rsidP="00117D6E">
            <w:pPr>
              <w:pStyle w:val="TableText"/>
            </w:pPr>
            <w:r w:rsidRPr="00AD27CD">
              <w:t>Other controllable  </w:t>
            </w:r>
          </w:p>
        </w:tc>
        <w:tc>
          <w:tcPr>
            <w:tcW w:w="1710" w:type="dxa"/>
            <w:vAlign w:val="center"/>
            <w:hideMark/>
          </w:tcPr>
          <w:p w14:paraId="468E5D07" w14:textId="77777777" w:rsidR="00AD27CD" w:rsidRPr="00AD27CD" w:rsidRDefault="00AD27CD" w:rsidP="00117D6E">
            <w:pPr>
              <w:pStyle w:val="TableText"/>
              <w:jc w:val="right"/>
            </w:pPr>
            <w:r w:rsidRPr="00AD27CD">
              <w:t>$2,625,544  </w:t>
            </w:r>
          </w:p>
        </w:tc>
        <w:tc>
          <w:tcPr>
            <w:tcW w:w="2295" w:type="dxa"/>
            <w:vAlign w:val="center"/>
            <w:hideMark/>
          </w:tcPr>
          <w:p w14:paraId="5E93ADCF" w14:textId="77777777" w:rsidR="00AD27CD" w:rsidRPr="00AD27CD" w:rsidRDefault="00AD27CD" w:rsidP="00117D6E">
            <w:pPr>
              <w:pStyle w:val="TableText"/>
              <w:jc w:val="right"/>
            </w:pPr>
            <w:r w:rsidRPr="00AD27CD">
              <w:t>$2,307.890  </w:t>
            </w:r>
          </w:p>
        </w:tc>
        <w:tc>
          <w:tcPr>
            <w:tcW w:w="1545" w:type="dxa"/>
            <w:vAlign w:val="center"/>
            <w:hideMark/>
          </w:tcPr>
          <w:p w14:paraId="627FB6FD" w14:textId="77777777" w:rsidR="00AD27CD" w:rsidRPr="00AD27CD" w:rsidRDefault="00AD27CD" w:rsidP="00117D6E">
            <w:pPr>
              <w:pStyle w:val="TableText"/>
              <w:jc w:val="right"/>
            </w:pPr>
            <w:r w:rsidRPr="00AD27CD">
              <w:t>$4,933,434  </w:t>
            </w:r>
          </w:p>
        </w:tc>
      </w:tr>
      <w:tr w:rsidR="00AD27CD" w:rsidRPr="00AD27CD" w14:paraId="467072D7" w14:textId="77777777" w:rsidTr="00117D6E">
        <w:trPr>
          <w:trHeight w:val="570"/>
        </w:trPr>
        <w:tc>
          <w:tcPr>
            <w:tcW w:w="3615" w:type="dxa"/>
            <w:vAlign w:val="center"/>
            <w:hideMark/>
          </w:tcPr>
          <w:p w14:paraId="7097A441" w14:textId="77777777" w:rsidR="00AD27CD" w:rsidRPr="00AD27CD" w:rsidRDefault="00AD27CD" w:rsidP="00117D6E">
            <w:pPr>
              <w:pStyle w:val="TableText"/>
            </w:pPr>
            <w:r w:rsidRPr="00AD27CD">
              <w:t>Non - controllable  </w:t>
            </w:r>
          </w:p>
        </w:tc>
        <w:tc>
          <w:tcPr>
            <w:tcW w:w="1710" w:type="dxa"/>
            <w:vAlign w:val="center"/>
            <w:hideMark/>
          </w:tcPr>
          <w:p w14:paraId="048540F6" w14:textId="77777777" w:rsidR="00AD27CD" w:rsidRPr="00AD27CD" w:rsidRDefault="00AD27CD" w:rsidP="00117D6E">
            <w:pPr>
              <w:pStyle w:val="TableText"/>
              <w:jc w:val="right"/>
            </w:pPr>
            <w:r w:rsidRPr="00AD27CD">
              <w:t>$86,354,465  </w:t>
            </w:r>
          </w:p>
        </w:tc>
        <w:tc>
          <w:tcPr>
            <w:tcW w:w="2295" w:type="dxa"/>
            <w:vAlign w:val="center"/>
            <w:hideMark/>
          </w:tcPr>
          <w:p w14:paraId="0719CDD9" w14:textId="77777777" w:rsidR="00AD27CD" w:rsidRPr="00AD27CD" w:rsidRDefault="00AD27CD" w:rsidP="00117D6E">
            <w:pPr>
              <w:pStyle w:val="TableText"/>
              <w:jc w:val="right"/>
            </w:pPr>
            <w:r w:rsidRPr="00AD27CD">
              <w:t>$192,889  </w:t>
            </w:r>
          </w:p>
        </w:tc>
        <w:tc>
          <w:tcPr>
            <w:tcW w:w="1545" w:type="dxa"/>
            <w:vAlign w:val="center"/>
            <w:hideMark/>
          </w:tcPr>
          <w:p w14:paraId="03FAC551" w14:textId="77777777" w:rsidR="00AD27CD" w:rsidRPr="00AD27CD" w:rsidRDefault="00AD27CD" w:rsidP="00117D6E">
            <w:pPr>
              <w:pStyle w:val="TableText"/>
              <w:jc w:val="right"/>
            </w:pPr>
            <w:r w:rsidRPr="00AD27CD">
              <w:t>$86,547,354  </w:t>
            </w:r>
          </w:p>
        </w:tc>
      </w:tr>
      <w:tr w:rsidR="00AD27CD" w:rsidRPr="00AD27CD" w14:paraId="300DF234" w14:textId="77777777" w:rsidTr="00117D6E">
        <w:trPr>
          <w:trHeight w:val="645"/>
        </w:trPr>
        <w:tc>
          <w:tcPr>
            <w:tcW w:w="3615" w:type="dxa"/>
            <w:vAlign w:val="center"/>
            <w:hideMark/>
          </w:tcPr>
          <w:p w14:paraId="62F287B5" w14:textId="77777777" w:rsidR="00AD27CD" w:rsidRPr="00AD27CD" w:rsidRDefault="00AD27CD" w:rsidP="00117D6E">
            <w:pPr>
              <w:pStyle w:val="TableText"/>
            </w:pPr>
            <w:r w:rsidRPr="00AD27CD">
              <w:t>Total - BPC Investigations department  </w:t>
            </w:r>
          </w:p>
        </w:tc>
        <w:tc>
          <w:tcPr>
            <w:tcW w:w="1710" w:type="dxa"/>
            <w:vAlign w:val="center"/>
            <w:hideMark/>
          </w:tcPr>
          <w:p w14:paraId="0D4D1049" w14:textId="77777777" w:rsidR="00AD27CD" w:rsidRPr="00AD27CD" w:rsidRDefault="00AD27CD" w:rsidP="00117D6E">
            <w:pPr>
              <w:pStyle w:val="TableText"/>
              <w:jc w:val="right"/>
            </w:pPr>
            <w:r w:rsidRPr="00AD27CD">
              <w:t>$116,048,812  </w:t>
            </w:r>
          </w:p>
        </w:tc>
        <w:tc>
          <w:tcPr>
            <w:tcW w:w="2295" w:type="dxa"/>
            <w:vAlign w:val="center"/>
            <w:hideMark/>
          </w:tcPr>
          <w:p w14:paraId="607678B7" w14:textId="77777777" w:rsidR="00AD27CD" w:rsidRPr="00AD27CD" w:rsidRDefault="00AD27CD" w:rsidP="00117D6E">
            <w:pPr>
              <w:pStyle w:val="TableText"/>
              <w:jc w:val="right"/>
            </w:pPr>
            <w:r w:rsidRPr="00AD27CD">
              <w:t>$4,426,033  </w:t>
            </w:r>
          </w:p>
        </w:tc>
        <w:tc>
          <w:tcPr>
            <w:tcW w:w="1545" w:type="dxa"/>
            <w:vAlign w:val="center"/>
            <w:hideMark/>
          </w:tcPr>
          <w:p w14:paraId="3C01E729" w14:textId="77777777" w:rsidR="00AD27CD" w:rsidRPr="00AD27CD" w:rsidRDefault="00AD27CD" w:rsidP="00117D6E">
            <w:pPr>
              <w:pStyle w:val="TableText"/>
              <w:jc w:val="right"/>
            </w:pPr>
            <w:r w:rsidRPr="00AD27CD">
              <w:t>$120,474,84  </w:t>
            </w:r>
          </w:p>
        </w:tc>
      </w:tr>
      <w:tr w:rsidR="00AD27CD" w:rsidRPr="00AD27CD" w14:paraId="20CEF07B" w14:textId="77777777" w:rsidTr="00117D6E">
        <w:trPr>
          <w:trHeight w:val="525"/>
        </w:trPr>
        <w:tc>
          <w:tcPr>
            <w:tcW w:w="3615" w:type="dxa"/>
            <w:vAlign w:val="center"/>
            <w:hideMark/>
          </w:tcPr>
          <w:p w14:paraId="2211745B" w14:textId="77777777" w:rsidR="00AD27CD" w:rsidRPr="00AD27CD" w:rsidRDefault="00AD27CD" w:rsidP="00117D6E">
            <w:pPr>
              <w:pStyle w:val="TableText"/>
            </w:pPr>
            <w:r w:rsidRPr="00AD27CD">
              <w:t># of investigators  </w:t>
            </w:r>
          </w:p>
        </w:tc>
        <w:tc>
          <w:tcPr>
            <w:tcW w:w="1710" w:type="dxa"/>
            <w:vAlign w:val="center"/>
            <w:hideMark/>
          </w:tcPr>
          <w:p w14:paraId="12A99B22" w14:textId="77777777" w:rsidR="00AD27CD" w:rsidRPr="00AD27CD" w:rsidRDefault="00AD27CD" w:rsidP="00117D6E">
            <w:pPr>
              <w:pStyle w:val="TableText"/>
              <w:jc w:val="right"/>
            </w:pPr>
            <w:r w:rsidRPr="00AD27CD">
              <w:t>8  </w:t>
            </w:r>
          </w:p>
        </w:tc>
        <w:tc>
          <w:tcPr>
            <w:tcW w:w="2295" w:type="dxa"/>
            <w:vAlign w:val="center"/>
            <w:hideMark/>
          </w:tcPr>
          <w:p w14:paraId="0FB11330" w14:textId="77777777" w:rsidR="00AD27CD" w:rsidRPr="00AD27CD" w:rsidRDefault="00AD27CD" w:rsidP="00117D6E">
            <w:pPr>
              <w:pStyle w:val="TableText"/>
              <w:jc w:val="right"/>
            </w:pPr>
            <w:r w:rsidRPr="00AD27CD">
              <w:t>8  </w:t>
            </w:r>
          </w:p>
        </w:tc>
        <w:tc>
          <w:tcPr>
            <w:tcW w:w="1545" w:type="dxa"/>
            <w:vAlign w:val="center"/>
            <w:hideMark/>
          </w:tcPr>
          <w:p w14:paraId="1739D5E2" w14:textId="77777777" w:rsidR="00AD27CD" w:rsidRPr="00AD27CD" w:rsidRDefault="00AD27CD" w:rsidP="00117D6E">
            <w:pPr>
              <w:pStyle w:val="TableText"/>
              <w:jc w:val="right"/>
            </w:pPr>
            <w:r w:rsidRPr="00AD27CD">
              <w:t>8  </w:t>
            </w:r>
          </w:p>
        </w:tc>
      </w:tr>
      <w:tr w:rsidR="00AD27CD" w:rsidRPr="00AD27CD" w14:paraId="407FE6A4" w14:textId="77777777" w:rsidTr="00117D6E">
        <w:trPr>
          <w:trHeight w:val="975"/>
        </w:trPr>
        <w:tc>
          <w:tcPr>
            <w:tcW w:w="3615" w:type="dxa"/>
            <w:vAlign w:val="center"/>
            <w:hideMark/>
          </w:tcPr>
          <w:p w14:paraId="3DEC6D0F" w14:textId="77777777" w:rsidR="00AD27CD" w:rsidRPr="00AD27CD" w:rsidRDefault="00AD27CD" w:rsidP="00117D6E">
            <w:pPr>
              <w:pStyle w:val="TableText"/>
            </w:pPr>
            <w:r w:rsidRPr="00AD27CD">
              <w:lastRenderedPageBreak/>
              <w:t>Overpayments established per investigator </w:t>
            </w:r>
          </w:p>
        </w:tc>
        <w:tc>
          <w:tcPr>
            <w:tcW w:w="1710" w:type="dxa"/>
            <w:vAlign w:val="center"/>
            <w:hideMark/>
          </w:tcPr>
          <w:p w14:paraId="3220B224" w14:textId="77777777" w:rsidR="00AD27CD" w:rsidRPr="00AD27CD" w:rsidRDefault="00AD27CD" w:rsidP="00117D6E">
            <w:pPr>
              <w:pStyle w:val="TableText"/>
              <w:jc w:val="right"/>
            </w:pPr>
            <w:r w:rsidRPr="00AD27CD">
              <w:rPr>
                <w:u w:val="single"/>
              </w:rPr>
              <w:t>$14,506,102  </w:t>
            </w:r>
            <w:r w:rsidRPr="00AD27CD">
              <w:t>  </w:t>
            </w:r>
          </w:p>
        </w:tc>
        <w:tc>
          <w:tcPr>
            <w:tcW w:w="2295" w:type="dxa"/>
            <w:vAlign w:val="center"/>
            <w:hideMark/>
          </w:tcPr>
          <w:p w14:paraId="2B5ED2D1" w14:textId="77777777" w:rsidR="00AD27CD" w:rsidRPr="00AD27CD" w:rsidRDefault="00AD27CD" w:rsidP="00117D6E">
            <w:pPr>
              <w:pStyle w:val="TableText"/>
              <w:jc w:val="right"/>
            </w:pPr>
            <w:r w:rsidRPr="00AD27CD">
              <w:rPr>
                <w:u w:val="single"/>
              </w:rPr>
              <w:t>$553,254</w:t>
            </w:r>
            <w:r w:rsidRPr="00AD27CD">
              <w:t>  </w:t>
            </w:r>
          </w:p>
        </w:tc>
        <w:tc>
          <w:tcPr>
            <w:tcW w:w="1545" w:type="dxa"/>
            <w:vAlign w:val="center"/>
            <w:hideMark/>
          </w:tcPr>
          <w:p w14:paraId="6FCA5731" w14:textId="77777777" w:rsidR="00AD27CD" w:rsidRPr="00AD27CD" w:rsidRDefault="00AD27CD" w:rsidP="00117D6E">
            <w:pPr>
              <w:pStyle w:val="TableText"/>
              <w:jc w:val="right"/>
            </w:pPr>
            <w:r w:rsidRPr="00AD27CD">
              <w:rPr>
                <w:u w:val="single"/>
              </w:rPr>
              <w:t>$15,059,356</w:t>
            </w:r>
            <w:r w:rsidRPr="00AD27CD">
              <w:t> </w:t>
            </w:r>
          </w:p>
        </w:tc>
      </w:tr>
    </w:tbl>
    <w:p w14:paraId="30149571" w14:textId="77777777" w:rsidR="00AD27CD" w:rsidRPr="00AD27CD" w:rsidRDefault="00AD27CD" w:rsidP="00AD27CD">
      <w:pPr>
        <w:pStyle w:val="BodyText"/>
      </w:pPr>
      <w:r w:rsidRPr="00AD27CD">
        <w:rPr>
          <w:b/>
          <w:bCs/>
        </w:rPr>
        <w:t>January 2023 to December 2023</w:t>
      </w:r>
      <w:r w:rsidRPr="00AD27CD">
        <w:t> </w:t>
      </w:r>
    </w:p>
    <w:tbl>
      <w:tblPr>
        <w:tblStyle w:val="TableGrid1"/>
        <w:tblW w:w="0" w:type="dxa"/>
        <w:tblCellMar>
          <w:top w:w="58" w:type="dxa"/>
          <w:bottom w:w="58" w:type="dxa"/>
        </w:tblCellMar>
        <w:tblLook w:val="04A0" w:firstRow="1" w:lastRow="0" w:firstColumn="1" w:lastColumn="0" w:noHBand="0" w:noVBand="1"/>
      </w:tblPr>
      <w:tblGrid>
        <w:gridCol w:w="3600"/>
        <w:gridCol w:w="1830"/>
        <w:gridCol w:w="2175"/>
        <w:gridCol w:w="1575"/>
      </w:tblGrid>
      <w:tr w:rsidR="00AD27CD" w:rsidRPr="00AD27CD" w14:paraId="5EFE575B" w14:textId="77777777" w:rsidTr="00135F85">
        <w:trPr>
          <w:trHeight w:val="1035"/>
          <w:tblHeader/>
        </w:trPr>
        <w:tc>
          <w:tcPr>
            <w:tcW w:w="3600" w:type="dxa"/>
            <w:shd w:val="clear" w:color="auto" w:fill="B8CCE4" w:themeFill="accent1" w:themeFillTint="66"/>
            <w:vAlign w:val="center"/>
            <w:hideMark/>
          </w:tcPr>
          <w:p w14:paraId="20B5E4F2" w14:textId="5C8E0F1A" w:rsidR="00AD27CD" w:rsidRPr="00AD27CD" w:rsidRDefault="00AD27CD" w:rsidP="00F01C8D">
            <w:pPr>
              <w:pStyle w:val="TableHeaders"/>
              <w:rPr>
                <w:b w:val="0"/>
              </w:rPr>
            </w:pPr>
            <w:r w:rsidRPr="00AD27CD">
              <w:t>Overpayment Detection Method</w:t>
            </w:r>
          </w:p>
        </w:tc>
        <w:tc>
          <w:tcPr>
            <w:tcW w:w="1830" w:type="dxa"/>
            <w:shd w:val="clear" w:color="auto" w:fill="B8CCE4" w:themeFill="accent1" w:themeFillTint="66"/>
            <w:vAlign w:val="center"/>
            <w:hideMark/>
          </w:tcPr>
          <w:p w14:paraId="7D1CEA08" w14:textId="50E6514E" w:rsidR="00AD27CD" w:rsidRPr="00AD27CD" w:rsidRDefault="00AD27CD" w:rsidP="00F01C8D">
            <w:pPr>
              <w:pStyle w:val="TableHeaders"/>
              <w:rPr>
                <w:b w:val="0"/>
              </w:rPr>
            </w:pPr>
            <w:r w:rsidRPr="00AD27CD">
              <w:t>Dollars Established Non fraud</w:t>
            </w:r>
          </w:p>
        </w:tc>
        <w:tc>
          <w:tcPr>
            <w:tcW w:w="2175" w:type="dxa"/>
            <w:shd w:val="clear" w:color="auto" w:fill="B8CCE4" w:themeFill="accent1" w:themeFillTint="66"/>
            <w:vAlign w:val="center"/>
            <w:hideMark/>
          </w:tcPr>
          <w:p w14:paraId="594B381B" w14:textId="2EC9F6A7" w:rsidR="00AD27CD" w:rsidRPr="00AD27CD" w:rsidRDefault="00AD27CD" w:rsidP="00F01C8D">
            <w:pPr>
              <w:pStyle w:val="TableHeaders"/>
              <w:rPr>
                <w:b w:val="0"/>
              </w:rPr>
            </w:pPr>
            <w:r w:rsidRPr="00AD27CD">
              <w:t>Dollars Established Fraud</w:t>
            </w:r>
          </w:p>
        </w:tc>
        <w:tc>
          <w:tcPr>
            <w:tcW w:w="1575" w:type="dxa"/>
            <w:shd w:val="clear" w:color="auto" w:fill="B8CCE4" w:themeFill="accent1" w:themeFillTint="66"/>
            <w:vAlign w:val="center"/>
            <w:hideMark/>
          </w:tcPr>
          <w:p w14:paraId="35B43FBF" w14:textId="15082BED" w:rsidR="00AD27CD" w:rsidRPr="00AD27CD" w:rsidRDefault="00AD27CD" w:rsidP="00F01C8D">
            <w:pPr>
              <w:pStyle w:val="TableHeaders"/>
              <w:rPr>
                <w:b w:val="0"/>
              </w:rPr>
            </w:pPr>
            <w:r w:rsidRPr="00AD27CD">
              <w:t>Total</w:t>
            </w:r>
          </w:p>
        </w:tc>
      </w:tr>
      <w:tr w:rsidR="00AD27CD" w:rsidRPr="00AD27CD" w14:paraId="2206F1C9" w14:textId="77777777" w:rsidTr="00F01C8D">
        <w:trPr>
          <w:trHeight w:val="300"/>
        </w:trPr>
        <w:tc>
          <w:tcPr>
            <w:tcW w:w="3600" w:type="dxa"/>
            <w:vAlign w:val="center"/>
            <w:hideMark/>
          </w:tcPr>
          <w:p w14:paraId="5E6A1726" w14:textId="77777777" w:rsidR="00AD27CD" w:rsidRPr="00AD27CD" w:rsidRDefault="00AD27CD" w:rsidP="00F01C8D">
            <w:pPr>
              <w:pStyle w:val="TableText"/>
            </w:pPr>
            <w:r w:rsidRPr="00AD27CD">
              <w:t>Wage/Benefit cross match  </w:t>
            </w:r>
          </w:p>
        </w:tc>
        <w:tc>
          <w:tcPr>
            <w:tcW w:w="1830" w:type="dxa"/>
            <w:vAlign w:val="center"/>
            <w:hideMark/>
          </w:tcPr>
          <w:p w14:paraId="2706E586" w14:textId="77777777" w:rsidR="00AD27CD" w:rsidRPr="00AD27CD" w:rsidRDefault="00AD27CD" w:rsidP="00F01C8D">
            <w:pPr>
              <w:pStyle w:val="TableText"/>
              <w:jc w:val="right"/>
            </w:pPr>
            <w:r w:rsidRPr="00AD27CD">
              <w:t>$21,693,169  </w:t>
            </w:r>
          </w:p>
        </w:tc>
        <w:tc>
          <w:tcPr>
            <w:tcW w:w="2175" w:type="dxa"/>
            <w:vAlign w:val="center"/>
            <w:hideMark/>
          </w:tcPr>
          <w:p w14:paraId="4E9FFB8D" w14:textId="77777777" w:rsidR="00AD27CD" w:rsidRPr="00AD27CD" w:rsidRDefault="00AD27CD" w:rsidP="00F01C8D">
            <w:pPr>
              <w:pStyle w:val="TableText"/>
              <w:jc w:val="right"/>
            </w:pPr>
            <w:r w:rsidRPr="00AD27CD">
              <w:t>$1,042,621  </w:t>
            </w:r>
          </w:p>
        </w:tc>
        <w:tc>
          <w:tcPr>
            <w:tcW w:w="1575" w:type="dxa"/>
            <w:vAlign w:val="center"/>
            <w:hideMark/>
          </w:tcPr>
          <w:p w14:paraId="6A824110" w14:textId="77777777" w:rsidR="00AD27CD" w:rsidRPr="00AD27CD" w:rsidRDefault="00AD27CD" w:rsidP="00F01C8D">
            <w:pPr>
              <w:pStyle w:val="TableText"/>
              <w:jc w:val="right"/>
            </w:pPr>
            <w:r w:rsidRPr="00AD27CD">
              <w:t>$12,716,652  </w:t>
            </w:r>
          </w:p>
        </w:tc>
      </w:tr>
      <w:tr w:rsidR="00AD27CD" w:rsidRPr="00AD27CD" w14:paraId="7731DCFC" w14:textId="77777777" w:rsidTr="00F01C8D">
        <w:trPr>
          <w:trHeight w:val="300"/>
        </w:trPr>
        <w:tc>
          <w:tcPr>
            <w:tcW w:w="3600" w:type="dxa"/>
            <w:vAlign w:val="center"/>
            <w:hideMark/>
          </w:tcPr>
          <w:p w14:paraId="7F765FDE" w14:textId="77777777" w:rsidR="00AD27CD" w:rsidRPr="00AD27CD" w:rsidRDefault="00AD27CD" w:rsidP="00F01C8D">
            <w:pPr>
              <w:pStyle w:val="TableText"/>
            </w:pPr>
            <w:r w:rsidRPr="00AD27CD">
              <w:t>Interstate cross match  </w:t>
            </w:r>
          </w:p>
        </w:tc>
        <w:tc>
          <w:tcPr>
            <w:tcW w:w="1830" w:type="dxa"/>
            <w:vAlign w:val="center"/>
            <w:hideMark/>
          </w:tcPr>
          <w:p w14:paraId="7B48BC29" w14:textId="77777777" w:rsidR="00AD27CD" w:rsidRPr="00AD27CD" w:rsidRDefault="00AD27CD" w:rsidP="00F01C8D">
            <w:pPr>
              <w:pStyle w:val="TableText"/>
              <w:jc w:val="right"/>
            </w:pPr>
            <w:r w:rsidRPr="00AD27CD">
              <w:t>$108,436  </w:t>
            </w:r>
          </w:p>
        </w:tc>
        <w:tc>
          <w:tcPr>
            <w:tcW w:w="2175" w:type="dxa"/>
            <w:vAlign w:val="center"/>
            <w:hideMark/>
          </w:tcPr>
          <w:p w14:paraId="30675C1E" w14:textId="77777777" w:rsidR="00AD27CD" w:rsidRPr="00AD27CD" w:rsidRDefault="00AD27CD" w:rsidP="00F01C8D">
            <w:pPr>
              <w:pStyle w:val="TableText"/>
              <w:jc w:val="right"/>
            </w:pPr>
            <w:r w:rsidRPr="00AD27CD">
              <w:t>$0  </w:t>
            </w:r>
          </w:p>
        </w:tc>
        <w:tc>
          <w:tcPr>
            <w:tcW w:w="1575" w:type="dxa"/>
            <w:vAlign w:val="center"/>
            <w:hideMark/>
          </w:tcPr>
          <w:p w14:paraId="0845C20B" w14:textId="77777777" w:rsidR="00AD27CD" w:rsidRPr="00AD27CD" w:rsidRDefault="00AD27CD" w:rsidP="00F01C8D">
            <w:pPr>
              <w:pStyle w:val="TableText"/>
              <w:jc w:val="right"/>
            </w:pPr>
            <w:r w:rsidRPr="00AD27CD">
              <w:t>$108,436  </w:t>
            </w:r>
          </w:p>
        </w:tc>
      </w:tr>
      <w:tr w:rsidR="00AD27CD" w:rsidRPr="00AD27CD" w14:paraId="310F1959" w14:textId="77777777" w:rsidTr="00F01C8D">
        <w:trPr>
          <w:trHeight w:val="300"/>
        </w:trPr>
        <w:tc>
          <w:tcPr>
            <w:tcW w:w="3600" w:type="dxa"/>
            <w:vAlign w:val="center"/>
            <w:hideMark/>
          </w:tcPr>
          <w:p w14:paraId="4EF7AA34" w14:textId="77777777" w:rsidR="00AD27CD" w:rsidRPr="00AD27CD" w:rsidRDefault="00AD27CD" w:rsidP="00F01C8D">
            <w:pPr>
              <w:pStyle w:val="TableText"/>
            </w:pPr>
            <w:r w:rsidRPr="00AD27CD">
              <w:t>New Hire cross match  </w:t>
            </w:r>
          </w:p>
        </w:tc>
        <w:tc>
          <w:tcPr>
            <w:tcW w:w="1830" w:type="dxa"/>
            <w:vAlign w:val="center"/>
            <w:hideMark/>
          </w:tcPr>
          <w:p w14:paraId="0E497412" w14:textId="77777777" w:rsidR="00AD27CD" w:rsidRPr="00AD27CD" w:rsidRDefault="00AD27CD" w:rsidP="00F01C8D">
            <w:pPr>
              <w:pStyle w:val="TableText"/>
              <w:jc w:val="right"/>
            </w:pPr>
            <w:r w:rsidRPr="00AD27CD">
              <w:t>$11,205,168  </w:t>
            </w:r>
          </w:p>
        </w:tc>
        <w:tc>
          <w:tcPr>
            <w:tcW w:w="2175" w:type="dxa"/>
            <w:vAlign w:val="center"/>
            <w:hideMark/>
          </w:tcPr>
          <w:p w14:paraId="32F68E96" w14:textId="77777777" w:rsidR="00AD27CD" w:rsidRPr="00AD27CD" w:rsidRDefault="00AD27CD" w:rsidP="00F01C8D">
            <w:pPr>
              <w:pStyle w:val="TableText"/>
              <w:jc w:val="right"/>
            </w:pPr>
            <w:r w:rsidRPr="00AD27CD">
              <w:t>$1,511,484  </w:t>
            </w:r>
          </w:p>
        </w:tc>
        <w:tc>
          <w:tcPr>
            <w:tcW w:w="1575" w:type="dxa"/>
            <w:vAlign w:val="center"/>
            <w:hideMark/>
          </w:tcPr>
          <w:p w14:paraId="37C8E53D" w14:textId="77777777" w:rsidR="00AD27CD" w:rsidRPr="00AD27CD" w:rsidRDefault="00AD27CD" w:rsidP="00F01C8D">
            <w:pPr>
              <w:pStyle w:val="TableText"/>
              <w:jc w:val="right"/>
            </w:pPr>
            <w:r w:rsidRPr="00AD27CD">
              <w:t>$12,716,652  </w:t>
            </w:r>
          </w:p>
        </w:tc>
      </w:tr>
      <w:tr w:rsidR="00AD27CD" w:rsidRPr="00AD27CD" w14:paraId="257CF00C" w14:textId="77777777" w:rsidTr="00F01C8D">
        <w:trPr>
          <w:trHeight w:val="300"/>
        </w:trPr>
        <w:tc>
          <w:tcPr>
            <w:tcW w:w="3600" w:type="dxa"/>
            <w:vAlign w:val="center"/>
            <w:hideMark/>
          </w:tcPr>
          <w:p w14:paraId="2B4C2A0C" w14:textId="77777777" w:rsidR="00AD27CD" w:rsidRPr="00AD27CD" w:rsidRDefault="00AD27CD" w:rsidP="00F01C8D">
            <w:pPr>
              <w:pStyle w:val="TableText"/>
            </w:pPr>
            <w:r w:rsidRPr="00AD27CD">
              <w:t>Other controllable  </w:t>
            </w:r>
          </w:p>
        </w:tc>
        <w:tc>
          <w:tcPr>
            <w:tcW w:w="1830" w:type="dxa"/>
            <w:vAlign w:val="center"/>
            <w:hideMark/>
          </w:tcPr>
          <w:p w14:paraId="23F5E979" w14:textId="77777777" w:rsidR="00AD27CD" w:rsidRPr="00AD27CD" w:rsidRDefault="00AD27CD" w:rsidP="00F01C8D">
            <w:pPr>
              <w:pStyle w:val="TableText"/>
              <w:jc w:val="right"/>
            </w:pPr>
            <w:r w:rsidRPr="00AD27CD">
              <w:t>$2,104,730  </w:t>
            </w:r>
          </w:p>
        </w:tc>
        <w:tc>
          <w:tcPr>
            <w:tcW w:w="2175" w:type="dxa"/>
            <w:vAlign w:val="center"/>
            <w:hideMark/>
          </w:tcPr>
          <w:p w14:paraId="2C0A9C01" w14:textId="77777777" w:rsidR="00AD27CD" w:rsidRPr="00AD27CD" w:rsidRDefault="00AD27CD" w:rsidP="00F01C8D">
            <w:pPr>
              <w:pStyle w:val="TableText"/>
              <w:jc w:val="right"/>
            </w:pPr>
            <w:r w:rsidRPr="00AD27CD">
              <w:t>$2,670,232  </w:t>
            </w:r>
          </w:p>
        </w:tc>
        <w:tc>
          <w:tcPr>
            <w:tcW w:w="1575" w:type="dxa"/>
            <w:vAlign w:val="center"/>
            <w:hideMark/>
          </w:tcPr>
          <w:p w14:paraId="2E0F8C0F" w14:textId="77777777" w:rsidR="00AD27CD" w:rsidRPr="00AD27CD" w:rsidRDefault="00AD27CD" w:rsidP="00F01C8D">
            <w:pPr>
              <w:pStyle w:val="TableText"/>
              <w:jc w:val="right"/>
            </w:pPr>
            <w:r w:rsidRPr="00AD27CD">
              <w:t>$4,774,962  </w:t>
            </w:r>
          </w:p>
        </w:tc>
      </w:tr>
      <w:tr w:rsidR="00AD27CD" w:rsidRPr="00AD27CD" w14:paraId="0C831724" w14:textId="77777777" w:rsidTr="00F01C8D">
        <w:trPr>
          <w:trHeight w:val="270"/>
        </w:trPr>
        <w:tc>
          <w:tcPr>
            <w:tcW w:w="3600" w:type="dxa"/>
            <w:vAlign w:val="center"/>
            <w:hideMark/>
          </w:tcPr>
          <w:p w14:paraId="4511B29C" w14:textId="77777777" w:rsidR="00AD27CD" w:rsidRPr="00AD27CD" w:rsidRDefault="00AD27CD" w:rsidP="00F01C8D">
            <w:pPr>
              <w:pStyle w:val="TableText"/>
            </w:pPr>
            <w:r w:rsidRPr="00AD27CD">
              <w:t>Non - controllable  </w:t>
            </w:r>
          </w:p>
        </w:tc>
        <w:tc>
          <w:tcPr>
            <w:tcW w:w="1830" w:type="dxa"/>
            <w:vAlign w:val="center"/>
            <w:hideMark/>
          </w:tcPr>
          <w:p w14:paraId="52FDD1A1" w14:textId="77777777" w:rsidR="00AD27CD" w:rsidRPr="00AD27CD" w:rsidRDefault="00AD27CD" w:rsidP="00F01C8D">
            <w:pPr>
              <w:pStyle w:val="TableText"/>
              <w:jc w:val="right"/>
            </w:pPr>
            <w:r w:rsidRPr="00AD27CD">
              <w:t>$69,669,863  </w:t>
            </w:r>
          </w:p>
        </w:tc>
        <w:tc>
          <w:tcPr>
            <w:tcW w:w="2175" w:type="dxa"/>
            <w:vAlign w:val="center"/>
            <w:hideMark/>
          </w:tcPr>
          <w:p w14:paraId="6E5FE7D9" w14:textId="77777777" w:rsidR="00AD27CD" w:rsidRPr="00AD27CD" w:rsidRDefault="00AD27CD" w:rsidP="00F01C8D">
            <w:pPr>
              <w:pStyle w:val="TableText"/>
              <w:jc w:val="right"/>
            </w:pPr>
            <w:r w:rsidRPr="00AD27CD">
              <w:t>$443,799  </w:t>
            </w:r>
          </w:p>
        </w:tc>
        <w:tc>
          <w:tcPr>
            <w:tcW w:w="1575" w:type="dxa"/>
            <w:vAlign w:val="center"/>
            <w:hideMark/>
          </w:tcPr>
          <w:p w14:paraId="704E7248" w14:textId="77777777" w:rsidR="00AD27CD" w:rsidRPr="00AD27CD" w:rsidRDefault="00AD27CD" w:rsidP="00F01C8D">
            <w:pPr>
              <w:pStyle w:val="TableText"/>
              <w:jc w:val="right"/>
            </w:pPr>
            <w:r w:rsidRPr="00AD27CD">
              <w:t>$70,113,642  </w:t>
            </w:r>
          </w:p>
        </w:tc>
      </w:tr>
      <w:tr w:rsidR="00AD27CD" w:rsidRPr="00AD27CD" w14:paraId="7AA5E82E" w14:textId="77777777" w:rsidTr="00F01C8D">
        <w:trPr>
          <w:trHeight w:val="525"/>
        </w:trPr>
        <w:tc>
          <w:tcPr>
            <w:tcW w:w="3600" w:type="dxa"/>
            <w:vAlign w:val="center"/>
            <w:hideMark/>
          </w:tcPr>
          <w:p w14:paraId="1C1B719C" w14:textId="77777777" w:rsidR="00AD27CD" w:rsidRPr="00AD27CD" w:rsidRDefault="00AD27CD" w:rsidP="00F01C8D">
            <w:pPr>
              <w:pStyle w:val="TableText"/>
            </w:pPr>
            <w:r w:rsidRPr="00AD27CD">
              <w:t>Total - BPC Investigations department  </w:t>
            </w:r>
          </w:p>
        </w:tc>
        <w:tc>
          <w:tcPr>
            <w:tcW w:w="1830" w:type="dxa"/>
            <w:vAlign w:val="center"/>
            <w:hideMark/>
          </w:tcPr>
          <w:p w14:paraId="63E2239E" w14:textId="77777777" w:rsidR="00AD27CD" w:rsidRPr="00AD27CD" w:rsidRDefault="00AD27CD" w:rsidP="00F01C8D">
            <w:pPr>
              <w:pStyle w:val="TableText"/>
              <w:jc w:val="right"/>
            </w:pPr>
            <w:r w:rsidRPr="00AD27CD">
              <w:t>$104,781,366  </w:t>
            </w:r>
          </w:p>
        </w:tc>
        <w:tc>
          <w:tcPr>
            <w:tcW w:w="2175" w:type="dxa"/>
            <w:vAlign w:val="center"/>
            <w:hideMark/>
          </w:tcPr>
          <w:p w14:paraId="757D5C35" w14:textId="77777777" w:rsidR="00AD27CD" w:rsidRPr="00AD27CD" w:rsidRDefault="00AD27CD" w:rsidP="00F01C8D">
            <w:pPr>
              <w:pStyle w:val="TableText"/>
              <w:jc w:val="right"/>
            </w:pPr>
            <w:r w:rsidRPr="00AD27CD">
              <w:t>$5,668,13  </w:t>
            </w:r>
          </w:p>
        </w:tc>
        <w:tc>
          <w:tcPr>
            <w:tcW w:w="1575" w:type="dxa"/>
            <w:vAlign w:val="center"/>
            <w:hideMark/>
          </w:tcPr>
          <w:p w14:paraId="6547481A" w14:textId="77777777" w:rsidR="00AD27CD" w:rsidRPr="00AD27CD" w:rsidRDefault="00AD27CD" w:rsidP="00F01C8D">
            <w:pPr>
              <w:pStyle w:val="TableText"/>
              <w:jc w:val="right"/>
            </w:pPr>
            <w:r w:rsidRPr="00AD27CD">
              <w:t>$110,449,502  </w:t>
            </w:r>
          </w:p>
        </w:tc>
      </w:tr>
      <w:tr w:rsidR="00AD27CD" w:rsidRPr="00AD27CD" w14:paraId="66CE72DE" w14:textId="77777777" w:rsidTr="00F01C8D">
        <w:trPr>
          <w:trHeight w:val="270"/>
        </w:trPr>
        <w:tc>
          <w:tcPr>
            <w:tcW w:w="3600" w:type="dxa"/>
            <w:vAlign w:val="center"/>
            <w:hideMark/>
          </w:tcPr>
          <w:p w14:paraId="49C92BA4" w14:textId="77777777" w:rsidR="00AD27CD" w:rsidRPr="00AD27CD" w:rsidRDefault="00AD27CD" w:rsidP="00F01C8D">
            <w:pPr>
              <w:pStyle w:val="TableText"/>
            </w:pPr>
            <w:r w:rsidRPr="00AD27CD">
              <w:t># of investigators  </w:t>
            </w:r>
          </w:p>
        </w:tc>
        <w:tc>
          <w:tcPr>
            <w:tcW w:w="1830" w:type="dxa"/>
            <w:vAlign w:val="center"/>
            <w:hideMark/>
          </w:tcPr>
          <w:p w14:paraId="459C0107" w14:textId="77777777" w:rsidR="00AD27CD" w:rsidRPr="00AD27CD" w:rsidRDefault="00AD27CD" w:rsidP="00F01C8D">
            <w:pPr>
              <w:pStyle w:val="TableText"/>
              <w:jc w:val="right"/>
            </w:pPr>
            <w:r w:rsidRPr="00AD27CD">
              <w:t>10  </w:t>
            </w:r>
          </w:p>
        </w:tc>
        <w:tc>
          <w:tcPr>
            <w:tcW w:w="2175" w:type="dxa"/>
            <w:vAlign w:val="center"/>
            <w:hideMark/>
          </w:tcPr>
          <w:p w14:paraId="0CE04A34" w14:textId="77777777" w:rsidR="00AD27CD" w:rsidRPr="00AD27CD" w:rsidRDefault="00AD27CD" w:rsidP="00F01C8D">
            <w:pPr>
              <w:pStyle w:val="TableText"/>
              <w:jc w:val="right"/>
            </w:pPr>
            <w:r w:rsidRPr="00AD27CD">
              <w:t>10  </w:t>
            </w:r>
          </w:p>
        </w:tc>
        <w:tc>
          <w:tcPr>
            <w:tcW w:w="1575" w:type="dxa"/>
            <w:vAlign w:val="center"/>
            <w:hideMark/>
          </w:tcPr>
          <w:p w14:paraId="138B6C82" w14:textId="77777777" w:rsidR="00AD27CD" w:rsidRPr="00AD27CD" w:rsidRDefault="00AD27CD" w:rsidP="00F01C8D">
            <w:pPr>
              <w:pStyle w:val="TableText"/>
              <w:jc w:val="right"/>
            </w:pPr>
            <w:r w:rsidRPr="00AD27CD">
              <w:t>10  </w:t>
            </w:r>
          </w:p>
        </w:tc>
      </w:tr>
      <w:tr w:rsidR="00AD27CD" w:rsidRPr="00AD27CD" w14:paraId="2EB36A73" w14:textId="77777777" w:rsidTr="00F01C8D">
        <w:trPr>
          <w:trHeight w:val="540"/>
        </w:trPr>
        <w:tc>
          <w:tcPr>
            <w:tcW w:w="3600" w:type="dxa"/>
            <w:vAlign w:val="center"/>
            <w:hideMark/>
          </w:tcPr>
          <w:p w14:paraId="19199EF8" w14:textId="77777777" w:rsidR="00AD27CD" w:rsidRPr="00AD27CD" w:rsidRDefault="00AD27CD" w:rsidP="00F01C8D">
            <w:pPr>
              <w:pStyle w:val="TableText"/>
            </w:pPr>
            <w:r w:rsidRPr="00AD27CD">
              <w:t>Overpayments established per investigator </w:t>
            </w:r>
          </w:p>
        </w:tc>
        <w:tc>
          <w:tcPr>
            <w:tcW w:w="1830" w:type="dxa"/>
            <w:vAlign w:val="center"/>
            <w:hideMark/>
          </w:tcPr>
          <w:p w14:paraId="06F44E4A" w14:textId="77777777" w:rsidR="00AD27CD" w:rsidRPr="00AD27CD" w:rsidRDefault="00AD27CD" w:rsidP="00F01C8D">
            <w:pPr>
              <w:pStyle w:val="TableText"/>
              <w:jc w:val="right"/>
            </w:pPr>
            <w:r w:rsidRPr="00AD27CD">
              <w:rPr>
                <w:u w:val="single"/>
              </w:rPr>
              <w:t>$10,478,137 </w:t>
            </w:r>
            <w:r w:rsidRPr="00AD27CD">
              <w:t>  </w:t>
            </w:r>
          </w:p>
        </w:tc>
        <w:tc>
          <w:tcPr>
            <w:tcW w:w="2175" w:type="dxa"/>
            <w:vAlign w:val="center"/>
            <w:hideMark/>
          </w:tcPr>
          <w:p w14:paraId="656C1737" w14:textId="77777777" w:rsidR="00AD27CD" w:rsidRPr="00AD27CD" w:rsidRDefault="00AD27CD" w:rsidP="00F01C8D">
            <w:pPr>
              <w:pStyle w:val="TableText"/>
              <w:jc w:val="right"/>
            </w:pPr>
            <w:r w:rsidRPr="00AD27CD">
              <w:rPr>
                <w:u w:val="single"/>
              </w:rPr>
              <w:t>$566,814</w:t>
            </w:r>
            <w:r w:rsidRPr="00AD27CD">
              <w:t>  </w:t>
            </w:r>
          </w:p>
        </w:tc>
        <w:tc>
          <w:tcPr>
            <w:tcW w:w="1575" w:type="dxa"/>
            <w:vAlign w:val="center"/>
            <w:hideMark/>
          </w:tcPr>
          <w:p w14:paraId="7EC38ADE" w14:textId="77777777" w:rsidR="00AD27CD" w:rsidRPr="00AD27CD" w:rsidRDefault="00AD27CD" w:rsidP="00F01C8D">
            <w:pPr>
              <w:pStyle w:val="TableText"/>
              <w:jc w:val="right"/>
            </w:pPr>
            <w:r w:rsidRPr="00AD27CD">
              <w:rPr>
                <w:u w:val="single"/>
              </w:rPr>
              <w:t>$11,044,951</w:t>
            </w:r>
            <w:r w:rsidRPr="00AD27CD">
              <w:t>  </w:t>
            </w:r>
          </w:p>
        </w:tc>
      </w:tr>
    </w:tbl>
    <w:p w14:paraId="724C017B" w14:textId="77777777" w:rsidR="00AD27CD" w:rsidRPr="00AD27CD" w:rsidRDefault="00AD27CD" w:rsidP="00AD27CD">
      <w:pPr>
        <w:pStyle w:val="BodyText"/>
      </w:pPr>
      <w:r w:rsidRPr="00AD27CD">
        <w:rPr>
          <w:b/>
          <w:bCs/>
        </w:rPr>
        <w:t>January 2024 to December 2024</w:t>
      </w:r>
      <w:r w:rsidRPr="00AD27CD">
        <w:t> </w:t>
      </w:r>
    </w:p>
    <w:tbl>
      <w:tblPr>
        <w:tblStyle w:val="TableGrid1"/>
        <w:tblW w:w="9165" w:type="dxa"/>
        <w:tblCellMar>
          <w:top w:w="58" w:type="dxa"/>
          <w:bottom w:w="58" w:type="dxa"/>
        </w:tblCellMar>
        <w:tblLook w:val="04A0" w:firstRow="1" w:lastRow="0" w:firstColumn="1" w:lastColumn="0" w:noHBand="0" w:noVBand="1"/>
      </w:tblPr>
      <w:tblGrid>
        <w:gridCol w:w="3600"/>
        <w:gridCol w:w="1815"/>
        <w:gridCol w:w="2175"/>
        <w:gridCol w:w="1575"/>
      </w:tblGrid>
      <w:tr w:rsidR="00AD27CD" w:rsidRPr="00AD27CD" w14:paraId="6B3A50D0" w14:textId="77777777" w:rsidTr="00135F85">
        <w:trPr>
          <w:trHeight w:val="1035"/>
          <w:tblHeader/>
        </w:trPr>
        <w:tc>
          <w:tcPr>
            <w:tcW w:w="3600" w:type="dxa"/>
            <w:shd w:val="clear" w:color="auto" w:fill="B8CCE4" w:themeFill="accent1" w:themeFillTint="66"/>
            <w:vAlign w:val="center"/>
            <w:hideMark/>
          </w:tcPr>
          <w:p w14:paraId="34F3A7B4" w14:textId="35CB13FD" w:rsidR="00AD27CD" w:rsidRPr="00AD27CD" w:rsidRDefault="00AD27CD" w:rsidP="00F01C8D">
            <w:pPr>
              <w:pStyle w:val="TableHeaders"/>
              <w:rPr>
                <w:b w:val="0"/>
              </w:rPr>
            </w:pPr>
            <w:r w:rsidRPr="00AD27CD">
              <w:t>Overpayment Detection Method</w:t>
            </w:r>
          </w:p>
        </w:tc>
        <w:tc>
          <w:tcPr>
            <w:tcW w:w="1815" w:type="dxa"/>
            <w:shd w:val="clear" w:color="auto" w:fill="B8CCE4" w:themeFill="accent1" w:themeFillTint="66"/>
            <w:vAlign w:val="center"/>
            <w:hideMark/>
          </w:tcPr>
          <w:p w14:paraId="02757DDC" w14:textId="4ACA9B8A" w:rsidR="00AD27CD" w:rsidRPr="00AD27CD" w:rsidRDefault="00AD27CD" w:rsidP="00F01C8D">
            <w:pPr>
              <w:pStyle w:val="TableHeaders"/>
              <w:rPr>
                <w:b w:val="0"/>
              </w:rPr>
            </w:pPr>
            <w:r w:rsidRPr="00AD27CD">
              <w:t>Dollars Established Non fraud</w:t>
            </w:r>
          </w:p>
        </w:tc>
        <w:tc>
          <w:tcPr>
            <w:tcW w:w="2175" w:type="dxa"/>
            <w:shd w:val="clear" w:color="auto" w:fill="B8CCE4" w:themeFill="accent1" w:themeFillTint="66"/>
            <w:vAlign w:val="center"/>
            <w:hideMark/>
          </w:tcPr>
          <w:p w14:paraId="706A0FC0" w14:textId="59BDD3AC" w:rsidR="00AD27CD" w:rsidRPr="00AD27CD" w:rsidRDefault="00AD27CD" w:rsidP="00F01C8D">
            <w:pPr>
              <w:pStyle w:val="TableHeaders"/>
              <w:rPr>
                <w:b w:val="0"/>
              </w:rPr>
            </w:pPr>
            <w:r w:rsidRPr="00AD27CD">
              <w:t>Dollars Established Fraud</w:t>
            </w:r>
          </w:p>
        </w:tc>
        <w:tc>
          <w:tcPr>
            <w:tcW w:w="1575" w:type="dxa"/>
            <w:shd w:val="clear" w:color="auto" w:fill="B8CCE4" w:themeFill="accent1" w:themeFillTint="66"/>
            <w:vAlign w:val="center"/>
            <w:hideMark/>
          </w:tcPr>
          <w:p w14:paraId="2FEB26C0" w14:textId="626E65D1" w:rsidR="00AD27CD" w:rsidRPr="00AD27CD" w:rsidRDefault="00AD27CD" w:rsidP="00F01C8D">
            <w:pPr>
              <w:pStyle w:val="TableHeaders"/>
              <w:rPr>
                <w:b w:val="0"/>
              </w:rPr>
            </w:pPr>
            <w:r w:rsidRPr="00AD27CD">
              <w:t>Total</w:t>
            </w:r>
          </w:p>
        </w:tc>
      </w:tr>
      <w:tr w:rsidR="00AD27CD" w:rsidRPr="00AD27CD" w14:paraId="4BCA51DF" w14:textId="77777777" w:rsidTr="00F01C8D">
        <w:trPr>
          <w:trHeight w:val="300"/>
        </w:trPr>
        <w:tc>
          <w:tcPr>
            <w:tcW w:w="3600" w:type="dxa"/>
            <w:vAlign w:val="center"/>
            <w:hideMark/>
          </w:tcPr>
          <w:p w14:paraId="373B3D30" w14:textId="77777777" w:rsidR="00AD27CD" w:rsidRPr="00AD27CD" w:rsidRDefault="00AD27CD" w:rsidP="00F01C8D">
            <w:pPr>
              <w:pStyle w:val="TableText"/>
            </w:pPr>
            <w:r w:rsidRPr="00AD27CD">
              <w:t>Wage/Benefit cross match  </w:t>
            </w:r>
          </w:p>
        </w:tc>
        <w:tc>
          <w:tcPr>
            <w:tcW w:w="1815" w:type="dxa"/>
            <w:vAlign w:val="center"/>
            <w:hideMark/>
          </w:tcPr>
          <w:p w14:paraId="76A73D91" w14:textId="77777777" w:rsidR="00AD27CD" w:rsidRPr="00AD27CD" w:rsidRDefault="00AD27CD" w:rsidP="00F01C8D">
            <w:pPr>
              <w:pStyle w:val="TableText"/>
              <w:jc w:val="right"/>
            </w:pPr>
            <w:r w:rsidRPr="00AD27CD">
              <w:t>$23,275,749  </w:t>
            </w:r>
          </w:p>
        </w:tc>
        <w:tc>
          <w:tcPr>
            <w:tcW w:w="2175" w:type="dxa"/>
            <w:vAlign w:val="center"/>
            <w:hideMark/>
          </w:tcPr>
          <w:p w14:paraId="08F1C96F" w14:textId="77777777" w:rsidR="00AD27CD" w:rsidRPr="00AD27CD" w:rsidRDefault="00AD27CD" w:rsidP="00F01C8D">
            <w:pPr>
              <w:pStyle w:val="TableText"/>
              <w:jc w:val="right"/>
            </w:pPr>
            <w:r w:rsidRPr="00AD27CD">
              <w:t>$1,712,858  </w:t>
            </w:r>
          </w:p>
        </w:tc>
        <w:tc>
          <w:tcPr>
            <w:tcW w:w="1575" w:type="dxa"/>
            <w:vAlign w:val="center"/>
            <w:hideMark/>
          </w:tcPr>
          <w:p w14:paraId="3EC94E36" w14:textId="77777777" w:rsidR="00AD27CD" w:rsidRPr="00AD27CD" w:rsidRDefault="00AD27CD" w:rsidP="00F01C8D">
            <w:pPr>
              <w:pStyle w:val="TableText"/>
              <w:jc w:val="right"/>
            </w:pPr>
            <w:r w:rsidRPr="00AD27CD">
              <w:t>$24,988,607  </w:t>
            </w:r>
          </w:p>
        </w:tc>
      </w:tr>
      <w:tr w:rsidR="00AD27CD" w:rsidRPr="00AD27CD" w14:paraId="2A265C51" w14:textId="77777777" w:rsidTr="00F01C8D">
        <w:trPr>
          <w:trHeight w:val="300"/>
        </w:trPr>
        <w:tc>
          <w:tcPr>
            <w:tcW w:w="3600" w:type="dxa"/>
            <w:vAlign w:val="center"/>
            <w:hideMark/>
          </w:tcPr>
          <w:p w14:paraId="2BB3B333" w14:textId="77777777" w:rsidR="00AD27CD" w:rsidRPr="00AD27CD" w:rsidRDefault="00AD27CD" w:rsidP="00F01C8D">
            <w:pPr>
              <w:pStyle w:val="TableText"/>
            </w:pPr>
            <w:r w:rsidRPr="00AD27CD">
              <w:t>Interstate cross match  </w:t>
            </w:r>
          </w:p>
        </w:tc>
        <w:tc>
          <w:tcPr>
            <w:tcW w:w="1815" w:type="dxa"/>
            <w:vAlign w:val="center"/>
            <w:hideMark/>
          </w:tcPr>
          <w:p w14:paraId="27EE878B" w14:textId="77777777" w:rsidR="00AD27CD" w:rsidRPr="00AD27CD" w:rsidRDefault="00AD27CD" w:rsidP="00F01C8D">
            <w:pPr>
              <w:pStyle w:val="TableText"/>
              <w:jc w:val="right"/>
            </w:pPr>
            <w:r w:rsidRPr="00AD27CD">
              <w:t>$175,895  </w:t>
            </w:r>
          </w:p>
        </w:tc>
        <w:tc>
          <w:tcPr>
            <w:tcW w:w="2175" w:type="dxa"/>
            <w:vAlign w:val="center"/>
            <w:hideMark/>
          </w:tcPr>
          <w:p w14:paraId="04D29513" w14:textId="77777777" w:rsidR="00AD27CD" w:rsidRPr="00AD27CD" w:rsidRDefault="00AD27CD" w:rsidP="00F01C8D">
            <w:pPr>
              <w:pStyle w:val="TableText"/>
              <w:jc w:val="right"/>
            </w:pPr>
            <w:r w:rsidRPr="00AD27CD">
              <w:t>$5,067  </w:t>
            </w:r>
          </w:p>
        </w:tc>
        <w:tc>
          <w:tcPr>
            <w:tcW w:w="1575" w:type="dxa"/>
            <w:vAlign w:val="center"/>
            <w:hideMark/>
          </w:tcPr>
          <w:p w14:paraId="1DADA883" w14:textId="77777777" w:rsidR="00AD27CD" w:rsidRPr="00AD27CD" w:rsidRDefault="00AD27CD" w:rsidP="00F01C8D">
            <w:pPr>
              <w:pStyle w:val="TableText"/>
              <w:jc w:val="right"/>
            </w:pPr>
            <w:r w:rsidRPr="00AD27CD">
              <w:t>$180,962  </w:t>
            </w:r>
          </w:p>
        </w:tc>
      </w:tr>
      <w:tr w:rsidR="00AD27CD" w:rsidRPr="00AD27CD" w14:paraId="4DC7FCAE" w14:textId="77777777" w:rsidTr="00F01C8D">
        <w:trPr>
          <w:trHeight w:val="300"/>
        </w:trPr>
        <w:tc>
          <w:tcPr>
            <w:tcW w:w="3600" w:type="dxa"/>
            <w:vAlign w:val="center"/>
            <w:hideMark/>
          </w:tcPr>
          <w:p w14:paraId="1CB06825" w14:textId="77777777" w:rsidR="00AD27CD" w:rsidRPr="00AD27CD" w:rsidRDefault="00AD27CD" w:rsidP="00F01C8D">
            <w:pPr>
              <w:pStyle w:val="TableText"/>
            </w:pPr>
            <w:r w:rsidRPr="00AD27CD">
              <w:t>New Hire cross match  </w:t>
            </w:r>
          </w:p>
        </w:tc>
        <w:tc>
          <w:tcPr>
            <w:tcW w:w="1815" w:type="dxa"/>
            <w:vAlign w:val="center"/>
            <w:hideMark/>
          </w:tcPr>
          <w:p w14:paraId="36980951" w14:textId="77777777" w:rsidR="00AD27CD" w:rsidRPr="00AD27CD" w:rsidRDefault="00AD27CD" w:rsidP="00F01C8D">
            <w:pPr>
              <w:pStyle w:val="TableText"/>
              <w:jc w:val="right"/>
            </w:pPr>
            <w:r w:rsidRPr="00AD27CD">
              <w:t>$11,649,682  </w:t>
            </w:r>
          </w:p>
        </w:tc>
        <w:tc>
          <w:tcPr>
            <w:tcW w:w="2175" w:type="dxa"/>
            <w:vAlign w:val="center"/>
            <w:hideMark/>
          </w:tcPr>
          <w:p w14:paraId="01AA32E9" w14:textId="77777777" w:rsidR="00AD27CD" w:rsidRPr="00AD27CD" w:rsidRDefault="00AD27CD" w:rsidP="00F01C8D">
            <w:pPr>
              <w:pStyle w:val="TableText"/>
              <w:jc w:val="right"/>
            </w:pPr>
            <w:r w:rsidRPr="00AD27CD">
              <w:t>$1,290,354  </w:t>
            </w:r>
          </w:p>
        </w:tc>
        <w:tc>
          <w:tcPr>
            <w:tcW w:w="1575" w:type="dxa"/>
            <w:vAlign w:val="center"/>
            <w:hideMark/>
          </w:tcPr>
          <w:p w14:paraId="796FB6E2" w14:textId="77777777" w:rsidR="00AD27CD" w:rsidRPr="00AD27CD" w:rsidRDefault="00AD27CD" w:rsidP="00F01C8D">
            <w:pPr>
              <w:pStyle w:val="TableText"/>
              <w:jc w:val="right"/>
            </w:pPr>
            <w:r w:rsidRPr="00AD27CD">
              <w:t>$12,940,036  </w:t>
            </w:r>
          </w:p>
        </w:tc>
      </w:tr>
      <w:tr w:rsidR="00AD27CD" w:rsidRPr="00AD27CD" w14:paraId="6E918E71" w14:textId="77777777" w:rsidTr="00F01C8D">
        <w:trPr>
          <w:trHeight w:val="300"/>
        </w:trPr>
        <w:tc>
          <w:tcPr>
            <w:tcW w:w="3600" w:type="dxa"/>
            <w:vAlign w:val="center"/>
            <w:hideMark/>
          </w:tcPr>
          <w:p w14:paraId="0C3578E7" w14:textId="77777777" w:rsidR="00AD27CD" w:rsidRPr="00AD27CD" w:rsidRDefault="00AD27CD" w:rsidP="00F01C8D">
            <w:pPr>
              <w:pStyle w:val="TableText"/>
            </w:pPr>
            <w:r w:rsidRPr="00AD27CD">
              <w:t>Other controllable  </w:t>
            </w:r>
          </w:p>
        </w:tc>
        <w:tc>
          <w:tcPr>
            <w:tcW w:w="1815" w:type="dxa"/>
            <w:vAlign w:val="center"/>
            <w:hideMark/>
          </w:tcPr>
          <w:p w14:paraId="7A6BF9A6" w14:textId="77777777" w:rsidR="00AD27CD" w:rsidRPr="00AD27CD" w:rsidRDefault="00AD27CD" w:rsidP="00F01C8D">
            <w:pPr>
              <w:pStyle w:val="TableText"/>
              <w:jc w:val="right"/>
            </w:pPr>
            <w:r w:rsidRPr="00AD27CD">
              <w:t>$2,278,004  </w:t>
            </w:r>
          </w:p>
        </w:tc>
        <w:tc>
          <w:tcPr>
            <w:tcW w:w="2175" w:type="dxa"/>
            <w:vAlign w:val="center"/>
            <w:hideMark/>
          </w:tcPr>
          <w:p w14:paraId="1B555D4D" w14:textId="77777777" w:rsidR="00AD27CD" w:rsidRPr="00AD27CD" w:rsidRDefault="00AD27CD" w:rsidP="00F01C8D">
            <w:pPr>
              <w:pStyle w:val="TableText"/>
              <w:jc w:val="right"/>
            </w:pPr>
            <w:r w:rsidRPr="00AD27CD">
              <w:t>$1,975,113  </w:t>
            </w:r>
          </w:p>
        </w:tc>
        <w:tc>
          <w:tcPr>
            <w:tcW w:w="1575" w:type="dxa"/>
            <w:vAlign w:val="center"/>
            <w:hideMark/>
          </w:tcPr>
          <w:p w14:paraId="34E92086" w14:textId="77777777" w:rsidR="00AD27CD" w:rsidRPr="00AD27CD" w:rsidRDefault="00AD27CD" w:rsidP="00F01C8D">
            <w:pPr>
              <w:pStyle w:val="TableText"/>
              <w:jc w:val="right"/>
            </w:pPr>
            <w:r w:rsidRPr="00AD27CD">
              <w:t>$4,253,117  </w:t>
            </w:r>
          </w:p>
        </w:tc>
      </w:tr>
      <w:tr w:rsidR="00AD27CD" w:rsidRPr="00AD27CD" w14:paraId="7D129F6D" w14:textId="77777777" w:rsidTr="00F01C8D">
        <w:trPr>
          <w:trHeight w:val="270"/>
        </w:trPr>
        <w:tc>
          <w:tcPr>
            <w:tcW w:w="3600" w:type="dxa"/>
            <w:vAlign w:val="center"/>
            <w:hideMark/>
          </w:tcPr>
          <w:p w14:paraId="6112761E" w14:textId="77777777" w:rsidR="00AD27CD" w:rsidRPr="00AD27CD" w:rsidRDefault="00AD27CD" w:rsidP="00F01C8D">
            <w:pPr>
              <w:pStyle w:val="TableText"/>
            </w:pPr>
            <w:r w:rsidRPr="00AD27CD">
              <w:t>Non - controllable  </w:t>
            </w:r>
          </w:p>
        </w:tc>
        <w:tc>
          <w:tcPr>
            <w:tcW w:w="1815" w:type="dxa"/>
            <w:vAlign w:val="center"/>
            <w:hideMark/>
          </w:tcPr>
          <w:p w14:paraId="1C4A3A7D" w14:textId="77777777" w:rsidR="00AD27CD" w:rsidRPr="00AD27CD" w:rsidRDefault="00AD27CD" w:rsidP="00F01C8D">
            <w:pPr>
              <w:pStyle w:val="TableText"/>
              <w:jc w:val="right"/>
            </w:pPr>
            <w:r w:rsidRPr="00AD27CD">
              <w:t>$78,140,015  </w:t>
            </w:r>
          </w:p>
        </w:tc>
        <w:tc>
          <w:tcPr>
            <w:tcW w:w="2175" w:type="dxa"/>
            <w:vAlign w:val="center"/>
            <w:hideMark/>
          </w:tcPr>
          <w:p w14:paraId="66B27BDD" w14:textId="77777777" w:rsidR="00AD27CD" w:rsidRPr="00AD27CD" w:rsidRDefault="00AD27CD" w:rsidP="00F01C8D">
            <w:pPr>
              <w:pStyle w:val="TableText"/>
              <w:jc w:val="right"/>
            </w:pPr>
            <w:r w:rsidRPr="00AD27CD">
              <w:t>$781,715  </w:t>
            </w:r>
          </w:p>
        </w:tc>
        <w:tc>
          <w:tcPr>
            <w:tcW w:w="1575" w:type="dxa"/>
            <w:vAlign w:val="center"/>
            <w:hideMark/>
          </w:tcPr>
          <w:p w14:paraId="6846BECD" w14:textId="77777777" w:rsidR="00AD27CD" w:rsidRPr="00AD27CD" w:rsidRDefault="00AD27CD" w:rsidP="00F01C8D">
            <w:pPr>
              <w:pStyle w:val="TableText"/>
              <w:jc w:val="right"/>
            </w:pPr>
            <w:r w:rsidRPr="00AD27CD">
              <w:t>$78,921,730  </w:t>
            </w:r>
          </w:p>
        </w:tc>
      </w:tr>
      <w:tr w:rsidR="00AD27CD" w:rsidRPr="00AD27CD" w14:paraId="070CDB63" w14:textId="77777777" w:rsidTr="00F01C8D">
        <w:trPr>
          <w:trHeight w:val="525"/>
        </w:trPr>
        <w:tc>
          <w:tcPr>
            <w:tcW w:w="3600" w:type="dxa"/>
            <w:vAlign w:val="center"/>
            <w:hideMark/>
          </w:tcPr>
          <w:p w14:paraId="4E7B1A73" w14:textId="77777777" w:rsidR="00AD27CD" w:rsidRPr="00AD27CD" w:rsidRDefault="00AD27CD" w:rsidP="00F01C8D">
            <w:pPr>
              <w:pStyle w:val="TableText"/>
            </w:pPr>
            <w:r w:rsidRPr="00AD27CD">
              <w:t>Total - BPC Investigations department  </w:t>
            </w:r>
          </w:p>
        </w:tc>
        <w:tc>
          <w:tcPr>
            <w:tcW w:w="1815" w:type="dxa"/>
            <w:vAlign w:val="center"/>
            <w:hideMark/>
          </w:tcPr>
          <w:p w14:paraId="63B27F5F" w14:textId="77777777" w:rsidR="00AD27CD" w:rsidRPr="00AD27CD" w:rsidRDefault="00AD27CD" w:rsidP="00F01C8D">
            <w:pPr>
              <w:pStyle w:val="TableText"/>
              <w:jc w:val="right"/>
            </w:pPr>
            <w:r w:rsidRPr="00AD27CD">
              <w:t>$115,519,345  </w:t>
            </w:r>
          </w:p>
        </w:tc>
        <w:tc>
          <w:tcPr>
            <w:tcW w:w="2175" w:type="dxa"/>
            <w:vAlign w:val="center"/>
            <w:hideMark/>
          </w:tcPr>
          <w:p w14:paraId="51CD584C" w14:textId="77777777" w:rsidR="00AD27CD" w:rsidRPr="00AD27CD" w:rsidRDefault="00AD27CD" w:rsidP="00F01C8D">
            <w:pPr>
              <w:pStyle w:val="TableText"/>
              <w:jc w:val="right"/>
            </w:pPr>
            <w:r w:rsidRPr="00AD27CD">
              <w:t>$5,765,107  </w:t>
            </w:r>
          </w:p>
        </w:tc>
        <w:tc>
          <w:tcPr>
            <w:tcW w:w="1575" w:type="dxa"/>
            <w:vAlign w:val="center"/>
            <w:hideMark/>
          </w:tcPr>
          <w:p w14:paraId="4DC12DF4" w14:textId="77777777" w:rsidR="00AD27CD" w:rsidRPr="00AD27CD" w:rsidRDefault="00AD27CD" w:rsidP="00F01C8D">
            <w:pPr>
              <w:pStyle w:val="TableText"/>
              <w:jc w:val="right"/>
            </w:pPr>
            <w:r w:rsidRPr="00AD27CD">
              <w:t>$121,284,452  </w:t>
            </w:r>
          </w:p>
        </w:tc>
      </w:tr>
      <w:tr w:rsidR="00AD27CD" w:rsidRPr="00AD27CD" w14:paraId="13C580FB" w14:textId="77777777" w:rsidTr="00F01C8D">
        <w:trPr>
          <w:trHeight w:val="270"/>
        </w:trPr>
        <w:tc>
          <w:tcPr>
            <w:tcW w:w="3600" w:type="dxa"/>
            <w:vAlign w:val="center"/>
            <w:hideMark/>
          </w:tcPr>
          <w:p w14:paraId="13490E1B" w14:textId="77777777" w:rsidR="00AD27CD" w:rsidRPr="00AD27CD" w:rsidRDefault="00AD27CD" w:rsidP="00F01C8D">
            <w:pPr>
              <w:pStyle w:val="TableText"/>
            </w:pPr>
            <w:r w:rsidRPr="00AD27CD">
              <w:t># of investigators  </w:t>
            </w:r>
          </w:p>
        </w:tc>
        <w:tc>
          <w:tcPr>
            <w:tcW w:w="1815" w:type="dxa"/>
            <w:vAlign w:val="center"/>
            <w:hideMark/>
          </w:tcPr>
          <w:p w14:paraId="74AECA91" w14:textId="77777777" w:rsidR="00AD27CD" w:rsidRPr="00AD27CD" w:rsidRDefault="00AD27CD" w:rsidP="00F01C8D">
            <w:pPr>
              <w:pStyle w:val="TableText"/>
              <w:jc w:val="right"/>
            </w:pPr>
            <w:r w:rsidRPr="00AD27CD">
              <w:t>18  </w:t>
            </w:r>
          </w:p>
        </w:tc>
        <w:tc>
          <w:tcPr>
            <w:tcW w:w="2175" w:type="dxa"/>
            <w:vAlign w:val="center"/>
            <w:hideMark/>
          </w:tcPr>
          <w:p w14:paraId="709E15AF" w14:textId="77777777" w:rsidR="00AD27CD" w:rsidRPr="00AD27CD" w:rsidRDefault="00AD27CD" w:rsidP="00F01C8D">
            <w:pPr>
              <w:pStyle w:val="TableText"/>
              <w:jc w:val="right"/>
            </w:pPr>
            <w:r w:rsidRPr="00AD27CD">
              <w:t>18  </w:t>
            </w:r>
          </w:p>
        </w:tc>
        <w:tc>
          <w:tcPr>
            <w:tcW w:w="1575" w:type="dxa"/>
            <w:vAlign w:val="center"/>
            <w:hideMark/>
          </w:tcPr>
          <w:p w14:paraId="7BB2C1E6" w14:textId="77777777" w:rsidR="00AD27CD" w:rsidRPr="00AD27CD" w:rsidRDefault="00AD27CD" w:rsidP="00F01C8D">
            <w:pPr>
              <w:pStyle w:val="TableText"/>
              <w:jc w:val="right"/>
            </w:pPr>
            <w:r w:rsidRPr="00AD27CD">
              <w:t>18  </w:t>
            </w:r>
          </w:p>
        </w:tc>
      </w:tr>
      <w:tr w:rsidR="00AD27CD" w:rsidRPr="00AD27CD" w14:paraId="7F8CFCAC" w14:textId="77777777" w:rsidTr="00F01C8D">
        <w:trPr>
          <w:trHeight w:val="540"/>
        </w:trPr>
        <w:tc>
          <w:tcPr>
            <w:tcW w:w="3600" w:type="dxa"/>
            <w:vAlign w:val="center"/>
            <w:hideMark/>
          </w:tcPr>
          <w:p w14:paraId="1AF1CA5E" w14:textId="77777777" w:rsidR="00AD27CD" w:rsidRPr="00AD27CD" w:rsidRDefault="00AD27CD" w:rsidP="00F01C8D">
            <w:pPr>
              <w:pStyle w:val="TableText"/>
            </w:pPr>
            <w:r w:rsidRPr="00AD27CD">
              <w:lastRenderedPageBreak/>
              <w:t>Overpayments established per investigator </w:t>
            </w:r>
          </w:p>
        </w:tc>
        <w:tc>
          <w:tcPr>
            <w:tcW w:w="1815" w:type="dxa"/>
            <w:vAlign w:val="center"/>
            <w:hideMark/>
          </w:tcPr>
          <w:p w14:paraId="48ED3FEE" w14:textId="77777777" w:rsidR="00AD27CD" w:rsidRPr="00AD27CD" w:rsidRDefault="00AD27CD" w:rsidP="00F01C8D">
            <w:pPr>
              <w:pStyle w:val="TableText"/>
              <w:jc w:val="right"/>
            </w:pPr>
            <w:r w:rsidRPr="00AD27CD">
              <w:rPr>
                <w:u w:val="single"/>
              </w:rPr>
              <w:t>$6,417,741 </w:t>
            </w:r>
            <w:r w:rsidRPr="00AD27CD">
              <w:t>  </w:t>
            </w:r>
          </w:p>
        </w:tc>
        <w:tc>
          <w:tcPr>
            <w:tcW w:w="2175" w:type="dxa"/>
            <w:vAlign w:val="center"/>
            <w:hideMark/>
          </w:tcPr>
          <w:p w14:paraId="50BA67C0" w14:textId="77777777" w:rsidR="00AD27CD" w:rsidRPr="00AD27CD" w:rsidRDefault="00AD27CD" w:rsidP="00F01C8D">
            <w:pPr>
              <w:pStyle w:val="TableText"/>
              <w:jc w:val="right"/>
            </w:pPr>
            <w:r w:rsidRPr="00AD27CD">
              <w:rPr>
                <w:u w:val="single"/>
              </w:rPr>
              <w:t>$320,284</w:t>
            </w:r>
            <w:r w:rsidRPr="00AD27CD">
              <w:t>  </w:t>
            </w:r>
          </w:p>
        </w:tc>
        <w:tc>
          <w:tcPr>
            <w:tcW w:w="1575" w:type="dxa"/>
            <w:vAlign w:val="center"/>
            <w:hideMark/>
          </w:tcPr>
          <w:p w14:paraId="1A2B05DF" w14:textId="77777777" w:rsidR="00AD27CD" w:rsidRPr="00AD27CD" w:rsidRDefault="00AD27CD" w:rsidP="00F01C8D">
            <w:pPr>
              <w:pStyle w:val="TableText"/>
              <w:jc w:val="right"/>
            </w:pPr>
            <w:r w:rsidRPr="00AD27CD">
              <w:rPr>
                <w:u w:val="single"/>
              </w:rPr>
              <w:t>$6,738,025</w:t>
            </w:r>
            <w:r w:rsidRPr="00AD27CD">
              <w:t>  </w:t>
            </w:r>
          </w:p>
        </w:tc>
      </w:tr>
    </w:tbl>
    <w:p w14:paraId="77F7ABEC" w14:textId="77777777" w:rsidR="00AD27CD" w:rsidRPr="00F01C8D" w:rsidRDefault="00AD27CD" w:rsidP="00FE0138">
      <w:pPr>
        <w:pStyle w:val="BodyText3"/>
        <w:ind w:left="720" w:hanging="720"/>
      </w:pPr>
      <w:r w:rsidRPr="00F01C8D">
        <w:t>L.</w:t>
      </w:r>
      <w:r w:rsidRPr="00F01C8D">
        <w:tab/>
        <w:t>Regulatory programs relate to the licensing, registration, certification, or permitting of a person, business, piece of equipment, or other entity (e.g., a facility). For each regulatory program, if applicable, describe: </w:t>
      </w:r>
    </w:p>
    <w:p w14:paraId="3BC955B5" w14:textId="77777777" w:rsidR="00AD27CD" w:rsidRPr="00AD27CD" w:rsidRDefault="00AD27CD" w:rsidP="00F01C8D">
      <w:pPr>
        <w:pStyle w:val="BodyText"/>
      </w:pPr>
      <w:r w:rsidRPr="00AD27CD">
        <w:t>N/A </w:t>
      </w:r>
    </w:p>
    <w:p w14:paraId="35E9C76A" w14:textId="77777777" w:rsidR="00AD27CD" w:rsidRPr="00F01C8D" w:rsidRDefault="00AD27CD" w:rsidP="00FE0138">
      <w:pPr>
        <w:pStyle w:val="BodyText3"/>
        <w:ind w:left="720" w:hanging="720"/>
      </w:pPr>
      <w:r w:rsidRPr="00F01C8D">
        <w:t>M.</w:t>
      </w:r>
      <w:r w:rsidRPr="00F01C8D">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41EFB19A" w14:textId="4D4D0C0E" w:rsidR="00F01C8D" w:rsidRDefault="00AD27CD" w:rsidP="0017665D">
      <w:pPr>
        <w:pStyle w:val="BodyText"/>
      </w:pPr>
      <w:r w:rsidRPr="00AD27CD">
        <w:t>N/A </w:t>
      </w:r>
    </w:p>
    <w:p w14:paraId="2F352826" w14:textId="77777777" w:rsidR="00084B91" w:rsidRDefault="00084B91" w:rsidP="0017665D">
      <w:pPr>
        <w:pStyle w:val="BodyText"/>
        <w:rPr>
          <w:b/>
        </w:rPr>
      </w:pPr>
    </w:p>
    <w:p w14:paraId="1CE74A75" w14:textId="2D77DD6C" w:rsidR="00861A07" w:rsidRPr="00861A07" w:rsidRDefault="00861A07" w:rsidP="00861A07">
      <w:pPr>
        <w:pStyle w:val="BodyText"/>
      </w:pPr>
      <w:r>
        <w:rPr>
          <w:b/>
          <w:bCs/>
        </w:rPr>
        <w:t>Wage and Hour – Texas Payday Law Administration</w:t>
      </w:r>
    </w:p>
    <w:p w14:paraId="1E16563C" w14:textId="77777777" w:rsidR="00861A07" w:rsidRPr="00861A07" w:rsidRDefault="00861A07" w:rsidP="00861A07">
      <w:pPr>
        <w:pStyle w:val="BodyText3"/>
      </w:pPr>
      <w:r w:rsidRPr="00861A07">
        <w:t>A.</w:t>
      </w:r>
      <w:r w:rsidRPr="00861A07">
        <w:tab/>
        <w:t>Provide the following information at the beginning of each description. </w:t>
      </w:r>
    </w:p>
    <w:p w14:paraId="59F6F1AB" w14:textId="77777777" w:rsidR="00861A07" w:rsidRPr="00861A07" w:rsidRDefault="00861A07" w:rsidP="00C64851">
      <w:pPr>
        <w:pStyle w:val="BodyText"/>
        <w:numPr>
          <w:ilvl w:val="0"/>
          <w:numId w:val="141"/>
        </w:numPr>
        <w:spacing w:before="120" w:after="120"/>
      </w:pPr>
      <w:r w:rsidRPr="00861A07">
        <w:rPr>
          <w:i/>
          <w:iCs/>
        </w:rPr>
        <w:t>Name of division or program:</w:t>
      </w:r>
      <w:r w:rsidRPr="00861A07">
        <w:t xml:space="preserve"> Wage and Hour Department – Texas Payday Law Administration </w:t>
      </w:r>
    </w:p>
    <w:p w14:paraId="71A21DF6" w14:textId="77777777" w:rsidR="00861A07" w:rsidRPr="00861A07" w:rsidRDefault="00861A07" w:rsidP="00C64851">
      <w:pPr>
        <w:pStyle w:val="BodyText"/>
        <w:numPr>
          <w:ilvl w:val="0"/>
          <w:numId w:val="141"/>
        </w:numPr>
        <w:spacing w:before="120" w:after="120"/>
      </w:pPr>
      <w:r w:rsidRPr="00861A07">
        <w:rPr>
          <w:i/>
          <w:iCs/>
        </w:rPr>
        <w:t xml:space="preserve">Location within the agency: </w:t>
      </w:r>
      <w:r w:rsidRPr="00861A07">
        <w:t>Fraud Deterrence and Compliance Monitoring </w:t>
      </w:r>
    </w:p>
    <w:p w14:paraId="73645555" w14:textId="77777777" w:rsidR="00861A07" w:rsidRPr="00861A07" w:rsidRDefault="00861A07" w:rsidP="00C64851">
      <w:pPr>
        <w:pStyle w:val="BodyText"/>
        <w:numPr>
          <w:ilvl w:val="0"/>
          <w:numId w:val="141"/>
        </w:numPr>
        <w:spacing w:before="120" w:after="120"/>
      </w:pPr>
      <w:r w:rsidRPr="00861A07">
        <w:rPr>
          <w:i/>
          <w:iCs/>
        </w:rPr>
        <w:t>Contact name:</w:t>
      </w:r>
      <w:r w:rsidRPr="00861A07">
        <w:t xml:space="preserve"> Anna Colbert </w:t>
      </w:r>
    </w:p>
    <w:p w14:paraId="6B2A9E87" w14:textId="77777777" w:rsidR="00861A07" w:rsidRPr="00861A07" w:rsidRDefault="00861A07" w:rsidP="00C64851">
      <w:pPr>
        <w:pStyle w:val="BodyText"/>
        <w:numPr>
          <w:ilvl w:val="0"/>
          <w:numId w:val="141"/>
        </w:numPr>
        <w:spacing w:before="120" w:after="120"/>
      </w:pPr>
      <w:r w:rsidRPr="00861A07">
        <w:rPr>
          <w:i/>
          <w:iCs/>
        </w:rPr>
        <w:t>Statutory citation:</w:t>
      </w:r>
      <w:r w:rsidRPr="00861A07">
        <w:t xml:space="preserve"> Texas Labor Code, Chapters 61 and 62 </w:t>
      </w:r>
    </w:p>
    <w:p w14:paraId="5D109C99" w14:textId="77777777" w:rsidR="00861A07" w:rsidRPr="00861A07" w:rsidRDefault="00861A07" w:rsidP="004D5752">
      <w:pPr>
        <w:pStyle w:val="BodyText3"/>
        <w:ind w:left="720" w:hanging="720"/>
      </w:pPr>
      <w:r w:rsidRPr="00861A07">
        <w:t>B.</w:t>
      </w:r>
      <w:r w:rsidRPr="00861A07">
        <w:tab/>
        <w:t>What is the objective of this division or program? Describe its major activities. </w:t>
      </w:r>
    </w:p>
    <w:p w14:paraId="615487A6" w14:textId="77777777" w:rsidR="00861A07" w:rsidRPr="00861A07" w:rsidRDefault="00861A07" w:rsidP="00861A07">
      <w:pPr>
        <w:pStyle w:val="BodyText"/>
      </w:pPr>
      <w:r w:rsidRPr="00861A07">
        <w:t>The Wage and Hour Department – Texas Payday Law Administration ensures the timely payment of employees’ wages through the administration of the Texas Payday Law.   </w:t>
      </w:r>
    </w:p>
    <w:p w14:paraId="02E4E4FE" w14:textId="77777777" w:rsidR="00861A07" w:rsidRPr="00861A07" w:rsidRDefault="00861A07" w:rsidP="00861A07">
      <w:pPr>
        <w:pStyle w:val="BodyText"/>
      </w:pPr>
      <w:r w:rsidRPr="00861A07">
        <w:rPr>
          <w:b/>
          <w:bCs/>
        </w:rPr>
        <w:lastRenderedPageBreak/>
        <w:t>Payday Law Program</w:t>
      </w:r>
      <w:r w:rsidRPr="00861A07">
        <w:t>  </w:t>
      </w:r>
    </w:p>
    <w:p w14:paraId="22319727" w14:textId="136EEE6C" w:rsidR="00861A07" w:rsidRPr="00861A07" w:rsidRDefault="00861A07" w:rsidP="00861A07">
      <w:pPr>
        <w:pStyle w:val="BodyText"/>
      </w:pPr>
      <w:r w:rsidRPr="00861A07">
        <w:t>Through Texas Labor Code, Chapter 61, and Chapter 821 of the TWC Rules (40 TAC 821), TWC provides an administrative alternative to costly litigation in resolving pay disputes between private sector employers and employees by assisting employees in obtaining payment of owed wages. This is accomplished by conducting wage complaint investigations and issuing written decisions that are appealable.  </w:t>
      </w:r>
    </w:p>
    <w:p w14:paraId="63807375" w14:textId="77777777" w:rsidR="00861A07" w:rsidRPr="00861A07" w:rsidRDefault="00861A07" w:rsidP="00861A07">
      <w:pPr>
        <w:pStyle w:val="BodyText"/>
      </w:pPr>
      <w:r w:rsidRPr="00861A07">
        <w:rPr>
          <w:b/>
          <w:bCs/>
        </w:rPr>
        <w:t>Minimum Wage Act</w:t>
      </w:r>
      <w:r w:rsidRPr="00861A07">
        <w:t>  </w:t>
      </w:r>
    </w:p>
    <w:p w14:paraId="51DA3A80" w14:textId="77777777" w:rsidR="00861A07" w:rsidRPr="00861A07" w:rsidRDefault="00861A07" w:rsidP="00861A07">
      <w:pPr>
        <w:pStyle w:val="BodyText"/>
      </w:pPr>
      <w:r w:rsidRPr="00861A07">
        <w:t xml:space="preserve">Texas Labor Code, Chapter 62, requires the agency to disseminate information about the rights and responsibilities of employer and employees under the Act. This information is shared on the agency’s website, </w:t>
      </w:r>
      <w:hyperlink r:id="rId228" w:tgtFrame="_blank" w:history="1">
        <w:r w:rsidRPr="00861A07">
          <w:rPr>
            <w:rStyle w:val="Hyperlink"/>
          </w:rPr>
          <w:t>Texas Minimum Wage Law - Texas Workforce Commission</w:t>
        </w:r>
      </w:hyperlink>
      <w:r w:rsidRPr="00861A07">
        <w:t>.  Violations of the Act are enforceable through a private cause of action in court.  While the agency does not have enforcement authority under the Texas Minimum Wage Act, the Wage and Hour Department can look to the Texas Minimum Wage Act, when applicable, to determine the rate of pay in a wage claim complaint.  </w:t>
      </w:r>
    </w:p>
    <w:p w14:paraId="3C032907" w14:textId="77777777" w:rsidR="00861A07" w:rsidRPr="00861A07" w:rsidRDefault="00861A07" w:rsidP="00861A07">
      <w:pPr>
        <w:pStyle w:val="BodyText"/>
      </w:pPr>
      <w:r w:rsidRPr="00861A07">
        <w:t>TWC’s Wage and Hour Department plays a significant role in administering and enforcing the Texas Payday Law. Here are the major activities TWC undertakes in this program:  </w:t>
      </w:r>
    </w:p>
    <w:p w14:paraId="6049B3EE" w14:textId="77777777" w:rsidR="00861A07" w:rsidRPr="00861A07" w:rsidRDefault="00861A07" w:rsidP="00C64851">
      <w:pPr>
        <w:pStyle w:val="BodyText"/>
        <w:numPr>
          <w:ilvl w:val="0"/>
          <w:numId w:val="135"/>
        </w:numPr>
      </w:pPr>
      <w:r w:rsidRPr="00861A07">
        <w:rPr>
          <w:b/>
          <w:bCs/>
        </w:rPr>
        <w:t>Investigating Wage Claims:</w:t>
      </w:r>
      <w:r w:rsidRPr="00861A07">
        <w:t xml:space="preserve"> This is a primary function. TWC receives and investigates claims from employees who believe they have not been paid wages owed to them by their employers. This includes claims for unpaid regular wages, overtime, commissions, and bonuses.  </w:t>
      </w:r>
    </w:p>
    <w:p w14:paraId="068888C2" w14:textId="77777777" w:rsidR="00861A07" w:rsidRPr="00861A07" w:rsidRDefault="00861A07" w:rsidP="00C64851">
      <w:pPr>
        <w:pStyle w:val="BodyText"/>
        <w:numPr>
          <w:ilvl w:val="0"/>
          <w:numId w:val="136"/>
        </w:numPr>
      </w:pPr>
      <w:r w:rsidRPr="00861A07">
        <w:rPr>
          <w:b/>
          <w:bCs/>
        </w:rPr>
        <w:t>Determining Wages Owed:</w:t>
      </w:r>
      <w:r w:rsidRPr="00861A07">
        <w:t xml:space="preserve"> After investigating a claim, TWC determines whether the employee is owed wages by the employer. This involves reviewing evidence from both the employee and the employer to determine if unpaid wages are owed.  </w:t>
      </w:r>
    </w:p>
    <w:p w14:paraId="3EF31F0B" w14:textId="77777777" w:rsidR="00861A07" w:rsidRPr="00861A07" w:rsidRDefault="00861A07" w:rsidP="00C64851">
      <w:pPr>
        <w:pStyle w:val="BodyText"/>
        <w:numPr>
          <w:ilvl w:val="0"/>
          <w:numId w:val="137"/>
        </w:numPr>
      </w:pPr>
      <w:r w:rsidRPr="00861A07">
        <w:rPr>
          <w:b/>
          <w:bCs/>
        </w:rPr>
        <w:t>Assessing an Administrative Penalty:</w:t>
      </w:r>
      <w:r w:rsidRPr="00861A07">
        <w:t xml:space="preserve"> If TWC determines an employer acted in bad faith, TWC may assess an administrative penalty against the employer in an amount not to exceed the lesser of the wages owed or $1,000.  This serves as a deterrent to employers who might otherwise fail to pay their employees correctly.  The administrative bad faith penalty is paid to TWC.   </w:t>
      </w:r>
    </w:p>
    <w:p w14:paraId="0FFAB50D" w14:textId="77777777" w:rsidR="00861A07" w:rsidRPr="00861A07" w:rsidRDefault="00861A07" w:rsidP="00C64851">
      <w:pPr>
        <w:pStyle w:val="BodyText"/>
        <w:numPr>
          <w:ilvl w:val="0"/>
          <w:numId w:val="138"/>
        </w:numPr>
      </w:pPr>
      <w:r w:rsidRPr="00861A07">
        <w:rPr>
          <w:b/>
          <w:bCs/>
        </w:rPr>
        <w:t>Collecting and Disbursing Unpaid Wages:</w:t>
      </w:r>
      <w:r w:rsidRPr="00861A07">
        <w:t xml:space="preserve"> The Collections department, which is a part of the Finance division, attempts to collect the wages owed to the claimant.  If successful, TWC disburses the recovered funds to the claimant.  </w:t>
      </w:r>
    </w:p>
    <w:p w14:paraId="20007536" w14:textId="77777777" w:rsidR="00861A07" w:rsidRPr="00861A07" w:rsidRDefault="00861A07" w:rsidP="00C64851">
      <w:pPr>
        <w:pStyle w:val="BodyText"/>
        <w:numPr>
          <w:ilvl w:val="0"/>
          <w:numId w:val="139"/>
        </w:numPr>
      </w:pPr>
      <w:r w:rsidRPr="00861A07">
        <w:rPr>
          <w:b/>
          <w:bCs/>
        </w:rPr>
        <w:t>Providing Information and Education:</w:t>
      </w:r>
      <w:r w:rsidRPr="00861A07">
        <w:t xml:space="preserve"> TWC provides information and educational materials to both employers and employees about the Texas Payday Law and Texas Minimum Wage Act through TWC’s website and by responding to calls and emails from the public. This helps employers and employees understand their rights and obligations.   </w:t>
      </w:r>
    </w:p>
    <w:p w14:paraId="4C9D6904" w14:textId="77777777" w:rsidR="00861A07" w:rsidRPr="00861A07" w:rsidRDefault="00861A07" w:rsidP="00C64851">
      <w:pPr>
        <w:pStyle w:val="BodyText"/>
        <w:numPr>
          <w:ilvl w:val="0"/>
          <w:numId w:val="140"/>
        </w:numPr>
      </w:pPr>
      <w:r w:rsidRPr="00861A07">
        <w:rPr>
          <w:b/>
          <w:bCs/>
        </w:rPr>
        <w:lastRenderedPageBreak/>
        <w:t>Adopting Rules:</w:t>
      </w:r>
      <w:r w:rsidRPr="00861A07">
        <w:t xml:space="preserve"> TWC adopts rules to interpret and implement the Texas Payday Law. These rules provide guidance on various aspects of the law, such as determining employment status, what types of deductions are permissible, the procedures for filing and investigating wage claims, and the appeal procedures available to parties.  </w:t>
      </w:r>
    </w:p>
    <w:p w14:paraId="4DD29478" w14:textId="77777777" w:rsidR="00861A07" w:rsidRPr="00861A07" w:rsidRDefault="00861A07" w:rsidP="004D5752">
      <w:pPr>
        <w:pStyle w:val="BodyText3"/>
        <w:ind w:left="720" w:hanging="720"/>
      </w:pPr>
      <w:r w:rsidRPr="00861A07">
        <w:t>C.</w:t>
      </w:r>
      <w:r w:rsidRPr="00861A07">
        <w:tab/>
        <w:t xml:space="preserve">What information does the agency collect/use to assess the effectiveness and efficiency of this division or program? If applicable, briefly note any LBB performance measures (from Section II, </w:t>
      </w:r>
      <w:proofErr w:type="gramStart"/>
      <w:r w:rsidRPr="00861A07">
        <w:t>Exhibit</w:t>
      </w:r>
      <w:proofErr w:type="gramEnd"/>
      <w:r w:rsidRPr="00861A07">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2296AD84" w14:textId="0E679C38" w:rsidR="00861A07" w:rsidRPr="00861A07" w:rsidRDefault="00861A07" w:rsidP="00861A07">
      <w:pPr>
        <w:pStyle w:val="BodyText"/>
      </w:pPr>
      <w:r w:rsidRPr="00861A07">
        <w:t>Legislative Budget Board Cumulative Measure – Number of Payday Law Decisions Issued </w:t>
      </w:r>
    </w:p>
    <w:tbl>
      <w:tblPr>
        <w:tblStyle w:val="TableGrid1"/>
        <w:tblW w:w="0" w:type="dxa"/>
        <w:tblCellMar>
          <w:top w:w="58" w:type="dxa"/>
          <w:bottom w:w="58" w:type="dxa"/>
        </w:tblCellMar>
        <w:tblLook w:val="04A0" w:firstRow="1" w:lastRow="0" w:firstColumn="1" w:lastColumn="0" w:noHBand="0" w:noVBand="1"/>
      </w:tblPr>
      <w:tblGrid>
        <w:gridCol w:w="4575"/>
        <w:gridCol w:w="1440"/>
        <w:gridCol w:w="1350"/>
        <w:gridCol w:w="1263"/>
      </w:tblGrid>
      <w:tr w:rsidR="00861A07" w:rsidRPr="00861A07" w14:paraId="3EF58FB1" w14:textId="77777777" w:rsidTr="00F24EDF">
        <w:trPr>
          <w:trHeight w:val="300"/>
        </w:trPr>
        <w:tc>
          <w:tcPr>
            <w:tcW w:w="4575" w:type="dxa"/>
            <w:shd w:val="clear" w:color="auto" w:fill="B8CCE4" w:themeFill="accent1" w:themeFillTint="66"/>
            <w:vAlign w:val="center"/>
            <w:hideMark/>
          </w:tcPr>
          <w:p w14:paraId="098B6657" w14:textId="4C17519C" w:rsidR="00861A07" w:rsidRPr="00861A07" w:rsidRDefault="00861A07" w:rsidP="00F24EDF">
            <w:pPr>
              <w:pStyle w:val="TableHeaders"/>
              <w:rPr>
                <w:b w:val="0"/>
              </w:rPr>
            </w:pPr>
            <w:r w:rsidRPr="00861A07">
              <w:t>Payday Investigations</w:t>
            </w:r>
          </w:p>
        </w:tc>
        <w:tc>
          <w:tcPr>
            <w:tcW w:w="1440" w:type="dxa"/>
            <w:shd w:val="clear" w:color="auto" w:fill="B8CCE4" w:themeFill="accent1" w:themeFillTint="66"/>
            <w:vAlign w:val="center"/>
            <w:hideMark/>
          </w:tcPr>
          <w:p w14:paraId="43E1D2B9" w14:textId="35A2BCCB" w:rsidR="00861A07" w:rsidRPr="00861A07" w:rsidRDefault="00861A07" w:rsidP="00F24EDF">
            <w:pPr>
              <w:pStyle w:val="TableHeaders"/>
              <w:rPr>
                <w:b w:val="0"/>
              </w:rPr>
            </w:pPr>
            <w:r w:rsidRPr="00861A07">
              <w:t>FY22</w:t>
            </w:r>
          </w:p>
        </w:tc>
        <w:tc>
          <w:tcPr>
            <w:tcW w:w="1350" w:type="dxa"/>
            <w:shd w:val="clear" w:color="auto" w:fill="B8CCE4" w:themeFill="accent1" w:themeFillTint="66"/>
            <w:vAlign w:val="center"/>
            <w:hideMark/>
          </w:tcPr>
          <w:p w14:paraId="495DE91C" w14:textId="3F317989" w:rsidR="00861A07" w:rsidRPr="00861A07" w:rsidRDefault="00861A07" w:rsidP="00F24EDF">
            <w:pPr>
              <w:pStyle w:val="TableHeaders"/>
              <w:rPr>
                <w:b w:val="0"/>
              </w:rPr>
            </w:pPr>
            <w:r w:rsidRPr="00861A07">
              <w:t>FY23</w:t>
            </w:r>
          </w:p>
        </w:tc>
        <w:tc>
          <w:tcPr>
            <w:tcW w:w="1245" w:type="dxa"/>
            <w:shd w:val="clear" w:color="auto" w:fill="B8CCE4" w:themeFill="accent1" w:themeFillTint="66"/>
            <w:vAlign w:val="center"/>
            <w:hideMark/>
          </w:tcPr>
          <w:p w14:paraId="32C4B236" w14:textId="681042AD" w:rsidR="00861A07" w:rsidRPr="00861A07" w:rsidRDefault="00861A07" w:rsidP="00F24EDF">
            <w:pPr>
              <w:pStyle w:val="TableHeaders"/>
              <w:rPr>
                <w:b w:val="0"/>
              </w:rPr>
            </w:pPr>
            <w:r w:rsidRPr="00861A07">
              <w:t>FY24</w:t>
            </w:r>
          </w:p>
        </w:tc>
      </w:tr>
      <w:tr w:rsidR="00861A07" w:rsidRPr="00861A07" w14:paraId="7CB5C402" w14:textId="77777777" w:rsidTr="00F24EDF">
        <w:trPr>
          <w:trHeight w:val="300"/>
        </w:trPr>
        <w:tc>
          <w:tcPr>
            <w:tcW w:w="4575" w:type="dxa"/>
            <w:vAlign w:val="center"/>
            <w:hideMark/>
          </w:tcPr>
          <w:p w14:paraId="6D965D7A" w14:textId="77777777" w:rsidR="00861A07" w:rsidRPr="00861A07" w:rsidRDefault="00861A07" w:rsidP="00F24EDF">
            <w:pPr>
              <w:pStyle w:val="TableText"/>
            </w:pPr>
            <w:r w:rsidRPr="00861A07">
              <w:t>Number of Wage Claims Received  </w:t>
            </w:r>
          </w:p>
        </w:tc>
        <w:tc>
          <w:tcPr>
            <w:tcW w:w="1440" w:type="dxa"/>
            <w:vAlign w:val="center"/>
            <w:hideMark/>
          </w:tcPr>
          <w:p w14:paraId="3C8D0BE7" w14:textId="77777777" w:rsidR="00861A07" w:rsidRPr="00861A07" w:rsidRDefault="00861A07" w:rsidP="00F24EDF">
            <w:pPr>
              <w:pStyle w:val="TableText"/>
              <w:jc w:val="right"/>
            </w:pPr>
            <w:r w:rsidRPr="00861A07">
              <w:t>11671  </w:t>
            </w:r>
          </w:p>
        </w:tc>
        <w:tc>
          <w:tcPr>
            <w:tcW w:w="1350" w:type="dxa"/>
            <w:vAlign w:val="center"/>
            <w:hideMark/>
          </w:tcPr>
          <w:p w14:paraId="0A0E7D0E" w14:textId="77777777" w:rsidR="00861A07" w:rsidRPr="00861A07" w:rsidRDefault="00861A07" w:rsidP="00F24EDF">
            <w:pPr>
              <w:pStyle w:val="TableText"/>
              <w:jc w:val="right"/>
            </w:pPr>
            <w:r w:rsidRPr="00861A07">
              <w:t>14155  </w:t>
            </w:r>
          </w:p>
        </w:tc>
        <w:tc>
          <w:tcPr>
            <w:tcW w:w="1245" w:type="dxa"/>
            <w:vAlign w:val="center"/>
            <w:hideMark/>
          </w:tcPr>
          <w:p w14:paraId="68E03748" w14:textId="77777777" w:rsidR="00861A07" w:rsidRPr="00861A07" w:rsidRDefault="00861A07" w:rsidP="00F24EDF">
            <w:pPr>
              <w:pStyle w:val="TableText"/>
              <w:jc w:val="right"/>
            </w:pPr>
            <w:r w:rsidRPr="00861A07">
              <w:t>15104  </w:t>
            </w:r>
          </w:p>
        </w:tc>
      </w:tr>
      <w:tr w:rsidR="00861A07" w:rsidRPr="00861A07" w14:paraId="37EA86DD" w14:textId="77777777" w:rsidTr="00F24EDF">
        <w:trPr>
          <w:trHeight w:val="300"/>
        </w:trPr>
        <w:tc>
          <w:tcPr>
            <w:tcW w:w="4575" w:type="dxa"/>
            <w:vAlign w:val="center"/>
            <w:hideMark/>
          </w:tcPr>
          <w:p w14:paraId="642D6E6B" w14:textId="77777777" w:rsidR="00861A07" w:rsidRPr="00861A07" w:rsidRDefault="00861A07" w:rsidP="00F24EDF">
            <w:pPr>
              <w:pStyle w:val="TableText"/>
            </w:pPr>
            <w:r w:rsidRPr="00861A07">
              <w:t>Number of Wage Claims Investigated/Decisions Issued  </w:t>
            </w:r>
          </w:p>
        </w:tc>
        <w:tc>
          <w:tcPr>
            <w:tcW w:w="1440" w:type="dxa"/>
            <w:vAlign w:val="center"/>
            <w:hideMark/>
          </w:tcPr>
          <w:p w14:paraId="3DF1FC14" w14:textId="77777777" w:rsidR="00861A07" w:rsidRPr="00861A07" w:rsidRDefault="00861A07" w:rsidP="00F24EDF">
            <w:pPr>
              <w:pStyle w:val="TableText"/>
              <w:jc w:val="right"/>
            </w:pPr>
            <w:r w:rsidRPr="00861A07">
              <w:t>10372  </w:t>
            </w:r>
          </w:p>
        </w:tc>
        <w:tc>
          <w:tcPr>
            <w:tcW w:w="1350" w:type="dxa"/>
            <w:vAlign w:val="center"/>
            <w:hideMark/>
          </w:tcPr>
          <w:p w14:paraId="076052C0" w14:textId="77777777" w:rsidR="00861A07" w:rsidRPr="00861A07" w:rsidRDefault="00861A07" w:rsidP="00F24EDF">
            <w:pPr>
              <w:pStyle w:val="TableText"/>
              <w:jc w:val="right"/>
            </w:pPr>
            <w:r w:rsidRPr="00861A07">
              <w:t>10735  </w:t>
            </w:r>
          </w:p>
        </w:tc>
        <w:tc>
          <w:tcPr>
            <w:tcW w:w="1245" w:type="dxa"/>
            <w:vAlign w:val="center"/>
            <w:hideMark/>
          </w:tcPr>
          <w:p w14:paraId="15534E2B" w14:textId="77777777" w:rsidR="00861A07" w:rsidRPr="00861A07" w:rsidRDefault="00861A07" w:rsidP="00F24EDF">
            <w:pPr>
              <w:pStyle w:val="TableText"/>
              <w:jc w:val="right"/>
            </w:pPr>
            <w:r w:rsidRPr="00861A07">
              <w:t>12431  </w:t>
            </w:r>
          </w:p>
        </w:tc>
      </w:tr>
      <w:tr w:rsidR="00861A07" w:rsidRPr="00861A07" w14:paraId="3E8B4F76" w14:textId="77777777" w:rsidTr="00F24EDF">
        <w:trPr>
          <w:trHeight w:val="300"/>
        </w:trPr>
        <w:tc>
          <w:tcPr>
            <w:tcW w:w="4575" w:type="dxa"/>
            <w:vAlign w:val="center"/>
            <w:hideMark/>
          </w:tcPr>
          <w:p w14:paraId="3B448B73" w14:textId="77777777" w:rsidR="00861A07" w:rsidRPr="00861A07" w:rsidRDefault="00861A07" w:rsidP="00F24EDF">
            <w:pPr>
              <w:pStyle w:val="TableText"/>
            </w:pPr>
            <w:proofErr w:type="gramStart"/>
            <w:r w:rsidRPr="00861A07">
              <w:t>Amount</w:t>
            </w:r>
            <w:proofErr w:type="gramEnd"/>
            <w:r w:rsidRPr="00861A07">
              <w:t xml:space="preserve"> of Wages Ordered Due  </w:t>
            </w:r>
          </w:p>
        </w:tc>
        <w:tc>
          <w:tcPr>
            <w:tcW w:w="1440" w:type="dxa"/>
            <w:vAlign w:val="center"/>
            <w:hideMark/>
          </w:tcPr>
          <w:p w14:paraId="4FA69956" w14:textId="77777777" w:rsidR="00861A07" w:rsidRPr="00861A07" w:rsidRDefault="00861A07" w:rsidP="00F24EDF">
            <w:pPr>
              <w:pStyle w:val="TableText"/>
              <w:jc w:val="right"/>
            </w:pPr>
            <w:r w:rsidRPr="00861A07">
              <w:t>6,755,161  </w:t>
            </w:r>
          </w:p>
        </w:tc>
        <w:tc>
          <w:tcPr>
            <w:tcW w:w="1350" w:type="dxa"/>
            <w:vAlign w:val="center"/>
            <w:hideMark/>
          </w:tcPr>
          <w:p w14:paraId="45555AEC" w14:textId="77777777" w:rsidR="00861A07" w:rsidRPr="00861A07" w:rsidRDefault="00861A07" w:rsidP="00F24EDF">
            <w:pPr>
              <w:pStyle w:val="TableText"/>
              <w:jc w:val="right"/>
            </w:pPr>
            <w:r w:rsidRPr="00861A07">
              <w:t>7,791,693  </w:t>
            </w:r>
          </w:p>
        </w:tc>
        <w:tc>
          <w:tcPr>
            <w:tcW w:w="1245" w:type="dxa"/>
            <w:vAlign w:val="center"/>
            <w:hideMark/>
          </w:tcPr>
          <w:p w14:paraId="768DF20A" w14:textId="77777777" w:rsidR="00861A07" w:rsidRPr="00861A07" w:rsidRDefault="00861A07" w:rsidP="00F24EDF">
            <w:pPr>
              <w:pStyle w:val="TableText"/>
              <w:jc w:val="right"/>
            </w:pPr>
            <w:r w:rsidRPr="00861A07">
              <w:t>10,518,274  </w:t>
            </w:r>
          </w:p>
        </w:tc>
      </w:tr>
      <w:tr w:rsidR="00861A07" w:rsidRPr="00861A07" w14:paraId="6756BCA2" w14:textId="77777777" w:rsidTr="00F24EDF">
        <w:trPr>
          <w:trHeight w:val="300"/>
        </w:trPr>
        <w:tc>
          <w:tcPr>
            <w:tcW w:w="4575" w:type="dxa"/>
            <w:vAlign w:val="center"/>
            <w:hideMark/>
          </w:tcPr>
          <w:p w14:paraId="01743604" w14:textId="77777777" w:rsidR="00861A07" w:rsidRPr="00861A07" w:rsidRDefault="00861A07" w:rsidP="00F24EDF">
            <w:pPr>
              <w:pStyle w:val="TableText"/>
            </w:pPr>
            <w:proofErr w:type="gramStart"/>
            <w:r w:rsidRPr="00861A07">
              <w:t>Amount</w:t>
            </w:r>
            <w:proofErr w:type="gramEnd"/>
            <w:r w:rsidRPr="00861A07">
              <w:t xml:space="preserve"> of Wages Collected*  </w:t>
            </w:r>
          </w:p>
        </w:tc>
        <w:tc>
          <w:tcPr>
            <w:tcW w:w="1440" w:type="dxa"/>
            <w:vAlign w:val="center"/>
            <w:hideMark/>
          </w:tcPr>
          <w:p w14:paraId="6248EA41" w14:textId="77777777" w:rsidR="00861A07" w:rsidRPr="00861A07" w:rsidRDefault="00861A07" w:rsidP="00F24EDF">
            <w:pPr>
              <w:pStyle w:val="TableText"/>
              <w:jc w:val="right"/>
            </w:pPr>
            <w:r w:rsidRPr="00861A07">
              <w:t>5,553,250  </w:t>
            </w:r>
          </w:p>
        </w:tc>
        <w:tc>
          <w:tcPr>
            <w:tcW w:w="1350" w:type="dxa"/>
            <w:vAlign w:val="center"/>
            <w:hideMark/>
          </w:tcPr>
          <w:p w14:paraId="224F9F4D" w14:textId="77777777" w:rsidR="00861A07" w:rsidRPr="00861A07" w:rsidRDefault="00861A07" w:rsidP="00F24EDF">
            <w:pPr>
              <w:pStyle w:val="TableText"/>
              <w:jc w:val="right"/>
            </w:pPr>
            <w:r w:rsidRPr="00861A07">
              <w:t>6,404,217  </w:t>
            </w:r>
          </w:p>
        </w:tc>
        <w:tc>
          <w:tcPr>
            <w:tcW w:w="1245" w:type="dxa"/>
            <w:vAlign w:val="center"/>
            <w:hideMark/>
          </w:tcPr>
          <w:p w14:paraId="639F0A30" w14:textId="77777777" w:rsidR="00861A07" w:rsidRPr="00861A07" w:rsidRDefault="00861A07" w:rsidP="00F24EDF">
            <w:pPr>
              <w:pStyle w:val="TableText"/>
              <w:jc w:val="right"/>
            </w:pPr>
            <w:r w:rsidRPr="00861A07">
              <w:t>7,566,631  </w:t>
            </w:r>
          </w:p>
        </w:tc>
      </w:tr>
    </w:tbl>
    <w:p w14:paraId="058F93F5" w14:textId="77777777" w:rsidR="00861A07" w:rsidRPr="00861A07" w:rsidRDefault="00861A07" w:rsidP="00861A07">
      <w:pPr>
        <w:pStyle w:val="BodyText"/>
      </w:pPr>
      <w:r w:rsidRPr="00861A07">
        <w:rPr>
          <w:i/>
          <w:iCs/>
        </w:rPr>
        <w:t>*</w:t>
      </w:r>
      <w:proofErr w:type="gramStart"/>
      <w:r w:rsidRPr="00861A07">
        <w:rPr>
          <w:i/>
          <w:iCs/>
        </w:rPr>
        <w:t>collection</w:t>
      </w:r>
      <w:proofErr w:type="gramEnd"/>
      <w:r w:rsidRPr="00861A07">
        <w:rPr>
          <w:i/>
          <w:iCs/>
        </w:rPr>
        <w:t xml:space="preserve"> activities are handled by the Finance division.</w:t>
      </w:r>
      <w:r w:rsidRPr="00861A07">
        <w:t> </w:t>
      </w:r>
    </w:p>
    <w:p w14:paraId="702BD034" w14:textId="77777777" w:rsidR="00861A07" w:rsidRPr="00F24EDF" w:rsidRDefault="00861A07" w:rsidP="00700136">
      <w:pPr>
        <w:pStyle w:val="BodyText3"/>
        <w:ind w:left="720" w:hanging="720"/>
      </w:pPr>
      <w:r w:rsidRPr="00F24EDF">
        <w:t>D.</w:t>
      </w:r>
      <w:r w:rsidRPr="00F24EDF">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20FBCD62" w14:textId="65443434" w:rsidR="00861A07" w:rsidRPr="00861A07" w:rsidRDefault="00861A07" w:rsidP="00861A07">
      <w:pPr>
        <w:pStyle w:val="BodyText"/>
      </w:pPr>
      <w:r w:rsidRPr="00861A07">
        <w:t xml:space="preserve">Effective Sept. 1, 2021, the Collections and Civil Actions Department was moved from </w:t>
      </w:r>
      <w:r w:rsidR="00250765">
        <w:t xml:space="preserve">FDCM </w:t>
      </w:r>
      <w:r w:rsidRPr="00861A07">
        <w:t>to the Finance Division. Labor Law Investigations was renamed Wage and Hour effective Sept. 1, 2022. </w:t>
      </w:r>
    </w:p>
    <w:p w14:paraId="7702F76C" w14:textId="77777777" w:rsidR="00861A07" w:rsidRPr="00F24EDF" w:rsidRDefault="00861A07" w:rsidP="00700136">
      <w:pPr>
        <w:pStyle w:val="BodyText3"/>
        <w:ind w:left="720" w:hanging="720"/>
      </w:pPr>
      <w:r w:rsidRPr="00F24EDF">
        <w:t>E.</w:t>
      </w:r>
      <w:r w:rsidRPr="00F24EDF">
        <w:tab/>
        <w:t>List any qualifications or eligibility requirements for persons or entities affected by this division or program (e.g., licensees, consumers, and landowners). Provide a statistical breakdown of persons or entities affected. </w:t>
      </w:r>
    </w:p>
    <w:p w14:paraId="47DAEDBC" w14:textId="77777777" w:rsidR="00861A07" w:rsidRPr="00861A07" w:rsidRDefault="00861A07" w:rsidP="00861A07">
      <w:pPr>
        <w:pStyle w:val="BodyText"/>
      </w:pPr>
      <w:r w:rsidRPr="00861A07">
        <w:t>The Texas Payday Law and associated rules affect any employee working for a private sector employer. The payday investigative process is complaint driven; any employee who has not been paid appropriately may file a payday wage claim with this agency for investigation.  The Texas Payday Law does not apply to independent contractors.  </w:t>
      </w:r>
    </w:p>
    <w:p w14:paraId="1355A564" w14:textId="77777777" w:rsidR="006F530F" w:rsidRPr="00861A07" w:rsidRDefault="006F530F" w:rsidP="006F530F">
      <w:pPr>
        <w:pStyle w:val="BodyText"/>
      </w:pPr>
      <w:r w:rsidRPr="00861A07">
        <w:lastRenderedPageBreak/>
        <w:t>TWC’s Wage and Hour Department provides an opportunity for individuals who feel they have not been paid correctly with an avenue for pursuing those wages through a no-charge administrative process.  These parties might otherwise be unable to financially bear the cost of obtaining their earned wages. Individuals who have not been paid appropriately by a private sector employer, can file a wage complaint and have it investigated under the statute. Complainants are provided guidance on filing a payday wage complaint for unpaid wages. </w:t>
      </w:r>
    </w:p>
    <w:p w14:paraId="57B6A932" w14:textId="77777777" w:rsidR="006F530F" w:rsidRPr="00861A07" w:rsidRDefault="006F530F" w:rsidP="006F530F">
      <w:pPr>
        <w:pStyle w:val="BodyText"/>
      </w:pPr>
      <w:r w:rsidRPr="00861A07">
        <w:t>Employers found to be in violation are provided a summary of the payday law and warned that subsequent violations could result in an administrative penalty.  Employers found to have acted in bad faith in not paying wages may be assessed an administrative penalty ($1000 or amount claimed, whichever is less) and employers with multiple violations may be required to post a surety bond or the attorney general may seek injunctive relief in district court.  </w:t>
      </w:r>
    </w:p>
    <w:p w14:paraId="34DF16BF" w14:textId="77777777" w:rsidR="00861A07" w:rsidRPr="00861A07" w:rsidRDefault="00861A07" w:rsidP="00861A07">
      <w:pPr>
        <w:pStyle w:val="BodyText"/>
      </w:pPr>
      <w:r w:rsidRPr="00861A07">
        <w:t xml:space="preserve">There are no additional qualifications or eligibility requirements to receive these services aside from the requirement to be an employee of a private sector employer that the agency has jurisdiction over under </w:t>
      </w:r>
      <w:hyperlink r:id="rId229" w:tgtFrame="_blank" w:history="1">
        <w:r w:rsidRPr="00861A07">
          <w:rPr>
            <w:rStyle w:val="Hyperlink"/>
          </w:rPr>
          <w:t>40 Texas Administrative Code § 821.3</w:t>
        </w:r>
      </w:hyperlink>
      <w:r w:rsidRPr="00861A07">
        <w:t>.  </w:t>
      </w:r>
    </w:p>
    <w:p w14:paraId="6D7861DE" w14:textId="77777777" w:rsidR="00861A07" w:rsidRPr="00F24EDF" w:rsidRDefault="00861A07" w:rsidP="00700136">
      <w:pPr>
        <w:pStyle w:val="BodyText3"/>
        <w:ind w:left="720" w:hanging="720"/>
      </w:pPr>
      <w:r w:rsidRPr="00F24EDF">
        <w:t>F.</w:t>
      </w:r>
      <w:r w:rsidRPr="00F24EDF">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3E4F829A" w14:textId="24B55600" w:rsidR="00861A07" w:rsidRPr="00861A07" w:rsidRDefault="00861A07" w:rsidP="00861A07">
      <w:pPr>
        <w:pStyle w:val="BodyText"/>
      </w:pPr>
      <w:r w:rsidRPr="00861A07">
        <w:t xml:space="preserve">The Wage and Hour Department – Texas Payday Law Administration is organized within </w:t>
      </w:r>
      <w:r w:rsidR="0035373B">
        <w:t>FDCM</w:t>
      </w:r>
      <w:r w:rsidRPr="00861A07">
        <w:t xml:space="preserve"> of TWC, with the Division Director reporting to the Executive Director.  </w:t>
      </w:r>
    </w:p>
    <w:p w14:paraId="0B5218A7" w14:textId="77777777" w:rsidR="00861A07" w:rsidRPr="00861A07" w:rsidRDefault="00861A07" w:rsidP="00861A07">
      <w:pPr>
        <w:pStyle w:val="BodyText"/>
      </w:pPr>
      <w:r w:rsidRPr="00861A07">
        <w:t>The Austin office location houses the Wage and Hour examiners, support staff, a trainer, and management. All investigations are conducted by telephone, email, and mail.  Intake staff also answer Payday questions from callers. </w:t>
      </w:r>
    </w:p>
    <w:p w14:paraId="678875D0" w14:textId="72719938" w:rsidR="00861A07" w:rsidRPr="00861A07" w:rsidRDefault="00861A07" w:rsidP="00861A07">
      <w:pPr>
        <w:pStyle w:val="BodyText"/>
      </w:pPr>
      <w:r w:rsidRPr="00861A07">
        <w:t>The Wage &amp; Hour Claims flowchart</w:t>
      </w:r>
      <w:r w:rsidR="00CC2DB9">
        <w:t xml:space="preserve">, </w:t>
      </w:r>
      <w:proofErr w:type="spellStart"/>
      <w:r w:rsidR="00CC2DB9">
        <w:t>Exhibit_GAP_</w:t>
      </w:r>
      <w:r w:rsidR="00DE1E86">
        <w:t>FDCM_</w:t>
      </w:r>
      <w:r w:rsidR="006A52C7">
        <w:t>W</w:t>
      </w:r>
      <w:r w:rsidR="00D71927">
        <w:t>&amp;HFlowchart</w:t>
      </w:r>
      <w:proofErr w:type="spellEnd"/>
      <w:r w:rsidR="00A375F2">
        <w:t>,</w:t>
      </w:r>
      <w:r w:rsidRPr="00861A07">
        <w:t xml:space="preserve"> is a visual guide of the wage claim process.  </w:t>
      </w:r>
    </w:p>
    <w:p w14:paraId="5E1CBD69" w14:textId="77777777" w:rsidR="00861A07" w:rsidRPr="008C03E1" w:rsidRDefault="00861A07" w:rsidP="00700136">
      <w:pPr>
        <w:pStyle w:val="BodyText3"/>
        <w:ind w:left="720" w:hanging="720"/>
      </w:pPr>
      <w:r w:rsidRPr="008C03E1">
        <w:t>G.</w:t>
      </w:r>
      <w:r w:rsidRPr="008C03E1">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800"/>
        <w:gridCol w:w="1949"/>
        <w:gridCol w:w="1648"/>
        <w:gridCol w:w="1963"/>
      </w:tblGrid>
      <w:tr w:rsidR="00BF498A" w:rsidRPr="008811F9" w14:paraId="5726C844" w14:textId="77777777" w:rsidTr="00BF498A">
        <w:trPr>
          <w:trHeight w:val="288"/>
        </w:trPr>
        <w:tc>
          <w:tcPr>
            <w:tcW w:w="3800" w:type="dxa"/>
            <w:shd w:val="clear" w:color="auto" w:fill="B8CCE4" w:themeFill="accent1" w:themeFillTint="66"/>
            <w:vAlign w:val="center"/>
            <w:hideMark/>
          </w:tcPr>
          <w:p w14:paraId="53643B3C" w14:textId="77777777" w:rsidR="00BF498A" w:rsidRPr="008811F9" w:rsidRDefault="00BF498A" w:rsidP="00BF498A">
            <w:pPr>
              <w:pStyle w:val="TableHeaders"/>
              <w:rPr>
                <w:color w:val="000000"/>
              </w:rPr>
            </w:pPr>
            <w:r w:rsidRPr="008811F9">
              <w:t>Program or Function Detail Description</w:t>
            </w:r>
          </w:p>
        </w:tc>
        <w:tc>
          <w:tcPr>
            <w:tcW w:w="2300" w:type="dxa"/>
            <w:shd w:val="clear" w:color="auto" w:fill="B8CCE4" w:themeFill="accent1" w:themeFillTint="66"/>
            <w:vAlign w:val="center"/>
            <w:hideMark/>
          </w:tcPr>
          <w:p w14:paraId="474153C0" w14:textId="77777777" w:rsidR="00BF498A" w:rsidRPr="008811F9" w:rsidRDefault="00BF498A" w:rsidP="00BF498A">
            <w:pPr>
              <w:pStyle w:val="TableHeaders"/>
              <w:rPr>
                <w:color w:val="000000"/>
              </w:rPr>
            </w:pPr>
            <w:r w:rsidRPr="008811F9">
              <w:t>Total FY 2024</w:t>
            </w:r>
          </w:p>
        </w:tc>
        <w:tc>
          <w:tcPr>
            <w:tcW w:w="1920" w:type="dxa"/>
            <w:shd w:val="clear" w:color="auto" w:fill="B8CCE4" w:themeFill="accent1" w:themeFillTint="66"/>
            <w:vAlign w:val="center"/>
            <w:hideMark/>
          </w:tcPr>
          <w:p w14:paraId="3036B642" w14:textId="77777777" w:rsidR="00BF498A" w:rsidRPr="008811F9" w:rsidRDefault="00BF498A" w:rsidP="00BF498A">
            <w:pPr>
              <w:pStyle w:val="TableHeaders"/>
              <w:rPr>
                <w:color w:val="000000"/>
              </w:rPr>
            </w:pPr>
            <w:r w:rsidRPr="008811F9">
              <w:t>Federal Funding</w:t>
            </w:r>
          </w:p>
        </w:tc>
        <w:tc>
          <w:tcPr>
            <w:tcW w:w="2320" w:type="dxa"/>
            <w:shd w:val="clear" w:color="auto" w:fill="B8CCE4" w:themeFill="accent1" w:themeFillTint="66"/>
            <w:vAlign w:val="center"/>
            <w:hideMark/>
          </w:tcPr>
          <w:p w14:paraId="3DFABCB9" w14:textId="77777777" w:rsidR="00BF498A" w:rsidRPr="008811F9" w:rsidRDefault="00BF498A" w:rsidP="00BF498A">
            <w:pPr>
              <w:pStyle w:val="TableHeaders"/>
              <w:rPr>
                <w:color w:val="000000"/>
              </w:rPr>
            </w:pPr>
            <w:r w:rsidRPr="008811F9">
              <w:t>State Funding</w:t>
            </w:r>
          </w:p>
        </w:tc>
      </w:tr>
      <w:tr w:rsidR="00BF498A" w:rsidRPr="008811F9" w14:paraId="44DDCF8E" w14:textId="77777777" w:rsidTr="00BF498A">
        <w:trPr>
          <w:trHeight w:val="288"/>
        </w:trPr>
        <w:tc>
          <w:tcPr>
            <w:tcW w:w="3800" w:type="dxa"/>
            <w:noWrap/>
            <w:vAlign w:val="center"/>
            <w:hideMark/>
          </w:tcPr>
          <w:p w14:paraId="05DDC85A" w14:textId="77777777" w:rsidR="00BF498A" w:rsidRPr="008811F9" w:rsidRDefault="00BF498A" w:rsidP="00BF498A">
            <w:pPr>
              <w:pStyle w:val="TableText"/>
            </w:pPr>
            <w:r w:rsidRPr="008811F9">
              <w:t>Texas Payday Law Administration</w:t>
            </w:r>
          </w:p>
        </w:tc>
        <w:tc>
          <w:tcPr>
            <w:tcW w:w="2300" w:type="dxa"/>
            <w:vAlign w:val="center"/>
            <w:hideMark/>
          </w:tcPr>
          <w:p w14:paraId="285BCA89" w14:textId="75E6BC4F" w:rsidR="00BF498A" w:rsidRPr="008811F9" w:rsidRDefault="00BF498A" w:rsidP="00BF498A">
            <w:pPr>
              <w:pStyle w:val="TableText"/>
              <w:jc w:val="right"/>
            </w:pPr>
            <w:r w:rsidRPr="008811F9">
              <w:t xml:space="preserve">4,428,768 </w:t>
            </w:r>
          </w:p>
        </w:tc>
        <w:tc>
          <w:tcPr>
            <w:tcW w:w="1920" w:type="dxa"/>
            <w:vAlign w:val="center"/>
            <w:hideMark/>
          </w:tcPr>
          <w:p w14:paraId="6475B931" w14:textId="77777777" w:rsidR="00BF498A" w:rsidRPr="008811F9" w:rsidRDefault="00BF498A" w:rsidP="00BF498A">
            <w:pPr>
              <w:pStyle w:val="TableText"/>
              <w:jc w:val="right"/>
            </w:pPr>
            <w:r>
              <w:t>0</w:t>
            </w:r>
            <w:r w:rsidRPr="008811F9">
              <w:t> </w:t>
            </w:r>
          </w:p>
        </w:tc>
        <w:tc>
          <w:tcPr>
            <w:tcW w:w="2320" w:type="dxa"/>
            <w:vAlign w:val="center"/>
            <w:hideMark/>
          </w:tcPr>
          <w:p w14:paraId="134E7B53" w14:textId="7FD0B83C" w:rsidR="00BF498A" w:rsidRPr="008811F9" w:rsidRDefault="00BF498A" w:rsidP="00BF498A">
            <w:pPr>
              <w:pStyle w:val="TableText"/>
              <w:jc w:val="right"/>
            </w:pPr>
            <w:r w:rsidRPr="008811F9">
              <w:t xml:space="preserve">4,428,768 </w:t>
            </w:r>
          </w:p>
        </w:tc>
      </w:tr>
    </w:tbl>
    <w:p w14:paraId="5316AC58" w14:textId="77777777" w:rsidR="00861A07" w:rsidRPr="008C03E1" w:rsidRDefault="00861A07" w:rsidP="00700136">
      <w:pPr>
        <w:pStyle w:val="BodyText3"/>
        <w:ind w:left="720" w:hanging="720"/>
      </w:pPr>
      <w:r w:rsidRPr="008C03E1">
        <w:lastRenderedPageBreak/>
        <w:t>H.</w:t>
      </w:r>
      <w:r w:rsidRPr="008C03E1">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27DE9E29" w14:textId="77777777" w:rsidR="00861A07" w:rsidRPr="00861A07" w:rsidRDefault="00861A07" w:rsidP="00861A07">
      <w:pPr>
        <w:pStyle w:val="BodyText"/>
      </w:pPr>
      <w:r w:rsidRPr="00861A07">
        <w:t xml:space="preserve">The </w:t>
      </w:r>
      <w:hyperlink r:id="rId230" w:tgtFrame="_blank" w:history="1">
        <w:r w:rsidRPr="00861A07">
          <w:rPr>
            <w:rStyle w:val="Hyperlink"/>
          </w:rPr>
          <w:t>US Department of Labor, Wage and Hour Division</w:t>
        </w:r>
      </w:hyperlink>
      <w:r w:rsidRPr="00861A07">
        <w:t xml:space="preserve"> enforces federal minimum wage and overtime laws.  </w:t>
      </w:r>
    </w:p>
    <w:p w14:paraId="22665DD8" w14:textId="77777777" w:rsidR="00861A07" w:rsidRPr="00861A07" w:rsidRDefault="00861A07" w:rsidP="00861A07">
      <w:pPr>
        <w:pStyle w:val="BodyText"/>
      </w:pPr>
      <w:r w:rsidRPr="00861A07">
        <w:t>Under the Fair Labor Standards Act (FLSA) the USDOL-WH must establish jurisdiction over the employer before it can investigate a wage complaint. As a result, all private employers are covered under state law but may not be covered under federal law. Federal law has a two-year jurisdictional period for most issues and a three-year period for willful violations.  State law has 180-day jurisdictional period. Also, federal law has a retaliation prohibition and state law does not.  </w:t>
      </w:r>
    </w:p>
    <w:p w14:paraId="4C2ADDDE" w14:textId="77777777" w:rsidR="00861A07" w:rsidRPr="00861A07" w:rsidRDefault="00861A07" w:rsidP="00861A07">
      <w:pPr>
        <w:pStyle w:val="BodyText"/>
      </w:pPr>
      <w:r w:rsidRPr="00861A07">
        <w:t>In reviewing wage complaints, the USDOL-WH can only look at the employee’s entitlement to minimum wage for hours worked or overtime based upon the agreed rate of pay. Under the Texas Payday Law, TWC has authority to review the agreed rate of pay in determining the employee’s unpaid wages for all hours worked. Texas Payday Law also allows an employee to receive additional types of wages including fringe benefits, bonuses, and commissions.  In addition, the federal law does not have the collection tools provided under state law. </w:t>
      </w:r>
    </w:p>
    <w:p w14:paraId="238E628B" w14:textId="307FAC39" w:rsidR="00861A07" w:rsidRPr="00861A07" w:rsidRDefault="00861A07" w:rsidP="00861A07">
      <w:pPr>
        <w:pStyle w:val="BodyText"/>
      </w:pPr>
      <w:r w:rsidRPr="00861A07">
        <w:t>TWC’s Wage and Hour Department has a general MOU with the USDOL-WH. TWC and USDOL-WH recognize the value of establishing a collaborative relationship to ensure compliance by the regulated community in the State of Texas with the enforcement of laws of common concern. This partnership was formed to effectively and efficiently foster communication and cooperation.  </w:t>
      </w:r>
    </w:p>
    <w:p w14:paraId="2867409F" w14:textId="77777777" w:rsidR="00861A07" w:rsidRPr="00861A07" w:rsidRDefault="00861A07" w:rsidP="00861A07">
      <w:pPr>
        <w:pStyle w:val="BodyText"/>
      </w:pPr>
      <w:r w:rsidRPr="00861A07">
        <w:t>Information concerning misclassified employees is shared between TWC’s Wage and Hour Department, USDOL-WH, and TWC’s Tax Department.  Cases concerning unpaid wages are also referred between USDOL-WH and TWC’s Wage and Hour Department where jurisdiction may be appropriate. </w:t>
      </w:r>
    </w:p>
    <w:p w14:paraId="1C26CA3D" w14:textId="77777777" w:rsidR="00861A07" w:rsidRPr="008C03E1" w:rsidRDefault="00861A07" w:rsidP="00700136">
      <w:pPr>
        <w:pStyle w:val="BodyText3"/>
        <w:ind w:left="720" w:hanging="720"/>
      </w:pPr>
      <w:r w:rsidRPr="008C03E1">
        <w:t>I.</w:t>
      </w:r>
      <w:r w:rsidRPr="008C03E1">
        <w:tab/>
        <w:t>If the division or program works with local, regional, or federal units of government, include a brief description of these entities and their relationship to the agency. </w:t>
      </w:r>
    </w:p>
    <w:p w14:paraId="17293BA9" w14:textId="77777777" w:rsidR="00861A07" w:rsidRPr="00861A07" w:rsidRDefault="00861A07" w:rsidP="00861A07">
      <w:pPr>
        <w:pStyle w:val="BodyText"/>
      </w:pPr>
      <w:r w:rsidRPr="00861A07">
        <w:t>TWC’s Wage and Hour Department partners with the US Department of Labor as described above in section H. </w:t>
      </w:r>
    </w:p>
    <w:p w14:paraId="23E29066" w14:textId="77777777" w:rsidR="00861A07" w:rsidRPr="00193261" w:rsidRDefault="00861A07" w:rsidP="00700136">
      <w:pPr>
        <w:pStyle w:val="BodyText3"/>
        <w:ind w:left="720" w:hanging="720"/>
      </w:pPr>
      <w:r w:rsidRPr="00193261">
        <w:t>J.</w:t>
      </w:r>
      <w:r w:rsidRPr="00193261">
        <w:tab/>
        <w:t>Are there any barriers or challenges that impede the division or program’s performance, including any outdated or ineffective state laws? Explain. </w:t>
      </w:r>
    </w:p>
    <w:p w14:paraId="45CA4FE7" w14:textId="77777777" w:rsidR="00861A07" w:rsidRPr="00861A07" w:rsidRDefault="00861A07" w:rsidP="00861A07">
      <w:pPr>
        <w:pStyle w:val="BodyText"/>
      </w:pPr>
      <w:r w:rsidRPr="00861A07">
        <w:t xml:space="preserve">The mainframe application used by Wage and Hour is outdated and presents challenges to the program’s continued performance.  Wage and Hour Application Modernization is a </w:t>
      </w:r>
      <w:r w:rsidRPr="00861A07">
        <w:lastRenderedPageBreak/>
        <w:t>capital budget project that began on Sept. 1, 2023. The project’s goal is to design a system that supports the current case management system along with online filing capabilities in a language and a platform that is user friendly to claimants and employers while increasing supportability for IT staff.  The project is scheduled to be completed around August 2025 and would improve data integrity, reduce the risk of disclosure of personal identifiable information, and improve program outcomes and measures. Failing to complete the modernization project or needing to overly reduce the scope of the project poses a risk to the program’s ability to effectively meet future program objectives. </w:t>
      </w:r>
    </w:p>
    <w:p w14:paraId="7D682941" w14:textId="77777777" w:rsidR="00861A07" w:rsidRPr="00193261" w:rsidRDefault="00861A07" w:rsidP="00700136">
      <w:pPr>
        <w:pStyle w:val="BodyText3"/>
        <w:ind w:left="720" w:hanging="720"/>
      </w:pPr>
      <w:r w:rsidRPr="00193261">
        <w:t>K.</w:t>
      </w:r>
      <w:r w:rsidRPr="00193261">
        <w:tab/>
        <w:t>Provide any additional information needed to gain a preliminary understanding of the division or program. </w:t>
      </w:r>
    </w:p>
    <w:p w14:paraId="2003A8BD" w14:textId="77777777" w:rsidR="00861A07" w:rsidRPr="00861A07" w:rsidRDefault="00861A07" w:rsidP="00861A07">
      <w:pPr>
        <w:pStyle w:val="BodyText"/>
      </w:pPr>
      <w:r w:rsidRPr="00861A07">
        <w:t>In 2024, the Internal Audit team reviewed the Wage and Hour Department to determine if controls are in place to ensure compliance with federal and state requirements (Project No. 2023-005-30).  The audit found that the Wage and Hour Department had controls in place to process wage claims according to state laws and regulations.  The audit report suggested two improvements: (1) set reasonable and achievable goals for processing claims, and (2) make sure shared Outlook email accounts are secure.  To address the first suggestion, the Wage and Hour Department analyzed its workload and updated its claim processing goals. To address the second suggestion, the department removed one person’s access to the shared Outlook email and now reviews access to these distribution lists every three months. </w:t>
      </w:r>
    </w:p>
    <w:p w14:paraId="476D1388" w14:textId="77777777" w:rsidR="00861A07" w:rsidRPr="00193261" w:rsidRDefault="00861A07" w:rsidP="00700136">
      <w:pPr>
        <w:pStyle w:val="BodyText3"/>
        <w:ind w:left="720" w:hanging="720"/>
      </w:pPr>
      <w:r w:rsidRPr="00193261">
        <w:t>L.</w:t>
      </w:r>
      <w:r w:rsidRPr="00193261">
        <w:tab/>
        <w:t>Regulatory programs relate to the licensing, registration, certification, or permitting of a person, business, piece of equipment, or other entity (e.g., a facility). For each regulatory program, if applicable, describe: </w:t>
      </w:r>
    </w:p>
    <w:p w14:paraId="2C6D173B" w14:textId="43A8888E" w:rsidR="00A74108" w:rsidRPr="00861A07" w:rsidRDefault="00A74108" w:rsidP="00861A07">
      <w:pPr>
        <w:pStyle w:val="BodyText"/>
      </w:pPr>
      <w:r>
        <w:t>N/A</w:t>
      </w:r>
    </w:p>
    <w:p w14:paraId="5EDCB1C0" w14:textId="77777777" w:rsidR="00861A07" w:rsidRPr="00193261" w:rsidRDefault="00861A07" w:rsidP="00700136">
      <w:pPr>
        <w:pStyle w:val="BodyText3"/>
        <w:ind w:left="720" w:hanging="720"/>
      </w:pPr>
      <w:r w:rsidRPr="00193261">
        <w:t>M.</w:t>
      </w:r>
      <w:r w:rsidRPr="00193261">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539BEFE3" w14:textId="69D7CB0A" w:rsidR="00861A07" w:rsidRPr="00861A07" w:rsidRDefault="00861A07" w:rsidP="00EE43CA">
      <w:pPr>
        <w:pStyle w:val="BodyText"/>
        <w:jc w:val="center"/>
      </w:pPr>
      <w:r w:rsidRPr="00861A07">
        <w:rPr>
          <w:b/>
          <w:bCs/>
        </w:rPr>
        <w:t>Information on Regulated Population; Complaints Against Regulated Persons, Businesses, or other</w:t>
      </w:r>
      <w:r w:rsidRPr="00861A07">
        <w:t> </w:t>
      </w:r>
      <w:r w:rsidRPr="00861A07">
        <w:rPr>
          <w:b/>
          <w:bCs/>
        </w:rPr>
        <w:t>Entities; and Disciplinary Actions</w:t>
      </w:r>
      <w:r w:rsidRPr="00861A07">
        <w:t> </w:t>
      </w:r>
      <w:r w:rsidRPr="00861A07">
        <w:rPr>
          <w:b/>
          <w:bCs/>
        </w:rPr>
        <w:t>FY 2020 to FY 2024</w:t>
      </w:r>
      <w:r w:rsidRPr="00861A07">
        <w:t> </w:t>
      </w:r>
    </w:p>
    <w:tbl>
      <w:tblPr>
        <w:tblStyle w:val="TableGrid1"/>
        <w:tblW w:w="8644" w:type="dxa"/>
        <w:tblCellMar>
          <w:top w:w="58" w:type="dxa"/>
          <w:bottom w:w="58" w:type="dxa"/>
        </w:tblCellMar>
        <w:tblLook w:val="04A0" w:firstRow="1" w:lastRow="0" w:firstColumn="1" w:lastColumn="0" w:noHBand="0" w:noVBand="1"/>
      </w:tblPr>
      <w:tblGrid>
        <w:gridCol w:w="4650"/>
        <w:gridCol w:w="825"/>
        <w:gridCol w:w="810"/>
        <w:gridCol w:w="797"/>
        <w:gridCol w:w="797"/>
        <w:gridCol w:w="765"/>
      </w:tblGrid>
      <w:tr w:rsidR="00193261" w:rsidRPr="00861A07" w14:paraId="4F7CC6C5" w14:textId="77777777" w:rsidTr="00700136">
        <w:trPr>
          <w:trHeight w:val="300"/>
        </w:trPr>
        <w:tc>
          <w:tcPr>
            <w:tcW w:w="4650" w:type="dxa"/>
            <w:shd w:val="clear" w:color="auto" w:fill="B8CCE4" w:themeFill="accent1" w:themeFillTint="66"/>
            <w:vAlign w:val="center"/>
            <w:hideMark/>
          </w:tcPr>
          <w:p w14:paraId="04AFFDA0" w14:textId="5B3CB85F" w:rsidR="00861A07" w:rsidRPr="00861A07" w:rsidRDefault="00861A07" w:rsidP="00193261">
            <w:pPr>
              <w:pStyle w:val="TableHeaders"/>
              <w:rPr>
                <w:b w:val="0"/>
              </w:rPr>
            </w:pPr>
            <w:r w:rsidRPr="00861A07">
              <w:lastRenderedPageBreak/>
              <w:t>*Number within Total Regulated Population (Active Credentials Only)</w:t>
            </w:r>
          </w:p>
        </w:tc>
        <w:tc>
          <w:tcPr>
            <w:tcW w:w="825" w:type="dxa"/>
            <w:shd w:val="clear" w:color="auto" w:fill="B8CCE4" w:themeFill="accent1" w:themeFillTint="66"/>
            <w:vAlign w:val="center"/>
            <w:hideMark/>
          </w:tcPr>
          <w:p w14:paraId="6EA19B78" w14:textId="4379EA74" w:rsidR="00861A07" w:rsidRPr="00861A07" w:rsidRDefault="00861A07" w:rsidP="00193261">
            <w:pPr>
              <w:pStyle w:val="TableHeaders"/>
              <w:rPr>
                <w:b w:val="0"/>
              </w:rPr>
            </w:pPr>
            <w:r w:rsidRPr="00861A07">
              <w:t>FY20</w:t>
            </w:r>
          </w:p>
        </w:tc>
        <w:tc>
          <w:tcPr>
            <w:tcW w:w="810" w:type="dxa"/>
            <w:shd w:val="clear" w:color="auto" w:fill="B8CCE4" w:themeFill="accent1" w:themeFillTint="66"/>
            <w:vAlign w:val="center"/>
            <w:hideMark/>
          </w:tcPr>
          <w:p w14:paraId="48D63B36" w14:textId="37244B18" w:rsidR="00861A07" w:rsidRPr="00861A07" w:rsidRDefault="00861A07" w:rsidP="00193261">
            <w:pPr>
              <w:pStyle w:val="TableHeaders"/>
              <w:rPr>
                <w:b w:val="0"/>
              </w:rPr>
            </w:pPr>
            <w:r w:rsidRPr="00861A07">
              <w:t>FY21</w:t>
            </w:r>
          </w:p>
        </w:tc>
        <w:tc>
          <w:tcPr>
            <w:tcW w:w="797" w:type="dxa"/>
            <w:shd w:val="clear" w:color="auto" w:fill="B8CCE4" w:themeFill="accent1" w:themeFillTint="66"/>
            <w:vAlign w:val="center"/>
            <w:hideMark/>
          </w:tcPr>
          <w:p w14:paraId="5DAA60C1" w14:textId="0661A13A" w:rsidR="00861A07" w:rsidRPr="00861A07" w:rsidRDefault="00861A07" w:rsidP="00193261">
            <w:pPr>
              <w:pStyle w:val="TableHeaders"/>
              <w:rPr>
                <w:b w:val="0"/>
              </w:rPr>
            </w:pPr>
            <w:r w:rsidRPr="00861A07">
              <w:t>FY22</w:t>
            </w:r>
          </w:p>
        </w:tc>
        <w:tc>
          <w:tcPr>
            <w:tcW w:w="797" w:type="dxa"/>
            <w:shd w:val="clear" w:color="auto" w:fill="B8CCE4" w:themeFill="accent1" w:themeFillTint="66"/>
            <w:vAlign w:val="center"/>
            <w:hideMark/>
          </w:tcPr>
          <w:p w14:paraId="6C4EB9A8" w14:textId="6A72E8D0" w:rsidR="00861A07" w:rsidRPr="00861A07" w:rsidRDefault="00861A07" w:rsidP="00193261">
            <w:pPr>
              <w:pStyle w:val="TableHeaders"/>
              <w:rPr>
                <w:b w:val="0"/>
              </w:rPr>
            </w:pPr>
            <w:r w:rsidRPr="00861A07">
              <w:t>FY23</w:t>
            </w:r>
          </w:p>
        </w:tc>
        <w:tc>
          <w:tcPr>
            <w:tcW w:w="765" w:type="dxa"/>
            <w:shd w:val="clear" w:color="auto" w:fill="B8CCE4" w:themeFill="accent1" w:themeFillTint="66"/>
            <w:vAlign w:val="center"/>
            <w:hideMark/>
          </w:tcPr>
          <w:p w14:paraId="2335514D" w14:textId="555A5CFC" w:rsidR="00861A07" w:rsidRPr="00861A07" w:rsidRDefault="00861A07" w:rsidP="00193261">
            <w:pPr>
              <w:pStyle w:val="TableHeaders"/>
              <w:rPr>
                <w:b w:val="0"/>
              </w:rPr>
            </w:pPr>
            <w:r w:rsidRPr="00861A07">
              <w:t>FY24</w:t>
            </w:r>
          </w:p>
        </w:tc>
      </w:tr>
      <w:tr w:rsidR="00861A07" w:rsidRPr="00861A07" w14:paraId="0BA9A1F7" w14:textId="77777777" w:rsidTr="00700136">
        <w:trPr>
          <w:trHeight w:val="300"/>
        </w:trPr>
        <w:tc>
          <w:tcPr>
            <w:tcW w:w="4650" w:type="dxa"/>
            <w:vAlign w:val="center"/>
            <w:hideMark/>
          </w:tcPr>
          <w:p w14:paraId="00E25E91" w14:textId="77777777" w:rsidR="00861A07" w:rsidRPr="00861A07" w:rsidRDefault="00861A07" w:rsidP="00193261">
            <w:pPr>
              <w:pStyle w:val="TableText"/>
            </w:pPr>
            <w:r w:rsidRPr="00861A07">
              <w:t>Total number of regulation persons (employees/claimants) </w:t>
            </w:r>
          </w:p>
        </w:tc>
        <w:tc>
          <w:tcPr>
            <w:tcW w:w="825" w:type="dxa"/>
            <w:vAlign w:val="center"/>
            <w:hideMark/>
          </w:tcPr>
          <w:p w14:paraId="0752A2D7" w14:textId="77777777" w:rsidR="00861A07" w:rsidRPr="00861A07" w:rsidRDefault="00861A07" w:rsidP="00193261">
            <w:pPr>
              <w:pStyle w:val="TableText"/>
              <w:jc w:val="right"/>
            </w:pPr>
            <w:r w:rsidRPr="00861A07">
              <w:t>7306 </w:t>
            </w:r>
          </w:p>
        </w:tc>
        <w:tc>
          <w:tcPr>
            <w:tcW w:w="810" w:type="dxa"/>
            <w:vAlign w:val="center"/>
            <w:hideMark/>
          </w:tcPr>
          <w:p w14:paraId="083DD47F" w14:textId="77777777" w:rsidR="00861A07" w:rsidRPr="00861A07" w:rsidRDefault="00861A07" w:rsidP="00193261">
            <w:pPr>
              <w:pStyle w:val="TableText"/>
              <w:jc w:val="right"/>
            </w:pPr>
            <w:r w:rsidRPr="00861A07">
              <w:t>11059 </w:t>
            </w:r>
          </w:p>
        </w:tc>
        <w:tc>
          <w:tcPr>
            <w:tcW w:w="797" w:type="dxa"/>
            <w:vAlign w:val="center"/>
            <w:hideMark/>
          </w:tcPr>
          <w:p w14:paraId="470DC891" w14:textId="77777777" w:rsidR="00861A07" w:rsidRPr="00861A07" w:rsidRDefault="00861A07" w:rsidP="00193261">
            <w:pPr>
              <w:pStyle w:val="TableText"/>
              <w:jc w:val="right"/>
            </w:pPr>
            <w:r w:rsidRPr="00861A07">
              <w:t>13231 </w:t>
            </w:r>
          </w:p>
        </w:tc>
        <w:tc>
          <w:tcPr>
            <w:tcW w:w="797" w:type="dxa"/>
            <w:vAlign w:val="center"/>
            <w:hideMark/>
          </w:tcPr>
          <w:p w14:paraId="76D43C40" w14:textId="77777777" w:rsidR="00861A07" w:rsidRPr="00861A07" w:rsidRDefault="00861A07" w:rsidP="00193261">
            <w:pPr>
              <w:pStyle w:val="TableText"/>
              <w:jc w:val="right"/>
            </w:pPr>
            <w:r w:rsidRPr="00861A07">
              <w:t>14177 </w:t>
            </w:r>
          </w:p>
        </w:tc>
        <w:tc>
          <w:tcPr>
            <w:tcW w:w="765" w:type="dxa"/>
            <w:vAlign w:val="center"/>
            <w:hideMark/>
          </w:tcPr>
          <w:p w14:paraId="4718560A" w14:textId="77777777" w:rsidR="00861A07" w:rsidRPr="00861A07" w:rsidRDefault="00861A07" w:rsidP="00193261">
            <w:pPr>
              <w:pStyle w:val="TableText"/>
              <w:jc w:val="right"/>
            </w:pPr>
            <w:r w:rsidRPr="00861A07">
              <w:t>7667 </w:t>
            </w:r>
          </w:p>
        </w:tc>
      </w:tr>
      <w:tr w:rsidR="00861A07" w:rsidRPr="00861A07" w14:paraId="4EAA82A4" w14:textId="77777777" w:rsidTr="00700136">
        <w:trPr>
          <w:trHeight w:val="300"/>
        </w:trPr>
        <w:tc>
          <w:tcPr>
            <w:tcW w:w="4650" w:type="dxa"/>
            <w:vAlign w:val="center"/>
            <w:hideMark/>
          </w:tcPr>
          <w:p w14:paraId="05B73C87" w14:textId="77777777" w:rsidR="00861A07" w:rsidRPr="00861A07" w:rsidRDefault="00861A07" w:rsidP="00193261">
            <w:pPr>
              <w:pStyle w:val="TableText"/>
            </w:pPr>
            <w:r w:rsidRPr="00861A07">
              <w:t>Total number of regulated entities (employers) </w:t>
            </w:r>
          </w:p>
        </w:tc>
        <w:tc>
          <w:tcPr>
            <w:tcW w:w="825" w:type="dxa"/>
            <w:vAlign w:val="center"/>
            <w:hideMark/>
          </w:tcPr>
          <w:p w14:paraId="6199B892" w14:textId="77777777" w:rsidR="00861A07" w:rsidRPr="00861A07" w:rsidRDefault="00861A07" w:rsidP="00193261">
            <w:pPr>
              <w:pStyle w:val="TableText"/>
              <w:jc w:val="right"/>
            </w:pPr>
            <w:r w:rsidRPr="00861A07">
              <w:t>5531 </w:t>
            </w:r>
          </w:p>
        </w:tc>
        <w:tc>
          <w:tcPr>
            <w:tcW w:w="810" w:type="dxa"/>
            <w:vAlign w:val="center"/>
            <w:hideMark/>
          </w:tcPr>
          <w:p w14:paraId="614A9559" w14:textId="77777777" w:rsidR="00861A07" w:rsidRPr="00861A07" w:rsidRDefault="00861A07" w:rsidP="00193261">
            <w:pPr>
              <w:pStyle w:val="TableText"/>
              <w:jc w:val="right"/>
            </w:pPr>
            <w:r w:rsidRPr="00861A07">
              <w:t>7913 </w:t>
            </w:r>
          </w:p>
        </w:tc>
        <w:tc>
          <w:tcPr>
            <w:tcW w:w="797" w:type="dxa"/>
            <w:vAlign w:val="center"/>
            <w:hideMark/>
          </w:tcPr>
          <w:p w14:paraId="05506F25" w14:textId="77777777" w:rsidR="00861A07" w:rsidRPr="00861A07" w:rsidRDefault="00861A07" w:rsidP="00193261">
            <w:pPr>
              <w:pStyle w:val="TableText"/>
              <w:jc w:val="right"/>
            </w:pPr>
            <w:r w:rsidRPr="00861A07">
              <w:t>9201 </w:t>
            </w:r>
          </w:p>
        </w:tc>
        <w:tc>
          <w:tcPr>
            <w:tcW w:w="797" w:type="dxa"/>
            <w:vAlign w:val="center"/>
            <w:hideMark/>
          </w:tcPr>
          <w:p w14:paraId="79C4A2EC" w14:textId="77777777" w:rsidR="00861A07" w:rsidRPr="00861A07" w:rsidRDefault="00861A07" w:rsidP="00193261">
            <w:pPr>
              <w:pStyle w:val="TableText"/>
              <w:jc w:val="right"/>
            </w:pPr>
            <w:r w:rsidRPr="00861A07">
              <w:t>9398 </w:t>
            </w:r>
          </w:p>
        </w:tc>
        <w:tc>
          <w:tcPr>
            <w:tcW w:w="765" w:type="dxa"/>
            <w:vAlign w:val="center"/>
            <w:hideMark/>
          </w:tcPr>
          <w:p w14:paraId="07AB38B1" w14:textId="77777777" w:rsidR="00861A07" w:rsidRPr="00861A07" w:rsidRDefault="00861A07" w:rsidP="00193261">
            <w:pPr>
              <w:pStyle w:val="TableText"/>
              <w:jc w:val="right"/>
            </w:pPr>
            <w:r w:rsidRPr="00861A07">
              <w:t>5538 </w:t>
            </w:r>
          </w:p>
        </w:tc>
      </w:tr>
    </w:tbl>
    <w:p w14:paraId="7E62AB16" w14:textId="12AAF203" w:rsidR="00861A07" w:rsidRPr="00861A07" w:rsidRDefault="00861A07" w:rsidP="00861A07">
      <w:pPr>
        <w:pStyle w:val="BodyText"/>
      </w:pPr>
    </w:p>
    <w:tbl>
      <w:tblPr>
        <w:tblStyle w:val="TableGrid1"/>
        <w:tblW w:w="0" w:type="dxa"/>
        <w:tblCellMar>
          <w:top w:w="58" w:type="dxa"/>
          <w:bottom w:w="58" w:type="dxa"/>
        </w:tblCellMar>
        <w:tblLook w:val="04A0" w:firstRow="1" w:lastRow="0" w:firstColumn="1" w:lastColumn="0" w:noHBand="0" w:noVBand="1"/>
      </w:tblPr>
      <w:tblGrid>
        <w:gridCol w:w="4650"/>
        <w:gridCol w:w="825"/>
        <w:gridCol w:w="810"/>
        <w:gridCol w:w="797"/>
        <w:gridCol w:w="797"/>
        <w:gridCol w:w="797"/>
      </w:tblGrid>
      <w:tr w:rsidR="00193261" w:rsidRPr="00861A07" w14:paraId="593F6591" w14:textId="77777777" w:rsidTr="00193261">
        <w:trPr>
          <w:trHeight w:val="300"/>
        </w:trPr>
        <w:tc>
          <w:tcPr>
            <w:tcW w:w="4650" w:type="dxa"/>
            <w:shd w:val="clear" w:color="auto" w:fill="B8CCE4" w:themeFill="accent1" w:themeFillTint="66"/>
            <w:vAlign w:val="center"/>
            <w:hideMark/>
          </w:tcPr>
          <w:p w14:paraId="2A4A5F35" w14:textId="10DF56DB" w:rsidR="00861A07" w:rsidRPr="00861A07" w:rsidRDefault="00861A07" w:rsidP="00193261">
            <w:pPr>
              <w:pStyle w:val="TableHeaders"/>
              <w:rPr>
                <w:b w:val="0"/>
              </w:rPr>
            </w:pPr>
            <w:r w:rsidRPr="00861A07">
              <w:t>Complaints Received by Source</w:t>
            </w:r>
          </w:p>
        </w:tc>
        <w:tc>
          <w:tcPr>
            <w:tcW w:w="825" w:type="dxa"/>
            <w:shd w:val="clear" w:color="auto" w:fill="B8CCE4" w:themeFill="accent1" w:themeFillTint="66"/>
            <w:vAlign w:val="center"/>
            <w:hideMark/>
          </w:tcPr>
          <w:p w14:paraId="0233439B" w14:textId="6313BA7E" w:rsidR="00861A07" w:rsidRPr="00861A07" w:rsidRDefault="00861A07" w:rsidP="00193261">
            <w:pPr>
              <w:pStyle w:val="TableHeaders"/>
              <w:rPr>
                <w:b w:val="0"/>
              </w:rPr>
            </w:pPr>
            <w:r w:rsidRPr="00861A07">
              <w:t>FY20</w:t>
            </w:r>
          </w:p>
        </w:tc>
        <w:tc>
          <w:tcPr>
            <w:tcW w:w="810" w:type="dxa"/>
            <w:shd w:val="clear" w:color="auto" w:fill="B8CCE4" w:themeFill="accent1" w:themeFillTint="66"/>
            <w:vAlign w:val="center"/>
            <w:hideMark/>
          </w:tcPr>
          <w:p w14:paraId="03B55280" w14:textId="06E650B0" w:rsidR="00861A07" w:rsidRPr="00861A07" w:rsidRDefault="00861A07" w:rsidP="00193261">
            <w:pPr>
              <w:pStyle w:val="TableHeaders"/>
              <w:rPr>
                <w:b w:val="0"/>
              </w:rPr>
            </w:pPr>
            <w:r w:rsidRPr="00861A07">
              <w:t>FY21</w:t>
            </w:r>
          </w:p>
        </w:tc>
        <w:tc>
          <w:tcPr>
            <w:tcW w:w="765" w:type="dxa"/>
            <w:shd w:val="clear" w:color="auto" w:fill="B8CCE4" w:themeFill="accent1" w:themeFillTint="66"/>
            <w:vAlign w:val="center"/>
            <w:hideMark/>
          </w:tcPr>
          <w:p w14:paraId="5E2AAD07" w14:textId="4CB22C67" w:rsidR="00861A07" w:rsidRPr="00861A07" w:rsidRDefault="00861A07" w:rsidP="00193261">
            <w:pPr>
              <w:pStyle w:val="TableHeaders"/>
              <w:rPr>
                <w:b w:val="0"/>
              </w:rPr>
            </w:pPr>
            <w:r w:rsidRPr="00861A07">
              <w:t>FY22</w:t>
            </w:r>
          </w:p>
        </w:tc>
        <w:tc>
          <w:tcPr>
            <w:tcW w:w="765" w:type="dxa"/>
            <w:shd w:val="clear" w:color="auto" w:fill="B8CCE4" w:themeFill="accent1" w:themeFillTint="66"/>
            <w:vAlign w:val="center"/>
            <w:hideMark/>
          </w:tcPr>
          <w:p w14:paraId="263CBCAD" w14:textId="6A5E5BA9" w:rsidR="00861A07" w:rsidRPr="00861A07" w:rsidRDefault="00861A07" w:rsidP="00193261">
            <w:pPr>
              <w:pStyle w:val="TableHeaders"/>
              <w:rPr>
                <w:b w:val="0"/>
              </w:rPr>
            </w:pPr>
            <w:r w:rsidRPr="00861A07">
              <w:t>FY23</w:t>
            </w:r>
          </w:p>
        </w:tc>
        <w:tc>
          <w:tcPr>
            <w:tcW w:w="765" w:type="dxa"/>
            <w:shd w:val="clear" w:color="auto" w:fill="B8CCE4" w:themeFill="accent1" w:themeFillTint="66"/>
            <w:vAlign w:val="center"/>
            <w:hideMark/>
          </w:tcPr>
          <w:p w14:paraId="031F0CEC" w14:textId="40EF3FFB" w:rsidR="00861A07" w:rsidRPr="00861A07" w:rsidRDefault="00861A07" w:rsidP="00193261">
            <w:pPr>
              <w:pStyle w:val="TableHeaders"/>
              <w:rPr>
                <w:b w:val="0"/>
              </w:rPr>
            </w:pPr>
            <w:r w:rsidRPr="00861A07">
              <w:t>FY24</w:t>
            </w:r>
          </w:p>
        </w:tc>
      </w:tr>
      <w:tr w:rsidR="00861A07" w:rsidRPr="00861A07" w14:paraId="777FB1A3" w14:textId="77777777" w:rsidTr="00193261">
        <w:trPr>
          <w:trHeight w:val="300"/>
        </w:trPr>
        <w:tc>
          <w:tcPr>
            <w:tcW w:w="4650" w:type="dxa"/>
            <w:vAlign w:val="center"/>
            <w:hideMark/>
          </w:tcPr>
          <w:p w14:paraId="70284F7B" w14:textId="77777777" w:rsidR="00861A07" w:rsidRPr="00861A07" w:rsidRDefault="00861A07" w:rsidP="00193261">
            <w:pPr>
              <w:pStyle w:val="TableText"/>
            </w:pPr>
            <w:r w:rsidRPr="00861A07">
              <w:t>Total Complaints Received </w:t>
            </w:r>
          </w:p>
        </w:tc>
        <w:tc>
          <w:tcPr>
            <w:tcW w:w="825" w:type="dxa"/>
            <w:vAlign w:val="center"/>
            <w:hideMark/>
          </w:tcPr>
          <w:p w14:paraId="557E106D" w14:textId="77777777" w:rsidR="00861A07" w:rsidRPr="00861A07" w:rsidRDefault="00861A07" w:rsidP="00193261">
            <w:pPr>
              <w:pStyle w:val="TableText"/>
              <w:jc w:val="right"/>
            </w:pPr>
            <w:r w:rsidRPr="00861A07">
              <w:t>9952 </w:t>
            </w:r>
          </w:p>
        </w:tc>
        <w:tc>
          <w:tcPr>
            <w:tcW w:w="810" w:type="dxa"/>
            <w:vAlign w:val="center"/>
            <w:hideMark/>
          </w:tcPr>
          <w:p w14:paraId="6049116B" w14:textId="77777777" w:rsidR="00861A07" w:rsidRPr="00861A07" w:rsidRDefault="00861A07" w:rsidP="00193261">
            <w:pPr>
              <w:pStyle w:val="TableText"/>
              <w:jc w:val="right"/>
            </w:pPr>
            <w:r w:rsidRPr="00861A07">
              <w:t>7448 </w:t>
            </w:r>
          </w:p>
        </w:tc>
        <w:tc>
          <w:tcPr>
            <w:tcW w:w="765" w:type="dxa"/>
            <w:vAlign w:val="center"/>
            <w:hideMark/>
          </w:tcPr>
          <w:p w14:paraId="6E2E1E52" w14:textId="77777777" w:rsidR="00861A07" w:rsidRPr="00861A07" w:rsidRDefault="00861A07" w:rsidP="00193261">
            <w:pPr>
              <w:pStyle w:val="TableText"/>
              <w:jc w:val="right"/>
            </w:pPr>
            <w:r w:rsidRPr="00861A07">
              <w:t>11671 </w:t>
            </w:r>
          </w:p>
        </w:tc>
        <w:tc>
          <w:tcPr>
            <w:tcW w:w="765" w:type="dxa"/>
            <w:vAlign w:val="center"/>
            <w:hideMark/>
          </w:tcPr>
          <w:p w14:paraId="7A4E1191" w14:textId="77777777" w:rsidR="00861A07" w:rsidRPr="00861A07" w:rsidRDefault="00861A07" w:rsidP="00193261">
            <w:pPr>
              <w:pStyle w:val="TableText"/>
              <w:jc w:val="right"/>
            </w:pPr>
            <w:r w:rsidRPr="00861A07">
              <w:t>14155 </w:t>
            </w:r>
          </w:p>
        </w:tc>
        <w:tc>
          <w:tcPr>
            <w:tcW w:w="765" w:type="dxa"/>
            <w:vAlign w:val="center"/>
            <w:hideMark/>
          </w:tcPr>
          <w:p w14:paraId="2004E987" w14:textId="77777777" w:rsidR="00861A07" w:rsidRPr="00861A07" w:rsidRDefault="00861A07" w:rsidP="00193261">
            <w:pPr>
              <w:pStyle w:val="TableText"/>
              <w:jc w:val="right"/>
            </w:pPr>
            <w:r w:rsidRPr="00861A07">
              <w:t>15104 </w:t>
            </w:r>
          </w:p>
        </w:tc>
      </w:tr>
      <w:tr w:rsidR="00861A07" w:rsidRPr="00861A07" w14:paraId="7AABB4C5" w14:textId="77777777" w:rsidTr="00193261">
        <w:trPr>
          <w:trHeight w:val="300"/>
        </w:trPr>
        <w:tc>
          <w:tcPr>
            <w:tcW w:w="4650" w:type="dxa"/>
            <w:vAlign w:val="center"/>
            <w:hideMark/>
          </w:tcPr>
          <w:p w14:paraId="78CEB2FF" w14:textId="77777777" w:rsidR="00861A07" w:rsidRPr="00861A07" w:rsidRDefault="00861A07" w:rsidP="00193261">
            <w:pPr>
              <w:pStyle w:val="TableText"/>
            </w:pPr>
            <w:r w:rsidRPr="00861A07">
              <w:t xml:space="preserve">Complaints Initiated by Agency (originating from criminal history </w:t>
            </w:r>
            <w:proofErr w:type="gramStart"/>
            <w:r w:rsidRPr="00861A07">
              <w:t>checks)*</w:t>
            </w:r>
            <w:proofErr w:type="gramEnd"/>
            <w:r w:rsidRPr="00861A07">
              <w:t> </w:t>
            </w:r>
          </w:p>
        </w:tc>
        <w:tc>
          <w:tcPr>
            <w:tcW w:w="825" w:type="dxa"/>
            <w:vAlign w:val="center"/>
            <w:hideMark/>
          </w:tcPr>
          <w:p w14:paraId="2CB5D959" w14:textId="77777777" w:rsidR="00861A07" w:rsidRPr="00861A07" w:rsidRDefault="00861A07" w:rsidP="00193261">
            <w:pPr>
              <w:pStyle w:val="TableText"/>
              <w:jc w:val="right"/>
            </w:pPr>
            <w:r w:rsidRPr="00861A07">
              <w:t>0 </w:t>
            </w:r>
          </w:p>
        </w:tc>
        <w:tc>
          <w:tcPr>
            <w:tcW w:w="810" w:type="dxa"/>
            <w:vAlign w:val="center"/>
            <w:hideMark/>
          </w:tcPr>
          <w:p w14:paraId="575FF6C9" w14:textId="77777777" w:rsidR="00861A07" w:rsidRPr="00861A07" w:rsidRDefault="00861A07" w:rsidP="00193261">
            <w:pPr>
              <w:pStyle w:val="TableText"/>
              <w:jc w:val="right"/>
            </w:pPr>
            <w:r w:rsidRPr="00861A07">
              <w:t>0 </w:t>
            </w:r>
          </w:p>
        </w:tc>
        <w:tc>
          <w:tcPr>
            <w:tcW w:w="765" w:type="dxa"/>
            <w:vAlign w:val="center"/>
            <w:hideMark/>
          </w:tcPr>
          <w:p w14:paraId="178B537D" w14:textId="77777777" w:rsidR="00861A07" w:rsidRPr="00861A07" w:rsidRDefault="00861A07" w:rsidP="00193261">
            <w:pPr>
              <w:pStyle w:val="TableText"/>
              <w:jc w:val="right"/>
            </w:pPr>
            <w:r w:rsidRPr="00861A07">
              <w:t>0 </w:t>
            </w:r>
          </w:p>
        </w:tc>
        <w:tc>
          <w:tcPr>
            <w:tcW w:w="765" w:type="dxa"/>
            <w:vAlign w:val="center"/>
            <w:hideMark/>
          </w:tcPr>
          <w:p w14:paraId="570EAD6A" w14:textId="77777777" w:rsidR="00861A07" w:rsidRPr="00861A07" w:rsidRDefault="00861A07" w:rsidP="00193261">
            <w:pPr>
              <w:pStyle w:val="TableText"/>
              <w:jc w:val="right"/>
            </w:pPr>
            <w:r w:rsidRPr="00861A07">
              <w:t>0 </w:t>
            </w:r>
          </w:p>
        </w:tc>
        <w:tc>
          <w:tcPr>
            <w:tcW w:w="765" w:type="dxa"/>
            <w:vAlign w:val="center"/>
            <w:hideMark/>
          </w:tcPr>
          <w:p w14:paraId="691F8E87" w14:textId="77777777" w:rsidR="00861A07" w:rsidRPr="00861A07" w:rsidRDefault="00861A07" w:rsidP="00193261">
            <w:pPr>
              <w:pStyle w:val="TableText"/>
              <w:jc w:val="right"/>
            </w:pPr>
            <w:r w:rsidRPr="00861A07">
              <w:t>0 </w:t>
            </w:r>
          </w:p>
        </w:tc>
      </w:tr>
      <w:tr w:rsidR="00861A07" w:rsidRPr="00861A07" w14:paraId="39E90980" w14:textId="77777777" w:rsidTr="00193261">
        <w:trPr>
          <w:trHeight w:val="300"/>
        </w:trPr>
        <w:tc>
          <w:tcPr>
            <w:tcW w:w="4650" w:type="dxa"/>
            <w:vAlign w:val="center"/>
            <w:hideMark/>
          </w:tcPr>
          <w:p w14:paraId="2842E0B4" w14:textId="77777777" w:rsidR="00861A07" w:rsidRPr="00861A07" w:rsidRDefault="00861A07" w:rsidP="00193261">
            <w:pPr>
              <w:pStyle w:val="TableText"/>
            </w:pPr>
            <w:r w:rsidRPr="00861A07">
              <w:t>Complaints Initiated by Agency (not originating from criminal history checks) </w:t>
            </w:r>
          </w:p>
        </w:tc>
        <w:tc>
          <w:tcPr>
            <w:tcW w:w="825" w:type="dxa"/>
            <w:vAlign w:val="center"/>
            <w:hideMark/>
          </w:tcPr>
          <w:p w14:paraId="28B32C0A" w14:textId="77777777" w:rsidR="00861A07" w:rsidRPr="00861A07" w:rsidRDefault="00861A07" w:rsidP="00193261">
            <w:pPr>
              <w:pStyle w:val="TableText"/>
              <w:jc w:val="right"/>
            </w:pPr>
            <w:r w:rsidRPr="00861A07">
              <w:t>0 </w:t>
            </w:r>
          </w:p>
        </w:tc>
        <w:tc>
          <w:tcPr>
            <w:tcW w:w="810" w:type="dxa"/>
            <w:vAlign w:val="center"/>
            <w:hideMark/>
          </w:tcPr>
          <w:p w14:paraId="7CAD3C84" w14:textId="77777777" w:rsidR="00861A07" w:rsidRPr="00861A07" w:rsidRDefault="00861A07" w:rsidP="00193261">
            <w:pPr>
              <w:pStyle w:val="TableText"/>
              <w:jc w:val="right"/>
            </w:pPr>
            <w:r w:rsidRPr="00861A07">
              <w:t>0 </w:t>
            </w:r>
          </w:p>
        </w:tc>
        <w:tc>
          <w:tcPr>
            <w:tcW w:w="765" w:type="dxa"/>
            <w:vAlign w:val="center"/>
            <w:hideMark/>
          </w:tcPr>
          <w:p w14:paraId="1CF79FB2" w14:textId="77777777" w:rsidR="00861A07" w:rsidRPr="00861A07" w:rsidRDefault="00861A07" w:rsidP="00193261">
            <w:pPr>
              <w:pStyle w:val="TableText"/>
              <w:jc w:val="right"/>
            </w:pPr>
            <w:r w:rsidRPr="00861A07">
              <w:t>0 </w:t>
            </w:r>
          </w:p>
        </w:tc>
        <w:tc>
          <w:tcPr>
            <w:tcW w:w="765" w:type="dxa"/>
            <w:vAlign w:val="center"/>
            <w:hideMark/>
          </w:tcPr>
          <w:p w14:paraId="62B6405C" w14:textId="77777777" w:rsidR="00861A07" w:rsidRPr="00861A07" w:rsidRDefault="00861A07" w:rsidP="00193261">
            <w:pPr>
              <w:pStyle w:val="TableText"/>
              <w:jc w:val="right"/>
            </w:pPr>
            <w:r w:rsidRPr="00861A07">
              <w:t>0 </w:t>
            </w:r>
          </w:p>
        </w:tc>
        <w:tc>
          <w:tcPr>
            <w:tcW w:w="765" w:type="dxa"/>
            <w:vAlign w:val="center"/>
            <w:hideMark/>
          </w:tcPr>
          <w:p w14:paraId="04CFFB51" w14:textId="77777777" w:rsidR="00861A07" w:rsidRPr="00861A07" w:rsidRDefault="00861A07" w:rsidP="00193261">
            <w:pPr>
              <w:pStyle w:val="TableText"/>
              <w:jc w:val="right"/>
            </w:pPr>
            <w:r w:rsidRPr="00861A07">
              <w:t>0 </w:t>
            </w:r>
          </w:p>
        </w:tc>
      </w:tr>
      <w:tr w:rsidR="00861A07" w:rsidRPr="00861A07" w14:paraId="08505EAB" w14:textId="77777777" w:rsidTr="00193261">
        <w:trPr>
          <w:trHeight w:val="300"/>
        </w:trPr>
        <w:tc>
          <w:tcPr>
            <w:tcW w:w="4650" w:type="dxa"/>
            <w:vAlign w:val="center"/>
            <w:hideMark/>
          </w:tcPr>
          <w:p w14:paraId="3C1E3A62" w14:textId="77777777" w:rsidR="00861A07" w:rsidRPr="00861A07" w:rsidRDefault="00861A07" w:rsidP="00193261">
            <w:pPr>
              <w:pStyle w:val="TableText"/>
            </w:pPr>
            <w:r w:rsidRPr="00861A07">
              <w:t>Complaints Originating from Public (including other regulated persons or entities) </w:t>
            </w:r>
          </w:p>
        </w:tc>
        <w:tc>
          <w:tcPr>
            <w:tcW w:w="825" w:type="dxa"/>
            <w:vAlign w:val="center"/>
            <w:hideMark/>
          </w:tcPr>
          <w:p w14:paraId="6EB294FF" w14:textId="77777777" w:rsidR="00861A07" w:rsidRPr="00861A07" w:rsidRDefault="00861A07" w:rsidP="00193261">
            <w:pPr>
              <w:pStyle w:val="TableText"/>
              <w:jc w:val="right"/>
            </w:pPr>
            <w:r w:rsidRPr="00861A07">
              <w:t>9952 </w:t>
            </w:r>
          </w:p>
        </w:tc>
        <w:tc>
          <w:tcPr>
            <w:tcW w:w="810" w:type="dxa"/>
            <w:vAlign w:val="center"/>
            <w:hideMark/>
          </w:tcPr>
          <w:p w14:paraId="540ADAD8" w14:textId="77777777" w:rsidR="00861A07" w:rsidRPr="00861A07" w:rsidRDefault="00861A07" w:rsidP="00193261">
            <w:pPr>
              <w:pStyle w:val="TableText"/>
              <w:jc w:val="right"/>
            </w:pPr>
            <w:r w:rsidRPr="00861A07">
              <w:t>7448 </w:t>
            </w:r>
          </w:p>
        </w:tc>
        <w:tc>
          <w:tcPr>
            <w:tcW w:w="765" w:type="dxa"/>
            <w:vAlign w:val="center"/>
            <w:hideMark/>
          </w:tcPr>
          <w:p w14:paraId="3F7A7300" w14:textId="77777777" w:rsidR="00861A07" w:rsidRPr="00861A07" w:rsidRDefault="00861A07" w:rsidP="00193261">
            <w:pPr>
              <w:pStyle w:val="TableText"/>
              <w:jc w:val="right"/>
            </w:pPr>
            <w:r w:rsidRPr="00861A07">
              <w:t>11671 </w:t>
            </w:r>
          </w:p>
        </w:tc>
        <w:tc>
          <w:tcPr>
            <w:tcW w:w="765" w:type="dxa"/>
            <w:vAlign w:val="center"/>
            <w:hideMark/>
          </w:tcPr>
          <w:p w14:paraId="579A9B5E" w14:textId="77777777" w:rsidR="00861A07" w:rsidRPr="00861A07" w:rsidRDefault="00861A07" w:rsidP="00193261">
            <w:pPr>
              <w:pStyle w:val="TableText"/>
              <w:jc w:val="right"/>
            </w:pPr>
            <w:r w:rsidRPr="00861A07">
              <w:t>14155 </w:t>
            </w:r>
          </w:p>
        </w:tc>
        <w:tc>
          <w:tcPr>
            <w:tcW w:w="765" w:type="dxa"/>
            <w:vAlign w:val="center"/>
            <w:hideMark/>
          </w:tcPr>
          <w:p w14:paraId="61475337" w14:textId="77777777" w:rsidR="00861A07" w:rsidRPr="00861A07" w:rsidRDefault="00861A07" w:rsidP="00193261">
            <w:pPr>
              <w:pStyle w:val="TableText"/>
              <w:jc w:val="right"/>
            </w:pPr>
            <w:r w:rsidRPr="00861A07">
              <w:t>15104 </w:t>
            </w:r>
          </w:p>
        </w:tc>
      </w:tr>
      <w:tr w:rsidR="00861A07" w:rsidRPr="00861A07" w14:paraId="73EE36F3" w14:textId="77777777" w:rsidTr="00193261">
        <w:trPr>
          <w:trHeight w:val="300"/>
        </w:trPr>
        <w:tc>
          <w:tcPr>
            <w:tcW w:w="4650" w:type="dxa"/>
            <w:vAlign w:val="center"/>
            <w:hideMark/>
          </w:tcPr>
          <w:p w14:paraId="0E4C7900" w14:textId="77777777" w:rsidR="00861A07" w:rsidRPr="00861A07" w:rsidRDefault="00861A07" w:rsidP="00193261">
            <w:pPr>
              <w:pStyle w:val="TableText"/>
            </w:pPr>
            <w:r w:rsidRPr="00861A07">
              <w:t>Complaints Originating from Other Agencies </w:t>
            </w:r>
          </w:p>
        </w:tc>
        <w:tc>
          <w:tcPr>
            <w:tcW w:w="825" w:type="dxa"/>
            <w:vAlign w:val="center"/>
            <w:hideMark/>
          </w:tcPr>
          <w:p w14:paraId="26CAB54A" w14:textId="77777777" w:rsidR="00861A07" w:rsidRPr="00861A07" w:rsidRDefault="00861A07" w:rsidP="00193261">
            <w:pPr>
              <w:pStyle w:val="TableText"/>
              <w:jc w:val="right"/>
            </w:pPr>
            <w:r w:rsidRPr="00861A07">
              <w:t>0 </w:t>
            </w:r>
          </w:p>
        </w:tc>
        <w:tc>
          <w:tcPr>
            <w:tcW w:w="810" w:type="dxa"/>
            <w:vAlign w:val="center"/>
            <w:hideMark/>
          </w:tcPr>
          <w:p w14:paraId="4999ABE1" w14:textId="77777777" w:rsidR="00861A07" w:rsidRPr="00861A07" w:rsidRDefault="00861A07" w:rsidP="00193261">
            <w:pPr>
              <w:pStyle w:val="TableText"/>
              <w:jc w:val="right"/>
            </w:pPr>
            <w:r w:rsidRPr="00861A07">
              <w:t>0 </w:t>
            </w:r>
          </w:p>
        </w:tc>
        <w:tc>
          <w:tcPr>
            <w:tcW w:w="765" w:type="dxa"/>
            <w:vAlign w:val="center"/>
            <w:hideMark/>
          </w:tcPr>
          <w:p w14:paraId="2763A1F8" w14:textId="77777777" w:rsidR="00861A07" w:rsidRPr="00861A07" w:rsidRDefault="00861A07" w:rsidP="00193261">
            <w:pPr>
              <w:pStyle w:val="TableText"/>
              <w:jc w:val="right"/>
            </w:pPr>
            <w:r w:rsidRPr="00861A07">
              <w:t>0 </w:t>
            </w:r>
          </w:p>
        </w:tc>
        <w:tc>
          <w:tcPr>
            <w:tcW w:w="765" w:type="dxa"/>
            <w:vAlign w:val="center"/>
            <w:hideMark/>
          </w:tcPr>
          <w:p w14:paraId="344968A8" w14:textId="77777777" w:rsidR="00861A07" w:rsidRPr="00861A07" w:rsidRDefault="00861A07" w:rsidP="00193261">
            <w:pPr>
              <w:pStyle w:val="TableText"/>
              <w:jc w:val="right"/>
            </w:pPr>
            <w:r w:rsidRPr="00861A07">
              <w:t>0 </w:t>
            </w:r>
          </w:p>
        </w:tc>
        <w:tc>
          <w:tcPr>
            <w:tcW w:w="765" w:type="dxa"/>
            <w:vAlign w:val="center"/>
            <w:hideMark/>
          </w:tcPr>
          <w:p w14:paraId="7F40CC65" w14:textId="77777777" w:rsidR="00861A07" w:rsidRPr="00861A07" w:rsidRDefault="00861A07" w:rsidP="00193261">
            <w:pPr>
              <w:pStyle w:val="TableText"/>
              <w:jc w:val="right"/>
            </w:pPr>
            <w:r w:rsidRPr="00861A07">
              <w:t>0 </w:t>
            </w:r>
          </w:p>
        </w:tc>
      </w:tr>
    </w:tbl>
    <w:p w14:paraId="14BEF6A6" w14:textId="77777777" w:rsidR="00861A07" w:rsidRPr="00193261" w:rsidRDefault="00861A07" w:rsidP="00193261">
      <w:pPr>
        <w:pStyle w:val="BodyText"/>
        <w:rPr>
          <w:sz w:val="20"/>
          <w:szCs w:val="20"/>
        </w:rPr>
      </w:pPr>
      <w:r w:rsidRPr="00193261">
        <w:rPr>
          <w:sz w:val="20"/>
          <w:szCs w:val="20"/>
        </w:rPr>
        <w:t>*Only Applicable if Conducting Fingerprint Criminal History Checks  </w:t>
      </w:r>
    </w:p>
    <w:tbl>
      <w:tblPr>
        <w:tblStyle w:val="TableGrid1"/>
        <w:tblW w:w="8648" w:type="dxa"/>
        <w:tblCellMar>
          <w:top w:w="58" w:type="dxa"/>
          <w:bottom w:w="58" w:type="dxa"/>
        </w:tblCellMar>
        <w:tblLook w:val="04A0" w:firstRow="1" w:lastRow="0" w:firstColumn="1" w:lastColumn="0" w:noHBand="0" w:noVBand="1"/>
      </w:tblPr>
      <w:tblGrid>
        <w:gridCol w:w="4575"/>
        <w:gridCol w:w="797"/>
        <w:gridCol w:w="885"/>
        <w:gridCol w:w="797"/>
        <w:gridCol w:w="797"/>
        <w:gridCol w:w="797"/>
      </w:tblGrid>
      <w:tr w:rsidR="00193261" w:rsidRPr="00861A07" w14:paraId="25CBEAD2" w14:textId="77777777" w:rsidTr="00700136">
        <w:trPr>
          <w:trHeight w:val="300"/>
        </w:trPr>
        <w:tc>
          <w:tcPr>
            <w:tcW w:w="4575" w:type="dxa"/>
            <w:shd w:val="clear" w:color="auto" w:fill="B8CCE4" w:themeFill="accent1" w:themeFillTint="66"/>
            <w:vAlign w:val="center"/>
            <w:hideMark/>
          </w:tcPr>
          <w:p w14:paraId="5E667257" w14:textId="40BA7249" w:rsidR="00861A07" w:rsidRPr="00861A07" w:rsidRDefault="00861A07" w:rsidP="00193261">
            <w:pPr>
              <w:pStyle w:val="TableHeaders"/>
              <w:rPr>
                <w:b w:val="0"/>
              </w:rPr>
            </w:pPr>
            <w:r w:rsidRPr="00861A07">
              <w:t>Disposition of Complaints</w:t>
            </w:r>
          </w:p>
        </w:tc>
        <w:tc>
          <w:tcPr>
            <w:tcW w:w="797" w:type="dxa"/>
            <w:shd w:val="clear" w:color="auto" w:fill="B8CCE4" w:themeFill="accent1" w:themeFillTint="66"/>
            <w:vAlign w:val="center"/>
            <w:hideMark/>
          </w:tcPr>
          <w:p w14:paraId="1B3D57A3" w14:textId="4BBF4358" w:rsidR="00861A07" w:rsidRPr="00861A07" w:rsidRDefault="00861A07" w:rsidP="00193261">
            <w:pPr>
              <w:pStyle w:val="TableHeaders"/>
              <w:rPr>
                <w:b w:val="0"/>
              </w:rPr>
            </w:pPr>
            <w:r w:rsidRPr="00861A07">
              <w:t>FY20</w:t>
            </w:r>
          </w:p>
        </w:tc>
        <w:tc>
          <w:tcPr>
            <w:tcW w:w="885" w:type="dxa"/>
            <w:shd w:val="clear" w:color="auto" w:fill="B8CCE4" w:themeFill="accent1" w:themeFillTint="66"/>
            <w:vAlign w:val="center"/>
            <w:hideMark/>
          </w:tcPr>
          <w:p w14:paraId="1B57CE80" w14:textId="0387653C" w:rsidR="00861A07" w:rsidRPr="00861A07" w:rsidRDefault="00861A07" w:rsidP="00193261">
            <w:pPr>
              <w:pStyle w:val="TableHeaders"/>
              <w:rPr>
                <w:b w:val="0"/>
              </w:rPr>
            </w:pPr>
            <w:r w:rsidRPr="00861A07">
              <w:t>FY21</w:t>
            </w:r>
          </w:p>
        </w:tc>
        <w:tc>
          <w:tcPr>
            <w:tcW w:w="797" w:type="dxa"/>
            <w:shd w:val="clear" w:color="auto" w:fill="B8CCE4" w:themeFill="accent1" w:themeFillTint="66"/>
            <w:vAlign w:val="center"/>
            <w:hideMark/>
          </w:tcPr>
          <w:p w14:paraId="1299C684" w14:textId="7C434F3D" w:rsidR="00861A07" w:rsidRPr="00861A07" w:rsidRDefault="00861A07" w:rsidP="00193261">
            <w:pPr>
              <w:pStyle w:val="TableHeaders"/>
              <w:rPr>
                <w:b w:val="0"/>
              </w:rPr>
            </w:pPr>
            <w:r w:rsidRPr="00861A07">
              <w:t>FY22</w:t>
            </w:r>
          </w:p>
        </w:tc>
        <w:tc>
          <w:tcPr>
            <w:tcW w:w="797" w:type="dxa"/>
            <w:shd w:val="clear" w:color="auto" w:fill="B8CCE4" w:themeFill="accent1" w:themeFillTint="66"/>
            <w:vAlign w:val="center"/>
            <w:hideMark/>
          </w:tcPr>
          <w:p w14:paraId="30616A67" w14:textId="3D43C9F3" w:rsidR="00861A07" w:rsidRPr="00861A07" w:rsidRDefault="00861A07" w:rsidP="00193261">
            <w:pPr>
              <w:pStyle w:val="TableHeaders"/>
              <w:rPr>
                <w:b w:val="0"/>
              </w:rPr>
            </w:pPr>
            <w:r w:rsidRPr="00861A07">
              <w:t>FY23</w:t>
            </w:r>
          </w:p>
        </w:tc>
        <w:tc>
          <w:tcPr>
            <w:tcW w:w="797" w:type="dxa"/>
            <w:shd w:val="clear" w:color="auto" w:fill="B8CCE4" w:themeFill="accent1" w:themeFillTint="66"/>
            <w:vAlign w:val="center"/>
            <w:hideMark/>
          </w:tcPr>
          <w:p w14:paraId="243BD0F4" w14:textId="6CA7539B" w:rsidR="00861A07" w:rsidRPr="00861A07" w:rsidRDefault="00861A07" w:rsidP="00193261">
            <w:pPr>
              <w:pStyle w:val="TableHeaders"/>
              <w:rPr>
                <w:b w:val="0"/>
              </w:rPr>
            </w:pPr>
            <w:r w:rsidRPr="00861A07">
              <w:t>FY24</w:t>
            </w:r>
          </w:p>
        </w:tc>
      </w:tr>
      <w:tr w:rsidR="00861A07" w:rsidRPr="00861A07" w14:paraId="6B385559" w14:textId="77777777" w:rsidTr="00700136">
        <w:trPr>
          <w:trHeight w:val="300"/>
        </w:trPr>
        <w:tc>
          <w:tcPr>
            <w:tcW w:w="4575" w:type="dxa"/>
            <w:vAlign w:val="center"/>
            <w:hideMark/>
          </w:tcPr>
          <w:p w14:paraId="1AFC4D63" w14:textId="77777777" w:rsidR="00861A07" w:rsidRPr="00861A07" w:rsidRDefault="00861A07" w:rsidP="00193261">
            <w:pPr>
              <w:pStyle w:val="TableText"/>
            </w:pPr>
            <w:r w:rsidRPr="00861A07">
              <w:t>Total Complaints Received* </w:t>
            </w:r>
          </w:p>
        </w:tc>
        <w:tc>
          <w:tcPr>
            <w:tcW w:w="797" w:type="dxa"/>
            <w:vAlign w:val="center"/>
            <w:hideMark/>
          </w:tcPr>
          <w:p w14:paraId="5C31934C" w14:textId="77777777" w:rsidR="00861A07" w:rsidRPr="00861A07" w:rsidRDefault="00861A07" w:rsidP="00193261">
            <w:pPr>
              <w:pStyle w:val="TableText"/>
              <w:jc w:val="right"/>
            </w:pPr>
            <w:r w:rsidRPr="00861A07">
              <w:t>9952 </w:t>
            </w:r>
          </w:p>
        </w:tc>
        <w:tc>
          <w:tcPr>
            <w:tcW w:w="885" w:type="dxa"/>
            <w:vAlign w:val="center"/>
            <w:hideMark/>
          </w:tcPr>
          <w:p w14:paraId="74ECBD9F" w14:textId="77777777" w:rsidR="00861A07" w:rsidRPr="00861A07" w:rsidRDefault="00861A07" w:rsidP="00193261">
            <w:pPr>
              <w:pStyle w:val="TableText"/>
              <w:jc w:val="right"/>
            </w:pPr>
            <w:r w:rsidRPr="00861A07">
              <w:t>7448 </w:t>
            </w:r>
          </w:p>
        </w:tc>
        <w:tc>
          <w:tcPr>
            <w:tcW w:w="797" w:type="dxa"/>
            <w:vAlign w:val="center"/>
            <w:hideMark/>
          </w:tcPr>
          <w:p w14:paraId="393375FF" w14:textId="77777777" w:rsidR="00861A07" w:rsidRPr="00861A07" w:rsidRDefault="00861A07" w:rsidP="00193261">
            <w:pPr>
              <w:pStyle w:val="TableText"/>
              <w:jc w:val="right"/>
            </w:pPr>
            <w:r w:rsidRPr="00861A07">
              <w:t>11671 </w:t>
            </w:r>
          </w:p>
        </w:tc>
        <w:tc>
          <w:tcPr>
            <w:tcW w:w="797" w:type="dxa"/>
            <w:vAlign w:val="center"/>
            <w:hideMark/>
          </w:tcPr>
          <w:p w14:paraId="06428D95" w14:textId="77777777" w:rsidR="00861A07" w:rsidRPr="00861A07" w:rsidRDefault="00861A07" w:rsidP="00193261">
            <w:pPr>
              <w:pStyle w:val="TableText"/>
              <w:jc w:val="right"/>
            </w:pPr>
            <w:r w:rsidRPr="00861A07">
              <w:t>14155 </w:t>
            </w:r>
          </w:p>
        </w:tc>
        <w:tc>
          <w:tcPr>
            <w:tcW w:w="797" w:type="dxa"/>
            <w:vAlign w:val="center"/>
            <w:hideMark/>
          </w:tcPr>
          <w:p w14:paraId="423E4DB8" w14:textId="77777777" w:rsidR="00861A07" w:rsidRPr="00861A07" w:rsidRDefault="00861A07" w:rsidP="00193261">
            <w:pPr>
              <w:pStyle w:val="TableText"/>
              <w:jc w:val="right"/>
            </w:pPr>
            <w:r w:rsidRPr="00861A07">
              <w:t>15104 </w:t>
            </w:r>
          </w:p>
        </w:tc>
      </w:tr>
      <w:tr w:rsidR="00861A07" w:rsidRPr="00861A07" w14:paraId="06B91BE6" w14:textId="77777777" w:rsidTr="00700136">
        <w:trPr>
          <w:trHeight w:val="300"/>
        </w:trPr>
        <w:tc>
          <w:tcPr>
            <w:tcW w:w="4575" w:type="dxa"/>
            <w:vAlign w:val="center"/>
            <w:hideMark/>
          </w:tcPr>
          <w:p w14:paraId="6B2F1870" w14:textId="77777777" w:rsidR="00861A07" w:rsidRPr="00861A07" w:rsidRDefault="00861A07" w:rsidP="00193261">
            <w:pPr>
              <w:pStyle w:val="TableText"/>
            </w:pPr>
            <w:r w:rsidRPr="00861A07">
              <w:t>Complaints Found Jurisdictional </w:t>
            </w:r>
          </w:p>
        </w:tc>
        <w:tc>
          <w:tcPr>
            <w:tcW w:w="797" w:type="dxa"/>
            <w:vAlign w:val="center"/>
            <w:hideMark/>
          </w:tcPr>
          <w:p w14:paraId="08C96A1E" w14:textId="77777777" w:rsidR="00861A07" w:rsidRPr="00861A07" w:rsidRDefault="00861A07" w:rsidP="00193261">
            <w:pPr>
              <w:pStyle w:val="TableText"/>
              <w:jc w:val="right"/>
            </w:pPr>
            <w:r w:rsidRPr="00861A07">
              <w:t>7810 </w:t>
            </w:r>
          </w:p>
        </w:tc>
        <w:tc>
          <w:tcPr>
            <w:tcW w:w="885" w:type="dxa"/>
            <w:vAlign w:val="center"/>
            <w:hideMark/>
          </w:tcPr>
          <w:p w14:paraId="31F8A3E4" w14:textId="77777777" w:rsidR="00861A07" w:rsidRPr="00861A07" w:rsidRDefault="00861A07" w:rsidP="00193261">
            <w:pPr>
              <w:pStyle w:val="TableText"/>
              <w:jc w:val="right"/>
            </w:pPr>
            <w:r w:rsidRPr="00861A07">
              <w:t>4842 </w:t>
            </w:r>
          </w:p>
        </w:tc>
        <w:tc>
          <w:tcPr>
            <w:tcW w:w="797" w:type="dxa"/>
            <w:vAlign w:val="center"/>
            <w:hideMark/>
          </w:tcPr>
          <w:p w14:paraId="2AB43500" w14:textId="77777777" w:rsidR="00861A07" w:rsidRPr="00861A07" w:rsidRDefault="00861A07" w:rsidP="00193261">
            <w:pPr>
              <w:pStyle w:val="TableText"/>
              <w:jc w:val="right"/>
            </w:pPr>
            <w:r w:rsidRPr="00861A07">
              <w:t>7440 </w:t>
            </w:r>
          </w:p>
        </w:tc>
        <w:tc>
          <w:tcPr>
            <w:tcW w:w="797" w:type="dxa"/>
            <w:vAlign w:val="center"/>
            <w:hideMark/>
          </w:tcPr>
          <w:p w14:paraId="5E620C4D" w14:textId="77777777" w:rsidR="00861A07" w:rsidRPr="00861A07" w:rsidRDefault="00861A07" w:rsidP="00193261">
            <w:pPr>
              <w:pStyle w:val="TableText"/>
              <w:jc w:val="right"/>
            </w:pPr>
            <w:r w:rsidRPr="00861A07">
              <w:t>8127 </w:t>
            </w:r>
          </w:p>
        </w:tc>
        <w:tc>
          <w:tcPr>
            <w:tcW w:w="797" w:type="dxa"/>
            <w:vAlign w:val="center"/>
            <w:hideMark/>
          </w:tcPr>
          <w:p w14:paraId="727ED4DD" w14:textId="77777777" w:rsidR="00861A07" w:rsidRPr="00861A07" w:rsidRDefault="00861A07" w:rsidP="00193261">
            <w:pPr>
              <w:pStyle w:val="TableText"/>
              <w:jc w:val="right"/>
            </w:pPr>
            <w:r w:rsidRPr="00861A07">
              <w:t>5812 </w:t>
            </w:r>
          </w:p>
        </w:tc>
      </w:tr>
      <w:tr w:rsidR="00861A07" w:rsidRPr="00861A07" w14:paraId="79F5E394" w14:textId="77777777" w:rsidTr="00700136">
        <w:trPr>
          <w:trHeight w:val="300"/>
        </w:trPr>
        <w:tc>
          <w:tcPr>
            <w:tcW w:w="4575" w:type="dxa"/>
            <w:vAlign w:val="center"/>
            <w:hideMark/>
          </w:tcPr>
          <w:p w14:paraId="066FF28B" w14:textId="77777777" w:rsidR="00861A07" w:rsidRPr="00861A07" w:rsidRDefault="00861A07" w:rsidP="00193261">
            <w:pPr>
              <w:pStyle w:val="TableText"/>
            </w:pPr>
            <w:r w:rsidRPr="00861A07">
              <w:t>Complaints Found Non-Jurisdictional </w:t>
            </w:r>
          </w:p>
        </w:tc>
        <w:tc>
          <w:tcPr>
            <w:tcW w:w="797" w:type="dxa"/>
            <w:vAlign w:val="center"/>
            <w:hideMark/>
          </w:tcPr>
          <w:p w14:paraId="0FB86384" w14:textId="77777777" w:rsidR="00861A07" w:rsidRPr="00861A07" w:rsidRDefault="00861A07" w:rsidP="00193261">
            <w:pPr>
              <w:pStyle w:val="TableText"/>
              <w:jc w:val="right"/>
            </w:pPr>
            <w:r w:rsidRPr="00861A07">
              <w:t>2407 </w:t>
            </w:r>
          </w:p>
        </w:tc>
        <w:tc>
          <w:tcPr>
            <w:tcW w:w="885" w:type="dxa"/>
            <w:vAlign w:val="center"/>
            <w:hideMark/>
          </w:tcPr>
          <w:p w14:paraId="2FCE6817" w14:textId="77777777" w:rsidR="00861A07" w:rsidRPr="00861A07" w:rsidRDefault="00861A07" w:rsidP="00193261">
            <w:pPr>
              <w:pStyle w:val="TableText"/>
              <w:jc w:val="right"/>
            </w:pPr>
            <w:r w:rsidRPr="00861A07">
              <w:t>1750 </w:t>
            </w:r>
          </w:p>
        </w:tc>
        <w:tc>
          <w:tcPr>
            <w:tcW w:w="797" w:type="dxa"/>
            <w:vAlign w:val="center"/>
            <w:hideMark/>
          </w:tcPr>
          <w:p w14:paraId="1C7C097B" w14:textId="77777777" w:rsidR="00861A07" w:rsidRPr="00861A07" w:rsidRDefault="00861A07" w:rsidP="00193261">
            <w:pPr>
              <w:pStyle w:val="TableText"/>
              <w:jc w:val="right"/>
            </w:pPr>
            <w:r w:rsidRPr="00861A07">
              <w:t>2228 </w:t>
            </w:r>
          </w:p>
        </w:tc>
        <w:tc>
          <w:tcPr>
            <w:tcW w:w="797" w:type="dxa"/>
            <w:vAlign w:val="center"/>
            <w:hideMark/>
          </w:tcPr>
          <w:p w14:paraId="5D848654" w14:textId="77777777" w:rsidR="00861A07" w:rsidRPr="00861A07" w:rsidRDefault="00861A07" w:rsidP="00193261">
            <w:pPr>
              <w:pStyle w:val="TableText"/>
              <w:jc w:val="right"/>
            </w:pPr>
            <w:r w:rsidRPr="00861A07">
              <w:t>2389 </w:t>
            </w:r>
          </w:p>
        </w:tc>
        <w:tc>
          <w:tcPr>
            <w:tcW w:w="797" w:type="dxa"/>
            <w:vAlign w:val="center"/>
            <w:hideMark/>
          </w:tcPr>
          <w:p w14:paraId="40222BC4" w14:textId="77777777" w:rsidR="00861A07" w:rsidRPr="00861A07" w:rsidRDefault="00861A07" w:rsidP="00193261">
            <w:pPr>
              <w:pStyle w:val="TableText"/>
              <w:jc w:val="right"/>
            </w:pPr>
            <w:r w:rsidRPr="00861A07">
              <w:t>3105 </w:t>
            </w:r>
          </w:p>
        </w:tc>
      </w:tr>
      <w:tr w:rsidR="00861A07" w:rsidRPr="00861A07" w14:paraId="28B45178" w14:textId="77777777" w:rsidTr="00700136">
        <w:trPr>
          <w:trHeight w:val="300"/>
        </w:trPr>
        <w:tc>
          <w:tcPr>
            <w:tcW w:w="4575" w:type="dxa"/>
            <w:vAlign w:val="center"/>
            <w:hideMark/>
          </w:tcPr>
          <w:p w14:paraId="69289BC0" w14:textId="77777777" w:rsidR="00861A07" w:rsidRPr="00861A07" w:rsidRDefault="00861A07" w:rsidP="00193261">
            <w:pPr>
              <w:pStyle w:val="TableText"/>
            </w:pPr>
            <w:r w:rsidRPr="00861A07">
              <w:t>Total Complaints Dismissed (no investigation) </w:t>
            </w:r>
          </w:p>
        </w:tc>
        <w:tc>
          <w:tcPr>
            <w:tcW w:w="797" w:type="dxa"/>
            <w:vAlign w:val="center"/>
            <w:hideMark/>
          </w:tcPr>
          <w:p w14:paraId="55EBFFAC" w14:textId="77777777" w:rsidR="00861A07" w:rsidRPr="00861A07" w:rsidRDefault="00861A07" w:rsidP="00193261">
            <w:pPr>
              <w:pStyle w:val="TableText"/>
              <w:jc w:val="right"/>
            </w:pPr>
            <w:r w:rsidRPr="00861A07">
              <w:t>2544 </w:t>
            </w:r>
          </w:p>
        </w:tc>
        <w:tc>
          <w:tcPr>
            <w:tcW w:w="885" w:type="dxa"/>
            <w:vAlign w:val="center"/>
            <w:hideMark/>
          </w:tcPr>
          <w:p w14:paraId="59BC4B0A" w14:textId="77777777" w:rsidR="00861A07" w:rsidRPr="00861A07" w:rsidRDefault="00861A07" w:rsidP="00193261">
            <w:pPr>
              <w:pStyle w:val="TableText"/>
              <w:jc w:val="right"/>
            </w:pPr>
            <w:r w:rsidRPr="00861A07">
              <w:t>2141 </w:t>
            </w:r>
          </w:p>
        </w:tc>
        <w:tc>
          <w:tcPr>
            <w:tcW w:w="797" w:type="dxa"/>
            <w:vAlign w:val="center"/>
            <w:hideMark/>
          </w:tcPr>
          <w:p w14:paraId="2797AB81" w14:textId="77777777" w:rsidR="00861A07" w:rsidRPr="00861A07" w:rsidRDefault="00861A07" w:rsidP="00193261">
            <w:pPr>
              <w:pStyle w:val="TableText"/>
              <w:jc w:val="right"/>
            </w:pPr>
            <w:r w:rsidRPr="00861A07">
              <w:t>2920 </w:t>
            </w:r>
          </w:p>
        </w:tc>
        <w:tc>
          <w:tcPr>
            <w:tcW w:w="797" w:type="dxa"/>
            <w:vAlign w:val="center"/>
            <w:hideMark/>
          </w:tcPr>
          <w:p w14:paraId="009B4AC9" w14:textId="77777777" w:rsidR="00861A07" w:rsidRPr="00861A07" w:rsidRDefault="00861A07" w:rsidP="00193261">
            <w:pPr>
              <w:pStyle w:val="TableText"/>
              <w:jc w:val="right"/>
            </w:pPr>
            <w:r w:rsidRPr="00861A07">
              <w:t>2621 </w:t>
            </w:r>
          </w:p>
        </w:tc>
        <w:tc>
          <w:tcPr>
            <w:tcW w:w="797" w:type="dxa"/>
            <w:vAlign w:val="center"/>
            <w:hideMark/>
          </w:tcPr>
          <w:p w14:paraId="6090A91B" w14:textId="77777777" w:rsidR="00861A07" w:rsidRPr="00861A07" w:rsidRDefault="00861A07" w:rsidP="00193261">
            <w:pPr>
              <w:pStyle w:val="TableText"/>
              <w:jc w:val="right"/>
            </w:pPr>
            <w:r w:rsidRPr="00861A07">
              <w:t>3811 </w:t>
            </w:r>
          </w:p>
        </w:tc>
      </w:tr>
      <w:tr w:rsidR="00861A07" w:rsidRPr="00861A07" w14:paraId="7AC29665" w14:textId="77777777" w:rsidTr="00700136">
        <w:trPr>
          <w:trHeight w:val="300"/>
        </w:trPr>
        <w:tc>
          <w:tcPr>
            <w:tcW w:w="4575" w:type="dxa"/>
            <w:vAlign w:val="center"/>
            <w:hideMark/>
          </w:tcPr>
          <w:p w14:paraId="28A633AC" w14:textId="77777777" w:rsidR="00861A07" w:rsidRPr="00861A07" w:rsidRDefault="00861A07" w:rsidP="00193261">
            <w:pPr>
              <w:pStyle w:val="TableText"/>
            </w:pPr>
            <w:r w:rsidRPr="00861A07">
              <w:t>Complaints Dismissed for Lack of Evidence (no investigation) </w:t>
            </w:r>
          </w:p>
        </w:tc>
        <w:tc>
          <w:tcPr>
            <w:tcW w:w="797" w:type="dxa"/>
            <w:vAlign w:val="center"/>
            <w:hideMark/>
          </w:tcPr>
          <w:p w14:paraId="0B19277A" w14:textId="77777777" w:rsidR="00861A07" w:rsidRPr="00861A07" w:rsidRDefault="00861A07" w:rsidP="00193261">
            <w:pPr>
              <w:pStyle w:val="TableText"/>
              <w:jc w:val="right"/>
            </w:pPr>
            <w:r w:rsidRPr="00861A07">
              <w:t>183 </w:t>
            </w:r>
          </w:p>
        </w:tc>
        <w:tc>
          <w:tcPr>
            <w:tcW w:w="885" w:type="dxa"/>
            <w:vAlign w:val="center"/>
            <w:hideMark/>
          </w:tcPr>
          <w:p w14:paraId="5F0C2C90" w14:textId="77777777" w:rsidR="00861A07" w:rsidRPr="00861A07" w:rsidRDefault="00861A07" w:rsidP="00193261">
            <w:pPr>
              <w:pStyle w:val="TableText"/>
              <w:jc w:val="right"/>
            </w:pPr>
            <w:r w:rsidRPr="00861A07">
              <w:t>357 </w:t>
            </w:r>
          </w:p>
        </w:tc>
        <w:tc>
          <w:tcPr>
            <w:tcW w:w="797" w:type="dxa"/>
            <w:vAlign w:val="center"/>
            <w:hideMark/>
          </w:tcPr>
          <w:p w14:paraId="711687D2" w14:textId="77777777" w:rsidR="00861A07" w:rsidRPr="00861A07" w:rsidRDefault="00861A07" w:rsidP="00193261">
            <w:pPr>
              <w:pStyle w:val="TableText"/>
              <w:jc w:val="right"/>
            </w:pPr>
            <w:r w:rsidRPr="00861A07">
              <w:t>1317 </w:t>
            </w:r>
          </w:p>
        </w:tc>
        <w:tc>
          <w:tcPr>
            <w:tcW w:w="797" w:type="dxa"/>
            <w:vAlign w:val="center"/>
            <w:hideMark/>
          </w:tcPr>
          <w:p w14:paraId="086578A1" w14:textId="77777777" w:rsidR="00861A07" w:rsidRPr="00861A07" w:rsidRDefault="00861A07" w:rsidP="00193261">
            <w:pPr>
              <w:pStyle w:val="TableText"/>
              <w:jc w:val="right"/>
            </w:pPr>
            <w:r w:rsidRPr="00861A07">
              <w:t>740 </w:t>
            </w:r>
          </w:p>
        </w:tc>
        <w:tc>
          <w:tcPr>
            <w:tcW w:w="797" w:type="dxa"/>
            <w:vAlign w:val="center"/>
            <w:hideMark/>
          </w:tcPr>
          <w:p w14:paraId="37D17D59" w14:textId="77777777" w:rsidR="00861A07" w:rsidRPr="00861A07" w:rsidRDefault="00861A07" w:rsidP="00193261">
            <w:pPr>
              <w:pStyle w:val="TableText"/>
              <w:jc w:val="right"/>
            </w:pPr>
            <w:r w:rsidRPr="00861A07">
              <w:t>977 </w:t>
            </w:r>
          </w:p>
        </w:tc>
      </w:tr>
      <w:tr w:rsidR="00861A07" w:rsidRPr="00861A07" w14:paraId="0A535683" w14:textId="77777777" w:rsidTr="00700136">
        <w:trPr>
          <w:trHeight w:val="300"/>
        </w:trPr>
        <w:tc>
          <w:tcPr>
            <w:tcW w:w="4575" w:type="dxa"/>
            <w:vAlign w:val="center"/>
            <w:hideMark/>
          </w:tcPr>
          <w:p w14:paraId="1610A372" w14:textId="77777777" w:rsidR="00861A07" w:rsidRPr="00861A07" w:rsidRDefault="00861A07" w:rsidP="00193261">
            <w:pPr>
              <w:pStyle w:val="TableText"/>
            </w:pPr>
            <w:r w:rsidRPr="00861A07">
              <w:t>Total Complaints Sent for Investigation </w:t>
            </w:r>
          </w:p>
        </w:tc>
        <w:tc>
          <w:tcPr>
            <w:tcW w:w="797" w:type="dxa"/>
            <w:vAlign w:val="center"/>
            <w:hideMark/>
          </w:tcPr>
          <w:p w14:paraId="175AFE8B" w14:textId="77777777" w:rsidR="00861A07" w:rsidRPr="00861A07" w:rsidRDefault="00861A07" w:rsidP="00193261">
            <w:pPr>
              <w:pStyle w:val="TableText"/>
              <w:jc w:val="right"/>
            </w:pPr>
            <w:r w:rsidRPr="00861A07">
              <w:t>10234 </w:t>
            </w:r>
          </w:p>
        </w:tc>
        <w:tc>
          <w:tcPr>
            <w:tcW w:w="885" w:type="dxa"/>
            <w:vAlign w:val="center"/>
            <w:hideMark/>
          </w:tcPr>
          <w:p w14:paraId="18E3E1D5" w14:textId="77777777" w:rsidR="00861A07" w:rsidRPr="00861A07" w:rsidRDefault="00861A07" w:rsidP="00193261">
            <w:pPr>
              <w:pStyle w:val="TableText"/>
              <w:jc w:val="right"/>
            </w:pPr>
            <w:r w:rsidRPr="00861A07">
              <w:t>6984 </w:t>
            </w:r>
          </w:p>
        </w:tc>
        <w:tc>
          <w:tcPr>
            <w:tcW w:w="797" w:type="dxa"/>
            <w:vAlign w:val="center"/>
            <w:hideMark/>
          </w:tcPr>
          <w:p w14:paraId="795B58DB" w14:textId="77777777" w:rsidR="00861A07" w:rsidRPr="00861A07" w:rsidRDefault="00861A07" w:rsidP="00193261">
            <w:pPr>
              <w:pStyle w:val="TableText"/>
              <w:jc w:val="right"/>
            </w:pPr>
            <w:r w:rsidRPr="00861A07">
              <w:t>10372 </w:t>
            </w:r>
          </w:p>
        </w:tc>
        <w:tc>
          <w:tcPr>
            <w:tcW w:w="797" w:type="dxa"/>
            <w:vAlign w:val="center"/>
            <w:hideMark/>
          </w:tcPr>
          <w:p w14:paraId="406CB767" w14:textId="77777777" w:rsidR="00861A07" w:rsidRPr="00861A07" w:rsidRDefault="00861A07" w:rsidP="00193261">
            <w:pPr>
              <w:pStyle w:val="TableText"/>
              <w:jc w:val="right"/>
            </w:pPr>
            <w:r w:rsidRPr="00861A07">
              <w:t>10735 </w:t>
            </w:r>
          </w:p>
        </w:tc>
        <w:tc>
          <w:tcPr>
            <w:tcW w:w="797" w:type="dxa"/>
            <w:vAlign w:val="center"/>
            <w:hideMark/>
          </w:tcPr>
          <w:p w14:paraId="25C4CF59" w14:textId="77777777" w:rsidR="00861A07" w:rsidRPr="00861A07" w:rsidRDefault="00861A07" w:rsidP="00193261">
            <w:pPr>
              <w:pStyle w:val="TableText"/>
              <w:jc w:val="right"/>
            </w:pPr>
            <w:r w:rsidRPr="00861A07">
              <w:t>12431 </w:t>
            </w:r>
          </w:p>
        </w:tc>
      </w:tr>
    </w:tbl>
    <w:p w14:paraId="7C0486A4" w14:textId="4FA21E70" w:rsidR="008F1018" w:rsidRDefault="00861A07" w:rsidP="0017665D">
      <w:pPr>
        <w:pStyle w:val="BodyText"/>
        <w:rPr>
          <w:b/>
        </w:rPr>
      </w:pPr>
      <w:r w:rsidRPr="00193261">
        <w:rPr>
          <w:sz w:val="20"/>
          <w:szCs w:val="20"/>
        </w:rPr>
        <w:t>*Since Complaints May Not be Processed within a Single Fiscal Year, Rows Below May Not Equal the Total </w:t>
      </w:r>
      <w:r w:rsidR="008F1018">
        <w:br w:type="page"/>
      </w:r>
    </w:p>
    <w:p w14:paraId="65E99326" w14:textId="35D300C4" w:rsidR="008B2179" w:rsidRPr="008B2179" w:rsidRDefault="00DE4A47" w:rsidP="008B2179">
      <w:pPr>
        <w:pStyle w:val="BodyText"/>
      </w:pPr>
      <w:r>
        <w:rPr>
          <w:b/>
          <w:bCs/>
        </w:rPr>
        <w:lastRenderedPageBreak/>
        <w:t>Wage and Hour Department – Texas Child Care Law Administration</w:t>
      </w:r>
    </w:p>
    <w:p w14:paraId="554112B4" w14:textId="77777777" w:rsidR="008B2179" w:rsidRPr="00DE4A47" w:rsidRDefault="008B2179" w:rsidP="00DE4A47">
      <w:pPr>
        <w:pStyle w:val="BodyText3"/>
      </w:pPr>
      <w:r w:rsidRPr="00DE4A47">
        <w:t>A.</w:t>
      </w:r>
      <w:r w:rsidRPr="00DE4A47">
        <w:tab/>
        <w:t>Provide the following information at the beginning of each description. </w:t>
      </w:r>
    </w:p>
    <w:p w14:paraId="5BDF7F35" w14:textId="77777777" w:rsidR="00B321B4" w:rsidRPr="008B2179" w:rsidRDefault="008B2179" w:rsidP="00C64851">
      <w:pPr>
        <w:pStyle w:val="BodyText"/>
        <w:numPr>
          <w:ilvl w:val="0"/>
          <w:numId w:val="184"/>
        </w:numPr>
        <w:spacing w:before="120" w:after="120"/>
      </w:pPr>
      <w:r w:rsidRPr="008B2179">
        <w:rPr>
          <w:i/>
          <w:iCs/>
        </w:rPr>
        <w:t>Name of division or program:</w:t>
      </w:r>
      <w:r w:rsidRPr="008B2179">
        <w:t xml:space="preserve"> Wage and Hour Department – Texas Child Labor Law </w:t>
      </w:r>
      <w:r w:rsidR="00B321B4" w:rsidRPr="008B2179">
        <w:rPr>
          <w:i/>
          <w:iCs/>
        </w:rPr>
        <w:t xml:space="preserve">Location within the agency: </w:t>
      </w:r>
      <w:r w:rsidR="00B321B4" w:rsidRPr="008B2179">
        <w:t>Fraud Deterrence and Compliance Monitoring </w:t>
      </w:r>
    </w:p>
    <w:p w14:paraId="28200A31" w14:textId="77777777" w:rsidR="00B321B4" w:rsidRPr="008B2179" w:rsidRDefault="00B321B4" w:rsidP="00C64851">
      <w:pPr>
        <w:pStyle w:val="BodyText"/>
        <w:numPr>
          <w:ilvl w:val="0"/>
          <w:numId w:val="184"/>
        </w:numPr>
        <w:spacing w:before="120" w:after="120"/>
      </w:pPr>
      <w:r w:rsidRPr="008B2179">
        <w:rPr>
          <w:i/>
          <w:iCs/>
        </w:rPr>
        <w:t>Contact name:</w:t>
      </w:r>
      <w:r w:rsidRPr="008B2179">
        <w:t xml:space="preserve"> Anna Colbert </w:t>
      </w:r>
    </w:p>
    <w:p w14:paraId="7033CFE4" w14:textId="77777777" w:rsidR="00B321B4" w:rsidRPr="008B2179" w:rsidRDefault="00B321B4" w:rsidP="00C64851">
      <w:pPr>
        <w:pStyle w:val="BodyText"/>
        <w:numPr>
          <w:ilvl w:val="0"/>
          <w:numId w:val="184"/>
        </w:numPr>
        <w:spacing w:before="120" w:after="120"/>
      </w:pPr>
      <w:r w:rsidRPr="008B2179">
        <w:rPr>
          <w:i/>
          <w:iCs/>
        </w:rPr>
        <w:t>Statutory citation:</w:t>
      </w:r>
      <w:r w:rsidRPr="008B2179">
        <w:t xml:space="preserve"> Texas Labor Code, Chapter 51 </w:t>
      </w:r>
    </w:p>
    <w:p w14:paraId="09E02066" w14:textId="77777777" w:rsidR="008B2179" w:rsidRPr="00DE4A47" w:rsidRDefault="008B2179" w:rsidP="00EE43CA">
      <w:pPr>
        <w:pStyle w:val="BodyText3"/>
        <w:ind w:left="720" w:hanging="720"/>
      </w:pPr>
      <w:r w:rsidRPr="00DE4A47">
        <w:t>B.</w:t>
      </w:r>
      <w:r w:rsidRPr="00DE4A47">
        <w:tab/>
        <w:t>What is the objective of this division or program? Describe its major activities. </w:t>
      </w:r>
    </w:p>
    <w:p w14:paraId="764798DB" w14:textId="77777777" w:rsidR="008B2179" w:rsidRPr="008B2179" w:rsidRDefault="008B2179" w:rsidP="008B2179">
      <w:pPr>
        <w:pStyle w:val="BodyText"/>
      </w:pPr>
      <w:r w:rsidRPr="008B2179">
        <w:t>The Wage and Hour Department – Texas Child Labor Law Administration safeguards the safety, health, and well-being of children in the workplace through the administration of the Texas Child Labor Law.  Through the Texas Labor Code, Chapter 51, and Chapter 817 of the TWC Rules (40 TAC 817), TWC ensures that children are not employed in occupations and under conditions that are detrimental to their safety, health, and well-being by responding to complaints, conducting on-site inspections, and educational outreach. </w:t>
      </w:r>
    </w:p>
    <w:p w14:paraId="33C0056B" w14:textId="77777777" w:rsidR="008B2179" w:rsidRPr="008B2179" w:rsidRDefault="008B2179" w:rsidP="008B2179">
      <w:pPr>
        <w:pStyle w:val="BodyText"/>
      </w:pPr>
      <w:r w:rsidRPr="008B2179">
        <w:t>This division carries out several major activities related to enforcing child labor laws, as follows:  </w:t>
      </w:r>
    </w:p>
    <w:p w14:paraId="689C9716" w14:textId="77777777" w:rsidR="008B2179" w:rsidRPr="008B2179" w:rsidRDefault="008B2179" w:rsidP="00C64851">
      <w:pPr>
        <w:pStyle w:val="BodyText"/>
        <w:numPr>
          <w:ilvl w:val="0"/>
          <w:numId w:val="142"/>
        </w:numPr>
      </w:pPr>
      <w:r w:rsidRPr="008B2179">
        <w:rPr>
          <w:b/>
          <w:bCs/>
        </w:rPr>
        <w:t>Investigations:</w:t>
      </w:r>
      <w:r w:rsidRPr="008B2179">
        <w:t>  </w:t>
      </w:r>
    </w:p>
    <w:p w14:paraId="5A5D1031" w14:textId="77777777" w:rsidR="008B2179" w:rsidRPr="008B2179" w:rsidRDefault="008B2179" w:rsidP="00C64851">
      <w:pPr>
        <w:pStyle w:val="BodyText"/>
        <w:numPr>
          <w:ilvl w:val="0"/>
          <w:numId w:val="143"/>
        </w:numPr>
      </w:pPr>
      <w:r w:rsidRPr="008B2179">
        <w:rPr>
          <w:i/>
          <w:iCs/>
        </w:rPr>
        <w:t>Complaint Intake and Evaluation:</w:t>
      </w:r>
      <w:r w:rsidRPr="008B2179">
        <w:t xml:space="preserve"> Receive and evaluate complaints from various sources (employees, parents, other agencies, etc.) alleging violations of child labor laws.  </w:t>
      </w:r>
    </w:p>
    <w:p w14:paraId="3F43028A" w14:textId="77777777" w:rsidR="008B2179" w:rsidRPr="008B2179" w:rsidRDefault="008B2179" w:rsidP="00C64851">
      <w:pPr>
        <w:pStyle w:val="BodyText"/>
        <w:numPr>
          <w:ilvl w:val="0"/>
          <w:numId w:val="144"/>
        </w:numPr>
      </w:pPr>
      <w:r w:rsidRPr="008B2179">
        <w:rPr>
          <w:i/>
          <w:iCs/>
        </w:rPr>
        <w:t>Investigations:</w:t>
      </w:r>
      <w:r w:rsidRPr="008B2179">
        <w:t xml:space="preserve"> Conduct investigations into potential violations. This may involve:  </w:t>
      </w:r>
    </w:p>
    <w:p w14:paraId="08C540B4" w14:textId="77777777" w:rsidR="008B2179" w:rsidRPr="008B2179" w:rsidRDefault="008B2179" w:rsidP="00C64851">
      <w:pPr>
        <w:pStyle w:val="BodyText"/>
        <w:numPr>
          <w:ilvl w:val="0"/>
          <w:numId w:val="145"/>
        </w:numPr>
      </w:pPr>
      <w:r w:rsidRPr="008B2179">
        <w:t>Reviewing employer records (payroll, time sheets, employee files, etc.). </w:t>
      </w:r>
    </w:p>
    <w:p w14:paraId="124FE155" w14:textId="77777777" w:rsidR="008B2179" w:rsidRPr="008B2179" w:rsidRDefault="008B2179" w:rsidP="00C64851">
      <w:pPr>
        <w:pStyle w:val="BodyText"/>
        <w:numPr>
          <w:ilvl w:val="0"/>
          <w:numId w:val="146"/>
        </w:numPr>
      </w:pPr>
      <w:r w:rsidRPr="008B2179">
        <w:t>Interviewing employers, employees (including minors), and other relevant individuals.  </w:t>
      </w:r>
    </w:p>
    <w:p w14:paraId="1D84263D" w14:textId="77777777" w:rsidR="008B2179" w:rsidRPr="008B2179" w:rsidRDefault="008B2179" w:rsidP="00C64851">
      <w:pPr>
        <w:pStyle w:val="BodyText"/>
        <w:numPr>
          <w:ilvl w:val="0"/>
          <w:numId w:val="147"/>
        </w:numPr>
      </w:pPr>
      <w:r w:rsidRPr="008B2179">
        <w:t>Inspecting work sites for hazardous conditions or prohibited occupations.  </w:t>
      </w:r>
    </w:p>
    <w:p w14:paraId="71BBBA04" w14:textId="77777777" w:rsidR="008B2179" w:rsidRPr="008B2179" w:rsidRDefault="008B2179" w:rsidP="00C64851">
      <w:pPr>
        <w:pStyle w:val="BodyText"/>
        <w:numPr>
          <w:ilvl w:val="0"/>
          <w:numId w:val="148"/>
        </w:numPr>
      </w:pPr>
      <w:r w:rsidRPr="008B2179">
        <w:rPr>
          <w:b/>
          <w:bCs/>
        </w:rPr>
        <w:t>Compliance and Enforcement:</w:t>
      </w:r>
      <w:r w:rsidRPr="008B2179">
        <w:t>  </w:t>
      </w:r>
    </w:p>
    <w:p w14:paraId="49DC0CB6" w14:textId="77777777" w:rsidR="008B2179" w:rsidRPr="008B2179" w:rsidRDefault="008B2179" w:rsidP="00C64851">
      <w:pPr>
        <w:pStyle w:val="BodyText"/>
        <w:numPr>
          <w:ilvl w:val="0"/>
          <w:numId w:val="149"/>
        </w:numPr>
      </w:pPr>
      <w:r w:rsidRPr="008B2179">
        <w:rPr>
          <w:i/>
          <w:iCs/>
        </w:rPr>
        <w:t>Determining Violations:</w:t>
      </w:r>
      <w:r w:rsidRPr="008B2179">
        <w:t xml:space="preserve"> Analyze evidence and determine if violations of child labor laws occurred.  </w:t>
      </w:r>
    </w:p>
    <w:p w14:paraId="19E07344" w14:textId="77777777" w:rsidR="008B2179" w:rsidRPr="008B2179" w:rsidRDefault="008B2179" w:rsidP="00C64851">
      <w:pPr>
        <w:pStyle w:val="BodyText"/>
        <w:numPr>
          <w:ilvl w:val="0"/>
          <w:numId w:val="150"/>
        </w:numPr>
      </w:pPr>
      <w:r w:rsidRPr="008B2179">
        <w:rPr>
          <w:i/>
          <w:iCs/>
        </w:rPr>
        <w:t>Enforcement Actions:</w:t>
      </w:r>
      <w:r w:rsidRPr="008B2179">
        <w:t xml:space="preserve"> If violations are found, appropriate enforcement actions are taken, which may include:  </w:t>
      </w:r>
    </w:p>
    <w:p w14:paraId="52B2C6AD" w14:textId="77777777" w:rsidR="008B2179" w:rsidRPr="008B2179" w:rsidRDefault="008B2179" w:rsidP="00C64851">
      <w:pPr>
        <w:pStyle w:val="BodyText"/>
        <w:numPr>
          <w:ilvl w:val="0"/>
          <w:numId w:val="151"/>
        </w:numPr>
      </w:pPr>
      <w:r w:rsidRPr="008B2179">
        <w:lastRenderedPageBreak/>
        <w:t>Issuing notices of violation.  </w:t>
      </w:r>
    </w:p>
    <w:p w14:paraId="2F7CC5EC" w14:textId="77777777" w:rsidR="008B2179" w:rsidRPr="008B2179" w:rsidRDefault="008B2179" w:rsidP="00C64851">
      <w:pPr>
        <w:pStyle w:val="BodyText"/>
        <w:numPr>
          <w:ilvl w:val="0"/>
          <w:numId w:val="152"/>
        </w:numPr>
      </w:pPr>
      <w:r w:rsidRPr="008B2179">
        <w:t>Assessing an administrative penalty.  </w:t>
      </w:r>
    </w:p>
    <w:p w14:paraId="60C1B7DD" w14:textId="77777777" w:rsidR="008B2179" w:rsidRPr="008B2179" w:rsidRDefault="008B2179" w:rsidP="00C64851">
      <w:pPr>
        <w:pStyle w:val="BodyText"/>
        <w:numPr>
          <w:ilvl w:val="0"/>
          <w:numId w:val="153"/>
        </w:numPr>
      </w:pPr>
      <w:r w:rsidRPr="008B2179">
        <w:t>Requiring employers to correct violations (e.g., changing work hours, removing minors from prohibited jobs).  </w:t>
      </w:r>
    </w:p>
    <w:p w14:paraId="02B77DEB" w14:textId="77777777" w:rsidR="008B2179" w:rsidRPr="008B2179" w:rsidRDefault="008B2179" w:rsidP="00C64851">
      <w:pPr>
        <w:pStyle w:val="BodyText"/>
        <w:numPr>
          <w:ilvl w:val="0"/>
          <w:numId w:val="154"/>
        </w:numPr>
      </w:pPr>
      <w:r w:rsidRPr="008B2179">
        <w:rPr>
          <w:b/>
          <w:bCs/>
        </w:rPr>
        <w:t>Education and Outreach:</w:t>
      </w:r>
      <w:r w:rsidRPr="008B2179">
        <w:t>  </w:t>
      </w:r>
    </w:p>
    <w:p w14:paraId="546651AC" w14:textId="77777777" w:rsidR="008B2179" w:rsidRPr="008B2179" w:rsidRDefault="008B2179" w:rsidP="00C64851">
      <w:pPr>
        <w:pStyle w:val="BodyText"/>
        <w:numPr>
          <w:ilvl w:val="0"/>
          <w:numId w:val="155"/>
        </w:numPr>
      </w:pPr>
      <w:r w:rsidRPr="008B2179">
        <w:rPr>
          <w:i/>
          <w:iCs/>
        </w:rPr>
        <w:t>Providing Information:</w:t>
      </w:r>
      <w:r w:rsidRPr="008B2179">
        <w:t xml:space="preserve"> Offer information and resources on child labor laws to employers, employees, parents, schools, and the public through:  </w:t>
      </w:r>
    </w:p>
    <w:p w14:paraId="74582141" w14:textId="77777777" w:rsidR="008B2179" w:rsidRPr="008B2179" w:rsidRDefault="008B2179" w:rsidP="00C64851">
      <w:pPr>
        <w:pStyle w:val="BodyText"/>
        <w:numPr>
          <w:ilvl w:val="0"/>
          <w:numId w:val="156"/>
        </w:numPr>
      </w:pPr>
      <w:r w:rsidRPr="008B2179">
        <w:t>Website content  </w:t>
      </w:r>
    </w:p>
    <w:p w14:paraId="7400AF6C" w14:textId="77777777" w:rsidR="008B2179" w:rsidRPr="008B2179" w:rsidRDefault="008B2179" w:rsidP="00C64851">
      <w:pPr>
        <w:pStyle w:val="BodyText"/>
        <w:numPr>
          <w:ilvl w:val="0"/>
          <w:numId w:val="157"/>
        </w:numPr>
      </w:pPr>
      <w:r w:rsidRPr="008B2179">
        <w:t>Publications  </w:t>
      </w:r>
    </w:p>
    <w:p w14:paraId="5956C954" w14:textId="77777777" w:rsidR="008B2179" w:rsidRPr="008B2179" w:rsidRDefault="008B2179" w:rsidP="00C64851">
      <w:pPr>
        <w:pStyle w:val="BodyText"/>
        <w:numPr>
          <w:ilvl w:val="0"/>
          <w:numId w:val="158"/>
        </w:numPr>
      </w:pPr>
      <w:r w:rsidRPr="008B2179">
        <w:t>Presentations and training sessions  </w:t>
      </w:r>
    </w:p>
    <w:p w14:paraId="71768889" w14:textId="77777777" w:rsidR="008B2179" w:rsidRPr="008B2179" w:rsidRDefault="008B2179" w:rsidP="00C64851">
      <w:pPr>
        <w:pStyle w:val="BodyText"/>
        <w:numPr>
          <w:ilvl w:val="0"/>
          <w:numId w:val="159"/>
        </w:numPr>
      </w:pPr>
      <w:r w:rsidRPr="008B2179">
        <w:t>Staff responses to calls and emails </w:t>
      </w:r>
    </w:p>
    <w:p w14:paraId="6B60D49F" w14:textId="77777777" w:rsidR="008B2179" w:rsidRPr="008B2179" w:rsidRDefault="008B2179" w:rsidP="00C64851">
      <w:pPr>
        <w:pStyle w:val="BodyText"/>
        <w:numPr>
          <w:ilvl w:val="0"/>
          <w:numId w:val="160"/>
        </w:numPr>
      </w:pPr>
      <w:r w:rsidRPr="008B2179">
        <w:rPr>
          <w:i/>
          <w:iCs/>
        </w:rPr>
        <w:t>Promoting Compliance:</w:t>
      </w:r>
      <w:r w:rsidRPr="008B2179">
        <w:t xml:space="preserve"> Encourage voluntary compliance with child labor laws by increasing awareness and understanding.  </w:t>
      </w:r>
    </w:p>
    <w:p w14:paraId="7CC9C47B" w14:textId="77777777" w:rsidR="008B2179" w:rsidRPr="008B2179" w:rsidRDefault="008B2179" w:rsidP="00C64851">
      <w:pPr>
        <w:pStyle w:val="BodyText"/>
        <w:numPr>
          <w:ilvl w:val="0"/>
          <w:numId w:val="161"/>
        </w:numPr>
      </w:pPr>
      <w:r w:rsidRPr="008B2179">
        <w:rPr>
          <w:b/>
          <w:bCs/>
        </w:rPr>
        <w:t>Data Management and Reporting:</w:t>
      </w:r>
      <w:r w:rsidRPr="008B2179">
        <w:t>  </w:t>
      </w:r>
    </w:p>
    <w:p w14:paraId="6383921A" w14:textId="77777777" w:rsidR="008B2179" w:rsidRPr="008B2179" w:rsidRDefault="008B2179" w:rsidP="00C64851">
      <w:pPr>
        <w:pStyle w:val="BodyText"/>
        <w:numPr>
          <w:ilvl w:val="0"/>
          <w:numId w:val="162"/>
        </w:numPr>
      </w:pPr>
      <w:r w:rsidRPr="008B2179">
        <w:rPr>
          <w:i/>
          <w:iCs/>
        </w:rPr>
        <w:t>Maintaining Records and Data:</w:t>
      </w:r>
      <w:r w:rsidRPr="008B2179">
        <w:t xml:space="preserve"> Maintain records of investigations, violations, and enforcement actions.   </w:t>
      </w:r>
    </w:p>
    <w:p w14:paraId="4988CD2E" w14:textId="77777777" w:rsidR="008B2179" w:rsidRPr="008B28CF" w:rsidRDefault="008B2179" w:rsidP="00EE43CA">
      <w:pPr>
        <w:pStyle w:val="BodyText3"/>
        <w:ind w:left="720" w:hanging="720"/>
      </w:pPr>
      <w:r w:rsidRPr="008B28CF">
        <w:t>C.</w:t>
      </w:r>
      <w:r w:rsidRPr="008B28CF">
        <w:tab/>
        <w:t xml:space="preserve">What information does the agency collect/use to assess the effectiveness and efficiency of this division or program? If applicable, briefly note any LBB performance measures (from Section II, </w:t>
      </w:r>
      <w:proofErr w:type="gramStart"/>
      <w:r w:rsidRPr="008B28CF">
        <w:t>Exhibit</w:t>
      </w:r>
      <w:proofErr w:type="gramEnd"/>
      <w:r w:rsidRPr="008B28CF">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20344078" w14:textId="77777777" w:rsidR="008B2179" w:rsidRPr="008B2179" w:rsidRDefault="008B2179" w:rsidP="008B2179">
      <w:pPr>
        <w:pStyle w:val="BodyText"/>
      </w:pPr>
      <w:r w:rsidRPr="008B2179">
        <w:t>Legislative Budget Board Cumulative Measure – Number of On-site Inspections Completed for Texas  </w:t>
      </w:r>
    </w:p>
    <w:p w14:paraId="0F99FE82" w14:textId="77777777" w:rsidR="008B2179" w:rsidRPr="008B2179" w:rsidRDefault="008B2179" w:rsidP="008B2179">
      <w:pPr>
        <w:pStyle w:val="BodyText"/>
      </w:pPr>
      <w:r w:rsidRPr="008B2179">
        <w:t>Child Labor Law Compliance.  </w:t>
      </w:r>
    </w:p>
    <w:tbl>
      <w:tblPr>
        <w:tblStyle w:val="TableGrid1"/>
        <w:tblW w:w="0" w:type="dxa"/>
        <w:tblCellMar>
          <w:top w:w="58" w:type="dxa"/>
          <w:bottom w:w="58" w:type="dxa"/>
        </w:tblCellMar>
        <w:tblLook w:val="04A0" w:firstRow="1" w:lastRow="0" w:firstColumn="1" w:lastColumn="0" w:noHBand="0" w:noVBand="1"/>
      </w:tblPr>
      <w:tblGrid>
        <w:gridCol w:w="3375"/>
        <w:gridCol w:w="1170"/>
        <w:gridCol w:w="1170"/>
        <w:gridCol w:w="1260"/>
      </w:tblGrid>
      <w:tr w:rsidR="008B2179" w:rsidRPr="008B2179" w14:paraId="2CF55779" w14:textId="77777777" w:rsidTr="008978DC">
        <w:trPr>
          <w:trHeight w:val="225"/>
          <w:tblHeader/>
        </w:trPr>
        <w:tc>
          <w:tcPr>
            <w:tcW w:w="3375" w:type="dxa"/>
            <w:shd w:val="clear" w:color="auto" w:fill="B8CCE4" w:themeFill="accent1" w:themeFillTint="66"/>
            <w:vAlign w:val="center"/>
            <w:hideMark/>
          </w:tcPr>
          <w:p w14:paraId="21C57C92" w14:textId="1352614F" w:rsidR="008B2179" w:rsidRPr="008B2179" w:rsidRDefault="008B2179" w:rsidP="008B28CF">
            <w:pPr>
              <w:pStyle w:val="TableHeaders"/>
            </w:pPr>
            <w:r w:rsidRPr="008B2179">
              <w:lastRenderedPageBreak/>
              <w:t>Child Labor Inspections</w:t>
            </w:r>
          </w:p>
        </w:tc>
        <w:tc>
          <w:tcPr>
            <w:tcW w:w="1170" w:type="dxa"/>
            <w:shd w:val="clear" w:color="auto" w:fill="B8CCE4" w:themeFill="accent1" w:themeFillTint="66"/>
            <w:vAlign w:val="center"/>
            <w:hideMark/>
          </w:tcPr>
          <w:p w14:paraId="3048C17C" w14:textId="5A6BC7B3" w:rsidR="008B2179" w:rsidRPr="008B2179" w:rsidRDefault="008B2179" w:rsidP="008B28CF">
            <w:pPr>
              <w:pStyle w:val="TableHeaders"/>
            </w:pPr>
            <w:r w:rsidRPr="008B2179">
              <w:t>FY22</w:t>
            </w:r>
          </w:p>
        </w:tc>
        <w:tc>
          <w:tcPr>
            <w:tcW w:w="1170" w:type="dxa"/>
            <w:shd w:val="clear" w:color="auto" w:fill="B8CCE4" w:themeFill="accent1" w:themeFillTint="66"/>
            <w:vAlign w:val="center"/>
            <w:hideMark/>
          </w:tcPr>
          <w:p w14:paraId="723380B8" w14:textId="73D8FA1D" w:rsidR="008B2179" w:rsidRPr="008B2179" w:rsidRDefault="008B2179" w:rsidP="008B28CF">
            <w:pPr>
              <w:pStyle w:val="TableHeaders"/>
            </w:pPr>
            <w:r w:rsidRPr="008B2179">
              <w:t>FY23</w:t>
            </w:r>
          </w:p>
        </w:tc>
        <w:tc>
          <w:tcPr>
            <w:tcW w:w="1260" w:type="dxa"/>
            <w:shd w:val="clear" w:color="auto" w:fill="B8CCE4" w:themeFill="accent1" w:themeFillTint="66"/>
            <w:vAlign w:val="center"/>
            <w:hideMark/>
          </w:tcPr>
          <w:p w14:paraId="3CDE0868" w14:textId="66000D70" w:rsidR="008B2179" w:rsidRPr="008B2179" w:rsidRDefault="008B2179" w:rsidP="008B28CF">
            <w:pPr>
              <w:pStyle w:val="TableHeaders"/>
            </w:pPr>
            <w:r w:rsidRPr="008B2179">
              <w:t>FY24</w:t>
            </w:r>
          </w:p>
        </w:tc>
      </w:tr>
      <w:tr w:rsidR="008B2179" w:rsidRPr="008B2179" w14:paraId="051C5165" w14:textId="77777777" w:rsidTr="008978DC">
        <w:trPr>
          <w:trHeight w:val="585"/>
          <w:tblHeader/>
        </w:trPr>
        <w:tc>
          <w:tcPr>
            <w:tcW w:w="3375" w:type="dxa"/>
            <w:vAlign w:val="center"/>
            <w:hideMark/>
          </w:tcPr>
          <w:p w14:paraId="5B2980B1" w14:textId="77777777" w:rsidR="008B2179" w:rsidRPr="008B2179" w:rsidRDefault="008B2179" w:rsidP="008B28CF">
            <w:pPr>
              <w:pStyle w:val="TableText"/>
            </w:pPr>
            <w:r w:rsidRPr="008B2179">
              <w:t>Number of Telephone Inquiries  </w:t>
            </w:r>
          </w:p>
        </w:tc>
        <w:tc>
          <w:tcPr>
            <w:tcW w:w="1170" w:type="dxa"/>
            <w:vAlign w:val="center"/>
            <w:hideMark/>
          </w:tcPr>
          <w:p w14:paraId="623AE7EE" w14:textId="77777777" w:rsidR="008B2179" w:rsidRPr="008B2179" w:rsidRDefault="008B2179" w:rsidP="008B28CF">
            <w:pPr>
              <w:pStyle w:val="TableText"/>
              <w:jc w:val="right"/>
            </w:pPr>
            <w:r w:rsidRPr="008B2179">
              <w:t>206  </w:t>
            </w:r>
          </w:p>
        </w:tc>
        <w:tc>
          <w:tcPr>
            <w:tcW w:w="1170" w:type="dxa"/>
            <w:vAlign w:val="center"/>
            <w:hideMark/>
          </w:tcPr>
          <w:p w14:paraId="08E0894E" w14:textId="77777777" w:rsidR="008B2179" w:rsidRPr="008B2179" w:rsidRDefault="008B2179" w:rsidP="008B28CF">
            <w:pPr>
              <w:pStyle w:val="TableText"/>
              <w:jc w:val="right"/>
            </w:pPr>
            <w:r w:rsidRPr="008B2179">
              <w:t>230  </w:t>
            </w:r>
          </w:p>
        </w:tc>
        <w:tc>
          <w:tcPr>
            <w:tcW w:w="1260" w:type="dxa"/>
            <w:vAlign w:val="center"/>
            <w:hideMark/>
          </w:tcPr>
          <w:p w14:paraId="290021C5" w14:textId="77777777" w:rsidR="008B2179" w:rsidRPr="008B2179" w:rsidRDefault="008B2179" w:rsidP="008B28CF">
            <w:pPr>
              <w:pStyle w:val="TableText"/>
              <w:jc w:val="right"/>
            </w:pPr>
            <w:r w:rsidRPr="008B2179">
              <w:t>226  </w:t>
            </w:r>
          </w:p>
        </w:tc>
      </w:tr>
      <w:tr w:rsidR="008B2179" w:rsidRPr="008B2179" w14:paraId="107455EA" w14:textId="77777777" w:rsidTr="008978DC">
        <w:trPr>
          <w:trHeight w:val="255"/>
          <w:tblHeader/>
        </w:trPr>
        <w:tc>
          <w:tcPr>
            <w:tcW w:w="3375" w:type="dxa"/>
            <w:vAlign w:val="center"/>
            <w:hideMark/>
          </w:tcPr>
          <w:p w14:paraId="2A6B4677" w14:textId="77777777" w:rsidR="008B2179" w:rsidRPr="008B2179" w:rsidRDefault="008B2179" w:rsidP="008B28CF">
            <w:pPr>
              <w:pStyle w:val="TableText"/>
            </w:pPr>
            <w:r w:rsidRPr="008B2179">
              <w:t>Number of Inspections  </w:t>
            </w:r>
          </w:p>
        </w:tc>
        <w:tc>
          <w:tcPr>
            <w:tcW w:w="1170" w:type="dxa"/>
            <w:vAlign w:val="center"/>
            <w:hideMark/>
          </w:tcPr>
          <w:p w14:paraId="707B149A" w14:textId="77777777" w:rsidR="008B2179" w:rsidRPr="008B2179" w:rsidRDefault="008B2179" w:rsidP="008B28CF">
            <w:pPr>
              <w:pStyle w:val="TableText"/>
              <w:jc w:val="right"/>
            </w:pPr>
            <w:r w:rsidRPr="008B2179">
              <w:t>1871  </w:t>
            </w:r>
          </w:p>
        </w:tc>
        <w:tc>
          <w:tcPr>
            <w:tcW w:w="1170" w:type="dxa"/>
            <w:vAlign w:val="center"/>
            <w:hideMark/>
          </w:tcPr>
          <w:p w14:paraId="3CD23BD3" w14:textId="77777777" w:rsidR="008B2179" w:rsidRPr="008B2179" w:rsidRDefault="008B2179" w:rsidP="008B28CF">
            <w:pPr>
              <w:pStyle w:val="TableText"/>
              <w:jc w:val="right"/>
            </w:pPr>
            <w:r w:rsidRPr="008B2179">
              <w:t>2028  </w:t>
            </w:r>
          </w:p>
        </w:tc>
        <w:tc>
          <w:tcPr>
            <w:tcW w:w="1260" w:type="dxa"/>
            <w:vAlign w:val="center"/>
            <w:hideMark/>
          </w:tcPr>
          <w:p w14:paraId="684DEC6F" w14:textId="77777777" w:rsidR="008B2179" w:rsidRPr="008B2179" w:rsidRDefault="008B2179" w:rsidP="008B28CF">
            <w:pPr>
              <w:pStyle w:val="TableText"/>
              <w:jc w:val="right"/>
            </w:pPr>
            <w:r w:rsidRPr="008B2179">
              <w:t>2351  </w:t>
            </w:r>
          </w:p>
        </w:tc>
      </w:tr>
      <w:tr w:rsidR="008B2179" w:rsidRPr="008B2179" w14:paraId="0F548DBF" w14:textId="77777777" w:rsidTr="008978DC">
        <w:trPr>
          <w:trHeight w:val="255"/>
          <w:tblHeader/>
        </w:trPr>
        <w:tc>
          <w:tcPr>
            <w:tcW w:w="3375" w:type="dxa"/>
            <w:vAlign w:val="center"/>
            <w:hideMark/>
          </w:tcPr>
          <w:p w14:paraId="5A10A196" w14:textId="77777777" w:rsidR="008B2179" w:rsidRPr="008B2179" w:rsidRDefault="008B2179" w:rsidP="008B28CF">
            <w:pPr>
              <w:pStyle w:val="TableText"/>
            </w:pPr>
            <w:r w:rsidRPr="008B2179">
              <w:t>Number of Violations  </w:t>
            </w:r>
          </w:p>
        </w:tc>
        <w:tc>
          <w:tcPr>
            <w:tcW w:w="1170" w:type="dxa"/>
            <w:vAlign w:val="center"/>
            <w:hideMark/>
          </w:tcPr>
          <w:p w14:paraId="4B13DE71" w14:textId="77777777" w:rsidR="008B2179" w:rsidRPr="008B2179" w:rsidRDefault="008B2179" w:rsidP="008B28CF">
            <w:pPr>
              <w:pStyle w:val="TableText"/>
              <w:jc w:val="right"/>
            </w:pPr>
            <w:r w:rsidRPr="008B2179">
              <w:t>907  </w:t>
            </w:r>
          </w:p>
        </w:tc>
        <w:tc>
          <w:tcPr>
            <w:tcW w:w="1170" w:type="dxa"/>
            <w:vAlign w:val="center"/>
            <w:hideMark/>
          </w:tcPr>
          <w:p w14:paraId="544984EB" w14:textId="77777777" w:rsidR="008B2179" w:rsidRPr="008B2179" w:rsidRDefault="008B2179" w:rsidP="008B28CF">
            <w:pPr>
              <w:pStyle w:val="TableText"/>
              <w:jc w:val="right"/>
            </w:pPr>
            <w:r w:rsidRPr="008B2179">
              <w:t>3471  </w:t>
            </w:r>
          </w:p>
        </w:tc>
        <w:tc>
          <w:tcPr>
            <w:tcW w:w="1260" w:type="dxa"/>
            <w:vAlign w:val="center"/>
            <w:hideMark/>
          </w:tcPr>
          <w:p w14:paraId="237D0C7B" w14:textId="77777777" w:rsidR="008B2179" w:rsidRPr="008B2179" w:rsidRDefault="008B2179" w:rsidP="008B28CF">
            <w:pPr>
              <w:pStyle w:val="TableText"/>
              <w:jc w:val="right"/>
            </w:pPr>
            <w:r w:rsidRPr="008B2179">
              <w:t>5527  </w:t>
            </w:r>
          </w:p>
        </w:tc>
      </w:tr>
    </w:tbl>
    <w:p w14:paraId="471CE953" w14:textId="77777777" w:rsidR="008B2179" w:rsidRPr="008B28CF" w:rsidRDefault="008B2179" w:rsidP="00EE43CA">
      <w:pPr>
        <w:pStyle w:val="BodyText3"/>
        <w:ind w:left="720" w:hanging="720"/>
      </w:pPr>
      <w:r w:rsidRPr="008B28CF">
        <w:t>D.</w:t>
      </w:r>
      <w:r w:rsidRPr="008B28CF">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3B2FE494" w14:textId="77777777" w:rsidR="008B2179" w:rsidRPr="008B2179" w:rsidRDefault="008B2179" w:rsidP="008B2179">
      <w:pPr>
        <w:pStyle w:val="BodyText"/>
      </w:pPr>
      <w:r w:rsidRPr="008B2179">
        <w:t>The services and functions have not changed from the original intent of the Child labor program; however, the department did undergo a name change from Labor Law Investigations to Wage and Hour effective Sept. 1, 2022. </w:t>
      </w:r>
    </w:p>
    <w:p w14:paraId="3760C9EC" w14:textId="77777777" w:rsidR="008B2179" w:rsidRPr="008B28CF" w:rsidRDefault="008B2179" w:rsidP="00EE43CA">
      <w:pPr>
        <w:pStyle w:val="BodyText3"/>
        <w:ind w:left="720" w:hanging="720"/>
      </w:pPr>
      <w:r w:rsidRPr="008B28CF">
        <w:t>E.</w:t>
      </w:r>
      <w:r w:rsidRPr="008B28CF">
        <w:tab/>
        <w:t>List any qualifications or eligibility requirements for persons or entities affected by this division or program (e.g., licensees, consumers, and landowners). Provide a statistical breakdown of persons or entities affected. </w:t>
      </w:r>
    </w:p>
    <w:p w14:paraId="72A2F050" w14:textId="77777777" w:rsidR="00A5580F" w:rsidRPr="008B2179" w:rsidRDefault="00A5580F" w:rsidP="00A5580F">
      <w:pPr>
        <w:pStyle w:val="BodyText"/>
      </w:pPr>
      <w:r w:rsidRPr="008B2179">
        <w:t>Child labor law regulations are needed to protect children from hazardous working conditions, and interference with their education and development.  The program provides protection over children in the workplace through on-site inspections and educational outreach. </w:t>
      </w:r>
    </w:p>
    <w:p w14:paraId="6FEA1489" w14:textId="77777777" w:rsidR="00A5580F" w:rsidRPr="008B2179" w:rsidRDefault="00A5580F" w:rsidP="00A5580F">
      <w:pPr>
        <w:pStyle w:val="BodyText"/>
      </w:pPr>
      <w:r w:rsidRPr="008B2179">
        <w:t xml:space="preserve">The public can file complaints (anonymously) on any business that may be employing children illegally and the child labor investigators may inspect any business where there is reason to believe a child is or has been employed in the past two years. “How to File a Complaint” can be found online, </w:t>
      </w:r>
      <w:hyperlink r:id="rId231" w:tgtFrame="_blank" w:history="1">
        <w:r w:rsidRPr="008B2179">
          <w:rPr>
            <w:rStyle w:val="Hyperlink"/>
          </w:rPr>
          <w:t>Texas Child Labor Law</w:t>
        </w:r>
      </w:hyperlink>
      <w:r w:rsidRPr="008B2179">
        <w:t>.  All complaints are reviewed for inspection follow-up. </w:t>
      </w:r>
    </w:p>
    <w:p w14:paraId="0222C622" w14:textId="77777777" w:rsidR="00A5580F" w:rsidRPr="008B2179" w:rsidRDefault="00A5580F" w:rsidP="00A5580F">
      <w:pPr>
        <w:pStyle w:val="BodyText"/>
      </w:pPr>
      <w:r w:rsidRPr="008B2179">
        <w:t>After an inspection resulting in a violation and to ensure compliance, a closing conference is held with the employer to review the findings, provide a copy of the law, and discuss preventative measures. Also, administrative penalties (up to $10,000/Violation) may be assessed to ensure future compliance. </w:t>
      </w:r>
    </w:p>
    <w:p w14:paraId="172F3981" w14:textId="77777777" w:rsidR="008B2179" w:rsidRPr="008B2179" w:rsidRDefault="008B2179" w:rsidP="008B2179">
      <w:pPr>
        <w:pStyle w:val="BodyText"/>
      </w:pPr>
      <w:r w:rsidRPr="008B2179">
        <w:t>The Texas Child Labor Law and associated rules affect children under 18-years of age, or under 21-years of age for sexually oriented businesses. There are no additional qualifications or eligibility requirements to receive these services. </w:t>
      </w:r>
    </w:p>
    <w:p w14:paraId="09BDCA61" w14:textId="77777777" w:rsidR="008B2179" w:rsidRPr="008B28CF" w:rsidRDefault="008B2179" w:rsidP="00EE43CA">
      <w:pPr>
        <w:pStyle w:val="BodyText3"/>
        <w:ind w:left="720" w:hanging="720"/>
      </w:pPr>
      <w:r w:rsidRPr="008B28CF">
        <w:t>F.</w:t>
      </w:r>
      <w:r w:rsidRPr="008B28CF">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5109ADC6" w14:textId="61A18307" w:rsidR="008B2179" w:rsidRPr="008B2179" w:rsidRDefault="008B2179" w:rsidP="008B2179">
      <w:pPr>
        <w:pStyle w:val="BodyText"/>
      </w:pPr>
      <w:r w:rsidRPr="008B2179">
        <w:lastRenderedPageBreak/>
        <w:t xml:space="preserve">The Wage and Hour Department – Texas Child Labor Law Administration is organized within </w:t>
      </w:r>
      <w:r w:rsidR="005B4DF7">
        <w:t>FDCM</w:t>
      </w:r>
      <w:r w:rsidRPr="008B2179">
        <w:t xml:space="preserve"> division, with the Division Director reporting to the Executive Director. The Austin office location houses the Wage and Hour support staff and management. The child labor law investigators are stationed in Austin, San Antonio, McAllen, Houston, Fort Worth, Dallas, and Lubbock.  The child labor law investigators conduct onsite inspections of any business in Texas.   </w:t>
      </w:r>
    </w:p>
    <w:p w14:paraId="7B5C6A28" w14:textId="77777777" w:rsidR="008B2179" w:rsidRPr="008B2179" w:rsidRDefault="008B2179" w:rsidP="008B2179">
      <w:pPr>
        <w:pStyle w:val="BodyText"/>
      </w:pPr>
      <w:r w:rsidRPr="008B2179">
        <w:rPr>
          <w:b/>
          <w:bCs/>
        </w:rPr>
        <w:t>Key Processes:</w:t>
      </w:r>
      <w:r w:rsidRPr="008B2179">
        <w:t>  </w:t>
      </w:r>
    </w:p>
    <w:p w14:paraId="23616995" w14:textId="77777777" w:rsidR="008B2179" w:rsidRPr="008B2179" w:rsidRDefault="008B2179" w:rsidP="00C64851">
      <w:pPr>
        <w:pStyle w:val="BodyText"/>
        <w:numPr>
          <w:ilvl w:val="0"/>
          <w:numId w:val="163"/>
        </w:numPr>
      </w:pPr>
      <w:r w:rsidRPr="008B2179">
        <w:rPr>
          <w:b/>
          <w:bCs/>
        </w:rPr>
        <w:t>Complaint Intake and Triage:</w:t>
      </w:r>
      <w:r w:rsidRPr="008B2179">
        <w:t>  </w:t>
      </w:r>
    </w:p>
    <w:p w14:paraId="6B1C4614" w14:textId="77777777" w:rsidR="008B2179" w:rsidRPr="008B2179" w:rsidRDefault="008B2179" w:rsidP="00C64851">
      <w:pPr>
        <w:pStyle w:val="BodyText"/>
        <w:numPr>
          <w:ilvl w:val="0"/>
          <w:numId w:val="164"/>
        </w:numPr>
      </w:pPr>
      <w:r w:rsidRPr="008B2179">
        <w:rPr>
          <w:i/>
          <w:iCs/>
        </w:rPr>
        <w:t>Intake:</w:t>
      </w:r>
      <w:r w:rsidRPr="008B2179">
        <w:t xml:space="preserve"> The program receives complaints from various sources: employees (or their parents/guardians in the case of minors), employers, other government agencies, or the public. Complaints can be submitted by email, mail, fax, or by phone.  </w:t>
      </w:r>
    </w:p>
    <w:p w14:paraId="36B95C03" w14:textId="77777777" w:rsidR="008B2179" w:rsidRPr="008B2179" w:rsidRDefault="008B2179" w:rsidP="00C64851">
      <w:pPr>
        <w:pStyle w:val="BodyText"/>
        <w:numPr>
          <w:ilvl w:val="0"/>
          <w:numId w:val="165"/>
        </w:numPr>
      </w:pPr>
      <w:r w:rsidRPr="008B2179">
        <w:rPr>
          <w:i/>
          <w:iCs/>
        </w:rPr>
        <w:t>Initial Review:</w:t>
      </w:r>
      <w:r w:rsidRPr="008B2179">
        <w:t xml:space="preserve"> Staff reviews the complaint to determine if it falls within the program's jurisdiction (i.e., involves potential violations of Texas Child Labor Laws or wage and hour laws).  </w:t>
      </w:r>
    </w:p>
    <w:p w14:paraId="000BA48D" w14:textId="77777777" w:rsidR="008B2179" w:rsidRPr="008B2179" w:rsidRDefault="008B2179" w:rsidP="00C64851">
      <w:pPr>
        <w:pStyle w:val="BodyText"/>
        <w:numPr>
          <w:ilvl w:val="0"/>
          <w:numId w:val="166"/>
        </w:numPr>
      </w:pPr>
      <w:r w:rsidRPr="008B2179">
        <w:rPr>
          <w:i/>
          <w:iCs/>
        </w:rPr>
        <w:t>Triage:</w:t>
      </w:r>
      <w:r w:rsidRPr="008B2179">
        <w:t xml:space="preserve"> The complaint is categorized and prioritized based on factors such as the severity of the alleged violation, the vulnerability of the affected employee(s), and the availability of resources. Some complaints may be referred to other agencies (e.g., the federal Department of Labor) if they have primary jurisdiction or if a joint investigation is warranted.  </w:t>
      </w:r>
    </w:p>
    <w:p w14:paraId="59B4774F" w14:textId="77777777" w:rsidR="008B2179" w:rsidRPr="008B2179" w:rsidRDefault="008B2179" w:rsidP="00C64851">
      <w:pPr>
        <w:pStyle w:val="BodyText"/>
        <w:numPr>
          <w:ilvl w:val="0"/>
          <w:numId w:val="167"/>
        </w:numPr>
      </w:pPr>
      <w:r w:rsidRPr="008B2179">
        <w:rPr>
          <w:b/>
          <w:bCs/>
        </w:rPr>
        <w:t>Investigation:</w:t>
      </w:r>
      <w:r w:rsidRPr="008B2179">
        <w:t>  </w:t>
      </w:r>
    </w:p>
    <w:p w14:paraId="7B51F37B" w14:textId="77777777" w:rsidR="008B2179" w:rsidRPr="008B2179" w:rsidRDefault="008B2179" w:rsidP="00C64851">
      <w:pPr>
        <w:pStyle w:val="BodyText"/>
        <w:numPr>
          <w:ilvl w:val="0"/>
          <w:numId w:val="168"/>
        </w:numPr>
      </w:pPr>
      <w:r w:rsidRPr="008B2179">
        <w:rPr>
          <w:i/>
          <w:iCs/>
        </w:rPr>
        <w:t>Assignment:</w:t>
      </w:r>
      <w:r w:rsidRPr="008B2179">
        <w:t xml:space="preserve"> A qualified investigator is assigned to the complaint based on location of the place in violation.  </w:t>
      </w:r>
    </w:p>
    <w:p w14:paraId="11F69EBC" w14:textId="77777777" w:rsidR="008B2179" w:rsidRPr="008B2179" w:rsidRDefault="008B2179" w:rsidP="00C64851">
      <w:pPr>
        <w:pStyle w:val="BodyText"/>
        <w:numPr>
          <w:ilvl w:val="0"/>
          <w:numId w:val="169"/>
        </w:numPr>
      </w:pPr>
      <w:r w:rsidRPr="008B2179">
        <w:rPr>
          <w:i/>
          <w:iCs/>
        </w:rPr>
        <w:t>Investigation Plan:</w:t>
      </w:r>
      <w:r w:rsidRPr="008B2179">
        <w:t xml:space="preserve"> The investigator develops a plan for conducting the investigation, which may involve:  </w:t>
      </w:r>
    </w:p>
    <w:p w14:paraId="3D345F40" w14:textId="77777777" w:rsidR="008B2179" w:rsidRPr="008B2179" w:rsidRDefault="008B2179" w:rsidP="00C64851">
      <w:pPr>
        <w:pStyle w:val="BodyText"/>
        <w:numPr>
          <w:ilvl w:val="0"/>
          <w:numId w:val="170"/>
        </w:numPr>
      </w:pPr>
      <w:r w:rsidRPr="008B2179">
        <w:t>Reviewing employer records (payroll, time sheets, employee files, etc.).  </w:t>
      </w:r>
    </w:p>
    <w:p w14:paraId="1D36E2A2" w14:textId="77777777" w:rsidR="008B2179" w:rsidRPr="008B2179" w:rsidRDefault="008B2179" w:rsidP="00C64851">
      <w:pPr>
        <w:pStyle w:val="BodyText"/>
        <w:numPr>
          <w:ilvl w:val="0"/>
          <w:numId w:val="171"/>
        </w:numPr>
      </w:pPr>
      <w:r w:rsidRPr="008B2179">
        <w:t>Conducting interviews with employers, employees (including minors), and other relevant individuals.  </w:t>
      </w:r>
    </w:p>
    <w:p w14:paraId="5DA12629" w14:textId="77777777" w:rsidR="008B2179" w:rsidRPr="008B2179" w:rsidRDefault="008B2179" w:rsidP="00C64851">
      <w:pPr>
        <w:pStyle w:val="BodyText"/>
        <w:numPr>
          <w:ilvl w:val="0"/>
          <w:numId w:val="172"/>
        </w:numPr>
      </w:pPr>
      <w:r w:rsidRPr="008B2179">
        <w:t>Inspecting work sites for hazardous conditions or prohibited occupations (in child labor cases).  </w:t>
      </w:r>
    </w:p>
    <w:p w14:paraId="0A41CD69" w14:textId="77777777" w:rsidR="008B2179" w:rsidRPr="008B2179" w:rsidRDefault="008B2179" w:rsidP="00C64851">
      <w:pPr>
        <w:pStyle w:val="BodyText"/>
        <w:numPr>
          <w:ilvl w:val="0"/>
          <w:numId w:val="173"/>
        </w:numPr>
      </w:pPr>
      <w:r w:rsidRPr="008B2179">
        <w:rPr>
          <w:i/>
          <w:iCs/>
        </w:rPr>
        <w:t>Evidence Gathering:</w:t>
      </w:r>
      <w:r w:rsidRPr="008B2179">
        <w:t xml:space="preserve"> The investigator gathers evidence to support or refute the allegations in the complaint.  </w:t>
      </w:r>
    </w:p>
    <w:p w14:paraId="1971F8CF" w14:textId="77777777" w:rsidR="008B2179" w:rsidRPr="008B2179" w:rsidRDefault="008B2179" w:rsidP="00C64851">
      <w:pPr>
        <w:pStyle w:val="BodyText"/>
        <w:numPr>
          <w:ilvl w:val="0"/>
          <w:numId w:val="174"/>
        </w:numPr>
      </w:pPr>
      <w:r w:rsidRPr="008B2179">
        <w:rPr>
          <w:i/>
          <w:iCs/>
        </w:rPr>
        <w:t>Analysis:</w:t>
      </w:r>
      <w:r w:rsidRPr="008B2179">
        <w:t xml:space="preserve"> The investigator analyzes the evidence to determine if a violation of child labor laws or wage and hour laws has occurred.  </w:t>
      </w:r>
    </w:p>
    <w:p w14:paraId="4462D180" w14:textId="77777777" w:rsidR="008B2179" w:rsidRPr="008B2179" w:rsidRDefault="008B2179" w:rsidP="00C64851">
      <w:pPr>
        <w:pStyle w:val="BodyText"/>
        <w:numPr>
          <w:ilvl w:val="0"/>
          <w:numId w:val="175"/>
        </w:numPr>
      </w:pPr>
      <w:r w:rsidRPr="008B2179">
        <w:rPr>
          <w:b/>
          <w:bCs/>
        </w:rPr>
        <w:lastRenderedPageBreak/>
        <w:t>Compliance and Enforcement:</w:t>
      </w:r>
      <w:r w:rsidRPr="008B2179">
        <w:t>  </w:t>
      </w:r>
    </w:p>
    <w:p w14:paraId="1E0BED19" w14:textId="77777777" w:rsidR="008B2179" w:rsidRPr="008B2179" w:rsidRDefault="008B2179" w:rsidP="00C64851">
      <w:pPr>
        <w:pStyle w:val="BodyText"/>
        <w:numPr>
          <w:ilvl w:val="0"/>
          <w:numId w:val="176"/>
        </w:numPr>
      </w:pPr>
      <w:r w:rsidRPr="008B2179">
        <w:rPr>
          <w:i/>
          <w:iCs/>
        </w:rPr>
        <w:t>Determination:</w:t>
      </w:r>
      <w:r w:rsidRPr="008B2179">
        <w:t xml:space="preserve"> The investigator </w:t>
      </w:r>
      <w:proofErr w:type="gramStart"/>
      <w:r w:rsidRPr="008B2179">
        <w:t>makes a determination</w:t>
      </w:r>
      <w:proofErr w:type="gramEnd"/>
      <w:r w:rsidRPr="008B2179">
        <w:t xml:space="preserve"> as to whether a violation occurred.  </w:t>
      </w:r>
    </w:p>
    <w:p w14:paraId="4A93AA81" w14:textId="77777777" w:rsidR="008B2179" w:rsidRPr="008B2179" w:rsidRDefault="008B2179" w:rsidP="00C64851">
      <w:pPr>
        <w:pStyle w:val="BodyText"/>
        <w:numPr>
          <w:ilvl w:val="0"/>
          <w:numId w:val="177"/>
        </w:numPr>
      </w:pPr>
      <w:r w:rsidRPr="008B2179">
        <w:rPr>
          <w:i/>
          <w:iCs/>
        </w:rPr>
        <w:t>Notification:</w:t>
      </w:r>
      <w:r w:rsidRPr="008B2179">
        <w:t xml:space="preserve"> The employer is notified of the determination by means of a closing conference which is held either in person or by phone.  </w:t>
      </w:r>
    </w:p>
    <w:p w14:paraId="1E00E936" w14:textId="77777777" w:rsidR="008B2179" w:rsidRPr="008B2179" w:rsidRDefault="008B2179" w:rsidP="00C64851">
      <w:pPr>
        <w:pStyle w:val="BodyText"/>
        <w:numPr>
          <w:ilvl w:val="0"/>
          <w:numId w:val="178"/>
        </w:numPr>
      </w:pPr>
      <w:r w:rsidRPr="008B2179">
        <w:rPr>
          <w:i/>
          <w:iCs/>
        </w:rPr>
        <w:t>Remediation:</w:t>
      </w:r>
      <w:r w:rsidRPr="008B2179">
        <w:t xml:space="preserve"> If a violation is found, the employer may be required to take corrective action, such as:  </w:t>
      </w:r>
    </w:p>
    <w:p w14:paraId="23FF87FF" w14:textId="77777777" w:rsidR="008B2179" w:rsidRPr="008B2179" w:rsidRDefault="008B2179" w:rsidP="00C64851">
      <w:pPr>
        <w:pStyle w:val="BodyText"/>
        <w:numPr>
          <w:ilvl w:val="0"/>
          <w:numId w:val="179"/>
        </w:numPr>
      </w:pPr>
      <w:r w:rsidRPr="008B2179">
        <w:t>Paying administrative penalty.   </w:t>
      </w:r>
    </w:p>
    <w:p w14:paraId="1D111123" w14:textId="77777777" w:rsidR="008B2179" w:rsidRPr="008B2179" w:rsidRDefault="008B2179" w:rsidP="00C64851">
      <w:pPr>
        <w:pStyle w:val="BodyText"/>
        <w:numPr>
          <w:ilvl w:val="0"/>
          <w:numId w:val="180"/>
        </w:numPr>
      </w:pPr>
      <w:r w:rsidRPr="008B2179">
        <w:t>Changing work hours or conditions to comply with child labor laws.  </w:t>
      </w:r>
    </w:p>
    <w:p w14:paraId="32CB3AD7" w14:textId="77777777" w:rsidR="008B2179" w:rsidRPr="008B2179" w:rsidRDefault="008B2179" w:rsidP="00C64851">
      <w:pPr>
        <w:pStyle w:val="BodyText"/>
        <w:numPr>
          <w:ilvl w:val="0"/>
          <w:numId w:val="181"/>
        </w:numPr>
      </w:pPr>
      <w:r w:rsidRPr="008B2179">
        <w:t>Removing minors from prohibited occupations.  </w:t>
      </w:r>
    </w:p>
    <w:p w14:paraId="399D1CC1" w14:textId="77777777" w:rsidR="008B2179" w:rsidRPr="008B2179" w:rsidRDefault="008B2179" w:rsidP="00C64851">
      <w:pPr>
        <w:pStyle w:val="BodyText"/>
        <w:numPr>
          <w:ilvl w:val="0"/>
          <w:numId w:val="182"/>
        </w:numPr>
      </w:pPr>
      <w:r w:rsidRPr="008B2179">
        <w:rPr>
          <w:i/>
          <w:iCs/>
        </w:rPr>
        <w:t>Penalties:</w:t>
      </w:r>
      <w:r w:rsidRPr="008B2179">
        <w:t xml:space="preserve"> The program may assess an administrative penalty against employers who violate child labor laws. The amount of the penalty is based on factors established in Texas Labor Code § 51.033 including the seriousness of the violation and the employer’s history of previous violations.  TWC Commissioners adopted a penalty matrix, under TWC Rule § 817.36, that is used to determine the amount of the penalty. </w:t>
      </w:r>
    </w:p>
    <w:p w14:paraId="5B64D900" w14:textId="77777777" w:rsidR="008B2179" w:rsidRPr="008B2179" w:rsidRDefault="008B2179" w:rsidP="00C64851">
      <w:pPr>
        <w:pStyle w:val="BodyText"/>
        <w:numPr>
          <w:ilvl w:val="0"/>
          <w:numId w:val="183"/>
        </w:numPr>
      </w:pPr>
      <w:r w:rsidRPr="008B2179">
        <w:rPr>
          <w:i/>
          <w:iCs/>
        </w:rPr>
        <w:t>Appeals:</w:t>
      </w:r>
      <w:r w:rsidRPr="008B2179">
        <w:t xml:space="preserve"> Employers have the right to appeal determinations and penalties.  The appeals are handled by Special Program Appeals and Commission Appeals depending on the stage of the appeal process. </w:t>
      </w:r>
    </w:p>
    <w:p w14:paraId="46E5BA61" w14:textId="77777777" w:rsidR="008B2179" w:rsidRPr="00F64576" w:rsidRDefault="008B2179" w:rsidP="00BA755B">
      <w:pPr>
        <w:pStyle w:val="BodyText3"/>
        <w:ind w:left="720" w:hanging="720"/>
      </w:pPr>
      <w:r w:rsidRPr="00F64576">
        <w:t>G.</w:t>
      </w:r>
      <w:r w:rsidRPr="00F64576">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019"/>
        <w:gridCol w:w="2474"/>
        <w:gridCol w:w="1678"/>
        <w:gridCol w:w="2189"/>
      </w:tblGrid>
      <w:tr w:rsidR="00E262D1" w:rsidRPr="008811F9" w14:paraId="3D170288" w14:textId="77777777" w:rsidTr="00E262D1">
        <w:trPr>
          <w:trHeight w:val="288"/>
        </w:trPr>
        <w:tc>
          <w:tcPr>
            <w:tcW w:w="3325" w:type="dxa"/>
            <w:shd w:val="clear" w:color="auto" w:fill="B8CCE4" w:themeFill="accent1" w:themeFillTint="66"/>
            <w:hideMark/>
          </w:tcPr>
          <w:p w14:paraId="3098AE57" w14:textId="77777777" w:rsidR="00E262D1" w:rsidRPr="008811F9" w:rsidRDefault="00E262D1" w:rsidP="00E262D1">
            <w:pPr>
              <w:pStyle w:val="TableHeaders"/>
              <w:rPr>
                <w:color w:val="000000"/>
              </w:rPr>
            </w:pPr>
            <w:r w:rsidRPr="008811F9">
              <w:t>Program or Function Detail Description</w:t>
            </w:r>
          </w:p>
        </w:tc>
        <w:tc>
          <w:tcPr>
            <w:tcW w:w="2775" w:type="dxa"/>
            <w:shd w:val="clear" w:color="auto" w:fill="B8CCE4" w:themeFill="accent1" w:themeFillTint="66"/>
            <w:hideMark/>
          </w:tcPr>
          <w:p w14:paraId="6C651672" w14:textId="77777777" w:rsidR="00E262D1" w:rsidRPr="008811F9" w:rsidRDefault="00E262D1" w:rsidP="00E262D1">
            <w:pPr>
              <w:pStyle w:val="TableHeaders"/>
              <w:rPr>
                <w:color w:val="000000"/>
              </w:rPr>
            </w:pPr>
            <w:r w:rsidRPr="008811F9">
              <w:t>Total FY 2024</w:t>
            </w:r>
          </w:p>
        </w:tc>
        <w:tc>
          <w:tcPr>
            <w:tcW w:w="1815" w:type="dxa"/>
            <w:shd w:val="clear" w:color="auto" w:fill="B8CCE4" w:themeFill="accent1" w:themeFillTint="66"/>
            <w:hideMark/>
          </w:tcPr>
          <w:p w14:paraId="7D1B0141" w14:textId="77777777" w:rsidR="00E262D1" w:rsidRPr="008811F9" w:rsidRDefault="00E262D1" w:rsidP="00E262D1">
            <w:pPr>
              <w:pStyle w:val="TableHeaders"/>
              <w:rPr>
                <w:color w:val="000000"/>
              </w:rPr>
            </w:pPr>
            <w:r w:rsidRPr="008811F9">
              <w:t>Federal Funding</w:t>
            </w:r>
          </w:p>
        </w:tc>
        <w:tc>
          <w:tcPr>
            <w:tcW w:w="2425" w:type="dxa"/>
            <w:shd w:val="clear" w:color="auto" w:fill="B8CCE4" w:themeFill="accent1" w:themeFillTint="66"/>
            <w:hideMark/>
          </w:tcPr>
          <w:p w14:paraId="100C25E9" w14:textId="77777777" w:rsidR="00E262D1" w:rsidRPr="008811F9" w:rsidRDefault="00E262D1" w:rsidP="00E262D1">
            <w:pPr>
              <w:pStyle w:val="TableHeaders"/>
              <w:rPr>
                <w:color w:val="000000"/>
              </w:rPr>
            </w:pPr>
            <w:r w:rsidRPr="008811F9">
              <w:t>State Funding</w:t>
            </w:r>
          </w:p>
        </w:tc>
      </w:tr>
      <w:tr w:rsidR="00E262D1" w:rsidRPr="00E262D1" w14:paraId="7DC5D06B" w14:textId="77777777" w:rsidTr="00E262D1">
        <w:trPr>
          <w:trHeight w:val="288"/>
        </w:trPr>
        <w:tc>
          <w:tcPr>
            <w:tcW w:w="3325" w:type="dxa"/>
            <w:vAlign w:val="center"/>
            <w:hideMark/>
          </w:tcPr>
          <w:p w14:paraId="36C8FFA9" w14:textId="77777777" w:rsidR="00E262D1" w:rsidRPr="00E262D1" w:rsidRDefault="00E262D1" w:rsidP="00E262D1">
            <w:pPr>
              <w:pStyle w:val="TableText"/>
            </w:pPr>
            <w:r w:rsidRPr="00E262D1">
              <w:t>Texas Child Labor Law Administration</w:t>
            </w:r>
          </w:p>
        </w:tc>
        <w:tc>
          <w:tcPr>
            <w:tcW w:w="2775" w:type="dxa"/>
            <w:vAlign w:val="center"/>
            <w:hideMark/>
          </w:tcPr>
          <w:p w14:paraId="5804D195" w14:textId="084FEAC7" w:rsidR="00E262D1" w:rsidRPr="00E262D1" w:rsidRDefault="00E262D1" w:rsidP="00E262D1">
            <w:pPr>
              <w:pStyle w:val="TableText"/>
              <w:jc w:val="right"/>
            </w:pPr>
            <w:r w:rsidRPr="00E262D1">
              <w:t xml:space="preserve">821,668 </w:t>
            </w:r>
          </w:p>
        </w:tc>
        <w:tc>
          <w:tcPr>
            <w:tcW w:w="1815" w:type="dxa"/>
            <w:vAlign w:val="center"/>
            <w:hideMark/>
          </w:tcPr>
          <w:p w14:paraId="4BE91D24" w14:textId="77777777" w:rsidR="00E262D1" w:rsidRPr="00E262D1" w:rsidRDefault="00E262D1" w:rsidP="00E262D1">
            <w:pPr>
              <w:pStyle w:val="TableText"/>
              <w:jc w:val="right"/>
            </w:pPr>
            <w:r w:rsidRPr="00E262D1">
              <w:t>0 </w:t>
            </w:r>
          </w:p>
        </w:tc>
        <w:tc>
          <w:tcPr>
            <w:tcW w:w="2425" w:type="dxa"/>
            <w:vAlign w:val="center"/>
            <w:hideMark/>
          </w:tcPr>
          <w:p w14:paraId="490FCA04" w14:textId="2FA8B331" w:rsidR="00E262D1" w:rsidRPr="00E262D1" w:rsidRDefault="00E262D1" w:rsidP="00E262D1">
            <w:pPr>
              <w:pStyle w:val="TableText"/>
              <w:jc w:val="right"/>
            </w:pPr>
            <w:r w:rsidRPr="00E262D1">
              <w:t xml:space="preserve">821,668 </w:t>
            </w:r>
          </w:p>
        </w:tc>
      </w:tr>
    </w:tbl>
    <w:p w14:paraId="0E0441D9" w14:textId="77777777" w:rsidR="008B2179" w:rsidRPr="00F64576" w:rsidRDefault="008B2179" w:rsidP="00BA755B">
      <w:pPr>
        <w:pStyle w:val="BodyText3"/>
        <w:ind w:left="720" w:hanging="720"/>
      </w:pPr>
      <w:r w:rsidRPr="00F64576">
        <w:t>H.</w:t>
      </w:r>
      <w:r w:rsidRPr="00F64576">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545EDD19" w14:textId="77777777" w:rsidR="008B2179" w:rsidRPr="008B2179" w:rsidRDefault="008B2179" w:rsidP="008B2179">
      <w:pPr>
        <w:pStyle w:val="BodyText"/>
      </w:pPr>
      <w:r w:rsidRPr="008B2179">
        <w:lastRenderedPageBreak/>
        <w:t>The US Department of Labor, Wage and Hour Division (USDOL-WH) enforces child labor laws.  Under the FLSA the USDOL-WH must establish jurisdiction over the employer before it can investigate child labor issues. As a result, all private and public employers are covered under state law but may not be covered under federal law. </w:t>
      </w:r>
    </w:p>
    <w:p w14:paraId="5654FBEC" w14:textId="25ACDDEB" w:rsidR="008B2179" w:rsidRPr="008B2179" w:rsidRDefault="008B2179" w:rsidP="008B2179">
      <w:pPr>
        <w:pStyle w:val="BodyText"/>
      </w:pPr>
      <w:r w:rsidRPr="008B2179">
        <w:t xml:space="preserve">The Wage and Hour Department has a general MOU with the USDOL-WH. TWC and USDOL-WH recognize the value of establishing a collaborative relationship to ensure compliance by the regulated community in the State of Texas with the enforcement of laws of common concern. This partnership was formed to effectively and efficiently foster communication and cooperation, and to provide employers and employees information, outreach materials, and access to training resources that will help protect the health, safety and welfare of young workers.  The Wage and Hour Department and USDOL-WH refer cases to each other when one agency does not have jurisdiction of an </w:t>
      </w:r>
      <w:proofErr w:type="gramStart"/>
      <w:r w:rsidRPr="008B2179">
        <w:t>issue</w:t>
      </w:r>
      <w:proofErr w:type="gramEnd"/>
      <w:r w:rsidRPr="008B2179">
        <w:t xml:space="preserve"> and the other agency has jurisdiction over that issue.  </w:t>
      </w:r>
    </w:p>
    <w:p w14:paraId="15515F88" w14:textId="77777777" w:rsidR="008B2179" w:rsidRPr="00F64576" w:rsidRDefault="008B2179" w:rsidP="00BA755B">
      <w:pPr>
        <w:pStyle w:val="BodyText3"/>
        <w:ind w:left="720" w:hanging="720"/>
      </w:pPr>
      <w:r w:rsidRPr="00F64576">
        <w:t>I.</w:t>
      </w:r>
      <w:r w:rsidRPr="00F64576">
        <w:tab/>
        <w:t>If the division or program works with local, regional, or federal units of government, include a brief description of these entities and their relationship to the agency. </w:t>
      </w:r>
    </w:p>
    <w:p w14:paraId="6DCAB33A" w14:textId="77777777" w:rsidR="008B2179" w:rsidRPr="008B2179" w:rsidRDefault="008B2179" w:rsidP="008B2179">
      <w:pPr>
        <w:pStyle w:val="BodyText"/>
      </w:pPr>
      <w:r w:rsidRPr="008B2179">
        <w:t>Child Labor Law Program provides educational outreach to public schools, educational service centers and local workforce development boards yearly, since they directly assist children in finding jobs.  Child Labor Law Program staff may perform this outreach in person or remotely depending on the request. </w:t>
      </w:r>
    </w:p>
    <w:p w14:paraId="144ABB93" w14:textId="77777777" w:rsidR="008B2179" w:rsidRPr="008B2179" w:rsidRDefault="008B2179" w:rsidP="008B2179">
      <w:pPr>
        <w:pStyle w:val="BodyText"/>
      </w:pPr>
      <w:r w:rsidRPr="008B2179">
        <w:t>The Wage and Hour Department receives inquiries from local law enforcement agencies on child labor enforcement.  The Wage and Hour Department waits for any criminal matters to be handled by law enforcement before the Department issues any penalties.  </w:t>
      </w:r>
    </w:p>
    <w:p w14:paraId="120AA17D" w14:textId="77777777" w:rsidR="008B2179" w:rsidRPr="00F64576" w:rsidRDefault="008B2179" w:rsidP="00BA755B">
      <w:pPr>
        <w:pStyle w:val="BodyText3"/>
        <w:ind w:left="720" w:hanging="720"/>
      </w:pPr>
      <w:r w:rsidRPr="00F64576">
        <w:t>J.</w:t>
      </w:r>
      <w:r w:rsidRPr="00F64576">
        <w:tab/>
        <w:t>Are there any barriers or challenges that impede the division or program’s performance, including any outdated or ineffective state laws? Explain. </w:t>
      </w:r>
    </w:p>
    <w:p w14:paraId="3CE1FCE5" w14:textId="73CA3950" w:rsidR="008B2179" w:rsidRPr="008B2179" w:rsidRDefault="008B2179" w:rsidP="008B2179">
      <w:pPr>
        <w:pStyle w:val="BodyText"/>
      </w:pPr>
      <w:r w:rsidRPr="008B2179">
        <w:t>The Wage and Hour Application Modernization project, a capital budget item, was intended to include functionality for the Child Labor program.  However, due to budgeting constraints, the Child Labor program will not be included in the modernization project, which will create a barrier to improvements in the Child Labor program’s ability to improve program processes. </w:t>
      </w:r>
    </w:p>
    <w:p w14:paraId="44AFB7C8" w14:textId="77777777" w:rsidR="008B2179" w:rsidRPr="00F64576" w:rsidRDefault="008B2179" w:rsidP="00BA755B">
      <w:pPr>
        <w:pStyle w:val="BodyText3"/>
        <w:ind w:left="720" w:hanging="720"/>
      </w:pPr>
      <w:r w:rsidRPr="00F64576">
        <w:t>K.</w:t>
      </w:r>
      <w:r w:rsidRPr="00F64576">
        <w:tab/>
        <w:t>Provide any additional information needed to gain a preliminary understanding of the division or program. </w:t>
      </w:r>
    </w:p>
    <w:p w14:paraId="242A3E49" w14:textId="77777777" w:rsidR="008B2179" w:rsidRPr="008B2179" w:rsidRDefault="008B2179" w:rsidP="008B2179">
      <w:pPr>
        <w:pStyle w:val="BodyText"/>
      </w:pPr>
      <w:r w:rsidRPr="008B2179">
        <w:t>N/A </w:t>
      </w:r>
    </w:p>
    <w:p w14:paraId="03A44D11" w14:textId="77777777" w:rsidR="008B2179" w:rsidRPr="00F64576" w:rsidRDefault="008B2179" w:rsidP="00BA755B">
      <w:pPr>
        <w:pStyle w:val="BodyText3"/>
        <w:ind w:left="720" w:hanging="720"/>
      </w:pPr>
      <w:r w:rsidRPr="00F64576">
        <w:t>L.</w:t>
      </w:r>
      <w:r w:rsidRPr="00F64576">
        <w:tab/>
        <w:t>Regulatory programs relate to the licensing, registration, certification, or permitting of a person, business, piece of equipment, or other entity (e.g., a facility). For each regulatory program, if applicable, describe: </w:t>
      </w:r>
    </w:p>
    <w:p w14:paraId="40C16992" w14:textId="77777777" w:rsidR="00E200CA" w:rsidRDefault="00E200CA" w:rsidP="008B2179">
      <w:pPr>
        <w:pStyle w:val="BodyText"/>
      </w:pPr>
      <w:r>
        <w:lastRenderedPageBreak/>
        <w:t>N/A</w:t>
      </w:r>
    </w:p>
    <w:p w14:paraId="051EF6DA" w14:textId="77777777" w:rsidR="008B2179" w:rsidRPr="00F64576" w:rsidRDefault="008B2179" w:rsidP="00BA755B">
      <w:pPr>
        <w:pStyle w:val="BodyText3"/>
        <w:ind w:left="720" w:hanging="720"/>
      </w:pPr>
      <w:r w:rsidRPr="00F64576">
        <w:t>M.</w:t>
      </w:r>
      <w:r w:rsidRPr="00F64576">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1FC83813" w14:textId="342952F5" w:rsidR="008B2179" w:rsidRPr="008B2179" w:rsidRDefault="008B2179" w:rsidP="00B321B4">
      <w:pPr>
        <w:pStyle w:val="BodyText"/>
        <w:jc w:val="center"/>
      </w:pPr>
      <w:r w:rsidRPr="008B2179">
        <w:rPr>
          <w:b/>
          <w:bCs/>
        </w:rPr>
        <w:t>Information on Regulated Population; Complaints Against Regulated Persons, Businesses, or other Entities; and Disciplinary Actions</w:t>
      </w:r>
    </w:p>
    <w:p w14:paraId="5F1BF8C2" w14:textId="306060D7" w:rsidR="008B2179" w:rsidRPr="008B2179" w:rsidRDefault="008B2179" w:rsidP="00B321B4">
      <w:pPr>
        <w:pStyle w:val="BodyText"/>
        <w:jc w:val="center"/>
      </w:pPr>
      <w:r w:rsidRPr="008B2179">
        <w:rPr>
          <w:b/>
          <w:bCs/>
        </w:rPr>
        <w:t>Fiscal Years 2020 to 2024</w:t>
      </w:r>
    </w:p>
    <w:p w14:paraId="4F230BBC" w14:textId="77777777" w:rsidR="008B2179" w:rsidRPr="008B2179" w:rsidRDefault="008B2179" w:rsidP="008B2179">
      <w:pPr>
        <w:pStyle w:val="BodyText"/>
      </w:pPr>
      <w:r w:rsidRPr="008B2179">
        <w:t>Refer to section C for number of telephone inquiries, number of inspections, and number of violations. </w:t>
      </w:r>
    </w:p>
    <w:tbl>
      <w:tblPr>
        <w:tblStyle w:val="TableGrid1"/>
        <w:tblW w:w="0" w:type="dxa"/>
        <w:tblCellMar>
          <w:top w:w="58" w:type="dxa"/>
          <w:bottom w:w="58" w:type="dxa"/>
        </w:tblCellMar>
        <w:tblLook w:val="04A0" w:firstRow="1" w:lastRow="0" w:firstColumn="1" w:lastColumn="0" w:noHBand="0" w:noVBand="1"/>
      </w:tblPr>
      <w:tblGrid>
        <w:gridCol w:w="4335"/>
        <w:gridCol w:w="885"/>
        <w:gridCol w:w="877"/>
        <w:gridCol w:w="915"/>
        <w:gridCol w:w="877"/>
        <w:gridCol w:w="877"/>
      </w:tblGrid>
      <w:tr w:rsidR="00570F4F" w:rsidRPr="008B2179" w14:paraId="4EB46670" w14:textId="77777777" w:rsidTr="00570F4F">
        <w:trPr>
          <w:trHeight w:val="300"/>
        </w:trPr>
        <w:tc>
          <w:tcPr>
            <w:tcW w:w="4335" w:type="dxa"/>
            <w:shd w:val="clear" w:color="auto" w:fill="B8CCE4" w:themeFill="accent1" w:themeFillTint="66"/>
            <w:vAlign w:val="center"/>
            <w:hideMark/>
          </w:tcPr>
          <w:p w14:paraId="0E85FC4C" w14:textId="6B90B7E5" w:rsidR="008B2179" w:rsidRPr="008B2179" w:rsidRDefault="008B2179" w:rsidP="00570F4F">
            <w:pPr>
              <w:pStyle w:val="TableHeaders"/>
            </w:pPr>
            <w:r w:rsidRPr="008B2179">
              <w:t>Complaints received by Source</w:t>
            </w:r>
          </w:p>
        </w:tc>
        <w:tc>
          <w:tcPr>
            <w:tcW w:w="885" w:type="dxa"/>
            <w:shd w:val="clear" w:color="auto" w:fill="B8CCE4" w:themeFill="accent1" w:themeFillTint="66"/>
            <w:vAlign w:val="center"/>
            <w:hideMark/>
          </w:tcPr>
          <w:p w14:paraId="452CB0A6" w14:textId="29EBAEF3" w:rsidR="008B2179" w:rsidRPr="008B2179" w:rsidRDefault="008B2179" w:rsidP="00570F4F">
            <w:pPr>
              <w:pStyle w:val="TableHeaders"/>
            </w:pPr>
            <w:r w:rsidRPr="008B2179">
              <w:t>FY2020</w:t>
            </w:r>
          </w:p>
        </w:tc>
        <w:tc>
          <w:tcPr>
            <w:tcW w:w="810" w:type="dxa"/>
            <w:shd w:val="clear" w:color="auto" w:fill="B8CCE4" w:themeFill="accent1" w:themeFillTint="66"/>
            <w:vAlign w:val="center"/>
            <w:hideMark/>
          </w:tcPr>
          <w:p w14:paraId="5E819D41" w14:textId="51A36356" w:rsidR="008B2179" w:rsidRPr="008B2179" w:rsidRDefault="008B2179" w:rsidP="00570F4F">
            <w:pPr>
              <w:pStyle w:val="TableHeaders"/>
            </w:pPr>
            <w:r w:rsidRPr="008B2179">
              <w:t>FY2021</w:t>
            </w:r>
          </w:p>
        </w:tc>
        <w:tc>
          <w:tcPr>
            <w:tcW w:w="915" w:type="dxa"/>
            <w:shd w:val="clear" w:color="auto" w:fill="B8CCE4" w:themeFill="accent1" w:themeFillTint="66"/>
            <w:vAlign w:val="center"/>
            <w:hideMark/>
          </w:tcPr>
          <w:p w14:paraId="2D7AB55C" w14:textId="0426C9E4" w:rsidR="008B2179" w:rsidRPr="008B2179" w:rsidRDefault="008B2179" w:rsidP="00570F4F">
            <w:pPr>
              <w:pStyle w:val="TableHeaders"/>
            </w:pPr>
            <w:r w:rsidRPr="008B2179">
              <w:t>FY2022</w:t>
            </w:r>
          </w:p>
        </w:tc>
        <w:tc>
          <w:tcPr>
            <w:tcW w:w="810" w:type="dxa"/>
            <w:shd w:val="clear" w:color="auto" w:fill="B8CCE4" w:themeFill="accent1" w:themeFillTint="66"/>
            <w:vAlign w:val="center"/>
            <w:hideMark/>
          </w:tcPr>
          <w:p w14:paraId="578C4FBB" w14:textId="5F1BD5AA" w:rsidR="008B2179" w:rsidRPr="008B2179" w:rsidRDefault="008B2179" w:rsidP="00570F4F">
            <w:pPr>
              <w:pStyle w:val="TableHeaders"/>
            </w:pPr>
            <w:r w:rsidRPr="008B2179">
              <w:t>FY2023</w:t>
            </w:r>
          </w:p>
        </w:tc>
        <w:tc>
          <w:tcPr>
            <w:tcW w:w="855" w:type="dxa"/>
            <w:shd w:val="clear" w:color="auto" w:fill="B8CCE4" w:themeFill="accent1" w:themeFillTint="66"/>
            <w:vAlign w:val="center"/>
            <w:hideMark/>
          </w:tcPr>
          <w:p w14:paraId="3CDB9373" w14:textId="49E0D08B" w:rsidR="008B2179" w:rsidRPr="008B2179" w:rsidRDefault="008B2179" w:rsidP="00570F4F">
            <w:pPr>
              <w:pStyle w:val="TableHeaders"/>
            </w:pPr>
            <w:r w:rsidRPr="008B2179">
              <w:t>FY2024</w:t>
            </w:r>
          </w:p>
        </w:tc>
      </w:tr>
      <w:tr w:rsidR="008B2179" w:rsidRPr="008B2179" w14:paraId="5E005EB3" w14:textId="77777777" w:rsidTr="00570F4F">
        <w:trPr>
          <w:trHeight w:val="300"/>
        </w:trPr>
        <w:tc>
          <w:tcPr>
            <w:tcW w:w="4335" w:type="dxa"/>
            <w:vAlign w:val="center"/>
            <w:hideMark/>
          </w:tcPr>
          <w:p w14:paraId="79CAB159" w14:textId="77777777" w:rsidR="008B2179" w:rsidRPr="008B2179" w:rsidRDefault="008B2179" w:rsidP="00570F4F">
            <w:pPr>
              <w:pStyle w:val="TableText"/>
              <w:rPr>
                <w:bCs/>
              </w:rPr>
            </w:pPr>
            <w:r w:rsidRPr="008B2179">
              <w:t>Total Complaints Received</w:t>
            </w:r>
            <w:r w:rsidRPr="008B2179">
              <w:rPr>
                <w:bCs/>
              </w:rPr>
              <w:t> </w:t>
            </w:r>
          </w:p>
        </w:tc>
        <w:tc>
          <w:tcPr>
            <w:tcW w:w="885" w:type="dxa"/>
            <w:vAlign w:val="center"/>
            <w:hideMark/>
          </w:tcPr>
          <w:p w14:paraId="70029B4A" w14:textId="77777777" w:rsidR="008B2179" w:rsidRPr="008B2179" w:rsidRDefault="008B2179" w:rsidP="00570F4F">
            <w:pPr>
              <w:pStyle w:val="TableText"/>
              <w:jc w:val="right"/>
            </w:pPr>
            <w:r w:rsidRPr="008B2179">
              <w:t>31 </w:t>
            </w:r>
          </w:p>
        </w:tc>
        <w:tc>
          <w:tcPr>
            <w:tcW w:w="810" w:type="dxa"/>
            <w:vAlign w:val="center"/>
            <w:hideMark/>
          </w:tcPr>
          <w:p w14:paraId="2F0C5EBE" w14:textId="77777777" w:rsidR="008B2179" w:rsidRPr="008B2179" w:rsidRDefault="008B2179" w:rsidP="00570F4F">
            <w:pPr>
              <w:pStyle w:val="TableText"/>
              <w:jc w:val="right"/>
            </w:pPr>
            <w:r w:rsidRPr="008B2179">
              <w:t>38 </w:t>
            </w:r>
          </w:p>
        </w:tc>
        <w:tc>
          <w:tcPr>
            <w:tcW w:w="915" w:type="dxa"/>
            <w:vAlign w:val="center"/>
            <w:hideMark/>
          </w:tcPr>
          <w:p w14:paraId="089B786B" w14:textId="77777777" w:rsidR="008B2179" w:rsidRPr="008B2179" w:rsidRDefault="008B2179" w:rsidP="00570F4F">
            <w:pPr>
              <w:pStyle w:val="TableText"/>
              <w:jc w:val="right"/>
            </w:pPr>
            <w:r w:rsidRPr="008B2179">
              <w:t>43 </w:t>
            </w:r>
          </w:p>
        </w:tc>
        <w:tc>
          <w:tcPr>
            <w:tcW w:w="810" w:type="dxa"/>
            <w:vAlign w:val="center"/>
            <w:hideMark/>
          </w:tcPr>
          <w:p w14:paraId="4F6748BB" w14:textId="77777777" w:rsidR="008B2179" w:rsidRPr="008B2179" w:rsidRDefault="008B2179" w:rsidP="00570F4F">
            <w:pPr>
              <w:pStyle w:val="TableText"/>
              <w:jc w:val="right"/>
            </w:pPr>
            <w:r w:rsidRPr="008B2179">
              <w:t>39 </w:t>
            </w:r>
          </w:p>
        </w:tc>
        <w:tc>
          <w:tcPr>
            <w:tcW w:w="855" w:type="dxa"/>
            <w:vAlign w:val="center"/>
            <w:hideMark/>
          </w:tcPr>
          <w:p w14:paraId="485E200D" w14:textId="77777777" w:rsidR="008B2179" w:rsidRPr="008B2179" w:rsidRDefault="008B2179" w:rsidP="00570F4F">
            <w:pPr>
              <w:pStyle w:val="TableText"/>
              <w:jc w:val="right"/>
            </w:pPr>
            <w:r w:rsidRPr="008B2179">
              <w:t>39 </w:t>
            </w:r>
          </w:p>
        </w:tc>
      </w:tr>
      <w:tr w:rsidR="008B2179" w:rsidRPr="008B2179" w14:paraId="4B258E72" w14:textId="77777777" w:rsidTr="00570F4F">
        <w:trPr>
          <w:trHeight w:val="300"/>
        </w:trPr>
        <w:tc>
          <w:tcPr>
            <w:tcW w:w="4335" w:type="dxa"/>
            <w:vAlign w:val="center"/>
            <w:hideMark/>
          </w:tcPr>
          <w:p w14:paraId="4F3DD9E9" w14:textId="77777777" w:rsidR="008B2179" w:rsidRPr="008B2179" w:rsidRDefault="008B2179" w:rsidP="00570F4F">
            <w:pPr>
              <w:pStyle w:val="TableText"/>
              <w:rPr>
                <w:bCs/>
              </w:rPr>
            </w:pPr>
            <w:r w:rsidRPr="008B2179">
              <w:t>Complaints Originating from Public (including other regulated persons or entities)</w:t>
            </w:r>
            <w:r w:rsidRPr="008B2179">
              <w:rPr>
                <w:bCs/>
              </w:rPr>
              <w:t> </w:t>
            </w:r>
          </w:p>
        </w:tc>
        <w:tc>
          <w:tcPr>
            <w:tcW w:w="885" w:type="dxa"/>
            <w:vAlign w:val="center"/>
            <w:hideMark/>
          </w:tcPr>
          <w:p w14:paraId="12DD942B" w14:textId="77777777" w:rsidR="008B2179" w:rsidRPr="008B2179" w:rsidRDefault="008B2179" w:rsidP="00570F4F">
            <w:pPr>
              <w:pStyle w:val="TableText"/>
              <w:jc w:val="right"/>
            </w:pPr>
            <w:r w:rsidRPr="008B2179">
              <w:t>31 </w:t>
            </w:r>
          </w:p>
        </w:tc>
        <w:tc>
          <w:tcPr>
            <w:tcW w:w="810" w:type="dxa"/>
            <w:vAlign w:val="center"/>
            <w:hideMark/>
          </w:tcPr>
          <w:p w14:paraId="5989E4E6" w14:textId="77777777" w:rsidR="008B2179" w:rsidRPr="008B2179" w:rsidRDefault="008B2179" w:rsidP="00570F4F">
            <w:pPr>
              <w:pStyle w:val="TableText"/>
              <w:jc w:val="right"/>
            </w:pPr>
            <w:r w:rsidRPr="008B2179">
              <w:t>38 </w:t>
            </w:r>
          </w:p>
        </w:tc>
        <w:tc>
          <w:tcPr>
            <w:tcW w:w="915" w:type="dxa"/>
            <w:vAlign w:val="center"/>
            <w:hideMark/>
          </w:tcPr>
          <w:p w14:paraId="1A1F3D00" w14:textId="77777777" w:rsidR="008B2179" w:rsidRPr="008B2179" w:rsidRDefault="008B2179" w:rsidP="00570F4F">
            <w:pPr>
              <w:pStyle w:val="TableText"/>
              <w:jc w:val="right"/>
            </w:pPr>
            <w:r w:rsidRPr="008B2179">
              <w:t>43 </w:t>
            </w:r>
          </w:p>
        </w:tc>
        <w:tc>
          <w:tcPr>
            <w:tcW w:w="810" w:type="dxa"/>
            <w:vAlign w:val="center"/>
            <w:hideMark/>
          </w:tcPr>
          <w:p w14:paraId="3B73DCA0" w14:textId="77777777" w:rsidR="008B2179" w:rsidRPr="008B2179" w:rsidRDefault="008B2179" w:rsidP="00570F4F">
            <w:pPr>
              <w:pStyle w:val="TableText"/>
              <w:jc w:val="right"/>
            </w:pPr>
            <w:r w:rsidRPr="008B2179">
              <w:t>39 </w:t>
            </w:r>
          </w:p>
        </w:tc>
        <w:tc>
          <w:tcPr>
            <w:tcW w:w="855" w:type="dxa"/>
            <w:vAlign w:val="center"/>
            <w:hideMark/>
          </w:tcPr>
          <w:p w14:paraId="66E3C5BB" w14:textId="77777777" w:rsidR="008B2179" w:rsidRPr="008B2179" w:rsidRDefault="008B2179" w:rsidP="00570F4F">
            <w:pPr>
              <w:pStyle w:val="TableText"/>
              <w:jc w:val="right"/>
            </w:pPr>
            <w:r w:rsidRPr="008B2179">
              <w:t>39 </w:t>
            </w:r>
          </w:p>
        </w:tc>
      </w:tr>
    </w:tbl>
    <w:p w14:paraId="7AD67A63" w14:textId="77777777" w:rsidR="008B2179" w:rsidRPr="00570F4F" w:rsidRDefault="008B2179" w:rsidP="00570F4F">
      <w:pPr>
        <w:pStyle w:val="BodyText"/>
        <w:rPr>
          <w:sz w:val="20"/>
          <w:szCs w:val="20"/>
        </w:rPr>
      </w:pPr>
      <w:r w:rsidRPr="00570F4F">
        <w:rPr>
          <w:sz w:val="20"/>
          <w:szCs w:val="20"/>
        </w:rPr>
        <w:t>*Only Applicable if Conducting Fingerprint Criminal History Checks  </w:t>
      </w:r>
    </w:p>
    <w:tbl>
      <w:tblPr>
        <w:tblStyle w:val="TableGrid1"/>
        <w:tblW w:w="8744" w:type="dxa"/>
        <w:tblCellMar>
          <w:top w:w="58" w:type="dxa"/>
          <w:bottom w:w="58" w:type="dxa"/>
        </w:tblCellMar>
        <w:tblLook w:val="04A0" w:firstRow="1" w:lastRow="0" w:firstColumn="1" w:lastColumn="0" w:noHBand="0" w:noVBand="1"/>
      </w:tblPr>
      <w:tblGrid>
        <w:gridCol w:w="4313"/>
        <w:gridCol w:w="885"/>
        <w:gridCol w:w="882"/>
        <w:gridCol w:w="900"/>
        <w:gridCol w:w="882"/>
        <w:gridCol w:w="882"/>
      </w:tblGrid>
      <w:tr w:rsidR="00570F4F" w:rsidRPr="008B2179" w14:paraId="107301C7" w14:textId="77777777" w:rsidTr="00570F4F">
        <w:trPr>
          <w:trHeight w:val="300"/>
        </w:trPr>
        <w:tc>
          <w:tcPr>
            <w:tcW w:w="4313" w:type="dxa"/>
            <w:shd w:val="clear" w:color="auto" w:fill="B8CCE4" w:themeFill="accent1" w:themeFillTint="66"/>
            <w:vAlign w:val="center"/>
            <w:hideMark/>
          </w:tcPr>
          <w:p w14:paraId="63412FD6" w14:textId="56E41737" w:rsidR="008B2179" w:rsidRPr="008B2179" w:rsidRDefault="008B2179" w:rsidP="00570F4F">
            <w:pPr>
              <w:pStyle w:val="TableHeaders"/>
            </w:pPr>
            <w:r w:rsidRPr="008B2179">
              <w:t>Disposition of Complaints</w:t>
            </w:r>
          </w:p>
        </w:tc>
        <w:tc>
          <w:tcPr>
            <w:tcW w:w="885" w:type="dxa"/>
            <w:shd w:val="clear" w:color="auto" w:fill="B8CCE4" w:themeFill="accent1" w:themeFillTint="66"/>
            <w:vAlign w:val="center"/>
            <w:hideMark/>
          </w:tcPr>
          <w:p w14:paraId="56D51057" w14:textId="075B7765" w:rsidR="008B2179" w:rsidRPr="008B2179" w:rsidRDefault="008B2179" w:rsidP="00570F4F">
            <w:pPr>
              <w:pStyle w:val="TableHeaders"/>
            </w:pPr>
            <w:r w:rsidRPr="008B2179">
              <w:t>FY2020</w:t>
            </w:r>
          </w:p>
        </w:tc>
        <w:tc>
          <w:tcPr>
            <w:tcW w:w="882" w:type="dxa"/>
            <w:shd w:val="clear" w:color="auto" w:fill="B8CCE4" w:themeFill="accent1" w:themeFillTint="66"/>
            <w:vAlign w:val="center"/>
            <w:hideMark/>
          </w:tcPr>
          <w:p w14:paraId="46E0AD27" w14:textId="5B001A75" w:rsidR="008B2179" w:rsidRPr="008B2179" w:rsidRDefault="008B2179" w:rsidP="00570F4F">
            <w:pPr>
              <w:pStyle w:val="TableHeaders"/>
            </w:pPr>
            <w:r w:rsidRPr="008B2179">
              <w:t>FY2021</w:t>
            </w:r>
          </w:p>
        </w:tc>
        <w:tc>
          <w:tcPr>
            <w:tcW w:w="900" w:type="dxa"/>
            <w:shd w:val="clear" w:color="auto" w:fill="B8CCE4" w:themeFill="accent1" w:themeFillTint="66"/>
            <w:vAlign w:val="center"/>
            <w:hideMark/>
          </w:tcPr>
          <w:p w14:paraId="345F78F3" w14:textId="2E03E042" w:rsidR="008B2179" w:rsidRPr="008B2179" w:rsidRDefault="008B2179" w:rsidP="00570F4F">
            <w:pPr>
              <w:pStyle w:val="TableHeaders"/>
            </w:pPr>
            <w:r w:rsidRPr="008B2179">
              <w:t>FY2022</w:t>
            </w:r>
          </w:p>
        </w:tc>
        <w:tc>
          <w:tcPr>
            <w:tcW w:w="882" w:type="dxa"/>
            <w:shd w:val="clear" w:color="auto" w:fill="B8CCE4" w:themeFill="accent1" w:themeFillTint="66"/>
            <w:vAlign w:val="center"/>
            <w:hideMark/>
          </w:tcPr>
          <w:p w14:paraId="4DAFDC91" w14:textId="65BF1113" w:rsidR="008B2179" w:rsidRPr="008B2179" w:rsidRDefault="008B2179" w:rsidP="00570F4F">
            <w:pPr>
              <w:pStyle w:val="TableHeaders"/>
            </w:pPr>
            <w:r w:rsidRPr="008B2179">
              <w:t>FY2023</w:t>
            </w:r>
          </w:p>
        </w:tc>
        <w:tc>
          <w:tcPr>
            <w:tcW w:w="882" w:type="dxa"/>
            <w:shd w:val="clear" w:color="auto" w:fill="B8CCE4" w:themeFill="accent1" w:themeFillTint="66"/>
            <w:vAlign w:val="center"/>
            <w:hideMark/>
          </w:tcPr>
          <w:p w14:paraId="6EAD7BCB" w14:textId="6DFF0295" w:rsidR="008B2179" w:rsidRPr="008B2179" w:rsidRDefault="008B2179" w:rsidP="00570F4F">
            <w:pPr>
              <w:pStyle w:val="TableHeaders"/>
            </w:pPr>
            <w:r w:rsidRPr="008B2179">
              <w:t>FY2024</w:t>
            </w:r>
          </w:p>
        </w:tc>
      </w:tr>
      <w:tr w:rsidR="008B2179" w:rsidRPr="008B2179" w14:paraId="13B42A56" w14:textId="77777777" w:rsidTr="00570F4F">
        <w:trPr>
          <w:trHeight w:val="300"/>
        </w:trPr>
        <w:tc>
          <w:tcPr>
            <w:tcW w:w="4313" w:type="dxa"/>
            <w:vAlign w:val="center"/>
            <w:hideMark/>
          </w:tcPr>
          <w:p w14:paraId="2717D97B" w14:textId="77777777" w:rsidR="008B2179" w:rsidRPr="008B2179" w:rsidRDefault="008B2179" w:rsidP="00570F4F">
            <w:pPr>
              <w:pStyle w:val="TableText"/>
              <w:rPr>
                <w:bCs/>
              </w:rPr>
            </w:pPr>
            <w:r w:rsidRPr="008B2179">
              <w:t>Total Complaints Received*</w:t>
            </w:r>
            <w:r w:rsidRPr="008B2179">
              <w:rPr>
                <w:bCs/>
              </w:rPr>
              <w:t> </w:t>
            </w:r>
          </w:p>
        </w:tc>
        <w:tc>
          <w:tcPr>
            <w:tcW w:w="885" w:type="dxa"/>
            <w:vAlign w:val="center"/>
            <w:hideMark/>
          </w:tcPr>
          <w:p w14:paraId="58FF0146" w14:textId="77777777" w:rsidR="008B2179" w:rsidRPr="008B2179" w:rsidRDefault="008B2179" w:rsidP="00570F4F">
            <w:pPr>
              <w:pStyle w:val="TableText"/>
              <w:jc w:val="right"/>
            </w:pPr>
            <w:r w:rsidRPr="008B2179">
              <w:t>31 </w:t>
            </w:r>
          </w:p>
        </w:tc>
        <w:tc>
          <w:tcPr>
            <w:tcW w:w="882" w:type="dxa"/>
            <w:vAlign w:val="center"/>
            <w:hideMark/>
          </w:tcPr>
          <w:p w14:paraId="49E0C01B" w14:textId="77777777" w:rsidR="008B2179" w:rsidRPr="008B2179" w:rsidRDefault="008B2179" w:rsidP="00570F4F">
            <w:pPr>
              <w:pStyle w:val="TableText"/>
              <w:jc w:val="right"/>
            </w:pPr>
            <w:r w:rsidRPr="008B2179">
              <w:t>38 </w:t>
            </w:r>
          </w:p>
        </w:tc>
        <w:tc>
          <w:tcPr>
            <w:tcW w:w="900" w:type="dxa"/>
            <w:vAlign w:val="center"/>
            <w:hideMark/>
          </w:tcPr>
          <w:p w14:paraId="4E36B84E" w14:textId="77777777" w:rsidR="008B2179" w:rsidRPr="008B2179" w:rsidRDefault="008B2179" w:rsidP="00570F4F">
            <w:pPr>
              <w:pStyle w:val="TableText"/>
              <w:jc w:val="right"/>
            </w:pPr>
            <w:r w:rsidRPr="008B2179">
              <w:t>43 </w:t>
            </w:r>
          </w:p>
        </w:tc>
        <w:tc>
          <w:tcPr>
            <w:tcW w:w="882" w:type="dxa"/>
            <w:vAlign w:val="center"/>
            <w:hideMark/>
          </w:tcPr>
          <w:p w14:paraId="244962C7" w14:textId="77777777" w:rsidR="008B2179" w:rsidRPr="008B2179" w:rsidRDefault="008B2179" w:rsidP="00570F4F">
            <w:pPr>
              <w:pStyle w:val="TableText"/>
              <w:jc w:val="right"/>
            </w:pPr>
            <w:r w:rsidRPr="008B2179">
              <w:t>39 </w:t>
            </w:r>
          </w:p>
        </w:tc>
        <w:tc>
          <w:tcPr>
            <w:tcW w:w="882" w:type="dxa"/>
            <w:vAlign w:val="center"/>
            <w:hideMark/>
          </w:tcPr>
          <w:p w14:paraId="2E5F28FC" w14:textId="77777777" w:rsidR="008B2179" w:rsidRPr="008B2179" w:rsidRDefault="008B2179" w:rsidP="00570F4F">
            <w:pPr>
              <w:pStyle w:val="TableText"/>
              <w:jc w:val="right"/>
            </w:pPr>
            <w:r w:rsidRPr="008B2179">
              <w:t>39 </w:t>
            </w:r>
          </w:p>
        </w:tc>
      </w:tr>
      <w:tr w:rsidR="008B2179" w:rsidRPr="008B2179" w14:paraId="6A4F8EB3" w14:textId="77777777" w:rsidTr="00570F4F">
        <w:trPr>
          <w:trHeight w:val="300"/>
        </w:trPr>
        <w:tc>
          <w:tcPr>
            <w:tcW w:w="4313" w:type="dxa"/>
            <w:vAlign w:val="center"/>
            <w:hideMark/>
          </w:tcPr>
          <w:p w14:paraId="01C8D01B" w14:textId="77777777" w:rsidR="008B2179" w:rsidRPr="008B2179" w:rsidRDefault="008B2179" w:rsidP="00570F4F">
            <w:pPr>
              <w:pStyle w:val="TableText"/>
              <w:rPr>
                <w:bCs/>
              </w:rPr>
            </w:pPr>
            <w:r w:rsidRPr="008B2179">
              <w:t>Complaints Found Jurisdictional</w:t>
            </w:r>
            <w:r w:rsidRPr="008B2179">
              <w:rPr>
                <w:bCs/>
              </w:rPr>
              <w:t> </w:t>
            </w:r>
          </w:p>
        </w:tc>
        <w:tc>
          <w:tcPr>
            <w:tcW w:w="885" w:type="dxa"/>
            <w:vAlign w:val="center"/>
            <w:hideMark/>
          </w:tcPr>
          <w:p w14:paraId="0FE44B64" w14:textId="77777777" w:rsidR="008B2179" w:rsidRPr="008B2179" w:rsidRDefault="008B2179" w:rsidP="00570F4F">
            <w:pPr>
              <w:pStyle w:val="TableText"/>
              <w:jc w:val="right"/>
            </w:pPr>
            <w:r w:rsidRPr="008B2179">
              <w:t>31 </w:t>
            </w:r>
          </w:p>
        </w:tc>
        <w:tc>
          <w:tcPr>
            <w:tcW w:w="882" w:type="dxa"/>
            <w:vAlign w:val="center"/>
            <w:hideMark/>
          </w:tcPr>
          <w:p w14:paraId="442CFBEB" w14:textId="77777777" w:rsidR="008B2179" w:rsidRPr="008B2179" w:rsidRDefault="008B2179" w:rsidP="00570F4F">
            <w:pPr>
              <w:pStyle w:val="TableText"/>
              <w:jc w:val="right"/>
            </w:pPr>
            <w:r w:rsidRPr="008B2179">
              <w:t>38 </w:t>
            </w:r>
          </w:p>
        </w:tc>
        <w:tc>
          <w:tcPr>
            <w:tcW w:w="900" w:type="dxa"/>
            <w:vAlign w:val="center"/>
            <w:hideMark/>
          </w:tcPr>
          <w:p w14:paraId="0CC946E2" w14:textId="77777777" w:rsidR="008B2179" w:rsidRPr="008B2179" w:rsidRDefault="008B2179" w:rsidP="00570F4F">
            <w:pPr>
              <w:pStyle w:val="TableText"/>
              <w:jc w:val="right"/>
            </w:pPr>
            <w:r w:rsidRPr="008B2179">
              <w:t>43 </w:t>
            </w:r>
          </w:p>
        </w:tc>
        <w:tc>
          <w:tcPr>
            <w:tcW w:w="882" w:type="dxa"/>
            <w:vAlign w:val="center"/>
            <w:hideMark/>
          </w:tcPr>
          <w:p w14:paraId="20B0FDC8" w14:textId="77777777" w:rsidR="008B2179" w:rsidRPr="008B2179" w:rsidRDefault="008B2179" w:rsidP="00570F4F">
            <w:pPr>
              <w:pStyle w:val="TableText"/>
              <w:jc w:val="right"/>
            </w:pPr>
            <w:r w:rsidRPr="008B2179">
              <w:t>39 </w:t>
            </w:r>
          </w:p>
        </w:tc>
        <w:tc>
          <w:tcPr>
            <w:tcW w:w="882" w:type="dxa"/>
            <w:vAlign w:val="center"/>
            <w:hideMark/>
          </w:tcPr>
          <w:p w14:paraId="4104A58B" w14:textId="77777777" w:rsidR="008B2179" w:rsidRPr="008B2179" w:rsidRDefault="008B2179" w:rsidP="00570F4F">
            <w:pPr>
              <w:pStyle w:val="TableText"/>
              <w:jc w:val="right"/>
            </w:pPr>
            <w:r w:rsidRPr="008B2179">
              <w:t>39 </w:t>
            </w:r>
          </w:p>
        </w:tc>
      </w:tr>
      <w:tr w:rsidR="008B2179" w:rsidRPr="008B2179" w14:paraId="7E0BD487" w14:textId="77777777" w:rsidTr="00570F4F">
        <w:trPr>
          <w:trHeight w:val="300"/>
        </w:trPr>
        <w:tc>
          <w:tcPr>
            <w:tcW w:w="4313" w:type="dxa"/>
            <w:vAlign w:val="center"/>
            <w:hideMark/>
          </w:tcPr>
          <w:p w14:paraId="092254A1" w14:textId="77777777" w:rsidR="008B2179" w:rsidRPr="008B2179" w:rsidRDefault="008B2179" w:rsidP="00570F4F">
            <w:pPr>
              <w:pStyle w:val="TableText"/>
              <w:rPr>
                <w:bCs/>
              </w:rPr>
            </w:pPr>
            <w:r w:rsidRPr="008B2179">
              <w:t>Complaints Found Non-Jurisdictional</w:t>
            </w:r>
            <w:r w:rsidRPr="008B2179">
              <w:rPr>
                <w:bCs/>
              </w:rPr>
              <w:t> </w:t>
            </w:r>
          </w:p>
        </w:tc>
        <w:tc>
          <w:tcPr>
            <w:tcW w:w="885" w:type="dxa"/>
            <w:vAlign w:val="center"/>
            <w:hideMark/>
          </w:tcPr>
          <w:p w14:paraId="051551AD" w14:textId="77777777" w:rsidR="008B2179" w:rsidRPr="008B2179" w:rsidRDefault="008B2179" w:rsidP="00570F4F">
            <w:pPr>
              <w:pStyle w:val="TableText"/>
              <w:jc w:val="right"/>
            </w:pPr>
            <w:r w:rsidRPr="008B2179">
              <w:t>0 </w:t>
            </w:r>
          </w:p>
        </w:tc>
        <w:tc>
          <w:tcPr>
            <w:tcW w:w="882" w:type="dxa"/>
            <w:vAlign w:val="center"/>
            <w:hideMark/>
          </w:tcPr>
          <w:p w14:paraId="1DEAFB45" w14:textId="77777777" w:rsidR="008B2179" w:rsidRPr="008B2179" w:rsidRDefault="008B2179" w:rsidP="00570F4F">
            <w:pPr>
              <w:pStyle w:val="TableText"/>
              <w:jc w:val="right"/>
            </w:pPr>
            <w:r w:rsidRPr="008B2179">
              <w:t>0 </w:t>
            </w:r>
          </w:p>
        </w:tc>
        <w:tc>
          <w:tcPr>
            <w:tcW w:w="900" w:type="dxa"/>
            <w:vAlign w:val="center"/>
            <w:hideMark/>
          </w:tcPr>
          <w:p w14:paraId="5AB639FE" w14:textId="77777777" w:rsidR="008B2179" w:rsidRPr="008B2179" w:rsidRDefault="008B2179" w:rsidP="00570F4F">
            <w:pPr>
              <w:pStyle w:val="TableText"/>
              <w:jc w:val="right"/>
            </w:pPr>
            <w:r w:rsidRPr="008B2179">
              <w:t>0 </w:t>
            </w:r>
          </w:p>
        </w:tc>
        <w:tc>
          <w:tcPr>
            <w:tcW w:w="882" w:type="dxa"/>
            <w:vAlign w:val="center"/>
            <w:hideMark/>
          </w:tcPr>
          <w:p w14:paraId="1BDB9A65" w14:textId="77777777" w:rsidR="008B2179" w:rsidRPr="008B2179" w:rsidRDefault="008B2179" w:rsidP="00570F4F">
            <w:pPr>
              <w:pStyle w:val="TableText"/>
              <w:jc w:val="right"/>
            </w:pPr>
            <w:r w:rsidRPr="008B2179">
              <w:t>0 </w:t>
            </w:r>
          </w:p>
        </w:tc>
        <w:tc>
          <w:tcPr>
            <w:tcW w:w="882" w:type="dxa"/>
            <w:vAlign w:val="center"/>
            <w:hideMark/>
          </w:tcPr>
          <w:p w14:paraId="52BED55B" w14:textId="77777777" w:rsidR="008B2179" w:rsidRPr="008B2179" w:rsidRDefault="008B2179" w:rsidP="00570F4F">
            <w:pPr>
              <w:pStyle w:val="TableText"/>
              <w:jc w:val="right"/>
            </w:pPr>
            <w:r w:rsidRPr="008B2179">
              <w:t>0 </w:t>
            </w:r>
          </w:p>
        </w:tc>
      </w:tr>
      <w:tr w:rsidR="008B2179" w:rsidRPr="008B2179" w14:paraId="45222ECB" w14:textId="77777777" w:rsidTr="00570F4F">
        <w:trPr>
          <w:trHeight w:val="300"/>
        </w:trPr>
        <w:tc>
          <w:tcPr>
            <w:tcW w:w="4313" w:type="dxa"/>
            <w:vAlign w:val="center"/>
            <w:hideMark/>
          </w:tcPr>
          <w:p w14:paraId="26E54265" w14:textId="77777777" w:rsidR="008B2179" w:rsidRPr="008B2179" w:rsidRDefault="008B2179" w:rsidP="00570F4F">
            <w:pPr>
              <w:pStyle w:val="TableText"/>
              <w:rPr>
                <w:bCs/>
              </w:rPr>
            </w:pPr>
            <w:r w:rsidRPr="008B2179">
              <w:t>Total Complaints Dismissed (no investigation)</w:t>
            </w:r>
            <w:r w:rsidRPr="008B2179">
              <w:rPr>
                <w:bCs/>
              </w:rPr>
              <w:t> </w:t>
            </w:r>
          </w:p>
        </w:tc>
        <w:tc>
          <w:tcPr>
            <w:tcW w:w="885" w:type="dxa"/>
            <w:vAlign w:val="center"/>
            <w:hideMark/>
          </w:tcPr>
          <w:p w14:paraId="4430E034" w14:textId="77777777" w:rsidR="008B2179" w:rsidRPr="008B2179" w:rsidRDefault="008B2179" w:rsidP="00570F4F">
            <w:pPr>
              <w:pStyle w:val="TableText"/>
              <w:jc w:val="right"/>
            </w:pPr>
            <w:r w:rsidRPr="008B2179">
              <w:t>0 </w:t>
            </w:r>
          </w:p>
        </w:tc>
        <w:tc>
          <w:tcPr>
            <w:tcW w:w="882" w:type="dxa"/>
            <w:vAlign w:val="center"/>
            <w:hideMark/>
          </w:tcPr>
          <w:p w14:paraId="2215F79F" w14:textId="77777777" w:rsidR="008B2179" w:rsidRPr="008B2179" w:rsidRDefault="008B2179" w:rsidP="00570F4F">
            <w:pPr>
              <w:pStyle w:val="TableText"/>
              <w:jc w:val="right"/>
            </w:pPr>
            <w:r w:rsidRPr="008B2179">
              <w:t>0 </w:t>
            </w:r>
          </w:p>
        </w:tc>
        <w:tc>
          <w:tcPr>
            <w:tcW w:w="900" w:type="dxa"/>
            <w:vAlign w:val="center"/>
            <w:hideMark/>
          </w:tcPr>
          <w:p w14:paraId="3FC9423D" w14:textId="77777777" w:rsidR="008B2179" w:rsidRPr="008B2179" w:rsidRDefault="008B2179" w:rsidP="00570F4F">
            <w:pPr>
              <w:pStyle w:val="TableText"/>
              <w:jc w:val="right"/>
            </w:pPr>
            <w:r w:rsidRPr="008B2179">
              <w:t>0 </w:t>
            </w:r>
          </w:p>
        </w:tc>
        <w:tc>
          <w:tcPr>
            <w:tcW w:w="882" w:type="dxa"/>
            <w:vAlign w:val="center"/>
            <w:hideMark/>
          </w:tcPr>
          <w:p w14:paraId="26FEEFD5" w14:textId="77777777" w:rsidR="008B2179" w:rsidRPr="008B2179" w:rsidRDefault="008B2179" w:rsidP="00570F4F">
            <w:pPr>
              <w:pStyle w:val="TableText"/>
              <w:jc w:val="right"/>
            </w:pPr>
            <w:r w:rsidRPr="008B2179">
              <w:t>0 </w:t>
            </w:r>
          </w:p>
        </w:tc>
        <w:tc>
          <w:tcPr>
            <w:tcW w:w="882" w:type="dxa"/>
            <w:vAlign w:val="center"/>
            <w:hideMark/>
          </w:tcPr>
          <w:p w14:paraId="1D4397C5" w14:textId="77777777" w:rsidR="008B2179" w:rsidRPr="008B2179" w:rsidRDefault="008B2179" w:rsidP="00570F4F">
            <w:pPr>
              <w:pStyle w:val="TableText"/>
              <w:jc w:val="right"/>
            </w:pPr>
            <w:r w:rsidRPr="008B2179">
              <w:t>0 </w:t>
            </w:r>
          </w:p>
        </w:tc>
      </w:tr>
      <w:tr w:rsidR="008B2179" w:rsidRPr="008B2179" w14:paraId="7F475CDA" w14:textId="77777777" w:rsidTr="00570F4F">
        <w:trPr>
          <w:trHeight w:val="300"/>
        </w:trPr>
        <w:tc>
          <w:tcPr>
            <w:tcW w:w="4313" w:type="dxa"/>
            <w:vAlign w:val="center"/>
            <w:hideMark/>
          </w:tcPr>
          <w:p w14:paraId="4B69ED80" w14:textId="77777777" w:rsidR="008B2179" w:rsidRPr="008B2179" w:rsidRDefault="008B2179" w:rsidP="00570F4F">
            <w:pPr>
              <w:pStyle w:val="TableText"/>
              <w:rPr>
                <w:bCs/>
              </w:rPr>
            </w:pPr>
            <w:r w:rsidRPr="008B2179">
              <w:t>Total Complaints sent for Investigation</w:t>
            </w:r>
            <w:r w:rsidRPr="008B2179">
              <w:rPr>
                <w:bCs/>
              </w:rPr>
              <w:t> </w:t>
            </w:r>
          </w:p>
        </w:tc>
        <w:tc>
          <w:tcPr>
            <w:tcW w:w="885" w:type="dxa"/>
            <w:vAlign w:val="center"/>
            <w:hideMark/>
          </w:tcPr>
          <w:p w14:paraId="39C9137A" w14:textId="77777777" w:rsidR="008B2179" w:rsidRPr="008B2179" w:rsidRDefault="008B2179" w:rsidP="00570F4F">
            <w:pPr>
              <w:pStyle w:val="TableText"/>
              <w:jc w:val="right"/>
            </w:pPr>
            <w:r w:rsidRPr="008B2179">
              <w:t>31 </w:t>
            </w:r>
          </w:p>
        </w:tc>
        <w:tc>
          <w:tcPr>
            <w:tcW w:w="882" w:type="dxa"/>
            <w:vAlign w:val="center"/>
            <w:hideMark/>
          </w:tcPr>
          <w:p w14:paraId="71FD1033" w14:textId="77777777" w:rsidR="008B2179" w:rsidRPr="008B2179" w:rsidRDefault="008B2179" w:rsidP="00570F4F">
            <w:pPr>
              <w:pStyle w:val="TableText"/>
              <w:jc w:val="right"/>
            </w:pPr>
            <w:r w:rsidRPr="008B2179">
              <w:t>38 </w:t>
            </w:r>
          </w:p>
        </w:tc>
        <w:tc>
          <w:tcPr>
            <w:tcW w:w="900" w:type="dxa"/>
            <w:vAlign w:val="center"/>
            <w:hideMark/>
          </w:tcPr>
          <w:p w14:paraId="14636F6A" w14:textId="77777777" w:rsidR="008B2179" w:rsidRPr="008B2179" w:rsidRDefault="008B2179" w:rsidP="00570F4F">
            <w:pPr>
              <w:pStyle w:val="TableText"/>
              <w:jc w:val="right"/>
            </w:pPr>
            <w:r w:rsidRPr="008B2179">
              <w:t>43 </w:t>
            </w:r>
          </w:p>
        </w:tc>
        <w:tc>
          <w:tcPr>
            <w:tcW w:w="882" w:type="dxa"/>
            <w:vAlign w:val="center"/>
            <w:hideMark/>
          </w:tcPr>
          <w:p w14:paraId="45B5E4CA" w14:textId="77777777" w:rsidR="008B2179" w:rsidRPr="008B2179" w:rsidRDefault="008B2179" w:rsidP="00570F4F">
            <w:pPr>
              <w:pStyle w:val="TableText"/>
              <w:jc w:val="right"/>
            </w:pPr>
            <w:r w:rsidRPr="008B2179">
              <w:t>39 </w:t>
            </w:r>
          </w:p>
        </w:tc>
        <w:tc>
          <w:tcPr>
            <w:tcW w:w="882" w:type="dxa"/>
            <w:vAlign w:val="center"/>
            <w:hideMark/>
          </w:tcPr>
          <w:p w14:paraId="6E16E475" w14:textId="77777777" w:rsidR="008B2179" w:rsidRPr="008B2179" w:rsidRDefault="008B2179" w:rsidP="00570F4F">
            <w:pPr>
              <w:pStyle w:val="TableText"/>
              <w:jc w:val="right"/>
            </w:pPr>
            <w:r w:rsidRPr="008B2179">
              <w:t>39 </w:t>
            </w:r>
          </w:p>
        </w:tc>
      </w:tr>
    </w:tbl>
    <w:p w14:paraId="6ABDCA2E" w14:textId="4A8DFFC3" w:rsidR="00570F4F" w:rsidRDefault="008B2179" w:rsidP="00A07CE9">
      <w:pPr>
        <w:pStyle w:val="BodyText"/>
        <w:rPr>
          <w:b/>
          <w:sz w:val="20"/>
          <w:szCs w:val="20"/>
        </w:rPr>
      </w:pPr>
      <w:r w:rsidRPr="00570F4F">
        <w:rPr>
          <w:sz w:val="20"/>
          <w:szCs w:val="20"/>
        </w:rPr>
        <w:t>*Since Complaints May Not be Processed within a Single Fiscal Year, Rows Below May Not Equal the Total  </w:t>
      </w:r>
      <w:r w:rsidR="00570F4F">
        <w:rPr>
          <w:sz w:val="20"/>
          <w:szCs w:val="20"/>
        </w:rPr>
        <w:br w:type="page"/>
      </w:r>
    </w:p>
    <w:p w14:paraId="6D7833CD" w14:textId="77777777" w:rsidR="007531CA" w:rsidRPr="007531CA" w:rsidRDefault="007531CA" w:rsidP="00117EB9">
      <w:pPr>
        <w:pStyle w:val="BodyText3"/>
        <w:rPr>
          <w:b w:val="0"/>
        </w:rPr>
      </w:pPr>
      <w:r w:rsidRPr="007531CA">
        <w:lastRenderedPageBreak/>
        <w:t>Equal Opportunity Compliance</w:t>
      </w:r>
      <w:r w:rsidRPr="007531CA">
        <w:rPr>
          <w:b w:val="0"/>
        </w:rPr>
        <w:t> </w:t>
      </w:r>
    </w:p>
    <w:p w14:paraId="345CED3C" w14:textId="77777777" w:rsidR="007531CA" w:rsidRPr="00892929" w:rsidRDefault="007531CA" w:rsidP="00892929">
      <w:pPr>
        <w:pStyle w:val="BodyText3"/>
      </w:pPr>
      <w:r w:rsidRPr="00892929">
        <w:t>A.</w:t>
      </w:r>
      <w:r w:rsidRPr="00892929">
        <w:tab/>
        <w:t>Provide the following information at the beginning of each description. </w:t>
      </w:r>
    </w:p>
    <w:p w14:paraId="6C05EA6A" w14:textId="77777777" w:rsidR="007531CA" w:rsidRPr="007531CA" w:rsidRDefault="007531CA" w:rsidP="00C64851">
      <w:pPr>
        <w:pStyle w:val="BodyText"/>
        <w:numPr>
          <w:ilvl w:val="0"/>
          <w:numId w:val="185"/>
        </w:numPr>
        <w:spacing w:before="120" w:after="120"/>
      </w:pPr>
      <w:r w:rsidRPr="007531CA">
        <w:t>Name of division or program: Equal Opportunity Compliance Department </w:t>
      </w:r>
    </w:p>
    <w:p w14:paraId="39FED99F" w14:textId="77777777" w:rsidR="007531CA" w:rsidRPr="007531CA" w:rsidRDefault="007531CA" w:rsidP="00C64851">
      <w:pPr>
        <w:pStyle w:val="BodyText"/>
        <w:numPr>
          <w:ilvl w:val="0"/>
          <w:numId w:val="185"/>
        </w:numPr>
        <w:spacing w:before="120" w:after="120"/>
      </w:pPr>
      <w:r w:rsidRPr="007531CA">
        <w:t>Location within the agency: Fraud Deterrence and Compliance Monitoring </w:t>
      </w:r>
    </w:p>
    <w:p w14:paraId="00EF7F02" w14:textId="77777777" w:rsidR="007531CA" w:rsidRPr="007531CA" w:rsidRDefault="007531CA" w:rsidP="00C64851">
      <w:pPr>
        <w:pStyle w:val="BodyText"/>
        <w:numPr>
          <w:ilvl w:val="0"/>
          <w:numId w:val="185"/>
        </w:numPr>
        <w:spacing w:before="120" w:after="120"/>
      </w:pPr>
      <w:r w:rsidRPr="007531CA">
        <w:t>Contact name: Jon Pokorney </w:t>
      </w:r>
    </w:p>
    <w:p w14:paraId="7EE825D2" w14:textId="77777777" w:rsidR="007531CA" w:rsidRPr="007531CA" w:rsidRDefault="007531CA" w:rsidP="00C64851">
      <w:pPr>
        <w:pStyle w:val="BodyText"/>
        <w:numPr>
          <w:ilvl w:val="0"/>
          <w:numId w:val="185"/>
        </w:numPr>
        <w:spacing w:before="120" w:after="120"/>
      </w:pPr>
      <w:r w:rsidRPr="007531CA">
        <w:t>Statutory citation: N/A </w:t>
      </w:r>
    </w:p>
    <w:p w14:paraId="2AFFEF0A" w14:textId="77777777" w:rsidR="007531CA" w:rsidRPr="00117EB9" w:rsidRDefault="007531CA" w:rsidP="009273B9">
      <w:pPr>
        <w:pStyle w:val="BodyText3"/>
        <w:ind w:left="720" w:hanging="720"/>
      </w:pPr>
      <w:r w:rsidRPr="00117EB9">
        <w:t>B.</w:t>
      </w:r>
      <w:r w:rsidRPr="00117EB9">
        <w:tab/>
        <w:t>What is the objective of this division or program? Describe its major activities. </w:t>
      </w:r>
    </w:p>
    <w:p w14:paraId="37821A7D" w14:textId="77777777" w:rsidR="007531CA" w:rsidRPr="007531CA" w:rsidRDefault="007531CA" w:rsidP="00117EB9">
      <w:pPr>
        <w:pStyle w:val="BodyText"/>
      </w:pPr>
      <w:r w:rsidRPr="00117EB9">
        <w:rPr>
          <w:b/>
          <w:bCs/>
        </w:rPr>
        <w:t>Objective:</w:t>
      </w:r>
      <w:r w:rsidRPr="007531CA">
        <w:t xml:space="preserve"> To ensure the State of Texas and its subrecipients properly implement and comply with the nondiscrimination and equal opportunity provisions of the Workforce Investment and Opportunity Act (WIOA) which are contained in Section 188 of WIOA. Section 188 and Department of Labor regulations at 29 CFR Part 38 prohibit discrimination </w:t>
      </w:r>
      <w:proofErr w:type="gramStart"/>
      <w:r w:rsidRPr="007531CA">
        <w:t>on the basis of</w:t>
      </w:r>
      <w:proofErr w:type="gramEnd"/>
      <w:r w:rsidRPr="007531CA">
        <w:t xml:space="preserve"> race, color, religion, sex, national origin, age, disability, political affiliation or belief, and for beneficiaries, applicants, and participants only, citizenship status or participation in a WIOA Title I-financially assisted program or activity. </w:t>
      </w:r>
    </w:p>
    <w:p w14:paraId="153F0EAC" w14:textId="77777777" w:rsidR="007531CA" w:rsidRPr="007531CA" w:rsidRDefault="007531CA" w:rsidP="00117EB9">
      <w:pPr>
        <w:pStyle w:val="BodyText3"/>
        <w:rPr>
          <w:b w:val="0"/>
        </w:rPr>
      </w:pPr>
      <w:r w:rsidRPr="007531CA">
        <w:t>Major activities performed include:</w:t>
      </w:r>
      <w:r w:rsidRPr="007531CA">
        <w:rPr>
          <w:b w:val="0"/>
        </w:rPr>
        <w:t> </w:t>
      </w:r>
    </w:p>
    <w:p w14:paraId="2F22871F" w14:textId="77777777" w:rsidR="007531CA" w:rsidRPr="007531CA" w:rsidRDefault="007531CA" w:rsidP="00C64851">
      <w:pPr>
        <w:pStyle w:val="BodyText"/>
        <w:numPr>
          <w:ilvl w:val="0"/>
          <w:numId w:val="186"/>
        </w:numPr>
      </w:pPr>
      <w:r w:rsidRPr="007531CA">
        <w:t>Monitor and enforce compliance with federal Equal Opportunity (EO) laws and regulations in all Board and subcontractor operations.  </w:t>
      </w:r>
    </w:p>
    <w:p w14:paraId="5AA6714C" w14:textId="4499AC50" w:rsidR="007531CA" w:rsidRPr="007531CA" w:rsidRDefault="007531CA" w:rsidP="00C64851">
      <w:pPr>
        <w:pStyle w:val="BodyText"/>
        <w:numPr>
          <w:ilvl w:val="0"/>
          <w:numId w:val="186"/>
        </w:numPr>
      </w:pPr>
      <w:r w:rsidRPr="007531CA">
        <w:t xml:space="preserve">Update TWC’s Non-Discrimination Plan as required by 29 CFR § 38.55 to ensure the </w:t>
      </w:r>
      <w:r w:rsidR="627B635C">
        <w:t xml:space="preserve">Non-Discrimination Plan </w:t>
      </w:r>
      <w:r w:rsidRPr="007531CA">
        <w:t>accurately describes the state’s plan for addressing WIOA Section 188 nondiscrimination and equal opportunity practices.</w:t>
      </w:r>
      <w:r>
        <w:t> </w:t>
      </w:r>
      <w:r w:rsidRPr="007531CA">
        <w:t> </w:t>
      </w:r>
    </w:p>
    <w:p w14:paraId="3E5563ED" w14:textId="77777777" w:rsidR="007531CA" w:rsidRPr="007531CA" w:rsidRDefault="007531CA" w:rsidP="00C64851">
      <w:pPr>
        <w:pStyle w:val="BodyText"/>
        <w:numPr>
          <w:ilvl w:val="0"/>
          <w:numId w:val="186"/>
        </w:numPr>
      </w:pPr>
      <w:r w:rsidRPr="007531CA">
        <w:t>Process discrimination complaints that fall under Section 188 of the WIOA, Section 504 Rehabilitation Act of 1973, Americans with Disabilities Act (ADA) Title II, Civil Rights Act of 1964 and related statutes and regulations, which prohibit discrimination in programs and activities receiving federal financial assistance.   </w:t>
      </w:r>
    </w:p>
    <w:p w14:paraId="6CE7437A" w14:textId="77777777" w:rsidR="007531CA" w:rsidRPr="007531CA" w:rsidRDefault="007531CA" w:rsidP="00C64851">
      <w:pPr>
        <w:pStyle w:val="BodyText"/>
        <w:numPr>
          <w:ilvl w:val="0"/>
          <w:numId w:val="186"/>
        </w:numPr>
      </w:pPr>
      <w:r w:rsidRPr="007531CA">
        <w:t>Oversee and train all 28 local workforce board level Equal Opportunity Officers.  </w:t>
      </w:r>
    </w:p>
    <w:p w14:paraId="7F148AFD" w14:textId="77777777" w:rsidR="007531CA" w:rsidRPr="007531CA" w:rsidRDefault="007531CA" w:rsidP="00C64851">
      <w:pPr>
        <w:pStyle w:val="BodyText"/>
        <w:numPr>
          <w:ilvl w:val="0"/>
          <w:numId w:val="186"/>
        </w:numPr>
      </w:pPr>
      <w:r w:rsidRPr="007531CA">
        <w:t>Direct calls received through the EO Hotline and emails sent to the EO complaint email address.  </w:t>
      </w:r>
    </w:p>
    <w:p w14:paraId="52250CDC" w14:textId="77777777" w:rsidR="007531CA" w:rsidRPr="007531CA" w:rsidRDefault="007531CA" w:rsidP="00C64851">
      <w:pPr>
        <w:pStyle w:val="BodyText"/>
        <w:numPr>
          <w:ilvl w:val="0"/>
          <w:numId w:val="186"/>
        </w:numPr>
      </w:pPr>
      <w:r w:rsidRPr="007531CA">
        <w:t>Workforce Board Support with the WIOA One-stop Certification: Collect, review, and maintain information for Board support, WIOA Section 188 Review Checklist, and Texas Accessibility Standards (TAS) Reviews.  </w:t>
      </w:r>
    </w:p>
    <w:p w14:paraId="726B44FC" w14:textId="77777777" w:rsidR="007531CA" w:rsidRPr="007531CA" w:rsidRDefault="007531CA" w:rsidP="00C64851">
      <w:pPr>
        <w:pStyle w:val="BodyText"/>
        <w:numPr>
          <w:ilvl w:val="0"/>
          <w:numId w:val="186"/>
        </w:numPr>
      </w:pPr>
      <w:r w:rsidRPr="007531CA">
        <w:lastRenderedPageBreak/>
        <w:t>Ensure EO policy and guidance letters contain the correct content, meet policy guideline requirements, and serve as a Subject Matter Expert for Workforce Development staff.  </w:t>
      </w:r>
    </w:p>
    <w:p w14:paraId="18427B6C" w14:textId="77777777" w:rsidR="007531CA" w:rsidRPr="00117EB9" w:rsidRDefault="007531CA" w:rsidP="009273B9">
      <w:pPr>
        <w:pStyle w:val="BodyText3"/>
        <w:ind w:left="720" w:hanging="720"/>
      </w:pPr>
      <w:r w:rsidRPr="00117EB9">
        <w:t>C.</w:t>
      </w:r>
      <w:r w:rsidRPr="00117EB9">
        <w:tab/>
        <w:t xml:space="preserve">What information does the agency collect/use to assess the effectiveness and efficiency of this division or program? If applicable, briefly note any LBB performance measures (from Section II, </w:t>
      </w:r>
      <w:proofErr w:type="gramStart"/>
      <w:r w:rsidRPr="00117EB9">
        <w:t>Exhibit</w:t>
      </w:r>
      <w:proofErr w:type="gramEnd"/>
      <w:r w:rsidRPr="00117EB9">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4985AC16" w14:textId="77777777" w:rsidR="007531CA" w:rsidRPr="007531CA" w:rsidRDefault="007531CA" w:rsidP="00117EB9">
      <w:pPr>
        <w:pStyle w:val="BodyText"/>
      </w:pPr>
      <w:r w:rsidRPr="007531CA">
        <w:t>The Equal Opportunity Compliance Department (EOCD) continually works to improve guidance and training resources for board and agency staff to better ensure compliance with WIOA Section 188 regulations and seeks opportunities to collaborate with stakeholders. There are on average 3 new Local Workforce Development Board EO Officers each year and improved guidance and training resources are especially helpful for these new EO Officers.  Additionally, EOCD is responsible for maintaining the state’s Nondiscrimination Plan and submitting an updated plan to the Department of Labor every two years.  </w:t>
      </w:r>
    </w:p>
    <w:p w14:paraId="28279745" w14:textId="77777777" w:rsidR="007531CA" w:rsidRPr="007531CA" w:rsidRDefault="007531CA" w:rsidP="00117EB9">
      <w:pPr>
        <w:pStyle w:val="BodyText"/>
      </w:pPr>
      <w:r w:rsidRPr="007531CA">
        <w:t>EOCD reviews complaints alleging discrimination in TWC programs and activities.  EOCD procedures emphasize trying to resolve customer issues even when those issues may not be related to discrimination.  As such, although a complaint may be dismissed for lack of jurisdiction, a customer may still have experienced a satisfactory outcome. </w:t>
      </w:r>
    </w:p>
    <w:tbl>
      <w:tblPr>
        <w:tblStyle w:val="TableGrid1"/>
        <w:tblW w:w="8625" w:type="dxa"/>
        <w:tblCellMar>
          <w:top w:w="58" w:type="dxa"/>
          <w:bottom w:w="58" w:type="dxa"/>
        </w:tblCellMar>
        <w:tblLook w:val="04A0" w:firstRow="1" w:lastRow="0" w:firstColumn="1" w:lastColumn="0" w:noHBand="0" w:noVBand="1"/>
      </w:tblPr>
      <w:tblGrid>
        <w:gridCol w:w="2760"/>
        <w:gridCol w:w="1815"/>
        <w:gridCol w:w="1980"/>
        <w:gridCol w:w="2070"/>
      </w:tblGrid>
      <w:tr w:rsidR="007531CA" w:rsidRPr="007531CA" w14:paraId="526632A5" w14:textId="77777777" w:rsidTr="00183AA6">
        <w:trPr>
          <w:trHeight w:val="300"/>
        </w:trPr>
        <w:tc>
          <w:tcPr>
            <w:tcW w:w="2760" w:type="dxa"/>
            <w:shd w:val="clear" w:color="auto" w:fill="B8CCE4" w:themeFill="accent1" w:themeFillTint="66"/>
            <w:vAlign w:val="center"/>
            <w:hideMark/>
          </w:tcPr>
          <w:p w14:paraId="498F8B87" w14:textId="146AFCD5" w:rsidR="007531CA" w:rsidRPr="007531CA" w:rsidRDefault="007531CA" w:rsidP="00183AA6">
            <w:pPr>
              <w:pStyle w:val="TableHeaders"/>
              <w:rPr>
                <w:b w:val="0"/>
              </w:rPr>
            </w:pPr>
            <w:r w:rsidRPr="007531CA">
              <w:t>Disposition of Complaints </w:t>
            </w:r>
          </w:p>
        </w:tc>
        <w:tc>
          <w:tcPr>
            <w:tcW w:w="1815" w:type="dxa"/>
            <w:shd w:val="clear" w:color="auto" w:fill="B8CCE4" w:themeFill="accent1" w:themeFillTint="66"/>
            <w:vAlign w:val="center"/>
            <w:hideMark/>
          </w:tcPr>
          <w:p w14:paraId="22E8A02C" w14:textId="677245AD" w:rsidR="007531CA" w:rsidRPr="007531CA" w:rsidRDefault="007531CA" w:rsidP="00183AA6">
            <w:pPr>
              <w:pStyle w:val="TableHeaders"/>
              <w:rPr>
                <w:b w:val="0"/>
              </w:rPr>
            </w:pPr>
            <w:r w:rsidRPr="007531CA">
              <w:t>Fiscal Year</w:t>
            </w:r>
          </w:p>
          <w:p w14:paraId="51558190" w14:textId="25E7F6EF" w:rsidR="007531CA" w:rsidRPr="007531CA" w:rsidRDefault="007531CA" w:rsidP="00183AA6">
            <w:pPr>
              <w:pStyle w:val="TableHeaders"/>
              <w:rPr>
                <w:b w:val="0"/>
              </w:rPr>
            </w:pPr>
            <w:r w:rsidRPr="007531CA">
              <w:t>2022</w:t>
            </w:r>
          </w:p>
        </w:tc>
        <w:tc>
          <w:tcPr>
            <w:tcW w:w="1980" w:type="dxa"/>
            <w:shd w:val="clear" w:color="auto" w:fill="B8CCE4" w:themeFill="accent1" w:themeFillTint="66"/>
            <w:vAlign w:val="center"/>
            <w:hideMark/>
          </w:tcPr>
          <w:p w14:paraId="58585963" w14:textId="4EF8F6AE" w:rsidR="007531CA" w:rsidRPr="007531CA" w:rsidRDefault="007531CA" w:rsidP="00183AA6">
            <w:pPr>
              <w:pStyle w:val="TableHeaders"/>
              <w:rPr>
                <w:b w:val="0"/>
              </w:rPr>
            </w:pPr>
            <w:r w:rsidRPr="007531CA">
              <w:t>Fiscal Year</w:t>
            </w:r>
          </w:p>
          <w:p w14:paraId="506A1044" w14:textId="401C5278" w:rsidR="007531CA" w:rsidRPr="007531CA" w:rsidRDefault="007531CA" w:rsidP="00183AA6">
            <w:pPr>
              <w:pStyle w:val="TableHeaders"/>
              <w:rPr>
                <w:b w:val="0"/>
              </w:rPr>
            </w:pPr>
            <w:r w:rsidRPr="007531CA">
              <w:t>2023</w:t>
            </w:r>
          </w:p>
        </w:tc>
        <w:tc>
          <w:tcPr>
            <w:tcW w:w="2070" w:type="dxa"/>
            <w:shd w:val="clear" w:color="auto" w:fill="B8CCE4" w:themeFill="accent1" w:themeFillTint="66"/>
            <w:vAlign w:val="center"/>
            <w:hideMark/>
          </w:tcPr>
          <w:p w14:paraId="0FFEF0B9" w14:textId="19949698" w:rsidR="007531CA" w:rsidRPr="007531CA" w:rsidRDefault="007531CA" w:rsidP="00183AA6">
            <w:pPr>
              <w:pStyle w:val="TableHeaders"/>
              <w:rPr>
                <w:b w:val="0"/>
              </w:rPr>
            </w:pPr>
            <w:r w:rsidRPr="007531CA">
              <w:t>Fiscal Year </w:t>
            </w:r>
          </w:p>
          <w:p w14:paraId="4265B1E3" w14:textId="74620641" w:rsidR="007531CA" w:rsidRPr="007531CA" w:rsidRDefault="007531CA" w:rsidP="00183AA6">
            <w:pPr>
              <w:pStyle w:val="TableHeaders"/>
              <w:rPr>
                <w:b w:val="0"/>
              </w:rPr>
            </w:pPr>
            <w:r w:rsidRPr="007531CA">
              <w:t>2024</w:t>
            </w:r>
          </w:p>
        </w:tc>
      </w:tr>
      <w:tr w:rsidR="007531CA" w:rsidRPr="007531CA" w14:paraId="21E9080D" w14:textId="77777777" w:rsidTr="00183AA6">
        <w:trPr>
          <w:trHeight w:val="315"/>
        </w:trPr>
        <w:tc>
          <w:tcPr>
            <w:tcW w:w="2760" w:type="dxa"/>
            <w:vAlign w:val="center"/>
            <w:hideMark/>
          </w:tcPr>
          <w:p w14:paraId="35B1D456" w14:textId="77777777" w:rsidR="007531CA" w:rsidRPr="007531CA" w:rsidRDefault="007531CA" w:rsidP="00183AA6">
            <w:pPr>
              <w:pStyle w:val="TableText"/>
            </w:pPr>
            <w:r w:rsidRPr="007531CA">
              <w:t>Total Complaints Received  </w:t>
            </w:r>
          </w:p>
        </w:tc>
        <w:tc>
          <w:tcPr>
            <w:tcW w:w="1815" w:type="dxa"/>
            <w:vAlign w:val="center"/>
            <w:hideMark/>
          </w:tcPr>
          <w:p w14:paraId="022BAC68" w14:textId="77777777" w:rsidR="007531CA" w:rsidRPr="007531CA" w:rsidRDefault="007531CA" w:rsidP="00183AA6">
            <w:pPr>
              <w:pStyle w:val="TableText"/>
              <w:jc w:val="right"/>
            </w:pPr>
            <w:r w:rsidRPr="007531CA">
              <w:t>4  </w:t>
            </w:r>
          </w:p>
        </w:tc>
        <w:tc>
          <w:tcPr>
            <w:tcW w:w="1980" w:type="dxa"/>
            <w:vAlign w:val="center"/>
            <w:hideMark/>
          </w:tcPr>
          <w:p w14:paraId="6081B7FE" w14:textId="77777777" w:rsidR="007531CA" w:rsidRPr="007531CA" w:rsidRDefault="007531CA" w:rsidP="00183AA6">
            <w:pPr>
              <w:pStyle w:val="TableText"/>
              <w:jc w:val="right"/>
            </w:pPr>
            <w:r w:rsidRPr="007531CA">
              <w:t>9  </w:t>
            </w:r>
          </w:p>
        </w:tc>
        <w:tc>
          <w:tcPr>
            <w:tcW w:w="2070" w:type="dxa"/>
            <w:vAlign w:val="center"/>
            <w:hideMark/>
          </w:tcPr>
          <w:p w14:paraId="6B7C7D8A" w14:textId="77777777" w:rsidR="007531CA" w:rsidRPr="007531CA" w:rsidRDefault="007531CA" w:rsidP="00183AA6">
            <w:pPr>
              <w:pStyle w:val="TableText"/>
              <w:jc w:val="right"/>
            </w:pPr>
            <w:r w:rsidRPr="007531CA">
              <w:t>9  </w:t>
            </w:r>
          </w:p>
        </w:tc>
      </w:tr>
      <w:tr w:rsidR="007531CA" w:rsidRPr="007531CA" w14:paraId="76E13E13" w14:textId="77777777" w:rsidTr="00183AA6">
        <w:trPr>
          <w:trHeight w:val="525"/>
        </w:trPr>
        <w:tc>
          <w:tcPr>
            <w:tcW w:w="2760" w:type="dxa"/>
            <w:vAlign w:val="center"/>
            <w:hideMark/>
          </w:tcPr>
          <w:p w14:paraId="03E6AA60" w14:textId="77777777" w:rsidR="007531CA" w:rsidRPr="007531CA" w:rsidRDefault="007531CA" w:rsidP="00183AA6">
            <w:pPr>
              <w:pStyle w:val="TableText"/>
            </w:pPr>
            <w:r w:rsidRPr="007531CA">
              <w:t>Complaints Found Jurisdictional  </w:t>
            </w:r>
          </w:p>
        </w:tc>
        <w:tc>
          <w:tcPr>
            <w:tcW w:w="1815" w:type="dxa"/>
            <w:vAlign w:val="center"/>
            <w:hideMark/>
          </w:tcPr>
          <w:p w14:paraId="4322DB93" w14:textId="77777777" w:rsidR="007531CA" w:rsidRPr="007531CA" w:rsidRDefault="007531CA" w:rsidP="00183AA6">
            <w:pPr>
              <w:pStyle w:val="TableText"/>
              <w:jc w:val="right"/>
            </w:pPr>
            <w:r w:rsidRPr="007531CA">
              <w:t>1  </w:t>
            </w:r>
          </w:p>
        </w:tc>
        <w:tc>
          <w:tcPr>
            <w:tcW w:w="1980" w:type="dxa"/>
            <w:vAlign w:val="center"/>
            <w:hideMark/>
          </w:tcPr>
          <w:p w14:paraId="2B4E60CF" w14:textId="77777777" w:rsidR="007531CA" w:rsidRPr="007531CA" w:rsidRDefault="007531CA" w:rsidP="00183AA6">
            <w:pPr>
              <w:pStyle w:val="TableText"/>
              <w:jc w:val="right"/>
            </w:pPr>
            <w:r w:rsidRPr="007531CA">
              <w:t>0  </w:t>
            </w:r>
          </w:p>
        </w:tc>
        <w:tc>
          <w:tcPr>
            <w:tcW w:w="2070" w:type="dxa"/>
            <w:vAlign w:val="center"/>
            <w:hideMark/>
          </w:tcPr>
          <w:p w14:paraId="78E4A6D5" w14:textId="77777777" w:rsidR="007531CA" w:rsidRPr="007531CA" w:rsidRDefault="007531CA" w:rsidP="00183AA6">
            <w:pPr>
              <w:pStyle w:val="TableText"/>
              <w:jc w:val="right"/>
            </w:pPr>
            <w:r w:rsidRPr="007531CA">
              <w:t>4  </w:t>
            </w:r>
          </w:p>
        </w:tc>
      </w:tr>
      <w:tr w:rsidR="007531CA" w:rsidRPr="007531CA" w14:paraId="4C5285E7" w14:textId="77777777" w:rsidTr="00183AA6">
        <w:trPr>
          <w:trHeight w:val="525"/>
        </w:trPr>
        <w:tc>
          <w:tcPr>
            <w:tcW w:w="2760" w:type="dxa"/>
            <w:vAlign w:val="center"/>
            <w:hideMark/>
          </w:tcPr>
          <w:p w14:paraId="3A17531E" w14:textId="77777777" w:rsidR="007531CA" w:rsidRPr="007531CA" w:rsidRDefault="007531CA" w:rsidP="00183AA6">
            <w:pPr>
              <w:pStyle w:val="TableText"/>
            </w:pPr>
            <w:r w:rsidRPr="007531CA">
              <w:t>Complaints Found Non-Jurisdictional  </w:t>
            </w:r>
          </w:p>
        </w:tc>
        <w:tc>
          <w:tcPr>
            <w:tcW w:w="1815" w:type="dxa"/>
            <w:vAlign w:val="center"/>
            <w:hideMark/>
          </w:tcPr>
          <w:p w14:paraId="2BDC7540" w14:textId="77777777" w:rsidR="007531CA" w:rsidRPr="007531CA" w:rsidRDefault="007531CA" w:rsidP="00183AA6">
            <w:pPr>
              <w:pStyle w:val="TableText"/>
              <w:jc w:val="right"/>
            </w:pPr>
            <w:r w:rsidRPr="007531CA">
              <w:t>3  </w:t>
            </w:r>
          </w:p>
        </w:tc>
        <w:tc>
          <w:tcPr>
            <w:tcW w:w="1980" w:type="dxa"/>
            <w:vAlign w:val="center"/>
            <w:hideMark/>
          </w:tcPr>
          <w:p w14:paraId="438AD970" w14:textId="77777777" w:rsidR="007531CA" w:rsidRPr="007531CA" w:rsidRDefault="007531CA" w:rsidP="00183AA6">
            <w:pPr>
              <w:pStyle w:val="TableText"/>
              <w:jc w:val="right"/>
            </w:pPr>
            <w:r w:rsidRPr="007531CA">
              <w:t>9  </w:t>
            </w:r>
          </w:p>
        </w:tc>
        <w:tc>
          <w:tcPr>
            <w:tcW w:w="2070" w:type="dxa"/>
            <w:vAlign w:val="center"/>
            <w:hideMark/>
          </w:tcPr>
          <w:p w14:paraId="40C47893" w14:textId="77777777" w:rsidR="007531CA" w:rsidRPr="007531CA" w:rsidRDefault="007531CA" w:rsidP="00183AA6">
            <w:pPr>
              <w:pStyle w:val="TableText"/>
              <w:jc w:val="right"/>
            </w:pPr>
            <w:r w:rsidRPr="007531CA">
              <w:t>5  </w:t>
            </w:r>
          </w:p>
        </w:tc>
      </w:tr>
      <w:tr w:rsidR="007531CA" w:rsidRPr="007531CA" w14:paraId="0865E698" w14:textId="77777777" w:rsidTr="00183AA6">
        <w:trPr>
          <w:trHeight w:val="525"/>
        </w:trPr>
        <w:tc>
          <w:tcPr>
            <w:tcW w:w="2760" w:type="dxa"/>
            <w:vAlign w:val="center"/>
            <w:hideMark/>
          </w:tcPr>
          <w:p w14:paraId="14E7DB58" w14:textId="77777777" w:rsidR="007531CA" w:rsidRPr="007531CA" w:rsidRDefault="007531CA" w:rsidP="00183AA6">
            <w:pPr>
              <w:pStyle w:val="TableText"/>
            </w:pPr>
            <w:r w:rsidRPr="007531CA">
              <w:t>Complaints Withdrawn by Complainant  </w:t>
            </w:r>
          </w:p>
        </w:tc>
        <w:tc>
          <w:tcPr>
            <w:tcW w:w="1815" w:type="dxa"/>
            <w:vAlign w:val="center"/>
            <w:hideMark/>
          </w:tcPr>
          <w:p w14:paraId="1DD66C14" w14:textId="77777777" w:rsidR="007531CA" w:rsidRPr="007531CA" w:rsidRDefault="007531CA" w:rsidP="00183AA6">
            <w:pPr>
              <w:pStyle w:val="TableText"/>
              <w:jc w:val="right"/>
            </w:pPr>
            <w:r w:rsidRPr="007531CA">
              <w:t>0  </w:t>
            </w:r>
          </w:p>
        </w:tc>
        <w:tc>
          <w:tcPr>
            <w:tcW w:w="1980" w:type="dxa"/>
            <w:vAlign w:val="center"/>
            <w:hideMark/>
          </w:tcPr>
          <w:p w14:paraId="45FCFC14" w14:textId="77777777" w:rsidR="007531CA" w:rsidRPr="007531CA" w:rsidRDefault="007531CA" w:rsidP="00183AA6">
            <w:pPr>
              <w:pStyle w:val="TableText"/>
              <w:jc w:val="right"/>
            </w:pPr>
            <w:r w:rsidRPr="007531CA">
              <w:t>0  </w:t>
            </w:r>
          </w:p>
        </w:tc>
        <w:tc>
          <w:tcPr>
            <w:tcW w:w="2070" w:type="dxa"/>
            <w:vAlign w:val="center"/>
            <w:hideMark/>
          </w:tcPr>
          <w:p w14:paraId="155F69AE" w14:textId="77777777" w:rsidR="007531CA" w:rsidRPr="007531CA" w:rsidRDefault="007531CA" w:rsidP="00183AA6">
            <w:pPr>
              <w:pStyle w:val="TableText"/>
              <w:jc w:val="right"/>
            </w:pPr>
            <w:r w:rsidRPr="007531CA">
              <w:t>2  </w:t>
            </w:r>
          </w:p>
        </w:tc>
      </w:tr>
      <w:tr w:rsidR="007531CA" w:rsidRPr="007531CA" w14:paraId="2342A14E" w14:textId="77777777" w:rsidTr="00183AA6">
        <w:trPr>
          <w:trHeight w:val="525"/>
        </w:trPr>
        <w:tc>
          <w:tcPr>
            <w:tcW w:w="2760" w:type="dxa"/>
            <w:vAlign w:val="center"/>
            <w:hideMark/>
          </w:tcPr>
          <w:p w14:paraId="484C1967" w14:textId="77777777" w:rsidR="007531CA" w:rsidRPr="007531CA" w:rsidRDefault="007531CA" w:rsidP="00183AA6">
            <w:pPr>
              <w:pStyle w:val="TableText"/>
            </w:pPr>
            <w:r w:rsidRPr="007531CA">
              <w:t>Investigation Did Not Substantiate Discrimination  </w:t>
            </w:r>
          </w:p>
        </w:tc>
        <w:tc>
          <w:tcPr>
            <w:tcW w:w="1815" w:type="dxa"/>
            <w:vAlign w:val="center"/>
            <w:hideMark/>
          </w:tcPr>
          <w:p w14:paraId="2A77697F" w14:textId="77777777" w:rsidR="007531CA" w:rsidRPr="007531CA" w:rsidRDefault="007531CA" w:rsidP="00183AA6">
            <w:pPr>
              <w:pStyle w:val="TableText"/>
              <w:jc w:val="right"/>
            </w:pPr>
            <w:r w:rsidRPr="007531CA">
              <w:t>1  </w:t>
            </w:r>
          </w:p>
        </w:tc>
        <w:tc>
          <w:tcPr>
            <w:tcW w:w="1980" w:type="dxa"/>
            <w:vAlign w:val="center"/>
            <w:hideMark/>
          </w:tcPr>
          <w:p w14:paraId="42170840" w14:textId="77777777" w:rsidR="007531CA" w:rsidRPr="007531CA" w:rsidRDefault="007531CA" w:rsidP="00183AA6">
            <w:pPr>
              <w:pStyle w:val="TableText"/>
              <w:jc w:val="right"/>
            </w:pPr>
            <w:r w:rsidRPr="007531CA">
              <w:t>0  </w:t>
            </w:r>
          </w:p>
        </w:tc>
        <w:tc>
          <w:tcPr>
            <w:tcW w:w="2070" w:type="dxa"/>
            <w:vAlign w:val="center"/>
            <w:hideMark/>
          </w:tcPr>
          <w:p w14:paraId="08A4544C" w14:textId="77777777" w:rsidR="007531CA" w:rsidRPr="007531CA" w:rsidRDefault="007531CA" w:rsidP="00183AA6">
            <w:pPr>
              <w:pStyle w:val="TableText"/>
              <w:jc w:val="right"/>
            </w:pPr>
            <w:r w:rsidRPr="007531CA">
              <w:t>2  </w:t>
            </w:r>
          </w:p>
        </w:tc>
      </w:tr>
      <w:tr w:rsidR="007531CA" w:rsidRPr="007531CA" w14:paraId="640561C1" w14:textId="77777777" w:rsidTr="00183AA6">
        <w:trPr>
          <w:trHeight w:val="525"/>
        </w:trPr>
        <w:tc>
          <w:tcPr>
            <w:tcW w:w="2760" w:type="dxa"/>
            <w:vAlign w:val="center"/>
            <w:hideMark/>
          </w:tcPr>
          <w:p w14:paraId="4E3301EE" w14:textId="77777777" w:rsidR="007531CA" w:rsidRPr="007531CA" w:rsidRDefault="007531CA" w:rsidP="00183AA6">
            <w:pPr>
              <w:pStyle w:val="TableText"/>
            </w:pPr>
            <w:r w:rsidRPr="007531CA">
              <w:t>Investigation Substantiated Discrimination  </w:t>
            </w:r>
          </w:p>
        </w:tc>
        <w:tc>
          <w:tcPr>
            <w:tcW w:w="1815" w:type="dxa"/>
            <w:vAlign w:val="center"/>
            <w:hideMark/>
          </w:tcPr>
          <w:p w14:paraId="15DDE413" w14:textId="77777777" w:rsidR="007531CA" w:rsidRPr="007531CA" w:rsidRDefault="007531CA" w:rsidP="00183AA6">
            <w:pPr>
              <w:pStyle w:val="TableText"/>
              <w:jc w:val="right"/>
            </w:pPr>
            <w:r w:rsidRPr="007531CA">
              <w:t>0  </w:t>
            </w:r>
          </w:p>
        </w:tc>
        <w:tc>
          <w:tcPr>
            <w:tcW w:w="1980" w:type="dxa"/>
            <w:vAlign w:val="center"/>
            <w:hideMark/>
          </w:tcPr>
          <w:p w14:paraId="7C8373DB" w14:textId="77777777" w:rsidR="007531CA" w:rsidRPr="007531CA" w:rsidRDefault="007531CA" w:rsidP="00183AA6">
            <w:pPr>
              <w:pStyle w:val="TableText"/>
              <w:jc w:val="right"/>
            </w:pPr>
            <w:r w:rsidRPr="007531CA">
              <w:t>0  </w:t>
            </w:r>
          </w:p>
        </w:tc>
        <w:tc>
          <w:tcPr>
            <w:tcW w:w="2070" w:type="dxa"/>
            <w:vAlign w:val="center"/>
            <w:hideMark/>
          </w:tcPr>
          <w:p w14:paraId="5A009949" w14:textId="77777777" w:rsidR="007531CA" w:rsidRPr="007531CA" w:rsidRDefault="007531CA" w:rsidP="00183AA6">
            <w:pPr>
              <w:pStyle w:val="TableText"/>
              <w:jc w:val="right"/>
            </w:pPr>
            <w:r w:rsidRPr="007531CA">
              <w:t>0  </w:t>
            </w:r>
          </w:p>
        </w:tc>
      </w:tr>
    </w:tbl>
    <w:p w14:paraId="3D8419F5" w14:textId="77777777" w:rsidR="007531CA" w:rsidRPr="007531CA" w:rsidRDefault="007531CA" w:rsidP="00117EB9">
      <w:pPr>
        <w:pStyle w:val="BodyText"/>
      </w:pPr>
      <w:r w:rsidRPr="007531CA">
        <w:t xml:space="preserve">WIOA Section 188 regulations require posters in offices and notices to applicants and </w:t>
      </w:r>
      <w:proofErr w:type="gramStart"/>
      <w:r w:rsidRPr="007531CA">
        <w:t>participants  with</w:t>
      </w:r>
      <w:proofErr w:type="gramEnd"/>
      <w:r w:rsidRPr="007531CA">
        <w:t xml:space="preserve"> information about nondiscrimination protections under WIOA Section 188 and contact information for the State EO Officer and Local Workforce Development Boards EO Officers as applicable.  The posters, notices, and other communications generate calls </w:t>
      </w:r>
      <w:r w:rsidRPr="007531CA">
        <w:lastRenderedPageBreak/>
        <w:t xml:space="preserve">and emails to EOCD’s EO hotline phone number or EO complaint email address by the public when they have an issue related to a TWC or Board program or activity.  EOCD’s EO complaint email address received approximately 250 emails between May 1, 2024, and April 30, 2025, which averages to just over 20 emails a month.  </w:t>
      </w:r>
      <w:proofErr w:type="gramStart"/>
      <w:r w:rsidRPr="007531CA">
        <w:t>A number of</w:t>
      </w:r>
      <w:proofErr w:type="gramEnd"/>
      <w:r w:rsidRPr="007531CA">
        <w:t xml:space="preserve"> the calls and emails do not directly relate to EOCD functions or involve programmatic complaints, in which case, staff will attempt to assist the person by providing information or referring the issue to the correct department.  Programmatic complaints are complaints that do not allege discrimination.  </w:t>
      </w:r>
    </w:p>
    <w:tbl>
      <w:tblPr>
        <w:tblStyle w:val="TableGrid1"/>
        <w:tblW w:w="0" w:type="dxa"/>
        <w:tblLook w:val="04A0" w:firstRow="1" w:lastRow="0" w:firstColumn="1" w:lastColumn="0" w:noHBand="0" w:noVBand="1"/>
      </w:tblPr>
      <w:tblGrid>
        <w:gridCol w:w="2745"/>
        <w:gridCol w:w="2190"/>
        <w:gridCol w:w="2190"/>
        <w:gridCol w:w="2190"/>
      </w:tblGrid>
      <w:tr w:rsidR="007531CA" w:rsidRPr="007531CA" w14:paraId="0B381D53" w14:textId="77777777" w:rsidTr="00AA2B5E">
        <w:trPr>
          <w:trHeight w:val="300"/>
        </w:trPr>
        <w:tc>
          <w:tcPr>
            <w:tcW w:w="2745" w:type="dxa"/>
            <w:shd w:val="clear" w:color="auto" w:fill="B8CCE4" w:themeFill="accent1" w:themeFillTint="66"/>
            <w:hideMark/>
          </w:tcPr>
          <w:p w14:paraId="0FE4949D" w14:textId="77777777" w:rsidR="007531CA" w:rsidRPr="007531CA" w:rsidRDefault="007531CA" w:rsidP="00AA2B5E">
            <w:pPr>
              <w:pStyle w:val="TableHeaders"/>
              <w:rPr>
                <w:b w:val="0"/>
              </w:rPr>
            </w:pPr>
            <w:r w:rsidRPr="007531CA">
              <w:rPr>
                <w:bCs/>
              </w:rPr>
              <w:t> </w:t>
            </w:r>
            <w:r w:rsidRPr="007531CA">
              <w:t>  </w:t>
            </w:r>
          </w:p>
        </w:tc>
        <w:tc>
          <w:tcPr>
            <w:tcW w:w="2190" w:type="dxa"/>
            <w:shd w:val="clear" w:color="auto" w:fill="B8CCE4" w:themeFill="accent1" w:themeFillTint="66"/>
            <w:hideMark/>
          </w:tcPr>
          <w:p w14:paraId="4F25FEE3" w14:textId="77777777" w:rsidR="007531CA" w:rsidRPr="007531CA" w:rsidRDefault="007531CA" w:rsidP="00AA2B5E">
            <w:pPr>
              <w:pStyle w:val="TableHeaders"/>
              <w:rPr>
                <w:b w:val="0"/>
              </w:rPr>
            </w:pPr>
            <w:r w:rsidRPr="007531CA">
              <w:t>Fiscal Year 2022 </w:t>
            </w:r>
          </w:p>
        </w:tc>
        <w:tc>
          <w:tcPr>
            <w:tcW w:w="2190" w:type="dxa"/>
            <w:shd w:val="clear" w:color="auto" w:fill="B8CCE4" w:themeFill="accent1" w:themeFillTint="66"/>
            <w:hideMark/>
          </w:tcPr>
          <w:p w14:paraId="7FB0189D" w14:textId="77777777" w:rsidR="007531CA" w:rsidRPr="007531CA" w:rsidRDefault="007531CA" w:rsidP="00AA2B5E">
            <w:pPr>
              <w:pStyle w:val="TableHeaders"/>
              <w:rPr>
                <w:b w:val="0"/>
              </w:rPr>
            </w:pPr>
            <w:r w:rsidRPr="007531CA">
              <w:t>Fiscal Year 2023 </w:t>
            </w:r>
          </w:p>
        </w:tc>
        <w:tc>
          <w:tcPr>
            <w:tcW w:w="2190" w:type="dxa"/>
            <w:shd w:val="clear" w:color="auto" w:fill="B8CCE4" w:themeFill="accent1" w:themeFillTint="66"/>
            <w:hideMark/>
          </w:tcPr>
          <w:p w14:paraId="21AD2A2F" w14:textId="77777777" w:rsidR="007531CA" w:rsidRPr="007531CA" w:rsidRDefault="007531CA" w:rsidP="00AA2B5E">
            <w:pPr>
              <w:pStyle w:val="TableHeaders"/>
              <w:rPr>
                <w:b w:val="0"/>
              </w:rPr>
            </w:pPr>
            <w:r w:rsidRPr="007531CA">
              <w:t>Fiscal Year 2024 </w:t>
            </w:r>
          </w:p>
        </w:tc>
      </w:tr>
      <w:tr w:rsidR="007531CA" w:rsidRPr="007531CA" w14:paraId="2A48D7E9" w14:textId="77777777" w:rsidTr="00AA2B5E">
        <w:trPr>
          <w:trHeight w:val="315"/>
        </w:trPr>
        <w:tc>
          <w:tcPr>
            <w:tcW w:w="2745" w:type="dxa"/>
            <w:hideMark/>
          </w:tcPr>
          <w:p w14:paraId="02C9C13D" w14:textId="77777777" w:rsidR="007531CA" w:rsidRPr="007531CA" w:rsidRDefault="007531CA" w:rsidP="00AA2B5E">
            <w:pPr>
              <w:pStyle w:val="TableText"/>
            </w:pPr>
            <w:r w:rsidRPr="007531CA">
              <w:t>Calls to EO Hotline  </w:t>
            </w:r>
          </w:p>
        </w:tc>
        <w:tc>
          <w:tcPr>
            <w:tcW w:w="2190" w:type="dxa"/>
            <w:hideMark/>
          </w:tcPr>
          <w:p w14:paraId="1106EA99" w14:textId="77777777" w:rsidR="007531CA" w:rsidRPr="007531CA" w:rsidRDefault="007531CA" w:rsidP="00AA2B5E">
            <w:pPr>
              <w:pStyle w:val="TableText"/>
            </w:pPr>
            <w:r w:rsidRPr="007531CA">
              <w:t>325  </w:t>
            </w:r>
          </w:p>
        </w:tc>
        <w:tc>
          <w:tcPr>
            <w:tcW w:w="2190" w:type="dxa"/>
            <w:hideMark/>
          </w:tcPr>
          <w:p w14:paraId="5162B438" w14:textId="77777777" w:rsidR="007531CA" w:rsidRPr="007531CA" w:rsidRDefault="007531CA" w:rsidP="00AA2B5E">
            <w:pPr>
              <w:pStyle w:val="TableText"/>
            </w:pPr>
            <w:r w:rsidRPr="007531CA">
              <w:t>632  </w:t>
            </w:r>
          </w:p>
        </w:tc>
        <w:tc>
          <w:tcPr>
            <w:tcW w:w="2190" w:type="dxa"/>
            <w:hideMark/>
          </w:tcPr>
          <w:p w14:paraId="52A8A182" w14:textId="77777777" w:rsidR="007531CA" w:rsidRPr="007531CA" w:rsidRDefault="007531CA" w:rsidP="00AA2B5E">
            <w:pPr>
              <w:pStyle w:val="TableText"/>
            </w:pPr>
            <w:r w:rsidRPr="007531CA">
              <w:t>772  </w:t>
            </w:r>
          </w:p>
        </w:tc>
      </w:tr>
    </w:tbl>
    <w:p w14:paraId="753B4CB1" w14:textId="77777777" w:rsidR="007531CA" w:rsidRPr="00117EB9" w:rsidRDefault="007531CA" w:rsidP="009A5DC1">
      <w:pPr>
        <w:pStyle w:val="BodyText3"/>
        <w:ind w:left="720" w:hanging="720"/>
      </w:pPr>
      <w:r w:rsidRPr="00117EB9">
        <w:t>D.</w:t>
      </w:r>
      <w:r w:rsidRPr="00117EB9">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59EE4482" w14:textId="22BB3088" w:rsidR="007531CA" w:rsidRPr="007531CA" w:rsidRDefault="007531CA" w:rsidP="00117EB9">
      <w:pPr>
        <w:pStyle w:val="BodyText"/>
      </w:pPr>
      <w:r w:rsidRPr="007531CA">
        <w:t xml:space="preserve">Under recent Wagner-Peyser Act Employment </w:t>
      </w:r>
      <w:proofErr w:type="gramStart"/>
      <w:r w:rsidRPr="007531CA">
        <w:t>Services ,</w:t>
      </w:r>
      <w:proofErr w:type="gramEnd"/>
      <w:r w:rsidRPr="007531CA">
        <w:t xml:space="preserve"> 20 CFR 658 Subpart E, regulatory changes, effective January 2026, EOCD will be required to intake employment discrimination complaints from ES participants and Migrant and Seasonal Farmworkers filed with Workforce Development ES staff and refer those complaints to TWC’s Civil Rights Division or the Equal Employment Opportunity Commission.  These complaints are outside the usual jurisdiction of the EOCD department as they do not relate to discrimination in agency programs and activities. </w:t>
      </w:r>
    </w:p>
    <w:p w14:paraId="24C70D43" w14:textId="77777777" w:rsidR="007531CA" w:rsidRPr="00AA2B5E" w:rsidRDefault="007531CA" w:rsidP="009A5DC1">
      <w:pPr>
        <w:pStyle w:val="BodyText3"/>
        <w:ind w:left="720" w:hanging="720"/>
      </w:pPr>
      <w:r w:rsidRPr="00AA2B5E">
        <w:t>E.</w:t>
      </w:r>
      <w:r w:rsidRPr="00AA2B5E">
        <w:tab/>
        <w:t>List any qualifications or eligibility requirements for persons or entities affected by this division or program (e.g., licensees, consumers, and landowners). Provide a statistical breakdown of persons or entities affected. </w:t>
      </w:r>
    </w:p>
    <w:p w14:paraId="03549B9C" w14:textId="77777777" w:rsidR="007531CA" w:rsidRPr="007531CA" w:rsidRDefault="007531CA" w:rsidP="00117EB9">
      <w:pPr>
        <w:pStyle w:val="BodyText"/>
      </w:pPr>
      <w:r w:rsidRPr="007531CA">
        <w:t>WIOA § 188 requirements apply to any recipient of WIOA Title I funding per the definition of recipient found at 29 CFR § 38.4(</w:t>
      </w:r>
      <w:proofErr w:type="spellStart"/>
      <w:r w:rsidRPr="007531CA">
        <w:t>zz</w:t>
      </w:r>
      <w:proofErr w:type="spellEnd"/>
      <w:r w:rsidRPr="007531CA">
        <w:t>), programs or activities that are part of the One-Stop delivery system and that are operated by One-Stop partners as part of the One-Stop delivery system, and the employment practices of a recipient and/or One-Stop partner.  Per the definition of recipient, WIOA § 188 requirements apply to TWC’s unemployment insurance and vocational rehabilitation programs. </w:t>
      </w:r>
    </w:p>
    <w:p w14:paraId="5FE26219" w14:textId="77777777" w:rsidR="007531CA" w:rsidRPr="007531CA" w:rsidRDefault="007531CA" w:rsidP="00117EB9">
      <w:pPr>
        <w:pStyle w:val="BodyText"/>
      </w:pPr>
      <w:r w:rsidRPr="007531CA">
        <w:t>ADA Title II prohibits discrimination against qualified individuals with disabilities in all programs, activities, and services of state and local governments, which includes TWC.  The protection under ADA Title II for members of the public is separate from the protections under ADA Title I related to the employment relationship, which are handled at TWC by Human Resources and the Office of General Counsel. </w:t>
      </w:r>
    </w:p>
    <w:p w14:paraId="0ADA3C4B" w14:textId="77777777" w:rsidR="007531CA" w:rsidRPr="00AA2B5E" w:rsidRDefault="007531CA" w:rsidP="009A5DC1">
      <w:pPr>
        <w:pStyle w:val="BodyText3"/>
        <w:ind w:left="720" w:hanging="720"/>
      </w:pPr>
      <w:r w:rsidRPr="00AA2B5E">
        <w:t>F.</w:t>
      </w:r>
      <w:r w:rsidRPr="00AA2B5E">
        <w:tab/>
        <w:t xml:space="preserve">Describe how the division or program is administered, including a description of key processes involved. If you have existing documentation (e.g., flowcharts, timelines, and other illustrations) to describe agency policies and </w:t>
      </w:r>
      <w:r w:rsidRPr="00AA2B5E">
        <w:lastRenderedPageBreak/>
        <w:t>procedures, please include them as attachments. Indicate how field/regional services are used, if applicable. </w:t>
      </w:r>
    </w:p>
    <w:p w14:paraId="7147C03E" w14:textId="77777777" w:rsidR="007531CA" w:rsidRPr="007531CA" w:rsidRDefault="007531CA" w:rsidP="00117EB9">
      <w:pPr>
        <w:pStyle w:val="BodyText"/>
      </w:pPr>
      <w:r w:rsidRPr="007531CA">
        <w:t>The EO Compliance Department consists of the State EO Officer, who also serves as the Director of Policy &amp; Planning for FDCM, an EO Coordinator, and a Customer Engagement Specialist. </w:t>
      </w:r>
    </w:p>
    <w:p w14:paraId="68A6F0CC" w14:textId="77777777" w:rsidR="007531CA" w:rsidRPr="007531CA" w:rsidRDefault="007531CA" w:rsidP="00117EB9">
      <w:pPr>
        <w:pStyle w:val="BodyText"/>
      </w:pPr>
      <w:r w:rsidRPr="007531CA">
        <w:t>The duties of the State EO Officer are described in 29 CFR § 38.31 and generally include coordinating the responsibilities of the EOCD department and serving as the agency’s liaison with the Department of Labor’s Civil Rights Center. </w:t>
      </w:r>
    </w:p>
    <w:p w14:paraId="6770C010" w14:textId="77777777" w:rsidR="007531CA" w:rsidRPr="007531CA" w:rsidRDefault="007531CA" w:rsidP="00117EB9">
      <w:pPr>
        <w:pStyle w:val="BodyText"/>
      </w:pPr>
      <w:r w:rsidRPr="007531CA">
        <w:t>The EO Coordinator is responsible for coordinating and conducting the annual EO monitoring of each Workforce Board. Each of the 28 Local Workforce Development Boards undergoes one of the three monitoring assessments on an annual basis.  The monitoring assessments include an Onsite Evaluation, an EO Survey, and a Document Analysis.  The Boards are split into four groups with the monitoring audits aligning to a quarterly schedule.  Each Board will complete all three of the monitoring tools over a three-year period.  Each monitoring tool reviews the Boards compliance with physical and programmatic accessibility issues. </w:t>
      </w:r>
    </w:p>
    <w:p w14:paraId="6B850C9D" w14:textId="77777777" w:rsidR="007531CA" w:rsidRPr="007531CA" w:rsidRDefault="007531CA" w:rsidP="00117EB9">
      <w:pPr>
        <w:pStyle w:val="BodyText"/>
      </w:pPr>
      <w:r w:rsidRPr="007531CA">
        <w:t>Subrecipient Monitoring (SRM) assists with Board monitoring for EO issues by reviewing participant files to ensure required notices are given to applicants and participants.   A final report is issued after the conclusion of each Board monitoring and if deficiencies are discovered, a corrective action plan will be included.  The corrective action plan is developed in coordination with the Board and outlines a timeline for completion. </w:t>
      </w:r>
    </w:p>
    <w:p w14:paraId="6A41C4F7" w14:textId="77777777" w:rsidR="007531CA" w:rsidRPr="007531CA" w:rsidRDefault="007531CA" w:rsidP="00117EB9">
      <w:pPr>
        <w:pStyle w:val="BodyText"/>
      </w:pPr>
      <w:r w:rsidRPr="007531CA">
        <w:t>The EO Coordinator is also responsible for training new Board EO Officers, responding to Board EO inquiries, responding to EO hotline phone calls and EO complaint emails, communicating with people who have filed an EO complaint, and investigating EO complaints. </w:t>
      </w:r>
    </w:p>
    <w:p w14:paraId="782E2127" w14:textId="77777777" w:rsidR="007531CA" w:rsidRPr="007531CA" w:rsidRDefault="007531CA" w:rsidP="00117EB9">
      <w:pPr>
        <w:pStyle w:val="BodyText"/>
      </w:pPr>
      <w:r w:rsidRPr="007531CA">
        <w:t>In 2024, EOCD added a Customer Engagement Specialist to allow the department to better support Board and agency staff compliance with EO regulations with an emphasis on customer communication and engagement.  The Customer Engagement Specialist focuses on developing and enhancing department training resources to better support Board and agency staff. Also, the Customer Engagement Specialist maintains the EOCD’s SharePoint tools for Board EO Officers and serves as backup to the EO Coordinator. </w:t>
      </w:r>
    </w:p>
    <w:p w14:paraId="1CBAC4D0" w14:textId="77777777" w:rsidR="007531CA" w:rsidRPr="00AA2B5E" w:rsidRDefault="007531CA" w:rsidP="009A5DC1">
      <w:pPr>
        <w:pStyle w:val="BodyText3"/>
        <w:ind w:left="720" w:hanging="720"/>
      </w:pPr>
      <w:r w:rsidRPr="00AA2B5E">
        <w:t>G.</w:t>
      </w:r>
      <w:r w:rsidRPr="00AA2B5E">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p w14:paraId="7CA52931" w14:textId="34696CA4" w:rsidR="5D866D25" w:rsidRDefault="050B777E" w:rsidP="6D970F90">
      <w:pPr>
        <w:pStyle w:val="BodyText"/>
        <w:rPr>
          <w:rFonts w:eastAsia="MS Mincho" w:cs="Times New Roman"/>
          <w:i/>
          <w:iCs/>
          <w:sz w:val="20"/>
          <w:szCs w:val="20"/>
        </w:rPr>
      </w:pPr>
      <w:r w:rsidRPr="008978DC">
        <w:rPr>
          <w:rStyle w:val="BodyTextChar"/>
        </w:rPr>
        <w:lastRenderedPageBreak/>
        <w:t>Funding for our Equal Opportunity Compliance program is strategically allocated across multiple programs. This allows us to effectively address diverse facets of EEO compliance, including training, investigations, and policy development.</w:t>
      </w:r>
    </w:p>
    <w:p w14:paraId="2E2A8D5F" w14:textId="77777777" w:rsidR="007531CA" w:rsidRPr="00AA2B5E" w:rsidRDefault="007531CA" w:rsidP="009A5DC1">
      <w:pPr>
        <w:pStyle w:val="BodyText3"/>
        <w:ind w:left="720" w:hanging="720"/>
      </w:pPr>
      <w:r w:rsidRPr="00AA2B5E">
        <w:t>H.</w:t>
      </w:r>
      <w:r w:rsidRPr="00AA2B5E">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317E356D" w14:textId="4F0D87A1" w:rsidR="007531CA" w:rsidRPr="007531CA" w:rsidRDefault="007531CA" w:rsidP="002032F3">
      <w:pPr>
        <w:pStyle w:val="BodyText"/>
      </w:pPr>
      <w:r w:rsidRPr="007531CA">
        <w:t>EOCD, the Department of Labor's Civil Rights Center, and Local Workforce Development Boards share responsibilities for compliance with WIOA Section 188, which aims to ensure programs and activities are operated in a nondiscriminatory manner.</w:t>
      </w:r>
      <w:r>
        <w:t> </w:t>
      </w:r>
      <w:r w:rsidRPr="007531CA">
        <w:t xml:space="preserve"> DOL</w:t>
      </w:r>
      <w:r>
        <w:t xml:space="preserve"> </w:t>
      </w:r>
      <w:r w:rsidR="23B1EC7E">
        <w:t>Civil Rights Center</w:t>
      </w:r>
      <w:r w:rsidRPr="007531CA">
        <w:t xml:space="preserve"> oversees compliance of state agencies, including TWC, that receive federal funding through DOL, TWC monitors the Board’s compliance, while the Boards monitor compliance at the local level. Complainants have the option of filing complaints directly with DOL </w:t>
      </w:r>
      <w:r w:rsidR="44ED6128">
        <w:t>Civil Rights Center</w:t>
      </w:r>
      <w:r>
        <w:t>. </w:t>
      </w:r>
      <w:r w:rsidRPr="007531CA">
        <w:t xml:space="preserve"> Complaints filed with TWC or the Boards alleging discrimination in programs or activities will be referred to the appropriate entity for review. </w:t>
      </w:r>
    </w:p>
    <w:p w14:paraId="51D46E1D" w14:textId="77777777" w:rsidR="007531CA" w:rsidRPr="007531CA" w:rsidRDefault="007531CA" w:rsidP="002032F3">
      <w:pPr>
        <w:pStyle w:val="BodyText"/>
      </w:pPr>
      <w:r w:rsidRPr="007531CA">
        <w:t xml:space="preserve">The state’s Nondiscrimination Plan outlines the division of duties between TWC and the Boards.  For instance, TWC handles complaints against the agency, while the local boards handle concerns against their local programs. TWC’s guidance documents, such as policy memos and compliance checklists, further address specifics of these duties, and EOCD provides training materials to assist.  These training materials include, but are not limited to, new EO Officer training, EO Officer role and responsibilities, complaint processing procedures, and language access requirements. These materials and training outline who is responsible for complaints as they may relate to TWC or Board programs and activities.  Further, TWC and Board EO staff communicate and work together, often communicating throughout an investigation to ensure a smooth process, and to ensure that complaints are handled at the appropriate level.  EOCD offers technical assistance and support to Board EO staff </w:t>
      </w:r>
      <w:proofErr w:type="gramStart"/>
      <w:r w:rsidRPr="007531CA">
        <w:t>and also</w:t>
      </w:r>
      <w:proofErr w:type="gramEnd"/>
      <w:r w:rsidRPr="007531CA">
        <w:t xml:space="preserve"> partners with the Quality Assurance Network to present at an annual civil rights training that is available for all Board EO staff to attend. </w:t>
      </w:r>
    </w:p>
    <w:p w14:paraId="5D912E5E" w14:textId="77777777" w:rsidR="007531CA" w:rsidRPr="00AA2B5E" w:rsidRDefault="007531CA" w:rsidP="009A5DC1">
      <w:pPr>
        <w:pStyle w:val="BodyText3"/>
        <w:ind w:left="720" w:hanging="720"/>
      </w:pPr>
      <w:r w:rsidRPr="00AA2B5E">
        <w:t>I.</w:t>
      </w:r>
      <w:r w:rsidRPr="00AA2B5E">
        <w:tab/>
        <w:t>If the division or program works with local, regional, or federal units of government, include a brief description of these entities and their relationship to the agency. </w:t>
      </w:r>
    </w:p>
    <w:p w14:paraId="25ACB234" w14:textId="77777777" w:rsidR="007531CA" w:rsidRPr="007531CA" w:rsidRDefault="007531CA" w:rsidP="002032F3">
      <w:pPr>
        <w:pStyle w:val="BodyText"/>
      </w:pPr>
      <w:r w:rsidRPr="007531CA">
        <w:t>Refer to Section H above. </w:t>
      </w:r>
    </w:p>
    <w:p w14:paraId="6D3D3780" w14:textId="77777777" w:rsidR="007531CA" w:rsidRPr="00AA2B5E" w:rsidRDefault="007531CA" w:rsidP="009A5DC1">
      <w:pPr>
        <w:pStyle w:val="BodyText3"/>
        <w:ind w:left="720" w:hanging="720"/>
      </w:pPr>
      <w:r w:rsidRPr="00AA2B5E">
        <w:t>J.</w:t>
      </w:r>
      <w:r w:rsidRPr="00AA2B5E">
        <w:tab/>
        <w:t>Are there any barriers or challenges that impede the division or program’s performance, including any outdated or ineffective state laws? Explain. </w:t>
      </w:r>
    </w:p>
    <w:p w14:paraId="608715B2" w14:textId="1BADADE4" w:rsidR="007531CA" w:rsidRPr="007531CA" w:rsidRDefault="007531CA" w:rsidP="002032F3">
      <w:pPr>
        <w:pStyle w:val="BodyText"/>
      </w:pPr>
      <w:r w:rsidRPr="007531CA">
        <w:t xml:space="preserve">With the most recent change in federal executive authority, </w:t>
      </w:r>
      <w:r w:rsidR="00050170">
        <w:t>USDOL</w:t>
      </w:r>
      <w:r w:rsidRPr="007531CA">
        <w:t xml:space="preserve"> has removed some guidance documents.  EOCD anticipates that USDOL will issue updated guidance.  However, there are challenges reconciling recent executive orders with existing EO regulations in the absence of guidance from USDOL. </w:t>
      </w:r>
    </w:p>
    <w:p w14:paraId="39583298" w14:textId="77777777" w:rsidR="007531CA" w:rsidRPr="00AA2B5E" w:rsidRDefault="007531CA" w:rsidP="009A5DC1">
      <w:pPr>
        <w:pStyle w:val="BodyText3"/>
        <w:ind w:left="720" w:hanging="720"/>
      </w:pPr>
      <w:r w:rsidRPr="00AA2B5E">
        <w:lastRenderedPageBreak/>
        <w:t>K.</w:t>
      </w:r>
      <w:r w:rsidRPr="00AA2B5E">
        <w:tab/>
        <w:t>Provide any additional information needed to gain a preliminary understanding of the division or program. </w:t>
      </w:r>
    </w:p>
    <w:p w14:paraId="0799BE66" w14:textId="70F4C217" w:rsidR="007531CA" w:rsidRPr="007531CA" w:rsidRDefault="007531CA" w:rsidP="002032F3">
      <w:pPr>
        <w:pStyle w:val="BodyText"/>
      </w:pPr>
      <w:r w:rsidRPr="007531CA">
        <w:t>In June 2024, TWC Internal Audit completed a review of agency monitoring programs (Project No. 2023-003-30).</w:t>
      </w:r>
      <w:r>
        <w:t> </w:t>
      </w:r>
      <w:r w:rsidRPr="007531CA">
        <w:t xml:space="preserve"> The objective of the audit was to determine if the results of monitoring activities were properly addressed by agency management.</w:t>
      </w:r>
      <w:r>
        <w:t> </w:t>
      </w:r>
      <w:r w:rsidRPr="007531CA">
        <w:t xml:space="preserve"> The audit included a review of EOCD monitoring procedures related to Board compliance.</w:t>
      </w:r>
      <w:r>
        <w:t> </w:t>
      </w:r>
      <w:r w:rsidRPr="007531CA">
        <w:t xml:space="preserve"> The audit found that some Corrective Action Plan documents failed to capture the date of the </w:t>
      </w:r>
      <w:r>
        <w:t>C</w:t>
      </w:r>
      <w:r w:rsidR="4BD21532">
        <w:t xml:space="preserve">orrective </w:t>
      </w:r>
      <w:r>
        <w:t>A</w:t>
      </w:r>
      <w:r w:rsidR="7E7647C2">
        <w:t xml:space="preserve">ction </w:t>
      </w:r>
      <w:r>
        <w:t>P</w:t>
      </w:r>
      <w:r w:rsidR="506C1770">
        <w:t>lan</w:t>
      </w:r>
      <w:r>
        <w:t>. </w:t>
      </w:r>
      <w:r w:rsidRPr="007531CA">
        <w:t xml:space="preserve"> The audit also found that EOCD’s tools did not allow for effective tracking of corrective actions.</w:t>
      </w:r>
      <w:r>
        <w:t> </w:t>
      </w:r>
      <w:r w:rsidRPr="007531CA">
        <w:t xml:space="preserve"> EOCD updated monitoring procedures to ensure the final </w:t>
      </w:r>
      <w:r>
        <w:t>C</w:t>
      </w:r>
      <w:r w:rsidR="50AEA808">
        <w:t xml:space="preserve">orrective </w:t>
      </w:r>
      <w:r>
        <w:t>A</w:t>
      </w:r>
      <w:r w:rsidR="0170E4D9">
        <w:t xml:space="preserve">ction </w:t>
      </w:r>
      <w:r>
        <w:t>P</w:t>
      </w:r>
      <w:r w:rsidR="0A33D83F">
        <w:t>lan</w:t>
      </w:r>
      <w:r w:rsidRPr="007531CA">
        <w:t xml:space="preserve"> document was correctly identified and dated.</w:t>
      </w:r>
      <w:r>
        <w:t> </w:t>
      </w:r>
      <w:r w:rsidRPr="007531CA">
        <w:t xml:space="preserve"> Procedures were also modified to ensure routine follow up on corrective actions.</w:t>
      </w:r>
      <w:r>
        <w:t> </w:t>
      </w:r>
      <w:r w:rsidRPr="007531CA">
        <w:t xml:space="preserve"> Additionally, preliminary work has been completed on an application to better track progress and closure of corrective actions. </w:t>
      </w:r>
    </w:p>
    <w:p w14:paraId="302A05FA" w14:textId="77777777" w:rsidR="007531CA" w:rsidRPr="00AA2B5E" w:rsidRDefault="007531CA" w:rsidP="009A5DC1">
      <w:pPr>
        <w:pStyle w:val="BodyText3"/>
        <w:ind w:left="720" w:hanging="720"/>
      </w:pPr>
      <w:r w:rsidRPr="00AA2B5E">
        <w:t>L.</w:t>
      </w:r>
      <w:r w:rsidRPr="00AA2B5E">
        <w:tab/>
        <w:t>Regulatory programs relate to the licensing, registration, certification, or permitting of a person, business, piece of equipment, or other entity (e.g., a facility). For each regulatory program, if applicable, describe: </w:t>
      </w:r>
    </w:p>
    <w:p w14:paraId="505E4EA2" w14:textId="77777777" w:rsidR="007531CA" w:rsidRPr="007531CA" w:rsidRDefault="007531CA" w:rsidP="002032F3">
      <w:pPr>
        <w:pStyle w:val="BodyText"/>
      </w:pPr>
      <w:r w:rsidRPr="007531CA">
        <w:t>N/A </w:t>
      </w:r>
    </w:p>
    <w:p w14:paraId="4CFB6D06" w14:textId="77777777" w:rsidR="007531CA" w:rsidRPr="00AA2B5E" w:rsidRDefault="007531CA" w:rsidP="009A5DC1">
      <w:pPr>
        <w:pStyle w:val="BodyText3"/>
        <w:ind w:left="720" w:hanging="720"/>
      </w:pPr>
      <w:r w:rsidRPr="00AA2B5E">
        <w:t>M.</w:t>
      </w:r>
      <w:r w:rsidRPr="00AA2B5E">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1038A128" w14:textId="77777777" w:rsidR="00422F8E" w:rsidRDefault="007531CA" w:rsidP="001E7700">
      <w:pPr>
        <w:pStyle w:val="BodyText"/>
      </w:pPr>
      <w:r w:rsidRPr="007531CA">
        <w:t>N/A</w:t>
      </w:r>
    </w:p>
    <w:p w14:paraId="05D7EE2B" w14:textId="678B2557" w:rsidR="00AA2B5E" w:rsidRDefault="00AA2B5E" w:rsidP="001E7700">
      <w:pPr>
        <w:pStyle w:val="BodyText"/>
        <w:rPr>
          <w:b/>
          <w:sz w:val="20"/>
          <w:szCs w:val="20"/>
        </w:rPr>
      </w:pPr>
    </w:p>
    <w:p w14:paraId="655A9AB1" w14:textId="77777777" w:rsidR="005750CF" w:rsidRPr="005750CF" w:rsidRDefault="005750CF" w:rsidP="002032F3">
      <w:pPr>
        <w:pStyle w:val="BodyText3"/>
        <w:rPr>
          <w:b w:val="0"/>
        </w:rPr>
      </w:pPr>
      <w:r w:rsidRPr="005750CF">
        <w:t>Subrecipient Monitoring</w:t>
      </w:r>
      <w:r w:rsidRPr="005750CF">
        <w:rPr>
          <w:b w:val="0"/>
        </w:rPr>
        <w:t> </w:t>
      </w:r>
    </w:p>
    <w:p w14:paraId="3118825C" w14:textId="77777777" w:rsidR="005750CF" w:rsidRPr="005750CF" w:rsidRDefault="005750CF" w:rsidP="005750CF">
      <w:pPr>
        <w:pStyle w:val="BodyText3"/>
      </w:pPr>
      <w:r w:rsidRPr="005750CF">
        <w:t>A.</w:t>
      </w:r>
      <w:r w:rsidRPr="005750CF">
        <w:tab/>
        <w:t>Provide the following information at the beginning of each description. </w:t>
      </w:r>
    </w:p>
    <w:p w14:paraId="144DD373" w14:textId="77777777" w:rsidR="005750CF" w:rsidRPr="005750CF" w:rsidRDefault="005750CF" w:rsidP="00C64851">
      <w:pPr>
        <w:pStyle w:val="BodyText"/>
        <w:numPr>
          <w:ilvl w:val="0"/>
          <w:numId w:val="187"/>
        </w:numPr>
        <w:spacing w:before="120" w:after="120"/>
      </w:pPr>
      <w:r w:rsidRPr="005750CF">
        <w:t>Name of division or program: Subrecipient Monitoring </w:t>
      </w:r>
    </w:p>
    <w:p w14:paraId="08B595F5" w14:textId="77777777" w:rsidR="005750CF" w:rsidRPr="005750CF" w:rsidRDefault="005750CF" w:rsidP="00C64851">
      <w:pPr>
        <w:pStyle w:val="BodyText"/>
        <w:numPr>
          <w:ilvl w:val="0"/>
          <w:numId w:val="187"/>
        </w:numPr>
        <w:spacing w:before="120" w:after="120"/>
      </w:pPr>
      <w:r w:rsidRPr="005750CF">
        <w:t>Location within the agency: Fraud Deterrence and Compliance Monitoring </w:t>
      </w:r>
    </w:p>
    <w:p w14:paraId="3C7B37E0" w14:textId="77777777" w:rsidR="00935508" w:rsidRDefault="005750CF" w:rsidP="00935508">
      <w:pPr>
        <w:pStyle w:val="BodyText"/>
        <w:numPr>
          <w:ilvl w:val="0"/>
          <w:numId w:val="187"/>
        </w:numPr>
        <w:spacing w:before="120" w:after="120"/>
      </w:pPr>
      <w:r w:rsidRPr="005750CF">
        <w:t>Contact name: Mary Millan </w:t>
      </w:r>
    </w:p>
    <w:p w14:paraId="5CB157B4" w14:textId="7A75290F" w:rsidR="00935508" w:rsidRDefault="005750CF" w:rsidP="00935508">
      <w:pPr>
        <w:pStyle w:val="BodyText"/>
        <w:numPr>
          <w:ilvl w:val="0"/>
          <w:numId w:val="187"/>
        </w:numPr>
        <w:spacing w:before="120" w:after="120"/>
      </w:pPr>
      <w:r w:rsidRPr="005750CF">
        <w:t>Statutory citation:</w:t>
      </w:r>
      <w:r w:rsidR="00935508">
        <w:t xml:space="preserve"> </w:t>
      </w:r>
      <w:r w:rsidRPr="005750CF">
        <w:t>Texas Administrative Code</w:t>
      </w:r>
      <w:r w:rsidR="00935508">
        <w:t xml:space="preserve">, </w:t>
      </w:r>
      <w:r w:rsidRPr="005750CF">
        <w:t xml:space="preserve">Sections 802.61-802.64 </w:t>
      </w:r>
    </w:p>
    <w:p w14:paraId="357DB20F" w14:textId="5E1B69A9" w:rsidR="005750CF" w:rsidRPr="00935508" w:rsidRDefault="005750CF" w:rsidP="00935508">
      <w:pPr>
        <w:pStyle w:val="BodyText"/>
        <w:spacing w:before="120" w:after="120"/>
        <w:rPr>
          <w:b/>
          <w:bCs/>
        </w:rPr>
      </w:pPr>
      <w:r w:rsidRPr="00935508">
        <w:rPr>
          <w:b/>
          <w:bCs/>
        </w:rPr>
        <w:lastRenderedPageBreak/>
        <w:t>B.</w:t>
      </w:r>
      <w:r w:rsidRPr="00935508">
        <w:rPr>
          <w:b/>
          <w:bCs/>
        </w:rPr>
        <w:tab/>
        <w:t>What is the objective of this division or program? Describe its major activities. </w:t>
      </w:r>
    </w:p>
    <w:p w14:paraId="3224C34A" w14:textId="77777777" w:rsidR="005750CF" w:rsidRPr="005750CF" w:rsidRDefault="005750CF" w:rsidP="002032F3">
      <w:pPr>
        <w:pStyle w:val="BodyText"/>
      </w:pPr>
      <w:r w:rsidRPr="005750CF">
        <w:t>The Subrecipient Monitoring Department (SRM) reviews the financial and programmatic operations of Boards, their Subrecipient Service Providers and other Grantees. Site visits, desk reviews, and testing procedures are performed to ensure programs are administered according to grant requirements, funds are spent for authorized purposes, and reliable information is reported to decision makers. </w:t>
      </w:r>
    </w:p>
    <w:p w14:paraId="4764BF8E" w14:textId="3BDADC58" w:rsidR="005750CF" w:rsidRPr="005750CF" w:rsidRDefault="00095635" w:rsidP="002032F3">
      <w:pPr>
        <w:pStyle w:val="BodyText"/>
      </w:pPr>
      <w:r>
        <w:t>SRM</w:t>
      </w:r>
      <w:r w:rsidR="005750CF" w:rsidRPr="005750CF">
        <w:t>’s mission is to ensure that organizations receiving federal and state funds from TWC (known as subrecipients) comply with all applicable laws, regulations, and TWC policies in their use of those funds. Our primary responsibility is to provide monitoring reviews of Boards, Subrecipients and other Grantees, and their use of over $850 million in federal and state funds administered by TWC for workforce development activities and subsidized childcare services. </w:t>
      </w:r>
    </w:p>
    <w:p w14:paraId="7F1583F9" w14:textId="77777777" w:rsidR="005750CF" w:rsidRPr="005750CF" w:rsidRDefault="005750CF" w:rsidP="002032F3">
      <w:pPr>
        <w:pStyle w:val="BodyText"/>
      </w:pPr>
      <w:r w:rsidRPr="005750CF">
        <w:t>A detailed breakdown of the mission is:  </w:t>
      </w:r>
    </w:p>
    <w:p w14:paraId="7774DC0B" w14:textId="77777777" w:rsidR="005750CF" w:rsidRPr="005750CF" w:rsidRDefault="005750CF" w:rsidP="00C64851">
      <w:pPr>
        <w:pStyle w:val="BodyText"/>
        <w:numPr>
          <w:ilvl w:val="0"/>
          <w:numId w:val="188"/>
        </w:numPr>
      </w:pPr>
      <w:r w:rsidRPr="00144CA2">
        <w:rPr>
          <w:b/>
          <w:bCs/>
        </w:rPr>
        <w:t>Ensuring Compliance:</w:t>
      </w:r>
      <w:r w:rsidRPr="005750CF">
        <w:t xml:space="preserve"> The core mission is to verify that subrecipients adhere to the terms and conditions of their grants or contracts. This includes compliance with:  </w:t>
      </w:r>
    </w:p>
    <w:p w14:paraId="592A841C" w14:textId="77777777" w:rsidR="005750CF" w:rsidRPr="005750CF" w:rsidRDefault="005750CF" w:rsidP="00C64851">
      <w:pPr>
        <w:pStyle w:val="BodyText"/>
        <w:numPr>
          <w:ilvl w:val="1"/>
          <w:numId w:val="197"/>
        </w:numPr>
      </w:pPr>
      <w:r w:rsidRPr="005750CF">
        <w:t>Federal and state laws and regulations.  </w:t>
      </w:r>
    </w:p>
    <w:p w14:paraId="4F1B1896" w14:textId="77777777" w:rsidR="005750CF" w:rsidRPr="005750CF" w:rsidRDefault="005750CF" w:rsidP="00C64851">
      <w:pPr>
        <w:pStyle w:val="BodyText"/>
        <w:numPr>
          <w:ilvl w:val="1"/>
          <w:numId w:val="197"/>
        </w:numPr>
      </w:pPr>
      <w:r w:rsidRPr="005750CF">
        <w:t>TWC policies and procedures.  </w:t>
      </w:r>
    </w:p>
    <w:p w14:paraId="5D8B1A57" w14:textId="77777777" w:rsidR="005750CF" w:rsidRPr="005750CF" w:rsidRDefault="005750CF" w:rsidP="00C64851">
      <w:pPr>
        <w:pStyle w:val="BodyText"/>
        <w:numPr>
          <w:ilvl w:val="1"/>
          <w:numId w:val="197"/>
        </w:numPr>
      </w:pPr>
      <w:r w:rsidRPr="005750CF">
        <w:t>Specific grant/contract requirements (e.g., eligible activities, allowable costs, reporting requirements).  </w:t>
      </w:r>
    </w:p>
    <w:p w14:paraId="3C7E725E" w14:textId="77777777" w:rsidR="005750CF" w:rsidRPr="005750CF" w:rsidRDefault="005750CF" w:rsidP="00C64851">
      <w:pPr>
        <w:pStyle w:val="BodyText"/>
        <w:numPr>
          <w:ilvl w:val="0"/>
          <w:numId w:val="188"/>
        </w:numPr>
      </w:pPr>
      <w:r w:rsidRPr="00144CA2">
        <w:rPr>
          <w:b/>
          <w:bCs/>
        </w:rPr>
        <w:t>Safeguarding Public Funds:</w:t>
      </w:r>
      <w:r w:rsidRPr="005750CF">
        <w:t xml:space="preserve"> A key objective is to protect taxpayer dollars and other public resources from misuse, fraud, waste, and abuse.  </w:t>
      </w:r>
    </w:p>
    <w:p w14:paraId="59F6562A" w14:textId="77777777" w:rsidR="005750CF" w:rsidRPr="00144CA2" w:rsidRDefault="005750CF" w:rsidP="00C64851">
      <w:pPr>
        <w:pStyle w:val="BodyText"/>
        <w:numPr>
          <w:ilvl w:val="0"/>
          <w:numId w:val="188"/>
        </w:numPr>
      </w:pPr>
      <w:r w:rsidRPr="00144CA2">
        <w:rPr>
          <w:b/>
          <w:bCs/>
        </w:rPr>
        <w:t>Promoting Program Integrity:</w:t>
      </w:r>
      <w:r w:rsidRPr="00144CA2">
        <w:t xml:space="preserve"> Subrecipient Monitoring helps to maintain the integrity of TWC programs by ensuring that subrecipients are operating their programs in a responsible and effective manner.  </w:t>
      </w:r>
    </w:p>
    <w:p w14:paraId="5A54772D" w14:textId="77777777" w:rsidR="005750CF" w:rsidRPr="005750CF" w:rsidRDefault="005750CF" w:rsidP="00C64851">
      <w:pPr>
        <w:pStyle w:val="BodyText"/>
        <w:numPr>
          <w:ilvl w:val="0"/>
          <w:numId w:val="188"/>
        </w:numPr>
      </w:pPr>
      <w:r w:rsidRPr="00144CA2">
        <w:rPr>
          <w:b/>
          <w:bCs/>
        </w:rPr>
        <w:t>Providing Technical Assistance:</w:t>
      </w:r>
      <w:r w:rsidRPr="005750CF">
        <w:t xml:space="preserve"> In addition to monitoring for compliance, Subrecipient Monitoring also involves providing monitoring technical assistance and support to subrecipients to help them understand and meet their obligations.  </w:t>
      </w:r>
    </w:p>
    <w:p w14:paraId="756CE517" w14:textId="77777777" w:rsidR="005750CF" w:rsidRPr="00144CA2" w:rsidRDefault="005750CF" w:rsidP="00C64851">
      <w:pPr>
        <w:pStyle w:val="BodyText"/>
        <w:numPr>
          <w:ilvl w:val="0"/>
          <w:numId w:val="188"/>
        </w:numPr>
      </w:pPr>
      <w:r w:rsidRPr="000859D2">
        <w:rPr>
          <w:b/>
          <w:bCs/>
        </w:rPr>
        <w:t>Taking Corrective Action:</w:t>
      </w:r>
      <w:r w:rsidRPr="00144CA2">
        <w:t xml:space="preserve"> When non-compliance is identified, Subrecipient Monitoring is responsible for taking appropriate corrective action, which may include:  </w:t>
      </w:r>
    </w:p>
    <w:p w14:paraId="6D9DAB33" w14:textId="77777777" w:rsidR="005750CF" w:rsidRPr="005750CF" w:rsidRDefault="005750CF" w:rsidP="00C64851">
      <w:pPr>
        <w:pStyle w:val="BodyText"/>
        <w:numPr>
          <w:ilvl w:val="1"/>
          <w:numId w:val="198"/>
        </w:numPr>
      </w:pPr>
      <w:r w:rsidRPr="005750CF">
        <w:t>Developing and implementing corrective action plans.  </w:t>
      </w:r>
    </w:p>
    <w:p w14:paraId="54BDA981" w14:textId="77777777" w:rsidR="005750CF" w:rsidRPr="005750CF" w:rsidRDefault="005750CF" w:rsidP="00C64851">
      <w:pPr>
        <w:pStyle w:val="BodyText"/>
        <w:numPr>
          <w:ilvl w:val="1"/>
          <w:numId w:val="198"/>
        </w:numPr>
      </w:pPr>
      <w:r w:rsidRPr="005750CF">
        <w:t>Requiring repayment of misused funds.  </w:t>
      </w:r>
    </w:p>
    <w:p w14:paraId="0B1C9BF3" w14:textId="77777777" w:rsidR="005750CF" w:rsidRPr="005750CF" w:rsidRDefault="005750CF" w:rsidP="00C64851">
      <w:pPr>
        <w:pStyle w:val="BodyText"/>
        <w:numPr>
          <w:ilvl w:val="1"/>
          <w:numId w:val="198"/>
        </w:numPr>
      </w:pPr>
      <w:r w:rsidRPr="005750CF">
        <w:lastRenderedPageBreak/>
        <w:t>Recommending sanctions or penalties.  </w:t>
      </w:r>
    </w:p>
    <w:p w14:paraId="639763D6" w14:textId="77777777" w:rsidR="005750CF" w:rsidRPr="005750CF" w:rsidRDefault="005750CF" w:rsidP="00C64851">
      <w:pPr>
        <w:pStyle w:val="BodyText"/>
        <w:numPr>
          <w:ilvl w:val="1"/>
          <w:numId w:val="198"/>
        </w:numPr>
      </w:pPr>
      <w:r w:rsidRPr="005750CF">
        <w:t>Recommending termination of grants or contracts.  </w:t>
      </w:r>
    </w:p>
    <w:p w14:paraId="41DDE92D" w14:textId="77777777" w:rsidR="005750CF" w:rsidRPr="005750CF" w:rsidRDefault="005750CF" w:rsidP="00C64851">
      <w:pPr>
        <w:pStyle w:val="BodyText"/>
        <w:numPr>
          <w:ilvl w:val="0"/>
          <w:numId w:val="188"/>
        </w:numPr>
      </w:pPr>
      <w:r w:rsidRPr="000859D2">
        <w:rPr>
          <w:b/>
          <w:bCs/>
        </w:rPr>
        <w:t>Reducing fraud:</w:t>
      </w:r>
      <w:r w:rsidRPr="005750CF">
        <w:t xml:space="preserve"> By performing due diligence, subrecipient monitoring is designed to prevent or detect fraudulent actions.  </w:t>
      </w:r>
    </w:p>
    <w:p w14:paraId="7947346B" w14:textId="4D573F74" w:rsidR="005750CF" w:rsidRPr="005750CF" w:rsidRDefault="005750CF" w:rsidP="00144CA2">
      <w:pPr>
        <w:pStyle w:val="BodyText"/>
      </w:pPr>
      <w:r w:rsidRPr="005750CF">
        <w:t>The department also performs a variety of other functions related to and in support of the monitoring function.</w:t>
      </w:r>
    </w:p>
    <w:p w14:paraId="3BB2DB3E" w14:textId="77777777" w:rsidR="005750CF" w:rsidRPr="005750CF" w:rsidRDefault="005750CF" w:rsidP="00C64851">
      <w:pPr>
        <w:pStyle w:val="BodyText"/>
        <w:numPr>
          <w:ilvl w:val="0"/>
          <w:numId w:val="189"/>
        </w:numPr>
      </w:pPr>
      <w:r w:rsidRPr="005750CF">
        <w:t>Conduct special reviews due to inquiries and complaints, as necessary. </w:t>
      </w:r>
    </w:p>
    <w:p w14:paraId="5791A26D" w14:textId="77777777" w:rsidR="005750CF" w:rsidRPr="005750CF" w:rsidRDefault="005750CF" w:rsidP="00C64851">
      <w:pPr>
        <w:pStyle w:val="BodyText"/>
        <w:numPr>
          <w:ilvl w:val="0"/>
          <w:numId w:val="189"/>
        </w:numPr>
      </w:pPr>
      <w:r w:rsidRPr="005750CF">
        <w:t>Conduct federally required data validation reviews annually for Workforce Innovations and Opportunities Act (WIOA), Adult Education and Learning (AEL), and Senior Community Services Employment Program (SCSEP). </w:t>
      </w:r>
    </w:p>
    <w:p w14:paraId="091125B0" w14:textId="77777777" w:rsidR="005750CF" w:rsidRPr="005750CF" w:rsidRDefault="005750CF" w:rsidP="00C64851">
      <w:pPr>
        <w:pStyle w:val="BodyText"/>
        <w:numPr>
          <w:ilvl w:val="0"/>
          <w:numId w:val="189"/>
        </w:numPr>
      </w:pPr>
      <w:r w:rsidRPr="005750CF">
        <w:t>Conduct federally required Child Care Improper Payment (CCIP) testing once every three years. </w:t>
      </w:r>
    </w:p>
    <w:p w14:paraId="71DF8E9A" w14:textId="77777777" w:rsidR="005750CF" w:rsidRPr="005750CF" w:rsidRDefault="005750CF" w:rsidP="00C64851">
      <w:pPr>
        <w:pStyle w:val="BodyText"/>
        <w:numPr>
          <w:ilvl w:val="0"/>
          <w:numId w:val="189"/>
        </w:numPr>
      </w:pPr>
      <w:r w:rsidRPr="005750CF">
        <w:t>Provide Monitoring Technical Assistance to Boards, Grantees, other State agencies, and agencies of other States upon request. </w:t>
      </w:r>
    </w:p>
    <w:p w14:paraId="286E9698" w14:textId="77777777" w:rsidR="005750CF" w:rsidRPr="005750CF" w:rsidRDefault="005750CF" w:rsidP="00C64851">
      <w:pPr>
        <w:pStyle w:val="BodyText"/>
        <w:numPr>
          <w:ilvl w:val="0"/>
          <w:numId w:val="189"/>
        </w:numPr>
      </w:pPr>
      <w:r w:rsidRPr="005750CF">
        <w:t>Present at the Board Quality Assurance Network (QAN) meetings twice a year. </w:t>
      </w:r>
    </w:p>
    <w:p w14:paraId="35940762" w14:textId="77777777" w:rsidR="005750CF" w:rsidRPr="005750CF" w:rsidRDefault="005750CF" w:rsidP="00C64851">
      <w:pPr>
        <w:pStyle w:val="BodyText"/>
        <w:numPr>
          <w:ilvl w:val="0"/>
          <w:numId w:val="189"/>
        </w:numPr>
      </w:pPr>
      <w:r w:rsidRPr="005750CF">
        <w:t>Present at the Board Finance Directors Meetings quarterly. </w:t>
      </w:r>
    </w:p>
    <w:p w14:paraId="0AEBFCFE" w14:textId="77777777" w:rsidR="005750CF" w:rsidRPr="005750CF" w:rsidRDefault="005750CF" w:rsidP="00C64851">
      <w:pPr>
        <w:pStyle w:val="BodyText"/>
        <w:numPr>
          <w:ilvl w:val="0"/>
          <w:numId w:val="189"/>
        </w:numPr>
      </w:pPr>
      <w:r w:rsidRPr="005750CF">
        <w:t>Present at other conferences several times a year upon request. </w:t>
      </w:r>
    </w:p>
    <w:p w14:paraId="1A554D34" w14:textId="77777777" w:rsidR="005750CF" w:rsidRPr="005750CF" w:rsidRDefault="005750CF" w:rsidP="00C64851">
      <w:pPr>
        <w:pStyle w:val="BodyText"/>
        <w:numPr>
          <w:ilvl w:val="0"/>
          <w:numId w:val="189"/>
        </w:numPr>
      </w:pPr>
      <w:r w:rsidRPr="005750CF">
        <w:t>During COVID-19, and through at least FY 2025, SRM has coordinated with Child Care &amp; Early Learning Division staff to monitor on a risk basis, over $3 billion in Child Care Relief Funding (CCRF) provider payments to approximately 14,000 childcare providers throughout the State of Texas. </w:t>
      </w:r>
    </w:p>
    <w:p w14:paraId="557F8ED1" w14:textId="5643E758" w:rsidR="005750CF" w:rsidRPr="005750CF" w:rsidRDefault="005750CF" w:rsidP="00C64851">
      <w:pPr>
        <w:pStyle w:val="BodyText"/>
        <w:numPr>
          <w:ilvl w:val="0"/>
          <w:numId w:val="189"/>
        </w:numPr>
      </w:pPr>
      <w:r w:rsidRPr="005750CF">
        <w:t>Starting in FY 2020, SRM transitioned to an external SharePoint Library, maintained by SRM, so that all Boards, Subrecipients, and Grantees selected for monitoring could upload their Document Request Packet responses digitally.  </w:t>
      </w:r>
    </w:p>
    <w:p w14:paraId="1996DA58" w14:textId="77777777" w:rsidR="005750CF" w:rsidRPr="005750CF" w:rsidRDefault="005750CF" w:rsidP="00C64851">
      <w:pPr>
        <w:pStyle w:val="BodyText"/>
        <w:numPr>
          <w:ilvl w:val="0"/>
          <w:numId w:val="189"/>
        </w:numPr>
      </w:pPr>
      <w:r w:rsidRPr="005750CF">
        <w:t>Starting in FY 2022, TWC required the Boards to provide all Board and Subrecipient policies and procedures to SharePoint once a year in October, and then upon changes throughout the year. This allows all TWC staff to have access to them upon request and allows the Boards to only provide them once. SRM staff facilitate this process, and the files are part of the existing SRM External SharePoint Library.  </w:t>
      </w:r>
    </w:p>
    <w:p w14:paraId="4B432375" w14:textId="060F10D6" w:rsidR="005750CF" w:rsidRPr="005750CF" w:rsidRDefault="005750CF" w:rsidP="000859D2">
      <w:pPr>
        <w:pStyle w:val="BodyText"/>
      </w:pPr>
      <w:r w:rsidRPr="005750CF">
        <w:t>In addition, SRM works extensively with FDCM Business Support.</w:t>
      </w:r>
      <w:r w:rsidR="000D3AC6">
        <w:t xml:space="preserve"> This department provides extensive automation support</w:t>
      </w:r>
      <w:r w:rsidR="007237E5">
        <w:t>, maintains the FDCM Application</w:t>
      </w:r>
      <w:r w:rsidR="00AE74CA">
        <w:t xml:space="preserve"> and exception reports identifying risks to the Boards.</w:t>
      </w:r>
      <w:r w:rsidRPr="005750CF">
        <w:t>   </w:t>
      </w:r>
    </w:p>
    <w:p w14:paraId="3665670D" w14:textId="77777777" w:rsidR="005750CF" w:rsidRPr="000859D2" w:rsidRDefault="005750CF" w:rsidP="005E4C12">
      <w:pPr>
        <w:pStyle w:val="BodyText3"/>
        <w:ind w:left="720" w:hanging="720"/>
      </w:pPr>
      <w:r w:rsidRPr="000859D2">
        <w:lastRenderedPageBreak/>
        <w:t>C.</w:t>
      </w:r>
      <w:r w:rsidRPr="000859D2">
        <w:tab/>
        <w:t xml:space="preserve">What information does the agency collect/use to assess the effectiveness and efficiency of this division or program? If applicable, briefly note any LBB performance measures (from Section II, </w:t>
      </w:r>
      <w:proofErr w:type="gramStart"/>
      <w:r w:rsidRPr="000859D2">
        <w:t>Exhibit</w:t>
      </w:r>
      <w:proofErr w:type="gramEnd"/>
      <w:r w:rsidRPr="000859D2">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6B2F1D56" w14:textId="3FD21BC7" w:rsidR="005750CF" w:rsidRPr="005750CF" w:rsidRDefault="005750CF" w:rsidP="000859D2">
      <w:pPr>
        <w:pStyle w:val="BodyText"/>
      </w:pPr>
      <w:r w:rsidRPr="005750CF">
        <w:t>S</w:t>
      </w:r>
      <w:r w:rsidR="00FD3420">
        <w:t>RM</w:t>
      </w:r>
      <w:r w:rsidRPr="005750CF">
        <w:t xml:space="preserve"> developed Child Care exceptions reports (completed by FDCM Business Support) to help identify the high-risk areas in the TWC Child Care programs at all the Local Workforce Boards. The Child Care exceptions reports are a tool for the Boards to use to detect potential fraud. This has also resulted in the monitoring teams reducing the amount of time out in the field because the reports helped focus on critical areas of concern.   </w:t>
      </w:r>
    </w:p>
    <w:p w14:paraId="09854E41" w14:textId="77777777" w:rsidR="005750CF" w:rsidRPr="000859D2" w:rsidRDefault="005750CF" w:rsidP="000859D2">
      <w:pPr>
        <w:pStyle w:val="BodyText"/>
      </w:pPr>
      <w:r w:rsidRPr="005750CF">
        <w:t xml:space="preserve">SRM also developed a certification system for local monitoring functions to reduce duplication of work at the State and local levels. SRM continues to evaluate the local monitoring function to determine if the State can rely on the work performed by the local level monitors. Once SRM certifies the local monitoring function, SRM then relies on the local monitoring for the next two years. This system has helped in reducing the amount of </w:t>
      </w:r>
      <w:r w:rsidRPr="000859D2">
        <w:t>work performed by the State, while still maintaining the quality of monitoring work.  </w:t>
      </w:r>
    </w:p>
    <w:p w14:paraId="5A17B734" w14:textId="77777777" w:rsidR="005750CF" w:rsidRPr="005750CF" w:rsidRDefault="005750CF" w:rsidP="000859D2">
      <w:pPr>
        <w:pStyle w:val="BodyText"/>
      </w:pPr>
      <w:r w:rsidRPr="005750CF">
        <w:t>A Rapid Process Improvement (RPI) project was conducted in 2014, and a follow up project was conducted in 2017. Both rounds of RPI fine-tuned SRM to be more efficient and effective in conducting monitoring and reporting on the related findings. Over the last 10 years, SRM has shown consistent progress in the following areas:  </w:t>
      </w:r>
    </w:p>
    <w:p w14:paraId="5ADC2A71" w14:textId="77777777" w:rsidR="005750CF" w:rsidRPr="005750CF" w:rsidRDefault="005750CF" w:rsidP="00C64851">
      <w:pPr>
        <w:pStyle w:val="BodyText"/>
        <w:numPr>
          <w:ilvl w:val="0"/>
          <w:numId w:val="190"/>
        </w:numPr>
      </w:pPr>
      <w:r w:rsidRPr="005750CF">
        <w:t>Structured onboarding and training  </w:t>
      </w:r>
    </w:p>
    <w:p w14:paraId="4B55281D" w14:textId="77777777" w:rsidR="005750CF" w:rsidRPr="005750CF" w:rsidRDefault="005750CF" w:rsidP="00C64851">
      <w:pPr>
        <w:pStyle w:val="BodyText"/>
        <w:numPr>
          <w:ilvl w:val="0"/>
          <w:numId w:val="190"/>
        </w:numPr>
      </w:pPr>
      <w:r w:rsidRPr="005750CF">
        <w:t>Reduced turnover  </w:t>
      </w:r>
    </w:p>
    <w:p w14:paraId="1CF0AC11" w14:textId="77777777" w:rsidR="005750CF" w:rsidRPr="005750CF" w:rsidRDefault="005750CF" w:rsidP="00C64851">
      <w:pPr>
        <w:pStyle w:val="BodyText"/>
        <w:numPr>
          <w:ilvl w:val="0"/>
          <w:numId w:val="190"/>
        </w:numPr>
      </w:pPr>
      <w:r w:rsidRPr="005750CF">
        <w:t>Increased productivity  </w:t>
      </w:r>
    </w:p>
    <w:p w14:paraId="5805BF3F" w14:textId="77777777" w:rsidR="005750CF" w:rsidRPr="005750CF" w:rsidRDefault="005750CF" w:rsidP="00C64851">
      <w:pPr>
        <w:pStyle w:val="BodyText"/>
        <w:numPr>
          <w:ilvl w:val="0"/>
          <w:numId w:val="190"/>
        </w:numPr>
      </w:pPr>
      <w:r w:rsidRPr="005750CF">
        <w:t>Reduced bottlenecks  </w:t>
      </w:r>
    </w:p>
    <w:p w14:paraId="6F86C121" w14:textId="77777777" w:rsidR="005750CF" w:rsidRPr="005750CF" w:rsidRDefault="005750CF" w:rsidP="00C64851">
      <w:pPr>
        <w:pStyle w:val="BodyText"/>
        <w:numPr>
          <w:ilvl w:val="0"/>
          <w:numId w:val="190"/>
        </w:numPr>
      </w:pPr>
      <w:r w:rsidRPr="005750CF">
        <w:t>Increased throughput  </w:t>
      </w:r>
    </w:p>
    <w:p w14:paraId="1FAC08C0" w14:textId="77777777" w:rsidR="005750CF" w:rsidRPr="005750CF" w:rsidRDefault="005750CF" w:rsidP="00C64851">
      <w:pPr>
        <w:pStyle w:val="BodyText"/>
        <w:numPr>
          <w:ilvl w:val="0"/>
          <w:numId w:val="190"/>
        </w:numPr>
      </w:pPr>
      <w:r w:rsidRPr="005750CF">
        <w:t>Streamlined the reporting process  </w:t>
      </w:r>
    </w:p>
    <w:p w14:paraId="25D867AC" w14:textId="77777777" w:rsidR="005750CF" w:rsidRPr="005750CF" w:rsidRDefault="005750CF" w:rsidP="00C64851">
      <w:pPr>
        <w:pStyle w:val="BodyText"/>
        <w:numPr>
          <w:ilvl w:val="0"/>
          <w:numId w:val="190"/>
        </w:numPr>
      </w:pPr>
      <w:r w:rsidRPr="005750CF">
        <w:t>Improved timeliness of reports  </w:t>
      </w:r>
    </w:p>
    <w:p w14:paraId="7A0DF49E" w14:textId="77777777" w:rsidR="005750CF" w:rsidRPr="005750CF" w:rsidRDefault="005750CF" w:rsidP="00C64851">
      <w:pPr>
        <w:pStyle w:val="BodyText"/>
        <w:numPr>
          <w:ilvl w:val="0"/>
          <w:numId w:val="190"/>
        </w:numPr>
      </w:pPr>
      <w:r w:rsidRPr="005750CF">
        <w:t>Automated processes  </w:t>
      </w:r>
    </w:p>
    <w:p w14:paraId="046E4804" w14:textId="77777777" w:rsidR="005750CF" w:rsidRPr="005750CF" w:rsidRDefault="005750CF" w:rsidP="00C64851">
      <w:pPr>
        <w:pStyle w:val="BodyText"/>
        <w:numPr>
          <w:ilvl w:val="0"/>
          <w:numId w:val="190"/>
        </w:numPr>
      </w:pPr>
      <w:r w:rsidRPr="005750CF">
        <w:t>Switched to digital work papers and files  </w:t>
      </w:r>
    </w:p>
    <w:p w14:paraId="03653EA8" w14:textId="02218932" w:rsidR="005750CF" w:rsidRPr="005750CF" w:rsidRDefault="005750CF" w:rsidP="005750CF">
      <w:pPr>
        <w:pStyle w:val="BodyText"/>
      </w:pPr>
      <w:r w:rsidRPr="005750CF">
        <w:t>Every quarter, SRM completes a productivity report that is included with other departments in the division. This report shows consistent improvements in productivity since 2019 when SRM started the current reporting process.  </w:t>
      </w:r>
    </w:p>
    <w:tbl>
      <w:tblPr>
        <w:tblStyle w:val="TableGrid1"/>
        <w:tblW w:w="0" w:type="dxa"/>
        <w:tblCellMar>
          <w:top w:w="58" w:type="dxa"/>
          <w:bottom w:w="58" w:type="dxa"/>
        </w:tblCellMar>
        <w:tblLook w:val="04A0" w:firstRow="1" w:lastRow="0" w:firstColumn="1" w:lastColumn="0" w:noHBand="0" w:noVBand="1"/>
      </w:tblPr>
      <w:tblGrid>
        <w:gridCol w:w="1230"/>
        <w:gridCol w:w="855"/>
        <w:gridCol w:w="855"/>
        <w:gridCol w:w="930"/>
        <w:gridCol w:w="930"/>
        <w:gridCol w:w="930"/>
        <w:gridCol w:w="795"/>
        <w:gridCol w:w="1440"/>
        <w:gridCol w:w="1290"/>
      </w:tblGrid>
      <w:tr w:rsidR="000859D2" w:rsidRPr="005750CF" w14:paraId="020C0DD9" w14:textId="77777777" w:rsidTr="00E53717">
        <w:trPr>
          <w:trHeight w:val="1065"/>
          <w:tblHeader/>
        </w:trPr>
        <w:tc>
          <w:tcPr>
            <w:tcW w:w="1230" w:type="dxa"/>
            <w:shd w:val="clear" w:color="auto" w:fill="B8CCE4" w:themeFill="accent1" w:themeFillTint="66"/>
            <w:vAlign w:val="center"/>
            <w:hideMark/>
          </w:tcPr>
          <w:p w14:paraId="5E21738B" w14:textId="638CDE92" w:rsidR="005750CF" w:rsidRPr="005750CF" w:rsidRDefault="005750CF" w:rsidP="000859D2">
            <w:pPr>
              <w:pStyle w:val="TableHeaders"/>
              <w:rPr>
                <w:b w:val="0"/>
              </w:rPr>
            </w:pPr>
          </w:p>
        </w:tc>
        <w:tc>
          <w:tcPr>
            <w:tcW w:w="855" w:type="dxa"/>
            <w:shd w:val="clear" w:color="auto" w:fill="B8CCE4" w:themeFill="accent1" w:themeFillTint="66"/>
            <w:vAlign w:val="center"/>
            <w:hideMark/>
          </w:tcPr>
          <w:p w14:paraId="445A8465" w14:textId="2E43630D" w:rsidR="005750CF" w:rsidRPr="005750CF" w:rsidRDefault="005750CF" w:rsidP="000859D2">
            <w:pPr>
              <w:pStyle w:val="TableHeaders"/>
              <w:rPr>
                <w:b w:val="0"/>
              </w:rPr>
            </w:pPr>
            <w:r w:rsidRPr="005750CF">
              <w:t>FY19</w:t>
            </w:r>
          </w:p>
        </w:tc>
        <w:tc>
          <w:tcPr>
            <w:tcW w:w="855" w:type="dxa"/>
            <w:shd w:val="clear" w:color="auto" w:fill="B8CCE4" w:themeFill="accent1" w:themeFillTint="66"/>
            <w:vAlign w:val="center"/>
            <w:hideMark/>
          </w:tcPr>
          <w:p w14:paraId="5F95FBEB" w14:textId="6A3BC5A8" w:rsidR="005750CF" w:rsidRPr="005750CF" w:rsidRDefault="005750CF" w:rsidP="000859D2">
            <w:pPr>
              <w:pStyle w:val="TableHeaders"/>
              <w:rPr>
                <w:b w:val="0"/>
              </w:rPr>
            </w:pPr>
            <w:r w:rsidRPr="005750CF">
              <w:t>FY20</w:t>
            </w:r>
          </w:p>
        </w:tc>
        <w:tc>
          <w:tcPr>
            <w:tcW w:w="930" w:type="dxa"/>
            <w:shd w:val="clear" w:color="auto" w:fill="B8CCE4" w:themeFill="accent1" w:themeFillTint="66"/>
            <w:vAlign w:val="center"/>
            <w:hideMark/>
          </w:tcPr>
          <w:p w14:paraId="17EE4F6C" w14:textId="121AB95E" w:rsidR="005750CF" w:rsidRPr="005750CF" w:rsidRDefault="005750CF" w:rsidP="000859D2">
            <w:pPr>
              <w:pStyle w:val="TableHeaders"/>
              <w:rPr>
                <w:b w:val="0"/>
              </w:rPr>
            </w:pPr>
            <w:r w:rsidRPr="005750CF">
              <w:t>FY21</w:t>
            </w:r>
          </w:p>
        </w:tc>
        <w:tc>
          <w:tcPr>
            <w:tcW w:w="930" w:type="dxa"/>
            <w:shd w:val="clear" w:color="auto" w:fill="B8CCE4" w:themeFill="accent1" w:themeFillTint="66"/>
            <w:vAlign w:val="center"/>
            <w:hideMark/>
          </w:tcPr>
          <w:p w14:paraId="2C69AF0A" w14:textId="2645FDE0" w:rsidR="005750CF" w:rsidRPr="005750CF" w:rsidRDefault="005750CF" w:rsidP="000859D2">
            <w:pPr>
              <w:pStyle w:val="TableHeaders"/>
              <w:rPr>
                <w:b w:val="0"/>
              </w:rPr>
            </w:pPr>
            <w:r w:rsidRPr="005750CF">
              <w:t>FY22</w:t>
            </w:r>
          </w:p>
        </w:tc>
        <w:tc>
          <w:tcPr>
            <w:tcW w:w="930" w:type="dxa"/>
            <w:shd w:val="clear" w:color="auto" w:fill="B8CCE4" w:themeFill="accent1" w:themeFillTint="66"/>
            <w:vAlign w:val="center"/>
            <w:hideMark/>
          </w:tcPr>
          <w:p w14:paraId="6D6CCD13" w14:textId="66295317" w:rsidR="005750CF" w:rsidRPr="005750CF" w:rsidRDefault="005750CF" w:rsidP="000859D2">
            <w:pPr>
              <w:pStyle w:val="TableHeaders"/>
              <w:rPr>
                <w:b w:val="0"/>
              </w:rPr>
            </w:pPr>
            <w:r w:rsidRPr="005750CF">
              <w:t>FY23</w:t>
            </w:r>
          </w:p>
        </w:tc>
        <w:tc>
          <w:tcPr>
            <w:tcW w:w="795" w:type="dxa"/>
            <w:shd w:val="clear" w:color="auto" w:fill="B8CCE4" w:themeFill="accent1" w:themeFillTint="66"/>
            <w:vAlign w:val="center"/>
            <w:hideMark/>
          </w:tcPr>
          <w:p w14:paraId="020445D2" w14:textId="5A657597" w:rsidR="005750CF" w:rsidRPr="005750CF" w:rsidRDefault="005750CF" w:rsidP="000859D2">
            <w:pPr>
              <w:pStyle w:val="TableHeaders"/>
              <w:rPr>
                <w:b w:val="0"/>
              </w:rPr>
            </w:pPr>
            <w:r w:rsidRPr="005750CF">
              <w:t>FY24</w:t>
            </w:r>
          </w:p>
        </w:tc>
        <w:tc>
          <w:tcPr>
            <w:tcW w:w="1440" w:type="dxa"/>
            <w:shd w:val="clear" w:color="auto" w:fill="B8CCE4" w:themeFill="accent1" w:themeFillTint="66"/>
            <w:vAlign w:val="center"/>
            <w:hideMark/>
          </w:tcPr>
          <w:p w14:paraId="78F73CC3" w14:textId="015D12B4" w:rsidR="005750CF" w:rsidRPr="005750CF" w:rsidRDefault="005750CF" w:rsidP="000859D2">
            <w:pPr>
              <w:pStyle w:val="TableHeaders"/>
              <w:rPr>
                <w:b w:val="0"/>
              </w:rPr>
            </w:pPr>
            <w:r w:rsidRPr="005750CF">
              <w:t>5-Year % improvement</w:t>
            </w:r>
          </w:p>
        </w:tc>
        <w:tc>
          <w:tcPr>
            <w:tcW w:w="1290" w:type="dxa"/>
            <w:shd w:val="clear" w:color="auto" w:fill="B8CCE4" w:themeFill="accent1" w:themeFillTint="66"/>
            <w:vAlign w:val="center"/>
            <w:hideMark/>
          </w:tcPr>
          <w:p w14:paraId="3FE2FCE1" w14:textId="6AA325A1" w:rsidR="005750CF" w:rsidRPr="005750CF" w:rsidRDefault="005750CF" w:rsidP="000859D2">
            <w:pPr>
              <w:pStyle w:val="TableHeaders"/>
              <w:rPr>
                <w:b w:val="0"/>
              </w:rPr>
            </w:pPr>
            <w:r w:rsidRPr="005750CF">
              <w:t>FY25 (Q1-Q2)</w:t>
            </w:r>
          </w:p>
        </w:tc>
      </w:tr>
      <w:tr w:rsidR="005750CF" w:rsidRPr="005750CF" w14:paraId="4098F14C" w14:textId="77777777" w:rsidTr="005C3649">
        <w:trPr>
          <w:trHeight w:val="990"/>
        </w:trPr>
        <w:tc>
          <w:tcPr>
            <w:tcW w:w="1230" w:type="dxa"/>
            <w:vAlign w:val="center"/>
            <w:hideMark/>
          </w:tcPr>
          <w:p w14:paraId="237BE399" w14:textId="77777777" w:rsidR="005750CF" w:rsidRPr="005750CF" w:rsidRDefault="005750CF" w:rsidP="005C3649">
            <w:pPr>
              <w:pStyle w:val="TableText"/>
            </w:pPr>
            <w:r w:rsidRPr="005750CF">
              <w:t>Monitoring Reviews Conducted  </w:t>
            </w:r>
          </w:p>
        </w:tc>
        <w:tc>
          <w:tcPr>
            <w:tcW w:w="855" w:type="dxa"/>
            <w:vAlign w:val="center"/>
            <w:hideMark/>
          </w:tcPr>
          <w:p w14:paraId="62D72D0A" w14:textId="77777777" w:rsidR="005750CF" w:rsidRPr="005750CF" w:rsidRDefault="005750CF" w:rsidP="005C3649">
            <w:pPr>
              <w:pStyle w:val="TableText"/>
              <w:jc w:val="right"/>
            </w:pPr>
            <w:r w:rsidRPr="005750CF">
              <w:t>79  </w:t>
            </w:r>
          </w:p>
        </w:tc>
        <w:tc>
          <w:tcPr>
            <w:tcW w:w="855" w:type="dxa"/>
            <w:vAlign w:val="center"/>
            <w:hideMark/>
          </w:tcPr>
          <w:p w14:paraId="73E7BBE9" w14:textId="77777777" w:rsidR="005750CF" w:rsidRPr="005750CF" w:rsidRDefault="005750CF" w:rsidP="005C3649">
            <w:pPr>
              <w:pStyle w:val="TableText"/>
              <w:jc w:val="right"/>
            </w:pPr>
            <w:r w:rsidRPr="005750CF">
              <w:t>48  </w:t>
            </w:r>
          </w:p>
        </w:tc>
        <w:tc>
          <w:tcPr>
            <w:tcW w:w="930" w:type="dxa"/>
            <w:vAlign w:val="center"/>
            <w:hideMark/>
          </w:tcPr>
          <w:p w14:paraId="1C20CD56" w14:textId="77777777" w:rsidR="005750CF" w:rsidRPr="005750CF" w:rsidRDefault="005750CF" w:rsidP="005C3649">
            <w:pPr>
              <w:pStyle w:val="TableText"/>
              <w:jc w:val="right"/>
            </w:pPr>
            <w:r w:rsidRPr="005750CF">
              <w:t>103  </w:t>
            </w:r>
          </w:p>
        </w:tc>
        <w:tc>
          <w:tcPr>
            <w:tcW w:w="930" w:type="dxa"/>
            <w:vAlign w:val="center"/>
            <w:hideMark/>
          </w:tcPr>
          <w:p w14:paraId="3172211A" w14:textId="77777777" w:rsidR="005750CF" w:rsidRPr="005750CF" w:rsidRDefault="005750CF" w:rsidP="005C3649">
            <w:pPr>
              <w:pStyle w:val="TableText"/>
              <w:jc w:val="right"/>
            </w:pPr>
            <w:r w:rsidRPr="005750CF">
              <w:t>110  </w:t>
            </w:r>
          </w:p>
        </w:tc>
        <w:tc>
          <w:tcPr>
            <w:tcW w:w="930" w:type="dxa"/>
            <w:vAlign w:val="center"/>
            <w:hideMark/>
          </w:tcPr>
          <w:p w14:paraId="2015B2FB" w14:textId="26919380" w:rsidR="005750CF" w:rsidRPr="005750CF" w:rsidRDefault="005750CF" w:rsidP="005C3649">
            <w:pPr>
              <w:pStyle w:val="TableText"/>
              <w:jc w:val="right"/>
            </w:pPr>
            <w:r w:rsidRPr="005750CF">
              <w:t>135 </w:t>
            </w:r>
          </w:p>
        </w:tc>
        <w:tc>
          <w:tcPr>
            <w:tcW w:w="795" w:type="dxa"/>
            <w:vAlign w:val="center"/>
            <w:hideMark/>
          </w:tcPr>
          <w:p w14:paraId="7B7FF93C" w14:textId="77777777" w:rsidR="005750CF" w:rsidRPr="005750CF" w:rsidRDefault="005750CF" w:rsidP="005C3649">
            <w:pPr>
              <w:pStyle w:val="TableText"/>
              <w:jc w:val="right"/>
            </w:pPr>
            <w:r w:rsidRPr="005750CF">
              <w:t>126  </w:t>
            </w:r>
          </w:p>
        </w:tc>
        <w:tc>
          <w:tcPr>
            <w:tcW w:w="1440" w:type="dxa"/>
            <w:vAlign w:val="center"/>
            <w:hideMark/>
          </w:tcPr>
          <w:p w14:paraId="77897086" w14:textId="77777777" w:rsidR="005750CF" w:rsidRPr="005750CF" w:rsidRDefault="005750CF" w:rsidP="005C3649">
            <w:pPr>
              <w:pStyle w:val="TableText"/>
              <w:jc w:val="right"/>
            </w:pPr>
            <w:r w:rsidRPr="005750CF">
              <w:t>↑ 59%  </w:t>
            </w:r>
          </w:p>
        </w:tc>
        <w:tc>
          <w:tcPr>
            <w:tcW w:w="1290" w:type="dxa"/>
            <w:vAlign w:val="center"/>
            <w:hideMark/>
          </w:tcPr>
          <w:p w14:paraId="6EAEBD16" w14:textId="77777777" w:rsidR="005750CF" w:rsidRPr="005750CF" w:rsidRDefault="005750CF" w:rsidP="005C3649">
            <w:pPr>
              <w:pStyle w:val="TableText"/>
              <w:jc w:val="right"/>
            </w:pPr>
            <w:r w:rsidRPr="005750CF">
              <w:t>47  </w:t>
            </w:r>
          </w:p>
        </w:tc>
      </w:tr>
      <w:tr w:rsidR="005750CF" w:rsidRPr="005750CF" w14:paraId="500738B4" w14:textId="77777777" w:rsidTr="005C3649">
        <w:trPr>
          <w:trHeight w:val="1065"/>
        </w:trPr>
        <w:tc>
          <w:tcPr>
            <w:tcW w:w="1230" w:type="dxa"/>
            <w:vAlign w:val="center"/>
            <w:hideMark/>
          </w:tcPr>
          <w:p w14:paraId="466DD7A3" w14:textId="77777777" w:rsidR="005750CF" w:rsidRPr="005750CF" w:rsidRDefault="005750CF" w:rsidP="005C3649">
            <w:pPr>
              <w:pStyle w:val="TableText"/>
            </w:pPr>
            <w:r w:rsidRPr="005750CF">
              <w:t>Monitoring Reports Issued  </w:t>
            </w:r>
          </w:p>
        </w:tc>
        <w:tc>
          <w:tcPr>
            <w:tcW w:w="855" w:type="dxa"/>
            <w:vAlign w:val="center"/>
            <w:hideMark/>
          </w:tcPr>
          <w:p w14:paraId="4BB534EC" w14:textId="558A88E3" w:rsidR="005750CF" w:rsidRPr="005750CF" w:rsidRDefault="005750CF" w:rsidP="005C3649">
            <w:pPr>
              <w:pStyle w:val="TableText"/>
              <w:jc w:val="right"/>
            </w:pPr>
            <w:r w:rsidRPr="005750CF">
              <w:t>40 </w:t>
            </w:r>
          </w:p>
        </w:tc>
        <w:tc>
          <w:tcPr>
            <w:tcW w:w="855" w:type="dxa"/>
            <w:vAlign w:val="center"/>
            <w:hideMark/>
          </w:tcPr>
          <w:p w14:paraId="2AE1CC66" w14:textId="497E2A75" w:rsidR="005750CF" w:rsidRPr="005750CF" w:rsidRDefault="005750CF" w:rsidP="005C3649">
            <w:pPr>
              <w:pStyle w:val="TableText"/>
              <w:jc w:val="right"/>
            </w:pPr>
            <w:r w:rsidRPr="005750CF">
              <w:t>32 </w:t>
            </w:r>
          </w:p>
        </w:tc>
        <w:tc>
          <w:tcPr>
            <w:tcW w:w="930" w:type="dxa"/>
            <w:vAlign w:val="center"/>
            <w:hideMark/>
          </w:tcPr>
          <w:p w14:paraId="336B3EE6" w14:textId="77777777" w:rsidR="005750CF" w:rsidRPr="005750CF" w:rsidRDefault="005750CF" w:rsidP="005C3649">
            <w:pPr>
              <w:pStyle w:val="TableText"/>
              <w:jc w:val="right"/>
            </w:pPr>
            <w:r w:rsidRPr="005750CF">
              <w:t>53  </w:t>
            </w:r>
          </w:p>
        </w:tc>
        <w:tc>
          <w:tcPr>
            <w:tcW w:w="930" w:type="dxa"/>
            <w:vAlign w:val="center"/>
            <w:hideMark/>
          </w:tcPr>
          <w:p w14:paraId="3458BFDE" w14:textId="77777777" w:rsidR="005750CF" w:rsidRPr="005750CF" w:rsidRDefault="005750CF" w:rsidP="005C3649">
            <w:pPr>
              <w:pStyle w:val="TableText"/>
              <w:jc w:val="right"/>
            </w:pPr>
            <w:r w:rsidRPr="005750CF">
              <w:t>133  </w:t>
            </w:r>
          </w:p>
        </w:tc>
        <w:tc>
          <w:tcPr>
            <w:tcW w:w="930" w:type="dxa"/>
            <w:vAlign w:val="center"/>
            <w:hideMark/>
          </w:tcPr>
          <w:p w14:paraId="4BC577F9" w14:textId="77777777" w:rsidR="005750CF" w:rsidRPr="005750CF" w:rsidRDefault="005750CF" w:rsidP="005C3649">
            <w:pPr>
              <w:pStyle w:val="TableText"/>
              <w:jc w:val="right"/>
            </w:pPr>
            <w:r w:rsidRPr="005750CF">
              <w:t>118  </w:t>
            </w:r>
          </w:p>
        </w:tc>
        <w:tc>
          <w:tcPr>
            <w:tcW w:w="795" w:type="dxa"/>
            <w:vAlign w:val="center"/>
            <w:hideMark/>
          </w:tcPr>
          <w:p w14:paraId="71985A81" w14:textId="77777777" w:rsidR="005750CF" w:rsidRPr="005750CF" w:rsidRDefault="005750CF" w:rsidP="005C3649">
            <w:pPr>
              <w:pStyle w:val="TableText"/>
              <w:jc w:val="right"/>
            </w:pPr>
            <w:r w:rsidRPr="005750CF">
              <w:t>84  </w:t>
            </w:r>
          </w:p>
        </w:tc>
        <w:tc>
          <w:tcPr>
            <w:tcW w:w="1440" w:type="dxa"/>
            <w:vAlign w:val="center"/>
            <w:hideMark/>
          </w:tcPr>
          <w:p w14:paraId="7CD4F8E7" w14:textId="77777777" w:rsidR="005750CF" w:rsidRPr="005750CF" w:rsidRDefault="005750CF" w:rsidP="005C3649">
            <w:pPr>
              <w:pStyle w:val="TableText"/>
              <w:jc w:val="right"/>
            </w:pPr>
            <w:r w:rsidRPr="005750CF">
              <w:t>↑ 110%  </w:t>
            </w:r>
          </w:p>
        </w:tc>
        <w:tc>
          <w:tcPr>
            <w:tcW w:w="1290" w:type="dxa"/>
            <w:vAlign w:val="center"/>
            <w:hideMark/>
          </w:tcPr>
          <w:p w14:paraId="115DA171" w14:textId="77777777" w:rsidR="005750CF" w:rsidRPr="005750CF" w:rsidRDefault="005750CF" w:rsidP="005C3649">
            <w:pPr>
              <w:pStyle w:val="TableText"/>
              <w:jc w:val="right"/>
            </w:pPr>
            <w:r w:rsidRPr="005750CF">
              <w:t>58  </w:t>
            </w:r>
          </w:p>
        </w:tc>
      </w:tr>
      <w:tr w:rsidR="005750CF" w:rsidRPr="005750CF" w14:paraId="1F093046" w14:textId="77777777" w:rsidTr="005C3649">
        <w:trPr>
          <w:trHeight w:val="1065"/>
        </w:trPr>
        <w:tc>
          <w:tcPr>
            <w:tcW w:w="1230" w:type="dxa"/>
            <w:vAlign w:val="center"/>
            <w:hideMark/>
          </w:tcPr>
          <w:p w14:paraId="40172443" w14:textId="77777777" w:rsidR="005750CF" w:rsidRPr="005750CF" w:rsidRDefault="005750CF" w:rsidP="005C3649">
            <w:pPr>
              <w:pStyle w:val="TableText"/>
            </w:pPr>
            <w:r w:rsidRPr="005750CF">
              <w:t>Audit Resolution Closures  </w:t>
            </w:r>
          </w:p>
        </w:tc>
        <w:tc>
          <w:tcPr>
            <w:tcW w:w="855" w:type="dxa"/>
            <w:vAlign w:val="center"/>
            <w:hideMark/>
          </w:tcPr>
          <w:p w14:paraId="52D6F422" w14:textId="77777777" w:rsidR="005750CF" w:rsidRPr="005750CF" w:rsidRDefault="005750CF" w:rsidP="005C3649">
            <w:pPr>
              <w:pStyle w:val="TableText"/>
              <w:jc w:val="right"/>
            </w:pPr>
            <w:r w:rsidRPr="005750CF">
              <w:t>30  </w:t>
            </w:r>
          </w:p>
        </w:tc>
        <w:tc>
          <w:tcPr>
            <w:tcW w:w="855" w:type="dxa"/>
            <w:vAlign w:val="center"/>
            <w:hideMark/>
          </w:tcPr>
          <w:p w14:paraId="1B60955E" w14:textId="77777777" w:rsidR="005750CF" w:rsidRPr="005750CF" w:rsidRDefault="005750CF" w:rsidP="005C3649">
            <w:pPr>
              <w:pStyle w:val="TableText"/>
              <w:jc w:val="right"/>
            </w:pPr>
            <w:r w:rsidRPr="005750CF">
              <w:t>13  </w:t>
            </w:r>
          </w:p>
        </w:tc>
        <w:tc>
          <w:tcPr>
            <w:tcW w:w="930" w:type="dxa"/>
            <w:vAlign w:val="center"/>
            <w:hideMark/>
          </w:tcPr>
          <w:p w14:paraId="634F08E5" w14:textId="77777777" w:rsidR="005750CF" w:rsidRPr="005750CF" w:rsidRDefault="005750CF" w:rsidP="005C3649">
            <w:pPr>
              <w:pStyle w:val="TableText"/>
              <w:jc w:val="right"/>
            </w:pPr>
            <w:r w:rsidRPr="005750CF">
              <w:t>26  </w:t>
            </w:r>
          </w:p>
        </w:tc>
        <w:tc>
          <w:tcPr>
            <w:tcW w:w="930" w:type="dxa"/>
            <w:vAlign w:val="center"/>
            <w:hideMark/>
          </w:tcPr>
          <w:p w14:paraId="6A15198C" w14:textId="77777777" w:rsidR="005750CF" w:rsidRPr="005750CF" w:rsidRDefault="005750CF" w:rsidP="005C3649">
            <w:pPr>
              <w:pStyle w:val="TableText"/>
              <w:jc w:val="right"/>
            </w:pPr>
            <w:r w:rsidRPr="005750CF">
              <w:t>31  </w:t>
            </w:r>
          </w:p>
        </w:tc>
        <w:tc>
          <w:tcPr>
            <w:tcW w:w="930" w:type="dxa"/>
            <w:vAlign w:val="center"/>
            <w:hideMark/>
          </w:tcPr>
          <w:p w14:paraId="46820054" w14:textId="77777777" w:rsidR="005750CF" w:rsidRPr="005750CF" w:rsidRDefault="005750CF" w:rsidP="005C3649">
            <w:pPr>
              <w:pStyle w:val="TableText"/>
              <w:jc w:val="right"/>
            </w:pPr>
            <w:r w:rsidRPr="005750CF">
              <w:t>32  </w:t>
            </w:r>
          </w:p>
        </w:tc>
        <w:tc>
          <w:tcPr>
            <w:tcW w:w="795" w:type="dxa"/>
            <w:vAlign w:val="center"/>
            <w:hideMark/>
          </w:tcPr>
          <w:p w14:paraId="045362A6" w14:textId="77777777" w:rsidR="005750CF" w:rsidRPr="005750CF" w:rsidRDefault="005750CF" w:rsidP="005C3649">
            <w:pPr>
              <w:pStyle w:val="TableText"/>
              <w:jc w:val="right"/>
            </w:pPr>
            <w:r w:rsidRPr="005750CF">
              <w:t>37  </w:t>
            </w:r>
          </w:p>
        </w:tc>
        <w:tc>
          <w:tcPr>
            <w:tcW w:w="1440" w:type="dxa"/>
            <w:vAlign w:val="center"/>
            <w:hideMark/>
          </w:tcPr>
          <w:p w14:paraId="0DFC1C67" w14:textId="77777777" w:rsidR="005750CF" w:rsidRPr="005750CF" w:rsidRDefault="005750CF" w:rsidP="005C3649">
            <w:pPr>
              <w:pStyle w:val="TableText"/>
              <w:jc w:val="right"/>
            </w:pPr>
            <w:r w:rsidRPr="005750CF">
              <w:t>↑ 23%  </w:t>
            </w:r>
          </w:p>
        </w:tc>
        <w:tc>
          <w:tcPr>
            <w:tcW w:w="1290" w:type="dxa"/>
            <w:vAlign w:val="center"/>
            <w:hideMark/>
          </w:tcPr>
          <w:p w14:paraId="1BDA4156" w14:textId="77777777" w:rsidR="005750CF" w:rsidRPr="005750CF" w:rsidRDefault="005750CF" w:rsidP="005C3649">
            <w:pPr>
              <w:pStyle w:val="TableText"/>
              <w:jc w:val="right"/>
            </w:pPr>
            <w:r w:rsidRPr="005750CF">
              <w:t>18  </w:t>
            </w:r>
          </w:p>
        </w:tc>
      </w:tr>
      <w:tr w:rsidR="005750CF" w:rsidRPr="005750CF" w14:paraId="05872B07" w14:textId="77777777" w:rsidTr="005C3649">
        <w:trPr>
          <w:trHeight w:val="1065"/>
        </w:trPr>
        <w:tc>
          <w:tcPr>
            <w:tcW w:w="1230" w:type="dxa"/>
            <w:vAlign w:val="center"/>
            <w:hideMark/>
          </w:tcPr>
          <w:p w14:paraId="3E8DB177" w14:textId="77777777" w:rsidR="005750CF" w:rsidRPr="005750CF" w:rsidRDefault="005750CF" w:rsidP="005C3649">
            <w:pPr>
              <w:pStyle w:val="TableText"/>
            </w:pPr>
            <w:r w:rsidRPr="005750CF">
              <w:t>Audit Resolution IRLs Issued  </w:t>
            </w:r>
          </w:p>
        </w:tc>
        <w:tc>
          <w:tcPr>
            <w:tcW w:w="855" w:type="dxa"/>
            <w:vAlign w:val="center"/>
            <w:hideMark/>
          </w:tcPr>
          <w:p w14:paraId="5CDDF95F" w14:textId="77777777" w:rsidR="005750CF" w:rsidRPr="005750CF" w:rsidRDefault="005750CF" w:rsidP="005C3649">
            <w:pPr>
              <w:pStyle w:val="TableText"/>
              <w:jc w:val="right"/>
            </w:pPr>
            <w:r w:rsidRPr="005750CF">
              <w:t>27  </w:t>
            </w:r>
          </w:p>
        </w:tc>
        <w:tc>
          <w:tcPr>
            <w:tcW w:w="855" w:type="dxa"/>
            <w:vAlign w:val="center"/>
            <w:hideMark/>
          </w:tcPr>
          <w:p w14:paraId="4AB494DE" w14:textId="77777777" w:rsidR="005750CF" w:rsidRPr="005750CF" w:rsidRDefault="005750CF" w:rsidP="005C3649">
            <w:pPr>
              <w:pStyle w:val="TableText"/>
              <w:jc w:val="right"/>
            </w:pPr>
            <w:r w:rsidRPr="005750CF">
              <w:t>16  </w:t>
            </w:r>
          </w:p>
        </w:tc>
        <w:tc>
          <w:tcPr>
            <w:tcW w:w="930" w:type="dxa"/>
            <w:vAlign w:val="center"/>
            <w:hideMark/>
          </w:tcPr>
          <w:p w14:paraId="0CBFDCF2" w14:textId="77777777" w:rsidR="005750CF" w:rsidRPr="005750CF" w:rsidRDefault="005750CF" w:rsidP="005C3649">
            <w:pPr>
              <w:pStyle w:val="TableText"/>
              <w:jc w:val="right"/>
            </w:pPr>
            <w:r w:rsidRPr="005750CF">
              <w:t>36  </w:t>
            </w:r>
          </w:p>
        </w:tc>
        <w:tc>
          <w:tcPr>
            <w:tcW w:w="930" w:type="dxa"/>
            <w:vAlign w:val="center"/>
            <w:hideMark/>
          </w:tcPr>
          <w:p w14:paraId="378BF0A7" w14:textId="77777777" w:rsidR="005750CF" w:rsidRPr="005750CF" w:rsidRDefault="005750CF" w:rsidP="005C3649">
            <w:pPr>
              <w:pStyle w:val="TableText"/>
              <w:jc w:val="right"/>
            </w:pPr>
            <w:r w:rsidRPr="005750CF">
              <w:t>38  </w:t>
            </w:r>
          </w:p>
        </w:tc>
        <w:tc>
          <w:tcPr>
            <w:tcW w:w="930" w:type="dxa"/>
            <w:vAlign w:val="center"/>
            <w:hideMark/>
          </w:tcPr>
          <w:p w14:paraId="0E9C0E1D" w14:textId="77777777" w:rsidR="005750CF" w:rsidRPr="005750CF" w:rsidRDefault="005750CF" w:rsidP="005C3649">
            <w:pPr>
              <w:pStyle w:val="TableText"/>
              <w:jc w:val="right"/>
            </w:pPr>
            <w:r w:rsidRPr="005750CF">
              <w:t>26  </w:t>
            </w:r>
          </w:p>
        </w:tc>
        <w:tc>
          <w:tcPr>
            <w:tcW w:w="795" w:type="dxa"/>
            <w:vAlign w:val="center"/>
            <w:hideMark/>
          </w:tcPr>
          <w:p w14:paraId="13D6210A" w14:textId="77777777" w:rsidR="005750CF" w:rsidRPr="005750CF" w:rsidRDefault="005750CF" w:rsidP="005C3649">
            <w:pPr>
              <w:pStyle w:val="TableText"/>
              <w:jc w:val="right"/>
            </w:pPr>
            <w:r w:rsidRPr="005750CF">
              <w:t>40  </w:t>
            </w:r>
          </w:p>
        </w:tc>
        <w:tc>
          <w:tcPr>
            <w:tcW w:w="1440" w:type="dxa"/>
            <w:vAlign w:val="center"/>
            <w:hideMark/>
          </w:tcPr>
          <w:p w14:paraId="18BE4072" w14:textId="77777777" w:rsidR="005750CF" w:rsidRPr="005750CF" w:rsidRDefault="005750CF" w:rsidP="005C3649">
            <w:pPr>
              <w:pStyle w:val="TableText"/>
              <w:jc w:val="right"/>
            </w:pPr>
            <w:r w:rsidRPr="005750CF">
              <w:t>↑ 48%  </w:t>
            </w:r>
          </w:p>
        </w:tc>
        <w:tc>
          <w:tcPr>
            <w:tcW w:w="1290" w:type="dxa"/>
            <w:vAlign w:val="center"/>
            <w:hideMark/>
          </w:tcPr>
          <w:p w14:paraId="55BB17A6" w14:textId="77777777" w:rsidR="005750CF" w:rsidRPr="005750CF" w:rsidRDefault="005750CF" w:rsidP="005C3649">
            <w:pPr>
              <w:pStyle w:val="TableText"/>
              <w:jc w:val="right"/>
            </w:pPr>
            <w:r w:rsidRPr="005750CF">
              <w:t>21  </w:t>
            </w:r>
          </w:p>
        </w:tc>
      </w:tr>
      <w:tr w:rsidR="005750CF" w:rsidRPr="005750CF" w14:paraId="11A69BCF" w14:textId="77777777" w:rsidTr="005C3649">
        <w:trPr>
          <w:trHeight w:val="1065"/>
        </w:trPr>
        <w:tc>
          <w:tcPr>
            <w:tcW w:w="1230" w:type="dxa"/>
            <w:vAlign w:val="center"/>
            <w:hideMark/>
          </w:tcPr>
          <w:p w14:paraId="2D8A585A" w14:textId="77777777" w:rsidR="005750CF" w:rsidRPr="005750CF" w:rsidRDefault="005750CF" w:rsidP="005C3649">
            <w:pPr>
              <w:pStyle w:val="TableText"/>
            </w:pPr>
            <w:r w:rsidRPr="005750CF">
              <w:t>Single Audit Closures  </w:t>
            </w:r>
          </w:p>
        </w:tc>
        <w:tc>
          <w:tcPr>
            <w:tcW w:w="855" w:type="dxa"/>
            <w:vAlign w:val="center"/>
            <w:hideMark/>
          </w:tcPr>
          <w:p w14:paraId="2F6C4000" w14:textId="77777777" w:rsidR="005750CF" w:rsidRPr="005750CF" w:rsidRDefault="005750CF" w:rsidP="005C3649">
            <w:pPr>
              <w:pStyle w:val="TableText"/>
              <w:jc w:val="right"/>
            </w:pPr>
            <w:r w:rsidRPr="005750CF">
              <w:t>113  </w:t>
            </w:r>
          </w:p>
        </w:tc>
        <w:tc>
          <w:tcPr>
            <w:tcW w:w="855" w:type="dxa"/>
            <w:vAlign w:val="center"/>
            <w:hideMark/>
          </w:tcPr>
          <w:p w14:paraId="66E00887" w14:textId="77777777" w:rsidR="005750CF" w:rsidRPr="005750CF" w:rsidRDefault="005750CF" w:rsidP="005C3649">
            <w:pPr>
              <w:pStyle w:val="TableText"/>
              <w:jc w:val="right"/>
            </w:pPr>
            <w:r w:rsidRPr="005750CF">
              <w:t>171  </w:t>
            </w:r>
          </w:p>
        </w:tc>
        <w:tc>
          <w:tcPr>
            <w:tcW w:w="930" w:type="dxa"/>
            <w:vAlign w:val="center"/>
            <w:hideMark/>
          </w:tcPr>
          <w:p w14:paraId="3BB41CA7" w14:textId="77777777" w:rsidR="005750CF" w:rsidRPr="005750CF" w:rsidRDefault="005750CF" w:rsidP="005C3649">
            <w:pPr>
              <w:pStyle w:val="TableText"/>
              <w:jc w:val="right"/>
            </w:pPr>
            <w:r w:rsidRPr="005750CF">
              <w:t>138  </w:t>
            </w:r>
          </w:p>
        </w:tc>
        <w:tc>
          <w:tcPr>
            <w:tcW w:w="930" w:type="dxa"/>
            <w:vAlign w:val="center"/>
            <w:hideMark/>
          </w:tcPr>
          <w:p w14:paraId="07BC04F1" w14:textId="77777777" w:rsidR="005750CF" w:rsidRPr="005750CF" w:rsidRDefault="005750CF" w:rsidP="005C3649">
            <w:pPr>
              <w:pStyle w:val="TableText"/>
              <w:jc w:val="right"/>
            </w:pPr>
            <w:r w:rsidRPr="005750CF">
              <w:t>152  </w:t>
            </w:r>
          </w:p>
        </w:tc>
        <w:tc>
          <w:tcPr>
            <w:tcW w:w="930" w:type="dxa"/>
            <w:vAlign w:val="center"/>
            <w:hideMark/>
          </w:tcPr>
          <w:p w14:paraId="531655F6" w14:textId="77777777" w:rsidR="005750CF" w:rsidRPr="005750CF" w:rsidRDefault="005750CF" w:rsidP="005C3649">
            <w:pPr>
              <w:pStyle w:val="TableText"/>
              <w:jc w:val="right"/>
            </w:pPr>
            <w:r w:rsidRPr="005750CF">
              <w:t>170  </w:t>
            </w:r>
          </w:p>
        </w:tc>
        <w:tc>
          <w:tcPr>
            <w:tcW w:w="795" w:type="dxa"/>
            <w:vAlign w:val="center"/>
            <w:hideMark/>
          </w:tcPr>
          <w:p w14:paraId="1AEC91FD" w14:textId="77777777" w:rsidR="005750CF" w:rsidRPr="005750CF" w:rsidRDefault="005750CF" w:rsidP="005C3649">
            <w:pPr>
              <w:pStyle w:val="TableText"/>
              <w:jc w:val="right"/>
            </w:pPr>
            <w:r w:rsidRPr="005750CF">
              <w:t>204  </w:t>
            </w:r>
          </w:p>
        </w:tc>
        <w:tc>
          <w:tcPr>
            <w:tcW w:w="1440" w:type="dxa"/>
            <w:vAlign w:val="center"/>
            <w:hideMark/>
          </w:tcPr>
          <w:p w14:paraId="00A965AA" w14:textId="77777777" w:rsidR="005750CF" w:rsidRPr="005750CF" w:rsidRDefault="005750CF" w:rsidP="005C3649">
            <w:pPr>
              <w:pStyle w:val="TableText"/>
              <w:jc w:val="right"/>
            </w:pPr>
            <w:r w:rsidRPr="005750CF">
              <w:t>↑ 81%  </w:t>
            </w:r>
          </w:p>
        </w:tc>
        <w:tc>
          <w:tcPr>
            <w:tcW w:w="1290" w:type="dxa"/>
            <w:vAlign w:val="center"/>
            <w:hideMark/>
          </w:tcPr>
          <w:p w14:paraId="7DADDA8F" w14:textId="77777777" w:rsidR="005750CF" w:rsidRPr="005750CF" w:rsidRDefault="005750CF" w:rsidP="005C3649">
            <w:pPr>
              <w:pStyle w:val="TableText"/>
              <w:jc w:val="right"/>
            </w:pPr>
            <w:r w:rsidRPr="005750CF">
              <w:t>63  </w:t>
            </w:r>
          </w:p>
        </w:tc>
      </w:tr>
      <w:tr w:rsidR="005750CF" w:rsidRPr="005750CF" w14:paraId="7D421D8F" w14:textId="77777777" w:rsidTr="005C3649">
        <w:trPr>
          <w:trHeight w:val="1065"/>
        </w:trPr>
        <w:tc>
          <w:tcPr>
            <w:tcW w:w="1230" w:type="dxa"/>
            <w:vAlign w:val="center"/>
            <w:hideMark/>
          </w:tcPr>
          <w:p w14:paraId="3FB41CF4" w14:textId="77777777" w:rsidR="005750CF" w:rsidRPr="005750CF" w:rsidRDefault="005750CF" w:rsidP="005C3649">
            <w:pPr>
              <w:pStyle w:val="TableText"/>
            </w:pPr>
            <w:r w:rsidRPr="005750CF">
              <w:t>HB 1 Budget Approvals  </w:t>
            </w:r>
          </w:p>
        </w:tc>
        <w:tc>
          <w:tcPr>
            <w:tcW w:w="855" w:type="dxa"/>
            <w:vAlign w:val="center"/>
            <w:hideMark/>
          </w:tcPr>
          <w:p w14:paraId="7BC7A4CA" w14:textId="77777777" w:rsidR="005750CF" w:rsidRPr="005750CF" w:rsidRDefault="005750CF" w:rsidP="005C3649">
            <w:pPr>
              <w:pStyle w:val="TableText"/>
              <w:jc w:val="right"/>
            </w:pPr>
            <w:r w:rsidRPr="005750CF">
              <w:t>28  </w:t>
            </w:r>
          </w:p>
        </w:tc>
        <w:tc>
          <w:tcPr>
            <w:tcW w:w="855" w:type="dxa"/>
            <w:vAlign w:val="center"/>
            <w:hideMark/>
          </w:tcPr>
          <w:p w14:paraId="3509C5A8" w14:textId="77777777" w:rsidR="005750CF" w:rsidRPr="005750CF" w:rsidRDefault="005750CF" w:rsidP="005C3649">
            <w:pPr>
              <w:pStyle w:val="TableText"/>
              <w:jc w:val="right"/>
            </w:pPr>
            <w:r w:rsidRPr="005750CF">
              <w:t>28  </w:t>
            </w:r>
          </w:p>
        </w:tc>
        <w:tc>
          <w:tcPr>
            <w:tcW w:w="930" w:type="dxa"/>
            <w:vAlign w:val="center"/>
            <w:hideMark/>
          </w:tcPr>
          <w:p w14:paraId="52F083A4" w14:textId="77777777" w:rsidR="005750CF" w:rsidRPr="005750CF" w:rsidRDefault="005750CF" w:rsidP="005C3649">
            <w:pPr>
              <w:pStyle w:val="TableText"/>
              <w:jc w:val="right"/>
            </w:pPr>
            <w:r w:rsidRPr="005750CF">
              <w:t>28  </w:t>
            </w:r>
          </w:p>
        </w:tc>
        <w:tc>
          <w:tcPr>
            <w:tcW w:w="930" w:type="dxa"/>
            <w:vAlign w:val="center"/>
            <w:hideMark/>
          </w:tcPr>
          <w:p w14:paraId="6FF6FA99" w14:textId="77777777" w:rsidR="005750CF" w:rsidRPr="005750CF" w:rsidRDefault="005750CF" w:rsidP="005C3649">
            <w:pPr>
              <w:pStyle w:val="TableText"/>
              <w:jc w:val="right"/>
            </w:pPr>
            <w:r w:rsidRPr="005750CF">
              <w:t>28  </w:t>
            </w:r>
          </w:p>
        </w:tc>
        <w:tc>
          <w:tcPr>
            <w:tcW w:w="930" w:type="dxa"/>
            <w:vAlign w:val="center"/>
            <w:hideMark/>
          </w:tcPr>
          <w:p w14:paraId="70F8BF7B" w14:textId="77777777" w:rsidR="005750CF" w:rsidRPr="005750CF" w:rsidRDefault="005750CF" w:rsidP="005C3649">
            <w:pPr>
              <w:pStyle w:val="TableText"/>
              <w:jc w:val="right"/>
            </w:pPr>
            <w:r w:rsidRPr="005750CF">
              <w:t>28  </w:t>
            </w:r>
          </w:p>
        </w:tc>
        <w:tc>
          <w:tcPr>
            <w:tcW w:w="795" w:type="dxa"/>
            <w:vAlign w:val="center"/>
            <w:hideMark/>
          </w:tcPr>
          <w:p w14:paraId="11D6D449" w14:textId="77777777" w:rsidR="005750CF" w:rsidRPr="005750CF" w:rsidRDefault="005750CF" w:rsidP="005C3649">
            <w:pPr>
              <w:pStyle w:val="TableText"/>
              <w:jc w:val="right"/>
            </w:pPr>
            <w:r w:rsidRPr="005750CF">
              <w:t>28  </w:t>
            </w:r>
          </w:p>
        </w:tc>
        <w:tc>
          <w:tcPr>
            <w:tcW w:w="1440" w:type="dxa"/>
            <w:vAlign w:val="center"/>
            <w:hideMark/>
          </w:tcPr>
          <w:p w14:paraId="799ABF12" w14:textId="7041506A" w:rsidR="005750CF" w:rsidRPr="005750CF" w:rsidRDefault="005750CF" w:rsidP="005C3649">
            <w:pPr>
              <w:pStyle w:val="TableText"/>
              <w:jc w:val="right"/>
            </w:pPr>
            <w:r w:rsidRPr="005750CF">
              <w:t> </w:t>
            </w:r>
            <w:r w:rsidR="007E5682">
              <w:t>0</w:t>
            </w:r>
          </w:p>
        </w:tc>
        <w:tc>
          <w:tcPr>
            <w:tcW w:w="1290" w:type="dxa"/>
            <w:vAlign w:val="center"/>
            <w:hideMark/>
          </w:tcPr>
          <w:p w14:paraId="40A10B7A" w14:textId="77777777" w:rsidR="005750CF" w:rsidRPr="005750CF" w:rsidRDefault="005750CF" w:rsidP="005C3649">
            <w:pPr>
              <w:pStyle w:val="TableText"/>
              <w:jc w:val="right"/>
            </w:pPr>
            <w:r w:rsidRPr="005750CF">
              <w:t>16  </w:t>
            </w:r>
          </w:p>
        </w:tc>
      </w:tr>
      <w:tr w:rsidR="005750CF" w:rsidRPr="005750CF" w14:paraId="23BD97E1" w14:textId="77777777" w:rsidTr="005C3649">
        <w:trPr>
          <w:trHeight w:val="1065"/>
        </w:trPr>
        <w:tc>
          <w:tcPr>
            <w:tcW w:w="1230" w:type="dxa"/>
            <w:vAlign w:val="center"/>
            <w:hideMark/>
          </w:tcPr>
          <w:p w14:paraId="6C74F9C6" w14:textId="77777777" w:rsidR="005750CF" w:rsidRPr="005750CF" w:rsidRDefault="005750CF" w:rsidP="005C3649">
            <w:pPr>
              <w:pStyle w:val="TableText"/>
            </w:pPr>
            <w:r w:rsidRPr="005750CF">
              <w:t>Indirect Cost Rate Proposals  </w:t>
            </w:r>
          </w:p>
        </w:tc>
        <w:tc>
          <w:tcPr>
            <w:tcW w:w="855" w:type="dxa"/>
            <w:vAlign w:val="center"/>
            <w:hideMark/>
          </w:tcPr>
          <w:p w14:paraId="5E9F0076" w14:textId="77777777" w:rsidR="005750CF" w:rsidRPr="005750CF" w:rsidRDefault="005750CF" w:rsidP="005C3649">
            <w:pPr>
              <w:pStyle w:val="TableText"/>
              <w:jc w:val="right"/>
            </w:pPr>
            <w:r w:rsidRPr="005750CF">
              <w:t>7  </w:t>
            </w:r>
          </w:p>
        </w:tc>
        <w:tc>
          <w:tcPr>
            <w:tcW w:w="855" w:type="dxa"/>
            <w:vAlign w:val="center"/>
            <w:hideMark/>
          </w:tcPr>
          <w:p w14:paraId="14E19F7D" w14:textId="77777777" w:rsidR="005750CF" w:rsidRPr="005750CF" w:rsidRDefault="005750CF" w:rsidP="005C3649">
            <w:pPr>
              <w:pStyle w:val="TableText"/>
              <w:jc w:val="right"/>
            </w:pPr>
            <w:r w:rsidRPr="005750CF">
              <w:t>7  </w:t>
            </w:r>
          </w:p>
        </w:tc>
        <w:tc>
          <w:tcPr>
            <w:tcW w:w="930" w:type="dxa"/>
            <w:vAlign w:val="center"/>
            <w:hideMark/>
          </w:tcPr>
          <w:p w14:paraId="2EB0321D" w14:textId="77777777" w:rsidR="005750CF" w:rsidRPr="005750CF" w:rsidRDefault="005750CF" w:rsidP="005C3649">
            <w:pPr>
              <w:pStyle w:val="TableText"/>
              <w:jc w:val="right"/>
            </w:pPr>
            <w:r w:rsidRPr="005750CF">
              <w:t>6  </w:t>
            </w:r>
          </w:p>
        </w:tc>
        <w:tc>
          <w:tcPr>
            <w:tcW w:w="930" w:type="dxa"/>
            <w:vAlign w:val="center"/>
            <w:hideMark/>
          </w:tcPr>
          <w:p w14:paraId="387F42C0" w14:textId="77777777" w:rsidR="005750CF" w:rsidRPr="005750CF" w:rsidRDefault="005750CF" w:rsidP="005C3649">
            <w:pPr>
              <w:pStyle w:val="TableText"/>
              <w:jc w:val="right"/>
            </w:pPr>
            <w:r w:rsidRPr="005750CF">
              <w:t>6  </w:t>
            </w:r>
          </w:p>
        </w:tc>
        <w:tc>
          <w:tcPr>
            <w:tcW w:w="930" w:type="dxa"/>
            <w:vAlign w:val="center"/>
            <w:hideMark/>
          </w:tcPr>
          <w:p w14:paraId="05308CC8" w14:textId="77777777" w:rsidR="005750CF" w:rsidRPr="005750CF" w:rsidRDefault="005750CF" w:rsidP="005C3649">
            <w:pPr>
              <w:pStyle w:val="TableText"/>
              <w:jc w:val="right"/>
            </w:pPr>
            <w:r w:rsidRPr="005750CF">
              <w:t>6  </w:t>
            </w:r>
          </w:p>
        </w:tc>
        <w:tc>
          <w:tcPr>
            <w:tcW w:w="795" w:type="dxa"/>
            <w:vAlign w:val="center"/>
            <w:hideMark/>
          </w:tcPr>
          <w:p w14:paraId="32957DA5" w14:textId="77777777" w:rsidR="005750CF" w:rsidRPr="005750CF" w:rsidRDefault="005750CF" w:rsidP="005C3649">
            <w:pPr>
              <w:pStyle w:val="TableText"/>
              <w:jc w:val="right"/>
            </w:pPr>
            <w:r w:rsidRPr="005750CF">
              <w:t>4  </w:t>
            </w:r>
          </w:p>
        </w:tc>
        <w:tc>
          <w:tcPr>
            <w:tcW w:w="1440" w:type="dxa"/>
            <w:vAlign w:val="center"/>
            <w:hideMark/>
          </w:tcPr>
          <w:p w14:paraId="2C01E421" w14:textId="49508473" w:rsidR="005750CF" w:rsidRPr="005750CF" w:rsidRDefault="005750CF" w:rsidP="005C3649">
            <w:pPr>
              <w:pStyle w:val="TableText"/>
              <w:jc w:val="right"/>
            </w:pPr>
            <w:r w:rsidRPr="005750CF">
              <w:t> </w:t>
            </w:r>
            <w:r w:rsidR="007E5682">
              <w:t>0</w:t>
            </w:r>
          </w:p>
        </w:tc>
        <w:tc>
          <w:tcPr>
            <w:tcW w:w="1290" w:type="dxa"/>
            <w:vAlign w:val="center"/>
            <w:hideMark/>
          </w:tcPr>
          <w:p w14:paraId="5F99A0E0" w14:textId="77777777" w:rsidR="005750CF" w:rsidRPr="005750CF" w:rsidRDefault="005750CF" w:rsidP="005C3649">
            <w:pPr>
              <w:pStyle w:val="TableText"/>
              <w:jc w:val="right"/>
            </w:pPr>
            <w:r w:rsidRPr="005750CF">
              <w:t>2  </w:t>
            </w:r>
          </w:p>
        </w:tc>
      </w:tr>
      <w:tr w:rsidR="005750CF" w:rsidRPr="005750CF" w14:paraId="4B145B82" w14:textId="77777777" w:rsidTr="005C3649">
        <w:trPr>
          <w:trHeight w:val="1065"/>
        </w:trPr>
        <w:tc>
          <w:tcPr>
            <w:tcW w:w="1230" w:type="dxa"/>
            <w:vAlign w:val="center"/>
            <w:hideMark/>
          </w:tcPr>
          <w:p w14:paraId="3B7858CC" w14:textId="77777777" w:rsidR="005750CF" w:rsidRPr="005750CF" w:rsidRDefault="005750CF" w:rsidP="005C3649">
            <w:pPr>
              <w:pStyle w:val="TableText"/>
            </w:pPr>
            <w:r w:rsidRPr="005750CF">
              <w:t>Total Numbers  </w:t>
            </w:r>
          </w:p>
        </w:tc>
        <w:tc>
          <w:tcPr>
            <w:tcW w:w="855" w:type="dxa"/>
            <w:vAlign w:val="center"/>
            <w:hideMark/>
          </w:tcPr>
          <w:p w14:paraId="12F35D95" w14:textId="77777777" w:rsidR="005750CF" w:rsidRPr="005750CF" w:rsidRDefault="005750CF" w:rsidP="005C3649">
            <w:pPr>
              <w:pStyle w:val="TableText"/>
              <w:jc w:val="right"/>
            </w:pPr>
            <w:r w:rsidRPr="005750CF">
              <w:t>324  </w:t>
            </w:r>
          </w:p>
        </w:tc>
        <w:tc>
          <w:tcPr>
            <w:tcW w:w="855" w:type="dxa"/>
            <w:vAlign w:val="center"/>
            <w:hideMark/>
          </w:tcPr>
          <w:p w14:paraId="1D59DDF2" w14:textId="77777777" w:rsidR="005750CF" w:rsidRPr="005750CF" w:rsidRDefault="005750CF" w:rsidP="005C3649">
            <w:pPr>
              <w:pStyle w:val="TableText"/>
              <w:jc w:val="right"/>
            </w:pPr>
            <w:r w:rsidRPr="005750CF">
              <w:t>315  </w:t>
            </w:r>
          </w:p>
        </w:tc>
        <w:tc>
          <w:tcPr>
            <w:tcW w:w="930" w:type="dxa"/>
            <w:vAlign w:val="center"/>
            <w:hideMark/>
          </w:tcPr>
          <w:p w14:paraId="1BA444F7" w14:textId="77777777" w:rsidR="005750CF" w:rsidRPr="005750CF" w:rsidRDefault="005750CF" w:rsidP="005C3649">
            <w:pPr>
              <w:pStyle w:val="TableText"/>
              <w:jc w:val="right"/>
            </w:pPr>
            <w:r w:rsidRPr="005750CF">
              <w:t>390  </w:t>
            </w:r>
          </w:p>
        </w:tc>
        <w:tc>
          <w:tcPr>
            <w:tcW w:w="930" w:type="dxa"/>
            <w:vAlign w:val="center"/>
            <w:hideMark/>
          </w:tcPr>
          <w:p w14:paraId="07F6661D" w14:textId="77777777" w:rsidR="005750CF" w:rsidRPr="005750CF" w:rsidRDefault="005750CF" w:rsidP="005C3649">
            <w:pPr>
              <w:pStyle w:val="TableText"/>
              <w:jc w:val="right"/>
            </w:pPr>
            <w:r w:rsidRPr="005750CF">
              <w:t>498  </w:t>
            </w:r>
          </w:p>
        </w:tc>
        <w:tc>
          <w:tcPr>
            <w:tcW w:w="930" w:type="dxa"/>
            <w:vAlign w:val="center"/>
            <w:hideMark/>
          </w:tcPr>
          <w:p w14:paraId="12B82AB9" w14:textId="77777777" w:rsidR="005750CF" w:rsidRPr="005750CF" w:rsidRDefault="005750CF" w:rsidP="005C3649">
            <w:pPr>
              <w:pStyle w:val="TableText"/>
              <w:jc w:val="right"/>
            </w:pPr>
            <w:r w:rsidRPr="005750CF">
              <w:t>515  </w:t>
            </w:r>
          </w:p>
        </w:tc>
        <w:tc>
          <w:tcPr>
            <w:tcW w:w="795" w:type="dxa"/>
            <w:vAlign w:val="center"/>
            <w:hideMark/>
          </w:tcPr>
          <w:p w14:paraId="3E4BB9EC" w14:textId="77777777" w:rsidR="005750CF" w:rsidRPr="005750CF" w:rsidRDefault="005750CF" w:rsidP="005C3649">
            <w:pPr>
              <w:pStyle w:val="TableText"/>
              <w:jc w:val="right"/>
            </w:pPr>
            <w:r w:rsidRPr="005750CF">
              <w:t>523  </w:t>
            </w:r>
          </w:p>
        </w:tc>
        <w:tc>
          <w:tcPr>
            <w:tcW w:w="1440" w:type="dxa"/>
            <w:vAlign w:val="center"/>
            <w:hideMark/>
          </w:tcPr>
          <w:p w14:paraId="7A286DD8" w14:textId="77777777" w:rsidR="005750CF" w:rsidRPr="005750CF" w:rsidRDefault="005750CF" w:rsidP="005C3649">
            <w:pPr>
              <w:pStyle w:val="TableText"/>
              <w:jc w:val="right"/>
            </w:pPr>
            <w:r w:rsidRPr="005750CF">
              <w:t>↑ 61%  </w:t>
            </w:r>
          </w:p>
        </w:tc>
        <w:tc>
          <w:tcPr>
            <w:tcW w:w="1290" w:type="dxa"/>
            <w:vAlign w:val="center"/>
            <w:hideMark/>
          </w:tcPr>
          <w:p w14:paraId="7C0AF2DF" w14:textId="77777777" w:rsidR="005750CF" w:rsidRPr="005750CF" w:rsidRDefault="005750CF" w:rsidP="005C3649">
            <w:pPr>
              <w:pStyle w:val="TableText"/>
              <w:jc w:val="right"/>
            </w:pPr>
            <w:r w:rsidRPr="005750CF">
              <w:t>225  </w:t>
            </w:r>
          </w:p>
        </w:tc>
      </w:tr>
    </w:tbl>
    <w:p w14:paraId="21DBAEBF" w14:textId="77777777" w:rsidR="005750CF" w:rsidRPr="00455B89" w:rsidRDefault="005750CF" w:rsidP="005E4C12">
      <w:pPr>
        <w:pStyle w:val="BodyText3"/>
        <w:ind w:left="720" w:hanging="720"/>
      </w:pPr>
      <w:r w:rsidRPr="00455B89">
        <w:t>D.</w:t>
      </w:r>
      <w:r w:rsidRPr="00455B89">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03CB989A" w14:textId="37EC7C26" w:rsidR="005750CF" w:rsidRPr="00455B89" w:rsidRDefault="005750CF" w:rsidP="00455B89">
      <w:pPr>
        <w:pStyle w:val="BodyText"/>
      </w:pPr>
      <w:r w:rsidRPr="00455B89">
        <w:t xml:space="preserve">SRM was created in 1996 to ensure that the requirements of the Job Training Partnership Act (JTPA) and other federal programs were met. JTPA regulations at 20 Code of Federal Regulations (CFR) Part 627.475 require a “State monitoring plan…which…ensures that all </w:t>
      </w:r>
      <w:r w:rsidRPr="00455B89">
        <w:lastRenderedPageBreak/>
        <w:t>areas of Service Delivery Area (SDA) and Substate Grantee (SSG) operations are monitored on-site regularly, but not less than once annually.” Although WIOA replaced JTPA, the requirement to monitor annually remains.   </w:t>
      </w:r>
    </w:p>
    <w:p w14:paraId="34A9FCCD" w14:textId="77777777" w:rsidR="005750CF" w:rsidRPr="005750CF" w:rsidRDefault="005750CF" w:rsidP="00455B89">
      <w:pPr>
        <w:pStyle w:val="BodyText"/>
      </w:pPr>
      <w:r w:rsidRPr="005750CF">
        <w:t>TWC rules require monitoring of subrecipients and contract service providers (40 Texas Administrative Code (TAC) Part 20 Chapter 802 Subchapter D, Sections 802.61-802.64.   </w:t>
      </w:r>
    </w:p>
    <w:p w14:paraId="7854086E" w14:textId="77777777" w:rsidR="005750CF" w:rsidRPr="005750CF" w:rsidRDefault="005750CF" w:rsidP="00455B89">
      <w:pPr>
        <w:pStyle w:val="BodyText"/>
      </w:pPr>
      <w:r w:rsidRPr="005750CF">
        <w:t>SRM has been restructured since the 2013 Sunset Self Evaluation Report. Within SRM, there is a Fiscal Services Department which is comprised of an Audit Resolution section and a Single Audit section.  </w:t>
      </w:r>
    </w:p>
    <w:p w14:paraId="4AD45A7F" w14:textId="77777777" w:rsidR="005750CF" w:rsidRPr="005750CF" w:rsidRDefault="005750CF" w:rsidP="00455B89">
      <w:pPr>
        <w:pStyle w:val="BodyText"/>
      </w:pPr>
      <w:r w:rsidRPr="005750CF">
        <w:t>Audit Resolution  </w:t>
      </w:r>
    </w:p>
    <w:p w14:paraId="4FA0A1C3" w14:textId="77777777" w:rsidR="005750CF" w:rsidRPr="005750CF" w:rsidRDefault="005750CF" w:rsidP="00C64851">
      <w:pPr>
        <w:pStyle w:val="BodyText"/>
        <w:numPr>
          <w:ilvl w:val="0"/>
          <w:numId w:val="191"/>
        </w:numPr>
      </w:pPr>
      <w:r w:rsidRPr="005750CF">
        <w:t>Governed by 40 TAC Part 20 Chapter 802 Subchapter D, Sections 802.65.  </w:t>
      </w:r>
    </w:p>
    <w:p w14:paraId="606A97B2" w14:textId="77777777" w:rsidR="005750CF" w:rsidRPr="005750CF" w:rsidRDefault="005750CF" w:rsidP="00C64851">
      <w:pPr>
        <w:pStyle w:val="BodyText"/>
        <w:numPr>
          <w:ilvl w:val="0"/>
          <w:numId w:val="191"/>
        </w:numPr>
      </w:pPr>
      <w:r w:rsidRPr="005750CF">
        <w:t>Resolves federal, Board and Subrecipient monitoring findings.   </w:t>
      </w:r>
    </w:p>
    <w:p w14:paraId="744A6A0B" w14:textId="77777777" w:rsidR="005750CF" w:rsidRPr="005750CF" w:rsidRDefault="005750CF" w:rsidP="00C64851">
      <w:pPr>
        <w:pStyle w:val="BodyText"/>
        <w:numPr>
          <w:ilvl w:val="0"/>
          <w:numId w:val="191"/>
        </w:numPr>
      </w:pPr>
      <w:r w:rsidRPr="005750CF">
        <w:t>Responsible for State-level hearings and sanction requests.   </w:t>
      </w:r>
    </w:p>
    <w:p w14:paraId="65D314CA" w14:textId="77777777" w:rsidR="005750CF" w:rsidRPr="005750CF" w:rsidRDefault="005750CF" w:rsidP="00455B89">
      <w:pPr>
        <w:pStyle w:val="BodyText"/>
      </w:pPr>
      <w:r w:rsidRPr="005750CF">
        <w:t>Single Audit  </w:t>
      </w:r>
    </w:p>
    <w:p w14:paraId="6DD17FB1" w14:textId="77777777" w:rsidR="005750CF" w:rsidRPr="005750CF" w:rsidRDefault="005750CF" w:rsidP="00C64851">
      <w:pPr>
        <w:pStyle w:val="BodyText"/>
        <w:numPr>
          <w:ilvl w:val="0"/>
          <w:numId w:val="192"/>
        </w:numPr>
      </w:pPr>
      <w:r w:rsidRPr="005750CF">
        <w:t>Responsible for desk reviews of Grantee audit reports as required by the Office of Management and Budget (OMB) Circular A-133.   </w:t>
      </w:r>
    </w:p>
    <w:p w14:paraId="191CA23D" w14:textId="77777777" w:rsidR="005750CF" w:rsidRPr="005750CF" w:rsidRDefault="005750CF" w:rsidP="00C64851">
      <w:pPr>
        <w:pStyle w:val="BodyText"/>
        <w:numPr>
          <w:ilvl w:val="0"/>
          <w:numId w:val="192"/>
        </w:numPr>
      </w:pPr>
      <w:r w:rsidRPr="005750CF">
        <w:t>Review indirect cost rate proposals as the cognizant agency.   </w:t>
      </w:r>
    </w:p>
    <w:p w14:paraId="7A88B83A" w14:textId="77777777" w:rsidR="005750CF" w:rsidRPr="00455B89" w:rsidRDefault="005750CF" w:rsidP="005E4C12">
      <w:pPr>
        <w:pStyle w:val="BodyText3"/>
        <w:ind w:left="720" w:hanging="720"/>
      </w:pPr>
      <w:r w:rsidRPr="00455B89">
        <w:t>E.</w:t>
      </w:r>
      <w:r w:rsidRPr="00455B89">
        <w:tab/>
        <w:t>List any qualifications or eligibility requirements for persons or entities affected by this program, such as licensees, consumers, landowners, for example. Provide a statistical breakdown of persons or entities affected.  </w:t>
      </w:r>
    </w:p>
    <w:p w14:paraId="3B95B603" w14:textId="77777777" w:rsidR="005750CF" w:rsidRPr="005750CF" w:rsidRDefault="005750CF" w:rsidP="00455B89">
      <w:pPr>
        <w:pStyle w:val="BodyText"/>
      </w:pPr>
      <w:r w:rsidRPr="005750CF">
        <w:t>Subrecipient Monitoring activities affect:  </w:t>
      </w:r>
    </w:p>
    <w:p w14:paraId="7974720B" w14:textId="77777777" w:rsidR="005750CF" w:rsidRPr="005750CF" w:rsidRDefault="005750CF" w:rsidP="00455B89">
      <w:pPr>
        <w:pStyle w:val="BodyText"/>
      </w:pPr>
      <w:r w:rsidRPr="005750CF">
        <w:t>Workforce Development Boards, Subrecipient Service Providers, other grantee: Those selected for monitoring participate by coordinating with SRM, cooperating with the monitoring process including meetings, interviews, information-gathering, and testing, participation in the exit conference, development and implementation of a corrective action plan, if areas of concern were identified, and audit resolution, if needed.   </w:t>
      </w:r>
    </w:p>
    <w:p w14:paraId="034811DA" w14:textId="77777777" w:rsidR="005750CF" w:rsidRPr="005750CF" w:rsidRDefault="005750CF" w:rsidP="00C64851">
      <w:pPr>
        <w:pStyle w:val="BodyText"/>
        <w:numPr>
          <w:ilvl w:val="0"/>
          <w:numId w:val="195"/>
        </w:numPr>
      </w:pPr>
      <w:r w:rsidRPr="005750CF">
        <w:t>TWC divisions and departments such as Workforce Development, Child Care and Early Learning, Finance, and Office of Employer initiatives: Relevant TWC Divisions collaborate with SRM for the annual risk assessment of Boards and grantees. </w:t>
      </w:r>
    </w:p>
    <w:p w14:paraId="7EE1836D" w14:textId="77777777" w:rsidR="005750CF" w:rsidRPr="005750CF" w:rsidRDefault="005750CF" w:rsidP="00C64851">
      <w:pPr>
        <w:pStyle w:val="BodyText"/>
        <w:numPr>
          <w:ilvl w:val="0"/>
          <w:numId w:val="195"/>
        </w:numPr>
      </w:pPr>
      <w:r w:rsidRPr="005750CF">
        <w:t>TWC, State of Texas, Taxpayers, customers of the Texas Workforce Solutions Network: SRM monitoring efforts are designed to meet the goal of ensuring effective, efficient, and accountable state government operations. </w:t>
      </w:r>
    </w:p>
    <w:p w14:paraId="2C7BE563" w14:textId="77777777" w:rsidR="005750CF" w:rsidRPr="00455B89" w:rsidRDefault="005750CF" w:rsidP="005E4C12">
      <w:pPr>
        <w:pStyle w:val="BodyText3"/>
        <w:ind w:left="720" w:hanging="720"/>
      </w:pPr>
      <w:r w:rsidRPr="00455B89">
        <w:lastRenderedPageBreak/>
        <w:t>F.</w:t>
      </w:r>
      <w:r w:rsidRPr="00455B89">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2EAC7726" w14:textId="77777777" w:rsidR="00D94909" w:rsidRPr="005750CF" w:rsidRDefault="00D94909" w:rsidP="00D94909">
      <w:pPr>
        <w:pStyle w:val="BodyText"/>
      </w:pPr>
      <w:r w:rsidRPr="005750CF">
        <w:t>Subrecipient Monitoring  </w:t>
      </w:r>
    </w:p>
    <w:p w14:paraId="2963CA64" w14:textId="77777777" w:rsidR="00D94909" w:rsidRPr="005750CF" w:rsidRDefault="00D94909" w:rsidP="00C64851">
      <w:pPr>
        <w:pStyle w:val="BodyText"/>
        <w:numPr>
          <w:ilvl w:val="0"/>
          <w:numId w:val="193"/>
        </w:numPr>
      </w:pPr>
      <w:r w:rsidRPr="005750CF">
        <w:t>Serves Boards and agency Grantees that provide employer and participant services by providing feedback on operating results.  </w:t>
      </w:r>
    </w:p>
    <w:p w14:paraId="74583325" w14:textId="77777777" w:rsidR="00D94909" w:rsidRPr="005750CF" w:rsidRDefault="00D94909" w:rsidP="00C64851">
      <w:pPr>
        <w:pStyle w:val="BodyText"/>
        <w:numPr>
          <w:ilvl w:val="0"/>
          <w:numId w:val="193"/>
        </w:numPr>
      </w:pPr>
      <w:r w:rsidRPr="005750CF">
        <w:t>Provides 120 monitoring reviews.  </w:t>
      </w:r>
    </w:p>
    <w:p w14:paraId="76AF03F4" w14:textId="77777777" w:rsidR="00D94909" w:rsidRPr="005750CF" w:rsidRDefault="00D94909" w:rsidP="00C64851">
      <w:pPr>
        <w:pStyle w:val="BodyText"/>
        <w:numPr>
          <w:ilvl w:val="0"/>
          <w:numId w:val="193"/>
        </w:numPr>
      </w:pPr>
      <w:r w:rsidRPr="005750CF">
        <w:t>Provides resolution of 120 reviews, if applicable.  </w:t>
      </w:r>
    </w:p>
    <w:p w14:paraId="3337AF0A" w14:textId="77777777" w:rsidR="00D94909" w:rsidRPr="005750CF" w:rsidRDefault="00D94909" w:rsidP="00C64851">
      <w:pPr>
        <w:pStyle w:val="BodyText"/>
        <w:numPr>
          <w:ilvl w:val="0"/>
          <w:numId w:val="193"/>
        </w:numPr>
      </w:pPr>
      <w:r w:rsidRPr="005750CF">
        <w:t>Performs over 200 single audit desk reviews and 6 indirect cost rate proposals.   </w:t>
      </w:r>
    </w:p>
    <w:p w14:paraId="7A42CECC" w14:textId="77777777" w:rsidR="00D94909" w:rsidRPr="005750CF" w:rsidRDefault="00D94909" w:rsidP="00C64851">
      <w:pPr>
        <w:pStyle w:val="BodyText"/>
        <w:numPr>
          <w:ilvl w:val="0"/>
          <w:numId w:val="193"/>
        </w:numPr>
      </w:pPr>
      <w:r w:rsidRPr="005750CF">
        <w:t>Provides services to agency decision-makers by reporting the results of monitoring reviews, Single Audit reports, and resolution activities.   </w:t>
      </w:r>
    </w:p>
    <w:p w14:paraId="700462D7" w14:textId="77777777" w:rsidR="00D94909" w:rsidRPr="005750CF" w:rsidRDefault="00D94909" w:rsidP="00D94909">
      <w:pPr>
        <w:pStyle w:val="BodyText"/>
      </w:pPr>
      <w:r w:rsidRPr="005750CF">
        <w:t>FDCM Business Support has the responsibility to provide support to SRM by providing the following:   </w:t>
      </w:r>
    </w:p>
    <w:p w14:paraId="7350C052" w14:textId="77777777" w:rsidR="00D94909" w:rsidRPr="00455B89" w:rsidRDefault="00D94909" w:rsidP="00C64851">
      <w:pPr>
        <w:pStyle w:val="BodyText"/>
        <w:numPr>
          <w:ilvl w:val="0"/>
          <w:numId w:val="194"/>
        </w:numPr>
      </w:pPr>
      <w:r w:rsidRPr="00455B89">
        <w:t>Development and maintenance of the FDCM Application  </w:t>
      </w:r>
    </w:p>
    <w:p w14:paraId="7BEF117B" w14:textId="77777777" w:rsidR="00D94909" w:rsidRPr="00455B89" w:rsidRDefault="00D94909" w:rsidP="00C64851">
      <w:pPr>
        <w:pStyle w:val="BodyText"/>
        <w:numPr>
          <w:ilvl w:val="0"/>
          <w:numId w:val="194"/>
        </w:numPr>
      </w:pPr>
      <w:r w:rsidRPr="00455B89">
        <w:t>Child Care Early Warning Report – Bimonthly  </w:t>
      </w:r>
    </w:p>
    <w:p w14:paraId="1D7E9A17" w14:textId="77777777" w:rsidR="00D94909" w:rsidRPr="00455B89" w:rsidRDefault="00D94909" w:rsidP="00C64851">
      <w:pPr>
        <w:pStyle w:val="BodyText"/>
        <w:numPr>
          <w:ilvl w:val="0"/>
          <w:numId w:val="194"/>
        </w:numPr>
      </w:pPr>
      <w:r w:rsidRPr="00455B89">
        <w:t>Monitoring Samples (Annually for Each Board)  </w:t>
      </w:r>
    </w:p>
    <w:p w14:paraId="1CEA2851" w14:textId="77777777" w:rsidR="00D94909" w:rsidRPr="00455B89" w:rsidRDefault="00D94909" w:rsidP="00C64851">
      <w:pPr>
        <w:pStyle w:val="BodyText"/>
        <w:numPr>
          <w:ilvl w:val="0"/>
          <w:numId w:val="194"/>
        </w:numPr>
      </w:pPr>
      <w:r w:rsidRPr="00455B89">
        <w:t>Child Care Exception Reports – Quarterly  </w:t>
      </w:r>
    </w:p>
    <w:p w14:paraId="5E197B99" w14:textId="77777777" w:rsidR="00D94909" w:rsidRPr="00455B89" w:rsidRDefault="00D94909" w:rsidP="00C64851">
      <w:pPr>
        <w:pStyle w:val="BodyText"/>
        <w:numPr>
          <w:ilvl w:val="0"/>
          <w:numId w:val="194"/>
        </w:numPr>
      </w:pPr>
      <w:r w:rsidRPr="00455B89">
        <w:t>WIOA Data Validation (Annually for Each Board)  </w:t>
      </w:r>
    </w:p>
    <w:p w14:paraId="12A78410" w14:textId="77777777" w:rsidR="00D94909" w:rsidRPr="00455B89" w:rsidRDefault="00D94909" w:rsidP="00C64851">
      <w:pPr>
        <w:pStyle w:val="BodyText"/>
        <w:numPr>
          <w:ilvl w:val="0"/>
          <w:numId w:val="194"/>
        </w:numPr>
      </w:pPr>
      <w:r w:rsidRPr="00455B89">
        <w:t>AEL Data Validation (Annually)  </w:t>
      </w:r>
    </w:p>
    <w:p w14:paraId="3F82075F" w14:textId="77777777" w:rsidR="00D94909" w:rsidRPr="005750CF" w:rsidRDefault="00D94909" w:rsidP="00C64851">
      <w:pPr>
        <w:pStyle w:val="BodyText"/>
        <w:numPr>
          <w:ilvl w:val="0"/>
          <w:numId w:val="194"/>
        </w:numPr>
      </w:pPr>
      <w:r w:rsidRPr="005750CF">
        <w:t>Child Care Data Validation (Every Three Years for Each Board) </w:t>
      </w:r>
    </w:p>
    <w:p w14:paraId="281BCA07" w14:textId="77777777" w:rsidR="005750CF" w:rsidRPr="005750CF" w:rsidRDefault="005750CF" w:rsidP="00455B89">
      <w:pPr>
        <w:pStyle w:val="BodyText"/>
      </w:pPr>
      <w:r w:rsidRPr="005750CF">
        <w:t>The Subrecipient Monitoring Lifecycle consists of four distinct phases:   </w:t>
      </w:r>
    </w:p>
    <w:p w14:paraId="4D2237D3" w14:textId="77777777" w:rsidR="005750CF" w:rsidRPr="005750CF" w:rsidRDefault="005750CF" w:rsidP="00C64851">
      <w:pPr>
        <w:pStyle w:val="BodyText"/>
        <w:numPr>
          <w:ilvl w:val="0"/>
          <w:numId w:val="196"/>
        </w:numPr>
      </w:pPr>
      <w:r w:rsidRPr="005750CF">
        <w:t>Annual Risk Assessment:   </w:t>
      </w:r>
    </w:p>
    <w:p w14:paraId="34C465DB" w14:textId="77777777" w:rsidR="005750CF" w:rsidRPr="005750CF" w:rsidRDefault="005750CF" w:rsidP="00C64851">
      <w:pPr>
        <w:pStyle w:val="BodyText"/>
        <w:numPr>
          <w:ilvl w:val="1"/>
          <w:numId w:val="199"/>
        </w:numPr>
      </w:pPr>
      <w:r w:rsidRPr="005750CF">
        <w:t>Subrecipient Monitoring (SRM) completes an annual risk assessment of Boards and grantees prior to the fiscal year monitoring cycle.   </w:t>
      </w:r>
    </w:p>
    <w:p w14:paraId="6D8451FB" w14:textId="77777777" w:rsidR="005750CF" w:rsidRPr="005750CF" w:rsidRDefault="005750CF" w:rsidP="00C64851">
      <w:pPr>
        <w:pStyle w:val="BodyText"/>
        <w:numPr>
          <w:ilvl w:val="1"/>
          <w:numId w:val="199"/>
        </w:numPr>
      </w:pPr>
      <w:r w:rsidRPr="005750CF">
        <w:t>SRM works in collaboration with all applicable TWC Divisions and Departments to identify areas of fiscal and program risks to the mission of TWC.   </w:t>
      </w:r>
    </w:p>
    <w:p w14:paraId="0849F8B5" w14:textId="77777777" w:rsidR="005750CF" w:rsidRPr="005750CF" w:rsidRDefault="005750CF" w:rsidP="00C64851">
      <w:pPr>
        <w:pStyle w:val="BodyText"/>
        <w:numPr>
          <w:ilvl w:val="1"/>
          <w:numId w:val="199"/>
        </w:numPr>
      </w:pPr>
      <w:r w:rsidRPr="005750CF">
        <w:lastRenderedPageBreak/>
        <w:t>SRM uses a matrix to identify Board activities and assign a level of risk to each activity using formal risk assessment methodology.  </w:t>
      </w:r>
    </w:p>
    <w:p w14:paraId="18D6E83C" w14:textId="77777777" w:rsidR="005750CF" w:rsidRPr="005750CF" w:rsidRDefault="005750CF" w:rsidP="00C64851">
      <w:pPr>
        <w:pStyle w:val="BodyText"/>
        <w:numPr>
          <w:ilvl w:val="1"/>
          <w:numId w:val="199"/>
        </w:numPr>
      </w:pPr>
      <w:r w:rsidRPr="005750CF">
        <w:t>The risk assessment identifies areas of highest risk and informs the Annual SRM Monitoring Plan to ensure the most effective use of monitoring resources. The Legislative Budget Board (LBB) performance goal for SRM is 120 reviews (including Board, non-Board, data validation, and other reviews).   </w:t>
      </w:r>
    </w:p>
    <w:p w14:paraId="07980D48" w14:textId="77777777" w:rsidR="005750CF" w:rsidRPr="005750CF" w:rsidRDefault="005750CF" w:rsidP="00C64851">
      <w:pPr>
        <w:pStyle w:val="BodyText"/>
        <w:numPr>
          <w:ilvl w:val="1"/>
          <w:numId w:val="199"/>
        </w:numPr>
      </w:pPr>
      <w:r w:rsidRPr="005750CF">
        <w:t>The Annual SRM monitoring plan is approved by the TWC Executive Director.   </w:t>
      </w:r>
    </w:p>
    <w:p w14:paraId="6F424192" w14:textId="77777777" w:rsidR="005750CF" w:rsidRPr="005750CF" w:rsidRDefault="005750CF" w:rsidP="00C64851">
      <w:pPr>
        <w:pStyle w:val="BodyText"/>
        <w:numPr>
          <w:ilvl w:val="0"/>
          <w:numId w:val="196"/>
        </w:numPr>
      </w:pPr>
      <w:r w:rsidRPr="005750CF">
        <w:t>Pre-Review:  </w:t>
      </w:r>
    </w:p>
    <w:p w14:paraId="5BDA63A4" w14:textId="77777777" w:rsidR="005750CF" w:rsidRPr="005750CF" w:rsidRDefault="005750CF" w:rsidP="00C64851">
      <w:pPr>
        <w:pStyle w:val="BodyText"/>
        <w:numPr>
          <w:ilvl w:val="1"/>
          <w:numId w:val="200"/>
        </w:numPr>
      </w:pPr>
      <w:r w:rsidRPr="005750CF">
        <w:t>The SRM project team initiates the monitoring project with the Board Executive Director.  </w:t>
      </w:r>
    </w:p>
    <w:p w14:paraId="642D701B" w14:textId="77777777" w:rsidR="005750CF" w:rsidRPr="005750CF" w:rsidRDefault="005750CF" w:rsidP="00C64851">
      <w:pPr>
        <w:pStyle w:val="BodyText"/>
        <w:numPr>
          <w:ilvl w:val="1"/>
          <w:numId w:val="200"/>
        </w:numPr>
      </w:pPr>
      <w:r w:rsidRPr="005750CF">
        <w:t>The SRM project manager works with the Board Executive Director to schedule the review and sends an Engagement Letter and Confirmation page for signature no later than 12 weeks before the review.   </w:t>
      </w:r>
    </w:p>
    <w:p w14:paraId="3E329A5E" w14:textId="77777777" w:rsidR="005750CF" w:rsidRPr="005750CF" w:rsidRDefault="005750CF" w:rsidP="00C64851">
      <w:pPr>
        <w:pStyle w:val="BodyText"/>
        <w:numPr>
          <w:ilvl w:val="1"/>
          <w:numId w:val="200"/>
        </w:numPr>
      </w:pPr>
      <w:r w:rsidRPr="005750CF">
        <w:t>SRM provides the Board with a Document Request Packet no later than 8 weeks prior to the review. The documentation requested will be reviewed by SRM for compliance with grant and other requirements.  </w:t>
      </w:r>
    </w:p>
    <w:p w14:paraId="3658EAD4" w14:textId="77777777" w:rsidR="005750CF" w:rsidRPr="005750CF" w:rsidRDefault="005750CF" w:rsidP="00C64851">
      <w:pPr>
        <w:pStyle w:val="BodyText"/>
        <w:numPr>
          <w:ilvl w:val="1"/>
          <w:numId w:val="200"/>
        </w:numPr>
      </w:pPr>
      <w:r w:rsidRPr="005750CF">
        <w:t>No later than 4 weeks before the start of the review, a desk review is conducted by the SRM project team.   </w:t>
      </w:r>
    </w:p>
    <w:p w14:paraId="0C35A953" w14:textId="77777777" w:rsidR="005750CF" w:rsidRPr="005750CF" w:rsidRDefault="005750CF" w:rsidP="00C64851">
      <w:pPr>
        <w:pStyle w:val="BodyText"/>
        <w:numPr>
          <w:ilvl w:val="1"/>
          <w:numId w:val="200"/>
        </w:numPr>
      </w:pPr>
      <w:r w:rsidRPr="005750CF">
        <w:t>Questionnaires and samples are requested no later than one week prior to the Entrance Conference.  </w:t>
      </w:r>
    </w:p>
    <w:p w14:paraId="01AD949F" w14:textId="77777777" w:rsidR="005750CF" w:rsidRPr="005750CF" w:rsidRDefault="005750CF" w:rsidP="00C64851">
      <w:pPr>
        <w:pStyle w:val="BodyText"/>
        <w:numPr>
          <w:ilvl w:val="0"/>
          <w:numId w:val="196"/>
        </w:numPr>
      </w:pPr>
      <w:r w:rsidRPr="005750CF">
        <w:t>Review:  </w:t>
      </w:r>
    </w:p>
    <w:p w14:paraId="7B2B4577" w14:textId="77777777" w:rsidR="005750CF" w:rsidRPr="005750CF" w:rsidRDefault="005750CF" w:rsidP="00C64851">
      <w:pPr>
        <w:pStyle w:val="BodyText"/>
        <w:numPr>
          <w:ilvl w:val="1"/>
          <w:numId w:val="201"/>
        </w:numPr>
      </w:pPr>
      <w:r w:rsidRPr="005750CF">
        <w:t>The SRM project team will conduct an Entrance Conference with the Board laying out the parameters for the review, establish points of contact for interviews, information-gathering and testing, and answer questions about the process.  </w:t>
      </w:r>
    </w:p>
    <w:p w14:paraId="4614DECB" w14:textId="77777777" w:rsidR="005750CF" w:rsidRPr="005750CF" w:rsidRDefault="005750CF" w:rsidP="00C64851">
      <w:pPr>
        <w:pStyle w:val="BodyText"/>
        <w:numPr>
          <w:ilvl w:val="1"/>
          <w:numId w:val="201"/>
        </w:numPr>
      </w:pPr>
      <w:r w:rsidRPr="005750CF">
        <w:t>The SRM team provides daily updates and any potential findings.  </w:t>
      </w:r>
    </w:p>
    <w:p w14:paraId="29B3E631" w14:textId="77777777" w:rsidR="005750CF" w:rsidRPr="005750CF" w:rsidRDefault="005750CF" w:rsidP="00C64851">
      <w:pPr>
        <w:pStyle w:val="BodyText"/>
        <w:numPr>
          <w:ilvl w:val="1"/>
          <w:numId w:val="201"/>
        </w:numPr>
      </w:pPr>
      <w:r w:rsidRPr="005750CF">
        <w:t>At the conclusion of the review, the SRM project manager will schedule an exit conference with the Board and issue an exit conference report documenting any potential issues identified during the review.  </w:t>
      </w:r>
    </w:p>
    <w:p w14:paraId="7592B479" w14:textId="77777777" w:rsidR="005750CF" w:rsidRPr="005750CF" w:rsidRDefault="005750CF" w:rsidP="00C64851">
      <w:pPr>
        <w:pStyle w:val="BodyText"/>
        <w:numPr>
          <w:ilvl w:val="0"/>
          <w:numId w:val="196"/>
        </w:numPr>
      </w:pPr>
      <w:r w:rsidRPr="005750CF">
        <w:t>Post Review:  </w:t>
      </w:r>
    </w:p>
    <w:p w14:paraId="18227B86" w14:textId="77777777" w:rsidR="005750CF" w:rsidRPr="005750CF" w:rsidRDefault="005750CF" w:rsidP="00C64851">
      <w:pPr>
        <w:pStyle w:val="BodyText"/>
        <w:numPr>
          <w:ilvl w:val="1"/>
          <w:numId w:val="202"/>
        </w:numPr>
      </w:pPr>
      <w:r w:rsidRPr="005750CF">
        <w:lastRenderedPageBreak/>
        <w:t>SRM provides a draft copy of the monitoring report to applicable TWC staff for a 48-hour review and comment period.   </w:t>
      </w:r>
    </w:p>
    <w:p w14:paraId="7DE97701" w14:textId="77777777" w:rsidR="005750CF" w:rsidRPr="005750CF" w:rsidRDefault="005750CF" w:rsidP="00C64851">
      <w:pPr>
        <w:pStyle w:val="BodyText"/>
        <w:numPr>
          <w:ilvl w:val="1"/>
          <w:numId w:val="202"/>
        </w:numPr>
      </w:pPr>
      <w:r w:rsidRPr="005750CF">
        <w:t>SRM provides an informational copy to the Board Executive Director 5 days in advance of issuance giving the Board the ability to provide responses, corrective action plans and anticipated implementation dates, and person’s responsible for the corrective action. The Board’s response will be included in the final report.   </w:t>
      </w:r>
    </w:p>
    <w:p w14:paraId="00874B77" w14:textId="77777777" w:rsidR="005750CF" w:rsidRPr="005750CF" w:rsidRDefault="005750CF" w:rsidP="00C64851">
      <w:pPr>
        <w:pStyle w:val="BodyText"/>
        <w:numPr>
          <w:ilvl w:val="1"/>
          <w:numId w:val="202"/>
        </w:numPr>
      </w:pPr>
      <w:r w:rsidRPr="005750CF">
        <w:t>The final monitoring report is issued to the Board Chair, Board Executive Director, Designated representatives of the US Department of Health and Human Services, the Designated representatives of the US Department of Labor, Texas Workforce Commissioners, and Agency executive staff, pursuant to Commission Rule §802.65(a).  </w:t>
      </w:r>
    </w:p>
    <w:p w14:paraId="6166CF7F" w14:textId="77777777" w:rsidR="005750CF" w:rsidRPr="005750CF" w:rsidRDefault="005750CF" w:rsidP="00662328">
      <w:pPr>
        <w:pStyle w:val="BodyText"/>
      </w:pPr>
      <w:r w:rsidRPr="005750CF">
        <w:t>After the SRM Monitoring report is issued, the Audit Resolution process begins. Audit Resolution will send an initial request letter requesting documentation within 45 calendar days of the letter issuance. Audit Resolution will work with the grantee on the monitoring findings.   </w:t>
      </w:r>
    </w:p>
    <w:p w14:paraId="40332EFA" w14:textId="77777777" w:rsidR="005750CF" w:rsidRPr="005750CF" w:rsidRDefault="005750CF" w:rsidP="00662328">
      <w:pPr>
        <w:pStyle w:val="BodyText"/>
      </w:pPr>
      <w:r w:rsidRPr="005750CF">
        <w:t>For consecutive year findings noted by SRM, sanctions may be requested. Any questioned costs identified by SRM will be either allowed or disallowed (money is subject to repayment to TWC). Disagreements with disallowance will continue through a series of processes, ending in an administrative hearing by a TWC hearing officer. </w:t>
      </w:r>
    </w:p>
    <w:p w14:paraId="069E0B15" w14:textId="77777777" w:rsidR="005750CF" w:rsidRPr="005750CF" w:rsidRDefault="005750CF" w:rsidP="005E4C12">
      <w:pPr>
        <w:pStyle w:val="BodyText3"/>
        <w:ind w:left="720" w:hanging="720"/>
      </w:pPr>
      <w:r w:rsidRPr="005750CF">
        <w:t>G.</w:t>
      </w:r>
      <w:r w:rsidRPr="005750CF">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065"/>
        <w:gridCol w:w="2431"/>
        <w:gridCol w:w="1754"/>
        <w:gridCol w:w="2110"/>
      </w:tblGrid>
      <w:tr w:rsidR="009C0D16" w:rsidRPr="00347ED8" w14:paraId="5BDA2993" w14:textId="77777777" w:rsidTr="009C0D16">
        <w:trPr>
          <w:trHeight w:val="288"/>
        </w:trPr>
        <w:tc>
          <w:tcPr>
            <w:tcW w:w="3415" w:type="dxa"/>
            <w:shd w:val="clear" w:color="auto" w:fill="B8CCE4" w:themeFill="accent1" w:themeFillTint="66"/>
            <w:vAlign w:val="center"/>
            <w:hideMark/>
          </w:tcPr>
          <w:p w14:paraId="3425E4E3" w14:textId="77777777" w:rsidR="009C0D16" w:rsidRPr="00347ED8" w:rsidRDefault="009C0D16" w:rsidP="009C0D16">
            <w:pPr>
              <w:pStyle w:val="TableHeaders"/>
              <w:rPr>
                <w:color w:val="000000"/>
              </w:rPr>
            </w:pPr>
            <w:r w:rsidRPr="00347ED8">
              <w:t>Program or Function Detail Description</w:t>
            </w:r>
          </w:p>
        </w:tc>
        <w:tc>
          <w:tcPr>
            <w:tcW w:w="2700" w:type="dxa"/>
            <w:shd w:val="clear" w:color="auto" w:fill="B8CCE4" w:themeFill="accent1" w:themeFillTint="66"/>
            <w:vAlign w:val="center"/>
            <w:hideMark/>
          </w:tcPr>
          <w:p w14:paraId="2CCAB920" w14:textId="77777777" w:rsidR="009C0D16" w:rsidRPr="00347ED8" w:rsidRDefault="009C0D16" w:rsidP="009C0D16">
            <w:pPr>
              <w:pStyle w:val="TableHeaders"/>
              <w:rPr>
                <w:color w:val="000000"/>
              </w:rPr>
            </w:pPr>
            <w:r w:rsidRPr="00347ED8">
              <w:t>Total FY 2024</w:t>
            </w:r>
          </w:p>
        </w:tc>
        <w:tc>
          <w:tcPr>
            <w:tcW w:w="1890" w:type="dxa"/>
            <w:shd w:val="clear" w:color="auto" w:fill="B8CCE4" w:themeFill="accent1" w:themeFillTint="66"/>
            <w:vAlign w:val="center"/>
            <w:hideMark/>
          </w:tcPr>
          <w:p w14:paraId="782CC03C" w14:textId="77777777" w:rsidR="009C0D16" w:rsidRPr="00347ED8" w:rsidRDefault="009C0D16" w:rsidP="009C0D16">
            <w:pPr>
              <w:pStyle w:val="TableHeaders"/>
              <w:rPr>
                <w:color w:val="000000"/>
              </w:rPr>
            </w:pPr>
            <w:r w:rsidRPr="00347ED8">
              <w:t>Federal Funding</w:t>
            </w:r>
          </w:p>
        </w:tc>
        <w:tc>
          <w:tcPr>
            <w:tcW w:w="2335" w:type="dxa"/>
            <w:shd w:val="clear" w:color="auto" w:fill="B8CCE4" w:themeFill="accent1" w:themeFillTint="66"/>
            <w:vAlign w:val="center"/>
            <w:hideMark/>
          </w:tcPr>
          <w:p w14:paraId="67D7C62A" w14:textId="77777777" w:rsidR="009C0D16" w:rsidRPr="00347ED8" w:rsidRDefault="009C0D16" w:rsidP="009C0D16">
            <w:pPr>
              <w:pStyle w:val="TableHeaders"/>
              <w:rPr>
                <w:color w:val="000000"/>
              </w:rPr>
            </w:pPr>
            <w:r w:rsidRPr="00347ED8">
              <w:t>State Funding</w:t>
            </w:r>
          </w:p>
        </w:tc>
      </w:tr>
      <w:tr w:rsidR="009C0D16" w:rsidRPr="00347ED8" w14:paraId="381A6715" w14:textId="77777777" w:rsidTr="009C0D16">
        <w:trPr>
          <w:trHeight w:val="288"/>
        </w:trPr>
        <w:tc>
          <w:tcPr>
            <w:tcW w:w="3415" w:type="dxa"/>
            <w:vAlign w:val="center"/>
            <w:hideMark/>
          </w:tcPr>
          <w:p w14:paraId="5B79D0F4" w14:textId="77777777" w:rsidR="009C0D16" w:rsidRPr="00347ED8" w:rsidRDefault="009C0D16" w:rsidP="009C0D16">
            <w:pPr>
              <w:pStyle w:val="TableText"/>
            </w:pPr>
            <w:r w:rsidRPr="00347ED8">
              <w:t>Subrecipient Monitoring</w:t>
            </w:r>
          </w:p>
        </w:tc>
        <w:tc>
          <w:tcPr>
            <w:tcW w:w="2700" w:type="dxa"/>
            <w:vAlign w:val="center"/>
            <w:hideMark/>
          </w:tcPr>
          <w:p w14:paraId="6B5217B3" w14:textId="3F78E04D" w:rsidR="009C0D16" w:rsidRPr="00347ED8" w:rsidRDefault="009C0D16" w:rsidP="009C0D16">
            <w:pPr>
              <w:pStyle w:val="TableText"/>
              <w:jc w:val="right"/>
            </w:pPr>
            <w:r w:rsidRPr="00347ED8">
              <w:t xml:space="preserve">3,064,940 </w:t>
            </w:r>
          </w:p>
        </w:tc>
        <w:tc>
          <w:tcPr>
            <w:tcW w:w="1890" w:type="dxa"/>
            <w:vAlign w:val="center"/>
            <w:hideMark/>
          </w:tcPr>
          <w:p w14:paraId="47641FEB" w14:textId="2CE899C9" w:rsidR="009C0D16" w:rsidRPr="00347ED8" w:rsidRDefault="009C0D16" w:rsidP="009C0D16">
            <w:pPr>
              <w:pStyle w:val="TableText"/>
              <w:jc w:val="right"/>
            </w:pPr>
            <w:r w:rsidRPr="00347ED8">
              <w:t xml:space="preserve">2,623,568 </w:t>
            </w:r>
          </w:p>
        </w:tc>
        <w:tc>
          <w:tcPr>
            <w:tcW w:w="2335" w:type="dxa"/>
            <w:vAlign w:val="center"/>
            <w:hideMark/>
          </w:tcPr>
          <w:p w14:paraId="672957CE" w14:textId="23171FA2" w:rsidR="009C0D16" w:rsidRPr="00347ED8" w:rsidRDefault="009C0D16" w:rsidP="009C0D16">
            <w:pPr>
              <w:pStyle w:val="TableText"/>
              <w:jc w:val="right"/>
            </w:pPr>
            <w:r w:rsidRPr="00347ED8">
              <w:t xml:space="preserve">441,372 </w:t>
            </w:r>
          </w:p>
        </w:tc>
      </w:tr>
    </w:tbl>
    <w:p w14:paraId="6223F41D" w14:textId="77777777" w:rsidR="005750CF" w:rsidRPr="005E4C12" w:rsidRDefault="005750CF" w:rsidP="005E4C12">
      <w:pPr>
        <w:pStyle w:val="BodyText3"/>
        <w:ind w:left="720" w:hanging="720"/>
      </w:pPr>
      <w:r w:rsidRPr="005E4C12">
        <w:t>H.</w:t>
      </w:r>
      <w:r w:rsidRPr="005E4C12">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24B76071" w14:textId="6922570E" w:rsidR="005750CF" w:rsidRPr="005750CF" w:rsidRDefault="009D2441" w:rsidP="00662328">
      <w:pPr>
        <w:pStyle w:val="BodyText"/>
      </w:pPr>
      <w:r>
        <w:t>N/A</w:t>
      </w:r>
    </w:p>
    <w:p w14:paraId="29FBA6F1" w14:textId="77777777" w:rsidR="005750CF" w:rsidRPr="00662328" w:rsidRDefault="005750CF" w:rsidP="005E4C12">
      <w:pPr>
        <w:pStyle w:val="BodyText3"/>
        <w:ind w:left="720" w:hanging="720"/>
      </w:pPr>
      <w:r w:rsidRPr="00662328">
        <w:lastRenderedPageBreak/>
        <w:t>I.</w:t>
      </w:r>
      <w:r w:rsidRPr="00662328">
        <w:tab/>
        <w:t>If the division or program works with local, regional, or federal units of government, include a brief description of these entities and their relationship to the agency. </w:t>
      </w:r>
    </w:p>
    <w:p w14:paraId="364047DD" w14:textId="75783B02" w:rsidR="005750CF" w:rsidRPr="005750CF" w:rsidRDefault="005750CF" w:rsidP="00662328">
      <w:pPr>
        <w:pStyle w:val="BodyText"/>
      </w:pPr>
      <w:r w:rsidRPr="005750CF">
        <w:t xml:space="preserve">Due to a recent audit by the United States Department of Agriculture Food and Nutrition Services </w:t>
      </w:r>
      <w:proofErr w:type="gramStart"/>
      <w:r w:rsidRPr="005750CF">
        <w:t>Division ,</w:t>
      </w:r>
      <w:proofErr w:type="gramEnd"/>
      <w:r w:rsidRPr="005750CF">
        <w:t xml:space="preserve"> </w:t>
      </w:r>
      <w:r w:rsidR="21AF10C1">
        <w:t xml:space="preserve">Food and Nutrition Services </w:t>
      </w:r>
      <w:r w:rsidRPr="005750CF">
        <w:t xml:space="preserve"> noted that Texas HHS does not have oversight of the Employment and Training portion of the SNAP.</w:t>
      </w:r>
      <w:r>
        <w:t> </w:t>
      </w:r>
      <w:r w:rsidRPr="005750CF">
        <w:t xml:space="preserve"> Texas HHS conducts SNAP eligibility but has an agreement with TWC for TWC to manage the Employment and Training portion of the program. </w:t>
      </w:r>
      <w:r w:rsidR="51D5F559">
        <w:t xml:space="preserve">Food and Nutrition </w:t>
      </w:r>
      <w:proofErr w:type="gramStart"/>
      <w:r w:rsidR="51D5F559">
        <w:t xml:space="preserve">Services </w:t>
      </w:r>
      <w:r w:rsidRPr="005750CF">
        <w:t xml:space="preserve"> recommended</w:t>
      </w:r>
      <w:proofErr w:type="gramEnd"/>
      <w:r w:rsidRPr="005750CF">
        <w:t xml:space="preserve"> Texas HHS to learn TWC’s fiscal and program monitoring process. SRM has spent a significant amount of time training HHS staff in how to monitor the program and facilitates the review of Boards with HHS.</w:t>
      </w:r>
      <w:r>
        <w:t>  </w:t>
      </w:r>
      <w:r w:rsidRPr="005750CF">
        <w:t> </w:t>
      </w:r>
    </w:p>
    <w:p w14:paraId="5B11BABB" w14:textId="77777777" w:rsidR="005750CF" w:rsidRPr="005750CF" w:rsidRDefault="005750CF" w:rsidP="00662328">
      <w:pPr>
        <w:pStyle w:val="BodyText"/>
      </w:pPr>
      <w:r w:rsidRPr="005750CF">
        <w:t>SRM also works closely with the US Department of Health and Human Services Administration of Children and Families on the Child Care Improper Payments review every three years.  </w:t>
      </w:r>
    </w:p>
    <w:p w14:paraId="523582C8" w14:textId="77777777" w:rsidR="005750CF" w:rsidRPr="005750CF" w:rsidRDefault="005750CF" w:rsidP="00662328">
      <w:pPr>
        <w:pStyle w:val="BodyText"/>
      </w:pPr>
      <w:r w:rsidRPr="005750CF">
        <w:t>SRM coordinates with other divisions to address state and federal audits multiple times per year. </w:t>
      </w:r>
    </w:p>
    <w:p w14:paraId="69E70D3E" w14:textId="77777777" w:rsidR="005750CF" w:rsidRPr="00662328" w:rsidRDefault="005750CF" w:rsidP="005E4C12">
      <w:pPr>
        <w:pStyle w:val="BodyText3"/>
        <w:ind w:left="720" w:hanging="720"/>
      </w:pPr>
      <w:r w:rsidRPr="00662328">
        <w:t>J.</w:t>
      </w:r>
      <w:r w:rsidRPr="00662328">
        <w:tab/>
        <w:t>Are there any barriers or challenges that impede the division or program’s performance, including any outdated or ineffective state laws? Explain. </w:t>
      </w:r>
    </w:p>
    <w:p w14:paraId="5FF3F484" w14:textId="77777777" w:rsidR="005750CF" w:rsidRPr="005750CF" w:rsidRDefault="005750CF" w:rsidP="00662328">
      <w:pPr>
        <w:pStyle w:val="BodyText"/>
      </w:pPr>
      <w:r w:rsidRPr="005750CF">
        <w:t>N/A </w:t>
      </w:r>
    </w:p>
    <w:p w14:paraId="2CF8427F" w14:textId="77777777" w:rsidR="005750CF" w:rsidRPr="00662328" w:rsidRDefault="005750CF" w:rsidP="005E4C12">
      <w:pPr>
        <w:pStyle w:val="BodyText3"/>
        <w:ind w:left="720" w:hanging="720"/>
      </w:pPr>
      <w:r w:rsidRPr="00662328">
        <w:t>K.</w:t>
      </w:r>
      <w:r w:rsidRPr="00662328">
        <w:tab/>
        <w:t>Provide any additional information needed to gain a preliminary understanding of the division or program. </w:t>
      </w:r>
    </w:p>
    <w:p w14:paraId="4B1BD41C" w14:textId="77777777" w:rsidR="005750CF" w:rsidRPr="005750CF" w:rsidRDefault="005750CF" w:rsidP="00662328">
      <w:pPr>
        <w:pStyle w:val="BodyText"/>
      </w:pPr>
      <w:r w:rsidRPr="005750CF">
        <w:t>TWC Internal Audit noted in a 2019 report that some Apprenticeship grants have not been monitored. TWC SRM includes these grants in its risk assessment and the TWC Workforce Division provides information on any concerns with Apprenticeship grantees.  In 2020, TWC Internal Audit noted that TWC SRM does not provide copies of monitoring reports internally to our I|3 Division.  All monitoring reports are now provided to this division. </w:t>
      </w:r>
    </w:p>
    <w:p w14:paraId="05A50513" w14:textId="77777777" w:rsidR="005750CF" w:rsidRPr="00662328" w:rsidRDefault="005750CF" w:rsidP="005E4C12">
      <w:pPr>
        <w:pStyle w:val="BodyText3"/>
        <w:ind w:left="720" w:hanging="720"/>
      </w:pPr>
      <w:r w:rsidRPr="00662328">
        <w:t>L.</w:t>
      </w:r>
      <w:r w:rsidRPr="00662328">
        <w:tab/>
        <w:t>Regulatory programs relate to the licensing, registration, certification, or permitting of a person, business, piece of equipment, or other entity (e.g., a facility). For each regulatory program, if applicable, describe: </w:t>
      </w:r>
    </w:p>
    <w:p w14:paraId="59AD71FD" w14:textId="77777777" w:rsidR="005750CF" w:rsidRPr="005750CF" w:rsidRDefault="005750CF" w:rsidP="00662328">
      <w:pPr>
        <w:pStyle w:val="BodyText"/>
      </w:pPr>
      <w:r w:rsidRPr="005750CF">
        <w:t>N/A </w:t>
      </w:r>
    </w:p>
    <w:p w14:paraId="6DFACBE0" w14:textId="77777777" w:rsidR="005750CF" w:rsidRPr="00662328" w:rsidRDefault="005750CF" w:rsidP="005E4C12">
      <w:pPr>
        <w:pStyle w:val="BodyText3"/>
        <w:ind w:left="720" w:hanging="720"/>
      </w:pPr>
      <w:r w:rsidRPr="00662328">
        <w:t>M.</w:t>
      </w:r>
      <w:r w:rsidRPr="00662328">
        <w:tab/>
        <w:t xml:space="preserve">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w:t>
      </w:r>
      <w:r w:rsidRPr="00662328">
        <w:lastRenderedPageBreak/>
        <w:t>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6ED3938C" w14:textId="77777777" w:rsidR="00422F8E" w:rsidRDefault="005750CF" w:rsidP="00081214">
      <w:pPr>
        <w:pStyle w:val="BodyText"/>
      </w:pPr>
      <w:r w:rsidRPr="005750CF">
        <w:t>N/A</w:t>
      </w:r>
    </w:p>
    <w:p w14:paraId="175331F4" w14:textId="6312F6CE" w:rsidR="00662328" w:rsidRDefault="00662328" w:rsidP="00081214">
      <w:pPr>
        <w:pStyle w:val="BodyText"/>
        <w:rPr>
          <w:b/>
          <w:sz w:val="20"/>
          <w:szCs w:val="20"/>
        </w:rPr>
      </w:pPr>
    </w:p>
    <w:p w14:paraId="44FD22F2" w14:textId="77777777" w:rsidR="007A12DC" w:rsidRPr="007A12DC" w:rsidRDefault="007A12DC" w:rsidP="007A12DC">
      <w:pPr>
        <w:pStyle w:val="BodyText3"/>
        <w:rPr>
          <w:b w:val="0"/>
        </w:rPr>
      </w:pPr>
      <w:r w:rsidRPr="007A12DC">
        <w:t>Fraud Prosecutions Unit</w:t>
      </w:r>
      <w:r w:rsidRPr="007A12DC">
        <w:rPr>
          <w:b w:val="0"/>
        </w:rPr>
        <w:t> </w:t>
      </w:r>
    </w:p>
    <w:p w14:paraId="3159D696" w14:textId="77777777" w:rsidR="007A12DC" w:rsidRPr="007A12DC" w:rsidRDefault="007A12DC" w:rsidP="007A12DC">
      <w:pPr>
        <w:pStyle w:val="BodyText3"/>
      </w:pPr>
      <w:r w:rsidRPr="007A12DC">
        <w:t>A.</w:t>
      </w:r>
      <w:r w:rsidRPr="007A12DC">
        <w:tab/>
        <w:t>Provide the following information at the beginning of each description. </w:t>
      </w:r>
    </w:p>
    <w:p w14:paraId="5E8A188C" w14:textId="77777777" w:rsidR="007A12DC" w:rsidRPr="007A12DC" w:rsidRDefault="007A12DC" w:rsidP="00C64851">
      <w:pPr>
        <w:pStyle w:val="BodyText"/>
        <w:numPr>
          <w:ilvl w:val="0"/>
          <w:numId w:val="203"/>
        </w:numPr>
        <w:spacing w:before="120" w:after="120"/>
      </w:pPr>
      <w:r w:rsidRPr="007A12DC">
        <w:t>Name of division or program: Fraud Prosecutions Unit </w:t>
      </w:r>
    </w:p>
    <w:p w14:paraId="72DCADD0" w14:textId="77777777" w:rsidR="007A12DC" w:rsidRPr="007A12DC" w:rsidRDefault="007A12DC" w:rsidP="00C64851">
      <w:pPr>
        <w:pStyle w:val="BodyText"/>
        <w:numPr>
          <w:ilvl w:val="0"/>
          <w:numId w:val="203"/>
        </w:numPr>
        <w:spacing w:before="120" w:after="120"/>
      </w:pPr>
      <w:r w:rsidRPr="007A12DC">
        <w:t>Location within the agency: Fraud Deterrence and Compliance Monitoring </w:t>
      </w:r>
    </w:p>
    <w:p w14:paraId="1705078A" w14:textId="77777777" w:rsidR="007A12DC" w:rsidRPr="007A12DC" w:rsidRDefault="007A12DC" w:rsidP="00C64851">
      <w:pPr>
        <w:pStyle w:val="BodyText"/>
        <w:numPr>
          <w:ilvl w:val="0"/>
          <w:numId w:val="203"/>
        </w:numPr>
        <w:spacing w:before="120" w:after="120"/>
      </w:pPr>
      <w:r w:rsidRPr="007A12DC">
        <w:t>Contact name: Charles Sutherland </w:t>
      </w:r>
    </w:p>
    <w:p w14:paraId="36FF0017" w14:textId="3E978ED3" w:rsidR="007A12DC" w:rsidRPr="007A12DC" w:rsidRDefault="007A12DC" w:rsidP="00C64851">
      <w:pPr>
        <w:pStyle w:val="BodyText"/>
        <w:numPr>
          <w:ilvl w:val="0"/>
          <w:numId w:val="203"/>
        </w:numPr>
        <w:spacing w:before="120" w:after="120"/>
      </w:pPr>
      <w:r w:rsidRPr="007A12DC">
        <w:t>Statutory citation: Texas Labor Code</w:t>
      </w:r>
      <w:r w:rsidR="00935508">
        <w:t>,</w:t>
      </w:r>
      <w:r w:rsidRPr="007A12DC">
        <w:t xml:space="preserve"> Chapters 213 </w:t>
      </w:r>
      <w:r w:rsidR="00935508">
        <w:t>and</w:t>
      </w:r>
      <w:r w:rsidRPr="007A12DC">
        <w:t xml:space="preserve"> 214; </w:t>
      </w:r>
      <w:r>
        <w:t>T</w:t>
      </w:r>
      <w:r w:rsidR="1612BE1C">
        <w:t xml:space="preserve">exas Labor </w:t>
      </w:r>
      <w:r w:rsidRPr="007A12DC">
        <w:t>Code</w:t>
      </w:r>
      <w:r w:rsidR="00FE505D">
        <w:t>, Section</w:t>
      </w:r>
      <w:r w:rsidRPr="007A12DC">
        <w:t xml:space="preserve"> 301.071 </w:t>
      </w:r>
    </w:p>
    <w:p w14:paraId="6FB34CB7" w14:textId="77777777" w:rsidR="007A12DC" w:rsidRPr="007A12DC" w:rsidRDefault="007A12DC" w:rsidP="005E4C12">
      <w:pPr>
        <w:pStyle w:val="BodyText3"/>
        <w:ind w:left="720" w:hanging="720"/>
      </w:pPr>
      <w:r w:rsidRPr="007A12DC">
        <w:t>B.</w:t>
      </w:r>
      <w:r w:rsidRPr="007A12DC">
        <w:tab/>
        <w:t>What is the objective of this division or program? Describe its major activities. </w:t>
      </w:r>
    </w:p>
    <w:p w14:paraId="4C930AEE" w14:textId="0952A7C1" w:rsidR="007A12DC" w:rsidRPr="007A12DC" w:rsidRDefault="007A12DC" w:rsidP="007A12DC">
      <w:pPr>
        <w:pStyle w:val="BodyText"/>
      </w:pPr>
      <w:r w:rsidRPr="007A12DC">
        <w:t xml:space="preserve">The Fraud Prosecutions Unit is part of FDCM division. The Fraud Prosecutions Unit builds criminal cases of fraud in TWC programs and sends them to prosecutors around Texas.  This unit mainly focuses on UI fraud, especially when people falsely collect UI benefits while working and earning money. This is called ‘earnings fraud.’ In these cases, people intentionally don’t report, or severely under-report, their work and earnings to TWC. The Fraud Prosecutions Unit works with local prosecutors by discussing evidence, planning legal strategy, and explaining the details of TWC programs. </w:t>
      </w:r>
      <w:r w:rsidR="00310109">
        <w:t>This unit</w:t>
      </w:r>
      <w:r w:rsidRPr="007A12DC">
        <w:t xml:space="preserve"> also provide</w:t>
      </w:r>
      <w:r w:rsidR="00310109">
        <w:t>s</w:t>
      </w:r>
      <w:r w:rsidRPr="007A12DC">
        <w:t xml:space="preserve"> witnesses for grand jury hearings and trials. The unit also handles requests from local prosecutors to get earnings records for UI fraud cases. </w:t>
      </w:r>
    </w:p>
    <w:p w14:paraId="40172F71" w14:textId="77777777" w:rsidR="007A12DC" w:rsidRPr="007A12DC" w:rsidRDefault="007A12DC" w:rsidP="005E4C12">
      <w:pPr>
        <w:pStyle w:val="BodyText3"/>
        <w:ind w:left="720" w:hanging="720"/>
      </w:pPr>
      <w:r w:rsidRPr="007A12DC">
        <w:t>C.</w:t>
      </w:r>
      <w:r w:rsidRPr="007A12DC">
        <w:tab/>
        <w:t xml:space="preserve">What information does the agency collect/use to assess the effectiveness and efficiency of this division or program? If applicable, briefly note any LBB performance measures (from Section II, </w:t>
      </w:r>
      <w:proofErr w:type="gramStart"/>
      <w:r w:rsidRPr="007A12DC">
        <w:t>Exhibit</w:t>
      </w:r>
      <w:proofErr w:type="gramEnd"/>
      <w:r w:rsidRPr="007A12DC">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37F69E7" w14:textId="283B3AFC" w:rsidR="007A12DC" w:rsidRPr="007A12DC" w:rsidRDefault="007A12DC" w:rsidP="007A12DC">
      <w:pPr>
        <w:pStyle w:val="BodyText"/>
        <w:rPr>
          <w:sz w:val="20"/>
          <w:szCs w:val="20"/>
        </w:rPr>
      </w:pPr>
      <w:r w:rsidRPr="007A12DC">
        <w:t xml:space="preserve">From CY 2022 through CY 2024, the Fraud Prosecutions Unit built and referred 235 cases of UI fraud to criminal prosecutors throughout Texas, resulting in 176 indictments.  Of those 176 indictments, there have been 34 successful prosecutions in which the accused plead </w:t>
      </w:r>
      <w:r w:rsidRPr="007A12DC">
        <w:lastRenderedPageBreak/>
        <w:t xml:space="preserve">guilty, plus 29 dismissals followed upon payment of full restitution owed to TWC.  These figures do not include the months of January through June 2024, during which time the Prosecutions Unit did not have an active managing attorney.  For CY 2022 through CY 2024, the unit’s efforts have resulted in the recovery of $7,094,726 in stolen unemployment benefits for the Texas Unemployment Compensation Trust Fund (this is the total recovery from multiple sources during the prosecution process, i.e., repayments to avoid criminal prosecution after receiving a Notice of Potential Prosecution letter, repayments upon referral of the case to the prosecutor, repayments by claimants who are placed on probation, and absorptions occurring while cases are in prosecutions status).  A list of defendants who plead guilty to theft of UI Benefits is maintained on the agency’s website at </w:t>
      </w:r>
      <w:hyperlink r:id="rId232" w:tgtFrame="_blank" w:history="1">
        <w:r w:rsidRPr="007A12DC">
          <w:rPr>
            <w:rStyle w:val="Hyperlink"/>
          </w:rPr>
          <w:t>Criminal Prosecutions of Unemployment Benefits Fraud</w:t>
        </w:r>
      </w:hyperlink>
      <w:r>
        <w:rPr>
          <w:sz w:val="20"/>
          <w:szCs w:val="20"/>
        </w:rPr>
        <w:t>.</w:t>
      </w:r>
    </w:p>
    <w:p w14:paraId="6149EEFD" w14:textId="77777777" w:rsidR="007A12DC" w:rsidRPr="007A12DC" w:rsidRDefault="007A12DC" w:rsidP="005E4C12">
      <w:pPr>
        <w:pStyle w:val="BodyText3"/>
        <w:ind w:left="720" w:hanging="720"/>
      </w:pPr>
      <w:r w:rsidRPr="007A12DC">
        <w:t>D.</w:t>
      </w:r>
      <w:r w:rsidRPr="007A12DC">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6C625BD7" w14:textId="27DF63D6" w:rsidR="007A12DC" w:rsidRPr="007A12DC" w:rsidRDefault="007A12DC" w:rsidP="007A12DC">
      <w:pPr>
        <w:pStyle w:val="BodyText"/>
      </w:pPr>
      <w:r w:rsidRPr="007A12DC">
        <w:t xml:space="preserve">For many years the agency referred cases of UI fraud utilizing non-attorney personnel from the Benefit Payment Control Unit. These cases were referred as Class A misdemeanors under the authority of TEX. LAB. CODE § 214.001. Recognizing the need for a more centralized and systematic effort to detect fraud throughout every aspect of its transactions, in late 2005, the agency created Regulatory Enforcement Division (now FDCM) and made the prevention, detection, and elimination of fraud and abuse in the UI program a central top priority.   As the severity and dollar amounts involved in these cases rose to the level of felonies, Prosecutions began referring these cases to district attorney offices throughout the state for felony prosecution either as theft (Texas Penal Code § 31.03) or Securing Execution of Document </w:t>
      </w:r>
      <w:proofErr w:type="gramStart"/>
      <w:r w:rsidRPr="007A12DC">
        <w:t>By</w:t>
      </w:r>
      <w:proofErr w:type="gramEnd"/>
      <w:r w:rsidRPr="007A12DC">
        <w:t xml:space="preserve"> Deception (Texas Penal Code § 32.46).  UI Fraud </w:t>
      </w:r>
      <w:r w:rsidR="00321028">
        <w:t xml:space="preserve">increased </w:t>
      </w:r>
      <w:r w:rsidRPr="007A12DC">
        <w:t xml:space="preserve">during the COVID-19 pandemic due to </w:t>
      </w:r>
      <w:r w:rsidR="00DF6270">
        <w:t xml:space="preserve">the </w:t>
      </w:r>
      <w:r w:rsidRPr="007A12DC">
        <w:t xml:space="preserve">large federal payments and programs such as Pandemic Unemployment Assistance which had fewer safeguards than a regular unemployment claim. The Prosecutions unit was an important tool for </w:t>
      </w:r>
      <w:r w:rsidR="00474DB3">
        <w:t xml:space="preserve">TWC </w:t>
      </w:r>
      <w:r w:rsidRPr="007A12DC">
        <w:t xml:space="preserve">to use in its efforts to recoup state and federal funds in cases of eligibility fraud.  </w:t>
      </w:r>
      <w:proofErr w:type="gramStart"/>
      <w:r w:rsidR="00474DB3">
        <w:t xml:space="preserve">Currently, </w:t>
      </w:r>
      <w:r w:rsidRPr="007A12DC">
        <w:t xml:space="preserve"> Prosecutions</w:t>
      </w:r>
      <w:proofErr w:type="gramEnd"/>
      <w:r w:rsidRPr="007A12DC">
        <w:t xml:space="preserve"> continues to refer cases across the state that involve the theft of not just regular UI Benefits, but CARES act benefits as well. </w:t>
      </w:r>
    </w:p>
    <w:p w14:paraId="146A3195" w14:textId="77777777" w:rsidR="007A12DC" w:rsidRPr="007A12DC" w:rsidRDefault="007A12DC" w:rsidP="005E4C12">
      <w:pPr>
        <w:pStyle w:val="BodyText3"/>
        <w:ind w:left="720" w:hanging="720"/>
      </w:pPr>
      <w:r w:rsidRPr="007A12DC">
        <w:t>E.</w:t>
      </w:r>
      <w:r w:rsidRPr="007A12DC">
        <w:tab/>
        <w:t>List any qualifications or eligibility requirements for persons or entities affected by this division or program (e.g., licensees, consumers, and landowners). Provide a statistical breakdown of persons or entities affected. </w:t>
      </w:r>
    </w:p>
    <w:p w14:paraId="48FCD8F3" w14:textId="0A98C286" w:rsidR="007A12DC" w:rsidRPr="007A12DC" w:rsidRDefault="003A6DFF" w:rsidP="007A12DC">
      <w:pPr>
        <w:pStyle w:val="BodyText"/>
      </w:pPr>
      <w:r>
        <w:t>The Fraud Prosecutions unit</w:t>
      </w:r>
      <w:r w:rsidR="00997BD1">
        <w:t xml:space="preserve"> is the only unit making referrals to district attorneys and law enforcement at local levels and is solely responsible for working with state pro</w:t>
      </w:r>
      <w:r w:rsidR="00FF0184">
        <w:t xml:space="preserve">secutors. </w:t>
      </w:r>
      <w:r w:rsidR="007A12DC" w:rsidRPr="007A12DC">
        <w:t>This prosecution effort affects UI claimants who have committed fraud by intentionally failing to report work or earnings from work to TWC, or grossly under-reporting earnings from work to TWC, when filing for and receiving unemployment benefits. It is a requirement of the unemployment insurance program that claimants report all their earnings while filing for benefits and be able and available to work.   </w:t>
      </w:r>
    </w:p>
    <w:p w14:paraId="271BC87B" w14:textId="77777777" w:rsidR="007A12DC" w:rsidRPr="007A12DC" w:rsidRDefault="007A12DC" w:rsidP="007A12DC">
      <w:pPr>
        <w:pStyle w:val="BodyText"/>
      </w:pPr>
      <w:r w:rsidRPr="007A12DC">
        <w:lastRenderedPageBreak/>
        <w:t>Additionally, employers can be affected by UI fraud investigations if their records are subpoenaed or if they are asked to provide information about former employees. While UI fraud ultimately affects taxpayers, as it depletes the funds available for legitimate UI claims; the Fraud Prosecutions Unit’s efforts benefit taxpayers through recovery of stolen unemployment benefits.  </w:t>
      </w:r>
    </w:p>
    <w:p w14:paraId="6FE6E73B" w14:textId="77777777" w:rsidR="007A12DC" w:rsidRPr="007A12DC" w:rsidRDefault="007A12DC" w:rsidP="005E4C12">
      <w:pPr>
        <w:pStyle w:val="BodyText3"/>
        <w:ind w:left="720" w:hanging="720"/>
      </w:pPr>
      <w:r w:rsidRPr="007A12DC">
        <w:t>F.</w:t>
      </w:r>
      <w:r w:rsidRPr="007A12DC">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841A664" w14:textId="77777777" w:rsidR="007A12DC" w:rsidRPr="007A12DC" w:rsidRDefault="007A12DC" w:rsidP="007A12DC">
      <w:pPr>
        <w:pStyle w:val="BodyText"/>
      </w:pPr>
      <w:r w:rsidRPr="007A12DC">
        <w:t>Typically, potential prosecution cases are submitted to the Fraud Prosecutions Unit after an administrative determination of fraud has been issued by TWC’s Benefit Payment Control. The Fraud Prosecutions Unit reviews these cases for viable criminal referrals.  From these cases, the Unit selects those likely to be successful referrals and issues Notice of Potential Prosecution letters asking claimants to pay what is owed to the TWC or face possible referral of their case for criminal prosecution. Claimants who do not make a good faith effort to pay back stolen benefits may have their cases selected for full investigation and preparation for referral to appropriate criminal prosecutors throughout the state. </w:t>
      </w:r>
    </w:p>
    <w:p w14:paraId="599909CB" w14:textId="77777777" w:rsidR="007A12DC" w:rsidRPr="007A12DC" w:rsidRDefault="007A12DC" w:rsidP="007A12DC">
      <w:pPr>
        <w:pStyle w:val="BodyText"/>
      </w:pPr>
      <w:r w:rsidRPr="007A12DC">
        <w:t>The Fraud Prosecutions Unit investigation includes the following process: </w:t>
      </w:r>
    </w:p>
    <w:p w14:paraId="5F1984D0" w14:textId="77777777" w:rsidR="007A12DC" w:rsidRPr="007A12DC" w:rsidRDefault="007A12DC" w:rsidP="00C64851">
      <w:pPr>
        <w:pStyle w:val="BodyText"/>
        <w:numPr>
          <w:ilvl w:val="0"/>
          <w:numId w:val="204"/>
        </w:numPr>
      </w:pPr>
      <w:r w:rsidRPr="00E34477">
        <w:rPr>
          <w:b/>
          <w:bCs/>
        </w:rPr>
        <w:t>Gathering information:</w:t>
      </w:r>
      <w:r w:rsidRPr="007A12DC">
        <w:t xml:space="preserve"> The unit issues subpoenas to obtain records from: </w:t>
      </w:r>
    </w:p>
    <w:p w14:paraId="7109181F" w14:textId="77777777" w:rsidR="007A12DC" w:rsidRPr="007A12DC" w:rsidRDefault="007A12DC" w:rsidP="00C64851">
      <w:pPr>
        <w:pStyle w:val="BodyText"/>
        <w:numPr>
          <w:ilvl w:val="1"/>
          <w:numId w:val="204"/>
        </w:numPr>
      </w:pPr>
      <w:r w:rsidRPr="007A12DC">
        <w:t>Banks where UI funds are directly deposited. </w:t>
      </w:r>
    </w:p>
    <w:p w14:paraId="04EF4112" w14:textId="77777777" w:rsidR="007A12DC" w:rsidRPr="007A12DC" w:rsidRDefault="007A12DC" w:rsidP="00C64851">
      <w:pPr>
        <w:pStyle w:val="BodyText"/>
        <w:numPr>
          <w:ilvl w:val="1"/>
          <w:numId w:val="204"/>
        </w:numPr>
      </w:pPr>
      <w:r w:rsidRPr="007A12DC">
        <w:t>US Bank, which manages the TWC UI debit card program for transaction history. </w:t>
      </w:r>
    </w:p>
    <w:p w14:paraId="69A000EA" w14:textId="77777777" w:rsidR="007A12DC" w:rsidRPr="007A12DC" w:rsidRDefault="007A12DC" w:rsidP="00C64851">
      <w:pPr>
        <w:pStyle w:val="BodyText"/>
        <w:numPr>
          <w:ilvl w:val="1"/>
          <w:numId w:val="204"/>
        </w:numPr>
      </w:pPr>
      <w:r w:rsidRPr="007A12DC">
        <w:t>Merchants where UI debit cards were used.  </w:t>
      </w:r>
    </w:p>
    <w:p w14:paraId="3A5005BF" w14:textId="77777777" w:rsidR="007A12DC" w:rsidRPr="007A12DC" w:rsidRDefault="007A12DC" w:rsidP="00C64851">
      <w:pPr>
        <w:pStyle w:val="BodyText"/>
        <w:numPr>
          <w:ilvl w:val="1"/>
          <w:numId w:val="204"/>
        </w:numPr>
      </w:pPr>
      <w:r w:rsidRPr="007A12DC">
        <w:t xml:space="preserve">Employers where the claimant worked when filing for and receiving unemployment benefits and not reporting (or under-reporting) to </w:t>
      </w:r>
      <w:proofErr w:type="gramStart"/>
      <w:r w:rsidRPr="007A12DC">
        <w:t>TWC .</w:t>
      </w:r>
      <w:proofErr w:type="gramEnd"/>
      <w:r w:rsidRPr="007A12DC">
        <w:t> </w:t>
      </w:r>
    </w:p>
    <w:p w14:paraId="2AF94A14" w14:textId="77777777" w:rsidR="007A12DC" w:rsidRPr="007A12DC" w:rsidRDefault="007A12DC" w:rsidP="00C64851">
      <w:pPr>
        <w:pStyle w:val="BodyText"/>
        <w:numPr>
          <w:ilvl w:val="0"/>
          <w:numId w:val="204"/>
        </w:numPr>
      </w:pPr>
      <w:r w:rsidRPr="00A66A35">
        <w:rPr>
          <w:b/>
          <w:bCs/>
        </w:rPr>
        <w:t>Verifying identity:</w:t>
      </w:r>
      <w:r w:rsidRPr="007A12DC">
        <w:t xml:space="preserve"> The Unit obtains identity documents to prove the identity of the unemployment claimant and prepares an identity report for prosecutors.  </w:t>
      </w:r>
    </w:p>
    <w:p w14:paraId="389BA500" w14:textId="77777777" w:rsidR="007A12DC" w:rsidRPr="007A12DC" w:rsidRDefault="007A12DC" w:rsidP="00C64851">
      <w:pPr>
        <w:pStyle w:val="BodyText"/>
        <w:numPr>
          <w:ilvl w:val="0"/>
          <w:numId w:val="204"/>
        </w:numPr>
      </w:pPr>
      <w:r w:rsidRPr="00A66A35">
        <w:rPr>
          <w:b/>
          <w:bCs/>
        </w:rPr>
        <w:t>Collecting Wage Data:</w:t>
      </w:r>
      <w:r w:rsidRPr="007A12DC">
        <w:t xml:space="preserve"> The unit collects wage data obtained from employers to share with prosecutors.  </w:t>
      </w:r>
    </w:p>
    <w:p w14:paraId="4615D2A2" w14:textId="77777777" w:rsidR="007A12DC" w:rsidRPr="007A12DC" w:rsidRDefault="007A12DC" w:rsidP="00C64851">
      <w:pPr>
        <w:pStyle w:val="BodyText"/>
        <w:numPr>
          <w:ilvl w:val="0"/>
          <w:numId w:val="204"/>
        </w:numPr>
      </w:pPr>
      <w:r w:rsidRPr="00A66A35">
        <w:rPr>
          <w:b/>
          <w:bCs/>
        </w:rPr>
        <w:t>Preparing Cases:</w:t>
      </w:r>
      <w:r w:rsidRPr="007A12DC">
        <w:t xml:space="preserve"> The unit prepares a comprehensive summary of the crime and gathers supporting evidence for prosecutors.  </w:t>
      </w:r>
    </w:p>
    <w:p w14:paraId="4E3E5E54" w14:textId="77777777" w:rsidR="007A12DC" w:rsidRPr="007A12DC" w:rsidRDefault="007A12DC" w:rsidP="00A66A35">
      <w:pPr>
        <w:pStyle w:val="BodyText"/>
      </w:pPr>
      <w:r w:rsidRPr="007A12DC">
        <w:t xml:space="preserve">Once a case is prepared and approved, by the attorney/manager of the unit and referred for prosecution, investigators may need to testify before grand juries or at trial. If an </w:t>
      </w:r>
      <w:r w:rsidRPr="007A12DC">
        <w:lastRenderedPageBreak/>
        <w:t>unemployment claimant is placed on probation and ordered to make restitution, investigators may also help probation authorities prepare presentence investigation reports and help facilitate the repayment process to TWC.   </w:t>
      </w:r>
    </w:p>
    <w:p w14:paraId="1F0F066E" w14:textId="77777777" w:rsidR="00F519E4" w:rsidRPr="00A66A35" w:rsidRDefault="00F519E4" w:rsidP="00F519E4">
      <w:pPr>
        <w:pStyle w:val="BodyText"/>
      </w:pPr>
      <w:r>
        <w:t>It should be noted that t</w:t>
      </w:r>
      <w:r w:rsidRPr="00A66A35">
        <w:t>he Fraud Prosecutions Unit and Office of Investigations stay in communication regarding the handling of assignments and investigations. If there is more than one unemployment claimant involved with the case, the decision about handling the case resides with the Office of Investigations. </w:t>
      </w:r>
    </w:p>
    <w:p w14:paraId="49B58F50" w14:textId="77777777" w:rsidR="007A12DC" w:rsidRPr="007A12DC" w:rsidRDefault="007A12DC" w:rsidP="007A12DC">
      <w:pPr>
        <w:pStyle w:val="BodyText"/>
      </w:pPr>
      <w:r w:rsidRPr="007A12DC">
        <w:t xml:space="preserve">To deter UI fraud, details of successful prosecutions are published at </w:t>
      </w:r>
      <w:hyperlink r:id="rId233" w:tgtFrame="_blank" w:history="1">
        <w:r w:rsidRPr="007A12DC">
          <w:rPr>
            <w:rStyle w:val="Hyperlink"/>
          </w:rPr>
          <w:t>Criminal Prosecutions of Unemployment Benefits Fraud</w:t>
        </w:r>
      </w:hyperlink>
      <w:r w:rsidRPr="007A12DC">
        <w:t>. Also, at certain intervals, TWC issues an official press release to the news media and public.  </w:t>
      </w:r>
    </w:p>
    <w:p w14:paraId="5547BEE3" w14:textId="77777777" w:rsidR="007A12DC" w:rsidRPr="00A66A35" w:rsidRDefault="007A12DC" w:rsidP="005E4C12">
      <w:pPr>
        <w:pStyle w:val="BodyText3"/>
        <w:ind w:left="720" w:hanging="720"/>
      </w:pPr>
      <w:r w:rsidRPr="00A66A35">
        <w:t>G.</w:t>
      </w:r>
      <w:r w:rsidRPr="00A66A35">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800"/>
        <w:gridCol w:w="1948"/>
        <w:gridCol w:w="1677"/>
        <w:gridCol w:w="1935"/>
      </w:tblGrid>
      <w:tr w:rsidR="00DB7D69" w:rsidRPr="00347ED8" w14:paraId="0A9C0050" w14:textId="77777777" w:rsidTr="00F84A65">
        <w:trPr>
          <w:trHeight w:val="288"/>
        </w:trPr>
        <w:tc>
          <w:tcPr>
            <w:tcW w:w="3800" w:type="dxa"/>
            <w:shd w:val="clear" w:color="auto" w:fill="B8CCE4" w:themeFill="accent1" w:themeFillTint="66"/>
            <w:vAlign w:val="center"/>
            <w:hideMark/>
          </w:tcPr>
          <w:p w14:paraId="6CADB989" w14:textId="77777777" w:rsidR="00DB7D69" w:rsidRPr="00347ED8" w:rsidRDefault="00DB7D69" w:rsidP="00F84A65">
            <w:pPr>
              <w:pStyle w:val="TableHeaders"/>
              <w:rPr>
                <w:color w:val="000000"/>
              </w:rPr>
            </w:pPr>
            <w:r w:rsidRPr="00347ED8">
              <w:t>Program or Function Detail Description</w:t>
            </w:r>
          </w:p>
        </w:tc>
        <w:tc>
          <w:tcPr>
            <w:tcW w:w="2300" w:type="dxa"/>
            <w:shd w:val="clear" w:color="auto" w:fill="B8CCE4" w:themeFill="accent1" w:themeFillTint="66"/>
            <w:vAlign w:val="center"/>
            <w:hideMark/>
          </w:tcPr>
          <w:p w14:paraId="5FB3A60B" w14:textId="77777777" w:rsidR="00DB7D69" w:rsidRPr="00347ED8" w:rsidRDefault="00DB7D69" w:rsidP="00F84A65">
            <w:pPr>
              <w:pStyle w:val="TableHeaders"/>
              <w:rPr>
                <w:color w:val="000000"/>
              </w:rPr>
            </w:pPr>
            <w:r w:rsidRPr="00347ED8">
              <w:t>Total FY 2024</w:t>
            </w:r>
          </w:p>
        </w:tc>
        <w:tc>
          <w:tcPr>
            <w:tcW w:w="1920" w:type="dxa"/>
            <w:shd w:val="clear" w:color="auto" w:fill="B8CCE4" w:themeFill="accent1" w:themeFillTint="66"/>
            <w:vAlign w:val="center"/>
            <w:hideMark/>
          </w:tcPr>
          <w:p w14:paraId="09F5D5C8" w14:textId="77777777" w:rsidR="00DB7D69" w:rsidRPr="00347ED8" w:rsidRDefault="00DB7D69" w:rsidP="00F84A65">
            <w:pPr>
              <w:pStyle w:val="TableHeaders"/>
              <w:rPr>
                <w:color w:val="000000"/>
              </w:rPr>
            </w:pPr>
            <w:r w:rsidRPr="00347ED8">
              <w:t>Federal Funding</w:t>
            </w:r>
          </w:p>
        </w:tc>
        <w:tc>
          <w:tcPr>
            <w:tcW w:w="2320" w:type="dxa"/>
            <w:shd w:val="clear" w:color="auto" w:fill="B8CCE4" w:themeFill="accent1" w:themeFillTint="66"/>
            <w:vAlign w:val="center"/>
            <w:hideMark/>
          </w:tcPr>
          <w:p w14:paraId="37170EB5" w14:textId="77777777" w:rsidR="00DB7D69" w:rsidRPr="00347ED8" w:rsidRDefault="00DB7D69" w:rsidP="00F84A65">
            <w:pPr>
              <w:pStyle w:val="TableHeaders"/>
              <w:rPr>
                <w:color w:val="000000"/>
              </w:rPr>
            </w:pPr>
            <w:r w:rsidRPr="00347ED8">
              <w:t>State Funding</w:t>
            </w:r>
          </w:p>
        </w:tc>
      </w:tr>
      <w:tr w:rsidR="00DB7D69" w:rsidRPr="00347ED8" w14:paraId="4B1CB3CF" w14:textId="77777777" w:rsidTr="00F84A65">
        <w:trPr>
          <w:trHeight w:val="288"/>
        </w:trPr>
        <w:tc>
          <w:tcPr>
            <w:tcW w:w="3800" w:type="dxa"/>
            <w:noWrap/>
            <w:vAlign w:val="center"/>
            <w:hideMark/>
          </w:tcPr>
          <w:p w14:paraId="1DC4A647" w14:textId="77777777" w:rsidR="00DB7D69" w:rsidRPr="00347ED8" w:rsidRDefault="00DB7D69" w:rsidP="00F84A65">
            <w:pPr>
              <w:pStyle w:val="TableText"/>
            </w:pPr>
            <w:r w:rsidRPr="00347ED8">
              <w:t xml:space="preserve">Fraud Prosecutions and Office of Investigations </w:t>
            </w:r>
          </w:p>
        </w:tc>
        <w:tc>
          <w:tcPr>
            <w:tcW w:w="2300" w:type="dxa"/>
            <w:vAlign w:val="center"/>
            <w:hideMark/>
          </w:tcPr>
          <w:p w14:paraId="1C2BA186" w14:textId="12EDAD5C" w:rsidR="00DB7D69" w:rsidRPr="00347ED8" w:rsidRDefault="00DB7D69" w:rsidP="00F84A65">
            <w:pPr>
              <w:pStyle w:val="TableText"/>
              <w:jc w:val="right"/>
            </w:pPr>
            <w:r w:rsidRPr="00347ED8">
              <w:t xml:space="preserve">3,785,110 </w:t>
            </w:r>
          </w:p>
        </w:tc>
        <w:tc>
          <w:tcPr>
            <w:tcW w:w="1920" w:type="dxa"/>
            <w:vAlign w:val="center"/>
            <w:hideMark/>
          </w:tcPr>
          <w:p w14:paraId="50E06034" w14:textId="5862366B" w:rsidR="00DB7D69" w:rsidRPr="00347ED8" w:rsidRDefault="00DB7D69" w:rsidP="00F84A65">
            <w:pPr>
              <w:pStyle w:val="TableText"/>
              <w:jc w:val="right"/>
            </w:pPr>
            <w:r w:rsidRPr="00347ED8">
              <w:t xml:space="preserve">3,709,303 </w:t>
            </w:r>
          </w:p>
        </w:tc>
        <w:tc>
          <w:tcPr>
            <w:tcW w:w="2320" w:type="dxa"/>
            <w:vAlign w:val="center"/>
            <w:hideMark/>
          </w:tcPr>
          <w:p w14:paraId="4AD79284" w14:textId="312996A1" w:rsidR="00DB7D69" w:rsidRPr="00347ED8" w:rsidRDefault="00DB7D69" w:rsidP="00F84A65">
            <w:pPr>
              <w:pStyle w:val="TableText"/>
              <w:jc w:val="right"/>
            </w:pPr>
            <w:r w:rsidRPr="00347ED8">
              <w:t xml:space="preserve">75,807 </w:t>
            </w:r>
          </w:p>
        </w:tc>
      </w:tr>
    </w:tbl>
    <w:p w14:paraId="1F2BD052" w14:textId="77777777" w:rsidR="007A12DC" w:rsidRPr="00A66A35" w:rsidRDefault="007A12DC" w:rsidP="005E4C12">
      <w:pPr>
        <w:pStyle w:val="BodyText3"/>
        <w:ind w:left="720" w:hanging="720"/>
      </w:pPr>
      <w:r w:rsidRPr="00A66A35">
        <w:t>H.</w:t>
      </w:r>
      <w:r w:rsidRPr="00A66A35">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39A08BBA" w14:textId="77777777" w:rsidR="004B2333" w:rsidRDefault="004B2333" w:rsidP="005E4C12">
      <w:pPr>
        <w:pStyle w:val="BodyText3"/>
        <w:ind w:left="720" w:hanging="720"/>
      </w:pPr>
      <w:r>
        <w:t>N/A</w:t>
      </w:r>
    </w:p>
    <w:p w14:paraId="5861189D" w14:textId="246E6189" w:rsidR="007A12DC" w:rsidRPr="00A66A35" w:rsidRDefault="007A12DC" w:rsidP="005E4C12">
      <w:pPr>
        <w:pStyle w:val="BodyText3"/>
        <w:ind w:left="720" w:hanging="720"/>
      </w:pPr>
      <w:r w:rsidRPr="00A66A35">
        <w:t>I.</w:t>
      </w:r>
      <w:r w:rsidRPr="00A66A35">
        <w:tab/>
        <w:t>If the division or program works with local, regional, or federal units of government, include a brief description of these entities and their relationship to the agency. </w:t>
      </w:r>
    </w:p>
    <w:p w14:paraId="1FFA191A" w14:textId="77777777" w:rsidR="007A12DC" w:rsidRPr="00A66A35" w:rsidRDefault="007A12DC" w:rsidP="00A66A35">
      <w:pPr>
        <w:pStyle w:val="BodyText"/>
      </w:pPr>
      <w:r w:rsidRPr="00A66A35">
        <w:t>The Fraud Prosecutions Unit primarily works with state felony prosecutors in district attorney offices throughout the state. TWC does not have inherent prosecutorial authority and thus works with the district attorney offices of the 254 counties in the state to facilitate prosecutions. </w:t>
      </w:r>
    </w:p>
    <w:p w14:paraId="58A1BAA8" w14:textId="77777777" w:rsidR="007A12DC" w:rsidRPr="00A66A35" w:rsidRDefault="007A12DC" w:rsidP="005E4C12">
      <w:pPr>
        <w:pStyle w:val="BodyText3"/>
        <w:ind w:left="720" w:hanging="720"/>
      </w:pPr>
      <w:r w:rsidRPr="00A66A35">
        <w:t>J.</w:t>
      </w:r>
      <w:r w:rsidRPr="00A66A35">
        <w:tab/>
        <w:t>Are there any barriers or challenges that impede the division or program’s performance, including any outdated or ineffective state laws? Explain. </w:t>
      </w:r>
    </w:p>
    <w:p w14:paraId="4F82B26C" w14:textId="77777777" w:rsidR="007A12DC" w:rsidRPr="007A12DC" w:rsidRDefault="007A12DC" w:rsidP="00A66A35">
      <w:pPr>
        <w:pStyle w:val="BodyText"/>
      </w:pPr>
      <w:r w:rsidRPr="007A12DC">
        <w:t xml:space="preserve">The Fraud Prosecutions Unit faces challenges that include fraudsters finding ways to avoid charges being pursued, laws that may affect how prosecutors prioritize fraud cases, and </w:t>
      </w:r>
      <w:r w:rsidRPr="007A12DC">
        <w:lastRenderedPageBreak/>
        <w:t>outside jurisdictions not cooperating with the unit's efforts. Fraudsters often return to the UI system after a fraud determination has been issued on a prior claim year.  The prosecution efforts can be hindered due to the fraudsters using benefits from a more recent claim to offset the overpayment balance of a claim with a fraud determination to the point where their criminal case must be dismissed.  While the theft of monies through benefit fraud was still a crime, when the overpayment is recovered, prosecutors are no longer interested in pursuing criminal prosecution.   This is especially burdensome when it is later discovered that the benefits used to offset the overpayment were also the result of fraudulent claim certifications.    </w:t>
      </w:r>
    </w:p>
    <w:p w14:paraId="6403A895" w14:textId="77777777" w:rsidR="007A12DC" w:rsidRPr="007A12DC" w:rsidRDefault="007A12DC" w:rsidP="00A66A35">
      <w:pPr>
        <w:pStyle w:val="BodyText"/>
      </w:pPr>
      <w:r w:rsidRPr="007A12DC">
        <w:t xml:space="preserve">Additionally, Section 214.001 of the Texas Unemployment Compensation Act creates a Class A Misdemeanor offense for intentionally making a false statement or representation in order to obtain or increase a benefit payment, regardless of the </w:t>
      </w:r>
      <w:proofErr w:type="gramStart"/>
      <w:r w:rsidRPr="007A12DC">
        <w:t>amount</w:t>
      </w:r>
      <w:proofErr w:type="gramEnd"/>
      <w:r w:rsidRPr="007A12DC">
        <w:t xml:space="preserve"> of benefits stolen.  Although a Class A Misdemeanor is a serious crime, it does not receive attention from District Attorney Offices which already have a large and demanding case load.  Increasing the penalty under Section 214.001 to a State Jail Felony may increase the likelihood that District Attorneys use it for filing charges.    </w:t>
      </w:r>
    </w:p>
    <w:p w14:paraId="7B6743AD" w14:textId="77777777" w:rsidR="007A12DC" w:rsidRPr="007A12DC" w:rsidRDefault="007A12DC" w:rsidP="00A66A35">
      <w:pPr>
        <w:pStyle w:val="BodyText"/>
      </w:pPr>
      <w:r w:rsidRPr="007A12DC">
        <w:t>Lastly, the Fraud Prosecutions Unit faces difficulties with certain jurisdictions that may refuse TWC’s referrals for any number of reasons.  One example is Harris County, which has adopted a policy not to pursue any benefits fraud cases.  Prosecutions are also limited with respect to Travis County.  The Travis County Public Integrity Unit previously took TWC referrals for fraud cases around the state; however, due to a loss of funding, the Travis County District Attorney will only pursue cases in which the defendant resides within Travis County at the time the referral is made. </w:t>
      </w:r>
    </w:p>
    <w:p w14:paraId="439C4519" w14:textId="77777777" w:rsidR="007A12DC" w:rsidRPr="00A66A35" w:rsidRDefault="007A12DC" w:rsidP="005E4C12">
      <w:pPr>
        <w:pStyle w:val="BodyText3"/>
        <w:ind w:left="720" w:hanging="720"/>
      </w:pPr>
      <w:r w:rsidRPr="00A66A35">
        <w:t>K.</w:t>
      </w:r>
      <w:r w:rsidRPr="00A66A35">
        <w:tab/>
        <w:t>Provide any additional information needed to gain a preliminary understanding of the division or program. </w:t>
      </w:r>
    </w:p>
    <w:p w14:paraId="5D13B6A8" w14:textId="0A3366FC" w:rsidR="007A12DC" w:rsidRPr="007A12DC" w:rsidRDefault="007A12DC" w:rsidP="007A12DC">
      <w:pPr>
        <w:pStyle w:val="BodyText"/>
        <w:rPr>
          <w:sz w:val="20"/>
          <w:szCs w:val="20"/>
        </w:rPr>
      </w:pPr>
      <w:r w:rsidRPr="007A12DC">
        <w:t>A core function of the Fraud Prosecutions Unit involves casework and investigation. Maintaining a commitment to security and efficiency, in CY 2022, the Fraud Prosecutions Unit moved away from paper files and began utilizing digital files for its cases. This allowed for enhanced security and less waste.  For public transparency, FDCM maintains a public facing webpage that includes a listing of cases for each calendar year in which defendants pled guilty to theft of UI Benefits. The Criminal Prosecutions of Unemployment Benefits Fraud</w:t>
      </w:r>
      <w:r w:rsidRPr="007A12DC">
        <w:rPr>
          <w:b/>
          <w:bCs/>
        </w:rPr>
        <w:t xml:space="preserve"> </w:t>
      </w:r>
      <w:r w:rsidRPr="007A12DC">
        <w:t xml:space="preserve">webpage can be found at </w:t>
      </w:r>
      <w:hyperlink r:id="rId234" w:tgtFrame="_blank" w:history="1">
        <w:r w:rsidRPr="007A12DC">
          <w:rPr>
            <w:rStyle w:val="Hyperlink"/>
          </w:rPr>
          <w:t>Criminal Prosecutions of Unemployment Benefits Fraud</w:t>
        </w:r>
      </w:hyperlink>
      <w:r w:rsidRPr="007A12DC">
        <w:rPr>
          <w:sz w:val="20"/>
          <w:szCs w:val="20"/>
        </w:rPr>
        <w:t>.  </w:t>
      </w:r>
    </w:p>
    <w:p w14:paraId="58533E6B" w14:textId="77777777" w:rsidR="007A12DC" w:rsidRPr="00A66A35" w:rsidRDefault="007A12DC" w:rsidP="005E4C12">
      <w:pPr>
        <w:pStyle w:val="BodyText3"/>
        <w:ind w:left="720" w:hanging="720"/>
      </w:pPr>
      <w:r w:rsidRPr="00A66A35">
        <w:t>L.</w:t>
      </w:r>
      <w:r w:rsidRPr="00A66A35">
        <w:tab/>
        <w:t>Regulatory programs relate to the licensing, registration, certification, or permitting of a person, business, piece of equipment, or other entity (e.g., a facility). For each regulatory program, if applicable, describe: </w:t>
      </w:r>
    </w:p>
    <w:p w14:paraId="2865C6C5" w14:textId="77777777" w:rsidR="007A12DC" w:rsidRPr="007A12DC" w:rsidRDefault="007A12DC" w:rsidP="00A66A35">
      <w:pPr>
        <w:pStyle w:val="BodyText"/>
      </w:pPr>
      <w:r w:rsidRPr="007A12DC">
        <w:t>N/A </w:t>
      </w:r>
    </w:p>
    <w:p w14:paraId="63873B59" w14:textId="77777777" w:rsidR="007A12DC" w:rsidRPr="00A66A35" w:rsidRDefault="007A12DC" w:rsidP="005E4C12">
      <w:pPr>
        <w:pStyle w:val="BodyText3"/>
        <w:ind w:left="720" w:hanging="720"/>
      </w:pPr>
      <w:r w:rsidRPr="00A66A35">
        <w:t>M.</w:t>
      </w:r>
      <w:r w:rsidRPr="00A66A35">
        <w:tab/>
        <w:t xml:space="preserve">For each regulatory program, if applicable, provide detailed information on complaint and regulatory actions, including investigations and complaint resolutions. The data should cover the last five fiscal years and give a </w:t>
      </w:r>
      <w:r w:rsidRPr="00A66A35">
        <w:lastRenderedPageBreak/>
        <w:t>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4F42D3B1" w14:textId="77777777" w:rsidR="00422F8E" w:rsidRDefault="007A12DC" w:rsidP="00081214">
      <w:pPr>
        <w:pStyle w:val="BodyText"/>
      </w:pPr>
      <w:r w:rsidRPr="007A12DC">
        <w:t>N/A</w:t>
      </w:r>
    </w:p>
    <w:p w14:paraId="6F198997" w14:textId="51C01021" w:rsidR="00A66A35" w:rsidRDefault="00A66A35" w:rsidP="00081214">
      <w:pPr>
        <w:pStyle w:val="BodyText"/>
        <w:rPr>
          <w:b/>
          <w:sz w:val="20"/>
          <w:szCs w:val="20"/>
        </w:rPr>
      </w:pPr>
    </w:p>
    <w:p w14:paraId="3F1A0B4A" w14:textId="77777777" w:rsidR="00FB740D" w:rsidRPr="00FB740D" w:rsidRDefault="00FB740D" w:rsidP="00FB740D">
      <w:pPr>
        <w:pStyle w:val="BodyText3"/>
        <w:rPr>
          <w:b w:val="0"/>
        </w:rPr>
      </w:pPr>
      <w:r w:rsidRPr="00FB740D">
        <w:t>Unemployment Insurance Data Analysis Unit</w:t>
      </w:r>
      <w:r w:rsidRPr="00FB740D">
        <w:rPr>
          <w:b w:val="0"/>
        </w:rPr>
        <w:t> </w:t>
      </w:r>
    </w:p>
    <w:p w14:paraId="7C488FA6" w14:textId="77777777" w:rsidR="00FB740D" w:rsidRPr="00FB740D" w:rsidRDefault="00FB740D" w:rsidP="00FB740D">
      <w:pPr>
        <w:pStyle w:val="BodyText3"/>
      </w:pPr>
      <w:r w:rsidRPr="00FB740D">
        <w:t>A.</w:t>
      </w:r>
      <w:r w:rsidRPr="00FB740D">
        <w:tab/>
        <w:t>Provide the following information at the beginning of each description. </w:t>
      </w:r>
    </w:p>
    <w:p w14:paraId="06BBDA1B" w14:textId="77777777" w:rsidR="00FB740D" w:rsidRPr="00FB740D" w:rsidRDefault="00FB740D" w:rsidP="00C64851">
      <w:pPr>
        <w:pStyle w:val="BodyText"/>
        <w:numPr>
          <w:ilvl w:val="0"/>
          <w:numId w:val="235"/>
        </w:numPr>
        <w:spacing w:before="120" w:after="120"/>
      </w:pPr>
      <w:r w:rsidRPr="00FB740D">
        <w:t>Name of division or program: Unemployment Insurance Data Analysis Unit </w:t>
      </w:r>
    </w:p>
    <w:p w14:paraId="6FAAE897" w14:textId="77777777" w:rsidR="00FB740D" w:rsidRPr="00FB740D" w:rsidRDefault="00FB740D" w:rsidP="00C64851">
      <w:pPr>
        <w:pStyle w:val="BodyText"/>
        <w:numPr>
          <w:ilvl w:val="0"/>
          <w:numId w:val="235"/>
        </w:numPr>
        <w:spacing w:before="120" w:after="120"/>
      </w:pPr>
      <w:r w:rsidRPr="00FB740D">
        <w:t>Location within the agency: Fraud Deterrence and Compliance Monitoring </w:t>
      </w:r>
    </w:p>
    <w:p w14:paraId="0AA9DE32" w14:textId="77777777" w:rsidR="00FB740D" w:rsidRPr="00FB740D" w:rsidRDefault="00FB740D" w:rsidP="00C64851">
      <w:pPr>
        <w:pStyle w:val="BodyText"/>
        <w:numPr>
          <w:ilvl w:val="0"/>
          <w:numId w:val="235"/>
        </w:numPr>
        <w:spacing w:before="120" w:after="120"/>
      </w:pPr>
      <w:r w:rsidRPr="00FB740D">
        <w:t>Contact name: Jeffrey Hooks </w:t>
      </w:r>
    </w:p>
    <w:p w14:paraId="31BDE906" w14:textId="0E8928D8" w:rsidR="00FB740D" w:rsidRPr="00FB740D" w:rsidRDefault="00FB740D" w:rsidP="00C64851">
      <w:pPr>
        <w:pStyle w:val="BodyText"/>
        <w:numPr>
          <w:ilvl w:val="0"/>
          <w:numId w:val="235"/>
        </w:numPr>
        <w:spacing w:before="120" w:after="120"/>
      </w:pPr>
      <w:r w:rsidRPr="00FB740D">
        <w:t xml:space="preserve">Statutory citation: </w:t>
      </w:r>
      <w:r w:rsidR="3E89283A">
        <w:t>N/A</w:t>
      </w:r>
    </w:p>
    <w:p w14:paraId="5DA1623F" w14:textId="77777777" w:rsidR="00FB740D" w:rsidRPr="00FB740D" w:rsidRDefault="00FB740D" w:rsidP="005E4C12">
      <w:pPr>
        <w:pStyle w:val="BodyText3"/>
        <w:ind w:left="720" w:hanging="720"/>
      </w:pPr>
      <w:r w:rsidRPr="00FB740D">
        <w:t>B.</w:t>
      </w:r>
      <w:r w:rsidRPr="00FB740D">
        <w:tab/>
        <w:t>What is the objective of this division or program? Describe its major activities. </w:t>
      </w:r>
    </w:p>
    <w:p w14:paraId="1342E747" w14:textId="77777777" w:rsidR="00FB740D" w:rsidRPr="00FB740D" w:rsidRDefault="00FB740D" w:rsidP="00FB740D">
      <w:pPr>
        <w:pStyle w:val="BodyText"/>
      </w:pPr>
      <w:r w:rsidRPr="00FB740D">
        <w:t>The objective of the Unemployment Insurance (UI) Data Analysis Unit is to perform thorough audits of core functions of the UI program and to report the results of those audits in a straightforward and comprehensible manner to U.S. Department of Labor (USDOL) and for internal process improvement.  </w:t>
      </w:r>
    </w:p>
    <w:p w14:paraId="08AF40D9" w14:textId="77777777" w:rsidR="00FB740D" w:rsidRPr="00FB740D" w:rsidRDefault="00FB740D" w:rsidP="00FB740D">
      <w:pPr>
        <w:pStyle w:val="BodyText"/>
      </w:pPr>
      <w:r w:rsidRPr="00FB740D">
        <w:rPr>
          <w:b/>
          <w:bCs/>
        </w:rPr>
        <w:t>Benefits Accuracy Measurement (BAM)</w:t>
      </w:r>
      <w:r w:rsidRPr="00FB740D">
        <w:t xml:space="preserve"> assesses whether UI benefits are properly paid or denied.  </w:t>
      </w:r>
    </w:p>
    <w:p w14:paraId="46578532" w14:textId="77777777" w:rsidR="00FB740D" w:rsidRPr="00FB740D" w:rsidRDefault="00FB740D" w:rsidP="00C64851">
      <w:pPr>
        <w:pStyle w:val="BodyText"/>
        <w:numPr>
          <w:ilvl w:val="0"/>
          <w:numId w:val="205"/>
        </w:numPr>
      </w:pPr>
      <w:r w:rsidRPr="00FB740D">
        <w:t>Paid Claims  </w:t>
      </w:r>
    </w:p>
    <w:p w14:paraId="269DAA21" w14:textId="77777777" w:rsidR="00FB740D" w:rsidRPr="00FB740D" w:rsidRDefault="00FB740D" w:rsidP="00C64851">
      <w:pPr>
        <w:pStyle w:val="BodyText"/>
        <w:numPr>
          <w:ilvl w:val="0"/>
          <w:numId w:val="206"/>
        </w:numPr>
      </w:pPr>
      <w:r w:rsidRPr="00FB740D">
        <w:t>Denied Claims   </w:t>
      </w:r>
    </w:p>
    <w:p w14:paraId="09947B19" w14:textId="77777777" w:rsidR="00FB740D" w:rsidRPr="00FB740D" w:rsidRDefault="00FB740D" w:rsidP="00FB740D">
      <w:pPr>
        <w:pStyle w:val="BodyText"/>
      </w:pPr>
      <w:r w:rsidRPr="00FB740D">
        <w:t xml:space="preserve">The </w:t>
      </w:r>
      <w:r w:rsidRPr="00FB740D">
        <w:rPr>
          <w:b/>
          <w:bCs/>
        </w:rPr>
        <w:t>Tax Performance System (TPS)</w:t>
      </w:r>
      <w:r w:rsidRPr="00FB740D">
        <w:t xml:space="preserve"> assesses the accuracy, timeliness, and completeness of Unemployment Insurance tax operations and makes recommendations for improvement.  </w:t>
      </w:r>
    </w:p>
    <w:p w14:paraId="20433005" w14:textId="77777777" w:rsidR="00FB740D" w:rsidRPr="00FB740D" w:rsidRDefault="00FB740D" w:rsidP="00C64851">
      <w:pPr>
        <w:pStyle w:val="BodyText"/>
        <w:numPr>
          <w:ilvl w:val="0"/>
          <w:numId w:val="207"/>
        </w:numPr>
      </w:pPr>
      <w:r w:rsidRPr="00FB740D">
        <w:t>Status Determinations and Status Posting Functions </w:t>
      </w:r>
    </w:p>
    <w:p w14:paraId="4C9603A9" w14:textId="77777777" w:rsidR="00FB740D" w:rsidRPr="00FB740D" w:rsidRDefault="00FB740D" w:rsidP="00C64851">
      <w:pPr>
        <w:pStyle w:val="BodyText"/>
        <w:numPr>
          <w:ilvl w:val="0"/>
          <w:numId w:val="208"/>
        </w:numPr>
      </w:pPr>
      <w:r w:rsidRPr="00FB740D">
        <w:t>Cashiering </w:t>
      </w:r>
    </w:p>
    <w:p w14:paraId="32174E0D" w14:textId="77777777" w:rsidR="00FB740D" w:rsidRPr="00FB740D" w:rsidRDefault="00FB740D" w:rsidP="00C64851">
      <w:pPr>
        <w:pStyle w:val="BodyText"/>
        <w:numPr>
          <w:ilvl w:val="0"/>
          <w:numId w:val="209"/>
        </w:numPr>
      </w:pPr>
      <w:r w:rsidRPr="00FB740D">
        <w:lastRenderedPageBreak/>
        <w:t>Report Delinquency </w:t>
      </w:r>
    </w:p>
    <w:p w14:paraId="431A1287" w14:textId="77777777" w:rsidR="00FB740D" w:rsidRPr="00FB740D" w:rsidRDefault="00FB740D" w:rsidP="00C64851">
      <w:pPr>
        <w:pStyle w:val="BodyText"/>
        <w:numPr>
          <w:ilvl w:val="0"/>
          <w:numId w:val="210"/>
        </w:numPr>
      </w:pPr>
      <w:r w:rsidRPr="00FB740D">
        <w:t>Collections </w:t>
      </w:r>
    </w:p>
    <w:p w14:paraId="5A459BA9" w14:textId="77777777" w:rsidR="00FB740D" w:rsidRPr="00FB740D" w:rsidRDefault="00FB740D" w:rsidP="00C64851">
      <w:pPr>
        <w:pStyle w:val="BodyText"/>
        <w:numPr>
          <w:ilvl w:val="0"/>
          <w:numId w:val="211"/>
        </w:numPr>
      </w:pPr>
      <w:r w:rsidRPr="00FB740D">
        <w:t>Field Audit </w:t>
      </w:r>
    </w:p>
    <w:p w14:paraId="3B717B56" w14:textId="77777777" w:rsidR="00FB740D" w:rsidRPr="00FB740D" w:rsidRDefault="00FB740D" w:rsidP="00C64851">
      <w:pPr>
        <w:pStyle w:val="BodyText"/>
        <w:numPr>
          <w:ilvl w:val="0"/>
          <w:numId w:val="212"/>
        </w:numPr>
      </w:pPr>
      <w:r w:rsidRPr="00FB740D">
        <w:t>Account Maintenance  </w:t>
      </w:r>
    </w:p>
    <w:p w14:paraId="0B955D06" w14:textId="58E60673" w:rsidR="00FB740D" w:rsidRPr="00FB740D" w:rsidRDefault="00FB740D" w:rsidP="00FB740D">
      <w:pPr>
        <w:pStyle w:val="BodyText"/>
      </w:pPr>
      <w:r w:rsidRPr="00FB740D">
        <w:rPr>
          <w:b/>
          <w:bCs/>
        </w:rPr>
        <w:t>Data Validation</w:t>
      </w:r>
      <w:r w:rsidRPr="00FB740D">
        <w:t xml:space="preserve"> assesses the accuracy of UI Required Reports to USDOL and collaborates with TWC’s Support Services, Tax/Contributions, and Applications Solutions departments to improve them.  </w:t>
      </w:r>
    </w:p>
    <w:p w14:paraId="7C1E6D4B" w14:textId="77777777" w:rsidR="00FB740D" w:rsidRPr="00FB740D" w:rsidRDefault="00FB740D" w:rsidP="00C64851">
      <w:pPr>
        <w:pStyle w:val="BodyText"/>
        <w:numPr>
          <w:ilvl w:val="0"/>
          <w:numId w:val="213"/>
        </w:numPr>
      </w:pPr>
      <w:r w:rsidRPr="00FB740D">
        <w:t>Benefits </w:t>
      </w:r>
    </w:p>
    <w:p w14:paraId="3653C657" w14:textId="77777777" w:rsidR="00FB740D" w:rsidRPr="00FB740D" w:rsidRDefault="00FB740D" w:rsidP="00C64851">
      <w:pPr>
        <w:pStyle w:val="BodyText"/>
        <w:numPr>
          <w:ilvl w:val="0"/>
          <w:numId w:val="214"/>
        </w:numPr>
      </w:pPr>
      <w:r w:rsidRPr="00FB740D">
        <w:t>Taxes/Contributions  </w:t>
      </w:r>
    </w:p>
    <w:p w14:paraId="46ECC741" w14:textId="77777777" w:rsidR="00FB740D" w:rsidRPr="00FB740D" w:rsidRDefault="00FB740D" w:rsidP="00FB740D">
      <w:pPr>
        <w:pStyle w:val="BodyText"/>
      </w:pPr>
      <w:r w:rsidRPr="00FB740D">
        <w:t>The UI Data Analysis Unit performs the required Quality Control program functions for the UI program. Failure to perform the Quality Control programs defined in this section of the CFR puts TWC receipt of its grant funding at risk. 20 CFR § 602.42 Effect of failure to implement Quality Control program. “Any State which the Secretary finds, after reasonable notice and opportunity for hearing, has not implemented or maintained a Quality Control program in accordance with this part will not be eligible for any grants under title III of the Social Security Act until such time as the Secretary is satisfied that there is no longer any failure to conform or to comply substantially with any provision specified in this part". </w:t>
      </w:r>
    </w:p>
    <w:p w14:paraId="04A4E5AE" w14:textId="77777777" w:rsidR="00FB740D" w:rsidRPr="00FB740D" w:rsidRDefault="00FB740D" w:rsidP="005E4C12">
      <w:pPr>
        <w:pStyle w:val="BodyText3"/>
        <w:ind w:left="720" w:hanging="720"/>
      </w:pPr>
      <w:r w:rsidRPr="00FB740D">
        <w:t>C.</w:t>
      </w:r>
      <w:r w:rsidRPr="00FB740D">
        <w:tab/>
        <w:t xml:space="preserve">What information does the agency collect/use to assess the effectiveness and efficiency of this division or program? If applicable, briefly note any LBB performance measures (from Section II, </w:t>
      </w:r>
      <w:proofErr w:type="gramStart"/>
      <w:r w:rsidRPr="00FB740D">
        <w:t>Exhibit</w:t>
      </w:r>
      <w:proofErr w:type="gramEnd"/>
      <w:r w:rsidRPr="00FB740D">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450BE840" w14:textId="77777777" w:rsidR="00FB740D" w:rsidRPr="00FB740D" w:rsidRDefault="00FB740D" w:rsidP="00FB740D">
      <w:pPr>
        <w:pStyle w:val="BodyText"/>
      </w:pPr>
      <w:r w:rsidRPr="00FB740D">
        <w:t>BAM, the Tax Performance System, and Data Validation are mandatory federal programs administered by the State of Texas and subject to federal oversight.  In addition to meeting federal requirements, UI Data Analysis also shares the results of its audits and quality control work with internal TWC departments.  UI Data Analysis shares its results with relevant departments as issues develop and through annual reports posted on the Unit’s internal SharePoint page.  Following a small RPI project in 2018/2019, UI Data Analysis programs have generally exceeded federal performance standards. </w:t>
      </w:r>
    </w:p>
    <w:p w14:paraId="74D9C73F" w14:textId="77777777" w:rsidR="00FB740D" w:rsidRPr="00FB740D" w:rsidRDefault="00FB740D" w:rsidP="00C64851">
      <w:pPr>
        <w:pStyle w:val="BodyText"/>
        <w:numPr>
          <w:ilvl w:val="0"/>
          <w:numId w:val="236"/>
        </w:numPr>
      </w:pPr>
      <w:r w:rsidRPr="00FB740D">
        <w:t>BAM has exceeded federal timely audit completion standards since 2020. </w:t>
      </w:r>
    </w:p>
    <w:p w14:paraId="61BDC095" w14:textId="77777777" w:rsidR="00FB740D" w:rsidRPr="00FB740D" w:rsidRDefault="00FB740D" w:rsidP="00C64851">
      <w:pPr>
        <w:pStyle w:val="BodyText"/>
        <w:numPr>
          <w:ilvl w:val="0"/>
          <w:numId w:val="236"/>
        </w:numPr>
      </w:pPr>
      <w:r w:rsidRPr="00FB740D">
        <w:t>Both Tax Performance System and Data Validation have completed all federal submissions by their respective deadlines for the last seven years. </w:t>
      </w:r>
    </w:p>
    <w:p w14:paraId="47920858" w14:textId="77777777" w:rsidR="00FB740D" w:rsidRPr="005E4C12" w:rsidRDefault="00FB740D" w:rsidP="005E4C12">
      <w:pPr>
        <w:pStyle w:val="BodyText3"/>
        <w:ind w:left="720" w:hanging="720"/>
      </w:pPr>
      <w:r w:rsidRPr="005E4C12">
        <w:lastRenderedPageBreak/>
        <w:t>D.</w:t>
      </w:r>
      <w:r w:rsidRPr="005E4C12">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4856E73E" w14:textId="77777777" w:rsidR="00FB740D" w:rsidRPr="00FB740D" w:rsidRDefault="00FB740D" w:rsidP="00FB740D">
      <w:pPr>
        <w:pStyle w:val="BodyText"/>
      </w:pPr>
      <w:r w:rsidRPr="00FB740D">
        <w:t xml:space="preserve">BAM has developed over the years from a program designed to inform and improve state UI programs to also serve as an additional means of federal oversight of state UI effectiveness and quality. The trend became much more noticeable after passage of the Improper Payments Information Act of 2002 and later the Improper Payments Elimination and Recovery Improvement Act of 2012 (IPERIA). USDOL began using overpayment and underpayment rates calculated by BAM to estimate overall improper payment rates for the UI system in each state as required by these acts. IPERIA requires an improper payment rate below 10 </w:t>
      </w:r>
      <w:proofErr w:type="gramStart"/>
      <w:r w:rsidRPr="00FB740D">
        <w:t>percent</w:t>
      </w:r>
      <w:proofErr w:type="gramEnd"/>
      <w:r w:rsidRPr="00FB740D">
        <w:t xml:space="preserve"> so USDOL began encouraging states to keep their improper payments below that threshold. The Payment Integrity Information Act of 2019 (PIIA) is the current version of this law. USDOL closely monitors the performance of state UI programs through the Benefits Accuracy Measurement, Tax Performance</w:t>
      </w:r>
      <w:r w:rsidRPr="00FB740D">
        <w:rPr>
          <w:sz w:val="20"/>
          <w:szCs w:val="20"/>
        </w:rPr>
        <w:t xml:space="preserve"> System, and Data Validation </w:t>
      </w:r>
      <w:r w:rsidRPr="00FB740D">
        <w:t>reporting. </w:t>
      </w:r>
    </w:p>
    <w:p w14:paraId="48F2161B" w14:textId="77777777" w:rsidR="00FB740D" w:rsidRPr="00FB740D" w:rsidRDefault="00FB740D" w:rsidP="005E4C12">
      <w:pPr>
        <w:pStyle w:val="BodyText3"/>
        <w:ind w:left="720" w:hanging="720"/>
      </w:pPr>
      <w:r w:rsidRPr="00FB740D">
        <w:t>E.</w:t>
      </w:r>
      <w:r w:rsidRPr="00FB740D">
        <w:tab/>
        <w:t>List any qualifications or eligibility requirements for persons or entities affected by this division or program (e.g., licensees, consumers, and landowners). Provide a statistical breakdown of persons or entities affected. </w:t>
      </w:r>
    </w:p>
    <w:p w14:paraId="0A46E8D2" w14:textId="77777777" w:rsidR="00FB740D" w:rsidRPr="00FB740D" w:rsidRDefault="00FB740D" w:rsidP="00FB740D">
      <w:pPr>
        <w:pStyle w:val="BodyText"/>
      </w:pPr>
      <w:r w:rsidRPr="00FB740D">
        <w:t>The UI Data Analysis unit at TWC is primarily focused on analyzing data related to the UI program. As such, its activities and findings can potentially affect a wide range of entities and persons, both directly and indirectly: </w:t>
      </w:r>
    </w:p>
    <w:p w14:paraId="5D5E800D" w14:textId="77777777" w:rsidR="00FB740D" w:rsidRPr="00FB740D" w:rsidRDefault="00FB740D" w:rsidP="00FB740D">
      <w:pPr>
        <w:pStyle w:val="BodyText"/>
      </w:pPr>
      <w:r w:rsidRPr="00FB740D">
        <w:rPr>
          <w:b/>
          <w:bCs/>
        </w:rPr>
        <w:t>Directly Affected: </w:t>
      </w:r>
      <w:r w:rsidRPr="00FB740D">
        <w:t> </w:t>
      </w:r>
    </w:p>
    <w:p w14:paraId="0D6362AB" w14:textId="77777777" w:rsidR="00FB740D" w:rsidRPr="00FB740D" w:rsidRDefault="00FB740D" w:rsidP="00C64851">
      <w:pPr>
        <w:pStyle w:val="BodyText"/>
        <w:numPr>
          <w:ilvl w:val="0"/>
          <w:numId w:val="215"/>
        </w:numPr>
      </w:pPr>
      <w:r w:rsidRPr="00FB740D">
        <w:rPr>
          <w:b/>
          <w:bCs/>
        </w:rPr>
        <w:t>Unemployment Insurance Claimants:</w:t>
      </w:r>
      <w:r w:rsidRPr="00FB740D">
        <w:t xml:space="preserve"> Data analysis can affect claimants in several ways:  </w:t>
      </w:r>
    </w:p>
    <w:p w14:paraId="38CCFBD5" w14:textId="77777777" w:rsidR="00FB740D" w:rsidRPr="00FB740D" w:rsidRDefault="00FB740D" w:rsidP="00C64851">
      <w:pPr>
        <w:pStyle w:val="BodyText"/>
        <w:numPr>
          <w:ilvl w:val="0"/>
          <w:numId w:val="216"/>
        </w:numPr>
      </w:pPr>
      <w:r w:rsidRPr="00FB740D">
        <w:rPr>
          <w:b/>
          <w:bCs/>
        </w:rPr>
        <w:t>Eligibility Determinations:</w:t>
      </w:r>
      <w:r w:rsidRPr="00FB740D">
        <w:t xml:space="preserve"> Data analysis can help identify potential fraud or ineligibility, leading to investigations, denials of benefits, or overpayment determinations.  </w:t>
      </w:r>
    </w:p>
    <w:p w14:paraId="2AE5FFAF" w14:textId="77777777" w:rsidR="00FB740D" w:rsidRPr="00FB740D" w:rsidRDefault="00FB740D" w:rsidP="00C64851">
      <w:pPr>
        <w:pStyle w:val="BodyText"/>
        <w:numPr>
          <w:ilvl w:val="0"/>
          <w:numId w:val="217"/>
        </w:numPr>
      </w:pPr>
      <w:r w:rsidRPr="00FB740D">
        <w:rPr>
          <w:b/>
          <w:bCs/>
        </w:rPr>
        <w:t>Benefit Amounts:</w:t>
      </w:r>
      <w:r w:rsidRPr="00FB740D">
        <w:t xml:space="preserve"> Analysis of wage data can impact how benefit amounts are calculated.  </w:t>
      </w:r>
    </w:p>
    <w:p w14:paraId="548EA63A" w14:textId="77777777" w:rsidR="00FB740D" w:rsidRPr="00FB740D" w:rsidRDefault="00FB740D" w:rsidP="00C64851">
      <w:pPr>
        <w:pStyle w:val="BodyText"/>
        <w:numPr>
          <w:ilvl w:val="0"/>
          <w:numId w:val="218"/>
        </w:numPr>
      </w:pPr>
      <w:r w:rsidRPr="00FB740D">
        <w:rPr>
          <w:b/>
          <w:bCs/>
        </w:rPr>
        <w:t>Program Changes:</w:t>
      </w:r>
      <w:r w:rsidRPr="00FB740D">
        <w:t xml:space="preserve"> Data analysis can inform changes to UI program policies and procedures, which can impact claimant access to and the </w:t>
      </w:r>
      <w:proofErr w:type="gramStart"/>
      <w:r w:rsidRPr="00FB740D">
        <w:t>amount</w:t>
      </w:r>
      <w:proofErr w:type="gramEnd"/>
      <w:r w:rsidRPr="00FB740D">
        <w:t xml:space="preserve"> of benefits.  </w:t>
      </w:r>
    </w:p>
    <w:p w14:paraId="7F8BEE1C" w14:textId="77777777" w:rsidR="00FB740D" w:rsidRPr="00FB740D" w:rsidRDefault="00FB740D" w:rsidP="00C64851">
      <w:pPr>
        <w:pStyle w:val="BodyText"/>
        <w:numPr>
          <w:ilvl w:val="0"/>
          <w:numId w:val="219"/>
        </w:numPr>
      </w:pPr>
      <w:r w:rsidRPr="00FB740D">
        <w:rPr>
          <w:b/>
          <w:bCs/>
        </w:rPr>
        <w:t>Employers:</w:t>
      </w:r>
      <w:r w:rsidRPr="00FB740D">
        <w:t xml:space="preserve"> Employers are directly affected through:  </w:t>
      </w:r>
    </w:p>
    <w:p w14:paraId="363AAFB8" w14:textId="77777777" w:rsidR="00FB740D" w:rsidRPr="00FB740D" w:rsidRDefault="00FB740D" w:rsidP="00C64851">
      <w:pPr>
        <w:pStyle w:val="BodyText"/>
        <w:numPr>
          <w:ilvl w:val="0"/>
          <w:numId w:val="220"/>
        </w:numPr>
      </w:pPr>
      <w:r w:rsidRPr="00FB740D">
        <w:rPr>
          <w:b/>
          <w:bCs/>
        </w:rPr>
        <w:lastRenderedPageBreak/>
        <w:t>UI Tax Rates:</w:t>
      </w:r>
      <w:r w:rsidRPr="00FB740D">
        <w:t xml:space="preserve"> UI experience ratings, which determine employer tax rates, are based on data about layoffs and unemployment claims. Data analysis can lead to changes in how these rates are calculated.  </w:t>
      </w:r>
    </w:p>
    <w:p w14:paraId="0473EFF4" w14:textId="77777777" w:rsidR="00FB740D" w:rsidRPr="00FB740D" w:rsidRDefault="00FB740D" w:rsidP="00C64851">
      <w:pPr>
        <w:pStyle w:val="BodyText"/>
        <w:numPr>
          <w:ilvl w:val="0"/>
          <w:numId w:val="221"/>
        </w:numPr>
      </w:pPr>
      <w:r w:rsidRPr="00FB740D">
        <w:rPr>
          <w:b/>
          <w:bCs/>
        </w:rPr>
        <w:t>Verification Processes:</w:t>
      </w:r>
      <w:r w:rsidRPr="00FB740D">
        <w:t xml:space="preserve"> Data analysis can help identify employers who may be misclassifying workers or engaging in other practices that affect UI costs, leading to audits or investigations.  </w:t>
      </w:r>
    </w:p>
    <w:p w14:paraId="6EC90967" w14:textId="77777777" w:rsidR="00FB740D" w:rsidRPr="00FB740D" w:rsidRDefault="00FB740D" w:rsidP="00C64851">
      <w:pPr>
        <w:pStyle w:val="BodyText"/>
        <w:numPr>
          <w:ilvl w:val="0"/>
          <w:numId w:val="222"/>
        </w:numPr>
      </w:pPr>
      <w:r w:rsidRPr="00FB740D">
        <w:rPr>
          <w:b/>
          <w:bCs/>
        </w:rPr>
        <w:t>UI Claim Protests:</w:t>
      </w:r>
      <w:r w:rsidRPr="00FB740D">
        <w:t xml:space="preserve"> Data about job separations and reasons for unemployment are used to evaluate employer protests of UI claims.  </w:t>
      </w:r>
    </w:p>
    <w:p w14:paraId="317AA33D" w14:textId="2EC4B0CB" w:rsidR="00FB740D" w:rsidRPr="00FB740D" w:rsidRDefault="00FB740D" w:rsidP="00C64851">
      <w:pPr>
        <w:pStyle w:val="BodyText"/>
        <w:numPr>
          <w:ilvl w:val="0"/>
          <w:numId w:val="223"/>
        </w:numPr>
      </w:pPr>
      <w:r w:rsidRPr="00FB740D">
        <w:rPr>
          <w:b/>
          <w:bCs/>
        </w:rPr>
        <w:t>TWC Staff and Management:</w:t>
      </w:r>
      <w:r w:rsidRPr="00FB740D">
        <w:t xml:space="preserve"> The UI Data Analysis unit provides information that directly affects TWC's operations and decision-making:  </w:t>
      </w:r>
    </w:p>
    <w:p w14:paraId="48D52783" w14:textId="77777777" w:rsidR="00FB740D" w:rsidRPr="00FB740D" w:rsidRDefault="00FB740D" w:rsidP="00C64851">
      <w:pPr>
        <w:pStyle w:val="BodyText"/>
        <w:numPr>
          <w:ilvl w:val="0"/>
          <w:numId w:val="224"/>
        </w:numPr>
      </w:pPr>
      <w:r w:rsidRPr="00FB740D">
        <w:rPr>
          <w:b/>
          <w:bCs/>
        </w:rPr>
        <w:t>Program Management:</w:t>
      </w:r>
      <w:r w:rsidRPr="00FB740D">
        <w:t xml:space="preserve"> Data informs decisions about staffing levels, resource allocation, and program design.  </w:t>
      </w:r>
    </w:p>
    <w:p w14:paraId="3459A9F4" w14:textId="77777777" w:rsidR="00FB740D" w:rsidRPr="00FB740D" w:rsidRDefault="00FB740D" w:rsidP="00C64851">
      <w:pPr>
        <w:pStyle w:val="BodyText"/>
        <w:numPr>
          <w:ilvl w:val="0"/>
          <w:numId w:val="225"/>
        </w:numPr>
      </w:pPr>
      <w:r w:rsidRPr="00FB740D">
        <w:rPr>
          <w:b/>
          <w:bCs/>
        </w:rPr>
        <w:t>Policy Recommendations:</w:t>
      </w:r>
      <w:r w:rsidRPr="00FB740D">
        <w:t xml:space="preserve"> The unit's findings are used to make recommendations for changes to UI laws, regulations, and policies. </w:t>
      </w:r>
    </w:p>
    <w:p w14:paraId="6ED9B58D" w14:textId="77777777" w:rsidR="00FB740D" w:rsidRPr="00FB740D" w:rsidRDefault="00FB740D" w:rsidP="00C64851">
      <w:pPr>
        <w:pStyle w:val="BodyText"/>
        <w:numPr>
          <w:ilvl w:val="0"/>
          <w:numId w:val="226"/>
        </w:numPr>
      </w:pPr>
      <w:r w:rsidRPr="00FB740D">
        <w:rPr>
          <w:b/>
          <w:bCs/>
        </w:rPr>
        <w:t>Performance Measurement:</w:t>
      </w:r>
      <w:r w:rsidRPr="00FB740D">
        <w:t xml:space="preserve"> Data is used to track the performance of the UI program and to identify areas for improvement.  </w:t>
      </w:r>
    </w:p>
    <w:p w14:paraId="3116E01A" w14:textId="77777777" w:rsidR="00FB740D" w:rsidRPr="00FB740D" w:rsidRDefault="00FB740D" w:rsidP="00C64851">
      <w:pPr>
        <w:pStyle w:val="BodyText"/>
        <w:numPr>
          <w:ilvl w:val="0"/>
          <w:numId w:val="227"/>
        </w:numPr>
      </w:pPr>
      <w:r w:rsidRPr="00FB740D">
        <w:rPr>
          <w:b/>
          <w:bCs/>
        </w:rPr>
        <w:t>Legislators:</w:t>
      </w:r>
      <w:r w:rsidRPr="00FB740D">
        <w:t xml:space="preserve"> UI data are often used for legislative discussion and decision-making.  </w:t>
      </w:r>
    </w:p>
    <w:p w14:paraId="55A02547" w14:textId="77777777" w:rsidR="00FB740D" w:rsidRPr="00FB740D" w:rsidRDefault="00FB740D" w:rsidP="00FB740D">
      <w:pPr>
        <w:pStyle w:val="BodyText"/>
      </w:pPr>
      <w:r w:rsidRPr="00FB740D">
        <w:rPr>
          <w:b/>
          <w:bCs/>
        </w:rPr>
        <w:t>Indirectly Affected: </w:t>
      </w:r>
      <w:r w:rsidRPr="00FB740D">
        <w:t> </w:t>
      </w:r>
    </w:p>
    <w:p w14:paraId="7BC2FAD8" w14:textId="77777777" w:rsidR="00FB740D" w:rsidRPr="00FB740D" w:rsidRDefault="00FB740D" w:rsidP="00C64851">
      <w:pPr>
        <w:pStyle w:val="BodyText"/>
        <w:numPr>
          <w:ilvl w:val="0"/>
          <w:numId w:val="228"/>
        </w:numPr>
      </w:pPr>
      <w:r w:rsidRPr="00FB740D">
        <w:rPr>
          <w:b/>
          <w:bCs/>
        </w:rPr>
        <w:t>Taxpayers:</w:t>
      </w:r>
      <w:r w:rsidRPr="00FB740D">
        <w:t xml:space="preserve"> Efficient and effective management of the UI program, informed by data analysis, helps to protect taxpayer dollars.  </w:t>
      </w:r>
    </w:p>
    <w:p w14:paraId="021E1973" w14:textId="77777777" w:rsidR="00FB740D" w:rsidRPr="00FB740D" w:rsidRDefault="00FB740D" w:rsidP="00C64851">
      <w:pPr>
        <w:pStyle w:val="BodyText"/>
        <w:numPr>
          <w:ilvl w:val="0"/>
          <w:numId w:val="229"/>
        </w:numPr>
      </w:pPr>
      <w:r w:rsidRPr="00FB740D">
        <w:rPr>
          <w:b/>
          <w:bCs/>
        </w:rPr>
        <w:t>The Texas Economy:</w:t>
      </w:r>
      <w:r w:rsidRPr="00FB740D">
        <w:t xml:space="preserve"> The UI program plays a role in stabilizing the economy during recessions. Data analysis helps ensure the program is functioning effectively to meet this goal.  </w:t>
      </w:r>
    </w:p>
    <w:p w14:paraId="57C2F052" w14:textId="77777777" w:rsidR="00FB740D" w:rsidRPr="00FB740D" w:rsidRDefault="00FB740D" w:rsidP="00C64851">
      <w:pPr>
        <w:pStyle w:val="BodyText"/>
        <w:numPr>
          <w:ilvl w:val="0"/>
          <w:numId w:val="230"/>
        </w:numPr>
      </w:pPr>
      <w:r w:rsidRPr="00FB740D">
        <w:rPr>
          <w:b/>
          <w:bCs/>
        </w:rPr>
        <w:t>Workforce Development Professionals:</w:t>
      </w:r>
      <w:r w:rsidRPr="00FB740D">
        <w:t xml:space="preserve"> Data analysis can provide insights into workforce trends and skill gaps, which can inform the design of training programs and other workforce development initiatives.  </w:t>
      </w:r>
    </w:p>
    <w:p w14:paraId="6C8A65B0" w14:textId="77777777" w:rsidR="00FB740D" w:rsidRPr="00FB740D" w:rsidRDefault="00FB740D" w:rsidP="00C64851">
      <w:pPr>
        <w:pStyle w:val="BodyText"/>
        <w:numPr>
          <w:ilvl w:val="0"/>
          <w:numId w:val="231"/>
        </w:numPr>
      </w:pPr>
      <w:r w:rsidRPr="00FB740D">
        <w:rPr>
          <w:b/>
          <w:bCs/>
        </w:rPr>
        <w:t>Researchers and Policymakers:</w:t>
      </w:r>
      <w:r w:rsidRPr="00FB740D">
        <w:t xml:space="preserve"> The data collected and analyzed by the UI Data Analysis unit is often used by researchers and policymakers to study unemployment trends, evaluate program effectiveness, and develop new policy ideas. </w:t>
      </w:r>
    </w:p>
    <w:p w14:paraId="146BF100" w14:textId="77777777" w:rsidR="00FB740D" w:rsidRPr="00FB740D" w:rsidRDefault="00FB740D" w:rsidP="00C95CA8">
      <w:pPr>
        <w:pStyle w:val="BodyText3"/>
        <w:ind w:left="720" w:hanging="720"/>
      </w:pPr>
      <w:r w:rsidRPr="00FB740D">
        <w:t>F.</w:t>
      </w:r>
      <w:r w:rsidRPr="00FB740D">
        <w:tab/>
        <w:t xml:space="preserve">Describe how the division or program is administered, including a description of key processes involved. If you have existing documentation (e.g., flowcharts, timelines, and other illustrations) to describe agency policies and </w:t>
      </w:r>
      <w:r w:rsidRPr="00FB740D">
        <w:lastRenderedPageBreak/>
        <w:t>procedures, please include them as attachments. Indicate how field/regional services are used, if applicable. </w:t>
      </w:r>
    </w:p>
    <w:p w14:paraId="0C093B62" w14:textId="77777777" w:rsidR="00FB740D" w:rsidRPr="00FB740D" w:rsidRDefault="00FB740D" w:rsidP="00FB740D">
      <w:pPr>
        <w:pStyle w:val="BodyText"/>
      </w:pPr>
      <w:r w:rsidRPr="00FB740D">
        <w:t>BAM performs annually at least 480 audits of paid UI claims and at least 450 audits of denied claims. A BAM report is prepared annually for internal review. Procedures are defined by USDOL manual ETA 395 and TWC has little discretion to deviate from them. Twice a year the USDOL audits each state program. </w:t>
      </w:r>
    </w:p>
    <w:p w14:paraId="5937E2C9" w14:textId="77777777" w:rsidR="00FB740D" w:rsidRPr="00FB740D" w:rsidRDefault="00FB740D" w:rsidP="00FB740D">
      <w:pPr>
        <w:pStyle w:val="BodyText"/>
      </w:pPr>
      <w:r w:rsidRPr="00FB740D">
        <w:t>The Tax Performance System audits the Texas tax program and prepares an annual report. The annual report is required to be submitted to USDOL annually. Procedures are defined by USDOL manual ETA 407c and TWC has little discretion to deviate from them. USDOL audits each state program every four years. </w:t>
      </w:r>
    </w:p>
    <w:p w14:paraId="50041E19" w14:textId="77777777" w:rsidR="00FB740D" w:rsidRPr="00FB740D" w:rsidRDefault="00FB740D" w:rsidP="00FB740D">
      <w:pPr>
        <w:pStyle w:val="BodyText"/>
      </w:pPr>
      <w:r w:rsidRPr="00FB740D">
        <w:t>Data Validation audits various UI reports at various intervals, chiefly annual intervals. Procedures are defined in USDOL manual ETA 361 and TWC has little discretion to deviate from them. USDOL is scheduled to audit this program every four years. </w:t>
      </w:r>
    </w:p>
    <w:p w14:paraId="430448E7" w14:textId="77777777" w:rsidR="008C7FA5" w:rsidRPr="00FB740D" w:rsidRDefault="008C7FA5" w:rsidP="008C7FA5">
      <w:pPr>
        <w:pStyle w:val="BodyText"/>
      </w:pPr>
      <w:r w:rsidRPr="00FB740D">
        <w:t>The Benefits Timeliness and Quality (BTQ) program within the UI Division complements BAM. BTQ assesses the quality of Unemployment Insurance claims-taking and adjudication, given the information available at the time. BAM performs a retrospective assessment.  BAM also searches for concealed earnings but on a much smaller scale governed by a sampling technique.   </w:t>
      </w:r>
    </w:p>
    <w:p w14:paraId="166DA47B" w14:textId="77777777" w:rsidR="008C7FA5" w:rsidRPr="00FB740D" w:rsidRDefault="008C7FA5" w:rsidP="008C7FA5">
      <w:pPr>
        <w:pStyle w:val="BodyText"/>
      </w:pPr>
      <w:r w:rsidRPr="00FB740D">
        <w:t>The BTQ program is also mandated by 20 CFR § 602 et seq.  20 CFR § 602.20 requires Benefit Timeliness and Quality, Benefit Accuracy Measurement, Tax Performance System, and Data Validation to be independent of the UI Division, however BTQ is still within the UI Division at TWC. Nonetheless, UI Data Analysis regularly communicates with the UI Division to develop a comprehensive analysis of UI quality. </w:t>
      </w:r>
    </w:p>
    <w:p w14:paraId="49038032" w14:textId="77777777" w:rsidR="00FB740D" w:rsidRPr="00FB740D" w:rsidRDefault="00FB740D" w:rsidP="00C95CA8">
      <w:pPr>
        <w:pStyle w:val="BodyText3"/>
        <w:ind w:left="720" w:hanging="720"/>
      </w:pPr>
      <w:r w:rsidRPr="00FB740D">
        <w:t>G.</w:t>
      </w:r>
      <w:r w:rsidRPr="00FB740D">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800"/>
        <w:gridCol w:w="1948"/>
        <w:gridCol w:w="1677"/>
        <w:gridCol w:w="1935"/>
      </w:tblGrid>
      <w:tr w:rsidR="00B52F8C" w:rsidRPr="00347ED8" w14:paraId="3D28ABD7" w14:textId="77777777" w:rsidTr="00B52F8C">
        <w:trPr>
          <w:trHeight w:val="288"/>
        </w:trPr>
        <w:tc>
          <w:tcPr>
            <w:tcW w:w="3800" w:type="dxa"/>
            <w:shd w:val="clear" w:color="auto" w:fill="B8CCE4" w:themeFill="accent1" w:themeFillTint="66"/>
            <w:hideMark/>
          </w:tcPr>
          <w:p w14:paraId="4BC211F4" w14:textId="77777777" w:rsidR="00B52F8C" w:rsidRPr="00347ED8" w:rsidRDefault="00B52F8C" w:rsidP="00B52F8C">
            <w:pPr>
              <w:pStyle w:val="TableHeaders"/>
              <w:rPr>
                <w:color w:val="000000"/>
              </w:rPr>
            </w:pPr>
            <w:r w:rsidRPr="00347ED8">
              <w:t>Program or Function Detail Description</w:t>
            </w:r>
          </w:p>
        </w:tc>
        <w:tc>
          <w:tcPr>
            <w:tcW w:w="2300" w:type="dxa"/>
            <w:shd w:val="clear" w:color="auto" w:fill="B8CCE4" w:themeFill="accent1" w:themeFillTint="66"/>
            <w:hideMark/>
          </w:tcPr>
          <w:p w14:paraId="6F379887" w14:textId="77777777" w:rsidR="00B52F8C" w:rsidRPr="00347ED8" w:rsidRDefault="00B52F8C" w:rsidP="00B52F8C">
            <w:pPr>
              <w:pStyle w:val="TableHeaders"/>
              <w:rPr>
                <w:color w:val="000000"/>
              </w:rPr>
            </w:pPr>
            <w:r w:rsidRPr="00347ED8">
              <w:t>Total FY 2024</w:t>
            </w:r>
          </w:p>
        </w:tc>
        <w:tc>
          <w:tcPr>
            <w:tcW w:w="1920" w:type="dxa"/>
            <w:shd w:val="clear" w:color="auto" w:fill="B8CCE4" w:themeFill="accent1" w:themeFillTint="66"/>
            <w:hideMark/>
          </w:tcPr>
          <w:p w14:paraId="42E3598C" w14:textId="77777777" w:rsidR="00B52F8C" w:rsidRPr="00347ED8" w:rsidRDefault="00B52F8C" w:rsidP="00B52F8C">
            <w:pPr>
              <w:pStyle w:val="TableHeaders"/>
              <w:rPr>
                <w:color w:val="000000"/>
              </w:rPr>
            </w:pPr>
            <w:r w:rsidRPr="00347ED8">
              <w:t>Federal Funding</w:t>
            </w:r>
          </w:p>
        </w:tc>
        <w:tc>
          <w:tcPr>
            <w:tcW w:w="2320" w:type="dxa"/>
            <w:shd w:val="clear" w:color="auto" w:fill="B8CCE4" w:themeFill="accent1" w:themeFillTint="66"/>
            <w:hideMark/>
          </w:tcPr>
          <w:p w14:paraId="26EF15EB" w14:textId="77777777" w:rsidR="00B52F8C" w:rsidRPr="00347ED8" w:rsidRDefault="00B52F8C" w:rsidP="00B52F8C">
            <w:pPr>
              <w:pStyle w:val="TableHeaders"/>
              <w:rPr>
                <w:color w:val="000000"/>
              </w:rPr>
            </w:pPr>
            <w:r w:rsidRPr="00347ED8">
              <w:t>State Funding</w:t>
            </w:r>
          </w:p>
        </w:tc>
      </w:tr>
      <w:tr w:rsidR="00B52F8C" w:rsidRPr="00347ED8" w14:paraId="2BA861F3" w14:textId="77777777" w:rsidTr="00B52F8C">
        <w:trPr>
          <w:trHeight w:val="288"/>
        </w:trPr>
        <w:tc>
          <w:tcPr>
            <w:tcW w:w="3800" w:type="dxa"/>
            <w:noWrap/>
            <w:vAlign w:val="center"/>
            <w:hideMark/>
          </w:tcPr>
          <w:p w14:paraId="5C553E48" w14:textId="77777777" w:rsidR="00B52F8C" w:rsidRPr="00347ED8" w:rsidRDefault="00B52F8C" w:rsidP="00B52F8C">
            <w:pPr>
              <w:pStyle w:val="TableText"/>
            </w:pPr>
            <w:r w:rsidRPr="00347ED8">
              <w:t>FDCM UI Integrity</w:t>
            </w:r>
          </w:p>
        </w:tc>
        <w:tc>
          <w:tcPr>
            <w:tcW w:w="2300" w:type="dxa"/>
            <w:vAlign w:val="center"/>
            <w:hideMark/>
          </w:tcPr>
          <w:p w14:paraId="4D432E91" w14:textId="26178E0A" w:rsidR="00B52F8C" w:rsidRPr="00347ED8" w:rsidRDefault="00B52F8C" w:rsidP="00B52F8C">
            <w:pPr>
              <w:pStyle w:val="TableText"/>
              <w:jc w:val="right"/>
            </w:pPr>
            <w:r w:rsidRPr="00347ED8">
              <w:t xml:space="preserve">1,823,969 </w:t>
            </w:r>
          </w:p>
        </w:tc>
        <w:tc>
          <w:tcPr>
            <w:tcW w:w="1920" w:type="dxa"/>
            <w:vAlign w:val="center"/>
            <w:hideMark/>
          </w:tcPr>
          <w:p w14:paraId="255E456C" w14:textId="7B17AC21" w:rsidR="00B52F8C" w:rsidRPr="00347ED8" w:rsidRDefault="00B52F8C" w:rsidP="00B52F8C">
            <w:pPr>
              <w:pStyle w:val="TableText"/>
              <w:jc w:val="right"/>
            </w:pPr>
            <w:r w:rsidRPr="00347ED8">
              <w:t xml:space="preserve">1,730,039 </w:t>
            </w:r>
          </w:p>
        </w:tc>
        <w:tc>
          <w:tcPr>
            <w:tcW w:w="2320" w:type="dxa"/>
            <w:vAlign w:val="center"/>
            <w:hideMark/>
          </w:tcPr>
          <w:p w14:paraId="2C9A046C" w14:textId="69A6F0AE" w:rsidR="00B52F8C" w:rsidRPr="00347ED8" w:rsidRDefault="00B52F8C" w:rsidP="00B52F8C">
            <w:pPr>
              <w:pStyle w:val="TableText"/>
              <w:jc w:val="right"/>
            </w:pPr>
            <w:r w:rsidRPr="00347ED8">
              <w:t xml:space="preserve">93,930 </w:t>
            </w:r>
          </w:p>
        </w:tc>
      </w:tr>
    </w:tbl>
    <w:p w14:paraId="5F08784F" w14:textId="77777777" w:rsidR="00FB740D" w:rsidRPr="00FB740D" w:rsidRDefault="00FB740D" w:rsidP="00C95CA8">
      <w:pPr>
        <w:pStyle w:val="BodyText3"/>
        <w:ind w:left="720" w:hanging="720"/>
      </w:pPr>
      <w:r w:rsidRPr="00FB740D">
        <w:t>H.</w:t>
      </w:r>
      <w:r w:rsidRPr="00FB740D">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2AB13D40" w14:textId="38E35513" w:rsidR="00A8111A" w:rsidRPr="00FB740D" w:rsidRDefault="00A8111A" w:rsidP="00FB740D">
      <w:pPr>
        <w:pStyle w:val="BodyText"/>
      </w:pPr>
      <w:r>
        <w:lastRenderedPageBreak/>
        <w:t>N/A</w:t>
      </w:r>
    </w:p>
    <w:p w14:paraId="060036E7" w14:textId="77777777" w:rsidR="00FB740D" w:rsidRPr="00FB740D" w:rsidRDefault="00FB740D" w:rsidP="00C95CA8">
      <w:pPr>
        <w:pStyle w:val="BodyText3"/>
        <w:ind w:left="720" w:hanging="720"/>
      </w:pPr>
      <w:r w:rsidRPr="00FB740D">
        <w:t>I.</w:t>
      </w:r>
      <w:r w:rsidRPr="00FB740D">
        <w:tab/>
        <w:t>If the division or program works with local, regional, or federal units of government, include a brief description of these entities and their relationship to the agency. </w:t>
      </w:r>
    </w:p>
    <w:p w14:paraId="5146EFEB" w14:textId="77777777" w:rsidR="00FB740D" w:rsidRPr="00FB740D" w:rsidRDefault="00FB740D" w:rsidP="00FB740D">
      <w:pPr>
        <w:pStyle w:val="BodyText"/>
      </w:pPr>
      <w:r w:rsidRPr="00FB740D">
        <w:t xml:space="preserve">All UI Data Analysis programs are federal programs administered by the state.  All programs are subject to federal oversight. </w:t>
      </w:r>
      <w:proofErr w:type="gramStart"/>
      <w:r w:rsidRPr="00FB740D">
        <w:t>All of</w:t>
      </w:r>
      <w:proofErr w:type="gramEnd"/>
      <w:r w:rsidRPr="00FB740D">
        <w:t xml:space="preserve"> the federal UI quality control programs (BAM, Tax Performance System, Data Validation, and BTQ) are closely monitored by USDOL and the primary databases utilized by these programs are maintained by USDOL. As these programs are used by USDOL to monitor the effectiveness of their grants to state unemployment insurance operations, USDOL dictates the data it requires from states and the frequency of its transmission. </w:t>
      </w:r>
    </w:p>
    <w:p w14:paraId="296EE676" w14:textId="77777777" w:rsidR="00FB740D" w:rsidRPr="00FB740D" w:rsidRDefault="00FB740D" w:rsidP="00C95CA8">
      <w:pPr>
        <w:pStyle w:val="BodyText3"/>
        <w:ind w:left="720" w:hanging="720"/>
      </w:pPr>
      <w:r w:rsidRPr="00FB740D">
        <w:t>J.</w:t>
      </w:r>
      <w:r w:rsidRPr="00FB740D">
        <w:tab/>
        <w:t>Are there any barriers or challenges that impede the division or program’s performance, including any outdated or ineffective state laws? Explain. </w:t>
      </w:r>
    </w:p>
    <w:p w14:paraId="1E8BF969" w14:textId="77777777" w:rsidR="00FB740D" w:rsidRPr="00FB740D" w:rsidRDefault="00FB740D" w:rsidP="00FB740D">
      <w:pPr>
        <w:pStyle w:val="BodyText"/>
      </w:pPr>
      <w:r w:rsidRPr="00FB740D">
        <w:t>The organizational placement of the BTQ programs in the UI Division, contrary to 20 CFR § 602.20, makes it more difficult to build a comprehensive picture of UI performance. </w:t>
      </w:r>
    </w:p>
    <w:p w14:paraId="7AEC01FD" w14:textId="77777777" w:rsidR="00FB740D" w:rsidRPr="00FB740D" w:rsidRDefault="00FB740D" w:rsidP="00FB740D">
      <w:pPr>
        <w:pStyle w:val="BodyText"/>
      </w:pPr>
      <w:r w:rsidRPr="00FB740D">
        <w:t xml:space="preserve">The BAM program focuses on the results of UI adjudications. The BTQ program focuses on the process of UI adjudications. Since these are distinct federally required programs, they cannot be merged. However, these programs could be located within the same department. Putting the BAM and BTQ programs within the same department would provide the agency with a more holistic picture of UI </w:t>
      </w:r>
      <w:proofErr w:type="gramStart"/>
      <w:r w:rsidRPr="00FB740D">
        <w:t>operations</w:t>
      </w:r>
      <w:proofErr w:type="gramEnd"/>
      <w:r w:rsidRPr="00FB740D">
        <w:t>. Pursuant to 20 CFR § 602.20, these programs should not be within the UI Division. The BTQ program should be moved from the UI Division to the UI Data Analysis department in the Fraud Deterrence and Compliance Monitoring Division. </w:t>
      </w:r>
    </w:p>
    <w:p w14:paraId="4B1546BD" w14:textId="77777777" w:rsidR="00FB740D" w:rsidRPr="00FB740D" w:rsidRDefault="00FB740D" w:rsidP="00C95CA8">
      <w:pPr>
        <w:pStyle w:val="BodyText3"/>
        <w:ind w:left="720" w:hanging="720"/>
      </w:pPr>
      <w:r w:rsidRPr="00FB740D">
        <w:t>K.</w:t>
      </w:r>
      <w:r w:rsidRPr="00FB740D">
        <w:tab/>
        <w:t>Provide any additional information needed to gain a preliminary understanding of the division or program. </w:t>
      </w:r>
    </w:p>
    <w:p w14:paraId="0A479602" w14:textId="77777777" w:rsidR="00FB740D" w:rsidRPr="00FB740D" w:rsidRDefault="00FB740D" w:rsidP="00FB740D">
      <w:pPr>
        <w:pStyle w:val="BodyText"/>
      </w:pPr>
      <w:r w:rsidRPr="00FB740D">
        <w:t xml:space="preserve">USDOL closely monitors the performance of Benefits Accuracy Measurement, Data Validation, and Tax Performance System programs in every state.  USDOL publishes their performance on the </w:t>
      </w:r>
      <w:hyperlink r:id="rId235" w:tgtFrame="_blank" w:history="1">
        <w:r w:rsidRPr="00FB740D">
          <w:rPr>
            <w:rStyle w:val="Hyperlink"/>
          </w:rPr>
          <w:t>USDOL Employment &amp; Training Administration - UI</w:t>
        </w:r>
      </w:hyperlink>
      <w:r w:rsidRPr="00FB740D">
        <w:t xml:space="preserve"> website. </w:t>
      </w:r>
    </w:p>
    <w:p w14:paraId="775279EE" w14:textId="77777777" w:rsidR="00FB740D" w:rsidRPr="00FB740D" w:rsidRDefault="00FB740D" w:rsidP="00C64851">
      <w:pPr>
        <w:pStyle w:val="BodyText"/>
        <w:numPr>
          <w:ilvl w:val="0"/>
          <w:numId w:val="232"/>
        </w:numPr>
      </w:pPr>
      <w:r w:rsidRPr="00FB740D">
        <w:t xml:space="preserve">Benefits Accuracy Measurement - </w:t>
      </w:r>
      <w:hyperlink r:id="rId236" w:tgtFrame="_blank" w:history="1">
        <w:r w:rsidRPr="00FB740D">
          <w:rPr>
            <w:rStyle w:val="Hyperlink"/>
          </w:rPr>
          <w:t>Unemployment Insurance Performance Management</w:t>
        </w:r>
      </w:hyperlink>
      <w:r w:rsidRPr="00FB740D">
        <w:t> </w:t>
      </w:r>
    </w:p>
    <w:p w14:paraId="321C89EF" w14:textId="77777777" w:rsidR="00FB740D" w:rsidRPr="00FB740D" w:rsidRDefault="00FB740D" w:rsidP="00C64851">
      <w:pPr>
        <w:pStyle w:val="BodyText"/>
        <w:numPr>
          <w:ilvl w:val="0"/>
          <w:numId w:val="233"/>
        </w:numPr>
      </w:pPr>
      <w:r w:rsidRPr="00FB740D">
        <w:t xml:space="preserve">Tax Performance System - </w:t>
      </w:r>
      <w:hyperlink r:id="rId237" w:tgtFrame="_blank" w:history="1">
        <w:r w:rsidRPr="00FB740D">
          <w:rPr>
            <w:rStyle w:val="Hyperlink"/>
          </w:rPr>
          <w:t>Tax Performance System Computed Measures</w:t>
        </w:r>
      </w:hyperlink>
      <w:r w:rsidRPr="00FB740D">
        <w:t> </w:t>
      </w:r>
    </w:p>
    <w:p w14:paraId="0BE47403" w14:textId="77777777" w:rsidR="00FB740D" w:rsidRPr="00FB740D" w:rsidRDefault="00FB740D" w:rsidP="00C64851">
      <w:pPr>
        <w:pStyle w:val="BodyText"/>
        <w:numPr>
          <w:ilvl w:val="0"/>
          <w:numId w:val="234"/>
        </w:numPr>
      </w:pPr>
      <w:r w:rsidRPr="00FB740D">
        <w:t xml:space="preserve">Data Validation - </w:t>
      </w:r>
      <w:hyperlink r:id="rId238" w:tgtFrame="_blank" w:history="1">
        <w:r w:rsidRPr="00FB740D">
          <w:rPr>
            <w:rStyle w:val="Hyperlink"/>
          </w:rPr>
          <w:t>UI DV Information Center</w:t>
        </w:r>
      </w:hyperlink>
      <w:r w:rsidRPr="00FB740D">
        <w:t> </w:t>
      </w:r>
    </w:p>
    <w:p w14:paraId="564356ED" w14:textId="77777777" w:rsidR="00FB740D" w:rsidRPr="00FB740D" w:rsidRDefault="00FB740D" w:rsidP="00C95CA8">
      <w:pPr>
        <w:pStyle w:val="BodyText3"/>
        <w:ind w:left="720" w:hanging="720"/>
      </w:pPr>
      <w:r w:rsidRPr="00FB740D">
        <w:t>L.</w:t>
      </w:r>
      <w:r w:rsidRPr="00FB740D">
        <w:tab/>
        <w:t>Regulatory programs relate to the licensing, registration, certification, or permitting of a person, business, piece of equipment, or other entity (e.g., a facility). For each regulatory program, if applicable, describe: </w:t>
      </w:r>
    </w:p>
    <w:p w14:paraId="694E5A09" w14:textId="77777777" w:rsidR="00FB740D" w:rsidRPr="00FB740D" w:rsidRDefault="00FB740D" w:rsidP="00FB740D">
      <w:pPr>
        <w:pStyle w:val="BodyText"/>
      </w:pPr>
      <w:r w:rsidRPr="00FB740D">
        <w:lastRenderedPageBreak/>
        <w:t>N/A </w:t>
      </w:r>
    </w:p>
    <w:p w14:paraId="7DE10121" w14:textId="77777777" w:rsidR="00FB740D" w:rsidRPr="00FB740D" w:rsidRDefault="00FB740D" w:rsidP="00C95CA8">
      <w:pPr>
        <w:pStyle w:val="BodyText3"/>
        <w:ind w:left="720" w:hanging="720"/>
      </w:pPr>
      <w:r w:rsidRPr="00FB740D">
        <w:t>M.</w:t>
      </w:r>
      <w:r w:rsidRPr="00FB740D">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03BD5F06" w14:textId="77777777" w:rsidR="00422F8E" w:rsidRDefault="00FB740D" w:rsidP="00920769">
      <w:pPr>
        <w:pStyle w:val="BodyText"/>
      </w:pPr>
      <w:r w:rsidRPr="00FB740D">
        <w:t>N/A </w:t>
      </w:r>
    </w:p>
    <w:p w14:paraId="7A7E246F" w14:textId="12F317A3" w:rsidR="00FB740D" w:rsidRDefault="00FB740D" w:rsidP="00920769">
      <w:pPr>
        <w:pStyle w:val="BodyText"/>
        <w:rPr>
          <w:b/>
          <w:sz w:val="20"/>
          <w:szCs w:val="20"/>
        </w:rPr>
      </w:pPr>
    </w:p>
    <w:p w14:paraId="47345678" w14:textId="77777777" w:rsidR="004760A4" w:rsidRPr="004760A4" w:rsidRDefault="004760A4" w:rsidP="004760A4">
      <w:pPr>
        <w:pStyle w:val="BodyText3"/>
        <w:rPr>
          <w:b w:val="0"/>
        </w:rPr>
      </w:pPr>
      <w:r w:rsidRPr="004760A4">
        <w:t>Vocational Rehabilitation Contract Oversight and Support</w:t>
      </w:r>
      <w:r w:rsidRPr="004760A4">
        <w:rPr>
          <w:b w:val="0"/>
        </w:rPr>
        <w:t> </w:t>
      </w:r>
    </w:p>
    <w:p w14:paraId="3E537D32" w14:textId="77777777" w:rsidR="004760A4" w:rsidRPr="004760A4" w:rsidRDefault="004760A4" w:rsidP="004760A4">
      <w:pPr>
        <w:pStyle w:val="BodyText3"/>
      </w:pPr>
      <w:r w:rsidRPr="004760A4">
        <w:t>A.</w:t>
      </w:r>
      <w:r w:rsidRPr="004760A4">
        <w:tab/>
        <w:t>Provide the following information at the beginning of each description. </w:t>
      </w:r>
    </w:p>
    <w:p w14:paraId="23F6B9E3" w14:textId="77777777" w:rsidR="004760A4" w:rsidRPr="004760A4" w:rsidRDefault="004760A4" w:rsidP="00C64851">
      <w:pPr>
        <w:pStyle w:val="BodyText"/>
        <w:numPr>
          <w:ilvl w:val="0"/>
          <w:numId w:val="263"/>
        </w:numPr>
        <w:spacing w:before="120" w:after="120"/>
      </w:pPr>
      <w:r w:rsidRPr="004760A4">
        <w:t>Name of division or program: Vocational Rehabilitation Contract Oversight and Support </w:t>
      </w:r>
    </w:p>
    <w:p w14:paraId="4B460152" w14:textId="77777777" w:rsidR="004760A4" w:rsidRPr="004760A4" w:rsidRDefault="004760A4" w:rsidP="00C64851">
      <w:pPr>
        <w:pStyle w:val="BodyText"/>
        <w:numPr>
          <w:ilvl w:val="0"/>
          <w:numId w:val="263"/>
        </w:numPr>
        <w:spacing w:before="120" w:after="120"/>
      </w:pPr>
      <w:r w:rsidRPr="004760A4">
        <w:t>Location within the agency: Fraud Deterrence and Compliance Monitoring </w:t>
      </w:r>
    </w:p>
    <w:p w14:paraId="57AD880B" w14:textId="77777777" w:rsidR="004760A4" w:rsidRPr="004760A4" w:rsidRDefault="004760A4" w:rsidP="00C64851">
      <w:pPr>
        <w:pStyle w:val="BodyText"/>
        <w:numPr>
          <w:ilvl w:val="0"/>
          <w:numId w:val="263"/>
        </w:numPr>
        <w:spacing w:before="120" w:after="120"/>
      </w:pPr>
      <w:r w:rsidRPr="004760A4">
        <w:t>Contact name: Misti Stirling </w:t>
      </w:r>
    </w:p>
    <w:p w14:paraId="3749055C" w14:textId="5D9EBC33" w:rsidR="004760A4" w:rsidRPr="004760A4" w:rsidRDefault="004760A4" w:rsidP="00C64851">
      <w:pPr>
        <w:pStyle w:val="BodyText"/>
        <w:numPr>
          <w:ilvl w:val="0"/>
          <w:numId w:val="263"/>
        </w:numPr>
        <w:spacing w:before="120" w:after="120"/>
      </w:pPr>
      <w:r w:rsidRPr="004760A4">
        <w:t>Statutory citation: Texas Labor Code,</w:t>
      </w:r>
      <w:r w:rsidR="00A452E5">
        <w:t xml:space="preserve"> </w:t>
      </w:r>
      <w:r w:rsidRPr="004760A4">
        <w:t>Section 352.053(b) </w:t>
      </w:r>
    </w:p>
    <w:p w14:paraId="075F5B77" w14:textId="77777777" w:rsidR="004760A4" w:rsidRPr="004760A4" w:rsidRDefault="004760A4" w:rsidP="00AE6A19">
      <w:pPr>
        <w:pStyle w:val="BodyText3"/>
        <w:ind w:left="720" w:hanging="720"/>
      </w:pPr>
      <w:r w:rsidRPr="004760A4">
        <w:t>B.</w:t>
      </w:r>
      <w:r w:rsidRPr="004760A4">
        <w:tab/>
        <w:t>What is the objective of this division or program? Describe its major activities. </w:t>
      </w:r>
    </w:p>
    <w:p w14:paraId="70448AD1" w14:textId="77777777" w:rsidR="004760A4" w:rsidRPr="004760A4" w:rsidRDefault="004760A4" w:rsidP="004760A4">
      <w:pPr>
        <w:pStyle w:val="BodyText"/>
      </w:pPr>
      <w:r w:rsidRPr="004760A4">
        <w:t xml:space="preserve">Vocational Rehabilitation Contract Oversight and Support (VRCOS) monitors and audits Vocational Rehabilitation (VR) Contractors to ensure quality goods and services are provided to VR customers. The purpose of a contract monitoring review is to verify TWC contractors are following the requirements set forth in their contract(s) as well as established </w:t>
      </w:r>
      <w:hyperlink r:id="rId239" w:tgtFrame="_blank" w:history="1">
        <w:r w:rsidRPr="004760A4">
          <w:rPr>
            <w:rStyle w:val="Hyperlink"/>
          </w:rPr>
          <w:t>Vocational Rehabilitation Standards for Providers Manual</w:t>
        </w:r>
      </w:hyperlink>
      <w:r w:rsidRPr="004760A4">
        <w:t>.  </w:t>
      </w:r>
    </w:p>
    <w:p w14:paraId="108E62AC" w14:textId="77777777" w:rsidR="004760A4" w:rsidRPr="004760A4" w:rsidRDefault="004760A4" w:rsidP="00CE3568">
      <w:pPr>
        <w:pStyle w:val="BodyText"/>
      </w:pPr>
      <w:r w:rsidRPr="004760A4">
        <w:t>VRCOS conducts remote and on-site monitoring and provides oversight of contracted VR goods and services. VRCOS makes decisions on the type of monitoring to be conducted – desk, on-site, or hybrid – based on the type of service provided by the VR contractor and where services are provided. VR contractors with physical locations where VR customers are provided goods and services are more likely to receive an on-site monitoring due to the associated risk. VRCOS would assess the physical location to ensure safety of VR customers. </w:t>
      </w:r>
    </w:p>
    <w:p w14:paraId="416C25F1" w14:textId="77777777" w:rsidR="004760A4" w:rsidRPr="004760A4" w:rsidRDefault="004760A4" w:rsidP="00CE3568">
      <w:pPr>
        <w:pStyle w:val="BodyText"/>
      </w:pPr>
      <w:r w:rsidRPr="004760A4">
        <w:lastRenderedPageBreak/>
        <w:t xml:space="preserve">As of April 2025, the VR program has 1,109 active client services contracts. Of those, 814 contracts have expenditures across 660 unique contractors. Some VR contractors have more than one active contract. These contracts are for many different goods and services that can be provided to VR customers. Any contracted good or service provided to a VR customer is susceptible to monitoring by VRCOS. </w:t>
      </w:r>
      <w:proofErr w:type="spellStart"/>
      <w:r w:rsidRPr="004760A4">
        <w:t>RehabWorks</w:t>
      </w:r>
      <w:proofErr w:type="spellEnd"/>
      <w:r w:rsidRPr="004760A4">
        <w:t xml:space="preserve"> (RHW), the VR case management system, has 71 unique service category codes which demonstrates the variety of goods and services that can be provided by VR contractors. Goods and services range from durable medical equipment to hospital services to employment services.  </w:t>
      </w:r>
    </w:p>
    <w:p w14:paraId="6CF87700" w14:textId="5E4B3253" w:rsidR="004760A4" w:rsidRPr="004760A4" w:rsidRDefault="004760A4" w:rsidP="00CE3568">
      <w:pPr>
        <w:pStyle w:val="BodyText"/>
      </w:pPr>
      <w:r w:rsidRPr="004760A4">
        <w:t xml:space="preserve">For FY 2025, VRCOS is monitoring 39 contractors of VR goods and services. In FY 2024, VRCOS spent half of the year conducting a business process redesign and half the year monitoring a small group of 10 contractors to evaluate the launch of the new processes and procedures. Prior to the business process redesign, VRCOS monitored 47 contractors in FY 2022 and 41 contractors in FY 2023. It is important to note that staffing levels have fluctuated. VRCOS currently has </w:t>
      </w:r>
      <w:r w:rsidR="00EF705A">
        <w:t>four</w:t>
      </w:r>
      <w:r w:rsidRPr="004760A4">
        <w:t xml:space="preserve"> monitors on the monitoring team. In FY 2022, VRCOS had </w:t>
      </w:r>
      <w:r w:rsidR="00EF705A">
        <w:t>six</w:t>
      </w:r>
      <w:r w:rsidRPr="004760A4">
        <w:t xml:space="preserve"> monitors, and in FY 2023, the department had </w:t>
      </w:r>
      <w:r w:rsidR="00EF705A">
        <w:t>five</w:t>
      </w:r>
      <w:r w:rsidRPr="004760A4">
        <w:t xml:space="preserve"> monitors.   </w:t>
      </w:r>
    </w:p>
    <w:p w14:paraId="12FA1CC9" w14:textId="77777777" w:rsidR="004760A4" w:rsidRPr="004760A4" w:rsidRDefault="004760A4" w:rsidP="00CE3568">
      <w:pPr>
        <w:pStyle w:val="BodyText"/>
      </w:pPr>
      <w:r w:rsidRPr="004760A4">
        <w:t>The monitoring team within VRCOS leads fiscal and programmatic compliance monitoring of VR contractors by developing and maintaining a risk assessment model, annual monitoring plan, and VR monitoring tools.  VRCOS issues a report of findings and works with VR contractors on corrective action plans to resolve issues and the recoupment of improperly paid funds. In addition to reporting on contractor findings, VRCOS issues an Executive Summary which notes internal management issues to assist in improving the internal provision of VR goods and services and provide information on potential system failures or VR program staff training needs.  </w:t>
      </w:r>
    </w:p>
    <w:p w14:paraId="202F0025" w14:textId="77777777" w:rsidR="004760A4" w:rsidRPr="004760A4" w:rsidRDefault="004760A4" w:rsidP="00CE3568">
      <w:pPr>
        <w:pStyle w:val="BodyText"/>
      </w:pPr>
      <w:r w:rsidRPr="004760A4">
        <w:t xml:space="preserve">When VRCOS is conducting reviews, monitors use checklists that align with contract terms and conditions and standards to evaluate the provision of goods and services. VRCOS has unique checklists for each type of good or service being monitored. Contractors submit documentation to VRCOS, and monitors use that documentation along with RHW case notes and data, interviews with customers and VR staff if needed, and information in other systems such as </w:t>
      </w:r>
      <w:proofErr w:type="spellStart"/>
      <w:r w:rsidRPr="004760A4">
        <w:t>BlueZone</w:t>
      </w:r>
      <w:proofErr w:type="spellEnd"/>
      <w:r w:rsidRPr="004760A4">
        <w:t xml:space="preserve"> to determine compliance. Findings from monitoring reviews can vary from documentation issues such as not filling out all required elements in forms to findings that carry improper payments such as a noncertified or noncredentialled contractor staff providing services to VR customers. In FY 2023, VRCOS reported 194 unique findings. In FY 2022, VRCOS reported 265 unique findings.  </w:t>
      </w:r>
    </w:p>
    <w:p w14:paraId="46255CF7" w14:textId="77777777" w:rsidR="004760A4" w:rsidRPr="004760A4" w:rsidRDefault="004760A4" w:rsidP="00CE3568">
      <w:pPr>
        <w:pStyle w:val="BodyText"/>
      </w:pPr>
      <w:r w:rsidRPr="004760A4">
        <w:t>VRCOS has 11 team members. Staff conducting monitoring are required to obtain and maintain their Certified Texas Contract Manager (CTCM) certifications. The VRCOS organizational chart is available for review and listed below is a brief explanation of a few of the high-level duties.  </w:t>
      </w:r>
    </w:p>
    <w:p w14:paraId="226C3B2F" w14:textId="77777777" w:rsidR="004760A4" w:rsidRPr="004760A4" w:rsidRDefault="004760A4" w:rsidP="00CE3568">
      <w:pPr>
        <w:pStyle w:val="BodyText"/>
      </w:pPr>
      <w:r w:rsidRPr="004760A4">
        <w:t xml:space="preserve">The Audit Resolution Specialist works with contractors to ensure they submit an acceptable corrective action plan to remedy noted findings, repay improper payments according to repayment terms, and issues Closeout Reports.  Additionally, the Audit Resolution Specialist conducts a follow-up review six-months post-closeout to ensure the corrective </w:t>
      </w:r>
      <w:r w:rsidRPr="004760A4">
        <w:lastRenderedPageBreak/>
        <w:t>action plan is functioning as intended and continues to resolve the findings noted in the original review.  </w:t>
      </w:r>
    </w:p>
    <w:p w14:paraId="2D27508B" w14:textId="77777777" w:rsidR="004760A4" w:rsidRPr="00CE3568" w:rsidRDefault="004760A4" w:rsidP="00CE3568">
      <w:pPr>
        <w:pStyle w:val="BodyText"/>
      </w:pPr>
      <w:r w:rsidRPr="004760A4">
        <w:t xml:space="preserve">The Risk and Fraud Specialist address contractors who do not submit a corrective action plan or fail to implement a submitted corrective action plan, conducts remedial action reviews to select and impose remedial and adverse actions against contractors, and processes suspensions and debarment of contractors. The Risk and Fraud Specialist also conducts special reviews when egregious findings emerge or there is a concern about potential fraud, waste, or abuse.  The Risk and Fraud Specialist works closely with the FDCM Office of Investigations and refers cases to Office of Investigations when necessary </w:t>
      </w:r>
      <w:r w:rsidRPr="00CE3568">
        <w:t>for further investigation.  </w:t>
      </w:r>
    </w:p>
    <w:p w14:paraId="5849AF80" w14:textId="77777777" w:rsidR="004760A4" w:rsidRPr="004760A4" w:rsidRDefault="004760A4" w:rsidP="00CE3568">
      <w:pPr>
        <w:pStyle w:val="BodyText"/>
      </w:pPr>
      <w:r w:rsidRPr="004760A4">
        <w:t>The Quality Assurance Specialist conducts Quality Assurance reviews of 10 percent of monitored cases to ensure reviews are conducted according to internal policy and guidelines and VRCOS staff are adequately trained.  </w:t>
      </w:r>
    </w:p>
    <w:p w14:paraId="1DDE9486" w14:textId="77777777" w:rsidR="004760A4" w:rsidRPr="004760A4" w:rsidRDefault="004760A4" w:rsidP="00CE3568">
      <w:pPr>
        <w:pStyle w:val="BodyText"/>
      </w:pPr>
      <w:r w:rsidRPr="004760A4">
        <w:t>The management team and Quality Assurance Specialist provide training and technical assistance to Vocational Rehabilitation staff and contractors related to the monitoring process, scope of reviews, and frequent findings. </w:t>
      </w:r>
    </w:p>
    <w:p w14:paraId="7EF4960B" w14:textId="77777777" w:rsidR="004760A4" w:rsidRPr="00CE3568" w:rsidRDefault="004760A4" w:rsidP="00AE6A19">
      <w:pPr>
        <w:pStyle w:val="BodyText3"/>
        <w:ind w:left="720" w:hanging="720"/>
      </w:pPr>
      <w:r w:rsidRPr="00CE3568">
        <w:t>C.</w:t>
      </w:r>
      <w:r w:rsidRPr="00CE3568">
        <w:tab/>
        <w:t xml:space="preserve">What information does the agency collect/use to assess the effectiveness and efficiency of this division or program? If applicable, briefly note any LBB performance measures (from Section II, </w:t>
      </w:r>
      <w:proofErr w:type="gramStart"/>
      <w:r w:rsidRPr="00CE3568">
        <w:t>Exhibit</w:t>
      </w:r>
      <w:proofErr w:type="gramEnd"/>
      <w:r w:rsidRPr="00CE3568">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082D1B23" w14:textId="77777777" w:rsidR="004760A4" w:rsidRPr="004760A4" w:rsidRDefault="004760A4" w:rsidP="004760A4">
      <w:pPr>
        <w:pStyle w:val="BodyText"/>
      </w:pPr>
      <w:r w:rsidRPr="004760A4">
        <w:t>For the first half of FY 2024, VRCOS underwent a business process redesign of its overall functions and processes. As a result, VRCOS made the following adjustments:  </w:t>
      </w:r>
    </w:p>
    <w:p w14:paraId="4576B9FF" w14:textId="77777777" w:rsidR="004760A4" w:rsidRPr="004760A4" w:rsidRDefault="004760A4" w:rsidP="00C64851">
      <w:pPr>
        <w:pStyle w:val="BodyText"/>
        <w:numPr>
          <w:ilvl w:val="0"/>
          <w:numId w:val="237"/>
        </w:numPr>
      </w:pPr>
      <w:r w:rsidRPr="004760A4">
        <w:t>Added an Audit Resolution Specialist position.  </w:t>
      </w:r>
    </w:p>
    <w:p w14:paraId="76CA52E3" w14:textId="77777777" w:rsidR="004760A4" w:rsidRPr="004760A4" w:rsidRDefault="004760A4" w:rsidP="00C64851">
      <w:pPr>
        <w:pStyle w:val="BodyText"/>
        <w:numPr>
          <w:ilvl w:val="0"/>
          <w:numId w:val="238"/>
        </w:numPr>
      </w:pPr>
      <w:r w:rsidRPr="004760A4">
        <w:t>Improved communication and coordination with internal TWC stakeholders.  </w:t>
      </w:r>
    </w:p>
    <w:p w14:paraId="4ADAB3D8" w14:textId="77777777" w:rsidR="004760A4" w:rsidRPr="004760A4" w:rsidRDefault="004760A4" w:rsidP="00C64851">
      <w:pPr>
        <w:pStyle w:val="BodyText"/>
        <w:numPr>
          <w:ilvl w:val="0"/>
          <w:numId w:val="239"/>
        </w:numPr>
      </w:pPr>
      <w:r w:rsidRPr="004760A4">
        <w:t>Added a Quality Assurance function to review 10 percent of all cases examined through VRCOS audits.  </w:t>
      </w:r>
    </w:p>
    <w:p w14:paraId="4332362B" w14:textId="77777777" w:rsidR="004760A4" w:rsidRPr="004760A4" w:rsidRDefault="004760A4" w:rsidP="00C64851">
      <w:pPr>
        <w:pStyle w:val="BodyText"/>
        <w:numPr>
          <w:ilvl w:val="0"/>
          <w:numId w:val="240"/>
        </w:numPr>
      </w:pPr>
      <w:r w:rsidRPr="004760A4">
        <w:t>Added a Risk and Fraud Specialist who is undergoing Certified Fraud Examiner certification.  </w:t>
      </w:r>
    </w:p>
    <w:p w14:paraId="7854DB25" w14:textId="77777777" w:rsidR="004760A4" w:rsidRPr="004760A4" w:rsidRDefault="004760A4" w:rsidP="00C64851">
      <w:pPr>
        <w:pStyle w:val="BodyText"/>
        <w:numPr>
          <w:ilvl w:val="0"/>
          <w:numId w:val="241"/>
        </w:numPr>
      </w:pPr>
      <w:r w:rsidRPr="004760A4">
        <w:t>Realigned support functions.  </w:t>
      </w:r>
    </w:p>
    <w:p w14:paraId="6A681E3D" w14:textId="77777777" w:rsidR="004760A4" w:rsidRPr="004760A4" w:rsidRDefault="004760A4" w:rsidP="00CE3568">
      <w:pPr>
        <w:pStyle w:val="BodyText"/>
      </w:pPr>
      <w:r w:rsidRPr="004760A4">
        <w:t xml:space="preserve">Additionally, a focused Rapid Process Improvement (RPI) project was completed specific to the VRCOS risk assessment process. This RPI project aimed to reduce risk assessment time and improve the monitoring plan creation process. This project resulted in a significant </w:t>
      </w:r>
      <w:r w:rsidRPr="004760A4">
        <w:lastRenderedPageBreak/>
        <w:t xml:space="preserve">reduction in risk assessment time, decreasing it from two months to just one month. Furthermore, this project standardized the monitoring plan creation process by consolidating information from two prior processes into a single, streamlined template. This eliminated redundancies and unnecessary delays. Following this redesign, 60 percent of the contract sampling process is automated, reducing the completion time from several days to an impressive </w:t>
      </w:r>
      <w:proofErr w:type="gramStart"/>
      <w:r w:rsidRPr="004760A4">
        <w:t>three minute</w:t>
      </w:r>
      <w:proofErr w:type="gramEnd"/>
      <w:r w:rsidRPr="004760A4">
        <w:t xml:space="preserve"> total runtime system.  </w:t>
      </w:r>
    </w:p>
    <w:p w14:paraId="375CF77B" w14:textId="77777777" w:rsidR="004760A4" w:rsidRPr="004760A4" w:rsidRDefault="004760A4" w:rsidP="00CE3568">
      <w:pPr>
        <w:pStyle w:val="BodyText"/>
      </w:pPr>
      <w:r w:rsidRPr="004760A4">
        <w:t>After these process redesigns and improvements, VRCOS can now conduct approximately 35-40 full-scope contractor monitoring reviews per fiscal year while ensuring high quality services through Quality Assurance reviews. Additionally, VRCOS conducts ad hoc special and focused reviews as needed and assists Vocational Rehabilitation with recouping improperly paid funds discovered by Vocational Rehabilitation staff outside of a VRCOS monitoring review. VRCOS has recovered $24,354 of improperly paid funds since the redesign.  </w:t>
      </w:r>
    </w:p>
    <w:p w14:paraId="048F040D" w14:textId="77777777" w:rsidR="004760A4" w:rsidRPr="004760A4" w:rsidRDefault="004760A4" w:rsidP="00CE3568">
      <w:pPr>
        <w:pStyle w:val="BodyText"/>
      </w:pPr>
      <w:r w:rsidRPr="004760A4">
        <w:t>VRCOS issues a customer satisfaction survey to Vocational Rehabilitation contractors post-audit to ensure we continually work to improve our processes and collaboration with stakeholders. </w:t>
      </w:r>
    </w:p>
    <w:p w14:paraId="7D9B1C71" w14:textId="77777777" w:rsidR="004760A4" w:rsidRPr="00CE3568" w:rsidRDefault="004760A4" w:rsidP="00AE6A19">
      <w:pPr>
        <w:pStyle w:val="BodyText3"/>
        <w:ind w:left="720" w:hanging="720"/>
      </w:pPr>
      <w:r w:rsidRPr="00CE3568">
        <w:t>D.</w:t>
      </w:r>
      <w:r w:rsidRPr="00CE3568">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429F2452" w14:textId="77777777" w:rsidR="004760A4" w:rsidRPr="004760A4" w:rsidRDefault="004760A4" w:rsidP="00CE3568">
      <w:pPr>
        <w:pStyle w:val="BodyText"/>
      </w:pPr>
      <w:r w:rsidRPr="004760A4">
        <w:t>When the Department of Assistive and Rehabilitative Services was transferred to TWC on Sept. 1, 2016, the VRCOS department joined FDCM as part of its monitoring and oversight functions. </w:t>
      </w:r>
    </w:p>
    <w:p w14:paraId="6E412EA2" w14:textId="77777777" w:rsidR="004760A4" w:rsidRPr="00CE3568" w:rsidRDefault="004760A4" w:rsidP="00AE6A19">
      <w:pPr>
        <w:pStyle w:val="BodyText3"/>
        <w:ind w:left="720" w:hanging="720"/>
      </w:pPr>
      <w:r w:rsidRPr="00CE3568">
        <w:t>E.</w:t>
      </w:r>
      <w:r w:rsidRPr="00CE3568">
        <w:tab/>
        <w:t>List any qualifications or eligibility requirements for persons or entities affected by this division or program (e.g., licensees, consumers, and landowners). Provide a statistical breakdown of persons or entities affected. </w:t>
      </w:r>
    </w:p>
    <w:p w14:paraId="55A6FCAE" w14:textId="77777777" w:rsidR="004760A4" w:rsidRPr="004760A4" w:rsidRDefault="004760A4" w:rsidP="00CE3568">
      <w:pPr>
        <w:pStyle w:val="BodyText"/>
      </w:pPr>
      <w:r w:rsidRPr="004760A4">
        <w:t>Vocational Rehabilitation Contract Oversight and Support functions affect:  </w:t>
      </w:r>
    </w:p>
    <w:p w14:paraId="0238748F" w14:textId="05D686E1" w:rsidR="004760A4" w:rsidRPr="004760A4" w:rsidRDefault="00320B3B" w:rsidP="00C64851">
      <w:pPr>
        <w:pStyle w:val="BodyText"/>
        <w:numPr>
          <w:ilvl w:val="0"/>
          <w:numId w:val="264"/>
        </w:numPr>
      </w:pPr>
      <w:r>
        <w:t xml:space="preserve">VR </w:t>
      </w:r>
      <w:r w:rsidR="004760A4" w:rsidRPr="004760A4">
        <w:t>customers by assisting with ensuring quality goods and services are provided.  </w:t>
      </w:r>
    </w:p>
    <w:p w14:paraId="4ADC4127" w14:textId="1201085C" w:rsidR="004760A4" w:rsidRPr="004760A4" w:rsidRDefault="00320B3B" w:rsidP="00C64851">
      <w:pPr>
        <w:pStyle w:val="BodyText"/>
        <w:numPr>
          <w:ilvl w:val="0"/>
          <w:numId w:val="264"/>
        </w:numPr>
      </w:pPr>
      <w:r>
        <w:t>VR</w:t>
      </w:r>
      <w:r w:rsidR="004760A4" w:rsidRPr="004760A4">
        <w:t xml:space="preserve"> contractors by ensuring contract terms and conditions, standards, and policies are followed. </w:t>
      </w:r>
    </w:p>
    <w:p w14:paraId="7EBC5FA4" w14:textId="4CAA61C0" w:rsidR="004760A4" w:rsidRPr="004760A4" w:rsidRDefault="003B0B50" w:rsidP="00C64851">
      <w:pPr>
        <w:pStyle w:val="BodyText"/>
        <w:numPr>
          <w:ilvl w:val="0"/>
          <w:numId w:val="264"/>
        </w:numPr>
      </w:pPr>
      <w:r>
        <w:t xml:space="preserve">VR </w:t>
      </w:r>
      <w:r w:rsidR="004760A4" w:rsidRPr="004760A4">
        <w:t>program by providing input on internal management issues. </w:t>
      </w:r>
    </w:p>
    <w:p w14:paraId="786E1E48" w14:textId="51EB3A0F" w:rsidR="00385B1A" w:rsidRPr="004760A4" w:rsidRDefault="00385B1A" w:rsidP="008978DC">
      <w:pPr>
        <w:pStyle w:val="BodyText"/>
        <w:ind w:left="360"/>
      </w:pPr>
      <w:r w:rsidRPr="004760A4">
        <w:t>Contract Administration Services within the Procurement and Contract Services department conducts enhanced monitoring and technical assistance reviews of VR contractors. </w:t>
      </w:r>
      <w:r w:rsidR="002546C1">
        <w:t xml:space="preserve"> </w:t>
      </w:r>
      <w:r w:rsidRPr="004760A4">
        <w:t xml:space="preserve">During risk assessment and monitoring plan development, CAS and VRCOS coordinate closely to deconflict monitoring schedules and ensure VR contractors are not undergoing multiple audits from different departments </w:t>
      </w:r>
      <w:r w:rsidRPr="004760A4">
        <w:lastRenderedPageBreak/>
        <w:t>simultaneously.</w:t>
      </w:r>
      <w:r>
        <w:t> </w:t>
      </w:r>
      <w:r w:rsidRPr="004760A4">
        <w:t xml:space="preserve"> Year-round, there are monthly cross-divisional meetings between VR program, contract management, and contract monitoring to ensure alignment and no duplication of work being performed. Additionally, the enhanced monitoring conducted by CAS reviews the current state of contracted services while VRCOS monitoring uses a past scope for monitoring, focused on monitoring goods and services that have been received, invoiced, and paid. </w:t>
      </w:r>
    </w:p>
    <w:p w14:paraId="1BAE0BB2" w14:textId="77777777" w:rsidR="004760A4" w:rsidRPr="00CE3568" w:rsidRDefault="004760A4" w:rsidP="00AE6A19">
      <w:pPr>
        <w:pStyle w:val="BodyText3"/>
        <w:ind w:left="720" w:hanging="720"/>
      </w:pPr>
      <w:r w:rsidRPr="00CE3568">
        <w:t>F.</w:t>
      </w:r>
      <w:r w:rsidRPr="00CE3568">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7F035B8A" w14:textId="77777777" w:rsidR="004760A4" w:rsidRPr="004760A4" w:rsidRDefault="004760A4" w:rsidP="00CE3568">
      <w:pPr>
        <w:pStyle w:val="BodyText"/>
      </w:pPr>
      <w:r w:rsidRPr="004760A4">
        <w:t>The Contract Oversight Monitoring Lifecycle consists of five phases:  </w:t>
      </w:r>
    </w:p>
    <w:p w14:paraId="3EDBBFF5" w14:textId="77777777" w:rsidR="004760A4" w:rsidRPr="004760A4" w:rsidRDefault="004760A4" w:rsidP="00C64851">
      <w:pPr>
        <w:pStyle w:val="BodyText"/>
        <w:numPr>
          <w:ilvl w:val="0"/>
          <w:numId w:val="242"/>
        </w:numPr>
      </w:pPr>
      <w:r w:rsidRPr="004760A4">
        <w:t>Annual Risk Assessment  </w:t>
      </w:r>
    </w:p>
    <w:p w14:paraId="0F5FF98A" w14:textId="77777777" w:rsidR="004760A4" w:rsidRPr="004760A4" w:rsidRDefault="004760A4" w:rsidP="00C64851">
      <w:pPr>
        <w:pStyle w:val="BodyText"/>
        <w:numPr>
          <w:ilvl w:val="0"/>
          <w:numId w:val="243"/>
        </w:numPr>
      </w:pPr>
      <w:r w:rsidRPr="004760A4">
        <w:t>Cross-divisional work is conducted in coordination with VR program and Contract Administration Services to identify areas of fiscal and program risk to the Vocational Rehabilitation System.  </w:t>
      </w:r>
    </w:p>
    <w:p w14:paraId="6FF4ED4F" w14:textId="77777777" w:rsidR="004760A4" w:rsidRPr="004760A4" w:rsidRDefault="004760A4" w:rsidP="00C64851">
      <w:pPr>
        <w:pStyle w:val="BodyText"/>
        <w:numPr>
          <w:ilvl w:val="0"/>
          <w:numId w:val="244"/>
        </w:numPr>
      </w:pPr>
      <w:r w:rsidRPr="004760A4">
        <w:t>Pre-Review  </w:t>
      </w:r>
    </w:p>
    <w:p w14:paraId="2240E929" w14:textId="77777777" w:rsidR="004760A4" w:rsidRPr="004760A4" w:rsidRDefault="004760A4" w:rsidP="00C64851">
      <w:pPr>
        <w:pStyle w:val="BodyText"/>
        <w:numPr>
          <w:ilvl w:val="0"/>
          <w:numId w:val="245"/>
        </w:numPr>
      </w:pPr>
      <w:r w:rsidRPr="004760A4">
        <w:t>The review is scheduled, and an Engagement Letter is sent to the contractor.  </w:t>
      </w:r>
    </w:p>
    <w:p w14:paraId="2F3D8E4E" w14:textId="77777777" w:rsidR="004760A4" w:rsidRPr="004760A4" w:rsidRDefault="004760A4" w:rsidP="00C64851">
      <w:pPr>
        <w:pStyle w:val="BodyText"/>
        <w:numPr>
          <w:ilvl w:val="0"/>
          <w:numId w:val="246"/>
        </w:numPr>
      </w:pPr>
      <w:r w:rsidRPr="004760A4">
        <w:t>Cross-divisional pre-planning coordination is conducted to ensure all risk factors are considered for the monitoring review.  </w:t>
      </w:r>
    </w:p>
    <w:p w14:paraId="678919F4" w14:textId="77777777" w:rsidR="004760A4" w:rsidRPr="004760A4" w:rsidRDefault="004760A4" w:rsidP="00C64851">
      <w:pPr>
        <w:pStyle w:val="BodyText"/>
        <w:numPr>
          <w:ilvl w:val="0"/>
          <w:numId w:val="247"/>
        </w:numPr>
      </w:pPr>
      <w:r w:rsidRPr="004760A4">
        <w:t>Specific cases and Service Authorizations are selected for the review, and a document request is made to the contractor to assess compliance.  </w:t>
      </w:r>
    </w:p>
    <w:p w14:paraId="11B59AC2" w14:textId="77777777" w:rsidR="004760A4" w:rsidRPr="004760A4" w:rsidRDefault="004760A4" w:rsidP="00C64851">
      <w:pPr>
        <w:pStyle w:val="BodyText"/>
        <w:numPr>
          <w:ilvl w:val="0"/>
          <w:numId w:val="248"/>
        </w:numPr>
      </w:pPr>
      <w:r w:rsidRPr="004760A4">
        <w:t>Review  </w:t>
      </w:r>
    </w:p>
    <w:p w14:paraId="7EFEB447" w14:textId="77777777" w:rsidR="004760A4" w:rsidRPr="004760A4" w:rsidRDefault="004760A4" w:rsidP="00C64851">
      <w:pPr>
        <w:pStyle w:val="BodyText"/>
        <w:numPr>
          <w:ilvl w:val="0"/>
          <w:numId w:val="249"/>
        </w:numPr>
      </w:pPr>
      <w:r w:rsidRPr="004760A4">
        <w:t>An Entrance Conference is held with the contractor to ensure understanding of the monitoring process and discuss any outstanding documents needed to conduct the review.  </w:t>
      </w:r>
    </w:p>
    <w:p w14:paraId="0C5703A7" w14:textId="77777777" w:rsidR="004760A4" w:rsidRPr="004760A4" w:rsidRDefault="004760A4" w:rsidP="00C64851">
      <w:pPr>
        <w:pStyle w:val="BodyText"/>
        <w:numPr>
          <w:ilvl w:val="0"/>
          <w:numId w:val="250"/>
        </w:numPr>
      </w:pPr>
      <w:r w:rsidRPr="004760A4">
        <w:t>The review is conducted onsite or via a desk review.  </w:t>
      </w:r>
    </w:p>
    <w:p w14:paraId="0133DAE3" w14:textId="77777777" w:rsidR="004760A4" w:rsidRPr="004760A4" w:rsidRDefault="004760A4" w:rsidP="00C64851">
      <w:pPr>
        <w:pStyle w:val="BodyText"/>
        <w:numPr>
          <w:ilvl w:val="0"/>
          <w:numId w:val="251"/>
        </w:numPr>
      </w:pPr>
      <w:r w:rsidRPr="004760A4">
        <w:t>An Exit Conference is held to discuss preliminary findings and potential improper payments.  </w:t>
      </w:r>
    </w:p>
    <w:p w14:paraId="3D60F94D" w14:textId="77777777" w:rsidR="004760A4" w:rsidRPr="004760A4" w:rsidRDefault="004760A4" w:rsidP="00C64851">
      <w:pPr>
        <w:pStyle w:val="BodyText"/>
        <w:numPr>
          <w:ilvl w:val="0"/>
          <w:numId w:val="252"/>
        </w:numPr>
      </w:pPr>
      <w:r w:rsidRPr="004760A4">
        <w:t>Post Review  </w:t>
      </w:r>
    </w:p>
    <w:p w14:paraId="4C48D9B6" w14:textId="77777777" w:rsidR="004760A4" w:rsidRPr="004760A4" w:rsidRDefault="004760A4" w:rsidP="00C64851">
      <w:pPr>
        <w:pStyle w:val="BodyText"/>
        <w:numPr>
          <w:ilvl w:val="0"/>
          <w:numId w:val="253"/>
        </w:numPr>
      </w:pPr>
      <w:r w:rsidRPr="004760A4">
        <w:t>Additional research and review of documents and records is conducted as needed.  </w:t>
      </w:r>
    </w:p>
    <w:p w14:paraId="21D4FF26" w14:textId="77777777" w:rsidR="004760A4" w:rsidRPr="004760A4" w:rsidRDefault="004760A4" w:rsidP="00C64851">
      <w:pPr>
        <w:pStyle w:val="BodyText"/>
        <w:numPr>
          <w:ilvl w:val="0"/>
          <w:numId w:val="254"/>
        </w:numPr>
      </w:pPr>
      <w:r w:rsidRPr="004760A4">
        <w:lastRenderedPageBreak/>
        <w:t>Quality Assurance reviews are conducted on a sampling of cases reviewed.  </w:t>
      </w:r>
    </w:p>
    <w:p w14:paraId="034D1B17" w14:textId="77777777" w:rsidR="004760A4" w:rsidRPr="004760A4" w:rsidRDefault="004760A4" w:rsidP="00C64851">
      <w:pPr>
        <w:pStyle w:val="BodyText"/>
        <w:numPr>
          <w:ilvl w:val="0"/>
          <w:numId w:val="255"/>
        </w:numPr>
      </w:pPr>
      <w:r w:rsidRPr="004760A4">
        <w:t>Cross-divisional review-and-comment period is conducted to ensure meaningful input from VR program and contract management staff on noted findings and improper payments.  </w:t>
      </w:r>
    </w:p>
    <w:p w14:paraId="4015035E" w14:textId="77777777" w:rsidR="004760A4" w:rsidRPr="004760A4" w:rsidRDefault="004760A4" w:rsidP="00C64851">
      <w:pPr>
        <w:pStyle w:val="BodyText"/>
        <w:numPr>
          <w:ilvl w:val="0"/>
          <w:numId w:val="256"/>
        </w:numPr>
      </w:pPr>
      <w:r w:rsidRPr="004760A4">
        <w:t>A Preliminary Report is sent to the contractor as an opportunity for an informal rebuttal period.  </w:t>
      </w:r>
    </w:p>
    <w:p w14:paraId="012F07F8" w14:textId="77777777" w:rsidR="004760A4" w:rsidRPr="004760A4" w:rsidRDefault="004760A4" w:rsidP="00C64851">
      <w:pPr>
        <w:pStyle w:val="BodyText"/>
        <w:numPr>
          <w:ilvl w:val="0"/>
          <w:numId w:val="257"/>
        </w:numPr>
      </w:pPr>
      <w:r w:rsidRPr="004760A4">
        <w:t>Findings Report is issued to the contractor with an opportunity to appeal any reported improper payments.  </w:t>
      </w:r>
    </w:p>
    <w:p w14:paraId="04515EE8" w14:textId="77777777" w:rsidR="004760A4" w:rsidRPr="004760A4" w:rsidRDefault="004760A4" w:rsidP="00C64851">
      <w:pPr>
        <w:pStyle w:val="BodyText"/>
        <w:numPr>
          <w:ilvl w:val="0"/>
          <w:numId w:val="258"/>
        </w:numPr>
      </w:pPr>
      <w:r w:rsidRPr="004760A4">
        <w:t>Audit Resolution  </w:t>
      </w:r>
    </w:p>
    <w:p w14:paraId="40B2AB65" w14:textId="77777777" w:rsidR="004760A4" w:rsidRPr="004760A4" w:rsidRDefault="004760A4" w:rsidP="00C64851">
      <w:pPr>
        <w:pStyle w:val="BodyText"/>
        <w:numPr>
          <w:ilvl w:val="0"/>
          <w:numId w:val="259"/>
        </w:numPr>
      </w:pPr>
      <w:r w:rsidRPr="004760A4">
        <w:t>Review of contractor corrective action plan and resolution of improper payments if assessed.  </w:t>
      </w:r>
    </w:p>
    <w:p w14:paraId="2166211C" w14:textId="77777777" w:rsidR="004760A4" w:rsidRPr="004760A4" w:rsidRDefault="004760A4" w:rsidP="00C64851">
      <w:pPr>
        <w:pStyle w:val="BodyText"/>
        <w:numPr>
          <w:ilvl w:val="0"/>
          <w:numId w:val="260"/>
        </w:numPr>
      </w:pPr>
      <w:r w:rsidRPr="004760A4">
        <w:t>Support provided to contractors to ensure resolution of issues.  Coordination with VR program and contract management staff as needed.  </w:t>
      </w:r>
    </w:p>
    <w:p w14:paraId="6610FA79" w14:textId="77777777" w:rsidR="004760A4" w:rsidRPr="004760A4" w:rsidRDefault="004760A4" w:rsidP="00C64851">
      <w:pPr>
        <w:pStyle w:val="BodyText"/>
        <w:numPr>
          <w:ilvl w:val="0"/>
          <w:numId w:val="261"/>
        </w:numPr>
      </w:pPr>
      <w:r w:rsidRPr="004760A4">
        <w:t>Closeout Report is issued to the contractor after an acceptable corrective action plan has been received and either improper payments are repaid in full or the first payment on a repayment plan is made.  </w:t>
      </w:r>
    </w:p>
    <w:p w14:paraId="3465E2DA" w14:textId="77777777" w:rsidR="004760A4" w:rsidRPr="004760A4" w:rsidRDefault="004760A4" w:rsidP="00C64851">
      <w:pPr>
        <w:pStyle w:val="BodyText"/>
        <w:numPr>
          <w:ilvl w:val="0"/>
          <w:numId w:val="262"/>
        </w:numPr>
      </w:pPr>
      <w:r w:rsidRPr="004760A4">
        <w:t>A six-month follow up review is conducted to ensure that the corrective action plan is functioning as intended.  If repeated or new issues emerge, they are assessed for either a new corrective action plan or referral to a Remedial Action Review panel for potential adverse action.  </w:t>
      </w:r>
    </w:p>
    <w:p w14:paraId="43BC9871" w14:textId="77777777" w:rsidR="004760A4" w:rsidRPr="004760A4" w:rsidRDefault="004760A4" w:rsidP="00B362BF">
      <w:pPr>
        <w:pStyle w:val="BodyText"/>
      </w:pPr>
      <w:r w:rsidRPr="004760A4">
        <w:t>The VRCOS TWC Contract Oversight Monitoring Guide is available for more information. </w:t>
      </w:r>
    </w:p>
    <w:p w14:paraId="3530F953" w14:textId="77777777" w:rsidR="004760A4" w:rsidRPr="00B362BF" w:rsidRDefault="004760A4" w:rsidP="00AE6A19">
      <w:pPr>
        <w:pStyle w:val="BodyText3"/>
        <w:ind w:left="720" w:hanging="720"/>
      </w:pPr>
      <w:r w:rsidRPr="00B362BF">
        <w:t>G.</w:t>
      </w:r>
      <w:r w:rsidRPr="00B362BF">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402"/>
        <w:gridCol w:w="2081"/>
        <w:gridCol w:w="1770"/>
        <w:gridCol w:w="2107"/>
      </w:tblGrid>
      <w:tr w:rsidR="003E1B8B" w:rsidRPr="00A2079D" w14:paraId="0EBB8BD6" w14:textId="77777777" w:rsidTr="00A615D2">
        <w:trPr>
          <w:trHeight w:val="368"/>
        </w:trPr>
        <w:tc>
          <w:tcPr>
            <w:tcW w:w="3800" w:type="dxa"/>
            <w:shd w:val="clear" w:color="auto" w:fill="B8CCE4" w:themeFill="accent1" w:themeFillTint="66"/>
            <w:hideMark/>
          </w:tcPr>
          <w:p w14:paraId="1C697074" w14:textId="77777777" w:rsidR="003E1B8B" w:rsidRPr="00A2079D" w:rsidRDefault="003E1B8B" w:rsidP="00A615D2">
            <w:pPr>
              <w:pStyle w:val="TableHeaders"/>
              <w:rPr>
                <w:color w:val="000000"/>
              </w:rPr>
            </w:pPr>
            <w:r w:rsidRPr="00A2079D">
              <w:t>Program or Function Detail Description</w:t>
            </w:r>
          </w:p>
        </w:tc>
        <w:tc>
          <w:tcPr>
            <w:tcW w:w="2300" w:type="dxa"/>
            <w:shd w:val="clear" w:color="auto" w:fill="B8CCE4" w:themeFill="accent1" w:themeFillTint="66"/>
            <w:hideMark/>
          </w:tcPr>
          <w:p w14:paraId="140BE4B7" w14:textId="77777777" w:rsidR="003E1B8B" w:rsidRPr="00A2079D" w:rsidRDefault="003E1B8B" w:rsidP="00A615D2">
            <w:pPr>
              <w:pStyle w:val="TableHeaders"/>
              <w:rPr>
                <w:color w:val="000000"/>
              </w:rPr>
            </w:pPr>
            <w:r w:rsidRPr="00A2079D">
              <w:t>Total FY 2024</w:t>
            </w:r>
          </w:p>
        </w:tc>
        <w:tc>
          <w:tcPr>
            <w:tcW w:w="1920" w:type="dxa"/>
            <w:shd w:val="clear" w:color="auto" w:fill="B8CCE4" w:themeFill="accent1" w:themeFillTint="66"/>
            <w:hideMark/>
          </w:tcPr>
          <w:p w14:paraId="2751FA67" w14:textId="77777777" w:rsidR="003E1B8B" w:rsidRPr="00A2079D" w:rsidRDefault="003E1B8B" w:rsidP="00A615D2">
            <w:pPr>
              <w:pStyle w:val="TableHeaders"/>
              <w:rPr>
                <w:color w:val="000000"/>
              </w:rPr>
            </w:pPr>
            <w:r w:rsidRPr="00A2079D">
              <w:t>Federal Funding</w:t>
            </w:r>
          </w:p>
        </w:tc>
        <w:tc>
          <w:tcPr>
            <w:tcW w:w="2320" w:type="dxa"/>
            <w:shd w:val="clear" w:color="auto" w:fill="B8CCE4" w:themeFill="accent1" w:themeFillTint="66"/>
            <w:hideMark/>
          </w:tcPr>
          <w:p w14:paraId="0F00048F" w14:textId="77777777" w:rsidR="003E1B8B" w:rsidRPr="00A2079D" w:rsidRDefault="003E1B8B" w:rsidP="00A615D2">
            <w:pPr>
              <w:pStyle w:val="TableHeaders"/>
              <w:rPr>
                <w:color w:val="000000"/>
              </w:rPr>
            </w:pPr>
            <w:r w:rsidRPr="00A2079D">
              <w:t>State Funding</w:t>
            </w:r>
          </w:p>
        </w:tc>
      </w:tr>
      <w:tr w:rsidR="003E1B8B" w:rsidRPr="00A2079D" w14:paraId="4CB5E2E4" w14:textId="77777777" w:rsidTr="00A615D2">
        <w:trPr>
          <w:trHeight w:val="881"/>
        </w:trPr>
        <w:tc>
          <w:tcPr>
            <w:tcW w:w="3800" w:type="dxa"/>
            <w:vAlign w:val="center"/>
            <w:hideMark/>
          </w:tcPr>
          <w:p w14:paraId="4BF058D3" w14:textId="77777777" w:rsidR="003E1B8B" w:rsidRPr="00A2079D" w:rsidRDefault="003E1B8B" w:rsidP="00A615D2">
            <w:pPr>
              <w:pStyle w:val="TableText"/>
            </w:pPr>
            <w:r w:rsidRPr="00A2079D">
              <w:t>Quality Control and Evaluation (Includes VR Contract Oversight &amp; Benefit Payment Control)</w:t>
            </w:r>
          </w:p>
        </w:tc>
        <w:tc>
          <w:tcPr>
            <w:tcW w:w="2300" w:type="dxa"/>
            <w:vAlign w:val="center"/>
            <w:hideMark/>
          </w:tcPr>
          <w:p w14:paraId="5E8C6673" w14:textId="34D357ED" w:rsidR="003E1B8B" w:rsidRPr="00A2079D" w:rsidRDefault="003E1B8B" w:rsidP="00A615D2">
            <w:pPr>
              <w:pStyle w:val="TableText"/>
              <w:jc w:val="right"/>
            </w:pPr>
            <w:r w:rsidRPr="00A2079D">
              <w:t xml:space="preserve">871,275 </w:t>
            </w:r>
          </w:p>
        </w:tc>
        <w:tc>
          <w:tcPr>
            <w:tcW w:w="1920" w:type="dxa"/>
            <w:vAlign w:val="center"/>
            <w:hideMark/>
          </w:tcPr>
          <w:p w14:paraId="4B4334C6" w14:textId="6BE32D32" w:rsidR="003E1B8B" w:rsidRPr="00A2079D" w:rsidRDefault="003E1B8B" w:rsidP="00A615D2">
            <w:pPr>
              <w:pStyle w:val="TableText"/>
              <w:jc w:val="right"/>
            </w:pPr>
            <w:r w:rsidRPr="00A2079D">
              <w:t xml:space="preserve">619,233 </w:t>
            </w:r>
          </w:p>
        </w:tc>
        <w:tc>
          <w:tcPr>
            <w:tcW w:w="2320" w:type="dxa"/>
            <w:vAlign w:val="center"/>
            <w:hideMark/>
          </w:tcPr>
          <w:p w14:paraId="6C4C7874" w14:textId="0BDC6FB3" w:rsidR="003E1B8B" w:rsidRPr="00A2079D" w:rsidRDefault="003E1B8B" w:rsidP="00A615D2">
            <w:pPr>
              <w:pStyle w:val="TableText"/>
              <w:jc w:val="right"/>
            </w:pPr>
            <w:r w:rsidRPr="00A2079D">
              <w:t xml:space="preserve">252,042 </w:t>
            </w:r>
          </w:p>
        </w:tc>
      </w:tr>
    </w:tbl>
    <w:p w14:paraId="634ACCEE" w14:textId="77777777" w:rsidR="004760A4" w:rsidRPr="00B362BF" w:rsidRDefault="004760A4" w:rsidP="00AE6A19">
      <w:pPr>
        <w:pStyle w:val="BodyText3"/>
        <w:ind w:left="720" w:hanging="720"/>
      </w:pPr>
      <w:r w:rsidRPr="00B362BF">
        <w:lastRenderedPageBreak/>
        <w:t>H.</w:t>
      </w:r>
      <w:r w:rsidRPr="00B362BF">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7A2A1B06" w14:textId="521E8813" w:rsidR="008C53D4" w:rsidRPr="004760A4" w:rsidRDefault="008C53D4" w:rsidP="00B362BF">
      <w:pPr>
        <w:pStyle w:val="BodyText"/>
      </w:pPr>
      <w:r>
        <w:t>N/A</w:t>
      </w:r>
    </w:p>
    <w:p w14:paraId="0700D289" w14:textId="77777777" w:rsidR="004760A4" w:rsidRPr="00B362BF" w:rsidRDefault="004760A4" w:rsidP="00AE6A19">
      <w:pPr>
        <w:pStyle w:val="BodyText3"/>
        <w:ind w:left="720" w:hanging="720"/>
      </w:pPr>
      <w:r w:rsidRPr="00B362BF">
        <w:t>I.</w:t>
      </w:r>
      <w:r w:rsidRPr="00B362BF">
        <w:tab/>
        <w:t>If the division or program works with local, regional, or federal units of government, include a brief description of these entities and their relationship to the agency. </w:t>
      </w:r>
    </w:p>
    <w:p w14:paraId="45998EE9" w14:textId="77777777" w:rsidR="004760A4" w:rsidRPr="004760A4" w:rsidRDefault="004760A4" w:rsidP="00B362BF">
      <w:pPr>
        <w:pStyle w:val="BodyText"/>
      </w:pPr>
      <w:r w:rsidRPr="004760A4">
        <w:t>N/A </w:t>
      </w:r>
    </w:p>
    <w:p w14:paraId="2F0C62E0" w14:textId="77777777" w:rsidR="004760A4" w:rsidRPr="00B362BF" w:rsidRDefault="004760A4" w:rsidP="00AE6A19">
      <w:pPr>
        <w:pStyle w:val="BodyText3"/>
        <w:ind w:left="720" w:hanging="720"/>
      </w:pPr>
      <w:r w:rsidRPr="00B362BF">
        <w:t>J.</w:t>
      </w:r>
      <w:r w:rsidRPr="00B362BF">
        <w:tab/>
        <w:t>Are there any barriers or challenges that impede the division or program’s performance, including any outdated or ineffective state laws? Explain. </w:t>
      </w:r>
    </w:p>
    <w:p w14:paraId="093A0A3D" w14:textId="77777777" w:rsidR="004760A4" w:rsidRPr="004760A4" w:rsidRDefault="004760A4" w:rsidP="00B362BF">
      <w:pPr>
        <w:pStyle w:val="BodyText"/>
      </w:pPr>
      <w:r w:rsidRPr="004760A4">
        <w:t>N/A </w:t>
      </w:r>
    </w:p>
    <w:p w14:paraId="12A777FE" w14:textId="77777777" w:rsidR="004760A4" w:rsidRPr="00B362BF" w:rsidRDefault="004760A4" w:rsidP="00AE6A19">
      <w:pPr>
        <w:pStyle w:val="BodyText3"/>
        <w:ind w:left="720" w:hanging="720"/>
      </w:pPr>
      <w:r w:rsidRPr="00B362BF">
        <w:t>K.</w:t>
      </w:r>
      <w:r w:rsidRPr="00B362BF">
        <w:tab/>
        <w:t>Provide any additional information needed to gain a preliminary understanding of the division or program. </w:t>
      </w:r>
    </w:p>
    <w:p w14:paraId="3DB2F6BB" w14:textId="77777777" w:rsidR="004760A4" w:rsidRPr="004760A4" w:rsidRDefault="004760A4" w:rsidP="00B362BF">
      <w:pPr>
        <w:pStyle w:val="BodyText"/>
      </w:pPr>
      <w:r w:rsidRPr="004760A4">
        <w:t>N/A </w:t>
      </w:r>
    </w:p>
    <w:p w14:paraId="15B04B43" w14:textId="77777777" w:rsidR="004760A4" w:rsidRPr="00B362BF" w:rsidRDefault="004760A4" w:rsidP="00AE6A19">
      <w:pPr>
        <w:pStyle w:val="BodyText3"/>
        <w:ind w:left="720" w:hanging="720"/>
      </w:pPr>
      <w:r w:rsidRPr="00B362BF">
        <w:t>L.</w:t>
      </w:r>
      <w:r w:rsidRPr="00B362BF">
        <w:tab/>
        <w:t>Regulatory programs relate to the licensing, registration, certification, or permitting of a person, business, piece of equipment, or other entity (e.g., a facility). For each regulatory program, if applicable, describe: </w:t>
      </w:r>
    </w:p>
    <w:p w14:paraId="66B1EC41" w14:textId="77777777" w:rsidR="004760A4" w:rsidRPr="004760A4" w:rsidRDefault="004760A4" w:rsidP="00B362BF">
      <w:pPr>
        <w:pStyle w:val="BodyText"/>
      </w:pPr>
      <w:r w:rsidRPr="004760A4">
        <w:t>N/A </w:t>
      </w:r>
    </w:p>
    <w:p w14:paraId="52C158B2" w14:textId="77777777" w:rsidR="004760A4" w:rsidRPr="00B362BF" w:rsidRDefault="004760A4" w:rsidP="00AE6A19">
      <w:pPr>
        <w:pStyle w:val="BodyText3"/>
        <w:ind w:left="720" w:hanging="720"/>
      </w:pPr>
      <w:r w:rsidRPr="00B362BF">
        <w:t>M.</w:t>
      </w:r>
      <w:r w:rsidRPr="00B362BF">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7DE1EA65" w14:textId="77777777" w:rsidR="00526828" w:rsidRDefault="004760A4" w:rsidP="00526828">
      <w:pPr>
        <w:pStyle w:val="BodyText"/>
      </w:pPr>
      <w:r w:rsidRPr="004760A4">
        <w:t>N/A </w:t>
      </w:r>
    </w:p>
    <w:p w14:paraId="57C9F49C" w14:textId="77777777" w:rsidR="00526828" w:rsidRDefault="00526828">
      <w:pPr>
        <w:rPr>
          <w:rFonts w:ascii="Arial" w:eastAsiaTheme="minorEastAsia" w:hAnsi="Arial"/>
          <w:szCs w:val="22"/>
        </w:rPr>
      </w:pPr>
      <w:r>
        <w:br w:type="page"/>
      </w:r>
    </w:p>
    <w:p w14:paraId="43AEDC1B" w14:textId="79B9E793" w:rsidR="005935F4" w:rsidRPr="00526828" w:rsidRDefault="00D37657" w:rsidP="00526828">
      <w:pPr>
        <w:pStyle w:val="BodyText"/>
        <w:rPr>
          <w:b/>
          <w:bCs/>
        </w:rPr>
      </w:pPr>
      <w:r w:rsidRPr="00526828">
        <w:rPr>
          <w:b/>
          <w:bCs/>
        </w:rPr>
        <w:lastRenderedPageBreak/>
        <w:t>Quality Control and Evaluation</w:t>
      </w:r>
    </w:p>
    <w:p w14:paraId="54A14C18" w14:textId="77777777" w:rsidR="005935F4" w:rsidRPr="00D37657" w:rsidRDefault="005935F4" w:rsidP="00D37657">
      <w:pPr>
        <w:pStyle w:val="BodyText3"/>
      </w:pPr>
      <w:r w:rsidRPr="00D37657">
        <w:t>A.</w:t>
      </w:r>
      <w:r w:rsidRPr="00D37657">
        <w:tab/>
        <w:t>Provide the following information at the beginning of each description. </w:t>
      </w:r>
    </w:p>
    <w:p w14:paraId="4AF11A3F" w14:textId="77777777" w:rsidR="005935F4" w:rsidRPr="005935F4" w:rsidRDefault="005935F4" w:rsidP="00C64851">
      <w:pPr>
        <w:pStyle w:val="BodyText"/>
        <w:numPr>
          <w:ilvl w:val="0"/>
          <w:numId w:val="297"/>
        </w:numPr>
        <w:spacing w:before="120" w:after="120"/>
      </w:pPr>
      <w:r w:rsidRPr="005935F4">
        <w:t>Name of division or program: Quality Control and Evaluation </w:t>
      </w:r>
    </w:p>
    <w:p w14:paraId="1E88C173" w14:textId="77777777" w:rsidR="005935F4" w:rsidRPr="005935F4" w:rsidRDefault="005935F4" w:rsidP="00C64851">
      <w:pPr>
        <w:pStyle w:val="BodyText"/>
        <w:numPr>
          <w:ilvl w:val="0"/>
          <w:numId w:val="297"/>
        </w:numPr>
        <w:spacing w:before="120" w:after="120"/>
      </w:pPr>
      <w:r w:rsidRPr="005935F4">
        <w:t>Location within the agency: Fraud Deterrence and Compliance Monitoring </w:t>
      </w:r>
    </w:p>
    <w:p w14:paraId="7F721517" w14:textId="77777777" w:rsidR="005935F4" w:rsidRPr="005935F4" w:rsidRDefault="005935F4" w:rsidP="00C64851">
      <w:pPr>
        <w:pStyle w:val="BodyText"/>
        <w:numPr>
          <w:ilvl w:val="0"/>
          <w:numId w:val="297"/>
        </w:numPr>
        <w:spacing w:before="120" w:after="120"/>
      </w:pPr>
      <w:r w:rsidRPr="005935F4">
        <w:t>Contact name: Misti Stirling </w:t>
      </w:r>
    </w:p>
    <w:p w14:paraId="56A01C06" w14:textId="77777777" w:rsidR="005935F4" w:rsidRPr="005935F4" w:rsidRDefault="005935F4" w:rsidP="00C64851">
      <w:pPr>
        <w:pStyle w:val="BodyText"/>
        <w:numPr>
          <w:ilvl w:val="0"/>
          <w:numId w:val="297"/>
        </w:numPr>
        <w:spacing w:before="120" w:after="120"/>
      </w:pPr>
      <w:r w:rsidRPr="005935F4">
        <w:t>Statutory citation: N/A </w:t>
      </w:r>
    </w:p>
    <w:p w14:paraId="575FF802" w14:textId="77777777" w:rsidR="005935F4" w:rsidRPr="00D37657" w:rsidRDefault="005935F4" w:rsidP="00AE6A19">
      <w:pPr>
        <w:pStyle w:val="BodyText3"/>
        <w:ind w:left="720" w:hanging="720"/>
      </w:pPr>
      <w:r w:rsidRPr="00D37657">
        <w:t>B.</w:t>
      </w:r>
      <w:r w:rsidRPr="00D37657">
        <w:tab/>
        <w:t>What is the objective of this division or program? Describe its major activities. </w:t>
      </w:r>
    </w:p>
    <w:p w14:paraId="17BA38CD" w14:textId="77777777" w:rsidR="005935F4" w:rsidRPr="005935F4" w:rsidRDefault="005935F4" w:rsidP="00D37657">
      <w:pPr>
        <w:pStyle w:val="BodyText"/>
      </w:pPr>
      <w:r w:rsidRPr="005935F4">
        <w:t>Quality Control and Evaluation (QCE) serves as TWC’s primary quality control function.  QCE collaborates with divisions and departments to:  </w:t>
      </w:r>
    </w:p>
    <w:p w14:paraId="5E21BC4E" w14:textId="77777777" w:rsidR="005935F4" w:rsidRPr="005935F4" w:rsidRDefault="005935F4" w:rsidP="00C64851">
      <w:pPr>
        <w:pStyle w:val="BodyText"/>
        <w:numPr>
          <w:ilvl w:val="0"/>
          <w:numId w:val="298"/>
        </w:numPr>
      </w:pPr>
      <w:r w:rsidRPr="005935F4">
        <w:t>Assist divisions in developing risk assessment instruments to identify areas of risk in their operations, including the risk of fraud, waste, and abuse and developing mitigation strategies to address those risks.   </w:t>
      </w:r>
    </w:p>
    <w:p w14:paraId="4F41E024" w14:textId="77777777" w:rsidR="005935F4" w:rsidRPr="005935F4" w:rsidRDefault="005935F4" w:rsidP="00C64851">
      <w:pPr>
        <w:pStyle w:val="BodyText"/>
        <w:numPr>
          <w:ilvl w:val="0"/>
          <w:numId w:val="298"/>
        </w:numPr>
      </w:pPr>
      <w:r w:rsidRPr="005935F4">
        <w:t>Assist divisions in developing self-inspection checklists and other self-evaluation tools for internal monitoring on a defined schedule (monthly, quarterly, semi-annually).   </w:t>
      </w:r>
    </w:p>
    <w:p w14:paraId="2D409CD2" w14:textId="77777777" w:rsidR="005935F4" w:rsidRPr="005935F4" w:rsidRDefault="005935F4" w:rsidP="00C64851">
      <w:pPr>
        <w:pStyle w:val="BodyText"/>
        <w:numPr>
          <w:ilvl w:val="0"/>
          <w:numId w:val="298"/>
        </w:numPr>
      </w:pPr>
      <w:r w:rsidRPr="005935F4">
        <w:t>Assist divisions in preparing for audits, inspections, or other monitoring activities (Internal Audit, State Auditor’s Office, Federal oversight entities, State Single Audit).  </w:t>
      </w:r>
    </w:p>
    <w:p w14:paraId="22CCF2AB" w14:textId="77777777" w:rsidR="005935F4" w:rsidRPr="005935F4" w:rsidRDefault="005935F4" w:rsidP="00C64851">
      <w:pPr>
        <w:pStyle w:val="BodyText"/>
        <w:numPr>
          <w:ilvl w:val="0"/>
          <w:numId w:val="298"/>
        </w:numPr>
      </w:pPr>
      <w:r w:rsidRPr="005935F4">
        <w:t xml:space="preserve">Undertake special projects at the direction of the executive director or at the request of division directors </w:t>
      </w:r>
      <w:proofErr w:type="gramStart"/>
      <w:r w:rsidRPr="005935F4">
        <w:t>in the area of</w:t>
      </w:r>
      <w:proofErr w:type="gramEnd"/>
      <w:r w:rsidRPr="005935F4">
        <w:t xml:space="preserve"> quality control review and evaluation. </w:t>
      </w:r>
    </w:p>
    <w:p w14:paraId="2B863D73" w14:textId="77777777" w:rsidR="005935F4" w:rsidRPr="00D37657" w:rsidRDefault="005935F4" w:rsidP="00AE6A19">
      <w:pPr>
        <w:pStyle w:val="BodyText3"/>
        <w:ind w:left="720" w:hanging="720"/>
      </w:pPr>
      <w:r w:rsidRPr="00D37657">
        <w:t>C.</w:t>
      </w:r>
      <w:r w:rsidRPr="00D37657">
        <w:tab/>
        <w:t xml:space="preserve">What information does the agency collect/use to assess the effectiveness and efficiency of this division or program? If applicable, briefly note any LBB performance measures (from Section II, </w:t>
      </w:r>
      <w:proofErr w:type="gramStart"/>
      <w:r w:rsidRPr="00D37657">
        <w:t>Exhibit</w:t>
      </w:r>
      <w:proofErr w:type="gramEnd"/>
      <w:r w:rsidRPr="00D37657">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57F02883" w14:textId="4312A131" w:rsidR="005935F4" w:rsidRPr="005935F4" w:rsidRDefault="005935F4" w:rsidP="00D37657">
      <w:pPr>
        <w:pStyle w:val="BodyText"/>
      </w:pPr>
      <w:r w:rsidRPr="005935F4">
        <w:t xml:space="preserve">QCE strives to ensure that project work aligns effectively by documenting a problem statement, information about current state, clearly defined objectives, project sponsors, and a project timeline in a project charter, at the outset of the project. A project charter and a project plan are developed at project initiation as outlined in </w:t>
      </w:r>
      <w:r w:rsidR="008706C9">
        <w:t>Question F</w:t>
      </w:r>
      <w:r w:rsidRPr="005935F4">
        <w:t>.  By ensuring clarity at the start of a project, the project can stay on target and be effective and efficient. Cross-divisional stakeholders are provided an opportunity to review and comment on the charter to ensure aligned project understanding and expectations. </w:t>
      </w:r>
    </w:p>
    <w:p w14:paraId="334F0B39" w14:textId="77777777" w:rsidR="005935F4" w:rsidRPr="005935F4" w:rsidRDefault="005935F4" w:rsidP="00D37657">
      <w:pPr>
        <w:pStyle w:val="BodyText"/>
      </w:pPr>
      <w:r w:rsidRPr="005935F4">
        <w:lastRenderedPageBreak/>
        <w:t>To ensure tools and methods are developed to meet the objectives of the project, a project plan is created. The project plan is shared with stakeholders and discussed in the project kick-off meeting. This further promotes project success by stakeholders understanding how the objectives will be met.  </w:t>
      </w:r>
    </w:p>
    <w:p w14:paraId="7A6E572E" w14:textId="77777777" w:rsidR="005935F4" w:rsidRPr="005935F4" w:rsidRDefault="005935F4" w:rsidP="00D37657">
      <w:pPr>
        <w:pStyle w:val="BodyText"/>
      </w:pPr>
      <w:r w:rsidRPr="005935F4">
        <w:t>As the project progresses, QCE obtains stakeholder feedback and provides project updates during full project and sub-workgroup meetings, Executive Briefings, and leadership update meetings. </w:t>
      </w:r>
    </w:p>
    <w:p w14:paraId="761378DE" w14:textId="77777777" w:rsidR="005935F4" w:rsidRPr="00D37657" w:rsidRDefault="005935F4" w:rsidP="00AE6A19">
      <w:pPr>
        <w:pStyle w:val="BodyText3"/>
        <w:ind w:left="720" w:hanging="720"/>
      </w:pPr>
      <w:r w:rsidRPr="00D37657">
        <w:t>D.</w:t>
      </w:r>
      <w:r w:rsidRPr="00D37657">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6410D1E9" w14:textId="11B115BD" w:rsidR="005935F4" w:rsidRPr="005935F4" w:rsidRDefault="005935F4" w:rsidP="00D37657">
      <w:pPr>
        <w:pStyle w:val="BodyText"/>
      </w:pPr>
      <w:r w:rsidRPr="005935F4">
        <w:t xml:space="preserve">Quality Control and Evaluation was established in 2023 at the direction of the Executive Director to </w:t>
      </w:r>
      <w:r w:rsidR="00AB1190">
        <w:t xml:space="preserve">ensure </w:t>
      </w:r>
      <w:r w:rsidRPr="005935F4">
        <w:t xml:space="preserve">TWC’s internal programs and operations are run effectively and that the potential for fraud, waste, and abuse is minimized.  The department consists of three staff – the Deputy Director of </w:t>
      </w:r>
      <w:r w:rsidR="00E27C4D">
        <w:t>QCE</w:t>
      </w:r>
      <w:r w:rsidRPr="005935F4">
        <w:t xml:space="preserve">, who also serves as the Director of </w:t>
      </w:r>
      <w:r w:rsidR="0019038D">
        <w:t>VRCOS</w:t>
      </w:r>
      <w:r w:rsidRPr="005935F4">
        <w:t>, a Management Analyst, and a Data Analyst. </w:t>
      </w:r>
    </w:p>
    <w:tbl>
      <w:tblPr>
        <w:tblStyle w:val="TableGrid1"/>
        <w:tblW w:w="0" w:type="dxa"/>
        <w:tblCellMar>
          <w:top w:w="58" w:type="dxa"/>
          <w:bottom w:w="58" w:type="dxa"/>
        </w:tblCellMar>
        <w:tblLook w:val="04A0" w:firstRow="1" w:lastRow="0" w:firstColumn="1" w:lastColumn="0" w:noHBand="0" w:noVBand="1"/>
      </w:tblPr>
      <w:tblGrid>
        <w:gridCol w:w="2700"/>
        <w:gridCol w:w="4125"/>
      </w:tblGrid>
      <w:tr w:rsidR="005935F4" w:rsidRPr="005935F4" w14:paraId="437A8825" w14:textId="77777777" w:rsidTr="00D7439E">
        <w:trPr>
          <w:trHeight w:val="300"/>
        </w:trPr>
        <w:tc>
          <w:tcPr>
            <w:tcW w:w="2700" w:type="dxa"/>
            <w:shd w:val="clear" w:color="auto" w:fill="B8CCE4" w:themeFill="accent1" w:themeFillTint="66"/>
            <w:vAlign w:val="center"/>
            <w:hideMark/>
          </w:tcPr>
          <w:p w14:paraId="7451BBD2" w14:textId="0C2FEC64" w:rsidR="005935F4" w:rsidRPr="005935F4" w:rsidRDefault="005935F4" w:rsidP="00D7439E">
            <w:pPr>
              <w:pStyle w:val="TableHeaders"/>
              <w:rPr>
                <w:b w:val="0"/>
              </w:rPr>
            </w:pPr>
            <w:r w:rsidRPr="005935F4">
              <w:t>Role/Title  </w:t>
            </w:r>
          </w:p>
        </w:tc>
        <w:tc>
          <w:tcPr>
            <w:tcW w:w="4125" w:type="dxa"/>
            <w:shd w:val="clear" w:color="auto" w:fill="B8CCE4" w:themeFill="accent1" w:themeFillTint="66"/>
            <w:vAlign w:val="center"/>
            <w:hideMark/>
          </w:tcPr>
          <w:p w14:paraId="7E9F61DE" w14:textId="258C5CBF" w:rsidR="005935F4" w:rsidRPr="005935F4" w:rsidRDefault="005935F4" w:rsidP="00D7439E">
            <w:pPr>
              <w:pStyle w:val="TableHeaders"/>
              <w:rPr>
                <w:b w:val="0"/>
              </w:rPr>
            </w:pPr>
            <w:r w:rsidRPr="005935F4">
              <w:t>Responsibilities  </w:t>
            </w:r>
          </w:p>
        </w:tc>
      </w:tr>
      <w:tr w:rsidR="005935F4" w:rsidRPr="005935F4" w14:paraId="1F02CFC9" w14:textId="77777777" w:rsidTr="00D7439E">
        <w:trPr>
          <w:trHeight w:val="300"/>
        </w:trPr>
        <w:tc>
          <w:tcPr>
            <w:tcW w:w="2700" w:type="dxa"/>
            <w:vAlign w:val="center"/>
            <w:hideMark/>
          </w:tcPr>
          <w:p w14:paraId="4EC5CF14" w14:textId="77777777" w:rsidR="005935F4" w:rsidRPr="005935F4" w:rsidRDefault="005935F4" w:rsidP="00D7439E">
            <w:pPr>
              <w:pStyle w:val="TableText"/>
            </w:pPr>
            <w:r w:rsidRPr="005935F4">
              <w:t>QCE Director   </w:t>
            </w:r>
          </w:p>
        </w:tc>
        <w:tc>
          <w:tcPr>
            <w:tcW w:w="4125" w:type="dxa"/>
            <w:vAlign w:val="center"/>
            <w:hideMark/>
          </w:tcPr>
          <w:p w14:paraId="15A611BA" w14:textId="77777777" w:rsidR="005935F4" w:rsidRPr="005935F4" w:rsidRDefault="005935F4" w:rsidP="00D7439E">
            <w:pPr>
              <w:pStyle w:val="TableText"/>
            </w:pPr>
            <w:r w:rsidRPr="005935F4">
              <w:t>Oversees QCE staff and projects.   </w:t>
            </w:r>
          </w:p>
        </w:tc>
      </w:tr>
      <w:tr w:rsidR="005935F4" w:rsidRPr="005935F4" w14:paraId="25C2266B" w14:textId="77777777" w:rsidTr="00D7439E">
        <w:trPr>
          <w:trHeight w:val="300"/>
        </w:trPr>
        <w:tc>
          <w:tcPr>
            <w:tcW w:w="2700" w:type="dxa"/>
            <w:vAlign w:val="center"/>
            <w:hideMark/>
          </w:tcPr>
          <w:p w14:paraId="49EA02DF" w14:textId="77777777" w:rsidR="005935F4" w:rsidRPr="005935F4" w:rsidRDefault="005935F4" w:rsidP="00D7439E">
            <w:pPr>
              <w:pStyle w:val="TableText"/>
            </w:pPr>
            <w:r w:rsidRPr="005935F4">
              <w:t>Management Analyst III   </w:t>
            </w:r>
          </w:p>
        </w:tc>
        <w:tc>
          <w:tcPr>
            <w:tcW w:w="4125" w:type="dxa"/>
            <w:vAlign w:val="center"/>
            <w:hideMark/>
          </w:tcPr>
          <w:p w14:paraId="317D0F56" w14:textId="77777777" w:rsidR="005935F4" w:rsidRPr="005935F4" w:rsidRDefault="005935F4" w:rsidP="00D7439E">
            <w:pPr>
              <w:pStyle w:val="TableText"/>
            </w:pPr>
            <w:r w:rsidRPr="005935F4">
              <w:t>Policy and procedure development, analyze process and collaborates with staff.   </w:t>
            </w:r>
          </w:p>
        </w:tc>
      </w:tr>
      <w:tr w:rsidR="005935F4" w:rsidRPr="005935F4" w14:paraId="3C6329DB" w14:textId="77777777" w:rsidTr="00D7439E">
        <w:trPr>
          <w:trHeight w:val="300"/>
        </w:trPr>
        <w:tc>
          <w:tcPr>
            <w:tcW w:w="2700" w:type="dxa"/>
            <w:vAlign w:val="center"/>
            <w:hideMark/>
          </w:tcPr>
          <w:p w14:paraId="244897FC" w14:textId="77777777" w:rsidR="005935F4" w:rsidRPr="005935F4" w:rsidRDefault="005935F4" w:rsidP="00D7439E">
            <w:pPr>
              <w:pStyle w:val="TableText"/>
            </w:pPr>
            <w:r w:rsidRPr="005935F4">
              <w:t>Data Analyst   </w:t>
            </w:r>
          </w:p>
        </w:tc>
        <w:tc>
          <w:tcPr>
            <w:tcW w:w="4125" w:type="dxa"/>
            <w:vAlign w:val="center"/>
            <w:hideMark/>
          </w:tcPr>
          <w:p w14:paraId="0FFB7278" w14:textId="77777777" w:rsidR="005935F4" w:rsidRPr="005935F4" w:rsidRDefault="005935F4" w:rsidP="00D7439E">
            <w:pPr>
              <w:pStyle w:val="TableText"/>
            </w:pPr>
            <w:r w:rsidRPr="005935F4">
              <w:t>Collaborates with staff and project stakeholders for improvements in data related issues and solutions.   </w:t>
            </w:r>
          </w:p>
        </w:tc>
      </w:tr>
    </w:tbl>
    <w:p w14:paraId="75302D83" w14:textId="77777777" w:rsidR="005935F4" w:rsidRPr="00D7439E" w:rsidRDefault="005935F4" w:rsidP="00AE6A19">
      <w:pPr>
        <w:pStyle w:val="BodyText3"/>
        <w:ind w:left="720" w:hanging="720"/>
      </w:pPr>
      <w:r w:rsidRPr="00D7439E">
        <w:t>E.</w:t>
      </w:r>
      <w:r w:rsidRPr="00D7439E">
        <w:tab/>
        <w:t>List any qualifications or eligibility requirements for persons or entities affected by this division or program (e.g., licensees, consumers, and landowners). Provide a statistical breakdown of persons or entities affected. </w:t>
      </w:r>
    </w:p>
    <w:p w14:paraId="5A0033C4" w14:textId="325CF442" w:rsidR="00756FFB" w:rsidRPr="005935F4" w:rsidRDefault="00756FFB" w:rsidP="00756FFB">
      <w:pPr>
        <w:pStyle w:val="BodyText"/>
      </w:pPr>
      <w:r w:rsidRPr="005935F4">
        <w:t>QCE’s functions have similarities with the work performed by Internal Audit and Business Transformation.  However,</w:t>
      </w:r>
      <w:r w:rsidR="000F1365">
        <w:t xml:space="preserve"> </w:t>
      </w:r>
      <w:r w:rsidRPr="005935F4">
        <w:t>QCE does not issue audit findings.  QCE reports may note opportunities for consideration or identify promising practices; however, programs and departments who are partnering with QCE are not required to submit corrective action plans or make the suggested changes.  The opportunities for consideration conveyed by QCE are to be discussed and considered by executive and division-level leadership and executed as they instruct. QCE typically works with a department or program before or after an audit, and QCE’s function is intended to compliment the work done by Internal Audit.  </w:t>
      </w:r>
    </w:p>
    <w:p w14:paraId="54CED219" w14:textId="1727AD94" w:rsidR="00756FFB" w:rsidRPr="005935F4" w:rsidRDefault="00756FFB" w:rsidP="00756FFB">
      <w:pPr>
        <w:pStyle w:val="BodyText"/>
      </w:pPr>
      <w:r w:rsidRPr="005935F4">
        <w:t xml:space="preserve">QCE does not engage in projects solely for process improvement or business redesign. However, initiating a QCE project </w:t>
      </w:r>
      <w:r w:rsidR="00AA6858">
        <w:t xml:space="preserve">could be from </w:t>
      </w:r>
      <w:r w:rsidR="00BF5C7F">
        <w:t xml:space="preserve">the discovery of </w:t>
      </w:r>
      <w:r w:rsidRPr="005935F4">
        <w:t>a compliance issue or a risk to the reputation or mission of the agency or a department that needs to be examined.  </w:t>
      </w:r>
    </w:p>
    <w:p w14:paraId="1D5EF881" w14:textId="5530849E" w:rsidR="00756FFB" w:rsidRPr="005935F4" w:rsidRDefault="00756FFB" w:rsidP="00756FFB">
      <w:pPr>
        <w:pStyle w:val="BodyText"/>
      </w:pPr>
      <w:r w:rsidRPr="005935F4">
        <w:lastRenderedPageBreak/>
        <w:t>QCE actively works to avoid project overlap with other project teams by creating a project charter as part of the project initiation phase. The project charter sets project parameters, details who is involved, and provides an opportunity for feedback from cross-divisional stakeholders to ensure there is no overlap with work performed by Internal Audit or Business Transformations.  If a project conflict is identified, the project w</w:t>
      </w:r>
      <w:r w:rsidR="00981972">
        <w:t>ill</w:t>
      </w:r>
      <w:r w:rsidRPr="005935F4">
        <w:t xml:space="preserve"> not move forward, or the project charter would be amended to remove the conflict.   This helps to save costs and prevent interference with other projects that may perform similar tasks or functions. </w:t>
      </w:r>
    </w:p>
    <w:p w14:paraId="744E770C" w14:textId="77777777" w:rsidR="005935F4" w:rsidRPr="00D7439E" w:rsidRDefault="005935F4" w:rsidP="00AE6A19">
      <w:pPr>
        <w:pStyle w:val="BodyText3"/>
        <w:ind w:left="720" w:hanging="720"/>
      </w:pPr>
      <w:r w:rsidRPr="00D7439E">
        <w:t>F.</w:t>
      </w:r>
      <w:r w:rsidRPr="00D7439E">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139EDB7" w14:textId="77777777" w:rsidR="005935F4" w:rsidRPr="005935F4" w:rsidRDefault="005935F4" w:rsidP="00D7439E">
      <w:pPr>
        <w:pStyle w:val="BodyText"/>
      </w:pPr>
      <w:r w:rsidRPr="005935F4">
        <w:t>QCE engages in projects that are identified through executive-level and division-level leadership interest. QCE may engage in a project due to an upcoming audit or because of a recent audit that demonstrated a need for additional support to correct audit issues. QCE may also engage in a project due to a recent investigation or other identified area of concern or quality control needs.  </w:t>
      </w:r>
    </w:p>
    <w:p w14:paraId="26613DC1" w14:textId="77777777" w:rsidR="005935F4" w:rsidRPr="005935F4" w:rsidRDefault="005935F4" w:rsidP="00D7439E">
      <w:pPr>
        <w:pStyle w:val="BodyText"/>
      </w:pPr>
      <w:r w:rsidRPr="005935F4">
        <w:t>QCE’s work process for projects can vary dependent upon the scope and need of the project.  However, a typical project workflow consists of project initiation, project plan, project execution, and project closeout activities described as follows:  </w:t>
      </w:r>
    </w:p>
    <w:p w14:paraId="7B8AD866" w14:textId="77777777" w:rsidR="005935F4" w:rsidRPr="005935F4" w:rsidRDefault="005935F4" w:rsidP="00C64851">
      <w:pPr>
        <w:pStyle w:val="BodyText"/>
        <w:numPr>
          <w:ilvl w:val="0"/>
          <w:numId w:val="265"/>
        </w:numPr>
      </w:pPr>
      <w:r w:rsidRPr="005935F4">
        <w:t>Project Initiation  </w:t>
      </w:r>
    </w:p>
    <w:p w14:paraId="189CAABE" w14:textId="77777777" w:rsidR="005935F4" w:rsidRPr="005935F4" w:rsidRDefault="005935F4" w:rsidP="00C64851">
      <w:pPr>
        <w:pStyle w:val="BodyText"/>
        <w:numPr>
          <w:ilvl w:val="0"/>
          <w:numId w:val="266"/>
        </w:numPr>
      </w:pPr>
      <w:r w:rsidRPr="005935F4">
        <w:t>Initiate authorization and chartering of the project.  </w:t>
      </w:r>
    </w:p>
    <w:p w14:paraId="4D4F099F" w14:textId="77777777" w:rsidR="005935F4" w:rsidRPr="005935F4" w:rsidRDefault="005935F4" w:rsidP="00C64851">
      <w:pPr>
        <w:pStyle w:val="BodyText"/>
        <w:numPr>
          <w:ilvl w:val="0"/>
          <w:numId w:val="267"/>
        </w:numPr>
      </w:pPr>
      <w:r w:rsidRPr="005935F4">
        <w:t>A project charter document is created outlining the project goals and objectives.  </w:t>
      </w:r>
    </w:p>
    <w:p w14:paraId="6C31075A" w14:textId="77777777" w:rsidR="005935F4" w:rsidRPr="005935F4" w:rsidRDefault="005935F4" w:rsidP="00C64851">
      <w:pPr>
        <w:pStyle w:val="BodyText"/>
        <w:numPr>
          <w:ilvl w:val="0"/>
          <w:numId w:val="268"/>
        </w:numPr>
      </w:pPr>
      <w:r w:rsidRPr="005935F4">
        <w:t>During this stage, QCE evaluates project viability considering resources and potential risks by reviewing all available process maps, one-pagers, SharePoint sites, dashboards, IT access needs, and any other high-level program information related to the project partner’s program and function(s).  </w:t>
      </w:r>
    </w:p>
    <w:p w14:paraId="2FF40BCC" w14:textId="77777777" w:rsidR="005935F4" w:rsidRPr="005935F4" w:rsidRDefault="005935F4" w:rsidP="00C64851">
      <w:pPr>
        <w:pStyle w:val="BodyText"/>
        <w:numPr>
          <w:ilvl w:val="0"/>
          <w:numId w:val="269"/>
        </w:numPr>
      </w:pPr>
      <w:r w:rsidRPr="005935F4">
        <w:t>Project Plan  </w:t>
      </w:r>
    </w:p>
    <w:p w14:paraId="40754D94" w14:textId="77777777" w:rsidR="005935F4" w:rsidRPr="005935F4" w:rsidRDefault="005935F4" w:rsidP="00C64851">
      <w:pPr>
        <w:pStyle w:val="BodyText"/>
        <w:numPr>
          <w:ilvl w:val="0"/>
          <w:numId w:val="270"/>
        </w:numPr>
      </w:pPr>
      <w:r w:rsidRPr="005935F4">
        <w:t>Create a defined project plan document that will outline the project activities.  </w:t>
      </w:r>
    </w:p>
    <w:p w14:paraId="6F2DF0A4" w14:textId="77777777" w:rsidR="005935F4" w:rsidRPr="005935F4" w:rsidRDefault="005935F4" w:rsidP="00C64851">
      <w:pPr>
        <w:pStyle w:val="BodyText"/>
        <w:numPr>
          <w:ilvl w:val="0"/>
          <w:numId w:val="271"/>
        </w:numPr>
      </w:pPr>
      <w:r w:rsidRPr="005935F4">
        <w:t>The project plan typically includes a plan for pre-evaluation planning activities, evaluation activities, and a project timeline.  </w:t>
      </w:r>
    </w:p>
    <w:p w14:paraId="5075C787" w14:textId="77777777" w:rsidR="005935F4" w:rsidRPr="005935F4" w:rsidRDefault="005935F4" w:rsidP="00C64851">
      <w:pPr>
        <w:pStyle w:val="BodyText"/>
        <w:numPr>
          <w:ilvl w:val="0"/>
          <w:numId w:val="272"/>
        </w:numPr>
      </w:pPr>
      <w:r w:rsidRPr="005935F4">
        <w:t>Project Execution  </w:t>
      </w:r>
    </w:p>
    <w:p w14:paraId="51745AF0" w14:textId="77777777" w:rsidR="005935F4" w:rsidRPr="005935F4" w:rsidRDefault="005935F4" w:rsidP="00C64851">
      <w:pPr>
        <w:pStyle w:val="BodyText"/>
        <w:numPr>
          <w:ilvl w:val="0"/>
          <w:numId w:val="273"/>
        </w:numPr>
      </w:pPr>
      <w:r w:rsidRPr="005935F4">
        <w:lastRenderedPageBreak/>
        <w:t>The initial process for executing the project plan may include but is not limited to the following:  </w:t>
      </w:r>
    </w:p>
    <w:p w14:paraId="77D17B4E" w14:textId="77777777" w:rsidR="005935F4" w:rsidRPr="005935F4" w:rsidRDefault="005935F4" w:rsidP="00C64851">
      <w:pPr>
        <w:pStyle w:val="BodyText"/>
        <w:numPr>
          <w:ilvl w:val="0"/>
          <w:numId w:val="274"/>
        </w:numPr>
      </w:pPr>
      <w:r w:rsidRPr="005935F4">
        <w:t>Information gathering through surveys, meet-and-greets, and one-on-ones.  </w:t>
      </w:r>
    </w:p>
    <w:p w14:paraId="3A746289" w14:textId="77777777" w:rsidR="005935F4" w:rsidRPr="005935F4" w:rsidRDefault="005935F4" w:rsidP="00C64851">
      <w:pPr>
        <w:pStyle w:val="BodyText"/>
        <w:numPr>
          <w:ilvl w:val="0"/>
          <w:numId w:val="275"/>
        </w:numPr>
      </w:pPr>
      <w:r w:rsidRPr="005935F4">
        <w:t>Reviewing applicable regulation, statute, rule, policies, and procedures. </w:t>
      </w:r>
    </w:p>
    <w:p w14:paraId="1DF4FDB5" w14:textId="77777777" w:rsidR="005935F4" w:rsidRPr="005935F4" w:rsidRDefault="005935F4" w:rsidP="00C64851">
      <w:pPr>
        <w:pStyle w:val="BodyText"/>
        <w:numPr>
          <w:ilvl w:val="0"/>
          <w:numId w:val="276"/>
        </w:numPr>
      </w:pPr>
      <w:r w:rsidRPr="005935F4">
        <w:t>Review of systems and data. </w:t>
      </w:r>
    </w:p>
    <w:p w14:paraId="5AB5DDB9" w14:textId="77777777" w:rsidR="005935F4" w:rsidRPr="005935F4" w:rsidRDefault="005935F4" w:rsidP="00C64851">
      <w:pPr>
        <w:pStyle w:val="BodyText"/>
        <w:numPr>
          <w:ilvl w:val="0"/>
          <w:numId w:val="277"/>
        </w:numPr>
      </w:pPr>
      <w:r w:rsidRPr="005935F4">
        <w:t>Reviewing audit and investigatory reports. </w:t>
      </w:r>
    </w:p>
    <w:p w14:paraId="0E07DB4D" w14:textId="77777777" w:rsidR="005935F4" w:rsidRPr="005935F4" w:rsidRDefault="005935F4" w:rsidP="00C64851">
      <w:pPr>
        <w:pStyle w:val="BodyText"/>
        <w:numPr>
          <w:ilvl w:val="0"/>
          <w:numId w:val="278"/>
        </w:numPr>
      </w:pPr>
      <w:r w:rsidRPr="005935F4">
        <w:t>Next, a project kickoff meeting is held to convey to stakeholders:  </w:t>
      </w:r>
    </w:p>
    <w:p w14:paraId="5E74CB53" w14:textId="77777777" w:rsidR="005935F4" w:rsidRPr="005935F4" w:rsidRDefault="005935F4" w:rsidP="00C64851">
      <w:pPr>
        <w:pStyle w:val="BodyText"/>
        <w:numPr>
          <w:ilvl w:val="0"/>
          <w:numId w:val="279"/>
        </w:numPr>
      </w:pPr>
      <w:r w:rsidRPr="005935F4">
        <w:t>Purpose of project/problem statement(s). </w:t>
      </w:r>
    </w:p>
    <w:p w14:paraId="41A90B64" w14:textId="77777777" w:rsidR="005935F4" w:rsidRPr="005935F4" w:rsidRDefault="005935F4" w:rsidP="00C64851">
      <w:pPr>
        <w:pStyle w:val="BodyText"/>
        <w:numPr>
          <w:ilvl w:val="0"/>
          <w:numId w:val="280"/>
        </w:numPr>
      </w:pPr>
      <w:r w:rsidRPr="005935F4">
        <w:t>Review of pre-evaluation information gathered. </w:t>
      </w:r>
    </w:p>
    <w:p w14:paraId="0D26C5CF" w14:textId="77777777" w:rsidR="005935F4" w:rsidRPr="005935F4" w:rsidRDefault="005935F4" w:rsidP="00C64851">
      <w:pPr>
        <w:pStyle w:val="BodyText"/>
        <w:numPr>
          <w:ilvl w:val="0"/>
          <w:numId w:val="281"/>
        </w:numPr>
      </w:pPr>
      <w:r w:rsidRPr="005935F4">
        <w:t>Confirmation of information in project charter, including objectives and project timeline. </w:t>
      </w:r>
    </w:p>
    <w:p w14:paraId="237F5ECF" w14:textId="77777777" w:rsidR="005935F4" w:rsidRPr="005935F4" w:rsidRDefault="005935F4" w:rsidP="00C64851">
      <w:pPr>
        <w:pStyle w:val="BodyText"/>
        <w:numPr>
          <w:ilvl w:val="0"/>
          <w:numId w:val="282"/>
        </w:numPr>
      </w:pPr>
      <w:r w:rsidRPr="005935F4">
        <w:t>Project tools and templates that may be used for the evaluation activities include but are not limited to:  </w:t>
      </w:r>
    </w:p>
    <w:p w14:paraId="6864DF0C" w14:textId="77777777" w:rsidR="005935F4" w:rsidRPr="005935F4" w:rsidRDefault="005935F4" w:rsidP="00C64851">
      <w:pPr>
        <w:pStyle w:val="BodyText"/>
        <w:numPr>
          <w:ilvl w:val="0"/>
          <w:numId w:val="283"/>
        </w:numPr>
      </w:pPr>
      <w:r w:rsidRPr="005935F4">
        <w:t>SWOT Analyses </w:t>
      </w:r>
    </w:p>
    <w:p w14:paraId="00CDC3E1" w14:textId="77777777" w:rsidR="005935F4" w:rsidRPr="005935F4" w:rsidRDefault="005935F4" w:rsidP="00C64851">
      <w:pPr>
        <w:pStyle w:val="BodyText"/>
        <w:numPr>
          <w:ilvl w:val="0"/>
          <w:numId w:val="284"/>
        </w:numPr>
      </w:pPr>
      <w:r w:rsidRPr="005935F4">
        <w:t>Root Cause Analyses </w:t>
      </w:r>
    </w:p>
    <w:p w14:paraId="70E02D28" w14:textId="77777777" w:rsidR="005935F4" w:rsidRPr="005935F4" w:rsidRDefault="005935F4" w:rsidP="00C64851">
      <w:pPr>
        <w:pStyle w:val="BodyText"/>
        <w:numPr>
          <w:ilvl w:val="0"/>
          <w:numId w:val="285"/>
        </w:numPr>
      </w:pPr>
      <w:r w:rsidRPr="005935F4">
        <w:t>Risk Inventories </w:t>
      </w:r>
    </w:p>
    <w:p w14:paraId="63314DFE" w14:textId="77777777" w:rsidR="005935F4" w:rsidRPr="005935F4" w:rsidRDefault="005935F4" w:rsidP="00C64851">
      <w:pPr>
        <w:pStyle w:val="BodyText"/>
        <w:numPr>
          <w:ilvl w:val="0"/>
          <w:numId w:val="286"/>
        </w:numPr>
      </w:pPr>
      <w:r w:rsidRPr="005935F4">
        <w:t>Action Plans </w:t>
      </w:r>
    </w:p>
    <w:p w14:paraId="7589F564" w14:textId="77777777" w:rsidR="005935F4" w:rsidRPr="005935F4" w:rsidRDefault="005935F4" w:rsidP="00C64851">
      <w:pPr>
        <w:pStyle w:val="BodyText"/>
        <w:numPr>
          <w:ilvl w:val="0"/>
          <w:numId w:val="287"/>
        </w:numPr>
      </w:pPr>
      <w:r w:rsidRPr="005935F4">
        <w:t>Task Trackers </w:t>
      </w:r>
    </w:p>
    <w:p w14:paraId="489801A7" w14:textId="77777777" w:rsidR="005935F4" w:rsidRPr="005935F4" w:rsidRDefault="005935F4" w:rsidP="00C64851">
      <w:pPr>
        <w:pStyle w:val="BodyText"/>
        <w:numPr>
          <w:ilvl w:val="0"/>
          <w:numId w:val="288"/>
        </w:numPr>
      </w:pPr>
      <w:r w:rsidRPr="005935F4">
        <w:t>QCE created dashboards, and/or  </w:t>
      </w:r>
    </w:p>
    <w:p w14:paraId="0A84351E" w14:textId="77777777" w:rsidR="005935F4" w:rsidRPr="005935F4" w:rsidRDefault="005935F4" w:rsidP="00C64851">
      <w:pPr>
        <w:pStyle w:val="BodyText"/>
        <w:numPr>
          <w:ilvl w:val="0"/>
          <w:numId w:val="289"/>
        </w:numPr>
      </w:pPr>
      <w:r w:rsidRPr="005935F4">
        <w:t>RPI methodologies such as:  </w:t>
      </w:r>
    </w:p>
    <w:p w14:paraId="0CF68463" w14:textId="77777777" w:rsidR="005935F4" w:rsidRPr="005935F4" w:rsidRDefault="005935F4" w:rsidP="00C64851">
      <w:pPr>
        <w:pStyle w:val="BodyText"/>
        <w:numPr>
          <w:ilvl w:val="0"/>
          <w:numId w:val="290"/>
        </w:numPr>
      </w:pPr>
      <w:r w:rsidRPr="005935F4">
        <w:t>TOS – Throughput Operating Strategy  </w:t>
      </w:r>
    </w:p>
    <w:p w14:paraId="68417E30" w14:textId="77777777" w:rsidR="005935F4" w:rsidRPr="005935F4" w:rsidRDefault="005935F4" w:rsidP="00C64851">
      <w:pPr>
        <w:pStyle w:val="BodyText"/>
        <w:numPr>
          <w:ilvl w:val="0"/>
          <w:numId w:val="291"/>
        </w:numPr>
      </w:pPr>
      <w:r w:rsidRPr="005935F4">
        <w:t>SIPOC – Suppliers, Inputs, Process, Output, Customers  </w:t>
      </w:r>
    </w:p>
    <w:p w14:paraId="3392E86E" w14:textId="77777777" w:rsidR="005935F4" w:rsidRPr="005935F4" w:rsidRDefault="005935F4" w:rsidP="00C64851">
      <w:pPr>
        <w:pStyle w:val="BodyText"/>
        <w:numPr>
          <w:ilvl w:val="0"/>
          <w:numId w:val="292"/>
        </w:numPr>
      </w:pPr>
      <w:r w:rsidRPr="005935F4">
        <w:t>Gap-It  </w:t>
      </w:r>
    </w:p>
    <w:p w14:paraId="25EB9A81" w14:textId="77777777" w:rsidR="005935F4" w:rsidRPr="005935F4" w:rsidRDefault="005935F4" w:rsidP="00C64851">
      <w:pPr>
        <w:pStyle w:val="BodyText"/>
        <w:numPr>
          <w:ilvl w:val="0"/>
          <w:numId w:val="293"/>
        </w:numPr>
      </w:pPr>
      <w:r w:rsidRPr="005935F4">
        <w:t>RASCI Matrix  </w:t>
      </w:r>
    </w:p>
    <w:p w14:paraId="5A9318D5" w14:textId="77777777" w:rsidR="005935F4" w:rsidRPr="005935F4" w:rsidRDefault="005935F4" w:rsidP="00C64851">
      <w:pPr>
        <w:pStyle w:val="BodyText"/>
        <w:numPr>
          <w:ilvl w:val="0"/>
          <w:numId w:val="294"/>
        </w:numPr>
      </w:pPr>
      <w:r w:rsidRPr="005935F4">
        <w:t>Project Closeout  </w:t>
      </w:r>
    </w:p>
    <w:p w14:paraId="582C98A4" w14:textId="77777777" w:rsidR="005935F4" w:rsidRPr="005935F4" w:rsidRDefault="005935F4" w:rsidP="00C64851">
      <w:pPr>
        <w:pStyle w:val="BodyText"/>
        <w:numPr>
          <w:ilvl w:val="0"/>
          <w:numId w:val="295"/>
        </w:numPr>
      </w:pPr>
      <w:r w:rsidRPr="005935F4">
        <w:lastRenderedPageBreak/>
        <w:t>This is the final stage of the project and ensures final verification that the work has been performed according to plan or documentation of the reason(s) the project did not go as planned.   </w:t>
      </w:r>
    </w:p>
    <w:p w14:paraId="41E8AFAF" w14:textId="77777777" w:rsidR="005935F4" w:rsidRPr="005935F4" w:rsidRDefault="005935F4" w:rsidP="00C64851">
      <w:pPr>
        <w:pStyle w:val="BodyText"/>
        <w:numPr>
          <w:ilvl w:val="0"/>
          <w:numId w:val="296"/>
        </w:numPr>
      </w:pPr>
      <w:r w:rsidRPr="005935F4">
        <w:t>Complete a project closeout report or other documentation.  </w:t>
      </w:r>
    </w:p>
    <w:p w14:paraId="16A899D4" w14:textId="77777777" w:rsidR="005935F4" w:rsidRPr="00B41BE0" w:rsidRDefault="005935F4" w:rsidP="00AE6A19">
      <w:pPr>
        <w:pStyle w:val="BodyText3"/>
        <w:ind w:left="720" w:hanging="720"/>
      </w:pPr>
      <w:r w:rsidRPr="00B41BE0">
        <w:t>G.</w:t>
      </w:r>
      <w:r w:rsidRPr="00B41BE0">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402"/>
        <w:gridCol w:w="2081"/>
        <w:gridCol w:w="1770"/>
        <w:gridCol w:w="2107"/>
      </w:tblGrid>
      <w:tr w:rsidR="00017663" w:rsidRPr="00A2079D" w14:paraId="38E316CB" w14:textId="77777777" w:rsidTr="00017663">
        <w:trPr>
          <w:trHeight w:val="288"/>
        </w:trPr>
        <w:tc>
          <w:tcPr>
            <w:tcW w:w="3800" w:type="dxa"/>
            <w:shd w:val="clear" w:color="auto" w:fill="B8CCE4" w:themeFill="accent1" w:themeFillTint="66"/>
            <w:vAlign w:val="center"/>
            <w:hideMark/>
          </w:tcPr>
          <w:p w14:paraId="1E34AFCF" w14:textId="77777777" w:rsidR="00017663" w:rsidRPr="00F82F2F" w:rsidRDefault="00017663" w:rsidP="00017663">
            <w:pPr>
              <w:pStyle w:val="TableHeaders"/>
              <w:rPr>
                <w:color w:val="000000"/>
              </w:rPr>
            </w:pPr>
            <w:r w:rsidRPr="00F82F2F">
              <w:t>Program or Function Detail Description</w:t>
            </w:r>
          </w:p>
        </w:tc>
        <w:tc>
          <w:tcPr>
            <w:tcW w:w="2300" w:type="dxa"/>
            <w:shd w:val="clear" w:color="auto" w:fill="B8CCE4" w:themeFill="accent1" w:themeFillTint="66"/>
            <w:vAlign w:val="center"/>
            <w:hideMark/>
          </w:tcPr>
          <w:p w14:paraId="66496C7E" w14:textId="77777777" w:rsidR="00017663" w:rsidRPr="00F82F2F" w:rsidRDefault="00017663" w:rsidP="00017663">
            <w:pPr>
              <w:pStyle w:val="TableHeaders"/>
              <w:rPr>
                <w:color w:val="000000"/>
              </w:rPr>
            </w:pPr>
            <w:r w:rsidRPr="00F82F2F">
              <w:t>Total FY 2024</w:t>
            </w:r>
          </w:p>
        </w:tc>
        <w:tc>
          <w:tcPr>
            <w:tcW w:w="1920" w:type="dxa"/>
            <w:shd w:val="clear" w:color="auto" w:fill="B8CCE4" w:themeFill="accent1" w:themeFillTint="66"/>
            <w:vAlign w:val="center"/>
            <w:hideMark/>
          </w:tcPr>
          <w:p w14:paraId="29D404E0" w14:textId="77777777" w:rsidR="00017663" w:rsidRPr="00F82F2F" w:rsidRDefault="00017663" w:rsidP="00017663">
            <w:pPr>
              <w:pStyle w:val="TableHeaders"/>
              <w:rPr>
                <w:color w:val="000000"/>
              </w:rPr>
            </w:pPr>
            <w:r w:rsidRPr="00F82F2F">
              <w:t>Federal Funding</w:t>
            </w:r>
          </w:p>
        </w:tc>
        <w:tc>
          <w:tcPr>
            <w:tcW w:w="2320" w:type="dxa"/>
            <w:shd w:val="clear" w:color="auto" w:fill="B8CCE4" w:themeFill="accent1" w:themeFillTint="66"/>
            <w:vAlign w:val="center"/>
            <w:hideMark/>
          </w:tcPr>
          <w:p w14:paraId="45CBDCD1" w14:textId="77777777" w:rsidR="00017663" w:rsidRPr="00F82F2F" w:rsidRDefault="00017663" w:rsidP="00017663">
            <w:pPr>
              <w:pStyle w:val="TableHeaders"/>
              <w:rPr>
                <w:color w:val="000000"/>
              </w:rPr>
            </w:pPr>
            <w:r w:rsidRPr="00F82F2F">
              <w:t>State Funding</w:t>
            </w:r>
          </w:p>
        </w:tc>
      </w:tr>
      <w:tr w:rsidR="00017663" w:rsidRPr="00A2079D" w14:paraId="0B137FD4" w14:textId="77777777" w:rsidTr="00017663">
        <w:trPr>
          <w:trHeight w:val="288"/>
        </w:trPr>
        <w:tc>
          <w:tcPr>
            <w:tcW w:w="3800" w:type="dxa"/>
            <w:vAlign w:val="center"/>
            <w:hideMark/>
          </w:tcPr>
          <w:p w14:paraId="7AEE2D8E" w14:textId="77777777" w:rsidR="00017663" w:rsidRPr="00F82F2F" w:rsidRDefault="00017663" w:rsidP="00017663">
            <w:pPr>
              <w:pStyle w:val="TableText"/>
            </w:pPr>
            <w:r w:rsidRPr="00F82F2F">
              <w:t>Quality Control and Evaluation (Includes VR Contract Oversight &amp; Benefit Payment Control)</w:t>
            </w:r>
          </w:p>
        </w:tc>
        <w:tc>
          <w:tcPr>
            <w:tcW w:w="2300" w:type="dxa"/>
            <w:vAlign w:val="center"/>
            <w:hideMark/>
          </w:tcPr>
          <w:p w14:paraId="1E568930" w14:textId="0A94BE29" w:rsidR="00017663" w:rsidRPr="00F82F2F" w:rsidRDefault="00017663" w:rsidP="00017663">
            <w:pPr>
              <w:pStyle w:val="TableText"/>
              <w:jc w:val="right"/>
            </w:pPr>
            <w:r w:rsidRPr="00F82F2F">
              <w:t xml:space="preserve">871,275 </w:t>
            </w:r>
          </w:p>
        </w:tc>
        <w:tc>
          <w:tcPr>
            <w:tcW w:w="1920" w:type="dxa"/>
            <w:vAlign w:val="center"/>
            <w:hideMark/>
          </w:tcPr>
          <w:p w14:paraId="78D9BFCA" w14:textId="0C6DA6E2" w:rsidR="00017663" w:rsidRPr="00F82F2F" w:rsidRDefault="00017663" w:rsidP="00017663">
            <w:pPr>
              <w:pStyle w:val="TableText"/>
              <w:jc w:val="right"/>
            </w:pPr>
            <w:r w:rsidRPr="00F82F2F">
              <w:t xml:space="preserve">619,233 </w:t>
            </w:r>
          </w:p>
        </w:tc>
        <w:tc>
          <w:tcPr>
            <w:tcW w:w="2320" w:type="dxa"/>
            <w:vAlign w:val="center"/>
            <w:hideMark/>
          </w:tcPr>
          <w:p w14:paraId="549FA1EA" w14:textId="485D8181" w:rsidR="00017663" w:rsidRPr="00F82F2F" w:rsidRDefault="00017663" w:rsidP="00017663">
            <w:pPr>
              <w:pStyle w:val="TableText"/>
              <w:jc w:val="right"/>
            </w:pPr>
            <w:r w:rsidRPr="00F82F2F">
              <w:t xml:space="preserve">252,042 </w:t>
            </w:r>
          </w:p>
        </w:tc>
      </w:tr>
    </w:tbl>
    <w:p w14:paraId="7FFBFA77" w14:textId="77777777" w:rsidR="005935F4" w:rsidRPr="00AE6A19" w:rsidRDefault="005935F4" w:rsidP="00AE6A19">
      <w:pPr>
        <w:pStyle w:val="BodyText3"/>
        <w:ind w:left="720" w:hanging="720"/>
      </w:pPr>
      <w:r w:rsidRPr="00AE6A19">
        <w:t>H.</w:t>
      </w:r>
      <w:r w:rsidRPr="00AE6A19">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553EF14B" w14:textId="35BABCE6" w:rsidR="00756FFB" w:rsidRPr="005935F4" w:rsidRDefault="00756FFB" w:rsidP="000D59D5">
      <w:pPr>
        <w:pStyle w:val="BodyText"/>
      </w:pPr>
      <w:r>
        <w:t>N/A</w:t>
      </w:r>
    </w:p>
    <w:p w14:paraId="2F904B2B" w14:textId="77777777" w:rsidR="005935F4" w:rsidRPr="000D59D5" w:rsidRDefault="005935F4" w:rsidP="00AE6A19">
      <w:pPr>
        <w:pStyle w:val="BodyText3"/>
        <w:ind w:left="720" w:hanging="720"/>
      </w:pPr>
      <w:r w:rsidRPr="000D59D5">
        <w:t>I.</w:t>
      </w:r>
      <w:r w:rsidRPr="000D59D5">
        <w:tab/>
        <w:t>If the division or program works with local, regional, or federal units of government, include a brief description of these entities and their relationship to the agency. </w:t>
      </w:r>
    </w:p>
    <w:p w14:paraId="4DA08D45" w14:textId="77777777" w:rsidR="005935F4" w:rsidRPr="005935F4" w:rsidRDefault="005935F4" w:rsidP="00AE6A19">
      <w:pPr>
        <w:pStyle w:val="BodyText"/>
        <w:ind w:left="720" w:hanging="720"/>
      </w:pPr>
      <w:r w:rsidRPr="005935F4">
        <w:t>N/A </w:t>
      </w:r>
    </w:p>
    <w:p w14:paraId="23586DB1" w14:textId="77777777" w:rsidR="005935F4" w:rsidRPr="000D59D5" w:rsidRDefault="005935F4" w:rsidP="00AE6A19">
      <w:pPr>
        <w:pStyle w:val="BodyText3"/>
        <w:ind w:left="720" w:hanging="720"/>
      </w:pPr>
      <w:r w:rsidRPr="000D59D5">
        <w:t>J.</w:t>
      </w:r>
      <w:r w:rsidRPr="000D59D5">
        <w:tab/>
        <w:t>Are there any barriers or challenges that impede the division or program’s performance, including any outdated or ineffective state laws? Explain. </w:t>
      </w:r>
    </w:p>
    <w:p w14:paraId="1274E463" w14:textId="77777777" w:rsidR="005935F4" w:rsidRPr="005935F4" w:rsidRDefault="005935F4" w:rsidP="000D59D5">
      <w:pPr>
        <w:pStyle w:val="BodyText"/>
      </w:pPr>
      <w:r w:rsidRPr="005935F4">
        <w:t>N/A </w:t>
      </w:r>
    </w:p>
    <w:p w14:paraId="296A6F93" w14:textId="77777777" w:rsidR="005935F4" w:rsidRPr="000D59D5" w:rsidRDefault="005935F4" w:rsidP="00AE6A19">
      <w:pPr>
        <w:pStyle w:val="BodyText3"/>
        <w:ind w:left="720" w:hanging="720"/>
      </w:pPr>
      <w:r w:rsidRPr="000D59D5">
        <w:t>K.</w:t>
      </w:r>
      <w:r w:rsidRPr="000D59D5">
        <w:tab/>
        <w:t>Provide any additional information needed to gain a preliminary understanding of the division or program. </w:t>
      </w:r>
    </w:p>
    <w:p w14:paraId="73472A6C" w14:textId="77777777" w:rsidR="005935F4" w:rsidRPr="005935F4" w:rsidRDefault="005935F4" w:rsidP="000D59D5">
      <w:pPr>
        <w:pStyle w:val="BodyText"/>
      </w:pPr>
      <w:r w:rsidRPr="005935F4">
        <w:t>N/A </w:t>
      </w:r>
    </w:p>
    <w:p w14:paraId="0C337124" w14:textId="77777777" w:rsidR="005935F4" w:rsidRPr="000D59D5" w:rsidRDefault="005935F4" w:rsidP="00AE6A19">
      <w:pPr>
        <w:pStyle w:val="BodyText3"/>
        <w:ind w:left="720" w:hanging="720"/>
      </w:pPr>
      <w:r w:rsidRPr="000D59D5">
        <w:t>L.</w:t>
      </w:r>
      <w:r w:rsidRPr="000D59D5">
        <w:tab/>
        <w:t>Regulatory programs relate to the licensing, registration, certification, or permitting of a person, business, piece of equipment, or other entity (e.g., a facility). For each regulatory program, if applicable, describe: </w:t>
      </w:r>
    </w:p>
    <w:p w14:paraId="228DC85D" w14:textId="77777777" w:rsidR="005935F4" w:rsidRPr="005935F4" w:rsidRDefault="005935F4" w:rsidP="000D59D5">
      <w:pPr>
        <w:pStyle w:val="BodyText"/>
      </w:pPr>
      <w:r w:rsidRPr="005935F4">
        <w:lastRenderedPageBreak/>
        <w:t>N/A </w:t>
      </w:r>
    </w:p>
    <w:p w14:paraId="344C6842" w14:textId="77777777" w:rsidR="005935F4" w:rsidRPr="000D59D5" w:rsidRDefault="005935F4" w:rsidP="00AE6A19">
      <w:pPr>
        <w:pStyle w:val="BodyText3"/>
        <w:ind w:left="720" w:hanging="720"/>
      </w:pPr>
      <w:r w:rsidRPr="000D59D5">
        <w:t>M.</w:t>
      </w:r>
      <w:r w:rsidRPr="000D59D5">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537A5B2F" w14:textId="2937CFE7" w:rsidR="00AA673C" w:rsidRDefault="005935F4" w:rsidP="00920769">
      <w:pPr>
        <w:pStyle w:val="BodyText"/>
        <w:rPr>
          <w:b/>
          <w:sz w:val="20"/>
          <w:szCs w:val="20"/>
        </w:rPr>
      </w:pPr>
      <w:r w:rsidRPr="005935F4">
        <w:t>N/A </w:t>
      </w:r>
      <w:r w:rsidR="00AA673C">
        <w:rPr>
          <w:sz w:val="20"/>
          <w:szCs w:val="20"/>
        </w:rPr>
        <w:br w:type="page"/>
      </w:r>
    </w:p>
    <w:p w14:paraId="472A9CE8" w14:textId="77777777" w:rsidR="00C468CB" w:rsidRPr="00C468CB" w:rsidRDefault="00C468CB" w:rsidP="0053736B">
      <w:pPr>
        <w:pStyle w:val="Heading3"/>
      </w:pPr>
      <w:bookmarkStart w:id="289" w:name="_Toc1496691567"/>
      <w:bookmarkStart w:id="290" w:name="_Toc203377331"/>
      <w:r w:rsidRPr="00C468CB">
        <w:lastRenderedPageBreak/>
        <w:t>Information, Innovation and Insight Division</w:t>
      </w:r>
      <w:bookmarkEnd w:id="289"/>
      <w:bookmarkEnd w:id="290"/>
      <w:r w:rsidRPr="00C468CB">
        <w:t xml:space="preserve"> </w:t>
      </w:r>
    </w:p>
    <w:p w14:paraId="4929F9A3" w14:textId="0EFE1499" w:rsidR="00C468CB" w:rsidRDefault="00C468CB" w:rsidP="00331398">
      <w:pPr>
        <w:pStyle w:val="BodyText"/>
      </w:pPr>
      <w:r w:rsidRPr="00C468CB">
        <w:t>This division, often referred to as I|3, serves as the agency's strategic intelligence hub, driving data-informed decision making and continuous improvement. I|3 provides workforce insights, tracks program effectiveness, assesses program impact, and streamlines processes for improved efficiency and customer service. Most importantly, the I|3 Division empowers TWC to make informed decisions, optimize program performance, and adapt to the evolving needs of the Texas workforce.</w:t>
      </w:r>
    </w:p>
    <w:p w14:paraId="3758076F" w14:textId="07FFBD63" w:rsidR="006227FA" w:rsidRPr="006227FA" w:rsidRDefault="00D149EC" w:rsidP="00D149EC">
      <w:pPr>
        <w:pStyle w:val="BodyText3"/>
        <w:rPr>
          <w:rFonts w:eastAsiaTheme="minorEastAsia"/>
          <w:b w:val="0"/>
          <w:szCs w:val="22"/>
        </w:rPr>
      </w:pPr>
      <w:r>
        <w:t>Labor Market Information</w:t>
      </w:r>
    </w:p>
    <w:p w14:paraId="7F852769" w14:textId="77777777" w:rsidR="006227FA" w:rsidRPr="00D149EC" w:rsidRDefault="006227FA" w:rsidP="00D149EC">
      <w:pPr>
        <w:pStyle w:val="BodyText3"/>
      </w:pPr>
      <w:r w:rsidRPr="00D149EC">
        <w:t>A.</w:t>
      </w:r>
      <w:r w:rsidRPr="00D149EC">
        <w:tab/>
        <w:t>Provide the following information at the beginning of each description. </w:t>
      </w:r>
    </w:p>
    <w:p w14:paraId="3245D66A" w14:textId="77777777" w:rsidR="006227FA" w:rsidRPr="006227FA" w:rsidRDefault="006227FA" w:rsidP="00C64851">
      <w:pPr>
        <w:pStyle w:val="BodyText"/>
        <w:numPr>
          <w:ilvl w:val="0"/>
          <w:numId w:val="309"/>
        </w:numPr>
        <w:spacing w:before="120" w:after="120"/>
      </w:pPr>
      <w:r w:rsidRPr="006227FA">
        <w:t>Name of division or program:  Labor Market Information Department </w:t>
      </w:r>
    </w:p>
    <w:p w14:paraId="3C3F704F" w14:textId="77777777" w:rsidR="006227FA" w:rsidRPr="006227FA" w:rsidRDefault="006227FA" w:rsidP="00C64851">
      <w:pPr>
        <w:pStyle w:val="BodyText"/>
        <w:numPr>
          <w:ilvl w:val="0"/>
          <w:numId w:val="309"/>
        </w:numPr>
        <w:spacing w:before="120" w:after="120"/>
      </w:pPr>
      <w:r w:rsidRPr="006227FA">
        <w:t>Location within the agency: Information Innovation &amp; Insight Division </w:t>
      </w:r>
    </w:p>
    <w:p w14:paraId="68C44B55" w14:textId="77777777" w:rsidR="006227FA" w:rsidRPr="006227FA" w:rsidRDefault="006227FA" w:rsidP="00C64851">
      <w:pPr>
        <w:pStyle w:val="BodyText"/>
        <w:numPr>
          <w:ilvl w:val="0"/>
          <w:numId w:val="309"/>
        </w:numPr>
        <w:spacing w:before="120" w:after="120"/>
      </w:pPr>
      <w:r w:rsidRPr="006227FA">
        <w:t xml:space="preserve">Contact name: Jennifer </w:t>
      </w:r>
      <w:proofErr w:type="spellStart"/>
      <w:r w:rsidRPr="006227FA">
        <w:t>Colehower</w:t>
      </w:r>
      <w:proofErr w:type="spellEnd"/>
      <w:r w:rsidRPr="006227FA">
        <w:t>, Division Director </w:t>
      </w:r>
    </w:p>
    <w:p w14:paraId="4D8AE467" w14:textId="463C86CA" w:rsidR="006227FA" w:rsidRPr="006227FA" w:rsidRDefault="006227FA" w:rsidP="004038D7">
      <w:pPr>
        <w:pStyle w:val="BodyText"/>
        <w:numPr>
          <w:ilvl w:val="0"/>
          <w:numId w:val="309"/>
        </w:numPr>
        <w:spacing w:before="120" w:after="120"/>
      </w:pPr>
      <w:r w:rsidRPr="006227FA">
        <w:t xml:space="preserve">Statutory citation: Texas Labor Code, </w:t>
      </w:r>
      <w:r w:rsidR="004038D7">
        <w:t xml:space="preserve">Section </w:t>
      </w:r>
      <w:r w:rsidRPr="006227FA">
        <w:t>302.002</w:t>
      </w:r>
      <w:r w:rsidR="004038D7">
        <w:t xml:space="preserve">; </w:t>
      </w:r>
      <w:r w:rsidR="009A1284">
        <w:t>Texas Administrative C</w:t>
      </w:r>
      <w:r w:rsidR="005E3603">
        <w:t xml:space="preserve">ode, </w:t>
      </w:r>
      <w:r w:rsidR="004038D7">
        <w:t xml:space="preserve">Section </w:t>
      </w:r>
      <w:r w:rsidRPr="006227FA">
        <w:t>843.1 </w:t>
      </w:r>
    </w:p>
    <w:p w14:paraId="64692C2A" w14:textId="77777777" w:rsidR="006227FA" w:rsidRPr="007F2FD3" w:rsidRDefault="006227FA" w:rsidP="000C794D">
      <w:pPr>
        <w:pStyle w:val="BodyText3"/>
        <w:ind w:left="720" w:hanging="720"/>
      </w:pPr>
      <w:r w:rsidRPr="007F2FD3">
        <w:t>B.</w:t>
      </w:r>
      <w:r w:rsidRPr="007F2FD3">
        <w:tab/>
        <w:t>What is the objective of this division or program? Describe its major activities. </w:t>
      </w:r>
    </w:p>
    <w:p w14:paraId="31D044EA" w14:textId="77777777" w:rsidR="006227FA" w:rsidRPr="006227FA" w:rsidRDefault="006227FA" w:rsidP="006227FA">
      <w:pPr>
        <w:pStyle w:val="BodyText"/>
      </w:pPr>
      <w:r w:rsidRPr="006227FA">
        <w:t>Information Innovation &amp; Insight Division (I|3 Division) is responsible for helping TWC, its partners, and other economic-education-workforce development stakeholders leverage data to better meet the needs of employers, individuals, families, and communities in Texas. </w:t>
      </w:r>
    </w:p>
    <w:p w14:paraId="1DF08FF0" w14:textId="77777777" w:rsidR="006227FA" w:rsidRPr="006227FA" w:rsidRDefault="006227FA" w:rsidP="006227FA">
      <w:pPr>
        <w:pStyle w:val="BodyText"/>
      </w:pPr>
      <w:r w:rsidRPr="006227FA">
        <w:t>As a department within the I|3 Division, the Labor Market Information (LMI) Department of TWC is dedicated to collecting, producing, analyzing, and disseminating accurate labor market information.  The department's mission is to assist customers including job seekers, students, educators, policymakers, employers, and workforce planners in making informed decisions related to business investment, career planning, and public or private workforce strategies. </w:t>
      </w:r>
    </w:p>
    <w:p w14:paraId="30CEB63E" w14:textId="77777777" w:rsidR="006227FA" w:rsidRPr="006227FA" w:rsidRDefault="006227FA" w:rsidP="006227FA">
      <w:pPr>
        <w:pStyle w:val="BodyText"/>
      </w:pPr>
      <w:r w:rsidRPr="006227FA">
        <w:t>Through a cooperative agreement with the U.S. Bureau of Labor Statistics (BLS), LMI administers four core statistical BLS-funded programs, each with fixed federal deliverables and strict accuracy standards: </w:t>
      </w:r>
    </w:p>
    <w:p w14:paraId="05322A04" w14:textId="77777777" w:rsidR="006227FA" w:rsidRPr="006227FA" w:rsidRDefault="006227FA" w:rsidP="006227FA">
      <w:pPr>
        <w:pStyle w:val="BodyText"/>
      </w:pPr>
      <w:r w:rsidRPr="006227FA">
        <w:t xml:space="preserve">The </w:t>
      </w:r>
      <w:r w:rsidRPr="006227FA">
        <w:rPr>
          <w:b/>
          <w:bCs/>
        </w:rPr>
        <w:t xml:space="preserve">Quarterly Census of Employment and Wages (QCEW) </w:t>
      </w:r>
      <w:r w:rsidRPr="006227FA">
        <w:t>program produces a near census of all UI-covered and federal workers, providing detailed employment and wage data by industry and geography.  The data is categorized by industry using the North American Industry Classification System (NAICS) and covers over 95 percent of U.S. jobs, encompassing both private and public sectors.  This data supports other BLS programs and is widely used by state agencies for forecasting, planning, and policy. </w:t>
      </w:r>
    </w:p>
    <w:p w14:paraId="5A47E26D" w14:textId="77777777" w:rsidR="006227FA" w:rsidRPr="006227FA" w:rsidRDefault="006227FA" w:rsidP="006227FA">
      <w:pPr>
        <w:pStyle w:val="BodyText"/>
      </w:pPr>
      <w:r w:rsidRPr="006227FA">
        <w:lastRenderedPageBreak/>
        <w:t xml:space="preserve">The </w:t>
      </w:r>
      <w:r w:rsidRPr="006227FA">
        <w:rPr>
          <w:b/>
          <w:bCs/>
        </w:rPr>
        <w:t xml:space="preserve">Occupational Employment and Wage Statistics (OEWS) </w:t>
      </w:r>
      <w:r w:rsidRPr="006227FA">
        <w:t>program conducts a semiannual survey producing employment and wage estimates for over 800 occupations.  OEWS provides data by region and industry, based on a rotating three-year sample of 1.2 million establishments.   </w:t>
      </w:r>
    </w:p>
    <w:p w14:paraId="5EFE7CB3" w14:textId="30C038A2" w:rsidR="006227FA" w:rsidRPr="006227FA" w:rsidRDefault="006227FA" w:rsidP="006227FA">
      <w:pPr>
        <w:pStyle w:val="BodyText"/>
      </w:pPr>
      <w:r w:rsidRPr="006227FA">
        <w:t xml:space="preserve">The </w:t>
      </w:r>
      <w:r w:rsidRPr="006227FA">
        <w:rPr>
          <w:b/>
          <w:bCs/>
        </w:rPr>
        <w:t xml:space="preserve">Current Employment Statistics </w:t>
      </w:r>
      <w:r w:rsidRPr="006227FA">
        <w:t xml:space="preserve">program conducts a monthly payroll survey collecting employment, hours, and earnings data from approximately 144,000 businesses nationwide.  </w:t>
      </w:r>
      <w:r>
        <w:t>In Texas, C</w:t>
      </w:r>
      <w:r w:rsidR="3589BFEA">
        <w:t xml:space="preserve">urrent </w:t>
      </w:r>
      <w:r>
        <w:t>E</w:t>
      </w:r>
      <w:r w:rsidR="6BD4A231">
        <w:t xml:space="preserve">mployment </w:t>
      </w:r>
      <w:r>
        <w:t>S</w:t>
      </w:r>
      <w:r w:rsidR="0CE8E4CF">
        <w:t>tatistics</w:t>
      </w:r>
      <w:r w:rsidRPr="006227FA">
        <w:t xml:space="preserve"> produces monthly estimates for all 26 metropolitan statistical areas (MSAs) and both metropolitan divisions (MDs). </w:t>
      </w:r>
    </w:p>
    <w:p w14:paraId="58A02121" w14:textId="77777777" w:rsidR="006227FA" w:rsidRPr="006227FA" w:rsidRDefault="006227FA" w:rsidP="006227FA">
      <w:pPr>
        <w:pStyle w:val="BodyText"/>
      </w:pPr>
      <w:r w:rsidRPr="006227FA">
        <w:t xml:space="preserve">The </w:t>
      </w:r>
      <w:r w:rsidRPr="006227FA">
        <w:rPr>
          <w:b/>
          <w:bCs/>
        </w:rPr>
        <w:t xml:space="preserve">Local Area Unemployment Statistics (LAUS) </w:t>
      </w:r>
      <w:r w:rsidRPr="006227FA">
        <w:t>program provides monthly estimates of labor force, employment, unemployment, and unemployment rates for the U.S. Census Bureau regions and divisions, States, and substate areas.  Geographic coverage includes metropolitan statistical areas, micropolitan statistical areas, metropolitan divisions, combined statistical areas, counties, selected cities, and other areas including local workforce boards. </w:t>
      </w:r>
    </w:p>
    <w:p w14:paraId="020A3C9F" w14:textId="77777777" w:rsidR="006227FA" w:rsidRPr="006227FA" w:rsidRDefault="006227FA" w:rsidP="006227FA">
      <w:pPr>
        <w:pStyle w:val="BodyText"/>
      </w:pPr>
      <w:r w:rsidRPr="006227FA">
        <w:t>The LMI department also manages several key program areas funded by the U.S. Department of Labor’s Employment and Training Administration (ETA).  Together, these programs support workforce planning and economic development efforts across Texas by producing forward-looking employment forecasts, disseminating critical labor market data, and developing and maintaining public-facing tools that make this information accessible.   </w:t>
      </w:r>
    </w:p>
    <w:p w14:paraId="5146CAFD" w14:textId="77777777" w:rsidR="006227FA" w:rsidRPr="006227FA" w:rsidRDefault="006227FA" w:rsidP="006227FA">
      <w:pPr>
        <w:pStyle w:val="BodyText"/>
      </w:pPr>
      <w:r w:rsidRPr="006227FA">
        <w:t xml:space="preserve">The </w:t>
      </w:r>
      <w:r w:rsidRPr="006227FA">
        <w:rPr>
          <w:b/>
          <w:bCs/>
        </w:rPr>
        <w:t xml:space="preserve">Projections </w:t>
      </w:r>
      <w:r w:rsidRPr="006227FA">
        <w:t>program</w:t>
      </w:r>
      <w:r w:rsidRPr="006227FA">
        <w:rPr>
          <w:b/>
          <w:bCs/>
        </w:rPr>
        <w:t xml:space="preserve"> </w:t>
      </w:r>
      <w:r w:rsidRPr="006227FA">
        <w:t xml:space="preserve">generates </w:t>
      </w:r>
      <w:proofErr w:type="gramStart"/>
      <w:r w:rsidRPr="006227FA">
        <w:t>industry</w:t>
      </w:r>
      <w:proofErr w:type="gramEnd"/>
      <w:r w:rsidRPr="006227FA">
        <w:t xml:space="preserve"> and occupational employment forecasts every two years for a ten-year period, covering Texas and the 28 Workforce Development Areas (WDAs). This process relies on two key components: industry employment data and occupational employment within each industry, known as staffing patterns. </w:t>
      </w:r>
    </w:p>
    <w:p w14:paraId="4DE73812" w14:textId="77777777" w:rsidR="006227FA" w:rsidRPr="006227FA" w:rsidRDefault="006227FA" w:rsidP="006227FA">
      <w:pPr>
        <w:pStyle w:val="BodyText"/>
      </w:pPr>
      <w:r w:rsidRPr="006227FA">
        <w:t xml:space="preserve">The </w:t>
      </w:r>
      <w:r w:rsidRPr="006227FA">
        <w:rPr>
          <w:b/>
          <w:bCs/>
        </w:rPr>
        <w:t xml:space="preserve">Economic Analysis </w:t>
      </w:r>
      <w:r w:rsidRPr="006227FA">
        <w:t>unit disseminates key labor market data produced by the LMI Department, focusing on BLS programs such as LAUS, CES, QCEW, and OEWS. It also supports ETA-funded activities, including industry and occupational projections, and manages access to various LMI web tools. The unit handles data requests, responds to inquiries, and distributes updates to subscribers. Staff contribute to publications like the Texas Labor Market Review, participate in conferences, conduct training sessions, and deliver presentations on Texas and local economic conditions. </w:t>
      </w:r>
    </w:p>
    <w:p w14:paraId="65580FD0" w14:textId="77777777" w:rsidR="006227FA" w:rsidRPr="006227FA" w:rsidRDefault="006227FA" w:rsidP="006227FA">
      <w:pPr>
        <w:pStyle w:val="BodyText"/>
      </w:pPr>
      <w:r w:rsidRPr="006227FA">
        <w:t>The</w:t>
      </w:r>
      <w:r w:rsidRPr="006227FA">
        <w:rPr>
          <w:b/>
          <w:bCs/>
        </w:rPr>
        <w:t xml:space="preserve"> LMI Information Technology </w:t>
      </w:r>
      <w:r w:rsidRPr="006227FA">
        <w:t>program area creates and maintains LMI online applications and associated databases. The bulk of the LMI IT products are custom Web applications developed by LMI for public use and are hosted on TWC servers. The LMI department works closely the TWC Information Technology Division to maintain system platforms.  </w:t>
      </w:r>
    </w:p>
    <w:p w14:paraId="4D504813" w14:textId="77777777" w:rsidR="006227FA" w:rsidRPr="006227FA" w:rsidRDefault="006227FA" w:rsidP="006227FA">
      <w:pPr>
        <w:pStyle w:val="BodyText"/>
      </w:pPr>
      <w:r w:rsidRPr="006227FA">
        <w:t xml:space="preserve">Separately under the under the supervision of the Office of Foreign Labor Certification, LMI conducts the H2A Prevailing Wage and Practice Survey.  The agricultural survey services the H2A visa and job order program.  As directed by the U.S. Department of Labor, the </w:t>
      </w:r>
      <w:r w:rsidRPr="006227FA">
        <w:lastRenderedPageBreak/>
        <w:t>survey collects wage and labor practice data for specific crop activities to determine required employer standards.   </w:t>
      </w:r>
    </w:p>
    <w:p w14:paraId="7711AA54" w14:textId="77777777" w:rsidR="006227FA" w:rsidRPr="006227FA" w:rsidRDefault="006227FA" w:rsidP="006227FA">
      <w:pPr>
        <w:pStyle w:val="BodyText"/>
      </w:pPr>
      <w:r w:rsidRPr="006227FA">
        <w:t>LMI designs, develops, and maintains 13 dynamic web-based applications that support informed decision-making in education, careers, workforce development, and economic growth.  Serving a broad audience, from students to policymakers, these tools are a key channel for sharing vital labor market and career information statewide. </w:t>
      </w:r>
    </w:p>
    <w:p w14:paraId="1B916E2E" w14:textId="77777777" w:rsidR="006227FA" w:rsidRPr="006227FA" w:rsidRDefault="006227FA" w:rsidP="006227FA">
      <w:pPr>
        <w:pStyle w:val="BodyText"/>
      </w:pPr>
      <w:r w:rsidRPr="006227FA">
        <w:t>Major LMI applications include: </w:t>
      </w:r>
    </w:p>
    <w:p w14:paraId="353CAC29" w14:textId="56BB0BA3" w:rsidR="006227FA" w:rsidRPr="006227FA" w:rsidRDefault="006227FA" w:rsidP="006227FA">
      <w:pPr>
        <w:pStyle w:val="BodyText"/>
      </w:pPr>
      <w:hyperlink r:id="rId240" w:history="1">
        <w:r w:rsidRPr="006227FA">
          <w:rPr>
            <w:rStyle w:val="Hyperlink"/>
            <w:b/>
            <w:bCs/>
          </w:rPr>
          <w:t>LMI Portal Homepage</w:t>
        </w:r>
      </w:hyperlink>
    </w:p>
    <w:p w14:paraId="73A56560" w14:textId="77777777" w:rsidR="006227FA" w:rsidRPr="006227FA" w:rsidRDefault="006227FA" w:rsidP="006227FA">
      <w:pPr>
        <w:pStyle w:val="BodyText"/>
      </w:pPr>
      <w:r w:rsidRPr="006227FA">
        <w:t>The LMI homepage serves as a central hub, providing streamlined access to LMI’s 12 online applications, digital publications, and resource collections.  Visitors include students, parents, educators, career counselors, and workforce professionals. </w:t>
      </w:r>
    </w:p>
    <w:p w14:paraId="2B2F14D4" w14:textId="26B47E0C" w:rsidR="006227FA" w:rsidRPr="006227FA" w:rsidRDefault="006227FA" w:rsidP="006227FA">
      <w:pPr>
        <w:pStyle w:val="BodyText"/>
      </w:pPr>
      <w:r w:rsidRPr="006227FA">
        <w:rPr>
          <w:b/>
          <w:bCs/>
          <w:u w:val="single"/>
        </w:rPr>
        <w:t>Texas LMI</w:t>
      </w:r>
    </w:p>
    <w:p w14:paraId="483ED3B8" w14:textId="06A56614" w:rsidR="006227FA" w:rsidRPr="006227FA" w:rsidRDefault="006227FA" w:rsidP="006227FA">
      <w:pPr>
        <w:pStyle w:val="BodyText"/>
      </w:pPr>
      <w:hyperlink r:id="rId241" w:history="1">
        <w:r w:rsidRPr="006227FA">
          <w:rPr>
            <w:rStyle w:val="Hyperlink"/>
          </w:rPr>
          <w:t>Texas LMI</w:t>
        </w:r>
      </w:hyperlink>
      <w:r w:rsidRPr="006227FA">
        <w:t xml:space="preserve"> is an interactive website developed by </w:t>
      </w:r>
      <w:r w:rsidR="00475C6B">
        <w:t>TWC’s</w:t>
      </w:r>
      <w:r w:rsidRPr="006227FA">
        <w:t xml:space="preserve"> LMI Department to disseminate Texas labor market statistics.  The site features 11 economic data tools and an employer contact directory, supporting a wide range of workforce and economic planning needs.  Users will find a suite of easy-to-use labor market research tools that provides time series labor market data, inquiry capabilities for labor force, employment/unemployment estimates, industry and occupational projections, and occupational wage data.  Texas LMI also provides monthly publications of key economic data for the State, MSAs, and each WDA.  In addition, annual Industry reports are available.  </w:t>
      </w:r>
    </w:p>
    <w:p w14:paraId="2D4D175B" w14:textId="7F42735A" w:rsidR="006227FA" w:rsidRPr="006227FA" w:rsidRDefault="006227FA" w:rsidP="006227FA">
      <w:pPr>
        <w:pStyle w:val="BodyText"/>
      </w:pPr>
      <w:r w:rsidRPr="006227FA">
        <w:rPr>
          <w:b/>
          <w:bCs/>
          <w:u w:val="single"/>
        </w:rPr>
        <w:t>Texas Wages</w:t>
      </w:r>
    </w:p>
    <w:p w14:paraId="0185CBEA" w14:textId="422E20FC" w:rsidR="006227FA" w:rsidRPr="006227FA" w:rsidRDefault="006227FA" w:rsidP="006227FA">
      <w:pPr>
        <w:pStyle w:val="BodyText"/>
      </w:pPr>
      <w:hyperlink r:id="rId242" w:history="1">
        <w:r w:rsidRPr="006227FA">
          <w:rPr>
            <w:rStyle w:val="Hyperlink"/>
          </w:rPr>
          <w:t>Texas Wages</w:t>
        </w:r>
      </w:hyperlink>
      <w:r w:rsidRPr="006227FA">
        <w:t xml:space="preserve"> is an interactive LMI online application that provides the most recent wage information about the State and local areas in a user-friendly format.  It supports state Workforce Development Boards, businesses, educational institutions, other state agencies, and the public.   </w:t>
      </w:r>
    </w:p>
    <w:p w14:paraId="04EC78EC" w14:textId="7E70320D" w:rsidR="006227FA" w:rsidRPr="006227FA" w:rsidRDefault="006227FA" w:rsidP="006227FA">
      <w:pPr>
        <w:pStyle w:val="BodyText"/>
      </w:pPr>
      <w:r w:rsidRPr="006227FA">
        <w:rPr>
          <w:b/>
          <w:bCs/>
          <w:u w:val="single"/>
        </w:rPr>
        <w:t>Texas Labor Analysis</w:t>
      </w:r>
    </w:p>
    <w:p w14:paraId="7EE7AFF4" w14:textId="325F70EC" w:rsidR="006227FA" w:rsidRPr="006227FA" w:rsidRDefault="006227FA" w:rsidP="006227FA">
      <w:pPr>
        <w:pStyle w:val="BodyText"/>
      </w:pPr>
      <w:hyperlink r:id="rId243" w:history="1">
        <w:r w:rsidRPr="006227FA">
          <w:rPr>
            <w:rStyle w:val="Hyperlink"/>
          </w:rPr>
          <w:t>Texas Labor Analysis</w:t>
        </w:r>
      </w:hyperlink>
      <w:r w:rsidRPr="006227FA">
        <w:t xml:space="preserve"> (TLA) is an online suite of labor analysis tools designed to provide insight into Texas’ labor supply and demand.  TLA presents wage data, occupational projections, current labor supply, and Help Wanted Online job posting data.  The major features include Labor Supply Analysis, Labor Demand Analysis, Labor Gap Analysis, Regional Occupational Profiles, and Top Statistics Reports by workforce development area.  The system utilizes data provided by the Texas Higher Education Coordinating Board, online job postings and TWC.  </w:t>
      </w:r>
    </w:p>
    <w:p w14:paraId="19560E26" w14:textId="21509358" w:rsidR="006227FA" w:rsidRPr="006227FA" w:rsidRDefault="006227FA" w:rsidP="006227FA">
      <w:pPr>
        <w:pStyle w:val="BodyText"/>
      </w:pPr>
      <w:r w:rsidRPr="006227FA">
        <w:rPr>
          <w:b/>
          <w:bCs/>
          <w:u w:val="single"/>
        </w:rPr>
        <w:t>Monthly Help Wanted Online</w:t>
      </w:r>
    </w:p>
    <w:p w14:paraId="15698E9D" w14:textId="59E5ADC2" w:rsidR="006227FA" w:rsidRPr="006227FA" w:rsidRDefault="006227FA" w:rsidP="006227FA">
      <w:pPr>
        <w:pStyle w:val="BodyText"/>
      </w:pPr>
      <w:hyperlink r:id="rId244" w:history="1">
        <w:r w:rsidRPr="006227FA">
          <w:rPr>
            <w:rStyle w:val="Hyperlink"/>
          </w:rPr>
          <w:t>Monthly HWOL</w:t>
        </w:r>
      </w:hyperlink>
      <w:r w:rsidRPr="006227FA">
        <w:t>, provides real-time labor market information useful in tracking the extent and nature of employers’ demand for labor by occupation, industry, and geography; helping users find the latest industry and employment trends for jobs in the State of Texas.  Users may search for and generate reports by occupation, county, local workforce development area, map, and education service center region.</w:t>
      </w:r>
    </w:p>
    <w:p w14:paraId="0D90E977" w14:textId="386DDE11" w:rsidR="006227FA" w:rsidRPr="006227FA" w:rsidRDefault="006227FA" w:rsidP="006227FA">
      <w:pPr>
        <w:pStyle w:val="BodyText"/>
      </w:pPr>
      <w:r w:rsidRPr="006227FA">
        <w:rPr>
          <w:b/>
          <w:bCs/>
          <w:u w:val="single"/>
        </w:rPr>
        <w:t>Texas Skills to Work</w:t>
      </w:r>
    </w:p>
    <w:p w14:paraId="0B593833" w14:textId="6261DC38" w:rsidR="006227FA" w:rsidRPr="006227FA" w:rsidRDefault="006227FA" w:rsidP="006227FA">
      <w:pPr>
        <w:pStyle w:val="BodyText"/>
      </w:pPr>
      <w:hyperlink r:id="rId245" w:history="1">
        <w:r w:rsidRPr="006227FA">
          <w:rPr>
            <w:rStyle w:val="Hyperlink"/>
          </w:rPr>
          <w:t>Texas Skills to Work</w:t>
        </w:r>
      </w:hyperlink>
      <w:r w:rsidRPr="006227FA">
        <w:t xml:space="preserve"> is an online application that assists transitioning Service Members and Veterans in Texas use their military experience, training, and skills to find jobs in the civilian workforce.  By using Detailed Work Activities for résumé development and matching specific skills to job listings in the region and city that users select, Texas Skills to Work helps translate military experience, training, and formal education into language employers can understand.</w:t>
      </w:r>
    </w:p>
    <w:p w14:paraId="78CDB851" w14:textId="3B360EF4" w:rsidR="006227FA" w:rsidRPr="006227FA" w:rsidRDefault="006227FA" w:rsidP="006227FA">
      <w:pPr>
        <w:pStyle w:val="BodyText"/>
      </w:pPr>
      <w:r w:rsidRPr="006227FA">
        <w:rPr>
          <w:b/>
          <w:bCs/>
          <w:u w:val="single"/>
        </w:rPr>
        <w:t xml:space="preserve">Texas </w:t>
      </w:r>
      <w:proofErr w:type="spellStart"/>
      <w:r w:rsidRPr="006227FA">
        <w:rPr>
          <w:b/>
          <w:bCs/>
          <w:u w:val="single"/>
        </w:rPr>
        <w:t>AutoCoder</w:t>
      </w:r>
      <w:proofErr w:type="spellEnd"/>
    </w:p>
    <w:p w14:paraId="0724F9AF" w14:textId="16D20948" w:rsidR="006227FA" w:rsidRPr="006227FA" w:rsidRDefault="006227FA" w:rsidP="006227FA">
      <w:pPr>
        <w:pStyle w:val="BodyText"/>
      </w:pPr>
      <w:r w:rsidRPr="006227FA">
        <w:t>The O*NET-SOC</w:t>
      </w:r>
      <w:r w:rsidR="00C711F1">
        <w:t xml:space="preserve"> </w:t>
      </w:r>
      <w:hyperlink r:id="rId246" w:history="1">
        <w:r w:rsidR="00C711F1" w:rsidRPr="00AA6EED">
          <w:rPr>
            <w:rStyle w:val="Hyperlink"/>
          </w:rPr>
          <w:t>Texas</w:t>
        </w:r>
        <w:r w:rsidRPr="006227FA">
          <w:rPr>
            <w:rStyle w:val="Hyperlink"/>
          </w:rPr>
          <w:t xml:space="preserve"> </w:t>
        </w:r>
        <w:proofErr w:type="spellStart"/>
        <w:r w:rsidRPr="006227FA">
          <w:rPr>
            <w:rStyle w:val="Hyperlink"/>
          </w:rPr>
          <w:t>AutoCoder</w:t>
        </w:r>
        <w:proofErr w:type="spellEnd"/>
      </w:hyperlink>
      <w:r w:rsidRPr="006227FA">
        <w:t xml:space="preserve"> an online application that converts user-entered occupational descriptions into corresponding O*NET and Standard Occupational Classification (SOC) codes. Developed by R.M. Consulting, Inc., </w:t>
      </w:r>
      <w:r w:rsidR="00AA6EED">
        <w:t xml:space="preserve">TWC’s </w:t>
      </w:r>
      <w:r w:rsidRPr="006227FA">
        <w:t xml:space="preserve">LMI Department subscribes to and customizes this tool annually.  The Texas version includes direct links to related resources such as Texas Career Check, Texas Wages, </w:t>
      </w:r>
      <w:proofErr w:type="spellStart"/>
      <w:r w:rsidRPr="006227FA">
        <w:t>WorkInTexas</w:t>
      </w:r>
      <w:proofErr w:type="spellEnd"/>
      <w:r w:rsidRPr="006227FA">
        <w:t>, and Daily Help Wanted Online, providing users with occupation-specific information based on their search criteria. </w:t>
      </w:r>
    </w:p>
    <w:p w14:paraId="308B6499" w14:textId="7AC300A4" w:rsidR="006227FA" w:rsidRPr="006227FA" w:rsidRDefault="006227FA" w:rsidP="006227FA">
      <w:pPr>
        <w:pStyle w:val="BodyText"/>
      </w:pPr>
      <w:r w:rsidRPr="006227FA">
        <w:rPr>
          <w:b/>
          <w:bCs/>
          <w:u w:val="single"/>
        </w:rPr>
        <w:t>Texas Reality Check</w:t>
      </w:r>
    </w:p>
    <w:p w14:paraId="6E9F19FF" w14:textId="01FCF28D" w:rsidR="006227FA" w:rsidRPr="006227FA" w:rsidRDefault="006227FA" w:rsidP="006227FA">
      <w:pPr>
        <w:pStyle w:val="BodyText"/>
      </w:pPr>
      <w:hyperlink r:id="rId247" w:history="1">
        <w:r w:rsidRPr="006227FA">
          <w:rPr>
            <w:rStyle w:val="Hyperlink"/>
          </w:rPr>
          <w:t>Texas Reality Check</w:t>
        </w:r>
      </w:hyperlink>
      <w:r w:rsidRPr="006227FA">
        <w:t xml:space="preserve"> is an interactive tool that helps users understand the connection between lifestyle choices, budget planning, and career decisions.  By selecting desired living expenses, users receive a list of occupations in Texas that can support their chosen lifestyle, along with typical wages and education requirements.  It's widely used by students, educators, and career counselors for career exploration and financial literacy. </w:t>
      </w:r>
    </w:p>
    <w:p w14:paraId="68B5325C" w14:textId="53F86364" w:rsidR="006227FA" w:rsidRPr="006227FA" w:rsidRDefault="006227FA" w:rsidP="006227FA">
      <w:pPr>
        <w:pStyle w:val="BodyText"/>
      </w:pPr>
      <w:r w:rsidRPr="006227FA">
        <w:rPr>
          <w:b/>
          <w:bCs/>
          <w:u w:val="single"/>
        </w:rPr>
        <w:t>Texas Career Check</w:t>
      </w:r>
    </w:p>
    <w:p w14:paraId="0A59F4D4" w14:textId="54A1E487" w:rsidR="006227FA" w:rsidRPr="006227FA" w:rsidRDefault="006227FA" w:rsidP="006227FA">
      <w:pPr>
        <w:pStyle w:val="BodyText"/>
      </w:pPr>
      <w:hyperlink r:id="rId248" w:history="1">
        <w:r w:rsidRPr="006227FA">
          <w:rPr>
            <w:rStyle w:val="Hyperlink"/>
          </w:rPr>
          <w:t>Texas Career Check</w:t>
        </w:r>
      </w:hyperlink>
      <w:r w:rsidRPr="006227FA">
        <w:t xml:space="preserve"> is a comprehensive online career exploration resource for students, parents, counselors, and jobseekers.  It provides detailed information on hundreds of occupations, including wages, job outlook, and required education, as well as data on Texas colleges and training programs.  Users can explore careers, compare schools, and create personalized education and career plans.  There are over 450 occupational videos available as well as “Pop-a-Job”, a game where students learn about occupations in an entertaining way.   </w:t>
      </w:r>
    </w:p>
    <w:p w14:paraId="381210BA" w14:textId="03DB41BB" w:rsidR="006227FA" w:rsidRPr="006227FA" w:rsidRDefault="006227FA" w:rsidP="006227FA">
      <w:pPr>
        <w:pStyle w:val="BodyText"/>
      </w:pPr>
      <w:r w:rsidRPr="006227FA">
        <w:rPr>
          <w:b/>
          <w:bCs/>
          <w:u w:val="single"/>
        </w:rPr>
        <w:t>State Training Inventory</w:t>
      </w:r>
    </w:p>
    <w:p w14:paraId="281893C0" w14:textId="29DF2D01" w:rsidR="006227FA" w:rsidRPr="006227FA" w:rsidRDefault="006227FA" w:rsidP="006227FA">
      <w:pPr>
        <w:pStyle w:val="BodyText"/>
      </w:pPr>
      <w:r w:rsidRPr="006227FA">
        <w:lastRenderedPageBreak/>
        <w:t xml:space="preserve">The </w:t>
      </w:r>
      <w:hyperlink r:id="rId249" w:history="1">
        <w:r w:rsidRPr="006227FA">
          <w:rPr>
            <w:rStyle w:val="Hyperlink"/>
          </w:rPr>
          <w:t>State Training Inventory</w:t>
        </w:r>
      </w:hyperlink>
      <w:r w:rsidRPr="006227FA">
        <w:t xml:space="preserve"> (STI) is an online application designed to assist employers, workforce planners, students, and the public with information that might be helpful in locating education and workforce training programs, see the connection between education and occupations, and estimate the formal supply of skilled workers.  STI is a compilation of Texas education and workforce training providers, their programs, contact information, labor market information, enrollment, and graduation data (where available).</w:t>
      </w:r>
    </w:p>
    <w:p w14:paraId="51E900F8" w14:textId="5C8948CD" w:rsidR="006227FA" w:rsidRPr="006227FA" w:rsidRDefault="006227FA" w:rsidP="006227FA">
      <w:pPr>
        <w:pStyle w:val="BodyText"/>
      </w:pPr>
      <w:r w:rsidRPr="006227FA">
        <w:rPr>
          <w:b/>
          <w:bCs/>
          <w:u w:val="single"/>
        </w:rPr>
        <w:t>Texas CREWS</w:t>
      </w:r>
    </w:p>
    <w:p w14:paraId="72D70A39" w14:textId="2CCB1ADE" w:rsidR="006227FA" w:rsidRPr="006227FA" w:rsidRDefault="006227FA" w:rsidP="006227FA">
      <w:pPr>
        <w:pStyle w:val="BodyText"/>
      </w:pPr>
      <w:r w:rsidRPr="006227FA">
        <w:t>The Texas Consumer Resource for Education and Workforce Statistics (</w:t>
      </w:r>
      <w:hyperlink r:id="rId250" w:history="1">
        <w:r w:rsidRPr="006227FA">
          <w:rPr>
            <w:rStyle w:val="Hyperlink"/>
          </w:rPr>
          <w:t>Texas CREWS</w:t>
        </w:r>
      </w:hyperlink>
      <w:r w:rsidRPr="006227FA">
        <w:t>) is an online interactive dashboard providing comparative information about Texas public 2-year and 4-year postsecondary institutions.  Hosted by TWC, the application evaluates programs and institutions on resulting wages and student loan levels, allowing parents and students to make informed decisions about college and get the best return on their educational investment. </w:t>
      </w:r>
    </w:p>
    <w:p w14:paraId="3EB02EA2" w14:textId="6BF4B803" w:rsidR="006227FA" w:rsidRPr="006227FA" w:rsidRDefault="006227FA" w:rsidP="006227FA">
      <w:pPr>
        <w:pStyle w:val="BodyText"/>
      </w:pPr>
      <w:r w:rsidRPr="006227FA">
        <w:rPr>
          <w:b/>
          <w:bCs/>
          <w:u w:val="single"/>
        </w:rPr>
        <w:t>TWC UI Claimant Dashboard</w:t>
      </w:r>
    </w:p>
    <w:p w14:paraId="07F9D57F" w14:textId="4DC2D411" w:rsidR="006227FA" w:rsidRPr="006227FA" w:rsidRDefault="006227FA" w:rsidP="006227FA">
      <w:pPr>
        <w:pStyle w:val="BodyText"/>
      </w:pPr>
      <w:r w:rsidRPr="006227FA">
        <w:t>In response to the Coronavirus pandemic and its effects on the workforce, LMI developed an interactive online mapping application</w:t>
      </w:r>
      <w:r w:rsidR="001C672D">
        <w:t xml:space="preserve">, </w:t>
      </w:r>
      <w:hyperlink r:id="rId251" w:history="1">
        <w:r w:rsidR="001C672D" w:rsidRPr="001C672D">
          <w:rPr>
            <w:rStyle w:val="Hyperlink"/>
          </w:rPr>
          <w:t>Unemployment Claims by Numbers</w:t>
        </w:r>
      </w:hyperlink>
      <w:r w:rsidR="001C672D">
        <w:t>,</w:t>
      </w:r>
      <w:r w:rsidRPr="006227FA">
        <w:t xml:space="preserve"> that displays unemployment insurance (UI) claim data by workforce development area, county, zip code, Texas House and Senate districts, and U.S. Congressional districts. </w:t>
      </w:r>
    </w:p>
    <w:p w14:paraId="1680180B" w14:textId="575C21FA" w:rsidR="006227FA" w:rsidRPr="006227FA" w:rsidRDefault="006227FA" w:rsidP="006227FA">
      <w:pPr>
        <w:pStyle w:val="BodyText"/>
      </w:pPr>
      <w:r w:rsidRPr="006227FA">
        <w:rPr>
          <w:b/>
          <w:bCs/>
          <w:u w:val="single"/>
        </w:rPr>
        <w:t>Career and Technical Education Downloads</w:t>
      </w:r>
    </w:p>
    <w:p w14:paraId="4B272C98" w14:textId="146EDD00" w:rsidR="006227FA" w:rsidRPr="006227FA" w:rsidRDefault="006227FA" w:rsidP="006227FA">
      <w:pPr>
        <w:pStyle w:val="BodyText"/>
      </w:pPr>
      <w:r w:rsidRPr="006227FA">
        <w:t xml:space="preserve">The </w:t>
      </w:r>
      <w:hyperlink r:id="rId252" w:history="1">
        <w:r w:rsidRPr="006227FA">
          <w:rPr>
            <w:rStyle w:val="Hyperlink"/>
          </w:rPr>
          <w:t>Career and Technical Education downloads</w:t>
        </w:r>
      </w:hyperlink>
      <w:r w:rsidRPr="006227FA">
        <w:t xml:space="preserve"> application provides lists of in-demand occupations that are aligned with Texas Career Clusters and Statewide CTE Programs of Study information.  This data is available by Workforce Development Area and contains relevant labor market information to help understand which jobs are most likely to be available and well-compensated.   </w:t>
      </w:r>
    </w:p>
    <w:p w14:paraId="38E6B1D0" w14:textId="77777777" w:rsidR="006227FA" w:rsidRPr="00C12889" w:rsidRDefault="006227FA" w:rsidP="000C794D">
      <w:pPr>
        <w:pStyle w:val="BodyText3"/>
        <w:ind w:left="720" w:hanging="720"/>
      </w:pPr>
      <w:r w:rsidRPr="00C12889">
        <w:t>C.</w:t>
      </w:r>
      <w:r w:rsidRPr="00C12889">
        <w:tab/>
        <w:t xml:space="preserve">What information does the agency collect/use to assess the effectiveness and efficiency of this division or program? If applicable, briefly note any LBB performance measures (from Section II, </w:t>
      </w:r>
      <w:proofErr w:type="gramStart"/>
      <w:r w:rsidRPr="00C12889">
        <w:t>Exhibit</w:t>
      </w:r>
      <w:proofErr w:type="gramEnd"/>
      <w:r w:rsidRPr="00C12889">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103B845E" w14:textId="77777777" w:rsidR="006227FA" w:rsidRPr="006227FA" w:rsidRDefault="006227FA" w:rsidP="006227FA">
      <w:pPr>
        <w:pStyle w:val="BodyText"/>
      </w:pPr>
      <w:r w:rsidRPr="006227FA">
        <w:t>The LMI Department is funded by two primary federal sources: the Bureau of Labor Statistics (BLS) and the Employment and Training Administration (ETA).  Each has distinct deliverables and performance measures, allowing LMI to provide both high-precision data and responsive workforce development support. </w:t>
      </w:r>
    </w:p>
    <w:p w14:paraId="5651CD0F" w14:textId="77777777" w:rsidR="006227FA" w:rsidRPr="006227FA" w:rsidRDefault="006227FA" w:rsidP="006227FA">
      <w:pPr>
        <w:pStyle w:val="BodyText"/>
      </w:pPr>
      <w:r w:rsidRPr="006227FA">
        <w:t xml:space="preserve">Under a federal cooperative agreement, LMI administers QCEW, OEWS, CES, and LAUS, with strict monthly, quarterly, and annual deadlines.  Performance is measured by data </w:t>
      </w:r>
      <w:r w:rsidRPr="006227FA">
        <w:lastRenderedPageBreak/>
        <w:t>accuracy, timeliness, and completeness, ensuring Texas contributes high-quality data to national datasets, ensuring consistency and comparability across the states. </w:t>
      </w:r>
    </w:p>
    <w:p w14:paraId="1B349A29" w14:textId="77777777" w:rsidR="006227FA" w:rsidRPr="006227FA" w:rsidRDefault="006227FA" w:rsidP="006227FA">
      <w:pPr>
        <w:pStyle w:val="BodyText"/>
      </w:pPr>
      <w:r w:rsidRPr="006227FA">
        <w:t>ETA funds the development, management, and delivery of workforce and labor market information through the Workforce and Labor Market Information Grants to States (WIGS).  Under this grant LMI is required to:   </w:t>
      </w:r>
    </w:p>
    <w:p w14:paraId="4C0AC4FA" w14:textId="77777777" w:rsidR="006227FA" w:rsidRPr="006227FA" w:rsidRDefault="006227FA" w:rsidP="00C64851">
      <w:pPr>
        <w:pStyle w:val="BodyText"/>
        <w:numPr>
          <w:ilvl w:val="0"/>
          <w:numId w:val="301"/>
        </w:numPr>
      </w:pPr>
      <w:r w:rsidRPr="006227FA">
        <w:t>Maintain the Workforce Information Database (WID) </w:t>
      </w:r>
    </w:p>
    <w:p w14:paraId="5433797E" w14:textId="77777777" w:rsidR="006227FA" w:rsidRPr="006227FA" w:rsidRDefault="006227FA" w:rsidP="00C64851">
      <w:pPr>
        <w:pStyle w:val="BodyText"/>
        <w:numPr>
          <w:ilvl w:val="0"/>
          <w:numId w:val="302"/>
        </w:numPr>
      </w:pPr>
      <w:r w:rsidRPr="006227FA">
        <w:t>Produce state and local industry and occupational projections </w:t>
      </w:r>
    </w:p>
    <w:p w14:paraId="55C8CC56" w14:textId="77777777" w:rsidR="006227FA" w:rsidRPr="006227FA" w:rsidRDefault="006227FA" w:rsidP="00C64851">
      <w:pPr>
        <w:pStyle w:val="BodyText"/>
        <w:numPr>
          <w:ilvl w:val="0"/>
          <w:numId w:val="303"/>
        </w:numPr>
      </w:pPr>
      <w:r w:rsidRPr="006227FA">
        <w:t>Provide LMI training and employee development for workforce service providers </w:t>
      </w:r>
    </w:p>
    <w:p w14:paraId="1353D8DC" w14:textId="77777777" w:rsidR="006227FA" w:rsidRPr="006227FA" w:rsidRDefault="006227FA" w:rsidP="00C64851">
      <w:pPr>
        <w:pStyle w:val="BodyText"/>
        <w:numPr>
          <w:ilvl w:val="0"/>
          <w:numId w:val="304"/>
        </w:numPr>
      </w:pPr>
      <w:r w:rsidRPr="006227FA">
        <w:t>Conduct labor market analysis and produce tailored economic reports  </w:t>
      </w:r>
    </w:p>
    <w:p w14:paraId="7EC641B0" w14:textId="77777777" w:rsidR="006227FA" w:rsidRPr="006227FA" w:rsidRDefault="006227FA" w:rsidP="006227FA">
      <w:pPr>
        <w:pStyle w:val="BodyText"/>
      </w:pPr>
      <w:r w:rsidRPr="006227FA">
        <w:t>Program effectiveness is evaluated based on both deliverable completion and the value LMI provides to workforce boards, policymakers, educators, and economic developers.  </w:t>
      </w:r>
    </w:p>
    <w:p w14:paraId="16D2F068" w14:textId="77777777" w:rsidR="006227FA" w:rsidRPr="006227FA" w:rsidRDefault="006227FA" w:rsidP="006227FA">
      <w:pPr>
        <w:pStyle w:val="BodyText"/>
      </w:pPr>
      <w:r w:rsidRPr="006227FA">
        <w:t>Effectiveness is measured through: </w:t>
      </w:r>
    </w:p>
    <w:p w14:paraId="355D75D0" w14:textId="77777777" w:rsidR="006227FA" w:rsidRPr="006227FA" w:rsidRDefault="006227FA" w:rsidP="00C64851">
      <w:pPr>
        <w:pStyle w:val="BodyText"/>
        <w:numPr>
          <w:ilvl w:val="0"/>
          <w:numId w:val="305"/>
        </w:numPr>
      </w:pPr>
      <w:r w:rsidRPr="006227FA">
        <w:t>Direct customer engagement and presentations  </w:t>
      </w:r>
    </w:p>
    <w:p w14:paraId="5D7D7099" w14:textId="77777777" w:rsidR="006227FA" w:rsidRPr="006227FA" w:rsidRDefault="006227FA" w:rsidP="00C64851">
      <w:pPr>
        <w:pStyle w:val="BodyText"/>
        <w:numPr>
          <w:ilvl w:val="0"/>
          <w:numId w:val="306"/>
        </w:numPr>
      </w:pPr>
      <w:r w:rsidRPr="006227FA">
        <w:t>Data dissemination and technical training </w:t>
      </w:r>
    </w:p>
    <w:p w14:paraId="305574BA" w14:textId="77777777" w:rsidR="006227FA" w:rsidRPr="006227FA" w:rsidRDefault="006227FA" w:rsidP="00C64851">
      <w:pPr>
        <w:pStyle w:val="BodyText"/>
        <w:numPr>
          <w:ilvl w:val="0"/>
          <w:numId w:val="307"/>
        </w:numPr>
      </w:pPr>
      <w:r w:rsidRPr="006227FA">
        <w:t>Strategic partnerships and collaborative initiatives </w:t>
      </w:r>
    </w:p>
    <w:p w14:paraId="596BC090" w14:textId="77777777" w:rsidR="006227FA" w:rsidRPr="006227FA" w:rsidRDefault="006227FA" w:rsidP="00C64851">
      <w:pPr>
        <w:pStyle w:val="BodyText"/>
        <w:numPr>
          <w:ilvl w:val="0"/>
          <w:numId w:val="308"/>
        </w:numPr>
      </w:pPr>
      <w:r w:rsidRPr="006227FA">
        <w:t>Online platform engagement and user analytics </w:t>
      </w:r>
    </w:p>
    <w:p w14:paraId="146DA96A" w14:textId="3283571C" w:rsidR="006227FA" w:rsidRPr="006227FA" w:rsidRDefault="006227FA" w:rsidP="006227FA">
      <w:pPr>
        <w:pStyle w:val="BodyText"/>
      </w:pPr>
      <w:r w:rsidRPr="006227FA">
        <w:t>In P</w:t>
      </w:r>
      <w:r w:rsidR="00105AF0">
        <w:t xml:space="preserve">rogram </w:t>
      </w:r>
      <w:r w:rsidRPr="006227FA">
        <w:t>Y</w:t>
      </w:r>
      <w:r w:rsidR="00105AF0">
        <w:t>ear (PY)</w:t>
      </w:r>
      <w:r w:rsidRPr="006227FA">
        <w:t xml:space="preserve"> 2023, the Economic Analysis unit hosted 59 dissemination and outreach events, reaching over 6,100 participants, with over 1,300 direct engagements, including labor market trainings and economic briefings.</w:t>
      </w:r>
    </w:p>
    <w:p w14:paraId="4E08F896" w14:textId="61896B79" w:rsidR="006227FA" w:rsidRPr="006227FA" w:rsidRDefault="006227FA" w:rsidP="006227FA">
      <w:pPr>
        <w:pStyle w:val="BodyText"/>
      </w:pPr>
      <w:r w:rsidRPr="006227FA">
        <w:t xml:space="preserve">LMI maintains strong partnerships with </w:t>
      </w:r>
      <w:r w:rsidR="00D7549E">
        <w:t>TEA</w:t>
      </w:r>
      <w:r w:rsidRPr="006227FA">
        <w:t xml:space="preserve">, </w:t>
      </w:r>
      <w:r w:rsidR="00D7549E">
        <w:t>THECB</w:t>
      </w:r>
      <w:r w:rsidRPr="006227FA">
        <w:t>, Bureau of Labor Statistics, University of Texas at Austin, Texas Comptroller, and the U.S. Census Bureau, supporting joint data initiatives, reducing duplication, and aligning efforts across agencies.  Internally, LMI assists TWC divisions, reviews workforce board plans, and supports statewide efforts like the Texas Talent and Economic Growth initiative. </w:t>
      </w:r>
    </w:p>
    <w:p w14:paraId="49356B5B" w14:textId="77777777" w:rsidR="006227FA" w:rsidRPr="006227FA" w:rsidRDefault="006227FA" w:rsidP="006227FA">
      <w:pPr>
        <w:pStyle w:val="BodyText"/>
      </w:pPr>
      <w:r w:rsidRPr="006227FA">
        <w:t>LMI currently offers 13 web-based applications that are continuously monitored for user activity, with performance metrics including user sessions, page views, and downloads.  These analytics inform system improvements, guide future product development, and help identify evolving user demands. </w:t>
      </w:r>
    </w:p>
    <w:p w14:paraId="21646C3C" w14:textId="7F9E35AB" w:rsidR="006227FA" w:rsidRPr="006227FA" w:rsidRDefault="006227FA" w:rsidP="006227FA">
      <w:pPr>
        <w:pStyle w:val="BodyText"/>
      </w:pPr>
      <w:r w:rsidRPr="006227FA">
        <w:t>During P</w:t>
      </w:r>
      <w:r w:rsidR="00105AF0">
        <w:t>Y</w:t>
      </w:r>
      <w:r w:rsidRPr="006227FA">
        <w:t xml:space="preserve"> 2023, LMI recorded over 1.6 million total web sessions and more than 19.4 million pageviews across its applications.  Notably, Texas Reality Check accounted for approximately 57.8 percent of all user sessions and 88.5 percent of total pageviews, </w:t>
      </w:r>
      <w:r w:rsidRPr="006227FA">
        <w:lastRenderedPageBreak/>
        <w:t>confirming its continued popularity as a top resource for students exploring career paths and lifestyle planning. </w:t>
      </w:r>
    </w:p>
    <w:p w14:paraId="2498FC09" w14:textId="4A54C0B6" w:rsidR="006227FA" w:rsidRPr="006227FA" w:rsidRDefault="006227FA" w:rsidP="006227FA">
      <w:pPr>
        <w:pStyle w:val="BodyText"/>
      </w:pPr>
      <w:r w:rsidRPr="006227FA">
        <w:t xml:space="preserve">Web use data for LMI applications for PY2023 </w:t>
      </w:r>
      <w:r w:rsidR="004411F8">
        <w:t>is</w:t>
      </w:r>
      <w:r w:rsidRPr="006227FA">
        <w:t xml:space="preserve"> provided below:</w:t>
      </w:r>
      <w:r w:rsidR="001F7018">
        <w:t xml:space="preserve"> Program year is July 1, </w:t>
      </w:r>
      <w:proofErr w:type="gramStart"/>
      <w:r w:rsidR="001F7018">
        <w:t>2023</w:t>
      </w:r>
      <w:proofErr w:type="gramEnd"/>
      <w:r w:rsidR="001F7018">
        <w:t xml:space="preserve"> to June 30, 2024.</w:t>
      </w:r>
    </w:p>
    <w:tbl>
      <w:tblPr>
        <w:tblStyle w:val="TableGrid1"/>
        <w:tblW w:w="8365" w:type="dxa"/>
        <w:tblCellMar>
          <w:top w:w="58" w:type="dxa"/>
          <w:bottom w:w="58" w:type="dxa"/>
        </w:tblCellMar>
        <w:tblLook w:val="04A0" w:firstRow="1" w:lastRow="0" w:firstColumn="1" w:lastColumn="0" w:noHBand="0" w:noVBand="1"/>
      </w:tblPr>
      <w:tblGrid>
        <w:gridCol w:w="2159"/>
        <w:gridCol w:w="1886"/>
        <w:gridCol w:w="2160"/>
        <w:gridCol w:w="2160"/>
      </w:tblGrid>
      <w:tr w:rsidR="006227FA" w:rsidRPr="00EB7B92" w14:paraId="3A7D034C" w14:textId="77777777" w:rsidTr="00AF24C6">
        <w:trPr>
          <w:trHeight w:val="390"/>
        </w:trPr>
        <w:tc>
          <w:tcPr>
            <w:tcW w:w="8365" w:type="dxa"/>
            <w:gridSpan w:val="4"/>
            <w:shd w:val="clear" w:color="auto" w:fill="B8CCE4" w:themeFill="accent1" w:themeFillTint="66"/>
            <w:vAlign w:val="center"/>
            <w:hideMark/>
          </w:tcPr>
          <w:p w14:paraId="1C09AEA0" w14:textId="1A94BAC4" w:rsidR="006227FA" w:rsidRPr="00EB7B92" w:rsidRDefault="006227FA" w:rsidP="00F777A2">
            <w:pPr>
              <w:pStyle w:val="TableText"/>
              <w:jc w:val="center"/>
              <w:divId w:val="1524175688"/>
              <w:rPr>
                <w:b/>
                <w:bCs/>
              </w:rPr>
            </w:pPr>
            <w:r w:rsidRPr="00EB7B92">
              <w:rPr>
                <w:b/>
                <w:bCs/>
              </w:rPr>
              <w:t>LMI Website/Application Metrics</w:t>
            </w:r>
          </w:p>
        </w:tc>
      </w:tr>
      <w:tr w:rsidR="00F777A2" w:rsidRPr="00EB7B92" w14:paraId="319E69B7" w14:textId="77777777" w:rsidTr="00AF24C6">
        <w:trPr>
          <w:trHeight w:val="315"/>
        </w:trPr>
        <w:tc>
          <w:tcPr>
            <w:tcW w:w="2159" w:type="dxa"/>
            <w:shd w:val="clear" w:color="auto" w:fill="auto"/>
            <w:vAlign w:val="center"/>
            <w:hideMark/>
          </w:tcPr>
          <w:p w14:paraId="4F748361" w14:textId="65F5468E" w:rsidR="006227FA" w:rsidRPr="00EB7B92" w:rsidRDefault="006227FA" w:rsidP="00EB7B92">
            <w:pPr>
              <w:pStyle w:val="TableHeaders"/>
            </w:pPr>
            <w:r w:rsidRPr="00EB7B92">
              <w:t>Application</w:t>
            </w:r>
          </w:p>
        </w:tc>
        <w:tc>
          <w:tcPr>
            <w:tcW w:w="1886" w:type="dxa"/>
            <w:shd w:val="clear" w:color="auto" w:fill="auto"/>
            <w:vAlign w:val="center"/>
            <w:hideMark/>
          </w:tcPr>
          <w:p w14:paraId="43E0F296" w14:textId="0DA099FE" w:rsidR="006227FA" w:rsidRPr="00EB7B92" w:rsidRDefault="006227FA" w:rsidP="00EB7B92">
            <w:pPr>
              <w:pStyle w:val="TableHeaders"/>
            </w:pPr>
            <w:r w:rsidRPr="00EB7B92">
              <w:t>Users</w:t>
            </w:r>
          </w:p>
        </w:tc>
        <w:tc>
          <w:tcPr>
            <w:tcW w:w="2160" w:type="dxa"/>
            <w:shd w:val="clear" w:color="auto" w:fill="auto"/>
            <w:vAlign w:val="center"/>
            <w:hideMark/>
          </w:tcPr>
          <w:p w14:paraId="27C72FDF" w14:textId="65406808" w:rsidR="006227FA" w:rsidRPr="00EB7B92" w:rsidRDefault="006227FA" w:rsidP="00EB7B92">
            <w:pPr>
              <w:pStyle w:val="TableHeaders"/>
            </w:pPr>
            <w:r w:rsidRPr="00EB7B92">
              <w:t>Sessions</w:t>
            </w:r>
          </w:p>
        </w:tc>
        <w:tc>
          <w:tcPr>
            <w:tcW w:w="2160" w:type="dxa"/>
            <w:shd w:val="clear" w:color="auto" w:fill="auto"/>
            <w:vAlign w:val="center"/>
            <w:hideMark/>
          </w:tcPr>
          <w:p w14:paraId="1F844D83" w14:textId="1628BD20" w:rsidR="006227FA" w:rsidRPr="00EB7B92" w:rsidRDefault="006227FA" w:rsidP="00EB7B92">
            <w:pPr>
              <w:pStyle w:val="TableHeaders"/>
            </w:pPr>
            <w:r w:rsidRPr="00EB7B92">
              <w:t>Page</w:t>
            </w:r>
            <w:r w:rsidR="00AF24C6">
              <w:t xml:space="preserve"> V</w:t>
            </w:r>
            <w:r w:rsidRPr="00EB7B92">
              <w:t>iews</w:t>
            </w:r>
          </w:p>
        </w:tc>
      </w:tr>
      <w:tr w:rsidR="006227FA" w:rsidRPr="006227FA" w14:paraId="4A332738" w14:textId="77777777" w:rsidTr="00AF24C6">
        <w:trPr>
          <w:trHeight w:val="300"/>
        </w:trPr>
        <w:tc>
          <w:tcPr>
            <w:tcW w:w="2159" w:type="dxa"/>
            <w:vAlign w:val="center"/>
            <w:hideMark/>
          </w:tcPr>
          <w:p w14:paraId="254A6421" w14:textId="061D36C7" w:rsidR="006227FA" w:rsidRPr="006227FA" w:rsidRDefault="006227FA" w:rsidP="00EB7B92">
            <w:pPr>
              <w:pStyle w:val="TableText"/>
              <w:jc w:val="center"/>
            </w:pPr>
            <w:r w:rsidRPr="006227FA">
              <w:t>Reality Check</w:t>
            </w:r>
          </w:p>
        </w:tc>
        <w:tc>
          <w:tcPr>
            <w:tcW w:w="1886" w:type="dxa"/>
            <w:vAlign w:val="center"/>
            <w:hideMark/>
          </w:tcPr>
          <w:p w14:paraId="31F006E1" w14:textId="72F119AC" w:rsidR="006227FA" w:rsidRPr="006227FA" w:rsidRDefault="006227FA" w:rsidP="00030B67">
            <w:pPr>
              <w:pStyle w:val="TableText"/>
              <w:jc w:val="right"/>
            </w:pPr>
            <w:r w:rsidRPr="006227FA">
              <w:t>562,765</w:t>
            </w:r>
          </w:p>
        </w:tc>
        <w:tc>
          <w:tcPr>
            <w:tcW w:w="2160" w:type="dxa"/>
            <w:vAlign w:val="center"/>
            <w:hideMark/>
          </w:tcPr>
          <w:p w14:paraId="6044A4C0" w14:textId="1EDBA6B1" w:rsidR="006227FA" w:rsidRPr="006227FA" w:rsidRDefault="006227FA" w:rsidP="00030B67">
            <w:pPr>
              <w:pStyle w:val="TableText"/>
              <w:jc w:val="right"/>
            </w:pPr>
            <w:r w:rsidRPr="006227FA">
              <w:t>942,396</w:t>
            </w:r>
          </w:p>
        </w:tc>
        <w:tc>
          <w:tcPr>
            <w:tcW w:w="2160" w:type="dxa"/>
            <w:vAlign w:val="center"/>
            <w:hideMark/>
          </w:tcPr>
          <w:p w14:paraId="447150BC" w14:textId="77709F10" w:rsidR="006227FA" w:rsidRPr="006227FA" w:rsidRDefault="006227FA" w:rsidP="00030B67">
            <w:pPr>
              <w:pStyle w:val="TableText"/>
              <w:jc w:val="right"/>
            </w:pPr>
            <w:r w:rsidRPr="006227FA">
              <w:t>17,235,894</w:t>
            </w:r>
          </w:p>
        </w:tc>
      </w:tr>
      <w:tr w:rsidR="00AF24C6" w:rsidRPr="006227FA" w14:paraId="7CC6BE12" w14:textId="77777777" w:rsidTr="00AF24C6">
        <w:trPr>
          <w:trHeight w:val="300"/>
        </w:trPr>
        <w:tc>
          <w:tcPr>
            <w:tcW w:w="2159" w:type="dxa"/>
            <w:vAlign w:val="center"/>
            <w:hideMark/>
          </w:tcPr>
          <w:p w14:paraId="277470E7" w14:textId="0DFBB2AD" w:rsidR="006227FA" w:rsidRPr="006227FA" w:rsidRDefault="006227FA" w:rsidP="00EB7B92">
            <w:pPr>
              <w:pStyle w:val="TableText"/>
              <w:jc w:val="center"/>
            </w:pPr>
            <w:r w:rsidRPr="006227FA">
              <w:t>Texas Career Check</w:t>
            </w:r>
          </w:p>
        </w:tc>
        <w:tc>
          <w:tcPr>
            <w:tcW w:w="1886" w:type="dxa"/>
            <w:vAlign w:val="center"/>
            <w:hideMark/>
          </w:tcPr>
          <w:p w14:paraId="391C146D" w14:textId="204A7568" w:rsidR="006227FA" w:rsidRPr="006227FA" w:rsidRDefault="006227FA" w:rsidP="00030B67">
            <w:pPr>
              <w:pStyle w:val="TableText"/>
              <w:jc w:val="right"/>
            </w:pPr>
            <w:r w:rsidRPr="006227FA">
              <w:t>261,157</w:t>
            </w:r>
          </w:p>
        </w:tc>
        <w:tc>
          <w:tcPr>
            <w:tcW w:w="2160" w:type="dxa"/>
            <w:vAlign w:val="center"/>
            <w:hideMark/>
          </w:tcPr>
          <w:p w14:paraId="05487085" w14:textId="48DB6BAD" w:rsidR="006227FA" w:rsidRPr="006227FA" w:rsidRDefault="006227FA" w:rsidP="00030B67">
            <w:pPr>
              <w:pStyle w:val="TableText"/>
              <w:jc w:val="right"/>
            </w:pPr>
            <w:r w:rsidRPr="006227FA">
              <w:t>445,438</w:t>
            </w:r>
          </w:p>
        </w:tc>
        <w:tc>
          <w:tcPr>
            <w:tcW w:w="2160" w:type="dxa"/>
            <w:vAlign w:val="center"/>
            <w:hideMark/>
          </w:tcPr>
          <w:p w14:paraId="47114667" w14:textId="439343D4" w:rsidR="006227FA" w:rsidRPr="006227FA" w:rsidRDefault="006227FA" w:rsidP="00030B67">
            <w:pPr>
              <w:pStyle w:val="TableText"/>
              <w:jc w:val="right"/>
            </w:pPr>
            <w:r w:rsidRPr="006227FA">
              <w:t>1,435,265</w:t>
            </w:r>
          </w:p>
        </w:tc>
      </w:tr>
      <w:tr w:rsidR="006227FA" w:rsidRPr="006227FA" w14:paraId="4EB097AF" w14:textId="77777777" w:rsidTr="00AF24C6">
        <w:trPr>
          <w:trHeight w:val="300"/>
        </w:trPr>
        <w:tc>
          <w:tcPr>
            <w:tcW w:w="2159" w:type="dxa"/>
            <w:vAlign w:val="center"/>
            <w:hideMark/>
          </w:tcPr>
          <w:p w14:paraId="6F76C4E1" w14:textId="039E060B" w:rsidR="006227FA" w:rsidRPr="006227FA" w:rsidRDefault="006227FA" w:rsidP="00EB7B92">
            <w:pPr>
              <w:pStyle w:val="TableText"/>
              <w:jc w:val="center"/>
            </w:pPr>
            <w:r w:rsidRPr="006227FA">
              <w:t>Texas Skills</w:t>
            </w:r>
          </w:p>
        </w:tc>
        <w:tc>
          <w:tcPr>
            <w:tcW w:w="1886" w:type="dxa"/>
            <w:vAlign w:val="center"/>
            <w:hideMark/>
          </w:tcPr>
          <w:p w14:paraId="3A6BCDD2" w14:textId="0C2B9D36" w:rsidR="006227FA" w:rsidRPr="006227FA" w:rsidRDefault="006227FA" w:rsidP="00030B67">
            <w:pPr>
              <w:pStyle w:val="TableText"/>
              <w:jc w:val="right"/>
            </w:pPr>
            <w:r w:rsidRPr="006227FA">
              <w:t>8,828</w:t>
            </w:r>
          </w:p>
        </w:tc>
        <w:tc>
          <w:tcPr>
            <w:tcW w:w="2160" w:type="dxa"/>
            <w:vAlign w:val="center"/>
            <w:hideMark/>
          </w:tcPr>
          <w:p w14:paraId="54C3C249" w14:textId="6ACADB31" w:rsidR="006227FA" w:rsidRPr="006227FA" w:rsidRDefault="006227FA" w:rsidP="00030B67">
            <w:pPr>
              <w:pStyle w:val="TableText"/>
              <w:jc w:val="right"/>
            </w:pPr>
            <w:r w:rsidRPr="006227FA">
              <w:t>14,537</w:t>
            </w:r>
          </w:p>
        </w:tc>
        <w:tc>
          <w:tcPr>
            <w:tcW w:w="2160" w:type="dxa"/>
            <w:vAlign w:val="center"/>
            <w:hideMark/>
          </w:tcPr>
          <w:p w14:paraId="750151EB" w14:textId="764B2A61" w:rsidR="006227FA" w:rsidRPr="006227FA" w:rsidRDefault="006227FA" w:rsidP="00030B67">
            <w:pPr>
              <w:pStyle w:val="TableText"/>
              <w:jc w:val="right"/>
            </w:pPr>
            <w:r w:rsidRPr="006227FA">
              <w:t>155,984</w:t>
            </w:r>
          </w:p>
        </w:tc>
      </w:tr>
      <w:tr w:rsidR="00AF24C6" w:rsidRPr="006227FA" w14:paraId="0096288F" w14:textId="77777777" w:rsidTr="00AF24C6">
        <w:trPr>
          <w:trHeight w:val="300"/>
        </w:trPr>
        <w:tc>
          <w:tcPr>
            <w:tcW w:w="2159" w:type="dxa"/>
            <w:vAlign w:val="center"/>
            <w:hideMark/>
          </w:tcPr>
          <w:p w14:paraId="67B80364" w14:textId="3CA5BBEF" w:rsidR="006227FA" w:rsidRPr="006227FA" w:rsidRDefault="006227FA" w:rsidP="00EB7B92">
            <w:pPr>
              <w:pStyle w:val="TableText"/>
              <w:jc w:val="center"/>
            </w:pPr>
            <w:r w:rsidRPr="006227FA">
              <w:t>Texas LMI</w:t>
            </w:r>
          </w:p>
        </w:tc>
        <w:tc>
          <w:tcPr>
            <w:tcW w:w="1886" w:type="dxa"/>
            <w:vAlign w:val="center"/>
            <w:hideMark/>
          </w:tcPr>
          <w:p w14:paraId="196705F9" w14:textId="32086E66" w:rsidR="006227FA" w:rsidRPr="006227FA" w:rsidRDefault="006227FA" w:rsidP="00030B67">
            <w:pPr>
              <w:pStyle w:val="TableText"/>
              <w:jc w:val="right"/>
            </w:pPr>
            <w:r w:rsidRPr="006227FA">
              <w:t>42,592</w:t>
            </w:r>
          </w:p>
        </w:tc>
        <w:tc>
          <w:tcPr>
            <w:tcW w:w="2160" w:type="dxa"/>
            <w:vAlign w:val="center"/>
            <w:hideMark/>
          </w:tcPr>
          <w:p w14:paraId="205CD17D" w14:textId="32EC3606" w:rsidR="006227FA" w:rsidRPr="006227FA" w:rsidRDefault="006227FA" w:rsidP="00030B67">
            <w:pPr>
              <w:pStyle w:val="TableText"/>
              <w:jc w:val="right"/>
            </w:pPr>
            <w:r w:rsidRPr="006227FA">
              <w:t>78,875</w:t>
            </w:r>
          </w:p>
        </w:tc>
        <w:tc>
          <w:tcPr>
            <w:tcW w:w="2160" w:type="dxa"/>
            <w:vAlign w:val="center"/>
            <w:hideMark/>
          </w:tcPr>
          <w:p w14:paraId="23DD6C72" w14:textId="2045D57E" w:rsidR="006227FA" w:rsidRPr="006227FA" w:rsidRDefault="006227FA" w:rsidP="00030B67">
            <w:pPr>
              <w:pStyle w:val="TableText"/>
              <w:jc w:val="right"/>
            </w:pPr>
            <w:r w:rsidRPr="006227FA">
              <w:t>140,900</w:t>
            </w:r>
          </w:p>
        </w:tc>
      </w:tr>
      <w:tr w:rsidR="006227FA" w:rsidRPr="006227FA" w14:paraId="082AD1CE" w14:textId="77777777" w:rsidTr="00AF24C6">
        <w:trPr>
          <w:trHeight w:val="300"/>
        </w:trPr>
        <w:tc>
          <w:tcPr>
            <w:tcW w:w="2159" w:type="dxa"/>
            <w:vAlign w:val="center"/>
            <w:hideMark/>
          </w:tcPr>
          <w:p w14:paraId="1B9EB2F2" w14:textId="321C192B" w:rsidR="006227FA" w:rsidRPr="006227FA" w:rsidRDefault="006227FA" w:rsidP="00EB7B92">
            <w:pPr>
              <w:pStyle w:val="TableText"/>
              <w:jc w:val="center"/>
            </w:pPr>
            <w:proofErr w:type="spellStart"/>
            <w:r w:rsidRPr="006227FA">
              <w:t>Autocoder</w:t>
            </w:r>
            <w:proofErr w:type="spellEnd"/>
          </w:p>
        </w:tc>
        <w:tc>
          <w:tcPr>
            <w:tcW w:w="1886" w:type="dxa"/>
            <w:vAlign w:val="center"/>
            <w:hideMark/>
          </w:tcPr>
          <w:p w14:paraId="32439BD9" w14:textId="0882E62D" w:rsidR="006227FA" w:rsidRPr="006227FA" w:rsidRDefault="006227FA" w:rsidP="00030B67">
            <w:pPr>
              <w:pStyle w:val="TableText"/>
              <w:jc w:val="right"/>
            </w:pPr>
            <w:r w:rsidRPr="006227FA">
              <w:t>2,876</w:t>
            </w:r>
          </w:p>
        </w:tc>
        <w:tc>
          <w:tcPr>
            <w:tcW w:w="2160" w:type="dxa"/>
            <w:vAlign w:val="center"/>
            <w:hideMark/>
          </w:tcPr>
          <w:p w14:paraId="66BEA012" w14:textId="420702C5" w:rsidR="006227FA" w:rsidRPr="006227FA" w:rsidRDefault="006227FA" w:rsidP="00030B67">
            <w:pPr>
              <w:pStyle w:val="TableText"/>
              <w:jc w:val="right"/>
            </w:pPr>
            <w:r w:rsidRPr="006227FA">
              <w:t>3,669</w:t>
            </w:r>
          </w:p>
        </w:tc>
        <w:tc>
          <w:tcPr>
            <w:tcW w:w="2160" w:type="dxa"/>
            <w:vAlign w:val="center"/>
            <w:hideMark/>
          </w:tcPr>
          <w:p w14:paraId="3A0FB8A1" w14:textId="46F42CAD" w:rsidR="006227FA" w:rsidRPr="006227FA" w:rsidRDefault="006227FA" w:rsidP="00030B67">
            <w:pPr>
              <w:pStyle w:val="TableText"/>
              <w:jc w:val="right"/>
            </w:pPr>
            <w:r w:rsidRPr="006227FA">
              <w:t>107,100</w:t>
            </w:r>
          </w:p>
        </w:tc>
      </w:tr>
      <w:tr w:rsidR="00AF24C6" w:rsidRPr="006227FA" w14:paraId="0A4F5C36" w14:textId="77777777" w:rsidTr="00AF24C6">
        <w:trPr>
          <w:trHeight w:val="300"/>
        </w:trPr>
        <w:tc>
          <w:tcPr>
            <w:tcW w:w="2159" w:type="dxa"/>
            <w:vAlign w:val="center"/>
            <w:hideMark/>
          </w:tcPr>
          <w:p w14:paraId="6DBF9317" w14:textId="2062BE31" w:rsidR="006227FA" w:rsidRPr="006227FA" w:rsidRDefault="006227FA" w:rsidP="00EB7B92">
            <w:pPr>
              <w:pStyle w:val="TableText"/>
              <w:jc w:val="center"/>
            </w:pPr>
            <w:r w:rsidRPr="006227FA">
              <w:t>Texas Crews</w:t>
            </w:r>
          </w:p>
        </w:tc>
        <w:tc>
          <w:tcPr>
            <w:tcW w:w="1886" w:type="dxa"/>
            <w:vAlign w:val="center"/>
            <w:hideMark/>
          </w:tcPr>
          <w:p w14:paraId="697ACF97" w14:textId="05EA87A0" w:rsidR="006227FA" w:rsidRPr="006227FA" w:rsidRDefault="006227FA" w:rsidP="00030B67">
            <w:pPr>
              <w:pStyle w:val="TableText"/>
              <w:jc w:val="right"/>
            </w:pPr>
            <w:r w:rsidRPr="006227FA">
              <w:t>8,967</w:t>
            </w:r>
          </w:p>
        </w:tc>
        <w:tc>
          <w:tcPr>
            <w:tcW w:w="2160" w:type="dxa"/>
            <w:vAlign w:val="center"/>
            <w:hideMark/>
          </w:tcPr>
          <w:p w14:paraId="277AC5F9" w14:textId="6D97963E" w:rsidR="006227FA" w:rsidRPr="006227FA" w:rsidRDefault="006227FA" w:rsidP="00030B67">
            <w:pPr>
              <w:pStyle w:val="TableText"/>
              <w:jc w:val="right"/>
            </w:pPr>
            <w:r w:rsidRPr="006227FA">
              <w:t>11,327</w:t>
            </w:r>
          </w:p>
        </w:tc>
        <w:tc>
          <w:tcPr>
            <w:tcW w:w="2160" w:type="dxa"/>
            <w:vAlign w:val="center"/>
            <w:hideMark/>
          </w:tcPr>
          <w:p w14:paraId="2C09AD70" w14:textId="203A0251" w:rsidR="006227FA" w:rsidRPr="006227FA" w:rsidRDefault="006227FA" w:rsidP="00030B67">
            <w:pPr>
              <w:pStyle w:val="TableText"/>
              <w:jc w:val="right"/>
            </w:pPr>
            <w:r w:rsidRPr="006227FA">
              <w:t>105,844</w:t>
            </w:r>
          </w:p>
        </w:tc>
      </w:tr>
      <w:tr w:rsidR="00AF24C6" w:rsidRPr="006227FA" w14:paraId="4D713618" w14:textId="77777777" w:rsidTr="00AF24C6">
        <w:trPr>
          <w:trHeight w:val="300"/>
        </w:trPr>
        <w:tc>
          <w:tcPr>
            <w:tcW w:w="2159" w:type="dxa"/>
            <w:vAlign w:val="center"/>
            <w:hideMark/>
          </w:tcPr>
          <w:p w14:paraId="219131C6" w14:textId="6C77AE45" w:rsidR="006227FA" w:rsidRPr="006227FA" w:rsidRDefault="006227FA" w:rsidP="00EB7B92">
            <w:pPr>
              <w:pStyle w:val="TableText"/>
              <w:jc w:val="center"/>
            </w:pPr>
            <w:r w:rsidRPr="006227FA">
              <w:t>Texas Wages</w:t>
            </w:r>
          </w:p>
        </w:tc>
        <w:tc>
          <w:tcPr>
            <w:tcW w:w="1886" w:type="dxa"/>
            <w:vAlign w:val="center"/>
            <w:hideMark/>
          </w:tcPr>
          <w:p w14:paraId="5A2F4E92" w14:textId="40DB0289" w:rsidR="006227FA" w:rsidRPr="006227FA" w:rsidRDefault="006227FA" w:rsidP="00030B67">
            <w:pPr>
              <w:pStyle w:val="TableText"/>
              <w:jc w:val="right"/>
            </w:pPr>
            <w:r w:rsidRPr="006227FA">
              <w:t>24,645</w:t>
            </w:r>
          </w:p>
        </w:tc>
        <w:tc>
          <w:tcPr>
            <w:tcW w:w="2160" w:type="dxa"/>
            <w:vAlign w:val="center"/>
            <w:hideMark/>
          </w:tcPr>
          <w:p w14:paraId="63E6287B" w14:textId="047528B8" w:rsidR="006227FA" w:rsidRPr="006227FA" w:rsidRDefault="006227FA" w:rsidP="00030B67">
            <w:pPr>
              <w:pStyle w:val="TableText"/>
              <w:jc w:val="right"/>
            </w:pPr>
            <w:r w:rsidRPr="006227FA">
              <w:t>37,893</w:t>
            </w:r>
          </w:p>
        </w:tc>
        <w:tc>
          <w:tcPr>
            <w:tcW w:w="2160" w:type="dxa"/>
            <w:vAlign w:val="center"/>
            <w:hideMark/>
          </w:tcPr>
          <w:p w14:paraId="0FABD0AD" w14:textId="4A46CA17" w:rsidR="006227FA" w:rsidRPr="006227FA" w:rsidRDefault="006227FA" w:rsidP="00030B67">
            <w:pPr>
              <w:pStyle w:val="TableText"/>
              <w:jc w:val="right"/>
            </w:pPr>
            <w:r w:rsidRPr="006227FA">
              <w:t>92,035</w:t>
            </w:r>
          </w:p>
        </w:tc>
      </w:tr>
      <w:tr w:rsidR="00AF24C6" w:rsidRPr="006227FA" w14:paraId="60CEC5A4" w14:textId="77777777" w:rsidTr="00AF24C6">
        <w:trPr>
          <w:trHeight w:val="300"/>
        </w:trPr>
        <w:tc>
          <w:tcPr>
            <w:tcW w:w="2159" w:type="dxa"/>
            <w:vAlign w:val="center"/>
            <w:hideMark/>
          </w:tcPr>
          <w:p w14:paraId="0B3507DF" w14:textId="18C3A907" w:rsidR="006227FA" w:rsidRPr="006227FA" w:rsidRDefault="006227FA" w:rsidP="00EB7B92">
            <w:pPr>
              <w:pStyle w:val="TableText"/>
              <w:jc w:val="center"/>
            </w:pPr>
            <w:r w:rsidRPr="006227FA">
              <w:t>Texas LMCI (lmci.state.tx.us)</w:t>
            </w:r>
          </w:p>
        </w:tc>
        <w:tc>
          <w:tcPr>
            <w:tcW w:w="1886" w:type="dxa"/>
            <w:vAlign w:val="center"/>
            <w:hideMark/>
          </w:tcPr>
          <w:p w14:paraId="0C7B9EA0" w14:textId="7766B1AC" w:rsidR="006227FA" w:rsidRPr="006227FA" w:rsidRDefault="006227FA" w:rsidP="00030B67">
            <w:pPr>
              <w:pStyle w:val="TableText"/>
              <w:jc w:val="right"/>
            </w:pPr>
            <w:r w:rsidRPr="006227FA">
              <w:t>39,592</w:t>
            </w:r>
          </w:p>
        </w:tc>
        <w:tc>
          <w:tcPr>
            <w:tcW w:w="2160" w:type="dxa"/>
            <w:vAlign w:val="center"/>
            <w:hideMark/>
          </w:tcPr>
          <w:p w14:paraId="7D8124D5" w14:textId="59119722" w:rsidR="006227FA" w:rsidRPr="006227FA" w:rsidRDefault="006227FA" w:rsidP="00030B67">
            <w:pPr>
              <w:pStyle w:val="TableText"/>
              <w:jc w:val="right"/>
            </w:pPr>
            <w:r w:rsidRPr="006227FA">
              <w:t>54,084</w:t>
            </w:r>
          </w:p>
        </w:tc>
        <w:tc>
          <w:tcPr>
            <w:tcW w:w="2160" w:type="dxa"/>
            <w:vAlign w:val="center"/>
            <w:hideMark/>
          </w:tcPr>
          <w:p w14:paraId="5E6EEEDF" w14:textId="2E204A5D" w:rsidR="006227FA" w:rsidRPr="006227FA" w:rsidRDefault="006227FA" w:rsidP="00030B67">
            <w:pPr>
              <w:pStyle w:val="TableText"/>
              <w:jc w:val="right"/>
            </w:pPr>
            <w:r w:rsidRPr="006227FA">
              <w:t>76,641</w:t>
            </w:r>
          </w:p>
        </w:tc>
      </w:tr>
      <w:tr w:rsidR="00AF24C6" w:rsidRPr="006227FA" w14:paraId="4FEF153E" w14:textId="77777777" w:rsidTr="00AF24C6">
        <w:trPr>
          <w:trHeight w:val="300"/>
        </w:trPr>
        <w:tc>
          <w:tcPr>
            <w:tcW w:w="2159" w:type="dxa"/>
            <w:vAlign w:val="center"/>
            <w:hideMark/>
          </w:tcPr>
          <w:p w14:paraId="7780FC3E" w14:textId="27D19A05" w:rsidR="006227FA" w:rsidRPr="006227FA" w:rsidRDefault="006227FA" w:rsidP="00EB7B92">
            <w:pPr>
              <w:pStyle w:val="TableText"/>
              <w:jc w:val="center"/>
            </w:pPr>
            <w:r w:rsidRPr="006227FA">
              <w:t>Texas Labor Analysis</w:t>
            </w:r>
          </w:p>
        </w:tc>
        <w:tc>
          <w:tcPr>
            <w:tcW w:w="1886" w:type="dxa"/>
            <w:vAlign w:val="center"/>
            <w:hideMark/>
          </w:tcPr>
          <w:p w14:paraId="2A59C44C" w14:textId="56E63931" w:rsidR="006227FA" w:rsidRPr="006227FA" w:rsidRDefault="006227FA" w:rsidP="00030B67">
            <w:pPr>
              <w:pStyle w:val="TableText"/>
              <w:jc w:val="right"/>
            </w:pPr>
            <w:r w:rsidRPr="006227FA">
              <w:t>5,486</w:t>
            </w:r>
          </w:p>
        </w:tc>
        <w:tc>
          <w:tcPr>
            <w:tcW w:w="2160" w:type="dxa"/>
            <w:vAlign w:val="center"/>
            <w:hideMark/>
          </w:tcPr>
          <w:p w14:paraId="50CC4F21" w14:textId="2CE9189C" w:rsidR="006227FA" w:rsidRPr="006227FA" w:rsidRDefault="006227FA" w:rsidP="00030B67">
            <w:pPr>
              <w:pStyle w:val="TableText"/>
              <w:jc w:val="right"/>
            </w:pPr>
            <w:r w:rsidRPr="006227FA">
              <w:t>9,507</w:t>
            </w:r>
          </w:p>
        </w:tc>
        <w:tc>
          <w:tcPr>
            <w:tcW w:w="2160" w:type="dxa"/>
            <w:vAlign w:val="center"/>
            <w:hideMark/>
          </w:tcPr>
          <w:p w14:paraId="490495AE" w14:textId="18D26693" w:rsidR="006227FA" w:rsidRPr="006227FA" w:rsidRDefault="006227FA" w:rsidP="00030B67">
            <w:pPr>
              <w:pStyle w:val="TableText"/>
              <w:jc w:val="right"/>
            </w:pPr>
            <w:r w:rsidRPr="006227FA">
              <w:t>71,791</w:t>
            </w:r>
          </w:p>
        </w:tc>
      </w:tr>
      <w:tr w:rsidR="00AF24C6" w:rsidRPr="006227FA" w14:paraId="6C2C9A0E" w14:textId="77777777" w:rsidTr="00AF24C6">
        <w:trPr>
          <w:trHeight w:val="300"/>
        </w:trPr>
        <w:tc>
          <w:tcPr>
            <w:tcW w:w="2159" w:type="dxa"/>
            <w:vAlign w:val="center"/>
            <w:hideMark/>
          </w:tcPr>
          <w:p w14:paraId="220ECDFB" w14:textId="5AB5E49A" w:rsidR="006227FA" w:rsidRPr="006227FA" w:rsidRDefault="006227FA" w:rsidP="00EB7B92">
            <w:pPr>
              <w:pStyle w:val="TableText"/>
              <w:jc w:val="center"/>
            </w:pPr>
            <w:r w:rsidRPr="006227FA">
              <w:t>STI</w:t>
            </w:r>
          </w:p>
        </w:tc>
        <w:tc>
          <w:tcPr>
            <w:tcW w:w="1886" w:type="dxa"/>
            <w:vAlign w:val="center"/>
            <w:hideMark/>
          </w:tcPr>
          <w:p w14:paraId="2D00E396" w14:textId="6A816E14" w:rsidR="006227FA" w:rsidRPr="006227FA" w:rsidRDefault="006227FA" w:rsidP="00030B67">
            <w:pPr>
              <w:pStyle w:val="TableText"/>
              <w:jc w:val="right"/>
            </w:pPr>
            <w:r w:rsidRPr="006227FA">
              <w:t>13,382</w:t>
            </w:r>
          </w:p>
        </w:tc>
        <w:tc>
          <w:tcPr>
            <w:tcW w:w="2160" w:type="dxa"/>
            <w:vAlign w:val="center"/>
            <w:hideMark/>
          </w:tcPr>
          <w:p w14:paraId="1627BD53" w14:textId="0BA71BEC" w:rsidR="006227FA" w:rsidRPr="006227FA" w:rsidRDefault="006227FA" w:rsidP="00030B67">
            <w:pPr>
              <w:pStyle w:val="TableText"/>
              <w:jc w:val="right"/>
            </w:pPr>
            <w:r w:rsidRPr="006227FA">
              <w:t>16,594</w:t>
            </w:r>
          </w:p>
        </w:tc>
        <w:tc>
          <w:tcPr>
            <w:tcW w:w="2160" w:type="dxa"/>
            <w:vAlign w:val="center"/>
            <w:hideMark/>
          </w:tcPr>
          <w:p w14:paraId="0D96C5BD" w14:textId="47AD465C" w:rsidR="006227FA" w:rsidRPr="006227FA" w:rsidRDefault="006227FA" w:rsidP="00030B67">
            <w:pPr>
              <w:pStyle w:val="TableText"/>
              <w:jc w:val="right"/>
            </w:pPr>
            <w:r w:rsidRPr="006227FA">
              <w:t>40,732</w:t>
            </w:r>
          </w:p>
        </w:tc>
      </w:tr>
      <w:tr w:rsidR="00AF24C6" w:rsidRPr="006227FA" w14:paraId="694C1609" w14:textId="77777777" w:rsidTr="00AF24C6">
        <w:trPr>
          <w:trHeight w:val="300"/>
        </w:trPr>
        <w:tc>
          <w:tcPr>
            <w:tcW w:w="2159" w:type="dxa"/>
            <w:vAlign w:val="center"/>
            <w:hideMark/>
          </w:tcPr>
          <w:p w14:paraId="061F0659" w14:textId="5D7120BB" w:rsidR="006227FA" w:rsidRPr="006227FA" w:rsidRDefault="006227FA" w:rsidP="00EB7B92">
            <w:pPr>
              <w:pStyle w:val="TableText"/>
              <w:jc w:val="center"/>
            </w:pPr>
            <w:r w:rsidRPr="006227FA">
              <w:t>Career &amp; Tech Education</w:t>
            </w:r>
          </w:p>
        </w:tc>
        <w:tc>
          <w:tcPr>
            <w:tcW w:w="1886" w:type="dxa"/>
            <w:vAlign w:val="center"/>
            <w:hideMark/>
          </w:tcPr>
          <w:p w14:paraId="6F43302A" w14:textId="51218BF7" w:rsidR="006227FA" w:rsidRPr="006227FA" w:rsidRDefault="006227FA" w:rsidP="00030B67">
            <w:pPr>
              <w:pStyle w:val="TableText"/>
              <w:jc w:val="right"/>
            </w:pPr>
            <w:r w:rsidRPr="006227FA">
              <w:t>2,469</w:t>
            </w:r>
          </w:p>
        </w:tc>
        <w:tc>
          <w:tcPr>
            <w:tcW w:w="2160" w:type="dxa"/>
            <w:vAlign w:val="center"/>
            <w:hideMark/>
          </w:tcPr>
          <w:p w14:paraId="7F9B9F0F" w14:textId="108CECFF" w:rsidR="006227FA" w:rsidRPr="006227FA" w:rsidRDefault="006227FA" w:rsidP="00030B67">
            <w:pPr>
              <w:pStyle w:val="TableText"/>
              <w:jc w:val="right"/>
            </w:pPr>
            <w:r w:rsidRPr="006227FA">
              <w:t>3,279</w:t>
            </w:r>
          </w:p>
        </w:tc>
        <w:tc>
          <w:tcPr>
            <w:tcW w:w="2160" w:type="dxa"/>
            <w:vAlign w:val="center"/>
            <w:hideMark/>
          </w:tcPr>
          <w:p w14:paraId="1032008F" w14:textId="29BD063B" w:rsidR="006227FA" w:rsidRPr="006227FA" w:rsidRDefault="006227FA" w:rsidP="00030B67">
            <w:pPr>
              <w:pStyle w:val="TableText"/>
              <w:jc w:val="right"/>
            </w:pPr>
            <w:r w:rsidRPr="006227FA">
              <w:t>3,525</w:t>
            </w:r>
          </w:p>
        </w:tc>
      </w:tr>
      <w:tr w:rsidR="00AF24C6" w:rsidRPr="006227FA" w14:paraId="29C13923" w14:textId="77777777" w:rsidTr="00AF24C6">
        <w:trPr>
          <w:trHeight w:val="300"/>
        </w:trPr>
        <w:tc>
          <w:tcPr>
            <w:tcW w:w="2159" w:type="dxa"/>
            <w:vAlign w:val="center"/>
            <w:hideMark/>
          </w:tcPr>
          <w:p w14:paraId="26F637EE" w14:textId="53A4E172" w:rsidR="006227FA" w:rsidRPr="006227FA" w:rsidRDefault="006227FA" w:rsidP="00EB7B92">
            <w:pPr>
              <w:pStyle w:val="TableText"/>
              <w:jc w:val="center"/>
            </w:pPr>
            <w:r w:rsidRPr="006227FA">
              <w:t>MHWOL</w:t>
            </w:r>
          </w:p>
        </w:tc>
        <w:tc>
          <w:tcPr>
            <w:tcW w:w="1886" w:type="dxa"/>
            <w:vAlign w:val="center"/>
            <w:hideMark/>
          </w:tcPr>
          <w:p w14:paraId="4ECC6513" w14:textId="2C5287AA" w:rsidR="006227FA" w:rsidRPr="006227FA" w:rsidRDefault="006227FA" w:rsidP="00030B67">
            <w:pPr>
              <w:pStyle w:val="TableText"/>
              <w:jc w:val="right"/>
            </w:pPr>
            <w:r w:rsidRPr="006227FA">
              <w:t>1,332</w:t>
            </w:r>
          </w:p>
        </w:tc>
        <w:tc>
          <w:tcPr>
            <w:tcW w:w="2160" w:type="dxa"/>
            <w:vAlign w:val="center"/>
            <w:hideMark/>
          </w:tcPr>
          <w:p w14:paraId="124E6BE9" w14:textId="1BC1E64B" w:rsidR="006227FA" w:rsidRPr="006227FA" w:rsidRDefault="006227FA" w:rsidP="00030B67">
            <w:pPr>
              <w:pStyle w:val="TableText"/>
              <w:jc w:val="right"/>
            </w:pPr>
            <w:r w:rsidRPr="006227FA">
              <w:t>1,874</w:t>
            </w:r>
          </w:p>
        </w:tc>
        <w:tc>
          <w:tcPr>
            <w:tcW w:w="2160" w:type="dxa"/>
            <w:vAlign w:val="center"/>
            <w:hideMark/>
          </w:tcPr>
          <w:p w14:paraId="658E9399" w14:textId="0BABDAB6" w:rsidR="006227FA" w:rsidRPr="006227FA" w:rsidRDefault="006227FA" w:rsidP="00030B67">
            <w:pPr>
              <w:pStyle w:val="TableText"/>
              <w:jc w:val="right"/>
            </w:pPr>
            <w:r w:rsidRPr="006227FA">
              <w:t>3,446</w:t>
            </w:r>
          </w:p>
        </w:tc>
      </w:tr>
      <w:tr w:rsidR="00AF24C6" w:rsidRPr="006227FA" w14:paraId="4DD29E9C" w14:textId="77777777" w:rsidTr="00AF24C6">
        <w:trPr>
          <w:trHeight w:val="300"/>
        </w:trPr>
        <w:tc>
          <w:tcPr>
            <w:tcW w:w="2159" w:type="dxa"/>
            <w:vAlign w:val="center"/>
            <w:hideMark/>
          </w:tcPr>
          <w:p w14:paraId="74B9C469" w14:textId="5AF23196" w:rsidR="006227FA" w:rsidRPr="006227FA" w:rsidRDefault="006227FA" w:rsidP="00EB7B92">
            <w:pPr>
              <w:pStyle w:val="TableText"/>
              <w:jc w:val="center"/>
            </w:pPr>
            <w:r w:rsidRPr="006227FA">
              <w:t>UI Claims Dashboard</w:t>
            </w:r>
          </w:p>
        </w:tc>
        <w:tc>
          <w:tcPr>
            <w:tcW w:w="1886" w:type="dxa"/>
            <w:vAlign w:val="center"/>
            <w:hideMark/>
          </w:tcPr>
          <w:p w14:paraId="15B0E20A" w14:textId="7C911678" w:rsidR="006227FA" w:rsidRPr="006227FA" w:rsidRDefault="006227FA" w:rsidP="00030B67">
            <w:pPr>
              <w:pStyle w:val="TableText"/>
              <w:jc w:val="right"/>
            </w:pPr>
            <w:r w:rsidRPr="006227FA">
              <w:t>1,249</w:t>
            </w:r>
          </w:p>
        </w:tc>
        <w:tc>
          <w:tcPr>
            <w:tcW w:w="2160" w:type="dxa"/>
            <w:vAlign w:val="center"/>
            <w:hideMark/>
          </w:tcPr>
          <w:p w14:paraId="3DDC50B5" w14:textId="60D75B4F" w:rsidR="006227FA" w:rsidRPr="006227FA" w:rsidRDefault="006227FA" w:rsidP="00030B67">
            <w:pPr>
              <w:pStyle w:val="TableText"/>
              <w:jc w:val="right"/>
            </w:pPr>
            <w:r w:rsidRPr="006227FA">
              <w:t>1,866</w:t>
            </w:r>
          </w:p>
        </w:tc>
        <w:tc>
          <w:tcPr>
            <w:tcW w:w="2160" w:type="dxa"/>
            <w:vAlign w:val="center"/>
            <w:hideMark/>
          </w:tcPr>
          <w:p w14:paraId="4810F6A3" w14:textId="0D58D673" w:rsidR="006227FA" w:rsidRPr="006227FA" w:rsidRDefault="006227FA" w:rsidP="00030B67">
            <w:pPr>
              <w:pStyle w:val="TableText"/>
              <w:jc w:val="right"/>
            </w:pPr>
            <w:r w:rsidRPr="006227FA">
              <w:t>1,887</w:t>
            </w:r>
          </w:p>
        </w:tc>
      </w:tr>
      <w:tr w:rsidR="00AF24C6" w:rsidRPr="006227FA" w14:paraId="05BE9105" w14:textId="77777777" w:rsidTr="00AF24C6">
        <w:trPr>
          <w:trHeight w:val="315"/>
        </w:trPr>
        <w:tc>
          <w:tcPr>
            <w:tcW w:w="2159" w:type="dxa"/>
            <w:vAlign w:val="center"/>
            <w:hideMark/>
          </w:tcPr>
          <w:p w14:paraId="241BA6E2" w14:textId="2427B2BA" w:rsidR="006227FA" w:rsidRPr="006227FA" w:rsidRDefault="006227FA" w:rsidP="00EB7B92">
            <w:pPr>
              <w:pStyle w:val="TableText"/>
              <w:jc w:val="center"/>
            </w:pPr>
            <w:r w:rsidRPr="006227FA">
              <w:t>LMI Main (lmi.twc.texas.gov)</w:t>
            </w:r>
          </w:p>
        </w:tc>
        <w:tc>
          <w:tcPr>
            <w:tcW w:w="1886" w:type="dxa"/>
            <w:vAlign w:val="center"/>
            <w:hideMark/>
          </w:tcPr>
          <w:p w14:paraId="53DDE845" w14:textId="7E77C3ED" w:rsidR="006227FA" w:rsidRPr="006227FA" w:rsidRDefault="006227FA" w:rsidP="00030B67">
            <w:pPr>
              <w:pStyle w:val="TableText"/>
              <w:jc w:val="right"/>
            </w:pPr>
            <w:r w:rsidRPr="006227FA">
              <w:t>1,268</w:t>
            </w:r>
          </w:p>
        </w:tc>
        <w:tc>
          <w:tcPr>
            <w:tcW w:w="2160" w:type="dxa"/>
            <w:vAlign w:val="center"/>
            <w:hideMark/>
          </w:tcPr>
          <w:p w14:paraId="03247371" w14:textId="5FEB51C6" w:rsidR="006227FA" w:rsidRPr="006227FA" w:rsidRDefault="006227FA" w:rsidP="00030B67">
            <w:pPr>
              <w:pStyle w:val="TableText"/>
              <w:jc w:val="right"/>
            </w:pPr>
            <w:r w:rsidRPr="006227FA">
              <w:t>1,523</w:t>
            </w:r>
          </w:p>
        </w:tc>
        <w:tc>
          <w:tcPr>
            <w:tcW w:w="2160" w:type="dxa"/>
            <w:vAlign w:val="center"/>
            <w:hideMark/>
          </w:tcPr>
          <w:p w14:paraId="286D5765" w14:textId="466DF8C2" w:rsidR="006227FA" w:rsidRPr="006227FA" w:rsidRDefault="006227FA" w:rsidP="00030B67">
            <w:pPr>
              <w:pStyle w:val="TableText"/>
              <w:jc w:val="right"/>
            </w:pPr>
            <w:r w:rsidRPr="006227FA">
              <w:t>1,618</w:t>
            </w:r>
          </w:p>
        </w:tc>
      </w:tr>
      <w:tr w:rsidR="00AF24C6" w:rsidRPr="006227FA" w14:paraId="72EE1138" w14:textId="77777777" w:rsidTr="00AF24C6">
        <w:trPr>
          <w:trHeight w:val="315"/>
        </w:trPr>
        <w:tc>
          <w:tcPr>
            <w:tcW w:w="2159" w:type="dxa"/>
            <w:vAlign w:val="center"/>
            <w:hideMark/>
          </w:tcPr>
          <w:p w14:paraId="7ACE1054" w14:textId="03ED1255" w:rsidR="006227FA" w:rsidRPr="006227FA" w:rsidRDefault="006227FA" w:rsidP="00EB7B92">
            <w:pPr>
              <w:pStyle w:val="TableText"/>
              <w:jc w:val="center"/>
            </w:pPr>
            <w:r w:rsidRPr="006227FA">
              <w:rPr>
                <w:bCs/>
              </w:rPr>
              <w:t>Totals</w:t>
            </w:r>
          </w:p>
        </w:tc>
        <w:tc>
          <w:tcPr>
            <w:tcW w:w="1886" w:type="dxa"/>
            <w:vAlign w:val="center"/>
            <w:hideMark/>
          </w:tcPr>
          <w:p w14:paraId="4E556A77" w14:textId="41FB1707" w:rsidR="006227FA" w:rsidRPr="006227FA" w:rsidRDefault="006227FA" w:rsidP="00030B67">
            <w:pPr>
              <w:pStyle w:val="TableText"/>
              <w:jc w:val="right"/>
            </w:pPr>
            <w:r w:rsidRPr="006227FA">
              <w:rPr>
                <w:bCs/>
              </w:rPr>
              <w:t>976,608</w:t>
            </w:r>
          </w:p>
        </w:tc>
        <w:tc>
          <w:tcPr>
            <w:tcW w:w="2160" w:type="dxa"/>
            <w:vAlign w:val="center"/>
            <w:hideMark/>
          </w:tcPr>
          <w:p w14:paraId="3DE22C20" w14:textId="53AEBDD4" w:rsidR="006227FA" w:rsidRPr="006227FA" w:rsidRDefault="006227FA" w:rsidP="00030B67">
            <w:pPr>
              <w:pStyle w:val="TableText"/>
              <w:jc w:val="right"/>
            </w:pPr>
            <w:r w:rsidRPr="006227FA">
              <w:rPr>
                <w:bCs/>
              </w:rPr>
              <w:t>1,622,862</w:t>
            </w:r>
          </w:p>
        </w:tc>
        <w:tc>
          <w:tcPr>
            <w:tcW w:w="2160" w:type="dxa"/>
            <w:vAlign w:val="center"/>
            <w:hideMark/>
          </w:tcPr>
          <w:p w14:paraId="28C399C0" w14:textId="53B7A10A" w:rsidR="006227FA" w:rsidRPr="006227FA" w:rsidRDefault="006227FA" w:rsidP="00030B67">
            <w:pPr>
              <w:pStyle w:val="TableText"/>
              <w:jc w:val="right"/>
            </w:pPr>
            <w:r w:rsidRPr="006227FA">
              <w:rPr>
                <w:bCs/>
              </w:rPr>
              <w:t>19,472,662</w:t>
            </w:r>
          </w:p>
        </w:tc>
      </w:tr>
    </w:tbl>
    <w:p w14:paraId="4D851630" w14:textId="77777777" w:rsidR="006227FA" w:rsidRPr="00AF24C6" w:rsidRDefault="006227FA" w:rsidP="000C794D">
      <w:pPr>
        <w:pStyle w:val="BodyText3"/>
        <w:ind w:left="720" w:hanging="720"/>
      </w:pPr>
      <w:r w:rsidRPr="00AF24C6">
        <w:t>D.</w:t>
      </w:r>
      <w:r w:rsidRPr="00AF24C6">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05B11A97" w14:textId="77777777" w:rsidR="006227FA" w:rsidRPr="006227FA" w:rsidRDefault="006227FA" w:rsidP="006227FA">
      <w:pPr>
        <w:pStyle w:val="BodyText"/>
      </w:pPr>
      <w:r w:rsidRPr="006227FA">
        <w:t>Since 2013, the department has evolved significantly, most notably with the transformation of the CDR unit into the Education Outreach unit in response to House Bill 5.  Starting in 2014, an Education Outreach specialist was hired to guide middle school students on high school endorsements, which grew into a broader program covering course planning, CTE pathways, and postsecondary options.  Between 2015 and 2017, the team expanded and added editorial support.  A 2019 pilot extended outreach to regional workforce boards, leading to a formal statewide network launched in 2021, now involving about 17 boards. </w:t>
      </w:r>
    </w:p>
    <w:p w14:paraId="7655BC96" w14:textId="619D891E" w:rsidR="006227FA" w:rsidRPr="006227FA" w:rsidRDefault="006227FA" w:rsidP="006227FA">
      <w:pPr>
        <w:pStyle w:val="BodyText"/>
      </w:pPr>
      <w:r w:rsidRPr="006227FA">
        <w:lastRenderedPageBreak/>
        <w:t>In 2021, TWC underwent a broader reorganization.  LMCI moved from External Relations to the newly named Information Innovation &amp; Insight Division, and the Education Outreach team became its own department within the Outreach and Employer Initiatives Division.  LMCI was also renamed LMI.</w:t>
      </w:r>
    </w:p>
    <w:p w14:paraId="5230CD5D" w14:textId="77777777" w:rsidR="006227FA" w:rsidRPr="006227FA" w:rsidRDefault="006227FA" w:rsidP="006227FA">
      <w:pPr>
        <w:pStyle w:val="BodyText"/>
      </w:pPr>
      <w:r w:rsidRPr="006227FA">
        <w:t>Despite these changes, the department’s mission to provide labor market information in support of job seekers, educators, and businesses remains unchanged. </w:t>
      </w:r>
    </w:p>
    <w:p w14:paraId="354340D4" w14:textId="77777777" w:rsidR="006227FA" w:rsidRPr="007879FD" w:rsidRDefault="006227FA" w:rsidP="000C794D">
      <w:pPr>
        <w:pStyle w:val="BodyText3"/>
        <w:ind w:left="720" w:hanging="720"/>
      </w:pPr>
      <w:r w:rsidRPr="007879FD">
        <w:t>E.</w:t>
      </w:r>
      <w:r w:rsidRPr="007879FD">
        <w:tab/>
        <w:t>List any qualifications or eligibility requirements for persons or entities affected by this division or program (e.g., licensees, consumers, and landowners). Provide a statistical breakdown of persons or entities affected. </w:t>
      </w:r>
    </w:p>
    <w:p w14:paraId="701AC8E6" w14:textId="6F0AF954" w:rsidR="006227FA" w:rsidRPr="006227FA" w:rsidRDefault="006227FA" w:rsidP="006227FA">
      <w:pPr>
        <w:pStyle w:val="BodyText"/>
      </w:pPr>
      <w:r w:rsidRPr="006227FA">
        <w:t>The LMI program has no eligibility requirements; it is a publicly funded resource providing free access to employment, wage, industry, and workforce data.  LMI supports economic planning, workforce development, and informed decision-making across Texas. </w:t>
      </w:r>
    </w:p>
    <w:p w14:paraId="4E9A0F1F" w14:textId="77777777" w:rsidR="006227FA" w:rsidRPr="006227FA" w:rsidRDefault="006227FA" w:rsidP="006227FA">
      <w:pPr>
        <w:pStyle w:val="BodyText"/>
      </w:pPr>
      <w:r w:rsidRPr="006227FA">
        <w:t>Users include job seekers, employers, workforce boards, policymakers, educators, and researchers, all of whom rely on LMI to understand labor trends and align strategies with real-time market needs. </w:t>
      </w:r>
    </w:p>
    <w:p w14:paraId="074303F0" w14:textId="77777777" w:rsidR="006227FA" w:rsidRPr="007879FD" w:rsidRDefault="006227FA" w:rsidP="000C794D">
      <w:pPr>
        <w:pStyle w:val="BodyText3"/>
        <w:ind w:left="720" w:hanging="720"/>
      </w:pPr>
      <w:r w:rsidRPr="007879FD">
        <w:t>F.</w:t>
      </w:r>
      <w:r w:rsidRPr="007879FD">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30FAC257" w14:textId="77777777" w:rsidR="006227FA" w:rsidRPr="006227FA" w:rsidRDefault="006227FA" w:rsidP="006227FA">
      <w:pPr>
        <w:pStyle w:val="BodyText"/>
      </w:pPr>
      <w:r w:rsidRPr="006227FA">
        <w:t>The LMI Department operates within the Information, Innovation, and Insight Division of the Texas Workforce Commission.  It is centrally administered from Austin and does not have regional or field offices.  All services are delivered at the state level through coordinated units, supported by virtual and in-person outreach when needed. </w:t>
      </w:r>
    </w:p>
    <w:p w14:paraId="1EFE4745" w14:textId="77777777" w:rsidR="006227FA" w:rsidRPr="006227FA" w:rsidRDefault="006227FA" w:rsidP="006227FA">
      <w:pPr>
        <w:pStyle w:val="BodyText"/>
      </w:pPr>
      <w:r w:rsidRPr="006227FA">
        <w:t xml:space="preserve">The department is led by a </w:t>
      </w:r>
      <w:proofErr w:type="gramStart"/>
      <w:r w:rsidRPr="006227FA">
        <w:t>Director</w:t>
      </w:r>
      <w:proofErr w:type="gramEnd"/>
      <w:r w:rsidRPr="006227FA">
        <w:t xml:space="preserve"> II, with oversight of four core functional units, each managed by a dedicated Program Manager.  </w:t>
      </w:r>
    </w:p>
    <w:p w14:paraId="1C00D65E" w14:textId="77777777" w:rsidR="006227FA" w:rsidRPr="00E452C0" w:rsidRDefault="006227FA" w:rsidP="00C64851">
      <w:pPr>
        <w:pStyle w:val="BodyText"/>
        <w:numPr>
          <w:ilvl w:val="0"/>
          <w:numId w:val="409"/>
        </w:numPr>
      </w:pPr>
      <w:r w:rsidRPr="00E452C0">
        <w:t>Quarterly Census of Employment &amp; Wages (QCEW) </w:t>
      </w:r>
    </w:p>
    <w:p w14:paraId="672CA5BE" w14:textId="77777777" w:rsidR="006227FA" w:rsidRPr="00E452C0" w:rsidRDefault="006227FA" w:rsidP="00C64851">
      <w:pPr>
        <w:pStyle w:val="BodyText"/>
        <w:numPr>
          <w:ilvl w:val="0"/>
          <w:numId w:val="409"/>
        </w:numPr>
      </w:pPr>
      <w:r w:rsidRPr="00E452C0">
        <w:t>Occupational Employment &amp; Wage Statistics (OEWS) </w:t>
      </w:r>
    </w:p>
    <w:p w14:paraId="36DF62CF" w14:textId="77777777" w:rsidR="006227FA" w:rsidRPr="00E452C0" w:rsidRDefault="006227FA" w:rsidP="00C64851">
      <w:pPr>
        <w:pStyle w:val="BodyText"/>
        <w:numPr>
          <w:ilvl w:val="0"/>
          <w:numId w:val="409"/>
        </w:numPr>
      </w:pPr>
      <w:r w:rsidRPr="00E452C0">
        <w:t>Economic Analysis (EA)  </w:t>
      </w:r>
    </w:p>
    <w:p w14:paraId="32DE718C" w14:textId="77777777" w:rsidR="006227FA" w:rsidRPr="00E452C0" w:rsidRDefault="006227FA" w:rsidP="00C64851">
      <w:pPr>
        <w:pStyle w:val="BodyText"/>
        <w:numPr>
          <w:ilvl w:val="0"/>
          <w:numId w:val="409"/>
        </w:numPr>
      </w:pPr>
      <w:r w:rsidRPr="00E452C0">
        <w:t>Current Employment Statistics (CES) </w:t>
      </w:r>
    </w:p>
    <w:p w14:paraId="1AB6D33D" w14:textId="77777777" w:rsidR="006227FA" w:rsidRPr="00E452C0" w:rsidRDefault="006227FA" w:rsidP="00C64851">
      <w:pPr>
        <w:pStyle w:val="BodyText"/>
        <w:numPr>
          <w:ilvl w:val="0"/>
          <w:numId w:val="409"/>
        </w:numPr>
      </w:pPr>
      <w:r w:rsidRPr="00E452C0">
        <w:t>Local Area Unemployment Statistics (LAUS) </w:t>
      </w:r>
    </w:p>
    <w:p w14:paraId="72D29AA8" w14:textId="77777777" w:rsidR="006227FA" w:rsidRPr="00E452C0" w:rsidRDefault="006227FA" w:rsidP="00C64851">
      <w:pPr>
        <w:pStyle w:val="BodyText"/>
        <w:numPr>
          <w:ilvl w:val="0"/>
          <w:numId w:val="409"/>
        </w:numPr>
      </w:pPr>
      <w:r w:rsidRPr="00E452C0">
        <w:t>Industry and Occupational Projections </w:t>
      </w:r>
    </w:p>
    <w:p w14:paraId="14841486" w14:textId="77777777" w:rsidR="006227FA" w:rsidRPr="00E452C0" w:rsidRDefault="006227FA" w:rsidP="00C64851">
      <w:pPr>
        <w:pStyle w:val="BodyText"/>
        <w:numPr>
          <w:ilvl w:val="0"/>
          <w:numId w:val="409"/>
        </w:numPr>
      </w:pPr>
      <w:r w:rsidRPr="00E452C0">
        <w:lastRenderedPageBreak/>
        <w:t>Business Outreach </w:t>
      </w:r>
    </w:p>
    <w:p w14:paraId="2A1404F7" w14:textId="77777777" w:rsidR="006227FA" w:rsidRPr="00E452C0" w:rsidRDefault="006227FA" w:rsidP="00C64851">
      <w:pPr>
        <w:pStyle w:val="BodyText"/>
        <w:numPr>
          <w:ilvl w:val="0"/>
          <w:numId w:val="409"/>
        </w:numPr>
      </w:pPr>
      <w:r w:rsidRPr="00E452C0">
        <w:t>LMI Information Technology (IT) </w:t>
      </w:r>
    </w:p>
    <w:p w14:paraId="5D0F389E" w14:textId="77777777" w:rsidR="006227FA" w:rsidRPr="006227FA" w:rsidRDefault="006227FA" w:rsidP="006227FA">
      <w:pPr>
        <w:pStyle w:val="BodyText"/>
      </w:pPr>
      <w:r w:rsidRPr="006227FA">
        <w:t>These units collectively ensure the production, quality, and dissemination of labor market data that supports workforce development, economic planning, and public access to career information.  </w:t>
      </w:r>
    </w:p>
    <w:p w14:paraId="2BFBEAC7" w14:textId="77777777" w:rsidR="006227FA" w:rsidRPr="006227FA" w:rsidRDefault="006227FA" w:rsidP="006227FA">
      <w:pPr>
        <w:pStyle w:val="BodyText"/>
      </w:pPr>
      <w:r w:rsidRPr="006227FA">
        <w:t>The BLS program functions are administered under a detailed Cooperative Agreement, which includes specific deliverables, timelines, and performance expectations for each statistical program.  In addition, each program follows strict operations manuals that define policies, procedures, and quality assurance practices to ensure compliance with federal statistical standards. </w:t>
      </w:r>
    </w:p>
    <w:p w14:paraId="7A6AA4EA" w14:textId="77777777" w:rsidR="006227FA" w:rsidRPr="006227FA" w:rsidRDefault="006227FA" w:rsidP="006227FA">
      <w:pPr>
        <w:pStyle w:val="BodyText"/>
      </w:pPr>
      <w:r w:rsidRPr="006227FA">
        <w:t>Additional oversight and program guidance is provided by ETA through the WIGS grant.  The annual Training and Employment Guidance Letter (TEGL) outlines the requirements and timeframes for all deliverables.  </w:t>
      </w:r>
    </w:p>
    <w:p w14:paraId="68458FEE" w14:textId="77777777" w:rsidR="006227FA" w:rsidRPr="007879FD" w:rsidRDefault="006227FA" w:rsidP="00E452C0">
      <w:pPr>
        <w:pStyle w:val="BodyText3"/>
        <w:ind w:left="720" w:hanging="720"/>
      </w:pPr>
      <w:r w:rsidRPr="007879FD">
        <w:t>G.</w:t>
      </w:r>
      <w:r w:rsidRPr="007879FD">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2785"/>
        <w:gridCol w:w="2130"/>
        <w:gridCol w:w="2341"/>
        <w:gridCol w:w="2104"/>
      </w:tblGrid>
      <w:tr w:rsidR="00357285" w:rsidRPr="004A0C0E" w14:paraId="4EE62E97" w14:textId="77777777" w:rsidTr="00357285">
        <w:trPr>
          <w:trHeight w:val="288"/>
        </w:trPr>
        <w:tc>
          <w:tcPr>
            <w:tcW w:w="2785" w:type="dxa"/>
            <w:shd w:val="clear" w:color="auto" w:fill="B8CCE4" w:themeFill="accent1" w:themeFillTint="66"/>
            <w:vAlign w:val="center"/>
            <w:hideMark/>
          </w:tcPr>
          <w:p w14:paraId="2BC33596" w14:textId="77777777" w:rsidR="00357285" w:rsidRPr="004A0C0E" w:rsidRDefault="00357285" w:rsidP="00357285">
            <w:pPr>
              <w:pStyle w:val="TableHeaders"/>
              <w:rPr>
                <w:color w:val="000000"/>
              </w:rPr>
            </w:pPr>
            <w:r w:rsidRPr="004A0C0E">
              <w:t>Program or Function Detail Description</w:t>
            </w:r>
          </w:p>
        </w:tc>
        <w:tc>
          <w:tcPr>
            <w:tcW w:w="2430" w:type="dxa"/>
            <w:shd w:val="clear" w:color="auto" w:fill="B8CCE4" w:themeFill="accent1" w:themeFillTint="66"/>
            <w:vAlign w:val="center"/>
            <w:hideMark/>
          </w:tcPr>
          <w:p w14:paraId="7AEB7DCD" w14:textId="77777777" w:rsidR="00357285" w:rsidRPr="004A0C0E" w:rsidRDefault="00357285" w:rsidP="00357285">
            <w:pPr>
              <w:pStyle w:val="TableHeaders"/>
              <w:rPr>
                <w:color w:val="000000"/>
              </w:rPr>
            </w:pPr>
            <w:r w:rsidRPr="004A0C0E">
              <w:t>Total FY 2024</w:t>
            </w:r>
          </w:p>
        </w:tc>
        <w:tc>
          <w:tcPr>
            <w:tcW w:w="2700" w:type="dxa"/>
            <w:shd w:val="clear" w:color="auto" w:fill="B8CCE4" w:themeFill="accent1" w:themeFillTint="66"/>
            <w:vAlign w:val="center"/>
            <w:hideMark/>
          </w:tcPr>
          <w:p w14:paraId="37461829" w14:textId="77777777" w:rsidR="00357285" w:rsidRPr="004A0C0E" w:rsidRDefault="00357285" w:rsidP="00357285">
            <w:pPr>
              <w:pStyle w:val="TableHeaders"/>
              <w:rPr>
                <w:color w:val="000000"/>
              </w:rPr>
            </w:pPr>
            <w:r w:rsidRPr="004A0C0E">
              <w:t>Federal Funding</w:t>
            </w:r>
          </w:p>
        </w:tc>
        <w:tc>
          <w:tcPr>
            <w:tcW w:w="2425" w:type="dxa"/>
            <w:shd w:val="clear" w:color="auto" w:fill="B8CCE4" w:themeFill="accent1" w:themeFillTint="66"/>
            <w:vAlign w:val="center"/>
            <w:hideMark/>
          </w:tcPr>
          <w:p w14:paraId="1719ABF2" w14:textId="77777777" w:rsidR="00357285" w:rsidRPr="004A0C0E" w:rsidRDefault="00357285" w:rsidP="00357285">
            <w:pPr>
              <w:pStyle w:val="TableHeaders"/>
              <w:rPr>
                <w:color w:val="000000"/>
              </w:rPr>
            </w:pPr>
            <w:r w:rsidRPr="004A0C0E">
              <w:t>State Funding</w:t>
            </w:r>
          </w:p>
        </w:tc>
      </w:tr>
      <w:tr w:rsidR="00357285" w:rsidRPr="004A0C0E" w14:paraId="55D16A4F" w14:textId="77777777" w:rsidTr="00357285">
        <w:trPr>
          <w:trHeight w:val="288"/>
        </w:trPr>
        <w:tc>
          <w:tcPr>
            <w:tcW w:w="2785" w:type="dxa"/>
            <w:noWrap/>
            <w:vAlign w:val="center"/>
            <w:hideMark/>
          </w:tcPr>
          <w:p w14:paraId="6F96423A" w14:textId="77777777" w:rsidR="00357285" w:rsidRPr="004A0C0E" w:rsidRDefault="00357285" w:rsidP="00357285">
            <w:pPr>
              <w:pStyle w:val="TableText"/>
            </w:pPr>
            <w:r w:rsidRPr="004A0C0E">
              <w:t>Labor Market Information (LMI)Program</w:t>
            </w:r>
          </w:p>
        </w:tc>
        <w:tc>
          <w:tcPr>
            <w:tcW w:w="2430" w:type="dxa"/>
            <w:vAlign w:val="center"/>
            <w:hideMark/>
          </w:tcPr>
          <w:p w14:paraId="72779012" w14:textId="78AFA2F6" w:rsidR="00357285" w:rsidRPr="004A0C0E" w:rsidRDefault="00357285" w:rsidP="00357285">
            <w:pPr>
              <w:pStyle w:val="TableText"/>
              <w:jc w:val="right"/>
            </w:pPr>
            <w:r w:rsidRPr="004A0C0E">
              <w:t xml:space="preserve">4,744,560 </w:t>
            </w:r>
          </w:p>
        </w:tc>
        <w:tc>
          <w:tcPr>
            <w:tcW w:w="2700" w:type="dxa"/>
            <w:vAlign w:val="center"/>
            <w:hideMark/>
          </w:tcPr>
          <w:p w14:paraId="6FDEFD0B" w14:textId="24C12F81" w:rsidR="00357285" w:rsidRPr="004A0C0E" w:rsidRDefault="00357285" w:rsidP="00357285">
            <w:pPr>
              <w:pStyle w:val="TableText"/>
              <w:jc w:val="right"/>
            </w:pPr>
            <w:r w:rsidRPr="004A0C0E">
              <w:t xml:space="preserve">4,552,792 </w:t>
            </w:r>
          </w:p>
        </w:tc>
        <w:tc>
          <w:tcPr>
            <w:tcW w:w="2425" w:type="dxa"/>
            <w:vAlign w:val="center"/>
            <w:hideMark/>
          </w:tcPr>
          <w:p w14:paraId="589E8E99" w14:textId="34C081EF" w:rsidR="00357285" w:rsidRPr="004A0C0E" w:rsidRDefault="00357285" w:rsidP="00357285">
            <w:pPr>
              <w:pStyle w:val="TableText"/>
              <w:jc w:val="right"/>
            </w:pPr>
            <w:r w:rsidRPr="004A0C0E">
              <w:t xml:space="preserve">191,768 </w:t>
            </w:r>
          </w:p>
        </w:tc>
      </w:tr>
    </w:tbl>
    <w:p w14:paraId="41464D31" w14:textId="77777777" w:rsidR="006227FA" w:rsidRPr="00296E17" w:rsidRDefault="006227FA" w:rsidP="004B5F53">
      <w:pPr>
        <w:pStyle w:val="BodyText3"/>
        <w:ind w:left="720" w:hanging="720"/>
      </w:pPr>
      <w:r w:rsidRPr="00296E17">
        <w:t>H.</w:t>
      </w:r>
      <w:r w:rsidRPr="00296E17">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410C2DF0" w14:textId="130BF325" w:rsidR="006227FA" w:rsidRPr="006227FA" w:rsidRDefault="003C68E9" w:rsidP="006227FA">
      <w:pPr>
        <w:pStyle w:val="BodyText"/>
      </w:pPr>
      <w:r>
        <w:t>N/A</w:t>
      </w:r>
    </w:p>
    <w:p w14:paraId="0B4B2190" w14:textId="77777777" w:rsidR="006227FA" w:rsidRPr="00296E17" w:rsidRDefault="006227FA" w:rsidP="004B5F53">
      <w:pPr>
        <w:pStyle w:val="BodyText3"/>
        <w:ind w:left="720" w:hanging="720"/>
      </w:pPr>
      <w:r w:rsidRPr="00296E17">
        <w:t>I.</w:t>
      </w:r>
      <w:r w:rsidRPr="00296E17">
        <w:tab/>
        <w:t>If the division or program works with local, regional, or federal units of government, include a brief description of these entities and their relationship to the agency. </w:t>
      </w:r>
    </w:p>
    <w:p w14:paraId="5C534ED4" w14:textId="77777777" w:rsidR="006227FA" w:rsidRPr="006227FA" w:rsidRDefault="006227FA" w:rsidP="006227FA">
      <w:pPr>
        <w:pStyle w:val="BodyText"/>
      </w:pPr>
      <w:r w:rsidRPr="006227FA">
        <w:t>The LMI Department collaborates extensively with federal, state, and regional partners to ensure labor market data is accurate, relevant, and actionable. </w:t>
      </w:r>
    </w:p>
    <w:p w14:paraId="0303F9BB" w14:textId="77777777" w:rsidR="006227FA" w:rsidRPr="006227FA" w:rsidRDefault="006227FA" w:rsidP="006227FA">
      <w:pPr>
        <w:pStyle w:val="BodyText"/>
      </w:pPr>
      <w:r w:rsidRPr="006227FA">
        <w:lastRenderedPageBreak/>
        <w:t>At the federal level, LMI operates under cooperative agreements with BLS and receives grant funding from ETA, producing key datasets such as CES, LAUS, OEWS, QCEW, and Projections. </w:t>
      </w:r>
    </w:p>
    <w:p w14:paraId="4A901ED3" w14:textId="77777777" w:rsidR="006227FA" w:rsidRPr="006227FA" w:rsidRDefault="006227FA" w:rsidP="006227FA">
      <w:pPr>
        <w:pStyle w:val="BodyText"/>
      </w:pPr>
      <w:r w:rsidRPr="006227FA">
        <w:t>At the state level, LMI works closely with the TEA and THECB to support workforce-education alignment and participates in Tri-Agency initiatives on career pathways, advising, and data governance. </w:t>
      </w:r>
    </w:p>
    <w:p w14:paraId="15FB5EB9" w14:textId="77777777" w:rsidR="006227FA" w:rsidRPr="00296E17" w:rsidRDefault="006227FA" w:rsidP="00296E17">
      <w:pPr>
        <w:pStyle w:val="BodyText3"/>
      </w:pPr>
      <w:r w:rsidRPr="006227FA">
        <w:rPr>
          <w:b w:val="0"/>
        </w:rPr>
        <w:t xml:space="preserve">Regionally, LMI partners with all 28 Local Workforce Development Boards, offering labor market analysis, training, and support for WIOA planning, including assistance with In-Demand and Target Occupation Lists to guide program development based on local </w:t>
      </w:r>
      <w:r w:rsidRPr="00296E17">
        <w:t>economic conditions. </w:t>
      </w:r>
    </w:p>
    <w:p w14:paraId="676D900F" w14:textId="77777777" w:rsidR="006227FA" w:rsidRPr="00296E17" w:rsidRDefault="006227FA" w:rsidP="004B5F53">
      <w:pPr>
        <w:pStyle w:val="BodyText3"/>
        <w:ind w:left="720" w:hanging="720"/>
      </w:pPr>
      <w:r w:rsidRPr="00296E17">
        <w:t>J.</w:t>
      </w:r>
      <w:r w:rsidRPr="00296E17">
        <w:tab/>
        <w:t>Are there any barriers or challenges that impede the division or program’s performance, including any outdated or ineffective state laws? Explain. </w:t>
      </w:r>
    </w:p>
    <w:p w14:paraId="713C79C5" w14:textId="0A6EEDBD" w:rsidR="006227FA" w:rsidRPr="006227FA" w:rsidRDefault="006227FA" w:rsidP="006227FA">
      <w:pPr>
        <w:pStyle w:val="BodyText"/>
      </w:pPr>
      <w:r w:rsidRPr="006227FA">
        <w:t>N</w:t>
      </w:r>
      <w:r w:rsidR="00296E17">
        <w:t>/A</w:t>
      </w:r>
    </w:p>
    <w:p w14:paraId="3818711B" w14:textId="77777777" w:rsidR="006227FA" w:rsidRPr="00296E17" w:rsidRDefault="006227FA" w:rsidP="004B5F53">
      <w:pPr>
        <w:pStyle w:val="BodyText3"/>
        <w:ind w:left="720" w:hanging="720"/>
      </w:pPr>
      <w:r w:rsidRPr="00296E17">
        <w:t>K.</w:t>
      </w:r>
      <w:r w:rsidRPr="00296E17">
        <w:tab/>
        <w:t>Provide any additional information needed to gain a preliminary understanding of the division or program. </w:t>
      </w:r>
    </w:p>
    <w:p w14:paraId="1CB7DA13" w14:textId="0325AF13" w:rsidR="006227FA" w:rsidRPr="006227FA" w:rsidRDefault="006227FA" w:rsidP="006227FA">
      <w:pPr>
        <w:pStyle w:val="BodyText"/>
      </w:pPr>
      <w:r w:rsidRPr="006227FA">
        <w:t>N</w:t>
      </w:r>
      <w:r w:rsidR="00296E17">
        <w:t>/A</w:t>
      </w:r>
      <w:r w:rsidRPr="006227FA">
        <w:t> </w:t>
      </w:r>
    </w:p>
    <w:p w14:paraId="5435C665" w14:textId="77777777" w:rsidR="006227FA" w:rsidRPr="00296E17" w:rsidRDefault="006227FA" w:rsidP="004B5F53">
      <w:pPr>
        <w:pStyle w:val="BodyText3"/>
        <w:ind w:left="720" w:hanging="720"/>
      </w:pPr>
      <w:r w:rsidRPr="00296E17">
        <w:t>L.</w:t>
      </w:r>
      <w:r w:rsidRPr="00296E17">
        <w:tab/>
        <w:t>Regulatory programs relate to the licensing, registration, certification, or permitting of a person, business, piece of equipment, or other entity (e.g., a facility). For each regulatory program, if applicable, describe: </w:t>
      </w:r>
    </w:p>
    <w:p w14:paraId="35D2C03F" w14:textId="5D47840E" w:rsidR="006227FA" w:rsidRPr="006227FA" w:rsidRDefault="00151B11" w:rsidP="006227FA">
      <w:pPr>
        <w:pStyle w:val="BodyText"/>
      </w:pPr>
      <w:r>
        <w:t>N/A</w:t>
      </w:r>
    </w:p>
    <w:p w14:paraId="71260122" w14:textId="77777777" w:rsidR="006227FA" w:rsidRPr="00151B11" w:rsidRDefault="006227FA" w:rsidP="004B5F53">
      <w:pPr>
        <w:pStyle w:val="BodyText3"/>
        <w:ind w:left="720" w:hanging="720"/>
      </w:pPr>
      <w:r w:rsidRPr="00151B11">
        <w:t>M.</w:t>
      </w:r>
      <w:r w:rsidRPr="00151B11">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66F3E9C8" w14:textId="273AE2D6" w:rsidR="00151B11" w:rsidRDefault="006227FA" w:rsidP="0090251B">
      <w:pPr>
        <w:pStyle w:val="BodyText"/>
        <w:rPr>
          <w:b/>
        </w:rPr>
      </w:pPr>
      <w:r w:rsidRPr="006227FA">
        <w:t>N</w:t>
      </w:r>
      <w:r w:rsidR="00151B11">
        <w:t>/A</w:t>
      </w:r>
      <w:r w:rsidR="00151B11">
        <w:br w:type="page"/>
      </w:r>
    </w:p>
    <w:p w14:paraId="7806F01C" w14:textId="6CBA95EE" w:rsidR="001B73D2" w:rsidRPr="001B73D2" w:rsidRDefault="001B73D2" w:rsidP="001B73D2">
      <w:pPr>
        <w:pStyle w:val="BodyText"/>
        <w:rPr>
          <w:b/>
          <w:bCs/>
        </w:rPr>
      </w:pPr>
      <w:r w:rsidRPr="00323577">
        <w:rPr>
          <w:b/>
          <w:bCs/>
        </w:rPr>
        <w:lastRenderedPageBreak/>
        <w:t>Performance Reporting and Analysis</w:t>
      </w:r>
    </w:p>
    <w:p w14:paraId="68F5FF61" w14:textId="7499803A" w:rsidR="001B73D2" w:rsidRPr="001B73D2" w:rsidRDefault="001B73D2" w:rsidP="001B73D2">
      <w:pPr>
        <w:pStyle w:val="BodyText3"/>
      </w:pPr>
      <w:r w:rsidRPr="001B73D2">
        <w:t>A.</w:t>
      </w:r>
      <w:r w:rsidR="004B5F53">
        <w:tab/>
      </w:r>
      <w:r w:rsidRPr="001B73D2">
        <w:t>Provide the following information at the beginning of each description. </w:t>
      </w:r>
    </w:p>
    <w:p w14:paraId="40530E18" w14:textId="77777777" w:rsidR="001B73D2" w:rsidRPr="001B73D2" w:rsidRDefault="001B73D2" w:rsidP="00C64851">
      <w:pPr>
        <w:pStyle w:val="BodyText"/>
        <w:numPr>
          <w:ilvl w:val="0"/>
          <w:numId w:val="310"/>
        </w:numPr>
        <w:spacing w:before="120" w:after="120"/>
      </w:pPr>
      <w:r w:rsidRPr="001B73D2">
        <w:rPr>
          <w:i/>
          <w:iCs/>
        </w:rPr>
        <w:t>Name of division or program: Performance Reporting and Analysis Department</w:t>
      </w:r>
      <w:r w:rsidRPr="001B73D2">
        <w:t> </w:t>
      </w:r>
    </w:p>
    <w:p w14:paraId="4D509119" w14:textId="77777777" w:rsidR="001B73D2" w:rsidRPr="001B73D2" w:rsidRDefault="001B73D2" w:rsidP="00C64851">
      <w:pPr>
        <w:pStyle w:val="BodyText"/>
        <w:numPr>
          <w:ilvl w:val="0"/>
          <w:numId w:val="310"/>
        </w:numPr>
        <w:spacing w:before="120" w:after="120"/>
      </w:pPr>
      <w:r w:rsidRPr="001B73D2">
        <w:rPr>
          <w:i/>
          <w:iCs/>
        </w:rPr>
        <w:t>Location within the agency: Information Innovation &amp; Insight Division (I|3 Division) </w:t>
      </w:r>
      <w:r w:rsidRPr="001B73D2">
        <w:t> </w:t>
      </w:r>
    </w:p>
    <w:p w14:paraId="26DB58E1" w14:textId="77777777" w:rsidR="001B73D2" w:rsidRPr="001B73D2" w:rsidRDefault="001B73D2" w:rsidP="00C64851">
      <w:pPr>
        <w:pStyle w:val="BodyText"/>
        <w:numPr>
          <w:ilvl w:val="0"/>
          <w:numId w:val="310"/>
        </w:numPr>
        <w:spacing w:before="120" w:after="120"/>
      </w:pPr>
      <w:r w:rsidRPr="001B73D2">
        <w:rPr>
          <w:i/>
          <w:iCs/>
        </w:rPr>
        <w:t xml:space="preserve">Contact name: Jennifer </w:t>
      </w:r>
      <w:proofErr w:type="spellStart"/>
      <w:r w:rsidRPr="001B73D2">
        <w:rPr>
          <w:i/>
          <w:iCs/>
        </w:rPr>
        <w:t>Colehower</w:t>
      </w:r>
      <w:proofErr w:type="spellEnd"/>
      <w:r w:rsidRPr="001B73D2">
        <w:rPr>
          <w:i/>
          <w:iCs/>
        </w:rPr>
        <w:t>, Division Director</w:t>
      </w:r>
      <w:r w:rsidRPr="001B73D2">
        <w:t> </w:t>
      </w:r>
    </w:p>
    <w:p w14:paraId="47ED7FB0" w14:textId="77777777" w:rsidR="001B73D2" w:rsidRPr="001B73D2" w:rsidRDefault="001B73D2" w:rsidP="00C64851">
      <w:pPr>
        <w:pStyle w:val="BodyText"/>
        <w:numPr>
          <w:ilvl w:val="0"/>
          <w:numId w:val="310"/>
        </w:numPr>
        <w:spacing w:before="120" w:after="120"/>
      </w:pPr>
      <w:r w:rsidRPr="001B73D2">
        <w:rPr>
          <w:i/>
          <w:iCs/>
        </w:rPr>
        <w:t>Statutory citation: N/A</w:t>
      </w:r>
      <w:r w:rsidRPr="001B73D2">
        <w:t> </w:t>
      </w:r>
    </w:p>
    <w:p w14:paraId="7D485581" w14:textId="0A9E4D85" w:rsidR="001B73D2" w:rsidRPr="000D5E2A" w:rsidRDefault="001B73D2" w:rsidP="004B5F53">
      <w:pPr>
        <w:pStyle w:val="BodyText3"/>
        <w:ind w:left="720" w:hanging="720"/>
      </w:pPr>
      <w:r w:rsidRPr="000D5E2A">
        <w:t>B.</w:t>
      </w:r>
      <w:r w:rsidR="004B5F53">
        <w:tab/>
      </w:r>
      <w:r w:rsidRPr="000D5E2A">
        <w:t>What is the objective of this division or program? Describe its major activities. </w:t>
      </w:r>
    </w:p>
    <w:p w14:paraId="5B053C82" w14:textId="77777777" w:rsidR="001B73D2" w:rsidRPr="001B73D2" w:rsidRDefault="001B73D2" w:rsidP="001B73D2">
      <w:pPr>
        <w:pStyle w:val="BodyText"/>
      </w:pPr>
      <w:r w:rsidRPr="001B73D2">
        <w:t>The Information Innovation &amp; Insight Division (I|3 Division) is responsible for helping TWC, its partners, and other economic-education-workforce development stakeholders leverage data to better meet the needs of employers, individuals, families, and communities in Texas. </w:t>
      </w:r>
    </w:p>
    <w:p w14:paraId="72EF30CC" w14:textId="324CF157" w:rsidR="001B73D2" w:rsidRPr="001B73D2" w:rsidRDefault="001B73D2" w:rsidP="001B73D2">
      <w:pPr>
        <w:pStyle w:val="BodyText"/>
      </w:pPr>
      <w:r w:rsidRPr="001B73D2">
        <w:t xml:space="preserve">The Performance Reporting and Analysis </w:t>
      </w:r>
      <w:r w:rsidR="000D5E2A">
        <w:t xml:space="preserve">(PRA) </w:t>
      </w:r>
      <w:r w:rsidRPr="001B73D2">
        <w:t>Department</w:t>
      </w:r>
      <w:r w:rsidR="000D5E2A">
        <w:t xml:space="preserve"> </w:t>
      </w:r>
      <w:r w:rsidRPr="001B73D2">
        <w:t>within the I|3 Division is composed of two teams that conduct the following: </w:t>
      </w:r>
    </w:p>
    <w:p w14:paraId="5D2FFFB0" w14:textId="77777777" w:rsidR="001B73D2" w:rsidRPr="001B73D2" w:rsidRDefault="001B73D2" w:rsidP="001B73D2">
      <w:pPr>
        <w:pStyle w:val="BodyText"/>
      </w:pPr>
      <w:r w:rsidRPr="001B73D2">
        <w:rPr>
          <w:b/>
          <w:bCs/>
        </w:rPr>
        <w:t xml:space="preserve">Performance Measure Development and Reporting:  </w:t>
      </w:r>
      <w:r w:rsidRPr="001B73D2">
        <w:t>Evaluating, revising, and developing performance measures and targets for internal management, TWC’s Strategic Plan, and state plans supporting federal programs operated by TWC.  This work includes developing performance reporting methodologies and preparing monthly, quarterly, and annual performance reports.  Reports based on state and federal performance and management measures are utilized for workforce system monitoring, program management, and strategic planning.   </w:t>
      </w:r>
    </w:p>
    <w:p w14:paraId="1570ED43" w14:textId="759E02FF" w:rsidR="001B73D2" w:rsidRPr="001B73D2" w:rsidRDefault="001B73D2" w:rsidP="001B73D2">
      <w:pPr>
        <w:pStyle w:val="BodyText"/>
      </w:pPr>
      <w:r w:rsidRPr="001B73D2">
        <w:rPr>
          <w:b/>
          <w:bCs/>
        </w:rPr>
        <w:t xml:space="preserve">Performance Analysis and Evaluation: </w:t>
      </w:r>
      <w:r w:rsidRPr="001B73D2">
        <w:t>Evaluating performance data including identifying limitations in data, applying data modeling to predict future performance, assessing performance results with considerations for</w:t>
      </w:r>
      <w:r w:rsidR="000D5E2A">
        <w:t xml:space="preserve"> </w:t>
      </w:r>
      <w:r w:rsidRPr="001B73D2">
        <w:t>outcomes outliers and economic factors outside of the workforce system’s control</w:t>
      </w:r>
      <w:r w:rsidR="00E604D0">
        <w:t>.</w:t>
      </w:r>
      <w:r w:rsidRPr="001B73D2">
        <w:t xml:space="preserve"> This work also includes supporting data-driven enhancements and interventions with workforce program areas and agency operations. </w:t>
      </w:r>
    </w:p>
    <w:p w14:paraId="284AF384" w14:textId="77777777" w:rsidR="001B73D2" w:rsidRPr="001B73D2" w:rsidRDefault="001B73D2" w:rsidP="001B73D2">
      <w:pPr>
        <w:pStyle w:val="BodyText"/>
      </w:pPr>
      <w:r w:rsidRPr="001B73D2">
        <w:rPr>
          <w:b/>
          <w:bCs/>
        </w:rPr>
        <w:t xml:space="preserve">Specialized Reporting and GIS Analysis: </w:t>
      </w:r>
      <w:r w:rsidRPr="001B73D2">
        <w:t>Preparing non-routine, specialized ad hoc reports based on customer requests to support program development and management.  Reports are also utilized to support and guide strategic decision making.  GIS analysis integrates TWC data with geographic information helping TWC divisions to track program and operational trends and making location-based or relocation decisions, including conducting demographic analyses across various geographies. </w:t>
      </w:r>
    </w:p>
    <w:p w14:paraId="0F76F019" w14:textId="77777777" w:rsidR="001B73D2" w:rsidRPr="001B73D2" w:rsidRDefault="001B73D2" w:rsidP="001B73D2">
      <w:pPr>
        <w:pStyle w:val="BodyText"/>
      </w:pPr>
      <w:r w:rsidRPr="001B73D2">
        <w:rPr>
          <w:b/>
          <w:bCs/>
        </w:rPr>
        <w:t xml:space="preserve">Data Analysis Tools Development: </w:t>
      </w:r>
      <w:r w:rsidRPr="001B73D2">
        <w:t xml:space="preserve">Developing standard tools to allow internal customers to more easily access and evaluate workforce system data.  This includes working with internal customers to identify their program and operational monitoring needs, develop data </w:t>
      </w:r>
      <w:r w:rsidRPr="001B73D2">
        <w:lastRenderedPageBreak/>
        <w:t>fluency within TWC and self-service capabilities for both internal and external customers, including Local Workforce Development Boards and other program partners.  </w:t>
      </w:r>
    </w:p>
    <w:p w14:paraId="047269AA" w14:textId="11EE40F7" w:rsidR="001B73D2" w:rsidRPr="000D5E2A" w:rsidRDefault="001B73D2" w:rsidP="00E604D0">
      <w:pPr>
        <w:pStyle w:val="BodyText3"/>
        <w:ind w:left="720" w:hanging="720"/>
      </w:pPr>
      <w:r w:rsidRPr="000D5E2A">
        <w:t>C.</w:t>
      </w:r>
      <w:r w:rsidR="00E604D0">
        <w:tab/>
      </w:r>
      <w:r w:rsidRPr="000D5E2A">
        <w:t xml:space="preserve">What information does the agency collect/use to assess the effectiveness and efficiency of this division or program? If applicable, briefly note any LBB performance measures (from Section II, </w:t>
      </w:r>
      <w:proofErr w:type="gramStart"/>
      <w:r w:rsidRPr="000D5E2A">
        <w:t>Exhibit</w:t>
      </w:r>
      <w:proofErr w:type="gramEnd"/>
      <w:r w:rsidRPr="000D5E2A">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44C4DD0" w14:textId="77777777" w:rsidR="001B73D2" w:rsidRPr="001B73D2" w:rsidRDefault="001B73D2" w:rsidP="001B73D2">
      <w:pPr>
        <w:pStyle w:val="BodyText"/>
      </w:pPr>
      <w:r w:rsidRPr="001B73D2">
        <w:t>The Performance Reporting and Evaluation Department tracks the effectiveness and efficiency of agency programs, including operating as the central location for development, collection, and reporting of LBB performance measures. The PRA Department works closely with internal and external stakeholders to continuously refine program performance measures and target setting methodologies to better serve their needs. Effectiveness and efficiency are evaluated based on customer feedback, reporting accuracy, staff time spent on requests, and number and quality of routine and specialized reports. To develop and drive process improvement within the reporting sphere, the PRA Department regularly consults with other states and federal agencies.  </w:t>
      </w:r>
    </w:p>
    <w:p w14:paraId="5B01026F" w14:textId="77777777" w:rsidR="001B73D2" w:rsidRPr="001B73D2" w:rsidRDefault="001B73D2" w:rsidP="001B73D2">
      <w:pPr>
        <w:pStyle w:val="BodyText"/>
      </w:pPr>
      <w:r w:rsidRPr="001B73D2">
        <w:t>The following are examples of effectiveness and efficiency led by the PRA Department:  </w:t>
      </w:r>
    </w:p>
    <w:p w14:paraId="50C73AF5" w14:textId="77777777" w:rsidR="001B73D2" w:rsidRPr="001B73D2" w:rsidRDefault="001B73D2" w:rsidP="001B73D2">
      <w:pPr>
        <w:pStyle w:val="BodyText"/>
      </w:pPr>
      <w:r w:rsidRPr="001B73D2">
        <w:t xml:space="preserve">The TWC’s initiative to build the TWC’s Enterprise Data Warehouse (EDW) for internal customers advanced the creation of fraud detection and prevention tools for the Unemployment Insurance (UI) program, and development of a Tableau-based UI claimant supply dashboard allows Local Workforce Development Boards to examine customer populations and better understand their customer needs and </w:t>
      </w:r>
      <w:proofErr w:type="gramStart"/>
      <w:r w:rsidRPr="001B73D2">
        <w:t>current status</w:t>
      </w:r>
      <w:proofErr w:type="gramEnd"/>
      <w:r w:rsidRPr="001B73D2">
        <w:t>.  The PRA Department continues to rely on the EDW to further its effectiveness and efficiency efforts through development of modern Tableau-based tools for TWC’s Vocational Rehabilitation program as well as Board-operated programs such as Child Care and Career &amp; Training programs. </w:t>
      </w:r>
    </w:p>
    <w:p w14:paraId="062DB2A8" w14:textId="77777777" w:rsidR="001B73D2" w:rsidRPr="001B73D2" w:rsidRDefault="001B73D2" w:rsidP="001B73D2">
      <w:pPr>
        <w:pStyle w:val="BodyText"/>
      </w:pPr>
      <w:r w:rsidRPr="001B73D2">
        <w:t>As one of the first states to implement common measures before the federal Common Measures existed, the PRA Department strives to integrate and improve services through pursuit of similar goals and outcomes for workforce system customers by alignment of performance measure methodologies. </w:t>
      </w:r>
    </w:p>
    <w:p w14:paraId="4C4E5C1A" w14:textId="19B4FA5D" w:rsidR="001B73D2" w:rsidRPr="00F42532" w:rsidRDefault="001B73D2" w:rsidP="00E604D0">
      <w:pPr>
        <w:pStyle w:val="BodyText3"/>
        <w:ind w:left="720" w:hanging="720"/>
      </w:pPr>
      <w:r w:rsidRPr="00F42532">
        <w:t>D.</w:t>
      </w:r>
      <w:r w:rsidR="00E604D0">
        <w:tab/>
      </w:r>
      <w:r w:rsidRPr="00F42532">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5627081A" w14:textId="68299E56" w:rsidR="001B73D2" w:rsidRPr="001B73D2" w:rsidRDefault="001B73D2" w:rsidP="001B73D2">
      <w:pPr>
        <w:pStyle w:val="BodyText"/>
      </w:pPr>
      <w:r w:rsidRPr="001B73D2">
        <w:t xml:space="preserve">In 2021, TWC’s performance reporting functions were merged with the agency’s labor market information functions to form the Information Innovation &amp; Insight Division. </w:t>
      </w:r>
      <w:r w:rsidR="00F42532" w:rsidRPr="001B73D2">
        <w:t>Before</w:t>
      </w:r>
      <w:r w:rsidRPr="001B73D2">
        <w:t xml:space="preserve"> this, these functions were contained in two different divisions within TWC.  </w:t>
      </w:r>
    </w:p>
    <w:p w14:paraId="326EACFB" w14:textId="655DEC8B" w:rsidR="001B73D2" w:rsidRPr="00F42532" w:rsidRDefault="001B73D2" w:rsidP="00E604D0">
      <w:pPr>
        <w:pStyle w:val="BodyText3"/>
        <w:ind w:left="720" w:hanging="720"/>
      </w:pPr>
      <w:r w:rsidRPr="00F42532">
        <w:lastRenderedPageBreak/>
        <w:t>E.</w:t>
      </w:r>
      <w:r w:rsidR="00E604D0">
        <w:tab/>
      </w:r>
      <w:r w:rsidRPr="00F42532">
        <w:t>List any qualifications or eligibility requirements for persons or entities affected by this division or program (e.g., licensees, consumers, and landowners). Provide a statistical breakdown of persons or entities affected. </w:t>
      </w:r>
    </w:p>
    <w:p w14:paraId="5AEEE35C" w14:textId="77777777" w:rsidR="001B73D2" w:rsidRPr="001B73D2" w:rsidRDefault="001B73D2" w:rsidP="001B73D2">
      <w:pPr>
        <w:pStyle w:val="BodyText"/>
      </w:pPr>
      <w:r w:rsidRPr="001B73D2">
        <w:t>Internal TWC customers, the PRA Department’s products are primarily used by TWC Commissioners, executive leadership, and agency staff.  External customers include Local Workforce Development Boards and their contractors, U.S. Department of Labor (DOL), Texas Health and Human Services Commission, the Texas Veterans Commission, the Legislative Budget Board, and the Texas Workforce Investment Council. The data products, primarily in the form of performance reports, assist internal and external stakeholders evaluate the workforce system’s overall effectiveness and provide business intelligence for decision making. There are no specific eligibility requirements for the persons or entities affected. A statistical breakdown is not applicable, since collaboration and interfaces with internal and external customers and partners are context-dependent, and many of these entities are impacted or involved simultaneously on any given initiative. </w:t>
      </w:r>
    </w:p>
    <w:p w14:paraId="199539E2" w14:textId="7B269440" w:rsidR="001B73D2" w:rsidRPr="00F42532" w:rsidRDefault="001B73D2" w:rsidP="00E604D0">
      <w:pPr>
        <w:pStyle w:val="BodyText3"/>
        <w:ind w:left="720" w:hanging="720"/>
      </w:pPr>
      <w:r w:rsidRPr="00F42532">
        <w:t>F.</w:t>
      </w:r>
      <w:r w:rsidR="00E604D0">
        <w:tab/>
      </w:r>
      <w:r w:rsidRPr="00F42532">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CDA5771" w14:textId="77777777" w:rsidR="001B73D2" w:rsidRPr="001B73D2" w:rsidRDefault="001B73D2" w:rsidP="001B73D2">
      <w:pPr>
        <w:pStyle w:val="BodyText"/>
      </w:pPr>
      <w:r w:rsidRPr="001B73D2">
        <w:t>The PRA Department works with its internal and external customers to produce and analyze data and business processes to better serve Texas employers, individuals, families, and communities.  </w:t>
      </w:r>
    </w:p>
    <w:p w14:paraId="2F593057" w14:textId="77777777" w:rsidR="001B73D2" w:rsidRPr="001B73D2" w:rsidRDefault="001B73D2" w:rsidP="001B73D2">
      <w:pPr>
        <w:pStyle w:val="BodyText"/>
      </w:pPr>
      <w:r w:rsidRPr="001B73D2">
        <w:rPr>
          <w:u w:val="single"/>
        </w:rPr>
        <w:t>Assessment Based on State Performance Accountability Measures</w:t>
      </w:r>
      <w:r w:rsidRPr="001B73D2">
        <w:t>: </w:t>
      </w:r>
    </w:p>
    <w:p w14:paraId="0BA04C7B" w14:textId="77777777" w:rsidR="001B73D2" w:rsidRPr="001B73D2" w:rsidRDefault="001B73D2" w:rsidP="001B73D2">
      <w:pPr>
        <w:pStyle w:val="BodyText"/>
      </w:pPr>
      <w:r w:rsidRPr="001B73D2">
        <w:t>TWC regularly uses performance data to evaluate programs and partners. TWC was an early implementer of the Common Measures and, in 2005, extended their use beyond that of Wagner-Peyser and WIA (now WIOA) to cover other federal and state-funded workforce system programs. Using the same measures and definitions across programs helps improve program evaluations and remove potential barriers to the integration of services through creating a common understanding of success for customers. </w:t>
      </w:r>
    </w:p>
    <w:p w14:paraId="1FA2BA1E" w14:textId="77777777" w:rsidR="001B73D2" w:rsidRPr="001B73D2" w:rsidRDefault="001B73D2" w:rsidP="001B73D2">
      <w:pPr>
        <w:pStyle w:val="BodyText"/>
      </w:pPr>
      <w:r w:rsidRPr="001B73D2">
        <w:t>TWC actively monitors the workforce system through monthly performance reports. Program staff reviews the reports and communicates with workforce system partners, as appropriate, to provide technical assistance and obtain information on best practices to share with other partners.  Teams within the PRA Department build visuals and other interactive business intelligence tools for use by agency staff and workforce system partners.  </w:t>
      </w:r>
    </w:p>
    <w:p w14:paraId="40CAC38D" w14:textId="77777777" w:rsidR="001B73D2" w:rsidRPr="001B73D2" w:rsidRDefault="001B73D2" w:rsidP="001B73D2">
      <w:pPr>
        <w:pStyle w:val="BodyText"/>
      </w:pPr>
      <w:r w:rsidRPr="001B73D2">
        <w:t xml:space="preserve">Target setting is a key part of the evaluation and accountability system. Developing effective statistical models to guide target setting improves program performance. WIOA requires that the U.S. Secretaries of Labor and Education create statistical models to help set targets for WIOA performance indicators for Title I and Title III programs. Since 2019, </w:t>
      </w:r>
      <w:r w:rsidRPr="001B73D2">
        <w:lastRenderedPageBreak/>
        <w:t>TWC has used Statistical Adjustment Models (SAMs) and has modified them to help ensure accountability among Boards for the common WIOA measures. Starting in 2022, the PRA Department teams began creating Performance Assessment Models (PAMs) that use internally produced state data structures to develop models to evaluate WIOA performance measures in Program Years 2024 and 2025. </w:t>
      </w:r>
    </w:p>
    <w:p w14:paraId="3DBCC9F8" w14:textId="77777777" w:rsidR="001B73D2" w:rsidRPr="001B73D2" w:rsidRDefault="001B73D2" w:rsidP="001B73D2">
      <w:pPr>
        <w:pStyle w:val="BodyText"/>
      </w:pPr>
      <w:r w:rsidRPr="001B73D2">
        <w:t>Statutory prescribed performance measures are applied to assess performance across TWC’s core programs. TWC also applies state-prescribed performance measures and with input from Boards, grantees, and other partners, the PRA Department works to continuously develop and test other measures that may provide a more meaningful way of communicating strengths and identifying areas of improvement. </w:t>
      </w:r>
    </w:p>
    <w:p w14:paraId="0E9D0F74" w14:textId="77777777" w:rsidR="001B73D2" w:rsidRPr="001B73D2" w:rsidRDefault="001B73D2" w:rsidP="001B73D2">
      <w:pPr>
        <w:pStyle w:val="BodyText"/>
      </w:pPr>
      <w:r w:rsidRPr="001B73D2">
        <w:rPr>
          <w:u w:val="single"/>
        </w:rPr>
        <w:t>Evaluation and Research Projects</w:t>
      </w:r>
      <w:r w:rsidRPr="001B73D2">
        <w:t>:  </w:t>
      </w:r>
    </w:p>
    <w:p w14:paraId="3A669F3F" w14:textId="77777777" w:rsidR="001B73D2" w:rsidRPr="001B73D2" w:rsidRDefault="001B73D2" w:rsidP="001B73D2">
      <w:pPr>
        <w:pStyle w:val="BodyText"/>
      </w:pPr>
      <w:r w:rsidRPr="001B73D2">
        <w:t>TWC works with Boards, academic researchers, and other partners on the development and execution of system evaluations.   </w:t>
      </w:r>
    </w:p>
    <w:p w14:paraId="0DF80004" w14:textId="77777777" w:rsidR="001B73D2" w:rsidRPr="001B73D2" w:rsidRDefault="001B73D2" w:rsidP="001B73D2">
      <w:pPr>
        <w:pStyle w:val="BodyText"/>
      </w:pPr>
      <w:r w:rsidRPr="001B73D2">
        <w:t xml:space="preserve">The PRA Department has performed evaluation work relating to the impact of the VR program, Project SEARCH.  Individuals with intellectual disabilities </w:t>
      </w:r>
      <w:proofErr w:type="gramStart"/>
      <w:r w:rsidRPr="001B73D2">
        <w:t>are able to</w:t>
      </w:r>
      <w:proofErr w:type="gramEnd"/>
      <w:r w:rsidRPr="001B73D2">
        <w:t xml:space="preserve"> compare internships in competitive integrated employment settings with the goal of obtaining permanent employment.  </w:t>
      </w:r>
    </w:p>
    <w:p w14:paraId="7E2561E8" w14:textId="77777777" w:rsidR="001B73D2" w:rsidRPr="001B73D2" w:rsidRDefault="001B73D2" w:rsidP="001B73D2">
      <w:pPr>
        <w:pStyle w:val="BodyText"/>
      </w:pPr>
      <w:r w:rsidRPr="001B73D2">
        <w:t>Analytical resources are used to prevent waste, fraud, and abuse within the UI system by developing predictive analytics models to be used by UI’s benefit payment control and investigative staff. TWC supports other states’ efforts to promote integrity in their systems by sharing best practices and contributing to the UI Integrity Center’s Suspicious Actor Repository. </w:t>
      </w:r>
    </w:p>
    <w:p w14:paraId="7B29F3EB" w14:textId="667075B2" w:rsidR="001B73D2" w:rsidRPr="005E206F" w:rsidRDefault="001B73D2" w:rsidP="00E604D0">
      <w:pPr>
        <w:pStyle w:val="BodyText3"/>
        <w:ind w:left="720" w:hanging="720"/>
      </w:pPr>
      <w:r w:rsidRPr="005E206F">
        <w:t>G.</w:t>
      </w:r>
      <w:r w:rsidR="00E604D0">
        <w:tab/>
      </w:r>
      <w:r w:rsidRPr="005E206F">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10340" w:type="dxa"/>
        <w:tblCellMar>
          <w:top w:w="58" w:type="dxa"/>
          <w:bottom w:w="58" w:type="dxa"/>
        </w:tblCellMar>
        <w:tblLook w:val="04A0" w:firstRow="1" w:lastRow="0" w:firstColumn="1" w:lastColumn="0" w:noHBand="0" w:noVBand="1"/>
      </w:tblPr>
      <w:tblGrid>
        <w:gridCol w:w="2785"/>
        <w:gridCol w:w="2430"/>
        <w:gridCol w:w="2700"/>
        <w:gridCol w:w="2425"/>
      </w:tblGrid>
      <w:tr w:rsidR="006C440D" w:rsidRPr="004A0C0E" w14:paraId="56BF47A8" w14:textId="77777777" w:rsidTr="006C440D">
        <w:trPr>
          <w:trHeight w:val="288"/>
        </w:trPr>
        <w:tc>
          <w:tcPr>
            <w:tcW w:w="2785" w:type="dxa"/>
            <w:shd w:val="clear" w:color="auto" w:fill="B8CCE4" w:themeFill="accent1" w:themeFillTint="66"/>
            <w:vAlign w:val="center"/>
            <w:hideMark/>
          </w:tcPr>
          <w:p w14:paraId="5C19628C" w14:textId="77777777" w:rsidR="006C440D" w:rsidRPr="004A0C0E" w:rsidRDefault="006C440D" w:rsidP="006C440D">
            <w:pPr>
              <w:pStyle w:val="TableHeaders"/>
              <w:rPr>
                <w:color w:val="000000"/>
              </w:rPr>
            </w:pPr>
            <w:r w:rsidRPr="004A0C0E">
              <w:t>Program or Function Detail Description</w:t>
            </w:r>
          </w:p>
        </w:tc>
        <w:tc>
          <w:tcPr>
            <w:tcW w:w="2430" w:type="dxa"/>
            <w:shd w:val="clear" w:color="auto" w:fill="B8CCE4" w:themeFill="accent1" w:themeFillTint="66"/>
            <w:vAlign w:val="center"/>
            <w:hideMark/>
          </w:tcPr>
          <w:p w14:paraId="54E67883" w14:textId="77777777" w:rsidR="006C440D" w:rsidRPr="004A0C0E" w:rsidRDefault="006C440D" w:rsidP="006C440D">
            <w:pPr>
              <w:pStyle w:val="TableHeaders"/>
              <w:rPr>
                <w:color w:val="000000"/>
              </w:rPr>
            </w:pPr>
            <w:r w:rsidRPr="004A0C0E">
              <w:t>Total FY 2024</w:t>
            </w:r>
          </w:p>
        </w:tc>
        <w:tc>
          <w:tcPr>
            <w:tcW w:w="2700" w:type="dxa"/>
            <w:shd w:val="clear" w:color="auto" w:fill="B8CCE4" w:themeFill="accent1" w:themeFillTint="66"/>
            <w:vAlign w:val="center"/>
            <w:hideMark/>
          </w:tcPr>
          <w:p w14:paraId="28AA29C2" w14:textId="77777777" w:rsidR="006C440D" w:rsidRPr="004A0C0E" w:rsidRDefault="006C440D" w:rsidP="006C440D">
            <w:pPr>
              <w:pStyle w:val="TableHeaders"/>
              <w:rPr>
                <w:color w:val="000000"/>
              </w:rPr>
            </w:pPr>
            <w:r w:rsidRPr="004A0C0E">
              <w:t>Federal Funding</w:t>
            </w:r>
          </w:p>
        </w:tc>
        <w:tc>
          <w:tcPr>
            <w:tcW w:w="2425" w:type="dxa"/>
            <w:shd w:val="clear" w:color="auto" w:fill="B8CCE4" w:themeFill="accent1" w:themeFillTint="66"/>
            <w:vAlign w:val="center"/>
            <w:hideMark/>
          </w:tcPr>
          <w:p w14:paraId="2310CE19" w14:textId="77777777" w:rsidR="006C440D" w:rsidRPr="004A0C0E" w:rsidRDefault="006C440D" w:rsidP="006C440D">
            <w:pPr>
              <w:pStyle w:val="TableHeaders"/>
              <w:rPr>
                <w:color w:val="000000"/>
              </w:rPr>
            </w:pPr>
            <w:r w:rsidRPr="004A0C0E">
              <w:t>State Funding</w:t>
            </w:r>
          </w:p>
        </w:tc>
      </w:tr>
      <w:tr w:rsidR="006C440D" w:rsidRPr="004A0C0E" w14:paraId="64975AAE" w14:textId="77777777" w:rsidTr="001769FA">
        <w:trPr>
          <w:trHeight w:val="288"/>
        </w:trPr>
        <w:tc>
          <w:tcPr>
            <w:tcW w:w="2785" w:type="dxa"/>
            <w:noWrap/>
            <w:vAlign w:val="center"/>
            <w:hideMark/>
          </w:tcPr>
          <w:p w14:paraId="032CE92D" w14:textId="77777777" w:rsidR="006C440D" w:rsidRPr="004A0C0E" w:rsidRDefault="006C440D" w:rsidP="006C440D">
            <w:pPr>
              <w:pStyle w:val="TableText"/>
            </w:pPr>
            <w:r w:rsidRPr="004A0C0E">
              <w:t>Performance Reporting</w:t>
            </w:r>
          </w:p>
        </w:tc>
        <w:tc>
          <w:tcPr>
            <w:tcW w:w="2430" w:type="dxa"/>
            <w:vAlign w:val="center"/>
            <w:hideMark/>
          </w:tcPr>
          <w:p w14:paraId="6CFA2176" w14:textId="2C75BB56" w:rsidR="006C440D" w:rsidRPr="004A0C0E" w:rsidRDefault="006C440D" w:rsidP="001769FA">
            <w:pPr>
              <w:pStyle w:val="TableText"/>
              <w:jc w:val="right"/>
            </w:pPr>
            <w:r w:rsidRPr="004A0C0E">
              <w:t xml:space="preserve">4,959,209 </w:t>
            </w:r>
          </w:p>
        </w:tc>
        <w:tc>
          <w:tcPr>
            <w:tcW w:w="2700" w:type="dxa"/>
            <w:vAlign w:val="center"/>
            <w:hideMark/>
          </w:tcPr>
          <w:p w14:paraId="52E29BF6" w14:textId="759449E7" w:rsidR="006C440D" w:rsidRPr="004A0C0E" w:rsidRDefault="006C440D" w:rsidP="001769FA">
            <w:pPr>
              <w:pStyle w:val="TableText"/>
              <w:jc w:val="right"/>
            </w:pPr>
            <w:r w:rsidRPr="004A0C0E">
              <w:t xml:space="preserve">4,181,297 </w:t>
            </w:r>
          </w:p>
        </w:tc>
        <w:tc>
          <w:tcPr>
            <w:tcW w:w="2425" w:type="dxa"/>
            <w:vAlign w:val="center"/>
            <w:hideMark/>
          </w:tcPr>
          <w:p w14:paraId="5A861318" w14:textId="65A23DF3" w:rsidR="006C440D" w:rsidRPr="004A0C0E" w:rsidRDefault="006C440D" w:rsidP="001769FA">
            <w:pPr>
              <w:pStyle w:val="TableText"/>
              <w:jc w:val="right"/>
            </w:pPr>
            <w:r w:rsidRPr="004A0C0E">
              <w:t xml:space="preserve">777,912 </w:t>
            </w:r>
          </w:p>
        </w:tc>
      </w:tr>
    </w:tbl>
    <w:p w14:paraId="1CA924D8" w14:textId="66A20FE1" w:rsidR="001B73D2" w:rsidRPr="005E206F" w:rsidRDefault="001B73D2" w:rsidP="009F0364">
      <w:pPr>
        <w:pStyle w:val="BodyText3"/>
        <w:ind w:left="720" w:hanging="720"/>
      </w:pPr>
      <w:r w:rsidRPr="005E206F">
        <w:t>H.</w:t>
      </w:r>
      <w:r w:rsidR="009F0364">
        <w:tab/>
      </w:r>
      <w:r w:rsidRPr="005E206F">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2AD42BF5" w14:textId="77777777" w:rsidR="009B4E7C" w:rsidRDefault="009B4E7C" w:rsidP="009B4E7C">
      <w:pPr>
        <w:pStyle w:val="BodyText"/>
      </w:pPr>
      <w:r w:rsidRPr="001B73D2">
        <w:lastRenderedPageBreak/>
        <w:t xml:space="preserve">The PRA Department performs reporting and analytic functions for TWC and its stakeholders. </w:t>
      </w:r>
      <w:r>
        <w:t xml:space="preserve">It is </w:t>
      </w:r>
      <w:r w:rsidRPr="001B73D2">
        <w:t>unique</w:t>
      </w:r>
      <w:r>
        <w:t>ly</w:t>
      </w:r>
      <w:r w:rsidRPr="001B73D2">
        <w:t xml:space="preserve"> positioned and often consult</w:t>
      </w:r>
      <w:r>
        <w:t>s</w:t>
      </w:r>
      <w:r w:rsidRPr="001B73D2">
        <w:t xml:space="preserve"> with other agencies and institutions that do not have an in-house state-of-the-art analytics, systems engineering, and data science shop.</w:t>
      </w:r>
    </w:p>
    <w:p w14:paraId="4AAE3BE9" w14:textId="48CAE586" w:rsidR="009B4E7C" w:rsidRPr="001B73D2" w:rsidRDefault="009B4E7C" w:rsidP="009B4E7C">
      <w:pPr>
        <w:pStyle w:val="BodyText"/>
      </w:pPr>
      <w:r w:rsidRPr="001B73D2">
        <w:t xml:space="preserve">The I|3 Division participates in the Tri-Agency Data Workgroup with similar data leaders from </w:t>
      </w:r>
      <w:r>
        <w:t>TEA</w:t>
      </w:r>
      <w:r w:rsidRPr="001B73D2">
        <w:t xml:space="preserve"> and </w:t>
      </w:r>
      <w:r>
        <w:t>THECB</w:t>
      </w:r>
      <w:r w:rsidRPr="001B73D2">
        <w:t>.  Through this group, the Tri-Agency created a data sharing agreement to improve data sharing opportunities and data sharing practices.  Through such mechanisms, the agency avoid</w:t>
      </w:r>
      <w:r>
        <w:t>s</w:t>
      </w:r>
      <w:r w:rsidRPr="001B73D2">
        <w:t xml:space="preserve"> duplication of efforts in producing analysis of the workforce system.   </w:t>
      </w:r>
    </w:p>
    <w:p w14:paraId="1ADF15AE" w14:textId="22E046A3" w:rsidR="001B73D2" w:rsidRPr="005E206F" w:rsidRDefault="001B73D2" w:rsidP="007C7ED1">
      <w:pPr>
        <w:pStyle w:val="BodyText3"/>
        <w:ind w:left="720" w:hanging="720"/>
      </w:pPr>
      <w:r w:rsidRPr="005E206F">
        <w:t>I.</w:t>
      </w:r>
      <w:r w:rsidR="007C7ED1">
        <w:tab/>
      </w:r>
      <w:r w:rsidRPr="005E206F">
        <w:t>If the division or program works with local, regional, or federal units of government, include a brief description of these entities and their relationship to the agency. </w:t>
      </w:r>
    </w:p>
    <w:p w14:paraId="7B4F6E94" w14:textId="0B09E1C9" w:rsidR="001B73D2" w:rsidRPr="001B73D2" w:rsidRDefault="001B73D2" w:rsidP="001B73D2">
      <w:pPr>
        <w:pStyle w:val="BodyText"/>
      </w:pPr>
      <w:r w:rsidRPr="001B73D2">
        <w:t xml:space="preserve">The PRA Department teams work with Local Workforce Development Boards to evaluate performance, negotiate targets, and develop performance measures and performance reporting tools. It similarly works with federal oversight agencies such as the </w:t>
      </w:r>
      <w:r w:rsidR="00174E51">
        <w:t>USDOL</w:t>
      </w:r>
      <w:r w:rsidRPr="001B73D2">
        <w:t>, Department of Education, Attorney General and Rehabilitation Services Administration to negotiate targets, develop performance measures and performance reporting tools. </w:t>
      </w:r>
    </w:p>
    <w:p w14:paraId="315210B6" w14:textId="2E6D3CD5" w:rsidR="001B73D2" w:rsidRPr="005E206F" w:rsidRDefault="001B73D2" w:rsidP="007C7ED1">
      <w:pPr>
        <w:pStyle w:val="BodyText3"/>
        <w:ind w:left="720" w:hanging="720"/>
      </w:pPr>
      <w:r w:rsidRPr="005E206F">
        <w:t>J.</w:t>
      </w:r>
      <w:r w:rsidR="007C7ED1">
        <w:tab/>
      </w:r>
      <w:r w:rsidRPr="005E206F">
        <w:t>Are there any barriers or challenges that impede the division or program’s performance, including any outdated or ineffective state laws? Explain. </w:t>
      </w:r>
    </w:p>
    <w:p w14:paraId="3457F427" w14:textId="355475C8" w:rsidR="001B73D2" w:rsidRPr="001B73D2" w:rsidRDefault="001B73D2" w:rsidP="001B73D2">
      <w:pPr>
        <w:pStyle w:val="BodyText"/>
      </w:pPr>
      <w:r w:rsidRPr="001B73D2">
        <w:t>N</w:t>
      </w:r>
      <w:r w:rsidR="00D8573E">
        <w:t>/A</w:t>
      </w:r>
    </w:p>
    <w:p w14:paraId="2D3E546F" w14:textId="77DE5A1B" w:rsidR="001B73D2" w:rsidRPr="00D8573E" w:rsidRDefault="001B73D2" w:rsidP="007C7ED1">
      <w:pPr>
        <w:pStyle w:val="BodyText3"/>
        <w:ind w:left="720" w:hanging="720"/>
      </w:pPr>
      <w:r w:rsidRPr="00D8573E">
        <w:t>K.</w:t>
      </w:r>
      <w:r w:rsidR="007C7ED1">
        <w:tab/>
      </w:r>
      <w:r w:rsidRPr="00D8573E">
        <w:t>Provide any additional information needed to gain a preliminary understanding of the division or program. </w:t>
      </w:r>
    </w:p>
    <w:p w14:paraId="4B39FF1D" w14:textId="1527957E" w:rsidR="001B73D2" w:rsidRPr="001B73D2" w:rsidRDefault="001B73D2" w:rsidP="001B73D2">
      <w:pPr>
        <w:pStyle w:val="BodyText"/>
      </w:pPr>
      <w:r w:rsidRPr="001B73D2">
        <w:t>TWC strives to cultivate a data-driven culture with embedded pockets of analytical resources and talent in the agency’s core programs.  Despite this, the I|3 Division holds the agency’s primary role and responsibility for target setting, performance analysis, and outcomes reporting.  This is a well-defined role that does not overlap with other agency resources. Additionally, the I|3 Division’s two primary departments covering performance reporting and labor market information both play a role in improving data fluency, an understanding of workforce and economic data, and performance outcomes for the workforce system. Moreover, through the Data Insight Network (DIN), the teams in the PRA Department coordinate and collaborate with analysts who are embedded within workforce program divisions such as Adult Education and Literacy, VR, and Child Care to develop business intelligence need to manage changing conditions in the field.  </w:t>
      </w:r>
    </w:p>
    <w:p w14:paraId="21F9E562" w14:textId="629D5B63" w:rsidR="001B73D2" w:rsidRPr="00D8573E" w:rsidRDefault="001B73D2" w:rsidP="007C7ED1">
      <w:pPr>
        <w:pStyle w:val="BodyText3"/>
        <w:ind w:left="720" w:hanging="720"/>
      </w:pPr>
      <w:r w:rsidRPr="00D8573E">
        <w:t>L.</w:t>
      </w:r>
      <w:r w:rsidR="007C7ED1">
        <w:tab/>
      </w:r>
      <w:r w:rsidRPr="00D8573E">
        <w:t>Regulatory programs relate to the licensing, registration, certification, or permitting of a person, business, piece of equipment, or other entity (e.g., a facility). For each regulatory program, if applicable, describe: </w:t>
      </w:r>
    </w:p>
    <w:p w14:paraId="7D309D9C" w14:textId="32C1AA6E" w:rsidR="001B73D2" w:rsidRPr="001B73D2" w:rsidRDefault="001B73D2" w:rsidP="001B73D2">
      <w:pPr>
        <w:pStyle w:val="BodyText"/>
      </w:pPr>
      <w:r w:rsidRPr="001B73D2">
        <w:t>N</w:t>
      </w:r>
      <w:r w:rsidR="00D8573E">
        <w:t>/A</w:t>
      </w:r>
    </w:p>
    <w:p w14:paraId="4D1B744A" w14:textId="14399999" w:rsidR="001B73D2" w:rsidRPr="00D8573E" w:rsidRDefault="001B73D2" w:rsidP="007C7ED1">
      <w:pPr>
        <w:pStyle w:val="BodyText3"/>
        <w:ind w:left="720" w:hanging="720"/>
      </w:pPr>
      <w:r w:rsidRPr="00D8573E">
        <w:lastRenderedPageBreak/>
        <w:t>M.</w:t>
      </w:r>
      <w:r w:rsidR="007C7ED1">
        <w:tab/>
      </w:r>
      <w:r w:rsidRPr="00D8573E">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7EF0E75C" w14:textId="77777777" w:rsidR="001E5B03" w:rsidRDefault="001B73D2" w:rsidP="001C04E8">
      <w:pPr>
        <w:pStyle w:val="BodyText"/>
      </w:pPr>
      <w:r w:rsidRPr="001B73D2">
        <w:t>N</w:t>
      </w:r>
      <w:r w:rsidR="00D8573E">
        <w:t>/A</w:t>
      </w:r>
    </w:p>
    <w:p w14:paraId="7C46C36F" w14:textId="7AE8A6FC" w:rsidR="00D8573E" w:rsidRDefault="00D8573E" w:rsidP="001C04E8">
      <w:pPr>
        <w:pStyle w:val="BodyText"/>
        <w:rPr>
          <w:b/>
        </w:rPr>
      </w:pPr>
    </w:p>
    <w:p w14:paraId="52F1EBB1" w14:textId="20E04121" w:rsidR="00A2061C" w:rsidRPr="00A2061C" w:rsidRDefault="00AA313D" w:rsidP="00AA313D">
      <w:pPr>
        <w:pStyle w:val="BodyText3"/>
        <w:rPr>
          <w:rFonts w:eastAsiaTheme="minorEastAsia"/>
          <w:b w:val="0"/>
          <w:szCs w:val="22"/>
        </w:rPr>
      </w:pPr>
      <w:r>
        <w:t>Business Transformation and Rapid Process Improvement</w:t>
      </w:r>
    </w:p>
    <w:p w14:paraId="25EBC67C" w14:textId="77777777" w:rsidR="00A2061C" w:rsidRPr="00AA313D" w:rsidRDefault="00A2061C" w:rsidP="00AA313D">
      <w:pPr>
        <w:pStyle w:val="BodyText3"/>
      </w:pPr>
      <w:r w:rsidRPr="00AA313D">
        <w:t>A.</w:t>
      </w:r>
      <w:r w:rsidRPr="00AA313D">
        <w:tab/>
        <w:t>Provide the following information at the beginning of each description. </w:t>
      </w:r>
    </w:p>
    <w:p w14:paraId="612A4D13" w14:textId="77777777" w:rsidR="00A2061C" w:rsidRPr="00A2061C" w:rsidRDefault="00A2061C" w:rsidP="00C64851">
      <w:pPr>
        <w:pStyle w:val="BodyText"/>
        <w:numPr>
          <w:ilvl w:val="0"/>
          <w:numId w:val="326"/>
        </w:numPr>
        <w:spacing w:before="120" w:after="120"/>
      </w:pPr>
      <w:r w:rsidRPr="00A2061C">
        <w:t>Name of division or program:  Business Transformation and Rapid Process Improvement  </w:t>
      </w:r>
    </w:p>
    <w:p w14:paraId="2EDBBD6D" w14:textId="77777777" w:rsidR="00A2061C" w:rsidRPr="00A2061C" w:rsidRDefault="00A2061C" w:rsidP="00C64851">
      <w:pPr>
        <w:pStyle w:val="BodyText"/>
        <w:numPr>
          <w:ilvl w:val="0"/>
          <w:numId w:val="326"/>
        </w:numPr>
        <w:spacing w:before="120" w:after="120"/>
      </w:pPr>
      <w:r w:rsidRPr="00A2061C">
        <w:t>Location within the agency: Information, Innovation, and Insight (I|3) Division </w:t>
      </w:r>
    </w:p>
    <w:p w14:paraId="3EFECB2D" w14:textId="77777777" w:rsidR="00A2061C" w:rsidRPr="00A2061C" w:rsidRDefault="00A2061C" w:rsidP="00C64851">
      <w:pPr>
        <w:pStyle w:val="BodyText"/>
        <w:numPr>
          <w:ilvl w:val="0"/>
          <w:numId w:val="326"/>
        </w:numPr>
        <w:spacing w:before="120" w:after="120"/>
      </w:pPr>
      <w:r w:rsidRPr="00A2061C">
        <w:t>Contact Name:   Anita Smith </w:t>
      </w:r>
    </w:p>
    <w:p w14:paraId="4FC54940" w14:textId="77777777" w:rsidR="00A2061C" w:rsidRPr="00A2061C" w:rsidRDefault="00A2061C" w:rsidP="00C64851">
      <w:pPr>
        <w:pStyle w:val="BodyText"/>
        <w:numPr>
          <w:ilvl w:val="0"/>
          <w:numId w:val="326"/>
        </w:numPr>
        <w:spacing w:before="120" w:after="120"/>
      </w:pPr>
      <w:r w:rsidRPr="00A2061C">
        <w:t>Statutory citation:   N/A </w:t>
      </w:r>
    </w:p>
    <w:p w14:paraId="5E97F62A" w14:textId="77777777" w:rsidR="00A2061C" w:rsidRPr="00AA313D" w:rsidRDefault="00A2061C" w:rsidP="007C7ED1">
      <w:pPr>
        <w:pStyle w:val="BodyText3"/>
        <w:ind w:left="720" w:hanging="720"/>
      </w:pPr>
      <w:r w:rsidRPr="00AA313D">
        <w:t>B.</w:t>
      </w:r>
      <w:r w:rsidRPr="00AA313D">
        <w:tab/>
        <w:t>What is the objective of this division or program? Describe its major activities. </w:t>
      </w:r>
    </w:p>
    <w:p w14:paraId="06CB81E7" w14:textId="77777777" w:rsidR="00A2061C" w:rsidRPr="00A2061C" w:rsidRDefault="00A2061C" w:rsidP="00A2061C">
      <w:pPr>
        <w:pStyle w:val="BodyText"/>
      </w:pPr>
      <w:r w:rsidRPr="00A2061C">
        <w:t xml:space="preserve">TWC is committed to maximizing its efficiency and effectiveness to best serve the people of Texas and fulfill its mission.   The Business Transformation and Rapid Process Improvement (BT-RPI) program at TWC supports that commitment by </w:t>
      </w:r>
      <w:r w:rsidRPr="00B83388">
        <w:t>driving operational excellence, continuous improvement, and innovation wit</w:t>
      </w:r>
      <w:r w:rsidRPr="00A2061C">
        <w:t>hin the agency.  The program’s purpose is to enhance the agency's efficiency, effectiveness, and customer service by identifying and eliminating inefficiencies, streamlining and transforming processes, and fostering a culture of improvement and innovation.  Established more than a decade ago, the BT-RPI program has evolved to become TWC’s engine for driving change.  </w:t>
      </w:r>
    </w:p>
    <w:p w14:paraId="484329D3" w14:textId="67A3FA18" w:rsidR="00A2061C" w:rsidRPr="00AA313D" w:rsidRDefault="00A2061C" w:rsidP="00AA313D">
      <w:pPr>
        <w:pStyle w:val="BodyText"/>
      </w:pPr>
      <w:r w:rsidRPr="00AA313D">
        <w:t xml:space="preserve">The </w:t>
      </w:r>
      <w:r w:rsidR="001D28B0">
        <w:t>BT-RPI</w:t>
      </w:r>
      <w:r w:rsidRPr="00AA313D">
        <w:t xml:space="preserve"> Program is housed within theI|3 Division</w:t>
      </w:r>
      <w:r w:rsidR="008814DA">
        <w:t xml:space="preserve"> which </w:t>
      </w:r>
      <w:r w:rsidRPr="00AA313D">
        <w:t>gather</w:t>
      </w:r>
      <w:r w:rsidR="008814DA">
        <w:t>s</w:t>
      </w:r>
      <w:r w:rsidRPr="00AA313D">
        <w:t xml:space="preserve"> and report</w:t>
      </w:r>
      <w:r w:rsidR="008814DA">
        <w:t>s</w:t>
      </w:r>
      <w:r w:rsidRPr="00AA313D">
        <w:t xml:space="preserve"> data on behalf of the organization.  This structure ensures that improvements are data-driven and aligned with the agency's strategic goals.  </w:t>
      </w:r>
    </w:p>
    <w:p w14:paraId="53A85240" w14:textId="56E2ED6A" w:rsidR="00A2061C" w:rsidRPr="00A2061C" w:rsidRDefault="00A2061C" w:rsidP="00A2061C">
      <w:pPr>
        <w:pStyle w:val="BodyText"/>
      </w:pPr>
      <w:r w:rsidRPr="00A2061C">
        <w:t xml:space="preserve">The </w:t>
      </w:r>
      <w:r w:rsidR="008814DA">
        <w:t>BT-</w:t>
      </w:r>
      <w:proofErr w:type="gramStart"/>
      <w:r w:rsidR="008814DA">
        <w:t>RIP</w:t>
      </w:r>
      <w:r w:rsidR="008814DA" w:rsidRPr="00A2061C" w:rsidDel="008814DA">
        <w:t xml:space="preserve"> </w:t>
      </w:r>
      <w:r w:rsidRPr="00A2061C">
        <w:t xml:space="preserve"> team</w:t>
      </w:r>
      <w:proofErr w:type="gramEnd"/>
      <w:r w:rsidRPr="00A2061C">
        <w:t xml:space="preserve"> accomplishes its goal using three main strategies:  </w:t>
      </w:r>
    </w:p>
    <w:p w14:paraId="7B684FD7" w14:textId="77777777" w:rsidR="00A2061C" w:rsidRPr="00A2061C" w:rsidRDefault="00A2061C" w:rsidP="00C64851">
      <w:pPr>
        <w:pStyle w:val="BodyText"/>
        <w:numPr>
          <w:ilvl w:val="0"/>
          <w:numId w:val="311"/>
        </w:numPr>
      </w:pPr>
      <w:r w:rsidRPr="00A2061C">
        <w:lastRenderedPageBreak/>
        <w:t>Developing enterprise solutions through Business Transformation projects that transform our business systems </w:t>
      </w:r>
    </w:p>
    <w:p w14:paraId="6BCBEF34" w14:textId="77777777" w:rsidR="00A2061C" w:rsidRPr="00A2061C" w:rsidRDefault="00A2061C" w:rsidP="00C64851">
      <w:pPr>
        <w:pStyle w:val="BodyText"/>
        <w:numPr>
          <w:ilvl w:val="0"/>
          <w:numId w:val="312"/>
        </w:numPr>
      </w:pPr>
      <w:r w:rsidRPr="00A2061C">
        <w:t>The BT-RPI team is responsible for looking holistically at the systems that make up TWC and finding areas that need to be fortified or redesigned.  The team develops strategies for current and future operational excellence based on operational analysis and customer needs. The team works with leadership to align transformations with the agency’s mission, vision, and strategic plan.  </w:t>
      </w:r>
    </w:p>
    <w:p w14:paraId="06EB032A" w14:textId="77777777" w:rsidR="00A2061C" w:rsidRPr="00A2061C" w:rsidRDefault="00A2061C" w:rsidP="00C64851">
      <w:pPr>
        <w:pStyle w:val="BodyText"/>
        <w:numPr>
          <w:ilvl w:val="0"/>
          <w:numId w:val="313"/>
        </w:numPr>
      </w:pPr>
      <w:r w:rsidRPr="00A2061C">
        <w:t> Managing and leading process improvement projects and initiatives, while supporting teams through their process </w:t>
      </w:r>
    </w:p>
    <w:p w14:paraId="00E52074" w14:textId="77777777" w:rsidR="00A2061C" w:rsidRPr="00A2061C" w:rsidRDefault="00A2061C" w:rsidP="00C64851">
      <w:pPr>
        <w:pStyle w:val="BodyText"/>
        <w:numPr>
          <w:ilvl w:val="0"/>
          <w:numId w:val="314"/>
        </w:numPr>
      </w:pPr>
      <w:r w:rsidRPr="00A2061C">
        <w:t>The BT-RPI team along with Process Improvement Practitioners utilize the Integrated Theory of Constraints and Lean Six Sigma (ITLS) methodology to help manage or lead process improvement projects, optimizing divisional operations. This approach is generally taken when a process within a department needs changing.  Processes connect to make systems.  By making sure improvement efforts are continued at departmental or process levels, it fortifies the foundations of our business systems.  </w:t>
      </w:r>
    </w:p>
    <w:p w14:paraId="27578FDA" w14:textId="77777777" w:rsidR="00A2061C" w:rsidRPr="00A2061C" w:rsidRDefault="00A2061C" w:rsidP="00C64851">
      <w:pPr>
        <w:pStyle w:val="BodyText"/>
        <w:numPr>
          <w:ilvl w:val="0"/>
          <w:numId w:val="315"/>
        </w:numPr>
      </w:pPr>
      <w:r w:rsidRPr="00A2061C">
        <w:t>Training and Coaching TWC staff on Continuous Improvement methodologies and principles  </w:t>
      </w:r>
    </w:p>
    <w:p w14:paraId="653660CE" w14:textId="77777777" w:rsidR="00A2061C" w:rsidRPr="00A2061C" w:rsidRDefault="00A2061C" w:rsidP="00C64851">
      <w:pPr>
        <w:pStyle w:val="BodyText"/>
        <w:numPr>
          <w:ilvl w:val="0"/>
          <w:numId w:val="316"/>
        </w:numPr>
      </w:pPr>
      <w:r w:rsidRPr="00A2061C">
        <w:t>The goal is to empower employees to actively participate in improving their daily work processes.  Therefore, the BT-RPI team provides coaching and training on the ITLS methodology, Business Transformation, and Change Management.  The amount of training varies depending on the duties team members will perform during the project.    By empowering agency staff with these skills, the BT-RPI team achieves greater results than working independently, directly contributing to a culture of continuous improvement. </w:t>
      </w:r>
    </w:p>
    <w:p w14:paraId="36AA36D6" w14:textId="36E46906" w:rsidR="00A2061C" w:rsidRPr="00BF25DF" w:rsidRDefault="00A2061C" w:rsidP="00B83388">
      <w:pPr>
        <w:pStyle w:val="BodyText3"/>
        <w:ind w:left="720" w:hanging="720"/>
      </w:pPr>
      <w:r w:rsidRPr="00BF25DF">
        <w:t>C.</w:t>
      </w:r>
      <w:r w:rsidR="00B83388">
        <w:tab/>
      </w:r>
      <w:r w:rsidRPr="00BF25DF">
        <w:t xml:space="preserve">What information does the agency collect/use to assess the effectiveness and efficiency of this division or program? If applicable, briefly note any LBB performance measures (from Section II, </w:t>
      </w:r>
      <w:proofErr w:type="gramStart"/>
      <w:r w:rsidRPr="00BF25DF">
        <w:t>Exhibit</w:t>
      </w:r>
      <w:proofErr w:type="gramEnd"/>
      <w:r w:rsidRPr="00BF25DF">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B067CFE" w14:textId="77777777" w:rsidR="00A2061C" w:rsidRPr="00A2061C" w:rsidRDefault="00A2061C" w:rsidP="00A2061C">
      <w:pPr>
        <w:pStyle w:val="BodyText"/>
      </w:pPr>
      <w:r w:rsidRPr="00A2061C">
        <w:t>TWC assesses the effectiveness and efficiency of the BT-RPI program by tracking improvements in timeliness, defect reduction, throughput, and cost savings across various projects and initiatives, as well as the overall number of improvement opportunities within the agency.  These metrics are measured by comparing post-implementation data against pre-implementation baselines, using data from division dashboards, Work in Process boards, and agency reports.  </w:t>
      </w:r>
    </w:p>
    <w:p w14:paraId="327F163B" w14:textId="77777777" w:rsidR="00A2061C" w:rsidRPr="00A2061C" w:rsidRDefault="00A2061C" w:rsidP="00A2061C">
      <w:pPr>
        <w:pStyle w:val="BodyText"/>
      </w:pPr>
      <w:r w:rsidRPr="00A2061C">
        <w:lastRenderedPageBreak/>
        <w:t>BT-RPI projects are implemented at various levels within TWC, resulting in numerous improvements annually. The following examples illustrate the program's effectiveness across different project types and measurement categories. </w:t>
      </w:r>
    </w:p>
    <w:p w14:paraId="5084B172" w14:textId="77777777" w:rsidR="00A2061C" w:rsidRPr="00A2061C" w:rsidRDefault="00A2061C" w:rsidP="00A2061C">
      <w:pPr>
        <w:pStyle w:val="BodyText"/>
      </w:pPr>
      <w:r w:rsidRPr="00A2061C">
        <w:rPr>
          <w:b/>
          <w:bCs/>
        </w:rPr>
        <w:t>Business Transformation project example:</w:t>
      </w:r>
      <w:r w:rsidRPr="00A2061C">
        <w:t> </w:t>
      </w:r>
    </w:p>
    <w:p w14:paraId="0D98555C" w14:textId="77777777" w:rsidR="00A2061C" w:rsidRPr="00A2061C" w:rsidRDefault="00A2061C" w:rsidP="00C64851">
      <w:pPr>
        <w:pStyle w:val="BodyText"/>
        <w:numPr>
          <w:ilvl w:val="0"/>
          <w:numId w:val="317"/>
        </w:numPr>
      </w:pPr>
      <w:r w:rsidRPr="00A2061C">
        <w:t>The UI ID Theft Fraud Prevention project demonstrated significant </w:t>
      </w:r>
      <w:r w:rsidRPr="00A2061C">
        <w:rPr>
          <w:i/>
          <w:iCs/>
        </w:rPr>
        <w:t>defect reduction</w:t>
      </w:r>
      <w:r w:rsidRPr="00A2061C">
        <w:t> (fraudulent claims) and </w:t>
      </w:r>
      <w:r w:rsidRPr="00A2061C">
        <w:rPr>
          <w:i/>
          <w:iCs/>
        </w:rPr>
        <w:t>cost savings</w:t>
      </w:r>
      <w:r w:rsidRPr="00A2061C">
        <w:t>.  This was an Enterprise Solutions Business Transformation project.   About six months into the Covid-19 pandemic, TWC experienced a significant increase in the number of unemployment claims that were being filed using stolen identities. This was driven by record claim volume and disaster claims having fewer identity verification controls. The large volume of potentially fraudulent claims was overwhelming the Fraud Deterrence Office of Investigations' resources. </w:t>
      </w:r>
    </w:p>
    <w:p w14:paraId="280F4FF6" w14:textId="4BA05420" w:rsidR="00A2061C" w:rsidRPr="00A2061C" w:rsidRDefault="00A2061C" w:rsidP="00A2061C">
      <w:pPr>
        <w:pStyle w:val="BodyText"/>
      </w:pPr>
      <w:r w:rsidRPr="00A2061C">
        <w:t xml:space="preserve">Led by the RPI-BT team, the UI ID theft verification project was conducted in a </w:t>
      </w:r>
      <w:r w:rsidR="00614AA1">
        <w:t>three</w:t>
      </w:r>
      <w:r w:rsidR="0035179A">
        <w:t>-</w:t>
      </w:r>
      <w:r w:rsidRPr="00A2061C">
        <w:t xml:space="preserve">week sprint to greatly reduce the number of fraudulent claims that were being paid.  Representatives from multiple divisions across the agency met to </w:t>
      </w:r>
      <w:r w:rsidR="00E719CC" w:rsidRPr="00A2061C">
        <w:t>collaborate</w:t>
      </w:r>
      <w:r w:rsidRPr="00A2061C">
        <w:t xml:space="preserve"> and address the issues.  Some of the solutions included improved triage, process automation, case management automation, and identity verification.  </w:t>
      </w:r>
    </w:p>
    <w:p w14:paraId="6E7B6A47" w14:textId="60C83227" w:rsidR="00A2061C" w:rsidRPr="00A2061C" w:rsidRDefault="00A2061C" w:rsidP="00A2061C">
      <w:pPr>
        <w:pStyle w:val="BodyText"/>
      </w:pPr>
      <w:r w:rsidRPr="00A2061C">
        <w:t xml:space="preserve">After the </w:t>
      </w:r>
      <w:r w:rsidR="00AD2B11">
        <w:t>three</w:t>
      </w:r>
      <w:r w:rsidR="0035179A">
        <w:t>-</w:t>
      </w:r>
      <w:r w:rsidRPr="00A2061C">
        <w:t>week sprint, the team met and collaborated weekly to continuously improve and implement tools to prevent fraud.  The project achieved a 900</w:t>
      </w:r>
      <w:r w:rsidR="00AD2B11">
        <w:t xml:space="preserve"> percent</w:t>
      </w:r>
      <w:r w:rsidRPr="00A2061C">
        <w:t xml:space="preserve"> increase in identifying fraudulent claims and a 450</w:t>
      </w:r>
      <w:r w:rsidR="00AD2B11">
        <w:t xml:space="preserve"> percent</w:t>
      </w:r>
      <w:r w:rsidRPr="00A2061C">
        <w:t xml:space="preserve"> increase in UI cases completed. Ultimately, through the implementation of this BT-RPI initiative, TWC prevented over 99</w:t>
      </w:r>
      <w:r w:rsidR="00AD2B11">
        <w:t xml:space="preserve"> percent</w:t>
      </w:r>
      <w:r w:rsidRPr="00A2061C">
        <w:t xml:space="preserve"> of fraud attempts, saving taxpayers billions of dollars. </w:t>
      </w:r>
    </w:p>
    <w:p w14:paraId="0FA924CD" w14:textId="77777777" w:rsidR="00A2061C" w:rsidRPr="00A2061C" w:rsidRDefault="00A2061C" w:rsidP="00614AA1">
      <w:pPr>
        <w:pStyle w:val="BodyText3"/>
        <w:rPr>
          <w:b w:val="0"/>
        </w:rPr>
      </w:pPr>
      <w:r w:rsidRPr="00A2061C">
        <w:t>Rapid Process Improvement (RPI) project example:</w:t>
      </w:r>
      <w:r w:rsidRPr="00A2061C">
        <w:rPr>
          <w:b w:val="0"/>
        </w:rPr>
        <w:t> </w:t>
      </w:r>
    </w:p>
    <w:p w14:paraId="728DE6B5" w14:textId="77777777" w:rsidR="00A2061C" w:rsidRPr="00A2061C" w:rsidRDefault="00A2061C" w:rsidP="00C64851">
      <w:pPr>
        <w:pStyle w:val="BodyText"/>
        <w:numPr>
          <w:ilvl w:val="0"/>
          <w:numId w:val="318"/>
        </w:numPr>
      </w:pPr>
      <w:r w:rsidRPr="00A2061C">
        <w:t>The Open Records project resulted in significantly improving timeliness and throughput.   The BT-RPI team helped to lead and manage the project and supported the members of the Open Records department through the process.  </w:t>
      </w:r>
    </w:p>
    <w:p w14:paraId="48D8983A" w14:textId="77777777" w:rsidR="00A2061C" w:rsidRPr="00A2061C" w:rsidRDefault="00A2061C" w:rsidP="00A2061C">
      <w:pPr>
        <w:pStyle w:val="BodyText"/>
      </w:pPr>
      <w:r w:rsidRPr="00A2061C">
        <w:t>TWC Open Records department experienced a substantial increase in unanswered requests following the onset of the COVID-19 pandemic, peaking at 9,750 individual requests pending.  To address this, a collaborative effort between the Open Records, RPI/Business Transformation, and IT departments was initiated in early 2021. </w:t>
      </w:r>
    </w:p>
    <w:p w14:paraId="3854C742" w14:textId="54C6A3B8" w:rsidR="00A2061C" w:rsidRPr="00A2061C" w:rsidRDefault="00A2061C" w:rsidP="00A2061C">
      <w:pPr>
        <w:pStyle w:val="BodyText"/>
      </w:pPr>
      <w:r w:rsidRPr="00A2061C">
        <w:t xml:space="preserve">A RPI initiative was developed </w:t>
      </w:r>
      <w:r w:rsidR="006B77BE">
        <w:t>to</w:t>
      </w:r>
      <w:r w:rsidR="006B77BE" w:rsidRPr="00A2061C">
        <w:t xml:space="preserve"> </w:t>
      </w:r>
      <w:r w:rsidRPr="00A2061C">
        <w:t>focus on visualizing existing workflow</w:t>
      </w:r>
      <w:r w:rsidR="006B77BE">
        <w:t xml:space="preserve">s and </w:t>
      </w:r>
      <w:r w:rsidRPr="00A2061C">
        <w:t>identif</w:t>
      </w:r>
      <w:r w:rsidR="00953F9C">
        <w:t>y</w:t>
      </w:r>
      <w:r w:rsidR="006B77BE">
        <w:t>ing</w:t>
      </w:r>
      <w:r w:rsidRPr="00A2061C">
        <w:t xml:space="preserve"> bottlenecks and inefficiencies. Based on data analysis and team member collaboration, specialized roles were assigned to disclosure officers, and limits were put on the number of open requests </w:t>
      </w:r>
      <w:r w:rsidR="00953F9C">
        <w:t>that</w:t>
      </w:r>
      <w:r w:rsidR="00953F9C" w:rsidRPr="00A2061C">
        <w:t xml:space="preserve"> </w:t>
      </w:r>
      <w:r w:rsidRPr="00A2061C">
        <w:t xml:space="preserve">could </w:t>
      </w:r>
      <w:r w:rsidR="004E03F2">
        <w:t xml:space="preserve">be </w:t>
      </w:r>
      <w:r w:rsidRPr="00A2061C">
        <w:t>handle</w:t>
      </w:r>
      <w:r w:rsidR="004E03F2">
        <w:t>d</w:t>
      </w:r>
      <w:r w:rsidRPr="00A2061C">
        <w:t xml:space="preserve"> at one time to better balance the workload and avoid unfruitful multitasking. Additionally, an enhanced intake triage strategy was developed and implemented to improve efficiency. This strategy enabled quick resolution of simple requests and sorted/grouped request lists allowed staff to focus on specific types, leading to faster processing speeds. The IT team supported the effort by providing an eDiscovery </w:t>
      </w:r>
      <w:r w:rsidRPr="00A2061C">
        <w:lastRenderedPageBreak/>
        <w:t>tool to expedite record retrieval, and temporary staff were brought in to tackle the easiest requests. The UI division even developed a script to automate data gathering from the mainframe, particularly useful for large requests. Finally, processes such as internal controls, escalation triggers, and an age-based request processing cycle were implemented. </w:t>
      </w:r>
    </w:p>
    <w:p w14:paraId="276CEED1" w14:textId="77777777" w:rsidR="00A2061C" w:rsidRPr="00A2061C" w:rsidRDefault="00A2061C" w:rsidP="00A2061C">
      <w:pPr>
        <w:pStyle w:val="BodyText"/>
      </w:pPr>
      <w:r w:rsidRPr="00A2061C">
        <w:t>These interventions drastically improved timeliness and throughput. The backlog of open requests was reduced from 9,750 to just 400, with fewer than 300 past due. Monthly closures of requests surged from around 500 to over 900 by December 2021, and an exceptional 2,712 requests were closed in January 2022.  Efficiency improved significantly thanks to the new processes and automation that were spearheaded by the BT-RPI team. Ultimately, the department transitioned to a more sustainable "new normal" of operations, reducing reliance on paper-based systems and implementing proactive measures to prevent future backlogs. </w:t>
      </w:r>
    </w:p>
    <w:p w14:paraId="79703DE8" w14:textId="77777777" w:rsidR="00A2061C" w:rsidRPr="00A2061C" w:rsidRDefault="00A2061C" w:rsidP="00A2061C">
      <w:pPr>
        <w:pStyle w:val="BodyText"/>
      </w:pPr>
      <w:r w:rsidRPr="00A2061C">
        <w:rPr>
          <w:b/>
          <w:bCs/>
        </w:rPr>
        <w:t>Training and Coaching TWC Employees on Continuous Improvement Principles and Methods example:</w:t>
      </w:r>
      <w:r w:rsidRPr="00A2061C">
        <w:t> </w:t>
      </w:r>
    </w:p>
    <w:p w14:paraId="6203F952" w14:textId="77777777" w:rsidR="00A2061C" w:rsidRPr="00A2061C" w:rsidRDefault="00A2061C" w:rsidP="00C64851">
      <w:pPr>
        <w:pStyle w:val="BodyText"/>
        <w:numPr>
          <w:ilvl w:val="0"/>
          <w:numId w:val="319"/>
        </w:numPr>
      </w:pPr>
      <w:r w:rsidRPr="00A2061C">
        <w:t>Over the past decade, the BT-RPI team has trained over 200 employees to work across the agency as RPI Practitioners and has exposed multiple more employees to process improvement methods. Most recently, in FY 2024 and FY 2025, the BT-RPI team trained 26 employees in over 60 hours of RPI methodologies. A key measure of the training's success is that 20 of these graduates went on to lead or co-lead real-world improvement projects. These projects addressed 15 different improvement opportunities for their individual departments processes and operations, across eight divisions.  </w:t>
      </w:r>
    </w:p>
    <w:p w14:paraId="4D80AB5C" w14:textId="77777777" w:rsidR="00A2061C" w:rsidRPr="00A2061C" w:rsidRDefault="00A2061C" w:rsidP="00A2061C">
      <w:pPr>
        <w:pStyle w:val="BodyText"/>
      </w:pPr>
      <w:r w:rsidRPr="00A2061C">
        <w:t>The projects from those who completed the most recent RPI Practitioner training engaged over 90 individuals on project teams and in total, allowed the improvements to be shared with more than 500 people within the organization through launch presentations, and added more than 3,100 hours of capacity back to the employees at TWC.  These process improvement implementations removed dozens of non-value-added steps, automated processes where applicable, eliminated redundancies, and revised steps for better efficiencies.  These results demonstrate the effectiveness of the training program in disseminating process improvement knowledge throughout the agency and driving tangible improvements in timeliness, quality, waste reduction, and other areas of improvement. </w:t>
      </w:r>
    </w:p>
    <w:p w14:paraId="5C3AC9D4" w14:textId="77777777" w:rsidR="00A2061C" w:rsidRPr="00A2061C" w:rsidRDefault="00A2061C" w:rsidP="00A2061C">
      <w:pPr>
        <w:pStyle w:val="BodyText"/>
      </w:pPr>
      <w:r w:rsidRPr="00A2061C">
        <w:t>In summary, the BT-RPI program demonstrates its effectiveness and efficiency through significant improvements in timeliness, defect reduction, throughput, and cost savings across a range of projects executed throughout the agency. The UI ID Theft project saved taxpayers billions of dollars by preventing fraud. Open Records reduced its backlog by over 95%, drastically improving service delivery. Training initiatives have generated thousands of hours of added capacity, improved timeliness and quality, and disseminated process improvement techniques throughout TWC.  The results generated through the guidance and training of the BT-RPI program demonstrates the program's significant contribution to TWC's overall performance. </w:t>
      </w:r>
    </w:p>
    <w:p w14:paraId="6227516F" w14:textId="739DE444" w:rsidR="00A2061C" w:rsidRPr="0084489D" w:rsidRDefault="00A2061C" w:rsidP="00B83388">
      <w:pPr>
        <w:pStyle w:val="BodyText3"/>
        <w:ind w:left="720" w:hanging="720"/>
      </w:pPr>
      <w:r w:rsidRPr="0084489D">
        <w:lastRenderedPageBreak/>
        <w:t>D.</w:t>
      </w:r>
      <w:r w:rsidRPr="0084489D">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196C0364" w14:textId="179599BD" w:rsidR="00A2061C" w:rsidRPr="00A2061C" w:rsidRDefault="00A2061C" w:rsidP="00A2061C">
      <w:pPr>
        <w:pStyle w:val="BodyText"/>
      </w:pPr>
      <w:r w:rsidRPr="00A2061C">
        <w:t>Every successful organization has a story of evolution. For</w:t>
      </w:r>
      <w:r w:rsidR="0084489D">
        <w:t xml:space="preserve"> </w:t>
      </w:r>
      <w:r w:rsidRPr="00A2061C">
        <w:t>TWC, that story is one of deliberate, continuous improvement—a journey that began with a single, calculated step and has grown into a powerful, agency-wide culture of transformation. This is the history of how TWC built its Business Transformation program, from the ground up. </w:t>
      </w:r>
    </w:p>
    <w:p w14:paraId="5FCAD4AA" w14:textId="77777777" w:rsidR="00A2061C" w:rsidRPr="00A2061C" w:rsidRDefault="00A2061C" w:rsidP="00A2061C">
      <w:pPr>
        <w:pStyle w:val="BodyText"/>
      </w:pPr>
      <w:r w:rsidRPr="00A2061C">
        <w:rPr>
          <w:b/>
          <w:bCs/>
        </w:rPr>
        <w:t>The Genesis: A Mandate and a Pilot (2011)</w:t>
      </w:r>
      <w:r w:rsidRPr="00A2061C">
        <w:t> </w:t>
      </w:r>
    </w:p>
    <w:p w14:paraId="034D6696" w14:textId="56019E9E" w:rsidR="00A2061C" w:rsidRPr="00A2061C" w:rsidRDefault="00177D41" w:rsidP="00A2061C">
      <w:pPr>
        <w:pStyle w:val="BodyText"/>
      </w:pPr>
      <w:r>
        <w:t xml:space="preserve">Beginning </w:t>
      </w:r>
      <w:r w:rsidR="00A2061C" w:rsidRPr="00A2061C">
        <w:t>in 2011, Senate Bill 563 commissioned TWC to pilot a structured approach for improving efficiency and quality of operations without adding resources. TWC selected the WOTC program, which was struggling under a rising tide of applications and significant backlogs—processing only 60</w:t>
      </w:r>
      <w:r w:rsidR="00371C00">
        <w:t xml:space="preserve"> percent</w:t>
      </w:r>
      <w:r w:rsidR="00A2061C" w:rsidRPr="00A2061C">
        <w:t xml:space="preserve"> of applications by the tax deadline. </w:t>
      </w:r>
    </w:p>
    <w:p w14:paraId="4B654063" w14:textId="7CB0C9E1" w:rsidR="00A2061C" w:rsidRPr="00A2061C" w:rsidRDefault="00A2061C" w:rsidP="00A2061C">
      <w:pPr>
        <w:pStyle w:val="BodyText"/>
      </w:pPr>
      <w:r w:rsidRPr="00A2061C">
        <w:t xml:space="preserve">Adopting the Integrated Theory of Constraints Lean Six Sigma (ITLS) methodology, the team focused on eliminating bottlenecks to increase processing capacity and speed. The results were remarkable.  There was a 48 percent decrease in the average time to </w:t>
      </w:r>
      <w:proofErr w:type="gramStart"/>
      <w:r w:rsidRPr="00A2061C">
        <w:t>make a determination</w:t>
      </w:r>
      <w:proofErr w:type="gramEnd"/>
      <w:r w:rsidRPr="00A2061C">
        <w:t>, a 60</w:t>
      </w:r>
      <w:r w:rsidR="00353B4D">
        <w:t xml:space="preserve"> percent</w:t>
      </w:r>
      <w:r w:rsidRPr="00A2061C">
        <w:t xml:space="preserve"> decrease in the processing backlog, and a 45 percent increase in applications processed by the tax filing deadline.  </w:t>
      </w:r>
    </w:p>
    <w:p w14:paraId="06640324" w14:textId="77777777" w:rsidR="00A2061C" w:rsidRPr="00A2061C" w:rsidRDefault="00A2061C" w:rsidP="00A2061C">
      <w:pPr>
        <w:pStyle w:val="BodyText"/>
      </w:pPr>
      <w:r w:rsidRPr="00A2061C">
        <w:t>This efficiency unlocked $97 million in additional potential tax credit value for Texas employers in just nine months. The pilot was an undeniable success, demonstrating that a structured, data-driven methodology could achieve profound improvements and laying the groundwork for our agency-wide program. </w:t>
      </w:r>
    </w:p>
    <w:p w14:paraId="39721BB4" w14:textId="6B446D7F" w:rsidR="00A2061C" w:rsidRPr="00A2061C" w:rsidRDefault="00A2061C" w:rsidP="00A2061C">
      <w:pPr>
        <w:pStyle w:val="BodyText"/>
      </w:pPr>
      <w:r w:rsidRPr="00A2061C">
        <w:rPr>
          <w:b/>
          <w:bCs/>
        </w:rPr>
        <w:t>The Foundation: Rapid Process Improvement (2012-Present)</w:t>
      </w:r>
      <w:r w:rsidRPr="00A2061C">
        <w:t> </w:t>
      </w:r>
    </w:p>
    <w:p w14:paraId="699DAB5E" w14:textId="29423461" w:rsidR="00A2061C" w:rsidRPr="00A2061C" w:rsidRDefault="00A2061C" w:rsidP="00A2061C">
      <w:pPr>
        <w:pStyle w:val="BodyText"/>
      </w:pPr>
      <w:r w:rsidRPr="00A2061C">
        <w:t xml:space="preserve">Building on the momentum of the WOTC pilot, TWC launched its formal RPI program in 2012. This was the first foundational layer of </w:t>
      </w:r>
      <w:proofErr w:type="gramStart"/>
      <w:r w:rsidR="00F144B7">
        <w:t xml:space="preserve">a </w:t>
      </w:r>
      <w:r w:rsidR="00F144B7" w:rsidRPr="00A2061C">
        <w:t xml:space="preserve"> </w:t>
      </w:r>
      <w:r w:rsidRPr="00A2061C">
        <w:t>transformation</w:t>
      </w:r>
      <w:proofErr w:type="gramEnd"/>
      <w:r w:rsidRPr="00A2061C">
        <w:t xml:space="preserve"> pyramid. </w:t>
      </w:r>
    </w:p>
    <w:p w14:paraId="60C43353" w14:textId="77777777" w:rsidR="00A2061C" w:rsidRPr="00A2061C" w:rsidRDefault="00A2061C" w:rsidP="00A2061C">
      <w:pPr>
        <w:pStyle w:val="BodyText"/>
      </w:pPr>
      <w:r w:rsidRPr="00A2061C">
        <w:t>RPI took the successful ITLS model and scaled it across the agency. RPI is a proven, seven-phase methodology that empowers individual departments and teams to analyze their own workflows, identify their unique constraints, and implement targeted solutions. </w:t>
      </w:r>
    </w:p>
    <w:p w14:paraId="61F1F2DB" w14:textId="6BE02F19" w:rsidR="00A2061C" w:rsidRPr="00A2061C" w:rsidRDefault="00A2061C" w:rsidP="00A2061C">
      <w:pPr>
        <w:pStyle w:val="BodyText"/>
      </w:pPr>
      <w:r w:rsidRPr="00A2061C">
        <w:t xml:space="preserve">The RPI program was built on a core philosophy that remains central to </w:t>
      </w:r>
      <w:r w:rsidR="001C77FB">
        <w:t>TWC’s</w:t>
      </w:r>
      <w:r w:rsidR="001C77FB" w:rsidRPr="00A2061C">
        <w:t xml:space="preserve"> </w:t>
      </w:r>
      <w:r w:rsidRPr="00A2061C">
        <w:t>culture today: "The people who do the work are best equipped to help improve the work." </w:t>
      </w:r>
    </w:p>
    <w:p w14:paraId="19FEB77E" w14:textId="314DC2B7" w:rsidR="00A2061C" w:rsidRPr="00A2061C" w:rsidRDefault="00A2061C" w:rsidP="00A2061C">
      <w:pPr>
        <w:pStyle w:val="BodyText"/>
      </w:pPr>
      <w:r w:rsidRPr="00A2061C">
        <w:t xml:space="preserve">By engaging frontline staff and Subject Matter Experts (SMEs) directly in problem-solving, TWC ensured that solutions were practical, effective, and had buy-in from the very people who would implement them. Department by department, division by division, RPI projects strengthened the individual processes that form the bedrock of our agency. Each project made a process more efficient, more effective, and more responsive to the needs of </w:t>
      </w:r>
      <w:r w:rsidR="00FC259F">
        <w:t>TWC’s</w:t>
      </w:r>
      <w:r w:rsidRPr="00A2061C">
        <w:t xml:space="preserve"> customers. This laid a solid, stable foundation for the next stage. </w:t>
      </w:r>
    </w:p>
    <w:p w14:paraId="27445C37" w14:textId="77777777" w:rsidR="00A2061C" w:rsidRPr="00A2061C" w:rsidRDefault="00A2061C" w:rsidP="00A2061C">
      <w:pPr>
        <w:pStyle w:val="BodyText"/>
      </w:pPr>
      <w:r w:rsidRPr="00A2061C">
        <w:rPr>
          <w:b/>
          <w:bCs/>
        </w:rPr>
        <w:lastRenderedPageBreak/>
        <w:t>The Expansion: The Rise of Business Transformation</w:t>
      </w:r>
      <w:r w:rsidRPr="00A2061C">
        <w:t> </w:t>
      </w:r>
    </w:p>
    <w:p w14:paraId="049262DB" w14:textId="77777777" w:rsidR="00A2061C" w:rsidRPr="00A2061C" w:rsidRDefault="00A2061C" w:rsidP="00A2061C">
      <w:pPr>
        <w:pStyle w:val="BodyText"/>
      </w:pPr>
      <w:r w:rsidRPr="00A2061C">
        <w:t>A system is simply a collection of interconnected processes. Once the RPI program had fortified individual processes across the agency, TWC leadership expanded the vision to look at how those processes connect. This was the birth of Business Transformation (BT)—the next level of our pyramid. </w:t>
      </w:r>
    </w:p>
    <w:p w14:paraId="7EE719DC" w14:textId="0F33BDDA" w:rsidR="00A2061C" w:rsidRPr="00A2061C" w:rsidRDefault="00A2061C" w:rsidP="00A2061C">
      <w:pPr>
        <w:pStyle w:val="BodyText"/>
      </w:pPr>
      <w:r w:rsidRPr="00A2061C">
        <w:t xml:space="preserve">Business Transformation takes a holistic view, looking not just at processes within a single division, but at entire systems that span across multiple divisions. BT projects analyze how work, information, and resources flow through the agency </w:t>
      </w:r>
      <w:proofErr w:type="gramStart"/>
      <w:r w:rsidRPr="00A2061C">
        <w:t>as a whole to</w:t>
      </w:r>
      <w:proofErr w:type="gramEnd"/>
      <w:r w:rsidRPr="00A2061C">
        <w:t xml:space="preserve"> serve </w:t>
      </w:r>
      <w:r w:rsidR="00FC259F">
        <w:t>TWC’s</w:t>
      </w:r>
      <w:r w:rsidRPr="00A2061C">
        <w:t xml:space="preserve"> customers. </w:t>
      </w:r>
    </w:p>
    <w:p w14:paraId="02D816DE" w14:textId="77777777" w:rsidR="00A2061C" w:rsidRPr="00A2061C" w:rsidRDefault="00A2061C" w:rsidP="00A2061C">
      <w:pPr>
        <w:pStyle w:val="BodyText"/>
      </w:pPr>
      <w:r w:rsidRPr="00A2061C">
        <w:t>The goal of Business Transformation is to: </w:t>
      </w:r>
    </w:p>
    <w:p w14:paraId="36F2058F" w14:textId="77777777" w:rsidR="00A2061C" w:rsidRPr="00A2061C" w:rsidRDefault="00A2061C" w:rsidP="00C64851">
      <w:pPr>
        <w:pStyle w:val="BodyText"/>
        <w:numPr>
          <w:ilvl w:val="0"/>
          <w:numId w:val="320"/>
        </w:numPr>
      </w:pPr>
      <w:r w:rsidRPr="00A2061C">
        <w:t>Align resources more effectively across the agency. </w:t>
      </w:r>
    </w:p>
    <w:p w14:paraId="7DCC20A8" w14:textId="77777777" w:rsidR="00A2061C" w:rsidRPr="00A2061C" w:rsidRDefault="00A2061C" w:rsidP="00C64851">
      <w:pPr>
        <w:pStyle w:val="BodyText"/>
        <w:numPr>
          <w:ilvl w:val="0"/>
          <w:numId w:val="321"/>
        </w:numPr>
      </w:pPr>
      <w:r w:rsidRPr="00A2061C">
        <w:t>Improve coordination, synchronization, and communication between teams. </w:t>
      </w:r>
    </w:p>
    <w:p w14:paraId="1B0DB87B" w14:textId="77777777" w:rsidR="00A2061C" w:rsidRPr="00A2061C" w:rsidRDefault="00A2061C" w:rsidP="00C64851">
      <w:pPr>
        <w:pStyle w:val="BodyText"/>
        <w:numPr>
          <w:ilvl w:val="0"/>
          <w:numId w:val="322"/>
        </w:numPr>
      </w:pPr>
      <w:r w:rsidRPr="00A2061C">
        <w:t>Redesign entire systems to create a seamless and logical experience for our customers. </w:t>
      </w:r>
    </w:p>
    <w:p w14:paraId="786B0C70" w14:textId="7F2FB682" w:rsidR="00A2061C" w:rsidRPr="00A2061C" w:rsidRDefault="00A2061C" w:rsidP="00A2061C">
      <w:pPr>
        <w:pStyle w:val="BodyText"/>
      </w:pPr>
      <w:r w:rsidRPr="00A2061C">
        <w:t xml:space="preserve">This system-level approach has allowed TWC to make an even greater impact. It has given </w:t>
      </w:r>
      <w:r w:rsidR="00FC259F">
        <w:t>TWC</w:t>
      </w:r>
      <w:r w:rsidR="00FC259F" w:rsidRPr="00A2061C">
        <w:t xml:space="preserve"> </w:t>
      </w:r>
      <w:r w:rsidRPr="00A2061C">
        <w:t xml:space="preserve">the agility to respond to unexpected challenges with unprecedented speed. During the pandemic and in the face of natural disasters, the BT and RPI frameworks allowed </w:t>
      </w:r>
      <w:r w:rsidR="008F1B2C">
        <w:t>TWC</w:t>
      </w:r>
      <w:r w:rsidR="008F1B2C" w:rsidRPr="00A2061C">
        <w:t xml:space="preserve"> </w:t>
      </w:r>
      <w:r w:rsidRPr="00A2061C">
        <w:t>to stand up new programs and adapt services in a matter of weeks, not months. </w:t>
      </w:r>
    </w:p>
    <w:p w14:paraId="3DC92903" w14:textId="77777777" w:rsidR="00A2061C" w:rsidRPr="00A2061C" w:rsidRDefault="00A2061C" w:rsidP="00A2061C">
      <w:pPr>
        <w:pStyle w:val="BodyText"/>
      </w:pPr>
      <w:r w:rsidRPr="00A2061C">
        <w:rPr>
          <w:b/>
          <w:bCs/>
        </w:rPr>
        <w:t>The Apex: A Culture of Continuous Improvement and Innovation</w:t>
      </w:r>
      <w:r w:rsidRPr="00A2061C">
        <w:t> </w:t>
      </w:r>
    </w:p>
    <w:p w14:paraId="69372989" w14:textId="77777777" w:rsidR="00A2061C" w:rsidRPr="00A2061C" w:rsidRDefault="00A2061C" w:rsidP="00A2061C">
      <w:pPr>
        <w:pStyle w:val="BodyText"/>
      </w:pPr>
      <w:r w:rsidRPr="00A2061C">
        <w:t>Today, the Business Transformation program represents a mature and integrated system for improvement, best visualized as a pyramid: </w:t>
      </w:r>
    </w:p>
    <w:p w14:paraId="0441579F" w14:textId="77777777" w:rsidR="00A2061C" w:rsidRPr="00A2061C" w:rsidRDefault="00A2061C" w:rsidP="00C64851">
      <w:pPr>
        <w:pStyle w:val="BodyText"/>
        <w:numPr>
          <w:ilvl w:val="0"/>
          <w:numId w:val="323"/>
        </w:numPr>
      </w:pPr>
      <w:r w:rsidRPr="00A2061C">
        <w:rPr>
          <w:b/>
          <w:bCs/>
        </w:rPr>
        <w:t>The Foundation (RPI):</w:t>
      </w:r>
      <w:r w:rsidRPr="00A2061C">
        <w:t xml:space="preserve"> Strong, efficient, and effective processes at the department level. </w:t>
      </w:r>
    </w:p>
    <w:p w14:paraId="59CB22FC" w14:textId="77777777" w:rsidR="00A2061C" w:rsidRPr="00A2061C" w:rsidRDefault="00A2061C" w:rsidP="00C64851">
      <w:pPr>
        <w:pStyle w:val="BodyText"/>
        <w:numPr>
          <w:ilvl w:val="0"/>
          <w:numId w:val="324"/>
        </w:numPr>
      </w:pPr>
      <w:r w:rsidRPr="00A2061C">
        <w:rPr>
          <w:b/>
          <w:bCs/>
        </w:rPr>
        <w:t>The Structure (Business Transformation):</w:t>
      </w:r>
      <w:r w:rsidRPr="00A2061C">
        <w:t xml:space="preserve"> Cohesive, synchronized, and agile systems that connect processes across the entire agency. </w:t>
      </w:r>
    </w:p>
    <w:p w14:paraId="610A0E89" w14:textId="77777777" w:rsidR="00A2061C" w:rsidRPr="00A2061C" w:rsidRDefault="00A2061C" w:rsidP="00C64851">
      <w:pPr>
        <w:pStyle w:val="BodyText"/>
        <w:numPr>
          <w:ilvl w:val="0"/>
          <w:numId w:val="325"/>
        </w:numPr>
      </w:pPr>
      <w:r w:rsidRPr="00A2061C">
        <w:rPr>
          <w:b/>
          <w:bCs/>
        </w:rPr>
        <w:t>The Enhancements (The Apex):</w:t>
      </w:r>
      <w:r w:rsidRPr="00A2061C">
        <w:t xml:space="preserve"> We are now at a stage where we can incorporate additional tools to make our transformed systems even more powerful. We strategically incorporate tools like Artificial Intelligence to handle repetitive tasks, simplify automation to speed up workflows, and strengthen data analytics tools to give our leaders a holistic view for better, faster decision-making. </w:t>
      </w:r>
    </w:p>
    <w:p w14:paraId="59DC9AAC" w14:textId="260E9928" w:rsidR="00A2061C" w:rsidRPr="00A2061C" w:rsidRDefault="00A2061C" w:rsidP="00A2061C">
      <w:pPr>
        <w:pStyle w:val="BodyText"/>
      </w:pPr>
      <w:r w:rsidRPr="00A2061C">
        <w:t xml:space="preserve">This journey—from a single pilot program to a fully realized transformation framework—has done more than just improve metrics. It has fundamentally changed </w:t>
      </w:r>
      <w:r w:rsidR="008D589C">
        <w:t>the</w:t>
      </w:r>
      <w:r w:rsidRPr="00A2061C">
        <w:t xml:space="preserve"> culture</w:t>
      </w:r>
      <w:r w:rsidR="00270C7B">
        <w:t xml:space="preserve"> at TWC</w:t>
      </w:r>
      <w:r w:rsidRPr="00A2061C">
        <w:t xml:space="preserve">. TWC continues to foster an environment where people are encouraged to be innovative </w:t>
      </w:r>
      <w:r w:rsidRPr="00A2061C">
        <w:lastRenderedPageBreak/>
        <w:t>and embrace change, to transparently communicate problems as opportunities for improvement, and to take initiative. </w:t>
      </w:r>
    </w:p>
    <w:p w14:paraId="7F26B0D1" w14:textId="0C0FCB74" w:rsidR="00A2061C" w:rsidRPr="00A2061C" w:rsidRDefault="00A2061C" w:rsidP="00A2061C">
      <w:pPr>
        <w:pStyle w:val="BodyText"/>
      </w:pPr>
      <w:r w:rsidRPr="00A2061C">
        <w:t xml:space="preserve">By building a strong foundation, expanding our vision, and continuously seeking to innovate, the Business Transformation program not only supports customers today but prepares </w:t>
      </w:r>
      <w:r w:rsidR="00267772">
        <w:t>TWC</w:t>
      </w:r>
      <w:r w:rsidRPr="00A2061C">
        <w:t xml:space="preserve"> to serve the Texans of tomorrow. </w:t>
      </w:r>
    </w:p>
    <w:p w14:paraId="4204109E" w14:textId="0B4B03C9" w:rsidR="00A2061C" w:rsidRPr="005D594D" w:rsidRDefault="00A2061C" w:rsidP="00B83388">
      <w:pPr>
        <w:pStyle w:val="BodyText3"/>
        <w:ind w:left="720" w:hanging="720"/>
      </w:pPr>
      <w:r w:rsidRPr="005D594D">
        <w:t>E.</w:t>
      </w:r>
      <w:r w:rsidRPr="005D594D">
        <w:tab/>
        <w:t>List any qualifications or eligibility requirements for persons or entities affected by this division or program (e.g., licensees, consumers, and landowners). Provide a statistical breakdown of persons or entities affected. </w:t>
      </w:r>
    </w:p>
    <w:p w14:paraId="30FE519E" w14:textId="77777777" w:rsidR="00A2061C" w:rsidRPr="00A2061C" w:rsidRDefault="00A2061C" w:rsidP="00A2061C">
      <w:pPr>
        <w:pStyle w:val="BodyText"/>
      </w:pPr>
      <w:r w:rsidRPr="00A2061C">
        <w:t>N/A </w:t>
      </w:r>
    </w:p>
    <w:p w14:paraId="4B381895" w14:textId="57DCEBE4" w:rsidR="00A2061C" w:rsidRPr="005D594D" w:rsidRDefault="00A2061C" w:rsidP="00B83388">
      <w:pPr>
        <w:pStyle w:val="BodyText3"/>
        <w:ind w:left="720" w:hanging="720"/>
      </w:pPr>
      <w:r w:rsidRPr="005D594D">
        <w:t>F.</w:t>
      </w:r>
      <w:r w:rsidRPr="005D594D">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1363EA7F" w14:textId="1B0BC090" w:rsidR="00A2061C" w:rsidRPr="00A2061C" w:rsidRDefault="00A2061C" w:rsidP="00A2061C">
      <w:pPr>
        <w:pStyle w:val="BodyText"/>
      </w:pPr>
      <w:r w:rsidRPr="00A2061C">
        <w:t>As outlined in a previous section, the BT-RPI program is structured around three strategies:</w:t>
      </w:r>
      <w:r w:rsidR="00B96A1A">
        <w:t xml:space="preserve"> </w:t>
      </w:r>
      <w:r w:rsidRPr="00A2061C">
        <w:t>1) Developing enterprise solutions through Business Transformation projects that transform our business systems; 2) Managing and leading process improvement projects and initiatives and supporting teams through the process; and 3) Training and Coaching TWC staff on BT-RPI methodologies and principles.  This enables TWC to continue to build a strong foundation and culture for continuous improvement.  These strategies are implemented through a combination of enterprise-level projects, departmental process improvement initiatives, and a tiered training program for all staff. </w:t>
      </w:r>
    </w:p>
    <w:p w14:paraId="7B27D19D" w14:textId="77777777" w:rsidR="00A2061C" w:rsidRPr="00A2061C" w:rsidRDefault="00A2061C" w:rsidP="00A2061C">
      <w:pPr>
        <w:pStyle w:val="BodyText"/>
      </w:pPr>
      <w:r w:rsidRPr="00A2061C">
        <w:t>BT is a method used for implementing enterprise solutions that transform the systems at TWC.   BT includes taking a holistic view of the agency and shifting our systems to better support our agency’s Vision, Mission, and Goals.  </w:t>
      </w:r>
    </w:p>
    <w:p w14:paraId="41A17F2D" w14:textId="0A490F15" w:rsidR="00A2061C" w:rsidRPr="00A2061C" w:rsidRDefault="00A2061C" w:rsidP="00A2061C">
      <w:pPr>
        <w:pStyle w:val="BodyText"/>
      </w:pPr>
      <w:r w:rsidRPr="00A2061C">
        <w:t>The BT-RPI team administers BT projects by first identifying opportunities that align with TWC's strategic goals and addresses significant organizational inefficiencies.  This can come through requests from leadership or concerns raised by employees or customers.  The team then serves as internal consultants, working with leadership to analyze program and system performance, gain data-driven insights, and make informed decisions. For example, a recent project with V</w:t>
      </w:r>
      <w:r w:rsidR="00C35FA9">
        <w:t>R</w:t>
      </w:r>
      <w:r w:rsidRPr="00A2061C">
        <w:t xml:space="preserve"> addressed the issue of maintaining enough qualified vendors to serve our customers.  The BT –RPI team analyzed the situation and implemented tools to identify types of services and locations where we needed to implement a stronger, more targeted recruitment strategy.   BT allows us to take a broader look at how different processes are </w:t>
      </w:r>
      <w:r w:rsidR="00C35FA9" w:rsidRPr="00A2061C">
        <w:t>connected</w:t>
      </w:r>
      <w:r w:rsidRPr="00A2061C">
        <w:t xml:space="preserve"> and work to transform the entire system for increased agency output.   </w:t>
      </w:r>
    </w:p>
    <w:p w14:paraId="6B98C706" w14:textId="77777777" w:rsidR="00A2061C" w:rsidRPr="00A2061C" w:rsidRDefault="00A2061C" w:rsidP="00A2061C">
      <w:pPr>
        <w:pStyle w:val="BodyText"/>
      </w:pPr>
      <w:r w:rsidRPr="00A2061C">
        <w:t xml:space="preserve">Managing and leading process improvement projects and initiatives and supporting teams through the process is the usual approach taken by the BT-RPI team for departmental or </w:t>
      </w:r>
      <w:r w:rsidRPr="00A2061C">
        <w:lastRenderedPageBreak/>
        <w:t>process level improvement needs. The BT-RPI team’s role can range from being the lead Process Improvement Practitioner and Project Manager of a project, to Co-leading it with a practitioner from within the division, to being an advisor and coach during the project in support of the Division leading the project.  All approaches include collaborative efforts.   </w:t>
      </w:r>
    </w:p>
    <w:p w14:paraId="5F181DAD" w14:textId="77777777" w:rsidR="00A2061C" w:rsidRPr="00A2061C" w:rsidRDefault="00A2061C" w:rsidP="00A2061C">
      <w:pPr>
        <w:pStyle w:val="BodyText"/>
      </w:pPr>
      <w:r w:rsidRPr="00A2061C">
        <w:t>The BT-RPI program relies on two key methods to implement process improvement project initiatives: 1) Tiger Teams for immediate problem solving and 2) structured RPI projects for solving more complex issues. The BT-RPI Team determines the best approach based on whether root cause has been determined and confirmed with data. </w:t>
      </w:r>
    </w:p>
    <w:p w14:paraId="3B375049" w14:textId="77777777" w:rsidR="00A2061C" w:rsidRPr="00A2061C" w:rsidRDefault="00A2061C" w:rsidP="00A2061C">
      <w:pPr>
        <w:pStyle w:val="BodyText"/>
      </w:pPr>
      <w:r w:rsidRPr="00A2061C">
        <w:rPr>
          <w:u w:val="single"/>
        </w:rPr>
        <w:t>Tiger Team method:</w:t>
      </w:r>
      <w:r w:rsidRPr="00A2061C">
        <w:t>  Tiger Teams consist of a small number of people, usually 3-4, who come together to solve a specific problem.  Tiger Team work must be approved by a director and the team must have an approved charter with a clear Problem Statement and Goal.  Either a member of the RPI-BT team or a certified TWC RPI Practitioner works with the team to give guidance on process improvement principles as needed.  </w:t>
      </w:r>
    </w:p>
    <w:p w14:paraId="540FE393" w14:textId="77777777" w:rsidR="00A2061C" w:rsidRPr="00A2061C" w:rsidRDefault="00A2061C" w:rsidP="00A2061C">
      <w:pPr>
        <w:pStyle w:val="BodyText"/>
      </w:pPr>
      <w:r w:rsidRPr="00A2061C">
        <w:rPr>
          <w:u w:val="single"/>
        </w:rPr>
        <w:t>Structured RPI method:</w:t>
      </w:r>
      <w:r w:rsidRPr="00A2061C">
        <w:t xml:space="preserve"> For larger problems needing more clarity the department management will choose an RPI project that walks through a seven-step model developed within TWC and uses the ITLS methodology to achieve results. The projects can be managed and led by a member of the BT-RPI team, or the departments can choose to let an RPI Practitioner lead the work with the BT-RPI team member to participate as a co-lead, coach, or consultant.  This allows those within the department to lead the work while being confident that they have enough support to achieve measurable improvements by the end of the project.  </w:t>
      </w:r>
    </w:p>
    <w:p w14:paraId="009A5D31" w14:textId="77777777" w:rsidR="00A2061C" w:rsidRPr="00A2061C" w:rsidRDefault="00A2061C" w:rsidP="00A2061C">
      <w:pPr>
        <w:pStyle w:val="BodyText"/>
      </w:pPr>
      <w:r w:rsidRPr="00A2061C">
        <w:t>Lastly, the training and coaching of TWC staff on ITLS methodologies and process improvement principles is the third strategy incorporated to achieve the program’s goal. Process improvement is most effective when those performing the work can contribute to its improvement. TWC offers targeted process improvement training to equip staff with the knowledge and skills to identify and address process bottlenecks, reduce waste, and improve overall efficiency. TWC offers a tiered training program, ranging from an introductory online course to in-depth classroom training, the latter of which is taught by the BT RPI team.   </w:t>
      </w:r>
    </w:p>
    <w:p w14:paraId="3CF5CBA9" w14:textId="77777777" w:rsidR="00A2061C" w:rsidRPr="00A2061C" w:rsidRDefault="00A2061C" w:rsidP="00A2061C">
      <w:pPr>
        <w:pStyle w:val="BodyText"/>
      </w:pPr>
      <w:r w:rsidRPr="00A2061C">
        <w:t xml:space="preserve">The BT-RPI program relies on three different methods to train staff on process improvement and achieve results.  The program starts with a one-hour Computer-Based Training (CBT) course providing a basic overview of the BT-RPI program, accessible to all employees through our online learning management system.  Building on this foundation, Micro Classes offer focused training on specific process improvement tools and techniques, enabling divisions to achieve quick wins. These classes can range from 45 mins to a full day if a team desires more intensive training. Finally, the 60-hour RPI Practitioner Classroom Training provides in-depth instruction on the seven-step RPI process. Participants apply their learning by completing an approved process improvement project, mentored by a BT-RPI team member. Employees have the option to only complete the classroom training and be listed as an RPI practitioner.  To become a Certified TWC RPI Practitioner, employees must complete the classroom training and an approved, vetted </w:t>
      </w:r>
      <w:r w:rsidRPr="00A2061C">
        <w:lastRenderedPageBreak/>
        <w:t>project within their department.  The project results are then presented to Division and Executive leadership.  Currently, there are about 16 Certified RPI Practitioners within TWC, demonstrating the program's success in building internal expertise. </w:t>
      </w:r>
    </w:p>
    <w:p w14:paraId="3C92E857" w14:textId="77777777" w:rsidR="00A2061C" w:rsidRPr="00A2061C" w:rsidRDefault="00A2061C" w:rsidP="00A2061C">
      <w:pPr>
        <w:pStyle w:val="BodyText"/>
      </w:pPr>
      <w:r w:rsidRPr="00A2061C">
        <w:t>By incorporating these three strategies, TWC maximizes its BT-RPI impact despite having a core team of only three full-time employees. Empowering employees through training and collaborative projects significantly expands the agency's capacity for improvement. This distributed approach fosters a culture of transparency and encourages proactive problem-solving. As a result, TWC has seen an improvement in process timeliness and throughput since implementing the BT-RPI program, demonstrating the effectiveness of its blended top-down and bottom-up approach to continuous improvement. This has yielded results that are significantly greater than the team size and allocated resources, providing excellent return on investment for the agency. </w:t>
      </w:r>
    </w:p>
    <w:p w14:paraId="6AE81DA8" w14:textId="77777777" w:rsidR="00A2061C" w:rsidRPr="000531C0" w:rsidRDefault="00A2061C" w:rsidP="00B96A1A">
      <w:pPr>
        <w:pStyle w:val="BodyText3"/>
        <w:ind w:left="720" w:hanging="720"/>
      </w:pPr>
      <w:r w:rsidRPr="000531C0">
        <w:t>G.</w:t>
      </w:r>
      <w:r w:rsidRPr="000531C0">
        <w:tab/>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 </w:t>
      </w:r>
    </w:p>
    <w:tbl>
      <w:tblPr>
        <w:tblStyle w:val="TableGrid1"/>
        <w:tblW w:w="10350" w:type="dxa"/>
        <w:tblCellMar>
          <w:top w:w="58" w:type="dxa"/>
          <w:bottom w:w="58" w:type="dxa"/>
        </w:tblCellMar>
        <w:tblLook w:val="04A0" w:firstRow="1" w:lastRow="0" w:firstColumn="1" w:lastColumn="0" w:noHBand="0" w:noVBand="1"/>
      </w:tblPr>
      <w:tblGrid>
        <w:gridCol w:w="2784"/>
        <w:gridCol w:w="2436"/>
        <w:gridCol w:w="2790"/>
        <w:gridCol w:w="2340"/>
      </w:tblGrid>
      <w:tr w:rsidR="006046E9" w:rsidRPr="004B5D1F" w14:paraId="5CE21B46" w14:textId="77777777" w:rsidTr="006046E9">
        <w:trPr>
          <w:trHeight w:val="403"/>
        </w:trPr>
        <w:tc>
          <w:tcPr>
            <w:tcW w:w="2784" w:type="dxa"/>
            <w:shd w:val="clear" w:color="auto" w:fill="B8CCE4" w:themeFill="accent1" w:themeFillTint="66"/>
            <w:vAlign w:val="center"/>
            <w:hideMark/>
          </w:tcPr>
          <w:p w14:paraId="35E37F2A" w14:textId="77777777" w:rsidR="006046E9" w:rsidRPr="004B5D1F" w:rsidRDefault="006046E9" w:rsidP="006046E9">
            <w:pPr>
              <w:pStyle w:val="TableHeaders"/>
              <w:rPr>
                <w:color w:val="000000"/>
              </w:rPr>
            </w:pPr>
            <w:r w:rsidRPr="004B5D1F">
              <w:t>Program or Function Detail Description</w:t>
            </w:r>
          </w:p>
        </w:tc>
        <w:tc>
          <w:tcPr>
            <w:tcW w:w="2436" w:type="dxa"/>
            <w:shd w:val="clear" w:color="auto" w:fill="B8CCE4" w:themeFill="accent1" w:themeFillTint="66"/>
            <w:vAlign w:val="center"/>
            <w:hideMark/>
          </w:tcPr>
          <w:p w14:paraId="73923031" w14:textId="77777777" w:rsidR="006046E9" w:rsidRPr="004B5D1F" w:rsidRDefault="006046E9" w:rsidP="006046E9">
            <w:pPr>
              <w:pStyle w:val="TableHeaders"/>
              <w:rPr>
                <w:color w:val="000000"/>
              </w:rPr>
            </w:pPr>
            <w:r w:rsidRPr="004B5D1F">
              <w:t>Total FY 2024</w:t>
            </w:r>
          </w:p>
        </w:tc>
        <w:tc>
          <w:tcPr>
            <w:tcW w:w="2790" w:type="dxa"/>
            <w:shd w:val="clear" w:color="auto" w:fill="B8CCE4" w:themeFill="accent1" w:themeFillTint="66"/>
            <w:vAlign w:val="center"/>
            <w:hideMark/>
          </w:tcPr>
          <w:p w14:paraId="4A4FC202" w14:textId="77777777" w:rsidR="006046E9" w:rsidRPr="004B5D1F" w:rsidRDefault="006046E9" w:rsidP="006046E9">
            <w:pPr>
              <w:pStyle w:val="TableHeaders"/>
              <w:rPr>
                <w:color w:val="000000"/>
              </w:rPr>
            </w:pPr>
            <w:r w:rsidRPr="004B5D1F">
              <w:t>Federal Funding</w:t>
            </w:r>
          </w:p>
        </w:tc>
        <w:tc>
          <w:tcPr>
            <w:tcW w:w="2340" w:type="dxa"/>
            <w:shd w:val="clear" w:color="auto" w:fill="B8CCE4" w:themeFill="accent1" w:themeFillTint="66"/>
            <w:vAlign w:val="center"/>
            <w:hideMark/>
          </w:tcPr>
          <w:p w14:paraId="70D2AA74" w14:textId="77777777" w:rsidR="006046E9" w:rsidRPr="004B5D1F" w:rsidRDefault="006046E9" w:rsidP="006046E9">
            <w:pPr>
              <w:pStyle w:val="TableHeaders"/>
              <w:rPr>
                <w:color w:val="000000"/>
              </w:rPr>
            </w:pPr>
            <w:r w:rsidRPr="004B5D1F">
              <w:t>State Funding</w:t>
            </w:r>
          </w:p>
        </w:tc>
      </w:tr>
      <w:tr w:rsidR="006046E9" w:rsidRPr="004B5D1F" w14:paraId="4F6C31DA" w14:textId="77777777" w:rsidTr="006046E9">
        <w:trPr>
          <w:trHeight w:val="201"/>
        </w:trPr>
        <w:tc>
          <w:tcPr>
            <w:tcW w:w="2784" w:type="dxa"/>
            <w:noWrap/>
            <w:vAlign w:val="center"/>
            <w:hideMark/>
          </w:tcPr>
          <w:p w14:paraId="693D4570" w14:textId="77777777" w:rsidR="006046E9" w:rsidRPr="004B5D1F" w:rsidRDefault="006046E9" w:rsidP="006046E9">
            <w:pPr>
              <w:pStyle w:val="TableText"/>
            </w:pPr>
            <w:r w:rsidRPr="004B5D1F">
              <w:t>Strategy and Business Transformation/Improvement</w:t>
            </w:r>
          </w:p>
        </w:tc>
        <w:tc>
          <w:tcPr>
            <w:tcW w:w="2436" w:type="dxa"/>
            <w:vAlign w:val="center"/>
            <w:hideMark/>
          </w:tcPr>
          <w:p w14:paraId="6E9DC0F0" w14:textId="31FE63A5" w:rsidR="006046E9" w:rsidRPr="004B5D1F" w:rsidRDefault="006046E9" w:rsidP="006046E9">
            <w:pPr>
              <w:pStyle w:val="TableText"/>
              <w:jc w:val="right"/>
            </w:pPr>
            <w:r w:rsidRPr="004B5D1F">
              <w:t>178,758</w:t>
            </w:r>
          </w:p>
        </w:tc>
        <w:tc>
          <w:tcPr>
            <w:tcW w:w="2790" w:type="dxa"/>
            <w:vAlign w:val="center"/>
            <w:hideMark/>
          </w:tcPr>
          <w:p w14:paraId="4D263760" w14:textId="36FBA1C9" w:rsidR="006046E9" w:rsidRPr="004B5D1F" w:rsidRDefault="006046E9" w:rsidP="006046E9">
            <w:pPr>
              <w:pStyle w:val="TableText"/>
              <w:jc w:val="right"/>
            </w:pPr>
            <w:r w:rsidRPr="004B5D1F">
              <w:t xml:space="preserve">167,578 </w:t>
            </w:r>
          </w:p>
        </w:tc>
        <w:tc>
          <w:tcPr>
            <w:tcW w:w="2340" w:type="dxa"/>
            <w:vAlign w:val="center"/>
            <w:hideMark/>
          </w:tcPr>
          <w:p w14:paraId="4E272967" w14:textId="6DE374AA" w:rsidR="006046E9" w:rsidRPr="004B5D1F" w:rsidRDefault="006046E9" w:rsidP="006046E9">
            <w:pPr>
              <w:pStyle w:val="TableText"/>
              <w:jc w:val="right"/>
            </w:pPr>
            <w:r w:rsidRPr="004B5D1F">
              <w:t xml:space="preserve">11,180 </w:t>
            </w:r>
          </w:p>
        </w:tc>
      </w:tr>
    </w:tbl>
    <w:p w14:paraId="0FA3B7A7" w14:textId="77777777" w:rsidR="00A2061C" w:rsidRPr="000531C0" w:rsidRDefault="00A2061C" w:rsidP="00B96A1A">
      <w:pPr>
        <w:pStyle w:val="BodyText3"/>
        <w:ind w:left="720" w:hanging="720"/>
      </w:pPr>
      <w:r w:rsidRPr="000531C0">
        <w:t>H.</w:t>
      </w:r>
      <w:r w:rsidRPr="000531C0">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16C93F43" w14:textId="77777777" w:rsidR="00A2061C" w:rsidRPr="00A2061C" w:rsidRDefault="00A2061C" w:rsidP="00A2061C">
      <w:pPr>
        <w:pStyle w:val="BodyText"/>
      </w:pPr>
      <w:r w:rsidRPr="00A2061C">
        <w:t>N/A </w:t>
      </w:r>
    </w:p>
    <w:p w14:paraId="418CACA8" w14:textId="4E4F7A99" w:rsidR="00A2061C" w:rsidRPr="000531C0" w:rsidRDefault="00A2061C" w:rsidP="00B96A1A">
      <w:pPr>
        <w:pStyle w:val="BodyText3"/>
        <w:ind w:left="720" w:hanging="720"/>
      </w:pPr>
      <w:r w:rsidRPr="000531C0">
        <w:t>I.</w:t>
      </w:r>
      <w:r w:rsidR="00B96A1A">
        <w:tab/>
      </w:r>
      <w:r w:rsidRPr="000531C0">
        <w:t>If the division or program works with local, regional, or federal units of government, include a brief description of these entities and their relationship to the agency. </w:t>
      </w:r>
    </w:p>
    <w:p w14:paraId="4CC86F2A" w14:textId="77777777" w:rsidR="00A2061C" w:rsidRPr="00A2061C" w:rsidRDefault="00A2061C" w:rsidP="00A2061C">
      <w:pPr>
        <w:pStyle w:val="BodyText"/>
      </w:pPr>
      <w:r w:rsidRPr="00A2061C">
        <w:t>N/A </w:t>
      </w:r>
    </w:p>
    <w:p w14:paraId="5CEC27B8" w14:textId="76A62FD3" w:rsidR="00A2061C" w:rsidRPr="000531C0" w:rsidRDefault="00A2061C" w:rsidP="00B96A1A">
      <w:pPr>
        <w:pStyle w:val="BodyText3"/>
        <w:ind w:left="720" w:hanging="720"/>
      </w:pPr>
      <w:r w:rsidRPr="000531C0">
        <w:t>J. </w:t>
      </w:r>
      <w:r w:rsidR="00B96A1A">
        <w:tab/>
      </w:r>
      <w:r w:rsidRPr="000531C0">
        <w:t>Are there any barriers or challenges that impede the division or program’s performance, including any outdated or ineffective state laws? Explain. </w:t>
      </w:r>
    </w:p>
    <w:p w14:paraId="60D19DB5" w14:textId="77777777" w:rsidR="00A2061C" w:rsidRPr="00A2061C" w:rsidRDefault="00A2061C" w:rsidP="00A2061C">
      <w:pPr>
        <w:pStyle w:val="BodyText"/>
      </w:pPr>
      <w:r w:rsidRPr="00A2061C">
        <w:t>N/A </w:t>
      </w:r>
    </w:p>
    <w:p w14:paraId="649C250F" w14:textId="03ABD43E" w:rsidR="00A2061C" w:rsidRPr="00A2061C" w:rsidRDefault="00A2061C" w:rsidP="00B96A1A">
      <w:pPr>
        <w:pStyle w:val="BodyText3"/>
        <w:ind w:left="720" w:hanging="720"/>
        <w:rPr>
          <w:b w:val="0"/>
        </w:rPr>
      </w:pPr>
      <w:r w:rsidRPr="00A2061C">
        <w:t>K.</w:t>
      </w:r>
      <w:r w:rsidR="00B96A1A">
        <w:tab/>
      </w:r>
      <w:r w:rsidRPr="00A2061C">
        <w:t>Provide any additional information needed to gain a preliminary understanding of the division or program.</w:t>
      </w:r>
      <w:r w:rsidRPr="00A2061C">
        <w:rPr>
          <w:b w:val="0"/>
        </w:rPr>
        <w:t> </w:t>
      </w:r>
    </w:p>
    <w:p w14:paraId="55469766" w14:textId="04ABA4A3" w:rsidR="00A2061C" w:rsidRPr="00A2061C" w:rsidRDefault="000531C0" w:rsidP="00A2061C">
      <w:pPr>
        <w:pStyle w:val="BodyText"/>
      </w:pPr>
      <w:r>
        <w:lastRenderedPageBreak/>
        <w:t>N/A</w:t>
      </w:r>
    </w:p>
    <w:p w14:paraId="102B13ED" w14:textId="77777777" w:rsidR="00A2061C" w:rsidRPr="00A2061C" w:rsidRDefault="00A2061C" w:rsidP="00B96A1A">
      <w:pPr>
        <w:pStyle w:val="BodyText"/>
        <w:ind w:left="720" w:hanging="720"/>
      </w:pPr>
      <w:r w:rsidRPr="00A2061C">
        <w:rPr>
          <w:b/>
          <w:bCs/>
        </w:rPr>
        <w:t>L.</w:t>
      </w:r>
      <w:r w:rsidRPr="00A2061C">
        <w:tab/>
      </w:r>
      <w:r w:rsidRPr="00A2061C">
        <w:rPr>
          <w:b/>
          <w:bCs/>
        </w:rPr>
        <w:t xml:space="preserve">Regulatory programs relate to the licensing, registration, certification, or permitting of a person, business, piece of equipment, or other entity (e.g., a facility). For each regulatory program, if applicable, describe: </w:t>
      </w:r>
      <w:r w:rsidRPr="00A2061C">
        <w:t>Not Applicable </w:t>
      </w:r>
    </w:p>
    <w:p w14:paraId="43B40481" w14:textId="34D26093" w:rsidR="00A2061C" w:rsidRPr="00A2061C" w:rsidRDefault="000531C0" w:rsidP="000531C0">
      <w:pPr>
        <w:pStyle w:val="BodyText"/>
      </w:pPr>
      <w:r w:rsidRPr="000531C0">
        <w:t>N/A</w:t>
      </w:r>
    </w:p>
    <w:p w14:paraId="6C1D9104" w14:textId="77777777" w:rsidR="00A2061C" w:rsidRPr="00A2061C" w:rsidRDefault="00A2061C" w:rsidP="00B96A1A">
      <w:pPr>
        <w:pStyle w:val="BodyText"/>
        <w:ind w:left="720" w:hanging="720"/>
      </w:pPr>
      <w:r w:rsidRPr="00A2061C">
        <w:rPr>
          <w:b/>
          <w:bCs/>
        </w:rPr>
        <w:t>M.</w:t>
      </w:r>
      <w:r w:rsidRPr="00A2061C">
        <w:tab/>
      </w:r>
      <w:r w:rsidRPr="00A2061C">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A2061C">
        <w:t> </w:t>
      </w:r>
    </w:p>
    <w:p w14:paraId="2013655E" w14:textId="26ED128B" w:rsidR="000531C0" w:rsidRDefault="00A2061C" w:rsidP="001C04E8">
      <w:pPr>
        <w:pStyle w:val="BodyText"/>
        <w:rPr>
          <w:b/>
        </w:rPr>
      </w:pPr>
      <w:r w:rsidRPr="00A2061C">
        <w:t>N</w:t>
      </w:r>
      <w:r w:rsidR="000531C0">
        <w:t>/A</w:t>
      </w:r>
      <w:r w:rsidR="000531C0">
        <w:br w:type="page"/>
      </w:r>
    </w:p>
    <w:p w14:paraId="1131420A" w14:textId="4468F88A" w:rsidR="00C468CB" w:rsidRPr="00C468CB" w:rsidRDefault="00C468CB" w:rsidP="009D4C16">
      <w:pPr>
        <w:pStyle w:val="Heading2"/>
      </w:pPr>
      <w:bookmarkStart w:id="291" w:name="_Toc1879923504"/>
      <w:bookmarkStart w:id="292" w:name="_Toc203377332"/>
      <w:r w:rsidRPr="00C468CB">
        <w:lastRenderedPageBreak/>
        <w:t>Administration and Operations Support</w:t>
      </w:r>
      <w:bookmarkEnd w:id="291"/>
      <w:bookmarkEnd w:id="292"/>
    </w:p>
    <w:p w14:paraId="29DE528E" w14:textId="22586013" w:rsidR="00C468CB" w:rsidRPr="00C468CB" w:rsidRDefault="00C468CB" w:rsidP="00331398">
      <w:pPr>
        <w:pStyle w:val="BodyText"/>
      </w:pPr>
      <w:r w:rsidRPr="00C468CB">
        <w:t xml:space="preserve">Business Operations, Information Technology, Finance, the Office of General Counsel, and the Office of Communications and Media form TWC's operational backbone. These departments provide essential internal </w:t>
      </w:r>
      <w:r w:rsidR="00A0345C">
        <w:t xml:space="preserve">supportive </w:t>
      </w:r>
      <w:r w:rsidRPr="00C468CB">
        <w:t xml:space="preserve">services enabling all other divisions to efficiently deliver workforce development programs and services to Texans. </w:t>
      </w:r>
    </w:p>
    <w:p w14:paraId="36B56F74" w14:textId="0A13A080" w:rsidR="00C468CB" w:rsidRPr="00C468CB" w:rsidRDefault="00C468CB" w:rsidP="00E910B5">
      <w:pPr>
        <w:pStyle w:val="Heading3"/>
      </w:pPr>
      <w:bookmarkStart w:id="293" w:name="_Toc836007265"/>
      <w:bookmarkStart w:id="294" w:name="_Toc203377333"/>
      <w:r w:rsidRPr="00C468CB">
        <w:t>Information Technology Division</w:t>
      </w:r>
      <w:bookmarkEnd w:id="293"/>
      <w:bookmarkEnd w:id="294"/>
    </w:p>
    <w:p w14:paraId="2820BE56" w14:textId="2E01043A" w:rsidR="00C468CB" w:rsidRPr="00C468CB" w:rsidRDefault="0BC0E42E" w:rsidP="00331398">
      <w:pPr>
        <w:pStyle w:val="BodyText"/>
      </w:pPr>
      <w:r>
        <w:t xml:space="preserve">TWC’s Information Technology (IT) Division, </w:t>
      </w:r>
      <w:r w:rsidR="03A52A59">
        <w:t xml:space="preserve">headed </w:t>
      </w:r>
      <w:r>
        <w:t xml:space="preserve">by the Chief Information Officer, provides a wide variety of digital solutions for the agency, including fundamental technology infrastructure, systems for managing unemployment claims and tracking workforce development programs, and online platforms connecting job seekers and employers. The Division also develops and maintains these systems, troubleshoots technical issues, implements new technologies to improve efficiency, ensures data security and privacy, and provides technical support to TWC staff and external users. The Division is also </w:t>
      </w:r>
      <w:r w:rsidR="00832C47">
        <w:t xml:space="preserve">coordinating </w:t>
      </w:r>
      <w:r>
        <w:t xml:space="preserve">artificial intelligence efforts to enhance the agency’s ability to serve Texans through efforts including 24/7 chatbot support, personalized job recommendations, automating tasks for faster service, and detecting fraud to protect taxpayer dollars. </w:t>
      </w:r>
      <w:proofErr w:type="gramStart"/>
      <w:r>
        <w:t>IT’s</w:t>
      </w:r>
      <w:proofErr w:type="gramEnd"/>
      <w:r>
        <w:t xml:space="preserve"> work enables the seamless delivery of workforce services across the state.</w:t>
      </w:r>
    </w:p>
    <w:p w14:paraId="3090668F" w14:textId="780BE19C" w:rsidR="00C468CB" w:rsidRPr="00C468CB" w:rsidRDefault="00C468CB" w:rsidP="00E910B5">
      <w:pPr>
        <w:pStyle w:val="Heading3"/>
      </w:pPr>
      <w:bookmarkStart w:id="295" w:name="_Toc1278079790"/>
      <w:bookmarkStart w:id="296" w:name="_Toc203377334"/>
      <w:r w:rsidRPr="00C468CB">
        <w:t>Office of Communications and Media</w:t>
      </w:r>
      <w:bookmarkEnd w:id="295"/>
      <w:bookmarkEnd w:id="296"/>
    </w:p>
    <w:p w14:paraId="62362ACE" w14:textId="7ADB14E1" w:rsidR="00C468CB" w:rsidRPr="00C468CB" w:rsidRDefault="00C468CB" w:rsidP="00986728">
      <w:pPr>
        <w:pStyle w:val="BodyText"/>
      </w:pPr>
      <w:r w:rsidRPr="00C468CB">
        <w:t xml:space="preserve">The Office of Communication and Media acts as the public voice and information hub for the agency to ensure its message reaches the intended audiences effectively and the public is well-informed about workforce issues and available resources. The Office’s Communications team consists of professional storytellers, multimedia artists, traditional and digital media specialists, and information facilitators.  The Office’s Campaigns and Creative Content team is a group of marketing, public relations, and graphic design specialists who support consistent branding and messaging for the agency.  Through the promotion of TWC initiatives, the agency </w:t>
      </w:r>
      <w:proofErr w:type="gramStart"/>
      <w:r w:rsidRPr="00C468CB">
        <w:t>is able to</w:t>
      </w:r>
      <w:proofErr w:type="gramEnd"/>
      <w:r w:rsidRPr="00C468CB">
        <w:t xml:space="preserve"> engage with stakeholders to build relationships and meet the workforce needs of the state.</w:t>
      </w:r>
    </w:p>
    <w:p w14:paraId="6A204B24" w14:textId="01BD7D38" w:rsidR="00C468CB" w:rsidRPr="00C468CB" w:rsidRDefault="00C468CB" w:rsidP="00E910B5">
      <w:pPr>
        <w:pStyle w:val="Heading3"/>
      </w:pPr>
      <w:bookmarkStart w:id="297" w:name="_Toc1610166692"/>
      <w:bookmarkStart w:id="298" w:name="_Toc203377335"/>
      <w:r w:rsidRPr="00C468CB">
        <w:t>Finance Division</w:t>
      </w:r>
      <w:bookmarkEnd w:id="297"/>
      <w:bookmarkEnd w:id="298"/>
    </w:p>
    <w:p w14:paraId="4B2AD394" w14:textId="02951EB5" w:rsidR="00C468CB" w:rsidRDefault="00C468CB" w:rsidP="00986728">
      <w:pPr>
        <w:pStyle w:val="BodyText"/>
      </w:pPr>
      <w:r w:rsidRPr="00C468CB">
        <w:t xml:space="preserve">The Finance Division is responsible for the financial health and stability of the agency. It ensures that the agency's financial resources are managed effectively and responsibly, and that the agency complies with all applicable laws and regulations. This division supplies the financial backbone that allows TWC to deliver its vital workforce services to the people and businesses of Texas.  Many of the functions of the Finance Division are </w:t>
      </w:r>
      <w:proofErr w:type="gramStart"/>
      <w:r w:rsidRPr="00C468CB">
        <w:t>similar to</w:t>
      </w:r>
      <w:proofErr w:type="gramEnd"/>
      <w:r w:rsidRPr="00C468CB">
        <w:t xml:space="preserve"> those of other agencies, however TWC’s collections functions are unique.  The following sections describe these collections functions in detail.</w:t>
      </w:r>
    </w:p>
    <w:p w14:paraId="76D15FE4" w14:textId="5E020EC0" w:rsidR="00EE3A6C" w:rsidRDefault="00E446A0" w:rsidP="00EE3A6C">
      <w:pPr>
        <w:pStyle w:val="BodyText3"/>
      </w:pPr>
      <w:r>
        <w:t xml:space="preserve">Wage and Hour </w:t>
      </w:r>
      <w:r w:rsidR="00EE3A6C">
        <w:t>Collections</w:t>
      </w:r>
    </w:p>
    <w:p w14:paraId="65942761" w14:textId="6014A9F3" w:rsidR="00482933" w:rsidRPr="00A91583" w:rsidRDefault="00482933" w:rsidP="00482933">
      <w:pPr>
        <w:pStyle w:val="BodyText"/>
        <w:rPr>
          <w:b/>
          <w:bCs/>
        </w:rPr>
      </w:pPr>
      <w:r w:rsidRPr="00A91583">
        <w:rPr>
          <w:b/>
          <w:bCs/>
        </w:rPr>
        <w:lastRenderedPageBreak/>
        <w:t>A.</w:t>
      </w:r>
      <w:r w:rsidR="00DE51F4">
        <w:rPr>
          <w:b/>
          <w:bCs/>
        </w:rPr>
        <w:tab/>
      </w:r>
      <w:r w:rsidRPr="00A91583">
        <w:rPr>
          <w:b/>
          <w:bCs/>
        </w:rPr>
        <w:t xml:space="preserve">Provide the following information at the beginning of each description.  </w:t>
      </w:r>
    </w:p>
    <w:p w14:paraId="6F12D43D" w14:textId="4B63E96C" w:rsidR="00482933" w:rsidRDefault="00482933" w:rsidP="00C64851">
      <w:pPr>
        <w:pStyle w:val="BodyText"/>
        <w:numPr>
          <w:ilvl w:val="0"/>
          <w:numId w:val="299"/>
        </w:numPr>
        <w:spacing w:before="120" w:after="120"/>
      </w:pPr>
      <w:r w:rsidRPr="006C7A19">
        <w:t>Name of division or program:</w:t>
      </w:r>
      <w:r>
        <w:t xml:space="preserve"> Labor Law Collections (now Wage and Hour Collections)</w:t>
      </w:r>
    </w:p>
    <w:p w14:paraId="08A03606" w14:textId="77777777" w:rsidR="00482933" w:rsidRDefault="00482933" w:rsidP="00C64851">
      <w:pPr>
        <w:pStyle w:val="BodyText"/>
        <w:numPr>
          <w:ilvl w:val="0"/>
          <w:numId w:val="299"/>
        </w:numPr>
        <w:spacing w:before="120" w:after="120"/>
      </w:pPr>
      <w:r>
        <w:t xml:space="preserve">Location within the agency: Collections and Civil Actions Department/Finance Division </w:t>
      </w:r>
    </w:p>
    <w:p w14:paraId="77CA95E1" w14:textId="77777777" w:rsidR="00482933" w:rsidRDefault="00482933" w:rsidP="00C64851">
      <w:pPr>
        <w:pStyle w:val="BodyText"/>
        <w:numPr>
          <w:ilvl w:val="0"/>
          <w:numId w:val="299"/>
        </w:numPr>
        <w:spacing w:before="120" w:after="120"/>
      </w:pPr>
      <w:r>
        <w:t xml:space="preserve">Contact name: Angelo Ferrazzano </w:t>
      </w:r>
    </w:p>
    <w:p w14:paraId="1D0DD5A8" w14:textId="7607549C" w:rsidR="00482933" w:rsidRDefault="00482933" w:rsidP="00C64851">
      <w:pPr>
        <w:pStyle w:val="BodyText"/>
        <w:numPr>
          <w:ilvl w:val="0"/>
          <w:numId w:val="299"/>
        </w:numPr>
        <w:spacing w:before="120" w:after="120"/>
      </w:pPr>
      <w:r>
        <w:t>Statutory citation:  Texas Labor Code</w:t>
      </w:r>
      <w:r w:rsidR="004038D7">
        <w:t xml:space="preserve">, Sections </w:t>
      </w:r>
      <w:r>
        <w:t>61.066</w:t>
      </w:r>
      <w:r w:rsidR="004038D7">
        <w:t xml:space="preserve"> -</w:t>
      </w:r>
      <w:r>
        <w:t xml:space="preserve"> 61.096 </w:t>
      </w:r>
    </w:p>
    <w:p w14:paraId="734C2917" w14:textId="55BC1175" w:rsidR="00482933" w:rsidRPr="006C7A19" w:rsidRDefault="00482933" w:rsidP="00F91FC6">
      <w:pPr>
        <w:pStyle w:val="BodyText3"/>
      </w:pPr>
      <w:r w:rsidRPr="006C7A19">
        <w:t>B.</w:t>
      </w:r>
      <w:r w:rsidR="00DE51F4">
        <w:tab/>
      </w:r>
      <w:r w:rsidRPr="006C7A19">
        <w:t>What is the objective of this division or program? Describe its major activities.</w:t>
      </w:r>
    </w:p>
    <w:p w14:paraId="7DDEB589" w14:textId="47C5012E" w:rsidR="00482933" w:rsidRDefault="00482933" w:rsidP="00482933">
      <w:pPr>
        <w:pStyle w:val="BodyText"/>
      </w:pPr>
      <w:r>
        <w:t>To enforce the Texas Payday Law, the Wage and Hour Collections Unit, previously the Labor Law Collections Unit) takes action to recover unpaid wages and penalties from employers deemed liable by the Wage and Hour Investigations Department’s Preliminary Wage Determination Orders.  The unit’s collection process includes: (1) issuing Demands for Payment when the employers are delinquent; (2) garnishing employer bank accounts via Notices of Delinquency and Freeze; (3) filing Administrative Liens against employer real property; and (4) placing warrant holds on state payments to offset the owed amounts, so that state payments to the employer are held and offset to satisfy the amounts ordered.</w:t>
      </w:r>
    </w:p>
    <w:p w14:paraId="4877A799" w14:textId="2CD2985E" w:rsidR="00482933" w:rsidRDefault="00482933" w:rsidP="00482933">
      <w:pPr>
        <w:pStyle w:val="BodyText"/>
      </w:pPr>
      <w:r>
        <w:t>The Wage and Hour Collections Unit is responsible for distributing collected wages to claimants and ensuring penalty payments are properly transferred to the State General Fund.</w:t>
      </w:r>
    </w:p>
    <w:p w14:paraId="68EF38EB" w14:textId="78DD8F66" w:rsidR="00482933" w:rsidRDefault="00482933" w:rsidP="00F91FC6">
      <w:pPr>
        <w:pStyle w:val="BodyText3"/>
        <w:ind w:left="720" w:hanging="720"/>
      </w:pPr>
      <w:r>
        <w:t>C.</w:t>
      </w:r>
      <w:r w:rsidR="00DE51F4">
        <w:tab/>
      </w:r>
      <w:r>
        <w:t xml:space="preserve">What information does the agency collect/use to assess the effectiveness and efficiency of this division or program? If applicable, briefly note any LBB performance measures (from Section II, </w:t>
      </w:r>
      <w:proofErr w:type="gramStart"/>
      <w:r>
        <w:t>Exhibit</w:t>
      </w:r>
      <w:proofErr w:type="gramEnd"/>
      <w: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p w14:paraId="6E2BC771" w14:textId="77777777" w:rsidR="00482933" w:rsidRDefault="00482933" w:rsidP="00482933">
      <w:pPr>
        <w:pStyle w:val="BodyText"/>
      </w:pPr>
      <w:r>
        <w:t xml:space="preserve">While individual claim amounts vary, the Wage and Hour Collections Unit ensures that appropriate collection actions are consistently applied to recover wages owed to individuals.  </w:t>
      </w:r>
    </w:p>
    <w:tbl>
      <w:tblPr>
        <w:tblStyle w:val="TableGrid1"/>
        <w:tblW w:w="0" w:type="dxa"/>
        <w:tblCellMar>
          <w:top w:w="58" w:type="dxa"/>
          <w:bottom w:w="58" w:type="dxa"/>
        </w:tblCellMar>
        <w:tblLook w:val="04A0" w:firstRow="1" w:lastRow="0" w:firstColumn="1" w:lastColumn="0" w:noHBand="0" w:noVBand="1"/>
      </w:tblPr>
      <w:tblGrid>
        <w:gridCol w:w="1988"/>
        <w:gridCol w:w="1488"/>
        <w:gridCol w:w="1410"/>
        <w:gridCol w:w="1488"/>
        <w:gridCol w:w="1488"/>
        <w:gridCol w:w="1488"/>
      </w:tblGrid>
      <w:tr w:rsidR="00244770" w:rsidRPr="00244770" w14:paraId="03D87BC4" w14:textId="77777777" w:rsidTr="00997C4C">
        <w:trPr>
          <w:trHeight w:val="300"/>
          <w:tblHeader/>
        </w:trPr>
        <w:tc>
          <w:tcPr>
            <w:tcW w:w="2505" w:type="dxa"/>
            <w:shd w:val="clear" w:color="auto" w:fill="B8CCE4" w:themeFill="accent1" w:themeFillTint="66"/>
            <w:vAlign w:val="center"/>
            <w:hideMark/>
          </w:tcPr>
          <w:p w14:paraId="087959D3" w14:textId="0728BA24" w:rsidR="00244770" w:rsidRPr="00244770" w:rsidRDefault="00244770" w:rsidP="00AE7FB8">
            <w:pPr>
              <w:pStyle w:val="TableHeaders"/>
              <w:rPr>
                <w:rFonts w:ascii="Segoe UI" w:hAnsi="Segoe UI" w:cs="Segoe UI"/>
                <w:b w:val="0"/>
                <w:szCs w:val="18"/>
              </w:rPr>
            </w:pPr>
            <w:r w:rsidRPr="00244770">
              <w:t>Wage and Hour Collections</w:t>
            </w:r>
          </w:p>
        </w:tc>
        <w:tc>
          <w:tcPr>
            <w:tcW w:w="1485" w:type="dxa"/>
            <w:shd w:val="clear" w:color="auto" w:fill="B8CCE4" w:themeFill="accent1" w:themeFillTint="66"/>
            <w:vAlign w:val="center"/>
            <w:hideMark/>
          </w:tcPr>
          <w:p w14:paraId="3277AE2C" w14:textId="4079B724" w:rsidR="00244770" w:rsidRPr="00244770" w:rsidRDefault="00244770" w:rsidP="00AE7FB8">
            <w:pPr>
              <w:pStyle w:val="TableHeaders"/>
              <w:rPr>
                <w:rFonts w:ascii="Segoe UI" w:hAnsi="Segoe UI" w:cs="Segoe UI"/>
                <w:b w:val="0"/>
                <w:szCs w:val="18"/>
              </w:rPr>
            </w:pPr>
            <w:r w:rsidRPr="00244770">
              <w:t>FY20</w:t>
            </w:r>
          </w:p>
        </w:tc>
        <w:tc>
          <w:tcPr>
            <w:tcW w:w="1485" w:type="dxa"/>
            <w:shd w:val="clear" w:color="auto" w:fill="B8CCE4" w:themeFill="accent1" w:themeFillTint="66"/>
            <w:vAlign w:val="center"/>
            <w:hideMark/>
          </w:tcPr>
          <w:p w14:paraId="3461A281" w14:textId="1873C589" w:rsidR="00244770" w:rsidRPr="00244770" w:rsidRDefault="00244770" w:rsidP="00AE7FB8">
            <w:pPr>
              <w:pStyle w:val="TableHeaders"/>
              <w:rPr>
                <w:rFonts w:ascii="Segoe UI" w:hAnsi="Segoe UI" w:cs="Segoe UI"/>
                <w:b w:val="0"/>
                <w:szCs w:val="18"/>
              </w:rPr>
            </w:pPr>
            <w:r w:rsidRPr="00244770">
              <w:t>FY21</w:t>
            </w:r>
          </w:p>
        </w:tc>
        <w:tc>
          <w:tcPr>
            <w:tcW w:w="1485" w:type="dxa"/>
            <w:shd w:val="clear" w:color="auto" w:fill="B8CCE4" w:themeFill="accent1" w:themeFillTint="66"/>
            <w:vAlign w:val="center"/>
            <w:hideMark/>
          </w:tcPr>
          <w:p w14:paraId="20A40482" w14:textId="2C6DCA00" w:rsidR="00244770" w:rsidRPr="00244770" w:rsidRDefault="00244770" w:rsidP="00AE7FB8">
            <w:pPr>
              <w:pStyle w:val="TableHeaders"/>
              <w:rPr>
                <w:rFonts w:ascii="Segoe UI" w:hAnsi="Segoe UI" w:cs="Segoe UI"/>
                <w:b w:val="0"/>
                <w:szCs w:val="18"/>
              </w:rPr>
            </w:pPr>
            <w:r w:rsidRPr="00244770">
              <w:t>FY22</w:t>
            </w:r>
          </w:p>
        </w:tc>
        <w:tc>
          <w:tcPr>
            <w:tcW w:w="1485" w:type="dxa"/>
            <w:shd w:val="clear" w:color="auto" w:fill="B8CCE4" w:themeFill="accent1" w:themeFillTint="66"/>
            <w:vAlign w:val="center"/>
            <w:hideMark/>
          </w:tcPr>
          <w:p w14:paraId="4F4DBA4E" w14:textId="0AEB2271" w:rsidR="00244770" w:rsidRPr="00244770" w:rsidRDefault="00244770" w:rsidP="00AE7FB8">
            <w:pPr>
              <w:pStyle w:val="TableHeaders"/>
              <w:rPr>
                <w:rFonts w:ascii="Segoe UI" w:hAnsi="Segoe UI" w:cs="Segoe UI"/>
                <w:b w:val="0"/>
                <w:szCs w:val="18"/>
              </w:rPr>
            </w:pPr>
            <w:r w:rsidRPr="00244770">
              <w:t>FY23</w:t>
            </w:r>
          </w:p>
        </w:tc>
        <w:tc>
          <w:tcPr>
            <w:tcW w:w="1485" w:type="dxa"/>
            <w:shd w:val="clear" w:color="auto" w:fill="B8CCE4" w:themeFill="accent1" w:themeFillTint="66"/>
            <w:vAlign w:val="center"/>
            <w:hideMark/>
          </w:tcPr>
          <w:p w14:paraId="73F11C52" w14:textId="7995049E" w:rsidR="00244770" w:rsidRPr="00244770" w:rsidRDefault="00244770" w:rsidP="00AE7FB8">
            <w:pPr>
              <w:pStyle w:val="TableHeaders"/>
              <w:rPr>
                <w:rFonts w:ascii="Segoe UI" w:hAnsi="Segoe UI" w:cs="Segoe UI"/>
                <w:b w:val="0"/>
                <w:szCs w:val="18"/>
              </w:rPr>
            </w:pPr>
            <w:r w:rsidRPr="00244770">
              <w:t>FY24</w:t>
            </w:r>
          </w:p>
        </w:tc>
      </w:tr>
      <w:tr w:rsidR="00244770" w:rsidRPr="00244770" w14:paraId="37D24052" w14:textId="77777777" w:rsidTr="00AE7FB8">
        <w:trPr>
          <w:trHeight w:val="300"/>
        </w:trPr>
        <w:tc>
          <w:tcPr>
            <w:tcW w:w="2505" w:type="dxa"/>
            <w:vAlign w:val="center"/>
            <w:hideMark/>
          </w:tcPr>
          <w:p w14:paraId="2310B8FD" w14:textId="77777777" w:rsidR="00244770" w:rsidRPr="00244770" w:rsidRDefault="00244770" w:rsidP="00AE7FB8">
            <w:pPr>
              <w:pStyle w:val="TableText"/>
              <w:rPr>
                <w:rFonts w:ascii="Segoe UI" w:hAnsi="Segoe UI" w:cs="Segoe UI"/>
                <w:szCs w:val="18"/>
              </w:rPr>
            </w:pPr>
            <w:r w:rsidRPr="00244770">
              <w:t>Administrative Liens Filed </w:t>
            </w:r>
          </w:p>
        </w:tc>
        <w:tc>
          <w:tcPr>
            <w:tcW w:w="1485" w:type="dxa"/>
            <w:vAlign w:val="center"/>
            <w:hideMark/>
          </w:tcPr>
          <w:p w14:paraId="539590E2" w14:textId="77777777" w:rsidR="00244770" w:rsidRPr="00244770" w:rsidRDefault="00244770" w:rsidP="00AE7FB8">
            <w:pPr>
              <w:pStyle w:val="TableText"/>
              <w:jc w:val="right"/>
              <w:rPr>
                <w:rFonts w:ascii="Segoe UI" w:hAnsi="Segoe UI" w:cs="Segoe UI"/>
                <w:szCs w:val="18"/>
              </w:rPr>
            </w:pPr>
            <w:r w:rsidRPr="00244770">
              <w:t>880 </w:t>
            </w:r>
          </w:p>
        </w:tc>
        <w:tc>
          <w:tcPr>
            <w:tcW w:w="1485" w:type="dxa"/>
            <w:vAlign w:val="center"/>
            <w:hideMark/>
          </w:tcPr>
          <w:p w14:paraId="2BE4192D" w14:textId="77777777" w:rsidR="00244770" w:rsidRPr="00244770" w:rsidRDefault="00244770" w:rsidP="00AE7FB8">
            <w:pPr>
              <w:pStyle w:val="TableText"/>
              <w:jc w:val="right"/>
              <w:rPr>
                <w:rFonts w:ascii="Segoe UI" w:hAnsi="Segoe UI" w:cs="Segoe UI"/>
                <w:szCs w:val="18"/>
              </w:rPr>
            </w:pPr>
            <w:r w:rsidRPr="00244770">
              <w:t>604 </w:t>
            </w:r>
          </w:p>
        </w:tc>
        <w:tc>
          <w:tcPr>
            <w:tcW w:w="1485" w:type="dxa"/>
            <w:vAlign w:val="center"/>
            <w:hideMark/>
          </w:tcPr>
          <w:p w14:paraId="68A69C7A" w14:textId="77777777" w:rsidR="00244770" w:rsidRPr="00244770" w:rsidRDefault="00244770" w:rsidP="00AE7FB8">
            <w:pPr>
              <w:pStyle w:val="TableText"/>
              <w:jc w:val="right"/>
              <w:rPr>
                <w:rFonts w:ascii="Segoe UI" w:hAnsi="Segoe UI" w:cs="Segoe UI"/>
                <w:szCs w:val="18"/>
              </w:rPr>
            </w:pPr>
            <w:r w:rsidRPr="00244770">
              <w:t>685 </w:t>
            </w:r>
          </w:p>
        </w:tc>
        <w:tc>
          <w:tcPr>
            <w:tcW w:w="1485" w:type="dxa"/>
            <w:vAlign w:val="center"/>
            <w:hideMark/>
          </w:tcPr>
          <w:p w14:paraId="5ACDD8F3" w14:textId="77777777" w:rsidR="00244770" w:rsidRPr="00244770" w:rsidRDefault="00244770" w:rsidP="00AE7FB8">
            <w:pPr>
              <w:pStyle w:val="TableText"/>
              <w:jc w:val="right"/>
              <w:rPr>
                <w:rFonts w:ascii="Segoe UI" w:hAnsi="Segoe UI" w:cs="Segoe UI"/>
                <w:szCs w:val="18"/>
              </w:rPr>
            </w:pPr>
            <w:r w:rsidRPr="00244770">
              <w:t>987 </w:t>
            </w:r>
          </w:p>
        </w:tc>
        <w:tc>
          <w:tcPr>
            <w:tcW w:w="1485" w:type="dxa"/>
            <w:vAlign w:val="center"/>
            <w:hideMark/>
          </w:tcPr>
          <w:p w14:paraId="2608B9F2" w14:textId="77777777" w:rsidR="00244770" w:rsidRPr="00244770" w:rsidRDefault="00244770" w:rsidP="00AE7FB8">
            <w:pPr>
              <w:pStyle w:val="TableText"/>
              <w:jc w:val="right"/>
              <w:rPr>
                <w:rFonts w:ascii="Segoe UI" w:hAnsi="Segoe UI" w:cs="Segoe UI"/>
                <w:szCs w:val="18"/>
              </w:rPr>
            </w:pPr>
            <w:r w:rsidRPr="00244770">
              <w:t>915 </w:t>
            </w:r>
          </w:p>
        </w:tc>
      </w:tr>
      <w:tr w:rsidR="00244770" w:rsidRPr="00244770" w14:paraId="04C2FB90" w14:textId="77777777" w:rsidTr="00AE7FB8">
        <w:trPr>
          <w:trHeight w:val="300"/>
        </w:trPr>
        <w:tc>
          <w:tcPr>
            <w:tcW w:w="2505" w:type="dxa"/>
            <w:vAlign w:val="center"/>
            <w:hideMark/>
          </w:tcPr>
          <w:p w14:paraId="17FA679A" w14:textId="77777777" w:rsidR="00244770" w:rsidRPr="00244770" w:rsidRDefault="00244770" w:rsidP="00AE7FB8">
            <w:pPr>
              <w:pStyle w:val="TableText"/>
              <w:rPr>
                <w:rFonts w:ascii="Segoe UI" w:hAnsi="Segoe UI" w:cs="Segoe UI"/>
                <w:szCs w:val="18"/>
              </w:rPr>
            </w:pPr>
            <w:r w:rsidRPr="00244770">
              <w:t>Dollar Amount Captured by Liens </w:t>
            </w:r>
          </w:p>
        </w:tc>
        <w:tc>
          <w:tcPr>
            <w:tcW w:w="1485" w:type="dxa"/>
            <w:vAlign w:val="center"/>
            <w:hideMark/>
          </w:tcPr>
          <w:p w14:paraId="7C65424D" w14:textId="77777777" w:rsidR="00244770" w:rsidRPr="00244770" w:rsidRDefault="00244770" w:rsidP="00AE7FB8">
            <w:pPr>
              <w:pStyle w:val="TableText"/>
              <w:jc w:val="right"/>
              <w:rPr>
                <w:rFonts w:ascii="Segoe UI" w:hAnsi="Segoe UI" w:cs="Segoe UI"/>
                <w:szCs w:val="18"/>
              </w:rPr>
            </w:pPr>
            <w:r w:rsidRPr="00244770">
              <w:t>$394,147.55 </w:t>
            </w:r>
          </w:p>
        </w:tc>
        <w:tc>
          <w:tcPr>
            <w:tcW w:w="1485" w:type="dxa"/>
            <w:vAlign w:val="center"/>
            <w:hideMark/>
          </w:tcPr>
          <w:p w14:paraId="53AD8F7D" w14:textId="77777777" w:rsidR="00244770" w:rsidRPr="00244770" w:rsidRDefault="00244770" w:rsidP="00AE7FB8">
            <w:pPr>
              <w:pStyle w:val="TableText"/>
              <w:jc w:val="right"/>
              <w:rPr>
                <w:rFonts w:ascii="Segoe UI" w:hAnsi="Segoe UI" w:cs="Segoe UI"/>
                <w:szCs w:val="18"/>
              </w:rPr>
            </w:pPr>
            <w:r w:rsidRPr="00244770">
              <w:t>$389,501.75 </w:t>
            </w:r>
          </w:p>
        </w:tc>
        <w:tc>
          <w:tcPr>
            <w:tcW w:w="1485" w:type="dxa"/>
            <w:vAlign w:val="center"/>
            <w:hideMark/>
          </w:tcPr>
          <w:p w14:paraId="446690A4" w14:textId="77777777" w:rsidR="00244770" w:rsidRPr="00244770" w:rsidRDefault="00244770" w:rsidP="00AE7FB8">
            <w:pPr>
              <w:pStyle w:val="TableText"/>
              <w:jc w:val="right"/>
              <w:rPr>
                <w:rFonts w:ascii="Segoe UI" w:hAnsi="Segoe UI" w:cs="Segoe UI"/>
                <w:szCs w:val="18"/>
              </w:rPr>
            </w:pPr>
            <w:r w:rsidRPr="00244770">
              <w:t>$434,535.67 </w:t>
            </w:r>
          </w:p>
        </w:tc>
        <w:tc>
          <w:tcPr>
            <w:tcW w:w="1485" w:type="dxa"/>
            <w:vAlign w:val="center"/>
            <w:hideMark/>
          </w:tcPr>
          <w:p w14:paraId="2DC7C270" w14:textId="77777777" w:rsidR="00244770" w:rsidRPr="00244770" w:rsidRDefault="00244770" w:rsidP="00AE7FB8">
            <w:pPr>
              <w:pStyle w:val="TableText"/>
              <w:jc w:val="right"/>
              <w:rPr>
                <w:rFonts w:ascii="Segoe UI" w:hAnsi="Segoe UI" w:cs="Segoe UI"/>
                <w:szCs w:val="18"/>
              </w:rPr>
            </w:pPr>
            <w:r w:rsidRPr="00244770">
              <w:t>$460,895.58 </w:t>
            </w:r>
          </w:p>
        </w:tc>
        <w:tc>
          <w:tcPr>
            <w:tcW w:w="1485" w:type="dxa"/>
            <w:vAlign w:val="center"/>
            <w:hideMark/>
          </w:tcPr>
          <w:p w14:paraId="637B1AE0" w14:textId="77777777" w:rsidR="00244770" w:rsidRPr="00244770" w:rsidRDefault="00244770" w:rsidP="00AE7FB8">
            <w:pPr>
              <w:pStyle w:val="TableText"/>
              <w:jc w:val="right"/>
              <w:rPr>
                <w:rFonts w:ascii="Segoe UI" w:hAnsi="Segoe UI" w:cs="Segoe UI"/>
                <w:szCs w:val="18"/>
              </w:rPr>
            </w:pPr>
            <w:r w:rsidRPr="00244770">
              <w:t>$305,859.34 </w:t>
            </w:r>
          </w:p>
        </w:tc>
      </w:tr>
      <w:tr w:rsidR="00244770" w:rsidRPr="00244770" w14:paraId="0A7CDDC7" w14:textId="77777777" w:rsidTr="00AE7FB8">
        <w:trPr>
          <w:trHeight w:val="300"/>
        </w:trPr>
        <w:tc>
          <w:tcPr>
            <w:tcW w:w="2505" w:type="dxa"/>
            <w:vAlign w:val="center"/>
            <w:hideMark/>
          </w:tcPr>
          <w:p w14:paraId="47398446" w14:textId="77777777" w:rsidR="00244770" w:rsidRPr="00244770" w:rsidRDefault="00244770" w:rsidP="00AE7FB8">
            <w:pPr>
              <w:pStyle w:val="TableText"/>
              <w:rPr>
                <w:rFonts w:ascii="Segoe UI" w:hAnsi="Segoe UI" w:cs="Segoe UI"/>
                <w:szCs w:val="18"/>
              </w:rPr>
            </w:pPr>
            <w:r w:rsidRPr="00244770">
              <w:t>Collection from Bank Freeze Action </w:t>
            </w:r>
          </w:p>
        </w:tc>
        <w:tc>
          <w:tcPr>
            <w:tcW w:w="1485" w:type="dxa"/>
            <w:vAlign w:val="center"/>
            <w:hideMark/>
          </w:tcPr>
          <w:p w14:paraId="04945DC8" w14:textId="77777777" w:rsidR="00244770" w:rsidRPr="00244770" w:rsidRDefault="00244770" w:rsidP="00AE7FB8">
            <w:pPr>
              <w:pStyle w:val="TableText"/>
              <w:jc w:val="right"/>
              <w:rPr>
                <w:rFonts w:ascii="Segoe UI" w:hAnsi="Segoe UI" w:cs="Segoe UI"/>
                <w:szCs w:val="18"/>
              </w:rPr>
            </w:pPr>
            <w:r w:rsidRPr="00244770">
              <w:t>$1,750,282.91 </w:t>
            </w:r>
          </w:p>
        </w:tc>
        <w:tc>
          <w:tcPr>
            <w:tcW w:w="1485" w:type="dxa"/>
            <w:vAlign w:val="center"/>
            <w:hideMark/>
          </w:tcPr>
          <w:p w14:paraId="4ADE67CB" w14:textId="77777777" w:rsidR="00244770" w:rsidRPr="00244770" w:rsidRDefault="00244770" w:rsidP="00AE7FB8">
            <w:pPr>
              <w:pStyle w:val="TableText"/>
              <w:jc w:val="right"/>
              <w:rPr>
                <w:rFonts w:ascii="Segoe UI" w:hAnsi="Segoe UI" w:cs="Segoe UI"/>
                <w:szCs w:val="18"/>
              </w:rPr>
            </w:pPr>
            <w:r w:rsidRPr="00244770">
              <w:t>$954,840.22 </w:t>
            </w:r>
          </w:p>
        </w:tc>
        <w:tc>
          <w:tcPr>
            <w:tcW w:w="1485" w:type="dxa"/>
            <w:vAlign w:val="center"/>
            <w:hideMark/>
          </w:tcPr>
          <w:p w14:paraId="5140C20B" w14:textId="77777777" w:rsidR="00244770" w:rsidRPr="00244770" w:rsidRDefault="00244770" w:rsidP="00AE7FB8">
            <w:pPr>
              <w:pStyle w:val="TableText"/>
              <w:jc w:val="right"/>
              <w:rPr>
                <w:rFonts w:ascii="Segoe UI" w:hAnsi="Segoe UI" w:cs="Segoe UI"/>
                <w:szCs w:val="18"/>
              </w:rPr>
            </w:pPr>
            <w:r w:rsidRPr="00244770">
              <w:t>$1,271,873.38 </w:t>
            </w:r>
          </w:p>
        </w:tc>
        <w:tc>
          <w:tcPr>
            <w:tcW w:w="1485" w:type="dxa"/>
            <w:vAlign w:val="center"/>
            <w:hideMark/>
          </w:tcPr>
          <w:p w14:paraId="3C60FE08" w14:textId="77777777" w:rsidR="00244770" w:rsidRPr="00244770" w:rsidRDefault="00244770" w:rsidP="00AE7FB8">
            <w:pPr>
              <w:pStyle w:val="TableText"/>
              <w:jc w:val="right"/>
              <w:rPr>
                <w:rFonts w:ascii="Segoe UI" w:hAnsi="Segoe UI" w:cs="Segoe UI"/>
                <w:szCs w:val="18"/>
              </w:rPr>
            </w:pPr>
            <w:r w:rsidRPr="00244770">
              <w:t>$1,205,031.13 </w:t>
            </w:r>
          </w:p>
        </w:tc>
        <w:tc>
          <w:tcPr>
            <w:tcW w:w="1485" w:type="dxa"/>
            <w:vAlign w:val="center"/>
            <w:hideMark/>
          </w:tcPr>
          <w:p w14:paraId="6FFE512B" w14:textId="77777777" w:rsidR="00244770" w:rsidRPr="00244770" w:rsidRDefault="00244770" w:rsidP="00AE7FB8">
            <w:pPr>
              <w:pStyle w:val="TableText"/>
              <w:jc w:val="right"/>
              <w:rPr>
                <w:rFonts w:ascii="Segoe UI" w:hAnsi="Segoe UI" w:cs="Segoe UI"/>
                <w:szCs w:val="18"/>
              </w:rPr>
            </w:pPr>
            <w:r w:rsidRPr="00244770">
              <w:t>$1,399,053.97 </w:t>
            </w:r>
          </w:p>
        </w:tc>
      </w:tr>
      <w:tr w:rsidR="00244770" w:rsidRPr="00244770" w14:paraId="53AADCF2" w14:textId="77777777" w:rsidTr="00AE7FB8">
        <w:trPr>
          <w:trHeight w:val="300"/>
        </w:trPr>
        <w:tc>
          <w:tcPr>
            <w:tcW w:w="2505" w:type="dxa"/>
            <w:vAlign w:val="center"/>
            <w:hideMark/>
          </w:tcPr>
          <w:p w14:paraId="7354D835" w14:textId="77777777" w:rsidR="00244770" w:rsidRPr="00244770" w:rsidRDefault="00244770" w:rsidP="00AE7FB8">
            <w:pPr>
              <w:pStyle w:val="TableText"/>
              <w:rPr>
                <w:rFonts w:ascii="Segoe UI" w:hAnsi="Segoe UI" w:cs="Segoe UI"/>
                <w:szCs w:val="18"/>
              </w:rPr>
            </w:pPr>
            <w:r w:rsidRPr="00244770">
              <w:lastRenderedPageBreak/>
              <w:t>Wage Claims Settled by Collection  </w:t>
            </w:r>
          </w:p>
        </w:tc>
        <w:tc>
          <w:tcPr>
            <w:tcW w:w="1485" w:type="dxa"/>
            <w:vAlign w:val="center"/>
            <w:hideMark/>
          </w:tcPr>
          <w:p w14:paraId="18F75CF2" w14:textId="77777777" w:rsidR="00244770" w:rsidRPr="00244770" w:rsidRDefault="00244770" w:rsidP="00AE7FB8">
            <w:pPr>
              <w:pStyle w:val="TableText"/>
              <w:jc w:val="right"/>
              <w:rPr>
                <w:rFonts w:ascii="Segoe UI" w:hAnsi="Segoe UI" w:cs="Segoe UI"/>
                <w:szCs w:val="18"/>
              </w:rPr>
            </w:pPr>
            <w:r w:rsidRPr="00244770">
              <w:t>3,286 </w:t>
            </w:r>
          </w:p>
        </w:tc>
        <w:tc>
          <w:tcPr>
            <w:tcW w:w="1485" w:type="dxa"/>
            <w:vAlign w:val="center"/>
            <w:hideMark/>
          </w:tcPr>
          <w:p w14:paraId="64B574C5" w14:textId="77777777" w:rsidR="00244770" w:rsidRPr="00244770" w:rsidRDefault="00244770" w:rsidP="00AE7FB8">
            <w:pPr>
              <w:pStyle w:val="TableText"/>
              <w:jc w:val="right"/>
              <w:rPr>
                <w:rFonts w:ascii="Segoe UI" w:hAnsi="Segoe UI" w:cs="Segoe UI"/>
                <w:szCs w:val="18"/>
              </w:rPr>
            </w:pPr>
            <w:r w:rsidRPr="00244770">
              <w:t>2,341 </w:t>
            </w:r>
          </w:p>
        </w:tc>
        <w:tc>
          <w:tcPr>
            <w:tcW w:w="1485" w:type="dxa"/>
            <w:vAlign w:val="center"/>
            <w:hideMark/>
          </w:tcPr>
          <w:p w14:paraId="204DA700" w14:textId="77777777" w:rsidR="00244770" w:rsidRPr="00244770" w:rsidRDefault="00244770" w:rsidP="00AE7FB8">
            <w:pPr>
              <w:pStyle w:val="TableText"/>
              <w:jc w:val="right"/>
              <w:rPr>
                <w:rFonts w:ascii="Segoe UI" w:hAnsi="Segoe UI" w:cs="Segoe UI"/>
                <w:szCs w:val="18"/>
              </w:rPr>
            </w:pPr>
            <w:r w:rsidRPr="00244770">
              <w:t>2,436 </w:t>
            </w:r>
          </w:p>
        </w:tc>
        <w:tc>
          <w:tcPr>
            <w:tcW w:w="1485" w:type="dxa"/>
            <w:vAlign w:val="center"/>
            <w:hideMark/>
          </w:tcPr>
          <w:p w14:paraId="5E0C6106" w14:textId="77777777" w:rsidR="00244770" w:rsidRPr="00244770" w:rsidRDefault="00244770" w:rsidP="00AE7FB8">
            <w:pPr>
              <w:pStyle w:val="TableText"/>
              <w:jc w:val="right"/>
              <w:rPr>
                <w:rFonts w:ascii="Segoe UI" w:hAnsi="Segoe UI" w:cs="Segoe UI"/>
                <w:szCs w:val="18"/>
              </w:rPr>
            </w:pPr>
            <w:r w:rsidRPr="00244770">
              <w:t>2,513 </w:t>
            </w:r>
          </w:p>
        </w:tc>
        <w:tc>
          <w:tcPr>
            <w:tcW w:w="1485" w:type="dxa"/>
            <w:vAlign w:val="center"/>
            <w:hideMark/>
          </w:tcPr>
          <w:p w14:paraId="1BF2FB99" w14:textId="77777777" w:rsidR="00244770" w:rsidRPr="00244770" w:rsidRDefault="00244770" w:rsidP="00AE7FB8">
            <w:pPr>
              <w:pStyle w:val="TableText"/>
              <w:jc w:val="right"/>
              <w:rPr>
                <w:rFonts w:ascii="Segoe UI" w:hAnsi="Segoe UI" w:cs="Segoe UI"/>
                <w:szCs w:val="18"/>
              </w:rPr>
            </w:pPr>
            <w:r w:rsidRPr="00244770">
              <w:t>2,522 </w:t>
            </w:r>
          </w:p>
        </w:tc>
      </w:tr>
      <w:tr w:rsidR="00244770" w:rsidRPr="00244770" w14:paraId="4A300E69" w14:textId="77777777" w:rsidTr="00AE7FB8">
        <w:trPr>
          <w:trHeight w:val="300"/>
        </w:trPr>
        <w:tc>
          <w:tcPr>
            <w:tcW w:w="2505" w:type="dxa"/>
            <w:vAlign w:val="center"/>
            <w:hideMark/>
          </w:tcPr>
          <w:p w14:paraId="5CEB0AE0" w14:textId="77777777" w:rsidR="00244770" w:rsidRPr="00244770" w:rsidRDefault="00244770" w:rsidP="00AE7FB8">
            <w:pPr>
              <w:pStyle w:val="TableText"/>
              <w:rPr>
                <w:rFonts w:ascii="Segoe UI" w:hAnsi="Segoe UI" w:cs="Segoe UI"/>
                <w:szCs w:val="18"/>
              </w:rPr>
            </w:pPr>
            <w:r w:rsidRPr="00244770">
              <w:t>Penalties Collected </w:t>
            </w:r>
          </w:p>
        </w:tc>
        <w:tc>
          <w:tcPr>
            <w:tcW w:w="1485" w:type="dxa"/>
            <w:vAlign w:val="center"/>
            <w:hideMark/>
          </w:tcPr>
          <w:p w14:paraId="400D20D8" w14:textId="77777777" w:rsidR="00244770" w:rsidRPr="00244770" w:rsidRDefault="00244770" w:rsidP="00AE7FB8">
            <w:pPr>
              <w:pStyle w:val="TableText"/>
              <w:jc w:val="right"/>
              <w:rPr>
                <w:rFonts w:ascii="Segoe UI" w:hAnsi="Segoe UI" w:cs="Segoe UI"/>
                <w:szCs w:val="18"/>
              </w:rPr>
            </w:pPr>
            <w:r w:rsidRPr="00244770">
              <w:t>$257,565.76 </w:t>
            </w:r>
          </w:p>
        </w:tc>
        <w:tc>
          <w:tcPr>
            <w:tcW w:w="1485" w:type="dxa"/>
            <w:vAlign w:val="center"/>
            <w:hideMark/>
          </w:tcPr>
          <w:p w14:paraId="52B1E6C5" w14:textId="77777777" w:rsidR="00244770" w:rsidRPr="00244770" w:rsidRDefault="00244770" w:rsidP="00AE7FB8">
            <w:pPr>
              <w:pStyle w:val="TableText"/>
              <w:jc w:val="right"/>
              <w:rPr>
                <w:rFonts w:ascii="Segoe UI" w:hAnsi="Segoe UI" w:cs="Segoe UI"/>
                <w:szCs w:val="18"/>
              </w:rPr>
            </w:pPr>
            <w:r w:rsidRPr="00244770">
              <w:t>$79,501.44 </w:t>
            </w:r>
          </w:p>
        </w:tc>
        <w:tc>
          <w:tcPr>
            <w:tcW w:w="1485" w:type="dxa"/>
            <w:vAlign w:val="center"/>
            <w:hideMark/>
          </w:tcPr>
          <w:p w14:paraId="0DEEE76A" w14:textId="77777777" w:rsidR="00244770" w:rsidRPr="00244770" w:rsidRDefault="00244770" w:rsidP="00AE7FB8">
            <w:pPr>
              <w:pStyle w:val="TableText"/>
              <w:jc w:val="right"/>
              <w:rPr>
                <w:rFonts w:ascii="Segoe UI" w:hAnsi="Segoe UI" w:cs="Segoe UI"/>
                <w:szCs w:val="18"/>
              </w:rPr>
            </w:pPr>
            <w:r w:rsidRPr="00244770">
              <w:t>$81,552.21 </w:t>
            </w:r>
          </w:p>
        </w:tc>
        <w:tc>
          <w:tcPr>
            <w:tcW w:w="1485" w:type="dxa"/>
            <w:vAlign w:val="center"/>
            <w:hideMark/>
          </w:tcPr>
          <w:p w14:paraId="21308ACD" w14:textId="77777777" w:rsidR="00244770" w:rsidRPr="00244770" w:rsidRDefault="00244770" w:rsidP="00AE7FB8">
            <w:pPr>
              <w:pStyle w:val="TableText"/>
              <w:jc w:val="right"/>
              <w:rPr>
                <w:rFonts w:ascii="Segoe UI" w:hAnsi="Segoe UI" w:cs="Segoe UI"/>
                <w:szCs w:val="18"/>
              </w:rPr>
            </w:pPr>
            <w:r w:rsidRPr="00244770">
              <w:t>$121,387.87 </w:t>
            </w:r>
          </w:p>
        </w:tc>
        <w:tc>
          <w:tcPr>
            <w:tcW w:w="1485" w:type="dxa"/>
            <w:vAlign w:val="center"/>
            <w:hideMark/>
          </w:tcPr>
          <w:p w14:paraId="5E49A447" w14:textId="77777777" w:rsidR="00244770" w:rsidRPr="00244770" w:rsidRDefault="00244770" w:rsidP="00AE7FB8">
            <w:pPr>
              <w:pStyle w:val="TableText"/>
              <w:jc w:val="right"/>
              <w:rPr>
                <w:rFonts w:ascii="Segoe UI" w:hAnsi="Segoe UI" w:cs="Segoe UI"/>
                <w:szCs w:val="18"/>
              </w:rPr>
            </w:pPr>
            <w:r w:rsidRPr="00244770">
              <w:t>$113,134.57 </w:t>
            </w:r>
          </w:p>
        </w:tc>
      </w:tr>
    </w:tbl>
    <w:p w14:paraId="7F359615" w14:textId="12CCCC8B" w:rsidR="00482933" w:rsidRDefault="00482933" w:rsidP="00634BDA">
      <w:pPr>
        <w:pStyle w:val="BodyText3"/>
        <w:ind w:left="720" w:hanging="720"/>
      </w:pPr>
      <w:r>
        <w:t>D.</w:t>
      </w:r>
      <w:r w:rsidR="00DE51F4">
        <w:tab/>
      </w:r>
      <w:r>
        <w:t xml:space="preserve">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30B4EFFD" w14:textId="71A3B2B6" w:rsidR="00482933" w:rsidRDefault="00482933" w:rsidP="00482933">
      <w:pPr>
        <w:pStyle w:val="BodyText"/>
      </w:pPr>
      <w:r>
        <w:t>The collection tools used to enforce wage and penalty orders issued under the Texas Payday Law evolved from the time the law was enacted in 1989.  Initially, there were no collection tools incorporated into the statute.  In 1993, the authority to refer cases to the Office of the Attorney General for enforcement through the issuance of an assessment against the liable employer was added, as well as the authority to file liens against the employer.  The authority to issue bank freeze and levies was added in 1995.  As a result of the addition of bank action to the Payday Law collection powers, referral to the Attorney General for enforcement was generally discontinued except for special, egregious cases, usually involving multiple claimants.</w:t>
      </w:r>
    </w:p>
    <w:p w14:paraId="0A624193" w14:textId="569183A0" w:rsidR="00482933" w:rsidRDefault="00482933" w:rsidP="00634BDA">
      <w:pPr>
        <w:pStyle w:val="BodyText3"/>
        <w:ind w:left="720" w:hanging="720"/>
      </w:pPr>
      <w:r>
        <w:t>E.</w:t>
      </w:r>
      <w:r w:rsidR="00DE51F4">
        <w:tab/>
      </w:r>
      <w:r>
        <w:t xml:space="preserve">List any qualifications or eligibility requirements for persons or entities affected by this division or program (e.g., licensees, consumers, and landowners). Provide a statistical breakdown of persons or entities affected.  </w:t>
      </w:r>
    </w:p>
    <w:p w14:paraId="0720D380" w14:textId="77777777" w:rsidR="00482933" w:rsidRDefault="00482933" w:rsidP="00482933">
      <w:pPr>
        <w:pStyle w:val="BodyText"/>
      </w:pPr>
      <w:r>
        <w:t xml:space="preserve">For claimants, collection actions are taken when workers are unable to receive their rightful wages, either due to employer neglect, misclassification, or disputes over pay. Pursuing a wage claim can provide a pathway for workers to recover unpaid wages and back pay.  </w:t>
      </w:r>
    </w:p>
    <w:p w14:paraId="3C61F968" w14:textId="77777777" w:rsidR="00482933" w:rsidRDefault="00482933" w:rsidP="00482933">
      <w:pPr>
        <w:pStyle w:val="BodyText"/>
      </w:pPr>
      <w:r>
        <w:t xml:space="preserve">The impact of wage claim collection actions taken against employers for wage claims can lead to reputational damage, especially if the issue becomes public or the employer is perceived as unfair in handling wage disputes. Employers are also faced with potential financial consequences, including having to repay the owed wages along with interest and possibly other penalties. If the employer is found in violation of Texas labor laws, it may lead to further legal consequences or even audits from the TWC. </w:t>
      </w:r>
    </w:p>
    <w:p w14:paraId="3F08ABCA" w14:textId="213AB223" w:rsidR="00482933" w:rsidRDefault="00482933" w:rsidP="00634BDA">
      <w:pPr>
        <w:pStyle w:val="BodyText3"/>
        <w:ind w:left="720" w:hanging="720"/>
      </w:pPr>
      <w:r>
        <w:t>F.</w:t>
      </w:r>
      <w:r w:rsidR="00DE51F4">
        <w:tab/>
      </w:r>
      <w:r>
        <w:t xml:space="preserve">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04026676" w14:textId="008F216E" w:rsidR="00482933" w:rsidRDefault="00482933" w:rsidP="00482933">
      <w:pPr>
        <w:pStyle w:val="BodyText"/>
      </w:pPr>
      <w:r>
        <w:t xml:space="preserve">Labor Law Collections, now </w:t>
      </w:r>
      <w:proofErr w:type="spellStart"/>
      <w:r>
        <w:t>know</w:t>
      </w:r>
      <w:proofErr w:type="spellEnd"/>
      <w:r>
        <w:t xml:space="preserve"> as Wage and Hour Collections, is a downstream process from FDCM division, Wage and Hour Investigations department.  Wage claims are filed by persons who believe that their employers have failed to pay them for all hours </w:t>
      </w:r>
      <w:proofErr w:type="gramStart"/>
      <w:r>
        <w:t>worked, or</w:t>
      </w:r>
      <w:proofErr w:type="gramEnd"/>
      <w:r>
        <w:t xml:space="preserve"> </w:t>
      </w:r>
      <w:r>
        <w:lastRenderedPageBreak/>
        <w:t>deducted items from their pay without authorization. If the investigation finds that the claimant is due wages, a determination to this effect is issued, advising the liable employer that they must submit payment within a set timeframe or appeal the finding.  If the investigation also finds that the employer has committed repeat offenses, a penalty can be issued against the employer in addition to wages owed.  The penalty is not passed on to the claimant but is a deterrent to keep the employer from further violations and is retained by the state in the same manner as a fine.   If the employer fails to submit payment or file a timely appeal, the case is referred to the Wage and Hour Collections Unit, who initiate collection action.  Under the Texas Payday Law, a lien can be filed against the employer and bank collection action in the form of a bank freeze and levy on their bank accounts can be issued. In addition, simultaneously to the lien being issued, notice of the debt is reported to the Texas Comptroller for collection through their warrant hold program, which holds any payments administered through that agency to be offset against the debt.</w:t>
      </w:r>
    </w:p>
    <w:p w14:paraId="79214BD5" w14:textId="77777777" w:rsidR="00BC7E49" w:rsidRDefault="00BC7E49" w:rsidP="00482933">
      <w:pPr>
        <w:pStyle w:val="BodyText"/>
      </w:pPr>
      <w:r w:rsidRPr="00BC7E49">
        <w:rPr>
          <w:noProof/>
        </w:rPr>
        <w:drawing>
          <wp:inline distT="0" distB="0" distL="0" distR="0" wp14:anchorId="1C60C74D" wp14:editId="0FFCB30B">
            <wp:extent cx="3460750" cy="2675056"/>
            <wp:effectExtent l="0" t="0" r="6350" b="0"/>
            <wp:docPr id="1120525746" name="Picture 4" descr="flowchart for the wage and hour collections proces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lowchart for the wage and hour collections process, Picture"/>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473995" cy="2685294"/>
                    </a:xfrm>
                    <a:prstGeom prst="rect">
                      <a:avLst/>
                    </a:prstGeom>
                    <a:noFill/>
                    <a:ln>
                      <a:noFill/>
                    </a:ln>
                  </pic:spPr>
                </pic:pic>
              </a:graphicData>
            </a:graphic>
          </wp:inline>
        </w:drawing>
      </w:r>
    </w:p>
    <w:p w14:paraId="1D53829F" w14:textId="597DB3BB" w:rsidR="00482933" w:rsidRDefault="00482933" w:rsidP="00634BDA">
      <w:pPr>
        <w:pStyle w:val="BodyText3"/>
        <w:ind w:left="720" w:hanging="720"/>
      </w:pPr>
      <w:r>
        <w:t>G.</w:t>
      </w:r>
      <w:r w:rsidR="00DE51F4">
        <w:tab/>
      </w:r>
      <w:r>
        <w:t>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(If you have already submitted funding source info through the “Agency Program Information” spreadsheet, please limit your response to funding formulas or funding conventions.)</w:t>
      </w:r>
    </w:p>
    <w:tbl>
      <w:tblPr>
        <w:tblStyle w:val="TableGrid1"/>
        <w:tblpPr w:leftFromText="180" w:rightFromText="180" w:vertAnchor="text" w:horzAnchor="margin" w:tblpXSpec="center" w:tblpY="365"/>
        <w:tblW w:w="9360" w:type="dxa"/>
        <w:tblCellMar>
          <w:top w:w="58" w:type="dxa"/>
          <w:bottom w:w="58" w:type="dxa"/>
        </w:tblCellMar>
        <w:tblLook w:val="04A0" w:firstRow="1" w:lastRow="0" w:firstColumn="1" w:lastColumn="0" w:noHBand="0" w:noVBand="1"/>
      </w:tblPr>
      <w:tblGrid>
        <w:gridCol w:w="2966"/>
        <w:gridCol w:w="2383"/>
        <w:gridCol w:w="1831"/>
        <w:gridCol w:w="2180"/>
      </w:tblGrid>
      <w:tr w:rsidR="00A237B6" w:rsidRPr="00CC7832" w14:paraId="1DD4164E" w14:textId="77777777" w:rsidTr="00E47D75">
        <w:trPr>
          <w:trHeight w:val="564"/>
        </w:trPr>
        <w:tc>
          <w:tcPr>
            <w:tcW w:w="2965" w:type="dxa"/>
            <w:shd w:val="clear" w:color="auto" w:fill="B8CCE4" w:themeFill="accent1" w:themeFillTint="66"/>
            <w:vAlign w:val="center"/>
            <w:hideMark/>
          </w:tcPr>
          <w:p w14:paraId="48F0A457" w14:textId="77777777" w:rsidR="00A237B6" w:rsidRPr="00B84872" w:rsidRDefault="00A237B6" w:rsidP="00E47D75">
            <w:pPr>
              <w:pStyle w:val="TableHeaders"/>
              <w:rPr>
                <w:color w:val="000000"/>
              </w:rPr>
            </w:pPr>
            <w:r w:rsidRPr="00B84872">
              <w:t>Program or Function Detail Description</w:t>
            </w:r>
          </w:p>
        </w:tc>
        <w:tc>
          <w:tcPr>
            <w:tcW w:w="2790" w:type="dxa"/>
            <w:shd w:val="clear" w:color="auto" w:fill="B8CCE4" w:themeFill="accent1" w:themeFillTint="66"/>
            <w:vAlign w:val="center"/>
            <w:hideMark/>
          </w:tcPr>
          <w:p w14:paraId="52DD7977" w14:textId="77777777" w:rsidR="00A237B6" w:rsidRPr="00B84872" w:rsidRDefault="00A237B6" w:rsidP="00E47D75">
            <w:pPr>
              <w:pStyle w:val="TableHeaders"/>
              <w:rPr>
                <w:color w:val="000000"/>
              </w:rPr>
            </w:pPr>
            <w:r w:rsidRPr="00B84872">
              <w:t>Total FY 2024</w:t>
            </w:r>
          </w:p>
        </w:tc>
        <w:tc>
          <w:tcPr>
            <w:tcW w:w="2070" w:type="dxa"/>
            <w:shd w:val="clear" w:color="auto" w:fill="B8CCE4" w:themeFill="accent1" w:themeFillTint="66"/>
            <w:vAlign w:val="center"/>
            <w:hideMark/>
          </w:tcPr>
          <w:p w14:paraId="1589BE99" w14:textId="77777777" w:rsidR="00A237B6" w:rsidRPr="00B84872" w:rsidRDefault="00A237B6" w:rsidP="00E47D75">
            <w:pPr>
              <w:pStyle w:val="TableHeaders"/>
              <w:rPr>
                <w:color w:val="000000"/>
              </w:rPr>
            </w:pPr>
            <w:r w:rsidRPr="00B84872">
              <w:t>Federal Funding</w:t>
            </w:r>
          </w:p>
        </w:tc>
        <w:tc>
          <w:tcPr>
            <w:tcW w:w="2515" w:type="dxa"/>
            <w:shd w:val="clear" w:color="auto" w:fill="B8CCE4" w:themeFill="accent1" w:themeFillTint="66"/>
            <w:vAlign w:val="center"/>
            <w:hideMark/>
          </w:tcPr>
          <w:p w14:paraId="6061AA6E" w14:textId="77777777" w:rsidR="00A237B6" w:rsidRPr="00B84872" w:rsidRDefault="00A237B6" w:rsidP="00E47D75">
            <w:pPr>
              <w:pStyle w:val="TableHeaders"/>
              <w:rPr>
                <w:color w:val="000000"/>
              </w:rPr>
            </w:pPr>
            <w:r w:rsidRPr="00B84872">
              <w:t>State Funding</w:t>
            </w:r>
          </w:p>
        </w:tc>
      </w:tr>
      <w:tr w:rsidR="00A237B6" w:rsidRPr="00CC7832" w14:paraId="3CD2996C" w14:textId="77777777" w:rsidTr="00E47D75">
        <w:trPr>
          <w:trHeight w:val="227"/>
        </w:trPr>
        <w:tc>
          <w:tcPr>
            <w:tcW w:w="2965" w:type="dxa"/>
            <w:noWrap/>
            <w:vAlign w:val="center"/>
            <w:hideMark/>
          </w:tcPr>
          <w:p w14:paraId="6C6867BB" w14:textId="77777777" w:rsidR="00A237B6" w:rsidRPr="00B84872" w:rsidRDefault="00A237B6" w:rsidP="00E47D75">
            <w:pPr>
              <w:pStyle w:val="TableText"/>
            </w:pPr>
            <w:r w:rsidRPr="00B84872">
              <w:t xml:space="preserve">Labor Law Collections </w:t>
            </w:r>
          </w:p>
        </w:tc>
        <w:tc>
          <w:tcPr>
            <w:tcW w:w="2790" w:type="dxa"/>
            <w:vAlign w:val="center"/>
            <w:hideMark/>
          </w:tcPr>
          <w:p w14:paraId="7C605004" w14:textId="05176A3A" w:rsidR="00A237B6" w:rsidRPr="00B84872" w:rsidRDefault="00A237B6" w:rsidP="00E47D75">
            <w:pPr>
              <w:pStyle w:val="TableText"/>
              <w:jc w:val="right"/>
            </w:pPr>
            <w:r w:rsidRPr="00B84872">
              <w:t xml:space="preserve">420,769 </w:t>
            </w:r>
          </w:p>
        </w:tc>
        <w:tc>
          <w:tcPr>
            <w:tcW w:w="2070" w:type="dxa"/>
            <w:vAlign w:val="center"/>
            <w:hideMark/>
          </w:tcPr>
          <w:p w14:paraId="15EA96A0" w14:textId="6E52F72D" w:rsidR="00A237B6" w:rsidRPr="00B84872" w:rsidRDefault="00A237B6" w:rsidP="00E47D75">
            <w:pPr>
              <w:pStyle w:val="TableText"/>
              <w:jc w:val="right"/>
            </w:pPr>
            <w:r w:rsidRPr="00B84872">
              <w:t xml:space="preserve">15 </w:t>
            </w:r>
          </w:p>
        </w:tc>
        <w:tc>
          <w:tcPr>
            <w:tcW w:w="2515" w:type="dxa"/>
            <w:vAlign w:val="center"/>
            <w:hideMark/>
          </w:tcPr>
          <w:p w14:paraId="63A144A0" w14:textId="7FE17DD1" w:rsidR="00A237B6" w:rsidRPr="00B84872" w:rsidRDefault="00A237B6" w:rsidP="00E47D75">
            <w:pPr>
              <w:pStyle w:val="TableText"/>
              <w:jc w:val="right"/>
            </w:pPr>
            <w:r w:rsidRPr="00B84872">
              <w:t xml:space="preserve">420,754 </w:t>
            </w:r>
          </w:p>
        </w:tc>
      </w:tr>
    </w:tbl>
    <w:p w14:paraId="22FCB4E0" w14:textId="4D040C74" w:rsidR="00482933" w:rsidRDefault="00482933" w:rsidP="00634BDA">
      <w:pPr>
        <w:pStyle w:val="BodyText3"/>
        <w:ind w:left="720" w:hanging="720"/>
      </w:pPr>
      <w:r>
        <w:t>H.</w:t>
      </w:r>
      <w:r w:rsidR="00DE51F4">
        <w:tab/>
      </w:r>
      <w:r>
        <w:t xml:space="preserve">Briefly discuss any memoranda of understanding (MOU), interagency agreements, or interagency contracts the agency uses to coordinate its </w:t>
      </w:r>
      <w:r>
        <w:lastRenderedPageBreak/>
        <w:t xml:space="preserve">activities and avoid duplication or conflict with other entities that provide similar or identical services or functions to the target population.  </w:t>
      </w:r>
    </w:p>
    <w:p w14:paraId="24F2F5E3" w14:textId="1F414A95" w:rsidR="00482933" w:rsidRDefault="00482933" w:rsidP="00482933">
      <w:pPr>
        <w:pStyle w:val="BodyText"/>
      </w:pPr>
      <w:r>
        <w:t>U.S. Department of Labor, Wage and Hour Division also handles wage complaints, although the focus is on minimum wage and overtime compliance. This division does not address any issues beyond wage disputes.</w:t>
      </w:r>
    </w:p>
    <w:p w14:paraId="0EAEA2D6" w14:textId="5E1B45C6" w:rsidR="00482933" w:rsidRDefault="00482933" w:rsidP="00634BDA">
      <w:pPr>
        <w:pStyle w:val="BodyText3"/>
        <w:ind w:left="720" w:hanging="720"/>
      </w:pPr>
      <w:r>
        <w:t>I.</w:t>
      </w:r>
      <w:r w:rsidR="00634BDA">
        <w:tab/>
      </w:r>
      <w:r>
        <w:t xml:space="preserve">If the division or program works with local, regional, or federal units of government, include a brief description of these entities and their relationship to the agency.  </w:t>
      </w:r>
    </w:p>
    <w:p w14:paraId="4F78A3E1" w14:textId="0E022CBD" w:rsidR="00482933" w:rsidRDefault="00482933" w:rsidP="00482933">
      <w:pPr>
        <w:pStyle w:val="BodyText"/>
      </w:pPr>
      <w:r>
        <w:t xml:space="preserve">The Collections and Civil Actions Department currently has </w:t>
      </w:r>
      <w:r w:rsidR="005E6782">
        <w:t>eight</w:t>
      </w:r>
      <w:r>
        <w:t xml:space="preserve"> reciprocal collection agreements with other states to help enforce each state’s wage orders against employers who reside or have assets in those states.  This can be beneficial in enforcement since, as a state law, banks and other entities outside of Texas that may hold assets belonging to liable employers residing outside of Texas, may be hesitant to comply with the Texas Payday Law.  These reciprocal collection agreements are made with the state-level equivalent of the Texas Wage and Hour Department (formerly known as Payday Investigations) in each of those states. These agreements include the State of California Division of Labor Standards, Illinois Department of Labor, State of Tennessee Department of Labor and Workforce Development, Alaska Department of Labor, Montana Department of Labor and Industry, Wisconsin Department of Workforce, Maine Department of Labor, and New York Department of Labor.   </w:t>
      </w:r>
    </w:p>
    <w:p w14:paraId="217F6950" w14:textId="49CEB413" w:rsidR="00482933" w:rsidRDefault="00482933" w:rsidP="00634BDA">
      <w:pPr>
        <w:pStyle w:val="BodyText3"/>
        <w:ind w:left="720" w:hanging="720"/>
      </w:pPr>
      <w:r>
        <w:t>J.</w:t>
      </w:r>
      <w:r w:rsidR="00634BDA">
        <w:tab/>
      </w:r>
      <w:r>
        <w:t xml:space="preserve">Are there any barriers or challenges that impede the division or program’s performance, including any outdated or ineffective state laws? Explain.  </w:t>
      </w:r>
    </w:p>
    <w:p w14:paraId="521A658B" w14:textId="68C4D817" w:rsidR="00482933" w:rsidRDefault="00482933" w:rsidP="00482933">
      <w:pPr>
        <w:pStyle w:val="BodyText"/>
      </w:pPr>
      <w:r>
        <w:t>N</w:t>
      </w:r>
      <w:r w:rsidR="00BC7E49">
        <w:t>/</w:t>
      </w:r>
      <w:r>
        <w:t xml:space="preserve">A </w:t>
      </w:r>
    </w:p>
    <w:p w14:paraId="26F6A71F" w14:textId="3CDEE492" w:rsidR="00482933" w:rsidRDefault="00482933" w:rsidP="00634BDA">
      <w:pPr>
        <w:pStyle w:val="BodyText3"/>
        <w:ind w:left="720" w:hanging="720"/>
      </w:pPr>
      <w:r>
        <w:t>K.</w:t>
      </w:r>
      <w:r w:rsidR="00DE51F4">
        <w:tab/>
      </w:r>
      <w:r>
        <w:t xml:space="preserve">Provide any additional information needed to gain a preliminary understanding of the division or program.  </w:t>
      </w:r>
    </w:p>
    <w:p w14:paraId="297692B3" w14:textId="56E2E036" w:rsidR="00482933" w:rsidRDefault="00482933" w:rsidP="00482933">
      <w:pPr>
        <w:pStyle w:val="BodyText"/>
      </w:pPr>
      <w:r>
        <w:t>N</w:t>
      </w:r>
      <w:r w:rsidR="00BC7E49">
        <w:t>/</w:t>
      </w:r>
      <w:r>
        <w:t xml:space="preserve">A </w:t>
      </w:r>
    </w:p>
    <w:p w14:paraId="5F4D737C" w14:textId="576C421A" w:rsidR="00482933" w:rsidRDefault="00482933" w:rsidP="00634BDA">
      <w:pPr>
        <w:pStyle w:val="BodyText3"/>
        <w:ind w:left="720" w:hanging="720"/>
      </w:pPr>
      <w:r>
        <w:t>L.</w:t>
      </w:r>
      <w:r w:rsidR="00DE51F4">
        <w:tab/>
      </w:r>
      <w:r>
        <w:t xml:space="preserve">Regulatory programs relate to the licensing, registration, certification, or permitting of a person, business, piece of equipment, or other entity (e.g., a facility). For each regulatory program, if applicable, describe:  </w:t>
      </w:r>
    </w:p>
    <w:p w14:paraId="2C43B61A" w14:textId="77777777" w:rsidR="00482933" w:rsidRDefault="00482933" w:rsidP="00482933">
      <w:pPr>
        <w:pStyle w:val="BodyText"/>
      </w:pPr>
      <w:r>
        <w:t xml:space="preserve">NA </w:t>
      </w:r>
    </w:p>
    <w:p w14:paraId="0BA5FDB3" w14:textId="15F05983" w:rsidR="00482933" w:rsidRDefault="00482933" w:rsidP="00634BDA">
      <w:pPr>
        <w:pStyle w:val="BodyText3"/>
        <w:ind w:left="720" w:hanging="720"/>
      </w:pPr>
      <w:r>
        <w:t>M.</w:t>
      </w:r>
      <w:r w:rsidR="00DE51F4">
        <w:tab/>
      </w:r>
      <w:r>
        <w:t xml:space="preserve">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w:t>
      </w:r>
      <w:r>
        <w:lastRenderedPageBreak/>
        <w:t xml:space="preserve">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21381659" w14:textId="77777777" w:rsidR="001E5B03" w:rsidRDefault="00482933" w:rsidP="001C04E8">
      <w:pPr>
        <w:pStyle w:val="BodyText"/>
      </w:pPr>
      <w:r>
        <w:t>N</w:t>
      </w:r>
      <w:r w:rsidR="00907BB1">
        <w:t>/</w:t>
      </w:r>
      <w:r>
        <w:t>A</w:t>
      </w:r>
    </w:p>
    <w:p w14:paraId="0F93D02F" w14:textId="7FBE0794" w:rsidR="00907BB1" w:rsidRDefault="00907BB1" w:rsidP="001C04E8">
      <w:pPr>
        <w:pStyle w:val="BodyText"/>
        <w:rPr>
          <w:b/>
        </w:rPr>
      </w:pPr>
    </w:p>
    <w:p w14:paraId="6167414A" w14:textId="77777777" w:rsidR="001E1C24" w:rsidRDefault="00A656EB" w:rsidP="001E1C24">
      <w:pPr>
        <w:pStyle w:val="BodyText3"/>
      </w:pPr>
      <w:r>
        <w:t>Collections and Civil Actions</w:t>
      </w:r>
    </w:p>
    <w:p w14:paraId="0D1CF5FC" w14:textId="2B453D80" w:rsidR="001640C6" w:rsidRDefault="001640C6" w:rsidP="001E1C24">
      <w:pPr>
        <w:pStyle w:val="BodyText3"/>
      </w:pPr>
      <w:r>
        <w:t>A.</w:t>
      </w:r>
      <w:r w:rsidR="007E5E2B">
        <w:tab/>
      </w:r>
      <w:r>
        <w:t xml:space="preserve">Provide the following information at the beginning of each description.  </w:t>
      </w:r>
    </w:p>
    <w:p w14:paraId="34B513F5" w14:textId="336A8F39" w:rsidR="001640C6" w:rsidRDefault="001640C6" w:rsidP="00C64851">
      <w:pPr>
        <w:pStyle w:val="BodyText"/>
        <w:numPr>
          <w:ilvl w:val="0"/>
          <w:numId w:val="327"/>
        </w:numPr>
        <w:spacing w:before="120" w:after="120"/>
      </w:pPr>
      <w:r>
        <w:t>Name of division or program: Collections &amp; Civil Actions Department</w:t>
      </w:r>
    </w:p>
    <w:p w14:paraId="1A7946AD" w14:textId="77777777" w:rsidR="001640C6" w:rsidRDefault="001640C6" w:rsidP="00C64851">
      <w:pPr>
        <w:pStyle w:val="BodyText"/>
        <w:numPr>
          <w:ilvl w:val="0"/>
          <w:numId w:val="327"/>
        </w:numPr>
        <w:spacing w:before="120" w:after="120"/>
      </w:pPr>
      <w:r>
        <w:t xml:space="preserve">Location within the agency: Finance Division </w:t>
      </w:r>
    </w:p>
    <w:p w14:paraId="7FC67FA9" w14:textId="77777777" w:rsidR="001640C6" w:rsidRDefault="001640C6" w:rsidP="00C64851">
      <w:pPr>
        <w:pStyle w:val="BodyText"/>
        <w:numPr>
          <w:ilvl w:val="0"/>
          <w:numId w:val="327"/>
        </w:numPr>
        <w:spacing w:before="120" w:after="120"/>
      </w:pPr>
      <w:r>
        <w:t xml:space="preserve">Contact name:  Angelo Ferrazzano </w:t>
      </w:r>
    </w:p>
    <w:p w14:paraId="697C2A3F" w14:textId="77777777" w:rsidR="001640C6" w:rsidRDefault="001640C6" w:rsidP="00C64851">
      <w:pPr>
        <w:pStyle w:val="BodyText"/>
        <w:numPr>
          <w:ilvl w:val="0"/>
          <w:numId w:val="327"/>
        </w:numPr>
        <w:spacing w:before="120" w:after="120"/>
      </w:pPr>
      <w:r>
        <w:t xml:space="preserve">Statutory citation: </w:t>
      </w:r>
    </w:p>
    <w:p w14:paraId="19CA130C" w14:textId="4475A53C" w:rsidR="001640C6" w:rsidRDefault="001640C6" w:rsidP="00C64851">
      <w:pPr>
        <w:pStyle w:val="BodyText"/>
        <w:numPr>
          <w:ilvl w:val="1"/>
          <w:numId w:val="327"/>
        </w:numPr>
        <w:spacing w:before="120" w:after="120"/>
      </w:pPr>
      <w:r>
        <w:t>Texas Child Labor Law:  Texas Labor Code, Sec</w:t>
      </w:r>
      <w:r w:rsidR="00E04D6C">
        <w:t>tion</w:t>
      </w:r>
      <w:r>
        <w:t xml:space="preserve"> 51.042 </w:t>
      </w:r>
      <w:r w:rsidR="00E04D6C">
        <w:t>-</w:t>
      </w:r>
      <w:r>
        <w:t xml:space="preserve"> 51.046</w:t>
      </w:r>
      <w:r w:rsidR="00E04D6C">
        <w:t>;</w:t>
      </w:r>
      <w:r>
        <w:t xml:space="preserve"> Texas Government Code</w:t>
      </w:r>
      <w:r w:rsidR="00E04D6C">
        <w:t>, Section</w:t>
      </w:r>
      <w:r>
        <w:t xml:space="preserve"> 403.055</w:t>
      </w:r>
    </w:p>
    <w:p w14:paraId="36B5467B" w14:textId="7050BC7F" w:rsidR="001640C6" w:rsidRDefault="001640C6" w:rsidP="00C64851">
      <w:pPr>
        <w:pStyle w:val="BodyText"/>
        <w:numPr>
          <w:ilvl w:val="1"/>
          <w:numId w:val="327"/>
        </w:numPr>
        <w:spacing w:before="120" w:after="120"/>
      </w:pPr>
      <w:r>
        <w:t>Unemployment Insurance Claimant Benefit Overpayment Collections: Texas Unemployment Compensation Act</w:t>
      </w:r>
      <w:r w:rsidR="00E04D6C">
        <w:t xml:space="preserve">, Sections </w:t>
      </w:r>
      <w:r>
        <w:t>211.004, 212.006, 214.002, 214.003 and Sec. 214.00</w:t>
      </w:r>
      <w:r w:rsidR="00E04D6C">
        <w:t>;</w:t>
      </w:r>
      <w:r>
        <w:t xml:space="preserve"> Texas Government Code</w:t>
      </w:r>
      <w:r w:rsidR="00E04D6C">
        <w:t>,</w:t>
      </w:r>
      <w:r>
        <w:t xml:space="preserve"> Sec</w:t>
      </w:r>
      <w:r w:rsidR="00E04D6C">
        <w:t>tion</w:t>
      </w:r>
      <w:r>
        <w:t xml:space="preserve"> 403.055</w:t>
      </w:r>
    </w:p>
    <w:p w14:paraId="195330D8" w14:textId="645C3BD6" w:rsidR="001640C6" w:rsidRDefault="001640C6" w:rsidP="00C64851">
      <w:pPr>
        <w:pStyle w:val="BodyText"/>
        <w:numPr>
          <w:ilvl w:val="1"/>
          <w:numId w:val="327"/>
        </w:numPr>
        <w:spacing w:before="120" w:after="120"/>
      </w:pPr>
      <w:r>
        <w:t>Unemployment Insurance Employer Tax/Contribution Collections: Texas Unemployment Compensation Act, Sec</w:t>
      </w:r>
      <w:r w:rsidR="00E04D6C">
        <w:t>tions</w:t>
      </w:r>
      <w:r>
        <w:t xml:space="preserve"> 213.031 </w:t>
      </w:r>
      <w:r w:rsidR="00E04D6C">
        <w:t>-</w:t>
      </w:r>
      <w:r>
        <w:t xml:space="preserve"> 213.060</w:t>
      </w:r>
    </w:p>
    <w:p w14:paraId="4780B677" w14:textId="108EBDF0" w:rsidR="001640C6" w:rsidRDefault="001640C6" w:rsidP="00C64851">
      <w:pPr>
        <w:pStyle w:val="BodyText"/>
        <w:numPr>
          <w:ilvl w:val="1"/>
          <w:numId w:val="327"/>
        </w:numPr>
        <w:spacing w:before="120" w:after="120"/>
      </w:pPr>
      <w:r>
        <w:t>Vocational Rehabilitation Overpayment Collections: Texas Government Cod</w:t>
      </w:r>
      <w:r w:rsidR="00E04D6C">
        <w:t>e,</w:t>
      </w:r>
      <w:r>
        <w:t xml:space="preserve"> Sec</w:t>
      </w:r>
      <w:r w:rsidR="00E04D6C">
        <w:t>tion</w:t>
      </w:r>
      <w:r>
        <w:t xml:space="preserve"> 403.055</w:t>
      </w:r>
      <w:r w:rsidR="00E04D6C">
        <w:t>;</w:t>
      </w:r>
      <w:r>
        <w:t xml:space="preserve"> Texas Government Code, Chapter 2107</w:t>
      </w:r>
    </w:p>
    <w:p w14:paraId="78D26F3E" w14:textId="544453B2" w:rsidR="001640C6" w:rsidRDefault="001640C6" w:rsidP="00C64851">
      <w:pPr>
        <w:pStyle w:val="BodyText"/>
        <w:numPr>
          <w:ilvl w:val="1"/>
          <w:numId w:val="327"/>
        </w:numPr>
        <w:spacing w:before="120" w:after="120"/>
      </w:pPr>
      <w:r>
        <w:t>Child Care Overpayment Collections: Texas Unemployment Compensation Act</w:t>
      </w:r>
      <w:r w:rsidR="00E04D6C">
        <w:t>,</w:t>
      </w:r>
      <w:r>
        <w:t xml:space="preserve"> Sec</w:t>
      </w:r>
      <w:r w:rsidR="00E04D6C">
        <w:t>tion</w:t>
      </w:r>
      <w:r>
        <w:t xml:space="preserve"> 301.192</w:t>
      </w:r>
      <w:r w:rsidR="00E04D6C">
        <w:t>;</w:t>
      </w:r>
      <w:r>
        <w:t xml:space="preserve"> Texas Government Code</w:t>
      </w:r>
      <w:r w:rsidR="00E04D6C">
        <w:t>,</w:t>
      </w:r>
      <w:r>
        <w:t xml:space="preserve"> Se</w:t>
      </w:r>
      <w:r w:rsidR="00E04D6C">
        <w:t>ction</w:t>
      </w:r>
      <w:r>
        <w:t xml:space="preserve"> 403.055</w:t>
      </w:r>
    </w:p>
    <w:p w14:paraId="7F3E38D0" w14:textId="4F25015E" w:rsidR="001640C6" w:rsidRDefault="001640C6" w:rsidP="001E1C24">
      <w:pPr>
        <w:pStyle w:val="BodyText3"/>
      </w:pPr>
      <w:r>
        <w:t>B.</w:t>
      </w:r>
      <w:r w:rsidR="007E5E2B">
        <w:tab/>
      </w:r>
      <w:r>
        <w:t xml:space="preserve">What is the objective of this division or program? Describe its major activities.  </w:t>
      </w:r>
    </w:p>
    <w:p w14:paraId="58FA8DD0" w14:textId="77777777" w:rsidR="001640C6" w:rsidRDefault="001640C6" w:rsidP="001640C6">
      <w:pPr>
        <w:pStyle w:val="BodyText"/>
      </w:pPr>
      <w:r>
        <w:t xml:space="preserve">The Collections and Civil Actions department acts as a centralized recovery unit, ensuring the financial integrity of TWC programs by actively pursuing and recovering outstanding debts through various legal and administrative means. The primary objective is to recover funds owed to the State of Texas, as determined and referred by various upstream TWC programs. The department’s major activities involve employing a range of collection tools to recoup debts arising from these programs. These activities include: </w:t>
      </w:r>
    </w:p>
    <w:p w14:paraId="0904D27E" w14:textId="77777777" w:rsidR="001640C6" w:rsidRDefault="001640C6" w:rsidP="00C64851">
      <w:pPr>
        <w:pStyle w:val="BodyText"/>
        <w:numPr>
          <w:ilvl w:val="0"/>
          <w:numId w:val="59"/>
        </w:numPr>
      </w:pPr>
      <w:r w:rsidRPr="00765D3B">
        <w:rPr>
          <w:b/>
          <w:bCs/>
        </w:rPr>
        <w:t>Texas Child Labor Law Violations:</w:t>
      </w:r>
      <w:r>
        <w:t xml:space="preserve"> Pursuing collections through bank freezes/levies and warrant holds. </w:t>
      </w:r>
    </w:p>
    <w:p w14:paraId="76249B91" w14:textId="77777777" w:rsidR="001640C6" w:rsidRDefault="001640C6" w:rsidP="00C64851">
      <w:pPr>
        <w:pStyle w:val="BodyText"/>
        <w:numPr>
          <w:ilvl w:val="0"/>
          <w:numId w:val="59"/>
        </w:numPr>
      </w:pPr>
      <w:r w:rsidRPr="00765D3B">
        <w:rPr>
          <w:b/>
          <w:bCs/>
        </w:rPr>
        <w:lastRenderedPageBreak/>
        <w:t>Unemployment Insurance (UI) Claimant Benefit Overpayments:</w:t>
      </w:r>
      <w:r>
        <w:t xml:space="preserve"> Utilizing benefit offsets; warrant holds, Treasury Offset Program (TOP) participation, and assessments.  </w:t>
      </w:r>
    </w:p>
    <w:p w14:paraId="0C80AF52" w14:textId="77777777" w:rsidR="001640C6" w:rsidRDefault="001640C6" w:rsidP="00C64851">
      <w:pPr>
        <w:pStyle w:val="BodyText"/>
        <w:numPr>
          <w:ilvl w:val="0"/>
          <w:numId w:val="59"/>
        </w:numPr>
      </w:pPr>
      <w:r w:rsidRPr="00765D3B">
        <w:rPr>
          <w:b/>
          <w:bCs/>
        </w:rPr>
        <w:t>Unemployment Insurance (UI) Employer Tax/Contribution Collections:</w:t>
      </w:r>
      <w:r>
        <w:t xml:space="preserve"> Implementing liens, warrant holds; bank freezes, assessments; referral to the Office of the Attorney General (OAG), and TOP participation.  </w:t>
      </w:r>
    </w:p>
    <w:p w14:paraId="0A79E373" w14:textId="77777777" w:rsidR="001640C6" w:rsidRDefault="001640C6" w:rsidP="00C64851">
      <w:pPr>
        <w:pStyle w:val="BodyText"/>
        <w:numPr>
          <w:ilvl w:val="0"/>
          <w:numId w:val="59"/>
        </w:numPr>
      </w:pPr>
      <w:r w:rsidRPr="00765D3B">
        <w:rPr>
          <w:b/>
          <w:bCs/>
        </w:rPr>
        <w:t>Vocational Rehabilitation Overpayment Collections:</w:t>
      </w:r>
      <w:r>
        <w:t xml:space="preserve"> Employing warrant holds and referrals to the OAG. </w:t>
      </w:r>
    </w:p>
    <w:p w14:paraId="7AB1D229" w14:textId="77777777" w:rsidR="001640C6" w:rsidRDefault="001640C6" w:rsidP="00C64851">
      <w:pPr>
        <w:pStyle w:val="BodyText"/>
        <w:numPr>
          <w:ilvl w:val="0"/>
          <w:numId w:val="59"/>
        </w:numPr>
      </w:pPr>
      <w:r w:rsidRPr="00765D3B">
        <w:rPr>
          <w:b/>
          <w:bCs/>
        </w:rPr>
        <w:t>Child Care Overpayment Collections:</w:t>
      </w:r>
      <w:r>
        <w:t xml:space="preserve"> Utilizing warrant holds. </w:t>
      </w:r>
    </w:p>
    <w:p w14:paraId="03565EBC" w14:textId="274362F7" w:rsidR="00482933" w:rsidRPr="00C468CB" w:rsidRDefault="001640C6" w:rsidP="00C75604">
      <w:pPr>
        <w:pStyle w:val="BodyText3"/>
        <w:ind w:left="720" w:hanging="720"/>
      </w:pPr>
      <w:r>
        <w:t>C.</w:t>
      </w:r>
      <w:r w:rsidR="007E5E2B">
        <w:tab/>
      </w:r>
      <w:r>
        <w:t xml:space="preserve">What information does the agency collect/use to assess the effectiveness and efficiency of this division or program? If applicable, briefly note any LBB performance measures (from Section II, </w:t>
      </w:r>
      <w:proofErr w:type="gramStart"/>
      <w:r>
        <w:t>Exhibit</w:t>
      </w:r>
      <w:proofErr w:type="gramEnd"/>
      <w:r>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p>
    <w:tbl>
      <w:tblPr>
        <w:tblStyle w:val="TableGrid1"/>
        <w:tblW w:w="0" w:type="dxa"/>
        <w:tblCellMar>
          <w:top w:w="58" w:type="dxa"/>
          <w:bottom w:w="58" w:type="dxa"/>
        </w:tblCellMar>
        <w:tblLook w:val="04A0" w:firstRow="1" w:lastRow="0" w:firstColumn="1" w:lastColumn="0" w:noHBand="0" w:noVBand="1"/>
      </w:tblPr>
      <w:tblGrid>
        <w:gridCol w:w="2129"/>
        <w:gridCol w:w="1355"/>
        <w:gridCol w:w="1370"/>
        <w:gridCol w:w="1524"/>
        <w:gridCol w:w="1486"/>
        <w:gridCol w:w="1486"/>
      </w:tblGrid>
      <w:tr w:rsidR="00DE2801" w:rsidRPr="00DE2801" w14:paraId="5104552C" w14:textId="77777777" w:rsidTr="00DE2801">
        <w:trPr>
          <w:trHeight w:val="435"/>
        </w:trPr>
        <w:tc>
          <w:tcPr>
            <w:tcW w:w="2280" w:type="dxa"/>
            <w:shd w:val="clear" w:color="auto" w:fill="B8CCE4" w:themeFill="accent1" w:themeFillTint="66"/>
            <w:vAlign w:val="center"/>
            <w:hideMark/>
          </w:tcPr>
          <w:p w14:paraId="7FA2DDE2" w14:textId="20FA2E40" w:rsidR="00DE2801" w:rsidRPr="00DE2801" w:rsidRDefault="00DE2801" w:rsidP="00DE2801">
            <w:pPr>
              <w:pStyle w:val="TableHeaders"/>
              <w:rPr>
                <w:rFonts w:ascii="Segoe UI" w:hAnsi="Segoe UI"/>
                <w:b w:val="0"/>
              </w:rPr>
            </w:pPr>
            <w:r w:rsidRPr="00DE2801">
              <w:t>Child Labor Law Collections</w:t>
            </w:r>
          </w:p>
        </w:tc>
        <w:tc>
          <w:tcPr>
            <w:tcW w:w="1395" w:type="dxa"/>
            <w:shd w:val="clear" w:color="auto" w:fill="B8CCE4" w:themeFill="accent1" w:themeFillTint="66"/>
            <w:vAlign w:val="center"/>
            <w:hideMark/>
          </w:tcPr>
          <w:p w14:paraId="26271938" w14:textId="38CD134F" w:rsidR="00DE2801" w:rsidRPr="00DE2801" w:rsidRDefault="00DE2801" w:rsidP="00DE2801">
            <w:pPr>
              <w:pStyle w:val="TableHeaders"/>
              <w:rPr>
                <w:rFonts w:ascii="Segoe UI" w:hAnsi="Segoe UI"/>
                <w:b w:val="0"/>
              </w:rPr>
            </w:pPr>
            <w:r w:rsidRPr="00DE2801">
              <w:t>FY20</w:t>
            </w:r>
          </w:p>
        </w:tc>
        <w:tc>
          <w:tcPr>
            <w:tcW w:w="1395" w:type="dxa"/>
            <w:shd w:val="clear" w:color="auto" w:fill="B8CCE4" w:themeFill="accent1" w:themeFillTint="66"/>
            <w:vAlign w:val="center"/>
            <w:hideMark/>
          </w:tcPr>
          <w:p w14:paraId="44FF4565" w14:textId="2E6A912C" w:rsidR="00DE2801" w:rsidRPr="00DE2801" w:rsidRDefault="00DE2801" w:rsidP="00DE2801">
            <w:pPr>
              <w:pStyle w:val="TableHeaders"/>
              <w:rPr>
                <w:rFonts w:ascii="Segoe UI" w:hAnsi="Segoe UI"/>
                <w:b w:val="0"/>
              </w:rPr>
            </w:pPr>
            <w:r w:rsidRPr="00DE2801">
              <w:t>FY21</w:t>
            </w:r>
          </w:p>
        </w:tc>
        <w:tc>
          <w:tcPr>
            <w:tcW w:w="1575" w:type="dxa"/>
            <w:shd w:val="clear" w:color="auto" w:fill="B8CCE4" w:themeFill="accent1" w:themeFillTint="66"/>
            <w:vAlign w:val="center"/>
            <w:hideMark/>
          </w:tcPr>
          <w:p w14:paraId="10161B8C" w14:textId="495005CC" w:rsidR="00DE2801" w:rsidRPr="00DE2801" w:rsidRDefault="00DE2801" w:rsidP="00DE2801">
            <w:pPr>
              <w:pStyle w:val="TableHeaders"/>
              <w:rPr>
                <w:rFonts w:ascii="Segoe UI" w:hAnsi="Segoe UI"/>
                <w:b w:val="0"/>
              </w:rPr>
            </w:pPr>
            <w:r w:rsidRPr="00DE2801">
              <w:t>FY22</w:t>
            </w:r>
          </w:p>
        </w:tc>
        <w:tc>
          <w:tcPr>
            <w:tcW w:w="1530" w:type="dxa"/>
            <w:shd w:val="clear" w:color="auto" w:fill="B8CCE4" w:themeFill="accent1" w:themeFillTint="66"/>
            <w:vAlign w:val="center"/>
            <w:hideMark/>
          </w:tcPr>
          <w:p w14:paraId="3B2B73E5" w14:textId="1DFB4185" w:rsidR="00DE2801" w:rsidRPr="00DE2801" w:rsidRDefault="00DE2801" w:rsidP="00DE2801">
            <w:pPr>
              <w:pStyle w:val="TableHeaders"/>
              <w:rPr>
                <w:rFonts w:ascii="Segoe UI" w:hAnsi="Segoe UI"/>
                <w:b w:val="0"/>
              </w:rPr>
            </w:pPr>
            <w:r w:rsidRPr="00DE2801">
              <w:t>FY23</w:t>
            </w:r>
          </w:p>
        </w:tc>
        <w:tc>
          <w:tcPr>
            <w:tcW w:w="1530" w:type="dxa"/>
            <w:shd w:val="clear" w:color="auto" w:fill="B8CCE4" w:themeFill="accent1" w:themeFillTint="66"/>
            <w:vAlign w:val="center"/>
            <w:hideMark/>
          </w:tcPr>
          <w:p w14:paraId="0D09EE36" w14:textId="4B0D600F" w:rsidR="00DE2801" w:rsidRPr="00DE2801" w:rsidRDefault="00DE2801" w:rsidP="00DE2801">
            <w:pPr>
              <w:pStyle w:val="TableHeaders"/>
              <w:rPr>
                <w:rFonts w:ascii="Segoe UI" w:hAnsi="Segoe UI"/>
                <w:b w:val="0"/>
              </w:rPr>
            </w:pPr>
            <w:r w:rsidRPr="00DE2801">
              <w:t>FY24</w:t>
            </w:r>
          </w:p>
        </w:tc>
      </w:tr>
      <w:tr w:rsidR="00DE2801" w:rsidRPr="00DE2801" w14:paraId="360F5DA8" w14:textId="77777777" w:rsidTr="00DE2801">
        <w:trPr>
          <w:trHeight w:val="300"/>
        </w:trPr>
        <w:tc>
          <w:tcPr>
            <w:tcW w:w="2280" w:type="dxa"/>
            <w:vAlign w:val="center"/>
            <w:hideMark/>
          </w:tcPr>
          <w:p w14:paraId="2E4464BC" w14:textId="77777777" w:rsidR="00DE2801" w:rsidRPr="00DE2801" w:rsidRDefault="00DE2801" w:rsidP="00DE2801">
            <w:pPr>
              <w:pStyle w:val="TableText"/>
              <w:rPr>
                <w:rFonts w:ascii="Segoe UI" w:hAnsi="Segoe UI"/>
              </w:rPr>
            </w:pPr>
            <w:r w:rsidRPr="00DE2801">
              <w:t>Cases Referred to Collections </w:t>
            </w:r>
          </w:p>
        </w:tc>
        <w:tc>
          <w:tcPr>
            <w:tcW w:w="1395" w:type="dxa"/>
            <w:vAlign w:val="center"/>
            <w:hideMark/>
          </w:tcPr>
          <w:p w14:paraId="10D93B6B" w14:textId="77777777" w:rsidR="00DE2801" w:rsidRPr="00DE2801" w:rsidRDefault="00DE2801" w:rsidP="00DE2801">
            <w:pPr>
              <w:pStyle w:val="TableText"/>
              <w:jc w:val="right"/>
              <w:rPr>
                <w:rFonts w:ascii="Segoe UI" w:hAnsi="Segoe UI"/>
              </w:rPr>
            </w:pPr>
            <w:r w:rsidRPr="00DE2801">
              <w:t>10 </w:t>
            </w:r>
          </w:p>
        </w:tc>
        <w:tc>
          <w:tcPr>
            <w:tcW w:w="1395" w:type="dxa"/>
            <w:vAlign w:val="center"/>
            <w:hideMark/>
          </w:tcPr>
          <w:p w14:paraId="78C93768" w14:textId="77777777" w:rsidR="00DE2801" w:rsidRPr="00DE2801" w:rsidRDefault="00DE2801" w:rsidP="00DE2801">
            <w:pPr>
              <w:pStyle w:val="TableText"/>
              <w:jc w:val="right"/>
              <w:rPr>
                <w:rFonts w:ascii="Segoe UI" w:hAnsi="Segoe UI"/>
              </w:rPr>
            </w:pPr>
            <w:r w:rsidRPr="00DE2801">
              <w:t>31 </w:t>
            </w:r>
          </w:p>
        </w:tc>
        <w:tc>
          <w:tcPr>
            <w:tcW w:w="1575" w:type="dxa"/>
            <w:vAlign w:val="center"/>
            <w:hideMark/>
          </w:tcPr>
          <w:p w14:paraId="5A5F922E" w14:textId="77777777" w:rsidR="00DE2801" w:rsidRPr="00DE2801" w:rsidRDefault="00DE2801" w:rsidP="00DE2801">
            <w:pPr>
              <w:pStyle w:val="TableText"/>
              <w:jc w:val="right"/>
              <w:rPr>
                <w:rFonts w:ascii="Segoe UI" w:hAnsi="Segoe UI"/>
              </w:rPr>
            </w:pPr>
            <w:r w:rsidRPr="00DE2801">
              <w:t>12 </w:t>
            </w:r>
          </w:p>
        </w:tc>
        <w:tc>
          <w:tcPr>
            <w:tcW w:w="1530" w:type="dxa"/>
            <w:vAlign w:val="center"/>
            <w:hideMark/>
          </w:tcPr>
          <w:p w14:paraId="1F77E33A" w14:textId="77777777" w:rsidR="00DE2801" w:rsidRPr="00DE2801" w:rsidRDefault="00DE2801" w:rsidP="00DE2801">
            <w:pPr>
              <w:pStyle w:val="TableText"/>
              <w:jc w:val="right"/>
              <w:rPr>
                <w:rFonts w:ascii="Segoe UI" w:hAnsi="Segoe UI"/>
              </w:rPr>
            </w:pPr>
            <w:r w:rsidRPr="00DE2801">
              <w:t>25 </w:t>
            </w:r>
          </w:p>
        </w:tc>
        <w:tc>
          <w:tcPr>
            <w:tcW w:w="1530" w:type="dxa"/>
            <w:vAlign w:val="center"/>
            <w:hideMark/>
          </w:tcPr>
          <w:p w14:paraId="5554ECDA" w14:textId="77777777" w:rsidR="00DE2801" w:rsidRPr="00DE2801" w:rsidRDefault="00DE2801" w:rsidP="00DE2801">
            <w:pPr>
              <w:pStyle w:val="TableText"/>
              <w:jc w:val="right"/>
              <w:rPr>
                <w:rFonts w:ascii="Segoe UI" w:hAnsi="Segoe UI"/>
              </w:rPr>
            </w:pPr>
            <w:r w:rsidRPr="00DE2801">
              <w:t>14 </w:t>
            </w:r>
          </w:p>
        </w:tc>
      </w:tr>
      <w:tr w:rsidR="00DE2801" w:rsidRPr="00DE2801" w14:paraId="752652C4" w14:textId="77777777" w:rsidTr="00DE2801">
        <w:trPr>
          <w:trHeight w:val="300"/>
        </w:trPr>
        <w:tc>
          <w:tcPr>
            <w:tcW w:w="2280" w:type="dxa"/>
            <w:vAlign w:val="center"/>
            <w:hideMark/>
          </w:tcPr>
          <w:p w14:paraId="0688D68B" w14:textId="77777777" w:rsidR="00DE2801" w:rsidRPr="00DE2801" w:rsidRDefault="00DE2801" w:rsidP="00DE2801">
            <w:pPr>
              <w:pStyle w:val="TableText"/>
              <w:rPr>
                <w:rFonts w:ascii="Segoe UI" w:hAnsi="Segoe UI"/>
              </w:rPr>
            </w:pPr>
            <w:r w:rsidRPr="00DE2801">
              <w:t>Penalties Assessed </w:t>
            </w:r>
          </w:p>
        </w:tc>
        <w:tc>
          <w:tcPr>
            <w:tcW w:w="1395" w:type="dxa"/>
            <w:vAlign w:val="center"/>
            <w:hideMark/>
          </w:tcPr>
          <w:p w14:paraId="4A9B442C" w14:textId="77777777" w:rsidR="00DE2801" w:rsidRPr="00DE2801" w:rsidRDefault="00DE2801" w:rsidP="00DE2801">
            <w:pPr>
              <w:pStyle w:val="TableText"/>
              <w:jc w:val="right"/>
              <w:rPr>
                <w:rFonts w:ascii="Segoe UI" w:hAnsi="Segoe UI"/>
              </w:rPr>
            </w:pPr>
            <w:r w:rsidRPr="00DE2801">
              <w:t>$5,332.20 </w:t>
            </w:r>
          </w:p>
        </w:tc>
        <w:tc>
          <w:tcPr>
            <w:tcW w:w="1395" w:type="dxa"/>
            <w:vAlign w:val="center"/>
            <w:hideMark/>
          </w:tcPr>
          <w:p w14:paraId="4193363C" w14:textId="77777777" w:rsidR="00DE2801" w:rsidRPr="00DE2801" w:rsidRDefault="00DE2801" w:rsidP="00DE2801">
            <w:pPr>
              <w:pStyle w:val="TableText"/>
              <w:jc w:val="right"/>
              <w:rPr>
                <w:rFonts w:ascii="Segoe UI" w:hAnsi="Segoe UI"/>
              </w:rPr>
            </w:pPr>
            <w:r w:rsidRPr="00DE2801">
              <w:t>$26,195.31 </w:t>
            </w:r>
          </w:p>
        </w:tc>
        <w:tc>
          <w:tcPr>
            <w:tcW w:w="1575" w:type="dxa"/>
            <w:vAlign w:val="center"/>
            <w:hideMark/>
          </w:tcPr>
          <w:p w14:paraId="47946500" w14:textId="77777777" w:rsidR="00DE2801" w:rsidRPr="00DE2801" w:rsidRDefault="00DE2801" w:rsidP="00DE2801">
            <w:pPr>
              <w:pStyle w:val="TableText"/>
              <w:jc w:val="right"/>
              <w:rPr>
                <w:rFonts w:ascii="Segoe UI" w:hAnsi="Segoe UI"/>
              </w:rPr>
            </w:pPr>
            <w:r w:rsidRPr="00DE2801">
              <w:t>$24,508.37 </w:t>
            </w:r>
          </w:p>
        </w:tc>
        <w:tc>
          <w:tcPr>
            <w:tcW w:w="1530" w:type="dxa"/>
            <w:vAlign w:val="center"/>
            <w:hideMark/>
          </w:tcPr>
          <w:p w14:paraId="22F39C99" w14:textId="77777777" w:rsidR="00DE2801" w:rsidRPr="00DE2801" w:rsidRDefault="00DE2801" w:rsidP="00DE2801">
            <w:pPr>
              <w:pStyle w:val="TableText"/>
              <w:jc w:val="right"/>
              <w:rPr>
                <w:rFonts w:ascii="Segoe UI" w:hAnsi="Segoe UI"/>
              </w:rPr>
            </w:pPr>
            <w:r w:rsidRPr="00DE2801">
              <w:t>$26,813.44 </w:t>
            </w:r>
          </w:p>
        </w:tc>
        <w:tc>
          <w:tcPr>
            <w:tcW w:w="1530" w:type="dxa"/>
            <w:vAlign w:val="center"/>
            <w:hideMark/>
          </w:tcPr>
          <w:p w14:paraId="76CB6D20" w14:textId="77777777" w:rsidR="00DE2801" w:rsidRPr="00DE2801" w:rsidRDefault="00DE2801" w:rsidP="00DE2801">
            <w:pPr>
              <w:pStyle w:val="TableText"/>
              <w:jc w:val="right"/>
              <w:rPr>
                <w:rFonts w:ascii="Segoe UI" w:hAnsi="Segoe UI"/>
              </w:rPr>
            </w:pPr>
            <w:r w:rsidRPr="00DE2801">
              <w:t>$10,324.75 </w:t>
            </w:r>
          </w:p>
        </w:tc>
      </w:tr>
      <w:tr w:rsidR="00DE2801" w:rsidRPr="00DE2801" w14:paraId="30484170" w14:textId="77777777" w:rsidTr="00DE2801">
        <w:trPr>
          <w:trHeight w:val="300"/>
        </w:trPr>
        <w:tc>
          <w:tcPr>
            <w:tcW w:w="2280" w:type="dxa"/>
            <w:vAlign w:val="center"/>
            <w:hideMark/>
          </w:tcPr>
          <w:p w14:paraId="5A422A01" w14:textId="77777777" w:rsidR="00DE2801" w:rsidRPr="00DE2801" w:rsidRDefault="00DE2801" w:rsidP="00DE2801">
            <w:pPr>
              <w:pStyle w:val="TableText"/>
              <w:rPr>
                <w:rFonts w:ascii="Segoe UI" w:hAnsi="Segoe UI"/>
              </w:rPr>
            </w:pPr>
            <w:r w:rsidRPr="00DE2801">
              <w:t>Bank Freezes Attempted </w:t>
            </w:r>
          </w:p>
        </w:tc>
        <w:tc>
          <w:tcPr>
            <w:tcW w:w="1395" w:type="dxa"/>
            <w:vAlign w:val="center"/>
            <w:hideMark/>
          </w:tcPr>
          <w:p w14:paraId="37524B7F" w14:textId="77777777" w:rsidR="00DE2801" w:rsidRPr="00DE2801" w:rsidRDefault="00DE2801" w:rsidP="00DE2801">
            <w:pPr>
              <w:pStyle w:val="TableText"/>
              <w:jc w:val="right"/>
              <w:rPr>
                <w:rFonts w:ascii="Segoe UI" w:hAnsi="Segoe UI"/>
              </w:rPr>
            </w:pPr>
            <w:r w:rsidRPr="00DE2801">
              <w:t>25 </w:t>
            </w:r>
          </w:p>
        </w:tc>
        <w:tc>
          <w:tcPr>
            <w:tcW w:w="1395" w:type="dxa"/>
            <w:vAlign w:val="center"/>
            <w:hideMark/>
          </w:tcPr>
          <w:p w14:paraId="6B270686" w14:textId="77777777" w:rsidR="00DE2801" w:rsidRPr="00DE2801" w:rsidRDefault="00DE2801" w:rsidP="00DE2801">
            <w:pPr>
              <w:pStyle w:val="TableText"/>
              <w:jc w:val="right"/>
              <w:rPr>
                <w:rFonts w:ascii="Segoe UI" w:hAnsi="Segoe UI"/>
              </w:rPr>
            </w:pPr>
            <w:r w:rsidRPr="00DE2801">
              <w:t>72 </w:t>
            </w:r>
          </w:p>
        </w:tc>
        <w:tc>
          <w:tcPr>
            <w:tcW w:w="1575" w:type="dxa"/>
            <w:vAlign w:val="center"/>
            <w:hideMark/>
          </w:tcPr>
          <w:p w14:paraId="53323625" w14:textId="77777777" w:rsidR="00DE2801" w:rsidRPr="00DE2801" w:rsidRDefault="00DE2801" w:rsidP="00DE2801">
            <w:pPr>
              <w:pStyle w:val="TableText"/>
              <w:jc w:val="right"/>
              <w:rPr>
                <w:rFonts w:ascii="Segoe UI" w:hAnsi="Segoe UI"/>
              </w:rPr>
            </w:pPr>
            <w:r w:rsidRPr="00DE2801">
              <w:t>39 </w:t>
            </w:r>
          </w:p>
        </w:tc>
        <w:tc>
          <w:tcPr>
            <w:tcW w:w="1530" w:type="dxa"/>
            <w:vAlign w:val="center"/>
            <w:hideMark/>
          </w:tcPr>
          <w:p w14:paraId="4853FFD5" w14:textId="77777777" w:rsidR="00DE2801" w:rsidRPr="00DE2801" w:rsidRDefault="00DE2801" w:rsidP="00DE2801">
            <w:pPr>
              <w:pStyle w:val="TableText"/>
              <w:jc w:val="right"/>
              <w:rPr>
                <w:rFonts w:ascii="Segoe UI" w:hAnsi="Segoe UI"/>
              </w:rPr>
            </w:pPr>
            <w:r w:rsidRPr="00DE2801">
              <w:t>78 </w:t>
            </w:r>
          </w:p>
        </w:tc>
        <w:tc>
          <w:tcPr>
            <w:tcW w:w="1530" w:type="dxa"/>
            <w:vAlign w:val="center"/>
            <w:hideMark/>
          </w:tcPr>
          <w:p w14:paraId="598A78C7" w14:textId="77777777" w:rsidR="00DE2801" w:rsidRPr="00DE2801" w:rsidRDefault="00DE2801" w:rsidP="00DE2801">
            <w:pPr>
              <w:pStyle w:val="TableText"/>
              <w:jc w:val="right"/>
              <w:rPr>
                <w:rFonts w:ascii="Segoe UI" w:hAnsi="Segoe UI"/>
              </w:rPr>
            </w:pPr>
            <w:r w:rsidRPr="00DE2801">
              <w:t>30 </w:t>
            </w:r>
          </w:p>
        </w:tc>
      </w:tr>
      <w:tr w:rsidR="00DE2801" w:rsidRPr="00DE2801" w14:paraId="11B5B0B5" w14:textId="77777777" w:rsidTr="00DE2801">
        <w:trPr>
          <w:trHeight w:val="300"/>
        </w:trPr>
        <w:tc>
          <w:tcPr>
            <w:tcW w:w="2280" w:type="dxa"/>
            <w:vAlign w:val="center"/>
            <w:hideMark/>
          </w:tcPr>
          <w:p w14:paraId="5F0322AD" w14:textId="77777777" w:rsidR="00DE2801" w:rsidRPr="00DE2801" w:rsidRDefault="00DE2801" w:rsidP="00DE2801">
            <w:pPr>
              <w:pStyle w:val="TableText"/>
              <w:rPr>
                <w:rFonts w:ascii="Segoe UI" w:hAnsi="Segoe UI"/>
              </w:rPr>
            </w:pPr>
            <w:r w:rsidRPr="00DE2801">
              <w:t>Levies Issued </w:t>
            </w:r>
          </w:p>
        </w:tc>
        <w:tc>
          <w:tcPr>
            <w:tcW w:w="1395" w:type="dxa"/>
            <w:vAlign w:val="center"/>
            <w:hideMark/>
          </w:tcPr>
          <w:p w14:paraId="16564182" w14:textId="77777777" w:rsidR="00DE2801" w:rsidRPr="00DE2801" w:rsidRDefault="00DE2801" w:rsidP="00DE2801">
            <w:pPr>
              <w:pStyle w:val="TableText"/>
              <w:jc w:val="right"/>
              <w:rPr>
                <w:rFonts w:ascii="Segoe UI" w:hAnsi="Segoe UI"/>
              </w:rPr>
            </w:pPr>
            <w:r w:rsidRPr="00DE2801">
              <w:t>5 </w:t>
            </w:r>
          </w:p>
        </w:tc>
        <w:tc>
          <w:tcPr>
            <w:tcW w:w="1395" w:type="dxa"/>
            <w:vAlign w:val="center"/>
            <w:hideMark/>
          </w:tcPr>
          <w:p w14:paraId="061BD8F8" w14:textId="77777777" w:rsidR="00DE2801" w:rsidRPr="00DE2801" w:rsidRDefault="00DE2801" w:rsidP="00DE2801">
            <w:pPr>
              <w:pStyle w:val="TableText"/>
              <w:jc w:val="right"/>
              <w:rPr>
                <w:rFonts w:ascii="Segoe UI" w:hAnsi="Segoe UI"/>
              </w:rPr>
            </w:pPr>
            <w:r w:rsidRPr="00DE2801">
              <w:t>10 </w:t>
            </w:r>
          </w:p>
        </w:tc>
        <w:tc>
          <w:tcPr>
            <w:tcW w:w="1575" w:type="dxa"/>
            <w:vAlign w:val="center"/>
            <w:hideMark/>
          </w:tcPr>
          <w:p w14:paraId="755F532B" w14:textId="77777777" w:rsidR="00DE2801" w:rsidRPr="00DE2801" w:rsidRDefault="00DE2801" w:rsidP="00DE2801">
            <w:pPr>
              <w:pStyle w:val="TableText"/>
              <w:jc w:val="right"/>
              <w:rPr>
                <w:rFonts w:ascii="Segoe UI" w:hAnsi="Segoe UI"/>
              </w:rPr>
            </w:pPr>
            <w:r w:rsidRPr="00DE2801">
              <w:t>12 </w:t>
            </w:r>
          </w:p>
        </w:tc>
        <w:tc>
          <w:tcPr>
            <w:tcW w:w="1530" w:type="dxa"/>
            <w:vAlign w:val="center"/>
            <w:hideMark/>
          </w:tcPr>
          <w:p w14:paraId="650697D9" w14:textId="77777777" w:rsidR="00DE2801" w:rsidRPr="00DE2801" w:rsidRDefault="00DE2801" w:rsidP="00DE2801">
            <w:pPr>
              <w:pStyle w:val="TableText"/>
              <w:jc w:val="right"/>
              <w:rPr>
                <w:rFonts w:ascii="Segoe UI" w:hAnsi="Segoe UI"/>
              </w:rPr>
            </w:pPr>
            <w:r w:rsidRPr="00DE2801">
              <w:t>11 </w:t>
            </w:r>
          </w:p>
        </w:tc>
        <w:tc>
          <w:tcPr>
            <w:tcW w:w="1530" w:type="dxa"/>
            <w:vAlign w:val="center"/>
            <w:hideMark/>
          </w:tcPr>
          <w:p w14:paraId="48FC4A28" w14:textId="77777777" w:rsidR="00DE2801" w:rsidRPr="00DE2801" w:rsidRDefault="00DE2801" w:rsidP="00DE2801">
            <w:pPr>
              <w:pStyle w:val="TableText"/>
              <w:jc w:val="right"/>
              <w:rPr>
                <w:rFonts w:ascii="Segoe UI" w:hAnsi="Segoe UI"/>
              </w:rPr>
            </w:pPr>
            <w:r w:rsidRPr="00DE2801">
              <w:t>5 </w:t>
            </w:r>
          </w:p>
        </w:tc>
      </w:tr>
      <w:tr w:rsidR="00DE2801" w:rsidRPr="00DE2801" w14:paraId="6A79D35E" w14:textId="77777777" w:rsidTr="00DE2801">
        <w:trPr>
          <w:trHeight w:val="300"/>
        </w:trPr>
        <w:tc>
          <w:tcPr>
            <w:tcW w:w="2280" w:type="dxa"/>
            <w:vAlign w:val="center"/>
            <w:hideMark/>
          </w:tcPr>
          <w:p w14:paraId="0248D0DF" w14:textId="77777777" w:rsidR="00DE2801" w:rsidRPr="00DE2801" w:rsidRDefault="00DE2801" w:rsidP="00DE2801">
            <w:pPr>
              <w:pStyle w:val="TableText"/>
              <w:rPr>
                <w:rFonts w:ascii="Segoe UI" w:hAnsi="Segoe UI"/>
              </w:rPr>
            </w:pPr>
            <w:r w:rsidRPr="00DE2801">
              <w:t>Warrant Holds Placed* </w:t>
            </w:r>
          </w:p>
        </w:tc>
        <w:tc>
          <w:tcPr>
            <w:tcW w:w="1395" w:type="dxa"/>
            <w:vAlign w:val="center"/>
            <w:hideMark/>
          </w:tcPr>
          <w:p w14:paraId="3E81A892" w14:textId="77777777" w:rsidR="00DE2801" w:rsidRPr="00DE2801" w:rsidRDefault="00DE2801" w:rsidP="00DE2801">
            <w:pPr>
              <w:pStyle w:val="TableText"/>
              <w:jc w:val="right"/>
              <w:rPr>
                <w:rFonts w:ascii="Segoe UI" w:hAnsi="Segoe UI"/>
              </w:rPr>
            </w:pPr>
            <w:r w:rsidRPr="00DE2801">
              <w:t>0 </w:t>
            </w:r>
          </w:p>
        </w:tc>
        <w:tc>
          <w:tcPr>
            <w:tcW w:w="1395" w:type="dxa"/>
            <w:vAlign w:val="center"/>
            <w:hideMark/>
          </w:tcPr>
          <w:p w14:paraId="0F2CAD4E" w14:textId="77777777" w:rsidR="00DE2801" w:rsidRPr="00DE2801" w:rsidRDefault="00DE2801" w:rsidP="00DE2801">
            <w:pPr>
              <w:pStyle w:val="TableText"/>
              <w:jc w:val="right"/>
              <w:rPr>
                <w:rFonts w:ascii="Segoe UI" w:hAnsi="Segoe UI"/>
              </w:rPr>
            </w:pPr>
            <w:r w:rsidRPr="00DE2801">
              <w:t>0 </w:t>
            </w:r>
          </w:p>
        </w:tc>
        <w:tc>
          <w:tcPr>
            <w:tcW w:w="1575" w:type="dxa"/>
            <w:vAlign w:val="center"/>
            <w:hideMark/>
          </w:tcPr>
          <w:p w14:paraId="40013FA9" w14:textId="77777777" w:rsidR="00DE2801" w:rsidRPr="00DE2801" w:rsidRDefault="00DE2801" w:rsidP="00DE2801">
            <w:pPr>
              <w:pStyle w:val="TableText"/>
              <w:jc w:val="right"/>
              <w:rPr>
                <w:rFonts w:ascii="Segoe UI" w:hAnsi="Segoe UI"/>
              </w:rPr>
            </w:pPr>
            <w:r w:rsidRPr="00DE2801">
              <w:t>0 </w:t>
            </w:r>
          </w:p>
        </w:tc>
        <w:tc>
          <w:tcPr>
            <w:tcW w:w="1530" w:type="dxa"/>
            <w:vAlign w:val="center"/>
            <w:hideMark/>
          </w:tcPr>
          <w:p w14:paraId="0AF40453" w14:textId="77777777" w:rsidR="00DE2801" w:rsidRPr="00DE2801" w:rsidRDefault="00DE2801" w:rsidP="00DE2801">
            <w:pPr>
              <w:pStyle w:val="TableText"/>
              <w:jc w:val="right"/>
              <w:rPr>
                <w:rFonts w:ascii="Segoe UI" w:hAnsi="Segoe UI"/>
              </w:rPr>
            </w:pPr>
            <w:r w:rsidRPr="00DE2801">
              <w:t>0 </w:t>
            </w:r>
          </w:p>
        </w:tc>
        <w:tc>
          <w:tcPr>
            <w:tcW w:w="1530" w:type="dxa"/>
            <w:vAlign w:val="center"/>
            <w:hideMark/>
          </w:tcPr>
          <w:p w14:paraId="4E569408" w14:textId="77777777" w:rsidR="00DE2801" w:rsidRPr="00DE2801" w:rsidRDefault="00DE2801" w:rsidP="00DE2801">
            <w:pPr>
              <w:pStyle w:val="TableText"/>
              <w:jc w:val="right"/>
              <w:rPr>
                <w:rFonts w:ascii="Segoe UI" w:hAnsi="Segoe UI"/>
              </w:rPr>
            </w:pPr>
            <w:r w:rsidRPr="00DE2801">
              <w:t>8 </w:t>
            </w:r>
          </w:p>
        </w:tc>
      </w:tr>
      <w:tr w:rsidR="00DE2801" w:rsidRPr="00DE2801" w14:paraId="6A4A3295" w14:textId="77777777" w:rsidTr="00DE2801">
        <w:trPr>
          <w:trHeight w:val="300"/>
        </w:trPr>
        <w:tc>
          <w:tcPr>
            <w:tcW w:w="2280" w:type="dxa"/>
            <w:vAlign w:val="center"/>
            <w:hideMark/>
          </w:tcPr>
          <w:p w14:paraId="5EAE9C88" w14:textId="77777777" w:rsidR="00DE2801" w:rsidRPr="00DE2801" w:rsidRDefault="00DE2801" w:rsidP="00DE2801">
            <w:pPr>
              <w:pStyle w:val="TableText"/>
              <w:rPr>
                <w:rFonts w:ascii="Segoe UI" w:hAnsi="Segoe UI"/>
              </w:rPr>
            </w:pPr>
            <w:r w:rsidRPr="00DE2801">
              <w:t>Amount Collected </w:t>
            </w:r>
          </w:p>
        </w:tc>
        <w:tc>
          <w:tcPr>
            <w:tcW w:w="1395" w:type="dxa"/>
            <w:vAlign w:val="center"/>
            <w:hideMark/>
          </w:tcPr>
          <w:p w14:paraId="6BB7F002" w14:textId="77777777" w:rsidR="00DE2801" w:rsidRPr="00DE2801" w:rsidRDefault="00DE2801" w:rsidP="00DE2801">
            <w:pPr>
              <w:pStyle w:val="TableText"/>
              <w:jc w:val="right"/>
              <w:rPr>
                <w:rFonts w:ascii="Segoe UI" w:hAnsi="Segoe UI"/>
              </w:rPr>
            </w:pPr>
            <w:r w:rsidRPr="00DE2801">
              <w:t>$1,998.75 </w:t>
            </w:r>
          </w:p>
        </w:tc>
        <w:tc>
          <w:tcPr>
            <w:tcW w:w="1395" w:type="dxa"/>
            <w:vAlign w:val="center"/>
            <w:hideMark/>
          </w:tcPr>
          <w:p w14:paraId="0A7F7E6E" w14:textId="77777777" w:rsidR="00DE2801" w:rsidRPr="00DE2801" w:rsidRDefault="00DE2801" w:rsidP="00DE2801">
            <w:pPr>
              <w:pStyle w:val="TableText"/>
              <w:jc w:val="right"/>
              <w:rPr>
                <w:rFonts w:ascii="Segoe UI" w:hAnsi="Segoe UI"/>
              </w:rPr>
            </w:pPr>
            <w:r w:rsidRPr="00DE2801">
              <w:t>$5,171.12 </w:t>
            </w:r>
          </w:p>
        </w:tc>
        <w:tc>
          <w:tcPr>
            <w:tcW w:w="1575" w:type="dxa"/>
            <w:vAlign w:val="center"/>
            <w:hideMark/>
          </w:tcPr>
          <w:p w14:paraId="5822059F" w14:textId="77777777" w:rsidR="00DE2801" w:rsidRPr="00DE2801" w:rsidRDefault="00DE2801" w:rsidP="00DE2801">
            <w:pPr>
              <w:pStyle w:val="TableText"/>
              <w:jc w:val="right"/>
              <w:rPr>
                <w:rFonts w:ascii="Segoe UI" w:hAnsi="Segoe UI"/>
              </w:rPr>
            </w:pPr>
            <w:r w:rsidRPr="00DE2801">
              <w:t>$24,358.37 </w:t>
            </w:r>
          </w:p>
        </w:tc>
        <w:tc>
          <w:tcPr>
            <w:tcW w:w="1530" w:type="dxa"/>
            <w:vAlign w:val="center"/>
            <w:hideMark/>
          </w:tcPr>
          <w:p w14:paraId="2C3E7F6D" w14:textId="77777777" w:rsidR="00DE2801" w:rsidRPr="00DE2801" w:rsidRDefault="00DE2801" w:rsidP="00DE2801">
            <w:pPr>
              <w:pStyle w:val="TableText"/>
              <w:jc w:val="right"/>
              <w:rPr>
                <w:rFonts w:ascii="Segoe UI" w:hAnsi="Segoe UI"/>
              </w:rPr>
            </w:pPr>
            <w:r w:rsidRPr="00DE2801">
              <w:t>$8,333.19 </w:t>
            </w:r>
          </w:p>
        </w:tc>
        <w:tc>
          <w:tcPr>
            <w:tcW w:w="1530" w:type="dxa"/>
            <w:vAlign w:val="center"/>
            <w:hideMark/>
          </w:tcPr>
          <w:p w14:paraId="74AB4A31" w14:textId="77777777" w:rsidR="00DE2801" w:rsidRPr="00DE2801" w:rsidRDefault="00DE2801" w:rsidP="00DE2801">
            <w:pPr>
              <w:pStyle w:val="TableText"/>
              <w:jc w:val="right"/>
              <w:rPr>
                <w:rFonts w:ascii="Segoe UI" w:hAnsi="Segoe UI"/>
              </w:rPr>
            </w:pPr>
            <w:r w:rsidRPr="00DE2801">
              <w:t>$6,394.91 </w:t>
            </w:r>
          </w:p>
        </w:tc>
      </w:tr>
    </w:tbl>
    <w:p w14:paraId="3D1533B2" w14:textId="77777777" w:rsidR="00DE2801" w:rsidRDefault="00DE2801" w:rsidP="00DE2801">
      <w:pPr>
        <w:pStyle w:val="BodyText"/>
      </w:pPr>
    </w:p>
    <w:tbl>
      <w:tblPr>
        <w:tblStyle w:val="TableGrid1"/>
        <w:tblW w:w="9350" w:type="dxa"/>
        <w:tblCellMar>
          <w:top w:w="58" w:type="dxa"/>
          <w:bottom w:w="58" w:type="dxa"/>
        </w:tblCellMar>
        <w:tblLook w:val="04A0" w:firstRow="1" w:lastRow="0" w:firstColumn="1" w:lastColumn="0" w:noHBand="0" w:noVBand="1"/>
      </w:tblPr>
      <w:tblGrid>
        <w:gridCol w:w="1440"/>
        <w:gridCol w:w="1593"/>
        <w:gridCol w:w="1593"/>
        <w:gridCol w:w="1593"/>
        <w:gridCol w:w="1593"/>
        <w:gridCol w:w="1538"/>
      </w:tblGrid>
      <w:tr w:rsidR="009B2315" w:rsidRPr="009B2315" w14:paraId="08B5EB05" w14:textId="77777777" w:rsidTr="001E5B03">
        <w:trPr>
          <w:trHeight w:val="300"/>
          <w:tblHeader/>
        </w:trPr>
        <w:tc>
          <w:tcPr>
            <w:tcW w:w="1705" w:type="dxa"/>
            <w:shd w:val="clear" w:color="auto" w:fill="B8CCE4" w:themeFill="accent1" w:themeFillTint="66"/>
            <w:vAlign w:val="center"/>
            <w:hideMark/>
          </w:tcPr>
          <w:p w14:paraId="17C139E8" w14:textId="4375F96A" w:rsidR="009B2315" w:rsidRPr="009B2315" w:rsidRDefault="009B2315" w:rsidP="002C7F20">
            <w:pPr>
              <w:pStyle w:val="TableHeaders"/>
              <w:rPr>
                <w:rFonts w:ascii="Segoe UI" w:hAnsi="Segoe UI"/>
                <w:b w:val="0"/>
              </w:rPr>
            </w:pPr>
            <w:r w:rsidRPr="009B2315">
              <w:t>UI Benefits Overpayment</w:t>
            </w:r>
            <w:r>
              <w:t xml:space="preserve"> </w:t>
            </w:r>
            <w:r w:rsidRPr="009B2315">
              <w:t>Collections</w:t>
            </w:r>
          </w:p>
        </w:tc>
        <w:tc>
          <w:tcPr>
            <w:tcW w:w="1324" w:type="dxa"/>
            <w:shd w:val="clear" w:color="auto" w:fill="B8CCE4" w:themeFill="accent1" w:themeFillTint="66"/>
            <w:vAlign w:val="center"/>
            <w:hideMark/>
          </w:tcPr>
          <w:p w14:paraId="5B83C428" w14:textId="1FEE3818" w:rsidR="009B2315" w:rsidRPr="009B2315" w:rsidRDefault="009B2315" w:rsidP="002C7F20">
            <w:pPr>
              <w:pStyle w:val="TableHeaders"/>
              <w:rPr>
                <w:rFonts w:ascii="Segoe UI" w:hAnsi="Segoe UI"/>
                <w:b w:val="0"/>
              </w:rPr>
            </w:pPr>
            <w:r w:rsidRPr="009B2315">
              <w:t>FY20</w:t>
            </w:r>
          </w:p>
        </w:tc>
        <w:tc>
          <w:tcPr>
            <w:tcW w:w="1593" w:type="dxa"/>
            <w:shd w:val="clear" w:color="auto" w:fill="B8CCE4" w:themeFill="accent1" w:themeFillTint="66"/>
            <w:vAlign w:val="center"/>
            <w:hideMark/>
          </w:tcPr>
          <w:p w14:paraId="1D03D4FA" w14:textId="10EAA95E" w:rsidR="009B2315" w:rsidRPr="009B2315" w:rsidRDefault="009B2315" w:rsidP="002C7F20">
            <w:pPr>
              <w:pStyle w:val="TableHeaders"/>
              <w:rPr>
                <w:rFonts w:ascii="Segoe UI" w:hAnsi="Segoe UI"/>
                <w:b w:val="0"/>
              </w:rPr>
            </w:pPr>
            <w:r w:rsidRPr="009B2315">
              <w:t>FY21</w:t>
            </w:r>
          </w:p>
        </w:tc>
        <w:tc>
          <w:tcPr>
            <w:tcW w:w="1593" w:type="dxa"/>
            <w:shd w:val="clear" w:color="auto" w:fill="B8CCE4" w:themeFill="accent1" w:themeFillTint="66"/>
            <w:vAlign w:val="center"/>
            <w:hideMark/>
          </w:tcPr>
          <w:p w14:paraId="383512B6" w14:textId="15703AEA" w:rsidR="009B2315" w:rsidRPr="009B2315" w:rsidRDefault="009B2315" w:rsidP="002C7F20">
            <w:pPr>
              <w:pStyle w:val="TableHeaders"/>
              <w:rPr>
                <w:rFonts w:ascii="Segoe UI" w:hAnsi="Segoe UI"/>
                <w:b w:val="0"/>
              </w:rPr>
            </w:pPr>
            <w:r w:rsidRPr="009B2315">
              <w:t>FY22</w:t>
            </w:r>
          </w:p>
        </w:tc>
        <w:tc>
          <w:tcPr>
            <w:tcW w:w="1593" w:type="dxa"/>
            <w:shd w:val="clear" w:color="auto" w:fill="B8CCE4" w:themeFill="accent1" w:themeFillTint="66"/>
            <w:vAlign w:val="center"/>
            <w:hideMark/>
          </w:tcPr>
          <w:p w14:paraId="28E7099D" w14:textId="0D90EC97" w:rsidR="009B2315" w:rsidRPr="009B2315" w:rsidRDefault="009B2315" w:rsidP="002C7F20">
            <w:pPr>
              <w:pStyle w:val="TableHeaders"/>
              <w:rPr>
                <w:rFonts w:ascii="Segoe UI" w:hAnsi="Segoe UI"/>
                <w:b w:val="0"/>
              </w:rPr>
            </w:pPr>
            <w:r w:rsidRPr="009B2315">
              <w:t>FY23</w:t>
            </w:r>
          </w:p>
        </w:tc>
        <w:tc>
          <w:tcPr>
            <w:tcW w:w="1542" w:type="dxa"/>
            <w:shd w:val="clear" w:color="auto" w:fill="B8CCE4" w:themeFill="accent1" w:themeFillTint="66"/>
            <w:vAlign w:val="center"/>
            <w:hideMark/>
          </w:tcPr>
          <w:p w14:paraId="3F0A4997" w14:textId="0BD11E92" w:rsidR="009B2315" w:rsidRPr="009B2315" w:rsidRDefault="009B2315" w:rsidP="002C7F20">
            <w:pPr>
              <w:pStyle w:val="TableHeaders"/>
              <w:rPr>
                <w:rFonts w:ascii="Segoe UI" w:hAnsi="Segoe UI"/>
                <w:b w:val="0"/>
              </w:rPr>
            </w:pPr>
            <w:r w:rsidRPr="009B2315">
              <w:t>FY24</w:t>
            </w:r>
          </w:p>
        </w:tc>
      </w:tr>
      <w:tr w:rsidR="009B2315" w:rsidRPr="009B2315" w14:paraId="28DFA63C" w14:textId="77777777" w:rsidTr="002C7F20">
        <w:trPr>
          <w:trHeight w:val="300"/>
        </w:trPr>
        <w:tc>
          <w:tcPr>
            <w:tcW w:w="1705" w:type="dxa"/>
            <w:vAlign w:val="center"/>
            <w:hideMark/>
          </w:tcPr>
          <w:p w14:paraId="4605C508" w14:textId="77777777" w:rsidR="009B2315" w:rsidRPr="009B2315" w:rsidRDefault="009B2315" w:rsidP="002C7F20">
            <w:pPr>
              <w:pStyle w:val="TableText"/>
              <w:rPr>
                <w:rFonts w:ascii="Segoe UI" w:hAnsi="Segoe UI"/>
              </w:rPr>
            </w:pPr>
            <w:r w:rsidRPr="009B2315">
              <w:t>Treasury Offset Program  </w:t>
            </w:r>
          </w:p>
        </w:tc>
        <w:tc>
          <w:tcPr>
            <w:tcW w:w="1324" w:type="dxa"/>
            <w:vAlign w:val="center"/>
            <w:hideMark/>
          </w:tcPr>
          <w:p w14:paraId="66648FCE" w14:textId="77777777" w:rsidR="009B2315" w:rsidRPr="009B2315" w:rsidRDefault="009B2315" w:rsidP="002C7F20">
            <w:pPr>
              <w:pStyle w:val="TableText"/>
              <w:jc w:val="right"/>
              <w:rPr>
                <w:rFonts w:ascii="Segoe UI" w:hAnsi="Segoe UI"/>
              </w:rPr>
            </w:pPr>
            <w:r w:rsidRPr="009B2315">
              <w:t>$7,248,466.51 </w:t>
            </w:r>
          </w:p>
        </w:tc>
        <w:tc>
          <w:tcPr>
            <w:tcW w:w="1593" w:type="dxa"/>
            <w:vAlign w:val="center"/>
            <w:hideMark/>
          </w:tcPr>
          <w:p w14:paraId="3AEDD21D" w14:textId="3423DC96" w:rsidR="009B2315" w:rsidRPr="009B2315" w:rsidRDefault="009B2315" w:rsidP="002C7F20">
            <w:pPr>
              <w:pStyle w:val="TableText"/>
              <w:jc w:val="right"/>
              <w:rPr>
                <w:rFonts w:ascii="Segoe UI" w:hAnsi="Segoe UI"/>
              </w:rPr>
            </w:pPr>
            <w:r w:rsidRPr="009B2315">
              <w:t>$12,766,577.60</w:t>
            </w:r>
          </w:p>
        </w:tc>
        <w:tc>
          <w:tcPr>
            <w:tcW w:w="1593" w:type="dxa"/>
            <w:vAlign w:val="center"/>
            <w:hideMark/>
          </w:tcPr>
          <w:p w14:paraId="50A27B2D" w14:textId="5ED22EA6" w:rsidR="009B2315" w:rsidRPr="009B2315" w:rsidRDefault="009B2315" w:rsidP="002C7F20">
            <w:pPr>
              <w:pStyle w:val="TableText"/>
              <w:jc w:val="right"/>
              <w:rPr>
                <w:rFonts w:ascii="Segoe UI" w:hAnsi="Segoe UI"/>
              </w:rPr>
            </w:pPr>
            <w:r w:rsidRPr="009B2315">
              <w:t>$57,842,084.75</w:t>
            </w:r>
          </w:p>
        </w:tc>
        <w:tc>
          <w:tcPr>
            <w:tcW w:w="1593" w:type="dxa"/>
            <w:vAlign w:val="center"/>
            <w:hideMark/>
          </w:tcPr>
          <w:p w14:paraId="045C429F" w14:textId="40546D12" w:rsidR="009B2315" w:rsidRPr="009B2315" w:rsidRDefault="009B2315" w:rsidP="002C7F20">
            <w:pPr>
              <w:pStyle w:val="TableText"/>
              <w:jc w:val="right"/>
              <w:rPr>
                <w:rFonts w:ascii="Segoe UI" w:hAnsi="Segoe UI"/>
              </w:rPr>
            </w:pPr>
            <w:r w:rsidRPr="009B2315">
              <w:t>$72,424,808.83</w:t>
            </w:r>
          </w:p>
        </w:tc>
        <w:tc>
          <w:tcPr>
            <w:tcW w:w="1542" w:type="dxa"/>
            <w:vAlign w:val="center"/>
            <w:hideMark/>
          </w:tcPr>
          <w:p w14:paraId="627475FF" w14:textId="01E9326B" w:rsidR="009B2315" w:rsidRPr="009B2315" w:rsidRDefault="009B2315" w:rsidP="002C7F20">
            <w:pPr>
              <w:pStyle w:val="TableText"/>
              <w:jc w:val="right"/>
              <w:rPr>
                <w:rFonts w:ascii="Segoe UI" w:hAnsi="Segoe UI"/>
              </w:rPr>
            </w:pPr>
            <w:r w:rsidRPr="009B2315">
              <w:t>$31,566,416.83</w:t>
            </w:r>
          </w:p>
        </w:tc>
      </w:tr>
      <w:tr w:rsidR="009B2315" w:rsidRPr="009B2315" w14:paraId="3124BDFC" w14:textId="77777777" w:rsidTr="002C7F20">
        <w:trPr>
          <w:trHeight w:val="300"/>
        </w:trPr>
        <w:tc>
          <w:tcPr>
            <w:tcW w:w="1705" w:type="dxa"/>
            <w:vAlign w:val="center"/>
            <w:hideMark/>
          </w:tcPr>
          <w:p w14:paraId="26F9032C" w14:textId="77777777" w:rsidR="009B2315" w:rsidRPr="009B2315" w:rsidRDefault="009B2315" w:rsidP="002C7F20">
            <w:pPr>
              <w:pStyle w:val="TableText"/>
              <w:rPr>
                <w:rFonts w:ascii="Segoe UI" w:hAnsi="Segoe UI"/>
              </w:rPr>
            </w:pPr>
            <w:r w:rsidRPr="009B2315">
              <w:t>Claimant TOP Payments </w:t>
            </w:r>
          </w:p>
        </w:tc>
        <w:tc>
          <w:tcPr>
            <w:tcW w:w="1324" w:type="dxa"/>
            <w:vAlign w:val="center"/>
            <w:hideMark/>
          </w:tcPr>
          <w:p w14:paraId="39FB6B61" w14:textId="77777777" w:rsidR="009B2315" w:rsidRPr="009B2315" w:rsidRDefault="009B2315" w:rsidP="002C7F20">
            <w:pPr>
              <w:pStyle w:val="TableText"/>
              <w:jc w:val="right"/>
              <w:rPr>
                <w:rFonts w:ascii="Segoe UI" w:hAnsi="Segoe UI"/>
              </w:rPr>
            </w:pPr>
            <w:r w:rsidRPr="009B2315">
              <w:t>$186,869.50 </w:t>
            </w:r>
          </w:p>
        </w:tc>
        <w:tc>
          <w:tcPr>
            <w:tcW w:w="1593" w:type="dxa"/>
            <w:vAlign w:val="center"/>
            <w:hideMark/>
          </w:tcPr>
          <w:p w14:paraId="7D532B25" w14:textId="77777777" w:rsidR="009B2315" w:rsidRPr="009B2315" w:rsidRDefault="009B2315" w:rsidP="002C7F20">
            <w:pPr>
              <w:pStyle w:val="TableText"/>
              <w:jc w:val="right"/>
              <w:rPr>
                <w:rFonts w:ascii="Segoe UI" w:hAnsi="Segoe UI"/>
              </w:rPr>
            </w:pPr>
            <w:r w:rsidRPr="009B2315">
              <w:t>$342,244.02 </w:t>
            </w:r>
          </w:p>
        </w:tc>
        <w:tc>
          <w:tcPr>
            <w:tcW w:w="1593" w:type="dxa"/>
            <w:vAlign w:val="center"/>
            <w:hideMark/>
          </w:tcPr>
          <w:p w14:paraId="7AAB3282" w14:textId="77777777" w:rsidR="009B2315" w:rsidRPr="009B2315" w:rsidRDefault="009B2315" w:rsidP="002C7F20">
            <w:pPr>
              <w:pStyle w:val="TableText"/>
              <w:jc w:val="right"/>
              <w:rPr>
                <w:rFonts w:ascii="Segoe UI" w:hAnsi="Segoe UI"/>
              </w:rPr>
            </w:pPr>
            <w:r w:rsidRPr="009B2315">
              <w:t>$2,367,838.48 </w:t>
            </w:r>
          </w:p>
        </w:tc>
        <w:tc>
          <w:tcPr>
            <w:tcW w:w="1593" w:type="dxa"/>
            <w:vAlign w:val="center"/>
            <w:hideMark/>
          </w:tcPr>
          <w:p w14:paraId="14BDA009" w14:textId="77777777" w:rsidR="009B2315" w:rsidRPr="009B2315" w:rsidRDefault="009B2315" w:rsidP="002C7F20">
            <w:pPr>
              <w:pStyle w:val="TableText"/>
              <w:jc w:val="right"/>
              <w:rPr>
                <w:rFonts w:ascii="Segoe UI" w:hAnsi="Segoe UI"/>
              </w:rPr>
            </w:pPr>
            <w:r w:rsidRPr="009B2315">
              <w:t>$1,658,798.82 </w:t>
            </w:r>
          </w:p>
        </w:tc>
        <w:tc>
          <w:tcPr>
            <w:tcW w:w="1542" w:type="dxa"/>
            <w:vAlign w:val="center"/>
            <w:hideMark/>
          </w:tcPr>
          <w:p w14:paraId="49B14805" w14:textId="77777777" w:rsidR="009B2315" w:rsidRPr="009B2315" w:rsidRDefault="009B2315" w:rsidP="002C7F20">
            <w:pPr>
              <w:pStyle w:val="TableText"/>
              <w:jc w:val="right"/>
              <w:rPr>
                <w:rFonts w:ascii="Segoe UI" w:hAnsi="Segoe UI"/>
              </w:rPr>
            </w:pPr>
            <w:r w:rsidRPr="009B2315">
              <w:t>$575,439.12 </w:t>
            </w:r>
          </w:p>
        </w:tc>
      </w:tr>
      <w:tr w:rsidR="009B2315" w:rsidRPr="009B2315" w14:paraId="17B6CEF5" w14:textId="77777777" w:rsidTr="002C7F20">
        <w:trPr>
          <w:trHeight w:val="300"/>
        </w:trPr>
        <w:tc>
          <w:tcPr>
            <w:tcW w:w="1705" w:type="dxa"/>
            <w:vAlign w:val="center"/>
            <w:hideMark/>
          </w:tcPr>
          <w:p w14:paraId="6999420A" w14:textId="77777777" w:rsidR="009B2315" w:rsidRPr="009B2315" w:rsidRDefault="009B2315" w:rsidP="002C7F20">
            <w:pPr>
              <w:pStyle w:val="TableText"/>
              <w:rPr>
                <w:rFonts w:ascii="Segoe UI" w:hAnsi="Segoe UI"/>
              </w:rPr>
            </w:pPr>
            <w:r w:rsidRPr="009B2315">
              <w:t>Warrant Hold Offsets </w:t>
            </w:r>
          </w:p>
        </w:tc>
        <w:tc>
          <w:tcPr>
            <w:tcW w:w="1324" w:type="dxa"/>
            <w:vAlign w:val="center"/>
            <w:hideMark/>
          </w:tcPr>
          <w:p w14:paraId="37875D23" w14:textId="77777777" w:rsidR="009B2315" w:rsidRPr="009B2315" w:rsidRDefault="009B2315" w:rsidP="002C7F20">
            <w:pPr>
              <w:pStyle w:val="TableText"/>
              <w:jc w:val="right"/>
              <w:rPr>
                <w:rFonts w:ascii="Segoe UI" w:hAnsi="Segoe UI"/>
              </w:rPr>
            </w:pPr>
            <w:r w:rsidRPr="009B2315">
              <w:t>$534,869.68 </w:t>
            </w:r>
          </w:p>
        </w:tc>
        <w:tc>
          <w:tcPr>
            <w:tcW w:w="1593" w:type="dxa"/>
            <w:vAlign w:val="center"/>
            <w:hideMark/>
          </w:tcPr>
          <w:p w14:paraId="5F0CE9F2" w14:textId="77777777" w:rsidR="009B2315" w:rsidRPr="009B2315" w:rsidRDefault="009B2315" w:rsidP="002C7F20">
            <w:pPr>
              <w:pStyle w:val="TableText"/>
              <w:jc w:val="right"/>
              <w:rPr>
                <w:rFonts w:ascii="Segoe UI" w:hAnsi="Segoe UI"/>
              </w:rPr>
            </w:pPr>
            <w:r w:rsidRPr="009B2315">
              <w:t>$856,024.08 </w:t>
            </w:r>
          </w:p>
        </w:tc>
        <w:tc>
          <w:tcPr>
            <w:tcW w:w="1593" w:type="dxa"/>
            <w:vAlign w:val="center"/>
            <w:hideMark/>
          </w:tcPr>
          <w:p w14:paraId="0D77C7C7" w14:textId="77777777" w:rsidR="009B2315" w:rsidRPr="009B2315" w:rsidRDefault="009B2315" w:rsidP="002C7F20">
            <w:pPr>
              <w:pStyle w:val="TableText"/>
              <w:jc w:val="right"/>
              <w:rPr>
                <w:rFonts w:ascii="Segoe UI" w:hAnsi="Segoe UI"/>
              </w:rPr>
            </w:pPr>
            <w:r w:rsidRPr="009B2315">
              <w:t>$2,906,415.08 </w:t>
            </w:r>
          </w:p>
        </w:tc>
        <w:tc>
          <w:tcPr>
            <w:tcW w:w="1593" w:type="dxa"/>
            <w:vAlign w:val="center"/>
            <w:hideMark/>
          </w:tcPr>
          <w:p w14:paraId="4737CF1F" w14:textId="77777777" w:rsidR="009B2315" w:rsidRPr="009B2315" w:rsidRDefault="009B2315" w:rsidP="002C7F20">
            <w:pPr>
              <w:pStyle w:val="TableText"/>
              <w:jc w:val="right"/>
              <w:rPr>
                <w:rFonts w:ascii="Segoe UI" w:hAnsi="Segoe UI"/>
              </w:rPr>
            </w:pPr>
            <w:r w:rsidRPr="009B2315">
              <w:t>$3,263,942.80 </w:t>
            </w:r>
          </w:p>
        </w:tc>
        <w:tc>
          <w:tcPr>
            <w:tcW w:w="1542" w:type="dxa"/>
            <w:vAlign w:val="center"/>
            <w:hideMark/>
          </w:tcPr>
          <w:p w14:paraId="4311AA15" w14:textId="77777777" w:rsidR="009B2315" w:rsidRPr="009B2315" w:rsidRDefault="009B2315" w:rsidP="002C7F20">
            <w:pPr>
              <w:pStyle w:val="TableText"/>
              <w:jc w:val="right"/>
              <w:rPr>
                <w:rFonts w:ascii="Segoe UI" w:hAnsi="Segoe UI"/>
              </w:rPr>
            </w:pPr>
            <w:r w:rsidRPr="009B2315">
              <w:t>$3,276,836.73 </w:t>
            </w:r>
          </w:p>
        </w:tc>
      </w:tr>
      <w:tr w:rsidR="009B2315" w:rsidRPr="009B2315" w14:paraId="5AEE144C" w14:textId="77777777" w:rsidTr="002C7F20">
        <w:trPr>
          <w:trHeight w:val="300"/>
        </w:trPr>
        <w:tc>
          <w:tcPr>
            <w:tcW w:w="1705" w:type="dxa"/>
            <w:vAlign w:val="center"/>
            <w:hideMark/>
          </w:tcPr>
          <w:p w14:paraId="5B2E52FC" w14:textId="77777777" w:rsidR="009B2315" w:rsidRPr="009B2315" w:rsidRDefault="009B2315" w:rsidP="002C7F20">
            <w:pPr>
              <w:pStyle w:val="TableText"/>
              <w:rPr>
                <w:rFonts w:ascii="Segoe UI" w:hAnsi="Segoe UI"/>
              </w:rPr>
            </w:pPr>
            <w:r w:rsidRPr="009B2315">
              <w:lastRenderedPageBreak/>
              <w:t>Benefit Offsets </w:t>
            </w:r>
          </w:p>
        </w:tc>
        <w:tc>
          <w:tcPr>
            <w:tcW w:w="1324" w:type="dxa"/>
            <w:vAlign w:val="center"/>
            <w:hideMark/>
          </w:tcPr>
          <w:p w14:paraId="1B32806A" w14:textId="77777777" w:rsidR="009B2315" w:rsidRPr="009B2315" w:rsidRDefault="009B2315" w:rsidP="002C7F20">
            <w:pPr>
              <w:pStyle w:val="TableText"/>
              <w:jc w:val="right"/>
              <w:rPr>
                <w:rFonts w:ascii="Segoe UI" w:hAnsi="Segoe UI"/>
              </w:rPr>
            </w:pPr>
            <w:r w:rsidRPr="009B2315">
              <w:t>$23,447,597.00 </w:t>
            </w:r>
          </w:p>
        </w:tc>
        <w:tc>
          <w:tcPr>
            <w:tcW w:w="1593" w:type="dxa"/>
            <w:vAlign w:val="center"/>
            <w:hideMark/>
          </w:tcPr>
          <w:p w14:paraId="7B752770" w14:textId="77777777" w:rsidR="009B2315" w:rsidRPr="009B2315" w:rsidRDefault="009B2315" w:rsidP="002C7F20">
            <w:pPr>
              <w:pStyle w:val="TableText"/>
              <w:jc w:val="right"/>
              <w:rPr>
                <w:rFonts w:ascii="Segoe UI" w:hAnsi="Segoe UI"/>
              </w:rPr>
            </w:pPr>
            <w:r w:rsidRPr="009B2315">
              <w:t>$75,003,258.00 </w:t>
            </w:r>
          </w:p>
        </w:tc>
        <w:tc>
          <w:tcPr>
            <w:tcW w:w="1593" w:type="dxa"/>
            <w:vAlign w:val="center"/>
            <w:hideMark/>
          </w:tcPr>
          <w:p w14:paraId="5876F816" w14:textId="77777777" w:rsidR="009B2315" w:rsidRPr="009B2315" w:rsidRDefault="009B2315" w:rsidP="002C7F20">
            <w:pPr>
              <w:pStyle w:val="TableText"/>
              <w:jc w:val="right"/>
              <w:rPr>
                <w:rFonts w:ascii="Segoe UI" w:hAnsi="Segoe UI"/>
              </w:rPr>
            </w:pPr>
            <w:r w:rsidRPr="009B2315">
              <w:t>$48,186,610.00 </w:t>
            </w:r>
          </w:p>
        </w:tc>
        <w:tc>
          <w:tcPr>
            <w:tcW w:w="1593" w:type="dxa"/>
            <w:vAlign w:val="center"/>
            <w:hideMark/>
          </w:tcPr>
          <w:p w14:paraId="67183C55" w14:textId="77777777" w:rsidR="009B2315" w:rsidRPr="009B2315" w:rsidRDefault="009B2315" w:rsidP="002C7F20">
            <w:pPr>
              <w:pStyle w:val="TableText"/>
              <w:jc w:val="right"/>
              <w:rPr>
                <w:rFonts w:ascii="Segoe UI" w:hAnsi="Segoe UI"/>
              </w:rPr>
            </w:pPr>
            <w:r w:rsidRPr="009B2315">
              <w:t>$51,017,404.00 </w:t>
            </w:r>
          </w:p>
        </w:tc>
        <w:tc>
          <w:tcPr>
            <w:tcW w:w="1542" w:type="dxa"/>
            <w:vAlign w:val="center"/>
            <w:hideMark/>
          </w:tcPr>
          <w:p w14:paraId="27CF68A4" w14:textId="6A3FF568" w:rsidR="009B2315" w:rsidRPr="009B2315" w:rsidRDefault="009B2315" w:rsidP="002C7F20">
            <w:pPr>
              <w:pStyle w:val="TableText"/>
              <w:jc w:val="right"/>
              <w:rPr>
                <w:rFonts w:ascii="Segoe UI" w:hAnsi="Segoe UI"/>
              </w:rPr>
            </w:pPr>
            <w:r w:rsidRPr="009B2315">
              <w:t>$56,436,752.00</w:t>
            </w:r>
          </w:p>
        </w:tc>
      </w:tr>
    </w:tbl>
    <w:p w14:paraId="7C9842F8" w14:textId="77777777" w:rsidR="001C04E8" w:rsidRDefault="001C04E8" w:rsidP="00DE2801">
      <w:pPr>
        <w:pStyle w:val="BodyText"/>
      </w:pPr>
    </w:p>
    <w:tbl>
      <w:tblPr>
        <w:tblStyle w:val="TableGrid1"/>
        <w:tblW w:w="9350" w:type="dxa"/>
        <w:tblCellMar>
          <w:top w:w="58" w:type="dxa"/>
          <w:bottom w:w="58" w:type="dxa"/>
        </w:tblCellMar>
        <w:tblLook w:val="04A0" w:firstRow="1" w:lastRow="0" w:firstColumn="1" w:lastColumn="0" w:noHBand="0" w:noVBand="1"/>
      </w:tblPr>
      <w:tblGrid>
        <w:gridCol w:w="1385"/>
        <w:gridCol w:w="1593"/>
        <w:gridCol w:w="1593"/>
        <w:gridCol w:w="1593"/>
        <w:gridCol w:w="1593"/>
        <w:gridCol w:w="1593"/>
      </w:tblGrid>
      <w:tr w:rsidR="00BD2DBF" w:rsidRPr="00BD2DBF" w14:paraId="5B3BA6BD" w14:textId="77777777" w:rsidTr="00C4224A">
        <w:trPr>
          <w:trHeight w:val="300"/>
        </w:trPr>
        <w:tc>
          <w:tcPr>
            <w:tcW w:w="2065" w:type="dxa"/>
            <w:shd w:val="clear" w:color="auto" w:fill="B8CCE4" w:themeFill="accent1" w:themeFillTint="66"/>
            <w:vAlign w:val="center"/>
            <w:hideMark/>
          </w:tcPr>
          <w:p w14:paraId="3A0F5CFB" w14:textId="72C0DB0E" w:rsidR="00BD2DBF" w:rsidRPr="00BD2DBF" w:rsidRDefault="00BD2DBF" w:rsidP="00BD2DBF">
            <w:pPr>
              <w:pStyle w:val="TableHeaders"/>
              <w:rPr>
                <w:rFonts w:ascii="Segoe UI" w:hAnsi="Segoe UI"/>
                <w:b w:val="0"/>
              </w:rPr>
            </w:pPr>
            <w:r w:rsidRPr="00BD2DBF">
              <w:t>UI Employer Collections</w:t>
            </w:r>
          </w:p>
        </w:tc>
        <w:tc>
          <w:tcPr>
            <w:tcW w:w="904" w:type="dxa"/>
            <w:shd w:val="clear" w:color="auto" w:fill="B8CCE4" w:themeFill="accent1" w:themeFillTint="66"/>
            <w:vAlign w:val="center"/>
            <w:hideMark/>
          </w:tcPr>
          <w:p w14:paraId="7A6EE079" w14:textId="6BA09734" w:rsidR="00BD2DBF" w:rsidRPr="00BD2DBF" w:rsidRDefault="00BD2DBF" w:rsidP="00BD2DBF">
            <w:pPr>
              <w:pStyle w:val="TableHeaders"/>
              <w:rPr>
                <w:rFonts w:ascii="Segoe UI" w:hAnsi="Segoe UI"/>
                <w:b w:val="0"/>
              </w:rPr>
            </w:pPr>
            <w:r w:rsidRPr="00BD2DBF">
              <w:t>FY20</w:t>
            </w:r>
          </w:p>
        </w:tc>
        <w:tc>
          <w:tcPr>
            <w:tcW w:w="1593" w:type="dxa"/>
            <w:shd w:val="clear" w:color="auto" w:fill="B8CCE4" w:themeFill="accent1" w:themeFillTint="66"/>
            <w:vAlign w:val="center"/>
            <w:hideMark/>
          </w:tcPr>
          <w:p w14:paraId="0AA67341" w14:textId="0AD58E1F" w:rsidR="00BD2DBF" w:rsidRPr="00BD2DBF" w:rsidRDefault="00BD2DBF" w:rsidP="00BD2DBF">
            <w:pPr>
              <w:pStyle w:val="TableHeaders"/>
              <w:rPr>
                <w:rFonts w:ascii="Segoe UI" w:hAnsi="Segoe UI"/>
                <w:b w:val="0"/>
              </w:rPr>
            </w:pPr>
            <w:r w:rsidRPr="00BD2DBF">
              <w:t>FY21</w:t>
            </w:r>
          </w:p>
        </w:tc>
        <w:tc>
          <w:tcPr>
            <w:tcW w:w="1594" w:type="dxa"/>
            <w:shd w:val="clear" w:color="auto" w:fill="B8CCE4" w:themeFill="accent1" w:themeFillTint="66"/>
            <w:vAlign w:val="center"/>
            <w:hideMark/>
          </w:tcPr>
          <w:p w14:paraId="2EA02A4E" w14:textId="3DB9E1DA" w:rsidR="00BD2DBF" w:rsidRPr="00BD2DBF" w:rsidRDefault="00BD2DBF" w:rsidP="00BD2DBF">
            <w:pPr>
              <w:pStyle w:val="TableHeaders"/>
              <w:rPr>
                <w:rFonts w:ascii="Segoe UI" w:hAnsi="Segoe UI"/>
                <w:b w:val="0"/>
              </w:rPr>
            </w:pPr>
            <w:r w:rsidRPr="00BD2DBF">
              <w:t>FY22</w:t>
            </w:r>
          </w:p>
        </w:tc>
        <w:tc>
          <w:tcPr>
            <w:tcW w:w="1593" w:type="dxa"/>
            <w:shd w:val="clear" w:color="auto" w:fill="B8CCE4" w:themeFill="accent1" w:themeFillTint="66"/>
            <w:vAlign w:val="center"/>
            <w:hideMark/>
          </w:tcPr>
          <w:p w14:paraId="5183B3D3" w14:textId="1F1A3094" w:rsidR="00BD2DBF" w:rsidRPr="00BD2DBF" w:rsidRDefault="00BD2DBF" w:rsidP="00BD2DBF">
            <w:pPr>
              <w:pStyle w:val="TableHeaders"/>
              <w:rPr>
                <w:rFonts w:ascii="Segoe UI" w:hAnsi="Segoe UI"/>
                <w:b w:val="0"/>
              </w:rPr>
            </w:pPr>
            <w:r w:rsidRPr="00BD2DBF">
              <w:t>FY23</w:t>
            </w:r>
          </w:p>
        </w:tc>
        <w:tc>
          <w:tcPr>
            <w:tcW w:w="1601" w:type="dxa"/>
            <w:shd w:val="clear" w:color="auto" w:fill="B8CCE4" w:themeFill="accent1" w:themeFillTint="66"/>
            <w:vAlign w:val="center"/>
            <w:hideMark/>
          </w:tcPr>
          <w:p w14:paraId="4496760D" w14:textId="4AC66313" w:rsidR="00BD2DBF" w:rsidRPr="00BD2DBF" w:rsidRDefault="00BD2DBF" w:rsidP="00BD2DBF">
            <w:pPr>
              <w:pStyle w:val="TableHeaders"/>
              <w:rPr>
                <w:rFonts w:ascii="Segoe UI" w:hAnsi="Segoe UI"/>
                <w:b w:val="0"/>
              </w:rPr>
            </w:pPr>
            <w:r w:rsidRPr="00BD2DBF">
              <w:t>FY24</w:t>
            </w:r>
          </w:p>
        </w:tc>
      </w:tr>
      <w:tr w:rsidR="00C4224A" w:rsidRPr="00BD2DBF" w14:paraId="23582824" w14:textId="77777777" w:rsidTr="00C4224A">
        <w:trPr>
          <w:trHeight w:val="300"/>
        </w:trPr>
        <w:tc>
          <w:tcPr>
            <w:tcW w:w="2065" w:type="dxa"/>
            <w:vAlign w:val="center"/>
            <w:hideMark/>
          </w:tcPr>
          <w:p w14:paraId="1A788E95" w14:textId="77777777" w:rsidR="00BD2DBF" w:rsidRPr="00BD2DBF" w:rsidRDefault="00BD2DBF" w:rsidP="00C4224A">
            <w:pPr>
              <w:pStyle w:val="TableText"/>
              <w:rPr>
                <w:rFonts w:ascii="Segoe UI" w:hAnsi="Segoe UI"/>
              </w:rPr>
            </w:pPr>
            <w:r w:rsidRPr="00BD2DBF">
              <w:t>Liens Filed </w:t>
            </w:r>
          </w:p>
        </w:tc>
        <w:tc>
          <w:tcPr>
            <w:tcW w:w="904" w:type="dxa"/>
            <w:vAlign w:val="center"/>
            <w:hideMark/>
          </w:tcPr>
          <w:p w14:paraId="1E02AF84" w14:textId="77777777" w:rsidR="00BD2DBF" w:rsidRPr="00BD2DBF" w:rsidRDefault="00BD2DBF" w:rsidP="00C4224A">
            <w:pPr>
              <w:pStyle w:val="TableText"/>
              <w:jc w:val="right"/>
              <w:rPr>
                <w:rFonts w:ascii="Segoe UI" w:hAnsi="Segoe UI"/>
              </w:rPr>
            </w:pPr>
            <w:r w:rsidRPr="00BD2DBF">
              <w:t>3,667 </w:t>
            </w:r>
          </w:p>
        </w:tc>
        <w:tc>
          <w:tcPr>
            <w:tcW w:w="1593" w:type="dxa"/>
            <w:vAlign w:val="center"/>
            <w:hideMark/>
          </w:tcPr>
          <w:p w14:paraId="68141612" w14:textId="77777777" w:rsidR="00BD2DBF" w:rsidRPr="00BD2DBF" w:rsidRDefault="00BD2DBF" w:rsidP="00C4224A">
            <w:pPr>
              <w:pStyle w:val="TableText"/>
              <w:jc w:val="right"/>
              <w:rPr>
                <w:rFonts w:ascii="Segoe UI" w:hAnsi="Segoe UI"/>
              </w:rPr>
            </w:pPr>
            <w:r w:rsidRPr="00BD2DBF">
              <w:t>4,440 </w:t>
            </w:r>
          </w:p>
        </w:tc>
        <w:tc>
          <w:tcPr>
            <w:tcW w:w="1594" w:type="dxa"/>
            <w:vAlign w:val="center"/>
            <w:hideMark/>
          </w:tcPr>
          <w:p w14:paraId="659F9671" w14:textId="77777777" w:rsidR="00BD2DBF" w:rsidRPr="00BD2DBF" w:rsidRDefault="00BD2DBF" w:rsidP="00C4224A">
            <w:pPr>
              <w:pStyle w:val="TableText"/>
              <w:jc w:val="right"/>
              <w:rPr>
                <w:rFonts w:ascii="Segoe UI" w:hAnsi="Segoe UI"/>
              </w:rPr>
            </w:pPr>
            <w:r w:rsidRPr="00BD2DBF">
              <w:t>6,239 </w:t>
            </w:r>
          </w:p>
        </w:tc>
        <w:tc>
          <w:tcPr>
            <w:tcW w:w="1593" w:type="dxa"/>
            <w:vAlign w:val="center"/>
            <w:hideMark/>
          </w:tcPr>
          <w:p w14:paraId="365B4817" w14:textId="77777777" w:rsidR="00BD2DBF" w:rsidRPr="00BD2DBF" w:rsidRDefault="00BD2DBF" w:rsidP="00C4224A">
            <w:pPr>
              <w:pStyle w:val="TableText"/>
              <w:jc w:val="right"/>
              <w:rPr>
                <w:rFonts w:ascii="Segoe UI" w:hAnsi="Segoe UI"/>
              </w:rPr>
            </w:pPr>
            <w:r w:rsidRPr="00BD2DBF">
              <w:t>7,083 </w:t>
            </w:r>
          </w:p>
        </w:tc>
        <w:tc>
          <w:tcPr>
            <w:tcW w:w="1601" w:type="dxa"/>
            <w:vAlign w:val="center"/>
            <w:hideMark/>
          </w:tcPr>
          <w:p w14:paraId="66E9686E" w14:textId="77777777" w:rsidR="00BD2DBF" w:rsidRPr="00BD2DBF" w:rsidRDefault="00BD2DBF" w:rsidP="00C4224A">
            <w:pPr>
              <w:pStyle w:val="TableText"/>
              <w:jc w:val="right"/>
              <w:rPr>
                <w:rFonts w:ascii="Segoe UI" w:hAnsi="Segoe UI"/>
              </w:rPr>
            </w:pPr>
            <w:r w:rsidRPr="00BD2DBF">
              <w:t>8,053 </w:t>
            </w:r>
          </w:p>
        </w:tc>
      </w:tr>
      <w:tr w:rsidR="00C4224A" w:rsidRPr="00BD2DBF" w14:paraId="2350199D" w14:textId="77777777" w:rsidTr="00C4224A">
        <w:trPr>
          <w:trHeight w:val="300"/>
        </w:trPr>
        <w:tc>
          <w:tcPr>
            <w:tcW w:w="2065" w:type="dxa"/>
            <w:vAlign w:val="center"/>
            <w:hideMark/>
          </w:tcPr>
          <w:p w14:paraId="0808C14D" w14:textId="77777777" w:rsidR="00BD2DBF" w:rsidRPr="00BD2DBF" w:rsidRDefault="00BD2DBF" w:rsidP="00C4224A">
            <w:pPr>
              <w:pStyle w:val="TableText"/>
              <w:rPr>
                <w:rFonts w:ascii="Segoe UI" w:hAnsi="Segoe UI"/>
              </w:rPr>
            </w:pPr>
            <w:r w:rsidRPr="00BD2DBF">
              <w:t>Assessments Issued </w:t>
            </w:r>
          </w:p>
        </w:tc>
        <w:tc>
          <w:tcPr>
            <w:tcW w:w="904" w:type="dxa"/>
            <w:vAlign w:val="center"/>
            <w:hideMark/>
          </w:tcPr>
          <w:p w14:paraId="52EC60BE" w14:textId="77777777" w:rsidR="00BD2DBF" w:rsidRPr="00BD2DBF" w:rsidRDefault="00BD2DBF" w:rsidP="00C4224A">
            <w:pPr>
              <w:pStyle w:val="TableText"/>
              <w:jc w:val="right"/>
              <w:rPr>
                <w:rFonts w:ascii="Segoe UI" w:hAnsi="Segoe UI"/>
              </w:rPr>
            </w:pPr>
            <w:r w:rsidRPr="00BD2DBF">
              <w:t>308 </w:t>
            </w:r>
          </w:p>
        </w:tc>
        <w:tc>
          <w:tcPr>
            <w:tcW w:w="1593" w:type="dxa"/>
            <w:vAlign w:val="center"/>
            <w:hideMark/>
          </w:tcPr>
          <w:p w14:paraId="51483496" w14:textId="77777777" w:rsidR="00BD2DBF" w:rsidRPr="00BD2DBF" w:rsidRDefault="00BD2DBF" w:rsidP="00C4224A">
            <w:pPr>
              <w:pStyle w:val="TableText"/>
              <w:jc w:val="right"/>
              <w:rPr>
                <w:rFonts w:ascii="Segoe UI" w:hAnsi="Segoe UI"/>
              </w:rPr>
            </w:pPr>
            <w:r w:rsidRPr="00BD2DBF">
              <w:t>374 </w:t>
            </w:r>
          </w:p>
        </w:tc>
        <w:tc>
          <w:tcPr>
            <w:tcW w:w="1594" w:type="dxa"/>
            <w:vAlign w:val="center"/>
            <w:hideMark/>
          </w:tcPr>
          <w:p w14:paraId="5A1636FB" w14:textId="77777777" w:rsidR="00BD2DBF" w:rsidRPr="00BD2DBF" w:rsidRDefault="00BD2DBF" w:rsidP="00C4224A">
            <w:pPr>
              <w:pStyle w:val="TableText"/>
              <w:jc w:val="right"/>
              <w:rPr>
                <w:rFonts w:ascii="Segoe UI" w:hAnsi="Segoe UI"/>
              </w:rPr>
            </w:pPr>
            <w:r w:rsidRPr="00BD2DBF">
              <w:t>472 </w:t>
            </w:r>
          </w:p>
        </w:tc>
        <w:tc>
          <w:tcPr>
            <w:tcW w:w="1593" w:type="dxa"/>
            <w:vAlign w:val="center"/>
            <w:hideMark/>
          </w:tcPr>
          <w:p w14:paraId="214828E1" w14:textId="77777777" w:rsidR="00BD2DBF" w:rsidRPr="00BD2DBF" w:rsidRDefault="00BD2DBF" w:rsidP="00C4224A">
            <w:pPr>
              <w:pStyle w:val="TableText"/>
              <w:jc w:val="right"/>
              <w:rPr>
                <w:rFonts w:ascii="Segoe UI" w:hAnsi="Segoe UI"/>
              </w:rPr>
            </w:pPr>
            <w:r w:rsidRPr="00BD2DBF">
              <w:t>151 </w:t>
            </w:r>
          </w:p>
        </w:tc>
        <w:tc>
          <w:tcPr>
            <w:tcW w:w="1601" w:type="dxa"/>
            <w:vAlign w:val="center"/>
            <w:hideMark/>
          </w:tcPr>
          <w:p w14:paraId="68551694" w14:textId="77777777" w:rsidR="00BD2DBF" w:rsidRPr="00BD2DBF" w:rsidRDefault="00BD2DBF" w:rsidP="00C4224A">
            <w:pPr>
              <w:pStyle w:val="TableText"/>
              <w:jc w:val="right"/>
              <w:rPr>
                <w:rFonts w:ascii="Segoe UI" w:hAnsi="Segoe UI"/>
              </w:rPr>
            </w:pPr>
            <w:r w:rsidRPr="00BD2DBF">
              <w:t>585 </w:t>
            </w:r>
          </w:p>
        </w:tc>
      </w:tr>
      <w:tr w:rsidR="00C4224A" w:rsidRPr="00BD2DBF" w14:paraId="5B14D297" w14:textId="77777777" w:rsidTr="00C4224A">
        <w:trPr>
          <w:trHeight w:val="300"/>
        </w:trPr>
        <w:tc>
          <w:tcPr>
            <w:tcW w:w="2065" w:type="dxa"/>
            <w:vAlign w:val="center"/>
            <w:hideMark/>
          </w:tcPr>
          <w:p w14:paraId="52F35A73" w14:textId="77777777" w:rsidR="00BD2DBF" w:rsidRPr="00BD2DBF" w:rsidRDefault="00BD2DBF" w:rsidP="00C4224A">
            <w:pPr>
              <w:pStyle w:val="TableText"/>
              <w:rPr>
                <w:rFonts w:ascii="Segoe UI" w:hAnsi="Segoe UI"/>
              </w:rPr>
            </w:pPr>
            <w:r w:rsidRPr="00BD2DBF">
              <w:t>Bank Freezes Issued </w:t>
            </w:r>
          </w:p>
        </w:tc>
        <w:tc>
          <w:tcPr>
            <w:tcW w:w="904" w:type="dxa"/>
            <w:vAlign w:val="center"/>
            <w:hideMark/>
          </w:tcPr>
          <w:p w14:paraId="5CE1D361" w14:textId="77777777" w:rsidR="00BD2DBF" w:rsidRPr="00BD2DBF" w:rsidRDefault="00BD2DBF" w:rsidP="00C4224A">
            <w:pPr>
              <w:pStyle w:val="TableText"/>
              <w:jc w:val="right"/>
              <w:rPr>
                <w:rFonts w:ascii="Segoe UI" w:hAnsi="Segoe UI"/>
              </w:rPr>
            </w:pPr>
            <w:r w:rsidRPr="00BD2DBF">
              <w:t>726 </w:t>
            </w:r>
          </w:p>
        </w:tc>
        <w:tc>
          <w:tcPr>
            <w:tcW w:w="1593" w:type="dxa"/>
            <w:vAlign w:val="center"/>
            <w:hideMark/>
          </w:tcPr>
          <w:p w14:paraId="5E7715C4" w14:textId="77777777" w:rsidR="00BD2DBF" w:rsidRPr="00BD2DBF" w:rsidRDefault="00BD2DBF" w:rsidP="00C4224A">
            <w:pPr>
              <w:pStyle w:val="TableText"/>
              <w:jc w:val="right"/>
              <w:rPr>
                <w:rFonts w:ascii="Segoe UI" w:hAnsi="Segoe UI"/>
              </w:rPr>
            </w:pPr>
            <w:r w:rsidRPr="00BD2DBF">
              <w:t>2,545 </w:t>
            </w:r>
          </w:p>
        </w:tc>
        <w:tc>
          <w:tcPr>
            <w:tcW w:w="1594" w:type="dxa"/>
            <w:vAlign w:val="center"/>
            <w:hideMark/>
          </w:tcPr>
          <w:p w14:paraId="198ADEC4" w14:textId="77777777" w:rsidR="00BD2DBF" w:rsidRPr="00BD2DBF" w:rsidRDefault="00BD2DBF" w:rsidP="00C4224A">
            <w:pPr>
              <w:pStyle w:val="TableText"/>
              <w:jc w:val="right"/>
              <w:rPr>
                <w:rFonts w:ascii="Segoe UI" w:hAnsi="Segoe UI"/>
              </w:rPr>
            </w:pPr>
            <w:r w:rsidRPr="00BD2DBF">
              <w:t>2,345 </w:t>
            </w:r>
          </w:p>
        </w:tc>
        <w:tc>
          <w:tcPr>
            <w:tcW w:w="1593" w:type="dxa"/>
            <w:vAlign w:val="center"/>
            <w:hideMark/>
          </w:tcPr>
          <w:p w14:paraId="7F90C184" w14:textId="77777777" w:rsidR="00BD2DBF" w:rsidRPr="00BD2DBF" w:rsidRDefault="00BD2DBF" w:rsidP="00C4224A">
            <w:pPr>
              <w:pStyle w:val="TableText"/>
              <w:jc w:val="right"/>
              <w:rPr>
                <w:rFonts w:ascii="Segoe UI" w:hAnsi="Segoe UI"/>
              </w:rPr>
            </w:pPr>
            <w:r w:rsidRPr="00BD2DBF">
              <w:t>395 </w:t>
            </w:r>
          </w:p>
        </w:tc>
        <w:tc>
          <w:tcPr>
            <w:tcW w:w="1601" w:type="dxa"/>
            <w:vAlign w:val="center"/>
            <w:hideMark/>
          </w:tcPr>
          <w:p w14:paraId="6F5CED9F" w14:textId="77777777" w:rsidR="00BD2DBF" w:rsidRPr="00BD2DBF" w:rsidRDefault="00BD2DBF" w:rsidP="00C4224A">
            <w:pPr>
              <w:pStyle w:val="TableText"/>
              <w:jc w:val="right"/>
              <w:rPr>
                <w:rFonts w:ascii="Segoe UI" w:hAnsi="Segoe UI"/>
              </w:rPr>
            </w:pPr>
            <w:r w:rsidRPr="00BD2DBF">
              <w:t>468 </w:t>
            </w:r>
          </w:p>
        </w:tc>
      </w:tr>
      <w:tr w:rsidR="00C4224A" w:rsidRPr="00BD2DBF" w14:paraId="17CED1E4" w14:textId="77777777" w:rsidTr="00C4224A">
        <w:trPr>
          <w:trHeight w:val="300"/>
        </w:trPr>
        <w:tc>
          <w:tcPr>
            <w:tcW w:w="2065" w:type="dxa"/>
            <w:vAlign w:val="center"/>
            <w:hideMark/>
          </w:tcPr>
          <w:p w14:paraId="48DFBF00" w14:textId="77777777" w:rsidR="00BD2DBF" w:rsidRPr="00BD2DBF" w:rsidRDefault="00BD2DBF" w:rsidP="00C4224A">
            <w:pPr>
              <w:pStyle w:val="TableText"/>
              <w:rPr>
                <w:rFonts w:ascii="Segoe UI" w:hAnsi="Segoe UI"/>
              </w:rPr>
            </w:pPr>
            <w:r w:rsidRPr="00BD2DBF">
              <w:t>Funds Captured from Collection </w:t>
            </w:r>
          </w:p>
        </w:tc>
        <w:tc>
          <w:tcPr>
            <w:tcW w:w="904" w:type="dxa"/>
            <w:vAlign w:val="center"/>
            <w:hideMark/>
          </w:tcPr>
          <w:p w14:paraId="4AAF3C2A" w14:textId="77777777" w:rsidR="00BD2DBF" w:rsidRPr="00BD2DBF" w:rsidRDefault="00BD2DBF" w:rsidP="00C4224A">
            <w:pPr>
              <w:pStyle w:val="TableText"/>
              <w:jc w:val="right"/>
              <w:rPr>
                <w:rFonts w:ascii="Segoe UI" w:hAnsi="Segoe UI"/>
              </w:rPr>
            </w:pPr>
            <w:r w:rsidRPr="00BD2DBF">
              <w:t>$24,007,270.01 </w:t>
            </w:r>
          </w:p>
        </w:tc>
        <w:tc>
          <w:tcPr>
            <w:tcW w:w="1593" w:type="dxa"/>
            <w:vAlign w:val="center"/>
            <w:hideMark/>
          </w:tcPr>
          <w:p w14:paraId="3FA3F6F1" w14:textId="77777777" w:rsidR="00BD2DBF" w:rsidRPr="00BD2DBF" w:rsidRDefault="00BD2DBF" w:rsidP="00C4224A">
            <w:pPr>
              <w:pStyle w:val="TableText"/>
              <w:jc w:val="right"/>
              <w:rPr>
                <w:rFonts w:ascii="Segoe UI" w:hAnsi="Segoe UI"/>
              </w:rPr>
            </w:pPr>
            <w:r w:rsidRPr="00BD2DBF">
              <w:t>$35,193,752.47 </w:t>
            </w:r>
          </w:p>
        </w:tc>
        <w:tc>
          <w:tcPr>
            <w:tcW w:w="1594" w:type="dxa"/>
            <w:vAlign w:val="center"/>
            <w:hideMark/>
          </w:tcPr>
          <w:p w14:paraId="104553AB" w14:textId="77777777" w:rsidR="00BD2DBF" w:rsidRPr="00BD2DBF" w:rsidRDefault="00BD2DBF" w:rsidP="00C4224A">
            <w:pPr>
              <w:pStyle w:val="TableText"/>
              <w:jc w:val="right"/>
              <w:rPr>
                <w:rFonts w:ascii="Segoe UI" w:hAnsi="Segoe UI"/>
              </w:rPr>
            </w:pPr>
            <w:r w:rsidRPr="00BD2DBF">
              <w:t>$79,916,396.97 </w:t>
            </w:r>
          </w:p>
        </w:tc>
        <w:tc>
          <w:tcPr>
            <w:tcW w:w="1593" w:type="dxa"/>
            <w:vAlign w:val="center"/>
            <w:hideMark/>
          </w:tcPr>
          <w:p w14:paraId="4EA791F9" w14:textId="77777777" w:rsidR="00BD2DBF" w:rsidRPr="00BD2DBF" w:rsidRDefault="00BD2DBF" w:rsidP="00C4224A">
            <w:pPr>
              <w:pStyle w:val="TableText"/>
              <w:jc w:val="right"/>
              <w:rPr>
                <w:rFonts w:ascii="Segoe UI" w:hAnsi="Segoe UI"/>
              </w:rPr>
            </w:pPr>
            <w:r w:rsidRPr="00BD2DBF">
              <w:t>$87,788,416.13 </w:t>
            </w:r>
          </w:p>
        </w:tc>
        <w:tc>
          <w:tcPr>
            <w:tcW w:w="1601" w:type="dxa"/>
            <w:vAlign w:val="center"/>
            <w:hideMark/>
          </w:tcPr>
          <w:p w14:paraId="0D97E8E8" w14:textId="77777777" w:rsidR="00BD2DBF" w:rsidRPr="00BD2DBF" w:rsidRDefault="00BD2DBF" w:rsidP="00C4224A">
            <w:pPr>
              <w:pStyle w:val="TableText"/>
              <w:jc w:val="right"/>
              <w:rPr>
                <w:rFonts w:ascii="Segoe UI" w:hAnsi="Segoe UI"/>
              </w:rPr>
            </w:pPr>
            <w:r w:rsidRPr="00BD2DBF">
              <w:t>$80,373,347.82 </w:t>
            </w:r>
          </w:p>
        </w:tc>
      </w:tr>
    </w:tbl>
    <w:p w14:paraId="65806FA2" w14:textId="77777777" w:rsidR="00DE2801" w:rsidRDefault="00DE2801" w:rsidP="00DE2801">
      <w:pPr>
        <w:pStyle w:val="BodyText"/>
      </w:pPr>
    </w:p>
    <w:tbl>
      <w:tblPr>
        <w:tblStyle w:val="TableGrid1"/>
        <w:tblW w:w="0" w:type="dxa"/>
        <w:tblCellMar>
          <w:top w:w="58" w:type="dxa"/>
          <w:bottom w:w="58" w:type="dxa"/>
        </w:tblCellMar>
        <w:tblLook w:val="04A0" w:firstRow="1" w:lastRow="0" w:firstColumn="1" w:lastColumn="0" w:noHBand="0" w:noVBand="1"/>
      </w:tblPr>
      <w:tblGrid>
        <w:gridCol w:w="1786"/>
        <w:gridCol w:w="1447"/>
        <w:gridCol w:w="1513"/>
        <w:gridCol w:w="1515"/>
        <w:gridCol w:w="1601"/>
        <w:gridCol w:w="1488"/>
      </w:tblGrid>
      <w:tr w:rsidR="006044CB" w:rsidRPr="006044CB" w14:paraId="24390FE6" w14:textId="77777777" w:rsidTr="006044CB">
        <w:trPr>
          <w:trHeight w:val="435"/>
        </w:trPr>
        <w:tc>
          <w:tcPr>
            <w:tcW w:w="1935" w:type="dxa"/>
            <w:shd w:val="clear" w:color="auto" w:fill="B8CCE4" w:themeFill="accent1" w:themeFillTint="66"/>
            <w:vAlign w:val="center"/>
            <w:hideMark/>
          </w:tcPr>
          <w:p w14:paraId="4E5C110D" w14:textId="6F59BA55" w:rsidR="006044CB" w:rsidRPr="006044CB" w:rsidRDefault="006044CB" w:rsidP="006044CB">
            <w:pPr>
              <w:pStyle w:val="TableHeaders"/>
              <w:rPr>
                <w:rFonts w:ascii="Segoe UI" w:hAnsi="Segoe UI"/>
                <w:b w:val="0"/>
              </w:rPr>
            </w:pPr>
            <w:r w:rsidRPr="006044CB">
              <w:t>Child Care Overpayments</w:t>
            </w:r>
          </w:p>
        </w:tc>
        <w:tc>
          <w:tcPr>
            <w:tcW w:w="1515" w:type="dxa"/>
            <w:shd w:val="clear" w:color="auto" w:fill="B8CCE4" w:themeFill="accent1" w:themeFillTint="66"/>
            <w:vAlign w:val="center"/>
            <w:hideMark/>
          </w:tcPr>
          <w:p w14:paraId="3D070E9E" w14:textId="604E30F5" w:rsidR="006044CB" w:rsidRPr="006044CB" w:rsidRDefault="006044CB" w:rsidP="006044CB">
            <w:pPr>
              <w:pStyle w:val="TableHeaders"/>
              <w:rPr>
                <w:rFonts w:ascii="Segoe UI" w:hAnsi="Segoe UI"/>
                <w:b w:val="0"/>
              </w:rPr>
            </w:pPr>
            <w:r w:rsidRPr="006044CB">
              <w:t>FY20</w:t>
            </w:r>
          </w:p>
        </w:tc>
        <w:tc>
          <w:tcPr>
            <w:tcW w:w="1620" w:type="dxa"/>
            <w:shd w:val="clear" w:color="auto" w:fill="B8CCE4" w:themeFill="accent1" w:themeFillTint="66"/>
            <w:vAlign w:val="center"/>
            <w:hideMark/>
          </w:tcPr>
          <w:p w14:paraId="52C896A5" w14:textId="32B91E5E" w:rsidR="006044CB" w:rsidRPr="006044CB" w:rsidRDefault="006044CB" w:rsidP="006044CB">
            <w:pPr>
              <w:pStyle w:val="TableHeaders"/>
              <w:rPr>
                <w:rFonts w:ascii="Segoe UI" w:hAnsi="Segoe UI"/>
                <w:b w:val="0"/>
              </w:rPr>
            </w:pPr>
            <w:r w:rsidRPr="006044CB">
              <w:t>FY21</w:t>
            </w:r>
          </w:p>
        </w:tc>
        <w:tc>
          <w:tcPr>
            <w:tcW w:w="1530" w:type="dxa"/>
            <w:shd w:val="clear" w:color="auto" w:fill="B8CCE4" w:themeFill="accent1" w:themeFillTint="66"/>
            <w:vAlign w:val="center"/>
            <w:hideMark/>
          </w:tcPr>
          <w:p w14:paraId="74480A36" w14:textId="02CEBD31" w:rsidR="006044CB" w:rsidRPr="006044CB" w:rsidRDefault="006044CB" w:rsidP="006044CB">
            <w:pPr>
              <w:pStyle w:val="TableHeaders"/>
              <w:rPr>
                <w:rFonts w:ascii="Segoe UI" w:hAnsi="Segoe UI"/>
                <w:b w:val="0"/>
              </w:rPr>
            </w:pPr>
            <w:r w:rsidRPr="006044CB">
              <w:t>FY22</w:t>
            </w:r>
          </w:p>
        </w:tc>
        <w:tc>
          <w:tcPr>
            <w:tcW w:w="1665" w:type="dxa"/>
            <w:shd w:val="clear" w:color="auto" w:fill="B8CCE4" w:themeFill="accent1" w:themeFillTint="66"/>
            <w:vAlign w:val="center"/>
            <w:hideMark/>
          </w:tcPr>
          <w:p w14:paraId="0ABCA465" w14:textId="503CA763" w:rsidR="006044CB" w:rsidRPr="006044CB" w:rsidRDefault="006044CB" w:rsidP="006044CB">
            <w:pPr>
              <w:pStyle w:val="TableHeaders"/>
              <w:rPr>
                <w:rFonts w:ascii="Segoe UI" w:hAnsi="Segoe UI"/>
                <w:b w:val="0"/>
              </w:rPr>
            </w:pPr>
            <w:r w:rsidRPr="006044CB">
              <w:t>FY23</w:t>
            </w:r>
          </w:p>
        </w:tc>
        <w:tc>
          <w:tcPr>
            <w:tcW w:w="1440" w:type="dxa"/>
            <w:shd w:val="clear" w:color="auto" w:fill="B8CCE4" w:themeFill="accent1" w:themeFillTint="66"/>
            <w:vAlign w:val="center"/>
            <w:hideMark/>
          </w:tcPr>
          <w:p w14:paraId="01FB6407" w14:textId="41EE6FB6" w:rsidR="006044CB" w:rsidRPr="006044CB" w:rsidRDefault="006044CB" w:rsidP="006044CB">
            <w:pPr>
              <w:pStyle w:val="TableHeaders"/>
              <w:rPr>
                <w:rFonts w:ascii="Segoe UI" w:hAnsi="Segoe UI"/>
                <w:b w:val="0"/>
              </w:rPr>
            </w:pPr>
            <w:r w:rsidRPr="006044CB">
              <w:t>FY24</w:t>
            </w:r>
          </w:p>
        </w:tc>
      </w:tr>
      <w:tr w:rsidR="006044CB" w:rsidRPr="006044CB" w14:paraId="71963210" w14:textId="77777777" w:rsidTr="006044CB">
        <w:trPr>
          <w:trHeight w:val="300"/>
        </w:trPr>
        <w:tc>
          <w:tcPr>
            <w:tcW w:w="1935" w:type="dxa"/>
            <w:vAlign w:val="center"/>
            <w:hideMark/>
          </w:tcPr>
          <w:p w14:paraId="3C23BC9B" w14:textId="77777777" w:rsidR="006044CB" w:rsidRPr="006044CB" w:rsidRDefault="006044CB" w:rsidP="006044CB">
            <w:pPr>
              <w:pStyle w:val="TableText"/>
              <w:rPr>
                <w:rFonts w:ascii="Segoe UI" w:hAnsi="Segoe UI"/>
              </w:rPr>
            </w:pPr>
            <w:r w:rsidRPr="006044CB">
              <w:t>Warrant Holds Placed </w:t>
            </w:r>
          </w:p>
        </w:tc>
        <w:tc>
          <w:tcPr>
            <w:tcW w:w="1515" w:type="dxa"/>
            <w:vAlign w:val="center"/>
            <w:hideMark/>
          </w:tcPr>
          <w:p w14:paraId="42074CD1" w14:textId="77777777" w:rsidR="006044CB" w:rsidRPr="006044CB" w:rsidRDefault="006044CB" w:rsidP="006044CB">
            <w:pPr>
              <w:pStyle w:val="TableText"/>
              <w:jc w:val="right"/>
              <w:rPr>
                <w:rFonts w:ascii="Segoe UI" w:hAnsi="Segoe UI"/>
              </w:rPr>
            </w:pPr>
            <w:r w:rsidRPr="006044CB">
              <w:t>149 </w:t>
            </w:r>
          </w:p>
        </w:tc>
        <w:tc>
          <w:tcPr>
            <w:tcW w:w="1620" w:type="dxa"/>
            <w:vAlign w:val="center"/>
            <w:hideMark/>
          </w:tcPr>
          <w:p w14:paraId="2D1AC4D8" w14:textId="77777777" w:rsidR="006044CB" w:rsidRPr="006044CB" w:rsidRDefault="006044CB" w:rsidP="006044CB">
            <w:pPr>
              <w:pStyle w:val="TableText"/>
              <w:jc w:val="right"/>
              <w:rPr>
                <w:rFonts w:ascii="Segoe UI" w:hAnsi="Segoe UI"/>
              </w:rPr>
            </w:pPr>
            <w:r w:rsidRPr="006044CB">
              <w:t>115 </w:t>
            </w:r>
          </w:p>
        </w:tc>
        <w:tc>
          <w:tcPr>
            <w:tcW w:w="1530" w:type="dxa"/>
            <w:vAlign w:val="center"/>
            <w:hideMark/>
          </w:tcPr>
          <w:p w14:paraId="76FE60EA" w14:textId="77777777" w:rsidR="006044CB" w:rsidRPr="006044CB" w:rsidRDefault="006044CB" w:rsidP="006044CB">
            <w:pPr>
              <w:pStyle w:val="TableText"/>
              <w:jc w:val="right"/>
              <w:rPr>
                <w:rFonts w:ascii="Segoe UI" w:hAnsi="Segoe UI"/>
              </w:rPr>
            </w:pPr>
            <w:r w:rsidRPr="006044CB">
              <w:t>146 </w:t>
            </w:r>
          </w:p>
        </w:tc>
        <w:tc>
          <w:tcPr>
            <w:tcW w:w="1665" w:type="dxa"/>
            <w:vAlign w:val="center"/>
            <w:hideMark/>
          </w:tcPr>
          <w:p w14:paraId="17D8F808" w14:textId="77777777" w:rsidR="006044CB" w:rsidRPr="006044CB" w:rsidRDefault="006044CB" w:rsidP="006044CB">
            <w:pPr>
              <w:pStyle w:val="TableText"/>
              <w:jc w:val="right"/>
              <w:rPr>
                <w:rFonts w:ascii="Segoe UI" w:hAnsi="Segoe UI"/>
              </w:rPr>
            </w:pPr>
            <w:r w:rsidRPr="006044CB">
              <w:t>146 </w:t>
            </w:r>
          </w:p>
        </w:tc>
        <w:tc>
          <w:tcPr>
            <w:tcW w:w="1440" w:type="dxa"/>
            <w:vAlign w:val="center"/>
            <w:hideMark/>
          </w:tcPr>
          <w:p w14:paraId="79B00AAB" w14:textId="77777777" w:rsidR="006044CB" w:rsidRPr="006044CB" w:rsidRDefault="006044CB" w:rsidP="006044CB">
            <w:pPr>
              <w:pStyle w:val="TableText"/>
              <w:jc w:val="right"/>
              <w:rPr>
                <w:rFonts w:ascii="Segoe UI" w:hAnsi="Segoe UI"/>
              </w:rPr>
            </w:pPr>
            <w:r w:rsidRPr="006044CB">
              <w:t>253 </w:t>
            </w:r>
          </w:p>
        </w:tc>
      </w:tr>
      <w:tr w:rsidR="006044CB" w:rsidRPr="006044CB" w14:paraId="1C816A1E" w14:textId="77777777" w:rsidTr="006044CB">
        <w:trPr>
          <w:trHeight w:val="300"/>
        </w:trPr>
        <w:tc>
          <w:tcPr>
            <w:tcW w:w="1935" w:type="dxa"/>
            <w:vAlign w:val="center"/>
            <w:hideMark/>
          </w:tcPr>
          <w:p w14:paraId="2A0B780A" w14:textId="77777777" w:rsidR="006044CB" w:rsidRPr="006044CB" w:rsidRDefault="006044CB" w:rsidP="006044CB">
            <w:pPr>
              <w:pStyle w:val="TableText"/>
              <w:rPr>
                <w:rFonts w:ascii="Segoe UI" w:hAnsi="Segoe UI"/>
              </w:rPr>
            </w:pPr>
            <w:r w:rsidRPr="006044CB">
              <w:t>Dollar Amount of Holds </w:t>
            </w:r>
          </w:p>
        </w:tc>
        <w:tc>
          <w:tcPr>
            <w:tcW w:w="1515" w:type="dxa"/>
            <w:vAlign w:val="center"/>
            <w:hideMark/>
          </w:tcPr>
          <w:p w14:paraId="1508E496" w14:textId="77777777" w:rsidR="006044CB" w:rsidRPr="006044CB" w:rsidRDefault="006044CB" w:rsidP="006044CB">
            <w:pPr>
              <w:pStyle w:val="TableText"/>
              <w:jc w:val="right"/>
              <w:rPr>
                <w:rFonts w:ascii="Segoe UI" w:hAnsi="Segoe UI"/>
              </w:rPr>
            </w:pPr>
            <w:r w:rsidRPr="006044CB">
              <w:t>$967,283.10 </w:t>
            </w:r>
          </w:p>
        </w:tc>
        <w:tc>
          <w:tcPr>
            <w:tcW w:w="1620" w:type="dxa"/>
            <w:vAlign w:val="center"/>
            <w:hideMark/>
          </w:tcPr>
          <w:p w14:paraId="113616E0" w14:textId="77777777" w:rsidR="006044CB" w:rsidRPr="006044CB" w:rsidRDefault="006044CB" w:rsidP="006044CB">
            <w:pPr>
              <w:pStyle w:val="TableText"/>
              <w:jc w:val="right"/>
              <w:rPr>
                <w:rFonts w:ascii="Segoe UI" w:hAnsi="Segoe UI"/>
              </w:rPr>
            </w:pPr>
            <w:r w:rsidRPr="006044CB">
              <w:t>$403,765.39 </w:t>
            </w:r>
          </w:p>
        </w:tc>
        <w:tc>
          <w:tcPr>
            <w:tcW w:w="1530" w:type="dxa"/>
            <w:vAlign w:val="center"/>
            <w:hideMark/>
          </w:tcPr>
          <w:p w14:paraId="631854AF" w14:textId="77777777" w:rsidR="006044CB" w:rsidRPr="006044CB" w:rsidRDefault="006044CB" w:rsidP="006044CB">
            <w:pPr>
              <w:pStyle w:val="TableText"/>
              <w:jc w:val="right"/>
              <w:rPr>
                <w:rFonts w:ascii="Segoe UI" w:hAnsi="Segoe UI"/>
              </w:rPr>
            </w:pPr>
            <w:r w:rsidRPr="006044CB">
              <w:t>$1,392,639.25 </w:t>
            </w:r>
          </w:p>
        </w:tc>
        <w:tc>
          <w:tcPr>
            <w:tcW w:w="1665" w:type="dxa"/>
            <w:vAlign w:val="center"/>
            <w:hideMark/>
          </w:tcPr>
          <w:p w14:paraId="37759817" w14:textId="77777777" w:rsidR="006044CB" w:rsidRPr="006044CB" w:rsidRDefault="006044CB" w:rsidP="006044CB">
            <w:pPr>
              <w:pStyle w:val="TableText"/>
              <w:jc w:val="right"/>
              <w:rPr>
                <w:rFonts w:ascii="Segoe UI" w:hAnsi="Segoe UI"/>
              </w:rPr>
            </w:pPr>
            <w:r w:rsidRPr="006044CB">
              <w:t>$1,708,608.57 </w:t>
            </w:r>
          </w:p>
        </w:tc>
        <w:tc>
          <w:tcPr>
            <w:tcW w:w="1440" w:type="dxa"/>
            <w:vAlign w:val="center"/>
            <w:hideMark/>
          </w:tcPr>
          <w:p w14:paraId="35586E04" w14:textId="77777777" w:rsidR="006044CB" w:rsidRPr="006044CB" w:rsidRDefault="006044CB" w:rsidP="006044CB">
            <w:pPr>
              <w:pStyle w:val="TableText"/>
              <w:jc w:val="right"/>
              <w:rPr>
                <w:rFonts w:ascii="Segoe UI" w:hAnsi="Segoe UI"/>
              </w:rPr>
            </w:pPr>
            <w:r w:rsidRPr="006044CB">
              <w:t>$1,780,722.35 </w:t>
            </w:r>
          </w:p>
        </w:tc>
      </w:tr>
      <w:tr w:rsidR="006044CB" w:rsidRPr="006044CB" w14:paraId="5EC5377F" w14:textId="77777777" w:rsidTr="006044CB">
        <w:trPr>
          <w:trHeight w:val="300"/>
        </w:trPr>
        <w:tc>
          <w:tcPr>
            <w:tcW w:w="1935" w:type="dxa"/>
            <w:vAlign w:val="center"/>
            <w:hideMark/>
          </w:tcPr>
          <w:p w14:paraId="2BD0D27F" w14:textId="77777777" w:rsidR="006044CB" w:rsidRPr="006044CB" w:rsidRDefault="006044CB" w:rsidP="006044CB">
            <w:pPr>
              <w:pStyle w:val="TableText"/>
              <w:rPr>
                <w:rFonts w:ascii="Segoe UI" w:hAnsi="Segoe UI"/>
              </w:rPr>
            </w:pPr>
            <w:r w:rsidRPr="006044CB">
              <w:t>Amount Collected </w:t>
            </w:r>
          </w:p>
        </w:tc>
        <w:tc>
          <w:tcPr>
            <w:tcW w:w="1515" w:type="dxa"/>
            <w:vAlign w:val="center"/>
            <w:hideMark/>
          </w:tcPr>
          <w:p w14:paraId="05282490" w14:textId="77777777" w:rsidR="006044CB" w:rsidRPr="006044CB" w:rsidRDefault="006044CB" w:rsidP="006044CB">
            <w:pPr>
              <w:pStyle w:val="TableText"/>
              <w:jc w:val="right"/>
              <w:rPr>
                <w:rFonts w:ascii="Segoe UI" w:hAnsi="Segoe UI"/>
              </w:rPr>
            </w:pPr>
            <w:r w:rsidRPr="006044CB">
              <w:t>$13,060.57 </w:t>
            </w:r>
          </w:p>
        </w:tc>
        <w:tc>
          <w:tcPr>
            <w:tcW w:w="1620" w:type="dxa"/>
            <w:vAlign w:val="center"/>
            <w:hideMark/>
          </w:tcPr>
          <w:p w14:paraId="700F544B" w14:textId="77777777" w:rsidR="006044CB" w:rsidRPr="006044CB" w:rsidRDefault="006044CB" w:rsidP="006044CB">
            <w:pPr>
              <w:pStyle w:val="TableText"/>
              <w:jc w:val="right"/>
              <w:rPr>
                <w:rFonts w:ascii="Segoe UI" w:hAnsi="Segoe UI"/>
              </w:rPr>
            </w:pPr>
            <w:r w:rsidRPr="006044CB">
              <w:t>$17,473.07 </w:t>
            </w:r>
          </w:p>
        </w:tc>
        <w:tc>
          <w:tcPr>
            <w:tcW w:w="1530" w:type="dxa"/>
            <w:vAlign w:val="center"/>
            <w:hideMark/>
          </w:tcPr>
          <w:p w14:paraId="1721B2FD" w14:textId="77777777" w:rsidR="006044CB" w:rsidRPr="006044CB" w:rsidRDefault="006044CB" w:rsidP="006044CB">
            <w:pPr>
              <w:pStyle w:val="TableText"/>
              <w:jc w:val="right"/>
              <w:rPr>
                <w:rFonts w:ascii="Segoe UI" w:hAnsi="Segoe UI"/>
              </w:rPr>
            </w:pPr>
            <w:r w:rsidRPr="006044CB">
              <w:rPr>
                <w:color w:val="000000"/>
              </w:rPr>
              <w:t>$6,886.02 </w:t>
            </w:r>
          </w:p>
        </w:tc>
        <w:tc>
          <w:tcPr>
            <w:tcW w:w="1665" w:type="dxa"/>
            <w:vAlign w:val="center"/>
            <w:hideMark/>
          </w:tcPr>
          <w:p w14:paraId="02DC6390" w14:textId="77777777" w:rsidR="006044CB" w:rsidRPr="006044CB" w:rsidRDefault="006044CB" w:rsidP="006044CB">
            <w:pPr>
              <w:pStyle w:val="TableText"/>
              <w:jc w:val="right"/>
              <w:rPr>
                <w:rFonts w:ascii="Segoe UI" w:hAnsi="Segoe UI"/>
              </w:rPr>
            </w:pPr>
            <w:r w:rsidRPr="006044CB">
              <w:rPr>
                <w:color w:val="000000"/>
              </w:rPr>
              <w:t>$16,169.57 </w:t>
            </w:r>
          </w:p>
        </w:tc>
        <w:tc>
          <w:tcPr>
            <w:tcW w:w="1440" w:type="dxa"/>
            <w:vAlign w:val="center"/>
            <w:hideMark/>
          </w:tcPr>
          <w:p w14:paraId="5BE44202" w14:textId="77777777" w:rsidR="006044CB" w:rsidRPr="006044CB" w:rsidRDefault="006044CB" w:rsidP="006044CB">
            <w:pPr>
              <w:pStyle w:val="TableText"/>
              <w:jc w:val="right"/>
              <w:rPr>
                <w:rFonts w:ascii="Segoe UI" w:hAnsi="Segoe UI"/>
              </w:rPr>
            </w:pPr>
            <w:r w:rsidRPr="006044CB">
              <w:rPr>
                <w:color w:val="000000"/>
              </w:rPr>
              <w:t>$12,348.32 </w:t>
            </w:r>
          </w:p>
        </w:tc>
      </w:tr>
    </w:tbl>
    <w:p w14:paraId="3949C53F" w14:textId="77777777" w:rsidR="006044CB" w:rsidRDefault="006044CB" w:rsidP="00DE2801">
      <w:pPr>
        <w:pStyle w:val="BodyText"/>
      </w:pPr>
    </w:p>
    <w:tbl>
      <w:tblPr>
        <w:tblStyle w:val="TableGrid1"/>
        <w:tblW w:w="0" w:type="dxa"/>
        <w:tblCellMar>
          <w:top w:w="58" w:type="dxa"/>
          <w:bottom w:w="58" w:type="dxa"/>
        </w:tblCellMar>
        <w:tblLook w:val="04A0" w:firstRow="1" w:lastRow="0" w:firstColumn="1" w:lastColumn="0" w:noHBand="0" w:noVBand="1"/>
      </w:tblPr>
      <w:tblGrid>
        <w:gridCol w:w="1870"/>
        <w:gridCol w:w="1503"/>
        <w:gridCol w:w="1459"/>
        <w:gridCol w:w="1503"/>
        <w:gridCol w:w="1503"/>
        <w:gridCol w:w="1512"/>
      </w:tblGrid>
      <w:tr w:rsidR="00DF380D" w:rsidRPr="00DF380D" w14:paraId="1FA35065" w14:textId="77777777" w:rsidTr="00DF380D">
        <w:trPr>
          <w:trHeight w:val="300"/>
        </w:trPr>
        <w:tc>
          <w:tcPr>
            <w:tcW w:w="1935" w:type="dxa"/>
            <w:shd w:val="clear" w:color="auto" w:fill="B8CCE4" w:themeFill="accent1" w:themeFillTint="66"/>
            <w:vAlign w:val="center"/>
            <w:hideMark/>
          </w:tcPr>
          <w:p w14:paraId="0CF9C570" w14:textId="3F18DE86" w:rsidR="00DF380D" w:rsidRPr="00DF380D" w:rsidRDefault="00DF380D" w:rsidP="00DF380D">
            <w:pPr>
              <w:jc w:val="center"/>
              <w:textAlignment w:val="baseline"/>
              <w:rPr>
                <w:rFonts w:ascii="Segoe UI" w:eastAsia="Times New Roman" w:hAnsi="Segoe UI" w:cs="Segoe UI"/>
                <w:b/>
                <w:spacing w:val="0"/>
                <w:kern w:val="0"/>
                <w:sz w:val="18"/>
                <w:szCs w:val="18"/>
              </w:rPr>
            </w:pPr>
            <w:r w:rsidRPr="00DF380D">
              <w:rPr>
                <w:rFonts w:eastAsia="Times New Roman" w:cs="Segoe UI"/>
                <w:bCs/>
                <w:spacing w:val="0"/>
                <w:kern w:val="0"/>
                <w:sz w:val="18"/>
                <w:szCs w:val="18"/>
              </w:rPr>
              <w:t>Vocational Rehabilitation Collections</w:t>
            </w:r>
          </w:p>
        </w:tc>
        <w:tc>
          <w:tcPr>
            <w:tcW w:w="1545" w:type="dxa"/>
            <w:shd w:val="clear" w:color="auto" w:fill="B8CCE4" w:themeFill="accent1" w:themeFillTint="66"/>
            <w:vAlign w:val="center"/>
            <w:hideMark/>
          </w:tcPr>
          <w:p w14:paraId="6744EFD9" w14:textId="603F565A" w:rsidR="00DF380D" w:rsidRPr="00DF380D" w:rsidRDefault="00DF380D" w:rsidP="00DF380D">
            <w:pPr>
              <w:jc w:val="center"/>
              <w:textAlignment w:val="baseline"/>
              <w:rPr>
                <w:rFonts w:ascii="Segoe UI" w:eastAsia="Times New Roman" w:hAnsi="Segoe UI" w:cs="Segoe UI"/>
                <w:b/>
                <w:spacing w:val="0"/>
                <w:kern w:val="0"/>
                <w:sz w:val="18"/>
                <w:szCs w:val="18"/>
              </w:rPr>
            </w:pPr>
            <w:r w:rsidRPr="00DF380D">
              <w:rPr>
                <w:rFonts w:eastAsia="Times New Roman" w:cs="Segoe UI"/>
                <w:bCs/>
                <w:spacing w:val="0"/>
                <w:kern w:val="0"/>
                <w:sz w:val="18"/>
                <w:szCs w:val="18"/>
              </w:rPr>
              <w:t>FY20</w:t>
            </w:r>
          </w:p>
        </w:tc>
        <w:tc>
          <w:tcPr>
            <w:tcW w:w="1545" w:type="dxa"/>
            <w:shd w:val="clear" w:color="auto" w:fill="B8CCE4" w:themeFill="accent1" w:themeFillTint="66"/>
            <w:vAlign w:val="center"/>
            <w:hideMark/>
          </w:tcPr>
          <w:p w14:paraId="068F06F4" w14:textId="5C138D67" w:rsidR="00DF380D" w:rsidRPr="00DF380D" w:rsidRDefault="00DF380D" w:rsidP="00DF380D">
            <w:pPr>
              <w:jc w:val="center"/>
              <w:textAlignment w:val="baseline"/>
              <w:rPr>
                <w:rFonts w:ascii="Segoe UI" w:eastAsia="Times New Roman" w:hAnsi="Segoe UI" w:cs="Segoe UI"/>
                <w:b/>
                <w:spacing w:val="0"/>
                <w:kern w:val="0"/>
                <w:sz w:val="18"/>
                <w:szCs w:val="18"/>
              </w:rPr>
            </w:pPr>
            <w:r w:rsidRPr="00DF380D">
              <w:rPr>
                <w:rFonts w:eastAsia="Times New Roman" w:cs="Segoe UI"/>
                <w:bCs/>
                <w:spacing w:val="0"/>
                <w:kern w:val="0"/>
                <w:sz w:val="18"/>
                <w:szCs w:val="18"/>
              </w:rPr>
              <w:t>FY21</w:t>
            </w:r>
          </w:p>
        </w:tc>
        <w:tc>
          <w:tcPr>
            <w:tcW w:w="1545" w:type="dxa"/>
            <w:shd w:val="clear" w:color="auto" w:fill="B8CCE4" w:themeFill="accent1" w:themeFillTint="66"/>
            <w:vAlign w:val="center"/>
            <w:hideMark/>
          </w:tcPr>
          <w:p w14:paraId="059D457E" w14:textId="1882C32A" w:rsidR="00DF380D" w:rsidRPr="00DF380D" w:rsidRDefault="00DF380D" w:rsidP="00DF380D">
            <w:pPr>
              <w:jc w:val="center"/>
              <w:textAlignment w:val="baseline"/>
              <w:rPr>
                <w:rFonts w:ascii="Segoe UI" w:eastAsia="Times New Roman" w:hAnsi="Segoe UI" w:cs="Segoe UI"/>
                <w:b/>
                <w:spacing w:val="0"/>
                <w:kern w:val="0"/>
                <w:sz w:val="18"/>
                <w:szCs w:val="18"/>
              </w:rPr>
            </w:pPr>
            <w:r w:rsidRPr="00DF380D">
              <w:rPr>
                <w:rFonts w:eastAsia="Times New Roman" w:cs="Segoe UI"/>
                <w:bCs/>
                <w:spacing w:val="0"/>
                <w:kern w:val="0"/>
                <w:sz w:val="18"/>
                <w:szCs w:val="18"/>
              </w:rPr>
              <w:t>FY22</w:t>
            </w:r>
          </w:p>
        </w:tc>
        <w:tc>
          <w:tcPr>
            <w:tcW w:w="1545" w:type="dxa"/>
            <w:shd w:val="clear" w:color="auto" w:fill="B8CCE4" w:themeFill="accent1" w:themeFillTint="66"/>
            <w:vAlign w:val="center"/>
            <w:hideMark/>
          </w:tcPr>
          <w:p w14:paraId="27D9F73D" w14:textId="089EDC63" w:rsidR="00DF380D" w:rsidRPr="00DF380D" w:rsidRDefault="00DF380D" w:rsidP="00DF380D">
            <w:pPr>
              <w:jc w:val="center"/>
              <w:textAlignment w:val="baseline"/>
              <w:rPr>
                <w:rFonts w:ascii="Segoe UI" w:eastAsia="Times New Roman" w:hAnsi="Segoe UI" w:cs="Segoe UI"/>
                <w:b/>
                <w:spacing w:val="0"/>
                <w:kern w:val="0"/>
                <w:sz w:val="18"/>
                <w:szCs w:val="18"/>
              </w:rPr>
            </w:pPr>
            <w:r w:rsidRPr="00DF380D">
              <w:rPr>
                <w:rFonts w:eastAsia="Times New Roman" w:cs="Segoe UI"/>
                <w:bCs/>
                <w:spacing w:val="0"/>
                <w:kern w:val="0"/>
                <w:sz w:val="18"/>
                <w:szCs w:val="18"/>
              </w:rPr>
              <w:t>FY23</w:t>
            </w:r>
          </w:p>
        </w:tc>
        <w:tc>
          <w:tcPr>
            <w:tcW w:w="1545" w:type="dxa"/>
            <w:shd w:val="clear" w:color="auto" w:fill="B8CCE4" w:themeFill="accent1" w:themeFillTint="66"/>
            <w:vAlign w:val="center"/>
            <w:hideMark/>
          </w:tcPr>
          <w:p w14:paraId="32591C66" w14:textId="3AB54C12" w:rsidR="00DF380D" w:rsidRPr="00DF380D" w:rsidRDefault="00DF380D" w:rsidP="00DF380D">
            <w:pPr>
              <w:jc w:val="center"/>
              <w:textAlignment w:val="baseline"/>
              <w:rPr>
                <w:rFonts w:ascii="Segoe UI" w:eastAsia="Times New Roman" w:hAnsi="Segoe UI" w:cs="Segoe UI"/>
                <w:b/>
                <w:spacing w:val="0"/>
                <w:kern w:val="0"/>
                <w:sz w:val="18"/>
                <w:szCs w:val="18"/>
              </w:rPr>
            </w:pPr>
            <w:r w:rsidRPr="00DF380D">
              <w:rPr>
                <w:rFonts w:eastAsia="Times New Roman" w:cs="Segoe UI"/>
                <w:bCs/>
                <w:spacing w:val="0"/>
                <w:kern w:val="0"/>
                <w:sz w:val="18"/>
                <w:szCs w:val="18"/>
              </w:rPr>
              <w:t>FY24</w:t>
            </w:r>
          </w:p>
        </w:tc>
      </w:tr>
      <w:tr w:rsidR="00DF380D" w:rsidRPr="00DF380D" w14:paraId="546D9365" w14:textId="77777777" w:rsidTr="00DF380D">
        <w:trPr>
          <w:trHeight w:val="300"/>
        </w:trPr>
        <w:tc>
          <w:tcPr>
            <w:tcW w:w="1935" w:type="dxa"/>
            <w:vAlign w:val="center"/>
            <w:hideMark/>
          </w:tcPr>
          <w:p w14:paraId="574FF647" w14:textId="77777777" w:rsidR="00DF380D" w:rsidRPr="00DF380D" w:rsidRDefault="00DF380D" w:rsidP="00DF380D">
            <w:pPr>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Warrant Holds Placed </w:t>
            </w:r>
          </w:p>
        </w:tc>
        <w:tc>
          <w:tcPr>
            <w:tcW w:w="1545" w:type="dxa"/>
            <w:vAlign w:val="center"/>
            <w:hideMark/>
          </w:tcPr>
          <w:p w14:paraId="31A7D57D"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3 </w:t>
            </w:r>
          </w:p>
        </w:tc>
        <w:tc>
          <w:tcPr>
            <w:tcW w:w="1545" w:type="dxa"/>
            <w:vAlign w:val="center"/>
            <w:hideMark/>
          </w:tcPr>
          <w:p w14:paraId="0EB5F222"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0 </w:t>
            </w:r>
          </w:p>
        </w:tc>
        <w:tc>
          <w:tcPr>
            <w:tcW w:w="1545" w:type="dxa"/>
            <w:vAlign w:val="center"/>
            <w:hideMark/>
          </w:tcPr>
          <w:p w14:paraId="7516AE08"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3 </w:t>
            </w:r>
          </w:p>
        </w:tc>
        <w:tc>
          <w:tcPr>
            <w:tcW w:w="1545" w:type="dxa"/>
            <w:vAlign w:val="center"/>
            <w:hideMark/>
          </w:tcPr>
          <w:p w14:paraId="021F6524"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1 </w:t>
            </w:r>
          </w:p>
        </w:tc>
        <w:tc>
          <w:tcPr>
            <w:tcW w:w="1545" w:type="dxa"/>
            <w:vAlign w:val="center"/>
            <w:hideMark/>
          </w:tcPr>
          <w:p w14:paraId="0977CFDA"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2 </w:t>
            </w:r>
          </w:p>
        </w:tc>
      </w:tr>
      <w:tr w:rsidR="00DF380D" w:rsidRPr="00DF380D" w14:paraId="4C857767" w14:textId="77777777" w:rsidTr="00DF380D">
        <w:trPr>
          <w:trHeight w:val="300"/>
        </w:trPr>
        <w:tc>
          <w:tcPr>
            <w:tcW w:w="1935" w:type="dxa"/>
            <w:vAlign w:val="center"/>
            <w:hideMark/>
          </w:tcPr>
          <w:p w14:paraId="0ABC792E" w14:textId="77777777" w:rsidR="00DF380D" w:rsidRPr="00DF380D" w:rsidRDefault="00DF380D" w:rsidP="00DF380D">
            <w:pPr>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Dollar Amount of Warrant Holds Placed </w:t>
            </w:r>
          </w:p>
        </w:tc>
        <w:tc>
          <w:tcPr>
            <w:tcW w:w="1545" w:type="dxa"/>
            <w:vAlign w:val="center"/>
            <w:hideMark/>
          </w:tcPr>
          <w:p w14:paraId="7B8188B0"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$21,648.75 </w:t>
            </w:r>
          </w:p>
          <w:p w14:paraId="3365C3DF"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 </w:t>
            </w:r>
          </w:p>
        </w:tc>
        <w:tc>
          <w:tcPr>
            <w:tcW w:w="1545" w:type="dxa"/>
            <w:vAlign w:val="center"/>
            <w:hideMark/>
          </w:tcPr>
          <w:p w14:paraId="62180645"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$0.00 </w:t>
            </w:r>
          </w:p>
        </w:tc>
        <w:tc>
          <w:tcPr>
            <w:tcW w:w="1545" w:type="dxa"/>
            <w:vAlign w:val="center"/>
            <w:hideMark/>
          </w:tcPr>
          <w:p w14:paraId="4EB5711D"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$25,120.00 </w:t>
            </w:r>
          </w:p>
        </w:tc>
        <w:tc>
          <w:tcPr>
            <w:tcW w:w="1545" w:type="dxa"/>
            <w:vAlign w:val="center"/>
            <w:hideMark/>
          </w:tcPr>
          <w:p w14:paraId="21C13C87"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$30,096.26 </w:t>
            </w:r>
          </w:p>
        </w:tc>
        <w:tc>
          <w:tcPr>
            <w:tcW w:w="1545" w:type="dxa"/>
            <w:vAlign w:val="center"/>
            <w:hideMark/>
          </w:tcPr>
          <w:p w14:paraId="0D3BDC77"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$258,049.50 </w:t>
            </w:r>
          </w:p>
        </w:tc>
      </w:tr>
      <w:tr w:rsidR="00DF380D" w:rsidRPr="00DF380D" w14:paraId="359AEC7C" w14:textId="77777777" w:rsidTr="00DF380D">
        <w:trPr>
          <w:trHeight w:val="300"/>
        </w:trPr>
        <w:tc>
          <w:tcPr>
            <w:tcW w:w="1935" w:type="dxa"/>
            <w:vAlign w:val="center"/>
            <w:hideMark/>
          </w:tcPr>
          <w:p w14:paraId="374290C5" w14:textId="77777777" w:rsidR="00DF380D" w:rsidRPr="00DF380D" w:rsidRDefault="00DF380D" w:rsidP="00DF380D">
            <w:pPr>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Cases Referred to OAG </w:t>
            </w:r>
          </w:p>
        </w:tc>
        <w:tc>
          <w:tcPr>
            <w:tcW w:w="1545" w:type="dxa"/>
            <w:vAlign w:val="center"/>
            <w:hideMark/>
          </w:tcPr>
          <w:p w14:paraId="0FB8B40E"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0 </w:t>
            </w:r>
          </w:p>
        </w:tc>
        <w:tc>
          <w:tcPr>
            <w:tcW w:w="1545" w:type="dxa"/>
            <w:vAlign w:val="center"/>
            <w:hideMark/>
          </w:tcPr>
          <w:p w14:paraId="3BE0326F"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0 </w:t>
            </w:r>
          </w:p>
        </w:tc>
        <w:tc>
          <w:tcPr>
            <w:tcW w:w="1545" w:type="dxa"/>
            <w:vAlign w:val="center"/>
            <w:hideMark/>
          </w:tcPr>
          <w:p w14:paraId="22FBB2C1"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3 </w:t>
            </w:r>
          </w:p>
        </w:tc>
        <w:tc>
          <w:tcPr>
            <w:tcW w:w="1545" w:type="dxa"/>
            <w:vAlign w:val="center"/>
            <w:hideMark/>
          </w:tcPr>
          <w:p w14:paraId="2D055534"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1 </w:t>
            </w:r>
          </w:p>
        </w:tc>
        <w:tc>
          <w:tcPr>
            <w:tcW w:w="1545" w:type="dxa"/>
            <w:vAlign w:val="center"/>
            <w:hideMark/>
          </w:tcPr>
          <w:p w14:paraId="40A2837B" w14:textId="77777777" w:rsidR="00DF380D" w:rsidRPr="00DF380D" w:rsidRDefault="00DF380D" w:rsidP="00DF380D">
            <w:pPr>
              <w:jc w:val="right"/>
              <w:textAlignment w:val="baseline"/>
              <w:rPr>
                <w:rFonts w:ascii="Segoe UI" w:eastAsia="Times New Roman" w:hAnsi="Segoe UI" w:cs="Segoe UI"/>
                <w:b/>
                <w:spacing w:val="0"/>
                <w:kern w:val="0"/>
                <w:sz w:val="18"/>
                <w:szCs w:val="18"/>
              </w:rPr>
            </w:pPr>
            <w:r w:rsidRPr="00DF380D">
              <w:rPr>
                <w:rFonts w:eastAsia="Times New Roman" w:cs="Segoe UI"/>
                <w:spacing w:val="0"/>
                <w:kern w:val="0"/>
                <w:sz w:val="18"/>
                <w:szCs w:val="18"/>
              </w:rPr>
              <w:t>0 </w:t>
            </w:r>
          </w:p>
        </w:tc>
      </w:tr>
    </w:tbl>
    <w:p w14:paraId="2DB41F14" w14:textId="77777777" w:rsidR="006044CB" w:rsidRDefault="006044CB" w:rsidP="00DE2801">
      <w:pPr>
        <w:pStyle w:val="BodyText"/>
      </w:pPr>
    </w:p>
    <w:p w14:paraId="7DB3CDE5" w14:textId="1119D2B4" w:rsidR="00746844" w:rsidRPr="00746844" w:rsidRDefault="00746844" w:rsidP="00C75604">
      <w:pPr>
        <w:pStyle w:val="BodyText3"/>
        <w:ind w:left="720" w:hanging="720"/>
        <w:rPr>
          <w:b w:val="0"/>
        </w:rPr>
      </w:pPr>
      <w:r w:rsidRPr="00746844">
        <w:t>D.</w:t>
      </w:r>
      <w:r w:rsidR="007E5E2B">
        <w:rPr>
          <w:b w:val="0"/>
        </w:rPr>
        <w:tab/>
      </w:r>
      <w:r w:rsidRPr="00746844">
        <w:t xml:space="preserve">Describe any important history regarding this division or program not included in the general agency history section, including how the functions or </w:t>
      </w:r>
      <w:r w:rsidRPr="00746844">
        <w:lastRenderedPageBreak/>
        <w:t>services have changed over time. If the response to Section III of this report is sufficient, please leave this section blank.</w:t>
      </w:r>
      <w:r w:rsidRPr="00746844">
        <w:rPr>
          <w:b w:val="0"/>
        </w:rPr>
        <w:t> </w:t>
      </w:r>
    </w:p>
    <w:p w14:paraId="75EEB317" w14:textId="77777777" w:rsidR="00746844" w:rsidRPr="00746844" w:rsidRDefault="00746844" w:rsidP="007E5E2B">
      <w:pPr>
        <w:pStyle w:val="BodyText"/>
      </w:pPr>
      <w:r w:rsidRPr="00746844">
        <w:t>NA </w:t>
      </w:r>
    </w:p>
    <w:p w14:paraId="3C8E6341" w14:textId="05C60777" w:rsidR="00746844" w:rsidRPr="00746844" w:rsidRDefault="00746844" w:rsidP="00C75604">
      <w:pPr>
        <w:pStyle w:val="BodyText3"/>
        <w:ind w:left="720" w:hanging="720"/>
        <w:rPr>
          <w:b w:val="0"/>
        </w:rPr>
      </w:pPr>
      <w:r w:rsidRPr="00746844">
        <w:t>E.</w:t>
      </w:r>
      <w:r w:rsidR="007E5E2B">
        <w:rPr>
          <w:b w:val="0"/>
        </w:rPr>
        <w:tab/>
      </w:r>
      <w:r w:rsidRPr="00746844">
        <w:t>List any qualifications or eligibility requirements for persons or entities affected by this division or program (e.g., licensees, consumers, and landowners). Provide a statistical breakdown of persons or entities affected. </w:t>
      </w:r>
      <w:r w:rsidRPr="00746844">
        <w:rPr>
          <w:b w:val="0"/>
        </w:rPr>
        <w:t> </w:t>
      </w:r>
    </w:p>
    <w:p w14:paraId="53B6F449" w14:textId="77777777" w:rsidR="00746844" w:rsidRPr="00746844" w:rsidRDefault="00746844" w:rsidP="00746844">
      <w:pPr>
        <w:pStyle w:val="BodyText"/>
      </w:pPr>
      <w:r w:rsidRPr="00746844">
        <w:rPr>
          <w:b/>
          <w:bCs/>
        </w:rPr>
        <w:t>Unemployment Insurance Tax Collections</w:t>
      </w:r>
      <w:r w:rsidRPr="00746844">
        <w:t> </w:t>
      </w:r>
    </w:p>
    <w:p w14:paraId="2CC688CF" w14:textId="77777777" w:rsidR="00746844" w:rsidRPr="00746844" w:rsidRDefault="00746844" w:rsidP="00746844">
      <w:pPr>
        <w:pStyle w:val="BodyText"/>
      </w:pPr>
      <w:r w:rsidRPr="00746844">
        <w:t>Unemployment tax collection actions in Texas are fundamental to maintaining a stable economic environment, supporting workers during unemployment periods, and ensuring the long-term health of the state's labor market. Proper tax collection ensures that the Unemployment Compensation Fund remains adequately funded, enabling timely delivery of benefits during economic downturns. It also helps maintain a balanced burden between employers and the state, ensuring that businesses can continue to hire workers while providing financial safety for those who lose their jobs.  </w:t>
      </w:r>
    </w:p>
    <w:p w14:paraId="577B4371" w14:textId="77777777" w:rsidR="00746844" w:rsidRPr="00746844" w:rsidRDefault="00746844" w:rsidP="00746844">
      <w:pPr>
        <w:pStyle w:val="BodyText"/>
      </w:pPr>
      <w:r w:rsidRPr="00746844">
        <w:rPr>
          <w:b/>
          <w:bCs/>
        </w:rPr>
        <w:t>Unemployment Insurance Benefit Overpayment Collections</w:t>
      </w:r>
      <w:r w:rsidRPr="00746844">
        <w:t> </w:t>
      </w:r>
    </w:p>
    <w:p w14:paraId="2ED72283" w14:textId="77777777" w:rsidR="00746844" w:rsidRPr="00746844" w:rsidRDefault="00746844" w:rsidP="00746844">
      <w:pPr>
        <w:pStyle w:val="BodyText"/>
      </w:pPr>
      <w:r w:rsidRPr="00746844">
        <w:t>Unemployment benefits overpayment collection actions in Texas are vital for maintaining the financial health of the unemployment insurance system and ensuring that resources are available for legitimate claims. While the process of identifying and collecting overpayments is necessary to prevent misuse of the system, it can have wide-reaching effects on both the state and claimants. Efficient collection helps maintain the integrity of the system, preventing financial shortfalls and ensuring the availability of unemployment benefits for those who truly need them.  </w:t>
      </w:r>
    </w:p>
    <w:p w14:paraId="0E53DAFA" w14:textId="77777777" w:rsidR="00746844" w:rsidRPr="00746844" w:rsidRDefault="00746844" w:rsidP="00746844">
      <w:pPr>
        <w:pStyle w:val="BodyText"/>
      </w:pPr>
      <w:r w:rsidRPr="00746844">
        <w:rPr>
          <w:b/>
          <w:bCs/>
        </w:rPr>
        <w:t>Wage &amp; Hour (formally Labor Law) Collections</w:t>
      </w:r>
      <w:r w:rsidRPr="00746844">
        <w:t> </w:t>
      </w:r>
    </w:p>
    <w:p w14:paraId="42046510" w14:textId="77777777" w:rsidR="00746844" w:rsidRPr="00746844" w:rsidRDefault="00746844" w:rsidP="00746844">
      <w:pPr>
        <w:pStyle w:val="BodyText"/>
      </w:pPr>
      <w:r w:rsidRPr="00746844">
        <w:t>For claimants, collection actions are taken when workers are unable to receive their rightful wages, either due to employer neglect, misclassification, or disputes over pay. Pursuing a wage claim can provide a pathway for workers to recover unpaid wages and back pay.  </w:t>
      </w:r>
    </w:p>
    <w:p w14:paraId="3DA5F227" w14:textId="77777777" w:rsidR="00746844" w:rsidRPr="00746844" w:rsidRDefault="00746844" w:rsidP="00746844">
      <w:pPr>
        <w:pStyle w:val="BodyText"/>
      </w:pPr>
      <w:r w:rsidRPr="00746844">
        <w:t>The impact of wage claim collection actions taken against employers for wage claims can lead to reputational damage, especially if the issue becomes public or the employer is perceived as unfair in handling wage disputes. Employers are also faced with potential financial consequences, including having to repay the owed wages along with interest and possibly other penalties. If the employer is found in violation of Texas labor laws, it may lead to further legal consequences or even audits from the TWC. </w:t>
      </w:r>
    </w:p>
    <w:p w14:paraId="224785C1" w14:textId="60C1B3F8" w:rsidR="00746844" w:rsidRPr="00746844" w:rsidRDefault="00746844" w:rsidP="00C75604">
      <w:pPr>
        <w:pStyle w:val="BodyText3"/>
        <w:ind w:left="720" w:hanging="720"/>
        <w:rPr>
          <w:b w:val="0"/>
        </w:rPr>
      </w:pPr>
      <w:r w:rsidRPr="00746844">
        <w:t>F.</w:t>
      </w:r>
      <w:r w:rsidR="00343FEC">
        <w:tab/>
      </w:r>
      <w:r w:rsidRPr="00746844">
        <w:t xml:space="preserve">Describe how the division or program is administered, including a description of key processes involved. If you have existing documentation (e.g., flowcharts, timelines, and other illustrations) to describe agency policies and </w:t>
      </w:r>
      <w:r w:rsidRPr="00746844">
        <w:lastRenderedPageBreak/>
        <w:t>procedures, please include them as attachments. Indicate how field/regional services are used, if applicable. </w:t>
      </w:r>
      <w:r w:rsidRPr="00746844">
        <w:rPr>
          <w:b w:val="0"/>
        </w:rPr>
        <w:t> </w:t>
      </w:r>
    </w:p>
    <w:p w14:paraId="1E08AAEB" w14:textId="77777777" w:rsidR="00746844" w:rsidRPr="00746844" w:rsidRDefault="00746844" w:rsidP="00746844">
      <w:pPr>
        <w:pStyle w:val="BodyText"/>
      </w:pPr>
      <w:r w:rsidRPr="00746844">
        <w:t>TWC’s Collections and Civil Actions Department, within the Finance Division, is administered through a program-specific approach, each with its own processes and collection tools tailored to the nature of the debt. Key processes for each program include: </w:t>
      </w:r>
    </w:p>
    <w:p w14:paraId="6D359DBD" w14:textId="77777777" w:rsidR="00746844" w:rsidRPr="00746844" w:rsidRDefault="00746844" w:rsidP="00C64851">
      <w:pPr>
        <w:pStyle w:val="BodyText"/>
        <w:numPr>
          <w:ilvl w:val="0"/>
          <w:numId w:val="60"/>
        </w:numPr>
      </w:pPr>
      <w:r w:rsidRPr="00746844">
        <w:rPr>
          <w:b/>
          <w:bCs/>
        </w:rPr>
        <w:t>Texas Child Labor Law Collections:</w:t>
      </w:r>
      <w:r w:rsidRPr="00746844">
        <w:t xml:space="preserve"> Administered under Texas Labor Code, Chapter 51, collections are initiated based on thresholds established by the Fraud, Deterrence and Compliance Monitoring Division (FDCM). The department’s actions are limited to issuing notices of delinquency/freeze actions, also known as bank collection and placing warrant holds as defined under Texas Government Code 403.055, reporting debts to the Comptroller for offset against state funds. </w:t>
      </w:r>
    </w:p>
    <w:p w14:paraId="0D89F6A5" w14:textId="77777777" w:rsidR="00746844" w:rsidRPr="00746844" w:rsidRDefault="00746844" w:rsidP="00746844">
      <w:pPr>
        <w:pStyle w:val="BodyText"/>
      </w:pPr>
      <w:r w:rsidRPr="00746844">
        <w:rPr>
          <w:b/>
          <w:bCs/>
        </w:rPr>
        <w:t>Unemployment Insurance (claimant) Benefit Overpayment Collections:</w:t>
      </w:r>
      <w:r w:rsidRPr="00746844">
        <w:t xml:space="preserve"> Governed by the Texas Unemployment Compensation Act (TUCA), collections focus on reviewing claimants who received benefits they were not entitled to.  The primary method is </w:t>
      </w:r>
      <w:proofErr w:type="gramStart"/>
      <w:r w:rsidRPr="00746844">
        <w:t>claim</w:t>
      </w:r>
      <w:proofErr w:type="gramEnd"/>
      <w:r w:rsidRPr="00746844">
        <w:t xml:space="preserve"> absorption, where current benefits are automatically offset against established overpayments. Overpaid benefits are typically recovered in full before additional benefits are issued, with some exceptions as established under federal law. Additional automatic actions include warrant holds after 180 days of delinquency. Certain fraudulent overpayments are also referred to the Treasury Offset Program after one year of delinquency for federal income tax return offsets. Claimants receive automatic statements regarding overpayment determinations, balance changes, collection actions, warnings, and payment options. Collections staff provide information to claimants, advise on payment methods, and review accounts for reduced payment plans. </w:t>
      </w:r>
    </w:p>
    <w:p w14:paraId="0DE7619F" w14:textId="77777777" w:rsidR="00746844" w:rsidRPr="00746844" w:rsidRDefault="00746844" w:rsidP="00C64851">
      <w:pPr>
        <w:pStyle w:val="BodyText"/>
        <w:numPr>
          <w:ilvl w:val="0"/>
          <w:numId w:val="61"/>
        </w:numPr>
      </w:pPr>
      <w:r w:rsidRPr="00746844">
        <w:rPr>
          <w:b/>
          <w:bCs/>
        </w:rPr>
        <w:t>Unemployment Insurance Employer Tax/Contribution Collections: Also</w:t>
      </w:r>
      <w:r w:rsidRPr="00746844">
        <w:t xml:space="preserve"> administered under TUCA, this program aims to collect delinquent unemployment taxes from employers to support the state's Unemployment Compensation Fund. A progressive approach is used, with increasing dollar thresholds for escalating collection actions. These actions include delinquency notices, liens, bank collection action (account freezes and levies), and assessments.  Simultaneously with lien actions, debts are referred to the Comptroller for warrant holds. </w:t>
      </w:r>
    </w:p>
    <w:p w14:paraId="0098C8AA" w14:textId="5C4BC182" w:rsidR="00746844" w:rsidRPr="00746844" w:rsidRDefault="00746844" w:rsidP="00C64851">
      <w:pPr>
        <w:pStyle w:val="BodyText"/>
        <w:numPr>
          <w:ilvl w:val="0"/>
          <w:numId w:val="62"/>
        </w:numPr>
      </w:pPr>
      <w:r w:rsidRPr="00746844">
        <w:rPr>
          <w:b/>
          <w:bCs/>
        </w:rPr>
        <w:t>Vocational Rehabilitation (VR) Overpayment Collections</w:t>
      </w:r>
      <w:r w:rsidRPr="00746844">
        <w:t>: Implemented following the VR program’s transfer to TWC in 2016, a cross-divisional review team completes Remedial Action Reviews and assesses VR contractor issues and determines if collection is necessary.  The VR panel determines which cases are referred to the Collections Department, where actions are currently limited to warrant holds and referral to the Office of the Attorney General for enforcement. </w:t>
      </w:r>
    </w:p>
    <w:p w14:paraId="0056CDB5" w14:textId="77777777" w:rsidR="00746844" w:rsidRPr="00746844" w:rsidRDefault="00746844" w:rsidP="00C64851">
      <w:pPr>
        <w:pStyle w:val="BodyText"/>
        <w:numPr>
          <w:ilvl w:val="0"/>
          <w:numId w:val="63"/>
        </w:numPr>
      </w:pPr>
      <w:r w:rsidRPr="00746844">
        <w:rPr>
          <w:b/>
          <w:bCs/>
        </w:rPr>
        <w:t>Child Care Overpayment Collections:</w:t>
      </w:r>
      <w:r w:rsidRPr="00746844">
        <w:t xml:space="preserve"> Initiated based on findings from FDCM’s Suspected Fraud Reporting and Fact-Finding in Child Care Program requirements.  Workforce Boards review potential fraud, waste and abuse and issue a determination.  If improper receipt of funds is confirmed, corrective action, </w:t>
      </w:r>
      <w:r w:rsidRPr="00746844">
        <w:lastRenderedPageBreak/>
        <w:t>including collection, is pursued. Cases are referred to the Collections Department after FDCM issues notices to the responsible party. Current collection actions are limited to offsetting future state payments via warrants hold under the Comptroller’s hold program.  </w:t>
      </w:r>
    </w:p>
    <w:p w14:paraId="2E8EBE79" w14:textId="69723C2D" w:rsidR="00746844" w:rsidRPr="00746844" w:rsidRDefault="00746844" w:rsidP="00C75604">
      <w:pPr>
        <w:pStyle w:val="BodyText3"/>
        <w:ind w:left="720" w:hanging="720"/>
        <w:rPr>
          <w:b w:val="0"/>
        </w:rPr>
      </w:pPr>
      <w:r w:rsidRPr="00746844">
        <w:t>G.</w:t>
      </w:r>
      <w:r w:rsidR="00343FEC">
        <w:tab/>
      </w:r>
      <w:r w:rsidRPr="00746844">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746844">
        <w:rPr>
          <w:i/>
          <w:iCs/>
        </w:rPr>
        <w:t>(If you have already submitted funding source info through the “Agency Program Information” spreadsheet, please limit your response to funding formulas or funding conventions.) </w:t>
      </w:r>
      <w:r w:rsidRPr="00746844">
        <w:rPr>
          <w:b w:val="0"/>
        </w:rPr>
        <w:t> </w:t>
      </w:r>
    </w:p>
    <w:tbl>
      <w:tblPr>
        <w:tblStyle w:val="TableGrid1"/>
        <w:tblW w:w="9360" w:type="dxa"/>
        <w:tblCellMar>
          <w:top w:w="58" w:type="dxa"/>
          <w:bottom w:w="58" w:type="dxa"/>
        </w:tblCellMar>
        <w:tblLook w:val="04A0" w:firstRow="1" w:lastRow="0" w:firstColumn="1" w:lastColumn="0" w:noHBand="0" w:noVBand="1"/>
      </w:tblPr>
      <w:tblGrid>
        <w:gridCol w:w="2880"/>
        <w:gridCol w:w="2403"/>
        <w:gridCol w:w="2109"/>
        <w:gridCol w:w="1968"/>
      </w:tblGrid>
      <w:tr w:rsidR="008C5FA9" w:rsidRPr="000740D7" w14:paraId="6F3D9EAE" w14:textId="77777777">
        <w:trPr>
          <w:trHeight w:val="518"/>
        </w:trPr>
        <w:tc>
          <w:tcPr>
            <w:tcW w:w="2880" w:type="dxa"/>
            <w:shd w:val="clear" w:color="auto" w:fill="B8CCE4" w:themeFill="accent1" w:themeFillTint="66"/>
            <w:vAlign w:val="center"/>
            <w:hideMark/>
          </w:tcPr>
          <w:p w14:paraId="36440B86" w14:textId="77777777" w:rsidR="008C5FA9" w:rsidRPr="00393F2F" w:rsidRDefault="008C5FA9">
            <w:pPr>
              <w:pStyle w:val="TableHeaders"/>
              <w:rPr>
                <w:color w:val="000000"/>
              </w:rPr>
            </w:pPr>
            <w:r w:rsidRPr="00393F2F">
              <w:t>Program or Function Detail Description</w:t>
            </w:r>
          </w:p>
        </w:tc>
        <w:tc>
          <w:tcPr>
            <w:tcW w:w="2700" w:type="dxa"/>
            <w:shd w:val="clear" w:color="auto" w:fill="B8CCE4" w:themeFill="accent1" w:themeFillTint="66"/>
            <w:vAlign w:val="center"/>
            <w:hideMark/>
          </w:tcPr>
          <w:p w14:paraId="6B7AEA5F" w14:textId="77777777" w:rsidR="008C5FA9" w:rsidRPr="00393F2F" w:rsidRDefault="008C5FA9">
            <w:pPr>
              <w:pStyle w:val="TableHeaders"/>
              <w:rPr>
                <w:color w:val="000000"/>
              </w:rPr>
            </w:pPr>
            <w:r w:rsidRPr="00393F2F">
              <w:t>Total FY 2024</w:t>
            </w:r>
          </w:p>
        </w:tc>
        <w:tc>
          <w:tcPr>
            <w:tcW w:w="2340" w:type="dxa"/>
            <w:shd w:val="clear" w:color="auto" w:fill="B8CCE4" w:themeFill="accent1" w:themeFillTint="66"/>
            <w:vAlign w:val="center"/>
            <w:hideMark/>
          </w:tcPr>
          <w:p w14:paraId="657E1E6B" w14:textId="77777777" w:rsidR="008C5FA9" w:rsidRPr="00393F2F" w:rsidRDefault="008C5FA9">
            <w:pPr>
              <w:pStyle w:val="TableHeaders"/>
              <w:rPr>
                <w:color w:val="000000"/>
              </w:rPr>
            </w:pPr>
            <w:r w:rsidRPr="00393F2F">
              <w:t>Federal Funding</w:t>
            </w:r>
          </w:p>
        </w:tc>
        <w:tc>
          <w:tcPr>
            <w:tcW w:w="2191" w:type="dxa"/>
            <w:shd w:val="clear" w:color="auto" w:fill="B8CCE4" w:themeFill="accent1" w:themeFillTint="66"/>
            <w:vAlign w:val="center"/>
            <w:hideMark/>
          </w:tcPr>
          <w:p w14:paraId="3261DBE5" w14:textId="77777777" w:rsidR="008C5FA9" w:rsidRPr="00393F2F" w:rsidRDefault="008C5FA9">
            <w:pPr>
              <w:pStyle w:val="TableHeaders"/>
              <w:rPr>
                <w:color w:val="000000"/>
              </w:rPr>
            </w:pPr>
            <w:r w:rsidRPr="00393F2F">
              <w:t>State Funding</w:t>
            </w:r>
          </w:p>
        </w:tc>
      </w:tr>
      <w:tr w:rsidR="008C5FA9" w:rsidRPr="000740D7" w14:paraId="710DF9C3" w14:textId="77777777">
        <w:trPr>
          <w:trHeight w:val="278"/>
        </w:trPr>
        <w:tc>
          <w:tcPr>
            <w:tcW w:w="2880" w:type="dxa"/>
            <w:noWrap/>
            <w:vAlign w:val="center"/>
            <w:hideMark/>
          </w:tcPr>
          <w:p w14:paraId="29FD65C9" w14:textId="77777777" w:rsidR="008C5FA9" w:rsidRPr="00393F2F" w:rsidRDefault="008C5FA9">
            <w:pPr>
              <w:pStyle w:val="TableText"/>
            </w:pPr>
            <w:r w:rsidRPr="00393F2F">
              <w:t xml:space="preserve">Collections </w:t>
            </w:r>
            <w:r>
              <w:t>and</w:t>
            </w:r>
            <w:r w:rsidRPr="00393F2F">
              <w:t xml:space="preserve"> Legal Enforcement Services</w:t>
            </w:r>
          </w:p>
        </w:tc>
        <w:tc>
          <w:tcPr>
            <w:tcW w:w="2700" w:type="dxa"/>
            <w:vAlign w:val="center"/>
            <w:hideMark/>
          </w:tcPr>
          <w:p w14:paraId="79368B23" w14:textId="77777777" w:rsidR="008C5FA9" w:rsidRPr="00393F2F" w:rsidRDefault="008C5FA9">
            <w:pPr>
              <w:pStyle w:val="TableText"/>
              <w:jc w:val="right"/>
            </w:pPr>
            <w:r w:rsidRPr="00393F2F">
              <w:t xml:space="preserve">1,813,188 </w:t>
            </w:r>
          </w:p>
        </w:tc>
        <w:tc>
          <w:tcPr>
            <w:tcW w:w="2340" w:type="dxa"/>
            <w:vAlign w:val="center"/>
            <w:hideMark/>
          </w:tcPr>
          <w:p w14:paraId="3C84A39E" w14:textId="77777777" w:rsidR="008C5FA9" w:rsidRPr="00393F2F" w:rsidRDefault="008C5FA9">
            <w:pPr>
              <w:pStyle w:val="TableText"/>
              <w:jc w:val="right"/>
            </w:pPr>
            <w:r w:rsidRPr="00393F2F">
              <w:t xml:space="preserve">1,704,932 </w:t>
            </w:r>
          </w:p>
        </w:tc>
        <w:tc>
          <w:tcPr>
            <w:tcW w:w="2191" w:type="dxa"/>
            <w:vAlign w:val="center"/>
            <w:hideMark/>
          </w:tcPr>
          <w:p w14:paraId="4785BF70" w14:textId="77777777" w:rsidR="008C5FA9" w:rsidRPr="00393F2F" w:rsidRDefault="008C5FA9">
            <w:pPr>
              <w:pStyle w:val="TableText"/>
              <w:jc w:val="right"/>
            </w:pPr>
            <w:r w:rsidRPr="00393F2F">
              <w:t xml:space="preserve">108,256 </w:t>
            </w:r>
          </w:p>
        </w:tc>
      </w:tr>
    </w:tbl>
    <w:p w14:paraId="4BFC3051" w14:textId="3B5675CB" w:rsidR="00746844" w:rsidRPr="00746844" w:rsidRDefault="00746844" w:rsidP="00C75604">
      <w:pPr>
        <w:pStyle w:val="BodyText"/>
        <w:ind w:left="720" w:hanging="720"/>
      </w:pPr>
      <w:r w:rsidRPr="00746844">
        <w:rPr>
          <w:b/>
          <w:bCs/>
        </w:rPr>
        <w:t>H.</w:t>
      </w:r>
      <w:r w:rsidR="00343FEC">
        <w:rPr>
          <w:b/>
          <w:bCs/>
        </w:rPr>
        <w:tab/>
      </w:r>
      <w:r w:rsidRPr="00746844">
        <w:rPr>
          <w:b/>
          <w:bCs/>
        </w:rP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r w:rsidRPr="00746844">
        <w:t> </w:t>
      </w:r>
    </w:p>
    <w:p w14:paraId="52C888C0" w14:textId="77777777" w:rsidR="00746844" w:rsidRPr="00746844" w:rsidRDefault="00746844" w:rsidP="00746844">
      <w:pPr>
        <w:pStyle w:val="BodyText"/>
      </w:pPr>
      <w:r w:rsidRPr="00746844">
        <w:t>NA </w:t>
      </w:r>
    </w:p>
    <w:p w14:paraId="2DB39B21" w14:textId="1DD7A918" w:rsidR="00746844" w:rsidRPr="00746844" w:rsidRDefault="00746844" w:rsidP="00C75604">
      <w:pPr>
        <w:pStyle w:val="BodyText"/>
        <w:ind w:left="720" w:hanging="720"/>
      </w:pPr>
      <w:r w:rsidRPr="00746844">
        <w:rPr>
          <w:b/>
          <w:bCs/>
        </w:rPr>
        <w:t>I.</w:t>
      </w:r>
      <w:r w:rsidR="00343FEC">
        <w:rPr>
          <w:b/>
          <w:bCs/>
        </w:rPr>
        <w:tab/>
      </w:r>
      <w:r w:rsidRPr="00746844">
        <w:rPr>
          <w:b/>
          <w:bCs/>
        </w:rPr>
        <w:t>If the division or program works with local, regional, or federal units of government, include a brief description of these entities and their relationship to the agency. </w:t>
      </w:r>
      <w:r w:rsidRPr="00746844">
        <w:t> </w:t>
      </w:r>
    </w:p>
    <w:p w14:paraId="31DAAF7D" w14:textId="77777777" w:rsidR="00746844" w:rsidRPr="00746844" w:rsidRDefault="00746844" w:rsidP="00746844">
      <w:pPr>
        <w:pStyle w:val="BodyText"/>
      </w:pPr>
      <w:r w:rsidRPr="00746844">
        <w:t>Benefits Overpayment Collections participates in the Interstate Reciprocal Overpayment Recovery Arrangement (IRORA) whereby benefit overpayment are referred to participating states UI programs for recovery when it is discovered that a benefit claimant is receiving unemployment benefits in another state that may be used to offset the overpayment.  </w:t>
      </w:r>
    </w:p>
    <w:p w14:paraId="4A1064E9" w14:textId="67ABB8E6" w:rsidR="00746844" w:rsidRPr="00746844" w:rsidRDefault="00746844" w:rsidP="00C75604">
      <w:pPr>
        <w:pStyle w:val="BodyText"/>
        <w:ind w:left="720" w:hanging="720"/>
      </w:pPr>
      <w:r w:rsidRPr="00746844">
        <w:rPr>
          <w:b/>
          <w:bCs/>
        </w:rPr>
        <w:t>J.</w:t>
      </w:r>
      <w:r w:rsidR="00343FEC">
        <w:rPr>
          <w:b/>
          <w:bCs/>
        </w:rPr>
        <w:tab/>
      </w:r>
      <w:r w:rsidRPr="00746844">
        <w:rPr>
          <w:b/>
          <w:bCs/>
        </w:rPr>
        <w:t>Are there any barriers or challenges that impede the division or program’s performance, including any outdated or ineffective state laws? Explain. </w:t>
      </w:r>
      <w:r w:rsidRPr="00746844">
        <w:t> </w:t>
      </w:r>
    </w:p>
    <w:p w14:paraId="70411356" w14:textId="3E2A16BF" w:rsidR="00746844" w:rsidRPr="00746844" w:rsidRDefault="00746844" w:rsidP="00746844">
      <w:pPr>
        <w:pStyle w:val="BodyText"/>
      </w:pPr>
      <w:r w:rsidRPr="00746844">
        <w:t>Lack of statutory authority for collection tools in areas of Child Care overpayments and V</w:t>
      </w:r>
      <w:r w:rsidR="00F853E7">
        <w:t>R</w:t>
      </w:r>
      <w:r w:rsidRPr="00746844">
        <w:t xml:space="preserve"> overpayments reduce the potential for recoupment of those funds.   </w:t>
      </w:r>
    </w:p>
    <w:p w14:paraId="23AFE7AF" w14:textId="0D4A6DAD" w:rsidR="00746844" w:rsidRPr="00746844" w:rsidRDefault="00746844" w:rsidP="00C75604">
      <w:pPr>
        <w:pStyle w:val="BodyText"/>
        <w:ind w:left="720" w:hanging="720"/>
      </w:pPr>
      <w:r w:rsidRPr="00746844">
        <w:rPr>
          <w:b/>
          <w:bCs/>
        </w:rPr>
        <w:t>K.</w:t>
      </w:r>
      <w:r w:rsidR="00343FEC">
        <w:rPr>
          <w:b/>
          <w:bCs/>
        </w:rPr>
        <w:tab/>
      </w:r>
      <w:r w:rsidRPr="00746844">
        <w:rPr>
          <w:b/>
          <w:bCs/>
        </w:rPr>
        <w:t>Provide any additional information needed to gain a preliminary understanding of the division or program. </w:t>
      </w:r>
      <w:r w:rsidRPr="00746844">
        <w:t> </w:t>
      </w:r>
    </w:p>
    <w:p w14:paraId="7E07B9DC" w14:textId="77777777" w:rsidR="00746844" w:rsidRPr="00746844" w:rsidRDefault="00746844" w:rsidP="00746844">
      <w:pPr>
        <w:pStyle w:val="BodyText"/>
      </w:pPr>
      <w:r w:rsidRPr="00746844">
        <w:t>NA </w:t>
      </w:r>
    </w:p>
    <w:p w14:paraId="13AC36CB" w14:textId="62BF27A3" w:rsidR="00746844" w:rsidRPr="00746844" w:rsidRDefault="00746844" w:rsidP="00C75604">
      <w:pPr>
        <w:pStyle w:val="BodyText"/>
        <w:ind w:left="720" w:hanging="720"/>
      </w:pPr>
      <w:r w:rsidRPr="00746844">
        <w:rPr>
          <w:b/>
          <w:bCs/>
        </w:rPr>
        <w:lastRenderedPageBreak/>
        <w:t>L.</w:t>
      </w:r>
      <w:r w:rsidR="00343FEC">
        <w:rPr>
          <w:b/>
          <w:bCs/>
        </w:rPr>
        <w:tab/>
      </w:r>
      <w:r w:rsidRPr="00746844">
        <w:rPr>
          <w:b/>
          <w:bCs/>
        </w:rPr>
        <w:t>Regulatory programs relate to the licensing, registration, certification, or permitting of a person, business, piece of equipment, or other entity (e.g., a facility). For each regulatory program, if applicable, describe:</w:t>
      </w:r>
    </w:p>
    <w:p w14:paraId="41065E86" w14:textId="77777777" w:rsidR="00746844" w:rsidRPr="00746844" w:rsidRDefault="00746844" w:rsidP="00746844">
      <w:pPr>
        <w:pStyle w:val="BodyText"/>
      </w:pPr>
      <w:r w:rsidRPr="00746844">
        <w:t>NA </w:t>
      </w:r>
    </w:p>
    <w:p w14:paraId="3E831076" w14:textId="2314D493" w:rsidR="00746844" w:rsidRPr="00746844" w:rsidRDefault="00746844" w:rsidP="00C75604">
      <w:pPr>
        <w:pStyle w:val="BodyText"/>
        <w:ind w:left="720" w:hanging="720"/>
      </w:pPr>
      <w:r w:rsidRPr="00746844">
        <w:rPr>
          <w:b/>
          <w:bCs/>
        </w:rPr>
        <w:t>M.</w:t>
      </w:r>
      <w:r w:rsidR="001F13E5">
        <w:rPr>
          <w:b/>
          <w:bCs/>
        </w:rPr>
        <w:tab/>
      </w:r>
      <w:r w:rsidRPr="00746844">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746844">
        <w:t> </w:t>
      </w:r>
    </w:p>
    <w:p w14:paraId="016A43CF" w14:textId="77777777" w:rsidR="001E5B03" w:rsidRDefault="00746844" w:rsidP="00D67F61">
      <w:pPr>
        <w:pStyle w:val="BodyText"/>
      </w:pPr>
      <w:r w:rsidRPr="00746844">
        <w:t>NA</w:t>
      </w:r>
    </w:p>
    <w:p w14:paraId="4877A80F" w14:textId="64B809E7" w:rsidR="00231F23" w:rsidRDefault="00231F23" w:rsidP="00D67F61">
      <w:pPr>
        <w:pStyle w:val="BodyText"/>
      </w:pPr>
    </w:p>
    <w:p w14:paraId="5D66D20E" w14:textId="6BBF9123" w:rsidR="00047319" w:rsidRPr="003974BF" w:rsidRDefault="00E56C7B" w:rsidP="003974BF">
      <w:pPr>
        <w:pStyle w:val="BodyText"/>
        <w:rPr>
          <w:b/>
          <w:bCs/>
        </w:rPr>
      </w:pPr>
      <w:r>
        <w:rPr>
          <w:b/>
          <w:bCs/>
        </w:rPr>
        <w:t>Legal Enforcement Services</w:t>
      </w:r>
    </w:p>
    <w:p w14:paraId="4C9553C7" w14:textId="77777777" w:rsidR="00047319" w:rsidRPr="00047319" w:rsidRDefault="00047319" w:rsidP="003974BF">
      <w:pPr>
        <w:pStyle w:val="BodyText3"/>
        <w:rPr>
          <w:rFonts w:ascii="Segoe UI" w:hAnsi="Segoe UI" w:cs="Segoe UI"/>
          <w:b w:val="0"/>
          <w:sz w:val="18"/>
          <w:szCs w:val="18"/>
        </w:rPr>
      </w:pPr>
      <w:r w:rsidRPr="00047319">
        <w:t xml:space="preserve">A. </w:t>
      </w:r>
      <w:r w:rsidRPr="00047319">
        <w:rPr>
          <w:b w:val="0"/>
        </w:rPr>
        <w:tab/>
      </w:r>
      <w:r w:rsidRPr="00047319">
        <w:t>Provide the following information at the beginning of each description. </w:t>
      </w:r>
      <w:r w:rsidRPr="00047319">
        <w:rPr>
          <w:b w:val="0"/>
        </w:rPr>
        <w:t> </w:t>
      </w:r>
    </w:p>
    <w:p w14:paraId="1CB3849C" w14:textId="1A053AC7" w:rsidR="00047319" w:rsidRPr="00BE1730" w:rsidRDefault="00047319" w:rsidP="00C64851">
      <w:pPr>
        <w:pStyle w:val="BodyText"/>
        <w:numPr>
          <w:ilvl w:val="0"/>
          <w:numId w:val="328"/>
        </w:numPr>
        <w:spacing w:before="120" w:after="120"/>
        <w:rPr>
          <w:rStyle w:val="BodyTextChar"/>
          <w:b/>
        </w:rPr>
      </w:pPr>
      <w:r w:rsidRPr="00BE1730">
        <w:t xml:space="preserve">Name of division or program: </w:t>
      </w:r>
      <w:r w:rsidRPr="00BE1730">
        <w:rPr>
          <w:rStyle w:val="BodyTextChar"/>
        </w:rPr>
        <w:t>Collections &amp; Civil Actions Department </w:t>
      </w:r>
    </w:p>
    <w:p w14:paraId="636EFEBA" w14:textId="77777777" w:rsidR="00047319" w:rsidRPr="00BE1730" w:rsidRDefault="00047319" w:rsidP="00C64851">
      <w:pPr>
        <w:pStyle w:val="BodyText"/>
        <w:numPr>
          <w:ilvl w:val="0"/>
          <w:numId w:val="328"/>
        </w:numPr>
        <w:spacing w:before="120" w:after="120"/>
        <w:rPr>
          <w:rStyle w:val="BodyTextChar"/>
          <w:b/>
        </w:rPr>
      </w:pPr>
      <w:r w:rsidRPr="00BE1730">
        <w:t xml:space="preserve">Location within the agency: </w:t>
      </w:r>
      <w:r w:rsidRPr="00BE1730">
        <w:rPr>
          <w:rStyle w:val="BodyTextChar"/>
        </w:rPr>
        <w:t>Finance Division  </w:t>
      </w:r>
    </w:p>
    <w:p w14:paraId="0EC07A81" w14:textId="77777777" w:rsidR="00047319" w:rsidRPr="00BE1730" w:rsidRDefault="00047319" w:rsidP="00C64851">
      <w:pPr>
        <w:pStyle w:val="BodyText"/>
        <w:numPr>
          <w:ilvl w:val="0"/>
          <w:numId w:val="328"/>
        </w:numPr>
        <w:spacing w:before="120" w:after="120"/>
        <w:rPr>
          <w:rStyle w:val="BodyTextChar"/>
          <w:b/>
        </w:rPr>
      </w:pPr>
      <w:r w:rsidRPr="00BE1730">
        <w:t xml:space="preserve">Contact name: </w:t>
      </w:r>
      <w:r w:rsidRPr="00BE1730">
        <w:rPr>
          <w:rStyle w:val="BodyTextChar"/>
        </w:rPr>
        <w:t>Angelo Ferrazzano </w:t>
      </w:r>
    </w:p>
    <w:p w14:paraId="6B60D5CF" w14:textId="77777777" w:rsidR="00047319" w:rsidRPr="00BE1730" w:rsidRDefault="00047319" w:rsidP="00C64851">
      <w:pPr>
        <w:pStyle w:val="BodyText"/>
        <w:numPr>
          <w:ilvl w:val="0"/>
          <w:numId w:val="328"/>
        </w:numPr>
        <w:spacing w:before="120" w:after="120"/>
      </w:pPr>
      <w:r w:rsidRPr="00BE1730">
        <w:t>Statutory citation: </w:t>
      </w:r>
    </w:p>
    <w:p w14:paraId="7CF76965" w14:textId="4421707E" w:rsidR="00047319" w:rsidRPr="00BE1730" w:rsidRDefault="00047319" w:rsidP="00C64851">
      <w:pPr>
        <w:pStyle w:val="BodyText"/>
        <w:numPr>
          <w:ilvl w:val="1"/>
          <w:numId w:val="328"/>
        </w:numPr>
        <w:spacing w:before="120" w:after="120"/>
      </w:pPr>
      <w:r w:rsidRPr="00BE1730">
        <w:t>For employers: Texas Unemployment Compensation Act, Sec</w:t>
      </w:r>
      <w:r w:rsidR="00E04D6C">
        <w:t>tion</w:t>
      </w:r>
      <w:r w:rsidRPr="00BE1730">
        <w:t xml:space="preserve"> 213.031</w:t>
      </w:r>
      <w:r w:rsidR="00E04D6C">
        <w:t xml:space="preserve"> -</w:t>
      </w:r>
      <w:r w:rsidRPr="00BE1730">
        <w:t xml:space="preserve"> Sec. 213.036  </w:t>
      </w:r>
    </w:p>
    <w:p w14:paraId="3A9349FE" w14:textId="39DBAA20" w:rsidR="00047319" w:rsidRPr="00BE1730" w:rsidRDefault="00047319" w:rsidP="00C64851">
      <w:pPr>
        <w:pStyle w:val="BodyText"/>
        <w:numPr>
          <w:ilvl w:val="1"/>
          <w:numId w:val="328"/>
        </w:numPr>
        <w:spacing w:before="120" w:after="120"/>
      </w:pPr>
      <w:r w:rsidRPr="00BE1730">
        <w:t xml:space="preserve">For benefit claimants: </w:t>
      </w:r>
      <w:r w:rsidR="00E04D6C" w:rsidRPr="00BE1730">
        <w:t>Texas Unemployment Compensation Act, Sec</w:t>
      </w:r>
      <w:r w:rsidR="00E04D6C">
        <w:t>tion</w:t>
      </w:r>
      <w:r w:rsidR="00E04D6C" w:rsidRPr="00BE1730">
        <w:t xml:space="preserve"> </w:t>
      </w:r>
      <w:r w:rsidRPr="00BE1730">
        <w:t>212.006 (b) </w:t>
      </w:r>
    </w:p>
    <w:p w14:paraId="3C1D857C" w14:textId="69509AFA" w:rsidR="00047319" w:rsidRPr="00047319" w:rsidRDefault="00047319" w:rsidP="00AF6A0C">
      <w:pPr>
        <w:pStyle w:val="BodyText3"/>
        <w:ind w:left="720" w:hanging="720"/>
        <w:rPr>
          <w:rFonts w:ascii="Segoe UI" w:hAnsi="Segoe UI" w:cs="Segoe UI"/>
          <w:b w:val="0"/>
          <w:sz w:val="18"/>
          <w:szCs w:val="18"/>
        </w:rPr>
      </w:pPr>
      <w:r w:rsidRPr="00047319">
        <w:t xml:space="preserve">B. </w:t>
      </w:r>
      <w:r w:rsidRPr="00047319">
        <w:rPr>
          <w:b w:val="0"/>
        </w:rPr>
        <w:tab/>
      </w:r>
      <w:r w:rsidRPr="00047319">
        <w:t>What is the objective of this division or program? Describe its major activities.</w:t>
      </w:r>
    </w:p>
    <w:p w14:paraId="58830230" w14:textId="3C4693E6" w:rsidR="00047319" w:rsidRPr="0074134F" w:rsidRDefault="00047319" w:rsidP="0074134F">
      <w:pPr>
        <w:pStyle w:val="BodyText"/>
      </w:pPr>
      <w:r w:rsidRPr="0074134F">
        <w:t>TWC is authorized under the indicated statutes to issue assessments against employers and claimants who have UI delinquencies for past-due contributions or benefit overpayments, to aid in collection of the amounts due.  These assessments also allow the indicated party to contest the debt in court. If the party does not contest the assessment in court within 30 days of the assessment service, the assessment becomes final and is the equivalent of a court order.</w:t>
      </w:r>
    </w:p>
    <w:p w14:paraId="6B806831" w14:textId="0D64B244" w:rsidR="00047319" w:rsidRPr="00047319" w:rsidRDefault="00047319" w:rsidP="00AF6A0C">
      <w:pPr>
        <w:pStyle w:val="BodyText3"/>
        <w:ind w:left="720" w:hanging="720"/>
        <w:rPr>
          <w:rFonts w:ascii="Segoe UI" w:hAnsi="Segoe UI" w:cs="Segoe UI"/>
          <w:b w:val="0"/>
          <w:sz w:val="18"/>
          <w:szCs w:val="18"/>
        </w:rPr>
      </w:pPr>
      <w:r w:rsidRPr="00047319">
        <w:lastRenderedPageBreak/>
        <w:t>C.</w:t>
      </w:r>
      <w:r w:rsidRPr="00047319">
        <w:rPr>
          <w:b w:val="0"/>
        </w:rPr>
        <w:tab/>
      </w:r>
      <w:r w:rsidRPr="00047319">
        <w:t xml:space="preserve">What information does the agency collect/use to assess the effectiveness and efficiency of this division or program? If applicable, briefly note any LBB performance measures (from Section II, </w:t>
      </w:r>
      <w:proofErr w:type="gramStart"/>
      <w:r w:rsidRPr="00047319">
        <w:t>Exhibit</w:t>
      </w:r>
      <w:proofErr w:type="gramEnd"/>
      <w:r w:rsidRPr="00047319">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w:t>
      </w:r>
      <w:r w:rsidRPr="0074134F">
        <w:t>  </w:t>
      </w:r>
    </w:p>
    <w:p w14:paraId="382A02B5" w14:textId="1ABE41B6" w:rsidR="00047319" w:rsidRPr="00047319" w:rsidRDefault="00047319" w:rsidP="00047319">
      <w:pPr>
        <w:textAlignment w:val="baseline"/>
        <w:rPr>
          <w:rFonts w:ascii="Segoe UI" w:eastAsia="Times New Roman" w:hAnsi="Segoe UI" w:cs="Segoe UI"/>
          <w:b/>
          <w:spacing w:val="0"/>
          <w:kern w:val="0"/>
          <w:sz w:val="18"/>
          <w:szCs w:val="18"/>
        </w:rPr>
      </w:pPr>
    </w:p>
    <w:tbl>
      <w:tblPr>
        <w:tblStyle w:val="TableGrid1"/>
        <w:tblW w:w="0" w:type="dxa"/>
        <w:tblCellMar>
          <w:top w:w="58" w:type="dxa"/>
          <w:bottom w:w="58" w:type="dxa"/>
        </w:tblCellMar>
        <w:tblLook w:val="04A0" w:firstRow="1" w:lastRow="0" w:firstColumn="1" w:lastColumn="0" w:noHBand="0" w:noVBand="1"/>
      </w:tblPr>
      <w:tblGrid>
        <w:gridCol w:w="1576"/>
        <w:gridCol w:w="1593"/>
        <w:gridCol w:w="1593"/>
        <w:gridCol w:w="1488"/>
        <w:gridCol w:w="1500"/>
        <w:gridCol w:w="1600"/>
      </w:tblGrid>
      <w:tr w:rsidR="0041242D" w:rsidRPr="00047319" w14:paraId="61E948D3" w14:textId="77777777" w:rsidTr="0041242D">
        <w:trPr>
          <w:trHeight w:val="300"/>
        </w:trPr>
        <w:tc>
          <w:tcPr>
            <w:tcW w:w="2070" w:type="dxa"/>
            <w:shd w:val="clear" w:color="auto" w:fill="B8CCE4" w:themeFill="accent1" w:themeFillTint="66"/>
            <w:vAlign w:val="center"/>
            <w:hideMark/>
          </w:tcPr>
          <w:p w14:paraId="3EB6AA9A" w14:textId="1846B461" w:rsidR="00047319" w:rsidRPr="00047319" w:rsidRDefault="00047319" w:rsidP="0041242D">
            <w:pPr>
              <w:pStyle w:val="TableHeaders"/>
              <w:rPr>
                <w:rFonts w:ascii="Times New Roman" w:hAnsi="Times New Roman" w:cs="Times New Roman"/>
                <w:b w:val="0"/>
                <w:sz w:val="24"/>
                <w:szCs w:val="24"/>
              </w:rPr>
            </w:pPr>
            <w:r w:rsidRPr="00047319">
              <w:t>Assessment Action</w:t>
            </w:r>
          </w:p>
        </w:tc>
        <w:tc>
          <w:tcPr>
            <w:tcW w:w="1395" w:type="dxa"/>
            <w:shd w:val="clear" w:color="auto" w:fill="B8CCE4" w:themeFill="accent1" w:themeFillTint="66"/>
            <w:vAlign w:val="center"/>
            <w:hideMark/>
          </w:tcPr>
          <w:p w14:paraId="00BBAF6A" w14:textId="6B829F4A" w:rsidR="00047319" w:rsidRPr="00047319" w:rsidRDefault="00047319" w:rsidP="0041242D">
            <w:pPr>
              <w:pStyle w:val="TableHeaders"/>
              <w:rPr>
                <w:rFonts w:ascii="Times New Roman" w:hAnsi="Times New Roman" w:cs="Times New Roman"/>
                <w:b w:val="0"/>
                <w:sz w:val="24"/>
                <w:szCs w:val="24"/>
              </w:rPr>
            </w:pPr>
            <w:r w:rsidRPr="00047319">
              <w:t>FY20</w:t>
            </w:r>
          </w:p>
        </w:tc>
        <w:tc>
          <w:tcPr>
            <w:tcW w:w="1380" w:type="dxa"/>
            <w:shd w:val="clear" w:color="auto" w:fill="B8CCE4" w:themeFill="accent1" w:themeFillTint="66"/>
            <w:vAlign w:val="center"/>
            <w:hideMark/>
          </w:tcPr>
          <w:p w14:paraId="3B452457" w14:textId="0D25C09D" w:rsidR="00047319" w:rsidRPr="00047319" w:rsidRDefault="00047319" w:rsidP="0041242D">
            <w:pPr>
              <w:pStyle w:val="TableHeaders"/>
              <w:rPr>
                <w:rFonts w:ascii="Times New Roman" w:hAnsi="Times New Roman" w:cs="Times New Roman"/>
                <w:b w:val="0"/>
                <w:sz w:val="24"/>
                <w:szCs w:val="24"/>
              </w:rPr>
            </w:pPr>
            <w:r w:rsidRPr="00047319">
              <w:t>FY21</w:t>
            </w:r>
          </w:p>
        </w:tc>
        <w:tc>
          <w:tcPr>
            <w:tcW w:w="1335" w:type="dxa"/>
            <w:shd w:val="clear" w:color="auto" w:fill="B8CCE4" w:themeFill="accent1" w:themeFillTint="66"/>
            <w:vAlign w:val="center"/>
            <w:hideMark/>
          </w:tcPr>
          <w:p w14:paraId="668FE53C" w14:textId="7C5AFBB5" w:rsidR="00047319" w:rsidRPr="00047319" w:rsidRDefault="00047319" w:rsidP="0041242D">
            <w:pPr>
              <w:pStyle w:val="TableHeaders"/>
              <w:rPr>
                <w:rFonts w:ascii="Times New Roman" w:hAnsi="Times New Roman" w:cs="Times New Roman"/>
                <w:b w:val="0"/>
                <w:sz w:val="24"/>
                <w:szCs w:val="24"/>
              </w:rPr>
            </w:pPr>
            <w:r w:rsidRPr="00047319">
              <w:t>FY22</w:t>
            </w:r>
          </w:p>
        </w:tc>
        <w:tc>
          <w:tcPr>
            <w:tcW w:w="1620" w:type="dxa"/>
            <w:shd w:val="clear" w:color="auto" w:fill="B8CCE4" w:themeFill="accent1" w:themeFillTint="66"/>
            <w:vAlign w:val="center"/>
            <w:hideMark/>
          </w:tcPr>
          <w:p w14:paraId="395A2CFA" w14:textId="49774331" w:rsidR="00047319" w:rsidRPr="00047319" w:rsidRDefault="00047319" w:rsidP="0041242D">
            <w:pPr>
              <w:pStyle w:val="TableHeaders"/>
              <w:rPr>
                <w:rFonts w:ascii="Times New Roman" w:hAnsi="Times New Roman" w:cs="Times New Roman"/>
                <w:b w:val="0"/>
                <w:sz w:val="24"/>
                <w:szCs w:val="24"/>
              </w:rPr>
            </w:pPr>
            <w:r w:rsidRPr="00047319">
              <w:t>FY23</w:t>
            </w:r>
          </w:p>
        </w:tc>
        <w:tc>
          <w:tcPr>
            <w:tcW w:w="1665" w:type="dxa"/>
            <w:shd w:val="clear" w:color="auto" w:fill="B8CCE4" w:themeFill="accent1" w:themeFillTint="66"/>
            <w:vAlign w:val="center"/>
            <w:hideMark/>
          </w:tcPr>
          <w:p w14:paraId="537C482A" w14:textId="7F599320" w:rsidR="00047319" w:rsidRPr="00047319" w:rsidRDefault="00047319" w:rsidP="0041242D">
            <w:pPr>
              <w:pStyle w:val="TableHeaders"/>
              <w:rPr>
                <w:rFonts w:ascii="Times New Roman" w:hAnsi="Times New Roman" w:cs="Times New Roman"/>
                <w:b w:val="0"/>
                <w:sz w:val="24"/>
                <w:szCs w:val="24"/>
              </w:rPr>
            </w:pPr>
            <w:r w:rsidRPr="00047319">
              <w:t>FY24</w:t>
            </w:r>
          </w:p>
        </w:tc>
      </w:tr>
      <w:tr w:rsidR="00047319" w:rsidRPr="0041242D" w14:paraId="14706A92" w14:textId="77777777" w:rsidTr="0041242D">
        <w:trPr>
          <w:trHeight w:val="300"/>
        </w:trPr>
        <w:tc>
          <w:tcPr>
            <w:tcW w:w="2070" w:type="dxa"/>
            <w:vAlign w:val="center"/>
            <w:hideMark/>
          </w:tcPr>
          <w:p w14:paraId="4D9BB120" w14:textId="77777777" w:rsidR="00047319" w:rsidRPr="0041242D" w:rsidRDefault="00047319" w:rsidP="0041242D">
            <w:pPr>
              <w:pStyle w:val="TableText"/>
            </w:pPr>
            <w:r w:rsidRPr="0041242D">
              <w:t>Tax Assessments Issued </w:t>
            </w:r>
          </w:p>
        </w:tc>
        <w:tc>
          <w:tcPr>
            <w:tcW w:w="1395" w:type="dxa"/>
            <w:vAlign w:val="center"/>
            <w:hideMark/>
          </w:tcPr>
          <w:p w14:paraId="68E6F6BC" w14:textId="77777777" w:rsidR="00047319" w:rsidRPr="0041242D" w:rsidRDefault="00047319" w:rsidP="0041242D">
            <w:pPr>
              <w:pStyle w:val="TableText"/>
              <w:jc w:val="right"/>
            </w:pPr>
            <w:r w:rsidRPr="0041242D">
              <w:t>308 </w:t>
            </w:r>
          </w:p>
        </w:tc>
        <w:tc>
          <w:tcPr>
            <w:tcW w:w="1380" w:type="dxa"/>
            <w:vAlign w:val="center"/>
            <w:hideMark/>
          </w:tcPr>
          <w:p w14:paraId="7F946987" w14:textId="77777777" w:rsidR="00047319" w:rsidRPr="0041242D" w:rsidRDefault="00047319" w:rsidP="0041242D">
            <w:pPr>
              <w:pStyle w:val="TableText"/>
              <w:jc w:val="right"/>
            </w:pPr>
            <w:r w:rsidRPr="0041242D">
              <w:t>374 </w:t>
            </w:r>
          </w:p>
        </w:tc>
        <w:tc>
          <w:tcPr>
            <w:tcW w:w="1335" w:type="dxa"/>
            <w:vAlign w:val="center"/>
            <w:hideMark/>
          </w:tcPr>
          <w:p w14:paraId="7BA15B12" w14:textId="77777777" w:rsidR="00047319" w:rsidRPr="0041242D" w:rsidRDefault="00047319" w:rsidP="0041242D">
            <w:pPr>
              <w:pStyle w:val="TableText"/>
              <w:jc w:val="right"/>
            </w:pPr>
            <w:r w:rsidRPr="0041242D">
              <w:t>472 </w:t>
            </w:r>
          </w:p>
        </w:tc>
        <w:tc>
          <w:tcPr>
            <w:tcW w:w="1620" w:type="dxa"/>
            <w:vAlign w:val="center"/>
            <w:hideMark/>
          </w:tcPr>
          <w:p w14:paraId="782FCBA1" w14:textId="77777777" w:rsidR="00047319" w:rsidRPr="0041242D" w:rsidRDefault="00047319" w:rsidP="0041242D">
            <w:pPr>
              <w:pStyle w:val="TableText"/>
              <w:jc w:val="right"/>
            </w:pPr>
            <w:r w:rsidRPr="0041242D">
              <w:t>151 </w:t>
            </w:r>
          </w:p>
        </w:tc>
        <w:tc>
          <w:tcPr>
            <w:tcW w:w="1665" w:type="dxa"/>
            <w:vAlign w:val="center"/>
            <w:hideMark/>
          </w:tcPr>
          <w:p w14:paraId="5CA3D6B3" w14:textId="77777777" w:rsidR="00047319" w:rsidRPr="0041242D" w:rsidRDefault="00047319" w:rsidP="0041242D">
            <w:pPr>
              <w:pStyle w:val="TableText"/>
              <w:jc w:val="right"/>
            </w:pPr>
            <w:r w:rsidRPr="0041242D">
              <w:t>585 </w:t>
            </w:r>
          </w:p>
        </w:tc>
      </w:tr>
      <w:tr w:rsidR="00047319" w:rsidRPr="0041242D" w14:paraId="772B29D0" w14:textId="77777777" w:rsidTr="0041242D">
        <w:trPr>
          <w:trHeight w:val="300"/>
        </w:trPr>
        <w:tc>
          <w:tcPr>
            <w:tcW w:w="2070" w:type="dxa"/>
            <w:vAlign w:val="center"/>
            <w:hideMark/>
          </w:tcPr>
          <w:p w14:paraId="37B518D7" w14:textId="77777777" w:rsidR="00047319" w:rsidRPr="0041242D" w:rsidRDefault="00047319" w:rsidP="0041242D">
            <w:pPr>
              <w:pStyle w:val="TableText"/>
            </w:pPr>
            <w:r w:rsidRPr="0041242D">
              <w:t>Amount Secured by Assessments*  </w:t>
            </w:r>
          </w:p>
        </w:tc>
        <w:tc>
          <w:tcPr>
            <w:tcW w:w="1395" w:type="dxa"/>
            <w:vAlign w:val="center"/>
            <w:hideMark/>
          </w:tcPr>
          <w:p w14:paraId="3986B39E" w14:textId="77777777" w:rsidR="00047319" w:rsidRPr="0041242D" w:rsidRDefault="00047319" w:rsidP="0041242D">
            <w:pPr>
              <w:pStyle w:val="TableText"/>
              <w:jc w:val="right"/>
            </w:pPr>
            <w:r w:rsidRPr="0041242D">
              <w:t>$14,677,181.76 </w:t>
            </w:r>
          </w:p>
        </w:tc>
        <w:tc>
          <w:tcPr>
            <w:tcW w:w="1380" w:type="dxa"/>
            <w:vAlign w:val="center"/>
            <w:hideMark/>
          </w:tcPr>
          <w:p w14:paraId="7FA5811F" w14:textId="77777777" w:rsidR="00047319" w:rsidRPr="0041242D" w:rsidRDefault="00047319" w:rsidP="0041242D">
            <w:pPr>
              <w:pStyle w:val="TableText"/>
              <w:jc w:val="right"/>
            </w:pPr>
            <w:r w:rsidRPr="0041242D">
              <w:t>$15,819,592.67 </w:t>
            </w:r>
          </w:p>
        </w:tc>
        <w:tc>
          <w:tcPr>
            <w:tcW w:w="1335" w:type="dxa"/>
            <w:vAlign w:val="center"/>
            <w:hideMark/>
          </w:tcPr>
          <w:p w14:paraId="0B578278" w14:textId="77777777" w:rsidR="00047319" w:rsidRPr="0041242D" w:rsidRDefault="00047319" w:rsidP="0041242D">
            <w:pPr>
              <w:pStyle w:val="TableText"/>
              <w:jc w:val="right"/>
            </w:pPr>
            <w:r w:rsidRPr="0041242D">
              <w:t>$6,685,263.41 </w:t>
            </w:r>
          </w:p>
        </w:tc>
        <w:tc>
          <w:tcPr>
            <w:tcW w:w="1620" w:type="dxa"/>
            <w:vAlign w:val="center"/>
            <w:hideMark/>
          </w:tcPr>
          <w:p w14:paraId="3734E0FA" w14:textId="77777777" w:rsidR="00047319" w:rsidRPr="0041242D" w:rsidRDefault="00047319" w:rsidP="0041242D">
            <w:pPr>
              <w:pStyle w:val="TableText"/>
              <w:jc w:val="right"/>
            </w:pPr>
            <w:r w:rsidRPr="0041242D">
              <w:t>$8,070,477.75 </w:t>
            </w:r>
          </w:p>
        </w:tc>
        <w:tc>
          <w:tcPr>
            <w:tcW w:w="1665" w:type="dxa"/>
            <w:vAlign w:val="center"/>
            <w:hideMark/>
          </w:tcPr>
          <w:p w14:paraId="02A7B72F" w14:textId="77777777" w:rsidR="00047319" w:rsidRPr="0041242D" w:rsidRDefault="00047319" w:rsidP="0041242D">
            <w:pPr>
              <w:pStyle w:val="TableText"/>
              <w:jc w:val="right"/>
            </w:pPr>
            <w:r w:rsidRPr="0041242D">
              <w:t>$11,170,354.42 </w:t>
            </w:r>
          </w:p>
        </w:tc>
      </w:tr>
      <w:tr w:rsidR="00047319" w:rsidRPr="0041242D" w14:paraId="5AEB0E61" w14:textId="77777777" w:rsidTr="0041242D">
        <w:trPr>
          <w:trHeight w:val="300"/>
        </w:trPr>
        <w:tc>
          <w:tcPr>
            <w:tcW w:w="2070" w:type="dxa"/>
            <w:vAlign w:val="center"/>
            <w:hideMark/>
          </w:tcPr>
          <w:p w14:paraId="4DF0030E" w14:textId="77777777" w:rsidR="00047319" w:rsidRPr="0041242D" w:rsidRDefault="00047319" w:rsidP="0041242D">
            <w:pPr>
              <w:pStyle w:val="TableText"/>
            </w:pPr>
            <w:r w:rsidRPr="0041242D">
              <w:t>Tax Assessments Released </w:t>
            </w:r>
          </w:p>
        </w:tc>
        <w:tc>
          <w:tcPr>
            <w:tcW w:w="1395" w:type="dxa"/>
            <w:vAlign w:val="center"/>
            <w:hideMark/>
          </w:tcPr>
          <w:p w14:paraId="0BB20F9F" w14:textId="77777777" w:rsidR="00047319" w:rsidRPr="0041242D" w:rsidRDefault="00047319" w:rsidP="0041242D">
            <w:pPr>
              <w:pStyle w:val="TableText"/>
              <w:jc w:val="right"/>
            </w:pPr>
            <w:r w:rsidRPr="0041242D">
              <w:t>252 </w:t>
            </w:r>
          </w:p>
        </w:tc>
        <w:tc>
          <w:tcPr>
            <w:tcW w:w="1380" w:type="dxa"/>
            <w:vAlign w:val="center"/>
            <w:hideMark/>
          </w:tcPr>
          <w:p w14:paraId="490E10F1" w14:textId="77777777" w:rsidR="00047319" w:rsidRPr="0041242D" w:rsidRDefault="00047319" w:rsidP="0041242D">
            <w:pPr>
              <w:pStyle w:val="TableText"/>
              <w:jc w:val="right"/>
            </w:pPr>
            <w:r w:rsidRPr="0041242D">
              <w:t>201 </w:t>
            </w:r>
          </w:p>
        </w:tc>
        <w:tc>
          <w:tcPr>
            <w:tcW w:w="1335" w:type="dxa"/>
            <w:vAlign w:val="center"/>
            <w:hideMark/>
          </w:tcPr>
          <w:p w14:paraId="3BACC0A6" w14:textId="77777777" w:rsidR="00047319" w:rsidRPr="0041242D" w:rsidRDefault="00047319" w:rsidP="0041242D">
            <w:pPr>
              <w:pStyle w:val="TableText"/>
              <w:jc w:val="right"/>
            </w:pPr>
            <w:r w:rsidRPr="0041242D">
              <w:t>193 </w:t>
            </w:r>
          </w:p>
        </w:tc>
        <w:tc>
          <w:tcPr>
            <w:tcW w:w="1620" w:type="dxa"/>
            <w:vAlign w:val="center"/>
            <w:hideMark/>
          </w:tcPr>
          <w:p w14:paraId="6D6764A3" w14:textId="77777777" w:rsidR="00047319" w:rsidRPr="0041242D" w:rsidRDefault="00047319" w:rsidP="0041242D">
            <w:pPr>
              <w:pStyle w:val="TableText"/>
              <w:jc w:val="right"/>
            </w:pPr>
            <w:r w:rsidRPr="0041242D">
              <w:t>113 </w:t>
            </w:r>
          </w:p>
        </w:tc>
        <w:tc>
          <w:tcPr>
            <w:tcW w:w="1665" w:type="dxa"/>
            <w:vAlign w:val="center"/>
            <w:hideMark/>
          </w:tcPr>
          <w:p w14:paraId="328CB43B" w14:textId="77777777" w:rsidR="00047319" w:rsidRPr="0041242D" w:rsidRDefault="00047319" w:rsidP="0041242D">
            <w:pPr>
              <w:pStyle w:val="TableText"/>
              <w:jc w:val="right"/>
            </w:pPr>
            <w:r w:rsidRPr="0041242D">
              <w:t>141 </w:t>
            </w:r>
          </w:p>
        </w:tc>
      </w:tr>
    </w:tbl>
    <w:p w14:paraId="06937C01" w14:textId="6A3034DA" w:rsidR="00047319" w:rsidRPr="00047319" w:rsidRDefault="00047319" w:rsidP="0041242D">
      <w:pPr>
        <w:pStyle w:val="BodyText"/>
        <w:rPr>
          <w:rFonts w:ascii="Segoe UI" w:hAnsi="Segoe UI" w:cs="Segoe UI"/>
        </w:rPr>
      </w:pPr>
    </w:p>
    <w:p w14:paraId="6308E0E4" w14:textId="77777777" w:rsidR="00047319" w:rsidRPr="00047319" w:rsidRDefault="00047319" w:rsidP="0041242D">
      <w:pPr>
        <w:pStyle w:val="BodyText"/>
        <w:rPr>
          <w:rFonts w:ascii="Segoe UI" w:hAnsi="Segoe UI" w:cs="Segoe UI"/>
        </w:rPr>
      </w:pPr>
      <w:r w:rsidRPr="00A14705">
        <w:rPr>
          <w:sz w:val="18"/>
          <w:szCs w:val="18"/>
        </w:rPr>
        <w:t>*</w:t>
      </w:r>
      <w:proofErr w:type="gramStart"/>
      <w:r w:rsidRPr="00A14705">
        <w:rPr>
          <w:sz w:val="18"/>
          <w:szCs w:val="18"/>
        </w:rPr>
        <w:t>since</w:t>
      </w:r>
      <w:proofErr w:type="gramEnd"/>
      <w:r w:rsidRPr="00A14705">
        <w:rPr>
          <w:sz w:val="18"/>
          <w:szCs w:val="18"/>
        </w:rPr>
        <w:t xml:space="preserve"> all accounts have liens filed before assessment action is taken, there is no mechanism for separating effectiveness of liens versus assessments when account is paid in full/debt collected</w:t>
      </w:r>
      <w:r w:rsidRPr="00047319">
        <w:t>.  </w:t>
      </w:r>
    </w:p>
    <w:p w14:paraId="66A88350" w14:textId="77777777" w:rsidR="00047319" w:rsidRPr="008978DC" w:rsidRDefault="00047319" w:rsidP="0041242D">
      <w:pPr>
        <w:pStyle w:val="BodyText"/>
      </w:pPr>
      <w:r w:rsidRPr="008978DC">
        <w:t xml:space="preserve">Currently, assessments are not being issued against claimants with Benefit overpayments.   This process was put on hold when TWC began reporting UI Benefits overpayments to the State Comptroller under the warrant hold program in 2008, as resources from the affected unit had to be shifted to inquiries from claimants on that program.   A process is being developed to assert assessment action as a secondary collection tool for Benefit overpayment cases where fraud is involved, but where the Fraud Prosecutions Unit (in FDCM) has downvoted the case and determined that prosecution is not a viable option.  Currently, collection resources are focused on the Treasury Offset Program (TOP) – both in working with claimants who wish to </w:t>
      </w:r>
      <w:proofErr w:type="gramStart"/>
      <w:r w:rsidRPr="008978DC">
        <w:t>enter into</w:t>
      </w:r>
      <w:proofErr w:type="gramEnd"/>
      <w:r w:rsidRPr="008978DC">
        <w:t xml:space="preserve"> payment plans in order to avoid this action, and to provide general information on the process.  Since Texas joined the TOP program in 2016, it has been successful in collecting over $241 million dollars in overpayment debt through this program.  General review of both processes, indicate that the resources needed to initiate claimant assessments would be more efficiently used on Treasury Offset Program, based on collection potential.     </w:t>
      </w:r>
    </w:p>
    <w:p w14:paraId="6372036A" w14:textId="54564A14" w:rsidR="00047319" w:rsidRPr="00047319" w:rsidRDefault="00047319" w:rsidP="00AF6A0C">
      <w:pPr>
        <w:pStyle w:val="BodyText3"/>
        <w:ind w:left="720" w:hanging="720"/>
        <w:rPr>
          <w:rFonts w:ascii="Segoe UI" w:hAnsi="Segoe UI" w:cs="Segoe UI"/>
          <w:b w:val="0"/>
          <w:sz w:val="18"/>
          <w:szCs w:val="18"/>
        </w:rPr>
      </w:pPr>
      <w:r w:rsidRPr="00047319">
        <w:t>D.</w:t>
      </w:r>
      <w:r w:rsidRPr="00047319">
        <w:rPr>
          <w:b w:val="0"/>
        </w:rPr>
        <w:tab/>
      </w:r>
      <w:r w:rsidRPr="00047319">
        <w:t>Describe any important history regarding this division or program not included in the general agency history section, including how the functions or services have changed over time. If the response to Section III of this report is sufficient, please leave this section blank.</w:t>
      </w:r>
      <w:r w:rsidRPr="00047319">
        <w:rPr>
          <w:b w:val="0"/>
        </w:rPr>
        <w:t> </w:t>
      </w:r>
    </w:p>
    <w:p w14:paraId="3A276139" w14:textId="77777777" w:rsidR="00047319" w:rsidRPr="00285771" w:rsidRDefault="00047319" w:rsidP="00285771">
      <w:pPr>
        <w:pStyle w:val="BodyText"/>
      </w:pPr>
      <w:r w:rsidRPr="00285771">
        <w:t>NA </w:t>
      </w:r>
    </w:p>
    <w:p w14:paraId="390DCC1E" w14:textId="6B179BBD" w:rsidR="00047319" w:rsidRPr="00047319" w:rsidRDefault="00047319" w:rsidP="00AF6A0C">
      <w:pPr>
        <w:pStyle w:val="BodyText3"/>
        <w:ind w:left="720" w:hanging="720"/>
        <w:rPr>
          <w:rFonts w:ascii="Segoe UI" w:hAnsi="Segoe UI" w:cs="Segoe UI"/>
          <w:b w:val="0"/>
          <w:sz w:val="18"/>
          <w:szCs w:val="18"/>
        </w:rPr>
      </w:pPr>
      <w:r w:rsidRPr="00047319">
        <w:lastRenderedPageBreak/>
        <w:t>E.</w:t>
      </w:r>
      <w:r w:rsidRPr="00047319">
        <w:rPr>
          <w:b w:val="0"/>
        </w:rPr>
        <w:tab/>
      </w:r>
      <w:r w:rsidRPr="00047319">
        <w:t>List any qualifications or eligibility requirements for persons or entities affected by this division or program (e.g., licensees, consumers, and landowners). Provide a statistical breakdown of persons or entities affected. </w:t>
      </w:r>
      <w:r w:rsidRPr="00047319">
        <w:rPr>
          <w:b w:val="0"/>
        </w:rPr>
        <w:t> </w:t>
      </w:r>
    </w:p>
    <w:p w14:paraId="7ADFB29D" w14:textId="77777777" w:rsidR="00047319" w:rsidRPr="00285771" w:rsidRDefault="00047319" w:rsidP="00285771">
      <w:pPr>
        <w:pStyle w:val="BodyText"/>
        <w:rPr>
          <w:rFonts w:ascii="Segoe UI" w:hAnsi="Segoe UI" w:cs="Segoe UI"/>
          <w:b/>
          <w:sz w:val="18"/>
          <w:szCs w:val="18"/>
        </w:rPr>
      </w:pPr>
      <w:r w:rsidRPr="00285771">
        <w:rPr>
          <w:rFonts w:cs="Segoe UI"/>
          <w:b/>
        </w:rPr>
        <w:t>Unemployment Insurance Tax Collections </w:t>
      </w:r>
    </w:p>
    <w:p w14:paraId="72D4197C" w14:textId="77777777" w:rsidR="00047319" w:rsidRPr="00047319" w:rsidRDefault="00047319" w:rsidP="00285771">
      <w:pPr>
        <w:pStyle w:val="BodyText"/>
        <w:rPr>
          <w:rFonts w:ascii="Segoe UI" w:hAnsi="Segoe UI" w:cs="Segoe UI"/>
          <w:sz w:val="18"/>
          <w:szCs w:val="18"/>
        </w:rPr>
      </w:pPr>
      <w:r w:rsidRPr="00047319">
        <w:rPr>
          <w:rFonts w:cs="Segoe UI"/>
        </w:rPr>
        <w:t>Unemployment tax collection actions in Texas are fundamental to maintaining a stable economic environment, supporting workers during unemployment periods, and ensuring the long-term health of the state's labor market. Proper tax collection ensures that the Unemployment Compensation Fund remains adequately funded, enabling timely delivery of benefits during economic downturns. It also helps maintain a balanced burden between employers and the state, ensuring that businesses can continue to hire workers while providing financial safety for those who lose their jobs.  </w:t>
      </w:r>
    </w:p>
    <w:p w14:paraId="4DE28BFA" w14:textId="77777777" w:rsidR="00047319" w:rsidRPr="00285771" w:rsidRDefault="00047319" w:rsidP="00285771">
      <w:pPr>
        <w:pStyle w:val="BodyText"/>
        <w:rPr>
          <w:rFonts w:ascii="Segoe UI" w:hAnsi="Segoe UI" w:cs="Segoe UI"/>
          <w:b/>
          <w:sz w:val="18"/>
          <w:szCs w:val="18"/>
        </w:rPr>
      </w:pPr>
      <w:r w:rsidRPr="00285771">
        <w:rPr>
          <w:rFonts w:cs="Segoe UI"/>
          <w:b/>
        </w:rPr>
        <w:t>Unemployment Insurance Benefit Overpayment Collections </w:t>
      </w:r>
    </w:p>
    <w:p w14:paraId="0720DF40" w14:textId="77777777" w:rsidR="00047319" w:rsidRPr="00047319" w:rsidRDefault="00047319" w:rsidP="00285771">
      <w:pPr>
        <w:pStyle w:val="BodyText"/>
        <w:rPr>
          <w:rFonts w:ascii="Segoe UI" w:hAnsi="Segoe UI" w:cs="Segoe UI"/>
          <w:sz w:val="18"/>
          <w:szCs w:val="18"/>
        </w:rPr>
      </w:pPr>
      <w:r w:rsidRPr="00047319">
        <w:rPr>
          <w:rFonts w:cs="Segoe UI"/>
        </w:rPr>
        <w:t>Unemployment benefits overpayment collection actions in Texas are vital for maintaining the financial health of the unemployment insurance system and ensuring that resources are available for legitimate claims. While the process of identifying and collecting overpayments is necessary to prevent misuse of the system, it can have wide-reaching effects on both the state and claimants. Efficient collection helps maintain the integrity of the system, preventing financial shortfalls and ensuring the availability of unemployment benefits for those who truly need them. </w:t>
      </w:r>
    </w:p>
    <w:p w14:paraId="5E597C13" w14:textId="03BE94FB" w:rsidR="00047319" w:rsidRPr="00047319" w:rsidRDefault="00047319" w:rsidP="00AF6A0C">
      <w:pPr>
        <w:pStyle w:val="BodyText3"/>
        <w:ind w:left="720" w:hanging="720"/>
        <w:rPr>
          <w:rFonts w:ascii="Segoe UI" w:hAnsi="Segoe UI" w:cs="Segoe UI"/>
          <w:b w:val="0"/>
          <w:sz w:val="18"/>
          <w:szCs w:val="18"/>
        </w:rPr>
      </w:pPr>
      <w:r w:rsidRPr="00047319">
        <w:t>F.</w:t>
      </w:r>
      <w:r w:rsidRPr="00047319">
        <w:rPr>
          <w:b w:val="0"/>
        </w:rPr>
        <w:tab/>
      </w:r>
      <w:r w:rsidRPr="00047319">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r w:rsidRPr="00047319">
        <w:rPr>
          <w:b w:val="0"/>
        </w:rPr>
        <w:t> </w:t>
      </w:r>
    </w:p>
    <w:p w14:paraId="7030AD00" w14:textId="77777777" w:rsidR="00047319" w:rsidRPr="00047319" w:rsidRDefault="00047319" w:rsidP="00285771">
      <w:pPr>
        <w:pStyle w:val="BodyText"/>
        <w:rPr>
          <w:rFonts w:ascii="Segoe UI" w:hAnsi="Segoe UI" w:cs="Segoe UI"/>
          <w:sz w:val="18"/>
          <w:szCs w:val="18"/>
        </w:rPr>
      </w:pPr>
      <w:r w:rsidRPr="00047319">
        <w:t>Legal Enforcement of delinquent debt from Unemployment Insurance Tax employers is pursued through issuance of Notices of Assessment against eligible employer accounts.   Eligibility is based on age of delinquency and the dollar amount of delinquency.   Reviews are done periodically to determine if criteria need to be changed based on such things as modification to statutes that affect payment timeliness or debt amount, financial environmental factors, or cataclysmic events/emergencies that may impact employer delinquency.   </w:t>
      </w:r>
    </w:p>
    <w:p w14:paraId="71F2DD59" w14:textId="77777777" w:rsidR="00047319" w:rsidRPr="00047319" w:rsidRDefault="00047319" w:rsidP="00285771">
      <w:pPr>
        <w:pStyle w:val="BodyText"/>
        <w:rPr>
          <w:rFonts w:ascii="Segoe UI" w:hAnsi="Segoe UI" w:cs="Segoe UI"/>
          <w:sz w:val="18"/>
          <w:szCs w:val="18"/>
        </w:rPr>
      </w:pPr>
      <w:r w:rsidRPr="00047319">
        <w:t>As assessment action that is equivalent to a court order, alternate collection action (noted in section on “Collection”) such as delinquency notices, warrant holds, liens, and bank freeze/levies are attempted before assessment action.  Each step is progressively more involved, and as such the criteria for that action increases.  Prior to initiation of assessment action, employers are advised of the potential of assessment action with Delinquency Notices which includes information on the laws that allow TWC to take debt collection action through assessment. Payment or installment plans are also offered prior to assessment.  </w:t>
      </w:r>
    </w:p>
    <w:p w14:paraId="014F9EFA" w14:textId="77777777" w:rsidR="00047319" w:rsidRPr="00047319" w:rsidRDefault="00047319" w:rsidP="00047319">
      <w:pPr>
        <w:textAlignment w:val="baseline"/>
        <w:rPr>
          <w:rFonts w:ascii="Segoe UI" w:eastAsia="Times New Roman" w:hAnsi="Segoe UI" w:cs="Segoe UI"/>
          <w:b/>
          <w:spacing w:val="0"/>
          <w:kern w:val="0"/>
          <w:sz w:val="18"/>
          <w:szCs w:val="18"/>
        </w:rPr>
      </w:pPr>
      <w:r w:rsidRPr="00047319">
        <w:rPr>
          <w:rFonts w:ascii="Segoe UI" w:eastAsia="Times New Roman" w:hAnsi="Segoe UI" w:cs="Segoe UI"/>
          <w:b/>
          <w:noProof/>
          <w:spacing w:val="0"/>
          <w:kern w:val="0"/>
          <w:sz w:val="18"/>
          <w:szCs w:val="18"/>
        </w:rPr>
        <w:lastRenderedPageBreak/>
        <w:drawing>
          <wp:inline distT="0" distB="0" distL="0" distR="0" wp14:anchorId="4E3F3D05" wp14:editId="1ABC4846">
            <wp:extent cx="4315968" cy="3334385"/>
            <wp:effectExtent l="0" t="0" r="8890" b="0"/>
            <wp:docPr id="6" name="Picture 3" descr="Automated Collection Action Program diagram,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tomated Collection Action Program diagram, Picture"/>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330052" cy="3345266"/>
                    </a:xfrm>
                    <a:prstGeom prst="rect">
                      <a:avLst/>
                    </a:prstGeom>
                    <a:noFill/>
                    <a:ln>
                      <a:noFill/>
                    </a:ln>
                  </pic:spPr>
                </pic:pic>
              </a:graphicData>
            </a:graphic>
          </wp:inline>
        </w:drawing>
      </w:r>
      <w:r w:rsidRPr="00047319">
        <w:rPr>
          <w:rFonts w:ascii="Calibri" w:eastAsia="Times New Roman" w:hAnsi="Calibri" w:cs="Calibri"/>
          <w:color w:val="000000"/>
          <w:spacing w:val="0"/>
          <w:kern w:val="0"/>
          <w:sz w:val="23"/>
          <w:szCs w:val="23"/>
        </w:rPr>
        <w:t> </w:t>
      </w:r>
    </w:p>
    <w:p w14:paraId="1DD0BB24" w14:textId="41660347" w:rsidR="00047319" w:rsidRPr="00047319" w:rsidRDefault="00047319" w:rsidP="00AF6A0C">
      <w:pPr>
        <w:pStyle w:val="BodyText3"/>
        <w:ind w:left="720" w:hanging="720"/>
        <w:rPr>
          <w:rFonts w:ascii="Segoe UI" w:hAnsi="Segoe UI" w:cs="Segoe UI"/>
          <w:b w:val="0"/>
          <w:sz w:val="18"/>
          <w:szCs w:val="18"/>
        </w:rPr>
      </w:pPr>
      <w:r w:rsidRPr="00047319">
        <w:rPr>
          <w:bCs/>
        </w:rPr>
        <w:t>G.</w:t>
      </w:r>
      <w:r w:rsidRPr="00047319">
        <w:rPr>
          <w:b w:val="0"/>
        </w:rPr>
        <w:tab/>
      </w:r>
      <w:r w:rsidRPr="00047319">
        <w:rPr>
          <w:bCs/>
        </w:rPr>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047319">
        <w:rPr>
          <w:bCs/>
          <w:i/>
          <w:iCs/>
        </w:rPr>
        <w:t>(If you have already submitted funding source info through the “Agency Program Information” spreadsheet, please limit your response to funding formulas or funding conventions.) </w:t>
      </w:r>
      <w:r w:rsidRPr="00047319">
        <w:rPr>
          <w:b w:val="0"/>
        </w:rPr>
        <w:t> </w:t>
      </w:r>
    </w:p>
    <w:tbl>
      <w:tblPr>
        <w:tblStyle w:val="TableGrid1"/>
        <w:tblW w:w="9360" w:type="dxa"/>
        <w:tblCellMar>
          <w:top w:w="58" w:type="dxa"/>
          <w:bottom w:w="58" w:type="dxa"/>
        </w:tblCellMar>
        <w:tblLook w:val="04A0" w:firstRow="1" w:lastRow="0" w:firstColumn="1" w:lastColumn="0" w:noHBand="0" w:noVBand="1"/>
      </w:tblPr>
      <w:tblGrid>
        <w:gridCol w:w="2880"/>
        <w:gridCol w:w="2403"/>
        <w:gridCol w:w="2109"/>
        <w:gridCol w:w="1968"/>
      </w:tblGrid>
      <w:tr w:rsidR="00FB5A17" w:rsidRPr="000740D7" w14:paraId="502A3AD2" w14:textId="77777777" w:rsidTr="00FB5A17">
        <w:trPr>
          <w:trHeight w:val="518"/>
        </w:trPr>
        <w:tc>
          <w:tcPr>
            <w:tcW w:w="2880" w:type="dxa"/>
            <w:shd w:val="clear" w:color="auto" w:fill="B8CCE4" w:themeFill="accent1" w:themeFillTint="66"/>
            <w:hideMark/>
          </w:tcPr>
          <w:p w14:paraId="5D44F588" w14:textId="77777777" w:rsidR="00FB5A17" w:rsidRPr="00393F2F" w:rsidRDefault="00FB5A17" w:rsidP="00FB5A17">
            <w:pPr>
              <w:pStyle w:val="TableHeaders"/>
              <w:rPr>
                <w:color w:val="000000"/>
              </w:rPr>
            </w:pPr>
            <w:r w:rsidRPr="00393F2F">
              <w:t>Program or Function Detail Description</w:t>
            </w:r>
          </w:p>
        </w:tc>
        <w:tc>
          <w:tcPr>
            <w:tcW w:w="2700" w:type="dxa"/>
            <w:shd w:val="clear" w:color="auto" w:fill="B8CCE4" w:themeFill="accent1" w:themeFillTint="66"/>
            <w:hideMark/>
          </w:tcPr>
          <w:p w14:paraId="398C51AD" w14:textId="77777777" w:rsidR="00FB5A17" w:rsidRPr="00393F2F" w:rsidRDefault="00FB5A17" w:rsidP="00FB5A17">
            <w:pPr>
              <w:pStyle w:val="TableHeaders"/>
              <w:rPr>
                <w:color w:val="000000"/>
              </w:rPr>
            </w:pPr>
            <w:r w:rsidRPr="00393F2F">
              <w:t>Total FY 2024</w:t>
            </w:r>
          </w:p>
        </w:tc>
        <w:tc>
          <w:tcPr>
            <w:tcW w:w="2340" w:type="dxa"/>
            <w:shd w:val="clear" w:color="auto" w:fill="B8CCE4" w:themeFill="accent1" w:themeFillTint="66"/>
            <w:hideMark/>
          </w:tcPr>
          <w:p w14:paraId="57262992" w14:textId="77777777" w:rsidR="00FB5A17" w:rsidRPr="00393F2F" w:rsidRDefault="00FB5A17" w:rsidP="00FB5A17">
            <w:pPr>
              <w:pStyle w:val="TableHeaders"/>
              <w:rPr>
                <w:color w:val="000000"/>
              </w:rPr>
            </w:pPr>
            <w:r w:rsidRPr="00393F2F">
              <w:t>Federal Funding</w:t>
            </w:r>
          </w:p>
        </w:tc>
        <w:tc>
          <w:tcPr>
            <w:tcW w:w="2191" w:type="dxa"/>
            <w:shd w:val="clear" w:color="auto" w:fill="B8CCE4" w:themeFill="accent1" w:themeFillTint="66"/>
            <w:hideMark/>
          </w:tcPr>
          <w:p w14:paraId="6E15AA11" w14:textId="77777777" w:rsidR="00FB5A17" w:rsidRPr="00393F2F" w:rsidRDefault="00FB5A17" w:rsidP="00FB5A17">
            <w:pPr>
              <w:pStyle w:val="TableHeaders"/>
              <w:rPr>
                <w:color w:val="000000"/>
              </w:rPr>
            </w:pPr>
            <w:r w:rsidRPr="00393F2F">
              <w:t>State Funding</w:t>
            </w:r>
          </w:p>
        </w:tc>
      </w:tr>
      <w:tr w:rsidR="00FB5A17" w:rsidRPr="000740D7" w14:paraId="2692EC9E" w14:textId="77777777" w:rsidTr="00FB5A17">
        <w:trPr>
          <w:trHeight w:val="449"/>
        </w:trPr>
        <w:tc>
          <w:tcPr>
            <w:tcW w:w="2880" w:type="dxa"/>
            <w:noWrap/>
            <w:vAlign w:val="center"/>
            <w:hideMark/>
          </w:tcPr>
          <w:p w14:paraId="7F1F72CF" w14:textId="77777777" w:rsidR="00FB5A17" w:rsidRPr="00393F2F" w:rsidRDefault="00FB5A17" w:rsidP="00FB5A17">
            <w:pPr>
              <w:pStyle w:val="TableText"/>
            </w:pPr>
            <w:r w:rsidRPr="00393F2F">
              <w:t>Collections including Legal Enforcement Services</w:t>
            </w:r>
          </w:p>
        </w:tc>
        <w:tc>
          <w:tcPr>
            <w:tcW w:w="2700" w:type="dxa"/>
            <w:vAlign w:val="center"/>
            <w:hideMark/>
          </w:tcPr>
          <w:p w14:paraId="74847E4F" w14:textId="4B47FF9C" w:rsidR="00FB5A17" w:rsidRPr="00393F2F" w:rsidRDefault="00FB5A17" w:rsidP="00FB5A17">
            <w:pPr>
              <w:pStyle w:val="TableText"/>
              <w:jc w:val="right"/>
            </w:pPr>
            <w:r w:rsidRPr="00393F2F">
              <w:t xml:space="preserve">1,813,188 </w:t>
            </w:r>
          </w:p>
        </w:tc>
        <w:tc>
          <w:tcPr>
            <w:tcW w:w="2340" w:type="dxa"/>
            <w:vAlign w:val="center"/>
            <w:hideMark/>
          </w:tcPr>
          <w:p w14:paraId="19EE9A82" w14:textId="2425D13A" w:rsidR="00FB5A17" w:rsidRPr="00393F2F" w:rsidRDefault="00FB5A17" w:rsidP="00FB5A17">
            <w:pPr>
              <w:pStyle w:val="TableText"/>
              <w:jc w:val="right"/>
            </w:pPr>
            <w:r w:rsidRPr="00393F2F">
              <w:t xml:space="preserve">1,704,932 </w:t>
            </w:r>
          </w:p>
        </w:tc>
        <w:tc>
          <w:tcPr>
            <w:tcW w:w="2191" w:type="dxa"/>
            <w:vAlign w:val="center"/>
            <w:hideMark/>
          </w:tcPr>
          <w:p w14:paraId="71AA1FCD" w14:textId="59D85178" w:rsidR="00FB5A17" w:rsidRPr="00393F2F" w:rsidRDefault="00FB5A17" w:rsidP="00FB5A17">
            <w:pPr>
              <w:pStyle w:val="TableText"/>
              <w:jc w:val="right"/>
            </w:pPr>
            <w:r w:rsidRPr="00393F2F">
              <w:t xml:space="preserve">108,256 </w:t>
            </w:r>
          </w:p>
        </w:tc>
      </w:tr>
    </w:tbl>
    <w:p w14:paraId="01C51F34" w14:textId="01988713" w:rsidR="00047319" w:rsidRPr="00047319" w:rsidRDefault="00047319" w:rsidP="00AF6A0C">
      <w:pPr>
        <w:pStyle w:val="BodyText3"/>
        <w:ind w:left="720" w:hanging="720"/>
        <w:rPr>
          <w:rFonts w:ascii="Segoe UI" w:hAnsi="Segoe UI" w:cs="Segoe UI"/>
          <w:b w:val="0"/>
          <w:sz w:val="18"/>
          <w:szCs w:val="18"/>
        </w:rPr>
      </w:pPr>
      <w:r w:rsidRPr="00047319">
        <w:rPr>
          <w:bCs/>
        </w:rPr>
        <w:t>H.</w:t>
      </w:r>
      <w:r w:rsidRPr="00047319">
        <w:rPr>
          <w:b w:val="0"/>
        </w:rPr>
        <w:tab/>
      </w:r>
      <w:r w:rsidRPr="00047319">
        <w:rPr>
          <w:bCs/>
        </w:rPr>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r w:rsidRPr="00047319">
        <w:rPr>
          <w:b w:val="0"/>
        </w:rPr>
        <w:t> </w:t>
      </w:r>
    </w:p>
    <w:p w14:paraId="08424C54" w14:textId="77777777" w:rsidR="00047319" w:rsidRPr="00047319" w:rsidRDefault="00047319" w:rsidP="00C3361A">
      <w:pPr>
        <w:pStyle w:val="BodyText"/>
        <w:rPr>
          <w:rFonts w:ascii="Segoe UI" w:hAnsi="Segoe UI" w:cs="Segoe UI"/>
          <w:sz w:val="18"/>
          <w:szCs w:val="18"/>
        </w:rPr>
      </w:pPr>
      <w:r w:rsidRPr="00047319">
        <w:t>NA </w:t>
      </w:r>
    </w:p>
    <w:p w14:paraId="555690FC" w14:textId="538293EE" w:rsidR="00047319" w:rsidRPr="00047319" w:rsidRDefault="00047319" w:rsidP="00AF6A0C">
      <w:pPr>
        <w:pStyle w:val="BodyText3"/>
        <w:ind w:left="720" w:hanging="720"/>
        <w:rPr>
          <w:rFonts w:ascii="Segoe UI" w:hAnsi="Segoe UI" w:cs="Segoe UI"/>
          <w:b w:val="0"/>
          <w:sz w:val="18"/>
          <w:szCs w:val="18"/>
        </w:rPr>
      </w:pPr>
      <w:r w:rsidRPr="00047319">
        <w:t>I.</w:t>
      </w:r>
      <w:r w:rsidRPr="00047319">
        <w:rPr>
          <w:b w:val="0"/>
        </w:rPr>
        <w:tab/>
      </w:r>
      <w:r w:rsidRPr="00047319">
        <w:t>If the division or program works with local, regional, or federal units of government, include a brief description of these entities and their relationship to the agency. </w:t>
      </w:r>
      <w:r w:rsidRPr="00047319">
        <w:rPr>
          <w:b w:val="0"/>
        </w:rPr>
        <w:t> </w:t>
      </w:r>
    </w:p>
    <w:p w14:paraId="5A83B015" w14:textId="33236534" w:rsidR="00047319" w:rsidRPr="00047319" w:rsidRDefault="00047319" w:rsidP="00C3361A">
      <w:pPr>
        <w:pStyle w:val="BodyText"/>
        <w:rPr>
          <w:rFonts w:ascii="Segoe UI" w:hAnsi="Segoe UI" w:cs="Segoe UI"/>
          <w:sz w:val="18"/>
          <w:szCs w:val="18"/>
        </w:rPr>
      </w:pPr>
      <w:r w:rsidRPr="00047319">
        <w:t>TWC works with the Texas Office of Attorney General in enforcement of assessments with regard</w:t>
      </w:r>
      <w:r w:rsidR="003B7B52">
        <w:t>s</w:t>
      </w:r>
      <w:r w:rsidRPr="00047319">
        <w:t xml:space="preserve"> to officer liability for corporations or other entities required to register with the Secretary of State which have lost their right to conduct business in Texas (charter </w:t>
      </w:r>
      <w:r w:rsidRPr="00047319">
        <w:lastRenderedPageBreak/>
        <w:t xml:space="preserve">forfeiture).   </w:t>
      </w:r>
      <w:r w:rsidRPr="00047319">
        <w:rPr>
          <w:sz w:val="24"/>
          <w:szCs w:val="24"/>
        </w:rPr>
        <w:t>TWC’s Office of General Counsel expressed concerns that the definition of employer under Texas Labor Code §201.021 did not encompass director or officer liability under Texas Tax Code §171.255.   As a result, Collections refers cases with officer or director liability potential to the Office of Attorney General, Collection Division, to file suit instead of issuing assessments on these specific cases. </w:t>
      </w:r>
    </w:p>
    <w:p w14:paraId="6B82103A" w14:textId="0DF8B631" w:rsidR="00047319" w:rsidRPr="00047319" w:rsidRDefault="00047319" w:rsidP="00AF6A0C">
      <w:pPr>
        <w:pStyle w:val="BodyText3"/>
        <w:ind w:left="720" w:hanging="720"/>
        <w:rPr>
          <w:rFonts w:ascii="Segoe UI" w:hAnsi="Segoe UI" w:cs="Segoe UI"/>
          <w:sz w:val="18"/>
          <w:szCs w:val="18"/>
        </w:rPr>
      </w:pPr>
      <w:r w:rsidRPr="00047319">
        <w:t>J.</w:t>
      </w:r>
      <w:r w:rsidRPr="00047319">
        <w:tab/>
        <w:t>Are there any barriers or challenges that impede the division or program’s performance, including any outdated or ineffective state laws? Explain.  </w:t>
      </w:r>
    </w:p>
    <w:p w14:paraId="0744822A" w14:textId="5BF35A1D" w:rsidR="00047319" w:rsidRPr="00047319" w:rsidRDefault="00047319" w:rsidP="002F6BAC">
      <w:pPr>
        <w:pStyle w:val="BodyText"/>
        <w:rPr>
          <w:rFonts w:ascii="Segoe UI" w:hAnsi="Segoe UI" w:cs="Segoe UI"/>
          <w:sz w:val="18"/>
          <w:szCs w:val="18"/>
        </w:rPr>
      </w:pPr>
      <w:r w:rsidRPr="00047319">
        <w:t>As noted above in Section I, adoption of Rules or statutory changes to clarify TWC’s authority to pursue officer liability on employer accounts where a registered entity has lost its corporate privileges would streamline the collection process and remove the burden of referring such cases for enforcement to Office of Attorney General.</w:t>
      </w:r>
    </w:p>
    <w:p w14:paraId="0C057943" w14:textId="197221B6" w:rsidR="00047319" w:rsidRPr="002F6BAC" w:rsidRDefault="00047319" w:rsidP="00AF6A0C">
      <w:pPr>
        <w:pStyle w:val="BodyText"/>
        <w:ind w:left="720" w:hanging="720"/>
        <w:rPr>
          <w:rFonts w:ascii="Segoe UI" w:hAnsi="Segoe UI" w:cs="Segoe UI"/>
          <w:b/>
          <w:sz w:val="18"/>
          <w:szCs w:val="18"/>
        </w:rPr>
      </w:pPr>
      <w:r w:rsidRPr="002F6BAC">
        <w:rPr>
          <w:b/>
        </w:rPr>
        <w:t>K.</w:t>
      </w:r>
      <w:r w:rsidRPr="002F6BAC">
        <w:rPr>
          <w:b/>
        </w:rPr>
        <w:tab/>
        <w:t>Provide any additional information needed to gain a preliminary understanding of the division or program.  </w:t>
      </w:r>
    </w:p>
    <w:p w14:paraId="14ECC44A" w14:textId="77777777" w:rsidR="00047319" w:rsidRPr="002F6BAC" w:rsidRDefault="00047319" w:rsidP="002F6BAC">
      <w:pPr>
        <w:pStyle w:val="BodyText"/>
      </w:pPr>
      <w:r w:rsidRPr="002F6BAC">
        <w:t>NA </w:t>
      </w:r>
    </w:p>
    <w:p w14:paraId="5A330819" w14:textId="4A840787" w:rsidR="00047319" w:rsidRPr="00047319" w:rsidRDefault="00047319" w:rsidP="00AF6A0C">
      <w:pPr>
        <w:pStyle w:val="BodyText3"/>
        <w:ind w:left="720" w:hanging="720"/>
        <w:rPr>
          <w:rFonts w:ascii="Segoe UI" w:hAnsi="Segoe UI" w:cs="Segoe UI"/>
          <w:b w:val="0"/>
          <w:sz w:val="18"/>
          <w:szCs w:val="18"/>
        </w:rPr>
      </w:pPr>
      <w:r w:rsidRPr="00047319">
        <w:t>L.</w:t>
      </w:r>
      <w:r w:rsidRPr="00047319">
        <w:rPr>
          <w:b w:val="0"/>
        </w:rPr>
        <w:tab/>
      </w:r>
      <w:r w:rsidRPr="00047319">
        <w:t>Regulatory programs relate to the licensing, registration, certification, or permitting of a person, business, piece of equipment, or other entity (e.g., a facility). For each regulatory program, if applicable, describe: </w:t>
      </w:r>
      <w:r w:rsidRPr="00047319">
        <w:rPr>
          <w:b w:val="0"/>
        </w:rPr>
        <w:t> </w:t>
      </w:r>
    </w:p>
    <w:p w14:paraId="684950E8" w14:textId="77777777" w:rsidR="00047319" w:rsidRPr="00AD1C19" w:rsidRDefault="00047319" w:rsidP="00AD1C19">
      <w:pPr>
        <w:pStyle w:val="BodyText"/>
      </w:pPr>
      <w:r w:rsidRPr="00AD1C19">
        <w:t>NA </w:t>
      </w:r>
    </w:p>
    <w:p w14:paraId="40C1D24B" w14:textId="462199AA" w:rsidR="00047319" w:rsidRPr="00047319" w:rsidRDefault="00047319" w:rsidP="00AF6A0C">
      <w:pPr>
        <w:pStyle w:val="BodyText3"/>
        <w:ind w:left="720" w:hanging="720"/>
        <w:rPr>
          <w:rFonts w:ascii="Segoe UI" w:hAnsi="Segoe UI" w:cs="Segoe UI"/>
          <w:b w:val="0"/>
          <w:sz w:val="18"/>
          <w:szCs w:val="18"/>
        </w:rPr>
      </w:pPr>
      <w:r w:rsidRPr="00047319">
        <w:t>M.</w:t>
      </w:r>
      <w:r w:rsidRPr="00047319">
        <w:rPr>
          <w:b w:val="0"/>
        </w:rPr>
        <w:tab/>
      </w:r>
      <w:r w:rsidRPr="00047319">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047319">
        <w:rPr>
          <w:b w:val="0"/>
        </w:rPr>
        <w:t> </w:t>
      </w:r>
    </w:p>
    <w:p w14:paraId="0F77FD00" w14:textId="1A9DDF77" w:rsidR="00EE5178" w:rsidRDefault="00047319" w:rsidP="002A6BCA">
      <w:pPr>
        <w:pStyle w:val="BodyText"/>
        <w:rPr>
          <w:b/>
        </w:rPr>
      </w:pPr>
      <w:r w:rsidRPr="00047319">
        <w:t>NA</w:t>
      </w:r>
      <w:r w:rsidR="00EE5178">
        <w:br w:type="page"/>
      </w:r>
    </w:p>
    <w:p w14:paraId="0A344FDE" w14:textId="41BCFBA4" w:rsidR="00C468CB" w:rsidRPr="00C468CB" w:rsidRDefault="00C468CB" w:rsidP="00E910B5">
      <w:pPr>
        <w:pStyle w:val="Heading3"/>
      </w:pPr>
      <w:bookmarkStart w:id="299" w:name="_Toc1057849654"/>
      <w:bookmarkStart w:id="300" w:name="_Toc203377336"/>
      <w:r w:rsidRPr="00C468CB">
        <w:lastRenderedPageBreak/>
        <w:t>Business Operations Division</w:t>
      </w:r>
      <w:bookmarkEnd w:id="299"/>
      <w:bookmarkEnd w:id="300"/>
    </w:p>
    <w:p w14:paraId="5DEE93D5" w14:textId="62470D2F" w:rsidR="00C468CB" w:rsidRDefault="00C468CB" w:rsidP="00986728">
      <w:pPr>
        <w:pStyle w:val="BodyText"/>
      </w:pPr>
      <w:r w:rsidRPr="00C468CB">
        <w:t xml:space="preserve">TWC's Business Operations Division performs a variety of functions that are vital to maintaining the day-to-day operations of the agency.  Many of these functions are </w:t>
      </w:r>
      <w:proofErr w:type="gramStart"/>
      <w:r w:rsidRPr="00C468CB">
        <w:t>similar to</w:t>
      </w:r>
      <w:proofErr w:type="gramEnd"/>
      <w:r w:rsidRPr="00C468CB">
        <w:t xml:space="preserve"> those performed in other agencies, including human resources, training and development, infrastructure services, conference planning and meeting services, and document services, including the agency’s Records Management Officer.  The Division also provides essential support by managing the agency’s wide variety of procurements and contracts to ensure efficiency and legal compliance, ensuring cybersecurity to protect data and systems from threats, and overseeing risk and security management to safeguard assets, employees, and the agency's reputation. These functions are discussed in more detail below.</w:t>
      </w:r>
    </w:p>
    <w:p w14:paraId="728BA76F" w14:textId="7BD0ADB6" w:rsidR="00A867AE" w:rsidRDefault="00806186" w:rsidP="009D5FFF">
      <w:pPr>
        <w:pStyle w:val="BodyText3"/>
      </w:pPr>
      <w:r>
        <w:t>Procurement and Contract Services</w:t>
      </w:r>
    </w:p>
    <w:p w14:paraId="6764E841" w14:textId="30C21B7D" w:rsidR="00806186" w:rsidRPr="00806186" w:rsidRDefault="00125276" w:rsidP="00125276">
      <w:pPr>
        <w:pStyle w:val="BodyText"/>
        <w:ind w:left="720" w:hanging="720"/>
      </w:pPr>
      <w:r>
        <w:rPr>
          <w:rStyle w:val="BodyText3Char"/>
        </w:rPr>
        <w:t>A.</w:t>
      </w:r>
      <w:r>
        <w:rPr>
          <w:rStyle w:val="BodyText3Char"/>
        </w:rPr>
        <w:tab/>
      </w:r>
      <w:r w:rsidR="00806186" w:rsidRPr="00806186">
        <w:rPr>
          <w:rStyle w:val="BodyText3Char"/>
        </w:rPr>
        <w:t>Provide the following information at the beginning of each program</w:t>
      </w:r>
      <w:r w:rsidR="00806186" w:rsidRPr="00806186">
        <w:rPr>
          <w:b/>
          <w:bCs/>
        </w:rPr>
        <w:t xml:space="preserve"> description.</w:t>
      </w:r>
    </w:p>
    <w:p w14:paraId="252EED64" w14:textId="77777777" w:rsidR="00806186" w:rsidRPr="00806186" w:rsidRDefault="00806186" w:rsidP="0046258C">
      <w:pPr>
        <w:pStyle w:val="BodyText"/>
      </w:pPr>
      <w:r w:rsidRPr="00806186">
        <w:t>Name of Program or Function: Procurement and Contract Services </w:t>
      </w:r>
    </w:p>
    <w:p w14:paraId="1455DEC3" w14:textId="77777777" w:rsidR="00806186" w:rsidRPr="00806186" w:rsidRDefault="00806186" w:rsidP="0046258C">
      <w:pPr>
        <w:pStyle w:val="BodyText"/>
      </w:pPr>
      <w:r w:rsidRPr="00806186">
        <w:t>Location/Division: Business Operations Division </w:t>
      </w:r>
    </w:p>
    <w:p w14:paraId="3D4F929E" w14:textId="77777777" w:rsidR="00806186" w:rsidRPr="00806186" w:rsidRDefault="00806186" w:rsidP="0046258C">
      <w:pPr>
        <w:pStyle w:val="BodyText"/>
      </w:pPr>
      <w:r w:rsidRPr="00806186">
        <w:t>Contact Name: Colleen Whitney, Director of Procurement and Contract Services </w:t>
      </w:r>
    </w:p>
    <w:p w14:paraId="30B87E95" w14:textId="1A6033AC" w:rsidR="00806186" w:rsidRPr="00806186" w:rsidRDefault="00806186" w:rsidP="0046258C">
      <w:pPr>
        <w:pStyle w:val="BodyText"/>
      </w:pPr>
      <w:r>
        <w:t xml:space="preserve">Statutory Citation for Program: </w:t>
      </w:r>
      <w:r w:rsidR="19D5C9C1">
        <w:t>Texas Government Code</w:t>
      </w:r>
      <w:r w:rsidR="00E04D6C">
        <w:t xml:space="preserve">, </w:t>
      </w:r>
      <w:r w:rsidR="00907799">
        <w:t>Chapters</w:t>
      </w:r>
      <w:r w:rsidR="19D5C9C1">
        <w:t xml:space="preserve"> </w:t>
      </w:r>
      <w:r w:rsidR="00907799">
        <w:t xml:space="preserve">783, </w:t>
      </w:r>
      <w:r w:rsidR="19D5C9C1">
        <w:t>2155</w:t>
      </w:r>
      <w:r>
        <w:t xml:space="preserve">, </w:t>
      </w:r>
      <w:r w:rsidR="2CD6BE7C">
        <w:t>2157</w:t>
      </w:r>
      <w:r>
        <w:t>,</w:t>
      </w:r>
      <w:r w:rsidR="42B1F3BB">
        <w:t xml:space="preserve"> 2161</w:t>
      </w:r>
      <w:r>
        <w:t xml:space="preserve">, </w:t>
      </w:r>
      <w:r w:rsidR="41103ED0">
        <w:t>2261</w:t>
      </w:r>
      <w:r>
        <w:t>,</w:t>
      </w:r>
      <w:r w:rsidR="57217DB0">
        <w:t xml:space="preserve"> 2262</w:t>
      </w:r>
    </w:p>
    <w:p w14:paraId="30DCE309" w14:textId="088179DC" w:rsidR="00806186" w:rsidRPr="00806186" w:rsidRDefault="00806186" w:rsidP="0046258C">
      <w:pPr>
        <w:pStyle w:val="BodyText3"/>
        <w:ind w:left="720" w:hanging="720"/>
      </w:pPr>
      <w:r w:rsidRPr="00806186">
        <w:t>B.</w:t>
      </w:r>
      <w:r w:rsidRPr="00806186">
        <w:tab/>
        <w:t>What is the objective of this program or function? Describe the major activities performed under this program.</w:t>
      </w:r>
    </w:p>
    <w:p w14:paraId="24FE9FFF" w14:textId="77777777" w:rsidR="00806186" w:rsidRPr="00806186" w:rsidRDefault="00806186" w:rsidP="00061BA7">
      <w:pPr>
        <w:pStyle w:val="BodyText"/>
      </w:pPr>
      <w:r w:rsidRPr="00806186">
        <w:t>The Procurement and Contract Services section within Business Operations supports workforce development and improves employment outcomes by managing the procurement and contracting processes for the agency. This involves soliciting and awarding purchases, managing contracts, ensuring compliance, and providing quality assurance. TWC agency divisions and program areas who directly assist job seekers, employers, and Vocational Rehabilitation customers benefit from PCS being a centralized function with certified Texas contract developers and managers overseeing procurements, grant awards, and contract management functions. Through this, PCS achieves efficient and compliant procurement and contract development, management, monitoring, and reporting to support agency programs. </w:t>
      </w:r>
    </w:p>
    <w:p w14:paraId="574CB74D" w14:textId="6DFC86F1" w:rsidR="00806186" w:rsidRPr="00806186" w:rsidRDefault="00806186" w:rsidP="00061BA7">
      <w:pPr>
        <w:pStyle w:val="BodyText"/>
      </w:pPr>
      <w:r w:rsidRPr="00806186">
        <w:t xml:space="preserve">PCS consists of four business units: Purchasing and Historically Underutilized Business (HUB) Services (PHS), Contract Administration Services, Grant Administration, and Data Analysis and Quality Assurance (DAQA). In compliance with the state and federal law, these units collaborate to serve TWC program areas and their customers to acquire goods and services, report required </w:t>
      </w:r>
      <w:proofErr w:type="gramStart"/>
      <w:r w:rsidRPr="00806186">
        <w:t>data, and</w:t>
      </w:r>
      <w:proofErr w:type="gramEnd"/>
      <w:r w:rsidRPr="00806186">
        <w:t xml:space="preserve"> manage grant fund distribution in an effective and efficient manner.  </w:t>
      </w:r>
    </w:p>
    <w:p w14:paraId="3520F19F" w14:textId="77777777" w:rsidR="00806186" w:rsidRPr="00806186" w:rsidRDefault="00806186" w:rsidP="00C64851">
      <w:pPr>
        <w:pStyle w:val="BodyText3"/>
        <w:numPr>
          <w:ilvl w:val="0"/>
          <w:numId w:val="769"/>
        </w:numPr>
      </w:pPr>
      <w:r w:rsidRPr="00806186">
        <w:lastRenderedPageBreak/>
        <w:t>Purchasing and HUB Services  </w:t>
      </w:r>
    </w:p>
    <w:p w14:paraId="0D47B491" w14:textId="77777777" w:rsidR="006D5A02" w:rsidRDefault="006D5A02" w:rsidP="00E95812">
      <w:pPr>
        <w:pStyle w:val="BodyText"/>
        <w:ind w:left="1440" w:hanging="360"/>
      </w:pPr>
      <w:r>
        <w:t>a.</w:t>
      </w:r>
      <w:r>
        <w:tab/>
      </w:r>
      <w:r w:rsidR="00806186" w:rsidRPr="00806186">
        <w:t>PHS ensures that agency purchases of goods and services adhere to federal and state procurement requirements through efficient and transparent processes.</w:t>
      </w:r>
      <w:r>
        <w:t xml:space="preserve"> </w:t>
      </w:r>
    </w:p>
    <w:p w14:paraId="3D5CE0BE" w14:textId="7A6CD171" w:rsidR="00806186" w:rsidRPr="006D5A02" w:rsidRDefault="006D5A02" w:rsidP="006D5A02">
      <w:pPr>
        <w:pStyle w:val="BodyText"/>
        <w:ind w:left="1440" w:hanging="360"/>
      </w:pPr>
      <w:r>
        <w:t>b.</w:t>
      </w:r>
      <w:r>
        <w:tab/>
      </w:r>
      <w:r w:rsidR="00806186" w:rsidRPr="00F6695D">
        <w:rPr>
          <w:b/>
          <w:bCs/>
        </w:rPr>
        <w:t>Major activities:</w:t>
      </w:r>
      <w:r w:rsidR="00806186" w:rsidRPr="006D5A02">
        <w:t xml:space="preserve"> Reviews service/commodity requests, tracks progress of purchase through contract award, manages complex solicitation projects, issues Purchase Orders, verifies compliance, and maintains accurate documentation. </w:t>
      </w:r>
    </w:p>
    <w:p w14:paraId="2F26B88F" w14:textId="5FC276BA" w:rsidR="00806186" w:rsidRPr="00806186" w:rsidRDefault="00F6695D" w:rsidP="00F6695D">
      <w:pPr>
        <w:pStyle w:val="BodyText3"/>
        <w:ind w:left="360" w:firstLine="360"/>
      </w:pPr>
      <w:r>
        <w:t>ii.</w:t>
      </w:r>
      <w:r>
        <w:tab/>
      </w:r>
      <w:r w:rsidR="00806186" w:rsidRPr="00806186">
        <w:t>Contract Administration Services  </w:t>
      </w:r>
    </w:p>
    <w:p w14:paraId="7B831020" w14:textId="1F69EAE2" w:rsidR="00806186" w:rsidRPr="00806186" w:rsidRDefault="00F6695D" w:rsidP="00080F78">
      <w:pPr>
        <w:pStyle w:val="BodyText"/>
        <w:ind w:left="1080"/>
      </w:pPr>
      <w:r>
        <w:t>a.</w:t>
      </w:r>
      <w:r>
        <w:tab/>
      </w:r>
      <w:r w:rsidR="00806186">
        <w:t>C</w:t>
      </w:r>
      <w:r w:rsidR="638DE0A5">
        <w:t xml:space="preserve">ontract </w:t>
      </w:r>
      <w:r w:rsidR="00806186">
        <w:t>A</w:t>
      </w:r>
      <w:r w:rsidR="5EBD4A02">
        <w:t xml:space="preserve">dministration </w:t>
      </w:r>
      <w:r w:rsidR="00806186">
        <w:t>S</w:t>
      </w:r>
      <w:r w:rsidR="41340DC9">
        <w:t>ervices</w:t>
      </w:r>
      <w:r w:rsidR="00806186" w:rsidRPr="00806186">
        <w:t xml:space="preserve"> is responsible for the entire lifecycle of over 2,000 agency contracts.</w:t>
      </w:r>
    </w:p>
    <w:p w14:paraId="6E0E9515" w14:textId="7C8031F7" w:rsidR="00806186" w:rsidRPr="00806186" w:rsidRDefault="00F6695D" w:rsidP="00841220">
      <w:pPr>
        <w:pStyle w:val="BodyText"/>
        <w:ind w:left="1440" w:hanging="360"/>
      </w:pPr>
      <w:r>
        <w:t>b.</w:t>
      </w:r>
      <w:r w:rsidR="00841220">
        <w:tab/>
      </w:r>
      <w:r w:rsidR="00806186" w:rsidRPr="00080F78">
        <w:rPr>
          <w:b/>
          <w:bCs/>
        </w:rPr>
        <w:t>Major activities:</w:t>
      </w:r>
      <w:r w:rsidR="00806186" w:rsidRPr="00806186">
        <w:t xml:space="preserve"> Develops and manages contracts, oversees contracting policies and procedures, monitors contract deliverables and performance, works with legal counsel, reports findings, and oversees the legal transfer of Unemployment Insurance data. </w:t>
      </w:r>
    </w:p>
    <w:p w14:paraId="2AC6101D" w14:textId="572B907D" w:rsidR="00806186" w:rsidRPr="00806186" w:rsidRDefault="00F6695D" w:rsidP="00F6695D">
      <w:pPr>
        <w:pStyle w:val="BodyText3"/>
        <w:ind w:left="720"/>
      </w:pPr>
      <w:r>
        <w:t>iii.</w:t>
      </w:r>
      <w:r>
        <w:tab/>
      </w:r>
      <w:r w:rsidR="00806186" w:rsidRPr="00806186">
        <w:t>Grant Administration </w:t>
      </w:r>
    </w:p>
    <w:p w14:paraId="0B64FE42" w14:textId="422FA391" w:rsidR="00806186" w:rsidRPr="00806186" w:rsidRDefault="00080F78" w:rsidP="00B36A34">
      <w:pPr>
        <w:pStyle w:val="BodyText"/>
        <w:ind w:left="1440" w:hanging="360"/>
      </w:pPr>
      <w:r>
        <w:t>a.</w:t>
      </w:r>
      <w:r>
        <w:tab/>
      </w:r>
      <w:r w:rsidR="00806186" w:rsidRPr="00806186">
        <w:t>GA ensures competitively awarded grants meet standards that are compliant, competitive, and well-documented. </w:t>
      </w:r>
    </w:p>
    <w:p w14:paraId="3C7AD5A9" w14:textId="30875E2B" w:rsidR="00806186" w:rsidRPr="00806186" w:rsidRDefault="00080F78" w:rsidP="00B36A34">
      <w:pPr>
        <w:pStyle w:val="BodyText"/>
        <w:ind w:left="1440" w:hanging="360"/>
      </w:pPr>
      <w:r>
        <w:t>b.</w:t>
      </w:r>
      <w:r>
        <w:tab/>
      </w:r>
      <w:r w:rsidR="00806186" w:rsidRPr="00080F78">
        <w:rPr>
          <w:b/>
          <w:bCs/>
        </w:rPr>
        <w:t>Major activities:</w:t>
      </w:r>
      <w:r w:rsidR="00806186" w:rsidRPr="00806186">
        <w:t xml:space="preserve"> Provides oversight of the Request for Applications process for grant opportunities with program areas, administers local board grants, establishes and maintains grant documentation, maintains internal controls, and develops policy and procedures for competitive grants to minimize risk. </w:t>
      </w:r>
    </w:p>
    <w:p w14:paraId="38BC0C53" w14:textId="5459A281" w:rsidR="00806186" w:rsidRPr="00806186" w:rsidRDefault="00080F78" w:rsidP="00080F78">
      <w:pPr>
        <w:pStyle w:val="BodyText3"/>
        <w:ind w:left="720"/>
      </w:pPr>
      <w:r>
        <w:t>iv.</w:t>
      </w:r>
      <w:r>
        <w:tab/>
      </w:r>
      <w:r w:rsidR="00806186" w:rsidRPr="00806186">
        <w:t>Data Analysis and Quality Assurance </w:t>
      </w:r>
    </w:p>
    <w:p w14:paraId="213199C8" w14:textId="1A521D72" w:rsidR="00806186" w:rsidRPr="00806186" w:rsidRDefault="00080F78" w:rsidP="00B36A34">
      <w:pPr>
        <w:pStyle w:val="BodyText"/>
        <w:ind w:left="1440" w:hanging="360"/>
      </w:pPr>
      <w:r>
        <w:t>a.</w:t>
      </w:r>
      <w:r>
        <w:tab/>
      </w:r>
      <w:r w:rsidR="00806186" w:rsidRPr="00806186">
        <w:t>DAQA ensures the Enterprise Contract and Procurement System (ECPS) functions correctly, provides data reporting to the agency and other government entities, and maintains the quality of procurement and contract data. </w:t>
      </w:r>
    </w:p>
    <w:p w14:paraId="06E54807" w14:textId="7A8BF44F" w:rsidR="00806186" w:rsidRPr="00806186" w:rsidRDefault="00080F78" w:rsidP="00B36A34">
      <w:pPr>
        <w:pStyle w:val="BodyText"/>
        <w:ind w:left="1440" w:hanging="360"/>
      </w:pPr>
      <w:r>
        <w:t>b.</w:t>
      </w:r>
      <w:r>
        <w:tab/>
      </w:r>
      <w:r w:rsidR="00806186" w:rsidRPr="00B36A34">
        <w:rPr>
          <w:b/>
          <w:bCs/>
        </w:rPr>
        <w:t>Major Activities:</w:t>
      </w:r>
      <w:r w:rsidR="00806186" w:rsidRPr="00806186">
        <w:t xml:space="preserve"> Administers ECPS, communicates system enhancements, trains agency staff, develops system documentation, creates reports/dashboards, conducts quality assurance, ensures timely reporting of procurement/contract/grant data, and responds to ad hoc report requests. </w:t>
      </w:r>
    </w:p>
    <w:p w14:paraId="6496D882" w14:textId="77777777" w:rsidR="00806186" w:rsidRPr="00806186" w:rsidRDefault="00806186" w:rsidP="00B36A34">
      <w:pPr>
        <w:pStyle w:val="BodyText3"/>
        <w:ind w:left="720" w:hanging="720"/>
      </w:pPr>
      <w:r w:rsidRPr="00806186">
        <w:t>C.</w:t>
      </w:r>
      <w:r w:rsidRPr="00806186">
        <w:tab/>
        <w:t xml:space="preserve">What information does the agency collect/use to assess the effectiveness and efficiency of this division or program? If applicable, briefly note any LBB performance measures (from Section II, </w:t>
      </w:r>
      <w:proofErr w:type="gramStart"/>
      <w:r w:rsidRPr="00806186">
        <w:t>Exhibit</w:t>
      </w:r>
      <w:proofErr w:type="gramEnd"/>
      <w:r w:rsidRPr="00806186">
        <w:t xml:space="preserve"> 2) but also provide any other </w:t>
      </w:r>
      <w:r w:rsidRPr="00806186">
        <w:lastRenderedPageBreak/>
        <w:t>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09FCE3EC" w14:textId="7C147B33" w:rsidR="00806186" w:rsidRPr="00806186" w:rsidRDefault="00806186" w:rsidP="009C268D">
      <w:pPr>
        <w:pStyle w:val="BodyText"/>
      </w:pPr>
      <w:r w:rsidRPr="00806186">
        <w:t>The Procurement and Contract Services department does not currently track any formal Legislative Budget Board performance measures as none have been assigned. During the past three years, TWC’s Procurement and Contract Services department has worked to improve processes by implementing performance metrics and Work in Progress (WIP) boards to efficiently deal with the high volume of purchase requests for both agency use and customer use (</w:t>
      </w:r>
      <w:proofErr w:type="spellStart"/>
      <w:r w:rsidRPr="00806186">
        <w:t>ReHabWorks</w:t>
      </w:r>
      <w:proofErr w:type="spellEnd"/>
      <w:r w:rsidRPr="00806186">
        <w:t>), and the resulting contracts. This department conducted Rapid Process Improvement (RPI) initiatives in both Contract Administration Services and Purchasing and HUB Services sections between 2022-2024.  Prior to implementation, the average solicitation took one year or longer to draft, publish, evaluate and award a contract. After instituting changes developed in the RPI, this time has decreased, with 83 percent of solicitations awarded within 8 months. For simple purchases, PCS has achieved a 10-day completion rate for Purchase Order (PO) processing. In Contract Management, the advent of its WIP board has helped the contract managers achieve 95 percent of contract awards completed by the expected due date. The Grant Administration section is undergoing an RPI in 2025 to reduce the amount of time it takes to award competitive grants and to add the visibility and metrics that CAS and PHS have benefited from. </w:t>
      </w:r>
    </w:p>
    <w:p w14:paraId="074A44E1" w14:textId="77777777" w:rsidR="00806186" w:rsidRDefault="00806186" w:rsidP="009C268D">
      <w:pPr>
        <w:pStyle w:val="BodyText"/>
      </w:pPr>
      <w:r w:rsidRPr="009C268D">
        <w:rPr>
          <w:b/>
          <w:bCs/>
        </w:rPr>
        <w:t>Metric dashboards:</w:t>
      </w:r>
      <w:r w:rsidRPr="00806186">
        <w:t xml:space="preserve"> PCS leadership uses dashboards as a tool for measuring how well the team is performing to meet its production goals, as determined by executive management. PCS enhanced its oversight and monitoring of staff performance through the RPIs with the development of a performance measure dashboard using Microsoft Power BI.  Metric dashboards also support continuous improvements by highlighting areas where additional training is warranted, or areas where the system is not functioning as efficiently as possible, so that remedial action can be taken. PHS and CAS teams have set goals for their teams on how long each of their essential functions should take. Monthly, management reviews those goals and any additional documentation regarding customer satisfaction (emails, etc.), and uses the information to make necessary course corrections. The dashboard tracks the on-time rate of major solicitations, contract awards, and completion of purchase orders at an individual purchaser or contract manager level. It also identifies expedited purchase requests from customers that may impact capacity, upcoming expiring contracts and closeout work, and workflow review items in progress for the execution of contracts. The focus on using data at a granular level that is then rolled up into group performance metrics has allowed PCS management to monitor staff performance, smooth peaks and valleys in workflow capacity, improve productivity, and make informed decisions to minimize risks to timelines. The dashboards below demonstrate the performance in solicitations, purchasing, and contract development. </w:t>
      </w:r>
    </w:p>
    <w:p w14:paraId="6A103DB9" w14:textId="03BE696A" w:rsidR="003163B9" w:rsidRPr="00806186" w:rsidRDefault="003163B9" w:rsidP="00B544BF">
      <w:pPr>
        <w:pStyle w:val="BodyText"/>
      </w:pPr>
      <w:r w:rsidRPr="009C2F6F">
        <w:t xml:space="preserve">The following chart is current as of May </w:t>
      </w:r>
      <w:r w:rsidR="00B544BF" w:rsidRPr="009C2F6F">
        <w:t>6</w:t>
      </w:r>
      <w:r w:rsidRPr="009C2F6F">
        <w:t>, 2025.</w:t>
      </w:r>
    </w:p>
    <w:p w14:paraId="474112C7" w14:textId="0120CD58" w:rsidR="00806186" w:rsidRPr="00806186" w:rsidRDefault="00806186" w:rsidP="00806186">
      <w:pPr>
        <w:pStyle w:val="BodyText"/>
      </w:pPr>
      <w:r w:rsidRPr="00806186">
        <w:lastRenderedPageBreak/>
        <w:t> </w:t>
      </w:r>
      <w:r w:rsidRPr="00806186">
        <w:rPr>
          <w:noProof/>
        </w:rPr>
        <w:drawing>
          <wp:inline distT="0" distB="0" distL="0" distR="0" wp14:anchorId="70E2ABB4" wp14:editId="40C9340A">
            <wp:extent cx="3962400" cy="3124200"/>
            <wp:effectExtent l="0" t="0" r="0" b="0"/>
            <wp:docPr id="273476284" name="Picture 6" descr="chart displaying 45 solicitations aw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76284" name="Picture 6" descr="chart displaying 45 solicitations awarded"/>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962400" cy="3124200"/>
                    </a:xfrm>
                    <a:prstGeom prst="rect">
                      <a:avLst/>
                    </a:prstGeom>
                    <a:noFill/>
                    <a:ln>
                      <a:noFill/>
                    </a:ln>
                  </pic:spPr>
                </pic:pic>
              </a:graphicData>
            </a:graphic>
          </wp:inline>
        </w:drawing>
      </w:r>
      <w:r w:rsidRPr="00806186">
        <w:t> </w:t>
      </w:r>
    </w:p>
    <w:p w14:paraId="267A281F" w14:textId="7918C95D" w:rsidR="00806186" w:rsidRPr="00806186" w:rsidRDefault="00107BFC" w:rsidP="00985F28">
      <w:pPr>
        <w:pStyle w:val="BodyText"/>
      </w:pPr>
      <w:r w:rsidRPr="009C2F6F">
        <w:t xml:space="preserve">The following chart is current as of May </w:t>
      </w:r>
      <w:r w:rsidR="00B544BF" w:rsidRPr="009C2F6F">
        <w:t>5</w:t>
      </w:r>
      <w:r w:rsidRPr="009C2F6F">
        <w:t>, 2025.</w:t>
      </w:r>
    </w:p>
    <w:p w14:paraId="37620035" w14:textId="66333ED0" w:rsidR="00806186" w:rsidRPr="00806186" w:rsidRDefault="00806186" w:rsidP="00806186">
      <w:pPr>
        <w:pStyle w:val="BodyText"/>
      </w:pPr>
      <w:r w:rsidRPr="00806186">
        <w:rPr>
          <w:noProof/>
        </w:rPr>
        <w:drawing>
          <wp:inline distT="0" distB="0" distL="0" distR="0" wp14:anchorId="42E21E96" wp14:editId="178BDA33">
            <wp:extent cx="5943600" cy="3864610"/>
            <wp:effectExtent l="0" t="0" r="0" b="2540"/>
            <wp:docPr id="1128996251" name="Picture 5" descr="graph for average days to complete a purchase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96251" name="Picture 5" descr="graph for average days to complete a purchase orde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43600" cy="3864610"/>
                    </a:xfrm>
                    <a:prstGeom prst="rect">
                      <a:avLst/>
                    </a:prstGeom>
                    <a:noFill/>
                    <a:ln>
                      <a:noFill/>
                    </a:ln>
                  </pic:spPr>
                </pic:pic>
              </a:graphicData>
            </a:graphic>
          </wp:inline>
        </w:drawing>
      </w:r>
      <w:r w:rsidRPr="00806186">
        <w:t> </w:t>
      </w:r>
    </w:p>
    <w:p w14:paraId="6D69126C" w14:textId="779255B8" w:rsidR="003163B9" w:rsidRPr="00806186" w:rsidRDefault="003163B9" w:rsidP="003163B9">
      <w:pPr>
        <w:pStyle w:val="BodyText"/>
      </w:pPr>
      <w:r w:rsidRPr="009C2F6F">
        <w:t>The following chart is current as of May 5, 2025.</w:t>
      </w:r>
    </w:p>
    <w:p w14:paraId="5E224458" w14:textId="3E3CF9E6" w:rsidR="00806186" w:rsidRPr="00806186" w:rsidRDefault="00806186" w:rsidP="00806186">
      <w:pPr>
        <w:pStyle w:val="BodyText"/>
      </w:pPr>
      <w:r w:rsidRPr="00806186">
        <w:rPr>
          <w:noProof/>
        </w:rPr>
        <w:lastRenderedPageBreak/>
        <w:drawing>
          <wp:inline distT="0" distB="0" distL="0" distR="0" wp14:anchorId="77BC469E" wp14:editId="1C0D33BD">
            <wp:extent cx="5943600" cy="2347595"/>
            <wp:effectExtent l="0" t="0" r="0" b="0"/>
            <wp:docPr id="752137185" name="Picture 4" descr="chart for contract development complete time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37185" name="Picture 4" descr="chart for contract development complete timeframes"/>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943600" cy="2347595"/>
                    </a:xfrm>
                    <a:prstGeom prst="rect">
                      <a:avLst/>
                    </a:prstGeom>
                    <a:noFill/>
                    <a:ln>
                      <a:noFill/>
                    </a:ln>
                  </pic:spPr>
                </pic:pic>
              </a:graphicData>
            </a:graphic>
          </wp:inline>
        </w:drawing>
      </w:r>
      <w:r w:rsidRPr="00806186">
        <w:t> </w:t>
      </w:r>
    </w:p>
    <w:p w14:paraId="46AA2AFA" w14:textId="77777777" w:rsidR="00806186" w:rsidRPr="00806186" w:rsidRDefault="00806186" w:rsidP="00DD0629">
      <w:pPr>
        <w:pStyle w:val="BodyText"/>
      </w:pPr>
      <w:r w:rsidRPr="00DD0629">
        <w:rPr>
          <w:b/>
          <w:bCs/>
        </w:rPr>
        <w:t>WIP boards:</w:t>
      </w:r>
      <w:r w:rsidRPr="00806186">
        <w:t xml:space="preserve"> PCS uses WIP Boards as a tool to help track procurement and contract statuses and manage workflows by presenting a visual representation of work at various stages. WIP Boards enable better oversight, communication, and decision making. This allows tracking of process efficiency for both internal and external customers and gives management the ability to easily recognize risk and possible delays to contract award deadlines. Weekly, WIP board meetings are held with all PHS internal customers. Questions are encouraged in these meetings. This is one way in which PCS ensures customer satisfaction and holds staff accountable for deadlines. In addition to the meetings, PHS staff members email weekly updates to internal customers. The WIP Board has allowed PCS to show more accountability to its customers and has resulted in a reduced solicitation schedule timeline as well as a reduced time to purchase process.  </w:t>
      </w:r>
    </w:p>
    <w:p w14:paraId="093F94B0" w14:textId="0C0FF76E" w:rsidR="00806186" w:rsidRPr="00806186" w:rsidRDefault="00806186" w:rsidP="00DD0629">
      <w:pPr>
        <w:pStyle w:val="BodyText3"/>
        <w:ind w:left="720" w:hanging="720"/>
      </w:pPr>
      <w:r w:rsidRPr="00806186">
        <w:t>D.</w:t>
      </w:r>
      <w:r w:rsidR="00DD0629">
        <w:tab/>
      </w:r>
      <w:r w:rsidRPr="00806186">
        <w:t>Describe any important history regarding this program not included in the general agency history section, including how the services or functions have changed from the original intent. If the response to Section III of this report is sufficient, please leave this section blank. </w:t>
      </w:r>
    </w:p>
    <w:p w14:paraId="6737CB93" w14:textId="77777777" w:rsidR="00806186" w:rsidRPr="00806186" w:rsidRDefault="00806186" w:rsidP="00DD0629">
      <w:pPr>
        <w:pStyle w:val="BodyText"/>
      </w:pPr>
      <w:r w:rsidRPr="00806186">
        <w:t>N/A </w:t>
      </w:r>
    </w:p>
    <w:p w14:paraId="6289A39D" w14:textId="77777777" w:rsidR="00806186" w:rsidRPr="00806186" w:rsidRDefault="00806186" w:rsidP="00DD0629">
      <w:pPr>
        <w:pStyle w:val="BodyText3"/>
        <w:ind w:left="720" w:hanging="720"/>
      </w:pPr>
      <w:r w:rsidRPr="00806186">
        <w:t>E.</w:t>
      </w:r>
      <w:r w:rsidRPr="00806186">
        <w:tab/>
        <w:t>List any qualifications or eligibility requirements for persons or entities affected by this program, such as licensees, consumers, landowners, for example. Provide a statistical breakdown of persons or entities affected. </w:t>
      </w:r>
    </w:p>
    <w:p w14:paraId="55569660" w14:textId="25B0DF76" w:rsidR="00806186" w:rsidRPr="00806186" w:rsidRDefault="00806186" w:rsidP="00DD0629">
      <w:pPr>
        <w:pStyle w:val="BodyText"/>
      </w:pPr>
      <w:r w:rsidRPr="00806186">
        <w:t>Qualifications and eligibility requirements for customers and grantees are set forth in the published solicitations (Request for Offer, Request for Proposal, Invitation for Bids, etc.,) and in grants’ requests for applications. Each advertisement is published to the Electronic State Business Daily and on TWC’s Bonfire application, announcing the opportunities to engage with TWC. TWC is currently revamping both the grant and procurement web pages to make these more user friendly and intuitive as part of PCS’s on-going commitment to customer service. </w:t>
      </w:r>
    </w:p>
    <w:p w14:paraId="75D3C0A1" w14:textId="5917930B" w:rsidR="00806186" w:rsidRPr="00806186" w:rsidRDefault="00806186" w:rsidP="00DD0629">
      <w:pPr>
        <w:pStyle w:val="BodyText3"/>
        <w:ind w:left="720" w:hanging="720"/>
      </w:pPr>
      <w:r w:rsidRPr="00806186">
        <w:lastRenderedPageBreak/>
        <w:t>F.</w:t>
      </w:r>
      <w:r w:rsidRPr="00806186">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5791E5EF" w14:textId="737DBFC7" w:rsidR="00806186" w:rsidRPr="00806186" w:rsidRDefault="00A20F26" w:rsidP="002433D9">
      <w:pPr>
        <w:pStyle w:val="BodyText"/>
        <w:ind w:left="1080" w:hanging="360"/>
      </w:pPr>
      <w:r>
        <w:t>a.</w:t>
      </w:r>
      <w:r>
        <w:tab/>
      </w:r>
      <w:r w:rsidR="00806186" w:rsidRPr="00806186">
        <w:t>PHS plays a vital role in supporting other departments/divisions by: </w:t>
      </w:r>
    </w:p>
    <w:p w14:paraId="132EEEFF" w14:textId="4A3C992D" w:rsidR="00806186" w:rsidRPr="00806186" w:rsidRDefault="00A20F26" w:rsidP="002433D9">
      <w:pPr>
        <w:pStyle w:val="BodyText"/>
        <w:ind w:left="1440" w:hanging="360"/>
      </w:pPr>
      <w:proofErr w:type="spellStart"/>
      <w:r>
        <w:t>i</w:t>
      </w:r>
      <w:proofErr w:type="spellEnd"/>
      <w:r w:rsidR="00C66916">
        <w:t>.</w:t>
      </w:r>
      <w:r w:rsidR="00C66916">
        <w:tab/>
      </w:r>
      <w:r w:rsidR="00806186" w:rsidRPr="00806186">
        <w:t>Acting as the central hub for procurement, guiding staff through the entire purchasing process from the initial requisition to final purchase. This includes assisting in development of specifications, sourcing vendors, obtaining quotes or bids, and ensuring that all procurement actions are compliant with applicable statutes, rules, and procedures. </w:t>
      </w:r>
    </w:p>
    <w:p w14:paraId="0A937911" w14:textId="3758409F" w:rsidR="00806186" w:rsidRPr="00806186" w:rsidRDefault="00C66916" w:rsidP="002433D9">
      <w:pPr>
        <w:pStyle w:val="BodyText"/>
        <w:ind w:left="1440" w:hanging="360"/>
      </w:pPr>
      <w:r>
        <w:t>ii.</w:t>
      </w:r>
      <w:r>
        <w:tab/>
      </w:r>
      <w:r w:rsidR="00806186" w:rsidRPr="00806186">
        <w:t>Collaborating with all TWC divisions, including Finance and the Office of General Counsel (OGC), to ensure compliance and alignment with policies, budgets, and statutes. </w:t>
      </w:r>
    </w:p>
    <w:p w14:paraId="56983F24" w14:textId="2BD2F20B" w:rsidR="00806186" w:rsidRPr="00806186" w:rsidRDefault="00C66916" w:rsidP="002433D9">
      <w:pPr>
        <w:pStyle w:val="BodyText"/>
        <w:ind w:left="1080" w:hanging="360"/>
      </w:pPr>
      <w:r>
        <w:t>b.</w:t>
      </w:r>
      <w:r w:rsidR="00A15C42">
        <w:tab/>
      </w:r>
      <w:r w:rsidR="00806186" w:rsidRPr="00806186">
        <w:t>CAS works with PHS and TWC divisions to develop and execute contracts by: </w:t>
      </w:r>
    </w:p>
    <w:p w14:paraId="29BB2A3C" w14:textId="597DCFC8" w:rsidR="00806186" w:rsidRPr="00806186" w:rsidRDefault="008A1AA3" w:rsidP="002433D9">
      <w:pPr>
        <w:pStyle w:val="BodyText"/>
        <w:ind w:left="1440" w:hanging="360"/>
      </w:pPr>
      <w:proofErr w:type="spellStart"/>
      <w:r>
        <w:t>i</w:t>
      </w:r>
      <w:proofErr w:type="spellEnd"/>
      <w:r>
        <w:t>.</w:t>
      </w:r>
      <w:r>
        <w:tab/>
      </w:r>
      <w:r w:rsidR="00937B3D">
        <w:t>Co</w:t>
      </w:r>
      <w:r w:rsidR="00006D92">
        <w:t xml:space="preserve">ordinating </w:t>
      </w:r>
      <w:r w:rsidR="00937B3D">
        <w:t xml:space="preserve">with </w:t>
      </w:r>
      <w:r w:rsidR="00806186" w:rsidRPr="00806186">
        <w:t xml:space="preserve">PHS </w:t>
      </w:r>
      <w:r w:rsidR="00006D92" w:rsidRPr="00806186">
        <w:t xml:space="preserve">and TWC divisions to develop and execute the contract </w:t>
      </w:r>
      <w:r w:rsidR="00006D92">
        <w:t>after</w:t>
      </w:r>
      <w:r w:rsidR="00937B3D">
        <w:t xml:space="preserve"> </w:t>
      </w:r>
      <w:r w:rsidR="00806186" w:rsidRPr="00806186">
        <w:t xml:space="preserve">PHS processes the solicitation through </w:t>
      </w:r>
      <w:proofErr w:type="gramStart"/>
      <w:r w:rsidR="00806186" w:rsidRPr="00806186">
        <w:t>award .</w:t>
      </w:r>
      <w:proofErr w:type="gramEnd"/>
      <w:r w:rsidR="00806186" w:rsidRPr="00806186">
        <w:t> </w:t>
      </w:r>
    </w:p>
    <w:p w14:paraId="0C5017B1" w14:textId="4A990379" w:rsidR="00806186" w:rsidRPr="00806186" w:rsidRDefault="008A1AA3" w:rsidP="002433D9">
      <w:pPr>
        <w:pStyle w:val="BodyText"/>
        <w:ind w:left="1440" w:hanging="360"/>
      </w:pPr>
      <w:r>
        <w:t>ii.</w:t>
      </w:r>
      <w:r>
        <w:tab/>
      </w:r>
      <w:r w:rsidR="003077CC">
        <w:t>C</w:t>
      </w:r>
      <w:r w:rsidR="003077CC" w:rsidRPr="00806186">
        <w:t>ollaborat</w:t>
      </w:r>
      <w:r w:rsidR="003077CC">
        <w:t>ing</w:t>
      </w:r>
      <w:r w:rsidR="003077CC" w:rsidRPr="00806186">
        <w:t xml:space="preserve"> with agency stakeholders</w:t>
      </w:r>
      <w:r w:rsidR="003077CC">
        <w:t xml:space="preserve"> through</w:t>
      </w:r>
      <w:r w:rsidR="003077CC" w:rsidRPr="00806186">
        <w:t xml:space="preserve"> </w:t>
      </w:r>
      <w:r w:rsidR="00806186" w:rsidRPr="00806186">
        <w:t xml:space="preserve">Electronic Data Exchange (EDE) Contract </w:t>
      </w:r>
      <w:proofErr w:type="gramStart"/>
      <w:r w:rsidR="00806186" w:rsidRPr="00806186">
        <w:t xml:space="preserve">Managers </w:t>
      </w:r>
      <w:r w:rsidR="00617B9F">
        <w:t xml:space="preserve"> in</w:t>
      </w:r>
      <w:proofErr w:type="gramEnd"/>
      <w:r w:rsidR="00617B9F">
        <w:t xml:space="preserve"> multiple workgroups, </w:t>
      </w:r>
      <w:r w:rsidR="00806186" w:rsidRPr="00806186">
        <w:t>including the Research and Evaluation Committee (REC), Information Technologies (IT), the Chief Information Security Officer, and Office of General Counsel (OGC) to fulfill external customer data requests. </w:t>
      </w:r>
    </w:p>
    <w:p w14:paraId="77A9973F" w14:textId="2D897766" w:rsidR="00806186" w:rsidRPr="00806186" w:rsidRDefault="008A1AA3" w:rsidP="002433D9">
      <w:pPr>
        <w:pStyle w:val="BodyText"/>
        <w:ind w:left="1080" w:hanging="360"/>
      </w:pPr>
      <w:r>
        <w:t>c</w:t>
      </w:r>
      <w:r w:rsidR="00527F6E">
        <w:t>.</w:t>
      </w:r>
      <w:r w:rsidR="002B4F2E">
        <w:tab/>
      </w:r>
      <w:r w:rsidR="00A15C42">
        <w:t>G</w:t>
      </w:r>
      <w:r w:rsidR="00806186" w:rsidRPr="00806186">
        <w:t>A Facilitates the Request for Application (RFA) process agency-wide by: </w:t>
      </w:r>
    </w:p>
    <w:p w14:paraId="401C43B3" w14:textId="28486B59" w:rsidR="00806186" w:rsidRPr="00806186" w:rsidRDefault="00134D7E" w:rsidP="002433D9">
      <w:pPr>
        <w:pStyle w:val="BodyText"/>
        <w:ind w:left="1440" w:hanging="360"/>
      </w:pPr>
      <w:proofErr w:type="spellStart"/>
      <w:r>
        <w:t>i</w:t>
      </w:r>
      <w:proofErr w:type="spellEnd"/>
      <w:r w:rsidR="00527F6E">
        <w:t>.</w:t>
      </w:r>
      <w:r w:rsidR="00A20F26">
        <w:tab/>
      </w:r>
      <w:r w:rsidR="00806186" w:rsidRPr="00806186">
        <w:t>Working with TWC program areas to develop RFA documents, gather approvals, publish RFAs, facilitate evaluations, prepare results and recommendations for the selection decision, and process the award. </w:t>
      </w:r>
    </w:p>
    <w:p w14:paraId="175DEE97" w14:textId="410839E2" w:rsidR="00806186" w:rsidRPr="00806186" w:rsidRDefault="00134D7E" w:rsidP="002433D9">
      <w:pPr>
        <w:pStyle w:val="BodyText"/>
        <w:ind w:left="1440" w:hanging="360"/>
      </w:pPr>
      <w:r>
        <w:t>ii</w:t>
      </w:r>
      <w:r w:rsidR="00527F6E">
        <w:t>.</w:t>
      </w:r>
      <w:r w:rsidR="00A20F26">
        <w:tab/>
      </w:r>
      <w:r w:rsidR="00806186" w:rsidRPr="00806186">
        <w:t>Providing reviews and quality assurance of RFA documents.  </w:t>
      </w:r>
    </w:p>
    <w:p w14:paraId="0996D20D" w14:textId="77777777" w:rsidR="00806186" w:rsidRPr="00806186" w:rsidRDefault="00806186" w:rsidP="00C64851">
      <w:pPr>
        <w:pStyle w:val="BodyText"/>
        <w:numPr>
          <w:ilvl w:val="0"/>
          <w:numId w:val="757"/>
        </w:numPr>
        <w:ind w:left="1080"/>
      </w:pPr>
      <w:r w:rsidRPr="00806186">
        <w:t>RASCIs </w:t>
      </w:r>
    </w:p>
    <w:p w14:paraId="7A05033A" w14:textId="4801FF62" w:rsidR="00806186" w:rsidRPr="00806186" w:rsidRDefault="00D022B9" w:rsidP="00EF377D">
      <w:pPr>
        <w:pStyle w:val="BodyText"/>
        <w:ind w:left="1440" w:hanging="360"/>
      </w:pPr>
      <w:proofErr w:type="spellStart"/>
      <w:r>
        <w:t>i</w:t>
      </w:r>
      <w:proofErr w:type="spellEnd"/>
      <w:r>
        <w:t>.</w:t>
      </w:r>
      <w:r>
        <w:tab/>
      </w:r>
      <w:r w:rsidR="00806186" w:rsidRPr="00806186">
        <w:t>RASCI Matrices (tools used to identify specific roles as “Responsible”, “Accountable”, “Support”, “Consult, or “Inform”) were created between PHS, CAS, and TWC divisions to clearly identify roles and responsibilities for each procurement and contracting process tasks. The RASCIs are posted on SharePoint for both PCS and its customers to reference. </w:t>
      </w:r>
    </w:p>
    <w:p w14:paraId="2D59C55A" w14:textId="77777777" w:rsidR="00806186" w:rsidRPr="00806186" w:rsidRDefault="00806186" w:rsidP="00C64851">
      <w:pPr>
        <w:pStyle w:val="BodyText"/>
        <w:numPr>
          <w:ilvl w:val="0"/>
          <w:numId w:val="758"/>
        </w:numPr>
        <w:tabs>
          <w:tab w:val="num" w:pos="1440"/>
        </w:tabs>
        <w:ind w:left="1080"/>
      </w:pPr>
      <w:r w:rsidRPr="00806186">
        <w:lastRenderedPageBreak/>
        <w:t>Next Step Guide for the Contract &amp; Grants Report illustrates coordination between Program and PCS. </w:t>
      </w:r>
    </w:p>
    <w:p w14:paraId="67F4DC25" w14:textId="77777777" w:rsidR="00806186" w:rsidRPr="00806186" w:rsidRDefault="00806186" w:rsidP="00C64851">
      <w:pPr>
        <w:pStyle w:val="BodyText"/>
        <w:numPr>
          <w:ilvl w:val="0"/>
          <w:numId w:val="759"/>
        </w:numPr>
        <w:tabs>
          <w:tab w:val="num" w:pos="1440"/>
        </w:tabs>
        <w:ind w:left="1080"/>
      </w:pPr>
      <w:r w:rsidRPr="00806186">
        <w:t>External Data Exchange Processing Map illustrates the coordination between CAS EDE team and the key stakeholders throughout the agency. </w:t>
      </w:r>
    </w:p>
    <w:p w14:paraId="37AE581A" w14:textId="77777777" w:rsidR="00806186" w:rsidRPr="00806186" w:rsidRDefault="00806186" w:rsidP="00C64851">
      <w:pPr>
        <w:pStyle w:val="BodyText"/>
        <w:numPr>
          <w:ilvl w:val="0"/>
          <w:numId w:val="760"/>
        </w:numPr>
        <w:tabs>
          <w:tab w:val="num" w:pos="1440"/>
        </w:tabs>
        <w:ind w:left="1080"/>
      </w:pPr>
      <w:r w:rsidRPr="00806186">
        <w:t>PHS to CAS Flowchart for Contract Processing </w:t>
      </w:r>
    </w:p>
    <w:p w14:paraId="36769D0F" w14:textId="77777777" w:rsidR="00806186" w:rsidRPr="00806186" w:rsidRDefault="00806186" w:rsidP="00C64851">
      <w:pPr>
        <w:pStyle w:val="BodyText"/>
        <w:numPr>
          <w:ilvl w:val="0"/>
          <w:numId w:val="761"/>
        </w:numPr>
        <w:tabs>
          <w:tab w:val="num" w:pos="1440"/>
        </w:tabs>
        <w:ind w:left="1080"/>
      </w:pPr>
      <w:r w:rsidRPr="00806186">
        <w:t>PHS to CAS Data Sharing Process Flow </w:t>
      </w:r>
    </w:p>
    <w:p w14:paraId="7F742A74" w14:textId="77777777" w:rsidR="00806186" w:rsidRPr="00806186" w:rsidRDefault="00806186" w:rsidP="00D022B9">
      <w:pPr>
        <w:pStyle w:val="BodyText3"/>
        <w:ind w:left="720" w:hanging="720"/>
      </w:pPr>
      <w:r w:rsidRPr="00806186">
        <w:t>G.</w:t>
      </w:r>
      <w:r w:rsidRPr="00806186">
        <w:tab/>
        <w:t xml:space="preserve">If key to understanding the division or program, identify funding sources and </w:t>
      </w:r>
      <w:proofErr w:type="gramStart"/>
      <w:r w:rsidRPr="00806186">
        <w:t>amounts,  including</w:t>
      </w:r>
      <w:proofErr w:type="gramEnd"/>
      <w:r w:rsidRPr="00806186">
        <w:t xml:space="preserve"> federal grants and pass-through monies. Describe any funding formulas or funding conventions. Please specify state funding sources (e.g., general revenue, appropriations rider, budget strategy, and fees/dues). </w:t>
      </w:r>
      <w:r w:rsidRPr="00806186">
        <w:rPr>
          <w:i/>
          <w:iCs/>
        </w:rPr>
        <w:t>(If you have already submitted funding source info through the “Agency Program Information” spreadsheet, please limit your response to funding formulas or funding conventions.)</w:t>
      </w:r>
      <w:r w:rsidRPr="00806186">
        <w:t> </w:t>
      </w:r>
    </w:p>
    <w:tbl>
      <w:tblPr>
        <w:tblStyle w:val="TableGrid1"/>
        <w:tblW w:w="9360" w:type="dxa"/>
        <w:tblCellMar>
          <w:top w:w="58" w:type="dxa"/>
          <w:bottom w:w="58" w:type="dxa"/>
        </w:tblCellMar>
        <w:tblLook w:val="04A0" w:firstRow="1" w:lastRow="0" w:firstColumn="1" w:lastColumn="0" w:noHBand="0" w:noVBand="1"/>
      </w:tblPr>
      <w:tblGrid>
        <w:gridCol w:w="3235"/>
        <w:gridCol w:w="2097"/>
        <w:gridCol w:w="1892"/>
        <w:gridCol w:w="2136"/>
      </w:tblGrid>
      <w:tr w:rsidR="00610FC5" w:rsidRPr="00CE3E78" w14:paraId="2422582A" w14:textId="77777777" w:rsidTr="00610FC5">
        <w:trPr>
          <w:trHeight w:val="564"/>
        </w:trPr>
        <w:tc>
          <w:tcPr>
            <w:tcW w:w="3235" w:type="dxa"/>
            <w:shd w:val="clear" w:color="auto" w:fill="B8CCE4" w:themeFill="accent1" w:themeFillTint="66"/>
            <w:hideMark/>
          </w:tcPr>
          <w:p w14:paraId="4AB1E5B1" w14:textId="77777777" w:rsidR="00610FC5" w:rsidRPr="00F05CE3" w:rsidRDefault="00610FC5" w:rsidP="00610FC5">
            <w:pPr>
              <w:pStyle w:val="TableHeaders"/>
              <w:rPr>
                <w:color w:val="000000"/>
              </w:rPr>
            </w:pPr>
            <w:r w:rsidRPr="00F05CE3">
              <w:t>Program or Function Detail Description</w:t>
            </w:r>
          </w:p>
        </w:tc>
        <w:tc>
          <w:tcPr>
            <w:tcW w:w="2430" w:type="dxa"/>
            <w:shd w:val="clear" w:color="auto" w:fill="B8CCE4" w:themeFill="accent1" w:themeFillTint="66"/>
            <w:hideMark/>
          </w:tcPr>
          <w:p w14:paraId="25C587DA" w14:textId="77777777" w:rsidR="00610FC5" w:rsidRPr="00F05CE3" w:rsidRDefault="00610FC5" w:rsidP="00610FC5">
            <w:pPr>
              <w:pStyle w:val="TableHeaders"/>
              <w:rPr>
                <w:color w:val="000000"/>
              </w:rPr>
            </w:pPr>
            <w:r w:rsidRPr="00F05CE3">
              <w:t>Total FY 2024</w:t>
            </w:r>
          </w:p>
        </w:tc>
        <w:tc>
          <w:tcPr>
            <w:tcW w:w="2160" w:type="dxa"/>
            <w:shd w:val="clear" w:color="auto" w:fill="B8CCE4" w:themeFill="accent1" w:themeFillTint="66"/>
            <w:hideMark/>
          </w:tcPr>
          <w:p w14:paraId="25F973CA" w14:textId="77777777" w:rsidR="00610FC5" w:rsidRPr="00F05CE3" w:rsidRDefault="00610FC5" w:rsidP="00610FC5">
            <w:pPr>
              <w:pStyle w:val="TableHeaders"/>
              <w:rPr>
                <w:color w:val="000000"/>
              </w:rPr>
            </w:pPr>
            <w:r w:rsidRPr="00F05CE3">
              <w:t>Federal Funding</w:t>
            </w:r>
          </w:p>
        </w:tc>
        <w:tc>
          <w:tcPr>
            <w:tcW w:w="2515" w:type="dxa"/>
            <w:shd w:val="clear" w:color="auto" w:fill="B8CCE4" w:themeFill="accent1" w:themeFillTint="66"/>
            <w:hideMark/>
          </w:tcPr>
          <w:p w14:paraId="6DDBCBB2" w14:textId="77777777" w:rsidR="00610FC5" w:rsidRPr="00F05CE3" w:rsidRDefault="00610FC5" w:rsidP="00610FC5">
            <w:pPr>
              <w:pStyle w:val="TableHeaders"/>
              <w:rPr>
                <w:color w:val="000000"/>
              </w:rPr>
            </w:pPr>
            <w:r w:rsidRPr="00F05CE3">
              <w:t>State Funding</w:t>
            </w:r>
          </w:p>
        </w:tc>
      </w:tr>
      <w:tr w:rsidR="00610FC5" w:rsidRPr="00CE3E78" w14:paraId="66461D22" w14:textId="77777777" w:rsidTr="00610FC5">
        <w:trPr>
          <w:trHeight w:val="288"/>
        </w:trPr>
        <w:tc>
          <w:tcPr>
            <w:tcW w:w="3235" w:type="dxa"/>
            <w:noWrap/>
            <w:vAlign w:val="center"/>
            <w:hideMark/>
          </w:tcPr>
          <w:p w14:paraId="549CF755" w14:textId="77777777" w:rsidR="00610FC5" w:rsidRPr="00F05CE3" w:rsidRDefault="00610FC5" w:rsidP="00610FC5">
            <w:pPr>
              <w:pStyle w:val="TableText"/>
            </w:pPr>
            <w:r w:rsidRPr="00F05CE3">
              <w:t>Procurement &amp; Contract Services</w:t>
            </w:r>
          </w:p>
        </w:tc>
        <w:tc>
          <w:tcPr>
            <w:tcW w:w="2430" w:type="dxa"/>
            <w:vAlign w:val="center"/>
            <w:hideMark/>
          </w:tcPr>
          <w:p w14:paraId="24C95AF0" w14:textId="0BF6765C" w:rsidR="00610FC5" w:rsidRPr="00F05CE3" w:rsidRDefault="00610FC5" w:rsidP="00610FC5">
            <w:pPr>
              <w:pStyle w:val="TableText"/>
              <w:jc w:val="right"/>
            </w:pPr>
            <w:r w:rsidRPr="00F05CE3">
              <w:t xml:space="preserve">5,612,950 </w:t>
            </w:r>
          </w:p>
        </w:tc>
        <w:tc>
          <w:tcPr>
            <w:tcW w:w="2160" w:type="dxa"/>
            <w:vAlign w:val="center"/>
            <w:hideMark/>
          </w:tcPr>
          <w:p w14:paraId="5BB2619B" w14:textId="0927532F" w:rsidR="00610FC5" w:rsidRPr="00F05CE3" w:rsidRDefault="00610FC5" w:rsidP="00610FC5">
            <w:pPr>
              <w:pStyle w:val="TableText"/>
              <w:jc w:val="right"/>
            </w:pPr>
            <w:r w:rsidRPr="00F05CE3">
              <w:t xml:space="preserve">4,736,537 </w:t>
            </w:r>
          </w:p>
        </w:tc>
        <w:tc>
          <w:tcPr>
            <w:tcW w:w="2515" w:type="dxa"/>
            <w:vAlign w:val="center"/>
            <w:hideMark/>
          </w:tcPr>
          <w:p w14:paraId="65576EE4" w14:textId="44AEE88C" w:rsidR="00610FC5" w:rsidRPr="00F05CE3" w:rsidRDefault="00610FC5" w:rsidP="00610FC5">
            <w:pPr>
              <w:pStyle w:val="TableText"/>
              <w:jc w:val="right"/>
            </w:pPr>
            <w:r w:rsidRPr="00F05CE3">
              <w:t xml:space="preserve">876,413 </w:t>
            </w:r>
          </w:p>
        </w:tc>
      </w:tr>
    </w:tbl>
    <w:p w14:paraId="20853123" w14:textId="651F9ECD" w:rsidR="00806186" w:rsidRPr="00806186" w:rsidRDefault="00806186" w:rsidP="00D022B9">
      <w:pPr>
        <w:pStyle w:val="BodyText3"/>
        <w:ind w:left="720" w:hanging="720"/>
      </w:pPr>
      <w:r w:rsidRPr="00806186">
        <w:t>H.</w:t>
      </w:r>
      <w:r w:rsidRPr="00806186">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30BABD05" w14:textId="15D78FC6" w:rsidR="00806186" w:rsidRPr="00806186" w:rsidRDefault="00806186" w:rsidP="00D022B9">
      <w:pPr>
        <w:pStyle w:val="BodyText"/>
      </w:pPr>
      <w:r w:rsidRPr="00806186">
        <w:t>N/A</w:t>
      </w:r>
    </w:p>
    <w:p w14:paraId="1430D885" w14:textId="6DE90015" w:rsidR="00806186" w:rsidRPr="00806186" w:rsidRDefault="00806186" w:rsidP="00D022B9">
      <w:pPr>
        <w:pStyle w:val="BodyText3"/>
        <w:ind w:left="720" w:hanging="720"/>
      </w:pPr>
      <w:r w:rsidRPr="00806186">
        <w:t>I.</w:t>
      </w:r>
      <w:r w:rsidR="00D022B9">
        <w:tab/>
      </w:r>
      <w:r w:rsidRPr="00806186">
        <w:t>If the division or program works with local, regional, or federal units of government, include a brief</w:t>
      </w:r>
      <w:r w:rsidR="00D022B9">
        <w:t xml:space="preserve"> </w:t>
      </w:r>
      <w:r w:rsidRPr="00806186">
        <w:t>description of these entities and their relationship to the agency. </w:t>
      </w:r>
    </w:p>
    <w:p w14:paraId="621EB700" w14:textId="4B790192" w:rsidR="00806186" w:rsidRPr="00806186" w:rsidRDefault="00D022B9" w:rsidP="00EF377D">
      <w:pPr>
        <w:pStyle w:val="BodyText"/>
        <w:ind w:left="1080" w:hanging="360"/>
      </w:pPr>
      <w:r>
        <w:t>a.</w:t>
      </w:r>
      <w:r>
        <w:tab/>
      </w:r>
      <w:r w:rsidR="00806186" w:rsidRPr="00806186">
        <w:t>CAS enters into Building Use Agreements to occupy space owned by TWC’s agency owned buildings with the twenty-eight Local WDBs. </w:t>
      </w:r>
    </w:p>
    <w:p w14:paraId="4F5F5D15" w14:textId="2AADF4AC" w:rsidR="00806186" w:rsidRPr="00806186" w:rsidRDefault="00D022B9" w:rsidP="00EF377D">
      <w:pPr>
        <w:pStyle w:val="BodyText"/>
        <w:ind w:left="720"/>
      </w:pPr>
      <w:r>
        <w:t>b.</w:t>
      </w:r>
      <w:r>
        <w:tab/>
      </w:r>
      <w:r w:rsidR="00806186" w:rsidRPr="00806186">
        <w:t>GA processes grants awarded to the twenty-eight Local WDBs. This includes the funding allocations for workforce programs under various federal funding authorities, such as TANF, SNAP, and WIOA. GA also processes any special initiative grants awarded to specific Local WDBs.  </w:t>
      </w:r>
    </w:p>
    <w:p w14:paraId="1882BF8E" w14:textId="16E4BE8B" w:rsidR="00806186" w:rsidRPr="00806186" w:rsidRDefault="00D022B9" w:rsidP="00EF377D">
      <w:pPr>
        <w:pStyle w:val="BodyText"/>
        <w:ind w:left="720"/>
      </w:pPr>
      <w:r>
        <w:t>c.</w:t>
      </w:r>
      <w:r>
        <w:tab/>
      </w:r>
      <w:r w:rsidR="00806186" w:rsidRPr="00806186">
        <w:t>The Social Security Administration (SSA) is conducting the FY2025 Texas Security Assessment, which kicked off in April 2025. The SSA’s review is a remote triennial security assessment of the safeguards used to protect SSA data received under TWC’s Information Exchange Agreement (IEA) on July 15, 2025. This assessment may involve TWC contracts or contractors. </w:t>
      </w:r>
    </w:p>
    <w:p w14:paraId="6AFB64A7" w14:textId="37ACA139" w:rsidR="00806186" w:rsidRPr="00806186" w:rsidRDefault="00D022B9" w:rsidP="00EF377D">
      <w:pPr>
        <w:pStyle w:val="BodyText"/>
        <w:ind w:left="720"/>
      </w:pPr>
      <w:r>
        <w:lastRenderedPageBreak/>
        <w:t>d.</w:t>
      </w:r>
      <w:r>
        <w:tab/>
      </w:r>
      <w:r w:rsidR="00806186" w:rsidRPr="00806186">
        <w:t>TWC underwent the Statewide Single audit, Report No. 25-315 for compliance of major federal programs and internal control over compliance. Clifton Larson Allen conducted the independent audit, in partnership with the State Auditor’s Office (SAO), kicking off the project with an entrance conference in June 2023. The audit concluded with the final report issued in February 2025. </w:t>
      </w:r>
    </w:p>
    <w:p w14:paraId="4951521A" w14:textId="009E173F" w:rsidR="00806186" w:rsidRPr="00806186" w:rsidRDefault="00806186" w:rsidP="00D022B9">
      <w:pPr>
        <w:pStyle w:val="BodyText3"/>
        <w:ind w:left="720" w:hanging="720"/>
      </w:pPr>
      <w:r w:rsidRPr="00806186">
        <w:t>J.</w:t>
      </w:r>
      <w:r w:rsidR="00D022B9">
        <w:tab/>
      </w:r>
      <w:r w:rsidRPr="00806186">
        <w:t>Are there any barriers or challenges that impede the division or program’s performance, including any outdated or ineffective state laws? Explain. </w:t>
      </w:r>
    </w:p>
    <w:p w14:paraId="4FC79DF7" w14:textId="77777777" w:rsidR="00806186" w:rsidRPr="00806186" w:rsidRDefault="00806186" w:rsidP="00D022B9">
      <w:pPr>
        <w:pStyle w:val="BodyText"/>
      </w:pPr>
      <w:r w:rsidRPr="00806186">
        <w:t>N/A </w:t>
      </w:r>
    </w:p>
    <w:p w14:paraId="3803E380" w14:textId="146F09BF" w:rsidR="00806186" w:rsidRPr="00806186" w:rsidRDefault="00806186" w:rsidP="00D022B9">
      <w:pPr>
        <w:pStyle w:val="BodyText3"/>
        <w:ind w:left="720" w:hanging="720"/>
      </w:pPr>
      <w:r w:rsidRPr="00806186">
        <w:t>K.</w:t>
      </w:r>
      <w:r w:rsidR="00D022B9">
        <w:tab/>
      </w:r>
      <w:r w:rsidRPr="00806186">
        <w:t>Provide any additional information needed to gain a preliminary understanding of the division or program.</w:t>
      </w:r>
    </w:p>
    <w:p w14:paraId="083B6604" w14:textId="77777777" w:rsidR="00806186" w:rsidRPr="00806186" w:rsidRDefault="00806186" w:rsidP="00ED28A9">
      <w:pPr>
        <w:pStyle w:val="BodyText"/>
      </w:pPr>
      <w:r w:rsidRPr="00806186">
        <w:t>Since 2022, PCS has been the subject of, or involved in, the following audits conducted by TWC’s Internal Audit Division.  </w:t>
      </w:r>
    </w:p>
    <w:p w14:paraId="69C569FD" w14:textId="129F51FE" w:rsidR="00806186" w:rsidRPr="00806186" w:rsidRDefault="00ED28A9" w:rsidP="00EF377D">
      <w:pPr>
        <w:pStyle w:val="BodyText"/>
        <w:ind w:left="1080" w:hanging="360"/>
      </w:pPr>
      <w:r>
        <w:t>a.</w:t>
      </w:r>
      <w:r>
        <w:tab/>
      </w:r>
      <w:r w:rsidR="00806186" w:rsidRPr="00806186">
        <w:t>2022-004-20 Jobs and Education for Texans (JET) Program Compliance Review: To determine if the Jobs &amp; Education for Texans (JET) grant program controls comply with state laws. </w:t>
      </w:r>
    </w:p>
    <w:p w14:paraId="557FF423" w14:textId="1A6F1081" w:rsidR="00806186" w:rsidRPr="00806186" w:rsidRDefault="004005B9" w:rsidP="00EF377D">
      <w:pPr>
        <w:pStyle w:val="BodyText"/>
        <w:ind w:left="1080" w:hanging="360"/>
      </w:pPr>
      <w:r>
        <w:t>b.</w:t>
      </w:r>
      <w:r>
        <w:tab/>
      </w:r>
      <w:r w:rsidR="00806186" w:rsidRPr="00806186">
        <w:t>2023-003-30 Review of Monitoring Results: To determine if the results of monitoring activities are properly addressed by agency management. </w:t>
      </w:r>
    </w:p>
    <w:p w14:paraId="28C5CBC4" w14:textId="7B5E3590" w:rsidR="00806186" w:rsidRPr="00806186" w:rsidRDefault="00B64B19" w:rsidP="00EF377D">
      <w:pPr>
        <w:pStyle w:val="BodyText"/>
        <w:ind w:left="1080" w:hanging="360"/>
      </w:pPr>
      <w:r>
        <w:t>c.</w:t>
      </w:r>
      <w:r>
        <w:tab/>
      </w:r>
      <w:r w:rsidR="00806186" w:rsidRPr="00806186">
        <w:t>2023-006-10 Audit of Payments for Procurements: To review the effectiveness and efficiency of the procurement and payment processes for goods and services purchased for TWC staff; more specifically, to verify purchase orders and payment vouchers are created and processed timely and in accordance with state laws. </w:t>
      </w:r>
    </w:p>
    <w:p w14:paraId="4726EB01" w14:textId="1A20B257" w:rsidR="00806186" w:rsidRPr="00806186" w:rsidRDefault="00B64B19" w:rsidP="009024FB">
      <w:pPr>
        <w:pStyle w:val="BodyText"/>
        <w:ind w:left="1080" w:hanging="360"/>
      </w:pPr>
      <w:r>
        <w:t>d.</w:t>
      </w:r>
      <w:r>
        <w:tab/>
      </w:r>
      <w:r w:rsidR="00806186" w:rsidRPr="00806186">
        <w:t>2023-009-10 Contract Review Efficiency Audit: To review the efficiency of the contract solicitation and review process. </w:t>
      </w:r>
    </w:p>
    <w:p w14:paraId="3B12662C" w14:textId="77DFB078" w:rsidR="00806186" w:rsidRPr="00806186" w:rsidRDefault="00B64B19" w:rsidP="009024FB">
      <w:pPr>
        <w:pStyle w:val="BodyText"/>
        <w:ind w:left="1080" w:hanging="360"/>
      </w:pPr>
      <w:r>
        <w:t>e.</w:t>
      </w:r>
      <w:r>
        <w:tab/>
      </w:r>
      <w:r w:rsidR="00806186" w:rsidRPr="00806186">
        <w:t>2025-003-50 Workforce Grant Management Audit: To evaluate grant management processes. This audit is currently underway, with the report pending. </w:t>
      </w:r>
    </w:p>
    <w:p w14:paraId="4BE67389" w14:textId="118E4E33" w:rsidR="00806186" w:rsidRPr="00806186" w:rsidRDefault="00B64B19" w:rsidP="009024FB">
      <w:pPr>
        <w:pStyle w:val="BodyText"/>
        <w:ind w:left="1080" w:hanging="360"/>
      </w:pPr>
      <w:r>
        <w:t>f.</w:t>
      </w:r>
      <w:r>
        <w:tab/>
      </w:r>
      <w:r w:rsidR="00806186" w:rsidRPr="00806186">
        <w:t>Since 2022, PCS has been the subject of, or involved in, the following external audits conducted by state agencies.  </w:t>
      </w:r>
    </w:p>
    <w:p w14:paraId="62EB2888" w14:textId="77777777" w:rsidR="00806186" w:rsidRPr="00806186" w:rsidRDefault="00806186" w:rsidP="00C64851">
      <w:pPr>
        <w:pStyle w:val="BodyText"/>
        <w:numPr>
          <w:ilvl w:val="0"/>
          <w:numId w:val="762"/>
        </w:numPr>
        <w:ind w:left="1440"/>
      </w:pPr>
      <w:r w:rsidRPr="00806186">
        <w:t>Comptroller of Public Accounts (CPA), A Contracting Audit of the Texas Workforce Commission 320-24-01: To determine TWC compliance with the GAA, relevant statutes, and Comptroller requirements. </w:t>
      </w:r>
    </w:p>
    <w:p w14:paraId="727EDA78" w14:textId="77777777" w:rsidR="00806186" w:rsidRPr="00806186" w:rsidRDefault="00806186" w:rsidP="00C64851">
      <w:pPr>
        <w:pStyle w:val="BodyText"/>
        <w:numPr>
          <w:ilvl w:val="0"/>
          <w:numId w:val="763"/>
        </w:numPr>
        <w:ind w:left="1440"/>
      </w:pPr>
      <w:r w:rsidRPr="00806186">
        <w:lastRenderedPageBreak/>
        <w:t>SAO Contract Monitoring Assessment 2022 22-027: To determine compliance with contracting-related information from multiple sources specified in Texas Government Code, Section 2261.258. </w:t>
      </w:r>
    </w:p>
    <w:p w14:paraId="07903179" w14:textId="77777777" w:rsidR="00806186" w:rsidRPr="00806186" w:rsidRDefault="00806186" w:rsidP="00C64851">
      <w:pPr>
        <w:pStyle w:val="BodyText"/>
        <w:numPr>
          <w:ilvl w:val="0"/>
          <w:numId w:val="764"/>
        </w:numPr>
        <w:ind w:left="1440"/>
      </w:pPr>
      <w:r w:rsidRPr="00806186">
        <w:t>SAO Contract Monitoring Assessment 2023 23-028: To determine compliance with contracting-related information from multiple sources specified in Texas Government Code, Section 2261.258. </w:t>
      </w:r>
    </w:p>
    <w:p w14:paraId="41C69672" w14:textId="77777777" w:rsidR="00806186" w:rsidRPr="00806186" w:rsidRDefault="00806186" w:rsidP="00C64851">
      <w:pPr>
        <w:pStyle w:val="BodyText"/>
        <w:numPr>
          <w:ilvl w:val="0"/>
          <w:numId w:val="765"/>
        </w:numPr>
        <w:ind w:left="1440"/>
      </w:pPr>
      <w:r w:rsidRPr="00806186">
        <w:t>SAO Contract Monitoring Assessment 2024 24-013: To determine compliance with contracting-related information from multiple sources specified in Texas Government. Code, Section 2261.258. </w:t>
      </w:r>
    </w:p>
    <w:p w14:paraId="7A8662AF" w14:textId="77777777" w:rsidR="00806186" w:rsidRPr="00806186" w:rsidRDefault="00806186" w:rsidP="00C64851">
      <w:pPr>
        <w:pStyle w:val="BodyText"/>
        <w:numPr>
          <w:ilvl w:val="0"/>
          <w:numId w:val="766"/>
        </w:numPr>
        <w:ind w:left="1440"/>
      </w:pPr>
      <w:hyperlink r:id="rId258" w:tgtFrame="_blank" w:history="1">
        <w:r w:rsidRPr="00806186">
          <w:rPr>
            <w:rStyle w:val="Hyperlink"/>
          </w:rPr>
          <w:t>SAO Contract Monitoring Assessment 2025</w:t>
        </w:r>
      </w:hyperlink>
      <w:r w:rsidRPr="00806186">
        <w:t>: To determine compliance with contracting-related information from multiple sources specified in Texas Government Code, Section 2261.258. </w:t>
      </w:r>
    </w:p>
    <w:p w14:paraId="1084DA86" w14:textId="77777777" w:rsidR="00806186" w:rsidRPr="00806186" w:rsidRDefault="00806186" w:rsidP="00C64851">
      <w:pPr>
        <w:pStyle w:val="BodyText"/>
        <w:numPr>
          <w:ilvl w:val="0"/>
          <w:numId w:val="767"/>
        </w:numPr>
        <w:ind w:left="1440"/>
      </w:pPr>
      <w:r w:rsidRPr="00806186">
        <w:t xml:space="preserve">Legislative Budget Board </w:t>
      </w:r>
      <w:hyperlink r:id="rId259" w:tgtFrame="_blank" w:history="1">
        <w:r w:rsidRPr="00806186">
          <w:rPr>
            <w:rStyle w:val="Hyperlink"/>
          </w:rPr>
          <w:t>(LBB) FY 2022 Statewide Federal Compliance Single Audit</w:t>
        </w:r>
      </w:hyperlink>
      <w:r w:rsidRPr="00806186">
        <w:t xml:space="preserve"> 23-555: To determine compliance with the presentation of the Schedule of Expenditure of Federal Awards on behalf of the Texas State Auditor’s Office. </w:t>
      </w:r>
    </w:p>
    <w:p w14:paraId="53BFFF66" w14:textId="77777777" w:rsidR="00806186" w:rsidRPr="00806186" w:rsidRDefault="00806186" w:rsidP="00C64851">
      <w:pPr>
        <w:pStyle w:val="BodyText"/>
        <w:numPr>
          <w:ilvl w:val="0"/>
          <w:numId w:val="768"/>
        </w:numPr>
        <w:ind w:left="1440"/>
      </w:pPr>
      <w:hyperlink r:id="rId260" w:tgtFrame="_blank" w:history="1">
        <w:r w:rsidRPr="00806186">
          <w:rPr>
            <w:rStyle w:val="Hyperlink"/>
          </w:rPr>
          <w:t>LBB FY 2024 Statewide Federal Compliance Single Audit</w:t>
        </w:r>
      </w:hyperlink>
      <w:r w:rsidRPr="00806186">
        <w:t>: To determine compliance with the presentation of the Schedule of Expenditure of Federal Awards on behalf of the Texas State Auditor’s Office. </w:t>
      </w:r>
    </w:p>
    <w:p w14:paraId="665872A0" w14:textId="1E945EA1" w:rsidR="00806186" w:rsidRPr="00806186" w:rsidRDefault="00806186" w:rsidP="009024FB">
      <w:pPr>
        <w:pStyle w:val="BodyText3"/>
        <w:ind w:left="720" w:hanging="720"/>
      </w:pPr>
      <w:r w:rsidRPr="00806186">
        <w:t>L.</w:t>
      </w:r>
      <w:r w:rsidR="009024FB">
        <w:tab/>
      </w:r>
      <w:r w:rsidRPr="00806186">
        <w:t>Regulatory programs relate to the licensing, registration, certification, or permitting of a person, business, piece of equipment, or other entity (e.g., a facility). For each regulatory program, if applicable, describe: </w:t>
      </w:r>
    </w:p>
    <w:p w14:paraId="26B08530" w14:textId="77777777" w:rsidR="00806186" w:rsidRPr="00806186" w:rsidRDefault="00806186" w:rsidP="009024FB">
      <w:pPr>
        <w:pStyle w:val="BodyText"/>
      </w:pPr>
      <w:r w:rsidRPr="00806186">
        <w:t>N/A </w:t>
      </w:r>
    </w:p>
    <w:p w14:paraId="5CF2377C" w14:textId="77777777" w:rsidR="00806186" w:rsidRPr="00806186" w:rsidRDefault="00806186" w:rsidP="009024FB">
      <w:pPr>
        <w:pStyle w:val="BodyText3"/>
      </w:pPr>
      <w:r w:rsidRPr="00806186">
        <w:t>M.</w:t>
      </w:r>
      <w:r w:rsidRPr="00806186">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0B400A3E" w14:textId="70B95CE9" w:rsidR="006C3F29" w:rsidRDefault="00806186" w:rsidP="00B504F0">
      <w:pPr>
        <w:pStyle w:val="BodyText"/>
      </w:pPr>
      <w:r w:rsidRPr="00806186">
        <w:t>N/A</w:t>
      </w:r>
      <w:r w:rsidR="006C3F29">
        <w:br w:type="page"/>
      </w:r>
    </w:p>
    <w:p w14:paraId="370B6146" w14:textId="780B274B" w:rsidR="00880BDB" w:rsidRPr="00880BDB" w:rsidRDefault="00351F5F" w:rsidP="00351F5F">
      <w:pPr>
        <w:pStyle w:val="BodyText3"/>
        <w:rPr>
          <w:rFonts w:eastAsiaTheme="minorEastAsia"/>
          <w:szCs w:val="22"/>
        </w:rPr>
      </w:pPr>
      <w:r>
        <w:lastRenderedPageBreak/>
        <w:t>Cybersecurity</w:t>
      </w:r>
    </w:p>
    <w:p w14:paraId="4A9F9611" w14:textId="77777777" w:rsidR="00880BDB" w:rsidRPr="00880BDB" w:rsidRDefault="00880BDB" w:rsidP="00934102">
      <w:pPr>
        <w:pStyle w:val="BodyText3"/>
        <w:ind w:left="720" w:hanging="720"/>
      </w:pPr>
      <w:r w:rsidRPr="00880BDB">
        <w:t>A.</w:t>
      </w:r>
      <w:r w:rsidRPr="00880BDB">
        <w:tab/>
        <w:t>Provide the following information at the beginning of each program description. </w:t>
      </w:r>
    </w:p>
    <w:p w14:paraId="674CE9A2" w14:textId="77777777" w:rsidR="00880BDB" w:rsidRPr="00880BDB" w:rsidRDefault="00880BDB" w:rsidP="00934102">
      <w:pPr>
        <w:pStyle w:val="BodyText"/>
      </w:pPr>
      <w:r w:rsidRPr="00880BDB">
        <w:t>Name of Program or Function: Cybersecurity </w:t>
      </w:r>
    </w:p>
    <w:p w14:paraId="0CABD56E" w14:textId="6B270E4C" w:rsidR="00880BDB" w:rsidRPr="00880BDB" w:rsidRDefault="00880BDB" w:rsidP="00934102">
      <w:pPr>
        <w:pStyle w:val="BodyText"/>
      </w:pPr>
      <w:r w:rsidRPr="00880BDB">
        <w:t>Location/Division: Business Operations Division </w:t>
      </w:r>
    </w:p>
    <w:p w14:paraId="37278DD1" w14:textId="77777777" w:rsidR="00880BDB" w:rsidRPr="00880BDB" w:rsidRDefault="00880BDB" w:rsidP="00934102">
      <w:pPr>
        <w:pStyle w:val="BodyText"/>
      </w:pPr>
      <w:r w:rsidRPr="00880BDB">
        <w:t>Contact Name: Lance Leatherwood, Chief Information Security Officer  </w:t>
      </w:r>
    </w:p>
    <w:p w14:paraId="2BAB96B1" w14:textId="0225150A" w:rsidR="00880BDB" w:rsidRPr="00880BDB" w:rsidRDefault="00880BDB" w:rsidP="00907799">
      <w:pPr>
        <w:pStyle w:val="BodyText"/>
      </w:pPr>
      <w:r w:rsidRPr="00880BDB">
        <w:t>Statutory Citation for Program: </w:t>
      </w:r>
      <w:r w:rsidR="00907799">
        <w:t xml:space="preserve"> </w:t>
      </w:r>
      <w:r w:rsidR="26593B5E">
        <w:t>Texas Government Code</w:t>
      </w:r>
      <w:r w:rsidR="00907799">
        <w:t>, Chapter</w:t>
      </w:r>
      <w:r w:rsidR="26593B5E">
        <w:t xml:space="preserve"> 2054</w:t>
      </w:r>
      <w:r>
        <w:t> </w:t>
      </w:r>
    </w:p>
    <w:p w14:paraId="70C0D838" w14:textId="2805961D" w:rsidR="00880BDB" w:rsidRPr="00880BDB" w:rsidRDefault="00880BDB" w:rsidP="00AB6288">
      <w:pPr>
        <w:pStyle w:val="BodyText3"/>
        <w:ind w:left="720" w:hanging="720"/>
      </w:pPr>
      <w:r w:rsidRPr="00880BDB">
        <w:t>B.</w:t>
      </w:r>
      <w:r w:rsidRPr="00880BDB">
        <w:tab/>
        <w:t>What is the objective of this program or function? Describe the major activities performed under this program.</w:t>
      </w:r>
    </w:p>
    <w:p w14:paraId="2A64DDDB" w14:textId="77777777" w:rsidR="00880BDB" w:rsidRPr="0050487B" w:rsidRDefault="00880BDB" w:rsidP="0050487B">
      <w:pPr>
        <w:pStyle w:val="BodyText"/>
      </w:pPr>
      <w:r w:rsidRPr="00880BDB">
        <w:t xml:space="preserve">The objective of the cybersecurity program is to safeguard TWC's data, systems, and services from evolving cyber threats, ensuring the confidentiality, integrity, and availability </w:t>
      </w:r>
      <w:r w:rsidRPr="0050487B">
        <w:t>of critical resources that support workforce-related services for Texans.  </w:t>
      </w:r>
    </w:p>
    <w:p w14:paraId="604E19D4" w14:textId="089F9297" w:rsidR="00880BDB" w:rsidRPr="00880BDB" w:rsidRDefault="00880BDB" w:rsidP="0050487B">
      <w:pPr>
        <w:pStyle w:val="BodyText"/>
      </w:pPr>
      <w:r w:rsidRPr="00880BDB">
        <w:t>The Chief Information Security Officer oversees this department, which is primarily organized into two teams, each of which handle distinct, key functions:  </w:t>
      </w:r>
    </w:p>
    <w:p w14:paraId="071664CD" w14:textId="4FCCC230" w:rsidR="00880BDB" w:rsidRPr="00880BDB" w:rsidRDefault="00880BDB" w:rsidP="0019609A">
      <w:pPr>
        <w:pStyle w:val="BodyText"/>
      </w:pPr>
      <w:r w:rsidRPr="00880BDB">
        <w:t>Security Operations Center</w:t>
      </w:r>
    </w:p>
    <w:p w14:paraId="0125D23C" w14:textId="77777777" w:rsidR="00880BDB" w:rsidRPr="00880BDB" w:rsidRDefault="00880BDB" w:rsidP="00C64851">
      <w:pPr>
        <w:pStyle w:val="BodyText"/>
        <w:numPr>
          <w:ilvl w:val="0"/>
          <w:numId w:val="780"/>
        </w:numPr>
      </w:pPr>
      <w:r w:rsidRPr="00880BDB">
        <w:t>Incident Response Preparedness </w:t>
      </w:r>
    </w:p>
    <w:p w14:paraId="22FEFF65" w14:textId="77777777" w:rsidR="00880BDB" w:rsidRPr="00880BDB" w:rsidRDefault="00880BDB" w:rsidP="00C64851">
      <w:pPr>
        <w:pStyle w:val="BodyText"/>
        <w:numPr>
          <w:ilvl w:val="0"/>
          <w:numId w:val="780"/>
        </w:numPr>
      </w:pPr>
      <w:r w:rsidRPr="00880BDB">
        <w:t>24/7 Threat Detection &amp; Response </w:t>
      </w:r>
    </w:p>
    <w:p w14:paraId="2B9896FE" w14:textId="77777777" w:rsidR="00880BDB" w:rsidRPr="00880BDB" w:rsidRDefault="00880BDB" w:rsidP="00C64851">
      <w:pPr>
        <w:pStyle w:val="BodyText"/>
        <w:numPr>
          <w:ilvl w:val="0"/>
          <w:numId w:val="780"/>
        </w:numPr>
      </w:pPr>
      <w:r w:rsidRPr="00880BDB">
        <w:t>Vulnerability Management </w:t>
      </w:r>
    </w:p>
    <w:p w14:paraId="17E55053" w14:textId="77777777" w:rsidR="00880BDB" w:rsidRPr="00880BDB" w:rsidRDefault="00880BDB" w:rsidP="00C64851">
      <w:pPr>
        <w:pStyle w:val="BodyText"/>
        <w:numPr>
          <w:ilvl w:val="0"/>
          <w:numId w:val="780"/>
        </w:numPr>
      </w:pPr>
      <w:r w:rsidRPr="00880BDB">
        <w:t>Web Security Enforcement </w:t>
      </w:r>
    </w:p>
    <w:p w14:paraId="53474B44" w14:textId="77777777" w:rsidR="00880BDB" w:rsidRPr="00880BDB" w:rsidRDefault="00880BDB" w:rsidP="00C64851">
      <w:pPr>
        <w:pStyle w:val="BodyText"/>
        <w:numPr>
          <w:ilvl w:val="0"/>
          <w:numId w:val="780"/>
        </w:numPr>
      </w:pPr>
      <w:r w:rsidRPr="00880BDB">
        <w:t>Threat Intelligence Integration </w:t>
      </w:r>
    </w:p>
    <w:p w14:paraId="5BC073C0" w14:textId="77777777" w:rsidR="00880BDB" w:rsidRPr="00880BDB" w:rsidRDefault="00880BDB" w:rsidP="000641BD">
      <w:pPr>
        <w:pStyle w:val="BodyText"/>
      </w:pPr>
      <w:r w:rsidRPr="00880BDB">
        <w:t>Governance, Risk, and Compliance: </w:t>
      </w:r>
    </w:p>
    <w:p w14:paraId="01256DC9" w14:textId="77777777" w:rsidR="00880BDB" w:rsidRPr="00880BDB" w:rsidRDefault="00880BDB" w:rsidP="00C64851">
      <w:pPr>
        <w:pStyle w:val="BodyText"/>
        <w:numPr>
          <w:ilvl w:val="0"/>
          <w:numId w:val="781"/>
        </w:numPr>
      </w:pPr>
      <w:r w:rsidRPr="00880BDB">
        <w:t>Cybersecurity Governance and Policy </w:t>
      </w:r>
    </w:p>
    <w:p w14:paraId="13F1741D" w14:textId="77777777" w:rsidR="00880BDB" w:rsidRPr="00880BDB" w:rsidRDefault="00880BDB" w:rsidP="00C64851">
      <w:pPr>
        <w:pStyle w:val="BodyText"/>
        <w:numPr>
          <w:ilvl w:val="0"/>
          <w:numId w:val="781"/>
        </w:numPr>
      </w:pPr>
      <w:r w:rsidRPr="00880BDB">
        <w:t>Cybersecurity Risk Management </w:t>
      </w:r>
    </w:p>
    <w:p w14:paraId="310049F0" w14:textId="77777777" w:rsidR="00880BDB" w:rsidRPr="00880BDB" w:rsidRDefault="00880BDB" w:rsidP="00C64851">
      <w:pPr>
        <w:pStyle w:val="BodyText"/>
        <w:numPr>
          <w:ilvl w:val="0"/>
          <w:numId w:val="781"/>
        </w:numPr>
      </w:pPr>
      <w:r w:rsidRPr="00880BDB">
        <w:t>Third-Party Cybersecurity Risk Management </w:t>
      </w:r>
    </w:p>
    <w:p w14:paraId="73215383" w14:textId="77777777" w:rsidR="00880BDB" w:rsidRPr="00880BDB" w:rsidRDefault="00880BDB" w:rsidP="00C64851">
      <w:pPr>
        <w:pStyle w:val="BodyText"/>
        <w:numPr>
          <w:ilvl w:val="0"/>
          <w:numId w:val="781"/>
        </w:numPr>
      </w:pPr>
      <w:r w:rsidRPr="00880BDB">
        <w:t>Cybersecurity Advisory </w:t>
      </w:r>
    </w:p>
    <w:p w14:paraId="608DD08C" w14:textId="77777777" w:rsidR="00880BDB" w:rsidRPr="00880BDB" w:rsidRDefault="00880BDB" w:rsidP="00C64851">
      <w:pPr>
        <w:pStyle w:val="BodyText"/>
        <w:numPr>
          <w:ilvl w:val="0"/>
          <w:numId w:val="781"/>
        </w:numPr>
      </w:pPr>
      <w:r w:rsidRPr="00880BDB">
        <w:t>Security Awareness </w:t>
      </w:r>
    </w:p>
    <w:p w14:paraId="3B866825" w14:textId="77777777" w:rsidR="00880BDB" w:rsidRPr="00880BDB" w:rsidRDefault="00880BDB" w:rsidP="00C64851">
      <w:pPr>
        <w:pStyle w:val="BodyText"/>
        <w:numPr>
          <w:ilvl w:val="0"/>
          <w:numId w:val="781"/>
        </w:numPr>
      </w:pPr>
      <w:r w:rsidRPr="00880BDB">
        <w:lastRenderedPageBreak/>
        <w:t>Cybersecurity Assessment &amp; Authorization </w:t>
      </w:r>
    </w:p>
    <w:p w14:paraId="2E5632C0" w14:textId="77777777" w:rsidR="00880BDB" w:rsidRPr="00880BDB" w:rsidRDefault="00880BDB" w:rsidP="00C64851">
      <w:pPr>
        <w:pStyle w:val="BodyText"/>
        <w:numPr>
          <w:ilvl w:val="0"/>
          <w:numId w:val="781"/>
        </w:numPr>
      </w:pPr>
      <w:r w:rsidRPr="00880BDB">
        <w:t>Cybersecurity Compliance and Monitoring </w:t>
      </w:r>
    </w:p>
    <w:p w14:paraId="3BE5CB63" w14:textId="06B2C45E" w:rsidR="00880BDB" w:rsidRPr="00880BDB" w:rsidRDefault="00880BDB" w:rsidP="00C64851">
      <w:pPr>
        <w:pStyle w:val="BodyText"/>
        <w:numPr>
          <w:ilvl w:val="0"/>
          <w:numId w:val="781"/>
        </w:numPr>
      </w:pPr>
      <w:r w:rsidRPr="00880BDB">
        <w:t xml:space="preserve">Cloud Security &amp; Security Architecture (contractor reports directly to </w:t>
      </w:r>
      <w:r>
        <w:t>C</w:t>
      </w:r>
      <w:r w:rsidR="15CD2622">
        <w:t xml:space="preserve">hief </w:t>
      </w:r>
      <w:r>
        <w:t>I</w:t>
      </w:r>
      <w:r w:rsidR="04992768">
        <w:t xml:space="preserve">nformation </w:t>
      </w:r>
      <w:r>
        <w:t>S</w:t>
      </w:r>
      <w:r w:rsidR="6AC37285">
        <w:t xml:space="preserve">ecurity </w:t>
      </w:r>
      <w:r>
        <w:t>O</w:t>
      </w:r>
      <w:r w:rsidR="50818366">
        <w:t>fficer</w:t>
      </w:r>
      <w:r w:rsidRPr="00880BDB">
        <w:t>) </w:t>
      </w:r>
    </w:p>
    <w:p w14:paraId="4080B4B4" w14:textId="77777777" w:rsidR="00880BDB" w:rsidRPr="00880BDB" w:rsidRDefault="00880BDB" w:rsidP="000641BD">
      <w:pPr>
        <w:pStyle w:val="BodyText"/>
      </w:pPr>
      <w:r w:rsidRPr="00880BDB">
        <w:t>Below is a high-level organizational chart.   </w:t>
      </w:r>
    </w:p>
    <w:p w14:paraId="24A12972" w14:textId="2CAED832" w:rsidR="00880BDB" w:rsidRPr="00880BDB" w:rsidRDefault="00880BDB" w:rsidP="00880BDB">
      <w:pPr>
        <w:pStyle w:val="BodyText"/>
      </w:pPr>
      <w:r w:rsidRPr="00880BDB">
        <w:rPr>
          <w:noProof/>
        </w:rPr>
        <w:drawing>
          <wp:inline distT="0" distB="0" distL="0" distR="0" wp14:anchorId="31831DAE" wp14:editId="71B7A12B">
            <wp:extent cx="5509260" cy="1905000"/>
            <wp:effectExtent l="0" t="0" r="0" b="0"/>
            <wp:docPr id="728361644" name="Picture 30" descr="Diagram 13, SmartAr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agram 13, SmartArt diagram"/>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509260" cy="1905000"/>
                    </a:xfrm>
                    <a:prstGeom prst="rect">
                      <a:avLst/>
                    </a:prstGeom>
                    <a:noFill/>
                    <a:ln>
                      <a:noFill/>
                    </a:ln>
                  </pic:spPr>
                </pic:pic>
              </a:graphicData>
            </a:graphic>
          </wp:inline>
        </w:drawing>
      </w:r>
      <w:r w:rsidRPr="00880BDB">
        <w:t> </w:t>
      </w:r>
    </w:p>
    <w:p w14:paraId="55BFBBE7" w14:textId="3C37BA0B" w:rsidR="00880BDB" w:rsidRPr="00880BDB" w:rsidRDefault="00A063A5" w:rsidP="00A063A5">
      <w:pPr>
        <w:pStyle w:val="BodyText3"/>
        <w:ind w:left="720" w:hanging="720"/>
      </w:pPr>
      <w:r>
        <w:t>C</w:t>
      </w:r>
      <w:r w:rsidR="00880BDB" w:rsidRPr="00880BDB">
        <w:t>.</w:t>
      </w:r>
      <w:r w:rsidR="00880BDB" w:rsidRPr="00880BDB">
        <w:tab/>
        <w:t xml:space="preserve">What information does the agency collect/use to access the effectiveness and efficiency of this division or program? If applicable, briefly note any LBB performance measures (from Section II, </w:t>
      </w:r>
      <w:proofErr w:type="gramStart"/>
      <w:r w:rsidR="00880BDB" w:rsidRPr="00880BDB">
        <w:t>Exhibit</w:t>
      </w:r>
      <w:proofErr w:type="gramEnd"/>
      <w:r w:rsidR="00880BDB" w:rsidRPr="00880BDB">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7985D51" w14:textId="63A4DD9F" w:rsidR="00880BDB" w:rsidRPr="00880BDB" w:rsidRDefault="00880BDB" w:rsidP="00880BDB">
      <w:pPr>
        <w:pStyle w:val="BodyText"/>
      </w:pPr>
      <w:r w:rsidRPr="00880BDB">
        <w:t xml:space="preserve">While the Cybersecurity division actively participates in the State Auditor's Office (SAO) audit processes, we have not been formally requested to provide specific performance measures or data as defined by the Legislative Budget Board (LBB) guidelines outlined in the </w:t>
      </w:r>
      <w:r w:rsidR="00A132CE" w:rsidRPr="000A1064">
        <w:t>State Budget LBB</w:t>
      </w:r>
      <w:r w:rsidRPr="00880BDB">
        <w:t>. The LBB process typically focuses on agency performance targets and subsequent audits by the SAO based on those targets. To date, our involvement with the SAO has been related to other specific audit objectives outside of the standard LBB performance reporting cycle. We remain committed to providing all requested information to both the SAO and LBB and are actively exploring the development of formalized performance metrics aligned with LBB requirements to further enhance our reporting capabilities in the future. This includes identifying key data sources and methodologies for tracking and reporting Cybersecurity's effectiveness and efficiency. </w:t>
      </w:r>
    </w:p>
    <w:p w14:paraId="6B40C271" w14:textId="77777777" w:rsidR="00880BDB" w:rsidRPr="00880BDB" w:rsidRDefault="00880BDB" w:rsidP="007C59B8">
      <w:pPr>
        <w:pStyle w:val="BodyText"/>
      </w:pPr>
      <w:r w:rsidRPr="00880BDB">
        <w:t>The Cybersecurity program's effectiveness is measured through metrics derived from both the RPI project and ongoing process improvements. These include metrics related to: </w:t>
      </w:r>
    </w:p>
    <w:p w14:paraId="2E7056F9" w14:textId="77777777" w:rsidR="00880BDB" w:rsidRPr="00880BDB" w:rsidRDefault="00880BDB" w:rsidP="00C64851">
      <w:pPr>
        <w:pStyle w:val="BodyText"/>
        <w:numPr>
          <w:ilvl w:val="0"/>
          <w:numId w:val="770"/>
        </w:numPr>
      </w:pPr>
      <w:r w:rsidRPr="00880BDB">
        <w:t>Vulnerability Management </w:t>
      </w:r>
    </w:p>
    <w:p w14:paraId="26C553EB" w14:textId="77777777" w:rsidR="00880BDB" w:rsidRPr="00880BDB" w:rsidRDefault="00880BDB" w:rsidP="00C64851">
      <w:pPr>
        <w:pStyle w:val="BodyText"/>
        <w:numPr>
          <w:ilvl w:val="0"/>
          <w:numId w:val="771"/>
        </w:numPr>
      </w:pPr>
      <w:r w:rsidRPr="00880BDB">
        <w:lastRenderedPageBreak/>
        <w:t>Incident Handling </w:t>
      </w:r>
    </w:p>
    <w:p w14:paraId="7B312074" w14:textId="77777777" w:rsidR="00880BDB" w:rsidRPr="00880BDB" w:rsidRDefault="00880BDB" w:rsidP="00C64851">
      <w:pPr>
        <w:pStyle w:val="BodyText"/>
        <w:numPr>
          <w:ilvl w:val="0"/>
          <w:numId w:val="772"/>
        </w:numPr>
      </w:pPr>
      <w:r w:rsidRPr="00880BDB">
        <w:t>Cybersecurity Compliance </w:t>
      </w:r>
    </w:p>
    <w:p w14:paraId="26B70A4A" w14:textId="77777777" w:rsidR="00880BDB" w:rsidRPr="00880BDB" w:rsidRDefault="00880BDB" w:rsidP="00C64851">
      <w:pPr>
        <w:pStyle w:val="BodyText"/>
        <w:numPr>
          <w:ilvl w:val="0"/>
          <w:numId w:val="773"/>
        </w:numPr>
      </w:pPr>
      <w:r w:rsidRPr="00880BDB">
        <w:t>Email Protection </w:t>
      </w:r>
    </w:p>
    <w:p w14:paraId="57126E02" w14:textId="77777777" w:rsidR="00880BDB" w:rsidRPr="00880BDB" w:rsidRDefault="00880BDB" w:rsidP="00C64851">
      <w:pPr>
        <w:pStyle w:val="BodyText"/>
        <w:numPr>
          <w:ilvl w:val="0"/>
          <w:numId w:val="774"/>
        </w:numPr>
      </w:pPr>
      <w:r w:rsidRPr="00880BDB">
        <w:t>Web Protection and Monitoring </w:t>
      </w:r>
    </w:p>
    <w:p w14:paraId="7913143F" w14:textId="77777777" w:rsidR="00880BDB" w:rsidRPr="00880BDB" w:rsidRDefault="00880BDB" w:rsidP="00C64851">
      <w:pPr>
        <w:pStyle w:val="BodyText"/>
        <w:numPr>
          <w:ilvl w:val="0"/>
          <w:numId w:val="775"/>
        </w:numPr>
      </w:pPr>
      <w:r w:rsidRPr="00880BDB">
        <w:t>Web and Mobile Application Assessments </w:t>
      </w:r>
    </w:p>
    <w:p w14:paraId="6BFCA6B3" w14:textId="77777777" w:rsidR="00880BDB" w:rsidRPr="00880BDB" w:rsidRDefault="00880BDB" w:rsidP="00C64851">
      <w:pPr>
        <w:pStyle w:val="BodyText"/>
        <w:numPr>
          <w:ilvl w:val="0"/>
          <w:numId w:val="776"/>
        </w:numPr>
      </w:pPr>
      <w:r w:rsidRPr="00880BDB">
        <w:t>Cybersecurity Advisories </w:t>
      </w:r>
    </w:p>
    <w:p w14:paraId="0B4D2BE0" w14:textId="77777777" w:rsidR="00880BDB" w:rsidRPr="00880BDB" w:rsidRDefault="00880BDB" w:rsidP="00DB3201">
      <w:pPr>
        <w:pStyle w:val="BodyText3"/>
      </w:pPr>
      <w:r w:rsidRPr="00880BDB">
        <w:t>Vulnerability Management </w:t>
      </w:r>
    </w:p>
    <w:p w14:paraId="2A98DFE2" w14:textId="77777777" w:rsidR="00880BDB" w:rsidRPr="00880BDB" w:rsidRDefault="00880BDB" w:rsidP="00DB3201">
      <w:pPr>
        <w:pStyle w:val="BodyText"/>
      </w:pPr>
      <w:r w:rsidRPr="00880BDB">
        <w:t>Cybersecurity’s Vulnerability Management program proactively identifies and mitigates cybersecurity risks to TWC systems, including workstations and servers, through monthly scans. These reports are critical for protecting internal operations and safeguarding data entrusted to us by external customers (e.g., job seekers, employers). Prioritization is based on severity level; a high-severity vulnerability indicates a system weakness that could be exploited to compromise data or disrupt services. Improved TWC vulnerability scans have increased visibility and facilitated more efficient remediation efforts. </w:t>
      </w:r>
    </w:p>
    <w:p w14:paraId="45D19AB9" w14:textId="77777777" w:rsidR="00880BDB" w:rsidRPr="00880BDB" w:rsidRDefault="00880BDB" w:rsidP="00DB3201">
      <w:pPr>
        <w:pStyle w:val="BodyText"/>
      </w:pPr>
      <w:r w:rsidRPr="00880BDB">
        <w:t>Our commitment to proactive vulnerability management is demonstrated by our agency’s consistent identification, patching, and reporting measures, resulting in a manageable level of endpoint vulnerabilities. The chart below illustrates the program's effectiveness in minimizing risk exposure and ensuring the ongoing security and availability of systems supporting TWC's essential services to both internal and external stakeholders.  </w:t>
      </w:r>
    </w:p>
    <w:p w14:paraId="730D641C" w14:textId="7068A567" w:rsidR="00880BDB" w:rsidRPr="00880BDB" w:rsidRDefault="00880BDB" w:rsidP="00880BDB">
      <w:pPr>
        <w:pStyle w:val="BodyText"/>
      </w:pPr>
      <w:r w:rsidRPr="00880BDB">
        <w:rPr>
          <w:noProof/>
        </w:rPr>
        <w:drawing>
          <wp:inline distT="0" distB="0" distL="0" distR="0" wp14:anchorId="0E166A4A" wp14:editId="7F3D34FF">
            <wp:extent cx="5943600" cy="2332355"/>
            <wp:effectExtent l="0" t="0" r="0" b="0"/>
            <wp:docPr id="426841149" name="Picture 29" descr="chart for identified and managed vulnerabilities fiscal years 2024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41149" name="Picture 29" descr="chart for identified and managed vulnerabilities fiscal years 2024 and 202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43600" cy="2332355"/>
                    </a:xfrm>
                    <a:prstGeom prst="rect">
                      <a:avLst/>
                    </a:prstGeom>
                    <a:noFill/>
                    <a:ln>
                      <a:noFill/>
                    </a:ln>
                  </pic:spPr>
                </pic:pic>
              </a:graphicData>
            </a:graphic>
          </wp:inline>
        </w:drawing>
      </w:r>
    </w:p>
    <w:p w14:paraId="63C6731E" w14:textId="77777777" w:rsidR="00880BDB" w:rsidRPr="00880BDB" w:rsidRDefault="00880BDB" w:rsidP="00572BF5">
      <w:pPr>
        <w:pStyle w:val="BodyText3"/>
      </w:pPr>
      <w:r w:rsidRPr="00880BDB">
        <w:t>Incident Handling </w:t>
      </w:r>
    </w:p>
    <w:p w14:paraId="4F3B23EF" w14:textId="77777777" w:rsidR="00880BDB" w:rsidRPr="00880BDB" w:rsidRDefault="00880BDB" w:rsidP="00572BF5">
      <w:pPr>
        <w:pStyle w:val="BodyText"/>
      </w:pPr>
      <w:r w:rsidRPr="00880BDB">
        <w:t>The Incident Handling program ensures a rapid and effective response to potential and actual cybersecurity incidents, maintaining a secure environment for both TWC staff and external customers. Our team consistently achieves a </w:t>
      </w:r>
      <w:r w:rsidRPr="00880BDB">
        <w:rPr>
          <w:b/>
          <w:bCs/>
        </w:rPr>
        <w:t xml:space="preserve">95 percent + ticket completion rate </w:t>
      </w:r>
      <w:r w:rsidRPr="00880BDB">
        <w:rPr>
          <w:b/>
          <w:bCs/>
        </w:rPr>
        <w:lastRenderedPageBreak/>
        <w:t>within 48 hours</w:t>
      </w:r>
      <w:r w:rsidRPr="00880BDB">
        <w:t>, demonstrating our commitment to timely resolution (see chart below). While tickets encompass a range of requests, a significant portion relates to phishing incidents targeting TWC employees. Addressing these threats swiftly protects sensitive employee and customer data and prevents potential disruption to critical services. </w:t>
      </w:r>
    </w:p>
    <w:p w14:paraId="2ADE6017" w14:textId="77777777" w:rsidR="00880BDB" w:rsidRPr="00880BDB" w:rsidRDefault="00880BDB" w:rsidP="00572BF5">
      <w:pPr>
        <w:pStyle w:val="BodyText"/>
      </w:pPr>
      <w:r w:rsidRPr="00880BDB">
        <w:t>This rapid response capability minimizes the potential impact of security incidents, ensuring the continued availability of services essential to TWC's mission. The team's efficiency directly translates to reduced risk for the agency, its employees, and the individuals and businesses we serve. This proactive approach safeguards the integrity of TWC's operations and protects sensitive information. We have significantly enhanced our cybersecurity posture through the strategic implementation of advanced tools and targeted training initiatives. This investment has directly translated into increased operational efficiency, evidenced by a measurable reduction in cybersecurity incident tickets.  </w:t>
      </w:r>
    </w:p>
    <w:p w14:paraId="30192B26" w14:textId="07672ACD" w:rsidR="00880BDB" w:rsidRPr="00880BDB" w:rsidRDefault="00880BDB" w:rsidP="00880BDB">
      <w:pPr>
        <w:pStyle w:val="BodyText"/>
      </w:pPr>
      <w:r w:rsidRPr="00880BDB">
        <w:rPr>
          <w:noProof/>
        </w:rPr>
        <w:drawing>
          <wp:inline distT="0" distB="0" distL="0" distR="0" wp14:anchorId="0CF856B4" wp14:editId="5B80B4FF">
            <wp:extent cx="5486400" cy="3200400"/>
            <wp:effectExtent l="0" t="0" r="0" b="0"/>
            <wp:docPr id="1859167967" name="Picture 28" descr="chart for resolved incident and tickets for fiscal years 2023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67967" name="Picture 28" descr="chart for resolved incident and tickets for fiscal years 2023 to 202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r w:rsidRPr="00880BDB">
        <w:t> </w:t>
      </w:r>
    </w:p>
    <w:p w14:paraId="083BC5BE" w14:textId="77777777" w:rsidR="00880BDB" w:rsidRPr="00880BDB" w:rsidRDefault="00880BDB" w:rsidP="00572BF5">
      <w:pPr>
        <w:pStyle w:val="BodyText3"/>
      </w:pPr>
      <w:r w:rsidRPr="00880BDB">
        <w:t>Cybersecurity Compliance </w:t>
      </w:r>
    </w:p>
    <w:p w14:paraId="781DBA59" w14:textId="49F5488D" w:rsidR="00880BDB" w:rsidRPr="00880BDB" w:rsidRDefault="00880BDB" w:rsidP="005238CF">
      <w:pPr>
        <w:pStyle w:val="BodyText"/>
      </w:pPr>
      <w:r w:rsidRPr="00880BDB">
        <w:t>The Cybersecurity Compliance program ensures that TWC's programs adhere to stringent security standards, protecting sensitive data belonging to both employees and the individuals and businesses we serve. We align with the National Institute of Standards and Technology Special Publication (NIST SP) 800-53 framework and requirements such as Texas Administrative Code (TAC) Chapter 202 and I</w:t>
      </w:r>
      <w:r w:rsidR="00471B6D">
        <w:t>RS</w:t>
      </w:r>
      <w:r w:rsidRPr="00880BDB">
        <w:t xml:space="preserve"> Publication (Pub) 1075. To ensure comprehensive compliance, TWC utilizes independent third-party assessments—the most recent assessment was conducted by an external assessor using the Texas Cybersecurity Framework (TCF). The TCF is a state-customized framework that provides a standardized approach to managing cybersecurity risks across five key functional areas: Identify, Protect, Detect, Respond, and Recover. By striving for a higher and higher maturity-level of </w:t>
      </w:r>
      <w:r w:rsidRPr="00880BDB">
        <w:lastRenderedPageBreak/>
        <w:t>these standards, we minimize the risk of data breaches and ensure the continuity of critical services for our customers. </w:t>
      </w:r>
    </w:p>
    <w:p w14:paraId="2782EE9B" w14:textId="77777777" w:rsidR="00880BDB" w:rsidRPr="00880BDB" w:rsidRDefault="00880BDB" w:rsidP="005238CF">
      <w:pPr>
        <w:pStyle w:val="BodyText"/>
      </w:pPr>
      <w:r w:rsidRPr="00880BDB">
        <w:t xml:space="preserve">Our commitment to compliance demonstrates our dedication to protecting the data entrusted to us and maintaining the public's trust. Showing compliance levels across TCF Functional Areas, the chart below illustrates our adherence to established security control objectives. This proactive approach not only safeguards sensitive </w:t>
      </w:r>
      <w:proofErr w:type="gramStart"/>
      <w:r w:rsidRPr="00880BDB">
        <w:t>information, but</w:t>
      </w:r>
      <w:proofErr w:type="gramEnd"/>
      <w:r w:rsidRPr="00880BDB">
        <w:t xml:space="preserve"> also contributes to operational efficiency by preventing disruptions and minimizing the potential for costly security incidents. Actively managing across the TCF Functional Areas protects the agency’s assets and enables the seamless delivery of TWC's mission.  </w:t>
      </w:r>
    </w:p>
    <w:p w14:paraId="650876F7" w14:textId="77FD0728" w:rsidR="00880BDB" w:rsidRPr="00880BDB" w:rsidRDefault="00880BDB" w:rsidP="00880BDB">
      <w:pPr>
        <w:pStyle w:val="BodyText"/>
      </w:pPr>
      <w:r w:rsidRPr="00880BDB">
        <w:rPr>
          <w:noProof/>
        </w:rPr>
        <w:drawing>
          <wp:inline distT="0" distB="0" distL="0" distR="0" wp14:anchorId="2E22E540" wp14:editId="53EF21DE">
            <wp:extent cx="5791200" cy="2171700"/>
            <wp:effectExtent l="0" t="0" r="0" b="0"/>
            <wp:docPr id="1943712475" name="Picture 27" descr="chart for Texas cybersecurity framework maturity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12475" name="Picture 27" descr="chart for Texas cybersecurity framework maturity levels"/>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91200" cy="2171700"/>
                    </a:xfrm>
                    <a:prstGeom prst="rect">
                      <a:avLst/>
                    </a:prstGeom>
                    <a:noFill/>
                    <a:ln>
                      <a:noFill/>
                    </a:ln>
                  </pic:spPr>
                </pic:pic>
              </a:graphicData>
            </a:graphic>
          </wp:inline>
        </w:drawing>
      </w:r>
      <w:r w:rsidRPr="00880BDB">
        <w:t> </w:t>
      </w:r>
    </w:p>
    <w:p w14:paraId="10C8C696" w14:textId="77777777" w:rsidR="00880BDB" w:rsidRPr="00880BDB" w:rsidRDefault="00880BDB" w:rsidP="00880BDB">
      <w:pPr>
        <w:pStyle w:val="BodyText"/>
      </w:pPr>
      <w:r w:rsidRPr="00880BDB">
        <w:rPr>
          <w:b/>
          <w:bCs/>
        </w:rPr>
        <w:t>Email Protection</w:t>
      </w:r>
      <w:r w:rsidRPr="00880BDB">
        <w:t> </w:t>
      </w:r>
    </w:p>
    <w:p w14:paraId="01772EB4" w14:textId="77777777" w:rsidR="00880BDB" w:rsidRPr="00880BDB" w:rsidRDefault="00880BDB" w:rsidP="005C7E78">
      <w:pPr>
        <w:pStyle w:val="BodyText"/>
      </w:pPr>
      <w:r w:rsidRPr="00880BDB">
        <w:t>Email threats are proactively prevented using adaptive defenses within our email filter that respond to real-world events and exploited vulnerabilities. Continuous monitoring and threat intelligence enable the agency to identify and neutralize potential attacks before operational impact, ensuring business continuity and safeguarding sensitive information. Key performance indicators demonstrating the program's efficiency and effectiveness in this dynamic threat landscape include a) the number of emails blocked containing malware, which underscores the persistent threat; and b) the staff participation rate in phishing simulations, coupled with the reporting rate of suspected phishing attempts, which reflect trends in threat awareness, and influence education initiatives. The chart below visually represents the agency's malware blocking activity. This represents yearly impacts of bad actors, phishing, and malware and emphasizes the need for continuous adaptation of agency defenses. </w:t>
      </w:r>
    </w:p>
    <w:p w14:paraId="15577855" w14:textId="77777777" w:rsidR="0071590D" w:rsidRDefault="00880BDB" w:rsidP="005C7E78">
      <w:pPr>
        <w:pStyle w:val="BodyText"/>
      </w:pPr>
      <w:r w:rsidRPr="00880BDB">
        <w:rPr>
          <w:noProof/>
        </w:rPr>
        <w:lastRenderedPageBreak/>
        <w:drawing>
          <wp:inline distT="0" distB="0" distL="0" distR="0" wp14:anchorId="0BC18206" wp14:editId="71133C25">
            <wp:extent cx="5943600" cy="2194560"/>
            <wp:effectExtent l="0" t="0" r="0" b="0"/>
            <wp:docPr id="1138666013" name="Picture 26" descr="chart for malware in emails for fiscal years 2023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66013" name="Picture 26" descr="chart for malware in emails for fiscal years 2023 to 202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14:paraId="52CB0342" w14:textId="6AB9770F" w:rsidR="00880BDB" w:rsidRPr="00880BDB" w:rsidRDefault="004643AC" w:rsidP="005C7E78">
      <w:pPr>
        <w:pStyle w:val="BodyText"/>
      </w:pPr>
      <w:r>
        <w:t>The</w:t>
      </w:r>
      <w:r w:rsidR="00880BDB" w:rsidRPr="00880BDB">
        <w:t xml:space="preserve"> cybersecurity program demonstrates effectiveness and efficiency through a multi-layered approach to combating phishing threats. Beyond traditional malware protection, </w:t>
      </w:r>
      <w:r w:rsidR="00B808E0">
        <w:t>the program</w:t>
      </w:r>
      <w:r w:rsidR="00B808E0" w:rsidRPr="00880BDB">
        <w:t xml:space="preserve"> </w:t>
      </w:r>
      <w:r w:rsidR="00880BDB" w:rsidRPr="00880BDB">
        <w:t>maintain</w:t>
      </w:r>
      <w:r w:rsidR="00B808E0">
        <w:t>s</w:t>
      </w:r>
      <w:r w:rsidR="00880BDB" w:rsidRPr="00880BDB">
        <w:t xml:space="preserve"> a robust phishing simulation campaign, conducted agency-wide throughout the year, to proactively identify and address vulnerabilities in employee awareness. Reinforcing this practical experience, all TWC employees complete annual cybersecurity training that includes specific phishing awareness modules. Furthermore, </w:t>
      </w:r>
      <w:r w:rsidR="00BF629F">
        <w:t>the program</w:t>
      </w:r>
      <w:r w:rsidR="00880BDB" w:rsidRPr="00880BDB">
        <w:t xml:space="preserve"> supplement</w:t>
      </w:r>
      <w:r w:rsidR="00BF629F">
        <w:t>s</w:t>
      </w:r>
      <w:r w:rsidR="00880BDB" w:rsidRPr="00880BDB">
        <w:t xml:space="preserve"> this core training with additional targeted sessions throughout the year to address emerging threats and continuously improve our employees' ability to recognize and report suspicious activity. This proactive and iterative training and simulation program significantly strengthens our defenses against phishing attacks and reduces the risk of successful breaches. </w:t>
      </w:r>
    </w:p>
    <w:p w14:paraId="30455042" w14:textId="77777777" w:rsidR="0071590D" w:rsidRDefault="00880BDB" w:rsidP="0071590D">
      <w:pPr>
        <w:pStyle w:val="BodyText"/>
        <w:rPr>
          <w:rStyle w:val="BodyText3Char"/>
        </w:rPr>
      </w:pPr>
      <w:r w:rsidRPr="00880BDB">
        <w:rPr>
          <w:noProof/>
        </w:rPr>
        <w:drawing>
          <wp:inline distT="0" distB="0" distL="0" distR="0" wp14:anchorId="19A5D562" wp14:editId="64AF5E6A">
            <wp:extent cx="5943600" cy="2766060"/>
            <wp:effectExtent l="0" t="0" r="0" b="0"/>
            <wp:docPr id="657013713" name="Picture 25" descr="phishing simulation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13713" name="Picture 25" descr="phishing simulation trend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43600" cy="2766060"/>
                    </a:xfrm>
                    <a:prstGeom prst="rect">
                      <a:avLst/>
                    </a:prstGeom>
                    <a:noFill/>
                    <a:ln>
                      <a:noFill/>
                    </a:ln>
                  </pic:spPr>
                </pic:pic>
              </a:graphicData>
            </a:graphic>
          </wp:inline>
        </w:drawing>
      </w:r>
    </w:p>
    <w:p w14:paraId="749D0AA0" w14:textId="539257F6" w:rsidR="00880BDB" w:rsidRPr="00880BDB" w:rsidRDefault="00880BDB" w:rsidP="0071590D">
      <w:pPr>
        <w:pStyle w:val="BodyText"/>
        <w:rPr>
          <w:rStyle w:val="BodyText3Char"/>
        </w:rPr>
      </w:pPr>
      <w:r w:rsidRPr="00880BDB">
        <w:rPr>
          <w:rStyle w:val="BodyText3Char"/>
        </w:rPr>
        <w:t>Web Protection and Monitoring </w:t>
      </w:r>
    </w:p>
    <w:p w14:paraId="47AD997B" w14:textId="77777777" w:rsidR="00880BDB" w:rsidRPr="00880BDB" w:rsidRDefault="00880BDB" w:rsidP="00880BDB">
      <w:pPr>
        <w:pStyle w:val="BodyText"/>
      </w:pPr>
      <w:r w:rsidRPr="00880BDB">
        <w:t xml:space="preserve">The Web Protection and Monitoring program actively safeguards TWC's network and data by continuously monitoring web traffic and blocking malicious activity. This program directly </w:t>
      </w:r>
      <w:r w:rsidRPr="00880BDB">
        <w:lastRenderedPageBreak/>
        <w:t>protects TWC employees from phishing attacks and malware infections, which can compromise sensitive data and disrupt agency operations. The increased number of blocked user-initiated web activities demonstrates the program's effectiveness in preventing cyber attackers from penetrating our network and reflects the introduction by hackers of Artificial Intelligence (AI) tools (see Web Traffic Block graph below). </w:t>
      </w:r>
    </w:p>
    <w:p w14:paraId="69E5D92D" w14:textId="77777777" w:rsidR="00880BDB" w:rsidRDefault="00880BDB" w:rsidP="00880BDB">
      <w:pPr>
        <w:pStyle w:val="BodyText"/>
      </w:pPr>
      <w:r w:rsidRPr="00880BDB">
        <w:t>This proactive approach to web protection is essential for maintaining a secure environment for all TWC stakeholders. It reduces the risk of data breaches, protects the agency's resources, and ensures that employees can access the internet safely and efficiently to perform their duties, ultimately contributing to the effective delivery of services to our external customers. The program is efficient, as it can automatically block web activity at the network level, minimizing required manual intervention from security staff. </w:t>
      </w:r>
    </w:p>
    <w:p w14:paraId="40A93543" w14:textId="00B4F50A" w:rsidR="00A04ABD" w:rsidRPr="00880BDB" w:rsidRDefault="00A04ABD" w:rsidP="00E70B79">
      <w:pPr>
        <w:pStyle w:val="BodyText3"/>
        <w:rPr>
          <w:rFonts w:eastAsiaTheme="minorEastAsia"/>
          <w:szCs w:val="22"/>
        </w:rPr>
      </w:pPr>
      <w:r>
        <w:t xml:space="preserve">Blocked AI </w:t>
      </w:r>
      <w:r w:rsidR="00E70B79">
        <w:t>T</w:t>
      </w:r>
      <w:r>
        <w:t>raffic</w:t>
      </w:r>
    </w:p>
    <w:p w14:paraId="7E21CC66" w14:textId="1FFCF999" w:rsidR="00F746E7" w:rsidRDefault="00880BDB" w:rsidP="00880BDB">
      <w:pPr>
        <w:pStyle w:val="BodyText"/>
        <w:rPr>
          <w:b/>
          <w:bCs/>
        </w:rPr>
      </w:pPr>
      <w:r w:rsidRPr="00880BDB">
        <w:rPr>
          <w:noProof/>
        </w:rPr>
        <w:drawing>
          <wp:inline distT="0" distB="0" distL="0" distR="0" wp14:anchorId="0318D28D" wp14:editId="47002891">
            <wp:extent cx="5943600" cy="2194560"/>
            <wp:effectExtent l="0" t="0" r="0" b="0"/>
            <wp:docPr id="812158706" name="Picture 22" descr="graph showing web traffic block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58706" name="Picture 22" descr="graph showing web traffic block trend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14:paraId="18E16B6E" w14:textId="500F8302" w:rsidR="00880BDB" w:rsidRPr="00880BDB" w:rsidRDefault="00880BDB" w:rsidP="00F746E7">
      <w:pPr>
        <w:pStyle w:val="BodyText3"/>
      </w:pPr>
      <w:r w:rsidRPr="00880BDB">
        <w:t>Web and Mobile Application Assessments </w:t>
      </w:r>
    </w:p>
    <w:p w14:paraId="1AE31376" w14:textId="30EE3399" w:rsidR="00880BDB" w:rsidRPr="00880BDB" w:rsidRDefault="00880BDB" w:rsidP="001613D9">
      <w:pPr>
        <w:pStyle w:val="BodyText"/>
      </w:pPr>
      <w:r w:rsidRPr="00880BDB">
        <w:t xml:space="preserve">Web and Mobile Application Assessments ensure the security and reliability of TWC's critical online services through the Authorization to Operate process. This rigorous evaluation of security measures protects sensitive data handled by these applications, safeguarding information belonging to both TWC employees and the individuals and businesses we serve (e.g., unemployment benefits, workforce development services). The increasing number of systems receiving an </w:t>
      </w:r>
      <w:r>
        <w:t>A</w:t>
      </w:r>
      <w:r w:rsidR="0624F277">
        <w:t>uthorization to Operate</w:t>
      </w:r>
      <w:r w:rsidRPr="00880BDB">
        <w:t xml:space="preserve"> demonstrates the program's effectiveness in ensuring a secure application environment. </w:t>
      </w:r>
    </w:p>
    <w:p w14:paraId="146E47B3" w14:textId="160C282F" w:rsidR="00880BDB" w:rsidRPr="00880BDB" w:rsidRDefault="00BF629F" w:rsidP="001613D9">
      <w:pPr>
        <w:pStyle w:val="BodyText"/>
      </w:pPr>
      <w:r>
        <w:t>The</w:t>
      </w:r>
      <w:r w:rsidR="00880BDB" w:rsidRPr="00880BDB">
        <w:t xml:space="preserve"> improved processes are driving efficiency, accelerating the pace at which we can bring new systems into compliance. This translates to a faster deployment of secure and reliable online services, enhancing the user experience for both internal and external stakeholders. The following chart details assessed TWC applications, encompassing applications currently undergoing evaluation. This proactive identification and mitigation of security vulnerabilities in web and mobile applications protects the agency's resources, upholds the privacy of sensitive information, and maintains the integrity of TWC's online operations. </w:t>
      </w:r>
    </w:p>
    <w:p w14:paraId="4F9AB2A6" w14:textId="32A812FA" w:rsidR="001613D9" w:rsidRDefault="00880BDB" w:rsidP="00880BDB">
      <w:pPr>
        <w:pStyle w:val="BodyText"/>
        <w:rPr>
          <w:b/>
          <w:bCs/>
        </w:rPr>
      </w:pPr>
      <w:r w:rsidRPr="00880BDB">
        <w:rPr>
          <w:noProof/>
        </w:rPr>
        <w:lastRenderedPageBreak/>
        <w:drawing>
          <wp:inline distT="0" distB="0" distL="0" distR="0" wp14:anchorId="6A520C57" wp14:editId="57EAA1A0">
            <wp:extent cx="5943600" cy="2194560"/>
            <wp:effectExtent l="0" t="0" r="0" b="0"/>
            <wp:docPr id="401378502" name="Picture 21" descr="chart for assessed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78502" name="Picture 21" descr="chart for assessed application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943600" cy="2194560"/>
                    </a:xfrm>
                    <a:prstGeom prst="rect">
                      <a:avLst/>
                    </a:prstGeom>
                    <a:noFill/>
                    <a:ln>
                      <a:noFill/>
                    </a:ln>
                  </pic:spPr>
                </pic:pic>
              </a:graphicData>
            </a:graphic>
          </wp:inline>
        </w:drawing>
      </w:r>
    </w:p>
    <w:p w14:paraId="432D0160" w14:textId="5F475BD4" w:rsidR="00880BDB" w:rsidRPr="00880BDB" w:rsidRDefault="00880BDB" w:rsidP="001613D9">
      <w:pPr>
        <w:pStyle w:val="BodyText3"/>
      </w:pPr>
      <w:r w:rsidRPr="00880BDB">
        <w:t>Cybersecurity Advisories  </w:t>
      </w:r>
    </w:p>
    <w:p w14:paraId="309A85DC" w14:textId="6B6E4353" w:rsidR="00880BDB" w:rsidRPr="00880BDB" w:rsidRDefault="00880BDB" w:rsidP="001613D9">
      <w:pPr>
        <w:pStyle w:val="BodyText"/>
      </w:pPr>
      <w:r w:rsidRPr="00880BDB">
        <w:t>The Cybersecurity Advisories program enhances TWC's overall security posture by providing timely and relevant threat intelligence to the agency's technical community. Since formalizing the program on Feb. 9, 2024, Cybersecurity has proactively disseminated security alerts and advisories, including information on supply chain risks, Common Vulnerabilities and Exposures notifications, and general security announcements. These advisories improve the situational awareness of staff, enabling them to take informed actions to protect TWC systems and data. </w:t>
      </w:r>
    </w:p>
    <w:p w14:paraId="330E156D" w14:textId="249F7583" w:rsidR="00880BDB" w:rsidRPr="00951A0A" w:rsidRDefault="00880BDB" w:rsidP="001613D9">
      <w:pPr>
        <w:pStyle w:val="BodyText"/>
      </w:pPr>
      <w:r w:rsidRPr="00880BDB">
        <w:t xml:space="preserve">By empowering staff with up-to-date threat intelligence, the program reduces the agency's risk exposure and supports the continued delivery of secure and reliable services to both internal and external customers. This proactive communication fosters a culture of security awareness within TWC and contributes to a more resilient and secure environment. While not directly customer facing, these advisories are critical to ensuring our teams are aware </w:t>
      </w:r>
      <w:r w:rsidRPr="00951A0A">
        <w:t>of the potential and impending threats.</w:t>
      </w:r>
    </w:p>
    <w:p w14:paraId="09AF4874" w14:textId="7301B7C7" w:rsidR="001935A7" w:rsidRPr="00951A0A" w:rsidRDefault="001935A7" w:rsidP="00EB03E3">
      <w:pPr>
        <w:pStyle w:val="BodyText3"/>
      </w:pPr>
      <w:r w:rsidRPr="00951A0A">
        <w:t>Cybersecurity Advisory</w:t>
      </w:r>
    </w:p>
    <w:p w14:paraId="34B8E5B1" w14:textId="219ED4E3" w:rsidR="005F1A4F" w:rsidRPr="00951A0A" w:rsidRDefault="005F1A4F" w:rsidP="00C64851">
      <w:pPr>
        <w:pStyle w:val="BodyText"/>
        <w:numPr>
          <w:ilvl w:val="0"/>
          <w:numId w:val="782"/>
        </w:numPr>
      </w:pPr>
      <w:r w:rsidRPr="00951A0A">
        <w:t>40 advisories in 2024</w:t>
      </w:r>
    </w:p>
    <w:p w14:paraId="43404809" w14:textId="11442567" w:rsidR="005F1A4F" w:rsidRPr="00951A0A" w:rsidRDefault="005F1A4F" w:rsidP="00C64851">
      <w:pPr>
        <w:pStyle w:val="BodyText"/>
        <w:numPr>
          <w:ilvl w:val="0"/>
          <w:numId w:val="782"/>
        </w:numPr>
      </w:pPr>
      <w:r w:rsidRPr="00951A0A">
        <w:t>11 advisories in 2025</w:t>
      </w:r>
    </w:p>
    <w:p w14:paraId="15E2AF9E" w14:textId="7ECAB712" w:rsidR="00880BDB" w:rsidRPr="00880BDB" w:rsidRDefault="00880BDB" w:rsidP="00857C75">
      <w:pPr>
        <w:pStyle w:val="BodyText"/>
      </w:pPr>
      <w:r w:rsidRPr="00880BDB">
        <w:t>In 2024, Cybersecurity completed a Rapid Process Improvement (RPI) project to streamline data collection and reporting. This initiative consolidated seven monthly and quarterly reports, eliminating ad hoc requests and redundant efforts. These reports drive decisions and critical discussion during Cybersecurity Steering Committee meetings with Executive staff. The optimized processes have resulted in a five-day reduction in monthly reporting time, allowing the team to dedicate more resources to proactive security initiatives and threat mitigation. This translates to more efficient use of resources and improved overall security posture. This time savings allowed Cybersecurity to improve vulnerability management, enhance web monitoring, and formalize the process for cybersecurity advisories. </w:t>
      </w:r>
    </w:p>
    <w:p w14:paraId="34780E40" w14:textId="47727736" w:rsidR="00880BDB" w:rsidRPr="00880BDB" w:rsidRDefault="00880BDB" w:rsidP="00AF104B">
      <w:pPr>
        <w:pStyle w:val="BodyText3"/>
        <w:ind w:left="720" w:hanging="720"/>
      </w:pPr>
      <w:r w:rsidRPr="00880BDB">
        <w:lastRenderedPageBreak/>
        <w:t>D.</w:t>
      </w:r>
      <w:r w:rsidR="00AF104B">
        <w:tab/>
      </w:r>
      <w:r w:rsidRPr="00880BD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7CC77C85" w14:textId="46D7176C" w:rsidR="00880BDB" w:rsidRPr="00880BDB" w:rsidRDefault="00880BDB" w:rsidP="00AF104B">
      <w:pPr>
        <w:pStyle w:val="BodyText"/>
      </w:pPr>
      <w:r w:rsidRPr="00880BDB">
        <w:t>Since its establishment in 2012, the Cybersecurity program has evolved from a reactive function to a proactive, risk-informed defense against increasingly sophisticated threats. A critical shift occurred in 20</w:t>
      </w:r>
      <w:r w:rsidR="003C6E19">
        <w:t>21</w:t>
      </w:r>
      <w:r w:rsidRPr="00880BDB">
        <w:t xml:space="preserve"> with a strategic realignment from being housed within IT to becoming a separate department within Business Operations reporting to an executive-level director.  This transition followed with an expansion of the Department, enabling a more proactive security posture and the implementation of risk-informed decision-making. Key advancements include the adoption of cloud-based and AI-powered security solutions, along with ongoing efforts to implement a Zero Trust environment, enhancing threat detection and response capabilities. </w:t>
      </w:r>
    </w:p>
    <w:p w14:paraId="0C010144" w14:textId="77777777" w:rsidR="00880BDB" w:rsidRPr="00880BDB" w:rsidRDefault="00880BDB" w:rsidP="00AF104B">
      <w:pPr>
        <w:pStyle w:val="BodyText"/>
      </w:pPr>
      <w:r w:rsidRPr="00880BDB">
        <w:t>The program's stability and efficiency have significantly improved in recent years, driven by increased staff retention and the successful implementation of process improvements and automation. The Department is currently comprised of 18 Full-Time Equivalents (FTEs) and two contractors.  While the Department will continue to find efficiencies to capture additional capacity, management will need to continue to address resource gaps to maintain a sufficient level of performance. This continued focus on resource optimization and innovation is crucial for ensuring the agency's cybersecurity defenses remain robust and adaptive in the face of evolving threats. To further enhance our cybersecurity posture, we have integrated advanced tools requiring specialized training for our team. This training ensures our personnel are equipped to effectively utilize these complex systems and protect the agency's assets. </w:t>
      </w:r>
    </w:p>
    <w:p w14:paraId="428C8A55" w14:textId="77777777" w:rsidR="00880BDB" w:rsidRPr="00880BDB" w:rsidRDefault="00880BDB" w:rsidP="00AF104B">
      <w:pPr>
        <w:pStyle w:val="BodyText3"/>
        <w:ind w:left="720" w:hanging="720"/>
      </w:pPr>
      <w:r w:rsidRPr="00880BDB">
        <w:t>E.</w:t>
      </w:r>
      <w:r w:rsidRPr="00880BDB">
        <w:tab/>
        <w:t>List any qualifications or eligibility requirements for persons or entities affected by this program, such as licensees, consumers, landowners, for example. Provide a statistical breakdown of persons or entities affected. </w:t>
      </w:r>
    </w:p>
    <w:p w14:paraId="24A3A457" w14:textId="02070EED" w:rsidR="00880BDB" w:rsidRPr="00880BDB" w:rsidRDefault="00880BDB" w:rsidP="00AF104B">
      <w:pPr>
        <w:pStyle w:val="BodyText"/>
      </w:pPr>
      <w:r w:rsidRPr="00880BDB">
        <w:t>N/A</w:t>
      </w:r>
    </w:p>
    <w:p w14:paraId="34E45FB1" w14:textId="77777777" w:rsidR="00880BDB" w:rsidRPr="00880BDB" w:rsidRDefault="00880BDB" w:rsidP="00AF104B">
      <w:pPr>
        <w:pStyle w:val="BodyText3"/>
        <w:ind w:left="720" w:hanging="720"/>
      </w:pPr>
      <w:r w:rsidRPr="00880BDB">
        <w:t>F.</w:t>
      </w:r>
      <w:r w:rsidRPr="00880BDB">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3837EB15" w14:textId="44AA61FA" w:rsidR="00880BDB" w:rsidRPr="00880BDB" w:rsidRDefault="00880BDB" w:rsidP="00AF104B">
      <w:pPr>
        <w:pStyle w:val="BodyText"/>
      </w:pPr>
      <w:r w:rsidRPr="00880BDB">
        <w:t>The CISO Office is the central hub for safeguarding the agency’s digital world, working across multiple security domains. Cybersecurity acts as a partner with all business areas in the agency, ensuring all systems and data are protected and available.</w:t>
      </w:r>
    </w:p>
    <w:p w14:paraId="5442600A" w14:textId="5520ED9F" w:rsidR="00880BDB" w:rsidRPr="00880BDB" w:rsidRDefault="00880BDB" w:rsidP="00AF104B">
      <w:pPr>
        <w:pStyle w:val="BodyText"/>
      </w:pPr>
      <w:r w:rsidRPr="00880BDB">
        <w:t>Cybersecurity also provides guidance to Workforce Boards who have their own technical support. Additional processing charts is attached to this document. </w:t>
      </w:r>
    </w:p>
    <w:p w14:paraId="116B508E" w14:textId="77777777" w:rsidR="00880BDB" w:rsidRPr="00880BDB" w:rsidRDefault="00880BDB" w:rsidP="00AF104B">
      <w:pPr>
        <w:pStyle w:val="BodyText3"/>
        <w:ind w:left="720" w:hanging="720"/>
      </w:pPr>
      <w:r w:rsidRPr="00880BDB">
        <w:lastRenderedPageBreak/>
        <w:t>G.</w:t>
      </w:r>
      <w:r w:rsidRPr="00880BDB">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880BDB">
        <w:rPr>
          <w:i/>
          <w:iCs/>
        </w:rPr>
        <w:t>(If you have already submitted funding source info through the “Agency Program Information” spreadsheet, please limit your response to funding formulas or funding conventions.)</w:t>
      </w:r>
      <w:r w:rsidRPr="00880BDB">
        <w:t> </w:t>
      </w:r>
    </w:p>
    <w:tbl>
      <w:tblPr>
        <w:tblStyle w:val="TableGrid1"/>
        <w:tblW w:w="9360" w:type="dxa"/>
        <w:tblCellMar>
          <w:top w:w="58" w:type="dxa"/>
          <w:bottom w:w="58" w:type="dxa"/>
        </w:tblCellMar>
        <w:tblLook w:val="04A0" w:firstRow="1" w:lastRow="0" w:firstColumn="1" w:lastColumn="0" w:noHBand="0" w:noVBand="1"/>
      </w:tblPr>
      <w:tblGrid>
        <w:gridCol w:w="3235"/>
        <w:gridCol w:w="2097"/>
        <w:gridCol w:w="1892"/>
        <w:gridCol w:w="2136"/>
      </w:tblGrid>
      <w:tr w:rsidR="007558CC" w:rsidRPr="00920D38" w14:paraId="756AB47E" w14:textId="77777777" w:rsidTr="007558CC">
        <w:trPr>
          <w:trHeight w:val="564"/>
        </w:trPr>
        <w:tc>
          <w:tcPr>
            <w:tcW w:w="3235" w:type="dxa"/>
            <w:shd w:val="clear" w:color="auto" w:fill="B8CCE4" w:themeFill="accent1" w:themeFillTint="66"/>
            <w:vAlign w:val="center"/>
            <w:hideMark/>
          </w:tcPr>
          <w:p w14:paraId="0F18943D" w14:textId="77777777" w:rsidR="007558CC" w:rsidRPr="00152765" w:rsidRDefault="007558CC" w:rsidP="007558CC">
            <w:pPr>
              <w:pStyle w:val="TableHeaders"/>
              <w:rPr>
                <w:color w:val="000000"/>
              </w:rPr>
            </w:pPr>
            <w:r w:rsidRPr="00152765">
              <w:t>Program or Function Detail Description</w:t>
            </w:r>
          </w:p>
        </w:tc>
        <w:tc>
          <w:tcPr>
            <w:tcW w:w="2430" w:type="dxa"/>
            <w:shd w:val="clear" w:color="auto" w:fill="B8CCE4" w:themeFill="accent1" w:themeFillTint="66"/>
            <w:vAlign w:val="center"/>
            <w:hideMark/>
          </w:tcPr>
          <w:p w14:paraId="3CFBA407" w14:textId="77777777" w:rsidR="007558CC" w:rsidRPr="00152765" w:rsidRDefault="007558CC" w:rsidP="007558CC">
            <w:pPr>
              <w:pStyle w:val="TableHeaders"/>
              <w:rPr>
                <w:color w:val="000000"/>
              </w:rPr>
            </w:pPr>
            <w:r w:rsidRPr="00152765">
              <w:t>Total FY 2024</w:t>
            </w:r>
          </w:p>
        </w:tc>
        <w:tc>
          <w:tcPr>
            <w:tcW w:w="2160" w:type="dxa"/>
            <w:shd w:val="clear" w:color="auto" w:fill="B8CCE4" w:themeFill="accent1" w:themeFillTint="66"/>
            <w:vAlign w:val="center"/>
            <w:hideMark/>
          </w:tcPr>
          <w:p w14:paraId="1CD07F68" w14:textId="77777777" w:rsidR="007558CC" w:rsidRPr="00152765" w:rsidRDefault="007558CC" w:rsidP="007558CC">
            <w:pPr>
              <w:pStyle w:val="TableHeaders"/>
              <w:rPr>
                <w:color w:val="000000"/>
              </w:rPr>
            </w:pPr>
            <w:r w:rsidRPr="00152765">
              <w:t>Federal Funding</w:t>
            </w:r>
          </w:p>
        </w:tc>
        <w:tc>
          <w:tcPr>
            <w:tcW w:w="2515" w:type="dxa"/>
            <w:shd w:val="clear" w:color="auto" w:fill="B8CCE4" w:themeFill="accent1" w:themeFillTint="66"/>
            <w:vAlign w:val="center"/>
            <w:hideMark/>
          </w:tcPr>
          <w:p w14:paraId="05B46A9D" w14:textId="77777777" w:rsidR="007558CC" w:rsidRPr="00152765" w:rsidRDefault="007558CC" w:rsidP="007558CC">
            <w:pPr>
              <w:pStyle w:val="TableHeaders"/>
              <w:rPr>
                <w:color w:val="000000"/>
              </w:rPr>
            </w:pPr>
            <w:r w:rsidRPr="00152765">
              <w:t>State Funding</w:t>
            </w:r>
          </w:p>
        </w:tc>
      </w:tr>
      <w:tr w:rsidR="007558CC" w:rsidRPr="00920D38" w14:paraId="183AC73D" w14:textId="77777777" w:rsidTr="007558CC">
        <w:trPr>
          <w:trHeight w:val="395"/>
        </w:trPr>
        <w:tc>
          <w:tcPr>
            <w:tcW w:w="3235" w:type="dxa"/>
            <w:noWrap/>
            <w:vAlign w:val="center"/>
            <w:hideMark/>
          </w:tcPr>
          <w:p w14:paraId="199B2D1A" w14:textId="77777777" w:rsidR="007558CC" w:rsidRPr="00152765" w:rsidRDefault="007558CC" w:rsidP="007558CC">
            <w:pPr>
              <w:pStyle w:val="TableText"/>
            </w:pPr>
            <w:r w:rsidRPr="00152765">
              <w:t>Cybersecurity / Chief Info Security Officer</w:t>
            </w:r>
          </w:p>
        </w:tc>
        <w:tc>
          <w:tcPr>
            <w:tcW w:w="2430" w:type="dxa"/>
            <w:vAlign w:val="center"/>
            <w:hideMark/>
          </w:tcPr>
          <w:p w14:paraId="711E0480" w14:textId="028BACCA" w:rsidR="007558CC" w:rsidRPr="00152765" w:rsidRDefault="007558CC" w:rsidP="007558CC">
            <w:pPr>
              <w:pStyle w:val="TableText"/>
              <w:jc w:val="right"/>
            </w:pPr>
            <w:r w:rsidRPr="00152765">
              <w:t xml:space="preserve">1,596,448 </w:t>
            </w:r>
          </w:p>
        </w:tc>
        <w:tc>
          <w:tcPr>
            <w:tcW w:w="2160" w:type="dxa"/>
            <w:vAlign w:val="center"/>
            <w:hideMark/>
          </w:tcPr>
          <w:p w14:paraId="279F9C56" w14:textId="43706C64" w:rsidR="007558CC" w:rsidRPr="00152765" w:rsidRDefault="007558CC" w:rsidP="007558CC">
            <w:pPr>
              <w:pStyle w:val="TableText"/>
              <w:jc w:val="right"/>
            </w:pPr>
            <w:r w:rsidRPr="00152765">
              <w:t xml:space="preserve">1,542,877 </w:t>
            </w:r>
          </w:p>
        </w:tc>
        <w:tc>
          <w:tcPr>
            <w:tcW w:w="2515" w:type="dxa"/>
            <w:vAlign w:val="center"/>
            <w:hideMark/>
          </w:tcPr>
          <w:p w14:paraId="313D5035" w14:textId="4AFB1C36" w:rsidR="007558CC" w:rsidRPr="00152765" w:rsidRDefault="007558CC" w:rsidP="007558CC">
            <w:pPr>
              <w:pStyle w:val="TableText"/>
              <w:jc w:val="right"/>
            </w:pPr>
            <w:r w:rsidRPr="00152765">
              <w:t xml:space="preserve">53,570 </w:t>
            </w:r>
          </w:p>
        </w:tc>
      </w:tr>
    </w:tbl>
    <w:p w14:paraId="3A210722" w14:textId="1BAD0A1B" w:rsidR="00880BDB" w:rsidRPr="00880BDB" w:rsidRDefault="00880BDB" w:rsidP="002E2CF4">
      <w:pPr>
        <w:pStyle w:val="BodyText3"/>
        <w:ind w:left="720" w:hanging="720"/>
        <w:rPr>
          <w:rFonts w:eastAsiaTheme="minorEastAsia"/>
          <w:szCs w:val="22"/>
        </w:rPr>
      </w:pPr>
      <w:r w:rsidRPr="00880BDB">
        <w:t>H.</w:t>
      </w:r>
      <w:r w:rsidR="00AF104B">
        <w:tab/>
      </w:r>
      <w:r w:rsidRPr="00880BDB">
        <w:t>Briefly discuss any memoranda of understanding (MOU), interagency agreements, or interagency</w:t>
      </w:r>
      <w:r w:rsidR="002E2CF4">
        <w:t xml:space="preserve"> </w:t>
      </w:r>
      <w:r w:rsidRPr="00880BDB">
        <w:rPr>
          <w:rFonts w:eastAsiaTheme="minorEastAsia"/>
          <w:bCs/>
          <w:szCs w:val="22"/>
        </w:rPr>
        <w:t>contracts the agency uses to coordinate its activities and avoid duplication or conflict with other entities that provide similar or identical services or functions to the target population.</w:t>
      </w:r>
      <w:r w:rsidRPr="00880BDB">
        <w:rPr>
          <w:rFonts w:eastAsiaTheme="minorEastAsia"/>
          <w:szCs w:val="22"/>
        </w:rPr>
        <w:t> </w:t>
      </w:r>
    </w:p>
    <w:p w14:paraId="201B8549" w14:textId="742B3ECE" w:rsidR="00880BDB" w:rsidRPr="00880BDB" w:rsidRDefault="00880BDB" w:rsidP="002E2CF4">
      <w:pPr>
        <w:pStyle w:val="BodyText"/>
      </w:pPr>
      <w:r w:rsidRPr="00880BDB">
        <w:t>N/A</w:t>
      </w:r>
    </w:p>
    <w:p w14:paraId="5AD50481" w14:textId="4D8BC78B" w:rsidR="00880BDB" w:rsidRPr="00880BDB" w:rsidRDefault="00880BDB" w:rsidP="00B518F7">
      <w:pPr>
        <w:pStyle w:val="BodyText3"/>
        <w:ind w:left="720" w:hanging="720"/>
      </w:pPr>
      <w:r w:rsidRPr="00880BDB">
        <w:t>I.</w:t>
      </w:r>
      <w:r w:rsidRPr="00880BDB">
        <w:tab/>
        <w:t>If the division or program works with local, regional, or federal units of government, include a brief description of these entities and their relationship to the agency. </w:t>
      </w:r>
    </w:p>
    <w:p w14:paraId="391AB18A" w14:textId="77777777" w:rsidR="00880BDB" w:rsidRPr="00880BDB" w:rsidRDefault="00880BDB" w:rsidP="00B518F7">
      <w:pPr>
        <w:pStyle w:val="BodyText"/>
      </w:pPr>
      <w:r w:rsidRPr="00880BDB">
        <w:t>N/A </w:t>
      </w:r>
    </w:p>
    <w:p w14:paraId="5019CB75" w14:textId="77777777" w:rsidR="00880BDB" w:rsidRPr="00880BDB" w:rsidRDefault="00880BDB" w:rsidP="00B518F7">
      <w:pPr>
        <w:pStyle w:val="BodyText3"/>
        <w:ind w:left="720" w:hanging="720"/>
      </w:pPr>
      <w:r w:rsidRPr="00880BDB">
        <w:t>J.</w:t>
      </w:r>
      <w:r w:rsidRPr="00880BDB">
        <w:tab/>
        <w:t>Are there any barriers or challenges that impede the division or program’s performance, including any outdated or ineffective state laws? Explain. </w:t>
      </w:r>
    </w:p>
    <w:p w14:paraId="2C7991DE" w14:textId="38FDEDA1" w:rsidR="00951A0A" w:rsidRDefault="000D6D12" w:rsidP="00951A0A">
      <w:pPr>
        <w:pStyle w:val="BodyText"/>
      </w:pPr>
      <w:r>
        <w:t xml:space="preserve">The Cybersecurity </w:t>
      </w:r>
      <w:r w:rsidR="007F09BA">
        <w:t xml:space="preserve">department has not identified any statutory or regulatory barriers. The department faces such challenges as a rapidly evolving threat landscape and an accelerated </w:t>
      </w:r>
      <w:r w:rsidR="001115D7">
        <w:t>p</w:t>
      </w:r>
      <w:r w:rsidR="007F09BA">
        <w:t>ace of techn</w:t>
      </w:r>
      <w:r w:rsidR="00356B01">
        <w:t>ological development that strains personnel and resources.</w:t>
      </w:r>
    </w:p>
    <w:p w14:paraId="13F08520" w14:textId="3D357822" w:rsidR="00880BDB" w:rsidRPr="00880BDB" w:rsidRDefault="00880BDB" w:rsidP="006C7B85">
      <w:pPr>
        <w:pStyle w:val="BodyText3"/>
        <w:ind w:left="720" w:hanging="720"/>
        <w:rPr>
          <w:rFonts w:eastAsiaTheme="minorEastAsia"/>
          <w:szCs w:val="22"/>
        </w:rPr>
      </w:pPr>
      <w:r w:rsidRPr="00880BDB">
        <w:t>K.</w:t>
      </w:r>
      <w:r w:rsidR="006C7B85">
        <w:tab/>
      </w:r>
      <w:r w:rsidRPr="00880BDB">
        <w:t>Provide any additional information needed to gain a preliminary understanding of the division</w:t>
      </w:r>
      <w:r w:rsidR="00E70B79">
        <w:t xml:space="preserve"> </w:t>
      </w:r>
      <w:r w:rsidRPr="00880BDB">
        <w:rPr>
          <w:rFonts w:eastAsiaTheme="minorEastAsia"/>
          <w:bCs/>
          <w:szCs w:val="22"/>
        </w:rPr>
        <w:t>or program.</w:t>
      </w:r>
      <w:r w:rsidRPr="00880BDB">
        <w:rPr>
          <w:rFonts w:eastAsiaTheme="minorEastAsia"/>
          <w:szCs w:val="22"/>
        </w:rPr>
        <w:t> </w:t>
      </w:r>
    </w:p>
    <w:p w14:paraId="7D74D0F1" w14:textId="5A9636C6" w:rsidR="00880BDB" w:rsidRPr="001273A5" w:rsidRDefault="00880BDB" w:rsidP="001273A5">
      <w:pPr>
        <w:pStyle w:val="BodyText"/>
      </w:pPr>
      <w:r w:rsidRPr="001273A5">
        <w:t>Cybersecurity collaborates with IT and provides consultative support to program areas in addressing inquiries and findings from TWC’s Internal Auditor that are related to data security requirements. A</w:t>
      </w:r>
      <w:r w:rsidR="00356B01">
        <w:t xml:space="preserve">a an example, an </w:t>
      </w:r>
      <w:r w:rsidRPr="001273A5">
        <w:t>internal audit finding (2023-004-06 – Cybersecurity: Agency Mobile Phones and Antivirus Software) from September 2024, identified mobile security and mobile asset inventory management as key areas requiring strengthened controls. Cybersecurity is working heavily with IT to implement a prioritized action plan to enhance these specific areas and further fortify our overall cybersecurity posture. </w:t>
      </w:r>
    </w:p>
    <w:p w14:paraId="3576CCC6" w14:textId="6B48CCF8" w:rsidR="00880BDB" w:rsidRPr="00880BDB" w:rsidRDefault="00880BDB" w:rsidP="001273A5">
      <w:pPr>
        <w:pStyle w:val="BodyText"/>
      </w:pPr>
      <w:r w:rsidRPr="00880BDB">
        <w:lastRenderedPageBreak/>
        <w:t>The agency handles sensitive data obtained from critical external sources, including the Internal Revenue Service (IRS), the Social Security Administration (SSA), and the Federal Bureau of Investigation’s Criminal Justice Information Services.  As a result, Cybersecurity program undergoes rigorous external and internal oversight through various audits and assessments to ensure continuous improvement and compliance. These engagements occur both directly under Cybersecurity's coordination and indirectly, with Cybersecurity providing expertise to program areas.</w:t>
      </w:r>
    </w:p>
    <w:p w14:paraId="2B094214" w14:textId="11D231C9" w:rsidR="00880BDB" w:rsidRPr="00880BDB" w:rsidRDefault="00880BDB" w:rsidP="001273A5">
      <w:pPr>
        <w:pStyle w:val="BodyText"/>
      </w:pPr>
      <w:r w:rsidRPr="00880BDB">
        <w:t>Examples of external Cybersecurity-orchestrated assessments include TCF Assessment. Cybersecurity also plays a critical role in broader agency audits such as the Social Security Administration (SSA) Information Exchange Assessment and the IRS Audit for Publication 1075 Compliance. Additionally, Cybersecurity supports program areas responding to audits like the Department of Public Safety's (DPS) Criminal History Record Information Audit for Criminal Justice Information Services compliance. Due to the sensitive nature of the information, full audit reports are generally not publicly available; however, summaries of TCF Assessment may be available upon request. This multi-faceted approach provides a comprehensive view of the agency's security posture and drives targeted improvements, ensuring data confidentiality, integrity, and availability. </w:t>
      </w:r>
    </w:p>
    <w:p w14:paraId="250DC6C1" w14:textId="6590D939" w:rsidR="00880BDB" w:rsidRPr="00880BDB" w:rsidRDefault="00880BDB" w:rsidP="001273A5">
      <w:pPr>
        <w:pStyle w:val="BodyText"/>
      </w:pPr>
      <w:r w:rsidRPr="00880BDB">
        <w:t>If requested, Cybersecurity can provide the following vulnerability reports per Sec. 2054.077.</w:t>
      </w:r>
    </w:p>
    <w:p w14:paraId="1C8E9F0D" w14:textId="77777777" w:rsidR="00880BDB" w:rsidRPr="00880BDB" w:rsidRDefault="00880BDB" w:rsidP="00C64851">
      <w:pPr>
        <w:pStyle w:val="BodyText"/>
        <w:numPr>
          <w:ilvl w:val="0"/>
          <w:numId w:val="777"/>
        </w:numPr>
      </w:pPr>
      <w:r w:rsidRPr="00880BDB">
        <w:t>Biennium Cybersecurity Report 2024 </w:t>
      </w:r>
    </w:p>
    <w:p w14:paraId="26786D65" w14:textId="77777777" w:rsidR="00880BDB" w:rsidRPr="00880BDB" w:rsidRDefault="00880BDB" w:rsidP="00C64851">
      <w:pPr>
        <w:pStyle w:val="BodyText"/>
        <w:numPr>
          <w:ilvl w:val="0"/>
          <w:numId w:val="778"/>
        </w:numPr>
      </w:pPr>
      <w:r w:rsidRPr="00880BDB">
        <w:t>TWC_2022_Public_vulnerability_report_summary  </w:t>
      </w:r>
    </w:p>
    <w:p w14:paraId="0B7DF6CC" w14:textId="0B333EB8" w:rsidR="00880BDB" w:rsidRPr="00880BDB" w:rsidRDefault="00880BDB" w:rsidP="001273A5">
      <w:pPr>
        <w:pStyle w:val="BodyText3"/>
        <w:ind w:left="720" w:hanging="720"/>
      </w:pPr>
      <w:r w:rsidRPr="00880BDB">
        <w:t>L.</w:t>
      </w:r>
      <w:r w:rsidRPr="00880BDB">
        <w:tab/>
        <w:t>Regulatory programs relate to the licensing, registration, certification, or permitting of a person, business, piece of equipment, or other entity (e.g., a facility). For each regulatory program, if applicable, describe: </w:t>
      </w:r>
    </w:p>
    <w:p w14:paraId="7607B2DE" w14:textId="77777777" w:rsidR="00880BDB" w:rsidRPr="00880BDB" w:rsidRDefault="00880BDB" w:rsidP="001273A5">
      <w:pPr>
        <w:pStyle w:val="BodyText"/>
      </w:pPr>
      <w:r w:rsidRPr="00880BDB">
        <w:t>N/A </w:t>
      </w:r>
    </w:p>
    <w:p w14:paraId="2065D9E0" w14:textId="77777777" w:rsidR="00880BDB" w:rsidRPr="00880BDB" w:rsidRDefault="00880BDB" w:rsidP="001273A5">
      <w:pPr>
        <w:pStyle w:val="BodyText"/>
        <w:ind w:left="720" w:hanging="720"/>
      </w:pPr>
      <w:r w:rsidRPr="00880BDB">
        <w:rPr>
          <w:b/>
          <w:bCs/>
        </w:rPr>
        <w:t>M.</w:t>
      </w:r>
      <w:r w:rsidRPr="00880BDB">
        <w:tab/>
      </w:r>
      <w:r w:rsidRPr="00880BDB">
        <w:rPr>
          <w:b/>
          <w:bCs/>
        </w:rPr>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w:t>
      </w:r>
      <w:r w:rsidRPr="00880BDB">
        <w:t> </w:t>
      </w:r>
    </w:p>
    <w:p w14:paraId="60D91685" w14:textId="0DED333C" w:rsidR="0087410C" w:rsidRDefault="00880BDB" w:rsidP="0087410C">
      <w:pPr>
        <w:pStyle w:val="BodyText"/>
      </w:pPr>
      <w:r w:rsidRPr="00880BDB">
        <w:t>N/A</w:t>
      </w:r>
    </w:p>
    <w:p w14:paraId="124C854E" w14:textId="49CC081E" w:rsidR="00880BDB" w:rsidRPr="00880BDB" w:rsidRDefault="00BB37E7" w:rsidP="0087410C">
      <w:pPr>
        <w:pStyle w:val="BodyText"/>
        <w:jc w:val="center"/>
      </w:pPr>
      <w:r>
        <w:br w:type="page"/>
      </w:r>
      <w:r w:rsidR="00880BDB" w:rsidRPr="00880BDB">
        <w:rPr>
          <w:b/>
          <w:bCs/>
        </w:rPr>
        <w:lastRenderedPageBreak/>
        <w:t>Software Acquisition Review Committee (SARC)</w:t>
      </w:r>
    </w:p>
    <w:p w14:paraId="27674A9A" w14:textId="77777777" w:rsidR="00880BDB" w:rsidRPr="00880BDB" w:rsidRDefault="00880BDB" w:rsidP="001273A5">
      <w:pPr>
        <w:pStyle w:val="BodyText"/>
      </w:pPr>
      <w:r w:rsidRPr="00880BDB">
        <w:t>During SARC evaluation, Cybersecurity determines if a tool or software poses a security risk due to its type, vulnerabilities, or potential for misuse. Cybersecurity also assesses whether data will be secured appropriately and evaluate the trustworthiness of the developer and hosting site. Finally, Cybersecurity decides whether a cybersecurity exception is needed and ultimately approves or denies the request before it is sent to the IT Steering Committee (ITSC) for final review. </w:t>
      </w:r>
    </w:p>
    <w:p w14:paraId="4136545D" w14:textId="71B565FF" w:rsidR="00880BDB" w:rsidRPr="00880BDB" w:rsidRDefault="00880BDB" w:rsidP="00880BDB">
      <w:pPr>
        <w:pStyle w:val="BodyText"/>
      </w:pPr>
      <w:r w:rsidRPr="00880BDB">
        <w:rPr>
          <w:noProof/>
        </w:rPr>
        <w:drawing>
          <wp:inline distT="0" distB="0" distL="0" distR="0" wp14:anchorId="68B055E2" wp14:editId="3447D979">
            <wp:extent cx="5943600" cy="2207260"/>
            <wp:effectExtent l="0" t="0" r="0" b="2540"/>
            <wp:docPr id="1438130949" name="Picture 20" descr="Software Acquisition Review Committe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30949" name="Picture 20" descr="Software Acquisition Review Committee flowchart"/>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43600" cy="2207260"/>
                    </a:xfrm>
                    <a:prstGeom prst="rect">
                      <a:avLst/>
                    </a:prstGeom>
                    <a:noFill/>
                    <a:ln>
                      <a:noFill/>
                    </a:ln>
                  </pic:spPr>
                </pic:pic>
              </a:graphicData>
            </a:graphic>
          </wp:inline>
        </w:drawing>
      </w:r>
    </w:p>
    <w:p w14:paraId="5C4F4322" w14:textId="52CDC1D5" w:rsidR="00880BDB" w:rsidRPr="00880BDB" w:rsidRDefault="00880BDB" w:rsidP="0087410C">
      <w:pPr>
        <w:pStyle w:val="BodyText3"/>
        <w:jc w:val="center"/>
      </w:pPr>
      <w:r w:rsidRPr="00880BDB">
        <w:t>Authority to Operate</w:t>
      </w:r>
    </w:p>
    <w:p w14:paraId="4582E356" w14:textId="335FEBF3" w:rsidR="00880BDB" w:rsidRPr="00880BDB" w:rsidRDefault="00880BDB" w:rsidP="00B97782">
      <w:pPr>
        <w:pStyle w:val="BodyText"/>
      </w:pPr>
      <w:r w:rsidRPr="00880BDB">
        <w:t xml:space="preserve">The </w:t>
      </w:r>
      <w:r w:rsidR="00B97782">
        <w:t>Authority to Operate (A</w:t>
      </w:r>
      <w:r w:rsidRPr="00880BDB">
        <w:t>TO</w:t>
      </w:r>
      <w:r w:rsidR="00B97782">
        <w:t>)</w:t>
      </w:r>
      <w:r w:rsidRPr="00880BDB">
        <w:t xml:space="preserve"> process is a State required (TAC 202.25) security risk assessment of TWC applications, either homegrown or procured, which identifies, assesses and manages the potential risk to an application. Not only does this help prevent</w:t>
      </w:r>
      <w:r w:rsidR="0087410C">
        <w:t xml:space="preserve"> </w:t>
      </w:r>
      <w:r w:rsidRPr="00880BDB">
        <w:t>the exposure of security defects and vulnerabilities, but it also helps the agency see the app through the eyes of cyber criminals and attackers. ATOs will be renewed based on their risk level. </w:t>
      </w:r>
    </w:p>
    <w:p w14:paraId="495846AA" w14:textId="12B8CB56" w:rsidR="00880BDB" w:rsidRPr="00880BDB" w:rsidRDefault="00880BDB" w:rsidP="00880BDB">
      <w:pPr>
        <w:pStyle w:val="BodyText"/>
      </w:pPr>
      <w:r w:rsidRPr="00880BDB">
        <w:rPr>
          <w:noProof/>
        </w:rPr>
        <w:lastRenderedPageBreak/>
        <w:drawing>
          <wp:inline distT="0" distB="0" distL="0" distR="0" wp14:anchorId="4FDB9C63" wp14:editId="447E3A53">
            <wp:extent cx="5943600" cy="3935095"/>
            <wp:effectExtent l="0" t="0" r="0" b="8255"/>
            <wp:docPr id="688241606" name="Picture 19" descr="Authority to Operat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41606" name="Picture 19" descr="Authority to Operate flowchart"/>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943600" cy="3935095"/>
                    </a:xfrm>
                    <a:prstGeom prst="rect">
                      <a:avLst/>
                    </a:prstGeom>
                    <a:noFill/>
                    <a:ln>
                      <a:noFill/>
                    </a:ln>
                  </pic:spPr>
                </pic:pic>
              </a:graphicData>
            </a:graphic>
          </wp:inline>
        </w:drawing>
      </w:r>
    </w:p>
    <w:p w14:paraId="767CC4EC" w14:textId="057364BF" w:rsidR="00AE75F8" w:rsidRDefault="00AE75F8">
      <w:pPr>
        <w:rPr>
          <w:rFonts w:ascii="Arial" w:eastAsiaTheme="minorEastAsia" w:hAnsi="Arial"/>
          <w:szCs w:val="22"/>
        </w:rPr>
      </w:pPr>
      <w:r>
        <w:br w:type="page"/>
      </w:r>
    </w:p>
    <w:p w14:paraId="594D8E60" w14:textId="77777777" w:rsidR="005C5A15" w:rsidRDefault="005C5A15" w:rsidP="005C5A15">
      <w:pPr>
        <w:pStyle w:val="BodyText3"/>
      </w:pPr>
      <w:r>
        <w:lastRenderedPageBreak/>
        <w:t>Risk and Security Management</w:t>
      </w:r>
    </w:p>
    <w:p w14:paraId="665EF690" w14:textId="15AFABD9" w:rsidR="00071D7F" w:rsidRPr="00071D7F" w:rsidRDefault="005C5A15" w:rsidP="005C5A15">
      <w:pPr>
        <w:pStyle w:val="BodyText3"/>
        <w:ind w:left="720" w:hanging="720"/>
      </w:pPr>
      <w:r>
        <w:t>A.</w:t>
      </w:r>
      <w:r>
        <w:tab/>
      </w:r>
      <w:r w:rsidR="00071D7F" w:rsidRPr="00071D7F">
        <w:t>Provide the following information at the beginning of each program description. </w:t>
      </w:r>
    </w:p>
    <w:p w14:paraId="6425DC8F" w14:textId="77777777" w:rsidR="00071D7F" w:rsidRPr="00071D7F" w:rsidRDefault="00071D7F" w:rsidP="005C5A15">
      <w:pPr>
        <w:pStyle w:val="BodyText"/>
      </w:pPr>
      <w:r w:rsidRPr="00071D7F">
        <w:t>Name of Program or Function: Risk &amp; Security Management </w:t>
      </w:r>
    </w:p>
    <w:p w14:paraId="1B8B4985" w14:textId="577D8232" w:rsidR="00071D7F" w:rsidRPr="00071D7F" w:rsidRDefault="00071D7F" w:rsidP="005C5A15">
      <w:pPr>
        <w:pStyle w:val="BodyText"/>
      </w:pPr>
      <w:r w:rsidRPr="00071D7F">
        <w:t>Location within the agency: Business Operations Division </w:t>
      </w:r>
    </w:p>
    <w:p w14:paraId="4990388D" w14:textId="77777777" w:rsidR="00071D7F" w:rsidRPr="00071D7F" w:rsidRDefault="00071D7F" w:rsidP="005C5A15">
      <w:pPr>
        <w:pStyle w:val="BodyText"/>
      </w:pPr>
      <w:r w:rsidRPr="00071D7F">
        <w:t>Contact Name: Gena Garcia, RSM Director </w:t>
      </w:r>
    </w:p>
    <w:p w14:paraId="3CD64CC5" w14:textId="28802E44" w:rsidR="00071D7F" w:rsidRPr="00071D7F" w:rsidRDefault="00071D7F" w:rsidP="005C5A15">
      <w:pPr>
        <w:pStyle w:val="BodyText"/>
      </w:pPr>
      <w:r w:rsidRPr="00071D7F">
        <w:t>Statutory Citation for Program: Texas Labor Code</w:t>
      </w:r>
      <w:r w:rsidR="00D17566">
        <w:t>,</w:t>
      </w:r>
      <w:r w:rsidRPr="00071D7F">
        <w:t xml:space="preserve"> Sec</w:t>
      </w:r>
      <w:r w:rsidR="00D17566">
        <w:t>tion</w:t>
      </w:r>
      <w:r w:rsidRPr="00071D7F">
        <w:t xml:space="preserve"> 412.051 </w:t>
      </w:r>
      <w:r w:rsidR="00D17566">
        <w:t>(</w:t>
      </w:r>
      <w:r w:rsidRPr="00071D7F">
        <w:t>Insurance</w:t>
      </w:r>
      <w:r w:rsidR="00D17566">
        <w:t>)</w:t>
      </w:r>
      <w:r w:rsidRPr="00071D7F">
        <w:t>, Texas Labor Cod</w:t>
      </w:r>
      <w:r w:rsidR="00D17566">
        <w:t>e, Section</w:t>
      </w:r>
      <w:r w:rsidRPr="00071D7F">
        <w:t xml:space="preserve"> 412.054 </w:t>
      </w:r>
      <w:r w:rsidR="00D17566">
        <w:t>(</w:t>
      </w:r>
      <w:r w:rsidRPr="00071D7F">
        <w:t>Continuity of Operations Plan</w:t>
      </w:r>
      <w:r w:rsidR="00D17566">
        <w:t>)</w:t>
      </w:r>
      <w:r w:rsidRPr="00071D7F">
        <w:t> </w:t>
      </w:r>
    </w:p>
    <w:p w14:paraId="044BE95A" w14:textId="77777777" w:rsidR="00071D7F" w:rsidRPr="00071D7F" w:rsidRDefault="00071D7F" w:rsidP="005C5A15">
      <w:pPr>
        <w:pStyle w:val="BodyText3"/>
      </w:pPr>
      <w:r w:rsidRPr="00071D7F">
        <w:t>B.</w:t>
      </w:r>
      <w:r w:rsidRPr="00071D7F">
        <w:tab/>
        <w:t>What is the objective of this program or function? Describe the major activities performed under this program. </w:t>
      </w:r>
    </w:p>
    <w:p w14:paraId="6F43D59E" w14:textId="77777777" w:rsidR="00071D7F" w:rsidRPr="00071D7F" w:rsidRDefault="00071D7F" w:rsidP="005C5A15">
      <w:pPr>
        <w:pStyle w:val="BodyText"/>
      </w:pPr>
      <w:r w:rsidRPr="00071D7F">
        <w:t xml:space="preserve">The </w:t>
      </w:r>
      <w:r w:rsidRPr="008978DC">
        <w:t>Risk &amp; Security Management (RSM)</w:t>
      </w:r>
      <w:r w:rsidRPr="00071D7F">
        <w:t xml:space="preserve"> director serves as the agency Chief Risk Management Officer and is responsible for the development and administration of the department’s programs and functions for the agency. RSM is a team of 13 FTEs and manages risk through six areas: Risk, Compliance, Continuity of Operations, Emergency Management, Safety, and (Physical) Security.  </w:t>
      </w:r>
    </w:p>
    <w:p w14:paraId="186709E2" w14:textId="77777777" w:rsidR="00071D7F" w:rsidRPr="00071D7F" w:rsidRDefault="00071D7F" w:rsidP="005C5A15">
      <w:pPr>
        <w:pStyle w:val="BodyText"/>
      </w:pPr>
      <w:r w:rsidRPr="00071D7F">
        <w:t>RSM conducts the following major activities: </w:t>
      </w:r>
    </w:p>
    <w:p w14:paraId="43F2E3C4" w14:textId="77777777" w:rsidR="00071D7F" w:rsidRPr="00071D7F" w:rsidRDefault="00071D7F" w:rsidP="00BB51F6">
      <w:pPr>
        <w:pStyle w:val="BodyText3"/>
      </w:pPr>
      <w:r w:rsidRPr="00071D7F">
        <w:t>Risk &amp; Compliance </w:t>
      </w:r>
    </w:p>
    <w:p w14:paraId="5818A6AD" w14:textId="77777777" w:rsidR="00071D7F" w:rsidRPr="00071D7F" w:rsidRDefault="00071D7F" w:rsidP="00C64851">
      <w:pPr>
        <w:pStyle w:val="BodyText"/>
        <w:numPr>
          <w:ilvl w:val="0"/>
          <w:numId w:val="783"/>
        </w:numPr>
      </w:pPr>
      <w:r w:rsidRPr="00071D7F">
        <w:rPr>
          <w:b/>
          <w:bCs/>
        </w:rPr>
        <w:t>Risk Management Program</w:t>
      </w:r>
      <w:r w:rsidRPr="00071D7F">
        <w:t xml:space="preserve"> – Supports the agency by providing a framework to assess, identify and mitigate risks or eliminate losses from unplanned events. </w:t>
      </w:r>
    </w:p>
    <w:p w14:paraId="44BF17D5" w14:textId="77777777" w:rsidR="00071D7F" w:rsidRPr="00071D7F" w:rsidRDefault="00071D7F" w:rsidP="00C64851">
      <w:pPr>
        <w:pStyle w:val="BodyText"/>
        <w:numPr>
          <w:ilvl w:val="0"/>
          <w:numId w:val="783"/>
        </w:numPr>
      </w:pPr>
      <w:r w:rsidRPr="00071D7F">
        <w:rPr>
          <w:b/>
          <w:bCs/>
        </w:rPr>
        <w:t>Strategic Planning</w:t>
      </w:r>
      <w:r w:rsidRPr="00071D7F">
        <w:t xml:space="preserve"> – Enhances department programs by assessing risks, identifying opportunities, and defining goals and objectives. </w:t>
      </w:r>
    </w:p>
    <w:p w14:paraId="7202302D" w14:textId="77777777" w:rsidR="00071D7F" w:rsidRPr="00071D7F" w:rsidRDefault="00071D7F" w:rsidP="00C64851">
      <w:pPr>
        <w:pStyle w:val="BodyText"/>
        <w:numPr>
          <w:ilvl w:val="0"/>
          <w:numId w:val="783"/>
        </w:numPr>
      </w:pPr>
      <w:r w:rsidRPr="00071D7F">
        <w:rPr>
          <w:b/>
          <w:bCs/>
        </w:rPr>
        <w:t>Incident Reports</w:t>
      </w:r>
      <w:r w:rsidRPr="00071D7F">
        <w:t xml:space="preserve"> – Receives, responds to, and tracks reports to assess risks and develop mitigation strategies and root cause analyses.  </w:t>
      </w:r>
    </w:p>
    <w:p w14:paraId="58FF1A78" w14:textId="77777777" w:rsidR="00071D7F" w:rsidRPr="00071D7F" w:rsidRDefault="00071D7F" w:rsidP="00C64851">
      <w:pPr>
        <w:pStyle w:val="BodyText"/>
        <w:numPr>
          <w:ilvl w:val="0"/>
          <w:numId w:val="783"/>
        </w:numPr>
      </w:pPr>
      <w:r w:rsidRPr="00071D7F">
        <w:rPr>
          <w:b/>
          <w:bCs/>
        </w:rPr>
        <w:t>Insurance</w:t>
      </w:r>
      <w:r w:rsidRPr="00071D7F">
        <w:t xml:space="preserve"> – Handles insurance evaluations, renewals and claims. </w:t>
      </w:r>
    </w:p>
    <w:p w14:paraId="4DA74BA1" w14:textId="77777777" w:rsidR="00071D7F" w:rsidRPr="00071D7F" w:rsidRDefault="00071D7F" w:rsidP="00C64851">
      <w:pPr>
        <w:pStyle w:val="BodyText"/>
        <w:numPr>
          <w:ilvl w:val="0"/>
          <w:numId w:val="783"/>
        </w:numPr>
      </w:pPr>
      <w:r w:rsidRPr="00071D7F">
        <w:rPr>
          <w:b/>
          <w:bCs/>
        </w:rPr>
        <w:t>State Office of Risk Management (SORM) 200 Report</w:t>
      </w:r>
      <w:r w:rsidRPr="00071D7F">
        <w:t xml:space="preserve"> – Completes annually according to Texas Labor Code Sec. 412.053. </w:t>
      </w:r>
    </w:p>
    <w:p w14:paraId="260D37C1" w14:textId="77777777" w:rsidR="00071D7F" w:rsidRPr="00071D7F" w:rsidRDefault="00071D7F" w:rsidP="00C64851">
      <w:pPr>
        <w:pStyle w:val="BodyText"/>
        <w:numPr>
          <w:ilvl w:val="0"/>
          <w:numId w:val="783"/>
        </w:numPr>
      </w:pPr>
      <w:r w:rsidRPr="00071D7F">
        <w:rPr>
          <w:b/>
          <w:bCs/>
        </w:rPr>
        <w:t>Workplace Bulletin Postings</w:t>
      </w:r>
      <w:r w:rsidRPr="00071D7F">
        <w:t xml:space="preserve"> - Ensures compliance with required postings in agency-owned buildings and on the agency's digital bulletin board.  </w:t>
      </w:r>
    </w:p>
    <w:p w14:paraId="6420BFE7" w14:textId="77777777" w:rsidR="00071D7F" w:rsidRPr="00071D7F" w:rsidRDefault="00071D7F" w:rsidP="00C64851">
      <w:pPr>
        <w:pStyle w:val="BodyText"/>
        <w:numPr>
          <w:ilvl w:val="0"/>
          <w:numId w:val="783"/>
        </w:numPr>
      </w:pPr>
      <w:r w:rsidRPr="00071D7F">
        <w:rPr>
          <w:b/>
          <w:bCs/>
        </w:rPr>
        <w:t>Office of</w:t>
      </w:r>
      <w:r w:rsidRPr="00071D7F">
        <w:t xml:space="preserve"> </w:t>
      </w:r>
      <w:r w:rsidRPr="00071D7F">
        <w:rPr>
          <w:b/>
          <w:bCs/>
        </w:rPr>
        <w:t>Internal Audit (OIA) Annual Risk Survey</w:t>
      </w:r>
      <w:r w:rsidRPr="00071D7F">
        <w:t xml:space="preserve"> – Collaborates with OIA to identify vulnerabilities, risk issues and concerns resulting from an agency-wide risk survey. </w:t>
      </w:r>
    </w:p>
    <w:p w14:paraId="576EE41F" w14:textId="6591D5F7" w:rsidR="00071D7F" w:rsidRPr="00071D7F" w:rsidRDefault="00071D7F" w:rsidP="00BB51F6">
      <w:pPr>
        <w:pStyle w:val="BodyText3"/>
      </w:pPr>
      <w:r w:rsidRPr="00071D7F">
        <w:lastRenderedPageBreak/>
        <w:t>Continuity of Operations &amp; Emergency Management </w:t>
      </w:r>
    </w:p>
    <w:p w14:paraId="543265FB" w14:textId="77777777" w:rsidR="00071D7F" w:rsidRPr="00071D7F" w:rsidRDefault="00071D7F" w:rsidP="00C64851">
      <w:pPr>
        <w:pStyle w:val="BodyText"/>
        <w:numPr>
          <w:ilvl w:val="0"/>
          <w:numId w:val="784"/>
        </w:numPr>
      </w:pPr>
      <w:r w:rsidRPr="00071D7F">
        <w:rPr>
          <w:b/>
          <w:bCs/>
        </w:rPr>
        <w:t xml:space="preserve">Planning - </w:t>
      </w:r>
      <w:r w:rsidRPr="00071D7F">
        <w:t>Ensures that the agency and department Continuity of Operations (COOP) and Emergency Operations Plans are developed, coordinated, and reviewed to meet state and other applicable guidelines and standard.  </w:t>
      </w:r>
    </w:p>
    <w:p w14:paraId="2C7F3D87" w14:textId="77777777" w:rsidR="00071D7F" w:rsidRPr="00071D7F" w:rsidRDefault="00071D7F" w:rsidP="00C64851">
      <w:pPr>
        <w:pStyle w:val="BodyText"/>
        <w:numPr>
          <w:ilvl w:val="0"/>
          <w:numId w:val="784"/>
        </w:numPr>
      </w:pPr>
      <w:r w:rsidRPr="00071D7F">
        <w:rPr>
          <w:b/>
          <w:bCs/>
        </w:rPr>
        <w:t xml:space="preserve">Training – </w:t>
      </w:r>
      <w:r w:rsidRPr="00071D7F">
        <w:t>Provides agency training on COOP and emergency plans and procedures.  </w:t>
      </w:r>
    </w:p>
    <w:p w14:paraId="28683ABD" w14:textId="77777777" w:rsidR="00071D7F" w:rsidRPr="00071D7F" w:rsidRDefault="00071D7F" w:rsidP="00C64851">
      <w:pPr>
        <w:pStyle w:val="BodyText"/>
        <w:numPr>
          <w:ilvl w:val="0"/>
          <w:numId w:val="784"/>
        </w:numPr>
      </w:pPr>
      <w:r w:rsidRPr="00071D7F">
        <w:rPr>
          <w:b/>
          <w:bCs/>
        </w:rPr>
        <w:t>Drills &amp; Exercises –</w:t>
      </w:r>
      <w:r w:rsidRPr="00071D7F">
        <w:t xml:space="preserve"> Collaborates on evacuation drills. Conducts and collaborates on COOP tabletop exercises to test the agency’s continuity activation capabilities. </w:t>
      </w:r>
    </w:p>
    <w:p w14:paraId="41A21E35" w14:textId="77777777" w:rsidR="00071D7F" w:rsidRPr="00071D7F" w:rsidRDefault="00071D7F" w:rsidP="00C64851">
      <w:pPr>
        <w:pStyle w:val="BodyText"/>
        <w:numPr>
          <w:ilvl w:val="0"/>
          <w:numId w:val="784"/>
        </w:numPr>
      </w:pPr>
      <w:r w:rsidRPr="00071D7F">
        <w:rPr>
          <w:b/>
          <w:bCs/>
        </w:rPr>
        <w:t xml:space="preserve">Emergency Communications – </w:t>
      </w:r>
      <w:r w:rsidRPr="00071D7F">
        <w:t>Maintains emergency communication system. Conducts mass notification tests (TWC Alerts) agency-wide to ensure agency alert systems are functional. </w:t>
      </w:r>
    </w:p>
    <w:p w14:paraId="036D9DEA" w14:textId="77777777" w:rsidR="00071D7F" w:rsidRPr="00071D7F" w:rsidRDefault="00071D7F" w:rsidP="00C64851">
      <w:pPr>
        <w:pStyle w:val="BodyText"/>
        <w:numPr>
          <w:ilvl w:val="0"/>
          <w:numId w:val="784"/>
        </w:numPr>
      </w:pPr>
      <w:r w:rsidRPr="00071D7F">
        <w:rPr>
          <w:b/>
          <w:bCs/>
        </w:rPr>
        <w:t xml:space="preserve">Texas Emergency Management Council (TEMC) - </w:t>
      </w:r>
      <w:r w:rsidRPr="00071D7F">
        <w:t>Represents TWC in its TEMC role. Participates in State Operations Center (SOC) briefings and reports to the SOC upon request.  </w:t>
      </w:r>
    </w:p>
    <w:p w14:paraId="1F4FD880" w14:textId="1CCADA4D" w:rsidR="00071D7F" w:rsidRPr="00071D7F" w:rsidRDefault="00071D7F" w:rsidP="00BB51F6">
      <w:pPr>
        <w:pStyle w:val="BodyText3"/>
      </w:pPr>
      <w:r w:rsidRPr="00071D7F">
        <w:t>Safety </w:t>
      </w:r>
    </w:p>
    <w:p w14:paraId="55316CB5" w14:textId="77777777" w:rsidR="00071D7F" w:rsidRPr="00071D7F" w:rsidRDefault="00071D7F" w:rsidP="00C64851">
      <w:pPr>
        <w:pStyle w:val="BodyText"/>
        <w:numPr>
          <w:ilvl w:val="0"/>
          <w:numId w:val="785"/>
        </w:numPr>
      </w:pPr>
      <w:r w:rsidRPr="00BC1136">
        <w:rPr>
          <w:b/>
        </w:rPr>
        <w:t>Occupational Safety and Health Plan (OSHP)</w:t>
      </w:r>
      <w:r w:rsidRPr="00071D7F">
        <w:rPr>
          <w:bCs/>
        </w:rPr>
        <w:t xml:space="preserve"> - </w:t>
      </w:r>
      <w:r w:rsidRPr="00071D7F">
        <w:t>Provides employees with policy and procedures to ensure compliance with occupational safety and health policies and includes an Additional Duty Safety Officers Program to assist with the implementation of the OSHP.  </w:t>
      </w:r>
    </w:p>
    <w:p w14:paraId="64243D29" w14:textId="77777777" w:rsidR="00071D7F" w:rsidRPr="00071D7F" w:rsidRDefault="00071D7F" w:rsidP="00C64851">
      <w:pPr>
        <w:pStyle w:val="BodyText"/>
        <w:numPr>
          <w:ilvl w:val="0"/>
          <w:numId w:val="785"/>
        </w:numPr>
      </w:pPr>
      <w:r w:rsidRPr="00BC1136">
        <w:rPr>
          <w:b/>
        </w:rPr>
        <w:t>Onsite Risk Inspections</w:t>
      </w:r>
      <w:r w:rsidRPr="00071D7F">
        <w:rPr>
          <w:bCs/>
        </w:rPr>
        <w:t xml:space="preserve"> – </w:t>
      </w:r>
      <w:r w:rsidRPr="00071D7F">
        <w:t>Inspects offices statewide in core program areas to identify and evaluate potential risks.  </w:t>
      </w:r>
    </w:p>
    <w:p w14:paraId="5D4B2CD4" w14:textId="77777777" w:rsidR="00071D7F" w:rsidRPr="00071D7F" w:rsidRDefault="00071D7F" w:rsidP="00C64851">
      <w:pPr>
        <w:pStyle w:val="BodyText"/>
        <w:numPr>
          <w:ilvl w:val="0"/>
          <w:numId w:val="785"/>
        </w:numPr>
      </w:pPr>
      <w:r w:rsidRPr="00BC1136">
        <w:rPr>
          <w:b/>
        </w:rPr>
        <w:t>Evacuation Drills</w:t>
      </w:r>
      <w:r w:rsidRPr="00071D7F">
        <w:rPr>
          <w:bCs/>
        </w:rPr>
        <w:t xml:space="preserve"> – </w:t>
      </w:r>
      <w:r w:rsidRPr="00071D7F">
        <w:t>Ensures safe building evacuations for employees, contractors and visitors. </w:t>
      </w:r>
    </w:p>
    <w:p w14:paraId="2803A02D" w14:textId="77777777" w:rsidR="00071D7F" w:rsidRPr="00071D7F" w:rsidRDefault="00071D7F" w:rsidP="00C64851">
      <w:pPr>
        <w:pStyle w:val="BodyText"/>
        <w:numPr>
          <w:ilvl w:val="0"/>
          <w:numId w:val="785"/>
        </w:numPr>
      </w:pPr>
      <w:r w:rsidRPr="00BC1136">
        <w:rPr>
          <w:b/>
        </w:rPr>
        <w:t>Safe Driver Program</w:t>
      </w:r>
      <w:r w:rsidRPr="00071D7F">
        <w:rPr>
          <w:bCs/>
        </w:rPr>
        <w:t xml:space="preserve"> </w:t>
      </w:r>
      <w:r w:rsidRPr="00071D7F">
        <w:t>– Establishes policies and procedures to ensure the overall safety of agency drivers by reducing risk and promoting safe vehicle operation. </w:t>
      </w:r>
    </w:p>
    <w:p w14:paraId="2E24AC0D" w14:textId="77777777" w:rsidR="00071D7F" w:rsidRPr="00071D7F" w:rsidRDefault="00071D7F" w:rsidP="00C64851">
      <w:pPr>
        <w:pStyle w:val="BodyText"/>
        <w:numPr>
          <w:ilvl w:val="0"/>
          <w:numId w:val="785"/>
        </w:numPr>
      </w:pPr>
      <w:r w:rsidRPr="009C0675">
        <w:rPr>
          <w:b/>
        </w:rPr>
        <w:t>Training</w:t>
      </w:r>
      <w:r w:rsidRPr="00071D7F">
        <w:rPr>
          <w:bCs/>
        </w:rPr>
        <w:t xml:space="preserve"> – </w:t>
      </w:r>
      <w:r w:rsidRPr="00071D7F">
        <w:t>Focuses efforts on maintaining a safe work environment. </w:t>
      </w:r>
    </w:p>
    <w:p w14:paraId="3FE59846" w14:textId="77777777" w:rsidR="00071D7F" w:rsidRPr="00071D7F" w:rsidRDefault="00071D7F" w:rsidP="009C0675">
      <w:pPr>
        <w:pStyle w:val="BodyText3"/>
      </w:pPr>
      <w:r w:rsidRPr="00071D7F">
        <w:t>Security </w:t>
      </w:r>
    </w:p>
    <w:p w14:paraId="660F93B0" w14:textId="77777777" w:rsidR="00071D7F" w:rsidRPr="00071D7F" w:rsidRDefault="00071D7F" w:rsidP="00C64851">
      <w:pPr>
        <w:pStyle w:val="BodyText"/>
        <w:numPr>
          <w:ilvl w:val="0"/>
          <w:numId w:val="786"/>
        </w:numPr>
      </w:pPr>
      <w:r w:rsidRPr="00071D7F">
        <w:rPr>
          <w:b/>
          <w:bCs/>
        </w:rPr>
        <w:t xml:space="preserve">Access Control - </w:t>
      </w:r>
      <w:r w:rsidRPr="00071D7F">
        <w:t>Ensures permissible physical access to TWC buildings and the secure and timely issuance and deactivation of identification badges. </w:t>
      </w:r>
    </w:p>
    <w:p w14:paraId="7EA1B41B" w14:textId="77777777" w:rsidR="00071D7F" w:rsidRPr="00071D7F" w:rsidRDefault="00071D7F" w:rsidP="00C64851">
      <w:pPr>
        <w:pStyle w:val="BodyText"/>
        <w:numPr>
          <w:ilvl w:val="0"/>
          <w:numId w:val="786"/>
        </w:numPr>
      </w:pPr>
      <w:r w:rsidRPr="00071D7F">
        <w:rPr>
          <w:b/>
          <w:bCs/>
        </w:rPr>
        <w:t xml:space="preserve">Surveillance – </w:t>
      </w:r>
      <w:r w:rsidRPr="00071D7F">
        <w:t>Monitors activity and coordinates the installation and maintenance of agency surveillance equipment. </w:t>
      </w:r>
    </w:p>
    <w:p w14:paraId="1C87629A" w14:textId="77777777" w:rsidR="00071D7F" w:rsidRPr="00071D7F" w:rsidRDefault="00071D7F" w:rsidP="00C64851">
      <w:pPr>
        <w:pStyle w:val="BodyText"/>
        <w:numPr>
          <w:ilvl w:val="0"/>
          <w:numId w:val="786"/>
        </w:numPr>
      </w:pPr>
      <w:r w:rsidRPr="00071D7F">
        <w:rPr>
          <w:b/>
          <w:bCs/>
        </w:rPr>
        <w:lastRenderedPageBreak/>
        <w:t xml:space="preserve">Contracted Security Personnel - </w:t>
      </w:r>
      <w:r w:rsidRPr="00071D7F">
        <w:t>Manages the security guard contract and provides oversight of security contracted personnel for TWC’s Capitol Complex buildings. </w:t>
      </w:r>
    </w:p>
    <w:p w14:paraId="10DE6BEA" w14:textId="77777777" w:rsidR="00071D7F" w:rsidRPr="00071D7F" w:rsidRDefault="00071D7F" w:rsidP="00C64851">
      <w:pPr>
        <w:pStyle w:val="BodyText"/>
        <w:numPr>
          <w:ilvl w:val="0"/>
          <w:numId w:val="786"/>
        </w:numPr>
      </w:pPr>
      <w:r w:rsidRPr="00071D7F">
        <w:rPr>
          <w:b/>
          <w:bCs/>
        </w:rPr>
        <w:t xml:space="preserve">Physical Security Threats - </w:t>
      </w:r>
      <w:r w:rsidRPr="00071D7F">
        <w:t xml:space="preserve">Works with the Office of General Counsel, Department of Public Safety, and local law enforcement. Distributes Be </w:t>
      </w:r>
      <w:proofErr w:type="gramStart"/>
      <w:r w:rsidRPr="00071D7F">
        <w:t>On</w:t>
      </w:r>
      <w:proofErr w:type="gramEnd"/>
      <w:r w:rsidRPr="00071D7F">
        <w:t xml:space="preserve"> the Look Out (BOLO) bulletins regarding individuals who are prohibited from entering a TWC building.  </w:t>
      </w:r>
    </w:p>
    <w:p w14:paraId="5C71AF5D" w14:textId="77777777" w:rsidR="00071D7F" w:rsidRPr="00071D7F" w:rsidRDefault="00071D7F" w:rsidP="009C0675">
      <w:pPr>
        <w:pStyle w:val="BodyText3"/>
        <w:ind w:left="720" w:hanging="720"/>
      </w:pPr>
      <w:r w:rsidRPr="00071D7F">
        <w:t>C.</w:t>
      </w:r>
      <w:r w:rsidRPr="00071D7F">
        <w:tab/>
        <w:t xml:space="preserve">What information does the agency collect/use to access the effectiveness and efficiency of this division or program? If applicable, briefly note any LBB performance measures (from Section II, </w:t>
      </w:r>
      <w:proofErr w:type="gramStart"/>
      <w:r w:rsidRPr="00071D7F">
        <w:t>Exhibit</w:t>
      </w:r>
      <w:proofErr w:type="gramEnd"/>
      <w:r w:rsidRPr="00071D7F">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028A1388" w14:textId="28D91A3F" w:rsidR="00071D7F" w:rsidRPr="00071D7F" w:rsidRDefault="00071D7F" w:rsidP="009C0675">
      <w:pPr>
        <w:pStyle w:val="BodyText"/>
      </w:pPr>
      <w:r w:rsidRPr="00071D7F">
        <w:t>The RSM department does not currently track any formal Legislative Budget Board (LBB) performance measures. RSM monitors a variety of internal metrics to evaluate the effectiveness and efficiency of agency operations. RSM identified internal metrics based on operational needs, historical trends, and compliance obligations. For example, incident reporting and employee injury tracking are essential to maintaining a safe work environment and meeting agency risk management expectations. COOP compliance is monitored to ensure that all divisions remain prepared for emergencies or disruptions, as required by agency-wide emergency management standards. Additionally, badge and key issuance is tracked due to the importance of physical security and access control.  </w:t>
      </w:r>
    </w:p>
    <w:p w14:paraId="7D27616A" w14:textId="77777777" w:rsidR="00071D7F" w:rsidRPr="00071D7F" w:rsidRDefault="00071D7F" w:rsidP="009C0675">
      <w:pPr>
        <w:pStyle w:val="BodyText"/>
      </w:pPr>
      <w:r w:rsidRPr="00071D7F">
        <w:t>Specifically, RSM tracks: </w:t>
      </w:r>
    </w:p>
    <w:p w14:paraId="6AD1277E" w14:textId="77777777" w:rsidR="00071D7F" w:rsidRPr="00071D7F" w:rsidRDefault="00071D7F" w:rsidP="00C64851">
      <w:pPr>
        <w:pStyle w:val="BodyText"/>
        <w:numPr>
          <w:ilvl w:val="0"/>
          <w:numId w:val="787"/>
        </w:numPr>
      </w:pPr>
      <w:r w:rsidRPr="00071D7F">
        <w:t>Incident Reports – to monitor safety-related trends and improve workplace response protocols. </w:t>
      </w:r>
    </w:p>
    <w:p w14:paraId="74E4F166" w14:textId="77777777" w:rsidR="00071D7F" w:rsidRPr="00071D7F" w:rsidRDefault="00071D7F" w:rsidP="00C64851">
      <w:pPr>
        <w:pStyle w:val="BodyText"/>
        <w:numPr>
          <w:ilvl w:val="0"/>
          <w:numId w:val="787"/>
        </w:numPr>
      </w:pPr>
      <w:r w:rsidRPr="00071D7F">
        <w:t>Employee Injuries – to assess the effectiveness of safety training and identify areas for improvement. </w:t>
      </w:r>
    </w:p>
    <w:p w14:paraId="0E0DD42A" w14:textId="77777777" w:rsidR="00071D7F" w:rsidRPr="00071D7F" w:rsidRDefault="00071D7F" w:rsidP="00C64851">
      <w:pPr>
        <w:pStyle w:val="BodyText"/>
        <w:numPr>
          <w:ilvl w:val="0"/>
          <w:numId w:val="787"/>
        </w:numPr>
      </w:pPr>
      <w:r w:rsidRPr="00071D7F">
        <w:t>COOP (Continuity of Operations Plan) Compliance – to ensure each division has updated plans in place in the event of an emergency or disruption.  </w:t>
      </w:r>
    </w:p>
    <w:p w14:paraId="4390F758" w14:textId="77777777" w:rsidR="00071D7F" w:rsidRPr="00071D7F" w:rsidRDefault="00071D7F" w:rsidP="00C64851">
      <w:pPr>
        <w:pStyle w:val="BodyText"/>
        <w:numPr>
          <w:ilvl w:val="0"/>
          <w:numId w:val="787"/>
        </w:numPr>
      </w:pPr>
      <w:r w:rsidRPr="00071D7F">
        <w:t>Badge and Key Issuance – to manage physical security and access control across our facilities. </w:t>
      </w:r>
    </w:p>
    <w:p w14:paraId="2B6DCBA1" w14:textId="77777777" w:rsidR="00071D7F" w:rsidRPr="00071D7F" w:rsidRDefault="00071D7F" w:rsidP="00C64851">
      <w:pPr>
        <w:pStyle w:val="BodyText"/>
        <w:numPr>
          <w:ilvl w:val="0"/>
          <w:numId w:val="787"/>
        </w:numPr>
      </w:pPr>
      <w:r w:rsidRPr="00071D7F">
        <w:t>Supervisor’s Safety and Health Orientation Checklist for New/Transferred Employees (SA-1 Forms) – to ensure employees receive safety training. </w:t>
      </w:r>
    </w:p>
    <w:p w14:paraId="2E299F1B" w14:textId="77777777" w:rsidR="00071D7F" w:rsidRPr="00071D7F" w:rsidRDefault="00071D7F" w:rsidP="00C64851">
      <w:pPr>
        <w:pStyle w:val="BodyText"/>
        <w:numPr>
          <w:ilvl w:val="0"/>
          <w:numId w:val="787"/>
        </w:numPr>
      </w:pPr>
      <w:r w:rsidRPr="00071D7F">
        <w:t>On-site inspections – to ensure TWC facilities meet safety, security and regulatory expectations. </w:t>
      </w:r>
    </w:p>
    <w:p w14:paraId="0DC98A74" w14:textId="77777777" w:rsidR="00071D7F" w:rsidRPr="00071D7F" w:rsidRDefault="00071D7F" w:rsidP="00C64851">
      <w:pPr>
        <w:pStyle w:val="BodyText"/>
        <w:numPr>
          <w:ilvl w:val="0"/>
          <w:numId w:val="787"/>
        </w:numPr>
      </w:pPr>
      <w:r w:rsidRPr="00071D7F">
        <w:lastRenderedPageBreak/>
        <w:t>Emergency Alert Testing – to promote preparedness and track staff response rates to agency –wide TWC notifications.  </w:t>
      </w:r>
    </w:p>
    <w:p w14:paraId="03ADD347" w14:textId="77777777" w:rsidR="00071D7F" w:rsidRPr="00071D7F" w:rsidRDefault="00071D7F" w:rsidP="00071B99">
      <w:pPr>
        <w:pStyle w:val="BodyText"/>
      </w:pPr>
      <w:r w:rsidRPr="00071D7F">
        <w:t>These metrics are gathered through internal reporting systems and spreadsheets maintained by program staff. Data is reviewed regularly to identify patterns, support risk mitigation efforts, and ensure compliance with internal policies and procedures. While these are not LBB-assigned measures, they are essential to maintaining the safety, security, and operational readiness of our agency. </w:t>
      </w:r>
    </w:p>
    <w:p w14:paraId="0D5EBE85" w14:textId="77777777" w:rsidR="00071D7F" w:rsidRPr="00071D7F" w:rsidRDefault="00071D7F" w:rsidP="00071B99">
      <w:pPr>
        <w:pStyle w:val="BodyText"/>
      </w:pPr>
      <w:r w:rsidRPr="00071D7F">
        <w:t>The following performance measures show the effectiveness of RSM’s efforts. </w:t>
      </w:r>
    </w:p>
    <w:p w14:paraId="06BFAB64" w14:textId="0BBBE7E0" w:rsidR="00071D7F" w:rsidRPr="00071D7F" w:rsidRDefault="00071D7F" w:rsidP="00071B99">
      <w:pPr>
        <w:pStyle w:val="BodyText"/>
      </w:pPr>
      <w:r w:rsidRPr="00071D7F">
        <w:rPr>
          <w:b/>
          <w:bCs/>
        </w:rPr>
        <w:t xml:space="preserve">Injury Frequency Rate:  </w:t>
      </w:r>
      <w:r w:rsidRPr="00071D7F">
        <w:t>RSM’s goal</w:t>
      </w:r>
      <w:r w:rsidRPr="00071D7F">
        <w:rPr>
          <w:b/>
          <w:bCs/>
        </w:rPr>
        <w:t xml:space="preserve"> </w:t>
      </w:r>
      <w:r w:rsidRPr="00071D7F">
        <w:t>is to maintain an agency-wide and division-level Injury Frequency Rate (IFR) - defined as the number of employee injuries per 100 employees, at or below 1.5. This is achieved by promoting consistent compliance with the TWC Health and Safety Plan, reinforcing a culture of safety, and supporting proactive measures that prevent workplace injuries. As illustrated in the chart below, the agency’s IFR has remained well below the 1.5 threshold, with a high of 0.59 in March FY 2024 and a steady decline through March FY 2025.</w:t>
      </w:r>
    </w:p>
    <w:p w14:paraId="021EE237" w14:textId="2338822A" w:rsidR="00071D7F" w:rsidRPr="00071D7F" w:rsidRDefault="00071D7F" w:rsidP="00071D7F">
      <w:r w:rsidRPr="00071D7F">
        <w:t xml:space="preserve">   </w:t>
      </w:r>
      <w:r w:rsidRPr="00071D7F">
        <w:rPr>
          <w:noProof/>
        </w:rPr>
        <w:drawing>
          <wp:inline distT="0" distB="0" distL="0" distR="0" wp14:anchorId="465F3FDC" wp14:editId="087E290B">
            <wp:extent cx="4152900" cy="2971800"/>
            <wp:effectExtent l="0" t="0" r="0" b="0"/>
            <wp:docPr id="684915740" name="Picture 38" descr="chart showing injury frequency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15740" name="Picture 38" descr="chart showing injury frequency rat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52900" cy="2971800"/>
                    </a:xfrm>
                    <a:prstGeom prst="rect">
                      <a:avLst/>
                    </a:prstGeom>
                    <a:noFill/>
                    <a:ln>
                      <a:noFill/>
                    </a:ln>
                  </pic:spPr>
                </pic:pic>
              </a:graphicData>
            </a:graphic>
          </wp:inline>
        </w:drawing>
      </w:r>
      <w:r w:rsidRPr="00071D7F">
        <w:t> </w:t>
      </w:r>
    </w:p>
    <w:p w14:paraId="75D90502" w14:textId="1311BDE5" w:rsidR="00071D7F" w:rsidRPr="00071D7F" w:rsidRDefault="00071D7F" w:rsidP="00071B99">
      <w:pPr>
        <w:pStyle w:val="BodyText"/>
      </w:pPr>
      <w:r w:rsidRPr="00071D7F">
        <w:rPr>
          <w:b/>
          <w:bCs/>
        </w:rPr>
        <w:t>Continuity of Operations</w:t>
      </w:r>
      <w:r w:rsidRPr="00071D7F">
        <w:t>:</w:t>
      </w:r>
      <w:r w:rsidRPr="00071D7F">
        <w:rPr>
          <w:rFonts w:cs="Arial"/>
        </w:rPr>
        <w:t> </w:t>
      </w:r>
      <w:r w:rsidRPr="00071D7F">
        <w:t>In FY 2022, RSM revamped the agency COOP program and established a COOP plan development and review cycle for divisions and departments. RSM's goal was to achieve 100 percent completion of department COOPs by the end of FY 2022 Q1 and the agency-wide COOP plan by the end of FY</w:t>
      </w:r>
      <w:r w:rsidR="008B26F1">
        <w:t xml:space="preserve"> 20</w:t>
      </w:r>
      <w:r w:rsidRPr="00071D7F">
        <w:t>22 Q2. All divisions completed COOP plans in FY 2022. The agency-wide COOP Plan was reviewed and updated in FY 2022 and then finalized and submitted to SORM in FY 2023 Q1.</w:t>
      </w:r>
      <w:r w:rsidRPr="00071D7F">
        <w:rPr>
          <w:rFonts w:ascii="Aptos" w:hAnsi="Aptos" w:cs="Aptos"/>
        </w:rPr>
        <w:t> </w:t>
      </w:r>
      <w:r w:rsidRPr="00071D7F">
        <w:t xml:space="preserve"> TWC Divisions review their plans annually. </w:t>
      </w:r>
    </w:p>
    <w:p w14:paraId="21A2244D" w14:textId="1EB1E1D5" w:rsidR="00071D7F" w:rsidRPr="008B26F1" w:rsidRDefault="00071D7F" w:rsidP="008B26F1">
      <w:pPr>
        <w:pStyle w:val="BodyText"/>
      </w:pPr>
      <w:r w:rsidRPr="008B26F1">
        <w:rPr>
          <w:b/>
          <w:bCs/>
        </w:rPr>
        <w:lastRenderedPageBreak/>
        <w:t>Onsite Inspections:</w:t>
      </w:r>
      <w:r w:rsidRPr="008B26F1">
        <w:t>  RSM has a goal to inspect 25 percent of TWC agency-owned buildings (AOBs) annually. RSM has met or exceeded that goal each year. Fewer inspections have been conducted since FY 2024 because of facility integration efforts and the sale of multiple AOBs.   These inspections have enabled us to identify and correct facility deficiencies early, helping ensure our buildings meet safety and regulatory expectations. For example, we discovered fire extinguishers that had not been inspected and Automated External Defibrillators (AEDs) with expired batteries, allowing us to resolve these issues before they posed a risk. This proactive approach also helps us stay ahead of potential findings during State Fire Marshal inspections. The following visual reflects the number of on-site inspections conducted each quarter since FY 2021. While the number of inspections fluctuates, RSM has consistently met or exceeded the goal of inspecting 25 percent of agency facilities annually.</w:t>
      </w:r>
    </w:p>
    <w:p w14:paraId="64577137" w14:textId="5386B66E" w:rsidR="00071D7F" w:rsidRPr="00071D7F" w:rsidRDefault="00071D7F" w:rsidP="00071D7F">
      <w:r w:rsidRPr="00071D7F">
        <w:rPr>
          <w:noProof/>
        </w:rPr>
        <w:drawing>
          <wp:inline distT="0" distB="0" distL="0" distR="0" wp14:anchorId="4F21A3FA" wp14:editId="2552E4AD">
            <wp:extent cx="4251960" cy="1562100"/>
            <wp:effectExtent l="0" t="0" r="0" b="0"/>
            <wp:docPr id="830415271" name="Picture 37" descr="chart showing facility inspections conducted for fiscal years 2021 t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15271" name="Picture 37" descr="chart showing facility inspections conducted for fiscal years 2021 to 20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251960" cy="1562100"/>
                    </a:xfrm>
                    <a:prstGeom prst="rect">
                      <a:avLst/>
                    </a:prstGeom>
                    <a:noFill/>
                    <a:ln>
                      <a:noFill/>
                    </a:ln>
                  </pic:spPr>
                </pic:pic>
              </a:graphicData>
            </a:graphic>
          </wp:inline>
        </w:drawing>
      </w:r>
      <w:r w:rsidRPr="00071D7F">
        <w:t> </w:t>
      </w:r>
    </w:p>
    <w:p w14:paraId="099F439E" w14:textId="77777777" w:rsidR="00071D7F" w:rsidRPr="00071D7F" w:rsidRDefault="00071D7F" w:rsidP="00697321">
      <w:pPr>
        <w:pStyle w:val="BodyText"/>
      </w:pPr>
      <w:r w:rsidRPr="00071D7F">
        <w:rPr>
          <w:b/>
          <w:bCs/>
        </w:rPr>
        <w:t>TWC Alerts (Emergency Notifications):</w:t>
      </w:r>
      <w:r w:rsidRPr="00071D7F">
        <w:rPr>
          <w:rFonts w:cs="Arial"/>
          <w:b/>
          <w:bCs/>
        </w:rPr>
        <w:t> </w:t>
      </w:r>
      <w:r w:rsidRPr="00071D7F">
        <w:t xml:space="preserve"> To increase awareness of emergency preparedness in FY 2024, RSM promoted the importance of agency employees responding to emergency notifications (TWC Alerts).  As a result, RSM achieved a 75 percent agency-wide participation rate by year's end, as outlined in the chart below. To support this effort, RSM provided additional guidance and training that emphasized the importance of timely responses to alerts and encouraged employees to include alternate communication methods in their contact information. </w:t>
      </w:r>
    </w:p>
    <w:p w14:paraId="3DF1C8CF" w14:textId="3FEBDAF7" w:rsidR="00071D7F" w:rsidRPr="00071D7F" w:rsidRDefault="00071D7F" w:rsidP="00697321">
      <w:pPr>
        <w:pStyle w:val="BodyText"/>
      </w:pPr>
      <w:r w:rsidRPr="00071D7F">
        <w:t> </w:t>
      </w:r>
      <w:r w:rsidRPr="00071D7F">
        <w:rPr>
          <w:noProof/>
        </w:rPr>
        <w:drawing>
          <wp:inline distT="0" distB="0" distL="0" distR="0" wp14:anchorId="589C8B7B" wp14:editId="155EC5E4">
            <wp:extent cx="5943600" cy="2122805"/>
            <wp:effectExtent l="0" t="0" r="0" b="0"/>
            <wp:docPr id="619871370" name="Picture 36" descr="chart for quarterly alert testing for fiscal yea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71370" name="Picture 36" descr="chart for quarterly alert testing for fiscal year 202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43600" cy="2122805"/>
                    </a:xfrm>
                    <a:prstGeom prst="rect">
                      <a:avLst/>
                    </a:prstGeom>
                    <a:noFill/>
                    <a:ln>
                      <a:noFill/>
                    </a:ln>
                  </pic:spPr>
                </pic:pic>
              </a:graphicData>
            </a:graphic>
          </wp:inline>
        </w:drawing>
      </w:r>
      <w:r w:rsidRPr="00071D7F">
        <w:t> </w:t>
      </w:r>
    </w:p>
    <w:p w14:paraId="7FB180D1" w14:textId="77777777" w:rsidR="00071D7F" w:rsidRPr="00071D7F" w:rsidRDefault="00071D7F" w:rsidP="00697321">
      <w:pPr>
        <w:pStyle w:val="BodyText3"/>
      </w:pPr>
      <w:r w:rsidRPr="00071D7F">
        <w:lastRenderedPageBreak/>
        <w:t>D.</w:t>
      </w:r>
      <w:r w:rsidRPr="00071D7F">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57A7C70A" w14:textId="77777777" w:rsidR="00071D7F" w:rsidRPr="00071D7F" w:rsidRDefault="00071D7F" w:rsidP="006C2992">
      <w:pPr>
        <w:pStyle w:val="BodyText3"/>
      </w:pPr>
      <w:r w:rsidRPr="00071D7F">
        <w:t>Security Badges and Access Control </w:t>
      </w:r>
    </w:p>
    <w:p w14:paraId="5A8BA0E0" w14:textId="77777777" w:rsidR="00071D7F" w:rsidRPr="00071D7F" w:rsidRDefault="00071D7F" w:rsidP="006C2992">
      <w:pPr>
        <w:pStyle w:val="BodyText"/>
      </w:pPr>
      <w:r w:rsidRPr="00071D7F">
        <w:t>In 2017, TWC improved its access control process for managing building security by enhancing how agency badges are issued and tracked within the Capitol Complex. Initially badges for buildings within the Capitol Complex were processed through the Department of Public Safety (DPS). However, RSM transitioned to managing badge operations in-house. RSM now fully develops, activates, and deactivates badges internally, giving the agency greater control and flexibility over access management. In the summer of 2023, TWC further strengthened its access control system by integrating the agency’s electronic personnel directory with our access control system. This integration allows badges to be automatically deactivated within 24 hours of an access removal date, significantly improving both security and efficiency.  </w:t>
      </w:r>
    </w:p>
    <w:p w14:paraId="39A78DD6" w14:textId="77777777" w:rsidR="00071D7F" w:rsidRPr="00071D7F" w:rsidRDefault="00071D7F" w:rsidP="006C2992">
      <w:pPr>
        <w:pStyle w:val="BodyText3"/>
      </w:pPr>
      <w:r w:rsidRPr="00071D7F">
        <w:t>Incident Response &amp; Reporting </w:t>
      </w:r>
    </w:p>
    <w:p w14:paraId="6BF92A20" w14:textId="77777777" w:rsidR="00071D7F" w:rsidRPr="00071D7F" w:rsidRDefault="00071D7F" w:rsidP="006C2992">
      <w:pPr>
        <w:pStyle w:val="BodyText"/>
      </w:pPr>
      <w:r w:rsidRPr="00071D7F">
        <w:t>In 2020, RSM revamped the incident reporting and tracking system, transitioning to an online ticketing system that enhanced both reporting and tracking capabilities. This new system simplifies and expedites incident reporting for employees.  The shift to the online ticketing system has improved response time, increased visibility into incident trends, enabled more effective resource allocation to mitigate risks, and supported continuous improvement efforts. </w:t>
      </w:r>
    </w:p>
    <w:p w14:paraId="50D1F03B" w14:textId="77777777" w:rsidR="00071D7F" w:rsidRPr="00071D7F" w:rsidRDefault="00071D7F" w:rsidP="006C2992">
      <w:pPr>
        <w:pStyle w:val="BodyText3"/>
      </w:pPr>
      <w:r w:rsidRPr="00071D7F">
        <w:t>COOP Planning </w:t>
      </w:r>
    </w:p>
    <w:p w14:paraId="20F9E2C6" w14:textId="77777777" w:rsidR="00071D7F" w:rsidRPr="00071D7F" w:rsidRDefault="00071D7F" w:rsidP="006C2992">
      <w:pPr>
        <w:pStyle w:val="BodyText"/>
      </w:pPr>
      <w:r w:rsidRPr="00071D7F">
        <w:t>In 2021, the Continuity of Operations program expanded its planning efforts beyond maintaining the agency-wide COOP Plan to include the training, development, and review of division and department COOP Plans. This enhancement strengthened the agency’s capability in responding to continuity events and increased awareness and responsibility among agency staff and leadership.  </w:t>
      </w:r>
    </w:p>
    <w:p w14:paraId="2D7D8984" w14:textId="0F9E5D28" w:rsidR="00071D7F" w:rsidRPr="00071D7F" w:rsidRDefault="00071D7F" w:rsidP="006C2992">
      <w:pPr>
        <w:pStyle w:val="BodyText3"/>
        <w:ind w:left="720" w:hanging="720"/>
      </w:pPr>
      <w:r w:rsidRPr="00071D7F">
        <w:t>E.</w:t>
      </w:r>
      <w:r w:rsidRPr="00071D7F">
        <w:tab/>
        <w:t>List any qualifications or eligibility requirements for persons or entities affected by this division or program (e.g., licensees, consumers, and landowners). Provide a statistical breakdown of persons or entities affected. </w:t>
      </w:r>
    </w:p>
    <w:p w14:paraId="441160A6" w14:textId="77777777" w:rsidR="00071D7F" w:rsidRPr="00071D7F" w:rsidRDefault="00071D7F" w:rsidP="006C2992">
      <w:pPr>
        <w:pStyle w:val="BodyText"/>
      </w:pPr>
      <w:r w:rsidRPr="00071D7F">
        <w:t>N/A </w:t>
      </w:r>
    </w:p>
    <w:p w14:paraId="69B59605" w14:textId="1E452F6F" w:rsidR="00071D7F" w:rsidRPr="00071D7F" w:rsidRDefault="00071D7F" w:rsidP="006C2992">
      <w:pPr>
        <w:pStyle w:val="BodyText3"/>
        <w:ind w:left="720" w:hanging="720"/>
      </w:pPr>
      <w:r w:rsidRPr="00071D7F">
        <w:t>F.</w:t>
      </w:r>
      <w:r w:rsidRPr="00071D7F">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w:t>
      </w:r>
    </w:p>
    <w:p w14:paraId="76493639" w14:textId="77777777" w:rsidR="00071D7F" w:rsidRPr="00071D7F" w:rsidRDefault="00071D7F" w:rsidP="006C2992">
      <w:pPr>
        <w:pStyle w:val="BodyText3"/>
      </w:pPr>
      <w:r w:rsidRPr="00071D7F">
        <w:lastRenderedPageBreak/>
        <w:t>Agency COOP Plan Review </w:t>
      </w:r>
    </w:p>
    <w:p w14:paraId="71B224EF" w14:textId="77777777" w:rsidR="00071D7F" w:rsidRPr="00071D7F" w:rsidRDefault="00071D7F" w:rsidP="004905E7">
      <w:pPr>
        <w:pStyle w:val="BodyText"/>
      </w:pPr>
      <w:r w:rsidRPr="00071D7F">
        <w:t>The COOP/Emergency Management (EM) Coordinator (Risk Management Specialist) reviews the agency COOP Plan 60 days before submitting it to SORM. The COOP Coordinator works with division COOP Liaisons to update each section as needed. After incorporating final revisions, the COOP Coordinator submits the plan to the RSM Director for review and then to the Business Operations Division Director for approval. A finalized copy of the COOP plan is posted on the department SharePoint site, allowing employees to access it for reference. The COOP Coordinator will then submit the COOP plan to SORM for review. </w:t>
      </w:r>
    </w:p>
    <w:p w14:paraId="5A3FEB52" w14:textId="77777777" w:rsidR="00071D7F" w:rsidRPr="00071D7F" w:rsidRDefault="00071D7F" w:rsidP="004905E7">
      <w:pPr>
        <w:pStyle w:val="BodyText3"/>
      </w:pPr>
      <w:r w:rsidRPr="00071D7F">
        <w:t>Additional Duty Safety Officers Program </w:t>
      </w:r>
    </w:p>
    <w:p w14:paraId="6133846D" w14:textId="77777777" w:rsidR="00071D7F" w:rsidRPr="00071D7F" w:rsidRDefault="00071D7F" w:rsidP="004905E7">
      <w:pPr>
        <w:pStyle w:val="BodyText"/>
      </w:pPr>
      <w:r w:rsidRPr="00071D7F">
        <w:t>RSM utilizes Additional Duty Safety Officers (ADSOs) throughout the agency to enhance its ability to create a safe and secure work environment. The agency Safety Officers identify and maintain the ADSO contact list and provide safety training to help carry out their responsibilities. ADSOs help RSM implement the Occupational Safety &amp; Health Plan by conducting safety inspections and investigations, providing safety training and resources to employees, and promoting a culture of awareness across the agency. </w:t>
      </w:r>
    </w:p>
    <w:p w14:paraId="106C290F" w14:textId="77777777" w:rsidR="00071D7F" w:rsidRPr="00071D7F" w:rsidRDefault="00071D7F" w:rsidP="004905E7">
      <w:pPr>
        <w:pStyle w:val="BodyText3"/>
      </w:pPr>
      <w:r w:rsidRPr="00071D7F">
        <w:t>Agency Insurance Program </w:t>
      </w:r>
    </w:p>
    <w:p w14:paraId="206FE7AA" w14:textId="77777777" w:rsidR="00071D7F" w:rsidRPr="00071D7F" w:rsidRDefault="00071D7F" w:rsidP="004905E7">
      <w:pPr>
        <w:pStyle w:val="BodyText"/>
      </w:pPr>
      <w:r w:rsidRPr="00071D7F">
        <w:t>The Agency Insurance Program is administered by a Risk Insurance Specialist who serves as SORM’s insurance liaison. RSM collaborates with key staff in the Business Operations, Finance, Office of General Counsel, and Vocational Rehabilitation divisions to provide insurance services and resources.  See the RSM Insurance Process &amp; Procedures Flow Chart for more details on RSM’s process and procedures. </w:t>
      </w:r>
    </w:p>
    <w:p w14:paraId="0017159E" w14:textId="77777777" w:rsidR="00071D7F" w:rsidRPr="004905E7" w:rsidRDefault="00071D7F" w:rsidP="004905E7">
      <w:pPr>
        <w:pStyle w:val="BodyText"/>
        <w:rPr>
          <w:b/>
          <w:bCs/>
        </w:rPr>
      </w:pPr>
      <w:r w:rsidRPr="004905E7">
        <w:rPr>
          <w:b/>
          <w:bCs/>
        </w:rPr>
        <w:t>Onsite Risk Inspections </w:t>
      </w:r>
    </w:p>
    <w:p w14:paraId="10A4EC00" w14:textId="77777777" w:rsidR="00071D7F" w:rsidRPr="00071D7F" w:rsidRDefault="00071D7F" w:rsidP="004905E7">
      <w:pPr>
        <w:pStyle w:val="BodyText"/>
      </w:pPr>
      <w:r w:rsidRPr="00071D7F">
        <w:t>This program is administered by nine Risk Management Specialists who travel across the state to carry out inspection duties. RSM works with TWC Divisions and a designated point of contact to initiate the inspection process and report inspection results. RSM develops a yearly schedule of approximately 25 percent of agency-owned offices, including Vocational Rehabilitation and Unemployment Insurance field offices. See the RSM Onsite Risk Inspection Flow Chart for specific details on the process.  </w:t>
      </w:r>
    </w:p>
    <w:p w14:paraId="21FE65D0" w14:textId="77777777" w:rsidR="00071D7F" w:rsidRPr="004905E7" w:rsidRDefault="00071D7F" w:rsidP="004905E7">
      <w:pPr>
        <w:pStyle w:val="BodyText"/>
        <w:rPr>
          <w:b/>
          <w:bCs/>
        </w:rPr>
      </w:pPr>
      <w:r w:rsidRPr="004905E7">
        <w:rPr>
          <w:b/>
          <w:bCs/>
        </w:rPr>
        <w:t>TWC Alerts (Emergency Mass Notifications) </w:t>
      </w:r>
    </w:p>
    <w:p w14:paraId="3794AB55" w14:textId="77777777" w:rsidR="00071D7F" w:rsidRPr="00071D7F" w:rsidRDefault="00071D7F" w:rsidP="004905E7">
      <w:pPr>
        <w:pStyle w:val="BodyText"/>
      </w:pPr>
      <w:r w:rsidRPr="00071D7F">
        <w:t>The TWC Alerts program is administered by the COOP/EM Coordinator and Risk Emergency Management Specialist within RSM, using a third-party platform, Everbridge. RSM creates and maintains employee profiles by working with Human Resources RSM provides training and instructions to update profiles to employees. Each quarter, RSM conducts an emergency alert to all employees, and the results are shared with executive management. </w:t>
      </w:r>
    </w:p>
    <w:p w14:paraId="5D7DAA2D" w14:textId="77777777" w:rsidR="00071D7F" w:rsidRPr="004905E7" w:rsidRDefault="00071D7F" w:rsidP="004905E7">
      <w:pPr>
        <w:pStyle w:val="BodyText"/>
        <w:rPr>
          <w:b/>
          <w:bCs/>
        </w:rPr>
      </w:pPr>
      <w:r w:rsidRPr="004905E7">
        <w:rPr>
          <w:b/>
          <w:bCs/>
        </w:rPr>
        <w:lastRenderedPageBreak/>
        <w:t>Safe Driver Program  </w:t>
      </w:r>
    </w:p>
    <w:p w14:paraId="38F6796F" w14:textId="77777777" w:rsidR="00071D7F" w:rsidRPr="00071D7F" w:rsidRDefault="00071D7F" w:rsidP="004905E7">
      <w:pPr>
        <w:pStyle w:val="BodyText"/>
      </w:pPr>
      <w:r w:rsidRPr="00071D7F">
        <w:t>The Safe Driver Program is administered by two Risk Management Specialists (Safety Officers) who work closely with the agency Fleet Manager to incorporate appropriate safety procedures into vehicle operations. RSM Safety Officers also conduct and track initial safe driver training upon hire and every two years thereafter. Annually, the Safety Officers also verify and ensure fleet drivers submit proper acknowledgement of Safe Driver Program guidelines. Management is responsible for ensuring drivers understand and comply with the Safe Driver Program. Human Resources conducts driver record checks and refers them to the Office of General Counsel for personnel action. </w:t>
      </w:r>
    </w:p>
    <w:p w14:paraId="4A5948F8" w14:textId="77777777" w:rsidR="00071D7F" w:rsidRPr="00071D7F" w:rsidRDefault="00071D7F" w:rsidP="004905E7">
      <w:pPr>
        <w:pStyle w:val="BodyText"/>
      </w:pPr>
      <w:r w:rsidRPr="00071D7F">
        <w:t>Automobile accidents involving an agency employee are investigated by the Safety Officers and report findings to the RSM insurance team for reporting to the State Office of Risk Management and potential insurance claims requests. </w:t>
      </w:r>
    </w:p>
    <w:p w14:paraId="69BC10C1" w14:textId="77777777" w:rsidR="00071D7F" w:rsidRPr="004905E7" w:rsidRDefault="00071D7F" w:rsidP="004905E7">
      <w:pPr>
        <w:pStyle w:val="BodyText"/>
        <w:rPr>
          <w:b/>
          <w:bCs/>
        </w:rPr>
      </w:pPr>
      <w:r w:rsidRPr="004905E7">
        <w:rPr>
          <w:b/>
          <w:bCs/>
        </w:rPr>
        <w:t>Evacuation Training &amp; Drills </w:t>
      </w:r>
    </w:p>
    <w:p w14:paraId="6EDBAF6D" w14:textId="77777777" w:rsidR="00071D7F" w:rsidRPr="00071D7F" w:rsidRDefault="00071D7F" w:rsidP="004905E7">
      <w:pPr>
        <w:pStyle w:val="BodyText"/>
      </w:pPr>
      <w:r w:rsidRPr="00071D7F">
        <w:t>Evacuation training and drills are conducted annually by RSM Safety Officers and planned. Preparation includes establishing objectives, identifying and training evacuation teams, and coordinating with the local fire departments. During drills, evacuation teams and evaluators (RSM Risk Management Specialists and local fire departments) observe and provide feedback immediately afterward. After each drill, the Safety Officers develop an After-Action Report and present it to executive leadership. RSM then coordinates corrective actions with the appropriate parties and tracks them until resolution.  </w:t>
      </w:r>
    </w:p>
    <w:p w14:paraId="7CE5D757" w14:textId="77777777" w:rsidR="00071D7F" w:rsidRPr="004905E7" w:rsidRDefault="00071D7F" w:rsidP="004905E7">
      <w:pPr>
        <w:pStyle w:val="BodyText"/>
        <w:rPr>
          <w:b/>
          <w:bCs/>
        </w:rPr>
      </w:pPr>
      <w:r w:rsidRPr="004905E7">
        <w:rPr>
          <w:b/>
          <w:bCs/>
        </w:rPr>
        <w:t>Incident Response and Reporting </w:t>
      </w:r>
    </w:p>
    <w:p w14:paraId="1883106E" w14:textId="77777777" w:rsidR="00071D7F" w:rsidRPr="00071D7F" w:rsidRDefault="00071D7F" w:rsidP="004905E7">
      <w:pPr>
        <w:pStyle w:val="BodyText"/>
      </w:pPr>
      <w:r w:rsidRPr="00071D7F">
        <w:t>The Incident Response and Report Program is administered by Risk Management Specialists in the Risk and Compliance program areas. Incident reports are submitted through the agency platform ServiceNow. Reports are then assigned to Risk Management Specialists in Risk, Safety, and Security for assessment, analysis, investigation, and mitigation. For further assessment, the Risk Management Specialists (RMSs) work closely with divisions and departments such as Human Resources, Infrastructure Services, Customer Care, OGC HR Legal, and Vocational Rehabilitation. For further process details, please see the RSM Incident Response and Reporting Flow Chart.  </w:t>
      </w:r>
    </w:p>
    <w:p w14:paraId="771A0E1F" w14:textId="77777777" w:rsidR="00071D7F" w:rsidRPr="004905E7" w:rsidRDefault="00071D7F" w:rsidP="004905E7">
      <w:pPr>
        <w:pStyle w:val="BodyText"/>
        <w:rPr>
          <w:b/>
          <w:bCs/>
        </w:rPr>
      </w:pPr>
      <w:r w:rsidRPr="004905E7">
        <w:rPr>
          <w:b/>
          <w:bCs/>
        </w:rPr>
        <w:t>Badges and Keys </w:t>
      </w:r>
    </w:p>
    <w:p w14:paraId="3D9CA403" w14:textId="63DB3548" w:rsidR="00071D7F" w:rsidRPr="00071D7F" w:rsidRDefault="00071D7F" w:rsidP="004905E7">
      <w:pPr>
        <w:pStyle w:val="BodyText"/>
      </w:pPr>
      <w:r w:rsidRPr="00071D7F">
        <w:t xml:space="preserve">RSM is responsible for issuing badges, managing the disposal of returned badges, ensuring security, and monitoring access deactivations. Managers and supervisors must request agency badges for employees through the RSM-140 Badge Application. Badges are deactivated within 24 hours after the access removal date. Keys are requested by management via the agency’s building management system workorders. When a key is requested, RSM facilitates the issuance process. The employee receiving the key must sign an RSM Key Receipt, which will include the key number. This receipt must also be signed by the manager to confirm the key has been issued. All terminated employees’ </w:t>
      </w:r>
      <w:r w:rsidRPr="00071D7F">
        <w:lastRenderedPageBreak/>
        <w:t>managers are required to meet with these employees before termination to review the HR Separation Tool, which includes collecting keys and badges from staff. Keys are audited, with 10 percent of keys being reviewed each quarter. A full key audit is conducted by RSM staff every even numbered year.  The key process is administered by Security Team’s Risk Management Specialists and involves a collaborative effort among the affected division, Office of General Counsel, and Office of Investigations. The chart below outlines the number of facility keys and employee identification badges RSM processed from FY 2022 Q3 to FY 2025 Q2.</w:t>
      </w:r>
    </w:p>
    <w:p w14:paraId="3D4CDE88" w14:textId="1320C438" w:rsidR="00071D7F" w:rsidRPr="00071D7F" w:rsidRDefault="00240C73" w:rsidP="00240C73">
      <w:pPr>
        <w:pStyle w:val="BodyText3"/>
      </w:pPr>
      <w:r>
        <w:t>F</w:t>
      </w:r>
      <w:r w:rsidRPr="00071D7F">
        <w:t xml:space="preserve">acility keys and employee identification badges </w:t>
      </w:r>
      <w:r w:rsidR="00596D1C">
        <w:t>p</w:t>
      </w:r>
      <w:r w:rsidRPr="00071D7F">
        <w:t>rocessed</w:t>
      </w:r>
    </w:p>
    <w:tbl>
      <w:tblPr>
        <w:tblStyle w:val="TableGrid1"/>
        <w:tblW w:w="0" w:type="dxa"/>
        <w:tblCellMar>
          <w:top w:w="58" w:type="dxa"/>
          <w:bottom w:w="58" w:type="dxa"/>
        </w:tblCellMar>
        <w:tblLook w:val="04A0" w:firstRow="1" w:lastRow="0" w:firstColumn="1" w:lastColumn="0" w:noHBand="0" w:noVBand="1"/>
      </w:tblPr>
      <w:tblGrid>
        <w:gridCol w:w="1035"/>
        <w:gridCol w:w="690"/>
        <w:gridCol w:w="690"/>
        <w:gridCol w:w="690"/>
        <w:gridCol w:w="690"/>
        <w:gridCol w:w="690"/>
        <w:gridCol w:w="690"/>
        <w:gridCol w:w="690"/>
        <w:gridCol w:w="690"/>
        <w:gridCol w:w="690"/>
        <w:gridCol w:w="690"/>
        <w:gridCol w:w="690"/>
        <w:gridCol w:w="690"/>
      </w:tblGrid>
      <w:tr w:rsidR="00807D0E" w:rsidRPr="00CB75B9" w14:paraId="1A816DDB" w14:textId="77777777" w:rsidTr="00807D0E">
        <w:trPr>
          <w:trHeight w:val="270"/>
        </w:trPr>
        <w:tc>
          <w:tcPr>
            <w:tcW w:w="1035" w:type="dxa"/>
            <w:shd w:val="clear" w:color="auto" w:fill="B8CCE4" w:themeFill="accent1" w:themeFillTint="66"/>
            <w:vAlign w:val="center"/>
            <w:hideMark/>
          </w:tcPr>
          <w:p w14:paraId="4901E045" w14:textId="5EBF6919" w:rsidR="00071D7F" w:rsidRPr="00CB75B9" w:rsidRDefault="00071D7F" w:rsidP="00807D0E">
            <w:pPr>
              <w:pStyle w:val="TableHeaders"/>
              <w:rPr>
                <w:sz w:val="17"/>
                <w:szCs w:val="17"/>
              </w:rPr>
            </w:pPr>
            <w:r w:rsidRPr="00CB75B9">
              <w:rPr>
                <w:sz w:val="17"/>
                <w:szCs w:val="17"/>
              </w:rPr>
              <w:t>Measure</w:t>
            </w:r>
          </w:p>
        </w:tc>
        <w:tc>
          <w:tcPr>
            <w:tcW w:w="690" w:type="dxa"/>
            <w:shd w:val="clear" w:color="auto" w:fill="B8CCE4" w:themeFill="accent1" w:themeFillTint="66"/>
            <w:vAlign w:val="center"/>
            <w:hideMark/>
          </w:tcPr>
          <w:p w14:paraId="6805A13D" w14:textId="16F8D1A1" w:rsidR="00071D7F" w:rsidRPr="00CB75B9" w:rsidRDefault="00071D7F" w:rsidP="00807D0E">
            <w:pPr>
              <w:pStyle w:val="TableHeaders"/>
              <w:rPr>
                <w:sz w:val="17"/>
                <w:szCs w:val="17"/>
              </w:rPr>
            </w:pPr>
            <w:r w:rsidRPr="00CB75B9">
              <w:rPr>
                <w:sz w:val="17"/>
                <w:szCs w:val="17"/>
              </w:rPr>
              <w:t>FY 2022</w:t>
            </w:r>
            <w:r w:rsidR="00CB75B9" w:rsidRPr="00CB75B9">
              <w:rPr>
                <w:sz w:val="17"/>
                <w:szCs w:val="17"/>
              </w:rPr>
              <w:t xml:space="preserve"> </w:t>
            </w:r>
            <w:r w:rsidRPr="00CB75B9">
              <w:rPr>
                <w:sz w:val="17"/>
                <w:szCs w:val="17"/>
              </w:rPr>
              <w:t>Q3</w:t>
            </w:r>
          </w:p>
        </w:tc>
        <w:tc>
          <w:tcPr>
            <w:tcW w:w="690" w:type="dxa"/>
            <w:shd w:val="clear" w:color="auto" w:fill="B8CCE4" w:themeFill="accent1" w:themeFillTint="66"/>
            <w:vAlign w:val="center"/>
            <w:hideMark/>
          </w:tcPr>
          <w:p w14:paraId="3B0789C3" w14:textId="741CC6D1" w:rsidR="00071D7F" w:rsidRPr="00CB75B9" w:rsidRDefault="00071D7F" w:rsidP="00807D0E">
            <w:pPr>
              <w:pStyle w:val="TableHeaders"/>
              <w:rPr>
                <w:sz w:val="17"/>
                <w:szCs w:val="17"/>
              </w:rPr>
            </w:pPr>
            <w:r w:rsidRPr="00CB75B9">
              <w:rPr>
                <w:sz w:val="17"/>
                <w:szCs w:val="17"/>
              </w:rPr>
              <w:t>FY 2022-Q4</w:t>
            </w:r>
          </w:p>
        </w:tc>
        <w:tc>
          <w:tcPr>
            <w:tcW w:w="690" w:type="dxa"/>
            <w:shd w:val="clear" w:color="auto" w:fill="B8CCE4" w:themeFill="accent1" w:themeFillTint="66"/>
            <w:vAlign w:val="center"/>
            <w:hideMark/>
          </w:tcPr>
          <w:p w14:paraId="2B3CC732" w14:textId="0F042874" w:rsidR="00071D7F" w:rsidRPr="00CB75B9" w:rsidRDefault="00071D7F" w:rsidP="00807D0E">
            <w:pPr>
              <w:pStyle w:val="TableHeaders"/>
              <w:rPr>
                <w:sz w:val="17"/>
                <w:szCs w:val="17"/>
              </w:rPr>
            </w:pPr>
            <w:r w:rsidRPr="00CB75B9">
              <w:rPr>
                <w:sz w:val="17"/>
                <w:szCs w:val="17"/>
              </w:rPr>
              <w:t>FY 2023-Q1</w:t>
            </w:r>
          </w:p>
        </w:tc>
        <w:tc>
          <w:tcPr>
            <w:tcW w:w="690" w:type="dxa"/>
            <w:shd w:val="clear" w:color="auto" w:fill="B8CCE4" w:themeFill="accent1" w:themeFillTint="66"/>
            <w:vAlign w:val="center"/>
            <w:hideMark/>
          </w:tcPr>
          <w:p w14:paraId="55B29C55" w14:textId="2D90AC9A" w:rsidR="00071D7F" w:rsidRPr="00CB75B9" w:rsidRDefault="00071D7F" w:rsidP="00807D0E">
            <w:pPr>
              <w:pStyle w:val="TableHeaders"/>
              <w:rPr>
                <w:sz w:val="17"/>
                <w:szCs w:val="17"/>
              </w:rPr>
            </w:pPr>
            <w:r w:rsidRPr="00CB75B9">
              <w:rPr>
                <w:sz w:val="17"/>
                <w:szCs w:val="17"/>
              </w:rPr>
              <w:t>FY 2023-Q2</w:t>
            </w:r>
          </w:p>
        </w:tc>
        <w:tc>
          <w:tcPr>
            <w:tcW w:w="690" w:type="dxa"/>
            <w:shd w:val="clear" w:color="auto" w:fill="B8CCE4" w:themeFill="accent1" w:themeFillTint="66"/>
            <w:vAlign w:val="center"/>
            <w:hideMark/>
          </w:tcPr>
          <w:p w14:paraId="40245A8C" w14:textId="223A6E35" w:rsidR="00071D7F" w:rsidRPr="00CB75B9" w:rsidRDefault="00071D7F" w:rsidP="00807D0E">
            <w:pPr>
              <w:pStyle w:val="TableHeaders"/>
              <w:rPr>
                <w:sz w:val="17"/>
                <w:szCs w:val="17"/>
              </w:rPr>
            </w:pPr>
            <w:r w:rsidRPr="00CB75B9">
              <w:rPr>
                <w:sz w:val="17"/>
                <w:szCs w:val="17"/>
              </w:rPr>
              <w:t>FY 2023-Q3</w:t>
            </w:r>
          </w:p>
        </w:tc>
        <w:tc>
          <w:tcPr>
            <w:tcW w:w="690" w:type="dxa"/>
            <w:shd w:val="clear" w:color="auto" w:fill="B8CCE4" w:themeFill="accent1" w:themeFillTint="66"/>
            <w:vAlign w:val="center"/>
            <w:hideMark/>
          </w:tcPr>
          <w:p w14:paraId="4DB27564" w14:textId="36A2AE10" w:rsidR="00071D7F" w:rsidRPr="00CB75B9" w:rsidRDefault="00071D7F" w:rsidP="00807D0E">
            <w:pPr>
              <w:pStyle w:val="TableHeaders"/>
              <w:rPr>
                <w:sz w:val="17"/>
                <w:szCs w:val="17"/>
              </w:rPr>
            </w:pPr>
            <w:r w:rsidRPr="00CB75B9">
              <w:rPr>
                <w:sz w:val="17"/>
                <w:szCs w:val="17"/>
              </w:rPr>
              <w:t>FY 2023-Q4</w:t>
            </w:r>
          </w:p>
        </w:tc>
        <w:tc>
          <w:tcPr>
            <w:tcW w:w="690" w:type="dxa"/>
            <w:shd w:val="clear" w:color="auto" w:fill="B8CCE4" w:themeFill="accent1" w:themeFillTint="66"/>
            <w:vAlign w:val="center"/>
            <w:hideMark/>
          </w:tcPr>
          <w:p w14:paraId="524E5093" w14:textId="19FC683E" w:rsidR="00071D7F" w:rsidRPr="00CB75B9" w:rsidRDefault="00071D7F" w:rsidP="00807D0E">
            <w:pPr>
              <w:pStyle w:val="TableHeaders"/>
              <w:rPr>
                <w:sz w:val="17"/>
                <w:szCs w:val="17"/>
              </w:rPr>
            </w:pPr>
            <w:r w:rsidRPr="00CB75B9">
              <w:rPr>
                <w:sz w:val="17"/>
                <w:szCs w:val="17"/>
              </w:rPr>
              <w:t>FY 2024-Q1</w:t>
            </w:r>
          </w:p>
        </w:tc>
        <w:tc>
          <w:tcPr>
            <w:tcW w:w="690" w:type="dxa"/>
            <w:shd w:val="clear" w:color="auto" w:fill="B8CCE4" w:themeFill="accent1" w:themeFillTint="66"/>
            <w:vAlign w:val="center"/>
            <w:hideMark/>
          </w:tcPr>
          <w:p w14:paraId="2175E9AD" w14:textId="0337D07E" w:rsidR="00071D7F" w:rsidRPr="00CB75B9" w:rsidRDefault="00071D7F" w:rsidP="00807D0E">
            <w:pPr>
              <w:pStyle w:val="TableHeaders"/>
              <w:rPr>
                <w:sz w:val="17"/>
                <w:szCs w:val="17"/>
              </w:rPr>
            </w:pPr>
            <w:r w:rsidRPr="00CB75B9">
              <w:rPr>
                <w:sz w:val="17"/>
                <w:szCs w:val="17"/>
              </w:rPr>
              <w:t>FY 2024-Q2</w:t>
            </w:r>
          </w:p>
        </w:tc>
        <w:tc>
          <w:tcPr>
            <w:tcW w:w="690" w:type="dxa"/>
            <w:shd w:val="clear" w:color="auto" w:fill="B8CCE4" w:themeFill="accent1" w:themeFillTint="66"/>
            <w:vAlign w:val="center"/>
            <w:hideMark/>
          </w:tcPr>
          <w:p w14:paraId="43925642" w14:textId="0F462D92" w:rsidR="00071D7F" w:rsidRPr="00CB75B9" w:rsidRDefault="00071D7F" w:rsidP="00807D0E">
            <w:pPr>
              <w:pStyle w:val="TableHeaders"/>
              <w:rPr>
                <w:sz w:val="17"/>
                <w:szCs w:val="17"/>
              </w:rPr>
            </w:pPr>
            <w:r w:rsidRPr="00CB75B9">
              <w:rPr>
                <w:sz w:val="17"/>
                <w:szCs w:val="17"/>
              </w:rPr>
              <w:t>FY 2024-Q3</w:t>
            </w:r>
          </w:p>
        </w:tc>
        <w:tc>
          <w:tcPr>
            <w:tcW w:w="690" w:type="dxa"/>
            <w:shd w:val="clear" w:color="auto" w:fill="B8CCE4" w:themeFill="accent1" w:themeFillTint="66"/>
            <w:vAlign w:val="center"/>
            <w:hideMark/>
          </w:tcPr>
          <w:p w14:paraId="6003F598" w14:textId="124EEB92" w:rsidR="00071D7F" w:rsidRPr="00CB75B9" w:rsidRDefault="00071D7F" w:rsidP="00807D0E">
            <w:pPr>
              <w:pStyle w:val="TableHeaders"/>
              <w:rPr>
                <w:sz w:val="17"/>
                <w:szCs w:val="17"/>
              </w:rPr>
            </w:pPr>
            <w:r w:rsidRPr="00CB75B9">
              <w:rPr>
                <w:sz w:val="17"/>
                <w:szCs w:val="17"/>
              </w:rPr>
              <w:t>FY 2024-Q4</w:t>
            </w:r>
          </w:p>
        </w:tc>
        <w:tc>
          <w:tcPr>
            <w:tcW w:w="690" w:type="dxa"/>
            <w:shd w:val="clear" w:color="auto" w:fill="B8CCE4" w:themeFill="accent1" w:themeFillTint="66"/>
            <w:vAlign w:val="center"/>
            <w:hideMark/>
          </w:tcPr>
          <w:p w14:paraId="12F1BD56" w14:textId="78B00CFD" w:rsidR="00071D7F" w:rsidRPr="00CB75B9" w:rsidRDefault="00071D7F" w:rsidP="00807D0E">
            <w:pPr>
              <w:pStyle w:val="TableHeaders"/>
              <w:rPr>
                <w:sz w:val="17"/>
                <w:szCs w:val="17"/>
              </w:rPr>
            </w:pPr>
            <w:r w:rsidRPr="00CB75B9">
              <w:rPr>
                <w:sz w:val="17"/>
                <w:szCs w:val="17"/>
              </w:rPr>
              <w:t>FY 2025-Q1</w:t>
            </w:r>
          </w:p>
        </w:tc>
        <w:tc>
          <w:tcPr>
            <w:tcW w:w="690" w:type="dxa"/>
            <w:shd w:val="clear" w:color="auto" w:fill="B8CCE4" w:themeFill="accent1" w:themeFillTint="66"/>
            <w:vAlign w:val="center"/>
            <w:hideMark/>
          </w:tcPr>
          <w:p w14:paraId="5EF93C0B" w14:textId="14EF34A8" w:rsidR="00071D7F" w:rsidRPr="00CB75B9" w:rsidRDefault="00071D7F" w:rsidP="00807D0E">
            <w:pPr>
              <w:pStyle w:val="TableHeaders"/>
              <w:rPr>
                <w:sz w:val="17"/>
                <w:szCs w:val="17"/>
              </w:rPr>
            </w:pPr>
            <w:r w:rsidRPr="00CB75B9">
              <w:rPr>
                <w:sz w:val="17"/>
                <w:szCs w:val="17"/>
              </w:rPr>
              <w:t>FY 2025-Q2</w:t>
            </w:r>
          </w:p>
        </w:tc>
      </w:tr>
      <w:tr w:rsidR="00807D0E" w:rsidRPr="00071D7F" w14:paraId="1FC73E57" w14:textId="77777777" w:rsidTr="00807D0E">
        <w:trPr>
          <w:trHeight w:val="270"/>
        </w:trPr>
        <w:tc>
          <w:tcPr>
            <w:tcW w:w="1035" w:type="dxa"/>
            <w:vAlign w:val="center"/>
            <w:hideMark/>
          </w:tcPr>
          <w:p w14:paraId="726027B3" w14:textId="77777777" w:rsidR="00071D7F" w:rsidRPr="00071D7F" w:rsidRDefault="00071D7F" w:rsidP="00807D0E">
            <w:pPr>
              <w:pStyle w:val="TableText"/>
            </w:pPr>
            <w:r w:rsidRPr="00071D7F">
              <w:t># of Keys Handled  </w:t>
            </w:r>
          </w:p>
        </w:tc>
        <w:tc>
          <w:tcPr>
            <w:tcW w:w="690" w:type="dxa"/>
            <w:vAlign w:val="center"/>
            <w:hideMark/>
          </w:tcPr>
          <w:p w14:paraId="6DDFE042" w14:textId="77777777" w:rsidR="00071D7F" w:rsidRPr="00071D7F" w:rsidRDefault="00071D7F" w:rsidP="00807D0E">
            <w:pPr>
              <w:pStyle w:val="TableText"/>
              <w:jc w:val="right"/>
            </w:pPr>
            <w:r w:rsidRPr="00071D7F">
              <w:t>57 </w:t>
            </w:r>
          </w:p>
        </w:tc>
        <w:tc>
          <w:tcPr>
            <w:tcW w:w="690" w:type="dxa"/>
            <w:vAlign w:val="center"/>
            <w:hideMark/>
          </w:tcPr>
          <w:p w14:paraId="40AB22E9" w14:textId="77777777" w:rsidR="00071D7F" w:rsidRPr="00071D7F" w:rsidRDefault="00071D7F" w:rsidP="00807D0E">
            <w:pPr>
              <w:pStyle w:val="TableText"/>
              <w:jc w:val="right"/>
            </w:pPr>
            <w:r w:rsidRPr="00071D7F">
              <w:t>32 </w:t>
            </w:r>
          </w:p>
        </w:tc>
        <w:tc>
          <w:tcPr>
            <w:tcW w:w="690" w:type="dxa"/>
            <w:vAlign w:val="center"/>
            <w:hideMark/>
          </w:tcPr>
          <w:p w14:paraId="006723E2" w14:textId="77777777" w:rsidR="00071D7F" w:rsidRPr="00071D7F" w:rsidRDefault="00071D7F" w:rsidP="00807D0E">
            <w:pPr>
              <w:pStyle w:val="TableText"/>
              <w:jc w:val="right"/>
            </w:pPr>
            <w:r w:rsidRPr="00071D7F">
              <w:t>38 </w:t>
            </w:r>
          </w:p>
        </w:tc>
        <w:tc>
          <w:tcPr>
            <w:tcW w:w="690" w:type="dxa"/>
            <w:vAlign w:val="center"/>
            <w:hideMark/>
          </w:tcPr>
          <w:p w14:paraId="0FD84369" w14:textId="77777777" w:rsidR="00071D7F" w:rsidRPr="00071D7F" w:rsidRDefault="00071D7F" w:rsidP="00807D0E">
            <w:pPr>
              <w:pStyle w:val="TableText"/>
              <w:jc w:val="right"/>
            </w:pPr>
            <w:r w:rsidRPr="00071D7F">
              <w:t>32 </w:t>
            </w:r>
          </w:p>
        </w:tc>
        <w:tc>
          <w:tcPr>
            <w:tcW w:w="690" w:type="dxa"/>
            <w:vAlign w:val="center"/>
            <w:hideMark/>
          </w:tcPr>
          <w:p w14:paraId="769ED05C" w14:textId="77777777" w:rsidR="00071D7F" w:rsidRPr="00071D7F" w:rsidRDefault="00071D7F" w:rsidP="00807D0E">
            <w:pPr>
              <w:pStyle w:val="TableText"/>
              <w:jc w:val="right"/>
            </w:pPr>
            <w:r w:rsidRPr="00071D7F">
              <w:t>30 </w:t>
            </w:r>
          </w:p>
        </w:tc>
        <w:tc>
          <w:tcPr>
            <w:tcW w:w="690" w:type="dxa"/>
            <w:vAlign w:val="center"/>
            <w:hideMark/>
          </w:tcPr>
          <w:p w14:paraId="45AC50FD" w14:textId="77777777" w:rsidR="00071D7F" w:rsidRPr="00071D7F" w:rsidRDefault="00071D7F" w:rsidP="00807D0E">
            <w:pPr>
              <w:pStyle w:val="TableText"/>
              <w:jc w:val="right"/>
            </w:pPr>
            <w:r w:rsidRPr="00071D7F">
              <w:t>34 </w:t>
            </w:r>
          </w:p>
        </w:tc>
        <w:tc>
          <w:tcPr>
            <w:tcW w:w="690" w:type="dxa"/>
            <w:vAlign w:val="center"/>
            <w:hideMark/>
          </w:tcPr>
          <w:p w14:paraId="7EABD7CB" w14:textId="77777777" w:rsidR="00071D7F" w:rsidRPr="00071D7F" w:rsidRDefault="00071D7F" w:rsidP="00807D0E">
            <w:pPr>
              <w:pStyle w:val="TableText"/>
              <w:jc w:val="right"/>
            </w:pPr>
            <w:r w:rsidRPr="00071D7F">
              <w:t>28 </w:t>
            </w:r>
          </w:p>
        </w:tc>
        <w:tc>
          <w:tcPr>
            <w:tcW w:w="690" w:type="dxa"/>
            <w:vAlign w:val="center"/>
            <w:hideMark/>
          </w:tcPr>
          <w:p w14:paraId="21827771" w14:textId="77777777" w:rsidR="00071D7F" w:rsidRPr="00071D7F" w:rsidRDefault="00071D7F" w:rsidP="00807D0E">
            <w:pPr>
              <w:pStyle w:val="TableText"/>
              <w:jc w:val="right"/>
            </w:pPr>
            <w:r w:rsidRPr="00071D7F">
              <w:t>13 </w:t>
            </w:r>
          </w:p>
        </w:tc>
        <w:tc>
          <w:tcPr>
            <w:tcW w:w="690" w:type="dxa"/>
            <w:vAlign w:val="center"/>
            <w:hideMark/>
          </w:tcPr>
          <w:p w14:paraId="252CE4B9" w14:textId="77777777" w:rsidR="00071D7F" w:rsidRPr="00071D7F" w:rsidRDefault="00071D7F" w:rsidP="00807D0E">
            <w:pPr>
              <w:pStyle w:val="TableText"/>
              <w:jc w:val="right"/>
            </w:pPr>
            <w:r w:rsidRPr="00071D7F">
              <w:t>40 </w:t>
            </w:r>
          </w:p>
        </w:tc>
        <w:tc>
          <w:tcPr>
            <w:tcW w:w="690" w:type="dxa"/>
            <w:vAlign w:val="center"/>
            <w:hideMark/>
          </w:tcPr>
          <w:p w14:paraId="464F494D" w14:textId="77777777" w:rsidR="00071D7F" w:rsidRPr="00071D7F" w:rsidRDefault="00071D7F" w:rsidP="00807D0E">
            <w:pPr>
              <w:pStyle w:val="TableText"/>
              <w:jc w:val="right"/>
            </w:pPr>
            <w:r w:rsidRPr="00071D7F">
              <w:t>28 </w:t>
            </w:r>
          </w:p>
        </w:tc>
        <w:tc>
          <w:tcPr>
            <w:tcW w:w="690" w:type="dxa"/>
            <w:vAlign w:val="center"/>
            <w:hideMark/>
          </w:tcPr>
          <w:p w14:paraId="6ABBDC5F" w14:textId="77777777" w:rsidR="00071D7F" w:rsidRPr="00071D7F" w:rsidRDefault="00071D7F" w:rsidP="00807D0E">
            <w:pPr>
              <w:pStyle w:val="TableText"/>
              <w:jc w:val="right"/>
            </w:pPr>
            <w:r w:rsidRPr="00071D7F">
              <w:t>22 </w:t>
            </w:r>
          </w:p>
        </w:tc>
        <w:tc>
          <w:tcPr>
            <w:tcW w:w="690" w:type="dxa"/>
            <w:vAlign w:val="center"/>
            <w:hideMark/>
          </w:tcPr>
          <w:p w14:paraId="44021AB4" w14:textId="77777777" w:rsidR="00071D7F" w:rsidRPr="00071D7F" w:rsidRDefault="00071D7F" w:rsidP="00807D0E">
            <w:pPr>
              <w:pStyle w:val="TableText"/>
              <w:jc w:val="right"/>
            </w:pPr>
            <w:r w:rsidRPr="00071D7F">
              <w:t>33 </w:t>
            </w:r>
          </w:p>
        </w:tc>
      </w:tr>
      <w:tr w:rsidR="00807D0E" w:rsidRPr="00071D7F" w14:paraId="761BC520" w14:textId="77777777" w:rsidTr="00807D0E">
        <w:trPr>
          <w:trHeight w:val="270"/>
        </w:trPr>
        <w:tc>
          <w:tcPr>
            <w:tcW w:w="1035" w:type="dxa"/>
            <w:vAlign w:val="center"/>
            <w:hideMark/>
          </w:tcPr>
          <w:p w14:paraId="39AF4601" w14:textId="77777777" w:rsidR="00071D7F" w:rsidRPr="00071D7F" w:rsidRDefault="00071D7F" w:rsidP="00807D0E">
            <w:pPr>
              <w:pStyle w:val="TableText"/>
            </w:pPr>
            <w:r w:rsidRPr="00071D7F">
              <w:t># of Badges Created  </w:t>
            </w:r>
          </w:p>
        </w:tc>
        <w:tc>
          <w:tcPr>
            <w:tcW w:w="690" w:type="dxa"/>
            <w:vAlign w:val="center"/>
            <w:hideMark/>
          </w:tcPr>
          <w:p w14:paraId="141D6943" w14:textId="77777777" w:rsidR="00071D7F" w:rsidRPr="00071D7F" w:rsidRDefault="00071D7F" w:rsidP="00807D0E">
            <w:pPr>
              <w:pStyle w:val="TableText"/>
              <w:jc w:val="right"/>
            </w:pPr>
            <w:r w:rsidRPr="00071D7F">
              <w:t>131 </w:t>
            </w:r>
          </w:p>
        </w:tc>
        <w:tc>
          <w:tcPr>
            <w:tcW w:w="690" w:type="dxa"/>
            <w:vAlign w:val="center"/>
            <w:hideMark/>
          </w:tcPr>
          <w:p w14:paraId="475BDB19" w14:textId="77777777" w:rsidR="00071D7F" w:rsidRPr="00071D7F" w:rsidRDefault="00071D7F" w:rsidP="00807D0E">
            <w:pPr>
              <w:pStyle w:val="TableText"/>
              <w:jc w:val="right"/>
            </w:pPr>
            <w:r w:rsidRPr="00071D7F">
              <w:t>152 </w:t>
            </w:r>
          </w:p>
        </w:tc>
        <w:tc>
          <w:tcPr>
            <w:tcW w:w="690" w:type="dxa"/>
            <w:vAlign w:val="center"/>
            <w:hideMark/>
          </w:tcPr>
          <w:p w14:paraId="29F12AEB" w14:textId="77777777" w:rsidR="00071D7F" w:rsidRPr="00071D7F" w:rsidRDefault="00071D7F" w:rsidP="00807D0E">
            <w:pPr>
              <w:pStyle w:val="TableText"/>
              <w:jc w:val="right"/>
            </w:pPr>
            <w:r w:rsidRPr="00071D7F">
              <w:t>147 </w:t>
            </w:r>
          </w:p>
        </w:tc>
        <w:tc>
          <w:tcPr>
            <w:tcW w:w="690" w:type="dxa"/>
            <w:vAlign w:val="center"/>
            <w:hideMark/>
          </w:tcPr>
          <w:p w14:paraId="2408553C" w14:textId="77777777" w:rsidR="00071D7F" w:rsidRPr="00071D7F" w:rsidRDefault="00071D7F" w:rsidP="00807D0E">
            <w:pPr>
              <w:pStyle w:val="TableText"/>
              <w:jc w:val="right"/>
            </w:pPr>
            <w:r w:rsidRPr="00071D7F">
              <w:t>158 </w:t>
            </w:r>
          </w:p>
        </w:tc>
        <w:tc>
          <w:tcPr>
            <w:tcW w:w="690" w:type="dxa"/>
            <w:vAlign w:val="center"/>
            <w:hideMark/>
          </w:tcPr>
          <w:p w14:paraId="6EBAACCB" w14:textId="77777777" w:rsidR="00071D7F" w:rsidRPr="00071D7F" w:rsidRDefault="00071D7F" w:rsidP="00807D0E">
            <w:pPr>
              <w:pStyle w:val="TableText"/>
              <w:jc w:val="right"/>
            </w:pPr>
            <w:r w:rsidRPr="00071D7F">
              <w:t>169 </w:t>
            </w:r>
          </w:p>
        </w:tc>
        <w:tc>
          <w:tcPr>
            <w:tcW w:w="690" w:type="dxa"/>
            <w:vAlign w:val="center"/>
            <w:hideMark/>
          </w:tcPr>
          <w:p w14:paraId="0A83EB53" w14:textId="77777777" w:rsidR="00071D7F" w:rsidRPr="00071D7F" w:rsidRDefault="00071D7F" w:rsidP="00807D0E">
            <w:pPr>
              <w:pStyle w:val="TableText"/>
              <w:jc w:val="right"/>
            </w:pPr>
            <w:r w:rsidRPr="00071D7F">
              <w:t>160 </w:t>
            </w:r>
          </w:p>
        </w:tc>
        <w:tc>
          <w:tcPr>
            <w:tcW w:w="690" w:type="dxa"/>
            <w:vAlign w:val="center"/>
            <w:hideMark/>
          </w:tcPr>
          <w:p w14:paraId="01E78122" w14:textId="77777777" w:rsidR="00071D7F" w:rsidRPr="00071D7F" w:rsidRDefault="00071D7F" w:rsidP="00807D0E">
            <w:pPr>
              <w:pStyle w:val="TableText"/>
              <w:jc w:val="right"/>
            </w:pPr>
            <w:r w:rsidRPr="00071D7F">
              <w:t>183 </w:t>
            </w:r>
          </w:p>
        </w:tc>
        <w:tc>
          <w:tcPr>
            <w:tcW w:w="690" w:type="dxa"/>
            <w:vAlign w:val="center"/>
            <w:hideMark/>
          </w:tcPr>
          <w:p w14:paraId="2951AEC0" w14:textId="77777777" w:rsidR="00071D7F" w:rsidRPr="00071D7F" w:rsidRDefault="00071D7F" w:rsidP="00807D0E">
            <w:pPr>
              <w:pStyle w:val="TableText"/>
              <w:jc w:val="right"/>
            </w:pPr>
            <w:r w:rsidRPr="00071D7F">
              <w:t>139 </w:t>
            </w:r>
          </w:p>
        </w:tc>
        <w:tc>
          <w:tcPr>
            <w:tcW w:w="690" w:type="dxa"/>
            <w:vAlign w:val="center"/>
            <w:hideMark/>
          </w:tcPr>
          <w:p w14:paraId="3DA9B479" w14:textId="77777777" w:rsidR="00071D7F" w:rsidRPr="00071D7F" w:rsidRDefault="00071D7F" w:rsidP="00807D0E">
            <w:pPr>
              <w:pStyle w:val="TableText"/>
              <w:jc w:val="right"/>
            </w:pPr>
            <w:r w:rsidRPr="00071D7F">
              <w:t>155 </w:t>
            </w:r>
          </w:p>
        </w:tc>
        <w:tc>
          <w:tcPr>
            <w:tcW w:w="690" w:type="dxa"/>
            <w:vAlign w:val="center"/>
            <w:hideMark/>
          </w:tcPr>
          <w:p w14:paraId="327D63B2" w14:textId="77777777" w:rsidR="00071D7F" w:rsidRPr="00071D7F" w:rsidRDefault="00071D7F" w:rsidP="00807D0E">
            <w:pPr>
              <w:pStyle w:val="TableText"/>
              <w:jc w:val="right"/>
            </w:pPr>
            <w:r w:rsidRPr="00071D7F">
              <w:t>106 </w:t>
            </w:r>
          </w:p>
        </w:tc>
        <w:tc>
          <w:tcPr>
            <w:tcW w:w="690" w:type="dxa"/>
            <w:vAlign w:val="center"/>
            <w:hideMark/>
          </w:tcPr>
          <w:p w14:paraId="0F66600F" w14:textId="77777777" w:rsidR="00071D7F" w:rsidRPr="00071D7F" w:rsidRDefault="00071D7F" w:rsidP="00807D0E">
            <w:pPr>
              <w:pStyle w:val="TableText"/>
              <w:jc w:val="right"/>
            </w:pPr>
            <w:r w:rsidRPr="00071D7F">
              <w:t>138 </w:t>
            </w:r>
          </w:p>
        </w:tc>
        <w:tc>
          <w:tcPr>
            <w:tcW w:w="690" w:type="dxa"/>
            <w:vAlign w:val="center"/>
            <w:hideMark/>
          </w:tcPr>
          <w:p w14:paraId="657FE25C" w14:textId="77777777" w:rsidR="00071D7F" w:rsidRPr="00071D7F" w:rsidRDefault="00071D7F" w:rsidP="00807D0E">
            <w:pPr>
              <w:pStyle w:val="TableText"/>
              <w:jc w:val="right"/>
            </w:pPr>
            <w:r w:rsidRPr="00071D7F">
              <w:t>109 </w:t>
            </w:r>
          </w:p>
        </w:tc>
      </w:tr>
    </w:tbl>
    <w:p w14:paraId="2266576F" w14:textId="77777777" w:rsidR="00071D7F" w:rsidRPr="00071D7F" w:rsidRDefault="00071D7F" w:rsidP="00071D7F">
      <w:r w:rsidRPr="00071D7F">
        <w:t> </w:t>
      </w:r>
    </w:p>
    <w:p w14:paraId="4B350C13" w14:textId="77777777" w:rsidR="00071D7F" w:rsidRPr="00071D7F" w:rsidRDefault="00071D7F" w:rsidP="00596D1C">
      <w:pPr>
        <w:pStyle w:val="BodyText3"/>
      </w:pPr>
      <w:r w:rsidRPr="00071D7F">
        <w:t>Issuance of the BOLOs and Cease and Desist Bulletins </w:t>
      </w:r>
    </w:p>
    <w:p w14:paraId="4D1D0B12" w14:textId="77777777" w:rsidR="00071D7F" w:rsidRPr="00071D7F" w:rsidRDefault="00071D7F" w:rsidP="00596D1C">
      <w:pPr>
        <w:pStyle w:val="BodyText"/>
      </w:pPr>
      <w:r w:rsidRPr="00071D7F">
        <w:t>A BOLO is issued in response to concerning comments or direct threats made against agency staff and/or property. In the event of a threat against the agency, RSM staff will create and broadcast a BOLO for distribution to security staff and agency employees as appropriate. A Cease-and-Desist notification is handled in the same manner as a BOLO but is used to notify key personnel about customers who are harassing staff. In these cases, the Office of General Counsel (OGC) issues a formal letter to the individuals.  </w:t>
      </w:r>
    </w:p>
    <w:p w14:paraId="6E3E8708" w14:textId="77777777" w:rsidR="00071D7F" w:rsidRPr="00071D7F" w:rsidRDefault="00071D7F" w:rsidP="00596D1C">
      <w:pPr>
        <w:pStyle w:val="BodyText3"/>
      </w:pPr>
      <w:r w:rsidRPr="00071D7F">
        <w:t>Security Guards Contract and Communications </w:t>
      </w:r>
    </w:p>
    <w:p w14:paraId="6FCF2169" w14:textId="77777777" w:rsidR="00071D7F" w:rsidRPr="00071D7F" w:rsidRDefault="00071D7F" w:rsidP="00596D1C">
      <w:pPr>
        <w:pStyle w:val="BodyText"/>
      </w:pPr>
      <w:r w:rsidRPr="00071D7F">
        <w:t>The administration of the security guard contract is managed by RSM. RSM staff are responsible for the daily oversight and communication with contracted security personnel. They provide guards with operational instructions such as unlocking designated office doors, managing parking reservations, and coordinating access for external contractors. Communication from RSM to guards may be delivered via email, phone call, or hard copy memo. Guards are expected to respond promptly, report concerns or incidents, including those involving law enforcement, and direct staff inquiries back to RSM. This communication framework ensures the security team is well-informed and responsive to the operational needs of TWC facilities.  </w:t>
      </w:r>
    </w:p>
    <w:p w14:paraId="78419B5F" w14:textId="77777777" w:rsidR="00071D7F" w:rsidRPr="00071D7F" w:rsidRDefault="00071D7F" w:rsidP="00596D1C">
      <w:pPr>
        <w:pStyle w:val="BodyText3"/>
      </w:pPr>
      <w:r w:rsidRPr="00071D7F">
        <w:t>Training and Awareness </w:t>
      </w:r>
    </w:p>
    <w:p w14:paraId="07F290D0" w14:textId="77777777" w:rsidR="00071D7F" w:rsidRPr="00071D7F" w:rsidRDefault="00071D7F" w:rsidP="00596D1C">
      <w:pPr>
        <w:pStyle w:val="BodyText"/>
      </w:pPr>
      <w:r w:rsidRPr="00071D7F">
        <w:t xml:space="preserve">RSM develops and delivers training modules, safety communications, and resources to all agency staff. Training and awareness efforts are administered through a combination of in-person sessions, virtual trainings, and internal communications to ensure staff are </w:t>
      </w:r>
      <w:r w:rsidRPr="00071D7F">
        <w:lastRenderedPageBreak/>
        <w:t>informed, prepared, and compliant with agency policies and procedures. RSM staff coordinate and deliver training on safety protocols, security procedures, and operational awareness. New employees are onboarded by their managers with support from RSM. Current staff receive periodic refresher sessions and targeted training as needed based on operational updates and safety requirements. To support ongoing awareness, RSM distributes quarterly newsletters that highlights key topics and reminders. Safety bulletin boards are maintained with up-to-date information, and posters or awareness materials are regularly displayed in common areas to reinforce messaging. These efforts ensure that staff remain continuously engaged and aware of safety practices and agency expectations.  </w:t>
      </w:r>
    </w:p>
    <w:p w14:paraId="7FAA346E" w14:textId="77777777" w:rsidR="00071D7F" w:rsidRPr="00071D7F" w:rsidRDefault="00071D7F" w:rsidP="00596D1C">
      <w:pPr>
        <w:pStyle w:val="BodyText3"/>
        <w:ind w:left="720" w:hanging="720"/>
      </w:pPr>
      <w:r w:rsidRPr="00071D7F">
        <w:t>G.</w:t>
      </w:r>
      <w:r w:rsidRPr="00071D7F">
        <w:tab/>
        <w:t>If key to understanding the division or program, identify all funding sources and amounts, including federal grants and pass-through monies. Describe any funding formulas or funding conventions. Please specify state funding sources (e.g., general revenue, appropriations rider, budget strategy, fees/dues). (If you have already submitted funding source info through the Agency Program Information” spreadsheet, please limit your response to funding formulas or funding conventions.) </w:t>
      </w:r>
    </w:p>
    <w:tbl>
      <w:tblPr>
        <w:tblStyle w:val="TableGrid1"/>
        <w:tblW w:w="9360" w:type="dxa"/>
        <w:tblCellMar>
          <w:top w:w="58" w:type="dxa"/>
          <w:bottom w:w="58" w:type="dxa"/>
        </w:tblCellMar>
        <w:tblLook w:val="04A0" w:firstRow="1" w:lastRow="0" w:firstColumn="1" w:lastColumn="0" w:noHBand="0" w:noVBand="1"/>
      </w:tblPr>
      <w:tblGrid>
        <w:gridCol w:w="3145"/>
        <w:gridCol w:w="2165"/>
        <w:gridCol w:w="1888"/>
        <w:gridCol w:w="2162"/>
      </w:tblGrid>
      <w:tr w:rsidR="00B66CB3" w:rsidRPr="00152765" w14:paraId="2F306F4D" w14:textId="77777777" w:rsidTr="00B66CB3">
        <w:trPr>
          <w:trHeight w:val="564"/>
        </w:trPr>
        <w:tc>
          <w:tcPr>
            <w:tcW w:w="3145" w:type="dxa"/>
            <w:shd w:val="clear" w:color="auto" w:fill="B8CCE4" w:themeFill="accent1" w:themeFillTint="66"/>
            <w:vAlign w:val="center"/>
            <w:hideMark/>
          </w:tcPr>
          <w:p w14:paraId="2FE5CCEF" w14:textId="77777777" w:rsidR="00B66CB3" w:rsidRPr="00152765" w:rsidRDefault="00B66CB3" w:rsidP="00B66CB3">
            <w:pPr>
              <w:pStyle w:val="TableHeaders"/>
              <w:rPr>
                <w:color w:val="000000"/>
              </w:rPr>
            </w:pPr>
            <w:r w:rsidRPr="00152765">
              <w:t>Program or Function Detail Description</w:t>
            </w:r>
          </w:p>
        </w:tc>
        <w:tc>
          <w:tcPr>
            <w:tcW w:w="2520" w:type="dxa"/>
            <w:shd w:val="clear" w:color="auto" w:fill="B8CCE4" w:themeFill="accent1" w:themeFillTint="66"/>
            <w:vAlign w:val="center"/>
            <w:hideMark/>
          </w:tcPr>
          <w:p w14:paraId="1DF3B5CF" w14:textId="77777777" w:rsidR="00B66CB3" w:rsidRPr="00152765" w:rsidRDefault="00B66CB3" w:rsidP="00B66CB3">
            <w:pPr>
              <w:pStyle w:val="TableHeaders"/>
              <w:rPr>
                <w:color w:val="000000"/>
              </w:rPr>
            </w:pPr>
            <w:r w:rsidRPr="00152765">
              <w:t>Total FY 2024</w:t>
            </w:r>
          </w:p>
        </w:tc>
        <w:tc>
          <w:tcPr>
            <w:tcW w:w="2160" w:type="dxa"/>
            <w:shd w:val="clear" w:color="auto" w:fill="B8CCE4" w:themeFill="accent1" w:themeFillTint="66"/>
            <w:vAlign w:val="center"/>
            <w:hideMark/>
          </w:tcPr>
          <w:p w14:paraId="29927688" w14:textId="77777777" w:rsidR="00B66CB3" w:rsidRPr="00152765" w:rsidRDefault="00B66CB3" w:rsidP="00B66CB3">
            <w:pPr>
              <w:pStyle w:val="TableHeaders"/>
              <w:rPr>
                <w:color w:val="000000"/>
              </w:rPr>
            </w:pPr>
            <w:r w:rsidRPr="00152765">
              <w:t>Federal Funding</w:t>
            </w:r>
          </w:p>
        </w:tc>
        <w:tc>
          <w:tcPr>
            <w:tcW w:w="2515" w:type="dxa"/>
            <w:shd w:val="clear" w:color="auto" w:fill="B8CCE4" w:themeFill="accent1" w:themeFillTint="66"/>
            <w:vAlign w:val="center"/>
            <w:hideMark/>
          </w:tcPr>
          <w:p w14:paraId="72D9F8F3" w14:textId="77777777" w:rsidR="00B66CB3" w:rsidRPr="00152765" w:rsidRDefault="00B66CB3" w:rsidP="00B66CB3">
            <w:pPr>
              <w:pStyle w:val="TableHeaders"/>
              <w:rPr>
                <w:color w:val="000000"/>
              </w:rPr>
            </w:pPr>
            <w:r w:rsidRPr="00152765">
              <w:t>State Funding</w:t>
            </w:r>
          </w:p>
        </w:tc>
      </w:tr>
      <w:tr w:rsidR="00B66CB3" w:rsidRPr="00152765" w14:paraId="149BD7FB" w14:textId="77777777" w:rsidTr="00B66CB3">
        <w:trPr>
          <w:trHeight w:val="288"/>
        </w:trPr>
        <w:tc>
          <w:tcPr>
            <w:tcW w:w="3145" w:type="dxa"/>
            <w:noWrap/>
            <w:vAlign w:val="center"/>
            <w:hideMark/>
          </w:tcPr>
          <w:p w14:paraId="702A9B89" w14:textId="77777777" w:rsidR="00B66CB3" w:rsidRPr="00152765" w:rsidRDefault="00B66CB3" w:rsidP="00B66CB3">
            <w:pPr>
              <w:rPr>
                <w:rFonts w:ascii="Arial" w:eastAsia="Times New Roman" w:hAnsi="Arial" w:cs="Arial"/>
                <w:color w:val="000000"/>
                <w:kern w:val="0"/>
                <w:sz w:val="20"/>
                <w:szCs w:val="20"/>
              </w:rPr>
            </w:pPr>
            <w:r w:rsidRPr="00152765">
              <w:rPr>
                <w:rFonts w:ascii="Arial" w:eastAsia="Times New Roman" w:hAnsi="Arial" w:cs="Arial"/>
                <w:color w:val="000000"/>
                <w:kern w:val="0"/>
                <w:sz w:val="20"/>
                <w:szCs w:val="20"/>
              </w:rPr>
              <w:t>Risk and Security Management</w:t>
            </w:r>
          </w:p>
        </w:tc>
        <w:tc>
          <w:tcPr>
            <w:tcW w:w="2520" w:type="dxa"/>
            <w:vAlign w:val="center"/>
            <w:hideMark/>
          </w:tcPr>
          <w:p w14:paraId="2D9DCA4F" w14:textId="6530812E" w:rsidR="00B66CB3" w:rsidRPr="00152765" w:rsidRDefault="00B66CB3" w:rsidP="00B66CB3">
            <w:pPr>
              <w:jc w:val="right"/>
              <w:rPr>
                <w:rFonts w:ascii="Arial" w:eastAsia="Times New Roman" w:hAnsi="Arial" w:cs="Arial"/>
                <w:color w:val="000000"/>
                <w:kern w:val="0"/>
                <w:sz w:val="20"/>
                <w:szCs w:val="20"/>
              </w:rPr>
            </w:pPr>
            <w:r w:rsidRPr="00152765">
              <w:rPr>
                <w:rFonts w:ascii="Arial" w:eastAsia="Times New Roman" w:hAnsi="Arial" w:cs="Arial"/>
                <w:color w:val="000000"/>
                <w:kern w:val="0"/>
                <w:sz w:val="20"/>
                <w:szCs w:val="20"/>
              </w:rPr>
              <w:t xml:space="preserve">918,802 </w:t>
            </w:r>
          </w:p>
        </w:tc>
        <w:tc>
          <w:tcPr>
            <w:tcW w:w="2160" w:type="dxa"/>
            <w:vAlign w:val="center"/>
            <w:hideMark/>
          </w:tcPr>
          <w:p w14:paraId="19671623" w14:textId="10D8B76D" w:rsidR="00B66CB3" w:rsidRPr="00152765" w:rsidRDefault="00B66CB3" w:rsidP="00B66CB3">
            <w:pPr>
              <w:jc w:val="right"/>
              <w:rPr>
                <w:rFonts w:ascii="Arial" w:eastAsia="Times New Roman" w:hAnsi="Arial" w:cs="Arial"/>
                <w:color w:val="000000"/>
                <w:kern w:val="0"/>
                <w:sz w:val="20"/>
                <w:szCs w:val="20"/>
              </w:rPr>
            </w:pPr>
            <w:r w:rsidRPr="00152765">
              <w:rPr>
                <w:rFonts w:ascii="Arial" w:eastAsia="Times New Roman" w:hAnsi="Arial" w:cs="Arial"/>
                <w:color w:val="000000"/>
                <w:kern w:val="0"/>
                <w:sz w:val="20"/>
                <w:szCs w:val="20"/>
              </w:rPr>
              <w:t xml:space="preserve">816,729 </w:t>
            </w:r>
          </w:p>
        </w:tc>
        <w:tc>
          <w:tcPr>
            <w:tcW w:w="2515" w:type="dxa"/>
            <w:vAlign w:val="center"/>
            <w:hideMark/>
          </w:tcPr>
          <w:p w14:paraId="22C90399" w14:textId="650191C9" w:rsidR="00B66CB3" w:rsidRPr="00152765" w:rsidRDefault="00B66CB3" w:rsidP="00B66CB3">
            <w:pPr>
              <w:jc w:val="right"/>
              <w:rPr>
                <w:rFonts w:ascii="Arial" w:eastAsia="Times New Roman" w:hAnsi="Arial" w:cs="Arial"/>
                <w:color w:val="000000"/>
                <w:kern w:val="0"/>
                <w:sz w:val="20"/>
                <w:szCs w:val="20"/>
              </w:rPr>
            </w:pPr>
            <w:r w:rsidRPr="00152765">
              <w:rPr>
                <w:rFonts w:ascii="Arial" w:eastAsia="Times New Roman" w:hAnsi="Arial" w:cs="Arial"/>
                <w:color w:val="000000"/>
                <w:kern w:val="0"/>
                <w:sz w:val="20"/>
                <w:szCs w:val="20"/>
              </w:rPr>
              <w:t xml:space="preserve">102,073 </w:t>
            </w:r>
          </w:p>
        </w:tc>
      </w:tr>
    </w:tbl>
    <w:p w14:paraId="0571A602" w14:textId="5D2797FE" w:rsidR="00071D7F" w:rsidRPr="00071D7F" w:rsidRDefault="00071D7F" w:rsidP="00596D1C">
      <w:pPr>
        <w:pStyle w:val="BodyText3"/>
        <w:ind w:left="720" w:hanging="720"/>
      </w:pPr>
      <w:r w:rsidRPr="00071D7F">
        <w:t>H.</w:t>
      </w:r>
      <w:r w:rsidR="00596D1C">
        <w:tab/>
      </w:r>
      <w:r w:rsidRPr="00071D7F">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73FA4522" w14:textId="77777777" w:rsidR="00071D7F" w:rsidRPr="00071D7F" w:rsidRDefault="00071D7F" w:rsidP="00596D1C">
      <w:pPr>
        <w:pStyle w:val="BodyText3"/>
      </w:pPr>
      <w:r w:rsidRPr="00071D7F">
        <w:t>SORM and RSM </w:t>
      </w:r>
    </w:p>
    <w:p w14:paraId="633B2236" w14:textId="77777777" w:rsidR="00071D7F" w:rsidRPr="00596D1C" w:rsidRDefault="00071D7F" w:rsidP="00596D1C">
      <w:pPr>
        <w:pStyle w:val="BodyText"/>
      </w:pPr>
      <w:r w:rsidRPr="00596D1C">
        <w:t>RSM serves as TWC’s primary Point of Contact (POC) with State Office of Risk Management (SORM). Key personnel, including the Workers' Compensation Coordinator, Chief Financial Officer, and Fleet Manager, are also designated as additional SORM POCs. SORM communicates through distribution lists and provides notice to TWC of any required action. For further clarification and guidance, SORM and TWC have an Interagency Contract (IAC). The purpose of this IAC is to define the terms and conditions under which TWC, as a covered entity, receives risk management services and workers' compensation coverage for its employees, in accordance with Texas Labor Code Chapter 412. The IAC describes exclusions, services, responsibilities, cost allocation, payment terms, and invoicing procedures. The IAC provides clear guidance on the services SORM will provide and the responsibilities of TWC. </w:t>
      </w:r>
    </w:p>
    <w:p w14:paraId="7CF659F3" w14:textId="77777777" w:rsidR="00071D7F" w:rsidRPr="00596D1C" w:rsidRDefault="00071D7F" w:rsidP="00596D1C">
      <w:pPr>
        <w:pStyle w:val="BodyText3"/>
        <w:ind w:left="720" w:hanging="720"/>
      </w:pPr>
      <w:r w:rsidRPr="00596D1C">
        <w:t>I.</w:t>
      </w:r>
      <w:r w:rsidRPr="00596D1C">
        <w:tab/>
        <w:t>If the program or function works with local, regional, or federal units of government, include a brief description of these entities and their relationship to the agency. </w:t>
      </w:r>
    </w:p>
    <w:p w14:paraId="11E5B165" w14:textId="77777777" w:rsidR="00071D7F" w:rsidRPr="00071D7F" w:rsidRDefault="00071D7F" w:rsidP="00596D1C">
      <w:pPr>
        <w:pStyle w:val="BodyText3"/>
      </w:pPr>
      <w:r w:rsidRPr="00071D7F">
        <w:lastRenderedPageBreak/>
        <w:t>Law Enforcement  </w:t>
      </w:r>
    </w:p>
    <w:p w14:paraId="33D33BBF" w14:textId="77777777" w:rsidR="00071D7F" w:rsidRPr="00071D7F" w:rsidRDefault="00071D7F" w:rsidP="00596D1C">
      <w:pPr>
        <w:pStyle w:val="BodyText"/>
      </w:pPr>
      <w:r w:rsidRPr="00071D7F">
        <w:t>The Department of Public Safety assigns an agent from the Criminal Investigations Unit to TWC to assist with incidents involving threatening or criminal behavior. RSM’s Security Team serves as the liaison in this capacity and contacts DPS for law enforcement assistance. Additionally, RSM works with local city or county law enforcement agencies across the state for further assistance with incident reports. </w:t>
      </w:r>
    </w:p>
    <w:p w14:paraId="49A7CFE0" w14:textId="77777777" w:rsidR="00071D7F" w:rsidRPr="00071D7F" w:rsidRDefault="00071D7F" w:rsidP="00596D1C">
      <w:pPr>
        <w:pStyle w:val="BodyText"/>
      </w:pPr>
      <w:r w:rsidRPr="00071D7F">
        <w:rPr>
          <w:b/>
          <w:bCs/>
        </w:rPr>
        <w:t>Fire Departments</w:t>
      </w:r>
      <w:r w:rsidRPr="00071D7F">
        <w:t> </w:t>
      </w:r>
    </w:p>
    <w:p w14:paraId="45DE94C6" w14:textId="77777777" w:rsidR="00071D7F" w:rsidRPr="00071D7F" w:rsidRDefault="00071D7F" w:rsidP="00596D1C">
      <w:pPr>
        <w:pStyle w:val="BodyText"/>
      </w:pPr>
      <w:r w:rsidRPr="00071D7F">
        <w:t>In preparation to conducting evacuation drills, RSM contacts the local fire department and requests for their availability to attend and observe drills. Fire Departments also operate on TWC property during real emergencies and RSM serves as onsite POC.  </w:t>
      </w:r>
    </w:p>
    <w:p w14:paraId="06FE45F4" w14:textId="77777777" w:rsidR="00071D7F" w:rsidRPr="00071D7F" w:rsidRDefault="00071D7F" w:rsidP="00596D1C">
      <w:pPr>
        <w:pStyle w:val="BodyText"/>
      </w:pPr>
      <w:r w:rsidRPr="00071D7F">
        <w:rPr>
          <w:b/>
          <w:bCs/>
        </w:rPr>
        <w:t>Local Workforce Development Boards (LWDBs)</w:t>
      </w:r>
      <w:r w:rsidRPr="00071D7F">
        <w:t> </w:t>
      </w:r>
    </w:p>
    <w:p w14:paraId="63CE42D5" w14:textId="77777777" w:rsidR="00071D7F" w:rsidRPr="00071D7F" w:rsidRDefault="00071D7F" w:rsidP="00596D1C">
      <w:pPr>
        <w:pStyle w:val="BodyText"/>
      </w:pPr>
      <w:r w:rsidRPr="00071D7F">
        <w:t>RSM coordinates with Local Workforce Development Boards as specified in the agency's Board Agreement and</w:t>
      </w:r>
      <w:r w:rsidRPr="00071D7F">
        <w:rPr>
          <w:rFonts w:cs="Arial"/>
        </w:rPr>
        <w:t> </w:t>
      </w:r>
      <w:r w:rsidRPr="00071D7F">
        <w:t>WD Letter 24-11, which outlines requirements for incident reporting. RSM supports the Boards through incident response, investigation, and periodic on-site risk inspections. </w:t>
      </w:r>
    </w:p>
    <w:p w14:paraId="03F19A1C" w14:textId="77777777" w:rsidR="00071D7F" w:rsidRPr="00071D7F" w:rsidRDefault="00071D7F" w:rsidP="00596D1C">
      <w:pPr>
        <w:pStyle w:val="BodyText3"/>
        <w:ind w:left="720" w:hanging="720"/>
      </w:pPr>
      <w:r w:rsidRPr="00071D7F">
        <w:t>J.</w:t>
      </w:r>
      <w:r w:rsidRPr="00071D7F">
        <w:tab/>
        <w:t>Are there any barriers or challenges that impede the program’s performance, including any outdated or ineffective state laws? Explain. </w:t>
      </w:r>
    </w:p>
    <w:p w14:paraId="66B1E3C9" w14:textId="77777777" w:rsidR="00071D7F" w:rsidRPr="00071D7F" w:rsidRDefault="00071D7F" w:rsidP="00596D1C">
      <w:pPr>
        <w:pStyle w:val="BodyText"/>
      </w:pPr>
      <w:r w:rsidRPr="00071D7F">
        <w:t>N/A </w:t>
      </w:r>
    </w:p>
    <w:p w14:paraId="517C7806" w14:textId="77777777" w:rsidR="00071D7F" w:rsidRPr="00071D7F" w:rsidRDefault="00071D7F" w:rsidP="00596D1C">
      <w:pPr>
        <w:pStyle w:val="BodyText3"/>
      </w:pPr>
      <w:r w:rsidRPr="00071D7F">
        <w:t>K.</w:t>
      </w:r>
      <w:r w:rsidRPr="00071D7F">
        <w:tab/>
        <w:t>Provide any additional information needed to gain a preliminary understanding of the program or function. </w:t>
      </w:r>
    </w:p>
    <w:p w14:paraId="2F156E80" w14:textId="77777777" w:rsidR="00071D7F" w:rsidRPr="00596D1C" w:rsidRDefault="00071D7F" w:rsidP="00596D1C">
      <w:pPr>
        <w:pStyle w:val="BodyText"/>
        <w:rPr>
          <w:b/>
          <w:bCs/>
        </w:rPr>
      </w:pPr>
      <w:r w:rsidRPr="00596D1C">
        <w:rPr>
          <w:b/>
          <w:bCs/>
        </w:rPr>
        <w:t>Internal Audits </w:t>
      </w:r>
    </w:p>
    <w:p w14:paraId="643CE2B0" w14:textId="77777777" w:rsidR="00071D7F" w:rsidRPr="00071D7F" w:rsidRDefault="00071D7F" w:rsidP="00596D1C">
      <w:pPr>
        <w:pStyle w:val="BodyText"/>
      </w:pPr>
      <w:r w:rsidRPr="00071D7F">
        <w:t>In 2016, a Separations and Transfers audit (Project No. 2017-012-20), conducted by the Internal Audit Division, revealed that RSM’s badge access for terminated employees was not being deactivated in a timely manner, with significant delays observed in a sample of separations between 2016 and 2017, and gaps discovered of incomplete or missing deactivation records. To address this, recommendations were made to establish clear guidelines for timely deactivation and to implement a process for periodically reconciling badge records. Follow-up reviews in late 2023 and early 2024 showed significant improvement, with automated deactivation processes integrated with IT systems and monthly reviews conducted to ensure badges are deactivated within 24 hours of notification. HR now also follows up with managers who are delinquent in completing the employee separation process. Consequently, the corrective actions were deemed implemented. </w:t>
      </w:r>
    </w:p>
    <w:p w14:paraId="0ED17100" w14:textId="77777777" w:rsidR="00071D7F" w:rsidRPr="00071D7F" w:rsidRDefault="00071D7F" w:rsidP="00596D1C">
      <w:pPr>
        <w:pStyle w:val="BodyText"/>
      </w:pPr>
      <w:r w:rsidRPr="00071D7F">
        <w:t xml:space="preserve">In 2016, an Internal Audit Division Audit (Project No. 2016-008-10) of the Risk Management Process revealed that TWC lacked an effective framework for identifying, assessing, </w:t>
      </w:r>
      <w:r w:rsidRPr="00071D7F">
        <w:lastRenderedPageBreak/>
        <w:t>mitigating, and monitoring all agency risks. Although TWC had a Risk Management Plan, it was not comprehensive, and a significant portion was not followed. It failed to define RSM’s role and responsibilities in the risk management process and did not address the risk management responsibilities of the operational divisions. RSM revamped the TWC Risk Management Plan to clarify the role of RSM and the administrative and operational divisions in TWC’s risk management functions. In addition, the plan was modified to include procedures for all areas of the risk management process. The corrective action was considered implemented and closed in March 2021. </w:t>
      </w:r>
    </w:p>
    <w:p w14:paraId="13E8D888" w14:textId="77777777" w:rsidR="00071D7F" w:rsidRPr="002567CF" w:rsidRDefault="00071D7F" w:rsidP="00596D1C">
      <w:pPr>
        <w:pStyle w:val="BodyText"/>
        <w:rPr>
          <w:b/>
          <w:bCs/>
        </w:rPr>
      </w:pPr>
      <w:r w:rsidRPr="002567CF">
        <w:rPr>
          <w:b/>
          <w:bCs/>
        </w:rPr>
        <w:t>External reports RSM has produced:  </w:t>
      </w:r>
    </w:p>
    <w:p w14:paraId="66C7907A" w14:textId="77777777" w:rsidR="00071D7F" w:rsidRPr="00071D7F" w:rsidRDefault="00071D7F" w:rsidP="00C64851">
      <w:pPr>
        <w:pStyle w:val="BodyText"/>
        <w:numPr>
          <w:ilvl w:val="0"/>
          <w:numId w:val="788"/>
        </w:numPr>
      </w:pPr>
      <w:r w:rsidRPr="00071D7F">
        <w:t>SORM 200 Agency Risk Management Expenditures Part I (Historical Report) </w:t>
      </w:r>
    </w:p>
    <w:p w14:paraId="10FE8592" w14:textId="77777777" w:rsidR="00071D7F" w:rsidRPr="00071D7F" w:rsidRDefault="00071D7F" w:rsidP="00C64851">
      <w:pPr>
        <w:pStyle w:val="BodyText"/>
        <w:numPr>
          <w:ilvl w:val="0"/>
          <w:numId w:val="788"/>
        </w:numPr>
      </w:pPr>
      <w:r w:rsidRPr="00071D7F">
        <w:t>SORM 200 Insurance Expenditures Part II (Historical Report) </w:t>
      </w:r>
    </w:p>
    <w:p w14:paraId="0F56DF13" w14:textId="77777777" w:rsidR="00071D7F" w:rsidRPr="00071D7F" w:rsidRDefault="00071D7F" w:rsidP="002567CF">
      <w:pPr>
        <w:pStyle w:val="BodyText3"/>
        <w:ind w:left="720" w:hanging="720"/>
      </w:pPr>
      <w:r w:rsidRPr="00071D7F">
        <w:t>L.</w:t>
      </w:r>
      <w:r w:rsidRPr="00071D7F">
        <w:tab/>
        <w:t>Regulatory programs relate to the licensing, registration, certification, or permitting of a person, business, piece of equipment, or other entity (e.g., a facility). For each regulatory program, if applicable, describe: </w:t>
      </w:r>
    </w:p>
    <w:p w14:paraId="5A6624DA" w14:textId="77777777" w:rsidR="00071D7F" w:rsidRPr="00071D7F" w:rsidRDefault="00071D7F" w:rsidP="002567CF">
      <w:pPr>
        <w:pStyle w:val="BodyText"/>
      </w:pPr>
      <w:r w:rsidRPr="00071D7F">
        <w:t>N/A </w:t>
      </w:r>
    </w:p>
    <w:p w14:paraId="1BA0A5DA" w14:textId="77777777" w:rsidR="00071D7F" w:rsidRPr="00071D7F" w:rsidRDefault="00071D7F" w:rsidP="002567CF">
      <w:pPr>
        <w:pStyle w:val="BodyText3"/>
        <w:ind w:left="720" w:hanging="720"/>
      </w:pPr>
      <w:r w:rsidRPr="00071D7F">
        <w:t>M.</w:t>
      </w:r>
      <w:r w:rsidRPr="00071D7F">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314A0125" w14:textId="36654575" w:rsidR="002567CF" w:rsidRDefault="00071D7F" w:rsidP="0087410C">
      <w:pPr>
        <w:pStyle w:val="BodyText"/>
      </w:pPr>
      <w:r w:rsidRPr="00071D7F">
        <w:t>N/A </w:t>
      </w:r>
      <w:r w:rsidR="002567CF">
        <w:br w:type="page"/>
      </w:r>
    </w:p>
    <w:p w14:paraId="607184C6" w14:textId="0A0E9ED2" w:rsidR="00C468CB" w:rsidRPr="00C468CB" w:rsidRDefault="00C468CB" w:rsidP="00E910B5">
      <w:pPr>
        <w:pStyle w:val="Heading3"/>
      </w:pPr>
      <w:bookmarkStart w:id="301" w:name="_Toc1923156820"/>
      <w:bookmarkStart w:id="302" w:name="_Toc203377337"/>
      <w:r w:rsidRPr="00C468CB">
        <w:lastRenderedPageBreak/>
        <w:t>Office of General Counsel</w:t>
      </w:r>
      <w:bookmarkEnd w:id="301"/>
      <w:bookmarkEnd w:id="302"/>
    </w:p>
    <w:p w14:paraId="50D79F3B" w14:textId="77777777" w:rsidR="00C468CB" w:rsidRDefault="00C468CB" w:rsidP="00986728">
      <w:pPr>
        <w:pStyle w:val="BodyText"/>
      </w:pPr>
      <w:r w:rsidRPr="00C468CB">
        <w:t xml:space="preserve">The Office of General Counsel (OGC) acts as the agency’s in-house legal team, offering advice and representation across a spectrum of activities. This includes advising on legal matters, crafting regulations, handling litigation, reviewing contracts, monitoring legislation, ensuring ethical conduct, upholding open government laws, and supporting enforcement efforts related to workforce regulations.  Many of OGC’s functions are </w:t>
      </w:r>
      <w:proofErr w:type="gramStart"/>
      <w:r w:rsidRPr="00C468CB">
        <w:t>similar to</w:t>
      </w:r>
      <w:proofErr w:type="gramEnd"/>
      <w:r w:rsidRPr="00C468CB">
        <w:t xml:space="preserve"> those performed by General Counsels in other agencies.  However, OGC’s Commission Appeals function is unique to TWC and discussed in more detail below. </w:t>
      </w:r>
    </w:p>
    <w:p w14:paraId="4FEA5047" w14:textId="0EFFE38D" w:rsidR="00E01C05" w:rsidRPr="00E01C05" w:rsidRDefault="007E07D4" w:rsidP="007E07D4">
      <w:pPr>
        <w:pStyle w:val="BodyText3"/>
        <w:rPr>
          <w:rFonts w:eastAsiaTheme="minorEastAsia"/>
          <w:szCs w:val="22"/>
        </w:rPr>
      </w:pPr>
      <w:r>
        <w:t>Commission Appeals</w:t>
      </w:r>
    </w:p>
    <w:p w14:paraId="5DE4F342" w14:textId="77777777" w:rsidR="00E01C05" w:rsidRPr="00E01C05" w:rsidRDefault="00E01C05" w:rsidP="007E07D4">
      <w:pPr>
        <w:pStyle w:val="BodyText3"/>
      </w:pPr>
      <w:r w:rsidRPr="00E01C05">
        <w:t>A.</w:t>
      </w:r>
      <w:r w:rsidRPr="00E01C05">
        <w:tab/>
        <w:t>Provide the following information at the beginning of each description. </w:t>
      </w:r>
    </w:p>
    <w:p w14:paraId="3355257C" w14:textId="77777777" w:rsidR="00E01C05" w:rsidRPr="00E01C05" w:rsidRDefault="00E01C05" w:rsidP="007E07D4">
      <w:pPr>
        <w:pStyle w:val="BodyText"/>
      </w:pPr>
      <w:r w:rsidRPr="00E01C05">
        <w:t>Name of division or program: Commission Appeals Department </w:t>
      </w:r>
    </w:p>
    <w:p w14:paraId="648BDF36" w14:textId="77777777" w:rsidR="00E01C05" w:rsidRPr="00E01C05" w:rsidRDefault="00E01C05" w:rsidP="007E07D4">
      <w:pPr>
        <w:pStyle w:val="BodyText"/>
      </w:pPr>
      <w:r w:rsidRPr="00E01C05">
        <w:t>Location within the agency: Office of General Counsel </w:t>
      </w:r>
    </w:p>
    <w:p w14:paraId="64FEFA4C" w14:textId="77777777" w:rsidR="00E01C05" w:rsidRPr="00E01C05" w:rsidRDefault="00E01C05" w:rsidP="007E07D4">
      <w:pPr>
        <w:pStyle w:val="BodyText"/>
      </w:pPr>
      <w:r w:rsidRPr="00E01C05">
        <w:t xml:space="preserve">Contact name:  Les </w:t>
      </w:r>
      <w:proofErr w:type="spellStart"/>
      <w:r w:rsidRPr="00E01C05">
        <w:t>Trobman</w:t>
      </w:r>
      <w:proofErr w:type="spellEnd"/>
      <w:r w:rsidRPr="00E01C05">
        <w:t>, General Counsel; Sherri Miller, Director, Commission Appeals </w:t>
      </w:r>
    </w:p>
    <w:p w14:paraId="24D53417" w14:textId="77777777" w:rsidR="00E01C05" w:rsidRPr="00C7793A" w:rsidRDefault="00E01C05" w:rsidP="00C7793A">
      <w:pPr>
        <w:pStyle w:val="BodyText"/>
      </w:pPr>
      <w:r w:rsidRPr="00C7793A">
        <w:t>Statutory citation:  </w:t>
      </w:r>
    </w:p>
    <w:p w14:paraId="77D2D9B3" w14:textId="3F75DE34" w:rsidR="00E01C05" w:rsidRPr="00E01C05" w:rsidRDefault="00E01C05" w:rsidP="00C64851">
      <w:pPr>
        <w:pStyle w:val="BodyText"/>
        <w:numPr>
          <w:ilvl w:val="0"/>
          <w:numId w:val="754"/>
        </w:numPr>
      </w:pPr>
      <w:r w:rsidRPr="00E01C05">
        <w:t xml:space="preserve">Texas Labor Code, Chapters </w:t>
      </w:r>
      <w:r w:rsidR="00686B46">
        <w:t xml:space="preserve">51, </w:t>
      </w:r>
      <w:r w:rsidR="00166BA7">
        <w:t xml:space="preserve">61, </w:t>
      </w:r>
      <w:r w:rsidRPr="00E01C05">
        <w:t>201-215, 301</w:t>
      </w:r>
    </w:p>
    <w:p w14:paraId="3B88D112" w14:textId="6FE708AB" w:rsidR="00E01C05" w:rsidRPr="00E01C05" w:rsidRDefault="00686B46" w:rsidP="00686B46">
      <w:pPr>
        <w:pStyle w:val="BodyText"/>
        <w:numPr>
          <w:ilvl w:val="0"/>
          <w:numId w:val="754"/>
        </w:numPr>
      </w:pPr>
      <w:r>
        <w:t xml:space="preserve">Key citations by section: </w:t>
      </w:r>
      <w:r w:rsidR="00E01C05" w:rsidRPr="00E01C05">
        <w:t xml:space="preserve">Texas Labor Code, </w:t>
      </w:r>
      <w:r>
        <w:t xml:space="preserve">Section </w:t>
      </w:r>
      <w:r w:rsidR="00E01C05" w:rsidRPr="00E01C05">
        <w:t>51.0361</w:t>
      </w:r>
      <w:r>
        <w:t xml:space="preserve">; </w:t>
      </w:r>
      <w:r w:rsidRPr="00E01C05">
        <w:t>Texas Labor Code</w:t>
      </w:r>
      <w:r>
        <w:t xml:space="preserve">, Section </w:t>
      </w:r>
      <w:r w:rsidRPr="00E01C05">
        <w:t>61.0612</w:t>
      </w:r>
      <w:r>
        <w:t xml:space="preserve">; </w:t>
      </w:r>
      <w:r w:rsidRPr="00E01C05">
        <w:t>Texas Labor Code</w:t>
      </w:r>
      <w:r>
        <w:t xml:space="preserve">, Section </w:t>
      </w:r>
      <w:r w:rsidRPr="00E01C05">
        <w:t>212.151</w:t>
      </w:r>
    </w:p>
    <w:p w14:paraId="75971EA6" w14:textId="3DB9A37C" w:rsidR="00E01C05" w:rsidRPr="00E01C05" w:rsidRDefault="00E01C05" w:rsidP="00C7793A">
      <w:pPr>
        <w:pStyle w:val="BodyText3"/>
      </w:pPr>
      <w:r w:rsidRPr="00E01C05">
        <w:t>B.</w:t>
      </w:r>
      <w:r w:rsidRPr="00E01C05">
        <w:tab/>
        <w:t>What is the objective of this division or program? Describe its major activities.</w:t>
      </w:r>
    </w:p>
    <w:p w14:paraId="5B939621" w14:textId="77777777" w:rsidR="00E01C05" w:rsidRPr="00E01C05" w:rsidRDefault="00E01C05" w:rsidP="00E01C05">
      <w:pPr>
        <w:pStyle w:val="BodyText"/>
      </w:pPr>
      <w:r w:rsidRPr="00E01C05">
        <w:t>The Commission Appeals Department provides legal counsel and administrative support to TWC’s three Commissioners by: </w:t>
      </w:r>
    </w:p>
    <w:p w14:paraId="47F365C7" w14:textId="77777777" w:rsidR="00E01C05" w:rsidRPr="00E01C05" w:rsidRDefault="00E01C05" w:rsidP="00C64851">
      <w:pPr>
        <w:pStyle w:val="BodyText"/>
        <w:numPr>
          <w:ilvl w:val="0"/>
          <w:numId w:val="755"/>
        </w:numPr>
      </w:pPr>
      <w:r w:rsidRPr="00E01C05">
        <w:t>Reviewing and recommending outcomes in appeals of lower-authority TWC decisions.  </w:t>
      </w:r>
    </w:p>
    <w:p w14:paraId="5F944B73" w14:textId="77777777" w:rsidR="00E01C05" w:rsidRPr="00E01C05" w:rsidRDefault="00E01C05" w:rsidP="00C64851">
      <w:pPr>
        <w:pStyle w:val="BodyText"/>
        <w:numPr>
          <w:ilvl w:val="0"/>
          <w:numId w:val="755"/>
        </w:numPr>
      </w:pPr>
      <w:r w:rsidRPr="00E01C05">
        <w:t>Facilitating dockets &amp; Commission votes. </w:t>
      </w:r>
    </w:p>
    <w:p w14:paraId="571F518B" w14:textId="77777777" w:rsidR="00E01C05" w:rsidRPr="00E01C05" w:rsidRDefault="00E01C05" w:rsidP="00C64851">
      <w:pPr>
        <w:pStyle w:val="BodyText"/>
        <w:numPr>
          <w:ilvl w:val="0"/>
          <w:numId w:val="755"/>
        </w:numPr>
      </w:pPr>
      <w:r w:rsidRPr="00E01C05">
        <w:t>Conducting occasional higher-level appeals hearings. </w:t>
      </w:r>
    </w:p>
    <w:p w14:paraId="6788285F" w14:textId="77777777" w:rsidR="00E01C05" w:rsidRPr="00E01C05" w:rsidRDefault="00E01C05" w:rsidP="00C64851">
      <w:pPr>
        <w:pStyle w:val="BodyText"/>
        <w:numPr>
          <w:ilvl w:val="0"/>
          <w:numId w:val="755"/>
        </w:numPr>
      </w:pPr>
      <w:r w:rsidRPr="00E01C05">
        <w:t>Issuing Commission decisions, primarily under the Texas Unemployment Compensation Act and other programs administered by TWC.  These other programs include Wage Claim (Wage &amp; Hour) appeals and Child Labor appeals under the Texas Labor Code. </w:t>
      </w:r>
    </w:p>
    <w:p w14:paraId="22E67A60" w14:textId="77777777" w:rsidR="00E01C05" w:rsidRPr="00E01C05" w:rsidRDefault="00E01C05" w:rsidP="00E01C05">
      <w:pPr>
        <w:pStyle w:val="BodyText"/>
      </w:pPr>
      <w:r w:rsidRPr="00E01C05">
        <w:lastRenderedPageBreak/>
        <w:t>The higher-authority appeals role of the Commission is the second and final administrative review of benefit issues and has the final administrative responsibility of establishing interpretations of law. </w:t>
      </w:r>
    </w:p>
    <w:p w14:paraId="4A948908" w14:textId="77777777" w:rsidR="000238DA" w:rsidRDefault="00E01C05" w:rsidP="00E01C05">
      <w:pPr>
        <w:pStyle w:val="BodyText"/>
      </w:pPr>
      <w:r w:rsidRPr="00E01C05">
        <w:t xml:space="preserve">The department’s administrative staff receive and sort incoming correspondence, determine which correspondence constitutes new appeals, and key each new appeal into the department’s inventory.  On a weekly basis, cases are assigned to Reviewing Attorneys.  Oldest cases, based on appeal date, are assigned first.  Reviewing Attorneys listen to the lower-authority hearing, review all documents in the case, and draft work product that summarizes the testimony and evidence, recommends a resolution in the case, and includes a draft decision based on the recommendation.  Supervising Attorneys and attorney peer reviewers review attorney work product for quality before releasing it to be circulated to the Commission offices.  Administrative staff assign completed cases to a docket number and notify General Counsel staff of the cases to be included for public notice.  </w:t>
      </w:r>
    </w:p>
    <w:p w14:paraId="10877BFD" w14:textId="74ED3198" w:rsidR="00E01C05" w:rsidRPr="00E01C05" w:rsidRDefault="00E01C05" w:rsidP="00E01C05">
      <w:pPr>
        <w:pStyle w:val="BodyText"/>
      </w:pPr>
      <w:r w:rsidRPr="00E01C05">
        <w:t>Commission office attorneys review the attorney work product.  If a Commission office attorney desires additional information or analysis, a supplemental summary may be requested from Commission Appeals, which is generated by the attorney that did the original work.  Commission office staff inform CA’s administrative staff (1) which cases should be “pulled” for discussion at the docket meeting, and (2) which cases they wish to dissent without discussing at the docket meeting.  At the docket meeting, Commission Appeals management facilitates the Commissioners discussion and voting on pulled cases, as well as votes by motion for cases not pulled.  After the docket meeting, CA administrative staff mail decisions that require no further work and key the decisions into the benefits system.  Decisions that require edits are sent to the original Reviewing Attorney.  Completed, edited decisions are circulated to the Commission officers for final approval. Once approved, CA administrative staff mail the decision and key the results of the decision into the benefits system.  In a few cases, the Reviewing Attorney may recommend, or the Commission may order that a rehearing be conducted to supplement the record, after which the case is placed on a second docket for voting on the merits.  This procedure is identical for UI, Wage Claim and Child Labor cases. </w:t>
      </w:r>
    </w:p>
    <w:p w14:paraId="456E3E77" w14:textId="77777777" w:rsidR="00E01C05" w:rsidRPr="00E01C05" w:rsidRDefault="00E01C05" w:rsidP="00C7793A">
      <w:pPr>
        <w:pStyle w:val="BodyText3"/>
      </w:pPr>
      <w:r w:rsidRPr="00E01C05">
        <w:t>C.</w:t>
      </w:r>
      <w:r w:rsidRPr="00E01C05">
        <w:tab/>
        <w:t xml:space="preserve">What information does the agency collect/use to assess the effectiveness and efficiency of this division or program? If applicable, briefly note any LBB performance measures (from Section II, </w:t>
      </w:r>
      <w:proofErr w:type="gramStart"/>
      <w:r w:rsidRPr="00E01C05">
        <w:t>Exhibit</w:t>
      </w:r>
      <w:proofErr w:type="gramEnd"/>
      <w:r w:rsidRPr="00E01C05">
        <w:t xml:space="preserve"> 2) but also provide any other metrics of program effectiveness and efficiency. Please provide the data source and/or methodology behind how each statistic or performance measure was determined. If you do not track measures of effectiveness for a given division, department, or program, please explain why.  </w:t>
      </w:r>
    </w:p>
    <w:p w14:paraId="315F293B" w14:textId="77777777" w:rsidR="00E01C05" w:rsidRPr="00E01C05" w:rsidRDefault="00E01C05" w:rsidP="00C64851">
      <w:pPr>
        <w:pStyle w:val="BodyText"/>
        <w:numPr>
          <w:ilvl w:val="0"/>
          <w:numId w:val="750"/>
        </w:numPr>
      </w:pPr>
      <w:r w:rsidRPr="00E01C05">
        <w:rPr>
          <w:u w:val="single"/>
        </w:rPr>
        <w:t>Average Case Age</w:t>
      </w:r>
      <w:r w:rsidRPr="00E01C05">
        <w:t xml:space="preserve">.  The department reports numerous performance measures to US DOL monthly.  Unlike lower-authority appeals, however, there is only 1 measure that can result in the department’s being placed on a performance improvement plan (SQSP)—Average Case Age.  Average Case Age is the average age in days of all UI cases in inventory, regardless of completion status or complexity, calculated </w:t>
      </w:r>
      <w:r w:rsidRPr="00E01C05">
        <w:lastRenderedPageBreak/>
        <w:t>based on the higher authority appeal date.  As an indirect measure of how rapidly decisions are issued, DOL has therefore prioritized timeliness of case resolution. </w:t>
      </w:r>
    </w:p>
    <w:p w14:paraId="2ABD99A5" w14:textId="77777777" w:rsidR="00E01C05" w:rsidRPr="00E01C05" w:rsidRDefault="00E01C05" w:rsidP="00C64851">
      <w:pPr>
        <w:pStyle w:val="BodyText"/>
        <w:numPr>
          <w:ilvl w:val="0"/>
          <w:numId w:val="751"/>
        </w:numPr>
      </w:pPr>
      <w:r w:rsidRPr="00E01C05">
        <w:rPr>
          <w:u w:val="single"/>
        </w:rPr>
        <w:t>Average Age at 1st Assignment</w:t>
      </w:r>
      <w:r w:rsidRPr="00E01C05">
        <w:t>—As an operational indicator, the department created and tracks weekly “Average Age at 1</w:t>
      </w:r>
      <w:r w:rsidRPr="00E01C05">
        <w:rPr>
          <w:vertAlign w:val="superscript"/>
        </w:rPr>
        <w:t>st</w:t>
      </w:r>
      <w:r w:rsidRPr="00E01C05">
        <w:t xml:space="preserve"> Assignment,” which is the average age of cases assigned to attorneys that have not been previously assigned.  “Age” means the number of days between appeal date and the date the case is first assigned to a Reviewing Attorney.  Assignments occur weekly, in sync with the Commissioner’s docket cycle. </w:t>
      </w:r>
    </w:p>
    <w:p w14:paraId="46BC2748" w14:textId="77777777" w:rsidR="00E01C05" w:rsidRPr="00E01C05" w:rsidRDefault="00E01C05" w:rsidP="00C64851">
      <w:pPr>
        <w:pStyle w:val="BodyText"/>
        <w:numPr>
          <w:ilvl w:val="0"/>
          <w:numId w:val="752"/>
        </w:numPr>
      </w:pPr>
      <w:r w:rsidRPr="00E01C05">
        <w:t>Some cases are assigned more than once.  There are various reasons for re-assignment, some procedurally required and some avoidable.  Because a finite number of cases can be assigned each week, each re-assigned case delays a fresh case from moving into active consideration. </w:t>
      </w:r>
    </w:p>
    <w:p w14:paraId="3B3BD4EA" w14:textId="77777777" w:rsidR="00E01C05" w:rsidRPr="00E01C05" w:rsidRDefault="00E01C05" w:rsidP="00C64851">
      <w:pPr>
        <w:pStyle w:val="BodyText"/>
        <w:numPr>
          <w:ilvl w:val="0"/>
          <w:numId w:val="753"/>
        </w:numPr>
      </w:pPr>
      <w:r w:rsidRPr="00E01C05">
        <w:t>The Average Age at 1st Assignment measure indicates whether the flow of fresh cases into assignment is sufficient to maintain DOL Average Case Age requirements.  A rising number indicates risk of backlog accumulation.  A falling number indicates possible inventory size reduction.  Interpretation of the measure depends heavily on specific operational context, as there are legitimate reasons that a case may be re-assigned, a rising number may sometimes be desirable, and there are factors outside the department’s control that can skew the results.  An example of an outside factor is the length of time other business areas delay before forwarding appeals they receive to CA.  </w:t>
      </w:r>
    </w:p>
    <w:p w14:paraId="72980373" w14:textId="77777777" w:rsidR="00E01C05" w:rsidRPr="00E01C05" w:rsidRDefault="00E01C05" w:rsidP="00664DC7">
      <w:pPr>
        <w:pStyle w:val="BodyText3"/>
      </w:pPr>
      <w:r w:rsidRPr="00E01C05">
        <w:t>D.</w:t>
      </w:r>
      <w:r w:rsidRPr="00E01C05">
        <w:tab/>
        <w:t>Describe any important history regarding this division or program not included in the general agency history section, including how the functions or services have changed over time. If the response to Section III of this report is sufficient, please leave this section blank. </w:t>
      </w:r>
    </w:p>
    <w:p w14:paraId="4CC93E9A" w14:textId="77777777" w:rsidR="00E01C05" w:rsidRPr="00E01C05" w:rsidRDefault="00E01C05" w:rsidP="00E01C05">
      <w:pPr>
        <w:pStyle w:val="BodyText"/>
      </w:pPr>
      <w:r w:rsidRPr="00E01C05">
        <w:t>For many years, both higher and lower levels of appeal were under the same Division Director, originally as part of the Unemployment Insurance Division, and starting in 2022 as part of the Appellate Services Division.  The Appellate Services Division was created in 2022 to concentrate Agency appeals into a single Division.  In 2024, the Commission Appeals Department was transferred to the Office of General Counsel because CA’s functions are designed to uniquely support the Commission offices.  The Appeals Tribunal (UI appeals) and the Special Program Appeals Department (primarily Wage Claim, Tax and Child Labor appeals) both remain in Appellate Services. </w:t>
      </w:r>
    </w:p>
    <w:p w14:paraId="695C0CA4" w14:textId="77777777" w:rsidR="00E01C05" w:rsidRPr="00E01C05" w:rsidRDefault="00E01C05" w:rsidP="00664DC7">
      <w:pPr>
        <w:pStyle w:val="BodyText3"/>
      </w:pPr>
      <w:r w:rsidRPr="00E01C05">
        <w:t>E.</w:t>
      </w:r>
      <w:r w:rsidRPr="00E01C05">
        <w:tab/>
        <w:t>List any qualifications or eligibility requirements for persons or entities affected by this division or program (e.g., licensees, consumers, and landowners). Provide a statistical breakdown of persons or entities affected. </w:t>
      </w:r>
    </w:p>
    <w:p w14:paraId="2A43C5AE" w14:textId="24762D84" w:rsidR="00E01C05" w:rsidRPr="00E01C05" w:rsidRDefault="00E01C05" w:rsidP="00C64851">
      <w:pPr>
        <w:pStyle w:val="BodyText"/>
        <w:numPr>
          <w:ilvl w:val="0"/>
          <w:numId w:val="756"/>
        </w:numPr>
      </w:pPr>
      <w:r w:rsidRPr="00E01C05">
        <w:t xml:space="preserve">Claimants and employers must meet </w:t>
      </w:r>
      <w:r w:rsidR="00DF4C9F">
        <w:t>three</w:t>
      </w:r>
      <w:r w:rsidRPr="00E01C05">
        <w:t xml:space="preserve"> requirements to file a valid higher-authority appeal: (1) must be a “party of interest” to the case, (2) must have received </w:t>
      </w:r>
      <w:r w:rsidRPr="00E01C05">
        <w:lastRenderedPageBreak/>
        <w:t>an adverse decision from lower-authority appeals, (3) must file the appeal during the statutory 14-day appeal period. </w:t>
      </w:r>
    </w:p>
    <w:p w14:paraId="05036B06" w14:textId="7FFB0D0C" w:rsidR="00E01C05" w:rsidRPr="00E01C05" w:rsidRDefault="00E01C05" w:rsidP="00C64851">
      <w:pPr>
        <w:pStyle w:val="BodyText"/>
        <w:numPr>
          <w:ilvl w:val="0"/>
          <w:numId w:val="756"/>
        </w:numPr>
      </w:pPr>
      <w:r w:rsidRPr="00E01C05">
        <w:t>Party of Interest is defined by TWC Rule 15 (40 TAC §815.15). </w:t>
      </w:r>
    </w:p>
    <w:p w14:paraId="6F2D6B3E" w14:textId="2991F649" w:rsidR="00E01C05" w:rsidRPr="00E01C05" w:rsidRDefault="00E01C05" w:rsidP="00C64851">
      <w:pPr>
        <w:pStyle w:val="BodyText"/>
        <w:numPr>
          <w:ilvl w:val="0"/>
          <w:numId w:val="756"/>
        </w:numPr>
      </w:pPr>
      <w:r w:rsidRPr="00E01C05">
        <w:t>Appeal period is defined by Texas Labor Code §212.104 and TWC Rule 32 (40 TAC §815.32).  </w:t>
      </w:r>
    </w:p>
    <w:p w14:paraId="64B8466D" w14:textId="77777777" w:rsidR="00E01C05" w:rsidRPr="00E01C05" w:rsidRDefault="00E01C05" w:rsidP="00664DC7">
      <w:pPr>
        <w:pStyle w:val="BodyText3"/>
      </w:pPr>
      <w:r w:rsidRPr="00E01C05">
        <w:t>F.</w:t>
      </w:r>
      <w:r w:rsidRPr="00E01C05">
        <w:tab/>
        <w:t>Describe how the division or program is administered, including a description of key processes involved. If you have existing documentation (e.g., flowcharts, timelines, and other illustrations) to describe agency policies and procedures, please include them as attachments. Indicate how field/regional services are used, if applicable. </w:t>
      </w:r>
    </w:p>
    <w:p w14:paraId="24CF3AB2" w14:textId="77777777" w:rsidR="00E01C05" w:rsidRPr="00E01C05" w:rsidRDefault="00E01C05" w:rsidP="00E01C05">
      <w:pPr>
        <w:pStyle w:val="BodyText"/>
      </w:pPr>
      <w:r w:rsidRPr="00E01C05">
        <w:t>Attached is the Commission Appeals Throughput Operating Strategy flowchart describing the appeal process. </w:t>
      </w:r>
    </w:p>
    <w:p w14:paraId="3D0B907C" w14:textId="77777777" w:rsidR="00E01C05" w:rsidRPr="00E01C05" w:rsidRDefault="00E01C05" w:rsidP="00E01C05">
      <w:pPr>
        <w:pStyle w:val="BodyText"/>
      </w:pPr>
      <w:r w:rsidRPr="00E01C05">
        <w:t>Attached is the Typical UI Appeal Path flowchart illustrating the unemployment insurance appeal path. </w:t>
      </w:r>
    </w:p>
    <w:p w14:paraId="7FB2CC5F" w14:textId="77777777" w:rsidR="00E01C05" w:rsidRPr="00E01C05" w:rsidRDefault="00E01C05" w:rsidP="00E01C05">
      <w:pPr>
        <w:pStyle w:val="BodyText"/>
      </w:pPr>
      <w:r w:rsidRPr="00E01C05">
        <w:t xml:space="preserve">The time frame for each case varies as explained in the </w:t>
      </w:r>
      <w:proofErr w:type="spellStart"/>
      <w:r w:rsidRPr="00E01C05">
        <w:t>Exhibit_GAP_OGC_UIPerformanceMeasures</w:t>
      </w:r>
      <w:proofErr w:type="spellEnd"/>
      <w:r w:rsidRPr="00E01C05">
        <w:t xml:space="preserve"> pdf to satisfy DOL requirements. </w:t>
      </w:r>
    </w:p>
    <w:p w14:paraId="73F97892" w14:textId="77777777" w:rsidR="00E01C05" w:rsidRPr="00E01C05" w:rsidRDefault="00E01C05" w:rsidP="00B154CE">
      <w:pPr>
        <w:pStyle w:val="BodyText3"/>
      </w:pPr>
      <w:r w:rsidRPr="00E01C05">
        <w:t>G.</w:t>
      </w:r>
      <w:r w:rsidRPr="00E01C05">
        <w:tab/>
        <w:t xml:space="preserve">If key to understanding the division or program, identify funding sources and amounts, including federal grants and pass-through monies. Describe any funding formulas or funding conventions. Please specify state funding sources (e.g., general revenue, appropriations rider, budget strategy, and fees/dues). </w:t>
      </w:r>
      <w:r w:rsidRPr="00E01C05">
        <w:rPr>
          <w:i/>
          <w:iCs/>
        </w:rPr>
        <w:t>(If you have already submitted funding source info through the “Agency Program Information” spreadsheet, please limit your response to funding formulas or funding conventions.)</w:t>
      </w:r>
      <w:r w:rsidRPr="00E01C05">
        <w:t> </w:t>
      </w:r>
    </w:p>
    <w:tbl>
      <w:tblPr>
        <w:tblStyle w:val="TableGrid1"/>
        <w:tblW w:w="9360" w:type="dxa"/>
        <w:tblCellMar>
          <w:top w:w="58" w:type="dxa"/>
          <w:bottom w:w="58" w:type="dxa"/>
        </w:tblCellMar>
        <w:tblLook w:val="04A0" w:firstRow="1" w:lastRow="0" w:firstColumn="1" w:lastColumn="0" w:noHBand="0" w:noVBand="1"/>
      </w:tblPr>
      <w:tblGrid>
        <w:gridCol w:w="3145"/>
        <w:gridCol w:w="2104"/>
        <w:gridCol w:w="1967"/>
        <w:gridCol w:w="2144"/>
      </w:tblGrid>
      <w:tr w:rsidR="00CC5216" w:rsidRPr="00CE2614" w14:paraId="442DF591" w14:textId="77777777" w:rsidTr="00CC5216">
        <w:trPr>
          <w:trHeight w:val="564"/>
        </w:trPr>
        <w:tc>
          <w:tcPr>
            <w:tcW w:w="3145" w:type="dxa"/>
            <w:shd w:val="clear" w:color="auto" w:fill="B8CCE4" w:themeFill="accent1" w:themeFillTint="66"/>
            <w:vAlign w:val="center"/>
            <w:hideMark/>
          </w:tcPr>
          <w:p w14:paraId="56B52AE2" w14:textId="77777777" w:rsidR="00CC5216" w:rsidRPr="00CE2614" w:rsidRDefault="00CC5216" w:rsidP="00CC5216">
            <w:pPr>
              <w:pStyle w:val="TableHeaders"/>
              <w:rPr>
                <w:color w:val="000000"/>
              </w:rPr>
            </w:pPr>
            <w:r w:rsidRPr="00CE2614">
              <w:t>Program or Function Detail Description</w:t>
            </w:r>
          </w:p>
        </w:tc>
        <w:tc>
          <w:tcPr>
            <w:tcW w:w="2430" w:type="dxa"/>
            <w:shd w:val="clear" w:color="auto" w:fill="B8CCE4" w:themeFill="accent1" w:themeFillTint="66"/>
            <w:vAlign w:val="center"/>
            <w:hideMark/>
          </w:tcPr>
          <w:p w14:paraId="7F3B0BC5" w14:textId="77777777" w:rsidR="00CC5216" w:rsidRPr="00CE2614" w:rsidRDefault="00CC5216" w:rsidP="00CC5216">
            <w:pPr>
              <w:pStyle w:val="TableHeaders"/>
              <w:rPr>
                <w:color w:val="000000"/>
              </w:rPr>
            </w:pPr>
            <w:r w:rsidRPr="00CE2614">
              <w:t>Total FY 2024</w:t>
            </w:r>
          </w:p>
        </w:tc>
        <w:tc>
          <w:tcPr>
            <w:tcW w:w="2250" w:type="dxa"/>
            <w:shd w:val="clear" w:color="auto" w:fill="B8CCE4" w:themeFill="accent1" w:themeFillTint="66"/>
            <w:vAlign w:val="center"/>
            <w:hideMark/>
          </w:tcPr>
          <w:p w14:paraId="173F8572" w14:textId="77777777" w:rsidR="00CC5216" w:rsidRPr="00CE2614" w:rsidRDefault="00CC5216" w:rsidP="00CC5216">
            <w:pPr>
              <w:pStyle w:val="TableHeaders"/>
              <w:rPr>
                <w:color w:val="000000"/>
              </w:rPr>
            </w:pPr>
            <w:r w:rsidRPr="00CE2614">
              <w:t>Federal Funding</w:t>
            </w:r>
          </w:p>
        </w:tc>
        <w:tc>
          <w:tcPr>
            <w:tcW w:w="2515" w:type="dxa"/>
            <w:shd w:val="clear" w:color="auto" w:fill="B8CCE4" w:themeFill="accent1" w:themeFillTint="66"/>
            <w:vAlign w:val="center"/>
            <w:hideMark/>
          </w:tcPr>
          <w:p w14:paraId="7AEF2A12" w14:textId="77777777" w:rsidR="00CC5216" w:rsidRPr="00CE2614" w:rsidRDefault="00CC5216" w:rsidP="00CC5216">
            <w:pPr>
              <w:pStyle w:val="TableHeaders"/>
              <w:rPr>
                <w:color w:val="000000"/>
              </w:rPr>
            </w:pPr>
            <w:r w:rsidRPr="00CE2614">
              <w:t>State Funding</w:t>
            </w:r>
          </w:p>
        </w:tc>
      </w:tr>
      <w:tr w:rsidR="00CC5216" w:rsidRPr="00CE2614" w14:paraId="7C6D9F9C" w14:textId="77777777" w:rsidTr="00CC5216">
        <w:trPr>
          <w:trHeight w:val="288"/>
        </w:trPr>
        <w:tc>
          <w:tcPr>
            <w:tcW w:w="3145" w:type="dxa"/>
            <w:noWrap/>
            <w:vAlign w:val="center"/>
            <w:hideMark/>
          </w:tcPr>
          <w:p w14:paraId="32328D6C" w14:textId="77777777" w:rsidR="00CC5216" w:rsidRPr="00CE2614" w:rsidRDefault="00CC5216" w:rsidP="00CC5216">
            <w:pPr>
              <w:pStyle w:val="TableText"/>
            </w:pPr>
            <w:r w:rsidRPr="00CE2614">
              <w:t>Commission Appeals</w:t>
            </w:r>
          </w:p>
        </w:tc>
        <w:tc>
          <w:tcPr>
            <w:tcW w:w="2430" w:type="dxa"/>
            <w:vAlign w:val="center"/>
            <w:hideMark/>
          </w:tcPr>
          <w:p w14:paraId="58684897" w14:textId="01274AF9" w:rsidR="00CC5216" w:rsidRPr="00CE2614" w:rsidRDefault="00CC5216" w:rsidP="00CC5216">
            <w:pPr>
              <w:pStyle w:val="TableText"/>
              <w:jc w:val="right"/>
            </w:pPr>
            <w:r w:rsidRPr="00CE2614">
              <w:t xml:space="preserve">2,815,855 </w:t>
            </w:r>
          </w:p>
        </w:tc>
        <w:tc>
          <w:tcPr>
            <w:tcW w:w="2250" w:type="dxa"/>
            <w:vAlign w:val="center"/>
            <w:hideMark/>
          </w:tcPr>
          <w:p w14:paraId="33B5B953" w14:textId="5B73DD77" w:rsidR="00CC5216" w:rsidRPr="00CE2614" w:rsidRDefault="00CC5216" w:rsidP="00CC5216">
            <w:pPr>
              <w:pStyle w:val="TableText"/>
              <w:jc w:val="right"/>
            </w:pPr>
            <w:r w:rsidRPr="00CE2614">
              <w:t xml:space="preserve">2,516,437 </w:t>
            </w:r>
          </w:p>
        </w:tc>
        <w:tc>
          <w:tcPr>
            <w:tcW w:w="2515" w:type="dxa"/>
            <w:vAlign w:val="center"/>
            <w:hideMark/>
          </w:tcPr>
          <w:p w14:paraId="5D937147" w14:textId="0704021D" w:rsidR="00CC5216" w:rsidRPr="00CE2614" w:rsidRDefault="00CC5216" w:rsidP="00CC5216">
            <w:pPr>
              <w:pStyle w:val="TableText"/>
              <w:jc w:val="right"/>
            </w:pPr>
            <w:r w:rsidRPr="00CE2614">
              <w:t xml:space="preserve">299,418 </w:t>
            </w:r>
          </w:p>
        </w:tc>
      </w:tr>
    </w:tbl>
    <w:p w14:paraId="29D4CC77" w14:textId="77777777" w:rsidR="00E01C05" w:rsidRPr="00E01C05" w:rsidRDefault="00E01C05" w:rsidP="00B154CE">
      <w:pPr>
        <w:pStyle w:val="BodyText3"/>
      </w:pPr>
      <w:r w:rsidRPr="00E01C05">
        <w:t>H.</w:t>
      </w:r>
      <w:r w:rsidRPr="00E01C05">
        <w:tab/>
        <w:t>Briefly discuss any memoranda of understanding (MOU), interagency agreements, or interagency contracts the agency uses to coordinate its activities and avoid duplication or conflict with other entities that provide similar or identical services or functions to the target population. </w:t>
      </w:r>
    </w:p>
    <w:p w14:paraId="0CA0EBD1" w14:textId="54FBEA45" w:rsidR="00CF6E19" w:rsidRPr="00E01C05" w:rsidRDefault="00CF6E19" w:rsidP="008978DC">
      <w:pPr>
        <w:pStyle w:val="BodyText"/>
        <w:ind w:left="360"/>
      </w:pPr>
      <w:r>
        <w:t>N/A</w:t>
      </w:r>
    </w:p>
    <w:p w14:paraId="3AEAEFF4" w14:textId="77777777" w:rsidR="00E01C05" w:rsidRPr="00E01C05" w:rsidRDefault="00E01C05" w:rsidP="00415C19">
      <w:pPr>
        <w:pStyle w:val="BodyText3"/>
      </w:pPr>
      <w:r w:rsidRPr="00E01C05">
        <w:t>I.</w:t>
      </w:r>
      <w:r w:rsidRPr="00E01C05">
        <w:tab/>
        <w:t>If the division or program works with local, regional, or federal units of government, include a brief description of these entities and their relationship to the agency. </w:t>
      </w:r>
    </w:p>
    <w:p w14:paraId="62043323" w14:textId="77777777" w:rsidR="00E01C05" w:rsidRPr="00E01C05" w:rsidRDefault="00E01C05" w:rsidP="00E01C05">
      <w:pPr>
        <w:pStyle w:val="BodyText"/>
      </w:pPr>
      <w:r w:rsidRPr="00E01C05">
        <w:lastRenderedPageBreak/>
        <w:t>Along with lower authority appeals, Commission Appeals operates within the mandatory federal/state partnership, driven by funding mechanisms and the threat of significant federal penalties for non-compliance. </w:t>
      </w:r>
    </w:p>
    <w:p w14:paraId="562ABB34" w14:textId="77777777" w:rsidR="00E01C05" w:rsidRPr="00E01C05" w:rsidRDefault="00E01C05" w:rsidP="00E01C05">
      <w:pPr>
        <w:pStyle w:val="BodyText"/>
      </w:pPr>
      <w:r w:rsidRPr="00E01C05">
        <w:t>The relationship between the federal and state entities is crucial.  The federal government provides the overarching framework, funding, and oversight, while the states implement and administer the program at the local level.  Non-compliance by a state can result in loss of the federal UI tax credit, which would significantly increase costs for employers in the state.  State cooperation and adherence to federal guidelines are critical to the success of the UI program. </w:t>
      </w:r>
    </w:p>
    <w:p w14:paraId="405C8C89" w14:textId="77777777" w:rsidR="00E01C05" w:rsidRPr="00E01C05" w:rsidRDefault="00E01C05" w:rsidP="00E01C05">
      <w:pPr>
        <w:pStyle w:val="BodyText"/>
      </w:pPr>
      <w:r w:rsidRPr="00E01C05">
        <w:t xml:space="preserve">USDOL oversight of state UI appellate processes </w:t>
      </w:r>
      <w:proofErr w:type="gramStart"/>
      <w:r w:rsidRPr="00E01C05">
        <w:t>is</w:t>
      </w:r>
      <w:proofErr w:type="gramEnd"/>
      <w:r w:rsidRPr="00E01C05">
        <w:t xml:space="preserve"> grounded in the Social Security Act, §§302(a) and 303(a)(1) and (3). </w:t>
      </w:r>
    </w:p>
    <w:p w14:paraId="39884B05" w14:textId="77777777" w:rsidR="00E01C05" w:rsidRPr="00E01C05" w:rsidRDefault="00E01C05" w:rsidP="00415C19">
      <w:pPr>
        <w:pStyle w:val="BodyText3"/>
      </w:pPr>
      <w:r w:rsidRPr="00E01C05">
        <w:t>J.</w:t>
      </w:r>
      <w:r w:rsidRPr="00E01C05">
        <w:tab/>
        <w:t>Are there any barriers or challenges that impede the division or program’s performance, including any outdated or ineffective state laws? Explain. </w:t>
      </w:r>
    </w:p>
    <w:p w14:paraId="3CB2E432" w14:textId="77777777" w:rsidR="00E01C05" w:rsidRPr="00E01C05" w:rsidRDefault="00E01C05" w:rsidP="00E01C05">
      <w:pPr>
        <w:pStyle w:val="BodyText"/>
      </w:pPr>
      <w:r w:rsidRPr="00E01C05">
        <w:t>Commission Appeals is currently out of compliance with DOL’s Average Case Age performance standard due to case backlog.  The most significant causes of reduced performance are (a) loss of significant institutional knowledge during the pandemic, (2) chronic understaffing despite extensive hiring efforts (addressed below), and (3) inability to retain newly hired staff long enough for them to become proficient (addressed below).  </w:t>
      </w:r>
    </w:p>
    <w:p w14:paraId="4BE863F1" w14:textId="77777777" w:rsidR="00E01C05" w:rsidRPr="00E01C05" w:rsidRDefault="00E01C05" w:rsidP="00E01C05">
      <w:pPr>
        <w:pStyle w:val="BodyText"/>
      </w:pPr>
      <w:r w:rsidRPr="00E01C05">
        <w:t>Prior to the pandemic, the majority of the department’s staff had been with the department for 10+ years, and many had 20+ years’ experience.  As an essential business, Commission Appeals remained in full operation during the pandemic.  The frequently changing and unpredictable nature of federal unemployment programs and DOL guidance on those programs increased the difficulty and stress of the work.  Increasing numbers of experienced staff elected to retire.  The result was a simultaneous increase in complexity of work and decrease in skill level and experience of staff.  Low rates of pay, combined with the universal availability of telework options with other employers due to the pandemic (previously a rare benefit for attorneys that the department relied upon heavily to retain staff), prevented recovery from these losses.  Highly skilled and productive employees tended to leave after a short time.  </w:t>
      </w:r>
    </w:p>
    <w:p w14:paraId="494456AE" w14:textId="77777777" w:rsidR="00E01C05" w:rsidRPr="00E01C05" w:rsidRDefault="00E01C05" w:rsidP="00E01C05">
      <w:pPr>
        <w:pStyle w:val="BodyText"/>
      </w:pPr>
      <w:r w:rsidRPr="00E01C05">
        <w:t>During and after the pandemic, significant efforts to improve attorney training improved retention to some extent.  However, In October 2024, pay rates across the department were raised to match average pay statewide for each job classification, and retention has dramatically improved. </w:t>
      </w:r>
    </w:p>
    <w:p w14:paraId="63164870" w14:textId="77777777" w:rsidR="00E01C05" w:rsidRPr="00E01C05" w:rsidRDefault="00E01C05" w:rsidP="00E01C05">
      <w:pPr>
        <w:pStyle w:val="BodyText"/>
      </w:pPr>
      <w:r w:rsidRPr="00E01C05">
        <w:t>The department’s current most significant challenge is the extremely small number of employees with sufficient institutional knowledge to simultaneously perform complex work, mentor large numbers of new employees, and perform effective quality control in sufficient volume to reduce inventory size.  Attrition during and after the pandemic has effectively removed all experienced employees who were qualified to advance in the department. </w:t>
      </w:r>
    </w:p>
    <w:p w14:paraId="539D02F2" w14:textId="77777777" w:rsidR="00E01C05" w:rsidRPr="00E01C05" w:rsidRDefault="00E01C05" w:rsidP="00E01C05">
      <w:pPr>
        <w:pStyle w:val="BodyText"/>
      </w:pPr>
      <w:r w:rsidRPr="00E01C05">
        <w:lastRenderedPageBreak/>
        <w:t>The department is seeking to establish a contract with an outside vendor to bring in highly experienced UI attorney mentors/managers (with experience from other states) to assist and support mentoring and quality control functions, to expedite accumulation of institutional knowledge among newer employees and to help increase the production capacity of the department. </w:t>
      </w:r>
    </w:p>
    <w:p w14:paraId="56492AB0" w14:textId="77777777" w:rsidR="00E01C05" w:rsidRPr="00E01C05" w:rsidRDefault="00E01C05" w:rsidP="00415C19">
      <w:pPr>
        <w:pStyle w:val="BodyText3"/>
      </w:pPr>
      <w:r w:rsidRPr="00E01C05">
        <w:t>K.</w:t>
      </w:r>
      <w:r w:rsidRPr="00E01C05">
        <w:tab/>
        <w:t>Provide any additional information needed to gain a preliminary understanding of the division or program. </w:t>
      </w:r>
    </w:p>
    <w:p w14:paraId="4FF7867E" w14:textId="2631102A" w:rsidR="00E01C05" w:rsidRPr="00E01C05" w:rsidRDefault="00E01C05" w:rsidP="00E01C05">
      <w:pPr>
        <w:pStyle w:val="BodyText"/>
      </w:pPr>
      <w:r w:rsidRPr="00E01C05">
        <w:t>N</w:t>
      </w:r>
      <w:r w:rsidR="00415C19">
        <w:t>/A</w:t>
      </w:r>
    </w:p>
    <w:p w14:paraId="65EF6078" w14:textId="77777777" w:rsidR="00E01C05" w:rsidRPr="00E01C05" w:rsidRDefault="00E01C05" w:rsidP="00415C19">
      <w:pPr>
        <w:pStyle w:val="BodyText3"/>
      </w:pPr>
      <w:r w:rsidRPr="00E01C05">
        <w:t>L.</w:t>
      </w:r>
      <w:r w:rsidRPr="00E01C05">
        <w:tab/>
        <w:t>Regulatory programs relate to the licensing, registration, certification, or permitting of a person, business, piece of equipment, or other entity (e.g., a facility). For each regulatory program, if applicable, describe: </w:t>
      </w:r>
    </w:p>
    <w:p w14:paraId="2B54CD7D" w14:textId="77777777" w:rsidR="00E01C05" w:rsidRPr="00E01C05" w:rsidRDefault="00E01C05" w:rsidP="00415C19">
      <w:pPr>
        <w:pStyle w:val="BodyText"/>
      </w:pPr>
      <w:r w:rsidRPr="00E01C05">
        <w:t>N/A </w:t>
      </w:r>
    </w:p>
    <w:p w14:paraId="6F5BEB7B" w14:textId="77777777" w:rsidR="00E01C05" w:rsidRPr="00E01C05" w:rsidRDefault="00E01C05" w:rsidP="00415C19">
      <w:pPr>
        <w:pStyle w:val="BodyText3"/>
      </w:pPr>
      <w:r w:rsidRPr="00E01C05">
        <w:t>M.</w:t>
      </w:r>
      <w:r w:rsidRPr="00E01C05">
        <w:tab/>
        <w:t>For each regulatory program, if applicable, provide detailed information on complaint and regulatory actions, including investigations and complaint resolutions. The data should cover the last five fiscal years and give a complete picture of the program’s regulatory activity, including comprehensive information from initiation of a complaint to resolution of a case. The purpose of the table is to create uniformity across agencies under review to the extent possible, but you may make small adjustments to the table headings as needed to better reflect your agency’s particular programs. If necessary to understand the data, please include a brief description of the data source and/or methodology supporting each measure. In addition, please briefly explain or define terms as used by your agency such as complaint, grievance, investigation, enforcement action, jurisdictional scope, etc. </w:t>
      </w:r>
    </w:p>
    <w:p w14:paraId="7A7861DC" w14:textId="43BE7F5A" w:rsidR="00415C19" w:rsidRDefault="00E01C05" w:rsidP="00B47F49">
      <w:pPr>
        <w:pStyle w:val="BodyText"/>
      </w:pPr>
      <w:r w:rsidRPr="00E01C05">
        <w:t>N/A </w:t>
      </w:r>
      <w:r w:rsidR="00415C19">
        <w:br w:type="page"/>
      </w:r>
    </w:p>
    <w:p w14:paraId="328FE482" w14:textId="4C32BBDC" w:rsidR="00E01C05" w:rsidRPr="00E01C05" w:rsidRDefault="00E01C05" w:rsidP="00415C19">
      <w:pPr>
        <w:pStyle w:val="BodyText3"/>
        <w:jc w:val="center"/>
      </w:pPr>
      <w:r w:rsidRPr="00E01C05">
        <w:lastRenderedPageBreak/>
        <w:t>Commission Appeals Flowchart</w:t>
      </w:r>
    </w:p>
    <w:p w14:paraId="3649D391" w14:textId="7FC541E2" w:rsidR="00427721" w:rsidRDefault="00E01C05" w:rsidP="00E01C05">
      <w:pPr>
        <w:pStyle w:val="BodyText"/>
      </w:pPr>
      <w:r w:rsidRPr="00E01C05">
        <w:rPr>
          <w:noProof/>
        </w:rPr>
        <w:drawing>
          <wp:inline distT="0" distB="0" distL="0" distR="0" wp14:anchorId="3D284459" wp14:editId="35291A05">
            <wp:extent cx="5943600" cy="4457700"/>
            <wp:effectExtent l="0" t="0" r="0" b="0"/>
            <wp:docPr id="828321999" name="Picture 8" descr="Commission Appeals flowchart from intaking an appeal to mailing out the fina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21999" name="Picture 8" descr="Commission Appeals flowchart from intaking an appeal to mailing out the final document."/>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D7D6739" w14:textId="77777777" w:rsidR="00427721" w:rsidRDefault="00427721">
      <w:pPr>
        <w:rPr>
          <w:rFonts w:ascii="Arial" w:eastAsiaTheme="minorEastAsia" w:hAnsi="Arial"/>
          <w:szCs w:val="22"/>
        </w:rPr>
      </w:pPr>
      <w:r>
        <w:br w:type="page"/>
      </w:r>
    </w:p>
    <w:p w14:paraId="49463226" w14:textId="2DABA5B5" w:rsidR="00E01C05" w:rsidRPr="00E01C05" w:rsidRDefault="00E01C05" w:rsidP="00427721">
      <w:pPr>
        <w:pStyle w:val="BodyText3"/>
        <w:jc w:val="center"/>
      </w:pPr>
      <w:r w:rsidRPr="00E01C05">
        <w:lastRenderedPageBreak/>
        <w:t>Unemployment Insurance Appeal Path</w:t>
      </w:r>
    </w:p>
    <w:p w14:paraId="5B04072E" w14:textId="0A54088A" w:rsidR="00E01C05" w:rsidRPr="00E01C05" w:rsidRDefault="00E01C05" w:rsidP="00E01C05">
      <w:pPr>
        <w:pStyle w:val="BodyText"/>
      </w:pPr>
      <w:r w:rsidRPr="00E01C05">
        <w:rPr>
          <w:noProof/>
        </w:rPr>
        <w:drawing>
          <wp:inline distT="0" distB="0" distL="0" distR="0" wp14:anchorId="4CD2D962" wp14:editId="62699BA1">
            <wp:extent cx="5943600" cy="4457700"/>
            <wp:effectExtent l="0" t="0" r="0" b="0"/>
            <wp:docPr id="1487135857" name="Picture 7" descr="Flowchart showing the typical Unemployment Insurance Appeal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35857" name="Picture 7" descr="Flowchart showing the typical Unemployment Insurance Appeal Path"/>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64802F4" w14:textId="77777777" w:rsidR="00986728" w:rsidRDefault="00986728">
      <w:pPr>
        <w:rPr>
          <w:b/>
        </w:rPr>
      </w:pPr>
      <w:r>
        <w:br w:type="page"/>
      </w:r>
    </w:p>
    <w:p w14:paraId="181E3641" w14:textId="2D5775AE" w:rsidR="009A01B2" w:rsidRDefault="009A01B2" w:rsidP="00330D71">
      <w:pPr>
        <w:pStyle w:val="Heading1"/>
      </w:pPr>
      <w:bookmarkStart w:id="303" w:name="_Toc2025957776"/>
      <w:bookmarkStart w:id="304" w:name="_Toc203377338"/>
      <w:r>
        <w:lastRenderedPageBreak/>
        <w:t>VIII.</w:t>
      </w:r>
      <w:r w:rsidR="554A5BC3">
        <w:t xml:space="preserve"> </w:t>
      </w:r>
      <w:r>
        <w:t>Statutory Authority and Recent Legislation</w:t>
      </w:r>
      <w:bookmarkEnd w:id="303"/>
      <w:bookmarkEnd w:id="304"/>
    </w:p>
    <w:p w14:paraId="5A1416F5" w14:textId="42189E9F" w:rsidR="009A01B2" w:rsidRPr="006375D3" w:rsidRDefault="006375D3" w:rsidP="001E5F87">
      <w:pPr>
        <w:pStyle w:val="BodyText3"/>
        <w:rPr>
          <w:rStyle w:val="Strong"/>
        </w:rPr>
      </w:pPr>
      <w:bookmarkStart w:id="305" w:name="_Toc417645539"/>
      <w:bookmarkStart w:id="306" w:name="_Toc417647528"/>
      <w:r>
        <w:rPr>
          <w:rStyle w:val="Strong"/>
        </w:rPr>
        <w:t>A.</w:t>
      </w:r>
      <w:r w:rsidR="0B02DDE9" w:rsidRPr="1241769C">
        <w:rPr>
          <w:rStyle w:val="Strong"/>
        </w:rPr>
        <w:t xml:space="preserve"> </w:t>
      </w:r>
      <w:r w:rsidR="009A01B2" w:rsidRPr="006375D3">
        <w:rPr>
          <w:rStyle w:val="Strong"/>
        </w:rPr>
        <w:t xml:space="preserve">Fill in the following </w:t>
      </w:r>
      <w:r w:rsidR="002F08F9">
        <w:rPr>
          <w:rStyle w:val="Strong"/>
        </w:rPr>
        <w:t>tables</w:t>
      </w:r>
      <w:r w:rsidR="009A01B2" w:rsidRPr="006375D3">
        <w:rPr>
          <w:rStyle w:val="Strong"/>
        </w:rPr>
        <w:t>, listing citations for all state and federal statutes that grant authority to or otherwise significantly impact your agency</w:t>
      </w:r>
      <w:r w:rsidR="00832B49">
        <w:rPr>
          <w:rStyle w:val="Strong"/>
        </w:rPr>
        <w:t xml:space="preserve">. </w:t>
      </w:r>
      <w:r w:rsidR="009A01B2" w:rsidRPr="006375D3">
        <w:rPr>
          <w:rStyle w:val="Strong"/>
        </w:rPr>
        <w:t>Do not include general state statutes that apply to all agencies such as the Public Information Act, the Open Meetings Act, or the Administrative Procedure Act</w:t>
      </w:r>
      <w:r w:rsidR="00832B49">
        <w:rPr>
          <w:rStyle w:val="Strong"/>
        </w:rPr>
        <w:t xml:space="preserve">. </w:t>
      </w:r>
      <w:r w:rsidR="009A01B2" w:rsidRPr="006375D3">
        <w:rPr>
          <w:rStyle w:val="Strong"/>
        </w:rPr>
        <w:t xml:space="preserve">Provide information on Attorney </w:t>
      </w:r>
      <w:r w:rsidR="00F44616" w:rsidRPr="006375D3">
        <w:rPr>
          <w:rStyle w:val="Strong"/>
        </w:rPr>
        <w:t xml:space="preserve">General opinions from </w:t>
      </w:r>
      <w:r w:rsidR="006D0346">
        <w:rPr>
          <w:rStyle w:val="Strong"/>
        </w:rPr>
        <w:t>fiscal years</w:t>
      </w:r>
      <w:r w:rsidR="0052520C" w:rsidRPr="006375D3">
        <w:rPr>
          <w:rStyle w:val="Strong"/>
        </w:rPr>
        <w:t xml:space="preserve"> </w:t>
      </w:r>
      <w:r w:rsidR="00F44616" w:rsidRPr="006375D3">
        <w:rPr>
          <w:rStyle w:val="Strong"/>
        </w:rPr>
        <w:t>20</w:t>
      </w:r>
      <w:r w:rsidR="00397FFD">
        <w:rPr>
          <w:rStyle w:val="Strong"/>
        </w:rPr>
        <w:t>20</w:t>
      </w:r>
      <w:r w:rsidR="00257375">
        <w:rPr>
          <w:rStyle w:val="Strong"/>
        </w:rPr>
        <w:t>-</w:t>
      </w:r>
      <w:r w:rsidR="00AB343A" w:rsidRPr="006375D3">
        <w:rPr>
          <w:rStyle w:val="Strong"/>
        </w:rPr>
        <w:t>2</w:t>
      </w:r>
      <w:r w:rsidR="00397FFD">
        <w:rPr>
          <w:rStyle w:val="Strong"/>
        </w:rPr>
        <w:t>024</w:t>
      </w:r>
      <w:r w:rsidR="009A01B2" w:rsidRPr="006375D3">
        <w:rPr>
          <w:rStyle w:val="Strong"/>
        </w:rPr>
        <w:t xml:space="preserve"> or earlier significant Attorney General opinions that affect your agency</w:t>
      </w:r>
      <w:r w:rsidR="00F044D6">
        <w:rPr>
          <w:rStyle w:val="Strong"/>
        </w:rPr>
        <w:t>’</w:t>
      </w:r>
      <w:r w:rsidR="009A01B2" w:rsidRPr="006375D3">
        <w:rPr>
          <w:rStyle w:val="Strong"/>
        </w:rPr>
        <w:t>s operations.</w:t>
      </w:r>
      <w:bookmarkEnd w:id="305"/>
      <w:bookmarkEnd w:id="306"/>
    </w:p>
    <w:p w14:paraId="3D894367" w14:textId="77777777" w:rsidR="00070B70" w:rsidRDefault="00070B70" w:rsidP="003A7DC4">
      <w:pPr>
        <w:pStyle w:val="BodyText3"/>
        <w:jc w:val="center"/>
      </w:pPr>
      <w:bookmarkStart w:id="307" w:name="_Toc202856329"/>
      <w:bookmarkStart w:id="308" w:name="_Toc202857158"/>
      <w:bookmarkStart w:id="309" w:name="_Toc202860938"/>
      <w:bookmarkStart w:id="310" w:name="_Toc202861113"/>
      <w:bookmarkStart w:id="311" w:name="_Toc234769699"/>
      <w:bookmarkStart w:id="312" w:name="_Toc1555303454"/>
      <w:bookmarkStart w:id="313" w:name="_Toc417645541"/>
      <w:bookmarkStart w:id="314" w:name="_Toc417647530"/>
      <w:r>
        <w:t>Texas Workforce Commission</w:t>
      </w:r>
      <w:bookmarkEnd w:id="307"/>
      <w:bookmarkEnd w:id="308"/>
      <w:bookmarkEnd w:id="309"/>
      <w:bookmarkEnd w:id="310"/>
      <w:bookmarkEnd w:id="311"/>
      <w:bookmarkEnd w:id="312"/>
    </w:p>
    <w:p w14:paraId="0EE4A401" w14:textId="210960EF" w:rsidR="00863947" w:rsidRDefault="00863947" w:rsidP="003A7DC4">
      <w:pPr>
        <w:pStyle w:val="BodyText3"/>
        <w:jc w:val="center"/>
      </w:pPr>
      <w:r>
        <w:t>Exhibit 15: Statues/Attorney General Opinions</w:t>
      </w:r>
    </w:p>
    <w:p w14:paraId="54AAF64A" w14:textId="44A20161" w:rsidR="001E6500" w:rsidRDefault="001E6500" w:rsidP="003A7DC4">
      <w:pPr>
        <w:pStyle w:val="BodyText3"/>
        <w:jc w:val="center"/>
      </w:pPr>
      <w:r>
        <w:t>Statutes</w:t>
      </w:r>
    </w:p>
    <w:tbl>
      <w:tblPr>
        <w:tblStyle w:val="TableGrid1"/>
        <w:tblW w:w="9172" w:type="dxa"/>
        <w:tblLayout w:type="fixed"/>
        <w:tblCellMar>
          <w:top w:w="58" w:type="dxa"/>
          <w:bottom w:w="58" w:type="dxa"/>
        </w:tblCellMar>
        <w:tblLook w:val="04A0" w:firstRow="1" w:lastRow="0" w:firstColumn="1" w:lastColumn="0" w:noHBand="0" w:noVBand="1"/>
        <w:tblCaption w:val="Exhibit 13: Statutes/Attorney General Options"/>
      </w:tblPr>
      <w:tblGrid>
        <w:gridCol w:w="2604"/>
        <w:gridCol w:w="3166"/>
        <w:gridCol w:w="3402"/>
      </w:tblGrid>
      <w:tr w:rsidR="007873D5" w:rsidRPr="007873D5" w14:paraId="2DEBD9B1" w14:textId="77777777" w:rsidTr="00CC51AC">
        <w:trPr>
          <w:trHeight w:val="300"/>
          <w:tblHeader/>
        </w:trPr>
        <w:tc>
          <w:tcPr>
            <w:tcW w:w="2604" w:type="dxa"/>
            <w:shd w:val="clear" w:color="auto" w:fill="B8CCE4" w:themeFill="accent1" w:themeFillTint="66"/>
            <w:vAlign w:val="center"/>
            <w:hideMark/>
          </w:tcPr>
          <w:bookmarkEnd w:id="313"/>
          <w:bookmarkEnd w:id="314"/>
          <w:p w14:paraId="531797DD" w14:textId="7C1723AA" w:rsidR="007873D5" w:rsidRPr="007873D5" w:rsidRDefault="007873D5" w:rsidP="007873D5">
            <w:pPr>
              <w:pStyle w:val="TableHeaders"/>
            </w:pPr>
            <w:r w:rsidRPr="007873D5">
              <w:t>Services/Activities</w:t>
            </w:r>
          </w:p>
        </w:tc>
        <w:tc>
          <w:tcPr>
            <w:tcW w:w="3166" w:type="dxa"/>
            <w:shd w:val="clear" w:color="auto" w:fill="B8CCE4" w:themeFill="accent1" w:themeFillTint="66"/>
            <w:vAlign w:val="center"/>
            <w:hideMark/>
          </w:tcPr>
          <w:p w14:paraId="4B29DD9D" w14:textId="1EC0207A" w:rsidR="007873D5" w:rsidRPr="007873D5" w:rsidRDefault="007873D5" w:rsidP="007873D5">
            <w:pPr>
              <w:pStyle w:val="TableHeaders"/>
            </w:pPr>
            <w:r w:rsidRPr="007873D5">
              <w:t>Citation/Title</w:t>
            </w:r>
          </w:p>
        </w:tc>
        <w:tc>
          <w:tcPr>
            <w:tcW w:w="3402" w:type="dxa"/>
            <w:shd w:val="clear" w:color="auto" w:fill="B8CCE4" w:themeFill="accent1" w:themeFillTint="66"/>
            <w:vAlign w:val="center"/>
            <w:hideMark/>
          </w:tcPr>
          <w:p w14:paraId="2027B232" w14:textId="4BAABB91" w:rsidR="007873D5" w:rsidRPr="007873D5" w:rsidRDefault="007873D5" w:rsidP="007873D5">
            <w:pPr>
              <w:pStyle w:val="TableHeaders"/>
            </w:pPr>
            <w:r w:rsidRPr="007873D5">
              <w:t>Authority/Impact on Agency</w:t>
            </w:r>
          </w:p>
        </w:tc>
      </w:tr>
      <w:tr w:rsidR="007873D5" w:rsidRPr="001E353D" w14:paraId="6561537B" w14:textId="77777777" w:rsidTr="00711F75">
        <w:trPr>
          <w:trHeight w:val="300"/>
        </w:trPr>
        <w:tc>
          <w:tcPr>
            <w:tcW w:w="9172" w:type="dxa"/>
            <w:gridSpan w:val="3"/>
            <w:vAlign w:val="center"/>
            <w:hideMark/>
          </w:tcPr>
          <w:p w14:paraId="4C0B379D" w14:textId="77777777" w:rsidR="007873D5" w:rsidRPr="00037937" w:rsidRDefault="007873D5" w:rsidP="00711F75">
            <w:pPr>
              <w:pStyle w:val="TableText"/>
              <w:jc w:val="center"/>
              <w:rPr>
                <w:b/>
                <w:bCs/>
              </w:rPr>
            </w:pPr>
            <w:r w:rsidRPr="00037937">
              <w:rPr>
                <w:b/>
                <w:bCs/>
              </w:rPr>
              <w:t>Administrative</w:t>
            </w:r>
          </w:p>
        </w:tc>
      </w:tr>
      <w:tr w:rsidR="007873D5" w:rsidRPr="00711F75" w14:paraId="5D793DDB" w14:textId="77777777" w:rsidTr="007873D5">
        <w:trPr>
          <w:trHeight w:val="1545"/>
        </w:trPr>
        <w:tc>
          <w:tcPr>
            <w:tcW w:w="2604" w:type="dxa"/>
            <w:hideMark/>
          </w:tcPr>
          <w:p w14:paraId="61CC8088" w14:textId="77777777" w:rsidR="007873D5" w:rsidRPr="00711F75" w:rsidRDefault="007873D5" w:rsidP="00711F75">
            <w:pPr>
              <w:pStyle w:val="TableText"/>
            </w:pPr>
            <w:r w:rsidRPr="00711F75">
              <w:t>State Agency Employment Openings</w:t>
            </w:r>
          </w:p>
        </w:tc>
        <w:tc>
          <w:tcPr>
            <w:tcW w:w="3166" w:type="dxa"/>
            <w:hideMark/>
          </w:tcPr>
          <w:p w14:paraId="7D6BBBFE" w14:textId="77777777" w:rsidR="007873D5" w:rsidRPr="00711F75" w:rsidRDefault="007873D5" w:rsidP="00711F75">
            <w:pPr>
              <w:pStyle w:val="TableText"/>
            </w:pPr>
            <w:r w:rsidRPr="00711F75">
              <w:t>State Statute:</w:t>
            </w:r>
          </w:p>
          <w:p w14:paraId="2917F044" w14:textId="77777777" w:rsidR="007873D5" w:rsidRPr="00711F75" w:rsidRDefault="007873D5" w:rsidP="00711F75">
            <w:pPr>
              <w:pStyle w:val="TableText"/>
            </w:pPr>
            <w:r w:rsidRPr="00711F75">
              <w:t>Government Code §656.001 </w:t>
            </w:r>
          </w:p>
        </w:tc>
        <w:tc>
          <w:tcPr>
            <w:tcW w:w="3402" w:type="dxa"/>
            <w:hideMark/>
          </w:tcPr>
          <w:p w14:paraId="16693740" w14:textId="77777777" w:rsidR="007873D5" w:rsidRPr="00711F75" w:rsidRDefault="007873D5" w:rsidP="00711F75">
            <w:pPr>
              <w:pStyle w:val="TableText"/>
            </w:pPr>
            <w:r w:rsidRPr="00711F75">
              <w:t>Provides that any agency, board, bureau, commission, committee, council, court, department, institution, or office in the executive or judicial branch of state government that has an employment opening for which persons from outside the agency will be considered shall list the opening with TWC.</w:t>
            </w:r>
          </w:p>
        </w:tc>
      </w:tr>
      <w:tr w:rsidR="007873D5" w:rsidRPr="001E353D" w14:paraId="6250A906" w14:textId="77777777" w:rsidTr="00711F75">
        <w:trPr>
          <w:trHeight w:val="675"/>
        </w:trPr>
        <w:tc>
          <w:tcPr>
            <w:tcW w:w="2604" w:type="dxa"/>
            <w:vAlign w:val="center"/>
            <w:hideMark/>
          </w:tcPr>
          <w:p w14:paraId="0F46EFD3" w14:textId="77777777" w:rsidR="007873D5" w:rsidRPr="001E353D" w:rsidRDefault="007873D5" w:rsidP="00711F75">
            <w:pPr>
              <w:pStyle w:val="TableText"/>
            </w:pPr>
            <w:r>
              <w:t>State Agency Lease Space </w:t>
            </w:r>
          </w:p>
        </w:tc>
        <w:tc>
          <w:tcPr>
            <w:tcW w:w="3166" w:type="dxa"/>
            <w:vAlign w:val="center"/>
            <w:hideMark/>
          </w:tcPr>
          <w:p w14:paraId="2F6B2F65" w14:textId="77777777" w:rsidR="007873D5" w:rsidRPr="001E353D" w:rsidRDefault="007873D5" w:rsidP="00711F75">
            <w:pPr>
              <w:pStyle w:val="TableText"/>
            </w:pPr>
            <w:r>
              <w:t>State Statute: </w:t>
            </w:r>
          </w:p>
          <w:p w14:paraId="3E0602F1" w14:textId="77777777" w:rsidR="007873D5" w:rsidRPr="001E353D" w:rsidRDefault="007873D5" w:rsidP="00711F75">
            <w:pPr>
              <w:pStyle w:val="TableText"/>
            </w:pPr>
            <w:r>
              <w:t>Government Code §2167.001(b)(6) </w:t>
            </w:r>
          </w:p>
        </w:tc>
        <w:tc>
          <w:tcPr>
            <w:tcW w:w="3402" w:type="dxa"/>
            <w:vAlign w:val="center"/>
            <w:hideMark/>
          </w:tcPr>
          <w:p w14:paraId="07ABBBCF" w14:textId="77777777" w:rsidR="007873D5" w:rsidRPr="001E353D" w:rsidRDefault="007873D5" w:rsidP="00711F75">
            <w:pPr>
              <w:pStyle w:val="TableText"/>
            </w:pPr>
            <w:r>
              <w:t>Provides an exemption for TWC from provisions relating to lease space by state Facilities Commission </w:t>
            </w:r>
          </w:p>
        </w:tc>
      </w:tr>
      <w:tr w:rsidR="007873D5" w:rsidRPr="001E353D" w14:paraId="18F0F07C" w14:textId="77777777" w:rsidTr="00711F75">
        <w:trPr>
          <w:trHeight w:val="1755"/>
        </w:trPr>
        <w:tc>
          <w:tcPr>
            <w:tcW w:w="2604" w:type="dxa"/>
            <w:vAlign w:val="center"/>
            <w:hideMark/>
          </w:tcPr>
          <w:p w14:paraId="4B712731" w14:textId="77777777" w:rsidR="007873D5" w:rsidRPr="001E353D" w:rsidRDefault="007873D5" w:rsidP="00711F75">
            <w:pPr>
              <w:pStyle w:val="TableText"/>
            </w:pPr>
            <w:r>
              <w:t>Interpreter Services; Bilingual Forms </w:t>
            </w:r>
          </w:p>
        </w:tc>
        <w:tc>
          <w:tcPr>
            <w:tcW w:w="3166" w:type="dxa"/>
            <w:vAlign w:val="center"/>
            <w:hideMark/>
          </w:tcPr>
          <w:p w14:paraId="4EF95EBD" w14:textId="77777777" w:rsidR="007873D5" w:rsidRPr="001E353D" w:rsidRDefault="007873D5" w:rsidP="00711F75">
            <w:pPr>
              <w:pStyle w:val="TableText"/>
            </w:pPr>
            <w:r>
              <w:t>State Statute: </w:t>
            </w:r>
          </w:p>
          <w:p w14:paraId="4FB44DA1" w14:textId="77777777" w:rsidR="007873D5" w:rsidRPr="001E353D" w:rsidRDefault="007873D5" w:rsidP="00711F75">
            <w:pPr>
              <w:pStyle w:val="TableText"/>
            </w:pPr>
            <w:r>
              <w:t>Labor Code §301.064 </w:t>
            </w:r>
          </w:p>
        </w:tc>
        <w:tc>
          <w:tcPr>
            <w:tcW w:w="3402" w:type="dxa"/>
            <w:vAlign w:val="center"/>
            <w:hideMark/>
          </w:tcPr>
          <w:p w14:paraId="5312F294" w14:textId="77777777" w:rsidR="007873D5" w:rsidRPr="001E353D" w:rsidRDefault="007873D5" w:rsidP="00711F75">
            <w:pPr>
              <w:pStyle w:val="TableText"/>
            </w:pPr>
            <w:r>
              <w:t>Requires TWC to provide language interpreters for agency programs through a comprehensive language services program for persons whose primary language is Spanish and permits TWC to provide language interpreters for agency programs for non-Spanish or English speakers. Requires essential agency forms and instructional information to be printed in both English and Spanish.</w:t>
            </w:r>
          </w:p>
        </w:tc>
      </w:tr>
      <w:tr w:rsidR="007873D5" w:rsidRPr="001E353D" w14:paraId="16C25DB0" w14:textId="77777777" w:rsidTr="00711F75">
        <w:trPr>
          <w:trHeight w:val="2535"/>
        </w:trPr>
        <w:tc>
          <w:tcPr>
            <w:tcW w:w="2604" w:type="dxa"/>
            <w:vAlign w:val="center"/>
            <w:hideMark/>
          </w:tcPr>
          <w:p w14:paraId="6E467AEB" w14:textId="77777777" w:rsidR="007873D5" w:rsidRPr="001E353D" w:rsidRDefault="007873D5" w:rsidP="00711F75">
            <w:pPr>
              <w:pStyle w:val="TableText"/>
            </w:pPr>
            <w:r>
              <w:t>Texas Workforce Investment Counsel (TWIC) </w:t>
            </w:r>
          </w:p>
        </w:tc>
        <w:tc>
          <w:tcPr>
            <w:tcW w:w="3166" w:type="dxa"/>
            <w:vAlign w:val="center"/>
            <w:hideMark/>
          </w:tcPr>
          <w:p w14:paraId="20E67A37" w14:textId="77777777" w:rsidR="007873D5" w:rsidRPr="001E353D" w:rsidRDefault="007873D5" w:rsidP="00711F75">
            <w:pPr>
              <w:pStyle w:val="TableText"/>
            </w:pPr>
            <w:r>
              <w:t>State Statute: Government Code §2308.052 </w:t>
            </w:r>
          </w:p>
          <w:p w14:paraId="44EB58BC" w14:textId="77777777" w:rsidR="007873D5" w:rsidRPr="001E353D" w:rsidRDefault="007873D5" w:rsidP="00711F75">
            <w:pPr>
              <w:pStyle w:val="TableText"/>
            </w:pPr>
            <w:r>
              <w:t>Federal Statute:29 USC §3111 et seq.</w:t>
            </w:r>
          </w:p>
        </w:tc>
        <w:tc>
          <w:tcPr>
            <w:tcW w:w="3402" w:type="dxa"/>
            <w:vAlign w:val="center"/>
            <w:hideMark/>
          </w:tcPr>
          <w:p w14:paraId="13B80C73" w14:textId="77777777" w:rsidR="007873D5" w:rsidRPr="001E353D" w:rsidRDefault="007873D5" w:rsidP="00711F75">
            <w:pPr>
              <w:pStyle w:val="TableText"/>
            </w:pPr>
            <w:r>
              <w:t xml:space="preserve">TWIC (f/k/a Texas Council on Workforce and Economic Competitiveness) acts as a state workforce investment board under WIOA. TWIC was created by the Governor and Legislature to carry out certain evaluation and strategic planning functions in order to promote the development of a well-educated, </w:t>
            </w:r>
            <w:proofErr w:type="gramStart"/>
            <w:r>
              <w:t>highly-skilled</w:t>
            </w:r>
            <w:proofErr w:type="gramEnd"/>
            <w:r>
              <w:t xml:space="preserve"> workforce for Texas. The Executive Director of TWC serves as an ex-officio voting member on TWIC.</w:t>
            </w:r>
          </w:p>
        </w:tc>
      </w:tr>
      <w:tr w:rsidR="007873D5" w:rsidRPr="001E353D" w14:paraId="57F1A72A" w14:textId="77777777" w:rsidTr="00711F75">
        <w:trPr>
          <w:trHeight w:val="660"/>
        </w:trPr>
        <w:tc>
          <w:tcPr>
            <w:tcW w:w="2604" w:type="dxa"/>
            <w:vAlign w:val="center"/>
            <w:hideMark/>
          </w:tcPr>
          <w:p w14:paraId="3990EE79" w14:textId="77777777" w:rsidR="007873D5" w:rsidRPr="001E353D" w:rsidRDefault="007873D5" w:rsidP="00711F75">
            <w:pPr>
              <w:pStyle w:val="TableText"/>
            </w:pPr>
            <w:r>
              <w:lastRenderedPageBreak/>
              <w:t>Commission Functions </w:t>
            </w:r>
          </w:p>
        </w:tc>
        <w:tc>
          <w:tcPr>
            <w:tcW w:w="3166" w:type="dxa"/>
            <w:vAlign w:val="center"/>
            <w:hideMark/>
          </w:tcPr>
          <w:p w14:paraId="08196104" w14:textId="77777777" w:rsidR="007873D5" w:rsidRPr="001E353D" w:rsidRDefault="007873D5" w:rsidP="00711F75">
            <w:pPr>
              <w:pStyle w:val="TableText"/>
            </w:pPr>
            <w:r>
              <w:t>State Statute: </w:t>
            </w:r>
          </w:p>
          <w:p w14:paraId="50AB8DC0" w14:textId="77777777" w:rsidR="007873D5" w:rsidRPr="001E353D" w:rsidRDefault="007873D5" w:rsidP="00711F75">
            <w:pPr>
              <w:pStyle w:val="TableText"/>
            </w:pPr>
            <w:r>
              <w:t>Labor Code §301.0015 </w:t>
            </w:r>
          </w:p>
        </w:tc>
        <w:tc>
          <w:tcPr>
            <w:tcW w:w="3402" w:type="dxa"/>
            <w:vAlign w:val="center"/>
            <w:hideMark/>
          </w:tcPr>
          <w:p w14:paraId="6069DA89" w14:textId="77777777" w:rsidR="007873D5" w:rsidRPr="001E353D" w:rsidRDefault="007873D5" w:rsidP="00711F75">
            <w:pPr>
              <w:pStyle w:val="TableText"/>
            </w:pPr>
            <w:r>
              <w:t>Provides agency review of child labor appeal tribunal decisions under Subchapter D, Chapter 51.</w:t>
            </w:r>
          </w:p>
        </w:tc>
      </w:tr>
      <w:tr w:rsidR="007873D5" w:rsidRPr="001E353D" w14:paraId="4D3F36CA" w14:textId="77777777" w:rsidTr="00711F75">
        <w:trPr>
          <w:trHeight w:val="1230"/>
        </w:trPr>
        <w:tc>
          <w:tcPr>
            <w:tcW w:w="2604" w:type="dxa"/>
            <w:vAlign w:val="center"/>
            <w:hideMark/>
          </w:tcPr>
          <w:p w14:paraId="6CA6D796" w14:textId="77777777" w:rsidR="007873D5" w:rsidRPr="001E353D" w:rsidRDefault="007873D5" w:rsidP="00711F75">
            <w:pPr>
              <w:pStyle w:val="TableText"/>
            </w:pPr>
            <w:r>
              <w:t>Functions of Commission Chair </w:t>
            </w:r>
          </w:p>
        </w:tc>
        <w:tc>
          <w:tcPr>
            <w:tcW w:w="3166" w:type="dxa"/>
            <w:vAlign w:val="center"/>
            <w:hideMark/>
          </w:tcPr>
          <w:p w14:paraId="57A993D2" w14:textId="77777777" w:rsidR="007873D5" w:rsidRPr="001E353D" w:rsidRDefault="007873D5" w:rsidP="00711F75">
            <w:pPr>
              <w:pStyle w:val="TableText"/>
            </w:pPr>
            <w:r>
              <w:t>State Statute:  </w:t>
            </w:r>
          </w:p>
          <w:p w14:paraId="1F98C2B9" w14:textId="77777777" w:rsidR="007873D5" w:rsidRPr="001E353D" w:rsidRDefault="007873D5" w:rsidP="00711F75">
            <w:pPr>
              <w:pStyle w:val="TableText"/>
            </w:pPr>
            <w:r>
              <w:t>Labor Code §301.006 </w:t>
            </w:r>
          </w:p>
        </w:tc>
        <w:tc>
          <w:tcPr>
            <w:tcW w:w="3402" w:type="dxa"/>
            <w:vAlign w:val="center"/>
            <w:hideMark/>
          </w:tcPr>
          <w:p w14:paraId="4272E81B" w14:textId="77777777" w:rsidR="007873D5" w:rsidRPr="001E353D" w:rsidRDefault="007873D5" w:rsidP="00711F75">
            <w:pPr>
              <w:pStyle w:val="TableText"/>
            </w:pPr>
            <w:r>
              <w:t>Requires Commission Chair to serve as the agency’s chair when the commission acts under Chapter 21 (Employment Discrimination and Chapter 301, Property Code (Fair Housing Act), and Subchapter D, Chapter 51 (Child Labor).</w:t>
            </w:r>
          </w:p>
        </w:tc>
      </w:tr>
      <w:tr w:rsidR="007873D5" w:rsidRPr="001E353D" w14:paraId="73F4C202" w14:textId="77777777" w:rsidTr="00711F75">
        <w:trPr>
          <w:trHeight w:val="780"/>
        </w:trPr>
        <w:tc>
          <w:tcPr>
            <w:tcW w:w="2604" w:type="dxa"/>
            <w:vAlign w:val="center"/>
            <w:hideMark/>
          </w:tcPr>
          <w:p w14:paraId="0D25BB34" w14:textId="77777777" w:rsidR="007873D5" w:rsidRPr="001E353D" w:rsidRDefault="007873D5" w:rsidP="00711F75">
            <w:pPr>
              <w:pStyle w:val="TableText"/>
            </w:pPr>
            <w:r>
              <w:t>Application of Sunset Act </w:t>
            </w:r>
          </w:p>
        </w:tc>
        <w:tc>
          <w:tcPr>
            <w:tcW w:w="3166" w:type="dxa"/>
            <w:vAlign w:val="center"/>
            <w:hideMark/>
          </w:tcPr>
          <w:p w14:paraId="7B8B68DE" w14:textId="77777777" w:rsidR="007873D5" w:rsidRPr="001E353D" w:rsidRDefault="007873D5" w:rsidP="00711F75">
            <w:pPr>
              <w:pStyle w:val="TableText"/>
            </w:pPr>
            <w:r>
              <w:t>State Statute:  </w:t>
            </w:r>
          </w:p>
          <w:p w14:paraId="2E430895" w14:textId="77777777" w:rsidR="007873D5" w:rsidRPr="001E353D" w:rsidRDefault="007873D5" w:rsidP="00711F75">
            <w:pPr>
              <w:pStyle w:val="TableText"/>
            </w:pPr>
            <w:r>
              <w:t>Labor Code §301.008 </w:t>
            </w:r>
          </w:p>
        </w:tc>
        <w:tc>
          <w:tcPr>
            <w:tcW w:w="3402" w:type="dxa"/>
            <w:vAlign w:val="center"/>
            <w:hideMark/>
          </w:tcPr>
          <w:p w14:paraId="5CAD0063" w14:textId="77777777" w:rsidR="007873D5" w:rsidRPr="001E353D" w:rsidRDefault="007873D5" w:rsidP="00711F75">
            <w:pPr>
              <w:pStyle w:val="TableText"/>
            </w:pPr>
            <w:r>
              <w:t xml:space="preserve">Resets the agency’s proposed abolishment date as Sept. 1, </w:t>
            </w:r>
            <w:proofErr w:type="gramStart"/>
            <w:r>
              <w:t>2027</w:t>
            </w:r>
            <w:proofErr w:type="gramEnd"/>
            <w:r>
              <w:t xml:space="preserve"> in accordance with the next Sunset Review.</w:t>
            </w:r>
          </w:p>
        </w:tc>
      </w:tr>
      <w:tr w:rsidR="007873D5" w:rsidRPr="001E353D" w14:paraId="705FD141" w14:textId="77777777" w:rsidTr="00711F75">
        <w:trPr>
          <w:trHeight w:val="690"/>
        </w:trPr>
        <w:tc>
          <w:tcPr>
            <w:tcW w:w="2604" w:type="dxa"/>
            <w:vAlign w:val="center"/>
            <w:hideMark/>
          </w:tcPr>
          <w:p w14:paraId="0FC3C416" w14:textId="77777777" w:rsidR="007873D5" w:rsidRPr="001E353D" w:rsidRDefault="007873D5" w:rsidP="00711F75">
            <w:pPr>
              <w:pStyle w:val="TableText"/>
            </w:pPr>
            <w:r>
              <w:t>Commission Divisions </w:t>
            </w:r>
          </w:p>
        </w:tc>
        <w:tc>
          <w:tcPr>
            <w:tcW w:w="3166" w:type="dxa"/>
            <w:vAlign w:val="center"/>
            <w:hideMark/>
          </w:tcPr>
          <w:p w14:paraId="64462F1F" w14:textId="77777777" w:rsidR="007873D5" w:rsidRPr="001E353D" w:rsidRDefault="007873D5" w:rsidP="00711F75">
            <w:pPr>
              <w:pStyle w:val="TableText"/>
            </w:pPr>
            <w:r>
              <w:t>State Statute:  </w:t>
            </w:r>
          </w:p>
          <w:p w14:paraId="738A9BC3" w14:textId="77777777" w:rsidR="007873D5" w:rsidRPr="001E353D" w:rsidRDefault="007873D5" w:rsidP="00711F75">
            <w:pPr>
              <w:pStyle w:val="TableText"/>
            </w:pPr>
            <w:r>
              <w:t>Labor Code §301.009 </w:t>
            </w:r>
          </w:p>
        </w:tc>
        <w:tc>
          <w:tcPr>
            <w:tcW w:w="3402" w:type="dxa"/>
            <w:vAlign w:val="center"/>
            <w:hideMark/>
          </w:tcPr>
          <w:p w14:paraId="27869070" w14:textId="77777777" w:rsidR="007873D5" w:rsidRPr="001E353D" w:rsidRDefault="007873D5" w:rsidP="00711F75">
            <w:pPr>
              <w:pStyle w:val="TableText"/>
            </w:pPr>
            <w:r>
              <w:t>Provides for the establishment of a civil rights division within TWC.</w:t>
            </w:r>
          </w:p>
        </w:tc>
      </w:tr>
      <w:tr w:rsidR="007873D5" w:rsidRPr="001E353D" w14:paraId="70493601" w14:textId="77777777" w:rsidTr="00711F75">
        <w:trPr>
          <w:trHeight w:val="960"/>
        </w:trPr>
        <w:tc>
          <w:tcPr>
            <w:tcW w:w="2604" w:type="dxa"/>
            <w:vAlign w:val="center"/>
            <w:hideMark/>
          </w:tcPr>
          <w:p w14:paraId="26EBB023" w14:textId="77777777" w:rsidR="007873D5" w:rsidRPr="001E353D" w:rsidRDefault="007873D5" w:rsidP="00711F75">
            <w:pPr>
              <w:pStyle w:val="TableText"/>
            </w:pPr>
            <w:r>
              <w:t>Annual Report </w:t>
            </w:r>
          </w:p>
        </w:tc>
        <w:tc>
          <w:tcPr>
            <w:tcW w:w="3166" w:type="dxa"/>
            <w:vAlign w:val="center"/>
            <w:hideMark/>
          </w:tcPr>
          <w:p w14:paraId="3AD0FC91" w14:textId="77777777" w:rsidR="007873D5" w:rsidRPr="001E353D" w:rsidRDefault="007873D5" w:rsidP="00711F75">
            <w:pPr>
              <w:pStyle w:val="TableText"/>
            </w:pPr>
            <w:r>
              <w:t>State Statute:  </w:t>
            </w:r>
          </w:p>
          <w:p w14:paraId="7E7615F2" w14:textId="77777777" w:rsidR="007873D5" w:rsidRPr="001E353D" w:rsidRDefault="007873D5" w:rsidP="00711F75">
            <w:pPr>
              <w:pStyle w:val="TableText"/>
            </w:pPr>
            <w:r>
              <w:t>Labor Code §301.065 </w:t>
            </w:r>
          </w:p>
        </w:tc>
        <w:tc>
          <w:tcPr>
            <w:tcW w:w="3402" w:type="dxa"/>
            <w:vAlign w:val="center"/>
            <w:hideMark/>
          </w:tcPr>
          <w:p w14:paraId="1334EBDD" w14:textId="77777777" w:rsidR="007873D5" w:rsidRPr="001E353D" w:rsidRDefault="007873D5" w:rsidP="00711F75">
            <w:pPr>
              <w:pStyle w:val="TableText"/>
            </w:pPr>
            <w:r>
              <w:t>Requires the agency to submit a separate supplemental annual report along with the annual report of any information required by law.</w:t>
            </w:r>
          </w:p>
        </w:tc>
      </w:tr>
      <w:tr w:rsidR="007873D5" w:rsidRPr="001E353D" w14:paraId="046D9910" w14:textId="77777777" w:rsidTr="00711F75">
        <w:trPr>
          <w:trHeight w:val="960"/>
        </w:trPr>
        <w:tc>
          <w:tcPr>
            <w:tcW w:w="2604" w:type="dxa"/>
            <w:vAlign w:val="center"/>
            <w:hideMark/>
          </w:tcPr>
          <w:p w14:paraId="43A9B175" w14:textId="77777777" w:rsidR="007873D5" w:rsidRPr="001E353D" w:rsidRDefault="007873D5" w:rsidP="00711F75">
            <w:pPr>
              <w:pStyle w:val="TableText"/>
            </w:pPr>
            <w:r>
              <w:t>Online State Agency Employment Applications </w:t>
            </w:r>
          </w:p>
        </w:tc>
        <w:tc>
          <w:tcPr>
            <w:tcW w:w="3166" w:type="dxa"/>
            <w:vAlign w:val="center"/>
            <w:hideMark/>
          </w:tcPr>
          <w:p w14:paraId="6009C153" w14:textId="77777777" w:rsidR="007873D5" w:rsidRPr="001E353D" w:rsidRDefault="007873D5" w:rsidP="00711F75">
            <w:pPr>
              <w:pStyle w:val="TableText"/>
            </w:pPr>
            <w:r>
              <w:t>State Statute:  </w:t>
            </w:r>
          </w:p>
          <w:p w14:paraId="714A759A" w14:textId="77777777" w:rsidR="007873D5" w:rsidRPr="001E353D" w:rsidRDefault="007873D5" w:rsidP="00711F75">
            <w:pPr>
              <w:pStyle w:val="TableText"/>
            </w:pPr>
            <w:r>
              <w:t>Govt Code § 656.002 </w:t>
            </w:r>
          </w:p>
        </w:tc>
        <w:tc>
          <w:tcPr>
            <w:tcW w:w="3402" w:type="dxa"/>
            <w:vAlign w:val="center"/>
            <w:hideMark/>
          </w:tcPr>
          <w:p w14:paraId="508E76BA" w14:textId="77777777" w:rsidR="007873D5" w:rsidRPr="001E353D" w:rsidRDefault="007873D5" w:rsidP="00711F75">
            <w:pPr>
              <w:pStyle w:val="TableText"/>
            </w:pPr>
            <w:r>
              <w:t>Requires the agency to maintain the online system for all state agencies employment.</w:t>
            </w:r>
          </w:p>
        </w:tc>
      </w:tr>
      <w:tr w:rsidR="007873D5" w:rsidRPr="001E353D" w14:paraId="0820B3B3" w14:textId="77777777" w:rsidTr="00711F75">
        <w:trPr>
          <w:trHeight w:val="960"/>
        </w:trPr>
        <w:tc>
          <w:tcPr>
            <w:tcW w:w="2604" w:type="dxa"/>
            <w:vAlign w:val="center"/>
            <w:hideMark/>
          </w:tcPr>
          <w:p w14:paraId="7B95A5F8" w14:textId="77777777" w:rsidR="007873D5" w:rsidRPr="001E353D" w:rsidRDefault="007873D5" w:rsidP="00711F75">
            <w:pPr>
              <w:pStyle w:val="TableText"/>
            </w:pPr>
            <w:r>
              <w:t>E-Verify Program </w:t>
            </w:r>
          </w:p>
        </w:tc>
        <w:tc>
          <w:tcPr>
            <w:tcW w:w="3166" w:type="dxa"/>
            <w:vAlign w:val="center"/>
            <w:hideMark/>
          </w:tcPr>
          <w:p w14:paraId="370D0CE9" w14:textId="77777777" w:rsidR="007873D5" w:rsidRPr="001E353D" w:rsidRDefault="007873D5" w:rsidP="00711F75">
            <w:pPr>
              <w:pStyle w:val="TableText"/>
            </w:pPr>
            <w:r>
              <w:t>State Statute:  </w:t>
            </w:r>
          </w:p>
          <w:p w14:paraId="0AB51D31" w14:textId="77777777" w:rsidR="007873D5" w:rsidRPr="001E353D" w:rsidRDefault="007873D5" w:rsidP="00711F75">
            <w:pPr>
              <w:pStyle w:val="TableText"/>
            </w:pPr>
            <w:r>
              <w:t>Govt Code § 673.001-673.003 </w:t>
            </w:r>
          </w:p>
          <w:p w14:paraId="612D8C68" w14:textId="77777777" w:rsidR="007873D5" w:rsidRPr="001E353D" w:rsidRDefault="007873D5" w:rsidP="00711F75">
            <w:pPr>
              <w:pStyle w:val="TableText"/>
            </w:pPr>
            <w:r>
              <w:t>Federal: </w:t>
            </w:r>
          </w:p>
          <w:p w14:paraId="2B70670C" w14:textId="77777777" w:rsidR="007873D5" w:rsidRPr="001E353D" w:rsidRDefault="007873D5" w:rsidP="00711F75">
            <w:pPr>
              <w:pStyle w:val="TableText"/>
            </w:pPr>
            <w:r>
              <w:t>8 U.S.C. § 1324(a) </w:t>
            </w:r>
          </w:p>
        </w:tc>
        <w:tc>
          <w:tcPr>
            <w:tcW w:w="3402" w:type="dxa"/>
            <w:vAlign w:val="center"/>
            <w:hideMark/>
          </w:tcPr>
          <w:p w14:paraId="122DF51A" w14:textId="77777777" w:rsidR="007873D5" w:rsidRPr="001E353D" w:rsidRDefault="007873D5" w:rsidP="00711F75">
            <w:pPr>
              <w:pStyle w:val="TableText"/>
            </w:pPr>
            <w:r>
              <w:t>Requires the agency to adopt rules and prescribe forms to implement the use of the federal E-Verify program by all state agencies to verify work authorization status of all new employees.</w:t>
            </w:r>
          </w:p>
        </w:tc>
      </w:tr>
      <w:tr w:rsidR="007873D5" w:rsidRPr="001E353D" w14:paraId="5F90056D" w14:textId="77777777" w:rsidTr="00711F75">
        <w:trPr>
          <w:trHeight w:val="960"/>
        </w:trPr>
        <w:tc>
          <w:tcPr>
            <w:tcW w:w="2604" w:type="dxa"/>
            <w:vAlign w:val="center"/>
            <w:hideMark/>
          </w:tcPr>
          <w:p w14:paraId="699A97EA" w14:textId="77777777" w:rsidR="007873D5" w:rsidRPr="001E353D" w:rsidRDefault="007873D5" w:rsidP="00711F75">
            <w:pPr>
              <w:pStyle w:val="TableText"/>
            </w:pPr>
            <w:r>
              <w:t>Report On Equal Employment Opportunities </w:t>
            </w:r>
          </w:p>
        </w:tc>
        <w:tc>
          <w:tcPr>
            <w:tcW w:w="3166" w:type="dxa"/>
            <w:vAlign w:val="center"/>
            <w:hideMark/>
          </w:tcPr>
          <w:p w14:paraId="6AC2ED8E" w14:textId="77777777" w:rsidR="007873D5" w:rsidRPr="001E353D" w:rsidRDefault="007873D5" w:rsidP="00711F75">
            <w:pPr>
              <w:pStyle w:val="TableText"/>
            </w:pPr>
            <w:r>
              <w:t>State Statute: </w:t>
            </w:r>
          </w:p>
          <w:p w14:paraId="532062F6" w14:textId="77777777" w:rsidR="007873D5" w:rsidRPr="001E353D" w:rsidRDefault="007873D5" w:rsidP="00711F75">
            <w:pPr>
              <w:pStyle w:val="TableText"/>
            </w:pPr>
            <w:r>
              <w:t>Govt Code § 2052.003 </w:t>
            </w:r>
          </w:p>
          <w:p w14:paraId="1C81534F" w14:textId="77777777" w:rsidR="007873D5" w:rsidRPr="001E353D" w:rsidRDefault="007873D5" w:rsidP="00711F75">
            <w:pPr>
              <w:pStyle w:val="TableText"/>
            </w:pPr>
            <w:r>
              <w:t>Labor Code §21.551 - §21.555 </w:t>
            </w:r>
          </w:p>
        </w:tc>
        <w:tc>
          <w:tcPr>
            <w:tcW w:w="3402" w:type="dxa"/>
            <w:vAlign w:val="center"/>
            <w:hideMark/>
          </w:tcPr>
          <w:p w14:paraId="2865AC4E" w14:textId="77777777" w:rsidR="007873D5" w:rsidRPr="001E353D" w:rsidRDefault="007873D5" w:rsidP="00711F75">
            <w:pPr>
              <w:pStyle w:val="TableText"/>
            </w:pPr>
            <w:r>
              <w:t>Requires TWC civil right division to compile equal employment opportunity report and personnel policy statements from other agencies and filed with the governor and legislature. </w:t>
            </w:r>
          </w:p>
        </w:tc>
      </w:tr>
      <w:tr w:rsidR="007873D5" w:rsidRPr="001E353D" w14:paraId="65D21B99" w14:textId="77777777" w:rsidTr="00711F75">
        <w:trPr>
          <w:trHeight w:val="960"/>
        </w:trPr>
        <w:tc>
          <w:tcPr>
            <w:tcW w:w="2604" w:type="dxa"/>
            <w:vAlign w:val="center"/>
            <w:hideMark/>
          </w:tcPr>
          <w:p w14:paraId="332CFF50" w14:textId="77777777" w:rsidR="007873D5" w:rsidRPr="001E353D" w:rsidRDefault="007873D5" w:rsidP="00711F75">
            <w:pPr>
              <w:pStyle w:val="TableText"/>
            </w:pPr>
            <w:r>
              <w:t>Testing of contracted goods services of blind or visually impaired </w:t>
            </w:r>
          </w:p>
        </w:tc>
        <w:tc>
          <w:tcPr>
            <w:tcW w:w="3166" w:type="dxa"/>
            <w:vAlign w:val="center"/>
            <w:hideMark/>
          </w:tcPr>
          <w:p w14:paraId="604B7C4C" w14:textId="77777777" w:rsidR="007873D5" w:rsidRPr="001E353D" w:rsidRDefault="007873D5" w:rsidP="00711F75">
            <w:pPr>
              <w:pStyle w:val="TableText"/>
            </w:pPr>
            <w:r>
              <w:t>State Statute: </w:t>
            </w:r>
          </w:p>
          <w:p w14:paraId="4AEC6073" w14:textId="77777777" w:rsidR="007873D5" w:rsidRPr="001E353D" w:rsidRDefault="007873D5" w:rsidP="00711F75">
            <w:pPr>
              <w:pStyle w:val="TableText"/>
            </w:pPr>
            <w:r>
              <w:t>Govt Code § 2155.138 </w:t>
            </w:r>
          </w:p>
        </w:tc>
        <w:tc>
          <w:tcPr>
            <w:tcW w:w="3402" w:type="dxa"/>
            <w:vAlign w:val="center"/>
            <w:hideMark/>
          </w:tcPr>
          <w:p w14:paraId="693D0ABE" w14:textId="77777777" w:rsidR="007873D5" w:rsidRPr="001E353D" w:rsidRDefault="007873D5" w:rsidP="00711F75">
            <w:pPr>
              <w:pStyle w:val="TableText"/>
            </w:pPr>
            <w:r>
              <w:t>Requires TWC to test the goods and services of blind or visually impaired to ensure quality. </w:t>
            </w:r>
          </w:p>
        </w:tc>
      </w:tr>
      <w:tr w:rsidR="007873D5" w:rsidRPr="001E353D" w14:paraId="7F8BD0DD" w14:textId="77777777" w:rsidTr="008978DC">
        <w:trPr>
          <w:trHeight w:val="390"/>
        </w:trPr>
        <w:tc>
          <w:tcPr>
            <w:tcW w:w="9172" w:type="dxa"/>
            <w:gridSpan w:val="3"/>
            <w:vAlign w:val="center"/>
            <w:hideMark/>
          </w:tcPr>
          <w:p w14:paraId="4879B118" w14:textId="77777777" w:rsidR="007873D5" w:rsidRPr="00037937" w:rsidRDefault="007873D5" w:rsidP="008978DC">
            <w:pPr>
              <w:pStyle w:val="TableText"/>
              <w:jc w:val="center"/>
              <w:rPr>
                <w:b/>
              </w:rPr>
            </w:pPr>
            <w:r w:rsidRPr="00037937">
              <w:rPr>
                <w:b/>
              </w:rPr>
              <w:t>Child Care</w:t>
            </w:r>
          </w:p>
        </w:tc>
      </w:tr>
      <w:tr w:rsidR="007873D5" w:rsidRPr="001E353D" w14:paraId="11FF84A4" w14:textId="77777777" w:rsidTr="00711F75">
        <w:trPr>
          <w:trHeight w:val="4125"/>
        </w:trPr>
        <w:tc>
          <w:tcPr>
            <w:tcW w:w="2604" w:type="dxa"/>
            <w:vAlign w:val="center"/>
            <w:hideMark/>
          </w:tcPr>
          <w:p w14:paraId="31D8A4BF" w14:textId="77777777" w:rsidR="007873D5" w:rsidRPr="001E353D" w:rsidRDefault="007873D5" w:rsidP="00711F75">
            <w:pPr>
              <w:pStyle w:val="TableText"/>
            </w:pPr>
            <w:r>
              <w:lastRenderedPageBreak/>
              <w:t>Child Care </w:t>
            </w:r>
          </w:p>
        </w:tc>
        <w:tc>
          <w:tcPr>
            <w:tcW w:w="3166" w:type="dxa"/>
            <w:vAlign w:val="center"/>
            <w:hideMark/>
          </w:tcPr>
          <w:p w14:paraId="5F3513F8" w14:textId="77777777" w:rsidR="007873D5" w:rsidRPr="001E353D" w:rsidRDefault="007873D5" w:rsidP="00711F75">
            <w:pPr>
              <w:pStyle w:val="TableText"/>
            </w:pPr>
            <w:r>
              <w:t>State Statute: </w:t>
            </w:r>
          </w:p>
          <w:p w14:paraId="0646FB94" w14:textId="6ADFF658" w:rsidR="007873D5" w:rsidRPr="001E353D" w:rsidRDefault="007873D5" w:rsidP="00711F75">
            <w:pPr>
              <w:pStyle w:val="TableText"/>
            </w:pPr>
            <w:r>
              <w:t>Labor Code § 302.021(b)(2) and §§ </w:t>
            </w:r>
            <w:proofErr w:type="gramStart"/>
            <w:r>
              <w:t>302.004-302.006;</w:t>
            </w:r>
            <w:proofErr w:type="gramEnd"/>
            <w:r>
              <w:t> </w:t>
            </w:r>
          </w:p>
          <w:p w14:paraId="6C2DFFFB" w14:textId="77777777" w:rsidR="007873D5" w:rsidRPr="001E353D" w:rsidRDefault="007873D5" w:rsidP="00711F75">
            <w:pPr>
              <w:pStyle w:val="TableText"/>
            </w:pPr>
            <w:r>
              <w:t xml:space="preserve">Human Resources Code §§ 44.001 </w:t>
            </w:r>
            <w:r w:rsidRPr="3FBF2A74">
              <w:rPr>
                <w:i/>
              </w:rPr>
              <w:t>et seq</w:t>
            </w:r>
            <w:r>
              <w:t>. and § 31.0035 </w:t>
            </w:r>
          </w:p>
          <w:p w14:paraId="3BC22842" w14:textId="77777777" w:rsidR="007873D5" w:rsidRPr="001E353D" w:rsidRDefault="007873D5" w:rsidP="00711F75">
            <w:pPr>
              <w:pStyle w:val="TableText"/>
            </w:pPr>
            <w:r>
              <w:t>State Rule: </w:t>
            </w:r>
          </w:p>
          <w:p w14:paraId="228F515B" w14:textId="77777777" w:rsidR="007873D5" w:rsidRPr="001E353D" w:rsidRDefault="007873D5" w:rsidP="00711F75">
            <w:pPr>
              <w:pStyle w:val="TableText"/>
            </w:pPr>
            <w:r>
              <w:t>40 TAC Chapter 809 </w:t>
            </w:r>
          </w:p>
          <w:p w14:paraId="6F30E0AE" w14:textId="77777777" w:rsidR="007873D5" w:rsidRPr="001E353D" w:rsidRDefault="007873D5" w:rsidP="00711F75">
            <w:pPr>
              <w:pStyle w:val="TableText"/>
            </w:pPr>
            <w:r>
              <w:t>Federal Statute: </w:t>
            </w:r>
          </w:p>
          <w:p w14:paraId="41285E22" w14:textId="77777777" w:rsidR="007873D5" w:rsidRPr="001E353D" w:rsidRDefault="007873D5" w:rsidP="00711F75">
            <w:pPr>
              <w:pStyle w:val="TableText"/>
            </w:pPr>
            <w:r>
              <w:t xml:space="preserve">42 USC §§601 </w:t>
            </w:r>
            <w:r w:rsidRPr="3FBF2A74">
              <w:rPr>
                <w:i/>
              </w:rPr>
              <w:t>et seq</w:t>
            </w:r>
            <w:r>
              <w:t xml:space="preserve">.; 42 USC§§ 9858 </w:t>
            </w:r>
            <w:r w:rsidRPr="3FBF2A74">
              <w:rPr>
                <w:i/>
              </w:rPr>
              <w:t>et seq</w:t>
            </w:r>
            <w:r>
              <w:t>.</w:t>
            </w:r>
          </w:p>
          <w:p w14:paraId="44B01FFC" w14:textId="77777777" w:rsidR="007873D5" w:rsidRPr="001E353D" w:rsidRDefault="007873D5" w:rsidP="00711F75">
            <w:pPr>
              <w:pStyle w:val="TableText"/>
            </w:pPr>
            <w:r>
              <w:t>Federal Regulation: </w:t>
            </w:r>
          </w:p>
          <w:p w14:paraId="33C7D406" w14:textId="77777777" w:rsidR="007873D5" w:rsidRPr="001E353D" w:rsidRDefault="007873D5" w:rsidP="00711F75">
            <w:pPr>
              <w:pStyle w:val="TableText"/>
            </w:pPr>
            <w:r>
              <w:t>45 CFR Part 98 </w:t>
            </w:r>
          </w:p>
        </w:tc>
        <w:tc>
          <w:tcPr>
            <w:tcW w:w="3402" w:type="dxa"/>
            <w:vAlign w:val="center"/>
            <w:hideMark/>
          </w:tcPr>
          <w:p w14:paraId="141DBCFA" w14:textId="77777777" w:rsidR="007873D5" w:rsidRPr="001E353D" w:rsidRDefault="007873D5" w:rsidP="00711F75">
            <w:pPr>
              <w:pStyle w:val="TableText"/>
            </w:pPr>
            <w:r>
              <w:t xml:space="preserve">Designates TWC as the state agency to administer a day care program established by federal law or funded by public money. Provides authority to implement </w:t>
            </w:r>
            <w:proofErr w:type="gramStart"/>
            <w:r>
              <w:t>child care</w:t>
            </w:r>
            <w:proofErr w:type="gramEnd"/>
            <w:r>
              <w:t xml:space="preserve"> subsidies to share the cost of child care for low-income families who are working, in training or other educational activities, as well as for those families receiving or transitioning off of cash assistance.</w:t>
            </w:r>
          </w:p>
          <w:p w14:paraId="53E791A5" w14:textId="77777777" w:rsidR="007873D5" w:rsidRPr="001E353D" w:rsidRDefault="007873D5" w:rsidP="00711F75">
            <w:pPr>
              <w:pStyle w:val="TableText"/>
            </w:pPr>
            <w:r>
              <w:t xml:space="preserve">Includes </w:t>
            </w:r>
            <w:proofErr w:type="gramStart"/>
            <w:r>
              <w:t>child care</w:t>
            </w:r>
            <w:proofErr w:type="gramEnd"/>
            <w:r>
              <w:t xml:space="preserve"> as a support service for participants in the TANF, Employment and Training activities and Food Stamps Employment and Training activities.</w:t>
            </w:r>
          </w:p>
          <w:p w14:paraId="75CB4413" w14:textId="77777777" w:rsidR="007873D5" w:rsidRPr="001E353D" w:rsidRDefault="007873D5" w:rsidP="00711F75">
            <w:pPr>
              <w:pStyle w:val="TableText"/>
            </w:pPr>
            <w:r>
              <w:t>TWC is responsible for the administration, monitoring, evaluation, contracting of federally funded child-care programs in the state.</w:t>
            </w:r>
          </w:p>
        </w:tc>
      </w:tr>
      <w:tr w:rsidR="007873D5" w:rsidRPr="001E353D" w14:paraId="6533217D" w14:textId="77777777" w:rsidTr="00711F75">
        <w:trPr>
          <w:trHeight w:val="1365"/>
        </w:trPr>
        <w:tc>
          <w:tcPr>
            <w:tcW w:w="2604" w:type="dxa"/>
            <w:vAlign w:val="center"/>
            <w:hideMark/>
          </w:tcPr>
          <w:p w14:paraId="1290453F" w14:textId="77777777" w:rsidR="007873D5" w:rsidRPr="001E353D" w:rsidRDefault="007873D5" w:rsidP="00711F75">
            <w:pPr>
              <w:pStyle w:val="TableText"/>
            </w:pPr>
            <w:r w:rsidRPr="001E353D">
              <w:t>Child Support Obligations </w:t>
            </w:r>
          </w:p>
        </w:tc>
        <w:tc>
          <w:tcPr>
            <w:tcW w:w="3166" w:type="dxa"/>
            <w:vAlign w:val="center"/>
            <w:hideMark/>
          </w:tcPr>
          <w:p w14:paraId="43BD482B" w14:textId="77777777" w:rsidR="007873D5" w:rsidRPr="001E353D" w:rsidRDefault="007873D5" w:rsidP="00711F75">
            <w:pPr>
              <w:pStyle w:val="TableText"/>
            </w:pPr>
            <w:r w:rsidRPr="001E353D">
              <w:rPr>
                <w:bCs/>
              </w:rPr>
              <w:t>State Statute:</w:t>
            </w:r>
            <w:r w:rsidRPr="001E353D">
              <w:t> </w:t>
            </w:r>
          </w:p>
          <w:p w14:paraId="4F8681FF" w14:textId="77777777" w:rsidR="007873D5" w:rsidRPr="001E353D" w:rsidRDefault="007873D5" w:rsidP="00711F75">
            <w:pPr>
              <w:pStyle w:val="TableText"/>
            </w:pPr>
            <w:r w:rsidRPr="001E353D">
              <w:t>Labor Code § 207.092</w:t>
            </w:r>
          </w:p>
          <w:p w14:paraId="7635EE72" w14:textId="77777777" w:rsidR="007873D5" w:rsidRPr="001E353D" w:rsidRDefault="007873D5" w:rsidP="00711F75">
            <w:pPr>
              <w:pStyle w:val="TableText"/>
            </w:pPr>
            <w:r w:rsidRPr="001E353D">
              <w:rPr>
                <w:bCs/>
              </w:rPr>
              <w:t>Federal Statute:</w:t>
            </w:r>
            <w:r w:rsidRPr="001E353D">
              <w:t> </w:t>
            </w:r>
          </w:p>
          <w:p w14:paraId="0E099150" w14:textId="77777777" w:rsidR="007873D5" w:rsidRPr="001E353D" w:rsidRDefault="007873D5" w:rsidP="00711F75">
            <w:pPr>
              <w:pStyle w:val="TableText"/>
            </w:pPr>
            <w:r w:rsidRPr="001E353D">
              <w:t>42 USC § 503(e) </w:t>
            </w:r>
          </w:p>
        </w:tc>
        <w:tc>
          <w:tcPr>
            <w:tcW w:w="3402" w:type="dxa"/>
            <w:vAlign w:val="center"/>
            <w:hideMark/>
          </w:tcPr>
          <w:p w14:paraId="20187452" w14:textId="77777777" w:rsidR="007873D5" w:rsidRPr="001E353D" w:rsidRDefault="007873D5" w:rsidP="00711F75">
            <w:pPr>
              <w:pStyle w:val="TableText"/>
            </w:pPr>
            <w:r w:rsidRPr="001E353D">
              <w:t>TWC shall notify the state or local child support enforcement agency when someone who owes a child support obligation qualifies for unemployment compensation as required by federal law</w:t>
            </w:r>
            <w:r>
              <w:t>.</w:t>
            </w:r>
          </w:p>
        </w:tc>
      </w:tr>
      <w:tr w:rsidR="007873D5" w:rsidRPr="001E353D" w14:paraId="5432CF0E" w14:textId="77777777" w:rsidTr="00711F75">
        <w:trPr>
          <w:trHeight w:val="2985"/>
        </w:trPr>
        <w:tc>
          <w:tcPr>
            <w:tcW w:w="2604" w:type="dxa"/>
            <w:vAlign w:val="center"/>
            <w:hideMark/>
          </w:tcPr>
          <w:p w14:paraId="75989EFC" w14:textId="77777777" w:rsidR="007873D5" w:rsidRPr="001E353D" w:rsidRDefault="007873D5" w:rsidP="00711F75">
            <w:pPr>
              <w:pStyle w:val="TableText"/>
            </w:pPr>
            <w:r w:rsidRPr="001E353D">
              <w:t>Child Labor </w:t>
            </w:r>
          </w:p>
        </w:tc>
        <w:tc>
          <w:tcPr>
            <w:tcW w:w="3166" w:type="dxa"/>
            <w:vAlign w:val="center"/>
            <w:hideMark/>
          </w:tcPr>
          <w:p w14:paraId="7B181CEF" w14:textId="77777777" w:rsidR="007873D5" w:rsidRPr="001E353D" w:rsidRDefault="007873D5" w:rsidP="00711F75">
            <w:pPr>
              <w:pStyle w:val="TableText"/>
            </w:pPr>
            <w:r w:rsidRPr="001E353D">
              <w:rPr>
                <w:bCs/>
              </w:rPr>
              <w:t xml:space="preserve">State Statute: </w:t>
            </w:r>
            <w:r w:rsidRPr="001E353D">
              <w:t xml:space="preserve">Labor Code §51.001 </w:t>
            </w:r>
            <w:r w:rsidRPr="001E353D">
              <w:rPr>
                <w:i/>
                <w:iCs/>
              </w:rPr>
              <w:t>et seq</w:t>
            </w:r>
            <w:r>
              <w:rPr>
                <w:i/>
                <w:iCs/>
              </w:rPr>
              <w:t>.</w:t>
            </w:r>
          </w:p>
          <w:p w14:paraId="671AF289" w14:textId="77777777" w:rsidR="007873D5" w:rsidRPr="001E353D" w:rsidRDefault="007873D5" w:rsidP="00711F75">
            <w:pPr>
              <w:pStyle w:val="TableText"/>
            </w:pPr>
            <w:r w:rsidRPr="001E353D">
              <w:rPr>
                <w:bCs/>
              </w:rPr>
              <w:t>State Rule:</w:t>
            </w:r>
            <w:r w:rsidRPr="001E353D">
              <w:t> </w:t>
            </w:r>
          </w:p>
          <w:p w14:paraId="0FD75966" w14:textId="77777777" w:rsidR="007873D5" w:rsidRPr="001E353D" w:rsidRDefault="007873D5" w:rsidP="00711F75">
            <w:pPr>
              <w:pStyle w:val="TableText"/>
            </w:pPr>
            <w:r w:rsidRPr="001E353D">
              <w:t>40 TAC Chapter 817 </w:t>
            </w:r>
          </w:p>
          <w:p w14:paraId="538D598C" w14:textId="77777777" w:rsidR="007873D5" w:rsidRPr="001E353D" w:rsidRDefault="007873D5" w:rsidP="00711F75">
            <w:pPr>
              <w:pStyle w:val="TableText"/>
            </w:pPr>
            <w:r w:rsidRPr="001E353D">
              <w:rPr>
                <w:bCs/>
              </w:rPr>
              <w:t>Federal Statute:</w:t>
            </w:r>
            <w:r w:rsidRPr="001E353D">
              <w:t> </w:t>
            </w:r>
          </w:p>
          <w:p w14:paraId="70B1323D" w14:textId="77777777" w:rsidR="007873D5" w:rsidRPr="001E353D" w:rsidRDefault="007873D5" w:rsidP="00711F75">
            <w:pPr>
              <w:pStyle w:val="TableText"/>
            </w:pPr>
            <w:r w:rsidRPr="001E353D">
              <w:t>29 USC §§ 201-219 </w:t>
            </w:r>
          </w:p>
          <w:p w14:paraId="58E13AF4" w14:textId="77777777" w:rsidR="007873D5" w:rsidRPr="001E353D" w:rsidRDefault="007873D5" w:rsidP="00711F75">
            <w:pPr>
              <w:pStyle w:val="TableText"/>
            </w:pPr>
            <w:r w:rsidRPr="001E353D">
              <w:rPr>
                <w:bCs/>
              </w:rPr>
              <w:t>Federal Regulation:</w:t>
            </w:r>
            <w:r w:rsidRPr="001E353D">
              <w:t> </w:t>
            </w:r>
          </w:p>
          <w:p w14:paraId="539F98F4" w14:textId="77777777" w:rsidR="007873D5" w:rsidRPr="001E353D" w:rsidRDefault="007873D5" w:rsidP="00711F75">
            <w:pPr>
              <w:pStyle w:val="TableText"/>
            </w:pPr>
            <w:r w:rsidRPr="001E353D">
              <w:t>29 CFR Parts 570, </w:t>
            </w:r>
          </w:p>
          <w:p w14:paraId="2CBB9B37" w14:textId="77777777" w:rsidR="007873D5" w:rsidRPr="001E353D" w:rsidRDefault="007873D5" w:rsidP="00711F75">
            <w:pPr>
              <w:pStyle w:val="TableText"/>
            </w:pPr>
            <w:r w:rsidRPr="001E353D">
              <w:t>575, and 579 </w:t>
            </w:r>
          </w:p>
        </w:tc>
        <w:tc>
          <w:tcPr>
            <w:tcW w:w="3402" w:type="dxa"/>
            <w:vAlign w:val="center"/>
            <w:hideMark/>
          </w:tcPr>
          <w:p w14:paraId="343E46E7" w14:textId="77777777" w:rsidR="007873D5" w:rsidRPr="001E353D" w:rsidRDefault="007873D5" w:rsidP="00711F75">
            <w:pPr>
              <w:pStyle w:val="TableText"/>
            </w:pPr>
            <w:r w:rsidRPr="001E353D">
              <w:t>Authorizes TWC to protect children in employment, with restrictions on employment, imposition of child labor violations and penalties, and an administrative and appeal process consistent with UI appeals</w:t>
            </w:r>
            <w:r>
              <w:t>.</w:t>
            </w:r>
          </w:p>
        </w:tc>
      </w:tr>
      <w:tr w:rsidR="007873D5" w:rsidRPr="001E353D" w14:paraId="5DB5F2E1" w14:textId="77777777" w:rsidTr="00711F75">
        <w:trPr>
          <w:trHeight w:val="3210"/>
        </w:trPr>
        <w:tc>
          <w:tcPr>
            <w:tcW w:w="2604" w:type="dxa"/>
            <w:vAlign w:val="center"/>
            <w:hideMark/>
          </w:tcPr>
          <w:p w14:paraId="3C3E1C56" w14:textId="77777777" w:rsidR="007873D5" w:rsidRPr="001E353D" w:rsidRDefault="007873D5" w:rsidP="00711F75">
            <w:pPr>
              <w:pStyle w:val="TableText"/>
            </w:pPr>
            <w:r w:rsidRPr="001E353D">
              <w:t>Infant and Early Childhood Child Care </w:t>
            </w:r>
          </w:p>
        </w:tc>
        <w:tc>
          <w:tcPr>
            <w:tcW w:w="3166" w:type="dxa"/>
            <w:vAlign w:val="center"/>
            <w:hideMark/>
          </w:tcPr>
          <w:p w14:paraId="35D1D753" w14:textId="77777777" w:rsidR="007873D5" w:rsidRPr="001E353D" w:rsidRDefault="007873D5" w:rsidP="00711F75">
            <w:pPr>
              <w:pStyle w:val="TableText"/>
            </w:pPr>
            <w:r w:rsidRPr="001E353D">
              <w:rPr>
                <w:bCs/>
              </w:rPr>
              <w:t>State Statute:</w:t>
            </w:r>
            <w:r w:rsidRPr="001E353D">
              <w:t> </w:t>
            </w:r>
          </w:p>
          <w:p w14:paraId="4E3E5AF3" w14:textId="77777777" w:rsidR="007873D5" w:rsidRPr="001E353D" w:rsidRDefault="007873D5" w:rsidP="00711F75">
            <w:pPr>
              <w:pStyle w:val="TableText"/>
            </w:pPr>
            <w:r w:rsidRPr="001E353D">
              <w:t>Government Code </w:t>
            </w:r>
          </w:p>
          <w:p w14:paraId="49340746" w14:textId="77777777" w:rsidR="007873D5" w:rsidRPr="001E353D" w:rsidRDefault="007873D5" w:rsidP="00711F75">
            <w:pPr>
              <w:pStyle w:val="TableText"/>
            </w:pPr>
            <w:r w:rsidRPr="001E353D">
              <w:t>§2308.316 </w:t>
            </w:r>
          </w:p>
          <w:p w14:paraId="6C07F0F4" w14:textId="77777777" w:rsidR="007873D5" w:rsidRPr="001E353D" w:rsidRDefault="007873D5" w:rsidP="00711F75">
            <w:pPr>
              <w:pStyle w:val="TableText"/>
            </w:pPr>
            <w:r w:rsidRPr="001E353D">
              <w:rPr>
                <w:bCs/>
              </w:rPr>
              <w:t>State Rule:</w:t>
            </w:r>
            <w:r w:rsidRPr="001E353D">
              <w:t> </w:t>
            </w:r>
          </w:p>
          <w:p w14:paraId="07B3A965" w14:textId="77777777" w:rsidR="007873D5" w:rsidRPr="001E353D" w:rsidRDefault="007873D5" w:rsidP="00711F75">
            <w:pPr>
              <w:pStyle w:val="TableText"/>
            </w:pPr>
            <w:r w:rsidRPr="001E353D">
              <w:t>40 TAC Chapter 809 </w:t>
            </w:r>
          </w:p>
          <w:p w14:paraId="127638C6" w14:textId="77777777" w:rsidR="007873D5" w:rsidRPr="001E353D" w:rsidRDefault="007873D5" w:rsidP="00711F75">
            <w:pPr>
              <w:pStyle w:val="TableText"/>
            </w:pPr>
            <w:r w:rsidRPr="001E353D">
              <w:rPr>
                <w:bCs/>
              </w:rPr>
              <w:t>Federal Statute:</w:t>
            </w:r>
            <w:r w:rsidRPr="001E353D">
              <w:t> </w:t>
            </w:r>
          </w:p>
          <w:p w14:paraId="3921EFF5" w14:textId="77777777" w:rsidR="003D0034" w:rsidRDefault="007873D5" w:rsidP="00711F75">
            <w:pPr>
              <w:pStyle w:val="TableText"/>
            </w:pPr>
            <w:r w:rsidRPr="001E353D">
              <w:t xml:space="preserve">42 USC §601 </w:t>
            </w:r>
            <w:r w:rsidRPr="001E353D">
              <w:rPr>
                <w:i/>
                <w:iCs/>
              </w:rPr>
              <w:t xml:space="preserve">et </w:t>
            </w:r>
            <w:proofErr w:type="gramStart"/>
            <w:r w:rsidRPr="001E353D">
              <w:rPr>
                <w:i/>
                <w:iCs/>
              </w:rPr>
              <w:t>seq</w:t>
            </w:r>
            <w:r w:rsidRPr="001E353D">
              <w:t>.;</w:t>
            </w:r>
            <w:proofErr w:type="gramEnd"/>
          </w:p>
          <w:p w14:paraId="5C6CB66E" w14:textId="2CFA7466" w:rsidR="007873D5" w:rsidRPr="001E353D" w:rsidRDefault="007873D5" w:rsidP="00711F75">
            <w:pPr>
              <w:pStyle w:val="TableText"/>
            </w:pPr>
            <w:r w:rsidRPr="001E353D">
              <w:t xml:space="preserve">42 USC §9858 </w:t>
            </w:r>
            <w:proofErr w:type="gramStart"/>
            <w:r w:rsidRPr="001E353D">
              <w:rPr>
                <w:i/>
                <w:iCs/>
              </w:rPr>
              <w:t>et</w:t>
            </w:r>
            <w:r w:rsidRPr="001E353D">
              <w:t> </w:t>
            </w:r>
            <w:r>
              <w:t xml:space="preserve"> </w:t>
            </w:r>
            <w:r w:rsidRPr="001E353D">
              <w:rPr>
                <w:i/>
                <w:iCs/>
              </w:rPr>
              <w:t>seq</w:t>
            </w:r>
            <w:r>
              <w:t>.</w:t>
            </w:r>
            <w:proofErr w:type="gramEnd"/>
          </w:p>
          <w:p w14:paraId="519F8422" w14:textId="77777777" w:rsidR="007873D5" w:rsidRPr="001E353D" w:rsidRDefault="007873D5" w:rsidP="00711F75">
            <w:pPr>
              <w:pStyle w:val="TableText"/>
            </w:pPr>
            <w:r w:rsidRPr="001E353D">
              <w:rPr>
                <w:bCs/>
              </w:rPr>
              <w:t>Federal Regulation:</w:t>
            </w:r>
            <w:r w:rsidRPr="001E353D">
              <w:t> </w:t>
            </w:r>
          </w:p>
          <w:p w14:paraId="6F9CF4F3" w14:textId="77777777" w:rsidR="007873D5" w:rsidRPr="001E353D" w:rsidRDefault="007873D5" w:rsidP="00711F75">
            <w:pPr>
              <w:pStyle w:val="TableText"/>
            </w:pPr>
            <w:r w:rsidRPr="001E353D">
              <w:t>45 CFR Part 98 </w:t>
            </w:r>
          </w:p>
        </w:tc>
        <w:tc>
          <w:tcPr>
            <w:tcW w:w="3402" w:type="dxa"/>
            <w:vAlign w:val="center"/>
            <w:hideMark/>
          </w:tcPr>
          <w:p w14:paraId="736DFDFE" w14:textId="77777777" w:rsidR="007873D5" w:rsidRPr="001E353D" w:rsidRDefault="007873D5" w:rsidP="00711F75">
            <w:pPr>
              <w:pStyle w:val="TableText"/>
            </w:pPr>
            <w:r w:rsidRPr="001E353D">
              <w:t xml:space="preserve">Requires Local Workforce Development Boards (LWDBs) to allocate a portion of federal </w:t>
            </w:r>
            <w:proofErr w:type="gramStart"/>
            <w:r>
              <w:t>child care</w:t>
            </w:r>
            <w:proofErr w:type="gramEnd"/>
            <w:r w:rsidRPr="001E353D">
              <w:t xml:space="preserve"> funds dedicated to quality improvement activities to a competitive procurement process that providers who serve children less than four years of age are encouraged to voluntarily meet the criteria of TWC’s Texas Rising Star program</w:t>
            </w:r>
            <w:r>
              <w:t>.</w:t>
            </w:r>
          </w:p>
        </w:tc>
      </w:tr>
      <w:tr w:rsidR="007873D5" w:rsidRPr="001E353D" w14:paraId="0CF824E4" w14:textId="77777777" w:rsidTr="00711F75">
        <w:trPr>
          <w:trHeight w:val="3210"/>
        </w:trPr>
        <w:tc>
          <w:tcPr>
            <w:tcW w:w="2604" w:type="dxa"/>
            <w:vAlign w:val="center"/>
            <w:hideMark/>
          </w:tcPr>
          <w:p w14:paraId="28339A73" w14:textId="77777777" w:rsidR="007873D5" w:rsidRPr="001E353D" w:rsidRDefault="007873D5" w:rsidP="00711F75">
            <w:pPr>
              <w:pStyle w:val="TableText"/>
            </w:pPr>
            <w:r w:rsidRPr="001E353D">
              <w:lastRenderedPageBreak/>
              <w:t>Reimbursement Rates </w:t>
            </w:r>
          </w:p>
        </w:tc>
        <w:tc>
          <w:tcPr>
            <w:tcW w:w="3166" w:type="dxa"/>
            <w:vAlign w:val="center"/>
            <w:hideMark/>
          </w:tcPr>
          <w:p w14:paraId="5EB8F927" w14:textId="77777777" w:rsidR="007873D5" w:rsidRPr="001E353D" w:rsidRDefault="007873D5" w:rsidP="00711F75">
            <w:pPr>
              <w:pStyle w:val="TableText"/>
            </w:pPr>
            <w:r w:rsidRPr="001E353D">
              <w:rPr>
                <w:bCs/>
              </w:rPr>
              <w:t>State Statute:</w:t>
            </w:r>
            <w:r w:rsidRPr="001E353D">
              <w:t> </w:t>
            </w:r>
          </w:p>
          <w:p w14:paraId="793B4307" w14:textId="77777777" w:rsidR="007873D5" w:rsidRPr="001E353D" w:rsidRDefault="007873D5" w:rsidP="00711F75">
            <w:pPr>
              <w:pStyle w:val="TableText"/>
            </w:pPr>
            <w:r w:rsidRPr="001E353D">
              <w:t>Government Code </w:t>
            </w:r>
          </w:p>
          <w:p w14:paraId="71875907" w14:textId="1F502C39" w:rsidR="007873D5" w:rsidRPr="001E353D" w:rsidRDefault="007873D5" w:rsidP="00711F75">
            <w:pPr>
              <w:pStyle w:val="TableText"/>
            </w:pPr>
            <w:r w:rsidRPr="001E353D">
              <w:t>§2308.315 §2308.3151 </w:t>
            </w:r>
          </w:p>
          <w:p w14:paraId="706F5A8D" w14:textId="77777777" w:rsidR="007873D5" w:rsidRPr="001E353D" w:rsidRDefault="007873D5" w:rsidP="00711F75">
            <w:pPr>
              <w:pStyle w:val="TableText"/>
            </w:pPr>
            <w:r w:rsidRPr="001E353D">
              <w:rPr>
                <w:bCs/>
              </w:rPr>
              <w:t>State Rule:</w:t>
            </w:r>
            <w:r w:rsidRPr="001E353D">
              <w:t> </w:t>
            </w:r>
          </w:p>
          <w:p w14:paraId="7AF1BA8C" w14:textId="77777777" w:rsidR="007873D5" w:rsidRPr="001E353D" w:rsidRDefault="007873D5" w:rsidP="00711F75">
            <w:pPr>
              <w:pStyle w:val="TableText"/>
            </w:pPr>
            <w:r w:rsidRPr="001E353D">
              <w:t>40 TAC Chapter 809 </w:t>
            </w:r>
          </w:p>
          <w:p w14:paraId="268E7948" w14:textId="77777777" w:rsidR="007873D5" w:rsidRPr="001E353D" w:rsidRDefault="007873D5" w:rsidP="00711F75">
            <w:pPr>
              <w:pStyle w:val="TableText"/>
            </w:pPr>
            <w:r w:rsidRPr="001E353D">
              <w:rPr>
                <w:bCs/>
              </w:rPr>
              <w:t>Federal Statute:</w:t>
            </w:r>
            <w:r w:rsidRPr="001E353D">
              <w:t> </w:t>
            </w:r>
          </w:p>
          <w:p w14:paraId="3E0F11F6" w14:textId="77777777" w:rsidR="004D4194" w:rsidRDefault="007873D5" w:rsidP="00711F75">
            <w:pPr>
              <w:pStyle w:val="TableText"/>
            </w:pPr>
            <w:r w:rsidRPr="001E353D">
              <w:t xml:space="preserve">42 USC §601 </w:t>
            </w:r>
            <w:r w:rsidRPr="001E353D">
              <w:rPr>
                <w:i/>
                <w:iCs/>
              </w:rPr>
              <w:t xml:space="preserve">et </w:t>
            </w:r>
            <w:proofErr w:type="gramStart"/>
            <w:r w:rsidRPr="001E353D">
              <w:rPr>
                <w:i/>
                <w:iCs/>
              </w:rPr>
              <w:t>seq</w:t>
            </w:r>
            <w:r w:rsidRPr="001E353D">
              <w:t>.;</w:t>
            </w:r>
            <w:proofErr w:type="gramEnd"/>
          </w:p>
          <w:p w14:paraId="42CF92B4" w14:textId="61BD3EE7" w:rsidR="007873D5" w:rsidRPr="001E353D" w:rsidRDefault="007873D5" w:rsidP="00711F75">
            <w:pPr>
              <w:pStyle w:val="TableText"/>
            </w:pPr>
            <w:r w:rsidRPr="001E353D">
              <w:t xml:space="preserve">42 USC §9858 </w:t>
            </w:r>
            <w:proofErr w:type="gramStart"/>
            <w:r w:rsidRPr="001E353D">
              <w:rPr>
                <w:i/>
                <w:iCs/>
              </w:rPr>
              <w:t>et</w:t>
            </w:r>
            <w:r w:rsidRPr="001E353D">
              <w:t> </w:t>
            </w:r>
            <w:r>
              <w:t xml:space="preserve"> </w:t>
            </w:r>
            <w:r w:rsidRPr="001E353D">
              <w:rPr>
                <w:i/>
                <w:iCs/>
              </w:rPr>
              <w:t>seq</w:t>
            </w:r>
            <w:r>
              <w:t>.</w:t>
            </w:r>
            <w:proofErr w:type="gramEnd"/>
          </w:p>
          <w:p w14:paraId="303BCB2C" w14:textId="77777777" w:rsidR="007873D5" w:rsidRPr="001E353D" w:rsidRDefault="007873D5" w:rsidP="00711F75">
            <w:pPr>
              <w:pStyle w:val="TableText"/>
            </w:pPr>
            <w:r w:rsidRPr="001E353D">
              <w:rPr>
                <w:bCs/>
              </w:rPr>
              <w:t>Federal Regulation:</w:t>
            </w:r>
            <w:r w:rsidRPr="001E353D">
              <w:t> </w:t>
            </w:r>
          </w:p>
          <w:p w14:paraId="00EE3147" w14:textId="77777777" w:rsidR="007873D5" w:rsidRPr="001E353D" w:rsidRDefault="007873D5" w:rsidP="00711F75">
            <w:pPr>
              <w:pStyle w:val="TableText"/>
            </w:pPr>
            <w:r w:rsidRPr="001E353D">
              <w:t>45 CFR Part 98 </w:t>
            </w:r>
          </w:p>
        </w:tc>
        <w:tc>
          <w:tcPr>
            <w:tcW w:w="3402" w:type="dxa"/>
            <w:vAlign w:val="center"/>
            <w:hideMark/>
          </w:tcPr>
          <w:p w14:paraId="4CE51F8C" w14:textId="77777777" w:rsidR="007873D5" w:rsidRPr="001E353D" w:rsidRDefault="007873D5" w:rsidP="00711F75">
            <w:pPr>
              <w:pStyle w:val="TableText"/>
            </w:pPr>
            <w:r w:rsidRPr="001E353D">
              <w:t xml:space="preserve">Requires each LWDB to establish graduated reimbursement rates for </w:t>
            </w:r>
            <w:proofErr w:type="gramStart"/>
            <w:r w:rsidRPr="001E353D">
              <w:t>child care</w:t>
            </w:r>
            <w:proofErr w:type="gramEnd"/>
            <w:r w:rsidRPr="001E353D">
              <w:t xml:space="preserve"> based on TWC’s Texas Rising Start program with a minimum reimbursement rate of </w:t>
            </w:r>
            <w:r>
              <w:t>5%</w:t>
            </w:r>
            <w:r w:rsidRPr="001E353D">
              <w:t xml:space="preserve"> greater than the maximum rate established for Texas Rising Start providers for the same category of care</w:t>
            </w:r>
            <w:r>
              <w:t xml:space="preserve">. </w:t>
            </w:r>
            <w:r w:rsidRPr="001E353D">
              <w:t>The designated vendor rate shall be funded with federal child-care development funds dedicated to quality improvement activities</w:t>
            </w:r>
            <w:r>
              <w:t>.</w:t>
            </w:r>
          </w:p>
        </w:tc>
      </w:tr>
      <w:tr w:rsidR="007873D5" w:rsidRPr="001E353D" w14:paraId="2BBA8E7C" w14:textId="77777777" w:rsidTr="00711F75">
        <w:trPr>
          <w:trHeight w:val="2355"/>
        </w:trPr>
        <w:tc>
          <w:tcPr>
            <w:tcW w:w="2604" w:type="dxa"/>
            <w:vAlign w:val="center"/>
            <w:hideMark/>
          </w:tcPr>
          <w:p w14:paraId="26ABF467" w14:textId="77777777" w:rsidR="007873D5" w:rsidRPr="001E353D" w:rsidRDefault="007873D5" w:rsidP="00711F75">
            <w:pPr>
              <w:pStyle w:val="TableText"/>
            </w:pPr>
            <w:r w:rsidRPr="001E353D">
              <w:t>Work and Family Policies Clearinghouse </w:t>
            </w:r>
          </w:p>
        </w:tc>
        <w:tc>
          <w:tcPr>
            <w:tcW w:w="3166" w:type="dxa"/>
            <w:vAlign w:val="center"/>
            <w:hideMark/>
          </w:tcPr>
          <w:p w14:paraId="2DCBE863" w14:textId="77777777" w:rsidR="007873D5" w:rsidRPr="001E353D" w:rsidRDefault="007873D5" w:rsidP="00711F75">
            <w:pPr>
              <w:pStyle w:val="TableText"/>
            </w:pPr>
            <w:r w:rsidRPr="001E353D">
              <w:rPr>
                <w:bCs/>
              </w:rPr>
              <w:t>State Statute:</w:t>
            </w:r>
            <w:r w:rsidRPr="001E353D">
              <w:t> </w:t>
            </w:r>
          </w:p>
          <w:p w14:paraId="029EF70F" w14:textId="77777777" w:rsidR="007873D5" w:rsidRPr="001E353D" w:rsidRDefault="007873D5" w:rsidP="00711F75">
            <w:pPr>
              <w:pStyle w:val="TableText"/>
            </w:pPr>
            <w:r w:rsidRPr="001E353D">
              <w:t xml:space="preserve">Labor Code §§81.001 </w:t>
            </w:r>
            <w:r w:rsidRPr="001E353D">
              <w:rPr>
                <w:i/>
                <w:iCs/>
              </w:rPr>
              <w:t>et seq</w:t>
            </w:r>
            <w:r w:rsidRPr="001E353D">
              <w:t>. and 302.021(a)(6); Health and Safety Code § 191.0045 </w:t>
            </w:r>
          </w:p>
          <w:p w14:paraId="2778ACCE" w14:textId="77777777" w:rsidR="007873D5" w:rsidRPr="001E353D" w:rsidRDefault="007873D5" w:rsidP="00711F75">
            <w:pPr>
              <w:pStyle w:val="TableText"/>
            </w:pPr>
            <w:r w:rsidRPr="001E353D">
              <w:rPr>
                <w:bCs/>
              </w:rPr>
              <w:t>State Rule:</w:t>
            </w:r>
            <w:r w:rsidRPr="001E353D">
              <w:t> </w:t>
            </w:r>
          </w:p>
          <w:p w14:paraId="5B8A10B6" w14:textId="77777777" w:rsidR="007873D5" w:rsidRPr="001E353D" w:rsidRDefault="007873D5" w:rsidP="00711F75">
            <w:pPr>
              <w:pStyle w:val="TableText"/>
            </w:pPr>
            <w:r w:rsidRPr="001E353D">
              <w:t>40 TAC Chapter 845 </w:t>
            </w:r>
          </w:p>
        </w:tc>
        <w:tc>
          <w:tcPr>
            <w:tcW w:w="3402" w:type="dxa"/>
            <w:vAlign w:val="center"/>
            <w:hideMark/>
          </w:tcPr>
          <w:p w14:paraId="5AAFF799" w14:textId="77777777" w:rsidR="007873D5" w:rsidRPr="001E353D" w:rsidRDefault="007873D5" w:rsidP="00711F75">
            <w:pPr>
              <w:pStyle w:val="TableText"/>
            </w:pPr>
            <w:r w:rsidRPr="001E353D">
              <w:t>Establishes a Work and Family Policy Clearinghouse of information for employers, workers, and caregivers in Texas to provide technical assistance and information on dependent care and other employment-related family issues to public and private employers, state agencies, policymakers, and individuals</w:t>
            </w:r>
            <w:r>
              <w:t>.</w:t>
            </w:r>
          </w:p>
        </w:tc>
      </w:tr>
      <w:tr w:rsidR="007873D5" w:rsidRPr="001E353D" w14:paraId="3557F4E3" w14:textId="77777777" w:rsidTr="00711F75">
        <w:trPr>
          <w:trHeight w:val="1740"/>
        </w:trPr>
        <w:tc>
          <w:tcPr>
            <w:tcW w:w="2604" w:type="dxa"/>
            <w:vAlign w:val="center"/>
            <w:hideMark/>
          </w:tcPr>
          <w:p w14:paraId="2EF90616" w14:textId="77777777" w:rsidR="007873D5" w:rsidRPr="001E353D" w:rsidRDefault="007873D5" w:rsidP="00711F75">
            <w:pPr>
              <w:pStyle w:val="TableText"/>
            </w:pPr>
            <w:r w:rsidRPr="001E353D">
              <w:t>Evaluation of Fund Allocation for Child Care </w:t>
            </w:r>
          </w:p>
        </w:tc>
        <w:tc>
          <w:tcPr>
            <w:tcW w:w="3166" w:type="dxa"/>
            <w:vAlign w:val="center"/>
            <w:hideMark/>
          </w:tcPr>
          <w:p w14:paraId="226B4812" w14:textId="77777777" w:rsidR="007873D5" w:rsidRPr="001E353D" w:rsidRDefault="007873D5" w:rsidP="00711F75">
            <w:pPr>
              <w:pStyle w:val="TableText"/>
            </w:pPr>
            <w:r w:rsidRPr="001E353D">
              <w:rPr>
                <w:bCs/>
              </w:rPr>
              <w:t>State Statute: </w:t>
            </w:r>
            <w:r w:rsidRPr="001E353D">
              <w:t> </w:t>
            </w:r>
          </w:p>
          <w:p w14:paraId="08B8985C" w14:textId="77777777" w:rsidR="007873D5" w:rsidRPr="001E353D" w:rsidRDefault="007873D5" w:rsidP="00711F75">
            <w:pPr>
              <w:pStyle w:val="TableText"/>
            </w:pPr>
            <w:r w:rsidRPr="001E353D">
              <w:t>Labor Code §302.0042 </w:t>
            </w:r>
          </w:p>
          <w:p w14:paraId="2CB9AF48" w14:textId="77777777" w:rsidR="007873D5" w:rsidRPr="001E353D" w:rsidRDefault="007873D5" w:rsidP="00711F75">
            <w:pPr>
              <w:pStyle w:val="TableText"/>
            </w:pPr>
            <w:r w:rsidRPr="001E353D">
              <w:rPr>
                <w:bCs/>
              </w:rPr>
              <w:t>State Rule:</w:t>
            </w:r>
            <w:r w:rsidRPr="001E353D">
              <w:t> </w:t>
            </w:r>
          </w:p>
          <w:p w14:paraId="6A8616EC" w14:textId="77777777" w:rsidR="007873D5" w:rsidRPr="001E353D" w:rsidRDefault="007873D5" w:rsidP="00711F75">
            <w:pPr>
              <w:pStyle w:val="TableText"/>
            </w:pPr>
            <w:r w:rsidRPr="001E353D">
              <w:t>40 TAC 809 </w:t>
            </w:r>
          </w:p>
        </w:tc>
        <w:tc>
          <w:tcPr>
            <w:tcW w:w="3402" w:type="dxa"/>
            <w:vAlign w:val="center"/>
            <w:hideMark/>
          </w:tcPr>
          <w:p w14:paraId="352A5DA9" w14:textId="77777777" w:rsidR="007873D5" w:rsidRPr="001E353D" w:rsidRDefault="007873D5" w:rsidP="00711F75">
            <w:pPr>
              <w:pStyle w:val="TableText"/>
            </w:pPr>
            <w:r w:rsidRPr="001E353D">
              <w:t xml:space="preserve">Requires the agency to annually evaluate the formulas used by LWDBs to distribute federal </w:t>
            </w:r>
            <w:proofErr w:type="gramStart"/>
            <w:r w:rsidRPr="001E353D">
              <w:t>child care</w:t>
            </w:r>
            <w:proofErr w:type="gramEnd"/>
            <w:r w:rsidRPr="001E353D">
              <w:t xml:space="preserve"> development funds to ensure that needs of each area are met through assessments of use, performance measures, averages costs, poverty rates, wait lists, subsidized care, number of providers with Texas Rising Star Rating, and enrollment</w:t>
            </w:r>
            <w:r>
              <w:t>.</w:t>
            </w:r>
          </w:p>
        </w:tc>
      </w:tr>
      <w:tr w:rsidR="007873D5" w:rsidRPr="001E353D" w14:paraId="5209BBB6" w14:textId="77777777" w:rsidTr="00711F75">
        <w:trPr>
          <w:trHeight w:val="1680"/>
        </w:trPr>
        <w:tc>
          <w:tcPr>
            <w:tcW w:w="2604" w:type="dxa"/>
            <w:vAlign w:val="center"/>
            <w:hideMark/>
          </w:tcPr>
          <w:p w14:paraId="0A5A6FCD" w14:textId="77777777" w:rsidR="007873D5" w:rsidRPr="001E353D" w:rsidRDefault="007873D5" w:rsidP="00711F75">
            <w:pPr>
              <w:pStyle w:val="TableText"/>
            </w:pPr>
            <w:r w:rsidRPr="001E353D">
              <w:t xml:space="preserve">Evaluation of effectiveness of subsidized </w:t>
            </w:r>
            <w:proofErr w:type="gramStart"/>
            <w:r w:rsidRPr="001E353D">
              <w:t>child care</w:t>
            </w:r>
            <w:proofErr w:type="gramEnd"/>
            <w:r w:rsidRPr="001E353D">
              <w:t xml:space="preserve"> program  </w:t>
            </w:r>
          </w:p>
        </w:tc>
        <w:tc>
          <w:tcPr>
            <w:tcW w:w="3166" w:type="dxa"/>
            <w:vAlign w:val="center"/>
            <w:hideMark/>
          </w:tcPr>
          <w:p w14:paraId="4A7FBBF3" w14:textId="77777777" w:rsidR="007873D5" w:rsidRPr="001E353D" w:rsidRDefault="007873D5" w:rsidP="00711F75">
            <w:pPr>
              <w:pStyle w:val="TableText"/>
            </w:pPr>
            <w:r w:rsidRPr="001E353D">
              <w:rPr>
                <w:bCs/>
              </w:rPr>
              <w:t>State Statute:</w:t>
            </w:r>
            <w:r w:rsidRPr="001E353D">
              <w:t> </w:t>
            </w:r>
          </w:p>
          <w:p w14:paraId="215A4720" w14:textId="77777777" w:rsidR="007873D5" w:rsidRPr="001E353D" w:rsidRDefault="007873D5" w:rsidP="00711F75">
            <w:pPr>
              <w:pStyle w:val="TableText"/>
            </w:pPr>
            <w:r w:rsidRPr="001E353D">
              <w:t>Labor Code §302.0043 </w:t>
            </w:r>
          </w:p>
          <w:p w14:paraId="1F67550B" w14:textId="77777777" w:rsidR="007873D5" w:rsidRPr="001E353D" w:rsidRDefault="007873D5" w:rsidP="00711F75">
            <w:pPr>
              <w:pStyle w:val="TableText"/>
            </w:pPr>
            <w:r w:rsidRPr="001E353D">
              <w:rPr>
                <w:bCs/>
              </w:rPr>
              <w:t>State Rule:</w:t>
            </w:r>
            <w:r w:rsidRPr="001E353D">
              <w:t> </w:t>
            </w:r>
          </w:p>
          <w:p w14:paraId="5A36463C" w14:textId="77777777" w:rsidR="007873D5" w:rsidRPr="001E353D" w:rsidRDefault="007873D5" w:rsidP="00711F75">
            <w:pPr>
              <w:pStyle w:val="TableText"/>
            </w:pPr>
            <w:r w:rsidRPr="001E353D">
              <w:t>40 TAC 809 </w:t>
            </w:r>
          </w:p>
        </w:tc>
        <w:tc>
          <w:tcPr>
            <w:tcW w:w="3402" w:type="dxa"/>
            <w:vAlign w:val="center"/>
            <w:hideMark/>
          </w:tcPr>
          <w:p w14:paraId="6F315152" w14:textId="77777777" w:rsidR="007873D5" w:rsidRPr="001E353D" w:rsidRDefault="007873D5" w:rsidP="00711F75">
            <w:pPr>
              <w:pStyle w:val="TableText"/>
            </w:pPr>
            <w:r w:rsidRPr="001E353D">
              <w:t xml:space="preserve">Requires the agency to evaluate the effective of subsidized </w:t>
            </w:r>
            <w:proofErr w:type="gramStart"/>
            <w:r w:rsidRPr="001E353D">
              <w:t>child care</w:t>
            </w:r>
            <w:proofErr w:type="gramEnd"/>
            <w:r w:rsidRPr="001E353D">
              <w:t xml:space="preserve"> programs every other year through the assessment of various measures such as parent’s ability to find and maintain employment, the program’s ability to collaborate with other state and federal programs, cost, training, quality and availability, and performance as well as include recommendations</w:t>
            </w:r>
            <w:r>
              <w:t>.</w:t>
            </w:r>
          </w:p>
        </w:tc>
      </w:tr>
      <w:tr w:rsidR="007873D5" w:rsidRPr="001E353D" w14:paraId="3039A0B5" w14:textId="77777777" w:rsidTr="00711F75">
        <w:trPr>
          <w:trHeight w:val="1410"/>
        </w:trPr>
        <w:tc>
          <w:tcPr>
            <w:tcW w:w="2604" w:type="dxa"/>
            <w:vAlign w:val="center"/>
            <w:hideMark/>
          </w:tcPr>
          <w:p w14:paraId="5A7317F2" w14:textId="77777777" w:rsidR="007873D5" w:rsidRPr="001E353D" w:rsidRDefault="007873D5" w:rsidP="00711F75">
            <w:pPr>
              <w:pStyle w:val="TableText"/>
            </w:pPr>
            <w:r w:rsidRPr="001E353D">
              <w:t xml:space="preserve">Subsidized </w:t>
            </w:r>
            <w:proofErr w:type="gramStart"/>
            <w:r w:rsidRPr="001E353D">
              <w:t>child care</w:t>
            </w:r>
            <w:proofErr w:type="gramEnd"/>
            <w:r w:rsidRPr="001E353D">
              <w:t xml:space="preserve"> program input policy </w:t>
            </w:r>
          </w:p>
        </w:tc>
        <w:tc>
          <w:tcPr>
            <w:tcW w:w="3166" w:type="dxa"/>
            <w:vAlign w:val="center"/>
            <w:hideMark/>
          </w:tcPr>
          <w:p w14:paraId="0C6A8F29" w14:textId="77777777" w:rsidR="007873D5" w:rsidRPr="001E353D" w:rsidRDefault="007873D5" w:rsidP="00711F75">
            <w:pPr>
              <w:pStyle w:val="TableText"/>
            </w:pPr>
            <w:r w:rsidRPr="001E353D">
              <w:rPr>
                <w:bCs/>
              </w:rPr>
              <w:t>State Statute: </w:t>
            </w:r>
            <w:r w:rsidRPr="001E353D">
              <w:t> </w:t>
            </w:r>
          </w:p>
          <w:p w14:paraId="6F02CF1D" w14:textId="77777777" w:rsidR="007873D5" w:rsidRPr="001E353D" w:rsidRDefault="007873D5" w:rsidP="00711F75">
            <w:pPr>
              <w:pStyle w:val="TableText"/>
            </w:pPr>
            <w:r w:rsidRPr="001E353D">
              <w:t>Labor Code §302.00435 </w:t>
            </w:r>
          </w:p>
          <w:p w14:paraId="59D086B7" w14:textId="77777777" w:rsidR="007873D5" w:rsidRPr="001E353D" w:rsidRDefault="007873D5" w:rsidP="00711F75">
            <w:pPr>
              <w:pStyle w:val="TableText"/>
            </w:pPr>
            <w:r w:rsidRPr="001E353D">
              <w:rPr>
                <w:bCs/>
              </w:rPr>
              <w:t>State Rule:</w:t>
            </w:r>
            <w:r w:rsidRPr="001E353D">
              <w:t> </w:t>
            </w:r>
          </w:p>
          <w:p w14:paraId="2FCD0C00" w14:textId="77777777" w:rsidR="007873D5" w:rsidRPr="001E353D" w:rsidRDefault="007873D5" w:rsidP="00711F75">
            <w:pPr>
              <w:pStyle w:val="TableText"/>
            </w:pPr>
            <w:r w:rsidRPr="001E353D">
              <w:t>40 TAC 809 </w:t>
            </w:r>
          </w:p>
        </w:tc>
        <w:tc>
          <w:tcPr>
            <w:tcW w:w="3402" w:type="dxa"/>
            <w:vAlign w:val="center"/>
            <w:hideMark/>
          </w:tcPr>
          <w:p w14:paraId="68521697" w14:textId="77777777" w:rsidR="007873D5" w:rsidRPr="001E353D" w:rsidRDefault="007873D5" w:rsidP="00711F75">
            <w:pPr>
              <w:pStyle w:val="TableText"/>
            </w:pPr>
            <w:r w:rsidRPr="001E353D">
              <w:t xml:space="preserve">Requires the agency to develop a policy to receive and integrate input from interested parties regarding its subsidized </w:t>
            </w:r>
            <w:proofErr w:type="gramStart"/>
            <w:r w:rsidRPr="001E353D">
              <w:t>child care</w:t>
            </w:r>
            <w:proofErr w:type="gramEnd"/>
            <w:r w:rsidRPr="001E353D">
              <w:t xml:space="preserve"> program to improve quality, access, coordination with pre-k programs, safety, cost, and compliance with regulations</w:t>
            </w:r>
            <w:r>
              <w:t>.</w:t>
            </w:r>
          </w:p>
        </w:tc>
      </w:tr>
      <w:tr w:rsidR="007873D5" w:rsidRPr="001E353D" w14:paraId="7898B704" w14:textId="77777777" w:rsidTr="00711F75">
        <w:trPr>
          <w:trHeight w:val="1140"/>
        </w:trPr>
        <w:tc>
          <w:tcPr>
            <w:tcW w:w="2604" w:type="dxa"/>
            <w:vAlign w:val="center"/>
            <w:hideMark/>
          </w:tcPr>
          <w:p w14:paraId="2DD71147" w14:textId="77777777" w:rsidR="007873D5" w:rsidRPr="001E353D" w:rsidRDefault="007873D5" w:rsidP="00711F75">
            <w:pPr>
              <w:pStyle w:val="TableText"/>
            </w:pPr>
            <w:r w:rsidRPr="001E353D">
              <w:lastRenderedPageBreak/>
              <w:t>Information for public schools </w:t>
            </w:r>
          </w:p>
        </w:tc>
        <w:tc>
          <w:tcPr>
            <w:tcW w:w="3166" w:type="dxa"/>
            <w:vAlign w:val="center"/>
            <w:hideMark/>
          </w:tcPr>
          <w:p w14:paraId="2EBE9C3F" w14:textId="77777777" w:rsidR="007873D5" w:rsidRPr="001E353D" w:rsidRDefault="007873D5" w:rsidP="00711F75">
            <w:pPr>
              <w:pStyle w:val="TableText"/>
            </w:pPr>
            <w:r w:rsidRPr="001E353D">
              <w:rPr>
                <w:bCs/>
              </w:rPr>
              <w:t>State Statute:</w:t>
            </w:r>
            <w:r w:rsidRPr="001E353D">
              <w:t> </w:t>
            </w:r>
          </w:p>
          <w:p w14:paraId="617CF35A" w14:textId="77777777" w:rsidR="007873D5" w:rsidRPr="001E353D" w:rsidRDefault="007873D5" w:rsidP="00711F75">
            <w:pPr>
              <w:pStyle w:val="TableText"/>
            </w:pPr>
            <w:r w:rsidRPr="001E353D">
              <w:t>Labor Code §302.00436 </w:t>
            </w:r>
          </w:p>
          <w:p w14:paraId="1190B511" w14:textId="77777777" w:rsidR="007873D5" w:rsidRPr="001E353D" w:rsidRDefault="007873D5" w:rsidP="00711F75">
            <w:pPr>
              <w:pStyle w:val="TableText"/>
            </w:pPr>
            <w:r w:rsidRPr="001E353D">
              <w:rPr>
                <w:bCs/>
              </w:rPr>
              <w:t>State Rule:</w:t>
            </w:r>
            <w:r w:rsidRPr="001E353D">
              <w:t> </w:t>
            </w:r>
          </w:p>
          <w:p w14:paraId="777EF9D4" w14:textId="77777777" w:rsidR="007873D5" w:rsidRPr="001E353D" w:rsidRDefault="007873D5" w:rsidP="00711F75">
            <w:pPr>
              <w:pStyle w:val="TableText"/>
            </w:pPr>
            <w:r w:rsidRPr="001E353D">
              <w:t>40 TAC 809 </w:t>
            </w:r>
          </w:p>
        </w:tc>
        <w:tc>
          <w:tcPr>
            <w:tcW w:w="3402" w:type="dxa"/>
            <w:vAlign w:val="center"/>
            <w:hideMark/>
          </w:tcPr>
          <w:p w14:paraId="5D43441B" w14:textId="77777777" w:rsidR="007873D5" w:rsidRPr="001E353D" w:rsidRDefault="007873D5" w:rsidP="00711F75">
            <w:pPr>
              <w:pStyle w:val="TableText"/>
            </w:pPr>
            <w:r w:rsidRPr="001E353D">
              <w:t>Requires LWDBs to inform local school districts in its area about partnering with local providers to expand access and provide facilities for pre-k programs</w:t>
            </w:r>
            <w:r>
              <w:t>.</w:t>
            </w:r>
          </w:p>
        </w:tc>
      </w:tr>
      <w:tr w:rsidR="007873D5" w:rsidRPr="001E353D" w14:paraId="4644F219" w14:textId="77777777" w:rsidTr="00711F75">
        <w:trPr>
          <w:trHeight w:val="1410"/>
        </w:trPr>
        <w:tc>
          <w:tcPr>
            <w:tcW w:w="2604" w:type="dxa"/>
            <w:vAlign w:val="center"/>
            <w:hideMark/>
          </w:tcPr>
          <w:p w14:paraId="15B21449" w14:textId="77777777" w:rsidR="007873D5" w:rsidRPr="001E353D" w:rsidRDefault="007873D5" w:rsidP="00711F75">
            <w:pPr>
              <w:pStyle w:val="TableText"/>
            </w:pPr>
            <w:r w:rsidRPr="001E353D">
              <w:t>Pre-K Partnership Programs </w:t>
            </w:r>
          </w:p>
        </w:tc>
        <w:tc>
          <w:tcPr>
            <w:tcW w:w="3166" w:type="dxa"/>
            <w:vAlign w:val="center"/>
            <w:hideMark/>
          </w:tcPr>
          <w:p w14:paraId="6BC0E37F" w14:textId="77777777" w:rsidR="007873D5" w:rsidRPr="001E353D" w:rsidRDefault="007873D5" w:rsidP="00711F75">
            <w:pPr>
              <w:pStyle w:val="TableText"/>
            </w:pPr>
            <w:r w:rsidRPr="001E353D">
              <w:rPr>
                <w:bCs/>
              </w:rPr>
              <w:t>State Statute:</w:t>
            </w:r>
          </w:p>
          <w:p w14:paraId="61E47B11" w14:textId="77777777" w:rsidR="007873D5" w:rsidRPr="001E353D" w:rsidRDefault="007873D5" w:rsidP="00711F75">
            <w:pPr>
              <w:pStyle w:val="TableText"/>
            </w:pPr>
            <w:r w:rsidRPr="001E353D">
              <w:t>Labor Code §302.0051 </w:t>
            </w:r>
          </w:p>
          <w:p w14:paraId="155225CD" w14:textId="77777777" w:rsidR="007873D5" w:rsidRPr="001E353D" w:rsidRDefault="007873D5" w:rsidP="00711F75">
            <w:pPr>
              <w:pStyle w:val="TableText"/>
            </w:pPr>
            <w:r w:rsidRPr="001E353D">
              <w:rPr>
                <w:bCs/>
              </w:rPr>
              <w:t>State Rule:</w:t>
            </w:r>
            <w:r w:rsidRPr="001E353D">
              <w:t> </w:t>
            </w:r>
          </w:p>
          <w:p w14:paraId="0B80EF29" w14:textId="77777777" w:rsidR="007873D5" w:rsidRPr="001E353D" w:rsidRDefault="007873D5" w:rsidP="00711F75">
            <w:pPr>
              <w:pStyle w:val="TableText"/>
            </w:pPr>
            <w:r w:rsidRPr="001E353D">
              <w:t>40 TAC 809 </w:t>
            </w:r>
          </w:p>
        </w:tc>
        <w:tc>
          <w:tcPr>
            <w:tcW w:w="3402" w:type="dxa"/>
            <w:vAlign w:val="center"/>
            <w:hideMark/>
          </w:tcPr>
          <w:p w14:paraId="6C63A885" w14:textId="77777777" w:rsidR="007873D5" w:rsidRPr="001E353D" w:rsidRDefault="007873D5" w:rsidP="00711F75">
            <w:pPr>
              <w:pStyle w:val="TableText"/>
            </w:pPr>
            <w:r w:rsidRPr="001E353D">
              <w:t xml:space="preserve">Requires the agency to establish and administer a pre-k partnership program between </w:t>
            </w:r>
            <w:proofErr w:type="gramStart"/>
            <w:r w:rsidRPr="001E353D">
              <w:t>child care</w:t>
            </w:r>
            <w:proofErr w:type="gramEnd"/>
            <w:r w:rsidRPr="001E353D">
              <w:t xml:space="preserve"> providers and local school districts to provide pre-k classes to include using existing funds to develop strategies with the </w:t>
            </w:r>
            <w:r>
              <w:t>TEA</w:t>
            </w:r>
            <w:r w:rsidRPr="001E353D">
              <w:t xml:space="preserve"> to expand access</w:t>
            </w:r>
            <w:r>
              <w:t>.</w:t>
            </w:r>
          </w:p>
        </w:tc>
      </w:tr>
      <w:tr w:rsidR="007873D5" w:rsidRPr="001E353D" w14:paraId="288E96DB" w14:textId="77777777" w:rsidTr="00711F75">
        <w:trPr>
          <w:trHeight w:val="1605"/>
        </w:trPr>
        <w:tc>
          <w:tcPr>
            <w:tcW w:w="2604" w:type="dxa"/>
            <w:vAlign w:val="center"/>
            <w:hideMark/>
          </w:tcPr>
          <w:p w14:paraId="5E08859E" w14:textId="77777777" w:rsidR="007873D5" w:rsidRPr="001E353D" w:rsidRDefault="007873D5" w:rsidP="00711F75">
            <w:pPr>
              <w:pStyle w:val="TableText"/>
            </w:pPr>
            <w:r w:rsidRPr="001E353D">
              <w:t xml:space="preserve">Professional </w:t>
            </w:r>
            <w:proofErr w:type="gramStart"/>
            <w:r w:rsidRPr="001E353D">
              <w:t>Child care</w:t>
            </w:r>
            <w:proofErr w:type="gramEnd"/>
            <w:r w:rsidRPr="001E353D">
              <w:t xml:space="preserve"> training scholarships, bonuses and wage supplements </w:t>
            </w:r>
          </w:p>
        </w:tc>
        <w:tc>
          <w:tcPr>
            <w:tcW w:w="3166" w:type="dxa"/>
            <w:vAlign w:val="center"/>
            <w:hideMark/>
          </w:tcPr>
          <w:p w14:paraId="07FAE4C1" w14:textId="77777777" w:rsidR="007873D5" w:rsidRPr="001E353D" w:rsidRDefault="007873D5" w:rsidP="00711F75">
            <w:pPr>
              <w:pStyle w:val="TableText"/>
            </w:pPr>
            <w:r w:rsidRPr="001E353D">
              <w:rPr>
                <w:bCs/>
              </w:rPr>
              <w:t>State Statute: </w:t>
            </w:r>
            <w:r w:rsidRPr="001E353D">
              <w:t> </w:t>
            </w:r>
          </w:p>
          <w:p w14:paraId="3F26783C" w14:textId="77777777" w:rsidR="007873D5" w:rsidRPr="001E353D" w:rsidRDefault="007873D5" w:rsidP="00711F75">
            <w:pPr>
              <w:pStyle w:val="TableText"/>
            </w:pPr>
            <w:r w:rsidRPr="001E353D">
              <w:t>Labor Code §302.006 </w:t>
            </w:r>
          </w:p>
          <w:p w14:paraId="41DF7182" w14:textId="77777777" w:rsidR="007873D5" w:rsidRPr="001E353D" w:rsidRDefault="007873D5" w:rsidP="00711F75">
            <w:pPr>
              <w:pStyle w:val="TableText"/>
            </w:pPr>
            <w:r w:rsidRPr="001E353D">
              <w:rPr>
                <w:bCs/>
              </w:rPr>
              <w:t>State Rule:</w:t>
            </w:r>
            <w:r w:rsidRPr="001E353D">
              <w:t> </w:t>
            </w:r>
          </w:p>
          <w:p w14:paraId="34126EA8" w14:textId="77777777" w:rsidR="007873D5" w:rsidRPr="001E353D" w:rsidRDefault="007873D5" w:rsidP="00711F75">
            <w:pPr>
              <w:pStyle w:val="TableText"/>
            </w:pPr>
            <w:r w:rsidRPr="001E353D">
              <w:t>40 TAC 809 </w:t>
            </w:r>
          </w:p>
        </w:tc>
        <w:tc>
          <w:tcPr>
            <w:tcW w:w="3402" w:type="dxa"/>
            <w:vAlign w:val="center"/>
            <w:hideMark/>
          </w:tcPr>
          <w:p w14:paraId="422BE21F" w14:textId="77777777" w:rsidR="007873D5" w:rsidRPr="001E353D" w:rsidRDefault="007873D5" w:rsidP="00711F75">
            <w:pPr>
              <w:pStyle w:val="TableText"/>
            </w:pPr>
            <w:r w:rsidRPr="001E353D">
              <w:t xml:space="preserve">Provides that the agency may develop and administer a program to award $1000 scholarships for </w:t>
            </w:r>
            <w:proofErr w:type="gramStart"/>
            <w:r w:rsidRPr="001E353D">
              <w:t>child care</w:t>
            </w:r>
            <w:proofErr w:type="gramEnd"/>
            <w:r w:rsidRPr="001E353D">
              <w:t xml:space="preserve"> training to eligible recipients to pay for certain expenses related to their training and credentialing in return for an agreement to work for at least 18 months in a Section 42.002, Human Resources Code child care facility located in certain schools and communities</w:t>
            </w:r>
            <w:r>
              <w:t>.</w:t>
            </w:r>
          </w:p>
        </w:tc>
      </w:tr>
      <w:tr w:rsidR="007873D5" w:rsidRPr="001E353D" w14:paraId="5136BF18" w14:textId="77777777" w:rsidTr="00711F75">
        <w:trPr>
          <w:trHeight w:val="1680"/>
        </w:trPr>
        <w:tc>
          <w:tcPr>
            <w:tcW w:w="2604" w:type="dxa"/>
            <w:vAlign w:val="center"/>
            <w:hideMark/>
          </w:tcPr>
          <w:p w14:paraId="013E1000" w14:textId="77777777" w:rsidR="007873D5" w:rsidRPr="001E353D" w:rsidRDefault="007873D5" w:rsidP="00711F75">
            <w:pPr>
              <w:pStyle w:val="TableText"/>
            </w:pPr>
            <w:r w:rsidRPr="001E353D">
              <w:t xml:space="preserve">Strategic plan support </w:t>
            </w:r>
            <w:proofErr w:type="gramStart"/>
            <w:r w:rsidRPr="001E353D">
              <w:t>child care</w:t>
            </w:r>
            <w:proofErr w:type="gramEnd"/>
            <w:r w:rsidRPr="001E353D">
              <w:t xml:space="preserve"> workforce </w:t>
            </w:r>
          </w:p>
        </w:tc>
        <w:tc>
          <w:tcPr>
            <w:tcW w:w="3166" w:type="dxa"/>
            <w:vAlign w:val="center"/>
            <w:hideMark/>
          </w:tcPr>
          <w:p w14:paraId="44F88B91" w14:textId="77777777" w:rsidR="007873D5" w:rsidRPr="001E353D" w:rsidRDefault="007873D5" w:rsidP="00711F75">
            <w:pPr>
              <w:pStyle w:val="TableText"/>
            </w:pPr>
            <w:r w:rsidRPr="001E353D">
              <w:rPr>
                <w:bCs/>
              </w:rPr>
              <w:t>State Statute:</w:t>
            </w:r>
            <w:r w:rsidRPr="001E353D">
              <w:t> </w:t>
            </w:r>
          </w:p>
          <w:p w14:paraId="0E0F2308" w14:textId="77777777" w:rsidR="007873D5" w:rsidRPr="001E353D" w:rsidRDefault="007873D5" w:rsidP="00711F75">
            <w:pPr>
              <w:pStyle w:val="TableText"/>
            </w:pPr>
            <w:r w:rsidRPr="001E353D">
              <w:t>Labor Code §302.0062 </w:t>
            </w:r>
          </w:p>
        </w:tc>
        <w:tc>
          <w:tcPr>
            <w:tcW w:w="3402" w:type="dxa"/>
            <w:vAlign w:val="center"/>
            <w:hideMark/>
          </w:tcPr>
          <w:p w14:paraId="75BF9151" w14:textId="77777777" w:rsidR="007873D5" w:rsidRPr="001E353D" w:rsidRDefault="007873D5" w:rsidP="00711F75">
            <w:pPr>
              <w:pStyle w:val="TableText"/>
            </w:pPr>
            <w:r w:rsidRPr="001E353D">
              <w:t xml:space="preserve">Requires the agency to prepare a strategic plan to develop the </w:t>
            </w:r>
            <w:proofErr w:type="gramStart"/>
            <w:r w:rsidRPr="001E353D">
              <w:t>child care</w:t>
            </w:r>
            <w:proofErr w:type="gramEnd"/>
            <w:r w:rsidRPr="001E353D">
              <w:t xml:space="preserve"> workforce in the state by convening a workgroup consisting of child care workers and providers and stakeholders that will make recommendations regarding compensation, professional development, training and education, and best practices for LWDBs</w:t>
            </w:r>
            <w:r>
              <w:t xml:space="preserve">. </w:t>
            </w:r>
            <w:r w:rsidRPr="001E353D">
              <w:t>The plan is to be updated every three years</w:t>
            </w:r>
            <w:r>
              <w:t>.</w:t>
            </w:r>
          </w:p>
        </w:tc>
      </w:tr>
      <w:tr w:rsidR="007873D5" w:rsidRPr="001E353D" w14:paraId="55E70551" w14:textId="77777777" w:rsidTr="00711F75">
        <w:trPr>
          <w:trHeight w:val="1245"/>
        </w:trPr>
        <w:tc>
          <w:tcPr>
            <w:tcW w:w="2604" w:type="dxa"/>
            <w:vAlign w:val="center"/>
            <w:hideMark/>
          </w:tcPr>
          <w:p w14:paraId="3C4DE07F" w14:textId="77777777" w:rsidR="007873D5" w:rsidRPr="001E353D" w:rsidRDefault="007873D5" w:rsidP="00711F75">
            <w:pPr>
              <w:pStyle w:val="TableText"/>
            </w:pPr>
            <w:proofErr w:type="gramStart"/>
            <w:r w:rsidRPr="001E353D">
              <w:t>Child care</w:t>
            </w:r>
            <w:proofErr w:type="gramEnd"/>
            <w:r w:rsidRPr="001E353D">
              <w:t xml:space="preserve"> professional development scholarship </w:t>
            </w:r>
          </w:p>
        </w:tc>
        <w:tc>
          <w:tcPr>
            <w:tcW w:w="3166" w:type="dxa"/>
            <w:vAlign w:val="center"/>
            <w:hideMark/>
          </w:tcPr>
          <w:p w14:paraId="12AA4DBE" w14:textId="77777777" w:rsidR="007873D5" w:rsidRPr="001E353D" w:rsidRDefault="007873D5" w:rsidP="00711F75">
            <w:pPr>
              <w:pStyle w:val="TableText"/>
            </w:pPr>
            <w:r w:rsidRPr="001E353D">
              <w:rPr>
                <w:bCs/>
              </w:rPr>
              <w:t>State Statute:</w:t>
            </w:r>
            <w:r w:rsidRPr="001E353D">
              <w:t> </w:t>
            </w:r>
          </w:p>
          <w:p w14:paraId="2A753131" w14:textId="77777777" w:rsidR="007873D5" w:rsidRPr="001E353D" w:rsidRDefault="007873D5" w:rsidP="00711F75">
            <w:pPr>
              <w:pStyle w:val="TableText"/>
            </w:pPr>
            <w:r w:rsidRPr="001E353D">
              <w:t>Labor Code §302.0063 </w:t>
            </w:r>
          </w:p>
        </w:tc>
        <w:tc>
          <w:tcPr>
            <w:tcW w:w="3402" w:type="dxa"/>
            <w:vAlign w:val="center"/>
            <w:hideMark/>
          </w:tcPr>
          <w:p w14:paraId="6CECDCFF" w14:textId="77777777" w:rsidR="007873D5" w:rsidRPr="001E353D" w:rsidRDefault="007873D5" w:rsidP="00711F75">
            <w:pPr>
              <w:pStyle w:val="TableText"/>
            </w:pPr>
            <w:r w:rsidRPr="001E353D">
              <w:t xml:space="preserve">Requires the agency to establish a scholarship fund from appropriated funds for </w:t>
            </w:r>
            <w:proofErr w:type="gramStart"/>
            <w:r w:rsidRPr="001E353D">
              <w:t>child care</w:t>
            </w:r>
            <w:proofErr w:type="gramEnd"/>
            <w:r w:rsidRPr="001E353D">
              <w:t xml:space="preserve"> workers to assist with costs earning a degree in child care, apprenticeship programs, credentialing exams, books and supplies, stipends, travel </w:t>
            </w:r>
          </w:p>
        </w:tc>
      </w:tr>
      <w:tr w:rsidR="007873D5" w:rsidRPr="001E353D" w14:paraId="004CF848" w14:textId="77777777" w:rsidTr="00711F75">
        <w:trPr>
          <w:trHeight w:val="1410"/>
        </w:trPr>
        <w:tc>
          <w:tcPr>
            <w:tcW w:w="2604" w:type="dxa"/>
            <w:vAlign w:val="center"/>
            <w:hideMark/>
          </w:tcPr>
          <w:p w14:paraId="1AC3D6CF" w14:textId="77777777" w:rsidR="007873D5" w:rsidRPr="001E353D" w:rsidRDefault="007873D5" w:rsidP="00711F75">
            <w:pPr>
              <w:pStyle w:val="TableText"/>
            </w:pPr>
            <w:proofErr w:type="gramStart"/>
            <w:r w:rsidRPr="001E353D">
              <w:t>Child care</w:t>
            </w:r>
            <w:proofErr w:type="gramEnd"/>
            <w:r w:rsidRPr="001E353D">
              <w:t xml:space="preserve"> provider contract agreements </w:t>
            </w:r>
          </w:p>
        </w:tc>
        <w:tc>
          <w:tcPr>
            <w:tcW w:w="3166" w:type="dxa"/>
            <w:vAlign w:val="center"/>
            <w:hideMark/>
          </w:tcPr>
          <w:p w14:paraId="661489A1" w14:textId="77777777" w:rsidR="007873D5" w:rsidRPr="001E353D" w:rsidRDefault="007873D5" w:rsidP="00711F75">
            <w:pPr>
              <w:pStyle w:val="TableText"/>
            </w:pPr>
            <w:r w:rsidRPr="001E353D">
              <w:rPr>
                <w:bCs/>
              </w:rPr>
              <w:t>State Statute:</w:t>
            </w:r>
            <w:r w:rsidRPr="001E353D">
              <w:t> </w:t>
            </w:r>
          </w:p>
          <w:p w14:paraId="3CF0DBCD" w14:textId="77777777" w:rsidR="007873D5" w:rsidRPr="001E353D" w:rsidRDefault="007873D5" w:rsidP="00711F75">
            <w:pPr>
              <w:pStyle w:val="TableText"/>
            </w:pPr>
            <w:r w:rsidRPr="001E353D">
              <w:t>Labor Code §302.0461 </w:t>
            </w:r>
          </w:p>
        </w:tc>
        <w:tc>
          <w:tcPr>
            <w:tcW w:w="3402" w:type="dxa"/>
            <w:vAlign w:val="center"/>
            <w:hideMark/>
          </w:tcPr>
          <w:p w14:paraId="7F2D1A0A" w14:textId="77777777" w:rsidR="007873D5" w:rsidRPr="001E353D" w:rsidRDefault="007873D5" w:rsidP="00711F75">
            <w:pPr>
              <w:pStyle w:val="TableText"/>
            </w:pPr>
            <w:r w:rsidRPr="001E353D">
              <w:t xml:space="preserve">Provides that LWDBs may contract with Texas Rising Star </w:t>
            </w:r>
            <w:proofErr w:type="gramStart"/>
            <w:r w:rsidRPr="001E353D">
              <w:t>3 star</w:t>
            </w:r>
            <w:proofErr w:type="gramEnd"/>
            <w:r w:rsidRPr="001E353D">
              <w:t xml:space="preserve"> child care providers in the area to provide subsidized child care under certain local conditions and to provide an evaluation report to the </w:t>
            </w:r>
            <w:r>
              <w:t>Commission</w:t>
            </w:r>
            <w:r w:rsidRPr="001E353D">
              <w:t xml:space="preserve"> after 6 months containing the listed information</w:t>
            </w:r>
            <w:r>
              <w:t>.</w:t>
            </w:r>
          </w:p>
        </w:tc>
      </w:tr>
      <w:tr w:rsidR="007873D5" w:rsidRPr="001E353D" w14:paraId="696FBC73" w14:textId="77777777" w:rsidTr="00711F75">
        <w:trPr>
          <w:trHeight w:val="780"/>
        </w:trPr>
        <w:tc>
          <w:tcPr>
            <w:tcW w:w="2604" w:type="dxa"/>
            <w:vAlign w:val="center"/>
            <w:hideMark/>
          </w:tcPr>
          <w:p w14:paraId="23DDA55E" w14:textId="77777777" w:rsidR="007873D5" w:rsidRPr="001E353D" w:rsidRDefault="007873D5" w:rsidP="00711F75">
            <w:pPr>
              <w:pStyle w:val="TableText"/>
            </w:pPr>
            <w:r w:rsidRPr="001E353D">
              <w:t>Child-Care Resource and Referral Network </w:t>
            </w:r>
          </w:p>
        </w:tc>
        <w:tc>
          <w:tcPr>
            <w:tcW w:w="3166" w:type="dxa"/>
            <w:vAlign w:val="center"/>
            <w:hideMark/>
          </w:tcPr>
          <w:p w14:paraId="091DDE5F" w14:textId="77777777" w:rsidR="007873D5" w:rsidRPr="001E353D" w:rsidRDefault="007873D5" w:rsidP="00711F75">
            <w:pPr>
              <w:pStyle w:val="TableText"/>
            </w:pPr>
            <w:r w:rsidRPr="001E353D">
              <w:rPr>
                <w:bCs/>
              </w:rPr>
              <w:t>State Statute:</w:t>
            </w:r>
            <w:r w:rsidRPr="001E353D">
              <w:t> </w:t>
            </w:r>
          </w:p>
          <w:p w14:paraId="59E88E7E" w14:textId="77777777" w:rsidR="007873D5" w:rsidRPr="001E353D" w:rsidRDefault="007873D5" w:rsidP="00711F75">
            <w:pPr>
              <w:pStyle w:val="TableText"/>
            </w:pPr>
            <w:r w:rsidRPr="001E353D">
              <w:t>Labor Code §310.005 </w:t>
            </w:r>
          </w:p>
        </w:tc>
        <w:tc>
          <w:tcPr>
            <w:tcW w:w="3402" w:type="dxa"/>
            <w:vAlign w:val="center"/>
            <w:hideMark/>
          </w:tcPr>
          <w:p w14:paraId="49AF6984" w14:textId="77777777" w:rsidR="007873D5" w:rsidRPr="001E353D" w:rsidRDefault="007873D5" w:rsidP="00711F75">
            <w:pPr>
              <w:pStyle w:val="TableText"/>
            </w:pPr>
            <w:r w:rsidRPr="001E353D">
              <w:t xml:space="preserve">Provides for a </w:t>
            </w:r>
            <w:proofErr w:type="gramStart"/>
            <w:r>
              <w:t>child care</w:t>
            </w:r>
            <w:proofErr w:type="gramEnd"/>
            <w:r w:rsidRPr="001E353D">
              <w:t xml:space="preserve"> resource and referral network to assist in finding </w:t>
            </w:r>
            <w:r>
              <w:t>child care</w:t>
            </w:r>
            <w:r w:rsidRPr="001E353D">
              <w:t xml:space="preserve"> and early childhood education services</w:t>
            </w:r>
            <w:r>
              <w:t>.</w:t>
            </w:r>
          </w:p>
        </w:tc>
      </w:tr>
      <w:tr w:rsidR="007873D5" w:rsidRPr="001E353D" w14:paraId="1FF74B9D" w14:textId="77777777" w:rsidTr="00711F75">
        <w:trPr>
          <w:trHeight w:val="780"/>
        </w:trPr>
        <w:tc>
          <w:tcPr>
            <w:tcW w:w="2604" w:type="dxa"/>
            <w:vAlign w:val="center"/>
            <w:hideMark/>
          </w:tcPr>
          <w:p w14:paraId="7E9D7D43" w14:textId="77777777" w:rsidR="007873D5" w:rsidRPr="001E353D" w:rsidRDefault="007873D5" w:rsidP="00711F75">
            <w:pPr>
              <w:pStyle w:val="TableText"/>
            </w:pPr>
            <w:r w:rsidRPr="001E353D">
              <w:lastRenderedPageBreak/>
              <w:t>Relative Child Care </w:t>
            </w:r>
          </w:p>
        </w:tc>
        <w:tc>
          <w:tcPr>
            <w:tcW w:w="3166" w:type="dxa"/>
            <w:vAlign w:val="center"/>
            <w:hideMark/>
          </w:tcPr>
          <w:p w14:paraId="7ADB6C59" w14:textId="77777777" w:rsidR="007873D5" w:rsidRPr="001E353D" w:rsidRDefault="007873D5" w:rsidP="00711F75">
            <w:pPr>
              <w:pStyle w:val="TableText"/>
            </w:pPr>
            <w:r w:rsidRPr="001E353D">
              <w:rPr>
                <w:bCs/>
              </w:rPr>
              <w:t>State Statute:</w:t>
            </w:r>
            <w:r w:rsidRPr="001E353D">
              <w:t> </w:t>
            </w:r>
          </w:p>
          <w:p w14:paraId="4ED879A8" w14:textId="77777777" w:rsidR="007873D5" w:rsidRPr="001E353D" w:rsidRDefault="007873D5" w:rsidP="00711F75">
            <w:pPr>
              <w:pStyle w:val="TableText"/>
            </w:pPr>
            <w:r w:rsidRPr="001E353D">
              <w:t>Labor Code §313.005 </w:t>
            </w:r>
          </w:p>
        </w:tc>
        <w:tc>
          <w:tcPr>
            <w:tcW w:w="3402" w:type="dxa"/>
            <w:vAlign w:val="center"/>
            <w:hideMark/>
          </w:tcPr>
          <w:p w14:paraId="61C00E73" w14:textId="77777777" w:rsidR="007873D5" w:rsidRPr="001E353D" w:rsidRDefault="007873D5" w:rsidP="00711F75">
            <w:pPr>
              <w:pStyle w:val="TableText"/>
            </w:pPr>
            <w:r w:rsidRPr="001E353D">
              <w:t xml:space="preserve">Requires TWC to </w:t>
            </w:r>
            <w:proofErr w:type="gramStart"/>
            <w:r w:rsidRPr="001E353D">
              <w:t>enter into</w:t>
            </w:r>
            <w:proofErr w:type="gramEnd"/>
            <w:r w:rsidRPr="001E353D">
              <w:t xml:space="preserve"> an MOU with DFPS regarding the administration and payment of costs of listing a relative child-care provider as a family home with DFPS</w:t>
            </w:r>
            <w:r>
              <w:t>.</w:t>
            </w:r>
          </w:p>
        </w:tc>
      </w:tr>
      <w:tr w:rsidR="007873D5" w:rsidRPr="00457488" w14:paraId="7A6E113D" w14:textId="77777777" w:rsidTr="00711F75">
        <w:trPr>
          <w:trHeight w:val="405"/>
        </w:trPr>
        <w:tc>
          <w:tcPr>
            <w:tcW w:w="9172" w:type="dxa"/>
            <w:gridSpan w:val="3"/>
            <w:vAlign w:val="center"/>
            <w:hideMark/>
          </w:tcPr>
          <w:p w14:paraId="6D1C86D9" w14:textId="5FDE5656" w:rsidR="007873D5" w:rsidRPr="008978DC" w:rsidRDefault="007873D5" w:rsidP="008978DC">
            <w:pPr>
              <w:pStyle w:val="TableText"/>
              <w:jc w:val="center"/>
              <w:rPr>
                <w:b/>
              </w:rPr>
            </w:pPr>
            <w:r w:rsidRPr="008978DC">
              <w:rPr>
                <w:b/>
              </w:rPr>
              <w:t>Civil Rights Division</w:t>
            </w:r>
          </w:p>
        </w:tc>
      </w:tr>
      <w:tr w:rsidR="007873D5" w:rsidRPr="001E353D" w14:paraId="5BB38490" w14:textId="77777777" w:rsidTr="00711F75">
        <w:trPr>
          <w:trHeight w:val="3675"/>
        </w:trPr>
        <w:tc>
          <w:tcPr>
            <w:tcW w:w="2604" w:type="dxa"/>
            <w:vAlign w:val="center"/>
            <w:hideMark/>
          </w:tcPr>
          <w:p w14:paraId="6B984C44" w14:textId="77777777" w:rsidR="007873D5" w:rsidRPr="001E353D" w:rsidRDefault="007873D5" w:rsidP="00711F75">
            <w:pPr>
              <w:pStyle w:val="TableText"/>
            </w:pPr>
            <w:r w:rsidRPr="001E353D">
              <w:t>Equal Employment Opportunity </w:t>
            </w:r>
          </w:p>
        </w:tc>
        <w:tc>
          <w:tcPr>
            <w:tcW w:w="3166" w:type="dxa"/>
            <w:vAlign w:val="center"/>
            <w:hideMark/>
          </w:tcPr>
          <w:p w14:paraId="4CB2B753" w14:textId="77777777" w:rsidR="007873D5" w:rsidRPr="001E353D" w:rsidRDefault="007873D5" w:rsidP="00711F75">
            <w:pPr>
              <w:pStyle w:val="TableText"/>
            </w:pPr>
            <w:r w:rsidRPr="001E353D">
              <w:rPr>
                <w:bCs/>
              </w:rPr>
              <w:t>State Statute:</w:t>
            </w:r>
            <w:r w:rsidRPr="001E353D">
              <w:t> </w:t>
            </w:r>
          </w:p>
          <w:p w14:paraId="7F2FD745" w14:textId="77777777" w:rsidR="007873D5" w:rsidRPr="001E353D" w:rsidRDefault="007873D5" w:rsidP="00711F75">
            <w:pPr>
              <w:pStyle w:val="TableText"/>
            </w:pPr>
            <w:r w:rsidRPr="001E353D">
              <w:t>Labor Code, Chapter 21 </w:t>
            </w:r>
          </w:p>
          <w:p w14:paraId="69627663" w14:textId="77777777" w:rsidR="007873D5" w:rsidRPr="001E353D" w:rsidRDefault="007873D5" w:rsidP="00711F75">
            <w:pPr>
              <w:pStyle w:val="TableText"/>
            </w:pPr>
            <w:r w:rsidRPr="001E353D">
              <w:rPr>
                <w:bCs/>
              </w:rPr>
              <w:t>State Rule:</w:t>
            </w:r>
            <w:r w:rsidRPr="001E353D">
              <w:t> </w:t>
            </w:r>
          </w:p>
          <w:p w14:paraId="0164ABC8" w14:textId="77777777" w:rsidR="007873D5" w:rsidRPr="001E353D" w:rsidRDefault="007873D5" w:rsidP="00711F75">
            <w:pPr>
              <w:pStyle w:val="TableText"/>
            </w:pPr>
            <w:r w:rsidRPr="001E353D">
              <w:t>40 TAC Chapter 819 </w:t>
            </w:r>
          </w:p>
          <w:p w14:paraId="0E1EB5C8" w14:textId="77777777" w:rsidR="007873D5" w:rsidRPr="001E353D" w:rsidRDefault="007873D5" w:rsidP="00711F75">
            <w:pPr>
              <w:pStyle w:val="TableText"/>
            </w:pPr>
            <w:r w:rsidRPr="001E353D">
              <w:rPr>
                <w:bCs/>
              </w:rPr>
              <w:t>Federal Statute:</w:t>
            </w:r>
            <w:r w:rsidRPr="001E353D">
              <w:t> </w:t>
            </w:r>
          </w:p>
          <w:p w14:paraId="02C83783" w14:textId="77777777" w:rsidR="00071DF7" w:rsidRDefault="007873D5" w:rsidP="00711F75">
            <w:pPr>
              <w:pStyle w:val="TableText"/>
            </w:pPr>
            <w:r w:rsidRPr="001E353D">
              <w:t xml:space="preserve">42 USC §§ 2000e et </w:t>
            </w:r>
            <w:proofErr w:type="gramStart"/>
            <w:r w:rsidRPr="001E353D">
              <w:t>seq.;</w:t>
            </w:r>
            <w:proofErr w:type="gramEnd"/>
          </w:p>
          <w:p w14:paraId="4B306DE2" w14:textId="1C61CDA0" w:rsidR="007873D5" w:rsidRPr="001E353D" w:rsidRDefault="007873D5" w:rsidP="00711F75">
            <w:pPr>
              <w:pStyle w:val="TableText"/>
            </w:pPr>
            <w:r w:rsidRPr="001E353D">
              <w:t>29 USC §63; 42 </w:t>
            </w:r>
          </w:p>
          <w:p w14:paraId="1BF44D3C" w14:textId="77777777" w:rsidR="007873D5" w:rsidRPr="001E353D" w:rsidRDefault="007873D5" w:rsidP="00711F75">
            <w:pPr>
              <w:pStyle w:val="TableText"/>
            </w:pPr>
            <w:r w:rsidRPr="001E353D">
              <w:t>USC §12101 et seq</w:t>
            </w:r>
            <w:r>
              <w:t>.</w:t>
            </w:r>
          </w:p>
          <w:p w14:paraId="0643B597" w14:textId="77777777" w:rsidR="007873D5" w:rsidRPr="001E353D" w:rsidRDefault="007873D5" w:rsidP="00711F75">
            <w:pPr>
              <w:pStyle w:val="TableText"/>
            </w:pPr>
            <w:r w:rsidRPr="001E353D">
              <w:rPr>
                <w:bCs/>
              </w:rPr>
              <w:t>Federal Regulation:</w:t>
            </w:r>
            <w:r w:rsidRPr="001E353D">
              <w:t> </w:t>
            </w:r>
          </w:p>
          <w:p w14:paraId="296D6154" w14:textId="679DFB22" w:rsidR="007873D5" w:rsidRPr="001E353D" w:rsidRDefault="007873D5" w:rsidP="00711F75">
            <w:pPr>
              <w:pStyle w:val="TableText"/>
            </w:pPr>
            <w:r w:rsidRPr="001E353D">
              <w:t>29 CFR Parts 1600- 1699 </w:t>
            </w:r>
          </w:p>
        </w:tc>
        <w:tc>
          <w:tcPr>
            <w:tcW w:w="3402" w:type="dxa"/>
            <w:vAlign w:val="center"/>
            <w:hideMark/>
          </w:tcPr>
          <w:p w14:paraId="643B8D95" w14:textId="77777777" w:rsidR="007873D5" w:rsidRPr="001E353D" w:rsidRDefault="007873D5" w:rsidP="00711F75">
            <w:pPr>
              <w:pStyle w:val="TableText"/>
            </w:pPr>
            <w:r w:rsidRPr="001E353D">
              <w:t>Provides authority to TWC’s Civil Rights Division</w:t>
            </w:r>
            <w:r>
              <w:t xml:space="preserve">, </w:t>
            </w:r>
            <w:r w:rsidRPr="001E353D">
              <w:t>formerly the Texas Commission on Human Rights, to execute the policies of Title VII of the Civil Rights Act of 1964 (42 USC §2000e et seq.), 42 USC §2000e-5(c), 29 USC §633, and Title I of the Americans with Disabilities Act (42 USC §12101 et seq.)</w:t>
            </w:r>
            <w:r>
              <w:t xml:space="preserve"> </w:t>
            </w:r>
            <w:r w:rsidRPr="001E353D">
              <w:t>CRD investigates charges of employment discrimination based upon protected classes such as race, color, religion, sex, gender, national origin, age and disability under the Texas Labor Code. The statute also requires state agencies to report equal employment opportunity data to CRD for review and monitoring</w:t>
            </w:r>
            <w:r>
              <w:t>.</w:t>
            </w:r>
          </w:p>
        </w:tc>
      </w:tr>
      <w:tr w:rsidR="007873D5" w:rsidRPr="001E353D" w14:paraId="419E03E1" w14:textId="77777777" w:rsidTr="00711F75">
        <w:trPr>
          <w:trHeight w:val="1140"/>
        </w:trPr>
        <w:tc>
          <w:tcPr>
            <w:tcW w:w="2604" w:type="dxa"/>
            <w:vAlign w:val="center"/>
            <w:hideMark/>
          </w:tcPr>
          <w:p w14:paraId="10F176AF" w14:textId="77777777" w:rsidR="007873D5" w:rsidRPr="001E353D" w:rsidRDefault="007873D5" w:rsidP="00711F75">
            <w:pPr>
              <w:pStyle w:val="TableText"/>
            </w:pPr>
            <w:r w:rsidRPr="001E353D">
              <w:t>State Agency Policies and Procedures </w:t>
            </w:r>
          </w:p>
        </w:tc>
        <w:tc>
          <w:tcPr>
            <w:tcW w:w="3166" w:type="dxa"/>
            <w:vAlign w:val="center"/>
            <w:hideMark/>
          </w:tcPr>
          <w:p w14:paraId="1A62E068" w14:textId="77777777" w:rsidR="007873D5" w:rsidRPr="001E353D" w:rsidRDefault="007873D5" w:rsidP="00711F75">
            <w:pPr>
              <w:pStyle w:val="TableText"/>
            </w:pPr>
            <w:r w:rsidRPr="001E353D">
              <w:rPr>
                <w:bCs/>
              </w:rPr>
              <w:t>State Statute:</w:t>
            </w:r>
            <w:r w:rsidRPr="001E353D">
              <w:t> </w:t>
            </w:r>
          </w:p>
          <w:p w14:paraId="5E47BE89" w14:textId="77777777" w:rsidR="007873D5" w:rsidRPr="001E353D" w:rsidRDefault="007873D5" w:rsidP="00711F75">
            <w:pPr>
              <w:pStyle w:val="TableText"/>
            </w:pPr>
            <w:r w:rsidRPr="001E353D">
              <w:t>Labor Code §§ 21.453-21.456 </w:t>
            </w:r>
          </w:p>
          <w:p w14:paraId="016575ED" w14:textId="77777777" w:rsidR="007873D5" w:rsidRPr="001E353D" w:rsidRDefault="007873D5" w:rsidP="00711F75">
            <w:pPr>
              <w:pStyle w:val="TableText"/>
            </w:pPr>
            <w:r w:rsidRPr="001E353D">
              <w:rPr>
                <w:bCs/>
              </w:rPr>
              <w:t>State Rule:</w:t>
            </w:r>
            <w:r w:rsidRPr="001E353D">
              <w:t> </w:t>
            </w:r>
          </w:p>
          <w:p w14:paraId="2C69A4A5" w14:textId="77777777" w:rsidR="007873D5" w:rsidRPr="001E353D" w:rsidRDefault="007873D5" w:rsidP="00711F75">
            <w:pPr>
              <w:pStyle w:val="TableText"/>
            </w:pPr>
            <w:r w:rsidRPr="001E353D">
              <w:t>40 TAC § 819.23 </w:t>
            </w:r>
          </w:p>
        </w:tc>
        <w:tc>
          <w:tcPr>
            <w:tcW w:w="3402" w:type="dxa"/>
            <w:vAlign w:val="center"/>
            <w:hideMark/>
          </w:tcPr>
          <w:p w14:paraId="6BDE1379" w14:textId="77777777" w:rsidR="007873D5" w:rsidRPr="001E353D" w:rsidRDefault="007873D5" w:rsidP="00711F75">
            <w:pPr>
              <w:pStyle w:val="TableText"/>
            </w:pPr>
            <w:r w:rsidRPr="001E353D">
              <w:t>CRD shall review the personnel policies and procedures of each state agency once every six years on a staggered schedule to determine compliance with the Texas Labor Code, Chapter 21</w:t>
            </w:r>
            <w:r>
              <w:t>.</w:t>
            </w:r>
          </w:p>
        </w:tc>
      </w:tr>
      <w:tr w:rsidR="007873D5" w:rsidRPr="001E353D" w14:paraId="730895EB" w14:textId="77777777" w:rsidTr="00711F75">
        <w:trPr>
          <w:trHeight w:val="1140"/>
        </w:trPr>
        <w:tc>
          <w:tcPr>
            <w:tcW w:w="2604" w:type="dxa"/>
            <w:vAlign w:val="center"/>
            <w:hideMark/>
          </w:tcPr>
          <w:p w14:paraId="660794CB" w14:textId="77777777" w:rsidR="007873D5" w:rsidRPr="001E353D" w:rsidRDefault="007873D5" w:rsidP="00711F75">
            <w:pPr>
              <w:pStyle w:val="TableText"/>
            </w:pPr>
            <w:r w:rsidRPr="001E353D">
              <w:t>Required Compliance Training for State Agencies </w:t>
            </w:r>
          </w:p>
        </w:tc>
        <w:tc>
          <w:tcPr>
            <w:tcW w:w="3166" w:type="dxa"/>
            <w:vAlign w:val="center"/>
            <w:hideMark/>
          </w:tcPr>
          <w:p w14:paraId="4BE42994" w14:textId="77777777" w:rsidR="007873D5" w:rsidRPr="001E353D" w:rsidRDefault="007873D5" w:rsidP="00711F75">
            <w:pPr>
              <w:pStyle w:val="TableText"/>
            </w:pPr>
            <w:r w:rsidRPr="001E353D">
              <w:rPr>
                <w:bCs/>
              </w:rPr>
              <w:t>State Statute:</w:t>
            </w:r>
            <w:r w:rsidRPr="001E353D">
              <w:t> </w:t>
            </w:r>
          </w:p>
          <w:p w14:paraId="0B1BF9F2" w14:textId="77777777" w:rsidR="007873D5" w:rsidRPr="001E353D" w:rsidRDefault="007873D5" w:rsidP="00711F75">
            <w:pPr>
              <w:pStyle w:val="TableText"/>
            </w:pPr>
            <w:r w:rsidRPr="001E353D">
              <w:t>Labor Code 21.556 </w:t>
            </w:r>
          </w:p>
          <w:p w14:paraId="4B5070F6" w14:textId="77777777" w:rsidR="007873D5" w:rsidRPr="001E353D" w:rsidRDefault="007873D5" w:rsidP="00711F75">
            <w:pPr>
              <w:pStyle w:val="TableText"/>
            </w:pPr>
            <w:r w:rsidRPr="001E353D">
              <w:rPr>
                <w:bCs/>
              </w:rPr>
              <w:t>State Rule:</w:t>
            </w:r>
            <w:r w:rsidRPr="001E353D">
              <w:t> </w:t>
            </w:r>
          </w:p>
          <w:p w14:paraId="680A621C" w14:textId="77777777" w:rsidR="007873D5" w:rsidRPr="001E353D" w:rsidRDefault="007873D5" w:rsidP="00711F75">
            <w:pPr>
              <w:pStyle w:val="TableText"/>
            </w:pPr>
            <w:r w:rsidRPr="001E353D">
              <w:t>40 TAC 819.25 </w:t>
            </w:r>
          </w:p>
        </w:tc>
        <w:tc>
          <w:tcPr>
            <w:tcW w:w="3402" w:type="dxa"/>
            <w:vAlign w:val="center"/>
            <w:hideMark/>
          </w:tcPr>
          <w:p w14:paraId="7162B6B8" w14:textId="77777777" w:rsidR="007873D5" w:rsidRPr="001E353D" w:rsidRDefault="007873D5" w:rsidP="00711F75">
            <w:pPr>
              <w:pStyle w:val="TableText"/>
            </w:pPr>
            <w:r w:rsidRPr="001E353D">
              <w:t>Requires TWC by rule to adopt minimum standards for a comprehensive equal employment opportunity training program to appropriate supervisory and managerial employees of a state agency that receives three or more complaints of employment discrimination in a fiscal year</w:t>
            </w:r>
            <w:r>
              <w:t>.</w:t>
            </w:r>
          </w:p>
        </w:tc>
      </w:tr>
      <w:tr w:rsidR="007873D5" w:rsidRPr="001E353D" w14:paraId="6FD7B73B" w14:textId="77777777" w:rsidTr="00711F75">
        <w:trPr>
          <w:trHeight w:val="2250"/>
        </w:trPr>
        <w:tc>
          <w:tcPr>
            <w:tcW w:w="2604" w:type="dxa"/>
            <w:vAlign w:val="center"/>
            <w:hideMark/>
          </w:tcPr>
          <w:p w14:paraId="2B6C59EC" w14:textId="77777777" w:rsidR="007873D5" w:rsidRPr="001E353D" w:rsidRDefault="007873D5" w:rsidP="00711F75">
            <w:pPr>
              <w:pStyle w:val="TableText"/>
            </w:pPr>
            <w:r w:rsidRPr="001E353D">
              <w:t>State Agency Training </w:t>
            </w:r>
          </w:p>
        </w:tc>
        <w:tc>
          <w:tcPr>
            <w:tcW w:w="3166" w:type="dxa"/>
            <w:vAlign w:val="center"/>
            <w:hideMark/>
          </w:tcPr>
          <w:p w14:paraId="76C28ED1" w14:textId="77777777" w:rsidR="007873D5" w:rsidRPr="001E353D" w:rsidRDefault="007873D5" w:rsidP="00711F75">
            <w:pPr>
              <w:pStyle w:val="TableText"/>
            </w:pPr>
            <w:r w:rsidRPr="001E353D">
              <w:rPr>
                <w:bCs/>
              </w:rPr>
              <w:t>State Statute:</w:t>
            </w:r>
            <w:r w:rsidRPr="001E353D">
              <w:t> </w:t>
            </w:r>
          </w:p>
          <w:p w14:paraId="20EDF132" w14:textId="77777777" w:rsidR="007873D5" w:rsidRPr="001E353D" w:rsidRDefault="007873D5" w:rsidP="00711F75">
            <w:pPr>
              <w:pStyle w:val="TableText"/>
            </w:pPr>
            <w:r w:rsidRPr="001E353D">
              <w:t>Labor Code § 21.010 </w:t>
            </w:r>
          </w:p>
          <w:p w14:paraId="634ADC03" w14:textId="77777777" w:rsidR="007873D5" w:rsidRPr="001E353D" w:rsidRDefault="007873D5" w:rsidP="00711F75">
            <w:pPr>
              <w:pStyle w:val="TableText"/>
            </w:pPr>
            <w:r w:rsidRPr="001E353D">
              <w:rPr>
                <w:bCs/>
              </w:rPr>
              <w:t>State Rule:</w:t>
            </w:r>
            <w:r w:rsidRPr="001E353D">
              <w:t> </w:t>
            </w:r>
          </w:p>
          <w:p w14:paraId="467174C8" w14:textId="291DCF0A" w:rsidR="007873D5" w:rsidRPr="001E353D" w:rsidRDefault="007873D5" w:rsidP="00711F75">
            <w:pPr>
              <w:pStyle w:val="TableText"/>
            </w:pPr>
            <w:r w:rsidRPr="001E353D">
              <w:t>40 TAC §§ 819.24- 819.26 </w:t>
            </w:r>
          </w:p>
        </w:tc>
        <w:tc>
          <w:tcPr>
            <w:tcW w:w="3402" w:type="dxa"/>
            <w:vAlign w:val="center"/>
            <w:hideMark/>
          </w:tcPr>
          <w:p w14:paraId="0999E44B" w14:textId="77777777" w:rsidR="007873D5" w:rsidRPr="001E353D" w:rsidRDefault="007873D5" w:rsidP="00711F75">
            <w:pPr>
              <w:pStyle w:val="TableText"/>
            </w:pPr>
            <w:r w:rsidRPr="001E353D">
              <w:t>Each state agency shall provide its employees with standard employment discrimination training no later than the 30</w:t>
            </w:r>
            <w:r w:rsidRPr="001E353D">
              <w:rPr>
                <w:vertAlign w:val="superscript"/>
              </w:rPr>
              <w:t>th</w:t>
            </w:r>
            <w:r w:rsidRPr="001E353D">
              <w:t xml:space="preserve"> day after the date the employee is hired by the agency, with supplemental training every two years thereafter. Each state agency shall provide the standard training using a training program from CRD’s preapproved list of training programs that have been reviewed and certified by CRD as compliant with its training standards</w:t>
            </w:r>
            <w:r>
              <w:t>.</w:t>
            </w:r>
          </w:p>
        </w:tc>
      </w:tr>
      <w:tr w:rsidR="007873D5" w:rsidRPr="001E353D" w14:paraId="639F573C" w14:textId="77777777" w:rsidTr="00711F75">
        <w:trPr>
          <w:trHeight w:val="2355"/>
        </w:trPr>
        <w:tc>
          <w:tcPr>
            <w:tcW w:w="2604" w:type="dxa"/>
            <w:vAlign w:val="center"/>
            <w:hideMark/>
          </w:tcPr>
          <w:p w14:paraId="419D5628" w14:textId="77777777" w:rsidR="007873D5" w:rsidRPr="001E353D" w:rsidRDefault="007873D5" w:rsidP="00711F75">
            <w:pPr>
              <w:pStyle w:val="TableText"/>
            </w:pPr>
            <w:r w:rsidRPr="001E353D">
              <w:lastRenderedPageBreak/>
              <w:t>Texas Fair Housing Act </w:t>
            </w:r>
          </w:p>
        </w:tc>
        <w:tc>
          <w:tcPr>
            <w:tcW w:w="3166" w:type="dxa"/>
            <w:vAlign w:val="center"/>
            <w:hideMark/>
          </w:tcPr>
          <w:p w14:paraId="4BFF22F5" w14:textId="77777777" w:rsidR="007873D5" w:rsidRPr="001E353D" w:rsidRDefault="007873D5" w:rsidP="00711F75">
            <w:pPr>
              <w:pStyle w:val="TableText"/>
            </w:pPr>
            <w:r w:rsidRPr="001E353D">
              <w:rPr>
                <w:bCs/>
              </w:rPr>
              <w:t xml:space="preserve">State Statute: </w:t>
            </w:r>
            <w:r w:rsidRPr="001E353D">
              <w:t>Property Code, Chapter 301 </w:t>
            </w:r>
          </w:p>
          <w:p w14:paraId="15ECF676" w14:textId="77777777" w:rsidR="007873D5" w:rsidRPr="001E353D" w:rsidRDefault="007873D5" w:rsidP="00711F75">
            <w:pPr>
              <w:pStyle w:val="TableText"/>
            </w:pPr>
            <w:r w:rsidRPr="001E353D">
              <w:rPr>
                <w:bCs/>
              </w:rPr>
              <w:t>State Rule:</w:t>
            </w:r>
            <w:r w:rsidRPr="001E353D">
              <w:t> </w:t>
            </w:r>
          </w:p>
          <w:p w14:paraId="2A048586" w14:textId="30394456" w:rsidR="007873D5" w:rsidRPr="001E353D" w:rsidRDefault="007873D5" w:rsidP="00711F75">
            <w:pPr>
              <w:pStyle w:val="TableText"/>
            </w:pPr>
            <w:r w:rsidRPr="001E353D">
              <w:t>40 TAC §§ 819.111 </w:t>
            </w:r>
            <w:r w:rsidRPr="001E353D">
              <w:rPr>
                <w:i/>
                <w:iCs/>
              </w:rPr>
              <w:t>et seq</w:t>
            </w:r>
            <w:r>
              <w:t>.</w:t>
            </w:r>
          </w:p>
        </w:tc>
        <w:tc>
          <w:tcPr>
            <w:tcW w:w="3402" w:type="dxa"/>
            <w:vAlign w:val="center"/>
            <w:hideMark/>
          </w:tcPr>
          <w:p w14:paraId="0A832140" w14:textId="77777777" w:rsidR="007873D5" w:rsidRPr="001E353D" w:rsidRDefault="007873D5" w:rsidP="00711F75">
            <w:pPr>
              <w:pStyle w:val="TableText"/>
            </w:pPr>
            <w:r w:rsidRPr="001E353D">
              <w:t>Provides CRD with enforcement authority over the Texas Fair Housing Act, codified in the Texas Property Code. This statute gives CRD the authority to investigate and settle complaints of discriminatory housing practices based upon an individual’s race, color, religion, sex, disability, familial status, or national origin</w:t>
            </w:r>
            <w:r>
              <w:t>.</w:t>
            </w:r>
          </w:p>
        </w:tc>
      </w:tr>
      <w:tr w:rsidR="007873D5" w:rsidRPr="001E353D" w14:paraId="4057F346" w14:textId="77777777" w:rsidTr="00711F75">
        <w:trPr>
          <w:trHeight w:val="2355"/>
        </w:trPr>
        <w:tc>
          <w:tcPr>
            <w:tcW w:w="2604" w:type="dxa"/>
            <w:vAlign w:val="center"/>
            <w:hideMark/>
          </w:tcPr>
          <w:p w14:paraId="72E28178" w14:textId="77777777" w:rsidR="007873D5" w:rsidRPr="001E353D" w:rsidRDefault="007873D5" w:rsidP="00711F75">
            <w:pPr>
              <w:pStyle w:val="TableText"/>
            </w:pPr>
            <w:r w:rsidRPr="001E353D">
              <w:t>Definitions and Authority </w:t>
            </w:r>
          </w:p>
        </w:tc>
        <w:tc>
          <w:tcPr>
            <w:tcW w:w="3166" w:type="dxa"/>
            <w:vAlign w:val="center"/>
            <w:hideMark/>
          </w:tcPr>
          <w:p w14:paraId="768DCF47" w14:textId="77777777" w:rsidR="007873D5" w:rsidRPr="001E353D" w:rsidRDefault="007873D5" w:rsidP="00711F75">
            <w:pPr>
              <w:pStyle w:val="TableText"/>
            </w:pPr>
            <w:r w:rsidRPr="001E353D">
              <w:rPr>
                <w:bCs/>
              </w:rPr>
              <w:t>State Statute:</w:t>
            </w:r>
            <w:r w:rsidRPr="001E353D">
              <w:t> </w:t>
            </w:r>
          </w:p>
          <w:p w14:paraId="3955CC35" w14:textId="77777777" w:rsidR="007873D5" w:rsidRPr="001E353D" w:rsidRDefault="007873D5" w:rsidP="00711F75">
            <w:pPr>
              <w:pStyle w:val="TableText"/>
            </w:pPr>
            <w:r w:rsidRPr="001E353D">
              <w:t>Labor Code §301.151 through 301.153(a) </w:t>
            </w:r>
          </w:p>
          <w:p w14:paraId="2B87D902" w14:textId="77777777" w:rsidR="007873D5" w:rsidRPr="001E353D" w:rsidRDefault="007873D5" w:rsidP="00711F75">
            <w:pPr>
              <w:pStyle w:val="TableText"/>
            </w:pPr>
            <w:r w:rsidRPr="001E353D">
              <w:t>Property Code 301.0015 </w:t>
            </w:r>
          </w:p>
        </w:tc>
        <w:tc>
          <w:tcPr>
            <w:tcW w:w="3402" w:type="dxa"/>
            <w:vAlign w:val="center"/>
            <w:hideMark/>
          </w:tcPr>
          <w:p w14:paraId="159CEDB5" w14:textId="77777777" w:rsidR="007873D5" w:rsidRPr="001E353D" w:rsidRDefault="007873D5" w:rsidP="00711F75">
            <w:pPr>
              <w:pStyle w:val="TableText"/>
            </w:pPr>
            <w:r w:rsidRPr="001E353D">
              <w:t>Provides for the renaming of the Human Rights Commission to the civil rights division and establishes that the division be responsible for administering Chapter 2 and Chapter 301, Property Code under the direction of the director as appointed by executive director</w:t>
            </w:r>
            <w:r>
              <w:t>.</w:t>
            </w:r>
          </w:p>
        </w:tc>
      </w:tr>
      <w:tr w:rsidR="007873D5" w:rsidRPr="001E353D" w14:paraId="54A17865" w14:textId="77777777" w:rsidTr="00711F75">
        <w:trPr>
          <w:trHeight w:val="2355"/>
        </w:trPr>
        <w:tc>
          <w:tcPr>
            <w:tcW w:w="2604" w:type="dxa"/>
            <w:vAlign w:val="center"/>
            <w:hideMark/>
          </w:tcPr>
          <w:p w14:paraId="091C98F4" w14:textId="77777777" w:rsidR="007873D5" w:rsidRPr="001E353D" w:rsidRDefault="007873D5" w:rsidP="00711F75">
            <w:pPr>
              <w:pStyle w:val="TableText"/>
            </w:pPr>
            <w:r w:rsidRPr="001E353D">
              <w:t>Required Reporting </w:t>
            </w:r>
          </w:p>
        </w:tc>
        <w:tc>
          <w:tcPr>
            <w:tcW w:w="3166" w:type="dxa"/>
            <w:vAlign w:val="center"/>
            <w:hideMark/>
          </w:tcPr>
          <w:p w14:paraId="292477EC" w14:textId="77777777" w:rsidR="007873D5" w:rsidRPr="001E353D" w:rsidRDefault="007873D5" w:rsidP="00711F75">
            <w:pPr>
              <w:pStyle w:val="TableText"/>
            </w:pPr>
            <w:r w:rsidRPr="001E353D">
              <w:rPr>
                <w:bCs/>
              </w:rPr>
              <w:t>State Statute: </w:t>
            </w:r>
            <w:r w:rsidRPr="001E353D">
              <w:t> </w:t>
            </w:r>
          </w:p>
          <w:p w14:paraId="771963CF" w14:textId="77777777" w:rsidR="007873D5" w:rsidRPr="001E353D" w:rsidRDefault="007873D5" w:rsidP="00711F75">
            <w:pPr>
              <w:pStyle w:val="TableText"/>
            </w:pPr>
            <w:r w:rsidRPr="001E353D">
              <w:t>Labor Code §301.157 </w:t>
            </w:r>
          </w:p>
          <w:p w14:paraId="2416FC8E" w14:textId="77777777" w:rsidR="007873D5" w:rsidRPr="001E353D" w:rsidRDefault="007873D5" w:rsidP="00711F75">
            <w:pPr>
              <w:pStyle w:val="TableText"/>
            </w:pPr>
            <w:r w:rsidRPr="001E353D">
              <w:t>40 TAC 819.3 </w:t>
            </w:r>
          </w:p>
        </w:tc>
        <w:tc>
          <w:tcPr>
            <w:tcW w:w="3402" w:type="dxa"/>
            <w:vAlign w:val="center"/>
            <w:hideMark/>
          </w:tcPr>
          <w:p w14:paraId="20E38CE9" w14:textId="77777777" w:rsidR="007873D5" w:rsidRPr="001E353D" w:rsidRDefault="007873D5" w:rsidP="00711F75">
            <w:pPr>
              <w:pStyle w:val="TableText"/>
            </w:pPr>
            <w:r w:rsidRPr="001E353D">
              <w:t>Requires the agency to prepare and submit with its annual report to the governor and legislature an analysis of valid employment discrimination complaints (redacted of PI) filed in the previous fiscal year that includes number and trends</w:t>
            </w:r>
            <w:r>
              <w:t>.</w:t>
            </w:r>
          </w:p>
        </w:tc>
      </w:tr>
      <w:tr w:rsidR="007873D5" w:rsidRPr="001E353D" w14:paraId="4F93CEBA" w14:textId="77777777" w:rsidTr="00711F75">
        <w:trPr>
          <w:trHeight w:val="405"/>
        </w:trPr>
        <w:tc>
          <w:tcPr>
            <w:tcW w:w="9172" w:type="dxa"/>
            <w:gridSpan w:val="3"/>
            <w:vAlign w:val="center"/>
            <w:hideMark/>
          </w:tcPr>
          <w:p w14:paraId="5194ABE8" w14:textId="77777777" w:rsidR="007873D5" w:rsidRPr="00037937" w:rsidRDefault="007873D5" w:rsidP="008978DC">
            <w:pPr>
              <w:pStyle w:val="TableText"/>
              <w:jc w:val="center"/>
              <w:rPr>
                <w:b/>
              </w:rPr>
            </w:pPr>
            <w:r w:rsidRPr="00037937">
              <w:rPr>
                <w:b/>
              </w:rPr>
              <w:t>Workforce Development</w:t>
            </w:r>
          </w:p>
        </w:tc>
      </w:tr>
      <w:tr w:rsidR="007873D5" w:rsidRPr="001E353D" w14:paraId="5E849F87" w14:textId="77777777" w:rsidTr="00711F75">
        <w:trPr>
          <w:trHeight w:val="2985"/>
        </w:trPr>
        <w:tc>
          <w:tcPr>
            <w:tcW w:w="2604" w:type="dxa"/>
            <w:vAlign w:val="center"/>
            <w:hideMark/>
          </w:tcPr>
          <w:p w14:paraId="746EA18A" w14:textId="77777777" w:rsidR="007873D5" w:rsidRPr="001E353D" w:rsidRDefault="007873D5" w:rsidP="00711F75">
            <w:pPr>
              <w:pStyle w:val="TableText"/>
            </w:pPr>
            <w:r w:rsidRPr="001E353D">
              <w:t>Employment Services </w:t>
            </w:r>
          </w:p>
        </w:tc>
        <w:tc>
          <w:tcPr>
            <w:tcW w:w="3166" w:type="dxa"/>
            <w:vAlign w:val="center"/>
            <w:hideMark/>
          </w:tcPr>
          <w:p w14:paraId="53382185" w14:textId="77777777" w:rsidR="007873D5" w:rsidRPr="001E353D" w:rsidRDefault="007873D5" w:rsidP="00711F75">
            <w:pPr>
              <w:pStyle w:val="TableText"/>
            </w:pPr>
            <w:r w:rsidRPr="001E353D">
              <w:rPr>
                <w:bCs/>
              </w:rPr>
              <w:t>State Statute:</w:t>
            </w:r>
            <w:r w:rsidRPr="001E353D">
              <w:t> </w:t>
            </w:r>
          </w:p>
          <w:p w14:paraId="2B6AC4DB" w14:textId="77777777" w:rsidR="007873D5" w:rsidRPr="001E353D" w:rsidRDefault="007873D5" w:rsidP="00711F75">
            <w:pPr>
              <w:pStyle w:val="TableText"/>
            </w:pPr>
            <w:r w:rsidRPr="001E353D">
              <w:t>Labor Code § 307.001 </w:t>
            </w:r>
          </w:p>
          <w:p w14:paraId="3A0EE1B9" w14:textId="77777777" w:rsidR="007873D5" w:rsidRPr="001E353D" w:rsidRDefault="007873D5" w:rsidP="00711F75">
            <w:pPr>
              <w:pStyle w:val="TableText"/>
            </w:pPr>
            <w:r w:rsidRPr="001E353D">
              <w:rPr>
                <w:i/>
                <w:iCs/>
              </w:rPr>
              <w:t>et seq</w:t>
            </w:r>
            <w:r>
              <w:rPr>
                <w:i/>
                <w:iCs/>
              </w:rPr>
              <w:t>.</w:t>
            </w:r>
          </w:p>
          <w:p w14:paraId="67F639B7" w14:textId="77777777" w:rsidR="007873D5" w:rsidRPr="001E353D" w:rsidRDefault="007873D5" w:rsidP="00711F75">
            <w:pPr>
              <w:pStyle w:val="TableText"/>
            </w:pPr>
            <w:r w:rsidRPr="001E353D">
              <w:rPr>
                <w:bCs/>
              </w:rPr>
              <w:t>State Rule:</w:t>
            </w:r>
            <w:r w:rsidRPr="001E353D">
              <w:t> </w:t>
            </w:r>
          </w:p>
          <w:p w14:paraId="6C111491" w14:textId="77777777" w:rsidR="007873D5" w:rsidRPr="001E353D" w:rsidRDefault="007873D5" w:rsidP="00711F75">
            <w:pPr>
              <w:pStyle w:val="TableText"/>
            </w:pPr>
            <w:r w:rsidRPr="001E353D">
              <w:t>40 TAC Chapter 843 </w:t>
            </w:r>
          </w:p>
          <w:p w14:paraId="664EFEE0" w14:textId="77777777" w:rsidR="007873D5" w:rsidRPr="001E353D" w:rsidRDefault="007873D5" w:rsidP="00711F75">
            <w:pPr>
              <w:pStyle w:val="TableText"/>
            </w:pPr>
            <w:r w:rsidRPr="001E353D">
              <w:rPr>
                <w:bCs/>
              </w:rPr>
              <w:t>Federal Statute:</w:t>
            </w:r>
            <w:r w:rsidRPr="001E353D">
              <w:t> </w:t>
            </w:r>
          </w:p>
          <w:p w14:paraId="7F94CF7B" w14:textId="77777777" w:rsidR="007873D5" w:rsidRPr="001E353D" w:rsidRDefault="007873D5" w:rsidP="00711F75">
            <w:pPr>
              <w:pStyle w:val="TableText"/>
            </w:pPr>
            <w:r w:rsidRPr="001E353D">
              <w:t xml:space="preserve">29 USC §49 </w:t>
            </w:r>
            <w:r w:rsidRPr="001E353D">
              <w:rPr>
                <w:i/>
                <w:iCs/>
              </w:rPr>
              <w:t xml:space="preserve">et </w:t>
            </w:r>
            <w:proofErr w:type="gramStart"/>
            <w:r w:rsidRPr="001E353D">
              <w:rPr>
                <w:i/>
                <w:iCs/>
              </w:rPr>
              <w:t>seq.</w:t>
            </w:r>
            <w:r w:rsidRPr="001E353D">
              <w:t>;</w:t>
            </w:r>
            <w:proofErr w:type="gramEnd"/>
            <w:r w:rsidRPr="001E353D">
              <w:t> </w:t>
            </w:r>
          </w:p>
          <w:p w14:paraId="0AE8A869" w14:textId="77777777" w:rsidR="007873D5" w:rsidRPr="001E353D" w:rsidRDefault="007873D5" w:rsidP="00711F75">
            <w:pPr>
              <w:pStyle w:val="TableText"/>
            </w:pPr>
            <w:r w:rsidRPr="001E353D">
              <w:t>42 USC §1101 </w:t>
            </w:r>
          </w:p>
          <w:p w14:paraId="1A91680A" w14:textId="77777777" w:rsidR="007873D5" w:rsidRPr="001E353D" w:rsidRDefault="007873D5" w:rsidP="00711F75">
            <w:pPr>
              <w:pStyle w:val="TableText"/>
            </w:pPr>
            <w:r w:rsidRPr="001E353D">
              <w:rPr>
                <w:bCs/>
              </w:rPr>
              <w:t>Federal Regulations:</w:t>
            </w:r>
            <w:r w:rsidRPr="001E353D">
              <w:t> </w:t>
            </w:r>
          </w:p>
          <w:p w14:paraId="5750FB55" w14:textId="77777777" w:rsidR="007873D5" w:rsidRPr="001E353D" w:rsidRDefault="007873D5" w:rsidP="00711F75">
            <w:pPr>
              <w:pStyle w:val="TableText"/>
            </w:pPr>
            <w:r w:rsidRPr="001E353D">
              <w:t>20 CFR Part 652 </w:t>
            </w:r>
          </w:p>
        </w:tc>
        <w:tc>
          <w:tcPr>
            <w:tcW w:w="3402" w:type="dxa"/>
            <w:vAlign w:val="center"/>
            <w:hideMark/>
          </w:tcPr>
          <w:p w14:paraId="58C6D274" w14:textId="77777777" w:rsidR="007873D5" w:rsidRPr="001E353D" w:rsidRDefault="007873D5" w:rsidP="00711F75">
            <w:pPr>
              <w:pStyle w:val="TableText"/>
            </w:pPr>
            <w:r>
              <w:t>Provides that TWC is the state agency designated to cooperate with the United States Employment Service as necessary to perform the duties of the State under the Wagner-Peyser Act and requires TWC to establish and maintain free public employment offices. Provides employers and job seekers with guidance for accessing the clearinghouse of employer and job seeker information.</w:t>
            </w:r>
          </w:p>
        </w:tc>
      </w:tr>
      <w:tr w:rsidR="007873D5" w:rsidRPr="001E353D" w14:paraId="211E618F" w14:textId="77777777" w:rsidTr="00711F75">
        <w:trPr>
          <w:trHeight w:val="3450"/>
        </w:trPr>
        <w:tc>
          <w:tcPr>
            <w:tcW w:w="2604" w:type="dxa"/>
            <w:vAlign w:val="center"/>
            <w:hideMark/>
          </w:tcPr>
          <w:p w14:paraId="20E8F3C2" w14:textId="77777777" w:rsidR="007873D5" w:rsidRPr="001E353D" w:rsidRDefault="007873D5" w:rsidP="00711F75">
            <w:pPr>
              <w:pStyle w:val="TableText"/>
            </w:pPr>
            <w:r w:rsidRPr="001E353D">
              <w:lastRenderedPageBreak/>
              <w:t>Temporary Assistance for Needy Families (TANF) (includes all TANF-funded programs and specific initiatives such as Choices, Retention Services, Re- employment Services, and Local Innovation Grants) </w:t>
            </w:r>
          </w:p>
        </w:tc>
        <w:tc>
          <w:tcPr>
            <w:tcW w:w="3166" w:type="dxa"/>
            <w:vAlign w:val="center"/>
            <w:hideMark/>
          </w:tcPr>
          <w:p w14:paraId="23DC1AAB" w14:textId="77777777" w:rsidR="007873D5" w:rsidRPr="001E353D" w:rsidRDefault="007873D5" w:rsidP="00711F75">
            <w:pPr>
              <w:pStyle w:val="TableText"/>
            </w:pPr>
            <w:r w:rsidRPr="001E353D">
              <w:rPr>
                <w:bCs/>
              </w:rPr>
              <w:t>State Statute:</w:t>
            </w:r>
            <w:r w:rsidRPr="001E353D">
              <w:t> </w:t>
            </w:r>
          </w:p>
          <w:p w14:paraId="4DF7C6A5" w14:textId="77777777" w:rsidR="007873D5" w:rsidRPr="001E353D" w:rsidRDefault="007873D5" w:rsidP="00711F75">
            <w:pPr>
              <w:pStyle w:val="TableText"/>
            </w:pPr>
            <w:r w:rsidRPr="001E353D">
              <w:t xml:space="preserve">Labor Code § 302.001 et seq.; Education Code §54.001 </w:t>
            </w:r>
            <w:r w:rsidRPr="001E353D">
              <w:rPr>
                <w:i/>
                <w:iCs/>
              </w:rPr>
              <w:t>et seq</w:t>
            </w:r>
            <w:r w:rsidRPr="001E353D">
              <w:t xml:space="preserve">.; Human Resources Code § 31.001 </w:t>
            </w:r>
            <w:r w:rsidRPr="001E353D">
              <w:rPr>
                <w:i/>
                <w:iCs/>
              </w:rPr>
              <w:t>et seq</w:t>
            </w:r>
            <w:r>
              <w:t>.</w:t>
            </w:r>
          </w:p>
          <w:p w14:paraId="358C8E72" w14:textId="77777777" w:rsidR="007873D5" w:rsidRPr="001E353D" w:rsidRDefault="007873D5" w:rsidP="00711F75">
            <w:pPr>
              <w:pStyle w:val="TableText"/>
            </w:pPr>
            <w:r w:rsidRPr="001E353D">
              <w:rPr>
                <w:bCs/>
              </w:rPr>
              <w:t>State Regulation:</w:t>
            </w:r>
            <w:r w:rsidRPr="001E353D">
              <w:t> </w:t>
            </w:r>
          </w:p>
          <w:p w14:paraId="6C417178" w14:textId="77777777" w:rsidR="007873D5" w:rsidRPr="001E353D" w:rsidRDefault="007873D5" w:rsidP="00711F75">
            <w:pPr>
              <w:pStyle w:val="TableText"/>
            </w:pPr>
            <w:r w:rsidRPr="001E353D">
              <w:t>40 TAC Chapter 811 </w:t>
            </w:r>
          </w:p>
          <w:p w14:paraId="25AB026E" w14:textId="77777777" w:rsidR="007873D5" w:rsidRPr="001E353D" w:rsidRDefault="007873D5" w:rsidP="00711F75">
            <w:pPr>
              <w:pStyle w:val="TableText"/>
            </w:pPr>
            <w:r w:rsidRPr="001E353D">
              <w:rPr>
                <w:bCs/>
              </w:rPr>
              <w:t>Federal Statute:</w:t>
            </w:r>
            <w:r w:rsidRPr="001E353D">
              <w:t> </w:t>
            </w:r>
          </w:p>
          <w:p w14:paraId="2C88F6ED" w14:textId="77777777" w:rsidR="007873D5" w:rsidRPr="001E353D" w:rsidRDefault="007873D5" w:rsidP="00711F75">
            <w:pPr>
              <w:pStyle w:val="TableText"/>
            </w:pPr>
            <w:r w:rsidRPr="001E353D">
              <w:t xml:space="preserve">42 USC §601 </w:t>
            </w:r>
            <w:r w:rsidRPr="001E353D">
              <w:rPr>
                <w:i/>
                <w:iCs/>
              </w:rPr>
              <w:t>et seq</w:t>
            </w:r>
            <w:r>
              <w:t>.</w:t>
            </w:r>
          </w:p>
          <w:p w14:paraId="1D75A815" w14:textId="77777777" w:rsidR="007873D5" w:rsidRPr="001E353D" w:rsidRDefault="007873D5" w:rsidP="00711F75">
            <w:pPr>
              <w:pStyle w:val="TableText"/>
            </w:pPr>
            <w:r w:rsidRPr="001E353D">
              <w:rPr>
                <w:bCs/>
              </w:rPr>
              <w:t>Federal Regulation:</w:t>
            </w:r>
            <w:r w:rsidRPr="001E353D">
              <w:t> </w:t>
            </w:r>
          </w:p>
          <w:p w14:paraId="45BDFA21" w14:textId="77777777" w:rsidR="007873D5" w:rsidRPr="001E353D" w:rsidRDefault="007873D5" w:rsidP="00711F75">
            <w:pPr>
              <w:pStyle w:val="TableText"/>
            </w:pPr>
            <w:r w:rsidRPr="001E353D">
              <w:t>45 CFR 260 </w:t>
            </w:r>
          </w:p>
        </w:tc>
        <w:tc>
          <w:tcPr>
            <w:tcW w:w="3402" w:type="dxa"/>
            <w:vAlign w:val="center"/>
            <w:hideMark/>
          </w:tcPr>
          <w:p w14:paraId="2431AF4A" w14:textId="77777777" w:rsidR="007873D5" w:rsidRPr="001E353D" w:rsidRDefault="007873D5" w:rsidP="00711F75">
            <w:pPr>
              <w:pStyle w:val="TableText"/>
            </w:pPr>
            <w:r>
              <w:t xml:space="preserve">Provides for assistance to </w:t>
            </w:r>
            <w:proofErr w:type="gramStart"/>
            <w:r>
              <w:t>low income</w:t>
            </w:r>
            <w:proofErr w:type="gramEnd"/>
            <w:r>
              <w:t xml:space="preserve"> families to obtain and retain employment. Adults may engage in training and educational activities that will enhance employment opportunities. Requires TWC to provide employment services, including needs assessment, job training, post-employment services, and related support services, to non-TANF-recipient parents to comply with federal work participation requirements.</w:t>
            </w:r>
          </w:p>
        </w:tc>
      </w:tr>
      <w:tr w:rsidR="007873D5" w:rsidRPr="001E353D" w14:paraId="0D0706C9" w14:textId="77777777" w:rsidTr="00711F75">
        <w:trPr>
          <w:trHeight w:val="3450"/>
        </w:trPr>
        <w:tc>
          <w:tcPr>
            <w:tcW w:w="2604" w:type="dxa"/>
            <w:vAlign w:val="center"/>
            <w:hideMark/>
          </w:tcPr>
          <w:p w14:paraId="25915CDA" w14:textId="77777777" w:rsidR="007873D5" w:rsidRPr="001E353D" w:rsidRDefault="007873D5" w:rsidP="00711F75">
            <w:pPr>
              <w:pStyle w:val="TableText"/>
            </w:pPr>
            <w:r w:rsidRPr="001E353D">
              <w:t>Definitions </w:t>
            </w:r>
          </w:p>
        </w:tc>
        <w:tc>
          <w:tcPr>
            <w:tcW w:w="3166" w:type="dxa"/>
            <w:vAlign w:val="center"/>
            <w:hideMark/>
          </w:tcPr>
          <w:p w14:paraId="54A3EFFC" w14:textId="77777777" w:rsidR="007873D5" w:rsidRPr="001E353D" w:rsidRDefault="007873D5" w:rsidP="00711F75">
            <w:pPr>
              <w:pStyle w:val="TableText"/>
            </w:pPr>
            <w:r w:rsidRPr="001E353D">
              <w:rPr>
                <w:bCs/>
              </w:rPr>
              <w:t>State Statute:</w:t>
            </w:r>
            <w:r w:rsidRPr="001E353D">
              <w:t> </w:t>
            </w:r>
          </w:p>
          <w:p w14:paraId="303A79C1" w14:textId="77777777" w:rsidR="007873D5" w:rsidRPr="001E353D" w:rsidRDefault="007873D5" w:rsidP="00711F75">
            <w:pPr>
              <w:pStyle w:val="TableText"/>
            </w:pPr>
            <w:r w:rsidRPr="001E353D">
              <w:t xml:space="preserve">Labor Code § 302.001 et seq.; Education Code §54.001 </w:t>
            </w:r>
            <w:r w:rsidRPr="001E353D">
              <w:rPr>
                <w:i/>
                <w:iCs/>
              </w:rPr>
              <w:t>et seq</w:t>
            </w:r>
            <w:r w:rsidRPr="001E353D">
              <w:t xml:space="preserve">.; Human Resources Code § 31.001 </w:t>
            </w:r>
            <w:r w:rsidRPr="001E353D">
              <w:rPr>
                <w:i/>
                <w:iCs/>
              </w:rPr>
              <w:t>et seq</w:t>
            </w:r>
            <w:r>
              <w:t>.</w:t>
            </w:r>
          </w:p>
          <w:p w14:paraId="4E5DA778" w14:textId="77777777" w:rsidR="007873D5" w:rsidRPr="001E353D" w:rsidRDefault="007873D5" w:rsidP="00711F75">
            <w:pPr>
              <w:pStyle w:val="TableText"/>
            </w:pPr>
            <w:r w:rsidRPr="001E353D">
              <w:rPr>
                <w:bCs/>
              </w:rPr>
              <w:t>State Regulation:</w:t>
            </w:r>
            <w:r w:rsidRPr="001E353D">
              <w:t> </w:t>
            </w:r>
          </w:p>
          <w:p w14:paraId="79EE95EF" w14:textId="77777777" w:rsidR="007873D5" w:rsidRPr="001E353D" w:rsidRDefault="007873D5" w:rsidP="00711F75">
            <w:pPr>
              <w:pStyle w:val="TableText"/>
            </w:pPr>
            <w:r w:rsidRPr="001E353D">
              <w:t>40 TAC Chapter 811 </w:t>
            </w:r>
          </w:p>
          <w:p w14:paraId="50FAEEE1" w14:textId="77777777" w:rsidR="007873D5" w:rsidRPr="001E353D" w:rsidRDefault="007873D5" w:rsidP="00711F75">
            <w:pPr>
              <w:pStyle w:val="TableText"/>
            </w:pPr>
            <w:r w:rsidRPr="001E353D">
              <w:rPr>
                <w:bCs/>
              </w:rPr>
              <w:t>Federal Statute:</w:t>
            </w:r>
            <w:r w:rsidRPr="001E353D">
              <w:t> </w:t>
            </w:r>
          </w:p>
          <w:p w14:paraId="45AB0DB9" w14:textId="77777777" w:rsidR="007873D5" w:rsidRPr="001E353D" w:rsidRDefault="007873D5" w:rsidP="00711F75">
            <w:pPr>
              <w:pStyle w:val="TableText"/>
            </w:pPr>
            <w:r w:rsidRPr="001E353D">
              <w:t xml:space="preserve">42 USC §601 </w:t>
            </w:r>
            <w:r w:rsidRPr="001E353D">
              <w:rPr>
                <w:i/>
                <w:iCs/>
              </w:rPr>
              <w:t>et seq</w:t>
            </w:r>
            <w:r>
              <w:t>.</w:t>
            </w:r>
          </w:p>
          <w:p w14:paraId="4E3A3FD5" w14:textId="77777777" w:rsidR="007873D5" w:rsidRPr="001E353D" w:rsidRDefault="007873D5" w:rsidP="00711F75">
            <w:pPr>
              <w:pStyle w:val="TableText"/>
            </w:pPr>
            <w:r w:rsidRPr="001E353D">
              <w:rPr>
                <w:bCs/>
              </w:rPr>
              <w:t>Federal Regulation:</w:t>
            </w:r>
            <w:r w:rsidRPr="001E353D">
              <w:t> </w:t>
            </w:r>
          </w:p>
          <w:p w14:paraId="2BAFAF1D" w14:textId="77777777" w:rsidR="007873D5" w:rsidRPr="001E353D" w:rsidRDefault="007873D5" w:rsidP="00711F75">
            <w:pPr>
              <w:pStyle w:val="TableText"/>
            </w:pPr>
            <w:r w:rsidRPr="001E353D">
              <w:t>45 CFR 260 </w:t>
            </w:r>
          </w:p>
        </w:tc>
        <w:tc>
          <w:tcPr>
            <w:tcW w:w="3402" w:type="dxa"/>
            <w:vAlign w:val="center"/>
            <w:hideMark/>
          </w:tcPr>
          <w:p w14:paraId="0DDDB21F" w14:textId="77777777" w:rsidR="007873D5" w:rsidRPr="001E353D" w:rsidRDefault="007873D5" w:rsidP="00711F75">
            <w:pPr>
              <w:pStyle w:val="TableText"/>
            </w:pPr>
            <w:r w:rsidRPr="001E353D">
              <w:t>Defines “career education and training program” be defined for the chapter be defined as in Section 2308A.001 of the Government Code</w:t>
            </w:r>
            <w:r>
              <w:t>.</w:t>
            </w:r>
          </w:p>
        </w:tc>
      </w:tr>
      <w:tr w:rsidR="007873D5" w:rsidRPr="001E353D" w14:paraId="42AD16CD" w14:textId="77777777" w:rsidTr="00711F75">
        <w:trPr>
          <w:trHeight w:val="3450"/>
        </w:trPr>
        <w:tc>
          <w:tcPr>
            <w:tcW w:w="2604" w:type="dxa"/>
            <w:vAlign w:val="center"/>
            <w:hideMark/>
          </w:tcPr>
          <w:p w14:paraId="619C1759" w14:textId="074AB7D1" w:rsidR="007873D5" w:rsidRPr="001E353D" w:rsidRDefault="007873D5" w:rsidP="00711F75">
            <w:pPr>
              <w:pStyle w:val="TableText"/>
            </w:pPr>
            <w:r w:rsidRPr="001E353D">
              <w:t>CHOICES (TANF Employment and Training Program) </w:t>
            </w:r>
          </w:p>
        </w:tc>
        <w:tc>
          <w:tcPr>
            <w:tcW w:w="3166" w:type="dxa"/>
            <w:vAlign w:val="center"/>
            <w:hideMark/>
          </w:tcPr>
          <w:p w14:paraId="3C38925D" w14:textId="77777777" w:rsidR="007873D5" w:rsidRPr="001E353D" w:rsidRDefault="007873D5" w:rsidP="00711F75">
            <w:pPr>
              <w:pStyle w:val="TableText"/>
            </w:pPr>
            <w:r w:rsidRPr="001E353D">
              <w:rPr>
                <w:bCs/>
              </w:rPr>
              <w:t xml:space="preserve">State Statute: </w:t>
            </w:r>
            <w:r w:rsidRPr="001E353D">
              <w:t>Labor Code § 302.021(a)(16</w:t>
            </w:r>
            <w:proofErr w:type="gramStart"/>
            <w:r w:rsidRPr="001E353D">
              <w:t>);</w:t>
            </w:r>
            <w:proofErr w:type="gramEnd"/>
            <w:r w:rsidRPr="001E353D">
              <w:t> </w:t>
            </w:r>
          </w:p>
          <w:p w14:paraId="1602AE93" w14:textId="77777777" w:rsidR="00DD0A01" w:rsidRDefault="007873D5" w:rsidP="00711F75">
            <w:pPr>
              <w:pStyle w:val="TableText"/>
            </w:pPr>
            <w:r w:rsidRPr="001E353D">
              <w:t>Human Resources Code</w:t>
            </w:r>
          </w:p>
          <w:p w14:paraId="6153DC3D" w14:textId="1ADAFEEA" w:rsidR="007873D5" w:rsidRPr="001E353D" w:rsidRDefault="007873D5" w:rsidP="00711F75">
            <w:pPr>
              <w:pStyle w:val="TableText"/>
            </w:pPr>
            <w:r w:rsidRPr="001E353D">
              <w:t>Chapters 31 and 34 </w:t>
            </w:r>
          </w:p>
          <w:p w14:paraId="693503EC" w14:textId="77777777" w:rsidR="007873D5" w:rsidRPr="001E353D" w:rsidRDefault="007873D5" w:rsidP="00711F75">
            <w:pPr>
              <w:pStyle w:val="TableText"/>
            </w:pPr>
            <w:r w:rsidRPr="001E353D">
              <w:rPr>
                <w:bCs/>
              </w:rPr>
              <w:t>State Rule:</w:t>
            </w:r>
            <w:r w:rsidRPr="001E353D">
              <w:t> </w:t>
            </w:r>
          </w:p>
          <w:p w14:paraId="31E466ED" w14:textId="77777777" w:rsidR="007873D5" w:rsidRPr="001E353D" w:rsidRDefault="007873D5" w:rsidP="00711F75">
            <w:pPr>
              <w:pStyle w:val="TableText"/>
            </w:pPr>
            <w:r w:rsidRPr="001E353D">
              <w:t>40 TAC Chapter 811 </w:t>
            </w:r>
          </w:p>
          <w:p w14:paraId="224D650C" w14:textId="77777777" w:rsidR="007873D5" w:rsidRPr="001E353D" w:rsidRDefault="007873D5" w:rsidP="00711F75">
            <w:pPr>
              <w:pStyle w:val="TableText"/>
            </w:pPr>
            <w:r w:rsidRPr="001E353D">
              <w:rPr>
                <w:bCs/>
              </w:rPr>
              <w:t>Federal Statute:</w:t>
            </w:r>
            <w:r w:rsidRPr="001E353D">
              <w:t> </w:t>
            </w:r>
          </w:p>
          <w:p w14:paraId="0E2A33C3" w14:textId="77777777" w:rsidR="007873D5" w:rsidRPr="001E353D" w:rsidRDefault="007873D5" w:rsidP="00711F75">
            <w:pPr>
              <w:pStyle w:val="TableText"/>
            </w:pPr>
            <w:r w:rsidRPr="001E353D">
              <w:t xml:space="preserve">42 USC § 601 </w:t>
            </w:r>
            <w:r w:rsidRPr="001E353D">
              <w:rPr>
                <w:i/>
                <w:iCs/>
              </w:rPr>
              <w:t>et seq</w:t>
            </w:r>
            <w:r>
              <w:rPr>
                <w:i/>
                <w:iCs/>
              </w:rPr>
              <w:t>.</w:t>
            </w:r>
          </w:p>
          <w:p w14:paraId="04106E60" w14:textId="77777777" w:rsidR="007873D5" w:rsidRPr="001E353D" w:rsidRDefault="007873D5" w:rsidP="00711F75">
            <w:pPr>
              <w:pStyle w:val="TableText"/>
            </w:pPr>
            <w:r w:rsidRPr="001E353D">
              <w:rPr>
                <w:bCs/>
              </w:rPr>
              <w:t>Federal Regulations:</w:t>
            </w:r>
            <w:r w:rsidRPr="001E353D">
              <w:t> </w:t>
            </w:r>
          </w:p>
          <w:p w14:paraId="056704A3" w14:textId="77777777" w:rsidR="007873D5" w:rsidRPr="001E353D" w:rsidRDefault="007873D5" w:rsidP="00711F75">
            <w:pPr>
              <w:pStyle w:val="TableText"/>
            </w:pPr>
            <w:r w:rsidRPr="001E353D">
              <w:t>45 CFR Part 260 </w:t>
            </w:r>
          </w:p>
        </w:tc>
        <w:tc>
          <w:tcPr>
            <w:tcW w:w="3402" w:type="dxa"/>
            <w:vAlign w:val="center"/>
            <w:hideMark/>
          </w:tcPr>
          <w:p w14:paraId="5C2997B0" w14:textId="77777777" w:rsidR="007873D5" w:rsidRPr="001E353D" w:rsidRDefault="007873D5" w:rsidP="00711F75">
            <w:pPr>
              <w:pStyle w:val="TableText"/>
            </w:pPr>
            <w:r w:rsidRPr="001E353D">
              <w:t>Provides for coordination between TWC and HHSC for the implementation of the employment and training component for persons receiving or transitioning off public assistance</w:t>
            </w:r>
            <w:r>
              <w:t>.</w:t>
            </w:r>
          </w:p>
        </w:tc>
      </w:tr>
      <w:tr w:rsidR="007873D5" w:rsidRPr="001E353D" w14:paraId="18756DBE" w14:textId="77777777" w:rsidTr="00711F75">
        <w:trPr>
          <w:trHeight w:val="2010"/>
        </w:trPr>
        <w:tc>
          <w:tcPr>
            <w:tcW w:w="2604" w:type="dxa"/>
            <w:vAlign w:val="center"/>
            <w:hideMark/>
          </w:tcPr>
          <w:p w14:paraId="0550847A" w14:textId="77777777" w:rsidR="007873D5" w:rsidRPr="001E353D" w:rsidRDefault="007873D5" w:rsidP="00711F75">
            <w:pPr>
              <w:pStyle w:val="TableText"/>
            </w:pPr>
            <w:r w:rsidRPr="001E353D">
              <w:lastRenderedPageBreak/>
              <w:t>Community Supervision &amp; Corrections </w:t>
            </w:r>
          </w:p>
        </w:tc>
        <w:tc>
          <w:tcPr>
            <w:tcW w:w="3166" w:type="dxa"/>
            <w:vAlign w:val="center"/>
            <w:hideMark/>
          </w:tcPr>
          <w:p w14:paraId="7CF6F32A" w14:textId="77777777" w:rsidR="007873D5" w:rsidRPr="001E353D" w:rsidRDefault="007873D5" w:rsidP="00711F75">
            <w:pPr>
              <w:pStyle w:val="TableText"/>
            </w:pPr>
            <w:r w:rsidRPr="001E353D">
              <w:rPr>
                <w:bCs/>
              </w:rPr>
              <w:t>State Statute:</w:t>
            </w:r>
            <w:r w:rsidRPr="001E353D">
              <w:t> </w:t>
            </w:r>
          </w:p>
          <w:p w14:paraId="28DB90F7" w14:textId="77777777" w:rsidR="007873D5" w:rsidRPr="001E353D" w:rsidRDefault="007873D5" w:rsidP="00711F75">
            <w:pPr>
              <w:pStyle w:val="TableText"/>
            </w:pPr>
            <w:r w:rsidRPr="001E353D">
              <w:t>Government Code </w:t>
            </w:r>
          </w:p>
          <w:p w14:paraId="0A550D34" w14:textId="77777777" w:rsidR="007873D5" w:rsidRPr="001E353D" w:rsidRDefault="007873D5" w:rsidP="00711F75">
            <w:pPr>
              <w:pStyle w:val="TableText"/>
            </w:pPr>
            <w:r w:rsidRPr="001E353D">
              <w:t>§§ 76.003 and 76.014 </w:t>
            </w:r>
          </w:p>
        </w:tc>
        <w:tc>
          <w:tcPr>
            <w:tcW w:w="3402" w:type="dxa"/>
            <w:vAlign w:val="center"/>
            <w:hideMark/>
          </w:tcPr>
          <w:p w14:paraId="7BE84394" w14:textId="77777777" w:rsidR="007873D5" w:rsidRPr="001E353D" w:rsidRDefault="007873D5" w:rsidP="00711F75">
            <w:pPr>
              <w:pStyle w:val="TableText"/>
            </w:pPr>
            <w:r>
              <w:t>Provides for the establishment of a community justice council to provide policy and guidance for community justice plans, correction facilities, programs and conditions of supervision. The council shall appoint a task force which shall include as one member the local representative of TWC. Establishes a developmental program to assess and enhance defendants’ education and skills.</w:t>
            </w:r>
          </w:p>
        </w:tc>
      </w:tr>
      <w:tr w:rsidR="007873D5" w:rsidRPr="001E353D" w14:paraId="1D8EC92F" w14:textId="77777777" w:rsidTr="00711F75">
        <w:trPr>
          <w:trHeight w:val="3675"/>
        </w:trPr>
        <w:tc>
          <w:tcPr>
            <w:tcW w:w="2604" w:type="dxa"/>
            <w:vAlign w:val="center"/>
            <w:hideMark/>
          </w:tcPr>
          <w:p w14:paraId="6BFFD7EE" w14:textId="77777777" w:rsidR="007873D5" w:rsidRPr="001E353D" w:rsidRDefault="007873D5" w:rsidP="00711F75">
            <w:pPr>
              <w:pStyle w:val="TableText"/>
            </w:pPr>
            <w:r w:rsidRPr="001E353D">
              <w:t>SNAP Employment and Training (E&amp;T) </w:t>
            </w:r>
          </w:p>
        </w:tc>
        <w:tc>
          <w:tcPr>
            <w:tcW w:w="3166" w:type="dxa"/>
            <w:vAlign w:val="center"/>
            <w:hideMark/>
          </w:tcPr>
          <w:p w14:paraId="510BB15B" w14:textId="77777777" w:rsidR="007873D5" w:rsidRPr="001E353D" w:rsidRDefault="007873D5" w:rsidP="00711F75">
            <w:pPr>
              <w:pStyle w:val="TableText"/>
            </w:pPr>
            <w:r w:rsidRPr="001E353D">
              <w:rPr>
                <w:bCs/>
              </w:rPr>
              <w:t xml:space="preserve">State Statute: </w:t>
            </w:r>
            <w:r w:rsidRPr="001E353D">
              <w:t>Texas Labor Code § 302.021(a)(17</w:t>
            </w:r>
            <w:proofErr w:type="gramStart"/>
            <w:r w:rsidRPr="001E353D">
              <w:t>);</w:t>
            </w:r>
            <w:proofErr w:type="gramEnd"/>
            <w:r w:rsidRPr="001E353D">
              <w:t> </w:t>
            </w:r>
          </w:p>
          <w:p w14:paraId="489FDF7A" w14:textId="77777777" w:rsidR="007873D5" w:rsidRPr="001E353D" w:rsidRDefault="007873D5" w:rsidP="00711F75">
            <w:pPr>
              <w:pStyle w:val="TableText"/>
            </w:pPr>
            <w:r w:rsidRPr="001E353D">
              <w:t>Texas Human Resources Code § 31.027 </w:t>
            </w:r>
          </w:p>
          <w:p w14:paraId="384D28FB" w14:textId="77777777" w:rsidR="007873D5" w:rsidRPr="001E353D" w:rsidRDefault="007873D5" w:rsidP="00711F75">
            <w:pPr>
              <w:pStyle w:val="TableText"/>
            </w:pPr>
            <w:r w:rsidRPr="001E353D">
              <w:rPr>
                <w:bCs/>
              </w:rPr>
              <w:t>State Rule:</w:t>
            </w:r>
            <w:r w:rsidRPr="001E353D">
              <w:t> </w:t>
            </w:r>
          </w:p>
          <w:p w14:paraId="032A00FA" w14:textId="77777777" w:rsidR="007873D5" w:rsidRPr="001E353D" w:rsidRDefault="007873D5" w:rsidP="00711F75">
            <w:pPr>
              <w:pStyle w:val="TableText"/>
            </w:pPr>
            <w:r w:rsidRPr="001E353D">
              <w:t>40 TAC Chapter 813 </w:t>
            </w:r>
          </w:p>
          <w:p w14:paraId="7D74177C" w14:textId="77777777" w:rsidR="007873D5" w:rsidRPr="001E353D" w:rsidRDefault="007873D5" w:rsidP="00711F75">
            <w:pPr>
              <w:pStyle w:val="TableText"/>
            </w:pPr>
            <w:r w:rsidRPr="001E353D">
              <w:rPr>
                <w:bCs/>
              </w:rPr>
              <w:t>Federal Statute:</w:t>
            </w:r>
            <w:r w:rsidRPr="001E353D">
              <w:t> </w:t>
            </w:r>
          </w:p>
          <w:p w14:paraId="04EE22FF" w14:textId="2CACE234" w:rsidR="007873D5" w:rsidRPr="001E353D" w:rsidRDefault="007873D5" w:rsidP="00711F75">
            <w:pPr>
              <w:pStyle w:val="TableText"/>
            </w:pPr>
            <w:r w:rsidRPr="001E353D">
              <w:t>7 USC §§ 2015 and 2025 </w:t>
            </w:r>
          </w:p>
          <w:p w14:paraId="3EC1447D" w14:textId="77777777" w:rsidR="007873D5" w:rsidRPr="001E353D" w:rsidRDefault="007873D5" w:rsidP="00711F75">
            <w:pPr>
              <w:pStyle w:val="TableText"/>
            </w:pPr>
            <w:r w:rsidRPr="001E353D">
              <w:rPr>
                <w:bCs/>
              </w:rPr>
              <w:t>Federal Regulation:</w:t>
            </w:r>
            <w:r w:rsidRPr="001E353D">
              <w:t> </w:t>
            </w:r>
          </w:p>
          <w:p w14:paraId="176D3D90" w14:textId="77777777" w:rsidR="007873D5" w:rsidRPr="001E353D" w:rsidRDefault="007873D5" w:rsidP="00711F75">
            <w:pPr>
              <w:pStyle w:val="TableText"/>
            </w:pPr>
            <w:r w:rsidRPr="001E353D">
              <w:t>7 CFR Parts 271-283 </w:t>
            </w:r>
          </w:p>
        </w:tc>
        <w:tc>
          <w:tcPr>
            <w:tcW w:w="3402" w:type="dxa"/>
            <w:vAlign w:val="center"/>
            <w:hideMark/>
          </w:tcPr>
          <w:p w14:paraId="54DF8219" w14:textId="77777777" w:rsidR="007873D5" w:rsidRPr="001E353D" w:rsidRDefault="007873D5" w:rsidP="00711F75">
            <w:pPr>
              <w:pStyle w:val="TableText"/>
            </w:pPr>
            <w:r w:rsidRPr="001E353D">
              <w:t xml:space="preserve">Assists in the provisioning of the SNAP </w:t>
            </w:r>
            <w:r>
              <w:t xml:space="preserve">E&amp;T </w:t>
            </w:r>
            <w:r w:rsidRPr="001E353D">
              <w:t>Program formerly known as Federal Food Stamp Act of 1977 by providing support services to assist recipients, who are not receiving TANF, in entering employment through participation in allowable job search, training, education, or work-fare activities that promote self-sufficiency</w:t>
            </w:r>
            <w:r>
              <w:t>.</w:t>
            </w:r>
          </w:p>
        </w:tc>
      </w:tr>
      <w:tr w:rsidR="007873D5" w:rsidRPr="001E353D" w14:paraId="1AC4A0FF" w14:textId="77777777" w:rsidTr="00711F75">
        <w:trPr>
          <w:trHeight w:val="1140"/>
        </w:trPr>
        <w:tc>
          <w:tcPr>
            <w:tcW w:w="2604" w:type="dxa"/>
            <w:vAlign w:val="center"/>
            <w:hideMark/>
          </w:tcPr>
          <w:p w14:paraId="09C8CA39" w14:textId="77777777" w:rsidR="007873D5" w:rsidRPr="001E353D" w:rsidRDefault="007873D5" w:rsidP="00711F75">
            <w:pPr>
              <w:pStyle w:val="TableText"/>
            </w:pPr>
            <w:r w:rsidRPr="001E353D">
              <w:t>Job Counseling for Displaced Homemakers or Workers </w:t>
            </w:r>
          </w:p>
        </w:tc>
        <w:tc>
          <w:tcPr>
            <w:tcW w:w="3166" w:type="dxa"/>
            <w:vAlign w:val="center"/>
            <w:hideMark/>
          </w:tcPr>
          <w:p w14:paraId="77029E62" w14:textId="77777777" w:rsidR="007873D5" w:rsidRPr="001E353D" w:rsidRDefault="007873D5" w:rsidP="00711F75">
            <w:pPr>
              <w:pStyle w:val="TableText"/>
            </w:pPr>
            <w:r w:rsidRPr="001E353D">
              <w:rPr>
                <w:bCs/>
              </w:rPr>
              <w:t>State Statute:</w:t>
            </w:r>
            <w:r w:rsidRPr="001E353D">
              <w:t> </w:t>
            </w:r>
          </w:p>
          <w:p w14:paraId="3A82FFDA" w14:textId="77777777" w:rsidR="007873D5" w:rsidRPr="001E353D" w:rsidRDefault="007873D5" w:rsidP="00711F75">
            <w:pPr>
              <w:pStyle w:val="TableText"/>
            </w:pPr>
            <w:r w:rsidRPr="001E353D">
              <w:t>Labor Code §§ </w:t>
            </w:r>
          </w:p>
          <w:p w14:paraId="4E9E178D" w14:textId="77777777" w:rsidR="007873D5" w:rsidRPr="001E353D" w:rsidRDefault="007873D5" w:rsidP="00711F75">
            <w:pPr>
              <w:pStyle w:val="TableText"/>
            </w:pPr>
            <w:r w:rsidRPr="001E353D">
              <w:t xml:space="preserve">304.001 </w:t>
            </w:r>
            <w:r w:rsidRPr="001E353D">
              <w:rPr>
                <w:i/>
                <w:iCs/>
              </w:rPr>
              <w:t>et seq</w:t>
            </w:r>
            <w:r w:rsidRPr="001E353D">
              <w:t>. and § 302.021(a)(8) </w:t>
            </w:r>
          </w:p>
        </w:tc>
        <w:tc>
          <w:tcPr>
            <w:tcW w:w="3402" w:type="dxa"/>
            <w:vAlign w:val="center"/>
            <w:hideMark/>
          </w:tcPr>
          <w:p w14:paraId="21FA4F65" w14:textId="77777777" w:rsidR="007873D5" w:rsidRPr="001E353D" w:rsidRDefault="007873D5" w:rsidP="00711F75">
            <w:pPr>
              <w:pStyle w:val="TableText"/>
            </w:pPr>
            <w:r w:rsidRPr="001E353D">
              <w:t>Requires TWC, through a special job-counseling program, to provide job counseling, training, education, and placement services for displaced homemakers</w:t>
            </w:r>
            <w:r>
              <w:t>.</w:t>
            </w:r>
          </w:p>
        </w:tc>
      </w:tr>
      <w:tr w:rsidR="007873D5" w:rsidRPr="001E353D" w14:paraId="49FE22B2" w14:textId="77777777" w:rsidTr="00711F75">
        <w:trPr>
          <w:trHeight w:val="3105"/>
        </w:trPr>
        <w:tc>
          <w:tcPr>
            <w:tcW w:w="2604" w:type="dxa"/>
            <w:vAlign w:val="center"/>
            <w:hideMark/>
          </w:tcPr>
          <w:p w14:paraId="04611F2C" w14:textId="77777777" w:rsidR="007873D5" w:rsidRPr="001E353D" w:rsidRDefault="007873D5" w:rsidP="00711F75">
            <w:pPr>
              <w:pStyle w:val="TableText"/>
            </w:pPr>
            <w:r w:rsidRPr="001E353D">
              <w:t>Self- Sufficiency Fund </w:t>
            </w:r>
          </w:p>
        </w:tc>
        <w:tc>
          <w:tcPr>
            <w:tcW w:w="3166" w:type="dxa"/>
            <w:vAlign w:val="center"/>
            <w:hideMark/>
          </w:tcPr>
          <w:p w14:paraId="1CF587DE" w14:textId="77777777" w:rsidR="007873D5" w:rsidRPr="001E353D" w:rsidRDefault="007873D5" w:rsidP="00711F75">
            <w:pPr>
              <w:pStyle w:val="TableText"/>
            </w:pPr>
            <w:r w:rsidRPr="001E353D">
              <w:rPr>
                <w:bCs/>
              </w:rPr>
              <w:t>State Statute:</w:t>
            </w:r>
            <w:r w:rsidRPr="001E353D">
              <w:t> </w:t>
            </w:r>
          </w:p>
          <w:p w14:paraId="0CA41F26" w14:textId="11BA0590" w:rsidR="007873D5" w:rsidRPr="001E353D" w:rsidRDefault="007873D5" w:rsidP="00711F75">
            <w:pPr>
              <w:pStyle w:val="TableText"/>
            </w:pPr>
            <w:r w:rsidRPr="001E353D">
              <w:t>Labor Code § 309.001 </w:t>
            </w:r>
            <w:r w:rsidRPr="001E353D">
              <w:rPr>
                <w:i/>
                <w:iCs/>
              </w:rPr>
              <w:t>et seq</w:t>
            </w:r>
            <w:r>
              <w:rPr>
                <w:i/>
                <w:iCs/>
              </w:rPr>
              <w:t>.</w:t>
            </w:r>
          </w:p>
          <w:p w14:paraId="0F4BA211" w14:textId="77777777" w:rsidR="007873D5" w:rsidRPr="001E353D" w:rsidRDefault="007873D5" w:rsidP="00711F75">
            <w:pPr>
              <w:pStyle w:val="TableText"/>
            </w:pPr>
            <w:r w:rsidRPr="001E353D">
              <w:rPr>
                <w:bCs/>
              </w:rPr>
              <w:t>State Rule:</w:t>
            </w:r>
            <w:r w:rsidRPr="001E353D">
              <w:t> </w:t>
            </w:r>
          </w:p>
          <w:p w14:paraId="63950E8F" w14:textId="77777777" w:rsidR="007873D5" w:rsidRPr="001E353D" w:rsidRDefault="007873D5" w:rsidP="00711F75">
            <w:pPr>
              <w:pStyle w:val="TableText"/>
            </w:pPr>
            <w:r w:rsidRPr="001E353D">
              <w:t>40 TAC Chapter 835 </w:t>
            </w:r>
          </w:p>
          <w:p w14:paraId="685C807A" w14:textId="77777777" w:rsidR="007873D5" w:rsidRPr="001E353D" w:rsidRDefault="007873D5" w:rsidP="00711F75">
            <w:pPr>
              <w:pStyle w:val="TableText"/>
            </w:pPr>
            <w:r w:rsidRPr="001E353D">
              <w:rPr>
                <w:bCs/>
              </w:rPr>
              <w:t>Federal Statute:</w:t>
            </w:r>
            <w:r w:rsidRPr="001E353D">
              <w:t> </w:t>
            </w:r>
          </w:p>
          <w:p w14:paraId="3FB9C42D" w14:textId="77777777" w:rsidR="007873D5" w:rsidRPr="001E353D" w:rsidRDefault="007873D5" w:rsidP="00711F75">
            <w:pPr>
              <w:pStyle w:val="TableText"/>
            </w:pPr>
            <w:r w:rsidRPr="001E353D">
              <w:t xml:space="preserve">42 USC § 601 </w:t>
            </w:r>
            <w:r w:rsidRPr="001E353D">
              <w:rPr>
                <w:i/>
                <w:iCs/>
              </w:rPr>
              <w:t>et seq</w:t>
            </w:r>
            <w:r>
              <w:t>.</w:t>
            </w:r>
          </w:p>
          <w:p w14:paraId="54A7D5DA" w14:textId="77777777" w:rsidR="007873D5" w:rsidRPr="001E353D" w:rsidRDefault="007873D5" w:rsidP="00711F75">
            <w:pPr>
              <w:pStyle w:val="TableText"/>
            </w:pPr>
            <w:r w:rsidRPr="001E353D">
              <w:rPr>
                <w:bCs/>
              </w:rPr>
              <w:t>Federal Regulation:</w:t>
            </w:r>
            <w:r w:rsidRPr="001E353D">
              <w:t> </w:t>
            </w:r>
          </w:p>
          <w:p w14:paraId="45C3EE6D" w14:textId="77777777" w:rsidR="007873D5" w:rsidRPr="001E353D" w:rsidRDefault="007873D5" w:rsidP="00711F75">
            <w:pPr>
              <w:pStyle w:val="TableText"/>
            </w:pPr>
            <w:r w:rsidRPr="001E353D">
              <w:t>45 CFR Part 260 </w:t>
            </w:r>
          </w:p>
        </w:tc>
        <w:tc>
          <w:tcPr>
            <w:tcW w:w="3402" w:type="dxa"/>
            <w:vAlign w:val="center"/>
            <w:hideMark/>
          </w:tcPr>
          <w:p w14:paraId="089EAA76" w14:textId="77777777" w:rsidR="007873D5" w:rsidRPr="001E353D" w:rsidRDefault="007873D5" w:rsidP="00711F75">
            <w:pPr>
              <w:pStyle w:val="TableText"/>
            </w:pPr>
            <w:r w:rsidRPr="001E353D">
              <w:t xml:space="preserve">Provides training for targeted employment opportunities primarily for TANF recipients, as well as those individuals identified as at risk of becoming dependent on public assistance. The goal of the fund is to provide training that will lead to a job that will allow participants to become and remain independent of financial assistance provided under Human Resources Code, Chapters 31, 33 and 34. The fund may be used by a public community, technical college, community-based organization, state extension service or </w:t>
            </w:r>
            <w:r>
              <w:t>TEEX</w:t>
            </w:r>
            <w:r w:rsidRPr="001E353D">
              <w:t xml:space="preserve"> for job-training purposes including customized job-training projects for TANF recipients, at-risk persons, businesses, trade unions, small and medium-sized businesses, and certain support services</w:t>
            </w:r>
            <w:r>
              <w:t>.</w:t>
            </w:r>
          </w:p>
        </w:tc>
      </w:tr>
      <w:tr w:rsidR="007873D5" w:rsidRPr="00E94315" w14:paraId="1A7B4700" w14:textId="77777777" w:rsidTr="00711F75">
        <w:trPr>
          <w:trHeight w:val="2700"/>
        </w:trPr>
        <w:tc>
          <w:tcPr>
            <w:tcW w:w="2604" w:type="dxa"/>
            <w:vAlign w:val="center"/>
            <w:hideMark/>
          </w:tcPr>
          <w:p w14:paraId="3585D87D" w14:textId="77777777" w:rsidR="007873D5" w:rsidRPr="001E353D" w:rsidRDefault="007873D5" w:rsidP="00711F75">
            <w:pPr>
              <w:pStyle w:val="TableText"/>
            </w:pPr>
            <w:r>
              <w:lastRenderedPageBreak/>
              <w:t>Foreign Labor Certification (FLC)</w:t>
            </w:r>
          </w:p>
        </w:tc>
        <w:tc>
          <w:tcPr>
            <w:tcW w:w="3166" w:type="dxa"/>
            <w:vAlign w:val="center"/>
            <w:hideMark/>
          </w:tcPr>
          <w:p w14:paraId="6ACEF45F" w14:textId="77777777" w:rsidR="007873D5" w:rsidRPr="001E353D" w:rsidRDefault="007873D5" w:rsidP="00711F75">
            <w:pPr>
              <w:pStyle w:val="TableText"/>
            </w:pPr>
            <w:r w:rsidRPr="001E353D">
              <w:rPr>
                <w:bCs/>
              </w:rPr>
              <w:t>Federal Statute:</w:t>
            </w:r>
            <w:r w:rsidRPr="001E353D">
              <w:t> </w:t>
            </w:r>
          </w:p>
          <w:p w14:paraId="2081CCDC" w14:textId="77777777" w:rsidR="007873D5" w:rsidRPr="001E353D" w:rsidRDefault="007873D5" w:rsidP="00711F75">
            <w:pPr>
              <w:pStyle w:val="TableText"/>
            </w:pPr>
            <w:r w:rsidRPr="001E353D">
              <w:t xml:space="preserve">8 USC § 1101 </w:t>
            </w:r>
            <w:r w:rsidRPr="001E353D">
              <w:rPr>
                <w:i/>
                <w:iCs/>
              </w:rPr>
              <w:t>et</w:t>
            </w:r>
            <w:r w:rsidRPr="001E353D">
              <w:t> </w:t>
            </w:r>
          </w:p>
          <w:p w14:paraId="2E9CE093" w14:textId="77777777" w:rsidR="007873D5" w:rsidRPr="001E353D" w:rsidRDefault="007873D5" w:rsidP="00711F75">
            <w:pPr>
              <w:pStyle w:val="TableText"/>
            </w:pPr>
            <w:r w:rsidRPr="001E353D">
              <w:rPr>
                <w:i/>
                <w:iCs/>
              </w:rPr>
              <w:t>seq</w:t>
            </w:r>
            <w:r w:rsidRPr="001E353D">
              <w:t xml:space="preserve">.; 29 USC § 49 </w:t>
            </w:r>
            <w:r w:rsidRPr="001E353D">
              <w:rPr>
                <w:i/>
                <w:iCs/>
              </w:rPr>
              <w:t>et seq</w:t>
            </w:r>
            <w:r>
              <w:rPr>
                <w:i/>
                <w:iCs/>
              </w:rPr>
              <w:t>.</w:t>
            </w:r>
          </w:p>
          <w:p w14:paraId="53603A46" w14:textId="77777777" w:rsidR="007873D5" w:rsidRPr="001E353D" w:rsidRDefault="007873D5" w:rsidP="00711F75">
            <w:pPr>
              <w:pStyle w:val="TableText"/>
            </w:pPr>
            <w:r w:rsidRPr="001E353D">
              <w:rPr>
                <w:bCs/>
              </w:rPr>
              <w:t>Federal Regulation:</w:t>
            </w:r>
            <w:r w:rsidRPr="001E353D">
              <w:t> </w:t>
            </w:r>
          </w:p>
          <w:p w14:paraId="2DA86539" w14:textId="77777777" w:rsidR="007873D5" w:rsidRPr="001E353D" w:rsidRDefault="007873D5" w:rsidP="00711F75">
            <w:pPr>
              <w:pStyle w:val="TableText"/>
            </w:pPr>
            <w:r>
              <w:t>20 CFR Part 655</w:t>
            </w:r>
          </w:p>
        </w:tc>
        <w:tc>
          <w:tcPr>
            <w:tcW w:w="3402" w:type="dxa"/>
            <w:vAlign w:val="center"/>
            <w:hideMark/>
          </w:tcPr>
          <w:p w14:paraId="304014B9" w14:textId="77777777" w:rsidR="007873D5" w:rsidRPr="00FA3064" w:rsidRDefault="007873D5" w:rsidP="00711F75">
            <w:pPr>
              <w:pStyle w:val="TableText"/>
              <w:rPr>
                <w:rFonts w:eastAsia="Aptos" w:cs="Aptos"/>
                <w:szCs w:val="18"/>
              </w:rPr>
            </w:pPr>
            <w:r w:rsidRPr="00FA3064">
              <w:rPr>
                <w:rFonts w:eastAsia="Aptos" w:cs="Aptos"/>
                <w:szCs w:val="18"/>
              </w:rPr>
              <w:t>TWC’s Foreign Labor Certification program helps employers recruit and hire temporary workers. When US workers are not available for these temporary positions, the FLC unit reviews labor certification applications from employers to ensure compliance with US DOL rules. TWC’s FLC unit forwards the application to DOL’s National Processing Center for certification or denial.</w:t>
            </w:r>
          </w:p>
          <w:p w14:paraId="2567CEF5" w14:textId="77777777" w:rsidR="007873D5" w:rsidRPr="00E94315" w:rsidRDefault="007873D5" w:rsidP="00711F75">
            <w:pPr>
              <w:pStyle w:val="TableText"/>
              <w:rPr>
                <w:szCs w:val="18"/>
              </w:rPr>
            </w:pPr>
          </w:p>
        </w:tc>
      </w:tr>
      <w:tr w:rsidR="007873D5" w:rsidRPr="001E353D" w14:paraId="021DA64E" w14:textId="77777777" w:rsidTr="00711F75">
        <w:trPr>
          <w:trHeight w:val="1830"/>
        </w:trPr>
        <w:tc>
          <w:tcPr>
            <w:tcW w:w="2604" w:type="dxa"/>
            <w:vAlign w:val="center"/>
            <w:hideMark/>
          </w:tcPr>
          <w:p w14:paraId="065F951C" w14:textId="77777777" w:rsidR="007873D5" w:rsidRPr="001E353D" w:rsidRDefault="007873D5" w:rsidP="00711F75">
            <w:pPr>
              <w:pStyle w:val="TableText"/>
            </w:pPr>
            <w:r w:rsidRPr="001E353D">
              <w:t>Individual Development Account (IDA) </w:t>
            </w:r>
          </w:p>
        </w:tc>
        <w:tc>
          <w:tcPr>
            <w:tcW w:w="3166" w:type="dxa"/>
            <w:vAlign w:val="center"/>
            <w:hideMark/>
          </w:tcPr>
          <w:p w14:paraId="1BE7F8F0" w14:textId="77777777" w:rsidR="007873D5" w:rsidRPr="001E353D" w:rsidRDefault="007873D5" w:rsidP="00711F75">
            <w:pPr>
              <w:pStyle w:val="TableText"/>
            </w:pPr>
            <w:r w:rsidRPr="001E353D">
              <w:rPr>
                <w:bCs/>
              </w:rPr>
              <w:t>State Rule:</w:t>
            </w:r>
            <w:r w:rsidRPr="001E353D">
              <w:t> </w:t>
            </w:r>
          </w:p>
          <w:p w14:paraId="2D45D7A5" w14:textId="77777777" w:rsidR="007873D5" w:rsidRPr="001E353D" w:rsidRDefault="007873D5" w:rsidP="00711F75">
            <w:pPr>
              <w:pStyle w:val="TableText"/>
            </w:pPr>
            <w:r w:rsidRPr="001E353D">
              <w:t>40 TAC § 811.67 </w:t>
            </w:r>
          </w:p>
          <w:p w14:paraId="6B6EA137" w14:textId="77777777" w:rsidR="007873D5" w:rsidRPr="001E353D" w:rsidRDefault="007873D5" w:rsidP="00711F75">
            <w:pPr>
              <w:pStyle w:val="TableText"/>
            </w:pPr>
            <w:r w:rsidRPr="001E353D">
              <w:rPr>
                <w:bCs/>
              </w:rPr>
              <w:t>Federal Statute:</w:t>
            </w:r>
            <w:r w:rsidRPr="001E353D">
              <w:t> </w:t>
            </w:r>
          </w:p>
          <w:p w14:paraId="0E2BB7BD" w14:textId="77777777" w:rsidR="007873D5" w:rsidRPr="001E353D" w:rsidRDefault="007873D5" w:rsidP="00711F75">
            <w:pPr>
              <w:pStyle w:val="TableText"/>
            </w:pPr>
            <w:r w:rsidRPr="001E353D">
              <w:t>42 USC § 604(h) </w:t>
            </w:r>
          </w:p>
          <w:p w14:paraId="3E3491C5" w14:textId="77777777" w:rsidR="007873D5" w:rsidRPr="001E353D" w:rsidRDefault="007873D5" w:rsidP="00711F75">
            <w:pPr>
              <w:pStyle w:val="TableText"/>
            </w:pPr>
            <w:r w:rsidRPr="001E353D">
              <w:rPr>
                <w:bCs/>
              </w:rPr>
              <w:t>Federal Regulation:</w:t>
            </w:r>
            <w:r w:rsidRPr="001E353D">
              <w:t> </w:t>
            </w:r>
          </w:p>
          <w:p w14:paraId="01C910AE" w14:textId="77777777" w:rsidR="007873D5" w:rsidRPr="001E353D" w:rsidRDefault="007873D5" w:rsidP="00711F75">
            <w:pPr>
              <w:pStyle w:val="TableText"/>
            </w:pPr>
            <w:r w:rsidRPr="001E353D">
              <w:t>45 CFR Part 263 </w:t>
            </w:r>
          </w:p>
        </w:tc>
        <w:tc>
          <w:tcPr>
            <w:tcW w:w="3402" w:type="dxa"/>
            <w:vAlign w:val="center"/>
            <w:hideMark/>
          </w:tcPr>
          <w:p w14:paraId="19919C16" w14:textId="587A8485" w:rsidR="007873D5" w:rsidRPr="00E94315" w:rsidRDefault="007873D5" w:rsidP="00711F75">
            <w:pPr>
              <w:pStyle w:val="TableText"/>
              <w:rPr>
                <w:rFonts w:cs="Arial"/>
                <w:szCs w:val="18"/>
              </w:rPr>
            </w:pPr>
            <w:r w:rsidRPr="00E94315">
              <w:rPr>
                <w:rFonts w:cs="Arial"/>
                <w:szCs w:val="18"/>
              </w:rPr>
              <w:t xml:space="preserve">Provides for the implementation of IDA, that allows a low-income individual participating in the Choices Program to deposit earned income into a savings account and allows qualifying entities to contribute matching TANF funds. </w:t>
            </w:r>
            <w:proofErr w:type="gramStart"/>
            <w:r w:rsidRPr="00E94315">
              <w:rPr>
                <w:rFonts w:cs="Arial"/>
                <w:szCs w:val="18"/>
              </w:rPr>
              <w:t>Choices</w:t>
            </w:r>
            <w:proofErr w:type="gramEnd"/>
            <w:r w:rsidRPr="00E94315">
              <w:rPr>
                <w:rFonts w:cs="Arial"/>
                <w:szCs w:val="18"/>
              </w:rPr>
              <w:t xml:space="preserve"> participants may only use the savings accounts for post- secondary education, a first home purchase, or business capitalization.</w:t>
            </w:r>
          </w:p>
        </w:tc>
      </w:tr>
      <w:tr w:rsidR="007873D5" w:rsidRPr="001E353D" w14:paraId="7720B075" w14:textId="77777777" w:rsidTr="00711F75">
        <w:trPr>
          <w:trHeight w:val="1605"/>
        </w:trPr>
        <w:tc>
          <w:tcPr>
            <w:tcW w:w="2604" w:type="dxa"/>
            <w:vAlign w:val="center"/>
            <w:hideMark/>
          </w:tcPr>
          <w:p w14:paraId="4681AC31" w14:textId="77777777" w:rsidR="007873D5" w:rsidRPr="001E353D" w:rsidRDefault="007873D5" w:rsidP="00711F75">
            <w:pPr>
              <w:pStyle w:val="TableText"/>
            </w:pPr>
            <w:r>
              <w:t xml:space="preserve">Inmate Welfare - Continuity of Care </w:t>
            </w:r>
          </w:p>
        </w:tc>
        <w:tc>
          <w:tcPr>
            <w:tcW w:w="3166" w:type="dxa"/>
            <w:vAlign w:val="center"/>
            <w:hideMark/>
          </w:tcPr>
          <w:p w14:paraId="77B7B3EF" w14:textId="77777777" w:rsidR="007873D5" w:rsidRPr="001E353D" w:rsidRDefault="007873D5" w:rsidP="00711F75">
            <w:pPr>
              <w:pStyle w:val="TableText"/>
            </w:pPr>
            <w:r w:rsidRPr="001E353D">
              <w:rPr>
                <w:bCs/>
              </w:rPr>
              <w:t xml:space="preserve">State Statute: </w:t>
            </w:r>
            <w:r w:rsidRPr="001E353D">
              <w:t>Government Code §501.095; Labor Code </w:t>
            </w:r>
          </w:p>
          <w:p w14:paraId="5D7ECA63" w14:textId="77777777" w:rsidR="007873D5" w:rsidRPr="001E353D" w:rsidRDefault="007873D5" w:rsidP="00711F75">
            <w:pPr>
              <w:pStyle w:val="TableText"/>
            </w:pPr>
            <w:r w:rsidRPr="001E353D">
              <w:t>§302.021(a)(11) </w:t>
            </w:r>
          </w:p>
          <w:p w14:paraId="64272DD3" w14:textId="77777777" w:rsidR="007873D5" w:rsidRPr="001E353D" w:rsidRDefault="007873D5" w:rsidP="00711F75">
            <w:pPr>
              <w:pStyle w:val="TableText"/>
            </w:pPr>
            <w:r>
              <w:t>State Rule: </w:t>
            </w:r>
          </w:p>
          <w:p w14:paraId="4E15ED24" w14:textId="77777777" w:rsidR="007873D5" w:rsidRPr="001E353D" w:rsidRDefault="007873D5" w:rsidP="00711F75">
            <w:pPr>
              <w:pStyle w:val="TableText"/>
            </w:pPr>
            <w:r>
              <w:t>40 TAC Chapter 847 </w:t>
            </w:r>
          </w:p>
        </w:tc>
        <w:tc>
          <w:tcPr>
            <w:tcW w:w="3402" w:type="dxa"/>
            <w:vAlign w:val="center"/>
            <w:hideMark/>
          </w:tcPr>
          <w:p w14:paraId="3A3750BA" w14:textId="77777777" w:rsidR="007873D5" w:rsidRPr="001E353D" w:rsidRDefault="007873D5" w:rsidP="00711F75">
            <w:pPr>
              <w:pStyle w:val="TableText"/>
            </w:pPr>
            <w:r w:rsidRPr="001E353D">
              <w:t xml:space="preserve">Provides for the </w:t>
            </w:r>
            <w:r>
              <w:t>T</w:t>
            </w:r>
            <w:r w:rsidRPr="001E353D">
              <w:t>D</w:t>
            </w:r>
            <w:r>
              <w:t xml:space="preserve">CJ </w:t>
            </w:r>
            <w:r w:rsidRPr="001E353D">
              <w:t>and TWC to adopt an MOU regarding their respective responsibilities to establish a continuity of care program for inmates with a history of chronic unemployment</w:t>
            </w:r>
            <w:r>
              <w:t>.</w:t>
            </w:r>
          </w:p>
        </w:tc>
      </w:tr>
      <w:tr w:rsidR="007873D5" w:rsidRPr="001E353D" w14:paraId="0A58DCF1" w14:textId="77777777" w:rsidTr="00711F75">
        <w:trPr>
          <w:trHeight w:val="2520"/>
        </w:trPr>
        <w:tc>
          <w:tcPr>
            <w:tcW w:w="2604" w:type="dxa"/>
            <w:vAlign w:val="center"/>
            <w:hideMark/>
          </w:tcPr>
          <w:p w14:paraId="3C1E5DE2" w14:textId="77777777" w:rsidR="007873D5" w:rsidRPr="001E353D" w:rsidRDefault="007873D5" w:rsidP="00711F75">
            <w:pPr>
              <w:pStyle w:val="TableText"/>
            </w:pPr>
            <w:r w:rsidRPr="001E353D">
              <w:t>Senior Community Service Employment Program </w:t>
            </w:r>
          </w:p>
        </w:tc>
        <w:tc>
          <w:tcPr>
            <w:tcW w:w="3166" w:type="dxa"/>
            <w:vAlign w:val="center"/>
            <w:hideMark/>
          </w:tcPr>
          <w:p w14:paraId="740477CC" w14:textId="77777777" w:rsidR="007873D5" w:rsidRPr="001E353D" w:rsidRDefault="007873D5" w:rsidP="00711F75">
            <w:pPr>
              <w:pStyle w:val="TableText"/>
            </w:pPr>
            <w:r w:rsidRPr="001E353D">
              <w:rPr>
                <w:bCs/>
              </w:rPr>
              <w:t xml:space="preserve">State Statute: </w:t>
            </w:r>
            <w:r w:rsidRPr="001E353D">
              <w:t>Labor Code §302.021(a)(5</w:t>
            </w:r>
            <w:proofErr w:type="gramStart"/>
            <w:r w:rsidRPr="001E353D">
              <w:t>);</w:t>
            </w:r>
            <w:proofErr w:type="gramEnd"/>
            <w:r w:rsidRPr="001E353D">
              <w:t> </w:t>
            </w:r>
          </w:p>
          <w:p w14:paraId="6A74BF00" w14:textId="77777777" w:rsidR="007873D5" w:rsidRPr="001E353D" w:rsidRDefault="007873D5" w:rsidP="00711F75">
            <w:pPr>
              <w:pStyle w:val="TableText"/>
            </w:pPr>
            <w:r w:rsidRPr="001E353D">
              <w:rPr>
                <w:bCs/>
              </w:rPr>
              <w:t>Federal Statute:</w:t>
            </w:r>
            <w:r w:rsidRPr="001E353D">
              <w:t> </w:t>
            </w:r>
          </w:p>
          <w:p w14:paraId="1BD04070" w14:textId="77777777" w:rsidR="007873D5" w:rsidRPr="001E353D" w:rsidRDefault="007873D5" w:rsidP="00711F75">
            <w:pPr>
              <w:pStyle w:val="TableText"/>
            </w:pPr>
            <w:r w:rsidRPr="001E353D">
              <w:t>42 USC §3056 </w:t>
            </w:r>
          </w:p>
          <w:p w14:paraId="1F44CF92" w14:textId="77777777" w:rsidR="007873D5" w:rsidRPr="001E353D" w:rsidRDefault="007873D5" w:rsidP="00711F75">
            <w:pPr>
              <w:pStyle w:val="TableText"/>
            </w:pPr>
            <w:r w:rsidRPr="001E353D">
              <w:rPr>
                <w:bCs/>
              </w:rPr>
              <w:t>Federal Regulations:</w:t>
            </w:r>
            <w:r w:rsidRPr="001E353D">
              <w:t> </w:t>
            </w:r>
          </w:p>
          <w:p w14:paraId="2DDBE770" w14:textId="77777777" w:rsidR="007873D5" w:rsidRPr="001E353D" w:rsidRDefault="007873D5" w:rsidP="00711F75">
            <w:pPr>
              <w:pStyle w:val="TableText"/>
            </w:pPr>
            <w:r w:rsidRPr="001E353D">
              <w:t>20 CFR Part 641 </w:t>
            </w:r>
          </w:p>
        </w:tc>
        <w:tc>
          <w:tcPr>
            <w:tcW w:w="3402" w:type="dxa"/>
            <w:vAlign w:val="center"/>
            <w:hideMark/>
          </w:tcPr>
          <w:p w14:paraId="684A6D88" w14:textId="77777777" w:rsidR="007873D5" w:rsidRPr="001E353D" w:rsidRDefault="007873D5" w:rsidP="00711F75">
            <w:pPr>
              <w:pStyle w:val="TableText"/>
            </w:pPr>
            <w:r w:rsidRPr="001E353D">
              <w:t xml:space="preserve">Provides for a public service program that funds employment for economically disadvantaged citizens </w:t>
            </w:r>
            <w:proofErr w:type="gramStart"/>
            <w:r w:rsidRPr="001E353D">
              <w:t>age</w:t>
            </w:r>
            <w:proofErr w:type="gramEnd"/>
            <w:r w:rsidRPr="001E353D">
              <w:t xml:space="preserve"> 55 and older</w:t>
            </w:r>
            <w:r>
              <w:t xml:space="preserve">. </w:t>
            </w:r>
            <w:r w:rsidRPr="001E353D">
              <w:t>The program offers senior Texans with limited income an opportunity to earn supplemental money that can have a significant impact on their standard of living</w:t>
            </w:r>
            <w:r>
              <w:t>.</w:t>
            </w:r>
          </w:p>
        </w:tc>
      </w:tr>
      <w:tr w:rsidR="007873D5" w:rsidRPr="001E353D" w14:paraId="57FC8898" w14:textId="77777777" w:rsidTr="00711F75">
        <w:trPr>
          <w:trHeight w:val="2700"/>
        </w:trPr>
        <w:tc>
          <w:tcPr>
            <w:tcW w:w="2604" w:type="dxa"/>
            <w:vAlign w:val="center"/>
            <w:hideMark/>
          </w:tcPr>
          <w:p w14:paraId="0E20B78F" w14:textId="77777777" w:rsidR="007873D5" w:rsidRPr="001E353D" w:rsidRDefault="007873D5" w:rsidP="00711F75">
            <w:pPr>
              <w:pStyle w:val="TableText"/>
            </w:pPr>
            <w:r w:rsidRPr="001E353D">
              <w:t>Skills Development Fund (SDF) </w:t>
            </w:r>
          </w:p>
        </w:tc>
        <w:tc>
          <w:tcPr>
            <w:tcW w:w="3166" w:type="dxa"/>
            <w:vAlign w:val="center"/>
            <w:hideMark/>
          </w:tcPr>
          <w:p w14:paraId="182EB0A9" w14:textId="77777777" w:rsidR="007873D5" w:rsidRPr="001E353D" w:rsidRDefault="007873D5" w:rsidP="00711F75">
            <w:pPr>
              <w:pStyle w:val="TableText"/>
            </w:pPr>
            <w:r w:rsidRPr="001E353D">
              <w:rPr>
                <w:bCs/>
              </w:rPr>
              <w:t>State Statute:</w:t>
            </w:r>
            <w:r w:rsidRPr="001E353D">
              <w:t> </w:t>
            </w:r>
          </w:p>
          <w:p w14:paraId="608085EF" w14:textId="027C2441" w:rsidR="007873D5" w:rsidRPr="001E353D" w:rsidRDefault="007873D5" w:rsidP="00711F75">
            <w:pPr>
              <w:pStyle w:val="TableText"/>
            </w:pPr>
            <w:r w:rsidRPr="001E353D">
              <w:t>Labor Code §303.001 </w:t>
            </w:r>
            <w:r w:rsidRPr="001E353D">
              <w:rPr>
                <w:i/>
                <w:iCs/>
              </w:rPr>
              <w:t>et seq</w:t>
            </w:r>
            <w:r>
              <w:rPr>
                <w:i/>
                <w:iCs/>
              </w:rPr>
              <w:t>.</w:t>
            </w:r>
          </w:p>
          <w:p w14:paraId="3D9F087A" w14:textId="77777777" w:rsidR="007873D5" w:rsidRPr="001E353D" w:rsidRDefault="007873D5" w:rsidP="00711F75">
            <w:pPr>
              <w:pStyle w:val="TableText"/>
            </w:pPr>
            <w:r w:rsidRPr="001E353D">
              <w:rPr>
                <w:bCs/>
              </w:rPr>
              <w:t>State Rule:</w:t>
            </w:r>
            <w:r w:rsidRPr="001E353D">
              <w:t> </w:t>
            </w:r>
          </w:p>
          <w:p w14:paraId="19150451" w14:textId="77777777" w:rsidR="007873D5" w:rsidRPr="001E353D" w:rsidRDefault="007873D5" w:rsidP="00711F75">
            <w:pPr>
              <w:pStyle w:val="TableText"/>
            </w:pPr>
            <w:r w:rsidRPr="001E353D">
              <w:t>40 TAC Chapter 803 </w:t>
            </w:r>
          </w:p>
        </w:tc>
        <w:tc>
          <w:tcPr>
            <w:tcW w:w="3402" w:type="dxa"/>
            <w:vAlign w:val="center"/>
            <w:hideMark/>
          </w:tcPr>
          <w:p w14:paraId="565362A7" w14:textId="77777777" w:rsidR="007873D5" w:rsidRPr="001E353D" w:rsidRDefault="007873D5" w:rsidP="00711F75">
            <w:pPr>
              <w:pStyle w:val="TableText"/>
            </w:pPr>
            <w:r w:rsidRPr="001E353D">
              <w:t xml:space="preserve">Provides for training grants for businesses that join with local colleges or technical schools to improve the quality of workers by offering customized job training for specific employers who will provide jobs for these trainees once training is completed. The purpose is to enhance the ability of public community and technical colleges and the TEEX to respond to industry and workforce training needs and to develop incentives for public community and technical colleges. </w:t>
            </w:r>
            <w:r w:rsidRPr="001E353D">
              <w:lastRenderedPageBreak/>
              <w:t>The goal is to increase the skills level and wages of the Texas workforce</w:t>
            </w:r>
            <w:r>
              <w:t>.</w:t>
            </w:r>
          </w:p>
        </w:tc>
      </w:tr>
      <w:tr w:rsidR="007873D5" w:rsidRPr="001E353D" w14:paraId="79A37F87" w14:textId="77777777" w:rsidTr="00711F75">
        <w:trPr>
          <w:trHeight w:val="2985"/>
        </w:trPr>
        <w:tc>
          <w:tcPr>
            <w:tcW w:w="2604" w:type="dxa"/>
            <w:vAlign w:val="center"/>
            <w:hideMark/>
          </w:tcPr>
          <w:p w14:paraId="0E110697" w14:textId="77777777" w:rsidR="007873D5" w:rsidRPr="001E353D" w:rsidRDefault="007873D5" w:rsidP="00711F75">
            <w:pPr>
              <w:pStyle w:val="TableText"/>
            </w:pPr>
            <w:r>
              <w:t>Trade Assistance Act (TAA) </w:t>
            </w:r>
          </w:p>
        </w:tc>
        <w:tc>
          <w:tcPr>
            <w:tcW w:w="3166" w:type="dxa"/>
            <w:vAlign w:val="center"/>
            <w:hideMark/>
          </w:tcPr>
          <w:p w14:paraId="3E367A64" w14:textId="77777777" w:rsidR="007873D5" w:rsidRPr="001E353D" w:rsidRDefault="007873D5" w:rsidP="00711F75">
            <w:pPr>
              <w:pStyle w:val="TableText"/>
            </w:pPr>
            <w:r w:rsidRPr="001E353D">
              <w:rPr>
                <w:bCs/>
              </w:rPr>
              <w:t xml:space="preserve">State Statute: </w:t>
            </w:r>
            <w:r w:rsidRPr="001E353D">
              <w:t>Labor Code § 302.021(a)(15) </w:t>
            </w:r>
          </w:p>
          <w:p w14:paraId="4B021642" w14:textId="77777777" w:rsidR="007873D5" w:rsidRPr="001E353D" w:rsidRDefault="007873D5" w:rsidP="00711F75">
            <w:pPr>
              <w:pStyle w:val="TableText"/>
            </w:pPr>
            <w:r w:rsidRPr="001E353D">
              <w:rPr>
                <w:bCs/>
              </w:rPr>
              <w:t>State Rule:</w:t>
            </w:r>
            <w:r w:rsidRPr="001E353D">
              <w:t> </w:t>
            </w:r>
          </w:p>
          <w:p w14:paraId="2A1CCA34" w14:textId="77777777" w:rsidR="007873D5" w:rsidRPr="001E353D" w:rsidRDefault="007873D5" w:rsidP="00711F75">
            <w:pPr>
              <w:pStyle w:val="TableText"/>
            </w:pPr>
            <w:r w:rsidRPr="001E353D">
              <w:t>40 TAC Chapter 849 </w:t>
            </w:r>
          </w:p>
          <w:p w14:paraId="2D85F9C5" w14:textId="77777777" w:rsidR="007873D5" w:rsidRPr="001E353D" w:rsidRDefault="007873D5" w:rsidP="00711F75">
            <w:pPr>
              <w:pStyle w:val="TableText"/>
            </w:pPr>
            <w:r w:rsidRPr="001E353D">
              <w:rPr>
                <w:bCs/>
              </w:rPr>
              <w:t xml:space="preserve">Federal Statute: </w:t>
            </w:r>
            <w:r w:rsidRPr="001E353D">
              <w:t xml:space="preserve">19 USC §§ 2271 </w:t>
            </w:r>
            <w:r w:rsidRPr="001E353D">
              <w:rPr>
                <w:i/>
                <w:iCs/>
              </w:rPr>
              <w:t>et seq.</w:t>
            </w:r>
            <w:r w:rsidRPr="001E353D">
              <w:t> </w:t>
            </w:r>
          </w:p>
          <w:p w14:paraId="07CBBBFC" w14:textId="77777777" w:rsidR="007873D5" w:rsidRPr="001E353D" w:rsidRDefault="007873D5" w:rsidP="00711F75">
            <w:pPr>
              <w:pStyle w:val="TableText"/>
            </w:pPr>
            <w:r w:rsidRPr="001E353D">
              <w:rPr>
                <w:bCs/>
              </w:rPr>
              <w:t>Federal Regulation:</w:t>
            </w:r>
            <w:r w:rsidRPr="001E353D">
              <w:t> </w:t>
            </w:r>
          </w:p>
          <w:p w14:paraId="2DF7559D" w14:textId="77777777" w:rsidR="007873D5" w:rsidRPr="001E353D" w:rsidRDefault="007873D5" w:rsidP="00711F75">
            <w:pPr>
              <w:pStyle w:val="TableText"/>
            </w:pPr>
            <w:r w:rsidRPr="001E353D">
              <w:t>20 CFR Part 617 </w:t>
            </w:r>
          </w:p>
        </w:tc>
        <w:tc>
          <w:tcPr>
            <w:tcW w:w="3402" w:type="dxa"/>
            <w:vAlign w:val="center"/>
            <w:hideMark/>
          </w:tcPr>
          <w:p w14:paraId="049C422E" w14:textId="77777777" w:rsidR="007873D5" w:rsidRPr="001E353D" w:rsidRDefault="007873D5" w:rsidP="00711F75">
            <w:pPr>
              <w:pStyle w:val="TableText"/>
            </w:pPr>
            <w:r w:rsidRPr="001E353D">
              <w:t xml:space="preserve">Provides funding for training, job search, and relocation assistance to individuals who lose jobs due to </w:t>
            </w:r>
            <w:proofErr w:type="gramStart"/>
            <w:r w:rsidRPr="001E353D">
              <w:t>foreign imports</w:t>
            </w:r>
            <w:proofErr w:type="gramEnd"/>
            <w:r w:rsidRPr="001E353D">
              <w:t>. NAFTA-TAA provides an additional source of funds for those who lose manufacturing jobs due to imports from Mexico or Canada including production shifts and those indirectly affected by trade with those countries. TWC administers these federal funds. Services provided may include training and income support benefits. Trade Readjustment Allowances are paid to individuals enrolled in approved training programs who have exhausted their UI benefits</w:t>
            </w:r>
            <w:r>
              <w:t>.</w:t>
            </w:r>
          </w:p>
        </w:tc>
      </w:tr>
      <w:tr w:rsidR="007873D5" w:rsidRPr="001E353D" w14:paraId="381F00A9" w14:textId="77777777" w:rsidTr="00711F75">
        <w:trPr>
          <w:trHeight w:val="2985"/>
        </w:trPr>
        <w:tc>
          <w:tcPr>
            <w:tcW w:w="2604" w:type="dxa"/>
            <w:vAlign w:val="center"/>
            <w:hideMark/>
          </w:tcPr>
          <w:p w14:paraId="10604D51" w14:textId="77777777" w:rsidR="007873D5" w:rsidRPr="001E353D" w:rsidRDefault="007873D5" w:rsidP="00711F75">
            <w:pPr>
              <w:pStyle w:val="TableText"/>
            </w:pPr>
            <w:r w:rsidRPr="001E353D">
              <w:t>Report on trade adjustment programs </w:t>
            </w:r>
          </w:p>
        </w:tc>
        <w:tc>
          <w:tcPr>
            <w:tcW w:w="3166" w:type="dxa"/>
            <w:vAlign w:val="center"/>
            <w:hideMark/>
          </w:tcPr>
          <w:p w14:paraId="5982C5DC" w14:textId="77777777" w:rsidR="007873D5" w:rsidRPr="001E353D" w:rsidRDefault="007873D5" w:rsidP="00711F75">
            <w:pPr>
              <w:pStyle w:val="TableText"/>
            </w:pPr>
            <w:r w:rsidRPr="001E353D">
              <w:rPr>
                <w:bCs/>
              </w:rPr>
              <w:t xml:space="preserve">State Statute: </w:t>
            </w:r>
            <w:r w:rsidRPr="001E353D">
              <w:t>Labor Code § 302.021(a)(15) and 302.007 </w:t>
            </w:r>
          </w:p>
          <w:p w14:paraId="08ED73EC" w14:textId="77777777" w:rsidR="007873D5" w:rsidRPr="001E353D" w:rsidRDefault="007873D5" w:rsidP="00711F75">
            <w:pPr>
              <w:pStyle w:val="TableText"/>
            </w:pPr>
            <w:r w:rsidRPr="001E353D">
              <w:rPr>
                <w:bCs/>
              </w:rPr>
              <w:t>State Rule:</w:t>
            </w:r>
            <w:r w:rsidRPr="001E353D">
              <w:t> </w:t>
            </w:r>
          </w:p>
          <w:p w14:paraId="1884E6E6" w14:textId="77777777" w:rsidR="007873D5" w:rsidRPr="001E353D" w:rsidRDefault="007873D5" w:rsidP="00711F75">
            <w:pPr>
              <w:pStyle w:val="TableText"/>
            </w:pPr>
            <w:r w:rsidRPr="001E353D">
              <w:t>40 TAC Chapter 849 </w:t>
            </w:r>
          </w:p>
          <w:p w14:paraId="3D9AC7F1" w14:textId="77777777" w:rsidR="007873D5" w:rsidRPr="001E353D" w:rsidRDefault="007873D5" w:rsidP="00711F75">
            <w:pPr>
              <w:pStyle w:val="TableText"/>
            </w:pPr>
            <w:r w:rsidRPr="001E353D">
              <w:rPr>
                <w:bCs/>
              </w:rPr>
              <w:t xml:space="preserve">Federal Statute: </w:t>
            </w:r>
            <w:r w:rsidRPr="001E353D">
              <w:t xml:space="preserve">19 USC §§ 2271 </w:t>
            </w:r>
            <w:r w:rsidRPr="001E353D">
              <w:rPr>
                <w:i/>
                <w:iCs/>
              </w:rPr>
              <w:t>et seq</w:t>
            </w:r>
            <w:r>
              <w:rPr>
                <w:i/>
                <w:iCs/>
              </w:rPr>
              <w:t>.</w:t>
            </w:r>
          </w:p>
          <w:p w14:paraId="75F53FD7" w14:textId="77777777" w:rsidR="007873D5" w:rsidRPr="001E353D" w:rsidRDefault="007873D5" w:rsidP="00711F75">
            <w:pPr>
              <w:pStyle w:val="TableText"/>
            </w:pPr>
            <w:r w:rsidRPr="001E353D">
              <w:rPr>
                <w:bCs/>
              </w:rPr>
              <w:t>Federal Regulation:</w:t>
            </w:r>
            <w:r w:rsidRPr="001E353D">
              <w:t> </w:t>
            </w:r>
          </w:p>
          <w:p w14:paraId="5C9F0C65" w14:textId="77777777" w:rsidR="007873D5" w:rsidRPr="001E353D" w:rsidRDefault="007873D5" w:rsidP="00711F75">
            <w:pPr>
              <w:pStyle w:val="TableText"/>
            </w:pPr>
            <w:r w:rsidRPr="001E353D">
              <w:t>20 CFR Part 617 </w:t>
            </w:r>
          </w:p>
        </w:tc>
        <w:tc>
          <w:tcPr>
            <w:tcW w:w="3402" w:type="dxa"/>
            <w:vAlign w:val="center"/>
            <w:hideMark/>
          </w:tcPr>
          <w:p w14:paraId="5CAB711B" w14:textId="77777777" w:rsidR="007873D5" w:rsidRPr="001E353D" w:rsidRDefault="007873D5" w:rsidP="00711F75">
            <w:pPr>
              <w:pStyle w:val="TableText"/>
            </w:pPr>
            <w:r w:rsidRPr="001E353D">
              <w:t>Require the agency to supplemental annual report on the effectiveness of federal trade adjustment programs</w:t>
            </w:r>
            <w:r>
              <w:t>.</w:t>
            </w:r>
          </w:p>
        </w:tc>
      </w:tr>
      <w:tr w:rsidR="007873D5" w:rsidRPr="001E353D" w14:paraId="01BB6031" w14:textId="77777777" w:rsidTr="00711F75">
        <w:trPr>
          <w:trHeight w:val="2985"/>
        </w:trPr>
        <w:tc>
          <w:tcPr>
            <w:tcW w:w="2604" w:type="dxa"/>
            <w:vAlign w:val="center"/>
            <w:hideMark/>
          </w:tcPr>
          <w:p w14:paraId="186923CC" w14:textId="77777777" w:rsidR="007873D5" w:rsidRPr="001E353D" w:rsidRDefault="007873D5" w:rsidP="00711F75">
            <w:pPr>
              <w:pStyle w:val="TableText"/>
            </w:pPr>
            <w:r w:rsidRPr="001E353D">
              <w:lastRenderedPageBreak/>
              <w:t>Employment information for secondary school students </w:t>
            </w:r>
          </w:p>
        </w:tc>
        <w:tc>
          <w:tcPr>
            <w:tcW w:w="3166" w:type="dxa"/>
            <w:vAlign w:val="center"/>
            <w:hideMark/>
          </w:tcPr>
          <w:p w14:paraId="148EF8C4" w14:textId="77777777" w:rsidR="007873D5" w:rsidRPr="001E353D" w:rsidRDefault="007873D5" w:rsidP="00711F75">
            <w:pPr>
              <w:pStyle w:val="TableText"/>
            </w:pPr>
            <w:r w:rsidRPr="001E353D">
              <w:rPr>
                <w:bCs/>
              </w:rPr>
              <w:t>State Statute:</w:t>
            </w:r>
            <w:r w:rsidRPr="001E353D">
              <w:t> </w:t>
            </w:r>
          </w:p>
          <w:p w14:paraId="4BEA3EC2" w14:textId="77777777" w:rsidR="007873D5" w:rsidRPr="001E353D" w:rsidRDefault="007873D5" w:rsidP="00711F75">
            <w:pPr>
              <w:pStyle w:val="TableText"/>
            </w:pPr>
            <w:r w:rsidRPr="001E353D">
              <w:t>Labor Code §302.014 </w:t>
            </w:r>
          </w:p>
        </w:tc>
        <w:tc>
          <w:tcPr>
            <w:tcW w:w="3402" w:type="dxa"/>
            <w:vAlign w:val="center"/>
            <w:hideMark/>
          </w:tcPr>
          <w:p w14:paraId="74768438" w14:textId="77777777" w:rsidR="007873D5" w:rsidRPr="001E353D" w:rsidRDefault="007873D5" w:rsidP="00711F75">
            <w:pPr>
              <w:pStyle w:val="TableText"/>
            </w:pPr>
            <w:r>
              <w:t>Requires the agency to provide information to the TEA regarding employment opportunities, career and technical partnership opportunities, and professional development opportunities for teachers and students.</w:t>
            </w:r>
          </w:p>
        </w:tc>
      </w:tr>
      <w:tr w:rsidR="007873D5" w:rsidRPr="001E353D" w14:paraId="580259AF" w14:textId="77777777" w:rsidTr="00711F75">
        <w:trPr>
          <w:trHeight w:val="2985"/>
        </w:trPr>
        <w:tc>
          <w:tcPr>
            <w:tcW w:w="2604" w:type="dxa"/>
            <w:vAlign w:val="center"/>
            <w:hideMark/>
          </w:tcPr>
          <w:p w14:paraId="0C65F76B" w14:textId="77777777" w:rsidR="007873D5" w:rsidRPr="001E353D" w:rsidRDefault="007873D5" w:rsidP="00711F75">
            <w:pPr>
              <w:pStyle w:val="TableText"/>
            </w:pPr>
            <w:r>
              <w:t>Peace officer employment opportunity website </w:t>
            </w:r>
          </w:p>
        </w:tc>
        <w:tc>
          <w:tcPr>
            <w:tcW w:w="3166" w:type="dxa"/>
            <w:vAlign w:val="center"/>
            <w:hideMark/>
          </w:tcPr>
          <w:p w14:paraId="3ED17F84" w14:textId="77777777" w:rsidR="007873D5" w:rsidRPr="001E353D" w:rsidRDefault="007873D5" w:rsidP="00711F75">
            <w:pPr>
              <w:pStyle w:val="TableText"/>
            </w:pPr>
            <w:r w:rsidRPr="001E353D">
              <w:rPr>
                <w:bCs/>
              </w:rPr>
              <w:t>State Statute: </w:t>
            </w:r>
            <w:r w:rsidRPr="001E353D">
              <w:t> </w:t>
            </w:r>
          </w:p>
          <w:p w14:paraId="0615CBE8" w14:textId="77777777" w:rsidR="007873D5" w:rsidRPr="001E353D" w:rsidRDefault="007873D5" w:rsidP="00711F75">
            <w:pPr>
              <w:pStyle w:val="TableText"/>
            </w:pPr>
            <w:r w:rsidRPr="001E353D">
              <w:t>Labor Code §302.017 </w:t>
            </w:r>
          </w:p>
        </w:tc>
        <w:tc>
          <w:tcPr>
            <w:tcW w:w="3402" w:type="dxa"/>
            <w:vAlign w:val="center"/>
            <w:hideMark/>
          </w:tcPr>
          <w:p w14:paraId="0D3C2920" w14:textId="77777777" w:rsidR="007873D5" w:rsidRPr="001E353D" w:rsidRDefault="007873D5" w:rsidP="00711F75">
            <w:pPr>
              <w:pStyle w:val="TableText"/>
            </w:pPr>
            <w:r w:rsidRPr="001E353D">
              <w:t>Requires the agency to create and maintain an employment opportunity website for peace officers and law enforcement that is available to the public in conjunction with Texas Commission on Law Enforcement that includes information sharing and Chapter 1701, Occupations Code license verification</w:t>
            </w:r>
            <w:r>
              <w:t>.</w:t>
            </w:r>
          </w:p>
        </w:tc>
      </w:tr>
      <w:tr w:rsidR="007873D5" w:rsidRPr="001E353D" w14:paraId="49C838DC" w14:textId="77777777" w:rsidTr="00711F75">
        <w:trPr>
          <w:trHeight w:val="2985"/>
        </w:trPr>
        <w:tc>
          <w:tcPr>
            <w:tcW w:w="2604" w:type="dxa"/>
            <w:vAlign w:val="center"/>
            <w:hideMark/>
          </w:tcPr>
          <w:p w14:paraId="6D377D17" w14:textId="77777777" w:rsidR="007873D5" w:rsidRPr="001E353D" w:rsidRDefault="007873D5" w:rsidP="00711F75">
            <w:pPr>
              <w:pStyle w:val="TableText"/>
            </w:pPr>
            <w:r w:rsidRPr="001E353D">
              <w:t>Occupational Shortage Study </w:t>
            </w:r>
          </w:p>
        </w:tc>
        <w:tc>
          <w:tcPr>
            <w:tcW w:w="3166" w:type="dxa"/>
            <w:vAlign w:val="center"/>
            <w:hideMark/>
          </w:tcPr>
          <w:p w14:paraId="04C6D87D" w14:textId="77777777" w:rsidR="007873D5" w:rsidRPr="001E353D" w:rsidRDefault="007873D5" w:rsidP="00711F75">
            <w:pPr>
              <w:pStyle w:val="TableText"/>
            </w:pPr>
            <w:r w:rsidRPr="001E353D">
              <w:rPr>
                <w:bCs/>
              </w:rPr>
              <w:t>State Statute: </w:t>
            </w:r>
            <w:r w:rsidRPr="001E353D">
              <w:t> </w:t>
            </w:r>
          </w:p>
          <w:p w14:paraId="5B6BF412" w14:textId="77777777" w:rsidR="007873D5" w:rsidRPr="001E353D" w:rsidRDefault="007873D5" w:rsidP="00711F75">
            <w:pPr>
              <w:pStyle w:val="TableText"/>
            </w:pPr>
            <w:r w:rsidRPr="001E353D">
              <w:t>Labor Code §302.019 </w:t>
            </w:r>
          </w:p>
        </w:tc>
        <w:tc>
          <w:tcPr>
            <w:tcW w:w="3402" w:type="dxa"/>
            <w:vAlign w:val="center"/>
            <w:hideMark/>
          </w:tcPr>
          <w:p w14:paraId="577F4D60" w14:textId="77777777" w:rsidR="007873D5" w:rsidRPr="001E353D" w:rsidRDefault="007873D5" w:rsidP="00711F75">
            <w:pPr>
              <w:pStyle w:val="TableText"/>
            </w:pPr>
            <w:r w:rsidRPr="001E353D">
              <w:t>Requires the agency to gather, study and report on current and projected shortages in high-demand, high-wage occupations in the listed areas and to report this information with recommendations annually to the governor, lieutenant governor, speaker of the house, and the legislative workforce committees and subcommittees </w:t>
            </w:r>
          </w:p>
        </w:tc>
      </w:tr>
      <w:tr w:rsidR="007873D5" w:rsidRPr="001E353D" w14:paraId="5A06C5DE" w14:textId="77777777" w:rsidTr="00711F75">
        <w:trPr>
          <w:trHeight w:val="3210"/>
        </w:trPr>
        <w:tc>
          <w:tcPr>
            <w:tcW w:w="2604" w:type="dxa"/>
            <w:vAlign w:val="center"/>
            <w:hideMark/>
          </w:tcPr>
          <w:p w14:paraId="213A39B9" w14:textId="77777777" w:rsidR="007873D5" w:rsidRPr="001E353D" w:rsidRDefault="007873D5" w:rsidP="00711F75">
            <w:pPr>
              <w:pStyle w:val="TableText"/>
            </w:pPr>
            <w:r w:rsidRPr="001E353D">
              <w:t>Apprenticeship Training </w:t>
            </w:r>
          </w:p>
        </w:tc>
        <w:tc>
          <w:tcPr>
            <w:tcW w:w="3166" w:type="dxa"/>
            <w:vAlign w:val="center"/>
            <w:hideMark/>
          </w:tcPr>
          <w:p w14:paraId="51C533F7" w14:textId="77777777" w:rsidR="007873D5" w:rsidRPr="001E353D" w:rsidRDefault="007873D5" w:rsidP="00711F75">
            <w:pPr>
              <w:pStyle w:val="TableText"/>
            </w:pPr>
            <w:r w:rsidRPr="001E353D">
              <w:rPr>
                <w:bCs/>
              </w:rPr>
              <w:t>State Statute:</w:t>
            </w:r>
            <w:r w:rsidRPr="001E353D">
              <w:t> </w:t>
            </w:r>
          </w:p>
          <w:p w14:paraId="156768B2" w14:textId="77777777" w:rsidR="007873D5" w:rsidRPr="001E353D" w:rsidRDefault="007873D5" w:rsidP="00711F75">
            <w:pPr>
              <w:pStyle w:val="TableText"/>
            </w:pPr>
            <w:r w:rsidRPr="001E353D">
              <w:t xml:space="preserve">Education Code Chapter </w:t>
            </w:r>
            <w:proofErr w:type="gramStart"/>
            <w:r w:rsidRPr="001E353D">
              <w:t>133;</w:t>
            </w:r>
            <w:proofErr w:type="gramEnd"/>
            <w:r w:rsidRPr="001E353D">
              <w:t> </w:t>
            </w:r>
          </w:p>
          <w:p w14:paraId="3B281F99" w14:textId="77777777" w:rsidR="007873D5" w:rsidRPr="001E353D" w:rsidRDefault="007873D5" w:rsidP="00711F75">
            <w:pPr>
              <w:pStyle w:val="TableText"/>
            </w:pPr>
            <w:r w:rsidRPr="001E353D">
              <w:t>Labor Code </w:t>
            </w:r>
          </w:p>
          <w:p w14:paraId="0D510D7F" w14:textId="77777777" w:rsidR="007873D5" w:rsidRPr="001E353D" w:rsidRDefault="007873D5" w:rsidP="00711F75">
            <w:pPr>
              <w:pStyle w:val="TableText"/>
            </w:pPr>
            <w:r w:rsidRPr="001E353D">
              <w:t>§302.021(a)(2</w:t>
            </w:r>
            <w:proofErr w:type="gramStart"/>
            <w:r w:rsidRPr="001E353D">
              <w:t>);</w:t>
            </w:r>
            <w:proofErr w:type="gramEnd"/>
            <w:r w:rsidRPr="001E353D">
              <w:t> </w:t>
            </w:r>
          </w:p>
          <w:p w14:paraId="797F7D9A" w14:textId="77777777" w:rsidR="007873D5" w:rsidRPr="001E353D" w:rsidRDefault="007873D5" w:rsidP="00711F75">
            <w:pPr>
              <w:pStyle w:val="TableText"/>
            </w:pPr>
            <w:r w:rsidRPr="001E353D">
              <w:rPr>
                <w:bCs/>
              </w:rPr>
              <w:t>State Rule:</w:t>
            </w:r>
            <w:r w:rsidRPr="001E353D">
              <w:t> </w:t>
            </w:r>
          </w:p>
          <w:p w14:paraId="2B026D31" w14:textId="77777777" w:rsidR="007873D5" w:rsidRPr="001E353D" w:rsidRDefault="007873D5" w:rsidP="00711F75">
            <w:pPr>
              <w:pStyle w:val="TableText"/>
            </w:pPr>
            <w:r w:rsidRPr="001E353D">
              <w:t>40 TAC Chapter 837 </w:t>
            </w:r>
          </w:p>
          <w:p w14:paraId="1723A82D" w14:textId="77777777" w:rsidR="007873D5" w:rsidRPr="001E353D" w:rsidRDefault="007873D5" w:rsidP="00711F75">
            <w:pPr>
              <w:pStyle w:val="TableText"/>
            </w:pPr>
            <w:r w:rsidRPr="001E353D">
              <w:rPr>
                <w:bCs/>
              </w:rPr>
              <w:t>Federal Statute:</w:t>
            </w:r>
            <w:r w:rsidRPr="001E353D">
              <w:t> </w:t>
            </w:r>
          </w:p>
          <w:p w14:paraId="4DF782BD" w14:textId="77777777" w:rsidR="007873D5" w:rsidRPr="001E353D" w:rsidRDefault="007873D5" w:rsidP="00711F75">
            <w:pPr>
              <w:pStyle w:val="TableText"/>
            </w:pPr>
            <w:r w:rsidRPr="001E353D">
              <w:t xml:space="preserve">29 USC § 50 </w:t>
            </w:r>
            <w:r w:rsidRPr="001E353D">
              <w:rPr>
                <w:i/>
                <w:iCs/>
              </w:rPr>
              <w:t>et seq</w:t>
            </w:r>
            <w:r>
              <w:t>.</w:t>
            </w:r>
          </w:p>
          <w:p w14:paraId="2B5F75F0" w14:textId="77777777" w:rsidR="007873D5" w:rsidRPr="001E353D" w:rsidRDefault="007873D5" w:rsidP="00711F75">
            <w:pPr>
              <w:pStyle w:val="TableText"/>
            </w:pPr>
            <w:r w:rsidRPr="001E353D">
              <w:rPr>
                <w:bCs/>
              </w:rPr>
              <w:t>Federal Regulation:</w:t>
            </w:r>
            <w:r w:rsidRPr="001E353D">
              <w:t> </w:t>
            </w:r>
          </w:p>
          <w:p w14:paraId="083C3389" w14:textId="77777777" w:rsidR="007873D5" w:rsidRPr="001E353D" w:rsidRDefault="007873D5" w:rsidP="00711F75">
            <w:pPr>
              <w:pStyle w:val="TableText"/>
            </w:pPr>
            <w:r w:rsidRPr="001E353D">
              <w:t>29 CFR Part 29 </w:t>
            </w:r>
          </w:p>
        </w:tc>
        <w:tc>
          <w:tcPr>
            <w:tcW w:w="3402" w:type="dxa"/>
            <w:vAlign w:val="center"/>
            <w:hideMark/>
          </w:tcPr>
          <w:p w14:paraId="0891BCDB" w14:textId="77777777" w:rsidR="007873D5" w:rsidRPr="001E353D" w:rsidRDefault="007873D5" w:rsidP="00711F75">
            <w:pPr>
              <w:pStyle w:val="TableText"/>
            </w:pPr>
            <w:r w:rsidRPr="001E353D">
              <w:t>Pursuant to the National Apprenticeship Act, provides authority to implement apprenticeship programs that include on-the-job training, preparatory instruction, supplemental instruction, or related instruction in a trade that has been certified as an apprentice able occupation by the DOL Office of Apprenticeship Training</w:t>
            </w:r>
            <w:r>
              <w:t>.</w:t>
            </w:r>
          </w:p>
        </w:tc>
      </w:tr>
      <w:tr w:rsidR="007873D5" w:rsidRPr="001E353D" w14:paraId="24A5B754" w14:textId="77777777" w:rsidTr="00711F75">
        <w:trPr>
          <w:trHeight w:val="3210"/>
        </w:trPr>
        <w:tc>
          <w:tcPr>
            <w:tcW w:w="2604" w:type="dxa"/>
            <w:vAlign w:val="center"/>
            <w:hideMark/>
          </w:tcPr>
          <w:p w14:paraId="50E1CB36" w14:textId="77777777" w:rsidR="007873D5" w:rsidRPr="001E353D" w:rsidRDefault="007873D5" w:rsidP="00711F75">
            <w:pPr>
              <w:pStyle w:val="TableText"/>
            </w:pPr>
            <w:r w:rsidRPr="001E353D">
              <w:lastRenderedPageBreak/>
              <w:t>Apprenticeship Training - Distribution of Funds  </w:t>
            </w:r>
          </w:p>
        </w:tc>
        <w:tc>
          <w:tcPr>
            <w:tcW w:w="3166" w:type="dxa"/>
            <w:vAlign w:val="center"/>
            <w:hideMark/>
          </w:tcPr>
          <w:p w14:paraId="013DB03C" w14:textId="77777777" w:rsidR="007873D5" w:rsidRPr="001E353D" w:rsidRDefault="007873D5" w:rsidP="00711F75">
            <w:pPr>
              <w:pStyle w:val="TableText"/>
            </w:pPr>
            <w:r w:rsidRPr="001E353D">
              <w:rPr>
                <w:bCs/>
              </w:rPr>
              <w:t>State Statute:</w:t>
            </w:r>
            <w:r w:rsidRPr="001E353D">
              <w:t> </w:t>
            </w:r>
          </w:p>
          <w:p w14:paraId="369EAA91" w14:textId="77777777" w:rsidR="007873D5" w:rsidRPr="001E353D" w:rsidRDefault="007873D5" w:rsidP="00711F75">
            <w:pPr>
              <w:pStyle w:val="TableText"/>
            </w:pPr>
            <w:r w:rsidRPr="001E353D">
              <w:t>Education Code  </w:t>
            </w:r>
          </w:p>
          <w:p w14:paraId="00023C12" w14:textId="77777777" w:rsidR="007873D5" w:rsidRPr="001E353D" w:rsidRDefault="007873D5" w:rsidP="00711F75">
            <w:pPr>
              <w:pStyle w:val="TableText"/>
            </w:pPr>
            <w:r w:rsidRPr="001E353D">
              <w:t>§133.006 </w:t>
            </w:r>
          </w:p>
        </w:tc>
        <w:tc>
          <w:tcPr>
            <w:tcW w:w="3402" w:type="dxa"/>
            <w:vAlign w:val="center"/>
            <w:hideMark/>
          </w:tcPr>
          <w:p w14:paraId="70C730BD" w14:textId="77777777" w:rsidR="007873D5" w:rsidRPr="001E353D" w:rsidRDefault="007873D5" w:rsidP="00711F75">
            <w:pPr>
              <w:pStyle w:val="TableText"/>
            </w:pPr>
            <w:r w:rsidRPr="001E353D">
              <w:t>Requires TWC, on recommendation of the advisory committee, to adopt formulas and administrative procedures to be used in requesting appropriations of state funds as a budgetary line item for the Apprenticeship System of Adult Career and Technology Education </w:t>
            </w:r>
          </w:p>
        </w:tc>
      </w:tr>
      <w:tr w:rsidR="007873D5" w:rsidRPr="001E353D" w14:paraId="3F375B71" w14:textId="77777777" w:rsidTr="00711F75">
        <w:trPr>
          <w:trHeight w:val="3210"/>
        </w:trPr>
        <w:tc>
          <w:tcPr>
            <w:tcW w:w="2604" w:type="dxa"/>
            <w:vAlign w:val="center"/>
            <w:hideMark/>
          </w:tcPr>
          <w:p w14:paraId="0476CBBD" w14:textId="77777777" w:rsidR="007873D5" w:rsidRPr="001E353D" w:rsidRDefault="007873D5" w:rsidP="00711F75">
            <w:pPr>
              <w:pStyle w:val="TableText"/>
            </w:pPr>
            <w:r w:rsidRPr="001E353D">
              <w:t>Report on available apprenticeships </w:t>
            </w:r>
          </w:p>
        </w:tc>
        <w:tc>
          <w:tcPr>
            <w:tcW w:w="3166" w:type="dxa"/>
            <w:vAlign w:val="center"/>
            <w:hideMark/>
          </w:tcPr>
          <w:p w14:paraId="5C72CA4E" w14:textId="77777777" w:rsidR="007873D5" w:rsidRPr="001E353D" w:rsidRDefault="007873D5" w:rsidP="00711F75">
            <w:pPr>
              <w:pStyle w:val="TableText"/>
            </w:pPr>
            <w:r w:rsidRPr="001E353D">
              <w:rPr>
                <w:bCs/>
              </w:rPr>
              <w:t>State Statute:</w:t>
            </w:r>
            <w:r w:rsidRPr="001E353D">
              <w:t> </w:t>
            </w:r>
          </w:p>
          <w:p w14:paraId="3AC7F877" w14:textId="77777777" w:rsidR="007873D5" w:rsidRPr="001E353D" w:rsidRDefault="007873D5" w:rsidP="00711F75">
            <w:pPr>
              <w:pStyle w:val="TableText"/>
            </w:pPr>
            <w:r w:rsidRPr="001E353D">
              <w:t>Labor Code §302.0191 </w:t>
            </w:r>
          </w:p>
          <w:p w14:paraId="2493B6D0" w14:textId="77777777" w:rsidR="007873D5" w:rsidRPr="001E353D" w:rsidRDefault="007873D5" w:rsidP="00711F75">
            <w:pPr>
              <w:pStyle w:val="TableText"/>
            </w:pPr>
            <w:r w:rsidRPr="001E353D">
              <w:rPr>
                <w:bCs/>
              </w:rPr>
              <w:t>State Rule:</w:t>
            </w:r>
            <w:r w:rsidRPr="001E353D">
              <w:t> </w:t>
            </w:r>
          </w:p>
          <w:p w14:paraId="51D90B46" w14:textId="77777777" w:rsidR="007873D5" w:rsidRPr="001E353D" w:rsidRDefault="007873D5" w:rsidP="00711F75">
            <w:pPr>
              <w:pStyle w:val="TableText"/>
            </w:pPr>
            <w:r w:rsidRPr="001E353D">
              <w:t>40 TAC Chapter 837 </w:t>
            </w:r>
          </w:p>
          <w:p w14:paraId="0E9261BC" w14:textId="77777777" w:rsidR="007873D5" w:rsidRPr="001E353D" w:rsidRDefault="007873D5" w:rsidP="00711F75">
            <w:pPr>
              <w:pStyle w:val="TableText"/>
            </w:pPr>
            <w:r w:rsidRPr="001E353D">
              <w:rPr>
                <w:bCs/>
              </w:rPr>
              <w:t>Federal Statute:</w:t>
            </w:r>
            <w:r w:rsidRPr="001E353D">
              <w:t> </w:t>
            </w:r>
          </w:p>
          <w:p w14:paraId="20BC32F4" w14:textId="77777777" w:rsidR="007873D5" w:rsidRPr="001E353D" w:rsidRDefault="007873D5" w:rsidP="00711F75">
            <w:pPr>
              <w:pStyle w:val="TableText"/>
            </w:pPr>
            <w:r w:rsidRPr="001E353D">
              <w:t xml:space="preserve">29 USC § 50 </w:t>
            </w:r>
            <w:r w:rsidRPr="001E353D">
              <w:rPr>
                <w:i/>
                <w:iCs/>
              </w:rPr>
              <w:t>et seq</w:t>
            </w:r>
            <w:r>
              <w:t>.</w:t>
            </w:r>
          </w:p>
          <w:p w14:paraId="6EFB8352" w14:textId="77777777" w:rsidR="007873D5" w:rsidRPr="001E353D" w:rsidRDefault="007873D5" w:rsidP="00711F75">
            <w:pPr>
              <w:pStyle w:val="TableText"/>
            </w:pPr>
            <w:r w:rsidRPr="001E353D">
              <w:rPr>
                <w:bCs/>
              </w:rPr>
              <w:t>Federal Regulation:</w:t>
            </w:r>
            <w:r w:rsidRPr="001E353D">
              <w:t> </w:t>
            </w:r>
          </w:p>
          <w:p w14:paraId="41E9C1F9" w14:textId="77777777" w:rsidR="007873D5" w:rsidRPr="001E353D" w:rsidRDefault="007873D5" w:rsidP="00711F75">
            <w:pPr>
              <w:pStyle w:val="TableText"/>
            </w:pPr>
            <w:r w:rsidRPr="001E353D">
              <w:t>29 CFR Part 2 </w:t>
            </w:r>
          </w:p>
        </w:tc>
        <w:tc>
          <w:tcPr>
            <w:tcW w:w="3402" w:type="dxa"/>
            <w:vAlign w:val="center"/>
            <w:hideMark/>
          </w:tcPr>
          <w:p w14:paraId="3FC33790" w14:textId="77777777" w:rsidR="007873D5" w:rsidRPr="001E353D" w:rsidRDefault="007873D5" w:rsidP="00711F75">
            <w:pPr>
              <w:pStyle w:val="TableText"/>
            </w:pPr>
            <w:r w:rsidRPr="001E353D">
              <w:t>Requires the agency and LWDBs to annually report on available apprenticeship programs in the state in emerging and high-demand industries to include recommendations on how to increase these programs and to provide this information to the Apprenticeship and Training Advisory Committee</w:t>
            </w:r>
            <w:r>
              <w:t>.</w:t>
            </w:r>
          </w:p>
        </w:tc>
      </w:tr>
      <w:tr w:rsidR="007873D5" w:rsidRPr="001E353D" w14:paraId="16F3B0B7" w14:textId="77777777" w:rsidTr="00711F75">
        <w:trPr>
          <w:trHeight w:val="3210"/>
        </w:trPr>
        <w:tc>
          <w:tcPr>
            <w:tcW w:w="2604" w:type="dxa"/>
            <w:vAlign w:val="center"/>
            <w:hideMark/>
          </w:tcPr>
          <w:p w14:paraId="49BBC682" w14:textId="77777777" w:rsidR="007873D5" w:rsidRPr="001E353D" w:rsidRDefault="007873D5" w:rsidP="00711F75">
            <w:pPr>
              <w:pStyle w:val="TableText"/>
            </w:pPr>
            <w:r w:rsidRPr="001E353D">
              <w:t>Texas Industry Recognized Apprenticeship Programs Grant Programs </w:t>
            </w:r>
          </w:p>
        </w:tc>
        <w:tc>
          <w:tcPr>
            <w:tcW w:w="3166" w:type="dxa"/>
            <w:vAlign w:val="center"/>
            <w:hideMark/>
          </w:tcPr>
          <w:p w14:paraId="43BB3581" w14:textId="77777777" w:rsidR="007873D5" w:rsidRPr="001E353D" w:rsidRDefault="007873D5" w:rsidP="00711F75">
            <w:pPr>
              <w:pStyle w:val="TableText"/>
            </w:pPr>
            <w:r w:rsidRPr="001E353D">
              <w:rPr>
                <w:bCs/>
              </w:rPr>
              <w:t>State Statute: </w:t>
            </w:r>
            <w:r w:rsidRPr="001E353D">
              <w:t> </w:t>
            </w:r>
          </w:p>
          <w:p w14:paraId="00006C43" w14:textId="77777777" w:rsidR="007873D5" w:rsidRPr="001E353D" w:rsidRDefault="007873D5" w:rsidP="00711F75">
            <w:pPr>
              <w:pStyle w:val="TableText"/>
            </w:pPr>
            <w:r w:rsidRPr="001E353D">
              <w:t>Labor Code §§302.251 through 302.258 </w:t>
            </w:r>
          </w:p>
          <w:p w14:paraId="2B45E403" w14:textId="77777777" w:rsidR="007873D5" w:rsidRPr="001E353D" w:rsidRDefault="007873D5" w:rsidP="00711F75">
            <w:pPr>
              <w:pStyle w:val="TableText"/>
            </w:pPr>
            <w:r w:rsidRPr="001E353D">
              <w:rPr>
                <w:bCs/>
              </w:rPr>
              <w:t>State Rule:</w:t>
            </w:r>
            <w:r w:rsidRPr="001E353D">
              <w:t> </w:t>
            </w:r>
          </w:p>
          <w:p w14:paraId="33491E3C" w14:textId="77777777" w:rsidR="007873D5" w:rsidRPr="001E353D" w:rsidRDefault="007873D5" w:rsidP="00711F75">
            <w:pPr>
              <w:pStyle w:val="TableText"/>
            </w:pPr>
            <w:r w:rsidRPr="001E353D">
              <w:t>40 TAC Chapter 837 </w:t>
            </w:r>
          </w:p>
          <w:p w14:paraId="1719AE94" w14:textId="77777777" w:rsidR="007873D5" w:rsidRPr="001E353D" w:rsidRDefault="007873D5" w:rsidP="00711F75">
            <w:pPr>
              <w:pStyle w:val="TableText"/>
            </w:pPr>
            <w:r w:rsidRPr="001E353D">
              <w:rPr>
                <w:bCs/>
              </w:rPr>
              <w:t>Federal Statute:</w:t>
            </w:r>
            <w:r w:rsidRPr="001E353D">
              <w:t> </w:t>
            </w:r>
          </w:p>
          <w:p w14:paraId="4F4B21E1" w14:textId="77777777" w:rsidR="007873D5" w:rsidRPr="001E353D" w:rsidRDefault="007873D5" w:rsidP="00711F75">
            <w:pPr>
              <w:pStyle w:val="TableText"/>
            </w:pPr>
            <w:r w:rsidRPr="001E353D">
              <w:t xml:space="preserve">29 USC § 50 </w:t>
            </w:r>
            <w:r w:rsidRPr="001E353D">
              <w:rPr>
                <w:i/>
                <w:iCs/>
              </w:rPr>
              <w:t>et seq</w:t>
            </w:r>
            <w:r>
              <w:t>.</w:t>
            </w:r>
          </w:p>
          <w:p w14:paraId="105FA4D6" w14:textId="77777777" w:rsidR="007873D5" w:rsidRPr="001E353D" w:rsidRDefault="007873D5" w:rsidP="00711F75">
            <w:pPr>
              <w:pStyle w:val="TableText"/>
            </w:pPr>
            <w:r w:rsidRPr="001E353D">
              <w:rPr>
                <w:bCs/>
              </w:rPr>
              <w:t>Federal Regulation:</w:t>
            </w:r>
            <w:r w:rsidRPr="001E353D">
              <w:t> </w:t>
            </w:r>
          </w:p>
          <w:p w14:paraId="40434F07" w14:textId="77777777" w:rsidR="007873D5" w:rsidRPr="001E353D" w:rsidRDefault="007873D5" w:rsidP="00711F75">
            <w:pPr>
              <w:pStyle w:val="TableText"/>
            </w:pPr>
            <w:r w:rsidRPr="001E353D">
              <w:t>29 CFR Part </w:t>
            </w:r>
          </w:p>
        </w:tc>
        <w:tc>
          <w:tcPr>
            <w:tcW w:w="3402" w:type="dxa"/>
            <w:vAlign w:val="center"/>
            <w:hideMark/>
          </w:tcPr>
          <w:p w14:paraId="713B9C9A" w14:textId="77777777" w:rsidR="007873D5" w:rsidRPr="001E353D" w:rsidRDefault="007873D5" w:rsidP="00711F75">
            <w:pPr>
              <w:pStyle w:val="TableText"/>
            </w:pPr>
            <w:r w:rsidRPr="001E353D">
              <w:t xml:space="preserve">Provides for the establishment and administration of an apprentice program grant program to encourage the private sector to develop industry-recognized apprenticeship program, award grants of up to $10k to cover costs of training participants. The </w:t>
            </w:r>
            <w:r>
              <w:t>Commission</w:t>
            </w:r>
            <w:r w:rsidRPr="001E353D">
              <w:t xml:space="preserve"> must annually report to the lieutenant governor, speaker and legislature the effective of the program</w:t>
            </w:r>
            <w:r>
              <w:t>.</w:t>
            </w:r>
          </w:p>
        </w:tc>
      </w:tr>
      <w:tr w:rsidR="007873D5" w:rsidRPr="001E353D" w14:paraId="224BC0D4" w14:textId="77777777" w:rsidTr="00711F75">
        <w:trPr>
          <w:trHeight w:val="3210"/>
        </w:trPr>
        <w:tc>
          <w:tcPr>
            <w:tcW w:w="2604" w:type="dxa"/>
            <w:vAlign w:val="center"/>
            <w:hideMark/>
          </w:tcPr>
          <w:p w14:paraId="1DCF1E32" w14:textId="77777777" w:rsidR="007873D5" w:rsidRPr="001E353D" w:rsidRDefault="007873D5" w:rsidP="00711F75">
            <w:pPr>
              <w:pStyle w:val="TableText"/>
            </w:pPr>
            <w:r>
              <w:lastRenderedPageBreak/>
              <w:t>Veterans Reemployment Education and Training Courses  </w:t>
            </w:r>
          </w:p>
        </w:tc>
        <w:tc>
          <w:tcPr>
            <w:tcW w:w="3166" w:type="dxa"/>
            <w:vAlign w:val="center"/>
            <w:hideMark/>
          </w:tcPr>
          <w:p w14:paraId="2DC6231B" w14:textId="77777777" w:rsidR="007873D5" w:rsidRPr="001E353D" w:rsidRDefault="007873D5" w:rsidP="00711F75">
            <w:pPr>
              <w:pStyle w:val="TableText"/>
            </w:pPr>
            <w:r w:rsidRPr="001E353D">
              <w:rPr>
                <w:bCs/>
              </w:rPr>
              <w:t>State</w:t>
            </w:r>
            <w:r w:rsidRPr="001E353D">
              <w:t xml:space="preserve"> </w:t>
            </w:r>
            <w:r w:rsidRPr="001E353D">
              <w:rPr>
                <w:bCs/>
              </w:rPr>
              <w:t>Statute:</w:t>
            </w:r>
            <w:r w:rsidRPr="001E353D">
              <w:t> </w:t>
            </w:r>
          </w:p>
          <w:p w14:paraId="253D8C77" w14:textId="77777777" w:rsidR="007873D5" w:rsidRPr="001E353D" w:rsidRDefault="007873D5" w:rsidP="00711F75">
            <w:pPr>
              <w:pStyle w:val="TableText"/>
            </w:pPr>
            <w:r>
              <w:t>Labor Code §316.001 </w:t>
            </w:r>
          </w:p>
        </w:tc>
        <w:tc>
          <w:tcPr>
            <w:tcW w:w="3402" w:type="dxa"/>
            <w:vAlign w:val="center"/>
            <w:hideMark/>
          </w:tcPr>
          <w:p w14:paraId="454279E9" w14:textId="77777777" w:rsidR="007873D5" w:rsidRPr="001E353D" w:rsidRDefault="007873D5" w:rsidP="00711F75">
            <w:pPr>
              <w:pStyle w:val="TableText"/>
            </w:pPr>
            <w:r w:rsidRPr="001E353D">
              <w:t xml:space="preserve">Requires the </w:t>
            </w:r>
            <w:r>
              <w:t>Commission</w:t>
            </w:r>
            <w:r w:rsidRPr="001E353D">
              <w:t xml:space="preserve"> to develop education and training </w:t>
            </w:r>
            <w:r>
              <w:t xml:space="preserve">to </w:t>
            </w:r>
            <w:r w:rsidRPr="001E353D">
              <w:t xml:space="preserve">for veterans </w:t>
            </w:r>
            <w:r>
              <w:t>with the goal that veterans obtain workforce skills and become gainfully employed.</w:t>
            </w:r>
          </w:p>
        </w:tc>
      </w:tr>
      <w:tr w:rsidR="007873D5" w:rsidRPr="001E353D" w14:paraId="7F1B59A1" w14:textId="77777777" w:rsidTr="00711F75">
        <w:trPr>
          <w:trHeight w:val="3210"/>
        </w:trPr>
        <w:tc>
          <w:tcPr>
            <w:tcW w:w="2604" w:type="dxa"/>
            <w:vAlign w:val="center"/>
            <w:hideMark/>
          </w:tcPr>
          <w:p w14:paraId="4F314F0B" w14:textId="77777777" w:rsidR="007873D5" w:rsidRPr="001E353D" w:rsidRDefault="007873D5" w:rsidP="00711F75">
            <w:pPr>
              <w:pStyle w:val="TableText"/>
            </w:pPr>
            <w:r w:rsidRPr="001E353D">
              <w:t>Workforce Diploma Pilot Program </w:t>
            </w:r>
          </w:p>
        </w:tc>
        <w:tc>
          <w:tcPr>
            <w:tcW w:w="3166" w:type="dxa"/>
            <w:vAlign w:val="center"/>
            <w:hideMark/>
          </w:tcPr>
          <w:p w14:paraId="31B24485" w14:textId="77777777" w:rsidR="007873D5" w:rsidRPr="001E353D" w:rsidRDefault="007873D5" w:rsidP="00711F75">
            <w:pPr>
              <w:pStyle w:val="TableText"/>
            </w:pPr>
            <w:r w:rsidRPr="001E353D">
              <w:rPr>
                <w:bCs/>
              </w:rPr>
              <w:t>State Statute:</w:t>
            </w:r>
            <w:r w:rsidRPr="001E353D">
              <w:t> </w:t>
            </w:r>
          </w:p>
          <w:p w14:paraId="1EFB6EE5" w14:textId="77777777" w:rsidR="007873D5" w:rsidRPr="001E353D" w:rsidRDefault="007873D5" w:rsidP="00711F75">
            <w:pPr>
              <w:pStyle w:val="TableText"/>
            </w:pPr>
            <w:r w:rsidRPr="001E353D">
              <w:t>Labor Code §§317.001-317.010 </w:t>
            </w:r>
          </w:p>
        </w:tc>
        <w:tc>
          <w:tcPr>
            <w:tcW w:w="3402" w:type="dxa"/>
            <w:vAlign w:val="center"/>
            <w:hideMark/>
          </w:tcPr>
          <w:p w14:paraId="2EDA1318" w14:textId="77777777" w:rsidR="007873D5" w:rsidRPr="001E353D" w:rsidRDefault="007873D5" w:rsidP="00711F75">
            <w:pPr>
              <w:pStyle w:val="TableText"/>
            </w:pPr>
            <w:r w:rsidRPr="001E353D">
              <w:t xml:space="preserve">Provides for the establishment and review of a workforce diploma pilot program in conjunction with TEA to assist eligible high school diploma granting entities to be reimbursed for successfully assisting adult students to obtain high school diplomas and technical career skills and publish this list annually. The </w:t>
            </w:r>
            <w:r>
              <w:t>Commission</w:t>
            </w:r>
            <w:r w:rsidRPr="001E353D">
              <w:t xml:space="preserve"> must provide an annual report to the legislature of the program’s effectiveness. The program expires on September 1, 2027</w:t>
            </w:r>
            <w:r>
              <w:t>.</w:t>
            </w:r>
          </w:p>
        </w:tc>
      </w:tr>
      <w:tr w:rsidR="007873D5" w:rsidRPr="001E353D" w14:paraId="78F7654F" w14:textId="77777777" w:rsidTr="00711F75">
        <w:trPr>
          <w:trHeight w:val="1845"/>
        </w:trPr>
        <w:tc>
          <w:tcPr>
            <w:tcW w:w="2604" w:type="dxa"/>
            <w:vAlign w:val="center"/>
            <w:hideMark/>
          </w:tcPr>
          <w:p w14:paraId="574A747E" w14:textId="77777777" w:rsidR="007873D5" w:rsidRPr="001E353D" w:rsidRDefault="007873D5" w:rsidP="00711F75">
            <w:pPr>
              <w:pStyle w:val="TableText"/>
            </w:pPr>
            <w:r w:rsidRPr="001E353D">
              <w:t>Work Opportunity Tax Credit (WOTC) </w:t>
            </w:r>
          </w:p>
        </w:tc>
        <w:tc>
          <w:tcPr>
            <w:tcW w:w="3166" w:type="dxa"/>
            <w:vAlign w:val="center"/>
            <w:hideMark/>
          </w:tcPr>
          <w:p w14:paraId="5E63DB1D" w14:textId="77777777" w:rsidR="007873D5" w:rsidRPr="001E353D" w:rsidRDefault="007873D5" w:rsidP="00711F75">
            <w:pPr>
              <w:pStyle w:val="TableText"/>
            </w:pPr>
            <w:r w:rsidRPr="001E353D">
              <w:rPr>
                <w:bCs/>
              </w:rPr>
              <w:t>State Statute:</w:t>
            </w:r>
            <w:r w:rsidRPr="001E353D">
              <w:t> </w:t>
            </w:r>
          </w:p>
          <w:p w14:paraId="37D9E378" w14:textId="77777777" w:rsidR="007873D5" w:rsidRPr="001E353D" w:rsidRDefault="007873D5" w:rsidP="00711F75">
            <w:pPr>
              <w:pStyle w:val="TableText"/>
            </w:pPr>
            <w:r w:rsidRPr="001E353D">
              <w:t>Labor Code §§ </w:t>
            </w:r>
          </w:p>
          <w:p w14:paraId="3CF836B4" w14:textId="77777777" w:rsidR="007873D5" w:rsidRPr="001E353D" w:rsidRDefault="007873D5" w:rsidP="00711F75">
            <w:pPr>
              <w:pStyle w:val="TableText"/>
            </w:pPr>
            <w:r w:rsidRPr="001E353D">
              <w:t>301.067 and 301.0671 </w:t>
            </w:r>
          </w:p>
          <w:p w14:paraId="19577581" w14:textId="77777777" w:rsidR="007873D5" w:rsidRPr="001E353D" w:rsidRDefault="007873D5" w:rsidP="00711F75">
            <w:pPr>
              <w:pStyle w:val="TableText"/>
            </w:pPr>
            <w:r w:rsidRPr="001E353D">
              <w:rPr>
                <w:bCs/>
              </w:rPr>
              <w:t>Federal Statute:</w:t>
            </w:r>
            <w:r w:rsidRPr="001E353D">
              <w:t> </w:t>
            </w:r>
          </w:p>
          <w:p w14:paraId="4B438EBC" w14:textId="77777777" w:rsidR="007873D5" w:rsidRPr="001E353D" w:rsidRDefault="007873D5" w:rsidP="00711F75">
            <w:pPr>
              <w:pStyle w:val="TableText"/>
            </w:pPr>
            <w:r w:rsidRPr="001E353D">
              <w:t xml:space="preserve">26 USC §§ 51 </w:t>
            </w:r>
            <w:r w:rsidRPr="001E353D">
              <w:rPr>
                <w:i/>
                <w:iCs/>
              </w:rPr>
              <w:t>et seq</w:t>
            </w:r>
            <w:r>
              <w:t>.</w:t>
            </w:r>
          </w:p>
        </w:tc>
        <w:tc>
          <w:tcPr>
            <w:tcW w:w="3402" w:type="dxa"/>
            <w:vAlign w:val="center"/>
            <w:hideMark/>
          </w:tcPr>
          <w:p w14:paraId="79C796F6" w14:textId="77777777" w:rsidR="007873D5" w:rsidRPr="001E353D" w:rsidRDefault="007873D5" w:rsidP="00711F75">
            <w:pPr>
              <w:pStyle w:val="TableText"/>
            </w:pPr>
            <w:r>
              <w:t xml:space="preserve">Provides for a WOTC and State Tax Refund for certain employers who hire employees from a targeted group. The targeted groups are qualified IV-A recipient, qualified veteran, qualified ex-felon, a designated community resident, vocational rehabilitation referral, qualified summer youth employee, qualified SNAP recipient, a qualified SSI recipient and a </w:t>
            </w:r>
            <w:proofErr w:type="gramStart"/>
            <w:r>
              <w:t>long term</w:t>
            </w:r>
            <w:proofErr w:type="gramEnd"/>
            <w:r>
              <w:t xml:space="preserve"> family assistance recipient.</w:t>
            </w:r>
          </w:p>
        </w:tc>
      </w:tr>
      <w:tr w:rsidR="007873D5" w:rsidRPr="001E353D" w14:paraId="229DE6F5" w14:textId="77777777" w:rsidTr="00711F75">
        <w:trPr>
          <w:trHeight w:val="1845"/>
        </w:trPr>
        <w:tc>
          <w:tcPr>
            <w:tcW w:w="2604" w:type="dxa"/>
            <w:vAlign w:val="center"/>
            <w:hideMark/>
          </w:tcPr>
          <w:p w14:paraId="45F670F9" w14:textId="77777777" w:rsidR="007873D5" w:rsidRPr="001E353D" w:rsidRDefault="007873D5" w:rsidP="00711F75">
            <w:pPr>
              <w:pStyle w:val="TableText"/>
            </w:pPr>
            <w:r w:rsidRPr="001E353D">
              <w:t>County Responsibilities </w:t>
            </w:r>
          </w:p>
        </w:tc>
        <w:tc>
          <w:tcPr>
            <w:tcW w:w="3166" w:type="dxa"/>
            <w:vAlign w:val="center"/>
            <w:hideMark/>
          </w:tcPr>
          <w:p w14:paraId="1A58E23E" w14:textId="77777777" w:rsidR="007873D5" w:rsidRPr="001E353D" w:rsidRDefault="007873D5" w:rsidP="00711F75">
            <w:pPr>
              <w:pStyle w:val="TableText"/>
            </w:pPr>
            <w:r w:rsidRPr="001E353D">
              <w:rPr>
                <w:bCs/>
              </w:rPr>
              <w:t xml:space="preserve">State Statute: </w:t>
            </w:r>
            <w:r w:rsidRPr="001E353D">
              <w:t>Health and Safety Code § 61.042 </w:t>
            </w:r>
          </w:p>
        </w:tc>
        <w:tc>
          <w:tcPr>
            <w:tcW w:w="3402" w:type="dxa"/>
            <w:vAlign w:val="center"/>
            <w:hideMark/>
          </w:tcPr>
          <w:p w14:paraId="5EEC1992" w14:textId="77777777" w:rsidR="007873D5" w:rsidRPr="001E353D" w:rsidRDefault="007873D5" w:rsidP="00711F75">
            <w:pPr>
              <w:pStyle w:val="TableText"/>
            </w:pPr>
            <w:r w:rsidRPr="001E353D">
              <w:t>The Texas Indigent Health Care and Treatment Act allows a county to establish certain procedures consistent with Chapter 31, Human Resources Code, for administering an employment services program and requiring an applicant or eligible resident to register for work with TWC</w:t>
            </w:r>
            <w:r>
              <w:t>.</w:t>
            </w:r>
          </w:p>
        </w:tc>
      </w:tr>
      <w:tr w:rsidR="007873D5" w:rsidRPr="001E353D" w14:paraId="26FF54CB" w14:textId="77777777" w:rsidTr="00711F75">
        <w:trPr>
          <w:trHeight w:val="1845"/>
        </w:trPr>
        <w:tc>
          <w:tcPr>
            <w:tcW w:w="2604" w:type="dxa"/>
            <w:vAlign w:val="center"/>
            <w:hideMark/>
          </w:tcPr>
          <w:p w14:paraId="1EB21495" w14:textId="77777777" w:rsidR="007873D5" w:rsidRPr="001E353D" w:rsidRDefault="007873D5" w:rsidP="00711F75">
            <w:pPr>
              <w:pStyle w:val="TableText"/>
            </w:pPr>
            <w:r w:rsidRPr="001E353D">
              <w:lastRenderedPageBreak/>
              <w:t>Public Entities to List Positions with TWC </w:t>
            </w:r>
          </w:p>
        </w:tc>
        <w:tc>
          <w:tcPr>
            <w:tcW w:w="3166" w:type="dxa"/>
            <w:vAlign w:val="center"/>
            <w:hideMark/>
          </w:tcPr>
          <w:p w14:paraId="30CC47DC" w14:textId="77777777" w:rsidR="007873D5" w:rsidRPr="001E353D" w:rsidRDefault="007873D5" w:rsidP="00711F75">
            <w:pPr>
              <w:pStyle w:val="TableText"/>
            </w:pPr>
            <w:r>
              <w:t>State Statute: Government Code §657.009 </w:t>
            </w:r>
          </w:p>
          <w:p w14:paraId="27ED9173" w14:textId="77777777" w:rsidR="007873D5" w:rsidRPr="001E353D" w:rsidRDefault="007873D5" w:rsidP="00711F75">
            <w:pPr>
              <w:pStyle w:val="TableText"/>
            </w:pPr>
            <w:r w:rsidRPr="001E353D">
              <w:rPr>
                <w:bCs/>
              </w:rPr>
              <w:t>State Rule</w:t>
            </w:r>
            <w:r w:rsidRPr="001E353D">
              <w:t>: </w:t>
            </w:r>
          </w:p>
          <w:p w14:paraId="5FF1AA0A" w14:textId="77777777" w:rsidR="007873D5" w:rsidRPr="001E353D" w:rsidRDefault="007873D5" w:rsidP="00711F75">
            <w:pPr>
              <w:pStyle w:val="TableText"/>
            </w:pPr>
            <w:r w:rsidRPr="001E353D">
              <w:t>40 TAC Chapter 843 </w:t>
            </w:r>
          </w:p>
        </w:tc>
        <w:tc>
          <w:tcPr>
            <w:tcW w:w="3402" w:type="dxa"/>
            <w:vAlign w:val="center"/>
            <w:hideMark/>
          </w:tcPr>
          <w:p w14:paraId="5515237D" w14:textId="77777777" w:rsidR="007873D5" w:rsidRPr="001E353D" w:rsidRDefault="007873D5" w:rsidP="00711F75">
            <w:pPr>
              <w:pStyle w:val="TableText"/>
            </w:pPr>
            <w:r>
              <w:t>Provides employers and job seekers with clearinghouse confidential job matching services, requires the agency to provide registration information and online forms for the federal electronic verification authorization program, E-Verify and requires public entities to provide TWC information regarding any open position subject to the military employment preferences.</w:t>
            </w:r>
          </w:p>
        </w:tc>
      </w:tr>
      <w:tr w:rsidR="007873D5" w:rsidRPr="001E353D" w14:paraId="44BE5797" w14:textId="77777777" w:rsidTr="00711F75">
        <w:trPr>
          <w:trHeight w:val="1845"/>
        </w:trPr>
        <w:tc>
          <w:tcPr>
            <w:tcW w:w="2604" w:type="dxa"/>
            <w:vAlign w:val="center"/>
            <w:hideMark/>
          </w:tcPr>
          <w:p w14:paraId="2C64B62E" w14:textId="77777777" w:rsidR="007873D5" w:rsidRPr="001E353D" w:rsidRDefault="007873D5" w:rsidP="00711F75">
            <w:pPr>
              <w:pStyle w:val="TableText"/>
            </w:pPr>
            <w:r w:rsidRPr="001E353D">
              <w:t xml:space="preserve">Fund allocation for job training, employment services, AEL, and </w:t>
            </w:r>
            <w:proofErr w:type="gramStart"/>
            <w:r w:rsidRPr="001E353D">
              <w:t>child care</w:t>
            </w:r>
            <w:proofErr w:type="gramEnd"/>
            <w:r w:rsidRPr="001E353D">
              <w:t> </w:t>
            </w:r>
          </w:p>
        </w:tc>
        <w:tc>
          <w:tcPr>
            <w:tcW w:w="3166" w:type="dxa"/>
            <w:vAlign w:val="center"/>
            <w:hideMark/>
          </w:tcPr>
          <w:p w14:paraId="2EADD2A9" w14:textId="77777777" w:rsidR="007873D5" w:rsidRPr="001E353D" w:rsidRDefault="007873D5" w:rsidP="00711F75">
            <w:pPr>
              <w:pStyle w:val="TableText"/>
            </w:pPr>
            <w:r w:rsidRPr="001E353D">
              <w:rPr>
                <w:bCs/>
              </w:rPr>
              <w:t>State Statute:</w:t>
            </w:r>
            <w:r w:rsidRPr="001E353D">
              <w:t> </w:t>
            </w:r>
          </w:p>
          <w:p w14:paraId="5D776FF7" w14:textId="77777777" w:rsidR="007873D5" w:rsidRPr="001E353D" w:rsidRDefault="007873D5" w:rsidP="00711F75">
            <w:pPr>
              <w:pStyle w:val="TableText"/>
            </w:pPr>
            <w:r w:rsidRPr="001E353D">
              <w:t>Labor Code §302.004</w:t>
            </w:r>
          </w:p>
        </w:tc>
        <w:tc>
          <w:tcPr>
            <w:tcW w:w="3402" w:type="dxa"/>
            <w:vAlign w:val="center"/>
            <w:hideMark/>
          </w:tcPr>
          <w:p w14:paraId="4A0F3703" w14:textId="77777777" w:rsidR="007873D5" w:rsidRPr="001E353D" w:rsidRDefault="007873D5" w:rsidP="00711F75">
            <w:pPr>
              <w:pStyle w:val="TableText"/>
            </w:pPr>
            <w:r>
              <w:t xml:space="preserve">Provides that the agency may allocate funds on a </w:t>
            </w:r>
            <w:proofErr w:type="gramStart"/>
            <w:r>
              <w:t>need based</w:t>
            </w:r>
            <w:proofErr w:type="gramEnd"/>
            <w:r>
              <w:t xml:space="preserve"> formula for job training, employment services, AEL services and child care services to ensure compliance with federal participation rates and achieve integrated education and training.</w:t>
            </w:r>
          </w:p>
        </w:tc>
      </w:tr>
      <w:tr w:rsidR="007873D5" w:rsidRPr="001E353D" w14:paraId="2B97F3CA" w14:textId="77777777" w:rsidTr="00711F75">
        <w:trPr>
          <w:trHeight w:val="1845"/>
        </w:trPr>
        <w:tc>
          <w:tcPr>
            <w:tcW w:w="2604" w:type="dxa"/>
            <w:vAlign w:val="center"/>
            <w:hideMark/>
          </w:tcPr>
          <w:p w14:paraId="55330C1A" w14:textId="77777777" w:rsidR="007873D5" w:rsidRPr="001E353D" w:rsidRDefault="007873D5" w:rsidP="00711F75">
            <w:pPr>
              <w:pStyle w:val="TableText"/>
            </w:pPr>
            <w:r w:rsidRPr="001E353D">
              <w:t>Report on transition from military service to employment </w:t>
            </w:r>
          </w:p>
        </w:tc>
        <w:tc>
          <w:tcPr>
            <w:tcW w:w="3166" w:type="dxa"/>
            <w:vAlign w:val="center"/>
            <w:hideMark/>
          </w:tcPr>
          <w:p w14:paraId="22642FE4" w14:textId="77777777" w:rsidR="007873D5" w:rsidRPr="001E353D" w:rsidRDefault="007873D5" w:rsidP="00711F75">
            <w:pPr>
              <w:pStyle w:val="TableText"/>
            </w:pPr>
            <w:r w:rsidRPr="001E353D">
              <w:rPr>
                <w:bCs/>
              </w:rPr>
              <w:t>State Statute:</w:t>
            </w:r>
            <w:r w:rsidRPr="001E353D">
              <w:t> </w:t>
            </w:r>
          </w:p>
          <w:p w14:paraId="788E0DA0" w14:textId="77777777" w:rsidR="007873D5" w:rsidRPr="001E353D" w:rsidRDefault="007873D5" w:rsidP="00711F75">
            <w:pPr>
              <w:pStyle w:val="TableText"/>
            </w:pPr>
            <w:r w:rsidRPr="001E353D">
              <w:t>Labor Code §302.020 </w:t>
            </w:r>
          </w:p>
        </w:tc>
        <w:tc>
          <w:tcPr>
            <w:tcW w:w="3402" w:type="dxa"/>
            <w:vAlign w:val="center"/>
            <w:hideMark/>
          </w:tcPr>
          <w:p w14:paraId="7CAD9E1F" w14:textId="77777777" w:rsidR="007873D5" w:rsidRPr="001E353D" w:rsidRDefault="007873D5" w:rsidP="00711F75">
            <w:pPr>
              <w:pStyle w:val="TableText"/>
            </w:pPr>
            <w:r w:rsidRPr="001E353D">
              <w:t>Require the agency in consultation with the Texas Coordinating Council on Veteran Services to annually report to the governor, lieutenant governor, speaker, and relevant legislative committees on the most common occupational specialties of military members transitioning to employment to include transferable skills and available certifications and any other data identified by the College Credit for Heroes program which would help servicemembers to transition to employment</w:t>
            </w:r>
            <w:r>
              <w:t>.</w:t>
            </w:r>
          </w:p>
        </w:tc>
      </w:tr>
      <w:tr w:rsidR="007873D5" w:rsidRPr="001E353D" w14:paraId="685F0AE3" w14:textId="77777777" w:rsidTr="00711F75">
        <w:trPr>
          <w:trHeight w:val="1845"/>
        </w:trPr>
        <w:tc>
          <w:tcPr>
            <w:tcW w:w="2604" w:type="dxa"/>
            <w:vAlign w:val="center"/>
            <w:hideMark/>
          </w:tcPr>
          <w:p w14:paraId="7F704ED7" w14:textId="77777777" w:rsidR="007873D5" w:rsidRPr="001E353D" w:rsidRDefault="007873D5" w:rsidP="00711F75">
            <w:pPr>
              <w:pStyle w:val="TableText"/>
            </w:pPr>
            <w:r w:rsidRPr="001E353D">
              <w:t>WF development career and education and training evaluation pilot program </w:t>
            </w:r>
          </w:p>
        </w:tc>
        <w:tc>
          <w:tcPr>
            <w:tcW w:w="3166" w:type="dxa"/>
            <w:vAlign w:val="center"/>
            <w:hideMark/>
          </w:tcPr>
          <w:p w14:paraId="128D92BB" w14:textId="77777777" w:rsidR="007873D5" w:rsidRPr="001E353D" w:rsidRDefault="007873D5" w:rsidP="00711F75">
            <w:pPr>
              <w:pStyle w:val="TableText"/>
            </w:pPr>
            <w:r w:rsidRPr="001E353D">
              <w:rPr>
                <w:bCs/>
              </w:rPr>
              <w:t>State Statute:</w:t>
            </w:r>
            <w:r w:rsidRPr="001E353D">
              <w:t> </w:t>
            </w:r>
          </w:p>
          <w:p w14:paraId="5C42D6E4" w14:textId="77777777" w:rsidR="007873D5" w:rsidRPr="001E353D" w:rsidRDefault="007873D5" w:rsidP="00711F75">
            <w:pPr>
              <w:pStyle w:val="TableText"/>
            </w:pPr>
            <w:r w:rsidRPr="001E353D">
              <w:t>Labor Code §302.0201 </w:t>
            </w:r>
          </w:p>
        </w:tc>
        <w:tc>
          <w:tcPr>
            <w:tcW w:w="3402" w:type="dxa"/>
            <w:vAlign w:val="center"/>
            <w:hideMark/>
          </w:tcPr>
          <w:p w14:paraId="0B3AC332" w14:textId="77777777" w:rsidR="007873D5" w:rsidRPr="001E353D" w:rsidRDefault="007873D5" w:rsidP="00711F75">
            <w:pPr>
              <w:pStyle w:val="TableText"/>
            </w:pPr>
            <w:r w:rsidRPr="001E353D">
              <w:t xml:space="preserve">Requires the agency to establish and administer a pilot program in the </w:t>
            </w:r>
            <w:proofErr w:type="spellStart"/>
            <w:r w:rsidRPr="001E353D">
              <w:t>Borderplex</w:t>
            </w:r>
            <w:proofErr w:type="spellEnd"/>
            <w:r w:rsidRPr="001E353D">
              <w:t xml:space="preserve"> workforce area to collect and evaluate data on career education and training programs</w:t>
            </w:r>
            <w:r>
              <w:t>.</w:t>
            </w:r>
          </w:p>
        </w:tc>
      </w:tr>
      <w:tr w:rsidR="007873D5" w:rsidRPr="001E353D" w14:paraId="47233C07" w14:textId="77777777" w:rsidTr="00711F75">
        <w:trPr>
          <w:trHeight w:val="1845"/>
        </w:trPr>
        <w:tc>
          <w:tcPr>
            <w:tcW w:w="2604" w:type="dxa"/>
            <w:vAlign w:val="center"/>
            <w:hideMark/>
          </w:tcPr>
          <w:p w14:paraId="2131895F" w14:textId="77777777" w:rsidR="007873D5" w:rsidRPr="001E353D" w:rsidRDefault="007873D5" w:rsidP="00711F75">
            <w:pPr>
              <w:pStyle w:val="TableText"/>
            </w:pPr>
            <w:r w:rsidRPr="001E353D">
              <w:t>Information, data and analysis for workforce development evaluation system </w:t>
            </w:r>
          </w:p>
        </w:tc>
        <w:tc>
          <w:tcPr>
            <w:tcW w:w="3166" w:type="dxa"/>
            <w:vAlign w:val="center"/>
            <w:hideMark/>
          </w:tcPr>
          <w:p w14:paraId="046FD25D" w14:textId="77777777" w:rsidR="007873D5" w:rsidRPr="001E353D" w:rsidRDefault="007873D5" w:rsidP="00711F75">
            <w:pPr>
              <w:pStyle w:val="TableText"/>
            </w:pPr>
            <w:r w:rsidRPr="001E353D">
              <w:rPr>
                <w:bCs/>
              </w:rPr>
              <w:t>State Statute: </w:t>
            </w:r>
            <w:r w:rsidRPr="001E353D">
              <w:t> </w:t>
            </w:r>
          </w:p>
          <w:p w14:paraId="50E5ECE3" w14:textId="77777777" w:rsidR="007873D5" w:rsidRPr="001E353D" w:rsidRDefault="007873D5" w:rsidP="00711F75">
            <w:pPr>
              <w:pStyle w:val="TableText"/>
            </w:pPr>
            <w:r w:rsidRPr="001E353D">
              <w:t>Labor Code §302.082 and §302.083 </w:t>
            </w:r>
          </w:p>
        </w:tc>
        <w:tc>
          <w:tcPr>
            <w:tcW w:w="3402" w:type="dxa"/>
            <w:vAlign w:val="center"/>
            <w:hideMark/>
          </w:tcPr>
          <w:p w14:paraId="1FBD95A9" w14:textId="77777777" w:rsidR="007873D5" w:rsidRPr="001E353D" w:rsidRDefault="007873D5" w:rsidP="00711F75">
            <w:pPr>
              <w:pStyle w:val="TableText"/>
            </w:pPr>
            <w:r>
              <w:t>Provides for the type of data to be annually reported and analyzed for the data evaluation system that each state agency is required to provide to the agency and includes a mandate to include a hyperlink in the where self-sufficient wage data can be found.</w:t>
            </w:r>
          </w:p>
        </w:tc>
      </w:tr>
      <w:tr w:rsidR="007873D5" w:rsidRPr="001E353D" w14:paraId="6E500692" w14:textId="77777777" w:rsidTr="00711F75">
        <w:trPr>
          <w:trHeight w:val="1845"/>
        </w:trPr>
        <w:tc>
          <w:tcPr>
            <w:tcW w:w="2604" w:type="dxa"/>
            <w:vAlign w:val="center"/>
            <w:hideMark/>
          </w:tcPr>
          <w:p w14:paraId="2DC2A4E5" w14:textId="77777777" w:rsidR="007873D5" w:rsidRPr="001E353D" w:rsidRDefault="007873D5" w:rsidP="00711F75">
            <w:pPr>
              <w:pStyle w:val="TableText"/>
            </w:pPr>
            <w:r w:rsidRPr="001E353D">
              <w:lastRenderedPageBreak/>
              <w:t>Skills Development Fund </w:t>
            </w:r>
          </w:p>
        </w:tc>
        <w:tc>
          <w:tcPr>
            <w:tcW w:w="3166" w:type="dxa"/>
            <w:vAlign w:val="center"/>
            <w:hideMark/>
          </w:tcPr>
          <w:p w14:paraId="1F3CC28E" w14:textId="77777777" w:rsidR="007873D5" w:rsidRPr="001E353D" w:rsidRDefault="007873D5" w:rsidP="00711F75">
            <w:pPr>
              <w:pStyle w:val="TableText"/>
            </w:pPr>
            <w:r w:rsidRPr="001E353D">
              <w:rPr>
                <w:bCs/>
              </w:rPr>
              <w:t>State Statute:</w:t>
            </w:r>
            <w:r w:rsidRPr="001E353D">
              <w:t> </w:t>
            </w:r>
          </w:p>
          <w:p w14:paraId="7900817F" w14:textId="77777777" w:rsidR="007873D5" w:rsidRPr="001E353D" w:rsidRDefault="007873D5" w:rsidP="00711F75">
            <w:pPr>
              <w:pStyle w:val="TableText"/>
            </w:pPr>
            <w:r w:rsidRPr="001E353D">
              <w:t>Labor Code §303.001 through 303.006</w:t>
            </w:r>
          </w:p>
          <w:p w14:paraId="2374E305" w14:textId="77777777" w:rsidR="007873D5" w:rsidRPr="001E353D" w:rsidRDefault="007873D5" w:rsidP="00711F75">
            <w:pPr>
              <w:pStyle w:val="TableText"/>
            </w:pPr>
            <w:r w:rsidRPr="001E353D">
              <w:t>40 TAC 803 </w:t>
            </w:r>
          </w:p>
        </w:tc>
        <w:tc>
          <w:tcPr>
            <w:tcW w:w="3402" w:type="dxa"/>
            <w:vAlign w:val="center"/>
            <w:hideMark/>
          </w:tcPr>
          <w:p w14:paraId="5635F049" w14:textId="77777777" w:rsidR="007873D5" w:rsidRPr="001E353D" w:rsidRDefault="007873D5" w:rsidP="00711F75">
            <w:pPr>
              <w:pStyle w:val="TableText"/>
            </w:pPr>
            <w:r>
              <w:t>Provides for the creation of a fund to assist public and provide incentives to community-based organizations, colleges, technical school, LWDBs, employers to create workforce training programs, provide customized assessment and training for high demand employment.</w:t>
            </w:r>
          </w:p>
        </w:tc>
      </w:tr>
      <w:tr w:rsidR="007873D5" w:rsidRPr="001E353D" w14:paraId="5C333621" w14:textId="77777777" w:rsidTr="00711F75">
        <w:trPr>
          <w:trHeight w:val="1845"/>
        </w:trPr>
        <w:tc>
          <w:tcPr>
            <w:tcW w:w="2604" w:type="dxa"/>
            <w:vAlign w:val="center"/>
            <w:hideMark/>
          </w:tcPr>
          <w:p w14:paraId="0F18F804" w14:textId="77777777" w:rsidR="007873D5" w:rsidRPr="001E353D" w:rsidRDefault="007873D5" w:rsidP="00711F75">
            <w:pPr>
              <w:pStyle w:val="TableText"/>
            </w:pPr>
            <w:r w:rsidRPr="001E353D">
              <w:t>Texas Career Opportunity Grant Program </w:t>
            </w:r>
          </w:p>
        </w:tc>
        <w:tc>
          <w:tcPr>
            <w:tcW w:w="3166" w:type="dxa"/>
            <w:vAlign w:val="center"/>
            <w:hideMark/>
          </w:tcPr>
          <w:p w14:paraId="4BEF775C" w14:textId="77777777" w:rsidR="007873D5" w:rsidRPr="001E353D" w:rsidRDefault="007873D5" w:rsidP="00711F75">
            <w:pPr>
              <w:pStyle w:val="TableText"/>
            </w:pPr>
            <w:r w:rsidRPr="001E353D">
              <w:rPr>
                <w:bCs/>
              </w:rPr>
              <w:t>State Statute: </w:t>
            </w:r>
            <w:r w:rsidRPr="001E353D">
              <w:t> </w:t>
            </w:r>
          </w:p>
          <w:p w14:paraId="3CC2F052" w14:textId="77777777" w:rsidR="007873D5" w:rsidRPr="001E353D" w:rsidRDefault="007873D5" w:rsidP="00711F75">
            <w:pPr>
              <w:pStyle w:val="TableText"/>
            </w:pPr>
            <w:r w:rsidRPr="001E353D">
              <w:t>Labor Code §§305.029 </w:t>
            </w:r>
          </w:p>
        </w:tc>
        <w:tc>
          <w:tcPr>
            <w:tcW w:w="3402" w:type="dxa"/>
            <w:vAlign w:val="center"/>
            <w:hideMark/>
          </w:tcPr>
          <w:p w14:paraId="1D8A42D9" w14:textId="77777777" w:rsidR="007873D5" w:rsidRPr="001E353D" w:rsidRDefault="007873D5" w:rsidP="00711F75">
            <w:pPr>
              <w:pStyle w:val="TableText"/>
            </w:pPr>
            <w:r w:rsidRPr="001E353D">
              <w:t xml:space="preserve">Requires the </w:t>
            </w:r>
            <w:r>
              <w:t>Commission</w:t>
            </w:r>
            <w:r w:rsidRPr="001E353D">
              <w:t xml:space="preserve"> to provide an annual supplemental report regarding the grant program and outlines the requirements of the report</w:t>
            </w:r>
            <w:r>
              <w:t>.</w:t>
            </w:r>
          </w:p>
        </w:tc>
      </w:tr>
      <w:tr w:rsidR="007873D5" w:rsidRPr="001E353D" w14:paraId="7EC4E084" w14:textId="77777777" w:rsidTr="00711F75">
        <w:trPr>
          <w:trHeight w:val="1845"/>
        </w:trPr>
        <w:tc>
          <w:tcPr>
            <w:tcW w:w="2604" w:type="dxa"/>
            <w:vAlign w:val="center"/>
            <w:hideMark/>
          </w:tcPr>
          <w:p w14:paraId="33B06BC7" w14:textId="77777777" w:rsidR="007873D5" w:rsidRPr="001E353D" w:rsidRDefault="007873D5" w:rsidP="00711F75">
            <w:pPr>
              <w:pStyle w:val="TableText"/>
            </w:pPr>
            <w:r w:rsidRPr="001E353D">
              <w:t>Industry-Based Certification Advisory Council </w:t>
            </w:r>
          </w:p>
        </w:tc>
        <w:tc>
          <w:tcPr>
            <w:tcW w:w="3166" w:type="dxa"/>
            <w:vAlign w:val="center"/>
            <w:hideMark/>
          </w:tcPr>
          <w:p w14:paraId="12237854" w14:textId="77777777" w:rsidR="007873D5" w:rsidRPr="001E353D" w:rsidRDefault="007873D5" w:rsidP="00711F75">
            <w:pPr>
              <w:pStyle w:val="TableText"/>
            </w:pPr>
            <w:r w:rsidRPr="001E353D">
              <w:rPr>
                <w:bCs/>
              </w:rPr>
              <w:t>State Statute:</w:t>
            </w:r>
            <w:r w:rsidRPr="001E353D">
              <w:t> </w:t>
            </w:r>
          </w:p>
          <w:p w14:paraId="75CBE97B" w14:textId="77777777" w:rsidR="007873D5" w:rsidRPr="001E353D" w:rsidRDefault="007873D5" w:rsidP="00711F75">
            <w:pPr>
              <w:pStyle w:val="TableText"/>
            </w:pPr>
            <w:r w:rsidRPr="001E353D">
              <w:t>Labor Code §§312.001-3012.003 </w:t>
            </w:r>
          </w:p>
        </w:tc>
        <w:tc>
          <w:tcPr>
            <w:tcW w:w="3402" w:type="dxa"/>
            <w:vAlign w:val="center"/>
            <w:hideMark/>
          </w:tcPr>
          <w:p w14:paraId="2AC91204" w14:textId="77777777" w:rsidR="007873D5" w:rsidRPr="001E353D" w:rsidRDefault="007873D5" w:rsidP="00711F75">
            <w:pPr>
              <w:pStyle w:val="TableText"/>
            </w:pPr>
            <w:r w:rsidRPr="001E353D">
              <w:t>Established the industry-based certification advisory council to advise the agency regarding alignment of public high school CTE programs with current and future workforce needs</w:t>
            </w:r>
            <w:r>
              <w:t>.</w:t>
            </w:r>
          </w:p>
        </w:tc>
      </w:tr>
      <w:tr w:rsidR="007873D5" w:rsidRPr="001E353D" w14:paraId="64F527FF" w14:textId="77777777" w:rsidTr="00711F75">
        <w:trPr>
          <w:trHeight w:val="1845"/>
        </w:trPr>
        <w:tc>
          <w:tcPr>
            <w:tcW w:w="2604" w:type="dxa"/>
            <w:vAlign w:val="center"/>
            <w:hideMark/>
          </w:tcPr>
          <w:p w14:paraId="61E62994" w14:textId="77777777" w:rsidR="007873D5" w:rsidRPr="001E353D" w:rsidRDefault="007873D5" w:rsidP="00711F75">
            <w:pPr>
              <w:pStyle w:val="TableText"/>
            </w:pPr>
            <w:r w:rsidRPr="001E353D">
              <w:t>AEL Commission Duties </w:t>
            </w:r>
          </w:p>
        </w:tc>
        <w:tc>
          <w:tcPr>
            <w:tcW w:w="3166" w:type="dxa"/>
            <w:vAlign w:val="center"/>
            <w:hideMark/>
          </w:tcPr>
          <w:p w14:paraId="55D5F5E5" w14:textId="77777777" w:rsidR="007873D5" w:rsidRPr="001E353D" w:rsidRDefault="007873D5" w:rsidP="00711F75">
            <w:pPr>
              <w:pStyle w:val="TableText"/>
            </w:pPr>
            <w:r w:rsidRPr="001E353D">
              <w:rPr>
                <w:bCs/>
              </w:rPr>
              <w:t>State Statute:</w:t>
            </w:r>
            <w:r w:rsidRPr="001E353D">
              <w:t> </w:t>
            </w:r>
          </w:p>
          <w:p w14:paraId="0C4737F3" w14:textId="77777777" w:rsidR="007873D5" w:rsidRPr="001E353D" w:rsidRDefault="007873D5" w:rsidP="00711F75">
            <w:pPr>
              <w:pStyle w:val="TableText"/>
            </w:pPr>
            <w:r w:rsidRPr="001E353D">
              <w:t>Labor Code §§315.002 and 312.007 </w:t>
            </w:r>
          </w:p>
          <w:p w14:paraId="233A0C04" w14:textId="77777777" w:rsidR="007873D5" w:rsidRPr="001E353D" w:rsidRDefault="007873D5" w:rsidP="00711F75">
            <w:pPr>
              <w:pStyle w:val="TableText"/>
            </w:pPr>
            <w:r w:rsidRPr="001E353D">
              <w:t>40 TAC 805 </w:t>
            </w:r>
          </w:p>
        </w:tc>
        <w:tc>
          <w:tcPr>
            <w:tcW w:w="3402" w:type="dxa"/>
            <w:vAlign w:val="center"/>
            <w:hideMark/>
          </w:tcPr>
          <w:p w14:paraId="04EBCBC6" w14:textId="77777777" w:rsidR="007873D5" w:rsidRPr="001E353D" w:rsidRDefault="007873D5" w:rsidP="00711F75">
            <w:pPr>
              <w:pStyle w:val="TableText"/>
            </w:pPr>
            <w:r>
              <w:t xml:space="preserve">Requires the Commission to establish annual performance requirement for entities that receive money under this chapter and develop a </w:t>
            </w:r>
            <w:proofErr w:type="gramStart"/>
            <w:r>
              <w:t>performance based</w:t>
            </w:r>
            <w:proofErr w:type="gramEnd"/>
            <w:r>
              <w:t xml:space="preserve"> process to award funds to delivery AEL services.</w:t>
            </w:r>
          </w:p>
        </w:tc>
      </w:tr>
      <w:tr w:rsidR="007873D5" w:rsidRPr="001E353D" w14:paraId="66DF942C" w14:textId="77777777" w:rsidTr="00711F75">
        <w:trPr>
          <w:trHeight w:val="1845"/>
        </w:trPr>
        <w:tc>
          <w:tcPr>
            <w:tcW w:w="2604" w:type="dxa"/>
            <w:vAlign w:val="center"/>
            <w:hideMark/>
          </w:tcPr>
          <w:p w14:paraId="2C0C3CE7" w14:textId="77777777" w:rsidR="007873D5" w:rsidRPr="001E353D" w:rsidRDefault="007873D5" w:rsidP="00711F75">
            <w:pPr>
              <w:pStyle w:val="TableText"/>
            </w:pPr>
            <w:r w:rsidRPr="001E353D">
              <w:t>Adult Education Assessment </w:t>
            </w:r>
          </w:p>
        </w:tc>
        <w:tc>
          <w:tcPr>
            <w:tcW w:w="3166" w:type="dxa"/>
            <w:vAlign w:val="center"/>
            <w:hideMark/>
          </w:tcPr>
          <w:p w14:paraId="6C892688" w14:textId="77777777" w:rsidR="007873D5" w:rsidRPr="001E353D" w:rsidRDefault="007873D5" w:rsidP="00711F75">
            <w:pPr>
              <w:pStyle w:val="TableText"/>
            </w:pPr>
            <w:r w:rsidRPr="001E353D">
              <w:rPr>
                <w:bCs/>
              </w:rPr>
              <w:t>State Statute:</w:t>
            </w:r>
            <w:r w:rsidRPr="001E353D">
              <w:t> </w:t>
            </w:r>
          </w:p>
          <w:p w14:paraId="64982D95" w14:textId="77777777" w:rsidR="007873D5" w:rsidRPr="001E353D" w:rsidRDefault="007873D5" w:rsidP="00711F75">
            <w:pPr>
              <w:pStyle w:val="TableText"/>
            </w:pPr>
            <w:r w:rsidRPr="001E353D">
              <w:t>Labor Code §315.004 </w:t>
            </w:r>
          </w:p>
          <w:p w14:paraId="3D19A8D6" w14:textId="77777777" w:rsidR="007873D5" w:rsidRPr="001E353D" w:rsidRDefault="007873D5" w:rsidP="00711F75">
            <w:pPr>
              <w:pStyle w:val="TableText"/>
            </w:pPr>
            <w:r w:rsidRPr="001E353D">
              <w:t>40 TAC 805 </w:t>
            </w:r>
          </w:p>
        </w:tc>
        <w:tc>
          <w:tcPr>
            <w:tcW w:w="3402" w:type="dxa"/>
            <w:vAlign w:val="center"/>
            <w:hideMark/>
          </w:tcPr>
          <w:p w14:paraId="1C6EEF50" w14:textId="77777777" w:rsidR="007873D5" w:rsidRPr="001E353D" w:rsidRDefault="007873D5" w:rsidP="00711F75">
            <w:pPr>
              <w:pStyle w:val="TableText"/>
            </w:pPr>
            <w:r w:rsidRPr="001E353D">
              <w:t xml:space="preserve">Provides for the </w:t>
            </w:r>
            <w:r>
              <w:t>Commission</w:t>
            </w:r>
            <w:r w:rsidRPr="001E353D">
              <w:t xml:space="preserve"> along with TEA and THECB to review the standardized participant assessment</w:t>
            </w:r>
            <w:r>
              <w:t>.</w:t>
            </w:r>
          </w:p>
        </w:tc>
      </w:tr>
      <w:tr w:rsidR="007873D5" w:rsidRPr="001E353D" w14:paraId="167589F5" w14:textId="77777777" w:rsidTr="008978DC">
        <w:trPr>
          <w:trHeight w:val="300"/>
        </w:trPr>
        <w:tc>
          <w:tcPr>
            <w:tcW w:w="9172" w:type="dxa"/>
            <w:gridSpan w:val="3"/>
            <w:vAlign w:val="center"/>
            <w:hideMark/>
          </w:tcPr>
          <w:p w14:paraId="2A443A19" w14:textId="77777777" w:rsidR="007873D5" w:rsidRPr="00037937" w:rsidRDefault="007873D5" w:rsidP="008978DC">
            <w:pPr>
              <w:pStyle w:val="TableText"/>
              <w:jc w:val="center"/>
              <w:rPr>
                <w:b/>
                <w:bCs/>
              </w:rPr>
            </w:pPr>
            <w:r w:rsidRPr="00037937">
              <w:rPr>
                <w:b/>
                <w:bCs/>
              </w:rPr>
              <w:t>Local Workforce Development Boards</w:t>
            </w:r>
          </w:p>
        </w:tc>
      </w:tr>
      <w:tr w:rsidR="007873D5" w:rsidRPr="001E353D" w14:paraId="5C69B1E9" w14:textId="77777777" w:rsidTr="00711F75">
        <w:trPr>
          <w:trHeight w:val="1845"/>
        </w:trPr>
        <w:tc>
          <w:tcPr>
            <w:tcW w:w="2604" w:type="dxa"/>
            <w:vAlign w:val="center"/>
            <w:hideMark/>
          </w:tcPr>
          <w:p w14:paraId="363A2A4F" w14:textId="77777777" w:rsidR="007873D5" w:rsidRPr="001E353D" w:rsidRDefault="007873D5" w:rsidP="00711F75">
            <w:pPr>
              <w:pStyle w:val="TableText"/>
            </w:pPr>
            <w:r w:rsidRPr="001E353D">
              <w:t>Local Workforce Development Boards (LWDBs) </w:t>
            </w:r>
          </w:p>
        </w:tc>
        <w:tc>
          <w:tcPr>
            <w:tcW w:w="3166" w:type="dxa"/>
            <w:vAlign w:val="center"/>
            <w:hideMark/>
          </w:tcPr>
          <w:p w14:paraId="7075FC47" w14:textId="77777777" w:rsidR="007873D5" w:rsidRPr="001E353D" w:rsidRDefault="007873D5" w:rsidP="00711F75">
            <w:pPr>
              <w:pStyle w:val="TableText"/>
            </w:pPr>
            <w:r w:rsidRPr="001E353D">
              <w:rPr>
                <w:bCs/>
              </w:rPr>
              <w:t xml:space="preserve">State Statute: </w:t>
            </w:r>
            <w:r w:rsidRPr="001E353D">
              <w:t>Government Code §§ 2308.252 through </w:t>
            </w:r>
          </w:p>
          <w:p w14:paraId="795C18FD" w14:textId="77777777" w:rsidR="007873D5" w:rsidRPr="001E353D" w:rsidRDefault="007873D5" w:rsidP="00711F75">
            <w:pPr>
              <w:pStyle w:val="TableText"/>
            </w:pPr>
            <w:r w:rsidRPr="001E353D">
              <w:t>2308.307 </w:t>
            </w:r>
          </w:p>
          <w:p w14:paraId="5D37A303" w14:textId="77777777" w:rsidR="007873D5" w:rsidRPr="001E353D" w:rsidRDefault="007873D5" w:rsidP="00711F75">
            <w:pPr>
              <w:pStyle w:val="TableText"/>
            </w:pPr>
            <w:r w:rsidRPr="001E353D">
              <w:rPr>
                <w:bCs/>
              </w:rPr>
              <w:t>State Rule:</w:t>
            </w:r>
            <w:r w:rsidRPr="001E353D">
              <w:t> </w:t>
            </w:r>
          </w:p>
          <w:p w14:paraId="3A7582BB" w14:textId="77777777" w:rsidR="007873D5" w:rsidRPr="001E353D" w:rsidRDefault="007873D5" w:rsidP="00711F75">
            <w:pPr>
              <w:pStyle w:val="TableText"/>
            </w:pPr>
            <w:r w:rsidRPr="001E353D">
              <w:t>40 TAC Chapter 801 </w:t>
            </w:r>
          </w:p>
          <w:p w14:paraId="49251534" w14:textId="77777777" w:rsidR="007873D5" w:rsidRPr="001E353D" w:rsidRDefault="007873D5" w:rsidP="00711F75">
            <w:pPr>
              <w:pStyle w:val="TableText"/>
            </w:pPr>
            <w:r w:rsidRPr="001E353D">
              <w:rPr>
                <w:bCs/>
              </w:rPr>
              <w:t xml:space="preserve">Federal Statute: </w:t>
            </w:r>
            <w:r w:rsidRPr="001E353D">
              <w:t xml:space="preserve">29 USC §§ 3122 </w:t>
            </w:r>
            <w:r w:rsidRPr="001E353D">
              <w:rPr>
                <w:i/>
                <w:iCs/>
              </w:rPr>
              <w:t>et seq</w:t>
            </w:r>
            <w:r>
              <w:t>.</w:t>
            </w:r>
          </w:p>
          <w:p w14:paraId="2EAB3A7E" w14:textId="77777777" w:rsidR="007873D5" w:rsidRPr="001E353D" w:rsidRDefault="007873D5" w:rsidP="00711F75">
            <w:pPr>
              <w:pStyle w:val="TableText"/>
            </w:pPr>
            <w:r w:rsidRPr="001E353D">
              <w:rPr>
                <w:bCs/>
              </w:rPr>
              <w:t>Federal Regulation:</w:t>
            </w:r>
            <w:r w:rsidRPr="001E353D">
              <w:t> </w:t>
            </w:r>
          </w:p>
          <w:p w14:paraId="79EFBC00" w14:textId="77777777" w:rsidR="007873D5" w:rsidRPr="001E353D" w:rsidRDefault="007873D5" w:rsidP="00711F75">
            <w:pPr>
              <w:pStyle w:val="TableText"/>
            </w:pPr>
            <w:r w:rsidRPr="001E353D">
              <w:t>20 CFR Part 679, Subpart C </w:t>
            </w:r>
          </w:p>
        </w:tc>
        <w:tc>
          <w:tcPr>
            <w:tcW w:w="3402" w:type="dxa"/>
            <w:vAlign w:val="center"/>
            <w:hideMark/>
          </w:tcPr>
          <w:p w14:paraId="7D0C5018" w14:textId="77777777" w:rsidR="007873D5" w:rsidRPr="001E353D" w:rsidRDefault="007873D5" w:rsidP="00711F75">
            <w:pPr>
              <w:pStyle w:val="TableText"/>
            </w:pPr>
            <w:r w:rsidRPr="001E353D">
              <w:t>Provides for the creation and duties of LWDBs. Addresses LWDB membership and composition. Provides the criteria for the formation, governance and membership requirements of local boards</w:t>
            </w:r>
            <w:r>
              <w:t>.</w:t>
            </w:r>
          </w:p>
        </w:tc>
      </w:tr>
      <w:tr w:rsidR="007873D5" w:rsidRPr="001E353D" w14:paraId="135F1CD9" w14:textId="77777777" w:rsidTr="00711F75">
        <w:trPr>
          <w:trHeight w:val="3675"/>
        </w:trPr>
        <w:tc>
          <w:tcPr>
            <w:tcW w:w="2604" w:type="dxa"/>
            <w:vAlign w:val="center"/>
            <w:hideMark/>
          </w:tcPr>
          <w:p w14:paraId="5DDB27F6" w14:textId="77777777" w:rsidR="007873D5" w:rsidRPr="001E353D" w:rsidRDefault="007873D5" w:rsidP="00711F75">
            <w:pPr>
              <w:pStyle w:val="TableText"/>
            </w:pPr>
            <w:r w:rsidRPr="001E353D">
              <w:lastRenderedPageBreak/>
              <w:t>One-Stop Career Center System </w:t>
            </w:r>
          </w:p>
        </w:tc>
        <w:tc>
          <w:tcPr>
            <w:tcW w:w="3166" w:type="dxa"/>
            <w:vAlign w:val="center"/>
            <w:hideMark/>
          </w:tcPr>
          <w:p w14:paraId="3B98ECEC" w14:textId="77777777" w:rsidR="007873D5" w:rsidRPr="001E353D" w:rsidRDefault="007873D5" w:rsidP="00711F75">
            <w:pPr>
              <w:pStyle w:val="TableText"/>
            </w:pPr>
            <w:r w:rsidRPr="001E353D">
              <w:rPr>
                <w:bCs/>
              </w:rPr>
              <w:t xml:space="preserve">State Statute: </w:t>
            </w:r>
            <w:r w:rsidRPr="001E353D">
              <w:t>Government Code §§ 2308 Subchapter G; Labor Code §302.021 </w:t>
            </w:r>
          </w:p>
          <w:p w14:paraId="74C5EA6E" w14:textId="77777777" w:rsidR="007873D5" w:rsidRPr="001E353D" w:rsidRDefault="007873D5" w:rsidP="00711F75">
            <w:pPr>
              <w:pStyle w:val="TableText"/>
            </w:pPr>
            <w:r w:rsidRPr="001E353D">
              <w:rPr>
                <w:bCs/>
              </w:rPr>
              <w:t>State Rule:</w:t>
            </w:r>
            <w:r w:rsidRPr="001E353D">
              <w:t> </w:t>
            </w:r>
          </w:p>
          <w:p w14:paraId="67BF6FDA" w14:textId="77777777" w:rsidR="007873D5" w:rsidRPr="001E353D" w:rsidRDefault="007873D5" w:rsidP="00711F75">
            <w:pPr>
              <w:pStyle w:val="TableText"/>
            </w:pPr>
            <w:r w:rsidRPr="001E353D">
              <w:t>40 TAC Chapter 801 </w:t>
            </w:r>
          </w:p>
          <w:p w14:paraId="3632DBA2" w14:textId="77777777" w:rsidR="007873D5" w:rsidRPr="001E353D" w:rsidRDefault="007873D5" w:rsidP="00711F75">
            <w:pPr>
              <w:pStyle w:val="TableText"/>
            </w:pPr>
            <w:r w:rsidRPr="001E353D">
              <w:rPr>
                <w:bCs/>
              </w:rPr>
              <w:t>Federal Statute:</w:t>
            </w:r>
            <w:r w:rsidRPr="001E353D">
              <w:t> </w:t>
            </w:r>
          </w:p>
          <w:p w14:paraId="58209CBC" w14:textId="77777777" w:rsidR="007873D5" w:rsidRPr="001E353D" w:rsidRDefault="007873D5" w:rsidP="00711F75">
            <w:pPr>
              <w:pStyle w:val="TableText"/>
            </w:pPr>
            <w:r w:rsidRPr="001E353D">
              <w:t xml:space="preserve">29 USC §3151 </w:t>
            </w:r>
            <w:r w:rsidRPr="001E353D">
              <w:rPr>
                <w:i/>
                <w:iCs/>
              </w:rPr>
              <w:t>et seq</w:t>
            </w:r>
            <w:r>
              <w:t>.</w:t>
            </w:r>
          </w:p>
          <w:p w14:paraId="7629ABB0" w14:textId="77777777" w:rsidR="007873D5" w:rsidRPr="001E353D" w:rsidRDefault="007873D5" w:rsidP="00711F75">
            <w:pPr>
              <w:pStyle w:val="TableText"/>
            </w:pPr>
            <w:r w:rsidRPr="001E353D">
              <w:rPr>
                <w:bCs/>
              </w:rPr>
              <w:t>Federal Regulation:</w:t>
            </w:r>
            <w:r w:rsidRPr="001E353D">
              <w:t> </w:t>
            </w:r>
          </w:p>
          <w:p w14:paraId="37AC8582" w14:textId="77777777" w:rsidR="007873D5" w:rsidRPr="001E353D" w:rsidRDefault="007873D5" w:rsidP="00711F75">
            <w:pPr>
              <w:pStyle w:val="TableText"/>
            </w:pPr>
            <w:r w:rsidRPr="001E353D">
              <w:t>29 CFR Part 678 </w:t>
            </w:r>
          </w:p>
        </w:tc>
        <w:tc>
          <w:tcPr>
            <w:tcW w:w="3402" w:type="dxa"/>
            <w:vAlign w:val="center"/>
            <w:hideMark/>
          </w:tcPr>
          <w:p w14:paraId="708AAEC1" w14:textId="77777777" w:rsidR="007873D5" w:rsidRPr="001E353D" w:rsidRDefault="007873D5" w:rsidP="00711F75">
            <w:pPr>
              <w:pStyle w:val="TableText"/>
            </w:pPr>
            <w:r w:rsidRPr="001E353D">
              <w:t>Provides for the creation and duties of the One-Stop Career Center System. Sets forth duties of LWDBs and includes provisions for the operation of one-stop career centers. The LWDBs support the community by providing labor market information and a “one-stop for service” approach to administering the workforce development system</w:t>
            </w:r>
            <w:r>
              <w:t>.</w:t>
            </w:r>
          </w:p>
        </w:tc>
      </w:tr>
      <w:tr w:rsidR="007873D5" w:rsidRPr="001E353D" w14:paraId="42A443B6" w14:textId="77777777" w:rsidTr="00711F75">
        <w:trPr>
          <w:trHeight w:val="1260"/>
        </w:trPr>
        <w:tc>
          <w:tcPr>
            <w:tcW w:w="2604" w:type="dxa"/>
            <w:vAlign w:val="center"/>
            <w:hideMark/>
          </w:tcPr>
          <w:p w14:paraId="42E278B0" w14:textId="77777777" w:rsidR="007873D5" w:rsidRPr="001E353D" w:rsidRDefault="007873D5" w:rsidP="00711F75">
            <w:pPr>
              <w:pStyle w:val="TableText"/>
            </w:pPr>
            <w:r w:rsidRPr="001E353D">
              <w:t>Literacy Activities </w:t>
            </w:r>
          </w:p>
        </w:tc>
        <w:tc>
          <w:tcPr>
            <w:tcW w:w="3166" w:type="dxa"/>
            <w:vAlign w:val="center"/>
            <w:hideMark/>
          </w:tcPr>
          <w:p w14:paraId="053CD933" w14:textId="77777777" w:rsidR="007873D5" w:rsidRPr="001E353D" w:rsidRDefault="007873D5" w:rsidP="00711F75">
            <w:pPr>
              <w:pStyle w:val="TableText"/>
            </w:pPr>
            <w:r w:rsidRPr="001E353D">
              <w:rPr>
                <w:bCs/>
              </w:rPr>
              <w:t>State Statute:</w:t>
            </w:r>
            <w:r w:rsidRPr="001E353D">
              <w:t> </w:t>
            </w:r>
          </w:p>
          <w:p w14:paraId="0A65242A" w14:textId="77777777" w:rsidR="007873D5" w:rsidRPr="001E353D" w:rsidRDefault="007873D5" w:rsidP="00711F75">
            <w:pPr>
              <w:pStyle w:val="TableText"/>
            </w:pPr>
            <w:r w:rsidRPr="001E353D">
              <w:t>Labor Code </w:t>
            </w:r>
          </w:p>
          <w:p w14:paraId="6529204B" w14:textId="77777777" w:rsidR="007873D5" w:rsidRPr="001E353D" w:rsidRDefault="007873D5" w:rsidP="00711F75">
            <w:pPr>
              <w:pStyle w:val="TableText"/>
            </w:pPr>
            <w:r w:rsidRPr="001E353D">
              <w:t>§302.021(a)(12</w:t>
            </w:r>
            <w:proofErr w:type="gramStart"/>
            <w:r w:rsidRPr="001E353D">
              <w:t>);</w:t>
            </w:r>
            <w:proofErr w:type="gramEnd"/>
            <w:r w:rsidRPr="001E353D">
              <w:t> </w:t>
            </w:r>
          </w:p>
          <w:p w14:paraId="75C8D08F" w14:textId="77777777" w:rsidR="007873D5" w:rsidRPr="001E353D" w:rsidRDefault="007873D5" w:rsidP="00711F75">
            <w:pPr>
              <w:pStyle w:val="TableText"/>
            </w:pPr>
            <w:r w:rsidRPr="001E353D">
              <w:t>Government Code </w:t>
            </w:r>
          </w:p>
          <w:p w14:paraId="33F5ECB2" w14:textId="77777777" w:rsidR="007873D5" w:rsidRPr="001E353D" w:rsidRDefault="007873D5" w:rsidP="00711F75">
            <w:pPr>
              <w:pStyle w:val="TableText"/>
            </w:pPr>
            <w:r w:rsidRPr="001E353D">
              <w:t>§2308.1016 </w:t>
            </w:r>
          </w:p>
        </w:tc>
        <w:tc>
          <w:tcPr>
            <w:tcW w:w="3402" w:type="dxa"/>
            <w:vAlign w:val="center"/>
            <w:hideMark/>
          </w:tcPr>
          <w:p w14:paraId="7C862E1F" w14:textId="77777777" w:rsidR="007873D5" w:rsidRPr="001E353D" w:rsidRDefault="007873D5" w:rsidP="00711F75">
            <w:pPr>
              <w:pStyle w:val="TableText"/>
            </w:pPr>
            <w:r w:rsidRPr="001E353D">
              <w:t>Provides for implementation of literacy activities to provide adults with the basic skills necessary to find and retain employment. Assists literacy service providers and LWDBs with improving basic skills training for Texans. The program will be evaluated by TWIC</w:t>
            </w:r>
            <w:r>
              <w:t>.</w:t>
            </w:r>
          </w:p>
        </w:tc>
      </w:tr>
      <w:tr w:rsidR="007873D5" w:rsidRPr="001E353D" w14:paraId="51A925A6" w14:textId="77777777" w:rsidTr="00711F75">
        <w:trPr>
          <w:trHeight w:val="3435"/>
        </w:trPr>
        <w:tc>
          <w:tcPr>
            <w:tcW w:w="2604" w:type="dxa"/>
            <w:vAlign w:val="center"/>
            <w:hideMark/>
          </w:tcPr>
          <w:p w14:paraId="32C67F0D" w14:textId="77777777" w:rsidR="007873D5" w:rsidRPr="001E353D" w:rsidRDefault="007873D5" w:rsidP="00711F75">
            <w:pPr>
              <w:pStyle w:val="TableText"/>
            </w:pPr>
            <w:r w:rsidRPr="001E353D">
              <w:t>Eligible Training Provider System (ETPS) </w:t>
            </w:r>
          </w:p>
        </w:tc>
        <w:tc>
          <w:tcPr>
            <w:tcW w:w="3166" w:type="dxa"/>
            <w:vAlign w:val="center"/>
            <w:hideMark/>
          </w:tcPr>
          <w:p w14:paraId="0404D8B6" w14:textId="77777777" w:rsidR="007873D5" w:rsidRPr="001E353D" w:rsidRDefault="007873D5" w:rsidP="00711F75">
            <w:pPr>
              <w:pStyle w:val="TableText"/>
            </w:pPr>
            <w:r w:rsidRPr="001E353D">
              <w:rPr>
                <w:bCs/>
              </w:rPr>
              <w:t xml:space="preserve">State Statute: </w:t>
            </w:r>
            <w:r w:rsidRPr="001E353D">
              <w:t>Labor Code § 302.021(a)(7) </w:t>
            </w:r>
          </w:p>
          <w:p w14:paraId="48FA806E" w14:textId="77777777" w:rsidR="007873D5" w:rsidRPr="001E353D" w:rsidRDefault="007873D5" w:rsidP="00711F75">
            <w:pPr>
              <w:pStyle w:val="TableText"/>
            </w:pPr>
            <w:r w:rsidRPr="001E353D">
              <w:rPr>
                <w:bCs/>
              </w:rPr>
              <w:t>State Rule:</w:t>
            </w:r>
            <w:r w:rsidRPr="001E353D">
              <w:t> </w:t>
            </w:r>
          </w:p>
          <w:p w14:paraId="0B32DB93" w14:textId="5A015F56" w:rsidR="007873D5" w:rsidRPr="001E353D" w:rsidRDefault="007873D5" w:rsidP="00711F75">
            <w:pPr>
              <w:pStyle w:val="TableText"/>
            </w:pPr>
            <w:r w:rsidRPr="001E353D">
              <w:t>40 TAC Chapters 801 and 841 </w:t>
            </w:r>
          </w:p>
          <w:p w14:paraId="391E3BB8" w14:textId="77777777" w:rsidR="007873D5" w:rsidRPr="001E353D" w:rsidRDefault="007873D5" w:rsidP="00711F75">
            <w:pPr>
              <w:pStyle w:val="TableText"/>
            </w:pPr>
            <w:r w:rsidRPr="001E353D">
              <w:rPr>
                <w:bCs/>
              </w:rPr>
              <w:t xml:space="preserve">Federal Statute: </w:t>
            </w:r>
            <w:r w:rsidRPr="001E353D">
              <w:t xml:space="preserve">29 USC §§ 2801 </w:t>
            </w:r>
            <w:r w:rsidRPr="001E353D">
              <w:rPr>
                <w:i/>
                <w:iCs/>
              </w:rPr>
              <w:t>et seq</w:t>
            </w:r>
            <w:r>
              <w:rPr>
                <w:i/>
                <w:iCs/>
              </w:rPr>
              <w:t>.</w:t>
            </w:r>
          </w:p>
          <w:p w14:paraId="57E5C6DA" w14:textId="77777777" w:rsidR="007873D5" w:rsidRPr="001E353D" w:rsidRDefault="007873D5" w:rsidP="00711F75">
            <w:pPr>
              <w:pStyle w:val="TableText"/>
            </w:pPr>
            <w:r w:rsidRPr="001E353D">
              <w:rPr>
                <w:bCs/>
              </w:rPr>
              <w:t>Federal Regulation:</w:t>
            </w:r>
            <w:r w:rsidRPr="001E353D">
              <w:t> </w:t>
            </w:r>
          </w:p>
          <w:p w14:paraId="250A7E33" w14:textId="77777777" w:rsidR="007873D5" w:rsidRPr="001E353D" w:rsidRDefault="007873D5" w:rsidP="00711F75">
            <w:pPr>
              <w:pStyle w:val="TableText"/>
            </w:pPr>
            <w:r w:rsidRPr="001E353D">
              <w:t xml:space="preserve">20 CFR Parts 652 </w:t>
            </w:r>
            <w:r w:rsidRPr="001E353D">
              <w:rPr>
                <w:i/>
                <w:iCs/>
              </w:rPr>
              <w:t>et seq</w:t>
            </w:r>
            <w:r>
              <w:rPr>
                <w:i/>
                <w:iCs/>
              </w:rPr>
              <w:t>.</w:t>
            </w:r>
          </w:p>
        </w:tc>
        <w:tc>
          <w:tcPr>
            <w:tcW w:w="3402" w:type="dxa"/>
            <w:vAlign w:val="center"/>
            <w:hideMark/>
          </w:tcPr>
          <w:p w14:paraId="1E983EAD" w14:textId="77777777" w:rsidR="007873D5" w:rsidRPr="001E353D" w:rsidRDefault="007873D5" w:rsidP="00711F75">
            <w:pPr>
              <w:pStyle w:val="TableText"/>
            </w:pPr>
            <w:r w:rsidRPr="001E353D">
              <w:t>WIOA requires training providers to apply to a LWDB for certification to receive WIOA funds</w:t>
            </w:r>
            <w:r>
              <w:t>.</w:t>
            </w:r>
            <w:r w:rsidRPr="001E353D">
              <w:t xml:space="preserve"> The publicly accessible Statewide List of Certified Training Providers includes all training programs that are currently approved by one or more Boards and certified by </w:t>
            </w:r>
            <w:r>
              <w:t>TWC.</w:t>
            </w:r>
            <w:r w:rsidRPr="001E353D">
              <w:t xml:space="preserve"> Training Providers must submit and receive approval of a Provider Assurance Statement to obtain access to the online application system</w:t>
            </w:r>
            <w:r>
              <w:t>.</w:t>
            </w:r>
          </w:p>
        </w:tc>
      </w:tr>
      <w:tr w:rsidR="007873D5" w:rsidRPr="001E353D" w14:paraId="42EB09D6" w14:textId="77777777" w:rsidTr="00711F75">
        <w:trPr>
          <w:trHeight w:val="3435"/>
        </w:trPr>
        <w:tc>
          <w:tcPr>
            <w:tcW w:w="2604" w:type="dxa"/>
            <w:vAlign w:val="center"/>
            <w:hideMark/>
          </w:tcPr>
          <w:p w14:paraId="611630FD" w14:textId="77777777" w:rsidR="007873D5" w:rsidRPr="001E353D" w:rsidRDefault="007873D5" w:rsidP="00711F75">
            <w:pPr>
              <w:pStyle w:val="TableText"/>
            </w:pPr>
            <w:r w:rsidRPr="001E353D">
              <w:t>Block grants to LWD areas </w:t>
            </w:r>
          </w:p>
        </w:tc>
        <w:tc>
          <w:tcPr>
            <w:tcW w:w="3166" w:type="dxa"/>
            <w:vAlign w:val="center"/>
            <w:hideMark/>
          </w:tcPr>
          <w:p w14:paraId="2B623207" w14:textId="77777777" w:rsidR="007873D5" w:rsidRPr="001E353D" w:rsidRDefault="007873D5" w:rsidP="00711F75">
            <w:pPr>
              <w:pStyle w:val="TableText"/>
            </w:pPr>
            <w:r w:rsidRPr="001E353D">
              <w:rPr>
                <w:bCs/>
              </w:rPr>
              <w:t>State Statute:</w:t>
            </w:r>
            <w:r w:rsidRPr="001E353D">
              <w:t> </w:t>
            </w:r>
          </w:p>
          <w:p w14:paraId="71260165" w14:textId="77777777" w:rsidR="007873D5" w:rsidRPr="001E353D" w:rsidRDefault="007873D5" w:rsidP="00711F75">
            <w:pPr>
              <w:pStyle w:val="TableText"/>
            </w:pPr>
            <w:r w:rsidRPr="001E353D">
              <w:t>Labor Code §302.062 </w:t>
            </w:r>
          </w:p>
        </w:tc>
        <w:tc>
          <w:tcPr>
            <w:tcW w:w="3402" w:type="dxa"/>
            <w:vAlign w:val="center"/>
            <w:hideMark/>
          </w:tcPr>
          <w:p w14:paraId="5A106B23" w14:textId="77777777" w:rsidR="007873D5" w:rsidRPr="001E353D" w:rsidRDefault="007873D5" w:rsidP="00711F75">
            <w:pPr>
              <w:pStyle w:val="TableText"/>
            </w:pPr>
            <w:r w:rsidRPr="001E353D">
              <w:t>Requires the agency to provide block grant funds to LWDBs for workforce training and employment services with listed exceptions and caps on administrative costs of administering these services</w:t>
            </w:r>
            <w:r>
              <w:t>.</w:t>
            </w:r>
          </w:p>
        </w:tc>
      </w:tr>
      <w:tr w:rsidR="007873D5" w:rsidRPr="000A6309" w14:paraId="6D23AEAF" w14:textId="77777777" w:rsidTr="00711F75">
        <w:trPr>
          <w:trHeight w:val="405"/>
        </w:trPr>
        <w:tc>
          <w:tcPr>
            <w:tcW w:w="9172" w:type="dxa"/>
            <w:gridSpan w:val="3"/>
            <w:vAlign w:val="center"/>
            <w:hideMark/>
          </w:tcPr>
          <w:p w14:paraId="4DE534B4" w14:textId="747BF89D" w:rsidR="007873D5" w:rsidRPr="008978DC" w:rsidRDefault="007873D5" w:rsidP="008978DC">
            <w:pPr>
              <w:pStyle w:val="TableText"/>
              <w:jc w:val="center"/>
              <w:rPr>
                <w:b/>
              </w:rPr>
            </w:pPr>
            <w:r w:rsidRPr="008978DC">
              <w:rPr>
                <w:b/>
              </w:rPr>
              <w:lastRenderedPageBreak/>
              <w:t>Wages</w:t>
            </w:r>
          </w:p>
        </w:tc>
      </w:tr>
      <w:tr w:rsidR="007873D5" w:rsidRPr="001E353D" w14:paraId="03F1CDA8" w14:textId="77777777" w:rsidTr="00711F75">
        <w:trPr>
          <w:trHeight w:val="2985"/>
        </w:trPr>
        <w:tc>
          <w:tcPr>
            <w:tcW w:w="2604" w:type="dxa"/>
            <w:vAlign w:val="center"/>
            <w:hideMark/>
          </w:tcPr>
          <w:p w14:paraId="0CF172DA" w14:textId="77777777" w:rsidR="007873D5" w:rsidRPr="001E353D" w:rsidRDefault="007873D5" w:rsidP="00711F75">
            <w:pPr>
              <w:pStyle w:val="TableText"/>
            </w:pPr>
            <w:r w:rsidRPr="001E353D">
              <w:t>Texas Payday Law </w:t>
            </w:r>
          </w:p>
        </w:tc>
        <w:tc>
          <w:tcPr>
            <w:tcW w:w="3166" w:type="dxa"/>
            <w:vAlign w:val="center"/>
            <w:hideMark/>
          </w:tcPr>
          <w:p w14:paraId="25CFD1AA" w14:textId="77777777" w:rsidR="007873D5" w:rsidRPr="001E353D" w:rsidRDefault="007873D5" w:rsidP="00711F75">
            <w:pPr>
              <w:pStyle w:val="TableText"/>
            </w:pPr>
            <w:r w:rsidRPr="001E353D">
              <w:rPr>
                <w:bCs/>
              </w:rPr>
              <w:t>State Statute:</w:t>
            </w:r>
            <w:r w:rsidRPr="001E353D">
              <w:t> </w:t>
            </w:r>
          </w:p>
          <w:p w14:paraId="3275BACD" w14:textId="1893D384" w:rsidR="007873D5" w:rsidRPr="001E353D" w:rsidRDefault="007873D5" w:rsidP="00711F75">
            <w:pPr>
              <w:pStyle w:val="TableText"/>
            </w:pPr>
            <w:r w:rsidRPr="001E353D">
              <w:t>Labor Code § 61.001 </w:t>
            </w:r>
            <w:r w:rsidRPr="001E353D">
              <w:rPr>
                <w:i/>
                <w:iCs/>
              </w:rPr>
              <w:t>et seq.</w:t>
            </w:r>
            <w:r w:rsidRPr="001E353D">
              <w:t> </w:t>
            </w:r>
          </w:p>
          <w:p w14:paraId="698C1F4A" w14:textId="77777777" w:rsidR="007873D5" w:rsidRPr="001E353D" w:rsidRDefault="007873D5" w:rsidP="00711F75">
            <w:pPr>
              <w:pStyle w:val="TableText"/>
            </w:pPr>
            <w:r w:rsidRPr="001E353D">
              <w:rPr>
                <w:bCs/>
              </w:rPr>
              <w:t>State Rule:</w:t>
            </w:r>
            <w:r w:rsidRPr="001E353D">
              <w:t> </w:t>
            </w:r>
          </w:p>
          <w:p w14:paraId="3F994B66" w14:textId="77777777" w:rsidR="007873D5" w:rsidRPr="001E353D" w:rsidRDefault="007873D5" w:rsidP="00711F75">
            <w:pPr>
              <w:pStyle w:val="TableText"/>
            </w:pPr>
            <w:r w:rsidRPr="001E353D">
              <w:t>40 TAC Chapter 821 </w:t>
            </w:r>
          </w:p>
          <w:p w14:paraId="76EE6902" w14:textId="77777777" w:rsidR="007873D5" w:rsidRPr="001E353D" w:rsidRDefault="007873D5" w:rsidP="00711F75">
            <w:pPr>
              <w:pStyle w:val="TableText"/>
            </w:pPr>
            <w:r w:rsidRPr="001E353D">
              <w:rPr>
                <w:bCs/>
              </w:rPr>
              <w:t>Federal Statute:</w:t>
            </w:r>
            <w:r w:rsidRPr="001E353D">
              <w:t> </w:t>
            </w:r>
          </w:p>
          <w:p w14:paraId="333F7394" w14:textId="77777777" w:rsidR="007873D5" w:rsidRPr="001E353D" w:rsidRDefault="007873D5" w:rsidP="00711F75">
            <w:pPr>
              <w:pStyle w:val="TableText"/>
            </w:pPr>
            <w:r w:rsidRPr="001E353D">
              <w:t>29 USC §§ 201-219 </w:t>
            </w:r>
          </w:p>
          <w:p w14:paraId="2441C65D" w14:textId="77777777" w:rsidR="007873D5" w:rsidRPr="001E353D" w:rsidRDefault="007873D5" w:rsidP="00711F75">
            <w:pPr>
              <w:pStyle w:val="TableText"/>
            </w:pPr>
            <w:r w:rsidRPr="001E353D">
              <w:rPr>
                <w:bCs/>
              </w:rPr>
              <w:t>Federal Regulation:</w:t>
            </w:r>
            <w:r w:rsidRPr="001E353D">
              <w:t> </w:t>
            </w:r>
          </w:p>
          <w:p w14:paraId="2D6BB39A" w14:textId="62458586" w:rsidR="007873D5" w:rsidRPr="001E353D" w:rsidRDefault="007873D5" w:rsidP="00711F75">
            <w:pPr>
              <w:pStyle w:val="TableText"/>
            </w:pPr>
            <w:r w:rsidRPr="001E353D">
              <w:t>29 CFR Parts 530 - 580 </w:t>
            </w:r>
          </w:p>
        </w:tc>
        <w:tc>
          <w:tcPr>
            <w:tcW w:w="3402" w:type="dxa"/>
            <w:vAlign w:val="center"/>
            <w:hideMark/>
          </w:tcPr>
          <w:p w14:paraId="17D5E653" w14:textId="77777777" w:rsidR="007873D5" w:rsidRPr="001E353D" w:rsidRDefault="007873D5" w:rsidP="00711F75">
            <w:pPr>
              <w:pStyle w:val="TableText"/>
            </w:pPr>
            <w:r w:rsidRPr="001E353D">
              <w:t>Requires employers to pay wages to employees who are exempt from the Fair Labor Standards Act of 1938 (FLSA) overtime- pay provisions, at least once a month, on an employer- designated day. Sets forth the rights, duties and obligations of employers and employees relating to wages and provides guidance to employees on filing wage claims with TWC. Provides for an administrative and appeal process for wage claims and enforcement of Texas Payday Law</w:t>
            </w:r>
            <w:r>
              <w:t>.</w:t>
            </w:r>
          </w:p>
        </w:tc>
      </w:tr>
      <w:tr w:rsidR="007873D5" w:rsidRPr="001E353D" w14:paraId="1D6958D1" w14:textId="77777777" w:rsidTr="00711F75">
        <w:trPr>
          <w:trHeight w:val="2295"/>
        </w:trPr>
        <w:tc>
          <w:tcPr>
            <w:tcW w:w="2604" w:type="dxa"/>
            <w:vAlign w:val="center"/>
            <w:hideMark/>
          </w:tcPr>
          <w:p w14:paraId="6E6B4ECA" w14:textId="77777777" w:rsidR="007873D5" w:rsidRPr="001E353D" w:rsidRDefault="007873D5" w:rsidP="00711F75">
            <w:pPr>
              <w:pStyle w:val="TableText"/>
            </w:pPr>
            <w:r w:rsidRPr="001E353D">
              <w:t>Texas Minimum Wage Act </w:t>
            </w:r>
          </w:p>
        </w:tc>
        <w:tc>
          <w:tcPr>
            <w:tcW w:w="3166" w:type="dxa"/>
            <w:vAlign w:val="center"/>
            <w:hideMark/>
          </w:tcPr>
          <w:p w14:paraId="25BA9465" w14:textId="77777777" w:rsidR="007873D5" w:rsidRPr="001E353D" w:rsidRDefault="007873D5" w:rsidP="00711F75">
            <w:pPr>
              <w:pStyle w:val="TableText"/>
            </w:pPr>
            <w:r w:rsidRPr="001E353D">
              <w:rPr>
                <w:bCs/>
              </w:rPr>
              <w:t>State Statute:</w:t>
            </w:r>
            <w:r w:rsidRPr="001E353D">
              <w:t> </w:t>
            </w:r>
          </w:p>
          <w:p w14:paraId="01DBA7A9" w14:textId="77777777" w:rsidR="007873D5" w:rsidRPr="001E353D" w:rsidRDefault="007873D5" w:rsidP="00711F75">
            <w:pPr>
              <w:pStyle w:val="TableText"/>
            </w:pPr>
            <w:r w:rsidRPr="001E353D">
              <w:t>Labor Code §§ </w:t>
            </w:r>
          </w:p>
          <w:p w14:paraId="62BB9E03" w14:textId="77777777" w:rsidR="007873D5" w:rsidRPr="001E353D" w:rsidRDefault="007873D5" w:rsidP="00711F75">
            <w:pPr>
              <w:pStyle w:val="TableText"/>
            </w:pPr>
            <w:r w:rsidRPr="001E353D">
              <w:t xml:space="preserve">62.001 </w:t>
            </w:r>
            <w:r w:rsidRPr="001E353D">
              <w:rPr>
                <w:i/>
                <w:iCs/>
              </w:rPr>
              <w:t>et seq</w:t>
            </w:r>
            <w:r>
              <w:rPr>
                <w:i/>
                <w:iCs/>
              </w:rPr>
              <w:t>.</w:t>
            </w:r>
          </w:p>
          <w:p w14:paraId="52A9CBF5" w14:textId="77777777" w:rsidR="007873D5" w:rsidRPr="001E353D" w:rsidRDefault="007873D5" w:rsidP="00711F75">
            <w:pPr>
              <w:pStyle w:val="TableText"/>
            </w:pPr>
            <w:r w:rsidRPr="001E353D">
              <w:rPr>
                <w:bCs/>
              </w:rPr>
              <w:t>Federal Statute:</w:t>
            </w:r>
            <w:r w:rsidRPr="001E353D">
              <w:t> </w:t>
            </w:r>
          </w:p>
          <w:p w14:paraId="570251F1" w14:textId="77777777" w:rsidR="007873D5" w:rsidRPr="001E353D" w:rsidRDefault="007873D5" w:rsidP="00711F75">
            <w:pPr>
              <w:pStyle w:val="TableText"/>
            </w:pPr>
            <w:r w:rsidRPr="001E353D">
              <w:t>29 USC § 206 </w:t>
            </w:r>
          </w:p>
          <w:p w14:paraId="0F0E5F86" w14:textId="77777777" w:rsidR="007873D5" w:rsidRPr="001E353D" w:rsidRDefault="007873D5" w:rsidP="00711F75">
            <w:pPr>
              <w:pStyle w:val="TableText"/>
            </w:pPr>
            <w:r w:rsidRPr="001E353D">
              <w:rPr>
                <w:bCs/>
              </w:rPr>
              <w:t>Federal Regulation:</w:t>
            </w:r>
            <w:r w:rsidRPr="001E353D">
              <w:t> </w:t>
            </w:r>
          </w:p>
          <w:p w14:paraId="22FA5080" w14:textId="5F338288" w:rsidR="007873D5" w:rsidRPr="001E353D" w:rsidRDefault="007873D5" w:rsidP="00711F75">
            <w:pPr>
              <w:pStyle w:val="TableText"/>
            </w:pPr>
            <w:r w:rsidRPr="001E353D">
              <w:t>29 CFR Parts 510, 519, 528 and 578 </w:t>
            </w:r>
          </w:p>
        </w:tc>
        <w:tc>
          <w:tcPr>
            <w:tcW w:w="3402" w:type="dxa"/>
            <w:vAlign w:val="center"/>
            <w:hideMark/>
          </w:tcPr>
          <w:p w14:paraId="77EEF45F" w14:textId="77777777" w:rsidR="007873D5" w:rsidRPr="001E353D" w:rsidRDefault="007873D5" w:rsidP="00711F75">
            <w:pPr>
              <w:pStyle w:val="TableText"/>
            </w:pPr>
            <w:r w:rsidRPr="001E353D">
              <w:t>Requires employers to give employees a written earnings statement covering the pay period that an employee works. Requires TWC to distribute information on the Minimum Wage Law to the public. Requires employers to comply with the federal minimum wage as provided by Section 6 of FLSA</w:t>
            </w:r>
            <w:r>
              <w:t>.</w:t>
            </w:r>
          </w:p>
          <w:p w14:paraId="2521D15B" w14:textId="77777777" w:rsidR="007873D5" w:rsidRPr="001E353D" w:rsidRDefault="007873D5" w:rsidP="00711F75">
            <w:pPr>
              <w:pStyle w:val="TableText"/>
            </w:pPr>
            <w:r w:rsidRPr="001E353D">
              <w:t>Also sets forth provisions for agricultural piece-rate workers, certain employment exemptions, and applicable civil penalties for chapter violations</w:t>
            </w:r>
            <w:r>
              <w:t>.</w:t>
            </w:r>
          </w:p>
        </w:tc>
      </w:tr>
      <w:tr w:rsidR="007873D5" w:rsidRPr="001E353D" w14:paraId="62786CB1" w14:textId="77777777" w:rsidTr="00711F75">
        <w:trPr>
          <w:trHeight w:val="1950"/>
        </w:trPr>
        <w:tc>
          <w:tcPr>
            <w:tcW w:w="2604" w:type="dxa"/>
            <w:vAlign w:val="center"/>
            <w:hideMark/>
          </w:tcPr>
          <w:p w14:paraId="6D810BB6" w14:textId="77777777" w:rsidR="007873D5" w:rsidRPr="001E353D" w:rsidRDefault="007873D5" w:rsidP="00711F75">
            <w:pPr>
              <w:pStyle w:val="TableText"/>
            </w:pPr>
            <w:r w:rsidRPr="001E353D">
              <w:t>Employer Wage Withholding for Child Support Obligations and State Directory of New Hires Updating Requirements </w:t>
            </w:r>
          </w:p>
        </w:tc>
        <w:tc>
          <w:tcPr>
            <w:tcW w:w="3166" w:type="dxa"/>
            <w:vAlign w:val="center"/>
            <w:hideMark/>
          </w:tcPr>
          <w:p w14:paraId="0AAB3164" w14:textId="77777777" w:rsidR="007873D5" w:rsidRPr="001E353D" w:rsidRDefault="007873D5" w:rsidP="00711F75">
            <w:pPr>
              <w:pStyle w:val="TableText"/>
            </w:pPr>
            <w:r w:rsidRPr="001E353D">
              <w:rPr>
                <w:bCs/>
              </w:rPr>
              <w:t>State Statute:</w:t>
            </w:r>
            <w:r w:rsidRPr="001E353D">
              <w:t> </w:t>
            </w:r>
          </w:p>
          <w:p w14:paraId="64928EEF" w14:textId="77777777" w:rsidR="007873D5" w:rsidRPr="001E353D" w:rsidRDefault="007873D5" w:rsidP="00711F75">
            <w:pPr>
              <w:pStyle w:val="TableText"/>
            </w:pPr>
            <w:r w:rsidRPr="001E353D">
              <w:t>Family Code </w:t>
            </w:r>
          </w:p>
          <w:p w14:paraId="65825D35" w14:textId="77777777" w:rsidR="007873D5" w:rsidRPr="001E353D" w:rsidRDefault="007873D5" w:rsidP="00711F75">
            <w:pPr>
              <w:pStyle w:val="TableText"/>
            </w:pPr>
            <w:r w:rsidRPr="001E353D">
              <w:t>§§ 158.214, 234.102 and 234.105 </w:t>
            </w:r>
          </w:p>
        </w:tc>
        <w:tc>
          <w:tcPr>
            <w:tcW w:w="3402" w:type="dxa"/>
            <w:vAlign w:val="center"/>
            <w:hideMark/>
          </w:tcPr>
          <w:p w14:paraId="553EBA28" w14:textId="77777777" w:rsidR="007873D5" w:rsidRPr="001E353D" w:rsidRDefault="007873D5" w:rsidP="00711F75">
            <w:pPr>
              <w:pStyle w:val="TableText"/>
            </w:pPr>
            <w:r w:rsidRPr="001E353D">
              <w:t>Requires an employer who receives a writ of withholding for child support obligations to withhold from any severance pay an amount equal to what the obligor would have paid if the severance pay had been paid as the obligor's usual earnings as a current employee. Provides an administrative and a civil penalty for the failure of an employer to make reports to the state directory of new hires, as required by federal and state law</w:t>
            </w:r>
            <w:r>
              <w:t>.</w:t>
            </w:r>
          </w:p>
        </w:tc>
      </w:tr>
      <w:tr w:rsidR="007873D5" w:rsidRPr="001E353D" w14:paraId="284973B2" w14:textId="77777777" w:rsidTr="00711F75">
        <w:trPr>
          <w:trHeight w:val="1320"/>
        </w:trPr>
        <w:tc>
          <w:tcPr>
            <w:tcW w:w="2604" w:type="dxa"/>
            <w:vAlign w:val="center"/>
            <w:hideMark/>
          </w:tcPr>
          <w:p w14:paraId="40EEAC2D" w14:textId="77777777" w:rsidR="007873D5" w:rsidRPr="001E353D" w:rsidRDefault="007873D5" w:rsidP="00711F75">
            <w:pPr>
              <w:pStyle w:val="TableText"/>
            </w:pPr>
            <w:r w:rsidRPr="001E353D">
              <w:t>Prevailing Wage for Private Sector Prison Industries Program </w:t>
            </w:r>
          </w:p>
        </w:tc>
        <w:tc>
          <w:tcPr>
            <w:tcW w:w="3166" w:type="dxa"/>
            <w:vAlign w:val="center"/>
            <w:hideMark/>
          </w:tcPr>
          <w:p w14:paraId="1F500714" w14:textId="77777777" w:rsidR="007873D5" w:rsidRPr="001E353D" w:rsidRDefault="007873D5" w:rsidP="00711F75">
            <w:pPr>
              <w:pStyle w:val="TableText"/>
            </w:pPr>
            <w:r w:rsidRPr="001E353D">
              <w:rPr>
                <w:bCs/>
              </w:rPr>
              <w:t xml:space="preserve">State Statute: </w:t>
            </w:r>
            <w:r w:rsidRPr="001E353D">
              <w:t>Government Code §497.058 </w:t>
            </w:r>
          </w:p>
        </w:tc>
        <w:tc>
          <w:tcPr>
            <w:tcW w:w="3402" w:type="dxa"/>
            <w:vAlign w:val="center"/>
            <w:hideMark/>
          </w:tcPr>
          <w:p w14:paraId="5C2C3DBD" w14:textId="77777777" w:rsidR="007873D5" w:rsidRPr="001E353D" w:rsidRDefault="007873D5" w:rsidP="00711F75">
            <w:pPr>
              <w:pStyle w:val="TableText"/>
            </w:pPr>
            <w:r w:rsidRPr="001E353D">
              <w:t xml:space="preserve">Provides </w:t>
            </w:r>
            <w:proofErr w:type="gramStart"/>
            <w:r w:rsidRPr="001E353D">
              <w:t>that participants</w:t>
            </w:r>
            <w:proofErr w:type="gramEnd"/>
            <w:r w:rsidRPr="001E353D">
              <w:t xml:space="preserve"> at each private sector prison industries program be paid not less than the prison industry enhancement certification program (PIECP) wage as computed by TWC, with certain exceptions</w:t>
            </w:r>
            <w:r>
              <w:t>.</w:t>
            </w:r>
          </w:p>
        </w:tc>
      </w:tr>
      <w:tr w:rsidR="007873D5" w:rsidRPr="000A6309" w14:paraId="7EE0E04F" w14:textId="77777777" w:rsidTr="00711F75">
        <w:trPr>
          <w:trHeight w:val="390"/>
        </w:trPr>
        <w:tc>
          <w:tcPr>
            <w:tcW w:w="9172" w:type="dxa"/>
            <w:gridSpan w:val="3"/>
            <w:vAlign w:val="center"/>
            <w:hideMark/>
          </w:tcPr>
          <w:p w14:paraId="24E84D0E" w14:textId="10D8641C" w:rsidR="007873D5" w:rsidRPr="008978DC" w:rsidRDefault="007873D5" w:rsidP="008978DC">
            <w:pPr>
              <w:pStyle w:val="TableText"/>
              <w:jc w:val="center"/>
              <w:rPr>
                <w:b/>
              </w:rPr>
            </w:pPr>
            <w:r w:rsidRPr="008978DC">
              <w:rPr>
                <w:b/>
              </w:rPr>
              <w:t>Workforce Innovation and Opportunity Act</w:t>
            </w:r>
          </w:p>
        </w:tc>
      </w:tr>
      <w:tr w:rsidR="007873D5" w:rsidRPr="001E353D" w14:paraId="73C9B9F7" w14:textId="77777777" w:rsidTr="00711F75">
        <w:trPr>
          <w:trHeight w:val="1830"/>
        </w:trPr>
        <w:tc>
          <w:tcPr>
            <w:tcW w:w="2604" w:type="dxa"/>
            <w:vAlign w:val="center"/>
            <w:hideMark/>
          </w:tcPr>
          <w:p w14:paraId="140A28D1" w14:textId="77777777" w:rsidR="007873D5" w:rsidRPr="001E353D" w:rsidRDefault="007873D5" w:rsidP="00711F75">
            <w:pPr>
              <w:pStyle w:val="TableText"/>
            </w:pPr>
            <w:r w:rsidRPr="001E353D">
              <w:lastRenderedPageBreak/>
              <w:t>Wagner-Peyser Act </w:t>
            </w:r>
          </w:p>
        </w:tc>
        <w:tc>
          <w:tcPr>
            <w:tcW w:w="3166" w:type="dxa"/>
            <w:vAlign w:val="center"/>
            <w:hideMark/>
          </w:tcPr>
          <w:p w14:paraId="64CCA5FA" w14:textId="77777777" w:rsidR="007873D5" w:rsidRPr="001E353D" w:rsidRDefault="007873D5" w:rsidP="00711F75">
            <w:pPr>
              <w:pStyle w:val="TableText"/>
            </w:pPr>
            <w:r w:rsidRPr="001E353D">
              <w:rPr>
                <w:bCs/>
              </w:rPr>
              <w:t>State Statute:</w:t>
            </w:r>
            <w:r w:rsidRPr="001E353D">
              <w:t> </w:t>
            </w:r>
          </w:p>
          <w:p w14:paraId="1A084FAC" w14:textId="77777777" w:rsidR="007873D5" w:rsidRPr="001E353D" w:rsidRDefault="007873D5" w:rsidP="00711F75">
            <w:pPr>
              <w:pStyle w:val="TableText"/>
            </w:pPr>
            <w:r w:rsidRPr="001E353D">
              <w:t>Labor Code § 301.063 </w:t>
            </w:r>
          </w:p>
          <w:p w14:paraId="4BE549E2" w14:textId="77777777" w:rsidR="007873D5" w:rsidRPr="001E353D" w:rsidRDefault="007873D5" w:rsidP="00711F75">
            <w:pPr>
              <w:pStyle w:val="TableText"/>
            </w:pPr>
            <w:r w:rsidRPr="001E353D">
              <w:rPr>
                <w:bCs/>
              </w:rPr>
              <w:t>Federal Statute:</w:t>
            </w:r>
            <w:r w:rsidRPr="001E353D">
              <w:t> </w:t>
            </w:r>
          </w:p>
          <w:p w14:paraId="3650391F" w14:textId="77777777" w:rsidR="007873D5" w:rsidRPr="001E353D" w:rsidRDefault="007873D5" w:rsidP="00711F75">
            <w:pPr>
              <w:pStyle w:val="TableText"/>
            </w:pPr>
            <w:r w:rsidRPr="001E353D">
              <w:t xml:space="preserve">29 USC §§ 49 </w:t>
            </w:r>
            <w:r w:rsidRPr="001E353D">
              <w:rPr>
                <w:i/>
                <w:iCs/>
              </w:rPr>
              <w:t xml:space="preserve">et </w:t>
            </w:r>
            <w:proofErr w:type="gramStart"/>
            <w:r w:rsidRPr="001E353D">
              <w:rPr>
                <w:i/>
                <w:iCs/>
              </w:rPr>
              <w:t>seq</w:t>
            </w:r>
            <w:r w:rsidRPr="001E353D">
              <w:t>.;</w:t>
            </w:r>
            <w:proofErr w:type="gramEnd"/>
            <w:r w:rsidRPr="001E353D">
              <w:t> </w:t>
            </w:r>
          </w:p>
          <w:p w14:paraId="3EAC21D2" w14:textId="77777777" w:rsidR="007873D5" w:rsidRPr="001E353D" w:rsidRDefault="007873D5" w:rsidP="00711F75">
            <w:pPr>
              <w:pStyle w:val="TableText"/>
            </w:pPr>
            <w:r w:rsidRPr="001E353D">
              <w:t xml:space="preserve">42 USC §§ 301 </w:t>
            </w:r>
            <w:r w:rsidRPr="001E353D">
              <w:rPr>
                <w:i/>
                <w:iCs/>
              </w:rPr>
              <w:t>et seq</w:t>
            </w:r>
            <w:r>
              <w:t>.</w:t>
            </w:r>
          </w:p>
        </w:tc>
        <w:tc>
          <w:tcPr>
            <w:tcW w:w="3402" w:type="dxa"/>
            <w:vAlign w:val="center"/>
            <w:hideMark/>
          </w:tcPr>
          <w:p w14:paraId="6C9A3AAC" w14:textId="77777777" w:rsidR="007873D5" w:rsidRPr="001E353D" w:rsidRDefault="007873D5" w:rsidP="00711F75">
            <w:pPr>
              <w:pStyle w:val="TableText"/>
            </w:pPr>
            <w:r>
              <w:t>Provides that TWC shall implement the Federal Wagner-Peyser Act. TWC will cooperate with the Secretary of Labor consistent with this title, making necessary reports, complying with federal regulations and cooperating with any officials or agencies with powers or duties under the Wagner-Peyser Act. Provides TWC will work with TXDOT to deliver public transportation services to clients of eligible programs.</w:t>
            </w:r>
          </w:p>
        </w:tc>
      </w:tr>
      <w:tr w:rsidR="007873D5" w:rsidRPr="001E353D" w14:paraId="5BDF5AA3" w14:textId="77777777" w:rsidTr="00711F75">
        <w:trPr>
          <w:trHeight w:val="3210"/>
        </w:trPr>
        <w:tc>
          <w:tcPr>
            <w:tcW w:w="2604" w:type="dxa"/>
            <w:vAlign w:val="center"/>
            <w:hideMark/>
          </w:tcPr>
          <w:p w14:paraId="1CF01EB6" w14:textId="77777777" w:rsidR="007873D5" w:rsidRPr="001E353D" w:rsidRDefault="007873D5" w:rsidP="00711F75">
            <w:pPr>
              <w:pStyle w:val="TableText"/>
            </w:pPr>
            <w:r w:rsidRPr="001E353D">
              <w:t>Adult, Dislocated Worker and Youth Services </w:t>
            </w:r>
          </w:p>
        </w:tc>
        <w:tc>
          <w:tcPr>
            <w:tcW w:w="3166" w:type="dxa"/>
            <w:vAlign w:val="center"/>
            <w:hideMark/>
          </w:tcPr>
          <w:p w14:paraId="42D6E7D6" w14:textId="77777777" w:rsidR="007873D5" w:rsidRPr="001E353D" w:rsidRDefault="007873D5" w:rsidP="00711F75">
            <w:pPr>
              <w:pStyle w:val="TableText"/>
            </w:pPr>
            <w:r w:rsidRPr="001E353D">
              <w:rPr>
                <w:bCs/>
              </w:rPr>
              <w:t xml:space="preserve">State Statute: </w:t>
            </w:r>
            <w:r w:rsidRPr="001E353D">
              <w:t>Labor Code § 302.021(a)(7) </w:t>
            </w:r>
          </w:p>
          <w:p w14:paraId="4988CDAA" w14:textId="77777777" w:rsidR="007873D5" w:rsidRPr="001E353D" w:rsidRDefault="007873D5" w:rsidP="00711F75">
            <w:pPr>
              <w:pStyle w:val="TableText"/>
            </w:pPr>
            <w:r w:rsidRPr="001E353D">
              <w:rPr>
                <w:bCs/>
              </w:rPr>
              <w:t>State Rule:</w:t>
            </w:r>
            <w:r w:rsidRPr="001E353D">
              <w:t> </w:t>
            </w:r>
          </w:p>
          <w:p w14:paraId="5820CFDF" w14:textId="7A0DE7F1" w:rsidR="007873D5" w:rsidRPr="001E353D" w:rsidRDefault="007873D5" w:rsidP="00711F75">
            <w:pPr>
              <w:pStyle w:val="TableText"/>
            </w:pPr>
            <w:r w:rsidRPr="001E353D">
              <w:t>40 TAC Chapters 801 and 841 </w:t>
            </w:r>
          </w:p>
          <w:p w14:paraId="7DD38C61" w14:textId="77777777" w:rsidR="007873D5" w:rsidRPr="001E353D" w:rsidRDefault="007873D5" w:rsidP="00711F75">
            <w:pPr>
              <w:pStyle w:val="TableText"/>
            </w:pPr>
            <w:r w:rsidRPr="001E353D">
              <w:rPr>
                <w:bCs/>
              </w:rPr>
              <w:t>Federal Statute:</w:t>
            </w:r>
            <w:r w:rsidRPr="001E353D">
              <w:t> </w:t>
            </w:r>
          </w:p>
          <w:p w14:paraId="755CEF14" w14:textId="339216CD" w:rsidR="007873D5" w:rsidRPr="001E353D" w:rsidRDefault="007873D5" w:rsidP="00711F75">
            <w:pPr>
              <w:pStyle w:val="TableText"/>
            </w:pPr>
            <w:r w:rsidRPr="001E353D">
              <w:t xml:space="preserve">29 USC §§ 3161 through 3174 </w:t>
            </w:r>
            <w:r w:rsidRPr="001E353D">
              <w:rPr>
                <w:i/>
                <w:iCs/>
              </w:rPr>
              <w:t>et</w:t>
            </w:r>
            <w:r w:rsidRPr="001E353D">
              <w:t> </w:t>
            </w:r>
            <w:r w:rsidRPr="001E353D">
              <w:rPr>
                <w:i/>
                <w:iCs/>
              </w:rPr>
              <w:t>seq</w:t>
            </w:r>
            <w:r>
              <w:t>.</w:t>
            </w:r>
          </w:p>
          <w:p w14:paraId="094CBA6B" w14:textId="77777777" w:rsidR="007873D5" w:rsidRPr="001E353D" w:rsidRDefault="007873D5" w:rsidP="00711F75">
            <w:pPr>
              <w:pStyle w:val="TableText"/>
            </w:pPr>
            <w:r w:rsidRPr="001E353D">
              <w:rPr>
                <w:bCs/>
              </w:rPr>
              <w:t>Federal Regulation:</w:t>
            </w:r>
            <w:r w:rsidRPr="001E353D">
              <w:t> </w:t>
            </w:r>
          </w:p>
          <w:p w14:paraId="5F9860ED" w14:textId="77777777" w:rsidR="007873D5" w:rsidRPr="001E353D" w:rsidRDefault="007873D5" w:rsidP="00711F75">
            <w:pPr>
              <w:pStyle w:val="TableText"/>
            </w:pPr>
            <w:r w:rsidRPr="001E353D">
              <w:t>20 CFR Part 680 </w:t>
            </w:r>
          </w:p>
        </w:tc>
        <w:tc>
          <w:tcPr>
            <w:tcW w:w="3402" w:type="dxa"/>
            <w:vAlign w:val="center"/>
            <w:hideMark/>
          </w:tcPr>
          <w:p w14:paraId="73CB5DEE" w14:textId="77777777" w:rsidR="007873D5" w:rsidRPr="003E5206" w:rsidRDefault="007873D5" w:rsidP="00711F75">
            <w:pPr>
              <w:pStyle w:val="TableText"/>
              <w:rPr>
                <w:rFonts w:cs="Arial"/>
              </w:rPr>
            </w:pPr>
            <w:r w:rsidRPr="003E5206">
              <w:rPr>
                <w:rFonts w:cs="Arial"/>
                <w:color w:val="000000"/>
                <w:szCs w:val="18"/>
                <w:shd w:val="clear" w:color="auto" w:fill="FFFFFF"/>
              </w:rPr>
              <w:t xml:space="preserve">Provides that job-training programs funded </w:t>
            </w:r>
            <w:r>
              <w:rPr>
                <w:rFonts w:cs="Arial"/>
                <w:color w:val="000000"/>
                <w:szCs w:val="18"/>
                <w:shd w:val="clear" w:color="auto" w:fill="FFFFFF"/>
              </w:rPr>
              <w:t xml:space="preserve">initially </w:t>
            </w:r>
            <w:r w:rsidRPr="003E5206">
              <w:rPr>
                <w:rFonts w:cs="Arial"/>
                <w:color w:val="000000"/>
                <w:szCs w:val="18"/>
                <w:shd w:val="clear" w:color="auto" w:fill="FFFFFF"/>
              </w:rPr>
              <w:t xml:space="preserve">under the Workforce Investment Act </w:t>
            </w:r>
            <w:r>
              <w:rPr>
                <w:rFonts w:cs="Arial"/>
                <w:color w:val="000000"/>
                <w:szCs w:val="18"/>
                <w:shd w:val="clear" w:color="auto" w:fill="FFFFFF"/>
              </w:rPr>
              <w:t xml:space="preserve">of 1998 </w:t>
            </w:r>
            <w:r w:rsidRPr="003E5206">
              <w:rPr>
                <w:rFonts w:cs="Arial"/>
                <w:color w:val="000000"/>
                <w:szCs w:val="18"/>
                <w:shd w:val="clear" w:color="auto" w:fill="FFFFFF"/>
              </w:rPr>
              <w:t>(WIA)</w:t>
            </w:r>
            <w:r>
              <w:rPr>
                <w:rFonts w:cs="Arial"/>
                <w:color w:val="000000"/>
                <w:szCs w:val="18"/>
                <w:shd w:val="clear" w:color="auto" w:fill="FFFFFF"/>
              </w:rPr>
              <w:t>, superseded by the Workforce</w:t>
            </w:r>
            <w:r w:rsidRPr="003E5206">
              <w:rPr>
                <w:rFonts w:cs="Arial"/>
                <w:color w:val="000000"/>
                <w:szCs w:val="18"/>
                <w:shd w:val="clear" w:color="auto" w:fill="FFFFFF"/>
              </w:rPr>
              <w:t xml:space="preserve"> </w:t>
            </w:r>
            <w:r>
              <w:rPr>
                <w:rFonts w:cs="Arial"/>
                <w:color w:val="000000"/>
                <w:szCs w:val="18"/>
                <w:shd w:val="clear" w:color="auto" w:fill="FFFFFF"/>
              </w:rPr>
              <w:t xml:space="preserve">Innovation and Opportunity Act (WIOA) of 2014, </w:t>
            </w:r>
            <w:r w:rsidRPr="003E5206">
              <w:rPr>
                <w:rFonts w:cs="Arial"/>
                <w:color w:val="000000"/>
                <w:szCs w:val="18"/>
                <w:shd w:val="clear" w:color="auto" w:fill="FFFFFF"/>
              </w:rPr>
              <w:t xml:space="preserve">will be consolidated under TWC. Provides for the implementation of WIOA as it relates to the duties of TWC and LWDBs. Requires each board to maintain a One-Stop Service Delivery System consistent with WIOA and state law. WIOA assists adults, dislocated workers, and youth with obtaining permanent self-sustaining employment and includes rapid-response services that </w:t>
            </w:r>
            <w:proofErr w:type="gramStart"/>
            <w:r w:rsidRPr="003E5206">
              <w:rPr>
                <w:rFonts w:cs="Arial"/>
                <w:color w:val="000000"/>
                <w:szCs w:val="18"/>
                <w:shd w:val="clear" w:color="auto" w:fill="FFFFFF"/>
              </w:rPr>
              <w:t>provide assistance to</w:t>
            </w:r>
            <w:proofErr w:type="gramEnd"/>
            <w:r w:rsidRPr="003E5206">
              <w:rPr>
                <w:rFonts w:cs="Arial"/>
                <w:color w:val="000000"/>
                <w:szCs w:val="18"/>
                <w:shd w:val="clear" w:color="auto" w:fill="FFFFFF"/>
              </w:rPr>
              <w:t xml:space="preserve"> employers and workers facing company closures or downsizing.</w:t>
            </w:r>
            <w:r w:rsidRPr="003E5206">
              <w:rPr>
                <w:rFonts w:cs="Arial"/>
                <w:color w:val="000000"/>
                <w:sz w:val="20"/>
                <w:szCs w:val="20"/>
                <w:shd w:val="clear" w:color="auto" w:fill="FFFFFF"/>
              </w:rPr>
              <w:t> </w:t>
            </w:r>
          </w:p>
        </w:tc>
      </w:tr>
      <w:tr w:rsidR="007873D5" w:rsidRPr="001E353D" w14:paraId="5CEC6E01" w14:textId="77777777" w:rsidTr="00711F75">
        <w:trPr>
          <w:trHeight w:val="915"/>
        </w:trPr>
        <w:tc>
          <w:tcPr>
            <w:tcW w:w="2604" w:type="dxa"/>
            <w:vAlign w:val="center"/>
            <w:hideMark/>
          </w:tcPr>
          <w:p w14:paraId="22A4FDB4" w14:textId="77777777" w:rsidR="007873D5" w:rsidRPr="001E353D" w:rsidRDefault="007873D5" w:rsidP="00711F75">
            <w:pPr>
              <w:pStyle w:val="TableText"/>
            </w:pPr>
            <w:r w:rsidRPr="001E353D">
              <w:t>Job Corps Coordination </w:t>
            </w:r>
          </w:p>
        </w:tc>
        <w:tc>
          <w:tcPr>
            <w:tcW w:w="3166" w:type="dxa"/>
            <w:vAlign w:val="center"/>
            <w:hideMark/>
          </w:tcPr>
          <w:p w14:paraId="2EA597BE" w14:textId="77777777" w:rsidR="007873D5" w:rsidRPr="001E353D" w:rsidRDefault="007873D5" w:rsidP="00711F75">
            <w:pPr>
              <w:pStyle w:val="TableText"/>
            </w:pPr>
            <w:r w:rsidRPr="001E353D">
              <w:rPr>
                <w:bCs/>
              </w:rPr>
              <w:t>Federal Statute:</w:t>
            </w:r>
            <w:r w:rsidRPr="001E353D">
              <w:t> </w:t>
            </w:r>
          </w:p>
          <w:p w14:paraId="21BB1417" w14:textId="77777777" w:rsidR="007873D5" w:rsidRPr="001E353D" w:rsidRDefault="007873D5" w:rsidP="00711F75">
            <w:pPr>
              <w:pStyle w:val="TableText"/>
            </w:pPr>
            <w:r w:rsidRPr="001E353D">
              <w:t xml:space="preserve">29 USC §3191 </w:t>
            </w:r>
            <w:r w:rsidRPr="001E353D">
              <w:rPr>
                <w:i/>
                <w:iCs/>
              </w:rPr>
              <w:t>et</w:t>
            </w:r>
            <w:r w:rsidRPr="001E353D">
              <w:t> </w:t>
            </w:r>
            <w:r w:rsidRPr="001E353D">
              <w:rPr>
                <w:i/>
                <w:iCs/>
              </w:rPr>
              <w:t>seq</w:t>
            </w:r>
            <w:r>
              <w:rPr>
                <w:i/>
                <w:iCs/>
              </w:rPr>
              <w:t>.</w:t>
            </w:r>
          </w:p>
        </w:tc>
        <w:tc>
          <w:tcPr>
            <w:tcW w:w="3402" w:type="dxa"/>
            <w:vAlign w:val="center"/>
            <w:hideMark/>
          </w:tcPr>
          <w:p w14:paraId="20FE7573" w14:textId="77777777" w:rsidR="007873D5" w:rsidRPr="001E353D" w:rsidRDefault="007873D5" w:rsidP="00711F75">
            <w:pPr>
              <w:pStyle w:val="TableText"/>
            </w:pPr>
            <w:r w:rsidRPr="001E353D">
              <w:t>Provides for Job Corps coordination with WIOA services</w:t>
            </w:r>
            <w:r>
              <w:t>.</w:t>
            </w:r>
          </w:p>
        </w:tc>
      </w:tr>
      <w:tr w:rsidR="007873D5" w:rsidRPr="001E353D" w14:paraId="7D08040D" w14:textId="77777777" w:rsidTr="00711F75">
        <w:trPr>
          <w:trHeight w:val="1785"/>
        </w:trPr>
        <w:tc>
          <w:tcPr>
            <w:tcW w:w="2604" w:type="dxa"/>
            <w:vAlign w:val="center"/>
            <w:hideMark/>
          </w:tcPr>
          <w:p w14:paraId="75450329" w14:textId="77777777" w:rsidR="007873D5" w:rsidRPr="001E353D" w:rsidRDefault="007873D5" w:rsidP="00711F75">
            <w:pPr>
              <w:pStyle w:val="TableText"/>
            </w:pPr>
            <w:r w:rsidRPr="001E353D">
              <w:t>National Programs </w:t>
            </w:r>
          </w:p>
        </w:tc>
        <w:tc>
          <w:tcPr>
            <w:tcW w:w="3166" w:type="dxa"/>
            <w:vAlign w:val="center"/>
            <w:hideMark/>
          </w:tcPr>
          <w:p w14:paraId="73974430" w14:textId="77777777" w:rsidR="007873D5" w:rsidRPr="001E353D" w:rsidRDefault="007873D5" w:rsidP="00711F75">
            <w:pPr>
              <w:pStyle w:val="TableText"/>
            </w:pPr>
            <w:r w:rsidRPr="001E353D">
              <w:rPr>
                <w:bCs/>
              </w:rPr>
              <w:t xml:space="preserve">Federal Statute: </w:t>
            </w:r>
            <w:r w:rsidRPr="001E353D">
              <w:t xml:space="preserve">29 USC §§3221 </w:t>
            </w:r>
            <w:r w:rsidRPr="001E353D">
              <w:rPr>
                <w:i/>
                <w:iCs/>
              </w:rPr>
              <w:t>et seq</w:t>
            </w:r>
            <w:r>
              <w:t>.</w:t>
            </w:r>
          </w:p>
          <w:p w14:paraId="0D1FCEDD" w14:textId="77777777" w:rsidR="007873D5" w:rsidRPr="001E353D" w:rsidRDefault="007873D5" w:rsidP="00711F75">
            <w:pPr>
              <w:pStyle w:val="TableText"/>
            </w:pPr>
            <w:r w:rsidRPr="001E353D">
              <w:rPr>
                <w:bCs/>
              </w:rPr>
              <w:t>Federal Regulation:</w:t>
            </w:r>
            <w:r w:rsidRPr="001E353D">
              <w:t> </w:t>
            </w:r>
          </w:p>
          <w:p w14:paraId="184FBDA5" w14:textId="77777777" w:rsidR="007873D5" w:rsidRPr="001E353D" w:rsidRDefault="007873D5" w:rsidP="00711F75">
            <w:pPr>
              <w:pStyle w:val="TableText"/>
            </w:pPr>
            <w:r w:rsidRPr="001E353D">
              <w:t>20 CFR Parts 685-687 </w:t>
            </w:r>
          </w:p>
        </w:tc>
        <w:tc>
          <w:tcPr>
            <w:tcW w:w="3402" w:type="dxa"/>
            <w:vAlign w:val="center"/>
            <w:hideMark/>
          </w:tcPr>
          <w:p w14:paraId="462B0FC0" w14:textId="77777777" w:rsidR="007873D5" w:rsidRPr="001E353D" w:rsidRDefault="007873D5" w:rsidP="00711F75">
            <w:pPr>
              <w:pStyle w:val="TableText"/>
            </w:pPr>
            <w:r w:rsidRPr="001E353D">
              <w:t>Provides for the implementation of WIOA National Programs including, Migrant and Seasonal Farm Workers, Veterans and Youth Opportunity Grants, and National Emergency Grants for Dislocated Workers. In making these grants, DOL will at a minimum consult and coordinate with the state if not directly contract with TWC and local boards</w:t>
            </w:r>
            <w:r>
              <w:t>.</w:t>
            </w:r>
          </w:p>
        </w:tc>
      </w:tr>
      <w:tr w:rsidR="007873D5" w:rsidRPr="001E353D" w14:paraId="203BAB9A" w14:textId="77777777" w:rsidTr="00711F75">
        <w:trPr>
          <w:trHeight w:val="4080"/>
        </w:trPr>
        <w:tc>
          <w:tcPr>
            <w:tcW w:w="2604" w:type="dxa"/>
            <w:vAlign w:val="center"/>
            <w:hideMark/>
          </w:tcPr>
          <w:p w14:paraId="3790559E" w14:textId="77777777" w:rsidR="007873D5" w:rsidRPr="001E353D" w:rsidRDefault="007873D5" w:rsidP="00711F75">
            <w:pPr>
              <w:pStyle w:val="TableText"/>
            </w:pPr>
            <w:r w:rsidRPr="001E353D">
              <w:lastRenderedPageBreak/>
              <w:t>Adult Education and Family Literacy Act (AEFLA) </w:t>
            </w:r>
          </w:p>
        </w:tc>
        <w:tc>
          <w:tcPr>
            <w:tcW w:w="3166" w:type="dxa"/>
            <w:vAlign w:val="center"/>
            <w:hideMark/>
          </w:tcPr>
          <w:p w14:paraId="373161A5" w14:textId="77777777" w:rsidR="007873D5" w:rsidRPr="001E353D" w:rsidRDefault="007873D5" w:rsidP="00711F75">
            <w:pPr>
              <w:pStyle w:val="TableText"/>
            </w:pPr>
            <w:r w:rsidRPr="001E353D">
              <w:rPr>
                <w:bCs/>
              </w:rPr>
              <w:t xml:space="preserve">State Statute: </w:t>
            </w:r>
            <w:r w:rsidRPr="001E353D">
              <w:t>Labor Code Chapter 315 </w:t>
            </w:r>
          </w:p>
          <w:p w14:paraId="7C7BC936" w14:textId="77777777" w:rsidR="007873D5" w:rsidRPr="001E353D" w:rsidRDefault="007873D5" w:rsidP="00711F75">
            <w:pPr>
              <w:pStyle w:val="TableText"/>
            </w:pPr>
            <w:r w:rsidRPr="001E353D">
              <w:rPr>
                <w:bCs/>
              </w:rPr>
              <w:t xml:space="preserve">Federal Statute: </w:t>
            </w:r>
            <w:r w:rsidRPr="001E353D">
              <w:t>Title II of WIOA </w:t>
            </w:r>
          </w:p>
        </w:tc>
        <w:tc>
          <w:tcPr>
            <w:tcW w:w="3402" w:type="dxa"/>
            <w:vAlign w:val="center"/>
            <w:hideMark/>
          </w:tcPr>
          <w:p w14:paraId="33E30764" w14:textId="77777777" w:rsidR="007873D5" w:rsidRPr="001E353D" w:rsidRDefault="007873D5" w:rsidP="00711F75">
            <w:pPr>
              <w:pStyle w:val="TableText"/>
            </w:pPr>
            <w:r w:rsidRPr="001E353D">
              <w:t>Provides for the principal source of federal support for adult basic and literacy education programs for adults who lack basic skills, a high school diploma, or proficiency in English</w:t>
            </w:r>
            <w:r>
              <w:t>.</w:t>
            </w:r>
          </w:p>
          <w:p w14:paraId="279F5B06" w14:textId="77777777" w:rsidR="007873D5" w:rsidRPr="001E353D" w:rsidRDefault="007873D5" w:rsidP="00711F75">
            <w:pPr>
              <w:pStyle w:val="TableText"/>
            </w:pPr>
            <w:r w:rsidRPr="001E353D">
              <w:t> </w:t>
            </w:r>
          </w:p>
          <w:p w14:paraId="2773CAE6" w14:textId="77777777" w:rsidR="007873D5" w:rsidRPr="001E353D" w:rsidRDefault="007873D5" w:rsidP="00711F75">
            <w:pPr>
              <w:pStyle w:val="TableText"/>
            </w:pPr>
            <w:r w:rsidRPr="001E353D">
              <w:t>AEFLA funds are distributed by formula to states using Census data on the number of adults (ages 16 and older) in each state who lack a high school diploma and who are not enrolled in school. States must match 25</w:t>
            </w:r>
            <w:r>
              <w:t>%</w:t>
            </w:r>
            <w:r w:rsidRPr="001E353D">
              <w:t xml:space="preserve"> of the federal contribution with state or local funds. States competitively award 82.5</w:t>
            </w:r>
            <w:r>
              <w:t>%</w:t>
            </w:r>
            <w:r w:rsidRPr="001E353D">
              <w:t xml:space="preserve"> of their federal grants to local school districts, community colleges, community- and faith-based organizations, and other providers to support adult education programs. States retain 17.5</w:t>
            </w:r>
            <w:r>
              <w:t>%</w:t>
            </w:r>
            <w:r w:rsidRPr="001E353D">
              <w:t xml:space="preserve"> of the federal allocation for program improvement activities (12.5</w:t>
            </w:r>
            <w:r>
              <w:t>%</w:t>
            </w:r>
            <w:r w:rsidRPr="001E353D">
              <w:t>), such as professional development for instructors, and administrative expenses (5</w:t>
            </w:r>
            <w:r>
              <w:t>%</w:t>
            </w:r>
            <w:r w:rsidRPr="001E353D">
              <w:t>)</w:t>
            </w:r>
            <w:r>
              <w:t>.</w:t>
            </w:r>
          </w:p>
        </w:tc>
      </w:tr>
      <w:tr w:rsidR="007873D5" w:rsidRPr="001E353D" w14:paraId="3CE5F38C" w14:textId="77777777" w:rsidTr="00711F75">
        <w:trPr>
          <w:trHeight w:val="390"/>
        </w:trPr>
        <w:tc>
          <w:tcPr>
            <w:tcW w:w="9172" w:type="dxa"/>
            <w:gridSpan w:val="3"/>
            <w:vAlign w:val="center"/>
            <w:hideMark/>
          </w:tcPr>
          <w:p w14:paraId="2C3308D1" w14:textId="77777777" w:rsidR="007873D5" w:rsidRPr="00037937" w:rsidRDefault="007873D5" w:rsidP="008978DC">
            <w:pPr>
              <w:pStyle w:val="TableText"/>
              <w:jc w:val="center"/>
              <w:rPr>
                <w:b/>
                <w:bCs/>
              </w:rPr>
            </w:pPr>
            <w:r w:rsidRPr="00037937">
              <w:rPr>
                <w:b/>
                <w:bCs/>
              </w:rPr>
              <w:t>Unemployment Insurance</w:t>
            </w:r>
          </w:p>
        </w:tc>
      </w:tr>
      <w:tr w:rsidR="007873D5" w:rsidRPr="001E353D" w14:paraId="30691FD6" w14:textId="77777777" w:rsidTr="00711F75">
        <w:trPr>
          <w:trHeight w:val="3450"/>
        </w:trPr>
        <w:tc>
          <w:tcPr>
            <w:tcW w:w="2604" w:type="dxa"/>
            <w:vAlign w:val="center"/>
            <w:hideMark/>
          </w:tcPr>
          <w:p w14:paraId="5CBD0F7C" w14:textId="77777777" w:rsidR="007873D5" w:rsidRPr="001E353D" w:rsidRDefault="007873D5" w:rsidP="00711F75">
            <w:pPr>
              <w:pStyle w:val="TableText"/>
            </w:pPr>
            <w:r w:rsidRPr="001E353D">
              <w:t>Unemployment Insurance (UI) </w:t>
            </w:r>
          </w:p>
        </w:tc>
        <w:tc>
          <w:tcPr>
            <w:tcW w:w="3166" w:type="dxa"/>
            <w:vAlign w:val="center"/>
            <w:hideMark/>
          </w:tcPr>
          <w:p w14:paraId="5C07E8C7" w14:textId="77777777" w:rsidR="007873D5" w:rsidRPr="001E353D" w:rsidRDefault="007873D5" w:rsidP="00711F75">
            <w:pPr>
              <w:pStyle w:val="TableText"/>
            </w:pPr>
            <w:r w:rsidRPr="001E353D">
              <w:rPr>
                <w:bCs/>
              </w:rPr>
              <w:t>State Statute:</w:t>
            </w:r>
            <w:r w:rsidRPr="001E353D">
              <w:t> </w:t>
            </w:r>
          </w:p>
          <w:p w14:paraId="367A073D" w14:textId="77777777" w:rsidR="007873D5" w:rsidRPr="001E353D" w:rsidRDefault="007873D5" w:rsidP="00711F75">
            <w:pPr>
              <w:pStyle w:val="TableText"/>
            </w:pPr>
            <w:r w:rsidRPr="001E353D">
              <w:t>Labor Code Chapters 201 through 215 </w:t>
            </w:r>
          </w:p>
          <w:p w14:paraId="02748D0D" w14:textId="77777777" w:rsidR="007873D5" w:rsidRPr="001E353D" w:rsidRDefault="007873D5" w:rsidP="00711F75">
            <w:pPr>
              <w:pStyle w:val="TableText"/>
            </w:pPr>
            <w:r w:rsidRPr="001E353D">
              <w:rPr>
                <w:bCs/>
              </w:rPr>
              <w:t>State Rule:</w:t>
            </w:r>
            <w:r w:rsidRPr="001E353D">
              <w:t> </w:t>
            </w:r>
          </w:p>
          <w:p w14:paraId="4C53CFB0" w14:textId="77777777" w:rsidR="007873D5" w:rsidRPr="001E353D" w:rsidRDefault="007873D5" w:rsidP="00711F75">
            <w:pPr>
              <w:pStyle w:val="TableText"/>
            </w:pPr>
            <w:r w:rsidRPr="001E353D">
              <w:t>40 TAC Chapter 815 </w:t>
            </w:r>
          </w:p>
          <w:p w14:paraId="465373F9" w14:textId="77777777" w:rsidR="007873D5" w:rsidRPr="001E353D" w:rsidRDefault="007873D5" w:rsidP="00711F75">
            <w:pPr>
              <w:pStyle w:val="TableText"/>
            </w:pPr>
            <w:r w:rsidRPr="001E353D">
              <w:rPr>
                <w:bCs/>
              </w:rPr>
              <w:t>Federal Statute:</w:t>
            </w:r>
            <w:r w:rsidRPr="001E353D">
              <w:t> </w:t>
            </w:r>
          </w:p>
          <w:p w14:paraId="0A94EA8E" w14:textId="77777777" w:rsidR="007873D5" w:rsidRPr="001E353D" w:rsidRDefault="007873D5" w:rsidP="00711F75">
            <w:pPr>
              <w:pStyle w:val="TableText"/>
            </w:pPr>
            <w:r w:rsidRPr="001E353D">
              <w:t xml:space="preserve">42 USC §§ 501 </w:t>
            </w:r>
            <w:r w:rsidRPr="001E353D">
              <w:rPr>
                <w:i/>
                <w:iCs/>
              </w:rPr>
              <w:t>et seq</w:t>
            </w:r>
            <w:r w:rsidRPr="001E353D">
              <w:t xml:space="preserve">.; 26 USC §§3301 </w:t>
            </w:r>
            <w:r w:rsidRPr="001E353D">
              <w:rPr>
                <w:i/>
                <w:iCs/>
              </w:rPr>
              <w:t>et seq</w:t>
            </w:r>
            <w:r>
              <w:t>.</w:t>
            </w:r>
          </w:p>
          <w:p w14:paraId="0DF70DED" w14:textId="77777777" w:rsidR="007873D5" w:rsidRPr="001E353D" w:rsidRDefault="007873D5" w:rsidP="00711F75">
            <w:pPr>
              <w:pStyle w:val="TableText"/>
            </w:pPr>
            <w:r w:rsidRPr="001E353D">
              <w:rPr>
                <w:bCs/>
              </w:rPr>
              <w:t>Federal Regulation</w:t>
            </w:r>
            <w:r w:rsidRPr="001E353D">
              <w:t>: 20 CFR Parts 601- 650 </w:t>
            </w:r>
          </w:p>
        </w:tc>
        <w:tc>
          <w:tcPr>
            <w:tcW w:w="3402" w:type="dxa"/>
            <w:vAlign w:val="center"/>
            <w:hideMark/>
          </w:tcPr>
          <w:p w14:paraId="59DDE363" w14:textId="77777777" w:rsidR="007873D5" w:rsidRPr="001E353D" w:rsidRDefault="007873D5" w:rsidP="00711F75">
            <w:pPr>
              <w:pStyle w:val="TableText"/>
            </w:pPr>
            <w:r w:rsidRPr="001E353D">
              <w:t>Requires employers to pay taxes under the Federal Unemployment Tax Act (FUTA) and provides for administrative processing of UI under the Texas Unemployment Compensation Act (TUCA). Defines employment and certain applicable exceptions to employment. Defines wages and certain applicable exceptions to wages</w:t>
            </w:r>
            <w:r>
              <w:t>.</w:t>
            </w:r>
          </w:p>
        </w:tc>
      </w:tr>
      <w:tr w:rsidR="007873D5" w:rsidRPr="001E353D" w14:paraId="0488D3A7" w14:textId="77777777" w:rsidTr="00711F75">
        <w:trPr>
          <w:trHeight w:val="3450"/>
        </w:trPr>
        <w:tc>
          <w:tcPr>
            <w:tcW w:w="2604" w:type="dxa"/>
            <w:vAlign w:val="center"/>
            <w:hideMark/>
          </w:tcPr>
          <w:p w14:paraId="4BF72A89" w14:textId="77777777" w:rsidR="007873D5" w:rsidRPr="001E353D" w:rsidRDefault="007873D5" w:rsidP="00711F75">
            <w:pPr>
              <w:pStyle w:val="TableText"/>
            </w:pPr>
            <w:r w:rsidRPr="001E353D">
              <w:lastRenderedPageBreak/>
              <w:t>General Definitions for Employment </w:t>
            </w:r>
          </w:p>
          <w:p w14:paraId="6427A2C8" w14:textId="77777777" w:rsidR="007873D5" w:rsidRPr="001E353D" w:rsidRDefault="007873D5" w:rsidP="00711F75">
            <w:pPr>
              <w:pStyle w:val="TableText"/>
            </w:pPr>
            <w:r w:rsidRPr="001E353D">
              <w:t> </w:t>
            </w:r>
          </w:p>
        </w:tc>
        <w:tc>
          <w:tcPr>
            <w:tcW w:w="3166" w:type="dxa"/>
            <w:vAlign w:val="center"/>
            <w:hideMark/>
          </w:tcPr>
          <w:p w14:paraId="5F9CCAC4" w14:textId="77777777" w:rsidR="007873D5" w:rsidRPr="001E353D" w:rsidRDefault="007873D5" w:rsidP="00711F75">
            <w:pPr>
              <w:pStyle w:val="TableText"/>
            </w:pPr>
            <w:r w:rsidRPr="001E353D">
              <w:rPr>
                <w:bCs/>
              </w:rPr>
              <w:t>State Statute:</w:t>
            </w:r>
            <w:r w:rsidRPr="001E353D">
              <w:t> </w:t>
            </w:r>
          </w:p>
          <w:p w14:paraId="1D1BA190" w14:textId="77777777" w:rsidR="007873D5" w:rsidRPr="001E353D" w:rsidRDefault="007873D5" w:rsidP="00711F75">
            <w:pPr>
              <w:pStyle w:val="TableText"/>
            </w:pPr>
            <w:r w:rsidRPr="001E353D">
              <w:t>Labor Code §201.011; §201.021; §201.030; §201.</w:t>
            </w:r>
            <w:proofErr w:type="gramStart"/>
            <w:r w:rsidRPr="001E353D">
              <w:t>063;  §</w:t>
            </w:r>
            <w:proofErr w:type="gramEnd"/>
            <w:r w:rsidRPr="001E353D">
              <w:t>201.067 and §201.077 </w:t>
            </w:r>
          </w:p>
          <w:p w14:paraId="4811DB6B" w14:textId="77777777" w:rsidR="007873D5" w:rsidRPr="001E353D" w:rsidRDefault="007873D5" w:rsidP="00711F75">
            <w:pPr>
              <w:pStyle w:val="TableText"/>
            </w:pPr>
            <w:r w:rsidRPr="001E353D">
              <w:rPr>
                <w:bCs/>
              </w:rPr>
              <w:t>State Rule:</w:t>
            </w:r>
            <w:r w:rsidRPr="001E353D">
              <w:t> </w:t>
            </w:r>
          </w:p>
          <w:p w14:paraId="701B63FF" w14:textId="77777777" w:rsidR="007873D5" w:rsidRPr="001E353D" w:rsidRDefault="007873D5" w:rsidP="00711F75">
            <w:pPr>
              <w:pStyle w:val="TableText"/>
            </w:pPr>
            <w:r w:rsidRPr="001E353D">
              <w:t>40 TAC Chapter 815 et al. </w:t>
            </w:r>
          </w:p>
        </w:tc>
        <w:tc>
          <w:tcPr>
            <w:tcW w:w="3402" w:type="dxa"/>
            <w:vAlign w:val="center"/>
            <w:hideMark/>
          </w:tcPr>
          <w:p w14:paraId="65D81C74" w14:textId="77777777" w:rsidR="007873D5" w:rsidRPr="001E353D" w:rsidRDefault="007873D5" w:rsidP="00711F75">
            <w:pPr>
              <w:pStyle w:val="TableText"/>
            </w:pPr>
            <w:r w:rsidRPr="001E353D">
              <w:t>Provides that an “Employing unit” means a person who has employed an individual to perform services in this state. This includes a common paymaster. The definition of employer does not apply to a franchisor with respect to a franchisee or a franchisee’s employees. "Professional employer organization" means a business entity that offers professional employer services.</w:t>
            </w:r>
          </w:p>
          <w:p w14:paraId="2EC880DB" w14:textId="77777777" w:rsidR="007873D5" w:rsidRPr="001E353D" w:rsidRDefault="007873D5" w:rsidP="00711F75">
            <w:pPr>
              <w:pStyle w:val="TableText"/>
            </w:pPr>
            <w:r w:rsidRPr="001E353D">
              <w:t>Employment does not include election officials or workers if they earn less than $1,000.00 in a calendar year, or services performed by a landman. This would make these types of workers ineligible for unemployment benefits</w:t>
            </w:r>
            <w:r>
              <w:t>.</w:t>
            </w:r>
          </w:p>
          <w:p w14:paraId="5D042EEB" w14:textId="77777777" w:rsidR="007873D5" w:rsidRPr="001E353D" w:rsidRDefault="007873D5" w:rsidP="00711F75">
            <w:pPr>
              <w:pStyle w:val="TableText"/>
            </w:pPr>
            <w:r w:rsidRPr="001E353D">
              <w:t>Additionally, employment does not include services performed by individuals whose earning capacities are impaired by age, physical impairment, disability, mental illness, or injury for unemployment benefit purposes. However, “employment” may include some of these workers if they have completed training and are working for a sheltered workshop or other charitable facility</w:t>
            </w:r>
            <w:r>
              <w:t>.</w:t>
            </w:r>
          </w:p>
        </w:tc>
      </w:tr>
      <w:tr w:rsidR="007873D5" w:rsidRPr="001E353D" w14:paraId="158CF629" w14:textId="77777777" w:rsidTr="00711F75">
        <w:trPr>
          <w:trHeight w:val="1785"/>
        </w:trPr>
        <w:tc>
          <w:tcPr>
            <w:tcW w:w="2604" w:type="dxa"/>
            <w:vAlign w:val="center"/>
            <w:hideMark/>
          </w:tcPr>
          <w:p w14:paraId="102C5ED3" w14:textId="77777777" w:rsidR="007873D5" w:rsidRPr="001E353D" w:rsidRDefault="007873D5" w:rsidP="00711F75">
            <w:pPr>
              <w:pStyle w:val="TableText"/>
            </w:pPr>
            <w:r w:rsidRPr="001E353D">
              <w:t>Unemployment Compensation Act and Conformity with Federal Statutes </w:t>
            </w:r>
          </w:p>
        </w:tc>
        <w:tc>
          <w:tcPr>
            <w:tcW w:w="3166" w:type="dxa"/>
            <w:vAlign w:val="center"/>
            <w:hideMark/>
          </w:tcPr>
          <w:p w14:paraId="113E7E20" w14:textId="77777777" w:rsidR="007873D5" w:rsidRPr="001E353D" w:rsidRDefault="007873D5" w:rsidP="00711F75">
            <w:pPr>
              <w:pStyle w:val="TableText"/>
            </w:pPr>
            <w:r w:rsidRPr="001E353D">
              <w:rPr>
                <w:bCs/>
              </w:rPr>
              <w:t>State Statute:</w:t>
            </w:r>
            <w:r w:rsidRPr="001E353D">
              <w:t> </w:t>
            </w:r>
          </w:p>
          <w:p w14:paraId="25795151" w14:textId="77777777" w:rsidR="007873D5" w:rsidRPr="001E353D" w:rsidRDefault="007873D5" w:rsidP="00711F75">
            <w:pPr>
              <w:pStyle w:val="TableText"/>
            </w:pPr>
            <w:r w:rsidRPr="001E353D">
              <w:t>Labor Code </w:t>
            </w:r>
          </w:p>
          <w:p w14:paraId="3A31530A" w14:textId="77777777" w:rsidR="007873D5" w:rsidRPr="001E353D" w:rsidRDefault="007873D5" w:rsidP="00711F75">
            <w:pPr>
              <w:pStyle w:val="TableText"/>
            </w:pPr>
            <w:r w:rsidRPr="001E353D">
              <w:t>§ 201.101 </w:t>
            </w:r>
          </w:p>
        </w:tc>
        <w:tc>
          <w:tcPr>
            <w:tcW w:w="3402" w:type="dxa"/>
            <w:vAlign w:val="center"/>
            <w:hideMark/>
          </w:tcPr>
          <w:p w14:paraId="114B6C78" w14:textId="77777777" w:rsidR="007873D5" w:rsidRPr="001E353D" w:rsidRDefault="007873D5" w:rsidP="00711F75">
            <w:pPr>
              <w:pStyle w:val="TableText"/>
            </w:pPr>
            <w:r w:rsidRPr="001E353D">
              <w:t>Provides that if a provision of Section 91.044(a-1) or a provision in this subtitle does not conform with federal statute, TWC may administer Section 91.044(a-1) or this subtitle, to conform with the federal statute until there is an opportunity for the legislature to meet in session to amend the applicable law</w:t>
            </w:r>
            <w:r>
              <w:t>.</w:t>
            </w:r>
          </w:p>
        </w:tc>
      </w:tr>
      <w:tr w:rsidR="007873D5" w:rsidRPr="001E353D" w14:paraId="65EDB3DC" w14:textId="77777777" w:rsidTr="00711F75">
        <w:trPr>
          <w:trHeight w:val="2280"/>
        </w:trPr>
        <w:tc>
          <w:tcPr>
            <w:tcW w:w="2604" w:type="dxa"/>
            <w:vAlign w:val="center"/>
            <w:hideMark/>
          </w:tcPr>
          <w:p w14:paraId="5BCC5012" w14:textId="77777777" w:rsidR="007873D5" w:rsidRPr="001E353D" w:rsidRDefault="007873D5" w:rsidP="00711F75">
            <w:pPr>
              <w:pStyle w:val="TableText"/>
            </w:pPr>
            <w:r w:rsidRPr="001E353D">
              <w:t>Use of Requisitioned Funds </w:t>
            </w:r>
          </w:p>
        </w:tc>
        <w:tc>
          <w:tcPr>
            <w:tcW w:w="3166" w:type="dxa"/>
            <w:vAlign w:val="center"/>
            <w:hideMark/>
          </w:tcPr>
          <w:p w14:paraId="48289FD3" w14:textId="77777777" w:rsidR="007873D5" w:rsidRPr="001E353D" w:rsidRDefault="007873D5" w:rsidP="00711F75">
            <w:pPr>
              <w:pStyle w:val="TableText"/>
            </w:pPr>
            <w:r w:rsidRPr="001E353D">
              <w:rPr>
                <w:bCs/>
              </w:rPr>
              <w:t>State Statute:</w:t>
            </w:r>
            <w:r w:rsidRPr="001E353D">
              <w:t> </w:t>
            </w:r>
          </w:p>
          <w:p w14:paraId="598840F6" w14:textId="77777777" w:rsidR="007873D5" w:rsidRPr="001E353D" w:rsidRDefault="007873D5" w:rsidP="00711F75">
            <w:pPr>
              <w:pStyle w:val="TableText"/>
            </w:pPr>
            <w:r w:rsidRPr="001E353D">
              <w:t>Labor Code </w:t>
            </w:r>
          </w:p>
          <w:p w14:paraId="5B30F901" w14:textId="77777777" w:rsidR="007873D5" w:rsidRPr="001E353D" w:rsidRDefault="007873D5" w:rsidP="00711F75">
            <w:pPr>
              <w:pStyle w:val="TableText"/>
            </w:pPr>
            <w:r w:rsidRPr="001E353D">
              <w:t>§ 203.025 </w:t>
            </w:r>
          </w:p>
        </w:tc>
        <w:tc>
          <w:tcPr>
            <w:tcW w:w="3402" w:type="dxa"/>
            <w:vAlign w:val="center"/>
            <w:hideMark/>
          </w:tcPr>
          <w:p w14:paraId="00CD7AD3" w14:textId="77777777" w:rsidR="007873D5" w:rsidRPr="001E353D" w:rsidRDefault="007873D5" w:rsidP="00711F75">
            <w:pPr>
              <w:pStyle w:val="TableText"/>
            </w:pPr>
            <w:r w:rsidRPr="001E353D">
              <w:t xml:space="preserve">Allows TWC to expend funds, under an agreement with or waiver by the United States secretary of labor, from the state’s account in the federal trust fund for reemployment activities. TWC will provide to the legislative standing committee any evaluation reports required by the </w:t>
            </w:r>
            <w:r>
              <w:t>USDOL</w:t>
            </w:r>
            <w:r w:rsidRPr="001E353D">
              <w:t xml:space="preserve"> for a reemployment demonstrating project</w:t>
            </w:r>
            <w:r>
              <w:t>.</w:t>
            </w:r>
          </w:p>
        </w:tc>
      </w:tr>
      <w:tr w:rsidR="007873D5" w:rsidRPr="001E353D" w14:paraId="33AE3770" w14:textId="77777777" w:rsidTr="00711F75">
        <w:trPr>
          <w:trHeight w:val="3450"/>
        </w:trPr>
        <w:tc>
          <w:tcPr>
            <w:tcW w:w="2604" w:type="dxa"/>
            <w:vAlign w:val="center"/>
            <w:hideMark/>
          </w:tcPr>
          <w:p w14:paraId="6B19FC80" w14:textId="77777777" w:rsidR="007873D5" w:rsidRPr="001E353D" w:rsidRDefault="007873D5" w:rsidP="00711F75">
            <w:pPr>
              <w:pStyle w:val="TableText"/>
            </w:pPr>
            <w:r w:rsidRPr="001E353D">
              <w:lastRenderedPageBreak/>
              <w:t>Special Administration Fund; Forfeiture of Unemployment Benefits and Penalties </w:t>
            </w:r>
          </w:p>
        </w:tc>
        <w:tc>
          <w:tcPr>
            <w:tcW w:w="3166" w:type="dxa"/>
            <w:vAlign w:val="center"/>
            <w:hideMark/>
          </w:tcPr>
          <w:p w14:paraId="5EF8B049" w14:textId="77777777" w:rsidR="007873D5" w:rsidRPr="001E353D" w:rsidRDefault="007873D5" w:rsidP="00711F75">
            <w:pPr>
              <w:pStyle w:val="TableText"/>
            </w:pPr>
            <w:r w:rsidRPr="001E353D">
              <w:rPr>
                <w:bCs/>
              </w:rPr>
              <w:t>State Statute:</w:t>
            </w:r>
            <w:r w:rsidRPr="001E353D">
              <w:t> </w:t>
            </w:r>
          </w:p>
          <w:p w14:paraId="058FCF0B" w14:textId="77777777" w:rsidR="007873D5" w:rsidRPr="001E353D" w:rsidRDefault="007873D5" w:rsidP="00711F75">
            <w:pPr>
              <w:pStyle w:val="TableText"/>
            </w:pPr>
            <w:r w:rsidRPr="001E353D">
              <w:t>Labor Code </w:t>
            </w:r>
          </w:p>
          <w:p w14:paraId="79068966" w14:textId="77777777" w:rsidR="007873D5" w:rsidRPr="001E353D" w:rsidRDefault="007873D5" w:rsidP="00711F75">
            <w:pPr>
              <w:pStyle w:val="TableText"/>
            </w:pPr>
            <w:r w:rsidRPr="001E353D">
              <w:t>§203.201 and §214.003 </w:t>
            </w:r>
          </w:p>
        </w:tc>
        <w:tc>
          <w:tcPr>
            <w:tcW w:w="3402" w:type="dxa"/>
            <w:vAlign w:val="center"/>
            <w:hideMark/>
          </w:tcPr>
          <w:p w14:paraId="0AD1F4EF" w14:textId="77777777" w:rsidR="007873D5" w:rsidRPr="001E353D" w:rsidRDefault="007873D5" w:rsidP="00711F75">
            <w:pPr>
              <w:pStyle w:val="TableText"/>
            </w:pPr>
            <w:r w:rsidRPr="001E353D">
              <w:t>Provides that the special administration fund consists of all interest and penalties collected under this subtitle, other than penalties assessed under Section 214.003(a)(2), and any amounts received under any surety bond for losses sustained by the special administration fund. TWC shall require a person who willfully misrepresents a material fact and receives unemployment benefits, to pay a penalty equal to 15</w:t>
            </w:r>
            <w:r>
              <w:t>%</w:t>
            </w:r>
            <w:r w:rsidRPr="001E353D">
              <w:t xml:space="preserve"> of the improper amount received. The person will forfeit the benefits they improperly received, and the right to any remaining benefits in that same benefit year. TWC must offer the person a fair hearing before finalizing any forfeiture, cancellation of benefits, or penalty assessed</w:t>
            </w:r>
            <w:r>
              <w:t>.</w:t>
            </w:r>
          </w:p>
        </w:tc>
      </w:tr>
      <w:tr w:rsidR="007873D5" w:rsidRPr="001E353D" w14:paraId="6FA56802" w14:textId="77777777" w:rsidTr="00711F75">
        <w:trPr>
          <w:trHeight w:val="1785"/>
        </w:trPr>
        <w:tc>
          <w:tcPr>
            <w:tcW w:w="2604" w:type="dxa"/>
            <w:vAlign w:val="center"/>
            <w:hideMark/>
          </w:tcPr>
          <w:p w14:paraId="3D918985" w14:textId="77777777" w:rsidR="007873D5" w:rsidRPr="001E353D" w:rsidRDefault="007873D5" w:rsidP="00711F75">
            <w:pPr>
              <w:pStyle w:val="TableText"/>
            </w:pPr>
            <w:r w:rsidRPr="001E353D">
              <w:t>Unemployment Benefits for Victims of Family Violence and Sexual Assault  </w:t>
            </w:r>
          </w:p>
        </w:tc>
        <w:tc>
          <w:tcPr>
            <w:tcW w:w="3166" w:type="dxa"/>
            <w:vAlign w:val="center"/>
            <w:hideMark/>
          </w:tcPr>
          <w:p w14:paraId="1355983F" w14:textId="77777777" w:rsidR="007873D5" w:rsidRPr="001E353D" w:rsidRDefault="007873D5" w:rsidP="00711F75">
            <w:pPr>
              <w:pStyle w:val="TableText"/>
            </w:pPr>
            <w:r w:rsidRPr="001E353D">
              <w:rPr>
                <w:bCs/>
              </w:rPr>
              <w:t>State Statute: Labor Code</w:t>
            </w:r>
            <w:r w:rsidRPr="001E353D">
              <w:t> </w:t>
            </w:r>
          </w:p>
          <w:p w14:paraId="06C4211A" w14:textId="5C0CDF98" w:rsidR="007873D5" w:rsidRPr="001E353D" w:rsidRDefault="007873D5" w:rsidP="00711F75">
            <w:pPr>
              <w:pStyle w:val="TableText"/>
            </w:pPr>
            <w:r w:rsidRPr="001E353D">
              <w:t>§§ 204.022</w:t>
            </w:r>
            <w:r>
              <w:t>(11)</w:t>
            </w:r>
            <w:r w:rsidRPr="001E353D">
              <w:t xml:space="preserve"> and 207.046 </w:t>
            </w:r>
          </w:p>
        </w:tc>
        <w:tc>
          <w:tcPr>
            <w:tcW w:w="3402" w:type="dxa"/>
            <w:vAlign w:val="center"/>
            <w:hideMark/>
          </w:tcPr>
          <w:p w14:paraId="2D369B64" w14:textId="77777777" w:rsidR="007873D5" w:rsidRPr="001E353D" w:rsidRDefault="007873D5" w:rsidP="00711F75">
            <w:pPr>
              <w:pStyle w:val="TableText"/>
            </w:pPr>
            <w:r>
              <w:t xml:space="preserve">Authorizes an employee to use an active or recently </w:t>
            </w:r>
            <w:proofErr w:type="gramStart"/>
            <w:r>
              <w:t>issued  protective</w:t>
            </w:r>
            <w:proofErr w:type="gramEnd"/>
            <w:r>
              <w:t xml:space="preserve"> order, police record, physician’s statement or other medical documentations, or written documentation from a family violence or rape crisis center as evidence of sexual assault occurring against the employee or the employee’s immediate family for purposes of unemployment benefits.</w:t>
            </w:r>
          </w:p>
          <w:p w14:paraId="22F426F8" w14:textId="77777777" w:rsidR="007873D5" w:rsidRPr="001E353D" w:rsidRDefault="007873D5" w:rsidP="00711F75">
            <w:pPr>
              <w:pStyle w:val="TableText"/>
            </w:pPr>
            <w:r>
              <w:t>Benefits computed on benefit wage credits of an employee or former employee may not be charged to the account of an employer if the employee’s last separation from the employer’s employment before the employee’s benefit year resulted from the employee leaving the employee’s workplace to protect the employee from family violence or staling or the employee or a member of the employee’s immediate family from violence related to a sexual assault as evidenced by the documents listed above.</w:t>
            </w:r>
          </w:p>
          <w:p w14:paraId="0B87B131" w14:textId="77777777" w:rsidR="007873D5" w:rsidRPr="001E353D" w:rsidRDefault="007873D5" w:rsidP="00711F75">
            <w:pPr>
              <w:pStyle w:val="TableText"/>
            </w:pPr>
          </w:p>
        </w:tc>
      </w:tr>
      <w:tr w:rsidR="007873D5" w:rsidRPr="001E353D" w14:paraId="529DD77C" w14:textId="77777777" w:rsidTr="00711F75">
        <w:trPr>
          <w:trHeight w:val="1785"/>
        </w:trPr>
        <w:tc>
          <w:tcPr>
            <w:tcW w:w="2604" w:type="dxa"/>
            <w:vAlign w:val="center"/>
            <w:hideMark/>
          </w:tcPr>
          <w:p w14:paraId="3794124F" w14:textId="77777777" w:rsidR="007873D5" w:rsidRPr="001E353D" w:rsidRDefault="007873D5" w:rsidP="00711F75">
            <w:pPr>
              <w:pStyle w:val="TableText"/>
            </w:pPr>
            <w:r w:rsidRPr="001E353D">
              <w:t>Unemployment Compensation Contribution Tax Rate and Replenishment Ratio </w:t>
            </w:r>
          </w:p>
        </w:tc>
        <w:tc>
          <w:tcPr>
            <w:tcW w:w="3166" w:type="dxa"/>
            <w:vAlign w:val="center"/>
            <w:hideMark/>
          </w:tcPr>
          <w:p w14:paraId="468F24A9" w14:textId="77777777" w:rsidR="007873D5" w:rsidRPr="001E353D" w:rsidRDefault="007873D5" w:rsidP="00711F75">
            <w:pPr>
              <w:pStyle w:val="TableText"/>
            </w:pPr>
            <w:r w:rsidRPr="001E353D">
              <w:rPr>
                <w:bCs/>
              </w:rPr>
              <w:t>State Statute:</w:t>
            </w:r>
            <w:r w:rsidRPr="001E353D">
              <w:t> </w:t>
            </w:r>
          </w:p>
          <w:p w14:paraId="7C7E3790" w14:textId="77777777" w:rsidR="007873D5" w:rsidRPr="001E353D" w:rsidRDefault="007873D5" w:rsidP="00711F75">
            <w:pPr>
              <w:pStyle w:val="TableText"/>
            </w:pPr>
            <w:r w:rsidRPr="001E353D">
              <w:t>Labor Code </w:t>
            </w:r>
          </w:p>
          <w:p w14:paraId="11269D28" w14:textId="77777777" w:rsidR="007873D5" w:rsidRPr="001E353D" w:rsidRDefault="007873D5" w:rsidP="00711F75">
            <w:pPr>
              <w:pStyle w:val="TableText"/>
            </w:pPr>
            <w:r w:rsidRPr="001E353D">
              <w:t>§ 204.045</w:t>
            </w:r>
            <w:r>
              <w:t xml:space="preserve"> and 204.045(b)(4)</w:t>
            </w:r>
            <w:r w:rsidRPr="001E353D">
              <w:t> </w:t>
            </w:r>
          </w:p>
        </w:tc>
        <w:tc>
          <w:tcPr>
            <w:tcW w:w="3402" w:type="dxa"/>
            <w:vAlign w:val="center"/>
            <w:hideMark/>
          </w:tcPr>
          <w:p w14:paraId="1167B52A" w14:textId="77777777" w:rsidR="007873D5" w:rsidRPr="001E353D" w:rsidRDefault="007873D5" w:rsidP="00711F75">
            <w:pPr>
              <w:pStyle w:val="TableText"/>
            </w:pPr>
            <w:r w:rsidRPr="001E353D">
              <w:t xml:space="preserve">Requires TWC to compute the replenishment ratio for each calendar year. In computing the amount of the benefits charged or paid, TWC shall not include the </w:t>
            </w:r>
            <w:proofErr w:type="gramStart"/>
            <w:r w:rsidRPr="001E353D">
              <w:t>amount</w:t>
            </w:r>
            <w:proofErr w:type="gramEnd"/>
            <w:r w:rsidRPr="001E353D">
              <w:t xml:space="preserve"> of benefits paid and not effectively charged to an employer’s account as a result of an order or proclamation by the governor declaring at least 50</w:t>
            </w:r>
            <w:r>
              <w:t>%</w:t>
            </w:r>
            <w:r w:rsidRPr="001E353D">
              <w:t xml:space="preserve"> of the counties in this state to be in a state of disaster or emergency</w:t>
            </w:r>
            <w:r>
              <w:t>.</w:t>
            </w:r>
          </w:p>
        </w:tc>
      </w:tr>
      <w:tr w:rsidR="007873D5" w:rsidRPr="001E353D" w14:paraId="66A03F43" w14:textId="77777777" w:rsidTr="00711F75">
        <w:trPr>
          <w:trHeight w:val="1185"/>
        </w:trPr>
        <w:tc>
          <w:tcPr>
            <w:tcW w:w="2604" w:type="dxa"/>
            <w:vAlign w:val="center"/>
            <w:hideMark/>
          </w:tcPr>
          <w:p w14:paraId="0C6097FA" w14:textId="77777777" w:rsidR="007873D5" w:rsidRPr="001E353D" w:rsidRDefault="007873D5" w:rsidP="00711F75">
            <w:pPr>
              <w:pStyle w:val="TableText"/>
            </w:pPr>
            <w:r w:rsidRPr="001E353D">
              <w:lastRenderedPageBreak/>
              <w:t>Unemployment Compensation Fund Surplus </w:t>
            </w:r>
          </w:p>
        </w:tc>
        <w:tc>
          <w:tcPr>
            <w:tcW w:w="3166" w:type="dxa"/>
            <w:vAlign w:val="center"/>
            <w:hideMark/>
          </w:tcPr>
          <w:p w14:paraId="70B302D2" w14:textId="77777777" w:rsidR="007873D5" w:rsidRPr="001E353D" w:rsidRDefault="007873D5" w:rsidP="00711F75">
            <w:pPr>
              <w:pStyle w:val="TableText"/>
            </w:pPr>
            <w:r w:rsidRPr="001E353D">
              <w:rPr>
                <w:bCs/>
              </w:rPr>
              <w:t>State Statute:</w:t>
            </w:r>
            <w:r w:rsidRPr="001E353D">
              <w:t> </w:t>
            </w:r>
          </w:p>
          <w:p w14:paraId="1E802A8D" w14:textId="77777777" w:rsidR="007873D5" w:rsidRPr="001E353D" w:rsidRDefault="007873D5" w:rsidP="00711F75">
            <w:pPr>
              <w:pStyle w:val="TableText"/>
            </w:pPr>
            <w:r w:rsidRPr="001E353D">
              <w:t>Labor Code §203.102 and §§ 204.065 -- 204.067 </w:t>
            </w:r>
          </w:p>
        </w:tc>
        <w:tc>
          <w:tcPr>
            <w:tcW w:w="3402" w:type="dxa"/>
            <w:vAlign w:val="center"/>
            <w:hideMark/>
          </w:tcPr>
          <w:p w14:paraId="35ED2B3B" w14:textId="77777777" w:rsidR="007873D5" w:rsidRPr="001E353D" w:rsidRDefault="007873D5" w:rsidP="00711F75">
            <w:pPr>
              <w:pStyle w:val="TableText"/>
            </w:pPr>
            <w:r w:rsidRPr="001E353D">
              <w:t>Allows TWC to use surplus funds in the unemployment compensation fund under Section 204.065 to pay outstanding bond obligations or to provide surplus credit or a surplus credit rate to eligible employers</w:t>
            </w:r>
            <w:r>
              <w:t>.</w:t>
            </w:r>
          </w:p>
        </w:tc>
      </w:tr>
      <w:tr w:rsidR="007873D5" w:rsidRPr="001E353D" w14:paraId="07F6079B" w14:textId="77777777" w:rsidTr="00711F75">
        <w:trPr>
          <w:trHeight w:val="1800"/>
        </w:trPr>
        <w:tc>
          <w:tcPr>
            <w:tcW w:w="2604" w:type="dxa"/>
            <w:vAlign w:val="center"/>
            <w:hideMark/>
          </w:tcPr>
          <w:p w14:paraId="2CA7DC76" w14:textId="77777777" w:rsidR="007873D5" w:rsidRPr="001E353D" w:rsidRDefault="007873D5" w:rsidP="00711F75">
            <w:pPr>
              <w:pStyle w:val="TableText"/>
            </w:pPr>
            <w:r w:rsidRPr="001E353D">
              <w:t>Successor Employers and Transfer of Contribution Rates </w:t>
            </w:r>
          </w:p>
        </w:tc>
        <w:tc>
          <w:tcPr>
            <w:tcW w:w="3166" w:type="dxa"/>
            <w:vAlign w:val="center"/>
            <w:hideMark/>
          </w:tcPr>
          <w:p w14:paraId="3EC15CA8" w14:textId="77777777" w:rsidR="007873D5" w:rsidRPr="001E353D" w:rsidRDefault="007873D5" w:rsidP="00711F75">
            <w:pPr>
              <w:pStyle w:val="TableText"/>
            </w:pPr>
            <w:r w:rsidRPr="001E353D">
              <w:rPr>
                <w:bCs/>
              </w:rPr>
              <w:t>State Statute:</w:t>
            </w:r>
            <w:r w:rsidRPr="001E353D">
              <w:t> </w:t>
            </w:r>
          </w:p>
          <w:p w14:paraId="1B0C5EF1" w14:textId="77777777" w:rsidR="007873D5" w:rsidRPr="001E353D" w:rsidRDefault="007873D5" w:rsidP="00711F75">
            <w:pPr>
              <w:pStyle w:val="TableText"/>
            </w:pPr>
            <w:r w:rsidRPr="001E353D">
              <w:t>Labor Code </w:t>
            </w:r>
          </w:p>
          <w:p w14:paraId="44A30916" w14:textId="77777777" w:rsidR="007873D5" w:rsidRPr="001E353D" w:rsidRDefault="007873D5" w:rsidP="00711F75">
            <w:pPr>
              <w:pStyle w:val="TableText"/>
            </w:pPr>
            <w:r w:rsidRPr="001E353D">
              <w:t>§ 204.081- § 204.085 </w:t>
            </w:r>
          </w:p>
        </w:tc>
        <w:tc>
          <w:tcPr>
            <w:tcW w:w="3402" w:type="dxa"/>
            <w:vAlign w:val="center"/>
            <w:hideMark/>
          </w:tcPr>
          <w:p w14:paraId="3DA05A0C" w14:textId="77777777" w:rsidR="007873D5" w:rsidRPr="001E353D" w:rsidRDefault="007873D5" w:rsidP="00711F75">
            <w:pPr>
              <w:pStyle w:val="TableText"/>
            </w:pPr>
            <w:r w:rsidRPr="001E353D">
              <w:t>Requires TWC to determine whether successor employers should inherit the predecessor employer’s unemployment insurance rate. This will require TWC to evaluate employers in cases of partial acquisition to determine whether they have met the criteria to inherit the predecessor’s unemployment insurance experience rating</w:t>
            </w:r>
            <w:r>
              <w:t>.</w:t>
            </w:r>
          </w:p>
          <w:p w14:paraId="4BAB5C05" w14:textId="77777777" w:rsidR="007873D5" w:rsidRPr="001E353D" w:rsidRDefault="007873D5" w:rsidP="00711F75">
            <w:pPr>
              <w:pStyle w:val="TableText"/>
            </w:pPr>
            <w:r w:rsidRPr="001E353D">
              <w:t>“Substantially common ownership” does not exist solely because the predecessor employer has the right to repossess the part acquired by the successor employer in the event of the successor’s failure to complete a condition of the acquisition</w:t>
            </w:r>
            <w:r>
              <w:t>.</w:t>
            </w:r>
          </w:p>
        </w:tc>
      </w:tr>
      <w:tr w:rsidR="007873D5" w:rsidRPr="001E353D" w14:paraId="04626D74" w14:textId="77777777" w:rsidTr="00711F75">
        <w:trPr>
          <w:trHeight w:val="1365"/>
        </w:trPr>
        <w:tc>
          <w:tcPr>
            <w:tcW w:w="2604" w:type="dxa"/>
            <w:vAlign w:val="center"/>
            <w:hideMark/>
          </w:tcPr>
          <w:p w14:paraId="048E8C58" w14:textId="77777777" w:rsidR="007873D5" w:rsidRPr="001E353D" w:rsidRDefault="007873D5" w:rsidP="00711F75">
            <w:pPr>
              <w:pStyle w:val="TableText"/>
            </w:pPr>
            <w:r w:rsidRPr="001E353D">
              <w:t>Unemployment Benefit Reimbursements </w:t>
            </w:r>
          </w:p>
        </w:tc>
        <w:tc>
          <w:tcPr>
            <w:tcW w:w="3166" w:type="dxa"/>
            <w:vAlign w:val="center"/>
            <w:hideMark/>
          </w:tcPr>
          <w:p w14:paraId="6BAAC6EF" w14:textId="77777777" w:rsidR="007873D5" w:rsidRPr="001E353D" w:rsidRDefault="007873D5" w:rsidP="00711F75">
            <w:pPr>
              <w:pStyle w:val="TableText"/>
            </w:pPr>
            <w:r w:rsidRPr="001E353D">
              <w:rPr>
                <w:bCs/>
              </w:rPr>
              <w:t>State Statute:</w:t>
            </w:r>
            <w:r w:rsidRPr="001E353D">
              <w:t> </w:t>
            </w:r>
          </w:p>
          <w:p w14:paraId="119EBD28" w14:textId="77777777" w:rsidR="007873D5" w:rsidRPr="001E353D" w:rsidRDefault="007873D5" w:rsidP="00711F75">
            <w:pPr>
              <w:pStyle w:val="TableText"/>
            </w:pPr>
            <w:r w:rsidRPr="001E353D">
              <w:t>Labor Code </w:t>
            </w:r>
          </w:p>
          <w:p w14:paraId="11CB649A" w14:textId="77777777" w:rsidR="007873D5" w:rsidRPr="001E353D" w:rsidRDefault="007873D5" w:rsidP="00711F75">
            <w:pPr>
              <w:pStyle w:val="TableText"/>
            </w:pPr>
            <w:r w:rsidRPr="001E353D">
              <w:t>§ 205.0125; §205.013; §205.019 </w:t>
            </w:r>
          </w:p>
        </w:tc>
        <w:tc>
          <w:tcPr>
            <w:tcW w:w="3402" w:type="dxa"/>
            <w:vAlign w:val="center"/>
            <w:hideMark/>
          </w:tcPr>
          <w:p w14:paraId="42DF1CD8" w14:textId="77777777" w:rsidR="007873D5" w:rsidRPr="001E353D" w:rsidRDefault="007873D5" w:rsidP="00711F75">
            <w:pPr>
              <w:pStyle w:val="TableText"/>
            </w:pPr>
            <w:r>
              <w:t>Provides TWC authority related to billing and collection of unemployment benefit reimbursements. TWC is required to determine when employers qualify for exceptions to reimbursements, calculate bills reimbursing employers owe for benefits paid, and collect reimbursements for non-treasury funds.</w:t>
            </w:r>
          </w:p>
        </w:tc>
      </w:tr>
      <w:tr w:rsidR="007873D5" w:rsidRPr="001E353D" w14:paraId="6B8AB8BA" w14:textId="77777777" w:rsidTr="00711F75">
        <w:trPr>
          <w:trHeight w:val="1425"/>
        </w:trPr>
        <w:tc>
          <w:tcPr>
            <w:tcW w:w="2604" w:type="dxa"/>
            <w:vAlign w:val="center"/>
            <w:hideMark/>
          </w:tcPr>
          <w:p w14:paraId="4F0DAC98" w14:textId="77777777" w:rsidR="007873D5" w:rsidRPr="001E353D" w:rsidRDefault="007873D5" w:rsidP="00711F75">
            <w:pPr>
              <w:pStyle w:val="TableText"/>
            </w:pPr>
            <w:r w:rsidRPr="001E353D">
              <w:t>Unemployment Compensation Benefit Wage Credits and Confidentiality </w:t>
            </w:r>
          </w:p>
        </w:tc>
        <w:tc>
          <w:tcPr>
            <w:tcW w:w="3166" w:type="dxa"/>
            <w:vAlign w:val="center"/>
            <w:hideMark/>
          </w:tcPr>
          <w:p w14:paraId="5AA31890" w14:textId="77777777" w:rsidR="007873D5" w:rsidRPr="001E353D" w:rsidRDefault="007873D5" w:rsidP="00711F75">
            <w:pPr>
              <w:pStyle w:val="TableText"/>
            </w:pPr>
            <w:r w:rsidRPr="001E353D">
              <w:rPr>
                <w:bCs/>
              </w:rPr>
              <w:t>State Statute:</w:t>
            </w:r>
            <w:r w:rsidRPr="001E353D">
              <w:t>  </w:t>
            </w:r>
          </w:p>
          <w:p w14:paraId="3DF221E2" w14:textId="77777777" w:rsidR="007873D5" w:rsidRPr="001E353D" w:rsidRDefault="007873D5" w:rsidP="00711F75">
            <w:pPr>
              <w:pStyle w:val="TableText"/>
            </w:pPr>
            <w:r w:rsidRPr="001E353D">
              <w:t>Labor Code §§ 207.002, 207.004, 301.081 and 301.085 </w:t>
            </w:r>
          </w:p>
        </w:tc>
        <w:tc>
          <w:tcPr>
            <w:tcW w:w="3402" w:type="dxa"/>
            <w:vAlign w:val="center"/>
            <w:hideMark/>
          </w:tcPr>
          <w:p w14:paraId="0D0A9F37" w14:textId="77777777" w:rsidR="007873D5" w:rsidRPr="001E353D" w:rsidRDefault="007873D5" w:rsidP="00711F75">
            <w:pPr>
              <w:pStyle w:val="TableText"/>
            </w:pPr>
            <w:r w:rsidRPr="001E353D">
              <w:t>Allows TWC to count wages owed as benefit wage credits in the individual's base period of employment even if payment of those wages has not yet been made. Conforms state law to federal unemployment compensation confidentiality regulations</w:t>
            </w:r>
            <w:r>
              <w:t>.</w:t>
            </w:r>
          </w:p>
        </w:tc>
      </w:tr>
      <w:tr w:rsidR="007873D5" w:rsidRPr="001E353D" w14:paraId="78C51DE6" w14:textId="77777777" w:rsidTr="00711F75">
        <w:trPr>
          <w:trHeight w:val="1395"/>
        </w:trPr>
        <w:tc>
          <w:tcPr>
            <w:tcW w:w="2604" w:type="dxa"/>
            <w:vAlign w:val="center"/>
            <w:hideMark/>
          </w:tcPr>
          <w:p w14:paraId="43DD96CE" w14:textId="77777777" w:rsidR="007873D5" w:rsidRPr="001E353D" w:rsidRDefault="007873D5" w:rsidP="00711F75">
            <w:pPr>
              <w:pStyle w:val="TableText"/>
            </w:pPr>
            <w:r w:rsidRPr="001E353D">
              <w:t>Eligibility Conditions for Unemployment Compensation Benefits </w:t>
            </w:r>
          </w:p>
          <w:p w14:paraId="26EF3195" w14:textId="77777777" w:rsidR="007873D5" w:rsidRPr="001E353D" w:rsidRDefault="007873D5" w:rsidP="00711F75">
            <w:pPr>
              <w:pStyle w:val="TableText"/>
            </w:pPr>
            <w:r w:rsidRPr="001E353D">
              <w:t> </w:t>
            </w:r>
          </w:p>
        </w:tc>
        <w:tc>
          <w:tcPr>
            <w:tcW w:w="3166" w:type="dxa"/>
            <w:vAlign w:val="center"/>
            <w:hideMark/>
          </w:tcPr>
          <w:p w14:paraId="414DE550" w14:textId="77777777" w:rsidR="007873D5" w:rsidRPr="001E353D" w:rsidRDefault="007873D5" w:rsidP="00711F75">
            <w:pPr>
              <w:pStyle w:val="TableText"/>
            </w:pPr>
            <w:r w:rsidRPr="001E353D">
              <w:rPr>
                <w:bCs/>
              </w:rPr>
              <w:t>State Statute:</w:t>
            </w:r>
            <w:r w:rsidRPr="001E353D">
              <w:t> </w:t>
            </w:r>
          </w:p>
          <w:p w14:paraId="64631324" w14:textId="77777777" w:rsidR="007873D5" w:rsidRPr="001E353D" w:rsidRDefault="007873D5" w:rsidP="00711F75">
            <w:pPr>
              <w:pStyle w:val="TableText"/>
            </w:pPr>
            <w:r w:rsidRPr="001E353D">
              <w:t>Labor Code </w:t>
            </w:r>
          </w:p>
          <w:p w14:paraId="47E22731" w14:textId="77777777" w:rsidR="007873D5" w:rsidRPr="001E353D" w:rsidRDefault="007873D5" w:rsidP="00711F75">
            <w:pPr>
              <w:pStyle w:val="TableText"/>
            </w:pPr>
            <w:r w:rsidRPr="001E353D">
              <w:t>§ 207.021; § 207.026</w:t>
            </w:r>
          </w:p>
        </w:tc>
        <w:tc>
          <w:tcPr>
            <w:tcW w:w="3402" w:type="dxa"/>
            <w:vAlign w:val="center"/>
            <w:hideMark/>
          </w:tcPr>
          <w:p w14:paraId="4A0657D8" w14:textId="77777777" w:rsidR="007873D5" w:rsidRPr="001E353D" w:rsidRDefault="007873D5" w:rsidP="00711F75">
            <w:pPr>
              <w:pStyle w:val="TableText"/>
            </w:pPr>
            <w:r w:rsidRPr="001E353D">
              <w:t>Provides eligibility conditions that an individual must meet to receive unemployment benefits</w:t>
            </w:r>
            <w:r>
              <w:t>.</w:t>
            </w:r>
          </w:p>
          <w:p w14:paraId="7064D986" w14:textId="77777777" w:rsidR="007873D5" w:rsidRPr="001E353D" w:rsidRDefault="007873D5" w:rsidP="00711F75">
            <w:pPr>
              <w:pStyle w:val="TableText"/>
            </w:pPr>
            <w:r w:rsidRPr="001E353D">
              <w:t>TWC is authorized to adopt rules that determine how an individual is actively seeking work</w:t>
            </w:r>
            <w:r>
              <w:t>.</w:t>
            </w:r>
          </w:p>
          <w:p w14:paraId="67F9E4A3" w14:textId="77777777" w:rsidR="007873D5" w:rsidRPr="001E353D" w:rsidRDefault="007873D5" w:rsidP="00711F75">
            <w:pPr>
              <w:pStyle w:val="TableText"/>
            </w:pPr>
            <w:r w:rsidRPr="001E353D">
              <w:t xml:space="preserve">Requiring TWC to adopt a drug screening and testing program as part of the requirements for the receipt of benefits. Drug screening or testing is a condition to receive unemployment benefits for certain individuals. </w:t>
            </w:r>
          </w:p>
        </w:tc>
      </w:tr>
      <w:tr w:rsidR="007873D5" w:rsidRPr="001E353D" w14:paraId="6B9B96B9" w14:textId="77777777" w:rsidTr="00711F75">
        <w:trPr>
          <w:trHeight w:val="1395"/>
        </w:trPr>
        <w:tc>
          <w:tcPr>
            <w:tcW w:w="2604" w:type="dxa"/>
            <w:vAlign w:val="center"/>
            <w:hideMark/>
          </w:tcPr>
          <w:p w14:paraId="3D18F4D8" w14:textId="77777777" w:rsidR="007873D5" w:rsidRPr="001E353D" w:rsidRDefault="007873D5" w:rsidP="00711F75">
            <w:pPr>
              <w:pStyle w:val="TableText"/>
            </w:pPr>
            <w:r w:rsidRPr="001E353D">
              <w:lastRenderedPageBreak/>
              <w:t>Disqualification of Unemployment Benefits</w:t>
            </w:r>
          </w:p>
        </w:tc>
        <w:tc>
          <w:tcPr>
            <w:tcW w:w="3166" w:type="dxa"/>
            <w:vAlign w:val="center"/>
            <w:hideMark/>
          </w:tcPr>
          <w:p w14:paraId="0175D8B7" w14:textId="77777777" w:rsidR="007873D5" w:rsidRPr="001E353D" w:rsidRDefault="007873D5" w:rsidP="00711F75">
            <w:pPr>
              <w:pStyle w:val="TableText"/>
            </w:pPr>
            <w:r w:rsidRPr="001E353D">
              <w:rPr>
                <w:bCs/>
              </w:rPr>
              <w:t>State Statute:</w:t>
            </w:r>
            <w:r w:rsidRPr="001E353D">
              <w:t> </w:t>
            </w:r>
          </w:p>
          <w:p w14:paraId="21079A95" w14:textId="77777777" w:rsidR="007873D5" w:rsidRPr="001E353D" w:rsidRDefault="007873D5" w:rsidP="00711F75">
            <w:pPr>
              <w:pStyle w:val="TableText"/>
            </w:pPr>
            <w:r w:rsidRPr="001E353D">
              <w:rPr>
                <w:bCs/>
              </w:rPr>
              <w:t>Labor Code</w:t>
            </w:r>
            <w:r w:rsidRPr="001E353D">
              <w:t> </w:t>
            </w:r>
          </w:p>
          <w:p w14:paraId="1C6642EA" w14:textId="1CEDE651" w:rsidR="007873D5" w:rsidRPr="001E353D" w:rsidRDefault="007873D5" w:rsidP="00711F75">
            <w:pPr>
              <w:pStyle w:val="TableText"/>
            </w:pPr>
            <w:r>
              <w:rPr>
                <w:rFonts w:cs="Arial"/>
              </w:rPr>
              <w:t>§</w:t>
            </w:r>
            <w:r>
              <w:t>207.044 (a)</w:t>
            </w:r>
            <w:r w:rsidR="00DA4820">
              <w:t xml:space="preserve">, </w:t>
            </w:r>
            <w:r w:rsidRPr="001E353D">
              <w:t>§ 207.045 </w:t>
            </w:r>
            <w:r>
              <w:t>(a), 207.047</w:t>
            </w:r>
          </w:p>
        </w:tc>
        <w:tc>
          <w:tcPr>
            <w:tcW w:w="3402" w:type="dxa"/>
            <w:vAlign w:val="center"/>
            <w:hideMark/>
          </w:tcPr>
          <w:p w14:paraId="1A21CE99" w14:textId="77777777" w:rsidR="007873D5" w:rsidRPr="001E353D" w:rsidRDefault="007873D5" w:rsidP="00711F75">
            <w:pPr>
              <w:pStyle w:val="TableText"/>
            </w:pPr>
            <w:r w:rsidRPr="001E353D">
              <w:t xml:space="preserve">Provides that an individual who </w:t>
            </w:r>
            <w:r>
              <w:t xml:space="preserve">is discharged from work for misconduct connected with the last work or </w:t>
            </w:r>
            <w:r w:rsidRPr="001E353D">
              <w:t>voluntarily leaves work without good cause may be disqualified from receiving unemployment benefits</w:t>
            </w:r>
            <w:r>
              <w:t>.</w:t>
            </w:r>
          </w:p>
          <w:p w14:paraId="1DFF70EB" w14:textId="77777777" w:rsidR="007873D5" w:rsidRPr="001E353D" w:rsidRDefault="007873D5" w:rsidP="00711F75">
            <w:pPr>
              <w:pStyle w:val="TableText"/>
            </w:pPr>
            <w:r>
              <w:t>207.047 provides that an individual is disqualified for failing to apply for available work when directed to by the Commission, refuses to accept suitable work offered or refuses to return to the individual’s customary self-employment, if any, when directed by the commission.</w:t>
            </w:r>
          </w:p>
        </w:tc>
      </w:tr>
      <w:tr w:rsidR="007873D5" w:rsidRPr="001E353D" w14:paraId="0FBE0650" w14:textId="77777777" w:rsidTr="00711F75">
        <w:trPr>
          <w:trHeight w:val="3450"/>
        </w:trPr>
        <w:tc>
          <w:tcPr>
            <w:tcW w:w="2604" w:type="dxa"/>
            <w:vAlign w:val="center"/>
            <w:hideMark/>
          </w:tcPr>
          <w:p w14:paraId="4AF22F9E" w14:textId="77777777" w:rsidR="007873D5" w:rsidRPr="001E353D" w:rsidRDefault="007873D5" w:rsidP="00711F75">
            <w:pPr>
              <w:pStyle w:val="TableText"/>
            </w:pPr>
            <w:r w:rsidRPr="001E353D">
              <w:t>Required Notices for Unemployment Benefits and Chargebacks </w:t>
            </w:r>
          </w:p>
        </w:tc>
        <w:tc>
          <w:tcPr>
            <w:tcW w:w="3166" w:type="dxa"/>
            <w:vAlign w:val="center"/>
            <w:hideMark/>
          </w:tcPr>
          <w:p w14:paraId="48199657" w14:textId="77777777" w:rsidR="007873D5" w:rsidRPr="001E353D" w:rsidRDefault="007873D5" w:rsidP="00711F75">
            <w:pPr>
              <w:pStyle w:val="TableText"/>
            </w:pPr>
            <w:r w:rsidRPr="001E353D">
              <w:rPr>
                <w:bCs/>
              </w:rPr>
              <w:t>State Statute:</w:t>
            </w:r>
            <w:r w:rsidRPr="001E353D">
              <w:t> </w:t>
            </w:r>
          </w:p>
          <w:p w14:paraId="18A96E8F" w14:textId="77777777" w:rsidR="007873D5" w:rsidRPr="001E353D" w:rsidRDefault="007873D5" w:rsidP="00711F75">
            <w:pPr>
              <w:pStyle w:val="TableText"/>
            </w:pPr>
            <w:r w:rsidRPr="001E353D">
              <w:rPr>
                <w:bCs/>
              </w:rPr>
              <w:t>Labor Code</w:t>
            </w:r>
            <w:r w:rsidRPr="001E353D">
              <w:t> </w:t>
            </w:r>
          </w:p>
          <w:p w14:paraId="37032D74" w14:textId="77777777" w:rsidR="007873D5" w:rsidRPr="001E353D" w:rsidRDefault="007873D5" w:rsidP="00711F75">
            <w:pPr>
              <w:pStyle w:val="TableText"/>
            </w:pPr>
            <w:r w:rsidRPr="001E353D">
              <w:t>§ 208.004; § 212.005 </w:t>
            </w:r>
          </w:p>
        </w:tc>
        <w:tc>
          <w:tcPr>
            <w:tcW w:w="3402" w:type="dxa"/>
            <w:vAlign w:val="center"/>
            <w:hideMark/>
          </w:tcPr>
          <w:p w14:paraId="0FF39C40" w14:textId="77777777" w:rsidR="007873D5" w:rsidRPr="001E353D" w:rsidRDefault="007873D5" w:rsidP="00711F75">
            <w:pPr>
              <w:pStyle w:val="TableText"/>
            </w:pPr>
            <w:r w:rsidRPr="001E353D">
              <w:t xml:space="preserve">Provides that a response to a notification about an unemployment claim must include sufficient </w:t>
            </w:r>
            <w:proofErr w:type="gramStart"/>
            <w:r w:rsidRPr="001E353D">
              <w:t>factual information</w:t>
            </w:r>
            <w:proofErr w:type="gramEnd"/>
            <w:r w:rsidRPr="001E353D">
              <w:t xml:space="preserve"> to allow TWC to make determinations regarding the claimant’s entitlement to benefits. TWC may adopt rules as necessary to implement this section.</w:t>
            </w:r>
            <w:r>
              <w:t xml:space="preserve"> </w:t>
            </w:r>
            <w:r w:rsidRPr="001E353D">
              <w:t>A chargeback may be made to an employer’s account for benefits paid to a claimant that are not in accordance with the final determination, if the benefits were paid due to the failure of the employer to comply with Section 208.004</w:t>
            </w:r>
            <w:r>
              <w:t>.</w:t>
            </w:r>
          </w:p>
        </w:tc>
      </w:tr>
      <w:tr w:rsidR="007873D5" w:rsidRPr="001E353D" w14:paraId="755560AF" w14:textId="77777777" w:rsidTr="00711F75">
        <w:trPr>
          <w:trHeight w:val="3450"/>
        </w:trPr>
        <w:tc>
          <w:tcPr>
            <w:tcW w:w="2604" w:type="dxa"/>
            <w:vAlign w:val="center"/>
            <w:hideMark/>
          </w:tcPr>
          <w:p w14:paraId="0804F459" w14:textId="77777777" w:rsidR="007873D5" w:rsidRPr="001E353D" w:rsidRDefault="007873D5" w:rsidP="00711F75">
            <w:pPr>
              <w:pStyle w:val="TableText"/>
            </w:pPr>
            <w:r w:rsidRPr="001E353D">
              <w:t>Claim Status Information for Unemployment Benefits</w:t>
            </w:r>
          </w:p>
        </w:tc>
        <w:tc>
          <w:tcPr>
            <w:tcW w:w="3166" w:type="dxa"/>
            <w:vAlign w:val="center"/>
            <w:hideMark/>
          </w:tcPr>
          <w:p w14:paraId="411EA02C" w14:textId="77777777" w:rsidR="007873D5" w:rsidRPr="001E353D" w:rsidRDefault="007873D5" w:rsidP="00711F75">
            <w:pPr>
              <w:pStyle w:val="TableText"/>
            </w:pPr>
            <w:r w:rsidRPr="001E353D">
              <w:rPr>
                <w:bCs/>
              </w:rPr>
              <w:t>State Statute:</w:t>
            </w:r>
            <w:r w:rsidRPr="001E353D">
              <w:t> </w:t>
            </w:r>
          </w:p>
          <w:p w14:paraId="4EF38768" w14:textId="77777777" w:rsidR="007873D5" w:rsidRPr="001E353D" w:rsidRDefault="007873D5" w:rsidP="00711F75">
            <w:pPr>
              <w:pStyle w:val="TableText"/>
            </w:pPr>
            <w:r w:rsidRPr="001E353D">
              <w:rPr>
                <w:bCs/>
              </w:rPr>
              <w:t>Labor Code</w:t>
            </w:r>
            <w:r w:rsidRPr="001E353D">
              <w:t> </w:t>
            </w:r>
          </w:p>
          <w:p w14:paraId="6F9E8F4C" w14:textId="77777777" w:rsidR="007873D5" w:rsidRPr="001E353D" w:rsidRDefault="007873D5" w:rsidP="00711F75">
            <w:pPr>
              <w:pStyle w:val="TableText"/>
            </w:pPr>
            <w:r w:rsidRPr="001E353D">
              <w:t>§ 208.005 </w:t>
            </w:r>
          </w:p>
        </w:tc>
        <w:tc>
          <w:tcPr>
            <w:tcW w:w="3402" w:type="dxa"/>
            <w:vAlign w:val="center"/>
            <w:hideMark/>
          </w:tcPr>
          <w:p w14:paraId="30EC53BE" w14:textId="77777777" w:rsidR="007873D5" w:rsidRPr="001E353D" w:rsidRDefault="007873D5" w:rsidP="00711F75">
            <w:pPr>
              <w:pStyle w:val="TableText"/>
            </w:pPr>
            <w:r w:rsidRPr="001E353D">
              <w:t xml:space="preserve">Requires TWC to ensure that a person who files a claim for benefits </w:t>
            </w:r>
            <w:proofErr w:type="gramStart"/>
            <w:r w:rsidRPr="001E353D">
              <w:t>is able to</w:t>
            </w:r>
            <w:proofErr w:type="gramEnd"/>
            <w:r w:rsidRPr="001E353D">
              <w:t xml:space="preserve"> check the status of the claim through telephonic or electronic methods. TWC is required to include in a prominent location on Internet website detailed information regarding the available methods for a claimant to check the status of their claim</w:t>
            </w:r>
            <w:r>
              <w:t>.</w:t>
            </w:r>
          </w:p>
        </w:tc>
      </w:tr>
      <w:tr w:rsidR="007873D5" w:rsidRPr="001E353D" w14:paraId="0205F9AC" w14:textId="77777777" w:rsidTr="00711F75">
        <w:trPr>
          <w:trHeight w:val="3450"/>
        </w:trPr>
        <w:tc>
          <w:tcPr>
            <w:tcW w:w="2604" w:type="dxa"/>
            <w:vAlign w:val="center"/>
            <w:hideMark/>
          </w:tcPr>
          <w:p w14:paraId="676B1069" w14:textId="77777777" w:rsidR="007873D5" w:rsidRPr="001E353D" w:rsidRDefault="007873D5" w:rsidP="00711F75">
            <w:pPr>
              <w:pStyle w:val="TableText"/>
            </w:pPr>
            <w:r w:rsidRPr="001E353D">
              <w:lastRenderedPageBreak/>
              <w:t>Recovery of Improper Unemployment Compensation Benefits</w:t>
            </w:r>
          </w:p>
        </w:tc>
        <w:tc>
          <w:tcPr>
            <w:tcW w:w="3166" w:type="dxa"/>
            <w:vAlign w:val="center"/>
            <w:hideMark/>
          </w:tcPr>
          <w:p w14:paraId="11616949" w14:textId="77777777" w:rsidR="007873D5" w:rsidRPr="001E353D" w:rsidRDefault="007873D5" w:rsidP="00711F75">
            <w:pPr>
              <w:pStyle w:val="TableText"/>
            </w:pPr>
            <w:r w:rsidRPr="001E353D">
              <w:rPr>
                <w:bCs/>
              </w:rPr>
              <w:t>State Statute:</w:t>
            </w:r>
            <w:r w:rsidRPr="001E353D">
              <w:t> </w:t>
            </w:r>
          </w:p>
          <w:p w14:paraId="6110C087" w14:textId="77777777" w:rsidR="007873D5" w:rsidRPr="001E353D" w:rsidRDefault="007873D5" w:rsidP="00711F75">
            <w:pPr>
              <w:pStyle w:val="TableText"/>
            </w:pPr>
            <w:r w:rsidRPr="001E353D">
              <w:rPr>
                <w:bCs/>
              </w:rPr>
              <w:t>Labor Code</w:t>
            </w:r>
            <w:r w:rsidRPr="001E353D">
              <w:t> </w:t>
            </w:r>
          </w:p>
          <w:p w14:paraId="5AB6DEEC" w14:textId="77777777" w:rsidR="007873D5" w:rsidRPr="001E353D" w:rsidRDefault="007873D5" w:rsidP="00711F75">
            <w:pPr>
              <w:pStyle w:val="TableText"/>
            </w:pPr>
            <w:r w:rsidRPr="001E353D">
              <w:t>§ 212.006 and § 214.002 </w:t>
            </w:r>
          </w:p>
        </w:tc>
        <w:tc>
          <w:tcPr>
            <w:tcW w:w="3402" w:type="dxa"/>
            <w:vAlign w:val="center"/>
            <w:hideMark/>
          </w:tcPr>
          <w:p w14:paraId="3492E272" w14:textId="77777777" w:rsidR="007873D5" w:rsidRPr="001E353D" w:rsidRDefault="007873D5" w:rsidP="00711F75">
            <w:pPr>
              <w:pStyle w:val="TableText"/>
            </w:pPr>
            <w:r w:rsidRPr="001E353D">
              <w:t>Allows TWC to recover improper benefits by collecting a refund from the claimant</w:t>
            </w:r>
            <w:r>
              <w:t xml:space="preserve"> or through deduction of future benefits payable to the claimant</w:t>
            </w:r>
            <w:r w:rsidRPr="001E353D">
              <w:t>. TWC may accept payment for benefits by personal check, cashier’s check, money order, debit card, electronic check, or electronic funds transfer. Payment may be accepted by TWC through the mail and Internet. TWC is provided the authority to adopt rules to accept forms of payment not listed in this subsection</w:t>
            </w:r>
            <w:r>
              <w:t>.</w:t>
            </w:r>
          </w:p>
        </w:tc>
      </w:tr>
      <w:tr w:rsidR="007873D5" w:rsidRPr="001E353D" w14:paraId="42A2379B" w14:textId="77777777" w:rsidTr="00711F75">
        <w:trPr>
          <w:trHeight w:val="3450"/>
        </w:trPr>
        <w:tc>
          <w:tcPr>
            <w:tcW w:w="2604" w:type="dxa"/>
            <w:vAlign w:val="center"/>
            <w:hideMark/>
          </w:tcPr>
          <w:p w14:paraId="3A47EF30" w14:textId="77777777" w:rsidR="007873D5" w:rsidRPr="001E353D" w:rsidRDefault="007873D5" w:rsidP="00711F75">
            <w:pPr>
              <w:pStyle w:val="TableText"/>
            </w:pPr>
            <w:r w:rsidRPr="001E353D">
              <w:t xml:space="preserve">Restrictions or Conditions on Payments to </w:t>
            </w:r>
            <w:r>
              <w:t>TWC</w:t>
            </w:r>
            <w:r w:rsidRPr="001E353D">
              <w:t> </w:t>
            </w:r>
          </w:p>
        </w:tc>
        <w:tc>
          <w:tcPr>
            <w:tcW w:w="3166" w:type="dxa"/>
            <w:vAlign w:val="center"/>
            <w:hideMark/>
          </w:tcPr>
          <w:p w14:paraId="74AFC4A7" w14:textId="77777777" w:rsidR="007873D5" w:rsidRPr="001E353D" w:rsidRDefault="007873D5" w:rsidP="00711F75">
            <w:pPr>
              <w:pStyle w:val="TableText"/>
            </w:pPr>
            <w:r w:rsidRPr="001E353D">
              <w:rPr>
                <w:bCs/>
              </w:rPr>
              <w:t>State Statute:</w:t>
            </w:r>
            <w:r w:rsidRPr="001E353D">
              <w:t> </w:t>
            </w:r>
          </w:p>
          <w:p w14:paraId="16181EB3" w14:textId="77777777" w:rsidR="007873D5" w:rsidRPr="001E353D" w:rsidRDefault="007873D5" w:rsidP="00711F75">
            <w:pPr>
              <w:pStyle w:val="TableText"/>
            </w:pPr>
            <w:r w:rsidRPr="001E353D">
              <w:rPr>
                <w:bCs/>
              </w:rPr>
              <w:t>Labor Code</w:t>
            </w:r>
            <w:r w:rsidRPr="001E353D">
              <w:t> </w:t>
            </w:r>
          </w:p>
          <w:p w14:paraId="365E7F63" w14:textId="77777777" w:rsidR="007873D5" w:rsidRPr="001E353D" w:rsidRDefault="007873D5" w:rsidP="00711F75">
            <w:pPr>
              <w:pStyle w:val="TableText"/>
            </w:pPr>
            <w:r w:rsidRPr="001E353D">
              <w:t>§ 213.012 </w:t>
            </w:r>
          </w:p>
        </w:tc>
        <w:tc>
          <w:tcPr>
            <w:tcW w:w="3402" w:type="dxa"/>
            <w:vAlign w:val="center"/>
            <w:hideMark/>
          </w:tcPr>
          <w:p w14:paraId="6249C1F1" w14:textId="77777777" w:rsidR="007873D5" w:rsidRPr="001E353D" w:rsidRDefault="007873D5" w:rsidP="00711F75">
            <w:pPr>
              <w:pStyle w:val="TableText"/>
            </w:pPr>
            <w:r w:rsidRPr="001E353D">
              <w:t xml:space="preserve">Provides that a person is prevented from placing a restriction or condition on a payment instrument sent to TWC for the payment of unemployment contributions, penalties, or interests owned to the </w:t>
            </w:r>
            <w:r>
              <w:t>Commission</w:t>
            </w:r>
            <w:r w:rsidRPr="001E353D">
              <w:t xml:space="preserve"> by the employer.</w:t>
            </w:r>
          </w:p>
        </w:tc>
      </w:tr>
      <w:tr w:rsidR="007873D5" w:rsidRPr="001E353D" w14:paraId="7AD1E262" w14:textId="77777777" w:rsidTr="00711F75">
        <w:trPr>
          <w:trHeight w:val="3450"/>
        </w:trPr>
        <w:tc>
          <w:tcPr>
            <w:tcW w:w="2604" w:type="dxa"/>
            <w:vAlign w:val="center"/>
            <w:hideMark/>
          </w:tcPr>
          <w:p w14:paraId="643C1537" w14:textId="77777777" w:rsidR="007873D5" w:rsidRPr="001E353D" w:rsidRDefault="007873D5" w:rsidP="00711F75">
            <w:pPr>
              <w:pStyle w:val="TableText"/>
            </w:pPr>
            <w:r w:rsidRPr="001E353D">
              <w:t>Misclassification of Workers</w:t>
            </w:r>
          </w:p>
        </w:tc>
        <w:tc>
          <w:tcPr>
            <w:tcW w:w="3166" w:type="dxa"/>
            <w:vAlign w:val="center"/>
            <w:hideMark/>
          </w:tcPr>
          <w:p w14:paraId="7006CC00" w14:textId="77777777" w:rsidR="007873D5" w:rsidRPr="001E353D" w:rsidRDefault="007873D5" w:rsidP="00711F75">
            <w:pPr>
              <w:pStyle w:val="TableText"/>
            </w:pPr>
            <w:r w:rsidRPr="001E353D">
              <w:rPr>
                <w:bCs/>
              </w:rPr>
              <w:t>State Statute:</w:t>
            </w:r>
            <w:r w:rsidRPr="001E353D">
              <w:t> </w:t>
            </w:r>
          </w:p>
          <w:p w14:paraId="4FCD00DA" w14:textId="77777777" w:rsidR="007873D5" w:rsidRPr="001E353D" w:rsidRDefault="007873D5" w:rsidP="00711F75">
            <w:pPr>
              <w:pStyle w:val="TableText"/>
            </w:pPr>
            <w:r w:rsidRPr="001E353D">
              <w:rPr>
                <w:bCs/>
              </w:rPr>
              <w:t>Labor Code</w:t>
            </w:r>
            <w:r w:rsidRPr="001E353D">
              <w:t> </w:t>
            </w:r>
          </w:p>
          <w:p w14:paraId="06A697EC" w14:textId="77777777" w:rsidR="007873D5" w:rsidRPr="001E353D" w:rsidRDefault="007873D5" w:rsidP="00711F75">
            <w:pPr>
              <w:pStyle w:val="TableText"/>
            </w:pPr>
            <w:r w:rsidRPr="001E353D">
              <w:t>§ 214.008 </w:t>
            </w:r>
          </w:p>
        </w:tc>
        <w:tc>
          <w:tcPr>
            <w:tcW w:w="3402" w:type="dxa"/>
            <w:vAlign w:val="center"/>
            <w:hideMark/>
          </w:tcPr>
          <w:p w14:paraId="401EDB5A" w14:textId="77777777" w:rsidR="007873D5" w:rsidRPr="001E353D" w:rsidRDefault="007873D5" w:rsidP="00711F75">
            <w:pPr>
              <w:pStyle w:val="TableText"/>
            </w:pPr>
            <w:r w:rsidRPr="001E353D">
              <w:t xml:space="preserve">Authorizing TWC to impose and collect penalties from persons who misclassify their workers under governmental contracts. Persons who contract with a governmental entity are required to properly classify their workers as either employees or independent contractors. Subcontractors must also be properly classified. A penalty equal to $200 may be assessed for </w:t>
            </w:r>
            <w:proofErr w:type="gramStart"/>
            <w:r w:rsidRPr="001E353D">
              <w:t>each individual</w:t>
            </w:r>
            <w:proofErr w:type="gramEnd"/>
            <w:r w:rsidRPr="001E353D">
              <w:t xml:space="preserve"> that is not properly classified.</w:t>
            </w:r>
          </w:p>
        </w:tc>
      </w:tr>
      <w:tr w:rsidR="007873D5" w:rsidRPr="001E353D" w14:paraId="6F973C22" w14:textId="77777777" w:rsidTr="00711F75">
        <w:trPr>
          <w:trHeight w:val="3450"/>
        </w:trPr>
        <w:tc>
          <w:tcPr>
            <w:tcW w:w="2604" w:type="dxa"/>
            <w:vAlign w:val="center"/>
            <w:hideMark/>
          </w:tcPr>
          <w:p w14:paraId="60E6CFDF" w14:textId="77777777" w:rsidR="007873D5" w:rsidRPr="001E353D" w:rsidRDefault="007873D5" w:rsidP="00711F75">
            <w:pPr>
              <w:pStyle w:val="TableText"/>
            </w:pPr>
            <w:r w:rsidRPr="001E353D">
              <w:lastRenderedPageBreak/>
              <w:t>Recovery of Covered Unemployment Compensation Debt </w:t>
            </w:r>
          </w:p>
        </w:tc>
        <w:tc>
          <w:tcPr>
            <w:tcW w:w="3166" w:type="dxa"/>
            <w:vAlign w:val="center"/>
            <w:hideMark/>
          </w:tcPr>
          <w:p w14:paraId="11C18B09" w14:textId="77777777" w:rsidR="007873D5" w:rsidRPr="001E353D" w:rsidRDefault="007873D5" w:rsidP="00711F75">
            <w:pPr>
              <w:pStyle w:val="TableText"/>
            </w:pPr>
            <w:r w:rsidRPr="001E353D">
              <w:rPr>
                <w:bCs/>
              </w:rPr>
              <w:t>State Statute:</w:t>
            </w:r>
            <w:r w:rsidRPr="001E353D">
              <w:t> </w:t>
            </w:r>
          </w:p>
          <w:p w14:paraId="48FF96C2" w14:textId="77777777" w:rsidR="007873D5" w:rsidRPr="001E353D" w:rsidRDefault="007873D5" w:rsidP="00711F75">
            <w:pPr>
              <w:pStyle w:val="TableText"/>
            </w:pPr>
            <w:r w:rsidRPr="001E353D">
              <w:rPr>
                <w:bCs/>
              </w:rPr>
              <w:t>Labor Code</w:t>
            </w:r>
            <w:r w:rsidRPr="001E353D">
              <w:t> </w:t>
            </w:r>
          </w:p>
          <w:p w14:paraId="10477D0D" w14:textId="77777777" w:rsidR="007873D5" w:rsidRPr="001E353D" w:rsidRDefault="007873D5" w:rsidP="00711F75">
            <w:pPr>
              <w:pStyle w:val="TableText"/>
            </w:pPr>
            <w:r w:rsidRPr="001E353D">
              <w:t>§ 214.009 </w:t>
            </w:r>
          </w:p>
        </w:tc>
        <w:tc>
          <w:tcPr>
            <w:tcW w:w="3402" w:type="dxa"/>
            <w:vAlign w:val="center"/>
            <w:hideMark/>
          </w:tcPr>
          <w:p w14:paraId="219516C5" w14:textId="77777777" w:rsidR="007873D5" w:rsidRPr="001E353D" w:rsidRDefault="007873D5" w:rsidP="00711F75">
            <w:pPr>
              <w:pStyle w:val="TableText"/>
            </w:pPr>
            <w:r w:rsidRPr="001E353D">
              <w:t> Authorizing TWC to collect covered unemployment compensation debt through the federal Treasury Offset Program. TWC may collect covered unemployment compensation debt through overpayments from fraud or failure to report earnings, past-due employer contributions owed to the compensation fund, and any penalties or interest assessed on the debt. Before collecting, TWC is required to first notify the debtor, give the debtor 60 days to prove the debt is not legally enforceable, not due to fraud or unreported earnings, or is a not contribution owed.</w:t>
            </w:r>
          </w:p>
        </w:tc>
      </w:tr>
      <w:tr w:rsidR="007873D5" w:rsidRPr="001E353D" w14:paraId="74CA8AE4" w14:textId="77777777" w:rsidTr="00711F75">
        <w:trPr>
          <w:trHeight w:val="3450"/>
        </w:trPr>
        <w:tc>
          <w:tcPr>
            <w:tcW w:w="2604" w:type="dxa"/>
            <w:vAlign w:val="center"/>
            <w:hideMark/>
          </w:tcPr>
          <w:p w14:paraId="17EAE9E0" w14:textId="77777777" w:rsidR="007873D5" w:rsidRPr="001E353D" w:rsidRDefault="007873D5" w:rsidP="00711F75">
            <w:pPr>
              <w:pStyle w:val="TableText"/>
            </w:pPr>
            <w:r w:rsidRPr="001E353D">
              <w:t>Shared Work Unemployment Compensation Program </w:t>
            </w:r>
          </w:p>
        </w:tc>
        <w:tc>
          <w:tcPr>
            <w:tcW w:w="3166" w:type="dxa"/>
            <w:vAlign w:val="center"/>
            <w:hideMark/>
          </w:tcPr>
          <w:p w14:paraId="2A1B043A" w14:textId="77777777" w:rsidR="007873D5" w:rsidRPr="001E353D" w:rsidRDefault="007873D5" w:rsidP="00711F75">
            <w:pPr>
              <w:pStyle w:val="TableText"/>
            </w:pPr>
            <w:r w:rsidRPr="001E353D">
              <w:rPr>
                <w:bCs/>
              </w:rPr>
              <w:t>State Statute:</w:t>
            </w:r>
            <w:r w:rsidRPr="001E353D">
              <w:t> </w:t>
            </w:r>
          </w:p>
          <w:p w14:paraId="697DF458" w14:textId="77777777" w:rsidR="007873D5" w:rsidRPr="001E353D" w:rsidRDefault="007873D5" w:rsidP="00711F75">
            <w:pPr>
              <w:pStyle w:val="TableText"/>
            </w:pPr>
            <w:r w:rsidRPr="001E353D">
              <w:rPr>
                <w:bCs/>
              </w:rPr>
              <w:t>Labor Code</w:t>
            </w:r>
            <w:r w:rsidRPr="001E353D">
              <w:t> </w:t>
            </w:r>
          </w:p>
          <w:p w14:paraId="2013B48E" w14:textId="77777777" w:rsidR="007873D5" w:rsidRPr="001E353D" w:rsidRDefault="007873D5" w:rsidP="00711F75">
            <w:pPr>
              <w:pStyle w:val="TableText"/>
            </w:pPr>
            <w:r w:rsidRPr="001E353D">
              <w:t>§204.046; and § 215.001 - § 215.022 </w:t>
            </w:r>
          </w:p>
        </w:tc>
        <w:tc>
          <w:tcPr>
            <w:tcW w:w="3402" w:type="dxa"/>
            <w:vAlign w:val="center"/>
            <w:hideMark/>
          </w:tcPr>
          <w:p w14:paraId="2F02643C" w14:textId="77777777" w:rsidR="007873D5" w:rsidRPr="001E353D" w:rsidRDefault="007873D5" w:rsidP="00711F75">
            <w:pPr>
              <w:pStyle w:val="TableText"/>
            </w:pPr>
            <w:r w:rsidRPr="001E353D">
              <w:t>Authorizing TWC to approve a shared work plan if: the plan identifies the employees in the affected unit by name and SSN, estimates how many employees would be laid off with the plan, reduce weekly hours by at least 10% but not more than 40%, apply to at least 10% of the employees, and allow workers to participate in the training. Employers must continue fringe benefits for participating employees unless those benefits are not continued for employees participating in the shared work plan and participation in the plan is consistent with the employer’s obligations under the state and federal law.</w:t>
            </w:r>
          </w:p>
          <w:p w14:paraId="09CC1191" w14:textId="77777777" w:rsidR="007873D5" w:rsidRPr="001E353D" w:rsidRDefault="007873D5" w:rsidP="00711F75">
            <w:pPr>
              <w:pStyle w:val="TableText"/>
            </w:pPr>
            <w:r w:rsidRPr="001E353D">
              <w:t xml:space="preserve">Shared work benefits paid under Chapter </w:t>
            </w:r>
            <w:hyperlink r:id="rId276" w:tgtFrame="_blank" w:history="1">
              <w:r w:rsidRPr="001E353D">
                <w:rPr>
                  <w:rStyle w:val="Hyperlink"/>
                </w:rPr>
                <w:t>215</w:t>
              </w:r>
            </w:hyperlink>
            <w:r w:rsidRPr="001E353D">
              <w:t xml:space="preserve"> may not be charged to the account of an employer if the benefits are reimbursed by the federal government under the federal Layoff Prevention Act of 2012</w:t>
            </w:r>
            <w:r>
              <w:t>.</w:t>
            </w:r>
          </w:p>
        </w:tc>
      </w:tr>
      <w:tr w:rsidR="007873D5" w:rsidRPr="001E353D" w14:paraId="6F125EF0" w14:textId="77777777" w:rsidTr="00711F75">
        <w:trPr>
          <w:trHeight w:val="3405"/>
        </w:trPr>
        <w:tc>
          <w:tcPr>
            <w:tcW w:w="2604" w:type="dxa"/>
            <w:vAlign w:val="center"/>
            <w:hideMark/>
          </w:tcPr>
          <w:p w14:paraId="193F34E8" w14:textId="77777777" w:rsidR="007873D5" w:rsidRPr="001E353D" w:rsidRDefault="007873D5" w:rsidP="00711F75">
            <w:pPr>
              <w:pStyle w:val="TableText"/>
            </w:pPr>
            <w:r w:rsidRPr="001E353D">
              <w:t>Re-Employment Services </w:t>
            </w:r>
          </w:p>
        </w:tc>
        <w:tc>
          <w:tcPr>
            <w:tcW w:w="3166" w:type="dxa"/>
            <w:vAlign w:val="center"/>
            <w:hideMark/>
          </w:tcPr>
          <w:p w14:paraId="28DD674C" w14:textId="77777777" w:rsidR="007873D5" w:rsidRPr="001E353D" w:rsidRDefault="007873D5" w:rsidP="00711F75">
            <w:pPr>
              <w:pStyle w:val="TableText"/>
            </w:pPr>
            <w:r w:rsidRPr="001E353D">
              <w:rPr>
                <w:bCs/>
              </w:rPr>
              <w:t xml:space="preserve">State Statute: </w:t>
            </w:r>
            <w:r w:rsidRPr="001E353D">
              <w:t>Labor Code § 302.021(a)(7) </w:t>
            </w:r>
          </w:p>
          <w:p w14:paraId="50D09F3B" w14:textId="77777777" w:rsidR="007873D5" w:rsidRPr="001E353D" w:rsidRDefault="007873D5" w:rsidP="00711F75">
            <w:pPr>
              <w:pStyle w:val="TableText"/>
            </w:pPr>
            <w:r w:rsidRPr="001E353D">
              <w:rPr>
                <w:bCs/>
              </w:rPr>
              <w:t>Federal Statute</w:t>
            </w:r>
            <w:r w:rsidRPr="001E353D">
              <w:t xml:space="preserve">: 29 USC §3111 </w:t>
            </w:r>
            <w:r w:rsidRPr="001E353D">
              <w:rPr>
                <w:i/>
                <w:iCs/>
              </w:rPr>
              <w:t>et</w:t>
            </w:r>
            <w:r w:rsidRPr="001E353D">
              <w:t> </w:t>
            </w:r>
            <w:r w:rsidRPr="001E353D">
              <w:rPr>
                <w:i/>
                <w:iCs/>
              </w:rPr>
              <w:t>seq</w:t>
            </w:r>
            <w:r>
              <w:t>.</w:t>
            </w:r>
          </w:p>
          <w:p w14:paraId="6E79855B" w14:textId="77777777" w:rsidR="007873D5" w:rsidRPr="001E353D" w:rsidRDefault="007873D5" w:rsidP="00711F75">
            <w:pPr>
              <w:pStyle w:val="TableText"/>
            </w:pPr>
            <w:r w:rsidRPr="001E353D">
              <w:rPr>
                <w:bCs/>
              </w:rPr>
              <w:t>Federal Regulation:</w:t>
            </w:r>
            <w:r w:rsidRPr="001E353D">
              <w:t> </w:t>
            </w:r>
          </w:p>
          <w:p w14:paraId="46FDD59D" w14:textId="77777777" w:rsidR="007873D5" w:rsidRPr="001E353D" w:rsidRDefault="007873D5" w:rsidP="00711F75">
            <w:pPr>
              <w:pStyle w:val="TableText"/>
            </w:pPr>
            <w:r w:rsidRPr="001E353D">
              <w:t>20 CFR Part 682 </w:t>
            </w:r>
          </w:p>
        </w:tc>
        <w:tc>
          <w:tcPr>
            <w:tcW w:w="3402" w:type="dxa"/>
            <w:vAlign w:val="center"/>
            <w:hideMark/>
          </w:tcPr>
          <w:p w14:paraId="12F8D50F" w14:textId="77777777" w:rsidR="007873D5" w:rsidRPr="001E353D" w:rsidRDefault="007873D5" w:rsidP="00711F75">
            <w:pPr>
              <w:pStyle w:val="TableText"/>
            </w:pPr>
            <w:r>
              <w:t>Consolidates job-training programs funded by WIOA under the authority of TWC. These services include reemployment services provided in addition to reemployment services provided under RESEA program.</w:t>
            </w:r>
          </w:p>
        </w:tc>
      </w:tr>
      <w:tr w:rsidR="007873D5" w:rsidRPr="001E353D" w14:paraId="127A06D6" w14:textId="77777777" w:rsidTr="00711F75">
        <w:trPr>
          <w:trHeight w:val="1830"/>
        </w:trPr>
        <w:tc>
          <w:tcPr>
            <w:tcW w:w="2604" w:type="dxa"/>
            <w:vAlign w:val="center"/>
            <w:hideMark/>
          </w:tcPr>
          <w:p w14:paraId="2ED109C3" w14:textId="77777777" w:rsidR="007873D5" w:rsidRPr="001E353D" w:rsidRDefault="007873D5" w:rsidP="00711F75">
            <w:pPr>
              <w:pStyle w:val="TableText"/>
            </w:pPr>
            <w:r w:rsidRPr="001E353D">
              <w:lastRenderedPageBreak/>
              <w:t>TWC UI Hearings Exemption </w:t>
            </w:r>
          </w:p>
        </w:tc>
        <w:tc>
          <w:tcPr>
            <w:tcW w:w="3166" w:type="dxa"/>
            <w:vAlign w:val="center"/>
            <w:hideMark/>
          </w:tcPr>
          <w:p w14:paraId="247038F6" w14:textId="77777777" w:rsidR="007873D5" w:rsidRPr="001E353D" w:rsidRDefault="007873D5" w:rsidP="00711F75">
            <w:pPr>
              <w:pStyle w:val="TableText"/>
            </w:pPr>
            <w:r w:rsidRPr="001E353D">
              <w:rPr>
                <w:bCs/>
              </w:rPr>
              <w:t xml:space="preserve">State Statute: </w:t>
            </w:r>
            <w:r w:rsidRPr="001E353D">
              <w:t>Government Code § 2001.224 </w:t>
            </w:r>
          </w:p>
          <w:p w14:paraId="0045F4E9" w14:textId="77777777" w:rsidR="007873D5" w:rsidRPr="001E353D" w:rsidRDefault="007873D5" w:rsidP="00711F75">
            <w:pPr>
              <w:pStyle w:val="TableText"/>
            </w:pPr>
            <w:r w:rsidRPr="001E353D">
              <w:rPr>
                <w:bCs/>
              </w:rPr>
              <w:t>State Rule:</w:t>
            </w:r>
            <w:r w:rsidRPr="001E353D">
              <w:t> </w:t>
            </w:r>
          </w:p>
          <w:p w14:paraId="16D14352" w14:textId="77777777" w:rsidR="007873D5" w:rsidRPr="001E353D" w:rsidRDefault="007873D5" w:rsidP="00711F75">
            <w:pPr>
              <w:pStyle w:val="TableText"/>
            </w:pPr>
            <w:r w:rsidRPr="001E353D">
              <w:t>40 TAC Chapter 823 </w:t>
            </w:r>
          </w:p>
        </w:tc>
        <w:tc>
          <w:tcPr>
            <w:tcW w:w="3402" w:type="dxa"/>
            <w:vAlign w:val="center"/>
            <w:hideMark/>
          </w:tcPr>
          <w:p w14:paraId="75106EDD" w14:textId="77777777" w:rsidR="007873D5" w:rsidRPr="001E353D" w:rsidRDefault="007873D5" w:rsidP="00711F75">
            <w:pPr>
              <w:pStyle w:val="TableText"/>
            </w:pPr>
            <w:r w:rsidRPr="001E353D">
              <w:t xml:space="preserve">Provides that Government Code § 2001.038 and Chapter 2001, Subchapters C through H (the Administrative Procedures Act) do not apply to administrative hearings conducted by TWC, including those hearings to determine </w:t>
            </w:r>
            <w:proofErr w:type="gramStart"/>
            <w:r w:rsidRPr="001E353D">
              <w:t>whether or not</w:t>
            </w:r>
            <w:proofErr w:type="gramEnd"/>
            <w:r w:rsidRPr="001E353D">
              <w:t xml:space="preserve"> a claimant is entitled to unemployment compensation. Additionally, TWC is not required to index, cross-index to statute, or make available for public inspection final orders, decisions, and opinions under §2001.004(3) and §2001.005.</w:t>
            </w:r>
          </w:p>
        </w:tc>
      </w:tr>
      <w:tr w:rsidR="007873D5" w:rsidRPr="001E353D" w14:paraId="3171C16A" w14:textId="77777777" w:rsidTr="00711F75">
        <w:trPr>
          <w:trHeight w:val="300"/>
        </w:trPr>
        <w:tc>
          <w:tcPr>
            <w:tcW w:w="9172" w:type="dxa"/>
            <w:gridSpan w:val="3"/>
            <w:vAlign w:val="center"/>
            <w:hideMark/>
          </w:tcPr>
          <w:p w14:paraId="6E64F0AB" w14:textId="77777777" w:rsidR="007873D5" w:rsidRPr="00037937" w:rsidRDefault="007873D5" w:rsidP="008978DC">
            <w:pPr>
              <w:pStyle w:val="TableText"/>
              <w:jc w:val="center"/>
              <w:rPr>
                <w:b/>
              </w:rPr>
            </w:pPr>
            <w:r w:rsidRPr="00037937">
              <w:rPr>
                <w:b/>
              </w:rPr>
              <w:t>Vocational Rehabilitation</w:t>
            </w:r>
          </w:p>
        </w:tc>
      </w:tr>
      <w:tr w:rsidR="007873D5" w:rsidRPr="001E353D" w14:paraId="0AA9933B" w14:textId="77777777" w:rsidTr="00711F75">
        <w:trPr>
          <w:trHeight w:val="1830"/>
        </w:trPr>
        <w:tc>
          <w:tcPr>
            <w:tcW w:w="2604" w:type="dxa"/>
            <w:vAlign w:val="center"/>
            <w:hideMark/>
          </w:tcPr>
          <w:p w14:paraId="7415CB8F" w14:textId="77777777" w:rsidR="007873D5" w:rsidRPr="001E353D" w:rsidRDefault="007873D5" w:rsidP="00711F75">
            <w:pPr>
              <w:pStyle w:val="TableText"/>
            </w:pPr>
            <w:r w:rsidRPr="001E353D">
              <w:t>TWC-VR Administration </w:t>
            </w:r>
          </w:p>
        </w:tc>
        <w:tc>
          <w:tcPr>
            <w:tcW w:w="3166" w:type="dxa"/>
            <w:vAlign w:val="center"/>
            <w:hideMark/>
          </w:tcPr>
          <w:p w14:paraId="032F14CE" w14:textId="77777777" w:rsidR="007873D5" w:rsidRPr="001E353D" w:rsidRDefault="007873D5" w:rsidP="00711F75">
            <w:pPr>
              <w:pStyle w:val="TableText"/>
            </w:pPr>
            <w:r w:rsidRPr="001E353D">
              <w:rPr>
                <w:bCs/>
              </w:rPr>
              <w:t>State Statute:</w:t>
            </w:r>
            <w:r w:rsidRPr="001E353D">
              <w:t> </w:t>
            </w:r>
          </w:p>
          <w:p w14:paraId="403DCD05" w14:textId="77777777" w:rsidR="007873D5" w:rsidRPr="001E353D" w:rsidRDefault="007873D5" w:rsidP="00711F75">
            <w:pPr>
              <w:pStyle w:val="TableText"/>
            </w:pPr>
            <w:r w:rsidRPr="001E353D">
              <w:t>Labor Code §351.002, §351.003 </w:t>
            </w:r>
          </w:p>
          <w:p w14:paraId="1DEF1CC7" w14:textId="77777777" w:rsidR="007873D5" w:rsidRPr="001E353D" w:rsidRDefault="007873D5" w:rsidP="00711F75">
            <w:pPr>
              <w:pStyle w:val="TableText"/>
            </w:pPr>
            <w:r w:rsidRPr="001E353D">
              <w:t>Human Res, Code §91.0211, 111.0511, 117.0713 </w:t>
            </w:r>
          </w:p>
          <w:p w14:paraId="792FAE3E" w14:textId="77777777" w:rsidR="007873D5" w:rsidRPr="001E353D" w:rsidRDefault="007873D5" w:rsidP="00711F75">
            <w:pPr>
              <w:pStyle w:val="TableText"/>
            </w:pPr>
            <w:r w:rsidRPr="001E353D">
              <w:rPr>
                <w:bCs/>
              </w:rPr>
              <w:t xml:space="preserve">State Rule: </w:t>
            </w:r>
            <w:r w:rsidRPr="001E353D">
              <w:t>40 TAC §856.1 </w:t>
            </w:r>
          </w:p>
          <w:p w14:paraId="353C8A51" w14:textId="77777777" w:rsidR="007873D5" w:rsidRPr="001E353D" w:rsidRDefault="007873D5" w:rsidP="00711F75">
            <w:pPr>
              <w:pStyle w:val="TableText"/>
            </w:pPr>
            <w:r w:rsidRPr="001E353D">
              <w:rPr>
                <w:bCs/>
              </w:rPr>
              <w:t>Federal Statute:</w:t>
            </w:r>
            <w:r w:rsidRPr="001E353D">
              <w:t> </w:t>
            </w:r>
          </w:p>
          <w:p w14:paraId="6E9320C3" w14:textId="77777777" w:rsidR="007873D5" w:rsidRPr="001E353D" w:rsidRDefault="007873D5" w:rsidP="00711F75">
            <w:pPr>
              <w:pStyle w:val="TableText"/>
            </w:pPr>
            <w:r w:rsidRPr="001E353D">
              <w:t>WIOA Title IV (Rehabilitation Act of 1973) </w:t>
            </w:r>
          </w:p>
        </w:tc>
        <w:tc>
          <w:tcPr>
            <w:tcW w:w="3402" w:type="dxa"/>
            <w:vAlign w:val="center"/>
            <w:hideMark/>
          </w:tcPr>
          <w:p w14:paraId="1D5CC2CA" w14:textId="77777777" w:rsidR="007873D5" w:rsidRPr="001E353D" w:rsidRDefault="007873D5" w:rsidP="00711F75">
            <w:pPr>
              <w:pStyle w:val="TableText"/>
            </w:pPr>
            <w:r w:rsidRPr="001E353D">
              <w:t>Provides that TWC will take over administration of VR from DARS on Sept</w:t>
            </w:r>
            <w:r>
              <w:t>.</w:t>
            </w:r>
            <w:r w:rsidRPr="001E353D">
              <w:t xml:space="preserve"> 1, 2016.  TWC must designate a unit comparable to other units in TWC to administer the VR program</w:t>
            </w:r>
            <w:r>
              <w:t>.</w:t>
            </w:r>
          </w:p>
        </w:tc>
      </w:tr>
      <w:tr w:rsidR="007873D5" w:rsidRPr="001E353D" w14:paraId="4E11B9A6" w14:textId="77777777" w:rsidTr="00711F75">
        <w:trPr>
          <w:trHeight w:val="1830"/>
        </w:trPr>
        <w:tc>
          <w:tcPr>
            <w:tcW w:w="2604" w:type="dxa"/>
            <w:vAlign w:val="center"/>
            <w:hideMark/>
          </w:tcPr>
          <w:p w14:paraId="2681FBBA" w14:textId="77777777" w:rsidR="007873D5" w:rsidRPr="001E353D" w:rsidRDefault="007873D5" w:rsidP="00711F75">
            <w:pPr>
              <w:pStyle w:val="TableText"/>
            </w:pPr>
            <w:r w:rsidRPr="001E353D">
              <w:t>TWC-VR rates for medical services </w:t>
            </w:r>
          </w:p>
        </w:tc>
        <w:tc>
          <w:tcPr>
            <w:tcW w:w="3166" w:type="dxa"/>
            <w:vAlign w:val="center"/>
            <w:hideMark/>
          </w:tcPr>
          <w:p w14:paraId="63A2D85F" w14:textId="77777777" w:rsidR="007873D5" w:rsidRPr="001E353D" w:rsidRDefault="007873D5" w:rsidP="00711F75">
            <w:pPr>
              <w:pStyle w:val="TableText"/>
            </w:pPr>
            <w:r w:rsidRPr="001E353D">
              <w:rPr>
                <w:bCs/>
              </w:rPr>
              <w:t>State Statute:</w:t>
            </w:r>
            <w:r w:rsidRPr="001E353D">
              <w:t> </w:t>
            </w:r>
          </w:p>
          <w:p w14:paraId="7953B17D" w14:textId="77777777" w:rsidR="007873D5" w:rsidRPr="001E353D" w:rsidRDefault="007873D5" w:rsidP="00711F75">
            <w:pPr>
              <w:pStyle w:val="TableText"/>
            </w:pPr>
            <w:r w:rsidRPr="001E353D">
              <w:t>Labor Code §352.054 </w:t>
            </w:r>
          </w:p>
          <w:p w14:paraId="1ACD07B7" w14:textId="77777777" w:rsidR="007873D5" w:rsidRPr="001E353D" w:rsidRDefault="007873D5" w:rsidP="00711F75">
            <w:pPr>
              <w:pStyle w:val="TableText"/>
            </w:pPr>
            <w:r w:rsidRPr="001E353D">
              <w:rPr>
                <w:bCs/>
              </w:rPr>
              <w:t xml:space="preserve">State Rule:  </w:t>
            </w:r>
            <w:r w:rsidRPr="001E353D">
              <w:t>40 TAC §856.57 </w:t>
            </w:r>
          </w:p>
          <w:p w14:paraId="46ADC255" w14:textId="77777777" w:rsidR="007873D5" w:rsidRPr="001E353D" w:rsidRDefault="007873D5" w:rsidP="00711F75">
            <w:pPr>
              <w:pStyle w:val="TableText"/>
            </w:pPr>
            <w:r w:rsidRPr="001E353D">
              <w:rPr>
                <w:bCs/>
              </w:rPr>
              <w:t>Federal Statute:</w:t>
            </w:r>
            <w:r w:rsidRPr="001E353D">
              <w:t> </w:t>
            </w:r>
          </w:p>
          <w:p w14:paraId="13052254" w14:textId="77777777" w:rsidR="007873D5" w:rsidRPr="001E353D" w:rsidRDefault="007873D5" w:rsidP="00711F75">
            <w:pPr>
              <w:pStyle w:val="TableText"/>
            </w:pPr>
            <w:r w:rsidRPr="001E353D">
              <w:t>WIOA Title IV (Rehabilitation Act of 1973) </w:t>
            </w:r>
          </w:p>
        </w:tc>
        <w:tc>
          <w:tcPr>
            <w:tcW w:w="3402" w:type="dxa"/>
            <w:vAlign w:val="center"/>
            <w:hideMark/>
          </w:tcPr>
          <w:p w14:paraId="4702B620" w14:textId="77777777" w:rsidR="007873D5" w:rsidRPr="001E353D" w:rsidRDefault="007873D5" w:rsidP="00711F75">
            <w:pPr>
              <w:pStyle w:val="TableText"/>
            </w:pPr>
            <w:r w:rsidRPr="001E353D">
              <w:t>Requires TWC to establish medical rates for payment for VR services.  TWC must compare the proposed rate schedule to other cost-based and resource-based rates for medical services, including Medicaid and Medicaid.  Any rates that exceed Medicaid or Medicaid rates must have the reasons for it documented.  TWC must allow time for interested parties to comment on the rate schedule</w:t>
            </w:r>
            <w:r>
              <w:t>.</w:t>
            </w:r>
          </w:p>
        </w:tc>
      </w:tr>
      <w:tr w:rsidR="007873D5" w:rsidRPr="001E353D" w14:paraId="34E9F14D" w14:textId="77777777" w:rsidTr="00711F75">
        <w:trPr>
          <w:trHeight w:val="1830"/>
        </w:trPr>
        <w:tc>
          <w:tcPr>
            <w:tcW w:w="2604" w:type="dxa"/>
            <w:vAlign w:val="center"/>
            <w:hideMark/>
          </w:tcPr>
          <w:p w14:paraId="190BEED9" w14:textId="77777777" w:rsidR="007873D5" w:rsidRPr="001E353D" w:rsidRDefault="007873D5" w:rsidP="00711F75">
            <w:pPr>
              <w:pStyle w:val="TableText"/>
            </w:pPr>
            <w:r w:rsidRPr="001E353D">
              <w:t>TWC-VR Subrogation </w:t>
            </w:r>
          </w:p>
        </w:tc>
        <w:tc>
          <w:tcPr>
            <w:tcW w:w="3166" w:type="dxa"/>
            <w:vAlign w:val="center"/>
            <w:hideMark/>
          </w:tcPr>
          <w:p w14:paraId="79D6B0A1" w14:textId="77777777" w:rsidR="007873D5" w:rsidRPr="001E353D" w:rsidRDefault="007873D5" w:rsidP="00711F75">
            <w:pPr>
              <w:pStyle w:val="TableText"/>
            </w:pPr>
            <w:r w:rsidRPr="001E353D">
              <w:rPr>
                <w:bCs/>
              </w:rPr>
              <w:t>State Statute:</w:t>
            </w:r>
            <w:r w:rsidRPr="001E353D">
              <w:t> </w:t>
            </w:r>
          </w:p>
          <w:p w14:paraId="3C42FA5D" w14:textId="77777777" w:rsidR="007873D5" w:rsidRPr="001E353D" w:rsidRDefault="007873D5" w:rsidP="00711F75">
            <w:pPr>
              <w:pStyle w:val="TableText"/>
            </w:pPr>
            <w:r w:rsidRPr="001E353D">
              <w:t>Labor Code §352.058 </w:t>
            </w:r>
          </w:p>
        </w:tc>
        <w:tc>
          <w:tcPr>
            <w:tcW w:w="3402" w:type="dxa"/>
            <w:vAlign w:val="center"/>
            <w:hideMark/>
          </w:tcPr>
          <w:p w14:paraId="708B8E96" w14:textId="77777777" w:rsidR="007873D5" w:rsidRPr="001E353D" w:rsidRDefault="007873D5" w:rsidP="00711F75">
            <w:pPr>
              <w:pStyle w:val="TableText"/>
            </w:pPr>
            <w:r w:rsidRPr="001E353D">
              <w:t>Gives TWC the right of subrogation for VR and medical services for recovery from personal insurance, another person with personal injury, any other source.  TWC is limited to actual costs and can waive the subrogation right. TWC can adopt rules regarding the right of subrogation</w:t>
            </w:r>
            <w:r>
              <w:t>.</w:t>
            </w:r>
          </w:p>
        </w:tc>
      </w:tr>
      <w:tr w:rsidR="007873D5" w:rsidRPr="001E353D" w14:paraId="2CB88065" w14:textId="77777777" w:rsidTr="00711F75">
        <w:trPr>
          <w:trHeight w:val="1830"/>
        </w:trPr>
        <w:tc>
          <w:tcPr>
            <w:tcW w:w="2604" w:type="dxa"/>
            <w:vAlign w:val="center"/>
            <w:hideMark/>
          </w:tcPr>
          <w:p w14:paraId="0DDAE487" w14:textId="77777777" w:rsidR="007873D5" w:rsidRPr="001E353D" w:rsidRDefault="007873D5" w:rsidP="00711F75">
            <w:pPr>
              <w:pStyle w:val="TableText"/>
            </w:pPr>
            <w:r w:rsidRPr="001E353D">
              <w:t>TWC-VR Provision of Services </w:t>
            </w:r>
          </w:p>
        </w:tc>
        <w:tc>
          <w:tcPr>
            <w:tcW w:w="3166" w:type="dxa"/>
            <w:vAlign w:val="center"/>
            <w:hideMark/>
          </w:tcPr>
          <w:p w14:paraId="217DC272" w14:textId="77777777" w:rsidR="007873D5" w:rsidRPr="001E353D" w:rsidRDefault="007873D5" w:rsidP="00711F75">
            <w:pPr>
              <w:pStyle w:val="TableText"/>
            </w:pPr>
            <w:r w:rsidRPr="001E353D">
              <w:rPr>
                <w:bCs/>
              </w:rPr>
              <w:t>State Statute: </w:t>
            </w:r>
            <w:r w:rsidRPr="001E353D">
              <w:t> </w:t>
            </w:r>
          </w:p>
          <w:p w14:paraId="70995A1D" w14:textId="77777777" w:rsidR="007873D5" w:rsidRPr="001E353D" w:rsidRDefault="007873D5" w:rsidP="00711F75">
            <w:pPr>
              <w:pStyle w:val="TableText"/>
            </w:pPr>
            <w:r w:rsidRPr="001E353D">
              <w:t>Labor Code §352.103  </w:t>
            </w:r>
          </w:p>
          <w:p w14:paraId="46230E69" w14:textId="77777777" w:rsidR="007873D5" w:rsidRPr="001E353D" w:rsidRDefault="007873D5" w:rsidP="00711F75">
            <w:pPr>
              <w:pStyle w:val="TableText"/>
            </w:pPr>
            <w:r w:rsidRPr="001E353D">
              <w:t>Human Res, Code §91.0211, 111.0511</w:t>
            </w:r>
            <w:r w:rsidRPr="001E353D">
              <w:rPr>
                <w:bCs/>
              </w:rPr>
              <w:t xml:space="preserve">State Rule: </w:t>
            </w:r>
            <w:r w:rsidRPr="001E353D">
              <w:t>40 TAC §850 </w:t>
            </w:r>
          </w:p>
          <w:p w14:paraId="49EC9FFF" w14:textId="77777777" w:rsidR="007873D5" w:rsidRPr="001E353D" w:rsidRDefault="007873D5" w:rsidP="00711F75">
            <w:pPr>
              <w:pStyle w:val="TableText"/>
            </w:pPr>
            <w:r w:rsidRPr="001E353D">
              <w:rPr>
                <w:bCs/>
              </w:rPr>
              <w:t xml:space="preserve">Federal Law: </w:t>
            </w:r>
            <w:r w:rsidRPr="001E353D">
              <w:t>29 U.S.C. 721(a)(2) </w:t>
            </w:r>
          </w:p>
          <w:p w14:paraId="6CA2733A" w14:textId="23673F63" w:rsidR="007873D5" w:rsidRPr="001E353D" w:rsidRDefault="007873D5" w:rsidP="00711F75">
            <w:pPr>
              <w:pStyle w:val="TableText"/>
            </w:pPr>
            <w:r w:rsidRPr="001E353D">
              <w:rPr>
                <w:bCs/>
              </w:rPr>
              <w:t xml:space="preserve">Federal Reg: </w:t>
            </w:r>
            <w:r w:rsidRPr="001E353D">
              <w:t>34 CFR §361.13 </w:t>
            </w:r>
          </w:p>
        </w:tc>
        <w:tc>
          <w:tcPr>
            <w:tcW w:w="3402" w:type="dxa"/>
            <w:vAlign w:val="center"/>
            <w:hideMark/>
          </w:tcPr>
          <w:p w14:paraId="2F2B5715" w14:textId="77777777" w:rsidR="007873D5" w:rsidRPr="001E353D" w:rsidRDefault="007873D5" w:rsidP="00711F75">
            <w:pPr>
              <w:pStyle w:val="TableText"/>
            </w:pPr>
            <w:r w:rsidRPr="001E353D">
              <w:t xml:space="preserve">Requires TWC to adopt rules to establish and maintain guidelines for VR services consistent with state and federal law to include a system for delivery of VR services statewide, eligibility requirements, requirements for the VR planning process, what types of services that may be provided, and requirements for client participation in the cost of VR services.  TWC must assess the </w:t>
            </w:r>
            <w:r w:rsidRPr="001E353D">
              <w:lastRenderedPageBreak/>
              <w:t>effectiveness of the VR program annually.</w:t>
            </w:r>
          </w:p>
        </w:tc>
      </w:tr>
      <w:tr w:rsidR="007873D5" w:rsidRPr="001E353D" w14:paraId="16570BD4" w14:textId="77777777" w:rsidTr="00711F75">
        <w:trPr>
          <w:trHeight w:val="1830"/>
        </w:trPr>
        <w:tc>
          <w:tcPr>
            <w:tcW w:w="2604" w:type="dxa"/>
            <w:vAlign w:val="center"/>
            <w:hideMark/>
          </w:tcPr>
          <w:p w14:paraId="3D226C46" w14:textId="77777777" w:rsidR="007873D5" w:rsidRPr="001E353D" w:rsidRDefault="007873D5" w:rsidP="00711F75">
            <w:pPr>
              <w:pStyle w:val="TableText"/>
            </w:pPr>
            <w:r w:rsidRPr="001E353D">
              <w:t>TWC-VR Authority Over Vending Machine Services at State Facilities </w:t>
            </w:r>
          </w:p>
        </w:tc>
        <w:tc>
          <w:tcPr>
            <w:tcW w:w="3166" w:type="dxa"/>
            <w:vAlign w:val="center"/>
            <w:hideMark/>
          </w:tcPr>
          <w:p w14:paraId="6CA07B24" w14:textId="77777777" w:rsidR="007873D5" w:rsidRPr="001E353D" w:rsidRDefault="007873D5" w:rsidP="00711F75">
            <w:pPr>
              <w:pStyle w:val="TableText"/>
            </w:pPr>
            <w:r w:rsidRPr="001E353D">
              <w:rPr>
                <w:bCs/>
              </w:rPr>
              <w:t>State Statute:</w:t>
            </w:r>
            <w:r w:rsidRPr="001E353D">
              <w:t> </w:t>
            </w:r>
          </w:p>
          <w:p w14:paraId="63A0F961" w14:textId="77777777" w:rsidR="007873D5" w:rsidRPr="001E353D" w:rsidRDefault="007873D5" w:rsidP="00711F75">
            <w:pPr>
              <w:pStyle w:val="TableText"/>
            </w:pPr>
            <w:r w:rsidRPr="001E353D">
              <w:t>Labor Code §355.002, §355.003, §355.012 </w:t>
            </w:r>
          </w:p>
          <w:p w14:paraId="318BEE42" w14:textId="77777777" w:rsidR="007873D5" w:rsidRPr="001E353D" w:rsidRDefault="007873D5" w:rsidP="00711F75">
            <w:pPr>
              <w:pStyle w:val="TableText"/>
            </w:pPr>
            <w:r w:rsidRPr="001E353D">
              <w:rPr>
                <w:bCs/>
              </w:rPr>
              <w:t>State Rule:</w:t>
            </w:r>
            <w:r w:rsidRPr="001E353D">
              <w:t> </w:t>
            </w:r>
          </w:p>
          <w:p w14:paraId="604022A8" w14:textId="77777777" w:rsidR="007873D5" w:rsidRPr="001E353D" w:rsidRDefault="007873D5" w:rsidP="00711F75">
            <w:pPr>
              <w:pStyle w:val="TableText"/>
            </w:pPr>
            <w:r w:rsidRPr="001E353D">
              <w:t>40 TAC §854</w:t>
            </w:r>
            <w:r w:rsidRPr="001E353D">
              <w:rPr>
                <w:bCs/>
              </w:rPr>
              <w:t> </w:t>
            </w:r>
            <w:r w:rsidRPr="001E353D">
              <w:t> </w:t>
            </w:r>
          </w:p>
          <w:p w14:paraId="177E6837" w14:textId="77777777" w:rsidR="007873D5" w:rsidRPr="001E353D" w:rsidRDefault="007873D5" w:rsidP="00711F75">
            <w:pPr>
              <w:pStyle w:val="TableText"/>
            </w:pPr>
            <w:r w:rsidRPr="001E353D">
              <w:rPr>
                <w:bCs/>
              </w:rPr>
              <w:t>Federal Law: </w:t>
            </w:r>
            <w:r w:rsidRPr="001E353D">
              <w:t> </w:t>
            </w:r>
          </w:p>
          <w:p w14:paraId="6770D002" w14:textId="77777777" w:rsidR="007873D5" w:rsidRPr="001E353D" w:rsidRDefault="007873D5" w:rsidP="00711F75">
            <w:pPr>
              <w:pStyle w:val="TableText"/>
            </w:pPr>
            <w:r w:rsidRPr="001E353D">
              <w:t>Randolph-Sheppard Act 20 U.S.C. § 107 et seq </w:t>
            </w:r>
          </w:p>
        </w:tc>
        <w:tc>
          <w:tcPr>
            <w:tcW w:w="3402" w:type="dxa"/>
            <w:vAlign w:val="center"/>
            <w:hideMark/>
          </w:tcPr>
          <w:p w14:paraId="6DE8C83F" w14:textId="77777777" w:rsidR="007873D5" w:rsidRPr="001E353D" w:rsidRDefault="007873D5" w:rsidP="00711F75">
            <w:pPr>
              <w:pStyle w:val="TableText"/>
            </w:pPr>
            <w:r w:rsidRPr="001E353D">
              <w:t>TWC has sole authority to issue licenses to disabled people to run vending services on state facility premises.  TWC determines if a vending facility is appropriate.  TWC may make rules and procedures necessary to implement this chapter</w:t>
            </w:r>
            <w:r>
              <w:t>.</w:t>
            </w:r>
          </w:p>
        </w:tc>
      </w:tr>
      <w:tr w:rsidR="007873D5" w:rsidRPr="001E353D" w14:paraId="5AA64636" w14:textId="77777777" w:rsidTr="00711F75">
        <w:trPr>
          <w:trHeight w:val="1830"/>
        </w:trPr>
        <w:tc>
          <w:tcPr>
            <w:tcW w:w="2604" w:type="dxa"/>
            <w:vAlign w:val="center"/>
            <w:hideMark/>
          </w:tcPr>
          <w:p w14:paraId="246D9012" w14:textId="77777777" w:rsidR="007873D5" w:rsidRPr="001E353D" w:rsidRDefault="007873D5" w:rsidP="00711F75">
            <w:pPr>
              <w:pStyle w:val="TableText"/>
            </w:pPr>
            <w:r w:rsidRPr="001E353D">
              <w:t>TWC-VR Authority to administer the BET Program </w:t>
            </w:r>
          </w:p>
        </w:tc>
        <w:tc>
          <w:tcPr>
            <w:tcW w:w="3166" w:type="dxa"/>
            <w:vAlign w:val="center"/>
            <w:hideMark/>
          </w:tcPr>
          <w:p w14:paraId="1A3CC407" w14:textId="77777777" w:rsidR="007873D5" w:rsidRPr="001E353D" w:rsidRDefault="007873D5" w:rsidP="00711F75">
            <w:pPr>
              <w:pStyle w:val="TableText"/>
            </w:pPr>
            <w:r w:rsidRPr="001E353D">
              <w:rPr>
                <w:bCs/>
              </w:rPr>
              <w:t>State Statute:</w:t>
            </w:r>
            <w:r w:rsidRPr="001E353D">
              <w:t> </w:t>
            </w:r>
            <w:r w:rsidRPr="001E353D">
              <w:br/>
              <w:t>Labor Code §355.016 </w:t>
            </w:r>
          </w:p>
          <w:p w14:paraId="283910F1" w14:textId="77777777" w:rsidR="007873D5" w:rsidRPr="001E353D" w:rsidRDefault="007873D5" w:rsidP="00711F75">
            <w:pPr>
              <w:pStyle w:val="TableText"/>
            </w:pPr>
            <w:r w:rsidRPr="001E353D">
              <w:rPr>
                <w:bCs/>
              </w:rPr>
              <w:t xml:space="preserve">State Rule: </w:t>
            </w:r>
            <w:r w:rsidRPr="001E353D">
              <w:t>40 TAC §854 </w:t>
            </w:r>
          </w:p>
          <w:p w14:paraId="304BC392" w14:textId="77777777" w:rsidR="007873D5" w:rsidRPr="001E353D" w:rsidRDefault="007873D5" w:rsidP="00711F75">
            <w:pPr>
              <w:pStyle w:val="TableText"/>
            </w:pPr>
            <w:r w:rsidRPr="001E353D">
              <w:rPr>
                <w:bCs/>
              </w:rPr>
              <w:t>Federal Statute:</w:t>
            </w:r>
            <w:r w:rsidRPr="001E353D">
              <w:t> </w:t>
            </w:r>
          </w:p>
          <w:p w14:paraId="659A7F98" w14:textId="77777777" w:rsidR="007873D5" w:rsidRPr="001E353D" w:rsidRDefault="007873D5" w:rsidP="00711F75">
            <w:pPr>
              <w:pStyle w:val="TableText"/>
            </w:pPr>
            <w:r w:rsidRPr="001E353D">
              <w:t>Randolph-Sheppard Act (20 U.S.C. Section 107 et seq.)</w:t>
            </w:r>
            <w:r>
              <w:t>.</w:t>
            </w:r>
          </w:p>
        </w:tc>
        <w:tc>
          <w:tcPr>
            <w:tcW w:w="3402" w:type="dxa"/>
            <w:vAlign w:val="center"/>
            <w:hideMark/>
          </w:tcPr>
          <w:p w14:paraId="731DD5F6" w14:textId="77777777" w:rsidR="007873D5" w:rsidRPr="001E353D" w:rsidRDefault="007873D5" w:rsidP="00711F75">
            <w:pPr>
              <w:pStyle w:val="TableText"/>
            </w:pPr>
            <w:r w:rsidRPr="001E353D">
              <w:t xml:space="preserve">TWC has sole authority to administer the Blind Enterprises of Texas program in accordance with federal law.  BET Managers run vending facilities on state and federal sites.  As part of the program, TWC must administer a trust fund for set-aside fees paid from proceeds of BET Manager </w:t>
            </w:r>
            <w:r>
              <w:t>commission</w:t>
            </w:r>
            <w:r w:rsidRPr="001E353D">
              <w:t>s.</w:t>
            </w:r>
          </w:p>
        </w:tc>
      </w:tr>
      <w:tr w:rsidR="007873D5" w:rsidRPr="001E353D" w14:paraId="378C883A" w14:textId="77777777" w:rsidTr="00711F75">
        <w:trPr>
          <w:trHeight w:val="390"/>
        </w:trPr>
        <w:tc>
          <w:tcPr>
            <w:tcW w:w="9172" w:type="dxa"/>
            <w:gridSpan w:val="3"/>
            <w:vAlign w:val="center"/>
            <w:hideMark/>
          </w:tcPr>
          <w:p w14:paraId="37E06B98" w14:textId="77777777" w:rsidR="007873D5" w:rsidRPr="00037937" w:rsidRDefault="007873D5" w:rsidP="008978DC">
            <w:pPr>
              <w:pStyle w:val="TableText"/>
              <w:jc w:val="center"/>
              <w:rPr>
                <w:b/>
              </w:rPr>
            </w:pPr>
            <w:r w:rsidRPr="00037937">
              <w:rPr>
                <w:b/>
              </w:rPr>
              <w:t>TWC Coordination with Other Entities</w:t>
            </w:r>
          </w:p>
        </w:tc>
      </w:tr>
      <w:tr w:rsidR="007873D5" w:rsidRPr="001E353D" w14:paraId="127EF471" w14:textId="77777777" w:rsidTr="00711F75">
        <w:trPr>
          <w:trHeight w:val="1365"/>
        </w:trPr>
        <w:tc>
          <w:tcPr>
            <w:tcW w:w="2604" w:type="dxa"/>
            <w:vAlign w:val="center"/>
            <w:hideMark/>
          </w:tcPr>
          <w:p w14:paraId="2552E307" w14:textId="77777777" w:rsidR="007873D5" w:rsidRPr="001E353D" w:rsidRDefault="007873D5" w:rsidP="00711F75">
            <w:pPr>
              <w:pStyle w:val="TableText"/>
            </w:pPr>
            <w:r w:rsidRPr="001E353D">
              <w:t>All State Agencies </w:t>
            </w:r>
          </w:p>
        </w:tc>
        <w:tc>
          <w:tcPr>
            <w:tcW w:w="3166" w:type="dxa"/>
            <w:vAlign w:val="center"/>
            <w:hideMark/>
          </w:tcPr>
          <w:p w14:paraId="77DC41BB" w14:textId="77777777" w:rsidR="007873D5" w:rsidRPr="001E353D" w:rsidRDefault="007873D5" w:rsidP="00711F75">
            <w:pPr>
              <w:pStyle w:val="TableText"/>
            </w:pPr>
            <w:r w:rsidRPr="001E353D">
              <w:rPr>
                <w:bCs/>
              </w:rPr>
              <w:t>State Statute:</w:t>
            </w:r>
            <w:r w:rsidRPr="001E353D">
              <w:t> </w:t>
            </w:r>
          </w:p>
          <w:p w14:paraId="57D299FE" w14:textId="77777777" w:rsidR="007873D5" w:rsidRPr="001E353D" w:rsidRDefault="007873D5" w:rsidP="00711F75">
            <w:pPr>
              <w:pStyle w:val="TableText"/>
            </w:pPr>
            <w:r w:rsidRPr="001E353D">
              <w:t>Government Code </w:t>
            </w:r>
          </w:p>
          <w:p w14:paraId="456A973D" w14:textId="77777777" w:rsidR="007873D5" w:rsidRPr="001E353D" w:rsidRDefault="007873D5" w:rsidP="00711F75">
            <w:pPr>
              <w:pStyle w:val="TableText"/>
            </w:pPr>
            <w:r w:rsidRPr="001E353D">
              <w:t>§656.001 </w:t>
            </w:r>
          </w:p>
        </w:tc>
        <w:tc>
          <w:tcPr>
            <w:tcW w:w="3402" w:type="dxa"/>
            <w:vAlign w:val="center"/>
            <w:hideMark/>
          </w:tcPr>
          <w:p w14:paraId="2538E391" w14:textId="77777777" w:rsidR="007873D5" w:rsidRPr="001E353D" w:rsidRDefault="007873D5" w:rsidP="00711F75">
            <w:pPr>
              <w:pStyle w:val="TableText"/>
            </w:pPr>
            <w:r w:rsidRPr="001E353D">
              <w:t>Requires any agency, board, bureau, commission, committee, council, court, department, institution, or office in the executive or judicial branch of state government that has an employment opening for which persons outside the agency will be considered to list the opening with TWC. See WorkInTexas.com</w:t>
            </w:r>
            <w:r>
              <w:t>.</w:t>
            </w:r>
          </w:p>
        </w:tc>
      </w:tr>
      <w:tr w:rsidR="007873D5" w:rsidRPr="001E353D" w14:paraId="4A3338B7" w14:textId="77777777" w:rsidTr="00711F75">
        <w:trPr>
          <w:trHeight w:val="1605"/>
        </w:trPr>
        <w:tc>
          <w:tcPr>
            <w:tcW w:w="2604" w:type="dxa"/>
            <w:vAlign w:val="center"/>
            <w:hideMark/>
          </w:tcPr>
          <w:p w14:paraId="2B744075" w14:textId="77777777" w:rsidR="007873D5" w:rsidRPr="001E353D" w:rsidRDefault="007873D5" w:rsidP="00711F75">
            <w:pPr>
              <w:pStyle w:val="TableText"/>
            </w:pPr>
            <w:r w:rsidRPr="001E353D">
              <w:t>County Mass Transit Authority </w:t>
            </w:r>
          </w:p>
        </w:tc>
        <w:tc>
          <w:tcPr>
            <w:tcW w:w="3166" w:type="dxa"/>
            <w:vAlign w:val="center"/>
            <w:hideMark/>
          </w:tcPr>
          <w:p w14:paraId="25D9A531" w14:textId="77777777" w:rsidR="007873D5" w:rsidRPr="001E353D" w:rsidRDefault="007873D5" w:rsidP="00711F75">
            <w:pPr>
              <w:pStyle w:val="TableText"/>
            </w:pPr>
            <w:r w:rsidRPr="001E353D">
              <w:rPr>
                <w:bCs/>
              </w:rPr>
              <w:t>State Statute:</w:t>
            </w:r>
            <w:r w:rsidRPr="001E353D">
              <w:t> </w:t>
            </w:r>
          </w:p>
          <w:p w14:paraId="29A316BA" w14:textId="77777777" w:rsidR="007873D5" w:rsidRPr="001E353D" w:rsidRDefault="007873D5" w:rsidP="00711F75">
            <w:pPr>
              <w:pStyle w:val="TableText"/>
            </w:pPr>
            <w:r w:rsidRPr="001E353D">
              <w:t>Transportation Code </w:t>
            </w:r>
          </w:p>
          <w:p w14:paraId="70ABB3CF" w14:textId="77777777" w:rsidR="007873D5" w:rsidRPr="001E353D" w:rsidRDefault="007873D5" w:rsidP="00711F75">
            <w:pPr>
              <w:pStyle w:val="TableText"/>
            </w:pPr>
            <w:r w:rsidRPr="001E353D">
              <w:t>§457.151 </w:t>
            </w:r>
          </w:p>
        </w:tc>
        <w:tc>
          <w:tcPr>
            <w:tcW w:w="3402" w:type="dxa"/>
            <w:vAlign w:val="center"/>
            <w:hideMark/>
          </w:tcPr>
          <w:p w14:paraId="061E0F07" w14:textId="77777777" w:rsidR="007873D5" w:rsidRPr="001E353D" w:rsidRDefault="007873D5" w:rsidP="00711F75">
            <w:pPr>
              <w:pStyle w:val="TableText"/>
            </w:pPr>
            <w:r w:rsidRPr="001E353D">
              <w:t>Requires an authority to contract with TWC to provide, in accordance with federal law, transportation services to a person who resides in the area served by the authority and is receiving financial assistance under TANF. The contract should include guidelines on transportation location, trip vouchers, reimbursement, and return of undistributed vouchers</w:t>
            </w:r>
            <w:r>
              <w:t>.</w:t>
            </w:r>
          </w:p>
        </w:tc>
      </w:tr>
      <w:tr w:rsidR="007873D5" w:rsidRPr="001E353D" w14:paraId="6647635A" w14:textId="77777777" w:rsidTr="00711F75">
        <w:trPr>
          <w:trHeight w:val="1605"/>
        </w:trPr>
        <w:tc>
          <w:tcPr>
            <w:tcW w:w="2604" w:type="dxa"/>
            <w:vAlign w:val="center"/>
            <w:hideMark/>
          </w:tcPr>
          <w:p w14:paraId="2A138EA9" w14:textId="77777777" w:rsidR="007873D5" w:rsidRPr="001E353D" w:rsidRDefault="007873D5" w:rsidP="00711F75">
            <w:pPr>
              <w:pStyle w:val="TableText"/>
            </w:pPr>
            <w:r w:rsidRPr="001E353D">
              <w:t>TWC-VR Program cooperation with State entities </w:t>
            </w:r>
          </w:p>
        </w:tc>
        <w:tc>
          <w:tcPr>
            <w:tcW w:w="3166" w:type="dxa"/>
            <w:vAlign w:val="center"/>
            <w:hideMark/>
          </w:tcPr>
          <w:p w14:paraId="4B54BC7D" w14:textId="77777777" w:rsidR="007873D5" w:rsidRPr="001E353D" w:rsidRDefault="007873D5" w:rsidP="00711F75">
            <w:pPr>
              <w:pStyle w:val="TableText"/>
            </w:pPr>
            <w:r w:rsidRPr="001E353D">
              <w:rPr>
                <w:bCs/>
              </w:rPr>
              <w:t>State Statute:</w:t>
            </w:r>
            <w:r w:rsidRPr="001E353D">
              <w:t> </w:t>
            </w:r>
          </w:p>
          <w:p w14:paraId="0CCFF21D" w14:textId="77777777" w:rsidR="007873D5" w:rsidRPr="001E353D" w:rsidRDefault="007873D5" w:rsidP="00711F75">
            <w:pPr>
              <w:pStyle w:val="TableText"/>
            </w:pPr>
            <w:r w:rsidRPr="001E353D">
              <w:rPr>
                <w:bCs/>
              </w:rPr>
              <w:t>Labor Code §352.051</w:t>
            </w:r>
            <w:r w:rsidRPr="001E353D">
              <w:t> </w:t>
            </w:r>
          </w:p>
          <w:p w14:paraId="2087E8D3" w14:textId="77777777" w:rsidR="007873D5" w:rsidRPr="001E353D" w:rsidRDefault="007873D5" w:rsidP="00711F75">
            <w:pPr>
              <w:pStyle w:val="TableText"/>
            </w:pPr>
            <w:r w:rsidRPr="001E353D">
              <w:rPr>
                <w:bCs/>
              </w:rPr>
              <w:t>State Rule:  40 TAC §850.6</w:t>
            </w:r>
            <w:r w:rsidRPr="001E353D">
              <w:t> </w:t>
            </w:r>
          </w:p>
          <w:p w14:paraId="18FBB987" w14:textId="77777777" w:rsidR="007873D5" w:rsidRPr="001E353D" w:rsidRDefault="007873D5" w:rsidP="00711F75">
            <w:pPr>
              <w:pStyle w:val="TableText"/>
            </w:pPr>
            <w:r w:rsidRPr="001E353D">
              <w:rPr>
                <w:bCs/>
              </w:rPr>
              <w:t>Federal Law:</w:t>
            </w:r>
            <w:r w:rsidRPr="001E353D">
              <w:t> </w:t>
            </w:r>
          </w:p>
          <w:p w14:paraId="0C091F7A" w14:textId="77777777" w:rsidR="007873D5" w:rsidRPr="001E353D" w:rsidRDefault="007873D5" w:rsidP="00711F75">
            <w:pPr>
              <w:pStyle w:val="TableText"/>
            </w:pPr>
            <w:r w:rsidRPr="001E353D">
              <w:t>29 U.S.C. 709(c) </w:t>
            </w:r>
          </w:p>
          <w:p w14:paraId="55093DF9" w14:textId="77777777" w:rsidR="007873D5" w:rsidRPr="001E353D" w:rsidRDefault="007873D5" w:rsidP="00711F75">
            <w:pPr>
              <w:pStyle w:val="TableText"/>
            </w:pPr>
            <w:r w:rsidRPr="001E353D">
              <w:rPr>
                <w:bCs/>
              </w:rPr>
              <w:t>Federal Reg:</w:t>
            </w:r>
            <w:r w:rsidRPr="001E353D">
              <w:t> </w:t>
            </w:r>
          </w:p>
          <w:p w14:paraId="5E9B4B34" w14:textId="77777777" w:rsidR="007873D5" w:rsidRPr="001E353D" w:rsidRDefault="007873D5" w:rsidP="00711F75">
            <w:pPr>
              <w:pStyle w:val="TableText"/>
            </w:pPr>
            <w:r w:rsidRPr="001E353D">
              <w:rPr>
                <w:bCs/>
              </w:rPr>
              <w:t>34 CFR §361.28</w:t>
            </w:r>
            <w:r w:rsidRPr="001E353D">
              <w:t> </w:t>
            </w:r>
          </w:p>
        </w:tc>
        <w:tc>
          <w:tcPr>
            <w:tcW w:w="3402" w:type="dxa"/>
            <w:vAlign w:val="center"/>
            <w:hideMark/>
          </w:tcPr>
          <w:p w14:paraId="06A0EA41" w14:textId="77777777" w:rsidR="007873D5" w:rsidRPr="001E353D" w:rsidRDefault="007873D5" w:rsidP="00711F75">
            <w:pPr>
              <w:pStyle w:val="TableText"/>
            </w:pPr>
            <w:r w:rsidRPr="001E353D">
              <w:t>Allows TWC to cooperate and enter into reciprocal agreements with other public and private agencies to study problems and establish, develop, and provide necessary facilities and services for VR</w:t>
            </w:r>
            <w:r>
              <w:t>.</w:t>
            </w:r>
          </w:p>
        </w:tc>
      </w:tr>
      <w:tr w:rsidR="007873D5" w:rsidRPr="001E353D" w14:paraId="40BC30DA" w14:textId="77777777" w:rsidTr="00711F75">
        <w:trPr>
          <w:trHeight w:val="1605"/>
        </w:trPr>
        <w:tc>
          <w:tcPr>
            <w:tcW w:w="2604" w:type="dxa"/>
            <w:vAlign w:val="center"/>
            <w:hideMark/>
          </w:tcPr>
          <w:p w14:paraId="5BBB662F" w14:textId="77777777" w:rsidR="007873D5" w:rsidRPr="001E353D" w:rsidRDefault="007873D5" w:rsidP="00711F75">
            <w:pPr>
              <w:pStyle w:val="TableText"/>
            </w:pPr>
            <w:r w:rsidRPr="001E353D">
              <w:lastRenderedPageBreak/>
              <w:t>TWC-VR Cooperation with Federal Government </w:t>
            </w:r>
          </w:p>
        </w:tc>
        <w:tc>
          <w:tcPr>
            <w:tcW w:w="3166" w:type="dxa"/>
            <w:vAlign w:val="center"/>
            <w:hideMark/>
          </w:tcPr>
          <w:p w14:paraId="3F4C07E5" w14:textId="77777777" w:rsidR="007873D5" w:rsidRPr="001E353D" w:rsidRDefault="007873D5" w:rsidP="00711F75">
            <w:pPr>
              <w:pStyle w:val="TableText"/>
            </w:pPr>
            <w:r w:rsidRPr="001E353D">
              <w:rPr>
                <w:bCs/>
              </w:rPr>
              <w:t>State Statute:</w:t>
            </w:r>
            <w:r w:rsidRPr="001E353D">
              <w:t> </w:t>
            </w:r>
          </w:p>
          <w:p w14:paraId="62D7A877" w14:textId="77777777" w:rsidR="007873D5" w:rsidRPr="001E353D" w:rsidRDefault="007873D5" w:rsidP="00711F75">
            <w:pPr>
              <w:pStyle w:val="TableText"/>
            </w:pPr>
            <w:r w:rsidRPr="001E353D">
              <w:rPr>
                <w:bCs/>
              </w:rPr>
              <w:t>Labor Code §352.052</w:t>
            </w:r>
            <w:r w:rsidRPr="001E353D">
              <w:t> </w:t>
            </w:r>
          </w:p>
          <w:p w14:paraId="0666D9FD" w14:textId="77777777" w:rsidR="007873D5" w:rsidRPr="001E353D" w:rsidRDefault="007873D5" w:rsidP="00711F75">
            <w:pPr>
              <w:pStyle w:val="TableText"/>
            </w:pPr>
            <w:r w:rsidRPr="001E353D">
              <w:rPr>
                <w:bCs/>
              </w:rPr>
              <w:t xml:space="preserve">State Rule:  40 </w:t>
            </w:r>
            <w:proofErr w:type="gramStart"/>
            <w:r w:rsidRPr="001E353D">
              <w:rPr>
                <w:bCs/>
              </w:rPr>
              <w:t>TAC  §</w:t>
            </w:r>
            <w:proofErr w:type="gramEnd"/>
            <w:r w:rsidRPr="001E353D">
              <w:rPr>
                <w:bCs/>
              </w:rPr>
              <w:t>850.6</w:t>
            </w:r>
            <w:r w:rsidRPr="001E353D">
              <w:t> </w:t>
            </w:r>
          </w:p>
          <w:p w14:paraId="32C582F2" w14:textId="77777777" w:rsidR="007873D5" w:rsidRPr="001E353D" w:rsidRDefault="007873D5" w:rsidP="00711F75">
            <w:pPr>
              <w:pStyle w:val="TableText"/>
            </w:pPr>
            <w:r w:rsidRPr="001E353D">
              <w:rPr>
                <w:bCs/>
              </w:rPr>
              <w:t>Federal law:</w:t>
            </w:r>
            <w:r w:rsidRPr="001E353D">
              <w:t> </w:t>
            </w:r>
          </w:p>
          <w:p w14:paraId="5E3D550E" w14:textId="5D2E3B3D" w:rsidR="007873D5" w:rsidRPr="001E353D" w:rsidRDefault="007873D5" w:rsidP="00711F75">
            <w:pPr>
              <w:pStyle w:val="TableText"/>
            </w:pPr>
            <w:r w:rsidRPr="001E353D">
              <w:rPr>
                <w:rFonts w:cs="Arial"/>
              </w:rPr>
              <w:t> </w:t>
            </w:r>
            <w:r w:rsidRPr="001E353D">
              <w:t>U.S.C.</w:t>
            </w:r>
            <w:r w:rsidRPr="001E353D">
              <w:rPr>
                <w:rFonts w:cs="Arial"/>
              </w:rPr>
              <w:t> </w:t>
            </w:r>
            <w:r w:rsidRPr="001E353D">
              <w:t>709(c)</w:t>
            </w:r>
            <w:r w:rsidRPr="001E353D">
              <w:rPr>
                <w:rFonts w:cs="Arial"/>
              </w:rPr>
              <w:t> </w:t>
            </w:r>
            <w:r w:rsidRPr="001E353D">
              <w:t>and</w:t>
            </w:r>
            <w:r w:rsidRPr="001E353D">
              <w:rPr>
                <w:rFonts w:cs="Arial"/>
              </w:rPr>
              <w:t> </w:t>
            </w:r>
            <w:r w:rsidRPr="001E353D">
              <w:t>721(a)(6)</w:t>
            </w:r>
            <w:r w:rsidRPr="001E353D">
              <w:rPr>
                <w:rFonts w:cs="Arial"/>
              </w:rPr>
              <w:t> </w:t>
            </w:r>
            <w:r w:rsidRPr="001E353D">
              <w:t>and (a)(10)(A) </w:t>
            </w:r>
          </w:p>
          <w:p w14:paraId="71F4DD70" w14:textId="77777777" w:rsidR="007873D5" w:rsidRPr="001E353D" w:rsidRDefault="007873D5" w:rsidP="00711F75">
            <w:pPr>
              <w:pStyle w:val="TableText"/>
            </w:pPr>
            <w:r w:rsidRPr="001E353D">
              <w:rPr>
                <w:bCs/>
              </w:rPr>
              <w:t>Federal Reg:</w:t>
            </w:r>
            <w:r w:rsidRPr="001E353D">
              <w:t> </w:t>
            </w:r>
          </w:p>
          <w:p w14:paraId="59E00C58" w14:textId="77777777" w:rsidR="007873D5" w:rsidRPr="001E353D" w:rsidRDefault="007873D5" w:rsidP="00711F75">
            <w:pPr>
              <w:pStyle w:val="TableText"/>
            </w:pPr>
            <w:r w:rsidRPr="001E353D">
              <w:rPr>
                <w:bCs/>
              </w:rPr>
              <w:t xml:space="preserve">34 </w:t>
            </w:r>
            <w:proofErr w:type="gramStart"/>
            <w:r w:rsidRPr="001E353D">
              <w:rPr>
                <w:bCs/>
              </w:rPr>
              <w:t>CFR  §</w:t>
            </w:r>
            <w:proofErr w:type="gramEnd"/>
            <w:r w:rsidRPr="001E353D">
              <w:rPr>
                <w:bCs/>
              </w:rPr>
              <w:t>361.12</w:t>
            </w:r>
            <w:r w:rsidRPr="001E353D">
              <w:t> </w:t>
            </w:r>
          </w:p>
        </w:tc>
        <w:tc>
          <w:tcPr>
            <w:tcW w:w="3402" w:type="dxa"/>
            <w:vAlign w:val="center"/>
            <w:hideMark/>
          </w:tcPr>
          <w:p w14:paraId="03467326" w14:textId="77777777" w:rsidR="007873D5" w:rsidRPr="001E353D" w:rsidRDefault="007873D5" w:rsidP="00711F75">
            <w:pPr>
              <w:pStyle w:val="TableText"/>
            </w:pPr>
            <w:r w:rsidRPr="001E353D">
              <w:t>Requires TWC to cooperate with the federal government to accomplish administration of the VR program.  Cooperation includes agreements or plans for efficient administration and compliance with other federal laws.  It allows TWC to comply with any requirements to obtain the maximum and most advantageous funding</w:t>
            </w:r>
            <w:r>
              <w:t>.</w:t>
            </w:r>
          </w:p>
        </w:tc>
      </w:tr>
      <w:tr w:rsidR="007873D5" w:rsidRPr="001E353D" w14:paraId="3F276CA1" w14:textId="77777777" w:rsidTr="00711F75">
        <w:trPr>
          <w:trHeight w:val="1605"/>
        </w:trPr>
        <w:tc>
          <w:tcPr>
            <w:tcW w:w="2604" w:type="dxa"/>
            <w:vAlign w:val="center"/>
            <w:hideMark/>
          </w:tcPr>
          <w:p w14:paraId="0EAAEFF2" w14:textId="77777777" w:rsidR="007873D5" w:rsidRPr="001E353D" w:rsidRDefault="007873D5" w:rsidP="00711F75">
            <w:pPr>
              <w:pStyle w:val="TableText"/>
            </w:pPr>
            <w:r w:rsidRPr="001E353D">
              <w:t>TWC-VR Cooperation with Texas Education Agency (TEA) </w:t>
            </w:r>
          </w:p>
        </w:tc>
        <w:tc>
          <w:tcPr>
            <w:tcW w:w="3166" w:type="dxa"/>
            <w:vAlign w:val="center"/>
            <w:hideMark/>
          </w:tcPr>
          <w:p w14:paraId="4EC3CBBD" w14:textId="77777777" w:rsidR="007873D5" w:rsidRPr="001E353D" w:rsidRDefault="007873D5" w:rsidP="00711F75">
            <w:pPr>
              <w:pStyle w:val="TableText"/>
            </w:pPr>
            <w:r w:rsidRPr="001E353D">
              <w:rPr>
                <w:bCs/>
              </w:rPr>
              <w:t>State Statute:</w:t>
            </w:r>
            <w:r w:rsidRPr="001E353D">
              <w:t> </w:t>
            </w:r>
          </w:p>
          <w:p w14:paraId="486BEDAC" w14:textId="77777777" w:rsidR="007873D5" w:rsidRPr="001E353D" w:rsidRDefault="007873D5" w:rsidP="00711F75">
            <w:pPr>
              <w:pStyle w:val="TableText"/>
            </w:pPr>
            <w:r w:rsidRPr="001E353D">
              <w:rPr>
                <w:bCs/>
              </w:rPr>
              <w:t>Labor Code §352.108</w:t>
            </w:r>
            <w:r w:rsidRPr="001E353D">
              <w:t> </w:t>
            </w:r>
          </w:p>
          <w:p w14:paraId="6F89BB6B" w14:textId="77777777" w:rsidR="007873D5" w:rsidRPr="001E353D" w:rsidRDefault="007873D5" w:rsidP="00711F75">
            <w:pPr>
              <w:pStyle w:val="TableText"/>
            </w:pPr>
            <w:r w:rsidRPr="001E353D">
              <w:rPr>
                <w:bCs/>
              </w:rPr>
              <w:t>Federal Law:</w:t>
            </w:r>
            <w:r w:rsidRPr="001E353D">
              <w:t> </w:t>
            </w:r>
          </w:p>
          <w:p w14:paraId="11E7F335" w14:textId="77777777" w:rsidR="007873D5" w:rsidRPr="001E353D" w:rsidRDefault="007873D5" w:rsidP="00711F75">
            <w:pPr>
              <w:pStyle w:val="TableText"/>
            </w:pPr>
            <w:r w:rsidRPr="001E353D">
              <w:rPr>
                <w:rFonts w:cs="Arial"/>
              </w:rPr>
              <w:t>  </w:t>
            </w:r>
            <w:r w:rsidRPr="001E353D">
              <w:t>U.S.C.</w:t>
            </w:r>
            <w:r w:rsidRPr="001E353D">
              <w:rPr>
                <w:rFonts w:cs="Arial"/>
              </w:rPr>
              <w:t> </w:t>
            </w:r>
            <w:r w:rsidRPr="001E353D">
              <w:t>709(c),</w:t>
            </w:r>
            <w:r w:rsidRPr="001E353D">
              <w:rPr>
                <w:rFonts w:cs="Arial"/>
              </w:rPr>
              <w:t> </w:t>
            </w:r>
            <w:r w:rsidRPr="001E353D">
              <w:t>721(a)(11)(D),</w:t>
            </w:r>
            <w:r w:rsidRPr="001E353D">
              <w:rPr>
                <w:rFonts w:cs="Arial"/>
              </w:rPr>
              <w:t> </w:t>
            </w:r>
            <w:r w:rsidRPr="001E353D">
              <w:t>721(c), and</w:t>
            </w:r>
            <w:r w:rsidRPr="001E353D">
              <w:rPr>
                <w:rFonts w:cs="Arial"/>
              </w:rPr>
              <w:t> </w:t>
            </w:r>
            <w:r w:rsidRPr="001E353D">
              <w:t>794g </w:t>
            </w:r>
          </w:p>
          <w:p w14:paraId="0A69EB22" w14:textId="77777777" w:rsidR="007873D5" w:rsidRPr="001E353D" w:rsidRDefault="007873D5" w:rsidP="00711F75">
            <w:pPr>
              <w:pStyle w:val="TableText"/>
            </w:pPr>
            <w:r w:rsidRPr="001E353D">
              <w:rPr>
                <w:bCs/>
              </w:rPr>
              <w:t>Federal Reg:</w:t>
            </w:r>
            <w:r w:rsidRPr="001E353D">
              <w:t> </w:t>
            </w:r>
          </w:p>
          <w:p w14:paraId="1C6E37A4" w14:textId="77777777" w:rsidR="007873D5" w:rsidRPr="001E353D" w:rsidRDefault="007873D5" w:rsidP="00711F75">
            <w:pPr>
              <w:pStyle w:val="TableText"/>
            </w:pPr>
            <w:r w:rsidRPr="001E353D">
              <w:rPr>
                <w:bCs/>
              </w:rPr>
              <w:t xml:space="preserve">34 </w:t>
            </w:r>
            <w:proofErr w:type="gramStart"/>
            <w:r w:rsidRPr="001E353D">
              <w:rPr>
                <w:bCs/>
              </w:rPr>
              <w:t>CFR  §</w:t>
            </w:r>
            <w:proofErr w:type="gramEnd"/>
            <w:r w:rsidRPr="001E353D">
              <w:rPr>
                <w:bCs/>
              </w:rPr>
              <w:t>361.22</w:t>
            </w:r>
            <w:r w:rsidRPr="001E353D">
              <w:t> </w:t>
            </w:r>
          </w:p>
        </w:tc>
        <w:tc>
          <w:tcPr>
            <w:tcW w:w="3402" w:type="dxa"/>
            <w:vAlign w:val="center"/>
            <w:hideMark/>
          </w:tcPr>
          <w:p w14:paraId="4B596293" w14:textId="77777777" w:rsidR="007873D5" w:rsidRPr="001E353D" w:rsidRDefault="007873D5" w:rsidP="00711F75">
            <w:pPr>
              <w:pStyle w:val="TableText"/>
            </w:pPr>
            <w:r w:rsidRPr="001E353D">
              <w:t>Requires TWC and TEA to collaborate to create transition services for secondary school students to postsecondary schools or competitive integrated employment.  They must also develop a mechanism to identify the areas of the state with the greatest need for the services</w:t>
            </w:r>
            <w:r>
              <w:t>.</w:t>
            </w:r>
          </w:p>
        </w:tc>
      </w:tr>
      <w:tr w:rsidR="007873D5" w:rsidRPr="001E353D" w14:paraId="1938132F" w14:textId="77777777" w:rsidTr="00711F75">
        <w:trPr>
          <w:trHeight w:val="2745"/>
        </w:trPr>
        <w:tc>
          <w:tcPr>
            <w:tcW w:w="2604" w:type="dxa"/>
            <w:vAlign w:val="center"/>
            <w:hideMark/>
          </w:tcPr>
          <w:p w14:paraId="667F4469" w14:textId="77777777" w:rsidR="007873D5" w:rsidRPr="001E353D" w:rsidRDefault="007873D5" w:rsidP="00711F75">
            <w:pPr>
              <w:pStyle w:val="TableText"/>
            </w:pPr>
            <w:r w:rsidRPr="001E353D">
              <w:t>Community Justice Task Force </w:t>
            </w:r>
          </w:p>
        </w:tc>
        <w:tc>
          <w:tcPr>
            <w:tcW w:w="3166" w:type="dxa"/>
            <w:vAlign w:val="center"/>
            <w:hideMark/>
          </w:tcPr>
          <w:p w14:paraId="3B706DE0" w14:textId="77777777" w:rsidR="007873D5" w:rsidRPr="001E353D" w:rsidRDefault="007873D5" w:rsidP="00711F75">
            <w:pPr>
              <w:pStyle w:val="TableText"/>
            </w:pPr>
            <w:r w:rsidRPr="001E353D">
              <w:rPr>
                <w:bCs/>
              </w:rPr>
              <w:t>State Statute:</w:t>
            </w:r>
            <w:r w:rsidRPr="001E353D">
              <w:t> </w:t>
            </w:r>
          </w:p>
          <w:p w14:paraId="6333FC45" w14:textId="77777777" w:rsidR="007873D5" w:rsidRPr="001E353D" w:rsidRDefault="007873D5" w:rsidP="00711F75">
            <w:pPr>
              <w:pStyle w:val="TableText"/>
            </w:pPr>
            <w:r w:rsidRPr="001E353D">
              <w:t>Government Code §§ </w:t>
            </w:r>
          </w:p>
          <w:p w14:paraId="5C61D15C" w14:textId="77777777" w:rsidR="007873D5" w:rsidRPr="001E353D" w:rsidRDefault="007873D5" w:rsidP="00711F75">
            <w:pPr>
              <w:pStyle w:val="TableText"/>
            </w:pPr>
            <w:r w:rsidRPr="001E353D">
              <w:t>76.003 and 76.014 </w:t>
            </w:r>
          </w:p>
        </w:tc>
        <w:tc>
          <w:tcPr>
            <w:tcW w:w="3402" w:type="dxa"/>
            <w:vAlign w:val="center"/>
            <w:hideMark/>
          </w:tcPr>
          <w:p w14:paraId="2FA99EA6" w14:textId="77777777" w:rsidR="007873D5" w:rsidRPr="001E353D" w:rsidRDefault="007873D5" w:rsidP="00711F75">
            <w:pPr>
              <w:pStyle w:val="TableText"/>
            </w:pPr>
            <w:r w:rsidRPr="001E353D">
              <w:t>Requires a TWC representative, with responsibility for the geographic area, to be appointed to a community justice task force, appointed by a community justice council, established by district judges to provide continuing policy guidance and direction for the development of community justice plans and community correction facilities, programs, and conditions of community supervision. Allows a community supervision and corrections department, with the assistance of TWC, TWIC, LWDBs and other appropriate public and private entities, to establish a developmental program for a defendant to assist and enhance defendant’s educational skills and vocational training</w:t>
            </w:r>
            <w:r>
              <w:t>.</w:t>
            </w:r>
          </w:p>
        </w:tc>
      </w:tr>
      <w:tr w:rsidR="007873D5" w:rsidRPr="001E353D" w14:paraId="3E9F6123" w14:textId="77777777" w:rsidTr="00711F75">
        <w:trPr>
          <w:trHeight w:val="1605"/>
        </w:trPr>
        <w:tc>
          <w:tcPr>
            <w:tcW w:w="2604" w:type="dxa"/>
            <w:vAlign w:val="center"/>
            <w:hideMark/>
          </w:tcPr>
          <w:p w14:paraId="1744B37D" w14:textId="77777777" w:rsidR="007873D5" w:rsidRPr="001E353D" w:rsidRDefault="007873D5" w:rsidP="00711F75">
            <w:pPr>
              <w:pStyle w:val="TableText"/>
            </w:pPr>
            <w:r>
              <w:t>Criminal Justice Policy Council </w:t>
            </w:r>
          </w:p>
        </w:tc>
        <w:tc>
          <w:tcPr>
            <w:tcW w:w="3166" w:type="dxa"/>
            <w:vAlign w:val="center"/>
            <w:hideMark/>
          </w:tcPr>
          <w:p w14:paraId="41A68BD7" w14:textId="77777777" w:rsidR="007873D5" w:rsidRPr="001E353D" w:rsidRDefault="007873D5" w:rsidP="00711F75">
            <w:pPr>
              <w:pStyle w:val="TableText"/>
            </w:pPr>
            <w:r w:rsidRPr="001E353D">
              <w:rPr>
                <w:bCs/>
              </w:rPr>
              <w:t>State Statute:</w:t>
            </w:r>
            <w:r w:rsidRPr="001E353D">
              <w:t> </w:t>
            </w:r>
          </w:p>
          <w:p w14:paraId="2D4F913F" w14:textId="77777777" w:rsidR="007873D5" w:rsidRPr="001E353D" w:rsidRDefault="007873D5" w:rsidP="00711F75">
            <w:pPr>
              <w:pStyle w:val="TableText"/>
            </w:pPr>
            <w:r w:rsidRPr="001E353D">
              <w:t>Government Code </w:t>
            </w:r>
          </w:p>
          <w:p w14:paraId="6083E511" w14:textId="77777777" w:rsidR="007873D5" w:rsidRPr="001E353D" w:rsidRDefault="007873D5" w:rsidP="00711F75">
            <w:pPr>
              <w:pStyle w:val="TableText"/>
            </w:pPr>
            <w:r w:rsidRPr="001E353D">
              <w:t>§413.022 </w:t>
            </w:r>
          </w:p>
        </w:tc>
        <w:tc>
          <w:tcPr>
            <w:tcW w:w="3402" w:type="dxa"/>
            <w:vAlign w:val="center"/>
            <w:hideMark/>
          </w:tcPr>
          <w:p w14:paraId="3EF7AC72" w14:textId="77777777" w:rsidR="007873D5" w:rsidRPr="001E353D" w:rsidRDefault="007873D5" w:rsidP="00711F75">
            <w:pPr>
              <w:pStyle w:val="TableText"/>
            </w:pPr>
            <w:r w:rsidRPr="001E353D">
              <w:t>Requires the Council to develop methods for measuring success of each program or service determined by Texas Board of Criminal Justice to be designed for the primary purpose of rehabilitating inmates. For recidivism performance reviews, requires TWC, a provider of a program or service or representative of Sam Houston State University, or TDCJ to assist CJPC upon request</w:t>
            </w:r>
            <w:r>
              <w:t>.</w:t>
            </w:r>
          </w:p>
        </w:tc>
      </w:tr>
      <w:tr w:rsidR="007873D5" w:rsidRPr="001E353D" w14:paraId="2358D81F" w14:textId="77777777" w:rsidTr="00711F75">
        <w:trPr>
          <w:trHeight w:val="2055"/>
        </w:trPr>
        <w:tc>
          <w:tcPr>
            <w:tcW w:w="2604" w:type="dxa"/>
            <w:vAlign w:val="center"/>
            <w:hideMark/>
          </w:tcPr>
          <w:p w14:paraId="035E5FC0" w14:textId="77777777" w:rsidR="007873D5" w:rsidRPr="001E353D" w:rsidRDefault="007873D5" w:rsidP="00711F75">
            <w:pPr>
              <w:pStyle w:val="TableText"/>
            </w:pPr>
            <w:r>
              <w:lastRenderedPageBreak/>
              <w:t>Department of Assistive and Rehabilitative Services (DARS) </w:t>
            </w:r>
          </w:p>
        </w:tc>
        <w:tc>
          <w:tcPr>
            <w:tcW w:w="3166" w:type="dxa"/>
            <w:vAlign w:val="center"/>
            <w:hideMark/>
          </w:tcPr>
          <w:p w14:paraId="568BE8AB" w14:textId="77777777" w:rsidR="007873D5" w:rsidRPr="001E353D" w:rsidRDefault="007873D5" w:rsidP="00711F75">
            <w:pPr>
              <w:pStyle w:val="TableText"/>
            </w:pPr>
            <w:r w:rsidRPr="001E353D">
              <w:rPr>
                <w:bCs/>
              </w:rPr>
              <w:t>State Statute:</w:t>
            </w:r>
            <w:r w:rsidRPr="001E353D">
              <w:t> </w:t>
            </w:r>
          </w:p>
          <w:p w14:paraId="5069D07F" w14:textId="08092E9D" w:rsidR="007873D5" w:rsidRPr="001E353D" w:rsidRDefault="007873D5" w:rsidP="00711F75">
            <w:pPr>
              <w:pStyle w:val="TableText"/>
            </w:pPr>
            <w:r w:rsidRPr="001E353D">
              <w:t>Human Resources Code §81.017; Human Resources Code §111.0525(c) </w:t>
            </w:r>
          </w:p>
        </w:tc>
        <w:tc>
          <w:tcPr>
            <w:tcW w:w="3402" w:type="dxa"/>
            <w:vAlign w:val="center"/>
            <w:hideMark/>
          </w:tcPr>
          <w:p w14:paraId="067072F4" w14:textId="77777777" w:rsidR="007873D5" w:rsidRPr="001E353D" w:rsidRDefault="007873D5" w:rsidP="00711F75">
            <w:pPr>
              <w:pStyle w:val="TableText"/>
            </w:pPr>
            <w:r w:rsidRPr="001E353D">
              <w:t>Requires TWC to adopt an MOU for delivery of services in coordination with other state agencies providing services to persons who are deaf or hard of hearing</w:t>
            </w:r>
            <w:r>
              <w:t>.</w:t>
            </w:r>
          </w:p>
          <w:p w14:paraId="22F6B3D0" w14:textId="77777777" w:rsidR="007873D5" w:rsidRPr="001E353D" w:rsidRDefault="007873D5" w:rsidP="00711F75">
            <w:pPr>
              <w:pStyle w:val="TableText"/>
            </w:pPr>
            <w:r w:rsidRPr="001E353D">
              <w:t xml:space="preserve">Requires </w:t>
            </w:r>
            <w:r>
              <w:t>TWC</w:t>
            </w:r>
            <w:r w:rsidRPr="001E353D">
              <w:t xml:space="preserve"> to establish a formal referral process with TWC to ensure that appropriate vocational rehabilitation clients are referred to and receive services provided by TWC or LWDBs</w:t>
            </w:r>
            <w:r>
              <w:t>.</w:t>
            </w:r>
          </w:p>
          <w:p w14:paraId="6D5CFCBD" w14:textId="77777777" w:rsidR="007873D5" w:rsidRPr="001E353D" w:rsidRDefault="007873D5" w:rsidP="00711F75">
            <w:pPr>
              <w:pStyle w:val="TableText"/>
            </w:pPr>
            <w:r w:rsidRPr="001E353D">
              <w:t>NOTE:  DARS ceased administering services and programs September 1, 2016.  TWC was simultaneously designated the state unit responsible for providing Vocational Rehabilitation Services</w:t>
            </w:r>
            <w:r>
              <w:t>.</w:t>
            </w:r>
          </w:p>
        </w:tc>
      </w:tr>
      <w:tr w:rsidR="007873D5" w:rsidRPr="001E353D" w14:paraId="042FE565" w14:textId="77777777" w:rsidTr="00711F75">
        <w:trPr>
          <w:trHeight w:val="1365"/>
        </w:trPr>
        <w:tc>
          <w:tcPr>
            <w:tcW w:w="2604" w:type="dxa"/>
            <w:vAlign w:val="center"/>
            <w:hideMark/>
          </w:tcPr>
          <w:p w14:paraId="2267E1AC" w14:textId="77777777" w:rsidR="007873D5" w:rsidRPr="001E353D" w:rsidRDefault="007873D5" w:rsidP="00711F75">
            <w:pPr>
              <w:pStyle w:val="TableText"/>
            </w:pPr>
            <w:r w:rsidRPr="001E353D">
              <w:t>Department of Family and Protective Services (DFPS) </w:t>
            </w:r>
          </w:p>
        </w:tc>
        <w:tc>
          <w:tcPr>
            <w:tcW w:w="3166" w:type="dxa"/>
            <w:vAlign w:val="center"/>
            <w:hideMark/>
          </w:tcPr>
          <w:p w14:paraId="0649571C" w14:textId="77777777" w:rsidR="007873D5" w:rsidRPr="001E353D" w:rsidRDefault="007873D5" w:rsidP="00711F75">
            <w:pPr>
              <w:pStyle w:val="TableText"/>
            </w:pPr>
            <w:r w:rsidRPr="001E353D">
              <w:rPr>
                <w:bCs/>
              </w:rPr>
              <w:t>State Statute:</w:t>
            </w:r>
            <w:r w:rsidRPr="001E353D">
              <w:t> </w:t>
            </w:r>
          </w:p>
          <w:p w14:paraId="469F758F" w14:textId="77777777" w:rsidR="007873D5" w:rsidRPr="001E353D" w:rsidRDefault="007873D5" w:rsidP="00711F75">
            <w:pPr>
              <w:pStyle w:val="TableText"/>
            </w:pPr>
            <w:r w:rsidRPr="001E353D">
              <w:t>Family Code § 264.121 </w:t>
            </w:r>
          </w:p>
        </w:tc>
        <w:tc>
          <w:tcPr>
            <w:tcW w:w="3402" w:type="dxa"/>
            <w:vAlign w:val="center"/>
            <w:hideMark/>
          </w:tcPr>
          <w:p w14:paraId="6E6DC51D" w14:textId="77777777" w:rsidR="007873D5" w:rsidRPr="001E353D" w:rsidRDefault="007873D5" w:rsidP="00711F75">
            <w:pPr>
              <w:pStyle w:val="TableText"/>
            </w:pPr>
            <w:r w:rsidRPr="001E353D">
              <w:t>Requires DFPS to address unique challenges facing foster children transitioning to independent living (Preparation for Adult Living Program or PAL). Requires DFPS to enter into cooperative agreements with TWC and LWDBs to further the objectives of the PAL Program</w:t>
            </w:r>
            <w:r>
              <w:t>.</w:t>
            </w:r>
          </w:p>
        </w:tc>
      </w:tr>
      <w:tr w:rsidR="007873D5" w:rsidRPr="001E353D" w14:paraId="6849D3C5" w14:textId="77777777" w:rsidTr="00711F75">
        <w:trPr>
          <w:trHeight w:val="1380"/>
        </w:trPr>
        <w:tc>
          <w:tcPr>
            <w:tcW w:w="2604" w:type="dxa"/>
            <w:vAlign w:val="center"/>
            <w:hideMark/>
          </w:tcPr>
          <w:p w14:paraId="3C8010E9" w14:textId="77777777" w:rsidR="007873D5" w:rsidRPr="001E353D" w:rsidRDefault="007873D5" w:rsidP="00711F75">
            <w:pPr>
              <w:pStyle w:val="TableText"/>
            </w:pPr>
            <w:r w:rsidRPr="001E353D">
              <w:t>Department of Public Safety (DPS) </w:t>
            </w:r>
          </w:p>
        </w:tc>
        <w:tc>
          <w:tcPr>
            <w:tcW w:w="3166" w:type="dxa"/>
            <w:vAlign w:val="center"/>
            <w:hideMark/>
          </w:tcPr>
          <w:p w14:paraId="18157D7C" w14:textId="77777777" w:rsidR="007873D5" w:rsidRPr="001E353D" w:rsidRDefault="007873D5" w:rsidP="00711F75">
            <w:pPr>
              <w:pStyle w:val="TableText"/>
            </w:pPr>
            <w:r w:rsidRPr="001E353D">
              <w:rPr>
                <w:bCs/>
              </w:rPr>
              <w:t>State Statute:</w:t>
            </w:r>
            <w:r w:rsidRPr="001E353D">
              <w:t> </w:t>
            </w:r>
          </w:p>
          <w:p w14:paraId="0B7BB26D" w14:textId="77777777" w:rsidR="007873D5" w:rsidRPr="001E353D" w:rsidRDefault="007873D5" w:rsidP="00711F75">
            <w:pPr>
              <w:pStyle w:val="TableText"/>
            </w:pPr>
            <w:r w:rsidRPr="001E353D">
              <w:t>Government Code § 411.104 </w:t>
            </w:r>
          </w:p>
        </w:tc>
        <w:tc>
          <w:tcPr>
            <w:tcW w:w="3402" w:type="dxa"/>
            <w:vAlign w:val="center"/>
            <w:hideMark/>
          </w:tcPr>
          <w:p w14:paraId="2378B1CD" w14:textId="77777777" w:rsidR="007873D5" w:rsidRPr="001E353D" w:rsidRDefault="007873D5" w:rsidP="00711F75">
            <w:pPr>
              <w:pStyle w:val="TableText"/>
            </w:pPr>
            <w:r w:rsidRPr="001E353D">
              <w:t>Entitles TWC to obtain access from DPS criminal history information maintained by DPS that relates to a person who is an applicant for a security sensitive position. Such information may not be released or disclosed, except on court order or written consent of the subject person</w:t>
            </w:r>
            <w:r>
              <w:t>.</w:t>
            </w:r>
          </w:p>
        </w:tc>
      </w:tr>
      <w:tr w:rsidR="007873D5" w:rsidRPr="001E353D" w14:paraId="22E09C5E" w14:textId="77777777" w:rsidTr="00711F75">
        <w:trPr>
          <w:trHeight w:val="2295"/>
        </w:trPr>
        <w:tc>
          <w:tcPr>
            <w:tcW w:w="2604" w:type="dxa"/>
            <w:vAlign w:val="center"/>
            <w:hideMark/>
          </w:tcPr>
          <w:p w14:paraId="734E25A6" w14:textId="77777777" w:rsidR="007873D5" w:rsidRPr="001E353D" w:rsidRDefault="007873D5" w:rsidP="00711F75">
            <w:pPr>
              <w:pStyle w:val="TableText"/>
            </w:pPr>
            <w:r w:rsidRPr="001E353D">
              <w:t>Governor’s Committee on People with Disabilities </w:t>
            </w:r>
          </w:p>
        </w:tc>
        <w:tc>
          <w:tcPr>
            <w:tcW w:w="3166" w:type="dxa"/>
            <w:vAlign w:val="center"/>
            <w:hideMark/>
          </w:tcPr>
          <w:p w14:paraId="18073F87" w14:textId="77777777" w:rsidR="007873D5" w:rsidRPr="001E353D" w:rsidRDefault="007873D5" w:rsidP="00711F75">
            <w:pPr>
              <w:pStyle w:val="TableText"/>
            </w:pPr>
            <w:r w:rsidRPr="001E353D">
              <w:rPr>
                <w:bCs/>
              </w:rPr>
              <w:t>State Statute:</w:t>
            </w:r>
            <w:r w:rsidRPr="001E353D">
              <w:t> </w:t>
            </w:r>
          </w:p>
          <w:p w14:paraId="691CD902" w14:textId="77777777" w:rsidR="007873D5" w:rsidRPr="001E353D" w:rsidRDefault="007873D5" w:rsidP="00711F75">
            <w:pPr>
              <w:pStyle w:val="TableText"/>
            </w:pPr>
            <w:r w:rsidRPr="001E353D">
              <w:t xml:space="preserve">Human Resources Code §§ 115.001 </w:t>
            </w:r>
            <w:r w:rsidRPr="001E353D">
              <w:rPr>
                <w:i/>
                <w:iCs/>
              </w:rPr>
              <w:t>et seq</w:t>
            </w:r>
            <w:r>
              <w:t>.</w:t>
            </w:r>
          </w:p>
        </w:tc>
        <w:tc>
          <w:tcPr>
            <w:tcW w:w="3402" w:type="dxa"/>
            <w:vAlign w:val="center"/>
            <w:hideMark/>
          </w:tcPr>
          <w:p w14:paraId="12BE200F" w14:textId="77777777" w:rsidR="007873D5" w:rsidRPr="001E353D" w:rsidRDefault="007873D5" w:rsidP="00711F75">
            <w:pPr>
              <w:pStyle w:val="TableText"/>
            </w:pPr>
            <w:r w:rsidRPr="001E353D">
              <w:t>Provides for the Executive Director of TWC to serve on the committee, along with 12 members appointed by the governor and nonvoting ex officio members, including representatives from other state agencies and other officials designated by the Governor who serve with other state agencies that provide services to persons with disabilities. The mission of the committee is to further opportunities for persons with disabilities to enjoy full and equal access to lives of independence, productivity and self-determination</w:t>
            </w:r>
            <w:r>
              <w:t>.</w:t>
            </w:r>
          </w:p>
        </w:tc>
      </w:tr>
      <w:tr w:rsidR="007873D5" w:rsidRPr="001E353D" w14:paraId="3F94F4A0" w14:textId="77777777" w:rsidTr="00711F75">
        <w:trPr>
          <w:trHeight w:val="1365"/>
        </w:trPr>
        <w:tc>
          <w:tcPr>
            <w:tcW w:w="2604" w:type="dxa"/>
            <w:vAlign w:val="center"/>
            <w:hideMark/>
          </w:tcPr>
          <w:p w14:paraId="1DDB8F7A" w14:textId="77777777" w:rsidR="007873D5" w:rsidRPr="001E353D" w:rsidRDefault="007873D5" w:rsidP="00711F75">
            <w:pPr>
              <w:pStyle w:val="TableText"/>
            </w:pPr>
            <w:r w:rsidRPr="001E353D">
              <w:t>Head Start and Early Head Start Programs </w:t>
            </w:r>
          </w:p>
        </w:tc>
        <w:tc>
          <w:tcPr>
            <w:tcW w:w="3166" w:type="dxa"/>
            <w:vAlign w:val="center"/>
            <w:hideMark/>
          </w:tcPr>
          <w:p w14:paraId="0B1C002F" w14:textId="77777777" w:rsidR="007873D5" w:rsidRPr="001E353D" w:rsidRDefault="007873D5" w:rsidP="00711F75">
            <w:pPr>
              <w:pStyle w:val="TableText"/>
            </w:pPr>
            <w:r w:rsidRPr="001E353D">
              <w:rPr>
                <w:bCs/>
              </w:rPr>
              <w:t>State Statute:</w:t>
            </w:r>
            <w:r w:rsidRPr="001E353D">
              <w:t> </w:t>
            </w:r>
          </w:p>
          <w:p w14:paraId="4C3FBBC7" w14:textId="77777777" w:rsidR="007873D5" w:rsidRPr="001E353D" w:rsidRDefault="007873D5" w:rsidP="00711F75">
            <w:pPr>
              <w:pStyle w:val="TableText"/>
            </w:pPr>
            <w:r w:rsidRPr="001E353D">
              <w:t>Human Resources Code §72.003 </w:t>
            </w:r>
          </w:p>
        </w:tc>
        <w:tc>
          <w:tcPr>
            <w:tcW w:w="3402" w:type="dxa"/>
            <w:vAlign w:val="center"/>
            <w:hideMark/>
          </w:tcPr>
          <w:p w14:paraId="44139DAE" w14:textId="77777777" w:rsidR="007873D5" w:rsidRPr="001E353D" w:rsidRDefault="007873D5" w:rsidP="00711F75">
            <w:pPr>
              <w:pStyle w:val="TableText"/>
            </w:pPr>
            <w:r w:rsidRPr="001E353D">
              <w:t>Requires programs to coordinate with TWC and LWDBs regarding subsidized child-care services, including ensuring that full-day, full-year child-care services are available to meet the needs of low-income parents who are working or participating in workforce training or workforce education</w:t>
            </w:r>
            <w:r>
              <w:t>.</w:t>
            </w:r>
          </w:p>
        </w:tc>
      </w:tr>
      <w:tr w:rsidR="007873D5" w:rsidRPr="001E353D" w14:paraId="493453D1" w14:textId="77777777" w:rsidTr="00711F75">
        <w:trPr>
          <w:trHeight w:val="6660"/>
        </w:trPr>
        <w:tc>
          <w:tcPr>
            <w:tcW w:w="2604" w:type="dxa"/>
            <w:vAlign w:val="center"/>
            <w:hideMark/>
          </w:tcPr>
          <w:p w14:paraId="507984DA" w14:textId="77777777" w:rsidR="007873D5" w:rsidRPr="001E353D" w:rsidRDefault="007873D5" w:rsidP="00711F75">
            <w:pPr>
              <w:pStyle w:val="TableText"/>
            </w:pPr>
            <w:r>
              <w:lastRenderedPageBreak/>
              <w:t>Health and Human Services Commission (HHSC) </w:t>
            </w:r>
          </w:p>
        </w:tc>
        <w:tc>
          <w:tcPr>
            <w:tcW w:w="3166" w:type="dxa"/>
            <w:vAlign w:val="center"/>
            <w:hideMark/>
          </w:tcPr>
          <w:p w14:paraId="60EA7A28" w14:textId="77777777" w:rsidR="007873D5" w:rsidRPr="001E353D" w:rsidRDefault="007873D5" w:rsidP="00711F75">
            <w:pPr>
              <w:pStyle w:val="TableText"/>
            </w:pPr>
            <w:r w:rsidRPr="001E353D">
              <w:rPr>
                <w:bCs/>
              </w:rPr>
              <w:t>State Statute:</w:t>
            </w:r>
            <w:r w:rsidRPr="001E353D">
              <w:t> </w:t>
            </w:r>
          </w:p>
          <w:p w14:paraId="1E5D3E01" w14:textId="77777777" w:rsidR="007873D5" w:rsidRPr="001E353D" w:rsidRDefault="007873D5" w:rsidP="00711F75">
            <w:pPr>
              <w:pStyle w:val="TableText"/>
            </w:pPr>
            <w:r>
              <w:t>Human Resources Code Chapter 34 </w:t>
            </w:r>
          </w:p>
        </w:tc>
        <w:tc>
          <w:tcPr>
            <w:tcW w:w="3402" w:type="dxa"/>
            <w:vAlign w:val="center"/>
            <w:hideMark/>
          </w:tcPr>
          <w:p w14:paraId="7A206E4C" w14:textId="77777777" w:rsidR="007873D5" w:rsidRPr="001E353D" w:rsidRDefault="007873D5" w:rsidP="00711F75">
            <w:pPr>
              <w:pStyle w:val="TableText"/>
            </w:pPr>
            <w:r w:rsidRPr="001E353D">
              <w:t>Requires TWC, HHSC and LWDBs to jointly develop and implement a state program of temporary assistance and related support services distinct from the financial assistance program authorized by Human Resources Chapter 31(TANF). The temporary assistance and related support services should only be provided to two-parent families or persons residing in minimum service counties. Such assistance cannot be funded with federal money authorized under Chapter 31. Requires TWC, HHSC and DFPS to adopt all necessary rules for state implementation of the program and requires the formation of an interagency work group. TWC with LWDBs shall study methods to improve the delivery of workforce services to persons residing in minimum service counties and develop recommendations to improve service delivery</w:t>
            </w:r>
            <w:r>
              <w:t>.</w:t>
            </w:r>
          </w:p>
        </w:tc>
      </w:tr>
      <w:tr w:rsidR="007873D5" w:rsidRPr="001E353D" w14:paraId="33609D34" w14:textId="77777777" w:rsidTr="00711F75">
        <w:trPr>
          <w:trHeight w:val="1380"/>
        </w:trPr>
        <w:tc>
          <w:tcPr>
            <w:tcW w:w="2604" w:type="dxa"/>
            <w:vAlign w:val="center"/>
            <w:hideMark/>
          </w:tcPr>
          <w:p w14:paraId="77805CA7" w14:textId="77777777" w:rsidR="007873D5" w:rsidRPr="001E353D" w:rsidRDefault="007873D5" w:rsidP="00711F75">
            <w:pPr>
              <w:pStyle w:val="TableText"/>
            </w:pPr>
            <w:r w:rsidRPr="001E353D">
              <w:t>Interagency Council on Early Childhood Intervention Services </w:t>
            </w:r>
          </w:p>
        </w:tc>
        <w:tc>
          <w:tcPr>
            <w:tcW w:w="3166" w:type="dxa"/>
            <w:vAlign w:val="center"/>
            <w:hideMark/>
          </w:tcPr>
          <w:p w14:paraId="126F69CF" w14:textId="77777777" w:rsidR="007873D5" w:rsidRPr="001E353D" w:rsidRDefault="007873D5" w:rsidP="00711F75">
            <w:pPr>
              <w:pStyle w:val="TableText"/>
            </w:pPr>
            <w:r w:rsidRPr="001E353D">
              <w:rPr>
                <w:bCs/>
              </w:rPr>
              <w:t>State Statute:</w:t>
            </w:r>
            <w:r w:rsidRPr="001E353D">
              <w:t> </w:t>
            </w:r>
          </w:p>
          <w:p w14:paraId="573AD67B" w14:textId="77777777" w:rsidR="007873D5" w:rsidRPr="001E353D" w:rsidRDefault="007873D5" w:rsidP="00711F75">
            <w:pPr>
              <w:pStyle w:val="TableText"/>
            </w:pPr>
            <w:r w:rsidRPr="001E353D">
              <w:t>Human Resources Code §§ 73.001 et seq</w:t>
            </w:r>
            <w:r>
              <w:t>.</w:t>
            </w:r>
          </w:p>
        </w:tc>
        <w:tc>
          <w:tcPr>
            <w:tcW w:w="3402" w:type="dxa"/>
            <w:vAlign w:val="center"/>
            <w:hideMark/>
          </w:tcPr>
          <w:p w14:paraId="074313F0" w14:textId="77777777" w:rsidR="007873D5" w:rsidRPr="001E353D" w:rsidRDefault="007873D5" w:rsidP="00711F75">
            <w:pPr>
              <w:pStyle w:val="TableText"/>
            </w:pPr>
            <w:r w:rsidRPr="001E353D">
              <w:t>Requires a representative from TWC be appointed a non-voting member of the council, along with eight lay-voting members who are family members of children with developmental delay, a voting member representative of TEA, and non-voting representatives from five other agencies</w:t>
            </w:r>
            <w:r>
              <w:t>.</w:t>
            </w:r>
          </w:p>
        </w:tc>
      </w:tr>
      <w:tr w:rsidR="007873D5" w:rsidRPr="001E353D" w14:paraId="63C82F4F" w14:textId="77777777" w:rsidTr="00711F75">
        <w:trPr>
          <w:trHeight w:val="1830"/>
        </w:trPr>
        <w:tc>
          <w:tcPr>
            <w:tcW w:w="2604" w:type="dxa"/>
            <w:vAlign w:val="center"/>
            <w:hideMark/>
          </w:tcPr>
          <w:p w14:paraId="1C7BA484" w14:textId="77777777" w:rsidR="007873D5" w:rsidRPr="001E353D" w:rsidRDefault="007873D5" w:rsidP="00711F75">
            <w:pPr>
              <w:pStyle w:val="TableText"/>
            </w:pPr>
            <w:r w:rsidRPr="001E353D">
              <w:t>Interagency Work Group on Border Issues </w:t>
            </w:r>
          </w:p>
        </w:tc>
        <w:tc>
          <w:tcPr>
            <w:tcW w:w="3166" w:type="dxa"/>
            <w:vAlign w:val="center"/>
            <w:hideMark/>
          </w:tcPr>
          <w:p w14:paraId="4E632083" w14:textId="77777777" w:rsidR="007873D5" w:rsidRPr="001E353D" w:rsidRDefault="007873D5" w:rsidP="00711F75">
            <w:pPr>
              <w:pStyle w:val="TableText"/>
            </w:pPr>
            <w:r w:rsidRPr="001E353D">
              <w:rPr>
                <w:bCs/>
              </w:rPr>
              <w:t xml:space="preserve">State Statute: </w:t>
            </w:r>
            <w:r w:rsidRPr="001E353D">
              <w:t>Government Code § 772.011 </w:t>
            </w:r>
          </w:p>
        </w:tc>
        <w:tc>
          <w:tcPr>
            <w:tcW w:w="3402" w:type="dxa"/>
            <w:vAlign w:val="center"/>
            <w:hideMark/>
          </w:tcPr>
          <w:p w14:paraId="4BE32325" w14:textId="77777777" w:rsidR="007873D5" w:rsidRPr="001E353D" w:rsidRDefault="007873D5" w:rsidP="00711F75">
            <w:pPr>
              <w:pStyle w:val="TableText"/>
            </w:pPr>
            <w:r w:rsidRPr="001E353D">
              <w:t>Requires the head of TWC, or a designee, to annually participate in an interagency work group to develop and update processes relating to border communities, discuss and coordinate programs and services offered to border communities and residents of border communities, and develop regulatory and legislative recommendations to eliminate duplication, and combine program services</w:t>
            </w:r>
            <w:r>
              <w:t>.</w:t>
            </w:r>
          </w:p>
        </w:tc>
      </w:tr>
      <w:tr w:rsidR="007873D5" w:rsidRPr="001E353D" w14:paraId="08C965E7" w14:textId="77777777" w:rsidTr="00711F75">
        <w:trPr>
          <w:trHeight w:val="3210"/>
        </w:trPr>
        <w:tc>
          <w:tcPr>
            <w:tcW w:w="2604" w:type="dxa"/>
            <w:vAlign w:val="center"/>
            <w:hideMark/>
          </w:tcPr>
          <w:p w14:paraId="11CBE6FC" w14:textId="77777777" w:rsidR="007873D5" w:rsidRPr="001E353D" w:rsidRDefault="007873D5" w:rsidP="00711F75">
            <w:pPr>
              <w:pStyle w:val="TableText"/>
            </w:pPr>
            <w:r w:rsidRPr="001E353D">
              <w:lastRenderedPageBreak/>
              <w:t>Office of Rural and Community Affairs (ORCA) </w:t>
            </w:r>
          </w:p>
        </w:tc>
        <w:tc>
          <w:tcPr>
            <w:tcW w:w="3166" w:type="dxa"/>
            <w:vAlign w:val="center"/>
            <w:hideMark/>
          </w:tcPr>
          <w:p w14:paraId="5668F9A2" w14:textId="77777777" w:rsidR="007873D5" w:rsidRPr="001E353D" w:rsidRDefault="007873D5" w:rsidP="00711F75">
            <w:pPr>
              <w:pStyle w:val="TableText"/>
            </w:pPr>
            <w:r w:rsidRPr="001E353D">
              <w:rPr>
                <w:bCs/>
              </w:rPr>
              <w:t>State Statute:</w:t>
            </w:r>
            <w:r w:rsidRPr="001E353D">
              <w:t> </w:t>
            </w:r>
          </w:p>
          <w:p w14:paraId="143D9C83" w14:textId="77777777" w:rsidR="007873D5" w:rsidRPr="001E353D" w:rsidRDefault="007873D5" w:rsidP="00711F75">
            <w:pPr>
              <w:pStyle w:val="TableText"/>
            </w:pPr>
            <w:r w:rsidRPr="001E353D">
              <w:t>Government Code §487.453 </w:t>
            </w:r>
          </w:p>
        </w:tc>
        <w:tc>
          <w:tcPr>
            <w:tcW w:w="3402" w:type="dxa"/>
            <w:vAlign w:val="center"/>
            <w:hideMark/>
          </w:tcPr>
          <w:p w14:paraId="1AAA0D35" w14:textId="77777777" w:rsidR="007873D5" w:rsidRPr="001E353D" w:rsidRDefault="007873D5" w:rsidP="00711F75">
            <w:pPr>
              <w:pStyle w:val="TableText"/>
            </w:pPr>
            <w:r w:rsidRPr="001E353D">
              <w:t>Requires ORCA, in consultation with Area Health Education Center Programs, to coordinate the Community Healthcare Awareness and Mentoring Program for Students with similar programs, including workforce development, scholarships for education, and employment by students administered by TWC, LWDBs and other agencies</w:t>
            </w:r>
            <w:r>
              <w:t>.</w:t>
            </w:r>
          </w:p>
        </w:tc>
      </w:tr>
      <w:tr w:rsidR="007873D5" w:rsidRPr="001E353D" w14:paraId="40CBC4A9" w14:textId="77777777" w:rsidTr="00711F75">
        <w:trPr>
          <w:trHeight w:val="1605"/>
        </w:trPr>
        <w:tc>
          <w:tcPr>
            <w:tcW w:w="2604" w:type="dxa"/>
            <w:vAlign w:val="center"/>
            <w:hideMark/>
          </w:tcPr>
          <w:p w14:paraId="3156F283" w14:textId="77777777" w:rsidR="007873D5" w:rsidRPr="001E353D" w:rsidRDefault="007873D5" w:rsidP="00711F75">
            <w:pPr>
              <w:pStyle w:val="TableText"/>
            </w:pPr>
            <w:r>
              <w:t>P-16 Council </w:t>
            </w:r>
          </w:p>
        </w:tc>
        <w:tc>
          <w:tcPr>
            <w:tcW w:w="3166" w:type="dxa"/>
            <w:vAlign w:val="center"/>
            <w:hideMark/>
          </w:tcPr>
          <w:p w14:paraId="6FA249C7" w14:textId="77777777" w:rsidR="007873D5" w:rsidRPr="001E353D" w:rsidRDefault="007873D5" w:rsidP="00711F75">
            <w:pPr>
              <w:pStyle w:val="TableText"/>
            </w:pPr>
            <w:r w:rsidRPr="001E353D">
              <w:rPr>
                <w:bCs/>
              </w:rPr>
              <w:t xml:space="preserve">State Statute: </w:t>
            </w:r>
            <w:r w:rsidRPr="001E353D">
              <w:t>Education Code §61.076 </w:t>
            </w:r>
          </w:p>
        </w:tc>
        <w:tc>
          <w:tcPr>
            <w:tcW w:w="3402" w:type="dxa"/>
            <w:vAlign w:val="center"/>
            <w:hideMark/>
          </w:tcPr>
          <w:p w14:paraId="3FF54E5B" w14:textId="77777777" w:rsidR="007873D5" w:rsidRPr="001E353D" w:rsidRDefault="007873D5" w:rsidP="00711F75">
            <w:pPr>
              <w:pStyle w:val="TableText"/>
            </w:pPr>
            <w:r w:rsidRPr="001E353D">
              <w:t xml:space="preserve">Provides for TWC executive director, along with </w:t>
            </w:r>
            <w:r>
              <w:t>Commission</w:t>
            </w:r>
            <w:r w:rsidRPr="001E353D">
              <w:t xml:space="preserve">ers from TEA, THECB, </w:t>
            </w:r>
            <w:r>
              <w:t>TWC</w:t>
            </w:r>
            <w:r w:rsidRPr="001E353D">
              <w:t>, to serve on the P-16 Council to ensure that long-range plans and educational programs for the state complement the functioning of the entire system of public education, extending from early childhood through postgraduate study</w:t>
            </w:r>
            <w:r>
              <w:t>.</w:t>
            </w:r>
          </w:p>
        </w:tc>
      </w:tr>
      <w:tr w:rsidR="007873D5" w:rsidRPr="001E353D" w14:paraId="126466A6" w14:textId="77777777" w:rsidTr="00711F75">
        <w:trPr>
          <w:trHeight w:val="4815"/>
        </w:trPr>
        <w:tc>
          <w:tcPr>
            <w:tcW w:w="2604" w:type="dxa"/>
            <w:vAlign w:val="center"/>
            <w:hideMark/>
          </w:tcPr>
          <w:p w14:paraId="64446BCC" w14:textId="77777777" w:rsidR="007873D5" w:rsidRPr="001E353D" w:rsidRDefault="007873D5" w:rsidP="00711F75">
            <w:pPr>
              <w:pStyle w:val="TableText"/>
            </w:pPr>
            <w:r w:rsidRPr="001E353D">
              <w:t>Texas Department of Criminal Justice (TDCJ) </w:t>
            </w:r>
          </w:p>
        </w:tc>
        <w:tc>
          <w:tcPr>
            <w:tcW w:w="3166" w:type="dxa"/>
            <w:vAlign w:val="center"/>
            <w:hideMark/>
          </w:tcPr>
          <w:p w14:paraId="2FE85A3C" w14:textId="77777777" w:rsidR="007873D5" w:rsidRPr="001E353D" w:rsidRDefault="007873D5" w:rsidP="00711F75">
            <w:pPr>
              <w:pStyle w:val="TableText"/>
            </w:pPr>
            <w:r w:rsidRPr="001E353D">
              <w:rPr>
                <w:bCs/>
              </w:rPr>
              <w:t xml:space="preserve">State Statute: </w:t>
            </w:r>
            <w:r w:rsidRPr="001E353D">
              <w:t>Education Code §§ 19.0041 and 19.011; Government Code §§ 501.095, 501.097, and 508.319 </w:t>
            </w:r>
          </w:p>
        </w:tc>
        <w:tc>
          <w:tcPr>
            <w:tcW w:w="3402" w:type="dxa"/>
            <w:vAlign w:val="center"/>
            <w:hideMark/>
          </w:tcPr>
          <w:p w14:paraId="7FDA8390" w14:textId="77777777" w:rsidR="007873D5" w:rsidRPr="001E353D" w:rsidRDefault="007873D5" w:rsidP="00711F75">
            <w:pPr>
              <w:pStyle w:val="TableText"/>
            </w:pPr>
            <w:r w:rsidRPr="001E353D">
              <w:t>Requires TWC as well as other agencies to coordinate with TDCJ on matters concerning the Windham School District including vocational education and job training programs</w:t>
            </w:r>
            <w:r>
              <w:t>.</w:t>
            </w:r>
            <w:r w:rsidRPr="001E353D">
              <w:t> </w:t>
            </w:r>
          </w:p>
          <w:p w14:paraId="7CF62E5C" w14:textId="77777777" w:rsidR="007873D5" w:rsidRPr="001E353D" w:rsidRDefault="007873D5" w:rsidP="00711F75">
            <w:pPr>
              <w:pStyle w:val="TableText"/>
            </w:pPr>
            <w:r w:rsidRPr="001E353D">
              <w:t>Requires TWC to develop a MOU with TDCJ regarding their respective responsibilities to establish a continuity of care program for inmates with a history of chronic unemployment</w:t>
            </w:r>
            <w:r>
              <w:t>.</w:t>
            </w:r>
          </w:p>
          <w:p w14:paraId="0B5D73CA" w14:textId="77777777" w:rsidR="007873D5" w:rsidRPr="001E353D" w:rsidRDefault="007873D5" w:rsidP="00711F75">
            <w:pPr>
              <w:pStyle w:val="TableText"/>
            </w:pPr>
            <w:r w:rsidRPr="001E353D">
              <w:t>Requires TWC to develop by rule a MOU with TDCJ that establishes their respective responsibilities for providing inmates who are released into the community on parole or other conditional release with a network of centers designed to provide education, employment and other support services based on a “one stop for service approach.” (Project RIO); no longer receives funding. </w:t>
            </w:r>
          </w:p>
          <w:p w14:paraId="1B2FC34F" w14:textId="77777777" w:rsidR="007873D5" w:rsidRPr="001E353D" w:rsidRDefault="007873D5" w:rsidP="00711F75">
            <w:pPr>
              <w:pStyle w:val="TableText"/>
            </w:pPr>
            <w:r w:rsidRPr="001E353D">
              <w:t>Requires that TWC provide TDCJ and other entities information relating to obtaining financial assistance for programs to assess and enhance educational and vocational skills for inmates to be released</w:t>
            </w:r>
            <w:r>
              <w:t>.</w:t>
            </w:r>
          </w:p>
        </w:tc>
      </w:tr>
      <w:tr w:rsidR="007873D5" w:rsidRPr="001E353D" w14:paraId="5F5E295F" w14:textId="77777777" w:rsidTr="00711F75">
        <w:trPr>
          <w:trHeight w:val="1605"/>
        </w:trPr>
        <w:tc>
          <w:tcPr>
            <w:tcW w:w="2604" w:type="dxa"/>
            <w:vAlign w:val="center"/>
            <w:hideMark/>
          </w:tcPr>
          <w:p w14:paraId="30C2A394" w14:textId="77777777" w:rsidR="007873D5" w:rsidRPr="001E353D" w:rsidRDefault="007873D5" w:rsidP="00711F75">
            <w:pPr>
              <w:pStyle w:val="TableText"/>
            </w:pPr>
            <w:r w:rsidRPr="001E353D">
              <w:lastRenderedPageBreak/>
              <w:t>Texas Department of Housing and Community Affairs (TDHCA) </w:t>
            </w:r>
          </w:p>
        </w:tc>
        <w:tc>
          <w:tcPr>
            <w:tcW w:w="3166" w:type="dxa"/>
            <w:vAlign w:val="center"/>
            <w:hideMark/>
          </w:tcPr>
          <w:p w14:paraId="360A443A" w14:textId="77777777" w:rsidR="007873D5" w:rsidRPr="001E353D" w:rsidRDefault="007873D5" w:rsidP="00711F75">
            <w:pPr>
              <w:pStyle w:val="TableText"/>
            </w:pPr>
            <w:r w:rsidRPr="001E353D">
              <w:rPr>
                <w:bCs/>
              </w:rPr>
              <w:t xml:space="preserve">State Statute: </w:t>
            </w:r>
            <w:r w:rsidRPr="001E353D">
              <w:t>Government Code § 2306.253 </w:t>
            </w:r>
          </w:p>
        </w:tc>
        <w:tc>
          <w:tcPr>
            <w:tcW w:w="3402" w:type="dxa"/>
            <w:vAlign w:val="center"/>
            <w:hideMark/>
          </w:tcPr>
          <w:p w14:paraId="42E82848" w14:textId="77777777" w:rsidR="007873D5" w:rsidRPr="001E353D" w:rsidRDefault="007873D5" w:rsidP="00711F75">
            <w:pPr>
              <w:pStyle w:val="TableText"/>
            </w:pPr>
            <w:r w:rsidRPr="001E353D">
              <w:t>Requires TDHCA to develop a Homebuyer Education Program in cooperation with TWC, Texas Agricultural Extension Service, HHSC, and Real Estate Research Center at Texas A&amp;M University, experienced homebuyer education providers, community-based organizations and advocates for affordable housing</w:t>
            </w:r>
            <w:r>
              <w:t>.</w:t>
            </w:r>
          </w:p>
        </w:tc>
      </w:tr>
      <w:tr w:rsidR="007873D5" w:rsidRPr="001E353D" w14:paraId="5F4C610A" w14:textId="77777777" w:rsidTr="00711F75">
        <w:trPr>
          <w:trHeight w:val="1605"/>
        </w:trPr>
        <w:tc>
          <w:tcPr>
            <w:tcW w:w="2604" w:type="dxa"/>
            <w:vAlign w:val="center"/>
            <w:hideMark/>
          </w:tcPr>
          <w:p w14:paraId="3A660BD6" w14:textId="77777777" w:rsidR="007873D5" w:rsidRPr="001E353D" w:rsidRDefault="007873D5" w:rsidP="00711F75">
            <w:pPr>
              <w:pStyle w:val="TableText"/>
            </w:pPr>
            <w:r w:rsidRPr="001E353D">
              <w:t>Texas Economic Development and Tourism Office </w:t>
            </w:r>
          </w:p>
        </w:tc>
        <w:tc>
          <w:tcPr>
            <w:tcW w:w="3166" w:type="dxa"/>
            <w:vAlign w:val="center"/>
            <w:hideMark/>
          </w:tcPr>
          <w:p w14:paraId="77E0E0EA" w14:textId="77777777" w:rsidR="007873D5" w:rsidRPr="001E353D" w:rsidRDefault="007873D5" w:rsidP="00711F75">
            <w:pPr>
              <w:pStyle w:val="TableText"/>
            </w:pPr>
            <w:r w:rsidRPr="001E353D">
              <w:rPr>
                <w:bCs/>
              </w:rPr>
              <w:t xml:space="preserve">State Statute: </w:t>
            </w:r>
            <w:r w:rsidRPr="001E353D">
              <w:t>Government Code §§ 481.0215 and 481.212 </w:t>
            </w:r>
          </w:p>
        </w:tc>
        <w:tc>
          <w:tcPr>
            <w:tcW w:w="3402" w:type="dxa"/>
            <w:vAlign w:val="center"/>
            <w:hideMark/>
          </w:tcPr>
          <w:p w14:paraId="0921587D" w14:textId="77777777" w:rsidR="007873D5" w:rsidRPr="001E353D" w:rsidRDefault="007873D5" w:rsidP="00711F75">
            <w:pPr>
              <w:pStyle w:val="TableText"/>
            </w:pPr>
            <w:r w:rsidRPr="001E353D">
              <w:t xml:space="preserve">Requires the executive director of the Texas Economic Development and Tourism Office to coordinate economic development efforts with TWC, </w:t>
            </w:r>
            <w:r>
              <w:t xml:space="preserve">TCWEC, </w:t>
            </w:r>
            <w:r w:rsidRPr="001E353D">
              <w:t>TWIC</w:t>
            </w:r>
            <w:r>
              <w:t>,</w:t>
            </w:r>
            <w:r w:rsidRPr="001E353D">
              <w:t xml:space="preserve"> Department of Agriculture and </w:t>
            </w:r>
            <w:r>
              <w:t>ORCA</w:t>
            </w:r>
            <w:r w:rsidRPr="001E353D">
              <w:t>, relating to job training or job creation. Requires the office to obtain business-related statistics and data from TWC and other state agencies</w:t>
            </w:r>
            <w:r>
              <w:t>.</w:t>
            </w:r>
          </w:p>
        </w:tc>
      </w:tr>
      <w:tr w:rsidR="007873D5" w:rsidRPr="001E353D" w14:paraId="3BF8043E" w14:textId="77777777" w:rsidTr="00711F75">
        <w:trPr>
          <w:trHeight w:val="1605"/>
        </w:trPr>
        <w:tc>
          <w:tcPr>
            <w:tcW w:w="2604" w:type="dxa"/>
            <w:vAlign w:val="center"/>
            <w:hideMark/>
          </w:tcPr>
          <w:p w14:paraId="1033AE3A" w14:textId="77777777" w:rsidR="007873D5" w:rsidRPr="001E353D" w:rsidRDefault="007873D5" w:rsidP="00711F75">
            <w:pPr>
              <w:pStyle w:val="TableText"/>
            </w:pPr>
            <w:r w:rsidRPr="001E353D">
              <w:t>Aerospace and Aviation Office  </w:t>
            </w:r>
          </w:p>
        </w:tc>
        <w:tc>
          <w:tcPr>
            <w:tcW w:w="3166" w:type="dxa"/>
            <w:vAlign w:val="center"/>
            <w:hideMark/>
          </w:tcPr>
          <w:p w14:paraId="29AFA8A2" w14:textId="77777777" w:rsidR="007873D5" w:rsidRPr="001E353D" w:rsidRDefault="007873D5" w:rsidP="00711F75">
            <w:pPr>
              <w:pStyle w:val="TableText"/>
            </w:pPr>
            <w:r w:rsidRPr="001E353D">
              <w:rPr>
                <w:bCs/>
              </w:rPr>
              <w:t xml:space="preserve">State Statute: </w:t>
            </w:r>
            <w:r w:rsidRPr="001E353D">
              <w:t>Government Code §§ 481.0066 </w:t>
            </w:r>
          </w:p>
        </w:tc>
        <w:tc>
          <w:tcPr>
            <w:tcW w:w="3402" w:type="dxa"/>
            <w:vAlign w:val="center"/>
            <w:hideMark/>
          </w:tcPr>
          <w:p w14:paraId="52E52638" w14:textId="77777777" w:rsidR="007873D5" w:rsidRPr="001E353D" w:rsidRDefault="007873D5" w:rsidP="00711F75">
            <w:pPr>
              <w:pStyle w:val="TableText"/>
            </w:pPr>
            <w:r w:rsidRPr="001E353D">
              <w:t>Requires TWC to partner with the Texas Economic Development and Tourism Office to support initiatives that address the high technology skills and staff resources needed to better promote the state's efforts in becoming the leading space exploration state in the nation</w:t>
            </w:r>
            <w:r>
              <w:t>.</w:t>
            </w:r>
          </w:p>
        </w:tc>
      </w:tr>
      <w:tr w:rsidR="007873D5" w:rsidRPr="001E353D" w14:paraId="2983FCF5" w14:textId="77777777" w:rsidTr="00711F75">
        <w:trPr>
          <w:trHeight w:val="1605"/>
        </w:trPr>
        <w:tc>
          <w:tcPr>
            <w:tcW w:w="2604" w:type="dxa"/>
            <w:vAlign w:val="center"/>
            <w:hideMark/>
          </w:tcPr>
          <w:p w14:paraId="34C78675" w14:textId="77777777" w:rsidR="007873D5" w:rsidRPr="001E353D" w:rsidRDefault="007873D5" w:rsidP="00711F75">
            <w:pPr>
              <w:pStyle w:val="TableText"/>
            </w:pPr>
            <w:r w:rsidRPr="001E353D">
              <w:t>Coordination of Economic Development Efforts</w:t>
            </w:r>
          </w:p>
        </w:tc>
        <w:tc>
          <w:tcPr>
            <w:tcW w:w="3166" w:type="dxa"/>
            <w:vAlign w:val="center"/>
            <w:hideMark/>
          </w:tcPr>
          <w:p w14:paraId="657DF85D" w14:textId="77777777" w:rsidR="007873D5" w:rsidRPr="001E353D" w:rsidRDefault="007873D5" w:rsidP="00711F75">
            <w:pPr>
              <w:pStyle w:val="TableText"/>
            </w:pPr>
            <w:r w:rsidRPr="001E353D">
              <w:rPr>
                <w:bCs/>
              </w:rPr>
              <w:t xml:space="preserve">State Statute: </w:t>
            </w:r>
            <w:r w:rsidRPr="001E353D">
              <w:t>Government Code §§ 481.0215 </w:t>
            </w:r>
          </w:p>
        </w:tc>
        <w:tc>
          <w:tcPr>
            <w:tcW w:w="3402" w:type="dxa"/>
            <w:vAlign w:val="center"/>
            <w:hideMark/>
          </w:tcPr>
          <w:p w14:paraId="2CADFB07" w14:textId="77777777" w:rsidR="007873D5" w:rsidRPr="001E353D" w:rsidRDefault="007873D5" w:rsidP="00711F75">
            <w:pPr>
              <w:pStyle w:val="TableText"/>
            </w:pPr>
            <w:r w:rsidRPr="001E353D">
              <w:t>Requires TWC to work with the governor, the executive director of the department or its successor of the Texas Economic Development and Tourism Office, and any other state agencies to address the challenges facing the agencies relating to job training and job creation</w:t>
            </w:r>
            <w:r>
              <w:t>.</w:t>
            </w:r>
          </w:p>
        </w:tc>
      </w:tr>
      <w:tr w:rsidR="007873D5" w:rsidRPr="001E353D" w14:paraId="5168F783" w14:textId="77777777" w:rsidTr="00711F75">
        <w:trPr>
          <w:trHeight w:val="5055"/>
        </w:trPr>
        <w:tc>
          <w:tcPr>
            <w:tcW w:w="2604" w:type="dxa"/>
            <w:vAlign w:val="center"/>
            <w:hideMark/>
          </w:tcPr>
          <w:p w14:paraId="478C0C6F" w14:textId="77777777" w:rsidR="007873D5" w:rsidRPr="001E353D" w:rsidRDefault="007873D5" w:rsidP="00711F75">
            <w:pPr>
              <w:pStyle w:val="TableText"/>
            </w:pPr>
            <w:r w:rsidRPr="001E353D">
              <w:lastRenderedPageBreak/>
              <w:t>Texas Education Agency (TEA) </w:t>
            </w:r>
          </w:p>
        </w:tc>
        <w:tc>
          <w:tcPr>
            <w:tcW w:w="3166" w:type="dxa"/>
            <w:vAlign w:val="center"/>
            <w:hideMark/>
          </w:tcPr>
          <w:p w14:paraId="62C5D876" w14:textId="77777777" w:rsidR="007873D5" w:rsidRPr="001E353D" w:rsidRDefault="007873D5" w:rsidP="00711F75">
            <w:pPr>
              <w:pStyle w:val="TableText"/>
            </w:pPr>
            <w:r w:rsidRPr="001E353D">
              <w:rPr>
                <w:bCs/>
              </w:rPr>
              <w:t>State Statute:</w:t>
            </w:r>
            <w:r w:rsidRPr="001E353D">
              <w:t> </w:t>
            </w:r>
          </w:p>
          <w:p w14:paraId="5B0E1469" w14:textId="77777777" w:rsidR="007873D5" w:rsidRPr="001E353D" w:rsidRDefault="007873D5" w:rsidP="00711F75">
            <w:pPr>
              <w:pStyle w:val="TableText"/>
            </w:pPr>
            <w:r w:rsidRPr="001E353D">
              <w:t>Education Code §§ </w:t>
            </w:r>
          </w:p>
          <w:p w14:paraId="4631EF6A" w14:textId="77777777" w:rsidR="007873D5" w:rsidRPr="001E353D" w:rsidRDefault="007873D5" w:rsidP="00711F75">
            <w:pPr>
              <w:pStyle w:val="TableText"/>
            </w:pPr>
            <w:r w:rsidRPr="001E353D">
              <w:t>29.158 -29.160, §29.188, §29.190, and §29.252 </w:t>
            </w:r>
          </w:p>
        </w:tc>
        <w:tc>
          <w:tcPr>
            <w:tcW w:w="3402" w:type="dxa"/>
            <w:vAlign w:val="center"/>
            <w:hideMark/>
          </w:tcPr>
          <w:p w14:paraId="04BA853C" w14:textId="77777777" w:rsidR="007873D5" w:rsidRPr="001E353D" w:rsidRDefault="007873D5" w:rsidP="00711F75">
            <w:pPr>
              <w:pStyle w:val="TableText"/>
            </w:pPr>
            <w:r w:rsidRPr="001E353D">
              <w:t xml:space="preserve">Requires each pre-k provider, Head Start and Early Head Start program provider, and provider of after school </w:t>
            </w:r>
            <w:proofErr w:type="gramStart"/>
            <w:r w:rsidRPr="001E353D">
              <w:t>child care</w:t>
            </w:r>
            <w:proofErr w:type="gramEnd"/>
            <w:r w:rsidRPr="001E353D">
              <w:t xml:space="preserve"> provided at a school to coordinate with TEA, TWC and LWDBs regarding subsidized child care services, including providing child care service applicants with certain information. Requires each involved entity, including TWC, to consider the quality of </w:t>
            </w:r>
            <w:proofErr w:type="gramStart"/>
            <w:r w:rsidRPr="001E353D">
              <w:t>child care</w:t>
            </w:r>
            <w:proofErr w:type="gramEnd"/>
            <w:r w:rsidRPr="001E353D">
              <w:t xml:space="preserve"> services involved in proposed coordinating or contracting decisions, giving preference to highest quality. Allows State Center to coordinate with LWDBs and other entities to develop a quality rating system demonstration project assessing </w:t>
            </w:r>
            <w:proofErr w:type="gramStart"/>
            <w:r w:rsidRPr="001E353D">
              <w:t>child care</w:t>
            </w:r>
            <w:proofErr w:type="gramEnd"/>
            <w:r w:rsidRPr="001E353D">
              <w:t xml:space="preserve"> quality. TWC with TEA is to recommend members of business and industry community that have successfully assisted in provision of career and technology education programs for a governor’s award. TWC to collaborate with TEA in determining which occupations qualify for subsidized exam certifications under this section. </w:t>
            </w:r>
          </w:p>
          <w:p w14:paraId="02960C78" w14:textId="77777777" w:rsidR="007873D5" w:rsidRPr="001E353D" w:rsidRDefault="007873D5" w:rsidP="00711F75">
            <w:pPr>
              <w:pStyle w:val="TableText"/>
            </w:pPr>
            <w:r w:rsidRPr="001E353D">
              <w:t>Requires TEA to collaborate with TWC to improve coordination and implementation of adult education and literacy services in Texas</w:t>
            </w:r>
            <w:r>
              <w:t>.</w:t>
            </w:r>
          </w:p>
        </w:tc>
      </w:tr>
      <w:tr w:rsidR="007873D5" w:rsidRPr="001E353D" w14:paraId="1C402415" w14:textId="77777777" w:rsidTr="00711F75">
        <w:trPr>
          <w:trHeight w:val="1380"/>
        </w:trPr>
        <w:tc>
          <w:tcPr>
            <w:tcW w:w="2604" w:type="dxa"/>
            <w:vAlign w:val="center"/>
            <w:hideMark/>
          </w:tcPr>
          <w:p w14:paraId="42EC44F8" w14:textId="77777777" w:rsidR="007873D5" w:rsidRPr="001E353D" w:rsidRDefault="007873D5" w:rsidP="00711F75">
            <w:pPr>
              <w:pStyle w:val="TableText"/>
            </w:pPr>
            <w:r w:rsidRPr="001E353D">
              <w:t>Education Research Center Advisory Board </w:t>
            </w:r>
          </w:p>
        </w:tc>
        <w:tc>
          <w:tcPr>
            <w:tcW w:w="3166" w:type="dxa"/>
            <w:vAlign w:val="center"/>
            <w:hideMark/>
          </w:tcPr>
          <w:p w14:paraId="7D1EA98B" w14:textId="77777777" w:rsidR="007873D5" w:rsidRPr="001E353D" w:rsidRDefault="007873D5" w:rsidP="00711F75">
            <w:pPr>
              <w:pStyle w:val="TableText"/>
            </w:pPr>
            <w:r w:rsidRPr="001E353D">
              <w:rPr>
                <w:bCs/>
              </w:rPr>
              <w:t>State Statute:</w:t>
            </w:r>
            <w:r w:rsidRPr="001E353D">
              <w:t> </w:t>
            </w:r>
          </w:p>
          <w:p w14:paraId="1C5B3654" w14:textId="77777777" w:rsidR="007873D5" w:rsidRPr="001E353D" w:rsidRDefault="007873D5" w:rsidP="00711F75">
            <w:pPr>
              <w:pStyle w:val="TableText"/>
            </w:pPr>
            <w:r w:rsidRPr="001E353D">
              <w:t>Education Code §1.006 </w:t>
            </w:r>
          </w:p>
        </w:tc>
        <w:tc>
          <w:tcPr>
            <w:tcW w:w="3402" w:type="dxa"/>
            <w:vAlign w:val="center"/>
            <w:hideMark/>
          </w:tcPr>
          <w:p w14:paraId="723FFFAA" w14:textId="77777777" w:rsidR="007873D5" w:rsidRPr="001E353D" w:rsidRDefault="007873D5" w:rsidP="00711F75">
            <w:pPr>
              <w:pStyle w:val="TableText"/>
            </w:pPr>
            <w:r w:rsidRPr="001E353D">
              <w:t xml:space="preserve">Requires a representative of TWC, designated by the </w:t>
            </w:r>
            <w:r>
              <w:t>Commission</w:t>
            </w:r>
            <w:r w:rsidRPr="001E353D">
              <w:t>, to serve on the Education Research Advisory Board</w:t>
            </w:r>
            <w:r>
              <w:t>.</w:t>
            </w:r>
          </w:p>
        </w:tc>
      </w:tr>
      <w:tr w:rsidR="007873D5" w:rsidRPr="001E353D" w14:paraId="2A63EF99" w14:textId="77777777" w:rsidTr="00711F75">
        <w:trPr>
          <w:trHeight w:val="1380"/>
        </w:trPr>
        <w:tc>
          <w:tcPr>
            <w:tcW w:w="2604" w:type="dxa"/>
            <w:vAlign w:val="center"/>
            <w:hideMark/>
          </w:tcPr>
          <w:p w14:paraId="63B4EEE7" w14:textId="77777777" w:rsidR="007873D5" w:rsidRPr="001E353D" w:rsidRDefault="007873D5" w:rsidP="00711F75">
            <w:pPr>
              <w:pStyle w:val="TableText"/>
            </w:pPr>
            <w:r w:rsidRPr="001E353D">
              <w:t>Model Data Sharing Agreements for FERPA Information </w:t>
            </w:r>
          </w:p>
        </w:tc>
        <w:tc>
          <w:tcPr>
            <w:tcW w:w="3166" w:type="dxa"/>
            <w:vAlign w:val="center"/>
            <w:hideMark/>
          </w:tcPr>
          <w:p w14:paraId="2F3DF361" w14:textId="77777777" w:rsidR="007873D5" w:rsidRPr="001E353D" w:rsidRDefault="007873D5" w:rsidP="00711F75">
            <w:pPr>
              <w:pStyle w:val="TableText"/>
            </w:pPr>
            <w:r w:rsidRPr="001E353D">
              <w:rPr>
                <w:bCs/>
              </w:rPr>
              <w:t>State Statute:</w:t>
            </w:r>
            <w:r w:rsidRPr="001E353D">
              <w:t> </w:t>
            </w:r>
          </w:p>
          <w:p w14:paraId="76AE9372" w14:textId="634DE425" w:rsidR="007873D5" w:rsidRPr="001E353D" w:rsidRDefault="007873D5" w:rsidP="00711F75">
            <w:pPr>
              <w:pStyle w:val="TableText"/>
            </w:pPr>
            <w:r w:rsidRPr="001E353D">
              <w:t xml:space="preserve">Education Code §§ 7.012 </w:t>
            </w:r>
            <w:proofErr w:type="gramStart"/>
            <w:r w:rsidRPr="001E353D">
              <w:t>and  7.040</w:t>
            </w:r>
            <w:proofErr w:type="gramEnd"/>
            <w:r w:rsidRPr="001E353D">
              <w:t> </w:t>
            </w:r>
          </w:p>
        </w:tc>
        <w:tc>
          <w:tcPr>
            <w:tcW w:w="3402" w:type="dxa"/>
            <w:vAlign w:val="center"/>
            <w:hideMark/>
          </w:tcPr>
          <w:p w14:paraId="225B79FF" w14:textId="77777777" w:rsidR="007873D5" w:rsidRPr="001E353D" w:rsidRDefault="007873D5" w:rsidP="00711F75">
            <w:pPr>
              <w:pStyle w:val="TableText"/>
            </w:pPr>
            <w:r w:rsidRPr="001E353D">
              <w:t>Requires the Texas Education Agency, Texas Higher Education Coordinating Board, and TWC to jointly develop and make available model data sharing agreements for sharing FERPA information for the purpose of evaluating and improving support of students and workforce preparation participants.  TWC is required to provide the information needed by TEA to identify postsecondary education and career opportunities and assist students in evaluating the various educational programs</w:t>
            </w:r>
            <w:r>
              <w:t>.</w:t>
            </w:r>
          </w:p>
        </w:tc>
      </w:tr>
      <w:tr w:rsidR="007873D5" w:rsidRPr="001E353D" w14:paraId="2E424E45" w14:textId="77777777" w:rsidTr="00711F75">
        <w:trPr>
          <w:trHeight w:val="1380"/>
        </w:trPr>
        <w:tc>
          <w:tcPr>
            <w:tcW w:w="2604" w:type="dxa"/>
            <w:vAlign w:val="center"/>
            <w:hideMark/>
          </w:tcPr>
          <w:p w14:paraId="56EB90C1" w14:textId="77777777" w:rsidR="007873D5" w:rsidRPr="001E353D" w:rsidRDefault="007873D5" w:rsidP="00711F75">
            <w:pPr>
              <w:pStyle w:val="TableText"/>
            </w:pPr>
            <w:r w:rsidRPr="001E353D">
              <w:lastRenderedPageBreak/>
              <w:t>Adult High School Charter School Program Advisory Committee </w:t>
            </w:r>
          </w:p>
        </w:tc>
        <w:tc>
          <w:tcPr>
            <w:tcW w:w="3166" w:type="dxa"/>
            <w:vAlign w:val="center"/>
            <w:hideMark/>
          </w:tcPr>
          <w:p w14:paraId="261D2397" w14:textId="77777777" w:rsidR="007873D5" w:rsidRPr="001E353D" w:rsidRDefault="007873D5" w:rsidP="00711F75">
            <w:pPr>
              <w:pStyle w:val="TableText"/>
            </w:pPr>
            <w:r w:rsidRPr="001E353D">
              <w:rPr>
                <w:bCs/>
              </w:rPr>
              <w:t>State Statute:</w:t>
            </w:r>
            <w:r w:rsidRPr="001E353D">
              <w:t> </w:t>
            </w:r>
          </w:p>
          <w:p w14:paraId="46EB2BC6" w14:textId="77777777" w:rsidR="007873D5" w:rsidRPr="001E353D" w:rsidRDefault="007873D5" w:rsidP="00711F75">
            <w:pPr>
              <w:pStyle w:val="TableText"/>
            </w:pPr>
            <w:r w:rsidRPr="001E353D">
              <w:t>Education Code §12.254 </w:t>
            </w:r>
          </w:p>
        </w:tc>
        <w:tc>
          <w:tcPr>
            <w:tcW w:w="3402" w:type="dxa"/>
            <w:vAlign w:val="center"/>
            <w:hideMark/>
          </w:tcPr>
          <w:p w14:paraId="46FB358D" w14:textId="77777777" w:rsidR="007873D5" w:rsidRPr="001E353D" w:rsidRDefault="007873D5" w:rsidP="00711F75">
            <w:pPr>
              <w:pStyle w:val="TableText"/>
            </w:pPr>
            <w:r>
              <w:t xml:space="preserve">Requires TWC’s executive director to appoint one member to the Texas Education Agency’s Adult High School Program Advisory Committee.  Members of the committee make recommendations to the TEA Commissioner on </w:t>
            </w:r>
            <w:proofErr w:type="gramStart"/>
            <w:r>
              <w:t>the  secondary</w:t>
            </w:r>
            <w:proofErr w:type="gramEnd"/>
            <w:r>
              <w:t xml:space="preserve"> exit-level assessment tool.</w:t>
            </w:r>
          </w:p>
        </w:tc>
      </w:tr>
      <w:tr w:rsidR="007873D5" w:rsidRPr="001E353D" w14:paraId="70BAD214" w14:textId="77777777" w:rsidTr="00711F75">
        <w:trPr>
          <w:trHeight w:val="1380"/>
        </w:trPr>
        <w:tc>
          <w:tcPr>
            <w:tcW w:w="2604" w:type="dxa"/>
            <w:vAlign w:val="center"/>
            <w:hideMark/>
          </w:tcPr>
          <w:p w14:paraId="40C1840F" w14:textId="77777777" w:rsidR="007873D5" w:rsidRPr="001E353D" w:rsidRDefault="007873D5" w:rsidP="00711F75">
            <w:pPr>
              <w:pStyle w:val="TableText"/>
            </w:pPr>
            <w:r w:rsidRPr="001E353D">
              <w:t>Mental Health Resources Rubric </w:t>
            </w:r>
          </w:p>
        </w:tc>
        <w:tc>
          <w:tcPr>
            <w:tcW w:w="3166" w:type="dxa"/>
            <w:vAlign w:val="center"/>
            <w:hideMark/>
          </w:tcPr>
          <w:p w14:paraId="5AF408DE" w14:textId="77777777" w:rsidR="007873D5" w:rsidRPr="001E353D" w:rsidRDefault="007873D5" w:rsidP="00711F75">
            <w:pPr>
              <w:pStyle w:val="TableText"/>
            </w:pPr>
            <w:r w:rsidRPr="001E353D">
              <w:rPr>
                <w:bCs/>
              </w:rPr>
              <w:t>State Statute:</w:t>
            </w:r>
            <w:r w:rsidRPr="001E353D">
              <w:t> </w:t>
            </w:r>
          </w:p>
          <w:p w14:paraId="5F05092F" w14:textId="77777777" w:rsidR="007873D5" w:rsidRPr="001E353D" w:rsidRDefault="007873D5" w:rsidP="00711F75">
            <w:pPr>
              <w:pStyle w:val="TableText"/>
            </w:pPr>
            <w:r w:rsidRPr="001E353D">
              <w:t>Education Code §38.251 </w:t>
            </w:r>
          </w:p>
        </w:tc>
        <w:tc>
          <w:tcPr>
            <w:tcW w:w="3402" w:type="dxa"/>
            <w:vAlign w:val="center"/>
            <w:hideMark/>
          </w:tcPr>
          <w:p w14:paraId="5F3E366D" w14:textId="77777777" w:rsidR="007873D5" w:rsidRPr="001E353D" w:rsidRDefault="007873D5" w:rsidP="00711F75">
            <w:pPr>
              <w:pStyle w:val="TableText"/>
            </w:pPr>
            <w:r w:rsidRPr="001E353D">
              <w:t>Requires TWC, in conjunction with the Texas Education Agency, HHSC, DFPS, Texas Juvenile Justice Department, THECB, Texas Child Mental Health Care Consortium and any other state agency TEA considers appropriate to develop a rubric for use by regional education service center in identifying resources related to mental health that are available to schools in their respective regions</w:t>
            </w:r>
            <w:r>
              <w:t>.</w:t>
            </w:r>
          </w:p>
        </w:tc>
      </w:tr>
      <w:tr w:rsidR="007873D5" w:rsidRPr="001E353D" w14:paraId="041459A3" w14:textId="77777777" w:rsidTr="00711F75">
        <w:trPr>
          <w:trHeight w:val="1380"/>
        </w:trPr>
        <w:tc>
          <w:tcPr>
            <w:tcW w:w="2604" w:type="dxa"/>
            <w:vAlign w:val="center"/>
            <w:hideMark/>
          </w:tcPr>
          <w:p w14:paraId="4A1A4B57" w14:textId="77777777" w:rsidR="007873D5" w:rsidRPr="001E353D" w:rsidRDefault="007873D5" w:rsidP="00711F75">
            <w:pPr>
              <w:pStyle w:val="TableText"/>
            </w:pPr>
            <w:r w:rsidRPr="001E353D">
              <w:t>Prepaid Tuition Unit Undergraduate Education Program </w:t>
            </w:r>
          </w:p>
        </w:tc>
        <w:tc>
          <w:tcPr>
            <w:tcW w:w="3166" w:type="dxa"/>
            <w:vAlign w:val="center"/>
            <w:hideMark/>
          </w:tcPr>
          <w:p w14:paraId="6DC92F08" w14:textId="77777777" w:rsidR="007873D5" w:rsidRPr="001E353D" w:rsidRDefault="007873D5" w:rsidP="00711F75">
            <w:pPr>
              <w:pStyle w:val="TableText"/>
            </w:pPr>
            <w:r w:rsidRPr="001E353D">
              <w:rPr>
                <w:bCs/>
              </w:rPr>
              <w:t>State Statute:</w:t>
            </w:r>
            <w:r w:rsidRPr="001E353D">
              <w:t> </w:t>
            </w:r>
          </w:p>
          <w:p w14:paraId="5A1E2B5C" w14:textId="77777777" w:rsidR="007873D5" w:rsidRPr="001E353D" w:rsidRDefault="007873D5" w:rsidP="00711F75">
            <w:pPr>
              <w:pStyle w:val="TableText"/>
            </w:pPr>
            <w:r w:rsidRPr="001E353D">
              <w:t>Education Code §54.752 </w:t>
            </w:r>
          </w:p>
        </w:tc>
        <w:tc>
          <w:tcPr>
            <w:tcW w:w="3402" w:type="dxa"/>
            <w:vAlign w:val="center"/>
            <w:hideMark/>
          </w:tcPr>
          <w:p w14:paraId="52724029" w14:textId="77777777" w:rsidR="007873D5" w:rsidRPr="001E353D" w:rsidRDefault="007873D5" w:rsidP="00711F75">
            <w:pPr>
              <w:pStyle w:val="TableText"/>
            </w:pPr>
            <w:r w:rsidRPr="001E353D">
              <w:t>Requires TWC to work in coordination with the Health and Human Services Commission, and the Texas higher Education Coordinating Board, to ensure that the prepaid tuition unit undergraduate education program is marketed across the state in a manner that promotes the participation goals and targets of the most recent revision of “Closing the Gaps,” and any marketing plan for the program includes a specific strategy to promote enrollment in the program by persons likely to qualify for federal income tax relief</w:t>
            </w:r>
            <w:r>
              <w:t>.</w:t>
            </w:r>
          </w:p>
        </w:tc>
      </w:tr>
      <w:tr w:rsidR="007873D5" w:rsidRPr="001E353D" w14:paraId="068B600F" w14:textId="77777777" w:rsidTr="00711F75">
        <w:trPr>
          <w:trHeight w:val="1380"/>
        </w:trPr>
        <w:tc>
          <w:tcPr>
            <w:tcW w:w="2604" w:type="dxa"/>
            <w:vAlign w:val="center"/>
            <w:hideMark/>
          </w:tcPr>
          <w:p w14:paraId="1BBF758B" w14:textId="77777777" w:rsidR="007873D5" w:rsidRPr="001E353D" w:rsidRDefault="007873D5" w:rsidP="00711F75">
            <w:pPr>
              <w:pStyle w:val="TableText"/>
            </w:pPr>
            <w:r w:rsidRPr="001E353D">
              <w:t>Health Care Profession Student Grant  </w:t>
            </w:r>
          </w:p>
        </w:tc>
        <w:tc>
          <w:tcPr>
            <w:tcW w:w="3166" w:type="dxa"/>
            <w:vAlign w:val="center"/>
            <w:hideMark/>
          </w:tcPr>
          <w:p w14:paraId="1B0D193C" w14:textId="77777777" w:rsidR="007873D5" w:rsidRPr="001E353D" w:rsidRDefault="007873D5" w:rsidP="00711F75">
            <w:pPr>
              <w:pStyle w:val="TableText"/>
            </w:pPr>
            <w:r w:rsidRPr="001E353D">
              <w:rPr>
                <w:bCs/>
              </w:rPr>
              <w:t>State Statute:</w:t>
            </w:r>
            <w:r w:rsidRPr="001E353D">
              <w:t> </w:t>
            </w:r>
          </w:p>
          <w:p w14:paraId="608DCE10" w14:textId="3E36589A" w:rsidR="007873D5" w:rsidRPr="001E353D" w:rsidRDefault="007873D5" w:rsidP="00711F75">
            <w:pPr>
              <w:pStyle w:val="TableText"/>
            </w:pPr>
            <w:r w:rsidRPr="001E353D">
              <w:t xml:space="preserve">Education Code §56.3075 </w:t>
            </w:r>
            <w:r w:rsidR="009B34A2">
              <w:t>and</w:t>
            </w:r>
            <w:r w:rsidRPr="001E353D">
              <w:t xml:space="preserve"> §56.4075  </w:t>
            </w:r>
          </w:p>
        </w:tc>
        <w:tc>
          <w:tcPr>
            <w:tcW w:w="3402" w:type="dxa"/>
            <w:vAlign w:val="center"/>
            <w:hideMark/>
          </w:tcPr>
          <w:p w14:paraId="3B272FA7" w14:textId="77777777" w:rsidR="007873D5" w:rsidRPr="001E353D" w:rsidRDefault="007873D5" w:rsidP="00711F75">
            <w:pPr>
              <w:pStyle w:val="TableText"/>
            </w:pPr>
            <w:r w:rsidRPr="001E353D">
              <w:t>Requires TWC and the statewide health coordinating council, to consult with students who the coordinating board grants an award to</w:t>
            </w:r>
            <w:r>
              <w:t>.</w:t>
            </w:r>
          </w:p>
          <w:p w14:paraId="695BEC76" w14:textId="77777777" w:rsidR="007873D5" w:rsidRPr="001E353D" w:rsidRDefault="007873D5" w:rsidP="00711F75">
            <w:pPr>
              <w:pStyle w:val="TableText"/>
            </w:pPr>
            <w:r w:rsidRPr="001E353D">
              <w:t> </w:t>
            </w:r>
          </w:p>
        </w:tc>
      </w:tr>
      <w:tr w:rsidR="007873D5" w:rsidRPr="001E353D" w14:paraId="1492E16D" w14:textId="77777777" w:rsidTr="00711F75">
        <w:trPr>
          <w:trHeight w:val="1380"/>
        </w:trPr>
        <w:tc>
          <w:tcPr>
            <w:tcW w:w="2604" w:type="dxa"/>
            <w:vAlign w:val="center"/>
            <w:hideMark/>
          </w:tcPr>
          <w:p w14:paraId="2BF0D639" w14:textId="77777777" w:rsidR="007873D5" w:rsidRPr="001E353D" w:rsidRDefault="007873D5" w:rsidP="00711F75">
            <w:pPr>
              <w:pStyle w:val="TableText"/>
            </w:pPr>
            <w:r w:rsidRPr="001E353D">
              <w:t>Online Information Regarding Career Educational Entities  </w:t>
            </w:r>
          </w:p>
        </w:tc>
        <w:tc>
          <w:tcPr>
            <w:tcW w:w="3166" w:type="dxa"/>
            <w:vAlign w:val="center"/>
            <w:hideMark/>
          </w:tcPr>
          <w:p w14:paraId="51571A14" w14:textId="77777777" w:rsidR="007873D5" w:rsidRPr="001E353D" w:rsidRDefault="007873D5" w:rsidP="00711F75">
            <w:pPr>
              <w:pStyle w:val="TableText"/>
            </w:pPr>
            <w:r w:rsidRPr="001E353D">
              <w:rPr>
                <w:bCs/>
              </w:rPr>
              <w:t>State Statute:</w:t>
            </w:r>
            <w:r w:rsidRPr="001E353D">
              <w:t> </w:t>
            </w:r>
          </w:p>
          <w:p w14:paraId="15905526" w14:textId="77777777" w:rsidR="007873D5" w:rsidRPr="001E353D" w:rsidRDefault="007873D5" w:rsidP="00711F75">
            <w:pPr>
              <w:pStyle w:val="TableText"/>
            </w:pPr>
            <w:r w:rsidRPr="001E353D">
              <w:t>Education Code §61.0778 </w:t>
            </w:r>
          </w:p>
        </w:tc>
        <w:tc>
          <w:tcPr>
            <w:tcW w:w="3402" w:type="dxa"/>
            <w:vAlign w:val="center"/>
            <w:hideMark/>
          </w:tcPr>
          <w:p w14:paraId="5D1F4B26" w14:textId="77777777" w:rsidR="007873D5" w:rsidRPr="001E353D" w:rsidRDefault="007873D5" w:rsidP="00711F75">
            <w:pPr>
              <w:pStyle w:val="TableText"/>
            </w:pPr>
            <w:r w:rsidRPr="001E353D">
              <w:t xml:space="preserve">Requires TWC to work jointly with the board to develop a comprehensive strategy to improve and coordinate the dissemination of online information regarding the operation and performance of career schools or colleges that the board or </w:t>
            </w:r>
            <w:r>
              <w:t>Commission</w:t>
            </w:r>
            <w:r w:rsidRPr="001E353D">
              <w:t xml:space="preserve"> identifies as doing business in this state. The board and TWC must compile, share, and compare existing data and other applicable information under the control of each agency and organize that information according to the categories of information required for </w:t>
            </w:r>
            <w:r w:rsidRPr="001E353D">
              <w:lastRenderedPageBreak/>
              <w:t xml:space="preserve">the online resumes of lower-division public institutions under Section </w:t>
            </w:r>
            <w:hyperlink r:id="rId277" w:tgtFrame="_blank" w:history="1">
              <w:r w:rsidRPr="001E353D">
                <w:rPr>
                  <w:rStyle w:val="Hyperlink"/>
                </w:rPr>
                <w:t>51A.103</w:t>
              </w:r>
            </w:hyperlink>
            <w:r>
              <w:t>.</w:t>
            </w:r>
          </w:p>
        </w:tc>
      </w:tr>
      <w:tr w:rsidR="007873D5" w:rsidRPr="001E353D" w14:paraId="50A82F51" w14:textId="77777777" w:rsidTr="00711F75">
        <w:trPr>
          <w:trHeight w:val="1380"/>
        </w:trPr>
        <w:tc>
          <w:tcPr>
            <w:tcW w:w="2604" w:type="dxa"/>
            <w:vAlign w:val="center"/>
            <w:hideMark/>
          </w:tcPr>
          <w:p w14:paraId="61DEC64C" w14:textId="77777777" w:rsidR="007873D5" w:rsidRPr="001E353D" w:rsidRDefault="007873D5" w:rsidP="00711F75">
            <w:pPr>
              <w:pStyle w:val="TableText"/>
            </w:pPr>
            <w:r w:rsidRPr="001E353D">
              <w:t>Career and Technical Education Program  </w:t>
            </w:r>
          </w:p>
        </w:tc>
        <w:tc>
          <w:tcPr>
            <w:tcW w:w="3166" w:type="dxa"/>
            <w:vAlign w:val="center"/>
            <w:hideMark/>
          </w:tcPr>
          <w:p w14:paraId="3A6A3830" w14:textId="77777777" w:rsidR="007873D5" w:rsidRPr="001E353D" w:rsidRDefault="007873D5" w:rsidP="00711F75">
            <w:pPr>
              <w:pStyle w:val="TableText"/>
            </w:pPr>
            <w:r w:rsidRPr="001E353D">
              <w:rPr>
                <w:bCs/>
              </w:rPr>
              <w:t>State Statute:</w:t>
            </w:r>
            <w:r w:rsidRPr="001E353D">
              <w:t> </w:t>
            </w:r>
          </w:p>
          <w:p w14:paraId="17FA5677" w14:textId="77777777" w:rsidR="007873D5" w:rsidRPr="001E353D" w:rsidRDefault="007873D5" w:rsidP="00711F75">
            <w:pPr>
              <w:pStyle w:val="TableText"/>
            </w:pPr>
            <w:r w:rsidRPr="001E353D">
              <w:t>Education Code §61.8235 </w:t>
            </w:r>
          </w:p>
        </w:tc>
        <w:tc>
          <w:tcPr>
            <w:tcW w:w="3402" w:type="dxa"/>
            <w:vAlign w:val="center"/>
            <w:hideMark/>
          </w:tcPr>
          <w:p w14:paraId="79D3E294" w14:textId="77777777" w:rsidR="007873D5" w:rsidRPr="001E353D" w:rsidRDefault="007873D5" w:rsidP="00711F75">
            <w:pPr>
              <w:pStyle w:val="TableText"/>
            </w:pPr>
            <w:r w:rsidRPr="001E353D">
              <w:t>Requires TWC to partner with the board, the TEA, and other state agencies to develop programs of study related career and technical education. The board, TWC, and TEA may adopt rules as necessary for the administration of this section</w:t>
            </w:r>
            <w:r>
              <w:t>.</w:t>
            </w:r>
          </w:p>
        </w:tc>
      </w:tr>
      <w:tr w:rsidR="007873D5" w:rsidRPr="001E353D" w14:paraId="0266681F" w14:textId="77777777" w:rsidTr="00711F75">
        <w:trPr>
          <w:trHeight w:val="1380"/>
        </w:trPr>
        <w:tc>
          <w:tcPr>
            <w:tcW w:w="2604" w:type="dxa"/>
            <w:vAlign w:val="center"/>
            <w:hideMark/>
          </w:tcPr>
          <w:p w14:paraId="5F2C1176" w14:textId="77777777" w:rsidR="007873D5" w:rsidRPr="001E353D" w:rsidRDefault="007873D5" w:rsidP="00711F75">
            <w:pPr>
              <w:pStyle w:val="TableText"/>
            </w:pPr>
            <w:r w:rsidRPr="001E353D">
              <w:t>Texas Higher Education Coordinating Board and Transferable Credits  </w:t>
            </w:r>
          </w:p>
        </w:tc>
        <w:tc>
          <w:tcPr>
            <w:tcW w:w="3166" w:type="dxa"/>
            <w:vAlign w:val="center"/>
            <w:hideMark/>
          </w:tcPr>
          <w:p w14:paraId="38A6D04E" w14:textId="77777777" w:rsidR="007873D5" w:rsidRPr="001E353D" w:rsidRDefault="007873D5" w:rsidP="00711F75">
            <w:pPr>
              <w:pStyle w:val="TableText"/>
            </w:pPr>
            <w:r w:rsidRPr="001E353D">
              <w:rPr>
                <w:bCs/>
              </w:rPr>
              <w:t>State Statute:</w:t>
            </w:r>
            <w:r w:rsidRPr="001E353D">
              <w:t> </w:t>
            </w:r>
          </w:p>
          <w:p w14:paraId="72922483" w14:textId="77777777" w:rsidR="007873D5" w:rsidRPr="001E353D" w:rsidRDefault="007873D5" w:rsidP="00711F75">
            <w:pPr>
              <w:pStyle w:val="TableText"/>
            </w:pPr>
            <w:r w:rsidRPr="001E353D">
              <w:t>Education Code §61.835 </w:t>
            </w:r>
          </w:p>
        </w:tc>
        <w:tc>
          <w:tcPr>
            <w:tcW w:w="3402" w:type="dxa"/>
            <w:vAlign w:val="center"/>
            <w:hideMark/>
          </w:tcPr>
          <w:p w14:paraId="6B8FB02C" w14:textId="77777777" w:rsidR="007873D5" w:rsidRPr="001E353D" w:rsidRDefault="007873D5" w:rsidP="00711F75">
            <w:pPr>
              <w:pStyle w:val="TableText"/>
            </w:pPr>
            <w:r w:rsidRPr="001E353D">
              <w:t>Requires TWC, in consultation with the board, TVC, and institutions of higher education, to develop and require transferable curricula for the College Credit for Heroes program</w:t>
            </w:r>
            <w:r>
              <w:t>.</w:t>
            </w:r>
          </w:p>
        </w:tc>
      </w:tr>
      <w:tr w:rsidR="007873D5" w:rsidRPr="001E353D" w14:paraId="5D054149" w14:textId="77777777" w:rsidTr="00711F75">
        <w:trPr>
          <w:trHeight w:val="1380"/>
        </w:trPr>
        <w:tc>
          <w:tcPr>
            <w:tcW w:w="2604" w:type="dxa"/>
            <w:vAlign w:val="center"/>
            <w:hideMark/>
          </w:tcPr>
          <w:p w14:paraId="2DB5228A" w14:textId="77777777" w:rsidR="007873D5" w:rsidRPr="001E353D" w:rsidRDefault="007873D5" w:rsidP="00711F75">
            <w:pPr>
              <w:pStyle w:val="TableText"/>
            </w:pPr>
            <w:r w:rsidRPr="001E353D">
              <w:t>Texas Higher Education Coordinating Board and Development of Math and Science Courses  </w:t>
            </w:r>
          </w:p>
        </w:tc>
        <w:tc>
          <w:tcPr>
            <w:tcW w:w="3166" w:type="dxa"/>
            <w:vAlign w:val="center"/>
            <w:hideMark/>
          </w:tcPr>
          <w:p w14:paraId="18FAC13C" w14:textId="77777777" w:rsidR="007873D5" w:rsidRPr="001E353D" w:rsidRDefault="007873D5" w:rsidP="00711F75">
            <w:pPr>
              <w:pStyle w:val="TableText"/>
            </w:pPr>
            <w:r w:rsidRPr="001E353D">
              <w:rPr>
                <w:bCs/>
              </w:rPr>
              <w:t>State Statute:</w:t>
            </w:r>
            <w:r w:rsidRPr="001E353D">
              <w:t> </w:t>
            </w:r>
          </w:p>
          <w:p w14:paraId="66D3CEA5" w14:textId="77777777" w:rsidR="007873D5" w:rsidRPr="001E353D" w:rsidRDefault="007873D5" w:rsidP="00711F75">
            <w:pPr>
              <w:pStyle w:val="TableText"/>
            </w:pPr>
            <w:r w:rsidRPr="001E353D">
              <w:t>Education Code §61.861 – 61.864 </w:t>
            </w:r>
          </w:p>
        </w:tc>
        <w:tc>
          <w:tcPr>
            <w:tcW w:w="3402" w:type="dxa"/>
            <w:vAlign w:val="center"/>
            <w:hideMark/>
          </w:tcPr>
          <w:p w14:paraId="66AB8474" w14:textId="77777777" w:rsidR="007873D5" w:rsidRPr="001E353D" w:rsidRDefault="007873D5" w:rsidP="00711F75">
            <w:pPr>
              <w:pStyle w:val="TableText"/>
            </w:pPr>
            <w:r>
              <w:t>Requires TWC, in consultation with the commissioner of higher education, the commissioner of education, and the Comptroller, to award a grant to an institution of higher education to develop advanced mathematics and science courses to prepare high school students for employment in a high-demand occupation. The commissioner of higher education, the commissioner of education, the comptroller, and TWC shall jointly determine what is considered a high-demand occupation and determine grant application criteria. TWC, commissioner of higher education, the commissioner of education, and the comptroller shall review these courses once every four years.</w:t>
            </w:r>
          </w:p>
        </w:tc>
      </w:tr>
      <w:tr w:rsidR="007873D5" w:rsidRPr="001E353D" w14:paraId="764613E9" w14:textId="77777777" w:rsidTr="00711F75">
        <w:trPr>
          <w:trHeight w:val="1380"/>
        </w:trPr>
        <w:tc>
          <w:tcPr>
            <w:tcW w:w="2604" w:type="dxa"/>
            <w:vAlign w:val="center"/>
            <w:hideMark/>
          </w:tcPr>
          <w:p w14:paraId="2DA683FC" w14:textId="77777777" w:rsidR="007873D5" w:rsidRPr="001E353D" w:rsidRDefault="007873D5" w:rsidP="00711F75">
            <w:pPr>
              <w:pStyle w:val="TableText"/>
            </w:pPr>
            <w:r w:rsidRPr="001E353D">
              <w:t>Texas Reskilling and Upskilling through Education (TRUE) Program and Certifications  </w:t>
            </w:r>
          </w:p>
        </w:tc>
        <w:tc>
          <w:tcPr>
            <w:tcW w:w="3166" w:type="dxa"/>
            <w:vAlign w:val="center"/>
            <w:hideMark/>
          </w:tcPr>
          <w:p w14:paraId="682214B0" w14:textId="77777777" w:rsidR="007873D5" w:rsidRPr="001E353D" w:rsidRDefault="007873D5" w:rsidP="00711F75">
            <w:pPr>
              <w:pStyle w:val="TableText"/>
            </w:pPr>
            <w:r w:rsidRPr="001E353D">
              <w:rPr>
                <w:bCs/>
              </w:rPr>
              <w:t>State Statute:</w:t>
            </w:r>
            <w:r w:rsidRPr="001E353D">
              <w:t> </w:t>
            </w:r>
          </w:p>
          <w:p w14:paraId="7E80A257" w14:textId="77777777" w:rsidR="007873D5" w:rsidRPr="001E353D" w:rsidRDefault="007873D5" w:rsidP="00711F75">
            <w:pPr>
              <w:pStyle w:val="TableText"/>
            </w:pPr>
            <w:r w:rsidRPr="001E353D">
              <w:t>Education Code §61.884 </w:t>
            </w:r>
          </w:p>
        </w:tc>
        <w:tc>
          <w:tcPr>
            <w:tcW w:w="3402" w:type="dxa"/>
            <w:vAlign w:val="center"/>
            <w:hideMark/>
          </w:tcPr>
          <w:p w14:paraId="27E0CDDB" w14:textId="77777777" w:rsidR="007873D5" w:rsidRPr="001E353D" w:rsidRDefault="007873D5" w:rsidP="00711F75">
            <w:pPr>
              <w:pStyle w:val="TableText"/>
            </w:pPr>
            <w:r w:rsidRPr="001E353D">
              <w:t>Requires TWC to work in collaboration with the board, eligible entities, and private employers, to identify existing and new postsecondary industry certifications or other workforce credentials valued in high-demand occupations</w:t>
            </w:r>
            <w:r>
              <w:t>.</w:t>
            </w:r>
          </w:p>
        </w:tc>
      </w:tr>
      <w:tr w:rsidR="007873D5" w:rsidRPr="001E353D" w14:paraId="3F581A50" w14:textId="77777777" w:rsidTr="00711F75">
        <w:trPr>
          <w:trHeight w:val="1380"/>
        </w:trPr>
        <w:tc>
          <w:tcPr>
            <w:tcW w:w="2604" w:type="dxa"/>
            <w:vAlign w:val="center"/>
            <w:hideMark/>
          </w:tcPr>
          <w:p w14:paraId="7976CB2D" w14:textId="77777777" w:rsidR="007873D5" w:rsidRPr="001E353D" w:rsidRDefault="007873D5" w:rsidP="00711F75">
            <w:pPr>
              <w:pStyle w:val="TableText"/>
            </w:pPr>
            <w:r w:rsidRPr="001E353D">
              <w:t>Opportunity High School Diploma program </w:t>
            </w:r>
          </w:p>
        </w:tc>
        <w:tc>
          <w:tcPr>
            <w:tcW w:w="3166" w:type="dxa"/>
            <w:vAlign w:val="center"/>
            <w:hideMark/>
          </w:tcPr>
          <w:p w14:paraId="5D5D6F2A" w14:textId="77777777" w:rsidR="007873D5" w:rsidRPr="001E353D" w:rsidRDefault="007873D5" w:rsidP="00711F75">
            <w:pPr>
              <w:pStyle w:val="TableText"/>
            </w:pPr>
            <w:r w:rsidRPr="001E353D">
              <w:rPr>
                <w:bCs/>
              </w:rPr>
              <w:t>State Statute:</w:t>
            </w:r>
            <w:r w:rsidRPr="001E353D">
              <w:t> </w:t>
            </w:r>
          </w:p>
          <w:p w14:paraId="647E74CC" w14:textId="45F1DAC5" w:rsidR="007873D5" w:rsidRPr="001E353D" w:rsidRDefault="007873D5" w:rsidP="00711F75">
            <w:pPr>
              <w:pStyle w:val="TableText"/>
            </w:pPr>
            <w:r w:rsidRPr="001E353D">
              <w:t xml:space="preserve">Education Code §130.453 </w:t>
            </w:r>
            <w:r w:rsidR="009B34A2">
              <w:t>and</w:t>
            </w:r>
            <w:r w:rsidRPr="001E353D">
              <w:t xml:space="preserve"> 130.456 </w:t>
            </w:r>
          </w:p>
        </w:tc>
        <w:tc>
          <w:tcPr>
            <w:tcW w:w="3402" w:type="dxa"/>
            <w:vAlign w:val="center"/>
            <w:hideMark/>
          </w:tcPr>
          <w:p w14:paraId="6253AE71" w14:textId="77777777" w:rsidR="007873D5" w:rsidRPr="001E353D" w:rsidRDefault="007873D5" w:rsidP="00711F75">
            <w:pPr>
              <w:pStyle w:val="TableText"/>
            </w:pPr>
            <w:r w:rsidRPr="001E353D">
              <w:t xml:space="preserve">Requires TWC to consult with the </w:t>
            </w:r>
            <w:r>
              <w:t>THECB</w:t>
            </w:r>
            <w:r w:rsidRPr="001E353D">
              <w:t xml:space="preserve">, and </w:t>
            </w:r>
            <w:r>
              <w:t>TEA</w:t>
            </w:r>
            <w:r w:rsidRPr="001E353D">
              <w:t xml:space="preserve"> to administer the Opportunity High School Diploma program. TWC, </w:t>
            </w:r>
            <w:r>
              <w:t>THECB</w:t>
            </w:r>
            <w:r w:rsidRPr="001E353D">
              <w:t xml:space="preserve">, and </w:t>
            </w:r>
            <w:r>
              <w:t>TEA</w:t>
            </w:r>
            <w:r w:rsidRPr="001E353D">
              <w:t xml:space="preserve"> are required to jointly coordinate to identify funding mechanisms, including grants, interagency contracts, financial aid, or subsidies, available to public junior colleges and </w:t>
            </w:r>
            <w:r w:rsidRPr="001E353D">
              <w:lastRenderedPageBreak/>
              <w:t>students to encourage and facilitate participation in the program</w:t>
            </w:r>
            <w:r>
              <w:t>.</w:t>
            </w:r>
          </w:p>
        </w:tc>
      </w:tr>
      <w:tr w:rsidR="007873D5" w:rsidRPr="001E353D" w14:paraId="462E05D7" w14:textId="77777777" w:rsidTr="00711F75">
        <w:trPr>
          <w:trHeight w:val="1380"/>
        </w:trPr>
        <w:tc>
          <w:tcPr>
            <w:tcW w:w="2604" w:type="dxa"/>
            <w:vAlign w:val="center"/>
            <w:hideMark/>
          </w:tcPr>
          <w:p w14:paraId="31F6532B" w14:textId="77777777" w:rsidR="007873D5" w:rsidRPr="001E353D" w:rsidRDefault="007873D5" w:rsidP="00711F75">
            <w:pPr>
              <w:pStyle w:val="TableText"/>
            </w:pPr>
            <w:r w:rsidRPr="001E353D">
              <w:t>Commercial Driver’s License Training Program </w:t>
            </w:r>
          </w:p>
        </w:tc>
        <w:tc>
          <w:tcPr>
            <w:tcW w:w="3166" w:type="dxa"/>
            <w:vAlign w:val="center"/>
            <w:hideMark/>
          </w:tcPr>
          <w:p w14:paraId="51E165DF" w14:textId="77777777" w:rsidR="007873D5" w:rsidRPr="001E353D" w:rsidRDefault="007873D5" w:rsidP="00711F75">
            <w:pPr>
              <w:pStyle w:val="TableText"/>
            </w:pPr>
            <w:r w:rsidRPr="001E353D">
              <w:rPr>
                <w:bCs/>
              </w:rPr>
              <w:t>State Statute:</w:t>
            </w:r>
            <w:r w:rsidRPr="001E353D">
              <w:t> </w:t>
            </w:r>
          </w:p>
          <w:p w14:paraId="4F0E0044" w14:textId="77777777" w:rsidR="007873D5" w:rsidRPr="001E353D" w:rsidRDefault="007873D5" w:rsidP="00711F75">
            <w:pPr>
              <w:pStyle w:val="TableText"/>
            </w:pPr>
            <w:r w:rsidRPr="001E353D">
              <w:t>Education Code §132.006 </w:t>
            </w:r>
          </w:p>
        </w:tc>
        <w:tc>
          <w:tcPr>
            <w:tcW w:w="3402" w:type="dxa"/>
            <w:vAlign w:val="center"/>
            <w:hideMark/>
          </w:tcPr>
          <w:p w14:paraId="672D0BE4" w14:textId="77777777" w:rsidR="007873D5" w:rsidRPr="001E353D" w:rsidRDefault="007873D5" w:rsidP="00711F75">
            <w:pPr>
              <w:pStyle w:val="TableText"/>
            </w:pPr>
            <w:r w:rsidRPr="001E353D">
              <w:t>Requires TWC, in collaboration with the office of the attorney general, to establish the content of the education and training for career schools or colleges offering a commercial driver's license training program</w:t>
            </w:r>
            <w:r>
              <w:t>.</w:t>
            </w:r>
          </w:p>
        </w:tc>
      </w:tr>
      <w:tr w:rsidR="007873D5" w:rsidRPr="001E353D" w14:paraId="1A063641" w14:textId="77777777" w:rsidTr="00711F75">
        <w:trPr>
          <w:trHeight w:val="1380"/>
        </w:trPr>
        <w:tc>
          <w:tcPr>
            <w:tcW w:w="2604" w:type="dxa"/>
            <w:vAlign w:val="center"/>
            <w:hideMark/>
          </w:tcPr>
          <w:p w14:paraId="6EA2E50A" w14:textId="77777777" w:rsidR="007873D5" w:rsidRPr="001E353D" w:rsidRDefault="007873D5" w:rsidP="00711F75">
            <w:pPr>
              <w:pStyle w:val="TableText"/>
            </w:pPr>
            <w:r w:rsidRPr="001E353D">
              <w:t>Memorandum of Understanding for Career Schools and Colleges  </w:t>
            </w:r>
          </w:p>
        </w:tc>
        <w:tc>
          <w:tcPr>
            <w:tcW w:w="3166" w:type="dxa"/>
            <w:vAlign w:val="center"/>
            <w:hideMark/>
          </w:tcPr>
          <w:p w14:paraId="7A39ABF6" w14:textId="77777777" w:rsidR="007873D5" w:rsidRPr="001E353D" w:rsidRDefault="007873D5" w:rsidP="00711F75">
            <w:pPr>
              <w:pStyle w:val="TableText"/>
            </w:pPr>
            <w:r w:rsidRPr="001E353D">
              <w:rPr>
                <w:bCs/>
              </w:rPr>
              <w:t>State Statute:</w:t>
            </w:r>
            <w:r w:rsidRPr="001E353D">
              <w:t> </w:t>
            </w:r>
          </w:p>
          <w:p w14:paraId="1186FBF9" w14:textId="77777777" w:rsidR="007873D5" w:rsidRPr="001E353D" w:rsidRDefault="007873D5" w:rsidP="00711F75">
            <w:pPr>
              <w:pStyle w:val="TableText"/>
            </w:pPr>
            <w:r w:rsidRPr="001E353D">
              <w:t>Education Code §132.023 </w:t>
            </w:r>
          </w:p>
        </w:tc>
        <w:tc>
          <w:tcPr>
            <w:tcW w:w="3402" w:type="dxa"/>
            <w:vAlign w:val="center"/>
            <w:hideMark/>
          </w:tcPr>
          <w:p w14:paraId="027D3FD3" w14:textId="77777777" w:rsidR="007873D5" w:rsidRPr="001E353D" w:rsidRDefault="007873D5" w:rsidP="00711F75">
            <w:pPr>
              <w:pStyle w:val="TableText"/>
            </w:pPr>
            <w:r w:rsidRPr="001E353D">
              <w:t>Requires TWC to develop in consultation with the Texas Guaranteed Student Loan Corporation and each state agency that regulates career schools and colleges in this state, a comprehensive strategy to reduce default rates at the regulated career schools and colleges and to improve the overall quality of the programs operated by these schools and colleges. TWC is required to execute a memorandum of understanding outlining the strategy</w:t>
            </w:r>
            <w:r>
              <w:t>.</w:t>
            </w:r>
          </w:p>
        </w:tc>
      </w:tr>
      <w:tr w:rsidR="007873D5" w:rsidRPr="001E353D" w14:paraId="2255E44B" w14:textId="77777777" w:rsidTr="00711F75">
        <w:trPr>
          <w:trHeight w:val="1380"/>
        </w:trPr>
        <w:tc>
          <w:tcPr>
            <w:tcW w:w="2604" w:type="dxa"/>
            <w:vAlign w:val="center"/>
            <w:hideMark/>
          </w:tcPr>
          <w:p w14:paraId="7B5C22B8" w14:textId="77777777" w:rsidR="007873D5" w:rsidRPr="001E353D" w:rsidRDefault="007873D5" w:rsidP="00711F75">
            <w:pPr>
              <w:pStyle w:val="TableText"/>
            </w:pPr>
            <w:r w:rsidRPr="001E353D">
              <w:t>New Hire Directory  </w:t>
            </w:r>
          </w:p>
        </w:tc>
        <w:tc>
          <w:tcPr>
            <w:tcW w:w="3166" w:type="dxa"/>
            <w:vAlign w:val="center"/>
            <w:hideMark/>
          </w:tcPr>
          <w:p w14:paraId="18ACEC26" w14:textId="77777777" w:rsidR="007873D5" w:rsidRPr="001E353D" w:rsidRDefault="007873D5" w:rsidP="00711F75">
            <w:pPr>
              <w:pStyle w:val="TableText"/>
            </w:pPr>
            <w:r w:rsidRPr="001E353D">
              <w:rPr>
                <w:bCs/>
              </w:rPr>
              <w:t>State Statute:</w:t>
            </w:r>
            <w:r w:rsidRPr="001E353D">
              <w:t> </w:t>
            </w:r>
          </w:p>
          <w:p w14:paraId="3CEC38A9" w14:textId="77777777" w:rsidR="007873D5" w:rsidRPr="001E353D" w:rsidRDefault="007873D5" w:rsidP="00711F75">
            <w:pPr>
              <w:pStyle w:val="TableText"/>
            </w:pPr>
            <w:r w:rsidRPr="001E353D">
              <w:t>Family Code §234.102 </w:t>
            </w:r>
          </w:p>
        </w:tc>
        <w:tc>
          <w:tcPr>
            <w:tcW w:w="3402" w:type="dxa"/>
            <w:vAlign w:val="center"/>
            <w:hideMark/>
          </w:tcPr>
          <w:p w14:paraId="4D46707A" w14:textId="77777777" w:rsidR="007873D5" w:rsidRPr="001E353D" w:rsidRDefault="007873D5" w:rsidP="00711F75">
            <w:pPr>
              <w:pStyle w:val="TableText"/>
            </w:pPr>
            <w:r w:rsidRPr="001E353D">
              <w:t>Requires TWC, in cooperation with the Title IV-D agency, to develop and operate a state directory to which employers in the state shall report each newly hired or rehired employee in accordance with the requirements of 42 U.S.C. Section 653a</w:t>
            </w:r>
            <w:r>
              <w:t>.</w:t>
            </w:r>
            <w:r w:rsidRPr="001E353D">
              <w:t> </w:t>
            </w:r>
          </w:p>
        </w:tc>
      </w:tr>
      <w:tr w:rsidR="007873D5" w:rsidRPr="001E353D" w14:paraId="5EB4A00F" w14:textId="77777777" w:rsidTr="00711F75">
        <w:trPr>
          <w:trHeight w:val="1380"/>
        </w:trPr>
        <w:tc>
          <w:tcPr>
            <w:tcW w:w="2604" w:type="dxa"/>
            <w:vAlign w:val="center"/>
            <w:hideMark/>
          </w:tcPr>
          <w:p w14:paraId="5423E145" w14:textId="77777777" w:rsidR="007873D5" w:rsidRPr="001E353D" w:rsidRDefault="007873D5" w:rsidP="00711F75">
            <w:pPr>
              <w:pStyle w:val="TableText"/>
            </w:pPr>
            <w:r w:rsidRPr="001E353D">
              <w:t>Child Welfare Services – Transitional Living Services Program  </w:t>
            </w:r>
          </w:p>
        </w:tc>
        <w:tc>
          <w:tcPr>
            <w:tcW w:w="3166" w:type="dxa"/>
            <w:vAlign w:val="center"/>
            <w:hideMark/>
          </w:tcPr>
          <w:p w14:paraId="7F85ED9A" w14:textId="77777777" w:rsidR="007873D5" w:rsidRPr="001E353D" w:rsidRDefault="007873D5" w:rsidP="00711F75">
            <w:pPr>
              <w:pStyle w:val="TableText"/>
            </w:pPr>
            <w:r w:rsidRPr="001E353D">
              <w:rPr>
                <w:bCs/>
              </w:rPr>
              <w:t>State Statute:</w:t>
            </w:r>
            <w:r w:rsidRPr="001E353D">
              <w:t> </w:t>
            </w:r>
          </w:p>
          <w:p w14:paraId="4FF92F78" w14:textId="77777777" w:rsidR="007873D5" w:rsidRPr="001E353D" w:rsidRDefault="007873D5" w:rsidP="00711F75">
            <w:pPr>
              <w:pStyle w:val="TableText"/>
            </w:pPr>
            <w:r w:rsidRPr="001E353D">
              <w:t>Family Code §264.121 </w:t>
            </w:r>
          </w:p>
        </w:tc>
        <w:tc>
          <w:tcPr>
            <w:tcW w:w="3402" w:type="dxa"/>
            <w:vAlign w:val="center"/>
            <w:hideMark/>
          </w:tcPr>
          <w:p w14:paraId="259EF89F" w14:textId="77777777" w:rsidR="007873D5" w:rsidRPr="001E353D" w:rsidRDefault="007873D5" w:rsidP="00711F75">
            <w:pPr>
              <w:pStyle w:val="TableText"/>
            </w:pPr>
            <w:r w:rsidRPr="001E353D">
              <w:t>Requires TWC to enter into a cooperative agreement with Department of Family and Protective Services and local workforce development boards, to address the unique challenges facing foster children in the conservatorship of the department who must transition to independent living and to further the objectives of the Preparation for Adult Living Program</w:t>
            </w:r>
            <w:r>
              <w:t>.</w:t>
            </w:r>
          </w:p>
        </w:tc>
      </w:tr>
      <w:tr w:rsidR="007873D5" w:rsidRPr="001E353D" w14:paraId="4D6D66E7" w14:textId="77777777" w:rsidTr="00711F75">
        <w:trPr>
          <w:trHeight w:val="1380"/>
        </w:trPr>
        <w:tc>
          <w:tcPr>
            <w:tcW w:w="2604" w:type="dxa"/>
            <w:vAlign w:val="center"/>
            <w:hideMark/>
          </w:tcPr>
          <w:p w14:paraId="526D5769" w14:textId="77777777" w:rsidR="007873D5" w:rsidRPr="001E353D" w:rsidRDefault="007873D5" w:rsidP="00711F75">
            <w:pPr>
              <w:pStyle w:val="TableText"/>
            </w:pPr>
            <w:r w:rsidRPr="001E353D">
              <w:t>Relocation of Employees  </w:t>
            </w:r>
          </w:p>
        </w:tc>
        <w:tc>
          <w:tcPr>
            <w:tcW w:w="3166" w:type="dxa"/>
            <w:vAlign w:val="center"/>
            <w:hideMark/>
          </w:tcPr>
          <w:p w14:paraId="47BF2991" w14:textId="77777777" w:rsidR="007873D5" w:rsidRPr="001E353D" w:rsidRDefault="007873D5" w:rsidP="00711F75">
            <w:pPr>
              <w:pStyle w:val="TableText"/>
            </w:pPr>
            <w:r w:rsidRPr="001E353D">
              <w:rPr>
                <w:bCs/>
              </w:rPr>
              <w:t>State Statute:</w:t>
            </w:r>
            <w:r w:rsidRPr="001E353D">
              <w:t> </w:t>
            </w:r>
          </w:p>
          <w:p w14:paraId="0BAA7207" w14:textId="77777777" w:rsidR="007873D5" w:rsidRPr="001E353D" w:rsidRDefault="007873D5" w:rsidP="00711F75">
            <w:pPr>
              <w:pStyle w:val="TableText"/>
            </w:pPr>
            <w:r w:rsidRPr="001E353D">
              <w:t>Government Code  </w:t>
            </w:r>
          </w:p>
          <w:p w14:paraId="24E51B8F" w14:textId="77777777" w:rsidR="007873D5" w:rsidRPr="001E353D" w:rsidRDefault="007873D5" w:rsidP="00711F75">
            <w:pPr>
              <w:pStyle w:val="TableText"/>
            </w:pPr>
            <w:r w:rsidRPr="001E353D">
              <w:t>§325.020 </w:t>
            </w:r>
          </w:p>
        </w:tc>
        <w:tc>
          <w:tcPr>
            <w:tcW w:w="3402" w:type="dxa"/>
            <w:vAlign w:val="center"/>
            <w:hideMark/>
          </w:tcPr>
          <w:p w14:paraId="045F0C74" w14:textId="77777777" w:rsidR="007873D5" w:rsidRPr="001E353D" w:rsidRDefault="007873D5" w:rsidP="00711F75">
            <w:pPr>
              <w:pStyle w:val="TableText"/>
            </w:pPr>
            <w:r w:rsidRPr="001E353D">
              <w:t>Requires TWC to work with a state agency to make reasonable efforts to relocate a displaced employee that is displaced because a state agency or its advisory committee is abolished, reorganized, or continued</w:t>
            </w:r>
            <w:r>
              <w:t>.</w:t>
            </w:r>
          </w:p>
        </w:tc>
      </w:tr>
      <w:tr w:rsidR="007873D5" w:rsidRPr="001E353D" w14:paraId="5CEACB11" w14:textId="77777777" w:rsidTr="00711F75">
        <w:trPr>
          <w:trHeight w:val="1380"/>
        </w:trPr>
        <w:tc>
          <w:tcPr>
            <w:tcW w:w="2604" w:type="dxa"/>
            <w:vAlign w:val="center"/>
            <w:hideMark/>
          </w:tcPr>
          <w:p w14:paraId="79117E90" w14:textId="77777777" w:rsidR="007873D5" w:rsidRPr="001E353D" w:rsidRDefault="007873D5" w:rsidP="00711F75">
            <w:pPr>
              <w:pStyle w:val="TableText"/>
            </w:pPr>
            <w:r w:rsidRPr="001E353D">
              <w:lastRenderedPageBreak/>
              <w:t>Green Job Skills Training Programs </w:t>
            </w:r>
          </w:p>
        </w:tc>
        <w:tc>
          <w:tcPr>
            <w:tcW w:w="3166" w:type="dxa"/>
            <w:vAlign w:val="center"/>
            <w:hideMark/>
          </w:tcPr>
          <w:p w14:paraId="2F314191" w14:textId="77777777" w:rsidR="007873D5" w:rsidRPr="001E353D" w:rsidRDefault="007873D5" w:rsidP="00711F75">
            <w:pPr>
              <w:pStyle w:val="TableText"/>
            </w:pPr>
            <w:r w:rsidRPr="001E353D">
              <w:rPr>
                <w:bCs/>
              </w:rPr>
              <w:t>State Statute:</w:t>
            </w:r>
            <w:r w:rsidRPr="001E353D">
              <w:t> </w:t>
            </w:r>
          </w:p>
          <w:p w14:paraId="0FAD16D8" w14:textId="77777777" w:rsidR="007873D5" w:rsidRPr="001E353D" w:rsidRDefault="007873D5" w:rsidP="00711F75">
            <w:pPr>
              <w:pStyle w:val="TableText"/>
            </w:pPr>
            <w:r w:rsidRPr="001E353D">
              <w:t>Government Code </w:t>
            </w:r>
          </w:p>
          <w:p w14:paraId="7E5214A9" w14:textId="77777777" w:rsidR="007873D5" w:rsidRPr="001E353D" w:rsidRDefault="007873D5" w:rsidP="00711F75">
            <w:pPr>
              <w:pStyle w:val="TableText"/>
            </w:pPr>
            <w:r w:rsidRPr="001E353D">
              <w:t>§403.404 – 403.405 </w:t>
            </w:r>
          </w:p>
        </w:tc>
        <w:tc>
          <w:tcPr>
            <w:tcW w:w="3402" w:type="dxa"/>
            <w:vAlign w:val="center"/>
            <w:hideMark/>
          </w:tcPr>
          <w:p w14:paraId="2DEFA071" w14:textId="77777777" w:rsidR="007873D5" w:rsidRPr="001E353D" w:rsidRDefault="007873D5" w:rsidP="00711F75">
            <w:pPr>
              <w:pStyle w:val="TableText"/>
            </w:pPr>
            <w:r w:rsidRPr="001E353D">
              <w:t>Requires TWC to cooperate with the comptroller through the State Energy Conservation Office for the implementation, expansion, and operation of green job skills training programs. The comptroller may award grants in cooperation with TWC</w:t>
            </w:r>
            <w:r>
              <w:t>.</w:t>
            </w:r>
          </w:p>
        </w:tc>
      </w:tr>
      <w:tr w:rsidR="007873D5" w:rsidRPr="001E353D" w14:paraId="4CBB1CD1" w14:textId="77777777" w:rsidTr="00711F75">
        <w:trPr>
          <w:trHeight w:val="1380"/>
        </w:trPr>
        <w:tc>
          <w:tcPr>
            <w:tcW w:w="2604" w:type="dxa"/>
            <w:vAlign w:val="center"/>
            <w:hideMark/>
          </w:tcPr>
          <w:p w14:paraId="367D37F9" w14:textId="77777777" w:rsidR="007873D5" w:rsidRPr="001E353D" w:rsidRDefault="007873D5" w:rsidP="00711F75">
            <w:pPr>
              <w:pStyle w:val="TableText"/>
            </w:pPr>
            <w:r w:rsidRPr="001E353D">
              <w:t>Disaster Case Management System  </w:t>
            </w:r>
          </w:p>
        </w:tc>
        <w:tc>
          <w:tcPr>
            <w:tcW w:w="3166" w:type="dxa"/>
            <w:vAlign w:val="center"/>
            <w:hideMark/>
          </w:tcPr>
          <w:p w14:paraId="7CD91B67" w14:textId="77777777" w:rsidR="007873D5" w:rsidRPr="001E353D" w:rsidRDefault="007873D5" w:rsidP="00711F75">
            <w:pPr>
              <w:pStyle w:val="TableText"/>
            </w:pPr>
            <w:r w:rsidRPr="001E353D">
              <w:rPr>
                <w:bCs/>
              </w:rPr>
              <w:t>State Statute:</w:t>
            </w:r>
            <w:r w:rsidRPr="001E353D">
              <w:t> </w:t>
            </w:r>
          </w:p>
          <w:p w14:paraId="2FFD375B" w14:textId="77777777" w:rsidR="007873D5" w:rsidRPr="001E353D" w:rsidRDefault="007873D5" w:rsidP="00711F75">
            <w:pPr>
              <w:pStyle w:val="TableText"/>
            </w:pPr>
            <w:r w:rsidRPr="001E353D">
              <w:t>Government Code </w:t>
            </w:r>
          </w:p>
          <w:p w14:paraId="20415821" w14:textId="77777777" w:rsidR="007873D5" w:rsidRPr="001E353D" w:rsidRDefault="007873D5" w:rsidP="00711F75">
            <w:pPr>
              <w:pStyle w:val="TableText"/>
            </w:pPr>
            <w:r w:rsidRPr="001E353D">
              <w:t>§418.0545 </w:t>
            </w:r>
          </w:p>
        </w:tc>
        <w:tc>
          <w:tcPr>
            <w:tcW w:w="3402" w:type="dxa"/>
            <w:vAlign w:val="center"/>
            <w:hideMark/>
          </w:tcPr>
          <w:p w14:paraId="05DEBB11" w14:textId="77777777" w:rsidR="007873D5" w:rsidRPr="001E353D" w:rsidRDefault="007873D5" w:rsidP="00711F75">
            <w:pPr>
              <w:pStyle w:val="TableText"/>
            </w:pPr>
            <w:r w:rsidRPr="001E353D">
              <w:t xml:space="preserve">Requires TWC, if selected, to contract with the </w:t>
            </w:r>
            <w:r>
              <w:t>TDEM</w:t>
            </w:r>
            <w:r w:rsidRPr="001E353D">
              <w:t>, to develop and maintain an electronic disaster case management system</w:t>
            </w:r>
            <w:r>
              <w:t>.</w:t>
            </w:r>
          </w:p>
        </w:tc>
      </w:tr>
      <w:tr w:rsidR="007873D5" w:rsidRPr="001E353D" w14:paraId="237AA1CC" w14:textId="77777777" w:rsidTr="00711F75">
        <w:trPr>
          <w:trHeight w:val="1380"/>
        </w:trPr>
        <w:tc>
          <w:tcPr>
            <w:tcW w:w="2604" w:type="dxa"/>
            <w:vAlign w:val="center"/>
            <w:hideMark/>
          </w:tcPr>
          <w:p w14:paraId="414D6D1F" w14:textId="77777777" w:rsidR="007873D5" w:rsidRPr="001E353D" w:rsidRDefault="007873D5" w:rsidP="00711F75">
            <w:pPr>
              <w:pStyle w:val="TableText"/>
            </w:pPr>
            <w:r w:rsidRPr="001E353D">
              <w:t>Veteran Assistance Agency and Memorandum of Understanding  </w:t>
            </w:r>
          </w:p>
        </w:tc>
        <w:tc>
          <w:tcPr>
            <w:tcW w:w="3166" w:type="dxa"/>
            <w:vAlign w:val="center"/>
            <w:hideMark/>
          </w:tcPr>
          <w:p w14:paraId="52600704" w14:textId="77777777" w:rsidR="007873D5" w:rsidRPr="001E353D" w:rsidRDefault="007873D5" w:rsidP="00711F75">
            <w:pPr>
              <w:pStyle w:val="TableText"/>
            </w:pPr>
            <w:r w:rsidRPr="001E353D">
              <w:rPr>
                <w:bCs/>
              </w:rPr>
              <w:t>State Statute:</w:t>
            </w:r>
            <w:r w:rsidRPr="001E353D">
              <w:t> </w:t>
            </w:r>
          </w:p>
          <w:p w14:paraId="48FA0C9A" w14:textId="77777777" w:rsidR="007873D5" w:rsidRPr="001E353D" w:rsidRDefault="007873D5" w:rsidP="00711F75">
            <w:pPr>
              <w:pStyle w:val="TableText"/>
            </w:pPr>
            <w:r w:rsidRPr="001E353D">
              <w:t>Government Code </w:t>
            </w:r>
          </w:p>
          <w:p w14:paraId="3BC25C38" w14:textId="77777777" w:rsidR="007873D5" w:rsidRPr="001E353D" w:rsidRDefault="007873D5" w:rsidP="00711F75">
            <w:pPr>
              <w:pStyle w:val="TableText"/>
            </w:pPr>
            <w:r w:rsidRPr="001E353D">
              <w:t>§434.0071 </w:t>
            </w:r>
          </w:p>
        </w:tc>
        <w:tc>
          <w:tcPr>
            <w:tcW w:w="3402" w:type="dxa"/>
            <w:vAlign w:val="center"/>
            <w:hideMark/>
          </w:tcPr>
          <w:p w14:paraId="2A5895E1" w14:textId="77777777" w:rsidR="007873D5" w:rsidRPr="001E353D" w:rsidRDefault="007873D5" w:rsidP="00711F75">
            <w:pPr>
              <w:pStyle w:val="TableText"/>
            </w:pPr>
            <w:r w:rsidRPr="001E353D">
              <w:t xml:space="preserve">Requires TWC to coordinate with the </w:t>
            </w:r>
            <w:r>
              <w:t>TVC</w:t>
            </w:r>
            <w:r w:rsidRPr="001E353D">
              <w:t xml:space="preserve">, </w:t>
            </w:r>
            <w:r>
              <w:t>VLB</w:t>
            </w:r>
            <w:r w:rsidRPr="001E353D">
              <w:t>; and any other agency of the state that administers applicable only to veterans or the family members of veterans, to adopt a joint memorandum of understanding related to the services to state military veterans</w:t>
            </w:r>
            <w:r>
              <w:t>.</w:t>
            </w:r>
          </w:p>
        </w:tc>
      </w:tr>
      <w:tr w:rsidR="007873D5" w:rsidRPr="001E353D" w14:paraId="58A29619" w14:textId="77777777" w:rsidTr="00711F75">
        <w:trPr>
          <w:trHeight w:val="1380"/>
        </w:trPr>
        <w:tc>
          <w:tcPr>
            <w:tcW w:w="2604" w:type="dxa"/>
            <w:vAlign w:val="center"/>
            <w:hideMark/>
          </w:tcPr>
          <w:p w14:paraId="329DC668" w14:textId="77777777" w:rsidR="007873D5" w:rsidRPr="001E353D" w:rsidRDefault="007873D5" w:rsidP="00711F75">
            <w:pPr>
              <w:pStyle w:val="TableText"/>
            </w:pPr>
            <w:r w:rsidRPr="001E353D">
              <w:t>Texas Women Veterans Program  </w:t>
            </w:r>
          </w:p>
        </w:tc>
        <w:tc>
          <w:tcPr>
            <w:tcW w:w="3166" w:type="dxa"/>
            <w:vAlign w:val="center"/>
            <w:hideMark/>
          </w:tcPr>
          <w:p w14:paraId="69D15F91" w14:textId="77777777" w:rsidR="007873D5" w:rsidRPr="001E353D" w:rsidRDefault="007873D5" w:rsidP="00711F75">
            <w:pPr>
              <w:pStyle w:val="TableText"/>
            </w:pPr>
            <w:r w:rsidRPr="001E353D">
              <w:rPr>
                <w:bCs/>
              </w:rPr>
              <w:t>State Statute:</w:t>
            </w:r>
            <w:r w:rsidRPr="001E353D">
              <w:t> </w:t>
            </w:r>
          </w:p>
          <w:p w14:paraId="204C2B13" w14:textId="77777777" w:rsidR="007873D5" w:rsidRPr="001E353D" w:rsidRDefault="007873D5" w:rsidP="00711F75">
            <w:pPr>
              <w:pStyle w:val="TableText"/>
            </w:pPr>
            <w:r w:rsidRPr="001E353D">
              <w:t>Government Code </w:t>
            </w:r>
          </w:p>
          <w:p w14:paraId="251D32DF" w14:textId="77777777" w:rsidR="007873D5" w:rsidRPr="001E353D" w:rsidRDefault="007873D5" w:rsidP="00711F75">
            <w:pPr>
              <w:pStyle w:val="TableText"/>
            </w:pPr>
            <w:r w:rsidRPr="001E353D">
              <w:t>§434.212 </w:t>
            </w:r>
          </w:p>
        </w:tc>
        <w:tc>
          <w:tcPr>
            <w:tcW w:w="3402" w:type="dxa"/>
            <w:vAlign w:val="center"/>
            <w:hideMark/>
          </w:tcPr>
          <w:p w14:paraId="6C356CFA" w14:textId="77777777" w:rsidR="007873D5" w:rsidRPr="001E353D" w:rsidRDefault="007873D5" w:rsidP="00711F75">
            <w:pPr>
              <w:pStyle w:val="TableText"/>
            </w:pPr>
            <w:r w:rsidRPr="001E353D">
              <w:t xml:space="preserve">Requires TWC to provide the number of women veterans who receive assistance, to the </w:t>
            </w:r>
            <w:r>
              <w:t>TVC</w:t>
            </w:r>
            <w:r w:rsidRPr="001E353D">
              <w:t xml:space="preserve"> so </w:t>
            </w:r>
            <w:r>
              <w:t>T</w:t>
            </w:r>
            <w:r w:rsidRPr="001E353D">
              <w:t>VC may create a report to submit to the governor, lieutenant governor, and legislature on women veterans in this state </w:t>
            </w:r>
          </w:p>
        </w:tc>
      </w:tr>
      <w:tr w:rsidR="007873D5" w:rsidRPr="001E353D" w14:paraId="70AF34F3" w14:textId="77777777" w:rsidTr="00711F75">
        <w:trPr>
          <w:trHeight w:val="1380"/>
        </w:trPr>
        <w:tc>
          <w:tcPr>
            <w:tcW w:w="2604" w:type="dxa"/>
            <w:vAlign w:val="center"/>
            <w:hideMark/>
          </w:tcPr>
          <w:p w14:paraId="706530D8" w14:textId="77777777" w:rsidR="007873D5" w:rsidRPr="001E353D" w:rsidRDefault="007873D5" w:rsidP="00711F75">
            <w:pPr>
              <w:pStyle w:val="TableText"/>
            </w:pPr>
            <w:r w:rsidRPr="001E353D">
              <w:t>Texas Lottery Commission (TLC) </w:t>
            </w:r>
          </w:p>
        </w:tc>
        <w:tc>
          <w:tcPr>
            <w:tcW w:w="3166" w:type="dxa"/>
            <w:vAlign w:val="center"/>
            <w:hideMark/>
          </w:tcPr>
          <w:p w14:paraId="750FC0A8" w14:textId="77777777" w:rsidR="007873D5" w:rsidRPr="001E353D" w:rsidRDefault="007873D5" w:rsidP="00711F75">
            <w:pPr>
              <w:pStyle w:val="TableText"/>
            </w:pPr>
            <w:r w:rsidRPr="001E353D">
              <w:rPr>
                <w:bCs/>
              </w:rPr>
              <w:t>State Statute: </w:t>
            </w:r>
            <w:r w:rsidRPr="001E353D">
              <w:t> </w:t>
            </w:r>
          </w:p>
          <w:p w14:paraId="785EE656" w14:textId="77777777" w:rsidR="007873D5" w:rsidRPr="001E353D" w:rsidRDefault="007873D5" w:rsidP="00711F75">
            <w:pPr>
              <w:pStyle w:val="TableText"/>
            </w:pPr>
            <w:r w:rsidRPr="001E353D">
              <w:t>Government Code  </w:t>
            </w:r>
          </w:p>
          <w:p w14:paraId="6BB77470" w14:textId="77777777" w:rsidR="007873D5" w:rsidRPr="001E353D" w:rsidRDefault="007873D5" w:rsidP="00711F75">
            <w:pPr>
              <w:pStyle w:val="TableText"/>
            </w:pPr>
            <w:r w:rsidRPr="001E353D">
              <w:t>§466.155 </w:t>
            </w:r>
          </w:p>
        </w:tc>
        <w:tc>
          <w:tcPr>
            <w:tcW w:w="3402" w:type="dxa"/>
            <w:vAlign w:val="center"/>
            <w:hideMark/>
          </w:tcPr>
          <w:p w14:paraId="77FAEEFC" w14:textId="77777777" w:rsidR="007873D5" w:rsidRPr="001E353D" w:rsidRDefault="007873D5" w:rsidP="00711F75">
            <w:pPr>
              <w:pStyle w:val="TableText"/>
            </w:pPr>
            <w:r w:rsidRPr="001E353D">
              <w:t>Requires TWC to provide the executive director of TLC with a report of persons who have been finally determined delinquent in the payment of any money owed to or collected by TWC to assist TLC in determining whether to deny, suspend or revoke the license of an applicant or a lottery ticket sales agent</w:t>
            </w:r>
            <w:r>
              <w:t>.</w:t>
            </w:r>
          </w:p>
        </w:tc>
      </w:tr>
      <w:tr w:rsidR="007873D5" w:rsidRPr="001E353D" w14:paraId="00FB9714" w14:textId="77777777" w:rsidTr="00711F75">
        <w:trPr>
          <w:trHeight w:val="1140"/>
        </w:trPr>
        <w:tc>
          <w:tcPr>
            <w:tcW w:w="2604" w:type="dxa"/>
            <w:vAlign w:val="center"/>
            <w:hideMark/>
          </w:tcPr>
          <w:p w14:paraId="0C8F54C7" w14:textId="77777777" w:rsidR="007873D5" w:rsidRPr="001E353D" w:rsidRDefault="007873D5" w:rsidP="00711F75">
            <w:pPr>
              <w:pStyle w:val="TableText"/>
            </w:pPr>
            <w:r w:rsidRPr="001E353D">
              <w:t>Texas State Board of Plumbing Examiners </w:t>
            </w:r>
          </w:p>
        </w:tc>
        <w:tc>
          <w:tcPr>
            <w:tcW w:w="3166" w:type="dxa"/>
            <w:vAlign w:val="center"/>
            <w:hideMark/>
          </w:tcPr>
          <w:p w14:paraId="36FB8E31" w14:textId="77777777" w:rsidR="006B29C8" w:rsidRDefault="007873D5" w:rsidP="00711F75">
            <w:pPr>
              <w:pStyle w:val="TableText"/>
              <w:rPr>
                <w:bCs/>
              </w:rPr>
            </w:pPr>
            <w:r w:rsidRPr="001E353D">
              <w:rPr>
                <w:bCs/>
              </w:rPr>
              <w:t>State Statute:</w:t>
            </w:r>
          </w:p>
          <w:p w14:paraId="71B40B90" w14:textId="6A6294B3" w:rsidR="007873D5" w:rsidRPr="001E353D" w:rsidRDefault="007873D5" w:rsidP="00711F75">
            <w:pPr>
              <w:pStyle w:val="TableText"/>
            </w:pPr>
            <w:r w:rsidRPr="001E353D">
              <w:t>Occupations Code §1301.652 </w:t>
            </w:r>
          </w:p>
        </w:tc>
        <w:tc>
          <w:tcPr>
            <w:tcW w:w="3402" w:type="dxa"/>
            <w:vAlign w:val="center"/>
            <w:hideMark/>
          </w:tcPr>
          <w:p w14:paraId="232C9923" w14:textId="77777777" w:rsidR="007873D5" w:rsidRPr="001E353D" w:rsidRDefault="007873D5" w:rsidP="00711F75">
            <w:pPr>
              <w:pStyle w:val="TableText"/>
            </w:pPr>
            <w:r w:rsidRPr="001E353D">
              <w:t>Requires the board to coordinate with TWC and LWDBs efforts to educate the public about the plumbing profession and the resources available to employers for the recruitment and training of plumbers</w:t>
            </w:r>
            <w:r>
              <w:t>.</w:t>
            </w:r>
          </w:p>
        </w:tc>
      </w:tr>
      <w:tr w:rsidR="007873D5" w:rsidRPr="001E353D" w14:paraId="2E95AAAD" w14:textId="77777777" w:rsidTr="00711F75">
        <w:trPr>
          <w:trHeight w:val="1845"/>
        </w:trPr>
        <w:tc>
          <w:tcPr>
            <w:tcW w:w="2604" w:type="dxa"/>
            <w:vAlign w:val="center"/>
            <w:hideMark/>
          </w:tcPr>
          <w:p w14:paraId="4EDF990E" w14:textId="77777777" w:rsidR="007873D5" w:rsidRPr="001E353D" w:rsidRDefault="007873D5" w:rsidP="00711F75">
            <w:pPr>
              <w:pStyle w:val="TableText"/>
            </w:pPr>
            <w:r>
              <w:t>Texas Juvenile Justice Department (TJJD)</w:t>
            </w:r>
          </w:p>
        </w:tc>
        <w:tc>
          <w:tcPr>
            <w:tcW w:w="3166" w:type="dxa"/>
            <w:vAlign w:val="center"/>
            <w:hideMark/>
          </w:tcPr>
          <w:p w14:paraId="1D8F47A3" w14:textId="77777777" w:rsidR="006B29C8" w:rsidRDefault="007873D5" w:rsidP="00711F75">
            <w:pPr>
              <w:pStyle w:val="TableText"/>
              <w:rPr>
                <w:bCs/>
              </w:rPr>
            </w:pPr>
            <w:r w:rsidRPr="001E353D">
              <w:rPr>
                <w:bCs/>
              </w:rPr>
              <w:t>State Statute:</w:t>
            </w:r>
          </w:p>
          <w:p w14:paraId="72FF902A" w14:textId="62EF8EC3" w:rsidR="007873D5" w:rsidRPr="001E353D" w:rsidRDefault="007873D5" w:rsidP="00711F75">
            <w:pPr>
              <w:pStyle w:val="TableText"/>
            </w:pPr>
            <w:r w:rsidRPr="001E353D">
              <w:t>Education Code §30.103 </w:t>
            </w:r>
          </w:p>
          <w:p w14:paraId="514A9E02" w14:textId="77777777" w:rsidR="007873D5" w:rsidRPr="001E353D" w:rsidRDefault="007873D5" w:rsidP="00711F75">
            <w:pPr>
              <w:pStyle w:val="TableText"/>
            </w:pPr>
          </w:p>
        </w:tc>
        <w:tc>
          <w:tcPr>
            <w:tcW w:w="3402" w:type="dxa"/>
            <w:vAlign w:val="center"/>
            <w:hideMark/>
          </w:tcPr>
          <w:p w14:paraId="369C8B38" w14:textId="77777777" w:rsidR="007873D5" w:rsidRPr="001E353D" w:rsidRDefault="007873D5" w:rsidP="00711F75">
            <w:pPr>
              <w:pStyle w:val="TableText"/>
            </w:pPr>
            <w:r w:rsidRPr="001E353D">
              <w:t>Requires T</w:t>
            </w:r>
            <w:r>
              <w:t>JJD</w:t>
            </w:r>
            <w:r w:rsidRPr="001E353D">
              <w:t xml:space="preserve">, with the assistance of TWC and TWIC, to adopt by rule an MOU that establishes their respective responsibilities to provide job training and employment assistance programs to children committed or formerly sentenced to </w:t>
            </w:r>
            <w:r>
              <w:t>TJJD.</w:t>
            </w:r>
          </w:p>
        </w:tc>
      </w:tr>
      <w:tr w:rsidR="007873D5" w:rsidRPr="001E353D" w14:paraId="1F320FA1" w14:textId="77777777" w:rsidTr="00711F75">
        <w:trPr>
          <w:trHeight w:val="1845"/>
        </w:trPr>
        <w:tc>
          <w:tcPr>
            <w:tcW w:w="2604" w:type="dxa"/>
            <w:vAlign w:val="center"/>
            <w:hideMark/>
          </w:tcPr>
          <w:p w14:paraId="3EC185B1" w14:textId="77777777" w:rsidR="007873D5" w:rsidRPr="001E353D" w:rsidRDefault="007873D5" w:rsidP="00711F75">
            <w:pPr>
              <w:pStyle w:val="TableText"/>
            </w:pPr>
            <w:r w:rsidRPr="001E353D">
              <w:lastRenderedPageBreak/>
              <w:t>Tri-Agency Work-Based Learning Strategic Framework </w:t>
            </w:r>
          </w:p>
        </w:tc>
        <w:tc>
          <w:tcPr>
            <w:tcW w:w="3166" w:type="dxa"/>
            <w:vAlign w:val="center"/>
            <w:hideMark/>
          </w:tcPr>
          <w:p w14:paraId="21329EC9" w14:textId="77777777" w:rsidR="007873D5" w:rsidRPr="001E353D" w:rsidRDefault="007873D5" w:rsidP="00711F75">
            <w:pPr>
              <w:pStyle w:val="TableText"/>
            </w:pPr>
            <w:r w:rsidRPr="001E353D">
              <w:rPr>
                <w:bCs/>
              </w:rPr>
              <w:t>State Statute:</w:t>
            </w:r>
            <w:r w:rsidRPr="001E353D">
              <w:t> </w:t>
            </w:r>
          </w:p>
          <w:p w14:paraId="2E024370" w14:textId="77777777" w:rsidR="007873D5" w:rsidRPr="001E353D" w:rsidRDefault="007873D5" w:rsidP="00711F75">
            <w:pPr>
              <w:pStyle w:val="TableText"/>
            </w:pPr>
            <w:r w:rsidRPr="001E353D">
              <w:t>Labor Code §§318.001-318.002 </w:t>
            </w:r>
          </w:p>
        </w:tc>
        <w:tc>
          <w:tcPr>
            <w:tcW w:w="3402" w:type="dxa"/>
            <w:vAlign w:val="center"/>
            <w:hideMark/>
          </w:tcPr>
          <w:p w14:paraId="27E1DEEE" w14:textId="77777777" w:rsidR="007873D5" w:rsidRPr="001E353D" w:rsidRDefault="007873D5" w:rsidP="00711F75">
            <w:pPr>
              <w:pStyle w:val="TableText"/>
            </w:pPr>
            <w:r w:rsidRPr="001E353D">
              <w:t xml:space="preserve">Requires the </w:t>
            </w:r>
            <w:r>
              <w:t>Commission</w:t>
            </w:r>
            <w:r w:rsidRPr="001E353D">
              <w:t xml:space="preserve">, TEA and </w:t>
            </w:r>
            <w:r>
              <w:t>THCB</w:t>
            </w:r>
            <w:r w:rsidRPr="001E353D">
              <w:t xml:space="preserve"> to jointly establish a framework to encourage work-based learning and submit a report to the legislature with its findings and recommendations by Dec</w:t>
            </w:r>
            <w:r>
              <w:t>.</w:t>
            </w:r>
            <w:r w:rsidRPr="001E353D">
              <w:t xml:space="preserve"> 1, 2022. The chapter expired on September 1, 2023</w:t>
            </w:r>
            <w:r>
              <w:t>.</w:t>
            </w:r>
          </w:p>
        </w:tc>
      </w:tr>
      <w:tr w:rsidR="007873D5" w:rsidRPr="001E353D" w14:paraId="34FE9F99" w14:textId="77777777" w:rsidTr="00711F75">
        <w:trPr>
          <w:trHeight w:val="1845"/>
        </w:trPr>
        <w:tc>
          <w:tcPr>
            <w:tcW w:w="2604" w:type="dxa"/>
            <w:vAlign w:val="center"/>
            <w:hideMark/>
          </w:tcPr>
          <w:p w14:paraId="5E8E4BAF" w14:textId="77777777" w:rsidR="007873D5" w:rsidRPr="001E353D" w:rsidRDefault="007873D5" w:rsidP="00711F75">
            <w:pPr>
              <w:pStyle w:val="TableText"/>
            </w:pPr>
            <w:r w:rsidRPr="001E353D">
              <w:t>Task Force on Consolidation of Workforce and Social Services </w:t>
            </w:r>
          </w:p>
        </w:tc>
        <w:tc>
          <w:tcPr>
            <w:tcW w:w="3166" w:type="dxa"/>
            <w:vAlign w:val="center"/>
            <w:hideMark/>
          </w:tcPr>
          <w:p w14:paraId="13FA5B42" w14:textId="77777777" w:rsidR="007873D5" w:rsidRPr="001E353D" w:rsidRDefault="007873D5" w:rsidP="00711F75">
            <w:pPr>
              <w:pStyle w:val="TableText"/>
            </w:pPr>
            <w:r w:rsidRPr="001E353D">
              <w:rPr>
                <w:bCs/>
              </w:rPr>
              <w:t>State Statute:</w:t>
            </w:r>
            <w:r w:rsidRPr="001E353D">
              <w:t> </w:t>
            </w:r>
          </w:p>
          <w:p w14:paraId="068BAEEC" w14:textId="77777777" w:rsidR="007873D5" w:rsidRPr="001E353D" w:rsidRDefault="007873D5" w:rsidP="00711F75">
            <w:pPr>
              <w:pStyle w:val="TableText"/>
            </w:pPr>
            <w:r w:rsidRPr="001E353D">
              <w:t>Labor Code §§319.001-319.006 </w:t>
            </w:r>
          </w:p>
        </w:tc>
        <w:tc>
          <w:tcPr>
            <w:tcW w:w="3402" w:type="dxa"/>
            <w:vAlign w:val="center"/>
            <w:hideMark/>
          </w:tcPr>
          <w:p w14:paraId="37C25333" w14:textId="4F00424B" w:rsidR="007873D5" w:rsidRPr="001E353D" w:rsidRDefault="007873D5" w:rsidP="00711F75">
            <w:pPr>
              <w:pStyle w:val="TableText"/>
            </w:pPr>
            <w:r>
              <w:t xml:space="preserve">Provides for the establishment of a </w:t>
            </w:r>
            <w:r w:rsidR="00D74B5F">
              <w:t>nine-</w:t>
            </w:r>
            <w:r>
              <w:t>member task force along with supporting staff to develop a plan for the consolidation of workforce development and social services. The task force expired on Sept. 1, 2025.</w:t>
            </w:r>
          </w:p>
        </w:tc>
      </w:tr>
      <w:tr w:rsidR="007873D5" w:rsidRPr="001E353D" w14:paraId="6BB0D51A" w14:textId="77777777" w:rsidTr="00711F75">
        <w:trPr>
          <w:trHeight w:val="1845"/>
        </w:trPr>
        <w:tc>
          <w:tcPr>
            <w:tcW w:w="2604" w:type="dxa"/>
            <w:vAlign w:val="center"/>
            <w:hideMark/>
          </w:tcPr>
          <w:p w14:paraId="273D82C8" w14:textId="77777777" w:rsidR="007873D5" w:rsidRPr="001E353D" w:rsidRDefault="007873D5" w:rsidP="00711F75">
            <w:pPr>
              <w:pStyle w:val="TableText"/>
            </w:pPr>
            <w:r w:rsidRPr="001E353D">
              <w:t>Employment First Policy </w:t>
            </w:r>
          </w:p>
        </w:tc>
        <w:tc>
          <w:tcPr>
            <w:tcW w:w="3166" w:type="dxa"/>
            <w:vAlign w:val="center"/>
            <w:hideMark/>
          </w:tcPr>
          <w:p w14:paraId="7DCEF018" w14:textId="77777777" w:rsidR="007873D5" w:rsidRPr="001E353D" w:rsidRDefault="007873D5" w:rsidP="00711F75">
            <w:pPr>
              <w:pStyle w:val="TableText"/>
            </w:pPr>
            <w:r w:rsidRPr="001E353D">
              <w:rPr>
                <w:bCs/>
              </w:rPr>
              <w:t>State Statute:</w:t>
            </w:r>
          </w:p>
          <w:p w14:paraId="06DDC6D4" w14:textId="77777777" w:rsidR="007873D5" w:rsidRPr="001E353D" w:rsidRDefault="007873D5" w:rsidP="00711F75">
            <w:pPr>
              <w:pStyle w:val="TableText"/>
            </w:pPr>
            <w:r w:rsidRPr="001E353D">
              <w:t>Govt Code § 546.0003 </w:t>
            </w:r>
          </w:p>
        </w:tc>
        <w:tc>
          <w:tcPr>
            <w:tcW w:w="3402" w:type="dxa"/>
            <w:vAlign w:val="center"/>
            <w:hideMark/>
          </w:tcPr>
          <w:p w14:paraId="05215B1B" w14:textId="77777777" w:rsidR="007873D5" w:rsidRPr="001E353D" w:rsidRDefault="007873D5" w:rsidP="00711F75">
            <w:pPr>
              <w:pStyle w:val="TableText"/>
            </w:pPr>
            <w:r w:rsidRPr="001E353D">
              <w:t>Requires TWC, HHSC, and TEA to adopt an “employment first” policy as earning living wage through competitive employment is a state priority for working age individuals who receive public assistance</w:t>
            </w:r>
            <w:r>
              <w:t>.</w:t>
            </w:r>
          </w:p>
        </w:tc>
      </w:tr>
      <w:tr w:rsidR="007873D5" w:rsidRPr="001E353D" w14:paraId="5415ED09" w14:textId="77777777" w:rsidTr="00711F75">
        <w:trPr>
          <w:trHeight w:val="1845"/>
        </w:trPr>
        <w:tc>
          <w:tcPr>
            <w:tcW w:w="2604" w:type="dxa"/>
            <w:vAlign w:val="center"/>
            <w:hideMark/>
          </w:tcPr>
          <w:p w14:paraId="79EC2C6B" w14:textId="77777777" w:rsidR="007873D5" w:rsidRPr="001E353D" w:rsidRDefault="007873D5" w:rsidP="00711F75">
            <w:pPr>
              <w:pStyle w:val="TableText"/>
            </w:pPr>
            <w:r w:rsidRPr="001E353D">
              <w:t>Statewide Behavioral Health Coordinating Council </w:t>
            </w:r>
          </w:p>
        </w:tc>
        <w:tc>
          <w:tcPr>
            <w:tcW w:w="3166" w:type="dxa"/>
            <w:vAlign w:val="center"/>
            <w:hideMark/>
          </w:tcPr>
          <w:p w14:paraId="74710D50" w14:textId="77777777" w:rsidR="007873D5" w:rsidRPr="001E353D" w:rsidRDefault="007873D5" w:rsidP="00711F75">
            <w:pPr>
              <w:pStyle w:val="TableText"/>
            </w:pPr>
            <w:r w:rsidRPr="001E353D">
              <w:rPr>
                <w:bCs/>
              </w:rPr>
              <w:t>State Statute:</w:t>
            </w:r>
          </w:p>
          <w:p w14:paraId="3018AD6D" w14:textId="77777777" w:rsidR="007873D5" w:rsidRPr="001E353D" w:rsidRDefault="007873D5" w:rsidP="00711F75">
            <w:pPr>
              <w:pStyle w:val="TableText"/>
            </w:pPr>
            <w:r w:rsidRPr="001E353D">
              <w:t>Govt Code §545.151-547.153 </w:t>
            </w:r>
          </w:p>
        </w:tc>
        <w:tc>
          <w:tcPr>
            <w:tcW w:w="3402" w:type="dxa"/>
            <w:vAlign w:val="center"/>
            <w:hideMark/>
          </w:tcPr>
          <w:p w14:paraId="3DC1EFB6" w14:textId="77777777" w:rsidR="007873D5" w:rsidRPr="001E353D" w:rsidRDefault="007873D5" w:rsidP="00711F75">
            <w:pPr>
              <w:pStyle w:val="TableText"/>
            </w:pPr>
            <w:r w:rsidRPr="001E353D">
              <w:t>Requires the agency to assign one representative to the council for the purpose of ensuring a strategic approach to behavioral health services</w:t>
            </w:r>
            <w:r>
              <w:t>.</w:t>
            </w:r>
          </w:p>
        </w:tc>
      </w:tr>
    </w:tbl>
    <w:p w14:paraId="131AB1EB" w14:textId="77777777" w:rsidR="00FB172E" w:rsidRPr="00231238" w:rsidRDefault="00FB172E" w:rsidP="003A7DC4">
      <w:pPr>
        <w:pStyle w:val="BodyText3"/>
        <w:jc w:val="center"/>
        <w:rPr>
          <w:rStyle w:val="Emphasis"/>
        </w:rPr>
      </w:pPr>
      <w:bookmarkStart w:id="315" w:name="_Toc202856331"/>
      <w:bookmarkStart w:id="316" w:name="_Toc202857160"/>
      <w:bookmarkStart w:id="317" w:name="_Toc202860940"/>
      <w:bookmarkStart w:id="318" w:name="_Toc202861115"/>
      <w:bookmarkStart w:id="319" w:name="_Toc1601504035"/>
      <w:bookmarkStart w:id="320" w:name="_Toc1528608308"/>
      <w:r w:rsidRPr="00231238">
        <w:rPr>
          <w:rStyle w:val="Emphasis"/>
        </w:rPr>
        <w:t>Attorney General Opinions</w:t>
      </w:r>
      <w:bookmarkEnd w:id="315"/>
      <w:bookmarkEnd w:id="316"/>
      <w:bookmarkEnd w:id="317"/>
      <w:bookmarkEnd w:id="318"/>
      <w:bookmarkEnd w:id="319"/>
      <w:bookmarkEnd w:id="320"/>
    </w:p>
    <w:tbl>
      <w:tblPr>
        <w:tblW w:w="9359"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Exhibiit 13: Attorney General Opinions"/>
      </w:tblPr>
      <w:tblGrid>
        <w:gridCol w:w="4849"/>
        <w:gridCol w:w="4510"/>
      </w:tblGrid>
      <w:tr w:rsidR="00BD532F" w:rsidRPr="00BD532F" w14:paraId="309D6056" w14:textId="77777777" w:rsidTr="6114F053">
        <w:trPr>
          <w:trHeight w:val="435"/>
          <w:tblHeader/>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hideMark/>
          </w:tcPr>
          <w:p w14:paraId="6867BDEA" w14:textId="7B8B0D1F" w:rsidR="00BD532F" w:rsidRPr="00BD532F" w:rsidRDefault="00BD532F" w:rsidP="00F974D6">
            <w:pPr>
              <w:pStyle w:val="TableHeaders"/>
            </w:pPr>
            <w:r w:rsidRPr="00BD532F">
              <w:t>Attorney General Opinion</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hideMark/>
          </w:tcPr>
          <w:p w14:paraId="6EEDB749" w14:textId="2DAF165D" w:rsidR="00BD532F" w:rsidRPr="00BD532F" w:rsidRDefault="00BD532F" w:rsidP="00F974D6">
            <w:pPr>
              <w:pStyle w:val="TableHeaders"/>
            </w:pPr>
            <w:r w:rsidRPr="00BD532F">
              <w:t>Impact on Agency</w:t>
            </w:r>
          </w:p>
        </w:tc>
      </w:tr>
      <w:tr w:rsidR="00BD532F" w:rsidRPr="00BD532F" w14:paraId="669D1FD9" w14:textId="77777777" w:rsidTr="00A72FEE">
        <w:trPr>
          <w:trHeight w:val="91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0857D9D" w14:textId="054B1A7B" w:rsidR="00BD532F" w:rsidRPr="00BD532F" w:rsidRDefault="00BD532F" w:rsidP="00A72FEE">
            <w:pPr>
              <w:pStyle w:val="TableText"/>
            </w:pPr>
            <w:r w:rsidRPr="00BD532F">
              <w:t>H-1159, dated April 27, 1978</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3DAA949" w14:textId="3518D872" w:rsidR="00BD532F" w:rsidRPr="00BD532F" w:rsidRDefault="00BD532F" w:rsidP="00A72FEE">
            <w:pPr>
              <w:pStyle w:val="TableText"/>
            </w:pPr>
            <w:r w:rsidRPr="00BD532F">
              <w:t>Provides guidance to Agency on collection activities relating to employer UI contributions, penalties, or interest thereon and UI overpayments including limitations on filing lawsuits.</w:t>
            </w:r>
          </w:p>
        </w:tc>
      </w:tr>
      <w:tr w:rsidR="00BD532F" w:rsidRPr="00BD532F" w14:paraId="0227D76E" w14:textId="77777777" w:rsidTr="00A72FEE">
        <w:trPr>
          <w:trHeight w:val="1140"/>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4DBA8DD" w14:textId="208657A0" w:rsidR="00BD532F" w:rsidRPr="00BD532F" w:rsidRDefault="00BD532F" w:rsidP="00A72FEE">
            <w:pPr>
              <w:pStyle w:val="TableText"/>
            </w:pPr>
            <w:r w:rsidRPr="00BD532F">
              <w:t>MW- 397, dated November 30, 1981</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25E2E6C" w14:textId="26D45E93" w:rsidR="00BD532F" w:rsidRPr="00BD532F" w:rsidRDefault="00BD532F" w:rsidP="00A72FEE">
            <w:pPr>
              <w:pStyle w:val="TableText"/>
            </w:pPr>
            <w:r w:rsidRPr="00BD532F">
              <w:t xml:space="preserve">Provides the definition of “Benefit Wage Credits”, so that </w:t>
            </w:r>
            <w:proofErr w:type="gramStart"/>
            <w:r>
              <w:t>actual</w:t>
            </w:r>
            <w:r w:rsidR="1D5F2F1F">
              <w:t>ly</w:t>
            </w:r>
            <w:r w:rsidRPr="00BD532F">
              <w:t xml:space="preserve"> wages</w:t>
            </w:r>
            <w:proofErr w:type="gramEnd"/>
            <w:r w:rsidRPr="00BD532F">
              <w:t xml:space="preserve"> paid to an individual in excess of the maximum wages defined in the Federal Insurance Contributions Act are not considered in determining unemployment benefits.</w:t>
            </w:r>
          </w:p>
        </w:tc>
      </w:tr>
      <w:tr w:rsidR="00BD532F" w:rsidRPr="00BD532F" w14:paraId="022BD56F" w14:textId="77777777" w:rsidTr="00A72FEE">
        <w:trPr>
          <w:trHeight w:val="1140"/>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D80438B" w14:textId="5CDC4980" w:rsidR="00BD532F" w:rsidRPr="00BD532F" w:rsidRDefault="00BD532F" w:rsidP="00A72FEE">
            <w:pPr>
              <w:pStyle w:val="TableText"/>
            </w:pPr>
            <w:r w:rsidRPr="00BD532F">
              <w:t>MW-474, dated May 20, 1982</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EC5B7DF" w14:textId="3B45DBAC" w:rsidR="00BD532F" w:rsidRPr="00BD532F" w:rsidRDefault="00BD532F" w:rsidP="00A72FEE">
            <w:pPr>
              <w:pStyle w:val="TableText"/>
            </w:pPr>
            <w:r w:rsidRPr="00BD532F">
              <w:t>Provides the authority for TEC to finance benefit payments to former state employees from the Unemployment Compensation Benefit Account primarily and then when such fund is insufficient, from the Special Administrative Fund.</w:t>
            </w:r>
          </w:p>
        </w:tc>
      </w:tr>
      <w:tr w:rsidR="00BD532F" w:rsidRPr="00BD532F" w14:paraId="542DB872" w14:textId="77777777" w:rsidTr="00A72FEE">
        <w:trPr>
          <w:trHeight w:val="67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66A7BAB2" w14:textId="3E655899" w:rsidR="00BD532F" w:rsidRPr="00BD532F" w:rsidRDefault="00BD532F" w:rsidP="00A72FEE">
            <w:pPr>
              <w:pStyle w:val="TableText"/>
            </w:pPr>
            <w:r w:rsidRPr="00BD532F">
              <w:lastRenderedPageBreak/>
              <w:t>MW-512, September 2, 1982</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BB90627" w14:textId="589DDD76" w:rsidR="00BD532F" w:rsidRPr="00BD532F" w:rsidRDefault="00BD532F" w:rsidP="00A72FEE">
            <w:pPr>
              <w:pStyle w:val="TableText"/>
            </w:pPr>
            <w:r w:rsidRPr="00BD532F">
              <w:t>Provides the authority for TEC to obtain advances to the Texas Unemployment Trust Fund from the Federal</w:t>
            </w:r>
            <w:r w:rsidR="00472275">
              <w:t xml:space="preserve"> </w:t>
            </w:r>
            <w:r w:rsidRPr="00BD532F">
              <w:t>Unemployment Account of the Social Security Act.</w:t>
            </w:r>
          </w:p>
        </w:tc>
      </w:tr>
      <w:tr w:rsidR="00BD532F" w:rsidRPr="00BD532F" w14:paraId="546FAB5F" w14:textId="77777777" w:rsidTr="00A72FEE">
        <w:trPr>
          <w:trHeight w:val="67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909C2AE" w14:textId="5104B947" w:rsidR="00BD532F" w:rsidRPr="00BD532F" w:rsidRDefault="00BD532F" w:rsidP="00A72FEE">
            <w:pPr>
              <w:pStyle w:val="TableText"/>
            </w:pPr>
            <w:r w:rsidRPr="00BD532F">
              <w:t>MW-540, dated December 22, 1982</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E54C0A7" w14:textId="154D7C15" w:rsidR="00BD532F" w:rsidRPr="00BD532F" w:rsidRDefault="00BD532F" w:rsidP="00A72FEE">
            <w:pPr>
              <w:pStyle w:val="TableText"/>
            </w:pPr>
            <w:r w:rsidRPr="00BD532F">
              <w:t>Providing authority for adoption of an anti-favoritism policy of broader reach than the current Nepotism Statutes found in Texas Government Code, Chapter 573.</w:t>
            </w:r>
          </w:p>
        </w:tc>
      </w:tr>
      <w:tr w:rsidR="00BD532F" w:rsidRPr="00BD532F" w14:paraId="3B64A356" w14:textId="77777777" w:rsidTr="00A72FEE">
        <w:trPr>
          <w:trHeight w:val="450"/>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B0E3A25" w14:textId="3D44AE83" w:rsidR="00BD532F" w:rsidRPr="00BD532F" w:rsidRDefault="00BD532F" w:rsidP="00A72FEE">
            <w:pPr>
              <w:pStyle w:val="TableText"/>
            </w:pPr>
            <w:r w:rsidRPr="00BD532F">
              <w:t>MW-578, dated December 31, 1982</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3205B8A" w14:textId="67F2E0D6" w:rsidR="00BD532F" w:rsidRPr="00BD532F" w:rsidRDefault="00BD532F" w:rsidP="00A72FEE">
            <w:pPr>
              <w:pStyle w:val="TableText"/>
            </w:pPr>
            <w:r w:rsidRPr="00BD532F">
              <w:t>Provides the authority for TEC meeting in open session to hear employment insurance benefit cases.</w:t>
            </w:r>
          </w:p>
        </w:tc>
      </w:tr>
      <w:tr w:rsidR="00BD532F" w:rsidRPr="00BD532F" w14:paraId="0F7C8EDF" w14:textId="77777777" w:rsidTr="00A72FEE">
        <w:trPr>
          <w:trHeight w:val="67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EDAEACB" w14:textId="0EE7A9A4" w:rsidR="00BD532F" w:rsidRPr="00BD532F" w:rsidRDefault="00BD532F" w:rsidP="00A72FEE">
            <w:pPr>
              <w:pStyle w:val="TableText"/>
            </w:pPr>
            <w:r w:rsidRPr="00BD532F">
              <w:t>JM-306, dated April 9, 1985</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8167EB" w14:textId="2FFB6F3F" w:rsidR="00BD532F" w:rsidRPr="00BD532F" w:rsidRDefault="00BD532F" w:rsidP="00A72FEE">
            <w:pPr>
              <w:pStyle w:val="TableText"/>
            </w:pPr>
            <w:r w:rsidRPr="00BD532F">
              <w:t xml:space="preserve">Provides the disposition of interest earned on money in the Unemployment Compensation Fund should be </w:t>
            </w:r>
            <w:r w:rsidR="00163594">
              <w:t xml:space="preserve">added </w:t>
            </w:r>
            <w:r w:rsidRPr="00BD532F">
              <w:t>to the Fund.</w:t>
            </w:r>
          </w:p>
        </w:tc>
      </w:tr>
      <w:tr w:rsidR="00BD532F" w:rsidRPr="00BD532F" w14:paraId="7F20EBA9" w14:textId="77777777" w:rsidTr="00A72FEE">
        <w:trPr>
          <w:trHeight w:val="1140"/>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881B516" w14:textId="6863A815" w:rsidR="00BD532F" w:rsidRPr="00BD532F" w:rsidRDefault="00BD532F" w:rsidP="00A72FEE">
            <w:pPr>
              <w:pStyle w:val="TableText"/>
            </w:pPr>
            <w:r w:rsidRPr="00BD532F">
              <w:t>JM-620, dated January 14, 1987</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61DB26" w14:textId="432A15C0" w:rsidR="00BD532F" w:rsidRPr="00BD532F" w:rsidRDefault="00BD532F" w:rsidP="00A72FEE">
            <w:pPr>
              <w:pStyle w:val="TableText"/>
            </w:pPr>
            <w:r w:rsidRPr="00BD532F">
              <w:t>Provides the lack of authority for TEC to find that a recognized corporation or a new corporation created to provide an employment service for another corporation were organized as a subterfuge to secure a lower tax rate.</w:t>
            </w:r>
          </w:p>
        </w:tc>
      </w:tr>
      <w:tr w:rsidR="00BD532F" w:rsidRPr="00BD532F" w14:paraId="5DB4F27A" w14:textId="77777777" w:rsidTr="00A72FEE">
        <w:trPr>
          <w:trHeight w:val="67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CFDAEB4" w14:textId="5D25909F" w:rsidR="00BD532F" w:rsidRPr="00BD532F" w:rsidRDefault="00BD532F" w:rsidP="00A72FEE">
            <w:pPr>
              <w:pStyle w:val="TableText"/>
            </w:pPr>
            <w:r w:rsidRPr="00BD532F">
              <w:t>DM-356, dated June 23, 1995</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02CB1FC" w14:textId="4196EBA1" w:rsidR="00BD532F" w:rsidRPr="00BD532F" w:rsidRDefault="00BD532F" w:rsidP="00A72FEE">
            <w:pPr>
              <w:pStyle w:val="TableText"/>
            </w:pPr>
            <w:r w:rsidRPr="00BD532F">
              <w:t>Provides the lack of authority for TEC to transfer or assign a lien or notice of assessment based on unpaid wages to the wage claimant.</w:t>
            </w:r>
          </w:p>
        </w:tc>
      </w:tr>
      <w:tr w:rsidR="00BD532F" w:rsidRPr="00BD532F" w14:paraId="7D107160" w14:textId="77777777" w:rsidTr="00A72FEE">
        <w:trPr>
          <w:trHeight w:val="67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1C71BAC" w14:textId="052A088B" w:rsidR="00BD532F" w:rsidRPr="00BD532F" w:rsidRDefault="00BD532F" w:rsidP="00A72FEE">
            <w:pPr>
              <w:pStyle w:val="TableText"/>
            </w:pPr>
            <w:r w:rsidRPr="00BD532F">
              <w:t>JC-0298, dated October 24, 2000</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399DFD70" w14:textId="736A58B7" w:rsidR="00BD532F" w:rsidRPr="00BD532F" w:rsidRDefault="00BD532F" w:rsidP="00A72FEE">
            <w:pPr>
              <w:pStyle w:val="TableText"/>
            </w:pPr>
            <w:r w:rsidRPr="00BD532F">
              <w:t>Provides direction to Agency in oversight of LWDB’s by providing guidance on the eligibility of who may serve as a private sector representative on the LWDB.</w:t>
            </w:r>
          </w:p>
        </w:tc>
      </w:tr>
      <w:tr w:rsidR="00BD532F" w:rsidRPr="00BD532F" w14:paraId="245D36E6" w14:textId="77777777" w:rsidTr="00A72FEE">
        <w:trPr>
          <w:trHeight w:val="1140"/>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ADA58D9" w14:textId="38967BBD" w:rsidR="00BD532F" w:rsidRPr="00BD532F" w:rsidRDefault="00BD532F" w:rsidP="00A72FEE">
            <w:pPr>
              <w:pStyle w:val="TableText"/>
            </w:pPr>
            <w:r w:rsidRPr="00BD532F">
              <w:t>JC-0309, dated November 20, 2000</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9BFF66C" w14:textId="61BEE52A" w:rsidR="00BD532F" w:rsidRPr="00BD532F" w:rsidRDefault="00BD532F" w:rsidP="00A72FEE">
            <w:pPr>
              <w:pStyle w:val="TableText"/>
            </w:pPr>
            <w:r w:rsidRPr="00BD532F">
              <w:t>Provides to the Agency the difference between delivery of newspapers and solicitation of newspaper subscriptions and the authority of TWC to regulate such employment of minors consistent with statutory amendments made since the opinion.</w:t>
            </w:r>
          </w:p>
        </w:tc>
      </w:tr>
      <w:tr w:rsidR="00BD532F" w:rsidRPr="00BD532F" w14:paraId="72F127F1" w14:textId="77777777" w:rsidTr="00A72FEE">
        <w:trPr>
          <w:trHeight w:val="675"/>
        </w:trPr>
        <w:tc>
          <w:tcPr>
            <w:tcW w:w="48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270FC8BC" w14:textId="05C01999" w:rsidR="00BD532F" w:rsidRPr="00BD532F" w:rsidRDefault="00BD532F" w:rsidP="00A72FEE">
            <w:pPr>
              <w:pStyle w:val="TableText"/>
            </w:pPr>
            <w:r w:rsidRPr="00BD532F">
              <w:t>GA-0376, dated November 18, 2005</w:t>
            </w:r>
          </w:p>
        </w:tc>
        <w:tc>
          <w:tcPr>
            <w:tcW w:w="45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82A498" w14:textId="556A1545" w:rsidR="00BD532F" w:rsidRPr="00BD532F" w:rsidRDefault="00BD532F" w:rsidP="00A72FEE">
            <w:pPr>
              <w:pStyle w:val="TableText"/>
            </w:pPr>
            <w:r w:rsidRPr="00BD532F">
              <w:t xml:space="preserve">Interpreting Texas Labor Code Section 301.062(g) </w:t>
            </w:r>
            <w:proofErr w:type="gramStart"/>
            <w:r w:rsidRPr="00BD532F">
              <w:t>so as to</w:t>
            </w:r>
            <w:proofErr w:type="gramEnd"/>
            <w:r w:rsidRPr="00BD532F">
              <w:t xml:space="preserve"> not preclude funding of certain programs by block grants to LWDB’s.</w:t>
            </w:r>
          </w:p>
        </w:tc>
      </w:tr>
    </w:tbl>
    <w:p w14:paraId="5A5D7EDF" w14:textId="1859A09D" w:rsidR="005B7B4E" w:rsidRPr="003A3E0B" w:rsidRDefault="009A01B2" w:rsidP="00A6515E">
      <w:pPr>
        <w:pStyle w:val="BodyText"/>
        <w:ind w:left="720" w:hanging="720"/>
        <w:rPr>
          <w:rStyle w:val="Strong"/>
          <w:b/>
          <w:bCs w:val="0"/>
          <w:i/>
        </w:rPr>
      </w:pPr>
      <w:bookmarkStart w:id="321" w:name="_B._Provide_a"/>
      <w:bookmarkStart w:id="322" w:name="_Toc417645542"/>
      <w:bookmarkStart w:id="323" w:name="_Toc417647531"/>
      <w:bookmarkEnd w:id="321"/>
      <w:r w:rsidRPr="003A3E0B">
        <w:rPr>
          <w:rStyle w:val="Strong"/>
          <w:b/>
          <w:bCs w:val="0"/>
        </w:rPr>
        <w:t>B.</w:t>
      </w:r>
      <w:r w:rsidR="00A6515E">
        <w:rPr>
          <w:rStyle w:val="Strong"/>
          <w:b/>
          <w:bCs w:val="0"/>
        </w:rPr>
        <w:tab/>
      </w:r>
      <w:r w:rsidRPr="003A3E0B">
        <w:rPr>
          <w:rStyle w:val="Strong"/>
          <w:b/>
          <w:bCs w:val="0"/>
        </w:rPr>
        <w:t xml:space="preserve">Provide a summary of </w:t>
      </w:r>
      <w:r w:rsidR="007E37DE" w:rsidRPr="003A3E0B">
        <w:rPr>
          <w:rStyle w:val="Strong"/>
          <w:b/>
          <w:bCs w:val="0"/>
        </w:rPr>
        <w:t>significant</w:t>
      </w:r>
      <w:r w:rsidRPr="003A3E0B">
        <w:rPr>
          <w:rStyle w:val="Strong"/>
          <w:b/>
          <w:bCs w:val="0"/>
        </w:rPr>
        <w:t xml:space="preserve"> legislation regarding your agency by filling in the </w:t>
      </w:r>
      <w:r w:rsidR="00A64410" w:rsidRPr="003A3E0B">
        <w:rPr>
          <w:rStyle w:val="Strong"/>
          <w:b/>
          <w:bCs w:val="0"/>
        </w:rPr>
        <w:t>tables</w:t>
      </w:r>
      <w:r w:rsidRPr="003A3E0B">
        <w:rPr>
          <w:rStyle w:val="Strong"/>
          <w:b/>
          <w:bCs w:val="0"/>
        </w:rPr>
        <w:t xml:space="preserve"> below or attaching information already available in an agency-developed format</w:t>
      </w:r>
      <w:r w:rsidR="00832B49" w:rsidRPr="003A3E0B">
        <w:rPr>
          <w:rStyle w:val="Strong"/>
          <w:b/>
          <w:bCs w:val="0"/>
        </w:rPr>
        <w:t xml:space="preserve">. </w:t>
      </w:r>
      <w:r w:rsidRPr="003A3E0B">
        <w:rPr>
          <w:rStyle w:val="Strong"/>
          <w:b/>
          <w:bCs w:val="0"/>
        </w:rPr>
        <w:t>Briefly summarize the key provisions</w:t>
      </w:r>
      <w:r w:rsidR="00832B49" w:rsidRPr="003A3E0B">
        <w:rPr>
          <w:rStyle w:val="Strong"/>
          <w:b/>
          <w:bCs w:val="0"/>
        </w:rPr>
        <w:t xml:space="preserve">. </w:t>
      </w:r>
      <w:r w:rsidRPr="003A3E0B">
        <w:rPr>
          <w:rStyle w:val="Strong"/>
          <w:b/>
          <w:bCs w:val="0"/>
        </w:rPr>
        <w:t>For bills that did not pass</w:t>
      </w:r>
      <w:r w:rsidR="001E2A3D" w:rsidRPr="003A3E0B">
        <w:rPr>
          <w:rStyle w:val="Strong"/>
          <w:b/>
          <w:bCs w:val="0"/>
        </w:rPr>
        <w:t xml:space="preserve"> but were significant</w:t>
      </w:r>
      <w:r w:rsidRPr="003A3E0B">
        <w:rPr>
          <w:rStyle w:val="Strong"/>
          <w:b/>
          <w:bCs w:val="0"/>
        </w:rPr>
        <w:t>, briefly explain the key provisions and issues that resulted in failure of the bill to pass (e.g., opposition to a new fee or high cost of implementation)</w:t>
      </w:r>
      <w:r w:rsidR="00832B49" w:rsidRPr="003A3E0B">
        <w:rPr>
          <w:rStyle w:val="Strong"/>
          <w:b/>
          <w:bCs w:val="0"/>
        </w:rPr>
        <w:t xml:space="preserve">. </w:t>
      </w:r>
      <w:r w:rsidRPr="003A3E0B">
        <w:rPr>
          <w:rStyle w:val="Strong"/>
          <w:b/>
          <w:bCs w:val="0"/>
        </w:rPr>
        <w:t>Place an asterisk next to bills that could have a major impact on the agency</w:t>
      </w:r>
      <w:r w:rsidR="00832B49" w:rsidRPr="003A3E0B">
        <w:rPr>
          <w:rStyle w:val="Strong"/>
          <w:b/>
          <w:bCs w:val="0"/>
        </w:rPr>
        <w:t>.</w:t>
      </w:r>
      <w:bookmarkEnd w:id="322"/>
      <w:bookmarkEnd w:id="323"/>
    </w:p>
    <w:p w14:paraId="65BDFF5C" w14:textId="168AC20E" w:rsidR="00121C17" w:rsidRDefault="00502F59" w:rsidP="00AD1481">
      <w:pPr>
        <w:pStyle w:val="BodyText"/>
        <w:rPr>
          <w:i/>
        </w:rPr>
      </w:pPr>
      <w:r>
        <w:t>L</w:t>
      </w:r>
      <w:r w:rsidR="068C2A34" w:rsidRPr="00845CE3">
        <w:t>egislation filed on behalf of TWC during the 89</w:t>
      </w:r>
      <w:r w:rsidR="068C2A34" w:rsidRPr="00845CE3">
        <w:rPr>
          <w:vertAlign w:val="superscript"/>
        </w:rPr>
        <w:t>th</w:t>
      </w:r>
      <w:r w:rsidR="068C2A34" w:rsidRPr="00845CE3">
        <w:t xml:space="preserve"> Texas Legislative Session is listed in two spreadsheets: </w:t>
      </w:r>
      <w:r w:rsidR="068C2A34">
        <w:t>Exhibit 16a_LegislationEnacted</w:t>
      </w:r>
      <w:r w:rsidR="068C2A34" w:rsidRPr="00845CE3">
        <w:t xml:space="preserve"> and </w:t>
      </w:r>
      <w:r w:rsidR="068C2A34">
        <w:t>Exhibit 16b_LegislationNotPassed.</w:t>
      </w:r>
      <w:r w:rsidR="068C2A34" w:rsidRPr="00845CE3">
        <w:t xml:space="preserve"> </w:t>
      </w:r>
      <w:r w:rsidR="005858A6">
        <w:t>Bills</w:t>
      </w:r>
      <w:r w:rsidR="068C2A34" w:rsidRPr="00845CE3">
        <w:t xml:space="preserve"> that would have the most impact to the agency are noted with an asterisk and fall into the following categories</w:t>
      </w:r>
      <w:r w:rsidR="068C2A34" w:rsidRPr="6A95ECCE">
        <w:rPr>
          <w:i/>
        </w:rPr>
        <w:t>:</w:t>
      </w:r>
    </w:p>
    <w:p w14:paraId="49A4DF1D" w14:textId="75BF861D" w:rsidR="00121C17" w:rsidRPr="007770B2" w:rsidRDefault="068C2A34" w:rsidP="00E768A5">
      <w:pPr>
        <w:pStyle w:val="BodyText"/>
        <w:numPr>
          <w:ilvl w:val="0"/>
          <w:numId w:val="30"/>
        </w:numPr>
      </w:pPr>
      <w:r w:rsidRPr="007770B2">
        <w:rPr>
          <w:bCs/>
        </w:rPr>
        <w:t>Education:</w:t>
      </w:r>
      <w:r w:rsidRPr="007770B2">
        <w:t xml:space="preserve"> Public school assessment, early childhood education, pre-K programs, higher education funding.</w:t>
      </w:r>
    </w:p>
    <w:p w14:paraId="7FB50278" w14:textId="0CF24149" w:rsidR="00121C17" w:rsidRPr="007770B2" w:rsidRDefault="068C2A34" w:rsidP="00E768A5">
      <w:pPr>
        <w:pStyle w:val="BodyText"/>
        <w:numPr>
          <w:ilvl w:val="0"/>
          <w:numId w:val="30"/>
        </w:numPr>
      </w:pPr>
      <w:r w:rsidRPr="007770B2">
        <w:rPr>
          <w:bCs/>
        </w:rPr>
        <w:lastRenderedPageBreak/>
        <w:t>Employment</w:t>
      </w:r>
      <w:r w:rsidRPr="007770B2">
        <w:t>: Unemployment benefits, employee breaks, wage theft, paid sick leave, employment discrimination.</w:t>
      </w:r>
    </w:p>
    <w:p w14:paraId="6ABC4AFF" w14:textId="10D96483" w:rsidR="00121C17" w:rsidRPr="007770B2" w:rsidRDefault="068C2A34" w:rsidP="00E768A5">
      <w:pPr>
        <w:pStyle w:val="BodyText"/>
        <w:numPr>
          <w:ilvl w:val="0"/>
          <w:numId w:val="30"/>
        </w:numPr>
      </w:pPr>
      <w:r w:rsidRPr="007770B2">
        <w:rPr>
          <w:bCs/>
        </w:rPr>
        <w:t>Social Services:</w:t>
      </w:r>
      <w:r w:rsidRPr="007770B2">
        <w:t xml:space="preserve"> </w:t>
      </w:r>
      <w:proofErr w:type="gramStart"/>
      <w:r w:rsidRPr="007770B2">
        <w:t>Child care</w:t>
      </w:r>
      <w:proofErr w:type="gramEnd"/>
      <w:r w:rsidRPr="007770B2">
        <w:t xml:space="preserve"> regulations, supplemental nutrition assistance, support for veterans.</w:t>
      </w:r>
    </w:p>
    <w:p w14:paraId="669584F1" w14:textId="58865997" w:rsidR="00121C17" w:rsidRPr="007770B2" w:rsidRDefault="068C2A34" w:rsidP="00E768A5">
      <w:pPr>
        <w:pStyle w:val="BodyText"/>
        <w:numPr>
          <w:ilvl w:val="0"/>
          <w:numId w:val="30"/>
        </w:numPr>
      </w:pPr>
      <w:r w:rsidRPr="007770B2">
        <w:rPr>
          <w:bCs/>
        </w:rPr>
        <w:t>Government Operations:</w:t>
      </w:r>
      <w:r w:rsidRPr="007770B2">
        <w:t xml:space="preserve"> Public information access, rulemaking processes, disaster declarations.</w:t>
      </w:r>
    </w:p>
    <w:p w14:paraId="35D11C3A" w14:textId="77777777" w:rsidR="00F13F6B" w:rsidRDefault="00F13F6B">
      <w:pPr>
        <w:rPr>
          <w:rFonts w:ascii="Arial" w:eastAsiaTheme="minorEastAsia" w:hAnsi="Arial"/>
          <w:szCs w:val="22"/>
        </w:rPr>
      </w:pPr>
      <w:r>
        <w:br w:type="page"/>
      </w:r>
    </w:p>
    <w:p w14:paraId="58BA17A6" w14:textId="7A1AF980" w:rsidR="00EF0E99" w:rsidRPr="00F13F6B" w:rsidRDefault="00EF0E99" w:rsidP="00F13F6B">
      <w:pPr>
        <w:pStyle w:val="Heading1"/>
      </w:pPr>
      <w:bookmarkStart w:id="324" w:name="Title_Major_Issues"/>
      <w:bookmarkStart w:id="325" w:name="_Toc1676556141"/>
      <w:bookmarkStart w:id="326" w:name="_Toc203377339"/>
      <w:bookmarkEnd w:id="324"/>
      <w:r w:rsidRPr="00F13F6B">
        <w:lastRenderedPageBreak/>
        <w:t>IX.</w:t>
      </w:r>
      <w:r>
        <w:tab/>
      </w:r>
      <w:r w:rsidR="65817618" w:rsidRPr="00F13F6B">
        <w:t xml:space="preserve">Major Issues </w:t>
      </w:r>
    </w:p>
    <w:p w14:paraId="338C1708" w14:textId="3C937DEC" w:rsidR="00EF0E99" w:rsidRDefault="65817618" w:rsidP="00F13F6B">
      <w:pPr>
        <w:pStyle w:val="BodyText"/>
        <w:rPr>
          <w:rFonts w:eastAsia="Aptos" w:cs="Aptos"/>
        </w:rPr>
      </w:pPr>
      <w:r w:rsidRPr="090E2E58">
        <w:rPr>
          <w:rFonts w:eastAsia="Aptos" w:cs="Aptos"/>
        </w:rPr>
        <w:t xml:space="preserve">The purpose of this section is to briefly describe any potential issues raised by your agency, the Legislature, or stakeholders that Sunset could help address through changes in statute to improve your agency’s operations and service delivery. Inclusion of an issue does not indicate support, or opposition, for the issue by the agency’s board or staff. Instead, this section is intended to give the Sunset Commission a basic understanding of the issues so staff can collect more information during extensive research on your agency. Some questions to ask in preparing this section may include: (1) How can your agency do a better job in meeting the needs of customers or in achieving agency goals? and (2) What barriers exist that limit your agency’s ability to get the job done?  </w:t>
      </w:r>
    </w:p>
    <w:p w14:paraId="357232A3" w14:textId="5CCBCEC1" w:rsidR="00EF0E99" w:rsidRDefault="65817618" w:rsidP="00F13F6B">
      <w:pPr>
        <w:pStyle w:val="BodyText"/>
        <w:rPr>
          <w:rFonts w:eastAsia="Aptos" w:cs="Aptos"/>
        </w:rPr>
      </w:pPr>
      <w:r w:rsidRPr="090E2E58">
        <w:rPr>
          <w:rFonts w:eastAsia="Aptos" w:cs="Aptos"/>
        </w:rPr>
        <w:t xml:space="preserve">Emphasis should be given to issues appropriate for resolution through changes in state law. Issues related to funding or actions by other governmental entities (federal, local, quasi-governmental, etc.) may be included, but the Sunset Commission has no authority in the appropriations process or with other units of government. If these types of issues are included, the focus should be on solutions that can be enacted in state law.  </w:t>
      </w:r>
    </w:p>
    <w:p w14:paraId="69E11164" w14:textId="69C2C5CA" w:rsidR="00EF0E99" w:rsidRDefault="65817618" w:rsidP="00005C37">
      <w:pPr>
        <w:pStyle w:val="Heading2"/>
      </w:pPr>
      <w:r w:rsidRPr="090E2E58">
        <w:t>Replace the Vocational Rehabilitation Division’s 10 percent case review requirement with a statistically valid sample size.</w:t>
      </w:r>
    </w:p>
    <w:p w14:paraId="2658E1AE" w14:textId="21D8DF4D" w:rsidR="00EF0E99" w:rsidRDefault="65817618" w:rsidP="00F13F6B">
      <w:pPr>
        <w:pStyle w:val="BodyText3"/>
      </w:pPr>
      <w:r w:rsidRPr="090E2E58">
        <w:t>A.</w:t>
      </w:r>
      <w:r w:rsidR="0005458B">
        <w:tab/>
      </w:r>
      <w:r w:rsidRPr="090E2E58">
        <w:t xml:space="preserve">Brief Description of Issue </w:t>
      </w:r>
    </w:p>
    <w:p w14:paraId="7D3FAC0D" w14:textId="3B012E92" w:rsidR="00EF0E99" w:rsidRDefault="65817618" w:rsidP="00F13F6B">
      <w:pPr>
        <w:pStyle w:val="BodyText"/>
        <w:rPr>
          <w:rFonts w:eastAsia="Aptos" w:cs="Aptos"/>
        </w:rPr>
      </w:pPr>
      <w:r w:rsidRPr="090E2E58">
        <w:rPr>
          <w:rFonts w:eastAsia="Aptos" w:cs="Aptos"/>
        </w:rPr>
        <w:t>Texas Human Resources Code, Section 117.092 requires TWC’s Vocational Rehabilitation (VR) Division to establish and maintain a single, uniform case review system for all direct services programs. The system must account for different risks across programs under the VR umbrella and be used to consistently evaluate each direct services program across all regions. Case reviews are used to improve customer experience and outcomes and provide a mechanism to improve the performance of VR counselors who assist customers.</w:t>
      </w:r>
    </w:p>
    <w:p w14:paraId="1315E000" w14:textId="03879AD1" w:rsidR="00EF0E99" w:rsidRDefault="65817618" w:rsidP="00F13F6B">
      <w:pPr>
        <w:pStyle w:val="BodyText"/>
        <w:rPr>
          <w:rFonts w:eastAsia="Aptos" w:cs="Aptos"/>
        </w:rPr>
      </w:pPr>
      <w:r w:rsidRPr="090E2E58">
        <w:rPr>
          <w:rFonts w:eastAsia="Aptos" w:cs="Aptos"/>
        </w:rPr>
        <w:t>Currently, statue requires the VR Division to review at least 10 percent of all VR customer cases annually. As the number of VR customer cases in Texas continues to increase year over year, this "moving target" puts a significant burden on case reviewers, potentially diminishing the quality of reviews and reducing the amount of time they have available to spend supporting and developing VR counselors that provide services to customers.</w:t>
      </w:r>
    </w:p>
    <w:p w14:paraId="1BD66889" w14:textId="1A6CE547" w:rsidR="00EF0E99" w:rsidRDefault="65817618" w:rsidP="00F13F6B">
      <w:pPr>
        <w:pStyle w:val="BodyText3"/>
      </w:pPr>
      <w:r w:rsidRPr="090E2E58">
        <w:t>B.</w:t>
      </w:r>
      <w:r w:rsidR="0005458B">
        <w:tab/>
      </w:r>
      <w:r w:rsidRPr="090E2E58">
        <w:t>Discussion</w:t>
      </w:r>
    </w:p>
    <w:p w14:paraId="09E15C37" w14:textId="60185A66" w:rsidR="00EF0E99" w:rsidRDefault="65817618" w:rsidP="00F13F6B">
      <w:pPr>
        <w:pStyle w:val="BodyText"/>
        <w:rPr>
          <w:rFonts w:eastAsia="Aptos" w:cs="Aptos"/>
        </w:rPr>
      </w:pPr>
      <w:r w:rsidRPr="090E2E58">
        <w:rPr>
          <w:rFonts w:eastAsia="Aptos" w:cs="Aptos"/>
        </w:rPr>
        <w:t xml:space="preserve">TWC has consistently complied with the requirements of Texas Human Resources Code, Section 117.092, including the 10 percent VR case review requirement, which included more than 9,000 reviews statewide in fiscal year 2024. It is important to note that as TWC serves more VR customers, the 10 percent review requirement will present additional challenges as case review volume increases and the staff that conduct the reviews remain relatively flat. From a time-management standpoint, the burden to review cases for case reviewers is significant- approximately 30 percent for managerial staff. It is anticipated that this increase in volume could diminish the quality of case reviews. Given the significant </w:t>
      </w:r>
      <w:r w:rsidRPr="090E2E58">
        <w:rPr>
          <w:rFonts w:eastAsia="Aptos" w:cs="Aptos"/>
        </w:rPr>
        <w:lastRenderedPageBreak/>
        <w:t>increase in customer volume observed in recent years, TWC anticipates the number of case reviews needed to meet the statutory requirement will continue to grow, placing increasing strain on resources and staff time to serve customers. TWC has explored using technology and artificial intelligence to support case review efforts, but challenges remain.</w:t>
      </w:r>
    </w:p>
    <w:p w14:paraId="5C042BD4" w14:textId="4886B0A7" w:rsidR="00EF0E99" w:rsidRDefault="65817618" w:rsidP="00F13F6B">
      <w:pPr>
        <w:pStyle w:val="BodyText3"/>
      </w:pPr>
      <w:r w:rsidRPr="090E2E58">
        <w:t>C.</w:t>
      </w:r>
      <w:r w:rsidR="00005C37">
        <w:tab/>
      </w:r>
      <w:r w:rsidRPr="090E2E58">
        <w:t xml:space="preserve">Possible Solutions and Impact </w:t>
      </w:r>
    </w:p>
    <w:p w14:paraId="5BFBE2E2" w14:textId="43B90282" w:rsidR="00EF0E99" w:rsidRDefault="65817618" w:rsidP="00F13F6B">
      <w:pPr>
        <w:pStyle w:val="BodyText"/>
        <w:rPr>
          <w:rFonts w:eastAsia="Aptos" w:cs="Aptos"/>
        </w:rPr>
      </w:pPr>
      <w:r w:rsidRPr="090E2E58">
        <w:rPr>
          <w:rFonts w:eastAsia="Aptos" w:cs="Aptos"/>
        </w:rPr>
        <w:t xml:space="preserve">TWC has developed a statistically sound sampling methodology for case reviews, that would focus on the highest risk cases. The proposal encompasses a review of high-risk cases, some of which are currently set forth in statue, using a statistical sampling methodology. These categories include cases in which direct services have been provided for more than two years, cases that are significantly outside the expenditure guidelines for that type of case, cases closed before a service plan is developed, and cases closed without the client reaching the client’s goal. A focus on high-risk cases in the categories noted above would allow the agency to ensure that case reviews are not excessive but are ample enough to accurately assess compliance and quality. </w:t>
      </w:r>
    </w:p>
    <w:p w14:paraId="1335BF2F" w14:textId="2D7B4948" w:rsidR="00EF0E99" w:rsidRDefault="65817618" w:rsidP="00F13F6B">
      <w:pPr>
        <w:pStyle w:val="BodyText"/>
        <w:rPr>
          <w:rFonts w:eastAsia="Aptos" w:cs="Aptos"/>
        </w:rPr>
      </w:pPr>
      <w:r w:rsidRPr="090E2E58">
        <w:rPr>
          <w:rFonts w:eastAsia="Aptos" w:cs="Aptos"/>
        </w:rPr>
        <w:t xml:space="preserve">Aligning statue with this methodology, or a similar approach, would assist with reducing the workload to allow frontline case reviewers to provide more direct support to their staff, which in turn can enhance customer engagement and improve overall customer service. In addition, if a decision is made to modify the statue related to the case review requirement, TWC recommends moving the current requirements and any modifications from the Texas Human Resources Code to the Texas Labor Code to align this requirement with TWC’s other enabling legislation provisions. </w:t>
      </w:r>
    </w:p>
    <w:p w14:paraId="163F04F9" w14:textId="295E70AD" w:rsidR="00EF0E99" w:rsidRDefault="65817618" w:rsidP="00F13F6B">
      <w:pPr>
        <w:pStyle w:val="BodyText3"/>
      </w:pPr>
      <w:r w:rsidRPr="090E2E58">
        <w:t>Recommendation: High Risk Case Review Based on TWC established statistical sampling method.</w:t>
      </w:r>
    </w:p>
    <w:p w14:paraId="071DE6CA" w14:textId="71532594" w:rsidR="00EF0E99" w:rsidRPr="00F13F6B" w:rsidRDefault="65817618" w:rsidP="00F13F6B">
      <w:pPr>
        <w:pStyle w:val="BodyText"/>
        <w:rPr>
          <w:i/>
          <w:iCs/>
        </w:rPr>
      </w:pPr>
      <w:r w:rsidRPr="00F13F6B">
        <w:rPr>
          <w:i/>
          <w:iCs/>
        </w:rPr>
        <w:t>Texas Labor Code Chapter 352 Vocational Rehabilitation Services</w:t>
      </w:r>
    </w:p>
    <w:p w14:paraId="6E650064" w14:textId="696C3E76" w:rsidR="00EF0E99" w:rsidRPr="00F13F6B" w:rsidRDefault="65817618" w:rsidP="00F13F6B">
      <w:pPr>
        <w:pStyle w:val="BodyText"/>
        <w:rPr>
          <w:i/>
          <w:iCs/>
        </w:rPr>
      </w:pPr>
      <w:r w:rsidRPr="00F13F6B">
        <w:rPr>
          <w:i/>
          <w:iCs/>
        </w:rPr>
        <w:t>Subchapter C. Provision of and Eligibility for Vocational Rehabilitation Services</w:t>
      </w:r>
    </w:p>
    <w:p w14:paraId="00C2428F" w14:textId="7C4CF42D" w:rsidR="00EF0E99" w:rsidRDefault="65817618" w:rsidP="00F13F6B">
      <w:pPr>
        <w:pStyle w:val="BodyText3"/>
      </w:pPr>
      <w:r w:rsidRPr="090E2E58">
        <w:t>Sec. 352.109. DIRECT SERVICES PROGRAM CASE REVIEW SYSTEM.</w:t>
      </w:r>
    </w:p>
    <w:p w14:paraId="3297D9B0" w14:textId="1B4B4A4C" w:rsidR="00EF0E99" w:rsidRPr="00F13F6B" w:rsidRDefault="65817618" w:rsidP="008978DC">
      <w:pPr>
        <w:pStyle w:val="BodyText"/>
        <w:ind w:left="720"/>
      </w:pPr>
      <w:r w:rsidRPr="00F13F6B">
        <w:t>(a) The department shall establish and maintain a single, uniform case review system for all direct services programs.</w:t>
      </w:r>
    </w:p>
    <w:p w14:paraId="75AD534C" w14:textId="0DAEC0FB" w:rsidR="00EF0E99" w:rsidRPr="00F13F6B" w:rsidRDefault="65817618" w:rsidP="008978DC">
      <w:pPr>
        <w:pStyle w:val="BodyText"/>
        <w:ind w:left="720"/>
      </w:pPr>
      <w:r w:rsidRPr="00F13F6B">
        <w:t>(b) The case review system must:</w:t>
      </w:r>
    </w:p>
    <w:p w14:paraId="14BE80CC" w14:textId="4CCDF4D9" w:rsidR="00EF0E99" w:rsidRPr="008F0BC8" w:rsidRDefault="008F0BC8" w:rsidP="008978DC">
      <w:pPr>
        <w:pStyle w:val="BodyText3"/>
        <w:ind w:left="1440" w:hanging="360"/>
      </w:pPr>
      <w:r>
        <w:t>1</w:t>
      </w:r>
      <w:r w:rsidR="00FD1C3D">
        <w:t>)</w:t>
      </w:r>
      <w:r w:rsidR="00D830FD">
        <w:tab/>
      </w:r>
      <w:r w:rsidR="65817618" w:rsidRPr="008F0BC8">
        <w:t xml:space="preserve">include risk assessment tools that account for the different risks involved in each direct </w:t>
      </w:r>
      <w:proofErr w:type="gramStart"/>
      <w:r w:rsidR="65817618" w:rsidRPr="008F0BC8">
        <w:t>services</w:t>
      </w:r>
      <w:proofErr w:type="gramEnd"/>
      <w:r w:rsidR="65817618" w:rsidRPr="008F0BC8">
        <w:t xml:space="preserve"> program;</w:t>
      </w:r>
    </w:p>
    <w:p w14:paraId="3B25F9B3" w14:textId="050216BB" w:rsidR="00EF0E99" w:rsidRDefault="001C4253" w:rsidP="008978DC">
      <w:pPr>
        <w:pStyle w:val="BodyText3"/>
        <w:ind w:left="1440" w:hanging="360"/>
      </w:pPr>
      <w:r>
        <w:t>2)</w:t>
      </w:r>
      <w:r>
        <w:tab/>
      </w:r>
      <w:r w:rsidR="65817618" w:rsidRPr="090E2E58">
        <w:t>require that case reviews:</w:t>
      </w:r>
    </w:p>
    <w:p w14:paraId="2DEE8830" w14:textId="010948C2" w:rsidR="00EF0E99" w:rsidRDefault="001C4253" w:rsidP="00D85C54">
      <w:pPr>
        <w:pStyle w:val="BodyText3"/>
        <w:ind w:left="1800" w:hanging="360"/>
      </w:pPr>
      <w:r>
        <w:t>a)</w:t>
      </w:r>
      <w:r>
        <w:tab/>
      </w:r>
      <w:r w:rsidR="65817618" w:rsidRPr="090E2E58">
        <w:t xml:space="preserve">be used to consistently evaluate each direct services program across all regions, </w:t>
      </w:r>
      <w:r w:rsidR="65817618" w:rsidRPr="090E2E58">
        <w:rPr>
          <w:strike/>
          <w:color w:val="FF0000"/>
        </w:rPr>
        <w:t>with the goal of evaluating at least 10 percent of all cases in each program and region</w:t>
      </w:r>
      <w:r w:rsidR="65817618" w:rsidRPr="090E2E58">
        <w:t xml:space="preserve"> </w:t>
      </w:r>
      <w:proofErr w:type="gramStart"/>
      <w:r w:rsidR="65817618" w:rsidRPr="090E2E58">
        <w:t>annually;</w:t>
      </w:r>
      <w:proofErr w:type="gramEnd"/>
    </w:p>
    <w:p w14:paraId="26AB23E7" w14:textId="2CE346D1" w:rsidR="00EF0E99" w:rsidRDefault="001C4253" w:rsidP="00D85C54">
      <w:pPr>
        <w:pStyle w:val="BodyText3"/>
        <w:ind w:left="1800" w:hanging="360"/>
      </w:pPr>
      <w:r>
        <w:lastRenderedPageBreak/>
        <w:t>b)</w:t>
      </w:r>
      <w:r>
        <w:tab/>
      </w:r>
      <w:r w:rsidR="65817618" w:rsidRPr="090E2E58">
        <w:t xml:space="preserve">focus on areas of highest risk </w:t>
      </w:r>
      <w:r w:rsidR="65817618" w:rsidRPr="090E2E58">
        <w:rPr>
          <w:bCs/>
          <w:color w:val="FF0000"/>
        </w:rPr>
        <w:t xml:space="preserve">using a statistical sampling methodology, or a minimum threshold of 5 percent of high-risk cases, </w:t>
      </w:r>
      <w:r w:rsidR="65817618" w:rsidRPr="090E2E58">
        <w:rPr>
          <w:strike/>
          <w:color w:val="FF0000"/>
        </w:rPr>
        <w:t>and prioritize the review of</w:t>
      </w:r>
      <w:r w:rsidR="65817618" w:rsidRPr="090E2E58">
        <w:rPr>
          <w:color w:val="FF0000"/>
        </w:rPr>
        <w:t xml:space="preserve"> for </w:t>
      </w:r>
      <w:r w:rsidR="65817618" w:rsidRPr="090E2E58">
        <w:t>the following cases:</w:t>
      </w:r>
    </w:p>
    <w:p w14:paraId="005CF66E" w14:textId="0D44D3E3" w:rsidR="00EF0E99" w:rsidRDefault="001C4253" w:rsidP="00D85C54">
      <w:pPr>
        <w:pStyle w:val="BodyText3"/>
        <w:ind w:left="1800" w:hanging="360"/>
      </w:pPr>
      <w:proofErr w:type="spellStart"/>
      <w:r>
        <w:t>i</w:t>
      </w:r>
      <w:proofErr w:type="spellEnd"/>
      <w:r>
        <w:t>)</w:t>
      </w:r>
      <w:r w:rsidR="65817618" w:rsidRPr="090E2E58">
        <w:t xml:space="preserve"> </w:t>
      </w:r>
      <w:r w:rsidR="65817618" w:rsidRPr="090E2E58">
        <w:rPr>
          <w:strike/>
          <w:color w:val="FF0000"/>
        </w:rPr>
        <w:t>except as provided by Subparagraph (ii),</w:t>
      </w:r>
      <w:r w:rsidR="65817618" w:rsidRPr="090E2E58">
        <w:rPr>
          <w:color w:val="FF0000"/>
        </w:rPr>
        <w:t xml:space="preserve"> </w:t>
      </w:r>
      <w:r w:rsidR="65817618" w:rsidRPr="090E2E58">
        <w:t xml:space="preserve">cases in which direct services have been provided for more than two years, </w:t>
      </w:r>
      <w:r w:rsidR="65817618" w:rsidRPr="090E2E58">
        <w:rPr>
          <w:bCs/>
          <w:color w:val="FF0000"/>
        </w:rPr>
        <w:t xml:space="preserve">except for those cases, such as customers participating in higher education services, where customer services are expected to extend beyond two </w:t>
      </w:r>
      <w:proofErr w:type="gramStart"/>
      <w:r w:rsidR="65817618" w:rsidRPr="090E2E58">
        <w:rPr>
          <w:bCs/>
          <w:color w:val="FF0000"/>
        </w:rPr>
        <w:t>years</w:t>
      </w:r>
      <w:r w:rsidR="65817618" w:rsidRPr="090E2E58">
        <w:t>;</w:t>
      </w:r>
      <w:proofErr w:type="gramEnd"/>
    </w:p>
    <w:p w14:paraId="70F8245C" w14:textId="15100861" w:rsidR="00EF0E99" w:rsidRDefault="002A4698" w:rsidP="00D85C54">
      <w:pPr>
        <w:pStyle w:val="BodyText3"/>
        <w:ind w:left="1800" w:hanging="360"/>
      </w:pPr>
      <w:r w:rsidRPr="00D85C54">
        <w:t>ii</w:t>
      </w:r>
      <w:r w:rsidR="00F13F6B" w:rsidRPr="00D85C54">
        <w:t>)</w:t>
      </w:r>
      <w:r w:rsidR="00F13F6B" w:rsidRPr="00A45152">
        <w:rPr>
          <w:color w:val="FF0000"/>
        </w:rPr>
        <w:tab/>
      </w:r>
      <w:r w:rsidR="65817618" w:rsidRPr="090E2E58">
        <w:rPr>
          <w:strike/>
          <w:color w:val="FF0000"/>
        </w:rPr>
        <w:t>cases in the Blind Children’s Vocational Discovery and Development Program in which direct services have been provided for more than five years; and cases that are significantly outside the expenditure guidelines for that type of case;</w:t>
      </w:r>
      <w:r w:rsidR="65817618" w:rsidRPr="090E2E58">
        <w:rPr>
          <w:color w:val="FF0000"/>
        </w:rPr>
        <w:t xml:space="preserve"> </w:t>
      </w:r>
      <w:r w:rsidR="65817618" w:rsidRPr="090E2E58">
        <w:t xml:space="preserve">cases that are significantly outside the expenditure guidelines for that type of </w:t>
      </w:r>
      <w:proofErr w:type="gramStart"/>
      <w:r w:rsidR="65817618" w:rsidRPr="090E2E58">
        <w:t>case;</w:t>
      </w:r>
      <w:proofErr w:type="gramEnd"/>
    </w:p>
    <w:p w14:paraId="092811D0" w14:textId="606F6244" w:rsidR="00EF0E99" w:rsidRDefault="00F13F6B" w:rsidP="00D85C54">
      <w:pPr>
        <w:pStyle w:val="BodyText3"/>
        <w:ind w:left="1800" w:hanging="360"/>
        <w:rPr>
          <w:bCs/>
          <w:color w:val="FF0000"/>
        </w:rPr>
      </w:pPr>
      <w:r w:rsidRPr="00D85C54">
        <w:rPr>
          <w:bCs/>
        </w:rPr>
        <w:t>iii)</w:t>
      </w:r>
      <w:r>
        <w:rPr>
          <w:bCs/>
          <w:color w:val="FF0000"/>
        </w:rPr>
        <w:tab/>
      </w:r>
      <w:r w:rsidR="65817618" w:rsidRPr="090E2E58">
        <w:rPr>
          <w:bCs/>
          <w:color w:val="FF0000"/>
        </w:rPr>
        <w:t xml:space="preserve">cases closed before a service plan is </w:t>
      </w:r>
      <w:proofErr w:type="gramStart"/>
      <w:r w:rsidR="65817618" w:rsidRPr="090E2E58">
        <w:rPr>
          <w:bCs/>
          <w:color w:val="FF0000"/>
        </w:rPr>
        <w:t>developed;</w:t>
      </w:r>
      <w:proofErr w:type="gramEnd"/>
    </w:p>
    <w:p w14:paraId="2F71E260" w14:textId="4D1D7C2E" w:rsidR="00EF0E99" w:rsidRDefault="00F13F6B" w:rsidP="00D85C54">
      <w:pPr>
        <w:pStyle w:val="BodyText3"/>
        <w:ind w:left="1800" w:hanging="360"/>
        <w:rPr>
          <w:bCs/>
          <w:color w:val="FF0000"/>
        </w:rPr>
      </w:pPr>
      <w:r w:rsidRPr="00D85C54">
        <w:rPr>
          <w:bCs/>
        </w:rPr>
        <w:t>iv)</w:t>
      </w:r>
      <w:r>
        <w:rPr>
          <w:bCs/>
          <w:color w:val="FF0000"/>
        </w:rPr>
        <w:tab/>
      </w:r>
      <w:r w:rsidR="65817618" w:rsidRPr="090E2E58">
        <w:rPr>
          <w:bCs/>
          <w:color w:val="FF0000"/>
        </w:rPr>
        <w:t>cases closed without the client reaching the client’s goal; and</w:t>
      </w:r>
    </w:p>
    <w:p w14:paraId="10AFC3EB" w14:textId="52F58A0C" w:rsidR="00EF0E99" w:rsidRDefault="00F13F6B" w:rsidP="00D85C54">
      <w:pPr>
        <w:pStyle w:val="BodyText3"/>
        <w:ind w:left="1800" w:hanging="360"/>
        <w:rPr>
          <w:bCs/>
          <w:color w:val="FF0000"/>
        </w:rPr>
      </w:pPr>
      <w:r w:rsidRPr="00D85C54">
        <w:rPr>
          <w:bCs/>
        </w:rPr>
        <w:t>v)</w:t>
      </w:r>
      <w:r>
        <w:rPr>
          <w:bCs/>
          <w:color w:val="FF0000"/>
        </w:rPr>
        <w:tab/>
      </w:r>
      <w:r w:rsidR="65817618" w:rsidRPr="090E2E58">
        <w:rPr>
          <w:bCs/>
          <w:color w:val="FF0000"/>
        </w:rPr>
        <w:t>other high-risk cases as determined by the executive director.</w:t>
      </w:r>
    </w:p>
    <w:p w14:paraId="5E699F5C" w14:textId="66A8E003" w:rsidR="00EF0E99" w:rsidRPr="00F13F6B" w:rsidRDefault="65817618" w:rsidP="00F13F6B">
      <w:pPr>
        <w:pStyle w:val="Heading2"/>
      </w:pPr>
      <w:r w:rsidRPr="00F13F6B">
        <w:t>Update the Civil Rights Division’s statutory authority.</w:t>
      </w:r>
    </w:p>
    <w:p w14:paraId="3F9292D9" w14:textId="60FF85FF" w:rsidR="00EF0E99" w:rsidRDefault="65817618" w:rsidP="00F13F6B">
      <w:pPr>
        <w:pStyle w:val="BodyText3"/>
      </w:pPr>
      <w:r w:rsidRPr="090E2E58">
        <w:t>A.</w:t>
      </w:r>
      <w:r w:rsidR="0051098A">
        <w:tab/>
      </w:r>
      <w:r w:rsidRPr="090E2E58">
        <w:t xml:space="preserve">Brief Description of Issue </w:t>
      </w:r>
    </w:p>
    <w:p w14:paraId="6116A5FF" w14:textId="53E54FEA" w:rsidR="00EF0E99" w:rsidRDefault="65817618" w:rsidP="008978DC">
      <w:pPr>
        <w:pStyle w:val="BodyText"/>
      </w:pPr>
      <w:r w:rsidRPr="090E2E58">
        <w:t>TWC has identified several issues related to the enforcement of fair housing and employment laws in Texas. These issues include:</w:t>
      </w:r>
    </w:p>
    <w:p w14:paraId="5E9EFC46" w14:textId="72FFE19A" w:rsidR="00EF0E99" w:rsidRDefault="65817618" w:rsidP="00C64851">
      <w:pPr>
        <w:pStyle w:val="BodyText"/>
        <w:numPr>
          <w:ilvl w:val="0"/>
          <w:numId w:val="789"/>
        </w:numPr>
      </w:pPr>
      <w:r w:rsidRPr="008978DC">
        <w:rPr>
          <w:b/>
          <w:bCs/>
        </w:rPr>
        <w:t>Lack of enforcement power for conciliation agreement breaches:</w:t>
      </w:r>
      <w:r w:rsidRPr="090E2E58">
        <w:t xml:space="preserve"> The current statutes do not explicitly allow the TWC’s Civil Rights Division (CRD) to file civil actions when parties violate conciliation agreements reached during dispute resolution.</w:t>
      </w:r>
    </w:p>
    <w:p w14:paraId="4BD3CE8A" w14:textId="7BB50374" w:rsidR="00EF0E99" w:rsidRDefault="65817618" w:rsidP="00C64851">
      <w:pPr>
        <w:pStyle w:val="BodyText"/>
        <w:numPr>
          <w:ilvl w:val="0"/>
          <w:numId w:val="789"/>
        </w:numPr>
      </w:pPr>
      <w:r w:rsidRPr="008978DC">
        <w:rPr>
          <w:b/>
          <w:bCs/>
        </w:rPr>
        <w:t>Limited scope of reasonable accommodations:</w:t>
      </w:r>
      <w:r w:rsidRPr="090E2E58">
        <w:t xml:space="preserve"> The reasonable accommodation clause in employment law only covers individuals with disabilities and does not explicitly include those with sincerely held religious beliefs or women affected by pregnancy.</w:t>
      </w:r>
    </w:p>
    <w:p w14:paraId="4F346CF2" w14:textId="3BDAF246" w:rsidR="00EF0E99" w:rsidRDefault="65817618" w:rsidP="00C64851">
      <w:pPr>
        <w:pStyle w:val="BodyText"/>
        <w:numPr>
          <w:ilvl w:val="0"/>
          <w:numId w:val="789"/>
        </w:numPr>
      </w:pPr>
      <w:r w:rsidRPr="008978DC">
        <w:rPr>
          <w:b/>
          <w:bCs/>
        </w:rPr>
        <w:t>Redundancy and inefficiency in equal employment opportunity reporting:</w:t>
      </w:r>
      <w:r w:rsidRPr="090E2E58">
        <w:t xml:space="preserve"> The current reporting process for state agencies involves redundant steps and potentially unnecessary administrative burdens, and in some cases reporting requirements are not consistently applied.</w:t>
      </w:r>
    </w:p>
    <w:p w14:paraId="6CFC428D" w14:textId="3BB974F1" w:rsidR="00EF0E99" w:rsidRDefault="65817618" w:rsidP="00C64851">
      <w:pPr>
        <w:pStyle w:val="BodyText"/>
        <w:numPr>
          <w:ilvl w:val="0"/>
          <w:numId w:val="789"/>
        </w:numPr>
      </w:pPr>
      <w:r w:rsidRPr="008978DC">
        <w:rPr>
          <w:b/>
          <w:bCs/>
        </w:rPr>
        <w:t>Outdated references to the Commission on Human Rights:</w:t>
      </w:r>
      <w:r w:rsidRPr="090E2E58">
        <w:t xml:space="preserve"> The Texas Labor Law contains numerous references to the "Commission on Human Rights," which has been replaced by the TWC’s CRD.</w:t>
      </w:r>
    </w:p>
    <w:p w14:paraId="443C3CFB" w14:textId="153FEFDA" w:rsidR="00EF0E99" w:rsidRDefault="65817618" w:rsidP="008978DC">
      <w:pPr>
        <w:pStyle w:val="BodyText3"/>
      </w:pPr>
      <w:r w:rsidRPr="090E2E58">
        <w:lastRenderedPageBreak/>
        <w:t>B.</w:t>
      </w:r>
      <w:r w:rsidR="0051098A">
        <w:tab/>
      </w:r>
      <w:r w:rsidRPr="090E2E58">
        <w:t>Discussion</w:t>
      </w:r>
    </w:p>
    <w:p w14:paraId="3C61FD49" w14:textId="19E206BA" w:rsidR="00EF0E99" w:rsidRDefault="65817618" w:rsidP="008978DC">
      <w:pPr>
        <w:pStyle w:val="BodyText"/>
      </w:pPr>
      <w:r w:rsidRPr="090E2E58">
        <w:t>The Texas Property Code, Chapter 301 and the Texas Labor Code, Chapter 21 aim to prevent discriminatory housing and employment practices, respectively. These laws rely on investigation, conciliation, and, when necessary, legal action to ensure compliance. The goal is to promote fairness and equal opportunity in housing and employment. In addition, there are statutorily required reporting requirements that TWC is responsible for, some of which might benefit from legislative review and consideration for modifications.</w:t>
      </w:r>
    </w:p>
    <w:p w14:paraId="316BE995" w14:textId="09D1221F" w:rsidR="00EF0E99" w:rsidRPr="007F17BC" w:rsidRDefault="65817618" w:rsidP="008978DC">
      <w:pPr>
        <w:pStyle w:val="BodyText"/>
        <w:rPr>
          <w:rFonts w:eastAsia="Aptos" w:cs="Aptos"/>
          <w:b/>
          <w:color w:val="000000" w:themeColor="text1"/>
        </w:rPr>
      </w:pPr>
      <w:r w:rsidRPr="008978DC">
        <w:rPr>
          <w:rFonts w:eastAsia="Aptos" w:cs="Aptos"/>
          <w:b/>
          <w:color w:val="000000" w:themeColor="text1"/>
        </w:rPr>
        <w:t>Specific Issues and Concerns</w:t>
      </w:r>
      <w:r w:rsidRPr="007F17BC">
        <w:rPr>
          <w:rFonts w:eastAsia="Aptos" w:cs="Aptos"/>
          <w:b/>
          <w:color w:val="000000" w:themeColor="text1"/>
        </w:rPr>
        <w:t>:</w:t>
      </w:r>
    </w:p>
    <w:p w14:paraId="6D0472B4" w14:textId="3327ACDB" w:rsidR="00EF0E99" w:rsidRPr="00CF0FEA" w:rsidRDefault="65817618" w:rsidP="00CF0FEA">
      <w:pPr>
        <w:pStyle w:val="BodyText"/>
        <w:numPr>
          <w:ilvl w:val="0"/>
          <w:numId w:val="895"/>
        </w:numPr>
      </w:pPr>
      <w:r w:rsidRPr="00CF0FEA">
        <w:rPr>
          <w:b/>
          <w:bCs/>
        </w:rPr>
        <w:t>Conciliation Agreement Enforcement:</w:t>
      </w:r>
      <w:r w:rsidRPr="00CF0FEA">
        <w:t xml:space="preserve"> Without the ability to directly enforce conciliation agreements, CRD's dispute resolution process is weakened. Parties may enter agreements without fear of consequence for non-compliance, undermining the effectiveness of the laws.</w:t>
      </w:r>
    </w:p>
    <w:p w14:paraId="19A4BBAD" w14:textId="228281B2" w:rsidR="00EF0E99" w:rsidRPr="00CF0FEA" w:rsidRDefault="65817618" w:rsidP="00CF0FEA">
      <w:pPr>
        <w:pStyle w:val="BodyText"/>
        <w:numPr>
          <w:ilvl w:val="0"/>
          <w:numId w:val="895"/>
        </w:numPr>
      </w:pPr>
      <w:r w:rsidRPr="00CF0FEA">
        <w:rPr>
          <w:b/>
          <w:bCs/>
        </w:rPr>
        <w:t>Limited Accommodations:</w:t>
      </w:r>
      <w:r w:rsidRPr="00CF0FEA">
        <w:t xml:space="preserve"> Excluding religious beliefs and pregnancy-related needs from reasonable accommodations leaves potential gaps in protection against discrimination.</w:t>
      </w:r>
    </w:p>
    <w:p w14:paraId="0C05FAF7" w14:textId="2387AE9F" w:rsidR="00EF0E99" w:rsidRPr="00CF0FEA" w:rsidRDefault="65817618" w:rsidP="00CF0FEA">
      <w:pPr>
        <w:pStyle w:val="BodyText"/>
        <w:numPr>
          <w:ilvl w:val="0"/>
          <w:numId w:val="895"/>
        </w:numPr>
      </w:pPr>
      <w:r w:rsidRPr="00CF0FEA">
        <w:rPr>
          <w:b/>
          <w:bCs/>
        </w:rPr>
        <w:t>Reporting Redundancy and Inconsistency:</w:t>
      </w:r>
      <w:r w:rsidRPr="00CF0FEA">
        <w:t xml:space="preserve"> Requiring state agencies to report equal employment opportunity information to both the Comptroller and the Commission is redundant and creates unnecessary administrative burden. Discrepancies in reporting methods can lead to inaccurate data and hinder the effectiveness of equal employment opportunity monitoring.</w:t>
      </w:r>
    </w:p>
    <w:p w14:paraId="4A6FA742" w14:textId="78BFD881" w:rsidR="00EF0E99" w:rsidRPr="00CF0FEA" w:rsidRDefault="65817618" w:rsidP="00CF0FEA">
      <w:pPr>
        <w:pStyle w:val="BodyText"/>
        <w:numPr>
          <w:ilvl w:val="0"/>
          <w:numId w:val="895"/>
        </w:numPr>
      </w:pPr>
      <w:r w:rsidRPr="00CF0FEA">
        <w:rPr>
          <w:b/>
          <w:bCs/>
        </w:rPr>
        <w:t>Outdated References:</w:t>
      </w:r>
      <w:r w:rsidRPr="00CF0FEA">
        <w:t xml:space="preserve"> Maintaining references to a defunct agency (the former Texas Human Rights Commission) creates confusion and inefficiency in the legal framework.</w:t>
      </w:r>
    </w:p>
    <w:p w14:paraId="69C060BD" w14:textId="0E524ED0" w:rsidR="00EF0E99" w:rsidRDefault="65817618" w:rsidP="00CF0FEA">
      <w:pPr>
        <w:pStyle w:val="BodyText"/>
      </w:pPr>
      <w:r w:rsidRPr="090E2E58">
        <w:t>Multiple individuals are potentially affected by these issues, including aggrieved individuals who experience housing or employment discrimination, entities subject to fair housing and employment laws, and state agencies subject to reporting requirements.</w:t>
      </w:r>
    </w:p>
    <w:p w14:paraId="2B4BD0B0" w14:textId="6C82CB07" w:rsidR="00EF0E99" w:rsidRDefault="65817618" w:rsidP="008978DC">
      <w:pPr>
        <w:pStyle w:val="BodyText3"/>
      </w:pPr>
      <w:r w:rsidRPr="090E2E58">
        <w:t>C.</w:t>
      </w:r>
      <w:r w:rsidR="00CF0FEA">
        <w:tab/>
      </w:r>
      <w:r w:rsidRPr="090E2E58">
        <w:t xml:space="preserve">Possible Solutions and Impact </w:t>
      </w:r>
    </w:p>
    <w:p w14:paraId="09E0B47A" w14:textId="5D81C4D4" w:rsidR="00EF0E99" w:rsidRDefault="65817618" w:rsidP="008978DC">
      <w:pPr>
        <w:pStyle w:val="BodyText"/>
      </w:pPr>
      <w:r w:rsidRPr="090E2E58">
        <w:t>TWC has identified several possible solutions to the issues identified, as follows:</w:t>
      </w:r>
    </w:p>
    <w:p w14:paraId="1EA18B70" w14:textId="52DCD2B5" w:rsidR="00EF0E99" w:rsidRPr="007F17BC" w:rsidRDefault="65817618" w:rsidP="00C64851">
      <w:pPr>
        <w:pStyle w:val="BodyText"/>
        <w:numPr>
          <w:ilvl w:val="0"/>
          <w:numId w:val="791"/>
        </w:numPr>
      </w:pPr>
      <w:r w:rsidRPr="008978DC">
        <w:rPr>
          <w:b/>
          <w:bCs/>
        </w:rPr>
        <w:t>Conciliation Enforcement:</w:t>
      </w:r>
      <w:r w:rsidRPr="008978DC">
        <w:t xml:space="preserve"> To address the issue of limited enforcement of conciliation agreements, the Legislature may consider amending Texas Property Code, Section 301.085 and Texas Labor Code, Section 21.060 to allow CRD, through the Attorney General’s Office, to file civil actions when these agreements are breached. This would create a stronger enforcement mechanism, deterring non-compliance, and resulting in increased effectiveness of conciliation and fairer outcomes for aggrieved parties. </w:t>
      </w:r>
    </w:p>
    <w:p w14:paraId="03BB129F" w14:textId="0042DE00" w:rsidR="00EF0E99" w:rsidRPr="007F17BC" w:rsidRDefault="65817618" w:rsidP="00C64851">
      <w:pPr>
        <w:pStyle w:val="BodyText"/>
        <w:numPr>
          <w:ilvl w:val="0"/>
          <w:numId w:val="791"/>
        </w:numPr>
      </w:pPr>
      <w:r w:rsidRPr="008978DC">
        <w:rPr>
          <w:b/>
          <w:bCs/>
        </w:rPr>
        <w:lastRenderedPageBreak/>
        <w:t>Limited Accommodations:</w:t>
      </w:r>
      <w:r w:rsidRPr="008978DC">
        <w:t xml:space="preserve"> To broaden protection against discrimination, the Legislature may consider amending Texas Labor Code, Section 21.128 to include "persons with sincerely held religious beliefs (TLC §21.108) and women affected by pregnancy (TLC §21.106)." This inclusion would provide greater protection for religious employees and pregnant workers. </w:t>
      </w:r>
    </w:p>
    <w:p w14:paraId="0C3A861D" w14:textId="1C7627EF" w:rsidR="00EF0E99" w:rsidRPr="007F17BC" w:rsidRDefault="65817618" w:rsidP="00C64851">
      <w:pPr>
        <w:pStyle w:val="BodyText"/>
        <w:numPr>
          <w:ilvl w:val="0"/>
          <w:numId w:val="791"/>
        </w:numPr>
      </w:pPr>
      <w:r w:rsidRPr="008978DC">
        <w:rPr>
          <w:b/>
          <w:bCs/>
        </w:rPr>
        <w:t>Reporting Redundancy and Inconsistency:</w:t>
      </w:r>
      <w:r w:rsidRPr="008978DC">
        <w:t xml:space="preserve"> To streamline equal employment opportunity reporting, the Legislature may consider modifying reporting requirements in the Texas Labor Code, Chapter 21 and adding new language allowing TWC to use data that is currently collected via the Comptroller. To ensure consistent equal employment opportunity data collection and simplify the enforcement of reporting requirements, the Legislature may consider amending Texas Labor Code, Section 21.555 to align with current data filing procedures for </w:t>
      </w:r>
      <w:proofErr w:type="gramStart"/>
      <w:r w:rsidRPr="008978DC">
        <w:t>the majority of</w:t>
      </w:r>
      <w:proofErr w:type="gramEnd"/>
      <w:r w:rsidRPr="008978DC">
        <w:t xml:space="preserve"> state agencies. These recommendations would reduce the workload for state agencies and TWC, improve data accuracy and efficiency, and reduce administrative burden, potentially yielding cost savings.   </w:t>
      </w:r>
    </w:p>
    <w:p w14:paraId="6BF45331" w14:textId="2597DECC" w:rsidR="00EF0E99" w:rsidRPr="007F17BC" w:rsidRDefault="65817618" w:rsidP="00C64851">
      <w:pPr>
        <w:pStyle w:val="BodyText"/>
        <w:numPr>
          <w:ilvl w:val="0"/>
          <w:numId w:val="791"/>
        </w:numPr>
      </w:pPr>
      <w:r w:rsidRPr="008978DC">
        <w:rPr>
          <w:b/>
          <w:bCs/>
        </w:rPr>
        <w:t>Outdated References:</w:t>
      </w:r>
      <w:r w:rsidRPr="008978DC">
        <w:t xml:space="preserve"> Additionally, the Legislature may consider removing outdated references to the "Commission on Human Rights," by striking all such references in Texas Labor Code, Chapter 21 and replacing them with "Texas Workforce Commission." This will eliminate confusion and align the code with the current agency structure. This change streamlines processes and accurately reflects the agency responsible for enforcement and has a negligible fiscal impact.</w:t>
      </w:r>
    </w:p>
    <w:p w14:paraId="3B42BF79" w14:textId="125E96B5" w:rsidR="00EF0E99" w:rsidRDefault="65817618" w:rsidP="00F1569D">
      <w:pPr>
        <w:pStyle w:val="Heading2"/>
      </w:pPr>
      <w:r w:rsidRPr="090E2E58">
        <w:t>Apply a risk-based framework to licensing and regulating career schools and colleges in Texas.</w:t>
      </w:r>
    </w:p>
    <w:p w14:paraId="388FD978" w14:textId="0E5B9ED5" w:rsidR="00EF0E99" w:rsidRDefault="65817618" w:rsidP="008978DC">
      <w:pPr>
        <w:pStyle w:val="BodyText3"/>
      </w:pPr>
      <w:r w:rsidRPr="090E2E58">
        <w:t>A.</w:t>
      </w:r>
      <w:r w:rsidR="00247AE4">
        <w:tab/>
      </w:r>
      <w:r w:rsidRPr="090E2E58">
        <w:t xml:space="preserve">Brief Description of Issue </w:t>
      </w:r>
    </w:p>
    <w:p w14:paraId="1663BC58" w14:textId="11470EB6" w:rsidR="00EF0E99" w:rsidRDefault="65817618" w:rsidP="008978DC">
      <w:pPr>
        <w:pStyle w:val="BodyText"/>
        <w:rPr>
          <w:rFonts w:eastAsia="Aptos" w:cs="Aptos"/>
        </w:rPr>
      </w:pPr>
      <w:r w:rsidRPr="090E2E58">
        <w:rPr>
          <w:rFonts w:eastAsia="Aptos" w:cs="Aptos"/>
        </w:rPr>
        <w:t>Over the last 20 years, the number of licensed career schools in Texas has grown from 416 to 729 licensed schools with more than 50 applications pending as of July 2025. Continued expansion is expected as the need for career and technical credentials grows. As school portfolios increase, program staff face significant challenges in processing applications timely and assisting schools. Expanding existing statutory flexibility could help ensure the program’s limited resources are used most efficiently to ensure consumer protection while reducing the regulatory burden on licensed schools. Additionally, the large number of career schools offering different credentials makes it more important to provide consumers with information to assist them in choosing programs.</w:t>
      </w:r>
    </w:p>
    <w:p w14:paraId="32163951" w14:textId="7A1A9F31" w:rsidR="00EF0E99" w:rsidRDefault="65817618" w:rsidP="008978DC">
      <w:pPr>
        <w:pStyle w:val="BodyText3"/>
      </w:pPr>
      <w:r w:rsidRPr="090E2E58">
        <w:t>B.</w:t>
      </w:r>
      <w:r w:rsidR="00247AE4">
        <w:tab/>
      </w:r>
      <w:r w:rsidRPr="090E2E58">
        <w:t>Discussion</w:t>
      </w:r>
    </w:p>
    <w:p w14:paraId="0423D69A" w14:textId="2EF36144" w:rsidR="00EF0E99" w:rsidRDefault="65817618" w:rsidP="008978DC">
      <w:pPr>
        <w:pStyle w:val="BodyText"/>
        <w:rPr>
          <w:rFonts w:eastAsia="Aptos" w:cs="Aptos"/>
        </w:rPr>
      </w:pPr>
      <w:r w:rsidRPr="090E2E58">
        <w:rPr>
          <w:rFonts w:eastAsia="Aptos" w:cs="Aptos"/>
        </w:rPr>
        <w:t xml:space="preserve">The Legislature appropriated an additional FTE to Career Schools and Colleges for fiscal years 2026 and 2027, but staff caseloads will continue to present significant challenges in servicing career schools, monitoring their compliance, and investigating potentially unlicensed schools in operation. In 2024, a significant backlog of overdue renewals accumulated due to staff turnover and unexpected leave as well as challenges </w:t>
      </w:r>
      <w:r w:rsidRPr="090E2E58">
        <w:rPr>
          <w:rFonts w:eastAsia="Aptos" w:cs="Aptos"/>
        </w:rPr>
        <w:lastRenderedPageBreak/>
        <w:t>implementing a new online portal. Timeframes for reviewing applications from new schools also lengthened beyond the statutory 90 days. Both backlogs caused operating challenges for schools and ultimately slowed the delivery of critical career and technical education to Texans. The administrative work of processing annual renewals alone diverts staff from other necessary functions such as enforcing sanctions, reviewing complaints, and investigating unlicensed schools. Since the industry growth shows no signs of slowing, innovation is needed to ensure consumer protection and efficiency, and additional program quality metrics could help consumers make informed school choices.</w:t>
      </w:r>
    </w:p>
    <w:p w14:paraId="44BB3B58" w14:textId="4651EB7F" w:rsidR="00EF0E99" w:rsidRDefault="65817618" w:rsidP="008978DC">
      <w:pPr>
        <w:pStyle w:val="BodyText3"/>
      </w:pPr>
      <w:r w:rsidRPr="090E2E58">
        <w:t>C.</w:t>
      </w:r>
      <w:r w:rsidR="00247AE4">
        <w:tab/>
      </w:r>
      <w:r w:rsidRPr="090E2E58">
        <w:t>Possible Solutions and Impact</w:t>
      </w:r>
    </w:p>
    <w:p w14:paraId="058BBB02" w14:textId="44F8714A" w:rsidR="00EF0E99" w:rsidRDefault="65817618" w:rsidP="008978DC">
      <w:pPr>
        <w:pStyle w:val="BodyText"/>
      </w:pPr>
      <w:r w:rsidRPr="090E2E58">
        <w:t xml:space="preserve">Statute already provides limited flexibility in administering the program based on risk by allowing TWC to waive many statutory requirements (by rule) and reduce costs to “small schools” that provide only college or exam preparation or have an annual gross tuition income of $100,000 or less. This includes reduced fees and allowing TWC to issue multiyear licenses to small schools. TWC has used this flexibility to issue three-year licenses to small schools. The statutory waiver authority for small schools (Texas Education Code, Section 132.053) requires that a waiver by rule be adopted only if it will reduce the regulatory burden for small career schools and colleges and will adequately safeguard the interests of the students </w:t>
      </w:r>
      <w:proofErr w:type="gramStart"/>
      <w:r w:rsidRPr="090E2E58">
        <w:t>of</w:t>
      </w:r>
      <w:proofErr w:type="gramEnd"/>
      <w:r w:rsidRPr="090E2E58">
        <w:t xml:space="preserve"> small career schools and colleges to receive either the education for which they have contracted or an appropriate refund.</w:t>
      </w:r>
    </w:p>
    <w:p w14:paraId="15350D07" w14:textId="0EC63B5E" w:rsidR="00EF0E99" w:rsidRDefault="65817618" w:rsidP="008978DC">
      <w:pPr>
        <w:pStyle w:val="BodyText"/>
      </w:pPr>
      <w:r w:rsidRPr="090E2E58">
        <w:t>The current statutory framework for small schools could be expanded to all schools to allow TWC to focus its limited resources according to risk, thereby achieving a better balance between consumer protection and regulatory burden. For example, statute could be amended to allow TWC the flexibility to issue multi-year licenses to schools of any size, allowing the agency to adopt varying length licenses based on size or other risk-related criteria. The Sunset Commission’s Licensing Model, while primarily focused on occupational licenses, recommends licenses of at least two years to ease administrative burdens and allow staff to dedicate more time toward quicker processing of licenses. In addition, the statutory requirement to conduct site inspections before licensure and again three months later could be updated to consider risk such as whether the first visit yielded any deficiencies and to allow for virtual visits using video technology. Other areas that could benefit from flexibility and rulemaking ability include initial financial requirements and fee schedules.</w:t>
      </w:r>
    </w:p>
    <w:p w14:paraId="06BA9CA3" w14:textId="6D214430" w:rsidR="00EF0E99" w:rsidRDefault="65817618" w:rsidP="008978DC">
      <w:pPr>
        <w:pStyle w:val="BodyText"/>
        <w:rPr>
          <w:rFonts w:eastAsia="Aptos" w:cs="Aptos"/>
          <w:color w:val="0F4761"/>
          <w:sz w:val="28"/>
          <w:szCs w:val="28"/>
        </w:rPr>
      </w:pPr>
      <w:r w:rsidRPr="090E2E58">
        <w:t>Finally, to further enhance the ability of a prospective student to compare programs, a quality-based rating system could be developed using a model such as the Texas Rising Star Program for early childhood programs to assist consumers by identifying schools going beyond statutory requirements, for example, by offering externships or that have exceptional student completion rates.</w:t>
      </w:r>
      <w:r w:rsidRPr="090E2E58">
        <w:rPr>
          <w:rFonts w:eastAsia="Aptos" w:cs="Aptos"/>
          <w:color w:val="0F4761"/>
          <w:sz w:val="28"/>
          <w:szCs w:val="28"/>
        </w:rPr>
        <w:t xml:space="preserve"> </w:t>
      </w:r>
    </w:p>
    <w:p w14:paraId="7812A052" w14:textId="6EFBE182" w:rsidR="00EF0E99" w:rsidRPr="008978DC" w:rsidRDefault="65817618" w:rsidP="00867385">
      <w:pPr>
        <w:pStyle w:val="BodyText3"/>
      </w:pPr>
      <w:r w:rsidRPr="008978DC">
        <w:t>Answer the following questions separately:</w:t>
      </w:r>
    </w:p>
    <w:p w14:paraId="5E964C68" w14:textId="5D607393" w:rsidR="00EF0E99" w:rsidRDefault="65817618" w:rsidP="008978DC">
      <w:pPr>
        <w:pStyle w:val="BodyText3"/>
      </w:pPr>
      <w:r w:rsidRPr="090E2E58">
        <w:t>D.</w:t>
      </w:r>
      <w:r w:rsidR="00867385">
        <w:tab/>
      </w:r>
      <w:r w:rsidRPr="090E2E58">
        <w:t xml:space="preserve">What key obstacles impede your agency’s ability to achieve its objectives? </w:t>
      </w:r>
    </w:p>
    <w:p w14:paraId="2B5C60DA" w14:textId="25AFB6FE" w:rsidR="00EF0E99" w:rsidRDefault="65817618" w:rsidP="008978DC">
      <w:pPr>
        <w:pStyle w:val="BodyText"/>
      </w:pPr>
      <w:r w:rsidRPr="090E2E58">
        <w:lastRenderedPageBreak/>
        <w:t>The TWC's strategic goals are focused on workforce development, employer support, and efficient operations. However, achieving these goals faces significant challenges, primarily related to:</w:t>
      </w:r>
    </w:p>
    <w:p w14:paraId="6DA3496D" w14:textId="36E5740E" w:rsidR="00EF0E99" w:rsidRDefault="65817618" w:rsidP="00C64851">
      <w:pPr>
        <w:pStyle w:val="BodyText"/>
        <w:numPr>
          <w:ilvl w:val="0"/>
          <w:numId w:val="792"/>
        </w:numPr>
      </w:pPr>
      <w:r w:rsidRPr="008978DC">
        <w:rPr>
          <w:b/>
          <w:bCs/>
        </w:rPr>
        <w:t>Economic Fluctuations and Evolving Skill Demands</w:t>
      </w:r>
      <w:r w:rsidRPr="090E2E58">
        <w:t xml:space="preserve">: Rapid technological advancements and unpredictable economic shifts require TWC to be agile in adapting training programs and resources to meet constantly evolving employer needs. This demands proactive forecasting and strong partnerships with industry to anticipate future skills gaps.  In addition, even more coordination is needed between workforce development </w:t>
      </w:r>
      <w:proofErr w:type="gramStart"/>
      <w:r w:rsidRPr="090E2E58">
        <w:t>and  secondary</w:t>
      </w:r>
      <w:proofErr w:type="gramEnd"/>
      <w:r w:rsidRPr="090E2E58">
        <w:t xml:space="preserve"> and post-secondary programs to ensure these programs are preparing students for training in high-demand careers.  </w:t>
      </w:r>
    </w:p>
    <w:p w14:paraId="56822448" w14:textId="18D0CD4D" w:rsidR="00EF0E99" w:rsidRDefault="65817618" w:rsidP="00C64851">
      <w:pPr>
        <w:pStyle w:val="BodyText"/>
        <w:numPr>
          <w:ilvl w:val="0"/>
          <w:numId w:val="792"/>
        </w:numPr>
      </w:pPr>
      <w:r w:rsidRPr="008978DC">
        <w:rPr>
          <w:b/>
          <w:bCs/>
        </w:rPr>
        <w:t>Workforce Availability and Skills Gaps:</w:t>
      </w:r>
      <w:r w:rsidRPr="090E2E58">
        <w:t xml:space="preserve"> Texas faces an aging workforce and persistent skills gaps, particularly in high-demand industries. Addressing these challenges requires targeted training initiatives, apprenticeships, and strategies to attract and retain skilled workers.</w:t>
      </w:r>
    </w:p>
    <w:p w14:paraId="11532D39" w14:textId="60E2C90E" w:rsidR="00EF0E99" w:rsidRDefault="65817618" w:rsidP="00C64851">
      <w:pPr>
        <w:pStyle w:val="BodyText"/>
        <w:numPr>
          <w:ilvl w:val="0"/>
          <w:numId w:val="792"/>
        </w:numPr>
      </w:pPr>
      <w:r w:rsidRPr="008978DC">
        <w:rPr>
          <w:b/>
          <w:bCs/>
        </w:rPr>
        <w:t>Funding Constraints and Resource Allocation:</w:t>
      </w:r>
      <w:r w:rsidRPr="090E2E58">
        <w:t xml:space="preserve"> Critical challenges such as funding availability, effective allocation of resources across diverse programs and regions, and difficulty filling key staffing positions constrain TWC’s ability to expand services. Prioritization and innovative funding strategies are crucial to maximizing impact with limited resources.</w:t>
      </w:r>
    </w:p>
    <w:p w14:paraId="47416004" w14:textId="1452489E" w:rsidR="00EF0E99" w:rsidRDefault="00373806" w:rsidP="00C64851">
      <w:pPr>
        <w:pStyle w:val="BodyText"/>
        <w:numPr>
          <w:ilvl w:val="0"/>
          <w:numId w:val="792"/>
        </w:numPr>
      </w:pPr>
      <w:r>
        <w:rPr>
          <w:b/>
          <w:bCs/>
        </w:rPr>
        <w:t>Limitations in Coordinating Activities and Statewide Priorities with</w:t>
      </w:r>
      <w:r w:rsidR="65817618" w:rsidRPr="008978DC">
        <w:rPr>
          <w:b/>
          <w:bCs/>
        </w:rPr>
        <w:t xml:space="preserve"> Local Workforce Development Boards:</w:t>
      </w:r>
      <w:r w:rsidR="65817618" w:rsidRPr="090E2E58">
        <w:t xml:space="preserve">  Each of the 28 </w:t>
      </w:r>
      <w:r w:rsidR="00483554">
        <w:t>B</w:t>
      </w:r>
      <w:r w:rsidR="65817618" w:rsidRPr="090E2E58">
        <w:t xml:space="preserve">oards that make up the Texas Workforce Solutions network is run by a locally selected governing body and receives funding from multiple contracts and grants from TWC and other sources.  </w:t>
      </w:r>
      <w:r w:rsidR="00824F60">
        <w:t>H</w:t>
      </w:r>
      <w:r w:rsidR="65817618" w:rsidRPr="090E2E58">
        <w:t xml:space="preserve">ow the </w:t>
      </w:r>
      <w:r w:rsidR="00BC2C9B">
        <w:t>B</w:t>
      </w:r>
      <w:r w:rsidR="65817618" w:rsidRPr="090E2E58">
        <w:t xml:space="preserve">oards </w:t>
      </w:r>
      <w:r w:rsidR="00EE5EF4">
        <w:t xml:space="preserve">prioritize and </w:t>
      </w:r>
      <w:r w:rsidR="65817618" w:rsidRPr="090E2E58">
        <w:t xml:space="preserve">allocate their limited resources </w:t>
      </w:r>
      <w:r w:rsidR="00EE5EF4">
        <w:t>can</w:t>
      </w:r>
      <w:r w:rsidR="65817618" w:rsidRPr="090E2E58">
        <w:t xml:space="preserve"> affect the agency’s ability to achieve the state’s objectives.  For example, the occupations that some </w:t>
      </w:r>
      <w:r w:rsidR="00483554">
        <w:t>B</w:t>
      </w:r>
      <w:r w:rsidR="65817618" w:rsidRPr="090E2E58">
        <w:t xml:space="preserve">oards identify as high demand </w:t>
      </w:r>
      <w:r w:rsidR="00EE5EF4">
        <w:t>may</w:t>
      </w:r>
      <w:r w:rsidR="65817618" w:rsidRPr="090E2E58">
        <w:t xml:space="preserve"> not reflect the priorities of the </w:t>
      </w:r>
      <w:proofErr w:type="gramStart"/>
      <w:r w:rsidR="65817618" w:rsidRPr="090E2E58">
        <w:t>state as a whole</w:t>
      </w:r>
      <w:proofErr w:type="gramEnd"/>
      <w:r w:rsidR="65817618" w:rsidRPr="090E2E58">
        <w:t xml:space="preserve">.  </w:t>
      </w:r>
      <w:r w:rsidR="00127132">
        <w:t xml:space="preserve">Adding a statutory requirement for the Commission to develop customer service guidelines and strategies for </w:t>
      </w:r>
      <w:r w:rsidR="003A33C9">
        <w:t xml:space="preserve">the Boards would help ensure all </w:t>
      </w:r>
      <w:r w:rsidR="65817618" w:rsidRPr="090E2E58">
        <w:t xml:space="preserve">Boards </w:t>
      </w:r>
      <w:r w:rsidR="00882D3F">
        <w:t xml:space="preserve">are consistently </w:t>
      </w:r>
      <w:r w:rsidR="65817618" w:rsidRPr="090E2E58">
        <w:t>address</w:t>
      </w:r>
      <w:r w:rsidR="00882D3F">
        <w:t>ing</w:t>
      </w:r>
      <w:r w:rsidR="65817618" w:rsidRPr="090E2E58">
        <w:t xml:space="preserve"> statewide priorities.  </w:t>
      </w:r>
    </w:p>
    <w:p w14:paraId="7DD0E3F8" w14:textId="2B61F544" w:rsidR="00EF0E99" w:rsidRDefault="65817618" w:rsidP="00C64851">
      <w:pPr>
        <w:pStyle w:val="BodyText"/>
        <w:numPr>
          <w:ilvl w:val="0"/>
          <w:numId w:val="792"/>
        </w:numPr>
      </w:pPr>
      <w:r w:rsidRPr="008978DC">
        <w:rPr>
          <w:b/>
          <w:bCs/>
        </w:rPr>
        <w:t>System Navigation and Accessibility:</w:t>
      </w:r>
      <w:r w:rsidRPr="090E2E58">
        <w:t xml:space="preserve"> Ensuring that all Texans, especially those from underserved communities, have access to TWC services is essential. Complex program requirements and digital divides can create barriers to access, requiring streamlined processes and enhanced outreach efforts.</w:t>
      </w:r>
    </w:p>
    <w:p w14:paraId="61BFB121" w14:textId="6BB74EE8" w:rsidR="00EF0E99" w:rsidRDefault="65817618" w:rsidP="00C64851">
      <w:pPr>
        <w:pStyle w:val="BodyText"/>
        <w:numPr>
          <w:ilvl w:val="0"/>
          <w:numId w:val="792"/>
        </w:numPr>
      </w:pPr>
      <w:r w:rsidRPr="008978DC">
        <w:rPr>
          <w:b/>
          <w:bCs/>
        </w:rPr>
        <w:t>Data Integration and Access:</w:t>
      </w:r>
      <w:r w:rsidRPr="090E2E58">
        <w:t xml:space="preserve"> Comprehensive data collection, analysis, and performance measurement are essential for effective program evaluation and continuous improvement. Data silos and inconsistencies can hinder the agency's ability to track outcomes and make data-driven decisions.  Further, TWC’s ability to access sensitive data from other state and federal agencies as part of our fraud control efforts has been increasingly necessary since 2020.  Difficulty accessing this </w:t>
      </w:r>
      <w:r w:rsidRPr="090E2E58">
        <w:lastRenderedPageBreak/>
        <w:t xml:space="preserve">data limits the agency’s ability to prevent, detect, and investigate fraud in the benefits systems.  </w:t>
      </w:r>
    </w:p>
    <w:p w14:paraId="33766C43" w14:textId="462506AF" w:rsidR="00EF0E99" w:rsidRDefault="65817618" w:rsidP="008978DC">
      <w:pPr>
        <w:pStyle w:val="BodyText"/>
      </w:pPr>
      <w:r w:rsidRPr="090E2E58">
        <w:t>Addressing these obstacles will require:</w:t>
      </w:r>
    </w:p>
    <w:p w14:paraId="339994DC" w14:textId="0FA53614" w:rsidR="00EF0E99" w:rsidRDefault="65817618" w:rsidP="00C64851">
      <w:pPr>
        <w:pStyle w:val="BodyText"/>
        <w:numPr>
          <w:ilvl w:val="0"/>
          <w:numId w:val="793"/>
        </w:numPr>
      </w:pPr>
      <w:r w:rsidRPr="008978DC">
        <w:rPr>
          <w:b/>
          <w:bCs/>
        </w:rPr>
        <w:t>Strategic Partnerships:</w:t>
      </w:r>
      <w:r w:rsidRPr="090E2E58">
        <w:t xml:space="preserve"> Strengthened collaboration with Local Workforce Development Boards, employers, educational institutions, community organizations, and other partners.</w:t>
      </w:r>
    </w:p>
    <w:p w14:paraId="6852D54F" w14:textId="464250C1" w:rsidR="00EF0E99" w:rsidRDefault="65817618" w:rsidP="00C64851">
      <w:pPr>
        <w:pStyle w:val="BodyText"/>
        <w:numPr>
          <w:ilvl w:val="0"/>
          <w:numId w:val="793"/>
        </w:numPr>
      </w:pPr>
      <w:r w:rsidRPr="008978DC">
        <w:rPr>
          <w:b/>
          <w:bCs/>
        </w:rPr>
        <w:t>Data-Driven Decision Making:</w:t>
      </w:r>
      <w:r w:rsidRPr="090E2E58">
        <w:t xml:space="preserve"> Leveraging data analytics to identify emerging trends and inform program development.</w:t>
      </w:r>
    </w:p>
    <w:p w14:paraId="00709864" w14:textId="074C9C27" w:rsidR="00EF0E99" w:rsidRDefault="65817618" w:rsidP="00C64851">
      <w:pPr>
        <w:pStyle w:val="BodyText"/>
        <w:numPr>
          <w:ilvl w:val="0"/>
          <w:numId w:val="793"/>
        </w:numPr>
      </w:pPr>
      <w:r w:rsidRPr="008978DC">
        <w:rPr>
          <w:b/>
          <w:bCs/>
        </w:rPr>
        <w:t>Flexibility and Innovation:</w:t>
      </w:r>
      <w:r w:rsidRPr="090E2E58">
        <w:t xml:space="preserve"> Adapting programs and services to meet the evolving needs of Texas workers and employers.</w:t>
      </w:r>
    </w:p>
    <w:p w14:paraId="48511858" w14:textId="170C1E2F" w:rsidR="00EF0E99" w:rsidRDefault="65817618" w:rsidP="00C64851">
      <w:pPr>
        <w:pStyle w:val="BodyText"/>
        <w:numPr>
          <w:ilvl w:val="0"/>
          <w:numId w:val="793"/>
        </w:numPr>
      </w:pPr>
      <w:r w:rsidRPr="008978DC">
        <w:rPr>
          <w:b/>
          <w:bCs/>
        </w:rPr>
        <w:t>Effective Communication and Outreach:</w:t>
      </w:r>
      <w:r w:rsidRPr="090E2E58">
        <w:t xml:space="preserve"> Raising awareness of TWC services and ensuring access for all Texans.</w:t>
      </w:r>
    </w:p>
    <w:p w14:paraId="0084EF8E" w14:textId="629F5A29" w:rsidR="00EF0E99" w:rsidRDefault="65817618" w:rsidP="00C64851">
      <w:pPr>
        <w:pStyle w:val="BodyText"/>
        <w:numPr>
          <w:ilvl w:val="0"/>
          <w:numId w:val="793"/>
        </w:numPr>
      </w:pPr>
      <w:r w:rsidRPr="008978DC">
        <w:rPr>
          <w:b/>
          <w:bCs/>
        </w:rPr>
        <w:t>Advocating for Adequate Resources:</w:t>
      </w:r>
      <w:r w:rsidRPr="090E2E58">
        <w:t xml:space="preserve"> Securing the necessary funding and resources to support workforce development initiatives.</w:t>
      </w:r>
    </w:p>
    <w:p w14:paraId="3932D00E" w14:textId="26C0644D" w:rsidR="00EF0E99" w:rsidRDefault="65817618" w:rsidP="008978DC">
      <w:pPr>
        <w:pStyle w:val="BodyText"/>
      </w:pPr>
      <w:r w:rsidRPr="090E2E58">
        <w:t>By proactively addressing these obstacles, TWC can effectively achieve its strategic objectives and contribute to a thriving Texas economy.</w:t>
      </w:r>
    </w:p>
    <w:p w14:paraId="392655C2" w14:textId="30643716" w:rsidR="00EF0E99" w:rsidRDefault="65817618" w:rsidP="00867385">
      <w:pPr>
        <w:pStyle w:val="BodyText3"/>
        <w:ind w:left="720" w:hanging="720"/>
      </w:pPr>
      <w:r w:rsidRPr="090E2E58">
        <w:t>E.</w:t>
      </w:r>
      <w:r w:rsidR="00867385">
        <w:tab/>
      </w:r>
      <w:r w:rsidRPr="090E2E58">
        <w:t xml:space="preserve">What, if any, agency or program functions does your agency perform that are no longer serving a clear and ongoing purpose? Could any agency functions be eliminated so agency resources could be better directed elsewhere? If so, which?  </w:t>
      </w:r>
    </w:p>
    <w:p w14:paraId="1CA2350C" w14:textId="0516B060" w:rsidR="00EF0E99" w:rsidRDefault="65817618" w:rsidP="008978DC">
      <w:pPr>
        <w:pStyle w:val="BodyText"/>
      </w:pPr>
      <w:r w:rsidRPr="090E2E58">
        <w:t xml:space="preserve">Many of TWC’s functions involve carrying out federal workforce-related laws, including the Wagner-Peyser Employment Services program, the Workforce Innovation and Opportunity Act (WIOA), Vocational Rehabilitation, Unemployment Insurance, Temporary Assistance for Needy Families (TANF) employment and training programs, Supplemental Nutrition Assistance Program (SNAP) Employment and Training, Child Care Services, and others. These programs are essential to providing relevant workforce and referral services to targeted populations who benefit from integrated service delivery and are properly located within the agency. </w:t>
      </w:r>
    </w:p>
    <w:p w14:paraId="0681E2A5" w14:textId="73864EBD" w:rsidR="00EF0E99" w:rsidRDefault="65817618" w:rsidP="008978DC">
      <w:pPr>
        <w:pStyle w:val="BodyText"/>
      </w:pPr>
      <w:r w:rsidRPr="090E2E58">
        <w:t>If TWC’s functions were to be disbanded, it would result in a fragmentation of services, higher costs associated with providing services, and greater difficulty for dislocated workers and job seekers to gain employment. It would also result in a reduction of opportunities for quality connections between employers and job seekers, and in fewer economic development opportunities to be fostered among these stakeholders. Synergies gained through the integration of workforce and economic development functions would be lost.</w:t>
      </w:r>
    </w:p>
    <w:p w14:paraId="632C5284" w14:textId="58F7E6E1" w:rsidR="00EF0E99" w:rsidRDefault="65817618" w:rsidP="00867385">
      <w:pPr>
        <w:pStyle w:val="BodyText3"/>
        <w:ind w:left="720" w:hanging="720"/>
      </w:pPr>
      <w:r w:rsidRPr="090E2E58">
        <w:lastRenderedPageBreak/>
        <w:t>F.</w:t>
      </w:r>
      <w:r w:rsidR="00867385">
        <w:tab/>
      </w:r>
      <w:r w:rsidRPr="090E2E58">
        <w:t xml:space="preserve">Aside from acquiring additional staff or funding, what are your agency’s biggest opportunities for improvement in the future? For example, are there other programs or duties the agency could take on to better carry out its mission? </w:t>
      </w:r>
    </w:p>
    <w:p w14:paraId="55D17A2E" w14:textId="6575BF00" w:rsidR="00EF0E99" w:rsidRDefault="65817618" w:rsidP="008978DC">
      <w:pPr>
        <w:pStyle w:val="BodyText"/>
      </w:pPr>
      <w:r w:rsidRPr="090E2E58">
        <w:t xml:space="preserve">Aside from acquiring additional staff or funding, TWC has significant opportunities to enhance its effectiveness and impact in the future. </w:t>
      </w:r>
    </w:p>
    <w:p w14:paraId="1A29EAC9" w14:textId="3EF71D16" w:rsidR="00EF0E99" w:rsidRDefault="65817618" w:rsidP="008978DC">
      <w:pPr>
        <w:pStyle w:val="BodyText3"/>
      </w:pPr>
      <w:r w:rsidRPr="090E2E58">
        <w:t>Enhancing Customer Service</w:t>
      </w:r>
    </w:p>
    <w:p w14:paraId="582875F2" w14:textId="31CA81F6" w:rsidR="00EF0E99" w:rsidRDefault="65817618" w:rsidP="008978DC">
      <w:pPr>
        <w:pStyle w:val="BodyText"/>
      </w:pPr>
      <w:r w:rsidRPr="090E2E58">
        <w:t xml:space="preserve">TWC is focused on delivering and enhancing exceptional customer service. TWC is transforming how staff serve the nearly 1.78 million Texans who rely on our services each year through the Customer Care Main Door initiative. This initiative will provide clear, direct pathways to the specific information and services our customers need, simplifying navigation through our diverse offerings. By presenting a streamlined, user-friendly experience, the Main Door will reduce customer frustration, accelerate access to critical resources, and make it easier for Texans to learn about the full range of support services available to them. The Main Door will also create a more welcoming digital environment for our customers. </w:t>
      </w:r>
    </w:p>
    <w:p w14:paraId="767709A1" w14:textId="77DEAE67" w:rsidR="00EF0E99" w:rsidRDefault="65817618" w:rsidP="008978DC">
      <w:pPr>
        <w:pStyle w:val="BodyText3"/>
      </w:pPr>
      <w:r w:rsidRPr="090E2E58">
        <w:t>Using Enhanced Data Analytics and Predictive Modeling</w:t>
      </w:r>
    </w:p>
    <w:p w14:paraId="5B31D12C" w14:textId="3064FD4E" w:rsidR="00EF0E99" w:rsidRDefault="65817618" w:rsidP="008978DC">
      <w:pPr>
        <w:pStyle w:val="BodyText"/>
      </w:pPr>
      <w:r w:rsidRPr="090E2E58">
        <w:t>TWC uses enhanced data analytics and predictive modeling to anticipate workforce needs. These efforts enable the agency to proactively identify emerging industries, skills gaps, and potential economic disruptions, allowing for the development of targeted training programs and efficient resource allocation. TWC is also building internal dashboards to measure internal productivity to produce higher quality services and products and reduce the cycle time to get them to customers.</w:t>
      </w:r>
    </w:p>
    <w:p w14:paraId="65F008B7" w14:textId="742E74C4" w:rsidR="00EF0E99" w:rsidRDefault="65817618" w:rsidP="008978DC">
      <w:pPr>
        <w:pStyle w:val="BodyText3"/>
      </w:pPr>
      <w:r w:rsidRPr="090E2E58">
        <w:t>Commitment to Continuous Improvement</w:t>
      </w:r>
    </w:p>
    <w:p w14:paraId="059868B1" w14:textId="76FC5EE9" w:rsidR="00EF0E99" w:rsidRDefault="65817618" w:rsidP="008978DC">
      <w:pPr>
        <w:pStyle w:val="BodyText"/>
      </w:pPr>
      <w:r w:rsidRPr="090E2E58">
        <w:t xml:space="preserve">TWC remains committed to continuous improvement, fostering innovation, efficiency, and operational excellence.  With leadership from the Business Transformation Team, TWC refines its business processes by optimizing outcomes and actively listening to the ‘voice of the customer.’  Employees are empowered to drive change, receiving training and tools to identify bottlenecks and leverage metrics for improvement.  Continuous Improvement training emphasizes innovative solutions over simply requesting additional resources.  </w:t>
      </w:r>
    </w:p>
    <w:p w14:paraId="603B0EC4" w14:textId="64018E8D" w:rsidR="00EF0E99" w:rsidRDefault="65817618" w:rsidP="008978DC">
      <w:pPr>
        <w:pStyle w:val="BodyText"/>
      </w:pPr>
      <w:r w:rsidRPr="090E2E58">
        <w:t xml:space="preserve">Over the past decade, this commitment has fueled more than 50 major projects and hundreds of process enhancements, resulting in measurable gains in time and cost savings, quality, and service delivery.  These initiatives have been successfully implemented across all divisions, resulting in significant resource savings and improved services for our customers.  TWC is committed to leveraging new ideas, data, and innovation to further improve its operations. </w:t>
      </w:r>
    </w:p>
    <w:p w14:paraId="642A2C13" w14:textId="65345B40" w:rsidR="00EF0E99" w:rsidRDefault="65817618" w:rsidP="008978DC">
      <w:pPr>
        <w:pStyle w:val="BodyText3"/>
      </w:pPr>
      <w:r w:rsidRPr="090E2E58">
        <w:t>Using AI to Improve Efficiency</w:t>
      </w:r>
    </w:p>
    <w:p w14:paraId="6DB44BD2" w14:textId="4A1D46C2" w:rsidR="00EF0E99" w:rsidRDefault="65817618" w:rsidP="008978DC">
      <w:pPr>
        <w:pStyle w:val="BodyText"/>
      </w:pPr>
      <w:r w:rsidRPr="090E2E58">
        <w:lastRenderedPageBreak/>
        <w:t>One of TWC’s most significant opportunities for future improvement lies in the strategic expansion of Artificial Intelligence (AI) initiatives. TWC’s guiding principle is to use AI to support, not replace, staff, thereby enhancing the agency’s capacity to deliver on its mission without requiring additional personnel or funding. Through a staff-driven process, TWC identified 228 potential use cases and has deployed successful solutions for 60% of them. This innovation is managed by a governance committee and uses secure, state-certified cloud environments, ensuring responsible and effective implementation.</w:t>
      </w:r>
    </w:p>
    <w:p w14:paraId="1F61235F" w14:textId="46A83E93" w:rsidR="00EF0E99" w:rsidRDefault="65817618" w:rsidP="008978DC">
      <w:pPr>
        <w:pStyle w:val="BodyText"/>
      </w:pPr>
      <w:r w:rsidRPr="090E2E58">
        <w:t>TWC’s currently deployed AI tools deliver significant, measurable results that increase staff efficiency and effectiveness. For example:</w:t>
      </w:r>
    </w:p>
    <w:p w14:paraId="1C97CF6E" w14:textId="7705BB6D" w:rsidR="00EF0E99" w:rsidRDefault="65817618" w:rsidP="00C64851">
      <w:pPr>
        <w:pStyle w:val="BodyText"/>
        <w:numPr>
          <w:ilvl w:val="0"/>
          <w:numId w:val="794"/>
        </w:numPr>
      </w:pPr>
      <w:r w:rsidRPr="090E2E58">
        <w:t>In the Civil Rights Division, an AI tool that summarizes meeting transcripts reduced task time by 88 percent (from 90 minutes to 10), allowing investigators to handle more cases.</w:t>
      </w:r>
    </w:p>
    <w:p w14:paraId="43CE7144" w14:textId="5CDAC72A" w:rsidR="00EF0E99" w:rsidRDefault="65817618" w:rsidP="00C64851">
      <w:pPr>
        <w:pStyle w:val="BodyText"/>
        <w:numPr>
          <w:ilvl w:val="0"/>
          <w:numId w:val="794"/>
        </w:numPr>
      </w:pPr>
      <w:r w:rsidRPr="090E2E58">
        <w:t>In Vocational Rehabilitation, the "SARA" virtual assistant automated over 500,000 communications and 1.5 million case notes in its first year. This freed up caseworkers to serve nearly 2,000 additional customers with disabilities.</w:t>
      </w:r>
    </w:p>
    <w:p w14:paraId="7C2CE73F" w14:textId="5123D68A" w:rsidR="00EF0E99" w:rsidRDefault="65817618" w:rsidP="00C64851">
      <w:pPr>
        <w:pStyle w:val="BodyText"/>
        <w:numPr>
          <w:ilvl w:val="0"/>
          <w:numId w:val="794"/>
        </w:numPr>
      </w:pPr>
      <w:r w:rsidRPr="090E2E58">
        <w:t>In March 2020, TWC deployed Larry the Chat Bot to assist customers with their Unemployment Insurance questions. Like a next generation FAQ page, Larry fields user-generated questions about unemployment cases. Since its introduction, Larry the Chat Bot has fielded more than 21 million questions.</w:t>
      </w:r>
    </w:p>
    <w:p w14:paraId="74DE9E68" w14:textId="10C3911E" w:rsidR="00EF0E99" w:rsidRDefault="65817618" w:rsidP="008978DC">
      <w:pPr>
        <w:pStyle w:val="BodyText"/>
        <w:rPr>
          <w:rFonts w:eastAsia="Aptos" w:cs="Aptos"/>
        </w:rPr>
      </w:pPr>
      <w:r w:rsidRPr="090E2E58">
        <w:rPr>
          <w:rFonts w:eastAsia="Aptos" w:cs="Aptos"/>
        </w:rPr>
        <w:t xml:space="preserve">Building on these proven successes, TWC aims to scale these efficiencies across the agency and leverage AI for more advanced, proactive services. </w:t>
      </w:r>
    </w:p>
    <w:p w14:paraId="5EC2130E" w14:textId="67FDEB11" w:rsidR="00EF0E99" w:rsidRDefault="65817618" w:rsidP="008978DC">
      <w:pPr>
        <w:pStyle w:val="BodyText3"/>
      </w:pPr>
      <w:r w:rsidRPr="090E2E58">
        <w:t xml:space="preserve">Responding to the Impact of AI on Texas Businesses and Workers </w:t>
      </w:r>
    </w:p>
    <w:p w14:paraId="40556E4F" w14:textId="5C4D35EE" w:rsidR="00EF0E99" w:rsidRDefault="65817618" w:rsidP="008978DC">
      <w:pPr>
        <w:pStyle w:val="BodyText"/>
        <w:rPr>
          <w:rFonts w:eastAsia="Aptos" w:cs="Aptos"/>
        </w:rPr>
      </w:pPr>
      <w:r w:rsidRPr="090E2E58">
        <w:rPr>
          <w:rFonts w:eastAsia="Aptos" w:cs="Aptos"/>
        </w:rPr>
        <w:t>TWC’s role is to ensure the Texas workforce is ready to respond to the rapidly growing demand for AI-related skills.  The impact of AI is already significant and TWC will be at the forefront of preparing our state for the economic shifts driven by AI. Texas ranks fourth nationally for AI-related job postings, with new roles and skills needs emerging constantly. To ensure our state's businesses and workers can capitalize on this transformation, TWC has an opportunity to enhance its mission in three key areas:</w:t>
      </w:r>
    </w:p>
    <w:p w14:paraId="746CCA51" w14:textId="5795F327" w:rsidR="00EF0E99" w:rsidRDefault="65817618" w:rsidP="00C64851">
      <w:pPr>
        <w:pStyle w:val="BodyText"/>
        <w:numPr>
          <w:ilvl w:val="0"/>
          <w:numId w:val="795"/>
        </w:numPr>
        <w:rPr>
          <w:rFonts w:eastAsia="Aptos" w:cs="Aptos"/>
        </w:rPr>
      </w:pPr>
      <w:r w:rsidRPr="090E2E58">
        <w:rPr>
          <w:i/>
          <w:iCs/>
        </w:rPr>
        <w:t>Serve as a Central Convener on Workforce Readiness:</w:t>
      </w:r>
      <w:r w:rsidRPr="090E2E58">
        <w:t xml:space="preserve"> TWC is uniquely positioned to bring together employers, industry groups, and educational partners. By facilitating a continuous dialogue, TWC can help identify the specific skills businesses need and ensure that training programs are aligned with real-world market demands.</w:t>
      </w:r>
    </w:p>
    <w:p w14:paraId="1438E2B3" w14:textId="3E0D96BE" w:rsidR="00EF0E99" w:rsidRDefault="65817618" w:rsidP="00C64851">
      <w:pPr>
        <w:pStyle w:val="BodyText"/>
        <w:numPr>
          <w:ilvl w:val="0"/>
          <w:numId w:val="795"/>
        </w:numPr>
        <w:rPr>
          <w:rFonts w:eastAsia="Aptos" w:cs="Aptos"/>
        </w:rPr>
      </w:pPr>
      <w:r w:rsidRPr="090E2E58">
        <w:rPr>
          <w:i/>
          <w:iCs/>
        </w:rPr>
        <w:t>Promote and Support Targeted Upskilling:</w:t>
      </w:r>
      <w:r w:rsidRPr="090E2E58">
        <w:t xml:space="preserve"> TWC must partner with the education system to champion curricula that builds a future-ready workforce. This includes emphasizing in-demand technical skills like machine learning and Python, as well as </w:t>
      </w:r>
      <w:r w:rsidRPr="090E2E58">
        <w:lastRenderedPageBreak/>
        <w:t>the critical thinking and communication abilities that become more valuable as routine tasks are automated.</w:t>
      </w:r>
    </w:p>
    <w:p w14:paraId="63CDA38B" w14:textId="6002C705" w:rsidR="00EF0E99" w:rsidRDefault="65817618" w:rsidP="00C64851">
      <w:pPr>
        <w:pStyle w:val="BodyText"/>
        <w:numPr>
          <w:ilvl w:val="0"/>
          <w:numId w:val="795"/>
        </w:numPr>
        <w:rPr>
          <w:rFonts w:eastAsia="Aptos" w:cs="Aptos"/>
        </w:rPr>
      </w:pPr>
      <w:r w:rsidRPr="090E2E58">
        <w:rPr>
          <w:i/>
          <w:iCs/>
        </w:rPr>
        <w:t>Enhance Workforce and Talent Matching:</w:t>
      </w:r>
      <w:r w:rsidRPr="090E2E58">
        <w:t xml:space="preserve"> TWC can evolve workforce matching systems to more effectively identify Texans with AI-related competencies and connect them with the thousands of employers actively seeking that talent.</w:t>
      </w:r>
    </w:p>
    <w:p w14:paraId="20C1A800" w14:textId="0D9F7012" w:rsidR="00EF0E99" w:rsidRDefault="65817618" w:rsidP="008978DC">
      <w:pPr>
        <w:pStyle w:val="BodyText"/>
        <w:rPr>
          <w:rFonts w:eastAsia="Aptos" w:cs="Aptos"/>
        </w:rPr>
      </w:pPr>
      <w:r w:rsidRPr="090E2E58">
        <w:rPr>
          <w:rFonts w:eastAsia="Aptos" w:cs="Aptos"/>
        </w:rPr>
        <w:t>By embracing this pivotal role, TWC ensures Texas remains economically competitive. This proactive stance helps Texas’ workforce meet the demands of the AI economy.</w:t>
      </w:r>
    </w:p>
    <w:p w14:paraId="57EF00FD" w14:textId="10107B32" w:rsidR="00EF0E99" w:rsidRDefault="65817618" w:rsidP="008978DC">
      <w:pPr>
        <w:pStyle w:val="BodyText3"/>
      </w:pPr>
      <w:r w:rsidRPr="090E2E58">
        <w:t>Maintaining Integrity and Preventing Fraud</w:t>
      </w:r>
    </w:p>
    <w:p w14:paraId="1569120A" w14:textId="3C936B7E" w:rsidR="00EF0E99" w:rsidRDefault="65817618" w:rsidP="008978DC">
      <w:pPr>
        <w:pStyle w:val="BodyText"/>
        <w:rPr>
          <w:rFonts w:eastAsia="Aptos" w:cs="Aptos"/>
        </w:rPr>
      </w:pPr>
      <w:r w:rsidRPr="090E2E58">
        <w:rPr>
          <w:rFonts w:eastAsia="Aptos" w:cs="Aptos"/>
        </w:rPr>
        <w:t>TWC is dedicated to maintaining the integrity of the agency’s IT systems and protecting Texans from fraud and cyber threats. While TWC has successfully prevented over 99% of fraud attempts on the Unemployment Insurance system, the agency recognizes that fraudsters are constantly evolving their tactics. Therefore, TWC continues to adapt fraud prevention strategies and invest in advanced detection tools. Simultaneously, TWC maintains a relentless focus on cybersecurity, recognizing that the security of the information maintained within state and local networks is continuously tested by sophisticated cyber-crime activity. Cybersecurity remains a top priority, demanding consistent effort and resources to develop and maintain the strongest data security available. This dedication to data security and fraud prevention is essential to maintaining public trust and ensuring the responsible stewardship of taxpayer dollars.</w:t>
      </w:r>
    </w:p>
    <w:p w14:paraId="7234BA3F" w14:textId="4177F3F7" w:rsidR="00EF0E99" w:rsidRDefault="65817618" w:rsidP="008978DC">
      <w:pPr>
        <w:pStyle w:val="BodyText3"/>
      </w:pPr>
      <w:r w:rsidRPr="090E2E58">
        <w:t>Conclusion</w:t>
      </w:r>
    </w:p>
    <w:p w14:paraId="38407E57" w14:textId="3FEF55DA" w:rsidR="00EF0E99" w:rsidRDefault="65817618" w:rsidP="008978DC">
      <w:pPr>
        <w:pStyle w:val="BodyText"/>
      </w:pPr>
      <w:r w:rsidRPr="090E2E58">
        <w:rPr>
          <w:rFonts w:eastAsia="Aptos" w:cs="Aptos"/>
        </w:rPr>
        <w:t>By focusing on these key areas, TWC can significantly improve its effectiveness in connecting Texans with careers and employers with skilled workers, even without relying solely on additional staff or funding. These improvements will require a strategic focus on data, collaboration, innovation, and accessibility.</w:t>
      </w:r>
      <w:r>
        <w:t xml:space="preserve"> </w:t>
      </w:r>
    </w:p>
    <w:p w14:paraId="5DB7EF96" w14:textId="6AD02A8B" w:rsidR="007F6EEE" w:rsidRDefault="007F6EEE" w:rsidP="0091717B">
      <w:pPr>
        <w:pStyle w:val="Heading1"/>
      </w:pPr>
      <w:bookmarkStart w:id="327" w:name="_Toc731567971"/>
      <w:bookmarkStart w:id="328" w:name="_Toc203377340"/>
      <w:bookmarkEnd w:id="325"/>
      <w:bookmarkEnd w:id="326"/>
      <w:r>
        <w:t>X.</w:t>
      </w:r>
      <w:r w:rsidR="0497036C">
        <w:t xml:space="preserve"> </w:t>
      </w:r>
      <w:r>
        <w:t>Other Contacts</w:t>
      </w:r>
      <w:bookmarkEnd w:id="327"/>
      <w:bookmarkEnd w:id="328"/>
    </w:p>
    <w:p w14:paraId="746F40CE" w14:textId="2F79C0A3" w:rsidR="007F6EEE" w:rsidRPr="00867385" w:rsidRDefault="007F6EEE" w:rsidP="00867385">
      <w:pPr>
        <w:pStyle w:val="BodyText3"/>
        <w:ind w:left="720" w:hanging="720"/>
        <w:rPr>
          <w:rStyle w:val="Strong"/>
          <w:bCs w:val="0"/>
        </w:rPr>
      </w:pPr>
      <w:bookmarkStart w:id="329" w:name="_Toc417645550"/>
      <w:bookmarkStart w:id="330" w:name="_Toc417647539"/>
      <w:r w:rsidRPr="00867385">
        <w:rPr>
          <w:rStyle w:val="Strong"/>
          <w:bCs w:val="0"/>
        </w:rPr>
        <w:t>A.</w:t>
      </w:r>
      <w:r w:rsidR="0076428A" w:rsidRPr="00867385">
        <w:rPr>
          <w:rStyle w:val="Strong"/>
          <w:bCs w:val="0"/>
        </w:rPr>
        <w:tab/>
      </w:r>
      <w:r w:rsidRPr="00867385">
        <w:rPr>
          <w:rStyle w:val="Strong"/>
          <w:bCs w:val="0"/>
        </w:rPr>
        <w:t xml:space="preserve">Fill in the following </w:t>
      </w:r>
      <w:r w:rsidR="00A64410" w:rsidRPr="00867385">
        <w:rPr>
          <w:rStyle w:val="Strong"/>
          <w:bCs w:val="0"/>
        </w:rPr>
        <w:t>tables</w:t>
      </w:r>
      <w:r w:rsidRPr="00867385">
        <w:rPr>
          <w:rStyle w:val="Strong"/>
          <w:bCs w:val="0"/>
        </w:rPr>
        <w:t xml:space="preserve"> with updated information on people with an interest in your </w:t>
      </w:r>
      <w:r w:rsidR="00F03FBA" w:rsidRPr="00867385">
        <w:rPr>
          <w:rStyle w:val="Strong"/>
          <w:bCs w:val="0"/>
        </w:rPr>
        <w:t>agency</w:t>
      </w:r>
      <w:r w:rsidR="00A64410" w:rsidRPr="00867385">
        <w:rPr>
          <w:rStyle w:val="Strong"/>
          <w:bCs w:val="0"/>
        </w:rPr>
        <w:t>. B</w:t>
      </w:r>
      <w:r w:rsidRPr="00867385">
        <w:rPr>
          <w:rStyle w:val="Strong"/>
          <w:bCs w:val="0"/>
        </w:rPr>
        <w:t>e sure to include the</w:t>
      </w:r>
      <w:r w:rsidR="00A6792D" w:rsidRPr="00867385">
        <w:rPr>
          <w:rStyle w:val="Strong"/>
          <w:bCs w:val="0"/>
        </w:rPr>
        <w:t>ir</w:t>
      </w:r>
      <w:r w:rsidRPr="00867385">
        <w:rPr>
          <w:rStyle w:val="Strong"/>
          <w:bCs w:val="0"/>
        </w:rPr>
        <w:t xml:space="preserve"> most recent email address.</w:t>
      </w:r>
      <w:bookmarkEnd w:id="329"/>
      <w:bookmarkEnd w:id="330"/>
    </w:p>
    <w:p w14:paraId="224D3F4D" w14:textId="7BC1DB44" w:rsidR="002E7B7D" w:rsidRDefault="05F394F6" w:rsidP="206B13E6">
      <w:pPr>
        <w:pStyle w:val="BodyText"/>
      </w:pPr>
      <w:r w:rsidRPr="206B13E6">
        <w:t xml:space="preserve">Attached to this report as </w:t>
      </w:r>
      <w:r>
        <w:t>Exhibit 17_Contacts</w:t>
      </w:r>
      <w:r w:rsidRPr="206B13E6">
        <w:t xml:space="preserve"> is a spreadsheet containing separate tabs for each category of interest groups. Specifically, there are dedicated tabs for Advisory Committee</w:t>
      </w:r>
      <w:r w:rsidR="009508CF">
        <w:t xml:space="preserve"> Members</w:t>
      </w:r>
      <w:r w:rsidRPr="206B13E6">
        <w:t xml:space="preserve">, Associations, Interest Groups, Federal Agency Liaisons, and State Agency Liaisons, allowing for easy access </w:t>
      </w:r>
      <w:r w:rsidR="009508CF">
        <w:t>to</w:t>
      </w:r>
      <w:r w:rsidRPr="206B13E6">
        <w:t xml:space="preserve"> contact information.</w:t>
      </w:r>
    </w:p>
    <w:p w14:paraId="48A62284" w14:textId="21CCEDCB" w:rsidR="25DA77B9" w:rsidRDefault="25DA77B9" w:rsidP="4564A031">
      <w:pPr>
        <w:pStyle w:val="BodyText"/>
      </w:pPr>
      <w:r w:rsidRPr="4564A031">
        <w:t xml:space="preserve">The </w:t>
      </w:r>
      <w:hyperlink r:id="rId278">
        <w:r w:rsidR="2A5A01D2" w:rsidRPr="4564A031">
          <w:rPr>
            <w:rStyle w:val="Hyperlink"/>
          </w:rPr>
          <w:t>Workforce Board Directory</w:t>
        </w:r>
      </w:hyperlink>
      <w:r w:rsidR="2A5A01D2" w:rsidRPr="4564A031">
        <w:t xml:space="preserve"> breaks down the Workforce Development Boards by counties served and provides </w:t>
      </w:r>
      <w:r w:rsidR="009508CF">
        <w:t xml:space="preserve">contact </w:t>
      </w:r>
      <w:r w:rsidR="2A5A01D2" w:rsidRPr="4564A031">
        <w:t xml:space="preserve">information </w:t>
      </w:r>
      <w:r w:rsidR="00DA3EF1">
        <w:t>for</w:t>
      </w:r>
      <w:r w:rsidR="2A5A01D2" w:rsidRPr="4564A031">
        <w:t xml:space="preserve"> Board </w:t>
      </w:r>
      <w:r w:rsidR="00DA3EF1">
        <w:t>D</w:t>
      </w:r>
      <w:r w:rsidR="2A5A01D2" w:rsidRPr="4564A031">
        <w:t xml:space="preserve">irectors, Chairs, Chief </w:t>
      </w:r>
      <w:r w:rsidR="00DA3EF1">
        <w:t>E</w:t>
      </w:r>
      <w:r w:rsidR="2A5A01D2" w:rsidRPr="4564A031">
        <w:t xml:space="preserve">lected </w:t>
      </w:r>
      <w:r w:rsidR="00DA3EF1">
        <w:t>O</w:t>
      </w:r>
      <w:r w:rsidR="2A5A01D2" w:rsidRPr="4564A031">
        <w:t>fficials and grant recipients.</w:t>
      </w:r>
      <w:r w:rsidR="00DA3EF1">
        <w:t xml:space="preserve">  This online directory </w:t>
      </w:r>
      <w:r w:rsidR="00877EE0">
        <w:t>represents the most up-to-date contact information for the Boards.</w:t>
      </w:r>
    </w:p>
    <w:p w14:paraId="3A5CB195" w14:textId="483BD117" w:rsidR="002E7B7D" w:rsidRDefault="002E7B7D" w:rsidP="00B85C0E">
      <w:pPr>
        <w:pStyle w:val="Heading1"/>
        <w:rPr>
          <w:rFonts w:eastAsia="Times New Roman" w:cs="Times New Roman"/>
          <w:sz w:val="22"/>
          <w:szCs w:val="22"/>
        </w:rPr>
      </w:pPr>
      <w:bookmarkStart w:id="331" w:name="_Toc1592537959"/>
      <w:bookmarkStart w:id="332" w:name="_Toc203377341"/>
      <w:r>
        <w:lastRenderedPageBreak/>
        <w:t>XI.</w:t>
      </w:r>
      <w:r w:rsidR="28C385E6">
        <w:t xml:space="preserve"> </w:t>
      </w:r>
      <w:r>
        <w:t>Additional Information</w:t>
      </w:r>
      <w:bookmarkEnd w:id="331"/>
      <w:bookmarkEnd w:id="332"/>
    </w:p>
    <w:p w14:paraId="111563AB" w14:textId="3F907690" w:rsidR="002E7B7D" w:rsidRPr="006B1FBA" w:rsidRDefault="002E7B7D" w:rsidP="0076428A">
      <w:pPr>
        <w:pStyle w:val="BodyText3"/>
        <w:ind w:left="720" w:hanging="720"/>
        <w:rPr>
          <w:rStyle w:val="Strong"/>
        </w:rPr>
      </w:pPr>
      <w:bookmarkStart w:id="333" w:name="_A._Texas_Government"/>
      <w:bookmarkStart w:id="334" w:name="_Toc417645554"/>
      <w:bookmarkEnd w:id="333"/>
      <w:r w:rsidRPr="006B1FBA">
        <w:rPr>
          <w:rStyle w:val="Strong"/>
        </w:rPr>
        <w:t>A.</w:t>
      </w:r>
      <w:r w:rsidR="0076428A">
        <w:rPr>
          <w:rStyle w:val="Strong"/>
        </w:rPr>
        <w:tab/>
      </w:r>
      <w:r w:rsidRPr="006B1FBA">
        <w:rPr>
          <w:rStyle w:val="Strong"/>
        </w:rPr>
        <w:t>Texas Government Code, Sec</w:t>
      </w:r>
      <w:r w:rsidR="00A050A6" w:rsidRPr="006B1FBA">
        <w:rPr>
          <w:rStyle w:val="Strong"/>
        </w:rPr>
        <w:t>tion</w:t>
      </w:r>
      <w:r w:rsidRPr="006B1FBA">
        <w:rPr>
          <w:rStyle w:val="Strong"/>
        </w:rPr>
        <w:t xml:space="preserve"> 325.0075 requires agencies under review to submit a report about their reporting requirements to Sunset with the same due date as the SER</w:t>
      </w:r>
      <w:r w:rsidR="00832B49">
        <w:rPr>
          <w:rStyle w:val="Strong"/>
        </w:rPr>
        <w:t xml:space="preserve">. </w:t>
      </w:r>
      <w:r w:rsidRPr="006B1FBA">
        <w:rPr>
          <w:rStyle w:val="Strong"/>
        </w:rPr>
        <w:t>Include a list of eac</w:t>
      </w:r>
      <w:r w:rsidR="00441C46" w:rsidRPr="006B1FBA">
        <w:rPr>
          <w:rStyle w:val="Strong"/>
        </w:rPr>
        <w:t xml:space="preserve">h agency-specific </w:t>
      </w:r>
      <w:r w:rsidRPr="006B1FBA">
        <w:rPr>
          <w:rStyle w:val="Strong"/>
        </w:rPr>
        <w:t>report the agency is required by statute to prepare and an evaluation of the need for each report based on whether factors or conditions have changed since the statutory requirement was</w:t>
      </w:r>
      <w:r w:rsidR="00441C46" w:rsidRPr="006B1FBA">
        <w:rPr>
          <w:rStyle w:val="Strong"/>
        </w:rPr>
        <w:t xml:space="preserve"> put</w:t>
      </w:r>
      <w:r w:rsidRPr="006B1FBA">
        <w:rPr>
          <w:rStyle w:val="Strong"/>
        </w:rPr>
        <w:t xml:space="preserve"> in plac</w:t>
      </w:r>
      <w:r w:rsidR="00441C46" w:rsidRPr="006B1FBA">
        <w:rPr>
          <w:rStyle w:val="Strong"/>
        </w:rPr>
        <w:t>e</w:t>
      </w:r>
      <w:r w:rsidR="00832B49">
        <w:rPr>
          <w:rStyle w:val="Strong"/>
        </w:rPr>
        <w:t xml:space="preserve">. </w:t>
      </w:r>
      <w:r w:rsidR="00441C46" w:rsidRPr="006B1FBA">
        <w:rPr>
          <w:rStyle w:val="Strong"/>
        </w:rPr>
        <w:t>Please do not include general reporting requirements applicable to all agencies, reports that have an expiration date, routine notifications or notices, posting requirements, federally mandated reports, or reports required by G.A.A. rider</w:t>
      </w:r>
      <w:r w:rsidR="00832B49">
        <w:rPr>
          <w:rStyle w:val="Strong"/>
        </w:rPr>
        <w:t xml:space="preserve">. </w:t>
      </w:r>
      <w:r w:rsidRPr="006B1FBA">
        <w:rPr>
          <w:rStyle w:val="Strong"/>
        </w:rPr>
        <w:t>If the list is longer than one page, please include it as an attachment</w:t>
      </w:r>
      <w:bookmarkEnd w:id="334"/>
      <w:r w:rsidR="00832B49">
        <w:rPr>
          <w:rStyle w:val="Strong"/>
        </w:rPr>
        <w:t>.</w:t>
      </w:r>
    </w:p>
    <w:p w14:paraId="078089D1" w14:textId="7C3198B2" w:rsidR="6F8EA1FA" w:rsidRDefault="6F8EA1FA" w:rsidP="206B13E6">
      <w:pPr>
        <w:pStyle w:val="BodyText"/>
        <w:rPr>
          <w:iCs/>
        </w:rPr>
      </w:pPr>
      <w:r w:rsidRPr="206B13E6">
        <w:t xml:space="preserve">See the attached Excel file </w:t>
      </w:r>
      <w:r w:rsidRPr="008978DC">
        <w:t>Exhibit 18_Required_Reports</w:t>
      </w:r>
      <w:r w:rsidRPr="206B13E6">
        <w:t xml:space="preserve"> for a list of reports that TWC is required by statute to prepare and an evaluation of the need for each report based on whether factors or conditions have changed since the statutory requirement was put in place.  </w:t>
      </w:r>
      <w:r w:rsidR="009E1B82">
        <w:t xml:space="preserve">Of the 30 reports </w:t>
      </w:r>
      <w:r w:rsidR="008E7E38">
        <w:t xml:space="preserve">listed in the exhibit, 17 are still relevant.  The remaining 13 are either no longer needed or require modification.  </w:t>
      </w:r>
      <w:r w:rsidRPr="206B13E6">
        <w:t>The 89th Legislature passed several bills with additional reporting requirements for TWC.  These new reports are not included in the attached Exhibit 18 list.</w:t>
      </w:r>
    </w:p>
    <w:p w14:paraId="5AD2635C" w14:textId="210CD9B2" w:rsidR="002E7B7D" w:rsidRPr="0011183C" w:rsidRDefault="002E7B7D" w:rsidP="0011183C">
      <w:pPr>
        <w:pStyle w:val="BodyText3"/>
        <w:ind w:left="720" w:hanging="720"/>
        <w:rPr>
          <w:rStyle w:val="Strong"/>
          <w:bCs w:val="0"/>
        </w:rPr>
      </w:pPr>
      <w:bookmarkStart w:id="335" w:name="_Toc417645555"/>
      <w:bookmarkStart w:id="336" w:name="_Toc417647544"/>
      <w:r w:rsidRPr="0011183C">
        <w:rPr>
          <w:rStyle w:val="Strong"/>
          <w:bCs w:val="0"/>
        </w:rPr>
        <w:t>B.</w:t>
      </w:r>
      <w:r w:rsidR="0076428A" w:rsidRPr="0011183C">
        <w:rPr>
          <w:rStyle w:val="Strong"/>
          <w:bCs w:val="0"/>
        </w:rPr>
        <w:tab/>
      </w:r>
      <w:r w:rsidR="00B01B8A" w:rsidRPr="0011183C">
        <w:rPr>
          <w:rStyle w:val="Strong"/>
          <w:bCs w:val="0"/>
        </w:rPr>
        <w:t xml:space="preserve">Does </w:t>
      </w:r>
      <w:r w:rsidRPr="0011183C">
        <w:rPr>
          <w:rStyle w:val="Strong"/>
          <w:bCs w:val="0"/>
        </w:rPr>
        <w:t>the agency</w:t>
      </w:r>
      <w:r w:rsidR="00F044D6" w:rsidRPr="0011183C">
        <w:rPr>
          <w:rStyle w:val="Strong"/>
          <w:bCs w:val="0"/>
        </w:rPr>
        <w:t>’</w:t>
      </w:r>
      <w:r w:rsidR="00B01B8A" w:rsidRPr="0011183C">
        <w:rPr>
          <w:rStyle w:val="Strong"/>
          <w:bCs w:val="0"/>
        </w:rPr>
        <w:t>s</w:t>
      </w:r>
      <w:r w:rsidRPr="0011183C">
        <w:rPr>
          <w:rStyle w:val="Strong"/>
          <w:bCs w:val="0"/>
        </w:rPr>
        <w:t xml:space="preserve"> </w:t>
      </w:r>
      <w:r w:rsidR="00B01B8A" w:rsidRPr="0011183C">
        <w:rPr>
          <w:rStyle w:val="Strong"/>
          <w:bCs w:val="0"/>
        </w:rPr>
        <w:t xml:space="preserve">statute </w:t>
      </w:r>
      <w:r w:rsidRPr="0011183C">
        <w:rPr>
          <w:rStyle w:val="Strong"/>
          <w:bCs w:val="0"/>
        </w:rPr>
        <w:t xml:space="preserve">use </w:t>
      </w:r>
      <w:r w:rsidR="008A4A34" w:rsidRPr="0011183C">
        <w:rPr>
          <w:rStyle w:val="Strong"/>
          <w:bCs w:val="0"/>
        </w:rPr>
        <w:t>“</w:t>
      </w:r>
      <w:r w:rsidRPr="0011183C">
        <w:rPr>
          <w:rStyle w:val="Strong"/>
          <w:bCs w:val="0"/>
        </w:rPr>
        <w:t>person</w:t>
      </w:r>
      <w:r w:rsidR="00B01B8A" w:rsidRPr="0011183C">
        <w:rPr>
          <w:rStyle w:val="Strong"/>
          <w:bCs w:val="0"/>
        </w:rPr>
        <w:t>-first</w:t>
      </w:r>
      <w:r w:rsidRPr="0011183C">
        <w:rPr>
          <w:rStyle w:val="Strong"/>
          <w:bCs w:val="0"/>
        </w:rPr>
        <w:t xml:space="preserve"> respectful language</w:t>
      </w:r>
      <w:r w:rsidR="008A4A34" w:rsidRPr="0011183C">
        <w:rPr>
          <w:rStyle w:val="Strong"/>
          <w:bCs w:val="0"/>
        </w:rPr>
        <w:t>”</w:t>
      </w:r>
      <w:r w:rsidR="00B01B8A" w:rsidRPr="0011183C">
        <w:rPr>
          <w:rStyle w:val="Strong"/>
          <w:bCs w:val="0"/>
        </w:rPr>
        <w:t xml:space="preserve"> as required by Texas Government Code, Sec</w:t>
      </w:r>
      <w:r w:rsidR="00A050A6" w:rsidRPr="0011183C">
        <w:rPr>
          <w:rStyle w:val="Strong"/>
          <w:bCs w:val="0"/>
        </w:rPr>
        <w:t>tion</w:t>
      </w:r>
      <w:r w:rsidR="00B01B8A" w:rsidRPr="0011183C">
        <w:rPr>
          <w:rStyle w:val="Strong"/>
          <w:bCs w:val="0"/>
        </w:rPr>
        <w:t xml:space="preserve"> 325.0123</w:t>
      </w:r>
      <w:r w:rsidRPr="0011183C">
        <w:rPr>
          <w:rStyle w:val="Strong"/>
          <w:bCs w:val="0"/>
        </w:rPr>
        <w:t>?</w:t>
      </w:r>
      <w:r w:rsidR="008A4A34" w:rsidRPr="0011183C">
        <w:rPr>
          <w:rStyle w:val="Strong"/>
          <w:bCs w:val="0"/>
        </w:rPr>
        <w:t xml:space="preserve"> </w:t>
      </w:r>
      <w:r w:rsidRPr="0011183C">
        <w:rPr>
          <w:rStyle w:val="Strong"/>
          <w:bCs w:val="0"/>
        </w:rPr>
        <w:t xml:space="preserve">Please explain and include any statutory provisions that </w:t>
      </w:r>
      <w:r w:rsidR="008B2F75" w:rsidRPr="0011183C">
        <w:rPr>
          <w:rStyle w:val="Strong"/>
          <w:bCs w:val="0"/>
        </w:rPr>
        <w:t xml:space="preserve">might supersede or create challenges in implementing </w:t>
      </w:r>
      <w:r w:rsidRPr="0011183C">
        <w:rPr>
          <w:rStyle w:val="Strong"/>
          <w:bCs w:val="0"/>
        </w:rPr>
        <w:t>these changes.</w:t>
      </w:r>
      <w:bookmarkEnd w:id="335"/>
      <w:bookmarkEnd w:id="336"/>
    </w:p>
    <w:p w14:paraId="79CF8112" w14:textId="5CEDA628" w:rsidR="00FB172E" w:rsidRPr="00FB172E" w:rsidRDefault="649CB4DA" w:rsidP="206B13E6">
      <w:pPr>
        <w:pStyle w:val="BodyText"/>
        <w:rPr>
          <w:iCs/>
        </w:rPr>
      </w:pPr>
      <w:r w:rsidRPr="206B13E6">
        <w:rPr>
          <w:iCs/>
        </w:rPr>
        <w:t>TWC reviewed language in relevant sections of the Texas Labor Code, Texas Human Resources Code, and Texas Education Code.  We found six instances of the term “disabled” within the Labor Code and Human Resources Code sections that relate to TWC programs.  This term is the only one of those listed in Government Code, Section 392.002 that appears in our programs’ statutory provisions.  Here are the six instances where future changes to statutory language may be considered:</w:t>
      </w:r>
    </w:p>
    <w:p w14:paraId="4B263C4B" w14:textId="66A9C16A" w:rsidR="00FB172E" w:rsidRPr="00FB172E" w:rsidRDefault="649CB4DA" w:rsidP="00E768A5">
      <w:pPr>
        <w:pStyle w:val="BodyText"/>
        <w:numPr>
          <w:ilvl w:val="0"/>
          <w:numId w:val="31"/>
        </w:numPr>
        <w:spacing w:before="120" w:after="120"/>
      </w:pPr>
      <w:r w:rsidRPr="206B13E6">
        <w:t xml:space="preserve">Labor Code, Section 21.260 related to employment </w:t>
      </w:r>
      <w:proofErr w:type="gramStart"/>
      <w:r w:rsidRPr="206B13E6">
        <w:t>discrimination;</w:t>
      </w:r>
      <w:proofErr w:type="gramEnd"/>
    </w:p>
    <w:p w14:paraId="64C98827" w14:textId="62BB7194" w:rsidR="00FB172E" w:rsidRPr="00FB172E" w:rsidRDefault="649CB4DA" w:rsidP="00E768A5">
      <w:pPr>
        <w:pStyle w:val="BodyText"/>
        <w:numPr>
          <w:ilvl w:val="0"/>
          <w:numId w:val="31"/>
        </w:numPr>
        <w:spacing w:before="120" w:after="120"/>
      </w:pPr>
      <w:r w:rsidRPr="206B13E6">
        <w:t xml:space="preserve">Labor Code, Section 207.0211 related to unemployment </w:t>
      </w:r>
      <w:proofErr w:type="gramStart"/>
      <w:r w:rsidRPr="206B13E6">
        <w:t>insurance;</w:t>
      </w:r>
      <w:proofErr w:type="gramEnd"/>
    </w:p>
    <w:p w14:paraId="2569F664" w14:textId="5BDDB877" w:rsidR="00FB172E" w:rsidRPr="00FB172E" w:rsidRDefault="649CB4DA" w:rsidP="00E768A5">
      <w:pPr>
        <w:pStyle w:val="BodyText"/>
        <w:numPr>
          <w:ilvl w:val="0"/>
          <w:numId w:val="31"/>
        </w:numPr>
        <w:spacing w:before="120" w:after="120"/>
      </w:pPr>
      <w:r w:rsidRPr="206B13E6">
        <w:t xml:space="preserve">Labor Code, Section 301.154 related to the appointment of the Civil Rights Division Director in TWC’s primary enabling </w:t>
      </w:r>
      <w:proofErr w:type="gramStart"/>
      <w:r w:rsidRPr="206B13E6">
        <w:t>chapter;</w:t>
      </w:r>
      <w:proofErr w:type="gramEnd"/>
    </w:p>
    <w:p w14:paraId="5445F32D" w14:textId="148FC3B7" w:rsidR="00FB172E" w:rsidRPr="00FB172E" w:rsidRDefault="649CB4DA" w:rsidP="00E768A5">
      <w:pPr>
        <w:pStyle w:val="BodyText"/>
        <w:numPr>
          <w:ilvl w:val="0"/>
          <w:numId w:val="31"/>
        </w:numPr>
        <w:spacing w:before="120" w:after="120"/>
      </w:pPr>
      <w:r w:rsidRPr="206B13E6">
        <w:t xml:space="preserve">Labor Code, Section 313.002 related to child </w:t>
      </w:r>
      <w:proofErr w:type="gramStart"/>
      <w:r w:rsidRPr="206B13E6">
        <w:t>care;</w:t>
      </w:r>
      <w:proofErr w:type="gramEnd"/>
    </w:p>
    <w:p w14:paraId="29BACACA" w14:textId="468EC7DE" w:rsidR="00FB172E" w:rsidRPr="00FB172E" w:rsidRDefault="649CB4DA" w:rsidP="00E768A5">
      <w:pPr>
        <w:pStyle w:val="BodyText"/>
        <w:numPr>
          <w:ilvl w:val="0"/>
          <w:numId w:val="31"/>
        </w:numPr>
        <w:spacing w:before="120" w:after="120"/>
      </w:pPr>
      <w:r w:rsidRPr="206B13E6">
        <w:t xml:space="preserve">Human Resources Code, Section 44.032 related to </w:t>
      </w:r>
      <w:proofErr w:type="gramStart"/>
      <w:r w:rsidRPr="206B13E6">
        <w:t>child care</w:t>
      </w:r>
      <w:proofErr w:type="gramEnd"/>
      <w:r w:rsidRPr="206B13E6">
        <w:t xml:space="preserve">; and </w:t>
      </w:r>
    </w:p>
    <w:p w14:paraId="543AB708" w14:textId="1158E4B0" w:rsidR="00FB172E" w:rsidRPr="00FB172E" w:rsidRDefault="649CB4DA" w:rsidP="00E768A5">
      <w:pPr>
        <w:pStyle w:val="BodyText"/>
        <w:numPr>
          <w:ilvl w:val="0"/>
          <w:numId w:val="31"/>
        </w:numPr>
        <w:spacing w:before="120" w:after="120"/>
      </w:pPr>
      <w:r w:rsidRPr="206B13E6">
        <w:t>Human Resources Code, Section 122.013 related to the Purchasing from People with Disabilities program.</w:t>
      </w:r>
    </w:p>
    <w:p w14:paraId="6B8C9C59" w14:textId="796F24E7" w:rsidR="00825951" w:rsidRPr="0011183C" w:rsidRDefault="002E7B7D" w:rsidP="0011183C">
      <w:pPr>
        <w:pStyle w:val="BodyText3"/>
        <w:ind w:left="720" w:hanging="720"/>
        <w:rPr>
          <w:rStyle w:val="Strong"/>
          <w:bCs w:val="0"/>
        </w:rPr>
      </w:pPr>
      <w:bookmarkStart w:id="337" w:name="_Toc417645556"/>
      <w:proofErr w:type="gramStart"/>
      <w:r w:rsidRPr="0011183C">
        <w:rPr>
          <w:rStyle w:val="Strong"/>
          <w:bCs w:val="0"/>
        </w:rPr>
        <w:lastRenderedPageBreak/>
        <w:t>C.</w:t>
      </w:r>
      <w:proofErr w:type="gramEnd"/>
      <w:r w:rsidR="0076428A" w:rsidRPr="0011183C">
        <w:rPr>
          <w:rStyle w:val="Strong"/>
          <w:bCs w:val="0"/>
        </w:rPr>
        <w:tab/>
      </w:r>
      <w:r w:rsidR="00825951" w:rsidRPr="0011183C">
        <w:rPr>
          <w:rStyle w:val="Strong"/>
          <w:bCs w:val="0"/>
        </w:rPr>
        <w:t xml:space="preserve">Please describe how your agency receives and investigates complaints </w:t>
      </w:r>
      <w:r w:rsidR="00D059EE" w:rsidRPr="0011183C">
        <w:rPr>
          <w:rStyle w:val="Strong"/>
          <w:bCs w:val="0"/>
        </w:rPr>
        <w:t>about the</w:t>
      </w:r>
      <w:r w:rsidR="00825951" w:rsidRPr="0011183C">
        <w:rPr>
          <w:rStyle w:val="Strong"/>
          <w:bCs w:val="0"/>
        </w:rPr>
        <w:t xml:space="preserve"> agency</w:t>
      </w:r>
      <w:r w:rsidR="00D059EE" w:rsidRPr="0011183C">
        <w:rPr>
          <w:rStyle w:val="Strong"/>
          <w:bCs w:val="0"/>
        </w:rPr>
        <w:t xml:space="preserve"> and its operations</w:t>
      </w:r>
      <w:r w:rsidR="00825951" w:rsidRPr="0011183C">
        <w:rPr>
          <w:rStyle w:val="Strong"/>
          <w:bCs w:val="0"/>
        </w:rPr>
        <w:t>.</w:t>
      </w:r>
    </w:p>
    <w:p w14:paraId="563C33D5" w14:textId="72AC3707" w:rsidR="00A039BB" w:rsidRDefault="217D8681" w:rsidP="206B13E6">
      <w:pPr>
        <w:pStyle w:val="BodyText"/>
        <w:rPr>
          <w:color w:val="000000" w:themeColor="text1"/>
        </w:rPr>
      </w:pPr>
      <w:r w:rsidRPr="638D6F3A">
        <w:rPr>
          <w:color w:val="000000" w:themeColor="text1"/>
        </w:rPr>
        <w:t xml:space="preserve">TWC receives complaints through multiple channels to ensure </w:t>
      </w:r>
      <w:r w:rsidR="004917A0">
        <w:rPr>
          <w:color w:val="000000" w:themeColor="text1"/>
        </w:rPr>
        <w:t>all</w:t>
      </w:r>
      <w:r w:rsidRPr="638D6F3A">
        <w:rPr>
          <w:color w:val="000000" w:themeColor="text1"/>
        </w:rPr>
        <w:t xml:space="preserve"> complaints or concerns are addressed in a timely manner. Complaints can be received directly from the customer and submitted by phone, in person, or in writing through email or traditional mail. Customers can also make complaints through the individual department handling their issue, to executive staff, the Commission Offices, or through the Governmental Relations Department.</w:t>
      </w:r>
    </w:p>
    <w:p w14:paraId="022D50D2" w14:textId="46AF1978" w:rsidR="00A039BB" w:rsidRDefault="217D8681" w:rsidP="206B13E6">
      <w:pPr>
        <w:pStyle w:val="BodyText"/>
        <w:rPr>
          <w:iCs/>
          <w:color w:val="000000" w:themeColor="text1"/>
        </w:rPr>
      </w:pPr>
      <w:r w:rsidRPr="206B13E6">
        <w:rPr>
          <w:iCs/>
          <w:color w:val="000000" w:themeColor="text1"/>
        </w:rPr>
        <w:t>To effectively manage and address complaints, TWC developed a structured process for investigation and resolution. Each TWC Division Director appoints a Customer Service Liaison, whose responsibility is to oversee the complaint handling process within their division. The liaison plays a central role in ensuring that complaints are properly logged, reviewed, investigated, and resolved.</w:t>
      </w:r>
    </w:p>
    <w:p w14:paraId="42F55BCD" w14:textId="2A8EDCE0" w:rsidR="00A039BB" w:rsidRDefault="217D8681" w:rsidP="206B13E6">
      <w:pPr>
        <w:pStyle w:val="BodyText"/>
        <w:rPr>
          <w:iCs/>
          <w:color w:val="000000" w:themeColor="text1"/>
        </w:rPr>
      </w:pPr>
      <w:r w:rsidRPr="206B13E6">
        <w:rPr>
          <w:iCs/>
          <w:color w:val="000000" w:themeColor="text1"/>
        </w:rPr>
        <w:t>Once a complaint is received, it is acknowledged within five business days for written complaints. Oral complaints, such as those made by phone or in person, are acknowledged within one business day. After acknowledgment, the liaison forwards the complaint to the appropriate investigative resources within the department for further action.</w:t>
      </w:r>
    </w:p>
    <w:p w14:paraId="3C705E98" w14:textId="0BBBE65C" w:rsidR="00A039BB" w:rsidRDefault="217D8681" w:rsidP="206B13E6">
      <w:pPr>
        <w:pStyle w:val="BodyText"/>
        <w:rPr>
          <w:iCs/>
          <w:color w:val="000000" w:themeColor="text1"/>
        </w:rPr>
      </w:pPr>
      <w:r w:rsidRPr="206B13E6">
        <w:rPr>
          <w:iCs/>
          <w:color w:val="000000" w:themeColor="text1"/>
        </w:rPr>
        <w:t>Each division is responsible for investigating and resolving complaints related to its service delivery. The liaison, in coordination with investigative staff, reviews the complaint to ensure it contains enough information to assess its validity. Next, staff evaluate the complaint's validity using the criteria outlined in the Complaint Handling &amp; Resolution Policies &amp; Procedures document.</w:t>
      </w:r>
    </w:p>
    <w:p w14:paraId="0A271DCA" w14:textId="460FA2AD" w:rsidR="00C02C25" w:rsidRDefault="217D8681" w:rsidP="206B13E6">
      <w:pPr>
        <w:pStyle w:val="BodyText"/>
        <w:rPr>
          <w:iCs/>
          <w:color w:val="000000" w:themeColor="text1"/>
        </w:rPr>
      </w:pPr>
      <w:r w:rsidRPr="206B13E6">
        <w:rPr>
          <w:iCs/>
          <w:color w:val="000000" w:themeColor="text1"/>
        </w:rPr>
        <w:t>All complaints received are addressed and investigated. Once a complaint is reviewed, appropriate steps are taken to resolve the issue and prevent future occurrences, regardless of whether the complaint is ultimately deemed valid or not. The resolution and closure of the complaint are thoroughly documented by the program area and reported to the Customer Relations Department each month. Additionally, both the complainant and any individuals involved are notified about the status of the investigation. All complaints that are not resolved in a timely manner will receive regular status updates. Updates will be provided as soon as practicable or at least once every month. These updates will continue until the complaint is fully resolved.</w:t>
      </w:r>
    </w:p>
    <w:p w14:paraId="60E09E4A" w14:textId="77777777" w:rsidR="00C02C25" w:rsidRDefault="00C02C25">
      <w:pPr>
        <w:rPr>
          <w:rFonts w:ascii="Arial" w:eastAsiaTheme="minorEastAsia" w:hAnsi="Arial"/>
          <w:iCs/>
          <w:color w:val="000000" w:themeColor="text1"/>
          <w:szCs w:val="22"/>
        </w:rPr>
      </w:pPr>
      <w:r>
        <w:rPr>
          <w:iCs/>
          <w:color w:val="000000" w:themeColor="text1"/>
        </w:rPr>
        <w:br w:type="page"/>
      </w:r>
    </w:p>
    <w:p w14:paraId="451ABEFF" w14:textId="7FD6B92E" w:rsidR="00FD1FF8" w:rsidRDefault="007D0496" w:rsidP="003A7DC4">
      <w:pPr>
        <w:pStyle w:val="BodyText3"/>
        <w:jc w:val="center"/>
      </w:pPr>
      <w:bookmarkStart w:id="338" w:name="_Toc202856338"/>
      <w:bookmarkStart w:id="339" w:name="_Toc202857167"/>
      <w:bookmarkStart w:id="340" w:name="_Toc202860947"/>
      <w:bookmarkStart w:id="341" w:name="_Toc202861122"/>
      <w:bookmarkStart w:id="342" w:name="_Toc259293357"/>
      <w:bookmarkStart w:id="343" w:name="_Toc1349252213"/>
      <w:bookmarkStart w:id="344" w:name="_Toc417647547"/>
      <w:bookmarkEnd w:id="337"/>
      <w:r>
        <w:lastRenderedPageBreak/>
        <w:t>Texas Workforce Commission</w:t>
      </w:r>
      <w:bookmarkEnd w:id="338"/>
      <w:bookmarkEnd w:id="339"/>
      <w:bookmarkEnd w:id="340"/>
      <w:bookmarkEnd w:id="341"/>
      <w:bookmarkEnd w:id="342"/>
      <w:bookmarkEnd w:id="343"/>
      <w:r w:rsidR="0074704F">
        <w:br/>
      </w:r>
      <w:bookmarkStart w:id="345" w:name="_Toc202856339"/>
      <w:bookmarkStart w:id="346" w:name="_Toc202857168"/>
      <w:bookmarkStart w:id="347" w:name="_Toc202860948"/>
      <w:bookmarkStart w:id="348" w:name="_Toc202861123"/>
      <w:bookmarkStart w:id="349" w:name="_Toc1763324923"/>
      <w:bookmarkStart w:id="350" w:name="_Toc852948242"/>
      <w:r w:rsidR="00FD1FF8">
        <w:t>Exhibit 1</w:t>
      </w:r>
      <w:r w:rsidR="00935EF5">
        <w:t>9</w:t>
      </w:r>
      <w:r w:rsidR="00FD1FF8">
        <w:t>:</w:t>
      </w:r>
      <w:r w:rsidR="008A4A34">
        <w:t xml:space="preserve"> </w:t>
      </w:r>
      <w:r w:rsidR="00FD1FF8">
        <w:t xml:space="preserve">Complaints Against the Agency </w:t>
      </w:r>
      <w:r w:rsidR="00FD1FF8">
        <w:rPr>
          <w:rFonts w:cs="Calibri"/>
        </w:rPr>
        <w:t>—</w:t>
      </w:r>
      <w:r w:rsidR="00FD1FF8">
        <w:t xml:space="preserve"> Fiscal Years 20</w:t>
      </w:r>
      <w:r w:rsidR="00D7780A">
        <w:t>20</w:t>
      </w:r>
      <w:r w:rsidR="0086442D">
        <w:t>-</w:t>
      </w:r>
      <w:r w:rsidR="00EB7D7B">
        <w:t>2</w:t>
      </w:r>
      <w:r w:rsidR="00D7780A">
        <w:t>4</w:t>
      </w:r>
      <w:bookmarkEnd w:id="344"/>
      <w:bookmarkEnd w:id="345"/>
      <w:bookmarkEnd w:id="346"/>
      <w:bookmarkEnd w:id="347"/>
      <w:bookmarkEnd w:id="348"/>
      <w:bookmarkEnd w:id="349"/>
      <w:bookmarkEnd w:id="350"/>
    </w:p>
    <w:p w14:paraId="2EDA0865" w14:textId="4D21C8FB" w:rsidR="206B13E6" w:rsidRDefault="2E76CF10" w:rsidP="6114F053">
      <w:pPr>
        <w:pStyle w:val="Caption"/>
        <w:rPr>
          <w:sz w:val="22"/>
          <w:szCs w:val="22"/>
        </w:rPr>
      </w:pPr>
      <w:r w:rsidRPr="206B13E6">
        <w:rPr>
          <w:sz w:val="22"/>
          <w:szCs w:val="22"/>
        </w:rPr>
        <w:t>*Note – The quarterly complaint report was put on hold during the pandemic.</w:t>
      </w:r>
    </w:p>
    <w:tbl>
      <w:tblPr>
        <w:tblW w:w="9288" w:type="dxa"/>
        <w:tblBorders>
          <w:top w:val="single" w:sz="6" w:space="0" w:color="auto"/>
          <w:left w:val="single" w:sz="6" w:space="0" w:color="auto"/>
          <w:bottom w:val="single" w:sz="6" w:space="0" w:color="auto"/>
          <w:right w:val="single" w:sz="6" w:space="0" w:color="auto"/>
        </w:tblBorders>
        <w:tblLayout w:type="fixed"/>
        <w:tblCellMar>
          <w:top w:w="58" w:type="dxa"/>
          <w:left w:w="72" w:type="dxa"/>
          <w:bottom w:w="58" w:type="dxa"/>
          <w:right w:w="72" w:type="dxa"/>
        </w:tblCellMar>
        <w:tblLook w:val="04A0" w:firstRow="1" w:lastRow="0" w:firstColumn="1" w:lastColumn="0" w:noHBand="0" w:noVBand="1"/>
      </w:tblPr>
      <w:tblGrid>
        <w:gridCol w:w="3548"/>
        <w:gridCol w:w="1148"/>
        <w:gridCol w:w="1148"/>
        <w:gridCol w:w="1148"/>
        <w:gridCol w:w="1148"/>
        <w:gridCol w:w="1148"/>
      </w:tblGrid>
      <w:tr w:rsidR="206B13E6" w14:paraId="34A87EA0" w14:textId="77777777" w:rsidTr="000C63A2">
        <w:trPr>
          <w:trHeight w:val="390"/>
          <w:tblHeader/>
        </w:trPr>
        <w:tc>
          <w:tcPr>
            <w:tcW w:w="3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3B69824E" w14:textId="5158559C" w:rsidR="206B13E6" w:rsidRDefault="206B13E6" w:rsidP="00463880">
            <w:pPr>
              <w:jc w:val="center"/>
              <w:rPr>
                <w:rFonts w:ascii="Calibri" w:eastAsia="Calibri" w:hAnsi="Calibri" w:cs="Calibri"/>
                <w:color w:val="000000" w:themeColor="text1"/>
                <w:sz w:val="18"/>
                <w:szCs w:val="18"/>
              </w:rPr>
            </w:pP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4E1EE741" w14:textId="44D9264D" w:rsidR="206B13E6" w:rsidRDefault="206B13E6" w:rsidP="00463880">
            <w:pPr>
              <w:pStyle w:val="TableHeaders"/>
              <w:rPr>
                <w:rFonts w:ascii="Calibri" w:eastAsia="Calibri" w:hAnsi="Calibri" w:cs="Calibri"/>
                <w:b w:val="0"/>
                <w:color w:val="000000" w:themeColor="text1"/>
                <w:szCs w:val="18"/>
              </w:rPr>
            </w:pPr>
            <w:r w:rsidRPr="206B13E6">
              <w:t>Fiscal Year 2020</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17B22914" w14:textId="599F2FA3" w:rsidR="206B13E6" w:rsidRDefault="206B13E6" w:rsidP="00463880">
            <w:pPr>
              <w:pStyle w:val="TableHeaders"/>
              <w:rPr>
                <w:rFonts w:ascii="Calibri" w:eastAsia="Calibri" w:hAnsi="Calibri" w:cs="Calibri"/>
                <w:b w:val="0"/>
                <w:color w:val="000000" w:themeColor="text1"/>
                <w:szCs w:val="18"/>
              </w:rPr>
            </w:pPr>
            <w:r w:rsidRPr="206B13E6">
              <w:t>Fiscal Year 2021</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7A1BA70B" w14:textId="4AF36DFC" w:rsidR="206B13E6" w:rsidRDefault="206B13E6" w:rsidP="00463880">
            <w:pPr>
              <w:pStyle w:val="TableHeaders"/>
              <w:rPr>
                <w:rFonts w:ascii="Calibri" w:eastAsia="Calibri" w:hAnsi="Calibri" w:cs="Calibri"/>
                <w:b w:val="0"/>
                <w:color w:val="000000" w:themeColor="text1"/>
                <w:szCs w:val="18"/>
              </w:rPr>
            </w:pPr>
            <w:r w:rsidRPr="206B13E6">
              <w:t>Fiscal Year 2022</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39E048AE" w14:textId="77CF3A5B" w:rsidR="206B13E6" w:rsidRDefault="206B13E6" w:rsidP="00463880">
            <w:pPr>
              <w:pStyle w:val="TableHeaders"/>
              <w:rPr>
                <w:rFonts w:ascii="Calibri" w:eastAsia="Calibri" w:hAnsi="Calibri" w:cs="Calibri"/>
                <w:b w:val="0"/>
                <w:color w:val="000000" w:themeColor="text1"/>
                <w:szCs w:val="18"/>
              </w:rPr>
            </w:pPr>
            <w:r w:rsidRPr="206B13E6">
              <w:t>Fiscal Year 2023</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8F8"/>
            <w:tcMar>
              <w:left w:w="105" w:type="dxa"/>
              <w:right w:w="105" w:type="dxa"/>
            </w:tcMar>
            <w:vAlign w:val="center"/>
          </w:tcPr>
          <w:p w14:paraId="696AB46B" w14:textId="63FE9EC8" w:rsidR="206B13E6" w:rsidRDefault="206B13E6" w:rsidP="00463880">
            <w:pPr>
              <w:pStyle w:val="TableHeaders"/>
              <w:rPr>
                <w:rFonts w:ascii="Calibri" w:eastAsia="Calibri" w:hAnsi="Calibri" w:cs="Calibri"/>
                <w:b w:val="0"/>
                <w:color w:val="000000" w:themeColor="text1"/>
                <w:szCs w:val="18"/>
              </w:rPr>
            </w:pPr>
            <w:r w:rsidRPr="206B13E6">
              <w:t>Fiscal Year 2024</w:t>
            </w:r>
          </w:p>
        </w:tc>
      </w:tr>
      <w:tr w:rsidR="206B13E6" w14:paraId="3B7DD6AF" w14:textId="77777777" w:rsidTr="000C63A2">
        <w:trPr>
          <w:trHeight w:val="390"/>
          <w:tblHeader/>
        </w:trPr>
        <w:tc>
          <w:tcPr>
            <w:tcW w:w="3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CA68BC" w14:textId="3A1E43E3" w:rsidR="206B13E6" w:rsidRDefault="206B13E6" w:rsidP="00A522CE">
            <w:pPr>
              <w:pStyle w:val="TableText"/>
              <w:rPr>
                <w:rFonts w:ascii="Calibri" w:eastAsia="Calibri" w:hAnsi="Calibri" w:cs="Calibri"/>
                <w:color w:val="000000" w:themeColor="text1"/>
                <w:szCs w:val="18"/>
              </w:rPr>
            </w:pPr>
            <w:r w:rsidRPr="206B13E6">
              <w:t>Number of complaints received</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69EEF4" w14:textId="30D906EE" w:rsidR="206B13E6" w:rsidRDefault="206B13E6" w:rsidP="00C87B05">
            <w:pPr>
              <w:pStyle w:val="TableText"/>
              <w:jc w:val="right"/>
              <w:rPr>
                <w:rFonts w:ascii="Calibri" w:eastAsia="Calibri" w:hAnsi="Calibri" w:cs="Calibri"/>
                <w:color w:val="000000" w:themeColor="text1"/>
                <w:szCs w:val="18"/>
              </w:rPr>
            </w:pPr>
            <w:r w:rsidRPr="206B13E6">
              <w:t>1406</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339F91" w14:textId="42B99DA1" w:rsidR="206B13E6" w:rsidRDefault="206B13E6" w:rsidP="00C87B05">
            <w:pPr>
              <w:pStyle w:val="TableText"/>
              <w:jc w:val="right"/>
              <w:rPr>
                <w:rFonts w:ascii="Calibri" w:eastAsia="Calibri" w:hAnsi="Calibri" w:cs="Calibri"/>
                <w:color w:val="000000" w:themeColor="text1"/>
                <w:szCs w:val="18"/>
              </w:rPr>
            </w:pPr>
            <w:r w:rsidRPr="206B13E6">
              <w:t>n/a </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980BBD" w14:textId="3B3E6411" w:rsidR="206B13E6" w:rsidRDefault="206B13E6" w:rsidP="00C87B05">
            <w:pPr>
              <w:pStyle w:val="TableText"/>
              <w:jc w:val="right"/>
              <w:rPr>
                <w:rFonts w:ascii="Calibri" w:eastAsia="Calibri" w:hAnsi="Calibri" w:cs="Calibri"/>
                <w:color w:val="000000" w:themeColor="text1"/>
                <w:szCs w:val="18"/>
              </w:rPr>
            </w:pPr>
            <w:r w:rsidRPr="206B13E6">
              <w:t>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D85D7" w14:textId="7CE0E8D8" w:rsidR="206B13E6" w:rsidRDefault="206B13E6" w:rsidP="00C87B05">
            <w:pPr>
              <w:pStyle w:val="TableText"/>
              <w:jc w:val="right"/>
              <w:rPr>
                <w:rFonts w:ascii="Calibri" w:eastAsia="Calibri" w:hAnsi="Calibri" w:cs="Calibri"/>
                <w:color w:val="000000" w:themeColor="text1"/>
                <w:szCs w:val="18"/>
              </w:rPr>
            </w:pPr>
            <w:r w:rsidRPr="206B13E6">
              <w:t>1517</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C2AA2" w14:textId="2243E78D" w:rsidR="206B13E6" w:rsidRDefault="206B13E6" w:rsidP="00C87B05">
            <w:pPr>
              <w:pStyle w:val="TableText"/>
              <w:jc w:val="right"/>
              <w:rPr>
                <w:rFonts w:ascii="Calibri" w:eastAsia="Calibri" w:hAnsi="Calibri" w:cs="Calibri"/>
                <w:color w:val="000000" w:themeColor="text1"/>
                <w:szCs w:val="18"/>
              </w:rPr>
            </w:pPr>
            <w:r w:rsidRPr="206B13E6">
              <w:t>2554</w:t>
            </w:r>
          </w:p>
        </w:tc>
      </w:tr>
      <w:tr w:rsidR="206B13E6" w14:paraId="59D36CAC" w14:textId="77777777" w:rsidTr="000C63A2">
        <w:trPr>
          <w:trHeight w:val="390"/>
          <w:tblHeader/>
        </w:trPr>
        <w:tc>
          <w:tcPr>
            <w:tcW w:w="3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DCB757" w14:textId="361F1E27" w:rsidR="206B13E6" w:rsidRDefault="206B13E6" w:rsidP="00A522CE">
            <w:pPr>
              <w:pStyle w:val="TableText"/>
              <w:rPr>
                <w:rFonts w:ascii="Calibri" w:eastAsia="Calibri" w:hAnsi="Calibri" w:cs="Calibri"/>
                <w:color w:val="000000" w:themeColor="text1"/>
                <w:szCs w:val="18"/>
              </w:rPr>
            </w:pPr>
            <w:r w:rsidRPr="206B13E6">
              <w:t>Number of complaints resolve </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9E70BC" w14:textId="59B63192" w:rsidR="206B13E6" w:rsidRDefault="206B13E6" w:rsidP="00C87B05">
            <w:pPr>
              <w:pStyle w:val="TableText"/>
              <w:jc w:val="right"/>
              <w:rPr>
                <w:rFonts w:ascii="Calibri" w:eastAsia="Calibri" w:hAnsi="Calibri" w:cs="Calibri"/>
                <w:color w:val="000000" w:themeColor="text1"/>
                <w:szCs w:val="18"/>
              </w:rPr>
            </w:pPr>
            <w:r w:rsidRPr="206B13E6">
              <w:t>1406</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B33589" w14:textId="77AE220A" w:rsidR="206B13E6" w:rsidRDefault="206B13E6" w:rsidP="00C87B05">
            <w:pPr>
              <w:pStyle w:val="TableText"/>
              <w:jc w:val="right"/>
              <w:rPr>
                <w:rFonts w:ascii="Calibri" w:eastAsia="Calibri" w:hAnsi="Calibri" w:cs="Calibri"/>
                <w:color w:val="000000" w:themeColor="text1"/>
                <w:szCs w:val="18"/>
              </w:rPr>
            </w:pPr>
            <w:r w:rsidRPr="206B13E6">
              <w:t>n/a </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9E9711" w14:textId="5310F556"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1E99D7" w14:textId="77AC8541" w:rsidR="206B13E6" w:rsidRDefault="206B13E6" w:rsidP="00C87B05">
            <w:pPr>
              <w:pStyle w:val="TableText"/>
              <w:jc w:val="right"/>
              <w:rPr>
                <w:rFonts w:ascii="Calibri" w:eastAsia="Calibri" w:hAnsi="Calibri" w:cs="Calibri"/>
                <w:color w:val="000000" w:themeColor="text1"/>
                <w:szCs w:val="18"/>
              </w:rPr>
            </w:pPr>
            <w:r w:rsidRPr="206B13E6">
              <w:t>1517</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667CCC" w14:textId="4948DF53" w:rsidR="206B13E6" w:rsidRDefault="206B13E6" w:rsidP="00C87B05">
            <w:pPr>
              <w:pStyle w:val="TableText"/>
              <w:jc w:val="right"/>
              <w:rPr>
                <w:rFonts w:ascii="Calibri" w:eastAsia="Calibri" w:hAnsi="Calibri" w:cs="Calibri"/>
                <w:color w:val="000000" w:themeColor="text1"/>
                <w:szCs w:val="18"/>
              </w:rPr>
            </w:pPr>
            <w:r w:rsidRPr="206B13E6">
              <w:t>2554</w:t>
            </w:r>
          </w:p>
        </w:tc>
      </w:tr>
      <w:tr w:rsidR="206B13E6" w14:paraId="626E0801" w14:textId="77777777" w:rsidTr="000C63A2">
        <w:trPr>
          <w:trHeight w:val="390"/>
          <w:tblHeader/>
        </w:trPr>
        <w:tc>
          <w:tcPr>
            <w:tcW w:w="3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A93751" w14:textId="62D48AF8" w:rsidR="206B13E6" w:rsidRDefault="206B13E6" w:rsidP="00A522CE">
            <w:pPr>
              <w:pStyle w:val="TableText"/>
              <w:rPr>
                <w:rFonts w:ascii="Calibri" w:eastAsia="Calibri" w:hAnsi="Calibri" w:cs="Calibri"/>
                <w:color w:val="000000" w:themeColor="text1"/>
                <w:szCs w:val="18"/>
              </w:rPr>
            </w:pPr>
            <w:r w:rsidRPr="206B13E6">
              <w:t>Number of complaints dropped / found to be without merit</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6F91B2" w14:textId="18FBAA33" w:rsidR="206B13E6" w:rsidRDefault="206B13E6" w:rsidP="00C87B05">
            <w:pPr>
              <w:pStyle w:val="TableText"/>
              <w:jc w:val="right"/>
              <w:rPr>
                <w:rFonts w:ascii="Calibri" w:eastAsia="Calibri" w:hAnsi="Calibri" w:cs="Calibri"/>
                <w:color w:val="000000" w:themeColor="text1"/>
                <w:szCs w:val="18"/>
              </w:rPr>
            </w:pPr>
            <w:r w:rsidRPr="206B13E6">
              <w:t>665</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02EB38" w14:textId="21E482D4"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18A9EB" w14:textId="69F1C215"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A4D455" w14:textId="71D23DA5" w:rsidR="206B13E6" w:rsidRDefault="206B13E6" w:rsidP="00C87B05">
            <w:pPr>
              <w:pStyle w:val="TableText"/>
              <w:jc w:val="right"/>
              <w:rPr>
                <w:rFonts w:ascii="Calibri" w:eastAsia="Calibri" w:hAnsi="Calibri" w:cs="Calibri"/>
                <w:color w:val="000000" w:themeColor="text1"/>
                <w:szCs w:val="18"/>
              </w:rPr>
            </w:pPr>
            <w:r w:rsidRPr="206B13E6">
              <w:t>659</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C23774" w14:textId="494A3970" w:rsidR="206B13E6" w:rsidRDefault="206B13E6" w:rsidP="00C87B05">
            <w:pPr>
              <w:pStyle w:val="TableText"/>
              <w:jc w:val="right"/>
              <w:rPr>
                <w:rFonts w:ascii="Calibri" w:eastAsia="Calibri" w:hAnsi="Calibri" w:cs="Calibri"/>
                <w:color w:val="000000" w:themeColor="text1"/>
                <w:szCs w:val="18"/>
              </w:rPr>
            </w:pPr>
            <w:r w:rsidRPr="206B13E6">
              <w:t>1239</w:t>
            </w:r>
          </w:p>
        </w:tc>
      </w:tr>
      <w:tr w:rsidR="206B13E6" w14:paraId="66B462BA" w14:textId="77777777" w:rsidTr="000C63A2">
        <w:trPr>
          <w:trHeight w:val="390"/>
          <w:tblHeader/>
        </w:trPr>
        <w:tc>
          <w:tcPr>
            <w:tcW w:w="3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874487" w14:textId="0EE42CE8" w:rsidR="206B13E6" w:rsidRDefault="206B13E6" w:rsidP="00A522CE">
            <w:pPr>
              <w:pStyle w:val="TableText"/>
              <w:rPr>
                <w:rFonts w:ascii="Calibri" w:eastAsia="Calibri" w:hAnsi="Calibri" w:cs="Calibri"/>
                <w:color w:val="000000" w:themeColor="text1"/>
                <w:szCs w:val="18"/>
              </w:rPr>
            </w:pPr>
            <w:r w:rsidRPr="206B13E6">
              <w:t>Number of complaints pending from prior years</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FB7141" w14:textId="47F6AA52" w:rsidR="206B13E6" w:rsidRDefault="206B13E6" w:rsidP="00C87B05">
            <w:pPr>
              <w:pStyle w:val="TableText"/>
              <w:jc w:val="right"/>
              <w:rPr>
                <w:rFonts w:ascii="Calibri" w:eastAsia="Calibri" w:hAnsi="Calibri" w:cs="Calibri"/>
                <w:color w:val="000000" w:themeColor="text1"/>
                <w:szCs w:val="18"/>
              </w:rPr>
            </w:pPr>
            <w:r w:rsidRPr="206B13E6">
              <w:t>0</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7A9C74" w14:textId="736A8258"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162E48" w14:textId="34373844"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60CFF7" w14:textId="3EF99115" w:rsidR="206B13E6" w:rsidRDefault="206B13E6" w:rsidP="00C87B05">
            <w:pPr>
              <w:pStyle w:val="TableText"/>
              <w:jc w:val="right"/>
              <w:rPr>
                <w:rFonts w:ascii="Calibri" w:eastAsia="Calibri" w:hAnsi="Calibri" w:cs="Calibri"/>
                <w:color w:val="000000" w:themeColor="text1"/>
                <w:szCs w:val="18"/>
              </w:rPr>
            </w:pPr>
            <w:r w:rsidRPr="206B13E6">
              <w:t>0</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A5CBF5" w14:textId="7AA1C0D9" w:rsidR="206B13E6" w:rsidRDefault="206B13E6" w:rsidP="00C87B05">
            <w:pPr>
              <w:pStyle w:val="TableText"/>
              <w:jc w:val="right"/>
              <w:rPr>
                <w:rFonts w:ascii="Calibri" w:eastAsia="Calibri" w:hAnsi="Calibri" w:cs="Calibri"/>
                <w:color w:val="000000" w:themeColor="text1"/>
                <w:szCs w:val="18"/>
              </w:rPr>
            </w:pPr>
            <w:r w:rsidRPr="206B13E6">
              <w:t>0</w:t>
            </w:r>
          </w:p>
        </w:tc>
      </w:tr>
      <w:tr w:rsidR="206B13E6" w14:paraId="60488FC9" w14:textId="77777777" w:rsidTr="000C63A2">
        <w:trPr>
          <w:trHeight w:val="360"/>
          <w:tblHeader/>
        </w:trPr>
        <w:tc>
          <w:tcPr>
            <w:tcW w:w="3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276EFB" w14:textId="629B6778" w:rsidR="206B13E6" w:rsidRDefault="206B13E6" w:rsidP="00A522CE">
            <w:pPr>
              <w:pStyle w:val="TableText"/>
              <w:rPr>
                <w:rFonts w:ascii="Calibri" w:eastAsia="Calibri" w:hAnsi="Calibri" w:cs="Calibri"/>
                <w:color w:val="000000" w:themeColor="text1"/>
                <w:szCs w:val="18"/>
              </w:rPr>
            </w:pPr>
            <w:r w:rsidRPr="206B13E6">
              <w:t xml:space="preserve">Average </w:t>
            </w:r>
            <w:proofErr w:type="gramStart"/>
            <w:r w:rsidRPr="206B13E6">
              <w:t>time period</w:t>
            </w:r>
            <w:proofErr w:type="gramEnd"/>
            <w:r w:rsidRPr="206B13E6">
              <w:t xml:space="preserve"> for resolution of a complaint (days</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EF5DE9" w14:textId="5D558C1D" w:rsidR="206B13E6" w:rsidRDefault="206B13E6" w:rsidP="00C87B05">
            <w:pPr>
              <w:pStyle w:val="TableText"/>
              <w:jc w:val="right"/>
              <w:rPr>
                <w:rFonts w:ascii="Calibri" w:eastAsia="Calibri" w:hAnsi="Calibri" w:cs="Calibri"/>
                <w:color w:val="000000" w:themeColor="text1"/>
                <w:szCs w:val="18"/>
              </w:rPr>
            </w:pPr>
            <w:r w:rsidRPr="206B13E6">
              <w:t>2</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EF79AD" w14:textId="1141A301"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C5488B" w14:textId="1C8ADC51" w:rsidR="206B13E6" w:rsidRDefault="206B13E6" w:rsidP="00C87B05">
            <w:pPr>
              <w:pStyle w:val="TableText"/>
              <w:jc w:val="right"/>
              <w:rPr>
                <w:rFonts w:ascii="Calibri" w:eastAsia="Calibri" w:hAnsi="Calibri" w:cs="Calibri"/>
                <w:color w:val="000000" w:themeColor="text1"/>
                <w:szCs w:val="18"/>
              </w:rPr>
            </w:pPr>
            <w:r w:rsidRPr="206B13E6">
              <w:t> n/a</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3D0FCF" w14:textId="61A5C25F" w:rsidR="206B13E6" w:rsidRDefault="206B13E6" w:rsidP="00C87B05">
            <w:pPr>
              <w:pStyle w:val="TableText"/>
              <w:jc w:val="right"/>
              <w:rPr>
                <w:rFonts w:ascii="Calibri" w:eastAsia="Calibri" w:hAnsi="Calibri" w:cs="Calibri"/>
                <w:color w:val="000000" w:themeColor="text1"/>
                <w:szCs w:val="18"/>
              </w:rPr>
            </w:pPr>
            <w:r w:rsidRPr="206B13E6">
              <w:t>2</w:t>
            </w:r>
          </w:p>
        </w:tc>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94C5A8" w14:textId="238215DE" w:rsidR="206B13E6" w:rsidRDefault="206B13E6" w:rsidP="00C87B05">
            <w:pPr>
              <w:pStyle w:val="TableText"/>
              <w:jc w:val="right"/>
              <w:rPr>
                <w:rFonts w:ascii="Calibri" w:eastAsia="Calibri" w:hAnsi="Calibri" w:cs="Calibri"/>
                <w:color w:val="000000" w:themeColor="text1"/>
                <w:szCs w:val="18"/>
              </w:rPr>
            </w:pPr>
            <w:r w:rsidRPr="206B13E6">
              <w:t>2</w:t>
            </w:r>
          </w:p>
        </w:tc>
      </w:tr>
    </w:tbl>
    <w:p w14:paraId="48135FC6" w14:textId="5DDD585C" w:rsidR="0003579F" w:rsidRPr="00261FD4" w:rsidRDefault="00DC4A02" w:rsidP="0076428A">
      <w:pPr>
        <w:pStyle w:val="BodyText"/>
        <w:ind w:left="720" w:hanging="720"/>
        <w:rPr>
          <w:rStyle w:val="Strong"/>
          <w:b/>
          <w:bCs w:val="0"/>
        </w:rPr>
      </w:pPr>
      <w:bookmarkStart w:id="351" w:name="_D._Fill_in"/>
      <w:bookmarkEnd w:id="351"/>
      <w:r w:rsidRPr="00261FD4">
        <w:rPr>
          <w:rStyle w:val="Strong"/>
          <w:b/>
          <w:bCs w:val="0"/>
        </w:rPr>
        <w:t>D</w:t>
      </w:r>
      <w:r w:rsidR="0003579F" w:rsidRPr="00261FD4">
        <w:rPr>
          <w:rStyle w:val="Strong"/>
          <w:b/>
          <w:bCs w:val="0"/>
        </w:rPr>
        <w:t>.</w:t>
      </w:r>
      <w:bookmarkStart w:id="352" w:name="_Hlk193887005"/>
      <w:r w:rsidR="0076428A">
        <w:rPr>
          <w:rStyle w:val="Strong"/>
          <w:b/>
          <w:bCs w:val="0"/>
        </w:rPr>
        <w:tab/>
      </w:r>
      <w:r w:rsidR="0003579F" w:rsidRPr="00261FD4">
        <w:rPr>
          <w:rStyle w:val="Strong"/>
          <w:b/>
          <w:bCs w:val="0"/>
        </w:rPr>
        <w:t xml:space="preserve">Fill in the following </w:t>
      </w:r>
      <w:r w:rsidR="00F07BAF" w:rsidRPr="00261FD4">
        <w:rPr>
          <w:rStyle w:val="Strong"/>
          <w:b/>
          <w:bCs w:val="0"/>
        </w:rPr>
        <w:t xml:space="preserve">tables </w:t>
      </w:r>
      <w:r w:rsidR="0003579F" w:rsidRPr="00261FD4">
        <w:rPr>
          <w:rStyle w:val="Strong"/>
          <w:b/>
          <w:bCs w:val="0"/>
        </w:rPr>
        <w:t>detailing your agency</w:t>
      </w:r>
      <w:r w:rsidR="00F044D6" w:rsidRPr="00261FD4">
        <w:rPr>
          <w:rStyle w:val="Strong"/>
          <w:b/>
          <w:bCs w:val="0"/>
        </w:rPr>
        <w:t>’</w:t>
      </w:r>
      <w:r w:rsidR="0003579F" w:rsidRPr="00261FD4">
        <w:rPr>
          <w:rStyle w:val="Strong"/>
          <w:b/>
          <w:bCs w:val="0"/>
        </w:rPr>
        <w:t xml:space="preserve">s </w:t>
      </w:r>
      <w:r w:rsidR="00C31FBB" w:rsidRPr="00261FD4">
        <w:rPr>
          <w:rStyle w:val="Strong"/>
          <w:b/>
          <w:bCs w:val="0"/>
        </w:rPr>
        <w:t>h</w:t>
      </w:r>
      <w:r w:rsidR="0003579F" w:rsidRPr="00261FD4">
        <w:rPr>
          <w:rStyle w:val="Strong"/>
          <w:b/>
          <w:bCs w:val="0"/>
        </w:rPr>
        <w:t xml:space="preserve">istorically </w:t>
      </w:r>
      <w:r w:rsidR="00C31FBB" w:rsidRPr="00261FD4">
        <w:rPr>
          <w:rStyle w:val="Strong"/>
          <w:b/>
          <w:bCs w:val="0"/>
        </w:rPr>
        <w:t>u</w:t>
      </w:r>
      <w:r w:rsidR="0003579F" w:rsidRPr="00261FD4">
        <w:rPr>
          <w:rStyle w:val="Strong"/>
          <w:b/>
          <w:bCs w:val="0"/>
        </w:rPr>
        <w:t xml:space="preserve">nderutilized </w:t>
      </w:r>
      <w:r w:rsidR="00C31FBB" w:rsidRPr="00261FD4">
        <w:rPr>
          <w:rStyle w:val="Strong"/>
          <w:b/>
          <w:bCs w:val="0"/>
        </w:rPr>
        <w:t>b</w:t>
      </w:r>
      <w:r w:rsidR="0003579F" w:rsidRPr="00261FD4">
        <w:rPr>
          <w:rStyle w:val="Strong"/>
          <w:b/>
          <w:bCs w:val="0"/>
        </w:rPr>
        <w:t>usiness (HUB) purchases</w:t>
      </w:r>
      <w:r w:rsidR="00832B49" w:rsidRPr="00261FD4">
        <w:rPr>
          <w:rStyle w:val="Strong"/>
          <w:b/>
          <w:bCs w:val="0"/>
        </w:rPr>
        <w:t xml:space="preserve">. </w:t>
      </w:r>
      <w:r w:rsidR="005B0D59" w:rsidRPr="00261FD4">
        <w:rPr>
          <w:rStyle w:val="Strong"/>
          <w:b/>
          <w:bCs w:val="0"/>
        </w:rPr>
        <w:t>Sunset is required by law to review and report this information to the Legislature.</w:t>
      </w:r>
      <w:r w:rsidR="004A731F" w:rsidRPr="00261FD4">
        <w:rPr>
          <w:rStyle w:val="Strong"/>
          <w:b/>
          <w:bCs w:val="0"/>
        </w:rPr>
        <w:t xml:space="preserve"> If your agency </w:t>
      </w:r>
      <w:r w:rsidR="00604D92" w:rsidRPr="00261FD4">
        <w:rPr>
          <w:rStyle w:val="Strong"/>
          <w:b/>
          <w:bCs w:val="0"/>
        </w:rPr>
        <w:t xml:space="preserve">has set </w:t>
      </w:r>
      <w:r w:rsidR="004A731F" w:rsidRPr="00261FD4">
        <w:rPr>
          <w:rStyle w:val="Strong"/>
          <w:b/>
          <w:bCs w:val="0"/>
        </w:rPr>
        <w:t>specific</w:t>
      </w:r>
      <w:r w:rsidR="00604D92" w:rsidRPr="00261FD4">
        <w:rPr>
          <w:rStyle w:val="Strong"/>
          <w:b/>
          <w:bCs w:val="0"/>
        </w:rPr>
        <w:t xml:space="preserve"> </w:t>
      </w:r>
      <w:r w:rsidR="004A731F" w:rsidRPr="00261FD4">
        <w:rPr>
          <w:rStyle w:val="Strong"/>
          <w:b/>
          <w:bCs w:val="0"/>
        </w:rPr>
        <w:t>goals and not statewide goals, please provide the goal percentages and describe the method used to determine those goals. (TAC Title 34, Part 1, Chapter 20, Rule 20.284)</w:t>
      </w:r>
      <w:bookmarkEnd w:id="352"/>
    </w:p>
    <w:p w14:paraId="2C5CDD79" w14:textId="77777777" w:rsidR="007D0496" w:rsidRDefault="007D0496" w:rsidP="003A7DC4">
      <w:pPr>
        <w:pStyle w:val="BodyText3"/>
        <w:jc w:val="center"/>
      </w:pPr>
      <w:bookmarkStart w:id="353" w:name="_Toc202856340"/>
      <w:bookmarkStart w:id="354" w:name="_Toc202857169"/>
      <w:bookmarkStart w:id="355" w:name="_Toc202860949"/>
      <w:bookmarkStart w:id="356" w:name="_Toc202861124"/>
      <w:bookmarkStart w:id="357" w:name="_Toc605887981"/>
      <w:bookmarkStart w:id="358" w:name="_Toc864113726"/>
      <w:bookmarkStart w:id="359" w:name="_Toc417647550"/>
      <w:r>
        <w:t>Texas Workforce Commission</w:t>
      </w:r>
      <w:bookmarkEnd w:id="353"/>
      <w:bookmarkEnd w:id="354"/>
      <w:bookmarkEnd w:id="355"/>
      <w:bookmarkEnd w:id="356"/>
      <w:bookmarkEnd w:id="357"/>
      <w:bookmarkEnd w:id="358"/>
    </w:p>
    <w:p w14:paraId="1103649A" w14:textId="413C364A" w:rsidR="0003579F" w:rsidRDefault="00EB5E96" w:rsidP="003A7DC4">
      <w:pPr>
        <w:pStyle w:val="BodyText3"/>
        <w:jc w:val="center"/>
      </w:pPr>
      <w:bookmarkStart w:id="360" w:name="_Toc202856341"/>
      <w:bookmarkStart w:id="361" w:name="_Toc202857170"/>
      <w:bookmarkStart w:id="362" w:name="_Toc202860950"/>
      <w:bookmarkStart w:id="363" w:name="_Toc202861125"/>
      <w:bookmarkStart w:id="364" w:name="_Toc2110881554"/>
      <w:bookmarkStart w:id="365" w:name="_Toc1623588340"/>
      <w:r w:rsidRPr="004D39E1">
        <w:t xml:space="preserve">Exhibit </w:t>
      </w:r>
      <w:r w:rsidR="00935EF5">
        <w:t>20</w:t>
      </w:r>
      <w:r>
        <w:t xml:space="preserve">: </w:t>
      </w:r>
      <w:bookmarkStart w:id="366" w:name="Title_PurchasesfromHUBs"/>
      <w:r w:rsidR="0003579F">
        <w:t>Purchases from HUBs</w:t>
      </w:r>
      <w:bookmarkEnd w:id="359"/>
      <w:bookmarkEnd w:id="360"/>
      <w:bookmarkEnd w:id="361"/>
      <w:bookmarkEnd w:id="362"/>
      <w:bookmarkEnd w:id="363"/>
      <w:bookmarkEnd w:id="364"/>
      <w:bookmarkEnd w:id="365"/>
      <w:bookmarkEnd w:id="366"/>
    </w:p>
    <w:p w14:paraId="4A371607" w14:textId="36C4017F" w:rsidR="0003579F" w:rsidRPr="00D455B6" w:rsidRDefault="00833C74" w:rsidP="00D455B6">
      <w:pPr>
        <w:pStyle w:val="BodyText2"/>
        <w:rPr>
          <w:rStyle w:val="IntenseEmphasis"/>
          <w:b w:val="0"/>
          <w:bCs w:val="0"/>
          <w:color w:val="0070C0"/>
        </w:rPr>
      </w:pPr>
      <w:r w:rsidRPr="00D455B6">
        <w:rPr>
          <w:rStyle w:val="IntenseEmphasis"/>
          <w:bCs w:val="0"/>
          <w:color w:val="0070C0"/>
        </w:rPr>
        <w:t>Heavy Construction</w:t>
      </w:r>
    </w:p>
    <w:tbl>
      <w:tblPr>
        <w:tblW w:w="0" w:type="dxa"/>
        <w:tblInd w:w="4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145"/>
        <w:gridCol w:w="1575"/>
        <w:gridCol w:w="1575"/>
        <w:gridCol w:w="1320"/>
        <w:gridCol w:w="1320"/>
        <w:gridCol w:w="1320"/>
      </w:tblGrid>
      <w:tr w:rsidR="00EE6E24" w:rsidRPr="00EE6E24" w14:paraId="5C6FD82A"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DB6FEC6" w14:textId="3553B507" w:rsidR="00EE6E24" w:rsidRPr="00EE6E24" w:rsidRDefault="00EE6E24" w:rsidP="00C87B05">
            <w:pPr>
              <w:pStyle w:val="TableHeaders"/>
              <w:rPr>
                <w:rFonts w:ascii="Segoe UI" w:hAnsi="Segoe UI" w:cs="Segoe UI"/>
                <w:szCs w:val="18"/>
              </w:rPr>
            </w:pPr>
            <w:r w:rsidRPr="00EE6E24">
              <w:t>Year</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058CE77" w14:textId="67549360" w:rsidR="00EE6E24" w:rsidRPr="00EE6E24" w:rsidRDefault="00EE6E24" w:rsidP="00C87B05">
            <w:pPr>
              <w:pStyle w:val="TableHeaders"/>
              <w:rPr>
                <w:rFonts w:ascii="Segoe UI" w:hAnsi="Segoe UI" w:cs="Segoe UI"/>
                <w:szCs w:val="18"/>
              </w:rPr>
            </w:pPr>
            <w:r w:rsidRPr="00EE6E24">
              <w:t>Total $ Spent</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79F59194" w14:textId="32A6AECE" w:rsidR="00EE6E24" w:rsidRPr="00EE6E24" w:rsidRDefault="00EE6E24" w:rsidP="00C87B05">
            <w:pPr>
              <w:pStyle w:val="TableHeaders"/>
              <w:rPr>
                <w:rFonts w:ascii="Segoe UI" w:hAnsi="Segoe UI" w:cs="Segoe UI"/>
                <w:szCs w:val="18"/>
              </w:rPr>
            </w:pPr>
            <w:r w:rsidRPr="00EE6E24">
              <w:t>Total HUB</w:t>
            </w:r>
          </w:p>
          <w:p w14:paraId="5CDEDF9D" w14:textId="3F8CE203" w:rsidR="00EE6E24" w:rsidRPr="00EE6E24" w:rsidRDefault="00EE6E24" w:rsidP="00C87B05">
            <w:pPr>
              <w:pStyle w:val="TableHeaders"/>
              <w:rPr>
                <w:rFonts w:ascii="Segoe UI" w:hAnsi="Segoe UI" w:cs="Segoe UI"/>
                <w:szCs w:val="18"/>
              </w:rPr>
            </w:pPr>
            <w:r w:rsidRPr="00EE6E24">
              <w:t>$ Spent</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6D3565D2" w14:textId="1AC76A61" w:rsidR="00EE6E24" w:rsidRPr="00EE6E24" w:rsidRDefault="00EE6E24" w:rsidP="00C87B05">
            <w:pPr>
              <w:pStyle w:val="TableHeaders"/>
              <w:rPr>
                <w:rFonts w:ascii="Segoe UI" w:hAnsi="Segoe UI" w:cs="Segoe UI"/>
                <w:szCs w:val="18"/>
              </w:rPr>
            </w:pPr>
            <w:r w:rsidRPr="00EE6E24">
              <w:t>Percentage of Total Spent on HUB</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349016AF" w14:textId="6F48C42E" w:rsidR="00EE6E24" w:rsidRPr="00EE6E24" w:rsidRDefault="00EE6E24" w:rsidP="00C87B05">
            <w:pPr>
              <w:pStyle w:val="TableHeaders"/>
              <w:rPr>
                <w:rFonts w:ascii="Segoe UI" w:hAnsi="Segoe UI" w:cs="Segoe UI"/>
                <w:szCs w:val="18"/>
              </w:rPr>
            </w:pPr>
            <w:r w:rsidRPr="00EE6E24">
              <w:t>Agency Specific Goal</w:t>
            </w:r>
            <w:r w:rsidRPr="00EE6E24">
              <w:rPr>
                <w:rFonts w:cs="Segoe UI"/>
              </w:rPr>
              <w:t>*</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16C318E9" w14:textId="559B1AB6" w:rsidR="00EE6E24" w:rsidRPr="00EE6E24" w:rsidRDefault="00EE6E24" w:rsidP="00C87B05">
            <w:pPr>
              <w:pStyle w:val="TableHeaders"/>
              <w:rPr>
                <w:rFonts w:ascii="Segoe UI" w:hAnsi="Segoe UI" w:cs="Segoe UI"/>
                <w:szCs w:val="18"/>
              </w:rPr>
            </w:pPr>
            <w:r w:rsidRPr="00EE6E24">
              <w:t>Statewide</w:t>
            </w:r>
          </w:p>
          <w:p w14:paraId="559F543F" w14:textId="3A5C97A7" w:rsidR="00EE6E24" w:rsidRPr="00EE6E24" w:rsidRDefault="00EE6E24" w:rsidP="00C87B05">
            <w:pPr>
              <w:pStyle w:val="TableHeaders"/>
              <w:rPr>
                <w:rFonts w:ascii="Segoe UI" w:hAnsi="Segoe UI" w:cs="Segoe UI"/>
                <w:szCs w:val="18"/>
              </w:rPr>
            </w:pPr>
            <w:r w:rsidRPr="00EE6E24">
              <w:t>Goal</w:t>
            </w:r>
          </w:p>
        </w:tc>
      </w:tr>
      <w:tr w:rsidR="007A6852" w:rsidRPr="007A6852" w14:paraId="089EA50E"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C4B6F2" w14:textId="77777777" w:rsidR="00EE6E24" w:rsidRPr="00EE6E24" w:rsidRDefault="00EE6E24" w:rsidP="00657EBB">
            <w:pPr>
              <w:pStyle w:val="TableText"/>
              <w:rPr>
                <w:rFonts w:ascii="Segoe UI" w:hAnsi="Segoe UI" w:cs="Segoe UI"/>
                <w:szCs w:val="18"/>
              </w:rPr>
            </w:pPr>
            <w:r w:rsidRPr="007A6852">
              <w:t>2022 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AB4D24" w14:textId="77777777" w:rsidR="00EE6E24" w:rsidRPr="00EE6E24" w:rsidRDefault="00EE6E24" w:rsidP="00C87B05">
            <w:pPr>
              <w:pStyle w:val="TableText"/>
              <w:jc w:val="right"/>
              <w:rPr>
                <w:rFonts w:ascii="Segoe UI" w:hAnsi="Segoe UI" w:cs="Segoe UI"/>
                <w:szCs w:val="18"/>
              </w:rPr>
            </w:pPr>
            <w:r w:rsidRPr="007A6852">
              <w:t>$0.00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BB0EC8" w14:textId="77777777" w:rsidR="00EE6E24" w:rsidRPr="00EE6E24" w:rsidRDefault="00EE6E24" w:rsidP="00C87B05">
            <w:pPr>
              <w:pStyle w:val="TableText"/>
              <w:jc w:val="right"/>
              <w:rPr>
                <w:rFonts w:ascii="Segoe UI" w:hAnsi="Segoe UI" w:cs="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32EB0A" w14:textId="77777777" w:rsidR="00EE6E24" w:rsidRPr="00EE6E24" w:rsidRDefault="00EE6E24" w:rsidP="00C87B05">
            <w:pPr>
              <w:pStyle w:val="TableText"/>
              <w:jc w:val="right"/>
              <w:rPr>
                <w:rFonts w:ascii="Segoe UI" w:hAnsi="Segoe UI" w:cs="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6FDD69" w14:textId="77777777" w:rsidR="00EE6E24" w:rsidRPr="00EE6E24" w:rsidRDefault="00EE6E24" w:rsidP="00C87B05">
            <w:pPr>
              <w:pStyle w:val="TableText"/>
              <w:jc w:val="right"/>
              <w:rPr>
                <w:rFonts w:ascii="Segoe UI" w:hAnsi="Segoe UI" w:cs="Segoe UI"/>
                <w:szCs w:val="18"/>
              </w:rPr>
            </w:pPr>
            <w:r w:rsidRPr="007A6852">
              <w:t>11.2%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8DEBDF" w14:textId="77777777" w:rsidR="00EE6E24" w:rsidRPr="00EE6E24" w:rsidRDefault="00EE6E24" w:rsidP="00C87B05">
            <w:pPr>
              <w:pStyle w:val="TableText"/>
              <w:jc w:val="right"/>
              <w:rPr>
                <w:rFonts w:ascii="Segoe UI" w:hAnsi="Segoe UI" w:cs="Segoe UI"/>
                <w:szCs w:val="18"/>
              </w:rPr>
            </w:pPr>
            <w:r w:rsidRPr="007A6852">
              <w:t>11.2% </w:t>
            </w:r>
          </w:p>
        </w:tc>
      </w:tr>
      <w:tr w:rsidR="007A6852" w:rsidRPr="007A6852" w14:paraId="0B7EB310"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EB1CC" w14:textId="77777777" w:rsidR="00EE6E24" w:rsidRPr="00EE6E24" w:rsidRDefault="00EE6E24" w:rsidP="00657EBB">
            <w:pPr>
              <w:pStyle w:val="TableText"/>
              <w:rPr>
                <w:rFonts w:ascii="Segoe UI" w:hAnsi="Segoe UI" w:cs="Segoe UI"/>
                <w:szCs w:val="18"/>
              </w:rPr>
            </w:pPr>
            <w:r w:rsidRPr="007A6852">
              <w:t>2023 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67C34A" w14:textId="77777777" w:rsidR="00EE6E24" w:rsidRPr="00EE6E24" w:rsidRDefault="00EE6E24" w:rsidP="00C87B05">
            <w:pPr>
              <w:pStyle w:val="TableText"/>
              <w:jc w:val="right"/>
              <w:rPr>
                <w:rFonts w:ascii="Segoe UI" w:hAnsi="Segoe UI" w:cs="Segoe UI"/>
                <w:szCs w:val="18"/>
              </w:rPr>
            </w:pPr>
            <w:r w:rsidRPr="007A6852">
              <w:t>$0.00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BBC21A" w14:textId="77777777" w:rsidR="00EE6E24" w:rsidRPr="00EE6E24" w:rsidRDefault="00EE6E24" w:rsidP="00C87B05">
            <w:pPr>
              <w:pStyle w:val="TableText"/>
              <w:jc w:val="right"/>
              <w:rPr>
                <w:rFonts w:ascii="Segoe UI" w:hAnsi="Segoe UI" w:cs="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23F94" w14:textId="77777777" w:rsidR="00EE6E24" w:rsidRPr="00EE6E24" w:rsidRDefault="00EE6E24" w:rsidP="00C87B05">
            <w:pPr>
              <w:pStyle w:val="TableText"/>
              <w:jc w:val="right"/>
              <w:rPr>
                <w:rFonts w:ascii="Segoe UI" w:hAnsi="Segoe UI" w:cs="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DEC55" w14:textId="77777777" w:rsidR="00EE6E24" w:rsidRPr="00EE6E24" w:rsidRDefault="00EE6E24" w:rsidP="00C87B05">
            <w:pPr>
              <w:pStyle w:val="TableText"/>
              <w:jc w:val="right"/>
              <w:rPr>
                <w:rFonts w:ascii="Segoe UI" w:hAnsi="Segoe UI" w:cs="Segoe UI"/>
                <w:szCs w:val="18"/>
              </w:rPr>
            </w:pPr>
            <w:r w:rsidRPr="007A6852">
              <w:t>11.2%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002B01" w14:textId="77777777" w:rsidR="00EE6E24" w:rsidRPr="00EE6E24" w:rsidRDefault="00EE6E24" w:rsidP="00C87B05">
            <w:pPr>
              <w:pStyle w:val="TableText"/>
              <w:jc w:val="right"/>
              <w:rPr>
                <w:rFonts w:ascii="Segoe UI" w:hAnsi="Segoe UI" w:cs="Segoe UI"/>
                <w:szCs w:val="18"/>
              </w:rPr>
            </w:pPr>
            <w:r w:rsidRPr="007A6852">
              <w:t>11.2% </w:t>
            </w:r>
          </w:p>
        </w:tc>
      </w:tr>
      <w:tr w:rsidR="007A6852" w:rsidRPr="007A6852" w14:paraId="7FAE494A"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81D4B" w14:textId="77777777" w:rsidR="00EE6E24" w:rsidRPr="00EE6E24" w:rsidRDefault="00EE6E24" w:rsidP="00657EBB">
            <w:pPr>
              <w:pStyle w:val="TableText"/>
              <w:rPr>
                <w:rFonts w:ascii="Segoe UI" w:hAnsi="Segoe UI" w:cs="Segoe UI"/>
                <w:szCs w:val="18"/>
              </w:rPr>
            </w:pPr>
            <w:r w:rsidRPr="007A6852">
              <w:t>2024 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788DBA" w14:textId="77777777" w:rsidR="00EE6E24" w:rsidRPr="00EE6E24" w:rsidRDefault="00EE6E24" w:rsidP="00C87B05">
            <w:pPr>
              <w:pStyle w:val="TableText"/>
              <w:jc w:val="right"/>
              <w:rPr>
                <w:rFonts w:ascii="Segoe UI" w:hAnsi="Segoe UI" w:cs="Segoe UI"/>
                <w:szCs w:val="18"/>
              </w:rPr>
            </w:pPr>
            <w:r w:rsidRPr="007A6852">
              <w:t>$0.00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1FD5A" w14:textId="77777777" w:rsidR="00EE6E24" w:rsidRPr="00EE6E24" w:rsidRDefault="00EE6E24" w:rsidP="00C87B05">
            <w:pPr>
              <w:pStyle w:val="TableText"/>
              <w:jc w:val="right"/>
              <w:rPr>
                <w:rFonts w:ascii="Segoe UI" w:hAnsi="Segoe UI" w:cs="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124F0" w14:textId="77777777" w:rsidR="00EE6E24" w:rsidRPr="00EE6E24" w:rsidRDefault="00EE6E24" w:rsidP="00C87B05">
            <w:pPr>
              <w:pStyle w:val="TableText"/>
              <w:jc w:val="right"/>
              <w:rPr>
                <w:rFonts w:ascii="Segoe UI" w:hAnsi="Segoe UI" w:cs="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2CA5A" w14:textId="77777777" w:rsidR="00EE6E24" w:rsidRPr="00EE6E24" w:rsidRDefault="00EE6E24" w:rsidP="00C87B05">
            <w:pPr>
              <w:pStyle w:val="TableText"/>
              <w:jc w:val="right"/>
              <w:rPr>
                <w:rFonts w:ascii="Segoe UI" w:hAnsi="Segoe UI" w:cs="Segoe UI"/>
                <w:szCs w:val="18"/>
              </w:rPr>
            </w:pPr>
            <w:r w:rsidRPr="007A6852">
              <w:t>11.2%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09BD41" w14:textId="77777777" w:rsidR="00EE6E24" w:rsidRPr="00EE6E24" w:rsidRDefault="00EE6E24" w:rsidP="00C87B05">
            <w:pPr>
              <w:pStyle w:val="TableText"/>
              <w:jc w:val="right"/>
              <w:rPr>
                <w:rFonts w:ascii="Segoe UI" w:hAnsi="Segoe UI" w:cs="Segoe UI"/>
                <w:szCs w:val="18"/>
              </w:rPr>
            </w:pPr>
            <w:r w:rsidRPr="007A6852">
              <w:t>11.2% </w:t>
            </w:r>
          </w:p>
        </w:tc>
      </w:tr>
    </w:tbl>
    <w:p w14:paraId="4E5AE4F3" w14:textId="4364888A" w:rsidR="00FD1FF8" w:rsidRPr="004162E0" w:rsidRDefault="00833C74" w:rsidP="00D455B6">
      <w:pPr>
        <w:pStyle w:val="BodyText2"/>
        <w:rPr>
          <w:rStyle w:val="IntenseEmphasis"/>
          <w:b w:val="0"/>
          <w:bCs w:val="0"/>
          <w:color w:val="0070C0"/>
        </w:rPr>
      </w:pPr>
      <w:r w:rsidRPr="004162E0">
        <w:rPr>
          <w:rStyle w:val="IntenseEmphasis"/>
          <w:bCs w:val="0"/>
          <w:color w:val="0070C0"/>
        </w:rPr>
        <w:t>Building Construction</w:t>
      </w:r>
    </w:p>
    <w:tbl>
      <w:tblPr>
        <w:tblW w:w="0" w:type="dxa"/>
        <w:tblInd w:w="4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145"/>
        <w:gridCol w:w="1575"/>
        <w:gridCol w:w="1575"/>
        <w:gridCol w:w="1320"/>
        <w:gridCol w:w="1320"/>
        <w:gridCol w:w="1320"/>
      </w:tblGrid>
      <w:tr w:rsidR="00A7781B" w:rsidRPr="00A7781B" w14:paraId="4B310F3E" w14:textId="77777777" w:rsidTr="00C02C25">
        <w:trPr>
          <w:trHeight w:val="300"/>
          <w:tblHeader/>
        </w:trPr>
        <w:tc>
          <w:tcPr>
            <w:tcW w:w="214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3755E1EF" w14:textId="0F9A4CCC" w:rsidR="00A7781B" w:rsidRPr="00A7781B" w:rsidRDefault="00A7781B" w:rsidP="00326BF6">
            <w:pPr>
              <w:pStyle w:val="TableHeaders"/>
              <w:rPr>
                <w:rFonts w:ascii="Segoe UI" w:hAnsi="Segoe UI" w:cs="Segoe UI"/>
                <w:szCs w:val="18"/>
              </w:rPr>
            </w:pPr>
            <w:r w:rsidRPr="00A7781B">
              <w:lastRenderedPageBreak/>
              <w:t>Year</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74C96616" w14:textId="2D80FAC3" w:rsidR="00A7781B" w:rsidRPr="00A7781B" w:rsidRDefault="00A7781B" w:rsidP="00326BF6">
            <w:pPr>
              <w:pStyle w:val="TableHeaders"/>
              <w:rPr>
                <w:rFonts w:ascii="Segoe UI" w:hAnsi="Segoe UI" w:cs="Segoe UI"/>
                <w:szCs w:val="18"/>
              </w:rPr>
            </w:pPr>
            <w:r w:rsidRPr="00A7781B">
              <w:t>Total $ Spent</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6D5E5925" w14:textId="4820DDB6" w:rsidR="00A7781B" w:rsidRPr="00A7781B" w:rsidRDefault="00A7781B" w:rsidP="00326BF6">
            <w:pPr>
              <w:pStyle w:val="TableHeaders"/>
              <w:rPr>
                <w:rFonts w:ascii="Segoe UI" w:hAnsi="Segoe UI" w:cs="Segoe UI"/>
                <w:szCs w:val="18"/>
              </w:rPr>
            </w:pPr>
            <w:r w:rsidRPr="00A7781B">
              <w:t>Total HUB</w:t>
            </w:r>
          </w:p>
          <w:p w14:paraId="578EC3B8" w14:textId="2FE664E9" w:rsidR="00A7781B" w:rsidRPr="00A7781B" w:rsidRDefault="00A7781B" w:rsidP="00326BF6">
            <w:pPr>
              <w:pStyle w:val="TableHeaders"/>
              <w:rPr>
                <w:rFonts w:ascii="Segoe UI" w:hAnsi="Segoe UI" w:cs="Segoe UI"/>
                <w:szCs w:val="18"/>
              </w:rPr>
            </w:pPr>
            <w:r w:rsidRPr="00A7781B">
              <w:t>$ Spent</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1AF75D9C" w14:textId="34BA17A9" w:rsidR="00A7781B" w:rsidRPr="00A7781B" w:rsidRDefault="00A7781B" w:rsidP="00326BF6">
            <w:pPr>
              <w:pStyle w:val="TableHeaders"/>
              <w:rPr>
                <w:rFonts w:ascii="Segoe UI" w:hAnsi="Segoe UI" w:cs="Segoe UI"/>
                <w:szCs w:val="18"/>
              </w:rPr>
            </w:pPr>
            <w:r w:rsidRPr="00A7781B">
              <w:t>Percentage of Total Spent on HUB</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1ECEF580" w14:textId="622A8024" w:rsidR="00A7781B" w:rsidRPr="00A7781B" w:rsidRDefault="00A7781B" w:rsidP="00326BF6">
            <w:pPr>
              <w:pStyle w:val="TableHeaders"/>
              <w:rPr>
                <w:rFonts w:ascii="Segoe UI" w:hAnsi="Segoe UI" w:cs="Segoe UI"/>
                <w:szCs w:val="18"/>
              </w:rPr>
            </w:pPr>
            <w:r w:rsidRPr="00A7781B">
              <w:t>Agency Specific Goal</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4AD0273" w14:textId="1382C570" w:rsidR="00A7781B" w:rsidRPr="00A7781B" w:rsidRDefault="00A7781B" w:rsidP="00326BF6">
            <w:pPr>
              <w:pStyle w:val="TableHeaders"/>
              <w:rPr>
                <w:rFonts w:ascii="Segoe UI" w:hAnsi="Segoe UI" w:cs="Segoe UI"/>
                <w:szCs w:val="18"/>
              </w:rPr>
            </w:pPr>
            <w:r w:rsidRPr="00A7781B">
              <w:t>Statewide</w:t>
            </w:r>
          </w:p>
          <w:p w14:paraId="7C43AC2C" w14:textId="1ADD23CB" w:rsidR="00A7781B" w:rsidRPr="00A7781B" w:rsidRDefault="00A7781B" w:rsidP="00326BF6">
            <w:pPr>
              <w:pStyle w:val="TableHeaders"/>
              <w:rPr>
                <w:rFonts w:ascii="Segoe UI" w:hAnsi="Segoe UI" w:cs="Segoe UI"/>
                <w:szCs w:val="18"/>
              </w:rPr>
            </w:pPr>
            <w:r w:rsidRPr="00A7781B">
              <w:t>Goal</w:t>
            </w:r>
          </w:p>
        </w:tc>
      </w:tr>
      <w:tr w:rsidR="007A6852" w:rsidRPr="007A6852" w14:paraId="133BD093" w14:textId="77777777" w:rsidTr="00C02C25">
        <w:trPr>
          <w:trHeight w:val="300"/>
          <w:tblHeader/>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228FB9" w14:textId="77777777" w:rsidR="00A7781B" w:rsidRPr="007A6852" w:rsidRDefault="00A7781B" w:rsidP="00326BF6">
            <w:pPr>
              <w:pStyle w:val="TableText"/>
              <w:rPr>
                <w:rFonts w:ascii="Segoe UI" w:hAnsi="Segoe UI"/>
                <w:szCs w:val="18"/>
              </w:rPr>
            </w:pPr>
            <w:r w:rsidRPr="007A6852">
              <w:t>2022 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F069A6" w14:textId="77777777" w:rsidR="00A7781B" w:rsidRPr="007A6852" w:rsidRDefault="00A7781B" w:rsidP="00C87B05">
            <w:pPr>
              <w:pStyle w:val="TableText"/>
              <w:jc w:val="right"/>
              <w:rPr>
                <w:rFonts w:ascii="Segoe UI" w:hAnsi="Segoe UI"/>
                <w:szCs w:val="18"/>
              </w:rPr>
            </w:pPr>
            <w:r w:rsidRPr="007A6852">
              <w:t>$0.00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11DD0C" w14:textId="77777777" w:rsidR="00A7781B" w:rsidRPr="007A6852" w:rsidRDefault="00A7781B" w:rsidP="00C87B05">
            <w:pPr>
              <w:pStyle w:val="TableText"/>
              <w:jc w:val="right"/>
              <w:rPr>
                <w:rFonts w:ascii="Segoe UI" w:hAnsi="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9E3BC" w14:textId="77777777" w:rsidR="00A7781B" w:rsidRPr="007A6852" w:rsidRDefault="00A7781B" w:rsidP="00C87B05">
            <w:pPr>
              <w:pStyle w:val="TableText"/>
              <w:jc w:val="right"/>
              <w:rPr>
                <w:rFonts w:ascii="Segoe UI" w:hAnsi="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27CFC" w14:textId="77777777" w:rsidR="00A7781B" w:rsidRPr="007A6852" w:rsidRDefault="00A7781B" w:rsidP="00C87B05">
            <w:pPr>
              <w:pStyle w:val="TableText"/>
              <w:jc w:val="right"/>
              <w:rPr>
                <w:rFonts w:ascii="Segoe UI" w:hAnsi="Segoe UI"/>
                <w:szCs w:val="18"/>
              </w:rPr>
            </w:pPr>
            <w:r w:rsidRPr="007A6852">
              <w:t>21.1%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01B9A6" w14:textId="77777777" w:rsidR="00A7781B" w:rsidRPr="007A6852" w:rsidRDefault="00A7781B" w:rsidP="00C87B05">
            <w:pPr>
              <w:pStyle w:val="TableText"/>
              <w:jc w:val="right"/>
              <w:rPr>
                <w:rFonts w:ascii="Segoe UI" w:hAnsi="Segoe UI"/>
                <w:szCs w:val="18"/>
              </w:rPr>
            </w:pPr>
            <w:r w:rsidRPr="007A6852">
              <w:t>21.1% </w:t>
            </w:r>
          </w:p>
        </w:tc>
      </w:tr>
      <w:tr w:rsidR="007A6852" w:rsidRPr="007A6852" w14:paraId="51CC752F" w14:textId="77777777" w:rsidTr="00C02C25">
        <w:trPr>
          <w:trHeight w:val="300"/>
          <w:tblHeader/>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BD64E0" w14:textId="77777777" w:rsidR="00A7781B" w:rsidRPr="007A6852" w:rsidRDefault="00A7781B" w:rsidP="00326BF6">
            <w:pPr>
              <w:pStyle w:val="TableText"/>
              <w:rPr>
                <w:rFonts w:ascii="Segoe UI" w:hAnsi="Segoe UI"/>
                <w:szCs w:val="18"/>
              </w:rPr>
            </w:pPr>
            <w:r w:rsidRPr="007A6852">
              <w:t>2023 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3DE89" w14:textId="77777777" w:rsidR="00A7781B" w:rsidRPr="007A6852" w:rsidRDefault="00A7781B" w:rsidP="00C87B05">
            <w:pPr>
              <w:pStyle w:val="TableText"/>
              <w:jc w:val="right"/>
              <w:rPr>
                <w:rFonts w:ascii="Segoe UI" w:hAnsi="Segoe UI"/>
                <w:szCs w:val="18"/>
              </w:rPr>
            </w:pPr>
            <w:r w:rsidRPr="007A6852">
              <w:t>$0.00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0CFCAC" w14:textId="77777777" w:rsidR="00A7781B" w:rsidRPr="007A6852" w:rsidRDefault="00A7781B" w:rsidP="00C87B05">
            <w:pPr>
              <w:pStyle w:val="TableText"/>
              <w:jc w:val="right"/>
              <w:rPr>
                <w:rFonts w:ascii="Segoe UI" w:hAnsi="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46103A" w14:textId="77777777" w:rsidR="00A7781B" w:rsidRPr="007A6852" w:rsidRDefault="00A7781B" w:rsidP="00C87B05">
            <w:pPr>
              <w:pStyle w:val="TableText"/>
              <w:jc w:val="right"/>
              <w:rPr>
                <w:rFonts w:ascii="Segoe UI" w:hAnsi="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94E53" w14:textId="77777777" w:rsidR="00A7781B" w:rsidRPr="007A6852" w:rsidRDefault="00A7781B" w:rsidP="00C87B05">
            <w:pPr>
              <w:pStyle w:val="TableText"/>
              <w:jc w:val="right"/>
              <w:rPr>
                <w:rFonts w:ascii="Segoe UI" w:hAnsi="Segoe UI"/>
                <w:szCs w:val="18"/>
              </w:rPr>
            </w:pPr>
            <w:r w:rsidRPr="007A6852">
              <w:t>21.1%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E840B" w14:textId="77777777" w:rsidR="00A7781B" w:rsidRPr="007A6852" w:rsidRDefault="00A7781B" w:rsidP="00C87B05">
            <w:pPr>
              <w:pStyle w:val="TableText"/>
              <w:jc w:val="right"/>
              <w:rPr>
                <w:rFonts w:ascii="Segoe UI" w:hAnsi="Segoe UI"/>
                <w:szCs w:val="18"/>
              </w:rPr>
            </w:pPr>
            <w:r w:rsidRPr="007A6852">
              <w:t>21.1% </w:t>
            </w:r>
          </w:p>
        </w:tc>
      </w:tr>
      <w:tr w:rsidR="007A6852" w:rsidRPr="007A6852" w14:paraId="1F8EE094" w14:textId="77777777" w:rsidTr="00C02C25">
        <w:trPr>
          <w:trHeight w:val="300"/>
          <w:tblHeader/>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86816" w14:textId="77777777" w:rsidR="00A7781B" w:rsidRPr="007A6852" w:rsidRDefault="00A7781B" w:rsidP="00326BF6">
            <w:pPr>
              <w:pStyle w:val="TableText"/>
              <w:rPr>
                <w:rFonts w:ascii="Segoe UI" w:hAnsi="Segoe UI"/>
                <w:szCs w:val="18"/>
              </w:rPr>
            </w:pPr>
            <w:r w:rsidRPr="007A6852">
              <w:t>2024 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DEFEE" w14:textId="77777777" w:rsidR="00A7781B" w:rsidRPr="007A6852" w:rsidRDefault="00A7781B" w:rsidP="00C87B05">
            <w:pPr>
              <w:pStyle w:val="TableText"/>
              <w:jc w:val="right"/>
              <w:rPr>
                <w:rFonts w:ascii="Segoe UI" w:hAnsi="Segoe UI"/>
                <w:szCs w:val="18"/>
              </w:rPr>
            </w:pPr>
            <w:r w:rsidRPr="007A6852">
              <w:t>$0.00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A526D" w14:textId="77777777" w:rsidR="00A7781B" w:rsidRPr="007A6852" w:rsidRDefault="00A7781B" w:rsidP="00C87B05">
            <w:pPr>
              <w:pStyle w:val="TableText"/>
              <w:jc w:val="right"/>
              <w:rPr>
                <w:rFonts w:ascii="Segoe UI" w:hAnsi="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E91F0E" w14:textId="77777777" w:rsidR="00A7781B" w:rsidRPr="007A6852" w:rsidRDefault="00A7781B" w:rsidP="00C87B05">
            <w:pPr>
              <w:pStyle w:val="TableText"/>
              <w:jc w:val="right"/>
              <w:rPr>
                <w:rFonts w:ascii="Segoe UI" w:hAnsi="Segoe UI"/>
                <w:szCs w:val="18"/>
              </w:rPr>
            </w:pPr>
            <w:r w:rsidRPr="007A6852">
              <w:t>0.00%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590E70" w14:textId="77777777" w:rsidR="00A7781B" w:rsidRPr="007A6852" w:rsidRDefault="00A7781B" w:rsidP="00C87B05">
            <w:pPr>
              <w:pStyle w:val="TableText"/>
              <w:jc w:val="right"/>
              <w:rPr>
                <w:rFonts w:ascii="Segoe UI" w:hAnsi="Segoe UI"/>
                <w:szCs w:val="18"/>
              </w:rPr>
            </w:pPr>
            <w:r w:rsidRPr="007A6852">
              <w:t>21.1%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8BBAED" w14:textId="77777777" w:rsidR="00A7781B" w:rsidRPr="007A6852" w:rsidRDefault="00A7781B" w:rsidP="00C87B05">
            <w:pPr>
              <w:pStyle w:val="TableText"/>
              <w:jc w:val="right"/>
              <w:rPr>
                <w:rFonts w:ascii="Segoe UI" w:hAnsi="Segoe UI"/>
                <w:szCs w:val="18"/>
              </w:rPr>
            </w:pPr>
            <w:r w:rsidRPr="007A6852">
              <w:t>21.1% </w:t>
            </w:r>
          </w:p>
        </w:tc>
      </w:tr>
    </w:tbl>
    <w:p w14:paraId="3062D21B" w14:textId="2696543F" w:rsidR="00214CBB" w:rsidRPr="004162E0" w:rsidRDefault="00CF0A54" w:rsidP="004162E0">
      <w:pPr>
        <w:pStyle w:val="BodyText2"/>
        <w:rPr>
          <w:rStyle w:val="IntenseEmphasis"/>
          <w:b w:val="0"/>
          <w:bCs w:val="0"/>
          <w:color w:val="0070C0"/>
        </w:rPr>
      </w:pPr>
      <w:r w:rsidRPr="004162E0">
        <w:rPr>
          <w:rStyle w:val="IntenseEmphasis"/>
          <w:bCs w:val="0"/>
          <w:color w:val="0070C0"/>
        </w:rPr>
        <w:t>Special Trade</w:t>
      </w:r>
    </w:p>
    <w:tbl>
      <w:tblPr>
        <w:tblW w:w="0" w:type="dxa"/>
        <w:tblInd w:w="4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145"/>
        <w:gridCol w:w="1575"/>
        <w:gridCol w:w="1575"/>
        <w:gridCol w:w="1320"/>
        <w:gridCol w:w="1320"/>
        <w:gridCol w:w="1320"/>
      </w:tblGrid>
      <w:tr w:rsidR="00652EFE" w:rsidRPr="00652EFE" w14:paraId="327D8C74"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2B0E882" w14:textId="30B2EEE0" w:rsidR="00652EFE" w:rsidRPr="00652EFE" w:rsidRDefault="00652EFE" w:rsidP="00C87B05">
            <w:pPr>
              <w:pStyle w:val="TableHeaders"/>
              <w:rPr>
                <w:rFonts w:ascii="Segoe UI" w:hAnsi="Segoe UI" w:cs="Segoe UI"/>
                <w:szCs w:val="18"/>
              </w:rPr>
            </w:pPr>
            <w:r w:rsidRPr="00652EFE">
              <w:t>Year</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7D48670" w14:textId="5B82CFD4" w:rsidR="00652EFE" w:rsidRPr="00652EFE" w:rsidRDefault="00652EFE" w:rsidP="00C87B05">
            <w:pPr>
              <w:pStyle w:val="TableHeaders"/>
              <w:rPr>
                <w:rFonts w:ascii="Segoe UI" w:hAnsi="Segoe UI" w:cs="Segoe UI"/>
                <w:szCs w:val="18"/>
              </w:rPr>
            </w:pPr>
            <w:r w:rsidRPr="00652EFE">
              <w:t>Total $ Spent</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F364DE9" w14:textId="446BEAA8" w:rsidR="00652EFE" w:rsidRPr="00652EFE" w:rsidRDefault="00652EFE" w:rsidP="00C87B05">
            <w:pPr>
              <w:pStyle w:val="TableHeaders"/>
              <w:rPr>
                <w:rFonts w:ascii="Segoe UI" w:hAnsi="Segoe UI" w:cs="Segoe UI"/>
                <w:szCs w:val="18"/>
              </w:rPr>
            </w:pPr>
            <w:r w:rsidRPr="00652EFE">
              <w:t>Total HUB</w:t>
            </w:r>
          </w:p>
          <w:p w14:paraId="3157983F" w14:textId="7B16056C" w:rsidR="00652EFE" w:rsidRPr="00652EFE" w:rsidRDefault="00652EFE" w:rsidP="00C87B05">
            <w:pPr>
              <w:pStyle w:val="TableHeaders"/>
              <w:rPr>
                <w:rFonts w:ascii="Segoe UI" w:hAnsi="Segoe UI" w:cs="Segoe UI"/>
                <w:szCs w:val="18"/>
              </w:rPr>
            </w:pPr>
            <w:r w:rsidRPr="00652EFE">
              <w:t>$ Spent</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8786FFF" w14:textId="16DAEAA3" w:rsidR="00652EFE" w:rsidRPr="00652EFE" w:rsidRDefault="00652EFE" w:rsidP="00C87B05">
            <w:pPr>
              <w:pStyle w:val="TableHeaders"/>
              <w:rPr>
                <w:rFonts w:ascii="Segoe UI" w:hAnsi="Segoe UI" w:cs="Segoe UI"/>
                <w:szCs w:val="18"/>
              </w:rPr>
            </w:pPr>
            <w:r w:rsidRPr="00652EFE">
              <w:t>Percentage of Total Spent on HUB</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F6D4B94" w14:textId="67681FFE" w:rsidR="00652EFE" w:rsidRPr="00652EFE" w:rsidRDefault="00652EFE" w:rsidP="00C87B05">
            <w:pPr>
              <w:pStyle w:val="TableHeaders"/>
              <w:rPr>
                <w:rFonts w:ascii="Segoe UI" w:hAnsi="Segoe UI" w:cs="Segoe UI"/>
                <w:szCs w:val="18"/>
              </w:rPr>
            </w:pPr>
            <w:r w:rsidRPr="00652EFE">
              <w:t>Agency Specific Goal</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6EF91A3F" w14:textId="20A036A1" w:rsidR="00652EFE" w:rsidRPr="00652EFE" w:rsidRDefault="00652EFE" w:rsidP="00C87B05">
            <w:pPr>
              <w:pStyle w:val="TableHeaders"/>
              <w:rPr>
                <w:rFonts w:ascii="Segoe UI" w:hAnsi="Segoe UI" w:cs="Segoe UI"/>
                <w:szCs w:val="18"/>
              </w:rPr>
            </w:pPr>
            <w:r w:rsidRPr="00652EFE">
              <w:t>Statewide</w:t>
            </w:r>
          </w:p>
          <w:p w14:paraId="6570C68A" w14:textId="3D5C92C8" w:rsidR="00652EFE" w:rsidRPr="00652EFE" w:rsidRDefault="00652EFE" w:rsidP="00C87B05">
            <w:pPr>
              <w:pStyle w:val="TableHeaders"/>
              <w:rPr>
                <w:rFonts w:ascii="Segoe UI" w:hAnsi="Segoe UI" w:cs="Segoe UI"/>
                <w:szCs w:val="18"/>
              </w:rPr>
            </w:pPr>
            <w:r w:rsidRPr="00652EFE">
              <w:t>Goal</w:t>
            </w:r>
          </w:p>
        </w:tc>
      </w:tr>
      <w:tr w:rsidR="007A6852" w:rsidRPr="007A6852" w14:paraId="098156D7"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81FC56" w14:textId="77777777" w:rsidR="00652EFE" w:rsidRPr="007A6852" w:rsidRDefault="00652EFE" w:rsidP="00326BF6">
            <w:pPr>
              <w:pStyle w:val="TableText"/>
              <w:rPr>
                <w:rFonts w:ascii="Segoe UI" w:hAnsi="Segoe UI"/>
                <w:szCs w:val="18"/>
              </w:rPr>
            </w:pPr>
            <w:r w:rsidRPr="007A6852">
              <w:t>2022 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BA1994" w14:textId="77777777" w:rsidR="00652EFE" w:rsidRPr="007A6852" w:rsidRDefault="00652EFE" w:rsidP="00C87B05">
            <w:pPr>
              <w:pStyle w:val="TableText"/>
              <w:jc w:val="right"/>
              <w:rPr>
                <w:rFonts w:ascii="Segoe UI" w:hAnsi="Segoe UI"/>
                <w:szCs w:val="18"/>
              </w:rPr>
            </w:pPr>
            <w:r w:rsidRPr="007A6852">
              <w:t>$3,170,749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740E4C" w14:textId="77777777" w:rsidR="00652EFE" w:rsidRPr="007A6852" w:rsidRDefault="00652EFE" w:rsidP="00C87B05">
            <w:pPr>
              <w:pStyle w:val="TableText"/>
              <w:jc w:val="right"/>
              <w:rPr>
                <w:rFonts w:ascii="Segoe UI" w:hAnsi="Segoe UI"/>
                <w:szCs w:val="18"/>
              </w:rPr>
            </w:pPr>
            <w:r w:rsidRPr="007A6852">
              <w:t>$1,197,328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530AF" w14:textId="77777777" w:rsidR="00652EFE" w:rsidRPr="007A6852" w:rsidRDefault="00652EFE" w:rsidP="00C87B05">
            <w:pPr>
              <w:pStyle w:val="TableText"/>
              <w:jc w:val="right"/>
              <w:rPr>
                <w:rFonts w:ascii="Segoe UI" w:hAnsi="Segoe UI"/>
                <w:szCs w:val="18"/>
              </w:rPr>
            </w:pPr>
            <w:r w:rsidRPr="007A6852">
              <w:t>37.76%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397074" w14:textId="77777777" w:rsidR="00652EFE" w:rsidRPr="007A6852" w:rsidRDefault="00652EFE" w:rsidP="00C87B05">
            <w:pPr>
              <w:pStyle w:val="TableText"/>
              <w:jc w:val="right"/>
              <w:rPr>
                <w:rFonts w:ascii="Segoe UI" w:hAnsi="Segoe UI"/>
                <w:szCs w:val="18"/>
              </w:rPr>
            </w:pPr>
            <w:r w:rsidRPr="007A6852">
              <w:t>32.9%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C0BE5" w14:textId="77777777" w:rsidR="00652EFE" w:rsidRPr="007A6852" w:rsidRDefault="00652EFE" w:rsidP="00C87B05">
            <w:pPr>
              <w:pStyle w:val="TableText"/>
              <w:jc w:val="right"/>
              <w:rPr>
                <w:rFonts w:ascii="Segoe UI" w:hAnsi="Segoe UI"/>
                <w:szCs w:val="18"/>
              </w:rPr>
            </w:pPr>
            <w:r w:rsidRPr="007A6852">
              <w:t>32.9% </w:t>
            </w:r>
          </w:p>
        </w:tc>
      </w:tr>
      <w:tr w:rsidR="007A6852" w:rsidRPr="007A6852" w14:paraId="1B33C83C"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ED3951" w14:textId="77777777" w:rsidR="00652EFE" w:rsidRPr="007A6852" w:rsidRDefault="00652EFE" w:rsidP="00326BF6">
            <w:pPr>
              <w:pStyle w:val="TableText"/>
              <w:rPr>
                <w:rFonts w:ascii="Segoe UI" w:hAnsi="Segoe UI"/>
                <w:szCs w:val="18"/>
              </w:rPr>
            </w:pPr>
            <w:r w:rsidRPr="007A6852">
              <w:t>2023 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BCAFA4" w14:textId="77777777" w:rsidR="00652EFE" w:rsidRPr="007A6852" w:rsidRDefault="00652EFE" w:rsidP="00C87B05">
            <w:pPr>
              <w:pStyle w:val="TableText"/>
              <w:jc w:val="right"/>
              <w:rPr>
                <w:rFonts w:ascii="Segoe UI" w:hAnsi="Segoe UI"/>
                <w:szCs w:val="18"/>
              </w:rPr>
            </w:pPr>
            <w:r w:rsidRPr="007A6852">
              <w:t>$6,395,967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AB10E7" w14:textId="77777777" w:rsidR="00652EFE" w:rsidRPr="007A6852" w:rsidRDefault="00652EFE" w:rsidP="00C87B05">
            <w:pPr>
              <w:pStyle w:val="TableText"/>
              <w:jc w:val="right"/>
              <w:rPr>
                <w:rFonts w:ascii="Segoe UI" w:hAnsi="Segoe UI"/>
                <w:szCs w:val="18"/>
              </w:rPr>
            </w:pPr>
            <w:r w:rsidRPr="007A6852">
              <w:t>$767,295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43E17" w14:textId="77777777" w:rsidR="00652EFE" w:rsidRPr="007A6852" w:rsidRDefault="00652EFE" w:rsidP="00C87B05">
            <w:pPr>
              <w:pStyle w:val="TableText"/>
              <w:jc w:val="right"/>
              <w:rPr>
                <w:rFonts w:ascii="Segoe UI" w:hAnsi="Segoe UI"/>
                <w:szCs w:val="18"/>
              </w:rPr>
            </w:pPr>
            <w:r w:rsidRPr="007A6852">
              <w:t>12.05%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BEDFD5" w14:textId="77777777" w:rsidR="00652EFE" w:rsidRPr="007A6852" w:rsidRDefault="00652EFE" w:rsidP="00C87B05">
            <w:pPr>
              <w:pStyle w:val="TableText"/>
              <w:jc w:val="right"/>
              <w:rPr>
                <w:rFonts w:ascii="Segoe UI" w:hAnsi="Segoe UI"/>
                <w:szCs w:val="18"/>
              </w:rPr>
            </w:pPr>
            <w:r w:rsidRPr="007A6852">
              <w:t>32.9%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9DC24D" w14:textId="77777777" w:rsidR="00652EFE" w:rsidRPr="007A6852" w:rsidRDefault="00652EFE" w:rsidP="00C87B05">
            <w:pPr>
              <w:pStyle w:val="TableText"/>
              <w:jc w:val="right"/>
              <w:rPr>
                <w:rFonts w:ascii="Segoe UI" w:hAnsi="Segoe UI"/>
                <w:szCs w:val="18"/>
              </w:rPr>
            </w:pPr>
            <w:r w:rsidRPr="007A6852">
              <w:t>32.9% </w:t>
            </w:r>
          </w:p>
        </w:tc>
      </w:tr>
      <w:tr w:rsidR="007A6852" w:rsidRPr="007A6852" w14:paraId="5D02059D"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56B7B" w14:textId="77777777" w:rsidR="00652EFE" w:rsidRPr="007A6852" w:rsidRDefault="00652EFE" w:rsidP="00326BF6">
            <w:pPr>
              <w:pStyle w:val="TableText"/>
              <w:rPr>
                <w:rFonts w:ascii="Segoe UI" w:hAnsi="Segoe UI"/>
                <w:szCs w:val="18"/>
              </w:rPr>
            </w:pPr>
            <w:r w:rsidRPr="007A6852">
              <w:t>2024 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924AC" w14:textId="77777777" w:rsidR="00652EFE" w:rsidRPr="007A6852" w:rsidRDefault="00652EFE" w:rsidP="00C87B05">
            <w:pPr>
              <w:pStyle w:val="TableText"/>
              <w:jc w:val="right"/>
              <w:rPr>
                <w:rFonts w:ascii="Segoe UI" w:hAnsi="Segoe UI"/>
                <w:szCs w:val="18"/>
              </w:rPr>
            </w:pPr>
            <w:r w:rsidRPr="007A6852">
              <w:t>$11,838,958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10D644" w14:textId="77777777" w:rsidR="00652EFE" w:rsidRPr="007A6852" w:rsidRDefault="00652EFE" w:rsidP="00C87B05">
            <w:pPr>
              <w:pStyle w:val="TableText"/>
              <w:jc w:val="right"/>
              <w:rPr>
                <w:rFonts w:ascii="Segoe UI" w:hAnsi="Segoe UI"/>
                <w:szCs w:val="18"/>
              </w:rPr>
            </w:pPr>
            <w:r w:rsidRPr="007A6852">
              <w:t>$2,094,481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F8CB3D" w14:textId="77777777" w:rsidR="00652EFE" w:rsidRPr="007A6852" w:rsidRDefault="00652EFE" w:rsidP="00C87B05">
            <w:pPr>
              <w:pStyle w:val="TableText"/>
              <w:jc w:val="right"/>
              <w:rPr>
                <w:rFonts w:ascii="Segoe UI" w:hAnsi="Segoe UI"/>
                <w:szCs w:val="18"/>
              </w:rPr>
            </w:pPr>
            <w:r w:rsidRPr="007A6852">
              <w:t>17.69%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9C983" w14:textId="77777777" w:rsidR="00652EFE" w:rsidRPr="007A6852" w:rsidRDefault="00652EFE" w:rsidP="00C87B05">
            <w:pPr>
              <w:pStyle w:val="TableText"/>
              <w:jc w:val="right"/>
              <w:rPr>
                <w:rFonts w:ascii="Segoe UI" w:hAnsi="Segoe UI"/>
                <w:szCs w:val="18"/>
              </w:rPr>
            </w:pPr>
            <w:r w:rsidRPr="007A6852">
              <w:t>32.9%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D48512" w14:textId="77777777" w:rsidR="00652EFE" w:rsidRPr="007A6852" w:rsidRDefault="00652EFE" w:rsidP="00C87B05">
            <w:pPr>
              <w:pStyle w:val="TableText"/>
              <w:jc w:val="right"/>
              <w:rPr>
                <w:rFonts w:ascii="Segoe UI" w:hAnsi="Segoe UI"/>
                <w:szCs w:val="18"/>
              </w:rPr>
            </w:pPr>
            <w:r w:rsidRPr="007A6852">
              <w:t>32.9% </w:t>
            </w:r>
          </w:p>
        </w:tc>
      </w:tr>
    </w:tbl>
    <w:p w14:paraId="7C13C820" w14:textId="123BE517" w:rsidR="00CF0A54" w:rsidRPr="004162E0" w:rsidRDefault="00CF0A54" w:rsidP="004162E0">
      <w:pPr>
        <w:pStyle w:val="BodyText2"/>
        <w:rPr>
          <w:rStyle w:val="IntenseEmphasis"/>
          <w:b w:val="0"/>
          <w:bCs w:val="0"/>
          <w:color w:val="0070C0"/>
        </w:rPr>
      </w:pPr>
      <w:r w:rsidRPr="004162E0">
        <w:rPr>
          <w:rStyle w:val="IntenseEmphasis"/>
          <w:bCs w:val="0"/>
          <w:color w:val="0070C0"/>
        </w:rPr>
        <w:t>Professional Services</w:t>
      </w:r>
    </w:p>
    <w:tbl>
      <w:tblPr>
        <w:tblW w:w="0" w:type="dxa"/>
        <w:tblInd w:w="4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145"/>
        <w:gridCol w:w="1575"/>
        <w:gridCol w:w="1575"/>
        <w:gridCol w:w="1320"/>
        <w:gridCol w:w="1320"/>
        <w:gridCol w:w="1320"/>
      </w:tblGrid>
      <w:tr w:rsidR="00CB56B3" w:rsidRPr="00CB56B3" w14:paraId="796A1E48"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74BF56A1" w14:textId="2B7057F2" w:rsidR="00CB56B3" w:rsidRPr="00CB56B3" w:rsidRDefault="00CB56B3" w:rsidP="00CB43B7">
            <w:pPr>
              <w:pStyle w:val="TableHeaders"/>
              <w:rPr>
                <w:rFonts w:ascii="Segoe UI" w:hAnsi="Segoe UI" w:cs="Segoe UI"/>
                <w:szCs w:val="18"/>
              </w:rPr>
            </w:pPr>
            <w:r w:rsidRPr="00CB56B3">
              <w:t>Year</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6B6B41FE" w14:textId="0FEAA02E" w:rsidR="00CB56B3" w:rsidRPr="00CB56B3" w:rsidRDefault="00CB56B3" w:rsidP="00CB43B7">
            <w:pPr>
              <w:pStyle w:val="TableHeaders"/>
              <w:rPr>
                <w:rFonts w:ascii="Segoe UI" w:hAnsi="Segoe UI" w:cs="Segoe UI"/>
                <w:szCs w:val="18"/>
              </w:rPr>
            </w:pPr>
            <w:r w:rsidRPr="00CB56B3">
              <w:t>Total $ Spent</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CCF8F82" w14:textId="370FC034" w:rsidR="00CB56B3" w:rsidRPr="00CB56B3" w:rsidRDefault="00CB56B3" w:rsidP="00CB43B7">
            <w:pPr>
              <w:pStyle w:val="TableHeaders"/>
              <w:rPr>
                <w:rFonts w:ascii="Segoe UI" w:hAnsi="Segoe UI" w:cs="Segoe UI"/>
                <w:szCs w:val="18"/>
              </w:rPr>
            </w:pPr>
            <w:r w:rsidRPr="00CB56B3">
              <w:t>Total HUB</w:t>
            </w:r>
          </w:p>
          <w:p w14:paraId="11C126CD" w14:textId="724D6D45" w:rsidR="00CB56B3" w:rsidRPr="00CB56B3" w:rsidRDefault="00CB56B3" w:rsidP="00CB43B7">
            <w:pPr>
              <w:pStyle w:val="TableHeaders"/>
              <w:rPr>
                <w:rFonts w:ascii="Segoe UI" w:hAnsi="Segoe UI" w:cs="Segoe UI"/>
                <w:szCs w:val="18"/>
              </w:rPr>
            </w:pPr>
            <w:r w:rsidRPr="00CB56B3">
              <w:t>$ Spent</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39FA3F45" w14:textId="1F65DCDD" w:rsidR="00CB56B3" w:rsidRPr="00CB56B3" w:rsidRDefault="00CB56B3" w:rsidP="00CB43B7">
            <w:pPr>
              <w:pStyle w:val="TableHeaders"/>
              <w:rPr>
                <w:rFonts w:ascii="Segoe UI" w:hAnsi="Segoe UI" w:cs="Segoe UI"/>
                <w:szCs w:val="18"/>
              </w:rPr>
            </w:pPr>
            <w:r w:rsidRPr="00CB56B3">
              <w:t>Percentage of Total Spent on HUB</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05A07C4" w14:textId="21D6DA3C" w:rsidR="00CB56B3" w:rsidRPr="00CB56B3" w:rsidRDefault="00CB56B3" w:rsidP="00CB43B7">
            <w:pPr>
              <w:pStyle w:val="TableHeaders"/>
              <w:rPr>
                <w:rFonts w:ascii="Segoe UI" w:hAnsi="Segoe UI" w:cs="Segoe UI"/>
                <w:szCs w:val="18"/>
              </w:rPr>
            </w:pPr>
            <w:r w:rsidRPr="00CB56B3">
              <w:t>Agency Specific Goal</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28E8D1E8" w14:textId="4A7F025E" w:rsidR="00CB56B3" w:rsidRPr="00CB56B3" w:rsidRDefault="00CB56B3" w:rsidP="00CB43B7">
            <w:pPr>
              <w:pStyle w:val="TableHeaders"/>
              <w:rPr>
                <w:rFonts w:ascii="Segoe UI" w:hAnsi="Segoe UI" w:cs="Segoe UI"/>
                <w:szCs w:val="18"/>
              </w:rPr>
            </w:pPr>
            <w:r w:rsidRPr="00CB56B3">
              <w:t>Statewide</w:t>
            </w:r>
          </w:p>
          <w:p w14:paraId="06C973BF" w14:textId="058AB06F" w:rsidR="00CB56B3" w:rsidRPr="00CB56B3" w:rsidRDefault="00CB56B3" w:rsidP="00CB43B7">
            <w:pPr>
              <w:pStyle w:val="TableHeaders"/>
              <w:rPr>
                <w:rFonts w:ascii="Segoe UI" w:hAnsi="Segoe UI" w:cs="Segoe UI"/>
                <w:szCs w:val="18"/>
              </w:rPr>
            </w:pPr>
            <w:r w:rsidRPr="00CB56B3">
              <w:t>Goal</w:t>
            </w:r>
          </w:p>
        </w:tc>
      </w:tr>
      <w:tr w:rsidR="007A6852" w:rsidRPr="007A6852" w14:paraId="7CC37446"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89D53" w14:textId="77777777" w:rsidR="00CB56B3" w:rsidRPr="007A6852" w:rsidRDefault="00CB56B3" w:rsidP="00CB43B7">
            <w:pPr>
              <w:pStyle w:val="TableText"/>
              <w:rPr>
                <w:rFonts w:ascii="Segoe UI" w:hAnsi="Segoe UI"/>
                <w:szCs w:val="18"/>
              </w:rPr>
            </w:pPr>
            <w:r w:rsidRPr="007A6852">
              <w:t>2022 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586C05" w14:textId="77777777" w:rsidR="00CB56B3" w:rsidRPr="007A6852" w:rsidRDefault="00CB56B3" w:rsidP="00C87B05">
            <w:pPr>
              <w:pStyle w:val="TableText"/>
              <w:jc w:val="right"/>
              <w:rPr>
                <w:rFonts w:ascii="Segoe UI" w:hAnsi="Segoe UI"/>
                <w:szCs w:val="18"/>
              </w:rPr>
            </w:pPr>
            <w:r w:rsidRPr="007A6852">
              <w:t>$1,081,853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34C0D4" w14:textId="77777777" w:rsidR="00CB56B3" w:rsidRPr="007A6852" w:rsidRDefault="00CB56B3" w:rsidP="00C87B05">
            <w:pPr>
              <w:pStyle w:val="TableText"/>
              <w:jc w:val="right"/>
              <w:rPr>
                <w:rFonts w:ascii="Segoe UI" w:hAnsi="Segoe UI"/>
                <w:szCs w:val="18"/>
              </w:rPr>
            </w:pPr>
            <w:r w:rsidRPr="007A6852">
              <w:t>$852,144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D643A8" w14:textId="77777777" w:rsidR="00CB56B3" w:rsidRPr="007A6852" w:rsidRDefault="00CB56B3" w:rsidP="00C87B05">
            <w:pPr>
              <w:pStyle w:val="TableText"/>
              <w:jc w:val="right"/>
              <w:rPr>
                <w:rFonts w:ascii="Segoe UI" w:hAnsi="Segoe UI"/>
                <w:szCs w:val="18"/>
              </w:rPr>
            </w:pPr>
            <w:r w:rsidRPr="007A6852">
              <w:t>78.77%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E582E" w14:textId="77777777" w:rsidR="00CB56B3" w:rsidRPr="007A6852" w:rsidRDefault="00CB56B3" w:rsidP="00C87B05">
            <w:pPr>
              <w:pStyle w:val="TableText"/>
              <w:jc w:val="right"/>
              <w:rPr>
                <w:rFonts w:ascii="Segoe UI" w:hAnsi="Segoe UI"/>
                <w:szCs w:val="18"/>
              </w:rPr>
            </w:pPr>
            <w:r w:rsidRPr="007A6852">
              <w:t>23.7%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98F83" w14:textId="77777777" w:rsidR="00CB56B3" w:rsidRPr="007A6852" w:rsidRDefault="00CB56B3" w:rsidP="00C87B05">
            <w:pPr>
              <w:pStyle w:val="TableText"/>
              <w:jc w:val="right"/>
              <w:rPr>
                <w:rFonts w:ascii="Segoe UI" w:hAnsi="Segoe UI"/>
                <w:szCs w:val="18"/>
              </w:rPr>
            </w:pPr>
            <w:r w:rsidRPr="007A6852">
              <w:t>23.7% </w:t>
            </w:r>
          </w:p>
        </w:tc>
      </w:tr>
      <w:tr w:rsidR="007A6852" w:rsidRPr="007A6852" w14:paraId="01BC6821"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50908C" w14:textId="77777777" w:rsidR="00CB56B3" w:rsidRPr="007A6852" w:rsidRDefault="00CB56B3" w:rsidP="00CB43B7">
            <w:pPr>
              <w:pStyle w:val="TableText"/>
              <w:rPr>
                <w:rFonts w:ascii="Segoe UI" w:hAnsi="Segoe UI"/>
                <w:szCs w:val="18"/>
              </w:rPr>
            </w:pPr>
            <w:r w:rsidRPr="007A6852">
              <w:t>2023 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63316" w14:textId="77777777" w:rsidR="00CB56B3" w:rsidRPr="007A6852" w:rsidRDefault="00CB56B3" w:rsidP="00C87B05">
            <w:pPr>
              <w:pStyle w:val="TableText"/>
              <w:jc w:val="right"/>
              <w:rPr>
                <w:rFonts w:ascii="Segoe UI" w:hAnsi="Segoe UI"/>
                <w:szCs w:val="18"/>
              </w:rPr>
            </w:pPr>
            <w:r w:rsidRPr="007A6852">
              <w:t>$1,046,928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A29FF1" w14:textId="77777777" w:rsidR="00CB56B3" w:rsidRPr="007A6852" w:rsidRDefault="00CB56B3" w:rsidP="00C87B05">
            <w:pPr>
              <w:pStyle w:val="TableText"/>
              <w:jc w:val="right"/>
              <w:rPr>
                <w:rFonts w:ascii="Segoe UI" w:hAnsi="Segoe UI"/>
                <w:szCs w:val="18"/>
              </w:rPr>
            </w:pPr>
            <w:r w:rsidRPr="007A6852">
              <w:t>$1,019,670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DECF4B" w14:textId="77777777" w:rsidR="00CB56B3" w:rsidRPr="007A6852" w:rsidRDefault="00CB56B3" w:rsidP="00C87B05">
            <w:pPr>
              <w:pStyle w:val="TableText"/>
              <w:jc w:val="right"/>
              <w:rPr>
                <w:rFonts w:ascii="Segoe UI" w:hAnsi="Segoe UI"/>
                <w:szCs w:val="18"/>
              </w:rPr>
            </w:pPr>
            <w:r w:rsidRPr="007A6852">
              <w:t>97.40%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C35BEB" w14:textId="77777777" w:rsidR="00CB56B3" w:rsidRPr="007A6852" w:rsidRDefault="00CB56B3" w:rsidP="00C87B05">
            <w:pPr>
              <w:pStyle w:val="TableText"/>
              <w:jc w:val="right"/>
              <w:rPr>
                <w:rFonts w:ascii="Segoe UI" w:hAnsi="Segoe UI"/>
                <w:szCs w:val="18"/>
              </w:rPr>
            </w:pPr>
            <w:r w:rsidRPr="007A6852">
              <w:t>23.7%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A20E3" w14:textId="77777777" w:rsidR="00CB56B3" w:rsidRPr="007A6852" w:rsidRDefault="00CB56B3" w:rsidP="00C87B05">
            <w:pPr>
              <w:pStyle w:val="TableText"/>
              <w:jc w:val="right"/>
              <w:rPr>
                <w:rFonts w:ascii="Segoe UI" w:hAnsi="Segoe UI"/>
                <w:szCs w:val="18"/>
              </w:rPr>
            </w:pPr>
            <w:r w:rsidRPr="007A6852">
              <w:t>23.7% </w:t>
            </w:r>
          </w:p>
        </w:tc>
      </w:tr>
      <w:tr w:rsidR="007A6852" w:rsidRPr="007A6852" w14:paraId="7725D0B7"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F36E4A" w14:textId="77777777" w:rsidR="00CB56B3" w:rsidRPr="007A6852" w:rsidRDefault="00CB56B3" w:rsidP="00CB43B7">
            <w:pPr>
              <w:pStyle w:val="TableText"/>
              <w:rPr>
                <w:rFonts w:ascii="Segoe UI" w:hAnsi="Segoe UI"/>
                <w:szCs w:val="18"/>
              </w:rPr>
            </w:pPr>
            <w:r w:rsidRPr="007A6852">
              <w:t>2024 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ADE7C" w14:textId="77777777" w:rsidR="00CB56B3" w:rsidRPr="007A6852" w:rsidRDefault="00CB56B3" w:rsidP="00C87B05">
            <w:pPr>
              <w:pStyle w:val="TableText"/>
              <w:jc w:val="right"/>
              <w:rPr>
                <w:rFonts w:ascii="Segoe UI" w:hAnsi="Segoe UI"/>
                <w:szCs w:val="18"/>
              </w:rPr>
            </w:pPr>
            <w:r w:rsidRPr="007A6852">
              <w:t>$205,512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95FE1C" w14:textId="77777777" w:rsidR="00CB56B3" w:rsidRPr="007A6852" w:rsidRDefault="00CB56B3" w:rsidP="00C87B05">
            <w:pPr>
              <w:pStyle w:val="TableText"/>
              <w:jc w:val="right"/>
              <w:rPr>
                <w:rFonts w:ascii="Segoe UI" w:hAnsi="Segoe UI"/>
                <w:szCs w:val="18"/>
              </w:rPr>
            </w:pPr>
            <w:r w:rsidRPr="007A6852">
              <w:t>$198,902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24173" w14:textId="77777777" w:rsidR="00CB56B3" w:rsidRPr="007A6852" w:rsidRDefault="00CB56B3" w:rsidP="00C87B05">
            <w:pPr>
              <w:pStyle w:val="TableText"/>
              <w:jc w:val="right"/>
              <w:rPr>
                <w:rFonts w:ascii="Segoe UI" w:hAnsi="Segoe UI"/>
                <w:szCs w:val="18"/>
              </w:rPr>
            </w:pPr>
            <w:r w:rsidRPr="007A6852">
              <w:t>96.78%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D5CB58" w14:textId="77777777" w:rsidR="00CB56B3" w:rsidRPr="007A6852" w:rsidRDefault="00CB56B3" w:rsidP="00C87B05">
            <w:pPr>
              <w:pStyle w:val="TableText"/>
              <w:jc w:val="right"/>
              <w:rPr>
                <w:rFonts w:ascii="Segoe UI" w:hAnsi="Segoe UI"/>
                <w:szCs w:val="18"/>
              </w:rPr>
            </w:pPr>
            <w:r w:rsidRPr="007A6852">
              <w:t>23.7%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E6BE77" w14:textId="77777777" w:rsidR="00CB56B3" w:rsidRPr="007A6852" w:rsidRDefault="00CB56B3" w:rsidP="00C87B05">
            <w:pPr>
              <w:pStyle w:val="TableText"/>
              <w:jc w:val="right"/>
              <w:rPr>
                <w:rFonts w:ascii="Segoe UI" w:hAnsi="Segoe UI"/>
                <w:szCs w:val="18"/>
              </w:rPr>
            </w:pPr>
            <w:r w:rsidRPr="007A6852">
              <w:t>23.7% </w:t>
            </w:r>
          </w:p>
        </w:tc>
      </w:tr>
    </w:tbl>
    <w:p w14:paraId="24BEF4A6" w14:textId="69B98B53" w:rsidR="00CF0A54" w:rsidRPr="004162E0" w:rsidRDefault="00CF0A54" w:rsidP="004162E0">
      <w:pPr>
        <w:pStyle w:val="BodyText2"/>
        <w:rPr>
          <w:rStyle w:val="IntenseEmphasis"/>
          <w:b w:val="0"/>
          <w:bCs w:val="0"/>
          <w:color w:val="0070C0"/>
        </w:rPr>
      </w:pPr>
      <w:r w:rsidRPr="004162E0">
        <w:rPr>
          <w:rStyle w:val="IntenseEmphasis"/>
          <w:bCs w:val="0"/>
          <w:color w:val="0070C0"/>
        </w:rPr>
        <w:t>Other Services</w:t>
      </w:r>
    </w:p>
    <w:tbl>
      <w:tblPr>
        <w:tblW w:w="9255" w:type="dxa"/>
        <w:tblInd w:w="4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145"/>
        <w:gridCol w:w="1575"/>
        <w:gridCol w:w="1702"/>
        <w:gridCol w:w="1193"/>
        <w:gridCol w:w="1320"/>
        <w:gridCol w:w="1320"/>
      </w:tblGrid>
      <w:tr w:rsidR="00254C66" w:rsidRPr="00254C66" w14:paraId="79C53808"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467F4996" w14:textId="349F5576" w:rsidR="00254C66" w:rsidRPr="00254C66" w:rsidRDefault="00254C66" w:rsidP="00CB43B7">
            <w:pPr>
              <w:pStyle w:val="TableHeaders"/>
              <w:rPr>
                <w:rFonts w:ascii="Segoe UI" w:hAnsi="Segoe UI" w:cs="Segoe UI"/>
                <w:szCs w:val="18"/>
              </w:rPr>
            </w:pPr>
            <w:r w:rsidRPr="00254C66">
              <w:t>Year</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1C36CDB8" w14:textId="5F9E601D" w:rsidR="00254C66" w:rsidRPr="00254C66" w:rsidRDefault="00254C66" w:rsidP="00CB43B7">
            <w:pPr>
              <w:pStyle w:val="TableHeaders"/>
              <w:rPr>
                <w:rFonts w:ascii="Segoe UI" w:hAnsi="Segoe UI" w:cs="Segoe UI"/>
                <w:szCs w:val="18"/>
              </w:rPr>
            </w:pPr>
            <w:r w:rsidRPr="00254C66">
              <w:t>Total $ Spent</w:t>
            </w:r>
          </w:p>
        </w:tc>
        <w:tc>
          <w:tcPr>
            <w:tcW w:w="1702"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7D7ED798" w14:textId="59DA26FA" w:rsidR="00254C66" w:rsidRPr="00254C66" w:rsidRDefault="00254C66" w:rsidP="00CB43B7">
            <w:pPr>
              <w:pStyle w:val="TableHeaders"/>
              <w:rPr>
                <w:rFonts w:ascii="Segoe UI" w:hAnsi="Segoe UI" w:cs="Segoe UI"/>
                <w:szCs w:val="18"/>
              </w:rPr>
            </w:pPr>
            <w:r w:rsidRPr="00254C66">
              <w:t>Total HUB</w:t>
            </w:r>
          </w:p>
          <w:p w14:paraId="0621D490" w14:textId="21163AFC" w:rsidR="00254C66" w:rsidRPr="00254C66" w:rsidRDefault="00254C66" w:rsidP="00CB43B7">
            <w:pPr>
              <w:pStyle w:val="TableHeaders"/>
              <w:rPr>
                <w:rFonts w:ascii="Segoe UI" w:hAnsi="Segoe UI" w:cs="Segoe UI"/>
                <w:szCs w:val="18"/>
              </w:rPr>
            </w:pPr>
            <w:r w:rsidRPr="00254C66">
              <w:t>$ Spent</w:t>
            </w:r>
          </w:p>
        </w:tc>
        <w:tc>
          <w:tcPr>
            <w:tcW w:w="1193"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AE452FB" w14:textId="6CE19A2E" w:rsidR="00254C66" w:rsidRPr="00254C66" w:rsidRDefault="00254C66" w:rsidP="00CB43B7">
            <w:pPr>
              <w:pStyle w:val="TableHeaders"/>
              <w:rPr>
                <w:rFonts w:ascii="Segoe UI" w:hAnsi="Segoe UI" w:cs="Segoe UI"/>
                <w:szCs w:val="18"/>
              </w:rPr>
            </w:pPr>
            <w:r w:rsidRPr="00254C66">
              <w:t>Percentage of Total Spent on HUB</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45049A5" w14:textId="25E4BF3D" w:rsidR="00254C66" w:rsidRPr="00254C66" w:rsidRDefault="00254C66" w:rsidP="00CB43B7">
            <w:pPr>
              <w:pStyle w:val="TableHeaders"/>
              <w:rPr>
                <w:rFonts w:ascii="Segoe UI" w:hAnsi="Segoe UI" w:cs="Segoe UI"/>
                <w:szCs w:val="18"/>
              </w:rPr>
            </w:pPr>
            <w:r w:rsidRPr="00254C66">
              <w:t>Agency Specific Goal</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1725E5FB" w14:textId="5389499F" w:rsidR="00254C66" w:rsidRPr="00254C66" w:rsidRDefault="00254C66" w:rsidP="00CB43B7">
            <w:pPr>
              <w:pStyle w:val="TableHeaders"/>
              <w:rPr>
                <w:rFonts w:ascii="Segoe UI" w:hAnsi="Segoe UI" w:cs="Segoe UI"/>
                <w:szCs w:val="18"/>
              </w:rPr>
            </w:pPr>
            <w:r w:rsidRPr="00254C66">
              <w:t>Statewide</w:t>
            </w:r>
          </w:p>
          <w:p w14:paraId="23F49A03" w14:textId="54DA3705" w:rsidR="00254C66" w:rsidRPr="00254C66" w:rsidRDefault="00254C66" w:rsidP="00CB43B7">
            <w:pPr>
              <w:pStyle w:val="TableHeaders"/>
              <w:rPr>
                <w:rFonts w:ascii="Segoe UI" w:hAnsi="Segoe UI" w:cs="Segoe UI"/>
                <w:szCs w:val="18"/>
              </w:rPr>
            </w:pPr>
            <w:r w:rsidRPr="00254C66">
              <w:t>Goal</w:t>
            </w:r>
          </w:p>
        </w:tc>
      </w:tr>
      <w:tr w:rsidR="007D59E8" w:rsidRPr="007D59E8" w14:paraId="61B429D1"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038E08" w14:textId="77777777" w:rsidR="00254C66" w:rsidRPr="007D59E8" w:rsidRDefault="00254C66" w:rsidP="00CB43B7">
            <w:pPr>
              <w:pStyle w:val="TableText"/>
              <w:rPr>
                <w:rFonts w:ascii="Segoe UI" w:hAnsi="Segoe UI"/>
                <w:szCs w:val="18"/>
              </w:rPr>
            </w:pPr>
            <w:r w:rsidRPr="007D59E8">
              <w:t>2022 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6C9DF4" w14:textId="77777777" w:rsidR="00254C66" w:rsidRPr="007D59E8" w:rsidRDefault="00254C66" w:rsidP="00C87B05">
            <w:pPr>
              <w:pStyle w:val="TableText"/>
              <w:jc w:val="right"/>
              <w:rPr>
                <w:rFonts w:ascii="Segoe UI" w:hAnsi="Segoe UI"/>
                <w:szCs w:val="18"/>
              </w:rPr>
            </w:pPr>
            <w:r w:rsidRPr="007D59E8">
              <w:t>$69,653,806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45356" w14:textId="77777777" w:rsidR="00254C66" w:rsidRPr="007D59E8" w:rsidRDefault="00254C66" w:rsidP="00C87B05">
            <w:pPr>
              <w:pStyle w:val="TableText"/>
              <w:jc w:val="right"/>
              <w:rPr>
                <w:rFonts w:ascii="Segoe UI" w:hAnsi="Segoe UI"/>
                <w:szCs w:val="18"/>
              </w:rPr>
            </w:pPr>
            <w:r w:rsidRPr="007D59E8">
              <w:t>$21,334,013 </w:t>
            </w:r>
          </w:p>
        </w:tc>
        <w:tc>
          <w:tcPr>
            <w:tcW w:w="11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2DDED7" w14:textId="77777777" w:rsidR="00254C66" w:rsidRPr="007D59E8" w:rsidRDefault="00254C66" w:rsidP="00C87B05">
            <w:pPr>
              <w:pStyle w:val="TableText"/>
              <w:jc w:val="right"/>
              <w:rPr>
                <w:rFonts w:ascii="Segoe UI" w:hAnsi="Segoe UI"/>
                <w:szCs w:val="18"/>
              </w:rPr>
            </w:pPr>
            <w:r w:rsidRPr="007D59E8">
              <w:t>30.63%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CA945B" w14:textId="77777777" w:rsidR="00254C66" w:rsidRPr="007D59E8" w:rsidRDefault="00254C66" w:rsidP="00C87B05">
            <w:pPr>
              <w:pStyle w:val="TableText"/>
              <w:jc w:val="right"/>
              <w:rPr>
                <w:rFonts w:ascii="Segoe UI" w:hAnsi="Segoe UI"/>
                <w:szCs w:val="18"/>
              </w:rPr>
            </w:pPr>
            <w:r w:rsidRPr="007D59E8">
              <w:t>26.0%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AA2E03" w14:textId="77777777" w:rsidR="00254C66" w:rsidRPr="007D59E8" w:rsidRDefault="00254C66" w:rsidP="00C87B05">
            <w:pPr>
              <w:pStyle w:val="TableText"/>
              <w:jc w:val="right"/>
              <w:rPr>
                <w:rFonts w:ascii="Segoe UI" w:hAnsi="Segoe UI"/>
                <w:szCs w:val="18"/>
              </w:rPr>
            </w:pPr>
            <w:r w:rsidRPr="007D59E8">
              <w:t>26.0% </w:t>
            </w:r>
          </w:p>
        </w:tc>
      </w:tr>
      <w:tr w:rsidR="007D59E8" w:rsidRPr="007D59E8" w14:paraId="228FD034"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B51329" w14:textId="77777777" w:rsidR="00254C66" w:rsidRPr="007D59E8" w:rsidRDefault="00254C66" w:rsidP="00CB43B7">
            <w:pPr>
              <w:pStyle w:val="TableText"/>
              <w:rPr>
                <w:rFonts w:ascii="Segoe UI" w:hAnsi="Segoe UI"/>
                <w:szCs w:val="18"/>
              </w:rPr>
            </w:pPr>
            <w:r w:rsidRPr="007D59E8">
              <w:t>2023 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ACFCBC" w14:textId="77777777" w:rsidR="00254C66" w:rsidRPr="007D59E8" w:rsidRDefault="00254C66" w:rsidP="00C87B05">
            <w:pPr>
              <w:pStyle w:val="TableText"/>
              <w:jc w:val="right"/>
              <w:rPr>
                <w:rFonts w:ascii="Segoe UI" w:hAnsi="Segoe UI"/>
                <w:szCs w:val="18"/>
              </w:rPr>
            </w:pPr>
            <w:r w:rsidRPr="007D59E8">
              <w:t>$179,207,422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68A743" w14:textId="77777777" w:rsidR="00254C66" w:rsidRPr="007D59E8" w:rsidRDefault="00254C66" w:rsidP="00C87B05">
            <w:pPr>
              <w:pStyle w:val="TableText"/>
              <w:jc w:val="right"/>
              <w:rPr>
                <w:rFonts w:ascii="Segoe UI" w:hAnsi="Segoe UI"/>
                <w:szCs w:val="18"/>
              </w:rPr>
            </w:pPr>
            <w:r w:rsidRPr="007D59E8">
              <w:t>$17,626,792 </w:t>
            </w:r>
          </w:p>
        </w:tc>
        <w:tc>
          <w:tcPr>
            <w:tcW w:w="11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E5B5EA" w14:textId="77777777" w:rsidR="00254C66" w:rsidRPr="007D59E8" w:rsidRDefault="00254C66" w:rsidP="00C87B05">
            <w:pPr>
              <w:pStyle w:val="TableText"/>
              <w:jc w:val="right"/>
              <w:rPr>
                <w:rFonts w:ascii="Segoe UI" w:hAnsi="Segoe UI"/>
                <w:szCs w:val="18"/>
              </w:rPr>
            </w:pPr>
            <w:r w:rsidRPr="007D59E8">
              <w:t>9.84%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80C685" w14:textId="77777777" w:rsidR="00254C66" w:rsidRPr="007D59E8" w:rsidRDefault="00254C66" w:rsidP="00C87B05">
            <w:pPr>
              <w:pStyle w:val="TableText"/>
              <w:jc w:val="right"/>
              <w:rPr>
                <w:rFonts w:ascii="Segoe UI" w:hAnsi="Segoe UI"/>
                <w:szCs w:val="18"/>
              </w:rPr>
            </w:pPr>
            <w:r w:rsidRPr="007D59E8">
              <w:t>26.0%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4CC78A" w14:textId="77777777" w:rsidR="00254C66" w:rsidRPr="007D59E8" w:rsidRDefault="00254C66" w:rsidP="00C87B05">
            <w:pPr>
              <w:pStyle w:val="TableText"/>
              <w:jc w:val="right"/>
              <w:rPr>
                <w:rFonts w:ascii="Segoe UI" w:hAnsi="Segoe UI"/>
                <w:szCs w:val="18"/>
              </w:rPr>
            </w:pPr>
            <w:r w:rsidRPr="007D59E8">
              <w:t>26.0% </w:t>
            </w:r>
          </w:p>
        </w:tc>
      </w:tr>
      <w:tr w:rsidR="007D59E8" w:rsidRPr="007D59E8" w14:paraId="78E0CCAF"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3310EB" w14:textId="77777777" w:rsidR="00254C66" w:rsidRPr="007D59E8" w:rsidRDefault="00254C66" w:rsidP="00CB43B7">
            <w:pPr>
              <w:pStyle w:val="TableText"/>
              <w:rPr>
                <w:rFonts w:ascii="Segoe UI" w:hAnsi="Segoe UI"/>
                <w:szCs w:val="18"/>
              </w:rPr>
            </w:pPr>
            <w:r w:rsidRPr="007D59E8">
              <w:t>2024 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CB96B" w14:textId="77777777" w:rsidR="00254C66" w:rsidRPr="007D59E8" w:rsidRDefault="00254C66" w:rsidP="00C87B05">
            <w:pPr>
              <w:pStyle w:val="TableText"/>
              <w:jc w:val="right"/>
              <w:rPr>
                <w:rFonts w:ascii="Segoe UI" w:hAnsi="Segoe UI"/>
                <w:szCs w:val="18"/>
              </w:rPr>
            </w:pPr>
            <w:r w:rsidRPr="007D59E8">
              <w:t>$201,156,935 </w:t>
            </w:r>
          </w:p>
        </w:tc>
        <w:tc>
          <w:tcPr>
            <w:tcW w:w="170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024AF6" w14:textId="77777777" w:rsidR="00254C66" w:rsidRPr="007D59E8" w:rsidRDefault="64886B2F" w:rsidP="00C87B05">
            <w:pPr>
              <w:pStyle w:val="TableText"/>
              <w:jc w:val="right"/>
              <w:rPr>
                <w:rFonts w:ascii="Segoe UI" w:hAnsi="Segoe UI"/>
                <w:szCs w:val="18"/>
              </w:rPr>
            </w:pPr>
            <w:r>
              <w:t>$18,098,257 </w:t>
            </w:r>
          </w:p>
        </w:tc>
        <w:tc>
          <w:tcPr>
            <w:tcW w:w="119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02B155" w14:textId="77777777" w:rsidR="00254C66" w:rsidRPr="007D59E8" w:rsidRDefault="64886B2F" w:rsidP="00C87B05">
            <w:pPr>
              <w:pStyle w:val="TableText"/>
              <w:jc w:val="right"/>
              <w:rPr>
                <w:rFonts w:ascii="Segoe UI" w:hAnsi="Segoe UI"/>
                <w:szCs w:val="18"/>
              </w:rPr>
            </w:pPr>
            <w:r>
              <w:t>9.00%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9EE5C" w14:textId="77777777" w:rsidR="00254C66" w:rsidRPr="007D59E8" w:rsidRDefault="00254C66" w:rsidP="00C87B05">
            <w:pPr>
              <w:pStyle w:val="TableText"/>
              <w:jc w:val="right"/>
              <w:rPr>
                <w:rFonts w:ascii="Segoe UI" w:hAnsi="Segoe UI"/>
                <w:szCs w:val="18"/>
              </w:rPr>
            </w:pPr>
            <w:r w:rsidRPr="007D59E8">
              <w:t>26.0%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1A0939" w14:textId="77777777" w:rsidR="00254C66" w:rsidRPr="007D59E8" w:rsidRDefault="00254C66" w:rsidP="00C87B05">
            <w:pPr>
              <w:pStyle w:val="TableText"/>
              <w:jc w:val="right"/>
              <w:rPr>
                <w:rFonts w:ascii="Segoe UI" w:hAnsi="Segoe UI"/>
                <w:szCs w:val="18"/>
              </w:rPr>
            </w:pPr>
            <w:r w:rsidRPr="007D59E8">
              <w:t>26.0% </w:t>
            </w:r>
          </w:p>
        </w:tc>
      </w:tr>
    </w:tbl>
    <w:p w14:paraId="7F681DE1" w14:textId="773D9EAE" w:rsidR="00CF0A54" w:rsidRPr="004162E0" w:rsidRDefault="00CF0A54" w:rsidP="004162E0">
      <w:pPr>
        <w:pStyle w:val="BodyText2"/>
        <w:rPr>
          <w:rStyle w:val="IntenseEmphasis"/>
          <w:b w:val="0"/>
          <w:bCs w:val="0"/>
          <w:color w:val="0070C0"/>
        </w:rPr>
      </w:pPr>
      <w:r w:rsidRPr="004162E0">
        <w:rPr>
          <w:rStyle w:val="IntenseEmphasis"/>
          <w:bCs w:val="0"/>
          <w:color w:val="0070C0"/>
        </w:rPr>
        <w:t>Commodities</w:t>
      </w:r>
    </w:p>
    <w:tbl>
      <w:tblPr>
        <w:tblW w:w="0" w:type="dxa"/>
        <w:tblInd w:w="45" w:type="dxa"/>
        <w:tblBorders>
          <w:top w:val="outset" w:sz="6" w:space="0" w:color="auto"/>
          <w:left w:val="outset" w:sz="6" w:space="0" w:color="auto"/>
          <w:bottom w:val="outset" w:sz="6" w:space="0" w:color="auto"/>
          <w:right w:val="outset" w:sz="6" w:space="0" w:color="auto"/>
        </w:tblBorders>
        <w:tblCellMar>
          <w:top w:w="72" w:type="dxa"/>
          <w:left w:w="72" w:type="dxa"/>
          <w:bottom w:w="72" w:type="dxa"/>
          <w:right w:w="72" w:type="dxa"/>
        </w:tblCellMar>
        <w:tblLook w:val="04A0" w:firstRow="1" w:lastRow="0" w:firstColumn="1" w:lastColumn="0" w:noHBand="0" w:noVBand="1"/>
      </w:tblPr>
      <w:tblGrid>
        <w:gridCol w:w="2145"/>
        <w:gridCol w:w="1575"/>
        <w:gridCol w:w="1575"/>
        <w:gridCol w:w="1320"/>
        <w:gridCol w:w="1320"/>
        <w:gridCol w:w="1320"/>
      </w:tblGrid>
      <w:tr w:rsidR="00AB05CD" w:rsidRPr="00AB05CD" w14:paraId="0F81480E"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5FFD083" w14:textId="527DA7FC" w:rsidR="00AB05CD" w:rsidRPr="00AB05CD" w:rsidRDefault="00AB05CD" w:rsidP="00CB43B7">
            <w:pPr>
              <w:pStyle w:val="TableHeaders"/>
              <w:rPr>
                <w:rFonts w:ascii="Segoe UI" w:hAnsi="Segoe UI" w:cs="Segoe UI"/>
                <w:szCs w:val="18"/>
              </w:rPr>
            </w:pPr>
            <w:r w:rsidRPr="00AB05CD">
              <w:lastRenderedPageBreak/>
              <w:t>Year</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1EF1E4F" w14:textId="39A26156" w:rsidR="00AB05CD" w:rsidRPr="00AB05CD" w:rsidRDefault="00AB05CD" w:rsidP="00CB43B7">
            <w:pPr>
              <w:pStyle w:val="TableHeaders"/>
              <w:rPr>
                <w:rFonts w:ascii="Segoe UI" w:hAnsi="Segoe UI" w:cs="Segoe UI"/>
                <w:szCs w:val="18"/>
              </w:rPr>
            </w:pPr>
            <w:r w:rsidRPr="00AB05CD">
              <w:t>Total $ Spent</w:t>
            </w:r>
          </w:p>
        </w:tc>
        <w:tc>
          <w:tcPr>
            <w:tcW w:w="1575"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5D6AAC0B" w14:textId="257D0493" w:rsidR="00AB05CD" w:rsidRPr="00AB05CD" w:rsidRDefault="00AB05CD" w:rsidP="00CB43B7">
            <w:pPr>
              <w:pStyle w:val="TableHeaders"/>
              <w:rPr>
                <w:rFonts w:ascii="Segoe UI" w:hAnsi="Segoe UI" w:cs="Segoe UI"/>
                <w:szCs w:val="18"/>
              </w:rPr>
            </w:pPr>
            <w:r w:rsidRPr="00AB05CD">
              <w:t>Total HUB</w:t>
            </w:r>
          </w:p>
          <w:p w14:paraId="6056F8B0" w14:textId="48253732" w:rsidR="00AB05CD" w:rsidRPr="00AB05CD" w:rsidRDefault="00AB05CD" w:rsidP="00CB43B7">
            <w:pPr>
              <w:pStyle w:val="TableHeaders"/>
              <w:rPr>
                <w:rFonts w:ascii="Segoe UI" w:hAnsi="Segoe UI" w:cs="Segoe UI"/>
                <w:szCs w:val="18"/>
              </w:rPr>
            </w:pPr>
            <w:r w:rsidRPr="00AB05CD">
              <w:t>$ Spent</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038F57DA" w14:textId="56C3510E" w:rsidR="00AB05CD" w:rsidRPr="00AB05CD" w:rsidRDefault="00AB05CD" w:rsidP="00CB43B7">
            <w:pPr>
              <w:pStyle w:val="TableHeaders"/>
              <w:rPr>
                <w:rFonts w:ascii="Segoe UI" w:hAnsi="Segoe UI" w:cs="Segoe UI"/>
                <w:szCs w:val="18"/>
              </w:rPr>
            </w:pPr>
            <w:r w:rsidRPr="00AB05CD">
              <w:t>Percentage of Total Spent on HUB</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2D29E67E" w14:textId="1E096266" w:rsidR="00AB05CD" w:rsidRPr="00AB05CD" w:rsidRDefault="00AB05CD" w:rsidP="00CB43B7">
            <w:pPr>
              <w:pStyle w:val="TableHeaders"/>
              <w:rPr>
                <w:rFonts w:ascii="Segoe UI" w:hAnsi="Segoe UI" w:cs="Segoe UI"/>
                <w:szCs w:val="18"/>
              </w:rPr>
            </w:pPr>
            <w:r w:rsidRPr="00AB05CD">
              <w:t>Agency Specific Goal</w:t>
            </w:r>
          </w:p>
        </w:tc>
        <w:tc>
          <w:tcPr>
            <w:tcW w:w="1320" w:type="dxa"/>
            <w:tcBorders>
              <w:top w:val="single" w:sz="6" w:space="0" w:color="auto"/>
              <w:left w:val="single" w:sz="6" w:space="0" w:color="auto"/>
              <w:bottom w:val="single" w:sz="6" w:space="0" w:color="auto"/>
              <w:right w:val="single" w:sz="6" w:space="0" w:color="auto"/>
            </w:tcBorders>
            <w:shd w:val="clear" w:color="auto" w:fill="DAE8F8"/>
            <w:vAlign w:val="center"/>
            <w:hideMark/>
          </w:tcPr>
          <w:p w14:paraId="3B7C2E44" w14:textId="6910B480" w:rsidR="00AB05CD" w:rsidRPr="00AB05CD" w:rsidRDefault="00AB05CD" w:rsidP="00CB43B7">
            <w:pPr>
              <w:pStyle w:val="TableHeaders"/>
              <w:rPr>
                <w:rFonts w:ascii="Segoe UI" w:hAnsi="Segoe UI" w:cs="Segoe UI"/>
                <w:szCs w:val="18"/>
              </w:rPr>
            </w:pPr>
            <w:r w:rsidRPr="00AB05CD">
              <w:t>Statewide</w:t>
            </w:r>
          </w:p>
          <w:p w14:paraId="2607ACEA" w14:textId="40E97D59" w:rsidR="00AB05CD" w:rsidRPr="00AB05CD" w:rsidRDefault="00AB05CD" w:rsidP="00CB43B7">
            <w:pPr>
              <w:pStyle w:val="TableHeaders"/>
              <w:rPr>
                <w:rFonts w:ascii="Segoe UI" w:hAnsi="Segoe UI" w:cs="Segoe UI"/>
                <w:szCs w:val="18"/>
              </w:rPr>
            </w:pPr>
            <w:r w:rsidRPr="00AB05CD">
              <w:t>Goal</w:t>
            </w:r>
          </w:p>
        </w:tc>
      </w:tr>
      <w:tr w:rsidR="008E4732" w:rsidRPr="008E4732" w14:paraId="4A2DF3C0"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B5F9A8" w14:textId="77777777" w:rsidR="00AB05CD" w:rsidRPr="008E4732" w:rsidRDefault="00AB05CD" w:rsidP="00AF78E2">
            <w:pPr>
              <w:pStyle w:val="TableText"/>
              <w:rPr>
                <w:rFonts w:ascii="Segoe UI" w:hAnsi="Segoe UI"/>
                <w:szCs w:val="18"/>
              </w:rPr>
            </w:pPr>
            <w:r w:rsidRPr="008E4732">
              <w:t>2022 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378130" w14:textId="77777777" w:rsidR="00AB05CD" w:rsidRPr="008E4732" w:rsidRDefault="00AB05CD" w:rsidP="00C87B05">
            <w:pPr>
              <w:pStyle w:val="TableText"/>
              <w:jc w:val="right"/>
              <w:rPr>
                <w:rFonts w:ascii="Segoe UI" w:hAnsi="Segoe UI"/>
                <w:szCs w:val="18"/>
              </w:rPr>
            </w:pPr>
            <w:r w:rsidRPr="008E4732">
              <w:t>$19,782,427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6402A6" w14:textId="77777777" w:rsidR="00AB05CD" w:rsidRPr="008E4732" w:rsidRDefault="00AB05CD" w:rsidP="00C87B05">
            <w:pPr>
              <w:pStyle w:val="TableText"/>
              <w:jc w:val="right"/>
              <w:rPr>
                <w:rFonts w:ascii="Segoe UI" w:hAnsi="Segoe UI"/>
                <w:szCs w:val="18"/>
              </w:rPr>
            </w:pPr>
            <w:r w:rsidRPr="008E4732">
              <w:t>$2,376,027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69004" w14:textId="77777777" w:rsidR="00AB05CD" w:rsidRPr="008E4732" w:rsidRDefault="00AB05CD" w:rsidP="00C87B05">
            <w:pPr>
              <w:pStyle w:val="TableText"/>
              <w:jc w:val="right"/>
              <w:rPr>
                <w:rFonts w:ascii="Segoe UI" w:hAnsi="Segoe UI"/>
                <w:szCs w:val="18"/>
              </w:rPr>
            </w:pPr>
            <w:r w:rsidRPr="008E4732">
              <w:t>12.01%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8FD101" w14:textId="77777777" w:rsidR="00AB05CD" w:rsidRPr="008E4732" w:rsidRDefault="00AB05CD" w:rsidP="00C87B05">
            <w:pPr>
              <w:pStyle w:val="TableText"/>
              <w:jc w:val="right"/>
              <w:rPr>
                <w:rFonts w:ascii="Segoe UI" w:hAnsi="Segoe UI"/>
                <w:szCs w:val="18"/>
              </w:rPr>
            </w:pPr>
            <w:r w:rsidRPr="008E4732">
              <w:t>21.1%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51EE41" w14:textId="77777777" w:rsidR="00AB05CD" w:rsidRPr="008E4732" w:rsidRDefault="00AB05CD" w:rsidP="00C87B05">
            <w:pPr>
              <w:pStyle w:val="TableText"/>
              <w:jc w:val="right"/>
              <w:rPr>
                <w:rFonts w:ascii="Segoe UI" w:hAnsi="Segoe UI"/>
                <w:szCs w:val="18"/>
              </w:rPr>
            </w:pPr>
            <w:r w:rsidRPr="008E4732">
              <w:t>21.1% </w:t>
            </w:r>
          </w:p>
        </w:tc>
      </w:tr>
      <w:tr w:rsidR="008E4732" w:rsidRPr="008E4732" w14:paraId="61DD6372"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ECF92B" w14:textId="77777777" w:rsidR="00AB05CD" w:rsidRPr="008E4732" w:rsidRDefault="00AB05CD" w:rsidP="00AF78E2">
            <w:pPr>
              <w:pStyle w:val="TableText"/>
              <w:rPr>
                <w:rFonts w:ascii="Segoe UI" w:hAnsi="Segoe UI"/>
                <w:szCs w:val="18"/>
              </w:rPr>
            </w:pPr>
            <w:r w:rsidRPr="008E4732">
              <w:t>2023 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1FE075" w14:textId="77777777" w:rsidR="00AB05CD" w:rsidRPr="008E4732" w:rsidRDefault="00AB05CD" w:rsidP="00C87B05">
            <w:pPr>
              <w:pStyle w:val="TableText"/>
              <w:jc w:val="right"/>
              <w:rPr>
                <w:rFonts w:ascii="Segoe UI" w:hAnsi="Segoe UI"/>
                <w:szCs w:val="18"/>
              </w:rPr>
            </w:pPr>
            <w:r w:rsidRPr="008E4732">
              <w:t>$12,994,149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F2A951" w14:textId="77777777" w:rsidR="00AB05CD" w:rsidRPr="008E4732" w:rsidRDefault="00AB05CD" w:rsidP="00C87B05">
            <w:pPr>
              <w:pStyle w:val="TableText"/>
              <w:jc w:val="right"/>
              <w:rPr>
                <w:rFonts w:ascii="Segoe UI" w:hAnsi="Segoe UI"/>
                <w:szCs w:val="18"/>
              </w:rPr>
            </w:pPr>
            <w:r w:rsidRPr="008E4732">
              <w:t>$6,315,044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666D6" w14:textId="77777777" w:rsidR="00AB05CD" w:rsidRPr="008E4732" w:rsidRDefault="00AB05CD" w:rsidP="00C87B05">
            <w:pPr>
              <w:pStyle w:val="TableText"/>
              <w:jc w:val="right"/>
              <w:rPr>
                <w:rFonts w:ascii="Segoe UI" w:hAnsi="Segoe UI"/>
                <w:szCs w:val="18"/>
              </w:rPr>
            </w:pPr>
            <w:r w:rsidRPr="008E4732">
              <w:t>48.0%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B3F47C" w14:textId="77777777" w:rsidR="00AB05CD" w:rsidRPr="008E4732" w:rsidRDefault="00AB05CD" w:rsidP="00C87B05">
            <w:pPr>
              <w:pStyle w:val="TableText"/>
              <w:jc w:val="right"/>
              <w:rPr>
                <w:rFonts w:ascii="Segoe UI" w:hAnsi="Segoe UI"/>
                <w:szCs w:val="18"/>
              </w:rPr>
            </w:pPr>
            <w:r w:rsidRPr="008E4732">
              <w:t>21.1%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B72398" w14:textId="77777777" w:rsidR="00AB05CD" w:rsidRPr="008E4732" w:rsidRDefault="00AB05CD" w:rsidP="00C87B05">
            <w:pPr>
              <w:pStyle w:val="TableText"/>
              <w:jc w:val="right"/>
              <w:rPr>
                <w:rFonts w:ascii="Segoe UI" w:hAnsi="Segoe UI"/>
                <w:szCs w:val="18"/>
              </w:rPr>
            </w:pPr>
            <w:r w:rsidRPr="008E4732">
              <w:t>21.1% </w:t>
            </w:r>
          </w:p>
        </w:tc>
      </w:tr>
      <w:tr w:rsidR="008E4732" w:rsidRPr="008E4732" w14:paraId="2F1973B1" w14:textId="77777777" w:rsidTr="00C87B05">
        <w:trPr>
          <w:trHeight w:val="300"/>
        </w:trPr>
        <w:tc>
          <w:tcPr>
            <w:tcW w:w="21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CF578" w14:textId="77777777" w:rsidR="00AB05CD" w:rsidRPr="008E4732" w:rsidRDefault="00AB05CD" w:rsidP="00AF78E2">
            <w:pPr>
              <w:pStyle w:val="TableText"/>
              <w:rPr>
                <w:rFonts w:ascii="Segoe UI" w:hAnsi="Segoe UI"/>
                <w:szCs w:val="18"/>
              </w:rPr>
            </w:pPr>
            <w:r w:rsidRPr="008E4732">
              <w:t>2024 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A1A309" w14:textId="77777777" w:rsidR="00AB05CD" w:rsidRPr="008E4732" w:rsidRDefault="00AB05CD" w:rsidP="00C87B05">
            <w:pPr>
              <w:pStyle w:val="TableText"/>
              <w:jc w:val="right"/>
              <w:rPr>
                <w:rFonts w:ascii="Segoe UI" w:hAnsi="Segoe UI"/>
                <w:szCs w:val="18"/>
              </w:rPr>
            </w:pPr>
            <w:r w:rsidRPr="008E4732">
              <w:t>$11,554,964 </w:t>
            </w:r>
          </w:p>
        </w:tc>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F84AB6" w14:textId="77777777" w:rsidR="00AB05CD" w:rsidRPr="008E4732" w:rsidRDefault="00AB05CD" w:rsidP="00C87B05">
            <w:pPr>
              <w:pStyle w:val="TableText"/>
              <w:jc w:val="right"/>
              <w:rPr>
                <w:rFonts w:ascii="Segoe UI" w:hAnsi="Segoe UI"/>
                <w:szCs w:val="18"/>
              </w:rPr>
            </w:pPr>
            <w:r w:rsidRPr="008E4732">
              <w:t>$5,447,925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71C07" w14:textId="77777777" w:rsidR="00AB05CD" w:rsidRPr="008E4732" w:rsidRDefault="00AB05CD" w:rsidP="00C87B05">
            <w:pPr>
              <w:pStyle w:val="TableText"/>
              <w:jc w:val="right"/>
              <w:rPr>
                <w:rFonts w:ascii="Segoe UI" w:hAnsi="Segoe UI"/>
                <w:szCs w:val="18"/>
              </w:rPr>
            </w:pPr>
            <w:r w:rsidRPr="008E4732">
              <w:t>47.15%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B38AC" w14:textId="77777777" w:rsidR="00AB05CD" w:rsidRPr="008E4732" w:rsidRDefault="00AB05CD" w:rsidP="00C87B05">
            <w:pPr>
              <w:pStyle w:val="TableText"/>
              <w:jc w:val="right"/>
              <w:rPr>
                <w:rFonts w:ascii="Segoe UI" w:hAnsi="Segoe UI"/>
                <w:szCs w:val="18"/>
              </w:rPr>
            </w:pPr>
            <w:r w:rsidRPr="008E4732">
              <w:t>21.1% </w:t>
            </w:r>
          </w:p>
        </w:tc>
        <w:tc>
          <w:tcPr>
            <w:tcW w:w="13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9E956" w14:textId="77777777" w:rsidR="00AB05CD" w:rsidRPr="008E4732" w:rsidRDefault="00AB05CD" w:rsidP="00C87B05">
            <w:pPr>
              <w:pStyle w:val="TableText"/>
              <w:jc w:val="right"/>
              <w:rPr>
                <w:rFonts w:ascii="Segoe UI" w:hAnsi="Segoe UI"/>
                <w:szCs w:val="18"/>
              </w:rPr>
            </w:pPr>
            <w:r w:rsidRPr="008E4732">
              <w:t>21.1% </w:t>
            </w:r>
          </w:p>
        </w:tc>
      </w:tr>
    </w:tbl>
    <w:p w14:paraId="64DFDA38" w14:textId="09A2BDD8" w:rsidR="004830B6" w:rsidRPr="000C63A2" w:rsidRDefault="005A1B35" w:rsidP="000C63A2">
      <w:pPr>
        <w:pStyle w:val="BodyText3"/>
        <w:ind w:left="720" w:hanging="720"/>
        <w:rPr>
          <w:rStyle w:val="Strong"/>
          <w:bCs w:val="0"/>
        </w:rPr>
      </w:pPr>
      <w:bookmarkStart w:id="367" w:name="_Toc417647551"/>
      <w:r w:rsidRPr="000C63A2">
        <w:rPr>
          <w:rStyle w:val="Strong"/>
          <w:bCs w:val="0"/>
        </w:rPr>
        <w:t>F</w:t>
      </w:r>
      <w:r w:rsidR="004830B6" w:rsidRPr="000C63A2">
        <w:rPr>
          <w:rStyle w:val="Strong"/>
          <w:bCs w:val="0"/>
        </w:rPr>
        <w:t>.</w:t>
      </w:r>
      <w:r w:rsidR="0076428A" w:rsidRPr="000C63A2">
        <w:rPr>
          <w:rStyle w:val="Strong"/>
          <w:bCs w:val="0"/>
        </w:rPr>
        <w:tab/>
      </w:r>
      <w:r w:rsidR="004830B6" w:rsidRPr="000C63A2">
        <w:rPr>
          <w:rStyle w:val="Strong"/>
          <w:bCs w:val="0"/>
        </w:rPr>
        <w:t>Does your agency have a HUB policy?</w:t>
      </w:r>
      <w:r w:rsidR="008A4A34" w:rsidRPr="000C63A2">
        <w:rPr>
          <w:rStyle w:val="Strong"/>
          <w:bCs w:val="0"/>
        </w:rPr>
        <w:t xml:space="preserve"> </w:t>
      </w:r>
      <w:r w:rsidR="004830B6" w:rsidRPr="000C63A2">
        <w:rPr>
          <w:rStyle w:val="Strong"/>
          <w:bCs w:val="0"/>
        </w:rPr>
        <w:t>How does your agency address performance shortfalls related to the policy?</w:t>
      </w:r>
      <w:r w:rsidR="008A4A34" w:rsidRPr="000C63A2">
        <w:rPr>
          <w:rStyle w:val="Strong"/>
          <w:bCs w:val="0"/>
        </w:rPr>
        <w:t xml:space="preserve"> </w:t>
      </w:r>
      <w:r w:rsidR="004830B6" w:rsidRPr="000C63A2">
        <w:rPr>
          <w:rStyle w:val="Strong"/>
          <w:bCs w:val="0"/>
        </w:rPr>
        <w:t xml:space="preserve">(Texas Government Code, </w:t>
      </w:r>
      <w:r w:rsidR="00A050A6" w:rsidRPr="000C63A2">
        <w:rPr>
          <w:rStyle w:val="Strong"/>
          <w:bCs w:val="0"/>
        </w:rPr>
        <w:t>Section</w:t>
      </w:r>
      <w:r w:rsidR="004830B6" w:rsidRPr="000C63A2">
        <w:rPr>
          <w:rStyle w:val="Strong"/>
          <w:bCs w:val="0"/>
        </w:rPr>
        <w:t xml:space="preserve"> 2161.003; TAC Title 34, Part 1, </w:t>
      </w:r>
      <w:r w:rsidR="00CA7BB7" w:rsidRPr="000C63A2">
        <w:rPr>
          <w:rStyle w:val="Strong"/>
          <w:bCs w:val="0"/>
        </w:rPr>
        <w:t>R</w:t>
      </w:r>
      <w:r w:rsidR="004830B6" w:rsidRPr="000C63A2">
        <w:rPr>
          <w:rStyle w:val="Strong"/>
          <w:bCs w:val="0"/>
        </w:rPr>
        <w:t>ule 20.</w:t>
      </w:r>
      <w:r w:rsidR="00E754AC" w:rsidRPr="000C63A2">
        <w:rPr>
          <w:rStyle w:val="Strong"/>
          <w:bCs w:val="0"/>
        </w:rPr>
        <w:t>286c</w:t>
      </w:r>
      <w:r w:rsidR="004830B6" w:rsidRPr="000C63A2">
        <w:rPr>
          <w:rStyle w:val="Strong"/>
          <w:bCs w:val="0"/>
        </w:rPr>
        <w:t>)</w:t>
      </w:r>
      <w:bookmarkEnd w:id="367"/>
    </w:p>
    <w:p w14:paraId="195C53B9" w14:textId="22386DC5" w:rsidR="6783BCB8" w:rsidRDefault="2AE63657" w:rsidP="206B13E6">
      <w:pPr>
        <w:pStyle w:val="BodyText"/>
      </w:pPr>
      <w:r>
        <w:t xml:space="preserve">TWC’s HUB goals and policies are published in the </w:t>
      </w:r>
      <w:hyperlink r:id="rId279">
        <w:r w:rsidRPr="0BE338CC">
          <w:rPr>
            <w:rStyle w:val="Hyperlink"/>
          </w:rPr>
          <w:t>TWC’s FY 25-29 Strategic Plan</w:t>
        </w:r>
      </w:hyperlink>
      <w:r>
        <w:t>. TWC’s HUB performance is monitored by the HUB team</w:t>
      </w:r>
      <w:r w:rsidR="091C26F3">
        <w:t xml:space="preserve"> with</w:t>
      </w:r>
      <w:r>
        <w:t xml:space="preserve"> adjustments made </w:t>
      </w:r>
      <w:r w:rsidR="085A0C38">
        <w:t>as needed</w:t>
      </w:r>
      <w:r>
        <w:t>.  The HUB team provides annual training and offers targeted based opportunities for purchasing staff to encourage the use of HUBs for purchases, especially those under $10,000.</w:t>
      </w:r>
    </w:p>
    <w:p w14:paraId="3C146ECD" w14:textId="67227DAE" w:rsidR="004830B6" w:rsidRPr="00261FD4" w:rsidRDefault="005A1B35" w:rsidP="0076428A">
      <w:pPr>
        <w:pStyle w:val="BodyText"/>
        <w:ind w:left="720" w:hanging="720"/>
        <w:rPr>
          <w:rStyle w:val="Strong"/>
          <w:b/>
          <w:bCs w:val="0"/>
        </w:rPr>
      </w:pPr>
      <w:bookmarkStart w:id="368" w:name="_Toc417647552"/>
      <w:r w:rsidRPr="00261FD4">
        <w:rPr>
          <w:rStyle w:val="Strong"/>
          <w:b/>
          <w:bCs w:val="0"/>
        </w:rPr>
        <w:t>G</w:t>
      </w:r>
      <w:r w:rsidR="004830B6" w:rsidRPr="00261FD4">
        <w:rPr>
          <w:rStyle w:val="Strong"/>
          <w:b/>
          <w:bCs w:val="0"/>
        </w:rPr>
        <w:t>.</w:t>
      </w:r>
      <w:r w:rsidR="0076428A">
        <w:rPr>
          <w:rStyle w:val="Strong"/>
          <w:b/>
          <w:bCs w:val="0"/>
        </w:rPr>
        <w:tab/>
      </w:r>
      <w:r w:rsidR="004830B6" w:rsidRPr="00261FD4">
        <w:rPr>
          <w:rStyle w:val="Strong"/>
          <w:b/>
          <w:bCs w:val="0"/>
        </w:rPr>
        <w:t>For agencies with contracts valued at $100,000 or more:</w:t>
      </w:r>
      <w:r w:rsidR="008A4A34" w:rsidRPr="00261FD4">
        <w:rPr>
          <w:rStyle w:val="Strong"/>
          <w:b/>
          <w:bCs w:val="0"/>
        </w:rPr>
        <w:t xml:space="preserve"> </w:t>
      </w:r>
      <w:r w:rsidR="004830B6" w:rsidRPr="00261FD4">
        <w:rPr>
          <w:rStyle w:val="Strong"/>
          <w:b/>
          <w:bCs w:val="0"/>
        </w:rPr>
        <w:t xml:space="preserve">Does your agency follow a HUB subcontracting plan to solicit bids, proposals, offers, or other applicable expressions of interest for subcontracting opportunities available for contracts of $100,000 </w:t>
      </w:r>
      <w:r w:rsidR="00832B49" w:rsidRPr="00261FD4">
        <w:rPr>
          <w:rStyle w:val="Strong"/>
          <w:b/>
          <w:bCs w:val="0"/>
        </w:rPr>
        <w:t xml:space="preserve">or more? </w:t>
      </w:r>
      <w:r w:rsidR="004830B6" w:rsidRPr="00261FD4">
        <w:rPr>
          <w:rStyle w:val="Strong"/>
          <w:b/>
          <w:bCs w:val="0"/>
        </w:rPr>
        <w:t xml:space="preserve">(Texas Government Code, </w:t>
      </w:r>
      <w:r w:rsidR="00A050A6" w:rsidRPr="00261FD4">
        <w:rPr>
          <w:rStyle w:val="Strong"/>
          <w:b/>
          <w:bCs w:val="0"/>
        </w:rPr>
        <w:t>Section</w:t>
      </w:r>
      <w:r w:rsidR="004830B6" w:rsidRPr="00261FD4">
        <w:rPr>
          <w:rStyle w:val="Strong"/>
          <w:b/>
          <w:bCs w:val="0"/>
        </w:rPr>
        <w:t xml:space="preserve"> 2161.252; TAC Title 34, Part 1, </w:t>
      </w:r>
      <w:r w:rsidR="00CA7BB7" w:rsidRPr="00261FD4">
        <w:rPr>
          <w:rStyle w:val="Strong"/>
          <w:b/>
          <w:bCs w:val="0"/>
        </w:rPr>
        <w:t>R</w:t>
      </w:r>
      <w:r w:rsidR="004830B6" w:rsidRPr="00261FD4">
        <w:rPr>
          <w:rStyle w:val="Strong"/>
          <w:b/>
          <w:bCs w:val="0"/>
        </w:rPr>
        <w:t>ule 20.</w:t>
      </w:r>
      <w:r w:rsidR="00E754AC" w:rsidRPr="00261FD4">
        <w:rPr>
          <w:rStyle w:val="Strong"/>
          <w:b/>
          <w:bCs w:val="0"/>
        </w:rPr>
        <w:t>285</w:t>
      </w:r>
      <w:r w:rsidR="004830B6" w:rsidRPr="00261FD4">
        <w:rPr>
          <w:rStyle w:val="Strong"/>
          <w:b/>
          <w:bCs w:val="0"/>
        </w:rPr>
        <w:t>)</w:t>
      </w:r>
      <w:bookmarkEnd w:id="368"/>
    </w:p>
    <w:p w14:paraId="1FB7C4D5" w14:textId="0752C6A8" w:rsidR="6DB1A791" w:rsidRDefault="6DB1A791" w:rsidP="206B13E6">
      <w:pPr>
        <w:pStyle w:val="BodyText"/>
      </w:pPr>
      <w:r w:rsidRPr="206B13E6">
        <w:rPr>
          <w:iCs/>
        </w:rPr>
        <w:t>Yes, the agency utilizes a HUB sub-contracting plan. The agency’s HUB team examines multiple scopes of work and makes determinations based on the probability that some of the work may be performed by sub-contractors for solicitations that are valued at $90,000 and above.</w:t>
      </w:r>
    </w:p>
    <w:p w14:paraId="422D1584" w14:textId="759261CD" w:rsidR="004830B6" w:rsidRPr="00261FD4" w:rsidRDefault="005A1B35" w:rsidP="0076428A">
      <w:pPr>
        <w:pStyle w:val="BodyText"/>
        <w:ind w:left="720" w:hanging="720"/>
        <w:rPr>
          <w:rStyle w:val="Strong"/>
          <w:b/>
          <w:bCs w:val="0"/>
        </w:rPr>
      </w:pPr>
      <w:bookmarkStart w:id="369" w:name="_Toc417647553"/>
      <w:r w:rsidRPr="00261FD4">
        <w:rPr>
          <w:rStyle w:val="Strong"/>
          <w:b/>
          <w:bCs w:val="0"/>
        </w:rPr>
        <w:t>H</w:t>
      </w:r>
      <w:r w:rsidR="004830B6" w:rsidRPr="00261FD4">
        <w:rPr>
          <w:rStyle w:val="Strong"/>
          <w:b/>
          <w:bCs w:val="0"/>
        </w:rPr>
        <w:t>.</w:t>
      </w:r>
      <w:r w:rsidR="0076428A">
        <w:rPr>
          <w:rStyle w:val="Strong"/>
          <w:b/>
          <w:bCs w:val="0"/>
        </w:rPr>
        <w:tab/>
      </w:r>
      <w:r w:rsidR="004830B6" w:rsidRPr="00261FD4">
        <w:rPr>
          <w:rStyle w:val="Strong"/>
          <w:b/>
          <w:bCs w:val="0"/>
        </w:rPr>
        <w:t>For agencies with biennial appropriations exceeding $10 million, answer the following HUB questions</w:t>
      </w:r>
      <w:r w:rsidR="00C31FBB" w:rsidRPr="00261FD4">
        <w:rPr>
          <w:rStyle w:val="Strong"/>
          <w:b/>
          <w:bCs w:val="0"/>
        </w:rPr>
        <w:t>:</w:t>
      </w:r>
      <w:bookmarkEnd w:id="369"/>
    </w:p>
    <w:p w14:paraId="569F31B5" w14:textId="3CEA6E69" w:rsidR="004830B6" w:rsidRPr="0056340C" w:rsidRDefault="004830B6" w:rsidP="00E768A5">
      <w:pPr>
        <w:pStyle w:val="BodyText"/>
        <w:numPr>
          <w:ilvl w:val="0"/>
          <w:numId w:val="32"/>
        </w:numPr>
        <w:rPr>
          <w:rStyle w:val="Strong"/>
          <w:b/>
          <w:bCs w:val="0"/>
        </w:rPr>
      </w:pPr>
      <w:r w:rsidRPr="0056340C">
        <w:rPr>
          <w:rStyle w:val="Strong"/>
          <w:b/>
          <w:bCs w:val="0"/>
        </w:rPr>
        <w:t>Do you have a HUB coordinator</w:t>
      </w:r>
      <w:r w:rsidR="004B2DCE" w:rsidRPr="0056340C">
        <w:rPr>
          <w:rStyle w:val="Strong"/>
          <w:b/>
          <w:bCs w:val="0"/>
        </w:rPr>
        <w:t>?</w:t>
      </w:r>
      <w:r w:rsidR="008A4A34" w:rsidRPr="0056340C">
        <w:rPr>
          <w:rStyle w:val="Strong"/>
          <w:b/>
          <w:bCs w:val="0"/>
        </w:rPr>
        <w:t xml:space="preserve"> </w:t>
      </w:r>
      <w:r w:rsidR="004B2DCE" w:rsidRPr="0056340C">
        <w:rPr>
          <w:rStyle w:val="Strong"/>
          <w:b/>
          <w:bCs w:val="0"/>
        </w:rPr>
        <w:t>If yes</w:t>
      </w:r>
      <w:r w:rsidR="000F139D" w:rsidRPr="0056340C">
        <w:rPr>
          <w:rStyle w:val="Strong"/>
          <w:b/>
          <w:bCs w:val="0"/>
        </w:rPr>
        <w:t xml:space="preserve">, </w:t>
      </w:r>
      <w:r w:rsidR="004B2DCE" w:rsidRPr="0056340C">
        <w:rPr>
          <w:rStyle w:val="Strong"/>
          <w:b/>
          <w:bCs w:val="0"/>
        </w:rPr>
        <w:t xml:space="preserve">provide </w:t>
      </w:r>
      <w:r w:rsidR="000F139D" w:rsidRPr="0056340C">
        <w:rPr>
          <w:rStyle w:val="Strong"/>
          <w:b/>
          <w:bCs w:val="0"/>
        </w:rPr>
        <w:t>name and contact information</w:t>
      </w:r>
      <w:r w:rsidR="00832B49" w:rsidRPr="0056340C">
        <w:rPr>
          <w:rStyle w:val="Strong"/>
          <w:b/>
          <w:bCs w:val="0"/>
        </w:rPr>
        <w:t xml:space="preserve">. </w:t>
      </w:r>
      <w:r w:rsidRPr="0056340C">
        <w:rPr>
          <w:rStyle w:val="Strong"/>
          <w:b/>
          <w:bCs w:val="0"/>
        </w:rPr>
        <w:t xml:space="preserve">(Texas Government Code, </w:t>
      </w:r>
      <w:r w:rsidR="00A050A6" w:rsidRPr="0056340C">
        <w:rPr>
          <w:rStyle w:val="Strong"/>
          <w:b/>
          <w:bCs w:val="0"/>
        </w:rPr>
        <w:t>Section</w:t>
      </w:r>
      <w:r w:rsidRPr="0056340C">
        <w:rPr>
          <w:rStyle w:val="Strong"/>
          <w:b/>
          <w:bCs w:val="0"/>
        </w:rPr>
        <w:t xml:space="preserve"> 2161.062; TAC Title 34, Part 1, </w:t>
      </w:r>
      <w:r w:rsidR="00CA7BB7" w:rsidRPr="0056340C">
        <w:rPr>
          <w:rStyle w:val="Strong"/>
          <w:b/>
          <w:bCs w:val="0"/>
        </w:rPr>
        <w:t>R</w:t>
      </w:r>
      <w:r w:rsidRPr="0056340C">
        <w:rPr>
          <w:rStyle w:val="Strong"/>
          <w:b/>
          <w:bCs w:val="0"/>
        </w:rPr>
        <w:t>ule 20.</w:t>
      </w:r>
      <w:r w:rsidR="00E754AC" w:rsidRPr="0056340C">
        <w:rPr>
          <w:rStyle w:val="Strong"/>
          <w:b/>
          <w:bCs w:val="0"/>
        </w:rPr>
        <w:t>296</w:t>
      </w:r>
      <w:r w:rsidRPr="0056340C">
        <w:rPr>
          <w:rStyle w:val="Strong"/>
          <w:b/>
          <w:bCs w:val="0"/>
        </w:rPr>
        <w:t>)</w:t>
      </w:r>
    </w:p>
    <w:p w14:paraId="5BFC35CA" w14:textId="3F4CB123" w:rsidR="479D1DFD" w:rsidRDefault="479D1DFD" w:rsidP="00565CA6">
      <w:pPr>
        <w:pStyle w:val="BodyText"/>
        <w:ind w:left="360"/>
      </w:pPr>
      <w:r>
        <w:t xml:space="preserve">Yes, the HUB Coordinator position works within the Purchasing and HUB Services unit, in the Procurement and Contract Services (PCS) Department. PCS is within TWC Business Operations Division.  The HUB coordinator is Sonya Thulin, and the contact email address is: TWCHUBINFO@twc.texas.gov. </w:t>
      </w:r>
    </w:p>
    <w:p w14:paraId="02EE8E32" w14:textId="3318CE9D" w:rsidR="004830B6" w:rsidRPr="0056340C" w:rsidRDefault="004830B6" w:rsidP="00E768A5">
      <w:pPr>
        <w:pStyle w:val="BodyText"/>
        <w:numPr>
          <w:ilvl w:val="0"/>
          <w:numId w:val="32"/>
        </w:numPr>
        <w:rPr>
          <w:rStyle w:val="Strong"/>
          <w:b/>
          <w:bCs w:val="0"/>
        </w:rPr>
      </w:pPr>
      <w:r w:rsidRPr="0056340C">
        <w:rPr>
          <w:rStyle w:val="Strong"/>
          <w:b/>
          <w:bCs w:val="0"/>
        </w:rPr>
        <w:t>Has your agency designed a program of HUB forums in which businesses are invited to deliver presentations that demonstrate their capability t</w:t>
      </w:r>
      <w:r w:rsidR="00832B49" w:rsidRPr="0056340C">
        <w:rPr>
          <w:rStyle w:val="Strong"/>
          <w:b/>
          <w:bCs w:val="0"/>
        </w:rPr>
        <w:t xml:space="preserve">o do business with your agency? </w:t>
      </w:r>
      <w:r w:rsidRPr="0056340C">
        <w:rPr>
          <w:rStyle w:val="Strong"/>
          <w:b/>
          <w:bCs w:val="0"/>
        </w:rPr>
        <w:t xml:space="preserve">(Texas Government Code, </w:t>
      </w:r>
      <w:r w:rsidR="00A050A6" w:rsidRPr="0056340C">
        <w:rPr>
          <w:rStyle w:val="Strong"/>
          <w:b/>
          <w:bCs w:val="0"/>
        </w:rPr>
        <w:t>Section</w:t>
      </w:r>
      <w:r w:rsidR="008A4A34" w:rsidRPr="0056340C">
        <w:rPr>
          <w:rStyle w:val="Strong"/>
          <w:b/>
          <w:bCs w:val="0"/>
        </w:rPr>
        <w:t xml:space="preserve"> </w:t>
      </w:r>
      <w:r w:rsidRPr="0056340C">
        <w:rPr>
          <w:rStyle w:val="Strong"/>
          <w:b/>
          <w:bCs w:val="0"/>
        </w:rPr>
        <w:t>2161.066; TAC</w:t>
      </w:r>
      <w:r w:rsidR="008A4A34" w:rsidRPr="0056340C">
        <w:rPr>
          <w:rStyle w:val="Strong"/>
          <w:b/>
          <w:bCs w:val="0"/>
        </w:rPr>
        <w:t xml:space="preserve"> </w:t>
      </w:r>
      <w:r w:rsidRPr="0056340C">
        <w:rPr>
          <w:rStyle w:val="Strong"/>
          <w:b/>
          <w:bCs w:val="0"/>
        </w:rPr>
        <w:t xml:space="preserve">Title 34, Part 1, </w:t>
      </w:r>
      <w:r w:rsidR="00CA7BB7" w:rsidRPr="0056340C">
        <w:rPr>
          <w:rStyle w:val="Strong"/>
          <w:b/>
          <w:bCs w:val="0"/>
        </w:rPr>
        <w:t>R</w:t>
      </w:r>
      <w:r w:rsidRPr="0056340C">
        <w:rPr>
          <w:rStyle w:val="Strong"/>
          <w:b/>
          <w:bCs w:val="0"/>
        </w:rPr>
        <w:t>ule 20.</w:t>
      </w:r>
      <w:r w:rsidR="00E754AC" w:rsidRPr="0056340C">
        <w:rPr>
          <w:rStyle w:val="Strong"/>
          <w:b/>
          <w:bCs w:val="0"/>
        </w:rPr>
        <w:t>297</w:t>
      </w:r>
      <w:r w:rsidRPr="0056340C">
        <w:rPr>
          <w:rStyle w:val="Strong"/>
          <w:b/>
          <w:bCs w:val="0"/>
        </w:rPr>
        <w:t>)</w:t>
      </w:r>
    </w:p>
    <w:p w14:paraId="39EEC93B" w14:textId="26C89D67" w:rsidR="00FB172E" w:rsidRPr="001A777C" w:rsidRDefault="74E12B3E" w:rsidP="00565CA6">
      <w:pPr>
        <w:pStyle w:val="BodyText"/>
        <w:ind w:left="360"/>
      </w:pPr>
      <w:r>
        <w:lastRenderedPageBreak/>
        <w:t xml:space="preserve">Yes, PCS has developed a program that is included within the HUB Business Plan. TWC’s HUB team attends various HUB and small business forums throughout the fiscal year. </w:t>
      </w:r>
      <w:r w:rsidR="001E75B7">
        <w:t xml:space="preserve">HUB </w:t>
      </w:r>
      <w:r>
        <w:t xml:space="preserve">events provide an opportunity for the vendors to demonstrate their businesses capability directly to HUB staff at </w:t>
      </w:r>
      <w:r w:rsidR="00E53847">
        <w:t xml:space="preserve">a </w:t>
      </w:r>
      <w:r>
        <w:t xml:space="preserve">TWC booth. </w:t>
      </w:r>
    </w:p>
    <w:p w14:paraId="14D1B356" w14:textId="61E57976" w:rsidR="00FB172E" w:rsidRPr="001A777C" w:rsidRDefault="74E12B3E" w:rsidP="00565CA6">
      <w:pPr>
        <w:pStyle w:val="BodyText"/>
        <w:ind w:left="360"/>
      </w:pPr>
      <w:r w:rsidRPr="206B13E6">
        <w:rPr>
          <w:iCs/>
        </w:rPr>
        <w:t xml:space="preserve">The agency participated in 12 HUB equal opportunity forums and expos in fiscal year 2024. TWC co-hosted a HUB connection forum on June 4, 2024, alongside the Texas Lottery Commission where vendors were able to network with agency staff and other business contractors. So far during fiscal year 2025, TWC has attended nine HUB forums and is planning </w:t>
      </w:r>
      <w:r w:rsidR="00C04FD3">
        <w:rPr>
          <w:iCs/>
        </w:rPr>
        <w:t>to sponsor</w:t>
      </w:r>
      <w:r w:rsidR="009414EE">
        <w:rPr>
          <w:iCs/>
        </w:rPr>
        <w:t xml:space="preserve"> </w:t>
      </w:r>
      <w:r w:rsidR="00141408">
        <w:rPr>
          <w:iCs/>
        </w:rPr>
        <w:t>an</w:t>
      </w:r>
      <w:r w:rsidRPr="206B13E6">
        <w:rPr>
          <w:iCs/>
        </w:rPr>
        <w:t xml:space="preserve"> in-person event alongside Central Health Austin.</w:t>
      </w:r>
    </w:p>
    <w:p w14:paraId="4BD9B34D" w14:textId="56AB00B5" w:rsidR="004B2DCE" w:rsidRPr="0056340C" w:rsidRDefault="004830B6" w:rsidP="00E768A5">
      <w:pPr>
        <w:pStyle w:val="BodyText"/>
        <w:numPr>
          <w:ilvl w:val="0"/>
          <w:numId w:val="32"/>
        </w:numPr>
        <w:rPr>
          <w:rStyle w:val="Strong"/>
          <w:b/>
          <w:bCs w:val="0"/>
        </w:rPr>
      </w:pPr>
      <w:r w:rsidRPr="0056340C">
        <w:rPr>
          <w:rStyle w:val="Strong"/>
          <w:b/>
          <w:bCs w:val="0"/>
        </w:rPr>
        <w:t>Has your agency developed a mentor-protégé program to foster long-term relationships between prime contractors and HUBs and to increase the ability of HUBs to contract with the state or to receive subco</w:t>
      </w:r>
      <w:r w:rsidR="00832B49" w:rsidRPr="0056340C">
        <w:rPr>
          <w:rStyle w:val="Strong"/>
          <w:b/>
          <w:bCs w:val="0"/>
        </w:rPr>
        <w:t xml:space="preserve">ntracts under a state contract? </w:t>
      </w:r>
      <w:r w:rsidR="000F139D" w:rsidRPr="0056340C">
        <w:rPr>
          <w:rStyle w:val="Strong"/>
          <w:b/>
          <w:bCs w:val="0"/>
        </w:rPr>
        <w:t xml:space="preserve">(Texas Government Code, </w:t>
      </w:r>
      <w:r w:rsidR="00A050A6" w:rsidRPr="0056340C">
        <w:rPr>
          <w:rStyle w:val="Strong"/>
          <w:b/>
          <w:bCs w:val="0"/>
        </w:rPr>
        <w:t>Section</w:t>
      </w:r>
      <w:r w:rsidR="000F139D" w:rsidRPr="0056340C">
        <w:rPr>
          <w:rStyle w:val="Strong"/>
          <w:b/>
          <w:bCs w:val="0"/>
        </w:rPr>
        <w:t xml:space="preserve"> </w:t>
      </w:r>
      <w:r w:rsidRPr="0056340C">
        <w:rPr>
          <w:rStyle w:val="Strong"/>
          <w:b/>
          <w:bCs w:val="0"/>
        </w:rPr>
        <w:t>2161.065; TA</w:t>
      </w:r>
      <w:r w:rsidR="000F139D" w:rsidRPr="0056340C">
        <w:rPr>
          <w:rStyle w:val="Strong"/>
          <w:b/>
          <w:bCs w:val="0"/>
        </w:rPr>
        <w:t xml:space="preserve">C Title 34, Part 1, </w:t>
      </w:r>
      <w:r w:rsidR="00CA7BB7" w:rsidRPr="0056340C">
        <w:rPr>
          <w:rStyle w:val="Strong"/>
          <w:b/>
          <w:bCs w:val="0"/>
        </w:rPr>
        <w:t>R</w:t>
      </w:r>
      <w:r w:rsidR="000F139D" w:rsidRPr="0056340C">
        <w:rPr>
          <w:rStyle w:val="Strong"/>
          <w:b/>
          <w:bCs w:val="0"/>
        </w:rPr>
        <w:t>ule 20.</w:t>
      </w:r>
      <w:r w:rsidR="00E754AC" w:rsidRPr="0056340C">
        <w:rPr>
          <w:rStyle w:val="Strong"/>
          <w:b/>
          <w:bCs w:val="0"/>
        </w:rPr>
        <w:t>298</w:t>
      </w:r>
      <w:r w:rsidR="000F139D" w:rsidRPr="0056340C">
        <w:rPr>
          <w:rStyle w:val="Strong"/>
          <w:b/>
          <w:bCs w:val="0"/>
        </w:rPr>
        <w:t>)</w:t>
      </w:r>
    </w:p>
    <w:p w14:paraId="79C05F45" w14:textId="66A6BAEF" w:rsidR="00F44845" w:rsidRPr="001A777C" w:rsidRDefault="54D6ED55" w:rsidP="00565CA6">
      <w:pPr>
        <w:pStyle w:val="BodyText"/>
        <w:ind w:left="360"/>
        <w:rPr>
          <w:rFonts w:eastAsiaTheme="majorEastAsia"/>
        </w:rPr>
      </w:pPr>
      <w:r w:rsidRPr="206B13E6">
        <w:rPr>
          <w:iCs/>
        </w:rPr>
        <w:t xml:space="preserve">Yes, PCS developed a mentor-protégé program, which is included in the HUB Business Plan, and closely follows the </w:t>
      </w:r>
      <w:r w:rsidR="00966A9B">
        <w:rPr>
          <w:iCs/>
        </w:rPr>
        <w:t xml:space="preserve">Texas </w:t>
      </w:r>
      <w:r w:rsidRPr="206B13E6">
        <w:rPr>
          <w:iCs/>
        </w:rPr>
        <w:t>Comptroller</w:t>
      </w:r>
      <w:r w:rsidR="00966A9B">
        <w:rPr>
          <w:iCs/>
        </w:rPr>
        <w:t xml:space="preserve"> of Public Account</w:t>
      </w:r>
      <w:r w:rsidRPr="206B13E6">
        <w:rPr>
          <w:iCs/>
        </w:rPr>
        <w:t xml:space="preserve">’s guidelines </w:t>
      </w:r>
      <w:r w:rsidR="004A4F43">
        <w:rPr>
          <w:iCs/>
        </w:rPr>
        <w:t xml:space="preserve">for </w:t>
      </w:r>
      <w:r w:rsidR="003D7928">
        <w:rPr>
          <w:iCs/>
        </w:rPr>
        <w:t>the</w:t>
      </w:r>
      <w:r w:rsidR="005B5154">
        <w:rPr>
          <w:iCs/>
        </w:rPr>
        <w:t xml:space="preserve"> </w:t>
      </w:r>
      <w:hyperlink r:id="rId280">
        <w:r w:rsidR="005B5154" w:rsidRPr="659FE24F">
          <w:rPr>
            <w:rStyle w:val="Hyperlink"/>
          </w:rPr>
          <w:t>HUB Mentor Protégé Program</w:t>
        </w:r>
      </w:hyperlink>
      <w:r w:rsidR="004A4F43">
        <w:t>.</w:t>
      </w:r>
      <w:r w:rsidRPr="206B13E6">
        <w:rPr>
          <w:iCs/>
        </w:rPr>
        <w:t xml:space="preserve"> TWC currently sponsors one Mentor-Protégé agreement. The agreement was established in February 2025, and progress is monitored to ensure TWC meets its goals.</w:t>
      </w:r>
    </w:p>
    <w:p w14:paraId="6413D326" w14:textId="78278323" w:rsidR="001235F2" w:rsidRPr="0056340C" w:rsidRDefault="004830B6" w:rsidP="00E768A5">
      <w:pPr>
        <w:pStyle w:val="BodyText"/>
        <w:numPr>
          <w:ilvl w:val="0"/>
          <w:numId w:val="33"/>
        </w:numPr>
        <w:rPr>
          <w:rStyle w:val="Strong"/>
          <w:b/>
          <w:bCs w:val="0"/>
        </w:rPr>
      </w:pPr>
      <w:bookmarkStart w:id="370" w:name="_H._Fill_in"/>
      <w:bookmarkEnd w:id="370"/>
      <w:r w:rsidRPr="0056340C">
        <w:rPr>
          <w:rStyle w:val="Strong"/>
          <w:b/>
          <w:bCs w:val="0"/>
        </w:rPr>
        <w:t xml:space="preserve">Fill in the </w:t>
      </w:r>
      <w:r w:rsidR="00307593" w:rsidRPr="0056340C">
        <w:rPr>
          <w:rStyle w:val="Strong"/>
          <w:b/>
          <w:bCs w:val="0"/>
        </w:rPr>
        <w:t>tables</w:t>
      </w:r>
      <w:r w:rsidRPr="0056340C">
        <w:rPr>
          <w:rStyle w:val="Strong"/>
          <w:b/>
          <w:bCs w:val="0"/>
        </w:rPr>
        <w:t xml:space="preserve"> below detailing your agency</w:t>
      </w:r>
      <w:r w:rsidR="00F044D6" w:rsidRPr="0056340C">
        <w:rPr>
          <w:rStyle w:val="Strong"/>
          <w:b/>
          <w:bCs w:val="0"/>
        </w:rPr>
        <w:t>’</w:t>
      </w:r>
      <w:r w:rsidRPr="0056340C">
        <w:rPr>
          <w:rStyle w:val="Strong"/>
          <w:b/>
          <w:bCs w:val="0"/>
        </w:rPr>
        <w:t xml:space="preserve">s Equal Employment </w:t>
      </w:r>
      <w:r w:rsidR="000F139D" w:rsidRPr="0056340C">
        <w:rPr>
          <w:rStyle w:val="Strong"/>
          <w:b/>
          <w:bCs w:val="0"/>
        </w:rPr>
        <w:t>Opportunity (EEO) statistics</w:t>
      </w:r>
      <w:r w:rsidR="00832B49" w:rsidRPr="0056340C">
        <w:rPr>
          <w:rStyle w:val="Strong"/>
          <w:b/>
          <w:bCs w:val="0"/>
        </w:rPr>
        <w:t xml:space="preserve">. </w:t>
      </w:r>
      <w:r w:rsidR="001A777C" w:rsidRPr="0056340C">
        <w:rPr>
          <w:rStyle w:val="Strong"/>
          <w:b/>
          <w:bCs w:val="0"/>
        </w:rPr>
        <w:t>Sunset is required by law to review and report this information to the Legislature</w:t>
      </w:r>
      <w:r w:rsidR="00832B49" w:rsidRPr="0056340C">
        <w:rPr>
          <w:rStyle w:val="Strong"/>
          <w:b/>
          <w:bCs w:val="0"/>
        </w:rPr>
        <w:t xml:space="preserve">. </w:t>
      </w:r>
      <w:r w:rsidR="00052F59" w:rsidRPr="0056340C">
        <w:rPr>
          <w:rStyle w:val="Strong"/>
          <w:b/>
          <w:bCs w:val="0"/>
        </w:rPr>
        <w:t>Please use only the categories provided</w:t>
      </w:r>
      <w:r w:rsidR="008C65A5" w:rsidRPr="0056340C">
        <w:rPr>
          <w:rStyle w:val="Strong"/>
          <w:b/>
          <w:bCs w:val="0"/>
        </w:rPr>
        <w:t xml:space="preserve"> below</w:t>
      </w:r>
      <w:r w:rsidR="00832B49" w:rsidRPr="0056340C">
        <w:rPr>
          <w:rStyle w:val="Strong"/>
          <w:b/>
          <w:bCs w:val="0"/>
        </w:rPr>
        <w:t xml:space="preserve">. </w:t>
      </w:r>
      <w:r w:rsidR="00052F59" w:rsidRPr="0056340C">
        <w:rPr>
          <w:rStyle w:val="Strong"/>
          <w:b/>
          <w:bCs w:val="0"/>
        </w:rPr>
        <w:t>For example, some agencies use the cl</w:t>
      </w:r>
      <w:r w:rsidR="008C65A5" w:rsidRPr="0056340C">
        <w:rPr>
          <w:rStyle w:val="Strong"/>
          <w:b/>
          <w:bCs w:val="0"/>
        </w:rPr>
        <w:t xml:space="preserve">assification </w:t>
      </w:r>
      <w:r w:rsidR="008A4A34" w:rsidRPr="0056340C">
        <w:rPr>
          <w:rStyle w:val="Strong"/>
          <w:b/>
          <w:bCs w:val="0"/>
        </w:rPr>
        <w:t>“</w:t>
      </w:r>
      <w:r w:rsidR="008C65A5" w:rsidRPr="0056340C">
        <w:rPr>
          <w:rStyle w:val="Strong"/>
          <w:b/>
          <w:bCs w:val="0"/>
        </w:rPr>
        <w:t>paraprofessionals,</w:t>
      </w:r>
      <w:r w:rsidR="008A4A34" w:rsidRPr="0056340C">
        <w:rPr>
          <w:rStyle w:val="Strong"/>
          <w:b/>
          <w:bCs w:val="0"/>
        </w:rPr>
        <w:t>”</w:t>
      </w:r>
      <w:r w:rsidR="008C65A5" w:rsidRPr="0056340C">
        <w:rPr>
          <w:rStyle w:val="Strong"/>
          <w:b/>
          <w:bCs w:val="0"/>
        </w:rPr>
        <w:t xml:space="preserve"> which is not tracked by the state civilian workforce</w:t>
      </w:r>
      <w:r w:rsidR="00832B49" w:rsidRPr="0056340C">
        <w:rPr>
          <w:rStyle w:val="Strong"/>
          <w:b/>
          <w:bCs w:val="0"/>
        </w:rPr>
        <w:t xml:space="preserve">. </w:t>
      </w:r>
      <w:r w:rsidR="00052F59" w:rsidRPr="0056340C">
        <w:rPr>
          <w:rStyle w:val="Strong"/>
          <w:b/>
          <w:bCs w:val="0"/>
        </w:rPr>
        <w:t xml:space="preserve">Please reclassify </w:t>
      </w:r>
      <w:r w:rsidR="008C65A5" w:rsidRPr="0056340C">
        <w:rPr>
          <w:rStyle w:val="Strong"/>
          <w:b/>
          <w:bCs w:val="0"/>
        </w:rPr>
        <w:t>all employees within</w:t>
      </w:r>
      <w:r w:rsidR="00052F59" w:rsidRPr="0056340C">
        <w:rPr>
          <w:rStyle w:val="Strong"/>
          <w:b/>
          <w:bCs w:val="0"/>
        </w:rPr>
        <w:t xml:space="preserve"> the appropriate</w:t>
      </w:r>
      <w:r w:rsidR="008C65A5" w:rsidRPr="0056340C">
        <w:rPr>
          <w:rStyle w:val="Strong"/>
          <w:b/>
          <w:bCs w:val="0"/>
        </w:rPr>
        <w:t xml:space="preserve"> categories</w:t>
      </w:r>
      <w:r w:rsidR="00052F59" w:rsidRPr="0056340C">
        <w:rPr>
          <w:rStyle w:val="Strong"/>
          <w:b/>
          <w:bCs w:val="0"/>
        </w:rPr>
        <w:t xml:space="preserve"> below.</w:t>
      </w:r>
    </w:p>
    <w:p w14:paraId="27C30275" w14:textId="122C37C3" w:rsidR="001235F2" w:rsidRDefault="00260E0C" w:rsidP="00565CA6">
      <w:pPr>
        <w:pStyle w:val="BodyText"/>
        <w:ind w:left="360"/>
        <w:rPr>
          <w:rStyle w:val="Strong"/>
        </w:rPr>
      </w:pPr>
      <w:r w:rsidRPr="00260E0C">
        <w:t xml:space="preserve">This analysis includes statistics for the years 2020 to 2023. While the 2024 data is not available </w:t>
      </w:r>
      <w:proofErr w:type="gramStart"/>
      <w:r w:rsidRPr="00260E0C">
        <w:t>at this time</w:t>
      </w:r>
      <w:proofErr w:type="gramEnd"/>
      <w:r w:rsidRPr="00260E0C">
        <w:t xml:space="preserve">, the </w:t>
      </w:r>
      <w:r w:rsidR="17499A39">
        <w:t>Texas Demographic Center</w:t>
      </w:r>
      <w:r w:rsidRPr="00260E0C">
        <w:t xml:space="preserve"> is expected to release it in December 2025. We will share that information as soon as it is available.</w:t>
      </w:r>
    </w:p>
    <w:p w14:paraId="1BB58FC8" w14:textId="77777777" w:rsidR="007D0496" w:rsidRDefault="007D0496" w:rsidP="003A7DC4">
      <w:pPr>
        <w:pStyle w:val="BodyText3"/>
        <w:jc w:val="center"/>
      </w:pPr>
      <w:bookmarkStart w:id="371" w:name="_Toc202856342"/>
      <w:bookmarkStart w:id="372" w:name="_Toc202857171"/>
      <w:bookmarkStart w:id="373" w:name="_Toc202860951"/>
      <w:bookmarkStart w:id="374" w:name="_Toc202861126"/>
      <w:bookmarkStart w:id="375" w:name="_Toc503994321"/>
      <w:bookmarkStart w:id="376" w:name="_Toc1082362788"/>
      <w:bookmarkStart w:id="377" w:name="_Toc417647556"/>
      <w:r>
        <w:t>Texas Workforce Commission</w:t>
      </w:r>
      <w:bookmarkEnd w:id="371"/>
      <w:bookmarkEnd w:id="372"/>
      <w:bookmarkEnd w:id="373"/>
      <w:bookmarkEnd w:id="374"/>
      <w:bookmarkEnd w:id="375"/>
      <w:bookmarkEnd w:id="376"/>
    </w:p>
    <w:p w14:paraId="57E9926F" w14:textId="3EE0309D" w:rsidR="00BD2A84" w:rsidRDefault="004830B6" w:rsidP="003A7DC4">
      <w:pPr>
        <w:pStyle w:val="BodyText3"/>
        <w:jc w:val="center"/>
      </w:pPr>
      <w:bookmarkStart w:id="378" w:name="_Toc202856343"/>
      <w:bookmarkStart w:id="379" w:name="_Toc202857172"/>
      <w:bookmarkStart w:id="380" w:name="_Toc202860952"/>
      <w:bookmarkStart w:id="381" w:name="_Toc202861127"/>
      <w:bookmarkStart w:id="382" w:name="_Toc38561911"/>
      <w:bookmarkStart w:id="383" w:name="_Toc2062973313"/>
      <w:r w:rsidRPr="004D39E1">
        <w:t xml:space="preserve">Exhibit </w:t>
      </w:r>
      <w:r w:rsidR="00935EF5">
        <w:t>2</w:t>
      </w:r>
      <w:r w:rsidR="00AD313D" w:rsidRPr="00CB2280">
        <w:t>1</w:t>
      </w:r>
      <w:r w:rsidRPr="004D39E1">
        <w:t>:</w:t>
      </w:r>
      <w:r w:rsidRPr="00F44845">
        <w:t xml:space="preserve"> Equal Employment Opportunity Statistics</w:t>
      </w:r>
      <w:bookmarkEnd w:id="377"/>
      <w:bookmarkEnd w:id="378"/>
      <w:bookmarkEnd w:id="379"/>
      <w:bookmarkEnd w:id="380"/>
      <w:bookmarkEnd w:id="381"/>
      <w:bookmarkEnd w:id="382"/>
      <w:bookmarkEnd w:id="383"/>
    </w:p>
    <w:p w14:paraId="36A3A3B0" w14:textId="77777777" w:rsidR="001A756D" w:rsidRPr="00EE55B1" w:rsidRDefault="001A756D" w:rsidP="00EE55B1">
      <w:pPr>
        <w:pStyle w:val="BodyText2"/>
        <w:rPr>
          <w:rStyle w:val="IntenseEmphasis"/>
          <w:b w:val="0"/>
          <w:bCs w:val="0"/>
          <w:color w:val="0070C0"/>
        </w:rPr>
      </w:pPr>
      <w:r w:rsidRPr="00EE55B1">
        <w:rPr>
          <w:rStyle w:val="IntenseEmphasis"/>
          <w:bCs w:val="0"/>
          <w:color w:val="0070C0"/>
        </w:rPr>
        <w:t>Officials / Administration</w:t>
      </w:r>
    </w:p>
    <w:tbl>
      <w:tblPr>
        <w:tblStyle w:val="TableGrid1"/>
        <w:tblW w:w="9491"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officials and administration category of the agency for fiscal years 2013, 2014, and 2015."/>
      </w:tblPr>
      <w:tblGrid>
        <w:gridCol w:w="780"/>
        <w:gridCol w:w="1185"/>
        <w:gridCol w:w="1365"/>
        <w:gridCol w:w="1206"/>
        <w:gridCol w:w="1206"/>
        <w:gridCol w:w="1206"/>
        <w:gridCol w:w="1206"/>
        <w:gridCol w:w="1337"/>
      </w:tblGrid>
      <w:tr w:rsidR="001A756D" w:rsidRPr="000F22BE" w14:paraId="5E93006A" w14:textId="77777777" w:rsidTr="00C87B05">
        <w:tc>
          <w:tcPr>
            <w:tcW w:w="780" w:type="dxa"/>
            <w:shd w:val="clear" w:color="auto" w:fill="DBE5F1" w:themeFill="accent1" w:themeFillTint="33"/>
            <w:vAlign w:val="center"/>
          </w:tcPr>
          <w:p w14:paraId="2DF487B7" w14:textId="46390DF3" w:rsidR="206B13E6" w:rsidRPr="000F22BE" w:rsidRDefault="206B13E6" w:rsidP="000F22BE">
            <w:pPr>
              <w:pStyle w:val="TableHeaders"/>
            </w:pPr>
            <w:r w:rsidRPr="000F22BE">
              <w:t>Year</w:t>
            </w:r>
          </w:p>
        </w:tc>
        <w:tc>
          <w:tcPr>
            <w:tcW w:w="1185" w:type="dxa"/>
            <w:shd w:val="clear" w:color="auto" w:fill="DBE5F1" w:themeFill="accent1" w:themeFillTint="33"/>
            <w:vAlign w:val="center"/>
          </w:tcPr>
          <w:p w14:paraId="2BF79812" w14:textId="4B698520" w:rsidR="206B13E6" w:rsidRPr="000F22BE" w:rsidRDefault="206B13E6" w:rsidP="000F22BE">
            <w:pPr>
              <w:pStyle w:val="TableHeaders"/>
            </w:pPr>
            <w:r w:rsidRPr="000F22BE">
              <w:t>Total Number of Positions</w:t>
            </w:r>
          </w:p>
        </w:tc>
        <w:tc>
          <w:tcPr>
            <w:tcW w:w="1365" w:type="dxa"/>
            <w:shd w:val="clear" w:color="auto" w:fill="DBE5F1" w:themeFill="accent1" w:themeFillTint="33"/>
            <w:vAlign w:val="center"/>
          </w:tcPr>
          <w:p w14:paraId="4365A361" w14:textId="209BBD41" w:rsidR="206B13E6" w:rsidRPr="000F22BE" w:rsidRDefault="206B13E6" w:rsidP="000F22BE">
            <w:pPr>
              <w:pStyle w:val="TableHeaders"/>
            </w:pPr>
            <w:proofErr w:type="gramStart"/>
            <w:r w:rsidRPr="000F22BE">
              <w:t>African-American</w:t>
            </w:r>
            <w:proofErr w:type="gramEnd"/>
          </w:p>
        </w:tc>
        <w:tc>
          <w:tcPr>
            <w:tcW w:w="1206" w:type="dxa"/>
            <w:shd w:val="clear" w:color="auto" w:fill="DBE5F1" w:themeFill="accent1" w:themeFillTint="33"/>
            <w:vAlign w:val="center"/>
          </w:tcPr>
          <w:p w14:paraId="635795D4" w14:textId="57A69072" w:rsidR="206B13E6" w:rsidRPr="000F22BE" w:rsidRDefault="206B13E6" w:rsidP="000F22BE">
            <w:pPr>
              <w:pStyle w:val="TableHeaders"/>
            </w:pPr>
            <w:r w:rsidRPr="000F22BE">
              <w:t>Statewide Civilian Workforce Percent</w:t>
            </w:r>
          </w:p>
        </w:tc>
        <w:tc>
          <w:tcPr>
            <w:tcW w:w="1206" w:type="dxa"/>
            <w:shd w:val="clear" w:color="auto" w:fill="DBE5F1" w:themeFill="accent1" w:themeFillTint="33"/>
            <w:vAlign w:val="center"/>
          </w:tcPr>
          <w:p w14:paraId="7A92ACE2" w14:textId="3B18BA60" w:rsidR="206B13E6" w:rsidRPr="000F22BE" w:rsidRDefault="206B13E6" w:rsidP="000F22BE">
            <w:pPr>
              <w:pStyle w:val="TableHeaders"/>
            </w:pPr>
            <w:r w:rsidRPr="000F22BE">
              <w:t>Hispanic</w:t>
            </w:r>
          </w:p>
        </w:tc>
        <w:tc>
          <w:tcPr>
            <w:tcW w:w="1206" w:type="dxa"/>
            <w:shd w:val="clear" w:color="auto" w:fill="DBE5F1" w:themeFill="accent1" w:themeFillTint="33"/>
            <w:vAlign w:val="center"/>
          </w:tcPr>
          <w:p w14:paraId="53D8A499" w14:textId="579A8FDB" w:rsidR="206B13E6" w:rsidRPr="000F22BE" w:rsidRDefault="206B13E6" w:rsidP="000F22BE">
            <w:pPr>
              <w:pStyle w:val="TableHeaders"/>
            </w:pPr>
            <w:r w:rsidRPr="000F22BE">
              <w:t>Statewide Civilian Workforce Percent</w:t>
            </w:r>
          </w:p>
        </w:tc>
        <w:tc>
          <w:tcPr>
            <w:tcW w:w="1206" w:type="dxa"/>
            <w:shd w:val="clear" w:color="auto" w:fill="DBE5F1" w:themeFill="accent1" w:themeFillTint="33"/>
            <w:vAlign w:val="center"/>
          </w:tcPr>
          <w:p w14:paraId="7698A27E" w14:textId="0203ED3A" w:rsidR="206B13E6" w:rsidRPr="000F22BE" w:rsidRDefault="206B13E6" w:rsidP="000F22BE">
            <w:pPr>
              <w:pStyle w:val="TableHeaders"/>
            </w:pPr>
            <w:r w:rsidRPr="000F22BE">
              <w:t>Female</w:t>
            </w:r>
          </w:p>
        </w:tc>
        <w:tc>
          <w:tcPr>
            <w:tcW w:w="1337" w:type="dxa"/>
            <w:shd w:val="clear" w:color="auto" w:fill="DBE5F1" w:themeFill="accent1" w:themeFillTint="33"/>
            <w:vAlign w:val="center"/>
          </w:tcPr>
          <w:p w14:paraId="31521299" w14:textId="5413D7BA" w:rsidR="206B13E6" w:rsidRPr="000F22BE" w:rsidRDefault="206B13E6" w:rsidP="000F22BE">
            <w:pPr>
              <w:pStyle w:val="TableHeaders"/>
            </w:pPr>
            <w:r w:rsidRPr="000F22BE">
              <w:t>Statewide Civilian Workforce Percent</w:t>
            </w:r>
          </w:p>
        </w:tc>
      </w:tr>
      <w:tr w:rsidR="001C39A6" w14:paraId="59B1C3C4" w14:textId="77777777" w:rsidTr="00C87B05">
        <w:tc>
          <w:tcPr>
            <w:tcW w:w="780" w:type="dxa"/>
            <w:vAlign w:val="center"/>
          </w:tcPr>
          <w:p w14:paraId="1870E747" w14:textId="22F3078A" w:rsidR="206B13E6" w:rsidRPr="206B13E6" w:rsidRDefault="206B13E6" w:rsidP="0079726E">
            <w:pPr>
              <w:pStyle w:val="TableText"/>
            </w:pPr>
            <w:r w:rsidRPr="206B13E6">
              <w:t>2021</w:t>
            </w:r>
          </w:p>
        </w:tc>
        <w:tc>
          <w:tcPr>
            <w:tcW w:w="1185" w:type="dxa"/>
            <w:vAlign w:val="center"/>
          </w:tcPr>
          <w:p w14:paraId="02C9E5F3" w14:textId="2B314F4E" w:rsidR="206B13E6" w:rsidRPr="206B13E6" w:rsidRDefault="206B13E6" w:rsidP="00C87B05">
            <w:pPr>
              <w:pStyle w:val="TableText"/>
              <w:jc w:val="right"/>
            </w:pPr>
            <w:r w:rsidRPr="206B13E6">
              <w:t>1,529,531</w:t>
            </w:r>
          </w:p>
        </w:tc>
        <w:tc>
          <w:tcPr>
            <w:tcW w:w="1365" w:type="dxa"/>
            <w:vAlign w:val="center"/>
          </w:tcPr>
          <w:p w14:paraId="7A8C2549" w14:textId="68AD727B" w:rsidR="206B13E6" w:rsidRPr="206B13E6" w:rsidRDefault="206B13E6" w:rsidP="00C87B05">
            <w:pPr>
              <w:pStyle w:val="TableText"/>
              <w:jc w:val="right"/>
            </w:pPr>
            <w:r w:rsidRPr="206B13E6">
              <w:t>132,263</w:t>
            </w:r>
          </w:p>
        </w:tc>
        <w:tc>
          <w:tcPr>
            <w:tcW w:w="1206" w:type="dxa"/>
            <w:vAlign w:val="center"/>
          </w:tcPr>
          <w:p w14:paraId="5A7DA211" w14:textId="63825391" w:rsidR="206B13E6" w:rsidRPr="206B13E6" w:rsidRDefault="206B13E6" w:rsidP="00C87B05">
            <w:pPr>
              <w:pStyle w:val="TableText"/>
              <w:jc w:val="right"/>
            </w:pPr>
            <w:r w:rsidRPr="206B13E6">
              <w:t>8.6%</w:t>
            </w:r>
          </w:p>
        </w:tc>
        <w:tc>
          <w:tcPr>
            <w:tcW w:w="1206" w:type="dxa"/>
            <w:vAlign w:val="center"/>
          </w:tcPr>
          <w:p w14:paraId="4754B7DB" w14:textId="5A13984B" w:rsidR="206B13E6" w:rsidRPr="206B13E6" w:rsidRDefault="206B13E6" w:rsidP="00C87B05">
            <w:pPr>
              <w:pStyle w:val="TableText"/>
              <w:jc w:val="right"/>
            </w:pPr>
            <w:r w:rsidRPr="206B13E6">
              <w:t>386,022</w:t>
            </w:r>
          </w:p>
        </w:tc>
        <w:tc>
          <w:tcPr>
            <w:tcW w:w="1206" w:type="dxa"/>
            <w:vAlign w:val="center"/>
          </w:tcPr>
          <w:p w14:paraId="6D7E39E3" w14:textId="7AAF3E49" w:rsidR="206B13E6" w:rsidRPr="206B13E6" w:rsidRDefault="206B13E6" w:rsidP="00C87B05">
            <w:pPr>
              <w:pStyle w:val="TableText"/>
              <w:jc w:val="right"/>
            </w:pPr>
            <w:r w:rsidRPr="206B13E6">
              <w:t>25.2%</w:t>
            </w:r>
          </w:p>
        </w:tc>
        <w:tc>
          <w:tcPr>
            <w:tcW w:w="1206" w:type="dxa"/>
            <w:vAlign w:val="center"/>
          </w:tcPr>
          <w:p w14:paraId="139B499A" w14:textId="0A19FA0F" w:rsidR="206B13E6" w:rsidRPr="206B13E6" w:rsidRDefault="206B13E6" w:rsidP="00C87B05">
            <w:pPr>
              <w:pStyle w:val="TableText"/>
              <w:jc w:val="right"/>
            </w:pPr>
            <w:r w:rsidRPr="206B13E6">
              <w:t>615,544</w:t>
            </w:r>
          </w:p>
        </w:tc>
        <w:tc>
          <w:tcPr>
            <w:tcW w:w="1337" w:type="dxa"/>
            <w:vAlign w:val="center"/>
          </w:tcPr>
          <w:p w14:paraId="372DA1FD" w14:textId="1DAFA850" w:rsidR="206B13E6" w:rsidRPr="206B13E6" w:rsidRDefault="206B13E6" w:rsidP="00C87B05">
            <w:pPr>
              <w:pStyle w:val="TableText"/>
              <w:jc w:val="right"/>
            </w:pPr>
            <w:r w:rsidRPr="206B13E6">
              <w:t>40.2%</w:t>
            </w:r>
          </w:p>
        </w:tc>
      </w:tr>
      <w:tr w:rsidR="001C39A6" w14:paraId="23C93C14" w14:textId="77777777" w:rsidTr="00C87B05">
        <w:tc>
          <w:tcPr>
            <w:tcW w:w="780" w:type="dxa"/>
            <w:vAlign w:val="center"/>
          </w:tcPr>
          <w:p w14:paraId="22F2AE19" w14:textId="0EE21498" w:rsidR="206B13E6" w:rsidRPr="206B13E6" w:rsidRDefault="206B13E6" w:rsidP="0079726E">
            <w:pPr>
              <w:pStyle w:val="TableText"/>
            </w:pPr>
            <w:r w:rsidRPr="206B13E6">
              <w:t>2022</w:t>
            </w:r>
          </w:p>
        </w:tc>
        <w:tc>
          <w:tcPr>
            <w:tcW w:w="1185" w:type="dxa"/>
            <w:vAlign w:val="center"/>
          </w:tcPr>
          <w:p w14:paraId="57EC413A" w14:textId="336DA680" w:rsidR="206B13E6" w:rsidRPr="206B13E6" w:rsidRDefault="206B13E6" w:rsidP="00C87B05">
            <w:pPr>
              <w:pStyle w:val="TableText"/>
              <w:jc w:val="right"/>
            </w:pPr>
            <w:r w:rsidRPr="206B13E6">
              <w:t>1,676,881</w:t>
            </w:r>
          </w:p>
        </w:tc>
        <w:tc>
          <w:tcPr>
            <w:tcW w:w="1365" w:type="dxa"/>
            <w:vAlign w:val="center"/>
          </w:tcPr>
          <w:p w14:paraId="51395541" w14:textId="17DB484C" w:rsidR="206B13E6" w:rsidRPr="206B13E6" w:rsidRDefault="206B13E6" w:rsidP="00C87B05">
            <w:pPr>
              <w:pStyle w:val="TableText"/>
              <w:jc w:val="right"/>
            </w:pPr>
            <w:r w:rsidRPr="206B13E6">
              <w:t>149,280</w:t>
            </w:r>
          </w:p>
        </w:tc>
        <w:tc>
          <w:tcPr>
            <w:tcW w:w="1206" w:type="dxa"/>
            <w:vAlign w:val="center"/>
          </w:tcPr>
          <w:p w14:paraId="2AED9B20" w14:textId="675D98E0" w:rsidR="206B13E6" w:rsidRPr="206B13E6" w:rsidRDefault="206B13E6" w:rsidP="00C87B05">
            <w:pPr>
              <w:pStyle w:val="TableText"/>
              <w:jc w:val="right"/>
            </w:pPr>
            <w:r w:rsidRPr="206B13E6">
              <w:t>8.9%</w:t>
            </w:r>
          </w:p>
        </w:tc>
        <w:tc>
          <w:tcPr>
            <w:tcW w:w="1206" w:type="dxa"/>
            <w:vAlign w:val="center"/>
          </w:tcPr>
          <w:p w14:paraId="1F9127C8" w14:textId="1EE1E416" w:rsidR="206B13E6" w:rsidRPr="206B13E6" w:rsidRDefault="206B13E6" w:rsidP="00C87B05">
            <w:pPr>
              <w:pStyle w:val="TableText"/>
              <w:jc w:val="right"/>
            </w:pPr>
            <w:r w:rsidRPr="206B13E6">
              <w:t>435,930</w:t>
            </w:r>
          </w:p>
        </w:tc>
        <w:tc>
          <w:tcPr>
            <w:tcW w:w="1206" w:type="dxa"/>
            <w:vAlign w:val="center"/>
          </w:tcPr>
          <w:p w14:paraId="210A2897" w14:textId="06E67F91" w:rsidR="206B13E6" w:rsidRPr="206B13E6" w:rsidRDefault="206B13E6" w:rsidP="00C87B05">
            <w:pPr>
              <w:pStyle w:val="TableText"/>
              <w:jc w:val="right"/>
            </w:pPr>
            <w:r w:rsidRPr="206B13E6">
              <w:t>26.0%</w:t>
            </w:r>
          </w:p>
        </w:tc>
        <w:tc>
          <w:tcPr>
            <w:tcW w:w="1206" w:type="dxa"/>
            <w:vAlign w:val="center"/>
          </w:tcPr>
          <w:p w14:paraId="018EE879" w14:textId="73AD0769" w:rsidR="206B13E6" w:rsidRPr="206B13E6" w:rsidRDefault="206B13E6" w:rsidP="00C87B05">
            <w:pPr>
              <w:pStyle w:val="TableText"/>
              <w:jc w:val="right"/>
            </w:pPr>
            <w:r w:rsidRPr="206B13E6">
              <w:t>681,952</w:t>
            </w:r>
          </w:p>
        </w:tc>
        <w:tc>
          <w:tcPr>
            <w:tcW w:w="1337" w:type="dxa"/>
            <w:vAlign w:val="center"/>
          </w:tcPr>
          <w:p w14:paraId="75D83100" w14:textId="5C59D937" w:rsidR="206B13E6" w:rsidRPr="206B13E6" w:rsidRDefault="206B13E6" w:rsidP="00C87B05">
            <w:pPr>
              <w:pStyle w:val="TableText"/>
              <w:jc w:val="right"/>
            </w:pPr>
            <w:r w:rsidRPr="206B13E6">
              <w:t>40.7%</w:t>
            </w:r>
          </w:p>
        </w:tc>
      </w:tr>
      <w:tr w:rsidR="001C39A6" w14:paraId="53C76710" w14:textId="77777777" w:rsidTr="00C87B05">
        <w:tc>
          <w:tcPr>
            <w:tcW w:w="780" w:type="dxa"/>
            <w:vAlign w:val="center"/>
          </w:tcPr>
          <w:p w14:paraId="5EC172AE" w14:textId="40C3AA37" w:rsidR="206B13E6" w:rsidRPr="206B13E6" w:rsidRDefault="206B13E6" w:rsidP="0079726E">
            <w:pPr>
              <w:pStyle w:val="TableText"/>
            </w:pPr>
            <w:r w:rsidRPr="206B13E6">
              <w:t>2023</w:t>
            </w:r>
          </w:p>
        </w:tc>
        <w:tc>
          <w:tcPr>
            <w:tcW w:w="1185" w:type="dxa"/>
            <w:vAlign w:val="center"/>
          </w:tcPr>
          <w:p w14:paraId="4070ECB1" w14:textId="547865C7" w:rsidR="206B13E6" w:rsidRPr="206B13E6" w:rsidRDefault="206B13E6" w:rsidP="00C87B05">
            <w:pPr>
              <w:pStyle w:val="TableText"/>
              <w:jc w:val="right"/>
            </w:pPr>
            <w:r w:rsidRPr="206B13E6">
              <w:t>1,701,779</w:t>
            </w:r>
          </w:p>
        </w:tc>
        <w:tc>
          <w:tcPr>
            <w:tcW w:w="1365" w:type="dxa"/>
            <w:vAlign w:val="center"/>
          </w:tcPr>
          <w:p w14:paraId="526F1C0D" w14:textId="297CE53E" w:rsidR="206B13E6" w:rsidRPr="206B13E6" w:rsidRDefault="206B13E6" w:rsidP="00C87B05">
            <w:pPr>
              <w:pStyle w:val="TableText"/>
              <w:jc w:val="right"/>
            </w:pPr>
            <w:r w:rsidRPr="206B13E6">
              <w:t>154,986</w:t>
            </w:r>
          </w:p>
        </w:tc>
        <w:tc>
          <w:tcPr>
            <w:tcW w:w="1206" w:type="dxa"/>
            <w:vAlign w:val="center"/>
          </w:tcPr>
          <w:p w14:paraId="49EBAAFE" w14:textId="1CA6009D" w:rsidR="206B13E6" w:rsidRPr="206B13E6" w:rsidRDefault="206B13E6" w:rsidP="00C87B05">
            <w:pPr>
              <w:pStyle w:val="TableText"/>
              <w:jc w:val="right"/>
            </w:pPr>
            <w:r w:rsidRPr="206B13E6">
              <w:t>9.1%</w:t>
            </w:r>
          </w:p>
        </w:tc>
        <w:tc>
          <w:tcPr>
            <w:tcW w:w="1206" w:type="dxa"/>
            <w:vAlign w:val="center"/>
          </w:tcPr>
          <w:p w14:paraId="7169E21D" w14:textId="73CF19C4" w:rsidR="206B13E6" w:rsidRPr="206B13E6" w:rsidRDefault="206B13E6" w:rsidP="00C87B05">
            <w:pPr>
              <w:pStyle w:val="TableText"/>
              <w:jc w:val="right"/>
            </w:pPr>
            <w:r w:rsidRPr="206B13E6">
              <w:t>450,503</w:t>
            </w:r>
          </w:p>
        </w:tc>
        <w:tc>
          <w:tcPr>
            <w:tcW w:w="1206" w:type="dxa"/>
            <w:vAlign w:val="center"/>
          </w:tcPr>
          <w:p w14:paraId="791D4306" w14:textId="24A57498" w:rsidR="206B13E6" w:rsidRPr="206B13E6" w:rsidRDefault="206B13E6" w:rsidP="00C87B05">
            <w:pPr>
              <w:pStyle w:val="TableText"/>
              <w:jc w:val="right"/>
            </w:pPr>
            <w:r w:rsidRPr="206B13E6">
              <w:t>26.5%</w:t>
            </w:r>
          </w:p>
        </w:tc>
        <w:tc>
          <w:tcPr>
            <w:tcW w:w="1206" w:type="dxa"/>
            <w:vAlign w:val="center"/>
          </w:tcPr>
          <w:p w14:paraId="2D2FBDB2" w14:textId="0A0C83E4" w:rsidR="206B13E6" w:rsidRPr="206B13E6" w:rsidRDefault="206B13E6" w:rsidP="00C87B05">
            <w:pPr>
              <w:pStyle w:val="TableText"/>
              <w:jc w:val="right"/>
            </w:pPr>
            <w:r w:rsidRPr="206B13E6">
              <w:t>702,105</w:t>
            </w:r>
          </w:p>
        </w:tc>
        <w:tc>
          <w:tcPr>
            <w:tcW w:w="1337" w:type="dxa"/>
            <w:vAlign w:val="center"/>
          </w:tcPr>
          <w:p w14:paraId="3D189BB4" w14:textId="385E40DB" w:rsidR="206B13E6" w:rsidRPr="206B13E6" w:rsidRDefault="206B13E6" w:rsidP="00C87B05">
            <w:pPr>
              <w:pStyle w:val="TableText"/>
              <w:jc w:val="right"/>
            </w:pPr>
            <w:r w:rsidRPr="206B13E6">
              <w:t>41.3%</w:t>
            </w:r>
          </w:p>
        </w:tc>
      </w:tr>
    </w:tbl>
    <w:p w14:paraId="0BB88DEE" w14:textId="77777777" w:rsidR="002750B3" w:rsidRPr="00EE55B1" w:rsidRDefault="002750B3" w:rsidP="00EE55B1">
      <w:pPr>
        <w:pStyle w:val="BodyText2"/>
        <w:rPr>
          <w:rStyle w:val="IntenseEmphasis"/>
          <w:b w:val="0"/>
          <w:bCs w:val="0"/>
          <w:color w:val="0070C0"/>
        </w:rPr>
      </w:pPr>
      <w:r w:rsidRPr="00EE55B1">
        <w:rPr>
          <w:rStyle w:val="IntenseEmphasis"/>
          <w:bCs w:val="0"/>
          <w:color w:val="0070C0"/>
        </w:rPr>
        <w:lastRenderedPageBreak/>
        <w:t>Professional</w:t>
      </w:r>
    </w:p>
    <w:tbl>
      <w:tblPr>
        <w:tblStyle w:val="TableGrid1"/>
        <w:tblW w:w="9360"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professional category of the agency for fiscal years 2013, 2014, and 2015."/>
      </w:tblPr>
      <w:tblGrid>
        <w:gridCol w:w="805"/>
        <w:gridCol w:w="1080"/>
        <w:gridCol w:w="1445"/>
        <w:gridCol w:w="1206"/>
        <w:gridCol w:w="1206"/>
        <w:gridCol w:w="1206"/>
        <w:gridCol w:w="1206"/>
        <w:gridCol w:w="1206"/>
      </w:tblGrid>
      <w:tr w:rsidR="002750B3" w14:paraId="0DD4F0F3" w14:textId="77777777" w:rsidTr="009B0A6B">
        <w:tc>
          <w:tcPr>
            <w:tcW w:w="805" w:type="dxa"/>
            <w:shd w:val="clear" w:color="auto" w:fill="DBE5F1" w:themeFill="accent1" w:themeFillTint="33"/>
            <w:vAlign w:val="center"/>
          </w:tcPr>
          <w:p w14:paraId="0FCC20A1" w14:textId="7B28860F" w:rsidR="206B13E6" w:rsidRPr="206B13E6" w:rsidRDefault="206B13E6" w:rsidP="00666129">
            <w:pPr>
              <w:pStyle w:val="TableHeaders"/>
            </w:pPr>
            <w:r w:rsidRPr="206B13E6">
              <w:t>Year</w:t>
            </w:r>
          </w:p>
        </w:tc>
        <w:tc>
          <w:tcPr>
            <w:tcW w:w="1080" w:type="dxa"/>
            <w:shd w:val="clear" w:color="auto" w:fill="DBE5F1" w:themeFill="accent1" w:themeFillTint="33"/>
            <w:vAlign w:val="center"/>
          </w:tcPr>
          <w:p w14:paraId="5B857FF6" w14:textId="0559BBB6" w:rsidR="206B13E6" w:rsidRPr="206B13E6" w:rsidRDefault="206B13E6" w:rsidP="00666129">
            <w:pPr>
              <w:pStyle w:val="TableHeaders"/>
            </w:pPr>
            <w:r w:rsidRPr="206B13E6">
              <w:t>Total Number of Positions</w:t>
            </w:r>
          </w:p>
        </w:tc>
        <w:tc>
          <w:tcPr>
            <w:tcW w:w="1445" w:type="dxa"/>
            <w:shd w:val="clear" w:color="auto" w:fill="DBE5F1" w:themeFill="accent1" w:themeFillTint="33"/>
            <w:vAlign w:val="center"/>
          </w:tcPr>
          <w:p w14:paraId="55C0B198" w14:textId="721C86E7" w:rsidR="206B13E6" w:rsidRPr="206B13E6" w:rsidRDefault="206B13E6" w:rsidP="00666129">
            <w:pPr>
              <w:pStyle w:val="TableHeaders"/>
            </w:pPr>
            <w:proofErr w:type="gramStart"/>
            <w:r w:rsidRPr="206B13E6">
              <w:t>African-American</w:t>
            </w:r>
            <w:proofErr w:type="gramEnd"/>
          </w:p>
        </w:tc>
        <w:tc>
          <w:tcPr>
            <w:tcW w:w="1206" w:type="dxa"/>
            <w:shd w:val="clear" w:color="auto" w:fill="DBE5F1" w:themeFill="accent1" w:themeFillTint="33"/>
            <w:vAlign w:val="center"/>
          </w:tcPr>
          <w:p w14:paraId="4A3545C8" w14:textId="13BCF2DD" w:rsidR="206B13E6" w:rsidRPr="206B13E6" w:rsidRDefault="206B13E6" w:rsidP="00666129">
            <w:pPr>
              <w:pStyle w:val="TableHeaders"/>
            </w:pPr>
            <w:r w:rsidRPr="206B13E6">
              <w:t>Statewide Civilian Workforce Percent</w:t>
            </w:r>
          </w:p>
        </w:tc>
        <w:tc>
          <w:tcPr>
            <w:tcW w:w="1206" w:type="dxa"/>
            <w:shd w:val="clear" w:color="auto" w:fill="DBE5F1" w:themeFill="accent1" w:themeFillTint="33"/>
            <w:vAlign w:val="center"/>
          </w:tcPr>
          <w:p w14:paraId="0D280073" w14:textId="22B0FCAB" w:rsidR="206B13E6" w:rsidRPr="206B13E6" w:rsidRDefault="206B13E6" w:rsidP="00666129">
            <w:pPr>
              <w:pStyle w:val="TableHeaders"/>
            </w:pPr>
            <w:r w:rsidRPr="206B13E6">
              <w:t>Percent Hispanic</w:t>
            </w:r>
          </w:p>
        </w:tc>
        <w:tc>
          <w:tcPr>
            <w:tcW w:w="1206" w:type="dxa"/>
            <w:shd w:val="clear" w:color="auto" w:fill="DBE5F1" w:themeFill="accent1" w:themeFillTint="33"/>
            <w:vAlign w:val="center"/>
          </w:tcPr>
          <w:p w14:paraId="4385BAC5" w14:textId="7A99F5AA" w:rsidR="206B13E6" w:rsidRPr="206B13E6" w:rsidRDefault="206B13E6" w:rsidP="00666129">
            <w:pPr>
              <w:pStyle w:val="TableHeaders"/>
            </w:pPr>
            <w:r w:rsidRPr="206B13E6">
              <w:t>Statewide Civilian Workforce Percent</w:t>
            </w:r>
          </w:p>
        </w:tc>
        <w:tc>
          <w:tcPr>
            <w:tcW w:w="1206" w:type="dxa"/>
            <w:shd w:val="clear" w:color="auto" w:fill="DBE5F1" w:themeFill="accent1" w:themeFillTint="33"/>
            <w:vAlign w:val="center"/>
          </w:tcPr>
          <w:p w14:paraId="0ED1A211" w14:textId="6CBD7D75" w:rsidR="206B13E6" w:rsidRPr="206B13E6" w:rsidRDefault="206B13E6" w:rsidP="00666129">
            <w:pPr>
              <w:pStyle w:val="TableHeaders"/>
            </w:pPr>
            <w:r w:rsidRPr="206B13E6">
              <w:t>Female</w:t>
            </w:r>
          </w:p>
        </w:tc>
        <w:tc>
          <w:tcPr>
            <w:tcW w:w="1206" w:type="dxa"/>
            <w:shd w:val="clear" w:color="auto" w:fill="DBE5F1" w:themeFill="accent1" w:themeFillTint="33"/>
            <w:vAlign w:val="center"/>
          </w:tcPr>
          <w:p w14:paraId="1780DCCE" w14:textId="45E4F3C2" w:rsidR="206B13E6" w:rsidRPr="206B13E6" w:rsidRDefault="206B13E6" w:rsidP="00666129">
            <w:pPr>
              <w:pStyle w:val="TableHeaders"/>
            </w:pPr>
            <w:r w:rsidRPr="206B13E6">
              <w:t>Statewide Civilian Workforce Percent</w:t>
            </w:r>
          </w:p>
        </w:tc>
      </w:tr>
      <w:tr w:rsidR="001C39A6" w14:paraId="48598ED9" w14:textId="77777777" w:rsidTr="009B0A6B">
        <w:tc>
          <w:tcPr>
            <w:tcW w:w="805" w:type="dxa"/>
            <w:vAlign w:val="center"/>
          </w:tcPr>
          <w:p w14:paraId="03B51B1E" w14:textId="60956DBB" w:rsidR="206B13E6" w:rsidRPr="206B13E6" w:rsidRDefault="206B13E6" w:rsidP="00BE15BA">
            <w:pPr>
              <w:pStyle w:val="TableText"/>
            </w:pPr>
            <w:r w:rsidRPr="206B13E6">
              <w:t>2021</w:t>
            </w:r>
          </w:p>
        </w:tc>
        <w:tc>
          <w:tcPr>
            <w:tcW w:w="1080" w:type="dxa"/>
            <w:vAlign w:val="center"/>
          </w:tcPr>
          <w:p w14:paraId="5FBEB7F0" w14:textId="38DD1B8F" w:rsidR="206B13E6" w:rsidRPr="206B13E6" w:rsidRDefault="206B13E6" w:rsidP="0007703C">
            <w:pPr>
              <w:pStyle w:val="TableText"/>
              <w:jc w:val="right"/>
            </w:pPr>
            <w:r w:rsidRPr="206B13E6">
              <w:t>3,489,851</w:t>
            </w:r>
          </w:p>
        </w:tc>
        <w:tc>
          <w:tcPr>
            <w:tcW w:w="1445" w:type="dxa"/>
            <w:vAlign w:val="center"/>
          </w:tcPr>
          <w:p w14:paraId="03B19FE6" w14:textId="61244481" w:rsidR="206B13E6" w:rsidRPr="206B13E6" w:rsidRDefault="206B13E6" w:rsidP="0007703C">
            <w:pPr>
              <w:pStyle w:val="TableText"/>
              <w:jc w:val="right"/>
            </w:pPr>
            <w:r w:rsidRPr="206B13E6">
              <w:t>370,399</w:t>
            </w:r>
          </w:p>
        </w:tc>
        <w:tc>
          <w:tcPr>
            <w:tcW w:w="1206" w:type="dxa"/>
            <w:vAlign w:val="center"/>
          </w:tcPr>
          <w:p w14:paraId="4A3DD538" w14:textId="478A56FA" w:rsidR="206B13E6" w:rsidRPr="206B13E6" w:rsidRDefault="206B13E6" w:rsidP="0007703C">
            <w:pPr>
              <w:pStyle w:val="TableText"/>
              <w:jc w:val="right"/>
            </w:pPr>
            <w:r w:rsidRPr="206B13E6">
              <w:t>10.6%</w:t>
            </w:r>
          </w:p>
        </w:tc>
        <w:tc>
          <w:tcPr>
            <w:tcW w:w="1206" w:type="dxa"/>
            <w:vAlign w:val="center"/>
          </w:tcPr>
          <w:p w14:paraId="7B27AB4F" w14:textId="5C36FCC8" w:rsidR="206B13E6" w:rsidRPr="206B13E6" w:rsidRDefault="206B13E6" w:rsidP="0007703C">
            <w:pPr>
              <w:pStyle w:val="TableText"/>
              <w:jc w:val="right"/>
            </w:pPr>
            <w:r w:rsidRPr="206B13E6">
              <w:t>801,191</w:t>
            </w:r>
          </w:p>
        </w:tc>
        <w:tc>
          <w:tcPr>
            <w:tcW w:w="1206" w:type="dxa"/>
            <w:vAlign w:val="center"/>
          </w:tcPr>
          <w:p w14:paraId="29105662" w14:textId="6386F416" w:rsidR="206B13E6" w:rsidRPr="206B13E6" w:rsidRDefault="206B13E6" w:rsidP="0007703C">
            <w:pPr>
              <w:pStyle w:val="TableText"/>
              <w:jc w:val="right"/>
            </w:pPr>
            <w:r w:rsidRPr="206B13E6">
              <w:t>23.0%</w:t>
            </w:r>
          </w:p>
        </w:tc>
        <w:tc>
          <w:tcPr>
            <w:tcW w:w="1206" w:type="dxa"/>
            <w:vAlign w:val="center"/>
          </w:tcPr>
          <w:p w14:paraId="6786C8B4" w14:textId="5AD9C683" w:rsidR="206B13E6" w:rsidRPr="206B13E6" w:rsidRDefault="206B13E6" w:rsidP="0007703C">
            <w:pPr>
              <w:pStyle w:val="TableText"/>
              <w:jc w:val="right"/>
            </w:pPr>
            <w:r w:rsidRPr="206B13E6">
              <w:t>1,849,090</w:t>
            </w:r>
          </w:p>
        </w:tc>
        <w:tc>
          <w:tcPr>
            <w:tcW w:w="1206" w:type="dxa"/>
            <w:vAlign w:val="center"/>
          </w:tcPr>
          <w:p w14:paraId="4085ED7E" w14:textId="730D83FD" w:rsidR="206B13E6" w:rsidRPr="206B13E6" w:rsidRDefault="206B13E6" w:rsidP="0007703C">
            <w:pPr>
              <w:pStyle w:val="TableText"/>
              <w:jc w:val="right"/>
            </w:pPr>
            <w:r w:rsidRPr="206B13E6">
              <w:t>53.0%</w:t>
            </w:r>
          </w:p>
        </w:tc>
      </w:tr>
      <w:tr w:rsidR="001C39A6" w14:paraId="532939CF" w14:textId="77777777" w:rsidTr="009B0A6B">
        <w:tc>
          <w:tcPr>
            <w:tcW w:w="805" w:type="dxa"/>
            <w:vAlign w:val="center"/>
          </w:tcPr>
          <w:p w14:paraId="614B020B" w14:textId="395C55AD" w:rsidR="206B13E6" w:rsidRPr="206B13E6" w:rsidRDefault="206B13E6" w:rsidP="00BE15BA">
            <w:pPr>
              <w:pStyle w:val="TableText"/>
            </w:pPr>
            <w:r w:rsidRPr="206B13E6">
              <w:t>2022</w:t>
            </w:r>
          </w:p>
        </w:tc>
        <w:tc>
          <w:tcPr>
            <w:tcW w:w="1080" w:type="dxa"/>
            <w:vAlign w:val="center"/>
          </w:tcPr>
          <w:p w14:paraId="57B8864E" w14:textId="4840763B" w:rsidR="206B13E6" w:rsidRPr="206B13E6" w:rsidRDefault="206B13E6" w:rsidP="0007703C">
            <w:pPr>
              <w:pStyle w:val="TableText"/>
              <w:jc w:val="right"/>
            </w:pPr>
            <w:r w:rsidRPr="206B13E6">
              <w:t>3,723,169</w:t>
            </w:r>
          </w:p>
        </w:tc>
        <w:tc>
          <w:tcPr>
            <w:tcW w:w="1445" w:type="dxa"/>
            <w:vAlign w:val="center"/>
          </w:tcPr>
          <w:p w14:paraId="5FD9C935" w14:textId="36E2936E" w:rsidR="206B13E6" w:rsidRPr="206B13E6" w:rsidRDefault="206B13E6" w:rsidP="0007703C">
            <w:pPr>
              <w:pStyle w:val="TableText"/>
              <w:jc w:val="right"/>
            </w:pPr>
            <w:r w:rsidRPr="206B13E6">
              <w:t>415,998</w:t>
            </w:r>
          </w:p>
        </w:tc>
        <w:tc>
          <w:tcPr>
            <w:tcW w:w="1206" w:type="dxa"/>
            <w:vAlign w:val="center"/>
          </w:tcPr>
          <w:p w14:paraId="5FBB0BCD" w14:textId="7372629C" w:rsidR="206B13E6" w:rsidRPr="206B13E6" w:rsidRDefault="206B13E6" w:rsidP="0007703C">
            <w:pPr>
              <w:pStyle w:val="TableText"/>
              <w:jc w:val="right"/>
            </w:pPr>
            <w:r w:rsidRPr="206B13E6">
              <w:t>11.2%</w:t>
            </w:r>
          </w:p>
        </w:tc>
        <w:tc>
          <w:tcPr>
            <w:tcW w:w="1206" w:type="dxa"/>
            <w:vAlign w:val="center"/>
          </w:tcPr>
          <w:p w14:paraId="5EB6915E" w14:textId="463E5170" w:rsidR="206B13E6" w:rsidRPr="206B13E6" w:rsidRDefault="206B13E6" w:rsidP="0007703C">
            <w:pPr>
              <w:pStyle w:val="TableText"/>
              <w:jc w:val="right"/>
            </w:pPr>
            <w:r w:rsidRPr="206B13E6">
              <w:t>893,611</w:t>
            </w:r>
          </w:p>
        </w:tc>
        <w:tc>
          <w:tcPr>
            <w:tcW w:w="1206" w:type="dxa"/>
            <w:vAlign w:val="center"/>
          </w:tcPr>
          <w:p w14:paraId="741BCEA9" w14:textId="0A0E9BEF" w:rsidR="206B13E6" w:rsidRPr="206B13E6" w:rsidRDefault="206B13E6" w:rsidP="0007703C">
            <w:pPr>
              <w:pStyle w:val="TableText"/>
              <w:jc w:val="right"/>
            </w:pPr>
            <w:r w:rsidRPr="206B13E6">
              <w:t>24.0%</w:t>
            </w:r>
          </w:p>
        </w:tc>
        <w:tc>
          <w:tcPr>
            <w:tcW w:w="1206" w:type="dxa"/>
            <w:vAlign w:val="center"/>
          </w:tcPr>
          <w:p w14:paraId="14F3EDFD" w14:textId="28A32DC1" w:rsidR="206B13E6" w:rsidRPr="206B13E6" w:rsidRDefault="206B13E6" w:rsidP="0007703C">
            <w:pPr>
              <w:pStyle w:val="TableText"/>
              <w:jc w:val="right"/>
            </w:pPr>
            <w:r w:rsidRPr="206B13E6">
              <w:t>2,009,379</w:t>
            </w:r>
          </w:p>
        </w:tc>
        <w:tc>
          <w:tcPr>
            <w:tcW w:w="1206" w:type="dxa"/>
            <w:vAlign w:val="center"/>
          </w:tcPr>
          <w:p w14:paraId="09D8BA69" w14:textId="5C3A6A03" w:rsidR="206B13E6" w:rsidRPr="206B13E6" w:rsidRDefault="206B13E6" w:rsidP="0007703C">
            <w:pPr>
              <w:pStyle w:val="TableText"/>
              <w:jc w:val="right"/>
            </w:pPr>
            <w:r w:rsidRPr="206B13E6">
              <w:t>54.0%</w:t>
            </w:r>
          </w:p>
        </w:tc>
      </w:tr>
      <w:tr w:rsidR="001C39A6" w14:paraId="5B0044AA" w14:textId="77777777" w:rsidTr="009B0A6B">
        <w:tc>
          <w:tcPr>
            <w:tcW w:w="805" w:type="dxa"/>
            <w:vAlign w:val="center"/>
          </w:tcPr>
          <w:p w14:paraId="5B3223D2" w14:textId="31FB3467" w:rsidR="206B13E6" w:rsidRPr="206B13E6" w:rsidRDefault="206B13E6" w:rsidP="00BE15BA">
            <w:pPr>
              <w:pStyle w:val="TableText"/>
            </w:pPr>
            <w:r w:rsidRPr="206B13E6">
              <w:t>2023</w:t>
            </w:r>
          </w:p>
        </w:tc>
        <w:tc>
          <w:tcPr>
            <w:tcW w:w="1080" w:type="dxa"/>
            <w:vAlign w:val="center"/>
          </w:tcPr>
          <w:p w14:paraId="38B10D22" w14:textId="1CB10545" w:rsidR="206B13E6" w:rsidRPr="206B13E6" w:rsidRDefault="206B13E6" w:rsidP="0007703C">
            <w:pPr>
              <w:pStyle w:val="TableText"/>
              <w:jc w:val="right"/>
            </w:pPr>
            <w:r w:rsidRPr="206B13E6">
              <w:t>3,901,277</w:t>
            </w:r>
          </w:p>
        </w:tc>
        <w:tc>
          <w:tcPr>
            <w:tcW w:w="1445" w:type="dxa"/>
            <w:vAlign w:val="center"/>
          </w:tcPr>
          <w:p w14:paraId="61E33CBB" w14:textId="232600FB" w:rsidR="206B13E6" w:rsidRPr="206B13E6" w:rsidRDefault="206B13E6" w:rsidP="0007703C">
            <w:pPr>
              <w:pStyle w:val="TableText"/>
              <w:jc w:val="right"/>
            </w:pPr>
            <w:r w:rsidRPr="206B13E6">
              <w:t>456,588</w:t>
            </w:r>
          </w:p>
        </w:tc>
        <w:tc>
          <w:tcPr>
            <w:tcW w:w="1206" w:type="dxa"/>
            <w:vAlign w:val="center"/>
          </w:tcPr>
          <w:p w14:paraId="43123E4E" w14:textId="09101F30" w:rsidR="206B13E6" w:rsidRPr="206B13E6" w:rsidRDefault="206B13E6" w:rsidP="0007703C">
            <w:pPr>
              <w:pStyle w:val="TableText"/>
              <w:jc w:val="right"/>
            </w:pPr>
            <w:r w:rsidRPr="206B13E6">
              <w:t>11.7%</w:t>
            </w:r>
          </w:p>
        </w:tc>
        <w:tc>
          <w:tcPr>
            <w:tcW w:w="1206" w:type="dxa"/>
            <w:vAlign w:val="center"/>
          </w:tcPr>
          <w:p w14:paraId="52912CEE" w14:textId="51AA1AFD" w:rsidR="206B13E6" w:rsidRPr="206B13E6" w:rsidRDefault="206B13E6" w:rsidP="0007703C">
            <w:pPr>
              <w:pStyle w:val="TableText"/>
              <w:jc w:val="right"/>
            </w:pPr>
            <w:r w:rsidRPr="206B13E6">
              <w:t>909,890</w:t>
            </w:r>
          </w:p>
        </w:tc>
        <w:tc>
          <w:tcPr>
            <w:tcW w:w="1206" w:type="dxa"/>
            <w:vAlign w:val="center"/>
          </w:tcPr>
          <w:p w14:paraId="4DAC1F62" w14:textId="1A43734D" w:rsidR="206B13E6" w:rsidRPr="206B13E6" w:rsidRDefault="206B13E6" w:rsidP="0007703C">
            <w:pPr>
              <w:pStyle w:val="TableText"/>
              <w:jc w:val="right"/>
            </w:pPr>
            <w:r w:rsidRPr="206B13E6">
              <w:t>23.3%</w:t>
            </w:r>
          </w:p>
        </w:tc>
        <w:tc>
          <w:tcPr>
            <w:tcW w:w="1206" w:type="dxa"/>
            <w:vAlign w:val="center"/>
          </w:tcPr>
          <w:p w14:paraId="75F393F0" w14:textId="01369A66" w:rsidR="206B13E6" w:rsidRPr="206B13E6" w:rsidRDefault="206B13E6" w:rsidP="0007703C">
            <w:pPr>
              <w:pStyle w:val="TableText"/>
              <w:jc w:val="right"/>
            </w:pPr>
            <w:r w:rsidRPr="206B13E6">
              <w:t xml:space="preserve"> 2,098,301</w:t>
            </w:r>
          </w:p>
        </w:tc>
        <w:tc>
          <w:tcPr>
            <w:tcW w:w="1206" w:type="dxa"/>
            <w:vAlign w:val="center"/>
          </w:tcPr>
          <w:p w14:paraId="57EEAFAA" w14:textId="49DC5C53" w:rsidR="206B13E6" w:rsidRPr="206B13E6" w:rsidRDefault="206B13E6" w:rsidP="0007703C">
            <w:pPr>
              <w:pStyle w:val="TableText"/>
              <w:jc w:val="right"/>
            </w:pPr>
            <w:r w:rsidRPr="206B13E6">
              <w:t>53.8%</w:t>
            </w:r>
          </w:p>
        </w:tc>
      </w:tr>
    </w:tbl>
    <w:p w14:paraId="0BAB54A9" w14:textId="77777777" w:rsidR="0083245F" w:rsidRPr="00EE55B1" w:rsidRDefault="0083245F" w:rsidP="00EE55B1">
      <w:pPr>
        <w:pStyle w:val="BodyText2"/>
        <w:rPr>
          <w:rStyle w:val="IntenseEmphasis"/>
          <w:b w:val="0"/>
          <w:bCs w:val="0"/>
          <w:color w:val="0070C0"/>
        </w:rPr>
      </w:pPr>
      <w:r w:rsidRPr="00EE55B1">
        <w:rPr>
          <w:rStyle w:val="IntenseEmphasis"/>
          <w:bCs w:val="0"/>
          <w:color w:val="0070C0"/>
        </w:rPr>
        <w:t>Technical</w:t>
      </w:r>
    </w:p>
    <w:tbl>
      <w:tblPr>
        <w:tblStyle w:val="TableGrid1"/>
        <w:tblW w:w="9360"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technical category of the agency for fiscal years 2013, 2014, and 2015."/>
      </w:tblPr>
      <w:tblGrid>
        <w:gridCol w:w="630"/>
        <w:gridCol w:w="1080"/>
        <w:gridCol w:w="1620"/>
        <w:gridCol w:w="1206"/>
        <w:gridCol w:w="1206"/>
        <w:gridCol w:w="1206"/>
        <w:gridCol w:w="1206"/>
        <w:gridCol w:w="1206"/>
      </w:tblGrid>
      <w:tr w:rsidR="0083245F" w14:paraId="6B7CB27E" w14:textId="77777777" w:rsidTr="00BE06AF">
        <w:tc>
          <w:tcPr>
            <w:tcW w:w="630" w:type="dxa"/>
            <w:shd w:val="clear" w:color="auto" w:fill="DBE5F1" w:themeFill="accent1" w:themeFillTint="33"/>
            <w:vAlign w:val="center"/>
          </w:tcPr>
          <w:p w14:paraId="2282E614" w14:textId="588F99DF" w:rsidR="206B13E6" w:rsidRPr="206B13E6" w:rsidRDefault="206B13E6" w:rsidP="00BE15BA">
            <w:pPr>
              <w:pStyle w:val="TableHeaders"/>
            </w:pPr>
            <w:r w:rsidRPr="206B13E6">
              <w:t>Year</w:t>
            </w:r>
          </w:p>
        </w:tc>
        <w:tc>
          <w:tcPr>
            <w:tcW w:w="1080" w:type="dxa"/>
            <w:shd w:val="clear" w:color="auto" w:fill="DBE5F1" w:themeFill="accent1" w:themeFillTint="33"/>
            <w:vAlign w:val="center"/>
          </w:tcPr>
          <w:p w14:paraId="64EAC699" w14:textId="727DAB96" w:rsidR="206B13E6" w:rsidRPr="206B13E6" w:rsidRDefault="206B13E6" w:rsidP="00BE15BA">
            <w:pPr>
              <w:pStyle w:val="TableHeaders"/>
            </w:pPr>
            <w:r w:rsidRPr="206B13E6">
              <w:t>Total Number of Positions</w:t>
            </w:r>
          </w:p>
        </w:tc>
        <w:tc>
          <w:tcPr>
            <w:tcW w:w="1620" w:type="dxa"/>
            <w:shd w:val="clear" w:color="auto" w:fill="DBE5F1" w:themeFill="accent1" w:themeFillTint="33"/>
            <w:vAlign w:val="center"/>
          </w:tcPr>
          <w:p w14:paraId="6D2377CE" w14:textId="733E1720" w:rsidR="5FCBFCCE" w:rsidRPr="206B13E6" w:rsidRDefault="5FCBFCCE" w:rsidP="00BE15BA">
            <w:pPr>
              <w:pStyle w:val="TableHeaders"/>
            </w:pPr>
            <w:proofErr w:type="gramStart"/>
            <w:r w:rsidRPr="206B13E6">
              <w:t>A</w:t>
            </w:r>
            <w:r w:rsidR="206B13E6" w:rsidRPr="206B13E6">
              <w:t>frican-American</w:t>
            </w:r>
            <w:proofErr w:type="gramEnd"/>
          </w:p>
        </w:tc>
        <w:tc>
          <w:tcPr>
            <w:tcW w:w="1206" w:type="dxa"/>
            <w:shd w:val="clear" w:color="auto" w:fill="DBE5F1" w:themeFill="accent1" w:themeFillTint="33"/>
            <w:vAlign w:val="center"/>
          </w:tcPr>
          <w:p w14:paraId="15F8DBB2" w14:textId="2B7B9433" w:rsidR="206B13E6" w:rsidRPr="206B13E6" w:rsidRDefault="206B13E6" w:rsidP="00BE15BA">
            <w:pPr>
              <w:pStyle w:val="TableHeaders"/>
            </w:pPr>
            <w:r w:rsidRPr="206B13E6">
              <w:t>Statewide Civilian Workforce Percent</w:t>
            </w:r>
          </w:p>
        </w:tc>
        <w:tc>
          <w:tcPr>
            <w:tcW w:w="1206" w:type="dxa"/>
            <w:shd w:val="clear" w:color="auto" w:fill="DBE5F1" w:themeFill="accent1" w:themeFillTint="33"/>
            <w:vAlign w:val="center"/>
          </w:tcPr>
          <w:p w14:paraId="300B36AA" w14:textId="0A8FA14E" w:rsidR="206B13E6" w:rsidRPr="206B13E6" w:rsidRDefault="206B13E6" w:rsidP="00BE15BA">
            <w:pPr>
              <w:pStyle w:val="TableHeaders"/>
            </w:pPr>
            <w:r w:rsidRPr="206B13E6">
              <w:t>Hispanic</w:t>
            </w:r>
          </w:p>
        </w:tc>
        <w:tc>
          <w:tcPr>
            <w:tcW w:w="1206" w:type="dxa"/>
            <w:shd w:val="clear" w:color="auto" w:fill="DBE5F1" w:themeFill="accent1" w:themeFillTint="33"/>
            <w:vAlign w:val="center"/>
          </w:tcPr>
          <w:p w14:paraId="6E6F1D45" w14:textId="11BE18F9" w:rsidR="206B13E6" w:rsidRPr="206B13E6" w:rsidRDefault="206B13E6" w:rsidP="00BE15BA">
            <w:pPr>
              <w:pStyle w:val="TableHeaders"/>
            </w:pPr>
            <w:r w:rsidRPr="206B13E6">
              <w:t>Statewide Civilian Workforce Percent</w:t>
            </w:r>
          </w:p>
        </w:tc>
        <w:tc>
          <w:tcPr>
            <w:tcW w:w="1206" w:type="dxa"/>
            <w:shd w:val="clear" w:color="auto" w:fill="DBE5F1" w:themeFill="accent1" w:themeFillTint="33"/>
            <w:vAlign w:val="center"/>
          </w:tcPr>
          <w:p w14:paraId="1961691D" w14:textId="50AF72B5" w:rsidR="206B13E6" w:rsidRPr="206B13E6" w:rsidRDefault="206B13E6" w:rsidP="00BE15BA">
            <w:pPr>
              <w:pStyle w:val="TableHeaders"/>
            </w:pPr>
            <w:r w:rsidRPr="206B13E6">
              <w:t>Female</w:t>
            </w:r>
          </w:p>
        </w:tc>
        <w:tc>
          <w:tcPr>
            <w:tcW w:w="1206" w:type="dxa"/>
            <w:shd w:val="clear" w:color="auto" w:fill="DBE5F1" w:themeFill="accent1" w:themeFillTint="33"/>
            <w:vAlign w:val="center"/>
          </w:tcPr>
          <w:p w14:paraId="52C5EFF4" w14:textId="37A5C197" w:rsidR="206B13E6" w:rsidRPr="206B13E6" w:rsidRDefault="206B13E6" w:rsidP="00BE15BA">
            <w:pPr>
              <w:pStyle w:val="TableHeaders"/>
            </w:pPr>
            <w:r w:rsidRPr="206B13E6">
              <w:t>Statewide Civilian Workforce Percent</w:t>
            </w:r>
          </w:p>
        </w:tc>
      </w:tr>
      <w:tr w:rsidR="001C39A6" w14:paraId="44EF6511" w14:textId="77777777" w:rsidTr="00BE06AF">
        <w:tc>
          <w:tcPr>
            <w:tcW w:w="630" w:type="dxa"/>
            <w:vAlign w:val="center"/>
          </w:tcPr>
          <w:p w14:paraId="3231D537" w14:textId="716A2820" w:rsidR="206B13E6" w:rsidRPr="206B13E6" w:rsidRDefault="206B13E6" w:rsidP="00BE15BA">
            <w:pPr>
              <w:pStyle w:val="TableText"/>
            </w:pPr>
            <w:r w:rsidRPr="206B13E6">
              <w:t>2021</w:t>
            </w:r>
          </w:p>
        </w:tc>
        <w:tc>
          <w:tcPr>
            <w:tcW w:w="1080" w:type="dxa"/>
            <w:vAlign w:val="center"/>
          </w:tcPr>
          <w:p w14:paraId="2A0257BB" w14:textId="2BEC7F65" w:rsidR="206B13E6" w:rsidRPr="206B13E6" w:rsidRDefault="206B13E6" w:rsidP="0007703C">
            <w:pPr>
              <w:pStyle w:val="TableText"/>
              <w:jc w:val="right"/>
            </w:pPr>
            <w:r w:rsidRPr="206B13E6">
              <w:t>491,553</w:t>
            </w:r>
          </w:p>
        </w:tc>
        <w:tc>
          <w:tcPr>
            <w:tcW w:w="1620" w:type="dxa"/>
            <w:vAlign w:val="center"/>
          </w:tcPr>
          <w:p w14:paraId="17151E46" w14:textId="4A63A5D7" w:rsidR="206B13E6" w:rsidRPr="206B13E6" w:rsidRDefault="206B13E6" w:rsidP="0007703C">
            <w:pPr>
              <w:pStyle w:val="TableText"/>
              <w:jc w:val="right"/>
            </w:pPr>
            <w:r w:rsidRPr="206B13E6">
              <w:t>57,462</w:t>
            </w:r>
          </w:p>
        </w:tc>
        <w:tc>
          <w:tcPr>
            <w:tcW w:w="1206" w:type="dxa"/>
            <w:vAlign w:val="center"/>
          </w:tcPr>
          <w:p w14:paraId="5D4B903E" w14:textId="2EA8DDFC" w:rsidR="206B13E6" w:rsidRPr="206B13E6" w:rsidRDefault="206B13E6" w:rsidP="0007703C">
            <w:pPr>
              <w:pStyle w:val="TableText"/>
              <w:jc w:val="right"/>
            </w:pPr>
            <w:r w:rsidRPr="206B13E6">
              <w:t>11.7%</w:t>
            </w:r>
          </w:p>
        </w:tc>
        <w:tc>
          <w:tcPr>
            <w:tcW w:w="1206" w:type="dxa"/>
            <w:vAlign w:val="center"/>
          </w:tcPr>
          <w:p w14:paraId="17436B15" w14:textId="07454FF8" w:rsidR="206B13E6" w:rsidRPr="206B13E6" w:rsidRDefault="206B13E6" w:rsidP="0007703C">
            <w:pPr>
              <w:pStyle w:val="TableText"/>
              <w:jc w:val="right"/>
            </w:pPr>
            <w:r w:rsidRPr="206B13E6">
              <w:t>189,145</w:t>
            </w:r>
          </w:p>
        </w:tc>
        <w:tc>
          <w:tcPr>
            <w:tcW w:w="1206" w:type="dxa"/>
            <w:vAlign w:val="center"/>
          </w:tcPr>
          <w:p w14:paraId="3A194A6F" w14:textId="38E321C1" w:rsidR="206B13E6" w:rsidRPr="206B13E6" w:rsidRDefault="206B13E6" w:rsidP="0007703C">
            <w:pPr>
              <w:pStyle w:val="TableText"/>
              <w:jc w:val="right"/>
            </w:pPr>
            <w:r w:rsidRPr="206B13E6">
              <w:t>38.5%</w:t>
            </w:r>
          </w:p>
        </w:tc>
        <w:tc>
          <w:tcPr>
            <w:tcW w:w="1206" w:type="dxa"/>
            <w:vAlign w:val="center"/>
          </w:tcPr>
          <w:p w14:paraId="09DFCE16" w14:textId="3F3DB1C8" w:rsidR="206B13E6" w:rsidRPr="206B13E6" w:rsidRDefault="206B13E6" w:rsidP="0007703C">
            <w:pPr>
              <w:pStyle w:val="TableText"/>
              <w:jc w:val="right"/>
            </w:pPr>
            <w:r w:rsidRPr="206B13E6">
              <w:t>312,179</w:t>
            </w:r>
          </w:p>
        </w:tc>
        <w:tc>
          <w:tcPr>
            <w:tcW w:w="1206" w:type="dxa"/>
            <w:vAlign w:val="center"/>
          </w:tcPr>
          <w:p w14:paraId="34901870" w14:textId="19CB456E" w:rsidR="206B13E6" w:rsidRPr="206B13E6" w:rsidRDefault="206B13E6" w:rsidP="0007703C">
            <w:pPr>
              <w:pStyle w:val="TableText"/>
              <w:jc w:val="right"/>
            </w:pPr>
            <w:r w:rsidRPr="206B13E6">
              <w:t>63.5%</w:t>
            </w:r>
          </w:p>
        </w:tc>
      </w:tr>
      <w:tr w:rsidR="001C39A6" w14:paraId="6415B709" w14:textId="77777777" w:rsidTr="00BE06AF">
        <w:tc>
          <w:tcPr>
            <w:tcW w:w="630" w:type="dxa"/>
            <w:vAlign w:val="center"/>
          </w:tcPr>
          <w:p w14:paraId="44CA699D" w14:textId="02BA56DF" w:rsidR="206B13E6" w:rsidRPr="206B13E6" w:rsidRDefault="206B13E6" w:rsidP="00BE15BA">
            <w:pPr>
              <w:pStyle w:val="TableText"/>
            </w:pPr>
            <w:r w:rsidRPr="206B13E6">
              <w:t>2022</w:t>
            </w:r>
          </w:p>
        </w:tc>
        <w:tc>
          <w:tcPr>
            <w:tcW w:w="1080" w:type="dxa"/>
            <w:vAlign w:val="center"/>
          </w:tcPr>
          <w:p w14:paraId="0A4A8D2C" w14:textId="600B43CC" w:rsidR="206B13E6" w:rsidRPr="206B13E6" w:rsidRDefault="206B13E6" w:rsidP="0007703C">
            <w:pPr>
              <w:pStyle w:val="TableText"/>
              <w:jc w:val="right"/>
            </w:pPr>
            <w:r w:rsidRPr="206B13E6">
              <w:t>533,016</w:t>
            </w:r>
          </w:p>
        </w:tc>
        <w:tc>
          <w:tcPr>
            <w:tcW w:w="1620" w:type="dxa"/>
            <w:vAlign w:val="center"/>
          </w:tcPr>
          <w:p w14:paraId="13DCBACC" w14:textId="74F5A7E2" w:rsidR="206B13E6" w:rsidRPr="206B13E6" w:rsidRDefault="206B13E6" w:rsidP="0007703C">
            <w:pPr>
              <w:pStyle w:val="TableText"/>
              <w:jc w:val="right"/>
            </w:pPr>
            <w:r w:rsidRPr="206B13E6">
              <w:t>71,813</w:t>
            </w:r>
          </w:p>
        </w:tc>
        <w:tc>
          <w:tcPr>
            <w:tcW w:w="1206" w:type="dxa"/>
            <w:vAlign w:val="center"/>
          </w:tcPr>
          <w:p w14:paraId="7460C483" w14:textId="4383094B" w:rsidR="206B13E6" w:rsidRPr="206B13E6" w:rsidRDefault="206B13E6" w:rsidP="0007703C">
            <w:pPr>
              <w:pStyle w:val="TableText"/>
              <w:jc w:val="right"/>
            </w:pPr>
            <w:r w:rsidRPr="206B13E6">
              <w:t>13.5%</w:t>
            </w:r>
          </w:p>
        </w:tc>
        <w:tc>
          <w:tcPr>
            <w:tcW w:w="1206" w:type="dxa"/>
            <w:vAlign w:val="center"/>
          </w:tcPr>
          <w:p w14:paraId="74091795" w14:textId="4F58D898" w:rsidR="206B13E6" w:rsidRPr="206B13E6" w:rsidRDefault="206B13E6" w:rsidP="0007703C">
            <w:pPr>
              <w:pStyle w:val="TableText"/>
              <w:jc w:val="right"/>
            </w:pPr>
            <w:r w:rsidRPr="206B13E6">
              <w:t>201,750</w:t>
            </w:r>
          </w:p>
        </w:tc>
        <w:tc>
          <w:tcPr>
            <w:tcW w:w="1206" w:type="dxa"/>
            <w:vAlign w:val="center"/>
          </w:tcPr>
          <w:p w14:paraId="17980EF1" w14:textId="28C23D78" w:rsidR="206B13E6" w:rsidRPr="206B13E6" w:rsidRDefault="206B13E6" w:rsidP="0007703C">
            <w:pPr>
              <w:pStyle w:val="TableText"/>
              <w:jc w:val="right"/>
            </w:pPr>
            <w:r w:rsidRPr="206B13E6">
              <w:t>37.9%</w:t>
            </w:r>
          </w:p>
        </w:tc>
        <w:tc>
          <w:tcPr>
            <w:tcW w:w="1206" w:type="dxa"/>
            <w:vAlign w:val="center"/>
          </w:tcPr>
          <w:p w14:paraId="54A8B3BE" w14:textId="3ECF385E" w:rsidR="206B13E6" w:rsidRPr="206B13E6" w:rsidRDefault="206B13E6" w:rsidP="0007703C">
            <w:pPr>
              <w:pStyle w:val="TableText"/>
              <w:jc w:val="right"/>
            </w:pPr>
            <w:r w:rsidRPr="206B13E6">
              <w:t>335,740</w:t>
            </w:r>
          </w:p>
        </w:tc>
        <w:tc>
          <w:tcPr>
            <w:tcW w:w="1206" w:type="dxa"/>
            <w:vAlign w:val="center"/>
          </w:tcPr>
          <w:p w14:paraId="7CBB3CB7" w14:textId="4237B606" w:rsidR="206B13E6" w:rsidRPr="206B13E6" w:rsidRDefault="206B13E6" w:rsidP="0007703C">
            <w:pPr>
              <w:pStyle w:val="TableText"/>
              <w:jc w:val="right"/>
            </w:pPr>
            <w:r w:rsidRPr="206B13E6">
              <w:t>63.0%</w:t>
            </w:r>
          </w:p>
        </w:tc>
      </w:tr>
      <w:tr w:rsidR="001C39A6" w14:paraId="3F4AB482" w14:textId="77777777" w:rsidTr="00BE06AF">
        <w:tc>
          <w:tcPr>
            <w:tcW w:w="630" w:type="dxa"/>
            <w:vAlign w:val="center"/>
          </w:tcPr>
          <w:p w14:paraId="4FEB98B7" w14:textId="040301C3" w:rsidR="206B13E6" w:rsidRPr="206B13E6" w:rsidRDefault="206B13E6" w:rsidP="00BE15BA">
            <w:pPr>
              <w:pStyle w:val="TableText"/>
            </w:pPr>
            <w:r w:rsidRPr="206B13E6">
              <w:t>2023</w:t>
            </w:r>
          </w:p>
        </w:tc>
        <w:tc>
          <w:tcPr>
            <w:tcW w:w="1080" w:type="dxa"/>
            <w:vAlign w:val="center"/>
          </w:tcPr>
          <w:p w14:paraId="66A4B4BF" w14:textId="76163D74" w:rsidR="206B13E6" w:rsidRPr="206B13E6" w:rsidRDefault="206B13E6" w:rsidP="0007703C">
            <w:pPr>
              <w:pStyle w:val="TableText"/>
              <w:jc w:val="right"/>
            </w:pPr>
            <w:r w:rsidRPr="206B13E6">
              <w:t>543,089</w:t>
            </w:r>
          </w:p>
        </w:tc>
        <w:tc>
          <w:tcPr>
            <w:tcW w:w="1620" w:type="dxa"/>
            <w:vAlign w:val="center"/>
          </w:tcPr>
          <w:p w14:paraId="67A9EE91" w14:textId="421A2BE4" w:rsidR="206B13E6" w:rsidRPr="206B13E6" w:rsidRDefault="206B13E6" w:rsidP="0007703C">
            <w:pPr>
              <w:pStyle w:val="TableText"/>
              <w:jc w:val="right"/>
            </w:pPr>
            <w:r w:rsidRPr="206B13E6">
              <w:t>83,268</w:t>
            </w:r>
          </w:p>
        </w:tc>
        <w:tc>
          <w:tcPr>
            <w:tcW w:w="1206" w:type="dxa"/>
            <w:vAlign w:val="center"/>
          </w:tcPr>
          <w:p w14:paraId="53F99225" w14:textId="27DEC6F6" w:rsidR="206B13E6" w:rsidRPr="206B13E6" w:rsidRDefault="206B13E6" w:rsidP="0007703C">
            <w:pPr>
              <w:pStyle w:val="TableText"/>
              <w:jc w:val="right"/>
            </w:pPr>
            <w:r w:rsidRPr="206B13E6">
              <w:t>15.3%</w:t>
            </w:r>
          </w:p>
        </w:tc>
        <w:tc>
          <w:tcPr>
            <w:tcW w:w="1206" w:type="dxa"/>
            <w:vAlign w:val="center"/>
          </w:tcPr>
          <w:p w14:paraId="0A87351C" w14:textId="7D7D91AB" w:rsidR="206B13E6" w:rsidRPr="206B13E6" w:rsidRDefault="206B13E6" w:rsidP="0007703C">
            <w:pPr>
              <w:pStyle w:val="TableText"/>
              <w:jc w:val="right"/>
            </w:pPr>
            <w:r w:rsidRPr="206B13E6">
              <w:t>199,287</w:t>
            </w:r>
          </w:p>
        </w:tc>
        <w:tc>
          <w:tcPr>
            <w:tcW w:w="1206" w:type="dxa"/>
            <w:vAlign w:val="center"/>
          </w:tcPr>
          <w:p w14:paraId="60E806C4" w14:textId="64D91659" w:rsidR="206B13E6" w:rsidRPr="206B13E6" w:rsidRDefault="206B13E6" w:rsidP="0007703C">
            <w:pPr>
              <w:pStyle w:val="TableText"/>
              <w:jc w:val="right"/>
            </w:pPr>
            <w:r w:rsidRPr="206B13E6">
              <w:t>36.7%</w:t>
            </w:r>
          </w:p>
        </w:tc>
        <w:tc>
          <w:tcPr>
            <w:tcW w:w="1206" w:type="dxa"/>
            <w:vAlign w:val="center"/>
          </w:tcPr>
          <w:p w14:paraId="56A9E26C" w14:textId="4FE02942" w:rsidR="206B13E6" w:rsidRPr="206B13E6" w:rsidRDefault="206B13E6" w:rsidP="0007703C">
            <w:pPr>
              <w:pStyle w:val="TableText"/>
              <w:jc w:val="right"/>
            </w:pPr>
            <w:r w:rsidRPr="206B13E6">
              <w:t>340,923</w:t>
            </w:r>
          </w:p>
        </w:tc>
        <w:tc>
          <w:tcPr>
            <w:tcW w:w="1206" w:type="dxa"/>
            <w:vAlign w:val="center"/>
          </w:tcPr>
          <w:p w14:paraId="0CD9683A" w14:textId="7733DD4D" w:rsidR="206B13E6" w:rsidRPr="206B13E6" w:rsidRDefault="206B13E6" w:rsidP="0007703C">
            <w:pPr>
              <w:pStyle w:val="TableText"/>
              <w:jc w:val="right"/>
            </w:pPr>
            <w:r w:rsidRPr="206B13E6">
              <w:t>62.8%</w:t>
            </w:r>
          </w:p>
        </w:tc>
      </w:tr>
    </w:tbl>
    <w:p w14:paraId="67E0685F" w14:textId="77777777" w:rsidR="001A2929" w:rsidRPr="00EE55B1" w:rsidRDefault="001A2929" w:rsidP="00EE55B1">
      <w:pPr>
        <w:pStyle w:val="BodyText2"/>
        <w:rPr>
          <w:rStyle w:val="IntenseEmphasis"/>
          <w:b w:val="0"/>
          <w:bCs w:val="0"/>
          <w:color w:val="0070C0"/>
        </w:rPr>
      </w:pPr>
      <w:r w:rsidRPr="00EE55B1">
        <w:rPr>
          <w:rStyle w:val="IntenseEmphasis"/>
          <w:bCs w:val="0"/>
          <w:color w:val="0070C0"/>
        </w:rPr>
        <w:t>Administrative Support</w:t>
      </w:r>
    </w:p>
    <w:tbl>
      <w:tblPr>
        <w:tblStyle w:val="TableGrid1"/>
        <w:tblW w:w="9360"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administrative support category of the agency for fiscal years 2013, 2014, and 2015."/>
      </w:tblPr>
      <w:tblGrid>
        <w:gridCol w:w="630"/>
        <w:gridCol w:w="1080"/>
        <w:gridCol w:w="1620"/>
        <w:gridCol w:w="1206"/>
        <w:gridCol w:w="1206"/>
        <w:gridCol w:w="1206"/>
        <w:gridCol w:w="1206"/>
        <w:gridCol w:w="1206"/>
      </w:tblGrid>
      <w:tr w:rsidR="001A2929" w14:paraId="6EA16D4D" w14:textId="77777777" w:rsidTr="00BE06AF">
        <w:tc>
          <w:tcPr>
            <w:tcW w:w="630" w:type="dxa"/>
            <w:shd w:val="clear" w:color="auto" w:fill="DBE5F1" w:themeFill="accent1" w:themeFillTint="33"/>
            <w:vAlign w:val="center"/>
          </w:tcPr>
          <w:p w14:paraId="48A58FF0" w14:textId="5AE7B69D"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Year</w:t>
            </w:r>
          </w:p>
        </w:tc>
        <w:tc>
          <w:tcPr>
            <w:tcW w:w="1080" w:type="dxa"/>
            <w:shd w:val="clear" w:color="auto" w:fill="DBE5F1" w:themeFill="accent1" w:themeFillTint="33"/>
            <w:vAlign w:val="center"/>
          </w:tcPr>
          <w:p w14:paraId="7001FA23" w14:textId="69DDBA82"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Total Number of Positions</w:t>
            </w:r>
          </w:p>
        </w:tc>
        <w:tc>
          <w:tcPr>
            <w:tcW w:w="1620" w:type="dxa"/>
            <w:shd w:val="clear" w:color="auto" w:fill="DBE5F1" w:themeFill="accent1" w:themeFillTint="33"/>
            <w:vAlign w:val="center"/>
          </w:tcPr>
          <w:p w14:paraId="2BE18E96" w14:textId="210FF81E" w:rsidR="206B13E6" w:rsidRPr="206B13E6" w:rsidRDefault="206B13E6" w:rsidP="00666129">
            <w:pPr>
              <w:pStyle w:val="TableHeaders"/>
              <w:rPr>
                <w:rFonts w:eastAsia="Arial" w:cs="Arial"/>
                <w:bCs/>
                <w:color w:val="000000" w:themeColor="text1"/>
                <w:szCs w:val="17"/>
              </w:rPr>
            </w:pPr>
            <w:proofErr w:type="gramStart"/>
            <w:r w:rsidRPr="206B13E6">
              <w:rPr>
                <w:rFonts w:eastAsia="Arial" w:cs="Arial"/>
                <w:bCs/>
                <w:color w:val="000000" w:themeColor="text1"/>
                <w:szCs w:val="17"/>
              </w:rPr>
              <w:t>African-American</w:t>
            </w:r>
            <w:proofErr w:type="gramEnd"/>
          </w:p>
        </w:tc>
        <w:tc>
          <w:tcPr>
            <w:tcW w:w="1206" w:type="dxa"/>
            <w:shd w:val="clear" w:color="auto" w:fill="DBE5F1" w:themeFill="accent1" w:themeFillTint="33"/>
            <w:vAlign w:val="center"/>
          </w:tcPr>
          <w:p w14:paraId="544A92AD" w14:textId="20A892F0"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Statewide Civilian Workforce Percent</w:t>
            </w:r>
          </w:p>
        </w:tc>
        <w:tc>
          <w:tcPr>
            <w:tcW w:w="1206" w:type="dxa"/>
            <w:shd w:val="clear" w:color="auto" w:fill="DBE5F1" w:themeFill="accent1" w:themeFillTint="33"/>
            <w:vAlign w:val="center"/>
          </w:tcPr>
          <w:p w14:paraId="5678CBE7" w14:textId="0A699E61"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Hispanic</w:t>
            </w:r>
          </w:p>
        </w:tc>
        <w:tc>
          <w:tcPr>
            <w:tcW w:w="1206" w:type="dxa"/>
            <w:shd w:val="clear" w:color="auto" w:fill="DBE5F1" w:themeFill="accent1" w:themeFillTint="33"/>
            <w:vAlign w:val="center"/>
          </w:tcPr>
          <w:p w14:paraId="00FADB64" w14:textId="06CDB33A"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Statewide Civilian Workforce Percent</w:t>
            </w:r>
          </w:p>
        </w:tc>
        <w:tc>
          <w:tcPr>
            <w:tcW w:w="1206" w:type="dxa"/>
            <w:shd w:val="clear" w:color="auto" w:fill="DBE5F1" w:themeFill="accent1" w:themeFillTint="33"/>
            <w:vAlign w:val="center"/>
          </w:tcPr>
          <w:p w14:paraId="5F53E847" w14:textId="1C95E8CF"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Female</w:t>
            </w:r>
          </w:p>
        </w:tc>
        <w:tc>
          <w:tcPr>
            <w:tcW w:w="1206" w:type="dxa"/>
            <w:shd w:val="clear" w:color="auto" w:fill="DBE5F1" w:themeFill="accent1" w:themeFillTint="33"/>
            <w:vAlign w:val="center"/>
          </w:tcPr>
          <w:p w14:paraId="16B3BE33" w14:textId="344DAE1C" w:rsidR="206B13E6" w:rsidRPr="206B13E6" w:rsidRDefault="206B13E6" w:rsidP="00666129">
            <w:pPr>
              <w:pStyle w:val="TableHeaders"/>
              <w:rPr>
                <w:rFonts w:eastAsia="Arial" w:cs="Arial"/>
                <w:bCs/>
                <w:color w:val="000000" w:themeColor="text1"/>
                <w:szCs w:val="17"/>
              </w:rPr>
            </w:pPr>
            <w:r w:rsidRPr="206B13E6">
              <w:rPr>
                <w:rFonts w:eastAsia="Arial" w:cs="Arial"/>
                <w:bCs/>
                <w:color w:val="000000" w:themeColor="text1"/>
                <w:szCs w:val="17"/>
              </w:rPr>
              <w:t>Statewide Civilian Workforce Percent</w:t>
            </w:r>
          </w:p>
        </w:tc>
      </w:tr>
      <w:tr w:rsidR="001C39A6" w14:paraId="31481EA0" w14:textId="77777777" w:rsidTr="00BE06AF">
        <w:tc>
          <w:tcPr>
            <w:tcW w:w="630" w:type="dxa"/>
            <w:vAlign w:val="center"/>
          </w:tcPr>
          <w:p w14:paraId="37D8468B" w14:textId="2A33D8D6" w:rsidR="206B13E6" w:rsidRPr="206B13E6" w:rsidRDefault="206B13E6" w:rsidP="00BE15BA">
            <w:pPr>
              <w:pStyle w:val="TableText"/>
            </w:pPr>
            <w:r w:rsidRPr="206B13E6">
              <w:t>2021</w:t>
            </w:r>
          </w:p>
        </w:tc>
        <w:tc>
          <w:tcPr>
            <w:tcW w:w="1080" w:type="dxa"/>
            <w:vAlign w:val="center"/>
          </w:tcPr>
          <w:p w14:paraId="22BEC82F" w14:textId="6BF7D52E" w:rsidR="206B13E6" w:rsidRPr="206B13E6" w:rsidRDefault="206B13E6" w:rsidP="0007703C">
            <w:pPr>
              <w:pStyle w:val="TableText"/>
              <w:jc w:val="right"/>
            </w:pPr>
            <w:r w:rsidRPr="206B13E6">
              <w:t>1,649,754</w:t>
            </w:r>
          </w:p>
        </w:tc>
        <w:tc>
          <w:tcPr>
            <w:tcW w:w="1620" w:type="dxa"/>
            <w:vAlign w:val="center"/>
          </w:tcPr>
          <w:p w14:paraId="22074C89" w14:textId="49E9324D" w:rsidR="206B13E6" w:rsidRPr="206B13E6" w:rsidRDefault="206B13E6" w:rsidP="0007703C">
            <w:pPr>
              <w:pStyle w:val="TableText"/>
              <w:jc w:val="right"/>
            </w:pPr>
            <w:r w:rsidRPr="206B13E6">
              <w:t>251,267</w:t>
            </w:r>
          </w:p>
        </w:tc>
        <w:tc>
          <w:tcPr>
            <w:tcW w:w="1206" w:type="dxa"/>
            <w:vAlign w:val="center"/>
          </w:tcPr>
          <w:p w14:paraId="311230FF" w14:textId="69EE1EB9" w:rsidR="206B13E6" w:rsidRPr="206B13E6" w:rsidRDefault="206B13E6" w:rsidP="0007703C">
            <w:pPr>
              <w:pStyle w:val="TableText"/>
              <w:jc w:val="right"/>
            </w:pPr>
            <w:r w:rsidRPr="206B13E6">
              <w:t>15.2%</w:t>
            </w:r>
          </w:p>
        </w:tc>
        <w:tc>
          <w:tcPr>
            <w:tcW w:w="1206" w:type="dxa"/>
            <w:vAlign w:val="center"/>
          </w:tcPr>
          <w:p w14:paraId="5978024E" w14:textId="333C8C67" w:rsidR="206B13E6" w:rsidRPr="206B13E6" w:rsidRDefault="206B13E6" w:rsidP="0007703C">
            <w:pPr>
              <w:pStyle w:val="TableText"/>
              <w:jc w:val="right"/>
            </w:pPr>
            <w:r w:rsidRPr="206B13E6">
              <w:t>631,294</w:t>
            </w:r>
          </w:p>
        </w:tc>
        <w:tc>
          <w:tcPr>
            <w:tcW w:w="1206" w:type="dxa"/>
            <w:vAlign w:val="center"/>
          </w:tcPr>
          <w:p w14:paraId="2AE432E3" w14:textId="6BA5D8AD" w:rsidR="206B13E6" w:rsidRPr="206B13E6" w:rsidRDefault="206B13E6" w:rsidP="0007703C">
            <w:pPr>
              <w:pStyle w:val="TableText"/>
              <w:jc w:val="right"/>
            </w:pPr>
            <w:r w:rsidRPr="206B13E6">
              <w:t>38.3%</w:t>
            </w:r>
          </w:p>
        </w:tc>
        <w:tc>
          <w:tcPr>
            <w:tcW w:w="1206" w:type="dxa"/>
            <w:vAlign w:val="center"/>
          </w:tcPr>
          <w:p w14:paraId="4CD7B10E" w14:textId="371A6396" w:rsidR="206B13E6" w:rsidRPr="206B13E6" w:rsidRDefault="206B13E6" w:rsidP="0007703C">
            <w:pPr>
              <w:pStyle w:val="TableText"/>
              <w:jc w:val="right"/>
            </w:pPr>
            <w:r w:rsidRPr="206B13E6">
              <w:t>1,222,113</w:t>
            </w:r>
          </w:p>
        </w:tc>
        <w:tc>
          <w:tcPr>
            <w:tcW w:w="1206" w:type="dxa"/>
            <w:vAlign w:val="center"/>
          </w:tcPr>
          <w:p w14:paraId="4C671899" w14:textId="5B72A39E" w:rsidR="206B13E6" w:rsidRPr="206B13E6" w:rsidRDefault="206B13E6" w:rsidP="0007703C">
            <w:pPr>
              <w:pStyle w:val="TableText"/>
              <w:jc w:val="right"/>
            </w:pPr>
            <w:r w:rsidRPr="206B13E6">
              <w:t>74.1%</w:t>
            </w:r>
          </w:p>
        </w:tc>
      </w:tr>
      <w:tr w:rsidR="001C39A6" w14:paraId="491E49E3" w14:textId="77777777" w:rsidTr="00BE06AF">
        <w:tc>
          <w:tcPr>
            <w:tcW w:w="630" w:type="dxa"/>
            <w:vAlign w:val="center"/>
          </w:tcPr>
          <w:p w14:paraId="14A5D7A6" w14:textId="12D006EA" w:rsidR="206B13E6" w:rsidRPr="206B13E6" w:rsidRDefault="206B13E6" w:rsidP="00BE15BA">
            <w:pPr>
              <w:pStyle w:val="TableText"/>
            </w:pPr>
            <w:r w:rsidRPr="206B13E6">
              <w:t>2022</w:t>
            </w:r>
          </w:p>
        </w:tc>
        <w:tc>
          <w:tcPr>
            <w:tcW w:w="1080" w:type="dxa"/>
            <w:vAlign w:val="center"/>
          </w:tcPr>
          <w:p w14:paraId="26C66D19" w14:textId="3B3F10CD" w:rsidR="206B13E6" w:rsidRPr="206B13E6" w:rsidRDefault="206B13E6" w:rsidP="0007703C">
            <w:pPr>
              <w:pStyle w:val="TableText"/>
              <w:jc w:val="right"/>
            </w:pPr>
            <w:r w:rsidRPr="206B13E6">
              <w:t>1,740,792</w:t>
            </w:r>
          </w:p>
        </w:tc>
        <w:tc>
          <w:tcPr>
            <w:tcW w:w="1620" w:type="dxa"/>
            <w:vAlign w:val="center"/>
          </w:tcPr>
          <w:p w14:paraId="3B610422" w14:textId="61A2A588" w:rsidR="206B13E6" w:rsidRPr="206B13E6" w:rsidRDefault="206B13E6" w:rsidP="0007703C">
            <w:pPr>
              <w:pStyle w:val="TableText"/>
              <w:jc w:val="right"/>
            </w:pPr>
            <w:r w:rsidRPr="206B13E6">
              <w:t>245,207</w:t>
            </w:r>
          </w:p>
        </w:tc>
        <w:tc>
          <w:tcPr>
            <w:tcW w:w="1206" w:type="dxa"/>
            <w:vAlign w:val="center"/>
          </w:tcPr>
          <w:p w14:paraId="74CC26B2" w14:textId="27DAB713" w:rsidR="206B13E6" w:rsidRPr="206B13E6" w:rsidRDefault="206B13E6" w:rsidP="0007703C">
            <w:pPr>
              <w:pStyle w:val="TableText"/>
              <w:jc w:val="right"/>
            </w:pPr>
            <w:r w:rsidRPr="206B13E6">
              <w:t>14.1%</w:t>
            </w:r>
          </w:p>
        </w:tc>
        <w:tc>
          <w:tcPr>
            <w:tcW w:w="1206" w:type="dxa"/>
            <w:vAlign w:val="center"/>
          </w:tcPr>
          <w:p w14:paraId="12D83159" w14:textId="68AA9F06" w:rsidR="206B13E6" w:rsidRPr="206B13E6" w:rsidRDefault="206B13E6" w:rsidP="0007703C">
            <w:pPr>
              <w:pStyle w:val="TableText"/>
              <w:jc w:val="right"/>
            </w:pPr>
            <w:r w:rsidRPr="206B13E6">
              <w:t>693,159</w:t>
            </w:r>
          </w:p>
        </w:tc>
        <w:tc>
          <w:tcPr>
            <w:tcW w:w="1206" w:type="dxa"/>
            <w:vAlign w:val="center"/>
          </w:tcPr>
          <w:p w14:paraId="41C8E146" w14:textId="3E2C7228" w:rsidR="206B13E6" w:rsidRPr="206B13E6" w:rsidRDefault="206B13E6" w:rsidP="0007703C">
            <w:pPr>
              <w:pStyle w:val="TableText"/>
              <w:jc w:val="right"/>
            </w:pPr>
            <w:r w:rsidRPr="206B13E6">
              <w:t>39.8%</w:t>
            </w:r>
          </w:p>
        </w:tc>
        <w:tc>
          <w:tcPr>
            <w:tcW w:w="1206" w:type="dxa"/>
            <w:vAlign w:val="center"/>
          </w:tcPr>
          <w:p w14:paraId="27CD2933" w14:textId="5D2C2574" w:rsidR="206B13E6" w:rsidRPr="206B13E6" w:rsidRDefault="206B13E6" w:rsidP="0007703C">
            <w:pPr>
              <w:pStyle w:val="TableText"/>
              <w:jc w:val="right"/>
            </w:pPr>
            <w:r w:rsidRPr="206B13E6">
              <w:t>1,273,292</w:t>
            </w:r>
          </w:p>
        </w:tc>
        <w:tc>
          <w:tcPr>
            <w:tcW w:w="1206" w:type="dxa"/>
            <w:vAlign w:val="center"/>
          </w:tcPr>
          <w:p w14:paraId="79F222EE" w14:textId="6F52F97C" w:rsidR="206B13E6" w:rsidRPr="206B13E6" w:rsidRDefault="206B13E6" w:rsidP="0007703C">
            <w:pPr>
              <w:pStyle w:val="TableText"/>
              <w:jc w:val="right"/>
            </w:pPr>
            <w:r w:rsidRPr="206B13E6">
              <w:t>73.1%</w:t>
            </w:r>
          </w:p>
        </w:tc>
      </w:tr>
      <w:tr w:rsidR="001C39A6" w14:paraId="706335AC" w14:textId="77777777" w:rsidTr="00BE06AF">
        <w:tc>
          <w:tcPr>
            <w:tcW w:w="630" w:type="dxa"/>
            <w:vAlign w:val="center"/>
          </w:tcPr>
          <w:p w14:paraId="46156453" w14:textId="07D913CF" w:rsidR="206B13E6" w:rsidRPr="206B13E6" w:rsidRDefault="206B13E6" w:rsidP="00BE15BA">
            <w:pPr>
              <w:pStyle w:val="TableText"/>
            </w:pPr>
            <w:r w:rsidRPr="206B13E6">
              <w:t>2023</w:t>
            </w:r>
          </w:p>
        </w:tc>
        <w:tc>
          <w:tcPr>
            <w:tcW w:w="1080" w:type="dxa"/>
            <w:vAlign w:val="center"/>
          </w:tcPr>
          <w:p w14:paraId="7751B44A" w14:textId="588601D1" w:rsidR="206B13E6" w:rsidRPr="206B13E6" w:rsidRDefault="206B13E6" w:rsidP="0007703C">
            <w:pPr>
              <w:pStyle w:val="TableText"/>
              <w:jc w:val="right"/>
            </w:pPr>
            <w:r w:rsidRPr="206B13E6">
              <w:t>1,767,592</w:t>
            </w:r>
          </w:p>
        </w:tc>
        <w:tc>
          <w:tcPr>
            <w:tcW w:w="1620" w:type="dxa"/>
            <w:vAlign w:val="center"/>
          </w:tcPr>
          <w:p w14:paraId="365A4A3C" w14:textId="7CED0429" w:rsidR="7057221E" w:rsidRPr="206B13E6" w:rsidRDefault="7057221E" w:rsidP="0007703C">
            <w:pPr>
              <w:pStyle w:val="TableText"/>
              <w:jc w:val="right"/>
            </w:pPr>
            <w:r w:rsidRPr="206B13E6">
              <w:t>2</w:t>
            </w:r>
            <w:r w:rsidR="206B13E6" w:rsidRPr="206B13E6">
              <w:t>68,288</w:t>
            </w:r>
          </w:p>
        </w:tc>
        <w:tc>
          <w:tcPr>
            <w:tcW w:w="1206" w:type="dxa"/>
            <w:vAlign w:val="center"/>
          </w:tcPr>
          <w:p w14:paraId="0D662F70" w14:textId="0AEBC64A" w:rsidR="206B13E6" w:rsidRPr="206B13E6" w:rsidRDefault="206B13E6" w:rsidP="0007703C">
            <w:pPr>
              <w:pStyle w:val="TableText"/>
              <w:jc w:val="right"/>
            </w:pPr>
            <w:r w:rsidRPr="206B13E6">
              <w:t>15.2%</w:t>
            </w:r>
          </w:p>
        </w:tc>
        <w:tc>
          <w:tcPr>
            <w:tcW w:w="1206" w:type="dxa"/>
            <w:vAlign w:val="center"/>
          </w:tcPr>
          <w:p w14:paraId="09EBFB68" w14:textId="58953D7B" w:rsidR="206B13E6" w:rsidRPr="206B13E6" w:rsidRDefault="206B13E6" w:rsidP="0007703C">
            <w:pPr>
              <w:pStyle w:val="TableText"/>
              <w:jc w:val="right"/>
            </w:pPr>
            <w:r w:rsidRPr="206B13E6">
              <w:t>694,622</w:t>
            </w:r>
          </w:p>
        </w:tc>
        <w:tc>
          <w:tcPr>
            <w:tcW w:w="1206" w:type="dxa"/>
            <w:vAlign w:val="center"/>
          </w:tcPr>
          <w:p w14:paraId="661D0A4D" w14:textId="45386245" w:rsidR="206B13E6" w:rsidRPr="206B13E6" w:rsidRDefault="206B13E6" w:rsidP="0007703C">
            <w:pPr>
              <w:pStyle w:val="TableText"/>
              <w:jc w:val="right"/>
            </w:pPr>
            <w:r w:rsidRPr="206B13E6">
              <w:t>39.3%</w:t>
            </w:r>
          </w:p>
        </w:tc>
        <w:tc>
          <w:tcPr>
            <w:tcW w:w="1206" w:type="dxa"/>
            <w:vAlign w:val="center"/>
          </w:tcPr>
          <w:p w14:paraId="4D87FFCD" w14:textId="61DDD40E" w:rsidR="206B13E6" w:rsidRPr="206B13E6" w:rsidRDefault="206B13E6" w:rsidP="0007703C">
            <w:pPr>
              <w:pStyle w:val="TableText"/>
              <w:jc w:val="right"/>
            </w:pPr>
            <w:r w:rsidRPr="206B13E6">
              <w:t>1,303,239</w:t>
            </w:r>
          </w:p>
        </w:tc>
        <w:tc>
          <w:tcPr>
            <w:tcW w:w="1206" w:type="dxa"/>
            <w:vAlign w:val="center"/>
          </w:tcPr>
          <w:p w14:paraId="36A1D8EE" w14:textId="0937E596" w:rsidR="206B13E6" w:rsidRPr="206B13E6" w:rsidRDefault="206B13E6" w:rsidP="0007703C">
            <w:pPr>
              <w:pStyle w:val="TableText"/>
              <w:jc w:val="right"/>
            </w:pPr>
            <w:r w:rsidRPr="206B13E6">
              <w:t>73.7%</w:t>
            </w:r>
          </w:p>
        </w:tc>
      </w:tr>
    </w:tbl>
    <w:p w14:paraId="3C768D00" w14:textId="6597E0BC" w:rsidR="0083245F" w:rsidRPr="00EE55B1" w:rsidRDefault="00B246D7" w:rsidP="00EE55B1">
      <w:pPr>
        <w:pStyle w:val="BodyText2"/>
        <w:rPr>
          <w:rStyle w:val="IntenseEmphasis"/>
          <w:b w:val="0"/>
          <w:bCs w:val="0"/>
          <w:color w:val="0070C0"/>
        </w:rPr>
      </w:pPr>
      <w:r w:rsidRPr="00EE55B1">
        <w:rPr>
          <w:rStyle w:val="IntenseEmphasis"/>
          <w:bCs w:val="0"/>
          <w:color w:val="0070C0"/>
        </w:rPr>
        <w:t>Service / Maintenance</w:t>
      </w:r>
    </w:p>
    <w:tbl>
      <w:tblPr>
        <w:tblStyle w:val="TableGrid1"/>
        <w:tblW w:w="9360"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service and maintenance category of the agency for fiscal years 2013, 2014, and 2015."/>
      </w:tblPr>
      <w:tblGrid>
        <w:gridCol w:w="630"/>
        <w:gridCol w:w="1080"/>
        <w:gridCol w:w="1620"/>
        <w:gridCol w:w="1206"/>
        <w:gridCol w:w="1206"/>
        <w:gridCol w:w="1206"/>
        <w:gridCol w:w="1206"/>
        <w:gridCol w:w="1206"/>
      </w:tblGrid>
      <w:tr w:rsidR="00B246D7" w14:paraId="13B00D77" w14:textId="77777777" w:rsidTr="00BE06AF">
        <w:tc>
          <w:tcPr>
            <w:tcW w:w="630" w:type="dxa"/>
            <w:shd w:val="clear" w:color="auto" w:fill="DBE5F1" w:themeFill="accent1" w:themeFillTint="33"/>
            <w:vAlign w:val="center"/>
          </w:tcPr>
          <w:p w14:paraId="6C1ADBC3" w14:textId="4DDCFC14" w:rsidR="206B13E6" w:rsidRPr="206B13E6" w:rsidRDefault="206B13E6" w:rsidP="00666129">
            <w:pPr>
              <w:pStyle w:val="TableHeaders"/>
            </w:pPr>
            <w:r w:rsidRPr="206B13E6">
              <w:t>Year</w:t>
            </w:r>
          </w:p>
        </w:tc>
        <w:tc>
          <w:tcPr>
            <w:tcW w:w="1080" w:type="dxa"/>
            <w:shd w:val="clear" w:color="auto" w:fill="DBE5F1" w:themeFill="accent1" w:themeFillTint="33"/>
            <w:vAlign w:val="center"/>
          </w:tcPr>
          <w:p w14:paraId="1E9AE95B" w14:textId="3DAEB4FA" w:rsidR="206B13E6" w:rsidRPr="206B13E6" w:rsidRDefault="206B13E6" w:rsidP="00666129">
            <w:pPr>
              <w:pStyle w:val="TableHeaders"/>
            </w:pPr>
            <w:r w:rsidRPr="206B13E6">
              <w:t>Total Number of Positions</w:t>
            </w:r>
          </w:p>
        </w:tc>
        <w:tc>
          <w:tcPr>
            <w:tcW w:w="1620" w:type="dxa"/>
            <w:shd w:val="clear" w:color="auto" w:fill="DBE5F1" w:themeFill="accent1" w:themeFillTint="33"/>
            <w:vAlign w:val="center"/>
          </w:tcPr>
          <w:p w14:paraId="5FB567E8" w14:textId="7F342F4D" w:rsidR="206B13E6" w:rsidRPr="206B13E6" w:rsidRDefault="206B13E6" w:rsidP="00666129">
            <w:pPr>
              <w:pStyle w:val="TableHeaders"/>
            </w:pPr>
            <w:proofErr w:type="gramStart"/>
            <w:r w:rsidRPr="206B13E6">
              <w:t>African-American</w:t>
            </w:r>
            <w:proofErr w:type="gramEnd"/>
          </w:p>
        </w:tc>
        <w:tc>
          <w:tcPr>
            <w:tcW w:w="1206" w:type="dxa"/>
            <w:shd w:val="clear" w:color="auto" w:fill="DBE5F1" w:themeFill="accent1" w:themeFillTint="33"/>
            <w:vAlign w:val="center"/>
          </w:tcPr>
          <w:p w14:paraId="39E5D3FC" w14:textId="19FB0D2E" w:rsidR="206B13E6" w:rsidRPr="206B13E6" w:rsidRDefault="206B13E6" w:rsidP="00666129">
            <w:pPr>
              <w:pStyle w:val="TableHeaders"/>
            </w:pPr>
            <w:r w:rsidRPr="206B13E6">
              <w:t>Statewide Civilian Workforce Percent</w:t>
            </w:r>
          </w:p>
        </w:tc>
        <w:tc>
          <w:tcPr>
            <w:tcW w:w="1206" w:type="dxa"/>
            <w:shd w:val="clear" w:color="auto" w:fill="DBE5F1" w:themeFill="accent1" w:themeFillTint="33"/>
            <w:vAlign w:val="center"/>
          </w:tcPr>
          <w:p w14:paraId="29984C54" w14:textId="1602E0AB" w:rsidR="206B13E6" w:rsidRPr="206B13E6" w:rsidRDefault="206B13E6" w:rsidP="00666129">
            <w:pPr>
              <w:pStyle w:val="TableHeaders"/>
            </w:pPr>
            <w:r w:rsidRPr="206B13E6">
              <w:t>Hispanic</w:t>
            </w:r>
          </w:p>
        </w:tc>
        <w:tc>
          <w:tcPr>
            <w:tcW w:w="1206" w:type="dxa"/>
            <w:shd w:val="clear" w:color="auto" w:fill="DBE5F1" w:themeFill="accent1" w:themeFillTint="33"/>
            <w:vAlign w:val="center"/>
          </w:tcPr>
          <w:p w14:paraId="4B7D896A" w14:textId="730DB308" w:rsidR="206B13E6" w:rsidRPr="206B13E6" w:rsidRDefault="206B13E6" w:rsidP="00666129">
            <w:pPr>
              <w:pStyle w:val="TableHeaders"/>
            </w:pPr>
            <w:r w:rsidRPr="206B13E6">
              <w:t>Statewide Civilian Workforce Percent</w:t>
            </w:r>
          </w:p>
        </w:tc>
        <w:tc>
          <w:tcPr>
            <w:tcW w:w="1206" w:type="dxa"/>
            <w:shd w:val="clear" w:color="auto" w:fill="DBE5F1" w:themeFill="accent1" w:themeFillTint="33"/>
            <w:vAlign w:val="center"/>
          </w:tcPr>
          <w:p w14:paraId="3EC355A9" w14:textId="163D1152" w:rsidR="206B13E6" w:rsidRPr="206B13E6" w:rsidRDefault="206B13E6" w:rsidP="00666129">
            <w:pPr>
              <w:pStyle w:val="TableHeaders"/>
            </w:pPr>
            <w:r w:rsidRPr="206B13E6">
              <w:t>Female</w:t>
            </w:r>
          </w:p>
        </w:tc>
        <w:tc>
          <w:tcPr>
            <w:tcW w:w="1206" w:type="dxa"/>
            <w:shd w:val="clear" w:color="auto" w:fill="DBE5F1" w:themeFill="accent1" w:themeFillTint="33"/>
            <w:vAlign w:val="center"/>
          </w:tcPr>
          <w:p w14:paraId="1403BC2F" w14:textId="28BFE357" w:rsidR="206B13E6" w:rsidRPr="206B13E6" w:rsidRDefault="206B13E6" w:rsidP="00666129">
            <w:pPr>
              <w:pStyle w:val="TableHeaders"/>
            </w:pPr>
            <w:r w:rsidRPr="206B13E6">
              <w:t>Statewide Civilian Workforce Percent</w:t>
            </w:r>
          </w:p>
        </w:tc>
      </w:tr>
      <w:tr w:rsidR="001C39A6" w14:paraId="2BC45973" w14:textId="77777777" w:rsidTr="00BE06AF">
        <w:tc>
          <w:tcPr>
            <w:tcW w:w="630" w:type="dxa"/>
            <w:vAlign w:val="center"/>
          </w:tcPr>
          <w:p w14:paraId="7E57987F" w14:textId="4FFCE4F3" w:rsidR="206B13E6" w:rsidRPr="206B13E6" w:rsidRDefault="206B13E6" w:rsidP="00E563F2">
            <w:pPr>
              <w:pStyle w:val="TableText"/>
            </w:pPr>
            <w:r w:rsidRPr="206B13E6">
              <w:t>2021</w:t>
            </w:r>
          </w:p>
        </w:tc>
        <w:tc>
          <w:tcPr>
            <w:tcW w:w="1080" w:type="dxa"/>
            <w:vAlign w:val="center"/>
          </w:tcPr>
          <w:p w14:paraId="3940FD0C" w14:textId="1303C359" w:rsidR="206B13E6" w:rsidRPr="206B13E6" w:rsidRDefault="206B13E6" w:rsidP="0007703C">
            <w:pPr>
              <w:pStyle w:val="TableText"/>
              <w:jc w:val="right"/>
            </w:pPr>
            <w:r w:rsidRPr="206B13E6">
              <w:t>2,664,117</w:t>
            </w:r>
          </w:p>
        </w:tc>
        <w:tc>
          <w:tcPr>
            <w:tcW w:w="1620" w:type="dxa"/>
            <w:vAlign w:val="center"/>
          </w:tcPr>
          <w:p w14:paraId="4B5EA8BA" w14:textId="24533C86" w:rsidR="206B13E6" w:rsidRPr="206B13E6" w:rsidRDefault="206B13E6" w:rsidP="0007703C">
            <w:pPr>
              <w:pStyle w:val="TableText"/>
              <w:jc w:val="right"/>
            </w:pPr>
            <w:r w:rsidRPr="206B13E6">
              <w:t>345,700</w:t>
            </w:r>
          </w:p>
        </w:tc>
        <w:tc>
          <w:tcPr>
            <w:tcW w:w="1206" w:type="dxa"/>
            <w:vAlign w:val="center"/>
          </w:tcPr>
          <w:p w14:paraId="5D3E8E50" w14:textId="79E99BB7" w:rsidR="206B13E6" w:rsidRPr="206B13E6" w:rsidRDefault="206B13E6" w:rsidP="0007703C">
            <w:pPr>
              <w:pStyle w:val="TableText"/>
              <w:jc w:val="right"/>
            </w:pPr>
            <w:r w:rsidRPr="206B13E6">
              <w:t>13.0%</w:t>
            </w:r>
          </w:p>
        </w:tc>
        <w:tc>
          <w:tcPr>
            <w:tcW w:w="1206" w:type="dxa"/>
            <w:vAlign w:val="center"/>
          </w:tcPr>
          <w:p w14:paraId="0434CB96" w14:textId="14A5FD99" w:rsidR="206B13E6" w:rsidRPr="206B13E6" w:rsidRDefault="206B13E6" w:rsidP="0007703C">
            <w:pPr>
              <w:pStyle w:val="TableText"/>
              <w:jc w:val="right"/>
            </w:pPr>
            <w:r w:rsidRPr="206B13E6">
              <w:t>1,465,177</w:t>
            </w:r>
          </w:p>
        </w:tc>
        <w:tc>
          <w:tcPr>
            <w:tcW w:w="1206" w:type="dxa"/>
            <w:vAlign w:val="center"/>
          </w:tcPr>
          <w:p w14:paraId="4213CFEA" w14:textId="0FFD2301" w:rsidR="206B13E6" w:rsidRPr="206B13E6" w:rsidRDefault="206B13E6" w:rsidP="0007703C">
            <w:pPr>
              <w:pStyle w:val="TableText"/>
              <w:jc w:val="right"/>
            </w:pPr>
            <w:r w:rsidRPr="206B13E6">
              <w:t>55.0%</w:t>
            </w:r>
          </w:p>
        </w:tc>
        <w:tc>
          <w:tcPr>
            <w:tcW w:w="1206" w:type="dxa"/>
            <w:vAlign w:val="center"/>
          </w:tcPr>
          <w:p w14:paraId="429E1F10" w14:textId="319EBD92" w:rsidR="206B13E6" w:rsidRPr="206B13E6" w:rsidRDefault="206B13E6" w:rsidP="0007703C">
            <w:pPr>
              <w:pStyle w:val="TableText"/>
              <w:jc w:val="right"/>
            </w:pPr>
            <w:r w:rsidRPr="206B13E6">
              <w:t>1,272,333</w:t>
            </w:r>
          </w:p>
        </w:tc>
        <w:tc>
          <w:tcPr>
            <w:tcW w:w="1206" w:type="dxa"/>
            <w:vAlign w:val="center"/>
          </w:tcPr>
          <w:p w14:paraId="3F44DF33" w14:textId="76192F2B" w:rsidR="206B13E6" w:rsidRPr="206B13E6" w:rsidRDefault="206B13E6" w:rsidP="0007703C">
            <w:pPr>
              <w:pStyle w:val="TableText"/>
              <w:jc w:val="right"/>
            </w:pPr>
            <w:r w:rsidRPr="206B13E6">
              <w:t>47.8%</w:t>
            </w:r>
          </w:p>
        </w:tc>
      </w:tr>
      <w:tr w:rsidR="001C39A6" w14:paraId="2BEF8E50" w14:textId="77777777" w:rsidTr="00BE06AF">
        <w:tc>
          <w:tcPr>
            <w:tcW w:w="630" w:type="dxa"/>
            <w:vAlign w:val="center"/>
          </w:tcPr>
          <w:p w14:paraId="5639FEC4" w14:textId="5917BDFE" w:rsidR="206B13E6" w:rsidRPr="206B13E6" w:rsidRDefault="206B13E6" w:rsidP="00E563F2">
            <w:pPr>
              <w:pStyle w:val="TableText"/>
            </w:pPr>
            <w:r w:rsidRPr="206B13E6">
              <w:t>2022</w:t>
            </w:r>
          </w:p>
        </w:tc>
        <w:tc>
          <w:tcPr>
            <w:tcW w:w="1080" w:type="dxa"/>
            <w:vAlign w:val="center"/>
          </w:tcPr>
          <w:p w14:paraId="3290E3D4" w14:textId="17800AB5" w:rsidR="206B13E6" w:rsidRPr="206B13E6" w:rsidRDefault="206B13E6" w:rsidP="0007703C">
            <w:pPr>
              <w:pStyle w:val="TableText"/>
              <w:jc w:val="right"/>
            </w:pPr>
            <w:r w:rsidRPr="206B13E6">
              <w:t>2,738,400</w:t>
            </w:r>
          </w:p>
        </w:tc>
        <w:tc>
          <w:tcPr>
            <w:tcW w:w="1620" w:type="dxa"/>
            <w:vAlign w:val="center"/>
          </w:tcPr>
          <w:p w14:paraId="489854E5" w14:textId="3C847BC0" w:rsidR="206B13E6" w:rsidRPr="206B13E6" w:rsidRDefault="206B13E6" w:rsidP="0007703C">
            <w:pPr>
              <w:pStyle w:val="TableText"/>
              <w:jc w:val="right"/>
            </w:pPr>
            <w:r w:rsidRPr="206B13E6">
              <w:t>369,138</w:t>
            </w:r>
          </w:p>
        </w:tc>
        <w:tc>
          <w:tcPr>
            <w:tcW w:w="1206" w:type="dxa"/>
            <w:vAlign w:val="center"/>
          </w:tcPr>
          <w:p w14:paraId="57015B47" w14:textId="41BA4748" w:rsidR="206B13E6" w:rsidRPr="206B13E6" w:rsidRDefault="206B13E6" w:rsidP="0007703C">
            <w:pPr>
              <w:pStyle w:val="TableText"/>
              <w:jc w:val="right"/>
            </w:pPr>
            <w:r w:rsidRPr="206B13E6">
              <w:t>13.5%</w:t>
            </w:r>
          </w:p>
        </w:tc>
        <w:tc>
          <w:tcPr>
            <w:tcW w:w="1206" w:type="dxa"/>
            <w:vAlign w:val="center"/>
          </w:tcPr>
          <w:p w14:paraId="28F03A53" w14:textId="34436A1A" w:rsidR="206B13E6" w:rsidRPr="206B13E6" w:rsidRDefault="206B13E6" w:rsidP="0007703C">
            <w:pPr>
              <w:pStyle w:val="TableText"/>
              <w:jc w:val="right"/>
            </w:pPr>
            <w:r w:rsidRPr="206B13E6">
              <w:t>1,493,800</w:t>
            </w:r>
          </w:p>
        </w:tc>
        <w:tc>
          <w:tcPr>
            <w:tcW w:w="1206" w:type="dxa"/>
            <w:vAlign w:val="center"/>
          </w:tcPr>
          <w:p w14:paraId="1928EFE4" w14:textId="6E54B70F" w:rsidR="206B13E6" w:rsidRPr="206B13E6" w:rsidRDefault="206B13E6" w:rsidP="0007703C">
            <w:pPr>
              <w:pStyle w:val="TableText"/>
              <w:jc w:val="right"/>
            </w:pPr>
            <w:r w:rsidRPr="206B13E6">
              <w:t>54.6%</w:t>
            </w:r>
          </w:p>
        </w:tc>
        <w:tc>
          <w:tcPr>
            <w:tcW w:w="1206" w:type="dxa"/>
            <w:vAlign w:val="center"/>
          </w:tcPr>
          <w:p w14:paraId="32B2E98C" w14:textId="322D3EB1" w:rsidR="206B13E6" w:rsidRPr="206B13E6" w:rsidRDefault="206B13E6" w:rsidP="0007703C">
            <w:pPr>
              <w:pStyle w:val="TableText"/>
              <w:jc w:val="right"/>
            </w:pPr>
            <w:r w:rsidRPr="206B13E6">
              <w:t>1,299,911</w:t>
            </w:r>
          </w:p>
        </w:tc>
        <w:tc>
          <w:tcPr>
            <w:tcW w:w="1206" w:type="dxa"/>
            <w:vAlign w:val="center"/>
          </w:tcPr>
          <w:p w14:paraId="290C5567" w14:textId="6F3A977A" w:rsidR="206B13E6" w:rsidRPr="206B13E6" w:rsidRDefault="206B13E6" w:rsidP="0007703C">
            <w:pPr>
              <w:pStyle w:val="TableText"/>
              <w:jc w:val="right"/>
            </w:pPr>
            <w:r w:rsidRPr="206B13E6">
              <w:t>47.5%</w:t>
            </w:r>
          </w:p>
        </w:tc>
      </w:tr>
      <w:tr w:rsidR="001C39A6" w14:paraId="7AF6DD3A" w14:textId="77777777" w:rsidTr="00BE06AF">
        <w:tc>
          <w:tcPr>
            <w:tcW w:w="630" w:type="dxa"/>
            <w:vAlign w:val="center"/>
          </w:tcPr>
          <w:p w14:paraId="6CC9E2BE" w14:textId="26E39AF4" w:rsidR="206B13E6" w:rsidRPr="206B13E6" w:rsidRDefault="206B13E6" w:rsidP="00E563F2">
            <w:pPr>
              <w:pStyle w:val="TableText"/>
            </w:pPr>
            <w:r w:rsidRPr="206B13E6">
              <w:t>2023</w:t>
            </w:r>
          </w:p>
        </w:tc>
        <w:tc>
          <w:tcPr>
            <w:tcW w:w="1080" w:type="dxa"/>
            <w:vAlign w:val="center"/>
          </w:tcPr>
          <w:p w14:paraId="17F7C624" w14:textId="777611A0" w:rsidR="206B13E6" w:rsidRPr="206B13E6" w:rsidRDefault="206B13E6" w:rsidP="0007703C">
            <w:pPr>
              <w:pStyle w:val="TableText"/>
              <w:jc w:val="right"/>
            </w:pPr>
            <w:r w:rsidRPr="206B13E6">
              <w:t>2,824,463</w:t>
            </w:r>
          </w:p>
        </w:tc>
        <w:tc>
          <w:tcPr>
            <w:tcW w:w="1620" w:type="dxa"/>
            <w:vAlign w:val="center"/>
          </w:tcPr>
          <w:p w14:paraId="7C9A92B8" w14:textId="006CEC3E" w:rsidR="206B13E6" w:rsidRPr="206B13E6" w:rsidRDefault="206B13E6" w:rsidP="0007703C">
            <w:pPr>
              <w:pStyle w:val="TableText"/>
              <w:jc w:val="right"/>
            </w:pPr>
            <w:r w:rsidRPr="206B13E6">
              <w:t>356,661</w:t>
            </w:r>
          </w:p>
        </w:tc>
        <w:tc>
          <w:tcPr>
            <w:tcW w:w="1206" w:type="dxa"/>
            <w:vAlign w:val="center"/>
          </w:tcPr>
          <w:p w14:paraId="31393C0D" w14:textId="415B23C4" w:rsidR="206B13E6" w:rsidRPr="206B13E6" w:rsidRDefault="206B13E6" w:rsidP="0007703C">
            <w:pPr>
              <w:pStyle w:val="TableText"/>
              <w:jc w:val="right"/>
            </w:pPr>
            <w:r w:rsidRPr="206B13E6">
              <w:t>12.6%</w:t>
            </w:r>
          </w:p>
        </w:tc>
        <w:tc>
          <w:tcPr>
            <w:tcW w:w="1206" w:type="dxa"/>
            <w:vAlign w:val="center"/>
          </w:tcPr>
          <w:p w14:paraId="4EF65076" w14:textId="218E7E76" w:rsidR="206B13E6" w:rsidRPr="206B13E6" w:rsidRDefault="206B13E6" w:rsidP="0007703C">
            <w:pPr>
              <w:pStyle w:val="TableText"/>
              <w:jc w:val="right"/>
            </w:pPr>
            <w:r w:rsidRPr="206B13E6">
              <w:t>1,555,590</w:t>
            </w:r>
          </w:p>
        </w:tc>
        <w:tc>
          <w:tcPr>
            <w:tcW w:w="1206" w:type="dxa"/>
            <w:vAlign w:val="center"/>
          </w:tcPr>
          <w:p w14:paraId="2B53C855" w14:textId="5339FB69" w:rsidR="206B13E6" w:rsidRPr="206B13E6" w:rsidRDefault="206B13E6" w:rsidP="0007703C">
            <w:pPr>
              <w:pStyle w:val="TableText"/>
              <w:jc w:val="right"/>
            </w:pPr>
            <w:r w:rsidRPr="206B13E6">
              <w:t>55.1%</w:t>
            </w:r>
          </w:p>
        </w:tc>
        <w:tc>
          <w:tcPr>
            <w:tcW w:w="1206" w:type="dxa"/>
            <w:vAlign w:val="center"/>
          </w:tcPr>
          <w:p w14:paraId="1169F4E9" w14:textId="2786651C" w:rsidR="206B13E6" w:rsidRPr="206B13E6" w:rsidRDefault="206B13E6" w:rsidP="0007703C">
            <w:pPr>
              <w:pStyle w:val="TableText"/>
              <w:jc w:val="right"/>
            </w:pPr>
            <w:r w:rsidRPr="206B13E6">
              <w:t>1,364,482</w:t>
            </w:r>
          </w:p>
        </w:tc>
        <w:tc>
          <w:tcPr>
            <w:tcW w:w="1206" w:type="dxa"/>
            <w:vAlign w:val="center"/>
          </w:tcPr>
          <w:p w14:paraId="15A2853D" w14:textId="710DA198" w:rsidR="206B13E6" w:rsidRPr="206B13E6" w:rsidRDefault="206B13E6" w:rsidP="0007703C">
            <w:pPr>
              <w:pStyle w:val="TableText"/>
              <w:jc w:val="right"/>
            </w:pPr>
            <w:r w:rsidRPr="206B13E6">
              <w:t>48.3%</w:t>
            </w:r>
          </w:p>
        </w:tc>
      </w:tr>
    </w:tbl>
    <w:p w14:paraId="32447832" w14:textId="6F46B81C" w:rsidR="00C02C25" w:rsidRDefault="00C02C25" w:rsidP="00EE55B1">
      <w:pPr>
        <w:pStyle w:val="BodyText2"/>
        <w:rPr>
          <w:rStyle w:val="IntenseEmphasis"/>
          <w:bCs w:val="0"/>
          <w:color w:val="0070C0"/>
        </w:rPr>
      </w:pPr>
    </w:p>
    <w:p w14:paraId="0711F70C" w14:textId="77777777" w:rsidR="00C02C25" w:rsidRDefault="00C02C25">
      <w:pPr>
        <w:rPr>
          <w:rStyle w:val="IntenseEmphasis"/>
          <w:rFonts w:ascii="Arial" w:hAnsi="Arial"/>
          <w:bCs w:val="0"/>
          <w:color w:val="0070C0"/>
        </w:rPr>
      </w:pPr>
      <w:r>
        <w:rPr>
          <w:rStyle w:val="IntenseEmphasis"/>
          <w:bCs w:val="0"/>
          <w:color w:val="0070C0"/>
        </w:rPr>
        <w:br w:type="page"/>
      </w:r>
    </w:p>
    <w:p w14:paraId="58E230B2" w14:textId="5A0DCFA0" w:rsidR="0057730B" w:rsidRPr="00EE55B1" w:rsidRDefault="0057730B" w:rsidP="00EE55B1">
      <w:pPr>
        <w:pStyle w:val="BodyText2"/>
        <w:rPr>
          <w:rStyle w:val="IntenseEmphasis"/>
          <w:b w:val="0"/>
          <w:bCs w:val="0"/>
          <w:color w:val="0070C0"/>
        </w:rPr>
      </w:pPr>
      <w:r w:rsidRPr="00EE55B1">
        <w:rPr>
          <w:rStyle w:val="IntenseEmphasis"/>
          <w:bCs w:val="0"/>
          <w:color w:val="0070C0"/>
        </w:rPr>
        <w:lastRenderedPageBreak/>
        <w:t>Skilled Craft</w:t>
      </w:r>
    </w:p>
    <w:tbl>
      <w:tblPr>
        <w:tblStyle w:val="TableGrid1"/>
        <w:tblW w:w="9360"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skilled craft category of the agency for fiscal years 2013, 2014, and 2015."/>
      </w:tblPr>
      <w:tblGrid>
        <w:gridCol w:w="630"/>
        <w:gridCol w:w="1080"/>
        <w:gridCol w:w="1620"/>
        <w:gridCol w:w="1206"/>
        <w:gridCol w:w="1206"/>
        <w:gridCol w:w="1206"/>
        <w:gridCol w:w="1206"/>
        <w:gridCol w:w="1206"/>
      </w:tblGrid>
      <w:tr w:rsidR="0057730B" w14:paraId="773779B9" w14:textId="77777777" w:rsidTr="00BE06AF">
        <w:tc>
          <w:tcPr>
            <w:tcW w:w="630" w:type="dxa"/>
            <w:shd w:val="clear" w:color="auto" w:fill="DBE5F1" w:themeFill="accent1" w:themeFillTint="33"/>
            <w:vAlign w:val="center"/>
          </w:tcPr>
          <w:p w14:paraId="174EF9BB" w14:textId="632D04FA" w:rsidR="206B13E6" w:rsidRPr="206B13E6" w:rsidRDefault="206B13E6" w:rsidP="00900959">
            <w:pPr>
              <w:pStyle w:val="TableHeaders"/>
            </w:pPr>
            <w:r w:rsidRPr="206B13E6">
              <w:t>Year</w:t>
            </w:r>
          </w:p>
        </w:tc>
        <w:tc>
          <w:tcPr>
            <w:tcW w:w="1080" w:type="dxa"/>
            <w:shd w:val="clear" w:color="auto" w:fill="DBE5F1" w:themeFill="accent1" w:themeFillTint="33"/>
            <w:vAlign w:val="center"/>
          </w:tcPr>
          <w:p w14:paraId="03CA804B" w14:textId="4392B92D" w:rsidR="206B13E6" w:rsidRPr="206B13E6" w:rsidRDefault="206B13E6" w:rsidP="00900959">
            <w:pPr>
              <w:pStyle w:val="TableHeaders"/>
            </w:pPr>
            <w:r w:rsidRPr="206B13E6">
              <w:t>Total Number of Positions</w:t>
            </w:r>
          </w:p>
        </w:tc>
        <w:tc>
          <w:tcPr>
            <w:tcW w:w="1620" w:type="dxa"/>
            <w:shd w:val="clear" w:color="auto" w:fill="DBE5F1" w:themeFill="accent1" w:themeFillTint="33"/>
            <w:vAlign w:val="center"/>
          </w:tcPr>
          <w:p w14:paraId="071B8244" w14:textId="7DEE9ECA" w:rsidR="206B13E6" w:rsidRPr="206B13E6" w:rsidRDefault="206B13E6" w:rsidP="00900959">
            <w:pPr>
              <w:pStyle w:val="TableHeaders"/>
            </w:pPr>
            <w:proofErr w:type="gramStart"/>
            <w:r w:rsidRPr="206B13E6">
              <w:t>African-American</w:t>
            </w:r>
            <w:proofErr w:type="gramEnd"/>
          </w:p>
        </w:tc>
        <w:tc>
          <w:tcPr>
            <w:tcW w:w="1206" w:type="dxa"/>
            <w:shd w:val="clear" w:color="auto" w:fill="DBE5F1" w:themeFill="accent1" w:themeFillTint="33"/>
            <w:vAlign w:val="center"/>
          </w:tcPr>
          <w:p w14:paraId="088D2A3D" w14:textId="030787F0" w:rsidR="206B13E6" w:rsidRPr="206B13E6" w:rsidRDefault="206B13E6" w:rsidP="00900959">
            <w:pPr>
              <w:pStyle w:val="TableHeaders"/>
            </w:pPr>
            <w:r w:rsidRPr="206B13E6">
              <w:t>Statewide Civilian Workforce Percent</w:t>
            </w:r>
          </w:p>
        </w:tc>
        <w:tc>
          <w:tcPr>
            <w:tcW w:w="1206" w:type="dxa"/>
            <w:shd w:val="clear" w:color="auto" w:fill="DBE5F1" w:themeFill="accent1" w:themeFillTint="33"/>
            <w:vAlign w:val="center"/>
          </w:tcPr>
          <w:p w14:paraId="208DB48B" w14:textId="054F5064" w:rsidR="206B13E6" w:rsidRPr="206B13E6" w:rsidRDefault="206B13E6" w:rsidP="00900959">
            <w:pPr>
              <w:pStyle w:val="TableHeaders"/>
            </w:pPr>
            <w:r w:rsidRPr="206B13E6">
              <w:t>Hispanic</w:t>
            </w:r>
          </w:p>
        </w:tc>
        <w:tc>
          <w:tcPr>
            <w:tcW w:w="1206" w:type="dxa"/>
            <w:shd w:val="clear" w:color="auto" w:fill="DBE5F1" w:themeFill="accent1" w:themeFillTint="33"/>
            <w:vAlign w:val="center"/>
          </w:tcPr>
          <w:p w14:paraId="2FE5A822" w14:textId="5236D67D" w:rsidR="206B13E6" w:rsidRPr="206B13E6" w:rsidRDefault="206B13E6" w:rsidP="00900959">
            <w:pPr>
              <w:pStyle w:val="TableHeaders"/>
            </w:pPr>
            <w:r w:rsidRPr="206B13E6">
              <w:t>Statewide Civilian Workforce Percent</w:t>
            </w:r>
          </w:p>
        </w:tc>
        <w:tc>
          <w:tcPr>
            <w:tcW w:w="1206" w:type="dxa"/>
            <w:shd w:val="clear" w:color="auto" w:fill="DBE5F1" w:themeFill="accent1" w:themeFillTint="33"/>
            <w:vAlign w:val="center"/>
          </w:tcPr>
          <w:p w14:paraId="775BA2C3" w14:textId="02D45F70" w:rsidR="206B13E6" w:rsidRPr="206B13E6" w:rsidRDefault="206B13E6" w:rsidP="00900959">
            <w:pPr>
              <w:pStyle w:val="TableHeaders"/>
            </w:pPr>
            <w:r w:rsidRPr="206B13E6">
              <w:t>Female</w:t>
            </w:r>
          </w:p>
        </w:tc>
        <w:tc>
          <w:tcPr>
            <w:tcW w:w="1206" w:type="dxa"/>
            <w:shd w:val="clear" w:color="auto" w:fill="DBE5F1" w:themeFill="accent1" w:themeFillTint="33"/>
            <w:vAlign w:val="center"/>
          </w:tcPr>
          <w:p w14:paraId="40641230" w14:textId="5F35A0CB" w:rsidR="206B13E6" w:rsidRPr="206B13E6" w:rsidRDefault="206B13E6" w:rsidP="00900959">
            <w:pPr>
              <w:pStyle w:val="TableHeaders"/>
            </w:pPr>
            <w:r w:rsidRPr="206B13E6">
              <w:t>Statewide Civilian Workforce Percent</w:t>
            </w:r>
          </w:p>
        </w:tc>
      </w:tr>
      <w:tr w:rsidR="001C39A6" w14:paraId="34506AB1" w14:textId="77777777" w:rsidTr="00BE06AF">
        <w:tc>
          <w:tcPr>
            <w:tcW w:w="630" w:type="dxa"/>
            <w:vAlign w:val="center"/>
          </w:tcPr>
          <w:p w14:paraId="7A080DDB" w14:textId="5810EA4D" w:rsidR="206B13E6" w:rsidRPr="206B13E6" w:rsidRDefault="206B13E6" w:rsidP="00E563F2">
            <w:pPr>
              <w:pStyle w:val="TableText"/>
            </w:pPr>
            <w:r w:rsidRPr="206B13E6">
              <w:t>2021</w:t>
            </w:r>
          </w:p>
        </w:tc>
        <w:tc>
          <w:tcPr>
            <w:tcW w:w="1080" w:type="dxa"/>
            <w:vAlign w:val="center"/>
          </w:tcPr>
          <w:p w14:paraId="6FE4DF77" w14:textId="507A9774" w:rsidR="206B13E6" w:rsidRPr="206B13E6" w:rsidRDefault="206B13E6" w:rsidP="0007703C">
            <w:pPr>
              <w:pStyle w:val="TableText"/>
              <w:jc w:val="right"/>
            </w:pPr>
            <w:r w:rsidRPr="206B13E6">
              <w:t>2,309,962</w:t>
            </w:r>
          </w:p>
        </w:tc>
        <w:tc>
          <w:tcPr>
            <w:tcW w:w="1620" w:type="dxa"/>
            <w:vAlign w:val="center"/>
          </w:tcPr>
          <w:p w14:paraId="4B1A8E40" w14:textId="1D8E426F" w:rsidR="206B13E6" w:rsidRPr="206B13E6" w:rsidRDefault="206B13E6" w:rsidP="0007703C">
            <w:pPr>
              <w:pStyle w:val="TableText"/>
              <w:jc w:val="right"/>
            </w:pPr>
            <w:r w:rsidRPr="206B13E6">
              <w:t>236,287</w:t>
            </w:r>
          </w:p>
        </w:tc>
        <w:tc>
          <w:tcPr>
            <w:tcW w:w="1206" w:type="dxa"/>
            <w:vAlign w:val="center"/>
          </w:tcPr>
          <w:p w14:paraId="4F0FC0E9" w14:textId="42802706" w:rsidR="206B13E6" w:rsidRPr="206B13E6" w:rsidRDefault="206B13E6" w:rsidP="0007703C">
            <w:pPr>
              <w:pStyle w:val="TableText"/>
              <w:jc w:val="right"/>
            </w:pPr>
            <w:r w:rsidRPr="206B13E6">
              <w:t>10.2%</w:t>
            </w:r>
          </w:p>
        </w:tc>
        <w:tc>
          <w:tcPr>
            <w:tcW w:w="1206" w:type="dxa"/>
            <w:vAlign w:val="center"/>
          </w:tcPr>
          <w:p w14:paraId="68269D4B" w14:textId="1BB5E33C" w:rsidR="206B13E6" w:rsidRPr="206B13E6" w:rsidRDefault="206B13E6" w:rsidP="0007703C">
            <w:pPr>
              <w:pStyle w:val="TableText"/>
              <w:jc w:val="right"/>
            </w:pPr>
            <w:r w:rsidRPr="206B13E6">
              <w:t>1,196,774</w:t>
            </w:r>
          </w:p>
        </w:tc>
        <w:tc>
          <w:tcPr>
            <w:tcW w:w="1206" w:type="dxa"/>
            <w:vAlign w:val="center"/>
          </w:tcPr>
          <w:p w14:paraId="4ADF4B6B" w14:textId="51FC3224" w:rsidR="206B13E6" w:rsidRPr="206B13E6" w:rsidRDefault="206B13E6" w:rsidP="0007703C">
            <w:pPr>
              <w:pStyle w:val="TableText"/>
              <w:jc w:val="right"/>
            </w:pPr>
            <w:r w:rsidRPr="206B13E6">
              <w:t>51.8%</w:t>
            </w:r>
          </w:p>
        </w:tc>
        <w:tc>
          <w:tcPr>
            <w:tcW w:w="1206" w:type="dxa"/>
            <w:vAlign w:val="center"/>
          </w:tcPr>
          <w:p w14:paraId="3BAC8D04" w14:textId="7BA7780F" w:rsidR="206B13E6" w:rsidRPr="206B13E6" w:rsidRDefault="206B13E6" w:rsidP="0007703C">
            <w:pPr>
              <w:pStyle w:val="TableText"/>
              <w:jc w:val="right"/>
            </w:pPr>
            <w:r w:rsidRPr="206B13E6">
              <w:t>284,147</w:t>
            </w:r>
          </w:p>
        </w:tc>
        <w:tc>
          <w:tcPr>
            <w:tcW w:w="1206" w:type="dxa"/>
            <w:vAlign w:val="center"/>
          </w:tcPr>
          <w:p w14:paraId="521931B0" w14:textId="508A194C" w:rsidR="206B13E6" w:rsidRPr="206B13E6" w:rsidRDefault="206B13E6" w:rsidP="0007703C">
            <w:pPr>
              <w:pStyle w:val="TableText"/>
              <w:jc w:val="right"/>
            </w:pPr>
            <w:r w:rsidRPr="206B13E6">
              <w:t>12.3%</w:t>
            </w:r>
          </w:p>
        </w:tc>
      </w:tr>
      <w:tr w:rsidR="001C39A6" w14:paraId="617599B3" w14:textId="77777777" w:rsidTr="00BE06AF">
        <w:tc>
          <w:tcPr>
            <w:tcW w:w="630" w:type="dxa"/>
            <w:vAlign w:val="center"/>
          </w:tcPr>
          <w:p w14:paraId="318DA316" w14:textId="73AC333D" w:rsidR="206B13E6" w:rsidRPr="206B13E6" w:rsidRDefault="206B13E6" w:rsidP="00E563F2">
            <w:pPr>
              <w:pStyle w:val="TableText"/>
            </w:pPr>
            <w:r w:rsidRPr="206B13E6">
              <w:t>2022</w:t>
            </w:r>
          </w:p>
        </w:tc>
        <w:tc>
          <w:tcPr>
            <w:tcW w:w="1080" w:type="dxa"/>
            <w:vAlign w:val="center"/>
          </w:tcPr>
          <w:p w14:paraId="09DA2E27" w14:textId="6B18B461" w:rsidR="206B13E6" w:rsidRPr="206B13E6" w:rsidRDefault="206B13E6" w:rsidP="0007703C">
            <w:pPr>
              <w:pStyle w:val="TableText"/>
              <w:jc w:val="right"/>
            </w:pPr>
            <w:r w:rsidRPr="206B13E6">
              <w:t>2,397,181</w:t>
            </w:r>
          </w:p>
        </w:tc>
        <w:tc>
          <w:tcPr>
            <w:tcW w:w="1620" w:type="dxa"/>
            <w:vAlign w:val="center"/>
          </w:tcPr>
          <w:p w14:paraId="2CD13099" w14:textId="615034EA" w:rsidR="206B13E6" w:rsidRPr="206B13E6" w:rsidRDefault="206B13E6" w:rsidP="0007703C">
            <w:pPr>
              <w:pStyle w:val="TableText"/>
              <w:jc w:val="right"/>
            </w:pPr>
            <w:r w:rsidRPr="206B13E6">
              <w:t>247,111</w:t>
            </w:r>
          </w:p>
        </w:tc>
        <w:tc>
          <w:tcPr>
            <w:tcW w:w="1206" w:type="dxa"/>
            <w:vAlign w:val="center"/>
          </w:tcPr>
          <w:p w14:paraId="550E008E" w14:textId="42CE2208" w:rsidR="206B13E6" w:rsidRPr="206B13E6" w:rsidRDefault="206B13E6" w:rsidP="0007703C">
            <w:pPr>
              <w:pStyle w:val="TableText"/>
              <w:jc w:val="right"/>
            </w:pPr>
            <w:r w:rsidRPr="206B13E6">
              <w:t>10.3%</w:t>
            </w:r>
          </w:p>
        </w:tc>
        <w:tc>
          <w:tcPr>
            <w:tcW w:w="1206" w:type="dxa"/>
            <w:vAlign w:val="center"/>
          </w:tcPr>
          <w:p w14:paraId="6C372513" w14:textId="6CFED4A8" w:rsidR="206B13E6" w:rsidRPr="206B13E6" w:rsidRDefault="206B13E6" w:rsidP="0007703C">
            <w:pPr>
              <w:pStyle w:val="TableText"/>
              <w:jc w:val="right"/>
            </w:pPr>
            <w:r w:rsidRPr="206B13E6">
              <w:t>1,280,935</w:t>
            </w:r>
          </w:p>
        </w:tc>
        <w:tc>
          <w:tcPr>
            <w:tcW w:w="1206" w:type="dxa"/>
            <w:vAlign w:val="center"/>
          </w:tcPr>
          <w:p w14:paraId="7E8F7162" w14:textId="4C32987D" w:rsidR="206B13E6" w:rsidRPr="206B13E6" w:rsidRDefault="206B13E6" w:rsidP="0007703C">
            <w:pPr>
              <w:pStyle w:val="TableText"/>
              <w:jc w:val="right"/>
            </w:pPr>
            <w:r w:rsidRPr="206B13E6">
              <w:t>53.4%</w:t>
            </w:r>
          </w:p>
        </w:tc>
        <w:tc>
          <w:tcPr>
            <w:tcW w:w="1206" w:type="dxa"/>
            <w:vAlign w:val="center"/>
          </w:tcPr>
          <w:p w14:paraId="6862BD2A" w14:textId="44340BE3" w:rsidR="206B13E6" w:rsidRPr="206B13E6" w:rsidRDefault="206B13E6" w:rsidP="0007703C">
            <w:pPr>
              <w:pStyle w:val="TableText"/>
              <w:jc w:val="right"/>
            </w:pPr>
            <w:r w:rsidRPr="206B13E6">
              <w:t>277,603</w:t>
            </w:r>
          </w:p>
        </w:tc>
        <w:tc>
          <w:tcPr>
            <w:tcW w:w="1206" w:type="dxa"/>
            <w:vAlign w:val="center"/>
          </w:tcPr>
          <w:p w14:paraId="09AD3E4E" w14:textId="003C3EEB" w:rsidR="206B13E6" w:rsidRPr="206B13E6" w:rsidRDefault="206B13E6" w:rsidP="0007703C">
            <w:pPr>
              <w:pStyle w:val="TableText"/>
              <w:jc w:val="right"/>
            </w:pPr>
            <w:r w:rsidRPr="206B13E6">
              <w:t>11.6%</w:t>
            </w:r>
          </w:p>
        </w:tc>
      </w:tr>
      <w:tr w:rsidR="001C39A6" w14:paraId="66F14D6E" w14:textId="77777777" w:rsidTr="00BE06AF">
        <w:tc>
          <w:tcPr>
            <w:tcW w:w="630" w:type="dxa"/>
            <w:vAlign w:val="center"/>
          </w:tcPr>
          <w:p w14:paraId="1CD0FAE7" w14:textId="0A6D80FF" w:rsidR="206B13E6" w:rsidRPr="206B13E6" w:rsidRDefault="206B13E6" w:rsidP="00E563F2">
            <w:pPr>
              <w:pStyle w:val="TableText"/>
            </w:pPr>
            <w:r w:rsidRPr="206B13E6">
              <w:t>2023</w:t>
            </w:r>
          </w:p>
        </w:tc>
        <w:tc>
          <w:tcPr>
            <w:tcW w:w="1080" w:type="dxa"/>
            <w:vAlign w:val="center"/>
          </w:tcPr>
          <w:p w14:paraId="7DB571FD" w14:textId="6F4DF1B3" w:rsidR="206B13E6" w:rsidRPr="206B13E6" w:rsidRDefault="206B13E6" w:rsidP="0007703C">
            <w:pPr>
              <w:pStyle w:val="TableText"/>
              <w:jc w:val="right"/>
            </w:pPr>
            <w:r w:rsidRPr="206B13E6">
              <w:t>2,470,095</w:t>
            </w:r>
          </w:p>
        </w:tc>
        <w:tc>
          <w:tcPr>
            <w:tcW w:w="1620" w:type="dxa"/>
            <w:vAlign w:val="center"/>
          </w:tcPr>
          <w:p w14:paraId="12CDC3F4" w14:textId="34B87F5D" w:rsidR="206B13E6" w:rsidRPr="206B13E6" w:rsidRDefault="206B13E6" w:rsidP="0007703C">
            <w:pPr>
              <w:pStyle w:val="TableText"/>
              <w:jc w:val="right"/>
            </w:pPr>
            <w:r w:rsidRPr="206B13E6">
              <w:t>265,844</w:t>
            </w:r>
          </w:p>
        </w:tc>
        <w:tc>
          <w:tcPr>
            <w:tcW w:w="1206" w:type="dxa"/>
            <w:vAlign w:val="center"/>
          </w:tcPr>
          <w:p w14:paraId="6BEEDAE2" w14:textId="7D3BBC17" w:rsidR="206B13E6" w:rsidRPr="206B13E6" w:rsidRDefault="206B13E6" w:rsidP="0007703C">
            <w:pPr>
              <w:pStyle w:val="TableText"/>
              <w:jc w:val="right"/>
            </w:pPr>
            <w:r w:rsidRPr="206B13E6">
              <w:t>10.8%</w:t>
            </w:r>
          </w:p>
        </w:tc>
        <w:tc>
          <w:tcPr>
            <w:tcW w:w="1206" w:type="dxa"/>
            <w:vAlign w:val="center"/>
          </w:tcPr>
          <w:p w14:paraId="1B59B637" w14:textId="1C498800" w:rsidR="206B13E6" w:rsidRPr="206B13E6" w:rsidRDefault="206B13E6" w:rsidP="0007703C">
            <w:pPr>
              <w:pStyle w:val="TableText"/>
              <w:jc w:val="right"/>
            </w:pPr>
            <w:r w:rsidRPr="206B13E6">
              <w:t>1,310,168</w:t>
            </w:r>
          </w:p>
        </w:tc>
        <w:tc>
          <w:tcPr>
            <w:tcW w:w="1206" w:type="dxa"/>
            <w:vAlign w:val="center"/>
          </w:tcPr>
          <w:p w14:paraId="33D3C6D2" w14:textId="21F94BF7" w:rsidR="206B13E6" w:rsidRPr="206B13E6" w:rsidRDefault="206B13E6" w:rsidP="0007703C">
            <w:pPr>
              <w:pStyle w:val="TableText"/>
              <w:jc w:val="right"/>
            </w:pPr>
            <w:r w:rsidRPr="206B13E6">
              <w:t>53.0%</w:t>
            </w:r>
          </w:p>
        </w:tc>
        <w:tc>
          <w:tcPr>
            <w:tcW w:w="1206" w:type="dxa"/>
            <w:vAlign w:val="center"/>
          </w:tcPr>
          <w:p w14:paraId="3EF8C1F7" w14:textId="0B747DA5" w:rsidR="206B13E6" w:rsidRPr="206B13E6" w:rsidRDefault="206B13E6" w:rsidP="0007703C">
            <w:pPr>
              <w:pStyle w:val="TableText"/>
              <w:jc w:val="right"/>
            </w:pPr>
            <w:r w:rsidRPr="206B13E6">
              <w:t>306,325</w:t>
            </w:r>
          </w:p>
        </w:tc>
        <w:tc>
          <w:tcPr>
            <w:tcW w:w="1206" w:type="dxa"/>
            <w:vAlign w:val="center"/>
          </w:tcPr>
          <w:p w14:paraId="4F809370" w14:textId="023CDB9B" w:rsidR="206B13E6" w:rsidRPr="206B13E6" w:rsidRDefault="206B13E6" w:rsidP="0007703C">
            <w:pPr>
              <w:pStyle w:val="TableText"/>
              <w:jc w:val="right"/>
            </w:pPr>
            <w:r w:rsidRPr="206B13E6">
              <w:t>12.4%</w:t>
            </w:r>
          </w:p>
        </w:tc>
      </w:tr>
    </w:tbl>
    <w:p w14:paraId="1AAA26B4" w14:textId="337EEBCF" w:rsidR="001B6C5B" w:rsidRPr="00EE55B1" w:rsidRDefault="001B6C5B" w:rsidP="00EE55B1">
      <w:pPr>
        <w:pStyle w:val="BodyText2"/>
        <w:rPr>
          <w:rStyle w:val="IntenseEmphasis"/>
          <w:b w:val="0"/>
          <w:bCs w:val="0"/>
          <w:color w:val="0070C0"/>
        </w:rPr>
      </w:pPr>
      <w:r w:rsidRPr="00EE55B1">
        <w:rPr>
          <w:rStyle w:val="IntenseEmphasis"/>
          <w:bCs w:val="0"/>
          <w:color w:val="0070C0"/>
        </w:rPr>
        <w:t>Protective Service (if applicable)</w:t>
      </w:r>
    </w:p>
    <w:tbl>
      <w:tblPr>
        <w:tblStyle w:val="TableGrid1"/>
        <w:tblW w:w="9360" w:type="dxa"/>
        <w:tblLayout w:type="fixed"/>
        <w:tblCellMar>
          <w:top w:w="72" w:type="dxa"/>
          <w:left w:w="72" w:type="dxa"/>
          <w:bottom w:w="72" w:type="dxa"/>
          <w:right w:w="72" w:type="dxa"/>
        </w:tblCellMar>
        <w:tblLook w:val="04A0" w:firstRow="1" w:lastRow="0" w:firstColumn="1" w:lastColumn="0" w:noHBand="0" w:noVBand="1"/>
        <w:tblDescription w:val="Table template for Exhibit 17 showing the equal employment opportunity statistics for African-Americans, Hispanics, and females in the skilled craft category of the agency for fiscal years 2013, 2014, and 2015."/>
      </w:tblPr>
      <w:tblGrid>
        <w:gridCol w:w="630"/>
        <w:gridCol w:w="1080"/>
        <w:gridCol w:w="1620"/>
        <w:gridCol w:w="1206"/>
        <w:gridCol w:w="1206"/>
        <w:gridCol w:w="1206"/>
        <w:gridCol w:w="1206"/>
        <w:gridCol w:w="1206"/>
      </w:tblGrid>
      <w:tr w:rsidR="001B6C5B" w14:paraId="17A4B2D7" w14:textId="77777777" w:rsidTr="00BE06AF">
        <w:tc>
          <w:tcPr>
            <w:tcW w:w="630" w:type="dxa"/>
            <w:shd w:val="clear" w:color="auto" w:fill="DBE5F1" w:themeFill="accent1" w:themeFillTint="33"/>
            <w:vAlign w:val="center"/>
          </w:tcPr>
          <w:p w14:paraId="5B8F78B5" w14:textId="446B2D6D" w:rsidR="206B13E6" w:rsidRPr="206B13E6" w:rsidRDefault="206B13E6" w:rsidP="0058585F">
            <w:pPr>
              <w:pStyle w:val="TableHeaders"/>
            </w:pPr>
            <w:r w:rsidRPr="206B13E6">
              <w:t>Year</w:t>
            </w:r>
          </w:p>
        </w:tc>
        <w:tc>
          <w:tcPr>
            <w:tcW w:w="1080" w:type="dxa"/>
            <w:shd w:val="clear" w:color="auto" w:fill="DBE5F1" w:themeFill="accent1" w:themeFillTint="33"/>
            <w:vAlign w:val="center"/>
          </w:tcPr>
          <w:p w14:paraId="1B802DE2" w14:textId="1A9D4B5C" w:rsidR="206B13E6" w:rsidRPr="206B13E6" w:rsidRDefault="206B13E6" w:rsidP="0058585F">
            <w:pPr>
              <w:pStyle w:val="TableHeaders"/>
            </w:pPr>
            <w:r w:rsidRPr="206B13E6">
              <w:t>Total Number of Positions</w:t>
            </w:r>
          </w:p>
        </w:tc>
        <w:tc>
          <w:tcPr>
            <w:tcW w:w="1620" w:type="dxa"/>
            <w:shd w:val="clear" w:color="auto" w:fill="DBE5F1" w:themeFill="accent1" w:themeFillTint="33"/>
            <w:vAlign w:val="center"/>
          </w:tcPr>
          <w:p w14:paraId="33523E44" w14:textId="41C20171" w:rsidR="206B13E6" w:rsidRPr="206B13E6" w:rsidRDefault="206B13E6" w:rsidP="0058585F">
            <w:pPr>
              <w:pStyle w:val="TableHeaders"/>
            </w:pPr>
            <w:proofErr w:type="gramStart"/>
            <w:r w:rsidRPr="206B13E6">
              <w:t>African-American</w:t>
            </w:r>
            <w:proofErr w:type="gramEnd"/>
          </w:p>
        </w:tc>
        <w:tc>
          <w:tcPr>
            <w:tcW w:w="1206" w:type="dxa"/>
            <w:shd w:val="clear" w:color="auto" w:fill="DBE5F1" w:themeFill="accent1" w:themeFillTint="33"/>
            <w:vAlign w:val="center"/>
          </w:tcPr>
          <w:p w14:paraId="59C3CE90" w14:textId="504D9C6A" w:rsidR="206B13E6" w:rsidRPr="206B13E6" w:rsidRDefault="206B13E6" w:rsidP="0058585F">
            <w:pPr>
              <w:pStyle w:val="TableHeaders"/>
            </w:pPr>
            <w:r w:rsidRPr="206B13E6">
              <w:t>Statewide Civilian Workforce Percent</w:t>
            </w:r>
          </w:p>
        </w:tc>
        <w:tc>
          <w:tcPr>
            <w:tcW w:w="1206" w:type="dxa"/>
            <w:shd w:val="clear" w:color="auto" w:fill="DBE5F1" w:themeFill="accent1" w:themeFillTint="33"/>
            <w:vAlign w:val="center"/>
          </w:tcPr>
          <w:p w14:paraId="5936BC43" w14:textId="389B5DA2" w:rsidR="206B13E6" w:rsidRPr="206B13E6" w:rsidRDefault="206B13E6" w:rsidP="0058585F">
            <w:pPr>
              <w:pStyle w:val="TableHeaders"/>
            </w:pPr>
            <w:r w:rsidRPr="206B13E6">
              <w:t>Hispanic</w:t>
            </w:r>
          </w:p>
        </w:tc>
        <w:tc>
          <w:tcPr>
            <w:tcW w:w="1206" w:type="dxa"/>
            <w:shd w:val="clear" w:color="auto" w:fill="DBE5F1" w:themeFill="accent1" w:themeFillTint="33"/>
            <w:vAlign w:val="center"/>
          </w:tcPr>
          <w:p w14:paraId="7E5EC812" w14:textId="4D25C512" w:rsidR="206B13E6" w:rsidRPr="206B13E6" w:rsidRDefault="206B13E6" w:rsidP="0058585F">
            <w:pPr>
              <w:pStyle w:val="TableHeaders"/>
            </w:pPr>
            <w:r w:rsidRPr="206B13E6">
              <w:t>Statewide Civilian Workforce Percent</w:t>
            </w:r>
          </w:p>
        </w:tc>
        <w:tc>
          <w:tcPr>
            <w:tcW w:w="1206" w:type="dxa"/>
            <w:shd w:val="clear" w:color="auto" w:fill="DBE5F1" w:themeFill="accent1" w:themeFillTint="33"/>
            <w:vAlign w:val="center"/>
          </w:tcPr>
          <w:p w14:paraId="0ACD7705" w14:textId="0C4B010D" w:rsidR="206B13E6" w:rsidRPr="206B13E6" w:rsidRDefault="206B13E6" w:rsidP="0058585F">
            <w:pPr>
              <w:pStyle w:val="TableHeaders"/>
            </w:pPr>
            <w:r w:rsidRPr="206B13E6">
              <w:t>Female</w:t>
            </w:r>
          </w:p>
        </w:tc>
        <w:tc>
          <w:tcPr>
            <w:tcW w:w="1206" w:type="dxa"/>
            <w:shd w:val="clear" w:color="auto" w:fill="DBE5F1" w:themeFill="accent1" w:themeFillTint="33"/>
            <w:vAlign w:val="center"/>
          </w:tcPr>
          <w:p w14:paraId="7DF92B2C" w14:textId="02E76E16" w:rsidR="206B13E6" w:rsidRPr="206B13E6" w:rsidRDefault="206B13E6" w:rsidP="0058585F">
            <w:pPr>
              <w:pStyle w:val="TableHeaders"/>
            </w:pPr>
            <w:r w:rsidRPr="206B13E6">
              <w:t>Statewide Civilian Workforce Percent</w:t>
            </w:r>
          </w:p>
        </w:tc>
      </w:tr>
      <w:tr w:rsidR="001C39A6" w14:paraId="3CD02AE1" w14:textId="77777777" w:rsidTr="00BE06AF">
        <w:tc>
          <w:tcPr>
            <w:tcW w:w="630" w:type="dxa"/>
            <w:vAlign w:val="center"/>
          </w:tcPr>
          <w:p w14:paraId="505D8D40" w14:textId="4B61095C" w:rsidR="206B13E6" w:rsidRPr="206B13E6" w:rsidRDefault="206B13E6" w:rsidP="00E563F2">
            <w:pPr>
              <w:pStyle w:val="TableText"/>
            </w:pPr>
            <w:r w:rsidRPr="206B13E6">
              <w:t>2021</w:t>
            </w:r>
          </w:p>
        </w:tc>
        <w:tc>
          <w:tcPr>
            <w:tcW w:w="1080" w:type="dxa"/>
            <w:vAlign w:val="center"/>
          </w:tcPr>
          <w:p w14:paraId="487623EC" w14:textId="628C82B3" w:rsidR="206B13E6" w:rsidRPr="206B13E6" w:rsidRDefault="206B13E6" w:rsidP="0007703C">
            <w:pPr>
              <w:pStyle w:val="TableText"/>
              <w:jc w:val="right"/>
            </w:pPr>
            <w:r w:rsidRPr="206B13E6">
              <w:t>299,679</w:t>
            </w:r>
          </w:p>
        </w:tc>
        <w:tc>
          <w:tcPr>
            <w:tcW w:w="1620" w:type="dxa"/>
            <w:vAlign w:val="center"/>
          </w:tcPr>
          <w:p w14:paraId="1D183E3D" w14:textId="4AFCBC39" w:rsidR="206B13E6" w:rsidRPr="206B13E6" w:rsidRDefault="206B13E6" w:rsidP="0007703C">
            <w:pPr>
              <w:pStyle w:val="TableText"/>
              <w:jc w:val="right"/>
            </w:pPr>
            <w:r w:rsidRPr="206B13E6">
              <w:t>59,161</w:t>
            </w:r>
          </w:p>
        </w:tc>
        <w:tc>
          <w:tcPr>
            <w:tcW w:w="1206" w:type="dxa"/>
            <w:vAlign w:val="center"/>
          </w:tcPr>
          <w:p w14:paraId="1161F455" w14:textId="771AF82B" w:rsidR="206B13E6" w:rsidRPr="206B13E6" w:rsidRDefault="206B13E6" w:rsidP="0007703C">
            <w:pPr>
              <w:pStyle w:val="TableText"/>
              <w:jc w:val="right"/>
            </w:pPr>
            <w:r w:rsidRPr="206B13E6">
              <w:t>19.7%</w:t>
            </w:r>
          </w:p>
        </w:tc>
        <w:tc>
          <w:tcPr>
            <w:tcW w:w="1206" w:type="dxa"/>
            <w:vAlign w:val="center"/>
          </w:tcPr>
          <w:p w14:paraId="79CF641B" w14:textId="74CA8801" w:rsidR="206B13E6" w:rsidRPr="206B13E6" w:rsidRDefault="206B13E6" w:rsidP="0007703C">
            <w:pPr>
              <w:pStyle w:val="TableText"/>
              <w:jc w:val="right"/>
            </w:pPr>
            <w:r w:rsidRPr="206B13E6">
              <w:t>106,407</w:t>
            </w:r>
          </w:p>
        </w:tc>
        <w:tc>
          <w:tcPr>
            <w:tcW w:w="1206" w:type="dxa"/>
            <w:vAlign w:val="center"/>
          </w:tcPr>
          <w:p w14:paraId="1DF9F240" w14:textId="52C695AD" w:rsidR="206B13E6" w:rsidRPr="206B13E6" w:rsidRDefault="206B13E6" w:rsidP="0007703C">
            <w:pPr>
              <w:pStyle w:val="TableText"/>
              <w:jc w:val="right"/>
            </w:pPr>
            <w:r w:rsidRPr="206B13E6">
              <w:t>35.5%</w:t>
            </w:r>
          </w:p>
        </w:tc>
        <w:tc>
          <w:tcPr>
            <w:tcW w:w="1206" w:type="dxa"/>
            <w:vAlign w:val="center"/>
          </w:tcPr>
          <w:p w14:paraId="425CC1B3" w14:textId="045438B1" w:rsidR="206B13E6" w:rsidRPr="206B13E6" w:rsidRDefault="206B13E6" w:rsidP="0007703C">
            <w:pPr>
              <w:pStyle w:val="TableText"/>
              <w:jc w:val="right"/>
            </w:pPr>
            <w:r w:rsidRPr="206B13E6">
              <w:t>77,195</w:t>
            </w:r>
          </w:p>
        </w:tc>
        <w:tc>
          <w:tcPr>
            <w:tcW w:w="1206" w:type="dxa"/>
            <w:vAlign w:val="center"/>
          </w:tcPr>
          <w:p w14:paraId="7245D1BF" w14:textId="008B51FB" w:rsidR="206B13E6" w:rsidRPr="206B13E6" w:rsidRDefault="206B13E6" w:rsidP="0007703C">
            <w:pPr>
              <w:pStyle w:val="TableText"/>
              <w:jc w:val="right"/>
            </w:pPr>
            <w:r w:rsidRPr="206B13E6">
              <w:t>25.8%</w:t>
            </w:r>
          </w:p>
        </w:tc>
      </w:tr>
      <w:tr w:rsidR="001C39A6" w14:paraId="72B8D9FA" w14:textId="77777777" w:rsidTr="00BE06AF">
        <w:tc>
          <w:tcPr>
            <w:tcW w:w="630" w:type="dxa"/>
            <w:vAlign w:val="center"/>
          </w:tcPr>
          <w:p w14:paraId="6F07E0B7" w14:textId="29E92A10" w:rsidR="206B13E6" w:rsidRPr="206B13E6" w:rsidRDefault="206B13E6" w:rsidP="00E563F2">
            <w:pPr>
              <w:pStyle w:val="TableText"/>
            </w:pPr>
            <w:r w:rsidRPr="206B13E6">
              <w:t>2022</w:t>
            </w:r>
          </w:p>
        </w:tc>
        <w:tc>
          <w:tcPr>
            <w:tcW w:w="1080" w:type="dxa"/>
            <w:vAlign w:val="center"/>
          </w:tcPr>
          <w:p w14:paraId="3419E784" w14:textId="5493626F" w:rsidR="206B13E6" w:rsidRPr="206B13E6" w:rsidRDefault="206B13E6" w:rsidP="0007703C">
            <w:pPr>
              <w:pStyle w:val="TableText"/>
              <w:jc w:val="right"/>
            </w:pPr>
            <w:r w:rsidRPr="206B13E6">
              <w:t>313,303</w:t>
            </w:r>
          </w:p>
        </w:tc>
        <w:tc>
          <w:tcPr>
            <w:tcW w:w="1620" w:type="dxa"/>
            <w:vAlign w:val="center"/>
          </w:tcPr>
          <w:p w14:paraId="6A6E215A" w14:textId="4FFA3B84" w:rsidR="206B13E6" w:rsidRPr="206B13E6" w:rsidRDefault="206B13E6" w:rsidP="0007703C">
            <w:pPr>
              <w:pStyle w:val="TableText"/>
              <w:jc w:val="right"/>
            </w:pPr>
            <w:r w:rsidRPr="206B13E6">
              <w:t>62,259</w:t>
            </w:r>
          </w:p>
        </w:tc>
        <w:tc>
          <w:tcPr>
            <w:tcW w:w="1206" w:type="dxa"/>
            <w:vAlign w:val="center"/>
          </w:tcPr>
          <w:p w14:paraId="4FFA4A17" w14:textId="703F23EB" w:rsidR="206B13E6" w:rsidRPr="206B13E6" w:rsidRDefault="206B13E6" w:rsidP="0007703C">
            <w:pPr>
              <w:pStyle w:val="TableText"/>
              <w:jc w:val="right"/>
            </w:pPr>
            <w:r w:rsidRPr="206B13E6">
              <w:t>19.9%</w:t>
            </w:r>
          </w:p>
        </w:tc>
        <w:tc>
          <w:tcPr>
            <w:tcW w:w="1206" w:type="dxa"/>
            <w:vAlign w:val="center"/>
          </w:tcPr>
          <w:p w14:paraId="29D3368F" w14:textId="5AD2A949" w:rsidR="206B13E6" w:rsidRPr="206B13E6" w:rsidRDefault="206B13E6" w:rsidP="0007703C">
            <w:pPr>
              <w:pStyle w:val="TableText"/>
              <w:jc w:val="right"/>
            </w:pPr>
            <w:r w:rsidRPr="206B13E6">
              <w:t>104,525</w:t>
            </w:r>
          </w:p>
        </w:tc>
        <w:tc>
          <w:tcPr>
            <w:tcW w:w="1206" w:type="dxa"/>
            <w:vAlign w:val="center"/>
          </w:tcPr>
          <w:p w14:paraId="529AAE99" w14:textId="7235205C" w:rsidR="206B13E6" w:rsidRPr="206B13E6" w:rsidRDefault="206B13E6" w:rsidP="0007703C">
            <w:pPr>
              <w:pStyle w:val="TableText"/>
              <w:jc w:val="right"/>
            </w:pPr>
            <w:r w:rsidRPr="206B13E6">
              <w:t>33.4%</w:t>
            </w:r>
          </w:p>
        </w:tc>
        <w:tc>
          <w:tcPr>
            <w:tcW w:w="1206" w:type="dxa"/>
            <w:vAlign w:val="center"/>
          </w:tcPr>
          <w:p w14:paraId="0F4EDA14" w14:textId="78B15E4B" w:rsidR="206B13E6" w:rsidRPr="206B13E6" w:rsidRDefault="206B13E6" w:rsidP="0007703C">
            <w:pPr>
              <w:pStyle w:val="TableText"/>
              <w:jc w:val="right"/>
            </w:pPr>
            <w:r w:rsidRPr="206B13E6">
              <w:t>78,743</w:t>
            </w:r>
          </w:p>
        </w:tc>
        <w:tc>
          <w:tcPr>
            <w:tcW w:w="1206" w:type="dxa"/>
            <w:vAlign w:val="center"/>
          </w:tcPr>
          <w:p w14:paraId="7BBF5E4F" w14:textId="25150C59" w:rsidR="206B13E6" w:rsidRPr="206B13E6" w:rsidRDefault="206B13E6" w:rsidP="0007703C">
            <w:pPr>
              <w:pStyle w:val="TableText"/>
              <w:jc w:val="right"/>
            </w:pPr>
            <w:r w:rsidRPr="206B13E6">
              <w:t>25.1%</w:t>
            </w:r>
          </w:p>
        </w:tc>
      </w:tr>
      <w:tr w:rsidR="001C39A6" w14:paraId="10E98674" w14:textId="77777777" w:rsidTr="00BE06AF">
        <w:tc>
          <w:tcPr>
            <w:tcW w:w="630" w:type="dxa"/>
            <w:vAlign w:val="center"/>
          </w:tcPr>
          <w:p w14:paraId="4FBCD358" w14:textId="76E8D294" w:rsidR="206B13E6" w:rsidRPr="206B13E6" w:rsidRDefault="206B13E6" w:rsidP="00E563F2">
            <w:pPr>
              <w:pStyle w:val="TableText"/>
            </w:pPr>
            <w:r w:rsidRPr="206B13E6">
              <w:t>2023</w:t>
            </w:r>
          </w:p>
        </w:tc>
        <w:tc>
          <w:tcPr>
            <w:tcW w:w="1080" w:type="dxa"/>
            <w:vAlign w:val="center"/>
          </w:tcPr>
          <w:p w14:paraId="4F47B30E" w14:textId="54B0293B" w:rsidR="206B13E6" w:rsidRPr="206B13E6" w:rsidRDefault="206B13E6" w:rsidP="0007703C">
            <w:pPr>
              <w:pStyle w:val="TableText"/>
              <w:jc w:val="right"/>
            </w:pPr>
            <w:r w:rsidRPr="206B13E6">
              <w:t>330,874</w:t>
            </w:r>
          </w:p>
        </w:tc>
        <w:tc>
          <w:tcPr>
            <w:tcW w:w="1620" w:type="dxa"/>
            <w:vAlign w:val="center"/>
          </w:tcPr>
          <w:p w14:paraId="3BC05F8A" w14:textId="622CB60D" w:rsidR="206B13E6" w:rsidRPr="206B13E6" w:rsidRDefault="206B13E6" w:rsidP="0007703C">
            <w:pPr>
              <w:pStyle w:val="TableText"/>
              <w:jc w:val="right"/>
            </w:pPr>
            <w:r w:rsidRPr="206B13E6">
              <w:t>79,418</w:t>
            </w:r>
          </w:p>
        </w:tc>
        <w:tc>
          <w:tcPr>
            <w:tcW w:w="1206" w:type="dxa"/>
            <w:vAlign w:val="center"/>
          </w:tcPr>
          <w:p w14:paraId="3E62AB33" w14:textId="73A69010" w:rsidR="206B13E6" w:rsidRPr="206B13E6" w:rsidRDefault="206B13E6" w:rsidP="0007703C">
            <w:pPr>
              <w:pStyle w:val="TableText"/>
              <w:jc w:val="right"/>
            </w:pPr>
            <w:r w:rsidRPr="206B13E6">
              <w:t>24.0%</w:t>
            </w:r>
          </w:p>
        </w:tc>
        <w:tc>
          <w:tcPr>
            <w:tcW w:w="1206" w:type="dxa"/>
            <w:vAlign w:val="center"/>
          </w:tcPr>
          <w:p w14:paraId="0E9989B5" w14:textId="62590E63" w:rsidR="206B13E6" w:rsidRPr="206B13E6" w:rsidRDefault="206B13E6" w:rsidP="0007703C">
            <w:pPr>
              <w:pStyle w:val="TableText"/>
              <w:jc w:val="right"/>
            </w:pPr>
            <w:r w:rsidRPr="206B13E6">
              <w:t>111,332</w:t>
            </w:r>
          </w:p>
        </w:tc>
        <w:tc>
          <w:tcPr>
            <w:tcW w:w="1206" w:type="dxa"/>
            <w:vAlign w:val="center"/>
          </w:tcPr>
          <w:p w14:paraId="0ED390A2" w14:textId="443D79A2" w:rsidR="206B13E6" w:rsidRPr="206B13E6" w:rsidRDefault="206B13E6" w:rsidP="0007703C">
            <w:pPr>
              <w:pStyle w:val="TableText"/>
              <w:jc w:val="right"/>
            </w:pPr>
            <w:r w:rsidRPr="206B13E6">
              <w:t>33.6%</w:t>
            </w:r>
          </w:p>
        </w:tc>
        <w:tc>
          <w:tcPr>
            <w:tcW w:w="1206" w:type="dxa"/>
            <w:vAlign w:val="center"/>
          </w:tcPr>
          <w:p w14:paraId="2411B231" w14:textId="7349B67A" w:rsidR="206B13E6" w:rsidRPr="206B13E6" w:rsidRDefault="206B13E6" w:rsidP="0007703C">
            <w:pPr>
              <w:pStyle w:val="TableText"/>
              <w:jc w:val="right"/>
            </w:pPr>
            <w:r w:rsidRPr="206B13E6">
              <w:t>83,968</w:t>
            </w:r>
          </w:p>
        </w:tc>
        <w:tc>
          <w:tcPr>
            <w:tcW w:w="1206" w:type="dxa"/>
            <w:vAlign w:val="center"/>
          </w:tcPr>
          <w:p w14:paraId="52A80047" w14:textId="754D1CA8" w:rsidR="206B13E6" w:rsidRPr="206B13E6" w:rsidRDefault="206B13E6" w:rsidP="0007703C">
            <w:pPr>
              <w:pStyle w:val="TableText"/>
              <w:jc w:val="right"/>
            </w:pPr>
            <w:r w:rsidRPr="206B13E6">
              <w:t>25.4%</w:t>
            </w:r>
          </w:p>
        </w:tc>
      </w:tr>
    </w:tbl>
    <w:p w14:paraId="3D694D01" w14:textId="376B0507" w:rsidR="007205DF" w:rsidRPr="002C4078" w:rsidRDefault="005A1B35" w:rsidP="0076428A">
      <w:pPr>
        <w:pStyle w:val="BodyText"/>
        <w:ind w:left="720" w:hanging="720"/>
        <w:rPr>
          <w:rStyle w:val="Strong"/>
          <w:b/>
          <w:bCs w:val="0"/>
        </w:rPr>
      </w:pPr>
      <w:r w:rsidRPr="002C4078">
        <w:rPr>
          <w:rStyle w:val="Strong"/>
          <w:b/>
          <w:bCs w:val="0"/>
        </w:rPr>
        <w:t>J</w:t>
      </w:r>
      <w:r w:rsidR="007205DF" w:rsidRPr="002C4078">
        <w:rPr>
          <w:rStyle w:val="Strong"/>
          <w:b/>
          <w:bCs w:val="0"/>
        </w:rPr>
        <w:t>.</w:t>
      </w:r>
      <w:r w:rsidR="0076428A">
        <w:rPr>
          <w:rStyle w:val="Strong"/>
          <w:b/>
          <w:bCs w:val="0"/>
        </w:rPr>
        <w:tab/>
      </w:r>
      <w:r w:rsidR="007205DF" w:rsidRPr="002C4078">
        <w:rPr>
          <w:rStyle w:val="Strong"/>
          <w:b/>
          <w:bCs w:val="0"/>
        </w:rPr>
        <w:t xml:space="preserve">Does your agency have an equal </w:t>
      </w:r>
      <w:r w:rsidR="00832B49" w:rsidRPr="002C4078">
        <w:rPr>
          <w:rStyle w:val="Strong"/>
          <w:b/>
          <w:bCs w:val="0"/>
        </w:rPr>
        <w:t>employment opportunity policy?</w:t>
      </w:r>
      <w:r w:rsidR="001865E5" w:rsidRPr="002C4078">
        <w:rPr>
          <w:rStyle w:val="Strong"/>
          <w:b/>
          <w:bCs w:val="0"/>
        </w:rPr>
        <w:t xml:space="preserve"> </w:t>
      </w:r>
      <w:r w:rsidR="00307593" w:rsidRPr="002C4078">
        <w:rPr>
          <w:rStyle w:val="Strong"/>
          <w:b/>
          <w:bCs w:val="0"/>
        </w:rPr>
        <w:t>If yes, p</w:t>
      </w:r>
      <w:r w:rsidR="001865E5" w:rsidRPr="002C4078">
        <w:rPr>
          <w:rStyle w:val="Strong"/>
          <w:b/>
          <w:bCs w:val="0"/>
        </w:rPr>
        <w:t>lease provide an attachment.</w:t>
      </w:r>
      <w:r w:rsidR="00832B49" w:rsidRPr="002C4078">
        <w:rPr>
          <w:rStyle w:val="Strong"/>
          <w:b/>
          <w:bCs w:val="0"/>
        </w:rPr>
        <w:t xml:space="preserve"> </w:t>
      </w:r>
      <w:r w:rsidR="007205DF" w:rsidRPr="002C4078">
        <w:rPr>
          <w:rStyle w:val="Strong"/>
          <w:b/>
          <w:bCs w:val="0"/>
        </w:rPr>
        <w:t>How does your agency address performance shortfalls related to the policy?</w:t>
      </w:r>
    </w:p>
    <w:p w14:paraId="0BBBFCA7" w14:textId="00D9BA68" w:rsidR="007205DF" w:rsidRDefault="36C64327" w:rsidP="00BF722C">
      <w:pPr>
        <w:pStyle w:val="BodyText"/>
      </w:pPr>
      <w:r w:rsidRPr="638D6F3A">
        <w:rPr>
          <w:color w:val="000000" w:themeColor="text1"/>
        </w:rPr>
        <w:t>TWC</w:t>
      </w:r>
      <w:r w:rsidR="68961280" w:rsidRPr="638D6F3A">
        <w:rPr>
          <w:color w:val="000000" w:themeColor="text1"/>
        </w:rPr>
        <w:t>’s</w:t>
      </w:r>
      <w:r w:rsidRPr="638D6F3A">
        <w:rPr>
          <w:color w:val="000000" w:themeColor="text1"/>
        </w:rPr>
        <w:t xml:space="preserve"> EEO Policy is attached to this report as Exhibit </w:t>
      </w:r>
      <w:r w:rsidR="55D3014D" w:rsidRPr="638D6F3A">
        <w:rPr>
          <w:color w:val="000000" w:themeColor="text1"/>
        </w:rPr>
        <w:t>21_</w:t>
      </w:r>
      <w:r w:rsidRPr="638D6F3A">
        <w:rPr>
          <w:color w:val="000000" w:themeColor="text1"/>
        </w:rPr>
        <w:t>TWC EEO Policy. To address performance shortfalls, EEO policy violations are under the purview of the Office of General Counsel (OGC) HR Legal team. The performance shortfalls are categorized as time sensitive and given priority. OGC HR Legal conducts a thorough review of all evidence, investigates as needed to ensure a complete review, determines the egregiousness of the violation, and recommends disciplinary action, as appropriate, to management. Disciplinary action ranges from counseling and additional training up to and including termination of employment.</w:t>
      </w:r>
    </w:p>
    <w:p w14:paraId="5E8DE690" w14:textId="59F81C23" w:rsidR="00293BDA" w:rsidRDefault="00293BDA">
      <w:r>
        <w:br w:type="page"/>
      </w:r>
    </w:p>
    <w:p w14:paraId="45D84B9D" w14:textId="610DC9CC" w:rsidR="00014D0A" w:rsidRPr="00014D0A" w:rsidRDefault="00014D0A" w:rsidP="00BF722C">
      <w:pPr>
        <w:pStyle w:val="Heading1"/>
      </w:pPr>
      <w:bookmarkStart w:id="384" w:name="_Toc1985286696"/>
      <w:bookmarkStart w:id="385" w:name="_Toc203377342"/>
      <w:r w:rsidRPr="00014D0A">
        <w:lastRenderedPageBreak/>
        <w:t>XII.</w:t>
      </w:r>
      <w:r w:rsidR="4D0E307D">
        <w:t xml:space="preserve"> </w:t>
      </w:r>
      <w:r w:rsidRPr="00014D0A">
        <w:t>Agency Comments</w:t>
      </w:r>
      <w:bookmarkEnd w:id="384"/>
      <w:bookmarkEnd w:id="385"/>
    </w:p>
    <w:p w14:paraId="15D9A1AD" w14:textId="77777777" w:rsidR="001F050A" w:rsidRDefault="00014D0A" w:rsidP="00BF722C">
      <w:pPr>
        <w:pStyle w:val="BodyText"/>
      </w:pPr>
      <w:r>
        <w:t>Provide any additional information needed to gain a preliminary understanding of your agency.</w:t>
      </w:r>
    </w:p>
    <w:p w14:paraId="591C22F1" w14:textId="77777777" w:rsidR="001F050A" w:rsidRDefault="001F050A" w:rsidP="001F050A">
      <w:r>
        <w:br w:type="page"/>
      </w:r>
    </w:p>
    <w:p w14:paraId="09CC0636" w14:textId="0BE14B98" w:rsidR="003949A2" w:rsidRDefault="5E23EFF5" w:rsidP="0B5AB683">
      <w:pPr>
        <w:pStyle w:val="Heading1"/>
        <w:jc w:val="center"/>
      </w:pPr>
      <w:bookmarkStart w:id="386" w:name="_Toc710377626"/>
      <w:bookmarkStart w:id="387" w:name="_Toc203377343"/>
      <w:r>
        <w:lastRenderedPageBreak/>
        <w:t>TWC Acronym List</w:t>
      </w:r>
      <w:bookmarkEnd w:id="386"/>
      <w:bookmarkEnd w:id="387"/>
    </w:p>
    <w:tbl>
      <w:tblPr>
        <w:tblStyle w:val="TableGrid1"/>
        <w:tblW w:w="9330" w:type="dxa"/>
        <w:tblCellMar>
          <w:top w:w="58" w:type="dxa"/>
          <w:bottom w:w="58" w:type="dxa"/>
        </w:tblCellMar>
        <w:tblLook w:val="04A0" w:firstRow="1" w:lastRow="0" w:firstColumn="1" w:lastColumn="0" w:noHBand="0" w:noVBand="1"/>
      </w:tblPr>
      <w:tblGrid>
        <w:gridCol w:w="3765"/>
        <w:gridCol w:w="5565"/>
      </w:tblGrid>
      <w:tr w:rsidR="00DE4361" w:rsidRPr="00DE4361" w14:paraId="3CA32BDA" w14:textId="77777777" w:rsidTr="005F5055">
        <w:trPr>
          <w:trHeight w:val="300"/>
          <w:tblHeader/>
        </w:trPr>
        <w:tc>
          <w:tcPr>
            <w:tcW w:w="3765" w:type="dxa"/>
            <w:shd w:val="clear" w:color="auto" w:fill="B8CCE4" w:themeFill="accent1" w:themeFillTint="66"/>
            <w:vAlign w:val="center"/>
            <w:hideMark/>
          </w:tcPr>
          <w:p w14:paraId="13A9D8DB" w14:textId="0074D299" w:rsidR="00DE4361" w:rsidRPr="00DE4361" w:rsidRDefault="00DE4361" w:rsidP="00C1503E">
            <w:pPr>
              <w:pStyle w:val="TableHeaders"/>
            </w:pPr>
            <w:r w:rsidRPr="00DE4361">
              <w:t>Acronym</w:t>
            </w:r>
          </w:p>
        </w:tc>
        <w:tc>
          <w:tcPr>
            <w:tcW w:w="5565" w:type="dxa"/>
            <w:shd w:val="clear" w:color="auto" w:fill="B8CCE4" w:themeFill="accent1" w:themeFillTint="66"/>
            <w:vAlign w:val="center"/>
            <w:hideMark/>
          </w:tcPr>
          <w:p w14:paraId="75F11442" w14:textId="1CBFDE66" w:rsidR="00DE4361" w:rsidRPr="00DE4361" w:rsidRDefault="00DE4361" w:rsidP="00C1503E">
            <w:pPr>
              <w:pStyle w:val="TableHeaders"/>
            </w:pPr>
            <w:r w:rsidRPr="00DE4361">
              <w:t>Name</w:t>
            </w:r>
          </w:p>
        </w:tc>
      </w:tr>
      <w:tr w:rsidR="00DE4361" w:rsidRPr="00DE4361" w14:paraId="64464E6F" w14:textId="77777777" w:rsidTr="000A1064">
        <w:trPr>
          <w:trHeight w:val="300"/>
        </w:trPr>
        <w:tc>
          <w:tcPr>
            <w:tcW w:w="3765" w:type="dxa"/>
            <w:vAlign w:val="center"/>
            <w:hideMark/>
          </w:tcPr>
          <w:p w14:paraId="5AD6180B" w14:textId="77777777" w:rsidR="00DE4361" w:rsidRPr="00DE4361" w:rsidRDefault="00DE4361" w:rsidP="00330188">
            <w:pPr>
              <w:pStyle w:val="TableText"/>
            </w:pPr>
            <w:r w:rsidRPr="00DE4361">
              <w:t>AAA </w:t>
            </w:r>
          </w:p>
        </w:tc>
        <w:tc>
          <w:tcPr>
            <w:tcW w:w="5565" w:type="dxa"/>
            <w:vAlign w:val="center"/>
            <w:hideMark/>
          </w:tcPr>
          <w:p w14:paraId="626553A2" w14:textId="042B0404" w:rsidR="00DE4361" w:rsidRPr="00DE4361" w:rsidRDefault="00DE4361" w:rsidP="00330188">
            <w:pPr>
              <w:pStyle w:val="TableText"/>
            </w:pPr>
            <w:r w:rsidRPr="00DE4361">
              <w:t>Area Agencies on Aging</w:t>
            </w:r>
          </w:p>
        </w:tc>
      </w:tr>
      <w:tr w:rsidR="00DE4361" w:rsidRPr="00DE4361" w14:paraId="3F461C62" w14:textId="77777777" w:rsidTr="000A1064">
        <w:trPr>
          <w:trHeight w:val="300"/>
        </w:trPr>
        <w:tc>
          <w:tcPr>
            <w:tcW w:w="3765" w:type="dxa"/>
            <w:vAlign w:val="center"/>
            <w:hideMark/>
          </w:tcPr>
          <w:p w14:paraId="783BD755" w14:textId="77777777" w:rsidR="00DE4361" w:rsidRPr="00DE4361" w:rsidRDefault="00DE4361" w:rsidP="00330188">
            <w:pPr>
              <w:pStyle w:val="TableText"/>
            </w:pPr>
            <w:r w:rsidRPr="00DE4361">
              <w:t>ACF </w:t>
            </w:r>
          </w:p>
        </w:tc>
        <w:tc>
          <w:tcPr>
            <w:tcW w:w="5565" w:type="dxa"/>
            <w:vAlign w:val="center"/>
            <w:hideMark/>
          </w:tcPr>
          <w:p w14:paraId="2AC0BE02" w14:textId="0145CE58" w:rsidR="00DE4361" w:rsidRPr="00DE4361" w:rsidRDefault="00DE4361" w:rsidP="00330188">
            <w:pPr>
              <w:pStyle w:val="TableText"/>
            </w:pPr>
            <w:r w:rsidRPr="00DE4361">
              <w:t>Administration for Children and Families</w:t>
            </w:r>
          </w:p>
        </w:tc>
      </w:tr>
      <w:tr w:rsidR="00DE4361" w:rsidRPr="00DE4361" w14:paraId="247CB6B6" w14:textId="77777777" w:rsidTr="000A1064">
        <w:trPr>
          <w:trHeight w:val="300"/>
        </w:trPr>
        <w:tc>
          <w:tcPr>
            <w:tcW w:w="3765" w:type="dxa"/>
            <w:vAlign w:val="center"/>
            <w:hideMark/>
          </w:tcPr>
          <w:p w14:paraId="7FBBA447" w14:textId="77777777" w:rsidR="00DE4361" w:rsidRPr="00DE4361" w:rsidRDefault="00DE4361" w:rsidP="00330188">
            <w:pPr>
              <w:pStyle w:val="TableText"/>
            </w:pPr>
            <w:r w:rsidRPr="00DE4361">
              <w:t>ADA </w:t>
            </w:r>
          </w:p>
        </w:tc>
        <w:tc>
          <w:tcPr>
            <w:tcW w:w="5565" w:type="dxa"/>
            <w:vAlign w:val="center"/>
            <w:hideMark/>
          </w:tcPr>
          <w:p w14:paraId="5C9A3F56" w14:textId="6E09C4FB" w:rsidR="00DE4361" w:rsidRPr="00DE4361" w:rsidRDefault="00DE4361" w:rsidP="00330188">
            <w:pPr>
              <w:pStyle w:val="TableText"/>
            </w:pPr>
            <w:r w:rsidRPr="00DE4361">
              <w:t>Americans with Disabilities Act</w:t>
            </w:r>
          </w:p>
        </w:tc>
      </w:tr>
      <w:tr w:rsidR="00DE4361" w:rsidRPr="00DE4361" w14:paraId="3B02613F" w14:textId="77777777" w:rsidTr="000A1064">
        <w:trPr>
          <w:trHeight w:val="300"/>
        </w:trPr>
        <w:tc>
          <w:tcPr>
            <w:tcW w:w="3765" w:type="dxa"/>
            <w:vAlign w:val="center"/>
            <w:hideMark/>
          </w:tcPr>
          <w:p w14:paraId="5F7A303E" w14:textId="77777777" w:rsidR="00DE4361" w:rsidRPr="00DE4361" w:rsidRDefault="00DE4361" w:rsidP="00330188">
            <w:pPr>
              <w:pStyle w:val="TableText"/>
            </w:pPr>
            <w:r w:rsidRPr="00DE4361">
              <w:t>AEL </w:t>
            </w:r>
          </w:p>
        </w:tc>
        <w:tc>
          <w:tcPr>
            <w:tcW w:w="5565" w:type="dxa"/>
            <w:vAlign w:val="center"/>
            <w:hideMark/>
          </w:tcPr>
          <w:p w14:paraId="6D99A957" w14:textId="07D6C82D" w:rsidR="00DE4361" w:rsidRPr="00DE4361" w:rsidRDefault="00DE4361" w:rsidP="00330188">
            <w:pPr>
              <w:pStyle w:val="TableText"/>
            </w:pPr>
            <w:r w:rsidRPr="00DE4361">
              <w:t>Adult Education and Literacy</w:t>
            </w:r>
          </w:p>
        </w:tc>
      </w:tr>
      <w:tr w:rsidR="00DE4361" w:rsidRPr="00DE4361" w14:paraId="74003CB9" w14:textId="77777777" w:rsidTr="000A1064">
        <w:trPr>
          <w:trHeight w:val="300"/>
        </w:trPr>
        <w:tc>
          <w:tcPr>
            <w:tcW w:w="3765" w:type="dxa"/>
            <w:vAlign w:val="center"/>
            <w:hideMark/>
          </w:tcPr>
          <w:p w14:paraId="6559846D" w14:textId="77777777" w:rsidR="00DE4361" w:rsidRPr="00DE4361" w:rsidRDefault="00DE4361" w:rsidP="00330188">
            <w:pPr>
              <w:pStyle w:val="TableText"/>
            </w:pPr>
            <w:r w:rsidRPr="00DE4361">
              <w:t>AI </w:t>
            </w:r>
          </w:p>
        </w:tc>
        <w:tc>
          <w:tcPr>
            <w:tcW w:w="5565" w:type="dxa"/>
            <w:vAlign w:val="center"/>
            <w:hideMark/>
          </w:tcPr>
          <w:p w14:paraId="363A41EF" w14:textId="55CA1015" w:rsidR="00DE4361" w:rsidRPr="00DE4361" w:rsidRDefault="00DE4361" w:rsidP="00330188">
            <w:pPr>
              <w:pStyle w:val="TableText"/>
            </w:pPr>
            <w:r w:rsidRPr="00DE4361">
              <w:t>Artificial Intelligence</w:t>
            </w:r>
          </w:p>
        </w:tc>
      </w:tr>
      <w:tr w:rsidR="00DE4361" w:rsidRPr="00DE4361" w14:paraId="79C3B450" w14:textId="77777777" w:rsidTr="000A1064">
        <w:trPr>
          <w:trHeight w:val="300"/>
        </w:trPr>
        <w:tc>
          <w:tcPr>
            <w:tcW w:w="3765" w:type="dxa"/>
            <w:vAlign w:val="center"/>
            <w:hideMark/>
          </w:tcPr>
          <w:p w14:paraId="48266950" w14:textId="77777777" w:rsidR="00DE4361" w:rsidRPr="00DE4361" w:rsidRDefault="00DE4361" w:rsidP="00330188">
            <w:pPr>
              <w:pStyle w:val="TableText"/>
            </w:pPr>
            <w:r w:rsidRPr="00DE4361">
              <w:t>ARPA </w:t>
            </w:r>
          </w:p>
        </w:tc>
        <w:tc>
          <w:tcPr>
            <w:tcW w:w="5565" w:type="dxa"/>
            <w:vAlign w:val="center"/>
            <w:hideMark/>
          </w:tcPr>
          <w:p w14:paraId="04A2EF51" w14:textId="43D7D623" w:rsidR="00DE4361" w:rsidRPr="00DE4361" w:rsidRDefault="00DE4361" w:rsidP="00330188">
            <w:pPr>
              <w:pStyle w:val="TableText"/>
            </w:pPr>
            <w:r w:rsidRPr="00DE4361">
              <w:t>American Rescue Plan Act</w:t>
            </w:r>
          </w:p>
        </w:tc>
      </w:tr>
      <w:tr w:rsidR="00DE4361" w:rsidRPr="00DE4361" w14:paraId="3B93712B" w14:textId="77777777" w:rsidTr="000A1064">
        <w:trPr>
          <w:trHeight w:val="300"/>
        </w:trPr>
        <w:tc>
          <w:tcPr>
            <w:tcW w:w="3765" w:type="dxa"/>
            <w:vAlign w:val="center"/>
            <w:hideMark/>
          </w:tcPr>
          <w:p w14:paraId="63E9629D" w14:textId="77777777" w:rsidR="00DE4361" w:rsidRPr="00DE4361" w:rsidRDefault="00DE4361" w:rsidP="00330188">
            <w:pPr>
              <w:pStyle w:val="TableText"/>
            </w:pPr>
            <w:r w:rsidRPr="00DE4361">
              <w:t>ATCP </w:t>
            </w:r>
          </w:p>
        </w:tc>
        <w:tc>
          <w:tcPr>
            <w:tcW w:w="5565" w:type="dxa"/>
            <w:vAlign w:val="center"/>
            <w:hideMark/>
          </w:tcPr>
          <w:p w14:paraId="0B78FD20" w14:textId="4A3ED4C1" w:rsidR="00DE4361" w:rsidRPr="00DE4361" w:rsidRDefault="00DE4361" w:rsidP="00330188">
            <w:pPr>
              <w:pStyle w:val="TableText"/>
            </w:pPr>
            <w:r w:rsidRPr="00DE4361">
              <w:t>Assessor Training and Certification Program</w:t>
            </w:r>
          </w:p>
        </w:tc>
      </w:tr>
      <w:tr w:rsidR="00DE4361" w:rsidRPr="00DE4361" w14:paraId="3DE27CA5" w14:textId="77777777" w:rsidTr="000A1064">
        <w:trPr>
          <w:trHeight w:val="300"/>
        </w:trPr>
        <w:tc>
          <w:tcPr>
            <w:tcW w:w="3765" w:type="dxa"/>
            <w:vAlign w:val="center"/>
            <w:hideMark/>
          </w:tcPr>
          <w:p w14:paraId="22694F79" w14:textId="77777777" w:rsidR="00DE4361" w:rsidRPr="00DE4361" w:rsidRDefault="00DE4361" w:rsidP="00330188">
            <w:pPr>
              <w:pStyle w:val="TableText"/>
            </w:pPr>
            <w:r w:rsidRPr="00DE4361">
              <w:t>BAM </w:t>
            </w:r>
          </w:p>
        </w:tc>
        <w:tc>
          <w:tcPr>
            <w:tcW w:w="5565" w:type="dxa"/>
            <w:vAlign w:val="center"/>
            <w:hideMark/>
          </w:tcPr>
          <w:p w14:paraId="3D1A880F" w14:textId="6774DA5C" w:rsidR="00DE4361" w:rsidRPr="00DE4361" w:rsidRDefault="00DE4361" w:rsidP="00330188">
            <w:pPr>
              <w:pStyle w:val="TableText"/>
            </w:pPr>
            <w:r w:rsidRPr="00DE4361">
              <w:t>Benefits Accuracy Measurement</w:t>
            </w:r>
          </w:p>
        </w:tc>
      </w:tr>
      <w:tr w:rsidR="00DE4361" w:rsidRPr="00DE4361" w14:paraId="3C1E2579" w14:textId="77777777" w:rsidTr="000A1064">
        <w:trPr>
          <w:trHeight w:val="300"/>
        </w:trPr>
        <w:tc>
          <w:tcPr>
            <w:tcW w:w="3765" w:type="dxa"/>
            <w:vAlign w:val="center"/>
            <w:hideMark/>
          </w:tcPr>
          <w:p w14:paraId="34D48D93" w14:textId="77777777" w:rsidR="00DE4361" w:rsidRPr="00DE4361" w:rsidRDefault="00DE4361" w:rsidP="00330188">
            <w:pPr>
              <w:pStyle w:val="TableText"/>
            </w:pPr>
            <w:r w:rsidRPr="00DE4361">
              <w:t>BCY </w:t>
            </w:r>
          </w:p>
        </w:tc>
        <w:tc>
          <w:tcPr>
            <w:tcW w:w="5565" w:type="dxa"/>
            <w:vAlign w:val="center"/>
            <w:hideMark/>
          </w:tcPr>
          <w:p w14:paraId="59480CC1" w14:textId="08E9EAFE" w:rsidR="00DE4361" w:rsidRPr="00DE4361" w:rsidRDefault="00DE4361" w:rsidP="00330188">
            <w:pPr>
              <w:pStyle w:val="TableText"/>
            </w:pPr>
            <w:r w:rsidRPr="00DE4361">
              <w:t>Board Contract Year</w:t>
            </w:r>
          </w:p>
        </w:tc>
      </w:tr>
      <w:tr w:rsidR="00DE4361" w:rsidRPr="00DE4361" w14:paraId="14693EE6" w14:textId="77777777" w:rsidTr="000A1064">
        <w:trPr>
          <w:trHeight w:val="300"/>
        </w:trPr>
        <w:tc>
          <w:tcPr>
            <w:tcW w:w="3765" w:type="dxa"/>
            <w:vAlign w:val="center"/>
            <w:hideMark/>
          </w:tcPr>
          <w:p w14:paraId="6B90793B" w14:textId="77777777" w:rsidR="00DE4361" w:rsidRPr="00DE4361" w:rsidRDefault="00DE4361" w:rsidP="00330188">
            <w:pPr>
              <w:pStyle w:val="TableText"/>
            </w:pPr>
            <w:r w:rsidRPr="00DE4361">
              <w:t>BET </w:t>
            </w:r>
          </w:p>
        </w:tc>
        <w:tc>
          <w:tcPr>
            <w:tcW w:w="5565" w:type="dxa"/>
            <w:vAlign w:val="center"/>
            <w:hideMark/>
          </w:tcPr>
          <w:p w14:paraId="2087CA51" w14:textId="10E8D783" w:rsidR="00DE4361" w:rsidRPr="00DE4361" w:rsidRDefault="00DE4361" w:rsidP="00330188">
            <w:pPr>
              <w:pStyle w:val="TableText"/>
            </w:pPr>
            <w:r w:rsidRPr="00DE4361">
              <w:t>Business Enterprises of Texas</w:t>
            </w:r>
          </w:p>
        </w:tc>
      </w:tr>
      <w:tr w:rsidR="00DE4361" w:rsidRPr="00DE4361" w14:paraId="32EDE056" w14:textId="77777777" w:rsidTr="000A1064">
        <w:trPr>
          <w:trHeight w:val="300"/>
        </w:trPr>
        <w:tc>
          <w:tcPr>
            <w:tcW w:w="3765" w:type="dxa"/>
            <w:vAlign w:val="center"/>
            <w:hideMark/>
          </w:tcPr>
          <w:p w14:paraId="249EBD3F" w14:textId="77777777" w:rsidR="00DE4361" w:rsidRPr="00DE4361" w:rsidRDefault="00DE4361" w:rsidP="00330188">
            <w:pPr>
              <w:pStyle w:val="TableText"/>
            </w:pPr>
            <w:r w:rsidRPr="00DE4361">
              <w:t>BLS </w:t>
            </w:r>
          </w:p>
        </w:tc>
        <w:tc>
          <w:tcPr>
            <w:tcW w:w="5565" w:type="dxa"/>
            <w:vAlign w:val="center"/>
            <w:hideMark/>
          </w:tcPr>
          <w:p w14:paraId="78CEDC7F" w14:textId="4FA069C5" w:rsidR="00DE4361" w:rsidRPr="00DE4361" w:rsidRDefault="00DE4361" w:rsidP="00330188">
            <w:pPr>
              <w:pStyle w:val="TableText"/>
            </w:pPr>
            <w:r w:rsidRPr="00DE4361">
              <w:t>Bureau of Labor Statistics</w:t>
            </w:r>
          </w:p>
        </w:tc>
      </w:tr>
      <w:tr w:rsidR="00DE4361" w:rsidRPr="00DE4361" w14:paraId="42D45329" w14:textId="77777777" w:rsidTr="000A1064">
        <w:trPr>
          <w:trHeight w:val="300"/>
        </w:trPr>
        <w:tc>
          <w:tcPr>
            <w:tcW w:w="3765" w:type="dxa"/>
            <w:vAlign w:val="center"/>
            <w:hideMark/>
          </w:tcPr>
          <w:p w14:paraId="6AC401CE" w14:textId="77777777" w:rsidR="00DE4361" w:rsidRPr="00DE4361" w:rsidRDefault="00DE4361" w:rsidP="00330188">
            <w:pPr>
              <w:pStyle w:val="TableText"/>
            </w:pPr>
            <w:r w:rsidRPr="00DE4361">
              <w:t>BPC </w:t>
            </w:r>
          </w:p>
        </w:tc>
        <w:tc>
          <w:tcPr>
            <w:tcW w:w="5565" w:type="dxa"/>
            <w:vAlign w:val="center"/>
            <w:hideMark/>
          </w:tcPr>
          <w:p w14:paraId="7C862F5F" w14:textId="580698B6" w:rsidR="00DE4361" w:rsidRPr="00DE4361" w:rsidRDefault="00DE4361" w:rsidP="00330188">
            <w:pPr>
              <w:pStyle w:val="TableText"/>
            </w:pPr>
            <w:r w:rsidRPr="00DE4361">
              <w:t>Benefit Payment Control</w:t>
            </w:r>
          </w:p>
        </w:tc>
      </w:tr>
      <w:tr w:rsidR="00DE4361" w:rsidRPr="00DE4361" w14:paraId="506B9564" w14:textId="77777777" w:rsidTr="000A1064">
        <w:trPr>
          <w:trHeight w:val="300"/>
        </w:trPr>
        <w:tc>
          <w:tcPr>
            <w:tcW w:w="3765" w:type="dxa"/>
            <w:vAlign w:val="center"/>
            <w:hideMark/>
          </w:tcPr>
          <w:p w14:paraId="66872B47" w14:textId="77777777" w:rsidR="00DE4361" w:rsidRPr="00DE4361" w:rsidRDefault="00DE4361" w:rsidP="00330188">
            <w:pPr>
              <w:pStyle w:val="TableText"/>
            </w:pPr>
            <w:r w:rsidRPr="00DE4361">
              <w:t>BTQ </w:t>
            </w:r>
          </w:p>
        </w:tc>
        <w:tc>
          <w:tcPr>
            <w:tcW w:w="5565" w:type="dxa"/>
            <w:vAlign w:val="center"/>
            <w:hideMark/>
          </w:tcPr>
          <w:p w14:paraId="6A942565" w14:textId="101D5869" w:rsidR="00DE4361" w:rsidRPr="00DE4361" w:rsidRDefault="00DE4361" w:rsidP="00330188">
            <w:pPr>
              <w:pStyle w:val="TableText"/>
            </w:pPr>
            <w:r w:rsidRPr="00DE4361">
              <w:t>Benefits Timeliness and Quality</w:t>
            </w:r>
          </w:p>
        </w:tc>
      </w:tr>
      <w:tr w:rsidR="00DE4361" w:rsidRPr="00DE4361" w14:paraId="57874B21" w14:textId="77777777" w:rsidTr="000A1064">
        <w:trPr>
          <w:trHeight w:val="300"/>
        </w:trPr>
        <w:tc>
          <w:tcPr>
            <w:tcW w:w="3765" w:type="dxa"/>
            <w:vAlign w:val="center"/>
            <w:hideMark/>
          </w:tcPr>
          <w:p w14:paraId="4A4F0747" w14:textId="77777777" w:rsidR="00DE4361" w:rsidRPr="00DE4361" w:rsidRDefault="00DE4361" w:rsidP="00330188">
            <w:pPr>
              <w:pStyle w:val="TableText"/>
            </w:pPr>
            <w:r w:rsidRPr="00DE4361">
              <w:t>CAE </w:t>
            </w:r>
          </w:p>
        </w:tc>
        <w:tc>
          <w:tcPr>
            <w:tcW w:w="5565" w:type="dxa"/>
            <w:vAlign w:val="center"/>
            <w:hideMark/>
          </w:tcPr>
          <w:p w14:paraId="54D7027D" w14:textId="50D562E6" w:rsidR="00DE4361" w:rsidRPr="00DE4361" w:rsidRDefault="00DE4361" w:rsidP="00330188">
            <w:pPr>
              <w:pStyle w:val="TableText"/>
            </w:pPr>
            <w:r w:rsidRPr="00DE4361">
              <w:t>Centralized Assessment Entity</w:t>
            </w:r>
          </w:p>
        </w:tc>
      </w:tr>
      <w:tr w:rsidR="00DE4361" w:rsidRPr="00DE4361" w14:paraId="5E168CD9" w14:textId="77777777" w:rsidTr="000A1064">
        <w:trPr>
          <w:trHeight w:val="300"/>
        </w:trPr>
        <w:tc>
          <w:tcPr>
            <w:tcW w:w="3765" w:type="dxa"/>
            <w:vAlign w:val="center"/>
            <w:hideMark/>
          </w:tcPr>
          <w:p w14:paraId="7C5A0308" w14:textId="77777777" w:rsidR="00DE4361" w:rsidRPr="00DE4361" w:rsidRDefault="00DE4361" w:rsidP="00330188">
            <w:pPr>
              <w:pStyle w:val="TableText"/>
            </w:pPr>
            <w:r w:rsidRPr="00DE4361">
              <w:t>CARES </w:t>
            </w:r>
          </w:p>
        </w:tc>
        <w:tc>
          <w:tcPr>
            <w:tcW w:w="5565" w:type="dxa"/>
            <w:vAlign w:val="center"/>
            <w:hideMark/>
          </w:tcPr>
          <w:p w14:paraId="24334624" w14:textId="253FF895" w:rsidR="00DE4361" w:rsidRPr="00DE4361" w:rsidRDefault="00DE4361" w:rsidP="00330188">
            <w:pPr>
              <w:pStyle w:val="TableText"/>
            </w:pPr>
            <w:r w:rsidRPr="00DE4361">
              <w:t>Coronavirus Aid, Relief and Economic Security Act</w:t>
            </w:r>
          </w:p>
        </w:tc>
      </w:tr>
      <w:tr w:rsidR="00DE4361" w:rsidRPr="00DE4361" w14:paraId="69D11D67" w14:textId="77777777" w:rsidTr="000A1064">
        <w:trPr>
          <w:trHeight w:val="300"/>
        </w:trPr>
        <w:tc>
          <w:tcPr>
            <w:tcW w:w="3765" w:type="dxa"/>
            <w:vAlign w:val="center"/>
            <w:hideMark/>
          </w:tcPr>
          <w:p w14:paraId="22263C66" w14:textId="77777777" w:rsidR="00DE4361" w:rsidRPr="00DE4361" w:rsidRDefault="00DE4361" w:rsidP="00330188">
            <w:pPr>
              <w:pStyle w:val="TableText"/>
            </w:pPr>
            <w:r w:rsidRPr="00DE4361">
              <w:t>CCBN </w:t>
            </w:r>
          </w:p>
        </w:tc>
        <w:tc>
          <w:tcPr>
            <w:tcW w:w="5565" w:type="dxa"/>
            <w:vAlign w:val="center"/>
            <w:hideMark/>
          </w:tcPr>
          <w:p w14:paraId="2FE7C72F" w14:textId="22303C9B" w:rsidR="00DE4361" w:rsidRPr="00DE4361" w:rsidRDefault="00DE4361" w:rsidP="00330188">
            <w:pPr>
              <w:pStyle w:val="TableText"/>
            </w:pPr>
            <w:r w:rsidRPr="00DE4361">
              <w:t>Child Care by the Numbers</w:t>
            </w:r>
          </w:p>
        </w:tc>
      </w:tr>
      <w:tr w:rsidR="00DE4361" w:rsidRPr="00DE4361" w14:paraId="1BEE9917" w14:textId="77777777" w:rsidTr="000A1064">
        <w:trPr>
          <w:trHeight w:val="300"/>
        </w:trPr>
        <w:tc>
          <w:tcPr>
            <w:tcW w:w="3765" w:type="dxa"/>
            <w:vAlign w:val="center"/>
            <w:hideMark/>
          </w:tcPr>
          <w:p w14:paraId="1661F5A0" w14:textId="77777777" w:rsidR="00DE4361" w:rsidRPr="00DE4361" w:rsidRDefault="00DE4361" w:rsidP="00330188">
            <w:pPr>
              <w:pStyle w:val="TableText"/>
            </w:pPr>
            <w:r w:rsidRPr="00DE4361">
              <w:t>CCDBG </w:t>
            </w:r>
          </w:p>
        </w:tc>
        <w:tc>
          <w:tcPr>
            <w:tcW w:w="5565" w:type="dxa"/>
            <w:vAlign w:val="center"/>
            <w:hideMark/>
          </w:tcPr>
          <w:p w14:paraId="4718C29B" w14:textId="2F91BCEF" w:rsidR="00DE4361" w:rsidRPr="00DE4361" w:rsidRDefault="00DE4361" w:rsidP="00330188">
            <w:pPr>
              <w:pStyle w:val="TableText"/>
            </w:pPr>
            <w:r w:rsidRPr="00DE4361">
              <w:t>Child Care and Development Block Grant</w:t>
            </w:r>
          </w:p>
        </w:tc>
      </w:tr>
      <w:tr w:rsidR="00DE4361" w:rsidRPr="00DE4361" w14:paraId="13BB6FF3" w14:textId="77777777" w:rsidTr="000A1064">
        <w:trPr>
          <w:trHeight w:val="300"/>
        </w:trPr>
        <w:tc>
          <w:tcPr>
            <w:tcW w:w="3765" w:type="dxa"/>
            <w:vAlign w:val="center"/>
            <w:hideMark/>
          </w:tcPr>
          <w:p w14:paraId="2B73C699" w14:textId="77777777" w:rsidR="00DE4361" w:rsidRPr="00DE4361" w:rsidRDefault="00DE4361" w:rsidP="00330188">
            <w:pPr>
              <w:pStyle w:val="TableText"/>
            </w:pPr>
            <w:r w:rsidRPr="00DE4361">
              <w:t>CCDF </w:t>
            </w:r>
          </w:p>
        </w:tc>
        <w:tc>
          <w:tcPr>
            <w:tcW w:w="5565" w:type="dxa"/>
            <w:vAlign w:val="center"/>
            <w:hideMark/>
          </w:tcPr>
          <w:p w14:paraId="13969AC0" w14:textId="0509E043" w:rsidR="00DE4361" w:rsidRPr="00DE4361" w:rsidRDefault="00DE4361" w:rsidP="00330188">
            <w:pPr>
              <w:pStyle w:val="TableText"/>
            </w:pPr>
            <w:r w:rsidRPr="00DE4361">
              <w:t>Child Care and Development Fund</w:t>
            </w:r>
          </w:p>
        </w:tc>
      </w:tr>
      <w:tr w:rsidR="00DE4361" w:rsidRPr="00DE4361" w14:paraId="0D316083" w14:textId="77777777" w:rsidTr="000A1064">
        <w:trPr>
          <w:trHeight w:val="300"/>
        </w:trPr>
        <w:tc>
          <w:tcPr>
            <w:tcW w:w="3765" w:type="dxa"/>
            <w:vAlign w:val="center"/>
            <w:hideMark/>
          </w:tcPr>
          <w:p w14:paraId="18C27999" w14:textId="77777777" w:rsidR="00DE4361" w:rsidRPr="00DE4361" w:rsidRDefault="00DE4361" w:rsidP="00330188">
            <w:pPr>
              <w:pStyle w:val="TableText"/>
            </w:pPr>
            <w:r w:rsidRPr="00DE4361">
              <w:t>CCF </w:t>
            </w:r>
          </w:p>
        </w:tc>
        <w:tc>
          <w:tcPr>
            <w:tcW w:w="5565" w:type="dxa"/>
            <w:vAlign w:val="center"/>
            <w:hideMark/>
          </w:tcPr>
          <w:p w14:paraId="77BF9E86" w14:textId="66ED3019" w:rsidR="00DE4361" w:rsidRPr="00DE4361" w:rsidRDefault="00DE4361" w:rsidP="00330188">
            <w:pPr>
              <w:pStyle w:val="TableText"/>
            </w:pPr>
            <w:r w:rsidRPr="00DE4361">
              <w:t>Child Care Fund</w:t>
            </w:r>
          </w:p>
        </w:tc>
      </w:tr>
      <w:tr w:rsidR="00DE4361" w:rsidRPr="00DE4361" w14:paraId="05C35489" w14:textId="77777777" w:rsidTr="000A1064">
        <w:trPr>
          <w:trHeight w:val="300"/>
        </w:trPr>
        <w:tc>
          <w:tcPr>
            <w:tcW w:w="3765" w:type="dxa"/>
            <w:vAlign w:val="center"/>
            <w:hideMark/>
          </w:tcPr>
          <w:p w14:paraId="3A502F5F" w14:textId="77777777" w:rsidR="00DE4361" w:rsidRPr="00DE4361" w:rsidRDefault="00DE4361" w:rsidP="00330188">
            <w:pPr>
              <w:pStyle w:val="TableText"/>
            </w:pPr>
            <w:r w:rsidRPr="00DE4361">
              <w:t>CCIP </w:t>
            </w:r>
          </w:p>
        </w:tc>
        <w:tc>
          <w:tcPr>
            <w:tcW w:w="5565" w:type="dxa"/>
            <w:vAlign w:val="center"/>
            <w:hideMark/>
          </w:tcPr>
          <w:p w14:paraId="313628AD" w14:textId="345B0D0B" w:rsidR="00DE4361" w:rsidRPr="00DE4361" w:rsidRDefault="00DE4361" w:rsidP="00330188">
            <w:pPr>
              <w:pStyle w:val="TableText"/>
            </w:pPr>
            <w:r w:rsidRPr="00DE4361">
              <w:t>Child Care Improper Payment</w:t>
            </w:r>
          </w:p>
        </w:tc>
      </w:tr>
      <w:tr w:rsidR="00DE4361" w:rsidRPr="00DE4361" w14:paraId="24C7B4DB" w14:textId="77777777" w:rsidTr="000A1064">
        <w:trPr>
          <w:trHeight w:val="300"/>
        </w:trPr>
        <w:tc>
          <w:tcPr>
            <w:tcW w:w="3765" w:type="dxa"/>
            <w:vAlign w:val="center"/>
            <w:hideMark/>
          </w:tcPr>
          <w:p w14:paraId="318EBD86" w14:textId="77777777" w:rsidR="00DE4361" w:rsidRPr="00DE4361" w:rsidRDefault="00DE4361" w:rsidP="00330188">
            <w:pPr>
              <w:pStyle w:val="TableText"/>
            </w:pPr>
            <w:r w:rsidRPr="00DE4361">
              <w:t>CCM </w:t>
            </w:r>
          </w:p>
        </w:tc>
        <w:tc>
          <w:tcPr>
            <w:tcW w:w="5565" w:type="dxa"/>
            <w:vAlign w:val="center"/>
            <w:hideMark/>
          </w:tcPr>
          <w:p w14:paraId="4C098888" w14:textId="2410304C" w:rsidR="00DE4361" w:rsidRPr="00DE4361" w:rsidRDefault="00DE4361" w:rsidP="00330188">
            <w:pPr>
              <w:pStyle w:val="TableText"/>
            </w:pPr>
            <w:r w:rsidRPr="00DE4361">
              <w:t>Child Care Match</w:t>
            </w:r>
          </w:p>
        </w:tc>
      </w:tr>
      <w:tr w:rsidR="00DE4361" w:rsidRPr="00DE4361" w14:paraId="0D97437C" w14:textId="77777777" w:rsidTr="000A1064">
        <w:trPr>
          <w:trHeight w:val="300"/>
        </w:trPr>
        <w:tc>
          <w:tcPr>
            <w:tcW w:w="3765" w:type="dxa"/>
            <w:vAlign w:val="center"/>
            <w:hideMark/>
          </w:tcPr>
          <w:p w14:paraId="1C71FB2B" w14:textId="77777777" w:rsidR="00DE4361" w:rsidRPr="00DE4361" w:rsidRDefault="00DE4361" w:rsidP="00330188">
            <w:pPr>
              <w:pStyle w:val="TableText"/>
            </w:pPr>
            <w:r w:rsidRPr="00DE4361">
              <w:t>CCQ </w:t>
            </w:r>
          </w:p>
        </w:tc>
        <w:tc>
          <w:tcPr>
            <w:tcW w:w="5565" w:type="dxa"/>
            <w:vAlign w:val="center"/>
            <w:hideMark/>
          </w:tcPr>
          <w:p w14:paraId="5BBD70A5" w14:textId="1C198A29" w:rsidR="00DE4361" w:rsidRPr="00DE4361" w:rsidRDefault="00DE4361" w:rsidP="00330188">
            <w:pPr>
              <w:pStyle w:val="TableText"/>
            </w:pPr>
            <w:r w:rsidRPr="00DE4361">
              <w:t>Child Care Quality</w:t>
            </w:r>
          </w:p>
        </w:tc>
      </w:tr>
      <w:tr w:rsidR="00DE4361" w:rsidRPr="00DE4361" w14:paraId="77BC8DC4" w14:textId="77777777" w:rsidTr="000A1064">
        <w:trPr>
          <w:trHeight w:val="300"/>
        </w:trPr>
        <w:tc>
          <w:tcPr>
            <w:tcW w:w="3765" w:type="dxa"/>
            <w:vAlign w:val="center"/>
            <w:hideMark/>
          </w:tcPr>
          <w:p w14:paraId="7F04A1D8" w14:textId="77777777" w:rsidR="00DE4361" w:rsidRPr="00DE4361" w:rsidRDefault="00DE4361" w:rsidP="00330188">
            <w:pPr>
              <w:pStyle w:val="TableText"/>
            </w:pPr>
            <w:r w:rsidRPr="00DE4361">
              <w:t>CCR </w:t>
            </w:r>
          </w:p>
        </w:tc>
        <w:tc>
          <w:tcPr>
            <w:tcW w:w="5565" w:type="dxa"/>
            <w:vAlign w:val="center"/>
            <w:hideMark/>
          </w:tcPr>
          <w:p w14:paraId="6FC1C557" w14:textId="1AD6035D" w:rsidR="00DE4361" w:rsidRPr="00DE4361" w:rsidRDefault="00DE4361" w:rsidP="00330188">
            <w:pPr>
              <w:pStyle w:val="TableText"/>
            </w:pPr>
            <w:r w:rsidRPr="00DE4361">
              <w:t>Child Care Regulations</w:t>
            </w:r>
          </w:p>
        </w:tc>
      </w:tr>
      <w:tr w:rsidR="00DE4361" w:rsidRPr="00DE4361" w14:paraId="02D5C021" w14:textId="77777777" w:rsidTr="000A1064">
        <w:trPr>
          <w:trHeight w:val="300"/>
        </w:trPr>
        <w:tc>
          <w:tcPr>
            <w:tcW w:w="3765" w:type="dxa"/>
            <w:vAlign w:val="center"/>
            <w:hideMark/>
          </w:tcPr>
          <w:p w14:paraId="17979F74" w14:textId="77777777" w:rsidR="00DE4361" w:rsidRPr="00DE4361" w:rsidRDefault="00DE4361" w:rsidP="00330188">
            <w:pPr>
              <w:pStyle w:val="TableText"/>
            </w:pPr>
            <w:r w:rsidRPr="00DE4361">
              <w:t>CCRC </w:t>
            </w:r>
          </w:p>
        </w:tc>
        <w:tc>
          <w:tcPr>
            <w:tcW w:w="5565" w:type="dxa"/>
            <w:vAlign w:val="center"/>
            <w:hideMark/>
          </w:tcPr>
          <w:p w14:paraId="2ECCD35F" w14:textId="1F4BD0AB" w:rsidR="00DE4361" w:rsidRPr="00DE4361" w:rsidRDefault="00DE4361" w:rsidP="00330188">
            <w:pPr>
              <w:pStyle w:val="TableText"/>
            </w:pPr>
            <w:r w:rsidRPr="00DE4361">
              <w:t>Criss Cole Rehabilitation Center</w:t>
            </w:r>
          </w:p>
        </w:tc>
      </w:tr>
      <w:tr w:rsidR="00DE4361" w:rsidRPr="00DE4361" w14:paraId="237DECDE" w14:textId="77777777" w:rsidTr="000A1064">
        <w:trPr>
          <w:trHeight w:val="300"/>
        </w:trPr>
        <w:tc>
          <w:tcPr>
            <w:tcW w:w="3765" w:type="dxa"/>
            <w:vAlign w:val="center"/>
            <w:hideMark/>
          </w:tcPr>
          <w:p w14:paraId="5D385295" w14:textId="77777777" w:rsidR="00DE4361" w:rsidRPr="00DE4361" w:rsidRDefault="00DE4361" w:rsidP="00330188">
            <w:pPr>
              <w:pStyle w:val="TableText"/>
            </w:pPr>
            <w:r w:rsidRPr="00DE4361">
              <w:t>CCRF </w:t>
            </w:r>
          </w:p>
        </w:tc>
        <w:tc>
          <w:tcPr>
            <w:tcW w:w="5565" w:type="dxa"/>
            <w:vAlign w:val="center"/>
            <w:hideMark/>
          </w:tcPr>
          <w:p w14:paraId="54C4F87E" w14:textId="3A90E758" w:rsidR="00DE4361" w:rsidRPr="00DE4361" w:rsidRDefault="00DE4361" w:rsidP="00330188">
            <w:pPr>
              <w:pStyle w:val="TableText"/>
            </w:pPr>
            <w:r w:rsidRPr="00DE4361">
              <w:t>Child Care Relief Fund</w:t>
            </w:r>
          </w:p>
        </w:tc>
      </w:tr>
      <w:tr w:rsidR="00DE4361" w:rsidRPr="00DE4361" w14:paraId="72D199FF" w14:textId="77777777" w:rsidTr="000A1064">
        <w:trPr>
          <w:trHeight w:val="300"/>
        </w:trPr>
        <w:tc>
          <w:tcPr>
            <w:tcW w:w="3765" w:type="dxa"/>
            <w:vAlign w:val="center"/>
            <w:hideMark/>
          </w:tcPr>
          <w:p w14:paraId="30F4B420" w14:textId="77777777" w:rsidR="00DE4361" w:rsidRPr="00DE4361" w:rsidRDefault="00DE4361" w:rsidP="00330188">
            <w:pPr>
              <w:pStyle w:val="TableText"/>
            </w:pPr>
            <w:r w:rsidRPr="00DE4361">
              <w:t>CCS </w:t>
            </w:r>
          </w:p>
        </w:tc>
        <w:tc>
          <w:tcPr>
            <w:tcW w:w="5565" w:type="dxa"/>
            <w:vAlign w:val="center"/>
            <w:hideMark/>
          </w:tcPr>
          <w:p w14:paraId="36AF014C" w14:textId="6407EFC9" w:rsidR="00DE4361" w:rsidRPr="00DE4361" w:rsidRDefault="00DE4361" w:rsidP="00330188">
            <w:pPr>
              <w:pStyle w:val="TableText"/>
            </w:pPr>
            <w:r w:rsidRPr="00DE4361">
              <w:t>Child Care Services</w:t>
            </w:r>
          </w:p>
        </w:tc>
      </w:tr>
      <w:tr w:rsidR="00DE4361" w:rsidRPr="00DE4361" w14:paraId="71EE36B4" w14:textId="77777777" w:rsidTr="000A1064">
        <w:trPr>
          <w:trHeight w:val="300"/>
        </w:trPr>
        <w:tc>
          <w:tcPr>
            <w:tcW w:w="3765" w:type="dxa"/>
            <w:vAlign w:val="center"/>
            <w:hideMark/>
          </w:tcPr>
          <w:p w14:paraId="6E0DC039" w14:textId="77777777" w:rsidR="00DE4361" w:rsidRPr="00DE4361" w:rsidRDefault="00DE4361" w:rsidP="00330188">
            <w:pPr>
              <w:pStyle w:val="TableText"/>
            </w:pPr>
            <w:r w:rsidRPr="00DE4361">
              <w:t>CDR </w:t>
            </w:r>
          </w:p>
        </w:tc>
        <w:tc>
          <w:tcPr>
            <w:tcW w:w="5565" w:type="dxa"/>
            <w:vAlign w:val="center"/>
            <w:hideMark/>
          </w:tcPr>
          <w:p w14:paraId="20943CD3" w14:textId="1F86E38A" w:rsidR="00DE4361" w:rsidRPr="00DE4361" w:rsidRDefault="00DE4361" w:rsidP="00330188">
            <w:pPr>
              <w:pStyle w:val="TableText"/>
            </w:pPr>
            <w:r w:rsidRPr="00DE4361">
              <w:t>Cash Draw and Expenditure Reporting</w:t>
            </w:r>
          </w:p>
        </w:tc>
      </w:tr>
      <w:tr w:rsidR="00DE4361" w:rsidRPr="00DE4361" w14:paraId="325D1C7F" w14:textId="77777777" w:rsidTr="000A1064">
        <w:trPr>
          <w:trHeight w:val="300"/>
        </w:trPr>
        <w:tc>
          <w:tcPr>
            <w:tcW w:w="3765" w:type="dxa"/>
            <w:vAlign w:val="center"/>
            <w:hideMark/>
          </w:tcPr>
          <w:p w14:paraId="5AB57F3D" w14:textId="77777777" w:rsidR="00DE4361" w:rsidRPr="00DE4361" w:rsidRDefault="00DE4361" w:rsidP="00330188">
            <w:pPr>
              <w:pStyle w:val="TableText"/>
            </w:pPr>
            <w:r w:rsidRPr="00DE4361">
              <w:t>CFR </w:t>
            </w:r>
          </w:p>
        </w:tc>
        <w:tc>
          <w:tcPr>
            <w:tcW w:w="5565" w:type="dxa"/>
            <w:vAlign w:val="center"/>
            <w:hideMark/>
          </w:tcPr>
          <w:p w14:paraId="7FDF3E11" w14:textId="14D3DFBB" w:rsidR="00DE4361" w:rsidRPr="00DE4361" w:rsidRDefault="00DE4361" w:rsidP="00330188">
            <w:pPr>
              <w:pStyle w:val="TableText"/>
            </w:pPr>
            <w:r w:rsidRPr="00DE4361">
              <w:t>Code of Federal Regulation</w:t>
            </w:r>
          </w:p>
        </w:tc>
      </w:tr>
      <w:tr w:rsidR="00DE4361" w:rsidRPr="00DE4361" w14:paraId="54187EA6" w14:textId="77777777" w:rsidTr="000A1064">
        <w:trPr>
          <w:trHeight w:val="300"/>
        </w:trPr>
        <w:tc>
          <w:tcPr>
            <w:tcW w:w="3765" w:type="dxa"/>
            <w:vAlign w:val="center"/>
            <w:hideMark/>
          </w:tcPr>
          <w:p w14:paraId="391AF39A" w14:textId="77777777" w:rsidR="00DE4361" w:rsidRPr="00DE4361" w:rsidRDefault="00DE4361" w:rsidP="00330188">
            <w:pPr>
              <w:pStyle w:val="TableText"/>
            </w:pPr>
            <w:r w:rsidRPr="00DE4361">
              <w:lastRenderedPageBreak/>
              <w:t>CLI </w:t>
            </w:r>
          </w:p>
        </w:tc>
        <w:tc>
          <w:tcPr>
            <w:tcW w:w="5565" w:type="dxa"/>
            <w:vAlign w:val="center"/>
            <w:hideMark/>
          </w:tcPr>
          <w:p w14:paraId="5A002F03" w14:textId="1F3ABE0F" w:rsidR="00DE4361" w:rsidRPr="00DE4361" w:rsidRDefault="00DE4361" w:rsidP="00330188">
            <w:pPr>
              <w:pStyle w:val="TableText"/>
            </w:pPr>
            <w:r w:rsidRPr="00DE4361">
              <w:t>Children Learning Institute</w:t>
            </w:r>
          </w:p>
        </w:tc>
      </w:tr>
      <w:tr w:rsidR="00DE4361" w:rsidRPr="00DE4361" w14:paraId="06FB7E63" w14:textId="77777777" w:rsidTr="000A1064">
        <w:trPr>
          <w:trHeight w:val="300"/>
        </w:trPr>
        <w:tc>
          <w:tcPr>
            <w:tcW w:w="3765" w:type="dxa"/>
            <w:vAlign w:val="center"/>
            <w:hideMark/>
          </w:tcPr>
          <w:p w14:paraId="4ABF8A1C" w14:textId="77777777" w:rsidR="00DE4361" w:rsidRPr="00DE4361" w:rsidRDefault="00DE4361" w:rsidP="00330188">
            <w:pPr>
              <w:pStyle w:val="TableText"/>
            </w:pPr>
            <w:r w:rsidRPr="00DE4361">
              <w:t>COOP </w:t>
            </w:r>
          </w:p>
        </w:tc>
        <w:tc>
          <w:tcPr>
            <w:tcW w:w="5565" w:type="dxa"/>
            <w:vAlign w:val="center"/>
            <w:hideMark/>
          </w:tcPr>
          <w:p w14:paraId="31222BEA" w14:textId="2B9A16F9" w:rsidR="00DE4361" w:rsidRPr="00DE4361" w:rsidRDefault="00DE4361" w:rsidP="00330188">
            <w:pPr>
              <w:pStyle w:val="TableText"/>
            </w:pPr>
            <w:r w:rsidRPr="00DE4361">
              <w:t>Continuity of Operations</w:t>
            </w:r>
          </w:p>
        </w:tc>
      </w:tr>
      <w:tr w:rsidR="00DE4361" w:rsidRPr="00DE4361" w14:paraId="4E0785D1" w14:textId="77777777" w:rsidTr="000A1064">
        <w:trPr>
          <w:trHeight w:val="300"/>
        </w:trPr>
        <w:tc>
          <w:tcPr>
            <w:tcW w:w="3765" w:type="dxa"/>
            <w:vAlign w:val="center"/>
            <w:hideMark/>
          </w:tcPr>
          <w:p w14:paraId="792C4F4A" w14:textId="77777777" w:rsidR="00DE4361" w:rsidRPr="00DE4361" w:rsidRDefault="00DE4361" w:rsidP="00330188">
            <w:pPr>
              <w:pStyle w:val="TableText"/>
            </w:pPr>
            <w:r w:rsidRPr="00DE4361">
              <w:t>COVID-19 </w:t>
            </w:r>
          </w:p>
        </w:tc>
        <w:tc>
          <w:tcPr>
            <w:tcW w:w="5565" w:type="dxa"/>
            <w:vAlign w:val="center"/>
            <w:hideMark/>
          </w:tcPr>
          <w:p w14:paraId="33EAB3FB" w14:textId="517019E9" w:rsidR="00DE4361" w:rsidRPr="00DE4361" w:rsidRDefault="00DE4361" w:rsidP="00330188">
            <w:pPr>
              <w:pStyle w:val="TableText"/>
            </w:pPr>
            <w:r w:rsidRPr="00DE4361">
              <w:t>Coronavirus Disease 2019</w:t>
            </w:r>
          </w:p>
        </w:tc>
      </w:tr>
      <w:tr w:rsidR="00DE4361" w:rsidRPr="00DE4361" w14:paraId="34B9F6CE" w14:textId="77777777" w:rsidTr="000A1064">
        <w:trPr>
          <w:trHeight w:val="300"/>
        </w:trPr>
        <w:tc>
          <w:tcPr>
            <w:tcW w:w="3765" w:type="dxa"/>
            <w:vAlign w:val="center"/>
            <w:hideMark/>
          </w:tcPr>
          <w:p w14:paraId="11A57068" w14:textId="77777777" w:rsidR="00DE4361" w:rsidRPr="00DE4361" w:rsidRDefault="00DE4361" w:rsidP="00330188">
            <w:pPr>
              <w:pStyle w:val="TableText"/>
            </w:pPr>
            <w:r w:rsidRPr="00DE4361">
              <w:t>CPA </w:t>
            </w:r>
          </w:p>
        </w:tc>
        <w:tc>
          <w:tcPr>
            <w:tcW w:w="5565" w:type="dxa"/>
            <w:vAlign w:val="center"/>
            <w:hideMark/>
          </w:tcPr>
          <w:p w14:paraId="12D5F238" w14:textId="549ED61C" w:rsidR="00DE4361" w:rsidRPr="00DE4361" w:rsidRDefault="00DE4361" w:rsidP="00330188">
            <w:pPr>
              <w:pStyle w:val="TableText"/>
            </w:pPr>
            <w:r w:rsidRPr="00DE4361">
              <w:t>Comptroller of Public Accounts</w:t>
            </w:r>
          </w:p>
        </w:tc>
      </w:tr>
      <w:tr w:rsidR="00DE4361" w:rsidRPr="00DE4361" w14:paraId="227F46E6" w14:textId="77777777" w:rsidTr="000A1064">
        <w:trPr>
          <w:trHeight w:val="300"/>
        </w:trPr>
        <w:tc>
          <w:tcPr>
            <w:tcW w:w="3765" w:type="dxa"/>
            <w:vAlign w:val="center"/>
            <w:hideMark/>
          </w:tcPr>
          <w:p w14:paraId="5D3E19F8" w14:textId="77777777" w:rsidR="00DE4361" w:rsidRPr="00DE4361" w:rsidRDefault="00DE4361" w:rsidP="00330188">
            <w:pPr>
              <w:pStyle w:val="TableText"/>
            </w:pPr>
            <w:r w:rsidRPr="00DE4361">
              <w:t>CPS </w:t>
            </w:r>
          </w:p>
        </w:tc>
        <w:tc>
          <w:tcPr>
            <w:tcW w:w="5565" w:type="dxa"/>
            <w:vAlign w:val="center"/>
            <w:hideMark/>
          </w:tcPr>
          <w:p w14:paraId="327736D5" w14:textId="6C88E189" w:rsidR="00DE4361" w:rsidRPr="00DE4361" w:rsidRDefault="00DE4361" w:rsidP="00330188">
            <w:pPr>
              <w:pStyle w:val="TableText"/>
            </w:pPr>
            <w:r w:rsidRPr="00DE4361">
              <w:t>Child Protective Services</w:t>
            </w:r>
          </w:p>
        </w:tc>
      </w:tr>
      <w:tr w:rsidR="00DE4361" w:rsidRPr="00DE4361" w14:paraId="10A77F0D" w14:textId="77777777" w:rsidTr="000A1064">
        <w:trPr>
          <w:trHeight w:val="300"/>
        </w:trPr>
        <w:tc>
          <w:tcPr>
            <w:tcW w:w="3765" w:type="dxa"/>
            <w:vAlign w:val="center"/>
            <w:hideMark/>
          </w:tcPr>
          <w:p w14:paraId="07CF9DE8" w14:textId="77777777" w:rsidR="00DE4361" w:rsidRPr="00DE4361" w:rsidRDefault="00DE4361" w:rsidP="00330188">
            <w:pPr>
              <w:pStyle w:val="TableText"/>
            </w:pPr>
            <w:r w:rsidRPr="00DE4361">
              <w:t>CQI </w:t>
            </w:r>
          </w:p>
        </w:tc>
        <w:tc>
          <w:tcPr>
            <w:tcW w:w="5565" w:type="dxa"/>
            <w:vAlign w:val="center"/>
            <w:hideMark/>
          </w:tcPr>
          <w:p w14:paraId="42E9712C" w14:textId="5A413E27" w:rsidR="00DE4361" w:rsidRPr="00DE4361" w:rsidRDefault="00DE4361" w:rsidP="00330188">
            <w:pPr>
              <w:pStyle w:val="TableText"/>
            </w:pPr>
            <w:r w:rsidRPr="00DE4361">
              <w:t>Continuous Quality Improvement</w:t>
            </w:r>
          </w:p>
        </w:tc>
      </w:tr>
      <w:tr w:rsidR="00DE4361" w:rsidRPr="00DE4361" w14:paraId="7A557E54" w14:textId="77777777" w:rsidTr="000A1064">
        <w:trPr>
          <w:trHeight w:val="300"/>
        </w:trPr>
        <w:tc>
          <w:tcPr>
            <w:tcW w:w="3765" w:type="dxa"/>
            <w:vAlign w:val="center"/>
            <w:hideMark/>
          </w:tcPr>
          <w:p w14:paraId="04C1D5F1" w14:textId="77777777" w:rsidR="00DE4361" w:rsidRPr="00DE4361" w:rsidRDefault="00DE4361" w:rsidP="00330188">
            <w:pPr>
              <w:pStyle w:val="TableText"/>
            </w:pPr>
            <w:r w:rsidRPr="00DE4361">
              <w:t>CQIP </w:t>
            </w:r>
          </w:p>
        </w:tc>
        <w:tc>
          <w:tcPr>
            <w:tcW w:w="5565" w:type="dxa"/>
            <w:vAlign w:val="center"/>
            <w:hideMark/>
          </w:tcPr>
          <w:p w14:paraId="1B392537" w14:textId="13FA41E7" w:rsidR="00DE4361" w:rsidRPr="00DE4361" w:rsidRDefault="00DE4361" w:rsidP="00330188">
            <w:pPr>
              <w:pStyle w:val="TableText"/>
            </w:pPr>
            <w:r w:rsidRPr="00DE4361">
              <w:t>Continuous Quality Improvement Plan</w:t>
            </w:r>
          </w:p>
        </w:tc>
      </w:tr>
      <w:tr w:rsidR="00DE4361" w:rsidRPr="00DE4361" w14:paraId="5C1CDB0E" w14:textId="77777777" w:rsidTr="000A1064">
        <w:trPr>
          <w:trHeight w:val="300"/>
        </w:trPr>
        <w:tc>
          <w:tcPr>
            <w:tcW w:w="3765" w:type="dxa"/>
            <w:vAlign w:val="center"/>
            <w:hideMark/>
          </w:tcPr>
          <w:p w14:paraId="3CDC4411" w14:textId="77777777" w:rsidR="00DE4361" w:rsidRPr="00DE4361" w:rsidRDefault="00DE4361" w:rsidP="00330188">
            <w:pPr>
              <w:pStyle w:val="TableText"/>
            </w:pPr>
            <w:r w:rsidRPr="00DE4361">
              <w:t>CRCG </w:t>
            </w:r>
          </w:p>
        </w:tc>
        <w:tc>
          <w:tcPr>
            <w:tcW w:w="5565" w:type="dxa"/>
            <w:vAlign w:val="center"/>
            <w:hideMark/>
          </w:tcPr>
          <w:p w14:paraId="692C1B36" w14:textId="02BEE555" w:rsidR="00DE4361" w:rsidRPr="00DE4361" w:rsidRDefault="00DE4361" w:rsidP="00330188">
            <w:pPr>
              <w:pStyle w:val="TableText"/>
            </w:pPr>
            <w:r w:rsidRPr="00DE4361">
              <w:t>Community Resource Coordination Groups</w:t>
            </w:r>
          </w:p>
        </w:tc>
      </w:tr>
      <w:tr w:rsidR="00DE4361" w:rsidRPr="00DE4361" w14:paraId="485A9DDE" w14:textId="77777777" w:rsidTr="000A1064">
        <w:trPr>
          <w:trHeight w:val="300"/>
        </w:trPr>
        <w:tc>
          <w:tcPr>
            <w:tcW w:w="3765" w:type="dxa"/>
            <w:vAlign w:val="center"/>
            <w:hideMark/>
          </w:tcPr>
          <w:p w14:paraId="5A0C8C44" w14:textId="77777777" w:rsidR="00DE4361" w:rsidRPr="00DE4361" w:rsidRDefault="00DE4361" w:rsidP="00330188">
            <w:pPr>
              <w:pStyle w:val="TableText"/>
            </w:pPr>
            <w:r w:rsidRPr="00DE4361">
              <w:t>CRP </w:t>
            </w:r>
          </w:p>
        </w:tc>
        <w:tc>
          <w:tcPr>
            <w:tcW w:w="5565" w:type="dxa"/>
            <w:vAlign w:val="center"/>
            <w:hideMark/>
          </w:tcPr>
          <w:p w14:paraId="2E6DE0ED" w14:textId="70709A02" w:rsidR="00DE4361" w:rsidRPr="00DE4361" w:rsidRDefault="00DE4361" w:rsidP="00330188">
            <w:pPr>
              <w:pStyle w:val="TableText"/>
            </w:pPr>
            <w:r w:rsidRPr="00DE4361">
              <w:t>Community Rehabilitation Program</w:t>
            </w:r>
          </w:p>
        </w:tc>
      </w:tr>
      <w:tr w:rsidR="00DE4361" w:rsidRPr="00DE4361" w14:paraId="6D905A80" w14:textId="77777777" w:rsidTr="000A1064">
        <w:trPr>
          <w:trHeight w:val="300"/>
        </w:trPr>
        <w:tc>
          <w:tcPr>
            <w:tcW w:w="3765" w:type="dxa"/>
            <w:vAlign w:val="center"/>
            <w:hideMark/>
          </w:tcPr>
          <w:p w14:paraId="57672936" w14:textId="77777777" w:rsidR="00DE4361" w:rsidRPr="00DE4361" w:rsidRDefault="00DE4361" w:rsidP="00330188">
            <w:pPr>
              <w:pStyle w:val="TableText"/>
            </w:pPr>
            <w:r w:rsidRPr="00DE4361">
              <w:t>CSAVR </w:t>
            </w:r>
          </w:p>
        </w:tc>
        <w:tc>
          <w:tcPr>
            <w:tcW w:w="5565" w:type="dxa"/>
            <w:vAlign w:val="center"/>
            <w:hideMark/>
          </w:tcPr>
          <w:p w14:paraId="2BA4D51C" w14:textId="2AD13E69" w:rsidR="00DE4361" w:rsidRPr="00DE4361" w:rsidRDefault="00DE4361" w:rsidP="00330188">
            <w:pPr>
              <w:pStyle w:val="TableText"/>
            </w:pPr>
            <w:r w:rsidRPr="00DE4361">
              <w:t>Council of State Administrators of Vocational Rehabilitation</w:t>
            </w:r>
          </w:p>
        </w:tc>
      </w:tr>
      <w:tr w:rsidR="00DE4361" w:rsidRPr="00DE4361" w14:paraId="1E043273" w14:textId="77777777" w:rsidTr="000A1064">
        <w:trPr>
          <w:trHeight w:val="300"/>
        </w:trPr>
        <w:tc>
          <w:tcPr>
            <w:tcW w:w="3765" w:type="dxa"/>
            <w:vAlign w:val="center"/>
            <w:hideMark/>
          </w:tcPr>
          <w:p w14:paraId="55ECDDB4" w14:textId="77777777" w:rsidR="00DE4361" w:rsidRPr="00DE4361" w:rsidRDefault="00DE4361" w:rsidP="00330188">
            <w:pPr>
              <w:pStyle w:val="TableText"/>
            </w:pPr>
            <w:r w:rsidRPr="00DE4361">
              <w:t>CSNA </w:t>
            </w:r>
          </w:p>
        </w:tc>
        <w:tc>
          <w:tcPr>
            <w:tcW w:w="5565" w:type="dxa"/>
            <w:vAlign w:val="center"/>
            <w:hideMark/>
          </w:tcPr>
          <w:p w14:paraId="7B02304F" w14:textId="3853FA1E" w:rsidR="00DE4361" w:rsidRPr="00DE4361" w:rsidRDefault="00DE4361" w:rsidP="00330188">
            <w:pPr>
              <w:pStyle w:val="TableText"/>
            </w:pPr>
            <w:r w:rsidRPr="00DE4361">
              <w:t>Comprehensive State Needs Assessment</w:t>
            </w:r>
          </w:p>
        </w:tc>
      </w:tr>
      <w:tr w:rsidR="00DE4361" w:rsidRPr="00DE4361" w14:paraId="60376289" w14:textId="77777777" w:rsidTr="000A1064">
        <w:trPr>
          <w:trHeight w:val="300"/>
        </w:trPr>
        <w:tc>
          <w:tcPr>
            <w:tcW w:w="3765" w:type="dxa"/>
            <w:vAlign w:val="center"/>
            <w:hideMark/>
          </w:tcPr>
          <w:p w14:paraId="2210210C" w14:textId="77777777" w:rsidR="00DE4361" w:rsidRPr="00DE4361" w:rsidRDefault="00DE4361" w:rsidP="00330188">
            <w:pPr>
              <w:pStyle w:val="TableText"/>
            </w:pPr>
            <w:r w:rsidRPr="00DE4361">
              <w:t>CTCM </w:t>
            </w:r>
          </w:p>
        </w:tc>
        <w:tc>
          <w:tcPr>
            <w:tcW w:w="5565" w:type="dxa"/>
            <w:vAlign w:val="center"/>
            <w:hideMark/>
          </w:tcPr>
          <w:p w14:paraId="5FD096D5" w14:textId="08AF1EAD" w:rsidR="00DE4361" w:rsidRPr="00DE4361" w:rsidRDefault="00DE4361" w:rsidP="00330188">
            <w:pPr>
              <w:pStyle w:val="TableText"/>
            </w:pPr>
            <w:r w:rsidRPr="00DE4361">
              <w:t>Certified Texas Contract Manager</w:t>
            </w:r>
          </w:p>
        </w:tc>
      </w:tr>
      <w:tr w:rsidR="00DE4361" w:rsidRPr="00DE4361" w14:paraId="4D884073" w14:textId="77777777" w:rsidTr="000A1064">
        <w:trPr>
          <w:trHeight w:val="300"/>
        </w:trPr>
        <w:tc>
          <w:tcPr>
            <w:tcW w:w="3765" w:type="dxa"/>
            <w:vAlign w:val="center"/>
            <w:hideMark/>
          </w:tcPr>
          <w:p w14:paraId="47CC16F5" w14:textId="77777777" w:rsidR="00DE4361" w:rsidRPr="00DE4361" w:rsidRDefault="00DE4361" w:rsidP="00330188">
            <w:pPr>
              <w:pStyle w:val="TableText"/>
            </w:pPr>
            <w:r w:rsidRPr="00DE4361">
              <w:t>CTE </w:t>
            </w:r>
          </w:p>
        </w:tc>
        <w:tc>
          <w:tcPr>
            <w:tcW w:w="5565" w:type="dxa"/>
            <w:vAlign w:val="center"/>
            <w:hideMark/>
          </w:tcPr>
          <w:p w14:paraId="7B999223" w14:textId="41389B27" w:rsidR="00DE4361" w:rsidRPr="00DE4361" w:rsidRDefault="00DE4361" w:rsidP="00330188">
            <w:pPr>
              <w:pStyle w:val="TableText"/>
            </w:pPr>
            <w:r w:rsidRPr="00DE4361">
              <w:t>Career and Technical Education</w:t>
            </w:r>
          </w:p>
        </w:tc>
      </w:tr>
      <w:tr w:rsidR="00DE4361" w:rsidRPr="00DE4361" w14:paraId="585CAD35" w14:textId="77777777" w:rsidTr="000A1064">
        <w:trPr>
          <w:trHeight w:val="300"/>
        </w:trPr>
        <w:tc>
          <w:tcPr>
            <w:tcW w:w="3765" w:type="dxa"/>
            <w:vAlign w:val="center"/>
            <w:hideMark/>
          </w:tcPr>
          <w:p w14:paraId="7F1D5FCE" w14:textId="77777777" w:rsidR="00DE4361" w:rsidRPr="00DE4361" w:rsidRDefault="00DE4361" w:rsidP="00330188">
            <w:pPr>
              <w:pStyle w:val="TableText"/>
            </w:pPr>
            <w:r w:rsidRPr="00DE4361">
              <w:t>CY </w:t>
            </w:r>
          </w:p>
        </w:tc>
        <w:tc>
          <w:tcPr>
            <w:tcW w:w="5565" w:type="dxa"/>
            <w:vAlign w:val="center"/>
            <w:hideMark/>
          </w:tcPr>
          <w:p w14:paraId="24F14E7C" w14:textId="33A50BDF" w:rsidR="00DE4361" w:rsidRPr="00DE4361" w:rsidRDefault="00DE4361" w:rsidP="00330188">
            <w:pPr>
              <w:pStyle w:val="TableText"/>
            </w:pPr>
            <w:r w:rsidRPr="00DE4361">
              <w:t>Calendar Year</w:t>
            </w:r>
          </w:p>
        </w:tc>
      </w:tr>
      <w:tr w:rsidR="00DE4361" w:rsidRPr="00DE4361" w14:paraId="62B46C08" w14:textId="77777777" w:rsidTr="000A1064">
        <w:trPr>
          <w:trHeight w:val="300"/>
        </w:trPr>
        <w:tc>
          <w:tcPr>
            <w:tcW w:w="3765" w:type="dxa"/>
            <w:vAlign w:val="center"/>
            <w:hideMark/>
          </w:tcPr>
          <w:p w14:paraId="766DB300" w14:textId="77777777" w:rsidR="00DE4361" w:rsidRPr="00DE4361" w:rsidRDefault="00DE4361" w:rsidP="00330188">
            <w:pPr>
              <w:pStyle w:val="TableText"/>
            </w:pPr>
            <w:r w:rsidRPr="00DE4361">
              <w:t>DAQA </w:t>
            </w:r>
          </w:p>
        </w:tc>
        <w:tc>
          <w:tcPr>
            <w:tcW w:w="5565" w:type="dxa"/>
            <w:vAlign w:val="center"/>
            <w:hideMark/>
          </w:tcPr>
          <w:p w14:paraId="697904A7" w14:textId="5DC548A5" w:rsidR="00DE4361" w:rsidRPr="00DE4361" w:rsidRDefault="00DE4361" w:rsidP="00330188">
            <w:pPr>
              <w:pStyle w:val="TableText"/>
            </w:pPr>
            <w:r w:rsidRPr="00DE4361">
              <w:t>Data Analysis and Quality Assurance</w:t>
            </w:r>
          </w:p>
        </w:tc>
      </w:tr>
      <w:tr w:rsidR="00DE4361" w:rsidRPr="00DE4361" w14:paraId="7078D1CE" w14:textId="77777777" w:rsidTr="000A1064">
        <w:trPr>
          <w:trHeight w:val="300"/>
        </w:trPr>
        <w:tc>
          <w:tcPr>
            <w:tcW w:w="3765" w:type="dxa"/>
            <w:vAlign w:val="center"/>
            <w:hideMark/>
          </w:tcPr>
          <w:p w14:paraId="3EA1684A" w14:textId="77777777" w:rsidR="00DE4361" w:rsidRPr="00DE4361" w:rsidRDefault="00DE4361" w:rsidP="00330188">
            <w:pPr>
              <w:pStyle w:val="TableText"/>
            </w:pPr>
            <w:r w:rsidRPr="00DE4361">
              <w:t>DARS </w:t>
            </w:r>
          </w:p>
        </w:tc>
        <w:tc>
          <w:tcPr>
            <w:tcW w:w="5565" w:type="dxa"/>
            <w:vAlign w:val="center"/>
            <w:hideMark/>
          </w:tcPr>
          <w:p w14:paraId="512AC29D" w14:textId="7480CB96" w:rsidR="00DE4361" w:rsidRPr="00DE4361" w:rsidRDefault="00DE4361" w:rsidP="00330188">
            <w:pPr>
              <w:pStyle w:val="TableText"/>
            </w:pPr>
            <w:r w:rsidRPr="00DE4361">
              <w:t>Department of Rehabilitation Services</w:t>
            </w:r>
          </w:p>
        </w:tc>
      </w:tr>
      <w:tr w:rsidR="00DE4361" w:rsidRPr="00DE4361" w14:paraId="4B197950" w14:textId="77777777" w:rsidTr="000A1064">
        <w:trPr>
          <w:trHeight w:val="300"/>
        </w:trPr>
        <w:tc>
          <w:tcPr>
            <w:tcW w:w="3765" w:type="dxa"/>
            <w:vAlign w:val="center"/>
            <w:hideMark/>
          </w:tcPr>
          <w:p w14:paraId="6615C4B1" w14:textId="77777777" w:rsidR="00DE4361" w:rsidRPr="00DE4361" w:rsidRDefault="00DE4361" w:rsidP="00330188">
            <w:pPr>
              <w:pStyle w:val="TableText"/>
            </w:pPr>
            <w:r w:rsidRPr="00DE4361">
              <w:t>DCI </w:t>
            </w:r>
          </w:p>
        </w:tc>
        <w:tc>
          <w:tcPr>
            <w:tcW w:w="5565" w:type="dxa"/>
            <w:vAlign w:val="center"/>
            <w:hideMark/>
          </w:tcPr>
          <w:p w14:paraId="6C27BA0D" w14:textId="0C0F3E0B" w:rsidR="00DE4361" w:rsidRPr="00DE4361" w:rsidRDefault="00DE4361" w:rsidP="00330188">
            <w:pPr>
              <w:pStyle w:val="TableText"/>
            </w:pPr>
            <w:r w:rsidRPr="00DE4361">
              <w:t>Digital Certainty Index</w:t>
            </w:r>
          </w:p>
        </w:tc>
      </w:tr>
      <w:tr w:rsidR="00DE4361" w:rsidRPr="00DE4361" w14:paraId="69A86CCC" w14:textId="77777777" w:rsidTr="000A1064">
        <w:trPr>
          <w:trHeight w:val="300"/>
        </w:trPr>
        <w:tc>
          <w:tcPr>
            <w:tcW w:w="3765" w:type="dxa"/>
            <w:vAlign w:val="center"/>
            <w:hideMark/>
          </w:tcPr>
          <w:p w14:paraId="2B4FBDD1" w14:textId="77777777" w:rsidR="00DE4361" w:rsidRPr="00DE4361" w:rsidRDefault="00DE4361" w:rsidP="00330188">
            <w:pPr>
              <w:pStyle w:val="TableText"/>
            </w:pPr>
            <w:r w:rsidRPr="00DE4361">
              <w:t>DFPS </w:t>
            </w:r>
          </w:p>
        </w:tc>
        <w:tc>
          <w:tcPr>
            <w:tcW w:w="5565" w:type="dxa"/>
            <w:vAlign w:val="center"/>
            <w:hideMark/>
          </w:tcPr>
          <w:p w14:paraId="2D31C6E8" w14:textId="3FCBEBE9" w:rsidR="00DE4361" w:rsidRPr="00DE4361" w:rsidRDefault="00DE4361" w:rsidP="00330188">
            <w:pPr>
              <w:pStyle w:val="TableText"/>
            </w:pPr>
            <w:r w:rsidRPr="00DE4361">
              <w:t>Department of Family and Protective Services</w:t>
            </w:r>
          </w:p>
        </w:tc>
      </w:tr>
      <w:tr w:rsidR="00DE4361" w:rsidRPr="00DE4361" w14:paraId="22E23B87" w14:textId="77777777" w:rsidTr="000A1064">
        <w:trPr>
          <w:trHeight w:val="300"/>
        </w:trPr>
        <w:tc>
          <w:tcPr>
            <w:tcW w:w="3765" w:type="dxa"/>
            <w:vAlign w:val="center"/>
            <w:hideMark/>
          </w:tcPr>
          <w:p w14:paraId="7D62C8FD" w14:textId="77777777" w:rsidR="00DE4361" w:rsidRPr="00DE4361" w:rsidRDefault="00DE4361" w:rsidP="00330188">
            <w:pPr>
              <w:pStyle w:val="TableText"/>
            </w:pPr>
            <w:r w:rsidRPr="00DE4361">
              <w:t>DOL </w:t>
            </w:r>
          </w:p>
        </w:tc>
        <w:tc>
          <w:tcPr>
            <w:tcW w:w="5565" w:type="dxa"/>
            <w:vAlign w:val="center"/>
            <w:hideMark/>
          </w:tcPr>
          <w:p w14:paraId="51C58DEA" w14:textId="0D26212A" w:rsidR="00DE4361" w:rsidRPr="00DE4361" w:rsidRDefault="00DE4361" w:rsidP="00330188">
            <w:pPr>
              <w:pStyle w:val="TableText"/>
            </w:pPr>
            <w:r w:rsidRPr="00DE4361">
              <w:t>US Department of Labor</w:t>
            </w:r>
          </w:p>
        </w:tc>
      </w:tr>
      <w:tr w:rsidR="00DE4361" w:rsidRPr="00DE4361" w14:paraId="7AA776E9" w14:textId="77777777" w:rsidTr="000A1064">
        <w:trPr>
          <w:trHeight w:val="300"/>
        </w:trPr>
        <w:tc>
          <w:tcPr>
            <w:tcW w:w="3765" w:type="dxa"/>
            <w:vAlign w:val="center"/>
            <w:hideMark/>
          </w:tcPr>
          <w:p w14:paraId="5C1264A3" w14:textId="77777777" w:rsidR="00DE4361" w:rsidRPr="00DE4361" w:rsidRDefault="00DE4361" w:rsidP="00330188">
            <w:pPr>
              <w:pStyle w:val="TableText"/>
            </w:pPr>
            <w:r w:rsidRPr="00DE4361">
              <w:t>DPS </w:t>
            </w:r>
          </w:p>
        </w:tc>
        <w:tc>
          <w:tcPr>
            <w:tcW w:w="5565" w:type="dxa"/>
            <w:vAlign w:val="center"/>
            <w:hideMark/>
          </w:tcPr>
          <w:p w14:paraId="48AB9CB4" w14:textId="0AD301BB" w:rsidR="00DE4361" w:rsidRPr="00DE4361" w:rsidRDefault="00DE4361" w:rsidP="00330188">
            <w:pPr>
              <w:pStyle w:val="TableText"/>
            </w:pPr>
            <w:r w:rsidRPr="00DE4361">
              <w:t>Department of Public Safety</w:t>
            </w:r>
          </w:p>
        </w:tc>
      </w:tr>
      <w:tr w:rsidR="00DE4361" w:rsidRPr="00DE4361" w14:paraId="4A65E91E" w14:textId="77777777" w:rsidTr="000A1064">
        <w:trPr>
          <w:trHeight w:val="300"/>
        </w:trPr>
        <w:tc>
          <w:tcPr>
            <w:tcW w:w="3765" w:type="dxa"/>
            <w:vAlign w:val="center"/>
            <w:hideMark/>
          </w:tcPr>
          <w:p w14:paraId="0589BA77" w14:textId="77777777" w:rsidR="00DE4361" w:rsidRPr="00DE4361" w:rsidRDefault="00DE4361" w:rsidP="00330188">
            <w:pPr>
              <w:pStyle w:val="TableText"/>
            </w:pPr>
            <w:r w:rsidRPr="00DE4361">
              <w:t>DSHS </w:t>
            </w:r>
          </w:p>
        </w:tc>
        <w:tc>
          <w:tcPr>
            <w:tcW w:w="5565" w:type="dxa"/>
            <w:vAlign w:val="center"/>
            <w:hideMark/>
          </w:tcPr>
          <w:p w14:paraId="0FC3176A" w14:textId="5BF6229F" w:rsidR="00DE4361" w:rsidRPr="00DE4361" w:rsidRDefault="00DE4361" w:rsidP="00330188">
            <w:pPr>
              <w:pStyle w:val="TableText"/>
            </w:pPr>
            <w:r w:rsidRPr="00DE4361">
              <w:t>Department of State Health Services</w:t>
            </w:r>
          </w:p>
        </w:tc>
      </w:tr>
      <w:tr w:rsidR="00DE4361" w:rsidRPr="00DE4361" w14:paraId="03D6EB3C" w14:textId="77777777" w:rsidTr="000A1064">
        <w:trPr>
          <w:trHeight w:val="300"/>
        </w:trPr>
        <w:tc>
          <w:tcPr>
            <w:tcW w:w="3765" w:type="dxa"/>
            <w:vAlign w:val="center"/>
            <w:hideMark/>
          </w:tcPr>
          <w:p w14:paraId="42ACF2CC" w14:textId="77777777" w:rsidR="00DE4361" w:rsidRPr="00DE4361" w:rsidRDefault="00DE4361" w:rsidP="00330188">
            <w:pPr>
              <w:pStyle w:val="TableText"/>
            </w:pPr>
            <w:r w:rsidRPr="00DE4361">
              <w:t>DUA </w:t>
            </w:r>
          </w:p>
        </w:tc>
        <w:tc>
          <w:tcPr>
            <w:tcW w:w="5565" w:type="dxa"/>
            <w:vAlign w:val="center"/>
            <w:hideMark/>
          </w:tcPr>
          <w:p w14:paraId="7FEB6036" w14:textId="0C9B16BD" w:rsidR="00DE4361" w:rsidRPr="00DE4361" w:rsidRDefault="00DE4361" w:rsidP="00330188">
            <w:pPr>
              <w:pStyle w:val="TableText"/>
            </w:pPr>
            <w:r w:rsidRPr="00DE4361">
              <w:t>Disaster Unemployment Assistance</w:t>
            </w:r>
          </w:p>
        </w:tc>
      </w:tr>
      <w:tr w:rsidR="00DE4361" w:rsidRPr="00DE4361" w14:paraId="3943EA87" w14:textId="77777777" w:rsidTr="000A1064">
        <w:trPr>
          <w:trHeight w:val="300"/>
        </w:trPr>
        <w:tc>
          <w:tcPr>
            <w:tcW w:w="3765" w:type="dxa"/>
            <w:vAlign w:val="center"/>
            <w:hideMark/>
          </w:tcPr>
          <w:p w14:paraId="670B1AC3" w14:textId="77777777" w:rsidR="00DE4361" w:rsidRPr="00DE4361" w:rsidRDefault="00DE4361" w:rsidP="00330188">
            <w:pPr>
              <w:pStyle w:val="TableText"/>
            </w:pPr>
            <w:r w:rsidRPr="00DE4361">
              <w:t>DV </w:t>
            </w:r>
          </w:p>
        </w:tc>
        <w:tc>
          <w:tcPr>
            <w:tcW w:w="5565" w:type="dxa"/>
            <w:vAlign w:val="center"/>
            <w:hideMark/>
          </w:tcPr>
          <w:p w14:paraId="300E8CFF" w14:textId="34C4167F" w:rsidR="00DE4361" w:rsidRPr="00DE4361" w:rsidRDefault="00DE4361" w:rsidP="00330188">
            <w:pPr>
              <w:pStyle w:val="TableText"/>
            </w:pPr>
            <w:r w:rsidRPr="00DE4361">
              <w:t>Data Validation</w:t>
            </w:r>
          </w:p>
        </w:tc>
      </w:tr>
      <w:tr w:rsidR="00DE4361" w:rsidRPr="00DE4361" w14:paraId="500E04C9" w14:textId="77777777" w:rsidTr="000A1064">
        <w:trPr>
          <w:trHeight w:val="300"/>
        </w:trPr>
        <w:tc>
          <w:tcPr>
            <w:tcW w:w="3765" w:type="dxa"/>
            <w:vAlign w:val="center"/>
            <w:hideMark/>
          </w:tcPr>
          <w:p w14:paraId="7D89195A" w14:textId="77777777" w:rsidR="00DE4361" w:rsidRPr="00DE4361" w:rsidRDefault="00DE4361" w:rsidP="00330188">
            <w:pPr>
              <w:pStyle w:val="TableText"/>
            </w:pPr>
            <w:r w:rsidRPr="00DE4361">
              <w:t>E&amp;T </w:t>
            </w:r>
          </w:p>
        </w:tc>
        <w:tc>
          <w:tcPr>
            <w:tcW w:w="5565" w:type="dxa"/>
            <w:vAlign w:val="center"/>
            <w:hideMark/>
          </w:tcPr>
          <w:p w14:paraId="0F9E8982" w14:textId="619FC4B3" w:rsidR="00DE4361" w:rsidRPr="00DE4361" w:rsidRDefault="00DE4361" w:rsidP="00330188">
            <w:pPr>
              <w:pStyle w:val="TableText"/>
            </w:pPr>
            <w:r w:rsidRPr="00DE4361">
              <w:t>Employment and Training</w:t>
            </w:r>
          </w:p>
        </w:tc>
      </w:tr>
      <w:tr w:rsidR="00DE4361" w:rsidRPr="00DE4361" w14:paraId="0A2B0C5A" w14:textId="77777777" w:rsidTr="000A1064">
        <w:trPr>
          <w:trHeight w:val="300"/>
        </w:trPr>
        <w:tc>
          <w:tcPr>
            <w:tcW w:w="3765" w:type="dxa"/>
            <w:vAlign w:val="center"/>
            <w:hideMark/>
          </w:tcPr>
          <w:p w14:paraId="44DA7494" w14:textId="77777777" w:rsidR="00DE4361" w:rsidRPr="00DE4361" w:rsidRDefault="00DE4361" w:rsidP="00330188">
            <w:pPr>
              <w:pStyle w:val="TableText"/>
            </w:pPr>
            <w:r w:rsidRPr="00DE4361">
              <w:t>ECI </w:t>
            </w:r>
          </w:p>
        </w:tc>
        <w:tc>
          <w:tcPr>
            <w:tcW w:w="5565" w:type="dxa"/>
            <w:vAlign w:val="center"/>
            <w:hideMark/>
          </w:tcPr>
          <w:p w14:paraId="0BB71847" w14:textId="4949FA91" w:rsidR="00DE4361" w:rsidRPr="00DE4361" w:rsidRDefault="00DE4361" w:rsidP="00330188">
            <w:pPr>
              <w:pStyle w:val="TableText"/>
            </w:pPr>
            <w:r w:rsidRPr="00DE4361">
              <w:t>Early Childhood Intervention</w:t>
            </w:r>
          </w:p>
        </w:tc>
      </w:tr>
      <w:tr w:rsidR="00DE4361" w:rsidRPr="00DE4361" w14:paraId="7E313809" w14:textId="77777777" w:rsidTr="000A1064">
        <w:trPr>
          <w:trHeight w:val="300"/>
        </w:trPr>
        <w:tc>
          <w:tcPr>
            <w:tcW w:w="3765" w:type="dxa"/>
            <w:vAlign w:val="center"/>
            <w:hideMark/>
          </w:tcPr>
          <w:p w14:paraId="308580C9" w14:textId="77777777" w:rsidR="00DE4361" w:rsidRPr="00DE4361" w:rsidRDefault="00DE4361" w:rsidP="00330188">
            <w:pPr>
              <w:pStyle w:val="TableText"/>
            </w:pPr>
            <w:r w:rsidRPr="00DE4361">
              <w:t>ECIDS </w:t>
            </w:r>
          </w:p>
        </w:tc>
        <w:tc>
          <w:tcPr>
            <w:tcW w:w="5565" w:type="dxa"/>
            <w:vAlign w:val="center"/>
            <w:hideMark/>
          </w:tcPr>
          <w:p w14:paraId="0CAA5951" w14:textId="361E69F6" w:rsidR="00DE4361" w:rsidRPr="00DE4361" w:rsidRDefault="00DE4361" w:rsidP="00330188">
            <w:pPr>
              <w:pStyle w:val="TableText"/>
            </w:pPr>
            <w:r w:rsidRPr="00DE4361">
              <w:t>Early Childhood Integrated Data System</w:t>
            </w:r>
          </w:p>
        </w:tc>
      </w:tr>
      <w:tr w:rsidR="00DE4361" w:rsidRPr="00DE4361" w14:paraId="511F4FF6" w14:textId="77777777" w:rsidTr="000A1064">
        <w:trPr>
          <w:trHeight w:val="300"/>
        </w:trPr>
        <w:tc>
          <w:tcPr>
            <w:tcW w:w="3765" w:type="dxa"/>
            <w:vAlign w:val="center"/>
            <w:hideMark/>
          </w:tcPr>
          <w:p w14:paraId="413FB9A4" w14:textId="77777777" w:rsidR="00DE4361" w:rsidRPr="00DE4361" w:rsidRDefault="00DE4361" w:rsidP="00330188">
            <w:pPr>
              <w:pStyle w:val="TableText"/>
            </w:pPr>
            <w:r w:rsidRPr="00DE4361">
              <w:t>ECIW </w:t>
            </w:r>
          </w:p>
        </w:tc>
        <w:tc>
          <w:tcPr>
            <w:tcW w:w="5565" w:type="dxa"/>
            <w:vAlign w:val="center"/>
            <w:hideMark/>
          </w:tcPr>
          <w:p w14:paraId="44C19288" w14:textId="47D3E1AD" w:rsidR="00DE4361" w:rsidRPr="00DE4361" w:rsidRDefault="00DE4361" w:rsidP="00330188">
            <w:pPr>
              <w:pStyle w:val="TableText"/>
            </w:pPr>
            <w:r w:rsidRPr="00DE4361">
              <w:t>Early Childhood Interagency Workgroup</w:t>
            </w:r>
          </w:p>
        </w:tc>
      </w:tr>
      <w:tr w:rsidR="00DE4361" w:rsidRPr="00DE4361" w14:paraId="38709AD4" w14:textId="77777777" w:rsidTr="000A1064">
        <w:trPr>
          <w:trHeight w:val="300"/>
        </w:trPr>
        <w:tc>
          <w:tcPr>
            <w:tcW w:w="3765" w:type="dxa"/>
            <w:vAlign w:val="center"/>
            <w:hideMark/>
          </w:tcPr>
          <w:p w14:paraId="394B6111" w14:textId="77777777" w:rsidR="00DE4361" w:rsidRPr="00DE4361" w:rsidRDefault="00DE4361" w:rsidP="00330188">
            <w:pPr>
              <w:pStyle w:val="TableText"/>
            </w:pPr>
            <w:r w:rsidRPr="00DE4361">
              <w:t>ECPS </w:t>
            </w:r>
          </w:p>
        </w:tc>
        <w:tc>
          <w:tcPr>
            <w:tcW w:w="5565" w:type="dxa"/>
            <w:vAlign w:val="center"/>
            <w:hideMark/>
          </w:tcPr>
          <w:p w14:paraId="1BD794B5" w14:textId="2685857D" w:rsidR="00DE4361" w:rsidRPr="00DE4361" w:rsidRDefault="00DE4361" w:rsidP="00330188">
            <w:pPr>
              <w:pStyle w:val="TableText"/>
            </w:pPr>
            <w:r w:rsidRPr="00DE4361">
              <w:t>Enterprise Contract and Procurement System</w:t>
            </w:r>
          </w:p>
        </w:tc>
      </w:tr>
      <w:tr w:rsidR="00DE4361" w:rsidRPr="00DE4361" w14:paraId="6E76517C" w14:textId="77777777" w:rsidTr="000A1064">
        <w:trPr>
          <w:trHeight w:val="300"/>
        </w:trPr>
        <w:tc>
          <w:tcPr>
            <w:tcW w:w="3765" w:type="dxa"/>
            <w:vAlign w:val="center"/>
            <w:hideMark/>
          </w:tcPr>
          <w:p w14:paraId="52F07DE6" w14:textId="77777777" w:rsidR="00DE4361" w:rsidRPr="00DE4361" w:rsidRDefault="00DE4361" w:rsidP="00330188">
            <w:pPr>
              <w:pStyle w:val="TableText"/>
            </w:pPr>
            <w:r w:rsidRPr="00DE4361">
              <w:t>EDE </w:t>
            </w:r>
          </w:p>
        </w:tc>
        <w:tc>
          <w:tcPr>
            <w:tcW w:w="5565" w:type="dxa"/>
            <w:vAlign w:val="center"/>
            <w:hideMark/>
          </w:tcPr>
          <w:p w14:paraId="6F1AB3F3" w14:textId="6B5EC581" w:rsidR="00DE4361" w:rsidRPr="00DE4361" w:rsidRDefault="00DE4361" w:rsidP="00330188">
            <w:pPr>
              <w:pStyle w:val="TableText"/>
            </w:pPr>
            <w:r w:rsidRPr="00DE4361">
              <w:t>Electronic Data Exchange</w:t>
            </w:r>
          </w:p>
        </w:tc>
      </w:tr>
      <w:tr w:rsidR="00DE4361" w:rsidRPr="00DE4361" w14:paraId="533FA44B" w14:textId="77777777" w:rsidTr="000A1064">
        <w:trPr>
          <w:trHeight w:val="300"/>
        </w:trPr>
        <w:tc>
          <w:tcPr>
            <w:tcW w:w="3765" w:type="dxa"/>
            <w:vAlign w:val="center"/>
            <w:hideMark/>
          </w:tcPr>
          <w:p w14:paraId="4C20E494" w14:textId="77777777" w:rsidR="00DE4361" w:rsidRPr="00DE4361" w:rsidRDefault="00DE4361" w:rsidP="00330188">
            <w:pPr>
              <w:pStyle w:val="TableText"/>
            </w:pPr>
            <w:r w:rsidRPr="00DE4361">
              <w:t>EDW </w:t>
            </w:r>
          </w:p>
        </w:tc>
        <w:tc>
          <w:tcPr>
            <w:tcW w:w="5565" w:type="dxa"/>
            <w:vAlign w:val="center"/>
            <w:hideMark/>
          </w:tcPr>
          <w:p w14:paraId="24EDD636" w14:textId="2DCBCF70" w:rsidR="00DE4361" w:rsidRPr="00DE4361" w:rsidRDefault="00DE4361" w:rsidP="00330188">
            <w:pPr>
              <w:pStyle w:val="TableText"/>
            </w:pPr>
            <w:r w:rsidRPr="00DE4361">
              <w:t>Enterprise Data Warehouse</w:t>
            </w:r>
          </w:p>
        </w:tc>
      </w:tr>
      <w:tr w:rsidR="00DE4361" w:rsidRPr="00DE4361" w14:paraId="658362AC" w14:textId="77777777" w:rsidTr="000A1064">
        <w:trPr>
          <w:trHeight w:val="300"/>
        </w:trPr>
        <w:tc>
          <w:tcPr>
            <w:tcW w:w="3765" w:type="dxa"/>
            <w:vAlign w:val="center"/>
            <w:hideMark/>
          </w:tcPr>
          <w:p w14:paraId="4B8EA072" w14:textId="77777777" w:rsidR="00DE4361" w:rsidRPr="00DE4361" w:rsidRDefault="00DE4361" w:rsidP="00330188">
            <w:pPr>
              <w:pStyle w:val="TableText"/>
            </w:pPr>
            <w:r w:rsidRPr="00DE4361">
              <w:lastRenderedPageBreak/>
              <w:t>EEO </w:t>
            </w:r>
          </w:p>
        </w:tc>
        <w:tc>
          <w:tcPr>
            <w:tcW w:w="5565" w:type="dxa"/>
            <w:vAlign w:val="center"/>
            <w:hideMark/>
          </w:tcPr>
          <w:p w14:paraId="39AE0F07" w14:textId="7EE1D2FA" w:rsidR="00DE4361" w:rsidRPr="00DE4361" w:rsidRDefault="00DE4361" w:rsidP="00330188">
            <w:pPr>
              <w:pStyle w:val="TableText"/>
            </w:pPr>
            <w:r w:rsidRPr="00DE4361">
              <w:t>Equal Employment Opportunity</w:t>
            </w:r>
          </w:p>
        </w:tc>
      </w:tr>
      <w:tr w:rsidR="00DE4361" w:rsidRPr="00DE4361" w14:paraId="4C4F63BB" w14:textId="77777777" w:rsidTr="000A1064">
        <w:trPr>
          <w:trHeight w:val="300"/>
        </w:trPr>
        <w:tc>
          <w:tcPr>
            <w:tcW w:w="3765" w:type="dxa"/>
            <w:vAlign w:val="center"/>
            <w:hideMark/>
          </w:tcPr>
          <w:p w14:paraId="7C6D463C" w14:textId="77777777" w:rsidR="00DE4361" w:rsidRPr="00DE4361" w:rsidRDefault="00DE4361" w:rsidP="00330188">
            <w:pPr>
              <w:pStyle w:val="TableText"/>
            </w:pPr>
            <w:r w:rsidRPr="00DE4361">
              <w:t>EEOC </w:t>
            </w:r>
          </w:p>
        </w:tc>
        <w:tc>
          <w:tcPr>
            <w:tcW w:w="5565" w:type="dxa"/>
            <w:vAlign w:val="center"/>
            <w:hideMark/>
          </w:tcPr>
          <w:p w14:paraId="072C5F44" w14:textId="3867B21D" w:rsidR="00DE4361" w:rsidRPr="00DE4361" w:rsidRDefault="00DE4361" w:rsidP="00330188">
            <w:pPr>
              <w:pStyle w:val="TableText"/>
            </w:pPr>
            <w:r w:rsidRPr="00DE4361">
              <w:t>US Equal Employment Opportunity Commission</w:t>
            </w:r>
          </w:p>
        </w:tc>
      </w:tr>
      <w:tr w:rsidR="00DE4361" w:rsidRPr="00DE4361" w14:paraId="7789C62B" w14:textId="77777777" w:rsidTr="000A1064">
        <w:trPr>
          <w:trHeight w:val="300"/>
        </w:trPr>
        <w:tc>
          <w:tcPr>
            <w:tcW w:w="3765" w:type="dxa"/>
            <w:vAlign w:val="center"/>
            <w:hideMark/>
          </w:tcPr>
          <w:p w14:paraId="1CB1E756" w14:textId="77777777" w:rsidR="00DE4361" w:rsidRPr="00DE4361" w:rsidRDefault="00DE4361" w:rsidP="00330188">
            <w:pPr>
              <w:pStyle w:val="TableText"/>
            </w:pPr>
            <w:r w:rsidRPr="00DE4361">
              <w:t>EO </w:t>
            </w:r>
          </w:p>
        </w:tc>
        <w:tc>
          <w:tcPr>
            <w:tcW w:w="5565" w:type="dxa"/>
            <w:vAlign w:val="center"/>
            <w:hideMark/>
          </w:tcPr>
          <w:p w14:paraId="70047F05" w14:textId="7D28CE95" w:rsidR="00DE4361" w:rsidRPr="00DE4361" w:rsidRDefault="00DE4361" w:rsidP="00330188">
            <w:pPr>
              <w:pStyle w:val="TableText"/>
            </w:pPr>
            <w:r w:rsidRPr="00DE4361">
              <w:t>Equal Opportunity</w:t>
            </w:r>
          </w:p>
        </w:tc>
      </w:tr>
      <w:tr w:rsidR="00DE4361" w:rsidRPr="00DE4361" w14:paraId="2524A85D" w14:textId="77777777" w:rsidTr="000A1064">
        <w:trPr>
          <w:trHeight w:val="300"/>
        </w:trPr>
        <w:tc>
          <w:tcPr>
            <w:tcW w:w="3765" w:type="dxa"/>
            <w:vAlign w:val="center"/>
            <w:hideMark/>
          </w:tcPr>
          <w:p w14:paraId="7B845A6D" w14:textId="77777777" w:rsidR="00DE4361" w:rsidRPr="00DE4361" w:rsidRDefault="00DE4361" w:rsidP="00330188">
            <w:pPr>
              <w:pStyle w:val="TableText"/>
            </w:pPr>
            <w:r w:rsidRPr="00DE4361">
              <w:t>EOCD </w:t>
            </w:r>
          </w:p>
        </w:tc>
        <w:tc>
          <w:tcPr>
            <w:tcW w:w="5565" w:type="dxa"/>
            <w:vAlign w:val="center"/>
            <w:hideMark/>
          </w:tcPr>
          <w:p w14:paraId="1F8DFCB6" w14:textId="218A3858" w:rsidR="00DE4361" w:rsidRPr="00DE4361" w:rsidRDefault="00DE4361" w:rsidP="00330188">
            <w:pPr>
              <w:pStyle w:val="TableText"/>
            </w:pPr>
            <w:r w:rsidRPr="00DE4361">
              <w:t>Equal Opportunity Compliance Department</w:t>
            </w:r>
          </w:p>
        </w:tc>
      </w:tr>
      <w:tr w:rsidR="00DE4361" w:rsidRPr="00DE4361" w14:paraId="4EDBF5A7" w14:textId="77777777" w:rsidTr="000A1064">
        <w:trPr>
          <w:trHeight w:val="300"/>
        </w:trPr>
        <w:tc>
          <w:tcPr>
            <w:tcW w:w="3765" w:type="dxa"/>
            <w:vAlign w:val="center"/>
            <w:hideMark/>
          </w:tcPr>
          <w:p w14:paraId="0A5BADE3" w14:textId="77777777" w:rsidR="00DE4361" w:rsidRPr="00DE4361" w:rsidRDefault="00DE4361" w:rsidP="00330188">
            <w:pPr>
              <w:pStyle w:val="TableText"/>
            </w:pPr>
            <w:r w:rsidRPr="00DE4361">
              <w:t>ES </w:t>
            </w:r>
          </w:p>
        </w:tc>
        <w:tc>
          <w:tcPr>
            <w:tcW w:w="5565" w:type="dxa"/>
            <w:vAlign w:val="center"/>
            <w:hideMark/>
          </w:tcPr>
          <w:p w14:paraId="7A2A967B" w14:textId="4EA05884" w:rsidR="00DE4361" w:rsidRPr="00DE4361" w:rsidRDefault="00DE4361" w:rsidP="00330188">
            <w:pPr>
              <w:pStyle w:val="TableText"/>
            </w:pPr>
            <w:r w:rsidRPr="00DE4361">
              <w:t>Employment Services</w:t>
            </w:r>
          </w:p>
        </w:tc>
      </w:tr>
      <w:tr w:rsidR="00DE4361" w:rsidRPr="00DE4361" w14:paraId="1683DBC3" w14:textId="77777777" w:rsidTr="000A1064">
        <w:trPr>
          <w:trHeight w:val="300"/>
        </w:trPr>
        <w:tc>
          <w:tcPr>
            <w:tcW w:w="3765" w:type="dxa"/>
            <w:vAlign w:val="center"/>
            <w:hideMark/>
          </w:tcPr>
          <w:p w14:paraId="676BE301" w14:textId="77777777" w:rsidR="00DE4361" w:rsidRPr="00DE4361" w:rsidRDefault="00DE4361" w:rsidP="00330188">
            <w:pPr>
              <w:pStyle w:val="TableText"/>
            </w:pPr>
            <w:r w:rsidRPr="00DE4361">
              <w:t>FDCM </w:t>
            </w:r>
          </w:p>
        </w:tc>
        <w:tc>
          <w:tcPr>
            <w:tcW w:w="5565" w:type="dxa"/>
            <w:vAlign w:val="center"/>
            <w:hideMark/>
          </w:tcPr>
          <w:p w14:paraId="30F08750" w14:textId="7870A3E8" w:rsidR="00DE4361" w:rsidRPr="00DE4361" w:rsidRDefault="00DE4361" w:rsidP="00330188">
            <w:pPr>
              <w:pStyle w:val="TableText"/>
            </w:pPr>
            <w:r w:rsidRPr="00DE4361">
              <w:t>Fraud Deterrence and Compliance Monitoring</w:t>
            </w:r>
          </w:p>
        </w:tc>
      </w:tr>
      <w:tr w:rsidR="00DE4361" w:rsidRPr="00DE4361" w14:paraId="46306C7C" w14:textId="77777777" w:rsidTr="000A1064">
        <w:trPr>
          <w:trHeight w:val="300"/>
        </w:trPr>
        <w:tc>
          <w:tcPr>
            <w:tcW w:w="3765" w:type="dxa"/>
            <w:vAlign w:val="center"/>
            <w:hideMark/>
          </w:tcPr>
          <w:p w14:paraId="5B927731" w14:textId="77777777" w:rsidR="00DE4361" w:rsidRPr="00DE4361" w:rsidRDefault="00DE4361" w:rsidP="00330188">
            <w:pPr>
              <w:pStyle w:val="TableText"/>
            </w:pPr>
            <w:r w:rsidRPr="00DE4361">
              <w:t>FEPA </w:t>
            </w:r>
          </w:p>
        </w:tc>
        <w:tc>
          <w:tcPr>
            <w:tcW w:w="5565" w:type="dxa"/>
            <w:vAlign w:val="center"/>
            <w:hideMark/>
          </w:tcPr>
          <w:p w14:paraId="1CF38B37" w14:textId="144CE0F6" w:rsidR="00DE4361" w:rsidRPr="00DE4361" w:rsidRDefault="00DE4361" w:rsidP="00330188">
            <w:pPr>
              <w:pStyle w:val="TableText"/>
            </w:pPr>
            <w:r w:rsidRPr="00DE4361">
              <w:t>Fair Housing Practice Agency</w:t>
            </w:r>
          </w:p>
        </w:tc>
      </w:tr>
      <w:tr w:rsidR="00DE4361" w:rsidRPr="00DE4361" w14:paraId="0A9D3B24" w14:textId="77777777" w:rsidTr="000A1064">
        <w:trPr>
          <w:trHeight w:val="300"/>
        </w:trPr>
        <w:tc>
          <w:tcPr>
            <w:tcW w:w="3765" w:type="dxa"/>
            <w:vAlign w:val="center"/>
            <w:hideMark/>
          </w:tcPr>
          <w:p w14:paraId="4ABEB108" w14:textId="77777777" w:rsidR="00DE4361" w:rsidRPr="00DE4361" w:rsidRDefault="00DE4361" w:rsidP="00330188">
            <w:pPr>
              <w:pStyle w:val="TableText"/>
            </w:pPr>
            <w:r w:rsidRPr="00DE4361">
              <w:t>FHAP </w:t>
            </w:r>
          </w:p>
        </w:tc>
        <w:tc>
          <w:tcPr>
            <w:tcW w:w="5565" w:type="dxa"/>
            <w:vAlign w:val="center"/>
            <w:hideMark/>
          </w:tcPr>
          <w:p w14:paraId="109A4D89" w14:textId="645F0393" w:rsidR="00DE4361" w:rsidRPr="00DE4361" w:rsidRDefault="00DE4361" w:rsidP="00330188">
            <w:pPr>
              <w:pStyle w:val="TableText"/>
            </w:pPr>
            <w:r w:rsidRPr="00DE4361">
              <w:t>Fair Housing Assistance Program</w:t>
            </w:r>
          </w:p>
        </w:tc>
      </w:tr>
      <w:tr w:rsidR="00DE4361" w:rsidRPr="00DE4361" w14:paraId="0F6A4B7D" w14:textId="77777777" w:rsidTr="000A1064">
        <w:trPr>
          <w:trHeight w:val="300"/>
        </w:trPr>
        <w:tc>
          <w:tcPr>
            <w:tcW w:w="3765" w:type="dxa"/>
            <w:vAlign w:val="center"/>
            <w:hideMark/>
          </w:tcPr>
          <w:p w14:paraId="4CF29AA9" w14:textId="77777777" w:rsidR="00DE4361" w:rsidRPr="00DE4361" w:rsidRDefault="00DE4361" w:rsidP="00330188">
            <w:pPr>
              <w:pStyle w:val="TableText"/>
            </w:pPr>
            <w:r w:rsidRPr="00DE4361">
              <w:t>FHEO </w:t>
            </w:r>
          </w:p>
        </w:tc>
        <w:tc>
          <w:tcPr>
            <w:tcW w:w="5565" w:type="dxa"/>
            <w:vAlign w:val="center"/>
            <w:hideMark/>
          </w:tcPr>
          <w:p w14:paraId="12242348" w14:textId="2C18FFD0" w:rsidR="00DE4361" w:rsidRPr="00DE4361" w:rsidRDefault="00DE4361" w:rsidP="00330188">
            <w:pPr>
              <w:pStyle w:val="TableText"/>
            </w:pPr>
            <w:r w:rsidRPr="00DE4361">
              <w:t>Fair Housing and Equal Opportunity</w:t>
            </w:r>
          </w:p>
        </w:tc>
      </w:tr>
      <w:tr w:rsidR="00DE4361" w:rsidRPr="00DE4361" w14:paraId="03D060C3" w14:textId="77777777" w:rsidTr="000A1064">
        <w:trPr>
          <w:trHeight w:val="300"/>
        </w:trPr>
        <w:tc>
          <w:tcPr>
            <w:tcW w:w="3765" w:type="dxa"/>
            <w:vAlign w:val="center"/>
            <w:hideMark/>
          </w:tcPr>
          <w:p w14:paraId="7BDEB513" w14:textId="77777777" w:rsidR="00DE4361" w:rsidRPr="00DE4361" w:rsidRDefault="00DE4361" w:rsidP="00330188">
            <w:pPr>
              <w:pStyle w:val="TableText"/>
            </w:pPr>
            <w:r w:rsidRPr="00DE4361">
              <w:t>FHIP </w:t>
            </w:r>
          </w:p>
        </w:tc>
        <w:tc>
          <w:tcPr>
            <w:tcW w:w="5565" w:type="dxa"/>
            <w:vAlign w:val="center"/>
            <w:hideMark/>
          </w:tcPr>
          <w:p w14:paraId="29D5A2B9" w14:textId="561A8722" w:rsidR="00DE4361" w:rsidRPr="00DE4361" w:rsidRDefault="00DE4361" w:rsidP="00330188">
            <w:pPr>
              <w:pStyle w:val="TableText"/>
            </w:pPr>
            <w:r w:rsidRPr="00DE4361">
              <w:t>Fair Housing Initiative Program</w:t>
            </w:r>
          </w:p>
        </w:tc>
      </w:tr>
      <w:tr w:rsidR="00DE4361" w:rsidRPr="00DE4361" w14:paraId="12715BA9" w14:textId="77777777" w:rsidTr="000A1064">
        <w:trPr>
          <w:trHeight w:val="300"/>
        </w:trPr>
        <w:tc>
          <w:tcPr>
            <w:tcW w:w="3765" w:type="dxa"/>
            <w:vAlign w:val="center"/>
            <w:hideMark/>
          </w:tcPr>
          <w:p w14:paraId="6C1CCC3D" w14:textId="77777777" w:rsidR="00DE4361" w:rsidRPr="00DE4361" w:rsidRDefault="00DE4361" w:rsidP="00330188">
            <w:pPr>
              <w:pStyle w:val="TableText"/>
            </w:pPr>
            <w:r w:rsidRPr="00DE4361">
              <w:t>FLSA </w:t>
            </w:r>
          </w:p>
        </w:tc>
        <w:tc>
          <w:tcPr>
            <w:tcW w:w="5565" w:type="dxa"/>
            <w:vAlign w:val="center"/>
            <w:hideMark/>
          </w:tcPr>
          <w:p w14:paraId="27D4313B" w14:textId="52BF0282" w:rsidR="00DE4361" w:rsidRPr="00DE4361" w:rsidRDefault="00DE4361" w:rsidP="00330188">
            <w:pPr>
              <w:pStyle w:val="TableText"/>
            </w:pPr>
            <w:r w:rsidRPr="00DE4361">
              <w:t>Fair Labor Standard Act</w:t>
            </w:r>
          </w:p>
        </w:tc>
      </w:tr>
      <w:tr w:rsidR="00DE4361" w:rsidRPr="00DE4361" w14:paraId="4504A54A" w14:textId="77777777" w:rsidTr="000A1064">
        <w:trPr>
          <w:trHeight w:val="300"/>
        </w:trPr>
        <w:tc>
          <w:tcPr>
            <w:tcW w:w="3765" w:type="dxa"/>
            <w:vAlign w:val="center"/>
            <w:hideMark/>
          </w:tcPr>
          <w:p w14:paraId="21D610DA" w14:textId="77777777" w:rsidR="00DE4361" w:rsidRPr="00DE4361" w:rsidRDefault="00DE4361" w:rsidP="00330188">
            <w:pPr>
              <w:pStyle w:val="TableText"/>
            </w:pPr>
            <w:r w:rsidRPr="00DE4361">
              <w:t>FPUC </w:t>
            </w:r>
          </w:p>
        </w:tc>
        <w:tc>
          <w:tcPr>
            <w:tcW w:w="5565" w:type="dxa"/>
            <w:vAlign w:val="center"/>
            <w:hideMark/>
          </w:tcPr>
          <w:p w14:paraId="2C51465A" w14:textId="04D0294B" w:rsidR="00DE4361" w:rsidRPr="00DE4361" w:rsidRDefault="00DE4361" w:rsidP="00330188">
            <w:pPr>
              <w:pStyle w:val="TableText"/>
            </w:pPr>
            <w:r w:rsidRPr="00DE4361">
              <w:t>Federal Pandemic Unemployment Compensation</w:t>
            </w:r>
          </w:p>
        </w:tc>
      </w:tr>
      <w:tr w:rsidR="00DE4361" w:rsidRPr="00DE4361" w14:paraId="726C75B8" w14:textId="77777777" w:rsidTr="000A1064">
        <w:trPr>
          <w:trHeight w:val="300"/>
        </w:trPr>
        <w:tc>
          <w:tcPr>
            <w:tcW w:w="3765" w:type="dxa"/>
            <w:vAlign w:val="center"/>
            <w:hideMark/>
          </w:tcPr>
          <w:p w14:paraId="5E45E35E" w14:textId="77777777" w:rsidR="00DE4361" w:rsidRPr="00DE4361" w:rsidRDefault="00DE4361" w:rsidP="00330188">
            <w:pPr>
              <w:pStyle w:val="TableText"/>
            </w:pPr>
            <w:r w:rsidRPr="00DE4361">
              <w:t>FTE </w:t>
            </w:r>
          </w:p>
        </w:tc>
        <w:tc>
          <w:tcPr>
            <w:tcW w:w="5565" w:type="dxa"/>
            <w:vAlign w:val="center"/>
            <w:hideMark/>
          </w:tcPr>
          <w:p w14:paraId="3A308509" w14:textId="40CCE395" w:rsidR="00DE4361" w:rsidRPr="00DE4361" w:rsidRDefault="00DE4361" w:rsidP="00330188">
            <w:pPr>
              <w:pStyle w:val="TableText"/>
            </w:pPr>
            <w:r w:rsidRPr="00DE4361">
              <w:t>Full Time Equivalent</w:t>
            </w:r>
          </w:p>
        </w:tc>
      </w:tr>
      <w:tr w:rsidR="00DE4361" w:rsidRPr="00DE4361" w14:paraId="135F48F6" w14:textId="77777777" w:rsidTr="000A1064">
        <w:trPr>
          <w:trHeight w:val="300"/>
        </w:trPr>
        <w:tc>
          <w:tcPr>
            <w:tcW w:w="3765" w:type="dxa"/>
            <w:vAlign w:val="center"/>
            <w:hideMark/>
          </w:tcPr>
          <w:p w14:paraId="45ED10AD" w14:textId="77777777" w:rsidR="00DE4361" w:rsidRPr="00DE4361" w:rsidRDefault="00DE4361" w:rsidP="00330188">
            <w:pPr>
              <w:pStyle w:val="TableText"/>
            </w:pPr>
            <w:r w:rsidRPr="00DE4361">
              <w:t>FUTA </w:t>
            </w:r>
          </w:p>
        </w:tc>
        <w:tc>
          <w:tcPr>
            <w:tcW w:w="5565" w:type="dxa"/>
            <w:vAlign w:val="center"/>
            <w:hideMark/>
          </w:tcPr>
          <w:p w14:paraId="32A58800" w14:textId="0F43B3F5" w:rsidR="00DE4361" w:rsidRPr="00DE4361" w:rsidRDefault="00DE4361" w:rsidP="00330188">
            <w:pPr>
              <w:pStyle w:val="TableText"/>
            </w:pPr>
            <w:r w:rsidRPr="00DE4361">
              <w:t>Federal Unemployment Tax Act</w:t>
            </w:r>
          </w:p>
        </w:tc>
      </w:tr>
      <w:tr w:rsidR="00DE4361" w:rsidRPr="00DE4361" w14:paraId="34004010" w14:textId="77777777" w:rsidTr="000A1064">
        <w:trPr>
          <w:trHeight w:val="300"/>
        </w:trPr>
        <w:tc>
          <w:tcPr>
            <w:tcW w:w="3765" w:type="dxa"/>
            <w:vAlign w:val="center"/>
            <w:hideMark/>
          </w:tcPr>
          <w:p w14:paraId="497EBA7E" w14:textId="77777777" w:rsidR="00DE4361" w:rsidRPr="00DE4361" w:rsidRDefault="00DE4361" w:rsidP="00330188">
            <w:pPr>
              <w:pStyle w:val="TableText"/>
            </w:pPr>
            <w:r w:rsidRPr="00DE4361">
              <w:t>FY </w:t>
            </w:r>
          </w:p>
        </w:tc>
        <w:tc>
          <w:tcPr>
            <w:tcW w:w="5565" w:type="dxa"/>
            <w:vAlign w:val="center"/>
            <w:hideMark/>
          </w:tcPr>
          <w:p w14:paraId="1DC5454C" w14:textId="335B75E7" w:rsidR="00DE4361" w:rsidRPr="00DE4361" w:rsidRDefault="00DE4361" w:rsidP="00330188">
            <w:pPr>
              <w:pStyle w:val="TableText"/>
            </w:pPr>
            <w:r w:rsidRPr="00DE4361">
              <w:t>Fiscal Year</w:t>
            </w:r>
          </w:p>
        </w:tc>
      </w:tr>
      <w:tr w:rsidR="00DE4361" w:rsidRPr="00DE4361" w14:paraId="2B0574EB" w14:textId="77777777" w:rsidTr="000A1064">
        <w:trPr>
          <w:trHeight w:val="300"/>
        </w:trPr>
        <w:tc>
          <w:tcPr>
            <w:tcW w:w="3765" w:type="dxa"/>
            <w:vAlign w:val="center"/>
            <w:hideMark/>
          </w:tcPr>
          <w:p w14:paraId="08A67C49" w14:textId="77777777" w:rsidR="00DE4361" w:rsidRPr="00DE4361" w:rsidRDefault="00DE4361" w:rsidP="00330188">
            <w:pPr>
              <w:pStyle w:val="TableText"/>
            </w:pPr>
            <w:r w:rsidRPr="00DE4361">
              <w:t>GAA </w:t>
            </w:r>
          </w:p>
        </w:tc>
        <w:tc>
          <w:tcPr>
            <w:tcW w:w="5565" w:type="dxa"/>
            <w:vAlign w:val="center"/>
            <w:hideMark/>
          </w:tcPr>
          <w:p w14:paraId="75FAA128" w14:textId="56C6E5B9" w:rsidR="00DE4361" w:rsidRPr="00DE4361" w:rsidRDefault="00DE4361" w:rsidP="00330188">
            <w:pPr>
              <w:pStyle w:val="TableText"/>
            </w:pPr>
            <w:r w:rsidRPr="00DE4361">
              <w:t>General Appropriations Act</w:t>
            </w:r>
          </w:p>
        </w:tc>
      </w:tr>
      <w:tr w:rsidR="00DE4361" w:rsidRPr="00DE4361" w14:paraId="15C703D3" w14:textId="77777777" w:rsidTr="000A1064">
        <w:trPr>
          <w:trHeight w:val="300"/>
        </w:trPr>
        <w:tc>
          <w:tcPr>
            <w:tcW w:w="3765" w:type="dxa"/>
            <w:vAlign w:val="center"/>
            <w:hideMark/>
          </w:tcPr>
          <w:p w14:paraId="0B6318BE" w14:textId="77777777" w:rsidR="00DE4361" w:rsidRPr="00DE4361" w:rsidRDefault="00DE4361" w:rsidP="00330188">
            <w:pPr>
              <w:pStyle w:val="TableText"/>
            </w:pPr>
            <w:r w:rsidRPr="00DE4361">
              <w:t>GR </w:t>
            </w:r>
          </w:p>
        </w:tc>
        <w:tc>
          <w:tcPr>
            <w:tcW w:w="5565" w:type="dxa"/>
            <w:vAlign w:val="center"/>
            <w:hideMark/>
          </w:tcPr>
          <w:p w14:paraId="73B8DB6E" w14:textId="2767DD00" w:rsidR="00DE4361" w:rsidRPr="00DE4361" w:rsidRDefault="00DE4361" w:rsidP="00330188">
            <w:pPr>
              <w:pStyle w:val="TableText"/>
            </w:pPr>
            <w:r w:rsidRPr="00DE4361">
              <w:t>General Revenue</w:t>
            </w:r>
          </w:p>
        </w:tc>
      </w:tr>
      <w:tr w:rsidR="00DE4361" w:rsidRPr="00DE4361" w14:paraId="1A76F971" w14:textId="77777777" w:rsidTr="000A1064">
        <w:trPr>
          <w:trHeight w:val="300"/>
        </w:trPr>
        <w:tc>
          <w:tcPr>
            <w:tcW w:w="3765" w:type="dxa"/>
            <w:vAlign w:val="center"/>
            <w:hideMark/>
          </w:tcPr>
          <w:p w14:paraId="0EEA68AF" w14:textId="77777777" w:rsidR="00DE4361" w:rsidRPr="00DE4361" w:rsidRDefault="00DE4361" w:rsidP="00330188">
            <w:pPr>
              <w:pStyle w:val="TableText"/>
            </w:pPr>
            <w:r w:rsidRPr="00DE4361">
              <w:t>HB </w:t>
            </w:r>
          </w:p>
        </w:tc>
        <w:tc>
          <w:tcPr>
            <w:tcW w:w="5565" w:type="dxa"/>
            <w:vAlign w:val="center"/>
            <w:hideMark/>
          </w:tcPr>
          <w:p w14:paraId="51BEA96F" w14:textId="569606F7" w:rsidR="00DE4361" w:rsidRPr="00DE4361" w:rsidRDefault="00DE4361" w:rsidP="00330188">
            <w:pPr>
              <w:pStyle w:val="TableText"/>
            </w:pPr>
            <w:r w:rsidRPr="00DE4361">
              <w:t>House Bill</w:t>
            </w:r>
          </w:p>
        </w:tc>
      </w:tr>
      <w:tr w:rsidR="00DE4361" w:rsidRPr="00DE4361" w14:paraId="749BF31D" w14:textId="77777777" w:rsidTr="000A1064">
        <w:trPr>
          <w:trHeight w:val="300"/>
        </w:trPr>
        <w:tc>
          <w:tcPr>
            <w:tcW w:w="3765" w:type="dxa"/>
            <w:vAlign w:val="center"/>
            <w:hideMark/>
          </w:tcPr>
          <w:p w14:paraId="614C3007" w14:textId="77777777" w:rsidR="00DE4361" w:rsidRPr="00DE4361" w:rsidRDefault="00DE4361" w:rsidP="00330188">
            <w:pPr>
              <w:pStyle w:val="TableText"/>
            </w:pPr>
            <w:r w:rsidRPr="00DE4361">
              <w:t>HHSC </w:t>
            </w:r>
          </w:p>
        </w:tc>
        <w:tc>
          <w:tcPr>
            <w:tcW w:w="5565" w:type="dxa"/>
            <w:vAlign w:val="center"/>
            <w:hideMark/>
          </w:tcPr>
          <w:p w14:paraId="42DB5D6D" w14:textId="549613E3" w:rsidR="00DE4361" w:rsidRPr="00DE4361" w:rsidRDefault="00DE4361" w:rsidP="00330188">
            <w:pPr>
              <w:pStyle w:val="TableText"/>
            </w:pPr>
            <w:r w:rsidRPr="00DE4361">
              <w:t>Health and Human Services Commission</w:t>
            </w:r>
          </w:p>
        </w:tc>
      </w:tr>
      <w:tr w:rsidR="00DE4361" w:rsidRPr="00DE4361" w14:paraId="11793744" w14:textId="77777777" w:rsidTr="000A1064">
        <w:trPr>
          <w:trHeight w:val="300"/>
        </w:trPr>
        <w:tc>
          <w:tcPr>
            <w:tcW w:w="3765" w:type="dxa"/>
            <w:vAlign w:val="center"/>
            <w:hideMark/>
          </w:tcPr>
          <w:p w14:paraId="1DCA9B8B" w14:textId="77777777" w:rsidR="00DE4361" w:rsidRPr="00DE4361" w:rsidRDefault="00DE4361" w:rsidP="00330188">
            <w:pPr>
              <w:pStyle w:val="TableText"/>
            </w:pPr>
            <w:r w:rsidRPr="00DE4361">
              <w:t>HOPES </w:t>
            </w:r>
          </w:p>
        </w:tc>
        <w:tc>
          <w:tcPr>
            <w:tcW w:w="5565" w:type="dxa"/>
            <w:vAlign w:val="center"/>
            <w:hideMark/>
          </w:tcPr>
          <w:p w14:paraId="00BDEEA7" w14:textId="1C85C35C" w:rsidR="00DE4361" w:rsidRPr="00DE4361" w:rsidRDefault="00DE4361" w:rsidP="00330188">
            <w:pPr>
              <w:pStyle w:val="TableText"/>
            </w:pPr>
            <w:r w:rsidRPr="00DE4361">
              <w:t>Healthy Outcomes Through Prevention and Early Support</w:t>
            </w:r>
          </w:p>
        </w:tc>
      </w:tr>
      <w:tr w:rsidR="00DE4361" w:rsidRPr="00DE4361" w14:paraId="00B213C7" w14:textId="77777777" w:rsidTr="000A1064">
        <w:trPr>
          <w:trHeight w:val="300"/>
        </w:trPr>
        <w:tc>
          <w:tcPr>
            <w:tcW w:w="3765" w:type="dxa"/>
            <w:vAlign w:val="center"/>
            <w:hideMark/>
          </w:tcPr>
          <w:p w14:paraId="7249E0D3" w14:textId="77777777" w:rsidR="00DE4361" w:rsidRPr="00DE4361" w:rsidRDefault="00DE4361" w:rsidP="00330188">
            <w:pPr>
              <w:pStyle w:val="TableText"/>
            </w:pPr>
            <w:r w:rsidRPr="00DE4361">
              <w:t>HR </w:t>
            </w:r>
          </w:p>
        </w:tc>
        <w:tc>
          <w:tcPr>
            <w:tcW w:w="5565" w:type="dxa"/>
            <w:vAlign w:val="center"/>
            <w:hideMark/>
          </w:tcPr>
          <w:p w14:paraId="1743020B" w14:textId="52A4565F" w:rsidR="00DE4361" w:rsidRPr="00DE4361" w:rsidRDefault="00DE4361" w:rsidP="00330188">
            <w:pPr>
              <w:pStyle w:val="TableText"/>
            </w:pPr>
            <w:r w:rsidRPr="00DE4361">
              <w:t>House of Representatives</w:t>
            </w:r>
          </w:p>
        </w:tc>
      </w:tr>
      <w:tr w:rsidR="00DE4361" w:rsidRPr="00DE4361" w14:paraId="3ECA713D" w14:textId="77777777" w:rsidTr="000A1064">
        <w:trPr>
          <w:trHeight w:val="300"/>
        </w:trPr>
        <w:tc>
          <w:tcPr>
            <w:tcW w:w="3765" w:type="dxa"/>
            <w:vAlign w:val="center"/>
            <w:hideMark/>
          </w:tcPr>
          <w:p w14:paraId="4AAD5A1C" w14:textId="77777777" w:rsidR="00DE4361" w:rsidRPr="00DE4361" w:rsidRDefault="00DE4361" w:rsidP="00330188">
            <w:pPr>
              <w:pStyle w:val="TableText"/>
            </w:pPr>
            <w:r w:rsidRPr="00DE4361">
              <w:t>HUB </w:t>
            </w:r>
          </w:p>
        </w:tc>
        <w:tc>
          <w:tcPr>
            <w:tcW w:w="5565" w:type="dxa"/>
            <w:vAlign w:val="center"/>
            <w:hideMark/>
          </w:tcPr>
          <w:p w14:paraId="7766D370" w14:textId="05924BF6" w:rsidR="00DE4361" w:rsidRPr="00DE4361" w:rsidRDefault="00DE4361" w:rsidP="00330188">
            <w:pPr>
              <w:pStyle w:val="TableText"/>
            </w:pPr>
            <w:r w:rsidRPr="00DE4361">
              <w:t>Historically Underutilized Business</w:t>
            </w:r>
          </w:p>
        </w:tc>
      </w:tr>
      <w:tr w:rsidR="00DE4361" w:rsidRPr="00DE4361" w14:paraId="4A1B9898" w14:textId="77777777" w:rsidTr="000A1064">
        <w:trPr>
          <w:trHeight w:val="300"/>
        </w:trPr>
        <w:tc>
          <w:tcPr>
            <w:tcW w:w="3765" w:type="dxa"/>
            <w:vAlign w:val="center"/>
            <w:hideMark/>
          </w:tcPr>
          <w:p w14:paraId="77670D3E" w14:textId="77777777" w:rsidR="00DE4361" w:rsidRPr="00DE4361" w:rsidRDefault="00DE4361" w:rsidP="00330188">
            <w:pPr>
              <w:pStyle w:val="TableText"/>
            </w:pPr>
            <w:r w:rsidRPr="00DE4361">
              <w:t>HUD </w:t>
            </w:r>
          </w:p>
        </w:tc>
        <w:tc>
          <w:tcPr>
            <w:tcW w:w="5565" w:type="dxa"/>
            <w:vAlign w:val="center"/>
            <w:hideMark/>
          </w:tcPr>
          <w:p w14:paraId="47740CCB" w14:textId="5878E0DA" w:rsidR="00DE4361" w:rsidRPr="00DE4361" w:rsidRDefault="00DE4361" w:rsidP="00330188">
            <w:pPr>
              <w:pStyle w:val="TableText"/>
            </w:pPr>
            <w:r w:rsidRPr="00DE4361">
              <w:t>US Department of Housing and Urban Development</w:t>
            </w:r>
          </w:p>
        </w:tc>
      </w:tr>
      <w:tr w:rsidR="00DE4361" w:rsidRPr="00DE4361" w14:paraId="09D0FB34" w14:textId="77777777" w:rsidTr="000A1064">
        <w:trPr>
          <w:trHeight w:val="300"/>
        </w:trPr>
        <w:tc>
          <w:tcPr>
            <w:tcW w:w="3765" w:type="dxa"/>
            <w:vAlign w:val="center"/>
            <w:hideMark/>
          </w:tcPr>
          <w:p w14:paraId="1FB9D8AF" w14:textId="77777777" w:rsidR="00DE4361" w:rsidRPr="00DE4361" w:rsidRDefault="00DE4361" w:rsidP="00330188">
            <w:pPr>
              <w:pStyle w:val="TableText"/>
            </w:pPr>
            <w:r w:rsidRPr="00DE4361">
              <w:t>I|3 </w:t>
            </w:r>
          </w:p>
        </w:tc>
        <w:tc>
          <w:tcPr>
            <w:tcW w:w="5565" w:type="dxa"/>
            <w:vAlign w:val="center"/>
            <w:hideMark/>
          </w:tcPr>
          <w:p w14:paraId="37BA86C5" w14:textId="3056E5C9" w:rsidR="00DE4361" w:rsidRPr="00DE4361" w:rsidRDefault="00DE4361" w:rsidP="00330188">
            <w:pPr>
              <w:pStyle w:val="TableText"/>
            </w:pPr>
            <w:r w:rsidRPr="00DE4361">
              <w:t>Information, Innovation and Insight</w:t>
            </w:r>
          </w:p>
        </w:tc>
      </w:tr>
      <w:tr w:rsidR="00DE4361" w:rsidRPr="00DE4361" w14:paraId="25039D5C" w14:textId="77777777" w:rsidTr="000A1064">
        <w:trPr>
          <w:trHeight w:val="300"/>
        </w:trPr>
        <w:tc>
          <w:tcPr>
            <w:tcW w:w="3765" w:type="dxa"/>
            <w:vAlign w:val="center"/>
            <w:hideMark/>
          </w:tcPr>
          <w:p w14:paraId="31419FE1" w14:textId="77777777" w:rsidR="00DE4361" w:rsidRPr="00DE4361" w:rsidRDefault="00DE4361" w:rsidP="00330188">
            <w:pPr>
              <w:pStyle w:val="TableText"/>
            </w:pPr>
            <w:r w:rsidRPr="00DE4361">
              <w:t>IA </w:t>
            </w:r>
          </w:p>
        </w:tc>
        <w:tc>
          <w:tcPr>
            <w:tcW w:w="5565" w:type="dxa"/>
            <w:vAlign w:val="center"/>
            <w:hideMark/>
          </w:tcPr>
          <w:p w14:paraId="3D9F5819" w14:textId="10BA1AA7" w:rsidR="00DE4361" w:rsidRPr="00DE4361" w:rsidRDefault="00DE4361" w:rsidP="00330188">
            <w:pPr>
              <w:pStyle w:val="TableText"/>
            </w:pPr>
            <w:r w:rsidRPr="00DE4361">
              <w:t>Internal Audit</w:t>
            </w:r>
          </w:p>
        </w:tc>
      </w:tr>
      <w:tr w:rsidR="00DE4361" w:rsidRPr="00DE4361" w14:paraId="7E7771DE" w14:textId="77777777" w:rsidTr="000A1064">
        <w:trPr>
          <w:trHeight w:val="300"/>
        </w:trPr>
        <w:tc>
          <w:tcPr>
            <w:tcW w:w="3765" w:type="dxa"/>
            <w:vAlign w:val="center"/>
            <w:hideMark/>
          </w:tcPr>
          <w:p w14:paraId="16B8A9F1" w14:textId="77777777" w:rsidR="00DE4361" w:rsidRPr="00DE4361" w:rsidRDefault="00DE4361" w:rsidP="00330188">
            <w:pPr>
              <w:pStyle w:val="TableText"/>
            </w:pPr>
            <w:r w:rsidRPr="00DE4361">
              <w:t>IAC </w:t>
            </w:r>
          </w:p>
        </w:tc>
        <w:tc>
          <w:tcPr>
            <w:tcW w:w="5565" w:type="dxa"/>
            <w:vAlign w:val="center"/>
            <w:hideMark/>
          </w:tcPr>
          <w:p w14:paraId="455C3C05" w14:textId="4E9D28D9" w:rsidR="00DE4361" w:rsidRPr="00DE4361" w:rsidRDefault="00DE4361" w:rsidP="00330188">
            <w:pPr>
              <w:pStyle w:val="TableText"/>
            </w:pPr>
            <w:r w:rsidRPr="00DE4361">
              <w:t>Interagency Contracts</w:t>
            </w:r>
          </w:p>
        </w:tc>
      </w:tr>
      <w:tr w:rsidR="00DE4361" w:rsidRPr="00DE4361" w14:paraId="58FF68CD" w14:textId="77777777" w:rsidTr="000A1064">
        <w:trPr>
          <w:trHeight w:val="300"/>
        </w:trPr>
        <w:tc>
          <w:tcPr>
            <w:tcW w:w="3765" w:type="dxa"/>
            <w:vAlign w:val="center"/>
            <w:hideMark/>
          </w:tcPr>
          <w:p w14:paraId="47583A9F" w14:textId="77777777" w:rsidR="00DE4361" w:rsidRPr="00DE4361" w:rsidRDefault="00DE4361" w:rsidP="00330188">
            <w:pPr>
              <w:pStyle w:val="TableText"/>
            </w:pPr>
            <w:r w:rsidRPr="00DE4361">
              <w:t>IBC </w:t>
            </w:r>
          </w:p>
        </w:tc>
        <w:tc>
          <w:tcPr>
            <w:tcW w:w="5565" w:type="dxa"/>
            <w:vAlign w:val="center"/>
            <w:hideMark/>
          </w:tcPr>
          <w:p w14:paraId="1ECDD209" w14:textId="7E34DECD" w:rsidR="00DE4361" w:rsidRPr="00DE4361" w:rsidRDefault="00DE4361" w:rsidP="00330188">
            <w:pPr>
              <w:pStyle w:val="TableText"/>
            </w:pPr>
            <w:r w:rsidRPr="00DE4361">
              <w:t>Industry-Based Certification</w:t>
            </w:r>
          </w:p>
        </w:tc>
      </w:tr>
      <w:tr w:rsidR="00DE4361" w:rsidRPr="00DE4361" w14:paraId="1D33A633" w14:textId="77777777" w:rsidTr="000A1064">
        <w:trPr>
          <w:trHeight w:val="300"/>
        </w:trPr>
        <w:tc>
          <w:tcPr>
            <w:tcW w:w="3765" w:type="dxa"/>
            <w:vAlign w:val="center"/>
            <w:hideMark/>
          </w:tcPr>
          <w:p w14:paraId="59646FE4" w14:textId="77777777" w:rsidR="00DE4361" w:rsidRPr="00DE4361" w:rsidRDefault="00DE4361" w:rsidP="00330188">
            <w:pPr>
              <w:pStyle w:val="TableText"/>
            </w:pPr>
            <w:r w:rsidRPr="00DE4361">
              <w:t>IDA </w:t>
            </w:r>
          </w:p>
        </w:tc>
        <w:tc>
          <w:tcPr>
            <w:tcW w:w="5565" w:type="dxa"/>
            <w:vAlign w:val="center"/>
            <w:hideMark/>
          </w:tcPr>
          <w:p w14:paraId="7D255B7C" w14:textId="4D5453BC" w:rsidR="00DE4361" w:rsidRPr="00DE4361" w:rsidRDefault="00DE4361" w:rsidP="00330188">
            <w:pPr>
              <w:pStyle w:val="TableText"/>
            </w:pPr>
            <w:r w:rsidRPr="00DE4361">
              <w:t>Individual Development Account</w:t>
            </w:r>
          </w:p>
        </w:tc>
      </w:tr>
      <w:tr w:rsidR="00DE4361" w:rsidRPr="00DE4361" w14:paraId="65480003" w14:textId="77777777" w:rsidTr="000A1064">
        <w:trPr>
          <w:trHeight w:val="300"/>
        </w:trPr>
        <w:tc>
          <w:tcPr>
            <w:tcW w:w="3765" w:type="dxa"/>
            <w:vAlign w:val="center"/>
            <w:hideMark/>
          </w:tcPr>
          <w:p w14:paraId="617BB9A2" w14:textId="77777777" w:rsidR="00DE4361" w:rsidRPr="00DE4361" w:rsidRDefault="00DE4361" w:rsidP="00330188">
            <w:pPr>
              <w:pStyle w:val="TableText"/>
            </w:pPr>
            <w:r w:rsidRPr="00DE4361">
              <w:t>IEA </w:t>
            </w:r>
          </w:p>
        </w:tc>
        <w:tc>
          <w:tcPr>
            <w:tcW w:w="5565" w:type="dxa"/>
            <w:vAlign w:val="center"/>
            <w:hideMark/>
          </w:tcPr>
          <w:p w14:paraId="628D6426" w14:textId="371D377A" w:rsidR="00DE4361" w:rsidRPr="00DE4361" w:rsidRDefault="00DE4361" w:rsidP="00330188">
            <w:pPr>
              <w:pStyle w:val="TableText"/>
            </w:pPr>
            <w:r w:rsidRPr="00DE4361">
              <w:t>Information Exchange Agreement</w:t>
            </w:r>
          </w:p>
        </w:tc>
      </w:tr>
      <w:tr w:rsidR="00DE4361" w:rsidRPr="00DE4361" w14:paraId="1913D96C" w14:textId="77777777" w:rsidTr="000A1064">
        <w:trPr>
          <w:trHeight w:val="300"/>
        </w:trPr>
        <w:tc>
          <w:tcPr>
            <w:tcW w:w="3765" w:type="dxa"/>
            <w:vAlign w:val="center"/>
            <w:hideMark/>
          </w:tcPr>
          <w:p w14:paraId="163556BF" w14:textId="77777777" w:rsidR="00DE4361" w:rsidRPr="00DE4361" w:rsidRDefault="00DE4361" w:rsidP="00330188">
            <w:pPr>
              <w:pStyle w:val="TableText"/>
            </w:pPr>
            <w:r w:rsidRPr="00DE4361">
              <w:t>IECMHC </w:t>
            </w:r>
          </w:p>
        </w:tc>
        <w:tc>
          <w:tcPr>
            <w:tcW w:w="5565" w:type="dxa"/>
            <w:vAlign w:val="center"/>
            <w:hideMark/>
          </w:tcPr>
          <w:p w14:paraId="174DA732" w14:textId="14232B00" w:rsidR="00DE4361" w:rsidRPr="00DE4361" w:rsidRDefault="00DE4361" w:rsidP="00330188">
            <w:pPr>
              <w:pStyle w:val="TableText"/>
            </w:pPr>
            <w:r w:rsidRPr="00DE4361">
              <w:t>Infant and Early Childhood Mental Hea</w:t>
            </w:r>
            <w:r w:rsidR="005564F1">
              <w:t>l</w:t>
            </w:r>
            <w:r w:rsidRPr="00DE4361">
              <w:t>th Consultation</w:t>
            </w:r>
          </w:p>
        </w:tc>
      </w:tr>
      <w:tr w:rsidR="00DE4361" w:rsidRPr="00DE4361" w14:paraId="554B3215" w14:textId="77777777" w:rsidTr="000A1064">
        <w:trPr>
          <w:trHeight w:val="300"/>
        </w:trPr>
        <w:tc>
          <w:tcPr>
            <w:tcW w:w="3765" w:type="dxa"/>
            <w:vAlign w:val="center"/>
            <w:hideMark/>
          </w:tcPr>
          <w:p w14:paraId="2988B6D0" w14:textId="77777777" w:rsidR="00DE4361" w:rsidRPr="00DE4361" w:rsidRDefault="00DE4361" w:rsidP="00330188">
            <w:pPr>
              <w:pStyle w:val="TableText"/>
            </w:pPr>
            <w:r w:rsidRPr="00DE4361">
              <w:lastRenderedPageBreak/>
              <w:t>IPERIA </w:t>
            </w:r>
          </w:p>
        </w:tc>
        <w:tc>
          <w:tcPr>
            <w:tcW w:w="5565" w:type="dxa"/>
            <w:vAlign w:val="center"/>
            <w:hideMark/>
          </w:tcPr>
          <w:p w14:paraId="7CDA1456" w14:textId="7421E943" w:rsidR="00DE4361" w:rsidRPr="00DE4361" w:rsidRDefault="00DE4361" w:rsidP="00330188">
            <w:pPr>
              <w:pStyle w:val="TableText"/>
            </w:pPr>
            <w:r w:rsidRPr="00DE4361">
              <w:t>Improper Payments Elimination and Recovery Improvement Act</w:t>
            </w:r>
          </w:p>
        </w:tc>
      </w:tr>
      <w:tr w:rsidR="00DE4361" w:rsidRPr="00DE4361" w14:paraId="5506F782" w14:textId="77777777" w:rsidTr="000A1064">
        <w:trPr>
          <w:trHeight w:val="300"/>
        </w:trPr>
        <w:tc>
          <w:tcPr>
            <w:tcW w:w="3765" w:type="dxa"/>
            <w:vAlign w:val="center"/>
            <w:hideMark/>
          </w:tcPr>
          <w:p w14:paraId="40CD3FCC" w14:textId="77777777" w:rsidR="00DE4361" w:rsidRPr="00DE4361" w:rsidRDefault="00DE4361" w:rsidP="00330188">
            <w:pPr>
              <w:pStyle w:val="TableText"/>
            </w:pPr>
            <w:r w:rsidRPr="00DE4361">
              <w:t>IRORA </w:t>
            </w:r>
          </w:p>
        </w:tc>
        <w:tc>
          <w:tcPr>
            <w:tcW w:w="5565" w:type="dxa"/>
            <w:vAlign w:val="center"/>
            <w:hideMark/>
          </w:tcPr>
          <w:p w14:paraId="1D154BBB" w14:textId="6A24C17E" w:rsidR="00DE4361" w:rsidRPr="00DE4361" w:rsidRDefault="00DE4361" w:rsidP="00330188">
            <w:pPr>
              <w:pStyle w:val="TableText"/>
            </w:pPr>
            <w:r w:rsidRPr="00DE4361">
              <w:t xml:space="preserve">Interstate </w:t>
            </w:r>
            <w:r w:rsidR="005564F1">
              <w:t>R</w:t>
            </w:r>
            <w:r w:rsidRPr="00DE4361">
              <w:t>eciprocal Overpayment Recovery Arrangement</w:t>
            </w:r>
          </w:p>
        </w:tc>
      </w:tr>
      <w:tr w:rsidR="00DE4361" w:rsidRPr="00DE4361" w14:paraId="74595B37" w14:textId="77777777" w:rsidTr="000A1064">
        <w:trPr>
          <w:trHeight w:val="300"/>
        </w:trPr>
        <w:tc>
          <w:tcPr>
            <w:tcW w:w="3765" w:type="dxa"/>
            <w:vAlign w:val="center"/>
            <w:hideMark/>
          </w:tcPr>
          <w:p w14:paraId="0752275F" w14:textId="77777777" w:rsidR="00DE4361" w:rsidRPr="00DE4361" w:rsidRDefault="00DE4361" w:rsidP="00330188">
            <w:pPr>
              <w:pStyle w:val="TableText"/>
            </w:pPr>
            <w:r w:rsidRPr="00DE4361">
              <w:t>IRS </w:t>
            </w:r>
          </w:p>
        </w:tc>
        <w:tc>
          <w:tcPr>
            <w:tcW w:w="5565" w:type="dxa"/>
            <w:vAlign w:val="center"/>
            <w:hideMark/>
          </w:tcPr>
          <w:p w14:paraId="75BD25A0" w14:textId="6CE63623" w:rsidR="00DE4361" w:rsidRPr="00DE4361" w:rsidRDefault="00DE4361" w:rsidP="00330188">
            <w:pPr>
              <w:pStyle w:val="TableText"/>
            </w:pPr>
            <w:r w:rsidRPr="00DE4361">
              <w:t>Internal Revenue Service</w:t>
            </w:r>
          </w:p>
        </w:tc>
      </w:tr>
      <w:tr w:rsidR="00DE4361" w:rsidRPr="00DE4361" w14:paraId="18ED7885" w14:textId="77777777" w:rsidTr="000A1064">
        <w:trPr>
          <w:trHeight w:val="300"/>
        </w:trPr>
        <w:tc>
          <w:tcPr>
            <w:tcW w:w="3765" w:type="dxa"/>
            <w:vAlign w:val="center"/>
            <w:hideMark/>
          </w:tcPr>
          <w:p w14:paraId="230D42FF" w14:textId="77777777" w:rsidR="00DE4361" w:rsidRPr="00DE4361" w:rsidRDefault="00DE4361" w:rsidP="00330188">
            <w:pPr>
              <w:pStyle w:val="TableText"/>
            </w:pPr>
            <w:r w:rsidRPr="00DE4361">
              <w:t>IT </w:t>
            </w:r>
          </w:p>
        </w:tc>
        <w:tc>
          <w:tcPr>
            <w:tcW w:w="5565" w:type="dxa"/>
            <w:vAlign w:val="center"/>
            <w:hideMark/>
          </w:tcPr>
          <w:p w14:paraId="4ECFE769" w14:textId="56B7CD42" w:rsidR="00DE4361" w:rsidRPr="00DE4361" w:rsidRDefault="00DE4361" w:rsidP="00330188">
            <w:pPr>
              <w:pStyle w:val="TableText"/>
            </w:pPr>
            <w:r w:rsidRPr="00DE4361">
              <w:t>Information Technology</w:t>
            </w:r>
          </w:p>
        </w:tc>
      </w:tr>
      <w:tr w:rsidR="00DE4361" w:rsidRPr="00DE4361" w14:paraId="0A9A399D" w14:textId="77777777" w:rsidTr="000A1064">
        <w:trPr>
          <w:trHeight w:val="300"/>
        </w:trPr>
        <w:tc>
          <w:tcPr>
            <w:tcW w:w="3765" w:type="dxa"/>
            <w:vAlign w:val="center"/>
            <w:hideMark/>
          </w:tcPr>
          <w:p w14:paraId="693543D5" w14:textId="77777777" w:rsidR="00DE4361" w:rsidRPr="00DE4361" w:rsidRDefault="00DE4361" w:rsidP="00330188">
            <w:pPr>
              <w:pStyle w:val="TableText"/>
            </w:pPr>
            <w:r w:rsidRPr="00DE4361">
              <w:t>ITSN </w:t>
            </w:r>
          </w:p>
        </w:tc>
        <w:tc>
          <w:tcPr>
            <w:tcW w:w="5565" w:type="dxa"/>
            <w:vAlign w:val="center"/>
            <w:hideMark/>
          </w:tcPr>
          <w:p w14:paraId="3B782117" w14:textId="644A3038" w:rsidR="00DE4361" w:rsidRPr="00DE4361" w:rsidRDefault="00DE4361" w:rsidP="00330188">
            <w:pPr>
              <w:pStyle w:val="TableText"/>
            </w:pPr>
            <w:r w:rsidRPr="00DE4361">
              <w:t>Infant/Toddler System Network</w:t>
            </w:r>
          </w:p>
        </w:tc>
      </w:tr>
      <w:tr w:rsidR="00DE4361" w:rsidRPr="00DE4361" w14:paraId="12948F68" w14:textId="77777777" w:rsidTr="000A1064">
        <w:trPr>
          <w:trHeight w:val="300"/>
        </w:trPr>
        <w:tc>
          <w:tcPr>
            <w:tcW w:w="3765" w:type="dxa"/>
            <w:vAlign w:val="center"/>
            <w:hideMark/>
          </w:tcPr>
          <w:p w14:paraId="59A0EFBC" w14:textId="77777777" w:rsidR="00DE4361" w:rsidRPr="00DE4361" w:rsidRDefault="00DE4361" w:rsidP="00330188">
            <w:pPr>
              <w:pStyle w:val="TableText"/>
            </w:pPr>
            <w:r w:rsidRPr="00DE4361">
              <w:t>IVR </w:t>
            </w:r>
          </w:p>
        </w:tc>
        <w:tc>
          <w:tcPr>
            <w:tcW w:w="5565" w:type="dxa"/>
            <w:vAlign w:val="center"/>
            <w:hideMark/>
          </w:tcPr>
          <w:p w14:paraId="0E19E5E1" w14:textId="0D28CCFB" w:rsidR="00DE4361" w:rsidRPr="00DE4361" w:rsidRDefault="00DE4361" w:rsidP="00330188">
            <w:pPr>
              <w:pStyle w:val="TableText"/>
            </w:pPr>
            <w:r w:rsidRPr="00DE4361">
              <w:t>Interactive Voice Response</w:t>
            </w:r>
          </w:p>
        </w:tc>
      </w:tr>
      <w:tr w:rsidR="00DE4361" w:rsidRPr="00DE4361" w14:paraId="6E7AAE00" w14:textId="77777777" w:rsidTr="000A1064">
        <w:trPr>
          <w:trHeight w:val="300"/>
        </w:trPr>
        <w:tc>
          <w:tcPr>
            <w:tcW w:w="3765" w:type="dxa"/>
            <w:vAlign w:val="center"/>
            <w:hideMark/>
          </w:tcPr>
          <w:p w14:paraId="684E31C4" w14:textId="77777777" w:rsidR="00DE4361" w:rsidRPr="00DE4361" w:rsidRDefault="00DE4361" w:rsidP="00330188">
            <w:pPr>
              <w:pStyle w:val="TableText"/>
            </w:pPr>
            <w:r w:rsidRPr="00DE4361">
              <w:t>JET </w:t>
            </w:r>
          </w:p>
        </w:tc>
        <w:tc>
          <w:tcPr>
            <w:tcW w:w="5565" w:type="dxa"/>
            <w:vAlign w:val="center"/>
            <w:hideMark/>
          </w:tcPr>
          <w:p w14:paraId="1AD813C2" w14:textId="714C7D97" w:rsidR="00DE4361" w:rsidRPr="00DE4361" w:rsidRDefault="00DE4361" w:rsidP="00330188">
            <w:pPr>
              <w:pStyle w:val="TableText"/>
            </w:pPr>
            <w:r w:rsidRPr="00DE4361">
              <w:t>Jobs and Education for Texans</w:t>
            </w:r>
          </w:p>
        </w:tc>
      </w:tr>
      <w:tr w:rsidR="00DE4361" w:rsidRPr="00DE4361" w14:paraId="00F99F49" w14:textId="77777777" w:rsidTr="000A1064">
        <w:trPr>
          <w:trHeight w:val="300"/>
        </w:trPr>
        <w:tc>
          <w:tcPr>
            <w:tcW w:w="3765" w:type="dxa"/>
            <w:vAlign w:val="center"/>
            <w:hideMark/>
          </w:tcPr>
          <w:p w14:paraId="73721C80" w14:textId="77777777" w:rsidR="00DE4361" w:rsidRPr="00DE4361" w:rsidRDefault="00DE4361" w:rsidP="00330188">
            <w:pPr>
              <w:pStyle w:val="TableText"/>
            </w:pPr>
            <w:r w:rsidRPr="00DE4361">
              <w:t>JTPA </w:t>
            </w:r>
          </w:p>
        </w:tc>
        <w:tc>
          <w:tcPr>
            <w:tcW w:w="5565" w:type="dxa"/>
            <w:vAlign w:val="center"/>
            <w:hideMark/>
          </w:tcPr>
          <w:p w14:paraId="7BBC46EB" w14:textId="1E7B03D7" w:rsidR="00DE4361" w:rsidRPr="00DE4361" w:rsidRDefault="00DE4361" w:rsidP="00330188">
            <w:pPr>
              <w:pStyle w:val="TableText"/>
            </w:pPr>
            <w:r w:rsidRPr="00DE4361">
              <w:t>Job Training Partnership Act</w:t>
            </w:r>
          </w:p>
        </w:tc>
      </w:tr>
      <w:tr w:rsidR="00DE4361" w:rsidRPr="00DE4361" w14:paraId="19CD73D4" w14:textId="77777777" w:rsidTr="000A1064">
        <w:trPr>
          <w:trHeight w:val="300"/>
        </w:trPr>
        <w:tc>
          <w:tcPr>
            <w:tcW w:w="3765" w:type="dxa"/>
            <w:vAlign w:val="center"/>
            <w:hideMark/>
          </w:tcPr>
          <w:p w14:paraId="03605504" w14:textId="77777777" w:rsidR="00DE4361" w:rsidRPr="00DE4361" w:rsidRDefault="00DE4361" w:rsidP="00330188">
            <w:pPr>
              <w:pStyle w:val="TableText"/>
            </w:pPr>
            <w:r w:rsidRPr="00DE4361">
              <w:t>LAUS </w:t>
            </w:r>
          </w:p>
        </w:tc>
        <w:tc>
          <w:tcPr>
            <w:tcW w:w="5565" w:type="dxa"/>
            <w:vAlign w:val="center"/>
            <w:hideMark/>
          </w:tcPr>
          <w:p w14:paraId="21AA355A" w14:textId="704F1DDA" w:rsidR="00DE4361" w:rsidRPr="00DE4361" w:rsidRDefault="00DE4361" w:rsidP="00330188">
            <w:pPr>
              <w:pStyle w:val="TableText"/>
            </w:pPr>
            <w:r w:rsidRPr="00DE4361">
              <w:t>Local Area Unemployment Statistics</w:t>
            </w:r>
          </w:p>
        </w:tc>
      </w:tr>
      <w:tr w:rsidR="00DE4361" w:rsidRPr="00DE4361" w14:paraId="6711F7E7" w14:textId="77777777" w:rsidTr="000A1064">
        <w:trPr>
          <w:trHeight w:val="300"/>
        </w:trPr>
        <w:tc>
          <w:tcPr>
            <w:tcW w:w="3765" w:type="dxa"/>
            <w:vAlign w:val="center"/>
            <w:hideMark/>
          </w:tcPr>
          <w:p w14:paraId="79E1540E" w14:textId="77777777" w:rsidR="00DE4361" w:rsidRPr="00DE4361" w:rsidRDefault="00DE4361" w:rsidP="00330188">
            <w:pPr>
              <w:pStyle w:val="TableText"/>
            </w:pPr>
            <w:r w:rsidRPr="00DE4361">
              <w:t>LBB </w:t>
            </w:r>
          </w:p>
        </w:tc>
        <w:tc>
          <w:tcPr>
            <w:tcW w:w="5565" w:type="dxa"/>
            <w:vAlign w:val="center"/>
            <w:hideMark/>
          </w:tcPr>
          <w:p w14:paraId="5462A2F2" w14:textId="263930BA" w:rsidR="00DE4361" w:rsidRPr="00DE4361" w:rsidRDefault="00DE4361" w:rsidP="00330188">
            <w:pPr>
              <w:pStyle w:val="TableText"/>
            </w:pPr>
            <w:r w:rsidRPr="00DE4361">
              <w:t>Legislative Budget Board</w:t>
            </w:r>
          </w:p>
        </w:tc>
      </w:tr>
      <w:tr w:rsidR="00DE4361" w:rsidRPr="00DE4361" w14:paraId="29C17AC7" w14:textId="77777777" w:rsidTr="000A1064">
        <w:trPr>
          <w:trHeight w:val="300"/>
        </w:trPr>
        <w:tc>
          <w:tcPr>
            <w:tcW w:w="3765" w:type="dxa"/>
            <w:vAlign w:val="center"/>
            <w:hideMark/>
          </w:tcPr>
          <w:p w14:paraId="37603887" w14:textId="77777777" w:rsidR="00DE4361" w:rsidRPr="00DE4361" w:rsidRDefault="00DE4361" w:rsidP="00330188">
            <w:pPr>
              <w:pStyle w:val="TableText"/>
            </w:pPr>
            <w:r w:rsidRPr="00DE4361">
              <w:t>LEA </w:t>
            </w:r>
          </w:p>
        </w:tc>
        <w:tc>
          <w:tcPr>
            <w:tcW w:w="5565" w:type="dxa"/>
            <w:vAlign w:val="center"/>
            <w:hideMark/>
          </w:tcPr>
          <w:p w14:paraId="01656432" w14:textId="7B0F2536" w:rsidR="00DE4361" w:rsidRPr="00DE4361" w:rsidRDefault="00DE4361" w:rsidP="00330188">
            <w:pPr>
              <w:pStyle w:val="TableText"/>
            </w:pPr>
            <w:r w:rsidRPr="00DE4361">
              <w:t>Local Education Agency</w:t>
            </w:r>
          </w:p>
        </w:tc>
      </w:tr>
      <w:tr w:rsidR="00DE4361" w:rsidRPr="00DE4361" w14:paraId="5108C696" w14:textId="77777777" w:rsidTr="000A1064">
        <w:trPr>
          <w:trHeight w:val="300"/>
        </w:trPr>
        <w:tc>
          <w:tcPr>
            <w:tcW w:w="3765" w:type="dxa"/>
            <w:vAlign w:val="center"/>
            <w:hideMark/>
          </w:tcPr>
          <w:p w14:paraId="7E8FE900" w14:textId="77777777" w:rsidR="00DE4361" w:rsidRPr="00DE4361" w:rsidRDefault="00DE4361" w:rsidP="00330188">
            <w:pPr>
              <w:pStyle w:val="TableText"/>
            </w:pPr>
            <w:r w:rsidRPr="00DE4361">
              <w:t>LMI </w:t>
            </w:r>
          </w:p>
        </w:tc>
        <w:tc>
          <w:tcPr>
            <w:tcW w:w="5565" w:type="dxa"/>
            <w:vAlign w:val="center"/>
            <w:hideMark/>
          </w:tcPr>
          <w:p w14:paraId="71EA9FFE" w14:textId="0F137A10" w:rsidR="00DE4361" w:rsidRPr="00DE4361" w:rsidRDefault="00DE4361" w:rsidP="00330188">
            <w:pPr>
              <w:pStyle w:val="TableText"/>
            </w:pPr>
            <w:r w:rsidRPr="00DE4361">
              <w:t>Labor Market Information</w:t>
            </w:r>
          </w:p>
        </w:tc>
      </w:tr>
      <w:tr w:rsidR="00DE4361" w:rsidRPr="00DE4361" w14:paraId="0D1F3400" w14:textId="77777777" w:rsidTr="000A1064">
        <w:trPr>
          <w:trHeight w:val="300"/>
        </w:trPr>
        <w:tc>
          <w:tcPr>
            <w:tcW w:w="3765" w:type="dxa"/>
            <w:vAlign w:val="center"/>
            <w:hideMark/>
          </w:tcPr>
          <w:p w14:paraId="58B7574F" w14:textId="77777777" w:rsidR="00DE4361" w:rsidRPr="00DE4361" w:rsidRDefault="00DE4361" w:rsidP="00330188">
            <w:pPr>
              <w:pStyle w:val="TableText"/>
            </w:pPr>
            <w:r w:rsidRPr="00DE4361">
              <w:t>LSWF </w:t>
            </w:r>
          </w:p>
        </w:tc>
        <w:tc>
          <w:tcPr>
            <w:tcW w:w="5565" w:type="dxa"/>
            <w:vAlign w:val="center"/>
            <w:hideMark/>
          </w:tcPr>
          <w:p w14:paraId="0C9D6458" w14:textId="793E6B96" w:rsidR="00DE4361" w:rsidRPr="00DE4361" w:rsidRDefault="00DE4361" w:rsidP="00330188">
            <w:pPr>
              <w:pStyle w:val="TableText"/>
            </w:pPr>
            <w:r w:rsidRPr="00DE4361">
              <w:t>Lone Star Workforce of the Future</w:t>
            </w:r>
          </w:p>
        </w:tc>
      </w:tr>
      <w:tr w:rsidR="00DE4361" w:rsidRPr="00DE4361" w14:paraId="6E59F780" w14:textId="77777777" w:rsidTr="000A1064">
        <w:trPr>
          <w:trHeight w:val="300"/>
        </w:trPr>
        <w:tc>
          <w:tcPr>
            <w:tcW w:w="3765" w:type="dxa"/>
            <w:vAlign w:val="center"/>
            <w:hideMark/>
          </w:tcPr>
          <w:p w14:paraId="011AA80A" w14:textId="1F1FFB9B" w:rsidR="00DE4361" w:rsidRPr="00DE4361" w:rsidRDefault="00DE4361" w:rsidP="00330188">
            <w:pPr>
              <w:pStyle w:val="TableText"/>
            </w:pPr>
            <w:r w:rsidRPr="00DE4361">
              <w:t>LWDB </w:t>
            </w:r>
          </w:p>
        </w:tc>
        <w:tc>
          <w:tcPr>
            <w:tcW w:w="5565" w:type="dxa"/>
            <w:vAlign w:val="center"/>
            <w:hideMark/>
          </w:tcPr>
          <w:p w14:paraId="76AD3868" w14:textId="6AB24709" w:rsidR="00DE4361" w:rsidRPr="00DE4361" w:rsidRDefault="00DE4361" w:rsidP="00330188">
            <w:pPr>
              <w:pStyle w:val="TableText"/>
            </w:pPr>
            <w:r w:rsidRPr="00DE4361">
              <w:t>Local Workforce Development Boards</w:t>
            </w:r>
          </w:p>
        </w:tc>
      </w:tr>
      <w:tr w:rsidR="00DE4361" w:rsidRPr="00DE4361" w14:paraId="2FCA1E4F" w14:textId="77777777" w:rsidTr="000A1064">
        <w:trPr>
          <w:trHeight w:val="300"/>
        </w:trPr>
        <w:tc>
          <w:tcPr>
            <w:tcW w:w="3765" w:type="dxa"/>
            <w:vAlign w:val="center"/>
            <w:hideMark/>
          </w:tcPr>
          <w:p w14:paraId="0C78C956" w14:textId="77777777" w:rsidR="00DE4361" w:rsidRPr="00DE4361" w:rsidRDefault="00DE4361" w:rsidP="00330188">
            <w:pPr>
              <w:pStyle w:val="TableText"/>
            </w:pPr>
            <w:r w:rsidRPr="00DE4361">
              <w:t>MOSAIC </w:t>
            </w:r>
          </w:p>
        </w:tc>
        <w:tc>
          <w:tcPr>
            <w:tcW w:w="5565" w:type="dxa"/>
            <w:vAlign w:val="center"/>
            <w:hideMark/>
          </w:tcPr>
          <w:p w14:paraId="10D0A802" w14:textId="545C13B0" w:rsidR="00DE4361" w:rsidRPr="00DE4361" w:rsidRDefault="00DE4361" w:rsidP="00330188">
            <w:pPr>
              <w:pStyle w:val="TableText"/>
            </w:pPr>
            <w:r w:rsidRPr="00DE4361">
              <w:t xml:space="preserve">Monitoring </w:t>
            </w:r>
            <w:proofErr w:type="spellStart"/>
            <w:r w:rsidRPr="00DE4361">
              <w:t>OverSight</w:t>
            </w:r>
            <w:proofErr w:type="spellEnd"/>
            <w:r w:rsidRPr="00DE4361">
              <w:t xml:space="preserve"> and Internal Controls</w:t>
            </w:r>
          </w:p>
        </w:tc>
      </w:tr>
      <w:tr w:rsidR="00DE4361" w:rsidRPr="00DE4361" w14:paraId="1B54706F" w14:textId="77777777" w:rsidTr="000A1064">
        <w:trPr>
          <w:trHeight w:val="300"/>
        </w:trPr>
        <w:tc>
          <w:tcPr>
            <w:tcW w:w="3765" w:type="dxa"/>
            <w:vAlign w:val="center"/>
            <w:hideMark/>
          </w:tcPr>
          <w:p w14:paraId="77F97E69" w14:textId="77777777" w:rsidR="00DE4361" w:rsidRPr="00DE4361" w:rsidRDefault="00DE4361" w:rsidP="00330188">
            <w:pPr>
              <w:pStyle w:val="TableText"/>
            </w:pPr>
            <w:r w:rsidRPr="00DE4361">
              <w:t>MOU </w:t>
            </w:r>
          </w:p>
        </w:tc>
        <w:tc>
          <w:tcPr>
            <w:tcW w:w="5565" w:type="dxa"/>
            <w:vAlign w:val="center"/>
            <w:hideMark/>
          </w:tcPr>
          <w:p w14:paraId="39736773" w14:textId="6B6C2498" w:rsidR="00DE4361" w:rsidRPr="00DE4361" w:rsidRDefault="00DE4361" w:rsidP="00330188">
            <w:pPr>
              <w:pStyle w:val="TableText"/>
            </w:pPr>
            <w:r w:rsidRPr="00DE4361">
              <w:t>Memorandum of Understanding</w:t>
            </w:r>
          </w:p>
        </w:tc>
      </w:tr>
      <w:tr w:rsidR="00DE4361" w:rsidRPr="00DE4361" w14:paraId="052582E4" w14:textId="77777777" w:rsidTr="000A1064">
        <w:trPr>
          <w:trHeight w:val="300"/>
        </w:trPr>
        <w:tc>
          <w:tcPr>
            <w:tcW w:w="3765" w:type="dxa"/>
            <w:vAlign w:val="center"/>
            <w:hideMark/>
          </w:tcPr>
          <w:p w14:paraId="116A1B02" w14:textId="77777777" w:rsidR="00DE4361" w:rsidRPr="00DE4361" w:rsidRDefault="00DE4361" w:rsidP="00330188">
            <w:pPr>
              <w:pStyle w:val="TableText"/>
            </w:pPr>
            <w:r w:rsidRPr="00DE4361">
              <w:t>MSA </w:t>
            </w:r>
          </w:p>
        </w:tc>
        <w:tc>
          <w:tcPr>
            <w:tcW w:w="5565" w:type="dxa"/>
            <w:vAlign w:val="center"/>
            <w:hideMark/>
          </w:tcPr>
          <w:p w14:paraId="2E9AD68C" w14:textId="2EC4DD5F" w:rsidR="00DE4361" w:rsidRPr="00DE4361" w:rsidRDefault="00DE4361" w:rsidP="00330188">
            <w:pPr>
              <w:pStyle w:val="TableText"/>
            </w:pPr>
            <w:r w:rsidRPr="00DE4361">
              <w:t>Metropolitan Statistical Areas</w:t>
            </w:r>
          </w:p>
        </w:tc>
      </w:tr>
      <w:tr w:rsidR="00DE4361" w:rsidRPr="00DE4361" w14:paraId="6027D650" w14:textId="77777777" w:rsidTr="000A1064">
        <w:trPr>
          <w:trHeight w:val="300"/>
        </w:trPr>
        <w:tc>
          <w:tcPr>
            <w:tcW w:w="3765" w:type="dxa"/>
            <w:vAlign w:val="center"/>
            <w:hideMark/>
          </w:tcPr>
          <w:p w14:paraId="0B1B29FE" w14:textId="77777777" w:rsidR="00DE4361" w:rsidRPr="00DE4361" w:rsidRDefault="00DE4361" w:rsidP="00330188">
            <w:pPr>
              <w:pStyle w:val="TableText"/>
            </w:pPr>
            <w:r w:rsidRPr="00DE4361">
              <w:t>NAIC </w:t>
            </w:r>
          </w:p>
        </w:tc>
        <w:tc>
          <w:tcPr>
            <w:tcW w:w="5565" w:type="dxa"/>
            <w:vAlign w:val="center"/>
            <w:hideMark/>
          </w:tcPr>
          <w:p w14:paraId="2C269B7D" w14:textId="516D4C9E" w:rsidR="00DE4361" w:rsidRPr="00DE4361" w:rsidRDefault="00DE4361" w:rsidP="00330188">
            <w:pPr>
              <w:pStyle w:val="TableText"/>
            </w:pPr>
            <w:r w:rsidRPr="00DE4361">
              <w:t>North American Industry Classification System</w:t>
            </w:r>
          </w:p>
        </w:tc>
      </w:tr>
      <w:tr w:rsidR="00DE4361" w:rsidRPr="00DE4361" w14:paraId="1C946B37" w14:textId="77777777" w:rsidTr="000A1064">
        <w:trPr>
          <w:trHeight w:val="300"/>
        </w:trPr>
        <w:tc>
          <w:tcPr>
            <w:tcW w:w="3765" w:type="dxa"/>
            <w:vAlign w:val="center"/>
            <w:hideMark/>
          </w:tcPr>
          <w:p w14:paraId="735594F9" w14:textId="77777777" w:rsidR="00DE4361" w:rsidRPr="00DE4361" w:rsidRDefault="00DE4361" w:rsidP="00330188">
            <w:pPr>
              <w:pStyle w:val="TableText"/>
            </w:pPr>
            <w:r w:rsidRPr="00DE4361">
              <w:t>NASWA </w:t>
            </w:r>
          </w:p>
        </w:tc>
        <w:tc>
          <w:tcPr>
            <w:tcW w:w="5565" w:type="dxa"/>
            <w:vAlign w:val="center"/>
            <w:hideMark/>
          </w:tcPr>
          <w:p w14:paraId="35411376" w14:textId="692131B2" w:rsidR="00DE4361" w:rsidRPr="00DE4361" w:rsidRDefault="00DE4361" w:rsidP="00330188">
            <w:pPr>
              <w:pStyle w:val="TableText"/>
            </w:pPr>
            <w:r w:rsidRPr="00DE4361">
              <w:t>National Association of State Workforce Agencies</w:t>
            </w:r>
          </w:p>
        </w:tc>
      </w:tr>
      <w:tr w:rsidR="00DE4361" w:rsidRPr="00DE4361" w14:paraId="24A505F9" w14:textId="77777777" w:rsidTr="000A1064">
        <w:trPr>
          <w:trHeight w:val="300"/>
        </w:trPr>
        <w:tc>
          <w:tcPr>
            <w:tcW w:w="3765" w:type="dxa"/>
            <w:vAlign w:val="center"/>
            <w:hideMark/>
          </w:tcPr>
          <w:p w14:paraId="04E1CC30" w14:textId="77777777" w:rsidR="00DE4361" w:rsidRPr="00DE4361" w:rsidRDefault="00DE4361" w:rsidP="00330188">
            <w:pPr>
              <w:pStyle w:val="TableText"/>
            </w:pPr>
            <w:r w:rsidRPr="00DE4361">
              <w:t>NIST SP </w:t>
            </w:r>
          </w:p>
        </w:tc>
        <w:tc>
          <w:tcPr>
            <w:tcW w:w="5565" w:type="dxa"/>
            <w:vAlign w:val="center"/>
            <w:hideMark/>
          </w:tcPr>
          <w:p w14:paraId="6563118C" w14:textId="397C73DF" w:rsidR="00DE4361" w:rsidRPr="00DE4361" w:rsidRDefault="00DE4361" w:rsidP="00330188">
            <w:pPr>
              <w:pStyle w:val="TableText"/>
            </w:pPr>
            <w:r w:rsidRPr="00DE4361">
              <w:t>National Institute of Standards and Technology Special Publication</w:t>
            </w:r>
          </w:p>
        </w:tc>
      </w:tr>
      <w:tr w:rsidR="00DE4361" w:rsidRPr="00DE4361" w14:paraId="7D40F7A7" w14:textId="77777777" w:rsidTr="000A1064">
        <w:trPr>
          <w:trHeight w:val="300"/>
        </w:trPr>
        <w:tc>
          <w:tcPr>
            <w:tcW w:w="3765" w:type="dxa"/>
            <w:vAlign w:val="center"/>
            <w:hideMark/>
          </w:tcPr>
          <w:p w14:paraId="69E2DA53" w14:textId="77777777" w:rsidR="00DE4361" w:rsidRPr="00DE4361" w:rsidRDefault="00DE4361" w:rsidP="00330188">
            <w:pPr>
              <w:pStyle w:val="TableText"/>
            </w:pPr>
            <w:r w:rsidRPr="00DE4361">
              <w:t>OAG </w:t>
            </w:r>
          </w:p>
        </w:tc>
        <w:tc>
          <w:tcPr>
            <w:tcW w:w="5565" w:type="dxa"/>
            <w:vAlign w:val="center"/>
            <w:hideMark/>
          </w:tcPr>
          <w:p w14:paraId="3EDE9D2F" w14:textId="767615AA" w:rsidR="00DE4361" w:rsidRPr="00DE4361" w:rsidRDefault="00DE4361" w:rsidP="00330188">
            <w:pPr>
              <w:pStyle w:val="TableText"/>
            </w:pPr>
            <w:r w:rsidRPr="00DE4361">
              <w:t>Office of the Attorney General</w:t>
            </w:r>
          </w:p>
        </w:tc>
      </w:tr>
      <w:tr w:rsidR="00DE4361" w:rsidRPr="00DE4361" w14:paraId="3EEF6B88" w14:textId="77777777" w:rsidTr="000A1064">
        <w:trPr>
          <w:trHeight w:val="300"/>
        </w:trPr>
        <w:tc>
          <w:tcPr>
            <w:tcW w:w="3765" w:type="dxa"/>
            <w:vAlign w:val="center"/>
            <w:hideMark/>
          </w:tcPr>
          <w:p w14:paraId="4069AADE" w14:textId="77777777" w:rsidR="00DE4361" w:rsidRPr="00DE4361" w:rsidRDefault="00DE4361" w:rsidP="00330188">
            <w:pPr>
              <w:pStyle w:val="TableText"/>
            </w:pPr>
            <w:r w:rsidRPr="00DE4361">
              <w:t>OEWS </w:t>
            </w:r>
          </w:p>
        </w:tc>
        <w:tc>
          <w:tcPr>
            <w:tcW w:w="5565" w:type="dxa"/>
            <w:vAlign w:val="center"/>
            <w:hideMark/>
          </w:tcPr>
          <w:p w14:paraId="30CCE163" w14:textId="2B2A0AED" w:rsidR="00DE4361" w:rsidRPr="00DE4361" w:rsidRDefault="00DE4361" w:rsidP="00330188">
            <w:pPr>
              <w:pStyle w:val="TableText"/>
            </w:pPr>
            <w:r w:rsidRPr="00DE4361">
              <w:t>Occupational Employment and Wage Statistics</w:t>
            </w:r>
          </w:p>
        </w:tc>
      </w:tr>
      <w:tr w:rsidR="00DE4361" w:rsidRPr="00DE4361" w14:paraId="3B93F82E" w14:textId="77777777" w:rsidTr="000A1064">
        <w:trPr>
          <w:trHeight w:val="300"/>
        </w:trPr>
        <w:tc>
          <w:tcPr>
            <w:tcW w:w="3765" w:type="dxa"/>
            <w:vAlign w:val="center"/>
            <w:hideMark/>
          </w:tcPr>
          <w:p w14:paraId="01FD0EB6" w14:textId="77777777" w:rsidR="00DE4361" w:rsidRPr="00DE4361" w:rsidRDefault="00DE4361" w:rsidP="00330188">
            <w:pPr>
              <w:pStyle w:val="TableText"/>
            </w:pPr>
            <w:r w:rsidRPr="00DE4361">
              <w:t>OGC </w:t>
            </w:r>
          </w:p>
        </w:tc>
        <w:tc>
          <w:tcPr>
            <w:tcW w:w="5565" w:type="dxa"/>
            <w:vAlign w:val="center"/>
            <w:hideMark/>
          </w:tcPr>
          <w:p w14:paraId="642A0879" w14:textId="06F1FCCB" w:rsidR="00DE4361" w:rsidRPr="00DE4361" w:rsidRDefault="00DE4361" w:rsidP="00330188">
            <w:pPr>
              <w:pStyle w:val="TableText"/>
            </w:pPr>
            <w:r w:rsidRPr="00DE4361">
              <w:t>Office of General Counsel</w:t>
            </w:r>
          </w:p>
        </w:tc>
      </w:tr>
      <w:tr w:rsidR="00DE4361" w:rsidRPr="00DE4361" w14:paraId="1AB2422C" w14:textId="77777777" w:rsidTr="000A1064">
        <w:trPr>
          <w:trHeight w:val="300"/>
        </w:trPr>
        <w:tc>
          <w:tcPr>
            <w:tcW w:w="3765" w:type="dxa"/>
            <w:vAlign w:val="center"/>
            <w:hideMark/>
          </w:tcPr>
          <w:p w14:paraId="36A4CE9C" w14:textId="77777777" w:rsidR="00DE4361" w:rsidRPr="00DE4361" w:rsidRDefault="00DE4361" w:rsidP="00330188">
            <w:pPr>
              <w:pStyle w:val="TableText"/>
            </w:pPr>
            <w:r w:rsidRPr="00DE4361">
              <w:t>OIB </w:t>
            </w:r>
          </w:p>
        </w:tc>
        <w:tc>
          <w:tcPr>
            <w:tcW w:w="5565" w:type="dxa"/>
            <w:vAlign w:val="center"/>
            <w:hideMark/>
          </w:tcPr>
          <w:p w14:paraId="6B96FE9A" w14:textId="0C7BB14B" w:rsidR="00DE4361" w:rsidRPr="00DE4361" w:rsidRDefault="00DE4361" w:rsidP="00330188">
            <w:pPr>
              <w:pStyle w:val="TableText"/>
            </w:pPr>
            <w:r w:rsidRPr="00DE4361">
              <w:t>Older Individuals who are Blind</w:t>
            </w:r>
          </w:p>
        </w:tc>
      </w:tr>
      <w:tr w:rsidR="00DE4361" w:rsidRPr="00DE4361" w14:paraId="164AD75A" w14:textId="77777777" w:rsidTr="000A1064">
        <w:trPr>
          <w:trHeight w:val="300"/>
        </w:trPr>
        <w:tc>
          <w:tcPr>
            <w:tcW w:w="3765" w:type="dxa"/>
            <w:vAlign w:val="center"/>
            <w:hideMark/>
          </w:tcPr>
          <w:p w14:paraId="43A15EF0" w14:textId="77777777" w:rsidR="00DE4361" w:rsidRPr="00DE4361" w:rsidRDefault="00DE4361" w:rsidP="00330188">
            <w:pPr>
              <w:pStyle w:val="TableText"/>
            </w:pPr>
            <w:r w:rsidRPr="00DE4361">
              <w:t>OIG </w:t>
            </w:r>
          </w:p>
        </w:tc>
        <w:tc>
          <w:tcPr>
            <w:tcW w:w="5565" w:type="dxa"/>
            <w:vAlign w:val="center"/>
            <w:hideMark/>
          </w:tcPr>
          <w:p w14:paraId="20C3E592" w14:textId="004D50E8" w:rsidR="00DE4361" w:rsidRPr="00DE4361" w:rsidRDefault="00DE4361" w:rsidP="00330188">
            <w:pPr>
              <w:pStyle w:val="TableText"/>
            </w:pPr>
            <w:r w:rsidRPr="00DE4361">
              <w:t>Office of Inspector General</w:t>
            </w:r>
          </w:p>
        </w:tc>
      </w:tr>
      <w:tr w:rsidR="00DE4361" w:rsidRPr="00DE4361" w14:paraId="3CB0C770" w14:textId="77777777" w:rsidTr="000A1064">
        <w:trPr>
          <w:trHeight w:val="300"/>
        </w:trPr>
        <w:tc>
          <w:tcPr>
            <w:tcW w:w="3765" w:type="dxa"/>
            <w:vAlign w:val="center"/>
            <w:hideMark/>
          </w:tcPr>
          <w:p w14:paraId="50344BD8" w14:textId="77777777" w:rsidR="00DE4361" w:rsidRPr="00DE4361" w:rsidRDefault="00DE4361" w:rsidP="00330188">
            <w:pPr>
              <w:pStyle w:val="TableText"/>
            </w:pPr>
            <w:r w:rsidRPr="00DE4361">
              <w:t>ORCA </w:t>
            </w:r>
          </w:p>
        </w:tc>
        <w:tc>
          <w:tcPr>
            <w:tcW w:w="5565" w:type="dxa"/>
            <w:vAlign w:val="center"/>
            <w:hideMark/>
          </w:tcPr>
          <w:p w14:paraId="014E877F" w14:textId="312592C6" w:rsidR="00DE4361" w:rsidRPr="00DE4361" w:rsidRDefault="00DE4361" w:rsidP="00330188">
            <w:pPr>
              <w:pStyle w:val="TableText"/>
            </w:pPr>
            <w:r w:rsidRPr="00DE4361">
              <w:t>Office of Rural and Community Affairs</w:t>
            </w:r>
          </w:p>
        </w:tc>
      </w:tr>
      <w:tr w:rsidR="00DE4361" w:rsidRPr="00DE4361" w14:paraId="5632031C" w14:textId="77777777" w:rsidTr="000A1064">
        <w:trPr>
          <w:trHeight w:val="300"/>
        </w:trPr>
        <w:tc>
          <w:tcPr>
            <w:tcW w:w="3765" w:type="dxa"/>
            <w:vAlign w:val="center"/>
            <w:hideMark/>
          </w:tcPr>
          <w:p w14:paraId="64DFE549" w14:textId="77777777" w:rsidR="00DE4361" w:rsidRPr="00DE4361" w:rsidRDefault="00DE4361" w:rsidP="00330188">
            <w:pPr>
              <w:pStyle w:val="TableText"/>
            </w:pPr>
            <w:r w:rsidRPr="00DE4361">
              <w:t>PCS </w:t>
            </w:r>
          </w:p>
        </w:tc>
        <w:tc>
          <w:tcPr>
            <w:tcW w:w="5565" w:type="dxa"/>
            <w:vAlign w:val="center"/>
            <w:hideMark/>
          </w:tcPr>
          <w:p w14:paraId="7C6BFF67" w14:textId="097C7C25" w:rsidR="00DE4361" w:rsidRPr="00DE4361" w:rsidRDefault="00DE4361" w:rsidP="00330188">
            <w:pPr>
              <w:pStyle w:val="TableText"/>
            </w:pPr>
            <w:r w:rsidRPr="00DE4361">
              <w:t>Procurement and Contract Services</w:t>
            </w:r>
          </w:p>
        </w:tc>
      </w:tr>
      <w:tr w:rsidR="00DE4361" w:rsidRPr="00DE4361" w14:paraId="460BF6BC" w14:textId="77777777" w:rsidTr="000A1064">
        <w:trPr>
          <w:trHeight w:val="300"/>
        </w:trPr>
        <w:tc>
          <w:tcPr>
            <w:tcW w:w="3765" w:type="dxa"/>
            <w:vAlign w:val="center"/>
            <w:hideMark/>
          </w:tcPr>
          <w:p w14:paraId="57AE2A34" w14:textId="77777777" w:rsidR="00DE4361" w:rsidRPr="00DE4361" w:rsidRDefault="00DE4361" w:rsidP="00330188">
            <w:pPr>
              <w:pStyle w:val="TableText"/>
            </w:pPr>
            <w:r w:rsidRPr="00DE4361">
              <w:t>PDG B-5 </w:t>
            </w:r>
          </w:p>
        </w:tc>
        <w:tc>
          <w:tcPr>
            <w:tcW w:w="5565" w:type="dxa"/>
            <w:vAlign w:val="center"/>
            <w:hideMark/>
          </w:tcPr>
          <w:p w14:paraId="4F95EF59" w14:textId="07B33A83" w:rsidR="00DE4361" w:rsidRPr="00DE4361" w:rsidRDefault="00DE4361" w:rsidP="00330188">
            <w:pPr>
              <w:pStyle w:val="TableText"/>
            </w:pPr>
            <w:r w:rsidRPr="00DE4361">
              <w:t>Preschool Development Grant Birth Through 5</w:t>
            </w:r>
          </w:p>
        </w:tc>
      </w:tr>
      <w:tr w:rsidR="00DE4361" w:rsidRPr="00DE4361" w14:paraId="20ABA9CD" w14:textId="77777777" w:rsidTr="000A1064">
        <w:trPr>
          <w:trHeight w:val="300"/>
        </w:trPr>
        <w:tc>
          <w:tcPr>
            <w:tcW w:w="3765" w:type="dxa"/>
            <w:vAlign w:val="center"/>
            <w:hideMark/>
          </w:tcPr>
          <w:p w14:paraId="54055620" w14:textId="77777777" w:rsidR="00DE4361" w:rsidRPr="00DE4361" w:rsidRDefault="00DE4361" w:rsidP="00330188">
            <w:pPr>
              <w:pStyle w:val="TableText"/>
            </w:pPr>
            <w:r w:rsidRPr="00DE4361">
              <w:t>PHS </w:t>
            </w:r>
          </w:p>
        </w:tc>
        <w:tc>
          <w:tcPr>
            <w:tcW w:w="5565" w:type="dxa"/>
            <w:vAlign w:val="center"/>
            <w:hideMark/>
          </w:tcPr>
          <w:p w14:paraId="6BC5DC91" w14:textId="01D8675F" w:rsidR="00DE4361" w:rsidRPr="00DE4361" w:rsidRDefault="00DE4361" w:rsidP="00330188">
            <w:pPr>
              <w:pStyle w:val="TableText"/>
            </w:pPr>
            <w:r w:rsidRPr="00DE4361">
              <w:t>Purchasing and Historically Underutilized Business Services</w:t>
            </w:r>
          </w:p>
        </w:tc>
      </w:tr>
      <w:tr w:rsidR="00DE4361" w:rsidRPr="00DE4361" w14:paraId="088751D6" w14:textId="77777777" w:rsidTr="000A1064">
        <w:trPr>
          <w:trHeight w:val="300"/>
        </w:trPr>
        <w:tc>
          <w:tcPr>
            <w:tcW w:w="3765" w:type="dxa"/>
            <w:vAlign w:val="center"/>
            <w:hideMark/>
          </w:tcPr>
          <w:p w14:paraId="749DF283" w14:textId="77777777" w:rsidR="00DE4361" w:rsidRPr="00DE4361" w:rsidRDefault="00DE4361" w:rsidP="00330188">
            <w:pPr>
              <w:pStyle w:val="TableText"/>
            </w:pPr>
            <w:r w:rsidRPr="00DE4361">
              <w:lastRenderedPageBreak/>
              <w:t>PIIA </w:t>
            </w:r>
          </w:p>
        </w:tc>
        <w:tc>
          <w:tcPr>
            <w:tcW w:w="5565" w:type="dxa"/>
            <w:vAlign w:val="center"/>
            <w:hideMark/>
          </w:tcPr>
          <w:p w14:paraId="6A6D9202" w14:textId="66024854" w:rsidR="00DE4361" w:rsidRPr="00DE4361" w:rsidRDefault="00DE4361" w:rsidP="00330188">
            <w:pPr>
              <w:pStyle w:val="TableText"/>
            </w:pPr>
            <w:r w:rsidRPr="00DE4361">
              <w:t>Payment Integrity Information Act</w:t>
            </w:r>
          </w:p>
        </w:tc>
      </w:tr>
      <w:tr w:rsidR="00DE4361" w:rsidRPr="00DE4361" w14:paraId="2AA09076" w14:textId="77777777" w:rsidTr="000A1064">
        <w:trPr>
          <w:trHeight w:val="300"/>
        </w:trPr>
        <w:tc>
          <w:tcPr>
            <w:tcW w:w="3765" w:type="dxa"/>
            <w:vAlign w:val="center"/>
            <w:hideMark/>
          </w:tcPr>
          <w:p w14:paraId="4A5B42ED" w14:textId="77777777" w:rsidR="00DE4361" w:rsidRPr="00DE4361" w:rsidRDefault="00DE4361" w:rsidP="00330188">
            <w:pPr>
              <w:pStyle w:val="TableText"/>
            </w:pPr>
            <w:r w:rsidRPr="00DE4361">
              <w:t>PKP </w:t>
            </w:r>
          </w:p>
        </w:tc>
        <w:tc>
          <w:tcPr>
            <w:tcW w:w="5565" w:type="dxa"/>
            <w:vAlign w:val="center"/>
            <w:hideMark/>
          </w:tcPr>
          <w:p w14:paraId="2A23632D" w14:textId="009DADCA" w:rsidR="00DE4361" w:rsidRPr="00DE4361" w:rsidRDefault="00DE4361" w:rsidP="00330188">
            <w:pPr>
              <w:pStyle w:val="TableText"/>
            </w:pPr>
            <w:r w:rsidRPr="00DE4361">
              <w:t>Prekindergarten Partnership</w:t>
            </w:r>
          </w:p>
        </w:tc>
      </w:tr>
      <w:tr w:rsidR="00DE4361" w:rsidRPr="00DE4361" w14:paraId="17CEDB23" w14:textId="77777777" w:rsidTr="000A1064">
        <w:trPr>
          <w:trHeight w:val="300"/>
        </w:trPr>
        <w:tc>
          <w:tcPr>
            <w:tcW w:w="3765" w:type="dxa"/>
            <w:vAlign w:val="center"/>
            <w:hideMark/>
          </w:tcPr>
          <w:p w14:paraId="6CD2D3E9" w14:textId="77777777" w:rsidR="00DE4361" w:rsidRPr="00DE4361" w:rsidRDefault="00DE4361" w:rsidP="00330188">
            <w:pPr>
              <w:pStyle w:val="TableText"/>
            </w:pPr>
            <w:r w:rsidRPr="00DE4361">
              <w:t>PPD </w:t>
            </w:r>
          </w:p>
        </w:tc>
        <w:tc>
          <w:tcPr>
            <w:tcW w:w="5565" w:type="dxa"/>
            <w:vAlign w:val="center"/>
            <w:hideMark/>
          </w:tcPr>
          <w:p w14:paraId="6F1871B3" w14:textId="3C20DEBF" w:rsidR="00DE4361" w:rsidRPr="00DE4361" w:rsidRDefault="00DE4361" w:rsidP="00330188">
            <w:pPr>
              <w:pStyle w:val="TableText"/>
            </w:pPr>
            <w:r w:rsidRPr="00DE4361">
              <w:t>Purchasing from People with Disabilities</w:t>
            </w:r>
          </w:p>
        </w:tc>
      </w:tr>
      <w:tr w:rsidR="00DE4361" w:rsidRPr="00DE4361" w14:paraId="0F07D102" w14:textId="77777777" w:rsidTr="000A1064">
        <w:trPr>
          <w:trHeight w:val="300"/>
        </w:trPr>
        <w:tc>
          <w:tcPr>
            <w:tcW w:w="3765" w:type="dxa"/>
            <w:vAlign w:val="center"/>
            <w:hideMark/>
          </w:tcPr>
          <w:p w14:paraId="75B991F9" w14:textId="77777777" w:rsidR="00DE4361" w:rsidRPr="00DE4361" w:rsidRDefault="00DE4361" w:rsidP="00330188">
            <w:pPr>
              <w:pStyle w:val="TableText"/>
            </w:pPr>
            <w:r w:rsidRPr="00DE4361">
              <w:t>Pre-ETS </w:t>
            </w:r>
          </w:p>
        </w:tc>
        <w:tc>
          <w:tcPr>
            <w:tcW w:w="5565" w:type="dxa"/>
            <w:vAlign w:val="center"/>
            <w:hideMark/>
          </w:tcPr>
          <w:p w14:paraId="6B21E980" w14:textId="540E205A" w:rsidR="00DE4361" w:rsidRPr="00DE4361" w:rsidRDefault="00DE4361" w:rsidP="00330188">
            <w:pPr>
              <w:pStyle w:val="TableText"/>
            </w:pPr>
            <w:r w:rsidRPr="00DE4361">
              <w:t>Pre-Employment Transition Services</w:t>
            </w:r>
          </w:p>
        </w:tc>
      </w:tr>
      <w:tr w:rsidR="00DE4361" w:rsidRPr="00DE4361" w14:paraId="23A020B5" w14:textId="77777777" w:rsidTr="000A1064">
        <w:trPr>
          <w:trHeight w:val="300"/>
        </w:trPr>
        <w:tc>
          <w:tcPr>
            <w:tcW w:w="3765" w:type="dxa"/>
            <w:vAlign w:val="center"/>
            <w:hideMark/>
          </w:tcPr>
          <w:p w14:paraId="39E9F6CB" w14:textId="77777777" w:rsidR="00DE4361" w:rsidRPr="00DE4361" w:rsidRDefault="00DE4361" w:rsidP="00330188">
            <w:pPr>
              <w:pStyle w:val="TableText"/>
            </w:pPr>
            <w:r w:rsidRPr="00DE4361">
              <w:t>Pre-K </w:t>
            </w:r>
          </w:p>
        </w:tc>
        <w:tc>
          <w:tcPr>
            <w:tcW w:w="5565" w:type="dxa"/>
            <w:vAlign w:val="center"/>
            <w:hideMark/>
          </w:tcPr>
          <w:p w14:paraId="5FADA502" w14:textId="3CFBEF44" w:rsidR="00DE4361" w:rsidRPr="00DE4361" w:rsidRDefault="00DE4361" w:rsidP="00330188">
            <w:pPr>
              <w:pStyle w:val="TableText"/>
            </w:pPr>
            <w:r w:rsidRPr="00DE4361">
              <w:t>Prekindergarten</w:t>
            </w:r>
          </w:p>
        </w:tc>
      </w:tr>
      <w:tr w:rsidR="00DE4361" w:rsidRPr="00DE4361" w14:paraId="6598322B" w14:textId="77777777" w:rsidTr="000A1064">
        <w:trPr>
          <w:trHeight w:val="300"/>
        </w:trPr>
        <w:tc>
          <w:tcPr>
            <w:tcW w:w="3765" w:type="dxa"/>
            <w:vAlign w:val="center"/>
            <w:hideMark/>
          </w:tcPr>
          <w:p w14:paraId="51139792" w14:textId="77777777" w:rsidR="00DE4361" w:rsidRPr="00DE4361" w:rsidRDefault="00DE4361" w:rsidP="00330188">
            <w:pPr>
              <w:pStyle w:val="TableText"/>
            </w:pPr>
            <w:r w:rsidRPr="00DE4361">
              <w:t>Project RIO </w:t>
            </w:r>
          </w:p>
        </w:tc>
        <w:tc>
          <w:tcPr>
            <w:tcW w:w="5565" w:type="dxa"/>
            <w:vAlign w:val="center"/>
            <w:hideMark/>
          </w:tcPr>
          <w:p w14:paraId="77AA9161" w14:textId="2816E3FD" w:rsidR="00DE4361" w:rsidRPr="00DE4361" w:rsidRDefault="00DE4361" w:rsidP="00330188">
            <w:pPr>
              <w:pStyle w:val="TableText"/>
            </w:pPr>
            <w:r w:rsidRPr="00DE4361">
              <w:t>Project Re-Integration of Offenders</w:t>
            </w:r>
          </w:p>
        </w:tc>
      </w:tr>
      <w:tr w:rsidR="00DE4361" w:rsidRPr="00DE4361" w14:paraId="08608C09" w14:textId="77777777" w:rsidTr="000A1064">
        <w:trPr>
          <w:trHeight w:val="300"/>
        </w:trPr>
        <w:tc>
          <w:tcPr>
            <w:tcW w:w="3765" w:type="dxa"/>
            <w:vAlign w:val="center"/>
            <w:hideMark/>
          </w:tcPr>
          <w:p w14:paraId="1AC9863F" w14:textId="77777777" w:rsidR="00DE4361" w:rsidRPr="00DE4361" w:rsidRDefault="00DE4361" w:rsidP="00330188">
            <w:pPr>
              <w:pStyle w:val="TableText"/>
            </w:pPr>
            <w:r w:rsidRPr="00DE4361">
              <w:t>PSET </w:t>
            </w:r>
          </w:p>
        </w:tc>
        <w:tc>
          <w:tcPr>
            <w:tcW w:w="5565" w:type="dxa"/>
            <w:vAlign w:val="center"/>
            <w:hideMark/>
          </w:tcPr>
          <w:p w14:paraId="402FE492" w14:textId="1135240D" w:rsidR="00DE4361" w:rsidRPr="00DE4361" w:rsidRDefault="00DE4361" w:rsidP="00330188">
            <w:pPr>
              <w:pStyle w:val="TableText"/>
            </w:pPr>
            <w:r w:rsidRPr="00DE4361">
              <w:t>Post-Secondary Education and Training</w:t>
            </w:r>
          </w:p>
        </w:tc>
      </w:tr>
      <w:tr w:rsidR="00DE4361" w:rsidRPr="00DE4361" w14:paraId="41CEE65D" w14:textId="77777777" w:rsidTr="000A1064">
        <w:trPr>
          <w:trHeight w:val="300"/>
        </w:trPr>
        <w:tc>
          <w:tcPr>
            <w:tcW w:w="3765" w:type="dxa"/>
            <w:vAlign w:val="center"/>
            <w:hideMark/>
          </w:tcPr>
          <w:p w14:paraId="7AE8E452" w14:textId="77777777" w:rsidR="00DE4361" w:rsidRPr="00DE4361" w:rsidRDefault="00DE4361" w:rsidP="00330188">
            <w:pPr>
              <w:pStyle w:val="TableText"/>
            </w:pPr>
            <w:r w:rsidRPr="00DE4361">
              <w:t>PY </w:t>
            </w:r>
          </w:p>
        </w:tc>
        <w:tc>
          <w:tcPr>
            <w:tcW w:w="5565" w:type="dxa"/>
            <w:vAlign w:val="center"/>
            <w:hideMark/>
          </w:tcPr>
          <w:p w14:paraId="538C20B0" w14:textId="3EB4B09C" w:rsidR="00DE4361" w:rsidRPr="00DE4361" w:rsidRDefault="00DE4361" w:rsidP="00330188">
            <w:pPr>
              <w:pStyle w:val="TableText"/>
            </w:pPr>
            <w:r w:rsidRPr="00DE4361">
              <w:t>Program Year</w:t>
            </w:r>
          </w:p>
        </w:tc>
      </w:tr>
      <w:tr w:rsidR="00DE4361" w:rsidRPr="00DE4361" w14:paraId="3674968D" w14:textId="77777777" w:rsidTr="000A1064">
        <w:trPr>
          <w:trHeight w:val="300"/>
        </w:trPr>
        <w:tc>
          <w:tcPr>
            <w:tcW w:w="3765" w:type="dxa"/>
            <w:vAlign w:val="center"/>
            <w:hideMark/>
          </w:tcPr>
          <w:p w14:paraId="3968633D" w14:textId="77777777" w:rsidR="00DE4361" w:rsidRPr="00DE4361" w:rsidRDefault="00DE4361" w:rsidP="00330188">
            <w:pPr>
              <w:pStyle w:val="TableText"/>
            </w:pPr>
            <w:r w:rsidRPr="00DE4361">
              <w:t>QCEW </w:t>
            </w:r>
          </w:p>
        </w:tc>
        <w:tc>
          <w:tcPr>
            <w:tcW w:w="5565" w:type="dxa"/>
            <w:vAlign w:val="center"/>
            <w:hideMark/>
          </w:tcPr>
          <w:p w14:paraId="74B3F2C0" w14:textId="34E818C1" w:rsidR="00DE4361" w:rsidRPr="00DE4361" w:rsidRDefault="00DE4361" w:rsidP="00330188">
            <w:pPr>
              <w:pStyle w:val="TableText"/>
            </w:pPr>
            <w:r w:rsidRPr="00DE4361">
              <w:t>Quarterly Census of Employment Wages</w:t>
            </w:r>
          </w:p>
        </w:tc>
      </w:tr>
      <w:tr w:rsidR="00DE4361" w:rsidRPr="00DE4361" w14:paraId="27F916A1" w14:textId="77777777" w:rsidTr="000A1064">
        <w:trPr>
          <w:trHeight w:val="300"/>
        </w:trPr>
        <w:tc>
          <w:tcPr>
            <w:tcW w:w="3765" w:type="dxa"/>
            <w:vAlign w:val="center"/>
            <w:hideMark/>
          </w:tcPr>
          <w:p w14:paraId="31C08128" w14:textId="77777777" w:rsidR="00DE4361" w:rsidRPr="00DE4361" w:rsidRDefault="00DE4361" w:rsidP="00330188">
            <w:pPr>
              <w:pStyle w:val="TableText"/>
            </w:pPr>
            <w:r w:rsidRPr="00DE4361">
              <w:t>QVRC </w:t>
            </w:r>
          </w:p>
        </w:tc>
        <w:tc>
          <w:tcPr>
            <w:tcW w:w="5565" w:type="dxa"/>
            <w:vAlign w:val="center"/>
            <w:hideMark/>
          </w:tcPr>
          <w:p w14:paraId="41279E84" w14:textId="470A73E9" w:rsidR="00DE4361" w:rsidRPr="00DE4361" w:rsidRDefault="00DE4361" w:rsidP="00330188">
            <w:pPr>
              <w:pStyle w:val="TableText"/>
            </w:pPr>
            <w:r w:rsidRPr="00DE4361">
              <w:t>Qualified Vocational Rehabilitation Counselors</w:t>
            </w:r>
          </w:p>
        </w:tc>
      </w:tr>
      <w:tr w:rsidR="00DE4361" w:rsidRPr="00DE4361" w14:paraId="297802B7" w14:textId="77777777" w:rsidTr="000A1064">
        <w:trPr>
          <w:trHeight w:val="300"/>
        </w:trPr>
        <w:tc>
          <w:tcPr>
            <w:tcW w:w="3765" w:type="dxa"/>
            <w:vAlign w:val="center"/>
            <w:hideMark/>
          </w:tcPr>
          <w:p w14:paraId="19E5EED0" w14:textId="77777777" w:rsidR="00DE4361" w:rsidRPr="00DE4361" w:rsidRDefault="00DE4361" w:rsidP="00330188">
            <w:pPr>
              <w:pStyle w:val="TableText"/>
            </w:pPr>
            <w:r w:rsidRPr="00DE4361">
              <w:t>RCT </w:t>
            </w:r>
          </w:p>
        </w:tc>
        <w:tc>
          <w:tcPr>
            <w:tcW w:w="5565" w:type="dxa"/>
            <w:vAlign w:val="center"/>
            <w:hideMark/>
          </w:tcPr>
          <w:p w14:paraId="2507709D" w14:textId="770D9CA4" w:rsidR="00DE4361" w:rsidRPr="00DE4361" w:rsidRDefault="00DE4361" w:rsidP="00330188">
            <w:pPr>
              <w:pStyle w:val="TableText"/>
            </w:pPr>
            <w:r w:rsidRPr="00DE4361">
              <w:t>Rehabilitation Council of Texas</w:t>
            </w:r>
          </w:p>
        </w:tc>
      </w:tr>
      <w:tr w:rsidR="00DE4361" w:rsidRPr="00DE4361" w14:paraId="6BFD59A6" w14:textId="77777777" w:rsidTr="000A1064">
        <w:trPr>
          <w:trHeight w:val="300"/>
        </w:trPr>
        <w:tc>
          <w:tcPr>
            <w:tcW w:w="3765" w:type="dxa"/>
            <w:vAlign w:val="center"/>
            <w:hideMark/>
          </w:tcPr>
          <w:p w14:paraId="7C0CEB7C" w14:textId="77777777" w:rsidR="00DE4361" w:rsidRPr="00DE4361" w:rsidRDefault="00DE4361" w:rsidP="00330188">
            <w:pPr>
              <w:pStyle w:val="TableText"/>
            </w:pPr>
            <w:r w:rsidRPr="00DE4361">
              <w:t>REC </w:t>
            </w:r>
          </w:p>
        </w:tc>
        <w:tc>
          <w:tcPr>
            <w:tcW w:w="5565" w:type="dxa"/>
            <w:vAlign w:val="center"/>
            <w:hideMark/>
          </w:tcPr>
          <w:p w14:paraId="16B2FF6B" w14:textId="603F281A" w:rsidR="00DE4361" w:rsidRPr="00DE4361" w:rsidRDefault="00DE4361" w:rsidP="00330188">
            <w:pPr>
              <w:pStyle w:val="TableText"/>
            </w:pPr>
            <w:r w:rsidRPr="00DE4361">
              <w:t>Research and Evaluation Committee</w:t>
            </w:r>
          </w:p>
        </w:tc>
      </w:tr>
      <w:tr w:rsidR="00DE4361" w:rsidRPr="00DE4361" w14:paraId="2C5690BF" w14:textId="77777777" w:rsidTr="000A1064">
        <w:trPr>
          <w:trHeight w:val="300"/>
        </w:trPr>
        <w:tc>
          <w:tcPr>
            <w:tcW w:w="3765" w:type="dxa"/>
            <w:vAlign w:val="center"/>
            <w:hideMark/>
          </w:tcPr>
          <w:p w14:paraId="716534D4" w14:textId="77777777" w:rsidR="00DE4361" w:rsidRPr="00DE4361" w:rsidRDefault="00DE4361" w:rsidP="00330188">
            <w:pPr>
              <w:pStyle w:val="TableText"/>
            </w:pPr>
            <w:r w:rsidRPr="00DE4361">
              <w:t>RESEA </w:t>
            </w:r>
          </w:p>
        </w:tc>
        <w:tc>
          <w:tcPr>
            <w:tcW w:w="5565" w:type="dxa"/>
            <w:vAlign w:val="center"/>
            <w:hideMark/>
          </w:tcPr>
          <w:p w14:paraId="52A8AF36" w14:textId="71F25644" w:rsidR="00DE4361" w:rsidRPr="00DE4361" w:rsidRDefault="00DE4361" w:rsidP="00330188">
            <w:pPr>
              <w:pStyle w:val="TableText"/>
            </w:pPr>
            <w:r w:rsidRPr="00DE4361">
              <w:t>Reemployment Services and Eligibility Assessment</w:t>
            </w:r>
          </w:p>
        </w:tc>
      </w:tr>
      <w:tr w:rsidR="00DE4361" w:rsidRPr="00DE4361" w14:paraId="10AB9B24" w14:textId="77777777" w:rsidTr="000A1064">
        <w:trPr>
          <w:trHeight w:val="300"/>
        </w:trPr>
        <w:tc>
          <w:tcPr>
            <w:tcW w:w="3765" w:type="dxa"/>
            <w:vAlign w:val="center"/>
            <w:hideMark/>
          </w:tcPr>
          <w:p w14:paraId="0FFBB8F8" w14:textId="77777777" w:rsidR="00DE4361" w:rsidRPr="00DE4361" w:rsidRDefault="00DE4361" w:rsidP="00330188">
            <w:pPr>
              <w:pStyle w:val="TableText"/>
            </w:pPr>
            <w:r w:rsidRPr="00DE4361">
              <w:t>RFA </w:t>
            </w:r>
          </w:p>
        </w:tc>
        <w:tc>
          <w:tcPr>
            <w:tcW w:w="5565" w:type="dxa"/>
            <w:vAlign w:val="center"/>
            <w:hideMark/>
          </w:tcPr>
          <w:p w14:paraId="46F3C3CE" w14:textId="78E47353" w:rsidR="00DE4361" w:rsidRPr="00DE4361" w:rsidRDefault="00DE4361" w:rsidP="00330188">
            <w:pPr>
              <w:pStyle w:val="TableText"/>
            </w:pPr>
            <w:r w:rsidRPr="00DE4361">
              <w:t>Request for Application</w:t>
            </w:r>
          </w:p>
        </w:tc>
      </w:tr>
      <w:tr w:rsidR="00DE4361" w:rsidRPr="00DE4361" w14:paraId="31F92101" w14:textId="77777777" w:rsidTr="000A1064">
        <w:trPr>
          <w:trHeight w:val="300"/>
        </w:trPr>
        <w:tc>
          <w:tcPr>
            <w:tcW w:w="3765" w:type="dxa"/>
            <w:vAlign w:val="center"/>
            <w:hideMark/>
          </w:tcPr>
          <w:p w14:paraId="226B7DBC" w14:textId="77777777" w:rsidR="00DE4361" w:rsidRPr="00DE4361" w:rsidRDefault="00DE4361" w:rsidP="00330188">
            <w:pPr>
              <w:pStyle w:val="TableText"/>
            </w:pPr>
            <w:r w:rsidRPr="00DE4361">
              <w:t>RHW </w:t>
            </w:r>
          </w:p>
        </w:tc>
        <w:tc>
          <w:tcPr>
            <w:tcW w:w="5565" w:type="dxa"/>
            <w:vAlign w:val="center"/>
            <w:hideMark/>
          </w:tcPr>
          <w:p w14:paraId="10C35DFB" w14:textId="6F292478" w:rsidR="00DE4361" w:rsidRPr="00DE4361" w:rsidRDefault="00DE4361" w:rsidP="00330188">
            <w:pPr>
              <w:pStyle w:val="TableText"/>
            </w:pPr>
            <w:proofErr w:type="spellStart"/>
            <w:r w:rsidRPr="00DE4361">
              <w:t>ReHabWorks</w:t>
            </w:r>
            <w:proofErr w:type="spellEnd"/>
          </w:p>
        </w:tc>
      </w:tr>
      <w:tr w:rsidR="00DE4361" w:rsidRPr="00DE4361" w14:paraId="419877C6" w14:textId="77777777" w:rsidTr="000A1064">
        <w:trPr>
          <w:trHeight w:val="300"/>
        </w:trPr>
        <w:tc>
          <w:tcPr>
            <w:tcW w:w="3765" w:type="dxa"/>
            <w:vAlign w:val="center"/>
            <w:hideMark/>
          </w:tcPr>
          <w:p w14:paraId="3D73ED65" w14:textId="77777777" w:rsidR="00DE4361" w:rsidRPr="00DE4361" w:rsidRDefault="00DE4361" w:rsidP="00330188">
            <w:pPr>
              <w:pStyle w:val="TableText"/>
            </w:pPr>
            <w:r w:rsidRPr="00DE4361">
              <w:t>RID </w:t>
            </w:r>
          </w:p>
        </w:tc>
        <w:tc>
          <w:tcPr>
            <w:tcW w:w="5565" w:type="dxa"/>
            <w:vAlign w:val="center"/>
            <w:hideMark/>
          </w:tcPr>
          <w:p w14:paraId="236700DA" w14:textId="18691066" w:rsidR="00DE4361" w:rsidRPr="00DE4361" w:rsidRDefault="00DE4361" w:rsidP="00330188">
            <w:pPr>
              <w:pStyle w:val="TableText"/>
            </w:pPr>
            <w:r w:rsidRPr="00DE4361">
              <w:t>Regulatory Integrity Division</w:t>
            </w:r>
          </w:p>
        </w:tc>
      </w:tr>
      <w:tr w:rsidR="00DE4361" w:rsidRPr="00DE4361" w14:paraId="10BE68E4" w14:textId="77777777" w:rsidTr="000A1064">
        <w:trPr>
          <w:trHeight w:val="300"/>
        </w:trPr>
        <w:tc>
          <w:tcPr>
            <w:tcW w:w="3765" w:type="dxa"/>
            <w:vAlign w:val="center"/>
            <w:hideMark/>
          </w:tcPr>
          <w:p w14:paraId="1137B2D6" w14:textId="77777777" w:rsidR="00DE4361" w:rsidRPr="00DE4361" w:rsidRDefault="00DE4361" w:rsidP="00330188">
            <w:pPr>
              <w:pStyle w:val="TableText"/>
            </w:pPr>
            <w:r w:rsidRPr="00DE4361">
              <w:t>ROI </w:t>
            </w:r>
          </w:p>
        </w:tc>
        <w:tc>
          <w:tcPr>
            <w:tcW w:w="5565" w:type="dxa"/>
            <w:vAlign w:val="center"/>
            <w:hideMark/>
          </w:tcPr>
          <w:p w14:paraId="20D46F4C" w14:textId="11A6D5D3" w:rsidR="00DE4361" w:rsidRPr="00DE4361" w:rsidRDefault="00DE4361" w:rsidP="00330188">
            <w:pPr>
              <w:pStyle w:val="TableText"/>
            </w:pPr>
            <w:r w:rsidRPr="00DE4361">
              <w:t>Return on Investment</w:t>
            </w:r>
          </w:p>
        </w:tc>
      </w:tr>
      <w:tr w:rsidR="00DE4361" w:rsidRPr="00DE4361" w14:paraId="30237ADD" w14:textId="77777777" w:rsidTr="000A1064">
        <w:trPr>
          <w:trHeight w:val="300"/>
        </w:trPr>
        <w:tc>
          <w:tcPr>
            <w:tcW w:w="3765" w:type="dxa"/>
            <w:vAlign w:val="center"/>
            <w:hideMark/>
          </w:tcPr>
          <w:p w14:paraId="73CAA1BB" w14:textId="77777777" w:rsidR="00DE4361" w:rsidRPr="00DE4361" w:rsidRDefault="00DE4361" w:rsidP="00330188">
            <w:pPr>
              <w:pStyle w:val="TableText"/>
            </w:pPr>
            <w:r w:rsidRPr="00DE4361">
              <w:t>RPI </w:t>
            </w:r>
          </w:p>
        </w:tc>
        <w:tc>
          <w:tcPr>
            <w:tcW w:w="5565" w:type="dxa"/>
            <w:vAlign w:val="center"/>
            <w:hideMark/>
          </w:tcPr>
          <w:p w14:paraId="3FAB77E6" w14:textId="4865BF0B" w:rsidR="00DE4361" w:rsidRPr="00DE4361" w:rsidRDefault="00DE4361" w:rsidP="00330188">
            <w:pPr>
              <w:pStyle w:val="TableText"/>
            </w:pPr>
            <w:r w:rsidRPr="00DE4361">
              <w:t>Rapid Process Improvement</w:t>
            </w:r>
          </w:p>
        </w:tc>
      </w:tr>
      <w:tr w:rsidR="00DE4361" w:rsidRPr="00DE4361" w14:paraId="7C0B921F" w14:textId="77777777" w:rsidTr="000A1064">
        <w:trPr>
          <w:trHeight w:val="300"/>
        </w:trPr>
        <w:tc>
          <w:tcPr>
            <w:tcW w:w="3765" w:type="dxa"/>
            <w:vAlign w:val="center"/>
            <w:hideMark/>
          </w:tcPr>
          <w:p w14:paraId="5C2D2EA0" w14:textId="77777777" w:rsidR="00DE4361" w:rsidRPr="00DE4361" w:rsidRDefault="00DE4361" w:rsidP="00330188">
            <w:pPr>
              <w:pStyle w:val="TableText"/>
            </w:pPr>
            <w:r w:rsidRPr="00DE4361">
              <w:t>RSA </w:t>
            </w:r>
          </w:p>
        </w:tc>
        <w:tc>
          <w:tcPr>
            <w:tcW w:w="5565" w:type="dxa"/>
            <w:vAlign w:val="center"/>
            <w:hideMark/>
          </w:tcPr>
          <w:p w14:paraId="4C628EC2" w14:textId="025ED61A" w:rsidR="00DE4361" w:rsidRPr="00DE4361" w:rsidRDefault="00DE4361" w:rsidP="00330188">
            <w:pPr>
              <w:pStyle w:val="TableText"/>
            </w:pPr>
            <w:r w:rsidRPr="00DE4361">
              <w:t>Rehabilitation Services Administration</w:t>
            </w:r>
          </w:p>
        </w:tc>
      </w:tr>
      <w:tr w:rsidR="00DE4361" w:rsidRPr="00DE4361" w14:paraId="2CE209D7" w14:textId="77777777" w:rsidTr="000A1064">
        <w:trPr>
          <w:trHeight w:val="300"/>
        </w:trPr>
        <w:tc>
          <w:tcPr>
            <w:tcW w:w="3765" w:type="dxa"/>
            <w:vAlign w:val="center"/>
            <w:hideMark/>
          </w:tcPr>
          <w:p w14:paraId="62F1B3CF" w14:textId="77777777" w:rsidR="00DE4361" w:rsidRPr="00DE4361" w:rsidRDefault="00DE4361" w:rsidP="00330188">
            <w:pPr>
              <w:pStyle w:val="TableText"/>
            </w:pPr>
            <w:r w:rsidRPr="00DE4361">
              <w:t>SAO </w:t>
            </w:r>
          </w:p>
        </w:tc>
        <w:tc>
          <w:tcPr>
            <w:tcW w:w="5565" w:type="dxa"/>
            <w:vAlign w:val="center"/>
            <w:hideMark/>
          </w:tcPr>
          <w:p w14:paraId="6D8BF279" w14:textId="0B485367" w:rsidR="00DE4361" w:rsidRPr="00DE4361" w:rsidRDefault="00DE4361" w:rsidP="00330188">
            <w:pPr>
              <w:pStyle w:val="TableText"/>
            </w:pPr>
            <w:r w:rsidRPr="00DE4361">
              <w:t>State Auditor’s Office</w:t>
            </w:r>
          </w:p>
        </w:tc>
      </w:tr>
      <w:tr w:rsidR="00DE4361" w:rsidRPr="00DE4361" w14:paraId="5BA4CA43" w14:textId="77777777" w:rsidTr="000A1064">
        <w:trPr>
          <w:trHeight w:val="300"/>
        </w:trPr>
        <w:tc>
          <w:tcPr>
            <w:tcW w:w="3765" w:type="dxa"/>
            <w:vAlign w:val="center"/>
            <w:hideMark/>
          </w:tcPr>
          <w:p w14:paraId="76A03693" w14:textId="77777777" w:rsidR="00DE4361" w:rsidRPr="00DE4361" w:rsidRDefault="00DE4361" w:rsidP="00330188">
            <w:pPr>
              <w:pStyle w:val="TableText"/>
            </w:pPr>
            <w:r w:rsidRPr="00DE4361">
              <w:t>SB </w:t>
            </w:r>
          </w:p>
        </w:tc>
        <w:tc>
          <w:tcPr>
            <w:tcW w:w="5565" w:type="dxa"/>
            <w:vAlign w:val="center"/>
            <w:hideMark/>
          </w:tcPr>
          <w:p w14:paraId="7B5A8B74" w14:textId="70B4537C" w:rsidR="00DE4361" w:rsidRPr="00DE4361" w:rsidRDefault="00DE4361" w:rsidP="00330188">
            <w:pPr>
              <w:pStyle w:val="TableText"/>
            </w:pPr>
            <w:r w:rsidRPr="00DE4361">
              <w:t>Senate Bill</w:t>
            </w:r>
          </w:p>
        </w:tc>
      </w:tr>
      <w:tr w:rsidR="00DE4361" w:rsidRPr="00DE4361" w14:paraId="42704DC2" w14:textId="77777777" w:rsidTr="000A1064">
        <w:trPr>
          <w:trHeight w:val="300"/>
        </w:trPr>
        <w:tc>
          <w:tcPr>
            <w:tcW w:w="3765" w:type="dxa"/>
            <w:vAlign w:val="center"/>
            <w:hideMark/>
          </w:tcPr>
          <w:p w14:paraId="5BF0668C" w14:textId="77777777" w:rsidR="00DE4361" w:rsidRPr="00DE4361" w:rsidRDefault="00DE4361" w:rsidP="00330188">
            <w:pPr>
              <w:pStyle w:val="TableText"/>
            </w:pPr>
            <w:r w:rsidRPr="00DE4361">
              <w:t>SCSEP </w:t>
            </w:r>
          </w:p>
        </w:tc>
        <w:tc>
          <w:tcPr>
            <w:tcW w:w="5565" w:type="dxa"/>
            <w:vAlign w:val="center"/>
            <w:hideMark/>
          </w:tcPr>
          <w:p w14:paraId="309AEC84" w14:textId="50F3AE4D" w:rsidR="00DE4361" w:rsidRPr="00DE4361" w:rsidRDefault="00DE4361" w:rsidP="00330188">
            <w:pPr>
              <w:pStyle w:val="TableText"/>
            </w:pPr>
            <w:r w:rsidRPr="00DE4361">
              <w:t>Senior Community Services Employment Program</w:t>
            </w:r>
          </w:p>
        </w:tc>
      </w:tr>
      <w:tr w:rsidR="00DE4361" w:rsidRPr="00DE4361" w14:paraId="7C2B9D2B" w14:textId="77777777" w:rsidTr="000A1064">
        <w:trPr>
          <w:trHeight w:val="300"/>
        </w:trPr>
        <w:tc>
          <w:tcPr>
            <w:tcW w:w="3765" w:type="dxa"/>
            <w:vAlign w:val="center"/>
            <w:hideMark/>
          </w:tcPr>
          <w:p w14:paraId="6963E217" w14:textId="77777777" w:rsidR="00DE4361" w:rsidRPr="00DE4361" w:rsidRDefault="00DE4361" w:rsidP="00330188">
            <w:pPr>
              <w:pStyle w:val="TableText"/>
            </w:pPr>
            <w:r w:rsidRPr="00DE4361">
              <w:t>SDF </w:t>
            </w:r>
          </w:p>
        </w:tc>
        <w:tc>
          <w:tcPr>
            <w:tcW w:w="5565" w:type="dxa"/>
            <w:vAlign w:val="center"/>
            <w:hideMark/>
          </w:tcPr>
          <w:p w14:paraId="37E58BA9" w14:textId="2F72B10A" w:rsidR="00DE4361" w:rsidRPr="00DE4361" w:rsidRDefault="00DE4361" w:rsidP="00330188">
            <w:pPr>
              <w:pStyle w:val="TableText"/>
            </w:pPr>
            <w:r w:rsidRPr="00DE4361">
              <w:t>Skills Development fund</w:t>
            </w:r>
          </w:p>
        </w:tc>
      </w:tr>
      <w:tr w:rsidR="00DE4361" w:rsidRPr="00DE4361" w14:paraId="10225FE4" w14:textId="77777777" w:rsidTr="000A1064">
        <w:trPr>
          <w:trHeight w:val="300"/>
        </w:trPr>
        <w:tc>
          <w:tcPr>
            <w:tcW w:w="3765" w:type="dxa"/>
            <w:vAlign w:val="center"/>
            <w:hideMark/>
          </w:tcPr>
          <w:p w14:paraId="30398577" w14:textId="77777777" w:rsidR="00DE4361" w:rsidRPr="00DE4361" w:rsidRDefault="00DE4361" w:rsidP="00330188">
            <w:pPr>
              <w:pStyle w:val="TableText"/>
            </w:pPr>
            <w:r w:rsidRPr="00DE4361">
              <w:t>SEAL </w:t>
            </w:r>
          </w:p>
        </w:tc>
        <w:tc>
          <w:tcPr>
            <w:tcW w:w="5565" w:type="dxa"/>
            <w:vAlign w:val="center"/>
            <w:hideMark/>
          </w:tcPr>
          <w:p w14:paraId="29C1F009" w14:textId="5DFEAA24" w:rsidR="00DE4361" w:rsidRPr="00DE4361" w:rsidRDefault="00DE4361" w:rsidP="00330188">
            <w:pPr>
              <w:pStyle w:val="TableText"/>
            </w:pPr>
            <w:r w:rsidRPr="00DE4361">
              <w:t>Summer Earn and Learn</w:t>
            </w:r>
          </w:p>
        </w:tc>
      </w:tr>
      <w:tr w:rsidR="00DE4361" w:rsidRPr="00DE4361" w14:paraId="7689926D" w14:textId="77777777" w:rsidTr="000A1064">
        <w:trPr>
          <w:trHeight w:val="300"/>
        </w:trPr>
        <w:tc>
          <w:tcPr>
            <w:tcW w:w="3765" w:type="dxa"/>
            <w:vAlign w:val="center"/>
            <w:hideMark/>
          </w:tcPr>
          <w:p w14:paraId="11C56068" w14:textId="77777777" w:rsidR="00DE4361" w:rsidRPr="00DE4361" w:rsidRDefault="00DE4361" w:rsidP="00330188">
            <w:pPr>
              <w:pStyle w:val="TableText"/>
            </w:pPr>
            <w:r w:rsidRPr="00DE4361">
              <w:t>SEO </w:t>
            </w:r>
          </w:p>
        </w:tc>
        <w:tc>
          <w:tcPr>
            <w:tcW w:w="5565" w:type="dxa"/>
            <w:vAlign w:val="center"/>
            <w:hideMark/>
          </w:tcPr>
          <w:p w14:paraId="5C10408F" w14:textId="0DD21B4C" w:rsidR="00DE4361" w:rsidRPr="00DE4361" w:rsidRDefault="00DE4361" w:rsidP="00330188">
            <w:pPr>
              <w:pStyle w:val="TableText"/>
            </w:pPr>
            <w:r w:rsidRPr="00DE4361">
              <w:t>Search Engine Optimization</w:t>
            </w:r>
          </w:p>
        </w:tc>
      </w:tr>
      <w:tr w:rsidR="00DE4361" w:rsidRPr="00DE4361" w14:paraId="50C52F56" w14:textId="77777777" w:rsidTr="000A1064">
        <w:trPr>
          <w:trHeight w:val="300"/>
        </w:trPr>
        <w:tc>
          <w:tcPr>
            <w:tcW w:w="3765" w:type="dxa"/>
            <w:vAlign w:val="center"/>
            <w:hideMark/>
          </w:tcPr>
          <w:p w14:paraId="16C34FB1" w14:textId="77777777" w:rsidR="00DE4361" w:rsidRPr="00DE4361" w:rsidRDefault="00DE4361" w:rsidP="00330188">
            <w:pPr>
              <w:pStyle w:val="TableText"/>
            </w:pPr>
            <w:r w:rsidRPr="00DE4361">
              <w:t>SFY </w:t>
            </w:r>
          </w:p>
        </w:tc>
        <w:tc>
          <w:tcPr>
            <w:tcW w:w="5565" w:type="dxa"/>
            <w:vAlign w:val="center"/>
            <w:hideMark/>
          </w:tcPr>
          <w:p w14:paraId="5DD508F3" w14:textId="506DDB85" w:rsidR="00DE4361" w:rsidRPr="00DE4361" w:rsidRDefault="00DE4361" w:rsidP="00330188">
            <w:pPr>
              <w:pStyle w:val="TableText"/>
            </w:pPr>
            <w:r w:rsidRPr="00DE4361">
              <w:t>State Fiscal Year</w:t>
            </w:r>
          </w:p>
        </w:tc>
      </w:tr>
      <w:tr w:rsidR="00DE4361" w:rsidRPr="00DE4361" w14:paraId="470A00E8" w14:textId="77777777" w:rsidTr="000A1064">
        <w:trPr>
          <w:trHeight w:val="300"/>
        </w:trPr>
        <w:tc>
          <w:tcPr>
            <w:tcW w:w="3765" w:type="dxa"/>
            <w:vAlign w:val="center"/>
            <w:hideMark/>
          </w:tcPr>
          <w:p w14:paraId="37B5E703" w14:textId="77777777" w:rsidR="00DE4361" w:rsidRPr="00DE4361" w:rsidRDefault="00DE4361" w:rsidP="00330188">
            <w:pPr>
              <w:pStyle w:val="TableText"/>
            </w:pPr>
            <w:r w:rsidRPr="00DE4361">
              <w:t>SMI </w:t>
            </w:r>
          </w:p>
        </w:tc>
        <w:tc>
          <w:tcPr>
            <w:tcW w:w="5565" w:type="dxa"/>
            <w:vAlign w:val="center"/>
            <w:hideMark/>
          </w:tcPr>
          <w:p w14:paraId="586C1FBA" w14:textId="218B5DE7" w:rsidR="00DE4361" w:rsidRPr="00DE4361" w:rsidRDefault="00DE4361" w:rsidP="00330188">
            <w:pPr>
              <w:pStyle w:val="TableText"/>
            </w:pPr>
            <w:r w:rsidRPr="00DE4361">
              <w:t>State Median Income</w:t>
            </w:r>
          </w:p>
        </w:tc>
      </w:tr>
      <w:tr w:rsidR="00DE4361" w:rsidRPr="00DE4361" w14:paraId="42FEFDD1" w14:textId="77777777" w:rsidTr="000A1064">
        <w:trPr>
          <w:trHeight w:val="300"/>
        </w:trPr>
        <w:tc>
          <w:tcPr>
            <w:tcW w:w="3765" w:type="dxa"/>
            <w:vAlign w:val="center"/>
            <w:hideMark/>
          </w:tcPr>
          <w:p w14:paraId="65D1920E" w14:textId="77777777" w:rsidR="00DE4361" w:rsidRPr="00DE4361" w:rsidRDefault="00DE4361" w:rsidP="00330188">
            <w:pPr>
              <w:pStyle w:val="TableText"/>
            </w:pPr>
            <w:r w:rsidRPr="00DE4361">
              <w:t>SNAP </w:t>
            </w:r>
          </w:p>
        </w:tc>
        <w:tc>
          <w:tcPr>
            <w:tcW w:w="5565" w:type="dxa"/>
            <w:vAlign w:val="center"/>
            <w:hideMark/>
          </w:tcPr>
          <w:p w14:paraId="33DD11C2" w14:textId="7A9E1F8F" w:rsidR="00DE4361" w:rsidRPr="00DE4361" w:rsidRDefault="00DE4361" w:rsidP="00330188">
            <w:pPr>
              <w:pStyle w:val="TableText"/>
            </w:pPr>
            <w:r w:rsidRPr="00DE4361">
              <w:t>Supplemental Nutrition Assistance Program</w:t>
            </w:r>
          </w:p>
        </w:tc>
      </w:tr>
      <w:tr w:rsidR="00DE4361" w:rsidRPr="00DE4361" w14:paraId="3BA3D878" w14:textId="77777777" w:rsidTr="000A1064">
        <w:trPr>
          <w:trHeight w:val="300"/>
        </w:trPr>
        <w:tc>
          <w:tcPr>
            <w:tcW w:w="3765" w:type="dxa"/>
            <w:vAlign w:val="center"/>
            <w:hideMark/>
          </w:tcPr>
          <w:p w14:paraId="5FD2D067" w14:textId="77777777" w:rsidR="00DE4361" w:rsidRPr="00DE4361" w:rsidRDefault="00DE4361" w:rsidP="00330188">
            <w:pPr>
              <w:pStyle w:val="TableText"/>
            </w:pPr>
            <w:r w:rsidRPr="00DE4361">
              <w:t>SOAH </w:t>
            </w:r>
          </w:p>
        </w:tc>
        <w:tc>
          <w:tcPr>
            <w:tcW w:w="5565" w:type="dxa"/>
            <w:vAlign w:val="center"/>
            <w:hideMark/>
          </w:tcPr>
          <w:p w14:paraId="3591F655" w14:textId="38C961B5" w:rsidR="00DE4361" w:rsidRPr="00DE4361" w:rsidRDefault="00DE4361" w:rsidP="00330188">
            <w:pPr>
              <w:pStyle w:val="TableText"/>
            </w:pPr>
            <w:r w:rsidRPr="00DE4361">
              <w:t>State Office of Administrative Hearings</w:t>
            </w:r>
          </w:p>
        </w:tc>
      </w:tr>
      <w:tr w:rsidR="00DE4361" w:rsidRPr="00DE4361" w14:paraId="0FD6A6C1" w14:textId="77777777" w:rsidTr="000A1064">
        <w:trPr>
          <w:trHeight w:val="300"/>
        </w:trPr>
        <w:tc>
          <w:tcPr>
            <w:tcW w:w="3765" w:type="dxa"/>
            <w:vAlign w:val="center"/>
            <w:hideMark/>
          </w:tcPr>
          <w:p w14:paraId="17B45946" w14:textId="77777777" w:rsidR="00DE4361" w:rsidRPr="00DE4361" w:rsidRDefault="00DE4361" w:rsidP="00330188">
            <w:pPr>
              <w:pStyle w:val="TableText"/>
            </w:pPr>
            <w:r w:rsidRPr="00DE4361">
              <w:t>SOC </w:t>
            </w:r>
          </w:p>
        </w:tc>
        <w:tc>
          <w:tcPr>
            <w:tcW w:w="5565" w:type="dxa"/>
            <w:vAlign w:val="center"/>
            <w:hideMark/>
          </w:tcPr>
          <w:p w14:paraId="7CD1988F" w14:textId="20B62570" w:rsidR="00DE4361" w:rsidRPr="00DE4361" w:rsidRDefault="00DE4361" w:rsidP="00330188">
            <w:pPr>
              <w:pStyle w:val="TableText"/>
            </w:pPr>
            <w:r w:rsidRPr="00DE4361">
              <w:t>State Operations Center</w:t>
            </w:r>
          </w:p>
        </w:tc>
      </w:tr>
      <w:tr w:rsidR="00DE4361" w:rsidRPr="00DE4361" w14:paraId="25FADDE0" w14:textId="77777777" w:rsidTr="000A1064">
        <w:trPr>
          <w:trHeight w:val="300"/>
        </w:trPr>
        <w:tc>
          <w:tcPr>
            <w:tcW w:w="3765" w:type="dxa"/>
            <w:vAlign w:val="center"/>
            <w:hideMark/>
          </w:tcPr>
          <w:p w14:paraId="38C7F6E2" w14:textId="77777777" w:rsidR="00DE4361" w:rsidRPr="00DE4361" w:rsidRDefault="00DE4361" w:rsidP="00330188">
            <w:pPr>
              <w:pStyle w:val="TableText"/>
            </w:pPr>
            <w:r w:rsidRPr="00DE4361">
              <w:lastRenderedPageBreak/>
              <w:t>SOP </w:t>
            </w:r>
          </w:p>
        </w:tc>
        <w:tc>
          <w:tcPr>
            <w:tcW w:w="5565" w:type="dxa"/>
            <w:vAlign w:val="center"/>
            <w:hideMark/>
          </w:tcPr>
          <w:p w14:paraId="6A56FB7D" w14:textId="06C6F483" w:rsidR="00DE4361" w:rsidRPr="00DE4361" w:rsidRDefault="00DE4361" w:rsidP="00330188">
            <w:pPr>
              <w:pStyle w:val="TableText"/>
            </w:pPr>
            <w:r w:rsidRPr="00DE4361">
              <w:t>Standard Operating Procedures</w:t>
            </w:r>
          </w:p>
        </w:tc>
      </w:tr>
      <w:tr w:rsidR="00DE4361" w:rsidRPr="00DE4361" w14:paraId="26183633" w14:textId="77777777" w:rsidTr="000A1064">
        <w:trPr>
          <w:trHeight w:val="300"/>
        </w:trPr>
        <w:tc>
          <w:tcPr>
            <w:tcW w:w="3765" w:type="dxa"/>
            <w:vAlign w:val="center"/>
            <w:hideMark/>
          </w:tcPr>
          <w:p w14:paraId="241EB0B2" w14:textId="77777777" w:rsidR="00DE4361" w:rsidRPr="00DE4361" w:rsidRDefault="00DE4361" w:rsidP="00330188">
            <w:pPr>
              <w:pStyle w:val="TableText"/>
            </w:pPr>
            <w:r w:rsidRPr="00DE4361">
              <w:t>SORM </w:t>
            </w:r>
          </w:p>
        </w:tc>
        <w:tc>
          <w:tcPr>
            <w:tcW w:w="5565" w:type="dxa"/>
            <w:vAlign w:val="center"/>
            <w:hideMark/>
          </w:tcPr>
          <w:p w14:paraId="486D59BB" w14:textId="199EE942" w:rsidR="00DE4361" w:rsidRPr="00DE4361" w:rsidRDefault="00DE4361" w:rsidP="00330188">
            <w:pPr>
              <w:pStyle w:val="TableText"/>
            </w:pPr>
            <w:r w:rsidRPr="00DE4361">
              <w:t>State Office of Risk Management</w:t>
            </w:r>
          </w:p>
        </w:tc>
      </w:tr>
      <w:tr w:rsidR="00DE4361" w:rsidRPr="00DE4361" w14:paraId="03BCE753" w14:textId="77777777" w:rsidTr="000A1064">
        <w:trPr>
          <w:trHeight w:val="300"/>
        </w:trPr>
        <w:tc>
          <w:tcPr>
            <w:tcW w:w="3765" w:type="dxa"/>
            <w:vAlign w:val="center"/>
            <w:hideMark/>
          </w:tcPr>
          <w:p w14:paraId="09E3FF26" w14:textId="77777777" w:rsidR="00DE4361" w:rsidRPr="00DE4361" w:rsidRDefault="00DE4361" w:rsidP="00330188">
            <w:pPr>
              <w:pStyle w:val="TableText"/>
            </w:pPr>
            <w:r w:rsidRPr="00DE4361">
              <w:t>SPA </w:t>
            </w:r>
          </w:p>
        </w:tc>
        <w:tc>
          <w:tcPr>
            <w:tcW w:w="5565" w:type="dxa"/>
            <w:vAlign w:val="center"/>
            <w:hideMark/>
          </w:tcPr>
          <w:p w14:paraId="0AC00643" w14:textId="00674E24" w:rsidR="00DE4361" w:rsidRPr="00DE4361" w:rsidRDefault="00DE4361" w:rsidP="00330188">
            <w:pPr>
              <w:pStyle w:val="TableText"/>
            </w:pPr>
            <w:r w:rsidRPr="00DE4361">
              <w:t>Special Program Appeals</w:t>
            </w:r>
          </w:p>
        </w:tc>
      </w:tr>
      <w:tr w:rsidR="00DE4361" w:rsidRPr="00DE4361" w14:paraId="64795284" w14:textId="77777777" w:rsidTr="000A1064">
        <w:trPr>
          <w:trHeight w:val="300"/>
        </w:trPr>
        <w:tc>
          <w:tcPr>
            <w:tcW w:w="3765" w:type="dxa"/>
            <w:vAlign w:val="center"/>
            <w:hideMark/>
          </w:tcPr>
          <w:p w14:paraId="01030A5D" w14:textId="77777777" w:rsidR="00DE4361" w:rsidRPr="00DE4361" w:rsidRDefault="00DE4361" w:rsidP="00330188">
            <w:pPr>
              <w:pStyle w:val="TableText"/>
            </w:pPr>
            <w:r w:rsidRPr="00DE4361">
              <w:t>SRC </w:t>
            </w:r>
          </w:p>
        </w:tc>
        <w:tc>
          <w:tcPr>
            <w:tcW w:w="5565" w:type="dxa"/>
            <w:vAlign w:val="center"/>
            <w:hideMark/>
          </w:tcPr>
          <w:p w14:paraId="6CB12F87" w14:textId="162D614B" w:rsidR="00DE4361" w:rsidRPr="00DE4361" w:rsidRDefault="00DE4361" w:rsidP="00330188">
            <w:pPr>
              <w:pStyle w:val="TableText"/>
            </w:pPr>
            <w:r w:rsidRPr="00DE4361">
              <w:t>State Rehabilitation Council</w:t>
            </w:r>
          </w:p>
        </w:tc>
      </w:tr>
      <w:tr w:rsidR="00DE4361" w:rsidRPr="00DE4361" w14:paraId="15F3898E" w14:textId="77777777" w:rsidTr="000A1064">
        <w:trPr>
          <w:trHeight w:val="300"/>
        </w:trPr>
        <w:tc>
          <w:tcPr>
            <w:tcW w:w="3765" w:type="dxa"/>
            <w:vAlign w:val="center"/>
            <w:hideMark/>
          </w:tcPr>
          <w:p w14:paraId="1D5F7CBA" w14:textId="77777777" w:rsidR="00DE4361" w:rsidRPr="00DE4361" w:rsidRDefault="00DE4361" w:rsidP="00330188">
            <w:pPr>
              <w:pStyle w:val="TableText"/>
            </w:pPr>
            <w:r w:rsidRPr="00DE4361">
              <w:t>SRM </w:t>
            </w:r>
          </w:p>
        </w:tc>
        <w:tc>
          <w:tcPr>
            <w:tcW w:w="5565" w:type="dxa"/>
            <w:vAlign w:val="center"/>
            <w:hideMark/>
          </w:tcPr>
          <w:p w14:paraId="7340BF30" w14:textId="65FA4626" w:rsidR="00DE4361" w:rsidRPr="00DE4361" w:rsidRDefault="00DE4361" w:rsidP="00330188">
            <w:pPr>
              <w:pStyle w:val="TableText"/>
            </w:pPr>
            <w:r w:rsidRPr="00DE4361">
              <w:t>Subrecipient Monitoring</w:t>
            </w:r>
          </w:p>
        </w:tc>
      </w:tr>
      <w:tr w:rsidR="00DE4361" w:rsidRPr="00DE4361" w14:paraId="49634EAF" w14:textId="77777777" w:rsidTr="000A1064">
        <w:trPr>
          <w:trHeight w:val="300"/>
        </w:trPr>
        <w:tc>
          <w:tcPr>
            <w:tcW w:w="3765" w:type="dxa"/>
            <w:vAlign w:val="center"/>
            <w:hideMark/>
          </w:tcPr>
          <w:p w14:paraId="3AF0BC77" w14:textId="77777777" w:rsidR="00DE4361" w:rsidRPr="00DE4361" w:rsidRDefault="00DE4361" w:rsidP="00330188">
            <w:pPr>
              <w:pStyle w:val="TableText"/>
            </w:pPr>
            <w:r w:rsidRPr="00DE4361">
              <w:t>SSA </w:t>
            </w:r>
          </w:p>
        </w:tc>
        <w:tc>
          <w:tcPr>
            <w:tcW w:w="5565" w:type="dxa"/>
            <w:vAlign w:val="center"/>
            <w:hideMark/>
          </w:tcPr>
          <w:p w14:paraId="407AFDB1" w14:textId="4D620816" w:rsidR="00DE4361" w:rsidRPr="00DE4361" w:rsidRDefault="00DE4361" w:rsidP="00330188">
            <w:pPr>
              <w:pStyle w:val="TableText"/>
            </w:pPr>
            <w:r w:rsidRPr="00DE4361">
              <w:t>Social Security Administration</w:t>
            </w:r>
          </w:p>
        </w:tc>
      </w:tr>
      <w:tr w:rsidR="00DE4361" w:rsidRPr="00DE4361" w14:paraId="42FCF84F" w14:textId="77777777" w:rsidTr="000A1064">
        <w:trPr>
          <w:trHeight w:val="300"/>
        </w:trPr>
        <w:tc>
          <w:tcPr>
            <w:tcW w:w="3765" w:type="dxa"/>
            <w:vAlign w:val="center"/>
            <w:hideMark/>
          </w:tcPr>
          <w:p w14:paraId="01CE722F" w14:textId="77777777" w:rsidR="00DE4361" w:rsidRPr="00DE4361" w:rsidRDefault="00DE4361" w:rsidP="00330188">
            <w:pPr>
              <w:pStyle w:val="TableText"/>
            </w:pPr>
            <w:r w:rsidRPr="00DE4361">
              <w:t>SSAs </w:t>
            </w:r>
          </w:p>
        </w:tc>
        <w:tc>
          <w:tcPr>
            <w:tcW w:w="5565" w:type="dxa"/>
            <w:vAlign w:val="center"/>
            <w:hideMark/>
          </w:tcPr>
          <w:p w14:paraId="67FF2A0C" w14:textId="44DD0FB4" w:rsidR="00DE4361" w:rsidRPr="00DE4361" w:rsidRDefault="00DE4361" w:rsidP="00330188">
            <w:pPr>
              <w:pStyle w:val="TableText"/>
            </w:pPr>
            <w:r w:rsidRPr="00DE4361">
              <w:t>Shared Services Alliances</w:t>
            </w:r>
          </w:p>
        </w:tc>
      </w:tr>
      <w:tr w:rsidR="00DE4361" w:rsidRPr="00DE4361" w14:paraId="0416F4B4" w14:textId="77777777" w:rsidTr="000A1064">
        <w:trPr>
          <w:trHeight w:val="300"/>
        </w:trPr>
        <w:tc>
          <w:tcPr>
            <w:tcW w:w="3765" w:type="dxa"/>
            <w:vAlign w:val="center"/>
            <w:hideMark/>
          </w:tcPr>
          <w:p w14:paraId="7DCED965" w14:textId="77777777" w:rsidR="00DE4361" w:rsidRPr="00DE4361" w:rsidRDefault="00DE4361" w:rsidP="00330188">
            <w:pPr>
              <w:pStyle w:val="TableText"/>
            </w:pPr>
            <w:r w:rsidRPr="00DE4361">
              <w:t>SSDI </w:t>
            </w:r>
          </w:p>
        </w:tc>
        <w:tc>
          <w:tcPr>
            <w:tcW w:w="5565" w:type="dxa"/>
            <w:vAlign w:val="center"/>
            <w:hideMark/>
          </w:tcPr>
          <w:p w14:paraId="0376EAB6" w14:textId="6FB052D1" w:rsidR="00DE4361" w:rsidRPr="00DE4361" w:rsidRDefault="00DE4361" w:rsidP="00330188">
            <w:pPr>
              <w:pStyle w:val="TableText"/>
            </w:pPr>
            <w:r w:rsidRPr="00DE4361">
              <w:t>Social Security Disability Insurance</w:t>
            </w:r>
          </w:p>
        </w:tc>
      </w:tr>
      <w:tr w:rsidR="00DE4361" w:rsidRPr="00DE4361" w14:paraId="2E0A12FE" w14:textId="77777777" w:rsidTr="000A1064">
        <w:trPr>
          <w:trHeight w:val="300"/>
        </w:trPr>
        <w:tc>
          <w:tcPr>
            <w:tcW w:w="3765" w:type="dxa"/>
            <w:vAlign w:val="center"/>
            <w:hideMark/>
          </w:tcPr>
          <w:p w14:paraId="7FB653C9" w14:textId="77777777" w:rsidR="00DE4361" w:rsidRPr="00DE4361" w:rsidRDefault="00DE4361" w:rsidP="00330188">
            <w:pPr>
              <w:pStyle w:val="TableText"/>
            </w:pPr>
            <w:r w:rsidRPr="00DE4361">
              <w:t>SSI </w:t>
            </w:r>
          </w:p>
        </w:tc>
        <w:tc>
          <w:tcPr>
            <w:tcW w:w="5565" w:type="dxa"/>
            <w:vAlign w:val="center"/>
            <w:hideMark/>
          </w:tcPr>
          <w:p w14:paraId="10B94148" w14:textId="5A660161" w:rsidR="00DE4361" w:rsidRPr="00DE4361" w:rsidRDefault="00DE4361" w:rsidP="00330188">
            <w:pPr>
              <w:pStyle w:val="TableText"/>
            </w:pPr>
            <w:r w:rsidRPr="00DE4361">
              <w:t>Supplemental Security Income</w:t>
            </w:r>
          </w:p>
        </w:tc>
      </w:tr>
      <w:tr w:rsidR="00DE4361" w:rsidRPr="00DE4361" w14:paraId="5C4C5C15" w14:textId="77777777" w:rsidTr="000A1064">
        <w:trPr>
          <w:trHeight w:val="300"/>
        </w:trPr>
        <w:tc>
          <w:tcPr>
            <w:tcW w:w="3765" w:type="dxa"/>
            <w:vAlign w:val="center"/>
            <w:hideMark/>
          </w:tcPr>
          <w:p w14:paraId="538757B7" w14:textId="77777777" w:rsidR="00DE4361" w:rsidRPr="00DE4361" w:rsidRDefault="00DE4361" w:rsidP="00330188">
            <w:pPr>
              <w:pStyle w:val="TableText"/>
            </w:pPr>
            <w:r w:rsidRPr="00DE4361">
              <w:t>STEM! </w:t>
            </w:r>
          </w:p>
        </w:tc>
        <w:tc>
          <w:tcPr>
            <w:tcW w:w="5565" w:type="dxa"/>
            <w:vAlign w:val="center"/>
            <w:hideMark/>
          </w:tcPr>
          <w:p w14:paraId="0A3CDF3A" w14:textId="164FBDFB" w:rsidR="00DE4361" w:rsidRPr="00DE4361" w:rsidRDefault="00DE4361" w:rsidP="00330188">
            <w:pPr>
              <w:pStyle w:val="TableText"/>
            </w:pPr>
            <w:r w:rsidRPr="00DE4361">
              <w:t>Science, Technology, Engineering and Mathematics</w:t>
            </w:r>
          </w:p>
        </w:tc>
      </w:tr>
      <w:tr w:rsidR="00DE4361" w:rsidRPr="00DE4361" w14:paraId="4458B250" w14:textId="77777777" w:rsidTr="000A1064">
        <w:trPr>
          <w:trHeight w:val="300"/>
        </w:trPr>
        <w:tc>
          <w:tcPr>
            <w:tcW w:w="3765" w:type="dxa"/>
            <w:vAlign w:val="center"/>
            <w:hideMark/>
          </w:tcPr>
          <w:p w14:paraId="78756B51" w14:textId="77777777" w:rsidR="00DE4361" w:rsidRPr="00DE4361" w:rsidRDefault="00DE4361" w:rsidP="00330188">
            <w:pPr>
              <w:pStyle w:val="TableText"/>
            </w:pPr>
            <w:r w:rsidRPr="00DE4361">
              <w:t>TAA </w:t>
            </w:r>
          </w:p>
        </w:tc>
        <w:tc>
          <w:tcPr>
            <w:tcW w:w="5565" w:type="dxa"/>
            <w:vAlign w:val="center"/>
            <w:hideMark/>
          </w:tcPr>
          <w:p w14:paraId="4BA2EC86" w14:textId="29043450" w:rsidR="00DE4361" w:rsidRPr="00DE4361" w:rsidRDefault="00DE4361" w:rsidP="00330188">
            <w:pPr>
              <w:pStyle w:val="TableText"/>
            </w:pPr>
            <w:r w:rsidRPr="00DE4361">
              <w:t xml:space="preserve">Trade </w:t>
            </w:r>
            <w:r w:rsidR="000A1597">
              <w:t xml:space="preserve">Adjustment </w:t>
            </w:r>
            <w:r w:rsidRPr="00DE4361">
              <w:t>Assistance</w:t>
            </w:r>
          </w:p>
        </w:tc>
      </w:tr>
      <w:tr w:rsidR="00DE4361" w:rsidRPr="00DE4361" w14:paraId="0FC00D4A" w14:textId="77777777" w:rsidTr="000A1064">
        <w:trPr>
          <w:trHeight w:val="300"/>
        </w:trPr>
        <w:tc>
          <w:tcPr>
            <w:tcW w:w="3765" w:type="dxa"/>
            <w:vAlign w:val="center"/>
            <w:hideMark/>
          </w:tcPr>
          <w:p w14:paraId="19BD748B" w14:textId="77777777" w:rsidR="00DE4361" w:rsidRPr="00DE4361" w:rsidRDefault="00DE4361" w:rsidP="00330188">
            <w:pPr>
              <w:pStyle w:val="TableText"/>
            </w:pPr>
            <w:r w:rsidRPr="00DE4361">
              <w:t>TAC </w:t>
            </w:r>
          </w:p>
        </w:tc>
        <w:tc>
          <w:tcPr>
            <w:tcW w:w="5565" w:type="dxa"/>
            <w:vAlign w:val="center"/>
            <w:hideMark/>
          </w:tcPr>
          <w:p w14:paraId="142CA4EE" w14:textId="5E798BA3" w:rsidR="00DE4361" w:rsidRPr="00DE4361" w:rsidRDefault="00DE4361" w:rsidP="00330188">
            <w:pPr>
              <w:pStyle w:val="TableText"/>
            </w:pPr>
            <w:r w:rsidRPr="00DE4361">
              <w:t>Texas Administrative Code</w:t>
            </w:r>
          </w:p>
        </w:tc>
      </w:tr>
      <w:tr w:rsidR="00DE4361" w:rsidRPr="00DE4361" w14:paraId="768ECF4B" w14:textId="77777777" w:rsidTr="000A1064">
        <w:trPr>
          <w:trHeight w:val="300"/>
        </w:trPr>
        <w:tc>
          <w:tcPr>
            <w:tcW w:w="3765" w:type="dxa"/>
            <w:vAlign w:val="center"/>
            <w:hideMark/>
          </w:tcPr>
          <w:p w14:paraId="55CA86A8" w14:textId="77777777" w:rsidR="00DE4361" w:rsidRPr="00DE4361" w:rsidRDefault="00DE4361" w:rsidP="00330188">
            <w:pPr>
              <w:pStyle w:val="TableText"/>
            </w:pPr>
            <w:r w:rsidRPr="00DE4361">
              <w:t>TAEYC </w:t>
            </w:r>
          </w:p>
        </w:tc>
        <w:tc>
          <w:tcPr>
            <w:tcW w:w="5565" w:type="dxa"/>
            <w:vAlign w:val="center"/>
            <w:hideMark/>
          </w:tcPr>
          <w:p w14:paraId="559CAC67" w14:textId="77EED64F" w:rsidR="00DE4361" w:rsidRPr="00DE4361" w:rsidRDefault="00DE4361" w:rsidP="00330188">
            <w:pPr>
              <w:pStyle w:val="TableText"/>
            </w:pPr>
            <w:r w:rsidRPr="00DE4361">
              <w:t>Texas Association for the Education of Young Children</w:t>
            </w:r>
          </w:p>
        </w:tc>
      </w:tr>
      <w:tr w:rsidR="00DE4361" w:rsidRPr="00DE4361" w14:paraId="186AA110" w14:textId="77777777" w:rsidTr="000A1064">
        <w:trPr>
          <w:trHeight w:val="300"/>
        </w:trPr>
        <w:tc>
          <w:tcPr>
            <w:tcW w:w="3765" w:type="dxa"/>
            <w:vAlign w:val="center"/>
            <w:hideMark/>
          </w:tcPr>
          <w:p w14:paraId="5FB37551" w14:textId="77777777" w:rsidR="00DE4361" w:rsidRPr="00DE4361" w:rsidRDefault="00DE4361" w:rsidP="00330188">
            <w:pPr>
              <w:pStyle w:val="TableText"/>
            </w:pPr>
            <w:r w:rsidRPr="00DE4361">
              <w:t>TAMUS </w:t>
            </w:r>
          </w:p>
        </w:tc>
        <w:tc>
          <w:tcPr>
            <w:tcW w:w="5565" w:type="dxa"/>
            <w:vAlign w:val="center"/>
            <w:hideMark/>
          </w:tcPr>
          <w:p w14:paraId="02A8950C" w14:textId="20A09CB2" w:rsidR="00DE4361" w:rsidRPr="00DE4361" w:rsidRDefault="00DE4361" w:rsidP="00330188">
            <w:pPr>
              <w:pStyle w:val="TableText"/>
            </w:pPr>
            <w:r w:rsidRPr="00DE4361">
              <w:t>Texas A&amp;M University System</w:t>
            </w:r>
          </w:p>
        </w:tc>
      </w:tr>
      <w:tr w:rsidR="00DE4361" w:rsidRPr="00DE4361" w14:paraId="43A2F8AF" w14:textId="77777777" w:rsidTr="000A1064">
        <w:trPr>
          <w:trHeight w:val="300"/>
        </w:trPr>
        <w:tc>
          <w:tcPr>
            <w:tcW w:w="3765" w:type="dxa"/>
            <w:vAlign w:val="center"/>
            <w:hideMark/>
          </w:tcPr>
          <w:p w14:paraId="4DB1A307" w14:textId="77777777" w:rsidR="00DE4361" w:rsidRPr="00DE4361" w:rsidRDefault="00DE4361" w:rsidP="00330188">
            <w:pPr>
              <w:pStyle w:val="TableText"/>
            </w:pPr>
            <w:r w:rsidRPr="00DE4361">
              <w:t>TANF </w:t>
            </w:r>
          </w:p>
        </w:tc>
        <w:tc>
          <w:tcPr>
            <w:tcW w:w="5565" w:type="dxa"/>
            <w:vAlign w:val="center"/>
            <w:hideMark/>
          </w:tcPr>
          <w:p w14:paraId="32C82793" w14:textId="4CA82637" w:rsidR="00DE4361" w:rsidRPr="00DE4361" w:rsidRDefault="00DE4361" w:rsidP="00330188">
            <w:pPr>
              <w:pStyle w:val="TableText"/>
            </w:pPr>
            <w:r w:rsidRPr="00DE4361">
              <w:t>Temporary Assistance for Needy Families</w:t>
            </w:r>
          </w:p>
        </w:tc>
      </w:tr>
      <w:tr w:rsidR="00DE4361" w:rsidRPr="00DE4361" w14:paraId="2C3923E4" w14:textId="77777777" w:rsidTr="000A1064">
        <w:trPr>
          <w:trHeight w:val="300"/>
        </w:trPr>
        <w:tc>
          <w:tcPr>
            <w:tcW w:w="3765" w:type="dxa"/>
            <w:vAlign w:val="center"/>
            <w:hideMark/>
          </w:tcPr>
          <w:p w14:paraId="5E2B39F3" w14:textId="77777777" w:rsidR="00DE4361" w:rsidRPr="00DE4361" w:rsidRDefault="00DE4361" w:rsidP="00330188">
            <w:pPr>
              <w:pStyle w:val="TableText"/>
            </w:pPr>
            <w:r w:rsidRPr="00DE4361">
              <w:t>TCF </w:t>
            </w:r>
          </w:p>
        </w:tc>
        <w:tc>
          <w:tcPr>
            <w:tcW w:w="5565" w:type="dxa"/>
            <w:vAlign w:val="center"/>
            <w:hideMark/>
          </w:tcPr>
          <w:p w14:paraId="3B5AFA17" w14:textId="69CEE5BE" w:rsidR="00DE4361" w:rsidRPr="00DE4361" w:rsidRDefault="00DE4361" w:rsidP="00330188">
            <w:pPr>
              <w:pStyle w:val="TableText"/>
            </w:pPr>
            <w:r w:rsidRPr="00DE4361">
              <w:t>Texas Cybersecurity Framework</w:t>
            </w:r>
          </w:p>
        </w:tc>
      </w:tr>
      <w:tr w:rsidR="00DE4361" w:rsidRPr="00DE4361" w14:paraId="08BFB1FE" w14:textId="77777777" w:rsidTr="000A1064">
        <w:trPr>
          <w:trHeight w:val="300"/>
        </w:trPr>
        <w:tc>
          <w:tcPr>
            <w:tcW w:w="3765" w:type="dxa"/>
            <w:vAlign w:val="center"/>
            <w:hideMark/>
          </w:tcPr>
          <w:p w14:paraId="2722AC02" w14:textId="77777777" w:rsidR="00DE4361" w:rsidRPr="00DE4361" w:rsidRDefault="00DE4361" w:rsidP="00330188">
            <w:pPr>
              <w:pStyle w:val="TableText"/>
            </w:pPr>
            <w:r w:rsidRPr="00DE4361">
              <w:t>TDCJ </w:t>
            </w:r>
          </w:p>
        </w:tc>
        <w:tc>
          <w:tcPr>
            <w:tcW w:w="5565" w:type="dxa"/>
            <w:vAlign w:val="center"/>
            <w:hideMark/>
          </w:tcPr>
          <w:p w14:paraId="782D9BD2" w14:textId="41509B17" w:rsidR="00DE4361" w:rsidRPr="00DE4361" w:rsidRDefault="00DE4361" w:rsidP="00330188">
            <w:pPr>
              <w:pStyle w:val="TableText"/>
            </w:pPr>
            <w:r w:rsidRPr="00DE4361">
              <w:t>Texas Department of Criminal Justice</w:t>
            </w:r>
          </w:p>
        </w:tc>
      </w:tr>
      <w:tr w:rsidR="00DE4361" w:rsidRPr="00DE4361" w14:paraId="7812A6DD" w14:textId="77777777" w:rsidTr="000A1064">
        <w:trPr>
          <w:trHeight w:val="300"/>
        </w:trPr>
        <w:tc>
          <w:tcPr>
            <w:tcW w:w="3765" w:type="dxa"/>
            <w:vAlign w:val="center"/>
            <w:hideMark/>
          </w:tcPr>
          <w:p w14:paraId="3D1C0390" w14:textId="77777777" w:rsidR="00DE4361" w:rsidRPr="00DE4361" w:rsidRDefault="00DE4361" w:rsidP="00330188">
            <w:pPr>
              <w:pStyle w:val="TableText"/>
            </w:pPr>
            <w:r w:rsidRPr="00DE4361">
              <w:t>TEA </w:t>
            </w:r>
          </w:p>
        </w:tc>
        <w:tc>
          <w:tcPr>
            <w:tcW w:w="5565" w:type="dxa"/>
            <w:vAlign w:val="center"/>
            <w:hideMark/>
          </w:tcPr>
          <w:p w14:paraId="76C17E2E" w14:textId="4C5A9EDE" w:rsidR="00DE4361" w:rsidRPr="00DE4361" w:rsidRDefault="00DE4361" w:rsidP="00330188">
            <w:pPr>
              <w:pStyle w:val="TableText"/>
            </w:pPr>
            <w:r w:rsidRPr="00DE4361">
              <w:t>Texas Education Agency</w:t>
            </w:r>
          </w:p>
        </w:tc>
      </w:tr>
      <w:tr w:rsidR="00DE4361" w:rsidRPr="00DE4361" w14:paraId="571FC10E" w14:textId="77777777" w:rsidTr="000A1064">
        <w:trPr>
          <w:trHeight w:val="300"/>
        </w:trPr>
        <w:tc>
          <w:tcPr>
            <w:tcW w:w="3765" w:type="dxa"/>
            <w:vAlign w:val="center"/>
            <w:hideMark/>
          </w:tcPr>
          <w:p w14:paraId="7E986BBC" w14:textId="77777777" w:rsidR="00DE4361" w:rsidRPr="00DE4361" w:rsidRDefault="00DE4361" w:rsidP="00330188">
            <w:pPr>
              <w:pStyle w:val="TableText"/>
            </w:pPr>
            <w:r w:rsidRPr="00DE4361">
              <w:t>TEC </w:t>
            </w:r>
          </w:p>
        </w:tc>
        <w:tc>
          <w:tcPr>
            <w:tcW w:w="5565" w:type="dxa"/>
            <w:vAlign w:val="center"/>
            <w:hideMark/>
          </w:tcPr>
          <w:p w14:paraId="386A0A73" w14:textId="4B8D7880" w:rsidR="00DE4361" w:rsidRPr="00DE4361" w:rsidRDefault="00DE4361" w:rsidP="00330188">
            <w:pPr>
              <w:pStyle w:val="TableText"/>
            </w:pPr>
            <w:r w:rsidRPr="00DE4361">
              <w:t>Texas Employment Commission</w:t>
            </w:r>
          </w:p>
        </w:tc>
      </w:tr>
      <w:tr w:rsidR="00DE4361" w:rsidRPr="00DE4361" w14:paraId="3008BB50" w14:textId="77777777" w:rsidTr="000A1064">
        <w:trPr>
          <w:trHeight w:val="300"/>
        </w:trPr>
        <w:tc>
          <w:tcPr>
            <w:tcW w:w="3765" w:type="dxa"/>
            <w:vAlign w:val="center"/>
            <w:hideMark/>
          </w:tcPr>
          <w:p w14:paraId="783E29C6" w14:textId="77777777" w:rsidR="00DE4361" w:rsidRPr="00DE4361" w:rsidRDefault="00DE4361" w:rsidP="00330188">
            <w:pPr>
              <w:pStyle w:val="TableText"/>
            </w:pPr>
            <w:r w:rsidRPr="00DE4361">
              <w:t>TECPDS </w:t>
            </w:r>
          </w:p>
        </w:tc>
        <w:tc>
          <w:tcPr>
            <w:tcW w:w="5565" w:type="dxa"/>
            <w:vAlign w:val="center"/>
            <w:hideMark/>
          </w:tcPr>
          <w:p w14:paraId="03D57C28" w14:textId="0D5495C7" w:rsidR="00DE4361" w:rsidRPr="00DE4361" w:rsidRDefault="00DE4361" w:rsidP="00330188">
            <w:pPr>
              <w:pStyle w:val="TableText"/>
            </w:pPr>
            <w:r w:rsidRPr="00DE4361">
              <w:t>Texas Early Childhood Professional Development System</w:t>
            </w:r>
          </w:p>
        </w:tc>
      </w:tr>
      <w:tr w:rsidR="00DE4361" w:rsidRPr="00DE4361" w14:paraId="57B53A57" w14:textId="77777777" w:rsidTr="000A1064">
        <w:trPr>
          <w:trHeight w:val="300"/>
        </w:trPr>
        <w:tc>
          <w:tcPr>
            <w:tcW w:w="3765" w:type="dxa"/>
            <w:vAlign w:val="center"/>
            <w:hideMark/>
          </w:tcPr>
          <w:p w14:paraId="5A06A90E" w14:textId="77777777" w:rsidR="00DE4361" w:rsidRPr="00DE4361" w:rsidRDefault="00DE4361" w:rsidP="00330188">
            <w:pPr>
              <w:pStyle w:val="TableText"/>
            </w:pPr>
            <w:r w:rsidRPr="00DE4361">
              <w:t>TEMC </w:t>
            </w:r>
          </w:p>
        </w:tc>
        <w:tc>
          <w:tcPr>
            <w:tcW w:w="5565" w:type="dxa"/>
            <w:vAlign w:val="center"/>
            <w:hideMark/>
          </w:tcPr>
          <w:p w14:paraId="4C905261" w14:textId="0102AD84" w:rsidR="00DE4361" w:rsidRPr="00DE4361" w:rsidRDefault="00DE4361" w:rsidP="00330188">
            <w:pPr>
              <w:pStyle w:val="TableText"/>
            </w:pPr>
            <w:r w:rsidRPr="00DE4361">
              <w:t>Texas Emergency Management Council</w:t>
            </w:r>
          </w:p>
        </w:tc>
      </w:tr>
      <w:tr w:rsidR="00DE4361" w:rsidRPr="00DE4361" w14:paraId="772E30E1" w14:textId="77777777" w:rsidTr="000A1064">
        <w:trPr>
          <w:trHeight w:val="300"/>
        </w:trPr>
        <w:tc>
          <w:tcPr>
            <w:tcW w:w="3765" w:type="dxa"/>
            <w:vAlign w:val="center"/>
            <w:hideMark/>
          </w:tcPr>
          <w:p w14:paraId="5E8BF30C" w14:textId="77777777" w:rsidR="00DE4361" w:rsidRPr="00DE4361" w:rsidRDefault="00DE4361" w:rsidP="00330188">
            <w:pPr>
              <w:pStyle w:val="TableText"/>
            </w:pPr>
            <w:r w:rsidRPr="00DE4361">
              <w:t>THECB </w:t>
            </w:r>
          </w:p>
        </w:tc>
        <w:tc>
          <w:tcPr>
            <w:tcW w:w="5565" w:type="dxa"/>
            <w:vAlign w:val="center"/>
            <w:hideMark/>
          </w:tcPr>
          <w:p w14:paraId="39F7EC3A" w14:textId="5EC75999" w:rsidR="00DE4361" w:rsidRPr="00DE4361" w:rsidRDefault="00DE4361" w:rsidP="00330188">
            <w:pPr>
              <w:pStyle w:val="TableText"/>
            </w:pPr>
            <w:r w:rsidRPr="00DE4361">
              <w:t>Texas Higher Education Coordinating Board</w:t>
            </w:r>
          </w:p>
        </w:tc>
      </w:tr>
      <w:tr w:rsidR="00DE4361" w:rsidRPr="00DE4361" w14:paraId="65E18A89" w14:textId="77777777" w:rsidTr="000A1064">
        <w:trPr>
          <w:trHeight w:val="300"/>
        </w:trPr>
        <w:tc>
          <w:tcPr>
            <w:tcW w:w="3765" w:type="dxa"/>
            <w:vAlign w:val="center"/>
            <w:hideMark/>
          </w:tcPr>
          <w:p w14:paraId="42161057" w14:textId="77777777" w:rsidR="00DE4361" w:rsidRPr="00DE4361" w:rsidRDefault="00DE4361" w:rsidP="00330188">
            <w:pPr>
              <w:pStyle w:val="TableText"/>
            </w:pPr>
            <w:r w:rsidRPr="00DE4361">
              <w:t>TLC </w:t>
            </w:r>
          </w:p>
        </w:tc>
        <w:tc>
          <w:tcPr>
            <w:tcW w:w="5565" w:type="dxa"/>
            <w:vAlign w:val="center"/>
            <w:hideMark/>
          </w:tcPr>
          <w:p w14:paraId="637DA2F5" w14:textId="20C528B6" w:rsidR="00DE4361" w:rsidRPr="00DE4361" w:rsidRDefault="00DE4361" w:rsidP="00330188">
            <w:pPr>
              <w:pStyle w:val="TableText"/>
            </w:pPr>
            <w:r w:rsidRPr="00DE4361">
              <w:t>Texas Lottery Commission</w:t>
            </w:r>
          </w:p>
        </w:tc>
      </w:tr>
      <w:tr w:rsidR="00DE4361" w:rsidRPr="00DE4361" w14:paraId="122D9798" w14:textId="77777777" w:rsidTr="000A1064">
        <w:trPr>
          <w:trHeight w:val="300"/>
        </w:trPr>
        <w:tc>
          <w:tcPr>
            <w:tcW w:w="3765" w:type="dxa"/>
            <w:vAlign w:val="center"/>
            <w:hideMark/>
          </w:tcPr>
          <w:p w14:paraId="188C9B70" w14:textId="77777777" w:rsidR="00DE4361" w:rsidRPr="00DE4361" w:rsidRDefault="00DE4361" w:rsidP="00330188">
            <w:pPr>
              <w:pStyle w:val="TableText"/>
            </w:pPr>
            <w:r w:rsidRPr="00DE4361">
              <w:t>TOP </w:t>
            </w:r>
          </w:p>
        </w:tc>
        <w:tc>
          <w:tcPr>
            <w:tcW w:w="5565" w:type="dxa"/>
            <w:vAlign w:val="center"/>
            <w:hideMark/>
          </w:tcPr>
          <w:p w14:paraId="6533E037" w14:textId="46B7A329" w:rsidR="00DE4361" w:rsidRPr="00DE4361" w:rsidRDefault="00DE4361" w:rsidP="00330188">
            <w:pPr>
              <w:pStyle w:val="TableText"/>
            </w:pPr>
            <w:r w:rsidRPr="00DE4361">
              <w:t>Treasury Offset Program</w:t>
            </w:r>
          </w:p>
        </w:tc>
      </w:tr>
      <w:tr w:rsidR="00DE4361" w:rsidRPr="00DE4361" w14:paraId="472778C0" w14:textId="77777777" w:rsidTr="000A1064">
        <w:trPr>
          <w:trHeight w:val="300"/>
        </w:trPr>
        <w:tc>
          <w:tcPr>
            <w:tcW w:w="3765" w:type="dxa"/>
            <w:vAlign w:val="center"/>
            <w:hideMark/>
          </w:tcPr>
          <w:p w14:paraId="7A1D4E20" w14:textId="77777777" w:rsidR="00DE4361" w:rsidRPr="00DE4361" w:rsidRDefault="00DE4361" w:rsidP="00330188">
            <w:pPr>
              <w:pStyle w:val="TableText"/>
            </w:pPr>
            <w:r w:rsidRPr="00DE4361">
              <w:t>TPS </w:t>
            </w:r>
          </w:p>
        </w:tc>
        <w:tc>
          <w:tcPr>
            <w:tcW w:w="5565" w:type="dxa"/>
            <w:vAlign w:val="center"/>
            <w:hideMark/>
          </w:tcPr>
          <w:p w14:paraId="514B0C66" w14:textId="0DFB3BF5" w:rsidR="00DE4361" w:rsidRPr="00DE4361" w:rsidRDefault="00DE4361" w:rsidP="00330188">
            <w:pPr>
              <w:pStyle w:val="TableText"/>
            </w:pPr>
            <w:r w:rsidRPr="00DE4361">
              <w:t>Tax Performance System</w:t>
            </w:r>
          </w:p>
        </w:tc>
      </w:tr>
      <w:tr w:rsidR="00DE4361" w:rsidRPr="00DE4361" w14:paraId="5962ED72" w14:textId="77777777" w:rsidTr="000A1064">
        <w:trPr>
          <w:trHeight w:val="300"/>
        </w:trPr>
        <w:tc>
          <w:tcPr>
            <w:tcW w:w="3765" w:type="dxa"/>
            <w:vAlign w:val="center"/>
            <w:hideMark/>
          </w:tcPr>
          <w:p w14:paraId="50503378" w14:textId="77777777" w:rsidR="00DE4361" w:rsidRPr="00DE4361" w:rsidRDefault="00DE4361" w:rsidP="00330188">
            <w:pPr>
              <w:pStyle w:val="TableText"/>
            </w:pPr>
            <w:r w:rsidRPr="00DE4361">
              <w:t>TRA </w:t>
            </w:r>
          </w:p>
        </w:tc>
        <w:tc>
          <w:tcPr>
            <w:tcW w:w="5565" w:type="dxa"/>
            <w:vAlign w:val="center"/>
            <w:hideMark/>
          </w:tcPr>
          <w:p w14:paraId="2FD354A4" w14:textId="7A37D43B" w:rsidR="00DE4361" w:rsidRPr="00DE4361" w:rsidRDefault="00DE4361" w:rsidP="00330188">
            <w:pPr>
              <w:pStyle w:val="TableText"/>
            </w:pPr>
            <w:r w:rsidRPr="00DE4361">
              <w:t>Trade Readjustment Assistance</w:t>
            </w:r>
          </w:p>
        </w:tc>
      </w:tr>
      <w:tr w:rsidR="00DE4361" w:rsidRPr="00DE4361" w14:paraId="321BEFF2" w14:textId="77777777" w:rsidTr="000A1064">
        <w:trPr>
          <w:trHeight w:val="300"/>
        </w:trPr>
        <w:tc>
          <w:tcPr>
            <w:tcW w:w="3765" w:type="dxa"/>
            <w:vAlign w:val="center"/>
            <w:hideMark/>
          </w:tcPr>
          <w:p w14:paraId="433C0E66" w14:textId="77777777" w:rsidR="00DE4361" w:rsidRPr="00DE4361" w:rsidRDefault="00DE4361" w:rsidP="00330188">
            <w:pPr>
              <w:pStyle w:val="TableText"/>
            </w:pPr>
            <w:r w:rsidRPr="00DE4361">
              <w:t>TUCA </w:t>
            </w:r>
          </w:p>
        </w:tc>
        <w:tc>
          <w:tcPr>
            <w:tcW w:w="5565" w:type="dxa"/>
            <w:vAlign w:val="center"/>
            <w:hideMark/>
          </w:tcPr>
          <w:p w14:paraId="72012CAD" w14:textId="4AD5DE68" w:rsidR="00DE4361" w:rsidRPr="00DE4361" w:rsidRDefault="00DE4361" w:rsidP="00330188">
            <w:pPr>
              <w:pStyle w:val="TableText"/>
            </w:pPr>
            <w:r w:rsidRPr="00DE4361">
              <w:t>Texas Unemployment Compensation Act</w:t>
            </w:r>
          </w:p>
        </w:tc>
      </w:tr>
      <w:tr w:rsidR="00DE4361" w:rsidRPr="00DE4361" w14:paraId="6E352D8C" w14:textId="77777777" w:rsidTr="000A1064">
        <w:trPr>
          <w:trHeight w:val="300"/>
        </w:trPr>
        <w:tc>
          <w:tcPr>
            <w:tcW w:w="3765" w:type="dxa"/>
            <w:vAlign w:val="center"/>
            <w:hideMark/>
          </w:tcPr>
          <w:p w14:paraId="74D0DD92" w14:textId="77777777" w:rsidR="00DE4361" w:rsidRPr="00DE4361" w:rsidRDefault="00DE4361" w:rsidP="00330188">
            <w:pPr>
              <w:pStyle w:val="TableText"/>
            </w:pPr>
            <w:r w:rsidRPr="00DE4361">
              <w:t>TVC </w:t>
            </w:r>
          </w:p>
        </w:tc>
        <w:tc>
          <w:tcPr>
            <w:tcW w:w="5565" w:type="dxa"/>
            <w:vAlign w:val="center"/>
            <w:hideMark/>
          </w:tcPr>
          <w:p w14:paraId="0BD10EE5" w14:textId="09C2291B" w:rsidR="00DE4361" w:rsidRPr="00DE4361" w:rsidRDefault="00DE4361" w:rsidP="00330188">
            <w:pPr>
              <w:pStyle w:val="TableText"/>
            </w:pPr>
            <w:r w:rsidRPr="00DE4361">
              <w:t>Texas Veterans Commission</w:t>
            </w:r>
          </w:p>
        </w:tc>
      </w:tr>
      <w:tr w:rsidR="00DE4361" w:rsidRPr="00DE4361" w14:paraId="38220BC7" w14:textId="77777777" w:rsidTr="000A1064">
        <w:trPr>
          <w:trHeight w:val="300"/>
        </w:trPr>
        <w:tc>
          <w:tcPr>
            <w:tcW w:w="3765" w:type="dxa"/>
            <w:vAlign w:val="center"/>
            <w:hideMark/>
          </w:tcPr>
          <w:p w14:paraId="09214335" w14:textId="77777777" w:rsidR="00DE4361" w:rsidRPr="00DE4361" w:rsidRDefault="00DE4361" w:rsidP="00330188">
            <w:pPr>
              <w:pStyle w:val="TableText"/>
            </w:pPr>
            <w:r w:rsidRPr="00DE4361">
              <w:t>TWC </w:t>
            </w:r>
          </w:p>
        </w:tc>
        <w:tc>
          <w:tcPr>
            <w:tcW w:w="5565" w:type="dxa"/>
            <w:vAlign w:val="center"/>
            <w:hideMark/>
          </w:tcPr>
          <w:p w14:paraId="5C1BF8BB" w14:textId="78AFA4CE" w:rsidR="00DE4361" w:rsidRPr="00DE4361" w:rsidRDefault="00DE4361" w:rsidP="00330188">
            <w:pPr>
              <w:pStyle w:val="TableText"/>
            </w:pPr>
            <w:r w:rsidRPr="00DE4361">
              <w:t>Texas Workforce Commission</w:t>
            </w:r>
          </w:p>
        </w:tc>
      </w:tr>
      <w:tr w:rsidR="00DE4361" w:rsidRPr="00DE4361" w14:paraId="6933689B" w14:textId="77777777" w:rsidTr="000A1064">
        <w:trPr>
          <w:trHeight w:val="300"/>
        </w:trPr>
        <w:tc>
          <w:tcPr>
            <w:tcW w:w="3765" w:type="dxa"/>
            <w:vAlign w:val="center"/>
            <w:hideMark/>
          </w:tcPr>
          <w:p w14:paraId="0D2AB613" w14:textId="77777777" w:rsidR="00DE4361" w:rsidRPr="00DE4361" w:rsidRDefault="00DE4361" w:rsidP="00330188">
            <w:pPr>
              <w:pStyle w:val="TableText"/>
            </w:pPr>
            <w:r w:rsidRPr="00DE4361">
              <w:t>TWC-VR </w:t>
            </w:r>
          </w:p>
        </w:tc>
        <w:tc>
          <w:tcPr>
            <w:tcW w:w="5565" w:type="dxa"/>
            <w:vAlign w:val="center"/>
            <w:hideMark/>
          </w:tcPr>
          <w:p w14:paraId="3A97B624" w14:textId="0552754A" w:rsidR="00DE4361" w:rsidRPr="00DE4361" w:rsidRDefault="00DE4361" w:rsidP="00330188">
            <w:pPr>
              <w:pStyle w:val="TableText"/>
            </w:pPr>
            <w:r w:rsidRPr="00DE4361">
              <w:t>Texas Workforce Vocational Rehabilitation</w:t>
            </w:r>
          </w:p>
        </w:tc>
      </w:tr>
      <w:tr w:rsidR="00DE4361" w:rsidRPr="00DE4361" w14:paraId="20F783E6" w14:textId="77777777" w:rsidTr="000A1064">
        <w:trPr>
          <w:trHeight w:val="300"/>
        </w:trPr>
        <w:tc>
          <w:tcPr>
            <w:tcW w:w="3765" w:type="dxa"/>
            <w:vAlign w:val="center"/>
            <w:hideMark/>
          </w:tcPr>
          <w:p w14:paraId="7440E0DD" w14:textId="77777777" w:rsidR="00DE4361" w:rsidRPr="00DE4361" w:rsidRDefault="00DE4361" w:rsidP="00330188">
            <w:pPr>
              <w:pStyle w:val="TableText"/>
            </w:pPr>
            <w:r w:rsidRPr="00DE4361">
              <w:lastRenderedPageBreak/>
              <w:t>TWIC </w:t>
            </w:r>
          </w:p>
        </w:tc>
        <w:tc>
          <w:tcPr>
            <w:tcW w:w="5565" w:type="dxa"/>
            <w:vAlign w:val="center"/>
            <w:hideMark/>
          </w:tcPr>
          <w:p w14:paraId="77FF8753" w14:textId="476A5480" w:rsidR="00DE4361" w:rsidRPr="00DE4361" w:rsidRDefault="00DE4361" w:rsidP="00330188">
            <w:pPr>
              <w:pStyle w:val="TableText"/>
            </w:pPr>
            <w:r w:rsidRPr="00DE4361">
              <w:t>Texas Workforce Investment Council</w:t>
            </w:r>
          </w:p>
        </w:tc>
      </w:tr>
      <w:tr w:rsidR="00DE4361" w:rsidRPr="00DE4361" w14:paraId="29A4DD63" w14:textId="77777777" w:rsidTr="000A1064">
        <w:trPr>
          <w:trHeight w:val="300"/>
        </w:trPr>
        <w:tc>
          <w:tcPr>
            <w:tcW w:w="3765" w:type="dxa"/>
            <w:vAlign w:val="center"/>
            <w:hideMark/>
          </w:tcPr>
          <w:p w14:paraId="528BD510" w14:textId="77777777" w:rsidR="00DE4361" w:rsidRPr="00DE4361" w:rsidRDefault="00DE4361" w:rsidP="00330188">
            <w:pPr>
              <w:pStyle w:val="TableText"/>
            </w:pPr>
            <w:r w:rsidRPr="00DE4361">
              <w:t>TWR </w:t>
            </w:r>
          </w:p>
        </w:tc>
        <w:tc>
          <w:tcPr>
            <w:tcW w:w="5565" w:type="dxa"/>
            <w:vAlign w:val="center"/>
            <w:hideMark/>
          </w:tcPr>
          <w:p w14:paraId="59799DBA" w14:textId="55388A51" w:rsidR="00DE4361" w:rsidRPr="00DE4361" w:rsidRDefault="00DE4361" w:rsidP="00330188">
            <w:pPr>
              <w:pStyle w:val="TableText"/>
            </w:pPr>
            <w:r w:rsidRPr="00DE4361">
              <w:t>Texas Workforce Registry</w:t>
            </w:r>
          </w:p>
        </w:tc>
      </w:tr>
      <w:tr w:rsidR="00DE4361" w:rsidRPr="00DE4361" w14:paraId="2A22D8A6" w14:textId="77777777" w:rsidTr="000A1064">
        <w:trPr>
          <w:trHeight w:val="300"/>
        </w:trPr>
        <w:tc>
          <w:tcPr>
            <w:tcW w:w="3765" w:type="dxa"/>
            <w:vAlign w:val="center"/>
            <w:hideMark/>
          </w:tcPr>
          <w:p w14:paraId="34CDD943" w14:textId="77777777" w:rsidR="00DE4361" w:rsidRPr="00DE4361" w:rsidRDefault="00DE4361" w:rsidP="00330188">
            <w:pPr>
              <w:pStyle w:val="TableText"/>
            </w:pPr>
            <w:r w:rsidRPr="00DE4361">
              <w:t>TX3C </w:t>
            </w:r>
          </w:p>
        </w:tc>
        <w:tc>
          <w:tcPr>
            <w:tcW w:w="5565" w:type="dxa"/>
            <w:vAlign w:val="center"/>
            <w:hideMark/>
          </w:tcPr>
          <w:p w14:paraId="58149EF4" w14:textId="751F1AC4" w:rsidR="00DE4361" w:rsidRPr="00DE4361" w:rsidRDefault="00DE4361" w:rsidP="00330188">
            <w:pPr>
              <w:pStyle w:val="TableText"/>
            </w:pPr>
            <w:r w:rsidRPr="00DE4361">
              <w:t>Texas Child Care Connection</w:t>
            </w:r>
          </w:p>
        </w:tc>
      </w:tr>
      <w:tr w:rsidR="00DE4361" w:rsidRPr="00DE4361" w14:paraId="5C9A8C1A" w14:textId="77777777" w:rsidTr="000A1064">
        <w:trPr>
          <w:trHeight w:val="300"/>
        </w:trPr>
        <w:tc>
          <w:tcPr>
            <w:tcW w:w="3765" w:type="dxa"/>
            <w:vAlign w:val="center"/>
            <w:hideMark/>
          </w:tcPr>
          <w:p w14:paraId="15DE2243" w14:textId="77777777" w:rsidR="00DE4361" w:rsidRPr="00DE4361" w:rsidRDefault="00DE4361" w:rsidP="00330188">
            <w:pPr>
              <w:pStyle w:val="TableText"/>
            </w:pPr>
            <w:r w:rsidRPr="00DE4361">
              <w:t>TXR3 </w:t>
            </w:r>
          </w:p>
        </w:tc>
        <w:tc>
          <w:tcPr>
            <w:tcW w:w="5565" w:type="dxa"/>
            <w:vAlign w:val="center"/>
            <w:hideMark/>
          </w:tcPr>
          <w:p w14:paraId="05D52289" w14:textId="4552CD22" w:rsidR="00DE4361" w:rsidRPr="00DE4361" w:rsidRDefault="00DE4361" w:rsidP="00330188">
            <w:pPr>
              <w:pStyle w:val="TableText"/>
            </w:pPr>
            <w:r w:rsidRPr="00DE4361">
              <w:t>Texas Ready Communities, Ready Schools, Ready Students</w:t>
            </w:r>
          </w:p>
        </w:tc>
      </w:tr>
      <w:tr w:rsidR="00DE4361" w:rsidRPr="00DE4361" w14:paraId="4E5A2518" w14:textId="77777777" w:rsidTr="000A1064">
        <w:trPr>
          <w:trHeight w:val="300"/>
        </w:trPr>
        <w:tc>
          <w:tcPr>
            <w:tcW w:w="3765" w:type="dxa"/>
            <w:vAlign w:val="center"/>
            <w:hideMark/>
          </w:tcPr>
          <w:p w14:paraId="2FFDB356" w14:textId="77777777" w:rsidR="00DE4361" w:rsidRPr="00DE4361" w:rsidRDefault="00DE4361" w:rsidP="00330188">
            <w:pPr>
              <w:pStyle w:val="TableText"/>
            </w:pPr>
            <w:proofErr w:type="spellStart"/>
            <w:r w:rsidRPr="00DE4361">
              <w:t>TxROCS</w:t>
            </w:r>
            <w:proofErr w:type="spellEnd"/>
            <w:r w:rsidRPr="00DE4361">
              <w:t> </w:t>
            </w:r>
          </w:p>
        </w:tc>
        <w:tc>
          <w:tcPr>
            <w:tcW w:w="5565" w:type="dxa"/>
            <w:vAlign w:val="center"/>
            <w:hideMark/>
          </w:tcPr>
          <w:p w14:paraId="32D5C7AE" w14:textId="14947BFA" w:rsidR="00DE4361" w:rsidRPr="00DE4361" w:rsidRDefault="00DE4361" w:rsidP="00330188">
            <w:pPr>
              <w:pStyle w:val="TableText"/>
            </w:pPr>
            <w:r w:rsidRPr="00DE4361">
              <w:t>Texas Review, Oversight and Coaching System</w:t>
            </w:r>
          </w:p>
        </w:tc>
      </w:tr>
      <w:tr w:rsidR="00DE4361" w:rsidRPr="00DE4361" w14:paraId="6606388D" w14:textId="77777777" w:rsidTr="000A1064">
        <w:trPr>
          <w:trHeight w:val="300"/>
        </w:trPr>
        <w:tc>
          <w:tcPr>
            <w:tcW w:w="3765" w:type="dxa"/>
            <w:vAlign w:val="center"/>
            <w:hideMark/>
          </w:tcPr>
          <w:p w14:paraId="734DDD1C" w14:textId="77777777" w:rsidR="00DE4361" w:rsidRPr="00DE4361" w:rsidRDefault="00DE4361" w:rsidP="00330188">
            <w:pPr>
              <w:pStyle w:val="TableText"/>
            </w:pPr>
            <w:r w:rsidRPr="00DE4361">
              <w:t>UC </w:t>
            </w:r>
          </w:p>
        </w:tc>
        <w:tc>
          <w:tcPr>
            <w:tcW w:w="5565" w:type="dxa"/>
            <w:vAlign w:val="center"/>
            <w:hideMark/>
          </w:tcPr>
          <w:p w14:paraId="0D2881BF" w14:textId="1F64EB82" w:rsidR="00DE4361" w:rsidRPr="00DE4361" w:rsidRDefault="00DE4361" w:rsidP="00330188">
            <w:pPr>
              <w:pStyle w:val="TableText"/>
            </w:pPr>
            <w:r w:rsidRPr="00DE4361">
              <w:t>Unemployment Compensation</w:t>
            </w:r>
          </w:p>
        </w:tc>
      </w:tr>
      <w:tr w:rsidR="00DE4361" w:rsidRPr="00DE4361" w14:paraId="776C2A6F" w14:textId="77777777" w:rsidTr="000A1064">
        <w:trPr>
          <w:trHeight w:val="300"/>
        </w:trPr>
        <w:tc>
          <w:tcPr>
            <w:tcW w:w="3765" w:type="dxa"/>
            <w:vAlign w:val="center"/>
            <w:hideMark/>
          </w:tcPr>
          <w:p w14:paraId="17B473F5" w14:textId="77777777" w:rsidR="00DE4361" w:rsidRPr="00DE4361" w:rsidRDefault="00DE4361" w:rsidP="00330188">
            <w:pPr>
              <w:pStyle w:val="TableText"/>
            </w:pPr>
            <w:r w:rsidRPr="00DE4361">
              <w:t>UI </w:t>
            </w:r>
          </w:p>
        </w:tc>
        <w:tc>
          <w:tcPr>
            <w:tcW w:w="5565" w:type="dxa"/>
            <w:vAlign w:val="center"/>
            <w:hideMark/>
          </w:tcPr>
          <w:p w14:paraId="00D145B7" w14:textId="7DAB8ADA" w:rsidR="00DE4361" w:rsidRPr="00DE4361" w:rsidRDefault="00DE4361" w:rsidP="00330188">
            <w:pPr>
              <w:pStyle w:val="TableText"/>
            </w:pPr>
            <w:r w:rsidRPr="00DE4361">
              <w:t>Unemployment Insurance</w:t>
            </w:r>
          </w:p>
        </w:tc>
      </w:tr>
      <w:tr w:rsidR="00DE4361" w:rsidRPr="00DE4361" w14:paraId="6A46E2B2" w14:textId="77777777" w:rsidTr="000A1064">
        <w:trPr>
          <w:trHeight w:val="300"/>
        </w:trPr>
        <w:tc>
          <w:tcPr>
            <w:tcW w:w="3765" w:type="dxa"/>
            <w:vAlign w:val="center"/>
            <w:hideMark/>
          </w:tcPr>
          <w:p w14:paraId="0BA4E3EF" w14:textId="77777777" w:rsidR="00DE4361" w:rsidRPr="00DE4361" w:rsidRDefault="00DE4361" w:rsidP="00330188">
            <w:pPr>
              <w:pStyle w:val="TableText"/>
            </w:pPr>
            <w:r w:rsidRPr="00DE4361">
              <w:t>UIA&amp;OS </w:t>
            </w:r>
          </w:p>
        </w:tc>
        <w:tc>
          <w:tcPr>
            <w:tcW w:w="5565" w:type="dxa"/>
            <w:vAlign w:val="center"/>
            <w:hideMark/>
          </w:tcPr>
          <w:p w14:paraId="4FC8ED5D" w14:textId="38FAC8FA" w:rsidR="00DE4361" w:rsidRPr="00DE4361" w:rsidRDefault="00DE4361" w:rsidP="00330188">
            <w:pPr>
              <w:pStyle w:val="TableText"/>
            </w:pPr>
            <w:r w:rsidRPr="00DE4361">
              <w:t>Unemployment Insurance Administration and Operational Support</w:t>
            </w:r>
          </w:p>
        </w:tc>
      </w:tr>
      <w:tr w:rsidR="00DE4361" w:rsidRPr="00DE4361" w14:paraId="17C8F8EE" w14:textId="77777777" w:rsidTr="000A1064">
        <w:trPr>
          <w:trHeight w:val="300"/>
        </w:trPr>
        <w:tc>
          <w:tcPr>
            <w:tcW w:w="3765" w:type="dxa"/>
            <w:vAlign w:val="center"/>
            <w:hideMark/>
          </w:tcPr>
          <w:p w14:paraId="3C73C5AB" w14:textId="77777777" w:rsidR="00DE4361" w:rsidRPr="00DE4361" w:rsidRDefault="00DE4361" w:rsidP="00330188">
            <w:pPr>
              <w:pStyle w:val="TableText"/>
            </w:pPr>
            <w:r w:rsidRPr="00DE4361">
              <w:t>USDOL-WH </w:t>
            </w:r>
          </w:p>
        </w:tc>
        <w:tc>
          <w:tcPr>
            <w:tcW w:w="5565" w:type="dxa"/>
            <w:vAlign w:val="center"/>
            <w:hideMark/>
          </w:tcPr>
          <w:p w14:paraId="40730664" w14:textId="07FCFB5C" w:rsidR="00DE4361" w:rsidRPr="00DE4361" w:rsidRDefault="00DE4361" w:rsidP="00330188">
            <w:pPr>
              <w:pStyle w:val="TableText"/>
            </w:pPr>
            <w:r w:rsidRPr="00DE4361">
              <w:t>US Department of Labor, Wage and Hour Division</w:t>
            </w:r>
          </w:p>
        </w:tc>
      </w:tr>
      <w:tr w:rsidR="00DE4361" w:rsidRPr="00DE4361" w14:paraId="5D15EA06" w14:textId="77777777" w:rsidTr="000A1064">
        <w:trPr>
          <w:trHeight w:val="300"/>
        </w:trPr>
        <w:tc>
          <w:tcPr>
            <w:tcW w:w="3765" w:type="dxa"/>
            <w:vAlign w:val="center"/>
            <w:hideMark/>
          </w:tcPr>
          <w:p w14:paraId="14028AB2" w14:textId="77777777" w:rsidR="00DE4361" w:rsidRPr="00DE4361" w:rsidRDefault="00DE4361" w:rsidP="00330188">
            <w:pPr>
              <w:pStyle w:val="TableText"/>
            </w:pPr>
            <w:r w:rsidRPr="00DE4361">
              <w:t>USPS </w:t>
            </w:r>
          </w:p>
        </w:tc>
        <w:tc>
          <w:tcPr>
            <w:tcW w:w="5565" w:type="dxa"/>
            <w:vAlign w:val="center"/>
            <w:hideMark/>
          </w:tcPr>
          <w:p w14:paraId="408F8609" w14:textId="0F43B86A" w:rsidR="00DE4361" w:rsidRPr="00DE4361" w:rsidRDefault="00DE4361" w:rsidP="00330188">
            <w:pPr>
              <w:pStyle w:val="TableText"/>
            </w:pPr>
            <w:r w:rsidRPr="00DE4361">
              <w:t>United States Postal Service</w:t>
            </w:r>
          </w:p>
        </w:tc>
      </w:tr>
      <w:tr w:rsidR="00DE4361" w:rsidRPr="00DE4361" w14:paraId="2205C947" w14:textId="77777777" w:rsidTr="000A1064">
        <w:trPr>
          <w:trHeight w:val="300"/>
        </w:trPr>
        <w:tc>
          <w:tcPr>
            <w:tcW w:w="3765" w:type="dxa"/>
            <w:vAlign w:val="center"/>
            <w:hideMark/>
          </w:tcPr>
          <w:p w14:paraId="2CBFD175" w14:textId="77777777" w:rsidR="00DE4361" w:rsidRPr="00DE4361" w:rsidRDefault="00DE4361" w:rsidP="00330188">
            <w:pPr>
              <w:pStyle w:val="TableText"/>
            </w:pPr>
            <w:r w:rsidRPr="00DE4361">
              <w:t>UTHSH </w:t>
            </w:r>
          </w:p>
        </w:tc>
        <w:tc>
          <w:tcPr>
            <w:tcW w:w="5565" w:type="dxa"/>
            <w:vAlign w:val="center"/>
            <w:hideMark/>
          </w:tcPr>
          <w:p w14:paraId="55D330D9" w14:textId="340672A1" w:rsidR="00DE4361" w:rsidRPr="00DE4361" w:rsidRDefault="00DE4361" w:rsidP="00330188">
            <w:pPr>
              <w:pStyle w:val="TableText"/>
            </w:pPr>
            <w:r w:rsidRPr="00DE4361">
              <w:t>University of Texas Health Center - Houston</w:t>
            </w:r>
          </w:p>
        </w:tc>
      </w:tr>
      <w:tr w:rsidR="00DE4361" w:rsidRPr="00DE4361" w14:paraId="040E165D" w14:textId="77777777" w:rsidTr="000A1064">
        <w:trPr>
          <w:trHeight w:val="300"/>
        </w:trPr>
        <w:tc>
          <w:tcPr>
            <w:tcW w:w="3765" w:type="dxa"/>
            <w:vAlign w:val="center"/>
            <w:hideMark/>
          </w:tcPr>
          <w:p w14:paraId="53077778" w14:textId="77777777" w:rsidR="00DE4361" w:rsidRPr="00DE4361" w:rsidRDefault="00DE4361" w:rsidP="00330188">
            <w:pPr>
              <w:pStyle w:val="TableText"/>
            </w:pPr>
            <w:r w:rsidRPr="00DE4361">
              <w:t>VA </w:t>
            </w:r>
          </w:p>
        </w:tc>
        <w:tc>
          <w:tcPr>
            <w:tcW w:w="5565" w:type="dxa"/>
            <w:vAlign w:val="center"/>
            <w:hideMark/>
          </w:tcPr>
          <w:p w14:paraId="607F05CB" w14:textId="76686633" w:rsidR="00DE4361" w:rsidRPr="00DE4361" w:rsidRDefault="00DE4361" w:rsidP="00330188">
            <w:pPr>
              <w:pStyle w:val="TableText"/>
            </w:pPr>
            <w:r w:rsidRPr="00DE4361">
              <w:t>Veterans Administration</w:t>
            </w:r>
          </w:p>
        </w:tc>
      </w:tr>
      <w:tr w:rsidR="00DE4361" w:rsidRPr="00DE4361" w14:paraId="07D5EBED" w14:textId="77777777" w:rsidTr="000A1064">
        <w:trPr>
          <w:trHeight w:val="300"/>
        </w:trPr>
        <w:tc>
          <w:tcPr>
            <w:tcW w:w="3765" w:type="dxa"/>
            <w:vAlign w:val="center"/>
            <w:hideMark/>
          </w:tcPr>
          <w:p w14:paraId="2B7CAA8E" w14:textId="77777777" w:rsidR="00DE4361" w:rsidRPr="00DE4361" w:rsidRDefault="00DE4361" w:rsidP="00330188">
            <w:pPr>
              <w:pStyle w:val="TableText"/>
            </w:pPr>
            <w:r w:rsidRPr="00DE4361">
              <w:t>VR </w:t>
            </w:r>
          </w:p>
        </w:tc>
        <w:tc>
          <w:tcPr>
            <w:tcW w:w="5565" w:type="dxa"/>
            <w:vAlign w:val="center"/>
            <w:hideMark/>
          </w:tcPr>
          <w:p w14:paraId="68A7C8F9" w14:textId="1E2598F5" w:rsidR="00DE4361" w:rsidRPr="00DE4361" w:rsidRDefault="00DE4361" w:rsidP="00330188">
            <w:pPr>
              <w:pStyle w:val="TableText"/>
            </w:pPr>
            <w:r w:rsidRPr="00DE4361">
              <w:t>Vocational Rehabilitation</w:t>
            </w:r>
          </w:p>
        </w:tc>
      </w:tr>
      <w:tr w:rsidR="00DE4361" w:rsidRPr="00DE4361" w14:paraId="563CDC6E" w14:textId="77777777" w:rsidTr="000A1064">
        <w:trPr>
          <w:trHeight w:val="300"/>
        </w:trPr>
        <w:tc>
          <w:tcPr>
            <w:tcW w:w="3765" w:type="dxa"/>
            <w:vAlign w:val="center"/>
            <w:hideMark/>
          </w:tcPr>
          <w:p w14:paraId="34C8930E" w14:textId="77777777" w:rsidR="00DE4361" w:rsidRPr="00DE4361" w:rsidRDefault="00DE4361" w:rsidP="00330188">
            <w:pPr>
              <w:pStyle w:val="TableText"/>
            </w:pPr>
            <w:r w:rsidRPr="00DE4361">
              <w:t>VRCOS </w:t>
            </w:r>
          </w:p>
        </w:tc>
        <w:tc>
          <w:tcPr>
            <w:tcW w:w="5565" w:type="dxa"/>
            <w:vAlign w:val="center"/>
            <w:hideMark/>
          </w:tcPr>
          <w:p w14:paraId="0DBE3D28" w14:textId="2369AE2C" w:rsidR="00DE4361" w:rsidRPr="00DE4361" w:rsidRDefault="00DE4361" w:rsidP="00330188">
            <w:pPr>
              <w:pStyle w:val="TableText"/>
            </w:pPr>
            <w:r w:rsidRPr="00DE4361">
              <w:t>Vocational Rehabilitation Contract Oversight and Support</w:t>
            </w:r>
          </w:p>
        </w:tc>
      </w:tr>
      <w:tr w:rsidR="00DE4361" w:rsidRPr="00DE4361" w14:paraId="69C7067D" w14:textId="77777777" w:rsidTr="000A1064">
        <w:trPr>
          <w:trHeight w:val="300"/>
        </w:trPr>
        <w:tc>
          <w:tcPr>
            <w:tcW w:w="3765" w:type="dxa"/>
            <w:vAlign w:val="center"/>
            <w:hideMark/>
          </w:tcPr>
          <w:p w14:paraId="77E14AF0" w14:textId="77777777" w:rsidR="00DE4361" w:rsidRPr="00DE4361" w:rsidRDefault="00DE4361" w:rsidP="00330188">
            <w:pPr>
              <w:pStyle w:val="TableText"/>
            </w:pPr>
            <w:r w:rsidRPr="00DE4361">
              <w:t>WCAG </w:t>
            </w:r>
          </w:p>
        </w:tc>
        <w:tc>
          <w:tcPr>
            <w:tcW w:w="5565" w:type="dxa"/>
            <w:vAlign w:val="center"/>
            <w:hideMark/>
          </w:tcPr>
          <w:p w14:paraId="1904D75F" w14:textId="284B862F" w:rsidR="00DE4361" w:rsidRPr="00DE4361" w:rsidRDefault="00DE4361" w:rsidP="00330188">
            <w:pPr>
              <w:pStyle w:val="TableText"/>
            </w:pPr>
            <w:r w:rsidRPr="00DE4361">
              <w:t>Web Content Accessibility Guidelines</w:t>
            </w:r>
          </w:p>
        </w:tc>
      </w:tr>
      <w:tr w:rsidR="00DE4361" w:rsidRPr="00DE4361" w14:paraId="0C4A4E61" w14:textId="77777777" w:rsidTr="000A1064">
        <w:trPr>
          <w:trHeight w:val="300"/>
        </w:trPr>
        <w:tc>
          <w:tcPr>
            <w:tcW w:w="3765" w:type="dxa"/>
            <w:vAlign w:val="center"/>
            <w:hideMark/>
          </w:tcPr>
          <w:p w14:paraId="1350E558" w14:textId="77777777" w:rsidR="00DE4361" w:rsidRPr="00DE4361" w:rsidRDefault="00DE4361" w:rsidP="00330188">
            <w:pPr>
              <w:pStyle w:val="TableText"/>
            </w:pPr>
            <w:r w:rsidRPr="00DE4361">
              <w:t>WFR </w:t>
            </w:r>
          </w:p>
        </w:tc>
        <w:tc>
          <w:tcPr>
            <w:tcW w:w="5565" w:type="dxa"/>
            <w:vAlign w:val="center"/>
            <w:hideMark/>
          </w:tcPr>
          <w:p w14:paraId="217B2515" w14:textId="74677563" w:rsidR="00DE4361" w:rsidRPr="00DE4361" w:rsidRDefault="00DE4361" w:rsidP="00330188">
            <w:pPr>
              <w:pStyle w:val="TableText"/>
            </w:pPr>
            <w:r w:rsidRPr="00DE4361">
              <w:t>Workforce Registry</w:t>
            </w:r>
          </w:p>
        </w:tc>
      </w:tr>
      <w:tr w:rsidR="00DE4361" w:rsidRPr="00DE4361" w14:paraId="31C4A1B0" w14:textId="77777777" w:rsidTr="000A1064">
        <w:trPr>
          <w:trHeight w:val="300"/>
        </w:trPr>
        <w:tc>
          <w:tcPr>
            <w:tcW w:w="3765" w:type="dxa"/>
            <w:vAlign w:val="center"/>
            <w:hideMark/>
          </w:tcPr>
          <w:p w14:paraId="19AD981D" w14:textId="77777777" w:rsidR="00DE4361" w:rsidRPr="00DE4361" w:rsidRDefault="00DE4361" w:rsidP="00330188">
            <w:pPr>
              <w:pStyle w:val="TableText"/>
            </w:pPr>
            <w:r w:rsidRPr="00DE4361">
              <w:t>WIA </w:t>
            </w:r>
          </w:p>
        </w:tc>
        <w:tc>
          <w:tcPr>
            <w:tcW w:w="5565" w:type="dxa"/>
            <w:vAlign w:val="center"/>
            <w:hideMark/>
          </w:tcPr>
          <w:p w14:paraId="33B13ED8" w14:textId="400F5FA2" w:rsidR="00DE4361" w:rsidRPr="00DE4361" w:rsidRDefault="00DE4361" w:rsidP="00330188">
            <w:pPr>
              <w:pStyle w:val="TableText"/>
            </w:pPr>
            <w:r w:rsidRPr="00DE4361">
              <w:t>Workforce Investment Act</w:t>
            </w:r>
          </w:p>
        </w:tc>
      </w:tr>
      <w:tr w:rsidR="00DE4361" w:rsidRPr="00DE4361" w14:paraId="26EFFDB0" w14:textId="77777777" w:rsidTr="000A1064">
        <w:trPr>
          <w:trHeight w:val="300"/>
        </w:trPr>
        <w:tc>
          <w:tcPr>
            <w:tcW w:w="3765" w:type="dxa"/>
            <w:vAlign w:val="center"/>
            <w:hideMark/>
          </w:tcPr>
          <w:p w14:paraId="5F7B9FC6" w14:textId="77777777" w:rsidR="00DE4361" w:rsidRPr="00DE4361" w:rsidRDefault="00DE4361" w:rsidP="00330188">
            <w:pPr>
              <w:pStyle w:val="TableText"/>
            </w:pPr>
            <w:r w:rsidRPr="00DE4361">
              <w:t>WIOA </w:t>
            </w:r>
          </w:p>
        </w:tc>
        <w:tc>
          <w:tcPr>
            <w:tcW w:w="5565" w:type="dxa"/>
            <w:vAlign w:val="center"/>
            <w:hideMark/>
          </w:tcPr>
          <w:p w14:paraId="24AD49AB" w14:textId="28D4AFAE" w:rsidR="00DE4361" w:rsidRPr="00DE4361" w:rsidRDefault="00DE4361" w:rsidP="00330188">
            <w:pPr>
              <w:pStyle w:val="TableText"/>
            </w:pPr>
            <w:r w:rsidRPr="00DE4361">
              <w:t>Workforce Innovation and Opportunity Act</w:t>
            </w:r>
          </w:p>
        </w:tc>
      </w:tr>
      <w:tr w:rsidR="00DE4361" w:rsidRPr="00DE4361" w14:paraId="0CBE12F6" w14:textId="77777777" w:rsidTr="000A1064">
        <w:trPr>
          <w:trHeight w:val="300"/>
        </w:trPr>
        <w:tc>
          <w:tcPr>
            <w:tcW w:w="3765" w:type="dxa"/>
            <w:vAlign w:val="center"/>
            <w:hideMark/>
          </w:tcPr>
          <w:p w14:paraId="5FE4173C" w14:textId="77777777" w:rsidR="00DE4361" w:rsidRPr="00DE4361" w:rsidRDefault="00DE4361" w:rsidP="00330188">
            <w:pPr>
              <w:pStyle w:val="TableText"/>
            </w:pPr>
            <w:r w:rsidRPr="00DE4361">
              <w:t>WIP </w:t>
            </w:r>
          </w:p>
        </w:tc>
        <w:tc>
          <w:tcPr>
            <w:tcW w:w="5565" w:type="dxa"/>
            <w:vAlign w:val="center"/>
            <w:hideMark/>
          </w:tcPr>
          <w:p w14:paraId="4C5C51E1" w14:textId="02647A49" w:rsidR="00DE4361" w:rsidRPr="00DE4361" w:rsidRDefault="00DE4361" w:rsidP="00330188">
            <w:pPr>
              <w:pStyle w:val="TableText"/>
            </w:pPr>
            <w:r w:rsidRPr="00DE4361">
              <w:t>Work in Progress</w:t>
            </w:r>
          </w:p>
        </w:tc>
      </w:tr>
      <w:tr w:rsidR="00DE4361" w:rsidRPr="00DE4361" w14:paraId="49D80BB8" w14:textId="77777777" w:rsidTr="000A1064">
        <w:trPr>
          <w:trHeight w:val="300"/>
        </w:trPr>
        <w:tc>
          <w:tcPr>
            <w:tcW w:w="3765" w:type="dxa"/>
            <w:vAlign w:val="center"/>
            <w:hideMark/>
          </w:tcPr>
          <w:p w14:paraId="72EA2242" w14:textId="77777777" w:rsidR="00DE4361" w:rsidRPr="00DE4361" w:rsidRDefault="00DE4361" w:rsidP="00330188">
            <w:pPr>
              <w:pStyle w:val="TableText"/>
            </w:pPr>
            <w:r w:rsidRPr="00DE4361">
              <w:t>WOTC </w:t>
            </w:r>
          </w:p>
        </w:tc>
        <w:tc>
          <w:tcPr>
            <w:tcW w:w="5565" w:type="dxa"/>
            <w:vAlign w:val="center"/>
            <w:hideMark/>
          </w:tcPr>
          <w:p w14:paraId="1B313557" w14:textId="63B3EE5A" w:rsidR="00DE4361" w:rsidRPr="00DE4361" w:rsidRDefault="00DE4361" w:rsidP="00330188">
            <w:pPr>
              <w:pStyle w:val="TableText"/>
            </w:pPr>
            <w:r w:rsidRPr="00DE4361">
              <w:t>Work Opportunity Tax Credit</w:t>
            </w:r>
          </w:p>
        </w:tc>
      </w:tr>
    </w:tbl>
    <w:p w14:paraId="31B2A2EB" w14:textId="5589B47D" w:rsidR="000408F6" w:rsidRPr="009629D2" w:rsidRDefault="009629D2" w:rsidP="1DF6B6D2">
      <w:r>
        <w:br w:type="page"/>
      </w:r>
    </w:p>
    <w:p w14:paraId="5ADF1DBB" w14:textId="07124E67" w:rsidR="000408F6" w:rsidRPr="009629D2" w:rsidRDefault="5E23EFF5" w:rsidP="1DF6B6D2">
      <w:pPr>
        <w:pStyle w:val="Heading1"/>
      </w:pPr>
      <w:bookmarkStart w:id="388" w:name="_Toc2119704796"/>
      <w:bookmarkStart w:id="389" w:name="_Toc203377344"/>
      <w:r>
        <w:lastRenderedPageBreak/>
        <w:t>List of Exhibits</w:t>
      </w:r>
      <w:bookmarkEnd w:id="388"/>
      <w:bookmarkEnd w:id="389"/>
    </w:p>
    <w:p w14:paraId="053F3CE0" w14:textId="77777777" w:rsidR="39D13D1F" w:rsidRDefault="008E691D" w:rsidP="008E691D">
      <w:pPr>
        <w:pStyle w:val="BodyText"/>
      </w:pPr>
      <w:r>
        <w:t xml:space="preserve">The following list of exhibits will be shared separately with the Sunset Advisory Commission. </w:t>
      </w:r>
    </w:p>
    <w:p w14:paraId="6A60966D" w14:textId="7DDB773B"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7_Expenditures</w:t>
      </w:r>
    </w:p>
    <w:p w14:paraId="4BA05563" w14:textId="219EC0C7"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8_Sources of Revenue</w:t>
      </w:r>
    </w:p>
    <w:p w14:paraId="0E1315DA" w14:textId="351D916A"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9_Federal Funds</w:t>
      </w:r>
    </w:p>
    <w:p w14:paraId="6CE3AAC3" w14:textId="07CEA5B6"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11a_OrgChartFTE</w:t>
      </w:r>
    </w:p>
    <w:p w14:paraId="14B7A2DC" w14:textId="292C974D"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12_TemporaryContractEmployeesFY24</w:t>
      </w:r>
    </w:p>
    <w:p w14:paraId="10315246" w14:textId="0AE80844"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13_ProgramFTEsExpenditures</w:t>
      </w:r>
    </w:p>
    <w:p w14:paraId="5E09C044" w14:textId="28A50767"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16a_LegislationEnacted</w:t>
      </w:r>
    </w:p>
    <w:p w14:paraId="748F972B" w14:textId="333A390E"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16b_LegislationNotPassed</w:t>
      </w:r>
    </w:p>
    <w:p w14:paraId="7DF35640" w14:textId="4613C735"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17_Contacts</w:t>
      </w:r>
    </w:p>
    <w:p w14:paraId="1DC0E288" w14:textId="3DC72C9A"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18_Required Reports</w:t>
      </w:r>
    </w:p>
    <w:p w14:paraId="40F6EDC7" w14:textId="2C7C813F"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21_TWC EEO Policy</w:t>
      </w:r>
    </w:p>
    <w:p w14:paraId="0E255425" w14:textId="47771CC4"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Exhibit_GAP_VSRM_Approvals_Consult</w:t>
      </w:r>
      <w:proofErr w:type="spellEnd"/>
    </w:p>
    <w:p w14:paraId="6FB27241" w14:textId="7805FF29" w:rsidR="72F9C3F6" w:rsidRPr="000A1064" w:rsidRDefault="40006231" w:rsidP="65EBA754">
      <w:pPr>
        <w:numPr>
          <w:ilvl w:val="0"/>
          <w:numId w:val="892"/>
        </w:numPr>
        <w:rPr>
          <w:rFonts w:ascii="Arial" w:eastAsia="Arial" w:hAnsi="Arial" w:cs="Arial"/>
          <w:color w:val="000000" w:themeColor="text1"/>
          <w:szCs w:val="22"/>
        </w:rPr>
      </w:pPr>
      <w:proofErr w:type="spellStart"/>
      <w:r w:rsidRPr="000A1064">
        <w:rPr>
          <w:rFonts w:ascii="Arial" w:eastAsia="Arial" w:hAnsi="Arial" w:cs="Arial"/>
          <w:color w:val="000000" w:themeColor="text1"/>
        </w:rPr>
        <w:t>Exhibit_GAP_VR_Eco_Impact</w:t>
      </w:r>
      <w:proofErr w:type="spellEnd"/>
    </w:p>
    <w:p w14:paraId="176C2334" w14:textId="78244718" w:rsidR="72F9C3F6" w:rsidRDefault="72F9C3F6" w:rsidP="00C64851">
      <w:pPr>
        <w:pStyle w:val="ListParagraph"/>
        <w:numPr>
          <w:ilvl w:val="0"/>
          <w:numId w:val="892"/>
        </w:numPr>
        <w:rPr>
          <w:rFonts w:eastAsia="Arial" w:cs="Arial"/>
          <w:b w:val="0"/>
          <w:color w:val="000000" w:themeColor="text1"/>
          <w:szCs w:val="22"/>
        </w:rPr>
      </w:pPr>
      <w:r w:rsidRPr="46CBA1A0">
        <w:rPr>
          <w:rFonts w:eastAsia="Arial" w:cs="Arial"/>
          <w:b w:val="0"/>
          <w:color w:val="000000" w:themeColor="text1"/>
          <w:szCs w:val="22"/>
        </w:rPr>
        <w:t>Exhibit _GAP_VR_MOU</w:t>
      </w:r>
    </w:p>
    <w:p w14:paraId="476EAC17" w14:textId="753FFC46"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Exhibit_GAP_VR_PPD_FlowChart</w:t>
      </w:r>
      <w:proofErr w:type="spellEnd"/>
    </w:p>
    <w:p w14:paraId="6E87DF62" w14:textId="414FA2A7"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Exhibit_GAP_VR_PPD_Measures_Targets</w:t>
      </w:r>
      <w:proofErr w:type="spellEnd"/>
    </w:p>
    <w:p w14:paraId="45FDC5EA" w14:textId="482A4078"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Exhibit_GAP_VR_PPD_Performance_Calculations</w:t>
      </w:r>
      <w:proofErr w:type="spellEnd"/>
    </w:p>
    <w:p w14:paraId="5E05BF93" w14:textId="3CB8FABA"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Exhibit_GAP_OGC_UIPerformanceMeasures</w:t>
      </w:r>
      <w:proofErr w:type="spellEnd"/>
    </w:p>
    <w:p w14:paraId="5E914C69" w14:textId="1E74DBA6"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Exhibit_GAP_CRDComplaintProcess</w:t>
      </w:r>
      <w:proofErr w:type="spellEnd"/>
    </w:p>
    <w:p w14:paraId="5819927E" w14:textId="6CC0B933"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Exhibit_GAP_SPAProcesses</w:t>
      </w:r>
      <w:proofErr w:type="spellEnd"/>
    </w:p>
    <w:p w14:paraId="12784ECF" w14:textId="4E71C32B" w:rsidR="72F9C3F6" w:rsidRDefault="72F9C3F6" w:rsidP="00C64851">
      <w:pPr>
        <w:pStyle w:val="ListParagraph"/>
        <w:numPr>
          <w:ilvl w:val="0"/>
          <w:numId w:val="892"/>
        </w:numPr>
        <w:rPr>
          <w:rFonts w:eastAsia="Arial" w:cs="Arial"/>
          <w:b w:val="0"/>
          <w:color w:val="000000" w:themeColor="text1"/>
          <w:szCs w:val="22"/>
        </w:rPr>
      </w:pPr>
      <w:proofErr w:type="spellStart"/>
      <w:r w:rsidRPr="46CBA1A0">
        <w:rPr>
          <w:rFonts w:eastAsia="Arial" w:cs="Arial"/>
          <w:b w:val="0"/>
          <w:color w:val="000000" w:themeColor="text1"/>
          <w:szCs w:val="22"/>
        </w:rPr>
        <w:t>Exhibit_GAP_WebsiteOperations</w:t>
      </w:r>
      <w:proofErr w:type="spellEnd"/>
    </w:p>
    <w:p w14:paraId="04A1ECFE" w14:textId="77D0ACD3" w:rsidR="39D13D1F" w:rsidRDefault="72F9C3F6" w:rsidP="00C64851">
      <w:pPr>
        <w:pStyle w:val="ListParagraph"/>
        <w:numPr>
          <w:ilvl w:val="0"/>
          <w:numId w:val="892"/>
        </w:numPr>
        <w:shd w:val="clear" w:color="auto" w:fill="FFFFFF" w:themeFill="background1"/>
        <w:rPr>
          <w:rFonts w:eastAsia="Arial" w:cs="Arial"/>
          <w:b w:val="0"/>
          <w:color w:val="000000" w:themeColor="text1"/>
          <w:szCs w:val="22"/>
        </w:rPr>
      </w:pPr>
      <w:proofErr w:type="spellStart"/>
      <w:r w:rsidRPr="46CBA1A0">
        <w:rPr>
          <w:rFonts w:eastAsia="Arial" w:cs="Arial"/>
          <w:b w:val="0"/>
          <w:color w:val="000000" w:themeColor="text1"/>
          <w:szCs w:val="22"/>
        </w:rPr>
        <w:t>Exhibit_GAP_FDCM_W&amp;HFlowchart</w:t>
      </w:r>
      <w:proofErr w:type="spellEnd"/>
    </w:p>
    <w:p w14:paraId="74279B96" w14:textId="7C2E4D6C" w:rsidR="39D13D1F" w:rsidRDefault="004724B6" w:rsidP="00C64851">
      <w:pPr>
        <w:pStyle w:val="ListParagraph"/>
        <w:numPr>
          <w:ilvl w:val="0"/>
          <w:numId w:val="892"/>
        </w:numPr>
        <w:shd w:val="clear" w:color="auto" w:fill="FFFFFF" w:themeFill="background1"/>
        <w:rPr>
          <w:rFonts w:eastAsia="Arial" w:cs="Arial"/>
          <w:b w:val="0"/>
          <w:color w:val="000000" w:themeColor="text1"/>
          <w:szCs w:val="22"/>
        </w:rPr>
      </w:pPr>
      <w:proofErr w:type="spellStart"/>
      <w:r>
        <w:rPr>
          <w:rFonts w:eastAsia="Arial" w:cs="Arial"/>
          <w:b w:val="0"/>
          <w:color w:val="000000" w:themeColor="text1"/>
          <w:szCs w:val="22"/>
        </w:rPr>
        <w:t>Exhibit_GAP_UI</w:t>
      </w:r>
      <w:proofErr w:type="spellEnd"/>
      <w:r>
        <w:rPr>
          <w:rFonts w:eastAsia="Arial" w:cs="Arial"/>
          <w:b w:val="0"/>
          <w:color w:val="000000" w:themeColor="text1"/>
          <w:szCs w:val="22"/>
        </w:rPr>
        <w:t xml:space="preserve"> Journey of Appeal</w:t>
      </w:r>
    </w:p>
    <w:sectPr w:rsidR="39D13D1F" w:rsidSect="005E0448">
      <w:headerReference w:type="even" r:id="rId281"/>
      <w:headerReference w:type="default" r:id="rId282"/>
      <w:footerReference w:type="even" r:id="rId283"/>
      <w:footerReference w:type="default" r:id="rId284"/>
      <w:headerReference w:type="first" r:id="rId285"/>
      <w:pgSz w:w="12240" w:h="15840" w:code="1"/>
      <w:pgMar w:top="1440" w:right="1440" w:bottom="1152"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158BE" w14:textId="77777777" w:rsidR="00327CE8" w:rsidRDefault="00327CE8" w:rsidP="006731C8">
      <w:r>
        <w:separator/>
      </w:r>
    </w:p>
  </w:endnote>
  <w:endnote w:type="continuationSeparator" w:id="0">
    <w:p w14:paraId="300B41CF" w14:textId="77777777" w:rsidR="00327CE8" w:rsidRDefault="00327CE8" w:rsidP="006731C8">
      <w:r>
        <w:continuationSeparator/>
      </w:r>
    </w:p>
  </w:endnote>
  <w:endnote w:type="continuationNotice" w:id="1">
    <w:p w14:paraId="02646EE6" w14:textId="77777777" w:rsidR="00327CE8" w:rsidRDefault="00327C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altName w:val="Calibri"/>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727F2FD" w14:paraId="73E0EA0F" w14:textId="77777777" w:rsidTr="1727F2FD">
      <w:trPr>
        <w:trHeight w:val="300"/>
      </w:trPr>
      <w:tc>
        <w:tcPr>
          <w:tcW w:w="3120" w:type="dxa"/>
        </w:tcPr>
        <w:p w14:paraId="59DA88F3" w14:textId="1A6E3C61" w:rsidR="1727F2FD" w:rsidRDefault="1727F2FD" w:rsidP="1727F2FD">
          <w:pPr>
            <w:pStyle w:val="Header"/>
            <w:ind w:left="-115"/>
          </w:pPr>
        </w:p>
      </w:tc>
      <w:tc>
        <w:tcPr>
          <w:tcW w:w="3120" w:type="dxa"/>
        </w:tcPr>
        <w:p w14:paraId="19D9A686" w14:textId="097E07A4" w:rsidR="1727F2FD" w:rsidRDefault="1727F2FD" w:rsidP="1727F2FD">
          <w:pPr>
            <w:pStyle w:val="Header"/>
            <w:jc w:val="center"/>
          </w:pPr>
        </w:p>
      </w:tc>
      <w:tc>
        <w:tcPr>
          <w:tcW w:w="3120" w:type="dxa"/>
        </w:tcPr>
        <w:p w14:paraId="6DC8968F" w14:textId="366420F1" w:rsidR="1727F2FD" w:rsidRDefault="1727F2FD" w:rsidP="1727F2FD">
          <w:pPr>
            <w:pStyle w:val="Header"/>
            <w:ind w:right="-115"/>
            <w:jc w:val="right"/>
          </w:pPr>
        </w:p>
      </w:tc>
    </w:tr>
  </w:tbl>
  <w:p w14:paraId="4A3F9497" w14:textId="77622514" w:rsidR="1727F2FD" w:rsidRDefault="1727F2FD" w:rsidP="1727F2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727F2FD" w14:paraId="7700FAE4" w14:textId="77777777" w:rsidTr="1727F2FD">
      <w:trPr>
        <w:trHeight w:val="300"/>
      </w:trPr>
      <w:tc>
        <w:tcPr>
          <w:tcW w:w="3120" w:type="dxa"/>
        </w:tcPr>
        <w:p w14:paraId="59F54379" w14:textId="7805F0AD" w:rsidR="1727F2FD" w:rsidRDefault="1727F2FD" w:rsidP="1727F2FD">
          <w:pPr>
            <w:pStyle w:val="Header"/>
            <w:ind w:left="-115"/>
          </w:pPr>
        </w:p>
      </w:tc>
      <w:tc>
        <w:tcPr>
          <w:tcW w:w="3120" w:type="dxa"/>
        </w:tcPr>
        <w:p w14:paraId="66B61F54" w14:textId="69702A76" w:rsidR="1727F2FD" w:rsidRDefault="1727F2FD" w:rsidP="1727F2FD">
          <w:pPr>
            <w:pStyle w:val="Header"/>
            <w:jc w:val="center"/>
          </w:pPr>
        </w:p>
      </w:tc>
      <w:tc>
        <w:tcPr>
          <w:tcW w:w="3120" w:type="dxa"/>
        </w:tcPr>
        <w:p w14:paraId="1F3DC21B" w14:textId="0311AED0" w:rsidR="1727F2FD" w:rsidRDefault="1727F2FD" w:rsidP="1727F2FD">
          <w:pPr>
            <w:pStyle w:val="Header"/>
            <w:ind w:right="-115"/>
            <w:jc w:val="right"/>
          </w:pPr>
        </w:p>
      </w:tc>
    </w:tr>
  </w:tbl>
  <w:p w14:paraId="606F43EE" w14:textId="6ABDFC3E" w:rsidR="1727F2FD" w:rsidRDefault="1727F2FD" w:rsidP="1727F2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93C" w14:textId="77777777" w:rsidR="006719A3" w:rsidRDefault="006719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FF17" w14:textId="5FDDDF81" w:rsidR="00BE1105" w:rsidRPr="00253CC3" w:rsidRDefault="206B13E6" w:rsidP="206B13E6">
    <w:pPr>
      <w:pStyle w:val="Footer"/>
      <w:jc w:val="both"/>
    </w:pPr>
    <w:r w:rsidRPr="206B13E6">
      <w:rPr>
        <w:sz w:val="20"/>
        <w:szCs w:val="20"/>
      </w:rPr>
      <w:t>Sunset Advisory Commission</w:t>
    </w:r>
    <w:r w:rsidR="00BE1105">
      <w:tab/>
    </w:r>
    <w:r w:rsidRPr="206B13E6">
      <w:rPr>
        <w:sz w:val="20"/>
        <w:szCs w:val="20"/>
      </w:rPr>
      <w:t xml:space="preserve">                                            </w:t>
    </w:r>
    <w:r w:rsidR="00BE1105" w:rsidRPr="206B13E6">
      <w:rPr>
        <w:sz w:val="20"/>
        <w:szCs w:val="20"/>
      </w:rPr>
      <w:fldChar w:fldCharType="begin"/>
    </w:r>
    <w:r w:rsidR="00BE1105" w:rsidRPr="00253CC3">
      <w:rPr>
        <w:sz w:val="20"/>
      </w:rPr>
      <w:instrText xml:space="preserve"> PAGE   \* MERGEFORMAT </w:instrText>
    </w:r>
    <w:r w:rsidR="00BE1105" w:rsidRPr="206B13E6">
      <w:rPr>
        <w:sz w:val="20"/>
        <w:szCs w:val="20"/>
      </w:rPr>
      <w:fldChar w:fldCharType="separate"/>
    </w:r>
    <w:r w:rsidR="006B53A5" w:rsidRPr="206B13E6">
      <w:rPr>
        <w:sz w:val="20"/>
        <w:szCs w:val="20"/>
      </w:rPr>
      <w:t>30</w:t>
    </w:r>
    <w:r w:rsidR="00BE1105" w:rsidRPr="206B13E6">
      <w:rPr>
        <w:sz w:val="20"/>
        <w:szCs w:val="20"/>
      </w:rPr>
      <w:fldChar w:fldCharType="end"/>
    </w:r>
    <w:r w:rsidRPr="206B13E6">
      <w:rPr>
        <w:noProof/>
        <w:sz w:val="20"/>
        <w:szCs w:val="20"/>
      </w:rPr>
      <w:t xml:space="preserve">                                               August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C8A8" w14:textId="3180ACD2" w:rsidR="00BE1105" w:rsidRPr="005A5B4D" w:rsidRDefault="36F4C7E4" w:rsidP="1727F2FD">
    <w:pPr>
      <w:pStyle w:val="Footer"/>
      <w:jc w:val="right"/>
      <w:rPr>
        <w:rFonts w:ascii="Arial" w:eastAsia="Arial" w:hAnsi="Arial" w:cs="Arial"/>
        <w:sz w:val="20"/>
        <w:szCs w:val="20"/>
      </w:rPr>
    </w:pPr>
    <w:r w:rsidRPr="36F4C7E4">
      <w:rPr>
        <w:rFonts w:ascii="Arial" w:eastAsia="Arial" w:hAnsi="Arial" w:cs="Arial"/>
        <w:sz w:val="20"/>
        <w:szCs w:val="20"/>
      </w:rPr>
      <w:t>August 2025</w:t>
    </w:r>
    <w:r w:rsidR="1727F2FD">
      <w:tab/>
    </w:r>
    <w:r w:rsidRPr="36F4C7E4">
      <w:rPr>
        <w:rFonts w:ascii="Arial" w:eastAsia="Arial" w:hAnsi="Arial" w:cs="Arial"/>
        <w:sz w:val="20"/>
        <w:szCs w:val="20"/>
      </w:rPr>
      <w:t xml:space="preserve">                                             </w:t>
    </w:r>
    <w:r w:rsidR="1727F2FD" w:rsidRPr="36F4C7E4">
      <w:rPr>
        <w:rFonts w:ascii="Arial" w:eastAsia="Arial" w:hAnsi="Arial" w:cs="Arial"/>
        <w:sz w:val="20"/>
        <w:szCs w:val="20"/>
      </w:rPr>
      <w:fldChar w:fldCharType="begin"/>
    </w:r>
    <w:r w:rsidR="1727F2FD" w:rsidRPr="36F4C7E4">
      <w:rPr>
        <w:sz w:val="20"/>
        <w:szCs w:val="20"/>
      </w:rPr>
      <w:instrText xml:space="preserve"> PAGE   \* MERGEFORMAT </w:instrText>
    </w:r>
    <w:r w:rsidR="1727F2FD" w:rsidRPr="36F4C7E4">
      <w:rPr>
        <w:sz w:val="20"/>
        <w:szCs w:val="20"/>
      </w:rPr>
      <w:fldChar w:fldCharType="separate"/>
    </w:r>
    <w:r w:rsidRPr="36F4C7E4">
      <w:rPr>
        <w:rFonts w:ascii="Arial" w:eastAsia="Arial" w:hAnsi="Arial" w:cs="Arial"/>
        <w:sz w:val="20"/>
        <w:szCs w:val="20"/>
      </w:rPr>
      <w:t>29</w:t>
    </w:r>
    <w:r w:rsidR="1727F2FD" w:rsidRPr="36F4C7E4">
      <w:rPr>
        <w:rFonts w:ascii="Arial" w:eastAsia="Arial" w:hAnsi="Arial" w:cs="Arial"/>
        <w:sz w:val="20"/>
        <w:szCs w:val="20"/>
      </w:rPr>
      <w:fldChar w:fldCharType="end"/>
    </w:r>
    <w:r w:rsidRPr="36F4C7E4">
      <w:rPr>
        <w:rFonts w:ascii="Arial" w:eastAsia="Arial" w:hAnsi="Arial" w:cs="Arial"/>
        <w:sz w:val="20"/>
        <w:szCs w:val="20"/>
      </w:rPr>
      <w:t xml:space="preserve">                                   Texas Workforce Commission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5E20B" w14:textId="77777777" w:rsidR="00327CE8" w:rsidRDefault="00327CE8" w:rsidP="006731C8">
      <w:r>
        <w:separator/>
      </w:r>
    </w:p>
  </w:footnote>
  <w:footnote w:type="continuationSeparator" w:id="0">
    <w:p w14:paraId="00359B98" w14:textId="77777777" w:rsidR="00327CE8" w:rsidRDefault="00327CE8" w:rsidP="006731C8">
      <w:r>
        <w:continuationSeparator/>
      </w:r>
    </w:p>
  </w:footnote>
  <w:footnote w:type="continuationNotice" w:id="1">
    <w:p w14:paraId="1EDD35A2" w14:textId="77777777" w:rsidR="00327CE8" w:rsidRDefault="00327C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727F2FD" w14:paraId="6EBFC240" w14:textId="77777777" w:rsidTr="1727F2FD">
      <w:trPr>
        <w:trHeight w:val="300"/>
      </w:trPr>
      <w:tc>
        <w:tcPr>
          <w:tcW w:w="3120" w:type="dxa"/>
        </w:tcPr>
        <w:p w14:paraId="125D02B2" w14:textId="5F22E347" w:rsidR="1727F2FD" w:rsidRDefault="1727F2FD" w:rsidP="1727F2FD">
          <w:pPr>
            <w:pStyle w:val="Header"/>
            <w:ind w:left="-115"/>
          </w:pPr>
        </w:p>
      </w:tc>
      <w:tc>
        <w:tcPr>
          <w:tcW w:w="3120" w:type="dxa"/>
        </w:tcPr>
        <w:p w14:paraId="62CE5A67" w14:textId="6A76680D" w:rsidR="1727F2FD" w:rsidRDefault="1727F2FD" w:rsidP="1727F2FD">
          <w:pPr>
            <w:pStyle w:val="Header"/>
            <w:jc w:val="center"/>
          </w:pPr>
        </w:p>
      </w:tc>
      <w:tc>
        <w:tcPr>
          <w:tcW w:w="3120" w:type="dxa"/>
        </w:tcPr>
        <w:p w14:paraId="1D1B687E" w14:textId="74CE9C43" w:rsidR="1727F2FD" w:rsidRDefault="1727F2FD" w:rsidP="1727F2FD">
          <w:pPr>
            <w:pStyle w:val="Header"/>
            <w:ind w:right="-115"/>
            <w:jc w:val="right"/>
          </w:pPr>
        </w:p>
      </w:tc>
    </w:tr>
  </w:tbl>
  <w:p w14:paraId="3FCF5142" w14:textId="2906CA0B" w:rsidR="1727F2FD" w:rsidRDefault="00000000" w:rsidP="1727F2FD">
    <w:pPr>
      <w:pStyle w:val="Header"/>
    </w:pPr>
    <w:r>
      <w:rPr>
        <w:noProof/>
      </w:rPr>
      <w:pict w14:anchorId="3A47A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3532" o:spid="_x0000_s1031" type="#_x0000_t136" style="position:absolute;margin-left:0;margin-top:0;width:471.3pt;height:188.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727F2FD" w14:paraId="59C5C978" w14:textId="77777777" w:rsidTr="1727F2FD">
      <w:trPr>
        <w:trHeight w:val="300"/>
      </w:trPr>
      <w:tc>
        <w:tcPr>
          <w:tcW w:w="3120" w:type="dxa"/>
        </w:tcPr>
        <w:p w14:paraId="55173EDE" w14:textId="2CA4B041" w:rsidR="1727F2FD" w:rsidRDefault="1727F2FD" w:rsidP="1727F2FD">
          <w:pPr>
            <w:pStyle w:val="Header"/>
            <w:ind w:left="-115"/>
          </w:pPr>
        </w:p>
      </w:tc>
      <w:tc>
        <w:tcPr>
          <w:tcW w:w="3120" w:type="dxa"/>
        </w:tcPr>
        <w:p w14:paraId="639B3092" w14:textId="766E5727" w:rsidR="1727F2FD" w:rsidRDefault="1727F2FD" w:rsidP="1727F2FD">
          <w:pPr>
            <w:pStyle w:val="Header"/>
            <w:jc w:val="center"/>
          </w:pPr>
        </w:p>
      </w:tc>
      <w:tc>
        <w:tcPr>
          <w:tcW w:w="3120" w:type="dxa"/>
        </w:tcPr>
        <w:p w14:paraId="59CCCB8D" w14:textId="01748764" w:rsidR="1727F2FD" w:rsidRDefault="1727F2FD" w:rsidP="1727F2FD">
          <w:pPr>
            <w:pStyle w:val="Header"/>
            <w:ind w:right="-115"/>
            <w:jc w:val="right"/>
          </w:pPr>
        </w:p>
      </w:tc>
    </w:tr>
  </w:tbl>
  <w:p w14:paraId="66BF902F" w14:textId="790B547B" w:rsidR="1727F2FD" w:rsidRDefault="00000000" w:rsidP="1727F2FD">
    <w:pPr>
      <w:pStyle w:val="Header"/>
    </w:pPr>
    <w:r>
      <w:rPr>
        <w:noProof/>
      </w:rPr>
      <w:pict w14:anchorId="7B013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3533" o:spid="_x0000_s1032" type="#_x0000_t136" style="position:absolute;margin-left:0;margin-top:0;width:471.3pt;height:188.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6C434" w14:textId="56E07739" w:rsidR="006719A3" w:rsidRDefault="00000000">
    <w:pPr>
      <w:pStyle w:val="Header"/>
    </w:pPr>
    <w:r>
      <w:rPr>
        <w:noProof/>
      </w:rPr>
      <w:pict w14:anchorId="5C522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3531" o:spid="_x0000_s1030" type="#_x0000_t136" style="position:absolute;margin-left:0;margin-top:0;width:471.3pt;height:188.5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54F58" w14:textId="04C476E7" w:rsidR="00BE1105" w:rsidRPr="008978DC" w:rsidRDefault="00000000">
    <w:pPr>
      <w:pStyle w:val="Header"/>
      <w:rPr>
        <w:rFonts w:ascii="Arial" w:eastAsia="Arial" w:hAnsi="Arial" w:cs="Arial"/>
        <w:sz w:val="20"/>
        <w:szCs w:val="20"/>
      </w:rPr>
    </w:pPr>
    <w:r>
      <w:rPr>
        <w:noProof/>
      </w:rPr>
      <w:pict w14:anchorId="2058AB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3535" o:spid="_x0000_s1034" type="#_x0000_t136" style="position:absolute;margin-left:0;margin-top:0;width:471.3pt;height:188.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36F4C7E4" w:rsidRPr="36F4C7E4">
      <w:rPr>
        <w:rFonts w:ascii="Arial" w:eastAsia="Arial" w:hAnsi="Arial" w:cs="Arial"/>
        <w:sz w:val="20"/>
        <w:szCs w:val="20"/>
      </w:rPr>
      <w:t>Self-Evaluation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78CD" w14:textId="351726CA" w:rsidR="00BE1105" w:rsidRPr="00253CC3" w:rsidRDefault="00000000" w:rsidP="1727F2FD">
    <w:pPr>
      <w:pStyle w:val="Header"/>
      <w:jc w:val="right"/>
      <w:rPr>
        <w:sz w:val="20"/>
        <w:szCs w:val="20"/>
      </w:rPr>
    </w:pPr>
    <w:r>
      <w:rPr>
        <w:noProof/>
      </w:rPr>
      <w:pict w14:anchorId="500399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3536" o:spid="_x0000_s1035" type="#_x0000_t136" style="position:absolute;left:0;text-align:left;margin-left:0;margin-top:0;width:471.3pt;height:188.5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49F8F6C7" w:rsidRPr="49F8F6C7">
      <w:rPr>
        <w:sz w:val="20"/>
        <w:szCs w:val="20"/>
      </w:rPr>
      <w:t>Self-Evaluation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BC149" w14:textId="6321205B" w:rsidR="00C632DD" w:rsidRDefault="00000000">
    <w:pPr>
      <w:pStyle w:val="Header"/>
    </w:pPr>
    <w:r>
      <w:rPr>
        <w:noProof/>
      </w:rPr>
      <w:pict w14:anchorId="44A40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53534" o:spid="_x0000_s1033" type="#_x0000_t136" style="position:absolute;margin-left:0;margin-top:0;width:471.3pt;height:188.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0E10"/>
    <w:multiLevelType w:val="hybridMultilevel"/>
    <w:tmpl w:val="7C30C9C6"/>
    <w:lvl w:ilvl="0" w:tplc="C534DF04">
      <w:start w:val="1"/>
      <w:numFmt w:val="bullet"/>
      <w:lvlText w:val=""/>
      <w:lvlJc w:val="left"/>
      <w:pPr>
        <w:ind w:left="720" w:hanging="360"/>
      </w:pPr>
      <w:rPr>
        <w:rFonts w:ascii="Symbol" w:hAnsi="Symbol" w:hint="default"/>
      </w:rPr>
    </w:lvl>
    <w:lvl w:ilvl="1" w:tplc="1686786C" w:tentative="1">
      <w:start w:val="1"/>
      <w:numFmt w:val="bullet"/>
      <w:lvlText w:val="o"/>
      <w:lvlJc w:val="left"/>
      <w:pPr>
        <w:ind w:left="1440" w:hanging="360"/>
      </w:pPr>
      <w:rPr>
        <w:rFonts w:ascii="Courier New" w:hAnsi="Courier New" w:hint="default"/>
      </w:rPr>
    </w:lvl>
    <w:lvl w:ilvl="2" w:tplc="2DD4AC88" w:tentative="1">
      <w:start w:val="1"/>
      <w:numFmt w:val="bullet"/>
      <w:lvlText w:val=""/>
      <w:lvlJc w:val="left"/>
      <w:pPr>
        <w:ind w:left="2160" w:hanging="360"/>
      </w:pPr>
      <w:rPr>
        <w:rFonts w:ascii="Wingdings" w:hAnsi="Wingdings" w:hint="default"/>
      </w:rPr>
    </w:lvl>
    <w:lvl w:ilvl="3" w:tplc="4CBC36E6" w:tentative="1">
      <w:start w:val="1"/>
      <w:numFmt w:val="bullet"/>
      <w:lvlText w:val=""/>
      <w:lvlJc w:val="left"/>
      <w:pPr>
        <w:ind w:left="2880" w:hanging="360"/>
      </w:pPr>
      <w:rPr>
        <w:rFonts w:ascii="Symbol" w:hAnsi="Symbol" w:hint="default"/>
      </w:rPr>
    </w:lvl>
    <w:lvl w:ilvl="4" w:tplc="75F0D5AE" w:tentative="1">
      <w:start w:val="1"/>
      <w:numFmt w:val="bullet"/>
      <w:lvlText w:val="o"/>
      <w:lvlJc w:val="left"/>
      <w:pPr>
        <w:ind w:left="3600" w:hanging="360"/>
      </w:pPr>
      <w:rPr>
        <w:rFonts w:ascii="Courier New" w:hAnsi="Courier New" w:hint="default"/>
      </w:rPr>
    </w:lvl>
    <w:lvl w:ilvl="5" w:tplc="1E8AF2E0" w:tentative="1">
      <w:start w:val="1"/>
      <w:numFmt w:val="bullet"/>
      <w:lvlText w:val=""/>
      <w:lvlJc w:val="left"/>
      <w:pPr>
        <w:ind w:left="4320" w:hanging="360"/>
      </w:pPr>
      <w:rPr>
        <w:rFonts w:ascii="Wingdings" w:hAnsi="Wingdings" w:hint="default"/>
      </w:rPr>
    </w:lvl>
    <w:lvl w:ilvl="6" w:tplc="33441930" w:tentative="1">
      <w:start w:val="1"/>
      <w:numFmt w:val="bullet"/>
      <w:lvlText w:val=""/>
      <w:lvlJc w:val="left"/>
      <w:pPr>
        <w:ind w:left="5040" w:hanging="360"/>
      </w:pPr>
      <w:rPr>
        <w:rFonts w:ascii="Symbol" w:hAnsi="Symbol" w:hint="default"/>
      </w:rPr>
    </w:lvl>
    <w:lvl w:ilvl="7" w:tplc="BA164FA6" w:tentative="1">
      <w:start w:val="1"/>
      <w:numFmt w:val="bullet"/>
      <w:lvlText w:val="o"/>
      <w:lvlJc w:val="left"/>
      <w:pPr>
        <w:ind w:left="5760" w:hanging="360"/>
      </w:pPr>
      <w:rPr>
        <w:rFonts w:ascii="Courier New" w:hAnsi="Courier New" w:hint="default"/>
      </w:rPr>
    </w:lvl>
    <w:lvl w:ilvl="8" w:tplc="F04C27BC" w:tentative="1">
      <w:start w:val="1"/>
      <w:numFmt w:val="bullet"/>
      <w:lvlText w:val=""/>
      <w:lvlJc w:val="left"/>
      <w:pPr>
        <w:ind w:left="6480" w:hanging="360"/>
      </w:pPr>
      <w:rPr>
        <w:rFonts w:ascii="Wingdings" w:hAnsi="Wingdings" w:hint="default"/>
      </w:rPr>
    </w:lvl>
  </w:abstractNum>
  <w:abstractNum w:abstractNumId="1" w15:restartNumberingAfterBreak="0">
    <w:nsid w:val="002C3D8E"/>
    <w:multiLevelType w:val="multilevel"/>
    <w:tmpl w:val="7488E482"/>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 w15:restartNumberingAfterBreak="0">
    <w:nsid w:val="0080AB01"/>
    <w:multiLevelType w:val="hybridMultilevel"/>
    <w:tmpl w:val="FFFFFFFF"/>
    <w:lvl w:ilvl="0" w:tplc="8730DC90">
      <w:start w:val="1"/>
      <w:numFmt w:val="bullet"/>
      <w:lvlText w:val=""/>
      <w:lvlJc w:val="left"/>
      <w:pPr>
        <w:ind w:left="720" w:hanging="360"/>
      </w:pPr>
      <w:rPr>
        <w:rFonts w:ascii="Symbol" w:hAnsi="Symbol" w:hint="default"/>
      </w:rPr>
    </w:lvl>
    <w:lvl w:ilvl="1" w:tplc="04BAA5F4">
      <w:start w:val="1"/>
      <w:numFmt w:val="bullet"/>
      <w:lvlText w:val="o"/>
      <w:lvlJc w:val="left"/>
      <w:pPr>
        <w:ind w:left="1440" w:hanging="360"/>
      </w:pPr>
      <w:rPr>
        <w:rFonts w:ascii="Courier New" w:hAnsi="Courier New" w:hint="default"/>
      </w:rPr>
    </w:lvl>
    <w:lvl w:ilvl="2" w:tplc="15BAFB5E">
      <w:start w:val="1"/>
      <w:numFmt w:val="bullet"/>
      <w:lvlText w:val=""/>
      <w:lvlJc w:val="left"/>
      <w:pPr>
        <w:ind w:left="2160" w:hanging="360"/>
      </w:pPr>
      <w:rPr>
        <w:rFonts w:ascii="Wingdings" w:hAnsi="Wingdings" w:hint="default"/>
      </w:rPr>
    </w:lvl>
    <w:lvl w:ilvl="3" w:tplc="F2D2EE66">
      <w:start w:val="1"/>
      <w:numFmt w:val="bullet"/>
      <w:lvlText w:val=""/>
      <w:lvlJc w:val="left"/>
      <w:pPr>
        <w:ind w:left="2880" w:hanging="360"/>
      </w:pPr>
      <w:rPr>
        <w:rFonts w:ascii="Symbol" w:hAnsi="Symbol" w:hint="default"/>
      </w:rPr>
    </w:lvl>
    <w:lvl w:ilvl="4" w:tplc="5A6A3264">
      <w:start w:val="1"/>
      <w:numFmt w:val="bullet"/>
      <w:lvlText w:val="o"/>
      <w:lvlJc w:val="left"/>
      <w:pPr>
        <w:ind w:left="3600" w:hanging="360"/>
      </w:pPr>
      <w:rPr>
        <w:rFonts w:ascii="Courier New" w:hAnsi="Courier New" w:hint="default"/>
      </w:rPr>
    </w:lvl>
    <w:lvl w:ilvl="5" w:tplc="8E8ABC7E">
      <w:start w:val="1"/>
      <w:numFmt w:val="bullet"/>
      <w:lvlText w:val=""/>
      <w:lvlJc w:val="left"/>
      <w:pPr>
        <w:ind w:left="4320" w:hanging="360"/>
      </w:pPr>
      <w:rPr>
        <w:rFonts w:ascii="Wingdings" w:hAnsi="Wingdings" w:hint="default"/>
      </w:rPr>
    </w:lvl>
    <w:lvl w:ilvl="6" w:tplc="E74E56EA">
      <w:start w:val="1"/>
      <w:numFmt w:val="bullet"/>
      <w:lvlText w:val=""/>
      <w:lvlJc w:val="left"/>
      <w:pPr>
        <w:ind w:left="5040" w:hanging="360"/>
      </w:pPr>
      <w:rPr>
        <w:rFonts w:ascii="Symbol" w:hAnsi="Symbol" w:hint="default"/>
      </w:rPr>
    </w:lvl>
    <w:lvl w:ilvl="7" w:tplc="D6E229EE">
      <w:start w:val="1"/>
      <w:numFmt w:val="bullet"/>
      <w:lvlText w:val="o"/>
      <w:lvlJc w:val="left"/>
      <w:pPr>
        <w:ind w:left="5760" w:hanging="360"/>
      </w:pPr>
      <w:rPr>
        <w:rFonts w:ascii="Courier New" w:hAnsi="Courier New" w:hint="default"/>
      </w:rPr>
    </w:lvl>
    <w:lvl w:ilvl="8" w:tplc="1D82652E">
      <w:start w:val="1"/>
      <w:numFmt w:val="bullet"/>
      <w:lvlText w:val=""/>
      <w:lvlJc w:val="left"/>
      <w:pPr>
        <w:ind w:left="6480" w:hanging="360"/>
      </w:pPr>
      <w:rPr>
        <w:rFonts w:ascii="Wingdings" w:hAnsi="Wingdings" w:hint="default"/>
      </w:rPr>
    </w:lvl>
  </w:abstractNum>
  <w:abstractNum w:abstractNumId="3" w15:restartNumberingAfterBreak="0">
    <w:nsid w:val="008220D2"/>
    <w:multiLevelType w:val="hybridMultilevel"/>
    <w:tmpl w:val="7BD04E1E"/>
    <w:lvl w:ilvl="0" w:tplc="94B2F846">
      <w:start w:val="1"/>
      <w:numFmt w:val="bullet"/>
      <w:lvlText w:val=""/>
      <w:lvlJc w:val="left"/>
      <w:pPr>
        <w:ind w:left="720" w:hanging="360"/>
      </w:pPr>
      <w:rPr>
        <w:rFonts w:ascii="Symbol" w:hAnsi="Symbol" w:hint="default"/>
      </w:rPr>
    </w:lvl>
    <w:lvl w:ilvl="1" w:tplc="2E64F822" w:tentative="1">
      <w:start w:val="1"/>
      <w:numFmt w:val="bullet"/>
      <w:lvlText w:val="o"/>
      <w:lvlJc w:val="left"/>
      <w:pPr>
        <w:ind w:left="1440" w:hanging="360"/>
      </w:pPr>
      <w:rPr>
        <w:rFonts w:ascii="Courier New" w:hAnsi="Courier New" w:hint="default"/>
      </w:rPr>
    </w:lvl>
    <w:lvl w:ilvl="2" w:tplc="EDDC98D0" w:tentative="1">
      <w:start w:val="1"/>
      <w:numFmt w:val="bullet"/>
      <w:lvlText w:val=""/>
      <w:lvlJc w:val="left"/>
      <w:pPr>
        <w:ind w:left="2160" w:hanging="360"/>
      </w:pPr>
      <w:rPr>
        <w:rFonts w:ascii="Wingdings" w:hAnsi="Wingdings" w:hint="default"/>
      </w:rPr>
    </w:lvl>
    <w:lvl w:ilvl="3" w:tplc="F57E93CC" w:tentative="1">
      <w:start w:val="1"/>
      <w:numFmt w:val="bullet"/>
      <w:lvlText w:val=""/>
      <w:lvlJc w:val="left"/>
      <w:pPr>
        <w:ind w:left="2880" w:hanging="360"/>
      </w:pPr>
      <w:rPr>
        <w:rFonts w:ascii="Symbol" w:hAnsi="Symbol" w:hint="default"/>
      </w:rPr>
    </w:lvl>
    <w:lvl w:ilvl="4" w:tplc="A22E3564" w:tentative="1">
      <w:start w:val="1"/>
      <w:numFmt w:val="bullet"/>
      <w:lvlText w:val="o"/>
      <w:lvlJc w:val="left"/>
      <w:pPr>
        <w:ind w:left="3600" w:hanging="360"/>
      </w:pPr>
      <w:rPr>
        <w:rFonts w:ascii="Courier New" w:hAnsi="Courier New" w:hint="default"/>
      </w:rPr>
    </w:lvl>
    <w:lvl w:ilvl="5" w:tplc="B978B9EC" w:tentative="1">
      <w:start w:val="1"/>
      <w:numFmt w:val="bullet"/>
      <w:lvlText w:val=""/>
      <w:lvlJc w:val="left"/>
      <w:pPr>
        <w:ind w:left="4320" w:hanging="360"/>
      </w:pPr>
      <w:rPr>
        <w:rFonts w:ascii="Wingdings" w:hAnsi="Wingdings" w:hint="default"/>
      </w:rPr>
    </w:lvl>
    <w:lvl w:ilvl="6" w:tplc="3780AA08" w:tentative="1">
      <w:start w:val="1"/>
      <w:numFmt w:val="bullet"/>
      <w:lvlText w:val=""/>
      <w:lvlJc w:val="left"/>
      <w:pPr>
        <w:ind w:left="5040" w:hanging="360"/>
      </w:pPr>
      <w:rPr>
        <w:rFonts w:ascii="Symbol" w:hAnsi="Symbol" w:hint="default"/>
      </w:rPr>
    </w:lvl>
    <w:lvl w:ilvl="7" w:tplc="883495CA" w:tentative="1">
      <w:start w:val="1"/>
      <w:numFmt w:val="bullet"/>
      <w:lvlText w:val="o"/>
      <w:lvlJc w:val="left"/>
      <w:pPr>
        <w:ind w:left="5760" w:hanging="360"/>
      </w:pPr>
      <w:rPr>
        <w:rFonts w:ascii="Courier New" w:hAnsi="Courier New" w:hint="default"/>
      </w:rPr>
    </w:lvl>
    <w:lvl w:ilvl="8" w:tplc="E5E4036C" w:tentative="1">
      <w:start w:val="1"/>
      <w:numFmt w:val="bullet"/>
      <w:lvlText w:val=""/>
      <w:lvlJc w:val="left"/>
      <w:pPr>
        <w:ind w:left="6480" w:hanging="360"/>
      </w:pPr>
      <w:rPr>
        <w:rFonts w:ascii="Wingdings" w:hAnsi="Wingdings" w:hint="default"/>
      </w:rPr>
    </w:lvl>
  </w:abstractNum>
  <w:abstractNum w:abstractNumId="4" w15:restartNumberingAfterBreak="0">
    <w:nsid w:val="008D4F75"/>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95705A"/>
    <w:multiLevelType w:val="multilevel"/>
    <w:tmpl w:val="E23A5D7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 w15:restartNumberingAfterBreak="0">
    <w:nsid w:val="00B004DD"/>
    <w:multiLevelType w:val="multilevel"/>
    <w:tmpl w:val="88F2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0B43156"/>
    <w:multiLevelType w:val="multilevel"/>
    <w:tmpl w:val="C0307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EF7EFC"/>
    <w:multiLevelType w:val="multilevel"/>
    <w:tmpl w:val="D4AE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414FB9"/>
    <w:multiLevelType w:val="multilevel"/>
    <w:tmpl w:val="83CC979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0" w15:restartNumberingAfterBreak="0">
    <w:nsid w:val="018749E9"/>
    <w:multiLevelType w:val="multilevel"/>
    <w:tmpl w:val="4F58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8D374B"/>
    <w:multiLevelType w:val="multilevel"/>
    <w:tmpl w:val="E17832EC"/>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2" w15:restartNumberingAfterBreak="0">
    <w:nsid w:val="019E4619"/>
    <w:multiLevelType w:val="hybridMultilevel"/>
    <w:tmpl w:val="FDAAF4C6"/>
    <w:lvl w:ilvl="0" w:tplc="7264C4A0">
      <w:start w:val="1"/>
      <w:numFmt w:val="bullet"/>
      <w:lvlText w:val=""/>
      <w:lvlJc w:val="left"/>
      <w:pPr>
        <w:ind w:left="720" w:hanging="360"/>
      </w:pPr>
      <w:rPr>
        <w:rFonts w:ascii="Symbol" w:hAnsi="Symbol" w:hint="default"/>
      </w:rPr>
    </w:lvl>
    <w:lvl w:ilvl="1" w:tplc="CF5C7258" w:tentative="1">
      <w:start w:val="1"/>
      <w:numFmt w:val="bullet"/>
      <w:lvlText w:val="o"/>
      <w:lvlJc w:val="left"/>
      <w:pPr>
        <w:ind w:left="1440" w:hanging="360"/>
      </w:pPr>
      <w:rPr>
        <w:rFonts w:ascii="Courier New" w:hAnsi="Courier New" w:hint="default"/>
      </w:rPr>
    </w:lvl>
    <w:lvl w:ilvl="2" w:tplc="FE5A6F02" w:tentative="1">
      <w:start w:val="1"/>
      <w:numFmt w:val="bullet"/>
      <w:lvlText w:val=""/>
      <w:lvlJc w:val="left"/>
      <w:pPr>
        <w:ind w:left="2160" w:hanging="360"/>
      </w:pPr>
      <w:rPr>
        <w:rFonts w:ascii="Wingdings" w:hAnsi="Wingdings" w:hint="default"/>
      </w:rPr>
    </w:lvl>
    <w:lvl w:ilvl="3" w:tplc="1B70EB74" w:tentative="1">
      <w:start w:val="1"/>
      <w:numFmt w:val="bullet"/>
      <w:lvlText w:val=""/>
      <w:lvlJc w:val="left"/>
      <w:pPr>
        <w:ind w:left="2880" w:hanging="360"/>
      </w:pPr>
      <w:rPr>
        <w:rFonts w:ascii="Symbol" w:hAnsi="Symbol" w:hint="default"/>
      </w:rPr>
    </w:lvl>
    <w:lvl w:ilvl="4" w:tplc="836AFAD0" w:tentative="1">
      <w:start w:val="1"/>
      <w:numFmt w:val="bullet"/>
      <w:lvlText w:val="o"/>
      <w:lvlJc w:val="left"/>
      <w:pPr>
        <w:ind w:left="3600" w:hanging="360"/>
      </w:pPr>
      <w:rPr>
        <w:rFonts w:ascii="Courier New" w:hAnsi="Courier New" w:hint="default"/>
      </w:rPr>
    </w:lvl>
    <w:lvl w:ilvl="5" w:tplc="9C40F27E" w:tentative="1">
      <w:start w:val="1"/>
      <w:numFmt w:val="bullet"/>
      <w:lvlText w:val=""/>
      <w:lvlJc w:val="left"/>
      <w:pPr>
        <w:ind w:left="4320" w:hanging="360"/>
      </w:pPr>
      <w:rPr>
        <w:rFonts w:ascii="Wingdings" w:hAnsi="Wingdings" w:hint="default"/>
      </w:rPr>
    </w:lvl>
    <w:lvl w:ilvl="6" w:tplc="6A78D840" w:tentative="1">
      <w:start w:val="1"/>
      <w:numFmt w:val="bullet"/>
      <w:lvlText w:val=""/>
      <w:lvlJc w:val="left"/>
      <w:pPr>
        <w:ind w:left="5040" w:hanging="360"/>
      </w:pPr>
      <w:rPr>
        <w:rFonts w:ascii="Symbol" w:hAnsi="Symbol" w:hint="default"/>
      </w:rPr>
    </w:lvl>
    <w:lvl w:ilvl="7" w:tplc="A85EC3BC" w:tentative="1">
      <w:start w:val="1"/>
      <w:numFmt w:val="bullet"/>
      <w:lvlText w:val="o"/>
      <w:lvlJc w:val="left"/>
      <w:pPr>
        <w:ind w:left="5760" w:hanging="360"/>
      </w:pPr>
      <w:rPr>
        <w:rFonts w:ascii="Courier New" w:hAnsi="Courier New" w:hint="default"/>
      </w:rPr>
    </w:lvl>
    <w:lvl w:ilvl="8" w:tplc="A9D876A0" w:tentative="1">
      <w:start w:val="1"/>
      <w:numFmt w:val="bullet"/>
      <w:lvlText w:val=""/>
      <w:lvlJc w:val="left"/>
      <w:pPr>
        <w:ind w:left="6480" w:hanging="360"/>
      </w:pPr>
      <w:rPr>
        <w:rFonts w:ascii="Wingdings" w:hAnsi="Wingdings" w:hint="default"/>
      </w:rPr>
    </w:lvl>
  </w:abstractNum>
  <w:abstractNum w:abstractNumId="13" w15:restartNumberingAfterBreak="0">
    <w:nsid w:val="01A11B35"/>
    <w:multiLevelType w:val="multilevel"/>
    <w:tmpl w:val="F0EABFB6"/>
    <w:lvl w:ilvl="0">
      <w:start w:val="2"/>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14" w15:restartNumberingAfterBreak="0">
    <w:nsid w:val="01CF09E6"/>
    <w:multiLevelType w:val="multilevel"/>
    <w:tmpl w:val="C254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1E4298B"/>
    <w:multiLevelType w:val="multilevel"/>
    <w:tmpl w:val="C324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1F7040F"/>
    <w:multiLevelType w:val="hybridMultilevel"/>
    <w:tmpl w:val="119E15F4"/>
    <w:lvl w:ilvl="0" w:tplc="4404DAD6">
      <w:start w:val="1"/>
      <w:numFmt w:val="bullet"/>
      <w:lvlText w:val=""/>
      <w:lvlJc w:val="left"/>
      <w:pPr>
        <w:ind w:left="720" w:hanging="360"/>
      </w:pPr>
      <w:rPr>
        <w:rFonts w:ascii="Symbol" w:hAnsi="Symbol" w:hint="default"/>
      </w:rPr>
    </w:lvl>
    <w:lvl w:ilvl="1" w:tplc="E0D6FC52" w:tentative="1">
      <w:start w:val="1"/>
      <w:numFmt w:val="bullet"/>
      <w:lvlText w:val="o"/>
      <w:lvlJc w:val="left"/>
      <w:pPr>
        <w:ind w:left="1440" w:hanging="360"/>
      </w:pPr>
      <w:rPr>
        <w:rFonts w:ascii="Courier New" w:hAnsi="Courier New" w:hint="default"/>
      </w:rPr>
    </w:lvl>
    <w:lvl w:ilvl="2" w:tplc="8BBC1EC2" w:tentative="1">
      <w:start w:val="1"/>
      <w:numFmt w:val="bullet"/>
      <w:lvlText w:val=""/>
      <w:lvlJc w:val="left"/>
      <w:pPr>
        <w:ind w:left="2160" w:hanging="360"/>
      </w:pPr>
      <w:rPr>
        <w:rFonts w:ascii="Wingdings" w:hAnsi="Wingdings" w:hint="default"/>
      </w:rPr>
    </w:lvl>
    <w:lvl w:ilvl="3" w:tplc="6B9A5128" w:tentative="1">
      <w:start w:val="1"/>
      <w:numFmt w:val="bullet"/>
      <w:lvlText w:val=""/>
      <w:lvlJc w:val="left"/>
      <w:pPr>
        <w:ind w:left="2880" w:hanging="360"/>
      </w:pPr>
      <w:rPr>
        <w:rFonts w:ascii="Symbol" w:hAnsi="Symbol" w:hint="default"/>
      </w:rPr>
    </w:lvl>
    <w:lvl w:ilvl="4" w:tplc="E1C6E4D6" w:tentative="1">
      <w:start w:val="1"/>
      <w:numFmt w:val="bullet"/>
      <w:lvlText w:val="o"/>
      <w:lvlJc w:val="left"/>
      <w:pPr>
        <w:ind w:left="3600" w:hanging="360"/>
      </w:pPr>
      <w:rPr>
        <w:rFonts w:ascii="Courier New" w:hAnsi="Courier New" w:hint="default"/>
      </w:rPr>
    </w:lvl>
    <w:lvl w:ilvl="5" w:tplc="7B6C832E" w:tentative="1">
      <w:start w:val="1"/>
      <w:numFmt w:val="bullet"/>
      <w:lvlText w:val=""/>
      <w:lvlJc w:val="left"/>
      <w:pPr>
        <w:ind w:left="4320" w:hanging="360"/>
      </w:pPr>
      <w:rPr>
        <w:rFonts w:ascii="Wingdings" w:hAnsi="Wingdings" w:hint="default"/>
      </w:rPr>
    </w:lvl>
    <w:lvl w:ilvl="6" w:tplc="DB76C104" w:tentative="1">
      <w:start w:val="1"/>
      <w:numFmt w:val="bullet"/>
      <w:lvlText w:val=""/>
      <w:lvlJc w:val="left"/>
      <w:pPr>
        <w:ind w:left="5040" w:hanging="360"/>
      </w:pPr>
      <w:rPr>
        <w:rFonts w:ascii="Symbol" w:hAnsi="Symbol" w:hint="default"/>
      </w:rPr>
    </w:lvl>
    <w:lvl w:ilvl="7" w:tplc="373EAECE" w:tentative="1">
      <w:start w:val="1"/>
      <w:numFmt w:val="bullet"/>
      <w:lvlText w:val="o"/>
      <w:lvlJc w:val="left"/>
      <w:pPr>
        <w:ind w:left="5760" w:hanging="360"/>
      </w:pPr>
      <w:rPr>
        <w:rFonts w:ascii="Courier New" w:hAnsi="Courier New" w:hint="default"/>
      </w:rPr>
    </w:lvl>
    <w:lvl w:ilvl="8" w:tplc="93882D44" w:tentative="1">
      <w:start w:val="1"/>
      <w:numFmt w:val="bullet"/>
      <w:lvlText w:val=""/>
      <w:lvlJc w:val="left"/>
      <w:pPr>
        <w:ind w:left="6480" w:hanging="360"/>
      </w:pPr>
      <w:rPr>
        <w:rFonts w:ascii="Wingdings" w:hAnsi="Wingdings" w:hint="default"/>
      </w:rPr>
    </w:lvl>
  </w:abstractNum>
  <w:abstractNum w:abstractNumId="17" w15:restartNumberingAfterBreak="0">
    <w:nsid w:val="01F70ED8"/>
    <w:multiLevelType w:val="multilevel"/>
    <w:tmpl w:val="57F0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2065B08"/>
    <w:multiLevelType w:val="hybridMultilevel"/>
    <w:tmpl w:val="F7B698A0"/>
    <w:lvl w:ilvl="0" w:tplc="79D0C260">
      <w:start w:val="1"/>
      <w:numFmt w:val="bullet"/>
      <w:lvlText w:val=""/>
      <w:lvlJc w:val="left"/>
      <w:pPr>
        <w:ind w:left="720" w:hanging="360"/>
      </w:pPr>
      <w:rPr>
        <w:rFonts w:ascii="Symbol" w:hAnsi="Symbol" w:hint="default"/>
      </w:rPr>
    </w:lvl>
    <w:lvl w:ilvl="1" w:tplc="57D63A66" w:tentative="1">
      <w:start w:val="1"/>
      <w:numFmt w:val="bullet"/>
      <w:lvlText w:val="o"/>
      <w:lvlJc w:val="left"/>
      <w:pPr>
        <w:ind w:left="1440" w:hanging="360"/>
      </w:pPr>
      <w:rPr>
        <w:rFonts w:ascii="Courier New" w:hAnsi="Courier New" w:hint="default"/>
      </w:rPr>
    </w:lvl>
    <w:lvl w:ilvl="2" w:tplc="EEC81054" w:tentative="1">
      <w:start w:val="1"/>
      <w:numFmt w:val="bullet"/>
      <w:lvlText w:val=""/>
      <w:lvlJc w:val="left"/>
      <w:pPr>
        <w:ind w:left="2160" w:hanging="360"/>
      </w:pPr>
      <w:rPr>
        <w:rFonts w:ascii="Wingdings" w:hAnsi="Wingdings" w:hint="default"/>
      </w:rPr>
    </w:lvl>
    <w:lvl w:ilvl="3" w:tplc="A5728DCE" w:tentative="1">
      <w:start w:val="1"/>
      <w:numFmt w:val="bullet"/>
      <w:lvlText w:val=""/>
      <w:lvlJc w:val="left"/>
      <w:pPr>
        <w:ind w:left="2880" w:hanging="360"/>
      </w:pPr>
      <w:rPr>
        <w:rFonts w:ascii="Symbol" w:hAnsi="Symbol" w:hint="default"/>
      </w:rPr>
    </w:lvl>
    <w:lvl w:ilvl="4" w:tplc="BA106D24" w:tentative="1">
      <w:start w:val="1"/>
      <w:numFmt w:val="bullet"/>
      <w:lvlText w:val="o"/>
      <w:lvlJc w:val="left"/>
      <w:pPr>
        <w:ind w:left="3600" w:hanging="360"/>
      </w:pPr>
      <w:rPr>
        <w:rFonts w:ascii="Courier New" w:hAnsi="Courier New" w:hint="default"/>
      </w:rPr>
    </w:lvl>
    <w:lvl w:ilvl="5" w:tplc="8D92C2F6" w:tentative="1">
      <w:start w:val="1"/>
      <w:numFmt w:val="bullet"/>
      <w:lvlText w:val=""/>
      <w:lvlJc w:val="left"/>
      <w:pPr>
        <w:ind w:left="4320" w:hanging="360"/>
      </w:pPr>
      <w:rPr>
        <w:rFonts w:ascii="Wingdings" w:hAnsi="Wingdings" w:hint="default"/>
      </w:rPr>
    </w:lvl>
    <w:lvl w:ilvl="6" w:tplc="0F3A9C94" w:tentative="1">
      <w:start w:val="1"/>
      <w:numFmt w:val="bullet"/>
      <w:lvlText w:val=""/>
      <w:lvlJc w:val="left"/>
      <w:pPr>
        <w:ind w:left="5040" w:hanging="360"/>
      </w:pPr>
      <w:rPr>
        <w:rFonts w:ascii="Symbol" w:hAnsi="Symbol" w:hint="default"/>
      </w:rPr>
    </w:lvl>
    <w:lvl w:ilvl="7" w:tplc="74929BF8" w:tentative="1">
      <w:start w:val="1"/>
      <w:numFmt w:val="bullet"/>
      <w:lvlText w:val="o"/>
      <w:lvlJc w:val="left"/>
      <w:pPr>
        <w:ind w:left="5760" w:hanging="360"/>
      </w:pPr>
      <w:rPr>
        <w:rFonts w:ascii="Courier New" w:hAnsi="Courier New" w:hint="default"/>
      </w:rPr>
    </w:lvl>
    <w:lvl w:ilvl="8" w:tplc="17243C44" w:tentative="1">
      <w:start w:val="1"/>
      <w:numFmt w:val="bullet"/>
      <w:lvlText w:val=""/>
      <w:lvlJc w:val="left"/>
      <w:pPr>
        <w:ind w:left="6480" w:hanging="360"/>
      </w:pPr>
      <w:rPr>
        <w:rFonts w:ascii="Wingdings" w:hAnsi="Wingdings" w:hint="default"/>
      </w:rPr>
    </w:lvl>
  </w:abstractNum>
  <w:abstractNum w:abstractNumId="19" w15:restartNumberingAfterBreak="0">
    <w:nsid w:val="02540B16"/>
    <w:multiLevelType w:val="multilevel"/>
    <w:tmpl w:val="188E7F7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0" w15:restartNumberingAfterBreak="0">
    <w:nsid w:val="02714858"/>
    <w:multiLevelType w:val="multilevel"/>
    <w:tmpl w:val="33D2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2867F0D"/>
    <w:multiLevelType w:val="multilevel"/>
    <w:tmpl w:val="AF1A18DA"/>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2" w15:restartNumberingAfterBreak="0">
    <w:nsid w:val="0292496D"/>
    <w:multiLevelType w:val="multilevel"/>
    <w:tmpl w:val="5144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29539EC"/>
    <w:multiLevelType w:val="multilevel"/>
    <w:tmpl w:val="C16A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2A63978"/>
    <w:multiLevelType w:val="multilevel"/>
    <w:tmpl w:val="B996566C"/>
    <w:lvl w:ilvl="0">
      <w:start w:val="1"/>
      <w:numFmt w:val="bullet"/>
      <w:lvlText w:val="o"/>
      <w:lvlJc w:val="left"/>
      <w:pPr>
        <w:tabs>
          <w:tab w:val="num" w:pos="2376"/>
        </w:tabs>
        <w:ind w:left="2376" w:hanging="360"/>
      </w:pPr>
      <w:rPr>
        <w:rFonts w:ascii="Courier New" w:hAnsi="Courier New" w:hint="default"/>
        <w:sz w:val="20"/>
      </w:rPr>
    </w:lvl>
    <w:lvl w:ilvl="1" w:tentative="1">
      <w:start w:val="1"/>
      <w:numFmt w:val="bullet"/>
      <w:lvlText w:val="o"/>
      <w:lvlJc w:val="left"/>
      <w:pPr>
        <w:tabs>
          <w:tab w:val="num" w:pos="3096"/>
        </w:tabs>
        <w:ind w:left="3096" w:hanging="360"/>
      </w:pPr>
      <w:rPr>
        <w:rFonts w:ascii="Courier New" w:hAnsi="Courier New" w:hint="default"/>
        <w:sz w:val="20"/>
      </w:rPr>
    </w:lvl>
    <w:lvl w:ilvl="2" w:tentative="1">
      <w:start w:val="1"/>
      <w:numFmt w:val="bullet"/>
      <w:lvlText w:val="o"/>
      <w:lvlJc w:val="left"/>
      <w:pPr>
        <w:tabs>
          <w:tab w:val="num" w:pos="3816"/>
        </w:tabs>
        <w:ind w:left="3816" w:hanging="360"/>
      </w:pPr>
      <w:rPr>
        <w:rFonts w:ascii="Courier New" w:hAnsi="Courier New" w:hint="default"/>
        <w:sz w:val="20"/>
      </w:rPr>
    </w:lvl>
    <w:lvl w:ilvl="3" w:tentative="1">
      <w:start w:val="1"/>
      <w:numFmt w:val="bullet"/>
      <w:lvlText w:val="o"/>
      <w:lvlJc w:val="left"/>
      <w:pPr>
        <w:tabs>
          <w:tab w:val="num" w:pos="4536"/>
        </w:tabs>
        <w:ind w:left="4536" w:hanging="360"/>
      </w:pPr>
      <w:rPr>
        <w:rFonts w:ascii="Courier New" w:hAnsi="Courier New" w:hint="default"/>
        <w:sz w:val="20"/>
      </w:rPr>
    </w:lvl>
    <w:lvl w:ilvl="4" w:tentative="1">
      <w:start w:val="1"/>
      <w:numFmt w:val="bullet"/>
      <w:lvlText w:val="o"/>
      <w:lvlJc w:val="left"/>
      <w:pPr>
        <w:tabs>
          <w:tab w:val="num" w:pos="5256"/>
        </w:tabs>
        <w:ind w:left="5256" w:hanging="360"/>
      </w:pPr>
      <w:rPr>
        <w:rFonts w:ascii="Courier New" w:hAnsi="Courier New" w:hint="default"/>
        <w:sz w:val="20"/>
      </w:rPr>
    </w:lvl>
    <w:lvl w:ilvl="5" w:tentative="1">
      <w:start w:val="1"/>
      <w:numFmt w:val="bullet"/>
      <w:lvlText w:val="o"/>
      <w:lvlJc w:val="left"/>
      <w:pPr>
        <w:tabs>
          <w:tab w:val="num" w:pos="5976"/>
        </w:tabs>
        <w:ind w:left="5976" w:hanging="360"/>
      </w:pPr>
      <w:rPr>
        <w:rFonts w:ascii="Courier New" w:hAnsi="Courier New" w:hint="default"/>
        <w:sz w:val="20"/>
      </w:rPr>
    </w:lvl>
    <w:lvl w:ilvl="6" w:tentative="1">
      <w:start w:val="1"/>
      <w:numFmt w:val="bullet"/>
      <w:lvlText w:val="o"/>
      <w:lvlJc w:val="left"/>
      <w:pPr>
        <w:tabs>
          <w:tab w:val="num" w:pos="6696"/>
        </w:tabs>
        <w:ind w:left="6696" w:hanging="360"/>
      </w:pPr>
      <w:rPr>
        <w:rFonts w:ascii="Courier New" w:hAnsi="Courier New" w:hint="default"/>
        <w:sz w:val="20"/>
      </w:rPr>
    </w:lvl>
    <w:lvl w:ilvl="7" w:tentative="1">
      <w:start w:val="1"/>
      <w:numFmt w:val="bullet"/>
      <w:lvlText w:val="o"/>
      <w:lvlJc w:val="left"/>
      <w:pPr>
        <w:tabs>
          <w:tab w:val="num" w:pos="7416"/>
        </w:tabs>
        <w:ind w:left="7416" w:hanging="360"/>
      </w:pPr>
      <w:rPr>
        <w:rFonts w:ascii="Courier New" w:hAnsi="Courier New" w:hint="default"/>
        <w:sz w:val="20"/>
      </w:rPr>
    </w:lvl>
    <w:lvl w:ilvl="8" w:tentative="1">
      <w:start w:val="1"/>
      <w:numFmt w:val="bullet"/>
      <w:lvlText w:val="o"/>
      <w:lvlJc w:val="left"/>
      <w:pPr>
        <w:tabs>
          <w:tab w:val="num" w:pos="8136"/>
        </w:tabs>
        <w:ind w:left="8136" w:hanging="360"/>
      </w:pPr>
      <w:rPr>
        <w:rFonts w:ascii="Courier New" w:hAnsi="Courier New" w:hint="default"/>
        <w:sz w:val="20"/>
      </w:rPr>
    </w:lvl>
  </w:abstractNum>
  <w:abstractNum w:abstractNumId="25" w15:restartNumberingAfterBreak="0">
    <w:nsid w:val="02B32F91"/>
    <w:multiLevelType w:val="multilevel"/>
    <w:tmpl w:val="322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2ED72CD"/>
    <w:multiLevelType w:val="multilevel"/>
    <w:tmpl w:val="DD22FAC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7" w15:restartNumberingAfterBreak="0">
    <w:nsid w:val="032A1867"/>
    <w:multiLevelType w:val="hybridMultilevel"/>
    <w:tmpl w:val="C51A0F94"/>
    <w:lvl w:ilvl="0" w:tplc="6206EDA0">
      <w:start w:val="1"/>
      <w:numFmt w:val="bullet"/>
      <w:lvlText w:val=""/>
      <w:lvlJc w:val="left"/>
      <w:pPr>
        <w:ind w:left="720" w:hanging="360"/>
      </w:pPr>
      <w:rPr>
        <w:rFonts w:ascii="Symbol" w:hAnsi="Symbol" w:hint="default"/>
      </w:rPr>
    </w:lvl>
    <w:lvl w:ilvl="1" w:tplc="D1704002" w:tentative="1">
      <w:start w:val="1"/>
      <w:numFmt w:val="bullet"/>
      <w:lvlText w:val="o"/>
      <w:lvlJc w:val="left"/>
      <w:pPr>
        <w:ind w:left="1440" w:hanging="360"/>
      </w:pPr>
      <w:rPr>
        <w:rFonts w:ascii="Courier New" w:hAnsi="Courier New" w:hint="default"/>
      </w:rPr>
    </w:lvl>
    <w:lvl w:ilvl="2" w:tplc="1868A708" w:tentative="1">
      <w:start w:val="1"/>
      <w:numFmt w:val="bullet"/>
      <w:lvlText w:val=""/>
      <w:lvlJc w:val="left"/>
      <w:pPr>
        <w:ind w:left="2160" w:hanging="360"/>
      </w:pPr>
      <w:rPr>
        <w:rFonts w:ascii="Wingdings" w:hAnsi="Wingdings" w:hint="default"/>
      </w:rPr>
    </w:lvl>
    <w:lvl w:ilvl="3" w:tplc="58A053AC" w:tentative="1">
      <w:start w:val="1"/>
      <w:numFmt w:val="bullet"/>
      <w:lvlText w:val=""/>
      <w:lvlJc w:val="left"/>
      <w:pPr>
        <w:ind w:left="2880" w:hanging="360"/>
      </w:pPr>
      <w:rPr>
        <w:rFonts w:ascii="Symbol" w:hAnsi="Symbol" w:hint="default"/>
      </w:rPr>
    </w:lvl>
    <w:lvl w:ilvl="4" w:tplc="5120AE46" w:tentative="1">
      <w:start w:val="1"/>
      <w:numFmt w:val="bullet"/>
      <w:lvlText w:val="o"/>
      <w:lvlJc w:val="left"/>
      <w:pPr>
        <w:ind w:left="3600" w:hanging="360"/>
      </w:pPr>
      <w:rPr>
        <w:rFonts w:ascii="Courier New" w:hAnsi="Courier New" w:hint="default"/>
      </w:rPr>
    </w:lvl>
    <w:lvl w:ilvl="5" w:tplc="5B30C7DE" w:tentative="1">
      <w:start w:val="1"/>
      <w:numFmt w:val="bullet"/>
      <w:lvlText w:val=""/>
      <w:lvlJc w:val="left"/>
      <w:pPr>
        <w:ind w:left="4320" w:hanging="360"/>
      </w:pPr>
      <w:rPr>
        <w:rFonts w:ascii="Wingdings" w:hAnsi="Wingdings" w:hint="default"/>
      </w:rPr>
    </w:lvl>
    <w:lvl w:ilvl="6" w:tplc="0924056E" w:tentative="1">
      <w:start w:val="1"/>
      <w:numFmt w:val="bullet"/>
      <w:lvlText w:val=""/>
      <w:lvlJc w:val="left"/>
      <w:pPr>
        <w:ind w:left="5040" w:hanging="360"/>
      </w:pPr>
      <w:rPr>
        <w:rFonts w:ascii="Symbol" w:hAnsi="Symbol" w:hint="default"/>
      </w:rPr>
    </w:lvl>
    <w:lvl w:ilvl="7" w:tplc="CD083A7A" w:tentative="1">
      <w:start w:val="1"/>
      <w:numFmt w:val="bullet"/>
      <w:lvlText w:val="o"/>
      <w:lvlJc w:val="left"/>
      <w:pPr>
        <w:ind w:left="5760" w:hanging="360"/>
      </w:pPr>
      <w:rPr>
        <w:rFonts w:ascii="Courier New" w:hAnsi="Courier New" w:hint="default"/>
      </w:rPr>
    </w:lvl>
    <w:lvl w:ilvl="8" w:tplc="A5706762" w:tentative="1">
      <w:start w:val="1"/>
      <w:numFmt w:val="bullet"/>
      <w:lvlText w:val=""/>
      <w:lvlJc w:val="left"/>
      <w:pPr>
        <w:ind w:left="6480" w:hanging="360"/>
      </w:pPr>
      <w:rPr>
        <w:rFonts w:ascii="Wingdings" w:hAnsi="Wingdings" w:hint="default"/>
      </w:rPr>
    </w:lvl>
  </w:abstractNum>
  <w:abstractNum w:abstractNumId="28" w15:restartNumberingAfterBreak="0">
    <w:nsid w:val="0330048B"/>
    <w:multiLevelType w:val="hybridMultilevel"/>
    <w:tmpl w:val="38B4C528"/>
    <w:lvl w:ilvl="0" w:tplc="6B6C9334">
      <w:start w:val="1"/>
      <w:numFmt w:val="bullet"/>
      <w:lvlText w:val=""/>
      <w:lvlJc w:val="left"/>
      <w:pPr>
        <w:ind w:left="720" w:hanging="360"/>
      </w:pPr>
      <w:rPr>
        <w:rFonts w:ascii="Symbol" w:hAnsi="Symbol" w:hint="default"/>
      </w:rPr>
    </w:lvl>
    <w:lvl w:ilvl="1" w:tplc="D2243F7E" w:tentative="1">
      <w:start w:val="1"/>
      <w:numFmt w:val="bullet"/>
      <w:lvlText w:val="o"/>
      <w:lvlJc w:val="left"/>
      <w:pPr>
        <w:ind w:left="1440" w:hanging="360"/>
      </w:pPr>
      <w:rPr>
        <w:rFonts w:ascii="Courier New" w:hAnsi="Courier New" w:hint="default"/>
      </w:rPr>
    </w:lvl>
    <w:lvl w:ilvl="2" w:tplc="1FEACF0E" w:tentative="1">
      <w:start w:val="1"/>
      <w:numFmt w:val="bullet"/>
      <w:lvlText w:val=""/>
      <w:lvlJc w:val="left"/>
      <w:pPr>
        <w:ind w:left="2160" w:hanging="360"/>
      </w:pPr>
      <w:rPr>
        <w:rFonts w:ascii="Wingdings" w:hAnsi="Wingdings" w:hint="default"/>
      </w:rPr>
    </w:lvl>
    <w:lvl w:ilvl="3" w:tplc="C4C68F56" w:tentative="1">
      <w:start w:val="1"/>
      <w:numFmt w:val="bullet"/>
      <w:lvlText w:val=""/>
      <w:lvlJc w:val="left"/>
      <w:pPr>
        <w:ind w:left="2880" w:hanging="360"/>
      </w:pPr>
      <w:rPr>
        <w:rFonts w:ascii="Symbol" w:hAnsi="Symbol" w:hint="default"/>
      </w:rPr>
    </w:lvl>
    <w:lvl w:ilvl="4" w:tplc="44086654" w:tentative="1">
      <w:start w:val="1"/>
      <w:numFmt w:val="bullet"/>
      <w:lvlText w:val="o"/>
      <w:lvlJc w:val="left"/>
      <w:pPr>
        <w:ind w:left="3600" w:hanging="360"/>
      </w:pPr>
      <w:rPr>
        <w:rFonts w:ascii="Courier New" w:hAnsi="Courier New" w:hint="default"/>
      </w:rPr>
    </w:lvl>
    <w:lvl w:ilvl="5" w:tplc="3FCA97B4" w:tentative="1">
      <w:start w:val="1"/>
      <w:numFmt w:val="bullet"/>
      <w:lvlText w:val=""/>
      <w:lvlJc w:val="left"/>
      <w:pPr>
        <w:ind w:left="4320" w:hanging="360"/>
      </w:pPr>
      <w:rPr>
        <w:rFonts w:ascii="Wingdings" w:hAnsi="Wingdings" w:hint="default"/>
      </w:rPr>
    </w:lvl>
    <w:lvl w:ilvl="6" w:tplc="3F24C070" w:tentative="1">
      <w:start w:val="1"/>
      <w:numFmt w:val="bullet"/>
      <w:lvlText w:val=""/>
      <w:lvlJc w:val="left"/>
      <w:pPr>
        <w:ind w:left="5040" w:hanging="360"/>
      </w:pPr>
      <w:rPr>
        <w:rFonts w:ascii="Symbol" w:hAnsi="Symbol" w:hint="default"/>
      </w:rPr>
    </w:lvl>
    <w:lvl w:ilvl="7" w:tplc="296A1E0E" w:tentative="1">
      <w:start w:val="1"/>
      <w:numFmt w:val="bullet"/>
      <w:lvlText w:val="o"/>
      <w:lvlJc w:val="left"/>
      <w:pPr>
        <w:ind w:left="5760" w:hanging="360"/>
      </w:pPr>
      <w:rPr>
        <w:rFonts w:ascii="Courier New" w:hAnsi="Courier New" w:hint="default"/>
      </w:rPr>
    </w:lvl>
    <w:lvl w:ilvl="8" w:tplc="81D087F8" w:tentative="1">
      <w:start w:val="1"/>
      <w:numFmt w:val="bullet"/>
      <w:lvlText w:val=""/>
      <w:lvlJc w:val="left"/>
      <w:pPr>
        <w:ind w:left="6480" w:hanging="360"/>
      </w:pPr>
      <w:rPr>
        <w:rFonts w:ascii="Wingdings" w:hAnsi="Wingdings" w:hint="default"/>
      </w:rPr>
    </w:lvl>
  </w:abstractNum>
  <w:abstractNum w:abstractNumId="29" w15:restartNumberingAfterBreak="0">
    <w:nsid w:val="03395AD0"/>
    <w:multiLevelType w:val="multilevel"/>
    <w:tmpl w:val="6356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34513F5"/>
    <w:multiLevelType w:val="multilevel"/>
    <w:tmpl w:val="8D34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34E7509"/>
    <w:multiLevelType w:val="multilevel"/>
    <w:tmpl w:val="53BA6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35E514D"/>
    <w:multiLevelType w:val="multilevel"/>
    <w:tmpl w:val="69F8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3806DC9"/>
    <w:multiLevelType w:val="multilevel"/>
    <w:tmpl w:val="2A1C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3A45653"/>
    <w:multiLevelType w:val="multilevel"/>
    <w:tmpl w:val="E87EB7E2"/>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03CF411F"/>
    <w:multiLevelType w:val="multilevel"/>
    <w:tmpl w:val="1D8E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3DA71C3"/>
    <w:multiLevelType w:val="multilevel"/>
    <w:tmpl w:val="08389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3E817F6"/>
    <w:multiLevelType w:val="multilevel"/>
    <w:tmpl w:val="F6F0D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3EB0609"/>
    <w:multiLevelType w:val="multilevel"/>
    <w:tmpl w:val="7DD6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425225E"/>
    <w:multiLevelType w:val="hybridMultilevel"/>
    <w:tmpl w:val="373C569A"/>
    <w:lvl w:ilvl="0" w:tplc="09544FDC">
      <w:start w:val="1"/>
      <w:numFmt w:val="bullet"/>
      <w:lvlText w:val=""/>
      <w:lvlJc w:val="left"/>
      <w:pPr>
        <w:ind w:left="720" w:hanging="360"/>
      </w:pPr>
      <w:rPr>
        <w:rFonts w:ascii="Symbol" w:hAnsi="Symbol" w:hint="default"/>
      </w:rPr>
    </w:lvl>
    <w:lvl w:ilvl="1" w:tplc="2D520A20" w:tentative="1">
      <w:start w:val="1"/>
      <w:numFmt w:val="bullet"/>
      <w:lvlText w:val="o"/>
      <w:lvlJc w:val="left"/>
      <w:pPr>
        <w:ind w:left="1440" w:hanging="360"/>
      </w:pPr>
      <w:rPr>
        <w:rFonts w:ascii="Courier New" w:hAnsi="Courier New" w:hint="default"/>
      </w:rPr>
    </w:lvl>
    <w:lvl w:ilvl="2" w:tplc="E1DC5D86" w:tentative="1">
      <w:start w:val="1"/>
      <w:numFmt w:val="bullet"/>
      <w:lvlText w:val=""/>
      <w:lvlJc w:val="left"/>
      <w:pPr>
        <w:ind w:left="2160" w:hanging="360"/>
      </w:pPr>
      <w:rPr>
        <w:rFonts w:ascii="Wingdings" w:hAnsi="Wingdings" w:hint="default"/>
      </w:rPr>
    </w:lvl>
    <w:lvl w:ilvl="3" w:tplc="7924FB3C" w:tentative="1">
      <w:start w:val="1"/>
      <w:numFmt w:val="bullet"/>
      <w:lvlText w:val=""/>
      <w:lvlJc w:val="left"/>
      <w:pPr>
        <w:ind w:left="2880" w:hanging="360"/>
      </w:pPr>
      <w:rPr>
        <w:rFonts w:ascii="Symbol" w:hAnsi="Symbol" w:hint="default"/>
      </w:rPr>
    </w:lvl>
    <w:lvl w:ilvl="4" w:tplc="F3FCACD4" w:tentative="1">
      <w:start w:val="1"/>
      <w:numFmt w:val="bullet"/>
      <w:lvlText w:val="o"/>
      <w:lvlJc w:val="left"/>
      <w:pPr>
        <w:ind w:left="3600" w:hanging="360"/>
      </w:pPr>
      <w:rPr>
        <w:rFonts w:ascii="Courier New" w:hAnsi="Courier New" w:hint="default"/>
      </w:rPr>
    </w:lvl>
    <w:lvl w:ilvl="5" w:tplc="D4BE31B0" w:tentative="1">
      <w:start w:val="1"/>
      <w:numFmt w:val="bullet"/>
      <w:lvlText w:val=""/>
      <w:lvlJc w:val="left"/>
      <w:pPr>
        <w:ind w:left="4320" w:hanging="360"/>
      </w:pPr>
      <w:rPr>
        <w:rFonts w:ascii="Wingdings" w:hAnsi="Wingdings" w:hint="default"/>
      </w:rPr>
    </w:lvl>
    <w:lvl w:ilvl="6" w:tplc="AAFC0800" w:tentative="1">
      <w:start w:val="1"/>
      <w:numFmt w:val="bullet"/>
      <w:lvlText w:val=""/>
      <w:lvlJc w:val="left"/>
      <w:pPr>
        <w:ind w:left="5040" w:hanging="360"/>
      </w:pPr>
      <w:rPr>
        <w:rFonts w:ascii="Symbol" w:hAnsi="Symbol" w:hint="default"/>
      </w:rPr>
    </w:lvl>
    <w:lvl w:ilvl="7" w:tplc="40F67DC4" w:tentative="1">
      <w:start w:val="1"/>
      <w:numFmt w:val="bullet"/>
      <w:lvlText w:val="o"/>
      <w:lvlJc w:val="left"/>
      <w:pPr>
        <w:ind w:left="5760" w:hanging="360"/>
      </w:pPr>
      <w:rPr>
        <w:rFonts w:ascii="Courier New" w:hAnsi="Courier New" w:hint="default"/>
      </w:rPr>
    </w:lvl>
    <w:lvl w:ilvl="8" w:tplc="5FC0A5C0" w:tentative="1">
      <w:start w:val="1"/>
      <w:numFmt w:val="bullet"/>
      <w:lvlText w:val=""/>
      <w:lvlJc w:val="left"/>
      <w:pPr>
        <w:ind w:left="6480" w:hanging="360"/>
      </w:pPr>
      <w:rPr>
        <w:rFonts w:ascii="Wingdings" w:hAnsi="Wingdings" w:hint="default"/>
      </w:rPr>
    </w:lvl>
  </w:abstractNum>
  <w:abstractNum w:abstractNumId="40" w15:restartNumberingAfterBreak="0">
    <w:nsid w:val="042B07D7"/>
    <w:multiLevelType w:val="multilevel"/>
    <w:tmpl w:val="E824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43A6243"/>
    <w:multiLevelType w:val="multilevel"/>
    <w:tmpl w:val="C40A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45D1399"/>
    <w:multiLevelType w:val="multilevel"/>
    <w:tmpl w:val="1A9652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47411E0"/>
    <w:multiLevelType w:val="multilevel"/>
    <w:tmpl w:val="D7C08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4795331"/>
    <w:multiLevelType w:val="hybridMultilevel"/>
    <w:tmpl w:val="67CC962C"/>
    <w:lvl w:ilvl="0" w:tplc="46CE9962">
      <w:start w:val="1"/>
      <w:numFmt w:val="bullet"/>
      <w:lvlText w:val=""/>
      <w:lvlJc w:val="left"/>
      <w:pPr>
        <w:ind w:left="720" w:hanging="360"/>
      </w:pPr>
      <w:rPr>
        <w:rFonts w:ascii="Symbol" w:hAnsi="Symbol" w:hint="default"/>
      </w:rPr>
    </w:lvl>
    <w:lvl w:ilvl="1" w:tplc="AC0825BA" w:tentative="1">
      <w:start w:val="1"/>
      <w:numFmt w:val="bullet"/>
      <w:lvlText w:val="o"/>
      <w:lvlJc w:val="left"/>
      <w:pPr>
        <w:ind w:left="1440" w:hanging="360"/>
      </w:pPr>
      <w:rPr>
        <w:rFonts w:ascii="Courier New" w:hAnsi="Courier New" w:hint="default"/>
      </w:rPr>
    </w:lvl>
    <w:lvl w:ilvl="2" w:tplc="AAEA7E46" w:tentative="1">
      <w:start w:val="1"/>
      <w:numFmt w:val="bullet"/>
      <w:lvlText w:val=""/>
      <w:lvlJc w:val="left"/>
      <w:pPr>
        <w:ind w:left="2160" w:hanging="360"/>
      </w:pPr>
      <w:rPr>
        <w:rFonts w:ascii="Wingdings" w:hAnsi="Wingdings" w:hint="default"/>
      </w:rPr>
    </w:lvl>
    <w:lvl w:ilvl="3" w:tplc="CCC093AA" w:tentative="1">
      <w:start w:val="1"/>
      <w:numFmt w:val="bullet"/>
      <w:lvlText w:val=""/>
      <w:lvlJc w:val="left"/>
      <w:pPr>
        <w:ind w:left="2880" w:hanging="360"/>
      </w:pPr>
      <w:rPr>
        <w:rFonts w:ascii="Symbol" w:hAnsi="Symbol" w:hint="default"/>
      </w:rPr>
    </w:lvl>
    <w:lvl w:ilvl="4" w:tplc="78B4248C" w:tentative="1">
      <w:start w:val="1"/>
      <w:numFmt w:val="bullet"/>
      <w:lvlText w:val="o"/>
      <w:lvlJc w:val="left"/>
      <w:pPr>
        <w:ind w:left="3600" w:hanging="360"/>
      </w:pPr>
      <w:rPr>
        <w:rFonts w:ascii="Courier New" w:hAnsi="Courier New" w:hint="default"/>
      </w:rPr>
    </w:lvl>
    <w:lvl w:ilvl="5" w:tplc="77243848" w:tentative="1">
      <w:start w:val="1"/>
      <w:numFmt w:val="bullet"/>
      <w:lvlText w:val=""/>
      <w:lvlJc w:val="left"/>
      <w:pPr>
        <w:ind w:left="4320" w:hanging="360"/>
      </w:pPr>
      <w:rPr>
        <w:rFonts w:ascii="Wingdings" w:hAnsi="Wingdings" w:hint="default"/>
      </w:rPr>
    </w:lvl>
    <w:lvl w:ilvl="6" w:tplc="855EF574" w:tentative="1">
      <w:start w:val="1"/>
      <w:numFmt w:val="bullet"/>
      <w:lvlText w:val=""/>
      <w:lvlJc w:val="left"/>
      <w:pPr>
        <w:ind w:left="5040" w:hanging="360"/>
      </w:pPr>
      <w:rPr>
        <w:rFonts w:ascii="Symbol" w:hAnsi="Symbol" w:hint="default"/>
      </w:rPr>
    </w:lvl>
    <w:lvl w:ilvl="7" w:tplc="1E16A292" w:tentative="1">
      <w:start w:val="1"/>
      <w:numFmt w:val="bullet"/>
      <w:lvlText w:val="o"/>
      <w:lvlJc w:val="left"/>
      <w:pPr>
        <w:ind w:left="5760" w:hanging="360"/>
      </w:pPr>
      <w:rPr>
        <w:rFonts w:ascii="Courier New" w:hAnsi="Courier New" w:hint="default"/>
      </w:rPr>
    </w:lvl>
    <w:lvl w:ilvl="8" w:tplc="4EFC8392" w:tentative="1">
      <w:start w:val="1"/>
      <w:numFmt w:val="bullet"/>
      <w:lvlText w:val=""/>
      <w:lvlJc w:val="left"/>
      <w:pPr>
        <w:ind w:left="6480" w:hanging="360"/>
      </w:pPr>
      <w:rPr>
        <w:rFonts w:ascii="Wingdings" w:hAnsi="Wingdings" w:hint="default"/>
      </w:rPr>
    </w:lvl>
  </w:abstractNum>
  <w:abstractNum w:abstractNumId="45" w15:restartNumberingAfterBreak="0">
    <w:nsid w:val="047A722F"/>
    <w:multiLevelType w:val="multilevel"/>
    <w:tmpl w:val="9D426B7C"/>
    <w:lvl w:ilvl="0">
      <w:start w:val="6"/>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6" w15:restartNumberingAfterBreak="0">
    <w:nsid w:val="048B6AC2"/>
    <w:multiLevelType w:val="multilevel"/>
    <w:tmpl w:val="AB5E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48C1B74"/>
    <w:multiLevelType w:val="multilevel"/>
    <w:tmpl w:val="D66E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4B54E70"/>
    <w:multiLevelType w:val="multilevel"/>
    <w:tmpl w:val="B7C8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4BE1FAF"/>
    <w:multiLevelType w:val="hybridMultilevel"/>
    <w:tmpl w:val="5BA061AA"/>
    <w:lvl w:ilvl="0" w:tplc="5C9C4C9C">
      <w:start w:val="1"/>
      <w:numFmt w:val="bullet"/>
      <w:lvlText w:val=""/>
      <w:lvlJc w:val="left"/>
      <w:pPr>
        <w:ind w:left="720" w:hanging="360"/>
      </w:pPr>
      <w:rPr>
        <w:rFonts w:ascii="Symbol" w:hAnsi="Symbol" w:hint="default"/>
      </w:rPr>
    </w:lvl>
    <w:lvl w:ilvl="1" w:tplc="5C44F33A" w:tentative="1">
      <w:start w:val="1"/>
      <w:numFmt w:val="bullet"/>
      <w:lvlText w:val="o"/>
      <w:lvlJc w:val="left"/>
      <w:pPr>
        <w:ind w:left="1440" w:hanging="360"/>
      </w:pPr>
      <w:rPr>
        <w:rFonts w:ascii="Courier New" w:hAnsi="Courier New" w:hint="default"/>
      </w:rPr>
    </w:lvl>
    <w:lvl w:ilvl="2" w:tplc="97728592" w:tentative="1">
      <w:start w:val="1"/>
      <w:numFmt w:val="bullet"/>
      <w:lvlText w:val=""/>
      <w:lvlJc w:val="left"/>
      <w:pPr>
        <w:ind w:left="2160" w:hanging="360"/>
      </w:pPr>
      <w:rPr>
        <w:rFonts w:ascii="Wingdings" w:hAnsi="Wingdings" w:hint="default"/>
      </w:rPr>
    </w:lvl>
    <w:lvl w:ilvl="3" w:tplc="9CEA2BEE" w:tentative="1">
      <w:start w:val="1"/>
      <w:numFmt w:val="bullet"/>
      <w:lvlText w:val=""/>
      <w:lvlJc w:val="left"/>
      <w:pPr>
        <w:ind w:left="2880" w:hanging="360"/>
      </w:pPr>
      <w:rPr>
        <w:rFonts w:ascii="Symbol" w:hAnsi="Symbol" w:hint="default"/>
      </w:rPr>
    </w:lvl>
    <w:lvl w:ilvl="4" w:tplc="9B46550A" w:tentative="1">
      <w:start w:val="1"/>
      <w:numFmt w:val="bullet"/>
      <w:lvlText w:val="o"/>
      <w:lvlJc w:val="left"/>
      <w:pPr>
        <w:ind w:left="3600" w:hanging="360"/>
      </w:pPr>
      <w:rPr>
        <w:rFonts w:ascii="Courier New" w:hAnsi="Courier New" w:hint="default"/>
      </w:rPr>
    </w:lvl>
    <w:lvl w:ilvl="5" w:tplc="BF1C3BE4" w:tentative="1">
      <w:start w:val="1"/>
      <w:numFmt w:val="bullet"/>
      <w:lvlText w:val=""/>
      <w:lvlJc w:val="left"/>
      <w:pPr>
        <w:ind w:left="4320" w:hanging="360"/>
      </w:pPr>
      <w:rPr>
        <w:rFonts w:ascii="Wingdings" w:hAnsi="Wingdings" w:hint="default"/>
      </w:rPr>
    </w:lvl>
    <w:lvl w:ilvl="6" w:tplc="0A48E1C0" w:tentative="1">
      <w:start w:val="1"/>
      <w:numFmt w:val="bullet"/>
      <w:lvlText w:val=""/>
      <w:lvlJc w:val="left"/>
      <w:pPr>
        <w:ind w:left="5040" w:hanging="360"/>
      </w:pPr>
      <w:rPr>
        <w:rFonts w:ascii="Symbol" w:hAnsi="Symbol" w:hint="default"/>
      </w:rPr>
    </w:lvl>
    <w:lvl w:ilvl="7" w:tplc="0D46BD10" w:tentative="1">
      <w:start w:val="1"/>
      <w:numFmt w:val="bullet"/>
      <w:lvlText w:val="o"/>
      <w:lvlJc w:val="left"/>
      <w:pPr>
        <w:ind w:left="5760" w:hanging="360"/>
      </w:pPr>
      <w:rPr>
        <w:rFonts w:ascii="Courier New" w:hAnsi="Courier New" w:hint="default"/>
      </w:rPr>
    </w:lvl>
    <w:lvl w:ilvl="8" w:tplc="83EEA850" w:tentative="1">
      <w:start w:val="1"/>
      <w:numFmt w:val="bullet"/>
      <w:lvlText w:val=""/>
      <w:lvlJc w:val="left"/>
      <w:pPr>
        <w:ind w:left="6480" w:hanging="360"/>
      </w:pPr>
      <w:rPr>
        <w:rFonts w:ascii="Wingdings" w:hAnsi="Wingdings" w:hint="default"/>
      </w:rPr>
    </w:lvl>
  </w:abstractNum>
  <w:abstractNum w:abstractNumId="50" w15:restartNumberingAfterBreak="0">
    <w:nsid w:val="04C06B98"/>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5025166"/>
    <w:multiLevelType w:val="multilevel"/>
    <w:tmpl w:val="FB3C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5426CD5"/>
    <w:multiLevelType w:val="multilevel"/>
    <w:tmpl w:val="B3321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5776123"/>
    <w:multiLevelType w:val="multilevel"/>
    <w:tmpl w:val="9E8C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57922E6"/>
    <w:multiLevelType w:val="multilevel"/>
    <w:tmpl w:val="FBDA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5D61569"/>
    <w:multiLevelType w:val="multilevel"/>
    <w:tmpl w:val="23E6A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5D72B95"/>
    <w:multiLevelType w:val="hybridMultilevel"/>
    <w:tmpl w:val="CDEE9E48"/>
    <w:lvl w:ilvl="0" w:tplc="6B3434C6">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20E8A924" w:tentative="1">
      <w:start w:val="1"/>
      <w:numFmt w:val="bullet"/>
      <w:lvlText w:val="o"/>
      <w:lvlJc w:val="left"/>
      <w:pPr>
        <w:ind w:left="1440" w:hanging="360"/>
      </w:pPr>
      <w:rPr>
        <w:rFonts w:ascii="Courier New" w:hAnsi="Courier New" w:hint="default"/>
      </w:rPr>
    </w:lvl>
    <w:lvl w:ilvl="2" w:tplc="39F8513C" w:tentative="1">
      <w:start w:val="1"/>
      <w:numFmt w:val="bullet"/>
      <w:lvlText w:val=""/>
      <w:lvlJc w:val="left"/>
      <w:pPr>
        <w:ind w:left="2160" w:hanging="360"/>
      </w:pPr>
      <w:rPr>
        <w:rFonts w:ascii="Wingdings" w:hAnsi="Wingdings" w:hint="default"/>
      </w:rPr>
    </w:lvl>
    <w:lvl w:ilvl="3" w:tplc="F35A4EDE" w:tentative="1">
      <w:start w:val="1"/>
      <w:numFmt w:val="bullet"/>
      <w:lvlText w:val=""/>
      <w:lvlJc w:val="left"/>
      <w:pPr>
        <w:ind w:left="2880" w:hanging="360"/>
      </w:pPr>
      <w:rPr>
        <w:rFonts w:ascii="Symbol" w:hAnsi="Symbol" w:hint="default"/>
      </w:rPr>
    </w:lvl>
    <w:lvl w:ilvl="4" w:tplc="34109DE2" w:tentative="1">
      <w:start w:val="1"/>
      <w:numFmt w:val="bullet"/>
      <w:lvlText w:val="o"/>
      <w:lvlJc w:val="left"/>
      <w:pPr>
        <w:ind w:left="3600" w:hanging="360"/>
      </w:pPr>
      <w:rPr>
        <w:rFonts w:ascii="Courier New" w:hAnsi="Courier New" w:hint="default"/>
      </w:rPr>
    </w:lvl>
    <w:lvl w:ilvl="5" w:tplc="96E2E53E" w:tentative="1">
      <w:start w:val="1"/>
      <w:numFmt w:val="bullet"/>
      <w:lvlText w:val=""/>
      <w:lvlJc w:val="left"/>
      <w:pPr>
        <w:ind w:left="4320" w:hanging="360"/>
      </w:pPr>
      <w:rPr>
        <w:rFonts w:ascii="Wingdings" w:hAnsi="Wingdings" w:hint="default"/>
      </w:rPr>
    </w:lvl>
    <w:lvl w:ilvl="6" w:tplc="2DBAC26E" w:tentative="1">
      <w:start w:val="1"/>
      <w:numFmt w:val="bullet"/>
      <w:lvlText w:val=""/>
      <w:lvlJc w:val="left"/>
      <w:pPr>
        <w:ind w:left="5040" w:hanging="360"/>
      </w:pPr>
      <w:rPr>
        <w:rFonts w:ascii="Symbol" w:hAnsi="Symbol" w:hint="default"/>
      </w:rPr>
    </w:lvl>
    <w:lvl w:ilvl="7" w:tplc="8F461878" w:tentative="1">
      <w:start w:val="1"/>
      <w:numFmt w:val="bullet"/>
      <w:lvlText w:val="o"/>
      <w:lvlJc w:val="left"/>
      <w:pPr>
        <w:ind w:left="5760" w:hanging="360"/>
      </w:pPr>
      <w:rPr>
        <w:rFonts w:ascii="Courier New" w:hAnsi="Courier New" w:hint="default"/>
      </w:rPr>
    </w:lvl>
    <w:lvl w:ilvl="8" w:tplc="24041448" w:tentative="1">
      <w:start w:val="1"/>
      <w:numFmt w:val="bullet"/>
      <w:lvlText w:val=""/>
      <w:lvlJc w:val="left"/>
      <w:pPr>
        <w:ind w:left="6480" w:hanging="360"/>
      </w:pPr>
      <w:rPr>
        <w:rFonts w:ascii="Wingdings" w:hAnsi="Wingdings" w:hint="default"/>
      </w:rPr>
    </w:lvl>
  </w:abstractNum>
  <w:abstractNum w:abstractNumId="57" w15:restartNumberingAfterBreak="0">
    <w:nsid w:val="06297DD6"/>
    <w:multiLevelType w:val="multilevel"/>
    <w:tmpl w:val="964E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64B1ACB"/>
    <w:multiLevelType w:val="hybridMultilevel"/>
    <w:tmpl w:val="2C2C0098"/>
    <w:lvl w:ilvl="0" w:tplc="C8DEA574">
      <w:start w:val="1"/>
      <w:numFmt w:val="bullet"/>
      <w:lvlText w:val=""/>
      <w:lvlJc w:val="left"/>
      <w:pPr>
        <w:ind w:left="720" w:hanging="360"/>
      </w:pPr>
      <w:rPr>
        <w:rFonts w:ascii="Symbol" w:hAnsi="Symbol" w:hint="default"/>
      </w:rPr>
    </w:lvl>
    <w:lvl w:ilvl="1" w:tplc="D3B8D294" w:tentative="1">
      <w:start w:val="1"/>
      <w:numFmt w:val="bullet"/>
      <w:lvlText w:val="o"/>
      <w:lvlJc w:val="left"/>
      <w:pPr>
        <w:ind w:left="1440" w:hanging="360"/>
      </w:pPr>
      <w:rPr>
        <w:rFonts w:ascii="Courier New" w:hAnsi="Courier New" w:hint="default"/>
      </w:rPr>
    </w:lvl>
    <w:lvl w:ilvl="2" w:tplc="15DE486E" w:tentative="1">
      <w:start w:val="1"/>
      <w:numFmt w:val="bullet"/>
      <w:lvlText w:val=""/>
      <w:lvlJc w:val="left"/>
      <w:pPr>
        <w:ind w:left="2160" w:hanging="360"/>
      </w:pPr>
      <w:rPr>
        <w:rFonts w:ascii="Wingdings" w:hAnsi="Wingdings" w:hint="default"/>
      </w:rPr>
    </w:lvl>
    <w:lvl w:ilvl="3" w:tplc="16229C90" w:tentative="1">
      <w:start w:val="1"/>
      <w:numFmt w:val="bullet"/>
      <w:lvlText w:val=""/>
      <w:lvlJc w:val="left"/>
      <w:pPr>
        <w:ind w:left="2880" w:hanging="360"/>
      </w:pPr>
      <w:rPr>
        <w:rFonts w:ascii="Symbol" w:hAnsi="Symbol" w:hint="default"/>
      </w:rPr>
    </w:lvl>
    <w:lvl w:ilvl="4" w:tplc="C3B8EE06" w:tentative="1">
      <w:start w:val="1"/>
      <w:numFmt w:val="bullet"/>
      <w:lvlText w:val="o"/>
      <w:lvlJc w:val="left"/>
      <w:pPr>
        <w:ind w:left="3600" w:hanging="360"/>
      </w:pPr>
      <w:rPr>
        <w:rFonts w:ascii="Courier New" w:hAnsi="Courier New" w:hint="default"/>
      </w:rPr>
    </w:lvl>
    <w:lvl w:ilvl="5" w:tplc="F2C4D350" w:tentative="1">
      <w:start w:val="1"/>
      <w:numFmt w:val="bullet"/>
      <w:lvlText w:val=""/>
      <w:lvlJc w:val="left"/>
      <w:pPr>
        <w:ind w:left="4320" w:hanging="360"/>
      </w:pPr>
      <w:rPr>
        <w:rFonts w:ascii="Wingdings" w:hAnsi="Wingdings" w:hint="default"/>
      </w:rPr>
    </w:lvl>
    <w:lvl w:ilvl="6" w:tplc="5184CED4" w:tentative="1">
      <w:start w:val="1"/>
      <w:numFmt w:val="bullet"/>
      <w:lvlText w:val=""/>
      <w:lvlJc w:val="left"/>
      <w:pPr>
        <w:ind w:left="5040" w:hanging="360"/>
      </w:pPr>
      <w:rPr>
        <w:rFonts w:ascii="Symbol" w:hAnsi="Symbol" w:hint="default"/>
      </w:rPr>
    </w:lvl>
    <w:lvl w:ilvl="7" w:tplc="1166DA9C" w:tentative="1">
      <w:start w:val="1"/>
      <w:numFmt w:val="bullet"/>
      <w:lvlText w:val="o"/>
      <w:lvlJc w:val="left"/>
      <w:pPr>
        <w:ind w:left="5760" w:hanging="360"/>
      </w:pPr>
      <w:rPr>
        <w:rFonts w:ascii="Courier New" w:hAnsi="Courier New" w:hint="default"/>
      </w:rPr>
    </w:lvl>
    <w:lvl w:ilvl="8" w:tplc="2EAE2016" w:tentative="1">
      <w:start w:val="1"/>
      <w:numFmt w:val="bullet"/>
      <w:lvlText w:val=""/>
      <w:lvlJc w:val="left"/>
      <w:pPr>
        <w:ind w:left="6480" w:hanging="360"/>
      </w:pPr>
      <w:rPr>
        <w:rFonts w:ascii="Wingdings" w:hAnsi="Wingdings" w:hint="default"/>
      </w:rPr>
    </w:lvl>
  </w:abstractNum>
  <w:abstractNum w:abstractNumId="59" w15:restartNumberingAfterBreak="0">
    <w:nsid w:val="06B85F99"/>
    <w:multiLevelType w:val="hybridMultilevel"/>
    <w:tmpl w:val="82C8CD14"/>
    <w:lvl w:ilvl="0" w:tplc="285A6540">
      <w:start w:val="1"/>
      <w:numFmt w:val="bullet"/>
      <w:lvlText w:val=""/>
      <w:lvlJc w:val="left"/>
      <w:pPr>
        <w:ind w:left="720" w:hanging="360"/>
      </w:pPr>
      <w:rPr>
        <w:rFonts w:ascii="Symbol" w:hAnsi="Symbol" w:hint="default"/>
      </w:rPr>
    </w:lvl>
    <w:lvl w:ilvl="1" w:tplc="B4B2ACEE" w:tentative="1">
      <w:start w:val="1"/>
      <w:numFmt w:val="bullet"/>
      <w:lvlText w:val="o"/>
      <w:lvlJc w:val="left"/>
      <w:pPr>
        <w:ind w:left="1440" w:hanging="360"/>
      </w:pPr>
      <w:rPr>
        <w:rFonts w:ascii="Courier New" w:hAnsi="Courier New" w:hint="default"/>
      </w:rPr>
    </w:lvl>
    <w:lvl w:ilvl="2" w:tplc="A2D8B6C2" w:tentative="1">
      <w:start w:val="1"/>
      <w:numFmt w:val="bullet"/>
      <w:lvlText w:val=""/>
      <w:lvlJc w:val="left"/>
      <w:pPr>
        <w:ind w:left="2160" w:hanging="360"/>
      </w:pPr>
      <w:rPr>
        <w:rFonts w:ascii="Wingdings" w:hAnsi="Wingdings" w:hint="default"/>
      </w:rPr>
    </w:lvl>
    <w:lvl w:ilvl="3" w:tplc="CB1226A4" w:tentative="1">
      <w:start w:val="1"/>
      <w:numFmt w:val="bullet"/>
      <w:lvlText w:val=""/>
      <w:lvlJc w:val="left"/>
      <w:pPr>
        <w:ind w:left="2880" w:hanging="360"/>
      </w:pPr>
      <w:rPr>
        <w:rFonts w:ascii="Symbol" w:hAnsi="Symbol" w:hint="default"/>
      </w:rPr>
    </w:lvl>
    <w:lvl w:ilvl="4" w:tplc="B69AD278" w:tentative="1">
      <w:start w:val="1"/>
      <w:numFmt w:val="bullet"/>
      <w:lvlText w:val="o"/>
      <w:lvlJc w:val="left"/>
      <w:pPr>
        <w:ind w:left="3600" w:hanging="360"/>
      </w:pPr>
      <w:rPr>
        <w:rFonts w:ascii="Courier New" w:hAnsi="Courier New" w:hint="default"/>
      </w:rPr>
    </w:lvl>
    <w:lvl w:ilvl="5" w:tplc="F6C459CC" w:tentative="1">
      <w:start w:val="1"/>
      <w:numFmt w:val="bullet"/>
      <w:lvlText w:val=""/>
      <w:lvlJc w:val="left"/>
      <w:pPr>
        <w:ind w:left="4320" w:hanging="360"/>
      </w:pPr>
      <w:rPr>
        <w:rFonts w:ascii="Wingdings" w:hAnsi="Wingdings" w:hint="default"/>
      </w:rPr>
    </w:lvl>
    <w:lvl w:ilvl="6" w:tplc="831651C6" w:tentative="1">
      <w:start w:val="1"/>
      <w:numFmt w:val="bullet"/>
      <w:lvlText w:val=""/>
      <w:lvlJc w:val="left"/>
      <w:pPr>
        <w:ind w:left="5040" w:hanging="360"/>
      </w:pPr>
      <w:rPr>
        <w:rFonts w:ascii="Symbol" w:hAnsi="Symbol" w:hint="default"/>
      </w:rPr>
    </w:lvl>
    <w:lvl w:ilvl="7" w:tplc="7DBC324A" w:tentative="1">
      <w:start w:val="1"/>
      <w:numFmt w:val="bullet"/>
      <w:lvlText w:val="o"/>
      <w:lvlJc w:val="left"/>
      <w:pPr>
        <w:ind w:left="5760" w:hanging="360"/>
      </w:pPr>
      <w:rPr>
        <w:rFonts w:ascii="Courier New" w:hAnsi="Courier New" w:hint="default"/>
      </w:rPr>
    </w:lvl>
    <w:lvl w:ilvl="8" w:tplc="8DDCCFBA" w:tentative="1">
      <w:start w:val="1"/>
      <w:numFmt w:val="bullet"/>
      <w:lvlText w:val=""/>
      <w:lvlJc w:val="left"/>
      <w:pPr>
        <w:ind w:left="6480" w:hanging="360"/>
      </w:pPr>
      <w:rPr>
        <w:rFonts w:ascii="Wingdings" w:hAnsi="Wingdings" w:hint="default"/>
      </w:rPr>
    </w:lvl>
  </w:abstractNum>
  <w:abstractNum w:abstractNumId="60" w15:restartNumberingAfterBreak="0">
    <w:nsid w:val="06D01BFA"/>
    <w:multiLevelType w:val="multilevel"/>
    <w:tmpl w:val="EF6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6D42DBB"/>
    <w:multiLevelType w:val="multilevel"/>
    <w:tmpl w:val="217272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6E22E58"/>
    <w:multiLevelType w:val="multilevel"/>
    <w:tmpl w:val="2AD4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6F93CB7"/>
    <w:multiLevelType w:val="multilevel"/>
    <w:tmpl w:val="E420632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4" w15:restartNumberingAfterBreak="0">
    <w:nsid w:val="0775361E"/>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7933474"/>
    <w:multiLevelType w:val="multilevel"/>
    <w:tmpl w:val="24C86C3C"/>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6" w15:restartNumberingAfterBreak="0">
    <w:nsid w:val="07F7425E"/>
    <w:multiLevelType w:val="hybridMultilevel"/>
    <w:tmpl w:val="9642F8DE"/>
    <w:lvl w:ilvl="0" w:tplc="4E8E06CA">
      <w:start w:val="1"/>
      <w:numFmt w:val="bullet"/>
      <w:lvlText w:val=""/>
      <w:lvlJc w:val="left"/>
      <w:pPr>
        <w:ind w:left="720" w:hanging="360"/>
      </w:pPr>
      <w:rPr>
        <w:rFonts w:ascii="Symbol" w:hAnsi="Symbol" w:hint="default"/>
      </w:rPr>
    </w:lvl>
    <w:lvl w:ilvl="1" w:tplc="C6705E08" w:tentative="1">
      <w:start w:val="1"/>
      <w:numFmt w:val="bullet"/>
      <w:lvlText w:val="o"/>
      <w:lvlJc w:val="left"/>
      <w:pPr>
        <w:ind w:left="1440" w:hanging="360"/>
      </w:pPr>
      <w:rPr>
        <w:rFonts w:ascii="Courier New" w:hAnsi="Courier New" w:hint="default"/>
      </w:rPr>
    </w:lvl>
    <w:lvl w:ilvl="2" w:tplc="ADD2037C" w:tentative="1">
      <w:start w:val="1"/>
      <w:numFmt w:val="bullet"/>
      <w:lvlText w:val=""/>
      <w:lvlJc w:val="left"/>
      <w:pPr>
        <w:ind w:left="2160" w:hanging="360"/>
      </w:pPr>
      <w:rPr>
        <w:rFonts w:ascii="Wingdings" w:hAnsi="Wingdings" w:hint="default"/>
      </w:rPr>
    </w:lvl>
    <w:lvl w:ilvl="3" w:tplc="EB6899BA" w:tentative="1">
      <w:start w:val="1"/>
      <w:numFmt w:val="bullet"/>
      <w:lvlText w:val=""/>
      <w:lvlJc w:val="left"/>
      <w:pPr>
        <w:ind w:left="2880" w:hanging="360"/>
      </w:pPr>
      <w:rPr>
        <w:rFonts w:ascii="Symbol" w:hAnsi="Symbol" w:hint="default"/>
      </w:rPr>
    </w:lvl>
    <w:lvl w:ilvl="4" w:tplc="05F4CF90" w:tentative="1">
      <w:start w:val="1"/>
      <w:numFmt w:val="bullet"/>
      <w:lvlText w:val="o"/>
      <w:lvlJc w:val="left"/>
      <w:pPr>
        <w:ind w:left="3600" w:hanging="360"/>
      </w:pPr>
      <w:rPr>
        <w:rFonts w:ascii="Courier New" w:hAnsi="Courier New" w:hint="default"/>
      </w:rPr>
    </w:lvl>
    <w:lvl w:ilvl="5" w:tplc="7674C522" w:tentative="1">
      <w:start w:val="1"/>
      <w:numFmt w:val="bullet"/>
      <w:lvlText w:val=""/>
      <w:lvlJc w:val="left"/>
      <w:pPr>
        <w:ind w:left="4320" w:hanging="360"/>
      </w:pPr>
      <w:rPr>
        <w:rFonts w:ascii="Wingdings" w:hAnsi="Wingdings" w:hint="default"/>
      </w:rPr>
    </w:lvl>
    <w:lvl w:ilvl="6" w:tplc="58DC4EC2" w:tentative="1">
      <w:start w:val="1"/>
      <w:numFmt w:val="bullet"/>
      <w:lvlText w:val=""/>
      <w:lvlJc w:val="left"/>
      <w:pPr>
        <w:ind w:left="5040" w:hanging="360"/>
      </w:pPr>
      <w:rPr>
        <w:rFonts w:ascii="Symbol" w:hAnsi="Symbol" w:hint="default"/>
      </w:rPr>
    </w:lvl>
    <w:lvl w:ilvl="7" w:tplc="F348D68A" w:tentative="1">
      <w:start w:val="1"/>
      <w:numFmt w:val="bullet"/>
      <w:lvlText w:val="o"/>
      <w:lvlJc w:val="left"/>
      <w:pPr>
        <w:ind w:left="5760" w:hanging="360"/>
      </w:pPr>
      <w:rPr>
        <w:rFonts w:ascii="Courier New" w:hAnsi="Courier New" w:hint="default"/>
      </w:rPr>
    </w:lvl>
    <w:lvl w:ilvl="8" w:tplc="03ECF0C2" w:tentative="1">
      <w:start w:val="1"/>
      <w:numFmt w:val="bullet"/>
      <w:lvlText w:val=""/>
      <w:lvlJc w:val="left"/>
      <w:pPr>
        <w:ind w:left="6480" w:hanging="360"/>
      </w:pPr>
      <w:rPr>
        <w:rFonts w:ascii="Wingdings" w:hAnsi="Wingdings" w:hint="default"/>
      </w:rPr>
    </w:lvl>
  </w:abstractNum>
  <w:abstractNum w:abstractNumId="67" w15:restartNumberingAfterBreak="0">
    <w:nsid w:val="08281440"/>
    <w:multiLevelType w:val="multilevel"/>
    <w:tmpl w:val="1A44034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8" w15:restartNumberingAfterBreak="0">
    <w:nsid w:val="087C21B5"/>
    <w:multiLevelType w:val="multilevel"/>
    <w:tmpl w:val="20B2B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8B701DC"/>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8F72EA0"/>
    <w:multiLevelType w:val="multilevel"/>
    <w:tmpl w:val="FA8C691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1" w15:restartNumberingAfterBreak="0">
    <w:nsid w:val="09355BD9"/>
    <w:multiLevelType w:val="multilevel"/>
    <w:tmpl w:val="DCD80084"/>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72" w15:restartNumberingAfterBreak="0">
    <w:nsid w:val="09467D09"/>
    <w:multiLevelType w:val="multilevel"/>
    <w:tmpl w:val="492C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9652087"/>
    <w:multiLevelType w:val="multilevel"/>
    <w:tmpl w:val="3F34331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4" w15:restartNumberingAfterBreak="0">
    <w:nsid w:val="096C149E"/>
    <w:multiLevelType w:val="hybridMultilevel"/>
    <w:tmpl w:val="08EC85F0"/>
    <w:lvl w:ilvl="0" w:tplc="2916AF58">
      <w:start w:val="1"/>
      <w:numFmt w:val="bullet"/>
      <w:lvlText w:val=""/>
      <w:lvlJc w:val="left"/>
      <w:pPr>
        <w:ind w:left="720" w:hanging="360"/>
      </w:pPr>
      <w:rPr>
        <w:rFonts w:ascii="Symbol" w:hAnsi="Symbol" w:hint="default"/>
      </w:rPr>
    </w:lvl>
    <w:lvl w:ilvl="1" w:tplc="40F0CC86" w:tentative="1">
      <w:start w:val="1"/>
      <w:numFmt w:val="bullet"/>
      <w:lvlText w:val="o"/>
      <w:lvlJc w:val="left"/>
      <w:pPr>
        <w:ind w:left="1440" w:hanging="360"/>
      </w:pPr>
      <w:rPr>
        <w:rFonts w:ascii="Courier New" w:hAnsi="Courier New" w:hint="default"/>
      </w:rPr>
    </w:lvl>
    <w:lvl w:ilvl="2" w:tplc="ACF001A4" w:tentative="1">
      <w:start w:val="1"/>
      <w:numFmt w:val="bullet"/>
      <w:lvlText w:val=""/>
      <w:lvlJc w:val="left"/>
      <w:pPr>
        <w:ind w:left="2160" w:hanging="360"/>
      </w:pPr>
      <w:rPr>
        <w:rFonts w:ascii="Wingdings" w:hAnsi="Wingdings" w:hint="default"/>
      </w:rPr>
    </w:lvl>
    <w:lvl w:ilvl="3" w:tplc="65001B42" w:tentative="1">
      <w:start w:val="1"/>
      <w:numFmt w:val="bullet"/>
      <w:lvlText w:val=""/>
      <w:lvlJc w:val="left"/>
      <w:pPr>
        <w:ind w:left="2880" w:hanging="360"/>
      </w:pPr>
      <w:rPr>
        <w:rFonts w:ascii="Symbol" w:hAnsi="Symbol" w:hint="default"/>
      </w:rPr>
    </w:lvl>
    <w:lvl w:ilvl="4" w:tplc="13447166" w:tentative="1">
      <w:start w:val="1"/>
      <w:numFmt w:val="bullet"/>
      <w:lvlText w:val="o"/>
      <w:lvlJc w:val="left"/>
      <w:pPr>
        <w:ind w:left="3600" w:hanging="360"/>
      </w:pPr>
      <w:rPr>
        <w:rFonts w:ascii="Courier New" w:hAnsi="Courier New" w:hint="default"/>
      </w:rPr>
    </w:lvl>
    <w:lvl w:ilvl="5" w:tplc="CF44226E" w:tentative="1">
      <w:start w:val="1"/>
      <w:numFmt w:val="bullet"/>
      <w:lvlText w:val=""/>
      <w:lvlJc w:val="left"/>
      <w:pPr>
        <w:ind w:left="4320" w:hanging="360"/>
      </w:pPr>
      <w:rPr>
        <w:rFonts w:ascii="Wingdings" w:hAnsi="Wingdings" w:hint="default"/>
      </w:rPr>
    </w:lvl>
    <w:lvl w:ilvl="6" w:tplc="532C3C98" w:tentative="1">
      <w:start w:val="1"/>
      <w:numFmt w:val="bullet"/>
      <w:lvlText w:val=""/>
      <w:lvlJc w:val="left"/>
      <w:pPr>
        <w:ind w:left="5040" w:hanging="360"/>
      </w:pPr>
      <w:rPr>
        <w:rFonts w:ascii="Symbol" w:hAnsi="Symbol" w:hint="default"/>
      </w:rPr>
    </w:lvl>
    <w:lvl w:ilvl="7" w:tplc="DC1A5694" w:tentative="1">
      <w:start w:val="1"/>
      <w:numFmt w:val="bullet"/>
      <w:lvlText w:val="o"/>
      <w:lvlJc w:val="left"/>
      <w:pPr>
        <w:ind w:left="5760" w:hanging="360"/>
      </w:pPr>
      <w:rPr>
        <w:rFonts w:ascii="Courier New" w:hAnsi="Courier New" w:hint="default"/>
      </w:rPr>
    </w:lvl>
    <w:lvl w:ilvl="8" w:tplc="CB76FAF6" w:tentative="1">
      <w:start w:val="1"/>
      <w:numFmt w:val="bullet"/>
      <w:lvlText w:val=""/>
      <w:lvlJc w:val="left"/>
      <w:pPr>
        <w:ind w:left="6480" w:hanging="360"/>
      </w:pPr>
      <w:rPr>
        <w:rFonts w:ascii="Wingdings" w:hAnsi="Wingdings" w:hint="default"/>
      </w:rPr>
    </w:lvl>
  </w:abstractNum>
  <w:abstractNum w:abstractNumId="75" w15:restartNumberingAfterBreak="0">
    <w:nsid w:val="09AF365A"/>
    <w:multiLevelType w:val="multilevel"/>
    <w:tmpl w:val="FEFC8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9ED6D46"/>
    <w:multiLevelType w:val="multilevel"/>
    <w:tmpl w:val="C860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A016D4B"/>
    <w:multiLevelType w:val="multilevel"/>
    <w:tmpl w:val="69D48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0A4E0D72"/>
    <w:multiLevelType w:val="multilevel"/>
    <w:tmpl w:val="0E3A1CA6"/>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9" w15:restartNumberingAfterBreak="0">
    <w:nsid w:val="0A6207C5"/>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0A674FA9"/>
    <w:multiLevelType w:val="hybridMultilevel"/>
    <w:tmpl w:val="BA6C5B9C"/>
    <w:lvl w:ilvl="0" w:tplc="084A6AC2">
      <w:start w:val="1"/>
      <w:numFmt w:val="bullet"/>
      <w:lvlText w:val=""/>
      <w:lvlJc w:val="left"/>
      <w:pPr>
        <w:ind w:left="720" w:hanging="360"/>
      </w:pPr>
      <w:rPr>
        <w:rFonts w:ascii="Symbol" w:hAnsi="Symbol" w:hint="default"/>
      </w:rPr>
    </w:lvl>
    <w:lvl w:ilvl="1" w:tplc="05F60AEC" w:tentative="1">
      <w:start w:val="1"/>
      <w:numFmt w:val="bullet"/>
      <w:lvlText w:val="o"/>
      <w:lvlJc w:val="left"/>
      <w:pPr>
        <w:ind w:left="1440" w:hanging="360"/>
      </w:pPr>
      <w:rPr>
        <w:rFonts w:ascii="Courier New" w:hAnsi="Courier New" w:hint="default"/>
      </w:rPr>
    </w:lvl>
    <w:lvl w:ilvl="2" w:tplc="4F56014C" w:tentative="1">
      <w:start w:val="1"/>
      <w:numFmt w:val="bullet"/>
      <w:lvlText w:val=""/>
      <w:lvlJc w:val="left"/>
      <w:pPr>
        <w:ind w:left="2160" w:hanging="360"/>
      </w:pPr>
      <w:rPr>
        <w:rFonts w:ascii="Wingdings" w:hAnsi="Wingdings" w:hint="default"/>
      </w:rPr>
    </w:lvl>
    <w:lvl w:ilvl="3" w:tplc="1C2079B8" w:tentative="1">
      <w:start w:val="1"/>
      <w:numFmt w:val="bullet"/>
      <w:lvlText w:val=""/>
      <w:lvlJc w:val="left"/>
      <w:pPr>
        <w:ind w:left="2880" w:hanging="360"/>
      </w:pPr>
      <w:rPr>
        <w:rFonts w:ascii="Symbol" w:hAnsi="Symbol" w:hint="default"/>
      </w:rPr>
    </w:lvl>
    <w:lvl w:ilvl="4" w:tplc="E814DE7C" w:tentative="1">
      <w:start w:val="1"/>
      <w:numFmt w:val="bullet"/>
      <w:lvlText w:val="o"/>
      <w:lvlJc w:val="left"/>
      <w:pPr>
        <w:ind w:left="3600" w:hanging="360"/>
      </w:pPr>
      <w:rPr>
        <w:rFonts w:ascii="Courier New" w:hAnsi="Courier New" w:hint="default"/>
      </w:rPr>
    </w:lvl>
    <w:lvl w:ilvl="5" w:tplc="C83E966E" w:tentative="1">
      <w:start w:val="1"/>
      <w:numFmt w:val="bullet"/>
      <w:lvlText w:val=""/>
      <w:lvlJc w:val="left"/>
      <w:pPr>
        <w:ind w:left="4320" w:hanging="360"/>
      </w:pPr>
      <w:rPr>
        <w:rFonts w:ascii="Wingdings" w:hAnsi="Wingdings" w:hint="default"/>
      </w:rPr>
    </w:lvl>
    <w:lvl w:ilvl="6" w:tplc="8FBECFDE" w:tentative="1">
      <w:start w:val="1"/>
      <w:numFmt w:val="bullet"/>
      <w:lvlText w:val=""/>
      <w:lvlJc w:val="left"/>
      <w:pPr>
        <w:ind w:left="5040" w:hanging="360"/>
      </w:pPr>
      <w:rPr>
        <w:rFonts w:ascii="Symbol" w:hAnsi="Symbol" w:hint="default"/>
      </w:rPr>
    </w:lvl>
    <w:lvl w:ilvl="7" w:tplc="F62EC7E4" w:tentative="1">
      <w:start w:val="1"/>
      <w:numFmt w:val="bullet"/>
      <w:lvlText w:val="o"/>
      <w:lvlJc w:val="left"/>
      <w:pPr>
        <w:ind w:left="5760" w:hanging="360"/>
      </w:pPr>
      <w:rPr>
        <w:rFonts w:ascii="Courier New" w:hAnsi="Courier New" w:hint="default"/>
      </w:rPr>
    </w:lvl>
    <w:lvl w:ilvl="8" w:tplc="1F7C5A06" w:tentative="1">
      <w:start w:val="1"/>
      <w:numFmt w:val="bullet"/>
      <w:lvlText w:val=""/>
      <w:lvlJc w:val="left"/>
      <w:pPr>
        <w:ind w:left="6480" w:hanging="360"/>
      </w:pPr>
      <w:rPr>
        <w:rFonts w:ascii="Wingdings" w:hAnsi="Wingdings" w:hint="default"/>
      </w:rPr>
    </w:lvl>
  </w:abstractNum>
  <w:abstractNum w:abstractNumId="81" w15:restartNumberingAfterBreak="0">
    <w:nsid w:val="0A976E2D"/>
    <w:multiLevelType w:val="hybridMultilevel"/>
    <w:tmpl w:val="F7E6E278"/>
    <w:lvl w:ilvl="0" w:tplc="603440AC">
      <w:start w:val="1"/>
      <w:numFmt w:val="bullet"/>
      <w:lvlText w:val=""/>
      <w:lvlJc w:val="left"/>
      <w:pPr>
        <w:ind w:left="720" w:hanging="360"/>
      </w:pPr>
      <w:rPr>
        <w:rFonts w:ascii="Symbol" w:hAnsi="Symbol" w:hint="default"/>
      </w:rPr>
    </w:lvl>
    <w:lvl w:ilvl="1" w:tplc="9B883056" w:tentative="1">
      <w:start w:val="1"/>
      <w:numFmt w:val="bullet"/>
      <w:lvlText w:val="o"/>
      <w:lvlJc w:val="left"/>
      <w:pPr>
        <w:ind w:left="1440" w:hanging="360"/>
      </w:pPr>
      <w:rPr>
        <w:rFonts w:ascii="Courier New" w:hAnsi="Courier New" w:hint="default"/>
      </w:rPr>
    </w:lvl>
    <w:lvl w:ilvl="2" w:tplc="A0D0C8F0" w:tentative="1">
      <w:start w:val="1"/>
      <w:numFmt w:val="bullet"/>
      <w:lvlText w:val=""/>
      <w:lvlJc w:val="left"/>
      <w:pPr>
        <w:ind w:left="2160" w:hanging="360"/>
      </w:pPr>
      <w:rPr>
        <w:rFonts w:ascii="Wingdings" w:hAnsi="Wingdings" w:hint="default"/>
      </w:rPr>
    </w:lvl>
    <w:lvl w:ilvl="3" w:tplc="34C49C92" w:tentative="1">
      <w:start w:val="1"/>
      <w:numFmt w:val="bullet"/>
      <w:lvlText w:val=""/>
      <w:lvlJc w:val="left"/>
      <w:pPr>
        <w:ind w:left="2880" w:hanging="360"/>
      </w:pPr>
      <w:rPr>
        <w:rFonts w:ascii="Symbol" w:hAnsi="Symbol" w:hint="default"/>
      </w:rPr>
    </w:lvl>
    <w:lvl w:ilvl="4" w:tplc="27506EC6" w:tentative="1">
      <w:start w:val="1"/>
      <w:numFmt w:val="bullet"/>
      <w:lvlText w:val="o"/>
      <w:lvlJc w:val="left"/>
      <w:pPr>
        <w:ind w:left="3600" w:hanging="360"/>
      </w:pPr>
      <w:rPr>
        <w:rFonts w:ascii="Courier New" w:hAnsi="Courier New" w:hint="default"/>
      </w:rPr>
    </w:lvl>
    <w:lvl w:ilvl="5" w:tplc="306C1B06" w:tentative="1">
      <w:start w:val="1"/>
      <w:numFmt w:val="bullet"/>
      <w:lvlText w:val=""/>
      <w:lvlJc w:val="left"/>
      <w:pPr>
        <w:ind w:left="4320" w:hanging="360"/>
      </w:pPr>
      <w:rPr>
        <w:rFonts w:ascii="Wingdings" w:hAnsi="Wingdings" w:hint="default"/>
      </w:rPr>
    </w:lvl>
    <w:lvl w:ilvl="6" w:tplc="12580B60" w:tentative="1">
      <w:start w:val="1"/>
      <w:numFmt w:val="bullet"/>
      <w:lvlText w:val=""/>
      <w:lvlJc w:val="left"/>
      <w:pPr>
        <w:ind w:left="5040" w:hanging="360"/>
      </w:pPr>
      <w:rPr>
        <w:rFonts w:ascii="Symbol" w:hAnsi="Symbol" w:hint="default"/>
      </w:rPr>
    </w:lvl>
    <w:lvl w:ilvl="7" w:tplc="A34064AC" w:tentative="1">
      <w:start w:val="1"/>
      <w:numFmt w:val="bullet"/>
      <w:lvlText w:val="o"/>
      <w:lvlJc w:val="left"/>
      <w:pPr>
        <w:ind w:left="5760" w:hanging="360"/>
      </w:pPr>
      <w:rPr>
        <w:rFonts w:ascii="Courier New" w:hAnsi="Courier New" w:hint="default"/>
      </w:rPr>
    </w:lvl>
    <w:lvl w:ilvl="8" w:tplc="870AEE1E" w:tentative="1">
      <w:start w:val="1"/>
      <w:numFmt w:val="bullet"/>
      <w:lvlText w:val=""/>
      <w:lvlJc w:val="left"/>
      <w:pPr>
        <w:ind w:left="6480" w:hanging="360"/>
      </w:pPr>
      <w:rPr>
        <w:rFonts w:ascii="Wingdings" w:hAnsi="Wingdings" w:hint="default"/>
      </w:rPr>
    </w:lvl>
  </w:abstractNum>
  <w:abstractNum w:abstractNumId="82" w15:restartNumberingAfterBreak="0">
    <w:nsid w:val="0A993B2D"/>
    <w:multiLevelType w:val="multilevel"/>
    <w:tmpl w:val="EA02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AC550A2"/>
    <w:multiLevelType w:val="multilevel"/>
    <w:tmpl w:val="47E0E93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4" w15:restartNumberingAfterBreak="0">
    <w:nsid w:val="0AF16B46"/>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AFC097B"/>
    <w:multiLevelType w:val="multilevel"/>
    <w:tmpl w:val="CD30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B585A73"/>
    <w:multiLevelType w:val="multilevel"/>
    <w:tmpl w:val="606C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0B8C1BF3"/>
    <w:multiLevelType w:val="multilevel"/>
    <w:tmpl w:val="F18A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0BB5405B"/>
    <w:multiLevelType w:val="multilevel"/>
    <w:tmpl w:val="5638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BE92211"/>
    <w:multiLevelType w:val="multilevel"/>
    <w:tmpl w:val="463CF4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0" w15:restartNumberingAfterBreak="0">
    <w:nsid w:val="0C026C30"/>
    <w:multiLevelType w:val="multilevel"/>
    <w:tmpl w:val="86F0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C070B30"/>
    <w:multiLevelType w:val="hybridMultilevel"/>
    <w:tmpl w:val="D5A82D12"/>
    <w:lvl w:ilvl="0" w:tplc="9C3047F4">
      <w:start w:val="1"/>
      <w:numFmt w:val="bullet"/>
      <w:lvlText w:val=""/>
      <w:lvlJc w:val="left"/>
      <w:pPr>
        <w:ind w:left="720" w:hanging="360"/>
      </w:pPr>
      <w:rPr>
        <w:rFonts w:ascii="Symbol" w:hAnsi="Symbol" w:hint="default"/>
      </w:rPr>
    </w:lvl>
    <w:lvl w:ilvl="1" w:tplc="D2A8F600" w:tentative="1">
      <w:start w:val="1"/>
      <w:numFmt w:val="bullet"/>
      <w:lvlText w:val="o"/>
      <w:lvlJc w:val="left"/>
      <w:pPr>
        <w:ind w:left="1440" w:hanging="360"/>
      </w:pPr>
      <w:rPr>
        <w:rFonts w:ascii="Courier New" w:hAnsi="Courier New" w:hint="default"/>
      </w:rPr>
    </w:lvl>
    <w:lvl w:ilvl="2" w:tplc="1E76E90A" w:tentative="1">
      <w:start w:val="1"/>
      <w:numFmt w:val="bullet"/>
      <w:lvlText w:val=""/>
      <w:lvlJc w:val="left"/>
      <w:pPr>
        <w:ind w:left="2160" w:hanging="360"/>
      </w:pPr>
      <w:rPr>
        <w:rFonts w:ascii="Wingdings" w:hAnsi="Wingdings" w:hint="default"/>
      </w:rPr>
    </w:lvl>
    <w:lvl w:ilvl="3" w:tplc="C8C27944" w:tentative="1">
      <w:start w:val="1"/>
      <w:numFmt w:val="bullet"/>
      <w:lvlText w:val=""/>
      <w:lvlJc w:val="left"/>
      <w:pPr>
        <w:ind w:left="2880" w:hanging="360"/>
      </w:pPr>
      <w:rPr>
        <w:rFonts w:ascii="Symbol" w:hAnsi="Symbol" w:hint="default"/>
      </w:rPr>
    </w:lvl>
    <w:lvl w:ilvl="4" w:tplc="A65487BA" w:tentative="1">
      <w:start w:val="1"/>
      <w:numFmt w:val="bullet"/>
      <w:lvlText w:val="o"/>
      <w:lvlJc w:val="left"/>
      <w:pPr>
        <w:ind w:left="3600" w:hanging="360"/>
      </w:pPr>
      <w:rPr>
        <w:rFonts w:ascii="Courier New" w:hAnsi="Courier New" w:hint="default"/>
      </w:rPr>
    </w:lvl>
    <w:lvl w:ilvl="5" w:tplc="6E761D20" w:tentative="1">
      <w:start w:val="1"/>
      <w:numFmt w:val="bullet"/>
      <w:lvlText w:val=""/>
      <w:lvlJc w:val="left"/>
      <w:pPr>
        <w:ind w:left="4320" w:hanging="360"/>
      </w:pPr>
      <w:rPr>
        <w:rFonts w:ascii="Wingdings" w:hAnsi="Wingdings" w:hint="default"/>
      </w:rPr>
    </w:lvl>
    <w:lvl w:ilvl="6" w:tplc="9EFE19F8" w:tentative="1">
      <w:start w:val="1"/>
      <w:numFmt w:val="bullet"/>
      <w:lvlText w:val=""/>
      <w:lvlJc w:val="left"/>
      <w:pPr>
        <w:ind w:left="5040" w:hanging="360"/>
      </w:pPr>
      <w:rPr>
        <w:rFonts w:ascii="Symbol" w:hAnsi="Symbol" w:hint="default"/>
      </w:rPr>
    </w:lvl>
    <w:lvl w:ilvl="7" w:tplc="9EAA6F6E" w:tentative="1">
      <w:start w:val="1"/>
      <w:numFmt w:val="bullet"/>
      <w:lvlText w:val="o"/>
      <w:lvlJc w:val="left"/>
      <w:pPr>
        <w:ind w:left="5760" w:hanging="360"/>
      </w:pPr>
      <w:rPr>
        <w:rFonts w:ascii="Courier New" w:hAnsi="Courier New" w:hint="default"/>
      </w:rPr>
    </w:lvl>
    <w:lvl w:ilvl="8" w:tplc="6FACA9FA" w:tentative="1">
      <w:start w:val="1"/>
      <w:numFmt w:val="bullet"/>
      <w:lvlText w:val=""/>
      <w:lvlJc w:val="left"/>
      <w:pPr>
        <w:ind w:left="6480" w:hanging="360"/>
      </w:pPr>
      <w:rPr>
        <w:rFonts w:ascii="Wingdings" w:hAnsi="Wingdings" w:hint="default"/>
      </w:rPr>
    </w:lvl>
  </w:abstractNum>
  <w:abstractNum w:abstractNumId="92" w15:restartNumberingAfterBreak="0">
    <w:nsid w:val="0C281213"/>
    <w:multiLevelType w:val="multilevel"/>
    <w:tmpl w:val="460C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C455A1A"/>
    <w:multiLevelType w:val="multilevel"/>
    <w:tmpl w:val="B628D3C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94" w15:restartNumberingAfterBreak="0">
    <w:nsid w:val="0C6A7D5C"/>
    <w:multiLevelType w:val="hybridMultilevel"/>
    <w:tmpl w:val="2058486C"/>
    <w:lvl w:ilvl="0" w:tplc="0ED67BB6">
      <w:start w:val="1"/>
      <w:numFmt w:val="bullet"/>
      <w:lvlText w:val=""/>
      <w:lvlJc w:val="left"/>
      <w:pPr>
        <w:ind w:left="720" w:hanging="360"/>
      </w:pPr>
      <w:rPr>
        <w:rFonts w:ascii="Symbol" w:hAnsi="Symbol" w:hint="default"/>
      </w:rPr>
    </w:lvl>
    <w:lvl w:ilvl="1" w:tplc="7C12297E" w:tentative="1">
      <w:start w:val="1"/>
      <w:numFmt w:val="bullet"/>
      <w:lvlText w:val="o"/>
      <w:lvlJc w:val="left"/>
      <w:pPr>
        <w:ind w:left="1440" w:hanging="360"/>
      </w:pPr>
      <w:rPr>
        <w:rFonts w:ascii="Courier New" w:hAnsi="Courier New" w:hint="default"/>
      </w:rPr>
    </w:lvl>
    <w:lvl w:ilvl="2" w:tplc="2AC88B5C" w:tentative="1">
      <w:start w:val="1"/>
      <w:numFmt w:val="bullet"/>
      <w:lvlText w:val=""/>
      <w:lvlJc w:val="left"/>
      <w:pPr>
        <w:ind w:left="2160" w:hanging="360"/>
      </w:pPr>
      <w:rPr>
        <w:rFonts w:ascii="Wingdings" w:hAnsi="Wingdings" w:hint="default"/>
      </w:rPr>
    </w:lvl>
    <w:lvl w:ilvl="3" w:tplc="E37804FA" w:tentative="1">
      <w:start w:val="1"/>
      <w:numFmt w:val="bullet"/>
      <w:lvlText w:val=""/>
      <w:lvlJc w:val="left"/>
      <w:pPr>
        <w:ind w:left="2880" w:hanging="360"/>
      </w:pPr>
      <w:rPr>
        <w:rFonts w:ascii="Symbol" w:hAnsi="Symbol" w:hint="default"/>
      </w:rPr>
    </w:lvl>
    <w:lvl w:ilvl="4" w:tplc="69E876D4" w:tentative="1">
      <w:start w:val="1"/>
      <w:numFmt w:val="bullet"/>
      <w:lvlText w:val="o"/>
      <w:lvlJc w:val="left"/>
      <w:pPr>
        <w:ind w:left="3600" w:hanging="360"/>
      </w:pPr>
      <w:rPr>
        <w:rFonts w:ascii="Courier New" w:hAnsi="Courier New" w:hint="default"/>
      </w:rPr>
    </w:lvl>
    <w:lvl w:ilvl="5" w:tplc="1DF8F98C" w:tentative="1">
      <w:start w:val="1"/>
      <w:numFmt w:val="bullet"/>
      <w:lvlText w:val=""/>
      <w:lvlJc w:val="left"/>
      <w:pPr>
        <w:ind w:left="4320" w:hanging="360"/>
      </w:pPr>
      <w:rPr>
        <w:rFonts w:ascii="Wingdings" w:hAnsi="Wingdings" w:hint="default"/>
      </w:rPr>
    </w:lvl>
    <w:lvl w:ilvl="6" w:tplc="398055E0" w:tentative="1">
      <w:start w:val="1"/>
      <w:numFmt w:val="bullet"/>
      <w:lvlText w:val=""/>
      <w:lvlJc w:val="left"/>
      <w:pPr>
        <w:ind w:left="5040" w:hanging="360"/>
      </w:pPr>
      <w:rPr>
        <w:rFonts w:ascii="Symbol" w:hAnsi="Symbol" w:hint="default"/>
      </w:rPr>
    </w:lvl>
    <w:lvl w:ilvl="7" w:tplc="CBD667C6" w:tentative="1">
      <w:start w:val="1"/>
      <w:numFmt w:val="bullet"/>
      <w:lvlText w:val="o"/>
      <w:lvlJc w:val="left"/>
      <w:pPr>
        <w:ind w:left="5760" w:hanging="360"/>
      </w:pPr>
      <w:rPr>
        <w:rFonts w:ascii="Courier New" w:hAnsi="Courier New" w:hint="default"/>
      </w:rPr>
    </w:lvl>
    <w:lvl w:ilvl="8" w:tplc="82EC2BF0" w:tentative="1">
      <w:start w:val="1"/>
      <w:numFmt w:val="bullet"/>
      <w:lvlText w:val=""/>
      <w:lvlJc w:val="left"/>
      <w:pPr>
        <w:ind w:left="6480" w:hanging="360"/>
      </w:pPr>
      <w:rPr>
        <w:rFonts w:ascii="Wingdings" w:hAnsi="Wingdings" w:hint="default"/>
      </w:rPr>
    </w:lvl>
  </w:abstractNum>
  <w:abstractNum w:abstractNumId="95" w15:restartNumberingAfterBreak="0">
    <w:nsid w:val="0CD33385"/>
    <w:multiLevelType w:val="multilevel"/>
    <w:tmpl w:val="86B0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0CD90740"/>
    <w:multiLevelType w:val="multilevel"/>
    <w:tmpl w:val="B81EE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0CE55E1D"/>
    <w:multiLevelType w:val="multilevel"/>
    <w:tmpl w:val="5EF68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Letter"/>
      <w:lvlText w:val="%3."/>
      <w:lvlJc w:val="left"/>
      <w:pPr>
        <w:ind w:left="2160" w:hanging="360"/>
      </w:p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15:restartNumberingAfterBreak="0">
    <w:nsid w:val="0D5D6B6A"/>
    <w:multiLevelType w:val="multilevel"/>
    <w:tmpl w:val="FD60E526"/>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9" w15:restartNumberingAfterBreak="0">
    <w:nsid w:val="0D6C1DFF"/>
    <w:multiLevelType w:val="hybridMultilevel"/>
    <w:tmpl w:val="3B92E12C"/>
    <w:lvl w:ilvl="0" w:tplc="A664FE0A">
      <w:start w:val="1"/>
      <w:numFmt w:val="bullet"/>
      <w:lvlText w:val=""/>
      <w:lvlJc w:val="left"/>
      <w:pPr>
        <w:ind w:left="720" w:hanging="360"/>
      </w:pPr>
      <w:rPr>
        <w:rFonts w:ascii="Symbol" w:hAnsi="Symbol" w:hint="default"/>
      </w:rPr>
    </w:lvl>
    <w:lvl w:ilvl="1" w:tplc="50DED8FE" w:tentative="1">
      <w:start w:val="1"/>
      <w:numFmt w:val="bullet"/>
      <w:lvlText w:val="o"/>
      <w:lvlJc w:val="left"/>
      <w:pPr>
        <w:ind w:left="1440" w:hanging="360"/>
      </w:pPr>
      <w:rPr>
        <w:rFonts w:ascii="Courier New" w:hAnsi="Courier New" w:hint="default"/>
      </w:rPr>
    </w:lvl>
    <w:lvl w:ilvl="2" w:tplc="3F6A17C2" w:tentative="1">
      <w:start w:val="1"/>
      <w:numFmt w:val="bullet"/>
      <w:lvlText w:val=""/>
      <w:lvlJc w:val="left"/>
      <w:pPr>
        <w:ind w:left="2160" w:hanging="360"/>
      </w:pPr>
      <w:rPr>
        <w:rFonts w:ascii="Wingdings" w:hAnsi="Wingdings" w:hint="default"/>
      </w:rPr>
    </w:lvl>
    <w:lvl w:ilvl="3" w:tplc="E40E8EAE" w:tentative="1">
      <w:start w:val="1"/>
      <w:numFmt w:val="bullet"/>
      <w:lvlText w:val=""/>
      <w:lvlJc w:val="left"/>
      <w:pPr>
        <w:ind w:left="2880" w:hanging="360"/>
      </w:pPr>
      <w:rPr>
        <w:rFonts w:ascii="Symbol" w:hAnsi="Symbol" w:hint="default"/>
      </w:rPr>
    </w:lvl>
    <w:lvl w:ilvl="4" w:tplc="39DE4B18" w:tentative="1">
      <w:start w:val="1"/>
      <w:numFmt w:val="bullet"/>
      <w:lvlText w:val="o"/>
      <w:lvlJc w:val="left"/>
      <w:pPr>
        <w:ind w:left="3600" w:hanging="360"/>
      </w:pPr>
      <w:rPr>
        <w:rFonts w:ascii="Courier New" w:hAnsi="Courier New" w:hint="default"/>
      </w:rPr>
    </w:lvl>
    <w:lvl w:ilvl="5" w:tplc="6CA22228" w:tentative="1">
      <w:start w:val="1"/>
      <w:numFmt w:val="bullet"/>
      <w:lvlText w:val=""/>
      <w:lvlJc w:val="left"/>
      <w:pPr>
        <w:ind w:left="4320" w:hanging="360"/>
      </w:pPr>
      <w:rPr>
        <w:rFonts w:ascii="Wingdings" w:hAnsi="Wingdings" w:hint="default"/>
      </w:rPr>
    </w:lvl>
    <w:lvl w:ilvl="6" w:tplc="BA222DA8" w:tentative="1">
      <w:start w:val="1"/>
      <w:numFmt w:val="bullet"/>
      <w:lvlText w:val=""/>
      <w:lvlJc w:val="left"/>
      <w:pPr>
        <w:ind w:left="5040" w:hanging="360"/>
      </w:pPr>
      <w:rPr>
        <w:rFonts w:ascii="Symbol" w:hAnsi="Symbol" w:hint="default"/>
      </w:rPr>
    </w:lvl>
    <w:lvl w:ilvl="7" w:tplc="D1EE2A86" w:tentative="1">
      <w:start w:val="1"/>
      <w:numFmt w:val="bullet"/>
      <w:lvlText w:val="o"/>
      <w:lvlJc w:val="left"/>
      <w:pPr>
        <w:ind w:left="5760" w:hanging="360"/>
      </w:pPr>
      <w:rPr>
        <w:rFonts w:ascii="Courier New" w:hAnsi="Courier New" w:hint="default"/>
      </w:rPr>
    </w:lvl>
    <w:lvl w:ilvl="8" w:tplc="B2BA20CA" w:tentative="1">
      <w:start w:val="1"/>
      <w:numFmt w:val="bullet"/>
      <w:lvlText w:val=""/>
      <w:lvlJc w:val="left"/>
      <w:pPr>
        <w:ind w:left="6480" w:hanging="360"/>
      </w:pPr>
      <w:rPr>
        <w:rFonts w:ascii="Wingdings" w:hAnsi="Wingdings" w:hint="default"/>
      </w:rPr>
    </w:lvl>
  </w:abstractNum>
  <w:abstractNum w:abstractNumId="100" w15:restartNumberingAfterBreak="0">
    <w:nsid w:val="0DAD54DE"/>
    <w:multiLevelType w:val="hybridMultilevel"/>
    <w:tmpl w:val="37E6BF36"/>
    <w:lvl w:ilvl="0" w:tplc="CE8C5B76">
      <w:start w:val="1"/>
      <w:numFmt w:val="bullet"/>
      <w:lvlText w:val=""/>
      <w:lvlJc w:val="left"/>
      <w:pPr>
        <w:ind w:left="720" w:hanging="360"/>
      </w:pPr>
      <w:rPr>
        <w:rFonts w:ascii="Symbol" w:hAnsi="Symbol" w:hint="default"/>
      </w:rPr>
    </w:lvl>
    <w:lvl w:ilvl="1" w:tplc="4CCA3DCC">
      <w:start w:val="1"/>
      <w:numFmt w:val="bullet"/>
      <w:lvlText w:val="o"/>
      <w:lvlJc w:val="left"/>
      <w:pPr>
        <w:ind w:left="1440" w:hanging="360"/>
      </w:pPr>
      <w:rPr>
        <w:rFonts w:ascii="Courier New" w:hAnsi="Courier New" w:hint="default"/>
      </w:rPr>
    </w:lvl>
    <w:lvl w:ilvl="2" w:tplc="2D72EF72" w:tentative="1">
      <w:start w:val="1"/>
      <w:numFmt w:val="bullet"/>
      <w:lvlText w:val=""/>
      <w:lvlJc w:val="left"/>
      <w:pPr>
        <w:ind w:left="2160" w:hanging="360"/>
      </w:pPr>
      <w:rPr>
        <w:rFonts w:ascii="Wingdings" w:hAnsi="Wingdings" w:hint="default"/>
      </w:rPr>
    </w:lvl>
    <w:lvl w:ilvl="3" w:tplc="7512D4A0" w:tentative="1">
      <w:start w:val="1"/>
      <w:numFmt w:val="bullet"/>
      <w:lvlText w:val=""/>
      <w:lvlJc w:val="left"/>
      <w:pPr>
        <w:ind w:left="2880" w:hanging="360"/>
      </w:pPr>
      <w:rPr>
        <w:rFonts w:ascii="Symbol" w:hAnsi="Symbol" w:hint="default"/>
      </w:rPr>
    </w:lvl>
    <w:lvl w:ilvl="4" w:tplc="96583A6E" w:tentative="1">
      <w:start w:val="1"/>
      <w:numFmt w:val="bullet"/>
      <w:lvlText w:val="o"/>
      <w:lvlJc w:val="left"/>
      <w:pPr>
        <w:ind w:left="3600" w:hanging="360"/>
      </w:pPr>
      <w:rPr>
        <w:rFonts w:ascii="Courier New" w:hAnsi="Courier New" w:hint="default"/>
      </w:rPr>
    </w:lvl>
    <w:lvl w:ilvl="5" w:tplc="124EB95A" w:tentative="1">
      <w:start w:val="1"/>
      <w:numFmt w:val="bullet"/>
      <w:lvlText w:val=""/>
      <w:lvlJc w:val="left"/>
      <w:pPr>
        <w:ind w:left="4320" w:hanging="360"/>
      </w:pPr>
      <w:rPr>
        <w:rFonts w:ascii="Wingdings" w:hAnsi="Wingdings" w:hint="default"/>
      </w:rPr>
    </w:lvl>
    <w:lvl w:ilvl="6" w:tplc="34DA1EAE" w:tentative="1">
      <w:start w:val="1"/>
      <w:numFmt w:val="bullet"/>
      <w:lvlText w:val=""/>
      <w:lvlJc w:val="left"/>
      <w:pPr>
        <w:ind w:left="5040" w:hanging="360"/>
      </w:pPr>
      <w:rPr>
        <w:rFonts w:ascii="Symbol" w:hAnsi="Symbol" w:hint="default"/>
      </w:rPr>
    </w:lvl>
    <w:lvl w:ilvl="7" w:tplc="67B87F3E" w:tentative="1">
      <w:start w:val="1"/>
      <w:numFmt w:val="bullet"/>
      <w:lvlText w:val="o"/>
      <w:lvlJc w:val="left"/>
      <w:pPr>
        <w:ind w:left="5760" w:hanging="360"/>
      </w:pPr>
      <w:rPr>
        <w:rFonts w:ascii="Courier New" w:hAnsi="Courier New" w:hint="default"/>
      </w:rPr>
    </w:lvl>
    <w:lvl w:ilvl="8" w:tplc="D2405E04" w:tentative="1">
      <w:start w:val="1"/>
      <w:numFmt w:val="bullet"/>
      <w:lvlText w:val=""/>
      <w:lvlJc w:val="left"/>
      <w:pPr>
        <w:ind w:left="6480" w:hanging="360"/>
      </w:pPr>
      <w:rPr>
        <w:rFonts w:ascii="Wingdings" w:hAnsi="Wingdings" w:hint="default"/>
      </w:rPr>
    </w:lvl>
  </w:abstractNum>
  <w:abstractNum w:abstractNumId="101" w15:restartNumberingAfterBreak="0">
    <w:nsid w:val="0DEE1E72"/>
    <w:multiLevelType w:val="hybridMultilevel"/>
    <w:tmpl w:val="75BAC3D0"/>
    <w:lvl w:ilvl="0" w:tplc="58BC7722">
      <w:start w:val="1"/>
      <w:numFmt w:val="bullet"/>
      <w:lvlText w:val=""/>
      <w:lvlJc w:val="left"/>
      <w:pPr>
        <w:ind w:left="720" w:hanging="360"/>
      </w:pPr>
      <w:rPr>
        <w:rFonts w:ascii="Symbol" w:hAnsi="Symbol" w:hint="default"/>
      </w:rPr>
    </w:lvl>
    <w:lvl w:ilvl="1" w:tplc="EE8E708E" w:tentative="1">
      <w:start w:val="1"/>
      <w:numFmt w:val="bullet"/>
      <w:lvlText w:val="o"/>
      <w:lvlJc w:val="left"/>
      <w:pPr>
        <w:ind w:left="1440" w:hanging="360"/>
      </w:pPr>
      <w:rPr>
        <w:rFonts w:ascii="Courier New" w:hAnsi="Courier New" w:hint="default"/>
      </w:rPr>
    </w:lvl>
    <w:lvl w:ilvl="2" w:tplc="6CDCABE8" w:tentative="1">
      <w:start w:val="1"/>
      <w:numFmt w:val="bullet"/>
      <w:lvlText w:val=""/>
      <w:lvlJc w:val="left"/>
      <w:pPr>
        <w:ind w:left="2160" w:hanging="360"/>
      </w:pPr>
      <w:rPr>
        <w:rFonts w:ascii="Wingdings" w:hAnsi="Wingdings" w:hint="default"/>
      </w:rPr>
    </w:lvl>
    <w:lvl w:ilvl="3" w:tplc="8B1E8936" w:tentative="1">
      <w:start w:val="1"/>
      <w:numFmt w:val="bullet"/>
      <w:lvlText w:val=""/>
      <w:lvlJc w:val="left"/>
      <w:pPr>
        <w:ind w:left="2880" w:hanging="360"/>
      </w:pPr>
      <w:rPr>
        <w:rFonts w:ascii="Symbol" w:hAnsi="Symbol" w:hint="default"/>
      </w:rPr>
    </w:lvl>
    <w:lvl w:ilvl="4" w:tplc="6B680F86" w:tentative="1">
      <w:start w:val="1"/>
      <w:numFmt w:val="bullet"/>
      <w:lvlText w:val="o"/>
      <w:lvlJc w:val="left"/>
      <w:pPr>
        <w:ind w:left="3600" w:hanging="360"/>
      </w:pPr>
      <w:rPr>
        <w:rFonts w:ascii="Courier New" w:hAnsi="Courier New" w:hint="default"/>
      </w:rPr>
    </w:lvl>
    <w:lvl w:ilvl="5" w:tplc="C574794C" w:tentative="1">
      <w:start w:val="1"/>
      <w:numFmt w:val="bullet"/>
      <w:lvlText w:val=""/>
      <w:lvlJc w:val="left"/>
      <w:pPr>
        <w:ind w:left="4320" w:hanging="360"/>
      </w:pPr>
      <w:rPr>
        <w:rFonts w:ascii="Wingdings" w:hAnsi="Wingdings" w:hint="default"/>
      </w:rPr>
    </w:lvl>
    <w:lvl w:ilvl="6" w:tplc="D29082B0" w:tentative="1">
      <w:start w:val="1"/>
      <w:numFmt w:val="bullet"/>
      <w:lvlText w:val=""/>
      <w:lvlJc w:val="left"/>
      <w:pPr>
        <w:ind w:left="5040" w:hanging="360"/>
      </w:pPr>
      <w:rPr>
        <w:rFonts w:ascii="Symbol" w:hAnsi="Symbol" w:hint="default"/>
      </w:rPr>
    </w:lvl>
    <w:lvl w:ilvl="7" w:tplc="FF0C1908" w:tentative="1">
      <w:start w:val="1"/>
      <w:numFmt w:val="bullet"/>
      <w:lvlText w:val="o"/>
      <w:lvlJc w:val="left"/>
      <w:pPr>
        <w:ind w:left="5760" w:hanging="360"/>
      </w:pPr>
      <w:rPr>
        <w:rFonts w:ascii="Courier New" w:hAnsi="Courier New" w:hint="default"/>
      </w:rPr>
    </w:lvl>
    <w:lvl w:ilvl="8" w:tplc="8D4ABF34" w:tentative="1">
      <w:start w:val="1"/>
      <w:numFmt w:val="bullet"/>
      <w:lvlText w:val=""/>
      <w:lvlJc w:val="left"/>
      <w:pPr>
        <w:ind w:left="6480" w:hanging="360"/>
      </w:pPr>
      <w:rPr>
        <w:rFonts w:ascii="Wingdings" w:hAnsi="Wingdings" w:hint="default"/>
      </w:rPr>
    </w:lvl>
  </w:abstractNum>
  <w:abstractNum w:abstractNumId="102" w15:restartNumberingAfterBreak="0">
    <w:nsid w:val="0E0758A0"/>
    <w:multiLevelType w:val="multilevel"/>
    <w:tmpl w:val="9314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0E087F47"/>
    <w:multiLevelType w:val="multilevel"/>
    <w:tmpl w:val="135C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0E2E2C26"/>
    <w:multiLevelType w:val="multilevel"/>
    <w:tmpl w:val="F20A2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0E6743CE"/>
    <w:multiLevelType w:val="multilevel"/>
    <w:tmpl w:val="E908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E6A2456"/>
    <w:multiLevelType w:val="hybridMultilevel"/>
    <w:tmpl w:val="3846534A"/>
    <w:lvl w:ilvl="0" w:tplc="0AA81A70">
      <w:start w:val="1"/>
      <w:numFmt w:val="bullet"/>
      <w:lvlText w:val=""/>
      <w:lvlJc w:val="left"/>
      <w:pPr>
        <w:ind w:left="720" w:hanging="360"/>
      </w:pPr>
      <w:rPr>
        <w:rFonts w:ascii="Symbol" w:hAnsi="Symbol" w:hint="default"/>
      </w:rPr>
    </w:lvl>
    <w:lvl w:ilvl="1" w:tplc="B468A6FA" w:tentative="1">
      <w:start w:val="1"/>
      <w:numFmt w:val="bullet"/>
      <w:lvlText w:val="o"/>
      <w:lvlJc w:val="left"/>
      <w:pPr>
        <w:ind w:left="1440" w:hanging="360"/>
      </w:pPr>
      <w:rPr>
        <w:rFonts w:ascii="Courier New" w:hAnsi="Courier New" w:hint="default"/>
      </w:rPr>
    </w:lvl>
    <w:lvl w:ilvl="2" w:tplc="602042AA" w:tentative="1">
      <w:start w:val="1"/>
      <w:numFmt w:val="bullet"/>
      <w:lvlText w:val=""/>
      <w:lvlJc w:val="left"/>
      <w:pPr>
        <w:ind w:left="2160" w:hanging="360"/>
      </w:pPr>
      <w:rPr>
        <w:rFonts w:ascii="Wingdings" w:hAnsi="Wingdings" w:hint="default"/>
      </w:rPr>
    </w:lvl>
    <w:lvl w:ilvl="3" w:tplc="D1460648" w:tentative="1">
      <w:start w:val="1"/>
      <w:numFmt w:val="bullet"/>
      <w:lvlText w:val=""/>
      <w:lvlJc w:val="left"/>
      <w:pPr>
        <w:ind w:left="2880" w:hanging="360"/>
      </w:pPr>
      <w:rPr>
        <w:rFonts w:ascii="Symbol" w:hAnsi="Symbol" w:hint="default"/>
      </w:rPr>
    </w:lvl>
    <w:lvl w:ilvl="4" w:tplc="324AA98C" w:tentative="1">
      <w:start w:val="1"/>
      <w:numFmt w:val="bullet"/>
      <w:lvlText w:val="o"/>
      <w:lvlJc w:val="left"/>
      <w:pPr>
        <w:ind w:left="3600" w:hanging="360"/>
      </w:pPr>
      <w:rPr>
        <w:rFonts w:ascii="Courier New" w:hAnsi="Courier New" w:hint="default"/>
      </w:rPr>
    </w:lvl>
    <w:lvl w:ilvl="5" w:tplc="E1A89B80" w:tentative="1">
      <w:start w:val="1"/>
      <w:numFmt w:val="bullet"/>
      <w:lvlText w:val=""/>
      <w:lvlJc w:val="left"/>
      <w:pPr>
        <w:ind w:left="4320" w:hanging="360"/>
      </w:pPr>
      <w:rPr>
        <w:rFonts w:ascii="Wingdings" w:hAnsi="Wingdings" w:hint="default"/>
      </w:rPr>
    </w:lvl>
    <w:lvl w:ilvl="6" w:tplc="0D48E1D6" w:tentative="1">
      <w:start w:val="1"/>
      <w:numFmt w:val="bullet"/>
      <w:lvlText w:val=""/>
      <w:lvlJc w:val="left"/>
      <w:pPr>
        <w:ind w:left="5040" w:hanging="360"/>
      </w:pPr>
      <w:rPr>
        <w:rFonts w:ascii="Symbol" w:hAnsi="Symbol" w:hint="default"/>
      </w:rPr>
    </w:lvl>
    <w:lvl w:ilvl="7" w:tplc="518A8662" w:tentative="1">
      <w:start w:val="1"/>
      <w:numFmt w:val="bullet"/>
      <w:lvlText w:val="o"/>
      <w:lvlJc w:val="left"/>
      <w:pPr>
        <w:ind w:left="5760" w:hanging="360"/>
      </w:pPr>
      <w:rPr>
        <w:rFonts w:ascii="Courier New" w:hAnsi="Courier New" w:hint="default"/>
      </w:rPr>
    </w:lvl>
    <w:lvl w:ilvl="8" w:tplc="E5E63090" w:tentative="1">
      <w:start w:val="1"/>
      <w:numFmt w:val="bullet"/>
      <w:lvlText w:val=""/>
      <w:lvlJc w:val="left"/>
      <w:pPr>
        <w:ind w:left="6480" w:hanging="360"/>
      </w:pPr>
      <w:rPr>
        <w:rFonts w:ascii="Wingdings" w:hAnsi="Wingdings" w:hint="default"/>
      </w:rPr>
    </w:lvl>
  </w:abstractNum>
  <w:abstractNum w:abstractNumId="107" w15:restartNumberingAfterBreak="0">
    <w:nsid w:val="0E9D4472"/>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0EAC08CE"/>
    <w:multiLevelType w:val="hybridMultilevel"/>
    <w:tmpl w:val="D09EF5CC"/>
    <w:lvl w:ilvl="0" w:tplc="8E34E936">
      <w:start w:val="1"/>
      <w:numFmt w:val="bullet"/>
      <w:lvlText w:val=""/>
      <w:lvlJc w:val="left"/>
      <w:pPr>
        <w:ind w:left="720" w:hanging="360"/>
      </w:pPr>
      <w:rPr>
        <w:rFonts w:ascii="Symbol" w:hAnsi="Symbol" w:hint="default"/>
      </w:rPr>
    </w:lvl>
    <w:lvl w:ilvl="1" w:tplc="4E54602A" w:tentative="1">
      <w:start w:val="1"/>
      <w:numFmt w:val="bullet"/>
      <w:lvlText w:val="o"/>
      <w:lvlJc w:val="left"/>
      <w:pPr>
        <w:ind w:left="1440" w:hanging="360"/>
      </w:pPr>
      <w:rPr>
        <w:rFonts w:ascii="Courier New" w:hAnsi="Courier New" w:hint="default"/>
      </w:rPr>
    </w:lvl>
    <w:lvl w:ilvl="2" w:tplc="AAD06284" w:tentative="1">
      <w:start w:val="1"/>
      <w:numFmt w:val="bullet"/>
      <w:lvlText w:val=""/>
      <w:lvlJc w:val="left"/>
      <w:pPr>
        <w:ind w:left="2160" w:hanging="360"/>
      </w:pPr>
      <w:rPr>
        <w:rFonts w:ascii="Wingdings" w:hAnsi="Wingdings" w:hint="default"/>
      </w:rPr>
    </w:lvl>
    <w:lvl w:ilvl="3" w:tplc="F92A8022" w:tentative="1">
      <w:start w:val="1"/>
      <w:numFmt w:val="bullet"/>
      <w:lvlText w:val=""/>
      <w:lvlJc w:val="left"/>
      <w:pPr>
        <w:ind w:left="2880" w:hanging="360"/>
      </w:pPr>
      <w:rPr>
        <w:rFonts w:ascii="Symbol" w:hAnsi="Symbol" w:hint="default"/>
      </w:rPr>
    </w:lvl>
    <w:lvl w:ilvl="4" w:tplc="1C74F87C" w:tentative="1">
      <w:start w:val="1"/>
      <w:numFmt w:val="bullet"/>
      <w:lvlText w:val="o"/>
      <w:lvlJc w:val="left"/>
      <w:pPr>
        <w:ind w:left="3600" w:hanging="360"/>
      </w:pPr>
      <w:rPr>
        <w:rFonts w:ascii="Courier New" w:hAnsi="Courier New" w:hint="default"/>
      </w:rPr>
    </w:lvl>
    <w:lvl w:ilvl="5" w:tplc="4ABEB1DC" w:tentative="1">
      <w:start w:val="1"/>
      <w:numFmt w:val="bullet"/>
      <w:lvlText w:val=""/>
      <w:lvlJc w:val="left"/>
      <w:pPr>
        <w:ind w:left="4320" w:hanging="360"/>
      </w:pPr>
      <w:rPr>
        <w:rFonts w:ascii="Wingdings" w:hAnsi="Wingdings" w:hint="default"/>
      </w:rPr>
    </w:lvl>
    <w:lvl w:ilvl="6" w:tplc="D5745218" w:tentative="1">
      <w:start w:val="1"/>
      <w:numFmt w:val="bullet"/>
      <w:lvlText w:val=""/>
      <w:lvlJc w:val="left"/>
      <w:pPr>
        <w:ind w:left="5040" w:hanging="360"/>
      </w:pPr>
      <w:rPr>
        <w:rFonts w:ascii="Symbol" w:hAnsi="Symbol" w:hint="default"/>
      </w:rPr>
    </w:lvl>
    <w:lvl w:ilvl="7" w:tplc="B32663F4" w:tentative="1">
      <w:start w:val="1"/>
      <w:numFmt w:val="bullet"/>
      <w:lvlText w:val="o"/>
      <w:lvlJc w:val="left"/>
      <w:pPr>
        <w:ind w:left="5760" w:hanging="360"/>
      </w:pPr>
      <w:rPr>
        <w:rFonts w:ascii="Courier New" w:hAnsi="Courier New" w:hint="default"/>
      </w:rPr>
    </w:lvl>
    <w:lvl w:ilvl="8" w:tplc="1DAEFFC8" w:tentative="1">
      <w:start w:val="1"/>
      <w:numFmt w:val="bullet"/>
      <w:lvlText w:val=""/>
      <w:lvlJc w:val="left"/>
      <w:pPr>
        <w:ind w:left="6480" w:hanging="360"/>
      </w:pPr>
      <w:rPr>
        <w:rFonts w:ascii="Wingdings" w:hAnsi="Wingdings" w:hint="default"/>
      </w:rPr>
    </w:lvl>
  </w:abstractNum>
  <w:abstractNum w:abstractNumId="109" w15:restartNumberingAfterBreak="0">
    <w:nsid w:val="0EC12B44"/>
    <w:multiLevelType w:val="hybridMultilevel"/>
    <w:tmpl w:val="B118648E"/>
    <w:lvl w:ilvl="0" w:tplc="A9801EC6">
      <w:start w:val="1"/>
      <w:numFmt w:val="bullet"/>
      <w:lvlText w:val=""/>
      <w:lvlJc w:val="left"/>
      <w:pPr>
        <w:ind w:left="720" w:hanging="360"/>
      </w:pPr>
      <w:rPr>
        <w:rFonts w:ascii="Symbol" w:hAnsi="Symbol" w:hint="default"/>
      </w:rPr>
    </w:lvl>
    <w:lvl w:ilvl="1" w:tplc="023ADAEA" w:tentative="1">
      <w:start w:val="1"/>
      <w:numFmt w:val="bullet"/>
      <w:lvlText w:val="o"/>
      <w:lvlJc w:val="left"/>
      <w:pPr>
        <w:ind w:left="1440" w:hanging="360"/>
      </w:pPr>
      <w:rPr>
        <w:rFonts w:ascii="Courier New" w:hAnsi="Courier New" w:hint="default"/>
      </w:rPr>
    </w:lvl>
    <w:lvl w:ilvl="2" w:tplc="D8FAA192" w:tentative="1">
      <w:start w:val="1"/>
      <w:numFmt w:val="bullet"/>
      <w:lvlText w:val=""/>
      <w:lvlJc w:val="left"/>
      <w:pPr>
        <w:ind w:left="2160" w:hanging="360"/>
      </w:pPr>
      <w:rPr>
        <w:rFonts w:ascii="Wingdings" w:hAnsi="Wingdings" w:hint="default"/>
      </w:rPr>
    </w:lvl>
    <w:lvl w:ilvl="3" w:tplc="D0C497EA" w:tentative="1">
      <w:start w:val="1"/>
      <w:numFmt w:val="bullet"/>
      <w:lvlText w:val=""/>
      <w:lvlJc w:val="left"/>
      <w:pPr>
        <w:ind w:left="2880" w:hanging="360"/>
      </w:pPr>
      <w:rPr>
        <w:rFonts w:ascii="Symbol" w:hAnsi="Symbol" w:hint="default"/>
      </w:rPr>
    </w:lvl>
    <w:lvl w:ilvl="4" w:tplc="86AE2732" w:tentative="1">
      <w:start w:val="1"/>
      <w:numFmt w:val="bullet"/>
      <w:lvlText w:val="o"/>
      <w:lvlJc w:val="left"/>
      <w:pPr>
        <w:ind w:left="3600" w:hanging="360"/>
      </w:pPr>
      <w:rPr>
        <w:rFonts w:ascii="Courier New" w:hAnsi="Courier New" w:hint="default"/>
      </w:rPr>
    </w:lvl>
    <w:lvl w:ilvl="5" w:tplc="094E4B6A" w:tentative="1">
      <w:start w:val="1"/>
      <w:numFmt w:val="bullet"/>
      <w:lvlText w:val=""/>
      <w:lvlJc w:val="left"/>
      <w:pPr>
        <w:ind w:left="4320" w:hanging="360"/>
      </w:pPr>
      <w:rPr>
        <w:rFonts w:ascii="Wingdings" w:hAnsi="Wingdings" w:hint="default"/>
      </w:rPr>
    </w:lvl>
    <w:lvl w:ilvl="6" w:tplc="95F427EA" w:tentative="1">
      <w:start w:val="1"/>
      <w:numFmt w:val="bullet"/>
      <w:lvlText w:val=""/>
      <w:lvlJc w:val="left"/>
      <w:pPr>
        <w:ind w:left="5040" w:hanging="360"/>
      </w:pPr>
      <w:rPr>
        <w:rFonts w:ascii="Symbol" w:hAnsi="Symbol" w:hint="default"/>
      </w:rPr>
    </w:lvl>
    <w:lvl w:ilvl="7" w:tplc="BD063698" w:tentative="1">
      <w:start w:val="1"/>
      <w:numFmt w:val="bullet"/>
      <w:lvlText w:val="o"/>
      <w:lvlJc w:val="left"/>
      <w:pPr>
        <w:ind w:left="5760" w:hanging="360"/>
      </w:pPr>
      <w:rPr>
        <w:rFonts w:ascii="Courier New" w:hAnsi="Courier New" w:hint="default"/>
      </w:rPr>
    </w:lvl>
    <w:lvl w:ilvl="8" w:tplc="C144FA90" w:tentative="1">
      <w:start w:val="1"/>
      <w:numFmt w:val="bullet"/>
      <w:lvlText w:val=""/>
      <w:lvlJc w:val="left"/>
      <w:pPr>
        <w:ind w:left="6480" w:hanging="360"/>
      </w:pPr>
      <w:rPr>
        <w:rFonts w:ascii="Wingdings" w:hAnsi="Wingdings" w:hint="default"/>
      </w:rPr>
    </w:lvl>
  </w:abstractNum>
  <w:abstractNum w:abstractNumId="110" w15:restartNumberingAfterBreak="0">
    <w:nsid w:val="0EC84FCA"/>
    <w:multiLevelType w:val="hybridMultilevel"/>
    <w:tmpl w:val="71E2869E"/>
    <w:lvl w:ilvl="0" w:tplc="1E9247EE">
      <w:numFmt w:val="bullet"/>
      <w:lvlText w:val="•"/>
      <w:lvlJc w:val="left"/>
      <w:pPr>
        <w:ind w:left="720" w:hanging="360"/>
      </w:pPr>
      <w:rPr>
        <w:rFonts w:ascii="Aptos" w:hAnsi="Aptos" w:hint="default"/>
      </w:rPr>
    </w:lvl>
    <w:lvl w:ilvl="1" w:tplc="D31C83E0" w:tentative="1">
      <w:start w:val="1"/>
      <w:numFmt w:val="bullet"/>
      <w:lvlText w:val="o"/>
      <w:lvlJc w:val="left"/>
      <w:pPr>
        <w:ind w:left="1800" w:hanging="360"/>
      </w:pPr>
      <w:rPr>
        <w:rFonts w:ascii="Courier New" w:hAnsi="Courier New" w:hint="default"/>
      </w:rPr>
    </w:lvl>
    <w:lvl w:ilvl="2" w:tplc="C812F118" w:tentative="1">
      <w:start w:val="1"/>
      <w:numFmt w:val="bullet"/>
      <w:lvlText w:val=""/>
      <w:lvlJc w:val="left"/>
      <w:pPr>
        <w:ind w:left="2520" w:hanging="360"/>
      </w:pPr>
      <w:rPr>
        <w:rFonts w:ascii="Wingdings" w:hAnsi="Wingdings" w:hint="default"/>
      </w:rPr>
    </w:lvl>
    <w:lvl w:ilvl="3" w:tplc="A9B62BD2" w:tentative="1">
      <w:start w:val="1"/>
      <w:numFmt w:val="bullet"/>
      <w:lvlText w:val=""/>
      <w:lvlJc w:val="left"/>
      <w:pPr>
        <w:ind w:left="3240" w:hanging="360"/>
      </w:pPr>
      <w:rPr>
        <w:rFonts w:ascii="Symbol" w:hAnsi="Symbol" w:hint="default"/>
      </w:rPr>
    </w:lvl>
    <w:lvl w:ilvl="4" w:tplc="7E341298" w:tentative="1">
      <w:start w:val="1"/>
      <w:numFmt w:val="bullet"/>
      <w:lvlText w:val="o"/>
      <w:lvlJc w:val="left"/>
      <w:pPr>
        <w:ind w:left="3960" w:hanging="360"/>
      </w:pPr>
      <w:rPr>
        <w:rFonts w:ascii="Courier New" w:hAnsi="Courier New" w:hint="default"/>
      </w:rPr>
    </w:lvl>
    <w:lvl w:ilvl="5" w:tplc="AF1662B2" w:tentative="1">
      <w:start w:val="1"/>
      <w:numFmt w:val="bullet"/>
      <w:lvlText w:val=""/>
      <w:lvlJc w:val="left"/>
      <w:pPr>
        <w:ind w:left="4680" w:hanging="360"/>
      </w:pPr>
      <w:rPr>
        <w:rFonts w:ascii="Wingdings" w:hAnsi="Wingdings" w:hint="default"/>
      </w:rPr>
    </w:lvl>
    <w:lvl w:ilvl="6" w:tplc="C3CCFB86" w:tentative="1">
      <w:start w:val="1"/>
      <w:numFmt w:val="bullet"/>
      <w:lvlText w:val=""/>
      <w:lvlJc w:val="left"/>
      <w:pPr>
        <w:ind w:left="5400" w:hanging="360"/>
      </w:pPr>
      <w:rPr>
        <w:rFonts w:ascii="Symbol" w:hAnsi="Symbol" w:hint="default"/>
      </w:rPr>
    </w:lvl>
    <w:lvl w:ilvl="7" w:tplc="0C72B714" w:tentative="1">
      <w:start w:val="1"/>
      <w:numFmt w:val="bullet"/>
      <w:lvlText w:val="o"/>
      <w:lvlJc w:val="left"/>
      <w:pPr>
        <w:ind w:left="6120" w:hanging="360"/>
      </w:pPr>
      <w:rPr>
        <w:rFonts w:ascii="Courier New" w:hAnsi="Courier New" w:hint="default"/>
      </w:rPr>
    </w:lvl>
    <w:lvl w:ilvl="8" w:tplc="FF32D65E" w:tentative="1">
      <w:start w:val="1"/>
      <w:numFmt w:val="bullet"/>
      <w:lvlText w:val=""/>
      <w:lvlJc w:val="left"/>
      <w:pPr>
        <w:ind w:left="6840" w:hanging="360"/>
      </w:pPr>
      <w:rPr>
        <w:rFonts w:ascii="Wingdings" w:hAnsi="Wingdings" w:hint="default"/>
      </w:rPr>
    </w:lvl>
  </w:abstractNum>
  <w:abstractNum w:abstractNumId="111" w15:restartNumberingAfterBreak="0">
    <w:nsid w:val="0EF92626"/>
    <w:multiLevelType w:val="multilevel"/>
    <w:tmpl w:val="C900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0F096E71"/>
    <w:multiLevelType w:val="hybridMultilevel"/>
    <w:tmpl w:val="874E1E40"/>
    <w:lvl w:ilvl="0" w:tplc="51D498F0">
      <w:start w:val="1"/>
      <w:numFmt w:val="bullet"/>
      <w:lvlText w:val=""/>
      <w:lvlJc w:val="left"/>
      <w:pPr>
        <w:ind w:left="720" w:hanging="360"/>
      </w:pPr>
      <w:rPr>
        <w:rFonts w:ascii="Symbol" w:hAnsi="Symbol" w:hint="default"/>
      </w:rPr>
    </w:lvl>
    <w:lvl w:ilvl="1" w:tplc="B540F38E" w:tentative="1">
      <w:start w:val="1"/>
      <w:numFmt w:val="bullet"/>
      <w:lvlText w:val="o"/>
      <w:lvlJc w:val="left"/>
      <w:pPr>
        <w:ind w:left="1440" w:hanging="360"/>
      </w:pPr>
      <w:rPr>
        <w:rFonts w:ascii="Courier New" w:hAnsi="Courier New" w:hint="default"/>
      </w:rPr>
    </w:lvl>
    <w:lvl w:ilvl="2" w:tplc="43326922" w:tentative="1">
      <w:start w:val="1"/>
      <w:numFmt w:val="bullet"/>
      <w:lvlText w:val=""/>
      <w:lvlJc w:val="left"/>
      <w:pPr>
        <w:ind w:left="2160" w:hanging="360"/>
      </w:pPr>
      <w:rPr>
        <w:rFonts w:ascii="Wingdings" w:hAnsi="Wingdings" w:hint="default"/>
      </w:rPr>
    </w:lvl>
    <w:lvl w:ilvl="3" w:tplc="C6A8BD18" w:tentative="1">
      <w:start w:val="1"/>
      <w:numFmt w:val="bullet"/>
      <w:lvlText w:val=""/>
      <w:lvlJc w:val="left"/>
      <w:pPr>
        <w:ind w:left="2880" w:hanging="360"/>
      </w:pPr>
      <w:rPr>
        <w:rFonts w:ascii="Symbol" w:hAnsi="Symbol" w:hint="default"/>
      </w:rPr>
    </w:lvl>
    <w:lvl w:ilvl="4" w:tplc="E7BE256C" w:tentative="1">
      <w:start w:val="1"/>
      <w:numFmt w:val="bullet"/>
      <w:lvlText w:val="o"/>
      <w:lvlJc w:val="left"/>
      <w:pPr>
        <w:ind w:left="3600" w:hanging="360"/>
      </w:pPr>
      <w:rPr>
        <w:rFonts w:ascii="Courier New" w:hAnsi="Courier New" w:hint="default"/>
      </w:rPr>
    </w:lvl>
    <w:lvl w:ilvl="5" w:tplc="0F84B0C0" w:tentative="1">
      <w:start w:val="1"/>
      <w:numFmt w:val="bullet"/>
      <w:lvlText w:val=""/>
      <w:lvlJc w:val="left"/>
      <w:pPr>
        <w:ind w:left="4320" w:hanging="360"/>
      </w:pPr>
      <w:rPr>
        <w:rFonts w:ascii="Wingdings" w:hAnsi="Wingdings" w:hint="default"/>
      </w:rPr>
    </w:lvl>
    <w:lvl w:ilvl="6" w:tplc="41CA5328" w:tentative="1">
      <w:start w:val="1"/>
      <w:numFmt w:val="bullet"/>
      <w:lvlText w:val=""/>
      <w:lvlJc w:val="left"/>
      <w:pPr>
        <w:ind w:left="5040" w:hanging="360"/>
      </w:pPr>
      <w:rPr>
        <w:rFonts w:ascii="Symbol" w:hAnsi="Symbol" w:hint="default"/>
      </w:rPr>
    </w:lvl>
    <w:lvl w:ilvl="7" w:tplc="893C57CE" w:tentative="1">
      <w:start w:val="1"/>
      <w:numFmt w:val="bullet"/>
      <w:lvlText w:val="o"/>
      <w:lvlJc w:val="left"/>
      <w:pPr>
        <w:ind w:left="5760" w:hanging="360"/>
      </w:pPr>
      <w:rPr>
        <w:rFonts w:ascii="Courier New" w:hAnsi="Courier New" w:hint="default"/>
      </w:rPr>
    </w:lvl>
    <w:lvl w:ilvl="8" w:tplc="F09E7E42" w:tentative="1">
      <w:start w:val="1"/>
      <w:numFmt w:val="bullet"/>
      <w:lvlText w:val=""/>
      <w:lvlJc w:val="left"/>
      <w:pPr>
        <w:ind w:left="6480" w:hanging="360"/>
      </w:pPr>
      <w:rPr>
        <w:rFonts w:ascii="Wingdings" w:hAnsi="Wingdings" w:hint="default"/>
      </w:rPr>
    </w:lvl>
  </w:abstractNum>
  <w:abstractNum w:abstractNumId="113" w15:restartNumberingAfterBreak="0">
    <w:nsid w:val="0F166282"/>
    <w:multiLevelType w:val="multilevel"/>
    <w:tmpl w:val="A490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0F3A4BCC"/>
    <w:multiLevelType w:val="multilevel"/>
    <w:tmpl w:val="3D22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0F4F72D3"/>
    <w:multiLevelType w:val="multilevel"/>
    <w:tmpl w:val="B1187396"/>
    <w:lvl w:ilvl="0">
      <w:start w:val="7"/>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16" w15:restartNumberingAfterBreak="0">
    <w:nsid w:val="0F51380B"/>
    <w:multiLevelType w:val="hybridMultilevel"/>
    <w:tmpl w:val="65DC2F96"/>
    <w:lvl w:ilvl="0" w:tplc="FFCA6D30">
      <w:start w:val="1"/>
      <w:numFmt w:val="bullet"/>
      <w:lvlText w:val=""/>
      <w:lvlJc w:val="left"/>
      <w:pPr>
        <w:ind w:left="720" w:hanging="360"/>
      </w:pPr>
      <w:rPr>
        <w:rFonts w:ascii="Symbol" w:hAnsi="Symbol" w:hint="default"/>
      </w:rPr>
    </w:lvl>
    <w:lvl w:ilvl="1" w:tplc="536A91D8" w:tentative="1">
      <w:start w:val="1"/>
      <w:numFmt w:val="bullet"/>
      <w:lvlText w:val="o"/>
      <w:lvlJc w:val="left"/>
      <w:pPr>
        <w:ind w:left="1440" w:hanging="360"/>
      </w:pPr>
      <w:rPr>
        <w:rFonts w:ascii="Courier New" w:hAnsi="Courier New" w:hint="default"/>
      </w:rPr>
    </w:lvl>
    <w:lvl w:ilvl="2" w:tplc="86F6290C" w:tentative="1">
      <w:start w:val="1"/>
      <w:numFmt w:val="bullet"/>
      <w:lvlText w:val=""/>
      <w:lvlJc w:val="left"/>
      <w:pPr>
        <w:ind w:left="2160" w:hanging="360"/>
      </w:pPr>
      <w:rPr>
        <w:rFonts w:ascii="Wingdings" w:hAnsi="Wingdings" w:hint="default"/>
      </w:rPr>
    </w:lvl>
    <w:lvl w:ilvl="3" w:tplc="FA0C605E" w:tentative="1">
      <w:start w:val="1"/>
      <w:numFmt w:val="bullet"/>
      <w:lvlText w:val=""/>
      <w:lvlJc w:val="left"/>
      <w:pPr>
        <w:ind w:left="2880" w:hanging="360"/>
      </w:pPr>
      <w:rPr>
        <w:rFonts w:ascii="Symbol" w:hAnsi="Symbol" w:hint="default"/>
      </w:rPr>
    </w:lvl>
    <w:lvl w:ilvl="4" w:tplc="91B8B5BE" w:tentative="1">
      <w:start w:val="1"/>
      <w:numFmt w:val="bullet"/>
      <w:lvlText w:val="o"/>
      <w:lvlJc w:val="left"/>
      <w:pPr>
        <w:ind w:left="3600" w:hanging="360"/>
      </w:pPr>
      <w:rPr>
        <w:rFonts w:ascii="Courier New" w:hAnsi="Courier New" w:hint="default"/>
      </w:rPr>
    </w:lvl>
    <w:lvl w:ilvl="5" w:tplc="DF64BC38" w:tentative="1">
      <w:start w:val="1"/>
      <w:numFmt w:val="bullet"/>
      <w:lvlText w:val=""/>
      <w:lvlJc w:val="left"/>
      <w:pPr>
        <w:ind w:left="4320" w:hanging="360"/>
      </w:pPr>
      <w:rPr>
        <w:rFonts w:ascii="Wingdings" w:hAnsi="Wingdings" w:hint="default"/>
      </w:rPr>
    </w:lvl>
    <w:lvl w:ilvl="6" w:tplc="42EA7F48" w:tentative="1">
      <w:start w:val="1"/>
      <w:numFmt w:val="bullet"/>
      <w:lvlText w:val=""/>
      <w:lvlJc w:val="left"/>
      <w:pPr>
        <w:ind w:left="5040" w:hanging="360"/>
      </w:pPr>
      <w:rPr>
        <w:rFonts w:ascii="Symbol" w:hAnsi="Symbol" w:hint="default"/>
      </w:rPr>
    </w:lvl>
    <w:lvl w:ilvl="7" w:tplc="8990FFD8" w:tentative="1">
      <w:start w:val="1"/>
      <w:numFmt w:val="bullet"/>
      <w:lvlText w:val="o"/>
      <w:lvlJc w:val="left"/>
      <w:pPr>
        <w:ind w:left="5760" w:hanging="360"/>
      </w:pPr>
      <w:rPr>
        <w:rFonts w:ascii="Courier New" w:hAnsi="Courier New" w:hint="default"/>
      </w:rPr>
    </w:lvl>
    <w:lvl w:ilvl="8" w:tplc="CB3E8228" w:tentative="1">
      <w:start w:val="1"/>
      <w:numFmt w:val="bullet"/>
      <w:lvlText w:val=""/>
      <w:lvlJc w:val="left"/>
      <w:pPr>
        <w:ind w:left="6480" w:hanging="360"/>
      </w:pPr>
      <w:rPr>
        <w:rFonts w:ascii="Wingdings" w:hAnsi="Wingdings" w:hint="default"/>
      </w:rPr>
    </w:lvl>
  </w:abstractNum>
  <w:abstractNum w:abstractNumId="117" w15:restartNumberingAfterBreak="0">
    <w:nsid w:val="0F69601A"/>
    <w:multiLevelType w:val="multilevel"/>
    <w:tmpl w:val="0050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0FD63423"/>
    <w:multiLevelType w:val="multilevel"/>
    <w:tmpl w:val="B656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03566FD"/>
    <w:multiLevelType w:val="multilevel"/>
    <w:tmpl w:val="898C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0356FB0"/>
    <w:multiLevelType w:val="multilevel"/>
    <w:tmpl w:val="DF4E762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1" w15:restartNumberingAfterBreak="0">
    <w:nsid w:val="10A1119B"/>
    <w:multiLevelType w:val="hybridMultilevel"/>
    <w:tmpl w:val="44748294"/>
    <w:lvl w:ilvl="0" w:tplc="03AC5E3C">
      <w:start w:val="1"/>
      <w:numFmt w:val="bullet"/>
      <w:lvlText w:val=""/>
      <w:lvlJc w:val="left"/>
      <w:pPr>
        <w:ind w:left="720" w:hanging="360"/>
      </w:pPr>
      <w:rPr>
        <w:rFonts w:ascii="Symbol" w:hAnsi="Symbol" w:hint="default"/>
      </w:rPr>
    </w:lvl>
    <w:lvl w:ilvl="1" w:tplc="BBBEF676" w:tentative="1">
      <w:start w:val="1"/>
      <w:numFmt w:val="bullet"/>
      <w:lvlText w:val="o"/>
      <w:lvlJc w:val="left"/>
      <w:pPr>
        <w:ind w:left="1440" w:hanging="360"/>
      </w:pPr>
      <w:rPr>
        <w:rFonts w:ascii="Courier New" w:hAnsi="Courier New" w:hint="default"/>
      </w:rPr>
    </w:lvl>
    <w:lvl w:ilvl="2" w:tplc="975E6B28" w:tentative="1">
      <w:start w:val="1"/>
      <w:numFmt w:val="bullet"/>
      <w:lvlText w:val=""/>
      <w:lvlJc w:val="left"/>
      <w:pPr>
        <w:ind w:left="2160" w:hanging="360"/>
      </w:pPr>
      <w:rPr>
        <w:rFonts w:ascii="Wingdings" w:hAnsi="Wingdings" w:hint="default"/>
      </w:rPr>
    </w:lvl>
    <w:lvl w:ilvl="3" w:tplc="4FBC34D0" w:tentative="1">
      <w:start w:val="1"/>
      <w:numFmt w:val="bullet"/>
      <w:lvlText w:val=""/>
      <w:lvlJc w:val="left"/>
      <w:pPr>
        <w:ind w:left="2880" w:hanging="360"/>
      </w:pPr>
      <w:rPr>
        <w:rFonts w:ascii="Symbol" w:hAnsi="Symbol" w:hint="default"/>
      </w:rPr>
    </w:lvl>
    <w:lvl w:ilvl="4" w:tplc="8E7A60F6" w:tentative="1">
      <w:start w:val="1"/>
      <w:numFmt w:val="bullet"/>
      <w:lvlText w:val="o"/>
      <w:lvlJc w:val="left"/>
      <w:pPr>
        <w:ind w:left="3600" w:hanging="360"/>
      </w:pPr>
      <w:rPr>
        <w:rFonts w:ascii="Courier New" w:hAnsi="Courier New" w:hint="default"/>
      </w:rPr>
    </w:lvl>
    <w:lvl w:ilvl="5" w:tplc="190AD96C" w:tentative="1">
      <w:start w:val="1"/>
      <w:numFmt w:val="bullet"/>
      <w:lvlText w:val=""/>
      <w:lvlJc w:val="left"/>
      <w:pPr>
        <w:ind w:left="4320" w:hanging="360"/>
      </w:pPr>
      <w:rPr>
        <w:rFonts w:ascii="Wingdings" w:hAnsi="Wingdings" w:hint="default"/>
      </w:rPr>
    </w:lvl>
    <w:lvl w:ilvl="6" w:tplc="B4C431E2" w:tentative="1">
      <w:start w:val="1"/>
      <w:numFmt w:val="bullet"/>
      <w:lvlText w:val=""/>
      <w:lvlJc w:val="left"/>
      <w:pPr>
        <w:ind w:left="5040" w:hanging="360"/>
      </w:pPr>
      <w:rPr>
        <w:rFonts w:ascii="Symbol" w:hAnsi="Symbol" w:hint="default"/>
      </w:rPr>
    </w:lvl>
    <w:lvl w:ilvl="7" w:tplc="127EBC6A" w:tentative="1">
      <w:start w:val="1"/>
      <w:numFmt w:val="bullet"/>
      <w:lvlText w:val="o"/>
      <w:lvlJc w:val="left"/>
      <w:pPr>
        <w:ind w:left="5760" w:hanging="360"/>
      </w:pPr>
      <w:rPr>
        <w:rFonts w:ascii="Courier New" w:hAnsi="Courier New" w:hint="default"/>
      </w:rPr>
    </w:lvl>
    <w:lvl w:ilvl="8" w:tplc="A4C48664" w:tentative="1">
      <w:start w:val="1"/>
      <w:numFmt w:val="bullet"/>
      <w:lvlText w:val=""/>
      <w:lvlJc w:val="left"/>
      <w:pPr>
        <w:ind w:left="6480" w:hanging="360"/>
      </w:pPr>
      <w:rPr>
        <w:rFonts w:ascii="Wingdings" w:hAnsi="Wingdings" w:hint="default"/>
      </w:rPr>
    </w:lvl>
  </w:abstractNum>
  <w:abstractNum w:abstractNumId="122" w15:restartNumberingAfterBreak="0">
    <w:nsid w:val="10BD5A48"/>
    <w:multiLevelType w:val="multilevel"/>
    <w:tmpl w:val="8B3C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0CB76AF"/>
    <w:multiLevelType w:val="multilevel"/>
    <w:tmpl w:val="DB9C9AC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24" w15:restartNumberingAfterBreak="0">
    <w:nsid w:val="112F7124"/>
    <w:multiLevelType w:val="multilevel"/>
    <w:tmpl w:val="9FDC424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5" w15:restartNumberingAfterBreak="0">
    <w:nsid w:val="114A7176"/>
    <w:multiLevelType w:val="hybridMultilevel"/>
    <w:tmpl w:val="3294C5F0"/>
    <w:lvl w:ilvl="0" w:tplc="63AE686E">
      <w:start w:val="1"/>
      <w:numFmt w:val="bullet"/>
      <w:lvlText w:val=""/>
      <w:lvlJc w:val="left"/>
      <w:pPr>
        <w:ind w:left="720" w:hanging="360"/>
      </w:pPr>
      <w:rPr>
        <w:rFonts w:ascii="Symbol" w:hAnsi="Symbol" w:hint="default"/>
      </w:rPr>
    </w:lvl>
    <w:lvl w:ilvl="1" w:tplc="B8646862" w:tentative="1">
      <w:start w:val="1"/>
      <w:numFmt w:val="bullet"/>
      <w:lvlText w:val="o"/>
      <w:lvlJc w:val="left"/>
      <w:pPr>
        <w:ind w:left="1440" w:hanging="360"/>
      </w:pPr>
      <w:rPr>
        <w:rFonts w:ascii="Courier New" w:hAnsi="Courier New" w:hint="default"/>
      </w:rPr>
    </w:lvl>
    <w:lvl w:ilvl="2" w:tplc="04AC9D98" w:tentative="1">
      <w:start w:val="1"/>
      <w:numFmt w:val="bullet"/>
      <w:lvlText w:val=""/>
      <w:lvlJc w:val="left"/>
      <w:pPr>
        <w:ind w:left="2160" w:hanging="360"/>
      </w:pPr>
      <w:rPr>
        <w:rFonts w:ascii="Wingdings" w:hAnsi="Wingdings" w:hint="default"/>
      </w:rPr>
    </w:lvl>
    <w:lvl w:ilvl="3" w:tplc="62083054" w:tentative="1">
      <w:start w:val="1"/>
      <w:numFmt w:val="bullet"/>
      <w:lvlText w:val=""/>
      <w:lvlJc w:val="left"/>
      <w:pPr>
        <w:ind w:left="2880" w:hanging="360"/>
      </w:pPr>
      <w:rPr>
        <w:rFonts w:ascii="Symbol" w:hAnsi="Symbol" w:hint="default"/>
      </w:rPr>
    </w:lvl>
    <w:lvl w:ilvl="4" w:tplc="57688484" w:tentative="1">
      <w:start w:val="1"/>
      <w:numFmt w:val="bullet"/>
      <w:lvlText w:val="o"/>
      <w:lvlJc w:val="left"/>
      <w:pPr>
        <w:ind w:left="3600" w:hanging="360"/>
      </w:pPr>
      <w:rPr>
        <w:rFonts w:ascii="Courier New" w:hAnsi="Courier New" w:hint="default"/>
      </w:rPr>
    </w:lvl>
    <w:lvl w:ilvl="5" w:tplc="65C2414A" w:tentative="1">
      <w:start w:val="1"/>
      <w:numFmt w:val="bullet"/>
      <w:lvlText w:val=""/>
      <w:lvlJc w:val="left"/>
      <w:pPr>
        <w:ind w:left="4320" w:hanging="360"/>
      </w:pPr>
      <w:rPr>
        <w:rFonts w:ascii="Wingdings" w:hAnsi="Wingdings" w:hint="default"/>
      </w:rPr>
    </w:lvl>
    <w:lvl w:ilvl="6" w:tplc="24369C8E" w:tentative="1">
      <w:start w:val="1"/>
      <w:numFmt w:val="bullet"/>
      <w:lvlText w:val=""/>
      <w:lvlJc w:val="left"/>
      <w:pPr>
        <w:ind w:left="5040" w:hanging="360"/>
      </w:pPr>
      <w:rPr>
        <w:rFonts w:ascii="Symbol" w:hAnsi="Symbol" w:hint="default"/>
      </w:rPr>
    </w:lvl>
    <w:lvl w:ilvl="7" w:tplc="72464E30" w:tentative="1">
      <w:start w:val="1"/>
      <w:numFmt w:val="bullet"/>
      <w:lvlText w:val="o"/>
      <w:lvlJc w:val="left"/>
      <w:pPr>
        <w:ind w:left="5760" w:hanging="360"/>
      </w:pPr>
      <w:rPr>
        <w:rFonts w:ascii="Courier New" w:hAnsi="Courier New" w:hint="default"/>
      </w:rPr>
    </w:lvl>
    <w:lvl w:ilvl="8" w:tplc="E7680738" w:tentative="1">
      <w:start w:val="1"/>
      <w:numFmt w:val="bullet"/>
      <w:lvlText w:val=""/>
      <w:lvlJc w:val="left"/>
      <w:pPr>
        <w:ind w:left="6480" w:hanging="360"/>
      </w:pPr>
      <w:rPr>
        <w:rFonts w:ascii="Wingdings" w:hAnsi="Wingdings" w:hint="default"/>
      </w:rPr>
    </w:lvl>
  </w:abstractNum>
  <w:abstractNum w:abstractNumId="126" w15:restartNumberingAfterBreak="0">
    <w:nsid w:val="116508FA"/>
    <w:multiLevelType w:val="multilevel"/>
    <w:tmpl w:val="1ABE66AE"/>
    <w:lvl w:ilvl="0">
      <w:start w:val="5"/>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127" w15:restartNumberingAfterBreak="0">
    <w:nsid w:val="120E4F82"/>
    <w:multiLevelType w:val="multilevel"/>
    <w:tmpl w:val="E0DA9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22243D0"/>
    <w:multiLevelType w:val="multilevel"/>
    <w:tmpl w:val="B07AC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2366124"/>
    <w:multiLevelType w:val="hybridMultilevel"/>
    <w:tmpl w:val="E7E2913A"/>
    <w:lvl w:ilvl="0" w:tplc="6C78D384">
      <w:start w:val="1"/>
      <w:numFmt w:val="bullet"/>
      <w:lvlText w:val=""/>
      <w:lvlJc w:val="left"/>
      <w:pPr>
        <w:ind w:left="720" w:hanging="360"/>
      </w:pPr>
      <w:rPr>
        <w:rFonts w:ascii="Symbol" w:hAnsi="Symbol" w:hint="default"/>
      </w:rPr>
    </w:lvl>
    <w:lvl w:ilvl="1" w:tplc="18FCB9EE">
      <w:start w:val="1"/>
      <w:numFmt w:val="bullet"/>
      <w:lvlText w:val="o"/>
      <w:lvlJc w:val="left"/>
      <w:pPr>
        <w:ind w:left="1440" w:hanging="360"/>
      </w:pPr>
      <w:rPr>
        <w:rFonts w:ascii="Courier New" w:hAnsi="Courier New" w:hint="default"/>
      </w:rPr>
    </w:lvl>
    <w:lvl w:ilvl="2" w:tplc="62D04DC0" w:tentative="1">
      <w:start w:val="1"/>
      <w:numFmt w:val="bullet"/>
      <w:lvlText w:val=""/>
      <w:lvlJc w:val="left"/>
      <w:pPr>
        <w:ind w:left="2160" w:hanging="360"/>
      </w:pPr>
      <w:rPr>
        <w:rFonts w:ascii="Wingdings" w:hAnsi="Wingdings" w:hint="default"/>
      </w:rPr>
    </w:lvl>
    <w:lvl w:ilvl="3" w:tplc="1B2EFA84" w:tentative="1">
      <w:start w:val="1"/>
      <w:numFmt w:val="bullet"/>
      <w:lvlText w:val=""/>
      <w:lvlJc w:val="left"/>
      <w:pPr>
        <w:ind w:left="2880" w:hanging="360"/>
      </w:pPr>
      <w:rPr>
        <w:rFonts w:ascii="Symbol" w:hAnsi="Symbol" w:hint="default"/>
      </w:rPr>
    </w:lvl>
    <w:lvl w:ilvl="4" w:tplc="4D06584C" w:tentative="1">
      <w:start w:val="1"/>
      <w:numFmt w:val="bullet"/>
      <w:lvlText w:val="o"/>
      <w:lvlJc w:val="left"/>
      <w:pPr>
        <w:ind w:left="3600" w:hanging="360"/>
      </w:pPr>
      <w:rPr>
        <w:rFonts w:ascii="Courier New" w:hAnsi="Courier New" w:hint="default"/>
      </w:rPr>
    </w:lvl>
    <w:lvl w:ilvl="5" w:tplc="DB4A4512" w:tentative="1">
      <w:start w:val="1"/>
      <w:numFmt w:val="bullet"/>
      <w:lvlText w:val=""/>
      <w:lvlJc w:val="left"/>
      <w:pPr>
        <w:ind w:left="4320" w:hanging="360"/>
      </w:pPr>
      <w:rPr>
        <w:rFonts w:ascii="Wingdings" w:hAnsi="Wingdings" w:hint="default"/>
      </w:rPr>
    </w:lvl>
    <w:lvl w:ilvl="6" w:tplc="1C2ABE80" w:tentative="1">
      <w:start w:val="1"/>
      <w:numFmt w:val="bullet"/>
      <w:lvlText w:val=""/>
      <w:lvlJc w:val="left"/>
      <w:pPr>
        <w:ind w:left="5040" w:hanging="360"/>
      </w:pPr>
      <w:rPr>
        <w:rFonts w:ascii="Symbol" w:hAnsi="Symbol" w:hint="default"/>
      </w:rPr>
    </w:lvl>
    <w:lvl w:ilvl="7" w:tplc="CEA071EE" w:tentative="1">
      <w:start w:val="1"/>
      <w:numFmt w:val="bullet"/>
      <w:lvlText w:val="o"/>
      <w:lvlJc w:val="left"/>
      <w:pPr>
        <w:ind w:left="5760" w:hanging="360"/>
      </w:pPr>
      <w:rPr>
        <w:rFonts w:ascii="Courier New" w:hAnsi="Courier New" w:hint="default"/>
      </w:rPr>
    </w:lvl>
    <w:lvl w:ilvl="8" w:tplc="4F247256" w:tentative="1">
      <w:start w:val="1"/>
      <w:numFmt w:val="bullet"/>
      <w:lvlText w:val=""/>
      <w:lvlJc w:val="left"/>
      <w:pPr>
        <w:ind w:left="6480" w:hanging="360"/>
      </w:pPr>
      <w:rPr>
        <w:rFonts w:ascii="Wingdings" w:hAnsi="Wingdings" w:hint="default"/>
      </w:rPr>
    </w:lvl>
  </w:abstractNum>
  <w:abstractNum w:abstractNumId="130" w15:restartNumberingAfterBreak="0">
    <w:nsid w:val="125A3387"/>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127F3D27"/>
    <w:multiLevelType w:val="multilevel"/>
    <w:tmpl w:val="64AC91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2876970"/>
    <w:multiLevelType w:val="multilevel"/>
    <w:tmpl w:val="5BAC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2C96CC3"/>
    <w:multiLevelType w:val="multilevel"/>
    <w:tmpl w:val="53C2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2CB3227"/>
    <w:multiLevelType w:val="multilevel"/>
    <w:tmpl w:val="083C3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2D34DDA"/>
    <w:multiLevelType w:val="multilevel"/>
    <w:tmpl w:val="E6F8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2F33943"/>
    <w:multiLevelType w:val="multilevel"/>
    <w:tmpl w:val="F22AE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3217A3A"/>
    <w:multiLevelType w:val="multilevel"/>
    <w:tmpl w:val="C67894D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38" w15:restartNumberingAfterBreak="0">
    <w:nsid w:val="1331025B"/>
    <w:multiLevelType w:val="multilevel"/>
    <w:tmpl w:val="00783D58"/>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9" w15:restartNumberingAfterBreak="0">
    <w:nsid w:val="133B79BA"/>
    <w:multiLevelType w:val="multilevel"/>
    <w:tmpl w:val="4E2E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37A6ABF"/>
    <w:multiLevelType w:val="multilevel"/>
    <w:tmpl w:val="EF98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37E6D24"/>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13892E93"/>
    <w:multiLevelType w:val="multilevel"/>
    <w:tmpl w:val="E858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38A4F31"/>
    <w:multiLevelType w:val="multilevel"/>
    <w:tmpl w:val="9FB09DE8"/>
    <w:lvl w:ilvl="0">
      <w:start w:val="3"/>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144" w15:restartNumberingAfterBreak="0">
    <w:nsid w:val="13C34133"/>
    <w:multiLevelType w:val="hybridMultilevel"/>
    <w:tmpl w:val="3CB452D8"/>
    <w:lvl w:ilvl="0" w:tplc="994A410A">
      <w:numFmt w:val="bullet"/>
      <w:lvlText w:val="•"/>
      <w:lvlJc w:val="left"/>
      <w:pPr>
        <w:ind w:left="720" w:hanging="360"/>
      </w:pPr>
      <w:rPr>
        <w:rFonts w:ascii="Aptos" w:hAnsi="Aptos" w:hint="default"/>
      </w:rPr>
    </w:lvl>
    <w:lvl w:ilvl="1" w:tplc="70DE8AA2" w:tentative="1">
      <w:start w:val="1"/>
      <w:numFmt w:val="bullet"/>
      <w:lvlText w:val="o"/>
      <w:lvlJc w:val="left"/>
      <w:pPr>
        <w:ind w:left="1800" w:hanging="360"/>
      </w:pPr>
      <w:rPr>
        <w:rFonts w:ascii="Courier New" w:hAnsi="Courier New" w:hint="default"/>
      </w:rPr>
    </w:lvl>
    <w:lvl w:ilvl="2" w:tplc="0BA87762" w:tentative="1">
      <w:start w:val="1"/>
      <w:numFmt w:val="bullet"/>
      <w:lvlText w:val=""/>
      <w:lvlJc w:val="left"/>
      <w:pPr>
        <w:ind w:left="2520" w:hanging="360"/>
      </w:pPr>
      <w:rPr>
        <w:rFonts w:ascii="Wingdings" w:hAnsi="Wingdings" w:hint="default"/>
      </w:rPr>
    </w:lvl>
    <w:lvl w:ilvl="3" w:tplc="47E6C732" w:tentative="1">
      <w:start w:val="1"/>
      <w:numFmt w:val="bullet"/>
      <w:lvlText w:val=""/>
      <w:lvlJc w:val="left"/>
      <w:pPr>
        <w:ind w:left="3240" w:hanging="360"/>
      </w:pPr>
      <w:rPr>
        <w:rFonts w:ascii="Symbol" w:hAnsi="Symbol" w:hint="default"/>
      </w:rPr>
    </w:lvl>
    <w:lvl w:ilvl="4" w:tplc="57AE2CA8" w:tentative="1">
      <w:start w:val="1"/>
      <w:numFmt w:val="bullet"/>
      <w:lvlText w:val="o"/>
      <w:lvlJc w:val="left"/>
      <w:pPr>
        <w:ind w:left="3960" w:hanging="360"/>
      </w:pPr>
      <w:rPr>
        <w:rFonts w:ascii="Courier New" w:hAnsi="Courier New" w:hint="default"/>
      </w:rPr>
    </w:lvl>
    <w:lvl w:ilvl="5" w:tplc="73F4D4EA" w:tentative="1">
      <w:start w:val="1"/>
      <w:numFmt w:val="bullet"/>
      <w:lvlText w:val=""/>
      <w:lvlJc w:val="left"/>
      <w:pPr>
        <w:ind w:left="4680" w:hanging="360"/>
      </w:pPr>
      <w:rPr>
        <w:rFonts w:ascii="Wingdings" w:hAnsi="Wingdings" w:hint="default"/>
      </w:rPr>
    </w:lvl>
    <w:lvl w:ilvl="6" w:tplc="B3602264" w:tentative="1">
      <w:start w:val="1"/>
      <w:numFmt w:val="bullet"/>
      <w:lvlText w:val=""/>
      <w:lvlJc w:val="left"/>
      <w:pPr>
        <w:ind w:left="5400" w:hanging="360"/>
      </w:pPr>
      <w:rPr>
        <w:rFonts w:ascii="Symbol" w:hAnsi="Symbol" w:hint="default"/>
      </w:rPr>
    </w:lvl>
    <w:lvl w:ilvl="7" w:tplc="ACB29FC0" w:tentative="1">
      <w:start w:val="1"/>
      <w:numFmt w:val="bullet"/>
      <w:lvlText w:val="o"/>
      <w:lvlJc w:val="left"/>
      <w:pPr>
        <w:ind w:left="6120" w:hanging="360"/>
      </w:pPr>
      <w:rPr>
        <w:rFonts w:ascii="Courier New" w:hAnsi="Courier New" w:hint="default"/>
      </w:rPr>
    </w:lvl>
    <w:lvl w:ilvl="8" w:tplc="2B6C5810" w:tentative="1">
      <w:start w:val="1"/>
      <w:numFmt w:val="bullet"/>
      <w:lvlText w:val=""/>
      <w:lvlJc w:val="left"/>
      <w:pPr>
        <w:ind w:left="6840" w:hanging="360"/>
      </w:pPr>
      <w:rPr>
        <w:rFonts w:ascii="Wingdings" w:hAnsi="Wingdings" w:hint="default"/>
      </w:rPr>
    </w:lvl>
  </w:abstractNum>
  <w:abstractNum w:abstractNumId="145" w15:restartNumberingAfterBreak="0">
    <w:nsid w:val="13C8033E"/>
    <w:multiLevelType w:val="multilevel"/>
    <w:tmpl w:val="0686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3E73B25"/>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144A06BF"/>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8" w15:restartNumberingAfterBreak="0">
    <w:nsid w:val="14873ADE"/>
    <w:multiLevelType w:val="multilevel"/>
    <w:tmpl w:val="2C7C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49431BF"/>
    <w:multiLevelType w:val="multilevel"/>
    <w:tmpl w:val="483A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49E1582"/>
    <w:multiLevelType w:val="multilevel"/>
    <w:tmpl w:val="90BC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4A5351C"/>
    <w:multiLevelType w:val="multilevel"/>
    <w:tmpl w:val="837A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4AE05CC"/>
    <w:multiLevelType w:val="multilevel"/>
    <w:tmpl w:val="4AA073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3" w15:restartNumberingAfterBreak="0">
    <w:nsid w:val="14AE0662"/>
    <w:multiLevelType w:val="multilevel"/>
    <w:tmpl w:val="322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4BE0207"/>
    <w:multiLevelType w:val="multilevel"/>
    <w:tmpl w:val="0B7E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50B6EA8"/>
    <w:multiLevelType w:val="multilevel"/>
    <w:tmpl w:val="0192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151E50DE"/>
    <w:multiLevelType w:val="multilevel"/>
    <w:tmpl w:val="26FE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52866BB"/>
    <w:multiLevelType w:val="multilevel"/>
    <w:tmpl w:val="BEAC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15576D87"/>
    <w:multiLevelType w:val="multilevel"/>
    <w:tmpl w:val="3836D4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15650AD4"/>
    <w:multiLevelType w:val="hybridMultilevel"/>
    <w:tmpl w:val="47EED244"/>
    <w:lvl w:ilvl="0" w:tplc="A2E00E10">
      <w:start w:val="1"/>
      <w:numFmt w:val="bullet"/>
      <w:lvlText w:val=""/>
      <w:lvlJc w:val="left"/>
      <w:pPr>
        <w:ind w:left="720" w:hanging="360"/>
      </w:pPr>
      <w:rPr>
        <w:rFonts w:ascii="Symbol" w:hAnsi="Symbol" w:hint="default"/>
      </w:rPr>
    </w:lvl>
    <w:lvl w:ilvl="1" w:tplc="E3E2D848">
      <w:start w:val="1"/>
      <w:numFmt w:val="bullet"/>
      <w:lvlText w:val="o"/>
      <w:lvlJc w:val="left"/>
      <w:pPr>
        <w:ind w:left="1440" w:hanging="360"/>
      </w:pPr>
      <w:rPr>
        <w:rFonts w:ascii="Courier New" w:hAnsi="Courier New" w:hint="default"/>
      </w:rPr>
    </w:lvl>
    <w:lvl w:ilvl="2" w:tplc="F7D0B226" w:tentative="1">
      <w:start w:val="1"/>
      <w:numFmt w:val="bullet"/>
      <w:lvlText w:val=""/>
      <w:lvlJc w:val="left"/>
      <w:pPr>
        <w:ind w:left="2160" w:hanging="360"/>
      </w:pPr>
      <w:rPr>
        <w:rFonts w:ascii="Wingdings" w:hAnsi="Wingdings" w:hint="default"/>
      </w:rPr>
    </w:lvl>
    <w:lvl w:ilvl="3" w:tplc="D8DABEC4" w:tentative="1">
      <w:start w:val="1"/>
      <w:numFmt w:val="bullet"/>
      <w:lvlText w:val=""/>
      <w:lvlJc w:val="left"/>
      <w:pPr>
        <w:ind w:left="2880" w:hanging="360"/>
      </w:pPr>
      <w:rPr>
        <w:rFonts w:ascii="Symbol" w:hAnsi="Symbol" w:hint="default"/>
      </w:rPr>
    </w:lvl>
    <w:lvl w:ilvl="4" w:tplc="1380632E" w:tentative="1">
      <w:start w:val="1"/>
      <w:numFmt w:val="bullet"/>
      <w:lvlText w:val="o"/>
      <w:lvlJc w:val="left"/>
      <w:pPr>
        <w:ind w:left="3600" w:hanging="360"/>
      </w:pPr>
      <w:rPr>
        <w:rFonts w:ascii="Courier New" w:hAnsi="Courier New" w:hint="default"/>
      </w:rPr>
    </w:lvl>
    <w:lvl w:ilvl="5" w:tplc="699CF226" w:tentative="1">
      <w:start w:val="1"/>
      <w:numFmt w:val="bullet"/>
      <w:lvlText w:val=""/>
      <w:lvlJc w:val="left"/>
      <w:pPr>
        <w:ind w:left="4320" w:hanging="360"/>
      </w:pPr>
      <w:rPr>
        <w:rFonts w:ascii="Wingdings" w:hAnsi="Wingdings" w:hint="default"/>
      </w:rPr>
    </w:lvl>
    <w:lvl w:ilvl="6" w:tplc="63FC5268" w:tentative="1">
      <w:start w:val="1"/>
      <w:numFmt w:val="bullet"/>
      <w:lvlText w:val=""/>
      <w:lvlJc w:val="left"/>
      <w:pPr>
        <w:ind w:left="5040" w:hanging="360"/>
      </w:pPr>
      <w:rPr>
        <w:rFonts w:ascii="Symbol" w:hAnsi="Symbol" w:hint="default"/>
      </w:rPr>
    </w:lvl>
    <w:lvl w:ilvl="7" w:tplc="CFB036FA" w:tentative="1">
      <w:start w:val="1"/>
      <w:numFmt w:val="bullet"/>
      <w:lvlText w:val="o"/>
      <w:lvlJc w:val="left"/>
      <w:pPr>
        <w:ind w:left="5760" w:hanging="360"/>
      </w:pPr>
      <w:rPr>
        <w:rFonts w:ascii="Courier New" w:hAnsi="Courier New" w:hint="default"/>
      </w:rPr>
    </w:lvl>
    <w:lvl w:ilvl="8" w:tplc="7AE62BF4" w:tentative="1">
      <w:start w:val="1"/>
      <w:numFmt w:val="bullet"/>
      <w:lvlText w:val=""/>
      <w:lvlJc w:val="left"/>
      <w:pPr>
        <w:ind w:left="6480" w:hanging="360"/>
      </w:pPr>
      <w:rPr>
        <w:rFonts w:ascii="Wingdings" w:hAnsi="Wingdings" w:hint="default"/>
      </w:rPr>
    </w:lvl>
  </w:abstractNum>
  <w:abstractNum w:abstractNumId="160" w15:restartNumberingAfterBreak="0">
    <w:nsid w:val="15784B5B"/>
    <w:multiLevelType w:val="hybridMultilevel"/>
    <w:tmpl w:val="F4981C36"/>
    <w:lvl w:ilvl="0" w:tplc="7B68B7EE">
      <w:start w:val="1"/>
      <w:numFmt w:val="bullet"/>
      <w:lvlText w:val=""/>
      <w:lvlJc w:val="left"/>
      <w:pPr>
        <w:ind w:left="720" w:hanging="360"/>
      </w:pPr>
      <w:rPr>
        <w:rFonts w:ascii="Symbol" w:hAnsi="Symbol" w:hint="default"/>
      </w:rPr>
    </w:lvl>
    <w:lvl w:ilvl="1" w:tplc="AFB6725E" w:tentative="1">
      <w:start w:val="1"/>
      <w:numFmt w:val="bullet"/>
      <w:lvlText w:val="o"/>
      <w:lvlJc w:val="left"/>
      <w:pPr>
        <w:ind w:left="1440" w:hanging="360"/>
      </w:pPr>
      <w:rPr>
        <w:rFonts w:ascii="Courier New" w:hAnsi="Courier New" w:hint="default"/>
      </w:rPr>
    </w:lvl>
    <w:lvl w:ilvl="2" w:tplc="F4867D1C" w:tentative="1">
      <w:start w:val="1"/>
      <w:numFmt w:val="bullet"/>
      <w:lvlText w:val=""/>
      <w:lvlJc w:val="left"/>
      <w:pPr>
        <w:ind w:left="2160" w:hanging="360"/>
      </w:pPr>
      <w:rPr>
        <w:rFonts w:ascii="Wingdings" w:hAnsi="Wingdings" w:hint="default"/>
      </w:rPr>
    </w:lvl>
    <w:lvl w:ilvl="3" w:tplc="3AF0901A" w:tentative="1">
      <w:start w:val="1"/>
      <w:numFmt w:val="bullet"/>
      <w:lvlText w:val=""/>
      <w:lvlJc w:val="left"/>
      <w:pPr>
        <w:ind w:left="2880" w:hanging="360"/>
      </w:pPr>
      <w:rPr>
        <w:rFonts w:ascii="Symbol" w:hAnsi="Symbol" w:hint="default"/>
      </w:rPr>
    </w:lvl>
    <w:lvl w:ilvl="4" w:tplc="C83C2554" w:tentative="1">
      <w:start w:val="1"/>
      <w:numFmt w:val="bullet"/>
      <w:lvlText w:val="o"/>
      <w:lvlJc w:val="left"/>
      <w:pPr>
        <w:ind w:left="3600" w:hanging="360"/>
      </w:pPr>
      <w:rPr>
        <w:rFonts w:ascii="Courier New" w:hAnsi="Courier New" w:hint="default"/>
      </w:rPr>
    </w:lvl>
    <w:lvl w:ilvl="5" w:tplc="8A86C34C" w:tentative="1">
      <w:start w:val="1"/>
      <w:numFmt w:val="bullet"/>
      <w:lvlText w:val=""/>
      <w:lvlJc w:val="left"/>
      <w:pPr>
        <w:ind w:left="4320" w:hanging="360"/>
      </w:pPr>
      <w:rPr>
        <w:rFonts w:ascii="Wingdings" w:hAnsi="Wingdings" w:hint="default"/>
      </w:rPr>
    </w:lvl>
    <w:lvl w:ilvl="6" w:tplc="BB064FDC" w:tentative="1">
      <w:start w:val="1"/>
      <w:numFmt w:val="bullet"/>
      <w:lvlText w:val=""/>
      <w:lvlJc w:val="left"/>
      <w:pPr>
        <w:ind w:left="5040" w:hanging="360"/>
      </w:pPr>
      <w:rPr>
        <w:rFonts w:ascii="Symbol" w:hAnsi="Symbol" w:hint="default"/>
      </w:rPr>
    </w:lvl>
    <w:lvl w:ilvl="7" w:tplc="39725D7A" w:tentative="1">
      <w:start w:val="1"/>
      <w:numFmt w:val="bullet"/>
      <w:lvlText w:val="o"/>
      <w:lvlJc w:val="left"/>
      <w:pPr>
        <w:ind w:left="5760" w:hanging="360"/>
      </w:pPr>
      <w:rPr>
        <w:rFonts w:ascii="Courier New" w:hAnsi="Courier New" w:hint="default"/>
      </w:rPr>
    </w:lvl>
    <w:lvl w:ilvl="8" w:tplc="A3FC8038" w:tentative="1">
      <w:start w:val="1"/>
      <w:numFmt w:val="bullet"/>
      <w:lvlText w:val=""/>
      <w:lvlJc w:val="left"/>
      <w:pPr>
        <w:ind w:left="6480" w:hanging="360"/>
      </w:pPr>
      <w:rPr>
        <w:rFonts w:ascii="Wingdings" w:hAnsi="Wingdings" w:hint="default"/>
      </w:rPr>
    </w:lvl>
  </w:abstractNum>
  <w:abstractNum w:abstractNumId="161" w15:restartNumberingAfterBreak="0">
    <w:nsid w:val="15D426DC"/>
    <w:multiLevelType w:val="multilevel"/>
    <w:tmpl w:val="F1F4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5EF1B23"/>
    <w:multiLevelType w:val="multilevel"/>
    <w:tmpl w:val="9A80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6404B83"/>
    <w:multiLevelType w:val="multilevel"/>
    <w:tmpl w:val="5A587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6445F33"/>
    <w:multiLevelType w:val="multilevel"/>
    <w:tmpl w:val="E3085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6450D36"/>
    <w:multiLevelType w:val="multilevel"/>
    <w:tmpl w:val="E7C035E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66" w15:restartNumberingAfterBreak="0">
    <w:nsid w:val="169742E2"/>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6AC6B80"/>
    <w:multiLevelType w:val="multilevel"/>
    <w:tmpl w:val="C2E6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7066332"/>
    <w:multiLevelType w:val="hybridMultilevel"/>
    <w:tmpl w:val="8D58E8F2"/>
    <w:lvl w:ilvl="0" w:tplc="A56252DA">
      <w:numFmt w:val="bullet"/>
      <w:lvlText w:val="•"/>
      <w:lvlJc w:val="left"/>
      <w:pPr>
        <w:ind w:left="720" w:hanging="360"/>
      </w:pPr>
      <w:rPr>
        <w:rFonts w:ascii="Aptos" w:hAnsi="Aptos" w:hint="default"/>
      </w:rPr>
    </w:lvl>
    <w:lvl w:ilvl="1" w:tplc="EB584226" w:tentative="1">
      <w:start w:val="1"/>
      <w:numFmt w:val="bullet"/>
      <w:lvlText w:val="o"/>
      <w:lvlJc w:val="left"/>
      <w:pPr>
        <w:ind w:left="1800" w:hanging="360"/>
      </w:pPr>
      <w:rPr>
        <w:rFonts w:ascii="Courier New" w:hAnsi="Courier New" w:hint="default"/>
      </w:rPr>
    </w:lvl>
    <w:lvl w:ilvl="2" w:tplc="2BE6873C" w:tentative="1">
      <w:start w:val="1"/>
      <w:numFmt w:val="bullet"/>
      <w:lvlText w:val=""/>
      <w:lvlJc w:val="left"/>
      <w:pPr>
        <w:ind w:left="2520" w:hanging="360"/>
      </w:pPr>
      <w:rPr>
        <w:rFonts w:ascii="Wingdings" w:hAnsi="Wingdings" w:hint="default"/>
      </w:rPr>
    </w:lvl>
    <w:lvl w:ilvl="3" w:tplc="8370CA30" w:tentative="1">
      <w:start w:val="1"/>
      <w:numFmt w:val="bullet"/>
      <w:lvlText w:val=""/>
      <w:lvlJc w:val="left"/>
      <w:pPr>
        <w:ind w:left="3240" w:hanging="360"/>
      </w:pPr>
      <w:rPr>
        <w:rFonts w:ascii="Symbol" w:hAnsi="Symbol" w:hint="default"/>
      </w:rPr>
    </w:lvl>
    <w:lvl w:ilvl="4" w:tplc="3EB296EC" w:tentative="1">
      <w:start w:val="1"/>
      <w:numFmt w:val="bullet"/>
      <w:lvlText w:val="o"/>
      <w:lvlJc w:val="left"/>
      <w:pPr>
        <w:ind w:left="3960" w:hanging="360"/>
      </w:pPr>
      <w:rPr>
        <w:rFonts w:ascii="Courier New" w:hAnsi="Courier New" w:hint="default"/>
      </w:rPr>
    </w:lvl>
    <w:lvl w:ilvl="5" w:tplc="88A49BEC" w:tentative="1">
      <w:start w:val="1"/>
      <w:numFmt w:val="bullet"/>
      <w:lvlText w:val=""/>
      <w:lvlJc w:val="left"/>
      <w:pPr>
        <w:ind w:left="4680" w:hanging="360"/>
      </w:pPr>
      <w:rPr>
        <w:rFonts w:ascii="Wingdings" w:hAnsi="Wingdings" w:hint="default"/>
      </w:rPr>
    </w:lvl>
    <w:lvl w:ilvl="6" w:tplc="1D4C64DE" w:tentative="1">
      <w:start w:val="1"/>
      <w:numFmt w:val="bullet"/>
      <w:lvlText w:val=""/>
      <w:lvlJc w:val="left"/>
      <w:pPr>
        <w:ind w:left="5400" w:hanging="360"/>
      </w:pPr>
      <w:rPr>
        <w:rFonts w:ascii="Symbol" w:hAnsi="Symbol" w:hint="default"/>
      </w:rPr>
    </w:lvl>
    <w:lvl w:ilvl="7" w:tplc="1B98E1DC" w:tentative="1">
      <w:start w:val="1"/>
      <w:numFmt w:val="bullet"/>
      <w:lvlText w:val="o"/>
      <w:lvlJc w:val="left"/>
      <w:pPr>
        <w:ind w:left="6120" w:hanging="360"/>
      </w:pPr>
      <w:rPr>
        <w:rFonts w:ascii="Courier New" w:hAnsi="Courier New" w:hint="default"/>
      </w:rPr>
    </w:lvl>
    <w:lvl w:ilvl="8" w:tplc="5D32E4DA" w:tentative="1">
      <w:start w:val="1"/>
      <w:numFmt w:val="bullet"/>
      <w:lvlText w:val=""/>
      <w:lvlJc w:val="left"/>
      <w:pPr>
        <w:ind w:left="6840" w:hanging="360"/>
      </w:pPr>
      <w:rPr>
        <w:rFonts w:ascii="Wingdings" w:hAnsi="Wingdings" w:hint="default"/>
      </w:rPr>
    </w:lvl>
  </w:abstractNum>
  <w:abstractNum w:abstractNumId="169" w15:restartNumberingAfterBreak="0">
    <w:nsid w:val="17455E6B"/>
    <w:multiLevelType w:val="multilevel"/>
    <w:tmpl w:val="1494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77F2060"/>
    <w:multiLevelType w:val="hybridMultilevel"/>
    <w:tmpl w:val="61AEE924"/>
    <w:lvl w:ilvl="0" w:tplc="0F7A052A">
      <w:start w:val="1"/>
      <w:numFmt w:val="bullet"/>
      <w:lvlText w:val=""/>
      <w:lvlJc w:val="left"/>
      <w:pPr>
        <w:ind w:left="720" w:hanging="360"/>
      </w:pPr>
      <w:rPr>
        <w:rFonts w:ascii="Symbol" w:hAnsi="Symbol" w:hint="default"/>
      </w:rPr>
    </w:lvl>
    <w:lvl w:ilvl="1" w:tplc="6CCC4B66" w:tentative="1">
      <w:start w:val="1"/>
      <w:numFmt w:val="bullet"/>
      <w:lvlText w:val="o"/>
      <w:lvlJc w:val="left"/>
      <w:pPr>
        <w:ind w:left="1440" w:hanging="360"/>
      </w:pPr>
      <w:rPr>
        <w:rFonts w:ascii="Courier New" w:hAnsi="Courier New" w:hint="default"/>
      </w:rPr>
    </w:lvl>
    <w:lvl w:ilvl="2" w:tplc="DA684E44" w:tentative="1">
      <w:start w:val="1"/>
      <w:numFmt w:val="bullet"/>
      <w:lvlText w:val=""/>
      <w:lvlJc w:val="left"/>
      <w:pPr>
        <w:ind w:left="2160" w:hanging="360"/>
      </w:pPr>
      <w:rPr>
        <w:rFonts w:ascii="Wingdings" w:hAnsi="Wingdings" w:hint="default"/>
      </w:rPr>
    </w:lvl>
    <w:lvl w:ilvl="3" w:tplc="119C1578" w:tentative="1">
      <w:start w:val="1"/>
      <w:numFmt w:val="bullet"/>
      <w:lvlText w:val=""/>
      <w:lvlJc w:val="left"/>
      <w:pPr>
        <w:ind w:left="2880" w:hanging="360"/>
      </w:pPr>
      <w:rPr>
        <w:rFonts w:ascii="Symbol" w:hAnsi="Symbol" w:hint="default"/>
      </w:rPr>
    </w:lvl>
    <w:lvl w:ilvl="4" w:tplc="DA0C9B36" w:tentative="1">
      <w:start w:val="1"/>
      <w:numFmt w:val="bullet"/>
      <w:lvlText w:val="o"/>
      <w:lvlJc w:val="left"/>
      <w:pPr>
        <w:ind w:left="3600" w:hanging="360"/>
      </w:pPr>
      <w:rPr>
        <w:rFonts w:ascii="Courier New" w:hAnsi="Courier New" w:hint="default"/>
      </w:rPr>
    </w:lvl>
    <w:lvl w:ilvl="5" w:tplc="E0FA660E" w:tentative="1">
      <w:start w:val="1"/>
      <w:numFmt w:val="bullet"/>
      <w:lvlText w:val=""/>
      <w:lvlJc w:val="left"/>
      <w:pPr>
        <w:ind w:left="4320" w:hanging="360"/>
      </w:pPr>
      <w:rPr>
        <w:rFonts w:ascii="Wingdings" w:hAnsi="Wingdings" w:hint="default"/>
      </w:rPr>
    </w:lvl>
    <w:lvl w:ilvl="6" w:tplc="B08C6C58" w:tentative="1">
      <w:start w:val="1"/>
      <w:numFmt w:val="bullet"/>
      <w:lvlText w:val=""/>
      <w:lvlJc w:val="left"/>
      <w:pPr>
        <w:ind w:left="5040" w:hanging="360"/>
      </w:pPr>
      <w:rPr>
        <w:rFonts w:ascii="Symbol" w:hAnsi="Symbol" w:hint="default"/>
      </w:rPr>
    </w:lvl>
    <w:lvl w:ilvl="7" w:tplc="CC08DE62" w:tentative="1">
      <w:start w:val="1"/>
      <w:numFmt w:val="bullet"/>
      <w:lvlText w:val="o"/>
      <w:lvlJc w:val="left"/>
      <w:pPr>
        <w:ind w:left="5760" w:hanging="360"/>
      </w:pPr>
      <w:rPr>
        <w:rFonts w:ascii="Courier New" w:hAnsi="Courier New" w:hint="default"/>
      </w:rPr>
    </w:lvl>
    <w:lvl w:ilvl="8" w:tplc="DAD26C22" w:tentative="1">
      <w:start w:val="1"/>
      <w:numFmt w:val="bullet"/>
      <w:lvlText w:val=""/>
      <w:lvlJc w:val="left"/>
      <w:pPr>
        <w:ind w:left="6480" w:hanging="360"/>
      </w:pPr>
      <w:rPr>
        <w:rFonts w:ascii="Wingdings" w:hAnsi="Wingdings" w:hint="default"/>
      </w:rPr>
    </w:lvl>
  </w:abstractNum>
  <w:abstractNum w:abstractNumId="171" w15:restartNumberingAfterBreak="0">
    <w:nsid w:val="17844A74"/>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78D3073"/>
    <w:multiLevelType w:val="hybridMultilevel"/>
    <w:tmpl w:val="C73CEA80"/>
    <w:lvl w:ilvl="0" w:tplc="86305E1A">
      <w:start w:val="1"/>
      <w:numFmt w:val="bullet"/>
      <w:lvlText w:val=""/>
      <w:lvlJc w:val="left"/>
      <w:pPr>
        <w:ind w:left="720" w:hanging="360"/>
      </w:pPr>
      <w:rPr>
        <w:rFonts w:ascii="Symbol" w:hAnsi="Symbol" w:hint="default"/>
      </w:rPr>
    </w:lvl>
    <w:lvl w:ilvl="1" w:tplc="66DC5B7C" w:tentative="1">
      <w:start w:val="1"/>
      <w:numFmt w:val="bullet"/>
      <w:lvlText w:val="o"/>
      <w:lvlJc w:val="left"/>
      <w:pPr>
        <w:ind w:left="1440" w:hanging="360"/>
      </w:pPr>
      <w:rPr>
        <w:rFonts w:ascii="Courier New" w:hAnsi="Courier New" w:hint="default"/>
      </w:rPr>
    </w:lvl>
    <w:lvl w:ilvl="2" w:tplc="3DFC7B8C" w:tentative="1">
      <w:start w:val="1"/>
      <w:numFmt w:val="bullet"/>
      <w:lvlText w:val=""/>
      <w:lvlJc w:val="left"/>
      <w:pPr>
        <w:ind w:left="2160" w:hanging="360"/>
      </w:pPr>
      <w:rPr>
        <w:rFonts w:ascii="Wingdings" w:hAnsi="Wingdings" w:hint="default"/>
      </w:rPr>
    </w:lvl>
    <w:lvl w:ilvl="3" w:tplc="0F709D72" w:tentative="1">
      <w:start w:val="1"/>
      <w:numFmt w:val="bullet"/>
      <w:lvlText w:val=""/>
      <w:lvlJc w:val="left"/>
      <w:pPr>
        <w:ind w:left="2880" w:hanging="360"/>
      </w:pPr>
      <w:rPr>
        <w:rFonts w:ascii="Symbol" w:hAnsi="Symbol" w:hint="default"/>
      </w:rPr>
    </w:lvl>
    <w:lvl w:ilvl="4" w:tplc="A1C8EFDE" w:tentative="1">
      <w:start w:val="1"/>
      <w:numFmt w:val="bullet"/>
      <w:lvlText w:val="o"/>
      <w:lvlJc w:val="left"/>
      <w:pPr>
        <w:ind w:left="3600" w:hanging="360"/>
      </w:pPr>
      <w:rPr>
        <w:rFonts w:ascii="Courier New" w:hAnsi="Courier New" w:hint="default"/>
      </w:rPr>
    </w:lvl>
    <w:lvl w:ilvl="5" w:tplc="9976DE44" w:tentative="1">
      <w:start w:val="1"/>
      <w:numFmt w:val="bullet"/>
      <w:lvlText w:val=""/>
      <w:lvlJc w:val="left"/>
      <w:pPr>
        <w:ind w:left="4320" w:hanging="360"/>
      </w:pPr>
      <w:rPr>
        <w:rFonts w:ascii="Wingdings" w:hAnsi="Wingdings" w:hint="default"/>
      </w:rPr>
    </w:lvl>
    <w:lvl w:ilvl="6" w:tplc="7ED2BECE" w:tentative="1">
      <w:start w:val="1"/>
      <w:numFmt w:val="bullet"/>
      <w:lvlText w:val=""/>
      <w:lvlJc w:val="left"/>
      <w:pPr>
        <w:ind w:left="5040" w:hanging="360"/>
      </w:pPr>
      <w:rPr>
        <w:rFonts w:ascii="Symbol" w:hAnsi="Symbol" w:hint="default"/>
      </w:rPr>
    </w:lvl>
    <w:lvl w:ilvl="7" w:tplc="989C02F8" w:tentative="1">
      <w:start w:val="1"/>
      <w:numFmt w:val="bullet"/>
      <w:lvlText w:val="o"/>
      <w:lvlJc w:val="left"/>
      <w:pPr>
        <w:ind w:left="5760" w:hanging="360"/>
      </w:pPr>
      <w:rPr>
        <w:rFonts w:ascii="Courier New" w:hAnsi="Courier New" w:hint="default"/>
      </w:rPr>
    </w:lvl>
    <w:lvl w:ilvl="8" w:tplc="50204D2C" w:tentative="1">
      <w:start w:val="1"/>
      <w:numFmt w:val="bullet"/>
      <w:lvlText w:val=""/>
      <w:lvlJc w:val="left"/>
      <w:pPr>
        <w:ind w:left="6480" w:hanging="360"/>
      </w:pPr>
      <w:rPr>
        <w:rFonts w:ascii="Wingdings" w:hAnsi="Wingdings" w:hint="default"/>
      </w:rPr>
    </w:lvl>
  </w:abstractNum>
  <w:abstractNum w:abstractNumId="173" w15:restartNumberingAfterBreak="0">
    <w:nsid w:val="17A54A17"/>
    <w:multiLevelType w:val="multilevel"/>
    <w:tmpl w:val="3DF41406"/>
    <w:lvl w:ilvl="0">
      <w:start w:val="5"/>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74" w15:restartNumberingAfterBreak="0">
    <w:nsid w:val="18261137"/>
    <w:multiLevelType w:val="multilevel"/>
    <w:tmpl w:val="16F4F0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183277DA"/>
    <w:multiLevelType w:val="multilevel"/>
    <w:tmpl w:val="94E0C5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184C3EC7"/>
    <w:multiLevelType w:val="multilevel"/>
    <w:tmpl w:val="53C888CE"/>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77" w15:restartNumberingAfterBreak="0">
    <w:nsid w:val="189714D9"/>
    <w:multiLevelType w:val="multilevel"/>
    <w:tmpl w:val="0B16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8FE7922"/>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9" w15:restartNumberingAfterBreak="0">
    <w:nsid w:val="193370D1"/>
    <w:multiLevelType w:val="multilevel"/>
    <w:tmpl w:val="9642FD0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80" w15:restartNumberingAfterBreak="0">
    <w:nsid w:val="193D0161"/>
    <w:multiLevelType w:val="multilevel"/>
    <w:tmpl w:val="12B881A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81" w15:restartNumberingAfterBreak="0">
    <w:nsid w:val="19772E11"/>
    <w:multiLevelType w:val="multilevel"/>
    <w:tmpl w:val="0076E87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82" w15:restartNumberingAfterBreak="0">
    <w:nsid w:val="19E35EF7"/>
    <w:multiLevelType w:val="multilevel"/>
    <w:tmpl w:val="F966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1A085369"/>
    <w:multiLevelType w:val="multilevel"/>
    <w:tmpl w:val="4EBC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A155E00"/>
    <w:multiLevelType w:val="hybridMultilevel"/>
    <w:tmpl w:val="F45C2A22"/>
    <w:lvl w:ilvl="0" w:tplc="4FC00AAA">
      <w:start w:val="1"/>
      <w:numFmt w:val="bullet"/>
      <w:lvlText w:val=""/>
      <w:lvlJc w:val="left"/>
      <w:pPr>
        <w:ind w:left="720" w:hanging="360"/>
      </w:pPr>
      <w:rPr>
        <w:rFonts w:ascii="Symbol" w:hAnsi="Symbol" w:hint="default"/>
      </w:rPr>
    </w:lvl>
    <w:lvl w:ilvl="1" w:tplc="59B8773E" w:tentative="1">
      <w:start w:val="1"/>
      <w:numFmt w:val="bullet"/>
      <w:lvlText w:val="o"/>
      <w:lvlJc w:val="left"/>
      <w:pPr>
        <w:ind w:left="1440" w:hanging="360"/>
      </w:pPr>
      <w:rPr>
        <w:rFonts w:ascii="Courier New" w:hAnsi="Courier New" w:hint="default"/>
      </w:rPr>
    </w:lvl>
    <w:lvl w:ilvl="2" w:tplc="088E6FB8" w:tentative="1">
      <w:start w:val="1"/>
      <w:numFmt w:val="bullet"/>
      <w:lvlText w:val=""/>
      <w:lvlJc w:val="left"/>
      <w:pPr>
        <w:ind w:left="2160" w:hanging="360"/>
      </w:pPr>
      <w:rPr>
        <w:rFonts w:ascii="Wingdings" w:hAnsi="Wingdings" w:hint="default"/>
      </w:rPr>
    </w:lvl>
    <w:lvl w:ilvl="3" w:tplc="6986AE46" w:tentative="1">
      <w:start w:val="1"/>
      <w:numFmt w:val="bullet"/>
      <w:lvlText w:val=""/>
      <w:lvlJc w:val="left"/>
      <w:pPr>
        <w:ind w:left="2880" w:hanging="360"/>
      </w:pPr>
      <w:rPr>
        <w:rFonts w:ascii="Symbol" w:hAnsi="Symbol" w:hint="default"/>
      </w:rPr>
    </w:lvl>
    <w:lvl w:ilvl="4" w:tplc="4F10991E" w:tentative="1">
      <w:start w:val="1"/>
      <w:numFmt w:val="bullet"/>
      <w:lvlText w:val="o"/>
      <w:lvlJc w:val="left"/>
      <w:pPr>
        <w:ind w:left="3600" w:hanging="360"/>
      </w:pPr>
      <w:rPr>
        <w:rFonts w:ascii="Courier New" w:hAnsi="Courier New" w:hint="default"/>
      </w:rPr>
    </w:lvl>
    <w:lvl w:ilvl="5" w:tplc="8FB0E288" w:tentative="1">
      <w:start w:val="1"/>
      <w:numFmt w:val="bullet"/>
      <w:lvlText w:val=""/>
      <w:lvlJc w:val="left"/>
      <w:pPr>
        <w:ind w:left="4320" w:hanging="360"/>
      </w:pPr>
      <w:rPr>
        <w:rFonts w:ascii="Wingdings" w:hAnsi="Wingdings" w:hint="default"/>
      </w:rPr>
    </w:lvl>
    <w:lvl w:ilvl="6" w:tplc="226499A2" w:tentative="1">
      <w:start w:val="1"/>
      <w:numFmt w:val="bullet"/>
      <w:lvlText w:val=""/>
      <w:lvlJc w:val="left"/>
      <w:pPr>
        <w:ind w:left="5040" w:hanging="360"/>
      </w:pPr>
      <w:rPr>
        <w:rFonts w:ascii="Symbol" w:hAnsi="Symbol" w:hint="default"/>
      </w:rPr>
    </w:lvl>
    <w:lvl w:ilvl="7" w:tplc="57BE9F56" w:tentative="1">
      <w:start w:val="1"/>
      <w:numFmt w:val="bullet"/>
      <w:lvlText w:val="o"/>
      <w:lvlJc w:val="left"/>
      <w:pPr>
        <w:ind w:left="5760" w:hanging="360"/>
      </w:pPr>
      <w:rPr>
        <w:rFonts w:ascii="Courier New" w:hAnsi="Courier New" w:hint="default"/>
      </w:rPr>
    </w:lvl>
    <w:lvl w:ilvl="8" w:tplc="296EA63C" w:tentative="1">
      <w:start w:val="1"/>
      <w:numFmt w:val="bullet"/>
      <w:lvlText w:val=""/>
      <w:lvlJc w:val="left"/>
      <w:pPr>
        <w:ind w:left="6480" w:hanging="360"/>
      </w:pPr>
      <w:rPr>
        <w:rFonts w:ascii="Wingdings" w:hAnsi="Wingdings" w:hint="default"/>
      </w:rPr>
    </w:lvl>
  </w:abstractNum>
  <w:abstractNum w:abstractNumId="185" w15:restartNumberingAfterBreak="0">
    <w:nsid w:val="1A6714DF"/>
    <w:multiLevelType w:val="multilevel"/>
    <w:tmpl w:val="C1D2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1A8941A1"/>
    <w:multiLevelType w:val="hybridMultilevel"/>
    <w:tmpl w:val="C3345B06"/>
    <w:lvl w:ilvl="0" w:tplc="5EEAA286">
      <w:start w:val="1"/>
      <w:numFmt w:val="bullet"/>
      <w:lvlText w:val=""/>
      <w:lvlJc w:val="left"/>
      <w:pPr>
        <w:ind w:left="720" w:hanging="360"/>
      </w:pPr>
      <w:rPr>
        <w:rFonts w:ascii="Symbol" w:hAnsi="Symbol" w:hint="default"/>
      </w:rPr>
    </w:lvl>
    <w:lvl w:ilvl="1" w:tplc="92646DB0" w:tentative="1">
      <w:start w:val="1"/>
      <w:numFmt w:val="bullet"/>
      <w:lvlText w:val="o"/>
      <w:lvlJc w:val="left"/>
      <w:pPr>
        <w:ind w:left="1440" w:hanging="360"/>
      </w:pPr>
      <w:rPr>
        <w:rFonts w:ascii="Courier New" w:hAnsi="Courier New" w:hint="default"/>
      </w:rPr>
    </w:lvl>
    <w:lvl w:ilvl="2" w:tplc="7EDA0A68" w:tentative="1">
      <w:start w:val="1"/>
      <w:numFmt w:val="bullet"/>
      <w:lvlText w:val=""/>
      <w:lvlJc w:val="left"/>
      <w:pPr>
        <w:ind w:left="2160" w:hanging="360"/>
      </w:pPr>
      <w:rPr>
        <w:rFonts w:ascii="Wingdings" w:hAnsi="Wingdings" w:hint="default"/>
      </w:rPr>
    </w:lvl>
    <w:lvl w:ilvl="3" w:tplc="9D124DAC" w:tentative="1">
      <w:start w:val="1"/>
      <w:numFmt w:val="bullet"/>
      <w:lvlText w:val=""/>
      <w:lvlJc w:val="left"/>
      <w:pPr>
        <w:ind w:left="2880" w:hanging="360"/>
      </w:pPr>
      <w:rPr>
        <w:rFonts w:ascii="Symbol" w:hAnsi="Symbol" w:hint="default"/>
      </w:rPr>
    </w:lvl>
    <w:lvl w:ilvl="4" w:tplc="57D859F6" w:tentative="1">
      <w:start w:val="1"/>
      <w:numFmt w:val="bullet"/>
      <w:lvlText w:val="o"/>
      <w:lvlJc w:val="left"/>
      <w:pPr>
        <w:ind w:left="3600" w:hanging="360"/>
      </w:pPr>
      <w:rPr>
        <w:rFonts w:ascii="Courier New" w:hAnsi="Courier New" w:hint="default"/>
      </w:rPr>
    </w:lvl>
    <w:lvl w:ilvl="5" w:tplc="CD6E885A" w:tentative="1">
      <w:start w:val="1"/>
      <w:numFmt w:val="bullet"/>
      <w:lvlText w:val=""/>
      <w:lvlJc w:val="left"/>
      <w:pPr>
        <w:ind w:left="4320" w:hanging="360"/>
      </w:pPr>
      <w:rPr>
        <w:rFonts w:ascii="Wingdings" w:hAnsi="Wingdings" w:hint="default"/>
      </w:rPr>
    </w:lvl>
    <w:lvl w:ilvl="6" w:tplc="528C5128" w:tentative="1">
      <w:start w:val="1"/>
      <w:numFmt w:val="bullet"/>
      <w:lvlText w:val=""/>
      <w:lvlJc w:val="left"/>
      <w:pPr>
        <w:ind w:left="5040" w:hanging="360"/>
      </w:pPr>
      <w:rPr>
        <w:rFonts w:ascii="Symbol" w:hAnsi="Symbol" w:hint="default"/>
      </w:rPr>
    </w:lvl>
    <w:lvl w:ilvl="7" w:tplc="EC228974" w:tentative="1">
      <w:start w:val="1"/>
      <w:numFmt w:val="bullet"/>
      <w:lvlText w:val="o"/>
      <w:lvlJc w:val="left"/>
      <w:pPr>
        <w:ind w:left="5760" w:hanging="360"/>
      </w:pPr>
      <w:rPr>
        <w:rFonts w:ascii="Courier New" w:hAnsi="Courier New" w:hint="default"/>
      </w:rPr>
    </w:lvl>
    <w:lvl w:ilvl="8" w:tplc="C9C08868" w:tentative="1">
      <w:start w:val="1"/>
      <w:numFmt w:val="bullet"/>
      <w:lvlText w:val=""/>
      <w:lvlJc w:val="left"/>
      <w:pPr>
        <w:ind w:left="6480" w:hanging="360"/>
      </w:pPr>
      <w:rPr>
        <w:rFonts w:ascii="Wingdings" w:hAnsi="Wingdings" w:hint="default"/>
      </w:rPr>
    </w:lvl>
  </w:abstractNum>
  <w:abstractNum w:abstractNumId="187" w15:restartNumberingAfterBreak="0">
    <w:nsid w:val="1AD76552"/>
    <w:multiLevelType w:val="multilevel"/>
    <w:tmpl w:val="8C0C0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1B827EDC"/>
    <w:multiLevelType w:val="multilevel"/>
    <w:tmpl w:val="1CB4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B875192"/>
    <w:multiLevelType w:val="multilevel"/>
    <w:tmpl w:val="07B27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1B9728F0"/>
    <w:multiLevelType w:val="hybridMultilevel"/>
    <w:tmpl w:val="844E4328"/>
    <w:lvl w:ilvl="0" w:tplc="E5FC72EE">
      <w:start w:val="1"/>
      <w:numFmt w:val="bullet"/>
      <w:lvlText w:val=""/>
      <w:lvlJc w:val="left"/>
      <w:pPr>
        <w:ind w:left="720" w:hanging="360"/>
      </w:pPr>
      <w:rPr>
        <w:rFonts w:ascii="Symbol" w:hAnsi="Symbol" w:hint="default"/>
      </w:rPr>
    </w:lvl>
    <w:lvl w:ilvl="1" w:tplc="A544945A" w:tentative="1">
      <w:start w:val="1"/>
      <w:numFmt w:val="bullet"/>
      <w:lvlText w:val="o"/>
      <w:lvlJc w:val="left"/>
      <w:pPr>
        <w:ind w:left="1440" w:hanging="360"/>
      </w:pPr>
      <w:rPr>
        <w:rFonts w:ascii="Courier New" w:hAnsi="Courier New" w:hint="default"/>
      </w:rPr>
    </w:lvl>
    <w:lvl w:ilvl="2" w:tplc="E5A8F658" w:tentative="1">
      <w:start w:val="1"/>
      <w:numFmt w:val="bullet"/>
      <w:lvlText w:val=""/>
      <w:lvlJc w:val="left"/>
      <w:pPr>
        <w:ind w:left="2160" w:hanging="360"/>
      </w:pPr>
      <w:rPr>
        <w:rFonts w:ascii="Wingdings" w:hAnsi="Wingdings" w:hint="default"/>
      </w:rPr>
    </w:lvl>
    <w:lvl w:ilvl="3" w:tplc="26444B30" w:tentative="1">
      <w:start w:val="1"/>
      <w:numFmt w:val="bullet"/>
      <w:lvlText w:val=""/>
      <w:lvlJc w:val="left"/>
      <w:pPr>
        <w:ind w:left="2880" w:hanging="360"/>
      </w:pPr>
      <w:rPr>
        <w:rFonts w:ascii="Symbol" w:hAnsi="Symbol" w:hint="default"/>
      </w:rPr>
    </w:lvl>
    <w:lvl w:ilvl="4" w:tplc="D29A123E" w:tentative="1">
      <w:start w:val="1"/>
      <w:numFmt w:val="bullet"/>
      <w:lvlText w:val="o"/>
      <w:lvlJc w:val="left"/>
      <w:pPr>
        <w:ind w:left="3600" w:hanging="360"/>
      </w:pPr>
      <w:rPr>
        <w:rFonts w:ascii="Courier New" w:hAnsi="Courier New" w:hint="default"/>
      </w:rPr>
    </w:lvl>
    <w:lvl w:ilvl="5" w:tplc="46E08294" w:tentative="1">
      <w:start w:val="1"/>
      <w:numFmt w:val="bullet"/>
      <w:lvlText w:val=""/>
      <w:lvlJc w:val="left"/>
      <w:pPr>
        <w:ind w:left="4320" w:hanging="360"/>
      </w:pPr>
      <w:rPr>
        <w:rFonts w:ascii="Wingdings" w:hAnsi="Wingdings" w:hint="default"/>
      </w:rPr>
    </w:lvl>
    <w:lvl w:ilvl="6" w:tplc="078AB358" w:tentative="1">
      <w:start w:val="1"/>
      <w:numFmt w:val="bullet"/>
      <w:lvlText w:val=""/>
      <w:lvlJc w:val="left"/>
      <w:pPr>
        <w:ind w:left="5040" w:hanging="360"/>
      </w:pPr>
      <w:rPr>
        <w:rFonts w:ascii="Symbol" w:hAnsi="Symbol" w:hint="default"/>
      </w:rPr>
    </w:lvl>
    <w:lvl w:ilvl="7" w:tplc="D7EE5A0E" w:tentative="1">
      <w:start w:val="1"/>
      <w:numFmt w:val="bullet"/>
      <w:lvlText w:val="o"/>
      <w:lvlJc w:val="left"/>
      <w:pPr>
        <w:ind w:left="5760" w:hanging="360"/>
      </w:pPr>
      <w:rPr>
        <w:rFonts w:ascii="Courier New" w:hAnsi="Courier New" w:hint="default"/>
      </w:rPr>
    </w:lvl>
    <w:lvl w:ilvl="8" w:tplc="5D1C61C0" w:tentative="1">
      <w:start w:val="1"/>
      <w:numFmt w:val="bullet"/>
      <w:lvlText w:val=""/>
      <w:lvlJc w:val="left"/>
      <w:pPr>
        <w:ind w:left="6480" w:hanging="360"/>
      </w:pPr>
      <w:rPr>
        <w:rFonts w:ascii="Wingdings" w:hAnsi="Wingdings" w:hint="default"/>
      </w:rPr>
    </w:lvl>
  </w:abstractNum>
  <w:abstractNum w:abstractNumId="191" w15:restartNumberingAfterBreak="0">
    <w:nsid w:val="1B997172"/>
    <w:multiLevelType w:val="multilevel"/>
    <w:tmpl w:val="C57A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1BB8280C"/>
    <w:multiLevelType w:val="multilevel"/>
    <w:tmpl w:val="361E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BD90925"/>
    <w:multiLevelType w:val="multilevel"/>
    <w:tmpl w:val="EFAA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1C064814"/>
    <w:multiLevelType w:val="multilevel"/>
    <w:tmpl w:val="DD34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1C1462BF"/>
    <w:multiLevelType w:val="multilevel"/>
    <w:tmpl w:val="01F8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C5225D8"/>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C663AA6"/>
    <w:multiLevelType w:val="multilevel"/>
    <w:tmpl w:val="750E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C6756D4"/>
    <w:multiLevelType w:val="multilevel"/>
    <w:tmpl w:val="AAC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C6B78C9"/>
    <w:multiLevelType w:val="multilevel"/>
    <w:tmpl w:val="53C2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1CA04CB1"/>
    <w:multiLevelType w:val="multilevel"/>
    <w:tmpl w:val="CE80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1CA81526"/>
    <w:multiLevelType w:val="multilevel"/>
    <w:tmpl w:val="27CAC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1CAA5347"/>
    <w:multiLevelType w:val="multilevel"/>
    <w:tmpl w:val="3AF6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1CB33EB6"/>
    <w:multiLevelType w:val="multilevel"/>
    <w:tmpl w:val="F4B2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1CDB399D"/>
    <w:multiLevelType w:val="multilevel"/>
    <w:tmpl w:val="D0E4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1CEA7F9B"/>
    <w:multiLevelType w:val="hybridMultilevel"/>
    <w:tmpl w:val="7E4A3A6C"/>
    <w:lvl w:ilvl="0" w:tplc="63C265C0">
      <w:numFmt w:val="bullet"/>
      <w:lvlText w:val="•"/>
      <w:lvlJc w:val="left"/>
      <w:pPr>
        <w:ind w:left="720" w:hanging="360"/>
      </w:pPr>
      <w:rPr>
        <w:rFonts w:ascii="Aptos" w:hAnsi="Aptos" w:hint="default"/>
      </w:rPr>
    </w:lvl>
    <w:lvl w:ilvl="1" w:tplc="DECCB356" w:tentative="1">
      <w:start w:val="1"/>
      <w:numFmt w:val="bullet"/>
      <w:lvlText w:val="o"/>
      <w:lvlJc w:val="left"/>
      <w:pPr>
        <w:ind w:left="1800" w:hanging="360"/>
      </w:pPr>
      <w:rPr>
        <w:rFonts w:ascii="Courier New" w:hAnsi="Courier New" w:hint="default"/>
      </w:rPr>
    </w:lvl>
    <w:lvl w:ilvl="2" w:tplc="94EEDEC0" w:tentative="1">
      <w:start w:val="1"/>
      <w:numFmt w:val="bullet"/>
      <w:lvlText w:val=""/>
      <w:lvlJc w:val="left"/>
      <w:pPr>
        <w:ind w:left="2520" w:hanging="360"/>
      </w:pPr>
      <w:rPr>
        <w:rFonts w:ascii="Wingdings" w:hAnsi="Wingdings" w:hint="default"/>
      </w:rPr>
    </w:lvl>
    <w:lvl w:ilvl="3" w:tplc="2A149AAC" w:tentative="1">
      <w:start w:val="1"/>
      <w:numFmt w:val="bullet"/>
      <w:lvlText w:val=""/>
      <w:lvlJc w:val="left"/>
      <w:pPr>
        <w:ind w:left="3240" w:hanging="360"/>
      </w:pPr>
      <w:rPr>
        <w:rFonts w:ascii="Symbol" w:hAnsi="Symbol" w:hint="default"/>
      </w:rPr>
    </w:lvl>
    <w:lvl w:ilvl="4" w:tplc="32C076E8" w:tentative="1">
      <w:start w:val="1"/>
      <w:numFmt w:val="bullet"/>
      <w:lvlText w:val="o"/>
      <w:lvlJc w:val="left"/>
      <w:pPr>
        <w:ind w:left="3960" w:hanging="360"/>
      </w:pPr>
      <w:rPr>
        <w:rFonts w:ascii="Courier New" w:hAnsi="Courier New" w:hint="default"/>
      </w:rPr>
    </w:lvl>
    <w:lvl w:ilvl="5" w:tplc="1A00C97E" w:tentative="1">
      <w:start w:val="1"/>
      <w:numFmt w:val="bullet"/>
      <w:lvlText w:val=""/>
      <w:lvlJc w:val="left"/>
      <w:pPr>
        <w:ind w:left="4680" w:hanging="360"/>
      </w:pPr>
      <w:rPr>
        <w:rFonts w:ascii="Wingdings" w:hAnsi="Wingdings" w:hint="default"/>
      </w:rPr>
    </w:lvl>
    <w:lvl w:ilvl="6" w:tplc="84982150" w:tentative="1">
      <w:start w:val="1"/>
      <w:numFmt w:val="bullet"/>
      <w:lvlText w:val=""/>
      <w:lvlJc w:val="left"/>
      <w:pPr>
        <w:ind w:left="5400" w:hanging="360"/>
      </w:pPr>
      <w:rPr>
        <w:rFonts w:ascii="Symbol" w:hAnsi="Symbol" w:hint="default"/>
      </w:rPr>
    </w:lvl>
    <w:lvl w:ilvl="7" w:tplc="841EF0BA" w:tentative="1">
      <w:start w:val="1"/>
      <w:numFmt w:val="bullet"/>
      <w:lvlText w:val="o"/>
      <w:lvlJc w:val="left"/>
      <w:pPr>
        <w:ind w:left="6120" w:hanging="360"/>
      </w:pPr>
      <w:rPr>
        <w:rFonts w:ascii="Courier New" w:hAnsi="Courier New" w:hint="default"/>
      </w:rPr>
    </w:lvl>
    <w:lvl w:ilvl="8" w:tplc="986AA7F2" w:tentative="1">
      <w:start w:val="1"/>
      <w:numFmt w:val="bullet"/>
      <w:lvlText w:val=""/>
      <w:lvlJc w:val="left"/>
      <w:pPr>
        <w:ind w:left="6840" w:hanging="360"/>
      </w:pPr>
      <w:rPr>
        <w:rFonts w:ascii="Wingdings" w:hAnsi="Wingdings" w:hint="default"/>
      </w:rPr>
    </w:lvl>
  </w:abstractNum>
  <w:abstractNum w:abstractNumId="206" w15:restartNumberingAfterBreak="0">
    <w:nsid w:val="1D015B53"/>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1D1607F5"/>
    <w:multiLevelType w:val="multilevel"/>
    <w:tmpl w:val="D508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1D24328B"/>
    <w:multiLevelType w:val="multilevel"/>
    <w:tmpl w:val="7576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1D492EB2"/>
    <w:multiLevelType w:val="hybridMultilevel"/>
    <w:tmpl w:val="3EC80C4A"/>
    <w:lvl w:ilvl="0" w:tplc="6E9846C2">
      <w:start w:val="1"/>
      <w:numFmt w:val="bullet"/>
      <w:lvlText w:val=""/>
      <w:lvlJc w:val="left"/>
      <w:pPr>
        <w:ind w:left="720" w:hanging="360"/>
      </w:pPr>
      <w:rPr>
        <w:rFonts w:ascii="Symbol" w:hAnsi="Symbol" w:hint="default"/>
      </w:rPr>
    </w:lvl>
    <w:lvl w:ilvl="1" w:tplc="EA6CB928" w:tentative="1">
      <w:start w:val="1"/>
      <w:numFmt w:val="bullet"/>
      <w:lvlText w:val="o"/>
      <w:lvlJc w:val="left"/>
      <w:pPr>
        <w:ind w:left="1440" w:hanging="360"/>
      </w:pPr>
      <w:rPr>
        <w:rFonts w:ascii="Courier New" w:hAnsi="Courier New" w:hint="default"/>
      </w:rPr>
    </w:lvl>
    <w:lvl w:ilvl="2" w:tplc="B1EA11C8" w:tentative="1">
      <w:start w:val="1"/>
      <w:numFmt w:val="bullet"/>
      <w:lvlText w:val=""/>
      <w:lvlJc w:val="left"/>
      <w:pPr>
        <w:ind w:left="2160" w:hanging="360"/>
      </w:pPr>
      <w:rPr>
        <w:rFonts w:ascii="Wingdings" w:hAnsi="Wingdings" w:hint="default"/>
      </w:rPr>
    </w:lvl>
    <w:lvl w:ilvl="3" w:tplc="78B065C2" w:tentative="1">
      <w:start w:val="1"/>
      <w:numFmt w:val="bullet"/>
      <w:lvlText w:val=""/>
      <w:lvlJc w:val="left"/>
      <w:pPr>
        <w:ind w:left="2880" w:hanging="360"/>
      </w:pPr>
      <w:rPr>
        <w:rFonts w:ascii="Symbol" w:hAnsi="Symbol" w:hint="default"/>
      </w:rPr>
    </w:lvl>
    <w:lvl w:ilvl="4" w:tplc="596016F6" w:tentative="1">
      <w:start w:val="1"/>
      <w:numFmt w:val="bullet"/>
      <w:lvlText w:val="o"/>
      <w:lvlJc w:val="left"/>
      <w:pPr>
        <w:ind w:left="3600" w:hanging="360"/>
      </w:pPr>
      <w:rPr>
        <w:rFonts w:ascii="Courier New" w:hAnsi="Courier New" w:hint="default"/>
      </w:rPr>
    </w:lvl>
    <w:lvl w:ilvl="5" w:tplc="3A9CE19C" w:tentative="1">
      <w:start w:val="1"/>
      <w:numFmt w:val="bullet"/>
      <w:lvlText w:val=""/>
      <w:lvlJc w:val="left"/>
      <w:pPr>
        <w:ind w:left="4320" w:hanging="360"/>
      </w:pPr>
      <w:rPr>
        <w:rFonts w:ascii="Wingdings" w:hAnsi="Wingdings" w:hint="default"/>
      </w:rPr>
    </w:lvl>
    <w:lvl w:ilvl="6" w:tplc="9FF26F86" w:tentative="1">
      <w:start w:val="1"/>
      <w:numFmt w:val="bullet"/>
      <w:lvlText w:val=""/>
      <w:lvlJc w:val="left"/>
      <w:pPr>
        <w:ind w:left="5040" w:hanging="360"/>
      </w:pPr>
      <w:rPr>
        <w:rFonts w:ascii="Symbol" w:hAnsi="Symbol" w:hint="default"/>
      </w:rPr>
    </w:lvl>
    <w:lvl w:ilvl="7" w:tplc="C5DE6412" w:tentative="1">
      <w:start w:val="1"/>
      <w:numFmt w:val="bullet"/>
      <w:lvlText w:val="o"/>
      <w:lvlJc w:val="left"/>
      <w:pPr>
        <w:ind w:left="5760" w:hanging="360"/>
      </w:pPr>
      <w:rPr>
        <w:rFonts w:ascii="Courier New" w:hAnsi="Courier New" w:hint="default"/>
      </w:rPr>
    </w:lvl>
    <w:lvl w:ilvl="8" w:tplc="9652482E" w:tentative="1">
      <w:start w:val="1"/>
      <w:numFmt w:val="bullet"/>
      <w:lvlText w:val=""/>
      <w:lvlJc w:val="left"/>
      <w:pPr>
        <w:ind w:left="6480" w:hanging="360"/>
      </w:pPr>
      <w:rPr>
        <w:rFonts w:ascii="Wingdings" w:hAnsi="Wingdings" w:hint="default"/>
      </w:rPr>
    </w:lvl>
  </w:abstractNum>
  <w:abstractNum w:abstractNumId="210" w15:restartNumberingAfterBreak="0">
    <w:nsid w:val="1D5200D3"/>
    <w:multiLevelType w:val="multilevel"/>
    <w:tmpl w:val="821C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1D5F6988"/>
    <w:multiLevelType w:val="multilevel"/>
    <w:tmpl w:val="8DC2E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1D767735"/>
    <w:multiLevelType w:val="multilevel"/>
    <w:tmpl w:val="19DAFEA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3" w15:restartNumberingAfterBreak="0">
    <w:nsid w:val="1D8D6EA6"/>
    <w:multiLevelType w:val="multilevel"/>
    <w:tmpl w:val="3CB0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1DAF71EB"/>
    <w:multiLevelType w:val="multilevel"/>
    <w:tmpl w:val="371E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1E1F356E"/>
    <w:multiLevelType w:val="multilevel"/>
    <w:tmpl w:val="E5F0D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1E205E9F"/>
    <w:multiLevelType w:val="multilevel"/>
    <w:tmpl w:val="6358C40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7" w15:restartNumberingAfterBreak="0">
    <w:nsid w:val="1E46194F"/>
    <w:multiLevelType w:val="multilevel"/>
    <w:tmpl w:val="5604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1E601030"/>
    <w:multiLevelType w:val="hybridMultilevel"/>
    <w:tmpl w:val="7C0C7FB2"/>
    <w:lvl w:ilvl="0" w:tplc="0286337A">
      <w:start w:val="1"/>
      <w:numFmt w:val="bullet"/>
      <w:lvlText w:val=""/>
      <w:lvlJc w:val="left"/>
      <w:pPr>
        <w:ind w:left="720" w:hanging="360"/>
      </w:pPr>
      <w:rPr>
        <w:rFonts w:ascii="Symbol" w:hAnsi="Symbol" w:hint="default"/>
      </w:rPr>
    </w:lvl>
    <w:lvl w:ilvl="1" w:tplc="2E525F9C" w:tentative="1">
      <w:start w:val="1"/>
      <w:numFmt w:val="bullet"/>
      <w:lvlText w:val="o"/>
      <w:lvlJc w:val="left"/>
      <w:pPr>
        <w:ind w:left="1440" w:hanging="360"/>
      </w:pPr>
      <w:rPr>
        <w:rFonts w:ascii="Courier New" w:hAnsi="Courier New" w:hint="default"/>
      </w:rPr>
    </w:lvl>
    <w:lvl w:ilvl="2" w:tplc="3738AE38" w:tentative="1">
      <w:start w:val="1"/>
      <w:numFmt w:val="bullet"/>
      <w:lvlText w:val=""/>
      <w:lvlJc w:val="left"/>
      <w:pPr>
        <w:ind w:left="2160" w:hanging="360"/>
      </w:pPr>
      <w:rPr>
        <w:rFonts w:ascii="Wingdings" w:hAnsi="Wingdings" w:hint="default"/>
      </w:rPr>
    </w:lvl>
    <w:lvl w:ilvl="3" w:tplc="1104205A" w:tentative="1">
      <w:start w:val="1"/>
      <w:numFmt w:val="bullet"/>
      <w:lvlText w:val=""/>
      <w:lvlJc w:val="left"/>
      <w:pPr>
        <w:ind w:left="2880" w:hanging="360"/>
      </w:pPr>
      <w:rPr>
        <w:rFonts w:ascii="Symbol" w:hAnsi="Symbol" w:hint="default"/>
      </w:rPr>
    </w:lvl>
    <w:lvl w:ilvl="4" w:tplc="8DC8ACD4" w:tentative="1">
      <w:start w:val="1"/>
      <w:numFmt w:val="bullet"/>
      <w:lvlText w:val="o"/>
      <w:lvlJc w:val="left"/>
      <w:pPr>
        <w:ind w:left="3600" w:hanging="360"/>
      </w:pPr>
      <w:rPr>
        <w:rFonts w:ascii="Courier New" w:hAnsi="Courier New" w:hint="default"/>
      </w:rPr>
    </w:lvl>
    <w:lvl w:ilvl="5" w:tplc="C73CD7F4" w:tentative="1">
      <w:start w:val="1"/>
      <w:numFmt w:val="bullet"/>
      <w:lvlText w:val=""/>
      <w:lvlJc w:val="left"/>
      <w:pPr>
        <w:ind w:left="4320" w:hanging="360"/>
      </w:pPr>
      <w:rPr>
        <w:rFonts w:ascii="Wingdings" w:hAnsi="Wingdings" w:hint="default"/>
      </w:rPr>
    </w:lvl>
    <w:lvl w:ilvl="6" w:tplc="56EC1D1C" w:tentative="1">
      <w:start w:val="1"/>
      <w:numFmt w:val="bullet"/>
      <w:lvlText w:val=""/>
      <w:lvlJc w:val="left"/>
      <w:pPr>
        <w:ind w:left="5040" w:hanging="360"/>
      </w:pPr>
      <w:rPr>
        <w:rFonts w:ascii="Symbol" w:hAnsi="Symbol" w:hint="default"/>
      </w:rPr>
    </w:lvl>
    <w:lvl w:ilvl="7" w:tplc="15081130" w:tentative="1">
      <w:start w:val="1"/>
      <w:numFmt w:val="bullet"/>
      <w:lvlText w:val="o"/>
      <w:lvlJc w:val="left"/>
      <w:pPr>
        <w:ind w:left="5760" w:hanging="360"/>
      </w:pPr>
      <w:rPr>
        <w:rFonts w:ascii="Courier New" w:hAnsi="Courier New" w:hint="default"/>
      </w:rPr>
    </w:lvl>
    <w:lvl w:ilvl="8" w:tplc="B6BAB28E" w:tentative="1">
      <w:start w:val="1"/>
      <w:numFmt w:val="bullet"/>
      <w:lvlText w:val=""/>
      <w:lvlJc w:val="left"/>
      <w:pPr>
        <w:ind w:left="6480" w:hanging="360"/>
      </w:pPr>
      <w:rPr>
        <w:rFonts w:ascii="Wingdings" w:hAnsi="Wingdings" w:hint="default"/>
      </w:rPr>
    </w:lvl>
  </w:abstractNum>
  <w:abstractNum w:abstractNumId="219" w15:restartNumberingAfterBreak="0">
    <w:nsid w:val="1EB0794A"/>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0" w15:restartNumberingAfterBreak="0">
    <w:nsid w:val="1EC80EBD"/>
    <w:multiLevelType w:val="multilevel"/>
    <w:tmpl w:val="1FCA05E6"/>
    <w:lvl w:ilvl="0">
      <w:start w:val="6"/>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21" w15:restartNumberingAfterBreak="0">
    <w:nsid w:val="1EDF1574"/>
    <w:multiLevelType w:val="multilevel"/>
    <w:tmpl w:val="4EE4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1EEC7075"/>
    <w:multiLevelType w:val="hybridMultilevel"/>
    <w:tmpl w:val="F8F20E38"/>
    <w:lvl w:ilvl="0" w:tplc="40B83BEC">
      <w:start w:val="1"/>
      <w:numFmt w:val="bullet"/>
      <w:lvlText w:val=""/>
      <w:lvlJc w:val="left"/>
      <w:pPr>
        <w:ind w:left="720" w:hanging="360"/>
      </w:pPr>
      <w:rPr>
        <w:rFonts w:ascii="Symbol" w:hAnsi="Symbol" w:hint="default"/>
      </w:rPr>
    </w:lvl>
    <w:lvl w:ilvl="1" w:tplc="4F36628C" w:tentative="1">
      <w:start w:val="1"/>
      <w:numFmt w:val="bullet"/>
      <w:lvlText w:val="o"/>
      <w:lvlJc w:val="left"/>
      <w:pPr>
        <w:ind w:left="1440" w:hanging="360"/>
      </w:pPr>
      <w:rPr>
        <w:rFonts w:ascii="Courier New" w:hAnsi="Courier New" w:hint="default"/>
      </w:rPr>
    </w:lvl>
    <w:lvl w:ilvl="2" w:tplc="278C9E72" w:tentative="1">
      <w:start w:val="1"/>
      <w:numFmt w:val="bullet"/>
      <w:lvlText w:val=""/>
      <w:lvlJc w:val="left"/>
      <w:pPr>
        <w:ind w:left="2160" w:hanging="360"/>
      </w:pPr>
      <w:rPr>
        <w:rFonts w:ascii="Wingdings" w:hAnsi="Wingdings" w:hint="default"/>
      </w:rPr>
    </w:lvl>
    <w:lvl w:ilvl="3" w:tplc="0F3E096E" w:tentative="1">
      <w:start w:val="1"/>
      <w:numFmt w:val="bullet"/>
      <w:lvlText w:val=""/>
      <w:lvlJc w:val="left"/>
      <w:pPr>
        <w:ind w:left="2880" w:hanging="360"/>
      </w:pPr>
      <w:rPr>
        <w:rFonts w:ascii="Symbol" w:hAnsi="Symbol" w:hint="default"/>
      </w:rPr>
    </w:lvl>
    <w:lvl w:ilvl="4" w:tplc="425C1972" w:tentative="1">
      <w:start w:val="1"/>
      <w:numFmt w:val="bullet"/>
      <w:lvlText w:val="o"/>
      <w:lvlJc w:val="left"/>
      <w:pPr>
        <w:ind w:left="3600" w:hanging="360"/>
      </w:pPr>
      <w:rPr>
        <w:rFonts w:ascii="Courier New" w:hAnsi="Courier New" w:hint="default"/>
      </w:rPr>
    </w:lvl>
    <w:lvl w:ilvl="5" w:tplc="6A4073F0" w:tentative="1">
      <w:start w:val="1"/>
      <w:numFmt w:val="bullet"/>
      <w:lvlText w:val=""/>
      <w:lvlJc w:val="left"/>
      <w:pPr>
        <w:ind w:left="4320" w:hanging="360"/>
      </w:pPr>
      <w:rPr>
        <w:rFonts w:ascii="Wingdings" w:hAnsi="Wingdings" w:hint="default"/>
      </w:rPr>
    </w:lvl>
    <w:lvl w:ilvl="6" w:tplc="59E88836" w:tentative="1">
      <w:start w:val="1"/>
      <w:numFmt w:val="bullet"/>
      <w:lvlText w:val=""/>
      <w:lvlJc w:val="left"/>
      <w:pPr>
        <w:ind w:left="5040" w:hanging="360"/>
      </w:pPr>
      <w:rPr>
        <w:rFonts w:ascii="Symbol" w:hAnsi="Symbol" w:hint="default"/>
      </w:rPr>
    </w:lvl>
    <w:lvl w:ilvl="7" w:tplc="10E217C4" w:tentative="1">
      <w:start w:val="1"/>
      <w:numFmt w:val="bullet"/>
      <w:lvlText w:val="o"/>
      <w:lvlJc w:val="left"/>
      <w:pPr>
        <w:ind w:left="5760" w:hanging="360"/>
      </w:pPr>
      <w:rPr>
        <w:rFonts w:ascii="Courier New" w:hAnsi="Courier New" w:hint="default"/>
      </w:rPr>
    </w:lvl>
    <w:lvl w:ilvl="8" w:tplc="11F2F690" w:tentative="1">
      <w:start w:val="1"/>
      <w:numFmt w:val="bullet"/>
      <w:lvlText w:val=""/>
      <w:lvlJc w:val="left"/>
      <w:pPr>
        <w:ind w:left="6480" w:hanging="360"/>
      </w:pPr>
      <w:rPr>
        <w:rFonts w:ascii="Wingdings" w:hAnsi="Wingdings" w:hint="default"/>
      </w:rPr>
    </w:lvl>
  </w:abstractNum>
  <w:abstractNum w:abstractNumId="223" w15:restartNumberingAfterBreak="0">
    <w:nsid w:val="1EF839C0"/>
    <w:multiLevelType w:val="multilevel"/>
    <w:tmpl w:val="8156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1F164493"/>
    <w:multiLevelType w:val="multilevel"/>
    <w:tmpl w:val="F23E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1F4A104A"/>
    <w:multiLevelType w:val="multilevel"/>
    <w:tmpl w:val="2F9E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1F4E30D0"/>
    <w:multiLevelType w:val="multilevel"/>
    <w:tmpl w:val="93A4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1F8E53BB"/>
    <w:multiLevelType w:val="multilevel"/>
    <w:tmpl w:val="F9E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1FC043A5"/>
    <w:multiLevelType w:val="multilevel"/>
    <w:tmpl w:val="8B9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1FCA4456"/>
    <w:multiLevelType w:val="multilevel"/>
    <w:tmpl w:val="9A680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1FE30AC4"/>
    <w:multiLevelType w:val="multilevel"/>
    <w:tmpl w:val="4358E09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31" w15:restartNumberingAfterBreak="0">
    <w:nsid w:val="1FFD6DD6"/>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0453CDF"/>
    <w:multiLevelType w:val="multilevel"/>
    <w:tmpl w:val="F23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0730409"/>
    <w:multiLevelType w:val="multilevel"/>
    <w:tmpl w:val="0010CF5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34" w15:restartNumberingAfterBreak="0">
    <w:nsid w:val="209943B7"/>
    <w:multiLevelType w:val="multilevel"/>
    <w:tmpl w:val="269ED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0C43D31"/>
    <w:multiLevelType w:val="multilevel"/>
    <w:tmpl w:val="9BEC4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0D96450"/>
    <w:multiLevelType w:val="multilevel"/>
    <w:tmpl w:val="5B9CFDFC"/>
    <w:lvl w:ilvl="0">
      <w:start w:val="3"/>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237" w15:restartNumberingAfterBreak="0">
    <w:nsid w:val="21322A42"/>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8" w15:restartNumberingAfterBreak="0">
    <w:nsid w:val="213E6FBA"/>
    <w:multiLevelType w:val="multilevel"/>
    <w:tmpl w:val="E320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15D13CB"/>
    <w:multiLevelType w:val="hybridMultilevel"/>
    <w:tmpl w:val="208E471A"/>
    <w:lvl w:ilvl="0" w:tplc="578E5ED6">
      <w:start w:val="1"/>
      <w:numFmt w:val="bullet"/>
      <w:lvlText w:val=""/>
      <w:lvlJc w:val="left"/>
      <w:pPr>
        <w:ind w:left="720" w:hanging="360"/>
      </w:pPr>
      <w:rPr>
        <w:rFonts w:ascii="Symbol" w:hAnsi="Symbol" w:hint="default"/>
      </w:rPr>
    </w:lvl>
    <w:lvl w:ilvl="1" w:tplc="B85AD592" w:tentative="1">
      <w:start w:val="1"/>
      <w:numFmt w:val="bullet"/>
      <w:lvlText w:val="o"/>
      <w:lvlJc w:val="left"/>
      <w:pPr>
        <w:ind w:left="1440" w:hanging="360"/>
      </w:pPr>
      <w:rPr>
        <w:rFonts w:ascii="Courier New" w:hAnsi="Courier New" w:hint="default"/>
      </w:rPr>
    </w:lvl>
    <w:lvl w:ilvl="2" w:tplc="EA52D1E8" w:tentative="1">
      <w:start w:val="1"/>
      <w:numFmt w:val="bullet"/>
      <w:lvlText w:val=""/>
      <w:lvlJc w:val="left"/>
      <w:pPr>
        <w:ind w:left="2160" w:hanging="360"/>
      </w:pPr>
      <w:rPr>
        <w:rFonts w:ascii="Wingdings" w:hAnsi="Wingdings" w:hint="default"/>
      </w:rPr>
    </w:lvl>
    <w:lvl w:ilvl="3" w:tplc="5BBE25CE" w:tentative="1">
      <w:start w:val="1"/>
      <w:numFmt w:val="bullet"/>
      <w:lvlText w:val=""/>
      <w:lvlJc w:val="left"/>
      <w:pPr>
        <w:ind w:left="2880" w:hanging="360"/>
      </w:pPr>
      <w:rPr>
        <w:rFonts w:ascii="Symbol" w:hAnsi="Symbol" w:hint="default"/>
      </w:rPr>
    </w:lvl>
    <w:lvl w:ilvl="4" w:tplc="C3C88550" w:tentative="1">
      <w:start w:val="1"/>
      <w:numFmt w:val="bullet"/>
      <w:lvlText w:val="o"/>
      <w:lvlJc w:val="left"/>
      <w:pPr>
        <w:ind w:left="3600" w:hanging="360"/>
      </w:pPr>
      <w:rPr>
        <w:rFonts w:ascii="Courier New" w:hAnsi="Courier New" w:hint="default"/>
      </w:rPr>
    </w:lvl>
    <w:lvl w:ilvl="5" w:tplc="D1FC52F2" w:tentative="1">
      <w:start w:val="1"/>
      <w:numFmt w:val="bullet"/>
      <w:lvlText w:val=""/>
      <w:lvlJc w:val="left"/>
      <w:pPr>
        <w:ind w:left="4320" w:hanging="360"/>
      </w:pPr>
      <w:rPr>
        <w:rFonts w:ascii="Wingdings" w:hAnsi="Wingdings" w:hint="default"/>
      </w:rPr>
    </w:lvl>
    <w:lvl w:ilvl="6" w:tplc="6D3CF820" w:tentative="1">
      <w:start w:val="1"/>
      <w:numFmt w:val="bullet"/>
      <w:lvlText w:val=""/>
      <w:lvlJc w:val="left"/>
      <w:pPr>
        <w:ind w:left="5040" w:hanging="360"/>
      </w:pPr>
      <w:rPr>
        <w:rFonts w:ascii="Symbol" w:hAnsi="Symbol" w:hint="default"/>
      </w:rPr>
    </w:lvl>
    <w:lvl w:ilvl="7" w:tplc="697084A6" w:tentative="1">
      <w:start w:val="1"/>
      <w:numFmt w:val="bullet"/>
      <w:lvlText w:val="o"/>
      <w:lvlJc w:val="left"/>
      <w:pPr>
        <w:ind w:left="5760" w:hanging="360"/>
      </w:pPr>
      <w:rPr>
        <w:rFonts w:ascii="Courier New" w:hAnsi="Courier New" w:hint="default"/>
      </w:rPr>
    </w:lvl>
    <w:lvl w:ilvl="8" w:tplc="38BE3B54" w:tentative="1">
      <w:start w:val="1"/>
      <w:numFmt w:val="bullet"/>
      <w:lvlText w:val=""/>
      <w:lvlJc w:val="left"/>
      <w:pPr>
        <w:ind w:left="6480" w:hanging="360"/>
      </w:pPr>
      <w:rPr>
        <w:rFonts w:ascii="Wingdings" w:hAnsi="Wingdings" w:hint="default"/>
      </w:rPr>
    </w:lvl>
  </w:abstractNum>
  <w:abstractNum w:abstractNumId="240" w15:restartNumberingAfterBreak="0">
    <w:nsid w:val="216F4DFC"/>
    <w:multiLevelType w:val="multilevel"/>
    <w:tmpl w:val="F9E0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21771D02"/>
    <w:multiLevelType w:val="multilevel"/>
    <w:tmpl w:val="349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1B139B6"/>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1EA37E1"/>
    <w:multiLevelType w:val="multilevel"/>
    <w:tmpl w:val="026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220688E"/>
    <w:multiLevelType w:val="hybridMultilevel"/>
    <w:tmpl w:val="A0824CC6"/>
    <w:lvl w:ilvl="0" w:tplc="CE60F636">
      <w:start w:val="1"/>
      <w:numFmt w:val="bullet"/>
      <w:lvlText w:val=""/>
      <w:lvlJc w:val="left"/>
      <w:pPr>
        <w:ind w:left="720" w:hanging="360"/>
      </w:pPr>
      <w:rPr>
        <w:rFonts w:ascii="Symbol" w:hAnsi="Symbol" w:hint="default"/>
      </w:rPr>
    </w:lvl>
    <w:lvl w:ilvl="1" w:tplc="13E237DC">
      <w:start w:val="1"/>
      <w:numFmt w:val="bullet"/>
      <w:lvlText w:val="o"/>
      <w:lvlJc w:val="left"/>
      <w:pPr>
        <w:ind w:left="1440" w:hanging="360"/>
      </w:pPr>
      <w:rPr>
        <w:rFonts w:ascii="Courier New" w:hAnsi="Courier New" w:hint="default"/>
      </w:rPr>
    </w:lvl>
    <w:lvl w:ilvl="2" w:tplc="5D10A366" w:tentative="1">
      <w:start w:val="1"/>
      <w:numFmt w:val="bullet"/>
      <w:lvlText w:val=""/>
      <w:lvlJc w:val="left"/>
      <w:pPr>
        <w:ind w:left="2160" w:hanging="360"/>
      </w:pPr>
      <w:rPr>
        <w:rFonts w:ascii="Wingdings" w:hAnsi="Wingdings" w:hint="default"/>
      </w:rPr>
    </w:lvl>
    <w:lvl w:ilvl="3" w:tplc="012404E0" w:tentative="1">
      <w:start w:val="1"/>
      <w:numFmt w:val="bullet"/>
      <w:lvlText w:val=""/>
      <w:lvlJc w:val="left"/>
      <w:pPr>
        <w:ind w:left="2880" w:hanging="360"/>
      </w:pPr>
      <w:rPr>
        <w:rFonts w:ascii="Symbol" w:hAnsi="Symbol" w:hint="default"/>
      </w:rPr>
    </w:lvl>
    <w:lvl w:ilvl="4" w:tplc="69708A50" w:tentative="1">
      <w:start w:val="1"/>
      <w:numFmt w:val="bullet"/>
      <w:lvlText w:val="o"/>
      <w:lvlJc w:val="left"/>
      <w:pPr>
        <w:ind w:left="3600" w:hanging="360"/>
      </w:pPr>
      <w:rPr>
        <w:rFonts w:ascii="Courier New" w:hAnsi="Courier New" w:hint="default"/>
      </w:rPr>
    </w:lvl>
    <w:lvl w:ilvl="5" w:tplc="C4161DF0" w:tentative="1">
      <w:start w:val="1"/>
      <w:numFmt w:val="bullet"/>
      <w:lvlText w:val=""/>
      <w:lvlJc w:val="left"/>
      <w:pPr>
        <w:ind w:left="4320" w:hanging="360"/>
      </w:pPr>
      <w:rPr>
        <w:rFonts w:ascii="Wingdings" w:hAnsi="Wingdings" w:hint="default"/>
      </w:rPr>
    </w:lvl>
    <w:lvl w:ilvl="6" w:tplc="FBF0BB82" w:tentative="1">
      <w:start w:val="1"/>
      <w:numFmt w:val="bullet"/>
      <w:lvlText w:val=""/>
      <w:lvlJc w:val="left"/>
      <w:pPr>
        <w:ind w:left="5040" w:hanging="360"/>
      </w:pPr>
      <w:rPr>
        <w:rFonts w:ascii="Symbol" w:hAnsi="Symbol" w:hint="default"/>
      </w:rPr>
    </w:lvl>
    <w:lvl w:ilvl="7" w:tplc="114CEE42" w:tentative="1">
      <w:start w:val="1"/>
      <w:numFmt w:val="bullet"/>
      <w:lvlText w:val="o"/>
      <w:lvlJc w:val="left"/>
      <w:pPr>
        <w:ind w:left="5760" w:hanging="360"/>
      </w:pPr>
      <w:rPr>
        <w:rFonts w:ascii="Courier New" w:hAnsi="Courier New" w:hint="default"/>
      </w:rPr>
    </w:lvl>
    <w:lvl w:ilvl="8" w:tplc="1C881720" w:tentative="1">
      <w:start w:val="1"/>
      <w:numFmt w:val="bullet"/>
      <w:lvlText w:val=""/>
      <w:lvlJc w:val="left"/>
      <w:pPr>
        <w:ind w:left="6480" w:hanging="360"/>
      </w:pPr>
      <w:rPr>
        <w:rFonts w:ascii="Wingdings" w:hAnsi="Wingdings" w:hint="default"/>
      </w:rPr>
    </w:lvl>
  </w:abstractNum>
  <w:abstractNum w:abstractNumId="245" w15:restartNumberingAfterBreak="0">
    <w:nsid w:val="222804CF"/>
    <w:multiLevelType w:val="hybridMultilevel"/>
    <w:tmpl w:val="399C8284"/>
    <w:lvl w:ilvl="0" w:tplc="ED0A4256">
      <w:start w:val="1"/>
      <w:numFmt w:val="bullet"/>
      <w:lvlText w:val=""/>
      <w:lvlJc w:val="left"/>
      <w:pPr>
        <w:ind w:left="720" w:hanging="360"/>
      </w:pPr>
      <w:rPr>
        <w:rFonts w:ascii="Symbol" w:hAnsi="Symbol" w:hint="default"/>
      </w:rPr>
    </w:lvl>
    <w:lvl w:ilvl="1" w:tplc="5D9CA408" w:tentative="1">
      <w:start w:val="1"/>
      <w:numFmt w:val="bullet"/>
      <w:lvlText w:val="o"/>
      <w:lvlJc w:val="left"/>
      <w:pPr>
        <w:ind w:left="1440" w:hanging="360"/>
      </w:pPr>
      <w:rPr>
        <w:rFonts w:ascii="Courier New" w:hAnsi="Courier New" w:hint="default"/>
      </w:rPr>
    </w:lvl>
    <w:lvl w:ilvl="2" w:tplc="37C2883E" w:tentative="1">
      <w:start w:val="1"/>
      <w:numFmt w:val="bullet"/>
      <w:lvlText w:val=""/>
      <w:lvlJc w:val="left"/>
      <w:pPr>
        <w:ind w:left="2160" w:hanging="360"/>
      </w:pPr>
      <w:rPr>
        <w:rFonts w:ascii="Wingdings" w:hAnsi="Wingdings" w:hint="default"/>
      </w:rPr>
    </w:lvl>
    <w:lvl w:ilvl="3" w:tplc="4EEAE338" w:tentative="1">
      <w:start w:val="1"/>
      <w:numFmt w:val="bullet"/>
      <w:lvlText w:val=""/>
      <w:lvlJc w:val="left"/>
      <w:pPr>
        <w:ind w:left="2880" w:hanging="360"/>
      </w:pPr>
      <w:rPr>
        <w:rFonts w:ascii="Symbol" w:hAnsi="Symbol" w:hint="default"/>
      </w:rPr>
    </w:lvl>
    <w:lvl w:ilvl="4" w:tplc="64382B58" w:tentative="1">
      <w:start w:val="1"/>
      <w:numFmt w:val="bullet"/>
      <w:lvlText w:val="o"/>
      <w:lvlJc w:val="left"/>
      <w:pPr>
        <w:ind w:left="3600" w:hanging="360"/>
      </w:pPr>
      <w:rPr>
        <w:rFonts w:ascii="Courier New" w:hAnsi="Courier New" w:hint="default"/>
      </w:rPr>
    </w:lvl>
    <w:lvl w:ilvl="5" w:tplc="3104AF06" w:tentative="1">
      <w:start w:val="1"/>
      <w:numFmt w:val="bullet"/>
      <w:lvlText w:val=""/>
      <w:lvlJc w:val="left"/>
      <w:pPr>
        <w:ind w:left="4320" w:hanging="360"/>
      </w:pPr>
      <w:rPr>
        <w:rFonts w:ascii="Wingdings" w:hAnsi="Wingdings" w:hint="default"/>
      </w:rPr>
    </w:lvl>
    <w:lvl w:ilvl="6" w:tplc="F06280C0" w:tentative="1">
      <w:start w:val="1"/>
      <w:numFmt w:val="bullet"/>
      <w:lvlText w:val=""/>
      <w:lvlJc w:val="left"/>
      <w:pPr>
        <w:ind w:left="5040" w:hanging="360"/>
      </w:pPr>
      <w:rPr>
        <w:rFonts w:ascii="Symbol" w:hAnsi="Symbol" w:hint="default"/>
      </w:rPr>
    </w:lvl>
    <w:lvl w:ilvl="7" w:tplc="AAB44F30" w:tentative="1">
      <w:start w:val="1"/>
      <w:numFmt w:val="bullet"/>
      <w:lvlText w:val="o"/>
      <w:lvlJc w:val="left"/>
      <w:pPr>
        <w:ind w:left="5760" w:hanging="360"/>
      </w:pPr>
      <w:rPr>
        <w:rFonts w:ascii="Courier New" w:hAnsi="Courier New" w:hint="default"/>
      </w:rPr>
    </w:lvl>
    <w:lvl w:ilvl="8" w:tplc="3DECD626" w:tentative="1">
      <w:start w:val="1"/>
      <w:numFmt w:val="bullet"/>
      <w:lvlText w:val=""/>
      <w:lvlJc w:val="left"/>
      <w:pPr>
        <w:ind w:left="6480" w:hanging="360"/>
      </w:pPr>
      <w:rPr>
        <w:rFonts w:ascii="Wingdings" w:hAnsi="Wingdings" w:hint="default"/>
      </w:rPr>
    </w:lvl>
  </w:abstractNum>
  <w:abstractNum w:abstractNumId="246" w15:restartNumberingAfterBreak="0">
    <w:nsid w:val="22C636D5"/>
    <w:multiLevelType w:val="multilevel"/>
    <w:tmpl w:val="AA18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231F15A0"/>
    <w:multiLevelType w:val="hybridMultilevel"/>
    <w:tmpl w:val="9BFC7F90"/>
    <w:lvl w:ilvl="0" w:tplc="30B02274">
      <w:start w:val="1"/>
      <w:numFmt w:val="bullet"/>
      <w:lvlText w:val=""/>
      <w:lvlJc w:val="left"/>
      <w:pPr>
        <w:ind w:left="720" w:hanging="360"/>
      </w:pPr>
      <w:rPr>
        <w:rFonts w:ascii="Symbol" w:hAnsi="Symbol" w:hint="default"/>
      </w:rPr>
    </w:lvl>
    <w:lvl w:ilvl="1" w:tplc="13DC47C8" w:tentative="1">
      <w:start w:val="1"/>
      <w:numFmt w:val="bullet"/>
      <w:lvlText w:val="o"/>
      <w:lvlJc w:val="left"/>
      <w:pPr>
        <w:ind w:left="1440" w:hanging="360"/>
      </w:pPr>
      <w:rPr>
        <w:rFonts w:ascii="Courier New" w:hAnsi="Courier New" w:hint="default"/>
      </w:rPr>
    </w:lvl>
    <w:lvl w:ilvl="2" w:tplc="178A4AD8" w:tentative="1">
      <w:start w:val="1"/>
      <w:numFmt w:val="bullet"/>
      <w:lvlText w:val=""/>
      <w:lvlJc w:val="left"/>
      <w:pPr>
        <w:ind w:left="2160" w:hanging="360"/>
      </w:pPr>
      <w:rPr>
        <w:rFonts w:ascii="Wingdings" w:hAnsi="Wingdings" w:hint="default"/>
      </w:rPr>
    </w:lvl>
    <w:lvl w:ilvl="3" w:tplc="9B963560" w:tentative="1">
      <w:start w:val="1"/>
      <w:numFmt w:val="bullet"/>
      <w:lvlText w:val=""/>
      <w:lvlJc w:val="left"/>
      <w:pPr>
        <w:ind w:left="2880" w:hanging="360"/>
      </w:pPr>
      <w:rPr>
        <w:rFonts w:ascii="Symbol" w:hAnsi="Symbol" w:hint="default"/>
      </w:rPr>
    </w:lvl>
    <w:lvl w:ilvl="4" w:tplc="27A08A5A" w:tentative="1">
      <w:start w:val="1"/>
      <w:numFmt w:val="bullet"/>
      <w:lvlText w:val="o"/>
      <w:lvlJc w:val="left"/>
      <w:pPr>
        <w:ind w:left="3600" w:hanging="360"/>
      </w:pPr>
      <w:rPr>
        <w:rFonts w:ascii="Courier New" w:hAnsi="Courier New" w:hint="default"/>
      </w:rPr>
    </w:lvl>
    <w:lvl w:ilvl="5" w:tplc="224C39F4" w:tentative="1">
      <w:start w:val="1"/>
      <w:numFmt w:val="bullet"/>
      <w:lvlText w:val=""/>
      <w:lvlJc w:val="left"/>
      <w:pPr>
        <w:ind w:left="4320" w:hanging="360"/>
      </w:pPr>
      <w:rPr>
        <w:rFonts w:ascii="Wingdings" w:hAnsi="Wingdings" w:hint="default"/>
      </w:rPr>
    </w:lvl>
    <w:lvl w:ilvl="6" w:tplc="CB121360" w:tentative="1">
      <w:start w:val="1"/>
      <w:numFmt w:val="bullet"/>
      <w:lvlText w:val=""/>
      <w:lvlJc w:val="left"/>
      <w:pPr>
        <w:ind w:left="5040" w:hanging="360"/>
      </w:pPr>
      <w:rPr>
        <w:rFonts w:ascii="Symbol" w:hAnsi="Symbol" w:hint="default"/>
      </w:rPr>
    </w:lvl>
    <w:lvl w:ilvl="7" w:tplc="D1204030" w:tentative="1">
      <w:start w:val="1"/>
      <w:numFmt w:val="bullet"/>
      <w:lvlText w:val="o"/>
      <w:lvlJc w:val="left"/>
      <w:pPr>
        <w:ind w:left="5760" w:hanging="360"/>
      </w:pPr>
      <w:rPr>
        <w:rFonts w:ascii="Courier New" w:hAnsi="Courier New" w:hint="default"/>
      </w:rPr>
    </w:lvl>
    <w:lvl w:ilvl="8" w:tplc="06D0DDA2" w:tentative="1">
      <w:start w:val="1"/>
      <w:numFmt w:val="bullet"/>
      <w:lvlText w:val=""/>
      <w:lvlJc w:val="left"/>
      <w:pPr>
        <w:ind w:left="6480" w:hanging="360"/>
      </w:pPr>
      <w:rPr>
        <w:rFonts w:ascii="Wingdings" w:hAnsi="Wingdings" w:hint="default"/>
      </w:rPr>
    </w:lvl>
  </w:abstractNum>
  <w:abstractNum w:abstractNumId="248" w15:restartNumberingAfterBreak="0">
    <w:nsid w:val="23262A1B"/>
    <w:multiLevelType w:val="multilevel"/>
    <w:tmpl w:val="1A9C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36A49C8"/>
    <w:multiLevelType w:val="multilevel"/>
    <w:tmpl w:val="7BA03472"/>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50" w15:restartNumberingAfterBreak="0">
    <w:nsid w:val="237615B0"/>
    <w:multiLevelType w:val="multilevel"/>
    <w:tmpl w:val="8C10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37E4385"/>
    <w:multiLevelType w:val="multilevel"/>
    <w:tmpl w:val="FC9A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3CC7989"/>
    <w:multiLevelType w:val="multilevel"/>
    <w:tmpl w:val="9AD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3DD03CC"/>
    <w:multiLevelType w:val="multilevel"/>
    <w:tmpl w:val="B64634E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54" w15:restartNumberingAfterBreak="0">
    <w:nsid w:val="23E9554B"/>
    <w:multiLevelType w:val="multilevel"/>
    <w:tmpl w:val="C0B8E03A"/>
    <w:lvl w:ilvl="0">
      <w:start w:val="2"/>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255" w15:restartNumberingAfterBreak="0">
    <w:nsid w:val="241A20E9"/>
    <w:multiLevelType w:val="hybridMultilevel"/>
    <w:tmpl w:val="889E99EE"/>
    <w:lvl w:ilvl="0" w:tplc="DFD0D0C8">
      <w:start w:val="1"/>
      <w:numFmt w:val="bullet"/>
      <w:lvlText w:val=""/>
      <w:lvlJc w:val="left"/>
      <w:pPr>
        <w:ind w:left="720" w:hanging="360"/>
      </w:pPr>
      <w:rPr>
        <w:rFonts w:ascii="Symbol" w:hAnsi="Symbol" w:hint="default"/>
      </w:rPr>
    </w:lvl>
    <w:lvl w:ilvl="1" w:tplc="0FD6CD42" w:tentative="1">
      <w:start w:val="1"/>
      <w:numFmt w:val="bullet"/>
      <w:lvlText w:val="o"/>
      <w:lvlJc w:val="left"/>
      <w:pPr>
        <w:ind w:left="1440" w:hanging="360"/>
      </w:pPr>
      <w:rPr>
        <w:rFonts w:ascii="Courier New" w:hAnsi="Courier New" w:hint="default"/>
      </w:rPr>
    </w:lvl>
    <w:lvl w:ilvl="2" w:tplc="D1EAB2F0" w:tentative="1">
      <w:start w:val="1"/>
      <w:numFmt w:val="bullet"/>
      <w:lvlText w:val=""/>
      <w:lvlJc w:val="left"/>
      <w:pPr>
        <w:ind w:left="2160" w:hanging="360"/>
      </w:pPr>
      <w:rPr>
        <w:rFonts w:ascii="Wingdings" w:hAnsi="Wingdings" w:hint="default"/>
      </w:rPr>
    </w:lvl>
    <w:lvl w:ilvl="3" w:tplc="3D46207A" w:tentative="1">
      <w:start w:val="1"/>
      <w:numFmt w:val="bullet"/>
      <w:lvlText w:val=""/>
      <w:lvlJc w:val="left"/>
      <w:pPr>
        <w:ind w:left="2880" w:hanging="360"/>
      </w:pPr>
      <w:rPr>
        <w:rFonts w:ascii="Symbol" w:hAnsi="Symbol" w:hint="default"/>
      </w:rPr>
    </w:lvl>
    <w:lvl w:ilvl="4" w:tplc="404AD94A" w:tentative="1">
      <w:start w:val="1"/>
      <w:numFmt w:val="bullet"/>
      <w:lvlText w:val="o"/>
      <w:lvlJc w:val="left"/>
      <w:pPr>
        <w:ind w:left="3600" w:hanging="360"/>
      </w:pPr>
      <w:rPr>
        <w:rFonts w:ascii="Courier New" w:hAnsi="Courier New" w:hint="default"/>
      </w:rPr>
    </w:lvl>
    <w:lvl w:ilvl="5" w:tplc="6B5E7B18" w:tentative="1">
      <w:start w:val="1"/>
      <w:numFmt w:val="bullet"/>
      <w:lvlText w:val=""/>
      <w:lvlJc w:val="left"/>
      <w:pPr>
        <w:ind w:left="4320" w:hanging="360"/>
      </w:pPr>
      <w:rPr>
        <w:rFonts w:ascii="Wingdings" w:hAnsi="Wingdings" w:hint="default"/>
      </w:rPr>
    </w:lvl>
    <w:lvl w:ilvl="6" w:tplc="A778500E" w:tentative="1">
      <w:start w:val="1"/>
      <w:numFmt w:val="bullet"/>
      <w:lvlText w:val=""/>
      <w:lvlJc w:val="left"/>
      <w:pPr>
        <w:ind w:left="5040" w:hanging="360"/>
      </w:pPr>
      <w:rPr>
        <w:rFonts w:ascii="Symbol" w:hAnsi="Symbol" w:hint="default"/>
      </w:rPr>
    </w:lvl>
    <w:lvl w:ilvl="7" w:tplc="A14A2FF0" w:tentative="1">
      <w:start w:val="1"/>
      <w:numFmt w:val="bullet"/>
      <w:lvlText w:val="o"/>
      <w:lvlJc w:val="left"/>
      <w:pPr>
        <w:ind w:left="5760" w:hanging="360"/>
      </w:pPr>
      <w:rPr>
        <w:rFonts w:ascii="Courier New" w:hAnsi="Courier New" w:hint="default"/>
      </w:rPr>
    </w:lvl>
    <w:lvl w:ilvl="8" w:tplc="6A546F78" w:tentative="1">
      <w:start w:val="1"/>
      <w:numFmt w:val="bullet"/>
      <w:lvlText w:val=""/>
      <w:lvlJc w:val="left"/>
      <w:pPr>
        <w:ind w:left="6480" w:hanging="360"/>
      </w:pPr>
      <w:rPr>
        <w:rFonts w:ascii="Wingdings" w:hAnsi="Wingdings" w:hint="default"/>
      </w:rPr>
    </w:lvl>
  </w:abstractNum>
  <w:abstractNum w:abstractNumId="256" w15:restartNumberingAfterBreak="0">
    <w:nsid w:val="24213B83"/>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7" w15:restartNumberingAfterBreak="0">
    <w:nsid w:val="2429038C"/>
    <w:multiLevelType w:val="multilevel"/>
    <w:tmpl w:val="66DC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4714697"/>
    <w:multiLevelType w:val="hybridMultilevel"/>
    <w:tmpl w:val="8514C4BE"/>
    <w:lvl w:ilvl="0" w:tplc="9304A96E">
      <w:start w:val="1"/>
      <w:numFmt w:val="bullet"/>
      <w:lvlText w:val=""/>
      <w:lvlJc w:val="left"/>
      <w:pPr>
        <w:ind w:left="720" w:hanging="360"/>
      </w:pPr>
      <w:rPr>
        <w:rFonts w:ascii="Symbol" w:hAnsi="Symbol" w:hint="default"/>
      </w:rPr>
    </w:lvl>
    <w:lvl w:ilvl="1" w:tplc="8DA8CEC0" w:tentative="1">
      <w:start w:val="1"/>
      <w:numFmt w:val="bullet"/>
      <w:lvlText w:val="o"/>
      <w:lvlJc w:val="left"/>
      <w:pPr>
        <w:ind w:left="1440" w:hanging="360"/>
      </w:pPr>
      <w:rPr>
        <w:rFonts w:ascii="Courier New" w:hAnsi="Courier New" w:hint="default"/>
      </w:rPr>
    </w:lvl>
    <w:lvl w:ilvl="2" w:tplc="31001630" w:tentative="1">
      <w:start w:val="1"/>
      <w:numFmt w:val="bullet"/>
      <w:lvlText w:val=""/>
      <w:lvlJc w:val="left"/>
      <w:pPr>
        <w:ind w:left="2160" w:hanging="360"/>
      </w:pPr>
      <w:rPr>
        <w:rFonts w:ascii="Wingdings" w:hAnsi="Wingdings" w:hint="default"/>
      </w:rPr>
    </w:lvl>
    <w:lvl w:ilvl="3" w:tplc="851CE328" w:tentative="1">
      <w:start w:val="1"/>
      <w:numFmt w:val="bullet"/>
      <w:lvlText w:val=""/>
      <w:lvlJc w:val="left"/>
      <w:pPr>
        <w:ind w:left="2880" w:hanging="360"/>
      </w:pPr>
      <w:rPr>
        <w:rFonts w:ascii="Symbol" w:hAnsi="Symbol" w:hint="default"/>
      </w:rPr>
    </w:lvl>
    <w:lvl w:ilvl="4" w:tplc="359CFA24" w:tentative="1">
      <w:start w:val="1"/>
      <w:numFmt w:val="bullet"/>
      <w:lvlText w:val="o"/>
      <w:lvlJc w:val="left"/>
      <w:pPr>
        <w:ind w:left="3600" w:hanging="360"/>
      </w:pPr>
      <w:rPr>
        <w:rFonts w:ascii="Courier New" w:hAnsi="Courier New" w:hint="default"/>
      </w:rPr>
    </w:lvl>
    <w:lvl w:ilvl="5" w:tplc="ECAC32AC" w:tentative="1">
      <w:start w:val="1"/>
      <w:numFmt w:val="bullet"/>
      <w:lvlText w:val=""/>
      <w:lvlJc w:val="left"/>
      <w:pPr>
        <w:ind w:left="4320" w:hanging="360"/>
      </w:pPr>
      <w:rPr>
        <w:rFonts w:ascii="Wingdings" w:hAnsi="Wingdings" w:hint="default"/>
      </w:rPr>
    </w:lvl>
    <w:lvl w:ilvl="6" w:tplc="4AFC0EB4" w:tentative="1">
      <w:start w:val="1"/>
      <w:numFmt w:val="bullet"/>
      <w:lvlText w:val=""/>
      <w:lvlJc w:val="left"/>
      <w:pPr>
        <w:ind w:left="5040" w:hanging="360"/>
      </w:pPr>
      <w:rPr>
        <w:rFonts w:ascii="Symbol" w:hAnsi="Symbol" w:hint="default"/>
      </w:rPr>
    </w:lvl>
    <w:lvl w:ilvl="7" w:tplc="6FD85368" w:tentative="1">
      <w:start w:val="1"/>
      <w:numFmt w:val="bullet"/>
      <w:lvlText w:val="o"/>
      <w:lvlJc w:val="left"/>
      <w:pPr>
        <w:ind w:left="5760" w:hanging="360"/>
      </w:pPr>
      <w:rPr>
        <w:rFonts w:ascii="Courier New" w:hAnsi="Courier New" w:hint="default"/>
      </w:rPr>
    </w:lvl>
    <w:lvl w:ilvl="8" w:tplc="3182D7C0" w:tentative="1">
      <w:start w:val="1"/>
      <w:numFmt w:val="bullet"/>
      <w:lvlText w:val=""/>
      <w:lvlJc w:val="left"/>
      <w:pPr>
        <w:ind w:left="6480" w:hanging="360"/>
      </w:pPr>
      <w:rPr>
        <w:rFonts w:ascii="Wingdings" w:hAnsi="Wingdings" w:hint="default"/>
      </w:rPr>
    </w:lvl>
  </w:abstractNum>
  <w:abstractNum w:abstractNumId="259" w15:restartNumberingAfterBreak="0">
    <w:nsid w:val="24842255"/>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0" w15:restartNumberingAfterBreak="0">
    <w:nsid w:val="248B1BA7"/>
    <w:multiLevelType w:val="multilevel"/>
    <w:tmpl w:val="137CF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4A0580C"/>
    <w:multiLevelType w:val="multilevel"/>
    <w:tmpl w:val="050A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24B745B8"/>
    <w:multiLevelType w:val="multilevel"/>
    <w:tmpl w:val="BEA8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4EF2367"/>
    <w:multiLevelType w:val="multilevel"/>
    <w:tmpl w:val="AD8A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24FC06B7"/>
    <w:multiLevelType w:val="multilevel"/>
    <w:tmpl w:val="AB36B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250A173F"/>
    <w:multiLevelType w:val="multilevel"/>
    <w:tmpl w:val="2760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251129E0"/>
    <w:multiLevelType w:val="hybridMultilevel"/>
    <w:tmpl w:val="7FB6E094"/>
    <w:lvl w:ilvl="0" w:tplc="F99A207C">
      <w:start w:val="1"/>
      <w:numFmt w:val="bullet"/>
      <w:lvlText w:val=""/>
      <w:lvlJc w:val="left"/>
      <w:pPr>
        <w:ind w:left="720" w:hanging="360"/>
      </w:pPr>
      <w:rPr>
        <w:rFonts w:ascii="Symbol" w:hAnsi="Symbol" w:hint="default"/>
      </w:rPr>
    </w:lvl>
    <w:lvl w:ilvl="1" w:tplc="8EC24420" w:tentative="1">
      <w:start w:val="1"/>
      <w:numFmt w:val="bullet"/>
      <w:lvlText w:val="o"/>
      <w:lvlJc w:val="left"/>
      <w:pPr>
        <w:ind w:left="1440" w:hanging="360"/>
      </w:pPr>
      <w:rPr>
        <w:rFonts w:ascii="Courier New" w:hAnsi="Courier New" w:hint="default"/>
      </w:rPr>
    </w:lvl>
    <w:lvl w:ilvl="2" w:tplc="14FEB8FC" w:tentative="1">
      <w:start w:val="1"/>
      <w:numFmt w:val="bullet"/>
      <w:lvlText w:val=""/>
      <w:lvlJc w:val="left"/>
      <w:pPr>
        <w:ind w:left="2160" w:hanging="360"/>
      </w:pPr>
      <w:rPr>
        <w:rFonts w:ascii="Wingdings" w:hAnsi="Wingdings" w:hint="default"/>
      </w:rPr>
    </w:lvl>
    <w:lvl w:ilvl="3" w:tplc="46D26E02" w:tentative="1">
      <w:start w:val="1"/>
      <w:numFmt w:val="bullet"/>
      <w:lvlText w:val=""/>
      <w:lvlJc w:val="left"/>
      <w:pPr>
        <w:ind w:left="2880" w:hanging="360"/>
      </w:pPr>
      <w:rPr>
        <w:rFonts w:ascii="Symbol" w:hAnsi="Symbol" w:hint="default"/>
      </w:rPr>
    </w:lvl>
    <w:lvl w:ilvl="4" w:tplc="B62063AE" w:tentative="1">
      <w:start w:val="1"/>
      <w:numFmt w:val="bullet"/>
      <w:lvlText w:val="o"/>
      <w:lvlJc w:val="left"/>
      <w:pPr>
        <w:ind w:left="3600" w:hanging="360"/>
      </w:pPr>
      <w:rPr>
        <w:rFonts w:ascii="Courier New" w:hAnsi="Courier New" w:hint="default"/>
      </w:rPr>
    </w:lvl>
    <w:lvl w:ilvl="5" w:tplc="9A727748" w:tentative="1">
      <w:start w:val="1"/>
      <w:numFmt w:val="bullet"/>
      <w:lvlText w:val=""/>
      <w:lvlJc w:val="left"/>
      <w:pPr>
        <w:ind w:left="4320" w:hanging="360"/>
      </w:pPr>
      <w:rPr>
        <w:rFonts w:ascii="Wingdings" w:hAnsi="Wingdings" w:hint="default"/>
      </w:rPr>
    </w:lvl>
    <w:lvl w:ilvl="6" w:tplc="62061E56" w:tentative="1">
      <w:start w:val="1"/>
      <w:numFmt w:val="bullet"/>
      <w:lvlText w:val=""/>
      <w:lvlJc w:val="left"/>
      <w:pPr>
        <w:ind w:left="5040" w:hanging="360"/>
      </w:pPr>
      <w:rPr>
        <w:rFonts w:ascii="Symbol" w:hAnsi="Symbol" w:hint="default"/>
      </w:rPr>
    </w:lvl>
    <w:lvl w:ilvl="7" w:tplc="2FEE0F6E" w:tentative="1">
      <w:start w:val="1"/>
      <w:numFmt w:val="bullet"/>
      <w:lvlText w:val="o"/>
      <w:lvlJc w:val="left"/>
      <w:pPr>
        <w:ind w:left="5760" w:hanging="360"/>
      </w:pPr>
      <w:rPr>
        <w:rFonts w:ascii="Courier New" w:hAnsi="Courier New" w:hint="default"/>
      </w:rPr>
    </w:lvl>
    <w:lvl w:ilvl="8" w:tplc="4D08BF16" w:tentative="1">
      <w:start w:val="1"/>
      <w:numFmt w:val="bullet"/>
      <w:lvlText w:val=""/>
      <w:lvlJc w:val="left"/>
      <w:pPr>
        <w:ind w:left="6480" w:hanging="360"/>
      </w:pPr>
      <w:rPr>
        <w:rFonts w:ascii="Wingdings" w:hAnsi="Wingdings" w:hint="default"/>
      </w:rPr>
    </w:lvl>
  </w:abstractNum>
  <w:abstractNum w:abstractNumId="267" w15:restartNumberingAfterBreak="0">
    <w:nsid w:val="251D720F"/>
    <w:multiLevelType w:val="multilevel"/>
    <w:tmpl w:val="7ACC4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255D2565"/>
    <w:multiLevelType w:val="multilevel"/>
    <w:tmpl w:val="8A7E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25613CF0"/>
    <w:multiLevelType w:val="multilevel"/>
    <w:tmpl w:val="F8DA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57C3F72"/>
    <w:multiLevelType w:val="multilevel"/>
    <w:tmpl w:val="5874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5EC007E"/>
    <w:multiLevelType w:val="hybridMultilevel"/>
    <w:tmpl w:val="FB80E8C8"/>
    <w:lvl w:ilvl="0" w:tplc="8946AF50">
      <w:start w:val="1"/>
      <w:numFmt w:val="bullet"/>
      <w:lvlText w:val=""/>
      <w:lvlJc w:val="left"/>
      <w:pPr>
        <w:ind w:left="720" w:hanging="360"/>
      </w:pPr>
      <w:rPr>
        <w:rFonts w:ascii="Symbol" w:hAnsi="Symbol" w:hint="default"/>
      </w:rPr>
    </w:lvl>
    <w:lvl w:ilvl="1" w:tplc="10725F9C" w:tentative="1">
      <w:start w:val="1"/>
      <w:numFmt w:val="bullet"/>
      <w:lvlText w:val="o"/>
      <w:lvlJc w:val="left"/>
      <w:pPr>
        <w:ind w:left="1440" w:hanging="360"/>
      </w:pPr>
      <w:rPr>
        <w:rFonts w:ascii="Courier New" w:hAnsi="Courier New" w:hint="default"/>
      </w:rPr>
    </w:lvl>
    <w:lvl w:ilvl="2" w:tplc="6BAAF7FC" w:tentative="1">
      <w:start w:val="1"/>
      <w:numFmt w:val="bullet"/>
      <w:lvlText w:val=""/>
      <w:lvlJc w:val="left"/>
      <w:pPr>
        <w:ind w:left="2160" w:hanging="360"/>
      </w:pPr>
      <w:rPr>
        <w:rFonts w:ascii="Wingdings" w:hAnsi="Wingdings" w:hint="default"/>
      </w:rPr>
    </w:lvl>
    <w:lvl w:ilvl="3" w:tplc="43BA950A" w:tentative="1">
      <w:start w:val="1"/>
      <w:numFmt w:val="bullet"/>
      <w:lvlText w:val=""/>
      <w:lvlJc w:val="left"/>
      <w:pPr>
        <w:ind w:left="2880" w:hanging="360"/>
      </w:pPr>
      <w:rPr>
        <w:rFonts w:ascii="Symbol" w:hAnsi="Symbol" w:hint="default"/>
      </w:rPr>
    </w:lvl>
    <w:lvl w:ilvl="4" w:tplc="29586110" w:tentative="1">
      <w:start w:val="1"/>
      <w:numFmt w:val="bullet"/>
      <w:lvlText w:val="o"/>
      <w:lvlJc w:val="left"/>
      <w:pPr>
        <w:ind w:left="3600" w:hanging="360"/>
      </w:pPr>
      <w:rPr>
        <w:rFonts w:ascii="Courier New" w:hAnsi="Courier New" w:hint="default"/>
      </w:rPr>
    </w:lvl>
    <w:lvl w:ilvl="5" w:tplc="17B625BA" w:tentative="1">
      <w:start w:val="1"/>
      <w:numFmt w:val="bullet"/>
      <w:lvlText w:val=""/>
      <w:lvlJc w:val="left"/>
      <w:pPr>
        <w:ind w:left="4320" w:hanging="360"/>
      </w:pPr>
      <w:rPr>
        <w:rFonts w:ascii="Wingdings" w:hAnsi="Wingdings" w:hint="default"/>
      </w:rPr>
    </w:lvl>
    <w:lvl w:ilvl="6" w:tplc="A6FE0FCC" w:tentative="1">
      <w:start w:val="1"/>
      <w:numFmt w:val="bullet"/>
      <w:lvlText w:val=""/>
      <w:lvlJc w:val="left"/>
      <w:pPr>
        <w:ind w:left="5040" w:hanging="360"/>
      </w:pPr>
      <w:rPr>
        <w:rFonts w:ascii="Symbol" w:hAnsi="Symbol" w:hint="default"/>
      </w:rPr>
    </w:lvl>
    <w:lvl w:ilvl="7" w:tplc="4FD4F13C" w:tentative="1">
      <w:start w:val="1"/>
      <w:numFmt w:val="bullet"/>
      <w:lvlText w:val="o"/>
      <w:lvlJc w:val="left"/>
      <w:pPr>
        <w:ind w:left="5760" w:hanging="360"/>
      </w:pPr>
      <w:rPr>
        <w:rFonts w:ascii="Courier New" w:hAnsi="Courier New" w:hint="default"/>
      </w:rPr>
    </w:lvl>
    <w:lvl w:ilvl="8" w:tplc="4D008A0A" w:tentative="1">
      <w:start w:val="1"/>
      <w:numFmt w:val="bullet"/>
      <w:lvlText w:val=""/>
      <w:lvlJc w:val="left"/>
      <w:pPr>
        <w:ind w:left="6480" w:hanging="360"/>
      </w:pPr>
      <w:rPr>
        <w:rFonts w:ascii="Wingdings" w:hAnsi="Wingdings" w:hint="default"/>
      </w:rPr>
    </w:lvl>
  </w:abstractNum>
  <w:abstractNum w:abstractNumId="272" w15:restartNumberingAfterBreak="0">
    <w:nsid w:val="260F4B5F"/>
    <w:multiLevelType w:val="multilevel"/>
    <w:tmpl w:val="6910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261E762E"/>
    <w:multiLevelType w:val="multilevel"/>
    <w:tmpl w:val="322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264601A6"/>
    <w:multiLevelType w:val="multilevel"/>
    <w:tmpl w:val="D140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267F18D9"/>
    <w:multiLevelType w:val="hybridMultilevel"/>
    <w:tmpl w:val="E3AA6D0A"/>
    <w:lvl w:ilvl="0" w:tplc="3AD685FC">
      <w:start w:val="1"/>
      <w:numFmt w:val="bullet"/>
      <w:lvlText w:val=""/>
      <w:lvlJc w:val="left"/>
      <w:pPr>
        <w:ind w:left="720" w:hanging="360"/>
      </w:pPr>
      <w:rPr>
        <w:rFonts w:ascii="Symbol" w:hAnsi="Symbol" w:hint="default"/>
      </w:rPr>
    </w:lvl>
    <w:lvl w:ilvl="1" w:tplc="BA04DCFC" w:tentative="1">
      <w:start w:val="1"/>
      <w:numFmt w:val="bullet"/>
      <w:lvlText w:val="o"/>
      <w:lvlJc w:val="left"/>
      <w:pPr>
        <w:ind w:left="1440" w:hanging="360"/>
      </w:pPr>
      <w:rPr>
        <w:rFonts w:ascii="Courier New" w:hAnsi="Courier New" w:hint="default"/>
      </w:rPr>
    </w:lvl>
    <w:lvl w:ilvl="2" w:tplc="474EDAF0" w:tentative="1">
      <w:start w:val="1"/>
      <w:numFmt w:val="bullet"/>
      <w:lvlText w:val=""/>
      <w:lvlJc w:val="left"/>
      <w:pPr>
        <w:ind w:left="2160" w:hanging="360"/>
      </w:pPr>
      <w:rPr>
        <w:rFonts w:ascii="Wingdings" w:hAnsi="Wingdings" w:hint="default"/>
      </w:rPr>
    </w:lvl>
    <w:lvl w:ilvl="3" w:tplc="AB16FAE4" w:tentative="1">
      <w:start w:val="1"/>
      <w:numFmt w:val="bullet"/>
      <w:lvlText w:val=""/>
      <w:lvlJc w:val="left"/>
      <w:pPr>
        <w:ind w:left="2880" w:hanging="360"/>
      </w:pPr>
      <w:rPr>
        <w:rFonts w:ascii="Symbol" w:hAnsi="Symbol" w:hint="default"/>
      </w:rPr>
    </w:lvl>
    <w:lvl w:ilvl="4" w:tplc="9B5A5BD4" w:tentative="1">
      <w:start w:val="1"/>
      <w:numFmt w:val="bullet"/>
      <w:lvlText w:val="o"/>
      <w:lvlJc w:val="left"/>
      <w:pPr>
        <w:ind w:left="3600" w:hanging="360"/>
      </w:pPr>
      <w:rPr>
        <w:rFonts w:ascii="Courier New" w:hAnsi="Courier New" w:hint="default"/>
      </w:rPr>
    </w:lvl>
    <w:lvl w:ilvl="5" w:tplc="5B6A475E" w:tentative="1">
      <w:start w:val="1"/>
      <w:numFmt w:val="bullet"/>
      <w:lvlText w:val=""/>
      <w:lvlJc w:val="left"/>
      <w:pPr>
        <w:ind w:left="4320" w:hanging="360"/>
      </w:pPr>
      <w:rPr>
        <w:rFonts w:ascii="Wingdings" w:hAnsi="Wingdings" w:hint="default"/>
      </w:rPr>
    </w:lvl>
    <w:lvl w:ilvl="6" w:tplc="55DC4B20" w:tentative="1">
      <w:start w:val="1"/>
      <w:numFmt w:val="bullet"/>
      <w:lvlText w:val=""/>
      <w:lvlJc w:val="left"/>
      <w:pPr>
        <w:ind w:left="5040" w:hanging="360"/>
      </w:pPr>
      <w:rPr>
        <w:rFonts w:ascii="Symbol" w:hAnsi="Symbol" w:hint="default"/>
      </w:rPr>
    </w:lvl>
    <w:lvl w:ilvl="7" w:tplc="67CC8B94" w:tentative="1">
      <w:start w:val="1"/>
      <w:numFmt w:val="bullet"/>
      <w:lvlText w:val="o"/>
      <w:lvlJc w:val="left"/>
      <w:pPr>
        <w:ind w:left="5760" w:hanging="360"/>
      </w:pPr>
      <w:rPr>
        <w:rFonts w:ascii="Courier New" w:hAnsi="Courier New" w:hint="default"/>
      </w:rPr>
    </w:lvl>
    <w:lvl w:ilvl="8" w:tplc="33383A2A" w:tentative="1">
      <w:start w:val="1"/>
      <w:numFmt w:val="bullet"/>
      <w:lvlText w:val=""/>
      <w:lvlJc w:val="left"/>
      <w:pPr>
        <w:ind w:left="6480" w:hanging="360"/>
      </w:pPr>
      <w:rPr>
        <w:rFonts w:ascii="Wingdings" w:hAnsi="Wingdings" w:hint="default"/>
      </w:rPr>
    </w:lvl>
  </w:abstractNum>
  <w:abstractNum w:abstractNumId="276" w15:restartNumberingAfterBreak="0">
    <w:nsid w:val="2688578E"/>
    <w:multiLevelType w:val="multilevel"/>
    <w:tmpl w:val="7830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26E429E8"/>
    <w:multiLevelType w:val="hybridMultilevel"/>
    <w:tmpl w:val="C5BEB15E"/>
    <w:lvl w:ilvl="0" w:tplc="405A222C">
      <w:start w:val="1"/>
      <w:numFmt w:val="bullet"/>
      <w:lvlText w:val=""/>
      <w:lvlJc w:val="left"/>
      <w:pPr>
        <w:ind w:left="720" w:hanging="360"/>
      </w:pPr>
      <w:rPr>
        <w:rFonts w:ascii="Symbol" w:hAnsi="Symbol" w:hint="default"/>
      </w:rPr>
    </w:lvl>
    <w:lvl w:ilvl="1" w:tplc="7B608F36" w:tentative="1">
      <w:start w:val="1"/>
      <w:numFmt w:val="bullet"/>
      <w:lvlText w:val="o"/>
      <w:lvlJc w:val="left"/>
      <w:pPr>
        <w:ind w:left="1440" w:hanging="360"/>
      </w:pPr>
      <w:rPr>
        <w:rFonts w:ascii="Courier New" w:hAnsi="Courier New" w:hint="default"/>
      </w:rPr>
    </w:lvl>
    <w:lvl w:ilvl="2" w:tplc="87A0761A" w:tentative="1">
      <w:start w:val="1"/>
      <w:numFmt w:val="bullet"/>
      <w:lvlText w:val=""/>
      <w:lvlJc w:val="left"/>
      <w:pPr>
        <w:ind w:left="2160" w:hanging="360"/>
      </w:pPr>
      <w:rPr>
        <w:rFonts w:ascii="Wingdings" w:hAnsi="Wingdings" w:hint="default"/>
      </w:rPr>
    </w:lvl>
    <w:lvl w:ilvl="3" w:tplc="2BCA415E" w:tentative="1">
      <w:start w:val="1"/>
      <w:numFmt w:val="bullet"/>
      <w:lvlText w:val=""/>
      <w:lvlJc w:val="left"/>
      <w:pPr>
        <w:ind w:left="2880" w:hanging="360"/>
      </w:pPr>
      <w:rPr>
        <w:rFonts w:ascii="Symbol" w:hAnsi="Symbol" w:hint="default"/>
      </w:rPr>
    </w:lvl>
    <w:lvl w:ilvl="4" w:tplc="3E940016" w:tentative="1">
      <w:start w:val="1"/>
      <w:numFmt w:val="bullet"/>
      <w:lvlText w:val="o"/>
      <w:lvlJc w:val="left"/>
      <w:pPr>
        <w:ind w:left="3600" w:hanging="360"/>
      </w:pPr>
      <w:rPr>
        <w:rFonts w:ascii="Courier New" w:hAnsi="Courier New" w:hint="default"/>
      </w:rPr>
    </w:lvl>
    <w:lvl w:ilvl="5" w:tplc="BEDC8B7E" w:tentative="1">
      <w:start w:val="1"/>
      <w:numFmt w:val="bullet"/>
      <w:lvlText w:val=""/>
      <w:lvlJc w:val="left"/>
      <w:pPr>
        <w:ind w:left="4320" w:hanging="360"/>
      </w:pPr>
      <w:rPr>
        <w:rFonts w:ascii="Wingdings" w:hAnsi="Wingdings" w:hint="default"/>
      </w:rPr>
    </w:lvl>
    <w:lvl w:ilvl="6" w:tplc="C52CE5CC" w:tentative="1">
      <w:start w:val="1"/>
      <w:numFmt w:val="bullet"/>
      <w:lvlText w:val=""/>
      <w:lvlJc w:val="left"/>
      <w:pPr>
        <w:ind w:left="5040" w:hanging="360"/>
      </w:pPr>
      <w:rPr>
        <w:rFonts w:ascii="Symbol" w:hAnsi="Symbol" w:hint="default"/>
      </w:rPr>
    </w:lvl>
    <w:lvl w:ilvl="7" w:tplc="4C62BD82" w:tentative="1">
      <w:start w:val="1"/>
      <w:numFmt w:val="bullet"/>
      <w:lvlText w:val="o"/>
      <w:lvlJc w:val="left"/>
      <w:pPr>
        <w:ind w:left="5760" w:hanging="360"/>
      </w:pPr>
      <w:rPr>
        <w:rFonts w:ascii="Courier New" w:hAnsi="Courier New" w:hint="default"/>
      </w:rPr>
    </w:lvl>
    <w:lvl w:ilvl="8" w:tplc="995CCA46" w:tentative="1">
      <w:start w:val="1"/>
      <w:numFmt w:val="bullet"/>
      <w:lvlText w:val=""/>
      <w:lvlJc w:val="left"/>
      <w:pPr>
        <w:ind w:left="6480" w:hanging="360"/>
      </w:pPr>
      <w:rPr>
        <w:rFonts w:ascii="Wingdings" w:hAnsi="Wingdings" w:hint="default"/>
      </w:rPr>
    </w:lvl>
  </w:abstractNum>
  <w:abstractNum w:abstractNumId="278" w15:restartNumberingAfterBreak="0">
    <w:nsid w:val="26E55E82"/>
    <w:multiLevelType w:val="hybridMultilevel"/>
    <w:tmpl w:val="E2BE429C"/>
    <w:lvl w:ilvl="0" w:tplc="40CC4758">
      <w:start w:val="1"/>
      <w:numFmt w:val="bullet"/>
      <w:lvlText w:val=""/>
      <w:lvlJc w:val="left"/>
      <w:pPr>
        <w:ind w:left="720" w:hanging="360"/>
      </w:pPr>
      <w:rPr>
        <w:rFonts w:ascii="Symbol" w:hAnsi="Symbol" w:hint="default"/>
      </w:rPr>
    </w:lvl>
    <w:lvl w:ilvl="1" w:tplc="7E121A9C">
      <w:start w:val="1"/>
      <w:numFmt w:val="bullet"/>
      <w:lvlText w:val="o"/>
      <w:lvlJc w:val="left"/>
      <w:pPr>
        <w:ind w:left="1440" w:hanging="360"/>
      </w:pPr>
      <w:rPr>
        <w:rFonts w:ascii="Courier New" w:hAnsi="Courier New" w:hint="default"/>
      </w:rPr>
    </w:lvl>
    <w:lvl w:ilvl="2" w:tplc="528C3550" w:tentative="1">
      <w:start w:val="1"/>
      <w:numFmt w:val="bullet"/>
      <w:lvlText w:val=""/>
      <w:lvlJc w:val="left"/>
      <w:pPr>
        <w:ind w:left="2160" w:hanging="360"/>
      </w:pPr>
      <w:rPr>
        <w:rFonts w:ascii="Wingdings" w:hAnsi="Wingdings" w:hint="default"/>
      </w:rPr>
    </w:lvl>
    <w:lvl w:ilvl="3" w:tplc="A24CC952" w:tentative="1">
      <w:start w:val="1"/>
      <w:numFmt w:val="bullet"/>
      <w:lvlText w:val=""/>
      <w:lvlJc w:val="left"/>
      <w:pPr>
        <w:ind w:left="2880" w:hanging="360"/>
      </w:pPr>
      <w:rPr>
        <w:rFonts w:ascii="Symbol" w:hAnsi="Symbol" w:hint="default"/>
      </w:rPr>
    </w:lvl>
    <w:lvl w:ilvl="4" w:tplc="E95AD614" w:tentative="1">
      <w:start w:val="1"/>
      <w:numFmt w:val="bullet"/>
      <w:lvlText w:val="o"/>
      <w:lvlJc w:val="left"/>
      <w:pPr>
        <w:ind w:left="3600" w:hanging="360"/>
      </w:pPr>
      <w:rPr>
        <w:rFonts w:ascii="Courier New" w:hAnsi="Courier New" w:hint="default"/>
      </w:rPr>
    </w:lvl>
    <w:lvl w:ilvl="5" w:tplc="6C0EF758" w:tentative="1">
      <w:start w:val="1"/>
      <w:numFmt w:val="bullet"/>
      <w:lvlText w:val=""/>
      <w:lvlJc w:val="left"/>
      <w:pPr>
        <w:ind w:left="4320" w:hanging="360"/>
      </w:pPr>
      <w:rPr>
        <w:rFonts w:ascii="Wingdings" w:hAnsi="Wingdings" w:hint="default"/>
      </w:rPr>
    </w:lvl>
    <w:lvl w:ilvl="6" w:tplc="6E202D72" w:tentative="1">
      <w:start w:val="1"/>
      <w:numFmt w:val="bullet"/>
      <w:lvlText w:val=""/>
      <w:lvlJc w:val="left"/>
      <w:pPr>
        <w:ind w:left="5040" w:hanging="360"/>
      </w:pPr>
      <w:rPr>
        <w:rFonts w:ascii="Symbol" w:hAnsi="Symbol" w:hint="default"/>
      </w:rPr>
    </w:lvl>
    <w:lvl w:ilvl="7" w:tplc="F4261BF2" w:tentative="1">
      <w:start w:val="1"/>
      <w:numFmt w:val="bullet"/>
      <w:lvlText w:val="o"/>
      <w:lvlJc w:val="left"/>
      <w:pPr>
        <w:ind w:left="5760" w:hanging="360"/>
      </w:pPr>
      <w:rPr>
        <w:rFonts w:ascii="Courier New" w:hAnsi="Courier New" w:hint="default"/>
      </w:rPr>
    </w:lvl>
    <w:lvl w:ilvl="8" w:tplc="9028B1AC" w:tentative="1">
      <w:start w:val="1"/>
      <w:numFmt w:val="bullet"/>
      <w:lvlText w:val=""/>
      <w:lvlJc w:val="left"/>
      <w:pPr>
        <w:ind w:left="6480" w:hanging="360"/>
      </w:pPr>
      <w:rPr>
        <w:rFonts w:ascii="Wingdings" w:hAnsi="Wingdings" w:hint="default"/>
      </w:rPr>
    </w:lvl>
  </w:abstractNum>
  <w:abstractNum w:abstractNumId="279" w15:restartNumberingAfterBreak="0">
    <w:nsid w:val="272734F4"/>
    <w:multiLevelType w:val="multilevel"/>
    <w:tmpl w:val="44E0967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80" w15:restartNumberingAfterBreak="0">
    <w:nsid w:val="27511250"/>
    <w:multiLevelType w:val="multilevel"/>
    <w:tmpl w:val="8E96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77B4A9A"/>
    <w:multiLevelType w:val="multilevel"/>
    <w:tmpl w:val="8504817A"/>
    <w:lvl w:ilvl="0">
      <w:start w:val="8"/>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82" w15:restartNumberingAfterBreak="0">
    <w:nsid w:val="278B4637"/>
    <w:multiLevelType w:val="hybridMultilevel"/>
    <w:tmpl w:val="D8F4B3D8"/>
    <w:lvl w:ilvl="0" w:tplc="6E94AFA0">
      <w:numFmt w:val="bullet"/>
      <w:lvlText w:val="•"/>
      <w:lvlJc w:val="left"/>
      <w:pPr>
        <w:ind w:left="720" w:hanging="360"/>
      </w:pPr>
      <w:rPr>
        <w:rFonts w:ascii="Aptos" w:hAnsi="Aptos" w:hint="default"/>
      </w:rPr>
    </w:lvl>
    <w:lvl w:ilvl="1" w:tplc="268AF598" w:tentative="1">
      <w:start w:val="1"/>
      <w:numFmt w:val="bullet"/>
      <w:lvlText w:val="o"/>
      <w:lvlJc w:val="left"/>
      <w:pPr>
        <w:ind w:left="1800" w:hanging="360"/>
      </w:pPr>
      <w:rPr>
        <w:rFonts w:ascii="Courier New" w:hAnsi="Courier New" w:hint="default"/>
      </w:rPr>
    </w:lvl>
    <w:lvl w:ilvl="2" w:tplc="7A9AD84C" w:tentative="1">
      <w:start w:val="1"/>
      <w:numFmt w:val="bullet"/>
      <w:lvlText w:val=""/>
      <w:lvlJc w:val="left"/>
      <w:pPr>
        <w:ind w:left="2520" w:hanging="360"/>
      </w:pPr>
      <w:rPr>
        <w:rFonts w:ascii="Wingdings" w:hAnsi="Wingdings" w:hint="default"/>
      </w:rPr>
    </w:lvl>
    <w:lvl w:ilvl="3" w:tplc="719250AC" w:tentative="1">
      <w:start w:val="1"/>
      <w:numFmt w:val="bullet"/>
      <w:lvlText w:val=""/>
      <w:lvlJc w:val="left"/>
      <w:pPr>
        <w:ind w:left="3240" w:hanging="360"/>
      </w:pPr>
      <w:rPr>
        <w:rFonts w:ascii="Symbol" w:hAnsi="Symbol" w:hint="default"/>
      </w:rPr>
    </w:lvl>
    <w:lvl w:ilvl="4" w:tplc="6E54FB70" w:tentative="1">
      <w:start w:val="1"/>
      <w:numFmt w:val="bullet"/>
      <w:lvlText w:val="o"/>
      <w:lvlJc w:val="left"/>
      <w:pPr>
        <w:ind w:left="3960" w:hanging="360"/>
      </w:pPr>
      <w:rPr>
        <w:rFonts w:ascii="Courier New" w:hAnsi="Courier New" w:hint="default"/>
      </w:rPr>
    </w:lvl>
    <w:lvl w:ilvl="5" w:tplc="A3545488" w:tentative="1">
      <w:start w:val="1"/>
      <w:numFmt w:val="bullet"/>
      <w:lvlText w:val=""/>
      <w:lvlJc w:val="left"/>
      <w:pPr>
        <w:ind w:left="4680" w:hanging="360"/>
      </w:pPr>
      <w:rPr>
        <w:rFonts w:ascii="Wingdings" w:hAnsi="Wingdings" w:hint="default"/>
      </w:rPr>
    </w:lvl>
    <w:lvl w:ilvl="6" w:tplc="6D721550" w:tentative="1">
      <w:start w:val="1"/>
      <w:numFmt w:val="bullet"/>
      <w:lvlText w:val=""/>
      <w:lvlJc w:val="left"/>
      <w:pPr>
        <w:ind w:left="5400" w:hanging="360"/>
      </w:pPr>
      <w:rPr>
        <w:rFonts w:ascii="Symbol" w:hAnsi="Symbol" w:hint="default"/>
      </w:rPr>
    </w:lvl>
    <w:lvl w:ilvl="7" w:tplc="194E0DE8" w:tentative="1">
      <w:start w:val="1"/>
      <w:numFmt w:val="bullet"/>
      <w:lvlText w:val="o"/>
      <w:lvlJc w:val="left"/>
      <w:pPr>
        <w:ind w:left="6120" w:hanging="360"/>
      </w:pPr>
      <w:rPr>
        <w:rFonts w:ascii="Courier New" w:hAnsi="Courier New" w:hint="default"/>
      </w:rPr>
    </w:lvl>
    <w:lvl w:ilvl="8" w:tplc="DACC44E0" w:tentative="1">
      <w:start w:val="1"/>
      <w:numFmt w:val="bullet"/>
      <w:lvlText w:val=""/>
      <w:lvlJc w:val="left"/>
      <w:pPr>
        <w:ind w:left="6840" w:hanging="360"/>
      </w:pPr>
      <w:rPr>
        <w:rFonts w:ascii="Wingdings" w:hAnsi="Wingdings" w:hint="default"/>
      </w:rPr>
    </w:lvl>
  </w:abstractNum>
  <w:abstractNum w:abstractNumId="283" w15:restartNumberingAfterBreak="0">
    <w:nsid w:val="27924CBB"/>
    <w:multiLevelType w:val="multilevel"/>
    <w:tmpl w:val="F1E4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7952797"/>
    <w:multiLevelType w:val="multilevel"/>
    <w:tmpl w:val="09CE8D7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85" w15:restartNumberingAfterBreak="0">
    <w:nsid w:val="27A05B51"/>
    <w:multiLevelType w:val="multilevel"/>
    <w:tmpl w:val="DAD82368"/>
    <w:lvl w:ilvl="0">
      <w:start w:val="4"/>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86" w15:restartNumberingAfterBreak="0">
    <w:nsid w:val="27A069B0"/>
    <w:multiLevelType w:val="hybridMultilevel"/>
    <w:tmpl w:val="B5B0C0E0"/>
    <w:lvl w:ilvl="0" w:tplc="A5008EEA">
      <w:start w:val="1"/>
      <w:numFmt w:val="bullet"/>
      <w:lvlText w:val=""/>
      <w:lvlJc w:val="left"/>
      <w:pPr>
        <w:ind w:left="720" w:hanging="360"/>
      </w:pPr>
      <w:rPr>
        <w:rFonts w:ascii="Symbol" w:hAnsi="Symbol" w:hint="default"/>
      </w:rPr>
    </w:lvl>
    <w:lvl w:ilvl="1" w:tplc="20AA5E9E" w:tentative="1">
      <w:start w:val="1"/>
      <w:numFmt w:val="bullet"/>
      <w:lvlText w:val="o"/>
      <w:lvlJc w:val="left"/>
      <w:pPr>
        <w:ind w:left="1440" w:hanging="360"/>
      </w:pPr>
      <w:rPr>
        <w:rFonts w:ascii="Courier New" w:hAnsi="Courier New" w:hint="default"/>
      </w:rPr>
    </w:lvl>
    <w:lvl w:ilvl="2" w:tplc="4AA87476" w:tentative="1">
      <w:start w:val="1"/>
      <w:numFmt w:val="bullet"/>
      <w:lvlText w:val=""/>
      <w:lvlJc w:val="left"/>
      <w:pPr>
        <w:ind w:left="2160" w:hanging="360"/>
      </w:pPr>
      <w:rPr>
        <w:rFonts w:ascii="Wingdings" w:hAnsi="Wingdings" w:hint="default"/>
      </w:rPr>
    </w:lvl>
    <w:lvl w:ilvl="3" w:tplc="424A89A0" w:tentative="1">
      <w:start w:val="1"/>
      <w:numFmt w:val="bullet"/>
      <w:lvlText w:val=""/>
      <w:lvlJc w:val="left"/>
      <w:pPr>
        <w:ind w:left="2880" w:hanging="360"/>
      </w:pPr>
      <w:rPr>
        <w:rFonts w:ascii="Symbol" w:hAnsi="Symbol" w:hint="default"/>
      </w:rPr>
    </w:lvl>
    <w:lvl w:ilvl="4" w:tplc="540CDBF8" w:tentative="1">
      <w:start w:val="1"/>
      <w:numFmt w:val="bullet"/>
      <w:lvlText w:val="o"/>
      <w:lvlJc w:val="left"/>
      <w:pPr>
        <w:ind w:left="3600" w:hanging="360"/>
      </w:pPr>
      <w:rPr>
        <w:rFonts w:ascii="Courier New" w:hAnsi="Courier New" w:hint="default"/>
      </w:rPr>
    </w:lvl>
    <w:lvl w:ilvl="5" w:tplc="78106506" w:tentative="1">
      <w:start w:val="1"/>
      <w:numFmt w:val="bullet"/>
      <w:lvlText w:val=""/>
      <w:lvlJc w:val="left"/>
      <w:pPr>
        <w:ind w:left="4320" w:hanging="360"/>
      </w:pPr>
      <w:rPr>
        <w:rFonts w:ascii="Wingdings" w:hAnsi="Wingdings" w:hint="default"/>
      </w:rPr>
    </w:lvl>
    <w:lvl w:ilvl="6" w:tplc="1D8E4F9A" w:tentative="1">
      <w:start w:val="1"/>
      <w:numFmt w:val="bullet"/>
      <w:lvlText w:val=""/>
      <w:lvlJc w:val="left"/>
      <w:pPr>
        <w:ind w:left="5040" w:hanging="360"/>
      </w:pPr>
      <w:rPr>
        <w:rFonts w:ascii="Symbol" w:hAnsi="Symbol" w:hint="default"/>
      </w:rPr>
    </w:lvl>
    <w:lvl w:ilvl="7" w:tplc="3640C0A2" w:tentative="1">
      <w:start w:val="1"/>
      <w:numFmt w:val="bullet"/>
      <w:lvlText w:val="o"/>
      <w:lvlJc w:val="left"/>
      <w:pPr>
        <w:ind w:left="5760" w:hanging="360"/>
      </w:pPr>
      <w:rPr>
        <w:rFonts w:ascii="Courier New" w:hAnsi="Courier New" w:hint="default"/>
      </w:rPr>
    </w:lvl>
    <w:lvl w:ilvl="8" w:tplc="8FEE22AE" w:tentative="1">
      <w:start w:val="1"/>
      <w:numFmt w:val="bullet"/>
      <w:lvlText w:val=""/>
      <w:lvlJc w:val="left"/>
      <w:pPr>
        <w:ind w:left="6480" w:hanging="360"/>
      </w:pPr>
      <w:rPr>
        <w:rFonts w:ascii="Wingdings" w:hAnsi="Wingdings" w:hint="default"/>
      </w:rPr>
    </w:lvl>
  </w:abstractNum>
  <w:abstractNum w:abstractNumId="287" w15:restartNumberingAfterBreak="0">
    <w:nsid w:val="27D1439D"/>
    <w:multiLevelType w:val="multilevel"/>
    <w:tmpl w:val="2D5E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27E65558"/>
    <w:multiLevelType w:val="hybridMultilevel"/>
    <w:tmpl w:val="A106ED78"/>
    <w:lvl w:ilvl="0" w:tplc="EC8A26CC">
      <w:start w:val="1"/>
      <w:numFmt w:val="bullet"/>
      <w:lvlText w:val=""/>
      <w:lvlJc w:val="left"/>
      <w:pPr>
        <w:ind w:left="720" w:hanging="360"/>
      </w:pPr>
      <w:rPr>
        <w:rFonts w:ascii="Symbol" w:hAnsi="Symbol" w:hint="default"/>
      </w:rPr>
    </w:lvl>
    <w:lvl w:ilvl="1" w:tplc="E8FC9E4C" w:tentative="1">
      <w:start w:val="1"/>
      <w:numFmt w:val="bullet"/>
      <w:lvlText w:val="o"/>
      <w:lvlJc w:val="left"/>
      <w:pPr>
        <w:ind w:left="1440" w:hanging="360"/>
      </w:pPr>
      <w:rPr>
        <w:rFonts w:ascii="Courier New" w:hAnsi="Courier New" w:hint="default"/>
      </w:rPr>
    </w:lvl>
    <w:lvl w:ilvl="2" w:tplc="54BAF95E" w:tentative="1">
      <w:start w:val="1"/>
      <w:numFmt w:val="bullet"/>
      <w:lvlText w:val=""/>
      <w:lvlJc w:val="left"/>
      <w:pPr>
        <w:ind w:left="2160" w:hanging="360"/>
      </w:pPr>
      <w:rPr>
        <w:rFonts w:ascii="Wingdings" w:hAnsi="Wingdings" w:hint="default"/>
      </w:rPr>
    </w:lvl>
    <w:lvl w:ilvl="3" w:tplc="1BB423CE" w:tentative="1">
      <w:start w:val="1"/>
      <w:numFmt w:val="bullet"/>
      <w:lvlText w:val=""/>
      <w:lvlJc w:val="left"/>
      <w:pPr>
        <w:ind w:left="2880" w:hanging="360"/>
      </w:pPr>
      <w:rPr>
        <w:rFonts w:ascii="Symbol" w:hAnsi="Symbol" w:hint="default"/>
      </w:rPr>
    </w:lvl>
    <w:lvl w:ilvl="4" w:tplc="14D0E862" w:tentative="1">
      <w:start w:val="1"/>
      <w:numFmt w:val="bullet"/>
      <w:lvlText w:val="o"/>
      <w:lvlJc w:val="left"/>
      <w:pPr>
        <w:ind w:left="3600" w:hanging="360"/>
      </w:pPr>
      <w:rPr>
        <w:rFonts w:ascii="Courier New" w:hAnsi="Courier New" w:hint="default"/>
      </w:rPr>
    </w:lvl>
    <w:lvl w:ilvl="5" w:tplc="BFA82C20" w:tentative="1">
      <w:start w:val="1"/>
      <w:numFmt w:val="bullet"/>
      <w:lvlText w:val=""/>
      <w:lvlJc w:val="left"/>
      <w:pPr>
        <w:ind w:left="4320" w:hanging="360"/>
      </w:pPr>
      <w:rPr>
        <w:rFonts w:ascii="Wingdings" w:hAnsi="Wingdings" w:hint="default"/>
      </w:rPr>
    </w:lvl>
    <w:lvl w:ilvl="6" w:tplc="42BC9174" w:tentative="1">
      <w:start w:val="1"/>
      <w:numFmt w:val="bullet"/>
      <w:lvlText w:val=""/>
      <w:lvlJc w:val="left"/>
      <w:pPr>
        <w:ind w:left="5040" w:hanging="360"/>
      </w:pPr>
      <w:rPr>
        <w:rFonts w:ascii="Symbol" w:hAnsi="Symbol" w:hint="default"/>
      </w:rPr>
    </w:lvl>
    <w:lvl w:ilvl="7" w:tplc="84BCB27A" w:tentative="1">
      <w:start w:val="1"/>
      <w:numFmt w:val="bullet"/>
      <w:lvlText w:val="o"/>
      <w:lvlJc w:val="left"/>
      <w:pPr>
        <w:ind w:left="5760" w:hanging="360"/>
      </w:pPr>
      <w:rPr>
        <w:rFonts w:ascii="Courier New" w:hAnsi="Courier New" w:hint="default"/>
      </w:rPr>
    </w:lvl>
    <w:lvl w:ilvl="8" w:tplc="88825C1C" w:tentative="1">
      <w:start w:val="1"/>
      <w:numFmt w:val="bullet"/>
      <w:lvlText w:val=""/>
      <w:lvlJc w:val="left"/>
      <w:pPr>
        <w:ind w:left="6480" w:hanging="360"/>
      </w:pPr>
      <w:rPr>
        <w:rFonts w:ascii="Wingdings" w:hAnsi="Wingdings" w:hint="default"/>
      </w:rPr>
    </w:lvl>
  </w:abstractNum>
  <w:abstractNum w:abstractNumId="289" w15:restartNumberingAfterBreak="0">
    <w:nsid w:val="28032D8F"/>
    <w:multiLevelType w:val="multilevel"/>
    <w:tmpl w:val="F90CD3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280D44AA"/>
    <w:multiLevelType w:val="hybridMultilevel"/>
    <w:tmpl w:val="C62E78A2"/>
    <w:lvl w:ilvl="0" w:tplc="B2B2FF34">
      <w:start w:val="1"/>
      <w:numFmt w:val="decimal"/>
      <w:lvlText w:val="%1."/>
      <w:lvlJc w:val="left"/>
      <w:pPr>
        <w:ind w:left="720" w:hanging="360"/>
      </w:pPr>
    </w:lvl>
    <w:lvl w:ilvl="1" w:tplc="FA0E84B6" w:tentative="1">
      <w:start w:val="1"/>
      <w:numFmt w:val="lowerLetter"/>
      <w:lvlText w:val="%2."/>
      <w:lvlJc w:val="left"/>
      <w:pPr>
        <w:ind w:left="1440" w:hanging="360"/>
      </w:pPr>
    </w:lvl>
    <w:lvl w:ilvl="2" w:tplc="DE5033DA" w:tentative="1">
      <w:start w:val="1"/>
      <w:numFmt w:val="lowerRoman"/>
      <w:lvlText w:val="%3."/>
      <w:lvlJc w:val="right"/>
      <w:pPr>
        <w:ind w:left="2160" w:hanging="180"/>
      </w:pPr>
    </w:lvl>
    <w:lvl w:ilvl="3" w:tplc="A9409F90" w:tentative="1">
      <w:start w:val="1"/>
      <w:numFmt w:val="decimal"/>
      <w:lvlText w:val="%4."/>
      <w:lvlJc w:val="left"/>
      <w:pPr>
        <w:ind w:left="2880" w:hanging="360"/>
      </w:pPr>
    </w:lvl>
    <w:lvl w:ilvl="4" w:tplc="C57EE54E" w:tentative="1">
      <w:start w:val="1"/>
      <w:numFmt w:val="lowerLetter"/>
      <w:lvlText w:val="%5."/>
      <w:lvlJc w:val="left"/>
      <w:pPr>
        <w:ind w:left="3600" w:hanging="360"/>
      </w:pPr>
    </w:lvl>
    <w:lvl w:ilvl="5" w:tplc="7BDC0F46" w:tentative="1">
      <w:start w:val="1"/>
      <w:numFmt w:val="lowerRoman"/>
      <w:lvlText w:val="%6."/>
      <w:lvlJc w:val="right"/>
      <w:pPr>
        <w:ind w:left="4320" w:hanging="180"/>
      </w:pPr>
    </w:lvl>
    <w:lvl w:ilvl="6" w:tplc="4FE0A70A" w:tentative="1">
      <w:start w:val="1"/>
      <w:numFmt w:val="decimal"/>
      <w:lvlText w:val="%7."/>
      <w:lvlJc w:val="left"/>
      <w:pPr>
        <w:ind w:left="5040" w:hanging="360"/>
      </w:pPr>
    </w:lvl>
    <w:lvl w:ilvl="7" w:tplc="9BA82224" w:tentative="1">
      <w:start w:val="1"/>
      <w:numFmt w:val="lowerLetter"/>
      <w:lvlText w:val="%8."/>
      <w:lvlJc w:val="left"/>
      <w:pPr>
        <w:ind w:left="5760" w:hanging="360"/>
      </w:pPr>
    </w:lvl>
    <w:lvl w:ilvl="8" w:tplc="1C6C9BB4" w:tentative="1">
      <w:start w:val="1"/>
      <w:numFmt w:val="lowerRoman"/>
      <w:lvlText w:val="%9."/>
      <w:lvlJc w:val="right"/>
      <w:pPr>
        <w:ind w:left="6480" w:hanging="180"/>
      </w:pPr>
    </w:lvl>
  </w:abstractNum>
  <w:abstractNum w:abstractNumId="291" w15:restartNumberingAfterBreak="0">
    <w:nsid w:val="280F7B4F"/>
    <w:multiLevelType w:val="multilevel"/>
    <w:tmpl w:val="A0EE5A4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92" w15:restartNumberingAfterBreak="0">
    <w:nsid w:val="282D739A"/>
    <w:multiLevelType w:val="multilevel"/>
    <w:tmpl w:val="329E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86E4ADF"/>
    <w:multiLevelType w:val="multilevel"/>
    <w:tmpl w:val="33B8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289D3B38"/>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5" w15:restartNumberingAfterBreak="0">
    <w:nsid w:val="28C12171"/>
    <w:multiLevelType w:val="hybridMultilevel"/>
    <w:tmpl w:val="4C4EBE8E"/>
    <w:lvl w:ilvl="0" w:tplc="7D5484B6">
      <w:start w:val="1"/>
      <w:numFmt w:val="bullet"/>
      <w:lvlText w:val=""/>
      <w:lvlJc w:val="left"/>
      <w:pPr>
        <w:ind w:left="720" w:hanging="360"/>
      </w:pPr>
      <w:rPr>
        <w:rFonts w:ascii="Symbol" w:hAnsi="Symbol" w:hint="default"/>
      </w:rPr>
    </w:lvl>
    <w:lvl w:ilvl="1" w:tplc="AFCEE7AC" w:tentative="1">
      <w:start w:val="1"/>
      <w:numFmt w:val="bullet"/>
      <w:lvlText w:val="o"/>
      <w:lvlJc w:val="left"/>
      <w:pPr>
        <w:ind w:left="1440" w:hanging="360"/>
      </w:pPr>
      <w:rPr>
        <w:rFonts w:ascii="Courier New" w:hAnsi="Courier New" w:hint="default"/>
      </w:rPr>
    </w:lvl>
    <w:lvl w:ilvl="2" w:tplc="38626418" w:tentative="1">
      <w:start w:val="1"/>
      <w:numFmt w:val="bullet"/>
      <w:lvlText w:val=""/>
      <w:lvlJc w:val="left"/>
      <w:pPr>
        <w:ind w:left="2160" w:hanging="360"/>
      </w:pPr>
      <w:rPr>
        <w:rFonts w:ascii="Wingdings" w:hAnsi="Wingdings" w:hint="default"/>
      </w:rPr>
    </w:lvl>
    <w:lvl w:ilvl="3" w:tplc="6FFCB322" w:tentative="1">
      <w:start w:val="1"/>
      <w:numFmt w:val="bullet"/>
      <w:lvlText w:val=""/>
      <w:lvlJc w:val="left"/>
      <w:pPr>
        <w:ind w:left="2880" w:hanging="360"/>
      </w:pPr>
      <w:rPr>
        <w:rFonts w:ascii="Symbol" w:hAnsi="Symbol" w:hint="default"/>
      </w:rPr>
    </w:lvl>
    <w:lvl w:ilvl="4" w:tplc="B762D7DC" w:tentative="1">
      <w:start w:val="1"/>
      <w:numFmt w:val="bullet"/>
      <w:lvlText w:val="o"/>
      <w:lvlJc w:val="left"/>
      <w:pPr>
        <w:ind w:left="3600" w:hanging="360"/>
      </w:pPr>
      <w:rPr>
        <w:rFonts w:ascii="Courier New" w:hAnsi="Courier New" w:hint="default"/>
      </w:rPr>
    </w:lvl>
    <w:lvl w:ilvl="5" w:tplc="925E82EC" w:tentative="1">
      <w:start w:val="1"/>
      <w:numFmt w:val="bullet"/>
      <w:lvlText w:val=""/>
      <w:lvlJc w:val="left"/>
      <w:pPr>
        <w:ind w:left="4320" w:hanging="360"/>
      </w:pPr>
      <w:rPr>
        <w:rFonts w:ascii="Wingdings" w:hAnsi="Wingdings" w:hint="default"/>
      </w:rPr>
    </w:lvl>
    <w:lvl w:ilvl="6" w:tplc="216A3B50" w:tentative="1">
      <w:start w:val="1"/>
      <w:numFmt w:val="bullet"/>
      <w:lvlText w:val=""/>
      <w:lvlJc w:val="left"/>
      <w:pPr>
        <w:ind w:left="5040" w:hanging="360"/>
      </w:pPr>
      <w:rPr>
        <w:rFonts w:ascii="Symbol" w:hAnsi="Symbol" w:hint="default"/>
      </w:rPr>
    </w:lvl>
    <w:lvl w:ilvl="7" w:tplc="D73A7672" w:tentative="1">
      <w:start w:val="1"/>
      <w:numFmt w:val="bullet"/>
      <w:lvlText w:val="o"/>
      <w:lvlJc w:val="left"/>
      <w:pPr>
        <w:ind w:left="5760" w:hanging="360"/>
      </w:pPr>
      <w:rPr>
        <w:rFonts w:ascii="Courier New" w:hAnsi="Courier New" w:hint="default"/>
      </w:rPr>
    </w:lvl>
    <w:lvl w:ilvl="8" w:tplc="95D69DA0" w:tentative="1">
      <w:start w:val="1"/>
      <w:numFmt w:val="bullet"/>
      <w:lvlText w:val=""/>
      <w:lvlJc w:val="left"/>
      <w:pPr>
        <w:ind w:left="6480" w:hanging="360"/>
      </w:pPr>
      <w:rPr>
        <w:rFonts w:ascii="Wingdings" w:hAnsi="Wingdings" w:hint="default"/>
      </w:rPr>
    </w:lvl>
  </w:abstractNum>
  <w:abstractNum w:abstractNumId="296" w15:restartNumberingAfterBreak="0">
    <w:nsid w:val="290F5E16"/>
    <w:multiLevelType w:val="multilevel"/>
    <w:tmpl w:val="8630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93B017D"/>
    <w:multiLevelType w:val="multilevel"/>
    <w:tmpl w:val="74CC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9850EF2"/>
    <w:multiLevelType w:val="multilevel"/>
    <w:tmpl w:val="3F58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29876357"/>
    <w:multiLevelType w:val="multilevel"/>
    <w:tmpl w:val="8AC8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29AF5157"/>
    <w:multiLevelType w:val="hybridMultilevel"/>
    <w:tmpl w:val="686C6C1E"/>
    <w:lvl w:ilvl="0" w:tplc="D84EDAE0">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5C28C636" w:tentative="1">
      <w:start w:val="1"/>
      <w:numFmt w:val="bullet"/>
      <w:lvlText w:val="o"/>
      <w:lvlJc w:val="left"/>
      <w:pPr>
        <w:ind w:left="1440" w:hanging="360"/>
      </w:pPr>
      <w:rPr>
        <w:rFonts w:ascii="Courier New" w:hAnsi="Courier New" w:hint="default"/>
      </w:rPr>
    </w:lvl>
    <w:lvl w:ilvl="2" w:tplc="8634E0D6" w:tentative="1">
      <w:start w:val="1"/>
      <w:numFmt w:val="bullet"/>
      <w:lvlText w:val=""/>
      <w:lvlJc w:val="left"/>
      <w:pPr>
        <w:ind w:left="2160" w:hanging="360"/>
      </w:pPr>
      <w:rPr>
        <w:rFonts w:ascii="Wingdings" w:hAnsi="Wingdings" w:hint="default"/>
      </w:rPr>
    </w:lvl>
    <w:lvl w:ilvl="3" w:tplc="05FE227C" w:tentative="1">
      <w:start w:val="1"/>
      <w:numFmt w:val="bullet"/>
      <w:lvlText w:val=""/>
      <w:lvlJc w:val="left"/>
      <w:pPr>
        <w:ind w:left="2880" w:hanging="360"/>
      </w:pPr>
      <w:rPr>
        <w:rFonts w:ascii="Symbol" w:hAnsi="Symbol" w:hint="default"/>
      </w:rPr>
    </w:lvl>
    <w:lvl w:ilvl="4" w:tplc="4CF6CA76" w:tentative="1">
      <w:start w:val="1"/>
      <w:numFmt w:val="bullet"/>
      <w:lvlText w:val="o"/>
      <w:lvlJc w:val="left"/>
      <w:pPr>
        <w:ind w:left="3600" w:hanging="360"/>
      </w:pPr>
      <w:rPr>
        <w:rFonts w:ascii="Courier New" w:hAnsi="Courier New" w:hint="default"/>
      </w:rPr>
    </w:lvl>
    <w:lvl w:ilvl="5" w:tplc="97644FC6" w:tentative="1">
      <w:start w:val="1"/>
      <w:numFmt w:val="bullet"/>
      <w:lvlText w:val=""/>
      <w:lvlJc w:val="left"/>
      <w:pPr>
        <w:ind w:left="4320" w:hanging="360"/>
      </w:pPr>
      <w:rPr>
        <w:rFonts w:ascii="Wingdings" w:hAnsi="Wingdings" w:hint="default"/>
      </w:rPr>
    </w:lvl>
    <w:lvl w:ilvl="6" w:tplc="F2F8BB26" w:tentative="1">
      <w:start w:val="1"/>
      <w:numFmt w:val="bullet"/>
      <w:lvlText w:val=""/>
      <w:lvlJc w:val="left"/>
      <w:pPr>
        <w:ind w:left="5040" w:hanging="360"/>
      </w:pPr>
      <w:rPr>
        <w:rFonts w:ascii="Symbol" w:hAnsi="Symbol" w:hint="default"/>
      </w:rPr>
    </w:lvl>
    <w:lvl w:ilvl="7" w:tplc="201C2706" w:tentative="1">
      <w:start w:val="1"/>
      <w:numFmt w:val="bullet"/>
      <w:lvlText w:val="o"/>
      <w:lvlJc w:val="left"/>
      <w:pPr>
        <w:ind w:left="5760" w:hanging="360"/>
      </w:pPr>
      <w:rPr>
        <w:rFonts w:ascii="Courier New" w:hAnsi="Courier New" w:hint="default"/>
      </w:rPr>
    </w:lvl>
    <w:lvl w:ilvl="8" w:tplc="61BE426E" w:tentative="1">
      <w:start w:val="1"/>
      <w:numFmt w:val="bullet"/>
      <w:lvlText w:val=""/>
      <w:lvlJc w:val="left"/>
      <w:pPr>
        <w:ind w:left="6480" w:hanging="360"/>
      </w:pPr>
      <w:rPr>
        <w:rFonts w:ascii="Wingdings" w:hAnsi="Wingdings" w:hint="default"/>
      </w:rPr>
    </w:lvl>
  </w:abstractNum>
  <w:abstractNum w:abstractNumId="301" w15:restartNumberingAfterBreak="0">
    <w:nsid w:val="2A1E769E"/>
    <w:multiLevelType w:val="multilevel"/>
    <w:tmpl w:val="D5D0124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2" w15:restartNumberingAfterBreak="0">
    <w:nsid w:val="2A27482B"/>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2A3B4985"/>
    <w:multiLevelType w:val="hybridMultilevel"/>
    <w:tmpl w:val="6A5CA866"/>
    <w:lvl w:ilvl="0" w:tplc="C9380816">
      <w:start w:val="1"/>
      <w:numFmt w:val="decimal"/>
      <w:lvlText w:val="%1."/>
      <w:lvlJc w:val="left"/>
      <w:pPr>
        <w:ind w:left="720" w:hanging="360"/>
      </w:pPr>
    </w:lvl>
    <w:lvl w:ilvl="1" w:tplc="96D022D6" w:tentative="1">
      <w:start w:val="1"/>
      <w:numFmt w:val="lowerLetter"/>
      <w:lvlText w:val="%2."/>
      <w:lvlJc w:val="left"/>
      <w:pPr>
        <w:ind w:left="1440" w:hanging="360"/>
      </w:pPr>
    </w:lvl>
    <w:lvl w:ilvl="2" w:tplc="BEF65AAE" w:tentative="1">
      <w:start w:val="1"/>
      <w:numFmt w:val="lowerRoman"/>
      <w:lvlText w:val="%3."/>
      <w:lvlJc w:val="right"/>
      <w:pPr>
        <w:ind w:left="2160" w:hanging="180"/>
      </w:pPr>
    </w:lvl>
    <w:lvl w:ilvl="3" w:tplc="46FA5698" w:tentative="1">
      <w:start w:val="1"/>
      <w:numFmt w:val="decimal"/>
      <w:lvlText w:val="%4."/>
      <w:lvlJc w:val="left"/>
      <w:pPr>
        <w:ind w:left="2880" w:hanging="360"/>
      </w:pPr>
    </w:lvl>
    <w:lvl w:ilvl="4" w:tplc="5888F380" w:tentative="1">
      <w:start w:val="1"/>
      <w:numFmt w:val="lowerLetter"/>
      <w:lvlText w:val="%5."/>
      <w:lvlJc w:val="left"/>
      <w:pPr>
        <w:ind w:left="3600" w:hanging="360"/>
      </w:pPr>
    </w:lvl>
    <w:lvl w:ilvl="5" w:tplc="F7B2F4FC" w:tentative="1">
      <w:start w:val="1"/>
      <w:numFmt w:val="lowerRoman"/>
      <w:lvlText w:val="%6."/>
      <w:lvlJc w:val="right"/>
      <w:pPr>
        <w:ind w:left="4320" w:hanging="180"/>
      </w:pPr>
    </w:lvl>
    <w:lvl w:ilvl="6" w:tplc="03CAA9C8" w:tentative="1">
      <w:start w:val="1"/>
      <w:numFmt w:val="decimal"/>
      <w:lvlText w:val="%7."/>
      <w:lvlJc w:val="left"/>
      <w:pPr>
        <w:ind w:left="5040" w:hanging="360"/>
      </w:pPr>
    </w:lvl>
    <w:lvl w:ilvl="7" w:tplc="DAD0E7C4" w:tentative="1">
      <w:start w:val="1"/>
      <w:numFmt w:val="lowerLetter"/>
      <w:lvlText w:val="%8."/>
      <w:lvlJc w:val="left"/>
      <w:pPr>
        <w:ind w:left="5760" w:hanging="360"/>
      </w:pPr>
    </w:lvl>
    <w:lvl w:ilvl="8" w:tplc="F404C3BC" w:tentative="1">
      <w:start w:val="1"/>
      <w:numFmt w:val="lowerRoman"/>
      <w:lvlText w:val="%9."/>
      <w:lvlJc w:val="right"/>
      <w:pPr>
        <w:ind w:left="6480" w:hanging="180"/>
      </w:pPr>
    </w:lvl>
  </w:abstractNum>
  <w:abstractNum w:abstractNumId="304" w15:restartNumberingAfterBreak="0">
    <w:nsid w:val="2AC633ED"/>
    <w:multiLevelType w:val="multilevel"/>
    <w:tmpl w:val="A426DF2C"/>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305" w15:restartNumberingAfterBreak="0">
    <w:nsid w:val="2ACD2926"/>
    <w:multiLevelType w:val="multilevel"/>
    <w:tmpl w:val="95A8EAD4"/>
    <w:lvl w:ilvl="0">
      <w:start w:val="4"/>
      <w:numFmt w:val="lowerLetter"/>
      <w:lvlText w:val="%1."/>
      <w:lvlJc w:val="left"/>
      <w:pPr>
        <w:tabs>
          <w:tab w:val="num" w:pos="0"/>
        </w:tabs>
        <w:ind w:left="0" w:hanging="360"/>
      </w:pPr>
    </w:lvl>
    <w:lvl w:ilvl="1" w:tentative="1">
      <w:start w:val="1"/>
      <w:numFmt w:val="lowerLetter"/>
      <w:lvlText w:val="%2."/>
      <w:lvlJc w:val="left"/>
      <w:pPr>
        <w:tabs>
          <w:tab w:val="num" w:pos="720"/>
        </w:tabs>
        <w:ind w:left="720" w:hanging="360"/>
      </w:pPr>
    </w:lvl>
    <w:lvl w:ilvl="2" w:tentative="1">
      <w:start w:val="1"/>
      <w:numFmt w:val="lowerLetter"/>
      <w:lvlText w:val="%3."/>
      <w:lvlJc w:val="left"/>
      <w:pPr>
        <w:tabs>
          <w:tab w:val="num" w:pos="1440"/>
        </w:tabs>
        <w:ind w:left="1440" w:hanging="360"/>
      </w:pPr>
    </w:lvl>
    <w:lvl w:ilvl="3" w:tentative="1">
      <w:start w:val="1"/>
      <w:numFmt w:val="lowerLetter"/>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Letter"/>
      <w:lvlText w:val="%6."/>
      <w:lvlJc w:val="left"/>
      <w:pPr>
        <w:tabs>
          <w:tab w:val="num" w:pos="3600"/>
        </w:tabs>
        <w:ind w:left="3600" w:hanging="360"/>
      </w:pPr>
    </w:lvl>
    <w:lvl w:ilvl="6" w:tentative="1">
      <w:start w:val="1"/>
      <w:numFmt w:val="lowerLetter"/>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Letter"/>
      <w:lvlText w:val="%9."/>
      <w:lvlJc w:val="left"/>
      <w:pPr>
        <w:tabs>
          <w:tab w:val="num" w:pos="5760"/>
        </w:tabs>
        <w:ind w:left="5760" w:hanging="360"/>
      </w:pPr>
    </w:lvl>
  </w:abstractNum>
  <w:abstractNum w:abstractNumId="306" w15:restartNumberingAfterBreak="0">
    <w:nsid w:val="2AE71001"/>
    <w:multiLevelType w:val="hybridMultilevel"/>
    <w:tmpl w:val="3A38DA9C"/>
    <w:lvl w:ilvl="0" w:tplc="28C8F9FC">
      <w:start w:val="1"/>
      <w:numFmt w:val="bullet"/>
      <w:lvlText w:val=""/>
      <w:lvlJc w:val="left"/>
      <w:pPr>
        <w:ind w:left="720" w:hanging="360"/>
      </w:pPr>
      <w:rPr>
        <w:rFonts w:ascii="Symbol" w:hAnsi="Symbol" w:hint="default"/>
      </w:rPr>
    </w:lvl>
    <w:lvl w:ilvl="1" w:tplc="F8440AFE" w:tentative="1">
      <w:start w:val="1"/>
      <w:numFmt w:val="bullet"/>
      <w:lvlText w:val="o"/>
      <w:lvlJc w:val="left"/>
      <w:pPr>
        <w:ind w:left="1440" w:hanging="360"/>
      </w:pPr>
      <w:rPr>
        <w:rFonts w:ascii="Courier New" w:hAnsi="Courier New" w:hint="default"/>
      </w:rPr>
    </w:lvl>
    <w:lvl w:ilvl="2" w:tplc="F5FAFE40" w:tentative="1">
      <w:start w:val="1"/>
      <w:numFmt w:val="bullet"/>
      <w:lvlText w:val=""/>
      <w:lvlJc w:val="left"/>
      <w:pPr>
        <w:ind w:left="2160" w:hanging="360"/>
      </w:pPr>
      <w:rPr>
        <w:rFonts w:ascii="Wingdings" w:hAnsi="Wingdings" w:hint="default"/>
      </w:rPr>
    </w:lvl>
    <w:lvl w:ilvl="3" w:tplc="7AC2D274" w:tentative="1">
      <w:start w:val="1"/>
      <w:numFmt w:val="bullet"/>
      <w:lvlText w:val=""/>
      <w:lvlJc w:val="left"/>
      <w:pPr>
        <w:ind w:left="2880" w:hanging="360"/>
      </w:pPr>
      <w:rPr>
        <w:rFonts w:ascii="Symbol" w:hAnsi="Symbol" w:hint="default"/>
      </w:rPr>
    </w:lvl>
    <w:lvl w:ilvl="4" w:tplc="3542A22E" w:tentative="1">
      <w:start w:val="1"/>
      <w:numFmt w:val="bullet"/>
      <w:lvlText w:val="o"/>
      <w:lvlJc w:val="left"/>
      <w:pPr>
        <w:ind w:left="3600" w:hanging="360"/>
      </w:pPr>
      <w:rPr>
        <w:rFonts w:ascii="Courier New" w:hAnsi="Courier New" w:hint="default"/>
      </w:rPr>
    </w:lvl>
    <w:lvl w:ilvl="5" w:tplc="2B720566" w:tentative="1">
      <w:start w:val="1"/>
      <w:numFmt w:val="bullet"/>
      <w:lvlText w:val=""/>
      <w:lvlJc w:val="left"/>
      <w:pPr>
        <w:ind w:left="4320" w:hanging="360"/>
      </w:pPr>
      <w:rPr>
        <w:rFonts w:ascii="Wingdings" w:hAnsi="Wingdings" w:hint="default"/>
      </w:rPr>
    </w:lvl>
    <w:lvl w:ilvl="6" w:tplc="9CB41456" w:tentative="1">
      <w:start w:val="1"/>
      <w:numFmt w:val="bullet"/>
      <w:lvlText w:val=""/>
      <w:lvlJc w:val="left"/>
      <w:pPr>
        <w:ind w:left="5040" w:hanging="360"/>
      </w:pPr>
      <w:rPr>
        <w:rFonts w:ascii="Symbol" w:hAnsi="Symbol" w:hint="default"/>
      </w:rPr>
    </w:lvl>
    <w:lvl w:ilvl="7" w:tplc="8FBEED12" w:tentative="1">
      <w:start w:val="1"/>
      <w:numFmt w:val="bullet"/>
      <w:lvlText w:val="o"/>
      <w:lvlJc w:val="left"/>
      <w:pPr>
        <w:ind w:left="5760" w:hanging="360"/>
      </w:pPr>
      <w:rPr>
        <w:rFonts w:ascii="Courier New" w:hAnsi="Courier New" w:hint="default"/>
      </w:rPr>
    </w:lvl>
    <w:lvl w:ilvl="8" w:tplc="77185FF0" w:tentative="1">
      <w:start w:val="1"/>
      <w:numFmt w:val="bullet"/>
      <w:lvlText w:val=""/>
      <w:lvlJc w:val="left"/>
      <w:pPr>
        <w:ind w:left="6480" w:hanging="360"/>
      </w:pPr>
      <w:rPr>
        <w:rFonts w:ascii="Wingdings" w:hAnsi="Wingdings" w:hint="default"/>
      </w:rPr>
    </w:lvl>
  </w:abstractNum>
  <w:abstractNum w:abstractNumId="307" w15:restartNumberingAfterBreak="0">
    <w:nsid w:val="2B1A4D7D"/>
    <w:multiLevelType w:val="multilevel"/>
    <w:tmpl w:val="DC9A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2B702351"/>
    <w:multiLevelType w:val="multilevel"/>
    <w:tmpl w:val="4BEA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2B855954"/>
    <w:multiLevelType w:val="multilevel"/>
    <w:tmpl w:val="861AFABC"/>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0" w15:restartNumberingAfterBreak="0">
    <w:nsid w:val="2BA108DD"/>
    <w:multiLevelType w:val="multilevel"/>
    <w:tmpl w:val="5D829B5E"/>
    <w:lvl w:ilvl="0">
      <w:start w:val="4"/>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11" w15:restartNumberingAfterBreak="0">
    <w:nsid w:val="2BBA4499"/>
    <w:multiLevelType w:val="multilevel"/>
    <w:tmpl w:val="C2BA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2BCA0E39"/>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3" w15:restartNumberingAfterBreak="0">
    <w:nsid w:val="2BCE2C24"/>
    <w:multiLevelType w:val="multilevel"/>
    <w:tmpl w:val="FE5E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4" w15:restartNumberingAfterBreak="0">
    <w:nsid w:val="2BE52036"/>
    <w:multiLevelType w:val="multilevel"/>
    <w:tmpl w:val="0454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2C1B4A35"/>
    <w:multiLevelType w:val="hybridMultilevel"/>
    <w:tmpl w:val="8DFC960E"/>
    <w:lvl w:ilvl="0" w:tplc="0F162BC8">
      <w:start w:val="1"/>
      <w:numFmt w:val="decimal"/>
      <w:lvlText w:val="%1."/>
      <w:lvlJc w:val="left"/>
      <w:pPr>
        <w:ind w:left="720" w:hanging="360"/>
      </w:pPr>
    </w:lvl>
    <w:lvl w:ilvl="1" w:tplc="04660984" w:tentative="1">
      <w:start w:val="1"/>
      <w:numFmt w:val="lowerLetter"/>
      <w:lvlText w:val="%2."/>
      <w:lvlJc w:val="left"/>
      <w:pPr>
        <w:ind w:left="1440" w:hanging="360"/>
      </w:pPr>
    </w:lvl>
    <w:lvl w:ilvl="2" w:tplc="694E37D6" w:tentative="1">
      <w:start w:val="1"/>
      <w:numFmt w:val="lowerRoman"/>
      <w:lvlText w:val="%3."/>
      <w:lvlJc w:val="right"/>
      <w:pPr>
        <w:ind w:left="2160" w:hanging="180"/>
      </w:pPr>
    </w:lvl>
    <w:lvl w:ilvl="3" w:tplc="8E16500E" w:tentative="1">
      <w:start w:val="1"/>
      <w:numFmt w:val="decimal"/>
      <w:lvlText w:val="%4."/>
      <w:lvlJc w:val="left"/>
      <w:pPr>
        <w:ind w:left="2880" w:hanging="360"/>
      </w:pPr>
    </w:lvl>
    <w:lvl w:ilvl="4" w:tplc="A0D20968" w:tentative="1">
      <w:start w:val="1"/>
      <w:numFmt w:val="lowerLetter"/>
      <w:lvlText w:val="%5."/>
      <w:lvlJc w:val="left"/>
      <w:pPr>
        <w:ind w:left="3600" w:hanging="360"/>
      </w:pPr>
    </w:lvl>
    <w:lvl w:ilvl="5" w:tplc="3CE2296C" w:tentative="1">
      <w:start w:val="1"/>
      <w:numFmt w:val="lowerRoman"/>
      <w:lvlText w:val="%6."/>
      <w:lvlJc w:val="right"/>
      <w:pPr>
        <w:ind w:left="4320" w:hanging="180"/>
      </w:pPr>
    </w:lvl>
    <w:lvl w:ilvl="6" w:tplc="60344800" w:tentative="1">
      <w:start w:val="1"/>
      <w:numFmt w:val="decimal"/>
      <w:lvlText w:val="%7."/>
      <w:lvlJc w:val="left"/>
      <w:pPr>
        <w:ind w:left="5040" w:hanging="360"/>
      </w:pPr>
    </w:lvl>
    <w:lvl w:ilvl="7" w:tplc="B33A5D60" w:tentative="1">
      <w:start w:val="1"/>
      <w:numFmt w:val="lowerLetter"/>
      <w:lvlText w:val="%8."/>
      <w:lvlJc w:val="left"/>
      <w:pPr>
        <w:ind w:left="5760" w:hanging="360"/>
      </w:pPr>
    </w:lvl>
    <w:lvl w:ilvl="8" w:tplc="C5085F0E" w:tentative="1">
      <w:start w:val="1"/>
      <w:numFmt w:val="lowerRoman"/>
      <w:lvlText w:val="%9."/>
      <w:lvlJc w:val="right"/>
      <w:pPr>
        <w:ind w:left="6480" w:hanging="180"/>
      </w:pPr>
    </w:lvl>
  </w:abstractNum>
  <w:abstractNum w:abstractNumId="316" w15:restartNumberingAfterBreak="0">
    <w:nsid w:val="2C351886"/>
    <w:multiLevelType w:val="multilevel"/>
    <w:tmpl w:val="F85ECC94"/>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17" w15:restartNumberingAfterBreak="0">
    <w:nsid w:val="2C4870E2"/>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2C4F0AD2"/>
    <w:multiLevelType w:val="multilevel"/>
    <w:tmpl w:val="A6B2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2C851AAC"/>
    <w:multiLevelType w:val="hybridMultilevel"/>
    <w:tmpl w:val="F5DEF94E"/>
    <w:lvl w:ilvl="0" w:tplc="48CC3F54">
      <w:start w:val="1"/>
      <w:numFmt w:val="bullet"/>
      <w:lvlText w:val=""/>
      <w:lvlJc w:val="left"/>
      <w:pPr>
        <w:ind w:left="720" w:hanging="360"/>
      </w:pPr>
      <w:rPr>
        <w:rFonts w:ascii="Symbol" w:hAnsi="Symbol" w:hint="default"/>
      </w:rPr>
    </w:lvl>
    <w:lvl w:ilvl="1" w:tplc="FFB09B62" w:tentative="1">
      <w:start w:val="1"/>
      <w:numFmt w:val="bullet"/>
      <w:lvlText w:val="o"/>
      <w:lvlJc w:val="left"/>
      <w:pPr>
        <w:ind w:left="1440" w:hanging="360"/>
      </w:pPr>
      <w:rPr>
        <w:rFonts w:ascii="Courier New" w:hAnsi="Courier New" w:hint="default"/>
      </w:rPr>
    </w:lvl>
    <w:lvl w:ilvl="2" w:tplc="A1FCAC62" w:tentative="1">
      <w:start w:val="1"/>
      <w:numFmt w:val="bullet"/>
      <w:lvlText w:val=""/>
      <w:lvlJc w:val="left"/>
      <w:pPr>
        <w:ind w:left="2160" w:hanging="360"/>
      </w:pPr>
      <w:rPr>
        <w:rFonts w:ascii="Wingdings" w:hAnsi="Wingdings" w:hint="default"/>
      </w:rPr>
    </w:lvl>
    <w:lvl w:ilvl="3" w:tplc="95FC7418" w:tentative="1">
      <w:start w:val="1"/>
      <w:numFmt w:val="bullet"/>
      <w:lvlText w:val=""/>
      <w:lvlJc w:val="left"/>
      <w:pPr>
        <w:ind w:left="2880" w:hanging="360"/>
      </w:pPr>
      <w:rPr>
        <w:rFonts w:ascii="Symbol" w:hAnsi="Symbol" w:hint="default"/>
      </w:rPr>
    </w:lvl>
    <w:lvl w:ilvl="4" w:tplc="186A07FA" w:tentative="1">
      <w:start w:val="1"/>
      <w:numFmt w:val="bullet"/>
      <w:lvlText w:val="o"/>
      <w:lvlJc w:val="left"/>
      <w:pPr>
        <w:ind w:left="3600" w:hanging="360"/>
      </w:pPr>
      <w:rPr>
        <w:rFonts w:ascii="Courier New" w:hAnsi="Courier New" w:hint="default"/>
      </w:rPr>
    </w:lvl>
    <w:lvl w:ilvl="5" w:tplc="7B444360" w:tentative="1">
      <w:start w:val="1"/>
      <w:numFmt w:val="bullet"/>
      <w:lvlText w:val=""/>
      <w:lvlJc w:val="left"/>
      <w:pPr>
        <w:ind w:left="4320" w:hanging="360"/>
      </w:pPr>
      <w:rPr>
        <w:rFonts w:ascii="Wingdings" w:hAnsi="Wingdings" w:hint="default"/>
      </w:rPr>
    </w:lvl>
    <w:lvl w:ilvl="6" w:tplc="507C2E78" w:tentative="1">
      <w:start w:val="1"/>
      <w:numFmt w:val="bullet"/>
      <w:lvlText w:val=""/>
      <w:lvlJc w:val="left"/>
      <w:pPr>
        <w:ind w:left="5040" w:hanging="360"/>
      </w:pPr>
      <w:rPr>
        <w:rFonts w:ascii="Symbol" w:hAnsi="Symbol" w:hint="default"/>
      </w:rPr>
    </w:lvl>
    <w:lvl w:ilvl="7" w:tplc="35D201D4" w:tentative="1">
      <w:start w:val="1"/>
      <w:numFmt w:val="bullet"/>
      <w:lvlText w:val="o"/>
      <w:lvlJc w:val="left"/>
      <w:pPr>
        <w:ind w:left="5760" w:hanging="360"/>
      </w:pPr>
      <w:rPr>
        <w:rFonts w:ascii="Courier New" w:hAnsi="Courier New" w:hint="default"/>
      </w:rPr>
    </w:lvl>
    <w:lvl w:ilvl="8" w:tplc="7E145DF0" w:tentative="1">
      <w:start w:val="1"/>
      <w:numFmt w:val="bullet"/>
      <w:lvlText w:val=""/>
      <w:lvlJc w:val="left"/>
      <w:pPr>
        <w:ind w:left="6480" w:hanging="360"/>
      </w:pPr>
      <w:rPr>
        <w:rFonts w:ascii="Wingdings" w:hAnsi="Wingdings" w:hint="default"/>
      </w:rPr>
    </w:lvl>
  </w:abstractNum>
  <w:abstractNum w:abstractNumId="320" w15:restartNumberingAfterBreak="0">
    <w:nsid w:val="2C932EA5"/>
    <w:multiLevelType w:val="multilevel"/>
    <w:tmpl w:val="12B881A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21" w15:restartNumberingAfterBreak="0">
    <w:nsid w:val="2C9E6098"/>
    <w:multiLevelType w:val="multilevel"/>
    <w:tmpl w:val="CA14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2D0A1218"/>
    <w:multiLevelType w:val="multilevel"/>
    <w:tmpl w:val="AA483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2D1F3A8B"/>
    <w:multiLevelType w:val="multilevel"/>
    <w:tmpl w:val="3CE2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2D2A6A61"/>
    <w:multiLevelType w:val="multilevel"/>
    <w:tmpl w:val="9340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2D635F8B"/>
    <w:multiLevelType w:val="multilevel"/>
    <w:tmpl w:val="6A08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2D7E6C43"/>
    <w:multiLevelType w:val="multilevel"/>
    <w:tmpl w:val="489AB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2D7F283D"/>
    <w:multiLevelType w:val="hybridMultilevel"/>
    <w:tmpl w:val="CA9C5592"/>
    <w:lvl w:ilvl="0" w:tplc="54245160">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5E929184" w:tentative="1">
      <w:start w:val="1"/>
      <w:numFmt w:val="bullet"/>
      <w:lvlText w:val="o"/>
      <w:lvlJc w:val="left"/>
      <w:pPr>
        <w:ind w:left="1440" w:hanging="360"/>
      </w:pPr>
      <w:rPr>
        <w:rFonts w:ascii="Courier New" w:hAnsi="Courier New" w:hint="default"/>
      </w:rPr>
    </w:lvl>
    <w:lvl w:ilvl="2" w:tplc="222EBC6E" w:tentative="1">
      <w:start w:val="1"/>
      <w:numFmt w:val="bullet"/>
      <w:lvlText w:val=""/>
      <w:lvlJc w:val="left"/>
      <w:pPr>
        <w:ind w:left="2160" w:hanging="360"/>
      </w:pPr>
      <w:rPr>
        <w:rFonts w:ascii="Wingdings" w:hAnsi="Wingdings" w:hint="default"/>
      </w:rPr>
    </w:lvl>
    <w:lvl w:ilvl="3" w:tplc="697AC994" w:tentative="1">
      <w:start w:val="1"/>
      <w:numFmt w:val="bullet"/>
      <w:lvlText w:val=""/>
      <w:lvlJc w:val="left"/>
      <w:pPr>
        <w:ind w:left="2880" w:hanging="360"/>
      </w:pPr>
      <w:rPr>
        <w:rFonts w:ascii="Symbol" w:hAnsi="Symbol" w:hint="default"/>
      </w:rPr>
    </w:lvl>
    <w:lvl w:ilvl="4" w:tplc="C29C63D8" w:tentative="1">
      <w:start w:val="1"/>
      <w:numFmt w:val="bullet"/>
      <w:lvlText w:val="o"/>
      <w:lvlJc w:val="left"/>
      <w:pPr>
        <w:ind w:left="3600" w:hanging="360"/>
      </w:pPr>
      <w:rPr>
        <w:rFonts w:ascii="Courier New" w:hAnsi="Courier New" w:hint="default"/>
      </w:rPr>
    </w:lvl>
    <w:lvl w:ilvl="5" w:tplc="E0CA3696" w:tentative="1">
      <w:start w:val="1"/>
      <w:numFmt w:val="bullet"/>
      <w:lvlText w:val=""/>
      <w:lvlJc w:val="left"/>
      <w:pPr>
        <w:ind w:left="4320" w:hanging="360"/>
      </w:pPr>
      <w:rPr>
        <w:rFonts w:ascii="Wingdings" w:hAnsi="Wingdings" w:hint="default"/>
      </w:rPr>
    </w:lvl>
    <w:lvl w:ilvl="6" w:tplc="9DBA5854" w:tentative="1">
      <w:start w:val="1"/>
      <w:numFmt w:val="bullet"/>
      <w:lvlText w:val=""/>
      <w:lvlJc w:val="left"/>
      <w:pPr>
        <w:ind w:left="5040" w:hanging="360"/>
      </w:pPr>
      <w:rPr>
        <w:rFonts w:ascii="Symbol" w:hAnsi="Symbol" w:hint="default"/>
      </w:rPr>
    </w:lvl>
    <w:lvl w:ilvl="7" w:tplc="0E3462B6" w:tentative="1">
      <w:start w:val="1"/>
      <w:numFmt w:val="bullet"/>
      <w:lvlText w:val="o"/>
      <w:lvlJc w:val="left"/>
      <w:pPr>
        <w:ind w:left="5760" w:hanging="360"/>
      </w:pPr>
      <w:rPr>
        <w:rFonts w:ascii="Courier New" w:hAnsi="Courier New" w:hint="default"/>
      </w:rPr>
    </w:lvl>
    <w:lvl w:ilvl="8" w:tplc="507E5464" w:tentative="1">
      <w:start w:val="1"/>
      <w:numFmt w:val="bullet"/>
      <w:lvlText w:val=""/>
      <w:lvlJc w:val="left"/>
      <w:pPr>
        <w:ind w:left="6480" w:hanging="360"/>
      </w:pPr>
      <w:rPr>
        <w:rFonts w:ascii="Wingdings" w:hAnsi="Wingdings" w:hint="default"/>
      </w:rPr>
    </w:lvl>
  </w:abstractNum>
  <w:abstractNum w:abstractNumId="328" w15:restartNumberingAfterBreak="0">
    <w:nsid w:val="2D805149"/>
    <w:multiLevelType w:val="multilevel"/>
    <w:tmpl w:val="4B48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2D944491"/>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0" w15:restartNumberingAfterBreak="0">
    <w:nsid w:val="2D9911B7"/>
    <w:multiLevelType w:val="hybridMultilevel"/>
    <w:tmpl w:val="8884BCA8"/>
    <w:lvl w:ilvl="0" w:tplc="6E24C2CC">
      <w:start w:val="1"/>
      <w:numFmt w:val="bullet"/>
      <w:lvlText w:val=""/>
      <w:lvlJc w:val="left"/>
      <w:pPr>
        <w:ind w:left="720" w:hanging="360"/>
      </w:pPr>
      <w:rPr>
        <w:rFonts w:ascii="Symbol" w:hAnsi="Symbol" w:hint="default"/>
      </w:rPr>
    </w:lvl>
    <w:lvl w:ilvl="1" w:tplc="C742ADD8">
      <w:start w:val="1"/>
      <w:numFmt w:val="bullet"/>
      <w:lvlText w:val="o"/>
      <w:lvlJc w:val="left"/>
      <w:pPr>
        <w:ind w:left="1440" w:hanging="360"/>
      </w:pPr>
      <w:rPr>
        <w:rFonts w:ascii="Courier New" w:hAnsi="Courier New" w:hint="default"/>
      </w:rPr>
    </w:lvl>
    <w:lvl w:ilvl="2" w:tplc="E29CF876" w:tentative="1">
      <w:start w:val="1"/>
      <w:numFmt w:val="bullet"/>
      <w:lvlText w:val=""/>
      <w:lvlJc w:val="left"/>
      <w:pPr>
        <w:ind w:left="2160" w:hanging="360"/>
      </w:pPr>
      <w:rPr>
        <w:rFonts w:ascii="Wingdings" w:hAnsi="Wingdings" w:hint="default"/>
      </w:rPr>
    </w:lvl>
    <w:lvl w:ilvl="3" w:tplc="8BFCDB76" w:tentative="1">
      <w:start w:val="1"/>
      <w:numFmt w:val="bullet"/>
      <w:lvlText w:val=""/>
      <w:lvlJc w:val="left"/>
      <w:pPr>
        <w:ind w:left="2880" w:hanging="360"/>
      </w:pPr>
      <w:rPr>
        <w:rFonts w:ascii="Symbol" w:hAnsi="Symbol" w:hint="default"/>
      </w:rPr>
    </w:lvl>
    <w:lvl w:ilvl="4" w:tplc="FF96A6B2" w:tentative="1">
      <w:start w:val="1"/>
      <w:numFmt w:val="bullet"/>
      <w:lvlText w:val="o"/>
      <w:lvlJc w:val="left"/>
      <w:pPr>
        <w:ind w:left="3600" w:hanging="360"/>
      </w:pPr>
      <w:rPr>
        <w:rFonts w:ascii="Courier New" w:hAnsi="Courier New" w:hint="default"/>
      </w:rPr>
    </w:lvl>
    <w:lvl w:ilvl="5" w:tplc="85AA3D8C" w:tentative="1">
      <w:start w:val="1"/>
      <w:numFmt w:val="bullet"/>
      <w:lvlText w:val=""/>
      <w:lvlJc w:val="left"/>
      <w:pPr>
        <w:ind w:left="4320" w:hanging="360"/>
      </w:pPr>
      <w:rPr>
        <w:rFonts w:ascii="Wingdings" w:hAnsi="Wingdings" w:hint="default"/>
      </w:rPr>
    </w:lvl>
    <w:lvl w:ilvl="6" w:tplc="9BAA5D14" w:tentative="1">
      <w:start w:val="1"/>
      <w:numFmt w:val="bullet"/>
      <w:lvlText w:val=""/>
      <w:lvlJc w:val="left"/>
      <w:pPr>
        <w:ind w:left="5040" w:hanging="360"/>
      </w:pPr>
      <w:rPr>
        <w:rFonts w:ascii="Symbol" w:hAnsi="Symbol" w:hint="default"/>
      </w:rPr>
    </w:lvl>
    <w:lvl w:ilvl="7" w:tplc="2E24709A" w:tentative="1">
      <w:start w:val="1"/>
      <w:numFmt w:val="bullet"/>
      <w:lvlText w:val="o"/>
      <w:lvlJc w:val="left"/>
      <w:pPr>
        <w:ind w:left="5760" w:hanging="360"/>
      </w:pPr>
      <w:rPr>
        <w:rFonts w:ascii="Courier New" w:hAnsi="Courier New" w:hint="default"/>
      </w:rPr>
    </w:lvl>
    <w:lvl w:ilvl="8" w:tplc="428203E8" w:tentative="1">
      <w:start w:val="1"/>
      <w:numFmt w:val="bullet"/>
      <w:lvlText w:val=""/>
      <w:lvlJc w:val="left"/>
      <w:pPr>
        <w:ind w:left="6480" w:hanging="360"/>
      </w:pPr>
      <w:rPr>
        <w:rFonts w:ascii="Wingdings" w:hAnsi="Wingdings" w:hint="default"/>
      </w:rPr>
    </w:lvl>
  </w:abstractNum>
  <w:abstractNum w:abstractNumId="331" w15:restartNumberingAfterBreak="0">
    <w:nsid w:val="2DD74815"/>
    <w:multiLevelType w:val="hybridMultilevel"/>
    <w:tmpl w:val="06B0D8F4"/>
    <w:lvl w:ilvl="0" w:tplc="9A0ADCA8">
      <w:start w:val="1"/>
      <w:numFmt w:val="bullet"/>
      <w:lvlText w:val=""/>
      <w:lvlJc w:val="left"/>
      <w:pPr>
        <w:ind w:left="720" w:hanging="360"/>
      </w:pPr>
      <w:rPr>
        <w:rFonts w:ascii="Symbol" w:hAnsi="Symbol" w:hint="default"/>
      </w:rPr>
    </w:lvl>
    <w:lvl w:ilvl="1" w:tplc="9548528C" w:tentative="1">
      <w:start w:val="1"/>
      <w:numFmt w:val="bullet"/>
      <w:lvlText w:val="o"/>
      <w:lvlJc w:val="left"/>
      <w:pPr>
        <w:ind w:left="1440" w:hanging="360"/>
      </w:pPr>
      <w:rPr>
        <w:rFonts w:ascii="Courier New" w:hAnsi="Courier New" w:hint="default"/>
      </w:rPr>
    </w:lvl>
    <w:lvl w:ilvl="2" w:tplc="415CD41E" w:tentative="1">
      <w:start w:val="1"/>
      <w:numFmt w:val="bullet"/>
      <w:lvlText w:val=""/>
      <w:lvlJc w:val="left"/>
      <w:pPr>
        <w:ind w:left="2160" w:hanging="360"/>
      </w:pPr>
      <w:rPr>
        <w:rFonts w:ascii="Wingdings" w:hAnsi="Wingdings" w:hint="default"/>
      </w:rPr>
    </w:lvl>
    <w:lvl w:ilvl="3" w:tplc="090C6492" w:tentative="1">
      <w:start w:val="1"/>
      <w:numFmt w:val="bullet"/>
      <w:lvlText w:val=""/>
      <w:lvlJc w:val="left"/>
      <w:pPr>
        <w:ind w:left="2880" w:hanging="360"/>
      </w:pPr>
      <w:rPr>
        <w:rFonts w:ascii="Symbol" w:hAnsi="Symbol" w:hint="default"/>
      </w:rPr>
    </w:lvl>
    <w:lvl w:ilvl="4" w:tplc="A75CE030" w:tentative="1">
      <w:start w:val="1"/>
      <w:numFmt w:val="bullet"/>
      <w:lvlText w:val="o"/>
      <w:lvlJc w:val="left"/>
      <w:pPr>
        <w:ind w:left="3600" w:hanging="360"/>
      </w:pPr>
      <w:rPr>
        <w:rFonts w:ascii="Courier New" w:hAnsi="Courier New" w:hint="default"/>
      </w:rPr>
    </w:lvl>
    <w:lvl w:ilvl="5" w:tplc="3F1EAFDC" w:tentative="1">
      <w:start w:val="1"/>
      <w:numFmt w:val="bullet"/>
      <w:lvlText w:val=""/>
      <w:lvlJc w:val="left"/>
      <w:pPr>
        <w:ind w:left="4320" w:hanging="360"/>
      </w:pPr>
      <w:rPr>
        <w:rFonts w:ascii="Wingdings" w:hAnsi="Wingdings" w:hint="default"/>
      </w:rPr>
    </w:lvl>
    <w:lvl w:ilvl="6" w:tplc="03845C32" w:tentative="1">
      <w:start w:val="1"/>
      <w:numFmt w:val="bullet"/>
      <w:lvlText w:val=""/>
      <w:lvlJc w:val="left"/>
      <w:pPr>
        <w:ind w:left="5040" w:hanging="360"/>
      </w:pPr>
      <w:rPr>
        <w:rFonts w:ascii="Symbol" w:hAnsi="Symbol" w:hint="default"/>
      </w:rPr>
    </w:lvl>
    <w:lvl w:ilvl="7" w:tplc="554CDB18" w:tentative="1">
      <w:start w:val="1"/>
      <w:numFmt w:val="bullet"/>
      <w:lvlText w:val="o"/>
      <w:lvlJc w:val="left"/>
      <w:pPr>
        <w:ind w:left="5760" w:hanging="360"/>
      </w:pPr>
      <w:rPr>
        <w:rFonts w:ascii="Courier New" w:hAnsi="Courier New" w:hint="default"/>
      </w:rPr>
    </w:lvl>
    <w:lvl w:ilvl="8" w:tplc="EBFEED20" w:tentative="1">
      <w:start w:val="1"/>
      <w:numFmt w:val="bullet"/>
      <w:lvlText w:val=""/>
      <w:lvlJc w:val="left"/>
      <w:pPr>
        <w:ind w:left="6480" w:hanging="360"/>
      </w:pPr>
      <w:rPr>
        <w:rFonts w:ascii="Wingdings" w:hAnsi="Wingdings" w:hint="default"/>
      </w:rPr>
    </w:lvl>
  </w:abstractNum>
  <w:abstractNum w:abstractNumId="332" w15:restartNumberingAfterBreak="0">
    <w:nsid w:val="2E330A46"/>
    <w:multiLevelType w:val="hybridMultilevel"/>
    <w:tmpl w:val="28A0E960"/>
    <w:lvl w:ilvl="0" w:tplc="05887BFA">
      <w:start w:val="1"/>
      <w:numFmt w:val="decimal"/>
      <w:lvlText w:val="%1."/>
      <w:lvlJc w:val="left"/>
      <w:pPr>
        <w:ind w:left="720" w:hanging="360"/>
      </w:pPr>
    </w:lvl>
    <w:lvl w:ilvl="1" w:tplc="C8C015BA" w:tentative="1">
      <w:start w:val="1"/>
      <w:numFmt w:val="lowerLetter"/>
      <w:lvlText w:val="%2."/>
      <w:lvlJc w:val="left"/>
      <w:pPr>
        <w:ind w:left="1440" w:hanging="360"/>
      </w:pPr>
    </w:lvl>
    <w:lvl w:ilvl="2" w:tplc="C2468362" w:tentative="1">
      <w:start w:val="1"/>
      <w:numFmt w:val="lowerRoman"/>
      <w:lvlText w:val="%3."/>
      <w:lvlJc w:val="right"/>
      <w:pPr>
        <w:ind w:left="2160" w:hanging="180"/>
      </w:pPr>
    </w:lvl>
    <w:lvl w:ilvl="3" w:tplc="A914FC54" w:tentative="1">
      <w:start w:val="1"/>
      <w:numFmt w:val="decimal"/>
      <w:lvlText w:val="%4."/>
      <w:lvlJc w:val="left"/>
      <w:pPr>
        <w:ind w:left="2880" w:hanging="360"/>
      </w:pPr>
    </w:lvl>
    <w:lvl w:ilvl="4" w:tplc="CC2074BA" w:tentative="1">
      <w:start w:val="1"/>
      <w:numFmt w:val="lowerLetter"/>
      <w:lvlText w:val="%5."/>
      <w:lvlJc w:val="left"/>
      <w:pPr>
        <w:ind w:left="3600" w:hanging="360"/>
      </w:pPr>
    </w:lvl>
    <w:lvl w:ilvl="5" w:tplc="9E92AFB6" w:tentative="1">
      <w:start w:val="1"/>
      <w:numFmt w:val="lowerRoman"/>
      <w:lvlText w:val="%6."/>
      <w:lvlJc w:val="right"/>
      <w:pPr>
        <w:ind w:left="4320" w:hanging="180"/>
      </w:pPr>
    </w:lvl>
    <w:lvl w:ilvl="6" w:tplc="5204BF56" w:tentative="1">
      <w:start w:val="1"/>
      <w:numFmt w:val="decimal"/>
      <w:lvlText w:val="%7."/>
      <w:lvlJc w:val="left"/>
      <w:pPr>
        <w:ind w:left="5040" w:hanging="360"/>
      </w:pPr>
    </w:lvl>
    <w:lvl w:ilvl="7" w:tplc="BFB07A44" w:tentative="1">
      <w:start w:val="1"/>
      <w:numFmt w:val="lowerLetter"/>
      <w:lvlText w:val="%8."/>
      <w:lvlJc w:val="left"/>
      <w:pPr>
        <w:ind w:left="5760" w:hanging="360"/>
      </w:pPr>
    </w:lvl>
    <w:lvl w:ilvl="8" w:tplc="F26CDF6A" w:tentative="1">
      <w:start w:val="1"/>
      <w:numFmt w:val="lowerRoman"/>
      <w:lvlText w:val="%9."/>
      <w:lvlJc w:val="right"/>
      <w:pPr>
        <w:ind w:left="6480" w:hanging="180"/>
      </w:pPr>
    </w:lvl>
  </w:abstractNum>
  <w:abstractNum w:abstractNumId="333" w15:restartNumberingAfterBreak="0">
    <w:nsid w:val="2E721816"/>
    <w:multiLevelType w:val="multilevel"/>
    <w:tmpl w:val="62AE1A96"/>
    <w:lvl w:ilvl="0">
      <w:start w:val="1"/>
      <w:numFmt w:val="decimal"/>
      <w:lvlText w:val="%1."/>
      <w:lvlJc w:val="left"/>
      <w:pPr>
        <w:ind w:left="360" w:firstLine="0"/>
      </w:pPr>
    </w:lvl>
    <w:lvl w:ilvl="1">
      <w:start w:val="1"/>
      <w:numFmt w:val="lowerLetter"/>
      <w:lvlText w:val="%2)"/>
      <w:lvlJc w:val="left"/>
      <w:pPr>
        <w:ind w:left="72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4" w15:restartNumberingAfterBreak="0">
    <w:nsid w:val="2E88655E"/>
    <w:multiLevelType w:val="multilevel"/>
    <w:tmpl w:val="24CA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2E9E30A2"/>
    <w:multiLevelType w:val="multilevel"/>
    <w:tmpl w:val="F772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2EC04AC5"/>
    <w:multiLevelType w:val="multilevel"/>
    <w:tmpl w:val="5C6625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7" w15:restartNumberingAfterBreak="0">
    <w:nsid w:val="2ECF69E1"/>
    <w:multiLevelType w:val="multilevel"/>
    <w:tmpl w:val="30BE4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2ED0154D"/>
    <w:multiLevelType w:val="multilevel"/>
    <w:tmpl w:val="AA08664C"/>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39" w15:restartNumberingAfterBreak="0">
    <w:nsid w:val="2F2F6D13"/>
    <w:multiLevelType w:val="hybridMultilevel"/>
    <w:tmpl w:val="7542D5B4"/>
    <w:lvl w:ilvl="0" w:tplc="2642FA9C">
      <w:start w:val="1"/>
      <w:numFmt w:val="bullet"/>
      <w:lvlText w:val=""/>
      <w:lvlJc w:val="left"/>
      <w:pPr>
        <w:ind w:left="720" w:hanging="360"/>
      </w:pPr>
      <w:rPr>
        <w:rFonts w:ascii="Symbol" w:hAnsi="Symbol" w:hint="default"/>
      </w:rPr>
    </w:lvl>
    <w:lvl w:ilvl="1" w:tplc="E7424E76" w:tentative="1">
      <w:start w:val="1"/>
      <w:numFmt w:val="bullet"/>
      <w:lvlText w:val="o"/>
      <w:lvlJc w:val="left"/>
      <w:pPr>
        <w:ind w:left="1440" w:hanging="360"/>
      </w:pPr>
      <w:rPr>
        <w:rFonts w:ascii="Courier New" w:hAnsi="Courier New" w:hint="default"/>
      </w:rPr>
    </w:lvl>
    <w:lvl w:ilvl="2" w:tplc="859ACDB0" w:tentative="1">
      <w:start w:val="1"/>
      <w:numFmt w:val="bullet"/>
      <w:lvlText w:val=""/>
      <w:lvlJc w:val="left"/>
      <w:pPr>
        <w:ind w:left="2160" w:hanging="360"/>
      </w:pPr>
      <w:rPr>
        <w:rFonts w:ascii="Wingdings" w:hAnsi="Wingdings" w:hint="default"/>
      </w:rPr>
    </w:lvl>
    <w:lvl w:ilvl="3" w:tplc="8534AC5C" w:tentative="1">
      <w:start w:val="1"/>
      <w:numFmt w:val="bullet"/>
      <w:lvlText w:val=""/>
      <w:lvlJc w:val="left"/>
      <w:pPr>
        <w:ind w:left="2880" w:hanging="360"/>
      </w:pPr>
      <w:rPr>
        <w:rFonts w:ascii="Symbol" w:hAnsi="Symbol" w:hint="default"/>
      </w:rPr>
    </w:lvl>
    <w:lvl w:ilvl="4" w:tplc="D3CE0210" w:tentative="1">
      <w:start w:val="1"/>
      <w:numFmt w:val="bullet"/>
      <w:lvlText w:val="o"/>
      <w:lvlJc w:val="left"/>
      <w:pPr>
        <w:ind w:left="3600" w:hanging="360"/>
      </w:pPr>
      <w:rPr>
        <w:rFonts w:ascii="Courier New" w:hAnsi="Courier New" w:hint="default"/>
      </w:rPr>
    </w:lvl>
    <w:lvl w:ilvl="5" w:tplc="6C06B4D6" w:tentative="1">
      <w:start w:val="1"/>
      <w:numFmt w:val="bullet"/>
      <w:lvlText w:val=""/>
      <w:lvlJc w:val="left"/>
      <w:pPr>
        <w:ind w:left="4320" w:hanging="360"/>
      </w:pPr>
      <w:rPr>
        <w:rFonts w:ascii="Wingdings" w:hAnsi="Wingdings" w:hint="default"/>
      </w:rPr>
    </w:lvl>
    <w:lvl w:ilvl="6" w:tplc="E29E4526" w:tentative="1">
      <w:start w:val="1"/>
      <w:numFmt w:val="bullet"/>
      <w:lvlText w:val=""/>
      <w:lvlJc w:val="left"/>
      <w:pPr>
        <w:ind w:left="5040" w:hanging="360"/>
      </w:pPr>
      <w:rPr>
        <w:rFonts w:ascii="Symbol" w:hAnsi="Symbol" w:hint="default"/>
      </w:rPr>
    </w:lvl>
    <w:lvl w:ilvl="7" w:tplc="195ADD4A" w:tentative="1">
      <w:start w:val="1"/>
      <w:numFmt w:val="bullet"/>
      <w:lvlText w:val="o"/>
      <w:lvlJc w:val="left"/>
      <w:pPr>
        <w:ind w:left="5760" w:hanging="360"/>
      </w:pPr>
      <w:rPr>
        <w:rFonts w:ascii="Courier New" w:hAnsi="Courier New" w:hint="default"/>
      </w:rPr>
    </w:lvl>
    <w:lvl w:ilvl="8" w:tplc="E820A402" w:tentative="1">
      <w:start w:val="1"/>
      <w:numFmt w:val="bullet"/>
      <w:lvlText w:val=""/>
      <w:lvlJc w:val="left"/>
      <w:pPr>
        <w:ind w:left="6480" w:hanging="360"/>
      </w:pPr>
      <w:rPr>
        <w:rFonts w:ascii="Wingdings" w:hAnsi="Wingdings" w:hint="default"/>
      </w:rPr>
    </w:lvl>
  </w:abstractNum>
  <w:abstractNum w:abstractNumId="340" w15:restartNumberingAfterBreak="0">
    <w:nsid w:val="2F866491"/>
    <w:multiLevelType w:val="multilevel"/>
    <w:tmpl w:val="A70A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2F8E1CD8"/>
    <w:multiLevelType w:val="multilevel"/>
    <w:tmpl w:val="5D84F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2FA21CD6"/>
    <w:multiLevelType w:val="multilevel"/>
    <w:tmpl w:val="C3B481A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43" w15:restartNumberingAfterBreak="0">
    <w:nsid w:val="2FA34A7E"/>
    <w:multiLevelType w:val="hybridMultilevel"/>
    <w:tmpl w:val="8422706E"/>
    <w:lvl w:ilvl="0" w:tplc="13AE47E8">
      <w:start w:val="1"/>
      <w:numFmt w:val="bullet"/>
      <w:lvlText w:val=""/>
      <w:lvlJc w:val="left"/>
      <w:pPr>
        <w:ind w:left="720" w:hanging="360"/>
      </w:pPr>
      <w:rPr>
        <w:rFonts w:ascii="Symbol" w:hAnsi="Symbol" w:hint="default"/>
      </w:rPr>
    </w:lvl>
    <w:lvl w:ilvl="1" w:tplc="2234A928">
      <w:start w:val="1"/>
      <w:numFmt w:val="bullet"/>
      <w:lvlText w:val="o"/>
      <w:lvlJc w:val="left"/>
      <w:pPr>
        <w:ind w:left="1440" w:hanging="360"/>
      </w:pPr>
      <w:rPr>
        <w:rFonts w:ascii="Courier New" w:hAnsi="Courier New" w:hint="default"/>
      </w:rPr>
    </w:lvl>
    <w:lvl w:ilvl="2" w:tplc="E0E8B49E" w:tentative="1">
      <w:start w:val="1"/>
      <w:numFmt w:val="bullet"/>
      <w:lvlText w:val=""/>
      <w:lvlJc w:val="left"/>
      <w:pPr>
        <w:ind w:left="2160" w:hanging="360"/>
      </w:pPr>
      <w:rPr>
        <w:rFonts w:ascii="Wingdings" w:hAnsi="Wingdings" w:hint="default"/>
      </w:rPr>
    </w:lvl>
    <w:lvl w:ilvl="3" w:tplc="CA1E5E42" w:tentative="1">
      <w:start w:val="1"/>
      <w:numFmt w:val="bullet"/>
      <w:lvlText w:val=""/>
      <w:lvlJc w:val="left"/>
      <w:pPr>
        <w:ind w:left="2880" w:hanging="360"/>
      </w:pPr>
      <w:rPr>
        <w:rFonts w:ascii="Symbol" w:hAnsi="Symbol" w:hint="default"/>
      </w:rPr>
    </w:lvl>
    <w:lvl w:ilvl="4" w:tplc="9402BD76" w:tentative="1">
      <w:start w:val="1"/>
      <w:numFmt w:val="bullet"/>
      <w:lvlText w:val="o"/>
      <w:lvlJc w:val="left"/>
      <w:pPr>
        <w:ind w:left="3600" w:hanging="360"/>
      </w:pPr>
      <w:rPr>
        <w:rFonts w:ascii="Courier New" w:hAnsi="Courier New" w:hint="default"/>
      </w:rPr>
    </w:lvl>
    <w:lvl w:ilvl="5" w:tplc="F3B87FF2" w:tentative="1">
      <w:start w:val="1"/>
      <w:numFmt w:val="bullet"/>
      <w:lvlText w:val=""/>
      <w:lvlJc w:val="left"/>
      <w:pPr>
        <w:ind w:left="4320" w:hanging="360"/>
      </w:pPr>
      <w:rPr>
        <w:rFonts w:ascii="Wingdings" w:hAnsi="Wingdings" w:hint="default"/>
      </w:rPr>
    </w:lvl>
    <w:lvl w:ilvl="6" w:tplc="FB64E768" w:tentative="1">
      <w:start w:val="1"/>
      <w:numFmt w:val="bullet"/>
      <w:lvlText w:val=""/>
      <w:lvlJc w:val="left"/>
      <w:pPr>
        <w:ind w:left="5040" w:hanging="360"/>
      </w:pPr>
      <w:rPr>
        <w:rFonts w:ascii="Symbol" w:hAnsi="Symbol" w:hint="default"/>
      </w:rPr>
    </w:lvl>
    <w:lvl w:ilvl="7" w:tplc="2FC02F84" w:tentative="1">
      <w:start w:val="1"/>
      <w:numFmt w:val="bullet"/>
      <w:lvlText w:val="o"/>
      <w:lvlJc w:val="left"/>
      <w:pPr>
        <w:ind w:left="5760" w:hanging="360"/>
      </w:pPr>
      <w:rPr>
        <w:rFonts w:ascii="Courier New" w:hAnsi="Courier New" w:hint="default"/>
      </w:rPr>
    </w:lvl>
    <w:lvl w:ilvl="8" w:tplc="37C84502" w:tentative="1">
      <w:start w:val="1"/>
      <w:numFmt w:val="bullet"/>
      <w:lvlText w:val=""/>
      <w:lvlJc w:val="left"/>
      <w:pPr>
        <w:ind w:left="6480" w:hanging="360"/>
      </w:pPr>
      <w:rPr>
        <w:rFonts w:ascii="Wingdings" w:hAnsi="Wingdings" w:hint="default"/>
      </w:rPr>
    </w:lvl>
  </w:abstractNum>
  <w:abstractNum w:abstractNumId="344" w15:restartNumberingAfterBreak="0">
    <w:nsid w:val="2FBD29EF"/>
    <w:multiLevelType w:val="multilevel"/>
    <w:tmpl w:val="D262B3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2FD65586"/>
    <w:multiLevelType w:val="hybridMultilevel"/>
    <w:tmpl w:val="043E3B16"/>
    <w:lvl w:ilvl="0" w:tplc="C5B65DE2">
      <w:start w:val="1"/>
      <w:numFmt w:val="decimal"/>
      <w:lvlText w:val="%1)"/>
      <w:lvlJc w:val="left"/>
      <w:pPr>
        <w:ind w:left="720" w:hanging="360"/>
      </w:pPr>
    </w:lvl>
    <w:lvl w:ilvl="1" w:tplc="2E6E7BEE" w:tentative="1">
      <w:start w:val="1"/>
      <w:numFmt w:val="lowerLetter"/>
      <w:lvlText w:val="%2."/>
      <w:lvlJc w:val="left"/>
      <w:pPr>
        <w:ind w:left="1440" w:hanging="360"/>
      </w:pPr>
    </w:lvl>
    <w:lvl w:ilvl="2" w:tplc="B558A816" w:tentative="1">
      <w:start w:val="1"/>
      <w:numFmt w:val="lowerRoman"/>
      <w:lvlText w:val="%3."/>
      <w:lvlJc w:val="right"/>
      <w:pPr>
        <w:ind w:left="2160" w:hanging="180"/>
      </w:pPr>
    </w:lvl>
    <w:lvl w:ilvl="3" w:tplc="DA6C11A2" w:tentative="1">
      <w:start w:val="1"/>
      <w:numFmt w:val="decimal"/>
      <w:lvlText w:val="%4."/>
      <w:lvlJc w:val="left"/>
      <w:pPr>
        <w:ind w:left="2880" w:hanging="360"/>
      </w:pPr>
    </w:lvl>
    <w:lvl w:ilvl="4" w:tplc="B798D470" w:tentative="1">
      <w:start w:val="1"/>
      <w:numFmt w:val="lowerLetter"/>
      <w:lvlText w:val="%5."/>
      <w:lvlJc w:val="left"/>
      <w:pPr>
        <w:ind w:left="3600" w:hanging="360"/>
      </w:pPr>
    </w:lvl>
    <w:lvl w:ilvl="5" w:tplc="723CEC24" w:tentative="1">
      <w:start w:val="1"/>
      <w:numFmt w:val="lowerRoman"/>
      <w:lvlText w:val="%6."/>
      <w:lvlJc w:val="right"/>
      <w:pPr>
        <w:ind w:left="4320" w:hanging="180"/>
      </w:pPr>
    </w:lvl>
    <w:lvl w:ilvl="6" w:tplc="DFB011C8" w:tentative="1">
      <w:start w:val="1"/>
      <w:numFmt w:val="decimal"/>
      <w:lvlText w:val="%7."/>
      <w:lvlJc w:val="left"/>
      <w:pPr>
        <w:ind w:left="5040" w:hanging="360"/>
      </w:pPr>
    </w:lvl>
    <w:lvl w:ilvl="7" w:tplc="8850DC9C" w:tentative="1">
      <w:start w:val="1"/>
      <w:numFmt w:val="lowerLetter"/>
      <w:lvlText w:val="%8."/>
      <w:lvlJc w:val="left"/>
      <w:pPr>
        <w:ind w:left="5760" w:hanging="360"/>
      </w:pPr>
    </w:lvl>
    <w:lvl w:ilvl="8" w:tplc="0C0A371C" w:tentative="1">
      <w:start w:val="1"/>
      <w:numFmt w:val="lowerRoman"/>
      <w:lvlText w:val="%9."/>
      <w:lvlJc w:val="right"/>
      <w:pPr>
        <w:ind w:left="6480" w:hanging="180"/>
      </w:pPr>
    </w:lvl>
  </w:abstractNum>
  <w:abstractNum w:abstractNumId="346" w15:restartNumberingAfterBreak="0">
    <w:nsid w:val="302C4A28"/>
    <w:multiLevelType w:val="multilevel"/>
    <w:tmpl w:val="247CF2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7" w15:restartNumberingAfterBreak="0">
    <w:nsid w:val="302D59E8"/>
    <w:multiLevelType w:val="multilevel"/>
    <w:tmpl w:val="B97E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03342FF"/>
    <w:multiLevelType w:val="multilevel"/>
    <w:tmpl w:val="04CA1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0561581"/>
    <w:multiLevelType w:val="multilevel"/>
    <w:tmpl w:val="3056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0A60C04"/>
    <w:multiLevelType w:val="multilevel"/>
    <w:tmpl w:val="5DB4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30C359FE"/>
    <w:multiLevelType w:val="multilevel"/>
    <w:tmpl w:val="4584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0DC281A"/>
    <w:multiLevelType w:val="multilevel"/>
    <w:tmpl w:val="383A7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30E7395C"/>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3112389B"/>
    <w:multiLevelType w:val="multilevel"/>
    <w:tmpl w:val="B5B8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311650F0"/>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6" w15:restartNumberingAfterBreak="0">
    <w:nsid w:val="3172213E"/>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31AF46DB"/>
    <w:multiLevelType w:val="multilevel"/>
    <w:tmpl w:val="1A32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1DF7B97"/>
    <w:multiLevelType w:val="multilevel"/>
    <w:tmpl w:val="4880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1EC650A"/>
    <w:multiLevelType w:val="hybridMultilevel"/>
    <w:tmpl w:val="88A6B170"/>
    <w:lvl w:ilvl="0" w:tplc="79727AB2">
      <w:start w:val="1"/>
      <w:numFmt w:val="bullet"/>
      <w:lvlText w:val=""/>
      <w:lvlJc w:val="left"/>
      <w:pPr>
        <w:ind w:left="720" w:hanging="360"/>
      </w:pPr>
      <w:rPr>
        <w:rFonts w:ascii="Symbol" w:hAnsi="Symbol" w:hint="default"/>
      </w:rPr>
    </w:lvl>
    <w:lvl w:ilvl="1" w:tplc="5B5C523A" w:tentative="1">
      <w:start w:val="1"/>
      <w:numFmt w:val="bullet"/>
      <w:lvlText w:val="o"/>
      <w:lvlJc w:val="left"/>
      <w:pPr>
        <w:ind w:left="1440" w:hanging="360"/>
      </w:pPr>
      <w:rPr>
        <w:rFonts w:ascii="Courier New" w:hAnsi="Courier New" w:hint="default"/>
      </w:rPr>
    </w:lvl>
    <w:lvl w:ilvl="2" w:tplc="D19C0C88" w:tentative="1">
      <w:start w:val="1"/>
      <w:numFmt w:val="bullet"/>
      <w:lvlText w:val=""/>
      <w:lvlJc w:val="left"/>
      <w:pPr>
        <w:ind w:left="2160" w:hanging="360"/>
      </w:pPr>
      <w:rPr>
        <w:rFonts w:ascii="Wingdings" w:hAnsi="Wingdings" w:hint="default"/>
      </w:rPr>
    </w:lvl>
    <w:lvl w:ilvl="3" w:tplc="2980946A" w:tentative="1">
      <w:start w:val="1"/>
      <w:numFmt w:val="bullet"/>
      <w:lvlText w:val=""/>
      <w:lvlJc w:val="left"/>
      <w:pPr>
        <w:ind w:left="2880" w:hanging="360"/>
      </w:pPr>
      <w:rPr>
        <w:rFonts w:ascii="Symbol" w:hAnsi="Symbol" w:hint="default"/>
      </w:rPr>
    </w:lvl>
    <w:lvl w:ilvl="4" w:tplc="1BFE5CC8" w:tentative="1">
      <w:start w:val="1"/>
      <w:numFmt w:val="bullet"/>
      <w:lvlText w:val="o"/>
      <w:lvlJc w:val="left"/>
      <w:pPr>
        <w:ind w:left="3600" w:hanging="360"/>
      </w:pPr>
      <w:rPr>
        <w:rFonts w:ascii="Courier New" w:hAnsi="Courier New" w:hint="default"/>
      </w:rPr>
    </w:lvl>
    <w:lvl w:ilvl="5" w:tplc="E7F69086" w:tentative="1">
      <w:start w:val="1"/>
      <w:numFmt w:val="bullet"/>
      <w:lvlText w:val=""/>
      <w:lvlJc w:val="left"/>
      <w:pPr>
        <w:ind w:left="4320" w:hanging="360"/>
      </w:pPr>
      <w:rPr>
        <w:rFonts w:ascii="Wingdings" w:hAnsi="Wingdings" w:hint="default"/>
      </w:rPr>
    </w:lvl>
    <w:lvl w:ilvl="6" w:tplc="D780D702" w:tentative="1">
      <w:start w:val="1"/>
      <w:numFmt w:val="bullet"/>
      <w:lvlText w:val=""/>
      <w:lvlJc w:val="left"/>
      <w:pPr>
        <w:ind w:left="5040" w:hanging="360"/>
      </w:pPr>
      <w:rPr>
        <w:rFonts w:ascii="Symbol" w:hAnsi="Symbol" w:hint="default"/>
      </w:rPr>
    </w:lvl>
    <w:lvl w:ilvl="7" w:tplc="211699F2" w:tentative="1">
      <w:start w:val="1"/>
      <w:numFmt w:val="bullet"/>
      <w:lvlText w:val="o"/>
      <w:lvlJc w:val="left"/>
      <w:pPr>
        <w:ind w:left="5760" w:hanging="360"/>
      </w:pPr>
      <w:rPr>
        <w:rFonts w:ascii="Courier New" w:hAnsi="Courier New" w:hint="default"/>
      </w:rPr>
    </w:lvl>
    <w:lvl w:ilvl="8" w:tplc="86D2B648" w:tentative="1">
      <w:start w:val="1"/>
      <w:numFmt w:val="bullet"/>
      <w:lvlText w:val=""/>
      <w:lvlJc w:val="left"/>
      <w:pPr>
        <w:ind w:left="6480" w:hanging="360"/>
      </w:pPr>
      <w:rPr>
        <w:rFonts w:ascii="Wingdings" w:hAnsi="Wingdings" w:hint="default"/>
      </w:rPr>
    </w:lvl>
  </w:abstractNum>
  <w:abstractNum w:abstractNumId="360" w15:restartNumberingAfterBreak="0">
    <w:nsid w:val="31F24A14"/>
    <w:multiLevelType w:val="multilevel"/>
    <w:tmpl w:val="5644C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321F087F"/>
    <w:multiLevelType w:val="multilevel"/>
    <w:tmpl w:val="3242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22A320B"/>
    <w:multiLevelType w:val="multilevel"/>
    <w:tmpl w:val="0D1C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322E5CD5"/>
    <w:multiLevelType w:val="multilevel"/>
    <w:tmpl w:val="33666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25950D0"/>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5" w15:restartNumberingAfterBreak="0">
    <w:nsid w:val="32646A44"/>
    <w:multiLevelType w:val="multilevel"/>
    <w:tmpl w:val="DFAC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32884357"/>
    <w:multiLevelType w:val="multilevel"/>
    <w:tmpl w:val="538EC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2E94C1F"/>
    <w:multiLevelType w:val="multilevel"/>
    <w:tmpl w:val="EA9AB906"/>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68" w15:restartNumberingAfterBreak="0">
    <w:nsid w:val="3311476C"/>
    <w:multiLevelType w:val="multilevel"/>
    <w:tmpl w:val="9D5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335929D8"/>
    <w:multiLevelType w:val="hybridMultilevel"/>
    <w:tmpl w:val="060C3D56"/>
    <w:lvl w:ilvl="0" w:tplc="2F229496">
      <w:start w:val="1"/>
      <w:numFmt w:val="bullet"/>
      <w:lvlText w:val=""/>
      <w:lvlJc w:val="left"/>
      <w:pPr>
        <w:ind w:left="720" w:hanging="360"/>
      </w:pPr>
      <w:rPr>
        <w:rFonts w:ascii="Symbol" w:hAnsi="Symbol" w:hint="default"/>
      </w:rPr>
    </w:lvl>
    <w:lvl w:ilvl="1" w:tplc="B43C0498" w:tentative="1">
      <w:start w:val="1"/>
      <w:numFmt w:val="bullet"/>
      <w:lvlText w:val="o"/>
      <w:lvlJc w:val="left"/>
      <w:pPr>
        <w:ind w:left="1440" w:hanging="360"/>
      </w:pPr>
      <w:rPr>
        <w:rFonts w:ascii="Courier New" w:hAnsi="Courier New" w:hint="default"/>
      </w:rPr>
    </w:lvl>
    <w:lvl w:ilvl="2" w:tplc="816A4A38" w:tentative="1">
      <w:start w:val="1"/>
      <w:numFmt w:val="bullet"/>
      <w:lvlText w:val=""/>
      <w:lvlJc w:val="left"/>
      <w:pPr>
        <w:ind w:left="2160" w:hanging="360"/>
      </w:pPr>
      <w:rPr>
        <w:rFonts w:ascii="Wingdings" w:hAnsi="Wingdings" w:hint="default"/>
      </w:rPr>
    </w:lvl>
    <w:lvl w:ilvl="3" w:tplc="C2302CAE" w:tentative="1">
      <w:start w:val="1"/>
      <w:numFmt w:val="bullet"/>
      <w:lvlText w:val=""/>
      <w:lvlJc w:val="left"/>
      <w:pPr>
        <w:ind w:left="2880" w:hanging="360"/>
      </w:pPr>
      <w:rPr>
        <w:rFonts w:ascii="Symbol" w:hAnsi="Symbol" w:hint="default"/>
      </w:rPr>
    </w:lvl>
    <w:lvl w:ilvl="4" w:tplc="98B8698C" w:tentative="1">
      <w:start w:val="1"/>
      <w:numFmt w:val="bullet"/>
      <w:lvlText w:val="o"/>
      <w:lvlJc w:val="left"/>
      <w:pPr>
        <w:ind w:left="3600" w:hanging="360"/>
      </w:pPr>
      <w:rPr>
        <w:rFonts w:ascii="Courier New" w:hAnsi="Courier New" w:hint="default"/>
      </w:rPr>
    </w:lvl>
    <w:lvl w:ilvl="5" w:tplc="C20822B6" w:tentative="1">
      <w:start w:val="1"/>
      <w:numFmt w:val="bullet"/>
      <w:lvlText w:val=""/>
      <w:lvlJc w:val="left"/>
      <w:pPr>
        <w:ind w:left="4320" w:hanging="360"/>
      </w:pPr>
      <w:rPr>
        <w:rFonts w:ascii="Wingdings" w:hAnsi="Wingdings" w:hint="default"/>
      </w:rPr>
    </w:lvl>
    <w:lvl w:ilvl="6" w:tplc="2B7EEAF0" w:tentative="1">
      <w:start w:val="1"/>
      <w:numFmt w:val="bullet"/>
      <w:lvlText w:val=""/>
      <w:lvlJc w:val="left"/>
      <w:pPr>
        <w:ind w:left="5040" w:hanging="360"/>
      </w:pPr>
      <w:rPr>
        <w:rFonts w:ascii="Symbol" w:hAnsi="Symbol" w:hint="default"/>
      </w:rPr>
    </w:lvl>
    <w:lvl w:ilvl="7" w:tplc="A852F004" w:tentative="1">
      <w:start w:val="1"/>
      <w:numFmt w:val="bullet"/>
      <w:lvlText w:val="o"/>
      <w:lvlJc w:val="left"/>
      <w:pPr>
        <w:ind w:left="5760" w:hanging="360"/>
      </w:pPr>
      <w:rPr>
        <w:rFonts w:ascii="Courier New" w:hAnsi="Courier New" w:hint="default"/>
      </w:rPr>
    </w:lvl>
    <w:lvl w:ilvl="8" w:tplc="617C6F46" w:tentative="1">
      <w:start w:val="1"/>
      <w:numFmt w:val="bullet"/>
      <w:lvlText w:val=""/>
      <w:lvlJc w:val="left"/>
      <w:pPr>
        <w:ind w:left="6480" w:hanging="360"/>
      </w:pPr>
      <w:rPr>
        <w:rFonts w:ascii="Wingdings" w:hAnsi="Wingdings" w:hint="default"/>
      </w:rPr>
    </w:lvl>
  </w:abstractNum>
  <w:abstractNum w:abstractNumId="370" w15:restartNumberingAfterBreak="0">
    <w:nsid w:val="337B27E6"/>
    <w:multiLevelType w:val="hybridMultilevel"/>
    <w:tmpl w:val="01C8A676"/>
    <w:lvl w:ilvl="0" w:tplc="8A98545E">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186E8EF4" w:tentative="1">
      <w:start w:val="1"/>
      <w:numFmt w:val="bullet"/>
      <w:lvlText w:val="o"/>
      <w:lvlJc w:val="left"/>
      <w:pPr>
        <w:ind w:left="1440" w:hanging="360"/>
      </w:pPr>
      <w:rPr>
        <w:rFonts w:ascii="Courier New" w:hAnsi="Courier New" w:hint="default"/>
      </w:rPr>
    </w:lvl>
    <w:lvl w:ilvl="2" w:tplc="A4A28B5E" w:tentative="1">
      <w:start w:val="1"/>
      <w:numFmt w:val="bullet"/>
      <w:lvlText w:val=""/>
      <w:lvlJc w:val="left"/>
      <w:pPr>
        <w:ind w:left="2160" w:hanging="360"/>
      </w:pPr>
      <w:rPr>
        <w:rFonts w:ascii="Wingdings" w:hAnsi="Wingdings" w:hint="default"/>
      </w:rPr>
    </w:lvl>
    <w:lvl w:ilvl="3" w:tplc="FB349C6C" w:tentative="1">
      <w:start w:val="1"/>
      <w:numFmt w:val="bullet"/>
      <w:lvlText w:val=""/>
      <w:lvlJc w:val="left"/>
      <w:pPr>
        <w:ind w:left="2880" w:hanging="360"/>
      </w:pPr>
      <w:rPr>
        <w:rFonts w:ascii="Symbol" w:hAnsi="Symbol" w:hint="default"/>
      </w:rPr>
    </w:lvl>
    <w:lvl w:ilvl="4" w:tplc="68BEB518" w:tentative="1">
      <w:start w:val="1"/>
      <w:numFmt w:val="bullet"/>
      <w:lvlText w:val="o"/>
      <w:lvlJc w:val="left"/>
      <w:pPr>
        <w:ind w:left="3600" w:hanging="360"/>
      </w:pPr>
      <w:rPr>
        <w:rFonts w:ascii="Courier New" w:hAnsi="Courier New" w:hint="default"/>
      </w:rPr>
    </w:lvl>
    <w:lvl w:ilvl="5" w:tplc="0570091A" w:tentative="1">
      <w:start w:val="1"/>
      <w:numFmt w:val="bullet"/>
      <w:lvlText w:val=""/>
      <w:lvlJc w:val="left"/>
      <w:pPr>
        <w:ind w:left="4320" w:hanging="360"/>
      </w:pPr>
      <w:rPr>
        <w:rFonts w:ascii="Wingdings" w:hAnsi="Wingdings" w:hint="default"/>
      </w:rPr>
    </w:lvl>
    <w:lvl w:ilvl="6" w:tplc="AA80808E" w:tentative="1">
      <w:start w:val="1"/>
      <w:numFmt w:val="bullet"/>
      <w:lvlText w:val=""/>
      <w:lvlJc w:val="left"/>
      <w:pPr>
        <w:ind w:left="5040" w:hanging="360"/>
      </w:pPr>
      <w:rPr>
        <w:rFonts w:ascii="Symbol" w:hAnsi="Symbol" w:hint="default"/>
      </w:rPr>
    </w:lvl>
    <w:lvl w:ilvl="7" w:tplc="302098BE" w:tentative="1">
      <w:start w:val="1"/>
      <w:numFmt w:val="bullet"/>
      <w:lvlText w:val="o"/>
      <w:lvlJc w:val="left"/>
      <w:pPr>
        <w:ind w:left="5760" w:hanging="360"/>
      </w:pPr>
      <w:rPr>
        <w:rFonts w:ascii="Courier New" w:hAnsi="Courier New" w:hint="default"/>
      </w:rPr>
    </w:lvl>
    <w:lvl w:ilvl="8" w:tplc="4D7E3296" w:tentative="1">
      <w:start w:val="1"/>
      <w:numFmt w:val="bullet"/>
      <w:lvlText w:val=""/>
      <w:lvlJc w:val="left"/>
      <w:pPr>
        <w:ind w:left="6480" w:hanging="360"/>
      </w:pPr>
      <w:rPr>
        <w:rFonts w:ascii="Wingdings" w:hAnsi="Wingdings" w:hint="default"/>
      </w:rPr>
    </w:lvl>
  </w:abstractNum>
  <w:abstractNum w:abstractNumId="371" w15:restartNumberingAfterBreak="0">
    <w:nsid w:val="33A032E7"/>
    <w:multiLevelType w:val="multilevel"/>
    <w:tmpl w:val="F7B69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33C67605"/>
    <w:multiLevelType w:val="multilevel"/>
    <w:tmpl w:val="DCC867A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73" w15:restartNumberingAfterBreak="0">
    <w:nsid w:val="33CC51BE"/>
    <w:multiLevelType w:val="multilevel"/>
    <w:tmpl w:val="625A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44F7242"/>
    <w:multiLevelType w:val="multilevel"/>
    <w:tmpl w:val="3962BF1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75" w15:restartNumberingAfterBreak="0">
    <w:nsid w:val="3464293E"/>
    <w:multiLevelType w:val="multilevel"/>
    <w:tmpl w:val="B8BC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34892964"/>
    <w:multiLevelType w:val="hybridMultilevel"/>
    <w:tmpl w:val="99D4D41E"/>
    <w:lvl w:ilvl="0" w:tplc="B57CD472">
      <w:start w:val="1"/>
      <w:numFmt w:val="bullet"/>
      <w:lvlText w:val=""/>
      <w:lvlJc w:val="left"/>
      <w:pPr>
        <w:ind w:left="720" w:hanging="360"/>
      </w:pPr>
      <w:rPr>
        <w:rFonts w:ascii="Symbol" w:hAnsi="Symbol" w:hint="default"/>
      </w:rPr>
    </w:lvl>
    <w:lvl w:ilvl="1" w:tplc="94ECB330">
      <w:start w:val="1"/>
      <w:numFmt w:val="bullet"/>
      <w:lvlText w:val="o"/>
      <w:lvlJc w:val="left"/>
      <w:pPr>
        <w:ind w:left="1440" w:hanging="360"/>
      </w:pPr>
      <w:rPr>
        <w:rFonts w:ascii="Courier New" w:hAnsi="Courier New" w:hint="default"/>
      </w:rPr>
    </w:lvl>
    <w:lvl w:ilvl="2" w:tplc="B6AEC194" w:tentative="1">
      <w:start w:val="1"/>
      <w:numFmt w:val="bullet"/>
      <w:lvlText w:val=""/>
      <w:lvlJc w:val="left"/>
      <w:pPr>
        <w:ind w:left="2160" w:hanging="360"/>
      </w:pPr>
      <w:rPr>
        <w:rFonts w:ascii="Wingdings" w:hAnsi="Wingdings" w:hint="default"/>
      </w:rPr>
    </w:lvl>
    <w:lvl w:ilvl="3" w:tplc="FCDE8720" w:tentative="1">
      <w:start w:val="1"/>
      <w:numFmt w:val="bullet"/>
      <w:lvlText w:val=""/>
      <w:lvlJc w:val="left"/>
      <w:pPr>
        <w:ind w:left="2880" w:hanging="360"/>
      </w:pPr>
      <w:rPr>
        <w:rFonts w:ascii="Symbol" w:hAnsi="Symbol" w:hint="default"/>
      </w:rPr>
    </w:lvl>
    <w:lvl w:ilvl="4" w:tplc="74787A16" w:tentative="1">
      <w:start w:val="1"/>
      <w:numFmt w:val="bullet"/>
      <w:lvlText w:val="o"/>
      <w:lvlJc w:val="left"/>
      <w:pPr>
        <w:ind w:left="3600" w:hanging="360"/>
      </w:pPr>
      <w:rPr>
        <w:rFonts w:ascii="Courier New" w:hAnsi="Courier New" w:hint="default"/>
      </w:rPr>
    </w:lvl>
    <w:lvl w:ilvl="5" w:tplc="FE76B8C6" w:tentative="1">
      <w:start w:val="1"/>
      <w:numFmt w:val="bullet"/>
      <w:lvlText w:val=""/>
      <w:lvlJc w:val="left"/>
      <w:pPr>
        <w:ind w:left="4320" w:hanging="360"/>
      </w:pPr>
      <w:rPr>
        <w:rFonts w:ascii="Wingdings" w:hAnsi="Wingdings" w:hint="default"/>
      </w:rPr>
    </w:lvl>
    <w:lvl w:ilvl="6" w:tplc="219EFCAA" w:tentative="1">
      <w:start w:val="1"/>
      <w:numFmt w:val="bullet"/>
      <w:lvlText w:val=""/>
      <w:lvlJc w:val="left"/>
      <w:pPr>
        <w:ind w:left="5040" w:hanging="360"/>
      </w:pPr>
      <w:rPr>
        <w:rFonts w:ascii="Symbol" w:hAnsi="Symbol" w:hint="default"/>
      </w:rPr>
    </w:lvl>
    <w:lvl w:ilvl="7" w:tplc="AF7EF1B6" w:tentative="1">
      <w:start w:val="1"/>
      <w:numFmt w:val="bullet"/>
      <w:lvlText w:val="o"/>
      <w:lvlJc w:val="left"/>
      <w:pPr>
        <w:ind w:left="5760" w:hanging="360"/>
      </w:pPr>
      <w:rPr>
        <w:rFonts w:ascii="Courier New" w:hAnsi="Courier New" w:hint="default"/>
      </w:rPr>
    </w:lvl>
    <w:lvl w:ilvl="8" w:tplc="944C8E66" w:tentative="1">
      <w:start w:val="1"/>
      <w:numFmt w:val="bullet"/>
      <w:lvlText w:val=""/>
      <w:lvlJc w:val="left"/>
      <w:pPr>
        <w:ind w:left="6480" w:hanging="360"/>
      </w:pPr>
      <w:rPr>
        <w:rFonts w:ascii="Wingdings" w:hAnsi="Wingdings" w:hint="default"/>
      </w:rPr>
    </w:lvl>
  </w:abstractNum>
  <w:abstractNum w:abstractNumId="377" w15:restartNumberingAfterBreak="0">
    <w:nsid w:val="34AC6B45"/>
    <w:multiLevelType w:val="hybridMultilevel"/>
    <w:tmpl w:val="F0AC9E64"/>
    <w:lvl w:ilvl="0" w:tplc="36280AD6">
      <w:start w:val="1"/>
      <w:numFmt w:val="bullet"/>
      <w:lvlText w:val=""/>
      <w:lvlJc w:val="left"/>
      <w:pPr>
        <w:ind w:left="720" w:hanging="360"/>
      </w:pPr>
      <w:rPr>
        <w:rFonts w:ascii="Symbol" w:hAnsi="Symbol" w:hint="default"/>
      </w:rPr>
    </w:lvl>
    <w:lvl w:ilvl="1" w:tplc="FC6C5B8E">
      <w:start w:val="1"/>
      <w:numFmt w:val="bullet"/>
      <w:lvlText w:val="o"/>
      <w:lvlJc w:val="left"/>
      <w:pPr>
        <w:ind w:left="1440" w:hanging="360"/>
      </w:pPr>
      <w:rPr>
        <w:rFonts w:ascii="Courier New" w:hAnsi="Courier New" w:hint="default"/>
      </w:rPr>
    </w:lvl>
    <w:lvl w:ilvl="2" w:tplc="ADCAA022" w:tentative="1">
      <w:start w:val="1"/>
      <w:numFmt w:val="bullet"/>
      <w:lvlText w:val=""/>
      <w:lvlJc w:val="left"/>
      <w:pPr>
        <w:ind w:left="2160" w:hanging="360"/>
      </w:pPr>
      <w:rPr>
        <w:rFonts w:ascii="Wingdings" w:hAnsi="Wingdings" w:hint="default"/>
      </w:rPr>
    </w:lvl>
    <w:lvl w:ilvl="3" w:tplc="C448BA14" w:tentative="1">
      <w:start w:val="1"/>
      <w:numFmt w:val="bullet"/>
      <w:lvlText w:val=""/>
      <w:lvlJc w:val="left"/>
      <w:pPr>
        <w:ind w:left="2880" w:hanging="360"/>
      </w:pPr>
      <w:rPr>
        <w:rFonts w:ascii="Symbol" w:hAnsi="Symbol" w:hint="default"/>
      </w:rPr>
    </w:lvl>
    <w:lvl w:ilvl="4" w:tplc="061EF65C" w:tentative="1">
      <w:start w:val="1"/>
      <w:numFmt w:val="bullet"/>
      <w:lvlText w:val="o"/>
      <w:lvlJc w:val="left"/>
      <w:pPr>
        <w:ind w:left="3600" w:hanging="360"/>
      </w:pPr>
      <w:rPr>
        <w:rFonts w:ascii="Courier New" w:hAnsi="Courier New" w:hint="default"/>
      </w:rPr>
    </w:lvl>
    <w:lvl w:ilvl="5" w:tplc="E2764A38" w:tentative="1">
      <w:start w:val="1"/>
      <w:numFmt w:val="bullet"/>
      <w:lvlText w:val=""/>
      <w:lvlJc w:val="left"/>
      <w:pPr>
        <w:ind w:left="4320" w:hanging="360"/>
      </w:pPr>
      <w:rPr>
        <w:rFonts w:ascii="Wingdings" w:hAnsi="Wingdings" w:hint="default"/>
      </w:rPr>
    </w:lvl>
    <w:lvl w:ilvl="6" w:tplc="C722DE30" w:tentative="1">
      <w:start w:val="1"/>
      <w:numFmt w:val="bullet"/>
      <w:lvlText w:val=""/>
      <w:lvlJc w:val="left"/>
      <w:pPr>
        <w:ind w:left="5040" w:hanging="360"/>
      </w:pPr>
      <w:rPr>
        <w:rFonts w:ascii="Symbol" w:hAnsi="Symbol" w:hint="default"/>
      </w:rPr>
    </w:lvl>
    <w:lvl w:ilvl="7" w:tplc="97BA42F2" w:tentative="1">
      <w:start w:val="1"/>
      <w:numFmt w:val="bullet"/>
      <w:lvlText w:val="o"/>
      <w:lvlJc w:val="left"/>
      <w:pPr>
        <w:ind w:left="5760" w:hanging="360"/>
      </w:pPr>
      <w:rPr>
        <w:rFonts w:ascii="Courier New" w:hAnsi="Courier New" w:hint="default"/>
      </w:rPr>
    </w:lvl>
    <w:lvl w:ilvl="8" w:tplc="8F6A5B60" w:tentative="1">
      <w:start w:val="1"/>
      <w:numFmt w:val="bullet"/>
      <w:lvlText w:val=""/>
      <w:lvlJc w:val="left"/>
      <w:pPr>
        <w:ind w:left="6480" w:hanging="360"/>
      </w:pPr>
      <w:rPr>
        <w:rFonts w:ascii="Wingdings" w:hAnsi="Wingdings" w:hint="default"/>
      </w:rPr>
    </w:lvl>
  </w:abstractNum>
  <w:abstractNum w:abstractNumId="378" w15:restartNumberingAfterBreak="0">
    <w:nsid w:val="34C93B4E"/>
    <w:multiLevelType w:val="multilevel"/>
    <w:tmpl w:val="C1E0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4E736A5"/>
    <w:multiLevelType w:val="multilevel"/>
    <w:tmpl w:val="3AC4E98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80" w15:restartNumberingAfterBreak="0">
    <w:nsid w:val="34F30BBA"/>
    <w:multiLevelType w:val="multilevel"/>
    <w:tmpl w:val="0562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507033D"/>
    <w:multiLevelType w:val="multilevel"/>
    <w:tmpl w:val="B5AE6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353D3117"/>
    <w:multiLevelType w:val="hybridMultilevel"/>
    <w:tmpl w:val="EB1E619E"/>
    <w:lvl w:ilvl="0" w:tplc="7B1A35B4">
      <w:start w:val="1"/>
      <w:numFmt w:val="bullet"/>
      <w:lvlText w:val=""/>
      <w:lvlJc w:val="left"/>
      <w:pPr>
        <w:ind w:left="720" w:hanging="360"/>
      </w:pPr>
      <w:rPr>
        <w:rFonts w:ascii="Symbol" w:hAnsi="Symbol" w:hint="default"/>
      </w:rPr>
    </w:lvl>
    <w:lvl w:ilvl="1" w:tplc="CC849044" w:tentative="1">
      <w:start w:val="1"/>
      <w:numFmt w:val="bullet"/>
      <w:lvlText w:val="o"/>
      <w:lvlJc w:val="left"/>
      <w:pPr>
        <w:ind w:left="1440" w:hanging="360"/>
      </w:pPr>
      <w:rPr>
        <w:rFonts w:ascii="Courier New" w:hAnsi="Courier New" w:hint="default"/>
      </w:rPr>
    </w:lvl>
    <w:lvl w:ilvl="2" w:tplc="F6747480" w:tentative="1">
      <w:start w:val="1"/>
      <w:numFmt w:val="bullet"/>
      <w:lvlText w:val=""/>
      <w:lvlJc w:val="left"/>
      <w:pPr>
        <w:ind w:left="2160" w:hanging="360"/>
      </w:pPr>
      <w:rPr>
        <w:rFonts w:ascii="Wingdings" w:hAnsi="Wingdings" w:hint="default"/>
      </w:rPr>
    </w:lvl>
    <w:lvl w:ilvl="3" w:tplc="E5B6F6BA" w:tentative="1">
      <w:start w:val="1"/>
      <w:numFmt w:val="bullet"/>
      <w:lvlText w:val=""/>
      <w:lvlJc w:val="left"/>
      <w:pPr>
        <w:ind w:left="2880" w:hanging="360"/>
      </w:pPr>
      <w:rPr>
        <w:rFonts w:ascii="Symbol" w:hAnsi="Symbol" w:hint="default"/>
      </w:rPr>
    </w:lvl>
    <w:lvl w:ilvl="4" w:tplc="D72C2B08" w:tentative="1">
      <w:start w:val="1"/>
      <w:numFmt w:val="bullet"/>
      <w:lvlText w:val="o"/>
      <w:lvlJc w:val="left"/>
      <w:pPr>
        <w:ind w:left="3600" w:hanging="360"/>
      </w:pPr>
      <w:rPr>
        <w:rFonts w:ascii="Courier New" w:hAnsi="Courier New" w:hint="default"/>
      </w:rPr>
    </w:lvl>
    <w:lvl w:ilvl="5" w:tplc="231C628C" w:tentative="1">
      <w:start w:val="1"/>
      <w:numFmt w:val="bullet"/>
      <w:lvlText w:val=""/>
      <w:lvlJc w:val="left"/>
      <w:pPr>
        <w:ind w:left="4320" w:hanging="360"/>
      </w:pPr>
      <w:rPr>
        <w:rFonts w:ascii="Wingdings" w:hAnsi="Wingdings" w:hint="default"/>
      </w:rPr>
    </w:lvl>
    <w:lvl w:ilvl="6" w:tplc="2104E036" w:tentative="1">
      <w:start w:val="1"/>
      <w:numFmt w:val="bullet"/>
      <w:lvlText w:val=""/>
      <w:lvlJc w:val="left"/>
      <w:pPr>
        <w:ind w:left="5040" w:hanging="360"/>
      </w:pPr>
      <w:rPr>
        <w:rFonts w:ascii="Symbol" w:hAnsi="Symbol" w:hint="default"/>
      </w:rPr>
    </w:lvl>
    <w:lvl w:ilvl="7" w:tplc="271A524A" w:tentative="1">
      <w:start w:val="1"/>
      <w:numFmt w:val="bullet"/>
      <w:lvlText w:val="o"/>
      <w:lvlJc w:val="left"/>
      <w:pPr>
        <w:ind w:left="5760" w:hanging="360"/>
      </w:pPr>
      <w:rPr>
        <w:rFonts w:ascii="Courier New" w:hAnsi="Courier New" w:hint="default"/>
      </w:rPr>
    </w:lvl>
    <w:lvl w:ilvl="8" w:tplc="41EC7BB4" w:tentative="1">
      <w:start w:val="1"/>
      <w:numFmt w:val="bullet"/>
      <w:lvlText w:val=""/>
      <w:lvlJc w:val="left"/>
      <w:pPr>
        <w:ind w:left="6480" w:hanging="360"/>
      </w:pPr>
      <w:rPr>
        <w:rFonts w:ascii="Wingdings" w:hAnsi="Wingdings" w:hint="default"/>
      </w:rPr>
    </w:lvl>
  </w:abstractNum>
  <w:abstractNum w:abstractNumId="383" w15:restartNumberingAfterBreak="0">
    <w:nsid w:val="35554AAF"/>
    <w:multiLevelType w:val="multilevel"/>
    <w:tmpl w:val="D6FE5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356D5235"/>
    <w:multiLevelType w:val="multilevel"/>
    <w:tmpl w:val="10BC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35AD62AE"/>
    <w:multiLevelType w:val="multilevel"/>
    <w:tmpl w:val="F3F0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35BC2A36"/>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35D623ED"/>
    <w:multiLevelType w:val="multilevel"/>
    <w:tmpl w:val="ECAC1DF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88" w15:restartNumberingAfterBreak="0">
    <w:nsid w:val="363F5D1B"/>
    <w:multiLevelType w:val="multilevel"/>
    <w:tmpl w:val="4370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6615FC9"/>
    <w:multiLevelType w:val="multilevel"/>
    <w:tmpl w:val="DEE8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6F63539"/>
    <w:multiLevelType w:val="multilevel"/>
    <w:tmpl w:val="3048B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36F93574"/>
    <w:multiLevelType w:val="multilevel"/>
    <w:tmpl w:val="AD30A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371E3E90"/>
    <w:multiLevelType w:val="multilevel"/>
    <w:tmpl w:val="9DA2CE06"/>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93" w15:restartNumberingAfterBreak="0">
    <w:nsid w:val="3775310A"/>
    <w:multiLevelType w:val="multilevel"/>
    <w:tmpl w:val="215AC1B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94" w15:restartNumberingAfterBreak="0">
    <w:nsid w:val="379F0F5F"/>
    <w:multiLevelType w:val="multilevel"/>
    <w:tmpl w:val="AEC4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37A50245"/>
    <w:multiLevelType w:val="multilevel"/>
    <w:tmpl w:val="A46A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37DA6C54"/>
    <w:multiLevelType w:val="multilevel"/>
    <w:tmpl w:val="387E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37E86E24"/>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38294B92"/>
    <w:multiLevelType w:val="multilevel"/>
    <w:tmpl w:val="083C3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38AF4208"/>
    <w:multiLevelType w:val="multilevel"/>
    <w:tmpl w:val="DFD2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38D86E0A"/>
    <w:multiLevelType w:val="multilevel"/>
    <w:tmpl w:val="7F4A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38F7136B"/>
    <w:multiLevelType w:val="multilevel"/>
    <w:tmpl w:val="51EC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3912171B"/>
    <w:multiLevelType w:val="hybridMultilevel"/>
    <w:tmpl w:val="4F40B8D6"/>
    <w:lvl w:ilvl="0" w:tplc="E40E7FD6">
      <w:start w:val="1"/>
      <w:numFmt w:val="bullet"/>
      <w:lvlText w:val=""/>
      <w:lvlJc w:val="left"/>
      <w:pPr>
        <w:ind w:left="720" w:hanging="360"/>
      </w:pPr>
      <w:rPr>
        <w:rFonts w:ascii="Symbol" w:hAnsi="Symbol" w:hint="default"/>
      </w:rPr>
    </w:lvl>
    <w:lvl w:ilvl="1" w:tplc="D49CFD04" w:tentative="1">
      <w:start w:val="1"/>
      <w:numFmt w:val="bullet"/>
      <w:lvlText w:val="o"/>
      <w:lvlJc w:val="left"/>
      <w:pPr>
        <w:ind w:left="1440" w:hanging="360"/>
      </w:pPr>
      <w:rPr>
        <w:rFonts w:ascii="Courier New" w:hAnsi="Courier New" w:hint="default"/>
      </w:rPr>
    </w:lvl>
    <w:lvl w:ilvl="2" w:tplc="2248A48A" w:tentative="1">
      <w:start w:val="1"/>
      <w:numFmt w:val="bullet"/>
      <w:lvlText w:val=""/>
      <w:lvlJc w:val="left"/>
      <w:pPr>
        <w:ind w:left="2160" w:hanging="360"/>
      </w:pPr>
      <w:rPr>
        <w:rFonts w:ascii="Wingdings" w:hAnsi="Wingdings" w:hint="default"/>
      </w:rPr>
    </w:lvl>
    <w:lvl w:ilvl="3" w:tplc="DBC48CA8" w:tentative="1">
      <w:start w:val="1"/>
      <w:numFmt w:val="bullet"/>
      <w:lvlText w:val=""/>
      <w:lvlJc w:val="left"/>
      <w:pPr>
        <w:ind w:left="2880" w:hanging="360"/>
      </w:pPr>
      <w:rPr>
        <w:rFonts w:ascii="Symbol" w:hAnsi="Symbol" w:hint="default"/>
      </w:rPr>
    </w:lvl>
    <w:lvl w:ilvl="4" w:tplc="AF22528A" w:tentative="1">
      <w:start w:val="1"/>
      <w:numFmt w:val="bullet"/>
      <w:lvlText w:val="o"/>
      <w:lvlJc w:val="left"/>
      <w:pPr>
        <w:ind w:left="3600" w:hanging="360"/>
      </w:pPr>
      <w:rPr>
        <w:rFonts w:ascii="Courier New" w:hAnsi="Courier New" w:hint="default"/>
      </w:rPr>
    </w:lvl>
    <w:lvl w:ilvl="5" w:tplc="0A4C5938" w:tentative="1">
      <w:start w:val="1"/>
      <w:numFmt w:val="bullet"/>
      <w:lvlText w:val=""/>
      <w:lvlJc w:val="left"/>
      <w:pPr>
        <w:ind w:left="4320" w:hanging="360"/>
      </w:pPr>
      <w:rPr>
        <w:rFonts w:ascii="Wingdings" w:hAnsi="Wingdings" w:hint="default"/>
      </w:rPr>
    </w:lvl>
    <w:lvl w:ilvl="6" w:tplc="1B307D14" w:tentative="1">
      <w:start w:val="1"/>
      <w:numFmt w:val="bullet"/>
      <w:lvlText w:val=""/>
      <w:lvlJc w:val="left"/>
      <w:pPr>
        <w:ind w:left="5040" w:hanging="360"/>
      </w:pPr>
      <w:rPr>
        <w:rFonts w:ascii="Symbol" w:hAnsi="Symbol" w:hint="default"/>
      </w:rPr>
    </w:lvl>
    <w:lvl w:ilvl="7" w:tplc="D264F3C6" w:tentative="1">
      <w:start w:val="1"/>
      <w:numFmt w:val="bullet"/>
      <w:lvlText w:val="o"/>
      <w:lvlJc w:val="left"/>
      <w:pPr>
        <w:ind w:left="5760" w:hanging="360"/>
      </w:pPr>
      <w:rPr>
        <w:rFonts w:ascii="Courier New" w:hAnsi="Courier New" w:hint="default"/>
      </w:rPr>
    </w:lvl>
    <w:lvl w:ilvl="8" w:tplc="B1383D58" w:tentative="1">
      <w:start w:val="1"/>
      <w:numFmt w:val="bullet"/>
      <w:lvlText w:val=""/>
      <w:lvlJc w:val="left"/>
      <w:pPr>
        <w:ind w:left="6480" w:hanging="360"/>
      </w:pPr>
      <w:rPr>
        <w:rFonts w:ascii="Wingdings" w:hAnsi="Wingdings" w:hint="default"/>
      </w:rPr>
    </w:lvl>
  </w:abstractNum>
  <w:abstractNum w:abstractNumId="403" w15:restartNumberingAfterBreak="0">
    <w:nsid w:val="39407CC0"/>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39570B00"/>
    <w:multiLevelType w:val="multilevel"/>
    <w:tmpl w:val="3F64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3968799C"/>
    <w:multiLevelType w:val="multilevel"/>
    <w:tmpl w:val="4D1A42B6"/>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06" w15:restartNumberingAfterBreak="0">
    <w:nsid w:val="3978693D"/>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39967C6F"/>
    <w:multiLevelType w:val="multilevel"/>
    <w:tmpl w:val="F77C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39B76A67"/>
    <w:multiLevelType w:val="multilevel"/>
    <w:tmpl w:val="7744F85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09" w15:restartNumberingAfterBreak="0">
    <w:nsid w:val="3A051A4B"/>
    <w:multiLevelType w:val="multilevel"/>
    <w:tmpl w:val="B064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3A144C43"/>
    <w:multiLevelType w:val="multilevel"/>
    <w:tmpl w:val="F3E2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3A160B01"/>
    <w:multiLevelType w:val="hybridMultilevel"/>
    <w:tmpl w:val="DA28BAE6"/>
    <w:lvl w:ilvl="0" w:tplc="7DFE19EA">
      <w:start w:val="1"/>
      <w:numFmt w:val="bullet"/>
      <w:lvlText w:val=""/>
      <w:lvlJc w:val="left"/>
      <w:pPr>
        <w:ind w:left="720" w:hanging="360"/>
      </w:pPr>
      <w:rPr>
        <w:rFonts w:ascii="Symbol" w:hAnsi="Symbol" w:hint="default"/>
      </w:rPr>
    </w:lvl>
    <w:lvl w:ilvl="1" w:tplc="7A30092C" w:tentative="1">
      <w:start w:val="1"/>
      <w:numFmt w:val="bullet"/>
      <w:lvlText w:val="o"/>
      <w:lvlJc w:val="left"/>
      <w:pPr>
        <w:ind w:left="1440" w:hanging="360"/>
      </w:pPr>
      <w:rPr>
        <w:rFonts w:ascii="Courier New" w:hAnsi="Courier New" w:hint="default"/>
      </w:rPr>
    </w:lvl>
    <w:lvl w:ilvl="2" w:tplc="5566C3F2" w:tentative="1">
      <w:start w:val="1"/>
      <w:numFmt w:val="bullet"/>
      <w:lvlText w:val=""/>
      <w:lvlJc w:val="left"/>
      <w:pPr>
        <w:ind w:left="2160" w:hanging="360"/>
      </w:pPr>
      <w:rPr>
        <w:rFonts w:ascii="Wingdings" w:hAnsi="Wingdings" w:hint="default"/>
      </w:rPr>
    </w:lvl>
    <w:lvl w:ilvl="3" w:tplc="9D540FC4" w:tentative="1">
      <w:start w:val="1"/>
      <w:numFmt w:val="bullet"/>
      <w:lvlText w:val=""/>
      <w:lvlJc w:val="left"/>
      <w:pPr>
        <w:ind w:left="2880" w:hanging="360"/>
      </w:pPr>
      <w:rPr>
        <w:rFonts w:ascii="Symbol" w:hAnsi="Symbol" w:hint="default"/>
      </w:rPr>
    </w:lvl>
    <w:lvl w:ilvl="4" w:tplc="27904800" w:tentative="1">
      <w:start w:val="1"/>
      <w:numFmt w:val="bullet"/>
      <w:lvlText w:val="o"/>
      <w:lvlJc w:val="left"/>
      <w:pPr>
        <w:ind w:left="3600" w:hanging="360"/>
      </w:pPr>
      <w:rPr>
        <w:rFonts w:ascii="Courier New" w:hAnsi="Courier New" w:hint="default"/>
      </w:rPr>
    </w:lvl>
    <w:lvl w:ilvl="5" w:tplc="7E88A188" w:tentative="1">
      <w:start w:val="1"/>
      <w:numFmt w:val="bullet"/>
      <w:lvlText w:val=""/>
      <w:lvlJc w:val="left"/>
      <w:pPr>
        <w:ind w:left="4320" w:hanging="360"/>
      </w:pPr>
      <w:rPr>
        <w:rFonts w:ascii="Wingdings" w:hAnsi="Wingdings" w:hint="default"/>
      </w:rPr>
    </w:lvl>
    <w:lvl w:ilvl="6" w:tplc="8F54017E" w:tentative="1">
      <w:start w:val="1"/>
      <w:numFmt w:val="bullet"/>
      <w:lvlText w:val=""/>
      <w:lvlJc w:val="left"/>
      <w:pPr>
        <w:ind w:left="5040" w:hanging="360"/>
      </w:pPr>
      <w:rPr>
        <w:rFonts w:ascii="Symbol" w:hAnsi="Symbol" w:hint="default"/>
      </w:rPr>
    </w:lvl>
    <w:lvl w:ilvl="7" w:tplc="A57AB688" w:tentative="1">
      <w:start w:val="1"/>
      <w:numFmt w:val="bullet"/>
      <w:lvlText w:val="o"/>
      <w:lvlJc w:val="left"/>
      <w:pPr>
        <w:ind w:left="5760" w:hanging="360"/>
      </w:pPr>
      <w:rPr>
        <w:rFonts w:ascii="Courier New" w:hAnsi="Courier New" w:hint="default"/>
      </w:rPr>
    </w:lvl>
    <w:lvl w:ilvl="8" w:tplc="1334FE46" w:tentative="1">
      <w:start w:val="1"/>
      <w:numFmt w:val="bullet"/>
      <w:lvlText w:val=""/>
      <w:lvlJc w:val="left"/>
      <w:pPr>
        <w:ind w:left="6480" w:hanging="360"/>
      </w:pPr>
      <w:rPr>
        <w:rFonts w:ascii="Wingdings" w:hAnsi="Wingdings" w:hint="default"/>
      </w:rPr>
    </w:lvl>
  </w:abstractNum>
  <w:abstractNum w:abstractNumId="412" w15:restartNumberingAfterBreak="0">
    <w:nsid w:val="3A285CCB"/>
    <w:multiLevelType w:val="multilevel"/>
    <w:tmpl w:val="55AE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3A2A16B6"/>
    <w:multiLevelType w:val="multilevel"/>
    <w:tmpl w:val="FDE25DFE"/>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14" w15:restartNumberingAfterBreak="0">
    <w:nsid w:val="3A435FED"/>
    <w:multiLevelType w:val="multilevel"/>
    <w:tmpl w:val="9D04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3A685931"/>
    <w:multiLevelType w:val="multilevel"/>
    <w:tmpl w:val="D24E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3AA61FD2"/>
    <w:multiLevelType w:val="multilevel"/>
    <w:tmpl w:val="FFB0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3AD82032"/>
    <w:multiLevelType w:val="multilevel"/>
    <w:tmpl w:val="8FE2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3ADB3458"/>
    <w:multiLevelType w:val="multilevel"/>
    <w:tmpl w:val="0980C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3B014D1D"/>
    <w:multiLevelType w:val="hybridMultilevel"/>
    <w:tmpl w:val="729677AA"/>
    <w:lvl w:ilvl="0" w:tplc="4AC4D26A">
      <w:numFmt w:val="bullet"/>
      <w:lvlText w:val="•"/>
      <w:lvlJc w:val="left"/>
      <w:pPr>
        <w:ind w:left="720" w:hanging="360"/>
      </w:pPr>
      <w:rPr>
        <w:rFonts w:ascii="Aptos" w:hAnsi="Aptos" w:hint="default"/>
      </w:rPr>
    </w:lvl>
    <w:lvl w:ilvl="1" w:tplc="E2DCB4FC" w:tentative="1">
      <w:start w:val="1"/>
      <w:numFmt w:val="bullet"/>
      <w:lvlText w:val="o"/>
      <w:lvlJc w:val="left"/>
      <w:pPr>
        <w:ind w:left="1800" w:hanging="360"/>
      </w:pPr>
      <w:rPr>
        <w:rFonts w:ascii="Courier New" w:hAnsi="Courier New" w:hint="default"/>
      </w:rPr>
    </w:lvl>
    <w:lvl w:ilvl="2" w:tplc="B1D8426A" w:tentative="1">
      <w:start w:val="1"/>
      <w:numFmt w:val="bullet"/>
      <w:lvlText w:val=""/>
      <w:lvlJc w:val="left"/>
      <w:pPr>
        <w:ind w:left="2520" w:hanging="360"/>
      </w:pPr>
      <w:rPr>
        <w:rFonts w:ascii="Wingdings" w:hAnsi="Wingdings" w:hint="default"/>
      </w:rPr>
    </w:lvl>
    <w:lvl w:ilvl="3" w:tplc="56544630" w:tentative="1">
      <w:start w:val="1"/>
      <w:numFmt w:val="bullet"/>
      <w:lvlText w:val=""/>
      <w:lvlJc w:val="left"/>
      <w:pPr>
        <w:ind w:left="3240" w:hanging="360"/>
      </w:pPr>
      <w:rPr>
        <w:rFonts w:ascii="Symbol" w:hAnsi="Symbol" w:hint="default"/>
      </w:rPr>
    </w:lvl>
    <w:lvl w:ilvl="4" w:tplc="03369DF4" w:tentative="1">
      <w:start w:val="1"/>
      <w:numFmt w:val="bullet"/>
      <w:lvlText w:val="o"/>
      <w:lvlJc w:val="left"/>
      <w:pPr>
        <w:ind w:left="3960" w:hanging="360"/>
      </w:pPr>
      <w:rPr>
        <w:rFonts w:ascii="Courier New" w:hAnsi="Courier New" w:hint="default"/>
      </w:rPr>
    </w:lvl>
    <w:lvl w:ilvl="5" w:tplc="287A3474" w:tentative="1">
      <w:start w:val="1"/>
      <w:numFmt w:val="bullet"/>
      <w:lvlText w:val=""/>
      <w:lvlJc w:val="left"/>
      <w:pPr>
        <w:ind w:left="4680" w:hanging="360"/>
      </w:pPr>
      <w:rPr>
        <w:rFonts w:ascii="Wingdings" w:hAnsi="Wingdings" w:hint="default"/>
      </w:rPr>
    </w:lvl>
    <w:lvl w:ilvl="6" w:tplc="A3EC36AE" w:tentative="1">
      <w:start w:val="1"/>
      <w:numFmt w:val="bullet"/>
      <w:lvlText w:val=""/>
      <w:lvlJc w:val="left"/>
      <w:pPr>
        <w:ind w:left="5400" w:hanging="360"/>
      </w:pPr>
      <w:rPr>
        <w:rFonts w:ascii="Symbol" w:hAnsi="Symbol" w:hint="default"/>
      </w:rPr>
    </w:lvl>
    <w:lvl w:ilvl="7" w:tplc="1F707852" w:tentative="1">
      <w:start w:val="1"/>
      <w:numFmt w:val="bullet"/>
      <w:lvlText w:val="o"/>
      <w:lvlJc w:val="left"/>
      <w:pPr>
        <w:ind w:left="6120" w:hanging="360"/>
      </w:pPr>
      <w:rPr>
        <w:rFonts w:ascii="Courier New" w:hAnsi="Courier New" w:hint="default"/>
      </w:rPr>
    </w:lvl>
    <w:lvl w:ilvl="8" w:tplc="87F2F002" w:tentative="1">
      <w:start w:val="1"/>
      <w:numFmt w:val="bullet"/>
      <w:lvlText w:val=""/>
      <w:lvlJc w:val="left"/>
      <w:pPr>
        <w:ind w:left="6840" w:hanging="360"/>
      </w:pPr>
      <w:rPr>
        <w:rFonts w:ascii="Wingdings" w:hAnsi="Wingdings" w:hint="default"/>
      </w:rPr>
    </w:lvl>
  </w:abstractNum>
  <w:abstractNum w:abstractNumId="420" w15:restartNumberingAfterBreak="0">
    <w:nsid w:val="3B045382"/>
    <w:multiLevelType w:val="multilevel"/>
    <w:tmpl w:val="C8A0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3B1428D6"/>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2" w15:restartNumberingAfterBreak="0">
    <w:nsid w:val="3B5278BA"/>
    <w:multiLevelType w:val="multilevel"/>
    <w:tmpl w:val="98B2896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23" w15:restartNumberingAfterBreak="0">
    <w:nsid w:val="3B5614E2"/>
    <w:multiLevelType w:val="multilevel"/>
    <w:tmpl w:val="A284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3B684D2A"/>
    <w:multiLevelType w:val="multilevel"/>
    <w:tmpl w:val="054CAB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3BA4466B"/>
    <w:multiLevelType w:val="multilevel"/>
    <w:tmpl w:val="7212B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3BB715FC"/>
    <w:multiLevelType w:val="multilevel"/>
    <w:tmpl w:val="3800B42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27" w15:restartNumberingAfterBreak="0">
    <w:nsid w:val="3BDE7C63"/>
    <w:multiLevelType w:val="multilevel"/>
    <w:tmpl w:val="4FEC8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3C3E47DB"/>
    <w:multiLevelType w:val="hybridMultilevel"/>
    <w:tmpl w:val="C09A534A"/>
    <w:lvl w:ilvl="0" w:tplc="55400600">
      <w:start w:val="1"/>
      <w:numFmt w:val="bullet"/>
      <w:lvlText w:val=""/>
      <w:lvlJc w:val="left"/>
      <w:pPr>
        <w:ind w:left="720" w:hanging="360"/>
      </w:pPr>
      <w:rPr>
        <w:rFonts w:ascii="Symbol" w:hAnsi="Symbol" w:hint="default"/>
      </w:rPr>
    </w:lvl>
    <w:lvl w:ilvl="1" w:tplc="B0F2E246" w:tentative="1">
      <w:start w:val="1"/>
      <w:numFmt w:val="bullet"/>
      <w:lvlText w:val="o"/>
      <w:lvlJc w:val="left"/>
      <w:pPr>
        <w:ind w:left="1440" w:hanging="360"/>
      </w:pPr>
      <w:rPr>
        <w:rFonts w:ascii="Courier New" w:hAnsi="Courier New" w:hint="default"/>
      </w:rPr>
    </w:lvl>
    <w:lvl w:ilvl="2" w:tplc="55226B64" w:tentative="1">
      <w:start w:val="1"/>
      <w:numFmt w:val="bullet"/>
      <w:lvlText w:val=""/>
      <w:lvlJc w:val="left"/>
      <w:pPr>
        <w:ind w:left="2160" w:hanging="360"/>
      </w:pPr>
      <w:rPr>
        <w:rFonts w:ascii="Wingdings" w:hAnsi="Wingdings" w:hint="default"/>
      </w:rPr>
    </w:lvl>
    <w:lvl w:ilvl="3" w:tplc="7458B462" w:tentative="1">
      <w:start w:val="1"/>
      <w:numFmt w:val="bullet"/>
      <w:lvlText w:val=""/>
      <w:lvlJc w:val="left"/>
      <w:pPr>
        <w:ind w:left="2880" w:hanging="360"/>
      </w:pPr>
      <w:rPr>
        <w:rFonts w:ascii="Symbol" w:hAnsi="Symbol" w:hint="default"/>
      </w:rPr>
    </w:lvl>
    <w:lvl w:ilvl="4" w:tplc="B9A68CEA" w:tentative="1">
      <w:start w:val="1"/>
      <w:numFmt w:val="bullet"/>
      <w:lvlText w:val="o"/>
      <w:lvlJc w:val="left"/>
      <w:pPr>
        <w:ind w:left="3600" w:hanging="360"/>
      </w:pPr>
      <w:rPr>
        <w:rFonts w:ascii="Courier New" w:hAnsi="Courier New" w:hint="default"/>
      </w:rPr>
    </w:lvl>
    <w:lvl w:ilvl="5" w:tplc="5AE8CA10" w:tentative="1">
      <w:start w:val="1"/>
      <w:numFmt w:val="bullet"/>
      <w:lvlText w:val=""/>
      <w:lvlJc w:val="left"/>
      <w:pPr>
        <w:ind w:left="4320" w:hanging="360"/>
      </w:pPr>
      <w:rPr>
        <w:rFonts w:ascii="Wingdings" w:hAnsi="Wingdings" w:hint="default"/>
      </w:rPr>
    </w:lvl>
    <w:lvl w:ilvl="6" w:tplc="4B848E70" w:tentative="1">
      <w:start w:val="1"/>
      <w:numFmt w:val="bullet"/>
      <w:lvlText w:val=""/>
      <w:lvlJc w:val="left"/>
      <w:pPr>
        <w:ind w:left="5040" w:hanging="360"/>
      </w:pPr>
      <w:rPr>
        <w:rFonts w:ascii="Symbol" w:hAnsi="Symbol" w:hint="default"/>
      </w:rPr>
    </w:lvl>
    <w:lvl w:ilvl="7" w:tplc="FC028964" w:tentative="1">
      <w:start w:val="1"/>
      <w:numFmt w:val="bullet"/>
      <w:lvlText w:val="o"/>
      <w:lvlJc w:val="left"/>
      <w:pPr>
        <w:ind w:left="5760" w:hanging="360"/>
      </w:pPr>
      <w:rPr>
        <w:rFonts w:ascii="Courier New" w:hAnsi="Courier New" w:hint="default"/>
      </w:rPr>
    </w:lvl>
    <w:lvl w:ilvl="8" w:tplc="27CE81F0" w:tentative="1">
      <w:start w:val="1"/>
      <w:numFmt w:val="bullet"/>
      <w:lvlText w:val=""/>
      <w:lvlJc w:val="left"/>
      <w:pPr>
        <w:ind w:left="6480" w:hanging="360"/>
      </w:pPr>
      <w:rPr>
        <w:rFonts w:ascii="Wingdings" w:hAnsi="Wingdings" w:hint="default"/>
      </w:rPr>
    </w:lvl>
  </w:abstractNum>
  <w:abstractNum w:abstractNumId="429" w15:restartNumberingAfterBreak="0">
    <w:nsid w:val="3C636A06"/>
    <w:multiLevelType w:val="multilevel"/>
    <w:tmpl w:val="4A7C067C"/>
    <w:lvl w:ilvl="0">
      <w:start w:val="2"/>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30" w15:restartNumberingAfterBreak="0">
    <w:nsid w:val="3C7C24C7"/>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1" w15:restartNumberingAfterBreak="0">
    <w:nsid w:val="3C8E411A"/>
    <w:multiLevelType w:val="multilevel"/>
    <w:tmpl w:val="7142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3CB94284"/>
    <w:multiLevelType w:val="multilevel"/>
    <w:tmpl w:val="F74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3CF25A25"/>
    <w:multiLevelType w:val="hybridMultilevel"/>
    <w:tmpl w:val="1D42D9E2"/>
    <w:lvl w:ilvl="0" w:tplc="4B18612A">
      <w:start w:val="1"/>
      <w:numFmt w:val="decimal"/>
      <w:lvlText w:val="%1)"/>
      <w:lvlJc w:val="left"/>
      <w:pPr>
        <w:ind w:left="720" w:hanging="360"/>
      </w:pPr>
    </w:lvl>
    <w:lvl w:ilvl="1" w:tplc="EB7ED15A" w:tentative="1">
      <w:start w:val="1"/>
      <w:numFmt w:val="lowerLetter"/>
      <w:lvlText w:val="%2."/>
      <w:lvlJc w:val="left"/>
      <w:pPr>
        <w:ind w:left="1440" w:hanging="360"/>
      </w:pPr>
    </w:lvl>
    <w:lvl w:ilvl="2" w:tplc="1CA8A658" w:tentative="1">
      <w:start w:val="1"/>
      <w:numFmt w:val="lowerRoman"/>
      <w:lvlText w:val="%3."/>
      <w:lvlJc w:val="right"/>
      <w:pPr>
        <w:ind w:left="2160" w:hanging="180"/>
      </w:pPr>
    </w:lvl>
    <w:lvl w:ilvl="3" w:tplc="FF840946" w:tentative="1">
      <w:start w:val="1"/>
      <w:numFmt w:val="decimal"/>
      <w:lvlText w:val="%4."/>
      <w:lvlJc w:val="left"/>
      <w:pPr>
        <w:ind w:left="2880" w:hanging="360"/>
      </w:pPr>
    </w:lvl>
    <w:lvl w:ilvl="4" w:tplc="38544CF2" w:tentative="1">
      <w:start w:val="1"/>
      <w:numFmt w:val="lowerLetter"/>
      <w:lvlText w:val="%5."/>
      <w:lvlJc w:val="left"/>
      <w:pPr>
        <w:ind w:left="3600" w:hanging="360"/>
      </w:pPr>
    </w:lvl>
    <w:lvl w:ilvl="5" w:tplc="74369A74" w:tentative="1">
      <w:start w:val="1"/>
      <w:numFmt w:val="lowerRoman"/>
      <w:lvlText w:val="%6."/>
      <w:lvlJc w:val="right"/>
      <w:pPr>
        <w:ind w:left="4320" w:hanging="180"/>
      </w:pPr>
    </w:lvl>
    <w:lvl w:ilvl="6" w:tplc="E03ACAA8" w:tentative="1">
      <w:start w:val="1"/>
      <w:numFmt w:val="decimal"/>
      <w:lvlText w:val="%7."/>
      <w:lvlJc w:val="left"/>
      <w:pPr>
        <w:ind w:left="5040" w:hanging="360"/>
      </w:pPr>
    </w:lvl>
    <w:lvl w:ilvl="7" w:tplc="06624EBA" w:tentative="1">
      <w:start w:val="1"/>
      <w:numFmt w:val="lowerLetter"/>
      <w:lvlText w:val="%8."/>
      <w:lvlJc w:val="left"/>
      <w:pPr>
        <w:ind w:left="5760" w:hanging="360"/>
      </w:pPr>
    </w:lvl>
    <w:lvl w:ilvl="8" w:tplc="A6E895EA" w:tentative="1">
      <w:start w:val="1"/>
      <w:numFmt w:val="lowerRoman"/>
      <w:lvlText w:val="%9."/>
      <w:lvlJc w:val="right"/>
      <w:pPr>
        <w:ind w:left="6480" w:hanging="180"/>
      </w:pPr>
    </w:lvl>
  </w:abstractNum>
  <w:abstractNum w:abstractNumId="434" w15:restartNumberingAfterBreak="0">
    <w:nsid w:val="3CFA0DE0"/>
    <w:multiLevelType w:val="multilevel"/>
    <w:tmpl w:val="1BCE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3D0B1451"/>
    <w:multiLevelType w:val="multilevel"/>
    <w:tmpl w:val="2DC8BD62"/>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36" w15:restartNumberingAfterBreak="0">
    <w:nsid w:val="3D413566"/>
    <w:multiLevelType w:val="multilevel"/>
    <w:tmpl w:val="AF90D0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7" w15:restartNumberingAfterBreak="0">
    <w:nsid w:val="3D900611"/>
    <w:multiLevelType w:val="multilevel"/>
    <w:tmpl w:val="BA62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3DAF23EE"/>
    <w:multiLevelType w:val="multilevel"/>
    <w:tmpl w:val="53C2A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3E2006BC"/>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3E254565"/>
    <w:multiLevelType w:val="multilevel"/>
    <w:tmpl w:val="0CBE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3E661C17"/>
    <w:multiLevelType w:val="multilevel"/>
    <w:tmpl w:val="C2C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3E712AA0"/>
    <w:multiLevelType w:val="multilevel"/>
    <w:tmpl w:val="C9F8D6F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443" w15:restartNumberingAfterBreak="0">
    <w:nsid w:val="3F0147F1"/>
    <w:multiLevelType w:val="multilevel"/>
    <w:tmpl w:val="6F8A9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3F0D2647"/>
    <w:multiLevelType w:val="multilevel"/>
    <w:tmpl w:val="4D7616C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5" w15:restartNumberingAfterBreak="0">
    <w:nsid w:val="3F224269"/>
    <w:multiLevelType w:val="multilevel"/>
    <w:tmpl w:val="62AE1A96"/>
    <w:lvl w:ilvl="0">
      <w:start w:val="1"/>
      <w:numFmt w:val="decimal"/>
      <w:lvlText w:val="%1."/>
      <w:lvlJc w:val="left"/>
      <w:pPr>
        <w:ind w:left="360" w:firstLine="0"/>
      </w:pPr>
    </w:lvl>
    <w:lvl w:ilvl="1">
      <w:start w:val="1"/>
      <w:numFmt w:val="lowerLetter"/>
      <w:lvlText w:val="%2)"/>
      <w:lvlJc w:val="left"/>
      <w:pPr>
        <w:ind w:left="72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6" w15:restartNumberingAfterBreak="0">
    <w:nsid w:val="3F265FFE"/>
    <w:multiLevelType w:val="hybridMultilevel"/>
    <w:tmpl w:val="BC967434"/>
    <w:lvl w:ilvl="0" w:tplc="7CB48D80">
      <w:start w:val="1"/>
      <w:numFmt w:val="bullet"/>
      <w:lvlText w:val=""/>
      <w:lvlJc w:val="left"/>
      <w:pPr>
        <w:ind w:left="720" w:hanging="360"/>
      </w:pPr>
      <w:rPr>
        <w:rFonts w:ascii="Symbol" w:hAnsi="Symbol" w:hint="default"/>
      </w:rPr>
    </w:lvl>
    <w:lvl w:ilvl="1" w:tplc="004A8FB8" w:tentative="1">
      <w:start w:val="1"/>
      <w:numFmt w:val="bullet"/>
      <w:lvlText w:val="o"/>
      <w:lvlJc w:val="left"/>
      <w:pPr>
        <w:ind w:left="1440" w:hanging="360"/>
      </w:pPr>
      <w:rPr>
        <w:rFonts w:ascii="Courier New" w:hAnsi="Courier New" w:hint="default"/>
      </w:rPr>
    </w:lvl>
    <w:lvl w:ilvl="2" w:tplc="190EB5FC" w:tentative="1">
      <w:start w:val="1"/>
      <w:numFmt w:val="bullet"/>
      <w:lvlText w:val=""/>
      <w:lvlJc w:val="left"/>
      <w:pPr>
        <w:ind w:left="2160" w:hanging="360"/>
      </w:pPr>
      <w:rPr>
        <w:rFonts w:ascii="Wingdings" w:hAnsi="Wingdings" w:hint="default"/>
      </w:rPr>
    </w:lvl>
    <w:lvl w:ilvl="3" w:tplc="0A92D75C" w:tentative="1">
      <w:start w:val="1"/>
      <w:numFmt w:val="bullet"/>
      <w:lvlText w:val=""/>
      <w:lvlJc w:val="left"/>
      <w:pPr>
        <w:ind w:left="2880" w:hanging="360"/>
      </w:pPr>
      <w:rPr>
        <w:rFonts w:ascii="Symbol" w:hAnsi="Symbol" w:hint="default"/>
      </w:rPr>
    </w:lvl>
    <w:lvl w:ilvl="4" w:tplc="84145682" w:tentative="1">
      <w:start w:val="1"/>
      <w:numFmt w:val="bullet"/>
      <w:lvlText w:val="o"/>
      <w:lvlJc w:val="left"/>
      <w:pPr>
        <w:ind w:left="3600" w:hanging="360"/>
      </w:pPr>
      <w:rPr>
        <w:rFonts w:ascii="Courier New" w:hAnsi="Courier New" w:hint="default"/>
      </w:rPr>
    </w:lvl>
    <w:lvl w:ilvl="5" w:tplc="2CB8E5FE" w:tentative="1">
      <w:start w:val="1"/>
      <w:numFmt w:val="bullet"/>
      <w:lvlText w:val=""/>
      <w:lvlJc w:val="left"/>
      <w:pPr>
        <w:ind w:left="4320" w:hanging="360"/>
      </w:pPr>
      <w:rPr>
        <w:rFonts w:ascii="Wingdings" w:hAnsi="Wingdings" w:hint="default"/>
      </w:rPr>
    </w:lvl>
    <w:lvl w:ilvl="6" w:tplc="F3E422CC" w:tentative="1">
      <w:start w:val="1"/>
      <w:numFmt w:val="bullet"/>
      <w:lvlText w:val=""/>
      <w:lvlJc w:val="left"/>
      <w:pPr>
        <w:ind w:left="5040" w:hanging="360"/>
      </w:pPr>
      <w:rPr>
        <w:rFonts w:ascii="Symbol" w:hAnsi="Symbol" w:hint="default"/>
      </w:rPr>
    </w:lvl>
    <w:lvl w:ilvl="7" w:tplc="3A08BC20" w:tentative="1">
      <w:start w:val="1"/>
      <w:numFmt w:val="bullet"/>
      <w:lvlText w:val="o"/>
      <w:lvlJc w:val="left"/>
      <w:pPr>
        <w:ind w:left="5760" w:hanging="360"/>
      </w:pPr>
      <w:rPr>
        <w:rFonts w:ascii="Courier New" w:hAnsi="Courier New" w:hint="default"/>
      </w:rPr>
    </w:lvl>
    <w:lvl w:ilvl="8" w:tplc="C7907B24" w:tentative="1">
      <w:start w:val="1"/>
      <w:numFmt w:val="bullet"/>
      <w:lvlText w:val=""/>
      <w:lvlJc w:val="left"/>
      <w:pPr>
        <w:ind w:left="6480" w:hanging="360"/>
      </w:pPr>
      <w:rPr>
        <w:rFonts w:ascii="Wingdings" w:hAnsi="Wingdings" w:hint="default"/>
      </w:rPr>
    </w:lvl>
  </w:abstractNum>
  <w:abstractNum w:abstractNumId="447" w15:restartNumberingAfterBreak="0">
    <w:nsid w:val="3F584FF7"/>
    <w:multiLevelType w:val="multilevel"/>
    <w:tmpl w:val="0CDA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3F5E401D"/>
    <w:multiLevelType w:val="multilevel"/>
    <w:tmpl w:val="BD1E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3F893100"/>
    <w:multiLevelType w:val="multilevel"/>
    <w:tmpl w:val="EF84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3F8C2C0B"/>
    <w:multiLevelType w:val="multilevel"/>
    <w:tmpl w:val="9F4C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3FBD005D"/>
    <w:multiLevelType w:val="multilevel"/>
    <w:tmpl w:val="545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3FFE39CE"/>
    <w:multiLevelType w:val="multilevel"/>
    <w:tmpl w:val="A2CE28F0"/>
    <w:lvl w:ilvl="0">
      <w:start w:val="3"/>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453" w15:restartNumberingAfterBreak="0">
    <w:nsid w:val="402A4305"/>
    <w:multiLevelType w:val="multilevel"/>
    <w:tmpl w:val="9D10E89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54" w15:restartNumberingAfterBreak="0">
    <w:nsid w:val="402E7321"/>
    <w:multiLevelType w:val="multilevel"/>
    <w:tmpl w:val="06C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0385B4D"/>
    <w:multiLevelType w:val="multilevel"/>
    <w:tmpl w:val="B78E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06A5C14"/>
    <w:multiLevelType w:val="multilevel"/>
    <w:tmpl w:val="4A6EE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7" w15:restartNumberingAfterBreak="0">
    <w:nsid w:val="407B6A54"/>
    <w:multiLevelType w:val="multilevel"/>
    <w:tmpl w:val="BEE4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40886197"/>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40925C67"/>
    <w:multiLevelType w:val="multilevel"/>
    <w:tmpl w:val="4CE2D830"/>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60" w15:restartNumberingAfterBreak="0">
    <w:nsid w:val="409421F5"/>
    <w:multiLevelType w:val="multilevel"/>
    <w:tmpl w:val="ECA64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409970FE"/>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40B64546"/>
    <w:multiLevelType w:val="multilevel"/>
    <w:tmpl w:val="AA4807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40C34C4A"/>
    <w:multiLevelType w:val="multilevel"/>
    <w:tmpl w:val="C900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40DE4B93"/>
    <w:multiLevelType w:val="multilevel"/>
    <w:tmpl w:val="267235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40E318D1"/>
    <w:multiLevelType w:val="multilevel"/>
    <w:tmpl w:val="5966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0EC6584"/>
    <w:multiLevelType w:val="hybridMultilevel"/>
    <w:tmpl w:val="6BA40632"/>
    <w:lvl w:ilvl="0" w:tplc="6E1EE732">
      <w:numFmt w:val="bullet"/>
      <w:lvlText w:val="•"/>
      <w:lvlJc w:val="left"/>
      <w:pPr>
        <w:ind w:left="720" w:hanging="360"/>
      </w:pPr>
      <w:rPr>
        <w:rFonts w:ascii="Aptos" w:hAnsi="Aptos" w:hint="default"/>
      </w:rPr>
    </w:lvl>
    <w:lvl w:ilvl="1" w:tplc="1E92200E" w:tentative="1">
      <w:start w:val="1"/>
      <w:numFmt w:val="bullet"/>
      <w:lvlText w:val="o"/>
      <w:lvlJc w:val="left"/>
      <w:pPr>
        <w:ind w:left="1800" w:hanging="360"/>
      </w:pPr>
      <w:rPr>
        <w:rFonts w:ascii="Courier New" w:hAnsi="Courier New" w:hint="default"/>
      </w:rPr>
    </w:lvl>
    <w:lvl w:ilvl="2" w:tplc="311C67A8" w:tentative="1">
      <w:start w:val="1"/>
      <w:numFmt w:val="bullet"/>
      <w:lvlText w:val=""/>
      <w:lvlJc w:val="left"/>
      <w:pPr>
        <w:ind w:left="2520" w:hanging="360"/>
      </w:pPr>
      <w:rPr>
        <w:rFonts w:ascii="Wingdings" w:hAnsi="Wingdings" w:hint="default"/>
      </w:rPr>
    </w:lvl>
    <w:lvl w:ilvl="3" w:tplc="26D05034" w:tentative="1">
      <w:start w:val="1"/>
      <w:numFmt w:val="bullet"/>
      <w:lvlText w:val=""/>
      <w:lvlJc w:val="left"/>
      <w:pPr>
        <w:ind w:left="3240" w:hanging="360"/>
      </w:pPr>
      <w:rPr>
        <w:rFonts w:ascii="Symbol" w:hAnsi="Symbol" w:hint="default"/>
      </w:rPr>
    </w:lvl>
    <w:lvl w:ilvl="4" w:tplc="360CC77C" w:tentative="1">
      <w:start w:val="1"/>
      <w:numFmt w:val="bullet"/>
      <w:lvlText w:val="o"/>
      <w:lvlJc w:val="left"/>
      <w:pPr>
        <w:ind w:left="3960" w:hanging="360"/>
      </w:pPr>
      <w:rPr>
        <w:rFonts w:ascii="Courier New" w:hAnsi="Courier New" w:hint="default"/>
      </w:rPr>
    </w:lvl>
    <w:lvl w:ilvl="5" w:tplc="86782B9A" w:tentative="1">
      <w:start w:val="1"/>
      <w:numFmt w:val="bullet"/>
      <w:lvlText w:val=""/>
      <w:lvlJc w:val="left"/>
      <w:pPr>
        <w:ind w:left="4680" w:hanging="360"/>
      </w:pPr>
      <w:rPr>
        <w:rFonts w:ascii="Wingdings" w:hAnsi="Wingdings" w:hint="default"/>
      </w:rPr>
    </w:lvl>
    <w:lvl w:ilvl="6" w:tplc="40EE62F2" w:tentative="1">
      <w:start w:val="1"/>
      <w:numFmt w:val="bullet"/>
      <w:lvlText w:val=""/>
      <w:lvlJc w:val="left"/>
      <w:pPr>
        <w:ind w:left="5400" w:hanging="360"/>
      </w:pPr>
      <w:rPr>
        <w:rFonts w:ascii="Symbol" w:hAnsi="Symbol" w:hint="default"/>
      </w:rPr>
    </w:lvl>
    <w:lvl w:ilvl="7" w:tplc="628289D6" w:tentative="1">
      <w:start w:val="1"/>
      <w:numFmt w:val="bullet"/>
      <w:lvlText w:val="o"/>
      <w:lvlJc w:val="left"/>
      <w:pPr>
        <w:ind w:left="6120" w:hanging="360"/>
      </w:pPr>
      <w:rPr>
        <w:rFonts w:ascii="Courier New" w:hAnsi="Courier New" w:hint="default"/>
      </w:rPr>
    </w:lvl>
    <w:lvl w:ilvl="8" w:tplc="806E7148" w:tentative="1">
      <w:start w:val="1"/>
      <w:numFmt w:val="bullet"/>
      <w:lvlText w:val=""/>
      <w:lvlJc w:val="left"/>
      <w:pPr>
        <w:ind w:left="6840" w:hanging="360"/>
      </w:pPr>
      <w:rPr>
        <w:rFonts w:ascii="Wingdings" w:hAnsi="Wingdings" w:hint="default"/>
      </w:rPr>
    </w:lvl>
  </w:abstractNum>
  <w:abstractNum w:abstractNumId="467" w15:restartNumberingAfterBreak="0">
    <w:nsid w:val="40FA65CE"/>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12F6D8E"/>
    <w:multiLevelType w:val="multilevel"/>
    <w:tmpl w:val="398884F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9" w15:restartNumberingAfterBreak="0">
    <w:nsid w:val="413A032A"/>
    <w:multiLevelType w:val="multilevel"/>
    <w:tmpl w:val="434E9508"/>
    <w:lvl w:ilvl="0">
      <w:start w:val="1"/>
      <w:numFmt w:val="lowerRoman"/>
      <w:lvlText w:val="%1."/>
      <w:lvlJc w:val="right"/>
      <w:pPr>
        <w:tabs>
          <w:tab w:val="num" w:pos="2520"/>
        </w:tabs>
        <w:ind w:left="2520" w:hanging="360"/>
      </w:pPr>
    </w:lvl>
    <w:lvl w:ilvl="1" w:tentative="1">
      <w:start w:val="1"/>
      <w:numFmt w:val="lowerRoman"/>
      <w:lvlText w:val="%2."/>
      <w:lvlJc w:val="right"/>
      <w:pPr>
        <w:tabs>
          <w:tab w:val="num" w:pos="3240"/>
        </w:tabs>
        <w:ind w:left="3240" w:hanging="360"/>
      </w:pPr>
    </w:lvl>
    <w:lvl w:ilvl="2" w:tentative="1">
      <w:start w:val="1"/>
      <w:numFmt w:val="lowerRoman"/>
      <w:lvlText w:val="%3."/>
      <w:lvlJc w:val="right"/>
      <w:pPr>
        <w:tabs>
          <w:tab w:val="num" w:pos="3960"/>
        </w:tabs>
        <w:ind w:left="3960" w:hanging="360"/>
      </w:pPr>
    </w:lvl>
    <w:lvl w:ilvl="3" w:tentative="1">
      <w:start w:val="1"/>
      <w:numFmt w:val="lowerRoman"/>
      <w:lvlText w:val="%4."/>
      <w:lvlJc w:val="right"/>
      <w:pPr>
        <w:tabs>
          <w:tab w:val="num" w:pos="4680"/>
        </w:tabs>
        <w:ind w:left="4680" w:hanging="360"/>
      </w:pPr>
    </w:lvl>
    <w:lvl w:ilvl="4" w:tentative="1">
      <w:start w:val="1"/>
      <w:numFmt w:val="lowerRoman"/>
      <w:lvlText w:val="%5."/>
      <w:lvlJc w:val="right"/>
      <w:pPr>
        <w:tabs>
          <w:tab w:val="num" w:pos="5400"/>
        </w:tabs>
        <w:ind w:left="5400" w:hanging="360"/>
      </w:pPr>
    </w:lvl>
    <w:lvl w:ilvl="5" w:tentative="1">
      <w:start w:val="1"/>
      <w:numFmt w:val="lowerRoman"/>
      <w:lvlText w:val="%6."/>
      <w:lvlJc w:val="right"/>
      <w:pPr>
        <w:tabs>
          <w:tab w:val="num" w:pos="6120"/>
        </w:tabs>
        <w:ind w:left="6120" w:hanging="360"/>
      </w:pPr>
    </w:lvl>
    <w:lvl w:ilvl="6" w:tentative="1">
      <w:start w:val="1"/>
      <w:numFmt w:val="lowerRoman"/>
      <w:lvlText w:val="%7."/>
      <w:lvlJc w:val="right"/>
      <w:pPr>
        <w:tabs>
          <w:tab w:val="num" w:pos="6840"/>
        </w:tabs>
        <w:ind w:left="6840" w:hanging="360"/>
      </w:pPr>
    </w:lvl>
    <w:lvl w:ilvl="7" w:tentative="1">
      <w:start w:val="1"/>
      <w:numFmt w:val="lowerRoman"/>
      <w:lvlText w:val="%8."/>
      <w:lvlJc w:val="right"/>
      <w:pPr>
        <w:tabs>
          <w:tab w:val="num" w:pos="7560"/>
        </w:tabs>
        <w:ind w:left="7560" w:hanging="360"/>
      </w:pPr>
    </w:lvl>
    <w:lvl w:ilvl="8" w:tentative="1">
      <w:start w:val="1"/>
      <w:numFmt w:val="lowerRoman"/>
      <w:lvlText w:val="%9."/>
      <w:lvlJc w:val="right"/>
      <w:pPr>
        <w:tabs>
          <w:tab w:val="num" w:pos="8280"/>
        </w:tabs>
        <w:ind w:left="8280" w:hanging="360"/>
      </w:pPr>
    </w:lvl>
  </w:abstractNum>
  <w:abstractNum w:abstractNumId="470" w15:restartNumberingAfterBreak="0">
    <w:nsid w:val="414E1067"/>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1713FA0"/>
    <w:multiLevelType w:val="multilevel"/>
    <w:tmpl w:val="2B2E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1895CDE"/>
    <w:multiLevelType w:val="multilevel"/>
    <w:tmpl w:val="EFD67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41940D2A"/>
    <w:multiLevelType w:val="multilevel"/>
    <w:tmpl w:val="80F4AA10"/>
    <w:lvl w:ilvl="0">
      <w:start w:val="2"/>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74" w15:restartNumberingAfterBreak="0">
    <w:nsid w:val="41EC2A6F"/>
    <w:multiLevelType w:val="multilevel"/>
    <w:tmpl w:val="542CAE86"/>
    <w:lvl w:ilvl="0">
      <w:start w:val="3"/>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475" w15:restartNumberingAfterBreak="0">
    <w:nsid w:val="41FE7EC7"/>
    <w:multiLevelType w:val="hybridMultilevel"/>
    <w:tmpl w:val="F4C2594C"/>
    <w:lvl w:ilvl="0" w:tplc="DEE45F9C">
      <w:start w:val="1"/>
      <w:numFmt w:val="bullet"/>
      <w:lvlText w:val=""/>
      <w:lvlJc w:val="left"/>
      <w:pPr>
        <w:ind w:left="720" w:hanging="360"/>
      </w:pPr>
      <w:rPr>
        <w:rFonts w:ascii="Symbol" w:hAnsi="Symbol" w:hint="default"/>
      </w:rPr>
    </w:lvl>
    <w:lvl w:ilvl="1" w:tplc="7D8CD146" w:tentative="1">
      <w:start w:val="1"/>
      <w:numFmt w:val="bullet"/>
      <w:lvlText w:val="o"/>
      <w:lvlJc w:val="left"/>
      <w:pPr>
        <w:ind w:left="1440" w:hanging="360"/>
      </w:pPr>
      <w:rPr>
        <w:rFonts w:ascii="Courier New" w:hAnsi="Courier New" w:hint="default"/>
      </w:rPr>
    </w:lvl>
    <w:lvl w:ilvl="2" w:tplc="21981064" w:tentative="1">
      <w:start w:val="1"/>
      <w:numFmt w:val="bullet"/>
      <w:lvlText w:val=""/>
      <w:lvlJc w:val="left"/>
      <w:pPr>
        <w:ind w:left="2160" w:hanging="360"/>
      </w:pPr>
      <w:rPr>
        <w:rFonts w:ascii="Wingdings" w:hAnsi="Wingdings" w:hint="default"/>
      </w:rPr>
    </w:lvl>
    <w:lvl w:ilvl="3" w:tplc="22F09FD2" w:tentative="1">
      <w:start w:val="1"/>
      <w:numFmt w:val="bullet"/>
      <w:lvlText w:val=""/>
      <w:lvlJc w:val="left"/>
      <w:pPr>
        <w:ind w:left="2880" w:hanging="360"/>
      </w:pPr>
      <w:rPr>
        <w:rFonts w:ascii="Symbol" w:hAnsi="Symbol" w:hint="default"/>
      </w:rPr>
    </w:lvl>
    <w:lvl w:ilvl="4" w:tplc="A6AA43FC" w:tentative="1">
      <w:start w:val="1"/>
      <w:numFmt w:val="bullet"/>
      <w:lvlText w:val="o"/>
      <w:lvlJc w:val="left"/>
      <w:pPr>
        <w:ind w:left="3600" w:hanging="360"/>
      </w:pPr>
      <w:rPr>
        <w:rFonts w:ascii="Courier New" w:hAnsi="Courier New" w:hint="default"/>
      </w:rPr>
    </w:lvl>
    <w:lvl w:ilvl="5" w:tplc="8822EC96" w:tentative="1">
      <w:start w:val="1"/>
      <w:numFmt w:val="bullet"/>
      <w:lvlText w:val=""/>
      <w:lvlJc w:val="left"/>
      <w:pPr>
        <w:ind w:left="4320" w:hanging="360"/>
      </w:pPr>
      <w:rPr>
        <w:rFonts w:ascii="Wingdings" w:hAnsi="Wingdings" w:hint="default"/>
      </w:rPr>
    </w:lvl>
    <w:lvl w:ilvl="6" w:tplc="D62CFAA4" w:tentative="1">
      <w:start w:val="1"/>
      <w:numFmt w:val="bullet"/>
      <w:lvlText w:val=""/>
      <w:lvlJc w:val="left"/>
      <w:pPr>
        <w:ind w:left="5040" w:hanging="360"/>
      </w:pPr>
      <w:rPr>
        <w:rFonts w:ascii="Symbol" w:hAnsi="Symbol" w:hint="default"/>
      </w:rPr>
    </w:lvl>
    <w:lvl w:ilvl="7" w:tplc="23E2DD92" w:tentative="1">
      <w:start w:val="1"/>
      <w:numFmt w:val="bullet"/>
      <w:lvlText w:val="o"/>
      <w:lvlJc w:val="left"/>
      <w:pPr>
        <w:ind w:left="5760" w:hanging="360"/>
      </w:pPr>
      <w:rPr>
        <w:rFonts w:ascii="Courier New" w:hAnsi="Courier New" w:hint="default"/>
      </w:rPr>
    </w:lvl>
    <w:lvl w:ilvl="8" w:tplc="A8D46F7C" w:tentative="1">
      <w:start w:val="1"/>
      <w:numFmt w:val="bullet"/>
      <w:lvlText w:val=""/>
      <w:lvlJc w:val="left"/>
      <w:pPr>
        <w:ind w:left="6480" w:hanging="360"/>
      </w:pPr>
      <w:rPr>
        <w:rFonts w:ascii="Wingdings" w:hAnsi="Wingdings" w:hint="default"/>
      </w:rPr>
    </w:lvl>
  </w:abstractNum>
  <w:abstractNum w:abstractNumId="476" w15:restartNumberingAfterBreak="0">
    <w:nsid w:val="42102FED"/>
    <w:multiLevelType w:val="hybridMultilevel"/>
    <w:tmpl w:val="3E605C8E"/>
    <w:lvl w:ilvl="0" w:tplc="0A64201A">
      <w:start w:val="1"/>
      <w:numFmt w:val="bullet"/>
      <w:lvlText w:val=""/>
      <w:lvlJc w:val="left"/>
      <w:pPr>
        <w:ind w:left="720" w:hanging="360"/>
      </w:pPr>
      <w:rPr>
        <w:rFonts w:ascii="Symbol" w:hAnsi="Symbol" w:hint="default"/>
      </w:rPr>
    </w:lvl>
    <w:lvl w:ilvl="1" w:tplc="1028156C" w:tentative="1">
      <w:start w:val="1"/>
      <w:numFmt w:val="bullet"/>
      <w:lvlText w:val="o"/>
      <w:lvlJc w:val="left"/>
      <w:pPr>
        <w:ind w:left="1440" w:hanging="360"/>
      </w:pPr>
      <w:rPr>
        <w:rFonts w:ascii="Courier New" w:hAnsi="Courier New" w:hint="default"/>
      </w:rPr>
    </w:lvl>
    <w:lvl w:ilvl="2" w:tplc="4612B7B0" w:tentative="1">
      <w:start w:val="1"/>
      <w:numFmt w:val="bullet"/>
      <w:lvlText w:val=""/>
      <w:lvlJc w:val="left"/>
      <w:pPr>
        <w:ind w:left="2160" w:hanging="360"/>
      </w:pPr>
      <w:rPr>
        <w:rFonts w:ascii="Wingdings" w:hAnsi="Wingdings" w:hint="default"/>
      </w:rPr>
    </w:lvl>
    <w:lvl w:ilvl="3" w:tplc="8E749F9A" w:tentative="1">
      <w:start w:val="1"/>
      <w:numFmt w:val="bullet"/>
      <w:lvlText w:val=""/>
      <w:lvlJc w:val="left"/>
      <w:pPr>
        <w:ind w:left="2880" w:hanging="360"/>
      </w:pPr>
      <w:rPr>
        <w:rFonts w:ascii="Symbol" w:hAnsi="Symbol" w:hint="default"/>
      </w:rPr>
    </w:lvl>
    <w:lvl w:ilvl="4" w:tplc="6F9E7FA2" w:tentative="1">
      <w:start w:val="1"/>
      <w:numFmt w:val="bullet"/>
      <w:lvlText w:val="o"/>
      <w:lvlJc w:val="left"/>
      <w:pPr>
        <w:ind w:left="3600" w:hanging="360"/>
      </w:pPr>
      <w:rPr>
        <w:rFonts w:ascii="Courier New" w:hAnsi="Courier New" w:hint="default"/>
      </w:rPr>
    </w:lvl>
    <w:lvl w:ilvl="5" w:tplc="0FF0CA98" w:tentative="1">
      <w:start w:val="1"/>
      <w:numFmt w:val="bullet"/>
      <w:lvlText w:val=""/>
      <w:lvlJc w:val="left"/>
      <w:pPr>
        <w:ind w:left="4320" w:hanging="360"/>
      </w:pPr>
      <w:rPr>
        <w:rFonts w:ascii="Wingdings" w:hAnsi="Wingdings" w:hint="default"/>
      </w:rPr>
    </w:lvl>
    <w:lvl w:ilvl="6" w:tplc="C85C064A" w:tentative="1">
      <w:start w:val="1"/>
      <w:numFmt w:val="bullet"/>
      <w:lvlText w:val=""/>
      <w:lvlJc w:val="left"/>
      <w:pPr>
        <w:ind w:left="5040" w:hanging="360"/>
      </w:pPr>
      <w:rPr>
        <w:rFonts w:ascii="Symbol" w:hAnsi="Symbol" w:hint="default"/>
      </w:rPr>
    </w:lvl>
    <w:lvl w:ilvl="7" w:tplc="95C29E4E" w:tentative="1">
      <w:start w:val="1"/>
      <w:numFmt w:val="bullet"/>
      <w:lvlText w:val="o"/>
      <w:lvlJc w:val="left"/>
      <w:pPr>
        <w:ind w:left="5760" w:hanging="360"/>
      </w:pPr>
      <w:rPr>
        <w:rFonts w:ascii="Courier New" w:hAnsi="Courier New" w:hint="default"/>
      </w:rPr>
    </w:lvl>
    <w:lvl w:ilvl="8" w:tplc="9E325D18" w:tentative="1">
      <w:start w:val="1"/>
      <w:numFmt w:val="bullet"/>
      <w:lvlText w:val=""/>
      <w:lvlJc w:val="left"/>
      <w:pPr>
        <w:ind w:left="6480" w:hanging="360"/>
      </w:pPr>
      <w:rPr>
        <w:rFonts w:ascii="Wingdings" w:hAnsi="Wingdings" w:hint="default"/>
      </w:rPr>
    </w:lvl>
  </w:abstractNum>
  <w:abstractNum w:abstractNumId="477" w15:restartNumberingAfterBreak="0">
    <w:nsid w:val="422133C7"/>
    <w:multiLevelType w:val="multilevel"/>
    <w:tmpl w:val="1354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42434764"/>
    <w:multiLevelType w:val="hybridMultilevel"/>
    <w:tmpl w:val="0228FB42"/>
    <w:lvl w:ilvl="0" w:tplc="BF42F110">
      <w:numFmt w:val="bullet"/>
      <w:lvlText w:val="•"/>
      <w:lvlJc w:val="left"/>
      <w:pPr>
        <w:ind w:left="720" w:hanging="360"/>
      </w:pPr>
      <w:rPr>
        <w:rFonts w:ascii="Aptos" w:hAnsi="Aptos" w:hint="default"/>
      </w:rPr>
    </w:lvl>
    <w:lvl w:ilvl="1" w:tplc="865E646E" w:tentative="1">
      <w:start w:val="1"/>
      <w:numFmt w:val="bullet"/>
      <w:lvlText w:val="o"/>
      <w:lvlJc w:val="left"/>
      <w:pPr>
        <w:ind w:left="1800" w:hanging="360"/>
      </w:pPr>
      <w:rPr>
        <w:rFonts w:ascii="Courier New" w:hAnsi="Courier New" w:hint="default"/>
      </w:rPr>
    </w:lvl>
    <w:lvl w:ilvl="2" w:tplc="2BF4798A" w:tentative="1">
      <w:start w:val="1"/>
      <w:numFmt w:val="bullet"/>
      <w:lvlText w:val=""/>
      <w:lvlJc w:val="left"/>
      <w:pPr>
        <w:ind w:left="2520" w:hanging="360"/>
      </w:pPr>
      <w:rPr>
        <w:rFonts w:ascii="Wingdings" w:hAnsi="Wingdings" w:hint="default"/>
      </w:rPr>
    </w:lvl>
    <w:lvl w:ilvl="3" w:tplc="36748A24" w:tentative="1">
      <w:start w:val="1"/>
      <w:numFmt w:val="bullet"/>
      <w:lvlText w:val=""/>
      <w:lvlJc w:val="left"/>
      <w:pPr>
        <w:ind w:left="3240" w:hanging="360"/>
      </w:pPr>
      <w:rPr>
        <w:rFonts w:ascii="Symbol" w:hAnsi="Symbol" w:hint="default"/>
      </w:rPr>
    </w:lvl>
    <w:lvl w:ilvl="4" w:tplc="0BC4B18E" w:tentative="1">
      <w:start w:val="1"/>
      <w:numFmt w:val="bullet"/>
      <w:lvlText w:val="o"/>
      <w:lvlJc w:val="left"/>
      <w:pPr>
        <w:ind w:left="3960" w:hanging="360"/>
      </w:pPr>
      <w:rPr>
        <w:rFonts w:ascii="Courier New" w:hAnsi="Courier New" w:hint="default"/>
      </w:rPr>
    </w:lvl>
    <w:lvl w:ilvl="5" w:tplc="0784CBA4" w:tentative="1">
      <w:start w:val="1"/>
      <w:numFmt w:val="bullet"/>
      <w:lvlText w:val=""/>
      <w:lvlJc w:val="left"/>
      <w:pPr>
        <w:ind w:left="4680" w:hanging="360"/>
      </w:pPr>
      <w:rPr>
        <w:rFonts w:ascii="Wingdings" w:hAnsi="Wingdings" w:hint="default"/>
      </w:rPr>
    </w:lvl>
    <w:lvl w:ilvl="6" w:tplc="CCFC5C16" w:tentative="1">
      <w:start w:val="1"/>
      <w:numFmt w:val="bullet"/>
      <w:lvlText w:val=""/>
      <w:lvlJc w:val="left"/>
      <w:pPr>
        <w:ind w:left="5400" w:hanging="360"/>
      </w:pPr>
      <w:rPr>
        <w:rFonts w:ascii="Symbol" w:hAnsi="Symbol" w:hint="default"/>
      </w:rPr>
    </w:lvl>
    <w:lvl w:ilvl="7" w:tplc="29A4F784" w:tentative="1">
      <w:start w:val="1"/>
      <w:numFmt w:val="bullet"/>
      <w:lvlText w:val="o"/>
      <w:lvlJc w:val="left"/>
      <w:pPr>
        <w:ind w:left="6120" w:hanging="360"/>
      </w:pPr>
      <w:rPr>
        <w:rFonts w:ascii="Courier New" w:hAnsi="Courier New" w:hint="default"/>
      </w:rPr>
    </w:lvl>
    <w:lvl w:ilvl="8" w:tplc="1DC8FC3A" w:tentative="1">
      <w:start w:val="1"/>
      <w:numFmt w:val="bullet"/>
      <w:lvlText w:val=""/>
      <w:lvlJc w:val="left"/>
      <w:pPr>
        <w:ind w:left="6840" w:hanging="360"/>
      </w:pPr>
      <w:rPr>
        <w:rFonts w:ascii="Wingdings" w:hAnsi="Wingdings" w:hint="default"/>
      </w:rPr>
    </w:lvl>
  </w:abstractNum>
  <w:abstractNum w:abstractNumId="479" w15:restartNumberingAfterBreak="0">
    <w:nsid w:val="42AC72C4"/>
    <w:multiLevelType w:val="multilevel"/>
    <w:tmpl w:val="322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2DA72B8"/>
    <w:multiLevelType w:val="multilevel"/>
    <w:tmpl w:val="BA3E58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1" w15:restartNumberingAfterBreak="0">
    <w:nsid w:val="42DB0171"/>
    <w:multiLevelType w:val="multilevel"/>
    <w:tmpl w:val="EAC6729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82" w15:restartNumberingAfterBreak="0">
    <w:nsid w:val="42E769EB"/>
    <w:multiLevelType w:val="multilevel"/>
    <w:tmpl w:val="5C26936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83" w15:restartNumberingAfterBreak="0">
    <w:nsid w:val="431F2DC6"/>
    <w:multiLevelType w:val="multilevel"/>
    <w:tmpl w:val="921EFB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4356039F"/>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36D5E72"/>
    <w:multiLevelType w:val="hybridMultilevel"/>
    <w:tmpl w:val="F9802E80"/>
    <w:lvl w:ilvl="0" w:tplc="D3C4C280">
      <w:start w:val="1"/>
      <w:numFmt w:val="bullet"/>
      <w:lvlText w:val=""/>
      <w:lvlJc w:val="left"/>
      <w:pPr>
        <w:ind w:left="720" w:hanging="360"/>
      </w:pPr>
      <w:rPr>
        <w:rFonts w:ascii="Symbol" w:hAnsi="Symbol" w:hint="default"/>
      </w:rPr>
    </w:lvl>
    <w:lvl w:ilvl="1" w:tplc="33A6F5DC" w:tentative="1">
      <w:start w:val="1"/>
      <w:numFmt w:val="bullet"/>
      <w:lvlText w:val="o"/>
      <w:lvlJc w:val="left"/>
      <w:pPr>
        <w:ind w:left="1440" w:hanging="360"/>
      </w:pPr>
      <w:rPr>
        <w:rFonts w:ascii="Courier New" w:hAnsi="Courier New" w:hint="default"/>
      </w:rPr>
    </w:lvl>
    <w:lvl w:ilvl="2" w:tplc="9D5671EC" w:tentative="1">
      <w:start w:val="1"/>
      <w:numFmt w:val="bullet"/>
      <w:lvlText w:val=""/>
      <w:lvlJc w:val="left"/>
      <w:pPr>
        <w:ind w:left="2160" w:hanging="360"/>
      </w:pPr>
      <w:rPr>
        <w:rFonts w:ascii="Wingdings" w:hAnsi="Wingdings" w:hint="default"/>
      </w:rPr>
    </w:lvl>
    <w:lvl w:ilvl="3" w:tplc="C8A85638" w:tentative="1">
      <w:start w:val="1"/>
      <w:numFmt w:val="bullet"/>
      <w:lvlText w:val=""/>
      <w:lvlJc w:val="left"/>
      <w:pPr>
        <w:ind w:left="2880" w:hanging="360"/>
      </w:pPr>
      <w:rPr>
        <w:rFonts w:ascii="Symbol" w:hAnsi="Symbol" w:hint="default"/>
      </w:rPr>
    </w:lvl>
    <w:lvl w:ilvl="4" w:tplc="F72CF2FE" w:tentative="1">
      <w:start w:val="1"/>
      <w:numFmt w:val="bullet"/>
      <w:lvlText w:val="o"/>
      <w:lvlJc w:val="left"/>
      <w:pPr>
        <w:ind w:left="3600" w:hanging="360"/>
      </w:pPr>
      <w:rPr>
        <w:rFonts w:ascii="Courier New" w:hAnsi="Courier New" w:hint="default"/>
      </w:rPr>
    </w:lvl>
    <w:lvl w:ilvl="5" w:tplc="A4A84FB8" w:tentative="1">
      <w:start w:val="1"/>
      <w:numFmt w:val="bullet"/>
      <w:lvlText w:val=""/>
      <w:lvlJc w:val="left"/>
      <w:pPr>
        <w:ind w:left="4320" w:hanging="360"/>
      </w:pPr>
      <w:rPr>
        <w:rFonts w:ascii="Wingdings" w:hAnsi="Wingdings" w:hint="default"/>
      </w:rPr>
    </w:lvl>
    <w:lvl w:ilvl="6" w:tplc="D4A0987E" w:tentative="1">
      <w:start w:val="1"/>
      <w:numFmt w:val="bullet"/>
      <w:lvlText w:val=""/>
      <w:lvlJc w:val="left"/>
      <w:pPr>
        <w:ind w:left="5040" w:hanging="360"/>
      </w:pPr>
      <w:rPr>
        <w:rFonts w:ascii="Symbol" w:hAnsi="Symbol" w:hint="default"/>
      </w:rPr>
    </w:lvl>
    <w:lvl w:ilvl="7" w:tplc="997A62AE" w:tentative="1">
      <w:start w:val="1"/>
      <w:numFmt w:val="bullet"/>
      <w:lvlText w:val="o"/>
      <w:lvlJc w:val="left"/>
      <w:pPr>
        <w:ind w:left="5760" w:hanging="360"/>
      </w:pPr>
      <w:rPr>
        <w:rFonts w:ascii="Courier New" w:hAnsi="Courier New" w:hint="default"/>
      </w:rPr>
    </w:lvl>
    <w:lvl w:ilvl="8" w:tplc="4B1CBEB2" w:tentative="1">
      <w:start w:val="1"/>
      <w:numFmt w:val="bullet"/>
      <w:lvlText w:val=""/>
      <w:lvlJc w:val="left"/>
      <w:pPr>
        <w:ind w:left="6480" w:hanging="360"/>
      </w:pPr>
      <w:rPr>
        <w:rFonts w:ascii="Wingdings" w:hAnsi="Wingdings" w:hint="default"/>
      </w:rPr>
    </w:lvl>
  </w:abstractNum>
  <w:abstractNum w:abstractNumId="486" w15:restartNumberingAfterBreak="0">
    <w:nsid w:val="43903D76"/>
    <w:multiLevelType w:val="hybridMultilevel"/>
    <w:tmpl w:val="D3D2D11A"/>
    <w:lvl w:ilvl="0" w:tplc="3F38D368">
      <w:start w:val="1"/>
      <w:numFmt w:val="bullet"/>
      <w:lvlText w:val=""/>
      <w:lvlJc w:val="left"/>
      <w:pPr>
        <w:ind w:left="720" w:hanging="360"/>
      </w:pPr>
      <w:rPr>
        <w:rFonts w:ascii="Symbol" w:hAnsi="Symbol" w:hint="default"/>
      </w:rPr>
    </w:lvl>
    <w:lvl w:ilvl="1" w:tplc="E49E250A" w:tentative="1">
      <w:start w:val="1"/>
      <w:numFmt w:val="bullet"/>
      <w:lvlText w:val="o"/>
      <w:lvlJc w:val="left"/>
      <w:pPr>
        <w:ind w:left="1440" w:hanging="360"/>
      </w:pPr>
      <w:rPr>
        <w:rFonts w:ascii="Courier New" w:hAnsi="Courier New" w:hint="default"/>
      </w:rPr>
    </w:lvl>
    <w:lvl w:ilvl="2" w:tplc="38AEB6B8" w:tentative="1">
      <w:start w:val="1"/>
      <w:numFmt w:val="bullet"/>
      <w:lvlText w:val=""/>
      <w:lvlJc w:val="left"/>
      <w:pPr>
        <w:ind w:left="2160" w:hanging="360"/>
      </w:pPr>
      <w:rPr>
        <w:rFonts w:ascii="Wingdings" w:hAnsi="Wingdings" w:hint="default"/>
      </w:rPr>
    </w:lvl>
    <w:lvl w:ilvl="3" w:tplc="4860EC9E" w:tentative="1">
      <w:start w:val="1"/>
      <w:numFmt w:val="bullet"/>
      <w:lvlText w:val=""/>
      <w:lvlJc w:val="left"/>
      <w:pPr>
        <w:ind w:left="2880" w:hanging="360"/>
      </w:pPr>
      <w:rPr>
        <w:rFonts w:ascii="Symbol" w:hAnsi="Symbol" w:hint="default"/>
      </w:rPr>
    </w:lvl>
    <w:lvl w:ilvl="4" w:tplc="FEE4019E" w:tentative="1">
      <w:start w:val="1"/>
      <w:numFmt w:val="bullet"/>
      <w:lvlText w:val="o"/>
      <w:lvlJc w:val="left"/>
      <w:pPr>
        <w:ind w:left="3600" w:hanging="360"/>
      </w:pPr>
      <w:rPr>
        <w:rFonts w:ascii="Courier New" w:hAnsi="Courier New" w:hint="default"/>
      </w:rPr>
    </w:lvl>
    <w:lvl w:ilvl="5" w:tplc="60BCA4EC" w:tentative="1">
      <w:start w:val="1"/>
      <w:numFmt w:val="bullet"/>
      <w:lvlText w:val=""/>
      <w:lvlJc w:val="left"/>
      <w:pPr>
        <w:ind w:left="4320" w:hanging="360"/>
      </w:pPr>
      <w:rPr>
        <w:rFonts w:ascii="Wingdings" w:hAnsi="Wingdings" w:hint="default"/>
      </w:rPr>
    </w:lvl>
    <w:lvl w:ilvl="6" w:tplc="831C485A" w:tentative="1">
      <w:start w:val="1"/>
      <w:numFmt w:val="bullet"/>
      <w:lvlText w:val=""/>
      <w:lvlJc w:val="left"/>
      <w:pPr>
        <w:ind w:left="5040" w:hanging="360"/>
      </w:pPr>
      <w:rPr>
        <w:rFonts w:ascii="Symbol" w:hAnsi="Symbol" w:hint="default"/>
      </w:rPr>
    </w:lvl>
    <w:lvl w:ilvl="7" w:tplc="FF7AB734" w:tentative="1">
      <w:start w:val="1"/>
      <w:numFmt w:val="bullet"/>
      <w:lvlText w:val="o"/>
      <w:lvlJc w:val="left"/>
      <w:pPr>
        <w:ind w:left="5760" w:hanging="360"/>
      </w:pPr>
      <w:rPr>
        <w:rFonts w:ascii="Courier New" w:hAnsi="Courier New" w:hint="default"/>
      </w:rPr>
    </w:lvl>
    <w:lvl w:ilvl="8" w:tplc="C4848474" w:tentative="1">
      <w:start w:val="1"/>
      <w:numFmt w:val="bullet"/>
      <w:lvlText w:val=""/>
      <w:lvlJc w:val="left"/>
      <w:pPr>
        <w:ind w:left="6480" w:hanging="360"/>
      </w:pPr>
      <w:rPr>
        <w:rFonts w:ascii="Wingdings" w:hAnsi="Wingdings" w:hint="default"/>
      </w:rPr>
    </w:lvl>
  </w:abstractNum>
  <w:abstractNum w:abstractNumId="487" w15:restartNumberingAfterBreak="0">
    <w:nsid w:val="439E497B"/>
    <w:multiLevelType w:val="hybridMultilevel"/>
    <w:tmpl w:val="4E92D0C2"/>
    <w:lvl w:ilvl="0" w:tplc="36F26BE4">
      <w:start w:val="1"/>
      <w:numFmt w:val="bullet"/>
      <w:lvlText w:val=""/>
      <w:lvlJc w:val="left"/>
      <w:pPr>
        <w:ind w:left="720" w:hanging="360"/>
      </w:pPr>
      <w:rPr>
        <w:rFonts w:ascii="Symbol" w:hAnsi="Symbol" w:hint="default"/>
      </w:rPr>
    </w:lvl>
    <w:lvl w:ilvl="1" w:tplc="9782FE02" w:tentative="1">
      <w:start w:val="1"/>
      <w:numFmt w:val="bullet"/>
      <w:lvlText w:val="o"/>
      <w:lvlJc w:val="left"/>
      <w:pPr>
        <w:ind w:left="1440" w:hanging="360"/>
      </w:pPr>
      <w:rPr>
        <w:rFonts w:ascii="Courier New" w:hAnsi="Courier New" w:hint="default"/>
      </w:rPr>
    </w:lvl>
    <w:lvl w:ilvl="2" w:tplc="5A6EC44E" w:tentative="1">
      <w:start w:val="1"/>
      <w:numFmt w:val="bullet"/>
      <w:lvlText w:val=""/>
      <w:lvlJc w:val="left"/>
      <w:pPr>
        <w:ind w:left="2160" w:hanging="360"/>
      </w:pPr>
      <w:rPr>
        <w:rFonts w:ascii="Wingdings" w:hAnsi="Wingdings" w:hint="default"/>
      </w:rPr>
    </w:lvl>
    <w:lvl w:ilvl="3" w:tplc="6CC8A24E" w:tentative="1">
      <w:start w:val="1"/>
      <w:numFmt w:val="bullet"/>
      <w:lvlText w:val=""/>
      <w:lvlJc w:val="left"/>
      <w:pPr>
        <w:ind w:left="2880" w:hanging="360"/>
      </w:pPr>
      <w:rPr>
        <w:rFonts w:ascii="Symbol" w:hAnsi="Symbol" w:hint="default"/>
      </w:rPr>
    </w:lvl>
    <w:lvl w:ilvl="4" w:tplc="33547642" w:tentative="1">
      <w:start w:val="1"/>
      <w:numFmt w:val="bullet"/>
      <w:lvlText w:val="o"/>
      <w:lvlJc w:val="left"/>
      <w:pPr>
        <w:ind w:left="3600" w:hanging="360"/>
      </w:pPr>
      <w:rPr>
        <w:rFonts w:ascii="Courier New" w:hAnsi="Courier New" w:hint="default"/>
      </w:rPr>
    </w:lvl>
    <w:lvl w:ilvl="5" w:tplc="55C831A4" w:tentative="1">
      <w:start w:val="1"/>
      <w:numFmt w:val="bullet"/>
      <w:lvlText w:val=""/>
      <w:lvlJc w:val="left"/>
      <w:pPr>
        <w:ind w:left="4320" w:hanging="360"/>
      </w:pPr>
      <w:rPr>
        <w:rFonts w:ascii="Wingdings" w:hAnsi="Wingdings" w:hint="default"/>
      </w:rPr>
    </w:lvl>
    <w:lvl w:ilvl="6" w:tplc="DAC8BBFA" w:tentative="1">
      <w:start w:val="1"/>
      <w:numFmt w:val="bullet"/>
      <w:lvlText w:val=""/>
      <w:lvlJc w:val="left"/>
      <w:pPr>
        <w:ind w:left="5040" w:hanging="360"/>
      </w:pPr>
      <w:rPr>
        <w:rFonts w:ascii="Symbol" w:hAnsi="Symbol" w:hint="default"/>
      </w:rPr>
    </w:lvl>
    <w:lvl w:ilvl="7" w:tplc="09FA3832" w:tentative="1">
      <w:start w:val="1"/>
      <w:numFmt w:val="bullet"/>
      <w:lvlText w:val="o"/>
      <w:lvlJc w:val="left"/>
      <w:pPr>
        <w:ind w:left="5760" w:hanging="360"/>
      </w:pPr>
      <w:rPr>
        <w:rFonts w:ascii="Courier New" w:hAnsi="Courier New" w:hint="default"/>
      </w:rPr>
    </w:lvl>
    <w:lvl w:ilvl="8" w:tplc="5410833E" w:tentative="1">
      <w:start w:val="1"/>
      <w:numFmt w:val="bullet"/>
      <w:lvlText w:val=""/>
      <w:lvlJc w:val="left"/>
      <w:pPr>
        <w:ind w:left="6480" w:hanging="360"/>
      </w:pPr>
      <w:rPr>
        <w:rFonts w:ascii="Wingdings" w:hAnsi="Wingdings" w:hint="default"/>
      </w:rPr>
    </w:lvl>
  </w:abstractNum>
  <w:abstractNum w:abstractNumId="488" w15:restartNumberingAfterBreak="0">
    <w:nsid w:val="43C942AD"/>
    <w:multiLevelType w:val="multilevel"/>
    <w:tmpl w:val="6340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44331EF7"/>
    <w:multiLevelType w:val="multilevel"/>
    <w:tmpl w:val="2976F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43328A9"/>
    <w:multiLevelType w:val="multilevel"/>
    <w:tmpl w:val="15DC0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4855581"/>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4856756"/>
    <w:multiLevelType w:val="multilevel"/>
    <w:tmpl w:val="31E0E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44967126"/>
    <w:multiLevelType w:val="hybridMultilevel"/>
    <w:tmpl w:val="19D67F48"/>
    <w:lvl w:ilvl="0" w:tplc="45E6E4F2">
      <w:start w:val="1"/>
      <w:numFmt w:val="bullet"/>
      <w:lvlText w:val=""/>
      <w:lvlJc w:val="left"/>
      <w:pPr>
        <w:ind w:left="720" w:hanging="360"/>
      </w:pPr>
      <w:rPr>
        <w:rFonts w:ascii="Symbol" w:hAnsi="Symbol" w:hint="default"/>
      </w:rPr>
    </w:lvl>
    <w:lvl w:ilvl="1" w:tplc="B5CA8D0E" w:tentative="1">
      <w:start w:val="1"/>
      <w:numFmt w:val="bullet"/>
      <w:lvlText w:val="o"/>
      <w:lvlJc w:val="left"/>
      <w:pPr>
        <w:ind w:left="1440" w:hanging="360"/>
      </w:pPr>
      <w:rPr>
        <w:rFonts w:ascii="Courier New" w:hAnsi="Courier New" w:hint="default"/>
      </w:rPr>
    </w:lvl>
    <w:lvl w:ilvl="2" w:tplc="F3F480BA" w:tentative="1">
      <w:start w:val="1"/>
      <w:numFmt w:val="bullet"/>
      <w:lvlText w:val=""/>
      <w:lvlJc w:val="left"/>
      <w:pPr>
        <w:ind w:left="2160" w:hanging="360"/>
      </w:pPr>
      <w:rPr>
        <w:rFonts w:ascii="Wingdings" w:hAnsi="Wingdings" w:hint="default"/>
      </w:rPr>
    </w:lvl>
    <w:lvl w:ilvl="3" w:tplc="D0E0BDAC" w:tentative="1">
      <w:start w:val="1"/>
      <w:numFmt w:val="bullet"/>
      <w:lvlText w:val=""/>
      <w:lvlJc w:val="left"/>
      <w:pPr>
        <w:ind w:left="2880" w:hanging="360"/>
      </w:pPr>
      <w:rPr>
        <w:rFonts w:ascii="Symbol" w:hAnsi="Symbol" w:hint="default"/>
      </w:rPr>
    </w:lvl>
    <w:lvl w:ilvl="4" w:tplc="167618F8" w:tentative="1">
      <w:start w:val="1"/>
      <w:numFmt w:val="bullet"/>
      <w:lvlText w:val="o"/>
      <w:lvlJc w:val="left"/>
      <w:pPr>
        <w:ind w:left="3600" w:hanging="360"/>
      </w:pPr>
      <w:rPr>
        <w:rFonts w:ascii="Courier New" w:hAnsi="Courier New" w:hint="default"/>
      </w:rPr>
    </w:lvl>
    <w:lvl w:ilvl="5" w:tplc="4F42ED42" w:tentative="1">
      <w:start w:val="1"/>
      <w:numFmt w:val="bullet"/>
      <w:lvlText w:val=""/>
      <w:lvlJc w:val="left"/>
      <w:pPr>
        <w:ind w:left="4320" w:hanging="360"/>
      </w:pPr>
      <w:rPr>
        <w:rFonts w:ascii="Wingdings" w:hAnsi="Wingdings" w:hint="default"/>
      </w:rPr>
    </w:lvl>
    <w:lvl w:ilvl="6" w:tplc="98A4413A" w:tentative="1">
      <w:start w:val="1"/>
      <w:numFmt w:val="bullet"/>
      <w:lvlText w:val=""/>
      <w:lvlJc w:val="left"/>
      <w:pPr>
        <w:ind w:left="5040" w:hanging="360"/>
      </w:pPr>
      <w:rPr>
        <w:rFonts w:ascii="Symbol" w:hAnsi="Symbol" w:hint="default"/>
      </w:rPr>
    </w:lvl>
    <w:lvl w:ilvl="7" w:tplc="E3A277DC" w:tentative="1">
      <w:start w:val="1"/>
      <w:numFmt w:val="bullet"/>
      <w:lvlText w:val="o"/>
      <w:lvlJc w:val="left"/>
      <w:pPr>
        <w:ind w:left="5760" w:hanging="360"/>
      </w:pPr>
      <w:rPr>
        <w:rFonts w:ascii="Courier New" w:hAnsi="Courier New" w:hint="default"/>
      </w:rPr>
    </w:lvl>
    <w:lvl w:ilvl="8" w:tplc="A8FC38D6" w:tentative="1">
      <w:start w:val="1"/>
      <w:numFmt w:val="bullet"/>
      <w:lvlText w:val=""/>
      <w:lvlJc w:val="left"/>
      <w:pPr>
        <w:ind w:left="6480" w:hanging="360"/>
      </w:pPr>
      <w:rPr>
        <w:rFonts w:ascii="Wingdings" w:hAnsi="Wingdings" w:hint="default"/>
      </w:rPr>
    </w:lvl>
  </w:abstractNum>
  <w:abstractNum w:abstractNumId="494" w15:restartNumberingAfterBreak="0">
    <w:nsid w:val="44AE18C0"/>
    <w:multiLevelType w:val="multilevel"/>
    <w:tmpl w:val="65CCA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44C4504F"/>
    <w:multiLevelType w:val="multilevel"/>
    <w:tmpl w:val="7E9E1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450F0BC8"/>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451F709D"/>
    <w:multiLevelType w:val="multilevel"/>
    <w:tmpl w:val="316691FE"/>
    <w:lvl w:ilvl="0">
      <w:start w:val="2"/>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98" w15:restartNumberingAfterBreak="0">
    <w:nsid w:val="45576C9A"/>
    <w:multiLevelType w:val="multilevel"/>
    <w:tmpl w:val="FE5E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9" w15:restartNumberingAfterBreak="0">
    <w:nsid w:val="456E3D9D"/>
    <w:multiLevelType w:val="multilevel"/>
    <w:tmpl w:val="C42677E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00" w15:restartNumberingAfterBreak="0">
    <w:nsid w:val="458666B6"/>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45A62B6A"/>
    <w:multiLevelType w:val="multilevel"/>
    <w:tmpl w:val="6916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45CC679C"/>
    <w:multiLevelType w:val="hybridMultilevel"/>
    <w:tmpl w:val="EFBA51AC"/>
    <w:lvl w:ilvl="0" w:tplc="8D3A8E74">
      <w:start w:val="1"/>
      <w:numFmt w:val="bullet"/>
      <w:lvlText w:val=""/>
      <w:lvlJc w:val="left"/>
      <w:pPr>
        <w:ind w:left="720" w:hanging="360"/>
      </w:pPr>
      <w:rPr>
        <w:rFonts w:ascii="Symbol" w:hAnsi="Symbol" w:hint="default"/>
      </w:rPr>
    </w:lvl>
    <w:lvl w:ilvl="1" w:tplc="A51A65DA" w:tentative="1">
      <w:start w:val="1"/>
      <w:numFmt w:val="bullet"/>
      <w:lvlText w:val="o"/>
      <w:lvlJc w:val="left"/>
      <w:pPr>
        <w:ind w:left="1440" w:hanging="360"/>
      </w:pPr>
      <w:rPr>
        <w:rFonts w:ascii="Courier New" w:hAnsi="Courier New" w:hint="default"/>
      </w:rPr>
    </w:lvl>
    <w:lvl w:ilvl="2" w:tplc="D0840008" w:tentative="1">
      <w:start w:val="1"/>
      <w:numFmt w:val="bullet"/>
      <w:lvlText w:val=""/>
      <w:lvlJc w:val="left"/>
      <w:pPr>
        <w:ind w:left="2160" w:hanging="360"/>
      </w:pPr>
      <w:rPr>
        <w:rFonts w:ascii="Wingdings" w:hAnsi="Wingdings" w:hint="default"/>
      </w:rPr>
    </w:lvl>
    <w:lvl w:ilvl="3" w:tplc="8D3A76A8" w:tentative="1">
      <w:start w:val="1"/>
      <w:numFmt w:val="bullet"/>
      <w:lvlText w:val=""/>
      <w:lvlJc w:val="left"/>
      <w:pPr>
        <w:ind w:left="2880" w:hanging="360"/>
      </w:pPr>
      <w:rPr>
        <w:rFonts w:ascii="Symbol" w:hAnsi="Symbol" w:hint="default"/>
      </w:rPr>
    </w:lvl>
    <w:lvl w:ilvl="4" w:tplc="8A3EE610" w:tentative="1">
      <w:start w:val="1"/>
      <w:numFmt w:val="bullet"/>
      <w:lvlText w:val="o"/>
      <w:lvlJc w:val="left"/>
      <w:pPr>
        <w:ind w:left="3600" w:hanging="360"/>
      </w:pPr>
      <w:rPr>
        <w:rFonts w:ascii="Courier New" w:hAnsi="Courier New" w:hint="default"/>
      </w:rPr>
    </w:lvl>
    <w:lvl w:ilvl="5" w:tplc="B8565A3E" w:tentative="1">
      <w:start w:val="1"/>
      <w:numFmt w:val="bullet"/>
      <w:lvlText w:val=""/>
      <w:lvlJc w:val="left"/>
      <w:pPr>
        <w:ind w:left="4320" w:hanging="360"/>
      </w:pPr>
      <w:rPr>
        <w:rFonts w:ascii="Wingdings" w:hAnsi="Wingdings" w:hint="default"/>
      </w:rPr>
    </w:lvl>
    <w:lvl w:ilvl="6" w:tplc="6AE42896" w:tentative="1">
      <w:start w:val="1"/>
      <w:numFmt w:val="bullet"/>
      <w:lvlText w:val=""/>
      <w:lvlJc w:val="left"/>
      <w:pPr>
        <w:ind w:left="5040" w:hanging="360"/>
      </w:pPr>
      <w:rPr>
        <w:rFonts w:ascii="Symbol" w:hAnsi="Symbol" w:hint="default"/>
      </w:rPr>
    </w:lvl>
    <w:lvl w:ilvl="7" w:tplc="62FCDB5E" w:tentative="1">
      <w:start w:val="1"/>
      <w:numFmt w:val="bullet"/>
      <w:lvlText w:val="o"/>
      <w:lvlJc w:val="left"/>
      <w:pPr>
        <w:ind w:left="5760" w:hanging="360"/>
      </w:pPr>
      <w:rPr>
        <w:rFonts w:ascii="Courier New" w:hAnsi="Courier New" w:hint="default"/>
      </w:rPr>
    </w:lvl>
    <w:lvl w:ilvl="8" w:tplc="57D2A36A" w:tentative="1">
      <w:start w:val="1"/>
      <w:numFmt w:val="bullet"/>
      <w:lvlText w:val=""/>
      <w:lvlJc w:val="left"/>
      <w:pPr>
        <w:ind w:left="6480" w:hanging="360"/>
      </w:pPr>
      <w:rPr>
        <w:rFonts w:ascii="Wingdings" w:hAnsi="Wingdings" w:hint="default"/>
      </w:rPr>
    </w:lvl>
  </w:abstractNum>
  <w:abstractNum w:abstractNumId="503" w15:restartNumberingAfterBreak="0">
    <w:nsid w:val="45DB2A1A"/>
    <w:multiLevelType w:val="multilevel"/>
    <w:tmpl w:val="E3D030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45F50B8A"/>
    <w:multiLevelType w:val="multilevel"/>
    <w:tmpl w:val="C6B81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460E4A08"/>
    <w:multiLevelType w:val="multilevel"/>
    <w:tmpl w:val="D1F2E068"/>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06" w15:restartNumberingAfterBreak="0">
    <w:nsid w:val="46171A45"/>
    <w:multiLevelType w:val="multilevel"/>
    <w:tmpl w:val="F24AC332"/>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7" w15:restartNumberingAfterBreak="0">
    <w:nsid w:val="462C50E6"/>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8" w15:restartNumberingAfterBreak="0">
    <w:nsid w:val="46404F30"/>
    <w:multiLevelType w:val="multilevel"/>
    <w:tmpl w:val="3FC02E2C"/>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09" w15:restartNumberingAfterBreak="0">
    <w:nsid w:val="464E68C4"/>
    <w:multiLevelType w:val="multilevel"/>
    <w:tmpl w:val="F2EC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4679663D"/>
    <w:multiLevelType w:val="multilevel"/>
    <w:tmpl w:val="0952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46904E34"/>
    <w:multiLevelType w:val="multilevel"/>
    <w:tmpl w:val="F074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46AF7C46"/>
    <w:multiLevelType w:val="hybridMultilevel"/>
    <w:tmpl w:val="897AAFB2"/>
    <w:lvl w:ilvl="0" w:tplc="B3F65FDC">
      <w:start w:val="1"/>
      <w:numFmt w:val="bullet"/>
      <w:lvlText w:val=""/>
      <w:lvlJc w:val="left"/>
      <w:pPr>
        <w:ind w:left="720" w:hanging="360"/>
      </w:pPr>
      <w:rPr>
        <w:rFonts w:ascii="Symbol" w:hAnsi="Symbol" w:hint="default"/>
      </w:rPr>
    </w:lvl>
    <w:lvl w:ilvl="1" w:tplc="F1E0D040" w:tentative="1">
      <w:start w:val="1"/>
      <w:numFmt w:val="bullet"/>
      <w:lvlText w:val="o"/>
      <w:lvlJc w:val="left"/>
      <w:pPr>
        <w:ind w:left="1440" w:hanging="360"/>
      </w:pPr>
      <w:rPr>
        <w:rFonts w:ascii="Courier New" w:hAnsi="Courier New" w:hint="default"/>
      </w:rPr>
    </w:lvl>
    <w:lvl w:ilvl="2" w:tplc="E104E92E" w:tentative="1">
      <w:start w:val="1"/>
      <w:numFmt w:val="bullet"/>
      <w:lvlText w:val=""/>
      <w:lvlJc w:val="left"/>
      <w:pPr>
        <w:ind w:left="2160" w:hanging="360"/>
      </w:pPr>
      <w:rPr>
        <w:rFonts w:ascii="Wingdings" w:hAnsi="Wingdings" w:hint="default"/>
      </w:rPr>
    </w:lvl>
    <w:lvl w:ilvl="3" w:tplc="25DA7BEA" w:tentative="1">
      <w:start w:val="1"/>
      <w:numFmt w:val="bullet"/>
      <w:lvlText w:val=""/>
      <w:lvlJc w:val="left"/>
      <w:pPr>
        <w:ind w:left="2880" w:hanging="360"/>
      </w:pPr>
      <w:rPr>
        <w:rFonts w:ascii="Symbol" w:hAnsi="Symbol" w:hint="default"/>
      </w:rPr>
    </w:lvl>
    <w:lvl w:ilvl="4" w:tplc="3F26F85E" w:tentative="1">
      <w:start w:val="1"/>
      <w:numFmt w:val="bullet"/>
      <w:lvlText w:val="o"/>
      <w:lvlJc w:val="left"/>
      <w:pPr>
        <w:ind w:left="3600" w:hanging="360"/>
      </w:pPr>
      <w:rPr>
        <w:rFonts w:ascii="Courier New" w:hAnsi="Courier New" w:hint="default"/>
      </w:rPr>
    </w:lvl>
    <w:lvl w:ilvl="5" w:tplc="F4D8AEF6" w:tentative="1">
      <w:start w:val="1"/>
      <w:numFmt w:val="bullet"/>
      <w:lvlText w:val=""/>
      <w:lvlJc w:val="left"/>
      <w:pPr>
        <w:ind w:left="4320" w:hanging="360"/>
      </w:pPr>
      <w:rPr>
        <w:rFonts w:ascii="Wingdings" w:hAnsi="Wingdings" w:hint="default"/>
      </w:rPr>
    </w:lvl>
    <w:lvl w:ilvl="6" w:tplc="C4744804" w:tentative="1">
      <w:start w:val="1"/>
      <w:numFmt w:val="bullet"/>
      <w:lvlText w:val=""/>
      <w:lvlJc w:val="left"/>
      <w:pPr>
        <w:ind w:left="5040" w:hanging="360"/>
      </w:pPr>
      <w:rPr>
        <w:rFonts w:ascii="Symbol" w:hAnsi="Symbol" w:hint="default"/>
      </w:rPr>
    </w:lvl>
    <w:lvl w:ilvl="7" w:tplc="546412EC" w:tentative="1">
      <w:start w:val="1"/>
      <w:numFmt w:val="bullet"/>
      <w:lvlText w:val="o"/>
      <w:lvlJc w:val="left"/>
      <w:pPr>
        <w:ind w:left="5760" w:hanging="360"/>
      </w:pPr>
      <w:rPr>
        <w:rFonts w:ascii="Courier New" w:hAnsi="Courier New" w:hint="default"/>
      </w:rPr>
    </w:lvl>
    <w:lvl w:ilvl="8" w:tplc="334E8FAC" w:tentative="1">
      <w:start w:val="1"/>
      <w:numFmt w:val="bullet"/>
      <w:lvlText w:val=""/>
      <w:lvlJc w:val="left"/>
      <w:pPr>
        <w:ind w:left="6480" w:hanging="360"/>
      </w:pPr>
      <w:rPr>
        <w:rFonts w:ascii="Wingdings" w:hAnsi="Wingdings" w:hint="default"/>
      </w:rPr>
    </w:lvl>
  </w:abstractNum>
  <w:abstractNum w:abstractNumId="513" w15:restartNumberingAfterBreak="0">
    <w:nsid w:val="46C361CA"/>
    <w:multiLevelType w:val="hybridMultilevel"/>
    <w:tmpl w:val="947264E4"/>
    <w:lvl w:ilvl="0" w:tplc="42EA856A">
      <w:start w:val="1"/>
      <w:numFmt w:val="bullet"/>
      <w:lvlText w:val=""/>
      <w:lvlJc w:val="left"/>
      <w:pPr>
        <w:ind w:left="720" w:hanging="360"/>
      </w:pPr>
      <w:rPr>
        <w:rFonts w:ascii="Symbol" w:hAnsi="Symbol" w:hint="default"/>
      </w:rPr>
    </w:lvl>
    <w:lvl w:ilvl="1" w:tplc="92566238" w:tentative="1">
      <w:start w:val="1"/>
      <w:numFmt w:val="bullet"/>
      <w:lvlText w:val="o"/>
      <w:lvlJc w:val="left"/>
      <w:pPr>
        <w:ind w:left="1440" w:hanging="360"/>
      </w:pPr>
      <w:rPr>
        <w:rFonts w:ascii="Courier New" w:hAnsi="Courier New" w:hint="default"/>
      </w:rPr>
    </w:lvl>
    <w:lvl w:ilvl="2" w:tplc="6AE66F24" w:tentative="1">
      <w:start w:val="1"/>
      <w:numFmt w:val="bullet"/>
      <w:lvlText w:val=""/>
      <w:lvlJc w:val="left"/>
      <w:pPr>
        <w:ind w:left="2160" w:hanging="360"/>
      </w:pPr>
      <w:rPr>
        <w:rFonts w:ascii="Wingdings" w:hAnsi="Wingdings" w:hint="default"/>
      </w:rPr>
    </w:lvl>
    <w:lvl w:ilvl="3" w:tplc="311A1BE8" w:tentative="1">
      <w:start w:val="1"/>
      <w:numFmt w:val="bullet"/>
      <w:lvlText w:val=""/>
      <w:lvlJc w:val="left"/>
      <w:pPr>
        <w:ind w:left="2880" w:hanging="360"/>
      </w:pPr>
      <w:rPr>
        <w:rFonts w:ascii="Symbol" w:hAnsi="Symbol" w:hint="default"/>
      </w:rPr>
    </w:lvl>
    <w:lvl w:ilvl="4" w:tplc="D93A20EA" w:tentative="1">
      <w:start w:val="1"/>
      <w:numFmt w:val="bullet"/>
      <w:lvlText w:val="o"/>
      <w:lvlJc w:val="left"/>
      <w:pPr>
        <w:ind w:left="3600" w:hanging="360"/>
      </w:pPr>
      <w:rPr>
        <w:rFonts w:ascii="Courier New" w:hAnsi="Courier New" w:hint="default"/>
      </w:rPr>
    </w:lvl>
    <w:lvl w:ilvl="5" w:tplc="0608CD50" w:tentative="1">
      <w:start w:val="1"/>
      <w:numFmt w:val="bullet"/>
      <w:lvlText w:val=""/>
      <w:lvlJc w:val="left"/>
      <w:pPr>
        <w:ind w:left="4320" w:hanging="360"/>
      </w:pPr>
      <w:rPr>
        <w:rFonts w:ascii="Wingdings" w:hAnsi="Wingdings" w:hint="default"/>
      </w:rPr>
    </w:lvl>
    <w:lvl w:ilvl="6" w:tplc="F156092E" w:tentative="1">
      <w:start w:val="1"/>
      <w:numFmt w:val="bullet"/>
      <w:lvlText w:val=""/>
      <w:lvlJc w:val="left"/>
      <w:pPr>
        <w:ind w:left="5040" w:hanging="360"/>
      </w:pPr>
      <w:rPr>
        <w:rFonts w:ascii="Symbol" w:hAnsi="Symbol" w:hint="default"/>
      </w:rPr>
    </w:lvl>
    <w:lvl w:ilvl="7" w:tplc="74485134" w:tentative="1">
      <w:start w:val="1"/>
      <w:numFmt w:val="bullet"/>
      <w:lvlText w:val="o"/>
      <w:lvlJc w:val="left"/>
      <w:pPr>
        <w:ind w:left="5760" w:hanging="360"/>
      </w:pPr>
      <w:rPr>
        <w:rFonts w:ascii="Courier New" w:hAnsi="Courier New" w:hint="default"/>
      </w:rPr>
    </w:lvl>
    <w:lvl w:ilvl="8" w:tplc="BA3E7BD6" w:tentative="1">
      <w:start w:val="1"/>
      <w:numFmt w:val="bullet"/>
      <w:lvlText w:val=""/>
      <w:lvlJc w:val="left"/>
      <w:pPr>
        <w:ind w:left="6480" w:hanging="360"/>
      </w:pPr>
      <w:rPr>
        <w:rFonts w:ascii="Wingdings" w:hAnsi="Wingdings" w:hint="default"/>
      </w:rPr>
    </w:lvl>
  </w:abstractNum>
  <w:abstractNum w:abstractNumId="514" w15:restartNumberingAfterBreak="0">
    <w:nsid w:val="46C95300"/>
    <w:multiLevelType w:val="hybridMultilevel"/>
    <w:tmpl w:val="C764E9A2"/>
    <w:lvl w:ilvl="0" w:tplc="E0827AB8">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5A7E03EE">
      <w:start w:val="1"/>
      <w:numFmt w:val="bullet"/>
      <w:lvlText w:val="o"/>
      <w:lvlJc w:val="left"/>
      <w:pPr>
        <w:ind w:left="1440" w:hanging="360"/>
      </w:pPr>
      <w:rPr>
        <w:rFonts w:ascii="Courier New" w:hAnsi="Courier New" w:hint="default"/>
      </w:rPr>
    </w:lvl>
    <w:lvl w:ilvl="2" w:tplc="35C65A0C" w:tentative="1">
      <w:start w:val="1"/>
      <w:numFmt w:val="bullet"/>
      <w:lvlText w:val=""/>
      <w:lvlJc w:val="left"/>
      <w:pPr>
        <w:ind w:left="2160" w:hanging="360"/>
      </w:pPr>
      <w:rPr>
        <w:rFonts w:ascii="Wingdings" w:hAnsi="Wingdings" w:hint="default"/>
      </w:rPr>
    </w:lvl>
    <w:lvl w:ilvl="3" w:tplc="EFE0E9A6" w:tentative="1">
      <w:start w:val="1"/>
      <w:numFmt w:val="bullet"/>
      <w:lvlText w:val=""/>
      <w:lvlJc w:val="left"/>
      <w:pPr>
        <w:ind w:left="2880" w:hanging="360"/>
      </w:pPr>
      <w:rPr>
        <w:rFonts w:ascii="Symbol" w:hAnsi="Symbol" w:hint="default"/>
      </w:rPr>
    </w:lvl>
    <w:lvl w:ilvl="4" w:tplc="2F6EFFDE" w:tentative="1">
      <w:start w:val="1"/>
      <w:numFmt w:val="bullet"/>
      <w:lvlText w:val="o"/>
      <w:lvlJc w:val="left"/>
      <w:pPr>
        <w:ind w:left="3600" w:hanging="360"/>
      </w:pPr>
      <w:rPr>
        <w:rFonts w:ascii="Courier New" w:hAnsi="Courier New" w:hint="default"/>
      </w:rPr>
    </w:lvl>
    <w:lvl w:ilvl="5" w:tplc="6D0E4902" w:tentative="1">
      <w:start w:val="1"/>
      <w:numFmt w:val="bullet"/>
      <w:lvlText w:val=""/>
      <w:lvlJc w:val="left"/>
      <w:pPr>
        <w:ind w:left="4320" w:hanging="360"/>
      </w:pPr>
      <w:rPr>
        <w:rFonts w:ascii="Wingdings" w:hAnsi="Wingdings" w:hint="default"/>
      </w:rPr>
    </w:lvl>
    <w:lvl w:ilvl="6" w:tplc="2CCC128E" w:tentative="1">
      <w:start w:val="1"/>
      <w:numFmt w:val="bullet"/>
      <w:lvlText w:val=""/>
      <w:lvlJc w:val="left"/>
      <w:pPr>
        <w:ind w:left="5040" w:hanging="360"/>
      </w:pPr>
      <w:rPr>
        <w:rFonts w:ascii="Symbol" w:hAnsi="Symbol" w:hint="default"/>
      </w:rPr>
    </w:lvl>
    <w:lvl w:ilvl="7" w:tplc="3314EAD4" w:tentative="1">
      <w:start w:val="1"/>
      <w:numFmt w:val="bullet"/>
      <w:lvlText w:val="o"/>
      <w:lvlJc w:val="left"/>
      <w:pPr>
        <w:ind w:left="5760" w:hanging="360"/>
      </w:pPr>
      <w:rPr>
        <w:rFonts w:ascii="Courier New" w:hAnsi="Courier New" w:hint="default"/>
      </w:rPr>
    </w:lvl>
    <w:lvl w:ilvl="8" w:tplc="5E22BC46" w:tentative="1">
      <w:start w:val="1"/>
      <w:numFmt w:val="bullet"/>
      <w:lvlText w:val=""/>
      <w:lvlJc w:val="left"/>
      <w:pPr>
        <w:ind w:left="6480" w:hanging="360"/>
      </w:pPr>
      <w:rPr>
        <w:rFonts w:ascii="Wingdings" w:hAnsi="Wingdings" w:hint="default"/>
      </w:rPr>
    </w:lvl>
  </w:abstractNum>
  <w:abstractNum w:abstractNumId="515" w15:restartNumberingAfterBreak="0">
    <w:nsid w:val="46E175E6"/>
    <w:multiLevelType w:val="multilevel"/>
    <w:tmpl w:val="75BE83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47374EF5"/>
    <w:multiLevelType w:val="multilevel"/>
    <w:tmpl w:val="8026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47664BB2"/>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476C3F8E"/>
    <w:multiLevelType w:val="multilevel"/>
    <w:tmpl w:val="DC46F94E"/>
    <w:lvl w:ilvl="0">
      <w:start w:val="3"/>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519" w15:restartNumberingAfterBreak="0">
    <w:nsid w:val="47A84164"/>
    <w:multiLevelType w:val="multilevel"/>
    <w:tmpl w:val="BBB2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481C22CD"/>
    <w:multiLevelType w:val="multilevel"/>
    <w:tmpl w:val="920EA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48494B30"/>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2" w15:restartNumberingAfterBreak="0">
    <w:nsid w:val="4867541E"/>
    <w:multiLevelType w:val="multilevel"/>
    <w:tmpl w:val="93F8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48693262"/>
    <w:multiLevelType w:val="multilevel"/>
    <w:tmpl w:val="299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48FF1C42"/>
    <w:multiLevelType w:val="multilevel"/>
    <w:tmpl w:val="A41E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491204D8"/>
    <w:multiLevelType w:val="multilevel"/>
    <w:tmpl w:val="02E0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491D24A7"/>
    <w:multiLevelType w:val="multilevel"/>
    <w:tmpl w:val="CCF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498F3CF1"/>
    <w:multiLevelType w:val="multilevel"/>
    <w:tmpl w:val="58FE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49AF7A54"/>
    <w:multiLevelType w:val="multilevel"/>
    <w:tmpl w:val="5E848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49F90C45"/>
    <w:multiLevelType w:val="hybridMultilevel"/>
    <w:tmpl w:val="745C4710"/>
    <w:lvl w:ilvl="0" w:tplc="ED52164C">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D712778E" w:tentative="1">
      <w:start w:val="1"/>
      <w:numFmt w:val="bullet"/>
      <w:lvlText w:val="o"/>
      <w:lvlJc w:val="left"/>
      <w:pPr>
        <w:ind w:left="1440" w:hanging="360"/>
      </w:pPr>
      <w:rPr>
        <w:rFonts w:ascii="Courier New" w:hAnsi="Courier New" w:hint="default"/>
      </w:rPr>
    </w:lvl>
    <w:lvl w:ilvl="2" w:tplc="ED1A7EB6" w:tentative="1">
      <w:start w:val="1"/>
      <w:numFmt w:val="bullet"/>
      <w:lvlText w:val=""/>
      <w:lvlJc w:val="left"/>
      <w:pPr>
        <w:ind w:left="2160" w:hanging="360"/>
      </w:pPr>
      <w:rPr>
        <w:rFonts w:ascii="Wingdings" w:hAnsi="Wingdings" w:hint="default"/>
      </w:rPr>
    </w:lvl>
    <w:lvl w:ilvl="3" w:tplc="A17CA5E0" w:tentative="1">
      <w:start w:val="1"/>
      <w:numFmt w:val="bullet"/>
      <w:lvlText w:val=""/>
      <w:lvlJc w:val="left"/>
      <w:pPr>
        <w:ind w:left="2880" w:hanging="360"/>
      </w:pPr>
      <w:rPr>
        <w:rFonts w:ascii="Symbol" w:hAnsi="Symbol" w:hint="default"/>
      </w:rPr>
    </w:lvl>
    <w:lvl w:ilvl="4" w:tplc="15E0AB4A" w:tentative="1">
      <w:start w:val="1"/>
      <w:numFmt w:val="bullet"/>
      <w:lvlText w:val="o"/>
      <w:lvlJc w:val="left"/>
      <w:pPr>
        <w:ind w:left="3600" w:hanging="360"/>
      </w:pPr>
      <w:rPr>
        <w:rFonts w:ascii="Courier New" w:hAnsi="Courier New" w:hint="default"/>
      </w:rPr>
    </w:lvl>
    <w:lvl w:ilvl="5" w:tplc="BF48A874" w:tentative="1">
      <w:start w:val="1"/>
      <w:numFmt w:val="bullet"/>
      <w:lvlText w:val=""/>
      <w:lvlJc w:val="left"/>
      <w:pPr>
        <w:ind w:left="4320" w:hanging="360"/>
      </w:pPr>
      <w:rPr>
        <w:rFonts w:ascii="Wingdings" w:hAnsi="Wingdings" w:hint="default"/>
      </w:rPr>
    </w:lvl>
    <w:lvl w:ilvl="6" w:tplc="12DE2C8C" w:tentative="1">
      <w:start w:val="1"/>
      <w:numFmt w:val="bullet"/>
      <w:lvlText w:val=""/>
      <w:lvlJc w:val="left"/>
      <w:pPr>
        <w:ind w:left="5040" w:hanging="360"/>
      </w:pPr>
      <w:rPr>
        <w:rFonts w:ascii="Symbol" w:hAnsi="Symbol" w:hint="default"/>
      </w:rPr>
    </w:lvl>
    <w:lvl w:ilvl="7" w:tplc="5FEC4680" w:tentative="1">
      <w:start w:val="1"/>
      <w:numFmt w:val="bullet"/>
      <w:lvlText w:val="o"/>
      <w:lvlJc w:val="left"/>
      <w:pPr>
        <w:ind w:left="5760" w:hanging="360"/>
      </w:pPr>
      <w:rPr>
        <w:rFonts w:ascii="Courier New" w:hAnsi="Courier New" w:hint="default"/>
      </w:rPr>
    </w:lvl>
    <w:lvl w:ilvl="8" w:tplc="EF38F744" w:tentative="1">
      <w:start w:val="1"/>
      <w:numFmt w:val="bullet"/>
      <w:lvlText w:val=""/>
      <w:lvlJc w:val="left"/>
      <w:pPr>
        <w:ind w:left="6480" w:hanging="360"/>
      </w:pPr>
      <w:rPr>
        <w:rFonts w:ascii="Wingdings" w:hAnsi="Wingdings" w:hint="default"/>
      </w:rPr>
    </w:lvl>
  </w:abstractNum>
  <w:abstractNum w:abstractNumId="530" w15:restartNumberingAfterBreak="0">
    <w:nsid w:val="4A1B2A8D"/>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4A236320"/>
    <w:multiLevelType w:val="multilevel"/>
    <w:tmpl w:val="27B6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4A322C42"/>
    <w:multiLevelType w:val="hybridMultilevel"/>
    <w:tmpl w:val="39409D96"/>
    <w:lvl w:ilvl="0" w:tplc="BD1A1FD4">
      <w:numFmt w:val="bullet"/>
      <w:lvlText w:val="•"/>
      <w:lvlJc w:val="left"/>
      <w:pPr>
        <w:ind w:left="360" w:hanging="360"/>
      </w:pPr>
      <w:rPr>
        <w:rFonts w:ascii="Aptos" w:hAnsi="Aptos" w:hint="default"/>
      </w:rPr>
    </w:lvl>
    <w:lvl w:ilvl="1" w:tplc="8592C634" w:tentative="1">
      <w:start w:val="1"/>
      <w:numFmt w:val="bullet"/>
      <w:lvlText w:val="o"/>
      <w:lvlJc w:val="left"/>
      <w:pPr>
        <w:ind w:left="1440" w:hanging="360"/>
      </w:pPr>
      <w:rPr>
        <w:rFonts w:ascii="Courier New" w:hAnsi="Courier New" w:hint="default"/>
      </w:rPr>
    </w:lvl>
    <w:lvl w:ilvl="2" w:tplc="35789C68" w:tentative="1">
      <w:start w:val="1"/>
      <w:numFmt w:val="bullet"/>
      <w:lvlText w:val=""/>
      <w:lvlJc w:val="left"/>
      <w:pPr>
        <w:ind w:left="2160" w:hanging="360"/>
      </w:pPr>
      <w:rPr>
        <w:rFonts w:ascii="Wingdings" w:hAnsi="Wingdings" w:hint="default"/>
      </w:rPr>
    </w:lvl>
    <w:lvl w:ilvl="3" w:tplc="F24CD1F6" w:tentative="1">
      <w:start w:val="1"/>
      <w:numFmt w:val="bullet"/>
      <w:lvlText w:val=""/>
      <w:lvlJc w:val="left"/>
      <w:pPr>
        <w:ind w:left="2880" w:hanging="360"/>
      </w:pPr>
      <w:rPr>
        <w:rFonts w:ascii="Symbol" w:hAnsi="Symbol" w:hint="default"/>
      </w:rPr>
    </w:lvl>
    <w:lvl w:ilvl="4" w:tplc="55621DB0" w:tentative="1">
      <w:start w:val="1"/>
      <w:numFmt w:val="bullet"/>
      <w:lvlText w:val="o"/>
      <w:lvlJc w:val="left"/>
      <w:pPr>
        <w:ind w:left="3600" w:hanging="360"/>
      </w:pPr>
      <w:rPr>
        <w:rFonts w:ascii="Courier New" w:hAnsi="Courier New" w:hint="default"/>
      </w:rPr>
    </w:lvl>
    <w:lvl w:ilvl="5" w:tplc="370C478E" w:tentative="1">
      <w:start w:val="1"/>
      <w:numFmt w:val="bullet"/>
      <w:lvlText w:val=""/>
      <w:lvlJc w:val="left"/>
      <w:pPr>
        <w:ind w:left="4320" w:hanging="360"/>
      </w:pPr>
      <w:rPr>
        <w:rFonts w:ascii="Wingdings" w:hAnsi="Wingdings" w:hint="default"/>
      </w:rPr>
    </w:lvl>
    <w:lvl w:ilvl="6" w:tplc="A5B224C6" w:tentative="1">
      <w:start w:val="1"/>
      <w:numFmt w:val="bullet"/>
      <w:lvlText w:val=""/>
      <w:lvlJc w:val="left"/>
      <w:pPr>
        <w:ind w:left="5040" w:hanging="360"/>
      </w:pPr>
      <w:rPr>
        <w:rFonts w:ascii="Symbol" w:hAnsi="Symbol" w:hint="default"/>
      </w:rPr>
    </w:lvl>
    <w:lvl w:ilvl="7" w:tplc="34A645E0" w:tentative="1">
      <w:start w:val="1"/>
      <w:numFmt w:val="bullet"/>
      <w:lvlText w:val="o"/>
      <w:lvlJc w:val="left"/>
      <w:pPr>
        <w:ind w:left="5760" w:hanging="360"/>
      </w:pPr>
      <w:rPr>
        <w:rFonts w:ascii="Courier New" w:hAnsi="Courier New" w:hint="default"/>
      </w:rPr>
    </w:lvl>
    <w:lvl w:ilvl="8" w:tplc="16D2D07E" w:tentative="1">
      <w:start w:val="1"/>
      <w:numFmt w:val="bullet"/>
      <w:lvlText w:val=""/>
      <w:lvlJc w:val="left"/>
      <w:pPr>
        <w:ind w:left="6480" w:hanging="360"/>
      </w:pPr>
      <w:rPr>
        <w:rFonts w:ascii="Wingdings" w:hAnsi="Wingdings" w:hint="default"/>
      </w:rPr>
    </w:lvl>
  </w:abstractNum>
  <w:abstractNum w:abstractNumId="533" w15:restartNumberingAfterBreak="0">
    <w:nsid w:val="4A375201"/>
    <w:multiLevelType w:val="multilevel"/>
    <w:tmpl w:val="8E7E0B46"/>
    <w:lvl w:ilvl="0">
      <w:start w:val="2"/>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534" w15:restartNumberingAfterBreak="0">
    <w:nsid w:val="4A3F1658"/>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4A4F0DC5"/>
    <w:multiLevelType w:val="hybridMultilevel"/>
    <w:tmpl w:val="030EB1A8"/>
    <w:lvl w:ilvl="0" w:tplc="958E0690">
      <w:start w:val="1"/>
      <w:numFmt w:val="bullet"/>
      <w:lvlText w:val=""/>
      <w:lvlJc w:val="left"/>
      <w:pPr>
        <w:ind w:left="720" w:hanging="360"/>
      </w:pPr>
      <w:rPr>
        <w:rFonts w:ascii="Symbol" w:hAnsi="Symbol" w:hint="default"/>
      </w:rPr>
    </w:lvl>
    <w:lvl w:ilvl="1" w:tplc="20EEC31E" w:tentative="1">
      <w:start w:val="1"/>
      <w:numFmt w:val="bullet"/>
      <w:lvlText w:val="o"/>
      <w:lvlJc w:val="left"/>
      <w:pPr>
        <w:ind w:left="1440" w:hanging="360"/>
      </w:pPr>
      <w:rPr>
        <w:rFonts w:ascii="Courier New" w:hAnsi="Courier New" w:hint="default"/>
      </w:rPr>
    </w:lvl>
    <w:lvl w:ilvl="2" w:tplc="10A283CC" w:tentative="1">
      <w:start w:val="1"/>
      <w:numFmt w:val="bullet"/>
      <w:lvlText w:val=""/>
      <w:lvlJc w:val="left"/>
      <w:pPr>
        <w:ind w:left="2160" w:hanging="360"/>
      </w:pPr>
      <w:rPr>
        <w:rFonts w:ascii="Wingdings" w:hAnsi="Wingdings" w:hint="default"/>
      </w:rPr>
    </w:lvl>
    <w:lvl w:ilvl="3" w:tplc="B7F0E230" w:tentative="1">
      <w:start w:val="1"/>
      <w:numFmt w:val="bullet"/>
      <w:lvlText w:val=""/>
      <w:lvlJc w:val="left"/>
      <w:pPr>
        <w:ind w:left="2880" w:hanging="360"/>
      </w:pPr>
      <w:rPr>
        <w:rFonts w:ascii="Symbol" w:hAnsi="Symbol" w:hint="default"/>
      </w:rPr>
    </w:lvl>
    <w:lvl w:ilvl="4" w:tplc="C9008A0A" w:tentative="1">
      <w:start w:val="1"/>
      <w:numFmt w:val="bullet"/>
      <w:lvlText w:val="o"/>
      <w:lvlJc w:val="left"/>
      <w:pPr>
        <w:ind w:left="3600" w:hanging="360"/>
      </w:pPr>
      <w:rPr>
        <w:rFonts w:ascii="Courier New" w:hAnsi="Courier New" w:hint="default"/>
      </w:rPr>
    </w:lvl>
    <w:lvl w:ilvl="5" w:tplc="0A3AD770" w:tentative="1">
      <w:start w:val="1"/>
      <w:numFmt w:val="bullet"/>
      <w:lvlText w:val=""/>
      <w:lvlJc w:val="left"/>
      <w:pPr>
        <w:ind w:left="4320" w:hanging="360"/>
      </w:pPr>
      <w:rPr>
        <w:rFonts w:ascii="Wingdings" w:hAnsi="Wingdings" w:hint="default"/>
      </w:rPr>
    </w:lvl>
    <w:lvl w:ilvl="6" w:tplc="82D819A2" w:tentative="1">
      <w:start w:val="1"/>
      <w:numFmt w:val="bullet"/>
      <w:lvlText w:val=""/>
      <w:lvlJc w:val="left"/>
      <w:pPr>
        <w:ind w:left="5040" w:hanging="360"/>
      </w:pPr>
      <w:rPr>
        <w:rFonts w:ascii="Symbol" w:hAnsi="Symbol" w:hint="default"/>
      </w:rPr>
    </w:lvl>
    <w:lvl w:ilvl="7" w:tplc="D268799A" w:tentative="1">
      <w:start w:val="1"/>
      <w:numFmt w:val="bullet"/>
      <w:lvlText w:val="o"/>
      <w:lvlJc w:val="left"/>
      <w:pPr>
        <w:ind w:left="5760" w:hanging="360"/>
      </w:pPr>
      <w:rPr>
        <w:rFonts w:ascii="Courier New" w:hAnsi="Courier New" w:hint="default"/>
      </w:rPr>
    </w:lvl>
    <w:lvl w:ilvl="8" w:tplc="8E4EEDA2" w:tentative="1">
      <w:start w:val="1"/>
      <w:numFmt w:val="bullet"/>
      <w:lvlText w:val=""/>
      <w:lvlJc w:val="left"/>
      <w:pPr>
        <w:ind w:left="6480" w:hanging="360"/>
      </w:pPr>
      <w:rPr>
        <w:rFonts w:ascii="Wingdings" w:hAnsi="Wingdings" w:hint="default"/>
      </w:rPr>
    </w:lvl>
  </w:abstractNum>
  <w:abstractNum w:abstractNumId="536" w15:restartNumberingAfterBreak="0">
    <w:nsid w:val="4A561783"/>
    <w:multiLevelType w:val="multilevel"/>
    <w:tmpl w:val="6CD0C8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7" w15:restartNumberingAfterBreak="0">
    <w:nsid w:val="4A770710"/>
    <w:multiLevelType w:val="hybridMultilevel"/>
    <w:tmpl w:val="F2288656"/>
    <w:lvl w:ilvl="0" w:tplc="093461AC">
      <w:start w:val="1"/>
      <w:numFmt w:val="bullet"/>
      <w:lvlText w:val=""/>
      <w:lvlJc w:val="left"/>
      <w:pPr>
        <w:ind w:left="720" w:hanging="360"/>
      </w:pPr>
      <w:rPr>
        <w:rFonts w:ascii="Symbol" w:hAnsi="Symbol" w:hint="default"/>
      </w:rPr>
    </w:lvl>
    <w:lvl w:ilvl="1" w:tplc="8396A73C" w:tentative="1">
      <w:start w:val="1"/>
      <w:numFmt w:val="bullet"/>
      <w:lvlText w:val="o"/>
      <w:lvlJc w:val="left"/>
      <w:pPr>
        <w:ind w:left="1440" w:hanging="360"/>
      </w:pPr>
      <w:rPr>
        <w:rFonts w:ascii="Courier New" w:hAnsi="Courier New" w:hint="default"/>
      </w:rPr>
    </w:lvl>
    <w:lvl w:ilvl="2" w:tplc="2872FF84" w:tentative="1">
      <w:start w:val="1"/>
      <w:numFmt w:val="bullet"/>
      <w:lvlText w:val=""/>
      <w:lvlJc w:val="left"/>
      <w:pPr>
        <w:ind w:left="2160" w:hanging="360"/>
      </w:pPr>
      <w:rPr>
        <w:rFonts w:ascii="Wingdings" w:hAnsi="Wingdings" w:hint="default"/>
      </w:rPr>
    </w:lvl>
    <w:lvl w:ilvl="3" w:tplc="38CE8B20" w:tentative="1">
      <w:start w:val="1"/>
      <w:numFmt w:val="bullet"/>
      <w:lvlText w:val=""/>
      <w:lvlJc w:val="left"/>
      <w:pPr>
        <w:ind w:left="2880" w:hanging="360"/>
      </w:pPr>
      <w:rPr>
        <w:rFonts w:ascii="Symbol" w:hAnsi="Symbol" w:hint="default"/>
      </w:rPr>
    </w:lvl>
    <w:lvl w:ilvl="4" w:tplc="C01C96D2" w:tentative="1">
      <w:start w:val="1"/>
      <w:numFmt w:val="bullet"/>
      <w:lvlText w:val="o"/>
      <w:lvlJc w:val="left"/>
      <w:pPr>
        <w:ind w:left="3600" w:hanging="360"/>
      </w:pPr>
      <w:rPr>
        <w:rFonts w:ascii="Courier New" w:hAnsi="Courier New" w:hint="default"/>
      </w:rPr>
    </w:lvl>
    <w:lvl w:ilvl="5" w:tplc="8C5C1E48" w:tentative="1">
      <w:start w:val="1"/>
      <w:numFmt w:val="bullet"/>
      <w:lvlText w:val=""/>
      <w:lvlJc w:val="left"/>
      <w:pPr>
        <w:ind w:left="4320" w:hanging="360"/>
      </w:pPr>
      <w:rPr>
        <w:rFonts w:ascii="Wingdings" w:hAnsi="Wingdings" w:hint="default"/>
      </w:rPr>
    </w:lvl>
    <w:lvl w:ilvl="6" w:tplc="2834AF4C" w:tentative="1">
      <w:start w:val="1"/>
      <w:numFmt w:val="bullet"/>
      <w:lvlText w:val=""/>
      <w:lvlJc w:val="left"/>
      <w:pPr>
        <w:ind w:left="5040" w:hanging="360"/>
      </w:pPr>
      <w:rPr>
        <w:rFonts w:ascii="Symbol" w:hAnsi="Symbol" w:hint="default"/>
      </w:rPr>
    </w:lvl>
    <w:lvl w:ilvl="7" w:tplc="8C9471D2" w:tentative="1">
      <w:start w:val="1"/>
      <w:numFmt w:val="bullet"/>
      <w:lvlText w:val="o"/>
      <w:lvlJc w:val="left"/>
      <w:pPr>
        <w:ind w:left="5760" w:hanging="360"/>
      </w:pPr>
      <w:rPr>
        <w:rFonts w:ascii="Courier New" w:hAnsi="Courier New" w:hint="default"/>
      </w:rPr>
    </w:lvl>
    <w:lvl w:ilvl="8" w:tplc="15920A3C" w:tentative="1">
      <w:start w:val="1"/>
      <w:numFmt w:val="bullet"/>
      <w:lvlText w:val=""/>
      <w:lvlJc w:val="left"/>
      <w:pPr>
        <w:ind w:left="6480" w:hanging="360"/>
      </w:pPr>
      <w:rPr>
        <w:rFonts w:ascii="Wingdings" w:hAnsi="Wingdings" w:hint="default"/>
      </w:rPr>
    </w:lvl>
  </w:abstractNum>
  <w:abstractNum w:abstractNumId="538" w15:restartNumberingAfterBreak="0">
    <w:nsid w:val="4ADC2776"/>
    <w:multiLevelType w:val="hybridMultilevel"/>
    <w:tmpl w:val="7E08590C"/>
    <w:lvl w:ilvl="0" w:tplc="5BDC7BF6">
      <w:start w:val="1"/>
      <w:numFmt w:val="bullet"/>
      <w:lvlText w:val=""/>
      <w:lvlJc w:val="left"/>
      <w:pPr>
        <w:ind w:left="720" w:hanging="360"/>
      </w:pPr>
      <w:rPr>
        <w:rFonts w:ascii="Symbol" w:hAnsi="Symbol" w:hint="default"/>
      </w:rPr>
    </w:lvl>
    <w:lvl w:ilvl="1" w:tplc="26E6A0E2" w:tentative="1">
      <w:start w:val="1"/>
      <w:numFmt w:val="bullet"/>
      <w:lvlText w:val="o"/>
      <w:lvlJc w:val="left"/>
      <w:pPr>
        <w:ind w:left="1440" w:hanging="360"/>
      </w:pPr>
      <w:rPr>
        <w:rFonts w:ascii="Courier New" w:hAnsi="Courier New" w:hint="default"/>
      </w:rPr>
    </w:lvl>
    <w:lvl w:ilvl="2" w:tplc="A5C87B0E" w:tentative="1">
      <w:start w:val="1"/>
      <w:numFmt w:val="bullet"/>
      <w:lvlText w:val=""/>
      <w:lvlJc w:val="left"/>
      <w:pPr>
        <w:ind w:left="2160" w:hanging="360"/>
      </w:pPr>
      <w:rPr>
        <w:rFonts w:ascii="Wingdings" w:hAnsi="Wingdings" w:hint="default"/>
      </w:rPr>
    </w:lvl>
    <w:lvl w:ilvl="3" w:tplc="577EF5D0" w:tentative="1">
      <w:start w:val="1"/>
      <w:numFmt w:val="bullet"/>
      <w:lvlText w:val=""/>
      <w:lvlJc w:val="left"/>
      <w:pPr>
        <w:ind w:left="2880" w:hanging="360"/>
      </w:pPr>
      <w:rPr>
        <w:rFonts w:ascii="Symbol" w:hAnsi="Symbol" w:hint="default"/>
      </w:rPr>
    </w:lvl>
    <w:lvl w:ilvl="4" w:tplc="B950CEA2" w:tentative="1">
      <w:start w:val="1"/>
      <w:numFmt w:val="bullet"/>
      <w:lvlText w:val="o"/>
      <w:lvlJc w:val="left"/>
      <w:pPr>
        <w:ind w:left="3600" w:hanging="360"/>
      </w:pPr>
      <w:rPr>
        <w:rFonts w:ascii="Courier New" w:hAnsi="Courier New" w:hint="default"/>
      </w:rPr>
    </w:lvl>
    <w:lvl w:ilvl="5" w:tplc="99782FF2" w:tentative="1">
      <w:start w:val="1"/>
      <w:numFmt w:val="bullet"/>
      <w:lvlText w:val=""/>
      <w:lvlJc w:val="left"/>
      <w:pPr>
        <w:ind w:left="4320" w:hanging="360"/>
      </w:pPr>
      <w:rPr>
        <w:rFonts w:ascii="Wingdings" w:hAnsi="Wingdings" w:hint="default"/>
      </w:rPr>
    </w:lvl>
    <w:lvl w:ilvl="6" w:tplc="B62A0542" w:tentative="1">
      <w:start w:val="1"/>
      <w:numFmt w:val="bullet"/>
      <w:lvlText w:val=""/>
      <w:lvlJc w:val="left"/>
      <w:pPr>
        <w:ind w:left="5040" w:hanging="360"/>
      </w:pPr>
      <w:rPr>
        <w:rFonts w:ascii="Symbol" w:hAnsi="Symbol" w:hint="default"/>
      </w:rPr>
    </w:lvl>
    <w:lvl w:ilvl="7" w:tplc="0818F46E" w:tentative="1">
      <w:start w:val="1"/>
      <w:numFmt w:val="bullet"/>
      <w:lvlText w:val="o"/>
      <w:lvlJc w:val="left"/>
      <w:pPr>
        <w:ind w:left="5760" w:hanging="360"/>
      </w:pPr>
      <w:rPr>
        <w:rFonts w:ascii="Courier New" w:hAnsi="Courier New" w:hint="default"/>
      </w:rPr>
    </w:lvl>
    <w:lvl w:ilvl="8" w:tplc="C9881B8E" w:tentative="1">
      <w:start w:val="1"/>
      <w:numFmt w:val="bullet"/>
      <w:lvlText w:val=""/>
      <w:lvlJc w:val="left"/>
      <w:pPr>
        <w:ind w:left="6480" w:hanging="360"/>
      </w:pPr>
      <w:rPr>
        <w:rFonts w:ascii="Wingdings" w:hAnsi="Wingdings" w:hint="default"/>
      </w:rPr>
    </w:lvl>
  </w:abstractNum>
  <w:abstractNum w:abstractNumId="539" w15:restartNumberingAfterBreak="0">
    <w:nsid w:val="4AE868DE"/>
    <w:multiLevelType w:val="multilevel"/>
    <w:tmpl w:val="9C24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4AED30D5"/>
    <w:multiLevelType w:val="hybridMultilevel"/>
    <w:tmpl w:val="D4AC45D4"/>
    <w:lvl w:ilvl="0" w:tplc="826A79D4">
      <w:start w:val="1"/>
      <w:numFmt w:val="upperRoman"/>
      <w:lvlText w:val="%1."/>
      <w:lvlJc w:val="right"/>
      <w:pPr>
        <w:ind w:left="360" w:hanging="360"/>
      </w:pPr>
    </w:lvl>
    <w:lvl w:ilvl="1" w:tplc="48925C06">
      <w:start w:val="1"/>
      <w:numFmt w:val="lowerLetter"/>
      <w:lvlText w:val="%2."/>
      <w:lvlJc w:val="left"/>
      <w:pPr>
        <w:ind w:left="1080" w:hanging="360"/>
      </w:pPr>
    </w:lvl>
    <w:lvl w:ilvl="2" w:tplc="DE202860">
      <w:start w:val="1"/>
      <w:numFmt w:val="lowerRoman"/>
      <w:lvlText w:val="%3."/>
      <w:lvlJc w:val="right"/>
      <w:pPr>
        <w:ind w:left="1800" w:hanging="180"/>
      </w:pPr>
    </w:lvl>
    <w:lvl w:ilvl="3" w:tplc="75EC3A3A">
      <w:start w:val="1"/>
      <w:numFmt w:val="decimal"/>
      <w:lvlText w:val="%4."/>
      <w:lvlJc w:val="left"/>
      <w:pPr>
        <w:ind w:left="2520" w:hanging="360"/>
      </w:pPr>
    </w:lvl>
    <w:lvl w:ilvl="4" w:tplc="0E3EB554">
      <w:start w:val="1"/>
      <w:numFmt w:val="lowerLetter"/>
      <w:lvlText w:val="%5."/>
      <w:lvlJc w:val="left"/>
      <w:pPr>
        <w:ind w:left="3240" w:hanging="360"/>
      </w:pPr>
    </w:lvl>
    <w:lvl w:ilvl="5" w:tplc="D3A2971C">
      <w:start w:val="1"/>
      <w:numFmt w:val="lowerRoman"/>
      <w:lvlText w:val="%6."/>
      <w:lvlJc w:val="right"/>
      <w:pPr>
        <w:ind w:left="3960" w:hanging="180"/>
      </w:pPr>
    </w:lvl>
    <w:lvl w:ilvl="6" w:tplc="AED835BE">
      <w:start w:val="1"/>
      <w:numFmt w:val="decimal"/>
      <w:lvlText w:val="%7."/>
      <w:lvlJc w:val="left"/>
      <w:pPr>
        <w:ind w:left="4680" w:hanging="360"/>
      </w:pPr>
    </w:lvl>
    <w:lvl w:ilvl="7" w:tplc="145EC762">
      <w:start w:val="1"/>
      <w:numFmt w:val="lowerLetter"/>
      <w:lvlText w:val="%8."/>
      <w:lvlJc w:val="left"/>
      <w:pPr>
        <w:ind w:left="5400" w:hanging="360"/>
      </w:pPr>
    </w:lvl>
    <w:lvl w:ilvl="8" w:tplc="B570183C">
      <w:start w:val="1"/>
      <w:numFmt w:val="lowerRoman"/>
      <w:lvlText w:val="%9."/>
      <w:lvlJc w:val="right"/>
      <w:pPr>
        <w:ind w:left="6120" w:hanging="180"/>
      </w:pPr>
    </w:lvl>
  </w:abstractNum>
  <w:abstractNum w:abstractNumId="541" w15:restartNumberingAfterBreak="0">
    <w:nsid w:val="4B165CFC"/>
    <w:multiLevelType w:val="multilevel"/>
    <w:tmpl w:val="F6E4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4B2E55D8"/>
    <w:multiLevelType w:val="multilevel"/>
    <w:tmpl w:val="09185264"/>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43" w15:restartNumberingAfterBreak="0">
    <w:nsid w:val="4B3A3021"/>
    <w:multiLevelType w:val="multilevel"/>
    <w:tmpl w:val="3C30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4B541F5C"/>
    <w:multiLevelType w:val="multilevel"/>
    <w:tmpl w:val="79D66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4BA37751"/>
    <w:multiLevelType w:val="multilevel"/>
    <w:tmpl w:val="415C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4BAE2347"/>
    <w:multiLevelType w:val="multilevel"/>
    <w:tmpl w:val="0C1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4BB770F5"/>
    <w:multiLevelType w:val="multilevel"/>
    <w:tmpl w:val="4D123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4BED044E"/>
    <w:multiLevelType w:val="multilevel"/>
    <w:tmpl w:val="9BB8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4BF36C02"/>
    <w:multiLevelType w:val="multilevel"/>
    <w:tmpl w:val="47D674B8"/>
    <w:lvl w:ilvl="0">
      <w:start w:val="1"/>
      <w:numFmt w:val="upperLetter"/>
      <w:lvlText w:val="%1."/>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upperLetter"/>
      <w:lvlText w:val="%3."/>
      <w:lvlJc w:val="left"/>
      <w:pPr>
        <w:ind w:left="1800" w:hanging="360"/>
      </w:p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550" w15:restartNumberingAfterBreak="0">
    <w:nsid w:val="4C04749D"/>
    <w:multiLevelType w:val="multilevel"/>
    <w:tmpl w:val="0C78975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51" w15:restartNumberingAfterBreak="0">
    <w:nsid w:val="4C325E55"/>
    <w:multiLevelType w:val="multilevel"/>
    <w:tmpl w:val="7A964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4C5775AB"/>
    <w:multiLevelType w:val="multilevel"/>
    <w:tmpl w:val="FAF8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4C6865E0"/>
    <w:multiLevelType w:val="multilevel"/>
    <w:tmpl w:val="3284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4C7A30E8"/>
    <w:multiLevelType w:val="multilevel"/>
    <w:tmpl w:val="322C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4C993F71"/>
    <w:multiLevelType w:val="hybridMultilevel"/>
    <w:tmpl w:val="032C067C"/>
    <w:lvl w:ilvl="0" w:tplc="625A894C">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C540D70C" w:tentative="1">
      <w:start w:val="1"/>
      <w:numFmt w:val="bullet"/>
      <w:lvlText w:val="o"/>
      <w:lvlJc w:val="left"/>
      <w:pPr>
        <w:ind w:left="1440" w:hanging="360"/>
      </w:pPr>
      <w:rPr>
        <w:rFonts w:ascii="Courier New" w:hAnsi="Courier New" w:hint="default"/>
      </w:rPr>
    </w:lvl>
    <w:lvl w:ilvl="2" w:tplc="A094C7E2" w:tentative="1">
      <w:start w:val="1"/>
      <w:numFmt w:val="bullet"/>
      <w:lvlText w:val=""/>
      <w:lvlJc w:val="left"/>
      <w:pPr>
        <w:ind w:left="2160" w:hanging="360"/>
      </w:pPr>
      <w:rPr>
        <w:rFonts w:ascii="Wingdings" w:hAnsi="Wingdings" w:hint="default"/>
      </w:rPr>
    </w:lvl>
    <w:lvl w:ilvl="3" w:tplc="A85C63BA" w:tentative="1">
      <w:start w:val="1"/>
      <w:numFmt w:val="bullet"/>
      <w:lvlText w:val=""/>
      <w:lvlJc w:val="left"/>
      <w:pPr>
        <w:ind w:left="2880" w:hanging="360"/>
      </w:pPr>
      <w:rPr>
        <w:rFonts w:ascii="Symbol" w:hAnsi="Symbol" w:hint="default"/>
      </w:rPr>
    </w:lvl>
    <w:lvl w:ilvl="4" w:tplc="41E09BA6" w:tentative="1">
      <w:start w:val="1"/>
      <w:numFmt w:val="bullet"/>
      <w:lvlText w:val="o"/>
      <w:lvlJc w:val="left"/>
      <w:pPr>
        <w:ind w:left="3600" w:hanging="360"/>
      </w:pPr>
      <w:rPr>
        <w:rFonts w:ascii="Courier New" w:hAnsi="Courier New" w:hint="default"/>
      </w:rPr>
    </w:lvl>
    <w:lvl w:ilvl="5" w:tplc="D610C172" w:tentative="1">
      <w:start w:val="1"/>
      <w:numFmt w:val="bullet"/>
      <w:lvlText w:val=""/>
      <w:lvlJc w:val="left"/>
      <w:pPr>
        <w:ind w:left="4320" w:hanging="360"/>
      </w:pPr>
      <w:rPr>
        <w:rFonts w:ascii="Wingdings" w:hAnsi="Wingdings" w:hint="default"/>
      </w:rPr>
    </w:lvl>
    <w:lvl w:ilvl="6" w:tplc="CCBAA25A" w:tentative="1">
      <w:start w:val="1"/>
      <w:numFmt w:val="bullet"/>
      <w:lvlText w:val=""/>
      <w:lvlJc w:val="left"/>
      <w:pPr>
        <w:ind w:left="5040" w:hanging="360"/>
      </w:pPr>
      <w:rPr>
        <w:rFonts w:ascii="Symbol" w:hAnsi="Symbol" w:hint="default"/>
      </w:rPr>
    </w:lvl>
    <w:lvl w:ilvl="7" w:tplc="EB9EBB46" w:tentative="1">
      <w:start w:val="1"/>
      <w:numFmt w:val="bullet"/>
      <w:lvlText w:val="o"/>
      <w:lvlJc w:val="left"/>
      <w:pPr>
        <w:ind w:left="5760" w:hanging="360"/>
      </w:pPr>
      <w:rPr>
        <w:rFonts w:ascii="Courier New" w:hAnsi="Courier New" w:hint="default"/>
      </w:rPr>
    </w:lvl>
    <w:lvl w:ilvl="8" w:tplc="DB5CDEE8" w:tentative="1">
      <w:start w:val="1"/>
      <w:numFmt w:val="bullet"/>
      <w:lvlText w:val=""/>
      <w:lvlJc w:val="left"/>
      <w:pPr>
        <w:ind w:left="6480" w:hanging="360"/>
      </w:pPr>
      <w:rPr>
        <w:rFonts w:ascii="Wingdings" w:hAnsi="Wingdings" w:hint="default"/>
      </w:rPr>
    </w:lvl>
  </w:abstractNum>
  <w:abstractNum w:abstractNumId="556" w15:restartNumberingAfterBreak="0">
    <w:nsid w:val="4CB741E7"/>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7" w15:restartNumberingAfterBreak="0">
    <w:nsid w:val="4CFE76F8"/>
    <w:multiLevelType w:val="multilevel"/>
    <w:tmpl w:val="A60499C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58" w15:restartNumberingAfterBreak="0">
    <w:nsid w:val="4D2D023A"/>
    <w:multiLevelType w:val="hybridMultilevel"/>
    <w:tmpl w:val="3CCA7BF6"/>
    <w:lvl w:ilvl="0" w:tplc="DCB80D36">
      <w:start w:val="1"/>
      <w:numFmt w:val="bullet"/>
      <w:lvlText w:val=""/>
      <w:lvlJc w:val="left"/>
      <w:pPr>
        <w:ind w:left="720" w:hanging="360"/>
      </w:pPr>
      <w:rPr>
        <w:rFonts w:ascii="Symbol" w:hAnsi="Symbol" w:hint="default"/>
      </w:rPr>
    </w:lvl>
    <w:lvl w:ilvl="1" w:tplc="14DCAB8C" w:tentative="1">
      <w:start w:val="1"/>
      <w:numFmt w:val="bullet"/>
      <w:lvlText w:val="o"/>
      <w:lvlJc w:val="left"/>
      <w:pPr>
        <w:ind w:left="1440" w:hanging="360"/>
      </w:pPr>
      <w:rPr>
        <w:rFonts w:ascii="Courier New" w:hAnsi="Courier New" w:hint="default"/>
      </w:rPr>
    </w:lvl>
    <w:lvl w:ilvl="2" w:tplc="C45A4F98" w:tentative="1">
      <w:start w:val="1"/>
      <w:numFmt w:val="bullet"/>
      <w:lvlText w:val=""/>
      <w:lvlJc w:val="left"/>
      <w:pPr>
        <w:ind w:left="2160" w:hanging="360"/>
      </w:pPr>
      <w:rPr>
        <w:rFonts w:ascii="Wingdings" w:hAnsi="Wingdings" w:hint="default"/>
      </w:rPr>
    </w:lvl>
    <w:lvl w:ilvl="3" w:tplc="CD4099A6" w:tentative="1">
      <w:start w:val="1"/>
      <w:numFmt w:val="bullet"/>
      <w:lvlText w:val=""/>
      <w:lvlJc w:val="left"/>
      <w:pPr>
        <w:ind w:left="2880" w:hanging="360"/>
      </w:pPr>
      <w:rPr>
        <w:rFonts w:ascii="Symbol" w:hAnsi="Symbol" w:hint="default"/>
      </w:rPr>
    </w:lvl>
    <w:lvl w:ilvl="4" w:tplc="01F8E1E6" w:tentative="1">
      <w:start w:val="1"/>
      <w:numFmt w:val="bullet"/>
      <w:lvlText w:val="o"/>
      <w:lvlJc w:val="left"/>
      <w:pPr>
        <w:ind w:left="3600" w:hanging="360"/>
      </w:pPr>
      <w:rPr>
        <w:rFonts w:ascii="Courier New" w:hAnsi="Courier New" w:hint="default"/>
      </w:rPr>
    </w:lvl>
    <w:lvl w:ilvl="5" w:tplc="CB3E7FFE" w:tentative="1">
      <w:start w:val="1"/>
      <w:numFmt w:val="bullet"/>
      <w:lvlText w:val=""/>
      <w:lvlJc w:val="left"/>
      <w:pPr>
        <w:ind w:left="4320" w:hanging="360"/>
      </w:pPr>
      <w:rPr>
        <w:rFonts w:ascii="Wingdings" w:hAnsi="Wingdings" w:hint="default"/>
      </w:rPr>
    </w:lvl>
    <w:lvl w:ilvl="6" w:tplc="B49076FC" w:tentative="1">
      <w:start w:val="1"/>
      <w:numFmt w:val="bullet"/>
      <w:lvlText w:val=""/>
      <w:lvlJc w:val="left"/>
      <w:pPr>
        <w:ind w:left="5040" w:hanging="360"/>
      </w:pPr>
      <w:rPr>
        <w:rFonts w:ascii="Symbol" w:hAnsi="Symbol" w:hint="default"/>
      </w:rPr>
    </w:lvl>
    <w:lvl w:ilvl="7" w:tplc="2E0E5D4C" w:tentative="1">
      <w:start w:val="1"/>
      <w:numFmt w:val="bullet"/>
      <w:lvlText w:val="o"/>
      <w:lvlJc w:val="left"/>
      <w:pPr>
        <w:ind w:left="5760" w:hanging="360"/>
      </w:pPr>
      <w:rPr>
        <w:rFonts w:ascii="Courier New" w:hAnsi="Courier New" w:hint="default"/>
      </w:rPr>
    </w:lvl>
    <w:lvl w:ilvl="8" w:tplc="AF3C1C88" w:tentative="1">
      <w:start w:val="1"/>
      <w:numFmt w:val="bullet"/>
      <w:lvlText w:val=""/>
      <w:lvlJc w:val="left"/>
      <w:pPr>
        <w:ind w:left="6480" w:hanging="360"/>
      </w:pPr>
      <w:rPr>
        <w:rFonts w:ascii="Wingdings" w:hAnsi="Wingdings" w:hint="default"/>
      </w:rPr>
    </w:lvl>
  </w:abstractNum>
  <w:abstractNum w:abstractNumId="559" w15:restartNumberingAfterBreak="0">
    <w:nsid w:val="4D5B6BE1"/>
    <w:multiLevelType w:val="multilevel"/>
    <w:tmpl w:val="62AE1A96"/>
    <w:lvl w:ilvl="0">
      <w:start w:val="1"/>
      <w:numFmt w:val="decimal"/>
      <w:lvlText w:val="%1."/>
      <w:lvlJc w:val="left"/>
      <w:pPr>
        <w:ind w:left="360" w:firstLine="0"/>
      </w:pPr>
    </w:lvl>
    <w:lvl w:ilvl="1">
      <w:start w:val="1"/>
      <w:numFmt w:val="lowerLetter"/>
      <w:lvlText w:val="%2)"/>
      <w:lvlJc w:val="left"/>
      <w:pPr>
        <w:ind w:left="72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0" w15:restartNumberingAfterBreak="0">
    <w:nsid w:val="4DB55E32"/>
    <w:multiLevelType w:val="multilevel"/>
    <w:tmpl w:val="F6E4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4DC66B02"/>
    <w:multiLevelType w:val="multilevel"/>
    <w:tmpl w:val="0824A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4E111F15"/>
    <w:multiLevelType w:val="hybridMultilevel"/>
    <w:tmpl w:val="55E6ACEE"/>
    <w:lvl w:ilvl="0" w:tplc="912014B2">
      <w:start w:val="1"/>
      <w:numFmt w:val="bullet"/>
      <w:lvlText w:val=""/>
      <w:lvlJc w:val="left"/>
      <w:pPr>
        <w:ind w:left="720" w:hanging="360"/>
      </w:pPr>
      <w:rPr>
        <w:rFonts w:ascii="Symbol" w:hAnsi="Symbol" w:hint="default"/>
      </w:rPr>
    </w:lvl>
    <w:lvl w:ilvl="1" w:tplc="41305734" w:tentative="1">
      <w:start w:val="1"/>
      <w:numFmt w:val="bullet"/>
      <w:lvlText w:val="o"/>
      <w:lvlJc w:val="left"/>
      <w:pPr>
        <w:ind w:left="1440" w:hanging="360"/>
      </w:pPr>
      <w:rPr>
        <w:rFonts w:ascii="Courier New" w:hAnsi="Courier New" w:hint="default"/>
      </w:rPr>
    </w:lvl>
    <w:lvl w:ilvl="2" w:tplc="DA4AC83E" w:tentative="1">
      <w:start w:val="1"/>
      <w:numFmt w:val="bullet"/>
      <w:lvlText w:val=""/>
      <w:lvlJc w:val="left"/>
      <w:pPr>
        <w:ind w:left="2160" w:hanging="360"/>
      </w:pPr>
      <w:rPr>
        <w:rFonts w:ascii="Wingdings" w:hAnsi="Wingdings" w:hint="default"/>
      </w:rPr>
    </w:lvl>
    <w:lvl w:ilvl="3" w:tplc="759655F0" w:tentative="1">
      <w:start w:val="1"/>
      <w:numFmt w:val="bullet"/>
      <w:lvlText w:val=""/>
      <w:lvlJc w:val="left"/>
      <w:pPr>
        <w:ind w:left="2880" w:hanging="360"/>
      </w:pPr>
      <w:rPr>
        <w:rFonts w:ascii="Symbol" w:hAnsi="Symbol" w:hint="default"/>
      </w:rPr>
    </w:lvl>
    <w:lvl w:ilvl="4" w:tplc="490221A8" w:tentative="1">
      <w:start w:val="1"/>
      <w:numFmt w:val="bullet"/>
      <w:lvlText w:val="o"/>
      <w:lvlJc w:val="left"/>
      <w:pPr>
        <w:ind w:left="3600" w:hanging="360"/>
      </w:pPr>
      <w:rPr>
        <w:rFonts w:ascii="Courier New" w:hAnsi="Courier New" w:hint="default"/>
      </w:rPr>
    </w:lvl>
    <w:lvl w:ilvl="5" w:tplc="A9163072" w:tentative="1">
      <w:start w:val="1"/>
      <w:numFmt w:val="bullet"/>
      <w:lvlText w:val=""/>
      <w:lvlJc w:val="left"/>
      <w:pPr>
        <w:ind w:left="4320" w:hanging="360"/>
      </w:pPr>
      <w:rPr>
        <w:rFonts w:ascii="Wingdings" w:hAnsi="Wingdings" w:hint="default"/>
      </w:rPr>
    </w:lvl>
    <w:lvl w:ilvl="6" w:tplc="FE2210AC" w:tentative="1">
      <w:start w:val="1"/>
      <w:numFmt w:val="bullet"/>
      <w:lvlText w:val=""/>
      <w:lvlJc w:val="left"/>
      <w:pPr>
        <w:ind w:left="5040" w:hanging="360"/>
      </w:pPr>
      <w:rPr>
        <w:rFonts w:ascii="Symbol" w:hAnsi="Symbol" w:hint="default"/>
      </w:rPr>
    </w:lvl>
    <w:lvl w:ilvl="7" w:tplc="E0409E28" w:tentative="1">
      <w:start w:val="1"/>
      <w:numFmt w:val="bullet"/>
      <w:lvlText w:val="o"/>
      <w:lvlJc w:val="left"/>
      <w:pPr>
        <w:ind w:left="5760" w:hanging="360"/>
      </w:pPr>
      <w:rPr>
        <w:rFonts w:ascii="Courier New" w:hAnsi="Courier New" w:hint="default"/>
      </w:rPr>
    </w:lvl>
    <w:lvl w:ilvl="8" w:tplc="FA22B58E" w:tentative="1">
      <w:start w:val="1"/>
      <w:numFmt w:val="bullet"/>
      <w:lvlText w:val=""/>
      <w:lvlJc w:val="left"/>
      <w:pPr>
        <w:ind w:left="6480" w:hanging="360"/>
      </w:pPr>
      <w:rPr>
        <w:rFonts w:ascii="Wingdings" w:hAnsi="Wingdings" w:hint="default"/>
      </w:rPr>
    </w:lvl>
  </w:abstractNum>
  <w:abstractNum w:abstractNumId="563" w15:restartNumberingAfterBreak="0">
    <w:nsid w:val="4E7B0A47"/>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4EA97E51"/>
    <w:multiLevelType w:val="multilevel"/>
    <w:tmpl w:val="7BD8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4EB40CBF"/>
    <w:multiLevelType w:val="multilevel"/>
    <w:tmpl w:val="6A96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4EF019DD"/>
    <w:multiLevelType w:val="multilevel"/>
    <w:tmpl w:val="F0C2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4F054556"/>
    <w:multiLevelType w:val="hybridMultilevel"/>
    <w:tmpl w:val="CB32E9C0"/>
    <w:lvl w:ilvl="0" w:tplc="0B38D6C0">
      <w:start w:val="1"/>
      <w:numFmt w:val="bullet"/>
      <w:lvlText w:val=""/>
      <w:lvlJc w:val="left"/>
      <w:pPr>
        <w:ind w:left="720" w:hanging="360"/>
      </w:pPr>
      <w:rPr>
        <w:rFonts w:ascii="Symbol" w:hAnsi="Symbol" w:hint="default"/>
      </w:rPr>
    </w:lvl>
    <w:lvl w:ilvl="1" w:tplc="1DB40D5E" w:tentative="1">
      <w:start w:val="1"/>
      <w:numFmt w:val="bullet"/>
      <w:lvlText w:val="o"/>
      <w:lvlJc w:val="left"/>
      <w:pPr>
        <w:ind w:left="1440" w:hanging="360"/>
      </w:pPr>
      <w:rPr>
        <w:rFonts w:ascii="Courier New" w:hAnsi="Courier New" w:hint="default"/>
      </w:rPr>
    </w:lvl>
    <w:lvl w:ilvl="2" w:tplc="2C32EB9C" w:tentative="1">
      <w:start w:val="1"/>
      <w:numFmt w:val="bullet"/>
      <w:lvlText w:val=""/>
      <w:lvlJc w:val="left"/>
      <w:pPr>
        <w:ind w:left="2160" w:hanging="360"/>
      </w:pPr>
      <w:rPr>
        <w:rFonts w:ascii="Wingdings" w:hAnsi="Wingdings" w:hint="default"/>
      </w:rPr>
    </w:lvl>
    <w:lvl w:ilvl="3" w:tplc="4790EAC0" w:tentative="1">
      <w:start w:val="1"/>
      <w:numFmt w:val="bullet"/>
      <w:lvlText w:val=""/>
      <w:lvlJc w:val="left"/>
      <w:pPr>
        <w:ind w:left="2880" w:hanging="360"/>
      </w:pPr>
      <w:rPr>
        <w:rFonts w:ascii="Symbol" w:hAnsi="Symbol" w:hint="default"/>
      </w:rPr>
    </w:lvl>
    <w:lvl w:ilvl="4" w:tplc="8D98762E" w:tentative="1">
      <w:start w:val="1"/>
      <w:numFmt w:val="bullet"/>
      <w:lvlText w:val="o"/>
      <w:lvlJc w:val="left"/>
      <w:pPr>
        <w:ind w:left="3600" w:hanging="360"/>
      </w:pPr>
      <w:rPr>
        <w:rFonts w:ascii="Courier New" w:hAnsi="Courier New" w:hint="default"/>
      </w:rPr>
    </w:lvl>
    <w:lvl w:ilvl="5" w:tplc="2F961798" w:tentative="1">
      <w:start w:val="1"/>
      <w:numFmt w:val="bullet"/>
      <w:lvlText w:val=""/>
      <w:lvlJc w:val="left"/>
      <w:pPr>
        <w:ind w:left="4320" w:hanging="360"/>
      </w:pPr>
      <w:rPr>
        <w:rFonts w:ascii="Wingdings" w:hAnsi="Wingdings" w:hint="default"/>
      </w:rPr>
    </w:lvl>
    <w:lvl w:ilvl="6" w:tplc="76A04A06" w:tentative="1">
      <w:start w:val="1"/>
      <w:numFmt w:val="bullet"/>
      <w:lvlText w:val=""/>
      <w:lvlJc w:val="left"/>
      <w:pPr>
        <w:ind w:left="5040" w:hanging="360"/>
      </w:pPr>
      <w:rPr>
        <w:rFonts w:ascii="Symbol" w:hAnsi="Symbol" w:hint="default"/>
      </w:rPr>
    </w:lvl>
    <w:lvl w:ilvl="7" w:tplc="252A166A" w:tentative="1">
      <w:start w:val="1"/>
      <w:numFmt w:val="bullet"/>
      <w:lvlText w:val="o"/>
      <w:lvlJc w:val="left"/>
      <w:pPr>
        <w:ind w:left="5760" w:hanging="360"/>
      </w:pPr>
      <w:rPr>
        <w:rFonts w:ascii="Courier New" w:hAnsi="Courier New" w:hint="default"/>
      </w:rPr>
    </w:lvl>
    <w:lvl w:ilvl="8" w:tplc="485209CA" w:tentative="1">
      <w:start w:val="1"/>
      <w:numFmt w:val="bullet"/>
      <w:lvlText w:val=""/>
      <w:lvlJc w:val="left"/>
      <w:pPr>
        <w:ind w:left="6480" w:hanging="360"/>
      </w:pPr>
      <w:rPr>
        <w:rFonts w:ascii="Wingdings" w:hAnsi="Wingdings" w:hint="default"/>
      </w:rPr>
    </w:lvl>
  </w:abstractNum>
  <w:abstractNum w:abstractNumId="568" w15:restartNumberingAfterBreak="0">
    <w:nsid w:val="4F193267"/>
    <w:multiLevelType w:val="multilevel"/>
    <w:tmpl w:val="CA80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4F4B2679"/>
    <w:multiLevelType w:val="multilevel"/>
    <w:tmpl w:val="672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4F6C32C4"/>
    <w:multiLevelType w:val="hybridMultilevel"/>
    <w:tmpl w:val="AC98B9F0"/>
    <w:lvl w:ilvl="0" w:tplc="3020AB32">
      <w:start w:val="1"/>
      <w:numFmt w:val="bullet"/>
      <w:lvlText w:val="·"/>
      <w:lvlJc w:val="left"/>
      <w:pPr>
        <w:ind w:left="720" w:hanging="360"/>
      </w:pPr>
      <w:rPr>
        <w:rFonts w:ascii="Symbol" w:hAnsi="Symbol" w:hint="default"/>
      </w:rPr>
    </w:lvl>
    <w:lvl w:ilvl="1" w:tplc="46F80E84">
      <w:start w:val="1"/>
      <w:numFmt w:val="bullet"/>
      <w:lvlText w:val="o"/>
      <w:lvlJc w:val="left"/>
      <w:pPr>
        <w:ind w:left="1440" w:hanging="360"/>
      </w:pPr>
      <w:rPr>
        <w:rFonts w:ascii="Courier New" w:hAnsi="Courier New" w:hint="default"/>
      </w:rPr>
    </w:lvl>
    <w:lvl w:ilvl="2" w:tplc="64A0B876">
      <w:start w:val="1"/>
      <w:numFmt w:val="bullet"/>
      <w:lvlText w:val=""/>
      <w:lvlJc w:val="left"/>
      <w:pPr>
        <w:ind w:left="2160" w:hanging="360"/>
      </w:pPr>
      <w:rPr>
        <w:rFonts w:ascii="Wingdings" w:hAnsi="Wingdings" w:hint="default"/>
      </w:rPr>
    </w:lvl>
    <w:lvl w:ilvl="3" w:tplc="FFF05E56">
      <w:start w:val="1"/>
      <w:numFmt w:val="bullet"/>
      <w:lvlText w:val=""/>
      <w:lvlJc w:val="left"/>
      <w:pPr>
        <w:ind w:left="2880" w:hanging="360"/>
      </w:pPr>
      <w:rPr>
        <w:rFonts w:ascii="Symbol" w:hAnsi="Symbol" w:hint="default"/>
      </w:rPr>
    </w:lvl>
    <w:lvl w:ilvl="4" w:tplc="6A583C60">
      <w:start w:val="1"/>
      <w:numFmt w:val="bullet"/>
      <w:lvlText w:val="o"/>
      <w:lvlJc w:val="left"/>
      <w:pPr>
        <w:ind w:left="3600" w:hanging="360"/>
      </w:pPr>
      <w:rPr>
        <w:rFonts w:ascii="Courier New" w:hAnsi="Courier New" w:hint="default"/>
      </w:rPr>
    </w:lvl>
    <w:lvl w:ilvl="5" w:tplc="A544D0B6">
      <w:start w:val="1"/>
      <w:numFmt w:val="bullet"/>
      <w:lvlText w:val=""/>
      <w:lvlJc w:val="left"/>
      <w:pPr>
        <w:ind w:left="4320" w:hanging="360"/>
      </w:pPr>
      <w:rPr>
        <w:rFonts w:ascii="Wingdings" w:hAnsi="Wingdings" w:hint="default"/>
      </w:rPr>
    </w:lvl>
    <w:lvl w:ilvl="6" w:tplc="79BA58FC">
      <w:start w:val="1"/>
      <w:numFmt w:val="bullet"/>
      <w:lvlText w:val=""/>
      <w:lvlJc w:val="left"/>
      <w:pPr>
        <w:ind w:left="5040" w:hanging="360"/>
      </w:pPr>
      <w:rPr>
        <w:rFonts w:ascii="Symbol" w:hAnsi="Symbol" w:hint="default"/>
      </w:rPr>
    </w:lvl>
    <w:lvl w:ilvl="7" w:tplc="441AF65A">
      <w:start w:val="1"/>
      <w:numFmt w:val="bullet"/>
      <w:lvlText w:val="o"/>
      <w:lvlJc w:val="left"/>
      <w:pPr>
        <w:ind w:left="5760" w:hanging="360"/>
      </w:pPr>
      <w:rPr>
        <w:rFonts w:ascii="Courier New" w:hAnsi="Courier New" w:hint="default"/>
      </w:rPr>
    </w:lvl>
    <w:lvl w:ilvl="8" w:tplc="9D961D7A">
      <w:start w:val="1"/>
      <w:numFmt w:val="bullet"/>
      <w:lvlText w:val=""/>
      <w:lvlJc w:val="left"/>
      <w:pPr>
        <w:ind w:left="6480" w:hanging="360"/>
      </w:pPr>
      <w:rPr>
        <w:rFonts w:ascii="Wingdings" w:hAnsi="Wingdings" w:hint="default"/>
      </w:rPr>
    </w:lvl>
  </w:abstractNum>
  <w:abstractNum w:abstractNumId="571" w15:restartNumberingAfterBreak="0">
    <w:nsid w:val="4F873B69"/>
    <w:multiLevelType w:val="multilevel"/>
    <w:tmpl w:val="F178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4FBF29C9"/>
    <w:multiLevelType w:val="multilevel"/>
    <w:tmpl w:val="884E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01A48AF"/>
    <w:multiLevelType w:val="multilevel"/>
    <w:tmpl w:val="4092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501B6993"/>
    <w:multiLevelType w:val="multilevel"/>
    <w:tmpl w:val="00F2AFBC"/>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75" w15:restartNumberingAfterBreak="0">
    <w:nsid w:val="50470341"/>
    <w:multiLevelType w:val="multilevel"/>
    <w:tmpl w:val="F934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0547F66"/>
    <w:multiLevelType w:val="multilevel"/>
    <w:tmpl w:val="942251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7" w15:restartNumberingAfterBreak="0">
    <w:nsid w:val="50580D72"/>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8" w15:restartNumberingAfterBreak="0">
    <w:nsid w:val="506C09CF"/>
    <w:multiLevelType w:val="multilevel"/>
    <w:tmpl w:val="EE3C2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0964EAE"/>
    <w:multiLevelType w:val="multilevel"/>
    <w:tmpl w:val="7520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509E1452"/>
    <w:multiLevelType w:val="hybridMultilevel"/>
    <w:tmpl w:val="6AC8049A"/>
    <w:lvl w:ilvl="0" w:tplc="02F822F8">
      <w:start w:val="1"/>
      <w:numFmt w:val="bullet"/>
      <w:lvlText w:val=""/>
      <w:lvlJc w:val="left"/>
      <w:pPr>
        <w:ind w:left="720" w:hanging="360"/>
      </w:pPr>
      <w:rPr>
        <w:rFonts w:ascii="Symbol" w:hAnsi="Symbol" w:hint="default"/>
      </w:rPr>
    </w:lvl>
    <w:lvl w:ilvl="1" w:tplc="E2D22AAE" w:tentative="1">
      <w:start w:val="1"/>
      <w:numFmt w:val="bullet"/>
      <w:lvlText w:val="o"/>
      <w:lvlJc w:val="left"/>
      <w:pPr>
        <w:ind w:left="1440" w:hanging="360"/>
      </w:pPr>
      <w:rPr>
        <w:rFonts w:ascii="Courier New" w:hAnsi="Courier New" w:hint="default"/>
      </w:rPr>
    </w:lvl>
    <w:lvl w:ilvl="2" w:tplc="A01AA204" w:tentative="1">
      <w:start w:val="1"/>
      <w:numFmt w:val="bullet"/>
      <w:lvlText w:val=""/>
      <w:lvlJc w:val="left"/>
      <w:pPr>
        <w:ind w:left="2160" w:hanging="360"/>
      </w:pPr>
      <w:rPr>
        <w:rFonts w:ascii="Wingdings" w:hAnsi="Wingdings" w:hint="default"/>
      </w:rPr>
    </w:lvl>
    <w:lvl w:ilvl="3" w:tplc="DE0AB426" w:tentative="1">
      <w:start w:val="1"/>
      <w:numFmt w:val="bullet"/>
      <w:lvlText w:val=""/>
      <w:lvlJc w:val="left"/>
      <w:pPr>
        <w:ind w:left="2880" w:hanging="360"/>
      </w:pPr>
      <w:rPr>
        <w:rFonts w:ascii="Symbol" w:hAnsi="Symbol" w:hint="default"/>
      </w:rPr>
    </w:lvl>
    <w:lvl w:ilvl="4" w:tplc="B6567148" w:tentative="1">
      <w:start w:val="1"/>
      <w:numFmt w:val="bullet"/>
      <w:lvlText w:val="o"/>
      <w:lvlJc w:val="left"/>
      <w:pPr>
        <w:ind w:left="3600" w:hanging="360"/>
      </w:pPr>
      <w:rPr>
        <w:rFonts w:ascii="Courier New" w:hAnsi="Courier New" w:hint="default"/>
      </w:rPr>
    </w:lvl>
    <w:lvl w:ilvl="5" w:tplc="39642206" w:tentative="1">
      <w:start w:val="1"/>
      <w:numFmt w:val="bullet"/>
      <w:lvlText w:val=""/>
      <w:lvlJc w:val="left"/>
      <w:pPr>
        <w:ind w:left="4320" w:hanging="360"/>
      </w:pPr>
      <w:rPr>
        <w:rFonts w:ascii="Wingdings" w:hAnsi="Wingdings" w:hint="default"/>
      </w:rPr>
    </w:lvl>
    <w:lvl w:ilvl="6" w:tplc="94C0001A" w:tentative="1">
      <w:start w:val="1"/>
      <w:numFmt w:val="bullet"/>
      <w:lvlText w:val=""/>
      <w:lvlJc w:val="left"/>
      <w:pPr>
        <w:ind w:left="5040" w:hanging="360"/>
      </w:pPr>
      <w:rPr>
        <w:rFonts w:ascii="Symbol" w:hAnsi="Symbol" w:hint="default"/>
      </w:rPr>
    </w:lvl>
    <w:lvl w:ilvl="7" w:tplc="57D2ACD8" w:tentative="1">
      <w:start w:val="1"/>
      <w:numFmt w:val="bullet"/>
      <w:lvlText w:val="o"/>
      <w:lvlJc w:val="left"/>
      <w:pPr>
        <w:ind w:left="5760" w:hanging="360"/>
      </w:pPr>
      <w:rPr>
        <w:rFonts w:ascii="Courier New" w:hAnsi="Courier New" w:hint="default"/>
      </w:rPr>
    </w:lvl>
    <w:lvl w:ilvl="8" w:tplc="62C82A4A" w:tentative="1">
      <w:start w:val="1"/>
      <w:numFmt w:val="bullet"/>
      <w:lvlText w:val=""/>
      <w:lvlJc w:val="left"/>
      <w:pPr>
        <w:ind w:left="6480" w:hanging="360"/>
      </w:pPr>
      <w:rPr>
        <w:rFonts w:ascii="Wingdings" w:hAnsi="Wingdings" w:hint="default"/>
      </w:rPr>
    </w:lvl>
  </w:abstractNum>
  <w:abstractNum w:abstractNumId="581" w15:restartNumberingAfterBreak="0">
    <w:nsid w:val="50D24015"/>
    <w:multiLevelType w:val="multilevel"/>
    <w:tmpl w:val="6C94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50E82719"/>
    <w:multiLevelType w:val="hybridMultilevel"/>
    <w:tmpl w:val="6DF84A92"/>
    <w:lvl w:ilvl="0" w:tplc="BD2E38AA">
      <w:start w:val="1"/>
      <w:numFmt w:val="bullet"/>
      <w:lvlText w:val=""/>
      <w:lvlJc w:val="left"/>
      <w:pPr>
        <w:ind w:left="720" w:hanging="360"/>
      </w:pPr>
      <w:rPr>
        <w:rFonts w:ascii="Symbol" w:hAnsi="Symbol" w:hint="default"/>
      </w:rPr>
    </w:lvl>
    <w:lvl w:ilvl="1" w:tplc="380EC912" w:tentative="1">
      <w:start w:val="1"/>
      <w:numFmt w:val="bullet"/>
      <w:lvlText w:val="o"/>
      <w:lvlJc w:val="left"/>
      <w:pPr>
        <w:ind w:left="1440" w:hanging="360"/>
      </w:pPr>
      <w:rPr>
        <w:rFonts w:ascii="Courier New" w:hAnsi="Courier New" w:hint="default"/>
      </w:rPr>
    </w:lvl>
    <w:lvl w:ilvl="2" w:tplc="35684504" w:tentative="1">
      <w:start w:val="1"/>
      <w:numFmt w:val="bullet"/>
      <w:lvlText w:val=""/>
      <w:lvlJc w:val="left"/>
      <w:pPr>
        <w:ind w:left="2160" w:hanging="360"/>
      </w:pPr>
      <w:rPr>
        <w:rFonts w:ascii="Wingdings" w:hAnsi="Wingdings" w:hint="default"/>
      </w:rPr>
    </w:lvl>
    <w:lvl w:ilvl="3" w:tplc="224E8BCC" w:tentative="1">
      <w:start w:val="1"/>
      <w:numFmt w:val="bullet"/>
      <w:lvlText w:val=""/>
      <w:lvlJc w:val="left"/>
      <w:pPr>
        <w:ind w:left="2880" w:hanging="360"/>
      </w:pPr>
      <w:rPr>
        <w:rFonts w:ascii="Symbol" w:hAnsi="Symbol" w:hint="default"/>
      </w:rPr>
    </w:lvl>
    <w:lvl w:ilvl="4" w:tplc="A29262D0" w:tentative="1">
      <w:start w:val="1"/>
      <w:numFmt w:val="bullet"/>
      <w:lvlText w:val="o"/>
      <w:lvlJc w:val="left"/>
      <w:pPr>
        <w:ind w:left="3600" w:hanging="360"/>
      </w:pPr>
      <w:rPr>
        <w:rFonts w:ascii="Courier New" w:hAnsi="Courier New" w:hint="default"/>
      </w:rPr>
    </w:lvl>
    <w:lvl w:ilvl="5" w:tplc="5CD25954" w:tentative="1">
      <w:start w:val="1"/>
      <w:numFmt w:val="bullet"/>
      <w:lvlText w:val=""/>
      <w:lvlJc w:val="left"/>
      <w:pPr>
        <w:ind w:left="4320" w:hanging="360"/>
      </w:pPr>
      <w:rPr>
        <w:rFonts w:ascii="Wingdings" w:hAnsi="Wingdings" w:hint="default"/>
      </w:rPr>
    </w:lvl>
    <w:lvl w:ilvl="6" w:tplc="459E1F70" w:tentative="1">
      <w:start w:val="1"/>
      <w:numFmt w:val="bullet"/>
      <w:lvlText w:val=""/>
      <w:lvlJc w:val="left"/>
      <w:pPr>
        <w:ind w:left="5040" w:hanging="360"/>
      </w:pPr>
      <w:rPr>
        <w:rFonts w:ascii="Symbol" w:hAnsi="Symbol" w:hint="default"/>
      </w:rPr>
    </w:lvl>
    <w:lvl w:ilvl="7" w:tplc="7C2075B2" w:tentative="1">
      <w:start w:val="1"/>
      <w:numFmt w:val="bullet"/>
      <w:lvlText w:val="o"/>
      <w:lvlJc w:val="left"/>
      <w:pPr>
        <w:ind w:left="5760" w:hanging="360"/>
      </w:pPr>
      <w:rPr>
        <w:rFonts w:ascii="Courier New" w:hAnsi="Courier New" w:hint="default"/>
      </w:rPr>
    </w:lvl>
    <w:lvl w:ilvl="8" w:tplc="8B6C34E4" w:tentative="1">
      <w:start w:val="1"/>
      <w:numFmt w:val="bullet"/>
      <w:lvlText w:val=""/>
      <w:lvlJc w:val="left"/>
      <w:pPr>
        <w:ind w:left="6480" w:hanging="360"/>
      </w:pPr>
      <w:rPr>
        <w:rFonts w:ascii="Wingdings" w:hAnsi="Wingdings" w:hint="default"/>
      </w:rPr>
    </w:lvl>
  </w:abstractNum>
  <w:abstractNum w:abstractNumId="583" w15:restartNumberingAfterBreak="0">
    <w:nsid w:val="51061AB1"/>
    <w:multiLevelType w:val="multilevel"/>
    <w:tmpl w:val="7064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515335FF"/>
    <w:multiLevelType w:val="multilevel"/>
    <w:tmpl w:val="5F6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1F747A4"/>
    <w:multiLevelType w:val="multilevel"/>
    <w:tmpl w:val="20C6A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521357F6"/>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7" w15:restartNumberingAfterBreak="0">
    <w:nsid w:val="52210A10"/>
    <w:multiLevelType w:val="hybridMultilevel"/>
    <w:tmpl w:val="82A466C6"/>
    <w:lvl w:ilvl="0" w:tplc="F64A03FA">
      <w:start w:val="1"/>
      <w:numFmt w:val="bullet"/>
      <w:lvlText w:val=""/>
      <w:lvlJc w:val="left"/>
      <w:pPr>
        <w:ind w:left="720" w:hanging="360"/>
      </w:pPr>
      <w:rPr>
        <w:rFonts w:ascii="Symbol" w:hAnsi="Symbol" w:hint="default"/>
      </w:rPr>
    </w:lvl>
    <w:lvl w:ilvl="1" w:tplc="0B0AF416" w:tentative="1">
      <w:start w:val="1"/>
      <w:numFmt w:val="bullet"/>
      <w:lvlText w:val="o"/>
      <w:lvlJc w:val="left"/>
      <w:pPr>
        <w:ind w:left="1440" w:hanging="360"/>
      </w:pPr>
      <w:rPr>
        <w:rFonts w:ascii="Courier New" w:hAnsi="Courier New" w:hint="default"/>
      </w:rPr>
    </w:lvl>
    <w:lvl w:ilvl="2" w:tplc="BBDC858C" w:tentative="1">
      <w:start w:val="1"/>
      <w:numFmt w:val="bullet"/>
      <w:lvlText w:val=""/>
      <w:lvlJc w:val="left"/>
      <w:pPr>
        <w:ind w:left="2160" w:hanging="360"/>
      </w:pPr>
      <w:rPr>
        <w:rFonts w:ascii="Wingdings" w:hAnsi="Wingdings" w:hint="default"/>
      </w:rPr>
    </w:lvl>
    <w:lvl w:ilvl="3" w:tplc="F0FED816" w:tentative="1">
      <w:start w:val="1"/>
      <w:numFmt w:val="bullet"/>
      <w:lvlText w:val=""/>
      <w:lvlJc w:val="left"/>
      <w:pPr>
        <w:ind w:left="2880" w:hanging="360"/>
      </w:pPr>
      <w:rPr>
        <w:rFonts w:ascii="Symbol" w:hAnsi="Symbol" w:hint="default"/>
      </w:rPr>
    </w:lvl>
    <w:lvl w:ilvl="4" w:tplc="68E47D1A" w:tentative="1">
      <w:start w:val="1"/>
      <w:numFmt w:val="bullet"/>
      <w:lvlText w:val="o"/>
      <w:lvlJc w:val="left"/>
      <w:pPr>
        <w:ind w:left="3600" w:hanging="360"/>
      </w:pPr>
      <w:rPr>
        <w:rFonts w:ascii="Courier New" w:hAnsi="Courier New" w:hint="default"/>
      </w:rPr>
    </w:lvl>
    <w:lvl w:ilvl="5" w:tplc="DD12B7BA" w:tentative="1">
      <w:start w:val="1"/>
      <w:numFmt w:val="bullet"/>
      <w:lvlText w:val=""/>
      <w:lvlJc w:val="left"/>
      <w:pPr>
        <w:ind w:left="4320" w:hanging="360"/>
      </w:pPr>
      <w:rPr>
        <w:rFonts w:ascii="Wingdings" w:hAnsi="Wingdings" w:hint="default"/>
      </w:rPr>
    </w:lvl>
    <w:lvl w:ilvl="6" w:tplc="DAF80038" w:tentative="1">
      <w:start w:val="1"/>
      <w:numFmt w:val="bullet"/>
      <w:lvlText w:val=""/>
      <w:lvlJc w:val="left"/>
      <w:pPr>
        <w:ind w:left="5040" w:hanging="360"/>
      </w:pPr>
      <w:rPr>
        <w:rFonts w:ascii="Symbol" w:hAnsi="Symbol" w:hint="default"/>
      </w:rPr>
    </w:lvl>
    <w:lvl w:ilvl="7" w:tplc="A7AAA772" w:tentative="1">
      <w:start w:val="1"/>
      <w:numFmt w:val="bullet"/>
      <w:lvlText w:val="o"/>
      <w:lvlJc w:val="left"/>
      <w:pPr>
        <w:ind w:left="5760" w:hanging="360"/>
      </w:pPr>
      <w:rPr>
        <w:rFonts w:ascii="Courier New" w:hAnsi="Courier New" w:hint="default"/>
      </w:rPr>
    </w:lvl>
    <w:lvl w:ilvl="8" w:tplc="6A0A7248" w:tentative="1">
      <w:start w:val="1"/>
      <w:numFmt w:val="bullet"/>
      <w:lvlText w:val=""/>
      <w:lvlJc w:val="left"/>
      <w:pPr>
        <w:ind w:left="6480" w:hanging="360"/>
      </w:pPr>
      <w:rPr>
        <w:rFonts w:ascii="Wingdings" w:hAnsi="Wingdings" w:hint="default"/>
      </w:rPr>
    </w:lvl>
  </w:abstractNum>
  <w:abstractNum w:abstractNumId="588" w15:restartNumberingAfterBreak="0">
    <w:nsid w:val="52500E33"/>
    <w:multiLevelType w:val="multilevel"/>
    <w:tmpl w:val="D78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52B705B2"/>
    <w:multiLevelType w:val="multilevel"/>
    <w:tmpl w:val="6F20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52BF3EFD"/>
    <w:multiLevelType w:val="multilevel"/>
    <w:tmpl w:val="7F0A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531934CA"/>
    <w:multiLevelType w:val="multilevel"/>
    <w:tmpl w:val="E2F2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32A2A2B"/>
    <w:multiLevelType w:val="multilevel"/>
    <w:tmpl w:val="E81E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34D026E"/>
    <w:multiLevelType w:val="multilevel"/>
    <w:tmpl w:val="B0A2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53A224CB"/>
    <w:multiLevelType w:val="multilevel"/>
    <w:tmpl w:val="5930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53F51587"/>
    <w:multiLevelType w:val="multilevel"/>
    <w:tmpl w:val="2F4252FC"/>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596" w15:restartNumberingAfterBreak="0">
    <w:nsid w:val="53FB1A7B"/>
    <w:multiLevelType w:val="multilevel"/>
    <w:tmpl w:val="0D9C8E9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597" w15:restartNumberingAfterBreak="0">
    <w:nsid w:val="540759E7"/>
    <w:multiLevelType w:val="multilevel"/>
    <w:tmpl w:val="81A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540A5D1E"/>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40D3E7D"/>
    <w:multiLevelType w:val="multilevel"/>
    <w:tmpl w:val="01601D74"/>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00" w15:restartNumberingAfterBreak="0">
    <w:nsid w:val="54354CFC"/>
    <w:multiLevelType w:val="multilevel"/>
    <w:tmpl w:val="4D04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54446AB3"/>
    <w:multiLevelType w:val="multilevel"/>
    <w:tmpl w:val="61883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5459305F"/>
    <w:multiLevelType w:val="hybridMultilevel"/>
    <w:tmpl w:val="50D8D11A"/>
    <w:lvl w:ilvl="0" w:tplc="FD3C72E2">
      <w:start w:val="1"/>
      <w:numFmt w:val="bullet"/>
      <w:lvlText w:val=""/>
      <w:lvlJc w:val="left"/>
      <w:pPr>
        <w:ind w:left="720" w:hanging="360"/>
      </w:pPr>
      <w:rPr>
        <w:rFonts w:ascii="Symbol" w:hAnsi="Symbol" w:hint="default"/>
      </w:rPr>
    </w:lvl>
    <w:lvl w:ilvl="1" w:tplc="BAFE2094" w:tentative="1">
      <w:start w:val="1"/>
      <w:numFmt w:val="bullet"/>
      <w:lvlText w:val="o"/>
      <w:lvlJc w:val="left"/>
      <w:pPr>
        <w:ind w:left="1440" w:hanging="360"/>
      </w:pPr>
      <w:rPr>
        <w:rFonts w:ascii="Courier New" w:hAnsi="Courier New" w:hint="default"/>
      </w:rPr>
    </w:lvl>
    <w:lvl w:ilvl="2" w:tplc="2BB043DE" w:tentative="1">
      <w:start w:val="1"/>
      <w:numFmt w:val="bullet"/>
      <w:lvlText w:val=""/>
      <w:lvlJc w:val="left"/>
      <w:pPr>
        <w:ind w:left="2160" w:hanging="360"/>
      </w:pPr>
      <w:rPr>
        <w:rFonts w:ascii="Wingdings" w:hAnsi="Wingdings" w:hint="default"/>
      </w:rPr>
    </w:lvl>
    <w:lvl w:ilvl="3" w:tplc="2886008E" w:tentative="1">
      <w:start w:val="1"/>
      <w:numFmt w:val="bullet"/>
      <w:lvlText w:val=""/>
      <w:lvlJc w:val="left"/>
      <w:pPr>
        <w:ind w:left="2880" w:hanging="360"/>
      </w:pPr>
      <w:rPr>
        <w:rFonts w:ascii="Symbol" w:hAnsi="Symbol" w:hint="default"/>
      </w:rPr>
    </w:lvl>
    <w:lvl w:ilvl="4" w:tplc="C6CE4E9C" w:tentative="1">
      <w:start w:val="1"/>
      <w:numFmt w:val="bullet"/>
      <w:lvlText w:val="o"/>
      <w:lvlJc w:val="left"/>
      <w:pPr>
        <w:ind w:left="3600" w:hanging="360"/>
      </w:pPr>
      <w:rPr>
        <w:rFonts w:ascii="Courier New" w:hAnsi="Courier New" w:hint="default"/>
      </w:rPr>
    </w:lvl>
    <w:lvl w:ilvl="5" w:tplc="3EE2F6BC" w:tentative="1">
      <w:start w:val="1"/>
      <w:numFmt w:val="bullet"/>
      <w:lvlText w:val=""/>
      <w:lvlJc w:val="left"/>
      <w:pPr>
        <w:ind w:left="4320" w:hanging="360"/>
      </w:pPr>
      <w:rPr>
        <w:rFonts w:ascii="Wingdings" w:hAnsi="Wingdings" w:hint="default"/>
      </w:rPr>
    </w:lvl>
    <w:lvl w:ilvl="6" w:tplc="4C0E30D2" w:tentative="1">
      <w:start w:val="1"/>
      <w:numFmt w:val="bullet"/>
      <w:lvlText w:val=""/>
      <w:lvlJc w:val="left"/>
      <w:pPr>
        <w:ind w:left="5040" w:hanging="360"/>
      </w:pPr>
      <w:rPr>
        <w:rFonts w:ascii="Symbol" w:hAnsi="Symbol" w:hint="default"/>
      </w:rPr>
    </w:lvl>
    <w:lvl w:ilvl="7" w:tplc="3D6A8440" w:tentative="1">
      <w:start w:val="1"/>
      <w:numFmt w:val="bullet"/>
      <w:lvlText w:val="o"/>
      <w:lvlJc w:val="left"/>
      <w:pPr>
        <w:ind w:left="5760" w:hanging="360"/>
      </w:pPr>
      <w:rPr>
        <w:rFonts w:ascii="Courier New" w:hAnsi="Courier New" w:hint="default"/>
      </w:rPr>
    </w:lvl>
    <w:lvl w:ilvl="8" w:tplc="EC68F39A" w:tentative="1">
      <w:start w:val="1"/>
      <w:numFmt w:val="bullet"/>
      <w:lvlText w:val=""/>
      <w:lvlJc w:val="left"/>
      <w:pPr>
        <w:ind w:left="6480" w:hanging="360"/>
      </w:pPr>
      <w:rPr>
        <w:rFonts w:ascii="Wingdings" w:hAnsi="Wingdings" w:hint="default"/>
      </w:rPr>
    </w:lvl>
  </w:abstractNum>
  <w:abstractNum w:abstractNumId="603" w15:restartNumberingAfterBreak="0">
    <w:nsid w:val="54B73313"/>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4" w15:restartNumberingAfterBreak="0">
    <w:nsid w:val="54C37656"/>
    <w:multiLevelType w:val="hybridMultilevel"/>
    <w:tmpl w:val="250A4E4A"/>
    <w:lvl w:ilvl="0" w:tplc="5EE844AA">
      <w:start w:val="1"/>
      <w:numFmt w:val="bullet"/>
      <w:lvlText w:val=""/>
      <w:lvlJc w:val="left"/>
      <w:pPr>
        <w:ind w:left="720" w:hanging="360"/>
      </w:pPr>
      <w:rPr>
        <w:rFonts w:ascii="Symbol" w:hAnsi="Symbol" w:hint="default"/>
      </w:rPr>
    </w:lvl>
    <w:lvl w:ilvl="1" w:tplc="B442F398" w:tentative="1">
      <w:start w:val="1"/>
      <w:numFmt w:val="bullet"/>
      <w:lvlText w:val="o"/>
      <w:lvlJc w:val="left"/>
      <w:pPr>
        <w:ind w:left="1440" w:hanging="360"/>
      </w:pPr>
      <w:rPr>
        <w:rFonts w:ascii="Courier New" w:hAnsi="Courier New" w:hint="default"/>
      </w:rPr>
    </w:lvl>
    <w:lvl w:ilvl="2" w:tplc="C1160950" w:tentative="1">
      <w:start w:val="1"/>
      <w:numFmt w:val="bullet"/>
      <w:lvlText w:val=""/>
      <w:lvlJc w:val="left"/>
      <w:pPr>
        <w:ind w:left="2160" w:hanging="360"/>
      </w:pPr>
      <w:rPr>
        <w:rFonts w:ascii="Wingdings" w:hAnsi="Wingdings" w:hint="default"/>
      </w:rPr>
    </w:lvl>
    <w:lvl w:ilvl="3" w:tplc="AE267F08" w:tentative="1">
      <w:start w:val="1"/>
      <w:numFmt w:val="bullet"/>
      <w:lvlText w:val=""/>
      <w:lvlJc w:val="left"/>
      <w:pPr>
        <w:ind w:left="2880" w:hanging="360"/>
      </w:pPr>
      <w:rPr>
        <w:rFonts w:ascii="Symbol" w:hAnsi="Symbol" w:hint="default"/>
      </w:rPr>
    </w:lvl>
    <w:lvl w:ilvl="4" w:tplc="D2FCC57A" w:tentative="1">
      <w:start w:val="1"/>
      <w:numFmt w:val="bullet"/>
      <w:lvlText w:val="o"/>
      <w:lvlJc w:val="left"/>
      <w:pPr>
        <w:ind w:left="3600" w:hanging="360"/>
      </w:pPr>
      <w:rPr>
        <w:rFonts w:ascii="Courier New" w:hAnsi="Courier New" w:hint="default"/>
      </w:rPr>
    </w:lvl>
    <w:lvl w:ilvl="5" w:tplc="54744048" w:tentative="1">
      <w:start w:val="1"/>
      <w:numFmt w:val="bullet"/>
      <w:lvlText w:val=""/>
      <w:lvlJc w:val="left"/>
      <w:pPr>
        <w:ind w:left="4320" w:hanging="360"/>
      </w:pPr>
      <w:rPr>
        <w:rFonts w:ascii="Wingdings" w:hAnsi="Wingdings" w:hint="default"/>
      </w:rPr>
    </w:lvl>
    <w:lvl w:ilvl="6" w:tplc="691CAE10" w:tentative="1">
      <w:start w:val="1"/>
      <w:numFmt w:val="bullet"/>
      <w:lvlText w:val=""/>
      <w:lvlJc w:val="left"/>
      <w:pPr>
        <w:ind w:left="5040" w:hanging="360"/>
      </w:pPr>
      <w:rPr>
        <w:rFonts w:ascii="Symbol" w:hAnsi="Symbol" w:hint="default"/>
      </w:rPr>
    </w:lvl>
    <w:lvl w:ilvl="7" w:tplc="20385538" w:tentative="1">
      <w:start w:val="1"/>
      <w:numFmt w:val="bullet"/>
      <w:lvlText w:val="o"/>
      <w:lvlJc w:val="left"/>
      <w:pPr>
        <w:ind w:left="5760" w:hanging="360"/>
      </w:pPr>
      <w:rPr>
        <w:rFonts w:ascii="Courier New" w:hAnsi="Courier New" w:hint="default"/>
      </w:rPr>
    </w:lvl>
    <w:lvl w:ilvl="8" w:tplc="A09C06A0" w:tentative="1">
      <w:start w:val="1"/>
      <w:numFmt w:val="bullet"/>
      <w:lvlText w:val=""/>
      <w:lvlJc w:val="left"/>
      <w:pPr>
        <w:ind w:left="6480" w:hanging="360"/>
      </w:pPr>
      <w:rPr>
        <w:rFonts w:ascii="Wingdings" w:hAnsi="Wingdings" w:hint="default"/>
      </w:rPr>
    </w:lvl>
  </w:abstractNum>
  <w:abstractNum w:abstractNumId="605" w15:restartNumberingAfterBreak="0">
    <w:nsid w:val="54E520B0"/>
    <w:multiLevelType w:val="multilevel"/>
    <w:tmpl w:val="8CE22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54F75E13"/>
    <w:multiLevelType w:val="multilevel"/>
    <w:tmpl w:val="895E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55032A9A"/>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55055F6F"/>
    <w:multiLevelType w:val="multilevel"/>
    <w:tmpl w:val="E1F29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55170E36"/>
    <w:multiLevelType w:val="multilevel"/>
    <w:tmpl w:val="BD94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551B3E08"/>
    <w:multiLevelType w:val="multilevel"/>
    <w:tmpl w:val="16B6BEAC"/>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11" w15:restartNumberingAfterBreak="0">
    <w:nsid w:val="55463111"/>
    <w:multiLevelType w:val="multilevel"/>
    <w:tmpl w:val="2542A484"/>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12" w15:restartNumberingAfterBreak="0">
    <w:nsid w:val="556257E4"/>
    <w:multiLevelType w:val="multilevel"/>
    <w:tmpl w:val="7D3CD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561823C3"/>
    <w:multiLevelType w:val="multilevel"/>
    <w:tmpl w:val="41C8E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562E7393"/>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56303837"/>
    <w:multiLevelType w:val="multilevel"/>
    <w:tmpl w:val="8796069A"/>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616" w15:restartNumberingAfterBreak="0">
    <w:nsid w:val="565F48CD"/>
    <w:multiLevelType w:val="hybridMultilevel"/>
    <w:tmpl w:val="5DF03068"/>
    <w:lvl w:ilvl="0" w:tplc="82765FF2">
      <w:start w:val="1"/>
      <w:numFmt w:val="bullet"/>
      <w:lvlText w:val=""/>
      <w:lvlJc w:val="left"/>
      <w:pPr>
        <w:ind w:left="720" w:hanging="360"/>
      </w:pPr>
      <w:rPr>
        <w:rFonts w:ascii="Symbol" w:hAnsi="Symbol" w:hint="default"/>
      </w:rPr>
    </w:lvl>
    <w:lvl w:ilvl="1" w:tplc="22DEE0E4" w:tentative="1">
      <w:start w:val="1"/>
      <w:numFmt w:val="bullet"/>
      <w:lvlText w:val="o"/>
      <w:lvlJc w:val="left"/>
      <w:pPr>
        <w:ind w:left="1440" w:hanging="360"/>
      </w:pPr>
      <w:rPr>
        <w:rFonts w:ascii="Courier New" w:hAnsi="Courier New" w:hint="default"/>
      </w:rPr>
    </w:lvl>
    <w:lvl w:ilvl="2" w:tplc="0EFA08C4" w:tentative="1">
      <w:start w:val="1"/>
      <w:numFmt w:val="bullet"/>
      <w:lvlText w:val=""/>
      <w:lvlJc w:val="left"/>
      <w:pPr>
        <w:ind w:left="2160" w:hanging="360"/>
      </w:pPr>
      <w:rPr>
        <w:rFonts w:ascii="Wingdings" w:hAnsi="Wingdings" w:hint="default"/>
      </w:rPr>
    </w:lvl>
    <w:lvl w:ilvl="3" w:tplc="8E72211E" w:tentative="1">
      <w:start w:val="1"/>
      <w:numFmt w:val="bullet"/>
      <w:lvlText w:val=""/>
      <w:lvlJc w:val="left"/>
      <w:pPr>
        <w:ind w:left="2880" w:hanging="360"/>
      </w:pPr>
      <w:rPr>
        <w:rFonts w:ascii="Symbol" w:hAnsi="Symbol" w:hint="default"/>
      </w:rPr>
    </w:lvl>
    <w:lvl w:ilvl="4" w:tplc="FCAAA3D4" w:tentative="1">
      <w:start w:val="1"/>
      <w:numFmt w:val="bullet"/>
      <w:lvlText w:val="o"/>
      <w:lvlJc w:val="left"/>
      <w:pPr>
        <w:ind w:left="3600" w:hanging="360"/>
      </w:pPr>
      <w:rPr>
        <w:rFonts w:ascii="Courier New" w:hAnsi="Courier New" w:hint="default"/>
      </w:rPr>
    </w:lvl>
    <w:lvl w:ilvl="5" w:tplc="96BE9124" w:tentative="1">
      <w:start w:val="1"/>
      <w:numFmt w:val="bullet"/>
      <w:lvlText w:val=""/>
      <w:lvlJc w:val="left"/>
      <w:pPr>
        <w:ind w:left="4320" w:hanging="360"/>
      </w:pPr>
      <w:rPr>
        <w:rFonts w:ascii="Wingdings" w:hAnsi="Wingdings" w:hint="default"/>
      </w:rPr>
    </w:lvl>
    <w:lvl w:ilvl="6" w:tplc="BE903A7C" w:tentative="1">
      <w:start w:val="1"/>
      <w:numFmt w:val="bullet"/>
      <w:lvlText w:val=""/>
      <w:lvlJc w:val="left"/>
      <w:pPr>
        <w:ind w:left="5040" w:hanging="360"/>
      </w:pPr>
      <w:rPr>
        <w:rFonts w:ascii="Symbol" w:hAnsi="Symbol" w:hint="default"/>
      </w:rPr>
    </w:lvl>
    <w:lvl w:ilvl="7" w:tplc="278A33C0" w:tentative="1">
      <w:start w:val="1"/>
      <w:numFmt w:val="bullet"/>
      <w:lvlText w:val="o"/>
      <w:lvlJc w:val="left"/>
      <w:pPr>
        <w:ind w:left="5760" w:hanging="360"/>
      </w:pPr>
      <w:rPr>
        <w:rFonts w:ascii="Courier New" w:hAnsi="Courier New" w:hint="default"/>
      </w:rPr>
    </w:lvl>
    <w:lvl w:ilvl="8" w:tplc="9EC685FC" w:tentative="1">
      <w:start w:val="1"/>
      <w:numFmt w:val="bullet"/>
      <w:lvlText w:val=""/>
      <w:lvlJc w:val="left"/>
      <w:pPr>
        <w:ind w:left="6480" w:hanging="360"/>
      </w:pPr>
      <w:rPr>
        <w:rFonts w:ascii="Wingdings" w:hAnsi="Wingdings" w:hint="default"/>
      </w:rPr>
    </w:lvl>
  </w:abstractNum>
  <w:abstractNum w:abstractNumId="617" w15:restartNumberingAfterBreak="0">
    <w:nsid w:val="56747402"/>
    <w:multiLevelType w:val="multilevel"/>
    <w:tmpl w:val="7D78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56901197"/>
    <w:multiLevelType w:val="multilevel"/>
    <w:tmpl w:val="DFF419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9" w15:restartNumberingAfterBreak="0">
    <w:nsid w:val="56C6230B"/>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6CD3290"/>
    <w:multiLevelType w:val="multilevel"/>
    <w:tmpl w:val="F7FE7B10"/>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621" w15:restartNumberingAfterBreak="0">
    <w:nsid w:val="57093D8D"/>
    <w:multiLevelType w:val="multilevel"/>
    <w:tmpl w:val="1B24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70E74C1"/>
    <w:multiLevelType w:val="multilevel"/>
    <w:tmpl w:val="CACA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572E4478"/>
    <w:multiLevelType w:val="multilevel"/>
    <w:tmpl w:val="F860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573F622F"/>
    <w:multiLevelType w:val="multilevel"/>
    <w:tmpl w:val="D1FC6B3A"/>
    <w:lvl w:ilvl="0">
      <w:start w:val="4"/>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25" w15:restartNumberingAfterBreak="0">
    <w:nsid w:val="57400456"/>
    <w:multiLevelType w:val="multilevel"/>
    <w:tmpl w:val="1552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574C4972"/>
    <w:multiLevelType w:val="multilevel"/>
    <w:tmpl w:val="C69AA7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7" w15:restartNumberingAfterBreak="0">
    <w:nsid w:val="578726F5"/>
    <w:multiLevelType w:val="hybridMultilevel"/>
    <w:tmpl w:val="9FFAE944"/>
    <w:lvl w:ilvl="0" w:tplc="A2925F1C">
      <w:start w:val="1"/>
      <w:numFmt w:val="bullet"/>
      <w:lvlText w:val=""/>
      <w:lvlJc w:val="left"/>
      <w:pPr>
        <w:ind w:left="720" w:hanging="360"/>
      </w:pPr>
      <w:rPr>
        <w:rFonts w:ascii="Symbol" w:hAnsi="Symbol" w:hint="default"/>
      </w:rPr>
    </w:lvl>
    <w:lvl w:ilvl="1" w:tplc="14D8E758" w:tentative="1">
      <w:start w:val="1"/>
      <w:numFmt w:val="bullet"/>
      <w:lvlText w:val="o"/>
      <w:lvlJc w:val="left"/>
      <w:pPr>
        <w:ind w:left="1440" w:hanging="360"/>
      </w:pPr>
      <w:rPr>
        <w:rFonts w:ascii="Courier New" w:hAnsi="Courier New" w:hint="default"/>
      </w:rPr>
    </w:lvl>
    <w:lvl w:ilvl="2" w:tplc="9E803526" w:tentative="1">
      <w:start w:val="1"/>
      <w:numFmt w:val="bullet"/>
      <w:lvlText w:val=""/>
      <w:lvlJc w:val="left"/>
      <w:pPr>
        <w:ind w:left="2160" w:hanging="360"/>
      </w:pPr>
      <w:rPr>
        <w:rFonts w:ascii="Wingdings" w:hAnsi="Wingdings" w:hint="default"/>
      </w:rPr>
    </w:lvl>
    <w:lvl w:ilvl="3" w:tplc="45CE6644" w:tentative="1">
      <w:start w:val="1"/>
      <w:numFmt w:val="bullet"/>
      <w:lvlText w:val=""/>
      <w:lvlJc w:val="left"/>
      <w:pPr>
        <w:ind w:left="2880" w:hanging="360"/>
      </w:pPr>
      <w:rPr>
        <w:rFonts w:ascii="Symbol" w:hAnsi="Symbol" w:hint="default"/>
      </w:rPr>
    </w:lvl>
    <w:lvl w:ilvl="4" w:tplc="DB248768" w:tentative="1">
      <w:start w:val="1"/>
      <w:numFmt w:val="bullet"/>
      <w:lvlText w:val="o"/>
      <w:lvlJc w:val="left"/>
      <w:pPr>
        <w:ind w:left="3600" w:hanging="360"/>
      </w:pPr>
      <w:rPr>
        <w:rFonts w:ascii="Courier New" w:hAnsi="Courier New" w:hint="default"/>
      </w:rPr>
    </w:lvl>
    <w:lvl w:ilvl="5" w:tplc="299491CC" w:tentative="1">
      <w:start w:val="1"/>
      <w:numFmt w:val="bullet"/>
      <w:lvlText w:val=""/>
      <w:lvlJc w:val="left"/>
      <w:pPr>
        <w:ind w:left="4320" w:hanging="360"/>
      </w:pPr>
      <w:rPr>
        <w:rFonts w:ascii="Wingdings" w:hAnsi="Wingdings" w:hint="default"/>
      </w:rPr>
    </w:lvl>
    <w:lvl w:ilvl="6" w:tplc="D9D6A788" w:tentative="1">
      <w:start w:val="1"/>
      <w:numFmt w:val="bullet"/>
      <w:lvlText w:val=""/>
      <w:lvlJc w:val="left"/>
      <w:pPr>
        <w:ind w:left="5040" w:hanging="360"/>
      </w:pPr>
      <w:rPr>
        <w:rFonts w:ascii="Symbol" w:hAnsi="Symbol" w:hint="default"/>
      </w:rPr>
    </w:lvl>
    <w:lvl w:ilvl="7" w:tplc="AFB0A89A" w:tentative="1">
      <w:start w:val="1"/>
      <w:numFmt w:val="bullet"/>
      <w:lvlText w:val="o"/>
      <w:lvlJc w:val="left"/>
      <w:pPr>
        <w:ind w:left="5760" w:hanging="360"/>
      </w:pPr>
      <w:rPr>
        <w:rFonts w:ascii="Courier New" w:hAnsi="Courier New" w:hint="default"/>
      </w:rPr>
    </w:lvl>
    <w:lvl w:ilvl="8" w:tplc="C1F2F0B2" w:tentative="1">
      <w:start w:val="1"/>
      <w:numFmt w:val="bullet"/>
      <w:lvlText w:val=""/>
      <w:lvlJc w:val="left"/>
      <w:pPr>
        <w:ind w:left="6480" w:hanging="360"/>
      </w:pPr>
      <w:rPr>
        <w:rFonts w:ascii="Wingdings" w:hAnsi="Wingdings" w:hint="default"/>
      </w:rPr>
    </w:lvl>
  </w:abstractNum>
  <w:abstractNum w:abstractNumId="628" w15:restartNumberingAfterBreak="0">
    <w:nsid w:val="57954637"/>
    <w:multiLevelType w:val="multilevel"/>
    <w:tmpl w:val="FF6A1ACE"/>
    <w:lvl w:ilvl="0">
      <w:start w:val="4"/>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629" w15:restartNumberingAfterBreak="0">
    <w:nsid w:val="57983722"/>
    <w:multiLevelType w:val="multilevel"/>
    <w:tmpl w:val="A85C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57A92FFA"/>
    <w:multiLevelType w:val="multilevel"/>
    <w:tmpl w:val="97BA2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57AB0703"/>
    <w:multiLevelType w:val="multilevel"/>
    <w:tmpl w:val="3E30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57AF10CF"/>
    <w:multiLevelType w:val="hybridMultilevel"/>
    <w:tmpl w:val="1D082F12"/>
    <w:lvl w:ilvl="0" w:tplc="37FE8B26">
      <w:start w:val="1"/>
      <w:numFmt w:val="bullet"/>
      <w:lvlText w:val=""/>
      <w:lvlJc w:val="left"/>
      <w:pPr>
        <w:ind w:left="720" w:hanging="360"/>
      </w:pPr>
      <w:rPr>
        <w:rFonts w:ascii="Symbol" w:hAnsi="Symbol" w:hint="default"/>
      </w:rPr>
    </w:lvl>
    <w:lvl w:ilvl="1" w:tplc="D96A7108" w:tentative="1">
      <w:start w:val="1"/>
      <w:numFmt w:val="bullet"/>
      <w:lvlText w:val="o"/>
      <w:lvlJc w:val="left"/>
      <w:pPr>
        <w:ind w:left="1440" w:hanging="360"/>
      </w:pPr>
      <w:rPr>
        <w:rFonts w:ascii="Courier New" w:hAnsi="Courier New" w:hint="default"/>
      </w:rPr>
    </w:lvl>
    <w:lvl w:ilvl="2" w:tplc="A56C97CA" w:tentative="1">
      <w:start w:val="1"/>
      <w:numFmt w:val="bullet"/>
      <w:lvlText w:val=""/>
      <w:lvlJc w:val="left"/>
      <w:pPr>
        <w:ind w:left="2160" w:hanging="360"/>
      </w:pPr>
      <w:rPr>
        <w:rFonts w:ascii="Wingdings" w:hAnsi="Wingdings" w:hint="default"/>
      </w:rPr>
    </w:lvl>
    <w:lvl w:ilvl="3" w:tplc="CF4AFD22" w:tentative="1">
      <w:start w:val="1"/>
      <w:numFmt w:val="bullet"/>
      <w:lvlText w:val=""/>
      <w:lvlJc w:val="left"/>
      <w:pPr>
        <w:ind w:left="2880" w:hanging="360"/>
      </w:pPr>
      <w:rPr>
        <w:rFonts w:ascii="Symbol" w:hAnsi="Symbol" w:hint="default"/>
      </w:rPr>
    </w:lvl>
    <w:lvl w:ilvl="4" w:tplc="CF7EB254" w:tentative="1">
      <w:start w:val="1"/>
      <w:numFmt w:val="bullet"/>
      <w:lvlText w:val="o"/>
      <w:lvlJc w:val="left"/>
      <w:pPr>
        <w:ind w:left="3600" w:hanging="360"/>
      </w:pPr>
      <w:rPr>
        <w:rFonts w:ascii="Courier New" w:hAnsi="Courier New" w:hint="default"/>
      </w:rPr>
    </w:lvl>
    <w:lvl w:ilvl="5" w:tplc="F856A960" w:tentative="1">
      <w:start w:val="1"/>
      <w:numFmt w:val="bullet"/>
      <w:lvlText w:val=""/>
      <w:lvlJc w:val="left"/>
      <w:pPr>
        <w:ind w:left="4320" w:hanging="360"/>
      </w:pPr>
      <w:rPr>
        <w:rFonts w:ascii="Wingdings" w:hAnsi="Wingdings" w:hint="default"/>
      </w:rPr>
    </w:lvl>
    <w:lvl w:ilvl="6" w:tplc="7998369E" w:tentative="1">
      <w:start w:val="1"/>
      <w:numFmt w:val="bullet"/>
      <w:lvlText w:val=""/>
      <w:lvlJc w:val="left"/>
      <w:pPr>
        <w:ind w:left="5040" w:hanging="360"/>
      </w:pPr>
      <w:rPr>
        <w:rFonts w:ascii="Symbol" w:hAnsi="Symbol" w:hint="default"/>
      </w:rPr>
    </w:lvl>
    <w:lvl w:ilvl="7" w:tplc="A06236F4" w:tentative="1">
      <w:start w:val="1"/>
      <w:numFmt w:val="bullet"/>
      <w:lvlText w:val="o"/>
      <w:lvlJc w:val="left"/>
      <w:pPr>
        <w:ind w:left="5760" w:hanging="360"/>
      </w:pPr>
      <w:rPr>
        <w:rFonts w:ascii="Courier New" w:hAnsi="Courier New" w:hint="default"/>
      </w:rPr>
    </w:lvl>
    <w:lvl w:ilvl="8" w:tplc="BC9C3624" w:tentative="1">
      <w:start w:val="1"/>
      <w:numFmt w:val="bullet"/>
      <w:lvlText w:val=""/>
      <w:lvlJc w:val="left"/>
      <w:pPr>
        <w:ind w:left="6480" w:hanging="360"/>
      </w:pPr>
      <w:rPr>
        <w:rFonts w:ascii="Wingdings" w:hAnsi="Wingdings" w:hint="default"/>
      </w:rPr>
    </w:lvl>
  </w:abstractNum>
  <w:abstractNum w:abstractNumId="633" w15:restartNumberingAfterBreak="0">
    <w:nsid w:val="57D83D83"/>
    <w:multiLevelType w:val="multilevel"/>
    <w:tmpl w:val="2148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58021A49"/>
    <w:multiLevelType w:val="multilevel"/>
    <w:tmpl w:val="56B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580D262A"/>
    <w:multiLevelType w:val="multilevel"/>
    <w:tmpl w:val="9892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582F5397"/>
    <w:multiLevelType w:val="hybridMultilevel"/>
    <w:tmpl w:val="132AA5B8"/>
    <w:lvl w:ilvl="0" w:tplc="37DEB2C0">
      <w:start w:val="1"/>
      <w:numFmt w:val="bullet"/>
      <w:lvlText w:val=""/>
      <w:lvlJc w:val="left"/>
      <w:pPr>
        <w:ind w:left="720" w:hanging="360"/>
      </w:pPr>
      <w:rPr>
        <w:rFonts w:ascii="Symbol" w:hAnsi="Symbol" w:hint="default"/>
      </w:rPr>
    </w:lvl>
    <w:lvl w:ilvl="1" w:tplc="1DD034E8" w:tentative="1">
      <w:start w:val="1"/>
      <w:numFmt w:val="bullet"/>
      <w:lvlText w:val="o"/>
      <w:lvlJc w:val="left"/>
      <w:pPr>
        <w:ind w:left="1440" w:hanging="360"/>
      </w:pPr>
      <w:rPr>
        <w:rFonts w:ascii="Courier New" w:hAnsi="Courier New" w:hint="default"/>
      </w:rPr>
    </w:lvl>
    <w:lvl w:ilvl="2" w:tplc="2DC0A6DA" w:tentative="1">
      <w:start w:val="1"/>
      <w:numFmt w:val="bullet"/>
      <w:lvlText w:val=""/>
      <w:lvlJc w:val="left"/>
      <w:pPr>
        <w:ind w:left="2160" w:hanging="360"/>
      </w:pPr>
      <w:rPr>
        <w:rFonts w:ascii="Wingdings" w:hAnsi="Wingdings" w:hint="default"/>
      </w:rPr>
    </w:lvl>
    <w:lvl w:ilvl="3" w:tplc="72F0F0FE" w:tentative="1">
      <w:start w:val="1"/>
      <w:numFmt w:val="bullet"/>
      <w:lvlText w:val=""/>
      <w:lvlJc w:val="left"/>
      <w:pPr>
        <w:ind w:left="2880" w:hanging="360"/>
      </w:pPr>
      <w:rPr>
        <w:rFonts w:ascii="Symbol" w:hAnsi="Symbol" w:hint="default"/>
      </w:rPr>
    </w:lvl>
    <w:lvl w:ilvl="4" w:tplc="D0B2EBCC" w:tentative="1">
      <w:start w:val="1"/>
      <w:numFmt w:val="bullet"/>
      <w:lvlText w:val="o"/>
      <w:lvlJc w:val="left"/>
      <w:pPr>
        <w:ind w:left="3600" w:hanging="360"/>
      </w:pPr>
      <w:rPr>
        <w:rFonts w:ascii="Courier New" w:hAnsi="Courier New" w:hint="default"/>
      </w:rPr>
    </w:lvl>
    <w:lvl w:ilvl="5" w:tplc="A672F04A" w:tentative="1">
      <w:start w:val="1"/>
      <w:numFmt w:val="bullet"/>
      <w:lvlText w:val=""/>
      <w:lvlJc w:val="left"/>
      <w:pPr>
        <w:ind w:left="4320" w:hanging="360"/>
      </w:pPr>
      <w:rPr>
        <w:rFonts w:ascii="Wingdings" w:hAnsi="Wingdings" w:hint="default"/>
      </w:rPr>
    </w:lvl>
    <w:lvl w:ilvl="6" w:tplc="DB165386" w:tentative="1">
      <w:start w:val="1"/>
      <w:numFmt w:val="bullet"/>
      <w:lvlText w:val=""/>
      <w:lvlJc w:val="left"/>
      <w:pPr>
        <w:ind w:left="5040" w:hanging="360"/>
      </w:pPr>
      <w:rPr>
        <w:rFonts w:ascii="Symbol" w:hAnsi="Symbol" w:hint="default"/>
      </w:rPr>
    </w:lvl>
    <w:lvl w:ilvl="7" w:tplc="C8805B2A" w:tentative="1">
      <w:start w:val="1"/>
      <w:numFmt w:val="bullet"/>
      <w:lvlText w:val="o"/>
      <w:lvlJc w:val="left"/>
      <w:pPr>
        <w:ind w:left="5760" w:hanging="360"/>
      </w:pPr>
      <w:rPr>
        <w:rFonts w:ascii="Courier New" w:hAnsi="Courier New" w:hint="default"/>
      </w:rPr>
    </w:lvl>
    <w:lvl w:ilvl="8" w:tplc="F3E4128E" w:tentative="1">
      <w:start w:val="1"/>
      <w:numFmt w:val="bullet"/>
      <w:lvlText w:val=""/>
      <w:lvlJc w:val="left"/>
      <w:pPr>
        <w:ind w:left="6480" w:hanging="360"/>
      </w:pPr>
      <w:rPr>
        <w:rFonts w:ascii="Wingdings" w:hAnsi="Wingdings" w:hint="default"/>
      </w:rPr>
    </w:lvl>
  </w:abstractNum>
  <w:abstractNum w:abstractNumId="637" w15:restartNumberingAfterBreak="0">
    <w:nsid w:val="585042E5"/>
    <w:multiLevelType w:val="multilevel"/>
    <w:tmpl w:val="024A3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58655666"/>
    <w:multiLevelType w:val="hybridMultilevel"/>
    <w:tmpl w:val="AB02D9CA"/>
    <w:lvl w:ilvl="0" w:tplc="876E0146">
      <w:start w:val="1"/>
      <w:numFmt w:val="bullet"/>
      <w:lvlText w:val=""/>
      <w:lvlJc w:val="left"/>
      <w:pPr>
        <w:ind w:left="720" w:hanging="360"/>
      </w:pPr>
      <w:rPr>
        <w:rFonts w:ascii="Symbol" w:hAnsi="Symbol" w:hint="default"/>
      </w:rPr>
    </w:lvl>
    <w:lvl w:ilvl="1" w:tplc="41AA70B8" w:tentative="1">
      <w:start w:val="1"/>
      <w:numFmt w:val="bullet"/>
      <w:lvlText w:val="o"/>
      <w:lvlJc w:val="left"/>
      <w:pPr>
        <w:ind w:left="1440" w:hanging="360"/>
      </w:pPr>
      <w:rPr>
        <w:rFonts w:ascii="Courier New" w:hAnsi="Courier New" w:hint="default"/>
      </w:rPr>
    </w:lvl>
    <w:lvl w:ilvl="2" w:tplc="B4221C88" w:tentative="1">
      <w:start w:val="1"/>
      <w:numFmt w:val="bullet"/>
      <w:lvlText w:val=""/>
      <w:lvlJc w:val="left"/>
      <w:pPr>
        <w:ind w:left="2160" w:hanging="360"/>
      </w:pPr>
      <w:rPr>
        <w:rFonts w:ascii="Wingdings" w:hAnsi="Wingdings" w:hint="default"/>
      </w:rPr>
    </w:lvl>
    <w:lvl w:ilvl="3" w:tplc="087489A2" w:tentative="1">
      <w:start w:val="1"/>
      <w:numFmt w:val="bullet"/>
      <w:lvlText w:val=""/>
      <w:lvlJc w:val="left"/>
      <w:pPr>
        <w:ind w:left="2880" w:hanging="360"/>
      </w:pPr>
      <w:rPr>
        <w:rFonts w:ascii="Symbol" w:hAnsi="Symbol" w:hint="default"/>
      </w:rPr>
    </w:lvl>
    <w:lvl w:ilvl="4" w:tplc="A14C7282" w:tentative="1">
      <w:start w:val="1"/>
      <w:numFmt w:val="bullet"/>
      <w:lvlText w:val="o"/>
      <w:lvlJc w:val="left"/>
      <w:pPr>
        <w:ind w:left="3600" w:hanging="360"/>
      </w:pPr>
      <w:rPr>
        <w:rFonts w:ascii="Courier New" w:hAnsi="Courier New" w:hint="default"/>
      </w:rPr>
    </w:lvl>
    <w:lvl w:ilvl="5" w:tplc="681EA860" w:tentative="1">
      <w:start w:val="1"/>
      <w:numFmt w:val="bullet"/>
      <w:lvlText w:val=""/>
      <w:lvlJc w:val="left"/>
      <w:pPr>
        <w:ind w:left="4320" w:hanging="360"/>
      </w:pPr>
      <w:rPr>
        <w:rFonts w:ascii="Wingdings" w:hAnsi="Wingdings" w:hint="default"/>
      </w:rPr>
    </w:lvl>
    <w:lvl w:ilvl="6" w:tplc="F3C0D496" w:tentative="1">
      <w:start w:val="1"/>
      <w:numFmt w:val="bullet"/>
      <w:lvlText w:val=""/>
      <w:lvlJc w:val="left"/>
      <w:pPr>
        <w:ind w:left="5040" w:hanging="360"/>
      </w:pPr>
      <w:rPr>
        <w:rFonts w:ascii="Symbol" w:hAnsi="Symbol" w:hint="default"/>
      </w:rPr>
    </w:lvl>
    <w:lvl w:ilvl="7" w:tplc="2112389C" w:tentative="1">
      <w:start w:val="1"/>
      <w:numFmt w:val="bullet"/>
      <w:lvlText w:val="o"/>
      <w:lvlJc w:val="left"/>
      <w:pPr>
        <w:ind w:left="5760" w:hanging="360"/>
      </w:pPr>
      <w:rPr>
        <w:rFonts w:ascii="Courier New" w:hAnsi="Courier New" w:hint="default"/>
      </w:rPr>
    </w:lvl>
    <w:lvl w:ilvl="8" w:tplc="2C422BE6" w:tentative="1">
      <w:start w:val="1"/>
      <w:numFmt w:val="bullet"/>
      <w:lvlText w:val=""/>
      <w:lvlJc w:val="left"/>
      <w:pPr>
        <w:ind w:left="6480" w:hanging="360"/>
      </w:pPr>
      <w:rPr>
        <w:rFonts w:ascii="Wingdings" w:hAnsi="Wingdings" w:hint="default"/>
      </w:rPr>
    </w:lvl>
  </w:abstractNum>
  <w:abstractNum w:abstractNumId="639" w15:restartNumberingAfterBreak="0">
    <w:nsid w:val="588E0CD9"/>
    <w:multiLevelType w:val="multilevel"/>
    <w:tmpl w:val="0A8E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58A901E0"/>
    <w:multiLevelType w:val="multilevel"/>
    <w:tmpl w:val="548E40A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41" w15:restartNumberingAfterBreak="0">
    <w:nsid w:val="58A9054A"/>
    <w:multiLevelType w:val="hybridMultilevel"/>
    <w:tmpl w:val="264C9B70"/>
    <w:lvl w:ilvl="0" w:tplc="CE9EFB30">
      <w:start w:val="1"/>
      <w:numFmt w:val="bullet"/>
      <w:lvlText w:val=""/>
      <w:lvlJc w:val="left"/>
      <w:pPr>
        <w:ind w:left="720" w:hanging="360"/>
      </w:pPr>
      <w:rPr>
        <w:rFonts w:ascii="Symbol" w:hAnsi="Symbol" w:hint="default"/>
      </w:rPr>
    </w:lvl>
    <w:lvl w:ilvl="1" w:tplc="270C3C4C" w:tentative="1">
      <w:start w:val="1"/>
      <w:numFmt w:val="bullet"/>
      <w:lvlText w:val="o"/>
      <w:lvlJc w:val="left"/>
      <w:pPr>
        <w:ind w:left="1440" w:hanging="360"/>
      </w:pPr>
      <w:rPr>
        <w:rFonts w:ascii="Courier New" w:hAnsi="Courier New" w:hint="default"/>
      </w:rPr>
    </w:lvl>
    <w:lvl w:ilvl="2" w:tplc="BF689C94" w:tentative="1">
      <w:start w:val="1"/>
      <w:numFmt w:val="bullet"/>
      <w:lvlText w:val=""/>
      <w:lvlJc w:val="left"/>
      <w:pPr>
        <w:ind w:left="2160" w:hanging="360"/>
      </w:pPr>
      <w:rPr>
        <w:rFonts w:ascii="Wingdings" w:hAnsi="Wingdings" w:hint="default"/>
      </w:rPr>
    </w:lvl>
    <w:lvl w:ilvl="3" w:tplc="65A03FD8" w:tentative="1">
      <w:start w:val="1"/>
      <w:numFmt w:val="bullet"/>
      <w:lvlText w:val=""/>
      <w:lvlJc w:val="left"/>
      <w:pPr>
        <w:ind w:left="2880" w:hanging="360"/>
      </w:pPr>
      <w:rPr>
        <w:rFonts w:ascii="Symbol" w:hAnsi="Symbol" w:hint="default"/>
      </w:rPr>
    </w:lvl>
    <w:lvl w:ilvl="4" w:tplc="CCA0A5FE" w:tentative="1">
      <w:start w:val="1"/>
      <w:numFmt w:val="bullet"/>
      <w:lvlText w:val="o"/>
      <w:lvlJc w:val="left"/>
      <w:pPr>
        <w:ind w:left="3600" w:hanging="360"/>
      </w:pPr>
      <w:rPr>
        <w:rFonts w:ascii="Courier New" w:hAnsi="Courier New" w:hint="default"/>
      </w:rPr>
    </w:lvl>
    <w:lvl w:ilvl="5" w:tplc="9BACB88C" w:tentative="1">
      <w:start w:val="1"/>
      <w:numFmt w:val="bullet"/>
      <w:lvlText w:val=""/>
      <w:lvlJc w:val="left"/>
      <w:pPr>
        <w:ind w:left="4320" w:hanging="360"/>
      </w:pPr>
      <w:rPr>
        <w:rFonts w:ascii="Wingdings" w:hAnsi="Wingdings" w:hint="default"/>
      </w:rPr>
    </w:lvl>
    <w:lvl w:ilvl="6" w:tplc="65B2BF7E" w:tentative="1">
      <w:start w:val="1"/>
      <w:numFmt w:val="bullet"/>
      <w:lvlText w:val=""/>
      <w:lvlJc w:val="left"/>
      <w:pPr>
        <w:ind w:left="5040" w:hanging="360"/>
      </w:pPr>
      <w:rPr>
        <w:rFonts w:ascii="Symbol" w:hAnsi="Symbol" w:hint="default"/>
      </w:rPr>
    </w:lvl>
    <w:lvl w:ilvl="7" w:tplc="D624C5A6" w:tentative="1">
      <w:start w:val="1"/>
      <w:numFmt w:val="bullet"/>
      <w:lvlText w:val="o"/>
      <w:lvlJc w:val="left"/>
      <w:pPr>
        <w:ind w:left="5760" w:hanging="360"/>
      </w:pPr>
      <w:rPr>
        <w:rFonts w:ascii="Courier New" w:hAnsi="Courier New" w:hint="default"/>
      </w:rPr>
    </w:lvl>
    <w:lvl w:ilvl="8" w:tplc="F1DACBD8" w:tentative="1">
      <w:start w:val="1"/>
      <w:numFmt w:val="bullet"/>
      <w:lvlText w:val=""/>
      <w:lvlJc w:val="left"/>
      <w:pPr>
        <w:ind w:left="6480" w:hanging="360"/>
      </w:pPr>
      <w:rPr>
        <w:rFonts w:ascii="Wingdings" w:hAnsi="Wingdings" w:hint="default"/>
      </w:rPr>
    </w:lvl>
  </w:abstractNum>
  <w:abstractNum w:abstractNumId="642" w15:restartNumberingAfterBreak="0">
    <w:nsid w:val="590A21BB"/>
    <w:multiLevelType w:val="multilevel"/>
    <w:tmpl w:val="8726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3" w15:restartNumberingAfterBreak="0">
    <w:nsid w:val="592F238B"/>
    <w:multiLevelType w:val="multilevel"/>
    <w:tmpl w:val="942E3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59362584"/>
    <w:multiLevelType w:val="multilevel"/>
    <w:tmpl w:val="F7BA4C8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45" w15:restartNumberingAfterBreak="0">
    <w:nsid w:val="593D3DDC"/>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6" w15:restartNumberingAfterBreak="0">
    <w:nsid w:val="595020A5"/>
    <w:multiLevelType w:val="hybridMultilevel"/>
    <w:tmpl w:val="27BEEE74"/>
    <w:lvl w:ilvl="0" w:tplc="91C22DE0">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4EA206E8" w:tentative="1">
      <w:start w:val="1"/>
      <w:numFmt w:val="bullet"/>
      <w:lvlText w:val="o"/>
      <w:lvlJc w:val="left"/>
      <w:pPr>
        <w:ind w:left="1440" w:hanging="360"/>
      </w:pPr>
      <w:rPr>
        <w:rFonts w:ascii="Courier New" w:hAnsi="Courier New" w:hint="default"/>
      </w:rPr>
    </w:lvl>
    <w:lvl w:ilvl="2" w:tplc="76262EFA" w:tentative="1">
      <w:start w:val="1"/>
      <w:numFmt w:val="bullet"/>
      <w:lvlText w:val=""/>
      <w:lvlJc w:val="left"/>
      <w:pPr>
        <w:ind w:left="2160" w:hanging="360"/>
      </w:pPr>
      <w:rPr>
        <w:rFonts w:ascii="Wingdings" w:hAnsi="Wingdings" w:hint="default"/>
      </w:rPr>
    </w:lvl>
    <w:lvl w:ilvl="3" w:tplc="71A4FCB4" w:tentative="1">
      <w:start w:val="1"/>
      <w:numFmt w:val="bullet"/>
      <w:lvlText w:val=""/>
      <w:lvlJc w:val="left"/>
      <w:pPr>
        <w:ind w:left="2880" w:hanging="360"/>
      </w:pPr>
      <w:rPr>
        <w:rFonts w:ascii="Symbol" w:hAnsi="Symbol" w:hint="default"/>
      </w:rPr>
    </w:lvl>
    <w:lvl w:ilvl="4" w:tplc="1A06D68C" w:tentative="1">
      <w:start w:val="1"/>
      <w:numFmt w:val="bullet"/>
      <w:lvlText w:val="o"/>
      <w:lvlJc w:val="left"/>
      <w:pPr>
        <w:ind w:left="3600" w:hanging="360"/>
      </w:pPr>
      <w:rPr>
        <w:rFonts w:ascii="Courier New" w:hAnsi="Courier New" w:hint="default"/>
      </w:rPr>
    </w:lvl>
    <w:lvl w:ilvl="5" w:tplc="5DBED16C" w:tentative="1">
      <w:start w:val="1"/>
      <w:numFmt w:val="bullet"/>
      <w:lvlText w:val=""/>
      <w:lvlJc w:val="left"/>
      <w:pPr>
        <w:ind w:left="4320" w:hanging="360"/>
      </w:pPr>
      <w:rPr>
        <w:rFonts w:ascii="Wingdings" w:hAnsi="Wingdings" w:hint="default"/>
      </w:rPr>
    </w:lvl>
    <w:lvl w:ilvl="6" w:tplc="A7F29CBA" w:tentative="1">
      <w:start w:val="1"/>
      <w:numFmt w:val="bullet"/>
      <w:lvlText w:val=""/>
      <w:lvlJc w:val="left"/>
      <w:pPr>
        <w:ind w:left="5040" w:hanging="360"/>
      </w:pPr>
      <w:rPr>
        <w:rFonts w:ascii="Symbol" w:hAnsi="Symbol" w:hint="default"/>
      </w:rPr>
    </w:lvl>
    <w:lvl w:ilvl="7" w:tplc="1526DA20" w:tentative="1">
      <w:start w:val="1"/>
      <w:numFmt w:val="bullet"/>
      <w:lvlText w:val="o"/>
      <w:lvlJc w:val="left"/>
      <w:pPr>
        <w:ind w:left="5760" w:hanging="360"/>
      </w:pPr>
      <w:rPr>
        <w:rFonts w:ascii="Courier New" w:hAnsi="Courier New" w:hint="default"/>
      </w:rPr>
    </w:lvl>
    <w:lvl w:ilvl="8" w:tplc="78D4E858" w:tentative="1">
      <w:start w:val="1"/>
      <w:numFmt w:val="bullet"/>
      <w:lvlText w:val=""/>
      <w:lvlJc w:val="left"/>
      <w:pPr>
        <w:ind w:left="6480" w:hanging="360"/>
      </w:pPr>
      <w:rPr>
        <w:rFonts w:ascii="Wingdings" w:hAnsi="Wingdings" w:hint="default"/>
      </w:rPr>
    </w:lvl>
  </w:abstractNum>
  <w:abstractNum w:abstractNumId="647" w15:restartNumberingAfterBreak="0">
    <w:nsid w:val="59526A71"/>
    <w:multiLevelType w:val="multilevel"/>
    <w:tmpl w:val="79D8B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59695436"/>
    <w:multiLevelType w:val="multilevel"/>
    <w:tmpl w:val="D2C8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9" w15:restartNumberingAfterBreak="0">
    <w:nsid w:val="59C77BE9"/>
    <w:multiLevelType w:val="hybridMultilevel"/>
    <w:tmpl w:val="DBA03624"/>
    <w:lvl w:ilvl="0" w:tplc="DA68875E">
      <w:start w:val="1"/>
      <w:numFmt w:val="bullet"/>
      <w:lvlText w:val=""/>
      <w:lvlJc w:val="left"/>
      <w:pPr>
        <w:ind w:left="720" w:hanging="360"/>
      </w:pPr>
      <w:rPr>
        <w:rFonts w:ascii="Symbol" w:hAnsi="Symbol" w:hint="default"/>
      </w:rPr>
    </w:lvl>
    <w:lvl w:ilvl="1" w:tplc="9F6445FA" w:tentative="1">
      <w:start w:val="1"/>
      <w:numFmt w:val="bullet"/>
      <w:lvlText w:val="o"/>
      <w:lvlJc w:val="left"/>
      <w:pPr>
        <w:ind w:left="1440" w:hanging="360"/>
      </w:pPr>
      <w:rPr>
        <w:rFonts w:ascii="Courier New" w:hAnsi="Courier New" w:hint="default"/>
      </w:rPr>
    </w:lvl>
    <w:lvl w:ilvl="2" w:tplc="07941A88" w:tentative="1">
      <w:start w:val="1"/>
      <w:numFmt w:val="bullet"/>
      <w:lvlText w:val=""/>
      <w:lvlJc w:val="left"/>
      <w:pPr>
        <w:ind w:left="2160" w:hanging="360"/>
      </w:pPr>
      <w:rPr>
        <w:rFonts w:ascii="Wingdings" w:hAnsi="Wingdings" w:hint="default"/>
      </w:rPr>
    </w:lvl>
    <w:lvl w:ilvl="3" w:tplc="3EF4A89E" w:tentative="1">
      <w:start w:val="1"/>
      <w:numFmt w:val="bullet"/>
      <w:lvlText w:val=""/>
      <w:lvlJc w:val="left"/>
      <w:pPr>
        <w:ind w:left="2880" w:hanging="360"/>
      </w:pPr>
      <w:rPr>
        <w:rFonts w:ascii="Symbol" w:hAnsi="Symbol" w:hint="default"/>
      </w:rPr>
    </w:lvl>
    <w:lvl w:ilvl="4" w:tplc="5F800816" w:tentative="1">
      <w:start w:val="1"/>
      <w:numFmt w:val="bullet"/>
      <w:lvlText w:val="o"/>
      <w:lvlJc w:val="left"/>
      <w:pPr>
        <w:ind w:left="3600" w:hanging="360"/>
      </w:pPr>
      <w:rPr>
        <w:rFonts w:ascii="Courier New" w:hAnsi="Courier New" w:hint="default"/>
      </w:rPr>
    </w:lvl>
    <w:lvl w:ilvl="5" w:tplc="9490CF26" w:tentative="1">
      <w:start w:val="1"/>
      <w:numFmt w:val="bullet"/>
      <w:lvlText w:val=""/>
      <w:lvlJc w:val="left"/>
      <w:pPr>
        <w:ind w:left="4320" w:hanging="360"/>
      </w:pPr>
      <w:rPr>
        <w:rFonts w:ascii="Wingdings" w:hAnsi="Wingdings" w:hint="default"/>
      </w:rPr>
    </w:lvl>
    <w:lvl w:ilvl="6" w:tplc="992EED2E" w:tentative="1">
      <w:start w:val="1"/>
      <w:numFmt w:val="bullet"/>
      <w:lvlText w:val=""/>
      <w:lvlJc w:val="left"/>
      <w:pPr>
        <w:ind w:left="5040" w:hanging="360"/>
      </w:pPr>
      <w:rPr>
        <w:rFonts w:ascii="Symbol" w:hAnsi="Symbol" w:hint="default"/>
      </w:rPr>
    </w:lvl>
    <w:lvl w:ilvl="7" w:tplc="B7C22956" w:tentative="1">
      <w:start w:val="1"/>
      <w:numFmt w:val="bullet"/>
      <w:lvlText w:val="o"/>
      <w:lvlJc w:val="left"/>
      <w:pPr>
        <w:ind w:left="5760" w:hanging="360"/>
      </w:pPr>
      <w:rPr>
        <w:rFonts w:ascii="Courier New" w:hAnsi="Courier New" w:hint="default"/>
      </w:rPr>
    </w:lvl>
    <w:lvl w:ilvl="8" w:tplc="23DE65E4" w:tentative="1">
      <w:start w:val="1"/>
      <w:numFmt w:val="bullet"/>
      <w:lvlText w:val=""/>
      <w:lvlJc w:val="left"/>
      <w:pPr>
        <w:ind w:left="6480" w:hanging="360"/>
      </w:pPr>
      <w:rPr>
        <w:rFonts w:ascii="Wingdings" w:hAnsi="Wingdings" w:hint="default"/>
      </w:rPr>
    </w:lvl>
  </w:abstractNum>
  <w:abstractNum w:abstractNumId="650" w15:restartNumberingAfterBreak="0">
    <w:nsid w:val="59CD64ED"/>
    <w:multiLevelType w:val="multilevel"/>
    <w:tmpl w:val="5240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59D9349F"/>
    <w:multiLevelType w:val="hybridMultilevel"/>
    <w:tmpl w:val="06F8A99E"/>
    <w:lvl w:ilvl="0" w:tplc="67B6288A">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A4EA0E32" w:tentative="1">
      <w:start w:val="1"/>
      <w:numFmt w:val="bullet"/>
      <w:lvlText w:val="o"/>
      <w:lvlJc w:val="left"/>
      <w:pPr>
        <w:ind w:left="1440" w:hanging="360"/>
      </w:pPr>
      <w:rPr>
        <w:rFonts w:ascii="Courier New" w:hAnsi="Courier New" w:hint="default"/>
      </w:rPr>
    </w:lvl>
    <w:lvl w:ilvl="2" w:tplc="0CD253D4" w:tentative="1">
      <w:start w:val="1"/>
      <w:numFmt w:val="bullet"/>
      <w:lvlText w:val=""/>
      <w:lvlJc w:val="left"/>
      <w:pPr>
        <w:ind w:left="2160" w:hanging="360"/>
      </w:pPr>
      <w:rPr>
        <w:rFonts w:ascii="Wingdings" w:hAnsi="Wingdings" w:hint="default"/>
      </w:rPr>
    </w:lvl>
    <w:lvl w:ilvl="3" w:tplc="45285FFE" w:tentative="1">
      <w:start w:val="1"/>
      <w:numFmt w:val="bullet"/>
      <w:lvlText w:val=""/>
      <w:lvlJc w:val="left"/>
      <w:pPr>
        <w:ind w:left="2880" w:hanging="360"/>
      </w:pPr>
      <w:rPr>
        <w:rFonts w:ascii="Symbol" w:hAnsi="Symbol" w:hint="default"/>
      </w:rPr>
    </w:lvl>
    <w:lvl w:ilvl="4" w:tplc="10CA54EE" w:tentative="1">
      <w:start w:val="1"/>
      <w:numFmt w:val="bullet"/>
      <w:lvlText w:val="o"/>
      <w:lvlJc w:val="left"/>
      <w:pPr>
        <w:ind w:left="3600" w:hanging="360"/>
      </w:pPr>
      <w:rPr>
        <w:rFonts w:ascii="Courier New" w:hAnsi="Courier New" w:hint="default"/>
      </w:rPr>
    </w:lvl>
    <w:lvl w:ilvl="5" w:tplc="A404A362" w:tentative="1">
      <w:start w:val="1"/>
      <w:numFmt w:val="bullet"/>
      <w:lvlText w:val=""/>
      <w:lvlJc w:val="left"/>
      <w:pPr>
        <w:ind w:left="4320" w:hanging="360"/>
      </w:pPr>
      <w:rPr>
        <w:rFonts w:ascii="Wingdings" w:hAnsi="Wingdings" w:hint="default"/>
      </w:rPr>
    </w:lvl>
    <w:lvl w:ilvl="6" w:tplc="746273DA" w:tentative="1">
      <w:start w:val="1"/>
      <w:numFmt w:val="bullet"/>
      <w:lvlText w:val=""/>
      <w:lvlJc w:val="left"/>
      <w:pPr>
        <w:ind w:left="5040" w:hanging="360"/>
      </w:pPr>
      <w:rPr>
        <w:rFonts w:ascii="Symbol" w:hAnsi="Symbol" w:hint="default"/>
      </w:rPr>
    </w:lvl>
    <w:lvl w:ilvl="7" w:tplc="D8968C90" w:tentative="1">
      <w:start w:val="1"/>
      <w:numFmt w:val="bullet"/>
      <w:lvlText w:val="o"/>
      <w:lvlJc w:val="left"/>
      <w:pPr>
        <w:ind w:left="5760" w:hanging="360"/>
      </w:pPr>
      <w:rPr>
        <w:rFonts w:ascii="Courier New" w:hAnsi="Courier New" w:hint="default"/>
      </w:rPr>
    </w:lvl>
    <w:lvl w:ilvl="8" w:tplc="F21E215E" w:tentative="1">
      <w:start w:val="1"/>
      <w:numFmt w:val="bullet"/>
      <w:lvlText w:val=""/>
      <w:lvlJc w:val="left"/>
      <w:pPr>
        <w:ind w:left="6480" w:hanging="360"/>
      </w:pPr>
      <w:rPr>
        <w:rFonts w:ascii="Wingdings" w:hAnsi="Wingdings" w:hint="default"/>
      </w:rPr>
    </w:lvl>
  </w:abstractNum>
  <w:abstractNum w:abstractNumId="652" w15:restartNumberingAfterBreak="0">
    <w:nsid w:val="59E27DBE"/>
    <w:multiLevelType w:val="multilevel"/>
    <w:tmpl w:val="89B4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5A6466EA"/>
    <w:multiLevelType w:val="multilevel"/>
    <w:tmpl w:val="D7B6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5A72068A"/>
    <w:multiLevelType w:val="multilevel"/>
    <w:tmpl w:val="076ABF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5A790A69"/>
    <w:multiLevelType w:val="hybridMultilevel"/>
    <w:tmpl w:val="15D00FBA"/>
    <w:lvl w:ilvl="0" w:tplc="7CEC0AF6">
      <w:start w:val="1"/>
      <w:numFmt w:val="upperLetter"/>
      <w:lvlText w:val="%1."/>
      <w:lvlJc w:val="left"/>
      <w:pPr>
        <w:ind w:left="360" w:hanging="360"/>
      </w:pPr>
    </w:lvl>
    <w:lvl w:ilvl="1" w:tplc="F9B2DC7E" w:tentative="1">
      <w:start w:val="1"/>
      <w:numFmt w:val="lowerLetter"/>
      <w:lvlText w:val="%2."/>
      <w:lvlJc w:val="left"/>
      <w:pPr>
        <w:ind w:left="1080" w:hanging="360"/>
      </w:pPr>
    </w:lvl>
    <w:lvl w:ilvl="2" w:tplc="814CCBA6" w:tentative="1">
      <w:start w:val="1"/>
      <w:numFmt w:val="lowerRoman"/>
      <w:lvlText w:val="%3."/>
      <w:lvlJc w:val="right"/>
      <w:pPr>
        <w:ind w:left="1800" w:hanging="180"/>
      </w:pPr>
    </w:lvl>
    <w:lvl w:ilvl="3" w:tplc="3AF2B6CA" w:tentative="1">
      <w:start w:val="1"/>
      <w:numFmt w:val="decimal"/>
      <w:lvlText w:val="%4."/>
      <w:lvlJc w:val="left"/>
      <w:pPr>
        <w:ind w:left="2520" w:hanging="360"/>
      </w:pPr>
    </w:lvl>
    <w:lvl w:ilvl="4" w:tplc="D4207670" w:tentative="1">
      <w:start w:val="1"/>
      <w:numFmt w:val="lowerLetter"/>
      <w:lvlText w:val="%5."/>
      <w:lvlJc w:val="left"/>
      <w:pPr>
        <w:ind w:left="3240" w:hanging="360"/>
      </w:pPr>
    </w:lvl>
    <w:lvl w:ilvl="5" w:tplc="46C4536C" w:tentative="1">
      <w:start w:val="1"/>
      <w:numFmt w:val="lowerRoman"/>
      <w:lvlText w:val="%6."/>
      <w:lvlJc w:val="right"/>
      <w:pPr>
        <w:ind w:left="3960" w:hanging="180"/>
      </w:pPr>
    </w:lvl>
    <w:lvl w:ilvl="6" w:tplc="DD94092E" w:tentative="1">
      <w:start w:val="1"/>
      <w:numFmt w:val="decimal"/>
      <w:lvlText w:val="%7."/>
      <w:lvlJc w:val="left"/>
      <w:pPr>
        <w:ind w:left="4680" w:hanging="360"/>
      </w:pPr>
    </w:lvl>
    <w:lvl w:ilvl="7" w:tplc="6292D2EC" w:tentative="1">
      <w:start w:val="1"/>
      <w:numFmt w:val="lowerLetter"/>
      <w:lvlText w:val="%8."/>
      <w:lvlJc w:val="left"/>
      <w:pPr>
        <w:ind w:left="5400" w:hanging="360"/>
      </w:pPr>
    </w:lvl>
    <w:lvl w:ilvl="8" w:tplc="439AC700" w:tentative="1">
      <w:start w:val="1"/>
      <w:numFmt w:val="lowerRoman"/>
      <w:lvlText w:val="%9."/>
      <w:lvlJc w:val="right"/>
      <w:pPr>
        <w:ind w:left="6120" w:hanging="180"/>
      </w:pPr>
    </w:lvl>
  </w:abstractNum>
  <w:abstractNum w:abstractNumId="656" w15:restartNumberingAfterBreak="0">
    <w:nsid w:val="5A7A4F2A"/>
    <w:multiLevelType w:val="multilevel"/>
    <w:tmpl w:val="9B9C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5A7B6A72"/>
    <w:multiLevelType w:val="hybridMultilevel"/>
    <w:tmpl w:val="D3169702"/>
    <w:lvl w:ilvl="0" w:tplc="AE0EDD5C">
      <w:start w:val="1"/>
      <w:numFmt w:val="bullet"/>
      <w:lvlText w:val=""/>
      <w:lvlJc w:val="left"/>
      <w:pPr>
        <w:ind w:left="720" w:hanging="360"/>
      </w:pPr>
      <w:rPr>
        <w:rFonts w:ascii="Symbol" w:hAnsi="Symbol" w:hint="default"/>
      </w:rPr>
    </w:lvl>
    <w:lvl w:ilvl="1" w:tplc="9830D350" w:tentative="1">
      <w:start w:val="1"/>
      <w:numFmt w:val="bullet"/>
      <w:lvlText w:val="o"/>
      <w:lvlJc w:val="left"/>
      <w:pPr>
        <w:ind w:left="1440" w:hanging="360"/>
      </w:pPr>
      <w:rPr>
        <w:rFonts w:ascii="Courier New" w:hAnsi="Courier New" w:hint="default"/>
      </w:rPr>
    </w:lvl>
    <w:lvl w:ilvl="2" w:tplc="41A4BC24" w:tentative="1">
      <w:start w:val="1"/>
      <w:numFmt w:val="bullet"/>
      <w:lvlText w:val=""/>
      <w:lvlJc w:val="left"/>
      <w:pPr>
        <w:ind w:left="2160" w:hanging="360"/>
      </w:pPr>
      <w:rPr>
        <w:rFonts w:ascii="Wingdings" w:hAnsi="Wingdings" w:hint="default"/>
      </w:rPr>
    </w:lvl>
    <w:lvl w:ilvl="3" w:tplc="5AD067F6" w:tentative="1">
      <w:start w:val="1"/>
      <w:numFmt w:val="bullet"/>
      <w:lvlText w:val=""/>
      <w:lvlJc w:val="left"/>
      <w:pPr>
        <w:ind w:left="2880" w:hanging="360"/>
      </w:pPr>
      <w:rPr>
        <w:rFonts w:ascii="Symbol" w:hAnsi="Symbol" w:hint="default"/>
      </w:rPr>
    </w:lvl>
    <w:lvl w:ilvl="4" w:tplc="AF2A8992" w:tentative="1">
      <w:start w:val="1"/>
      <w:numFmt w:val="bullet"/>
      <w:lvlText w:val="o"/>
      <w:lvlJc w:val="left"/>
      <w:pPr>
        <w:ind w:left="3600" w:hanging="360"/>
      </w:pPr>
      <w:rPr>
        <w:rFonts w:ascii="Courier New" w:hAnsi="Courier New" w:hint="default"/>
      </w:rPr>
    </w:lvl>
    <w:lvl w:ilvl="5" w:tplc="26BA3650" w:tentative="1">
      <w:start w:val="1"/>
      <w:numFmt w:val="bullet"/>
      <w:lvlText w:val=""/>
      <w:lvlJc w:val="left"/>
      <w:pPr>
        <w:ind w:left="4320" w:hanging="360"/>
      </w:pPr>
      <w:rPr>
        <w:rFonts w:ascii="Wingdings" w:hAnsi="Wingdings" w:hint="default"/>
      </w:rPr>
    </w:lvl>
    <w:lvl w:ilvl="6" w:tplc="FB78B3C0" w:tentative="1">
      <w:start w:val="1"/>
      <w:numFmt w:val="bullet"/>
      <w:lvlText w:val=""/>
      <w:lvlJc w:val="left"/>
      <w:pPr>
        <w:ind w:left="5040" w:hanging="360"/>
      </w:pPr>
      <w:rPr>
        <w:rFonts w:ascii="Symbol" w:hAnsi="Symbol" w:hint="default"/>
      </w:rPr>
    </w:lvl>
    <w:lvl w:ilvl="7" w:tplc="579C507A" w:tentative="1">
      <w:start w:val="1"/>
      <w:numFmt w:val="bullet"/>
      <w:lvlText w:val="o"/>
      <w:lvlJc w:val="left"/>
      <w:pPr>
        <w:ind w:left="5760" w:hanging="360"/>
      </w:pPr>
      <w:rPr>
        <w:rFonts w:ascii="Courier New" w:hAnsi="Courier New" w:hint="default"/>
      </w:rPr>
    </w:lvl>
    <w:lvl w:ilvl="8" w:tplc="CF8CA606" w:tentative="1">
      <w:start w:val="1"/>
      <w:numFmt w:val="bullet"/>
      <w:lvlText w:val=""/>
      <w:lvlJc w:val="left"/>
      <w:pPr>
        <w:ind w:left="6480" w:hanging="360"/>
      </w:pPr>
      <w:rPr>
        <w:rFonts w:ascii="Wingdings" w:hAnsi="Wingdings" w:hint="default"/>
      </w:rPr>
    </w:lvl>
  </w:abstractNum>
  <w:abstractNum w:abstractNumId="658" w15:restartNumberingAfterBreak="0">
    <w:nsid w:val="5AD91036"/>
    <w:multiLevelType w:val="hybridMultilevel"/>
    <w:tmpl w:val="8C5E9978"/>
    <w:lvl w:ilvl="0" w:tplc="50622EC2">
      <w:start w:val="1"/>
      <w:numFmt w:val="bullet"/>
      <w:lvlText w:val=""/>
      <w:lvlJc w:val="left"/>
      <w:pPr>
        <w:ind w:left="1080" w:hanging="360"/>
      </w:pPr>
      <w:rPr>
        <w:rFonts w:ascii="Symbol" w:hAnsi="Symbol" w:hint="default"/>
      </w:rPr>
    </w:lvl>
    <w:lvl w:ilvl="1" w:tplc="52E21978" w:tentative="1">
      <w:start w:val="1"/>
      <w:numFmt w:val="lowerLetter"/>
      <w:lvlText w:val="%2."/>
      <w:lvlJc w:val="left"/>
      <w:pPr>
        <w:ind w:left="1800" w:hanging="360"/>
      </w:pPr>
    </w:lvl>
    <w:lvl w:ilvl="2" w:tplc="7B90B4B8" w:tentative="1">
      <w:start w:val="1"/>
      <w:numFmt w:val="lowerRoman"/>
      <w:lvlText w:val="%3."/>
      <w:lvlJc w:val="right"/>
      <w:pPr>
        <w:ind w:left="2520" w:hanging="180"/>
      </w:pPr>
    </w:lvl>
    <w:lvl w:ilvl="3" w:tplc="6DA6DF7E" w:tentative="1">
      <w:start w:val="1"/>
      <w:numFmt w:val="decimal"/>
      <w:lvlText w:val="%4."/>
      <w:lvlJc w:val="left"/>
      <w:pPr>
        <w:ind w:left="3240" w:hanging="360"/>
      </w:pPr>
    </w:lvl>
    <w:lvl w:ilvl="4" w:tplc="64BE38D2" w:tentative="1">
      <w:start w:val="1"/>
      <w:numFmt w:val="lowerLetter"/>
      <w:lvlText w:val="%5."/>
      <w:lvlJc w:val="left"/>
      <w:pPr>
        <w:ind w:left="3960" w:hanging="360"/>
      </w:pPr>
    </w:lvl>
    <w:lvl w:ilvl="5" w:tplc="52A883EC" w:tentative="1">
      <w:start w:val="1"/>
      <w:numFmt w:val="lowerRoman"/>
      <w:lvlText w:val="%6."/>
      <w:lvlJc w:val="right"/>
      <w:pPr>
        <w:ind w:left="4680" w:hanging="180"/>
      </w:pPr>
    </w:lvl>
    <w:lvl w:ilvl="6" w:tplc="80B07D92" w:tentative="1">
      <w:start w:val="1"/>
      <w:numFmt w:val="decimal"/>
      <w:lvlText w:val="%7."/>
      <w:lvlJc w:val="left"/>
      <w:pPr>
        <w:ind w:left="5400" w:hanging="360"/>
      </w:pPr>
    </w:lvl>
    <w:lvl w:ilvl="7" w:tplc="B58E8D08" w:tentative="1">
      <w:start w:val="1"/>
      <w:numFmt w:val="lowerLetter"/>
      <w:lvlText w:val="%8."/>
      <w:lvlJc w:val="left"/>
      <w:pPr>
        <w:ind w:left="6120" w:hanging="360"/>
      </w:pPr>
    </w:lvl>
    <w:lvl w:ilvl="8" w:tplc="093A401A" w:tentative="1">
      <w:start w:val="1"/>
      <w:numFmt w:val="lowerRoman"/>
      <w:lvlText w:val="%9."/>
      <w:lvlJc w:val="right"/>
      <w:pPr>
        <w:ind w:left="6840" w:hanging="180"/>
      </w:pPr>
    </w:lvl>
  </w:abstractNum>
  <w:abstractNum w:abstractNumId="659" w15:restartNumberingAfterBreak="0">
    <w:nsid w:val="5B022809"/>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5B2C6F3F"/>
    <w:multiLevelType w:val="multilevel"/>
    <w:tmpl w:val="3F5C318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61" w15:restartNumberingAfterBreak="0">
    <w:nsid w:val="5B4C3A28"/>
    <w:multiLevelType w:val="hybridMultilevel"/>
    <w:tmpl w:val="8B8269AE"/>
    <w:lvl w:ilvl="0" w:tplc="A03A4128">
      <w:start w:val="1"/>
      <w:numFmt w:val="bullet"/>
      <w:lvlText w:val=""/>
      <w:lvlJc w:val="left"/>
      <w:pPr>
        <w:ind w:left="720" w:hanging="360"/>
      </w:pPr>
      <w:rPr>
        <w:rFonts w:ascii="Symbol" w:hAnsi="Symbol" w:hint="default"/>
      </w:rPr>
    </w:lvl>
    <w:lvl w:ilvl="1" w:tplc="1B5AB124" w:tentative="1">
      <w:start w:val="1"/>
      <w:numFmt w:val="bullet"/>
      <w:lvlText w:val="o"/>
      <w:lvlJc w:val="left"/>
      <w:pPr>
        <w:ind w:left="1440" w:hanging="360"/>
      </w:pPr>
      <w:rPr>
        <w:rFonts w:ascii="Courier New" w:hAnsi="Courier New" w:hint="default"/>
      </w:rPr>
    </w:lvl>
    <w:lvl w:ilvl="2" w:tplc="6922BAD2" w:tentative="1">
      <w:start w:val="1"/>
      <w:numFmt w:val="bullet"/>
      <w:lvlText w:val=""/>
      <w:lvlJc w:val="left"/>
      <w:pPr>
        <w:ind w:left="2160" w:hanging="360"/>
      </w:pPr>
      <w:rPr>
        <w:rFonts w:ascii="Wingdings" w:hAnsi="Wingdings" w:hint="default"/>
      </w:rPr>
    </w:lvl>
    <w:lvl w:ilvl="3" w:tplc="950ECF64" w:tentative="1">
      <w:start w:val="1"/>
      <w:numFmt w:val="bullet"/>
      <w:lvlText w:val=""/>
      <w:lvlJc w:val="left"/>
      <w:pPr>
        <w:ind w:left="2880" w:hanging="360"/>
      </w:pPr>
      <w:rPr>
        <w:rFonts w:ascii="Symbol" w:hAnsi="Symbol" w:hint="default"/>
      </w:rPr>
    </w:lvl>
    <w:lvl w:ilvl="4" w:tplc="B0FC4480" w:tentative="1">
      <w:start w:val="1"/>
      <w:numFmt w:val="bullet"/>
      <w:lvlText w:val="o"/>
      <w:lvlJc w:val="left"/>
      <w:pPr>
        <w:ind w:left="3600" w:hanging="360"/>
      </w:pPr>
      <w:rPr>
        <w:rFonts w:ascii="Courier New" w:hAnsi="Courier New" w:hint="default"/>
      </w:rPr>
    </w:lvl>
    <w:lvl w:ilvl="5" w:tplc="32F2C448" w:tentative="1">
      <w:start w:val="1"/>
      <w:numFmt w:val="bullet"/>
      <w:lvlText w:val=""/>
      <w:lvlJc w:val="left"/>
      <w:pPr>
        <w:ind w:left="4320" w:hanging="360"/>
      </w:pPr>
      <w:rPr>
        <w:rFonts w:ascii="Wingdings" w:hAnsi="Wingdings" w:hint="default"/>
      </w:rPr>
    </w:lvl>
    <w:lvl w:ilvl="6" w:tplc="A3EE89DE" w:tentative="1">
      <w:start w:val="1"/>
      <w:numFmt w:val="bullet"/>
      <w:lvlText w:val=""/>
      <w:lvlJc w:val="left"/>
      <w:pPr>
        <w:ind w:left="5040" w:hanging="360"/>
      </w:pPr>
      <w:rPr>
        <w:rFonts w:ascii="Symbol" w:hAnsi="Symbol" w:hint="default"/>
      </w:rPr>
    </w:lvl>
    <w:lvl w:ilvl="7" w:tplc="8F7C2078" w:tentative="1">
      <w:start w:val="1"/>
      <w:numFmt w:val="bullet"/>
      <w:lvlText w:val="o"/>
      <w:lvlJc w:val="left"/>
      <w:pPr>
        <w:ind w:left="5760" w:hanging="360"/>
      </w:pPr>
      <w:rPr>
        <w:rFonts w:ascii="Courier New" w:hAnsi="Courier New" w:hint="default"/>
      </w:rPr>
    </w:lvl>
    <w:lvl w:ilvl="8" w:tplc="1FC894AC" w:tentative="1">
      <w:start w:val="1"/>
      <w:numFmt w:val="bullet"/>
      <w:lvlText w:val=""/>
      <w:lvlJc w:val="left"/>
      <w:pPr>
        <w:ind w:left="6480" w:hanging="360"/>
      </w:pPr>
      <w:rPr>
        <w:rFonts w:ascii="Wingdings" w:hAnsi="Wingdings" w:hint="default"/>
      </w:rPr>
    </w:lvl>
  </w:abstractNum>
  <w:abstractNum w:abstractNumId="662" w15:restartNumberingAfterBreak="0">
    <w:nsid w:val="5B5A65A7"/>
    <w:multiLevelType w:val="hybridMultilevel"/>
    <w:tmpl w:val="AA089DAC"/>
    <w:lvl w:ilvl="0" w:tplc="A0BE0EDE">
      <w:start w:val="1"/>
      <w:numFmt w:val="bullet"/>
      <w:lvlText w:val=""/>
      <w:lvlJc w:val="left"/>
      <w:pPr>
        <w:ind w:left="720" w:hanging="360"/>
      </w:pPr>
      <w:rPr>
        <w:rFonts w:ascii="Symbol" w:hAnsi="Symbol" w:hint="default"/>
      </w:rPr>
    </w:lvl>
    <w:lvl w:ilvl="1" w:tplc="BF304AD6" w:tentative="1">
      <w:start w:val="1"/>
      <w:numFmt w:val="bullet"/>
      <w:lvlText w:val="o"/>
      <w:lvlJc w:val="left"/>
      <w:pPr>
        <w:ind w:left="1440" w:hanging="360"/>
      </w:pPr>
      <w:rPr>
        <w:rFonts w:ascii="Courier New" w:hAnsi="Courier New" w:hint="default"/>
      </w:rPr>
    </w:lvl>
    <w:lvl w:ilvl="2" w:tplc="52EEDBEC" w:tentative="1">
      <w:start w:val="1"/>
      <w:numFmt w:val="bullet"/>
      <w:lvlText w:val=""/>
      <w:lvlJc w:val="left"/>
      <w:pPr>
        <w:ind w:left="2160" w:hanging="360"/>
      </w:pPr>
      <w:rPr>
        <w:rFonts w:ascii="Wingdings" w:hAnsi="Wingdings" w:hint="default"/>
      </w:rPr>
    </w:lvl>
    <w:lvl w:ilvl="3" w:tplc="8BC81A34" w:tentative="1">
      <w:start w:val="1"/>
      <w:numFmt w:val="bullet"/>
      <w:lvlText w:val=""/>
      <w:lvlJc w:val="left"/>
      <w:pPr>
        <w:ind w:left="2880" w:hanging="360"/>
      </w:pPr>
      <w:rPr>
        <w:rFonts w:ascii="Symbol" w:hAnsi="Symbol" w:hint="default"/>
      </w:rPr>
    </w:lvl>
    <w:lvl w:ilvl="4" w:tplc="99A49490" w:tentative="1">
      <w:start w:val="1"/>
      <w:numFmt w:val="bullet"/>
      <w:lvlText w:val="o"/>
      <w:lvlJc w:val="left"/>
      <w:pPr>
        <w:ind w:left="3600" w:hanging="360"/>
      </w:pPr>
      <w:rPr>
        <w:rFonts w:ascii="Courier New" w:hAnsi="Courier New" w:hint="default"/>
      </w:rPr>
    </w:lvl>
    <w:lvl w:ilvl="5" w:tplc="DD30F5A8" w:tentative="1">
      <w:start w:val="1"/>
      <w:numFmt w:val="bullet"/>
      <w:lvlText w:val=""/>
      <w:lvlJc w:val="left"/>
      <w:pPr>
        <w:ind w:left="4320" w:hanging="360"/>
      </w:pPr>
      <w:rPr>
        <w:rFonts w:ascii="Wingdings" w:hAnsi="Wingdings" w:hint="default"/>
      </w:rPr>
    </w:lvl>
    <w:lvl w:ilvl="6" w:tplc="E83E4FB2" w:tentative="1">
      <w:start w:val="1"/>
      <w:numFmt w:val="bullet"/>
      <w:lvlText w:val=""/>
      <w:lvlJc w:val="left"/>
      <w:pPr>
        <w:ind w:left="5040" w:hanging="360"/>
      </w:pPr>
      <w:rPr>
        <w:rFonts w:ascii="Symbol" w:hAnsi="Symbol" w:hint="default"/>
      </w:rPr>
    </w:lvl>
    <w:lvl w:ilvl="7" w:tplc="BBA65442" w:tentative="1">
      <w:start w:val="1"/>
      <w:numFmt w:val="bullet"/>
      <w:lvlText w:val="o"/>
      <w:lvlJc w:val="left"/>
      <w:pPr>
        <w:ind w:left="5760" w:hanging="360"/>
      </w:pPr>
      <w:rPr>
        <w:rFonts w:ascii="Courier New" w:hAnsi="Courier New" w:hint="default"/>
      </w:rPr>
    </w:lvl>
    <w:lvl w:ilvl="8" w:tplc="E9D8B172" w:tentative="1">
      <w:start w:val="1"/>
      <w:numFmt w:val="bullet"/>
      <w:lvlText w:val=""/>
      <w:lvlJc w:val="left"/>
      <w:pPr>
        <w:ind w:left="6480" w:hanging="360"/>
      </w:pPr>
      <w:rPr>
        <w:rFonts w:ascii="Wingdings" w:hAnsi="Wingdings" w:hint="default"/>
      </w:rPr>
    </w:lvl>
  </w:abstractNum>
  <w:abstractNum w:abstractNumId="663" w15:restartNumberingAfterBreak="0">
    <w:nsid w:val="5B911062"/>
    <w:multiLevelType w:val="multilevel"/>
    <w:tmpl w:val="5ED4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5BA16B62"/>
    <w:multiLevelType w:val="multilevel"/>
    <w:tmpl w:val="B7D60A6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65" w15:restartNumberingAfterBreak="0">
    <w:nsid w:val="5C655641"/>
    <w:multiLevelType w:val="multilevel"/>
    <w:tmpl w:val="921A6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6" w15:restartNumberingAfterBreak="0">
    <w:nsid w:val="5C6713A4"/>
    <w:multiLevelType w:val="multilevel"/>
    <w:tmpl w:val="5AAA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5CAE545D"/>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8" w15:restartNumberingAfterBreak="0">
    <w:nsid w:val="5CC1285F"/>
    <w:multiLevelType w:val="multilevel"/>
    <w:tmpl w:val="E3C0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5CC96482"/>
    <w:multiLevelType w:val="hybridMultilevel"/>
    <w:tmpl w:val="18AC00E8"/>
    <w:lvl w:ilvl="0" w:tplc="7B1C85CC">
      <w:start w:val="1"/>
      <w:numFmt w:val="bullet"/>
      <w:lvlText w:val=""/>
      <w:lvlJc w:val="left"/>
      <w:pPr>
        <w:ind w:left="720" w:hanging="360"/>
      </w:pPr>
      <w:rPr>
        <w:rFonts w:ascii="Symbol" w:hAnsi="Symbol" w:hint="default"/>
      </w:rPr>
    </w:lvl>
    <w:lvl w:ilvl="1" w:tplc="77A69148" w:tentative="1">
      <w:start w:val="1"/>
      <w:numFmt w:val="bullet"/>
      <w:lvlText w:val="o"/>
      <w:lvlJc w:val="left"/>
      <w:pPr>
        <w:ind w:left="1440" w:hanging="360"/>
      </w:pPr>
      <w:rPr>
        <w:rFonts w:ascii="Courier New" w:hAnsi="Courier New" w:hint="default"/>
      </w:rPr>
    </w:lvl>
    <w:lvl w:ilvl="2" w:tplc="F7A080FC" w:tentative="1">
      <w:start w:val="1"/>
      <w:numFmt w:val="bullet"/>
      <w:lvlText w:val=""/>
      <w:lvlJc w:val="left"/>
      <w:pPr>
        <w:ind w:left="2160" w:hanging="360"/>
      </w:pPr>
      <w:rPr>
        <w:rFonts w:ascii="Wingdings" w:hAnsi="Wingdings" w:hint="default"/>
      </w:rPr>
    </w:lvl>
    <w:lvl w:ilvl="3" w:tplc="BC5A4C28" w:tentative="1">
      <w:start w:val="1"/>
      <w:numFmt w:val="bullet"/>
      <w:lvlText w:val=""/>
      <w:lvlJc w:val="left"/>
      <w:pPr>
        <w:ind w:left="2880" w:hanging="360"/>
      </w:pPr>
      <w:rPr>
        <w:rFonts w:ascii="Symbol" w:hAnsi="Symbol" w:hint="default"/>
      </w:rPr>
    </w:lvl>
    <w:lvl w:ilvl="4" w:tplc="E9867F68" w:tentative="1">
      <w:start w:val="1"/>
      <w:numFmt w:val="bullet"/>
      <w:lvlText w:val="o"/>
      <w:lvlJc w:val="left"/>
      <w:pPr>
        <w:ind w:left="3600" w:hanging="360"/>
      </w:pPr>
      <w:rPr>
        <w:rFonts w:ascii="Courier New" w:hAnsi="Courier New" w:hint="default"/>
      </w:rPr>
    </w:lvl>
    <w:lvl w:ilvl="5" w:tplc="441AEC26" w:tentative="1">
      <w:start w:val="1"/>
      <w:numFmt w:val="bullet"/>
      <w:lvlText w:val=""/>
      <w:lvlJc w:val="left"/>
      <w:pPr>
        <w:ind w:left="4320" w:hanging="360"/>
      </w:pPr>
      <w:rPr>
        <w:rFonts w:ascii="Wingdings" w:hAnsi="Wingdings" w:hint="default"/>
      </w:rPr>
    </w:lvl>
    <w:lvl w:ilvl="6" w:tplc="089813A8" w:tentative="1">
      <w:start w:val="1"/>
      <w:numFmt w:val="bullet"/>
      <w:lvlText w:val=""/>
      <w:lvlJc w:val="left"/>
      <w:pPr>
        <w:ind w:left="5040" w:hanging="360"/>
      </w:pPr>
      <w:rPr>
        <w:rFonts w:ascii="Symbol" w:hAnsi="Symbol" w:hint="default"/>
      </w:rPr>
    </w:lvl>
    <w:lvl w:ilvl="7" w:tplc="58F2CA56" w:tentative="1">
      <w:start w:val="1"/>
      <w:numFmt w:val="bullet"/>
      <w:lvlText w:val="o"/>
      <w:lvlJc w:val="left"/>
      <w:pPr>
        <w:ind w:left="5760" w:hanging="360"/>
      </w:pPr>
      <w:rPr>
        <w:rFonts w:ascii="Courier New" w:hAnsi="Courier New" w:hint="default"/>
      </w:rPr>
    </w:lvl>
    <w:lvl w:ilvl="8" w:tplc="EF7AA798" w:tentative="1">
      <w:start w:val="1"/>
      <w:numFmt w:val="bullet"/>
      <w:lvlText w:val=""/>
      <w:lvlJc w:val="left"/>
      <w:pPr>
        <w:ind w:left="6480" w:hanging="360"/>
      </w:pPr>
      <w:rPr>
        <w:rFonts w:ascii="Wingdings" w:hAnsi="Wingdings" w:hint="default"/>
      </w:rPr>
    </w:lvl>
  </w:abstractNum>
  <w:abstractNum w:abstractNumId="670" w15:restartNumberingAfterBreak="0">
    <w:nsid w:val="5CE04119"/>
    <w:multiLevelType w:val="multilevel"/>
    <w:tmpl w:val="163C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5CE764E8"/>
    <w:multiLevelType w:val="multilevel"/>
    <w:tmpl w:val="BCCE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5D012EB2"/>
    <w:multiLevelType w:val="multilevel"/>
    <w:tmpl w:val="4DD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5D0C51A7"/>
    <w:multiLevelType w:val="multilevel"/>
    <w:tmpl w:val="963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4" w15:restartNumberingAfterBreak="0">
    <w:nsid w:val="5D2C1E9F"/>
    <w:multiLevelType w:val="multilevel"/>
    <w:tmpl w:val="C4CA2F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5" w15:restartNumberingAfterBreak="0">
    <w:nsid w:val="5D2E71D9"/>
    <w:multiLevelType w:val="hybridMultilevel"/>
    <w:tmpl w:val="BEEE421C"/>
    <w:lvl w:ilvl="0" w:tplc="6D027FEA">
      <w:start w:val="1"/>
      <w:numFmt w:val="bullet"/>
      <w:lvlText w:val=""/>
      <w:lvlJc w:val="left"/>
      <w:pPr>
        <w:ind w:left="720" w:hanging="360"/>
      </w:pPr>
      <w:rPr>
        <w:rFonts w:ascii="Symbol" w:hAnsi="Symbol" w:hint="default"/>
      </w:rPr>
    </w:lvl>
    <w:lvl w:ilvl="1" w:tplc="ABEAB53C" w:tentative="1">
      <w:start w:val="1"/>
      <w:numFmt w:val="bullet"/>
      <w:lvlText w:val="o"/>
      <w:lvlJc w:val="left"/>
      <w:pPr>
        <w:ind w:left="1440" w:hanging="360"/>
      </w:pPr>
      <w:rPr>
        <w:rFonts w:ascii="Courier New" w:hAnsi="Courier New" w:hint="default"/>
      </w:rPr>
    </w:lvl>
    <w:lvl w:ilvl="2" w:tplc="69D6916A" w:tentative="1">
      <w:start w:val="1"/>
      <w:numFmt w:val="bullet"/>
      <w:lvlText w:val=""/>
      <w:lvlJc w:val="left"/>
      <w:pPr>
        <w:ind w:left="2160" w:hanging="360"/>
      </w:pPr>
      <w:rPr>
        <w:rFonts w:ascii="Wingdings" w:hAnsi="Wingdings" w:hint="default"/>
      </w:rPr>
    </w:lvl>
    <w:lvl w:ilvl="3" w:tplc="F30A62E6" w:tentative="1">
      <w:start w:val="1"/>
      <w:numFmt w:val="bullet"/>
      <w:lvlText w:val=""/>
      <w:lvlJc w:val="left"/>
      <w:pPr>
        <w:ind w:left="2880" w:hanging="360"/>
      </w:pPr>
      <w:rPr>
        <w:rFonts w:ascii="Symbol" w:hAnsi="Symbol" w:hint="default"/>
      </w:rPr>
    </w:lvl>
    <w:lvl w:ilvl="4" w:tplc="8CD67786" w:tentative="1">
      <w:start w:val="1"/>
      <w:numFmt w:val="bullet"/>
      <w:lvlText w:val="o"/>
      <w:lvlJc w:val="left"/>
      <w:pPr>
        <w:ind w:left="3600" w:hanging="360"/>
      </w:pPr>
      <w:rPr>
        <w:rFonts w:ascii="Courier New" w:hAnsi="Courier New" w:hint="default"/>
      </w:rPr>
    </w:lvl>
    <w:lvl w:ilvl="5" w:tplc="D5B4F488" w:tentative="1">
      <w:start w:val="1"/>
      <w:numFmt w:val="bullet"/>
      <w:lvlText w:val=""/>
      <w:lvlJc w:val="left"/>
      <w:pPr>
        <w:ind w:left="4320" w:hanging="360"/>
      </w:pPr>
      <w:rPr>
        <w:rFonts w:ascii="Wingdings" w:hAnsi="Wingdings" w:hint="default"/>
      </w:rPr>
    </w:lvl>
    <w:lvl w:ilvl="6" w:tplc="960CF9BE" w:tentative="1">
      <w:start w:val="1"/>
      <w:numFmt w:val="bullet"/>
      <w:lvlText w:val=""/>
      <w:lvlJc w:val="left"/>
      <w:pPr>
        <w:ind w:left="5040" w:hanging="360"/>
      </w:pPr>
      <w:rPr>
        <w:rFonts w:ascii="Symbol" w:hAnsi="Symbol" w:hint="default"/>
      </w:rPr>
    </w:lvl>
    <w:lvl w:ilvl="7" w:tplc="B02293C2" w:tentative="1">
      <w:start w:val="1"/>
      <w:numFmt w:val="bullet"/>
      <w:lvlText w:val="o"/>
      <w:lvlJc w:val="left"/>
      <w:pPr>
        <w:ind w:left="5760" w:hanging="360"/>
      </w:pPr>
      <w:rPr>
        <w:rFonts w:ascii="Courier New" w:hAnsi="Courier New" w:hint="default"/>
      </w:rPr>
    </w:lvl>
    <w:lvl w:ilvl="8" w:tplc="E9AC212C" w:tentative="1">
      <w:start w:val="1"/>
      <w:numFmt w:val="bullet"/>
      <w:lvlText w:val=""/>
      <w:lvlJc w:val="left"/>
      <w:pPr>
        <w:ind w:left="6480" w:hanging="360"/>
      </w:pPr>
      <w:rPr>
        <w:rFonts w:ascii="Wingdings" w:hAnsi="Wingdings" w:hint="default"/>
      </w:rPr>
    </w:lvl>
  </w:abstractNum>
  <w:abstractNum w:abstractNumId="676" w15:restartNumberingAfterBreak="0">
    <w:nsid w:val="5D3D3D9F"/>
    <w:multiLevelType w:val="multilevel"/>
    <w:tmpl w:val="6F82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5D583109"/>
    <w:multiLevelType w:val="multilevel"/>
    <w:tmpl w:val="B320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5D7B1441"/>
    <w:multiLevelType w:val="multilevel"/>
    <w:tmpl w:val="7BFA8B6A"/>
    <w:lvl w:ilvl="0">
      <w:start w:val="5"/>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79" w15:restartNumberingAfterBreak="0">
    <w:nsid w:val="5D9B4E2A"/>
    <w:multiLevelType w:val="hybridMultilevel"/>
    <w:tmpl w:val="CA9C6EBC"/>
    <w:lvl w:ilvl="0" w:tplc="3806A868">
      <w:numFmt w:val="bullet"/>
      <w:lvlText w:val="•"/>
      <w:lvlJc w:val="left"/>
      <w:pPr>
        <w:ind w:left="720" w:hanging="360"/>
      </w:pPr>
      <w:rPr>
        <w:rFonts w:ascii="Aptos" w:hAnsi="Aptos" w:hint="default"/>
      </w:rPr>
    </w:lvl>
    <w:lvl w:ilvl="1" w:tplc="091AA96A" w:tentative="1">
      <w:start w:val="1"/>
      <w:numFmt w:val="bullet"/>
      <w:lvlText w:val="o"/>
      <w:lvlJc w:val="left"/>
      <w:pPr>
        <w:ind w:left="1800" w:hanging="360"/>
      </w:pPr>
      <w:rPr>
        <w:rFonts w:ascii="Courier New" w:hAnsi="Courier New" w:hint="default"/>
      </w:rPr>
    </w:lvl>
    <w:lvl w:ilvl="2" w:tplc="C9D23320" w:tentative="1">
      <w:start w:val="1"/>
      <w:numFmt w:val="bullet"/>
      <w:lvlText w:val=""/>
      <w:lvlJc w:val="left"/>
      <w:pPr>
        <w:ind w:left="2520" w:hanging="360"/>
      </w:pPr>
      <w:rPr>
        <w:rFonts w:ascii="Wingdings" w:hAnsi="Wingdings" w:hint="default"/>
      </w:rPr>
    </w:lvl>
    <w:lvl w:ilvl="3" w:tplc="CE284FDE" w:tentative="1">
      <w:start w:val="1"/>
      <w:numFmt w:val="bullet"/>
      <w:lvlText w:val=""/>
      <w:lvlJc w:val="left"/>
      <w:pPr>
        <w:ind w:left="3240" w:hanging="360"/>
      </w:pPr>
      <w:rPr>
        <w:rFonts w:ascii="Symbol" w:hAnsi="Symbol" w:hint="default"/>
      </w:rPr>
    </w:lvl>
    <w:lvl w:ilvl="4" w:tplc="84D0C968" w:tentative="1">
      <w:start w:val="1"/>
      <w:numFmt w:val="bullet"/>
      <w:lvlText w:val="o"/>
      <w:lvlJc w:val="left"/>
      <w:pPr>
        <w:ind w:left="3960" w:hanging="360"/>
      </w:pPr>
      <w:rPr>
        <w:rFonts w:ascii="Courier New" w:hAnsi="Courier New" w:hint="default"/>
      </w:rPr>
    </w:lvl>
    <w:lvl w:ilvl="5" w:tplc="321AA016" w:tentative="1">
      <w:start w:val="1"/>
      <w:numFmt w:val="bullet"/>
      <w:lvlText w:val=""/>
      <w:lvlJc w:val="left"/>
      <w:pPr>
        <w:ind w:left="4680" w:hanging="360"/>
      </w:pPr>
      <w:rPr>
        <w:rFonts w:ascii="Wingdings" w:hAnsi="Wingdings" w:hint="default"/>
      </w:rPr>
    </w:lvl>
    <w:lvl w:ilvl="6" w:tplc="DEB8FA20" w:tentative="1">
      <w:start w:val="1"/>
      <w:numFmt w:val="bullet"/>
      <w:lvlText w:val=""/>
      <w:lvlJc w:val="left"/>
      <w:pPr>
        <w:ind w:left="5400" w:hanging="360"/>
      </w:pPr>
      <w:rPr>
        <w:rFonts w:ascii="Symbol" w:hAnsi="Symbol" w:hint="default"/>
      </w:rPr>
    </w:lvl>
    <w:lvl w:ilvl="7" w:tplc="21143D34" w:tentative="1">
      <w:start w:val="1"/>
      <w:numFmt w:val="bullet"/>
      <w:lvlText w:val="o"/>
      <w:lvlJc w:val="left"/>
      <w:pPr>
        <w:ind w:left="6120" w:hanging="360"/>
      </w:pPr>
      <w:rPr>
        <w:rFonts w:ascii="Courier New" w:hAnsi="Courier New" w:hint="default"/>
      </w:rPr>
    </w:lvl>
    <w:lvl w:ilvl="8" w:tplc="40380CE0" w:tentative="1">
      <w:start w:val="1"/>
      <w:numFmt w:val="bullet"/>
      <w:lvlText w:val=""/>
      <w:lvlJc w:val="left"/>
      <w:pPr>
        <w:ind w:left="6840" w:hanging="360"/>
      </w:pPr>
      <w:rPr>
        <w:rFonts w:ascii="Wingdings" w:hAnsi="Wingdings" w:hint="default"/>
      </w:rPr>
    </w:lvl>
  </w:abstractNum>
  <w:abstractNum w:abstractNumId="680" w15:restartNumberingAfterBreak="0">
    <w:nsid w:val="5DE44FBA"/>
    <w:multiLevelType w:val="hybridMultilevel"/>
    <w:tmpl w:val="71FC6792"/>
    <w:lvl w:ilvl="0" w:tplc="2E44577C">
      <w:start w:val="1"/>
      <w:numFmt w:val="bullet"/>
      <w:lvlText w:val=""/>
      <w:lvlJc w:val="left"/>
      <w:pPr>
        <w:ind w:left="720" w:hanging="360"/>
      </w:pPr>
      <w:rPr>
        <w:rFonts w:ascii="Symbol" w:hAnsi="Symbol" w:hint="default"/>
      </w:rPr>
    </w:lvl>
    <w:lvl w:ilvl="1" w:tplc="B754C144" w:tentative="1">
      <w:start w:val="1"/>
      <w:numFmt w:val="bullet"/>
      <w:lvlText w:val="o"/>
      <w:lvlJc w:val="left"/>
      <w:pPr>
        <w:ind w:left="1440" w:hanging="360"/>
      </w:pPr>
      <w:rPr>
        <w:rFonts w:ascii="Courier New" w:hAnsi="Courier New" w:hint="default"/>
      </w:rPr>
    </w:lvl>
    <w:lvl w:ilvl="2" w:tplc="F1CEFB52" w:tentative="1">
      <w:start w:val="1"/>
      <w:numFmt w:val="bullet"/>
      <w:lvlText w:val=""/>
      <w:lvlJc w:val="left"/>
      <w:pPr>
        <w:ind w:left="2160" w:hanging="360"/>
      </w:pPr>
      <w:rPr>
        <w:rFonts w:ascii="Wingdings" w:hAnsi="Wingdings" w:hint="default"/>
      </w:rPr>
    </w:lvl>
    <w:lvl w:ilvl="3" w:tplc="324E4D62" w:tentative="1">
      <w:start w:val="1"/>
      <w:numFmt w:val="bullet"/>
      <w:lvlText w:val=""/>
      <w:lvlJc w:val="left"/>
      <w:pPr>
        <w:ind w:left="2880" w:hanging="360"/>
      </w:pPr>
      <w:rPr>
        <w:rFonts w:ascii="Symbol" w:hAnsi="Symbol" w:hint="default"/>
      </w:rPr>
    </w:lvl>
    <w:lvl w:ilvl="4" w:tplc="2D545400" w:tentative="1">
      <w:start w:val="1"/>
      <w:numFmt w:val="bullet"/>
      <w:lvlText w:val="o"/>
      <w:lvlJc w:val="left"/>
      <w:pPr>
        <w:ind w:left="3600" w:hanging="360"/>
      </w:pPr>
      <w:rPr>
        <w:rFonts w:ascii="Courier New" w:hAnsi="Courier New" w:hint="default"/>
      </w:rPr>
    </w:lvl>
    <w:lvl w:ilvl="5" w:tplc="08EEF6FE" w:tentative="1">
      <w:start w:val="1"/>
      <w:numFmt w:val="bullet"/>
      <w:lvlText w:val=""/>
      <w:lvlJc w:val="left"/>
      <w:pPr>
        <w:ind w:left="4320" w:hanging="360"/>
      </w:pPr>
      <w:rPr>
        <w:rFonts w:ascii="Wingdings" w:hAnsi="Wingdings" w:hint="default"/>
      </w:rPr>
    </w:lvl>
    <w:lvl w:ilvl="6" w:tplc="362EDE9C" w:tentative="1">
      <w:start w:val="1"/>
      <w:numFmt w:val="bullet"/>
      <w:lvlText w:val=""/>
      <w:lvlJc w:val="left"/>
      <w:pPr>
        <w:ind w:left="5040" w:hanging="360"/>
      </w:pPr>
      <w:rPr>
        <w:rFonts w:ascii="Symbol" w:hAnsi="Symbol" w:hint="default"/>
      </w:rPr>
    </w:lvl>
    <w:lvl w:ilvl="7" w:tplc="80D03F04" w:tentative="1">
      <w:start w:val="1"/>
      <w:numFmt w:val="bullet"/>
      <w:lvlText w:val="o"/>
      <w:lvlJc w:val="left"/>
      <w:pPr>
        <w:ind w:left="5760" w:hanging="360"/>
      </w:pPr>
      <w:rPr>
        <w:rFonts w:ascii="Courier New" w:hAnsi="Courier New" w:hint="default"/>
      </w:rPr>
    </w:lvl>
    <w:lvl w:ilvl="8" w:tplc="FB101C84" w:tentative="1">
      <w:start w:val="1"/>
      <w:numFmt w:val="bullet"/>
      <w:lvlText w:val=""/>
      <w:lvlJc w:val="left"/>
      <w:pPr>
        <w:ind w:left="6480" w:hanging="360"/>
      </w:pPr>
      <w:rPr>
        <w:rFonts w:ascii="Wingdings" w:hAnsi="Wingdings" w:hint="default"/>
      </w:rPr>
    </w:lvl>
  </w:abstractNum>
  <w:abstractNum w:abstractNumId="681" w15:restartNumberingAfterBreak="0">
    <w:nsid w:val="5DFE199B"/>
    <w:multiLevelType w:val="hybridMultilevel"/>
    <w:tmpl w:val="8C3674BC"/>
    <w:lvl w:ilvl="0" w:tplc="DBA8760A">
      <w:start w:val="1"/>
      <w:numFmt w:val="bullet"/>
      <w:lvlText w:val=""/>
      <w:lvlJc w:val="left"/>
      <w:pPr>
        <w:ind w:left="720" w:hanging="360"/>
      </w:pPr>
      <w:rPr>
        <w:rFonts w:ascii="Symbol" w:hAnsi="Symbol" w:hint="default"/>
      </w:rPr>
    </w:lvl>
    <w:lvl w:ilvl="1" w:tplc="F1446176" w:tentative="1">
      <w:start w:val="1"/>
      <w:numFmt w:val="bullet"/>
      <w:lvlText w:val="o"/>
      <w:lvlJc w:val="left"/>
      <w:pPr>
        <w:ind w:left="1440" w:hanging="360"/>
      </w:pPr>
      <w:rPr>
        <w:rFonts w:ascii="Courier New" w:hAnsi="Courier New" w:hint="default"/>
      </w:rPr>
    </w:lvl>
    <w:lvl w:ilvl="2" w:tplc="70FE3AB0" w:tentative="1">
      <w:start w:val="1"/>
      <w:numFmt w:val="bullet"/>
      <w:lvlText w:val=""/>
      <w:lvlJc w:val="left"/>
      <w:pPr>
        <w:ind w:left="2160" w:hanging="360"/>
      </w:pPr>
      <w:rPr>
        <w:rFonts w:ascii="Wingdings" w:hAnsi="Wingdings" w:hint="default"/>
      </w:rPr>
    </w:lvl>
    <w:lvl w:ilvl="3" w:tplc="D8A244DC" w:tentative="1">
      <w:start w:val="1"/>
      <w:numFmt w:val="bullet"/>
      <w:lvlText w:val=""/>
      <w:lvlJc w:val="left"/>
      <w:pPr>
        <w:ind w:left="2880" w:hanging="360"/>
      </w:pPr>
      <w:rPr>
        <w:rFonts w:ascii="Symbol" w:hAnsi="Symbol" w:hint="default"/>
      </w:rPr>
    </w:lvl>
    <w:lvl w:ilvl="4" w:tplc="251AD92A" w:tentative="1">
      <w:start w:val="1"/>
      <w:numFmt w:val="bullet"/>
      <w:lvlText w:val="o"/>
      <w:lvlJc w:val="left"/>
      <w:pPr>
        <w:ind w:left="3600" w:hanging="360"/>
      </w:pPr>
      <w:rPr>
        <w:rFonts w:ascii="Courier New" w:hAnsi="Courier New" w:hint="default"/>
      </w:rPr>
    </w:lvl>
    <w:lvl w:ilvl="5" w:tplc="A2924C3A" w:tentative="1">
      <w:start w:val="1"/>
      <w:numFmt w:val="bullet"/>
      <w:lvlText w:val=""/>
      <w:lvlJc w:val="left"/>
      <w:pPr>
        <w:ind w:left="4320" w:hanging="360"/>
      </w:pPr>
      <w:rPr>
        <w:rFonts w:ascii="Wingdings" w:hAnsi="Wingdings" w:hint="default"/>
      </w:rPr>
    </w:lvl>
    <w:lvl w:ilvl="6" w:tplc="BB265B2C" w:tentative="1">
      <w:start w:val="1"/>
      <w:numFmt w:val="bullet"/>
      <w:lvlText w:val=""/>
      <w:lvlJc w:val="left"/>
      <w:pPr>
        <w:ind w:left="5040" w:hanging="360"/>
      </w:pPr>
      <w:rPr>
        <w:rFonts w:ascii="Symbol" w:hAnsi="Symbol" w:hint="default"/>
      </w:rPr>
    </w:lvl>
    <w:lvl w:ilvl="7" w:tplc="3D706896" w:tentative="1">
      <w:start w:val="1"/>
      <w:numFmt w:val="bullet"/>
      <w:lvlText w:val="o"/>
      <w:lvlJc w:val="left"/>
      <w:pPr>
        <w:ind w:left="5760" w:hanging="360"/>
      </w:pPr>
      <w:rPr>
        <w:rFonts w:ascii="Courier New" w:hAnsi="Courier New" w:hint="default"/>
      </w:rPr>
    </w:lvl>
    <w:lvl w:ilvl="8" w:tplc="A5149622" w:tentative="1">
      <w:start w:val="1"/>
      <w:numFmt w:val="bullet"/>
      <w:lvlText w:val=""/>
      <w:lvlJc w:val="left"/>
      <w:pPr>
        <w:ind w:left="6480" w:hanging="360"/>
      </w:pPr>
      <w:rPr>
        <w:rFonts w:ascii="Wingdings" w:hAnsi="Wingdings" w:hint="default"/>
      </w:rPr>
    </w:lvl>
  </w:abstractNum>
  <w:abstractNum w:abstractNumId="682" w15:restartNumberingAfterBreak="0">
    <w:nsid w:val="5E052712"/>
    <w:multiLevelType w:val="multilevel"/>
    <w:tmpl w:val="1796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5E0B1A08"/>
    <w:multiLevelType w:val="multilevel"/>
    <w:tmpl w:val="AEAE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5E8725C6"/>
    <w:multiLevelType w:val="hybridMultilevel"/>
    <w:tmpl w:val="AEF8CBEC"/>
    <w:lvl w:ilvl="0" w:tplc="2252148A">
      <w:start w:val="1"/>
      <w:numFmt w:val="bullet"/>
      <w:lvlText w:val=""/>
      <w:lvlJc w:val="left"/>
      <w:pPr>
        <w:ind w:left="720" w:hanging="360"/>
      </w:pPr>
      <w:rPr>
        <w:rFonts w:ascii="Symbol" w:hAnsi="Symbol" w:hint="default"/>
      </w:rPr>
    </w:lvl>
    <w:lvl w:ilvl="1" w:tplc="3586A044" w:tentative="1">
      <w:start w:val="1"/>
      <w:numFmt w:val="bullet"/>
      <w:lvlText w:val="o"/>
      <w:lvlJc w:val="left"/>
      <w:pPr>
        <w:ind w:left="1440" w:hanging="360"/>
      </w:pPr>
      <w:rPr>
        <w:rFonts w:ascii="Courier New" w:hAnsi="Courier New" w:hint="default"/>
      </w:rPr>
    </w:lvl>
    <w:lvl w:ilvl="2" w:tplc="C8B2F016" w:tentative="1">
      <w:start w:val="1"/>
      <w:numFmt w:val="bullet"/>
      <w:lvlText w:val=""/>
      <w:lvlJc w:val="left"/>
      <w:pPr>
        <w:ind w:left="2160" w:hanging="360"/>
      </w:pPr>
      <w:rPr>
        <w:rFonts w:ascii="Wingdings" w:hAnsi="Wingdings" w:hint="default"/>
      </w:rPr>
    </w:lvl>
    <w:lvl w:ilvl="3" w:tplc="31C006D4" w:tentative="1">
      <w:start w:val="1"/>
      <w:numFmt w:val="bullet"/>
      <w:lvlText w:val=""/>
      <w:lvlJc w:val="left"/>
      <w:pPr>
        <w:ind w:left="2880" w:hanging="360"/>
      </w:pPr>
      <w:rPr>
        <w:rFonts w:ascii="Symbol" w:hAnsi="Symbol" w:hint="default"/>
      </w:rPr>
    </w:lvl>
    <w:lvl w:ilvl="4" w:tplc="55AAF3CE" w:tentative="1">
      <w:start w:val="1"/>
      <w:numFmt w:val="bullet"/>
      <w:lvlText w:val="o"/>
      <w:lvlJc w:val="left"/>
      <w:pPr>
        <w:ind w:left="3600" w:hanging="360"/>
      </w:pPr>
      <w:rPr>
        <w:rFonts w:ascii="Courier New" w:hAnsi="Courier New" w:hint="default"/>
      </w:rPr>
    </w:lvl>
    <w:lvl w:ilvl="5" w:tplc="C650803A" w:tentative="1">
      <w:start w:val="1"/>
      <w:numFmt w:val="bullet"/>
      <w:lvlText w:val=""/>
      <w:lvlJc w:val="left"/>
      <w:pPr>
        <w:ind w:left="4320" w:hanging="360"/>
      </w:pPr>
      <w:rPr>
        <w:rFonts w:ascii="Wingdings" w:hAnsi="Wingdings" w:hint="default"/>
      </w:rPr>
    </w:lvl>
    <w:lvl w:ilvl="6" w:tplc="9CA60F08" w:tentative="1">
      <w:start w:val="1"/>
      <w:numFmt w:val="bullet"/>
      <w:lvlText w:val=""/>
      <w:lvlJc w:val="left"/>
      <w:pPr>
        <w:ind w:left="5040" w:hanging="360"/>
      </w:pPr>
      <w:rPr>
        <w:rFonts w:ascii="Symbol" w:hAnsi="Symbol" w:hint="default"/>
      </w:rPr>
    </w:lvl>
    <w:lvl w:ilvl="7" w:tplc="08364D38" w:tentative="1">
      <w:start w:val="1"/>
      <w:numFmt w:val="bullet"/>
      <w:lvlText w:val="o"/>
      <w:lvlJc w:val="left"/>
      <w:pPr>
        <w:ind w:left="5760" w:hanging="360"/>
      </w:pPr>
      <w:rPr>
        <w:rFonts w:ascii="Courier New" w:hAnsi="Courier New" w:hint="default"/>
      </w:rPr>
    </w:lvl>
    <w:lvl w:ilvl="8" w:tplc="F5741512" w:tentative="1">
      <w:start w:val="1"/>
      <w:numFmt w:val="bullet"/>
      <w:lvlText w:val=""/>
      <w:lvlJc w:val="left"/>
      <w:pPr>
        <w:ind w:left="6480" w:hanging="360"/>
      </w:pPr>
      <w:rPr>
        <w:rFonts w:ascii="Wingdings" w:hAnsi="Wingdings" w:hint="default"/>
      </w:rPr>
    </w:lvl>
  </w:abstractNum>
  <w:abstractNum w:abstractNumId="685" w15:restartNumberingAfterBreak="0">
    <w:nsid w:val="5ED61508"/>
    <w:multiLevelType w:val="multilevel"/>
    <w:tmpl w:val="EFF2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5FAC2765"/>
    <w:multiLevelType w:val="multilevel"/>
    <w:tmpl w:val="01F2FE46"/>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687" w15:restartNumberingAfterBreak="0">
    <w:nsid w:val="5FD24D5D"/>
    <w:multiLevelType w:val="hybridMultilevel"/>
    <w:tmpl w:val="36AE1F82"/>
    <w:lvl w:ilvl="0" w:tplc="511C1FF4">
      <w:start w:val="1"/>
      <w:numFmt w:val="bullet"/>
      <w:lvlText w:val=""/>
      <w:lvlJc w:val="left"/>
      <w:pPr>
        <w:ind w:left="720" w:hanging="360"/>
      </w:pPr>
      <w:rPr>
        <w:rFonts w:ascii="Symbol" w:hAnsi="Symbol" w:hint="default"/>
      </w:rPr>
    </w:lvl>
    <w:lvl w:ilvl="1" w:tplc="1D800AB0" w:tentative="1">
      <w:start w:val="1"/>
      <w:numFmt w:val="bullet"/>
      <w:lvlText w:val="o"/>
      <w:lvlJc w:val="left"/>
      <w:pPr>
        <w:ind w:left="1440" w:hanging="360"/>
      </w:pPr>
      <w:rPr>
        <w:rFonts w:ascii="Courier New" w:hAnsi="Courier New" w:hint="default"/>
      </w:rPr>
    </w:lvl>
    <w:lvl w:ilvl="2" w:tplc="61927E2E" w:tentative="1">
      <w:start w:val="1"/>
      <w:numFmt w:val="bullet"/>
      <w:lvlText w:val=""/>
      <w:lvlJc w:val="left"/>
      <w:pPr>
        <w:ind w:left="2160" w:hanging="360"/>
      </w:pPr>
      <w:rPr>
        <w:rFonts w:ascii="Wingdings" w:hAnsi="Wingdings" w:hint="default"/>
      </w:rPr>
    </w:lvl>
    <w:lvl w:ilvl="3" w:tplc="12C2F1E8" w:tentative="1">
      <w:start w:val="1"/>
      <w:numFmt w:val="bullet"/>
      <w:lvlText w:val=""/>
      <w:lvlJc w:val="left"/>
      <w:pPr>
        <w:ind w:left="2880" w:hanging="360"/>
      </w:pPr>
      <w:rPr>
        <w:rFonts w:ascii="Symbol" w:hAnsi="Symbol" w:hint="default"/>
      </w:rPr>
    </w:lvl>
    <w:lvl w:ilvl="4" w:tplc="0D40B528" w:tentative="1">
      <w:start w:val="1"/>
      <w:numFmt w:val="bullet"/>
      <w:lvlText w:val="o"/>
      <w:lvlJc w:val="left"/>
      <w:pPr>
        <w:ind w:left="3600" w:hanging="360"/>
      </w:pPr>
      <w:rPr>
        <w:rFonts w:ascii="Courier New" w:hAnsi="Courier New" w:hint="default"/>
      </w:rPr>
    </w:lvl>
    <w:lvl w:ilvl="5" w:tplc="691A6CD6" w:tentative="1">
      <w:start w:val="1"/>
      <w:numFmt w:val="bullet"/>
      <w:lvlText w:val=""/>
      <w:lvlJc w:val="left"/>
      <w:pPr>
        <w:ind w:left="4320" w:hanging="360"/>
      </w:pPr>
      <w:rPr>
        <w:rFonts w:ascii="Wingdings" w:hAnsi="Wingdings" w:hint="default"/>
      </w:rPr>
    </w:lvl>
    <w:lvl w:ilvl="6" w:tplc="D2EAD76C" w:tentative="1">
      <w:start w:val="1"/>
      <w:numFmt w:val="bullet"/>
      <w:lvlText w:val=""/>
      <w:lvlJc w:val="left"/>
      <w:pPr>
        <w:ind w:left="5040" w:hanging="360"/>
      </w:pPr>
      <w:rPr>
        <w:rFonts w:ascii="Symbol" w:hAnsi="Symbol" w:hint="default"/>
      </w:rPr>
    </w:lvl>
    <w:lvl w:ilvl="7" w:tplc="FBA6AF58" w:tentative="1">
      <w:start w:val="1"/>
      <w:numFmt w:val="bullet"/>
      <w:lvlText w:val="o"/>
      <w:lvlJc w:val="left"/>
      <w:pPr>
        <w:ind w:left="5760" w:hanging="360"/>
      </w:pPr>
      <w:rPr>
        <w:rFonts w:ascii="Courier New" w:hAnsi="Courier New" w:hint="default"/>
      </w:rPr>
    </w:lvl>
    <w:lvl w:ilvl="8" w:tplc="58983F90" w:tentative="1">
      <w:start w:val="1"/>
      <w:numFmt w:val="bullet"/>
      <w:lvlText w:val=""/>
      <w:lvlJc w:val="left"/>
      <w:pPr>
        <w:ind w:left="6480" w:hanging="360"/>
      </w:pPr>
      <w:rPr>
        <w:rFonts w:ascii="Wingdings" w:hAnsi="Wingdings" w:hint="default"/>
      </w:rPr>
    </w:lvl>
  </w:abstractNum>
  <w:abstractNum w:abstractNumId="688" w15:restartNumberingAfterBreak="0">
    <w:nsid w:val="60283348"/>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607250B7"/>
    <w:multiLevelType w:val="multilevel"/>
    <w:tmpl w:val="A476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0" w15:restartNumberingAfterBreak="0">
    <w:nsid w:val="60BC5F9B"/>
    <w:multiLevelType w:val="multilevel"/>
    <w:tmpl w:val="1874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60BD79E6"/>
    <w:multiLevelType w:val="multilevel"/>
    <w:tmpl w:val="9DFA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60F44B22"/>
    <w:multiLevelType w:val="multilevel"/>
    <w:tmpl w:val="244C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3" w15:restartNumberingAfterBreak="0">
    <w:nsid w:val="610E3483"/>
    <w:multiLevelType w:val="multilevel"/>
    <w:tmpl w:val="7AAC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6144291E"/>
    <w:multiLevelType w:val="multilevel"/>
    <w:tmpl w:val="1D04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62011C67"/>
    <w:multiLevelType w:val="hybridMultilevel"/>
    <w:tmpl w:val="072EC772"/>
    <w:lvl w:ilvl="0" w:tplc="2F949EE0">
      <w:start w:val="1"/>
      <w:numFmt w:val="bullet"/>
      <w:lvlText w:val=""/>
      <w:lvlJc w:val="left"/>
      <w:pPr>
        <w:ind w:left="720" w:hanging="360"/>
      </w:pPr>
      <w:rPr>
        <w:rFonts w:ascii="Symbol" w:hAnsi="Symbol" w:hint="default"/>
      </w:rPr>
    </w:lvl>
    <w:lvl w:ilvl="1" w:tplc="8E8E7232" w:tentative="1">
      <w:start w:val="1"/>
      <w:numFmt w:val="bullet"/>
      <w:lvlText w:val="o"/>
      <w:lvlJc w:val="left"/>
      <w:pPr>
        <w:ind w:left="1440" w:hanging="360"/>
      </w:pPr>
      <w:rPr>
        <w:rFonts w:ascii="Courier New" w:hAnsi="Courier New" w:hint="default"/>
      </w:rPr>
    </w:lvl>
    <w:lvl w:ilvl="2" w:tplc="6C707D10" w:tentative="1">
      <w:start w:val="1"/>
      <w:numFmt w:val="bullet"/>
      <w:lvlText w:val=""/>
      <w:lvlJc w:val="left"/>
      <w:pPr>
        <w:ind w:left="2160" w:hanging="360"/>
      </w:pPr>
      <w:rPr>
        <w:rFonts w:ascii="Wingdings" w:hAnsi="Wingdings" w:hint="default"/>
      </w:rPr>
    </w:lvl>
    <w:lvl w:ilvl="3" w:tplc="69A096BC" w:tentative="1">
      <w:start w:val="1"/>
      <w:numFmt w:val="bullet"/>
      <w:lvlText w:val=""/>
      <w:lvlJc w:val="left"/>
      <w:pPr>
        <w:ind w:left="2880" w:hanging="360"/>
      </w:pPr>
      <w:rPr>
        <w:rFonts w:ascii="Symbol" w:hAnsi="Symbol" w:hint="default"/>
      </w:rPr>
    </w:lvl>
    <w:lvl w:ilvl="4" w:tplc="59E07F02" w:tentative="1">
      <w:start w:val="1"/>
      <w:numFmt w:val="bullet"/>
      <w:lvlText w:val="o"/>
      <w:lvlJc w:val="left"/>
      <w:pPr>
        <w:ind w:left="3600" w:hanging="360"/>
      </w:pPr>
      <w:rPr>
        <w:rFonts w:ascii="Courier New" w:hAnsi="Courier New" w:hint="default"/>
      </w:rPr>
    </w:lvl>
    <w:lvl w:ilvl="5" w:tplc="EA7E885C" w:tentative="1">
      <w:start w:val="1"/>
      <w:numFmt w:val="bullet"/>
      <w:lvlText w:val=""/>
      <w:lvlJc w:val="left"/>
      <w:pPr>
        <w:ind w:left="4320" w:hanging="360"/>
      </w:pPr>
      <w:rPr>
        <w:rFonts w:ascii="Wingdings" w:hAnsi="Wingdings" w:hint="default"/>
      </w:rPr>
    </w:lvl>
    <w:lvl w:ilvl="6" w:tplc="BC42B714" w:tentative="1">
      <w:start w:val="1"/>
      <w:numFmt w:val="bullet"/>
      <w:lvlText w:val=""/>
      <w:lvlJc w:val="left"/>
      <w:pPr>
        <w:ind w:left="5040" w:hanging="360"/>
      </w:pPr>
      <w:rPr>
        <w:rFonts w:ascii="Symbol" w:hAnsi="Symbol" w:hint="default"/>
      </w:rPr>
    </w:lvl>
    <w:lvl w:ilvl="7" w:tplc="083E99D8" w:tentative="1">
      <w:start w:val="1"/>
      <w:numFmt w:val="bullet"/>
      <w:lvlText w:val="o"/>
      <w:lvlJc w:val="left"/>
      <w:pPr>
        <w:ind w:left="5760" w:hanging="360"/>
      </w:pPr>
      <w:rPr>
        <w:rFonts w:ascii="Courier New" w:hAnsi="Courier New" w:hint="default"/>
      </w:rPr>
    </w:lvl>
    <w:lvl w:ilvl="8" w:tplc="63E6C3BC" w:tentative="1">
      <w:start w:val="1"/>
      <w:numFmt w:val="bullet"/>
      <w:lvlText w:val=""/>
      <w:lvlJc w:val="left"/>
      <w:pPr>
        <w:ind w:left="6480" w:hanging="360"/>
      </w:pPr>
      <w:rPr>
        <w:rFonts w:ascii="Wingdings" w:hAnsi="Wingdings" w:hint="default"/>
      </w:rPr>
    </w:lvl>
  </w:abstractNum>
  <w:abstractNum w:abstractNumId="696" w15:restartNumberingAfterBreak="0">
    <w:nsid w:val="6246714B"/>
    <w:multiLevelType w:val="multilevel"/>
    <w:tmpl w:val="42E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7" w15:restartNumberingAfterBreak="0">
    <w:nsid w:val="624B187A"/>
    <w:multiLevelType w:val="multilevel"/>
    <w:tmpl w:val="74B020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8" w15:restartNumberingAfterBreak="0">
    <w:nsid w:val="624D64A3"/>
    <w:multiLevelType w:val="multilevel"/>
    <w:tmpl w:val="3B44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624D6D2D"/>
    <w:multiLevelType w:val="hybridMultilevel"/>
    <w:tmpl w:val="699C2486"/>
    <w:lvl w:ilvl="0" w:tplc="AA32D29A">
      <w:start w:val="1"/>
      <w:numFmt w:val="bullet"/>
      <w:lvlText w:val=""/>
      <w:lvlJc w:val="left"/>
      <w:pPr>
        <w:ind w:left="720" w:hanging="360"/>
      </w:pPr>
      <w:rPr>
        <w:rFonts w:ascii="Symbol" w:hAnsi="Symbol" w:hint="default"/>
      </w:rPr>
    </w:lvl>
    <w:lvl w:ilvl="1" w:tplc="1458CBAC" w:tentative="1">
      <w:start w:val="1"/>
      <w:numFmt w:val="bullet"/>
      <w:lvlText w:val="o"/>
      <w:lvlJc w:val="left"/>
      <w:pPr>
        <w:ind w:left="1440" w:hanging="360"/>
      </w:pPr>
      <w:rPr>
        <w:rFonts w:ascii="Courier New" w:hAnsi="Courier New" w:hint="default"/>
      </w:rPr>
    </w:lvl>
    <w:lvl w:ilvl="2" w:tplc="29D076CA" w:tentative="1">
      <w:start w:val="1"/>
      <w:numFmt w:val="bullet"/>
      <w:lvlText w:val=""/>
      <w:lvlJc w:val="left"/>
      <w:pPr>
        <w:ind w:left="2160" w:hanging="360"/>
      </w:pPr>
      <w:rPr>
        <w:rFonts w:ascii="Wingdings" w:hAnsi="Wingdings" w:hint="default"/>
      </w:rPr>
    </w:lvl>
    <w:lvl w:ilvl="3" w:tplc="ACE444E8" w:tentative="1">
      <w:start w:val="1"/>
      <w:numFmt w:val="bullet"/>
      <w:lvlText w:val=""/>
      <w:lvlJc w:val="left"/>
      <w:pPr>
        <w:ind w:left="2880" w:hanging="360"/>
      </w:pPr>
      <w:rPr>
        <w:rFonts w:ascii="Symbol" w:hAnsi="Symbol" w:hint="default"/>
      </w:rPr>
    </w:lvl>
    <w:lvl w:ilvl="4" w:tplc="F52C2EE2" w:tentative="1">
      <w:start w:val="1"/>
      <w:numFmt w:val="bullet"/>
      <w:lvlText w:val="o"/>
      <w:lvlJc w:val="left"/>
      <w:pPr>
        <w:ind w:left="3600" w:hanging="360"/>
      </w:pPr>
      <w:rPr>
        <w:rFonts w:ascii="Courier New" w:hAnsi="Courier New" w:hint="default"/>
      </w:rPr>
    </w:lvl>
    <w:lvl w:ilvl="5" w:tplc="E43A1156" w:tentative="1">
      <w:start w:val="1"/>
      <w:numFmt w:val="bullet"/>
      <w:lvlText w:val=""/>
      <w:lvlJc w:val="left"/>
      <w:pPr>
        <w:ind w:left="4320" w:hanging="360"/>
      </w:pPr>
      <w:rPr>
        <w:rFonts w:ascii="Wingdings" w:hAnsi="Wingdings" w:hint="default"/>
      </w:rPr>
    </w:lvl>
    <w:lvl w:ilvl="6" w:tplc="50A2C6CA" w:tentative="1">
      <w:start w:val="1"/>
      <w:numFmt w:val="bullet"/>
      <w:lvlText w:val=""/>
      <w:lvlJc w:val="left"/>
      <w:pPr>
        <w:ind w:left="5040" w:hanging="360"/>
      </w:pPr>
      <w:rPr>
        <w:rFonts w:ascii="Symbol" w:hAnsi="Symbol" w:hint="default"/>
      </w:rPr>
    </w:lvl>
    <w:lvl w:ilvl="7" w:tplc="EA0C6860" w:tentative="1">
      <w:start w:val="1"/>
      <w:numFmt w:val="bullet"/>
      <w:lvlText w:val="o"/>
      <w:lvlJc w:val="left"/>
      <w:pPr>
        <w:ind w:left="5760" w:hanging="360"/>
      </w:pPr>
      <w:rPr>
        <w:rFonts w:ascii="Courier New" w:hAnsi="Courier New" w:hint="default"/>
      </w:rPr>
    </w:lvl>
    <w:lvl w:ilvl="8" w:tplc="91CA5940" w:tentative="1">
      <w:start w:val="1"/>
      <w:numFmt w:val="bullet"/>
      <w:lvlText w:val=""/>
      <w:lvlJc w:val="left"/>
      <w:pPr>
        <w:ind w:left="6480" w:hanging="360"/>
      </w:pPr>
      <w:rPr>
        <w:rFonts w:ascii="Wingdings" w:hAnsi="Wingdings" w:hint="default"/>
      </w:rPr>
    </w:lvl>
  </w:abstractNum>
  <w:abstractNum w:abstractNumId="700" w15:restartNumberingAfterBreak="0">
    <w:nsid w:val="625A6B02"/>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28424F1"/>
    <w:multiLevelType w:val="multilevel"/>
    <w:tmpl w:val="C0DE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2BD3E01"/>
    <w:multiLevelType w:val="hybridMultilevel"/>
    <w:tmpl w:val="D0BE83DE"/>
    <w:lvl w:ilvl="0" w:tplc="6D40B094">
      <w:start w:val="1"/>
      <w:numFmt w:val="bullet"/>
      <w:lvlText w:val=""/>
      <w:lvlJc w:val="left"/>
      <w:pPr>
        <w:ind w:left="720" w:hanging="360"/>
      </w:pPr>
      <w:rPr>
        <w:rFonts w:ascii="Symbol" w:hAnsi="Symbol" w:hint="default"/>
      </w:rPr>
    </w:lvl>
    <w:lvl w:ilvl="1" w:tplc="CEB6D22A" w:tentative="1">
      <w:start w:val="1"/>
      <w:numFmt w:val="bullet"/>
      <w:lvlText w:val="o"/>
      <w:lvlJc w:val="left"/>
      <w:pPr>
        <w:ind w:left="1440" w:hanging="360"/>
      </w:pPr>
      <w:rPr>
        <w:rFonts w:ascii="Courier New" w:hAnsi="Courier New" w:hint="default"/>
      </w:rPr>
    </w:lvl>
    <w:lvl w:ilvl="2" w:tplc="2FCC2640" w:tentative="1">
      <w:start w:val="1"/>
      <w:numFmt w:val="bullet"/>
      <w:lvlText w:val=""/>
      <w:lvlJc w:val="left"/>
      <w:pPr>
        <w:ind w:left="2160" w:hanging="360"/>
      </w:pPr>
      <w:rPr>
        <w:rFonts w:ascii="Wingdings" w:hAnsi="Wingdings" w:hint="default"/>
      </w:rPr>
    </w:lvl>
    <w:lvl w:ilvl="3" w:tplc="BA58301E" w:tentative="1">
      <w:start w:val="1"/>
      <w:numFmt w:val="bullet"/>
      <w:lvlText w:val=""/>
      <w:lvlJc w:val="left"/>
      <w:pPr>
        <w:ind w:left="2880" w:hanging="360"/>
      </w:pPr>
      <w:rPr>
        <w:rFonts w:ascii="Symbol" w:hAnsi="Symbol" w:hint="default"/>
      </w:rPr>
    </w:lvl>
    <w:lvl w:ilvl="4" w:tplc="6E264B5E" w:tentative="1">
      <w:start w:val="1"/>
      <w:numFmt w:val="bullet"/>
      <w:lvlText w:val="o"/>
      <w:lvlJc w:val="left"/>
      <w:pPr>
        <w:ind w:left="3600" w:hanging="360"/>
      </w:pPr>
      <w:rPr>
        <w:rFonts w:ascii="Courier New" w:hAnsi="Courier New" w:hint="default"/>
      </w:rPr>
    </w:lvl>
    <w:lvl w:ilvl="5" w:tplc="DA5C9DE8" w:tentative="1">
      <w:start w:val="1"/>
      <w:numFmt w:val="bullet"/>
      <w:lvlText w:val=""/>
      <w:lvlJc w:val="left"/>
      <w:pPr>
        <w:ind w:left="4320" w:hanging="360"/>
      </w:pPr>
      <w:rPr>
        <w:rFonts w:ascii="Wingdings" w:hAnsi="Wingdings" w:hint="default"/>
      </w:rPr>
    </w:lvl>
    <w:lvl w:ilvl="6" w:tplc="4636EBCC" w:tentative="1">
      <w:start w:val="1"/>
      <w:numFmt w:val="bullet"/>
      <w:lvlText w:val=""/>
      <w:lvlJc w:val="left"/>
      <w:pPr>
        <w:ind w:left="5040" w:hanging="360"/>
      </w:pPr>
      <w:rPr>
        <w:rFonts w:ascii="Symbol" w:hAnsi="Symbol" w:hint="default"/>
      </w:rPr>
    </w:lvl>
    <w:lvl w:ilvl="7" w:tplc="7CEC0260" w:tentative="1">
      <w:start w:val="1"/>
      <w:numFmt w:val="bullet"/>
      <w:lvlText w:val="o"/>
      <w:lvlJc w:val="left"/>
      <w:pPr>
        <w:ind w:left="5760" w:hanging="360"/>
      </w:pPr>
      <w:rPr>
        <w:rFonts w:ascii="Courier New" w:hAnsi="Courier New" w:hint="default"/>
      </w:rPr>
    </w:lvl>
    <w:lvl w:ilvl="8" w:tplc="9FD4038E" w:tentative="1">
      <w:start w:val="1"/>
      <w:numFmt w:val="bullet"/>
      <w:lvlText w:val=""/>
      <w:lvlJc w:val="left"/>
      <w:pPr>
        <w:ind w:left="6480" w:hanging="360"/>
      </w:pPr>
      <w:rPr>
        <w:rFonts w:ascii="Wingdings" w:hAnsi="Wingdings" w:hint="default"/>
      </w:rPr>
    </w:lvl>
  </w:abstractNum>
  <w:abstractNum w:abstractNumId="703" w15:restartNumberingAfterBreak="0">
    <w:nsid w:val="62F52605"/>
    <w:multiLevelType w:val="multilevel"/>
    <w:tmpl w:val="9FAE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4" w15:restartNumberingAfterBreak="0">
    <w:nsid w:val="62F75EBC"/>
    <w:multiLevelType w:val="multilevel"/>
    <w:tmpl w:val="1FC2DB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5" w15:restartNumberingAfterBreak="0">
    <w:nsid w:val="631E4873"/>
    <w:multiLevelType w:val="hybridMultilevel"/>
    <w:tmpl w:val="56BE090A"/>
    <w:lvl w:ilvl="0" w:tplc="B9C8D96C">
      <w:start w:val="1"/>
      <w:numFmt w:val="bullet"/>
      <w:lvlText w:val=""/>
      <w:lvlJc w:val="left"/>
      <w:pPr>
        <w:ind w:left="720" w:hanging="360"/>
      </w:pPr>
      <w:rPr>
        <w:rFonts w:ascii="Symbol" w:hAnsi="Symbol" w:hint="default"/>
      </w:rPr>
    </w:lvl>
    <w:lvl w:ilvl="1" w:tplc="B9AEBA5A" w:tentative="1">
      <w:start w:val="1"/>
      <w:numFmt w:val="bullet"/>
      <w:lvlText w:val="o"/>
      <w:lvlJc w:val="left"/>
      <w:pPr>
        <w:ind w:left="1440" w:hanging="360"/>
      </w:pPr>
      <w:rPr>
        <w:rFonts w:ascii="Courier New" w:hAnsi="Courier New" w:hint="default"/>
      </w:rPr>
    </w:lvl>
    <w:lvl w:ilvl="2" w:tplc="B13CC5E6" w:tentative="1">
      <w:start w:val="1"/>
      <w:numFmt w:val="bullet"/>
      <w:lvlText w:val=""/>
      <w:lvlJc w:val="left"/>
      <w:pPr>
        <w:ind w:left="2160" w:hanging="360"/>
      </w:pPr>
      <w:rPr>
        <w:rFonts w:ascii="Wingdings" w:hAnsi="Wingdings" w:hint="default"/>
      </w:rPr>
    </w:lvl>
    <w:lvl w:ilvl="3" w:tplc="81726B3C" w:tentative="1">
      <w:start w:val="1"/>
      <w:numFmt w:val="bullet"/>
      <w:lvlText w:val=""/>
      <w:lvlJc w:val="left"/>
      <w:pPr>
        <w:ind w:left="2880" w:hanging="360"/>
      </w:pPr>
      <w:rPr>
        <w:rFonts w:ascii="Symbol" w:hAnsi="Symbol" w:hint="default"/>
      </w:rPr>
    </w:lvl>
    <w:lvl w:ilvl="4" w:tplc="5C0212BE" w:tentative="1">
      <w:start w:val="1"/>
      <w:numFmt w:val="bullet"/>
      <w:lvlText w:val="o"/>
      <w:lvlJc w:val="left"/>
      <w:pPr>
        <w:ind w:left="3600" w:hanging="360"/>
      </w:pPr>
      <w:rPr>
        <w:rFonts w:ascii="Courier New" w:hAnsi="Courier New" w:hint="default"/>
      </w:rPr>
    </w:lvl>
    <w:lvl w:ilvl="5" w:tplc="8AE26602" w:tentative="1">
      <w:start w:val="1"/>
      <w:numFmt w:val="bullet"/>
      <w:lvlText w:val=""/>
      <w:lvlJc w:val="left"/>
      <w:pPr>
        <w:ind w:left="4320" w:hanging="360"/>
      </w:pPr>
      <w:rPr>
        <w:rFonts w:ascii="Wingdings" w:hAnsi="Wingdings" w:hint="default"/>
      </w:rPr>
    </w:lvl>
    <w:lvl w:ilvl="6" w:tplc="D3AC295C" w:tentative="1">
      <w:start w:val="1"/>
      <w:numFmt w:val="bullet"/>
      <w:lvlText w:val=""/>
      <w:lvlJc w:val="left"/>
      <w:pPr>
        <w:ind w:left="5040" w:hanging="360"/>
      </w:pPr>
      <w:rPr>
        <w:rFonts w:ascii="Symbol" w:hAnsi="Symbol" w:hint="default"/>
      </w:rPr>
    </w:lvl>
    <w:lvl w:ilvl="7" w:tplc="13863884" w:tentative="1">
      <w:start w:val="1"/>
      <w:numFmt w:val="bullet"/>
      <w:lvlText w:val="o"/>
      <w:lvlJc w:val="left"/>
      <w:pPr>
        <w:ind w:left="5760" w:hanging="360"/>
      </w:pPr>
      <w:rPr>
        <w:rFonts w:ascii="Courier New" w:hAnsi="Courier New" w:hint="default"/>
      </w:rPr>
    </w:lvl>
    <w:lvl w:ilvl="8" w:tplc="691E1D34" w:tentative="1">
      <w:start w:val="1"/>
      <w:numFmt w:val="bullet"/>
      <w:lvlText w:val=""/>
      <w:lvlJc w:val="left"/>
      <w:pPr>
        <w:ind w:left="6480" w:hanging="360"/>
      </w:pPr>
      <w:rPr>
        <w:rFonts w:ascii="Wingdings" w:hAnsi="Wingdings" w:hint="default"/>
      </w:rPr>
    </w:lvl>
  </w:abstractNum>
  <w:abstractNum w:abstractNumId="706" w15:restartNumberingAfterBreak="0">
    <w:nsid w:val="632729A6"/>
    <w:multiLevelType w:val="multilevel"/>
    <w:tmpl w:val="F85A4950"/>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07" w15:restartNumberingAfterBreak="0">
    <w:nsid w:val="63626975"/>
    <w:multiLevelType w:val="hybridMultilevel"/>
    <w:tmpl w:val="D8908E38"/>
    <w:lvl w:ilvl="0" w:tplc="BD0038DA">
      <w:start w:val="1"/>
      <w:numFmt w:val="bullet"/>
      <w:lvlText w:val=""/>
      <w:lvlJc w:val="left"/>
      <w:pPr>
        <w:ind w:left="720" w:hanging="360"/>
      </w:pPr>
      <w:rPr>
        <w:rFonts w:ascii="Symbol" w:hAnsi="Symbol" w:hint="default"/>
      </w:rPr>
    </w:lvl>
    <w:lvl w:ilvl="1" w:tplc="673CDFBC" w:tentative="1">
      <w:start w:val="1"/>
      <w:numFmt w:val="bullet"/>
      <w:lvlText w:val="o"/>
      <w:lvlJc w:val="left"/>
      <w:pPr>
        <w:ind w:left="1440" w:hanging="360"/>
      </w:pPr>
      <w:rPr>
        <w:rFonts w:ascii="Courier New" w:hAnsi="Courier New" w:hint="default"/>
      </w:rPr>
    </w:lvl>
    <w:lvl w:ilvl="2" w:tplc="D2DA940C" w:tentative="1">
      <w:start w:val="1"/>
      <w:numFmt w:val="bullet"/>
      <w:lvlText w:val=""/>
      <w:lvlJc w:val="left"/>
      <w:pPr>
        <w:ind w:left="2160" w:hanging="360"/>
      </w:pPr>
      <w:rPr>
        <w:rFonts w:ascii="Wingdings" w:hAnsi="Wingdings" w:hint="default"/>
      </w:rPr>
    </w:lvl>
    <w:lvl w:ilvl="3" w:tplc="0E58BD52" w:tentative="1">
      <w:start w:val="1"/>
      <w:numFmt w:val="bullet"/>
      <w:lvlText w:val=""/>
      <w:lvlJc w:val="left"/>
      <w:pPr>
        <w:ind w:left="2880" w:hanging="360"/>
      </w:pPr>
      <w:rPr>
        <w:rFonts w:ascii="Symbol" w:hAnsi="Symbol" w:hint="default"/>
      </w:rPr>
    </w:lvl>
    <w:lvl w:ilvl="4" w:tplc="6CF0CE7C" w:tentative="1">
      <w:start w:val="1"/>
      <w:numFmt w:val="bullet"/>
      <w:lvlText w:val="o"/>
      <w:lvlJc w:val="left"/>
      <w:pPr>
        <w:ind w:left="3600" w:hanging="360"/>
      </w:pPr>
      <w:rPr>
        <w:rFonts w:ascii="Courier New" w:hAnsi="Courier New" w:hint="default"/>
      </w:rPr>
    </w:lvl>
    <w:lvl w:ilvl="5" w:tplc="04487946" w:tentative="1">
      <w:start w:val="1"/>
      <w:numFmt w:val="bullet"/>
      <w:lvlText w:val=""/>
      <w:lvlJc w:val="left"/>
      <w:pPr>
        <w:ind w:left="4320" w:hanging="360"/>
      </w:pPr>
      <w:rPr>
        <w:rFonts w:ascii="Wingdings" w:hAnsi="Wingdings" w:hint="default"/>
      </w:rPr>
    </w:lvl>
    <w:lvl w:ilvl="6" w:tplc="19564078" w:tentative="1">
      <w:start w:val="1"/>
      <w:numFmt w:val="bullet"/>
      <w:lvlText w:val=""/>
      <w:lvlJc w:val="left"/>
      <w:pPr>
        <w:ind w:left="5040" w:hanging="360"/>
      </w:pPr>
      <w:rPr>
        <w:rFonts w:ascii="Symbol" w:hAnsi="Symbol" w:hint="default"/>
      </w:rPr>
    </w:lvl>
    <w:lvl w:ilvl="7" w:tplc="99DC11AC" w:tentative="1">
      <w:start w:val="1"/>
      <w:numFmt w:val="bullet"/>
      <w:lvlText w:val="o"/>
      <w:lvlJc w:val="left"/>
      <w:pPr>
        <w:ind w:left="5760" w:hanging="360"/>
      </w:pPr>
      <w:rPr>
        <w:rFonts w:ascii="Courier New" w:hAnsi="Courier New" w:hint="default"/>
      </w:rPr>
    </w:lvl>
    <w:lvl w:ilvl="8" w:tplc="3CE4767A" w:tentative="1">
      <w:start w:val="1"/>
      <w:numFmt w:val="bullet"/>
      <w:lvlText w:val=""/>
      <w:lvlJc w:val="left"/>
      <w:pPr>
        <w:ind w:left="6480" w:hanging="360"/>
      </w:pPr>
      <w:rPr>
        <w:rFonts w:ascii="Wingdings" w:hAnsi="Wingdings" w:hint="default"/>
      </w:rPr>
    </w:lvl>
  </w:abstractNum>
  <w:abstractNum w:abstractNumId="708" w15:restartNumberingAfterBreak="0">
    <w:nsid w:val="63712514"/>
    <w:multiLevelType w:val="multilevel"/>
    <w:tmpl w:val="56E2B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6387077C"/>
    <w:multiLevelType w:val="multilevel"/>
    <w:tmpl w:val="9C84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63C845C0"/>
    <w:multiLevelType w:val="hybridMultilevel"/>
    <w:tmpl w:val="628E5952"/>
    <w:lvl w:ilvl="0" w:tplc="14C66EA8">
      <w:start w:val="1"/>
      <w:numFmt w:val="decimal"/>
      <w:lvlText w:val="%1."/>
      <w:lvlJc w:val="left"/>
      <w:pPr>
        <w:ind w:left="360" w:hanging="360"/>
      </w:pPr>
    </w:lvl>
    <w:lvl w:ilvl="1" w:tplc="A19C8114">
      <w:start w:val="1"/>
      <w:numFmt w:val="lowerLetter"/>
      <w:lvlText w:val="%2."/>
      <w:lvlJc w:val="left"/>
      <w:pPr>
        <w:ind w:left="1080" w:hanging="360"/>
      </w:pPr>
    </w:lvl>
    <w:lvl w:ilvl="2" w:tplc="74C635E0">
      <w:start w:val="1"/>
      <w:numFmt w:val="lowerRoman"/>
      <w:lvlText w:val="%3."/>
      <w:lvlJc w:val="right"/>
      <w:pPr>
        <w:ind w:left="1800" w:hanging="180"/>
      </w:pPr>
    </w:lvl>
    <w:lvl w:ilvl="3" w:tplc="3A4E3B4C">
      <w:start w:val="1"/>
      <w:numFmt w:val="decimal"/>
      <w:lvlText w:val="%4."/>
      <w:lvlJc w:val="left"/>
      <w:pPr>
        <w:ind w:left="2520" w:hanging="360"/>
      </w:pPr>
    </w:lvl>
    <w:lvl w:ilvl="4" w:tplc="65968E22">
      <w:start w:val="1"/>
      <w:numFmt w:val="lowerLetter"/>
      <w:lvlText w:val="%5."/>
      <w:lvlJc w:val="left"/>
      <w:pPr>
        <w:ind w:left="3240" w:hanging="360"/>
      </w:pPr>
    </w:lvl>
    <w:lvl w:ilvl="5" w:tplc="42B44D6C">
      <w:start w:val="1"/>
      <w:numFmt w:val="lowerRoman"/>
      <w:lvlText w:val="%6."/>
      <w:lvlJc w:val="right"/>
      <w:pPr>
        <w:ind w:left="3960" w:hanging="180"/>
      </w:pPr>
    </w:lvl>
    <w:lvl w:ilvl="6" w:tplc="7CCC09EC">
      <w:start w:val="1"/>
      <w:numFmt w:val="decimal"/>
      <w:lvlText w:val="%7."/>
      <w:lvlJc w:val="left"/>
      <w:pPr>
        <w:ind w:left="4680" w:hanging="360"/>
      </w:pPr>
    </w:lvl>
    <w:lvl w:ilvl="7" w:tplc="FF18044C">
      <w:start w:val="1"/>
      <w:numFmt w:val="lowerLetter"/>
      <w:lvlText w:val="%8."/>
      <w:lvlJc w:val="left"/>
      <w:pPr>
        <w:ind w:left="5400" w:hanging="360"/>
      </w:pPr>
    </w:lvl>
    <w:lvl w:ilvl="8" w:tplc="3D2C429E">
      <w:start w:val="1"/>
      <w:numFmt w:val="lowerRoman"/>
      <w:lvlText w:val="%9."/>
      <w:lvlJc w:val="right"/>
      <w:pPr>
        <w:ind w:left="6120" w:hanging="180"/>
      </w:pPr>
    </w:lvl>
  </w:abstractNum>
  <w:abstractNum w:abstractNumId="711" w15:restartNumberingAfterBreak="0">
    <w:nsid w:val="63E049FD"/>
    <w:multiLevelType w:val="multilevel"/>
    <w:tmpl w:val="238E5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Roman"/>
      <w:lvlText w:val="%3."/>
      <w:lvlJc w:val="left"/>
      <w:pPr>
        <w:ind w:left="2520" w:hanging="720"/>
      </w:pPr>
    </w:lvl>
    <w:lvl w:ilvl="3">
      <w:start w:val="5"/>
      <w:numFmt w:val="upperLetter"/>
      <w:lvlText w:val="%4."/>
      <w:lvlJc w:val="left"/>
      <w:pPr>
        <w:ind w:left="2880" w:hanging="360"/>
      </w:pPr>
      <w:rPr>
        <w:b/>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2" w15:restartNumberingAfterBreak="0">
    <w:nsid w:val="644F02E2"/>
    <w:multiLevelType w:val="multilevel"/>
    <w:tmpl w:val="775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3" w15:restartNumberingAfterBreak="0">
    <w:nsid w:val="645F5F62"/>
    <w:multiLevelType w:val="hybridMultilevel"/>
    <w:tmpl w:val="1F44EA46"/>
    <w:lvl w:ilvl="0" w:tplc="86C60072">
      <w:start w:val="1"/>
      <w:numFmt w:val="bullet"/>
      <w:lvlText w:val=""/>
      <w:lvlJc w:val="left"/>
      <w:pPr>
        <w:ind w:left="720" w:hanging="360"/>
      </w:pPr>
      <w:rPr>
        <w:rFonts w:ascii="Symbol" w:hAnsi="Symbol" w:hint="default"/>
      </w:rPr>
    </w:lvl>
    <w:lvl w:ilvl="1" w:tplc="548ACCF8" w:tentative="1">
      <w:start w:val="1"/>
      <w:numFmt w:val="bullet"/>
      <w:lvlText w:val="o"/>
      <w:lvlJc w:val="left"/>
      <w:pPr>
        <w:ind w:left="1440" w:hanging="360"/>
      </w:pPr>
      <w:rPr>
        <w:rFonts w:ascii="Courier New" w:hAnsi="Courier New" w:hint="default"/>
      </w:rPr>
    </w:lvl>
    <w:lvl w:ilvl="2" w:tplc="FE62B278" w:tentative="1">
      <w:start w:val="1"/>
      <w:numFmt w:val="bullet"/>
      <w:lvlText w:val=""/>
      <w:lvlJc w:val="left"/>
      <w:pPr>
        <w:ind w:left="2160" w:hanging="360"/>
      </w:pPr>
      <w:rPr>
        <w:rFonts w:ascii="Wingdings" w:hAnsi="Wingdings" w:hint="default"/>
      </w:rPr>
    </w:lvl>
    <w:lvl w:ilvl="3" w:tplc="394EDBBA" w:tentative="1">
      <w:start w:val="1"/>
      <w:numFmt w:val="bullet"/>
      <w:lvlText w:val=""/>
      <w:lvlJc w:val="left"/>
      <w:pPr>
        <w:ind w:left="2880" w:hanging="360"/>
      </w:pPr>
      <w:rPr>
        <w:rFonts w:ascii="Symbol" w:hAnsi="Symbol" w:hint="default"/>
      </w:rPr>
    </w:lvl>
    <w:lvl w:ilvl="4" w:tplc="1ADE1BD0" w:tentative="1">
      <w:start w:val="1"/>
      <w:numFmt w:val="bullet"/>
      <w:lvlText w:val="o"/>
      <w:lvlJc w:val="left"/>
      <w:pPr>
        <w:ind w:left="3600" w:hanging="360"/>
      </w:pPr>
      <w:rPr>
        <w:rFonts w:ascii="Courier New" w:hAnsi="Courier New" w:hint="default"/>
      </w:rPr>
    </w:lvl>
    <w:lvl w:ilvl="5" w:tplc="7B2CCCF0" w:tentative="1">
      <w:start w:val="1"/>
      <w:numFmt w:val="bullet"/>
      <w:lvlText w:val=""/>
      <w:lvlJc w:val="left"/>
      <w:pPr>
        <w:ind w:left="4320" w:hanging="360"/>
      </w:pPr>
      <w:rPr>
        <w:rFonts w:ascii="Wingdings" w:hAnsi="Wingdings" w:hint="default"/>
      </w:rPr>
    </w:lvl>
    <w:lvl w:ilvl="6" w:tplc="9F8682C0" w:tentative="1">
      <w:start w:val="1"/>
      <w:numFmt w:val="bullet"/>
      <w:lvlText w:val=""/>
      <w:lvlJc w:val="left"/>
      <w:pPr>
        <w:ind w:left="5040" w:hanging="360"/>
      </w:pPr>
      <w:rPr>
        <w:rFonts w:ascii="Symbol" w:hAnsi="Symbol" w:hint="default"/>
      </w:rPr>
    </w:lvl>
    <w:lvl w:ilvl="7" w:tplc="9B22D5A6" w:tentative="1">
      <w:start w:val="1"/>
      <w:numFmt w:val="bullet"/>
      <w:lvlText w:val="o"/>
      <w:lvlJc w:val="left"/>
      <w:pPr>
        <w:ind w:left="5760" w:hanging="360"/>
      </w:pPr>
      <w:rPr>
        <w:rFonts w:ascii="Courier New" w:hAnsi="Courier New" w:hint="default"/>
      </w:rPr>
    </w:lvl>
    <w:lvl w:ilvl="8" w:tplc="D130B51A" w:tentative="1">
      <w:start w:val="1"/>
      <w:numFmt w:val="bullet"/>
      <w:lvlText w:val=""/>
      <w:lvlJc w:val="left"/>
      <w:pPr>
        <w:ind w:left="6480" w:hanging="360"/>
      </w:pPr>
      <w:rPr>
        <w:rFonts w:ascii="Wingdings" w:hAnsi="Wingdings" w:hint="default"/>
      </w:rPr>
    </w:lvl>
  </w:abstractNum>
  <w:abstractNum w:abstractNumId="714" w15:restartNumberingAfterBreak="0">
    <w:nsid w:val="64E853F4"/>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5" w15:restartNumberingAfterBreak="0">
    <w:nsid w:val="64FA08DD"/>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6" w15:restartNumberingAfterBreak="0">
    <w:nsid w:val="64FC5B95"/>
    <w:multiLevelType w:val="multilevel"/>
    <w:tmpl w:val="3A04217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17" w15:restartNumberingAfterBreak="0">
    <w:nsid w:val="651367CC"/>
    <w:multiLevelType w:val="multilevel"/>
    <w:tmpl w:val="A34E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65204EE5"/>
    <w:multiLevelType w:val="multilevel"/>
    <w:tmpl w:val="D2906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9" w15:restartNumberingAfterBreak="0">
    <w:nsid w:val="65483E71"/>
    <w:multiLevelType w:val="multilevel"/>
    <w:tmpl w:val="91B8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0" w15:restartNumberingAfterBreak="0">
    <w:nsid w:val="655B22AC"/>
    <w:multiLevelType w:val="multilevel"/>
    <w:tmpl w:val="C786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656F0F55"/>
    <w:multiLevelType w:val="multilevel"/>
    <w:tmpl w:val="AFEA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2" w15:restartNumberingAfterBreak="0">
    <w:nsid w:val="65763850"/>
    <w:multiLevelType w:val="multilevel"/>
    <w:tmpl w:val="2056EF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3" w15:restartNumberingAfterBreak="0">
    <w:nsid w:val="657913AC"/>
    <w:multiLevelType w:val="hybridMultilevel"/>
    <w:tmpl w:val="D2A45430"/>
    <w:lvl w:ilvl="0" w:tplc="B3FC5DE6">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D6504600" w:tentative="1">
      <w:start w:val="1"/>
      <w:numFmt w:val="bullet"/>
      <w:lvlText w:val="o"/>
      <w:lvlJc w:val="left"/>
      <w:pPr>
        <w:ind w:left="1440" w:hanging="360"/>
      </w:pPr>
      <w:rPr>
        <w:rFonts w:ascii="Courier New" w:hAnsi="Courier New" w:hint="default"/>
      </w:rPr>
    </w:lvl>
    <w:lvl w:ilvl="2" w:tplc="E6AAA9D2" w:tentative="1">
      <w:start w:val="1"/>
      <w:numFmt w:val="bullet"/>
      <w:lvlText w:val=""/>
      <w:lvlJc w:val="left"/>
      <w:pPr>
        <w:ind w:left="2160" w:hanging="360"/>
      </w:pPr>
      <w:rPr>
        <w:rFonts w:ascii="Wingdings" w:hAnsi="Wingdings" w:hint="default"/>
      </w:rPr>
    </w:lvl>
    <w:lvl w:ilvl="3" w:tplc="496876C8" w:tentative="1">
      <w:start w:val="1"/>
      <w:numFmt w:val="bullet"/>
      <w:lvlText w:val=""/>
      <w:lvlJc w:val="left"/>
      <w:pPr>
        <w:ind w:left="2880" w:hanging="360"/>
      </w:pPr>
      <w:rPr>
        <w:rFonts w:ascii="Symbol" w:hAnsi="Symbol" w:hint="default"/>
      </w:rPr>
    </w:lvl>
    <w:lvl w:ilvl="4" w:tplc="44A84B12" w:tentative="1">
      <w:start w:val="1"/>
      <w:numFmt w:val="bullet"/>
      <w:lvlText w:val="o"/>
      <w:lvlJc w:val="left"/>
      <w:pPr>
        <w:ind w:left="3600" w:hanging="360"/>
      </w:pPr>
      <w:rPr>
        <w:rFonts w:ascii="Courier New" w:hAnsi="Courier New" w:hint="default"/>
      </w:rPr>
    </w:lvl>
    <w:lvl w:ilvl="5" w:tplc="838AC83A" w:tentative="1">
      <w:start w:val="1"/>
      <w:numFmt w:val="bullet"/>
      <w:lvlText w:val=""/>
      <w:lvlJc w:val="left"/>
      <w:pPr>
        <w:ind w:left="4320" w:hanging="360"/>
      </w:pPr>
      <w:rPr>
        <w:rFonts w:ascii="Wingdings" w:hAnsi="Wingdings" w:hint="default"/>
      </w:rPr>
    </w:lvl>
    <w:lvl w:ilvl="6" w:tplc="DBB8E47C" w:tentative="1">
      <w:start w:val="1"/>
      <w:numFmt w:val="bullet"/>
      <w:lvlText w:val=""/>
      <w:lvlJc w:val="left"/>
      <w:pPr>
        <w:ind w:left="5040" w:hanging="360"/>
      </w:pPr>
      <w:rPr>
        <w:rFonts w:ascii="Symbol" w:hAnsi="Symbol" w:hint="default"/>
      </w:rPr>
    </w:lvl>
    <w:lvl w:ilvl="7" w:tplc="E420494A" w:tentative="1">
      <w:start w:val="1"/>
      <w:numFmt w:val="bullet"/>
      <w:lvlText w:val="o"/>
      <w:lvlJc w:val="left"/>
      <w:pPr>
        <w:ind w:left="5760" w:hanging="360"/>
      </w:pPr>
      <w:rPr>
        <w:rFonts w:ascii="Courier New" w:hAnsi="Courier New" w:hint="default"/>
      </w:rPr>
    </w:lvl>
    <w:lvl w:ilvl="8" w:tplc="07C0ABBE" w:tentative="1">
      <w:start w:val="1"/>
      <w:numFmt w:val="bullet"/>
      <w:lvlText w:val=""/>
      <w:lvlJc w:val="left"/>
      <w:pPr>
        <w:ind w:left="6480" w:hanging="360"/>
      </w:pPr>
      <w:rPr>
        <w:rFonts w:ascii="Wingdings" w:hAnsi="Wingdings" w:hint="default"/>
      </w:rPr>
    </w:lvl>
  </w:abstractNum>
  <w:abstractNum w:abstractNumId="724" w15:restartNumberingAfterBreak="0">
    <w:nsid w:val="659833B3"/>
    <w:multiLevelType w:val="multilevel"/>
    <w:tmpl w:val="54B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5" w15:restartNumberingAfterBreak="0">
    <w:nsid w:val="659D739A"/>
    <w:multiLevelType w:val="multilevel"/>
    <w:tmpl w:val="515E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5CB7BE3"/>
    <w:multiLevelType w:val="multilevel"/>
    <w:tmpl w:val="12B881A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27" w15:restartNumberingAfterBreak="0">
    <w:nsid w:val="663427B3"/>
    <w:multiLevelType w:val="multilevel"/>
    <w:tmpl w:val="939C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663C66A5"/>
    <w:multiLevelType w:val="hybridMultilevel"/>
    <w:tmpl w:val="28F8F60C"/>
    <w:lvl w:ilvl="0" w:tplc="5B228B1C">
      <w:start w:val="1"/>
      <w:numFmt w:val="bullet"/>
      <w:lvlText w:val=""/>
      <w:lvlJc w:val="left"/>
      <w:pPr>
        <w:ind w:left="720" w:hanging="360"/>
      </w:pPr>
      <w:rPr>
        <w:rFonts w:ascii="Symbol" w:hAnsi="Symbol" w:hint="default"/>
      </w:rPr>
    </w:lvl>
    <w:lvl w:ilvl="1" w:tplc="42F66A30" w:tentative="1">
      <w:start w:val="1"/>
      <w:numFmt w:val="bullet"/>
      <w:lvlText w:val="o"/>
      <w:lvlJc w:val="left"/>
      <w:pPr>
        <w:ind w:left="1440" w:hanging="360"/>
      </w:pPr>
      <w:rPr>
        <w:rFonts w:ascii="Courier New" w:hAnsi="Courier New" w:hint="default"/>
      </w:rPr>
    </w:lvl>
    <w:lvl w:ilvl="2" w:tplc="22C655F4" w:tentative="1">
      <w:start w:val="1"/>
      <w:numFmt w:val="bullet"/>
      <w:lvlText w:val=""/>
      <w:lvlJc w:val="left"/>
      <w:pPr>
        <w:ind w:left="2160" w:hanging="360"/>
      </w:pPr>
      <w:rPr>
        <w:rFonts w:ascii="Wingdings" w:hAnsi="Wingdings" w:hint="default"/>
      </w:rPr>
    </w:lvl>
    <w:lvl w:ilvl="3" w:tplc="D8AE3708" w:tentative="1">
      <w:start w:val="1"/>
      <w:numFmt w:val="bullet"/>
      <w:lvlText w:val=""/>
      <w:lvlJc w:val="left"/>
      <w:pPr>
        <w:ind w:left="2880" w:hanging="360"/>
      </w:pPr>
      <w:rPr>
        <w:rFonts w:ascii="Symbol" w:hAnsi="Symbol" w:hint="default"/>
      </w:rPr>
    </w:lvl>
    <w:lvl w:ilvl="4" w:tplc="7D52521C" w:tentative="1">
      <w:start w:val="1"/>
      <w:numFmt w:val="bullet"/>
      <w:lvlText w:val="o"/>
      <w:lvlJc w:val="left"/>
      <w:pPr>
        <w:ind w:left="3600" w:hanging="360"/>
      </w:pPr>
      <w:rPr>
        <w:rFonts w:ascii="Courier New" w:hAnsi="Courier New" w:hint="default"/>
      </w:rPr>
    </w:lvl>
    <w:lvl w:ilvl="5" w:tplc="5A3E899A" w:tentative="1">
      <w:start w:val="1"/>
      <w:numFmt w:val="bullet"/>
      <w:lvlText w:val=""/>
      <w:lvlJc w:val="left"/>
      <w:pPr>
        <w:ind w:left="4320" w:hanging="360"/>
      </w:pPr>
      <w:rPr>
        <w:rFonts w:ascii="Wingdings" w:hAnsi="Wingdings" w:hint="default"/>
      </w:rPr>
    </w:lvl>
    <w:lvl w:ilvl="6" w:tplc="45D69256" w:tentative="1">
      <w:start w:val="1"/>
      <w:numFmt w:val="bullet"/>
      <w:lvlText w:val=""/>
      <w:lvlJc w:val="left"/>
      <w:pPr>
        <w:ind w:left="5040" w:hanging="360"/>
      </w:pPr>
      <w:rPr>
        <w:rFonts w:ascii="Symbol" w:hAnsi="Symbol" w:hint="default"/>
      </w:rPr>
    </w:lvl>
    <w:lvl w:ilvl="7" w:tplc="697C4180" w:tentative="1">
      <w:start w:val="1"/>
      <w:numFmt w:val="bullet"/>
      <w:lvlText w:val="o"/>
      <w:lvlJc w:val="left"/>
      <w:pPr>
        <w:ind w:left="5760" w:hanging="360"/>
      </w:pPr>
      <w:rPr>
        <w:rFonts w:ascii="Courier New" w:hAnsi="Courier New" w:hint="default"/>
      </w:rPr>
    </w:lvl>
    <w:lvl w:ilvl="8" w:tplc="2B8E303C" w:tentative="1">
      <w:start w:val="1"/>
      <w:numFmt w:val="bullet"/>
      <w:lvlText w:val=""/>
      <w:lvlJc w:val="left"/>
      <w:pPr>
        <w:ind w:left="6480" w:hanging="360"/>
      </w:pPr>
      <w:rPr>
        <w:rFonts w:ascii="Wingdings" w:hAnsi="Wingdings" w:hint="default"/>
      </w:rPr>
    </w:lvl>
  </w:abstractNum>
  <w:abstractNum w:abstractNumId="729" w15:restartNumberingAfterBreak="0">
    <w:nsid w:val="66407D6F"/>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0" w15:restartNumberingAfterBreak="0">
    <w:nsid w:val="66523295"/>
    <w:multiLevelType w:val="multilevel"/>
    <w:tmpl w:val="57AE2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6563C6B"/>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2" w15:restartNumberingAfterBreak="0">
    <w:nsid w:val="665E0143"/>
    <w:multiLevelType w:val="multilevel"/>
    <w:tmpl w:val="19EC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66911CA3"/>
    <w:multiLevelType w:val="multilevel"/>
    <w:tmpl w:val="BCF6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4" w15:restartNumberingAfterBreak="0">
    <w:nsid w:val="66A10D2E"/>
    <w:multiLevelType w:val="hybridMultilevel"/>
    <w:tmpl w:val="0FF8239C"/>
    <w:lvl w:ilvl="0" w:tplc="286ABB2E">
      <w:start w:val="1"/>
      <w:numFmt w:val="decimal"/>
      <w:lvlText w:val="%1."/>
      <w:lvlJc w:val="left"/>
      <w:pPr>
        <w:ind w:left="720" w:hanging="360"/>
      </w:pPr>
    </w:lvl>
    <w:lvl w:ilvl="1" w:tplc="50682BA4" w:tentative="1">
      <w:start w:val="1"/>
      <w:numFmt w:val="lowerLetter"/>
      <w:lvlText w:val="%2."/>
      <w:lvlJc w:val="left"/>
      <w:pPr>
        <w:ind w:left="1440" w:hanging="360"/>
      </w:pPr>
    </w:lvl>
    <w:lvl w:ilvl="2" w:tplc="B3788E8E" w:tentative="1">
      <w:start w:val="1"/>
      <w:numFmt w:val="lowerRoman"/>
      <w:lvlText w:val="%3."/>
      <w:lvlJc w:val="right"/>
      <w:pPr>
        <w:ind w:left="2160" w:hanging="180"/>
      </w:pPr>
    </w:lvl>
    <w:lvl w:ilvl="3" w:tplc="4B8CD320" w:tentative="1">
      <w:start w:val="1"/>
      <w:numFmt w:val="decimal"/>
      <w:lvlText w:val="%4."/>
      <w:lvlJc w:val="left"/>
      <w:pPr>
        <w:ind w:left="2880" w:hanging="360"/>
      </w:pPr>
    </w:lvl>
    <w:lvl w:ilvl="4" w:tplc="09D0DFD6" w:tentative="1">
      <w:start w:val="1"/>
      <w:numFmt w:val="lowerLetter"/>
      <w:lvlText w:val="%5."/>
      <w:lvlJc w:val="left"/>
      <w:pPr>
        <w:ind w:left="3600" w:hanging="360"/>
      </w:pPr>
    </w:lvl>
    <w:lvl w:ilvl="5" w:tplc="8E92170C" w:tentative="1">
      <w:start w:val="1"/>
      <w:numFmt w:val="lowerRoman"/>
      <w:lvlText w:val="%6."/>
      <w:lvlJc w:val="right"/>
      <w:pPr>
        <w:ind w:left="4320" w:hanging="180"/>
      </w:pPr>
    </w:lvl>
    <w:lvl w:ilvl="6" w:tplc="9CECA6D6" w:tentative="1">
      <w:start w:val="1"/>
      <w:numFmt w:val="decimal"/>
      <w:lvlText w:val="%7."/>
      <w:lvlJc w:val="left"/>
      <w:pPr>
        <w:ind w:left="5040" w:hanging="360"/>
      </w:pPr>
    </w:lvl>
    <w:lvl w:ilvl="7" w:tplc="0214FB50" w:tentative="1">
      <w:start w:val="1"/>
      <w:numFmt w:val="lowerLetter"/>
      <w:lvlText w:val="%8."/>
      <w:lvlJc w:val="left"/>
      <w:pPr>
        <w:ind w:left="5760" w:hanging="360"/>
      </w:pPr>
    </w:lvl>
    <w:lvl w:ilvl="8" w:tplc="D7880CB4" w:tentative="1">
      <w:start w:val="1"/>
      <w:numFmt w:val="lowerRoman"/>
      <w:lvlText w:val="%9."/>
      <w:lvlJc w:val="right"/>
      <w:pPr>
        <w:ind w:left="6480" w:hanging="180"/>
      </w:pPr>
    </w:lvl>
  </w:abstractNum>
  <w:abstractNum w:abstractNumId="735" w15:restartNumberingAfterBreak="0">
    <w:nsid w:val="66A93E3A"/>
    <w:multiLevelType w:val="multilevel"/>
    <w:tmpl w:val="114E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6AE00B4"/>
    <w:multiLevelType w:val="multilevel"/>
    <w:tmpl w:val="7336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7" w15:restartNumberingAfterBreak="0">
    <w:nsid w:val="67062F66"/>
    <w:multiLevelType w:val="multilevel"/>
    <w:tmpl w:val="2CAC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8" w15:restartNumberingAfterBreak="0">
    <w:nsid w:val="672545E0"/>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6732452F"/>
    <w:multiLevelType w:val="multilevel"/>
    <w:tmpl w:val="C38C6CD6"/>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40" w15:restartNumberingAfterBreak="0">
    <w:nsid w:val="673778F5"/>
    <w:multiLevelType w:val="multilevel"/>
    <w:tmpl w:val="52AA970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41" w15:restartNumberingAfterBreak="0">
    <w:nsid w:val="673C26BB"/>
    <w:multiLevelType w:val="hybridMultilevel"/>
    <w:tmpl w:val="98764DD4"/>
    <w:lvl w:ilvl="0" w:tplc="A07AD6C0">
      <w:start w:val="1"/>
      <w:numFmt w:val="bullet"/>
      <w:lvlText w:val=""/>
      <w:lvlJc w:val="left"/>
      <w:pPr>
        <w:ind w:left="720" w:hanging="360"/>
      </w:pPr>
      <w:rPr>
        <w:rFonts w:ascii="Symbol" w:hAnsi="Symbol" w:hint="default"/>
      </w:rPr>
    </w:lvl>
    <w:lvl w:ilvl="1" w:tplc="458EC200" w:tentative="1">
      <w:start w:val="1"/>
      <w:numFmt w:val="bullet"/>
      <w:lvlText w:val="o"/>
      <w:lvlJc w:val="left"/>
      <w:pPr>
        <w:ind w:left="1440" w:hanging="360"/>
      </w:pPr>
      <w:rPr>
        <w:rFonts w:ascii="Courier New" w:hAnsi="Courier New" w:hint="default"/>
      </w:rPr>
    </w:lvl>
    <w:lvl w:ilvl="2" w:tplc="F9C83312" w:tentative="1">
      <w:start w:val="1"/>
      <w:numFmt w:val="bullet"/>
      <w:lvlText w:val=""/>
      <w:lvlJc w:val="left"/>
      <w:pPr>
        <w:ind w:left="2160" w:hanging="360"/>
      </w:pPr>
      <w:rPr>
        <w:rFonts w:ascii="Wingdings" w:hAnsi="Wingdings" w:hint="default"/>
      </w:rPr>
    </w:lvl>
    <w:lvl w:ilvl="3" w:tplc="8E7CC1E4" w:tentative="1">
      <w:start w:val="1"/>
      <w:numFmt w:val="bullet"/>
      <w:lvlText w:val=""/>
      <w:lvlJc w:val="left"/>
      <w:pPr>
        <w:ind w:left="2880" w:hanging="360"/>
      </w:pPr>
      <w:rPr>
        <w:rFonts w:ascii="Symbol" w:hAnsi="Symbol" w:hint="default"/>
      </w:rPr>
    </w:lvl>
    <w:lvl w:ilvl="4" w:tplc="00E250F6" w:tentative="1">
      <w:start w:val="1"/>
      <w:numFmt w:val="bullet"/>
      <w:lvlText w:val="o"/>
      <w:lvlJc w:val="left"/>
      <w:pPr>
        <w:ind w:left="3600" w:hanging="360"/>
      </w:pPr>
      <w:rPr>
        <w:rFonts w:ascii="Courier New" w:hAnsi="Courier New" w:hint="default"/>
      </w:rPr>
    </w:lvl>
    <w:lvl w:ilvl="5" w:tplc="3F48205E" w:tentative="1">
      <w:start w:val="1"/>
      <w:numFmt w:val="bullet"/>
      <w:lvlText w:val=""/>
      <w:lvlJc w:val="left"/>
      <w:pPr>
        <w:ind w:left="4320" w:hanging="360"/>
      </w:pPr>
      <w:rPr>
        <w:rFonts w:ascii="Wingdings" w:hAnsi="Wingdings" w:hint="default"/>
      </w:rPr>
    </w:lvl>
    <w:lvl w:ilvl="6" w:tplc="2500D066" w:tentative="1">
      <w:start w:val="1"/>
      <w:numFmt w:val="bullet"/>
      <w:lvlText w:val=""/>
      <w:lvlJc w:val="left"/>
      <w:pPr>
        <w:ind w:left="5040" w:hanging="360"/>
      </w:pPr>
      <w:rPr>
        <w:rFonts w:ascii="Symbol" w:hAnsi="Symbol" w:hint="default"/>
      </w:rPr>
    </w:lvl>
    <w:lvl w:ilvl="7" w:tplc="519E85BC" w:tentative="1">
      <w:start w:val="1"/>
      <w:numFmt w:val="bullet"/>
      <w:lvlText w:val="o"/>
      <w:lvlJc w:val="left"/>
      <w:pPr>
        <w:ind w:left="5760" w:hanging="360"/>
      </w:pPr>
      <w:rPr>
        <w:rFonts w:ascii="Courier New" w:hAnsi="Courier New" w:hint="default"/>
      </w:rPr>
    </w:lvl>
    <w:lvl w:ilvl="8" w:tplc="218A33F0" w:tentative="1">
      <w:start w:val="1"/>
      <w:numFmt w:val="bullet"/>
      <w:lvlText w:val=""/>
      <w:lvlJc w:val="left"/>
      <w:pPr>
        <w:ind w:left="6480" w:hanging="360"/>
      </w:pPr>
      <w:rPr>
        <w:rFonts w:ascii="Wingdings" w:hAnsi="Wingdings" w:hint="default"/>
      </w:rPr>
    </w:lvl>
  </w:abstractNum>
  <w:abstractNum w:abstractNumId="742" w15:restartNumberingAfterBreak="0">
    <w:nsid w:val="675D26C6"/>
    <w:multiLevelType w:val="multilevel"/>
    <w:tmpl w:val="6E2A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677709A2"/>
    <w:multiLevelType w:val="multilevel"/>
    <w:tmpl w:val="7AF4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677F34AF"/>
    <w:multiLevelType w:val="multilevel"/>
    <w:tmpl w:val="B4EE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678B0B79"/>
    <w:multiLevelType w:val="hybridMultilevel"/>
    <w:tmpl w:val="B46C2C1E"/>
    <w:lvl w:ilvl="0" w:tplc="2D207078">
      <w:start w:val="1"/>
      <w:numFmt w:val="bullet"/>
      <w:lvlText w:val=""/>
      <w:lvlJc w:val="left"/>
      <w:pPr>
        <w:ind w:left="720" w:hanging="360"/>
      </w:pPr>
      <w:rPr>
        <w:rFonts w:ascii="Symbol" w:hAnsi="Symbol" w:hint="default"/>
      </w:rPr>
    </w:lvl>
    <w:lvl w:ilvl="1" w:tplc="06345CC2" w:tentative="1">
      <w:start w:val="1"/>
      <w:numFmt w:val="bullet"/>
      <w:lvlText w:val="o"/>
      <w:lvlJc w:val="left"/>
      <w:pPr>
        <w:ind w:left="1440" w:hanging="360"/>
      </w:pPr>
      <w:rPr>
        <w:rFonts w:ascii="Courier New" w:hAnsi="Courier New" w:hint="default"/>
      </w:rPr>
    </w:lvl>
    <w:lvl w:ilvl="2" w:tplc="F840422C" w:tentative="1">
      <w:start w:val="1"/>
      <w:numFmt w:val="bullet"/>
      <w:lvlText w:val=""/>
      <w:lvlJc w:val="left"/>
      <w:pPr>
        <w:ind w:left="2160" w:hanging="360"/>
      </w:pPr>
      <w:rPr>
        <w:rFonts w:ascii="Wingdings" w:hAnsi="Wingdings" w:hint="default"/>
      </w:rPr>
    </w:lvl>
    <w:lvl w:ilvl="3" w:tplc="FB58F798" w:tentative="1">
      <w:start w:val="1"/>
      <w:numFmt w:val="bullet"/>
      <w:lvlText w:val=""/>
      <w:lvlJc w:val="left"/>
      <w:pPr>
        <w:ind w:left="2880" w:hanging="360"/>
      </w:pPr>
      <w:rPr>
        <w:rFonts w:ascii="Symbol" w:hAnsi="Symbol" w:hint="default"/>
      </w:rPr>
    </w:lvl>
    <w:lvl w:ilvl="4" w:tplc="363AA242" w:tentative="1">
      <w:start w:val="1"/>
      <w:numFmt w:val="bullet"/>
      <w:lvlText w:val="o"/>
      <w:lvlJc w:val="left"/>
      <w:pPr>
        <w:ind w:left="3600" w:hanging="360"/>
      </w:pPr>
      <w:rPr>
        <w:rFonts w:ascii="Courier New" w:hAnsi="Courier New" w:hint="default"/>
      </w:rPr>
    </w:lvl>
    <w:lvl w:ilvl="5" w:tplc="32DA4A36" w:tentative="1">
      <w:start w:val="1"/>
      <w:numFmt w:val="bullet"/>
      <w:lvlText w:val=""/>
      <w:lvlJc w:val="left"/>
      <w:pPr>
        <w:ind w:left="4320" w:hanging="360"/>
      </w:pPr>
      <w:rPr>
        <w:rFonts w:ascii="Wingdings" w:hAnsi="Wingdings" w:hint="default"/>
      </w:rPr>
    </w:lvl>
    <w:lvl w:ilvl="6" w:tplc="789C6AD4" w:tentative="1">
      <w:start w:val="1"/>
      <w:numFmt w:val="bullet"/>
      <w:lvlText w:val=""/>
      <w:lvlJc w:val="left"/>
      <w:pPr>
        <w:ind w:left="5040" w:hanging="360"/>
      </w:pPr>
      <w:rPr>
        <w:rFonts w:ascii="Symbol" w:hAnsi="Symbol" w:hint="default"/>
      </w:rPr>
    </w:lvl>
    <w:lvl w:ilvl="7" w:tplc="AB30C7C6" w:tentative="1">
      <w:start w:val="1"/>
      <w:numFmt w:val="bullet"/>
      <w:lvlText w:val="o"/>
      <w:lvlJc w:val="left"/>
      <w:pPr>
        <w:ind w:left="5760" w:hanging="360"/>
      </w:pPr>
      <w:rPr>
        <w:rFonts w:ascii="Courier New" w:hAnsi="Courier New" w:hint="default"/>
      </w:rPr>
    </w:lvl>
    <w:lvl w:ilvl="8" w:tplc="A5ECFE3A" w:tentative="1">
      <w:start w:val="1"/>
      <w:numFmt w:val="bullet"/>
      <w:lvlText w:val=""/>
      <w:lvlJc w:val="left"/>
      <w:pPr>
        <w:ind w:left="6480" w:hanging="360"/>
      </w:pPr>
      <w:rPr>
        <w:rFonts w:ascii="Wingdings" w:hAnsi="Wingdings" w:hint="default"/>
      </w:rPr>
    </w:lvl>
  </w:abstractNum>
  <w:abstractNum w:abstractNumId="746" w15:restartNumberingAfterBreak="0">
    <w:nsid w:val="67BA192D"/>
    <w:multiLevelType w:val="multilevel"/>
    <w:tmpl w:val="21F29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7" w15:restartNumberingAfterBreak="0">
    <w:nsid w:val="680A0338"/>
    <w:multiLevelType w:val="multilevel"/>
    <w:tmpl w:val="5D92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8" w15:restartNumberingAfterBreak="0">
    <w:nsid w:val="68106D2E"/>
    <w:multiLevelType w:val="multilevel"/>
    <w:tmpl w:val="BD68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68280FF5"/>
    <w:multiLevelType w:val="multilevel"/>
    <w:tmpl w:val="9DCE633C"/>
    <w:lvl w:ilvl="0">
      <w:start w:val="7"/>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750" w15:restartNumberingAfterBreak="0">
    <w:nsid w:val="689A2805"/>
    <w:multiLevelType w:val="multilevel"/>
    <w:tmpl w:val="FBFCA750"/>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51" w15:restartNumberingAfterBreak="0">
    <w:nsid w:val="68A12A86"/>
    <w:multiLevelType w:val="multilevel"/>
    <w:tmpl w:val="266E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2" w15:restartNumberingAfterBreak="0">
    <w:nsid w:val="68D216D6"/>
    <w:multiLevelType w:val="multilevel"/>
    <w:tmpl w:val="7F86B3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3" w15:restartNumberingAfterBreak="0">
    <w:nsid w:val="693E2FAB"/>
    <w:multiLevelType w:val="multilevel"/>
    <w:tmpl w:val="F1C6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4" w15:restartNumberingAfterBreak="0">
    <w:nsid w:val="694E2EAA"/>
    <w:multiLevelType w:val="hybridMultilevel"/>
    <w:tmpl w:val="53CC37AE"/>
    <w:lvl w:ilvl="0" w:tplc="CD6EAB32">
      <w:start w:val="1"/>
      <w:numFmt w:val="bullet"/>
      <w:lvlText w:val=""/>
      <w:lvlJc w:val="left"/>
      <w:pPr>
        <w:ind w:left="720" w:hanging="360"/>
      </w:pPr>
      <w:rPr>
        <w:rFonts w:ascii="Symbol" w:hAnsi="Symbol" w:hint="default"/>
      </w:rPr>
    </w:lvl>
    <w:lvl w:ilvl="1" w:tplc="4B928E52" w:tentative="1">
      <w:start w:val="1"/>
      <w:numFmt w:val="bullet"/>
      <w:lvlText w:val="o"/>
      <w:lvlJc w:val="left"/>
      <w:pPr>
        <w:ind w:left="1440" w:hanging="360"/>
      </w:pPr>
      <w:rPr>
        <w:rFonts w:ascii="Courier New" w:hAnsi="Courier New" w:hint="default"/>
      </w:rPr>
    </w:lvl>
    <w:lvl w:ilvl="2" w:tplc="4F3618F8" w:tentative="1">
      <w:start w:val="1"/>
      <w:numFmt w:val="bullet"/>
      <w:lvlText w:val=""/>
      <w:lvlJc w:val="left"/>
      <w:pPr>
        <w:ind w:left="2160" w:hanging="360"/>
      </w:pPr>
      <w:rPr>
        <w:rFonts w:ascii="Wingdings" w:hAnsi="Wingdings" w:hint="default"/>
      </w:rPr>
    </w:lvl>
    <w:lvl w:ilvl="3" w:tplc="26C0D6F6" w:tentative="1">
      <w:start w:val="1"/>
      <w:numFmt w:val="bullet"/>
      <w:lvlText w:val=""/>
      <w:lvlJc w:val="left"/>
      <w:pPr>
        <w:ind w:left="2880" w:hanging="360"/>
      </w:pPr>
      <w:rPr>
        <w:rFonts w:ascii="Symbol" w:hAnsi="Symbol" w:hint="default"/>
      </w:rPr>
    </w:lvl>
    <w:lvl w:ilvl="4" w:tplc="3454C726" w:tentative="1">
      <w:start w:val="1"/>
      <w:numFmt w:val="bullet"/>
      <w:lvlText w:val="o"/>
      <w:lvlJc w:val="left"/>
      <w:pPr>
        <w:ind w:left="3600" w:hanging="360"/>
      </w:pPr>
      <w:rPr>
        <w:rFonts w:ascii="Courier New" w:hAnsi="Courier New" w:hint="default"/>
      </w:rPr>
    </w:lvl>
    <w:lvl w:ilvl="5" w:tplc="AE880BC0" w:tentative="1">
      <w:start w:val="1"/>
      <w:numFmt w:val="bullet"/>
      <w:lvlText w:val=""/>
      <w:lvlJc w:val="left"/>
      <w:pPr>
        <w:ind w:left="4320" w:hanging="360"/>
      </w:pPr>
      <w:rPr>
        <w:rFonts w:ascii="Wingdings" w:hAnsi="Wingdings" w:hint="default"/>
      </w:rPr>
    </w:lvl>
    <w:lvl w:ilvl="6" w:tplc="1C7045D6" w:tentative="1">
      <w:start w:val="1"/>
      <w:numFmt w:val="bullet"/>
      <w:lvlText w:val=""/>
      <w:lvlJc w:val="left"/>
      <w:pPr>
        <w:ind w:left="5040" w:hanging="360"/>
      </w:pPr>
      <w:rPr>
        <w:rFonts w:ascii="Symbol" w:hAnsi="Symbol" w:hint="default"/>
      </w:rPr>
    </w:lvl>
    <w:lvl w:ilvl="7" w:tplc="AB5800AC" w:tentative="1">
      <w:start w:val="1"/>
      <w:numFmt w:val="bullet"/>
      <w:lvlText w:val="o"/>
      <w:lvlJc w:val="left"/>
      <w:pPr>
        <w:ind w:left="5760" w:hanging="360"/>
      </w:pPr>
      <w:rPr>
        <w:rFonts w:ascii="Courier New" w:hAnsi="Courier New" w:hint="default"/>
      </w:rPr>
    </w:lvl>
    <w:lvl w:ilvl="8" w:tplc="0BB0AC24" w:tentative="1">
      <w:start w:val="1"/>
      <w:numFmt w:val="bullet"/>
      <w:lvlText w:val=""/>
      <w:lvlJc w:val="left"/>
      <w:pPr>
        <w:ind w:left="6480" w:hanging="360"/>
      </w:pPr>
      <w:rPr>
        <w:rFonts w:ascii="Wingdings" w:hAnsi="Wingdings" w:hint="default"/>
      </w:rPr>
    </w:lvl>
  </w:abstractNum>
  <w:abstractNum w:abstractNumId="755" w15:restartNumberingAfterBreak="0">
    <w:nsid w:val="69786182"/>
    <w:multiLevelType w:val="multilevel"/>
    <w:tmpl w:val="1F16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6" w15:restartNumberingAfterBreak="0">
    <w:nsid w:val="697F760B"/>
    <w:multiLevelType w:val="multilevel"/>
    <w:tmpl w:val="B584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7" w15:restartNumberingAfterBreak="0">
    <w:nsid w:val="69D42687"/>
    <w:multiLevelType w:val="multilevel"/>
    <w:tmpl w:val="7C7C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8" w15:restartNumberingAfterBreak="0">
    <w:nsid w:val="69DF5219"/>
    <w:multiLevelType w:val="multilevel"/>
    <w:tmpl w:val="9F146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6A3A7A4D"/>
    <w:multiLevelType w:val="multilevel"/>
    <w:tmpl w:val="6F80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0" w15:restartNumberingAfterBreak="0">
    <w:nsid w:val="6A53420C"/>
    <w:multiLevelType w:val="multilevel"/>
    <w:tmpl w:val="0B3E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1" w15:restartNumberingAfterBreak="0">
    <w:nsid w:val="6A7309E9"/>
    <w:multiLevelType w:val="multilevel"/>
    <w:tmpl w:val="E362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6A840A64"/>
    <w:multiLevelType w:val="hybridMultilevel"/>
    <w:tmpl w:val="A546E5C0"/>
    <w:lvl w:ilvl="0" w:tplc="2ABCF856">
      <w:start w:val="1"/>
      <w:numFmt w:val="bullet"/>
      <w:lvlText w:val=""/>
      <w:lvlJc w:val="left"/>
      <w:pPr>
        <w:ind w:left="720" w:hanging="360"/>
      </w:pPr>
      <w:rPr>
        <w:rFonts w:ascii="Symbol" w:hAnsi="Symbol" w:hint="default"/>
      </w:rPr>
    </w:lvl>
    <w:lvl w:ilvl="1" w:tplc="BAACDF82" w:tentative="1">
      <w:start w:val="1"/>
      <w:numFmt w:val="bullet"/>
      <w:lvlText w:val="o"/>
      <w:lvlJc w:val="left"/>
      <w:pPr>
        <w:ind w:left="1440" w:hanging="360"/>
      </w:pPr>
      <w:rPr>
        <w:rFonts w:ascii="Courier New" w:hAnsi="Courier New" w:hint="default"/>
      </w:rPr>
    </w:lvl>
    <w:lvl w:ilvl="2" w:tplc="00D2C412" w:tentative="1">
      <w:start w:val="1"/>
      <w:numFmt w:val="bullet"/>
      <w:lvlText w:val=""/>
      <w:lvlJc w:val="left"/>
      <w:pPr>
        <w:ind w:left="2160" w:hanging="360"/>
      </w:pPr>
      <w:rPr>
        <w:rFonts w:ascii="Wingdings" w:hAnsi="Wingdings" w:hint="default"/>
      </w:rPr>
    </w:lvl>
    <w:lvl w:ilvl="3" w:tplc="587AA6BC" w:tentative="1">
      <w:start w:val="1"/>
      <w:numFmt w:val="bullet"/>
      <w:lvlText w:val=""/>
      <w:lvlJc w:val="left"/>
      <w:pPr>
        <w:ind w:left="2880" w:hanging="360"/>
      </w:pPr>
      <w:rPr>
        <w:rFonts w:ascii="Symbol" w:hAnsi="Symbol" w:hint="default"/>
      </w:rPr>
    </w:lvl>
    <w:lvl w:ilvl="4" w:tplc="EE76C742" w:tentative="1">
      <w:start w:val="1"/>
      <w:numFmt w:val="bullet"/>
      <w:lvlText w:val="o"/>
      <w:lvlJc w:val="left"/>
      <w:pPr>
        <w:ind w:left="3600" w:hanging="360"/>
      </w:pPr>
      <w:rPr>
        <w:rFonts w:ascii="Courier New" w:hAnsi="Courier New" w:hint="default"/>
      </w:rPr>
    </w:lvl>
    <w:lvl w:ilvl="5" w:tplc="C4962CFA" w:tentative="1">
      <w:start w:val="1"/>
      <w:numFmt w:val="bullet"/>
      <w:lvlText w:val=""/>
      <w:lvlJc w:val="left"/>
      <w:pPr>
        <w:ind w:left="4320" w:hanging="360"/>
      </w:pPr>
      <w:rPr>
        <w:rFonts w:ascii="Wingdings" w:hAnsi="Wingdings" w:hint="default"/>
      </w:rPr>
    </w:lvl>
    <w:lvl w:ilvl="6" w:tplc="DDFCC4DE" w:tentative="1">
      <w:start w:val="1"/>
      <w:numFmt w:val="bullet"/>
      <w:lvlText w:val=""/>
      <w:lvlJc w:val="left"/>
      <w:pPr>
        <w:ind w:left="5040" w:hanging="360"/>
      </w:pPr>
      <w:rPr>
        <w:rFonts w:ascii="Symbol" w:hAnsi="Symbol" w:hint="default"/>
      </w:rPr>
    </w:lvl>
    <w:lvl w:ilvl="7" w:tplc="1FC64FA2" w:tentative="1">
      <w:start w:val="1"/>
      <w:numFmt w:val="bullet"/>
      <w:lvlText w:val="o"/>
      <w:lvlJc w:val="left"/>
      <w:pPr>
        <w:ind w:left="5760" w:hanging="360"/>
      </w:pPr>
      <w:rPr>
        <w:rFonts w:ascii="Courier New" w:hAnsi="Courier New" w:hint="default"/>
      </w:rPr>
    </w:lvl>
    <w:lvl w:ilvl="8" w:tplc="8A7E7AFA" w:tentative="1">
      <w:start w:val="1"/>
      <w:numFmt w:val="bullet"/>
      <w:lvlText w:val=""/>
      <w:lvlJc w:val="left"/>
      <w:pPr>
        <w:ind w:left="6480" w:hanging="360"/>
      </w:pPr>
      <w:rPr>
        <w:rFonts w:ascii="Wingdings" w:hAnsi="Wingdings" w:hint="default"/>
      </w:rPr>
    </w:lvl>
  </w:abstractNum>
  <w:abstractNum w:abstractNumId="763" w15:restartNumberingAfterBreak="0">
    <w:nsid w:val="6AB7354D"/>
    <w:multiLevelType w:val="hybridMultilevel"/>
    <w:tmpl w:val="0520E9D6"/>
    <w:lvl w:ilvl="0" w:tplc="C2283176">
      <w:start w:val="1"/>
      <w:numFmt w:val="bullet"/>
      <w:lvlText w:val=""/>
      <w:lvlJc w:val="left"/>
      <w:pPr>
        <w:ind w:left="720" w:hanging="360"/>
      </w:pPr>
      <w:rPr>
        <w:rFonts w:ascii="Symbol" w:hAnsi="Symbol" w:hint="default"/>
      </w:rPr>
    </w:lvl>
    <w:lvl w:ilvl="1" w:tplc="EEBC2D0A" w:tentative="1">
      <w:start w:val="1"/>
      <w:numFmt w:val="bullet"/>
      <w:lvlText w:val="o"/>
      <w:lvlJc w:val="left"/>
      <w:pPr>
        <w:ind w:left="1440" w:hanging="360"/>
      </w:pPr>
      <w:rPr>
        <w:rFonts w:ascii="Courier New" w:hAnsi="Courier New" w:hint="default"/>
      </w:rPr>
    </w:lvl>
    <w:lvl w:ilvl="2" w:tplc="2EBE9202" w:tentative="1">
      <w:start w:val="1"/>
      <w:numFmt w:val="bullet"/>
      <w:lvlText w:val=""/>
      <w:lvlJc w:val="left"/>
      <w:pPr>
        <w:ind w:left="2160" w:hanging="360"/>
      </w:pPr>
      <w:rPr>
        <w:rFonts w:ascii="Wingdings" w:hAnsi="Wingdings" w:hint="default"/>
      </w:rPr>
    </w:lvl>
    <w:lvl w:ilvl="3" w:tplc="E8E8A7E6" w:tentative="1">
      <w:start w:val="1"/>
      <w:numFmt w:val="bullet"/>
      <w:lvlText w:val=""/>
      <w:lvlJc w:val="left"/>
      <w:pPr>
        <w:ind w:left="2880" w:hanging="360"/>
      </w:pPr>
      <w:rPr>
        <w:rFonts w:ascii="Symbol" w:hAnsi="Symbol" w:hint="default"/>
      </w:rPr>
    </w:lvl>
    <w:lvl w:ilvl="4" w:tplc="CB9A47DE" w:tentative="1">
      <w:start w:val="1"/>
      <w:numFmt w:val="bullet"/>
      <w:lvlText w:val="o"/>
      <w:lvlJc w:val="left"/>
      <w:pPr>
        <w:ind w:left="3600" w:hanging="360"/>
      </w:pPr>
      <w:rPr>
        <w:rFonts w:ascii="Courier New" w:hAnsi="Courier New" w:hint="default"/>
      </w:rPr>
    </w:lvl>
    <w:lvl w:ilvl="5" w:tplc="9C7A7BA0" w:tentative="1">
      <w:start w:val="1"/>
      <w:numFmt w:val="bullet"/>
      <w:lvlText w:val=""/>
      <w:lvlJc w:val="left"/>
      <w:pPr>
        <w:ind w:left="4320" w:hanging="360"/>
      </w:pPr>
      <w:rPr>
        <w:rFonts w:ascii="Wingdings" w:hAnsi="Wingdings" w:hint="default"/>
      </w:rPr>
    </w:lvl>
    <w:lvl w:ilvl="6" w:tplc="19B2055C" w:tentative="1">
      <w:start w:val="1"/>
      <w:numFmt w:val="bullet"/>
      <w:lvlText w:val=""/>
      <w:lvlJc w:val="left"/>
      <w:pPr>
        <w:ind w:left="5040" w:hanging="360"/>
      </w:pPr>
      <w:rPr>
        <w:rFonts w:ascii="Symbol" w:hAnsi="Symbol" w:hint="default"/>
      </w:rPr>
    </w:lvl>
    <w:lvl w:ilvl="7" w:tplc="1A06A952" w:tentative="1">
      <w:start w:val="1"/>
      <w:numFmt w:val="bullet"/>
      <w:lvlText w:val="o"/>
      <w:lvlJc w:val="left"/>
      <w:pPr>
        <w:ind w:left="5760" w:hanging="360"/>
      </w:pPr>
      <w:rPr>
        <w:rFonts w:ascii="Courier New" w:hAnsi="Courier New" w:hint="default"/>
      </w:rPr>
    </w:lvl>
    <w:lvl w:ilvl="8" w:tplc="5EEA9FF6" w:tentative="1">
      <w:start w:val="1"/>
      <w:numFmt w:val="bullet"/>
      <w:lvlText w:val=""/>
      <w:lvlJc w:val="left"/>
      <w:pPr>
        <w:ind w:left="6480" w:hanging="360"/>
      </w:pPr>
      <w:rPr>
        <w:rFonts w:ascii="Wingdings" w:hAnsi="Wingdings" w:hint="default"/>
      </w:rPr>
    </w:lvl>
  </w:abstractNum>
  <w:abstractNum w:abstractNumId="764" w15:restartNumberingAfterBreak="0">
    <w:nsid w:val="6B0E4DFC"/>
    <w:multiLevelType w:val="multilevel"/>
    <w:tmpl w:val="0CC89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5" w15:restartNumberingAfterBreak="0">
    <w:nsid w:val="6B904979"/>
    <w:multiLevelType w:val="multilevel"/>
    <w:tmpl w:val="C9D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6B9160E5"/>
    <w:multiLevelType w:val="multilevel"/>
    <w:tmpl w:val="E0B6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7" w15:restartNumberingAfterBreak="0">
    <w:nsid w:val="6BFD0F68"/>
    <w:multiLevelType w:val="multilevel"/>
    <w:tmpl w:val="82EE8E66"/>
    <w:lvl w:ilvl="0">
      <w:start w:val="2"/>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68" w15:restartNumberingAfterBreak="0">
    <w:nsid w:val="6C2F10BD"/>
    <w:multiLevelType w:val="hybridMultilevel"/>
    <w:tmpl w:val="AB322880"/>
    <w:lvl w:ilvl="0" w:tplc="5A9A4014">
      <w:start w:val="1"/>
      <w:numFmt w:val="bullet"/>
      <w:lvlText w:val=""/>
      <w:lvlJc w:val="left"/>
      <w:pPr>
        <w:ind w:left="720" w:hanging="360"/>
      </w:pPr>
      <w:rPr>
        <w:rFonts w:ascii="Symbol" w:hAnsi="Symbol" w:hint="default"/>
      </w:rPr>
    </w:lvl>
    <w:lvl w:ilvl="1" w:tplc="BAAE2EA8" w:tentative="1">
      <w:start w:val="1"/>
      <w:numFmt w:val="bullet"/>
      <w:lvlText w:val="o"/>
      <w:lvlJc w:val="left"/>
      <w:pPr>
        <w:ind w:left="1440" w:hanging="360"/>
      </w:pPr>
      <w:rPr>
        <w:rFonts w:ascii="Courier New" w:hAnsi="Courier New" w:hint="default"/>
      </w:rPr>
    </w:lvl>
    <w:lvl w:ilvl="2" w:tplc="32A4367E" w:tentative="1">
      <w:start w:val="1"/>
      <w:numFmt w:val="bullet"/>
      <w:lvlText w:val=""/>
      <w:lvlJc w:val="left"/>
      <w:pPr>
        <w:ind w:left="2160" w:hanging="360"/>
      </w:pPr>
      <w:rPr>
        <w:rFonts w:ascii="Wingdings" w:hAnsi="Wingdings" w:hint="default"/>
      </w:rPr>
    </w:lvl>
    <w:lvl w:ilvl="3" w:tplc="0B0AD9F0" w:tentative="1">
      <w:start w:val="1"/>
      <w:numFmt w:val="bullet"/>
      <w:lvlText w:val=""/>
      <w:lvlJc w:val="left"/>
      <w:pPr>
        <w:ind w:left="2880" w:hanging="360"/>
      </w:pPr>
      <w:rPr>
        <w:rFonts w:ascii="Symbol" w:hAnsi="Symbol" w:hint="default"/>
      </w:rPr>
    </w:lvl>
    <w:lvl w:ilvl="4" w:tplc="8E5C0A4C" w:tentative="1">
      <w:start w:val="1"/>
      <w:numFmt w:val="bullet"/>
      <w:lvlText w:val="o"/>
      <w:lvlJc w:val="left"/>
      <w:pPr>
        <w:ind w:left="3600" w:hanging="360"/>
      </w:pPr>
      <w:rPr>
        <w:rFonts w:ascii="Courier New" w:hAnsi="Courier New" w:hint="default"/>
      </w:rPr>
    </w:lvl>
    <w:lvl w:ilvl="5" w:tplc="615EEE06" w:tentative="1">
      <w:start w:val="1"/>
      <w:numFmt w:val="bullet"/>
      <w:lvlText w:val=""/>
      <w:lvlJc w:val="left"/>
      <w:pPr>
        <w:ind w:left="4320" w:hanging="360"/>
      </w:pPr>
      <w:rPr>
        <w:rFonts w:ascii="Wingdings" w:hAnsi="Wingdings" w:hint="default"/>
      </w:rPr>
    </w:lvl>
    <w:lvl w:ilvl="6" w:tplc="12A82F36" w:tentative="1">
      <w:start w:val="1"/>
      <w:numFmt w:val="bullet"/>
      <w:lvlText w:val=""/>
      <w:lvlJc w:val="left"/>
      <w:pPr>
        <w:ind w:left="5040" w:hanging="360"/>
      </w:pPr>
      <w:rPr>
        <w:rFonts w:ascii="Symbol" w:hAnsi="Symbol" w:hint="default"/>
      </w:rPr>
    </w:lvl>
    <w:lvl w:ilvl="7" w:tplc="A950E5C0" w:tentative="1">
      <w:start w:val="1"/>
      <w:numFmt w:val="bullet"/>
      <w:lvlText w:val="o"/>
      <w:lvlJc w:val="left"/>
      <w:pPr>
        <w:ind w:left="5760" w:hanging="360"/>
      </w:pPr>
      <w:rPr>
        <w:rFonts w:ascii="Courier New" w:hAnsi="Courier New" w:hint="default"/>
      </w:rPr>
    </w:lvl>
    <w:lvl w:ilvl="8" w:tplc="7CF0957A" w:tentative="1">
      <w:start w:val="1"/>
      <w:numFmt w:val="bullet"/>
      <w:lvlText w:val=""/>
      <w:lvlJc w:val="left"/>
      <w:pPr>
        <w:ind w:left="6480" w:hanging="360"/>
      </w:pPr>
      <w:rPr>
        <w:rFonts w:ascii="Wingdings" w:hAnsi="Wingdings" w:hint="default"/>
      </w:rPr>
    </w:lvl>
  </w:abstractNum>
  <w:abstractNum w:abstractNumId="769" w15:restartNumberingAfterBreak="0">
    <w:nsid w:val="6C8026CF"/>
    <w:multiLevelType w:val="multilevel"/>
    <w:tmpl w:val="2AFE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6C8A363D"/>
    <w:multiLevelType w:val="multilevel"/>
    <w:tmpl w:val="E73A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1" w15:restartNumberingAfterBreak="0">
    <w:nsid w:val="6C8C74D2"/>
    <w:multiLevelType w:val="hybridMultilevel"/>
    <w:tmpl w:val="D14A80EC"/>
    <w:lvl w:ilvl="0" w:tplc="5A2220B8">
      <w:start w:val="1"/>
      <w:numFmt w:val="bullet"/>
      <w:lvlText w:val=""/>
      <w:lvlJc w:val="left"/>
      <w:pPr>
        <w:ind w:left="720" w:hanging="360"/>
      </w:pPr>
      <w:rPr>
        <w:rFonts w:ascii="Symbol" w:hAnsi="Symbol" w:hint="default"/>
      </w:rPr>
    </w:lvl>
    <w:lvl w:ilvl="1" w:tplc="BEC63414" w:tentative="1">
      <w:start w:val="1"/>
      <w:numFmt w:val="bullet"/>
      <w:lvlText w:val="o"/>
      <w:lvlJc w:val="left"/>
      <w:pPr>
        <w:ind w:left="1440" w:hanging="360"/>
      </w:pPr>
      <w:rPr>
        <w:rFonts w:ascii="Courier New" w:hAnsi="Courier New" w:hint="default"/>
      </w:rPr>
    </w:lvl>
    <w:lvl w:ilvl="2" w:tplc="73E48218" w:tentative="1">
      <w:start w:val="1"/>
      <w:numFmt w:val="bullet"/>
      <w:lvlText w:val=""/>
      <w:lvlJc w:val="left"/>
      <w:pPr>
        <w:ind w:left="2160" w:hanging="360"/>
      </w:pPr>
      <w:rPr>
        <w:rFonts w:ascii="Wingdings" w:hAnsi="Wingdings" w:hint="default"/>
      </w:rPr>
    </w:lvl>
    <w:lvl w:ilvl="3" w:tplc="7086265C" w:tentative="1">
      <w:start w:val="1"/>
      <w:numFmt w:val="bullet"/>
      <w:lvlText w:val=""/>
      <w:lvlJc w:val="left"/>
      <w:pPr>
        <w:ind w:left="2880" w:hanging="360"/>
      </w:pPr>
      <w:rPr>
        <w:rFonts w:ascii="Symbol" w:hAnsi="Symbol" w:hint="default"/>
      </w:rPr>
    </w:lvl>
    <w:lvl w:ilvl="4" w:tplc="EBE07930" w:tentative="1">
      <w:start w:val="1"/>
      <w:numFmt w:val="bullet"/>
      <w:lvlText w:val="o"/>
      <w:lvlJc w:val="left"/>
      <w:pPr>
        <w:ind w:left="3600" w:hanging="360"/>
      </w:pPr>
      <w:rPr>
        <w:rFonts w:ascii="Courier New" w:hAnsi="Courier New" w:hint="default"/>
      </w:rPr>
    </w:lvl>
    <w:lvl w:ilvl="5" w:tplc="8D487EA0" w:tentative="1">
      <w:start w:val="1"/>
      <w:numFmt w:val="bullet"/>
      <w:lvlText w:val=""/>
      <w:lvlJc w:val="left"/>
      <w:pPr>
        <w:ind w:left="4320" w:hanging="360"/>
      </w:pPr>
      <w:rPr>
        <w:rFonts w:ascii="Wingdings" w:hAnsi="Wingdings" w:hint="default"/>
      </w:rPr>
    </w:lvl>
    <w:lvl w:ilvl="6" w:tplc="21C6EA36" w:tentative="1">
      <w:start w:val="1"/>
      <w:numFmt w:val="bullet"/>
      <w:lvlText w:val=""/>
      <w:lvlJc w:val="left"/>
      <w:pPr>
        <w:ind w:left="5040" w:hanging="360"/>
      </w:pPr>
      <w:rPr>
        <w:rFonts w:ascii="Symbol" w:hAnsi="Symbol" w:hint="default"/>
      </w:rPr>
    </w:lvl>
    <w:lvl w:ilvl="7" w:tplc="BC2465B8" w:tentative="1">
      <w:start w:val="1"/>
      <w:numFmt w:val="bullet"/>
      <w:lvlText w:val="o"/>
      <w:lvlJc w:val="left"/>
      <w:pPr>
        <w:ind w:left="5760" w:hanging="360"/>
      </w:pPr>
      <w:rPr>
        <w:rFonts w:ascii="Courier New" w:hAnsi="Courier New" w:hint="default"/>
      </w:rPr>
    </w:lvl>
    <w:lvl w:ilvl="8" w:tplc="BF42D208" w:tentative="1">
      <w:start w:val="1"/>
      <w:numFmt w:val="bullet"/>
      <w:lvlText w:val=""/>
      <w:lvlJc w:val="left"/>
      <w:pPr>
        <w:ind w:left="6480" w:hanging="360"/>
      </w:pPr>
      <w:rPr>
        <w:rFonts w:ascii="Wingdings" w:hAnsi="Wingdings" w:hint="default"/>
      </w:rPr>
    </w:lvl>
  </w:abstractNum>
  <w:abstractNum w:abstractNumId="772" w15:restartNumberingAfterBreak="0">
    <w:nsid w:val="6CB24339"/>
    <w:multiLevelType w:val="multilevel"/>
    <w:tmpl w:val="2446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3" w15:restartNumberingAfterBreak="0">
    <w:nsid w:val="6CC92054"/>
    <w:multiLevelType w:val="multilevel"/>
    <w:tmpl w:val="D9C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4" w15:restartNumberingAfterBreak="0">
    <w:nsid w:val="6CD90418"/>
    <w:multiLevelType w:val="hybridMultilevel"/>
    <w:tmpl w:val="9C328FB0"/>
    <w:lvl w:ilvl="0" w:tplc="D6B435EE">
      <w:start w:val="1"/>
      <w:numFmt w:val="decimal"/>
      <w:lvlText w:val="%1)"/>
      <w:lvlJc w:val="left"/>
      <w:pPr>
        <w:ind w:left="720" w:hanging="360"/>
      </w:pPr>
    </w:lvl>
    <w:lvl w:ilvl="1" w:tplc="7C3ED140" w:tentative="1">
      <w:start w:val="1"/>
      <w:numFmt w:val="lowerLetter"/>
      <w:lvlText w:val="%2."/>
      <w:lvlJc w:val="left"/>
      <w:pPr>
        <w:ind w:left="1440" w:hanging="360"/>
      </w:pPr>
    </w:lvl>
    <w:lvl w:ilvl="2" w:tplc="3C1C54F4" w:tentative="1">
      <w:start w:val="1"/>
      <w:numFmt w:val="lowerRoman"/>
      <w:lvlText w:val="%3."/>
      <w:lvlJc w:val="right"/>
      <w:pPr>
        <w:ind w:left="2160" w:hanging="180"/>
      </w:pPr>
    </w:lvl>
    <w:lvl w:ilvl="3" w:tplc="89C258E6" w:tentative="1">
      <w:start w:val="1"/>
      <w:numFmt w:val="decimal"/>
      <w:lvlText w:val="%4."/>
      <w:lvlJc w:val="left"/>
      <w:pPr>
        <w:ind w:left="2880" w:hanging="360"/>
      </w:pPr>
    </w:lvl>
    <w:lvl w:ilvl="4" w:tplc="E2463184" w:tentative="1">
      <w:start w:val="1"/>
      <w:numFmt w:val="lowerLetter"/>
      <w:lvlText w:val="%5."/>
      <w:lvlJc w:val="left"/>
      <w:pPr>
        <w:ind w:left="3600" w:hanging="360"/>
      </w:pPr>
    </w:lvl>
    <w:lvl w:ilvl="5" w:tplc="0D7CCD7C" w:tentative="1">
      <w:start w:val="1"/>
      <w:numFmt w:val="lowerRoman"/>
      <w:lvlText w:val="%6."/>
      <w:lvlJc w:val="right"/>
      <w:pPr>
        <w:ind w:left="4320" w:hanging="180"/>
      </w:pPr>
    </w:lvl>
    <w:lvl w:ilvl="6" w:tplc="836E8DD0" w:tentative="1">
      <w:start w:val="1"/>
      <w:numFmt w:val="decimal"/>
      <w:lvlText w:val="%7."/>
      <w:lvlJc w:val="left"/>
      <w:pPr>
        <w:ind w:left="5040" w:hanging="360"/>
      </w:pPr>
    </w:lvl>
    <w:lvl w:ilvl="7" w:tplc="FAE0EB26" w:tentative="1">
      <w:start w:val="1"/>
      <w:numFmt w:val="lowerLetter"/>
      <w:lvlText w:val="%8."/>
      <w:lvlJc w:val="left"/>
      <w:pPr>
        <w:ind w:left="5760" w:hanging="360"/>
      </w:pPr>
    </w:lvl>
    <w:lvl w:ilvl="8" w:tplc="C4F6AEDA" w:tentative="1">
      <w:start w:val="1"/>
      <w:numFmt w:val="lowerRoman"/>
      <w:lvlText w:val="%9."/>
      <w:lvlJc w:val="right"/>
      <w:pPr>
        <w:ind w:left="6480" w:hanging="180"/>
      </w:pPr>
    </w:lvl>
  </w:abstractNum>
  <w:abstractNum w:abstractNumId="775" w15:restartNumberingAfterBreak="0">
    <w:nsid w:val="6CD91CE3"/>
    <w:multiLevelType w:val="hybridMultilevel"/>
    <w:tmpl w:val="CD70FC3A"/>
    <w:lvl w:ilvl="0" w:tplc="1B7A7CFE">
      <w:start w:val="1"/>
      <w:numFmt w:val="bullet"/>
      <w:lvlText w:val=""/>
      <w:lvlJc w:val="left"/>
      <w:pPr>
        <w:ind w:left="720" w:hanging="360"/>
      </w:pPr>
      <w:rPr>
        <w:rFonts w:ascii="Symbol" w:hAnsi="Symbol" w:hint="default"/>
      </w:rPr>
    </w:lvl>
    <w:lvl w:ilvl="1" w:tplc="ABE8671E" w:tentative="1">
      <w:start w:val="1"/>
      <w:numFmt w:val="bullet"/>
      <w:lvlText w:val="o"/>
      <w:lvlJc w:val="left"/>
      <w:pPr>
        <w:ind w:left="1440" w:hanging="360"/>
      </w:pPr>
      <w:rPr>
        <w:rFonts w:ascii="Courier New" w:hAnsi="Courier New" w:hint="default"/>
      </w:rPr>
    </w:lvl>
    <w:lvl w:ilvl="2" w:tplc="4CB64E32" w:tentative="1">
      <w:start w:val="1"/>
      <w:numFmt w:val="bullet"/>
      <w:lvlText w:val=""/>
      <w:lvlJc w:val="left"/>
      <w:pPr>
        <w:ind w:left="2160" w:hanging="360"/>
      </w:pPr>
      <w:rPr>
        <w:rFonts w:ascii="Wingdings" w:hAnsi="Wingdings" w:hint="default"/>
      </w:rPr>
    </w:lvl>
    <w:lvl w:ilvl="3" w:tplc="4F7EFD08" w:tentative="1">
      <w:start w:val="1"/>
      <w:numFmt w:val="bullet"/>
      <w:lvlText w:val=""/>
      <w:lvlJc w:val="left"/>
      <w:pPr>
        <w:ind w:left="2880" w:hanging="360"/>
      </w:pPr>
      <w:rPr>
        <w:rFonts w:ascii="Symbol" w:hAnsi="Symbol" w:hint="default"/>
      </w:rPr>
    </w:lvl>
    <w:lvl w:ilvl="4" w:tplc="CA105F82" w:tentative="1">
      <w:start w:val="1"/>
      <w:numFmt w:val="bullet"/>
      <w:lvlText w:val="o"/>
      <w:lvlJc w:val="left"/>
      <w:pPr>
        <w:ind w:left="3600" w:hanging="360"/>
      </w:pPr>
      <w:rPr>
        <w:rFonts w:ascii="Courier New" w:hAnsi="Courier New" w:hint="default"/>
      </w:rPr>
    </w:lvl>
    <w:lvl w:ilvl="5" w:tplc="7B16752E" w:tentative="1">
      <w:start w:val="1"/>
      <w:numFmt w:val="bullet"/>
      <w:lvlText w:val=""/>
      <w:lvlJc w:val="left"/>
      <w:pPr>
        <w:ind w:left="4320" w:hanging="360"/>
      </w:pPr>
      <w:rPr>
        <w:rFonts w:ascii="Wingdings" w:hAnsi="Wingdings" w:hint="default"/>
      </w:rPr>
    </w:lvl>
    <w:lvl w:ilvl="6" w:tplc="04A6D3B0" w:tentative="1">
      <w:start w:val="1"/>
      <w:numFmt w:val="bullet"/>
      <w:lvlText w:val=""/>
      <w:lvlJc w:val="left"/>
      <w:pPr>
        <w:ind w:left="5040" w:hanging="360"/>
      </w:pPr>
      <w:rPr>
        <w:rFonts w:ascii="Symbol" w:hAnsi="Symbol" w:hint="default"/>
      </w:rPr>
    </w:lvl>
    <w:lvl w:ilvl="7" w:tplc="99B8B960" w:tentative="1">
      <w:start w:val="1"/>
      <w:numFmt w:val="bullet"/>
      <w:lvlText w:val="o"/>
      <w:lvlJc w:val="left"/>
      <w:pPr>
        <w:ind w:left="5760" w:hanging="360"/>
      </w:pPr>
      <w:rPr>
        <w:rFonts w:ascii="Courier New" w:hAnsi="Courier New" w:hint="default"/>
      </w:rPr>
    </w:lvl>
    <w:lvl w:ilvl="8" w:tplc="30D26696" w:tentative="1">
      <w:start w:val="1"/>
      <w:numFmt w:val="bullet"/>
      <w:lvlText w:val=""/>
      <w:lvlJc w:val="left"/>
      <w:pPr>
        <w:ind w:left="6480" w:hanging="360"/>
      </w:pPr>
      <w:rPr>
        <w:rFonts w:ascii="Wingdings" w:hAnsi="Wingdings" w:hint="default"/>
      </w:rPr>
    </w:lvl>
  </w:abstractNum>
  <w:abstractNum w:abstractNumId="776" w15:restartNumberingAfterBreak="0">
    <w:nsid w:val="6CDE3FCD"/>
    <w:multiLevelType w:val="multilevel"/>
    <w:tmpl w:val="963AD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7" w15:restartNumberingAfterBreak="0">
    <w:nsid w:val="6D4828D9"/>
    <w:multiLevelType w:val="multilevel"/>
    <w:tmpl w:val="73CA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6D5236AD"/>
    <w:multiLevelType w:val="hybridMultilevel"/>
    <w:tmpl w:val="AD38D852"/>
    <w:lvl w:ilvl="0" w:tplc="38D8221A">
      <w:start w:val="1"/>
      <w:numFmt w:val="bullet"/>
      <w:lvlText w:val=""/>
      <w:lvlJc w:val="left"/>
      <w:pPr>
        <w:ind w:left="720" w:hanging="360"/>
      </w:pPr>
      <w:rPr>
        <w:rFonts w:ascii="Symbol" w:hAnsi="Symbol" w:hint="default"/>
      </w:rPr>
    </w:lvl>
    <w:lvl w:ilvl="1" w:tplc="B11E621C" w:tentative="1">
      <w:start w:val="1"/>
      <w:numFmt w:val="bullet"/>
      <w:lvlText w:val="o"/>
      <w:lvlJc w:val="left"/>
      <w:pPr>
        <w:ind w:left="1440" w:hanging="360"/>
      </w:pPr>
      <w:rPr>
        <w:rFonts w:ascii="Courier New" w:hAnsi="Courier New" w:hint="default"/>
      </w:rPr>
    </w:lvl>
    <w:lvl w:ilvl="2" w:tplc="445C0E30" w:tentative="1">
      <w:start w:val="1"/>
      <w:numFmt w:val="bullet"/>
      <w:lvlText w:val=""/>
      <w:lvlJc w:val="left"/>
      <w:pPr>
        <w:ind w:left="2160" w:hanging="360"/>
      </w:pPr>
      <w:rPr>
        <w:rFonts w:ascii="Wingdings" w:hAnsi="Wingdings" w:hint="default"/>
      </w:rPr>
    </w:lvl>
    <w:lvl w:ilvl="3" w:tplc="9104C930" w:tentative="1">
      <w:start w:val="1"/>
      <w:numFmt w:val="bullet"/>
      <w:lvlText w:val=""/>
      <w:lvlJc w:val="left"/>
      <w:pPr>
        <w:ind w:left="2880" w:hanging="360"/>
      </w:pPr>
      <w:rPr>
        <w:rFonts w:ascii="Symbol" w:hAnsi="Symbol" w:hint="default"/>
      </w:rPr>
    </w:lvl>
    <w:lvl w:ilvl="4" w:tplc="E7DC7CCC" w:tentative="1">
      <w:start w:val="1"/>
      <w:numFmt w:val="bullet"/>
      <w:lvlText w:val="o"/>
      <w:lvlJc w:val="left"/>
      <w:pPr>
        <w:ind w:left="3600" w:hanging="360"/>
      </w:pPr>
      <w:rPr>
        <w:rFonts w:ascii="Courier New" w:hAnsi="Courier New" w:hint="default"/>
      </w:rPr>
    </w:lvl>
    <w:lvl w:ilvl="5" w:tplc="19D0B8BA" w:tentative="1">
      <w:start w:val="1"/>
      <w:numFmt w:val="bullet"/>
      <w:lvlText w:val=""/>
      <w:lvlJc w:val="left"/>
      <w:pPr>
        <w:ind w:left="4320" w:hanging="360"/>
      </w:pPr>
      <w:rPr>
        <w:rFonts w:ascii="Wingdings" w:hAnsi="Wingdings" w:hint="default"/>
      </w:rPr>
    </w:lvl>
    <w:lvl w:ilvl="6" w:tplc="4C5E3BF6" w:tentative="1">
      <w:start w:val="1"/>
      <w:numFmt w:val="bullet"/>
      <w:lvlText w:val=""/>
      <w:lvlJc w:val="left"/>
      <w:pPr>
        <w:ind w:left="5040" w:hanging="360"/>
      </w:pPr>
      <w:rPr>
        <w:rFonts w:ascii="Symbol" w:hAnsi="Symbol" w:hint="default"/>
      </w:rPr>
    </w:lvl>
    <w:lvl w:ilvl="7" w:tplc="B770B3D0" w:tentative="1">
      <w:start w:val="1"/>
      <w:numFmt w:val="bullet"/>
      <w:lvlText w:val="o"/>
      <w:lvlJc w:val="left"/>
      <w:pPr>
        <w:ind w:left="5760" w:hanging="360"/>
      </w:pPr>
      <w:rPr>
        <w:rFonts w:ascii="Courier New" w:hAnsi="Courier New" w:hint="default"/>
      </w:rPr>
    </w:lvl>
    <w:lvl w:ilvl="8" w:tplc="E048B316" w:tentative="1">
      <w:start w:val="1"/>
      <w:numFmt w:val="bullet"/>
      <w:lvlText w:val=""/>
      <w:lvlJc w:val="left"/>
      <w:pPr>
        <w:ind w:left="6480" w:hanging="360"/>
      </w:pPr>
      <w:rPr>
        <w:rFonts w:ascii="Wingdings" w:hAnsi="Wingdings" w:hint="default"/>
      </w:rPr>
    </w:lvl>
  </w:abstractNum>
  <w:abstractNum w:abstractNumId="779" w15:restartNumberingAfterBreak="0">
    <w:nsid w:val="6D5D5500"/>
    <w:multiLevelType w:val="multilevel"/>
    <w:tmpl w:val="3806B18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780" w15:restartNumberingAfterBreak="0">
    <w:nsid w:val="6D7741A1"/>
    <w:multiLevelType w:val="multilevel"/>
    <w:tmpl w:val="EA1A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1" w15:restartNumberingAfterBreak="0">
    <w:nsid w:val="6D9E1081"/>
    <w:multiLevelType w:val="hybridMultilevel"/>
    <w:tmpl w:val="CE5E9F72"/>
    <w:lvl w:ilvl="0" w:tplc="6B109D8E">
      <w:start w:val="1"/>
      <w:numFmt w:val="bullet"/>
      <w:lvlText w:val=""/>
      <w:lvlJc w:val="left"/>
      <w:pPr>
        <w:ind w:left="720" w:hanging="360"/>
      </w:pPr>
      <w:rPr>
        <w:rFonts w:ascii="Symbol" w:hAnsi="Symbol" w:hint="default"/>
      </w:rPr>
    </w:lvl>
    <w:lvl w:ilvl="1" w:tplc="D7E049E8" w:tentative="1">
      <w:start w:val="1"/>
      <w:numFmt w:val="bullet"/>
      <w:lvlText w:val="o"/>
      <w:lvlJc w:val="left"/>
      <w:pPr>
        <w:ind w:left="1440" w:hanging="360"/>
      </w:pPr>
      <w:rPr>
        <w:rFonts w:ascii="Courier New" w:hAnsi="Courier New" w:hint="default"/>
      </w:rPr>
    </w:lvl>
    <w:lvl w:ilvl="2" w:tplc="A5308D1E" w:tentative="1">
      <w:start w:val="1"/>
      <w:numFmt w:val="bullet"/>
      <w:lvlText w:val=""/>
      <w:lvlJc w:val="left"/>
      <w:pPr>
        <w:ind w:left="2160" w:hanging="360"/>
      </w:pPr>
      <w:rPr>
        <w:rFonts w:ascii="Wingdings" w:hAnsi="Wingdings" w:hint="default"/>
      </w:rPr>
    </w:lvl>
    <w:lvl w:ilvl="3" w:tplc="2E58364C" w:tentative="1">
      <w:start w:val="1"/>
      <w:numFmt w:val="bullet"/>
      <w:lvlText w:val=""/>
      <w:lvlJc w:val="left"/>
      <w:pPr>
        <w:ind w:left="2880" w:hanging="360"/>
      </w:pPr>
      <w:rPr>
        <w:rFonts w:ascii="Symbol" w:hAnsi="Symbol" w:hint="default"/>
      </w:rPr>
    </w:lvl>
    <w:lvl w:ilvl="4" w:tplc="828A4F32" w:tentative="1">
      <w:start w:val="1"/>
      <w:numFmt w:val="bullet"/>
      <w:lvlText w:val="o"/>
      <w:lvlJc w:val="left"/>
      <w:pPr>
        <w:ind w:left="3600" w:hanging="360"/>
      </w:pPr>
      <w:rPr>
        <w:rFonts w:ascii="Courier New" w:hAnsi="Courier New" w:hint="default"/>
      </w:rPr>
    </w:lvl>
    <w:lvl w:ilvl="5" w:tplc="AE7AF392" w:tentative="1">
      <w:start w:val="1"/>
      <w:numFmt w:val="bullet"/>
      <w:lvlText w:val=""/>
      <w:lvlJc w:val="left"/>
      <w:pPr>
        <w:ind w:left="4320" w:hanging="360"/>
      </w:pPr>
      <w:rPr>
        <w:rFonts w:ascii="Wingdings" w:hAnsi="Wingdings" w:hint="default"/>
      </w:rPr>
    </w:lvl>
    <w:lvl w:ilvl="6" w:tplc="D0D29984" w:tentative="1">
      <w:start w:val="1"/>
      <w:numFmt w:val="bullet"/>
      <w:lvlText w:val=""/>
      <w:lvlJc w:val="left"/>
      <w:pPr>
        <w:ind w:left="5040" w:hanging="360"/>
      </w:pPr>
      <w:rPr>
        <w:rFonts w:ascii="Symbol" w:hAnsi="Symbol" w:hint="default"/>
      </w:rPr>
    </w:lvl>
    <w:lvl w:ilvl="7" w:tplc="ED6AAA1C" w:tentative="1">
      <w:start w:val="1"/>
      <w:numFmt w:val="bullet"/>
      <w:lvlText w:val="o"/>
      <w:lvlJc w:val="left"/>
      <w:pPr>
        <w:ind w:left="5760" w:hanging="360"/>
      </w:pPr>
      <w:rPr>
        <w:rFonts w:ascii="Courier New" w:hAnsi="Courier New" w:hint="default"/>
      </w:rPr>
    </w:lvl>
    <w:lvl w:ilvl="8" w:tplc="5D501FB4" w:tentative="1">
      <w:start w:val="1"/>
      <w:numFmt w:val="bullet"/>
      <w:lvlText w:val=""/>
      <w:lvlJc w:val="left"/>
      <w:pPr>
        <w:ind w:left="6480" w:hanging="360"/>
      </w:pPr>
      <w:rPr>
        <w:rFonts w:ascii="Wingdings" w:hAnsi="Wingdings" w:hint="default"/>
      </w:rPr>
    </w:lvl>
  </w:abstractNum>
  <w:abstractNum w:abstractNumId="782" w15:restartNumberingAfterBreak="0">
    <w:nsid w:val="6DB20CB8"/>
    <w:multiLevelType w:val="multilevel"/>
    <w:tmpl w:val="3024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3" w15:restartNumberingAfterBreak="0">
    <w:nsid w:val="6DC91822"/>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4" w15:restartNumberingAfterBreak="0">
    <w:nsid w:val="6E451167"/>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5" w15:restartNumberingAfterBreak="0">
    <w:nsid w:val="6E5866EA"/>
    <w:multiLevelType w:val="multilevel"/>
    <w:tmpl w:val="D77E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6EE469F8"/>
    <w:multiLevelType w:val="multilevel"/>
    <w:tmpl w:val="383E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7" w15:restartNumberingAfterBreak="0">
    <w:nsid w:val="6EF04B11"/>
    <w:multiLevelType w:val="multilevel"/>
    <w:tmpl w:val="3F16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6F431DE1"/>
    <w:multiLevelType w:val="multilevel"/>
    <w:tmpl w:val="1578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9" w15:restartNumberingAfterBreak="0">
    <w:nsid w:val="6F833D3F"/>
    <w:multiLevelType w:val="multilevel"/>
    <w:tmpl w:val="D636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0" w15:restartNumberingAfterBreak="0">
    <w:nsid w:val="6F95772B"/>
    <w:multiLevelType w:val="multilevel"/>
    <w:tmpl w:val="008C3F8C"/>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91" w15:restartNumberingAfterBreak="0">
    <w:nsid w:val="6F9D2E77"/>
    <w:multiLevelType w:val="multilevel"/>
    <w:tmpl w:val="71C0394A"/>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92" w15:restartNumberingAfterBreak="0">
    <w:nsid w:val="6FC8188A"/>
    <w:multiLevelType w:val="hybridMultilevel"/>
    <w:tmpl w:val="5A3078B6"/>
    <w:lvl w:ilvl="0" w:tplc="813C6404">
      <w:start w:val="1"/>
      <w:numFmt w:val="bullet"/>
      <w:lvlText w:val=""/>
      <w:lvlJc w:val="left"/>
      <w:pPr>
        <w:ind w:left="720" w:hanging="360"/>
      </w:pPr>
      <w:rPr>
        <w:rFonts w:ascii="Symbol" w:hAnsi="Symbol" w:hint="default"/>
      </w:rPr>
    </w:lvl>
    <w:lvl w:ilvl="1" w:tplc="454AB380" w:tentative="1">
      <w:start w:val="1"/>
      <w:numFmt w:val="bullet"/>
      <w:lvlText w:val="o"/>
      <w:lvlJc w:val="left"/>
      <w:pPr>
        <w:ind w:left="1440" w:hanging="360"/>
      </w:pPr>
      <w:rPr>
        <w:rFonts w:ascii="Courier New" w:hAnsi="Courier New" w:hint="default"/>
      </w:rPr>
    </w:lvl>
    <w:lvl w:ilvl="2" w:tplc="BF5224DA" w:tentative="1">
      <w:start w:val="1"/>
      <w:numFmt w:val="bullet"/>
      <w:lvlText w:val=""/>
      <w:lvlJc w:val="left"/>
      <w:pPr>
        <w:ind w:left="2160" w:hanging="360"/>
      </w:pPr>
      <w:rPr>
        <w:rFonts w:ascii="Wingdings" w:hAnsi="Wingdings" w:hint="default"/>
      </w:rPr>
    </w:lvl>
    <w:lvl w:ilvl="3" w:tplc="1128B0D8" w:tentative="1">
      <w:start w:val="1"/>
      <w:numFmt w:val="bullet"/>
      <w:lvlText w:val=""/>
      <w:lvlJc w:val="left"/>
      <w:pPr>
        <w:ind w:left="2880" w:hanging="360"/>
      </w:pPr>
      <w:rPr>
        <w:rFonts w:ascii="Symbol" w:hAnsi="Symbol" w:hint="default"/>
      </w:rPr>
    </w:lvl>
    <w:lvl w:ilvl="4" w:tplc="059445B0" w:tentative="1">
      <w:start w:val="1"/>
      <w:numFmt w:val="bullet"/>
      <w:lvlText w:val="o"/>
      <w:lvlJc w:val="left"/>
      <w:pPr>
        <w:ind w:left="3600" w:hanging="360"/>
      </w:pPr>
      <w:rPr>
        <w:rFonts w:ascii="Courier New" w:hAnsi="Courier New" w:hint="default"/>
      </w:rPr>
    </w:lvl>
    <w:lvl w:ilvl="5" w:tplc="C3B6A1D8" w:tentative="1">
      <w:start w:val="1"/>
      <w:numFmt w:val="bullet"/>
      <w:lvlText w:val=""/>
      <w:lvlJc w:val="left"/>
      <w:pPr>
        <w:ind w:left="4320" w:hanging="360"/>
      </w:pPr>
      <w:rPr>
        <w:rFonts w:ascii="Wingdings" w:hAnsi="Wingdings" w:hint="default"/>
      </w:rPr>
    </w:lvl>
    <w:lvl w:ilvl="6" w:tplc="4D807848" w:tentative="1">
      <w:start w:val="1"/>
      <w:numFmt w:val="bullet"/>
      <w:lvlText w:val=""/>
      <w:lvlJc w:val="left"/>
      <w:pPr>
        <w:ind w:left="5040" w:hanging="360"/>
      </w:pPr>
      <w:rPr>
        <w:rFonts w:ascii="Symbol" w:hAnsi="Symbol" w:hint="default"/>
      </w:rPr>
    </w:lvl>
    <w:lvl w:ilvl="7" w:tplc="E714ABA8" w:tentative="1">
      <w:start w:val="1"/>
      <w:numFmt w:val="bullet"/>
      <w:lvlText w:val="o"/>
      <w:lvlJc w:val="left"/>
      <w:pPr>
        <w:ind w:left="5760" w:hanging="360"/>
      </w:pPr>
      <w:rPr>
        <w:rFonts w:ascii="Courier New" w:hAnsi="Courier New" w:hint="default"/>
      </w:rPr>
    </w:lvl>
    <w:lvl w:ilvl="8" w:tplc="BE8EF57A" w:tentative="1">
      <w:start w:val="1"/>
      <w:numFmt w:val="bullet"/>
      <w:lvlText w:val=""/>
      <w:lvlJc w:val="left"/>
      <w:pPr>
        <w:ind w:left="6480" w:hanging="360"/>
      </w:pPr>
      <w:rPr>
        <w:rFonts w:ascii="Wingdings" w:hAnsi="Wingdings" w:hint="default"/>
      </w:rPr>
    </w:lvl>
  </w:abstractNum>
  <w:abstractNum w:abstractNumId="793" w15:restartNumberingAfterBreak="0">
    <w:nsid w:val="6FE162B8"/>
    <w:multiLevelType w:val="multilevel"/>
    <w:tmpl w:val="F130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4" w15:restartNumberingAfterBreak="0">
    <w:nsid w:val="703576F1"/>
    <w:multiLevelType w:val="multilevel"/>
    <w:tmpl w:val="73087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5" w15:restartNumberingAfterBreak="0">
    <w:nsid w:val="704B4727"/>
    <w:multiLevelType w:val="hybridMultilevel"/>
    <w:tmpl w:val="CECAA94A"/>
    <w:lvl w:ilvl="0" w:tplc="8AB02BE6">
      <w:start w:val="1"/>
      <w:numFmt w:val="bullet"/>
      <w:lvlText w:val=""/>
      <w:lvlJc w:val="left"/>
      <w:pPr>
        <w:ind w:left="720" w:hanging="360"/>
      </w:pPr>
      <w:rPr>
        <w:rFonts w:ascii="Symbol" w:hAnsi="Symbol" w:hint="default"/>
      </w:rPr>
    </w:lvl>
    <w:lvl w:ilvl="1" w:tplc="5F14E38A" w:tentative="1">
      <w:start w:val="1"/>
      <w:numFmt w:val="bullet"/>
      <w:lvlText w:val="o"/>
      <w:lvlJc w:val="left"/>
      <w:pPr>
        <w:ind w:left="1440" w:hanging="360"/>
      </w:pPr>
      <w:rPr>
        <w:rFonts w:ascii="Courier New" w:hAnsi="Courier New" w:hint="default"/>
      </w:rPr>
    </w:lvl>
    <w:lvl w:ilvl="2" w:tplc="E1120F46" w:tentative="1">
      <w:start w:val="1"/>
      <w:numFmt w:val="bullet"/>
      <w:lvlText w:val=""/>
      <w:lvlJc w:val="left"/>
      <w:pPr>
        <w:ind w:left="2160" w:hanging="360"/>
      </w:pPr>
      <w:rPr>
        <w:rFonts w:ascii="Wingdings" w:hAnsi="Wingdings" w:hint="default"/>
      </w:rPr>
    </w:lvl>
    <w:lvl w:ilvl="3" w:tplc="7042187A" w:tentative="1">
      <w:start w:val="1"/>
      <w:numFmt w:val="bullet"/>
      <w:lvlText w:val=""/>
      <w:lvlJc w:val="left"/>
      <w:pPr>
        <w:ind w:left="2880" w:hanging="360"/>
      </w:pPr>
      <w:rPr>
        <w:rFonts w:ascii="Symbol" w:hAnsi="Symbol" w:hint="default"/>
      </w:rPr>
    </w:lvl>
    <w:lvl w:ilvl="4" w:tplc="53AEBA76" w:tentative="1">
      <w:start w:val="1"/>
      <w:numFmt w:val="bullet"/>
      <w:lvlText w:val="o"/>
      <w:lvlJc w:val="left"/>
      <w:pPr>
        <w:ind w:left="3600" w:hanging="360"/>
      </w:pPr>
      <w:rPr>
        <w:rFonts w:ascii="Courier New" w:hAnsi="Courier New" w:hint="default"/>
      </w:rPr>
    </w:lvl>
    <w:lvl w:ilvl="5" w:tplc="F11EBA52" w:tentative="1">
      <w:start w:val="1"/>
      <w:numFmt w:val="bullet"/>
      <w:lvlText w:val=""/>
      <w:lvlJc w:val="left"/>
      <w:pPr>
        <w:ind w:left="4320" w:hanging="360"/>
      </w:pPr>
      <w:rPr>
        <w:rFonts w:ascii="Wingdings" w:hAnsi="Wingdings" w:hint="default"/>
      </w:rPr>
    </w:lvl>
    <w:lvl w:ilvl="6" w:tplc="6F6E6B12" w:tentative="1">
      <w:start w:val="1"/>
      <w:numFmt w:val="bullet"/>
      <w:lvlText w:val=""/>
      <w:lvlJc w:val="left"/>
      <w:pPr>
        <w:ind w:left="5040" w:hanging="360"/>
      </w:pPr>
      <w:rPr>
        <w:rFonts w:ascii="Symbol" w:hAnsi="Symbol" w:hint="default"/>
      </w:rPr>
    </w:lvl>
    <w:lvl w:ilvl="7" w:tplc="12883354" w:tentative="1">
      <w:start w:val="1"/>
      <w:numFmt w:val="bullet"/>
      <w:lvlText w:val="o"/>
      <w:lvlJc w:val="left"/>
      <w:pPr>
        <w:ind w:left="5760" w:hanging="360"/>
      </w:pPr>
      <w:rPr>
        <w:rFonts w:ascii="Courier New" w:hAnsi="Courier New" w:hint="default"/>
      </w:rPr>
    </w:lvl>
    <w:lvl w:ilvl="8" w:tplc="7F683C2A" w:tentative="1">
      <w:start w:val="1"/>
      <w:numFmt w:val="bullet"/>
      <w:lvlText w:val=""/>
      <w:lvlJc w:val="left"/>
      <w:pPr>
        <w:ind w:left="6480" w:hanging="360"/>
      </w:pPr>
      <w:rPr>
        <w:rFonts w:ascii="Wingdings" w:hAnsi="Wingdings" w:hint="default"/>
      </w:rPr>
    </w:lvl>
  </w:abstractNum>
  <w:abstractNum w:abstractNumId="796" w15:restartNumberingAfterBreak="0">
    <w:nsid w:val="70721100"/>
    <w:multiLevelType w:val="multilevel"/>
    <w:tmpl w:val="AC9AFE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7" w15:restartNumberingAfterBreak="0">
    <w:nsid w:val="70B76632"/>
    <w:multiLevelType w:val="hybridMultilevel"/>
    <w:tmpl w:val="A4A83520"/>
    <w:lvl w:ilvl="0" w:tplc="1A0A4F86">
      <w:start w:val="1"/>
      <w:numFmt w:val="bullet"/>
      <w:lvlText w:val=""/>
      <w:lvlJc w:val="left"/>
      <w:pPr>
        <w:ind w:left="720" w:hanging="360"/>
      </w:pPr>
      <w:rPr>
        <w:rFonts w:ascii="Symbol" w:hAnsi="Symbol" w:hint="default"/>
      </w:rPr>
    </w:lvl>
    <w:lvl w:ilvl="1" w:tplc="168690AA" w:tentative="1">
      <w:start w:val="1"/>
      <w:numFmt w:val="bullet"/>
      <w:lvlText w:val="o"/>
      <w:lvlJc w:val="left"/>
      <w:pPr>
        <w:ind w:left="1440" w:hanging="360"/>
      </w:pPr>
      <w:rPr>
        <w:rFonts w:ascii="Courier New" w:hAnsi="Courier New" w:hint="default"/>
      </w:rPr>
    </w:lvl>
    <w:lvl w:ilvl="2" w:tplc="612E8AE0" w:tentative="1">
      <w:start w:val="1"/>
      <w:numFmt w:val="bullet"/>
      <w:lvlText w:val=""/>
      <w:lvlJc w:val="left"/>
      <w:pPr>
        <w:ind w:left="2160" w:hanging="360"/>
      </w:pPr>
      <w:rPr>
        <w:rFonts w:ascii="Wingdings" w:hAnsi="Wingdings" w:hint="default"/>
      </w:rPr>
    </w:lvl>
    <w:lvl w:ilvl="3" w:tplc="3576599C" w:tentative="1">
      <w:start w:val="1"/>
      <w:numFmt w:val="bullet"/>
      <w:lvlText w:val=""/>
      <w:lvlJc w:val="left"/>
      <w:pPr>
        <w:ind w:left="2880" w:hanging="360"/>
      </w:pPr>
      <w:rPr>
        <w:rFonts w:ascii="Symbol" w:hAnsi="Symbol" w:hint="default"/>
      </w:rPr>
    </w:lvl>
    <w:lvl w:ilvl="4" w:tplc="0C0C92D6" w:tentative="1">
      <w:start w:val="1"/>
      <w:numFmt w:val="bullet"/>
      <w:lvlText w:val="o"/>
      <w:lvlJc w:val="left"/>
      <w:pPr>
        <w:ind w:left="3600" w:hanging="360"/>
      </w:pPr>
      <w:rPr>
        <w:rFonts w:ascii="Courier New" w:hAnsi="Courier New" w:hint="default"/>
      </w:rPr>
    </w:lvl>
    <w:lvl w:ilvl="5" w:tplc="A61284EC" w:tentative="1">
      <w:start w:val="1"/>
      <w:numFmt w:val="bullet"/>
      <w:lvlText w:val=""/>
      <w:lvlJc w:val="left"/>
      <w:pPr>
        <w:ind w:left="4320" w:hanging="360"/>
      </w:pPr>
      <w:rPr>
        <w:rFonts w:ascii="Wingdings" w:hAnsi="Wingdings" w:hint="default"/>
      </w:rPr>
    </w:lvl>
    <w:lvl w:ilvl="6" w:tplc="F2F2F256" w:tentative="1">
      <w:start w:val="1"/>
      <w:numFmt w:val="bullet"/>
      <w:lvlText w:val=""/>
      <w:lvlJc w:val="left"/>
      <w:pPr>
        <w:ind w:left="5040" w:hanging="360"/>
      </w:pPr>
      <w:rPr>
        <w:rFonts w:ascii="Symbol" w:hAnsi="Symbol" w:hint="default"/>
      </w:rPr>
    </w:lvl>
    <w:lvl w:ilvl="7" w:tplc="646CFA54" w:tentative="1">
      <w:start w:val="1"/>
      <w:numFmt w:val="bullet"/>
      <w:lvlText w:val="o"/>
      <w:lvlJc w:val="left"/>
      <w:pPr>
        <w:ind w:left="5760" w:hanging="360"/>
      </w:pPr>
      <w:rPr>
        <w:rFonts w:ascii="Courier New" w:hAnsi="Courier New" w:hint="default"/>
      </w:rPr>
    </w:lvl>
    <w:lvl w:ilvl="8" w:tplc="32EE1B8C" w:tentative="1">
      <w:start w:val="1"/>
      <w:numFmt w:val="bullet"/>
      <w:lvlText w:val=""/>
      <w:lvlJc w:val="left"/>
      <w:pPr>
        <w:ind w:left="6480" w:hanging="360"/>
      </w:pPr>
      <w:rPr>
        <w:rFonts w:ascii="Wingdings" w:hAnsi="Wingdings" w:hint="default"/>
      </w:rPr>
    </w:lvl>
  </w:abstractNum>
  <w:abstractNum w:abstractNumId="798" w15:restartNumberingAfterBreak="0">
    <w:nsid w:val="70D84D7D"/>
    <w:multiLevelType w:val="hybridMultilevel"/>
    <w:tmpl w:val="48FEA8FE"/>
    <w:lvl w:ilvl="0" w:tplc="B9880FFA">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592EC670" w:tentative="1">
      <w:start w:val="1"/>
      <w:numFmt w:val="bullet"/>
      <w:lvlText w:val="o"/>
      <w:lvlJc w:val="left"/>
      <w:pPr>
        <w:ind w:left="1440" w:hanging="360"/>
      </w:pPr>
      <w:rPr>
        <w:rFonts w:ascii="Courier New" w:hAnsi="Courier New" w:hint="default"/>
      </w:rPr>
    </w:lvl>
    <w:lvl w:ilvl="2" w:tplc="372A977C" w:tentative="1">
      <w:start w:val="1"/>
      <w:numFmt w:val="bullet"/>
      <w:lvlText w:val=""/>
      <w:lvlJc w:val="left"/>
      <w:pPr>
        <w:ind w:left="2160" w:hanging="360"/>
      </w:pPr>
      <w:rPr>
        <w:rFonts w:ascii="Wingdings" w:hAnsi="Wingdings" w:hint="default"/>
      </w:rPr>
    </w:lvl>
    <w:lvl w:ilvl="3" w:tplc="11B81F28" w:tentative="1">
      <w:start w:val="1"/>
      <w:numFmt w:val="bullet"/>
      <w:lvlText w:val=""/>
      <w:lvlJc w:val="left"/>
      <w:pPr>
        <w:ind w:left="2880" w:hanging="360"/>
      </w:pPr>
      <w:rPr>
        <w:rFonts w:ascii="Symbol" w:hAnsi="Symbol" w:hint="default"/>
      </w:rPr>
    </w:lvl>
    <w:lvl w:ilvl="4" w:tplc="CA9408BC" w:tentative="1">
      <w:start w:val="1"/>
      <w:numFmt w:val="bullet"/>
      <w:lvlText w:val="o"/>
      <w:lvlJc w:val="left"/>
      <w:pPr>
        <w:ind w:left="3600" w:hanging="360"/>
      </w:pPr>
      <w:rPr>
        <w:rFonts w:ascii="Courier New" w:hAnsi="Courier New" w:hint="default"/>
      </w:rPr>
    </w:lvl>
    <w:lvl w:ilvl="5" w:tplc="77C2E730" w:tentative="1">
      <w:start w:val="1"/>
      <w:numFmt w:val="bullet"/>
      <w:lvlText w:val=""/>
      <w:lvlJc w:val="left"/>
      <w:pPr>
        <w:ind w:left="4320" w:hanging="360"/>
      </w:pPr>
      <w:rPr>
        <w:rFonts w:ascii="Wingdings" w:hAnsi="Wingdings" w:hint="default"/>
      </w:rPr>
    </w:lvl>
    <w:lvl w:ilvl="6" w:tplc="BB80A506" w:tentative="1">
      <w:start w:val="1"/>
      <w:numFmt w:val="bullet"/>
      <w:lvlText w:val=""/>
      <w:lvlJc w:val="left"/>
      <w:pPr>
        <w:ind w:left="5040" w:hanging="360"/>
      </w:pPr>
      <w:rPr>
        <w:rFonts w:ascii="Symbol" w:hAnsi="Symbol" w:hint="default"/>
      </w:rPr>
    </w:lvl>
    <w:lvl w:ilvl="7" w:tplc="53067A92" w:tentative="1">
      <w:start w:val="1"/>
      <w:numFmt w:val="bullet"/>
      <w:lvlText w:val="o"/>
      <w:lvlJc w:val="left"/>
      <w:pPr>
        <w:ind w:left="5760" w:hanging="360"/>
      </w:pPr>
      <w:rPr>
        <w:rFonts w:ascii="Courier New" w:hAnsi="Courier New" w:hint="default"/>
      </w:rPr>
    </w:lvl>
    <w:lvl w:ilvl="8" w:tplc="B872A6B0" w:tentative="1">
      <w:start w:val="1"/>
      <w:numFmt w:val="bullet"/>
      <w:lvlText w:val=""/>
      <w:lvlJc w:val="left"/>
      <w:pPr>
        <w:ind w:left="6480" w:hanging="360"/>
      </w:pPr>
      <w:rPr>
        <w:rFonts w:ascii="Wingdings" w:hAnsi="Wingdings" w:hint="default"/>
      </w:rPr>
    </w:lvl>
  </w:abstractNum>
  <w:abstractNum w:abstractNumId="799" w15:restartNumberingAfterBreak="0">
    <w:nsid w:val="710510CD"/>
    <w:multiLevelType w:val="multilevel"/>
    <w:tmpl w:val="5DDE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0" w15:restartNumberingAfterBreak="0">
    <w:nsid w:val="71260394"/>
    <w:multiLevelType w:val="multilevel"/>
    <w:tmpl w:val="E784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718A1E6B"/>
    <w:multiLevelType w:val="multilevel"/>
    <w:tmpl w:val="69DA28A4"/>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02" w15:restartNumberingAfterBreak="0">
    <w:nsid w:val="71A21E50"/>
    <w:multiLevelType w:val="multilevel"/>
    <w:tmpl w:val="51FED25C"/>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03" w15:restartNumberingAfterBreak="0">
    <w:nsid w:val="71B34111"/>
    <w:multiLevelType w:val="multilevel"/>
    <w:tmpl w:val="C4AE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4" w15:restartNumberingAfterBreak="0">
    <w:nsid w:val="71B86C46"/>
    <w:multiLevelType w:val="multilevel"/>
    <w:tmpl w:val="10CA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1BF7738"/>
    <w:multiLevelType w:val="hybridMultilevel"/>
    <w:tmpl w:val="DAB8437A"/>
    <w:lvl w:ilvl="0" w:tplc="B6A0A432">
      <w:start w:val="1"/>
      <w:numFmt w:val="bullet"/>
      <w:lvlText w:val=""/>
      <w:lvlJc w:val="left"/>
      <w:pPr>
        <w:ind w:left="720" w:hanging="360"/>
      </w:pPr>
      <w:rPr>
        <w:rFonts w:ascii="Symbol" w:hAnsi="Symbol" w:hint="default"/>
      </w:rPr>
    </w:lvl>
    <w:lvl w:ilvl="1" w:tplc="960E4110" w:tentative="1">
      <w:start w:val="1"/>
      <w:numFmt w:val="bullet"/>
      <w:lvlText w:val="o"/>
      <w:lvlJc w:val="left"/>
      <w:pPr>
        <w:ind w:left="1440" w:hanging="360"/>
      </w:pPr>
      <w:rPr>
        <w:rFonts w:ascii="Courier New" w:hAnsi="Courier New" w:hint="default"/>
      </w:rPr>
    </w:lvl>
    <w:lvl w:ilvl="2" w:tplc="5746ABEA" w:tentative="1">
      <w:start w:val="1"/>
      <w:numFmt w:val="bullet"/>
      <w:lvlText w:val=""/>
      <w:lvlJc w:val="left"/>
      <w:pPr>
        <w:ind w:left="2160" w:hanging="360"/>
      </w:pPr>
      <w:rPr>
        <w:rFonts w:ascii="Wingdings" w:hAnsi="Wingdings" w:hint="default"/>
      </w:rPr>
    </w:lvl>
    <w:lvl w:ilvl="3" w:tplc="BFD0FFF4" w:tentative="1">
      <w:start w:val="1"/>
      <w:numFmt w:val="bullet"/>
      <w:lvlText w:val=""/>
      <w:lvlJc w:val="left"/>
      <w:pPr>
        <w:ind w:left="2880" w:hanging="360"/>
      </w:pPr>
      <w:rPr>
        <w:rFonts w:ascii="Symbol" w:hAnsi="Symbol" w:hint="default"/>
      </w:rPr>
    </w:lvl>
    <w:lvl w:ilvl="4" w:tplc="B8702496" w:tentative="1">
      <w:start w:val="1"/>
      <w:numFmt w:val="bullet"/>
      <w:lvlText w:val="o"/>
      <w:lvlJc w:val="left"/>
      <w:pPr>
        <w:ind w:left="3600" w:hanging="360"/>
      </w:pPr>
      <w:rPr>
        <w:rFonts w:ascii="Courier New" w:hAnsi="Courier New" w:hint="default"/>
      </w:rPr>
    </w:lvl>
    <w:lvl w:ilvl="5" w:tplc="DA9AD4C0" w:tentative="1">
      <w:start w:val="1"/>
      <w:numFmt w:val="bullet"/>
      <w:lvlText w:val=""/>
      <w:lvlJc w:val="left"/>
      <w:pPr>
        <w:ind w:left="4320" w:hanging="360"/>
      </w:pPr>
      <w:rPr>
        <w:rFonts w:ascii="Wingdings" w:hAnsi="Wingdings" w:hint="default"/>
      </w:rPr>
    </w:lvl>
    <w:lvl w:ilvl="6" w:tplc="7BA28278" w:tentative="1">
      <w:start w:val="1"/>
      <w:numFmt w:val="bullet"/>
      <w:lvlText w:val=""/>
      <w:lvlJc w:val="left"/>
      <w:pPr>
        <w:ind w:left="5040" w:hanging="360"/>
      </w:pPr>
      <w:rPr>
        <w:rFonts w:ascii="Symbol" w:hAnsi="Symbol" w:hint="default"/>
      </w:rPr>
    </w:lvl>
    <w:lvl w:ilvl="7" w:tplc="A4FCDC6C" w:tentative="1">
      <w:start w:val="1"/>
      <w:numFmt w:val="bullet"/>
      <w:lvlText w:val="o"/>
      <w:lvlJc w:val="left"/>
      <w:pPr>
        <w:ind w:left="5760" w:hanging="360"/>
      </w:pPr>
      <w:rPr>
        <w:rFonts w:ascii="Courier New" w:hAnsi="Courier New" w:hint="default"/>
      </w:rPr>
    </w:lvl>
    <w:lvl w:ilvl="8" w:tplc="CD62E3EA" w:tentative="1">
      <w:start w:val="1"/>
      <w:numFmt w:val="bullet"/>
      <w:lvlText w:val=""/>
      <w:lvlJc w:val="left"/>
      <w:pPr>
        <w:ind w:left="6480" w:hanging="360"/>
      </w:pPr>
      <w:rPr>
        <w:rFonts w:ascii="Wingdings" w:hAnsi="Wingdings" w:hint="default"/>
      </w:rPr>
    </w:lvl>
  </w:abstractNum>
  <w:abstractNum w:abstractNumId="806" w15:restartNumberingAfterBreak="0">
    <w:nsid w:val="71C30AB6"/>
    <w:multiLevelType w:val="multilevel"/>
    <w:tmpl w:val="30B26838"/>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07" w15:restartNumberingAfterBreak="0">
    <w:nsid w:val="71DD0205"/>
    <w:multiLevelType w:val="hybridMultilevel"/>
    <w:tmpl w:val="394A3796"/>
    <w:lvl w:ilvl="0" w:tplc="711CD7C8">
      <w:start w:val="1"/>
      <w:numFmt w:val="bullet"/>
      <w:lvlText w:val=""/>
      <w:lvlJc w:val="left"/>
      <w:pPr>
        <w:ind w:left="3600" w:hanging="360"/>
      </w:pPr>
      <w:rPr>
        <w:rFonts w:ascii="Symbol" w:hAnsi="Symbol" w:hint="default"/>
      </w:rPr>
    </w:lvl>
    <w:lvl w:ilvl="1" w:tplc="C930D990">
      <w:start w:val="1"/>
      <w:numFmt w:val="bullet"/>
      <w:lvlText w:val="o"/>
      <w:lvlJc w:val="left"/>
      <w:pPr>
        <w:ind w:left="4320" w:hanging="360"/>
      </w:pPr>
      <w:rPr>
        <w:rFonts w:ascii="Courier New" w:hAnsi="Courier New" w:hint="default"/>
      </w:rPr>
    </w:lvl>
    <w:lvl w:ilvl="2" w:tplc="2B780636" w:tentative="1">
      <w:start w:val="1"/>
      <w:numFmt w:val="bullet"/>
      <w:lvlText w:val=""/>
      <w:lvlJc w:val="left"/>
      <w:pPr>
        <w:ind w:left="5040" w:hanging="360"/>
      </w:pPr>
      <w:rPr>
        <w:rFonts w:ascii="Wingdings" w:hAnsi="Wingdings" w:hint="default"/>
      </w:rPr>
    </w:lvl>
    <w:lvl w:ilvl="3" w:tplc="AB021374" w:tentative="1">
      <w:start w:val="1"/>
      <w:numFmt w:val="bullet"/>
      <w:lvlText w:val=""/>
      <w:lvlJc w:val="left"/>
      <w:pPr>
        <w:ind w:left="5760" w:hanging="360"/>
      </w:pPr>
      <w:rPr>
        <w:rFonts w:ascii="Symbol" w:hAnsi="Symbol" w:hint="default"/>
      </w:rPr>
    </w:lvl>
    <w:lvl w:ilvl="4" w:tplc="910C09B4" w:tentative="1">
      <w:start w:val="1"/>
      <w:numFmt w:val="bullet"/>
      <w:lvlText w:val="o"/>
      <w:lvlJc w:val="left"/>
      <w:pPr>
        <w:ind w:left="6480" w:hanging="360"/>
      </w:pPr>
      <w:rPr>
        <w:rFonts w:ascii="Courier New" w:hAnsi="Courier New" w:hint="default"/>
      </w:rPr>
    </w:lvl>
    <w:lvl w:ilvl="5" w:tplc="778494F2" w:tentative="1">
      <w:start w:val="1"/>
      <w:numFmt w:val="bullet"/>
      <w:lvlText w:val=""/>
      <w:lvlJc w:val="left"/>
      <w:pPr>
        <w:ind w:left="7200" w:hanging="360"/>
      </w:pPr>
      <w:rPr>
        <w:rFonts w:ascii="Wingdings" w:hAnsi="Wingdings" w:hint="default"/>
      </w:rPr>
    </w:lvl>
    <w:lvl w:ilvl="6" w:tplc="A476EE0E" w:tentative="1">
      <w:start w:val="1"/>
      <w:numFmt w:val="bullet"/>
      <w:lvlText w:val=""/>
      <w:lvlJc w:val="left"/>
      <w:pPr>
        <w:ind w:left="7920" w:hanging="360"/>
      </w:pPr>
      <w:rPr>
        <w:rFonts w:ascii="Symbol" w:hAnsi="Symbol" w:hint="default"/>
      </w:rPr>
    </w:lvl>
    <w:lvl w:ilvl="7" w:tplc="387088EA" w:tentative="1">
      <w:start w:val="1"/>
      <w:numFmt w:val="bullet"/>
      <w:lvlText w:val="o"/>
      <w:lvlJc w:val="left"/>
      <w:pPr>
        <w:ind w:left="8640" w:hanging="360"/>
      </w:pPr>
      <w:rPr>
        <w:rFonts w:ascii="Courier New" w:hAnsi="Courier New" w:hint="default"/>
      </w:rPr>
    </w:lvl>
    <w:lvl w:ilvl="8" w:tplc="F0827384" w:tentative="1">
      <w:start w:val="1"/>
      <w:numFmt w:val="bullet"/>
      <w:lvlText w:val=""/>
      <w:lvlJc w:val="left"/>
      <w:pPr>
        <w:ind w:left="9360" w:hanging="360"/>
      </w:pPr>
      <w:rPr>
        <w:rFonts w:ascii="Wingdings" w:hAnsi="Wingdings" w:hint="default"/>
      </w:rPr>
    </w:lvl>
  </w:abstractNum>
  <w:abstractNum w:abstractNumId="808" w15:restartNumberingAfterBreak="0">
    <w:nsid w:val="71F2149C"/>
    <w:multiLevelType w:val="multilevel"/>
    <w:tmpl w:val="CA8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9" w15:restartNumberingAfterBreak="0">
    <w:nsid w:val="720036AE"/>
    <w:multiLevelType w:val="hybridMultilevel"/>
    <w:tmpl w:val="BBEA7CC6"/>
    <w:lvl w:ilvl="0" w:tplc="0B7E5390">
      <w:start w:val="1"/>
      <w:numFmt w:val="bullet"/>
      <w:lvlText w:val=""/>
      <w:lvlJc w:val="left"/>
      <w:pPr>
        <w:ind w:left="720" w:hanging="360"/>
      </w:pPr>
      <w:rPr>
        <w:rFonts w:ascii="Symbol" w:hAnsi="Symbol" w:hint="default"/>
      </w:rPr>
    </w:lvl>
    <w:lvl w:ilvl="1" w:tplc="0ACA4E3A" w:tentative="1">
      <w:start w:val="1"/>
      <w:numFmt w:val="bullet"/>
      <w:lvlText w:val="o"/>
      <w:lvlJc w:val="left"/>
      <w:pPr>
        <w:ind w:left="1440" w:hanging="360"/>
      </w:pPr>
      <w:rPr>
        <w:rFonts w:ascii="Courier New" w:hAnsi="Courier New" w:hint="default"/>
      </w:rPr>
    </w:lvl>
    <w:lvl w:ilvl="2" w:tplc="75720510" w:tentative="1">
      <w:start w:val="1"/>
      <w:numFmt w:val="bullet"/>
      <w:lvlText w:val=""/>
      <w:lvlJc w:val="left"/>
      <w:pPr>
        <w:ind w:left="2160" w:hanging="360"/>
      </w:pPr>
      <w:rPr>
        <w:rFonts w:ascii="Wingdings" w:hAnsi="Wingdings" w:hint="default"/>
      </w:rPr>
    </w:lvl>
    <w:lvl w:ilvl="3" w:tplc="B95C6F22" w:tentative="1">
      <w:start w:val="1"/>
      <w:numFmt w:val="bullet"/>
      <w:lvlText w:val=""/>
      <w:lvlJc w:val="left"/>
      <w:pPr>
        <w:ind w:left="2880" w:hanging="360"/>
      </w:pPr>
      <w:rPr>
        <w:rFonts w:ascii="Symbol" w:hAnsi="Symbol" w:hint="default"/>
      </w:rPr>
    </w:lvl>
    <w:lvl w:ilvl="4" w:tplc="FBFCA540" w:tentative="1">
      <w:start w:val="1"/>
      <w:numFmt w:val="bullet"/>
      <w:lvlText w:val="o"/>
      <w:lvlJc w:val="left"/>
      <w:pPr>
        <w:ind w:left="3600" w:hanging="360"/>
      </w:pPr>
      <w:rPr>
        <w:rFonts w:ascii="Courier New" w:hAnsi="Courier New" w:hint="default"/>
      </w:rPr>
    </w:lvl>
    <w:lvl w:ilvl="5" w:tplc="12D289FC" w:tentative="1">
      <w:start w:val="1"/>
      <w:numFmt w:val="bullet"/>
      <w:lvlText w:val=""/>
      <w:lvlJc w:val="left"/>
      <w:pPr>
        <w:ind w:left="4320" w:hanging="360"/>
      </w:pPr>
      <w:rPr>
        <w:rFonts w:ascii="Wingdings" w:hAnsi="Wingdings" w:hint="default"/>
      </w:rPr>
    </w:lvl>
    <w:lvl w:ilvl="6" w:tplc="106C76CA" w:tentative="1">
      <w:start w:val="1"/>
      <w:numFmt w:val="bullet"/>
      <w:lvlText w:val=""/>
      <w:lvlJc w:val="left"/>
      <w:pPr>
        <w:ind w:left="5040" w:hanging="360"/>
      </w:pPr>
      <w:rPr>
        <w:rFonts w:ascii="Symbol" w:hAnsi="Symbol" w:hint="default"/>
      </w:rPr>
    </w:lvl>
    <w:lvl w:ilvl="7" w:tplc="8B26C566" w:tentative="1">
      <w:start w:val="1"/>
      <w:numFmt w:val="bullet"/>
      <w:lvlText w:val="o"/>
      <w:lvlJc w:val="left"/>
      <w:pPr>
        <w:ind w:left="5760" w:hanging="360"/>
      </w:pPr>
      <w:rPr>
        <w:rFonts w:ascii="Courier New" w:hAnsi="Courier New" w:hint="default"/>
      </w:rPr>
    </w:lvl>
    <w:lvl w:ilvl="8" w:tplc="89BEB482" w:tentative="1">
      <w:start w:val="1"/>
      <w:numFmt w:val="bullet"/>
      <w:lvlText w:val=""/>
      <w:lvlJc w:val="left"/>
      <w:pPr>
        <w:ind w:left="6480" w:hanging="360"/>
      </w:pPr>
      <w:rPr>
        <w:rFonts w:ascii="Wingdings" w:hAnsi="Wingdings" w:hint="default"/>
      </w:rPr>
    </w:lvl>
  </w:abstractNum>
  <w:abstractNum w:abstractNumId="810" w15:restartNumberingAfterBreak="0">
    <w:nsid w:val="720D273E"/>
    <w:multiLevelType w:val="hybridMultilevel"/>
    <w:tmpl w:val="7D28C3DA"/>
    <w:lvl w:ilvl="0" w:tplc="FA066D1E">
      <w:start w:val="1"/>
      <w:numFmt w:val="bullet"/>
      <w:lvlText w:val=""/>
      <w:lvlJc w:val="left"/>
      <w:pPr>
        <w:ind w:left="720" w:hanging="360"/>
      </w:pPr>
      <w:rPr>
        <w:rFonts w:ascii="Symbol" w:hAnsi="Symbol" w:hint="default"/>
      </w:rPr>
    </w:lvl>
    <w:lvl w:ilvl="1" w:tplc="96027A62" w:tentative="1">
      <w:start w:val="1"/>
      <w:numFmt w:val="bullet"/>
      <w:lvlText w:val="o"/>
      <w:lvlJc w:val="left"/>
      <w:pPr>
        <w:ind w:left="1440" w:hanging="360"/>
      </w:pPr>
      <w:rPr>
        <w:rFonts w:ascii="Courier New" w:hAnsi="Courier New" w:hint="default"/>
      </w:rPr>
    </w:lvl>
    <w:lvl w:ilvl="2" w:tplc="A1886896" w:tentative="1">
      <w:start w:val="1"/>
      <w:numFmt w:val="bullet"/>
      <w:lvlText w:val=""/>
      <w:lvlJc w:val="left"/>
      <w:pPr>
        <w:ind w:left="2160" w:hanging="360"/>
      </w:pPr>
      <w:rPr>
        <w:rFonts w:ascii="Wingdings" w:hAnsi="Wingdings" w:hint="default"/>
      </w:rPr>
    </w:lvl>
    <w:lvl w:ilvl="3" w:tplc="CFF68882" w:tentative="1">
      <w:start w:val="1"/>
      <w:numFmt w:val="bullet"/>
      <w:lvlText w:val=""/>
      <w:lvlJc w:val="left"/>
      <w:pPr>
        <w:ind w:left="2880" w:hanging="360"/>
      </w:pPr>
      <w:rPr>
        <w:rFonts w:ascii="Symbol" w:hAnsi="Symbol" w:hint="default"/>
      </w:rPr>
    </w:lvl>
    <w:lvl w:ilvl="4" w:tplc="585C1C76" w:tentative="1">
      <w:start w:val="1"/>
      <w:numFmt w:val="bullet"/>
      <w:lvlText w:val="o"/>
      <w:lvlJc w:val="left"/>
      <w:pPr>
        <w:ind w:left="3600" w:hanging="360"/>
      </w:pPr>
      <w:rPr>
        <w:rFonts w:ascii="Courier New" w:hAnsi="Courier New" w:hint="default"/>
      </w:rPr>
    </w:lvl>
    <w:lvl w:ilvl="5" w:tplc="46CC715C" w:tentative="1">
      <w:start w:val="1"/>
      <w:numFmt w:val="bullet"/>
      <w:lvlText w:val=""/>
      <w:lvlJc w:val="left"/>
      <w:pPr>
        <w:ind w:left="4320" w:hanging="360"/>
      </w:pPr>
      <w:rPr>
        <w:rFonts w:ascii="Wingdings" w:hAnsi="Wingdings" w:hint="default"/>
      </w:rPr>
    </w:lvl>
    <w:lvl w:ilvl="6" w:tplc="66A073F4" w:tentative="1">
      <w:start w:val="1"/>
      <w:numFmt w:val="bullet"/>
      <w:lvlText w:val=""/>
      <w:lvlJc w:val="left"/>
      <w:pPr>
        <w:ind w:left="5040" w:hanging="360"/>
      </w:pPr>
      <w:rPr>
        <w:rFonts w:ascii="Symbol" w:hAnsi="Symbol" w:hint="default"/>
      </w:rPr>
    </w:lvl>
    <w:lvl w:ilvl="7" w:tplc="EDA68870" w:tentative="1">
      <w:start w:val="1"/>
      <w:numFmt w:val="bullet"/>
      <w:lvlText w:val="o"/>
      <w:lvlJc w:val="left"/>
      <w:pPr>
        <w:ind w:left="5760" w:hanging="360"/>
      </w:pPr>
      <w:rPr>
        <w:rFonts w:ascii="Courier New" w:hAnsi="Courier New" w:hint="default"/>
      </w:rPr>
    </w:lvl>
    <w:lvl w:ilvl="8" w:tplc="A3822FAA" w:tentative="1">
      <w:start w:val="1"/>
      <w:numFmt w:val="bullet"/>
      <w:lvlText w:val=""/>
      <w:lvlJc w:val="left"/>
      <w:pPr>
        <w:ind w:left="6480" w:hanging="360"/>
      </w:pPr>
      <w:rPr>
        <w:rFonts w:ascii="Wingdings" w:hAnsi="Wingdings" w:hint="default"/>
      </w:rPr>
    </w:lvl>
  </w:abstractNum>
  <w:abstractNum w:abstractNumId="811" w15:restartNumberingAfterBreak="0">
    <w:nsid w:val="72947120"/>
    <w:multiLevelType w:val="multilevel"/>
    <w:tmpl w:val="2DF6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2" w15:restartNumberingAfterBreak="0">
    <w:nsid w:val="72CB295A"/>
    <w:multiLevelType w:val="multilevel"/>
    <w:tmpl w:val="44DA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3" w15:restartNumberingAfterBreak="0">
    <w:nsid w:val="72EE6C40"/>
    <w:multiLevelType w:val="multilevel"/>
    <w:tmpl w:val="3238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4" w15:restartNumberingAfterBreak="0">
    <w:nsid w:val="73612660"/>
    <w:multiLevelType w:val="multilevel"/>
    <w:tmpl w:val="F5D8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5" w15:restartNumberingAfterBreak="0">
    <w:nsid w:val="73B0784D"/>
    <w:multiLevelType w:val="multilevel"/>
    <w:tmpl w:val="E62EF10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16" w15:restartNumberingAfterBreak="0">
    <w:nsid w:val="73D331F3"/>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7" w15:restartNumberingAfterBreak="0">
    <w:nsid w:val="74081CCA"/>
    <w:multiLevelType w:val="multilevel"/>
    <w:tmpl w:val="739A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8" w15:restartNumberingAfterBreak="0">
    <w:nsid w:val="7437380C"/>
    <w:multiLevelType w:val="multilevel"/>
    <w:tmpl w:val="E2BC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4430B77"/>
    <w:multiLevelType w:val="multilevel"/>
    <w:tmpl w:val="EA3A409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20" w15:restartNumberingAfterBreak="0">
    <w:nsid w:val="744E13F6"/>
    <w:multiLevelType w:val="multilevel"/>
    <w:tmpl w:val="018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1" w15:restartNumberingAfterBreak="0">
    <w:nsid w:val="74536A87"/>
    <w:multiLevelType w:val="multilevel"/>
    <w:tmpl w:val="317E2902"/>
    <w:lvl w:ilvl="0">
      <w:start w:val="5"/>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22" w15:restartNumberingAfterBreak="0">
    <w:nsid w:val="74942D18"/>
    <w:multiLevelType w:val="multilevel"/>
    <w:tmpl w:val="7728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3" w15:restartNumberingAfterBreak="0">
    <w:nsid w:val="74C63272"/>
    <w:multiLevelType w:val="multilevel"/>
    <w:tmpl w:val="D33E9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4" w15:restartNumberingAfterBreak="0">
    <w:nsid w:val="75034CBE"/>
    <w:multiLevelType w:val="multilevel"/>
    <w:tmpl w:val="D45677C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25" w15:restartNumberingAfterBreak="0">
    <w:nsid w:val="751457A7"/>
    <w:multiLevelType w:val="hybridMultilevel"/>
    <w:tmpl w:val="617C49C4"/>
    <w:lvl w:ilvl="0" w:tplc="B35A1F54">
      <w:start w:val="1"/>
      <w:numFmt w:val="bullet"/>
      <w:lvlText w:val=""/>
      <w:lvlJc w:val="left"/>
      <w:pPr>
        <w:ind w:left="720" w:hanging="360"/>
      </w:pPr>
      <w:rPr>
        <w:rFonts w:ascii="Symbol" w:hAnsi="Symbol" w:hint="default"/>
      </w:rPr>
    </w:lvl>
    <w:lvl w:ilvl="1" w:tplc="283C0A72">
      <w:start w:val="1"/>
      <w:numFmt w:val="bullet"/>
      <w:lvlText w:val="o"/>
      <w:lvlJc w:val="left"/>
      <w:pPr>
        <w:ind w:left="1440" w:hanging="360"/>
      </w:pPr>
      <w:rPr>
        <w:rFonts w:ascii="Courier New" w:hAnsi="Courier New" w:hint="default"/>
      </w:rPr>
    </w:lvl>
    <w:lvl w:ilvl="2" w:tplc="2F762F64" w:tentative="1">
      <w:start w:val="1"/>
      <w:numFmt w:val="bullet"/>
      <w:lvlText w:val=""/>
      <w:lvlJc w:val="left"/>
      <w:pPr>
        <w:ind w:left="2160" w:hanging="360"/>
      </w:pPr>
      <w:rPr>
        <w:rFonts w:ascii="Wingdings" w:hAnsi="Wingdings" w:hint="default"/>
      </w:rPr>
    </w:lvl>
    <w:lvl w:ilvl="3" w:tplc="7494C86A" w:tentative="1">
      <w:start w:val="1"/>
      <w:numFmt w:val="bullet"/>
      <w:lvlText w:val=""/>
      <w:lvlJc w:val="left"/>
      <w:pPr>
        <w:ind w:left="2880" w:hanging="360"/>
      </w:pPr>
      <w:rPr>
        <w:rFonts w:ascii="Symbol" w:hAnsi="Symbol" w:hint="default"/>
      </w:rPr>
    </w:lvl>
    <w:lvl w:ilvl="4" w:tplc="05F83B1C" w:tentative="1">
      <w:start w:val="1"/>
      <w:numFmt w:val="bullet"/>
      <w:lvlText w:val="o"/>
      <w:lvlJc w:val="left"/>
      <w:pPr>
        <w:ind w:left="3600" w:hanging="360"/>
      </w:pPr>
      <w:rPr>
        <w:rFonts w:ascii="Courier New" w:hAnsi="Courier New" w:hint="default"/>
      </w:rPr>
    </w:lvl>
    <w:lvl w:ilvl="5" w:tplc="1AA81332" w:tentative="1">
      <w:start w:val="1"/>
      <w:numFmt w:val="bullet"/>
      <w:lvlText w:val=""/>
      <w:lvlJc w:val="left"/>
      <w:pPr>
        <w:ind w:left="4320" w:hanging="360"/>
      </w:pPr>
      <w:rPr>
        <w:rFonts w:ascii="Wingdings" w:hAnsi="Wingdings" w:hint="default"/>
      </w:rPr>
    </w:lvl>
    <w:lvl w:ilvl="6" w:tplc="AC4A2C90" w:tentative="1">
      <w:start w:val="1"/>
      <w:numFmt w:val="bullet"/>
      <w:lvlText w:val=""/>
      <w:lvlJc w:val="left"/>
      <w:pPr>
        <w:ind w:left="5040" w:hanging="360"/>
      </w:pPr>
      <w:rPr>
        <w:rFonts w:ascii="Symbol" w:hAnsi="Symbol" w:hint="default"/>
      </w:rPr>
    </w:lvl>
    <w:lvl w:ilvl="7" w:tplc="0DAE3038" w:tentative="1">
      <w:start w:val="1"/>
      <w:numFmt w:val="bullet"/>
      <w:lvlText w:val="o"/>
      <w:lvlJc w:val="left"/>
      <w:pPr>
        <w:ind w:left="5760" w:hanging="360"/>
      </w:pPr>
      <w:rPr>
        <w:rFonts w:ascii="Courier New" w:hAnsi="Courier New" w:hint="default"/>
      </w:rPr>
    </w:lvl>
    <w:lvl w:ilvl="8" w:tplc="2186960A" w:tentative="1">
      <w:start w:val="1"/>
      <w:numFmt w:val="bullet"/>
      <w:lvlText w:val=""/>
      <w:lvlJc w:val="left"/>
      <w:pPr>
        <w:ind w:left="6480" w:hanging="360"/>
      </w:pPr>
      <w:rPr>
        <w:rFonts w:ascii="Wingdings" w:hAnsi="Wingdings" w:hint="default"/>
      </w:rPr>
    </w:lvl>
  </w:abstractNum>
  <w:abstractNum w:abstractNumId="826" w15:restartNumberingAfterBreak="0">
    <w:nsid w:val="752A1935"/>
    <w:multiLevelType w:val="multilevel"/>
    <w:tmpl w:val="8596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7" w15:restartNumberingAfterBreak="0">
    <w:nsid w:val="759A73C2"/>
    <w:multiLevelType w:val="multilevel"/>
    <w:tmpl w:val="6FD8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8" w15:restartNumberingAfterBreak="0">
    <w:nsid w:val="759D6BBC"/>
    <w:multiLevelType w:val="multilevel"/>
    <w:tmpl w:val="B3DCB0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9" w15:restartNumberingAfterBreak="0">
    <w:nsid w:val="769575F8"/>
    <w:multiLevelType w:val="multilevel"/>
    <w:tmpl w:val="18C0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0" w15:restartNumberingAfterBreak="0">
    <w:nsid w:val="76F85172"/>
    <w:multiLevelType w:val="hybridMultilevel"/>
    <w:tmpl w:val="94E6DA80"/>
    <w:lvl w:ilvl="0" w:tplc="4A8687C4">
      <w:start w:val="1"/>
      <w:numFmt w:val="bullet"/>
      <w:lvlText w:val=""/>
      <w:lvlJc w:val="left"/>
      <w:pPr>
        <w:ind w:left="720" w:hanging="360"/>
      </w:pPr>
      <w:rPr>
        <w:rFonts w:ascii="Symbol" w:hAnsi="Symbol" w:hint="default"/>
      </w:rPr>
    </w:lvl>
    <w:lvl w:ilvl="1" w:tplc="D77EAA28" w:tentative="1">
      <w:start w:val="1"/>
      <w:numFmt w:val="bullet"/>
      <w:lvlText w:val="o"/>
      <w:lvlJc w:val="left"/>
      <w:pPr>
        <w:ind w:left="1440" w:hanging="360"/>
      </w:pPr>
      <w:rPr>
        <w:rFonts w:ascii="Courier New" w:hAnsi="Courier New" w:hint="default"/>
      </w:rPr>
    </w:lvl>
    <w:lvl w:ilvl="2" w:tplc="30104192" w:tentative="1">
      <w:start w:val="1"/>
      <w:numFmt w:val="bullet"/>
      <w:lvlText w:val=""/>
      <w:lvlJc w:val="left"/>
      <w:pPr>
        <w:ind w:left="2160" w:hanging="360"/>
      </w:pPr>
      <w:rPr>
        <w:rFonts w:ascii="Wingdings" w:hAnsi="Wingdings" w:hint="default"/>
      </w:rPr>
    </w:lvl>
    <w:lvl w:ilvl="3" w:tplc="E342E104" w:tentative="1">
      <w:start w:val="1"/>
      <w:numFmt w:val="bullet"/>
      <w:lvlText w:val=""/>
      <w:lvlJc w:val="left"/>
      <w:pPr>
        <w:ind w:left="2880" w:hanging="360"/>
      </w:pPr>
      <w:rPr>
        <w:rFonts w:ascii="Symbol" w:hAnsi="Symbol" w:hint="default"/>
      </w:rPr>
    </w:lvl>
    <w:lvl w:ilvl="4" w:tplc="DFEC1B6C" w:tentative="1">
      <w:start w:val="1"/>
      <w:numFmt w:val="bullet"/>
      <w:lvlText w:val="o"/>
      <w:lvlJc w:val="left"/>
      <w:pPr>
        <w:ind w:left="3600" w:hanging="360"/>
      </w:pPr>
      <w:rPr>
        <w:rFonts w:ascii="Courier New" w:hAnsi="Courier New" w:hint="default"/>
      </w:rPr>
    </w:lvl>
    <w:lvl w:ilvl="5" w:tplc="83B2C384" w:tentative="1">
      <w:start w:val="1"/>
      <w:numFmt w:val="bullet"/>
      <w:lvlText w:val=""/>
      <w:lvlJc w:val="left"/>
      <w:pPr>
        <w:ind w:left="4320" w:hanging="360"/>
      </w:pPr>
      <w:rPr>
        <w:rFonts w:ascii="Wingdings" w:hAnsi="Wingdings" w:hint="default"/>
      </w:rPr>
    </w:lvl>
    <w:lvl w:ilvl="6" w:tplc="11EABEBE" w:tentative="1">
      <w:start w:val="1"/>
      <w:numFmt w:val="bullet"/>
      <w:lvlText w:val=""/>
      <w:lvlJc w:val="left"/>
      <w:pPr>
        <w:ind w:left="5040" w:hanging="360"/>
      </w:pPr>
      <w:rPr>
        <w:rFonts w:ascii="Symbol" w:hAnsi="Symbol" w:hint="default"/>
      </w:rPr>
    </w:lvl>
    <w:lvl w:ilvl="7" w:tplc="36085F98" w:tentative="1">
      <w:start w:val="1"/>
      <w:numFmt w:val="bullet"/>
      <w:lvlText w:val="o"/>
      <w:lvlJc w:val="left"/>
      <w:pPr>
        <w:ind w:left="5760" w:hanging="360"/>
      </w:pPr>
      <w:rPr>
        <w:rFonts w:ascii="Courier New" w:hAnsi="Courier New" w:hint="default"/>
      </w:rPr>
    </w:lvl>
    <w:lvl w:ilvl="8" w:tplc="B5D06D5A" w:tentative="1">
      <w:start w:val="1"/>
      <w:numFmt w:val="bullet"/>
      <w:lvlText w:val=""/>
      <w:lvlJc w:val="left"/>
      <w:pPr>
        <w:ind w:left="6480" w:hanging="360"/>
      </w:pPr>
      <w:rPr>
        <w:rFonts w:ascii="Wingdings" w:hAnsi="Wingdings" w:hint="default"/>
      </w:rPr>
    </w:lvl>
  </w:abstractNum>
  <w:abstractNum w:abstractNumId="831" w15:restartNumberingAfterBreak="0">
    <w:nsid w:val="77097715"/>
    <w:multiLevelType w:val="multilevel"/>
    <w:tmpl w:val="7834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2" w15:restartNumberingAfterBreak="0">
    <w:nsid w:val="770F5098"/>
    <w:multiLevelType w:val="multilevel"/>
    <w:tmpl w:val="6054F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3" w15:restartNumberingAfterBreak="0">
    <w:nsid w:val="772E6C4A"/>
    <w:multiLevelType w:val="multilevel"/>
    <w:tmpl w:val="4BE0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4" w15:restartNumberingAfterBreak="0">
    <w:nsid w:val="77722A51"/>
    <w:multiLevelType w:val="multilevel"/>
    <w:tmpl w:val="23C8111A"/>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35" w15:restartNumberingAfterBreak="0">
    <w:nsid w:val="77746521"/>
    <w:multiLevelType w:val="multilevel"/>
    <w:tmpl w:val="BE484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6" w15:restartNumberingAfterBreak="0">
    <w:nsid w:val="77832A62"/>
    <w:multiLevelType w:val="multilevel"/>
    <w:tmpl w:val="426C8FF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37" w15:restartNumberingAfterBreak="0">
    <w:nsid w:val="778B552D"/>
    <w:multiLevelType w:val="hybridMultilevel"/>
    <w:tmpl w:val="AFEC6014"/>
    <w:lvl w:ilvl="0" w:tplc="2D8017B8">
      <w:start w:val="1"/>
      <w:numFmt w:val="bullet"/>
      <w:lvlText w:val=""/>
      <w:lvlJc w:val="left"/>
      <w:pPr>
        <w:ind w:left="720" w:hanging="360"/>
      </w:pPr>
      <w:rPr>
        <w:rFonts w:ascii="Symbol" w:hAnsi="Symbol" w:hint="default"/>
      </w:rPr>
    </w:lvl>
    <w:lvl w:ilvl="1" w:tplc="487E7466" w:tentative="1">
      <w:start w:val="1"/>
      <w:numFmt w:val="bullet"/>
      <w:lvlText w:val="o"/>
      <w:lvlJc w:val="left"/>
      <w:pPr>
        <w:ind w:left="1440" w:hanging="360"/>
      </w:pPr>
      <w:rPr>
        <w:rFonts w:ascii="Courier New" w:hAnsi="Courier New" w:hint="default"/>
      </w:rPr>
    </w:lvl>
    <w:lvl w:ilvl="2" w:tplc="F78C79B8" w:tentative="1">
      <w:start w:val="1"/>
      <w:numFmt w:val="bullet"/>
      <w:lvlText w:val=""/>
      <w:lvlJc w:val="left"/>
      <w:pPr>
        <w:ind w:left="2160" w:hanging="360"/>
      </w:pPr>
      <w:rPr>
        <w:rFonts w:ascii="Wingdings" w:hAnsi="Wingdings" w:hint="default"/>
      </w:rPr>
    </w:lvl>
    <w:lvl w:ilvl="3" w:tplc="FEF4905C" w:tentative="1">
      <w:start w:val="1"/>
      <w:numFmt w:val="bullet"/>
      <w:lvlText w:val=""/>
      <w:lvlJc w:val="left"/>
      <w:pPr>
        <w:ind w:left="2880" w:hanging="360"/>
      </w:pPr>
      <w:rPr>
        <w:rFonts w:ascii="Symbol" w:hAnsi="Symbol" w:hint="default"/>
      </w:rPr>
    </w:lvl>
    <w:lvl w:ilvl="4" w:tplc="942E3338" w:tentative="1">
      <w:start w:val="1"/>
      <w:numFmt w:val="bullet"/>
      <w:lvlText w:val="o"/>
      <w:lvlJc w:val="left"/>
      <w:pPr>
        <w:ind w:left="3600" w:hanging="360"/>
      </w:pPr>
      <w:rPr>
        <w:rFonts w:ascii="Courier New" w:hAnsi="Courier New" w:hint="default"/>
      </w:rPr>
    </w:lvl>
    <w:lvl w:ilvl="5" w:tplc="54A2222A" w:tentative="1">
      <w:start w:val="1"/>
      <w:numFmt w:val="bullet"/>
      <w:lvlText w:val=""/>
      <w:lvlJc w:val="left"/>
      <w:pPr>
        <w:ind w:left="4320" w:hanging="360"/>
      </w:pPr>
      <w:rPr>
        <w:rFonts w:ascii="Wingdings" w:hAnsi="Wingdings" w:hint="default"/>
      </w:rPr>
    </w:lvl>
    <w:lvl w:ilvl="6" w:tplc="1FFA0232" w:tentative="1">
      <w:start w:val="1"/>
      <w:numFmt w:val="bullet"/>
      <w:lvlText w:val=""/>
      <w:lvlJc w:val="left"/>
      <w:pPr>
        <w:ind w:left="5040" w:hanging="360"/>
      </w:pPr>
      <w:rPr>
        <w:rFonts w:ascii="Symbol" w:hAnsi="Symbol" w:hint="default"/>
      </w:rPr>
    </w:lvl>
    <w:lvl w:ilvl="7" w:tplc="841E00B4" w:tentative="1">
      <w:start w:val="1"/>
      <w:numFmt w:val="bullet"/>
      <w:lvlText w:val="o"/>
      <w:lvlJc w:val="left"/>
      <w:pPr>
        <w:ind w:left="5760" w:hanging="360"/>
      </w:pPr>
      <w:rPr>
        <w:rFonts w:ascii="Courier New" w:hAnsi="Courier New" w:hint="default"/>
      </w:rPr>
    </w:lvl>
    <w:lvl w:ilvl="8" w:tplc="450C620A" w:tentative="1">
      <w:start w:val="1"/>
      <w:numFmt w:val="bullet"/>
      <w:lvlText w:val=""/>
      <w:lvlJc w:val="left"/>
      <w:pPr>
        <w:ind w:left="6480" w:hanging="360"/>
      </w:pPr>
      <w:rPr>
        <w:rFonts w:ascii="Wingdings" w:hAnsi="Wingdings" w:hint="default"/>
      </w:rPr>
    </w:lvl>
  </w:abstractNum>
  <w:abstractNum w:abstractNumId="838" w15:restartNumberingAfterBreak="0">
    <w:nsid w:val="7791427D"/>
    <w:multiLevelType w:val="multilevel"/>
    <w:tmpl w:val="DD52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9" w15:restartNumberingAfterBreak="0">
    <w:nsid w:val="77B80D78"/>
    <w:multiLevelType w:val="multilevel"/>
    <w:tmpl w:val="D3D41EBC"/>
    <w:lvl w:ilvl="0">
      <w:start w:val="1"/>
      <w:numFmt w:val="bullet"/>
      <w:lvlText w:val="o"/>
      <w:lvlJc w:val="left"/>
      <w:pPr>
        <w:tabs>
          <w:tab w:val="num" w:pos="1800"/>
        </w:tabs>
        <w:ind w:left="1800" w:hanging="360"/>
      </w:pPr>
      <w:rPr>
        <w:rFonts w:ascii="Courier New" w:hAnsi="Courier New"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840" w15:restartNumberingAfterBreak="0">
    <w:nsid w:val="77E02021"/>
    <w:multiLevelType w:val="hybridMultilevel"/>
    <w:tmpl w:val="7E4C8FA8"/>
    <w:lvl w:ilvl="0" w:tplc="F3140CD4">
      <w:start w:val="1"/>
      <w:numFmt w:val="bullet"/>
      <w:lvlText w:val=""/>
      <w:lvlJc w:val="left"/>
      <w:pPr>
        <w:ind w:left="720" w:hanging="360"/>
      </w:pPr>
      <w:rPr>
        <w:rFonts w:ascii="Symbol" w:hAnsi="Symbol" w:hint="default"/>
      </w:rPr>
    </w:lvl>
    <w:lvl w:ilvl="1" w:tplc="63FE85CC" w:tentative="1">
      <w:start w:val="1"/>
      <w:numFmt w:val="bullet"/>
      <w:lvlText w:val="o"/>
      <w:lvlJc w:val="left"/>
      <w:pPr>
        <w:ind w:left="1440" w:hanging="360"/>
      </w:pPr>
      <w:rPr>
        <w:rFonts w:ascii="Courier New" w:hAnsi="Courier New" w:hint="default"/>
      </w:rPr>
    </w:lvl>
    <w:lvl w:ilvl="2" w:tplc="69403C0E" w:tentative="1">
      <w:start w:val="1"/>
      <w:numFmt w:val="bullet"/>
      <w:lvlText w:val=""/>
      <w:lvlJc w:val="left"/>
      <w:pPr>
        <w:ind w:left="2160" w:hanging="360"/>
      </w:pPr>
      <w:rPr>
        <w:rFonts w:ascii="Wingdings" w:hAnsi="Wingdings" w:hint="default"/>
      </w:rPr>
    </w:lvl>
    <w:lvl w:ilvl="3" w:tplc="388E1218" w:tentative="1">
      <w:start w:val="1"/>
      <w:numFmt w:val="bullet"/>
      <w:lvlText w:val=""/>
      <w:lvlJc w:val="left"/>
      <w:pPr>
        <w:ind w:left="2880" w:hanging="360"/>
      </w:pPr>
      <w:rPr>
        <w:rFonts w:ascii="Symbol" w:hAnsi="Symbol" w:hint="default"/>
      </w:rPr>
    </w:lvl>
    <w:lvl w:ilvl="4" w:tplc="6B0C029A" w:tentative="1">
      <w:start w:val="1"/>
      <w:numFmt w:val="bullet"/>
      <w:lvlText w:val="o"/>
      <w:lvlJc w:val="left"/>
      <w:pPr>
        <w:ind w:left="3600" w:hanging="360"/>
      </w:pPr>
      <w:rPr>
        <w:rFonts w:ascii="Courier New" w:hAnsi="Courier New" w:hint="default"/>
      </w:rPr>
    </w:lvl>
    <w:lvl w:ilvl="5" w:tplc="46CEC160" w:tentative="1">
      <w:start w:val="1"/>
      <w:numFmt w:val="bullet"/>
      <w:lvlText w:val=""/>
      <w:lvlJc w:val="left"/>
      <w:pPr>
        <w:ind w:left="4320" w:hanging="360"/>
      </w:pPr>
      <w:rPr>
        <w:rFonts w:ascii="Wingdings" w:hAnsi="Wingdings" w:hint="default"/>
      </w:rPr>
    </w:lvl>
    <w:lvl w:ilvl="6" w:tplc="08B205A2" w:tentative="1">
      <w:start w:val="1"/>
      <w:numFmt w:val="bullet"/>
      <w:lvlText w:val=""/>
      <w:lvlJc w:val="left"/>
      <w:pPr>
        <w:ind w:left="5040" w:hanging="360"/>
      </w:pPr>
      <w:rPr>
        <w:rFonts w:ascii="Symbol" w:hAnsi="Symbol" w:hint="default"/>
      </w:rPr>
    </w:lvl>
    <w:lvl w:ilvl="7" w:tplc="9BA6A7C8" w:tentative="1">
      <w:start w:val="1"/>
      <w:numFmt w:val="bullet"/>
      <w:lvlText w:val="o"/>
      <w:lvlJc w:val="left"/>
      <w:pPr>
        <w:ind w:left="5760" w:hanging="360"/>
      </w:pPr>
      <w:rPr>
        <w:rFonts w:ascii="Courier New" w:hAnsi="Courier New" w:hint="default"/>
      </w:rPr>
    </w:lvl>
    <w:lvl w:ilvl="8" w:tplc="54361FBA" w:tentative="1">
      <w:start w:val="1"/>
      <w:numFmt w:val="bullet"/>
      <w:lvlText w:val=""/>
      <w:lvlJc w:val="left"/>
      <w:pPr>
        <w:ind w:left="6480" w:hanging="360"/>
      </w:pPr>
      <w:rPr>
        <w:rFonts w:ascii="Wingdings" w:hAnsi="Wingdings" w:hint="default"/>
      </w:rPr>
    </w:lvl>
  </w:abstractNum>
  <w:abstractNum w:abstractNumId="841" w15:restartNumberingAfterBreak="0">
    <w:nsid w:val="78150255"/>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2" w15:restartNumberingAfterBreak="0">
    <w:nsid w:val="783130BF"/>
    <w:multiLevelType w:val="hybridMultilevel"/>
    <w:tmpl w:val="162E4978"/>
    <w:lvl w:ilvl="0" w:tplc="16EE0612">
      <w:start w:val="1"/>
      <w:numFmt w:val="bullet"/>
      <w:lvlText w:val=""/>
      <w:lvlJc w:val="left"/>
      <w:pPr>
        <w:ind w:left="720" w:hanging="360"/>
      </w:pPr>
      <w:rPr>
        <w:rFonts w:ascii="Symbol" w:hAnsi="Symbol" w:hint="default"/>
      </w:rPr>
    </w:lvl>
    <w:lvl w:ilvl="1" w:tplc="32961DC8" w:tentative="1">
      <w:start w:val="1"/>
      <w:numFmt w:val="bullet"/>
      <w:lvlText w:val="o"/>
      <w:lvlJc w:val="left"/>
      <w:pPr>
        <w:ind w:left="1440" w:hanging="360"/>
      </w:pPr>
      <w:rPr>
        <w:rFonts w:ascii="Courier New" w:hAnsi="Courier New" w:hint="default"/>
      </w:rPr>
    </w:lvl>
    <w:lvl w:ilvl="2" w:tplc="0B7844A2" w:tentative="1">
      <w:start w:val="1"/>
      <w:numFmt w:val="bullet"/>
      <w:lvlText w:val=""/>
      <w:lvlJc w:val="left"/>
      <w:pPr>
        <w:ind w:left="2160" w:hanging="360"/>
      </w:pPr>
      <w:rPr>
        <w:rFonts w:ascii="Wingdings" w:hAnsi="Wingdings" w:hint="default"/>
      </w:rPr>
    </w:lvl>
    <w:lvl w:ilvl="3" w:tplc="4DAE96D0" w:tentative="1">
      <w:start w:val="1"/>
      <w:numFmt w:val="bullet"/>
      <w:lvlText w:val=""/>
      <w:lvlJc w:val="left"/>
      <w:pPr>
        <w:ind w:left="2880" w:hanging="360"/>
      </w:pPr>
      <w:rPr>
        <w:rFonts w:ascii="Symbol" w:hAnsi="Symbol" w:hint="default"/>
      </w:rPr>
    </w:lvl>
    <w:lvl w:ilvl="4" w:tplc="3DCE77D6" w:tentative="1">
      <w:start w:val="1"/>
      <w:numFmt w:val="bullet"/>
      <w:lvlText w:val="o"/>
      <w:lvlJc w:val="left"/>
      <w:pPr>
        <w:ind w:left="3600" w:hanging="360"/>
      </w:pPr>
      <w:rPr>
        <w:rFonts w:ascii="Courier New" w:hAnsi="Courier New" w:hint="default"/>
      </w:rPr>
    </w:lvl>
    <w:lvl w:ilvl="5" w:tplc="C180DFBA" w:tentative="1">
      <w:start w:val="1"/>
      <w:numFmt w:val="bullet"/>
      <w:lvlText w:val=""/>
      <w:lvlJc w:val="left"/>
      <w:pPr>
        <w:ind w:left="4320" w:hanging="360"/>
      </w:pPr>
      <w:rPr>
        <w:rFonts w:ascii="Wingdings" w:hAnsi="Wingdings" w:hint="default"/>
      </w:rPr>
    </w:lvl>
    <w:lvl w:ilvl="6" w:tplc="8CBCA4D6" w:tentative="1">
      <w:start w:val="1"/>
      <w:numFmt w:val="bullet"/>
      <w:lvlText w:val=""/>
      <w:lvlJc w:val="left"/>
      <w:pPr>
        <w:ind w:left="5040" w:hanging="360"/>
      </w:pPr>
      <w:rPr>
        <w:rFonts w:ascii="Symbol" w:hAnsi="Symbol" w:hint="default"/>
      </w:rPr>
    </w:lvl>
    <w:lvl w:ilvl="7" w:tplc="35C67696" w:tentative="1">
      <w:start w:val="1"/>
      <w:numFmt w:val="bullet"/>
      <w:lvlText w:val="o"/>
      <w:lvlJc w:val="left"/>
      <w:pPr>
        <w:ind w:left="5760" w:hanging="360"/>
      </w:pPr>
      <w:rPr>
        <w:rFonts w:ascii="Courier New" w:hAnsi="Courier New" w:hint="default"/>
      </w:rPr>
    </w:lvl>
    <w:lvl w:ilvl="8" w:tplc="E8D0219A" w:tentative="1">
      <w:start w:val="1"/>
      <w:numFmt w:val="bullet"/>
      <w:lvlText w:val=""/>
      <w:lvlJc w:val="left"/>
      <w:pPr>
        <w:ind w:left="6480" w:hanging="360"/>
      </w:pPr>
      <w:rPr>
        <w:rFonts w:ascii="Wingdings" w:hAnsi="Wingdings" w:hint="default"/>
      </w:rPr>
    </w:lvl>
  </w:abstractNum>
  <w:abstractNum w:abstractNumId="843" w15:restartNumberingAfterBreak="0">
    <w:nsid w:val="786337C6"/>
    <w:multiLevelType w:val="multilevel"/>
    <w:tmpl w:val="C40E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787271FE"/>
    <w:multiLevelType w:val="multilevel"/>
    <w:tmpl w:val="DD56DD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5" w15:restartNumberingAfterBreak="0">
    <w:nsid w:val="78B05ABD"/>
    <w:multiLevelType w:val="multilevel"/>
    <w:tmpl w:val="8E5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6" w15:restartNumberingAfterBreak="0">
    <w:nsid w:val="78D0174C"/>
    <w:multiLevelType w:val="hybridMultilevel"/>
    <w:tmpl w:val="EEBC23E0"/>
    <w:lvl w:ilvl="0" w:tplc="4D66C766">
      <w:start w:val="1"/>
      <w:numFmt w:val="bullet"/>
      <w:lvlText w:val=""/>
      <w:lvlJc w:val="left"/>
      <w:pPr>
        <w:ind w:left="720" w:hanging="360"/>
      </w:pPr>
      <w:rPr>
        <w:rFonts w:ascii="Symbol" w:hAnsi="Symbol" w:hint="default"/>
      </w:rPr>
    </w:lvl>
    <w:lvl w:ilvl="1" w:tplc="3D4CE93A" w:tentative="1">
      <w:start w:val="1"/>
      <w:numFmt w:val="bullet"/>
      <w:lvlText w:val="o"/>
      <w:lvlJc w:val="left"/>
      <w:pPr>
        <w:ind w:left="1440" w:hanging="360"/>
      </w:pPr>
      <w:rPr>
        <w:rFonts w:ascii="Courier New" w:hAnsi="Courier New" w:hint="default"/>
      </w:rPr>
    </w:lvl>
    <w:lvl w:ilvl="2" w:tplc="1E1EA840" w:tentative="1">
      <w:start w:val="1"/>
      <w:numFmt w:val="bullet"/>
      <w:lvlText w:val=""/>
      <w:lvlJc w:val="left"/>
      <w:pPr>
        <w:ind w:left="2160" w:hanging="360"/>
      </w:pPr>
      <w:rPr>
        <w:rFonts w:ascii="Wingdings" w:hAnsi="Wingdings" w:hint="default"/>
      </w:rPr>
    </w:lvl>
    <w:lvl w:ilvl="3" w:tplc="51C45104" w:tentative="1">
      <w:start w:val="1"/>
      <w:numFmt w:val="bullet"/>
      <w:lvlText w:val=""/>
      <w:lvlJc w:val="left"/>
      <w:pPr>
        <w:ind w:left="2880" w:hanging="360"/>
      </w:pPr>
      <w:rPr>
        <w:rFonts w:ascii="Symbol" w:hAnsi="Symbol" w:hint="default"/>
      </w:rPr>
    </w:lvl>
    <w:lvl w:ilvl="4" w:tplc="6248C926" w:tentative="1">
      <w:start w:val="1"/>
      <w:numFmt w:val="bullet"/>
      <w:lvlText w:val="o"/>
      <w:lvlJc w:val="left"/>
      <w:pPr>
        <w:ind w:left="3600" w:hanging="360"/>
      </w:pPr>
      <w:rPr>
        <w:rFonts w:ascii="Courier New" w:hAnsi="Courier New" w:hint="default"/>
      </w:rPr>
    </w:lvl>
    <w:lvl w:ilvl="5" w:tplc="67C66DA2" w:tentative="1">
      <w:start w:val="1"/>
      <w:numFmt w:val="bullet"/>
      <w:lvlText w:val=""/>
      <w:lvlJc w:val="left"/>
      <w:pPr>
        <w:ind w:left="4320" w:hanging="360"/>
      </w:pPr>
      <w:rPr>
        <w:rFonts w:ascii="Wingdings" w:hAnsi="Wingdings" w:hint="default"/>
      </w:rPr>
    </w:lvl>
    <w:lvl w:ilvl="6" w:tplc="517EA702" w:tentative="1">
      <w:start w:val="1"/>
      <w:numFmt w:val="bullet"/>
      <w:lvlText w:val=""/>
      <w:lvlJc w:val="left"/>
      <w:pPr>
        <w:ind w:left="5040" w:hanging="360"/>
      </w:pPr>
      <w:rPr>
        <w:rFonts w:ascii="Symbol" w:hAnsi="Symbol" w:hint="default"/>
      </w:rPr>
    </w:lvl>
    <w:lvl w:ilvl="7" w:tplc="99F83312" w:tentative="1">
      <w:start w:val="1"/>
      <w:numFmt w:val="bullet"/>
      <w:lvlText w:val="o"/>
      <w:lvlJc w:val="left"/>
      <w:pPr>
        <w:ind w:left="5760" w:hanging="360"/>
      </w:pPr>
      <w:rPr>
        <w:rFonts w:ascii="Courier New" w:hAnsi="Courier New" w:hint="default"/>
      </w:rPr>
    </w:lvl>
    <w:lvl w:ilvl="8" w:tplc="C576C676" w:tentative="1">
      <w:start w:val="1"/>
      <w:numFmt w:val="bullet"/>
      <w:lvlText w:val=""/>
      <w:lvlJc w:val="left"/>
      <w:pPr>
        <w:ind w:left="6480" w:hanging="360"/>
      </w:pPr>
      <w:rPr>
        <w:rFonts w:ascii="Wingdings" w:hAnsi="Wingdings" w:hint="default"/>
      </w:rPr>
    </w:lvl>
  </w:abstractNum>
  <w:abstractNum w:abstractNumId="847" w15:restartNumberingAfterBreak="0">
    <w:nsid w:val="78D54E14"/>
    <w:multiLevelType w:val="multilevel"/>
    <w:tmpl w:val="46082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8" w15:restartNumberingAfterBreak="0">
    <w:nsid w:val="78D85944"/>
    <w:multiLevelType w:val="hybridMultilevel"/>
    <w:tmpl w:val="79D2E570"/>
    <w:lvl w:ilvl="0" w:tplc="69205B08">
      <w:start w:val="1"/>
      <w:numFmt w:val="bullet"/>
      <w:lvlText w:val=""/>
      <w:lvlJc w:val="left"/>
      <w:pPr>
        <w:ind w:left="720" w:hanging="360"/>
      </w:pPr>
      <w:rPr>
        <w:rFonts w:ascii="Symbol" w:hAnsi="Symbol" w:hint="default"/>
      </w:rPr>
    </w:lvl>
    <w:lvl w:ilvl="1" w:tplc="D67018D8">
      <w:start w:val="1"/>
      <w:numFmt w:val="bullet"/>
      <w:lvlText w:val="o"/>
      <w:lvlJc w:val="left"/>
      <w:pPr>
        <w:ind w:left="1440" w:hanging="360"/>
      </w:pPr>
      <w:rPr>
        <w:rFonts w:ascii="Courier New" w:hAnsi="Courier New" w:hint="default"/>
      </w:rPr>
    </w:lvl>
    <w:lvl w:ilvl="2" w:tplc="647A0604">
      <w:start w:val="1"/>
      <w:numFmt w:val="bullet"/>
      <w:lvlText w:val=""/>
      <w:lvlJc w:val="left"/>
      <w:pPr>
        <w:ind w:left="2160" w:hanging="360"/>
      </w:pPr>
      <w:rPr>
        <w:rFonts w:ascii="Wingdings" w:hAnsi="Wingdings" w:hint="default"/>
      </w:rPr>
    </w:lvl>
    <w:lvl w:ilvl="3" w:tplc="1CBE0654">
      <w:start w:val="1"/>
      <w:numFmt w:val="bullet"/>
      <w:lvlText w:val=""/>
      <w:lvlJc w:val="left"/>
      <w:pPr>
        <w:ind w:left="2880" w:hanging="360"/>
      </w:pPr>
      <w:rPr>
        <w:rFonts w:ascii="Symbol" w:hAnsi="Symbol" w:hint="default"/>
      </w:rPr>
    </w:lvl>
    <w:lvl w:ilvl="4" w:tplc="31ACF678">
      <w:start w:val="1"/>
      <w:numFmt w:val="bullet"/>
      <w:lvlText w:val="o"/>
      <w:lvlJc w:val="left"/>
      <w:pPr>
        <w:ind w:left="3600" w:hanging="360"/>
      </w:pPr>
      <w:rPr>
        <w:rFonts w:ascii="Courier New" w:hAnsi="Courier New" w:hint="default"/>
      </w:rPr>
    </w:lvl>
    <w:lvl w:ilvl="5" w:tplc="E7149E78">
      <w:start w:val="1"/>
      <w:numFmt w:val="bullet"/>
      <w:lvlText w:val=""/>
      <w:lvlJc w:val="left"/>
      <w:pPr>
        <w:ind w:left="4320" w:hanging="360"/>
      </w:pPr>
      <w:rPr>
        <w:rFonts w:ascii="Wingdings" w:hAnsi="Wingdings" w:hint="default"/>
      </w:rPr>
    </w:lvl>
    <w:lvl w:ilvl="6" w:tplc="0C36B930">
      <w:start w:val="1"/>
      <w:numFmt w:val="bullet"/>
      <w:lvlText w:val=""/>
      <w:lvlJc w:val="left"/>
      <w:pPr>
        <w:ind w:left="5040" w:hanging="360"/>
      </w:pPr>
      <w:rPr>
        <w:rFonts w:ascii="Symbol" w:hAnsi="Symbol" w:hint="default"/>
      </w:rPr>
    </w:lvl>
    <w:lvl w:ilvl="7" w:tplc="D7A8EC62">
      <w:start w:val="1"/>
      <w:numFmt w:val="bullet"/>
      <w:lvlText w:val="o"/>
      <w:lvlJc w:val="left"/>
      <w:pPr>
        <w:ind w:left="5760" w:hanging="360"/>
      </w:pPr>
      <w:rPr>
        <w:rFonts w:ascii="Courier New" w:hAnsi="Courier New" w:hint="default"/>
      </w:rPr>
    </w:lvl>
    <w:lvl w:ilvl="8" w:tplc="039A8A72">
      <w:start w:val="1"/>
      <w:numFmt w:val="bullet"/>
      <w:lvlText w:val=""/>
      <w:lvlJc w:val="left"/>
      <w:pPr>
        <w:ind w:left="6480" w:hanging="360"/>
      </w:pPr>
      <w:rPr>
        <w:rFonts w:ascii="Wingdings" w:hAnsi="Wingdings" w:hint="default"/>
      </w:rPr>
    </w:lvl>
  </w:abstractNum>
  <w:abstractNum w:abstractNumId="849" w15:restartNumberingAfterBreak="0">
    <w:nsid w:val="78FF2FAB"/>
    <w:multiLevelType w:val="multilevel"/>
    <w:tmpl w:val="F5B851D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50" w15:restartNumberingAfterBreak="0">
    <w:nsid w:val="791023D9"/>
    <w:multiLevelType w:val="multilevel"/>
    <w:tmpl w:val="F4643E9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51" w15:restartNumberingAfterBreak="0">
    <w:nsid w:val="79174B58"/>
    <w:multiLevelType w:val="multilevel"/>
    <w:tmpl w:val="4B02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2" w15:restartNumberingAfterBreak="0">
    <w:nsid w:val="791864E7"/>
    <w:multiLevelType w:val="hybridMultilevel"/>
    <w:tmpl w:val="83E2DBBA"/>
    <w:lvl w:ilvl="0" w:tplc="23BC5802">
      <w:start w:val="1"/>
      <w:numFmt w:val="bullet"/>
      <w:lvlText w:val=""/>
      <w:lvlJc w:val="left"/>
      <w:pPr>
        <w:ind w:left="720" w:hanging="360"/>
      </w:pPr>
      <w:rPr>
        <w:rFonts w:ascii="Symbol" w:hAnsi="Symbol" w:hint="default"/>
      </w:rPr>
    </w:lvl>
    <w:lvl w:ilvl="1" w:tplc="9EACB384" w:tentative="1">
      <w:start w:val="1"/>
      <w:numFmt w:val="bullet"/>
      <w:lvlText w:val="o"/>
      <w:lvlJc w:val="left"/>
      <w:pPr>
        <w:ind w:left="1440" w:hanging="360"/>
      </w:pPr>
      <w:rPr>
        <w:rFonts w:ascii="Courier New" w:hAnsi="Courier New" w:hint="default"/>
      </w:rPr>
    </w:lvl>
    <w:lvl w:ilvl="2" w:tplc="726E5124" w:tentative="1">
      <w:start w:val="1"/>
      <w:numFmt w:val="bullet"/>
      <w:lvlText w:val=""/>
      <w:lvlJc w:val="left"/>
      <w:pPr>
        <w:ind w:left="2160" w:hanging="360"/>
      </w:pPr>
      <w:rPr>
        <w:rFonts w:ascii="Wingdings" w:hAnsi="Wingdings" w:hint="default"/>
      </w:rPr>
    </w:lvl>
    <w:lvl w:ilvl="3" w:tplc="40847C10" w:tentative="1">
      <w:start w:val="1"/>
      <w:numFmt w:val="bullet"/>
      <w:lvlText w:val=""/>
      <w:lvlJc w:val="left"/>
      <w:pPr>
        <w:ind w:left="2880" w:hanging="360"/>
      </w:pPr>
      <w:rPr>
        <w:rFonts w:ascii="Symbol" w:hAnsi="Symbol" w:hint="default"/>
      </w:rPr>
    </w:lvl>
    <w:lvl w:ilvl="4" w:tplc="F9AA7EEC" w:tentative="1">
      <w:start w:val="1"/>
      <w:numFmt w:val="bullet"/>
      <w:lvlText w:val="o"/>
      <w:lvlJc w:val="left"/>
      <w:pPr>
        <w:ind w:left="3600" w:hanging="360"/>
      </w:pPr>
      <w:rPr>
        <w:rFonts w:ascii="Courier New" w:hAnsi="Courier New" w:hint="default"/>
      </w:rPr>
    </w:lvl>
    <w:lvl w:ilvl="5" w:tplc="81DE9624" w:tentative="1">
      <w:start w:val="1"/>
      <w:numFmt w:val="bullet"/>
      <w:lvlText w:val=""/>
      <w:lvlJc w:val="left"/>
      <w:pPr>
        <w:ind w:left="4320" w:hanging="360"/>
      </w:pPr>
      <w:rPr>
        <w:rFonts w:ascii="Wingdings" w:hAnsi="Wingdings" w:hint="default"/>
      </w:rPr>
    </w:lvl>
    <w:lvl w:ilvl="6" w:tplc="4F98E72E" w:tentative="1">
      <w:start w:val="1"/>
      <w:numFmt w:val="bullet"/>
      <w:lvlText w:val=""/>
      <w:lvlJc w:val="left"/>
      <w:pPr>
        <w:ind w:left="5040" w:hanging="360"/>
      </w:pPr>
      <w:rPr>
        <w:rFonts w:ascii="Symbol" w:hAnsi="Symbol" w:hint="default"/>
      </w:rPr>
    </w:lvl>
    <w:lvl w:ilvl="7" w:tplc="580063CA" w:tentative="1">
      <w:start w:val="1"/>
      <w:numFmt w:val="bullet"/>
      <w:lvlText w:val="o"/>
      <w:lvlJc w:val="left"/>
      <w:pPr>
        <w:ind w:left="5760" w:hanging="360"/>
      </w:pPr>
      <w:rPr>
        <w:rFonts w:ascii="Courier New" w:hAnsi="Courier New" w:hint="default"/>
      </w:rPr>
    </w:lvl>
    <w:lvl w:ilvl="8" w:tplc="BA2E1CD4" w:tentative="1">
      <w:start w:val="1"/>
      <w:numFmt w:val="bullet"/>
      <w:lvlText w:val=""/>
      <w:lvlJc w:val="left"/>
      <w:pPr>
        <w:ind w:left="6480" w:hanging="360"/>
      </w:pPr>
      <w:rPr>
        <w:rFonts w:ascii="Wingdings" w:hAnsi="Wingdings" w:hint="default"/>
      </w:rPr>
    </w:lvl>
  </w:abstractNum>
  <w:abstractNum w:abstractNumId="853" w15:restartNumberingAfterBreak="0">
    <w:nsid w:val="79306C59"/>
    <w:multiLevelType w:val="multilevel"/>
    <w:tmpl w:val="CE8421D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54" w15:restartNumberingAfterBreak="0">
    <w:nsid w:val="793B26DB"/>
    <w:multiLevelType w:val="multilevel"/>
    <w:tmpl w:val="CF9AF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5" w15:restartNumberingAfterBreak="0">
    <w:nsid w:val="793C36D2"/>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6" w15:restartNumberingAfterBreak="0">
    <w:nsid w:val="79673A9E"/>
    <w:multiLevelType w:val="hybridMultilevel"/>
    <w:tmpl w:val="1D02455E"/>
    <w:lvl w:ilvl="0" w:tplc="CE4487CC">
      <w:start w:val="1"/>
      <w:numFmt w:val="bullet"/>
      <w:lvlText w:val=""/>
      <w:lvlJc w:val="left"/>
      <w:pPr>
        <w:ind w:left="720" w:hanging="360"/>
      </w:pPr>
      <w:rPr>
        <w:rFonts w:ascii="Symbol" w:hAnsi="Symbol" w:hint="default"/>
      </w:rPr>
    </w:lvl>
    <w:lvl w:ilvl="1" w:tplc="0494F386" w:tentative="1">
      <w:start w:val="1"/>
      <w:numFmt w:val="bullet"/>
      <w:lvlText w:val="o"/>
      <w:lvlJc w:val="left"/>
      <w:pPr>
        <w:ind w:left="1440" w:hanging="360"/>
      </w:pPr>
      <w:rPr>
        <w:rFonts w:ascii="Courier New" w:hAnsi="Courier New" w:hint="default"/>
      </w:rPr>
    </w:lvl>
    <w:lvl w:ilvl="2" w:tplc="08CA6FEE" w:tentative="1">
      <w:start w:val="1"/>
      <w:numFmt w:val="bullet"/>
      <w:lvlText w:val=""/>
      <w:lvlJc w:val="left"/>
      <w:pPr>
        <w:ind w:left="2160" w:hanging="360"/>
      </w:pPr>
      <w:rPr>
        <w:rFonts w:ascii="Wingdings" w:hAnsi="Wingdings" w:hint="default"/>
      </w:rPr>
    </w:lvl>
    <w:lvl w:ilvl="3" w:tplc="907C8F22" w:tentative="1">
      <w:start w:val="1"/>
      <w:numFmt w:val="bullet"/>
      <w:lvlText w:val=""/>
      <w:lvlJc w:val="left"/>
      <w:pPr>
        <w:ind w:left="2880" w:hanging="360"/>
      </w:pPr>
      <w:rPr>
        <w:rFonts w:ascii="Symbol" w:hAnsi="Symbol" w:hint="default"/>
      </w:rPr>
    </w:lvl>
    <w:lvl w:ilvl="4" w:tplc="98F0A03A" w:tentative="1">
      <w:start w:val="1"/>
      <w:numFmt w:val="bullet"/>
      <w:lvlText w:val="o"/>
      <w:lvlJc w:val="left"/>
      <w:pPr>
        <w:ind w:left="3600" w:hanging="360"/>
      </w:pPr>
      <w:rPr>
        <w:rFonts w:ascii="Courier New" w:hAnsi="Courier New" w:hint="default"/>
      </w:rPr>
    </w:lvl>
    <w:lvl w:ilvl="5" w:tplc="77AA44E4" w:tentative="1">
      <w:start w:val="1"/>
      <w:numFmt w:val="bullet"/>
      <w:lvlText w:val=""/>
      <w:lvlJc w:val="left"/>
      <w:pPr>
        <w:ind w:left="4320" w:hanging="360"/>
      </w:pPr>
      <w:rPr>
        <w:rFonts w:ascii="Wingdings" w:hAnsi="Wingdings" w:hint="default"/>
      </w:rPr>
    </w:lvl>
    <w:lvl w:ilvl="6" w:tplc="436AB842" w:tentative="1">
      <w:start w:val="1"/>
      <w:numFmt w:val="bullet"/>
      <w:lvlText w:val=""/>
      <w:lvlJc w:val="left"/>
      <w:pPr>
        <w:ind w:left="5040" w:hanging="360"/>
      </w:pPr>
      <w:rPr>
        <w:rFonts w:ascii="Symbol" w:hAnsi="Symbol" w:hint="default"/>
      </w:rPr>
    </w:lvl>
    <w:lvl w:ilvl="7" w:tplc="7310BD7E" w:tentative="1">
      <w:start w:val="1"/>
      <w:numFmt w:val="bullet"/>
      <w:lvlText w:val="o"/>
      <w:lvlJc w:val="left"/>
      <w:pPr>
        <w:ind w:left="5760" w:hanging="360"/>
      </w:pPr>
      <w:rPr>
        <w:rFonts w:ascii="Courier New" w:hAnsi="Courier New" w:hint="default"/>
      </w:rPr>
    </w:lvl>
    <w:lvl w:ilvl="8" w:tplc="354ADEDC" w:tentative="1">
      <w:start w:val="1"/>
      <w:numFmt w:val="bullet"/>
      <w:lvlText w:val=""/>
      <w:lvlJc w:val="left"/>
      <w:pPr>
        <w:ind w:left="6480" w:hanging="360"/>
      </w:pPr>
      <w:rPr>
        <w:rFonts w:ascii="Wingdings" w:hAnsi="Wingdings" w:hint="default"/>
      </w:rPr>
    </w:lvl>
  </w:abstractNum>
  <w:abstractNum w:abstractNumId="857" w15:restartNumberingAfterBreak="0">
    <w:nsid w:val="79B56075"/>
    <w:multiLevelType w:val="multilevel"/>
    <w:tmpl w:val="52249750"/>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58" w15:restartNumberingAfterBreak="0">
    <w:nsid w:val="7AAC6C40"/>
    <w:multiLevelType w:val="hybridMultilevel"/>
    <w:tmpl w:val="EDA098D4"/>
    <w:lvl w:ilvl="0" w:tplc="064E4E90">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5C86152E" w:tentative="1">
      <w:start w:val="1"/>
      <w:numFmt w:val="bullet"/>
      <w:lvlText w:val="o"/>
      <w:lvlJc w:val="left"/>
      <w:pPr>
        <w:ind w:left="1440" w:hanging="360"/>
      </w:pPr>
      <w:rPr>
        <w:rFonts w:ascii="Courier New" w:hAnsi="Courier New" w:hint="default"/>
      </w:rPr>
    </w:lvl>
    <w:lvl w:ilvl="2" w:tplc="D09CA8B0" w:tentative="1">
      <w:start w:val="1"/>
      <w:numFmt w:val="bullet"/>
      <w:lvlText w:val=""/>
      <w:lvlJc w:val="left"/>
      <w:pPr>
        <w:ind w:left="2160" w:hanging="360"/>
      </w:pPr>
      <w:rPr>
        <w:rFonts w:ascii="Wingdings" w:hAnsi="Wingdings" w:hint="default"/>
      </w:rPr>
    </w:lvl>
    <w:lvl w:ilvl="3" w:tplc="0E7C2E6A" w:tentative="1">
      <w:start w:val="1"/>
      <w:numFmt w:val="bullet"/>
      <w:lvlText w:val=""/>
      <w:lvlJc w:val="left"/>
      <w:pPr>
        <w:ind w:left="2880" w:hanging="360"/>
      </w:pPr>
      <w:rPr>
        <w:rFonts w:ascii="Symbol" w:hAnsi="Symbol" w:hint="default"/>
      </w:rPr>
    </w:lvl>
    <w:lvl w:ilvl="4" w:tplc="081441E8" w:tentative="1">
      <w:start w:val="1"/>
      <w:numFmt w:val="bullet"/>
      <w:lvlText w:val="o"/>
      <w:lvlJc w:val="left"/>
      <w:pPr>
        <w:ind w:left="3600" w:hanging="360"/>
      </w:pPr>
      <w:rPr>
        <w:rFonts w:ascii="Courier New" w:hAnsi="Courier New" w:hint="default"/>
      </w:rPr>
    </w:lvl>
    <w:lvl w:ilvl="5" w:tplc="F6D6F170" w:tentative="1">
      <w:start w:val="1"/>
      <w:numFmt w:val="bullet"/>
      <w:lvlText w:val=""/>
      <w:lvlJc w:val="left"/>
      <w:pPr>
        <w:ind w:left="4320" w:hanging="360"/>
      </w:pPr>
      <w:rPr>
        <w:rFonts w:ascii="Wingdings" w:hAnsi="Wingdings" w:hint="default"/>
      </w:rPr>
    </w:lvl>
    <w:lvl w:ilvl="6" w:tplc="F18C2504" w:tentative="1">
      <w:start w:val="1"/>
      <w:numFmt w:val="bullet"/>
      <w:lvlText w:val=""/>
      <w:lvlJc w:val="left"/>
      <w:pPr>
        <w:ind w:left="5040" w:hanging="360"/>
      </w:pPr>
      <w:rPr>
        <w:rFonts w:ascii="Symbol" w:hAnsi="Symbol" w:hint="default"/>
      </w:rPr>
    </w:lvl>
    <w:lvl w:ilvl="7" w:tplc="63868C5E" w:tentative="1">
      <w:start w:val="1"/>
      <w:numFmt w:val="bullet"/>
      <w:lvlText w:val="o"/>
      <w:lvlJc w:val="left"/>
      <w:pPr>
        <w:ind w:left="5760" w:hanging="360"/>
      </w:pPr>
      <w:rPr>
        <w:rFonts w:ascii="Courier New" w:hAnsi="Courier New" w:hint="default"/>
      </w:rPr>
    </w:lvl>
    <w:lvl w:ilvl="8" w:tplc="589274AC" w:tentative="1">
      <w:start w:val="1"/>
      <w:numFmt w:val="bullet"/>
      <w:lvlText w:val=""/>
      <w:lvlJc w:val="left"/>
      <w:pPr>
        <w:ind w:left="6480" w:hanging="360"/>
      </w:pPr>
      <w:rPr>
        <w:rFonts w:ascii="Wingdings" w:hAnsi="Wingdings" w:hint="default"/>
      </w:rPr>
    </w:lvl>
  </w:abstractNum>
  <w:abstractNum w:abstractNumId="859" w15:restartNumberingAfterBreak="0">
    <w:nsid w:val="7ADA3DC2"/>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0" w15:restartNumberingAfterBreak="0">
    <w:nsid w:val="7ADE6ED2"/>
    <w:multiLevelType w:val="multilevel"/>
    <w:tmpl w:val="8F16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1" w15:restartNumberingAfterBreak="0">
    <w:nsid w:val="7AF32045"/>
    <w:multiLevelType w:val="multilevel"/>
    <w:tmpl w:val="4CEEB14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62" w15:restartNumberingAfterBreak="0">
    <w:nsid w:val="7AFE27AB"/>
    <w:multiLevelType w:val="multilevel"/>
    <w:tmpl w:val="043CC02E"/>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63" w15:restartNumberingAfterBreak="0">
    <w:nsid w:val="7B0962B5"/>
    <w:multiLevelType w:val="hybridMultilevel"/>
    <w:tmpl w:val="2D383A86"/>
    <w:lvl w:ilvl="0" w:tplc="05FCF518">
      <w:start w:val="1"/>
      <w:numFmt w:val="bullet"/>
      <w:lvlText w:val=""/>
      <w:lvlJc w:val="left"/>
      <w:pPr>
        <w:ind w:left="720" w:hanging="360"/>
      </w:pPr>
      <w:rPr>
        <w:rFonts w:ascii="Symbol" w:hAnsi="Symbol" w:hint="default"/>
      </w:rPr>
    </w:lvl>
    <w:lvl w:ilvl="1" w:tplc="39EC8D60" w:tentative="1">
      <w:start w:val="1"/>
      <w:numFmt w:val="bullet"/>
      <w:lvlText w:val="o"/>
      <w:lvlJc w:val="left"/>
      <w:pPr>
        <w:ind w:left="1440" w:hanging="360"/>
      </w:pPr>
      <w:rPr>
        <w:rFonts w:ascii="Courier New" w:hAnsi="Courier New" w:hint="default"/>
      </w:rPr>
    </w:lvl>
    <w:lvl w:ilvl="2" w:tplc="220CA1DC" w:tentative="1">
      <w:start w:val="1"/>
      <w:numFmt w:val="bullet"/>
      <w:lvlText w:val=""/>
      <w:lvlJc w:val="left"/>
      <w:pPr>
        <w:ind w:left="2160" w:hanging="360"/>
      </w:pPr>
      <w:rPr>
        <w:rFonts w:ascii="Wingdings" w:hAnsi="Wingdings" w:hint="default"/>
      </w:rPr>
    </w:lvl>
    <w:lvl w:ilvl="3" w:tplc="072201AE" w:tentative="1">
      <w:start w:val="1"/>
      <w:numFmt w:val="bullet"/>
      <w:lvlText w:val=""/>
      <w:lvlJc w:val="left"/>
      <w:pPr>
        <w:ind w:left="2880" w:hanging="360"/>
      </w:pPr>
      <w:rPr>
        <w:rFonts w:ascii="Symbol" w:hAnsi="Symbol" w:hint="default"/>
      </w:rPr>
    </w:lvl>
    <w:lvl w:ilvl="4" w:tplc="E75EBD74" w:tentative="1">
      <w:start w:val="1"/>
      <w:numFmt w:val="bullet"/>
      <w:lvlText w:val="o"/>
      <w:lvlJc w:val="left"/>
      <w:pPr>
        <w:ind w:left="3600" w:hanging="360"/>
      </w:pPr>
      <w:rPr>
        <w:rFonts w:ascii="Courier New" w:hAnsi="Courier New" w:hint="default"/>
      </w:rPr>
    </w:lvl>
    <w:lvl w:ilvl="5" w:tplc="BC6E5D26" w:tentative="1">
      <w:start w:val="1"/>
      <w:numFmt w:val="bullet"/>
      <w:lvlText w:val=""/>
      <w:lvlJc w:val="left"/>
      <w:pPr>
        <w:ind w:left="4320" w:hanging="360"/>
      </w:pPr>
      <w:rPr>
        <w:rFonts w:ascii="Wingdings" w:hAnsi="Wingdings" w:hint="default"/>
      </w:rPr>
    </w:lvl>
    <w:lvl w:ilvl="6" w:tplc="E8E08D44" w:tentative="1">
      <w:start w:val="1"/>
      <w:numFmt w:val="bullet"/>
      <w:lvlText w:val=""/>
      <w:lvlJc w:val="left"/>
      <w:pPr>
        <w:ind w:left="5040" w:hanging="360"/>
      </w:pPr>
      <w:rPr>
        <w:rFonts w:ascii="Symbol" w:hAnsi="Symbol" w:hint="default"/>
      </w:rPr>
    </w:lvl>
    <w:lvl w:ilvl="7" w:tplc="FFE6B662" w:tentative="1">
      <w:start w:val="1"/>
      <w:numFmt w:val="bullet"/>
      <w:lvlText w:val="o"/>
      <w:lvlJc w:val="left"/>
      <w:pPr>
        <w:ind w:left="5760" w:hanging="360"/>
      </w:pPr>
      <w:rPr>
        <w:rFonts w:ascii="Courier New" w:hAnsi="Courier New" w:hint="default"/>
      </w:rPr>
    </w:lvl>
    <w:lvl w:ilvl="8" w:tplc="7D106A6E" w:tentative="1">
      <w:start w:val="1"/>
      <w:numFmt w:val="bullet"/>
      <w:lvlText w:val=""/>
      <w:lvlJc w:val="left"/>
      <w:pPr>
        <w:ind w:left="6480" w:hanging="360"/>
      </w:pPr>
      <w:rPr>
        <w:rFonts w:ascii="Wingdings" w:hAnsi="Wingdings" w:hint="default"/>
      </w:rPr>
    </w:lvl>
  </w:abstractNum>
  <w:abstractNum w:abstractNumId="864" w15:restartNumberingAfterBreak="0">
    <w:nsid w:val="7B216D7A"/>
    <w:multiLevelType w:val="hybridMultilevel"/>
    <w:tmpl w:val="F6944C8E"/>
    <w:lvl w:ilvl="0" w:tplc="F9F868DC">
      <w:start w:val="1"/>
      <w:numFmt w:val="bullet"/>
      <w:lvlText w:val=""/>
      <w:lvlJc w:val="left"/>
      <w:pPr>
        <w:ind w:left="1080" w:hanging="360"/>
      </w:pPr>
      <w:rPr>
        <w:rFonts w:ascii="Symbol" w:hAnsi="Symbol" w:hint="default"/>
      </w:rPr>
    </w:lvl>
    <w:lvl w:ilvl="1" w:tplc="343C5562" w:tentative="1">
      <w:start w:val="1"/>
      <w:numFmt w:val="bullet"/>
      <w:lvlText w:val="o"/>
      <w:lvlJc w:val="left"/>
      <w:pPr>
        <w:ind w:left="1800" w:hanging="360"/>
      </w:pPr>
      <w:rPr>
        <w:rFonts w:ascii="Courier New" w:hAnsi="Courier New" w:hint="default"/>
      </w:rPr>
    </w:lvl>
    <w:lvl w:ilvl="2" w:tplc="F6F476C4" w:tentative="1">
      <w:start w:val="1"/>
      <w:numFmt w:val="bullet"/>
      <w:lvlText w:val=""/>
      <w:lvlJc w:val="left"/>
      <w:pPr>
        <w:ind w:left="2520" w:hanging="360"/>
      </w:pPr>
      <w:rPr>
        <w:rFonts w:ascii="Wingdings" w:hAnsi="Wingdings" w:hint="default"/>
      </w:rPr>
    </w:lvl>
    <w:lvl w:ilvl="3" w:tplc="D4C63826" w:tentative="1">
      <w:start w:val="1"/>
      <w:numFmt w:val="bullet"/>
      <w:lvlText w:val=""/>
      <w:lvlJc w:val="left"/>
      <w:pPr>
        <w:ind w:left="3240" w:hanging="360"/>
      </w:pPr>
      <w:rPr>
        <w:rFonts w:ascii="Symbol" w:hAnsi="Symbol" w:hint="default"/>
      </w:rPr>
    </w:lvl>
    <w:lvl w:ilvl="4" w:tplc="52EEED8A" w:tentative="1">
      <w:start w:val="1"/>
      <w:numFmt w:val="bullet"/>
      <w:lvlText w:val="o"/>
      <w:lvlJc w:val="left"/>
      <w:pPr>
        <w:ind w:left="3960" w:hanging="360"/>
      </w:pPr>
      <w:rPr>
        <w:rFonts w:ascii="Courier New" w:hAnsi="Courier New" w:hint="default"/>
      </w:rPr>
    </w:lvl>
    <w:lvl w:ilvl="5" w:tplc="4E5CB1F6" w:tentative="1">
      <w:start w:val="1"/>
      <w:numFmt w:val="bullet"/>
      <w:lvlText w:val=""/>
      <w:lvlJc w:val="left"/>
      <w:pPr>
        <w:ind w:left="4680" w:hanging="360"/>
      </w:pPr>
      <w:rPr>
        <w:rFonts w:ascii="Wingdings" w:hAnsi="Wingdings" w:hint="default"/>
      </w:rPr>
    </w:lvl>
    <w:lvl w:ilvl="6" w:tplc="C4103AFE" w:tentative="1">
      <w:start w:val="1"/>
      <w:numFmt w:val="bullet"/>
      <w:lvlText w:val=""/>
      <w:lvlJc w:val="left"/>
      <w:pPr>
        <w:ind w:left="5400" w:hanging="360"/>
      </w:pPr>
      <w:rPr>
        <w:rFonts w:ascii="Symbol" w:hAnsi="Symbol" w:hint="default"/>
      </w:rPr>
    </w:lvl>
    <w:lvl w:ilvl="7" w:tplc="98DE1FB4" w:tentative="1">
      <w:start w:val="1"/>
      <w:numFmt w:val="bullet"/>
      <w:lvlText w:val="o"/>
      <w:lvlJc w:val="left"/>
      <w:pPr>
        <w:ind w:left="6120" w:hanging="360"/>
      </w:pPr>
      <w:rPr>
        <w:rFonts w:ascii="Courier New" w:hAnsi="Courier New" w:hint="default"/>
      </w:rPr>
    </w:lvl>
    <w:lvl w:ilvl="8" w:tplc="94ACEFA0" w:tentative="1">
      <w:start w:val="1"/>
      <w:numFmt w:val="bullet"/>
      <w:lvlText w:val=""/>
      <w:lvlJc w:val="left"/>
      <w:pPr>
        <w:ind w:left="6840" w:hanging="360"/>
      </w:pPr>
      <w:rPr>
        <w:rFonts w:ascii="Wingdings" w:hAnsi="Wingdings" w:hint="default"/>
      </w:rPr>
    </w:lvl>
  </w:abstractNum>
  <w:abstractNum w:abstractNumId="865" w15:restartNumberingAfterBreak="0">
    <w:nsid w:val="7B3E4851"/>
    <w:multiLevelType w:val="multilevel"/>
    <w:tmpl w:val="006EE58C"/>
    <w:lvl w:ilvl="0">
      <w:start w:val="3"/>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66" w15:restartNumberingAfterBreak="0">
    <w:nsid w:val="7B471714"/>
    <w:multiLevelType w:val="multilevel"/>
    <w:tmpl w:val="404AAFD6"/>
    <w:lvl w:ilvl="0">
      <w:start w:val="3"/>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867" w15:restartNumberingAfterBreak="0">
    <w:nsid w:val="7B5663F3"/>
    <w:multiLevelType w:val="multilevel"/>
    <w:tmpl w:val="57582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8" w15:restartNumberingAfterBreak="0">
    <w:nsid w:val="7B605E93"/>
    <w:multiLevelType w:val="hybridMultilevel"/>
    <w:tmpl w:val="F3604940"/>
    <w:lvl w:ilvl="0" w:tplc="DFCE64CC">
      <w:numFmt w:val="bullet"/>
      <w:lvlText w:val=""/>
      <w:lvlJc w:val="left"/>
      <w:pPr>
        <w:ind w:left="1080" w:hanging="361"/>
      </w:pPr>
      <w:rPr>
        <w:rFonts w:ascii="Symbol" w:hAnsi="Symbol" w:hint="default"/>
        <w:b w:val="0"/>
        <w:bCs w:val="0"/>
        <w:i w:val="0"/>
        <w:iCs w:val="0"/>
        <w:spacing w:val="0"/>
        <w:w w:val="100"/>
        <w:sz w:val="22"/>
        <w:szCs w:val="22"/>
        <w:lang w:val="en-US" w:eastAsia="en-US" w:bidi="ar-SA"/>
      </w:rPr>
    </w:lvl>
    <w:lvl w:ilvl="1" w:tplc="7324D0B8" w:tentative="1">
      <w:start w:val="1"/>
      <w:numFmt w:val="bullet"/>
      <w:lvlText w:val="o"/>
      <w:lvlJc w:val="left"/>
      <w:pPr>
        <w:ind w:left="1440" w:hanging="360"/>
      </w:pPr>
      <w:rPr>
        <w:rFonts w:ascii="Courier New" w:hAnsi="Courier New" w:hint="default"/>
      </w:rPr>
    </w:lvl>
    <w:lvl w:ilvl="2" w:tplc="A3D6EDB8" w:tentative="1">
      <w:start w:val="1"/>
      <w:numFmt w:val="bullet"/>
      <w:lvlText w:val=""/>
      <w:lvlJc w:val="left"/>
      <w:pPr>
        <w:ind w:left="2160" w:hanging="360"/>
      </w:pPr>
      <w:rPr>
        <w:rFonts w:ascii="Wingdings" w:hAnsi="Wingdings" w:hint="default"/>
      </w:rPr>
    </w:lvl>
    <w:lvl w:ilvl="3" w:tplc="534AC954" w:tentative="1">
      <w:start w:val="1"/>
      <w:numFmt w:val="bullet"/>
      <w:lvlText w:val=""/>
      <w:lvlJc w:val="left"/>
      <w:pPr>
        <w:ind w:left="2880" w:hanging="360"/>
      </w:pPr>
      <w:rPr>
        <w:rFonts w:ascii="Symbol" w:hAnsi="Symbol" w:hint="default"/>
      </w:rPr>
    </w:lvl>
    <w:lvl w:ilvl="4" w:tplc="411AD204" w:tentative="1">
      <w:start w:val="1"/>
      <w:numFmt w:val="bullet"/>
      <w:lvlText w:val="o"/>
      <w:lvlJc w:val="left"/>
      <w:pPr>
        <w:ind w:left="3600" w:hanging="360"/>
      </w:pPr>
      <w:rPr>
        <w:rFonts w:ascii="Courier New" w:hAnsi="Courier New" w:hint="default"/>
      </w:rPr>
    </w:lvl>
    <w:lvl w:ilvl="5" w:tplc="9CDE59B2" w:tentative="1">
      <w:start w:val="1"/>
      <w:numFmt w:val="bullet"/>
      <w:lvlText w:val=""/>
      <w:lvlJc w:val="left"/>
      <w:pPr>
        <w:ind w:left="4320" w:hanging="360"/>
      </w:pPr>
      <w:rPr>
        <w:rFonts w:ascii="Wingdings" w:hAnsi="Wingdings" w:hint="default"/>
      </w:rPr>
    </w:lvl>
    <w:lvl w:ilvl="6" w:tplc="9C7474C0" w:tentative="1">
      <w:start w:val="1"/>
      <w:numFmt w:val="bullet"/>
      <w:lvlText w:val=""/>
      <w:lvlJc w:val="left"/>
      <w:pPr>
        <w:ind w:left="5040" w:hanging="360"/>
      </w:pPr>
      <w:rPr>
        <w:rFonts w:ascii="Symbol" w:hAnsi="Symbol" w:hint="default"/>
      </w:rPr>
    </w:lvl>
    <w:lvl w:ilvl="7" w:tplc="6E0430EC" w:tentative="1">
      <w:start w:val="1"/>
      <w:numFmt w:val="bullet"/>
      <w:lvlText w:val="o"/>
      <w:lvlJc w:val="left"/>
      <w:pPr>
        <w:ind w:left="5760" w:hanging="360"/>
      </w:pPr>
      <w:rPr>
        <w:rFonts w:ascii="Courier New" w:hAnsi="Courier New" w:hint="default"/>
      </w:rPr>
    </w:lvl>
    <w:lvl w:ilvl="8" w:tplc="2962EA80" w:tentative="1">
      <w:start w:val="1"/>
      <w:numFmt w:val="bullet"/>
      <w:lvlText w:val=""/>
      <w:lvlJc w:val="left"/>
      <w:pPr>
        <w:ind w:left="6480" w:hanging="360"/>
      </w:pPr>
      <w:rPr>
        <w:rFonts w:ascii="Wingdings" w:hAnsi="Wingdings" w:hint="default"/>
      </w:rPr>
    </w:lvl>
  </w:abstractNum>
  <w:abstractNum w:abstractNumId="869" w15:restartNumberingAfterBreak="0">
    <w:nsid w:val="7B7B5EFE"/>
    <w:multiLevelType w:val="multilevel"/>
    <w:tmpl w:val="E3584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870" w15:restartNumberingAfterBreak="0">
    <w:nsid w:val="7BD14C8F"/>
    <w:multiLevelType w:val="multilevel"/>
    <w:tmpl w:val="8F40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1" w15:restartNumberingAfterBreak="0">
    <w:nsid w:val="7BDB589E"/>
    <w:multiLevelType w:val="multilevel"/>
    <w:tmpl w:val="62AE1A96"/>
    <w:lvl w:ilvl="0">
      <w:start w:val="1"/>
      <w:numFmt w:val="decimal"/>
      <w:lvlText w:val="%1."/>
      <w:lvlJc w:val="left"/>
      <w:pPr>
        <w:ind w:left="360" w:firstLine="0"/>
      </w:pPr>
    </w:lvl>
    <w:lvl w:ilvl="1">
      <w:start w:val="1"/>
      <w:numFmt w:val="lowerLetter"/>
      <w:lvlText w:val="%2)"/>
      <w:lvlJc w:val="left"/>
      <w:pPr>
        <w:ind w:left="720" w:firstLine="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2" w15:restartNumberingAfterBreak="0">
    <w:nsid w:val="7C092C5B"/>
    <w:multiLevelType w:val="multilevel"/>
    <w:tmpl w:val="9D2C1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3" w15:restartNumberingAfterBreak="0">
    <w:nsid w:val="7C121CA8"/>
    <w:multiLevelType w:val="hybridMultilevel"/>
    <w:tmpl w:val="01BE5304"/>
    <w:lvl w:ilvl="0" w:tplc="D5C2286C">
      <w:start w:val="1"/>
      <w:numFmt w:val="bullet"/>
      <w:lvlText w:val=""/>
      <w:lvlJc w:val="left"/>
      <w:pPr>
        <w:ind w:left="720" w:hanging="360"/>
      </w:pPr>
      <w:rPr>
        <w:rFonts w:ascii="Symbol" w:hAnsi="Symbol" w:hint="default"/>
      </w:rPr>
    </w:lvl>
    <w:lvl w:ilvl="1" w:tplc="39B2BEE6" w:tentative="1">
      <w:start w:val="1"/>
      <w:numFmt w:val="bullet"/>
      <w:lvlText w:val="o"/>
      <w:lvlJc w:val="left"/>
      <w:pPr>
        <w:ind w:left="1440" w:hanging="360"/>
      </w:pPr>
      <w:rPr>
        <w:rFonts w:ascii="Courier New" w:hAnsi="Courier New" w:hint="default"/>
      </w:rPr>
    </w:lvl>
    <w:lvl w:ilvl="2" w:tplc="F530C8AA" w:tentative="1">
      <w:start w:val="1"/>
      <w:numFmt w:val="bullet"/>
      <w:lvlText w:val=""/>
      <w:lvlJc w:val="left"/>
      <w:pPr>
        <w:ind w:left="2160" w:hanging="360"/>
      </w:pPr>
      <w:rPr>
        <w:rFonts w:ascii="Wingdings" w:hAnsi="Wingdings" w:hint="default"/>
      </w:rPr>
    </w:lvl>
    <w:lvl w:ilvl="3" w:tplc="CEE4B690" w:tentative="1">
      <w:start w:val="1"/>
      <w:numFmt w:val="bullet"/>
      <w:lvlText w:val=""/>
      <w:lvlJc w:val="left"/>
      <w:pPr>
        <w:ind w:left="2880" w:hanging="360"/>
      </w:pPr>
      <w:rPr>
        <w:rFonts w:ascii="Symbol" w:hAnsi="Symbol" w:hint="default"/>
      </w:rPr>
    </w:lvl>
    <w:lvl w:ilvl="4" w:tplc="335EF702" w:tentative="1">
      <w:start w:val="1"/>
      <w:numFmt w:val="bullet"/>
      <w:lvlText w:val="o"/>
      <w:lvlJc w:val="left"/>
      <w:pPr>
        <w:ind w:left="3600" w:hanging="360"/>
      </w:pPr>
      <w:rPr>
        <w:rFonts w:ascii="Courier New" w:hAnsi="Courier New" w:hint="default"/>
      </w:rPr>
    </w:lvl>
    <w:lvl w:ilvl="5" w:tplc="CC766C44" w:tentative="1">
      <w:start w:val="1"/>
      <w:numFmt w:val="bullet"/>
      <w:lvlText w:val=""/>
      <w:lvlJc w:val="left"/>
      <w:pPr>
        <w:ind w:left="4320" w:hanging="360"/>
      </w:pPr>
      <w:rPr>
        <w:rFonts w:ascii="Wingdings" w:hAnsi="Wingdings" w:hint="default"/>
      </w:rPr>
    </w:lvl>
    <w:lvl w:ilvl="6" w:tplc="D8BAE088" w:tentative="1">
      <w:start w:val="1"/>
      <w:numFmt w:val="bullet"/>
      <w:lvlText w:val=""/>
      <w:lvlJc w:val="left"/>
      <w:pPr>
        <w:ind w:left="5040" w:hanging="360"/>
      </w:pPr>
      <w:rPr>
        <w:rFonts w:ascii="Symbol" w:hAnsi="Symbol" w:hint="default"/>
      </w:rPr>
    </w:lvl>
    <w:lvl w:ilvl="7" w:tplc="48601840" w:tentative="1">
      <w:start w:val="1"/>
      <w:numFmt w:val="bullet"/>
      <w:lvlText w:val="o"/>
      <w:lvlJc w:val="left"/>
      <w:pPr>
        <w:ind w:left="5760" w:hanging="360"/>
      </w:pPr>
      <w:rPr>
        <w:rFonts w:ascii="Courier New" w:hAnsi="Courier New" w:hint="default"/>
      </w:rPr>
    </w:lvl>
    <w:lvl w:ilvl="8" w:tplc="B516C524" w:tentative="1">
      <w:start w:val="1"/>
      <w:numFmt w:val="bullet"/>
      <w:lvlText w:val=""/>
      <w:lvlJc w:val="left"/>
      <w:pPr>
        <w:ind w:left="6480" w:hanging="360"/>
      </w:pPr>
      <w:rPr>
        <w:rFonts w:ascii="Wingdings" w:hAnsi="Wingdings" w:hint="default"/>
      </w:rPr>
    </w:lvl>
  </w:abstractNum>
  <w:abstractNum w:abstractNumId="874" w15:restartNumberingAfterBreak="0">
    <w:nsid w:val="7C1B5E22"/>
    <w:multiLevelType w:val="multilevel"/>
    <w:tmpl w:val="13727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75" w15:restartNumberingAfterBreak="0">
    <w:nsid w:val="7C326742"/>
    <w:multiLevelType w:val="multilevel"/>
    <w:tmpl w:val="177A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6" w15:restartNumberingAfterBreak="0">
    <w:nsid w:val="7C3B38DE"/>
    <w:multiLevelType w:val="hybridMultilevel"/>
    <w:tmpl w:val="AD7CDA40"/>
    <w:lvl w:ilvl="0" w:tplc="124658F6">
      <w:numFmt w:val="bullet"/>
      <w:lvlText w:val="•"/>
      <w:lvlJc w:val="left"/>
      <w:pPr>
        <w:ind w:left="720" w:hanging="360"/>
      </w:pPr>
      <w:rPr>
        <w:rFonts w:ascii="Aptos" w:hAnsi="Aptos" w:hint="default"/>
      </w:rPr>
    </w:lvl>
    <w:lvl w:ilvl="1" w:tplc="4D0E8E9A" w:tentative="1">
      <w:start w:val="1"/>
      <w:numFmt w:val="bullet"/>
      <w:lvlText w:val="o"/>
      <w:lvlJc w:val="left"/>
      <w:pPr>
        <w:ind w:left="1800" w:hanging="360"/>
      </w:pPr>
      <w:rPr>
        <w:rFonts w:ascii="Courier New" w:hAnsi="Courier New" w:hint="default"/>
      </w:rPr>
    </w:lvl>
    <w:lvl w:ilvl="2" w:tplc="13B0A7A4" w:tentative="1">
      <w:start w:val="1"/>
      <w:numFmt w:val="bullet"/>
      <w:lvlText w:val=""/>
      <w:lvlJc w:val="left"/>
      <w:pPr>
        <w:ind w:left="2520" w:hanging="360"/>
      </w:pPr>
      <w:rPr>
        <w:rFonts w:ascii="Wingdings" w:hAnsi="Wingdings" w:hint="default"/>
      </w:rPr>
    </w:lvl>
    <w:lvl w:ilvl="3" w:tplc="BD96C2B6" w:tentative="1">
      <w:start w:val="1"/>
      <w:numFmt w:val="bullet"/>
      <w:lvlText w:val=""/>
      <w:lvlJc w:val="left"/>
      <w:pPr>
        <w:ind w:left="3240" w:hanging="360"/>
      </w:pPr>
      <w:rPr>
        <w:rFonts w:ascii="Symbol" w:hAnsi="Symbol" w:hint="default"/>
      </w:rPr>
    </w:lvl>
    <w:lvl w:ilvl="4" w:tplc="4D4816F8" w:tentative="1">
      <w:start w:val="1"/>
      <w:numFmt w:val="bullet"/>
      <w:lvlText w:val="o"/>
      <w:lvlJc w:val="left"/>
      <w:pPr>
        <w:ind w:left="3960" w:hanging="360"/>
      </w:pPr>
      <w:rPr>
        <w:rFonts w:ascii="Courier New" w:hAnsi="Courier New" w:hint="default"/>
      </w:rPr>
    </w:lvl>
    <w:lvl w:ilvl="5" w:tplc="B0DC9464" w:tentative="1">
      <w:start w:val="1"/>
      <w:numFmt w:val="bullet"/>
      <w:lvlText w:val=""/>
      <w:lvlJc w:val="left"/>
      <w:pPr>
        <w:ind w:left="4680" w:hanging="360"/>
      </w:pPr>
      <w:rPr>
        <w:rFonts w:ascii="Wingdings" w:hAnsi="Wingdings" w:hint="default"/>
      </w:rPr>
    </w:lvl>
    <w:lvl w:ilvl="6" w:tplc="6EC4CC90" w:tentative="1">
      <w:start w:val="1"/>
      <w:numFmt w:val="bullet"/>
      <w:lvlText w:val=""/>
      <w:lvlJc w:val="left"/>
      <w:pPr>
        <w:ind w:left="5400" w:hanging="360"/>
      </w:pPr>
      <w:rPr>
        <w:rFonts w:ascii="Symbol" w:hAnsi="Symbol" w:hint="default"/>
      </w:rPr>
    </w:lvl>
    <w:lvl w:ilvl="7" w:tplc="6DBC27E2" w:tentative="1">
      <w:start w:val="1"/>
      <w:numFmt w:val="bullet"/>
      <w:lvlText w:val="o"/>
      <w:lvlJc w:val="left"/>
      <w:pPr>
        <w:ind w:left="6120" w:hanging="360"/>
      </w:pPr>
      <w:rPr>
        <w:rFonts w:ascii="Courier New" w:hAnsi="Courier New" w:hint="default"/>
      </w:rPr>
    </w:lvl>
    <w:lvl w:ilvl="8" w:tplc="67441668" w:tentative="1">
      <w:start w:val="1"/>
      <w:numFmt w:val="bullet"/>
      <w:lvlText w:val=""/>
      <w:lvlJc w:val="left"/>
      <w:pPr>
        <w:ind w:left="6840" w:hanging="360"/>
      </w:pPr>
      <w:rPr>
        <w:rFonts w:ascii="Wingdings" w:hAnsi="Wingdings" w:hint="default"/>
      </w:rPr>
    </w:lvl>
  </w:abstractNum>
  <w:abstractNum w:abstractNumId="877" w15:restartNumberingAfterBreak="0">
    <w:nsid w:val="7C517EE1"/>
    <w:multiLevelType w:val="hybridMultilevel"/>
    <w:tmpl w:val="9634AEBC"/>
    <w:lvl w:ilvl="0" w:tplc="7022371C">
      <w:start w:val="1"/>
      <w:numFmt w:val="bullet"/>
      <w:lvlText w:val=""/>
      <w:lvlJc w:val="left"/>
      <w:pPr>
        <w:ind w:left="720" w:hanging="360"/>
      </w:pPr>
      <w:rPr>
        <w:rFonts w:ascii="Symbol" w:hAnsi="Symbol" w:hint="default"/>
      </w:rPr>
    </w:lvl>
    <w:lvl w:ilvl="1" w:tplc="B596D9D0" w:tentative="1">
      <w:start w:val="1"/>
      <w:numFmt w:val="bullet"/>
      <w:lvlText w:val="o"/>
      <w:lvlJc w:val="left"/>
      <w:pPr>
        <w:ind w:left="1440" w:hanging="360"/>
      </w:pPr>
      <w:rPr>
        <w:rFonts w:ascii="Courier New" w:hAnsi="Courier New" w:hint="default"/>
      </w:rPr>
    </w:lvl>
    <w:lvl w:ilvl="2" w:tplc="B7ACC8C2" w:tentative="1">
      <w:start w:val="1"/>
      <w:numFmt w:val="bullet"/>
      <w:lvlText w:val=""/>
      <w:lvlJc w:val="left"/>
      <w:pPr>
        <w:ind w:left="2160" w:hanging="360"/>
      </w:pPr>
      <w:rPr>
        <w:rFonts w:ascii="Wingdings" w:hAnsi="Wingdings" w:hint="default"/>
      </w:rPr>
    </w:lvl>
    <w:lvl w:ilvl="3" w:tplc="712E9190" w:tentative="1">
      <w:start w:val="1"/>
      <w:numFmt w:val="bullet"/>
      <w:lvlText w:val=""/>
      <w:lvlJc w:val="left"/>
      <w:pPr>
        <w:ind w:left="2880" w:hanging="360"/>
      </w:pPr>
      <w:rPr>
        <w:rFonts w:ascii="Symbol" w:hAnsi="Symbol" w:hint="default"/>
      </w:rPr>
    </w:lvl>
    <w:lvl w:ilvl="4" w:tplc="C4209A92" w:tentative="1">
      <w:start w:val="1"/>
      <w:numFmt w:val="bullet"/>
      <w:lvlText w:val="o"/>
      <w:lvlJc w:val="left"/>
      <w:pPr>
        <w:ind w:left="3600" w:hanging="360"/>
      </w:pPr>
      <w:rPr>
        <w:rFonts w:ascii="Courier New" w:hAnsi="Courier New" w:hint="default"/>
      </w:rPr>
    </w:lvl>
    <w:lvl w:ilvl="5" w:tplc="4FD06B00" w:tentative="1">
      <w:start w:val="1"/>
      <w:numFmt w:val="bullet"/>
      <w:lvlText w:val=""/>
      <w:lvlJc w:val="left"/>
      <w:pPr>
        <w:ind w:left="4320" w:hanging="360"/>
      </w:pPr>
      <w:rPr>
        <w:rFonts w:ascii="Wingdings" w:hAnsi="Wingdings" w:hint="default"/>
      </w:rPr>
    </w:lvl>
    <w:lvl w:ilvl="6" w:tplc="708C0D92" w:tentative="1">
      <w:start w:val="1"/>
      <w:numFmt w:val="bullet"/>
      <w:lvlText w:val=""/>
      <w:lvlJc w:val="left"/>
      <w:pPr>
        <w:ind w:left="5040" w:hanging="360"/>
      </w:pPr>
      <w:rPr>
        <w:rFonts w:ascii="Symbol" w:hAnsi="Symbol" w:hint="default"/>
      </w:rPr>
    </w:lvl>
    <w:lvl w:ilvl="7" w:tplc="F35C9DC4" w:tentative="1">
      <w:start w:val="1"/>
      <w:numFmt w:val="bullet"/>
      <w:lvlText w:val="o"/>
      <w:lvlJc w:val="left"/>
      <w:pPr>
        <w:ind w:left="5760" w:hanging="360"/>
      </w:pPr>
      <w:rPr>
        <w:rFonts w:ascii="Courier New" w:hAnsi="Courier New" w:hint="default"/>
      </w:rPr>
    </w:lvl>
    <w:lvl w:ilvl="8" w:tplc="FD4C0BC4" w:tentative="1">
      <w:start w:val="1"/>
      <w:numFmt w:val="bullet"/>
      <w:lvlText w:val=""/>
      <w:lvlJc w:val="left"/>
      <w:pPr>
        <w:ind w:left="6480" w:hanging="360"/>
      </w:pPr>
      <w:rPr>
        <w:rFonts w:ascii="Wingdings" w:hAnsi="Wingdings" w:hint="default"/>
      </w:rPr>
    </w:lvl>
  </w:abstractNum>
  <w:abstractNum w:abstractNumId="878" w15:restartNumberingAfterBreak="0">
    <w:nsid w:val="7CED6A59"/>
    <w:multiLevelType w:val="multilevel"/>
    <w:tmpl w:val="5680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9" w15:restartNumberingAfterBreak="0">
    <w:nsid w:val="7D446CB1"/>
    <w:multiLevelType w:val="hybridMultilevel"/>
    <w:tmpl w:val="86B8DD36"/>
    <w:lvl w:ilvl="0" w:tplc="527AA5BA">
      <w:start w:val="1"/>
      <w:numFmt w:val="bullet"/>
      <w:lvlText w:val=""/>
      <w:lvlJc w:val="left"/>
      <w:pPr>
        <w:ind w:left="720" w:hanging="360"/>
      </w:pPr>
      <w:rPr>
        <w:rFonts w:ascii="Symbol" w:hAnsi="Symbol" w:hint="default"/>
      </w:rPr>
    </w:lvl>
    <w:lvl w:ilvl="1" w:tplc="7AA0D41A" w:tentative="1">
      <w:start w:val="1"/>
      <w:numFmt w:val="bullet"/>
      <w:lvlText w:val="o"/>
      <w:lvlJc w:val="left"/>
      <w:pPr>
        <w:ind w:left="1440" w:hanging="360"/>
      </w:pPr>
      <w:rPr>
        <w:rFonts w:ascii="Courier New" w:hAnsi="Courier New" w:hint="default"/>
      </w:rPr>
    </w:lvl>
    <w:lvl w:ilvl="2" w:tplc="8328309A" w:tentative="1">
      <w:start w:val="1"/>
      <w:numFmt w:val="bullet"/>
      <w:lvlText w:val=""/>
      <w:lvlJc w:val="left"/>
      <w:pPr>
        <w:ind w:left="2160" w:hanging="360"/>
      </w:pPr>
      <w:rPr>
        <w:rFonts w:ascii="Wingdings" w:hAnsi="Wingdings" w:hint="default"/>
      </w:rPr>
    </w:lvl>
    <w:lvl w:ilvl="3" w:tplc="D8D288BE" w:tentative="1">
      <w:start w:val="1"/>
      <w:numFmt w:val="bullet"/>
      <w:lvlText w:val=""/>
      <w:lvlJc w:val="left"/>
      <w:pPr>
        <w:ind w:left="2880" w:hanging="360"/>
      </w:pPr>
      <w:rPr>
        <w:rFonts w:ascii="Symbol" w:hAnsi="Symbol" w:hint="default"/>
      </w:rPr>
    </w:lvl>
    <w:lvl w:ilvl="4" w:tplc="605E8ED6" w:tentative="1">
      <w:start w:val="1"/>
      <w:numFmt w:val="bullet"/>
      <w:lvlText w:val="o"/>
      <w:lvlJc w:val="left"/>
      <w:pPr>
        <w:ind w:left="3600" w:hanging="360"/>
      </w:pPr>
      <w:rPr>
        <w:rFonts w:ascii="Courier New" w:hAnsi="Courier New" w:hint="default"/>
      </w:rPr>
    </w:lvl>
    <w:lvl w:ilvl="5" w:tplc="390E457A" w:tentative="1">
      <w:start w:val="1"/>
      <w:numFmt w:val="bullet"/>
      <w:lvlText w:val=""/>
      <w:lvlJc w:val="left"/>
      <w:pPr>
        <w:ind w:left="4320" w:hanging="360"/>
      </w:pPr>
      <w:rPr>
        <w:rFonts w:ascii="Wingdings" w:hAnsi="Wingdings" w:hint="default"/>
      </w:rPr>
    </w:lvl>
    <w:lvl w:ilvl="6" w:tplc="D45EB384" w:tentative="1">
      <w:start w:val="1"/>
      <w:numFmt w:val="bullet"/>
      <w:lvlText w:val=""/>
      <w:lvlJc w:val="left"/>
      <w:pPr>
        <w:ind w:left="5040" w:hanging="360"/>
      </w:pPr>
      <w:rPr>
        <w:rFonts w:ascii="Symbol" w:hAnsi="Symbol" w:hint="default"/>
      </w:rPr>
    </w:lvl>
    <w:lvl w:ilvl="7" w:tplc="4F8E5C10" w:tentative="1">
      <w:start w:val="1"/>
      <w:numFmt w:val="bullet"/>
      <w:lvlText w:val="o"/>
      <w:lvlJc w:val="left"/>
      <w:pPr>
        <w:ind w:left="5760" w:hanging="360"/>
      </w:pPr>
      <w:rPr>
        <w:rFonts w:ascii="Courier New" w:hAnsi="Courier New" w:hint="default"/>
      </w:rPr>
    </w:lvl>
    <w:lvl w:ilvl="8" w:tplc="44F6E546" w:tentative="1">
      <w:start w:val="1"/>
      <w:numFmt w:val="bullet"/>
      <w:lvlText w:val=""/>
      <w:lvlJc w:val="left"/>
      <w:pPr>
        <w:ind w:left="6480" w:hanging="360"/>
      </w:pPr>
      <w:rPr>
        <w:rFonts w:ascii="Wingdings" w:hAnsi="Wingdings" w:hint="default"/>
      </w:rPr>
    </w:lvl>
  </w:abstractNum>
  <w:abstractNum w:abstractNumId="880" w15:restartNumberingAfterBreak="0">
    <w:nsid w:val="7D5D25D9"/>
    <w:multiLevelType w:val="multilevel"/>
    <w:tmpl w:val="8004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1" w15:restartNumberingAfterBreak="0">
    <w:nsid w:val="7D6C6210"/>
    <w:multiLevelType w:val="multilevel"/>
    <w:tmpl w:val="8796069A"/>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882" w15:restartNumberingAfterBreak="0">
    <w:nsid w:val="7D8058A5"/>
    <w:multiLevelType w:val="multilevel"/>
    <w:tmpl w:val="CFCEB118"/>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83" w15:restartNumberingAfterBreak="0">
    <w:nsid w:val="7D9C261C"/>
    <w:multiLevelType w:val="hybridMultilevel"/>
    <w:tmpl w:val="034A9870"/>
    <w:lvl w:ilvl="0" w:tplc="F2AE95E0">
      <w:start w:val="1"/>
      <w:numFmt w:val="bullet"/>
      <w:lvlText w:val=""/>
      <w:lvlJc w:val="left"/>
      <w:pPr>
        <w:ind w:left="720" w:hanging="360"/>
      </w:pPr>
      <w:rPr>
        <w:rFonts w:ascii="Symbol" w:hAnsi="Symbol" w:hint="default"/>
      </w:rPr>
    </w:lvl>
    <w:lvl w:ilvl="1" w:tplc="3A3A4EE0" w:tentative="1">
      <w:start w:val="1"/>
      <w:numFmt w:val="bullet"/>
      <w:lvlText w:val="o"/>
      <w:lvlJc w:val="left"/>
      <w:pPr>
        <w:ind w:left="1440" w:hanging="360"/>
      </w:pPr>
      <w:rPr>
        <w:rFonts w:ascii="Courier New" w:hAnsi="Courier New" w:hint="default"/>
      </w:rPr>
    </w:lvl>
    <w:lvl w:ilvl="2" w:tplc="6036594A" w:tentative="1">
      <w:start w:val="1"/>
      <w:numFmt w:val="bullet"/>
      <w:lvlText w:val=""/>
      <w:lvlJc w:val="left"/>
      <w:pPr>
        <w:ind w:left="2160" w:hanging="360"/>
      </w:pPr>
      <w:rPr>
        <w:rFonts w:ascii="Wingdings" w:hAnsi="Wingdings" w:hint="default"/>
      </w:rPr>
    </w:lvl>
    <w:lvl w:ilvl="3" w:tplc="E960B180" w:tentative="1">
      <w:start w:val="1"/>
      <w:numFmt w:val="bullet"/>
      <w:lvlText w:val=""/>
      <w:lvlJc w:val="left"/>
      <w:pPr>
        <w:ind w:left="2880" w:hanging="360"/>
      </w:pPr>
      <w:rPr>
        <w:rFonts w:ascii="Symbol" w:hAnsi="Symbol" w:hint="default"/>
      </w:rPr>
    </w:lvl>
    <w:lvl w:ilvl="4" w:tplc="1A9C5BE4" w:tentative="1">
      <w:start w:val="1"/>
      <w:numFmt w:val="bullet"/>
      <w:lvlText w:val="o"/>
      <w:lvlJc w:val="left"/>
      <w:pPr>
        <w:ind w:left="3600" w:hanging="360"/>
      </w:pPr>
      <w:rPr>
        <w:rFonts w:ascii="Courier New" w:hAnsi="Courier New" w:hint="default"/>
      </w:rPr>
    </w:lvl>
    <w:lvl w:ilvl="5" w:tplc="A106FAA6" w:tentative="1">
      <w:start w:val="1"/>
      <w:numFmt w:val="bullet"/>
      <w:lvlText w:val=""/>
      <w:lvlJc w:val="left"/>
      <w:pPr>
        <w:ind w:left="4320" w:hanging="360"/>
      </w:pPr>
      <w:rPr>
        <w:rFonts w:ascii="Wingdings" w:hAnsi="Wingdings" w:hint="default"/>
      </w:rPr>
    </w:lvl>
    <w:lvl w:ilvl="6" w:tplc="367E0E38" w:tentative="1">
      <w:start w:val="1"/>
      <w:numFmt w:val="bullet"/>
      <w:lvlText w:val=""/>
      <w:lvlJc w:val="left"/>
      <w:pPr>
        <w:ind w:left="5040" w:hanging="360"/>
      </w:pPr>
      <w:rPr>
        <w:rFonts w:ascii="Symbol" w:hAnsi="Symbol" w:hint="default"/>
      </w:rPr>
    </w:lvl>
    <w:lvl w:ilvl="7" w:tplc="EE02792A" w:tentative="1">
      <w:start w:val="1"/>
      <w:numFmt w:val="bullet"/>
      <w:lvlText w:val="o"/>
      <w:lvlJc w:val="left"/>
      <w:pPr>
        <w:ind w:left="5760" w:hanging="360"/>
      </w:pPr>
      <w:rPr>
        <w:rFonts w:ascii="Courier New" w:hAnsi="Courier New" w:hint="default"/>
      </w:rPr>
    </w:lvl>
    <w:lvl w:ilvl="8" w:tplc="9D4E6742" w:tentative="1">
      <w:start w:val="1"/>
      <w:numFmt w:val="bullet"/>
      <w:lvlText w:val=""/>
      <w:lvlJc w:val="left"/>
      <w:pPr>
        <w:ind w:left="6480" w:hanging="360"/>
      </w:pPr>
      <w:rPr>
        <w:rFonts w:ascii="Wingdings" w:hAnsi="Wingdings" w:hint="default"/>
      </w:rPr>
    </w:lvl>
  </w:abstractNum>
  <w:abstractNum w:abstractNumId="884" w15:restartNumberingAfterBreak="0">
    <w:nsid w:val="7DB019B3"/>
    <w:multiLevelType w:val="multilevel"/>
    <w:tmpl w:val="369C7506"/>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885" w15:restartNumberingAfterBreak="0">
    <w:nsid w:val="7E141629"/>
    <w:multiLevelType w:val="hybridMultilevel"/>
    <w:tmpl w:val="B3C4F190"/>
    <w:lvl w:ilvl="0" w:tplc="29C27444">
      <w:start w:val="1"/>
      <w:numFmt w:val="bullet"/>
      <w:lvlText w:val=""/>
      <w:lvlJc w:val="left"/>
      <w:pPr>
        <w:ind w:left="720" w:hanging="360"/>
      </w:pPr>
      <w:rPr>
        <w:rFonts w:ascii="Symbol" w:hAnsi="Symbol" w:hint="default"/>
      </w:rPr>
    </w:lvl>
    <w:lvl w:ilvl="1" w:tplc="B76EADD0" w:tentative="1">
      <w:start w:val="1"/>
      <w:numFmt w:val="bullet"/>
      <w:lvlText w:val="o"/>
      <w:lvlJc w:val="left"/>
      <w:pPr>
        <w:ind w:left="1440" w:hanging="360"/>
      </w:pPr>
      <w:rPr>
        <w:rFonts w:ascii="Courier New" w:hAnsi="Courier New" w:hint="default"/>
      </w:rPr>
    </w:lvl>
    <w:lvl w:ilvl="2" w:tplc="7A6E6F80" w:tentative="1">
      <w:start w:val="1"/>
      <w:numFmt w:val="bullet"/>
      <w:lvlText w:val=""/>
      <w:lvlJc w:val="left"/>
      <w:pPr>
        <w:ind w:left="2160" w:hanging="360"/>
      </w:pPr>
      <w:rPr>
        <w:rFonts w:ascii="Wingdings" w:hAnsi="Wingdings" w:hint="default"/>
      </w:rPr>
    </w:lvl>
    <w:lvl w:ilvl="3" w:tplc="20DE52EC" w:tentative="1">
      <w:start w:val="1"/>
      <w:numFmt w:val="bullet"/>
      <w:lvlText w:val=""/>
      <w:lvlJc w:val="left"/>
      <w:pPr>
        <w:ind w:left="2880" w:hanging="360"/>
      </w:pPr>
      <w:rPr>
        <w:rFonts w:ascii="Symbol" w:hAnsi="Symbol" w:hint="default"/>
      </w:rPr>
    </w:lvl>
    <w:lvl w:ilvl="4" w:tplc="9A4E494C" w:tentative="1">
      <w:start w:val="1"/>
      <w:numFmt w:val="bullet"/>
      <w:lvlText w:val="o"/>
      <w:lvlJc w:val="left"/>
      <w:pPr>
        <w:ind w:left="3600" w:hanging="360"/>
      </w:pPr>
      <w:rPr>
        <w:rFonts w:ascii="Courier New" w:hAnsi="Courier New" w:hint="default"/>
      </w:rPr>
    </w:lvl>
    <w:lvl w:ilvl="5" w:tplc="74A679CA" w:tentative="1">
      <w:start w:val="1"/>
      <w:numFmt w:val="bullet"/>
      <w:lvlText w:val=""/>
      <w:lvlJc w:val="left"/>
      <w:pPr>
        <w:ind w:left="4320" w:hanging="360"/>
      </w:pPr>
      <w:rPr>
        <w:rFonts w:ascii="Wingdings" w:hAnsi="Wingdings" w:hint="default"/>
      </w:rPr>
    </w:lvl>
    <w:lvl w:ilvl="6" w:tplc="CF7E9F4E" w:tentative="1">
      <w:start w:val="1"/>
      <w:numFmt w:val="bullet"/>
      <w:lvlText w:val=""/>
      <w:lvlJc w:val="left"/>
      <w:pPr>
        <w:ind w:left="5040" w:hanging="360"/>
      </w:pPr>
      <w:rPr>
        <w:rFonts w:ascii="Symbol" w:hAnsi="Symbol" w:hint="default"/>
      </w:rPr>
    </w:lvl>
    <w:lvl w:ilvl="7" w:tplc="DA1CEBB4" w:tentative="1">
      <w:start w:val="1"/>
      <w:numFmt w:val="bullet"/>
      <w:lvlText w:val="o"/>
      <w:lvlJc w:val="left"/>
      <w:pPr>
        <w:ind w:left="5760" w:hanging="360"/>
      </w:pPr>
      <w:rPr>
        <w:rFonts w:ascii="Courier New" w:hAnsi="Courier New" w:hint="default"/>
      </w:rPr>
    </w:lvl>
    <w:lvl w:ilvl="8" w:tplc="F488A66E" w:tentative="1">
      <w:start w:val="1"/>
      <w:numFmt w:val="bullet"/>
      <w:lvlText w:val=""/>
      <w:lvlJc w:val="left"/>
      <w:pPr>
        <w:ind w:left="6480" w:hanging="360"/>
      </w:pPr>
      <w:rPr>
        <w:rFonts w:ascii="Wingdings" w:hAnsi="Wingdings" w:hint="default"/>
      </w:rPr>
    </w:lvl>
  </w:abstractNum>
  <w:abstractNum w:abstractNumId="886" w15:restartNumberingAfterBreak="0">
    <w:nsid w:val="7E270127"/>
    <w:multiLevelType w:val="multilevel"/>
    <w:tmpl w:val="D13C7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7" w15:restartNumberingAfterBreak="0">
    <w:nsid w:val="7E49788A"/>
    <w:multiLevelType w:val="hybridMultilevel"/>
    <w:tmpl w:val="502AF2B0"/>
    <w:lvl w:ilvl="0" w:tplc="A028A7BE">
      <w:start w:val="1"/>
      <w:numFmt w:val="bullet"/>
      <w:lvlText w:val=""/>
      <w:lvlJc w:val="left"/>
      <w:pPr>
        <w:ind w:left="720" w:hanging="360"/>
      </w:pPr>
      <w:rPr>
        <w:rFonts w:ascii="Symbol" w:hAnsi="Symbol" w:hint="default"/>
      </w:rPr>
    </w:lvl>
    <w:lvl w:ilvl="1" w:tplc="BE8C9436" w:tentative="1">
      <w:start w:val="1"/>
      <w:numFmt w:val="bullet"/>
      <w:lvlText w:val="o"/>
      <w:lvlJc w:val="left"/>
      <w:pPr>
        <w:ind w:left="1440" w:hanging="360"/>
      </w:pPr>
      <w:rPr>
        <w:rFonts w:ascii="Courier New" w:hAnsi="Courier New" w:hint="default"/>
      </w:rPr>
    </w:lvl>
    <w:lvl w:ilvl="2" w:tplc="6D7EEFA4" w:tentative="1">
      <w:start w:val="1"/>
      <w:numFmt w:val="bullet"/>
      <w:lvlText w:val=""/>
      <w:lvlJc w:val="left"/>
      <w:pPr>
        <w:ind w:left="2160" w:hanging="360"/>
      </w:pPr>
      <w:rPr>
        <w:rFonts w:ascii="Wingdings" w:hAnsi="Wingdings" w:hint="default"/>
      </w:rPr>
    </w:lvl>
    <w:lvl w:ilvl="3" w:tplc="01183BBE" w:tentative="1">
      <w:start w:val="1"/>
      <w:numFmt w:val="bullet"/>
      <w:lvlText w:val=""/>
      <w:lvlJc w:val="left"/>
      <w:pPr>
        <w:ind w:left="2880" w:hanging="360"/>
      </w:pPr>
      <w:rPr>
        <w:rFonts w:ascii="Symbol" w:hAnsi="Symbol" w:hint="default"/>
      </w:rPr>
    </w:lvl>
    <w:lvl w:ilvl="4" w:tplc="774C239A" w:tentative="1">
      <w:start w:val="1"/>
      <w:numFmt w:val="bullet"/>
      <w:lvlText w:val="o"/>
      <w:lvlJc w:val="left"/>
      <w:pPr>
        <w:ind w:left="3600" w:hanging="360"/>
      </w:pPr>
      <w:rPr>
        <w:rFonts w:ascii="Courier New" w:hAnsi="Courier New" w:hint="default"/>
      </w:rPr>
    </w:lvl>
    <w:lvl w:ilvl="5" w:tplc="4D92519A" w:tentative="1">
      <w:start w:val="1"/>
      <w:numFmt w:val="bullet"/>
      <w:lvlText w:val=""/>
      <w:lvlJc w:val="left"/>
      <w:pPr>
        <w:ind w:left="4320" w:hanging="360"/>
      </w:pPr>
      <w:rPr>
        <w:rFonts w:ascii="Wingdings" w:hAnsi="Wingdings" w:hint="default"/>
      </w:rPr>
    </w:lvl>
    <w:lvl w:ilvl="6" w:tplc="FB66448C" w:tentative="1">
      <w:start w:val="1"/>
      <w:numFmt w:val="bullet"/>
      <w:lvlText w:val=""/>
      <w:lvlJc w:val="left"/>
      <w:pPr>
        <w:ind w:left="5040" w:hanging="360"/>
      </w:pPr>
      <w:rPr>
        <w:rFonts w:ascii="Symbol" w:hAnsi="Symbol" w:hint="default"/>
      </w:rPr>
    </w:lvl>
    <w:lvl w:ilvl="7" w:tplc="3B023FE4" w:tentative="1">
      <w:start w:val="1"/>
      <w:numFmt w:val="bullet"/>
      <w:lvlText w:val="o"/>
      <w:lvlJc w:val="left"/>
      <w:pPr>
        <w:ind w:left="5760" w:hanging="360"/>
      </w:pPr>
      <w:rPr>
        <w:rFonts w:ascii="Courier New" w:hAnsi="Courier New" w:hint="default"/>
      </w:rPr>
    </w:lvl>
    <w:lvl w:ilvl="8" w:tplc="9036CDCA" w:tentative="1">
      <w:start w:val="1"/>
      <w:numFmt w:val="bullet"/>
      <w:lvlText w:val=""/>
      <w:lvlJc w:val="left"/>
      <w:pPr>
        <w:ind w:left="6480" w:hanging="360"/>
      </w:pPr>
      <w:rPr>
        <w:rFonts w:ascii="Wingdings" w:hAnsi="Wingdings" w:hint="default"/>
      </w:rPr>
    </w:lvl>
  </w:abstractNum>
  <w:abstractNum w:abstractNumId="888" w15:restartNumberingAfterBreak="0">
    <w:nsid w:val="7E671C5B"/>
    <w:multiLevelType w:val="multilevel"/>
    <w:tmpl w:val="2B8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9" w15:restartNumberingAfterBreak="0">
    <w:nsid w:val="7E6A76EF"/>
    <w:multiLevelType w:val="multilevel"/>
    <w:tmpl w:val="E1B6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0" w15:restartNumberingAfterBreak="0">
    <w:nsid w:val="7EBF2C56"/>
    <w:multiLevelType w:val="multilevel"/>
    <w:tmpl w:val="7086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1" w15:restartNumberingAfterBreak="0">
    <w:nsid w:val="7EF607A6"/>
    <w:multiLevelType w:val="multilevel"/>
    <w:tmpl w:val="411E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2" w15:restartNumberingAfterBreak="0">
    <w:nsid w:val="7F64667E"/>
    <w:multiLevelType w:val="multilevel"/>
    <w:tmpl w:val="9DD2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3" w15:restartNumberingAfterBreak="0">
    <w:nsid w:val="7F97163D"/>
    <w:multiLevelType w:val="multilevel"/>
    <w:tmpl w:val="FC4E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4" w15:restartNumberingAfterBreak="0">
    <w:nsid w:val="7FDE4F05"/>
    <w:multiLevelType w:val="hybridMultilevel"/>
    <w:tmpl w:val="A2D8A288"/>
    <w:lvl w:ilvl="0" w:tplc="00C0269E">
      <w:start w:val="1"/>
      <w:numFmt w:val="bullet"/>
      <w:lvlText w:val=""/>
      <w:lvlJc w:val="left"/>
      <w:pPr>
        <w:ind w:left="720" w:hanging="360"/>
      </w:pPr>
      <w:rPr>
        <w:rFonts w:ascii="Symbol" w:hAnsi="Symbol" w:hint="default"/>
      </w:rPr>
    </w:lvl>
    <w:lvl w:ilvl="1" w:tplc="C8061B2E" w:tentative="1">
      <w:start w:val="1"/>
      <w:numFmt w:val="bullet"/>
      <w:lvlText w:val="o"/>
      <w:lvlJc w:val="left"/>
      <w:pPr>
        <w:ind w:left="1440" w:hanging="360"/>
      </w:pPr>
      <w:rPr>
        <w:rFonts w:ascii="Courier New" w:hAnsi="Courier New" w:hint="default"/>
      </w:rPr>
    </w:lvl>
    <w:lvl w:ilvl="2" w:tplc="305CB758" w:tentative="1">
      <w:start w:val="1"/>
      <w:numFmt w:val="bullet"/>
      <w:lvlText w:val=""/>
      <w:lvlJc w:val="left"/>
      <w:pPr>
        <w:ind w:left="2160" w:hanging="360"/>
      </w:pPr>
      <w:rPr>
        <w:rFonts w:ascii="Wingdings" w:hAnsi="Wingdings" w:hint="default"/>
      </w:rPr>
    </w:lvl>
    <w:lvl w:ilvl="3" w:tplc="381AA00C" w:tentative="1">
      <w:start w:val="1"/>
      <w:numFmt w:val="bullet"/>
      <w:lvlText w:val=""/>
      <w:lvlJc w:val="left"/>
      <w:pPr>
        <w:ind w:left="2880" w:hanging="360"/>
      </w:pPr>
      <w:rPr>
        <w:rFonts w:ascii="Symbol" w:hAnsi="Symbol" w:hint="default"/>
      </w:rPr>
    </w:lvl>
    <w:lvl w:ilvl="4" w:tplc="543E4F50" w:tentative="1">
      <w:start w:val="1"/>
      <w:numFmt w:val="bullet"/>
      <w:lvlText w:val="o"/>
      <w:lvlJc w:val="left"/>
      <w:pPr>
        <w:ind w:left="3600" w:hanging="360"/>
      </w:pPr>
      <w:rPr>
        <w:rFonts w:ascii="Courier New" w:hAnsi="Courier New" w:hint="default"/>
      </w:rPr>
    </w:lvl>
    <w:lvl w:ilvl="5" w:tplc="4740B814" w:tentative="1">
      <w:start w:val="1"/>
      <w:numFmt w:val="bullet"/>
      <w:lvlText w:val=""/>
      <w:lvlJc w:val="left"/>
      <w:pPr>
        <w:ind w:left="4320" w:hanging="360"/>
      </w:pPr>
      <w:rPr>
        <w:rFonts w:ascii="Wingdings" w:hAnsi="Wingdings" w:hint="default"/>
      </w:rPr>
    </w:lvl>
    <w:lvl w:ilvl="6" w:tplc="603E98BE" w:tentative="1">
      <w:start w:val="1"/>
      <w:numFmt w:val="bullet"/>
      <w:lvlText w:val=""/>
      <w:lvlJc w:val="left"/>
      <w:pPr>
        <w:ind w:left="5040" w:hanging="360"/>
      </w:pPr>
      <w:rPr>
        <w:rFonts w:ascii="Symbol" w:hAnsi="Symbol" w:hint="default"/>
      </w:rPr>
    </w:lvl>
    <w:lvl w:ilvl="7" w:tplc="29A611CE" w:tentative="1">
      <w:start w:val="1"/>
      <w:numFmt w:val="bullet"/>
      <w:lvlText w:val="o"/>
      <w:lvlJc w:val="left"/>
      <w:pPr>
        <w:ind w:left="5760" w:hanging="360"/>
      </w:pPr>
      <w:rPr>
        <w:rFonts w:ascii="Courier New" w:hAnsi="Courier New" w:hint="default"/>
      </w:rPr>
    </w:lvl>
    <w:lvl w:ilvl="8" w:tplc="85BC1F80" w:tentative="1">
      <w:start w:val="1"/>
      <w:numFmt w:val="bullet"/>
      <w:lvlText w:val=""/>
      <w:lvlJc w:val="left"/>
      <w:pPr>
        <w:ind w:left="6480" w:hanging="360"/>
      </w:pPr>
      <w:rPr>
        <w:rFonts w:ascii="Wingdings" w:hAnsi="Wingdings" w:hint="default"/>
      </w:rPr>
    </w:lvl>
  </w:abstractNum>
  <w:num w:numId="1" w16cid:durableId="1573388732">
    <w:abstractNumId w:val="2"/>
  </w:num>
  <w:num w:numId="2" w16cid:durableId="889342692">
    <w:abstractNumId w:val="680"/>
  </w:num>
  <w:num w:numId="3" w16cid:durableId="1084764910">
    <w:abstractNumId w:val="759"/>
  </w:num>
  <w:num w:numId="4" w16cid:durableId="420878654">
    <w:abstractNumId w:val="337"/>
  </w:num>
  <w:num w:numId="5" w16cid:durableId="974336931">
    <w:abstractNumId w:val="232"/>
  </w:num>
  <w:num w:numId="6" w16cid:durableId="1548761559">
    <w:abstractNumId w:val="427"/>
  </w:num>
  <w:num w:numId="7" w16cid:durableId="13850058">
    <w:abstractNumId w:val="360"/>
  </w:num>
  <w:num w:numId="8" w16cid:durableId="847448885">
    <w:abstractNumId w:val="589"/>
  </w:num>
  <w:num w:numId="9" w16cid:durableId="1278758747">
    <w:abstractNumId w:val="719"/>
  </w:num>
  <w:num w:numId="10" w16cid:durableId="1220483773">
    <w:abstractNumId w:val="238"/>
  </w:num>
  <w:num w:numId="11" w16cid:durableId="788355800">
    <w:abstractNumId w:val="672"/>
  </w:num>
  <w:num w:numId="12" w16cid:durableId="670371768">
    <w:abstractNumId w:val="287"/>
  </w:num>
  <w:num w:numId="13" w16cid:durableId="493302218">
    <w:abstractNumId w:val="520"/>
  </w:num>
  <w:num w:numId="14" w16cid:durableId="1869760497">
    <w:abstractNumId w:val="140"/>
  </w:num>
  <w:num w:numId="15" w16cid:durableId="1424228746">
    <w:abstractNumId w:val="127"/>
  </w:num>
  <w:num w:numId="16" w16cid:durableId="2019767309">
    <w:abstractNumId w:val="606"/>
  </w:num>
  <w:num w:numId="17" w16cid:durableId="716516638">
    <w:abstractNumId w:val="441"/>
  </w:num>
  <w:num w:numId="18" w16cid:durableId="2146972510">
    <w:abstractNumId w:val="569"/>
  </w:num>
  <w:num w:numId="19" w16cid:durableId="1191459602">
    <w:abstractNumId w:val="36"/>
  </w:num>
  <w:num w:numId="20" w16cid:durableId="695423681">
    <w:abstractNumId w:val="773"/>
  </w:num>
  <w:num w:numId="21" w16cid:durableId="1248611380">
    <w:abstractNumId w:val="539"/>
  </w:num>
  <w:num w:numId="22" w16cid:durableId="1656689709">
    <w:abstractNumId w:val="814"/>
  </w:num>
  <w:num w:numId="23" w16cid:durableId="1473131678">
    <w:abstractNumId w:val="451"/>
  </w:num>
  <w:num w:numId="24" w16cid:durableId="887835764">
    <w:abstractNumId w:val="652"/>
  </w:num>
  <w:num w:numId="25" w16cid:durableId="1846242960">
    <w:abstractNumId w:val="431"/>
  </w:num>
  <w:num w:numId="26" w16cid:durableId="667950561">
    <w:abstractNumId w:val="415"/>
  </w:num>
  <w:num w:numId="27" w16cid:durableId="585919927">
    <w:abstractNumId w:val="560"/>
  </w:num>
  <w:num w:numId="28" w16cid:durableId="1721901562">
    <w:abstractNumId w:val="85"/>
  </w:num>
  <w:num w:numId="29" w16cid:durableId="855733797">
    <w:abstractNumId w:val="608"/>
  </w:num>
  <w:num w:numId="30" w16cid:durableId="528838522">
    <w:abstractNumId w:val="863"/>
  </w:num>
  <w:num w:numId="31" w16cid:durableId="1594432258">
    <w:abstractNumId w:val="707"/>
  </w:num>
  <w:num w:numId="32" w16cid:durableId="723331630">
    <w:abstractNumId w:val="710"/>
  </w:num>
  <w:num w:numId="33" w16cid:durableId="334918879">
    <w:abstractNumId w:val="540"/>
  </w:num>
  <w:num w:numId="34" w16cid:durableId="1507206316">
    <w:abstractNumId w:val="160"/>
  </w:num>
  <w:num w:numId="35" w16cid:durableId="997541322">
    <w:abstractNumId w:val="184"/>
  </w:num>
  <w:num w:numId="36" w16cid:durableId="425426839">
    <w:abstractNumId w:val="874"/>
  </w:num>
  <w:num w:numId="37" w16cid:durableId="888804050">
    <w:abstractNumId w:val="329"/>
  </w:num>
  <w:num w:numId="38" w16cid:durableId="1414429598">
    <w:abstractNumId w:val="364"/>
  </w:num>
  <w:num w:numId="39" w16cid:durableId="260341360">
    <w:abstractNumId w:val="715"/>
  </w:num>
  <w:num w:numId="40" w16cid:durableId="1292858881">
    <w:abstractNumId w:val="667"/>
  </w:num>
  <w:num w:numId="41" w16cid:durableId="371343443">
    <w:abstractNumId w:val="729"/>
  </w:num>
  <w:num w:numId="42" w16cid:durableId="1686131953">
    <w:abstractNumId w:val="645"/>
  </w:num>
  <w:num w:numId="43" w16cid:durableId="216017442">
    <w:abstractNumId w:val="259"/>
  </w:num>
  <w:num w:numId="44" w16cid:durableId="768744163">
    <w:abstractNumId w:val="256"/>
  </w:num>
  <w:num w:numId="45" w16cid:durableId="1400400571">
    <w:abstractNumId w:val="711"/>
  </w:num>
  <w:num w:numId="46" w16cid:durableId="1991327657">
    <w:abstractNumId w:val="77"/>
  </w:num>
  <w:num w:numId="47" w16cid:durableId="1419016570">
    <w:abstractNumId w:val="97"/>
  </w:num>
  <w:num w:numId="48" w16cid:durableId="774323939">
    <w:abstractNumId w:val="848"/>
  </w:num>
  <w:num w:numId="49" w16cid:durableId="951476963">
    <w:abstractNumId w:val="774"/>
  </w:num>
  <w:num w:numId="50" w16cid:durableId="297805056">
    <w:abstractNumId w:val="345"/>
  </w:num>
  <w:num w:numId="51" w16cid:durableId="1838183142">
    <w:abstractNumId w:val="433"/>
  </w:num>
  <w:num w:numId="52" w16cid:durableId="398671107">
    <w:abstractNumId w:val="687"/>
  </w:num>
  <w:num w:numId="53" w16cid:durableId="1804276183">
    <w:abstractNumId w:val="59"/>
  </w:num>
  <w:num w:numId="54" w16cid:durableId="932056754">
    <w:abstractNumId w:val="18"/>
  </w:num>
  <w:num w:numId="55" w16cid:durableId="1032264574">
    <w:abstractNumId w:val="846"/>
  </w:num>
  <w:num w:numId="56" w16cid:durableId="109322168">
    <w:abstractNumId w:val="894"/>
  </w:num>
  <w:num w:numId="57" w16cid:durableId="1281839324">
    <w:abstractNumId w:val="632"/>
  </w:num>
  <w:num w:numId="58" w16cid:durableId="2005085027">
    <w:abstractNumId w:val="303"/>
  </w:num>
  <w:num w:numId="59" w16cid:durableId="1496333374">
    <w:abstractNumId w:val="567"/>
  </w:num>
  <w:num w:numId="60" w16cid:durableId="21172262">
    <w:abstractNumId w:val="668"/>
  </w:num>
  <w:num w:numId="61" w16cid:durableId="1619332347">
    <w:abstractNumId w:val="736"/>
  </w:num>
  <w:num w:numId="62" w16cid:durableId="2116710314">
    <w:abstractNumId w:val="744"/>
  </w:num>
  <w:num w:numId="63" w16cid:durableId="801576614">
    <w:abstractNumId w:val="696"/>
  </w:num>
  <w:num w:numId="64" w16cid:durableId="1382679122">
    <w:abstractNumId w:val="622"/>
  </w:num>
  <w:num w:numId="65" w16cid:durableId="1070229018">
    <w:abstractNumId w:val="358"/>
  </w:num>
  <w:num w:numId="66" w16cid:durableId="744453778">
    <w:abstractNumId w:val="341"/>
  </w:num>
  <w:num w:numId="67" w16cid:durableId="1220091834">
    <w:abstractNumId w:val="708"/>
  </w:num>
  <w:num w:numId="68" w16cid:durableId="934750226">
    <w:abstractNumId w:val="388"/>
  </w:num>
  <w:num w:numId="69" w16cid:durableId="295068136">
    <w:abstractNumId w:val="387"/>
  </w:num>
  <w:num w:numId="70" w16cid:durableId="117798637">
    <w:abstractNumId w:val="372"/>
  </w:num>
  <w:num w:numId="71" w16cid:durableId="2092312256">
    <w:abstractNumId w:val="324"/>
  </w:num>
  <w:num w:numId="72" w16cid:durableId="1526167472">
    <w:abstractNumId w:val="426"/>
  </w:num>
  <w:num w:numId="73" w16cid:durableId="474564732">
    <w:abstractNumId w:val="550"/>
  </w:num>
  <w:num w:numId="74" w16cid:durableId="1596088983">
    <w:abstractNumId w:val="260"/>
  </w:num>
  <w:num w:numId="75" w16cid:durableId="196745914">
    <w:abstractNumId w:val="67"/>
  </w:num>
  <w:num w:numId="76" w16cid:durableId="894046850">
    <w:abstractNumId w:val="181"/>
  </w:num>
  <w:num w:numId="77" w16cid:durableId="2133093253">
    <w:abstractNumId w:val="252"/>
  </w:num>
  <w:num w:numId="78" w16cid:durableId="1426338474">
    <w:abstractNumId w:val="422"/>
  </w:num>
  <w:num w:numId="79" w16cid:durableId="1830635346">
    <w:abstractNumId w:val="884"/>
  </w:num>
  <w:num w:numId="80" w16cid:durableId="593586617">
    <w:abstractNumId w:val="157"/>
  </w:num>
  <w:num w:numId="81" w16cid:durableId="800804849">
    <w:abstractNumId w:val="279"/>
  </w:num>
  <w:num w:numId="82" w16cid:durableId="1008675249">
    <w:abstractNumId w:val="9"/>
  </w:num>
  <w:num w:numId="83" w16cid:durableId="838081021">
    <w:abstractNumId w:val="264"/>
  </w:num>
  <w:num w:numId="84" w16cid:durableId="1054426052">
    <w:abstractNumId w:val="284"/>
  </w:num>
  <w:num w:numId="85" w16cid:durableId="1662075593">
    <w:abstractNumId w:val="63"/>
  </w:num>
  <w:num w:numId="86" w16cid:durableId="805469580">
    <w:abstractNumId w:val="666"/>
  </w:num>
  <w:num w:numId="87" w16cid:durableId="2003896906">
    <w:abstractNumId w:val="197"/>
  </w:num>
  <w:num w:numId="88" w16cid:durableId="841167724">
    <w:abstractNumId w:val="342"/>
  </w:num>
  <w:num w:numId="89" w16cid:durableId="47120657">
    <w:abstractNumId w:val="400"/>
  </w:num>
  <w:num w:numId="90" w16cid:durableId="1231843287">
    <w:abstractNumId w:val="853"/>
  </w:num>
  <w:num w:numId="91" w16cid:durableId="1735926974">
    <w:abstractNumId w:val="233"/>
  </w:num>
  <w:num w:numId="92" w16cid:durableId="445151460">
    <w:abstractNumId w:val="631"/>
  </w:num>
  <w:num w:numId="93" w16cid:durableId="758867628">
    <w:abstractNumId w:val="650"/>
  </w:num>
  <w:num w:numId="94" w16cid:durableId="2122144313">
    <w:abstractNumId w:val="172"/>
  </w:num>
  <w:num w:numId="95" w16cid:durableId="1015574359">
    <w:abstractNumId w:val="829"/>
  </w:num>
  <w:num w:numId="96" w16cid:durableId="1238244675">
    <w:abstractNumId w:val="53"/>
  </w:num>
  <w:num w:numId="97" w16cid:durableId="1652102692">
    <w:abstractNumId w:val="104"/>
  </w:num>
  <w:num w:numId="98" w16cid:durableId="1883052710">
    <w:abstractNumId w:val="268"/>
  </w:num>
  <w:num w:numId="99" w16cid:durableId="337081579">
    <w:abstractNumId w:val="395"/>
  </w:num>
  <w:num w:numId="100" w16cid:durableId="1941714169">
    <w:abstractNumId w:val="425"/>
  </w:num>
  <w:num w:numId="101" w16cid:durableId="2145274874">
    <w:abstractNumId w:val="457"/>
  </w:num>
  <w:num w:numId="102" w16cid:durableId="412049856">
    <w:abstractNumId w:val="409"/>
  </w:num>
  <w:num w:numId="103" w16cid:durableId="186717192">
    <w:abstractNumId w:val="701"/>
  </w:num>
  <w:num w:numId="104" w16cid:durableId="1335911438">
    <w:abstractNumId w:val="878"/>
  </w:num>
  <w:num w:numId="105" w16cid:durableId="966664077">
    <w:abstractNumId w:val="524"/>
  </w:num>
  <w:num w:numId="106" w16cid:durableId="1688671320">
    <w:abstractNumId w:val="15"/>
  </w:num>
  <w:num w:numId="107" w16cid:durableId="688067685">
    <w:abstractNumId w:val="769"/>
  </w:num>
  <w:num w:numId="108" w16cid:durableId="117337995">
    <w:abstractNumId w:val="842"/>
  </w:num>
  <w:num w:numId="109" w16cid:durableId="1261259494">
    <w:abstractNumId w:val="7"/>
  </w:num>
  <w:num w:numId="110" w16cid:durableId="2122341112">
    <w:abstractNumId w:val="122"/>
  </w:num>
  <w:num w:numId="111" w16cid:durableId="1988897378">
    <w:abstractNumId w:val="718"/>
  </w:num>
  <w:num w:numId="112" w16cid:durableId="1576893963">
    <w:abstractNumId w:val="20"/>
  </w:num>
  <w:num w:numId="113" w16cid:durableId="901477106">
    <w:abstractNumId w:val="525"/>
  </w:num>
  <w:num w:numId="114" w16cid:durableId="1479106741">
    <w:abstractNumId w:val="23"/>
  </w:num>
  <w:num w:numId="115" w16cid:durableId="1485783334">
    <w:abstractNumId w:val="193"/>
  </w:num>
  <w:num w:numId="116" w16cid:durableId="207229370">
    <w:abstractNumId w:val="591"/>
  </w:num>
  <w:num w:numId="117" w16cid:durableId="689570906">
    <w:abstractNumId w:val="573"/>
  </w:num>
  <w:num w:numId="118" w16cid:durableId="1741246873">
    <w:abstractNumId w:val="156"/>
  </w:num>
  <w:num w:numId="119" w16cid:durableId="804665538">
    <w:abstractNumId w:val="872"/>
  </w:num>
  <w:num w:numId="120" w16cid:durableId="1214807925">
    <w:abstractNumId w:val="32"/>
  </w:num>
  <w:num w:numId="121" w16cid:durableId="280961309">
    <w:abstractNumId w:val="375"/>
  </w:num>
  <w:num w:numId="122" w16cid:durableId="2087535820">
    <w:abstractNumId w:val="105"/>
  </w:num>
  <w:num w:numId="123" w16cid:durableId="911433259">
    <w:abstractNumId w:val="547"/>
  </w:num>
  <w:num w:numId="124" w16cid:durableId="321158487">
    <w:abstractNumId w:val="772"/>
  </w:num>
  <w:num w:numId="125" w16cid:durableId="1528106588">
    <w:abstractNumId w:val="761"/>
  </w:num>
  <w:num w:numId="126" w16cid:durableId="1903327539">
    <w:abstractNumId w:val="528"/>
  </w:num>
  <w:num w:numId="127" w16cid:durableId="1240017553">
    <w:abstractNumId w:val="553"/>
  </w:num>
  <w:num w:numId="128" w16cid:durableId="97994882">
    <w:abstractNumId w:val="648"/>
  </w:num>
  <w:num w:numId="129" w16cid:durableId="212617128">
    <w:abstractNumId w:val="148"/>
  </w:num>
  <w:num w:numId="130" w16cid:durableId="1856963197">
    <w:abstractNumId w:val="243"/>
  </w:num>
  <w:num w:numId="131" w16cid:durableId="1314411076">
    <w:abstractNumId w:val="647"/>
  </w:num>
  <w:num w:numId="132" w16cid:durableId="959578242">
    <w:abstractNumId w:val="55"/>
  </w:num>
  <w:num w:numId="133" w16cid:durableId="110708765">
    <w:abstractNumId w:val="489"/>
  </w:num>
  <w:num w:numId="134" w16cid:durableId="1754350800">
    <w:abstractNumId w:val="209"/>
  </w:num>
  <w:num w:numId="135" w16cid:durableId="56366209">
    <w:abstractNumId w:val="48"/>
  </w:num>
  <w:num w:numId="136" w16cid:durableId="857691881">
    <w:abstractNumId w:val="37"/>
  </w:num>
  <w:num w:numId="137" w16cid:durableId="1411384301">
    <w:abstractNumId w:val="551"/>
  </w:num>
  <w:num w:numId="138" w16cid:durableId="1063914804">
    <w:abstractNumId w:val="541"/>
  </w:num>
  <w:num w:numId="139" w16cid:durableId="958993126">
    <w:abstractNumId w:val="725"/>
  </w:num>
  <w:num w:numId="140" w16cid:durableId="637686899">
    <w:abstractNumId w:val="394"/>
  </w:num>
  <w:num w:numId="141" w16cid:durableId="1405909073">
    <w:abstractNumId w:val="108"/>
  </w:num>
  <w:num w:numId="142" w16cid:durableId="1621259721">
    <w:abstractNumId w:val="735"/>
  </w:num>
  <w:num w:numId="143" w16cid:durableId="398988609">
    <w:abstractNumId w:val="779"/>
  </w:num>
  <w:num w:numId="144" w16cid:durableId="1289362722">
    <w:abstractNumId w:val="93"/>
  </w:num>
  <w:num w:numId="145" w16cid:durableId="1260875271">
    <w:abstractNumId w:val="444"/>
  </w:num>
  <w:num w:numId="146" w16cid:durableId="363597102">
    <w:abstractNumId w:val="216"/>
  </w:num>
  <w:num w:numId="147" w16cid:durableId="1494369173">
    <w:abstractNumId w:val="482"/>
  </w:num>
  <w:num w:numId="148" w16cid:durableId="236289732">
    <w:abstractNumId w:val="270"/>
  </w:num>
  <w:num w:numId="149" w16cid:durableId="254289136">
    <w:abstractNumId w:val="26"/>
  </w:num>
  <w:num w:numId="150" w16cid:durableId="685137170">
    <w:abstractNumId w:val="179"/>
  </w:num>
  <w:num w:numId="151" w16cid:durableId="300351532">
    <w:abstractNumId w:val="459"/>
  </w:num>
  <w:num w:numId="152" w16cid:durableId="400952428">
    <w:abstractNumId w:val="790"/>
  </w:num>
  <w:num w:numId="153" w16cid:durableId="731001170">
    <w:abstractNumId w:val="750"/>
  </w:num>
  <w:num w:numId="154" w16cid:durableId="2145463295">
    <w:abstractNumId w:val="892"/>
  </w:num>
  <w:num w:numId="155" w16cid:durableId="1305620919">
    <w:abstractNumId w:val="644"/>
  </w:num>
  <w:num w:numId="156" w16cid:durableId="5257981">
    <w:abstractNumId w:val="338"/>
  </w:num>
  <w:num w:numId="157" w16cid:durableId="82531509">
    <w:abstractNumId w:val="212"/>
  </w:num>
  <w:num w:numId="158" w16cid:durableId="514922213">
    <w:abstractNumId w:val="542"/>
  </w:num>
  <w:num w:numId="159" w16cid:durableId="660817186">
    <w:abstractNumId w:val="849"/>
  </w:num>
  <w:num w:numId="160" w16cid:durableId="115561858">
    <w:abstractNumId w:val="70"/>
  </w:num>
  <w:num w:numId="161" w16cid:durableId="1543903514">
    <w:abstractNumId w:val="785"/>
  </w:num>
  <w:num w:numId="162" w16cid:durableId="1192306004">
    <w:abstractNumId w:val="836"/>
  </w:num>
  <w:num w:numId="163" w16cid:durableId="1164319447">
    <w:abstractNumId w:val="155"/>
  </w:num>
  <w:num w:numId="164" w16cid:durableId="219757163">
    <w:abstractNumId w:val="442"/>
  </w:num>
  <w:num w:numId="165" w16cid:durableId="2093887731">
    <w:abstractNumId w:val="706"/>
  </w:num>
  <w:num w:numId="166" w16cid:durableId="664012113">
    <w:abstractNumId w:val="866"/>
  </w:num>
  <w:num w:numId="167" w16cid:durableId="378627583">
    <w:abstractNumId w:val="131"/>
  </w:num>
  <w:num w:numId="168" w16cid:durableId="1380589663">
    <w:abstractNumId w:val="739"/>
  </w:num>
  <w:num w:numId="169" w16cid:durableId="1338920216">
    <w:abstractNumId w:val="83"/>
  </w:num>
  <w:num w:numId="170" w16cid:durableId="1294403210">
    <w:abstractNumId w:val="881"/>
  </w:num>
  <w:num w:numId="171" w16cid:durableId="1688560175">
    <w:abstractNumId w:val="254"/>
  </w:num>
  <w:num w:numId="172" w16cid:durableId="921915171">
    <w:abstractNumId w:val="236"/>
  </w:num>
  <w:num w:numId="173" w16cid:durableId="843740148">
    <w:abstractNumId w:val="98"/>
  </w:num>
  <w:num w:numId="174" w16cid:durableId="870189505">
    <w:abstractNumId w:val="392"/>
  </w:num>
  <w:num w:numId="175" w16cid:durableId="90592473">
    <w:abstractNumId w:val="175"/>
  </w:num>
  <w:num w:numId="176" w16cid:durableId="62527499">
    <w:abstractNumId w:val="5"/>
  </w:num>
  <w:num w:numId="177" w16cid:durableId="1265110699">
    <w:abstractNumId w:val="78"/>
  </w:num>
  <w:num w:numId="178" w16cid:durableId="580799640">
    <w:abstractNumId w:val="599"/>
  </w:num>
  <w:num w:numId="179" w16cid:durableId="2111314083">
    <w:abstractNumId w:val="469"/>
  </w:num>
  <w:num w:numId="180" w16cid:durableId="1781755822">
    <w:abstractNumId w:val="533"/>
  </w:num>
  <w:num w:numId="181" w16cid:durableId="2028166259">
    <w:abstractNumId w:val="452"/>
  </w:num>
  <w:num w:numId="182" w16cid:durableId="1995332429">
    <w:abstractNumId w:val="624"/>
  </w:num>
  <w:num w:numId="183" w16cid:durableId="1599211926">
    <w:abstractNumId w:val="821"/>
  </w:num>
  <w:num w:numId="184" w16cid:durableId="1447651863">
    <w:abstractNumId w:val="562"/>
  </w:num>
  <w:num w:numId="185" w16cid:durableId="1918709633">
    <w:abstractNumId w:val="218"/>
  </w:num>
  <w:num w:numId="186" w16cid:durableId="624389726">
    <w:abstractNumId w:val="641"/>
  </w:num>
  <w:num w:numId="187" w16cid:durableId="305360810">
    <w:abstractNumId w:val="258"/>
  </w:num>
  <w:num w:numId="188" w16cid:durableId="1406338729">
    <w:abstractNumId w:val="267"/>
  </w:num>
  <w:num w:numId="189" w16cid:durableId="415443491">
    <w:abstractNumId w:val="479"/>
  </w:num>
  <w:num w:numId="190" w16cid:durableId="1417290364">
    <w:abstractNumId w:val="153"/>
  </w:num>
  <w:num w:numId="191" w16cid:durableId="1933974717">
    <w:abstractNumId w:val="273"/>
  </w:num>
  <w:num w:numId="192" w16cid:durableId="359359871">
    <w:abstractNumId w:val="25"/>
  </w:num>
  <w:num w:numId="193" w16cid:durableId="450515951">
    <w:abstractNumId w:val="554"/>
  </w:num>
  <w:num w:numId="194" w16cid:durableId="1449741308">
    <w:abstractNumId w:val="463"/>
  </w:num>
  <w:num w:numId="195" w16cid:durableId="805779756">
    <w:abstractNumId w:val="111"/>
  </w:num>
  <w:num w:numId="196" w16cid:durableId="2013221920">
    <w:abstractNumId w:val="201"/>
  </w:num>
  <w:num w:numId="197" w16cid:durableId="1398551594">
    <w:abstractNumId w:val="75"/>
  </w:num>
  <w:num w:numId="198" w16cid:durableId="1286734924">
    <w:abstractNumId w:val="68"/>
  </w:num>
  <w:num w:numId="199" w16cid:durableId="2108236433">
    <w:abstractNumId w:val="52"/>
  </w:num>
  <w:num w:numId="200" w16cid:durableId="171451765">
    <w:abstractNumId w:val="612"/>
  </w:num>
  <w:num w:numId="201" w16cid:durableId="1114641050">
    <w:abstractNumId w:val="758"/>
  </w:num>
  <w:num w:numId="202" w16cid:durableId="1321036761">
    <w:abstractNumId w:val="794"/>
  </w:num>
  <w:num w:numId="203" w16cid:durableId="1194341956">
    <w:abstractNumId w:val="69"/>
  </w:num>
  <w:num w:numId="204" w16cid:durableId="1747456590">
    <w:abstractNumId w:val="783"/>
  </w:num>
  <w:num w:numId="205" w16cid:durableId="1945457047">
    <w:abstractNumId w:val="293"/>
  </w:num>
  <w:num w:numId="206" w16cid:durableId="371271050">
    <w:abstractNumId w:val="351"/>
  </w:num>
  <w:num w:numId="207" w16cid:durableId="1535969559">
    <w:abstractNumId w:val="308"/>
  </w:num>
  <w:num w:numId="208" w16cid:durableId="922910476">
    <w:abstractNumId w:val="177"/>
  </w:num>
  <w:num w:numId="209" w16cid:durableId="1002515637">
    <w:abstractNumId w:val="328"/>
  </w:num>
  <w:num w:numId="210" w16cid:durableId="1696079483">
    <w:abstractNumId w:val="164"/>
  </w:num>
  <w:num w:numId="211" w16cid:durableId="1529833421">
    <w:abstractNumId w:val="228"/>
  </w:num>
  <w:num w:numId="212" w16cid:durableId="1281036042">
    <w:abstractNumId w:val="789"/>
  </w:num>
  <w:num w:numId="213" w16cid:durableId="249119016">
    <w:abstractNumId w:val="407"/>
  </w:num>
  <w:num w:numId="214" w16cid:durableId="1834298675">
    <w:abstractNumId w:val="208"/>
  </w:num>
  <w:num w:numId="215" w16cid:durableId="632948669">
    <w:abstractNumId w:val="347"/>
  </w:num>
  <w:num w:numId="216" w16cid:durableId="506796903">
    <w:abstractNumId w:val="574"/>
  </w:num>
  <w:num w:numId="217" w16cid:durableId="1712144883">
    <w:abstractNumId w:val="379"/>
  </w:num>
  <w:num w:numId="218" w16cid:durableId="171846049">
    <w:abstractNumId w:val="408"/>
  </w:num>
  <w:num w:numId="219" w16cid:durableId="572660533">
    <w:abstractNumId w:val="519"/>
  </w:num>
  <w:num w:numId="220" w16cid:durableId="334650927">
    <w:abstractNumId w:val="815"/>
  </w:num>
  <w:num w:numId="221" w16cid:durableId="820583613">
    <w:abstractNumId w:val="393"/>
  </w:num>
  <w:num w:numId="222" w16cid:durableId="683047299">
    <w:abstractNumId w:val="862"/>
  </w:num>
  <w:num w:numId="223" w16cid:durableId="477455266">
    <w:abstractNumId w:val="823"/>
  </w:num>
  <w:num w:numId="224" w16cid:durableId="2095734357">
    <w:abstractNumId w:val="499"/>
  </w:num>
  <w:num w:numId="225" w16cid:durableId="281377090">
    <w:abstractNumId w:val="468"/>
  </w:num>
  <w:num w:numId="226" w16cid:durableId="2005359394">
    <w:abstractNumId w:val="506"/>
  </w:num>
  <w:num w:numId="227" w16cid:durableId="1851795036">
    <w:abstractNumId w:val="869"/>
  </w:num>
  <w:num w:numId="228" w16cid:durableId="185869007">
    <w:abstractNumId w:val="531"/>
  </w:num>
  <w:num w:numId="229" w16cid:durableId="1588465388">
    <w:abstractNumId w:val="167"/>
  </w:num>
  <w:num w:numId="230" w16cid:durableId="1725832810">
    <w:abstractNumId w:val="766"/>
  </w:num>
  <w:num w:numId="231" w16cid:durableId="2066906920">
    <w:abstractNumId w:val="639"/>
  </w:num>
  <w:num w:numId="232" w16cid:durableId="280890511">
    <w:abstractNumId w:val="432"/>
  </w:num>
  <w:num w:numId="233" w16cid:durableId="1502351258">
    <w:abstractNumId w:val="169"/>
  </w:num>
  <w:num w:numId="234" w16cid:durableId="2003922824">
    <w:abstractNumId w:val="102"/>
  </w:num>
  <w:num w:numId="235" w16cid:durableId="224688417">
    <w:abstractNumId w:val="458"/>
  </w:num>
  <w:num w:numId="236" w16cid:durableId="2049455514">
    <w:abstractNumId w:val="171"/>
  </w:num>
  <w:num w:numId="237" w16cid:durableId="1390305543">
    <w:abstractNumId w:val="229"/>
  </w:num>
  <w:num w:numId="238" w16cid:durableId="386151101">
    <w:abstractNumId w:val="396"/>
  </w:num>
  <w:num w:numId="239" w16cid:durableId="1624076031">
    <w:abstractNumId w:val="198"/>
  </w:num>
  <w:num w:numId="240" w16cid:durableId="2035374949">
    <w:abstractNumId w:val="782"/>
  </w:num>
  <w:num w:numId="241" w16cid:durableId="1318413723">
    <w:abstractNumId w:val="224"/>
  </w:num>
  <w:num w:numId="242" w16cid:durableId="1685667841">
    <w:abstractNumId w:val="755"/>
  </w:num>
  <w:num w:numId="243" w16cid:durableId="554123269">
    <w:abstractNumId w:val="152"/>
  </w:num>
  <w:num w:numId="244" w16cid:durableId="1143692732">
    <w:abstractNumId w:val="654"/>
  </w:num>
  <w:num w:numId="245" w16cid:durableId="915437896">
    <w:abstractNumId w:val="801"/>
  </w:num>
  <w:num w:numId="246" w16cid:durableId="1336229066">
    <w:abstractNumId w:val="505"/>
  </w:num>
  <w:num w:numId="247" w16cid:durableId="1917281371">
    <w:abstractNumId w:val="21"/>
  </w:num>
  <w:num w:numId="248" w16cid:durableId="1081027887">
    <w:abstractNumId w:val="61"/>
  </w:num>
  <w:num w:numId="249" w16cid:durableId="155653324">
    <w:abstractNumId w:val="123"/>
  </w:num>
  <w:num w:numId="250" w16cid:durableId="995181174">
    <w:abstractNumId w:val="686"/>
  </w:num>
  <w:num w:numId="251" w16cid:durableId="123275965">
    <w:abstractNumId w:val="1"/>
  </w:num>
  <w:num w:numId="252" w16cid:durableId="490372216">
    <w:abstractNumId w:val="480"/>
  </w:num>
  <w:num w:numId="253" w16cid:durableId="1892423145">
    <w:abstractNumId w:val="716"/>
  </w:num>
  <w:num w:numId="254" w16cid:durableId="262810159">
    <w:abstractNumId w:val="595"/>
  </w:num>
  <w:num w:numId="255" w16cid:durableId="1637447098">
    <w:abstractNumId w:val="176"/>
  </w:num>
  <w:num w:numId="256" w16cid:durableId="2088962484">
    <w:abstractNumId w:val="316"/>
  </w:num>
  <w:num w:numId="257" w16cid:durableId="888537786">
    <w:abstractNumId w:val="173"/>
  </w:num>
  <w:num w:numId="258" w16cid:durableId="203758988">
    <w:abstractNumId w:val="844"/>
  </w:num>
  <w:num w:numId="259" w16cid:durableId="1253661282">
    <w:abstractNumId w:val="508"/>
  </w:num>
  <w:num w:numId="260" w16cid:durableId="1707758276">
    <w:abstractNumId w:val="367"/>
  </w:num>
  <w:num w:numId="261" w16cid:durableId="1330062286">
    <w:abstractNumId w:val="806"/>
  </w:num>
  <w:num w:numId="262" w16cid:durableId="102768020">
    <w:abstractNumId w:val="11"/>
  </w:num>
  <w:num w:numId="263" w16cid:durableId="1931236656">
    <w:abstractNumId w:val="738"/>
  </w:num>
  <w:num w:numId="264" w16cid:durableId="678461350">
    <w:abstractNumId w:val="688"/>
  </w:num>
  <w:num w:numId="265" w16cid:durableId="1872721706">
    <w:abstractNumId w:val="223"/>
  </w:num>
  <w:num w:numId="266" w16cid:durableId="716003965">
    <w:abstractNumId w:val="230"/>
  </w:num>
  <w:num w:numId="267" w16cid:durableId="974917307">
    <w:abstractNumId w:val="413"/>
  </w:num>
  <w:num w:numId="268" w16cid:durableId="669983608">
    <w:abstractNumId w:val="610"/>
  </w:num>
  <w:num w:numId="269" w16cid:durableId="732890029">
    <w:abstractNumId w:val="674"/>
  </w:num>
  <w:num w:numId="270" w16cid:durableId="934554373">
    <w:abstractNumId w:val="640"/>
  </w:num>
  <w:num w:numId="271" w16cid:durableId="728725080">
    <w:abstractNumId w:val="767"/>
  </w:num>
  <w:num w:numId="272" w16cid:durableId="122507454">
    <w:abstractNumId w:val="585"/>
  </w:num>
  <w:num w:numId="273" w16cid:durableId="1325429962">
    <w:abstractNumId w:val="137"/>
  </w:num>
  <w:num w:numId="274" w16cid:durableId="779105288">
    <w:abstractNumId w:val="249"/>
  </w:num>
  <w:num w:numId="275" w16cid:durableId="398481016">
    <w:abstractNumId w:val="13"/>
  </w:num>
  <w:num w:numId="276" w16cid:durableId="2037198668">
    <w:abstractNumId w:val="518"/>
  </w:num>
  <w:num w:numId="277" w16cid:durableId="1232889088">
    <w:abstractNumId w:val="285"/>
  </w:num>
  <w:num w:numId="278" w16cid:durableId="247545848">
    <w:abstractNumId w:val="253"/>
  </w:num>
  <w:num w:numId="279" w16cid:durableId="109057370">
    <w:abstractNumId w:val="71"/>
  </w:num>
  <w:num w:numId="280" w16cid:durableId="577639336">
    <w:abstractNumId w:val="429"/>
  </w:num>
  <w:num w:numId="281" w16cid:durableId="1563326310">
    <w:abstractNumId w:val="474"/>
  </w:num>
  <w:num w:numId="282" w16cid:durableId="200368334">
    <w:abstractNumId w:val="791"/>
  </w:num>
  <w:num w:numId="283" w16cid:durableId="1159924425">
    <w:abstractNumId w:val="620"/>
  </w:num>
  <w:num w:numId="284" w16cid:durableId="1561550070">
    <w:abstractNumId w:val="473"/>
  </w:num>
  <w:num w:numId="285" w16cid:durableId="584412615">
    <w:abstractNumId w:val="143"/>
  </w:num>
  <w:num w:numId="286" w16cid:durableId="1537542966">
    <w:abstractNumId w:val="628"/>
  </w:num>
  <w:num w:numId="287" w16cid:durableId="1620212627">
    <w:abstractNumId w:val="126"/>
  </w:num>
  <w:num w:numId="288" w16cid:durableId="1305041400">
    <w:abstractNumId w:val="220"/>
  </w:num>
  <w:num w:numId="289" w16cid:durableId="1128671224">
    <w:abstractNumId w:val="749"/>
  </w:num>
  <w:num w:numId="290" w16cid:durableId="748306094">
    <w:abstractNumId w:val="481"/>
  </w:num>
  <w:num w:numId="291" w16cid:durableId="682315703">
    <w:abstractNumId w:val="497"/>
  </w:num>
  <w:num w:numId="292" w16cid:durableId="1543442529">
    <w:abstractNumId w:val="865"/>
  </w:num>
  <w:num w:numId="293" w16cid:durableId="1753232594">
    <w:abstractNumId w:val="310"/>
  </w:num>
  <w:num w:numId="294" w16cid:durableId="943735110">
    <w:abstractNumId w:val="746"/>
  </w:num>
  <w:num w:numId="295" w16cid:durableId="590356734">
    <w:abstractNumId w:val="165"/>
  </w:num>
  <w:num w:numId="296" w16cid:durableId="1383677161">
    <w:abstractNumId w:val="405"/>
  </w:num>
  <w:num w:numId="297" w16cid:durableId="229774068">
    <w:abstractNumId w:val="470"/>
  </w:num>
  <w:num w:numId="298" w16cid:durableId="1817600328">
    <w:abstractNumId w:val="500"/>
  </w:num>
  <w:num w:numId="299" w16cid:durableId="476995241">
    <w:abstractNumId w:val="619"/>
  </w:num>
  <w:num w:numId="300" w16cid:durableId="1779442584">
    <w:abstractNumId w:val="403"/>
  </w:num>
  <w:num w:numId="301" w16cid:durableId="206841381">
    <w:abstractNumId w:val="357"/>
  </w:num>
  <w:num w:numId="302" w16cid:durableId="1604412894">
    <w:abstractNumId w:val="748"/>
  </w:num>
  <w:num w:numId="303" w16cid:durableId="1424186416">
    <w:abstractNumId w:val="545"/>
  </w:num>
  <w:num w:numId="304" w16cid:durableId="2093620406">
    <w:abstractNumId w:val="743"/>
  </w:num>
  <w:num w:numId="305" w16cid:durableId="1958095869">
    <w:abstractNumId w:val="163"/>
  </w:num>
  <w:num w:numId="306" w16cid:durableId="869880763">
    <w:abstractNumId w:val="381"/>
  </w:num>
  <w:num w:numId="307" w16cid:durableId="2050914783">
    <w:abstractNumId w:val="462"/>
  </w:num>
  <w:num w:numId="308" w16cid:durableId="1215697256">
    <w:abstractNumId w:val="576"/>
  </w:num>
  <w:num w:numId="309" w16cid:durableId="1262296790">
    <w:abstractNumId w:val="278"/>
  </w:num>
  <w:num w:numId="310" w16cid:durableId="2053579090">
    <w:abstractNumId w:val="840"/>
  </w:num>
  <w:num w:numId="311" w16cid:durableId="503714036">
    <w:abstractNumId w:val="390"/>
  </w:num>
  <w:num w:numId="312" w16cid:durableId="1654406838">
    <w:abstractNumId w:val="850"/>
  </w:num>
  <w:num w:numId="313" w16cid:durableId="984621535">
    <w:abstractNumId w:val="336"/>
  </w:num>
  <w:num w:numId="314" w16cid:durableId="1720737952">
    <w:abstractNumId w:val="291"/>
  </w:num>
  <w:num w:numId="315" w16cid:durableId="1118792324">
    <w:abstractNumId w:val="289"/>
  </w:num>
  <w:num w:numId="316" w16cid:durableId="1150511905">
    <w:abstractNumId w:val="660"/>
  </w:num>
  <w:num w:numId="317" w16cid:durableId="1332218263">
    <w:abstractNumId w:val="643"/>
  </w:num>
  <w:num w:numId="318" w16cid:durableId="1106459030">
    <w:abstractNumId w:val="424"/>
  </w:num>
  <w:num w:numId="319" w16cid:durableId="1328048602">
    <w:abstractNumId w:val="503"/>
  </w:num>
  <w:num w:numId="320" w16cid:durableId="1048146519">
    <w:abstractNumId w:val="875"/>
  </w:num>
  <w:num w:numId="321" w16cid:durableId="1402025747">
    <w:abstractNumId w:val="465"/>
  </w:num>
  <w:num w:numId="322" w16cid:durableId="1514344367">
    <w:abstractNumId w:val="404"/>
  </w:num>
  <w:num w:numId="323" w16cid:durableId="2010596283">
    <w:abstractNumId w:val="592"/>
  </w:num>
  <w:num w:numId="324" w16cid:durableId="1002701752">
    <w:abstractNumId w:val="307"/>
  </w:num>
  <w:num w:numId="325" w16cid:durableId="1356812400">
    <w:abstractNumId w:val="838"/>
  </w:num>
  <w:num w:numId="326" w16cid:durableId="2076050811">
    <w:abstractNumId w:val="778"/>
  </w:num>
  <w:num w:numId="327" w16cid:durableId="156923869">
    <w:abstractNumId w:val="377"/>
  </w:num>
  <w:num w:numId="328" w16cid:durableId="316954934">
    <w:abstractNumId w:val="330"/>
  </w:num>
  <w:num w:numId="329" w16cid:durableId="1540119325">
    <w:abstractNumId w:val="549"/>
  </w:num>
  <w:num w:numId="330" w16cid:durableId="1744831652">
    <w:abstractNumId w:val="466"/>
  </w:num>
  <w:num w:numId="331" w16cid:durableId="861406973">
    <w:abstractNumId w:val="333"/>
  </w:num>
  <w:num w:numId="332" w16cid:durableId="1287270783">
    <w:abstractNumId w:val="144"/>
  </w:num>
  <w:num w:numId="333" w16cid:durableId="1790586637">
    <w:abstractNumId w:val="445"/>
  </w:num>
  <w:num w:numId="334" w16cid:durableId="843668619">
    <w:abstractNumId w:val="168"/>
  </w:num>
  <w:num w:numId="335" w16cid:durableId="780223399">
    <w:abstractNumId w:val="110"/>
  </w:num>
  <w:num w:numId="336" w16cid:durableId="1296258721">
    <w:abstractNumId w:val="282"/>
  </w:num>
  <w:num w:numId="337" w16cid:durableId="1158814072">
    <w:abstractNumId w:val="478"/>
  </w:num>
  <w:num w:numId="338" w16cid:durableId="1454711721">
    <w:abstractNumId w:val="419"/>
  </w:num>
  <w:num w:numId="339" w16cid:durableId="1078668510">
    <w:abstractNumId w:val="742"/>
  </w:num>
  <w:num w:numId="340" w16cid:durableId="41833708">
    <w:abstractNumId w:val="605"/>
  </w:num>
  <w:num w:numId="341" w16cid:durableId="1715616004">
    <w:abstractNumId w:val="96"/>
  </w:num>
  <w:num w:numId="342" w16cid:durableId="1461847840">
    <w:abstractNumId w:val="76"/>
  </w:num>
  <w:num w:numId="343" w16cid:durableId="450364696">
    <w:abstractNumId w:val="149"/>
  </w:num>
  <w:num w:numId="344" w16cid:durableId="90318408">
    <w:abstractNumId w:val="114"/>
  </w:num>
  <w:num w:numId="345" w16cid:durableId="1283654374">
    <w:abstractNumId w:val="676"/>
  </w:num>
  <w:num w:numId="346" w16cid:durableId="18285996">
    <w:abstractNumId w:val="325"/>
  </w:num>
  <w:num w:numId="347" w16cid:durableId="1344746775">
    <w:abstractNumId w:val="124"/>
  </w:num>
  <w:num w:numId="348" w16cid:durableId="1069962155">
    <w:abstractNumId w:val="557"/>
  </w:num>
  <w:num w:numId="349" w16cid:durableId="1092386563">
    <w:abstractNumId w:val="819"/>
  </w:num>
  <w:num w:numId="350" w16cid:durableId="1159225703">
    <w:abstractNumId w:val="250"/>
  </w:num>
  <w:num w:numId="351" w16cid:durableId="1126855066">
    <w:abstractNumId w:val="440"/>
  </w:num>
  <w:num w:numId="352" w16cid:durableId="1941714368">
    <w:abstractNumId w:val="311"/>
  </w:num>
  <w:num w:numId="353" w16cid:durableId="684792188">
    <w:abstractNumId w:val="449"/>
  </w:num>
  <w:num w:numId="354" w16cid:durableId="2079086586">
    <w:abstractNumId w:val="822"/>
  </w:num>
  <w:num w:numId="355" w16cid:durableId="273295585">
    <w:abstractNumId w:val="276"/>
  </w:num>
  <w:num w:numId="356" w16cid:durableId="449789172">
    <w:abstractNumId w:val="226"/>
  </w:num>
  <w:num w:numId="357" w16cid:durableId="1986623119">
    <w:abstractNumId w:val="297"/>
  </w:num>
  <w:num w:numId="358" w16cid:durableId="1363820801">
    <w:abstractNumId w:val="210"/>
  </w:num>
  <w:num w:numId="359" w16cid:durableId="1275795033">
    <w:abstractNumId w:val="365"/>
  </w:num>
  <w:num w:numId="360" w16cid:durableId="1876305643">
    <w:abstractNumId w:val="29"/>
  </w:num>
  <w:num w:numId="361" w16cid:durableId="667632367">
    <w:abstractNumId w:val="817"/>
  </w:num>
  <w:num w:numId="362" w16cid:durableId="1752921106">
    <w:abstractNumId w:val="833"/>
  </w:num>
  <w:num w:numId="363" w16cid:durableId="1139763173">
    <w:abstractNumId w:val="349"/>
  </w:num>
  <w:num w:numId="364" w16cid:durableId="1833056534">
    <w:abstractNumId w:val="17"/>
  </w:num>
  <w:num w:numId="365" w16cid:durableId="819730561">
    <w:abstractNumId w:val="757"/>
  </w:num>
  <w:num w:numId="366" w16cid:durableId="740903356">
    <w:abstractNumId w:val="211"/>
  </w:num>
  <w:num w:numId="367" w16cid:durableId="41832516">
    <w:abstractNumId w:val="195"/>
  </w:num>
  <w:num w:numId="368" w16cid:durableId="1022784469">
    <w:abstractNumId w:val="354"/>
  </w:num>
  <w:num w:numId="369" w16cid:durableId="1621107002">
    <w:abstractNumId w:val="215"/>
  </w:num>
  <w:num w:numId="370" w16cid:durableId="1043559795">
    <w:abstractNumId w:val="296"/>
  </w:num>
  <w:num w:numId="371" w16cid:durableId="163015650">
    <w:abstractNumId w:val="384"/>
  </w:num>
  <w:num w:numId="372" w16cid:durableId="2067022667">
    <w:abstractNumId w:val="584"/>
  </w:num>
  <w:num w:numId="373" w16cid:durableId="1149707790">
    <w:abstractNumId w:val="192"/>
  </w:num>
  <w:num w:numId="374" w16cid:durableId="1471438190">
    <w:abstractNumId w:val="889"/>
  </w:num>
  <w:num w:numId="375" w16cid:durableId="760217848">
    <w:abstractNumId w:val="299"/>
  </w:num>
  <w:num w:numId="376" w16cid:durableId="503126322">
    <w:abstractNumId w:val="511"/>
  </w:num>
  <w:num w:numId="377" w16cid:durableId="534855096">
    <w:abstractNumId w:val="352"/>
  </w:num>
  <w:num w:numId="378" w16cid:durableId="1899826801">
    <w:abstractNumId w:val="151"/>
  </w:num>
  <w:num w:numId="379" w16cid:durableId="1744256783">
    <w:abstractNumId w:val="694"/>
  </w:num>
  <w:num w:numId="380" w16cid:durableId="236281052">
    <w:abstractNumId w:val="103"/>
  </w:num>
  <w:num w:numId="381" w16cid:durableId="389572162">
    <w:abstractNumId w:val="770"/>
  </w:num>
  <w:num w:numId="382" w16cid:durableId="1393239290">
    <w:abstractNumId w:val="532"/>
  </w:num>
  <w:num w:numId="383" w16cid:durableId="1822622425">
    <w:abstractNumId w:val="876"/>
  </w:num>
  <w:num w:numId="384" w16cid:durableId="809635807">
    <w:abstractNumId w:val="189"/>
  </w:num>
  <w:num w:numId="385" w16cid:durableId="1245186200">
    <w:abstractNumId w:val="722"/>
  </w:num>
  <w:num w:numId="386" w16cid:durableId="577711860">
    <w:abstractNumId w:val="187"/>
  </w:num>
  <w:num w:numId="387" w16cid:durableId="10451502">
    <w:abstractNumId w:val="464"/>
  </w:num>
  <w:num w:numId="388" w16cid:durableId="1313561936">
    <w:abstractNumId w:val="828"/>
  </w:num>
  <w:num w:numId="389" w16cid:durableId="296449677">
    <w:abstractNumId w:val="371"/>
  </w:num>
  <w:num w:numId="390" w16cid:durableId="1303803714">
    <w:abstractNumId w:val="617"/>
  </w:num>
  <w:num w:numId="391" w16cid:durableId="1237016464">
    <w:abstractNumId w:val="679"/>
  </w:num>
  <w:num w:numId="392" w16cid:durableId="10423293">
    <w:abstractNumId w:val="205"/>
  </w:num>
  <w:num w:numId="393" w16cid:durableId="857424043">
    <w:abstractNumId w:val="655"/>
  </w:num>
  <w:num w:numId="394" w16cid:durableId="514422134">
    <w:abstractNumId w:val="112"/>
  </w:num>
  <w:num w:numId="395" w16cid:durableId="978149636">
    <w:abstractNumId w:val="125"/>
  </w:num>
  <w:num w:numId="396" w16cid:durableId="1530875951">
    <w:abstractNumId w:val="734"/>
  </w:num>
  <w:num w:numId="397" w16cid:durableId="373849719">
    <w:abstractNumId w:val="830"/>
  </w:num>
  <w:num w:numId="398" w16cid:durableId="1888561681">
    <w:abstractNumId w:val="871"/>
  </w:num>
  <w:num w:numId="399" w16cid:durableId="2027948755">
    <w:abstractNumId w:val="44"/>
  </w:num>
  <w:num w:numId="400" w16cid:durableId="769424434">
    <w:abstractNumId w:val="695"/>
  </w:num>
  <w:num w:numId="401" w16cid:durableId="1094398073">
    <w:abstractNumId w:val="604"/>
  </w:num>
  <w:num w:numId="402" w16cid:durableId="1490904463">
    <w:abstractNumId w:val="852"/>
  </w:num>
  <w:num w:numId="403" w16cid:durableId="361174569">
    <w:abstractNumId w:val="745"/>
  </w:num>
  <w:num w:numId="404" w16cid:durableId="747112378">
    <w:abstractNumId w:val="244"/>
  </w:num>
  <w:num w:numId="405" w16cid:durableId="715083714">
    <w:abstractNumId w:val="159"/>
  </w:num>
  <w:num w:numId="406" w16cid:durableId="1925263162">
    <w:abstractNumId w:val="129"/>
  </w:num>
  <w:num w:numId="407" w16cid:durableId="120732160">
    <w:abstractNumId w:val="475"/>
  </w:num>
  <w:num w:numId="408" w16cid:durableId="140195429">
    <w:abstractNumId w:val="795"/>
  </w:num>
  <w:num w:numId="409" w16cid:durableId="1284381188">
    <w:abstractNumId w:val="582"/>
  </w:num>
  <w:num w:numId="410" w16cid:durableId="698361025">
    <w:abstractNumId w:val="40"/>
  </w:num>
  <w:num w:numId="411" w16cid:durableId="1922792312">
    <w:abstractNumId w:val="546"/>
  </w:num>
  <w:num w:numId="412" w16cid:durableId="1636249851">
    <w:abstractNumId w:val="213"/>
  </w:num>
  <w:num w:numId="413" w16cid:durableId="202984093">
    <w:abstractNumId w:val="477"/>
  </w:num>
  <w:num w:numId="414" w16cid:durableId="1616249192">
    <w:abstractNumId w:val="33"/>
  </w:num>
  <w:num w:numId="415" w16cid:durableId="1696693048">
    <w:abstractNumId w:val="132"/>
  </w:num>
  <w:num w:numId="416" w16cid:durableId="1998219161">
    <w:abstractNumId w:val="145"/>
  </w:num>
  <w:num w:numId="417" w16cid:durableId="550384100">
    <w:abstractNumId w:val="117"/>
  </w:num>
  <w:num w:numId="418" w16cid:durableId="92677659">
    <w:abstractNumId w:val="630"/>
  </w:num>
  <w:num w:numId="419" w16cid:durableId="1588731573">
    <w:abstractNumId w:val="677"/>
  </w:num>
  <w:num w:numId="420" w16cid:durableId="1089041246">
    <w:abstractNumId w:val="265"/>
  </w:num>
  <w:num w:numId="421" w16cid:durableId="833453454">
    <w:abstractNumId w:val="269"/>
  </w:num>
  <w:num w:numId="422" w16cid:durableId="647826073">
    <w:abstractNumId w:val="448"/>
  </w:num>
  <w:num w:numId="423" w16cid:durableId="993872668">
    <w:abstractNumId w:val="665"/>
  </w:num>
  <w:num w:numId="424" w16cid:durableId="1376463319">
    <w:abstractNumId w:val="626"/>
  </w:num>
  <w:num w:numId="425" w16cid:durableId="760834874">
    <w:abstractNumId w:val="697"/>
  </w:num>
  <w:num w:numId="426" w16cid:durableId="1778407237">
    <w:abstractNumId w:val="380"/>
  </w:num>
  <w:num w:numId="427" w16cid:durableId="4983453">
    <w:abstractNumId w:val="609"/>
  </w:num>
  <w:num w:numId="428" w16cid:durableId="1191139971">
    <w:abstractNumId w:val="346"/>
  </w:num>
  <w:num w:numId="429" w16cid:durableId="1045062123">
    <w:abstractNumId w:val="847"/>
  </w:num>
  <w:num w:numId="430" w16cid:durableId="831995238">
    <w:abstractNumId w:val="752"/>
  </w:num>
  <w:num w:numId="431" w16cid:durableId="1381399489">
    <w:abstractNumId w:val="89"/>
  </w:num>
  <w:num w:numId="432" w16cid:durableId="475493427">
    <w:abstractNumId w:val="436"/>
  </w:num>
  <w:num w:numId="433" w16cid:durableId="1658266482">
    <w:abstractNumId w:val="185"/>
  </w:num>
  <w:num w:numId="434" w16cid:durableId="1181314295">
    <w:abstractNumId w:val="635"/>
  </w:num>
  <w:num w:numId="435" w16cid:durableId="1563449015">
    <w:abstractNumId w:val="399"/>
  </w:num>
  <w:num w:numId="436" w16cid:durableId="654723756">
    <w:abstractNumId w:val="786"/>
  </w:num>
  <w:num w:numId="437" w16cid:durableId="408504692">
    <w:abstractNumId w:val="813"/>
  </w:num>
  <w:num w:numId="438" w16cid:durableId="1436511869">
    <w:abstractNumId w:val="579"/>
  </w:num>
  <w:num w:numId="439" w16cid:durableId="1171683422">
    <w:abstractNumId w:val="335"/>
  </w:num>
  <w:num w:numId="440" w16cid:durableId="1051267431">
    <w:abstractNumId w:val="154"/>
  </w:num>
  <w:num w:numId="441" w16cid:durableId="1666861216">
    <w:abstractNumId w:val="625"/>
  </w:num>
  <w:num w:numId="442" w16cid:durableId="206794314">
    <w:abstractNumId w:val="417"/>
  </w:num>
  <w:num w:numId="443" w16cid:durableId="390081136">
    <w:abstractNumId w:val="600"/>
  </w:num>
  <w:num w:numId="444" w16cid:durableId="1396973868">
    <w:abstractNumId w:val="72"/>
  </w:num>
  <w:num w:numId="445" w16cid:durableId="207180257">
    <w:abstractNumId w:val="552"/>
  </w:num>
  <w:num w:numId="446" w16cid:durableId="1686861510">
    <w:abstractNumId w:val="31"/>
  </w:num>
  <w:num w:numId="447" w16cid:durableId="730882001">
    <w:abstractNumId w:val="495"/>
  </w:num>
  <w:num w:numId="448" w16cid:durableId="1643848523">
    <w:abstractNumId w:val="516"/>
  </w:num>
  <w:num w:numId="449" w16cid:durableId="159539940">
    <w:abstractNumId w:val="30"/>
  </w:num>
  <w:num w:numId="450" w16cid:durableId="596213147">
    <w:abstractNumId w:val="673"/>
  </w:num>
  <w:num w:numId="451" w16cid:durableId="338890627">
    <w:abstractNumId w:val="246"/>
  </w:num>
  <w:num w:numId="452" w16cid:durableId="233248604">
    <w:abstractNumId w:val="90"/>
  </w:num>
  <w:num w:numId="453" w16cid:durableId="736051333">
    <w:abstractNumId w:val="183"/>
  </w:num>
  <w:num w:numId="454" w16cid:durableId="1582258652">
    <w:abstractNumId w:val="543"/>
  </w:num>
  <w:num w:numId="455" w16cid:durableId="2138251476">
    <w:abstractNumId w:val="594"/>
  </w:num>
  <w:num w:numId="456" w16cid:durableId="2059042656">
    <w:abstractNumId w:val="142"/>
  </w:num>
  <w:num w:numId="457" w16cid:durableId="2107536072">
    <w:abstractNumId w:val="363"/>
  </w:num>
  <w:num w:numId="458" w16cid:durableId="1648126739">
    <w:abstractNumId w:val="709"/>
  </w:num>
  <w:num w:numId="459" w16cid:durableId="1347096556">
    <w:abstractNumId w:val="690"/>
  </w:num>
  <w:num w:numId="460" w16cid:durableId="856114312">
    <w:abstractNumId w:val="523"/>
  </w:num>
  <w:num w:numId="461" w16cid:durableId="1982149362">
    <w:abstractNumId w:val="504"/>
  </w:num>
  <w:num w:numId="462" w16cid:durableId="1444611042">
    <w:abstractNumId w:val="818"/>
  </w:num>
  <w:num w:numId="463" w16cid:durableId="541210577">
    <w:abstractNumId w:val="494"/>
  </w:num>
  <w:num w:numId="464" w16cid:durableId="305284790">
    <w:abstractNumId w:val="492"/>
  </w:num>
  <w:num w:numId="465" w16cid:durableId="1161433302">
    <w:abstractNumId w:val="670"/>
  </w:num>
  <w:num w:numId="466" w16cid:durableId="1969973581">
    <w:abstractNumId w:val="888"/>
  </w:num>
  <w:num w:numId="467" w16cid:durableId="833498670">
    <w:abstractNumId w:val="10"/>
  </w:num>
  <w:num w:numId="468" w16cid:durableId="608581651">
    <w:abstractNumId w:val="182"/>
  </w:num>
  <w:num w:numId="469" w16cid:durableId="1575312357">
    <w:abstractNumId w:val="501"/>
  </w:num>
  <w:num w:numId="470" w16cid:durableId="1928423485">
    <w:abstractNumId w:val="348"/>
  </w:num>
  <w:num w:numId="471" w16cid:durableId="279797090">
    <w:abstractNumId w:val="548"/>
  </w:num>
  <w:num w:numId="472" w16cid:durableId="351957791">
    <w:abstractNumId w:val="629"/>
  </w:num>
  <w:num w:numId="473" w16cid:durableId="612253945">
    <w:abstractNumId w:val="35"/>
  </w:num>
  <w:num w:numId="474" w16cid:durableId="1586761066">
    <w:abstractNumId w:val="867"/>
  </w:num>
  <w:num w:numId="475" w16cid:durableId="1317370154">
    <w:abstractNumId w:val="597"/>
  </w:num>
  <w:num w:numId="476" w16cid:durableId="109059185">
    <w:abstractNumId w:val="292"/>
  </w:num>
  <w:num w:numId="477" w16cid:durableId="326322022">
    <w:abstractNumId w:val="804"/>
  </w:num>
  <w:num w:numId="478" w16cid:durableId="105581326">
    <w:abstractNumId w:val="832"/>
  </w:num>
  <w:num w:numId="479" w16cid:durableId="2146582264">
    <w:abstractNumId w:val="733"/>
  </w:num>
  <w:num w:numId="480" w16cid:durableId="1357580694">
    <w:abstractNumId w:val="128"/>
  </w:num>
  <w:num w:numId="481" w16cid:durableId="195586835">
    <w:abstractNumId w:val="14"/>
  </w:num>
  <w:num w:numId="482" w16cid:durableId="79373971">
    <w:abstractNumId w:val="221"/>
  </w:num>
  <w:num w:numId="483" w16cid:durableId="1000620536">
    <w:abstractNumId w:val="188"/>
  </w:num>
  <w:num w:numId="484" w16cid:durableId="1190025061">
    <w:abstractNumId w:val="751"/>
  </w:num>
  <w:num w:numId="485" w16cid:durableId="1120881352">
    <w:abstractNumId w:val="455"/>
  </w:num>
  <w:num w:numId="486" w16cid:durableId="1680695678">
    <w:abstractNumId w:val="860"/>
  </w:num>
  <w:num w:numId="487" w16cid:durableId="1830125431">
    <w:abstractNumId w:val="235"/>
  </w:num>
  <w:num w:numId="488" w16cid:durableId="1538811055">
    <w:abstractNumId w:val="86"/>
  </w:num>
  <w:num w:numId="489" w16cid:durableId="1268152119">
    <w:abstractNumId w:val="843"/>
  </w:num>
  <w:num w:numId="490" w16cid:durableId="1769932036">
    <w:abstractNumId w:val="46"/>
  </w:num>
  <w:num w:numId="491" w16cid:durableId="1878204096">
    <w:abstractNumId w:val="472"/>
  </w:num>
  <w:num w:numId="492" w16cid:durableId="781074852">
    <w:abstractNumId w:val="717"/>
  </w:num>
  <w:num w:numId="493" w16cid:durableId="2027363113">
    <w:abstractNumId w:val="561"/>
  </w:num>
  <w:num w:numId="494" w16cid:durableId="1488013746">
    <w:abstractNumId w:val="756"/>
  </w:num>
  <w:num w:numId="495" w16cid:durableId="1083181316">
    <w:abstractNumId w:val="721"/>
  </w:num>
  <w:num w:numId="496" w16cid:durableId="1628776430">
    <w:abstractNumId w:val="202"/>
  </w:num>
  <w:num w:numId="497" w16cid:durableId="2010137724">
    <w:abstractNumId w:val="583"/>
  </w:num>
  <w:num w:numId="498" w16cid:durableId="363604921">
    <w:abstractNumId w:val="812"/>
  </w:num>
  <w:num w:numId="499" w16cid:durableId="382943224">
    <w:abstractNumId w:val="257"/>
  </w:num>
  <w:num w:numId="500" w16cid:durableId="1076324925">
    <w:abstractNumId w:val="92"/>
  </w:num>
  <w:num w:numId="501" w16cid:durableId="1117875372">
    <w:abstractNumId w:val="136"/>
  </w:num>
  <w:num w:numId="502" w16cid:durableId="97796123">
    <w:abstractNumId w:val="698"/>
  </w:num>
  <w:num w:numId="503" w16cid:durableId="951591150">
    <w:abstractNumId w:val="692"/>
  </w:num>
  <w:num w:numId="504" w16cid:durableId="706685435">
    <w:abstractNumId w:val="460"/>
  </w:num>
  <w:num w:numId="505" w16cid:durableId="1801873358">
    <w:abstractNumId w:val="568"/>
  </w:num>
  <w:num w:numId="506" w16cid:durableId="289169536">
    <w:abstractNumId w:val="318"/>
  </w:num>
  <w:num w:numId="507" w16cid:durableId="894850479">
    <w:abstractNumId w:val="262"/>
  </w:num>
  <w:num w:numId="508" w16cid:durableId="1789665891">
    <w:abstractNumId w:val="642"/>
  </w:num>
  <w:num w:numId="509" w16cid:durableId="387190008">
    <w:abstractNumId w:val="447"/>
  </w:num>
  <w:num w:numId="510" w16cid:durableId="2036926808">
    <w:abstractNumId w:val="241"/>
  </w:num>
  <w:num w:numId="511" w16cid:durableId="1108042419">
    <w:abstractNumId w:val="194"/>
  </w:num>
  <w:num w:numId="512" w16cid:durableId="1251038058">
    <w:abstractNumId w:val="135"/>
  </w:num>
  <w:num w:numId="513" w16cid:durableId="511336343">
    <w:abstractNumId w:val="298"/>
  </w:num>
  <w:num w:numId="514" w16cid:durableId="862520140">
    <w:abstractNumId w:val="730"/>
  </w:num>
  <w:num w:numId="515" w16cid:durableId="1893074345">
    <w:abstractNumId w:val="753"/>
  </w:num>
  <w:num w:numId="516" w16cid:durableId="1609391865">
    <w:abstractNumId w:val="800"/>
  </w:num>
  <w:num w:numId="517" w16cid:durableId="203636062">
    <w:abstractNumId w:val="118"/>
  </w:num>
  <w:num w:numId="518" w16cid:durableId="762338723">
    <w:abstractNumId w:val="851"/>
  </w:num>
  <w:num w:numId="519" w16cid:durableId="1439258479">
    <w:abstractNumId w:val="685"/>
  </w:num>
  <w:num w:numId="520" w16cid:durableId="336276568">
    <w:abstractNumId w:val="362"/>
  </w:num>
  <w:num w:numId="521" w16cid:durableId="1596327816">
    <w:abstractNumId w:val="637"/>
  </w:num>
  <w:num w:numId="522" w16cid:durableId="1202280403">
    <w:abstractNumId w:val="835"/>
  </w:num>
  <w:num w:numId="523" w16cid:durableId="1255822881">
    <w:abstractNumId w:val="437"/>
  </w:num>
  <w:num w:numId="524" w16cid:durableId="1937979150">
    <w:abstractNumId w:val="656"/>
  </w:num>
  <w:num w:numId="525" w16cid:durableId="713774577">
    <w:abstractNumId w:val="203"/>
  </w:num>
  <w:num w:numId="526" w16cid:durableId="1124695103">
    <w:abstractNumId w:val="509"/>
  </w:num>
  <w:num w:numId="527" w16cid:durableId="115830042">
    <w:abstractNumId w:val="544"/>
  </w:num>
  <w:num w:numId="528" w16cid:durableId="289871578">
    <w:abstractNumId w:val="776"/>
  </w:num>
  <w:num w:numId="529" w16cid:durableId="537789038">
    <w:abstractNumId w:val="593"/>
  </w:num>
  <w:num w:numId="530" w16cid:durableId="529412000">
    <w:abstractNumId w:val="204"/>
  </w:num>
  <w:num w:numId="531" w16cid:durableId="1915776993">
    <w:abstractNumId w:val="6"/>
  </w:num>
  <w:num w:numId="532" w16cid:durableId="1127971788">
    <w:abstractNumId w:val="366"/>
  </w:num>
  <w:num w:numId="533" w16cid:durableId="1176194719">
    <w:abstractNumId w:val="334"/>
  </w:num>
  <w:num w:numId="534" w16cid:durableId="403336277">
    <w:abstractNumId w:val="621"/>
  </w:num>
  <w:num w:numId="535" w16cid:durableId="251664644">
    <w:abstractNumId w:val="845"/>
  </w:num>
  <w:num w:numId="536" w16cid:durableId="1977880286">
    <w:abstractNumId w:val="454"/>
  </w:num>
  <w:num w:numId="537" w16cid:durableId="1513884575">
    <w:abstractNumId w:val="139"/>
  </w:num>
  <w:num w:numId="538" w16cid:durableId="1291012149">
    <w:abstractNumId w:val="737"/>
  </w:num>
  <w:num w:numId="539" w16cid:durableId="1613365535">
    <w:abstractNumId w:val="446"/>
  </w:num>
  <w:num w:numId="540" w16cid:durableId="1905067576">
    <w:abstractNumId w:val="219"/>
  </w:num>
  <w:num w:numId="541" w16cid:durableId="1958758255">
    <w:abstractNumId w:val="355"/>
  </w:num>
  <w:num w:numId="542" w16cid:durableId="1072003248">
    <w:abstractNumId w:val="430"/>
  </w:num>
  <w:num w:numId="543" w16cid:durableId="867371068">
    <w:abstractNumId w:val="141"/>
  </w:num>
  <w:num w:numId="544" w16cid:durableId="1636064256">
    <w:abstractNumId w:val="521"/>
  </w:num>
  <w:num w:numId="545" w16cid:durableId="348219642">
    <w:abstractNumId w:val="147"/>
  </w:num>
  <w:num w:numId="546" w16cid:durableId="1798796029">
    <w:abstractNumId w:val="294"/>
  </w:num>
  <w:num w:numId="547" w16cid:durableId="337006465">
    <w:abstractNumId w:val="556"/>
  </w:num>
  <w:num w:numId="548" w16cid:durableId="2128347879">
    <w:abstractNumId w:val="178"/>
  </w:num>
  <w:num w:numId="549" w16cid:durableId="59332616">
    <w:abstractNumId w:val="784"/>
  </w:num>
  <w:num w:numId="550" w16cid:durableId="405492725">
    <w:abstractNumId w:val="312"/>
  </w:num>
  <w:num w:numId="551" w16cid:durableId="591208907">
    <w:abstractNumId w:val="146"/>
  </w:num>
  <w:num w:numId="552" w16cid:durableId="1140730087">
    <w:abstractNumId w:val="559"/>
  </w:num>
  <w:num w:numId="553" w16cid:durableId="931161075">
    <w:abstractNumId w:val="572"/>
  </w:num>
  <w:num w:numId="554" w16cid:durableId="963999673">
    <w:abstractNumId w:val="633"/>
  </w:num>
  <w:num w:numId="555" w16cid:durableId="943682937">
    <w:abstractNumId w:val="161"/>
  </w:num>
  <w:num w:numId="556" w16cid:durableId="1048916213">
    <w:abstractNumId w:val="225"/>
  </w:num>
  <w:num w:numId="557" w16cid:durableId="90973989">
    <w:abstractNumId w:val="261"/>
  </w:num>
  <w:num w:numId="558" w16cid:durableId="555122680">
    <w:abstractNumId w:val="870"/>
  </w:num>
  <w:num w:numId="559" w16cid:durableId="28263341">
    <w:abstractNumId w:val="764"/>
  </w:num>
  <w:num w:numId="560" w16cid:durableId="311913839">
    <w:abstractNumId w:val="438"/>
  </w:num>
  <w:num w:numId="561" w16cid:durableId="1118722528">
    <w:abstractNumId w:val="50"/>
  </w:num>
  <w:num w:numId="562" w16cid:durableId="811602843">
    <w:abstractNumId w:val="565"/>
  </w:num>
  <w:num w:numId="563" w16cid:durableId="1360475885">
    <w:abstractNumId w:val="248"/>
  </w:num>
  <w:num w:numId="564" w16cid:durableId="1488324043">
    <w:abstractNumId w:val="120"/>
  </w:num>
  <w:num w:numId="565" w16cid:durableId="1088772658">
    <w:abstractNumId w:val="19"/>
  </w:num>
  <w:num w:numId="566" w16cid:durableId="1321271685">
    <w:abstractNumId w:val="453"/>
  </w:num>
  <w:num w:numId="567" w16cid:durableId="947614569">
    <w:abstractNumId w:val="590"/>
  </w:num>
  <w:num w:numId="568" w16cid:durableId="213591476">
    <w:abstractNumId w:val="217"/>
  </w:num>
  <w:num w:numId="569" w16cid:durableId="560602000">
    <w:abstractNumId w:val="107"/>
  </w:num>
  <w:num w:numId="570" w16cid:durableId="117453030">
    <w:abstractNumId w:val="237"/>
  </w:num>
  <w:num w:numId="571" w16cid:durableId="718895403">
    <w:abstractNumId w:val="507"/>
  </w:num>
  <w:num w:numId="572" w16cid:durableId="1001160215">
    <w:abstractNumId w:val="79"/>
  </w:num>
  <w:num w:numId="573" w16cid:durableId="1968392145">
    <w:abstractNumId w:val="603"/>
  </w:num>
  <w:num w:numId="574" w16cid:durableId="1182011818">
    <w:abstractNumId w:val="586"/>
  </w:num>
  <w:num w:numId="575" w16cid:durableId="400107275">
    <w:abstractNumId w:val="890"/>
  </w:num>
  <w:num w:numId="576" w16cid:durableId="605313549">
    <w:abstractNumId w:val="841"/>
  </w:num>
  <w:num w:numId="577" w16cid:durableId="1690252009">
    <w:abstractNumId w:val="714"/>
  </w:num>
  <w:num w:numId="578" w16cid:durableId="666445401">
    <w:abstractNumId w:val="577"/>
  </w:num>
  <w:num w:numId="579" w16cid:durableId="339084379">
    <w:abstractNumId w:val="421"/>
  </w:num>
  <w:num w:numId="580" w16cid:durableId="1379814675">
    <w:abstractNumId w:val="130"/>
  </w:num>
  <w:num w:numId="581" w16cid:durableId="1631474837">
    <w:abstractNumId w:val="199"/>
  </w:num>
  <w:num w:numId="582" w16cid:durableId="184291202">
    <w:abstractNumId w:val="133"/>
  </w:num>
  <w:num w:numId="583" w16cid:durableId="2080863808">
    <w:abstractNumId w:val="530"/>
  </w:num>
  <w:num w:numId="584" w16cid:durableId="333605830">
    <w:abstractNumId w:val="166"/>
  </w:num>
  <w:num w:numId="585" w16cid:durableId="47074396">
    <w:abstractNumId w:val="859"/>
  </w:num>
  <w:num w:numId="586" w16cid:durableId="783353721">
    <w:abstractNumId w:val="517"/>
  </w:num>
  <w:num w:numId="587" w16cid:durableId="1310591346">
    <w:abstractNumId w:val="302"/>
  </w:num>
  <w:num w:numId="588" w16cid:durableId="79453407">
    <w:abstractNumId w:val="607"/>
  </w:num>
  <w:num w:numId="589" w16cid:durableId="1600723421">
    <w:abstractNumId w:val="534"/>
  </w:num>
  <w:num w:numId="590" w16cid:durableId="1145320930">
    <w:abstractNumId w:val="353"/>
  </w:num>
  <w:num w:numId="591" w16cid:durableId="602227521">
    <w:abstractNumId w:val="386"/>
  </w:num>
  <w:num w:numId="592" w16cid:durableId="1270429977">
    <w:abstractNumId w:val="893"/>
  </w:num>
  <w:num w:numId="593" w16cid:durableId="43456930">
    <w:abstractNumId w:val="700"/>
  </w:num>
  <w:num w:numId="594" w16cid:durableId="1561819321">
    <w:abstractNumId w:val="855"/>
  </w:num>
  <w:num w:numId="595" w16cid:durableId="543449886">
    <w:abstractNumId w:val="598"/>
  </w:num>
  <w:num w:numId="596" w16cid:durableId="1780027828">
    <w:abstractNumId w:val="317"/>
  </w:num>
  <w:num w:numId="597" w16cid:durableId="491529434">
    <w:abstractNumId w:val="496"/>
  </w:num>
  <w:num w:numId="598" w16cid:durableId="553657300">
    <w:abstractNumId w:val="461"/>
  </w:num>
  <w:num w:numId="599" w16cid:durableId="51395866">
    <w:abstractNumId w:val="439"/>
  </w:num>
  <w:num w:numId="600" w16cid:durableId="177426104">
    <w:abstractNumId w:val="231"/>
  </w:num>
  <w:num w:numId="601" w16cid:durableId="179976444">
    <w:abstractNumId w:val="406"/>
  </w:num>
  <w:num w:numId="602" w16cid:durableId="1703749026">
    <w:abstractNumId w:val="467"/>
  </w:num>
  <w:num w:numId="603" w16cid:durableId="2095514039">
    <w:abstractNumId w:val="491"/>
  </w:num>
  <w:num w:numId="604" w16cid:durableId="1304386831">
    <w:abstractNumId w:val="206"/>
  </w:num>
  <w:num w:numId="605" w16cid:durableId="23405137">
    <w:abstractNumId w:val="4"/>
  </w:num>
  <w:num w:numId="606" w16cid:durableId="209538491">
    <w:abstractNumId w:val="356"/>
  </w:num>
  <w:num w:numId="607" w16cid:durableId="1361206508">
    <w:abstractNumId w:val="64"/>
  </w:num>
  <w:num w:numId="608" w16cid:durableId="227425757">
    <w:abstractNumId w:val="731"/>
  </w:num>
  <w:num w:numId="609" w16cid:durableId="1151750628">
    <w:abstractNumId w:val="242"/>
  </w:num>
  <w:num w:numId="610" w16cid:durableId="482310494">
    <w:abstractNumId w:val="614"/>
  </w:num>
  <w:num w:numId="611" w16cid:durableId="459953566">
    <w:abstractNumId w:val="196"/>
  </w:num>
  <w:num w:numId="612" w16cid:durableId="358702236">
    <w:abstractNumId w:val="484"/>
  </w:num>
  <w:num w:numId="613" w16cid:durableId="1837260385">
    <w:abstractNumId w:val="563"/>
  </w:num>
  <w:num w:numId="614" w16cid:durableId="523981636">
    <w:abstractNumId w:val="84"/>
  </w:num>
  <w:num w:numId="615" w16cid:durableId="2134324337">
    <w:abstractNumId w:val="816"/>
  </w:num>
  <w:num w:numId="616" w16cid:durableId="361978003">
    <w:abstractNumId w:val="659"/>
  </w:num>
  <w:num w:numId="617" w16cid:durableId="1734427656">
    <w:abstractNumId w:val="740"/>
  </w:num>
  <w:num w:numId="618" w16cid:durableId="2025742547">
    <w:abstractNumId w:val="611"/>
  </w:num>
  <w:num w:numId="619" w16cid:durableId="859778661">
    <w:abstractNumId w:val="397"/>
  </w:num>
  <w:num w:numId="620" w16cid:durableId="466166855">
    <w:abstractNumId w:val="861"/>
  </w:num>
  <w:num w:numId="621" w16cid:durableId="1061367264">
    <w:abstractNumId w:val="596"/>
  </w:num>
  <w:num w:numId="622" w16cid:durableId="790364344">
    <w:abstractNumId w:val="882"/>
  </w:num>
  <w:num w:numId="623" w16cid:durableId="1919554242">
    <w:abstractNumId w:val="601"/>
  </w:num>
  <w:num w:numId="624" w16cid:durableId="613024601">
    <w:abstractNumId w:val="515"/>
  </w:num>
  <w:num w:numId="625" w16cid:durableId="169756297">
    <w:abstractNumId w:val="704"/>
  </w:num>
  <w:num w:numId="626" w16cid:durableId="1094058495">
    <w:abstractNumId w:val="483"/>
  </w:num>
  <w:num w:numId="627" w16cid:durableId="282738189">
    <w:abstractNumId w:val="618"/>
  </w:num>
  <w:num w:numId="628" w16cid:durableId="757215029">
    <w:abstractNumId w:val="344"/>
  </w:num>
  <w:num w:numId="629" w16cid:durableId="1645116393">
    <w:abstractNumId w:val="301"/>
  </w:num>
  <w:num w:numId="630" w16cid:durableId="2096196354">
    <w:abstractNumId w:val="34"/>
  </w:num>
  <w:num w:numId="631" w16cid:durableId="1474758093">
    <w:abstractNumId w:val="824"/>
  </w:num>
  <w:num w:numId="632" w16cid:durableId="452208504">
    <w:abstractNumId w:val="664"/>
  </w:num>
  <w:num w:numId="633" w16cid:durableId="1621960128">
    <w:abstractNumId w:val="138"/>
  </w:num>
  <w:num w:numId="634" w16cid:durableId="1323044500">
    <w:abstractNumId w:val="134"/>
  </w:num>
  <w:num w:numId="635" w16cid:durableId="3171409">
    <w:abstractNumId w:val="398"/>
  </w:num>
  <w:num w:numId="636" w16cid:durableId="393938916">
    <w:abstractNumId w:val="119"/>
  </w:num>
  <w:num w:numId="637" w16cid:durableId="428238597">
    <w:abstractNumId w:val="663"/>
  </w:num>
  <w:num w:numId="638" w16cid:durableId="1536624285">
    <w:abstractNumId w:val="803"/>
  </w:num>
  <w:num w:numId="639" w16cid:durableId="1844391737">
    <w:abstractNumId w:val="150"/>
  </w:num>
  <w:num w:numId="640" w16cid:durableId="1417902223">
    <w:abstractNumId w:val="87"/>
  </w:num>
  <w:num w:numId="641" w16cid:durableId="196166195">
    <w:abstractNumId w:val="443"/>
  </w:num>
  <w:num w:numId="642" w16cid:durableId="654339149">
    <w:abstractNumId w:val="488"/>
  </w:num>
  <w:num w:numId="643" w16cid:durableId="1413157264">
    <w:abstractNumId w:val="471"/>
  </w:num>
  <w:num w:numId="644" w16cid:durableId="1141652895">
    <w:abstractNumId w:val="340"/>
  </w:num>
  <w:num w:numId="645" w16cid:durableId="599333867">
    <w:abstractNumId w:val="43"/>
  </w:num>
  <w:num w:numId="646" w16cid:durableId="542061832">
    <w:abstractNumId w:val="527"/>
  </w:num>
  <w:num w:numId="647" w16cid:durableId="1597398825">
    <w:abstractNumId w:val="578"/>
  </w:num>
  <w:num w:numId="648" w16cid:durableId="1300573081">
    <w:abstractNumId w:val="760"/>
  </w:num>
  <w:num w:numId="649" w16cid:durableId="1337659232">
    <w:abstractNumId w:val="227"/>
  </w:num>
  <w:num w:numId="650" w16cid:durableId="2097707226">
    <w:abstractNumId w:val="391"/>
  </w:num>
  <w:num w:numId="651" w16cid:durableId="439493477">
    <w:abstractNumId w:val="274"/>
  </w:num>
  <w:num w:numId="652" w16cid:durableId="122116435">
    <w:abstractNumId w:val="634"/>
  </w:num>
  <w:num w:numId="653" w16cid:durableId="534319518">
    <w:abstractNumId w:val="434"/>
  </w:num>
  <w:num w:numId="654" w16cid:durableId="1200900864">
    <w:abstractNumId w:val="831"/>
  </w:num>
  <w:num w:numId="655" w16cid:durableId="1003707737">
    <w:abstractNumId w:val="581"/>
  </w:num>
  <w:num w:numId="656" w16cid:durableId="944456634">
    <w:abstractNumId w:val="383"/>
  </w:num>
  <w:num w:numId="657" w16cid:durableId="1139225739">
    <w:abstractNumId w:val="200"/>
  </w:num>
  <w:num w:numId="658" w16cid:durableId="185874701">
    <w:abstractNumId w:val="385"/>
  </w:num>
  <w:num w:numId="659" w16cid:durableId="1147547994">
    <w:abstractNumId w:val="510"/>
  </w:num>
  <w:num w:numId="660" w16cid:durableId="625354186">
    <w:abstractNumId w:val="162"/>
  </w:num>
  <w:num w:numId="661" w16cid:durableId="1538161161">
    <w:abstractNumId w:val="326"/>
  </w:num>
  <w:num w:numId="662" w16cid:durableId="143477213">
    <w:abstractNumId w:val="158"/>
  </w:num>
  <w:num w:numId="663" w16cid:durableId="329526541">
    <w:abstractNumId w:val="456"/>
  </w:num>
  <w:num w:numId="664" w16cid:durableId="1344087046">
    <w:abstractNumId w:val="174"/>
  </w:num>
  <w:num w:numId="665" w16cid:durableId="1391423571">
    <w:abstractNumId w:val="536"/>
  </w:num>
  <w:num w:numId="666" w16cid:durableId="1369525918">
    <w:abstractNumId w:val="724"/>
  </w:num>
  <w:num w:numId="667" w16cid:durableId="1567183020">
    <w:abstractNumId w:val="412"/>
  </w:num>
  <w:num w:numId="668" w16cid:durableId="990793280">
    <w:abstractNumId w:val="564"/>
  </w:num>
  <w:num w:numId="669" w16cid:durableId="210844513">
    <w:abstractNumId w:val="891"/>
  </w:num>
  <w:num w:numId="670" w16cid:durableId="536233690">
    <w:abstractNumId w:val="207"/>
  </w:num>
  <w:num w:numId="671" w16cid:durableId="1020668224">
    <w:abstractNumId w:val="526"/>
  </w:num>
  <w:num w:numId="672" w16cid:durableId="1499420960">
    <w:abstractNumId w:val="410"/>
  </w:num>
  <w:num w:numId="673" w16cid:durableId="1905947550">
    <w:abstractNumId w:val="57"/>
  </w:num>
  <w:num w:numId="674" w16cid:durableId="1669359695">
    <w:abstractNumId w:val="350"/>
  </w:num>
  <w:num w:numId="675" w16cid:durableId="961807112">
    <w:abstractNumId w:val="60"/>
  </w:num>
  <w:num w:numId="676" w16cid:durableId="140318164">
    <w:abstractNumId w:val="374"/>
  </w:num>
  <w:num w:numId="677" w16cid:durableId="1100838015">
    <w:abstractNumId w:val="857"/>
  </w:num>
  <w:num w:numId="678" w16cid:durableId="1757943058">
    <w:abstractNumId w:val="418"/>
  </w:num>
  <w:num w:numId="679" w16cid:durableId="132871479">
    <w:abstractNumId w:val="322"/>
  </w:num>
  <w:num w:numId="680" w16cid:durableId="728189120">
    <w:abstractNumId w:val="401"/>
  </w:num>
  <w:num w:numId="681" w16cid:durableId="442841927">
    <w:abstractNumId w:val="321"/>
  </w:num>
  <w:num w:numId="682" w16cid:durableId="1703243203">
    <w:abstractNumId w:val="689"/>
  </w:num>
  <w:num w:numId="683" w16cid:durableId="631910903">
    <w:abstractNumId w:val="811"/>
  </w:num>
  <w:num w:numId="684" w16cid:durableId="1839618193">
    <w:abstractNumId w:val="41"/>
  </w:num>
  <w:num w:numId="685" w16cid:durableId="781729252">
    <w:abstractNumId w:val="88"/>
  </w:num>
  <w:num w:numId="686" w16cid:durableId="1314330439">
    <w:abstractNumId w:val="671"/>
  </w:num>
  <w:num w:numId="687" w16cid:durableId="1450314526">
    <w:abstractNumId w:val="653"/>
  </w:num>
  <w:num w:numId="688" w16cid:durableId="1650749190">
    <w:abstractNumId w:val="787"/>
  </w:num>
  <w:num w:numId="689" w16cid:durableId="1980258946">
    <w:abstractNumId w:val="571"/>
  </w:num>
  <w:num w:numId="690" w16cid:durableId="152990264">
    <w:abstractNumId w:val="780"/>
  </w:num>
  <w:num w:numId="691" w16cid:durableId="869999480">
    <w:abstractNumId w:val="214"/>
  </w:num>
  <w:num w:numId="692" w16cid:durableId="977684069">
    <w:abstractNumId w:val="414"/>
  </w:num>
  <w:num w:numId="693" w16cid:durableId="1000815355">
    <w:abstractNumId w:val="389"/>
  </w:num>
  <w:num w:numId="694" w16cid:durableId="534200755">
    <w:abstractNumId w:val="693"/>
  </w:num>
  <w:num w:numId="695" w16cid:durableId="753014711">
    <w:abstractNumId w:val="727"/>
  </w:num>
  <w:num w:numId="696" w16cid:durableId="1898659979">
    <w:abstractNumId w:val="8"/>
  </w:num>
  <w:num w:numId="697" w16cid:durableId="366494480">
    <w:abstractNumId w:val="720"/>
  </w:num>
  <w:num w:numId="698" w16cid:durableId="335112388">
    <w:abstractNumId w:val="378"/>
  </w:num>
  <w:num w:numId="699" w16cid:durableId="1813860834">
    <w:abstractNumId w:val="314"/>
  </w:num>
  <w:num w:numId="700" w16cid:durableId="923300049">
    <w:abstractNumId w:val="839"/>
  </w:num>
  <w:num w:numId="701" w16cid:durableId="179973523">
    <w:abstractNumId w:val="796"/>
  </w:num>
  <w:num w:numId="702" w16cid:durableId="1611400325">
    <w:abstractNumId w:val="522"/>
  </w:num>
  <w:num w:numId="703" w16cid:durableId="193155931">
    <w:abstractNumId w:val="777"/>
  </w:num>
  <w:num w:numId="704" w16cid:durableId="657348855">
    <w:abstractNumId w:val="575"/>
  </w:num>
  <w:num w:numId="705" w16cid:durableId="329873645">
    <w:abstractNumId w:val="51"/>
  </w:num>
  <w:num w:numId="706" w16cid:durableId="641933731">
    <w:abstractNumId w:val="54"/>
  </w:num>
  <w:num w:numId="707" w16cid:durableId="2043937864">
    <w:abstractNumId w:val="886"/>
  </w:num>
  <w:num w:numId="708" w16cid:durableId="1126045100">
    <w:abstractNumId w:val="808"/>
  </w:num>
  <w:num w:numId="709" w16cid:durableId="976106782">
    <w:abstractNumId w:val="95"/>
  </w:num>
  <w:num w:numId="710" w16cid:durableId="2075855067">
    <w:abstractNumId w:val="62"/>
  </w:num>
  <w:num w:numId="711" w16cid:durableId="1531651926">
    <w:abstractNumId w:val="588"/>
  </w:num>
  <w:num w:numId="712" w16cid:durableId="1606225951">
    <w:abstractNumId w:val="423"/>
  </w:num>
  <w:num w:numId="713" w16cid:durableId="546187545">
    <w:abstractNumId w:val="793"/>
  </w:num>
  <w:num w:numId="714" w16cid:durableId="1112018296">
    <w:abstractNumId w:val="880"/>
  </w:num>
  <w:num w:numId="715" w16cid:durableId="1856922308">
    <w:abstractNumId w:val="240"/>
  </w:num>
  <w:num w:numId="716" w16cid:durableId="239599874">
    <w:abstractNumId w:val="113"/>
  </w:num>
  <w:num w:numId="717" w16cid:durableId="1342006721">
    <w:abstractNumId w:val="22"/>
  </w:num>
  <w:num w:numId="718" w16cid:durableId="1198278341">
    <w:abstractNumId w:val="490"/>
  </w:num>
  <w:num w:numId="719" w16cid:durableId="975797661">
    <w:abstractNumId w:val="732"/>
  </w:num>
  <w:num w:numId="720" w16cid:durableId="1785536057">
    <w:abstractNumId w:val="47"/>
  </w:num>
  <w:num w:numId="721" w16cid:durableId="87387904">
    <w:abstractNumId w:val="416"/>
  </w:num>
  <w:num w:numId="722" w16cid:durableId="726496683">
    <w:abstractNumId w:val="854"/>
  </w:num>
  <w:num w:numId="723" w16cid:durableId="1984116883">
    <w:abstractNumId w:val="368"/>
  </w:num>
  <w:num w:numId="724" w16cid:durableId="1092244191">
    <w:abstractNumId w:val="283"/>
  </w:num>
  <w:num w:numId="725" w16cid:durableId="1546066713">
    <w:abstractNumId w:val="623"/>
  </w:num>
  <w:num w:numId="726" w16cid:durableId="1684017145">
    <w:abstractNumId w:val="799"/>
  </w:num>
  <w:num w:numId="727" w16cid:durableId="1393430546">
    <w:abstractNumId w:val="191"/>
  </w:num>
  <w:num w:numId="728" w16cid:durableId="1830244511">
    <w:abstractNumId w:val="373"/>
  </w:num>
  <w:num w:numId="729" w16cid:durableId="1920140590">
    <w:abstractNumId w:val="280"/>
  </w:num>
  <w:num w:numId="730" w16cid:durableId="57481353">
    <w:abstractNumId w:val="566"/>
  </w:num>
  <w:num w:numId="731" w16cid:durableId="1198396936">
    <w:abstractNumId w:val="450"/>
  </w:num>
  <w:num w:numId="732" w16cid:durableId="355927743">
    <w:abstractNumId w:val="703"/>
  </w:num>
  <w:num w:numId="733" w16cid:durableId="1770466215">
    <w:abstractNumId w:val="826"/>
  </w:num>
  <w:num w:numId="734" w16cid:durableId="1448159478">
    <w:abstractNumId w:val="788"/>
  </w:num>
  <w:num w:numId="735" w16cid:durableId="936213508">
    <w:abstractNumId w:val="827"/>
  </w:num>
  <w:num w:numId="736" w16cid:durableId="1177189652">
    <w:abstractNumId w:val="820"/>
  </w:num>
  <w:num w:numId="737" w16cid:durableId="2020155021">
    <w:abstractNumId w:val="747"/>
  </w:num>
  <w:num w:numId="738" w16cid:durableId="530845753">
    <w:abstractNumId w:val="683"/>
  </w:num>
  <w:num w:numId="739" w16cid:durableId="123350689">
    <w:abstractNumId w:val="272"/>
  </w:num>
  <w:num w:numId="740" w16cid:durableId="277101497">
    <w:abstractNumId w:val="627"/>
  </w:num>
  <w:num w:numId="741" w16cid:durableId="1982885466">
    <w:abstractNumId w:val="376"/>
  </w:num>
  <w:num w:numId="742" w16cid:durableId="628434753">
    <w:abstractNumId w:val="180"/>
  </w:num>
  <w:num w:numId="743" w16cid:durableId="1959068460">
    <w:abstractNumId w:val="726"/>
  </w:num>
  <w:num w:numId="744" w16cid:durableId="556281953">
    <w:abstractNumId w:val="320"/>
  </w:num>
  <w:num w:numId="745" w16cid:durableId="1699891915">
    <w:abstractNumId w:val="24"/>
  </w:num>
  <w:num w:numId="746" w16cid:durableId="727067496">
    <w:abstractNumId w:val="498"/>
  </w:num>
  <w:num w:numId="747" w16cid:durableId="875195413">
    <w:abstractNumId w:val="313"/>
  </w:num>
  <w:num w:numId="748" w16cid:durableId="186601275">
    <w:abstractNumId w:val="493"/>
  </w:num>
  <w:num w:numId="749" w16cid:durableId="1376077601">
    <w:abstractNumId w:val="810"/>
  </w:num>
  <w:num w:numId="750" w16cid:durableId="1198277722">
    <w:abstractNumId w:val="38"/>
  </w:num>
  <w:num w:numId="751" w16cid:durableId="677660543">
    <w:abstractNumId w:val="765"/>
  </w:num>
  <w:num w:numId="752" w16cid:durableId="1434520783">
    <w:abstractNumId w:val="361"/>
  </w:num>
  <w:num w:numId="753" w16cid:durableId="1648625488">
    <w:abstractNumId w:val="691"/>
  </w:num>
  <w:num w:numId="754" w16cid:durableId="87502461">
    <w:abstractNumId w:val="239"/>
  </w:num>
  <w:num w:numId="755" w16cid:durableId="343673782">
    <w:abstractNumId w:val="809"/>
  </w:num>
  <w:num w:numId="756" w16cid:durableId="83503003">
    <w:abstractNumId w:val="319"/>
  </w:num>
  <w:num w:numId="757" w16cid:durableId="1191799599">
    <w:abstractNumId w:val="305"/>
  </w:num>
  <w:num w:numId="758" w16cid:durableId="1804883738">
    <w:abstractNumId w:val="678"/>
  </w:num>
  <w:num w:numId="759" w16cid:durableId="1963462211">
    <w:abstractNumId w:val="45"/>
  </w:num>
  <w:num w:numId="760" w16cid:durableId="1927836078">
    <w:abstractNumId w:val="115"/>
  </w:num>
  <w:num w:numId="761" w16cid:durableId="1453473664">
    <w:abstractNumId w:val="281"/>
  </w:num>
  <w:num w:numId="762" w16cid:durableId="531499429">
    <w:abstractNumId w:val="304"/>
  </w:num>
  <w:num w:numId="763" w16cid:durableId="740637104">
    <w:abstractNumId w:val="73"/>
  </w:num>
  <w:num w:numId="764" w16cid:durableId="1827669368">
    <w:abstractNumId w:val="435"/>
  </w:num>
  <w:num w:numId="765" w16cid:durableId="1530216348">
    <w:abstractNumId w:val="309"/>
  </w:num>
  <w:num w:numId="766" w16cid:durableId="1027291622">
    <w:abstractNumId w:val="834"/>
  </w:num>
  <w:num w:numId="767" w16cid:durableId="1594243769">
    <w:abstractNumId w:val="65"/>
  </w:num>
  <w:num w:numId="768" w16cid:durableId="1221137584">
    <w:abstractNumId w:val="802"/>
  </w:num>
  <w:num w:numId="769" w16cid:durableId="383339253">
    <w:abstractNumId w:val="615"/>
  </w:num>
  <w:num w:numId="770" w16cid:durableId="209267305">
    <w:abstractNumId w:val="712"/>
  </w:num>
  <w:num w:numId="771" w16cid:durableId="90391928">
    <w:abstractNumId w:val="613"/>
  </w:num>
  <w:num w:numId="772" w16cid:durableId="1708869748">
    <w:abstractNumId w:val="420"/>
  </w:num>
  <w:num w:numId="773" w16cid:durableId="1626083846">
    <w:abstractNumId w:val="251"/>
  </w:num>
  <w:num w:numId="774" w16cid:durableId="1654677989">
    <w:abstractNumId w:val="82"/>
  </w:num>
  <w:num w:numId="775" w16cid:durableId="495267128">
    <w:abstractNumId w:val="682"/>
  </w:num>
  <w:num w:numId="776" w16cid:durableId="445004384">
    <w:abstractNumId w:val="263"/>
  </w:num>
  <w:num w:numId="777" w16cid:durableId="2002587372">
    <w:abstractNumId w:val="323"/>
  </w:num>
  <w:num w:numId="778" w16cid:durableId="1635408368">
    <w:abstractNumId w:val="234"/>
  </w:num>
  <w:num w:numId="779" w16cid:durableId="1722828891">
    <w:abstractNumId w:val="222"/>
  </w:num>
  <w:num w:numId="780" w16cid:durableId="1202745114">
    <w:abstractNumId w:val="0"/>
  </w:num>
  <w:num w:numId="781" w16cid:durableId="1534221856">
    <w:abstractNumId w:val="502"/>
  </w:num>
  <w:num w:numId="782" w16cid:durableId="1800149580">
    <w:abstractNumId w:val="3"/>
  </w:num>
  <w:num w:numId="783" w16cid:durableId="1439908369">
    <w:abstractNumId w:val="485"/>
  </w:num>
  <w:num w:numId="784" w16cid:durableId="587733467">
    <w:abstractNumId w:val="116"/>
  </w:num>
  <w:num w:numId="785" w16cid:durableId="61686351">
    <w:abstractNumId w:val="16"/>
  </w:num>
  <w:num w:numId="786" w16cid:durableId="1023441455">
    <w:abstractNumId w:val="331"/>
  </w:num>
  <w:num w:numId="787" w16cid:durableId="1001464970">
    <w:abstractNumId w:val="754"/>
  </w:num>
  <w:num w:numId="788" w16cid:durableId="1911429867">
    <w:abstractNumId w:val="661"/>
  </w:num>
  <w:num w:numId="789" w16cid:durableId="2037539335">
    <w:abstractNumId w:val="27"/>
  </w:num>
  <w:num w:numId="790" w16cid:durableId="776757439">
    <w:abstractNumId w:val="558"/>
  </w:num>
  <w:num w:numId="791" w16cid:durableId="674572551">
    <w:abstractNumId w:val="190"/>
  </w:num>
  <w:num w:numId="792" w16cid:durableId="1819420940">
    <w:abstractNumId w:val="684"/>
  </w:num>
  <w:num w:numId="793" w16cid:durableId="1044402247">
    <w:abstractNumId w:val="94"/>
  </w:num>
  <w:num w:numId="794" w16cid:durableId="2050373408">
    <w:abstractNumId w:val="885"/>
  </w:num>
  <w:num w:numId="795" w16cid:durableId="1937202005">
    <w:abstractNumId w:val="290"/>
  </w:num>
  <w:num w:numId="796" w16cid:durableId="1762288956">
    <w:abstractNumId w:val="763"/>
  </w:num>
  <w:num w:numId="797" w16cid:durableId="922572245">
    <w:abstractNumId w:val="247"/>
  </w:num>
  <w:num w:numId="798" w16cid:durableId="757215652">
    <w:abstractNumId w:val="266"/>
  </w:num>
  <w:num w:numId="799" w16cid:durableId="1967855236">
    <w:abstractNumId w:val="807"/>
  </w:num>
  <w:num w:numId="800" w16cid:durableId="209610542">
    <w:abstractNumId w:val="343"/>
  </w:num>
  <w:num w:numId="801" w16cid:durableId="1011756405">
    <w:abstractNumId w:val="101"/>
  </w:num>
  <w:num w:numId="802" w16cid:durableId="323894847">
    <w:abstractNumId w:val="271"/>
  </w:num>
  <w:num w:numId="803" w16cid:durableId="351999796">
    <w:abstractNumId w:val="728"/>
  </w:num>
  <w:num w:numId="804" w16cid:durableId="941958671">
    <w:abstractNumId w:val="638"/>
  </w:num>
  <w:num w:numId="805" w16cid:durableId="297423038">
    <w:abstractNumId w:val="512"/>
  </w:num>
  <w:num w:numId="806" w16cid:durableId="1303734064">
    <w:abstractNumId w:val="713"/>
  </w:num>
  <w:num w:numId="807" w16cid:durableId="1118915704">
    <w:abstractNumId w:val="537"/>
  </w:num>
  <w:num w:numId="808" w16cid:durableId="838153232">
    <w:abstractNumId w:val="91"/>
  </w:num>
  <w:num w:numId="809" w16cid:durableId="1833179703">
    <w:abstractNumId w:val="762"/>
  </w:num>
  <w:num w:numId="810" w16cid:durableId="759722028">
    <w:abstractNumId w:val="306"/>
  </w:num>
  <w:num w:numId="811" w16cid:durableId="1504006032">
    <w:abstractNumId w:val="109"/>
  </w:num>
  <w:num w:numId="812" w16cid:durableId="1414815278">
    <w:abstractNumId w:val="675"/>
  </w:num>
  <w:num w:numId="813" w16cid:durableId="1138886448">
    <w:abstractNumId w:val="699"/>
  </w:num>
  <w:num w:numId="814" w16cid:durableId="819075366">
    <w:abstractNumId w:val="781"/>
  </w:num>
  <w:num w:numId="815" w16cid:durableId="1127048472">
    <w:abstractNumId w:val="106"/>
  </w:num>
  <w:num w:numId="816" w16cid:durableId="308826273">
    <w:abstractNumId w:val="768"/>
  </w:num>
  <w:num w:numId="817" w16cid:durableId="1009871894">
    <w:abstractNumId w:val="657"/>
  </w:num>
  <w:num w:numId="818" w16cid:durableId="1764688454">
    <w:abstractNumId w:val="616"/>
  </w:num>
  <w:num w:numId="819" w16cid:durableId="1308970257">
    <w:abstractNumId w:val="402"/>
  </w:num>
  <w:num w:numId="820" w16cid:durableId="1710765685">
    <w:abstractNumId w:val="587"/>
  </w:num>
  <w:num w:numId="821" w16cid:durableId="1323044847">
    <w:abstractNumId w:val="741"/>
  </w:num>
  <w:num w:numId="822" w16cid:durableId="2107731424">
    <w:abstractNumId w:val="39"/>
  </w:num>
  <w:num w:numId="823" w16cid:durableId="587427798">
    <w:abstractNumId w:val="369"/>
  </w:num>
  <w:num w:numId="824" w16cid:durableId="244610129">
    <w:abstractNumId w:val="121"/>
  </w:num>
  <w:num w:numId="825" w16cid:durableId="931740672">
    <w:abstractNumId w:val="877"/>
  </w:num>
  <w:num w:numId="826" w16cid:durableId="588002370">
    <w:abstractNumId w:val="58"/>
  </w:num>
  <w:num w:numId="827" w16cid:durableId="1247806439">
    <w:abstractNumId w:val="771"/>
  </w:num>
  <w:num w:numId="828" w16cid:durableId="1742747977">
    <w:abstractNumId w:val="825"/>
  </w:num>
  <w:num w:numId="829" w16cid:durableId="684794894">
    <w:abstractNumId w:val="797"/>
  </w:num>
  <w:num w:numId="830" w16cid:durableId="1630697339">
    <w:abstractNumId w:val="856"/>
  </w:num>
  <w:num w:numId="831" w16cid:durableId="320626201">
    <w:abstractNumId w:val="277"/>
  </w:num>
  <w:num w:numId="832" w16cid:durableId="1793787092">
    <w:abstractNumId w:val="636"/>
  </w:num>
  <w:num w:numId="833" w16cid:durableId="1955819774">
    <w:abstractNumId w:val="66"/>
  </w:num>
  <w:num w:numId="834" w16cid:durableId="845097966">
    <w:abstractNumId w:val="837"/>
  </w:num>
  <w:num w:numId="835" w16cid:durableId="182937198">
    <w:abstractNumId w:val="602"/>
  </w:num>
  <w:num w:numId="836" w16cid:durableId="2131434135">
    <w:abstractNumId w:val="535"/>
  </w:num>
  <w:num w:numId="837" w16cid:durableId="33041491">
    <w:abstractNumId w:val="332"/>
  </w:num>
  <w:num w:numId="838" w16cid:durableId="433669803">
    <w:abstractNumId w:val="658"/>
  </w:num>
  <w:num w:numId="839" w16cid:durableId="546602099">
    <w:abstractNumId w:val="255"/>
  </w:num>
  <w:num w:numId="840" w16cid:durableId="389037203">
    <w:abstractNumId w:val="81"/>
  </w:num>
  <w:num w:numId="841" w16cid:durableId="1446193748">
    <w:abstractNumId w:val="275"/>
  </w:num>
  <w:num w:numId="842" w16cid:durableId="1501771524">
    <w:abstractNumId w:val="529"/>
  </w:num>
  <w:num w:numId="843" w16cid:durableId="2000501643">
    <w:abstractNumId w:val="868"/>
  </w:num>
  <w:num w:numId="844" w16cid:durableId="221258538">
    <w:abstractNumId w:val="370"/>
  </w:num>
  <w:num w:numId="845" w16cid:durableId="1023827800">
    <w:abstractNumId w:val="798"/>
  </w:num>
  <w:num w:numId="846" w16cid:durableId="1300110698">
    <w:abstractNumId w:val="327"/>
  </w:num>
  <w:num w:numId="847" w16cid:durableId="1601403113">
    <w:abstractNumId w:val="651"/>
  </w:num>
  <w:num w:numId="848" w16cid:durableId="23555948">
    <w:abstractNumId w:val="514"/>
  </w:num>
  <w:num w:numId="849" w16cid:durableId="565144952">
    <w:abstractNumId w:val="646"/>
  </w:num>
  <w:num w:numId="850" w16cid:durableId="571819610">
    <w:abstractNumId w:val="300"/>
  </w:num>
  <w:num w:numId="851" w16cid:durableId="1808619058">
    <w:abstractNumId w:val="858"/>
  </w:num>
  <w:num w:numId="852" w16cid:durableId="2096123718">
    <w:abstractNumId w:val="56"/>
  </w:num>
  <w:num w:numId="853" w16cid:durableId="608052942">
    <w:abstractNumId w:val="723"/>
  </w:num>
  <w:num w:numId="854" w16cid:durableId="1519005236">
    <w:abstractNumId w:val="555"/>
  </w:num>
  <w:num w:numId="855" w16cid:durableId="354232108">
    <w:abstractNumId w:val="12"/>
  </w:num>
  <w:num w:numId="856" w16cid:durableId="1189105331">
    <w:abstractNumId w:val="705"/>
  </w:num>
  <w:num w:numId="857" w16cid:durableId="2044867808">
    <w:abstractNumId w:val="411"/>
  </w:num>
  <w:num w:numId="858" w16cid:durableId="1987009084">
    <w:abstractNumId w:val="28"/>
  </w:num>
  <w:num w:numId="859" w16cid:durableId="1394505507">
    <w:abstractNumId w:val="649"/>
  </w:num>
  <w:num w:numId="860" w16cid:durableId="1395927955">
    <w:abstractNumId w:val="669"/>
  </w:num>
  <w:num w:numId="861" w16cid:durableId="61679646">
    <w:abstractNumId w:val="428"/>
  </w:num>
  <w:num w:numId="862" w16cid:durableId="9917661">
    <w:abstractNumId w:val="805"/>
  </w:num>
  <w:num w:numId="863" w16cid:durableId="1742829726">
    <w:abstractNumId w:val="49"/>
  </w:num>
  <w:num w:numId="864" w16cid:durableId="172064584">
    <w:abstractNumId w:val="476"/>
  </w:num>
  <w:num w:numId="865" w16cid:durableId="611865190">
    <w:abstractNumId w:val="702"/>
  </w:num>
  <w:num w:numId="866" w16cid:durableId="1424572483">
    <w:abstractNumId w:val="186"/>
  </w:num>
  <w:num w:numId="867" w16cid:durableId="315455732">
    <w:abstractNumId w:val="879"/>
  </w:num>
  <w:num w:numId="868" w16cid:durableId="360009093">
    <w:abstractNumId w:val="295"/>
  </w:num>
  <w:num w:numId="869" w16cid:durableId="839152447">
    <w:abstractNumId w:val="99"/>
  </w:num>
  <w:num w:numId="870" w16cid:durableId="1808163778">
    <w:abstractNumId w:val="513"/>
  </w:num>
  <w:num w:numId="871" w16cid:durableId="210848194">
    <w:abstractNumId w:val="580"/>
  </w:num>
  <w:num w:numId="872" w16cid:durableId="586499430">
    <w:abstractNumId w:val="286"/>
  </w:num>
  <w:num w:numId="873" w16cid:durableId="623271848">
    <w:abstractNumId w:val="792"/>
  </w:num>
  <w:num w:numId="874" w16cid:durableId="1952122175">
    <w:abstractNumId w:val="775"/>
  </w:num>
  <w:num w:numId="875" w16cid:durableId="301428033">
    <w:abstractNumId w:val="288"/>
  </w:num>
  <w:num w:numId="876" w16cid:durableId="1379629696">
    <w:abstractNumId w:val="681"/>
  </w:num>
  <w:num w:numId="877" w16cid:durableId="1415467715">
    <w:abstractNumId w:val="662"/>
  </w:num>
  <w:num w:numId="878" w16cid:durableId="1350833691">
    <w:abstractNumId w:val="339"/>
  </w:num>
  <w:num w:numId="879" w16cid:durableId="1261451567">
    <w:abstractNumId w:val="80"/>
  </w:num>
  <w:num w:numId="880" w16cid:durableId="1292247708">
    <w:abstractNumId w:val="883"/>
  </w:num>
  <w:num w:numId="881" w16cid:durableId="777142455">
    <w:abstractNumId w:val="873"/>
  </w:num>
  <w:num w:numId="882" w16cid:durableId="520629174">
    <w:abstractNumId w:val="170"/>
  </w:num>
  <w:num w:numId="883" w16cid:durableId="1770077252">
    <w:abstractNumId w:val="359"/>
  </w:num>
  <w:num w:numId="884" w16cid:durableId="2036424619">
    <w:abstractNumId w:val="887"/>
  </w:num>
  <w:num w:numId="885" w16cid:durableId="980426124">
    <w:abstractNumId w:val="315"/>
  </w:num>
  <w:num w:numId="886" w16cid:durableId="1978802347">
    <w:abstractNumId w:val="864"/>
  </w:num>
  <w:num w:numId="887" w16cid:durableId="1009989680">
    <w:abstractNumId w:val="487"/>
  </w:num>
  <w:num w:numId="888" w16cid:durableId="861436170">
    <w:abstractNumId w:val="486"/>
  </w:num>
  <w:num w:numId="889" w16cid:durableId="223227130">
    <w:abstractNumId w:val="382"/>
  </w:num>
  <w:num w:numId="890" w16cid:durableId="1048797468">
    <w:abstractNumId w:val="538"/>
  </w:num>
  <w:num w:numId="891" w16cid:durableId="101266178">
    <w:abstractNumId w:val="100"/>
  </w:num>
  <w:num w:numId="892" w16cid:durableId="47653854">
    <w:abstractNumId w:val="570"/>
  </w:num>
  <w:num w:numId="893" w16cid:durableId="171453195">
    <w:abstractNumId w:val="42"/>
  </w:num>
  <w:num w:numId="894" w16cid:durableId="206769143">
    <w:abstractNumId w:val="245"/>
  </w:num>
  <w:num w:numId="895" w16cid:durableId="1494876806">
    <w:abstractNumId w:val="74"/>
  </w:num>
  <w:numIdMacAtCleanup w:val="8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016"/>
    <w:rsid w:val="000008F0"/>
    <w:rsid w:val="00000BE8"/>
    <w:rsid w:val="00000F69"/>
    <w:rsid w:val="00001013"/>
    <w:rsid w:val="0000107E"/>
    <w:rsid w:val="000010CF"/>
    <w:rsid w:val="00001261"/>
    <w:rsid w:val="00001427"/>
    <w:rsid w:val="00001A41"/>
    <w:rsid w:val="00001BCB"/>
    <w:rsid w:val="00001E90"/>
    <w:rsid w:val="000027AC"/>
    <w:rsid w:val="00002C6A"/>
    <w:rsid w:val="00003098"/>
    <w:rsid w:val="0000368B"/>
    <w:rsid w:val="00003AFF"/>
    <w:rsid w:val="00003DFE"/>
    <w:rsid w:val="00003FD3"/>
    <w:rsid w:val="00004A81"/>
    <w:rsid w:val="00004B2B"/>
    <w:rsid w:val="0000534F"/>
    <w:rsid w:val="000053B9"/>
    <w:rsid w:val="000053BD"/>
    <w:rsid w:val="000058B0"/>
    <w:rsid w:val="00005992"/>
    <w:rsid w:val="000059E6"/>
    <w:rsid w:val="00005BDB"/>
    <w:rsid w:val="00005C37"/>
    <w:rsid w:val="00005E2D"/>
    <w:rsid w:val="0000676B"/>
    <w:rsid w:val="00006C21"/>
    <w:rsid w:val="00006C87"/>
    <w:rsid w:val="00006D92"/>
    <w:rsid w:val="000072A5"/>
    <w:rsid w:val="00007364"/>
    <w:rsid w:val="00007AA2"/>
    <w:rsid w:val="00010312"/>
    <w:rsid w:val="000110CD"/>
    <w:rsid w:val="0001149C"/>
    <w:rsid w:val="00011777"/>
    <w:rsid w:val="00011FB2"/>
    <w:rsid w:val="00012044"/>
    <w:rsid w:val="0001242C"/>
    <w:rsid w:val="00012955"/>
    <w:rsid w:val="00012D23"/>
    <w:rsid w:val="00012EE5"/>
    <w:rsid w:val="000135EE"/>
    <w:rsid w:val="00013671"/>
    <w:rsid w:val="00013E0C"/>
    <w:rsid w:val="00013EAD"/>
    <w:rsid w:val="000147BA"/>
    <w:rsid w:val="00014BED"/>
    <w:rsid w:val="00014D0A"/>
    <w:rsid w:val="00015114"/>
    <w:rsid w:val="00015517"/>
    <w:rsid w:val="0001577E"/>
    <w:rsid w:val="00015DA3"/>
    <w:rsid w:val="00016C29"/>
    <w:rsid w:val="0001736D"/>
    <w:rsid w:val="0001761B"/>
    <w:rsid w:val="00017663"/>
    <w:rsid w:val="00017BF7"/>
    <w:rsid w:val="00017FD7"/>
    <w:rsid w:val="000207A4"/>
    <w:rsid w:val="0002088F"/>
    <w:rsid w:val="00020C82"/>
    <w:rsid w:val="000212D0"/>
    <w:rsid w:val="00021BCC"/>
    <w:rsid w:val="000221A6"/>
    <w:rsid w:val="00022940"/>
    <w:rsid w:val="00022C21"/>
    <w:rsid w:val="00022FCA"/>
    <w:rsid w:val="0002306A"/>
    <w:rsid w:val="000230E1"/>
    <w:rsid w:val="000233BB"/>
    <w:rsid w:val="0002340E"/>
    <w:rsid w:val="000238DA"/>
    <w:rsid w:val="00023CA2"/>
    <w:rsid w:val="00024C76"/>
    <w:rsid w:val="000256F6"/>
    <w:rsid w:val="000263CD"/>
    <w:rsid w:val="00026C4F"/>
    <w:rsid w:val="00027330"/>
    <w:rsid w:val="0002740E"/>
    <w:rsid w:val="000276A4"/>
    <w:rsid w:val="00030343"/>
    <w:rsid w:val="00030B67"/>
    <w:rsid w:val="00030C03"/>
    <w:rsid w:val="00030E02"/>
    <w:rsid w:val="000311F1"/>
    <w:rsid w:val="00031AA2"/>
    <w:rsid w:val="00031CBF"/>
    <w:rsid w:val="00031D3C"/>
    <w:rsid w:val="00031D4D"/>
    <w:rsid w:val="00031F4E"/>
    <w:rsid w:val="0003280C"/>
    <w:rsid w:val="0003380A"/>
    <w:rsid w:val="00033AB7"/>
    <w:rsid w:val="00034457"/>
    <w:rsid w:val="000345E2"/>
    <w:rsid w:val="00034DEF"/>
    <w:rsid w:val="00035171"/>
    <w:rsid w:val="0003527C"/>
    <w:rsid w:val="0003579F"/>
    <w:rsid w:val="00035BA2"/>
    <w:rsid w:val="00035BF3"/>
    <w:rsid w:val="00035FA2"/>
    <w:rsid w:val="00035FA6"/>
    <w:rsid w:val="00036A07"/>
    <w:rsid w:val="00036FA8"/>
    <w:rsid w:val="0003700E"/>
    <w:rsid w:val="0003707A"/>
    <w:rsid w:val="00037368"/>
    <w:rsid w:val="0003780B"/>
    <w:rsid w:val="00037937"/>
    <w:rsid w:val="00037CBE"/>
    <w:rsid w:val="00037CF4"/>
    <w:rsid w:val="00037F46"/>
    <w:rsid w:val="00040358"/>
    <w:rsid w:val="000408F6"/>
    <w:rsid w:val="00040A56"/>
    <w:rsid w:val="00040C32"/>
    <w:rsid w:val="00040C97"/>
    <w:rsid w:val="00041029"/>
    <w:rsid w:val="000411BC"/>
    <w:rsid w:val="00041303"/>
    <w:rsid w:val="0004152A"/>
    <w:rsid w:val="0004157B"/>
    <w:rsid w:val="0004157D"/>
    <w:rsid w:val="00041F30"/>
    <w:rsid w:val="000425ED"/>
    <w:rsid w:val="000429AF"/>
    <w:rsid w:val="00042A1D"/>
    <w:rsid w:val="00042ACF"/>
    <w:rsid w:val="00042C7E"/>
    <w:rsid w:val="00042FF3"/>
    <w:rsid w:val="000437A9"/>
    <w:rsid w:val="00043828"/>
    <w:rsid w:val="00043D10"/>
    <w:rsid w:val="00043DCA"/>
    <w:rsid w:val="00043E69"/>
    <w:rsid w:val="000448E9"/>
    <w:rsid w:val="00044C06"/>
    <w:rsid w:val="00045366"/>
    <w:rsid w:val="00045779"/>
    <w:rsid w:val="000464D1"/>
    <w:rsid w:val="00046527"/>
    <w:rsid w:val="00047319"/>
    <w:rsid w:val="00050170"/>
    <w:rsid w:val="00050807"/>
    <w:rsid w:val="00050F1E"/>
    <w:rsid w:val="00052204"/>
    <w:rsid w:val="0005229F"/>
    <w:rsid w:val="00052AE1"/>
    <w:rsid w:val="00052E82"/>
    <w:rsid w:val="00052F59"/>
    <w:rsid w:val="000531C0"/>
    <w:rsid w:val="00053926"/>
    <w:rsid w:val="00053AA3"/>
    <w:rsid w:val="000544B1"/>
    <w:rsid w:val="0005458B"/>
    <w:rsid w:val="000545A8"/>
    <w:rsid w:val="00054A0E"/>
    <w:rsid w:val="00054F41"/>
    <w:rsid w:val="00054F81"/>
    <w:rsid w:val="00055111"/>
    <w:rsid w:val="000553FE"/>
    <w:rsid w:val="000554A4"/>
    <w:rsid w:val="0005741A"/>
    <w:rsid w:val="000574CA"/>
    <w:rsid w:val="0005778E"/>
    <w:rsid w:val="00057E63"/>
    <w:rsid w:val="000604A6"/>
    <w:rsid w:val="000604AD"/>
    <w:rsid w:val="000604C2"/>
    <w:rsid w:val="00060FB3"/>
    <w:rsid w:val="00061256"/>
    <w:rsid w:val="00061590"/>
    <w:rsid w:val="00061614"/>
    <w:rsid w:val="0006163C"/>
    <w:rsid w:val="0006183A"/>
    <w:rsid w:val="00061B78"/>
    <w:rsid w:val="00061BA7"/>
    <w:rsid w:val="0006200E"/>
    <w:rsid w:val="000628C9"/>
    <w:rsid w:val="00062A2E"/>
    <w:rsid w:val="000632E4"/>
    <w:rsid w:val="000633A3"/>
    <w:rsid w:val="00063455"/>
    <w:rsid w:val="0006354A"/>
    <w:rsid w:val="00063CF0"/>
    <w:rsid w:val="00063E7D"/>
    <w:rsid w:val="000641BD"/>
    <w:rsid w:val="000647BD"/>
    <w:rsid w:val="00064F32"/>
    <w:rsid w:val="0006635D"/>
    <w:rsid w:val="0006645A"/>
    <w:rsid w:val="00066468"/>
    <w:rsid w:val="00066623"/>
    <w:rsid w:val="00066A61"/>
    <w:rsid w:val="00066FA0"/>
    <w:rsid w:val="0006704F"/>
    <w:rsid w:val="0006708B"/>
    <w:rsid w:val="000671B1"/>
    <w:rsid w:val="00067947"/>
    <w:rsid w:val="00070404"/>
    <w:rsid w:val="0007064D"/>
    <w:rsid w:val="00070695"/>
    <w:rsid w:val="00070918"/>
    <w:rsid w:val="00070B70"/>
    <w:rsid w:val="00070DDA"/>
    <w:rsid w:val="00071640"/>
    <w:rsid w:val="00071B99"/>
    <w:rsid w:val="00071D7F"/>
    <w:rsid w:val="00071DF7"/>
    <w:rsid w:val="00071F8F"/>
    <w:rsid w:val="0007211C"/>
    <w:rsid w:val="00072333"/>
    <w:rsid w:val="0007269F"/>
    <w:rsid w:val="000730E1"/>
    <w:rsid w:val="00073168"/>
    <w:rsid w:val="0007330F"/>
    <w:rsid w:val="000734FF"/>
    <w:rsid w:val="000735A8"/>
    <w:rsid w:val="00074830"/>
    <w:rsid w:val="00074F2C"/>
    <w:rsid w:val="00074FAB"/>
    <w:rsid w:val="00075380"/>
    <w:rsid w:val="00075AA0"/>
    <w:rsid w:val="00075AF1"/>
    <w:rsid w:val="00075F90"/>
    <w:rsid w:val="000762E6"/>
    <w:rsid w:val="00076341"/>
    <w:rsid w:val="000764D9"/>
    <w:rsid w:val="00076578"/>
    <w:rsid w:val="000765F1"/>
    <w:rsid w:val="00076800"/>
    <w:rsid w:val="00076A4E"/>
    <w:rsid w:val="00077020"/>
    <w:rsid w:val="0007703C"/>
    <w:rsid w:val="000771ED"/>
    <w:rsid w:val="0007742D"/>
    <w:rsid w:val="00077609"/>
    <w:rsid w:val="00077674"/>
    <w:rsid w:val="000778A7"/>
    <w:rsid w:val="00077A3F"/>
    <w:rsid w:val="00077DF1"/>
    <w:rsid w:val="000803BE"/>
    <w:rsid w:val="000803C9"/>
    <w:rsid w:val="00080722"/>
    <w:rsid w:val="00080CC8"/>
    <w:rsid w:val="00080F78"/>
    <w:rsid w:val="000811F0"/>
    <w:rsid w:val="00081214"/>
    <w:rsid w:val="0008170E"/>
    <w:rsid w:val="000823FA"/>
    <w:rsid w:val="0008250B"/>
    <w:rsid w:val="00083485"/>
    <w:rsid w:val="000834F2"/>
    <w:rsid w:val="00083923"/>
    <w:rsid w:val="000839F0"/>
    <w:rsid w:val="00083DDB"/>
    <w:rsid w:val="000841EB"/>
    <w:rsid w:val="00084B91"/>
    <w:rsid w:val="00084E81"/>
    <w:rsid w:val="00084F41"/>
    <w:rsid w:val="0008549A"/>
    <w:rsid w:val="00085551"/>
    <w:rsid w:val="000859D2"/>
    <w:rsid w:val="00085F4E"/>
    <w:rsid w:val="000861D7"/>
    <w:rsid w:val="000879B6"/>
    <w:rsid w:val="000903C8"/>
    <w:rsid w:val="000911A0"/>
    <w:rsid w:val="00091958"/>
    <w:rsid w:val="000919B9"/>
    <w:rsid w:val="00091B96"/>
    <w:rsid w:val="00091BA6"/>
    <w:rsid w:val="00091D42"/>
    <w:rsid w:val="00091D7D"/>
    <w:rsid w:val="000923E9"/>
    <w:rsid w:val="00092798"/>
    <w:rsid w:val="000927C8"/>
    <w:rsid w:val="000929ED"/>
    <w:rsid w:val="00092ED5"/>
    <w:rsid w:val="00093031"/>
    <w:rsid w:val="0009314F"/>
    <w:rsid w:val="000936D2"/>
    <w:rsid w:val="00093E08"/>
    <w:rsid w:val="000940FC"/>
    <w:rsid w:val="000943A0"/>
    <w:rsid w:val="00094E71"/>
    <w:rsid w:val="000951B1"/>
    <w:rsid w:val="00095635"/>
    <w:rsid w:val="000956F2"/>
    <w:rsid w:val="00095850"/>
    <w:rsid w:val="00095A74"/>
    <w:rsid w:val="00096A0F"/>
    <w:rsid w:val="00097201"/>
    <w:rsid w:val="00097714"/>
    <w:rsid w:val="00097B2F"/>
    <w:rsid w:val="00097FCB"/>
    <w:rsid w:val="000A0DC0"/>
    <w:rsid w:val="000A0DD4"/>
    <w:rsid w:val="000A1064"/>
    <w:rsid w:val="000A1505"/>
    <w:rsid w:val="000A1597"/>
    <w:rsid w:val="000A15BE"/>
    <w:rsid w:val="000A1DFF"/>
    <w:rsid w:val="000A29F0"/>
    <w:rsid w:val="000A2C9E"/>
    <w:rsid w:val="000A2D3B"/>
    <w:rsid w:val="000A4BA2"/>
    <w:rsid w:val="000A5091"/>
    <w:rsid w:val="000A5281"/>
    <w:rsid w:val="000A5B0E"/>
    <w:rsid w:val="000A612B"/>
    <w:rsid w:val="000A6309"/>
    <w:rsid w:val="000A6658"/>
    <w:rsid w:val="000A6672"/>
    <w:rsid w:val="000A66E4"/>
    <w:rsid w:val="000A7986"/>
    <w:rsid w:val="000B001F"/>
    <w:rsid w:val="000B010C"/>
    <w:rsid w:val="000B08DB"/>
    <w:rsid w:val="000B0A0B"/>
    <w:rsid w:val="000B0D27"/>
    <w:rsid w:val="000B125E"/>
    <w:rsid w:val="000B1722"/>
    <w:rsid w:val="000B1E82"/>
    <w:rsid w:val="000B2183"/>
    <w:rsid w:val="000B2980"/>
    <w:rsid w:val="000B308A"/>
    <w:rsid w:val="000B37A8"/>
    <w:rsid w:val="000B3837"/>
    <w:rsid w:val="000B3FFE"/>
    <w:rsid w:val="000B4106"/>
    <w:rsid w:val="000B4489"/>
    <w:rsid w:val="000B4A44"/>
    <w:rsid w:val="000B515A"/>
    <w:rsid w:val="000B5C21"/>
    <w:rsid w:val="000B5C8D"/>
    <w:rsid w:val="000B5E06"/>
    <w:rsid w:val="000B63E9"/>
    <w:rsid w:val="000B73CD"/>
    <w:rsid w:val="000B745A"/>
    <w:rsid w:val="000B7842"/>
    <w:rsid w:val="000B796F"/>
    <w:rsid w:val="000B7F30"/>
    <w:rsid w:val="000C05B6"/>
    <w:rsid w:val="000C0D18"/>
    <w:rsid w:val="000C0DDF"/>
    <w:rsid w:val="000C0E5A"/>
    <w:rsid w:val="000C11E3"/>
    <w:rsid w:val="000C1222"/>
    <w:rsid w:val="000C122E"/>
    <w:rsid w:val="000C17FA"/>
    <w:rsid w:val="000C2501"/>
    <w:rsid w:val="000C25F9"/>
    <w:rsid w:val="000C2B14"/>
    <w:rsid w:val="000C2D51"/>
    <w:rsid w:val="000C3B02"/>
    <w:rsid w:val="000C3BD7"/>
    <w:rsid w:val="000C3DCB"/>
    <w:rsid w:val="000C42D6"/>
    <w:rsid w:val="000C4E2F"/>
    <w:rsid w:val="000C514C"/>
    <w:rsid w:val="000C5400"/>
    <w:rsid w:val="000C591B"/>
    <w:rsid w:val="000C5A72"/>
    <w:rsid w:val="000C5C20"/>
    <w:rsid w:val="000C6191"/>
    <w:rsid w:val="000C63A2"/>
    <w:rsid w:val="000C63B1"/>
    <w:rsid w:val="000C646A"/>
    <w:rsid w:val="000C69FF"/>
    <w:rsid w:val="000C6D9C"/>
    <w:rsid w:val="000C794D"/>
    <w:rsid w:val="000C79E2"/>
    <w:rsid w:val="000D0255"/>
    <w:rsid w:val="000D1260"/>
    <w:rsid w:val="000D1A56"/>
    <w:rsid w:val="000D241F"/>
    <w:rsid w:val="000D295A"/>
    <w:rsid w:val="000D2E48"/>
    <w:rsid w:val="000D332A"/>
    <w:rsid w:val="000D357D"/>
    <w:rsid w:val="000D366B"/>
    <w:rsid w:val="000D3AC6"/>
    <w:rsid w:val="000D3AE9"/>
    <w:rsid w:val="000D3BE4"/>
    <w:rsid w:val="000D3DC7"/>
    <w:rsid w:val="000D4362"/>
    <w:rsid w:val="000D4539"/>
    <w:rsid w:val="000D455B"/>
    <w:rsid w:val="000D481A"/>
    <w:rsid w:val="000D4AC6"/>
    <w:rsid w:val="000D4AFD"/>
    <w:rsid w:val="000D5137"/>
    <w:rsid w:val="000D55F8"/>
    <w:rsid w:val="000D59D5"/>
    <w:rsid w:val="000D5E2A"/>
    <w:rsid w:val="000D5EA5"/>
    <w:rsid w:val="000D6035"/>
    <w:rsid w:val="000D6D12"/>
    <w:rsid w:val="000D72C1"/>
    <w:rsid w:val="000D74E4"/>
    <w:rsid w:val="000D7B9D"/>
    <w:rsid w:val="000D7FC9"/>
    <w:rsid w:val="000E000D"/>
    <w:rsid w:val="000E01E2"/>
    <w:rsid w:val="000E0210"/>
    <w:rsid w:val="000E02F5"/>
    <w:rsid w:val="000E0456"/>
    <w:rsid w:val="000E047F"/>
    <w:rsid w:val="000E09CD"/>
    <w:rsid w:val="000E0D81"/>
    <w:rsid w:val="000E12FA"/>
    <w:rsid w:val="000E25F8"/>
    <w:rsid w:val="000E27B9"/>
    <w:rsid w:val="000E2DC5"/>
    <w:rsid w:val="000E38FB"/>
    <w:rsid w:val="000E3D67"/>
    <w:rsid w:val="000E3FE9"/>
    <w:rsid w:val="000E4685"/>
    <w:rsid w:val="000E49C1"/>
    <w:rsid w:val="000E4AAD"/>
    <w:rsid w:val="000E4C60"/>
    <w:rsid w:val="000E4CF9"/>
    <w:rsid w:val="000E570C"/>
    <w:rsid w:val="000E5B56"/>
    <w:rsid w:val="000E5B9F"/>
    <w:rsid w:val="000E620A"/>
    <w:rsid w:val="000E64B6"/>
    <w:rsid w:val="000E64F1"/>
    <w:rsid w:val="000E7237"/>
    <w:rsid w:val="000E73A5"/>
    <w:rsid w:val="000E761C"/>
    <w:rsid w:val="000E79AA"/>
    <w:rsid w:val="000F0104"/>
    <w:rsid w:val="000F02B3"/>
    <w:rsid w:val="000F0AB5"/>
    <w:rsid w:val="000F0FCD"/>
    <w:rsid w:val="000F10C1"/>
    <w:rsid w:val="000F1192"/>
    <w:rsid w:val="000F1365"/>
    <w:rsid w:val="000F139D"/>
    <w:rsid w:val="000F17DB"/>
    <w:rsid w:val="000F1F18"/>
    <w:rsid w:val="000F2183"/>
    <w:rsid w:val="000F2289"/>
    <w:rsid w:val="000F22BE"/>
    <w:rsid w:val="000F2992"/>
    <w:rsid w:val="000F3A32"/>
    <w:rsid w:val="000F41F2"/>
    <w:rsid w:val="000F4393"/>
    <w:rsid w:val="000F4506"/>
    <w:rsid w:val="000F47DB"/>
    <w:rsid w:val="000F4C06"/>
    <w:rsid w:val="000F4CA1"/>
    <w:rsid w:val="000F51B8"/>
    <w:rsid w:val="000F5A2B"/>
    <w:rsid w:val="000F5F09"/>
    <w:rsid w:val="000F62FF"/>
    <w:rsid w:val="000F6538"/>
    <w:rsid w:val="000F65D0"/>
    <w:rsid w:val="000F65D4"/>
    <w:rsid w:val="000F6B31"/>
    <w:rsid w:val="000F6D23"/>
    <w:rsid w:val="000F6E6D"/>
    <w:rsid w:val="000F79ED"/>
    <w:rsid w:val="000F7CD8"/>
    <w:rsid w:val="001000F3"/>
    <w:rsid w:val="00100557"/>
    <w:rsid w:val="00100970"/>
    <w:rsid w:val="00100B87"/>
    <w:rsid w:val="00100EB9"/>
    <w:rsid w:val="00100F5C"/>
    <w:rsid w:val="0010103B"/>
    <w:rsid w:val="001012EE"/>
    <w:rsid w:val="00101400"/>
    <w:rsid w:val="0010140F"/>
    <w:rsid w:val="00101753"/>
    <w:rsid w:val="00101B12"/>
    <w:rsid w:val="00101B86"/>
    <w:rsid w:val="00101D75"/>
    <w:rsid w:val="00101E50"/>
    <w:rsid w:val="00102199"/>
    <w:rsid w:val="00102319"/>
    <w:rsid w:val="00102D15"/>
    <w:rsid w:val="00102D95"/>
    <w:rsid w:val="00103320"/>
    <w:rsid w:val="00103657"/>
    <w:rsid w:val="0010386A"/>
    <w:rsid w:val="0010387B"/>
    <w:rsid w:val="001047CA"/>
    <w:rsid w:val="00104BC4"/>
    <w:rsid w:val="00104C83"/>
    <w:rsid w:val="00104DEF"/>
    <w:rsid w:val="00104E84"/>
    <w:rsid w:val="00105173"/>
    <w:rsid w:val="00105AF0"/>
    <w:rsid w:val="00106E04"/>
    <w:rsid w:val="001078DD"/>
    <w:rsid w:val="00107BFC"/>
    <w:rsid w:val="00110184"/>
    <w:rsid w:val="00110560"/>
    <w:rsid w:val="00110BF6"/>
    <w:rsid w:val="00110D36"/>
    <w:rsid w:val="00110EE5"/>
    <w:rsid w:val="00110F93"/>
    <w:rsid w:val="001115D7"/>
    <w:rsid w:val="0011183C"/>
    <w:rsid w:val="00111976"/>
    <w:rsid w:val="0011199C"/>
    <w:rsid w:val="00111BAA"/>
    <w:rsid w:val="00111BF8"/>
    <w:rsid w:val="00111CB2"/>
    <w:rsid w:val="00111DB5"/>
    <w:rsid w:val="00111E93"/>
    <w:rsid w:val="00112505"/>
    <w:rsid w:val="0011285E"/>
    <w:rsid w:val="0011286A"/>
    <w:rsid w:val="001129B3"/>
    <w:rsid w:val="00112AAF"/>
    <w:rsid w:val="00112D13"/>
    <w:rsid w:val="00112EF7"/>
    <w:rsid w:val="00113077"/>
    <w:rsid w:val="00113116"/>
    <w:rsid w:val="00113265"/>
    <w:rsid w:val="0011362B"/>
    <w:rsid w:val="001136EC"/>
    <w:rsid w:val="001140B0"/>
    <w:rsid w:val="001140D1"/>
    <w:rsid w:val="00115047"/>
    <w:rsid w:val="00115467"/>
    <w:rsid w:val="00115862"/>
    <w:rsid w:val="00115DF5"/>
    <w:rsid w:val="00117346"/>
    <w:rsid w:val="00117C8C"/>
    <w:rsid w:val="00117D6E"/>
    <w:rsid w:val="00117EB9"/>
    <w:rsid w:val="00120243"/>
    <w:rsid w:val="001202E4"/>
    <w:rsid w:val="0012053F"/>
    <w:rsid w:val="00120542"/>
    <w:rsid w:val="00120A4E"/>
    <w:rsid w:val="00120B78"/>
    <w:rsid w:val="00121011"/>
    <w:rsid w:val="001210AF"/>
    <w:rsid w:val="0012123C"/>
    <w:rsid w:val="00121BF2"/>
    <w:rsid w:val="00121C17"/>
    <w:rsid w:val="00121D2E"/>
    <w:rsid w:val="00122328"/>
    <w:rsid w:val="00122A39"/>
    <w:rsid w:val="00122ADD"/>
    <w:rsid w:val="00122C4E"/>
    <w:rsid w:val="00122F7E"/>
    <w:rsid w:val="00123164"/>
    <w:rsid w:val="001233C6"/>
    <w:rsid w:val="001235F2"/>
    <w:rsid w:val="0012414B"/>
    <w:rsid w:val="00124630"/>
    <w:rsid w:val="001249E4"/>
    <w:rsid w:val="00124B66"/>
    <w:rsid w:val="00124BF1"/>
    <w:rsid w:val="00124D63"/>
    <w:rsid w:val="001250A7"/>
    <w:rsid w:val="00125276"/>
    <w:rsid w:val="001257CD"/>
    <w:rsid w:val="00125BE1"/>
    <w:rsid w:val="00125E18"/>
    <w:rsid w:val="00126103"/>
    <w:rsid w:val="00126228"/>
    <w:rsid w:val="00126257"/>
    <w:rsid w:val="001269C3"/>
    <w:rsid w:val="001270A4"/>
    <w:rsid w:val="00127132"/>
    <w:rsid w:val="00127240"/>
    <w:rsid w:val="001273A5"/>
    <w:rsid w:val="001279A1"/>
    <w:rsid w:val="00127E88"/>
    <w:rsid w:val="00130374"/>
    <w:rsid w:val="001305FB"/>
    <w:rsid w:val="001310E5"/>
    <w:rsid w:val="0013292D"/>
    <w:rsid w:val="0013312B"/>
    <w:rsid w:val="0013316C"/>
    <w:rsid w:val="0013338B"/>
    <w:rsid w:val="0013386E"/>
    <w:rsid w:val="001339B8"/>
    <w:rsid w:val="00134BE6"/>
    <w:rsid w:val="00134D7E"/>
    <w:rsid w:val="0013532E"/>
    <w:rsid w:val="001357D9"/>
    <w:rsid w:val="00135850"/>
    <w:rsid w:val="00135A10"/>
    <w:rsid w:val="00135B74"/>
    <w:rsid w:val="00135CC8"/>
    <w:rsid w:val="00135CE8"/>
    <w:rsid w:val="00135CEF"/>
    <w:rsid w:val="00135F85"/>
    <w:rsid w:val="001360C6"/>
    <w:rsid w:val="001362E6"/>
    <w:rsid w:val="00136648"/>
    <w:rsid w:val="00137442"/>
    <w:rsid w:val="001377E5"/>
    <w:rsid w:val="00137E84"/>
    <w:rsid w:val="001403EB"/>
    <w:rsid w:val="00140538"/>
    <w:rsid w:val="0014090D"/>
    <w:rsid w:val="0014093F"/>
    <w:rsid w:val="00140B4B"/>
    <w:rsid w:val="00140BB9"/>
    <w:rsid w:val="00140CF6"/>
    <w:rsid w:val="00141130"/>
    <w:rsid w:val="00141230"/>
    <w:rsid w:val="001412B7"/>
    <w:rsid w:val="001412E3"/>
    <w:rsid w:val="00141408"/>
    <w:rsid w:val="001418D9"/>
    <w:rsid w:val="00141E83"/>
    <w:rsid w:val="001431CC"/>
    <w:rsid w:val="0014350B"/>
    <w:rsid w:val="00143AEA"/>
    <w:rsid w:val="00143EE6"/>
    <w:rsid w:val="00143F79"/>
    <w:rsid w:val="00143F85"/>
    <w:rsid w:val="00144B51"/>
    <w:rsid w:val="00144CA2"/>
    <w:rsid w:val="00145271"/>
    <w:rsid w:val="00145363"/>
    <w:rsid w:val="00145531"/>
    <w:rsid w:val="001462CC"/>
    <w:rsid w:val="001463CC"/>
    <w:rsid w:val="00146810"/>
    <w:rsid w:val="00146E0A"/>
    <w:rsid w:val="001470EE"/>
    <w:rsid w:val="001473BB"/>
    <w:rsid w:val="001477D5"/>
    <w:rsid w:val="00147805"/>
    <w:rsid w:val="00147815"/>
    <w:rsid w:val="0015049F"/>
    <w:rsid w:val="00150BC1"/>
    <w:rsid w:val="001517DD"/>
    <w:rsid w:val="00151B11"/>
    <w:rsid w:val="00151CEE"/>
    <w:rsid w:val="00152072"/>
    <w:rsid w:val="001523D3"/>
    <w:rsid w:val="00152F2A"/>
    <w:rsid w:val="001534AE"/>
    <w:rsid w:val="00153A16"/>
    <w:rsid w:val="00153C3B"/>
    <w:rsid w:val="00153C3D"/>
    <w:rsid w:val="00153C90"/>
    <w:rsid w:val="00153FD3"/>
    <w:rsid w:val="00154258"/>
    <w:rsid w:val="001542C0"/>
    <w:rsid w:val="00154734"/>
    <w:rsid w:val="001547BA"/>
    <w:rsid w:val="00154C3E"/>
    <w:rsid w:val="00154CA9"/>
    <w:rsid w:val="00154E92"/>
    <w:rsid w:val="00155424"/>
    <w:rsid w:val="0015576A"/>
    <w:rsid w:val="00156350"/>
    <w:rsid w:val="00156396"/>
    <w:rsid w:val="00156502"/>
    <w:rsid w:val="00156683"/>
    <w:rsid w:val="0015672D"/>
    <w:rsid w:val="00156A3B"/>
    <w:rsid w:val="00156FE3"/>
    <w:rsid w:val="001572AE"/>
    <w:rsid w:val="0015781C"/>
    <w:rsid w:val="00157E9F"/>
    <w:rsid w:val="0016004D"/>
    <w:rsid w:val="00160623"/>
    <w:rsid w:val="001609A1"/>
    <w:rsid w:val="00160A88"/>
    <w:rsid w:val="00160E0D"/>
    <w:rsid w:val="001613D9"/>
    <w:rsid w:val="0016190C"/>
    <w:rsid w:val="00161A1D"/>
    <w:rsid w:val="00161DED"/>
    <w:rsid w:val="0016204C"/>
    <w:rsid w:val="001620A5"/>
    <w:rsid w:val="001624A9"/>
    <w:rsid w:val="00162706"/>
    <w:rsid w:val="00162A99"/>
    <w:rsid w:val="00162B04"/>
    <w:rsid w:val="00163594"/>
    <w:rsid w:val="00163B0F"/>
    <w:rsid w:val="00163B50"/>
    <w:rsid w:val="001640C6"/>
    <w:rsid w:val="001646E7"/>
    <w:rsid w:val="00164878"/>
    <w:rsid w:val="001657DF"/>
    <w:rsid w:val="001660A8"/>
    <w:rsid w:val="001665B6"/>
    <w:rsid w:val="00166723"/>
    <w:rsid w:val="00166BA7"/>
    <w:rsid w:val="001677EA"/>
    <w:rsid w:val="00167EAC"/>
    <w:rsid w:val="00167F39"/>
    <w:rsid w:val="00170218"/>
    <w:rsid w:val="001708E2"/>
    <w:rsid w:val="00170C25"/>
    <w:rsid w:val="00170CA4"/>
    <w:rsid w:val="001712E9"/>
    <w:rsid w:val="00171668"/>
    <w:rsid w:val="00171A8A"/>
    <w:rsid w:val="00171B50"/>
    <w:rsid w:val="00171DDA"/>
    <w:rsid w:val="00171E26"/>
    <w:rsid w:val="00172640"/>
    <w:rsid w:val="00172690"/>
    <w:rsid w:val="0017273B"/>
    <w:rsid w:val="00172A47"/>
    <w:rsid w:val="00172C42"/>
    <w:rsid w:val="00173955"/>
    <w:rsid w:val="00173E72"/>
    <w:rsid w:val="00173EDE"/>
    <w:rsid w:val="001742B4"/>
    <w:rsid w:val="00174336"/>
    <w:rsid w:val="00174B2D"/>
    <w:rsid w:val="00174E51"/>
    <w:rsid w:val="0017506A"/>
    <w:rsid w:val="00175297"/>
    <w:rsid w:val="001752B4"/>
    <w:rsid w:val="001754E8"/>
    <w:rsid w:val="00175C1F"/>
    <w:rsid w:val="00175CD4"/>
    <w:rsid w:val="0017665D"/>
    <w:rsid w:val="0017675C"/>
    <w:rsid w:val="001769FA"/>
    <w:rsid w:val="00176E42"/>
    <w:rsid w:val="001772FC"/>
    <w:rsid w:val="0017760D"/>
    <w:rsid w:val="00177A53"/>
    <w:rsid w:val="00177D41"/>
    <w:rsid w:val="00177D74"/>
    <w:rsid w:val="00177E14"/>
    <w:rsid w:val="00180069"/>
    <w:rsid w:val="00180204"/>
    <w:rsid w:val="00180AC5"/>
    <w:rsid w:val="00180CD3"/>
    <w:rsid w:val="0018121F"/>
    <w:rsid w:val="00181441"/>
    <w:rsid w:val="0018147C"/>
    <w:rsid w:val="00182CDF"/>
    <w:rsid w:val="00182CFD"/>
    <w:rsid w:val="00182EC3"/>
    <w:rsid w:val="001832EF"/>
    <w:rsid w:val="001833C0"/>
    <w:rsid w:val="0018363B"/>
    <w:rsid w:val="001837E1"/>
    <w:rsid w:val="00183AA6"/>
    <w:rsid w:val="0018412C"/>
    <w:rsid w:val="0018519C"/>
    <w:rsid w:val="0018532A"/>
    <w:rsid w:val="0018566A"/>
    <w:rsid w:val="0018570D"/>
    <w:rsid w:val="00186160"/>
    <w:rsid w:val="001865E5"/>
    <w:rsid w:val="00186776"/>
    <w:rsid w:val="00186A41"/>
    <w:rsid w:val="00186A46"/>
    <w:rsid w:val="00186EE5"/>
    <w:rsid w:val="00187099"/>
    <w:rsid w:val="00187BDF"/>
    <w:rsid w:val="00187EB8"/>
    <w:rsid w:val="0019022A"/>
    <w:rsid w:val="0019038D"/>
    <w:rsid w:val="00190AA7"/>
    <w:rsid w:val="00190C41"/>
    <w:rsid w:val="00190D4A"/>
    <w:rsid w:val="00190E3C"/>
    <w:rsid w:val="00190EAA"/>
    <w:rsid w:val="00190EB4"/>
    <w:rsid w:val="00190F07"/>
    <w:rsid w:val="001911CD"/>
    <w:rsid w:val="00191DF2"/>
    <w:rsid w:val="0019217F"/>
    <w:rsid w:val="00192CFB"/>
    <w:rsid w:val="00192D13"/>
    <w:rsid w:val="00192E64"/>
    <w:rsid w:val="0019304C"/>
    <w:rsid w:val="00193261"/>
    <w:rsid w:val="001935A7"/>
    <w:rsid w:val="00193B85"/>
    <w:rsid w:val="00193EF2"/>
    <w:rsid w:val="00193EF9"/>
    <w:rsid w:val="001940B2"/>
    <w:rsid w:val="0019445D"/>
    <w:rsid w:val="001946C9"/>
    <w:rsid w:val="00194ED3"/>
    <w:rsid w:val="001954B7"/>
    <w:rsid w:val="00195B41"/>
    <w:rsid w:val="00195E45"/>
    <w:rsid w:val="00195FD5"/>
    <w:rsid w:val="0019609A"/>
    <w:rsid w:val="00196E37"/>
    <w:rsid w:val="00197310"/>
    <w:rsid w:val="00197734"/>
    <w:rsid w:val="00197742"/>
    <w:rsid w:val="00197B7E"/>
    <w:rsid w:val="00197D50"/>
    <w:rsid w:val="001A01FA"/>
    <w:rsid w:val="001A0491"/>
    <w:rsid w:val="001A0718"/>
    <w:rsid w:val="001A0BF5"/>
    <w:rsid w:val="001A0FDB"/>
    <w:rsid w:val="001A1260"/>
    <w:rsid w:val="001A1296"/>
    <w:rsid w:val="001A182B"/>
    <w:rsid w:val="001A2035"/>
    <w:rsid w:val="001A2115"/>
    <w:rsid w:val="001A2929"/>
    <w:rsid w:val="001A2945"/>
    <w:rsid w:val="001A2D41"/>
    <w:rsid w:val="001A2E75"/>
    <w:rsid w:val="001A346E"/>
    <w:rsid w:val="001A39CE"/>
    <w:rsid w:val="001A3C63"/>
    <w:rsid w:val="001A40B4"/>
    <w:rsid w:val="001A59C0"/>
    <w:rsid w:val="001A6214"/>
    <w:rsid w:val="001A6707"/>
    <w:rsid w:val="001A6839"/>
    <w:rsid w:val="001A6FC8"/>
    <w:rsid w:val="001A70E6"/>
    <w:rsid w:val="001A71A5"/>
    <w:rsid w:val="001A73FB"/>
    <w:rsid w:val="001A756D"/>
    <w:rsid w:val="001A75EA"/>
    <w:rsid w:val="001A777C"/>
    <w:rsid w:val="001A7842"/>
    <w:rsid w:val="001A7BED"/>
    <w:rsid w:val="001B0CF9"/>
    <w:rsid w:val="001B21EE"/>
    <w:rsid w:val="001B2B35"/>
    <w:rsid w:val="001B2F9D"/>
    <w:rsid w:val="001B3172"/>
    <w:rsid w:val="001B34CA"/>
    <w:rsid w:val="001B36FC"/>
    <w:rsid w:val="001B3A1C"/>
    <w:rsid w:val="001B3A92"/>
    <w:rsid w:val="001B3A98"/>
    <w:rsid w:val="001B3D85"/>
    <w:rsid w:val="001B4400"/>
    <w:rsid w:val="001B44E6"/>
    <w:rsid w:val="001B4A04"/>
    <w:rsid w:val="001B4A23"/>
    <w:rsid w:val="001B4DF5"/>
    <w:rsid w:val="001B520B"/>
    <w:rsid w:val="001B59CA"/>
    <w:rsid w:val="001B5BD9"/>
    <w:rsid w:val="001B5E41"/>
    <w:rsid w:val="001B5F9C"/>
    <w:rsid w:val="001B61AB"/>
    <w:rsid w:val="001B6512"/>
    <w:rsid w:val="001B6C5B"/>
    <w:rsid w:val="001B6ED3"/>
    <w:rsid w:val="001B711B"/>
    <w:rsid w:val="001B73D2"/>
    <w:rsid w:val="001B75CD"/>
    <w:rsid w:val="001B7608"/>
    <w:rsid w:val="001B78F1"/>
    <w:rsid w:val="001B79A2"/>
    <w:rsid w:val="001B7A41"/>
    <w:rsid w:val="001B7DBF"/>
    <w:rsid w:val="001C04E8"/>
    <w:rsid w:val="001C09AB"/>
    <w:rsid w:val="001C0BEC"/>
    <w:rsid w:val="001C1FF9"/>
    <w:rsid w:val="001C2548"/>
    <w:rsid w:val="001C255F"/>
    <w:rsid w:val="001C275E"/>
    <w:rsid w:val="001C28C3"/>
    <w:rsid w:val="001C2C5E"/>
    <w:rsid w:val="001C2CAA"/>
    <w:rsid w:val="001C2F1D"/>
    <w:rsid w:val="001C309F"/>
    <w:rsid w:val="001C39A6"/>
    <w:rsid w:val="001C3C49"/>
    <w:rsid w:val="001C41BD"/>
    <w:rsid w:val="001C4253"/>
    <w:rsid w:val="001C4718"/>
    <w:rsid w:val="001C4A7C"/>
    <w:rsid w:val="001C4E1B"/>
    <w:rsid w:val="001C5089"/>
    <w:rsid w:val="001C534B"/>
    <w:rsid w:val="001C6626"/>
    <w:rsid w:val="001C672D"/>
    <w:rsid w:val="001C6CA7"/>
    <w:rsid w:val="001C77FB"/>
    <w:rsid w:val="001C7BEA"/>
    <w:rsid w:val="001D00D3"/>
    <w:rsid w:val="001D04BC"/>
    <w:rsid w:val="001D050E"/>
    <w:rsid w:val="001D0861"/>
    <w:rsid w:val="001D0A9C"/>
    <w:rsid w:val="001D0ED7"/>
    <w:rsid w:val="001D2399"/>
    <w:rsid w:val="001D23B8"/>
    <w:rsid w:val="001D28B0"/>
    <w:rsid w:val="001D2F91"/>
    <w:rsid w:val="001D2FC9"/>
    <w:rsid w:val="001D3F04"/>
    <w:rsid w:val="001D4992"/>
    <w:rsid w:val="001D4E6B"/>
    <w:rsid w:val="001D5073"/>
    <w:rsid w:val="001D5B73"/>
    <w:rsid w:val="001D6710"/>
    <w:rsid w:val="001D6828"/>
    <w:rsid w:val="001D6BD7"/>
    <w:rsid w:val="001D6F9F"/>
    <w:rsid w:val="001D70AF"/>
    <w:rsid w:val="001D731D"/>
    <w:rsid w:val="001E0601"/>
    <w:rsid w:val="001E07D6"/>
    <w:rsid w:val="001E0868"/>
    <w:rsid w:val="001E09EC"/>
    <w:rsid w:val="001E0BD5"/>
    <w:rsid w:val="001E12E3"/>
    <w:rsid w:val="001E1B7F"/>
    <w:rsid w:val="001E1C24"/>
    <w:rsid w:val="001E1F98"/>
    <w:rsid w:val="001E20CB"/>
    <w:rsid w:val="001E2723"/>
    <w:rsid w:val="001E2782"/>
    <w:rsid w:val="001E2855"/>
    <w:rsid w:val="001E2980"/>
    <w:rsid w:val="001E2A3D"/>
    <w:rsid w:val="001E308F"/>
    <w:rsid w:val="001E353D"/>
    <w:rsid w:val="001E3870"/>
    <w:rsid w:val="001E38DE"/>
    <w:rsid w:val="001E3C83"/>
    <w:rsid w:val="001E4287"/>
    <w:rsid w:val="001E42A7"/>
    <w:rsid w:val="001E491C"/>
    <w:rsid w:val="001E4A97"/>
    <w:rsid w:val="001E5068"/>
    <w:rsid w:val="001E5181"/>
    <w:rsid w:val="001E5B03"/>
    <w:rsid w:val="001E5CBF"/>
    <w:rsid w:val="001E5F87"/>
    <w:rsid w:val="001E6304"/>
    <w:rsid w:val="001E646C"/>
    <w:rsid w:val="001E6500"/>
    <w:rsid w:val="001E6944"/>
    <w:rsid w:val="001E6F02"/>
    <w:rsid w:val="001E700D"/>
    <w:rsid w:val="001E7036"/>
    <w:rsid w:val="001E710D"/>
    <w:rsid w:val="001E71FD"/>
    <w:rsid w:val="001E73DA"/>
    <w:rsid w:val="001E75B7"/>
    <w:rsid w:val="001E7687"/>
    <w:rsid w:val="001E7700"/>
    <w:rsid w:val="001E7EC6"/>
    <w:rsid w:val="001F0189"/>
    <w:rsid w:val="001F03BC"/>
    <w:rsid w:val="001F050A"/>
    <w:rsid w:val="001F0B12"/>
    <w:rsid w:val="001F0DA6"/>
    <w:rsid w:val="001F13E5"/>
    <w:rsid w:val="001F143F"/>
    <w:rsid w:val="001F168D"/>
    <w:rsid w:val="001F16E8"/>
    <w:rsid w:val="001F249B"/>
    <w:rsid w:val="001F2998"/>
    <w:rsid w:val="001F2E9D"/>
    <w:rsid w:val="001F427F"/>
    <w:rsid w:val="001F474F"/>
    <w:rsid w:val="001F53AC"/>
    <w:rsid w:val="001F5698"/>
    <w:rsid w:val="001F59F6"/>
    <w:rsid w:val="001F5E2D"/>
    <w:rsid w:val="001F5E94"/>
    <w:rsid w:val="001F6359"/>
    <w:rsid w:val="001F64E1"/>
    <w:rsid w:val="001F669B"/>
    <w:rsid w:val="001F6D32"/>
    <w:rsid w:val="001F7018"/>
    <w:rsid w:val="001F79AD"/>
    <w:rsid w:val="001F79F6"/>
    <w:rsid w:val="00200113"/>
    <w:rsid w:val="0020020A"/>
    <w:rsid w:val="00200338"/>
    <w:rsid w:val="00200C88"/>
    <w:rsid w:val="00200DE5"/>
    <w:rsid w:val="0020104B"/>
    <w:rsid w:val="0020105B"/>
    <w:rsid w:val="00201346"/>
    <w:rsid w:val="00201BEA"/>
    <w:rsid w:val="00201D93"/>
    <w:rsid w:val="00201EDE"/>
    <w:rsid w:val="002027B2"/>
    <w:rsid w:val="002032F3"/>
    <w:rsid w:val="0020336D"/>
    <w:rsid w:val="00203C9E"/>
    <w:rsid w:val="00203D08"/>
    <w:rsid w:val="00204004"/>
    <w:rsid w:val="002043E1"/>
    <w:rsid w:val="002048B0"/>
    <w:rsid w:val="002049E8"/>
    <w:rsid w:val="00204B5C"/>
    <w:rsid w:val="002051A4"/>
    <w:rsid w:val="00205EED"/>
    <w:rsid w:val="002068A9"/>
    <w:rsid w:val="00206A62"/>
    <w:rsid w:val="00207363"/>
    <w:rsid w:val="00207928"/>
    <w:rsid w:val="00207B31"/>
    <w:rsid w:val="00207D41"/>
    <w:rsid w:val="00207E38"/>
    <w:rsid w:val="00210634"/>
    <w:rsid w:val="002106B9"/>
    <w:rsid w:val="00210AB9"/>
    <w:rsid w:val="00210C97"/>
    <w:rsid w:val="00210D11"/>
    <w:rsid w:val="00210E40"/>
    <w:rsid w:val="00210FA2"/>
    <w:rsid w:val="00211412"/>
    <w:rsid w:val="002126FD"/>
    <w:rsid w:val="00212D92"/>
    <w:rsid w:val="002132ED"/>
    <w:rsid w:val="00213658"/>
    <w:rsid w:val="002138C4"/>
    <w:rsid w:val="00213B1A"/>
    <w:rsid w:val="002142E9"/>
    <w:rsid w:val="00214446"/>
    <w:rsid w:val="002146D6"/>
    <w:rsid w:val="00214CBB"/>
    <w:rsid w:val="00214F76"/>
    <w:rsid w:val="002151F5"/>
    <w:rsid w:val="00215562"/>
    <w:rsid w:val="0021574B"/>
    <w:rsid w:val="0021674F"/>
    <w:rsid w:val="002170A4"/>
    <w:rsid w:val="00217166"/>
    <w:rsid w:val="002173E8"/>
    <w:rsid w:val="00217406"/>
    <w:rsid w:val="002174CE"/>
    <w:rsid w:val="002177F3"/>
    <w:rsid w:val="00217EAC"/>
    <w:rsid w:val="00220046"/>
    <w:rsid w:val="00220365"/>
    <w:rsid w:val="00220536"/>
    <w:rsid w:val="00220543"/>
    <w:rsid w:val="00220992"/>
    <w:rsid w:val="00220A5E"/>
    <w:rsid w:val="00220FC5"/>
    <w:rsid w:val="00220FD2"/>
    <w:rsid w:val="002215C2"/>
    <w:rsid w:val="00221833"/>
    <w:rsid w:val="00221843"/>
    <w:rsid w:val="00221A85"/>
    <w:rsid w:val="00221F1F"/>
    <w:rsid w:val="00222298"/>
    <w:rsid w:val="002223A8"/>
    <w:rsid w:val="00222F16"/>
    <w:rsid w:val="002236BA"/>
    <w:rsid w:val="0022375B"/>
    <w:rsid w:val="002238F5"/>
    <w:rsid w:val="002239F8"/>
    <w:rsid w:val="00223A18"/>
    <w:rsid w:val="002259C2"/>
    <w:rsid w:val="00225A6E"/>
    <w:rsid w:val="00225CC7"/>
    <w:rsid w:val="00225D3B"/>
    <w:rsid w:val="002262A0"/>
    <w:rsid w:val="002267F8"/>
    <w:rsid w:val="002268F5"/>
    <w:rsid w:val="00227223"/>
    <w:rsid w:val="0022728C"/>
    <w:rsid w:val="00227E0A"/>
    <w:rsid w:val="00230213"/>
    <w:rsid w:val="0023023F"/>
    <w:rsid w:val="00230AE1"/>
    <w:rsid w:val="00230E10"/>
    <w:rsid w:val="00231238"/>
    <w:rsid w:val="00231524"/>
    <w:rsid w:val="002316A8"/>
    <w:rsid w:val="00231D29"/>
    <w:rsid w:val="00231F23"/>
    <w:rsid w:val="00231F9B"/>
    <w:rsid w:val="002329F1"/>
    <w:rsid w:val="00232AD5"/>
    <w:rsid w:val="00232D0C"/>
    <w:rsid w:val="002334D1"/>
    <w:rsid w:val="00233855"/>
    <w:rsid w:val="00233B6F"/>
    <w:rsid w:val="00233E1B"/>
    <w:rsid w:val="00234459"/>
    <w:rsid w:val="002347D0"/>
    <w:rsid w:val="00234C1B"/>
    <w:rsid w:val="00235016"/>
    <w:rsid w:val="0023532E"/>
    <w:rsid w:val="0023541D"/>
    <w:rsid w:val="0023559D"/>
    <w:rsid w:val="0023594D"/>
    <w:rsid w:val="002360CE"/>
    <w:rsid w:val="00236419"/>
    <w:rsid w:val="00236721"/>
    <w:rsid w:val="00236EC8"/>
    <w:rsid w:val="00237A2A"/>
    <w:rsid w:val="002401FF"/>
    <w:rsid w:val="00240324"/>
    <w:rsid w:val="00240511"/>
    <w:rsid w:val="00240C73"/>
    <w:rsid w:val="002412DC"/>
    <w:rsid w:val="0024168C"/>
    <w:rsid w:val="00241BA9"/>
    <w:rsid w:val="002427C6"/>
    <w:rsid w:val="00242E44"/>
    <w:rsid w:val="00242FBE"/>
    <w:rsid w:val="002433D9"/>
    <w:rsid w:val="002436D6"/>
    <w:rsid w:val="00243D2F"/>
    <w:rsid w:val="00243E4F"/>
    <w:rsid w:val="0024400F"/>
    <w:rsid w:val="00244256"/>
    <w:rsid w:val="00244770"/>
    <w:rsid w:val="00244A22"/>
    <w:rsid w:val="00245163"/>
    <w:rsid w:val="002457F2"/>
    <w:rsid w:val="00245F07"/>
    <w:rsid w:val="00246714"/>
    <w:rsid w:val="002467C4"/>
    <w:rsid w:val="00246A27"/>
    <w:rsid w:val="00246A30"/>
    <w:rsid w:val="00246F93"/>
    <w:rsid w:val="0024760F"/>
    <w:rsid w:val="00247741"/>
    <w:rsid w:val="00247837"/>
    <w:rsid w:val="00247AE4"/>
    <w:rsid w:val="00247C21"/>
    <w:rsid w:val="00250765"/>
    <w:rsid w:val="0025082C"/>
    <w:rsid w:val="002511C9"/>
    <w:rsid w:val="002514D2"/>
    <w:rsid w:val="00251655"/>
    <w:rsid w:val="002521E6"/>
    <w:rsid w:val="00252553"/>
    <w:rsid w:val="002525C4"/>
    <w:rsid w:val="002527A2"/>
    <w:rsid w:val="00252AAD"/>
    <w:rsid w:val="00252D49"/>
    <w:rsid w:val="00253CC3"/>
    <w:rsid w:val="00254570"/>
    <w:rsid w:val="00254582"/>
    <w:rsid w:val="002546C1"/>
    <w:rsid w:val="00254A77"/>
    <w:rsid w:val="00254C66"/>
    <w:rsid w:val="00254C73"/>
    <w:rsid w:val="0025515A"/>
    <w:rsid w:val="0025518C"/>
    <w:rsid w:val="002551D5"/>
    <w:rsid w:val="00255BE7"/>
    <w:rsid w:val="00255F2C"/>
    <w:rsid w:val="00256679"/>
    <w:rsid w:val="002567CF"/>
    <w:rsid w:val="002568D8"/>
    <w:rsid w:val="002570E0"/>
    <w:rsid w:val="0025731C"/>
    <w:rsid w:val="00257375"/>
    <w:rsid w:val="002577F6"/>
    <w:rsid w:val="00257803"/>
    <w:rsid w:val="00257A5F"/>
    <w:rsid w:val="00257BB3"/>
    <w:rsid w:val="00257CCA"/>
    <w:rsid w:val="00257DDF"/>
    <w:rsid w:val="00260196"/>
    <w:rsid w:val="0026023F"/>
    <w:rsid w:val="00260E0C"/>
    <w:rsid w:val="0026157B"/>
    <w:rsid w:val="002616F7"/>
    <w:rsid w:val="00261815"/>
    <w:rsid w:val="0026183B"/>
    <w:rsid w:val="00261BBF"/>
    <w:rsid w:val="00261D51"/>
    <w:rsid w:val="00261FD4"/>
    <w:rsid w:val="002621BB"/>
    <w:rsid w:val="002625A5"/>
    <w:rsid w:val="0026283B"/>
    <w:rsid w:val="00262945"/>
    <w:rsid w:val="002639D6"/>
    <w:rsid w:val="00263B04"/>
    <w:rsid w:val="00264622"/>
    <w:rsid w:val="00264683"/>
    <w:rsid w:val="002646E9"/>
    <w:rsid w:val="00264F61"/>
    <w:rsid w:val="0026524E"/>
    <w:rsid w:val="00265558"/>
    <w:rsid w:val="00265D58"/>
    <w:rsid w:val="0026633A"/>
    <w:rsid w:val="00266530"/>
    <w:rsid w:val="0026664A"/>
    <w:rsid w:val="002667D3"/>
    <w:rsid w:val="00266A02"/>
    <w:rsid w:val="00267140"/>
    <w:rsid w:val="00267223"/>
    <w:rsid w:val="0026753D"/>
    <w:rsid w:val="00267757"/>
    <w:rsid w:val="00267772"/>
    <w:rsid w:val="00267DBA"/>
    <w:rsid w:val="00267DD5"/>
    <w:rsid w:val="0027069D"/>
    <w:rsid w:val="00270C7B"/>
    <w:rsid w:val="00270D26"/>
    <w:rsid w:val="00270FB1"/>
    <w:rsid w:val="0027149E"/>
    <w:rsid w:val="002715F1"/>
    <w:rsid w:val="00271804"/>
    <w:rsid w:val="00272356"/>
    <w:rsid w:val="0027238B"/>
    <w:rsid w:val="002728F7"/>
    <w:rsid w:val="00272DA4"/>
    <w:rsid w:val="00273075"/>
    <w:rsid w:val="0027369C"/>
    <w:rsid w:val="00273C3C"/>
    <w:rsid w:val="00273E0D"/>
    <w:rsid w:val="0027430A"/>
    <w:rsid w:val="0027438F"/>
    <w:rsid w:val="00274648"/>
    <w:rsid w:val="00274D72"/>
    <w:rsid w:val="0027507D"/>
    <w:rsid w:val="002750B3"/>
    <w:rsid w:val="002750BE"/>
    <w:rsid w:val="002753D3"/>
    <w:rsid w:val="00275584"/>
    <w:rsid w:val="00275703"/>
    <w:rsid w:val="00275B81"/>
    <w:rsid w:val="00275C14"/>
    <w:rsid w:val="00275C3F"/>
    <w:rsid w:val="00276771"/>
    <w:rsid w:val="002769B5"/>
    <w:rsid w:val="00276FC7"/>
    <w:rsid w:val="002770CC"/>
    <w:rsid w:val="00277637"/>
    <w:rsid w:val="0027779F"/>
    <w:rsid w:val="002778B1"/>
    <w:rsid w:val="00277B28"/>
    <w:rsid w:val="00277C48"/>
    <w:rsid w:val="0028004D"/>
    <w:rsid w:val="00280139"/>
    <w:rsid w:val="00280EAB"/>
    <w:rsid w:val="00280F42"/>
    <w:rsid w:val="0028103D"/>
    <w:rsid w:val="002813FC"/>
    <w:rsid w:val="002815C6"/>
    <w:rsid w:val="00281683"/>
    <w:rsid w:val="00281B65"/>
    <w:rsid w:val="002823EA"/>
    <w:rsid w:val="0028269D"/>
    <w:rsid w:val="002826FC"/>
    <w:rsid w:val="00282B10"/>
    <w:rsid w:val="00282D43"/>
    <w:rsid w:val="00283182"/>
    <w:rsid w:val="002831E8"/>
    <w:rsid w:val="00283694"/>
    <w:rsid w:val="00283869"/>
    <w:rsid w:val="002839BB"/>
    <w:rsid w:val="00283A21"/>
    <w:rsid w:val="00283DB1"/>
    <w:rsid w:val="0028424C"/>
    <w:rsid w:val="00284470"/>
    <w:rsid w:val="0028453A"/>
    <w:rsid w:val="00284BC0"/>
    <w:rsid w:val="00284C96"/>
    <w:rsid w:val="00284E4B"/>
    <w:rsid w:val="00285256"/>
    <w:rsid w:val="0028555C"/>
    <w:rsid w:val="00285771"/>
    <w:rsid w:val="002859EB"/>
    <w:rsid w:val="00285EC9"/>
    <w:rsid w:val="00285F21"/>
    <w:rsid w:val="00286559"/>
    <w:rsid w:val="00286731"/>
    <w:rsid w:val="00286963"/>
    <w:rsid w:val="00287938"/>
    <w:rsid w:val="0029008A"/>
    <w:rsid w:val="00290222"/>
    <w:rsid w:val="00290558"/>
    <w:rsid w:val="002905C5"/>
    <w:rsid w:val="00290814"/>
    <w:rsid w:val="00290CF7"/>
    <w:rsid w:val="0029160A"/>
    <w:rsid w:val="00291DC9"/>
    <w:rsid w:val="00291EAD"/>
    <w:rsid w:val="00292783"/>
    <w:rsid w:val="0029298D"/>
    <w:rsid w:val="0029323F"/>
    <w:rsid w:val="00293489"/>
    <w:rsid w:val="002934AA"/>
    <w:rsid w:val="00293BDA"/>
    <w:rsid w:val="00293E02"/>
    <w:rsid w:val="002940E3"/>
    <w:rsid w:val="0029470A"/>
    <w:rsid w:val="00294D45"/>
    <w:rsid w:val="002952A7"/>
    <w:rsid w:val="00295BEF"/>
    <w:rsid w:val="002964BE"/>
    <w:rsid w:val="002967FB"/>
    <w:rsid w:val="00296A6C"/>
    <w:rsid w:val="00296E17"/>
    <w:rsid w:val="00296EF2"/>
    <w:rsid w:val="00297071"/>
    <w:rsid w:val="00297122"/>
    <w:rsid w:val="0029753A"/>
    <w:rsid w:val="002979A2"/>
    <w:rsid w:val="00297A81"/>
    <w:rsid w:val="00297ABF"/>
    <w:rsid w:val="00297AD7"/>
    <w:rsid w:val="00297D0D"/>
    <w:rsid w:val="002A0352"/>
    <w:rsid w:val="002A1818"/>
    <w:rsid w:val="002A1F07"/>
    <w:rsid w:val="002A2760"/>
    <w:rsid w:val="002A2B33"/>
    <w:rsid w:val="002A2CE2"/>
    <w:rsid w:val="002A2F02"/>
    <w:rsid w:val="002A2FAE"/>
    <w:rsid w:val="002A3117"/>
    <w:rsid w:val="002A3654"/>
    <w:rsid w:val="002A38C6"/>
    <w:rsid w:val="002A3A2A"/>
    <w:rsid w:val="002A3A53"/>
    <w:rsid w:val="002A3FC8"/>
    <w:rsid w:val="002A42D5"/>
    <w:rsid w:val="002A45EB"/>
    <w:rsid w:val="002A4698"/>
    <w:rsid w:val="002A4CA8"/>
    <w:rsid w:val="002A4D35"/>
    <w:rsid w:val="002A4D7E"/>
    <w:rsid w:val="002A57DB"/>
    <w:rsid w:val="002A5C8B"/>
    <w:rsid w:val="002A63BE"/>
    <w:rsid w:val="002A6620"/>
    <w:rsid w:val="002A68B8"/>
    <w:rsid w:val="002A6A32"/>
    <w:rsid w:val="002A6BCA"/>
    <w:rsid w:val="002A6FD3"/>
    <w:rsid w:val="002A7459"/>
    <w:rsid w:val="002B04A8"/>
    <w:rsid w:val="002B0552"/>
    <w:rsid w:val="002B0B5B"/>
    <w:rsid w:val="002B0E08"/>
    <w:rsid w:val="002B0EC9"/>
    <w:rsid w:val="002B160A"/>
    <w:rsid w:val="002B226D"/>
    <w:rsid w:val="002B23A7"/>
    <w:rsid w:val="002B28EF"/>
    <w:rsid w:val="002B2C04"/>
    <w:rsid w:val="002B2C4D"/>
    <w:rsid w:val="002B2DD0"/>
    <w:rsid w:val="002B3523"/>
    <w:rsid w:val="002B3B89"/>
    <w:rsid w:val="002B4BCB"/>
    <w:rsid w:val="002B4EF7"/>
    <w:rsid w:val="002B4F2E"/>
    <w:rsid w:val="002B4FDE"/>
    <w:rsid w:val="002B54FF"/>
    <w:rsid w:val="002B5B06"/>
    <w:rsid w:val="002B5E75"/>
    <w:rsid w:val="002B5F9B"/>
    <w:rsid w:val="002B603C"/>
    <w:rsid w:val="002B6A69"/>
    <w:rsid w:val="002B6BAD"/>
    <w:rsid w:val="002B6E15"/>
    <w:rsid w:val="002B6FFD"/>
    <w:rsid w:val="002B7766"/>
    <w:rsid w:val="002B7F42"/>
    <w:rsid w:val="002C0B28"/>
    <w:rsid w:val="002C0DF3"/>
    <w:rsid w:val="002C1117"/>
    <w:rsid w:val="002C12CD"/>
    <w:rsid w:val="002C1333"/>
    <w:rsid w:val="002C1498"/>
    <w:rsid w:val="002C14BC"/>
    <w:rsid w:val="002C185A"/>
    <w:rsid w:val="002C1DAA"/>
    <w:rsid w:val="002C2020"/>
    <w:rsid w:val="002C2454"/>
    <w:rsid w:val="002C2AF4"/>
    <w:rsid w:val="002C2D39"/>
    <w:rsid w:val="002C3407"/>
    <w:rsid w:val="002C3B5C"/>
    <w:rsid w:val="002C4078"/>
    <w:rsid w:val="002C40DE"/>
    <w:rsid w:val="002C484C"/>
    <w:rsid w:val="002C4ADD"/>
    <w:rsid w:val="002C5023"/>
    <w:rsid w:val="002C59A0"/>
    <w:rsid w:val="002C6A39"/>
    <w:rsid w:val="002C6C50"/>
    <w:rsid w:val="002C6CBC"/>
    <w:rsid w:val="002C716E"/>
    <w:rsid w:val="002C779E"/>
    <w:rsid w:val="002C7878"/>
    <w:rsid w:val="002C7918"/>
    <w:rsid w:val="002C7F20"/>
    <w:rsid w:val="002C7FA0"/>
    <w:rsid w:val="002C7FC8"/>
    <w:rsid w:val="002D00A4"/>
    <w:rsid w:val="002D06A6"/>
    <w:rsid w:val="002D086D"/>
    <w:rsid w:val="002D138A"/>
    <w:rsid w:val="002D22C7"/>
    <w:rsid w:val="002D308F"/>
    <w:rsid w:val="002D37A1"/>
    <w:rsid w:val="002D3C32"/>
    <w:rsid w:val="002D3E13"/>
    <w:rsid w:val="002D3E95"/>
    <w:rsid w:val="002D47BE"/>
    <w:rsid w:val="002D4BAB"/>
    <w:rsid w:val="002D4F3F"/>
    <w:rsid w:val="002D5124"/>
    <w:rsid w:val="002D5491"/>
    <w:rsid w:val="002D5876"/>
    <w:rsid w:val="002D593D"/>
    <w:rsid w:val="002D5982"/>
    <w:rsid w:val="002D5E40"/>
    <w:rsid w:val="002D5FB9"/>
    <w:rsid w:val="002D604D"/>
    <w:rsid w:val="002D61EF"/>
    <w:rsid w:val="002D64CC"/>
    <w:rsid w:val="002D67F2"/>
    <w:rsid w:val="002D6845"/>
    <w:rsid w:val="002D77C3"/>
    <w:rsid w:val="002D7919"/>
    <w:rsid w:val="002D7BC5"/>
    <w:rsid w:val="002D7EC2"/>
    <w:rsid w:val="002E056E"/>
    <w:rsid w:val="002E0668"/>
    <w:rsid w:val="002E07F4"/>
    <w:rsid w:val="002E0FBF"/>
    <w:rsid w:val="002E1321"/>
    <w:rsid w:val="002E144F"/>
    <w:rsid w:val="002E1716"/>
    <w:rsid w:val="002E1BDE"/>
    <w:rsid w:val="002E2013"/>
    <w:rsid w:val="002E299B"/>
    <w:rsid w:val="002E2A3C"/>
    <w:rsid w:val="002E2CF4"/>
    <w:rsid w:val="002E337D"/>
    <w:rsid w:val="002E3930"/>
    <w:rsid w:val="002E3AA7"/>
    <w:rsid w:val="002E3B6C"/>
    <w:rsid w:val="002E3E06"/>
    <w:rsid w:val="002E45C6"/>
    <w:rsid w:val="002E4B5A"/>
    <w:rsid w:val="002E4D40"/>
    <w:rsid w:val="002E518F"/>
    <w:rsid w:val="002E51D0"/>
    <w:rsid w:val="002E5208"/>
    <w:rsid w:val="002E56FE"/>
    <w:rsid w:val="002E5B0A"/>
    <w:rsid w:val="002E5E5F"/>
    <w:rsid w:val="002E6741"/>
    <w:rsid w:val="002E6B48"/>
    <w:rsid w:val="002E6C31"/>
    <w:rsid w:val="002E6C6B"/>
    <w:rsid w:val="002E6E41"/>
    <w:rsid w:val="002E7B7D"/>
    <w:rsid w:val="002E7C3B"/>
    <w:rsid w:val="002F0247"/>
    <w:rsid w:val="002F03EF"/>
    <w:rsid w:val="002F08F9"/>
    <w:rsid w:val="002F0C48"/>
    <w:rsid w:val="002F146C"/>
    <w:rsid w:val="002F1932"/>
    <w:rsid w:val="002F211F"/>
    <w:rsid w:val="002F2391"/>
    <w:rsid w:val="002F2CB7"/>
    <w:rsid w:val="002F3551"/>
    <w:rsid w:val="002F39CB"/>
    <w:rsid w:val="002F39EC"/>
    <w:rsid w:val="002F3C8D"/>
    <w:rsid w:val="002F46BE"/>
    <w:rsid w:val="002F4B92"/>
    <w:rsid w:val="002F4CFC"/>
    <w:rsid w:val="002F507E"/>
    <w:rsid w:val="002F5285"/>
    <w:rsid w:val="002F57E5"/>
    <w:rsid w:val="002F651D"/>
    <w:rsid w:val="002F689A"/>
    <w:rsid w:val="002F6BAC"/>
    <w:rsid w:val="002F6D01"/>
    <w:rsid w:val="002F776E"/>
    <w:rsid w:val="00300177"/>
    <w:rsid w:val="00300456"/>
    <w:rsid w:val="003004D0"/>
    <w:rsid w:val="003005A7"/>
    <w:rsid w:val="00300B3A"/>
    <w:rsid w:val="003011BD"/>
    <w:rsid w:val="00301782"/>
    <w:rsid w:val="00301C9C"/>
    <w:rsid w:val="00301D92"/>
    <w:rsid w:val="00302365"/>
    <w:rsid w:val="0030286F"/>
    <w:rsid w:val="003028D5"/>
    <w:rsid w:val="003028FC"/>
    <w:rsid w:val="003029F9"/>
    <w:rsid w:val="00302E73"/>
    <w:rsid w:val="003031E2"/>
    <w:rsid w:val="00303219"/>
    <w:rsid w:val="0030339B"/>
    <w:rsid w:val="00303DA2"/>
    <w:rsid w:val="00303E68"/>
    <w:rsid w:val="00304C74"/>
    <w:rsid w:val="00304EE3"/>
    <w:rsid w:val="00304F97"/>
    <w:rsid w:val="003050AB"/>
    <w:rsid w:val="0030534C"/>
    <w:rsid w:val="003054C8"/>
    <w:rsid w:val="0030596D"/>
    <w:rsid w:val="003067CA"/>
    <w:rsid w:val="00306A20"/>
    <w:rsid w:val="00307539"/>
    <w:rsid w:val="00307593"/>
    <w:rsid w:val="003077CC"/>
    <w:rsid w:val="00310109"/>
    <w:rsid w:val="003106ED"/>
    <w:rsid w:val="003109CB"/>
    <w:rsid w:val="00310A12"/>
    <w:rsid w:val="00310BDA"/>
    <w:rsid w:val="00311386"/>
    <w:rsid w:val="00311417"/>
    <w:rsid w:val="003116BE"/>
    <w:rsid w:val="003116DC"/>
    <w:rsid w:val="0031177D"/>
    <w:rsid w:val="00311CAB"/>
    <w:rsid w:val="00313112"/>
    <w:rsid w:val="003138A0"/>
    <w:rsid w:val="00313C28"/>
    <w:rsid w:val="00314114"/>
    <w:rsid w:val="00314B54"/>
    <w:rsid w:val="00314DE9"/>
    <w:rsid w:val="00314EF3"/>
    <w:rsid w:val="00315344"/>
    <w:rsid w:val="00315A24"/>
    <w:rsid w:val="003160EB"/>
    <w:rsid w:val="003161ED"/>
    <w:rsid w:val="003163B9"/>
    <w:rsid w:val="00316A1B"/>
    <w:rsid w:val="00316C05"/>
    <w:rsid w:val="003200C0"/>
    <w:rsid w:val="003200F8"/>
    <w:rsid w:val="00320739"/>
    <w:rsid w:val="00320B3B"/>
    <w:rsid w:val="00321028"/>
    <w:rsid w:val="0032105F"/>
    <w:rsid w:val="003214DB"/>
    <w:rsid w:val="003218B7"/>
    <w:rsid w:val="00321DCE"/>
    <w:rsid w:val="00322181"/>
    <w:rsid w:val="00322948"/>
    <w:rsid w:val="00323059"/>
    <w:rsid w:val="003230EE"/>
    <w:rsid w:val="003231EA"/>
    <w:rsid w:val="00323577"/>
    <w:rsid w:val="00323BBC"/>
    <w:rsid w:val="00324587"/>
    <w:rsid w:val="0032488C"/>
    <w:rsid w:val="003249B0"/>
    <w:rsid w:val="00324AF6"/>
    <w:rsid w:val="00324D14"/>
    <w:rsid w:val="00325547"/>
    <w:rsid w:val="00325BD4"/>
    <w:rsid w:val="00325C9B"/>
    <w:rsid w:val="00325DAB"/>
    <w:rsid w:val="003260D7"/>
    <w:rsid w:val="0032621E"/>
    <w:rsid w:val="00326947"/>
    <w:rsid w:val="00326BF6"/>
    <w:rsid w:val="003272C8"/>
    <w:rsid w:val="00327CE8"/>
    <w:rsid w:val="00330188"/>
    <w:rsid w:val="00330325"/>
    <w:rsid w:val="003305F6"/>
    <w:rsid w:val="00330A90"/>
    <w:rsid w:val="00330D71"/>
    <w:rsid w:val="00330E64"/>
    <w:rsid w:val="00330F0A"/>
    <w:rsid w:val="003312FB"/>
    <w:rsid w:val="00331398"/>
    <w:rsid w:val="003316D0"/>
    <w:rsid w:val="00331FB6"/>
    <w:rsid w:val="003323EE"/>
    <w:rsid w:val="003326F0"/>
    <w:rsid w:val="00333132"/>
    <w:rsid w:val="00333528"/>
    <w:rsid w:val="00334087"/>
    <w:rsid w:val="003342EE"/>
    <w:rsid w:val="003347CA"/>
    <w:rsid w:val="00334801"/>
    <w:rsid w:val="00334A22"/>
    <w:rsid w:val="00334A49"/>
    <w:rsid w:val="00334F3A"/>
    <w:rsid w:val="00335370"/>
    <w:rsid w:val="00335CFA"/>
    <w:rsid w:val="00335FDE"/>
    <w:rsid w:val="003365F2"/>
    <w:rsid w:val="00336CB8"/>
    <w:rsid w:val="0033710C"/>
    <w:rsid w:val="0033785D"/>
    <w:rsid w:val="00337BD2"/>
    <w:rsid w:val="00337EDD"/>
    <w:rsid w:val="00337F41"/>
    <w:rsid w:val="00340113"/>
    <w:rsid w:val="0034038B"/>
    <w:rsid w:val="003408F9"/>
    <w:rsid w:val="003417F1"/>
    <w:rsid w:val="00341A06"/>
    <w:rsid w:val="0034202E"/>
    <w:rsid w:val="003421BB"/>
    <w:rsid w:val="0034269E"/>
    <w:rsid w:val="003434F7"/>
    <w:rsid w:val="0034367A"/>
    <w:rsid w:val="003437AD"/>
    <w:rsid w:val="00343824"/>
    <w:rsid w:val="00343AD7"/>
    <w:rsid w:val="00343FEC"/>
    <w:rsid w:val="0034401C"/>
    <w:rsid w:val="003442C8"/>
    <w:rsid w:val="00344631"/>
    <w:rsid w:val="0034478D"/>
    <w:rsid w:val="00345204"/>
    <w:rsid w:val="003457CA"/>
    <w:rsid w:val="0034582C"/>
    <w:rsid w:val="00345C16"/>
    <w:rsid w:val="0034622F"/>
    <w:rsid w:val="003463C3"/>
    <w:rsid w:val="003467F3"/>
    <w:rsid w:val="003468D9"/>
    <w:rsid w:val="0034691D"/>
    <w:rsid w:val="0034749E"/>
    <w:rsid w:val="003475A5"/>
    <w:rsid w:val="003475FE"/>
    <w:rsid w:val="003476CF"/>
    <w:rsid w:val="00347E1C"/>
    <w:rsid w:val="00347E5A"/>
    <w:rsid w:val="00350290"/>
    <w:rsid w:val="003503BF"/>
    <w:rsid w:val="00350489"/>
    <w:rsid w:val="00350A59"/>
    <w:rsid w:val="00350B65"/>
    <w:rsid w:val="00350E00"/>
    <w:rsid w:val="00350FF0"/>
    <w:rsid w:val="00351446"/>
    <w:rsid w:val="00351756"/>
    <w:rsid w:val="00351768"/>
    <w:rsid w:val="0035179A"/>
    <w:rsid w:val="00351BB3"/>
    <w:rsid w:val="00351D3C"/>
    <w:rsid w:val="00351F5F"/>
    <w:rsid w:val="00352213"/>
    <w:rsid w:val="003525ED"/>
    <w:rsid w:val="00352CDB"/>
    <w:rsid w:val="0035317F"/>
    <w:rsid w:val="003534D6"/>
    <w:rsid w:val="0035373B"/>
    <w:rsid w:val="00353B4D"/>
    <w:rsid w:val="00354A49"/>
    <w:rsid w:val="00354ABA"/>
    <w:rsid w:val="00354DF7"/>
    <w:rsid w:val="00355344"/>
    <w:rsid w:val="00355810"/>
    <w:rsid w:val="00355912"/>
    <w:rsid w:val="00355B40"/>
    <w:rsid w:val="00355F4C"/>
    <w:rsid w:val="00356003"/>
    <w:rsid w:val="00356471"/>
    <w:rsid w:val="00356B01"/>
    <w:rsid w:val="00356B80"/>
    <w:rsid w:val="00357285"/>
    <w:rsid w:val="00357330"/>
    <w:rsid w:val="0035797D"/>
    <w:rsid w:val="0036007D"/>
    <w:rsid w:val="00360103"/>
    <w:rsid w:val="00360229"/>
    <w:rsid w:val="00360B63"/>
    <w:rsid w:val="00360C31"/>
    <w:rsid w:val="00361EBC"/>
    <w:rsid w:val="0036228F"/>
    <w:rsid w:val="0036302A"/>
    <w:rsid w:val="003631F9"/>
    <w:rsid w:val="0036384F"/>
    <w:rsid w:val="00363CCE"/>
    <w:rsid w:val="00363D11"/>
    <w:rsid w:val="003642B9"/>
    <w:rsid w:val="0036460D"/>
    <w:rsid w:val="003647D9"/>
    <w:rsid w:val="00364D15"/>
    <w:rsid w:val="00364E7E"/>
    <w:rsid w:val="00364EE9"/>
    <w:rsid w:val="00364EF9"/>
    <w:rsid w:val="00365255"/>
    <w:rsid w:val="003659E9"/>
    <w:rsid w:val="00365E09"/>
    <w:rsid w:val="00366935"/>
    <w:rsid w:val="00366A03"/>
    <w:rsid w:val="00366C84"/>
    <w:rsid w:val="00366E62"/>
    <w:rsid w:val="003672C5"/>
    <w:rsid w:val="00367884"/>
    <w:rsid w:val="00367D1E"/>
    <w:rsid w:val="00367F89"/>
    <w:rsid w:val="003708E6"/>
    <w:rsid w:val="003709AD"/>
    <w:rsid w:val="00371086"/>
    <w:rsid w:val="003719D8"/>
    <w:rsid w:val="003719E9"/>
    <w:rsid w:val="00371C00"/>
    <w:rsid w:val="00371C4F"/>
    <w:rsid w:val="00371F67"/>
    <w:rsid w:val="00372038"/>
    <w:rsid w:val="00372287"/>
    <w:rsid w:val="0037292E"/>
    <w:rsid w:val="00372A1A"/>
    <w:rsid w:val="003733BF"/>
    <w:rsid w:val="0037369C"/>
    <w:rsid w:val="00373806"/>
    <w:rsid w:val="0037391D"/>
    <w:rsid w:val="00373BD4"/>
    <w:rsid w:val="00373ED2"/>
    <w:rsid w:val="00374127"/>
    <w:rsid w:val="003742CD"/>
    <w:rsid w:val="00374497"/>
    <w:rsid w:val="00374585"/>
    <w:rsid w:val="00375150"/>
    <w:rsid w:val="0037597E"/>
    <w:rsid w:val="00375B7D"/>
    <w:rsid w:val="00375BBC"/>
    <w:rsid w:val="0037609A"/>
    <w:rsid w:val="00376427"/>
    <w:rsid w:val="00376C0A"/>
    <w:rsid w:val="00376DC9"/>
    <w:rsid w:val="003770B6"/>
    <w:rsid w:val="00380D1E"/>
    <w:rsid w:val="00382977"/>
    <w:rsid w:val="00382D5F"/>
    <w:rsid w:val="00382F92"/>
    <w:rsid w:val="00383044"/>
    <w:rsid w:val="00383057"/>
    <w:rsid w:val="00383077"/>
    <w:rsid w:val="0038347C"/>
    <w:rsid w:val="003851D2"/>
    <w:rsid w:val="003853D3"/>
    <w:rsid w:val="00385B1A"/>
    <w:rsid w:val="00385C3A"/>
    <w:rsid w:val="00385CEF"/>
    <w:rsid w:val="00385DD8"/>
    <w:rsid w:val="00385E37"/>
    <w:rsid w:val="00385F19"/>
    <w:rsid w:val="00385F43"/>
    <w:rsid w:val="003866BF"/>
    <w:rsid w:val="003867C1"/>
    <w:rsid w:val="00386DB4"/>
    <w:rsid w:val="00386F95"/>
    <w:rsid w:val="003870F2"/>
    <w:rsid w:val="00390014"/>
    <w:rsid w:val="00390110"/>
    <w:rsid w:val="003907B7"/>
    <w:rsid w:val="00390DB4"/>
    <w:rsid w:val="00391F48"/>
    <w:rsid w:val="00392198"/>
    <w:rsid w:val="00392C16"/>
    <w:rsid w:val="00393103"/>
    <w:rsid w:val="00393170"/>
    <w:rsid w:val="00393394"/>
    <w:rsid w:val="00393A80"/>
    <w:rsid w:val="00393C51"/>
    <w:rsid w:val="00393D7D"/>
    <w:rsid w:val="00393E47"/>
    <w:rsid w:val="00393F0A"/>
    <w:rsid w:val="003940D0"/>
    <w:rsid w:val="003949A2"/>
    <w:rsid w:val="00395108"/>
    <w:rsid w:val="00395257"/>
    <w:rsid w:val="003956CF"/>
    <w:rsid w:val="00395974"/>
    <w:rsid w:val="00395B66"/>
    <w:rsid w:val="00395D7C"/>
    <w:rsid w:val="00395D91"/>
    <w:rsid w:val="00396529"/>
    <w:rsid w:val="00396EC5"/>
    <w:rsid w:val="00396FBC"/>
    <w:rsid w:val="003970D2"/>
    <w:rsid w:val="00397405"/>
    <w:rsid w:val="0039744E"/>
    <w:rsid w:val="003974BF"/>
    <w:rsid w:val="00397FC5"/>
    <w:rsid w:val="00397FCB"/>
    <w:rsid w:val="00397FFD"/>
    <w:rsid w:val="003A0420"/>
    <w:rsid w:val="003A07C8"/>
    <w:rsid w:val="003A0900"/>
    <w:rsid w:val="003A0C89"/>
    <w:rsid w:val="003A0DFC"/>
    <w:rsid w:val="003A197B"/>
    <w:rsid w:val="003A1C84"/>
    <w:rsid w:val="003A1F3C"/>
    <w:rsid w:val="003A1FDD"/>
    <w:rsid w:val="003A26B7"/>
    <w:rsid w:val="003A27E2"/>
    <w:rsid w:val="003A2B76"/>
    <w:rsid w:val="003A2BC6"/>
    <w:rsid w:val="003A2EFC"/>
    <w:rsid w:val="003A33C9"/>
    <w:rsid w:val="003A3471"/>
    <w:rsid w:val="003A34DE"/>
    <w:rsid w:val="003A3664"/>
    <w:rsid w:val="003A38AF"/>
    <w:rsid w:val="003A38CD"/>
    <w:rsid w:val="003A3AF7"/>
    <w:rsid w:val="003A3E0B"/>
    <w:rsid w:val="003A4DF9"/>
    <w:rsid w:val="003A4E8C"/>
    <w:rsid w:val="003A53F8"/>
    <w:rsid w:val="003A588C"/>
    <w:rsid w:val="003A5E1D"/>
    <w:rsid w:val="003A6394"/>
    <w:rsid w:val="003A63E7"/>
    <w:rsid w:val="003A6560"/>
    <w:rsid w:val="003A67A5"/>
    <w:rsid w:val="003A6C41"/>
    <w:rsid w:val="003A6DFF"/>
    <w:rsid w:val="003A7479"/>
    <w:rsid w:val="003A74A5"/>
    <w:rsid w:val="003A7564"/>
    <w:rsid w:val="003A76AF"/>
    <w:rsid w:val="003A7DC4"/>
    <w:rsid w:val="003A7DCB"/>
    <w:rsid w:val="003B00EC"/>
    <w:rsid w:val="003B013E"/>
    <w:rsid w:val="003B0B50"/>
    <w:rsid w:val="003B0B62"/>
    <w:rsid w:val="003B0DEF"/>
    <w:rsid w:val="003B1154"/>
    <w:rsid w:val="003B1687"/>
    <w:rsid w:val="003B21DE"/>
    <w:rsid w:val="003B2658"/>
    <w:rsid w:val="003B3EDD"/>
    <w:rsid w:val="003B3F7D"/>
    <w:rsid w:val="003B44C8"/>
    <w:rsid w:val="003B45D0"/>
    <w:rsid w:val="003B47B5"/>
    <w:rsid w:val="003B5CB0"/>
    <w:rsid w:val="003B5D7D"/>
    <w:rsid w:val="003B603A"/>
    <w:rsid w:val="003B650D"/>
    <w:rsid w:val="003B71E6"/>
    <w:rsid w:val="003B74E4"/>
    <w:rsid w:val="003B759D"/>
    <w:rsid w:val="003B76EF"/>
    <w:rsid w:val="003B7B52"/>
    <w:rsid w:val="003B7C71"/>
    <w:rsid w:val="003C0719"/>
    <w:rsid w:val="003C07AC"/>
    <w:rsid w:val="003C0843"/>
    <w:rsid w:val="003C0C8C"/>
    <w:rsid w:val="003C0F06"/>
    <w:rsid w:val="003C119A"/>
    <w:rsid w:val="003C1B5E"/>
    <w:rsid w:val="003C206F"/>
    <w:rsid w:val="003C2C10"/>
    <w:rsid w:val="003C3233"/>
    <w:rsid w:val="003C341C"/>
    <w:rsid w:val="003C3650"/>
    <w:rsid w:val="003C3D9F"/>
    <w:rsid w:val="003C3E9D"/>
    <w:rsid w:val="003C4372"/>
    <w:rsid w:val="003C4AB0"/>
    <w:rsid w:val="003C4C2A"/>
    <w:rsid w:val="003C4D76"/>
    <w:rsid w:val="003C4FFB"/>
    <w:rsid w:val="003C53BD"/>
    <w:rsid w:val="003C552F"/>
    <w:rsid w:val="003C5FEA"/>
    <w:rsid w:val="003C68E9"/>
    <w:rsid w:val="003C6DB9"/>
    <w:rsid w:val="003C6E19"/>
    <w:rsid w:val="003C6F47"/>
    <w:rsid w:val="003C7159"/>
    <w:rsid w:val="003D0034"/>
    <w:rsid w:val="003D0B1C"/>
    <w:rsid w:val="003D156F"/>
    <w:rsid w:val="003D16D5"/>
    <w:rsid w:val="003D19FA"/>
    <w:rsid w:val="003D21F2"/>
    <w:rsid w:val="003D237F"/>
    <w:rsid w:val="003D24C5"/>
    <w:rsid w:val="003D319D"/>
    <w:rsid w:val="003D43F2"/>
    <w:rsid w:val="003D4959"/>
    <w:rsid w:val="003D5445"/>
    <w:rsid w:val="003D6376"/>
    <w:rsid w:val="003D6615"/>
    <w:rsid w:val="003D66E7"/>
    <w:rsid w:val="003D66EF"/>
    <w:rsid w:val="003D6A70"/>
    <w:rsid w:val="003D6AAA"/>
    <w:rsid w:val="003D7658"/>
    <w:rsid w:val="003D7928"/>
    <w:rsid w:val="003E0275"/>
    <w:rsid w:val="003E0332"/>
    <w:rsid w:val="003E0457"/>
    <w:rsid w:val="003E0886"/>
    <w:rsid w:val="003E0F86"/>
    <w:rsid w:val="003E12A1"/>
    <w:rsid w:val="003E1B8B"/>
    <w:rsid w:val="003E2009"/>
    <w:rsid w:val="003E2526"/>
    <w:rsid w:val="003E2F88"/>
    <w:rsid w:val="003E360F"/>
    <w:rsid w:val="003E4066"/>
    <w:rsid w:val="003E41CD"/>
    <w:rsid w:val="003E423E"/>
    <w:rsid w:val="003E4789"/>
    <w:rsid w:val="003E4A8A"/>
    <w:rsid w:val="003E4CE3"/>
    <w:rsid w:val="003E5108"/>
    <w:rsid w:val="003E5DE5"/>
    <w:rsid w:val="003E6B34"/>
    <w:rsid w:val="003E6EB5"/>
    <w:rsid w:val="003E7184"/>
    <w:rsid w:val="003E72FA"/>
    <w:rsid w:val="003E79D4"/>
    <w:rsid w:val="003E7B81"/>
    <w:rsid w:val="003F082D"/>
    <w:rsid w:val="003F0B2C"/>
    <w:rsid w:val="003F0BFF"/>
    <w:rsid w:val="003F0DCD"/>
    <w:rsid w:val="003F0F60"/>
    <w:rsid w:val="003F1008"/>
    <w:rsid w:val="003F12D8"/>
    <w:rsid w:val="003F1374"/>
    <w:rsid w:val="003F13B4"/>
    <w:rsid w:val="003F1A58"/>
    <w:rsid w:val="003F1D8B"/>
    <w:rsid w:val="003F1E9F"/>
    <w:rsid w:val="003F1FE8"/>
    <w:rsid w:val="003F208A"/>
    <w:rsid w:val="003F22F2"/>
    <w:rsid w:val="003F26C9"/>
    <w:rsid w:val="003F2FE7"/>
    <w:rsid w:val="003F3304"/>
    <w:rsid w:val="003F3417"/>
    <w:rsid w:val="003F345B"/>
    <w:rsid w:val="003F3520"/>
    <w:rsid w:val="003F356D"/>
    <w:rsid w:val="003F3BC8"/>
    <w:rsid w:val="003F3D03"/>
    <w:rsid w:val="003F3FC7"/>
    <w:rsid w:val="003F4229"/>
    <w:rsid w:val="003F42F3"/>
    <w:rsid w:val="003F434C"/>
    <w:rsid w:val="003F435A"/>
    <w:rsid w:val="003F44D0"/>
    <w:rsid w:val="003F45B0"/>
    <w:rsid w:val="003F4708"/>
    <w:rsid w:val="003F4F4C"/>
    <w:rsid w:val="003F4FD6"/>
    <w:rsid w:val="003F5018"/>
    <w:rsid w:val="003F5A6A"/>
    <w:rsid w:val="003F5B5C"/>
    <w:rsid w:val="003F5D20"/>
    <w:rsid w:val="003F62CB"/>
    <w:rsid w:val="003F64C2"/>
    <w:rsid w:val="003F66E2"/>
    <w:rsid w:val="003F6802"/>
    <w:rsid w:val="003F7678"/>
    <w:rsid w:val="003F78DB"/>
    <w:rsid w:val="004005B9"/>
    <w:rsid w:val="00400D5D"/>
    <w:rsid w:val="00401AC2"/>
    <w:rsid w:val="004021D7"/>
    <w:rsid w:val="004022B2"/>
    <w:rsid w:val="00402A13"/>
    <w:rsid w:val="004034E5"/>
    <w:rsid w:val="004038D7"/>
    <w:rsid w:val="00403F10"/>
    <w:rsid w:val="00405717"/>
    <w:rsid w:val="00405A55"/>
    <w:rsid w:val="004062CD"/>
    <w:rsid w:val="00407156"/>
    <w:rsid w:val="00407317"/>
    <w:rsid w:val="004075A7"/>
    <w:rsid w:val="004076CF"/>
    <w:rsid w:val="004076E8"/>
    <w:rsid w:val="00407F7A"/>
    <w:rsid w:val="0041026F"/>
    <w:rsid w:val="004104E7"/>
    <w:rsid w:val="004107ED"/>
    <w:rsid w:val="00410AEC"/>
    <w:rsid w:val="00411E2D"/>
    <w:rsid w:val="0041242D"/>
    <w:rsid w:val="004127DE"/>
    <w:rsid w:val="0041311F"/>
    <w:rsid w:val="00413C94"/>
    <w:rsid w:val="00414691"/>
    <w:rsid w:val="00414D53"/>
    <w:rsid w:val="00414E37"/>
    <w:rsid w:val="00414EF8"/>
    <w:rsid w:val="00415536"/>
    <w:rsid w:val="00415C19"/>
    <w:rsid w:val="00415FA5"/>
    <w:rsid w:val="00416205"/>
    <w:rsid w:val="004162E0"/>
    <w:rsid w:val="0041678D"/>
    <w:rsid w:val="00416B07"/>
    <w:rsid w:val="00416CCE"/>
    <w:rsid w:val="004170C5"/>
    <w:rsid w:val="004179DE"/>
    <w:rsid w:val="00417B2D"/>
    <w:rsid w:val="00417C27"/>
    <w:rsid w:val="00420757"/>
    <w:rsid w:val="004207C3"/>
    <w:rsid w:val="00420DDD"/>
    <w:rsid w:val="00420F76"/>
    <w:rsid w:val="0042119C"/>
    <w:rsid w:val="00421681"/>
    <w:rsid w:val="0042177D"/>
    <w:rsid w:val="00421A08"/>
    <w:rsid w:val="00421CF3"/>
    <w:rsid w:val="00421ED1"/>
    <w:rsid w:val="00421F25"/>
    <w:rsid w:val="00422096"/>
    <w:rsid w:val="00422F8E"/>
    <w:rsid w:val="004230CC"/>
    <w:rsid w:val="00423ED6"/>
    <w:rsid w:val="00424081"/>
    <w:rsid w:val="00424581"/>
    <w:rsid w:val="00424771"/>
    <w:rsid w:val="00424A24"/>
    <w:rsid w:val="00425741"/>
    <w:rsid w:val="00425B4E"/>
    <w:rsid w:val="00425E8F"/>
    <w:rsid w:val="00425F0A"/>
    <w:rsid w:val="004260FD"/>
    <w:rsid w:val="0042664D"/>
    <w:rsid w:val="00426DB6"/>
    <w:rsid w:val="00427280"/>
    <w:rsid w:val="00427721"/>
    <w:rsid w:val="00427C8B"/>
    <w:rsid w:val="00427D0C"/>
    <w:rsid w:val="00427E66"/>
    <w:rsid w:val="0043004A"/>
    <w:rsid w:val="00430D81"/>
    <w:rsid w:val="00431243"/>
    <w:rsid w:val="0043164A"/>
    <w:rsid w:val="00431A6E"/>
    <w:rsid w:val="0043202D"/>
    <w:rsid w:val="004325A6"/>
    <w:rsid w:val="0043288A"/>
    <w:rsid w:val="0043365F"/>
    <w:rsid w:val="0043384F"/>
    <w:rsid w:val="00433B45"/>
    <w:rsid w:val="00433C3A"/>
    <w:rsid w:val="004347F0"/>
    <w:rsid w:val="00434AB0"/>
    <w:rsid w:val="00434D22"/>
    <w:rsid w:val="004354CD"/>
    <w:rsid w:val="004358AA"/>
    <w:rsid w:val="00435A2F"/>
    <w:rsid w:val="00435BC5"/>
    <w:rsid w:val="004363DB"/>
    <w:rsid w:val="004366FC"/>
    <w:rsid w:val="00436EBB"/>
    <w:rsid w:val="00437126"/>
    <w:rsid w:val="00437249"/>
    <w:rsid w:val="004377F6"/>
    <w:rsid w:val="00437D24"/>
    <w:rsid w:val="00440175"/>
    <w:rsid w:val="00440316"/>
    <w:rsid w:val="00440596"/>
    <w:rsid w:val="0044104C"/>
    <w:rsid w:val="004411F8"/>
    <w:rsid w:val="00441448"/>
    <w:rsid w:val="00441B0D"/>
    <w:rsid w:val="00441C46"/>
    <w:rsid w:val="00441DA9"/>
    <w:rsid w:val="00441E7D"/>
    <w:rsid w:val="00441F20"/>
    <w:rsid w:val="004427C5"/>
    <w:rsid w:val="0044293B"/>
    <w:rsid w:val="0044343D"/>
    <w:rsid w:val="00443B96"/>
    <w:rsid w:val="00443D8C"/>
    <w:rsid w:val="00443DAA"/>
    <w:rsid w:val="00443E54"/>
    <w:rsid w:val="0044493D"/>
    <w:rsid w:val="004458BE"/>
    <w:rsid w:val="00445D8C"/>
    <w:rsid w:val="00446498"/>
    <w:rsid w:val="00446B21"/>
    <w:rsid w:val="00446F5A"/>
    <w:rsid w:val="004471BF"/>
    <w:rsid w:val="00447C1D"/>
    <w:rsid w:val="00447E34"/>
    <w:rsid w:val="00447F6B"/>
    <w:rsid w:val="00450118"/>
    <w:rsid w:val="0045035F"/>
    <w:rsid w:val="004507FA"/>
    <w:rsid w:val="00451356"/>
    <w:rsid w:val="00451744"/>
    <w:rsid w:val="004519F5"/>
    <w:rsid w:val="0045258B"/>
    <w:rsid w:val="004539DF"/>
    <w:rsid w:val="004539F3"/>
    <w:rsid w:val="00454A51"/>
    <w:rsid w:val="00454C88"/>
    <w:rsid w:val="0045586C"/>
    <w:rsid w:val="00455B89"/>
    <w:rsid w:val="00455C54"/>
    <w:rsid w:val="00456230"/>
    <w:rsid w:val="0045631D"/>
    <w:rsid w:val="00456803"/>
    <w:rsid w:val="00456C42"/>
    <w:rsid w:val="00456EDA"/>
    <w:rsid w:val="00457488"/>
    <w:rsid w:val="00457F82"/>
    <w:rsid w:val="004602E4"/>
    <w:rsid w:val="00460B6C"/>
    <w:rsid w:val="00460DB0"/>
    <w:rsid w:val="004611CD"/>
    <w:rsid w:val="00461531"/>
    <w:rsid w:val="00462299"/>
    <w:rsid w:val="0046254A"/>
    <w:rsid w:val="0046258C"/>
    <w:rsid w:val="004625BD"/>
    <w:rsid w:val="00462CBA"/>
    <w:rsid w:val="00462D88"/>
    <w:rsid w:val="00462E4E"/>
    <w:rsid w:val="00462F50"/>
    <w:rsid w:val="00463880"/>
    <w:rsid w:val="00463E4C"/>
    <w:rsid w:val="00464018"/>
    <w:rsid w:val="004643AC"/>
    <w:rsid w:val="0046488B"/>
    <w:rsid w:val="00464CDC"/>
    <w:rsid w:val="00465256"/>
    <w:rsid w:val="00465419"/>
    <w:rsid w:val="00465422"/>
    <w:rsid w:val="00465D64"/>
    <w:rsid w:val="00465F4D"/>
    <w:rsid w:val="00466461"/>
    <w:rsid w:val="00466663"/>
    <w:rsid w:val="0046756C"/>
    <w:rsid w:val="004675F5"/>
    <w:rsid w:val="00467D0F"/>
    <w:rsid w:val="00470162"/>
    <w:rsid w:val="0047060C"/>
    <w:rsid w:val="004706EB"/>
    <w:rsid w:val="00470D94"/>
    <w:rsid w:val="004715AE"/>
    <w:rsid w:val="00471B6D"/>
    <w:rsid w:val="00471BE2"/>
    <w:rsid w:val="00472275"/>
    <w:rsid w:val="004724B6"/>
    <w:rsid w:val="00472667"/>
    <w:rsid w:val="004727B1"/>
    <w:rsid w:val="00472C81"/>
    <w:rsid w:val="00472F16"/>
    <w:rsid w:val="00474209"/>
    <w:rsid w:val="00474304"/>
    <w:rsid w:val="00474698"/>
    <w:rsid w:val="0047496D"/>
    <w:rsid w:val="00474DB3"/>
    <w:rsid w:val="00475BC8"/>
    <w:rsid w:val="00475C6B"/>
    <w:rsid w:val="00475F00"/>
    <w:rsid w:val="004760A4"/>
    <w:rsid w:val="004769B7"/>
    <w:rsid w:val="00476E35"/>
    <w:rsid w:val="00476F6D"/>
    <w:rsid w:val="004771D3"/>
    <w:rsid w:val="00477412"/>
    <w:rsid w:val="0047769A"/>
    <w:rsid w:val="004776C0"/>
    <w:rsid w:val="00477905"/>
    <w:rsid w:val="00477964"/>
    <w:rsid w:val="0048031D"/>
    <w:rsid w:val="0048070C"/>
    <w:rsid w:val="00480847"/>
    <w:rsid w:val="00480FBF"/>
    <w:rsid w:val="00481204"/>
    <w:rsid w:val="00481999"/>
    <w:rsid w:val="00481FA0"/>
    <w:rsid w:val="00482493"/>
    <w:rsid w:val="0048285F"/>
    <w:rsid w:val="00482933"/>
    <w:rsid w:val="004830B6"/>
    <w:rsid w:val="0048320A"/>
    <w:rsid w:val="00483554"/>
    <w:rsid w:val="00483722"/>
    <w:rsid w:val="00483971"/>
    <w:rsid w:val="00484362"/>
    <w:rsid w:val="00484D54"/>
    <w:rsid w:val="0048539D"/>
    <w:rsid w:val="0048551C"/>
    <w:rsid w:val="00485AD9"/>
    <w:rsid w:val="00485CE7"/>
    <w:rsid w:val="00485D84"/>
    <w:rsid w:val="00486153"/>
    <w:rsid w:val="00486BBB"/>
    <w:rsid w:val="00486CB8"/>
    <w:rsid w:val="004871B8"/>
    <w:rsid w:val="00487219"/>
    <w:rsid w:val="004875C7"/>
    <w:rsid w:val="00487C92"/>
    <w:rsid w:val="004905E7"/>
    <w:rsid w:val="00490950"/>
    <w:rsid w:val="0049120B"/>
    <w:rsid w:val="00491776"/>
    <w:rsid w:val="004917A0"/>
    <w:rsid w:val="0049196B"/>
    <w:rsid w:val="00491F62"/>
    <w:rsid w:val="004921DA"/>
    <w:rsid w:val="004924F6"/>
    <w:rsid w:val="00492B30"/>
    <w:rsid w:val="00492D0E"/>
    <w:rsid w:val="00492D86"/>
    <w:rsid w:val="00493014"/>
    <w:rsid w:val="0049399B"/>
    <w:rsid w:val="00493EE4"/>
    <w:rsid w:val="00493EFD"/>
    <w:rsid w:val="00493F92"/>
    <w:rsid w:val="00494620"/>
    <w:rsid w:val="00494A91"/>
    <w:rsid w:val="004951FE"/>
    <w:rsid w:val="0049535D"/>
    <w:rsid w:val="00495A81"/>
    <w:rsid w:val="00495C82"/>
    <w:rsid w:val="00496320"/>
    <w:rsid w:val="004963A5"/>
    <w:rsid w:val="00496680"/>
    <w:rsid w:val="0049746A"/>
    <w:rsid w:val="00497A4B"/>
    <w:rsid w:val="004A0742"/>
    <w:rsid w:val="004A0BF5"/>
    <w:rsid w:val="004A0DDF"/>
    <w:rsid w:val="004A0EF3"/>
    <w:rsid w:val="004A1079"/>
    <w:rsid w:val="004A1C6B"/>
    <w:rsid w:val="004A1DC9"/>
    <w:rsid w:val="004A203A"/>
    <w:rsid w:val="004A2B63"/>
    <w:rsid w:val="004A2E0C"/>
    <w:rsid w:val="004A2E14"/>
    <w:rsid w:val="004A38E1"/>
    <w:rsid w:val="004A3D60"/>
    <w:rsid w:val="004A411D"/>
    <w:rsid w:val="004A43FE"/>
    <w:rsid w:val="004A4553"/>
    <w:rsid w:val="004A4D49"/>
    <w:rsid w:val="004A4F43"/>
    <w:rsid w:val="004A5778"/>
    <w:rsid w:val="004A651C"/>
    <w:rsid w:val="004A6601"/>
    <w:rsid w:val="004A68C5"/>
    <w:rsid w:val="004A731F"/>
    <w:rsid w:val="004A76B0"/>
    <w:rsid w:val="004A7F06"/>
    <w:rsid w:val="004B0FF7"/>
    <w:rsid w:val="004B103A"/>
    <w:rsid w:val="004B1557"/>
    <w:rsid w:val="004B16E7"/>
    <w:rsid w:val="004B16EC"/>
    <w:rsid w:val="004B1805"/>
    <w:rsid w:val="004B1951"/>
    <w:rsid w:val="004B1DA9"/>
    <w:rsid w:val="004B200F"/>
    <w:rsid w:val="004B2333"/>
    <w:rsid w:val="004B2861"/>
    <w:rsid w:val="004B293D"/>
    <w:rsid w:val="004B2DCE"/>
    <w:rsid w:val="004B3687"/>
    <w:rsid w:val="004B3804"/>
    <w:rsid w:val="004B3CF7"/>
    <w:rsid w:val="004B3DF2"/>
    <w:rsid w:val="004B41B0"/>
    <w:rsid w:val="004B45C7"/>
    <w:rsid w:val="004B47FB"/>
    <w:rsid w:val="004B4F91"/>
    <w:rsid w:val="004B5326"/>
    <w:rsid w:val="004B5DE9"/>
    <w:rsid w:val="004B5F53"/>
    <w:rsid w:val="004B5FFA"/>
    <w:rsid w:val="004B6688"/>
    <w:rsid w:val="004B6AB1"/>
    <w:rsid w:val="004B716C"/>
    <w:rsid w:val="004B72DA"/>
    <w:rsid w:val="004B77DF"/>
    <w:rsid w:val="004B7A15"/>
    <w:rsid w:val="004B7D17"/>
    <w:rsid w:val="004B7DEB"/>
    <w:rsid w:val="004B7F94"/>
    <w:rsid w:val="004C01E0"/>
    <w:rsid w:val="004C07A7"/>
    <w:rsid w:val="004C0A78"/>
    <w:rsid w:val="004C134F"/>
    <w:rsid w:val="004C1563"/>
    <w:rsid w:val="004C1B5D"/>
    <w:rsid w:val="004C1C9D"/>
    <w:rsid w:val="004C1D83"/>
    <w:rsid w:val="004C20DE"/>
    <w:rsid w:val="004C2818"/>
    <w:rsid w:val="004C2C9D"/>
    <w:rsid w:val="004C39A1"/>
    <w:rsid w:val="004C3A91"/>
    <w:rsid w:val="004C3B0C"/>
    <w:rsid w:val="004C3BF3"/>
    <w:rsid w:val="004C3E9A"/>
    <w:rsid w:val="004C3EB8"/>
    <w:rsid w:val="004C42A7"/>
    <w:rsid w:val="004C441E"/>
    <w:rsid w:val="004C4801"/>
    <w:rsid w:val="004C497C"/>
    <w:rsid w:val="004C4990"/>
    <w:rsid w:val="004C4F3C"/>
    <w:rsid w:val="004C5253"/>
    <w:rsid w:val="004C536D"/>
    <w:rsid w:val="004C54EA"/>
    <w:rsid w:val="004C5516"/>
    <w:rsid w:val="004C5A6F"/>
    <w:rsid w:val="004C5E65"/>
    <w:rsid w:val="004C604A"/>
    <w:rsid w:val="004C61CF"/>
    <w:rsid w:val="004C6254"/>
    <w:rsid w:val="004C6369"/>
    <w:rsid w:val="004C6853"/>
    <w:rsid w:val="004C69CA"/>
    <w:rsid w:val="004C6B83"/>
    <w:rsid w:val="004C6C1D"/>
    <w:rsid w:val="004C7388"/>
    <w:rsid w:val="004C7427"/>
    <w:rsid w:val="004C7653"/>
    <w:rsid w:val="004C79E2"/>
    <w:rsid w:val="004C7B7B"/>
    <w:rsid w:val="004C7BDF"/>
    <w:rsid w:val="004C7D28"/>
    <w:rsid w:val="004C7DD6"/>
    <w:rsid w:val="004D01B2"/>
    <w:rsid w:val="004D056E"/>
    <w:rsid w:val="004D082E"/>
    <w:rsid w:val="004D08B6"/>
    <w:rsid w:val="004D104C"/>
    <w:rsid w:val="004D11FF"/>
    <w:rsid w:val="004D26A2"/>
    <w:rsid w:val="004D2F2F"/>
    <w:rsid w:val="004D3373"/>
    <w:rsid w:val="004D3509"/>
    <w:rsid w:val="004D3612"/>
    <w:rsid w:val="004D39E1"/>
    <w:rsid w:val="004D3BF3"/>
    <w:rsid w:val="004D4194"/>
    <w:rsid w:val="004D41DF"/>
    <w:rsid w:val="004D4229"/>
    <w:rsid w:val="004D4770"/>
    <w:rsid w:val="004D4930"/>
    <w:rsid w:val="004D4B95"/>
    <w:rsid w:val="004D4FEE"/>
    <w:rsid w:val="004D50D4"/>
    <w:rsid w:val="004D5128"/>
    <w:rsid w:val="004D5129"/>
    <w:rsid w:val="004D53DB"/>
    <w:rsid w:val="004D5752"/>
    <w:rsid w:val="004D5B99"/>
    <w:rsid w:val="004D5BE3"/>
    <w:rsid w:val="004D5DDF"/>
    <w:rsid w:val="004D5E76"/>
    <w:rsid w:val="004D5FC5"/>
    <w:rsid w:val="004D67CC"/>
    <w:rsid w:val="004D6C06"/>
    <w:rsid w:val="004D6DB7"/>
    <w:rsid w:val="004D708D"/>
    <w:rsid w:val="004D7660"/>
    <w:rsid w:val="004D7A7E"/>
    <w:rsid w:val="004E03CB"/>
    <w:rsid w:val="004E03F2"/>
    <w:rsid w:val="004E08E7"/>
    <w:rsid w:val="004E1161"/>
    <w:rsid w:val="004E143B"/>
    <w:rsid w:val="004E26B2"/>
    <w:rsid w:val="004E3422"/>
    <w:rsid w:val="004E35CA"/>
    <w:rsid w:val="004E42D5"/>
    <w:rsid w:val="004E43C8"/>
    <w:rsid w:val="004E4419"/>
    <w:rsid w:val="004E4FFE"/>
    <w:rsid w:val="004E5030"/>
    <w:rsid w:val="004E5B2B"/>
    <w:rsid w:val="004E5DA9"/>
    <w:rsid w:val="004E642C"/>
    <w:rsid w:val="004E6480"/>
    <w:rsid w:val="004E7835"/>
    <w:rsid w:val="004E7A67"/>
    <w:rsid w:val="004E7A94"/>
    <w:rsid w:val="004F0ED0"/>
    <w:rsid w:val="004F1ADB"/>
    <w:rsid w:val="004F2774"/>
    <w:rsid w:val="004F2C0D"/>
    <w:rsid w:val="004F2FD6"/>
    <w:rsid w:val="004F3040"/>
    <w:rsid w:val="004F3096"/>
    <w:rsid w:val="004F3320"/>
    <w:rsid w:val="004F3E3C"/>
    <w:rsid w:val="004F44A3"/>
    <w:rsid w:val="004F4587"/>
    <w:rsid w:val="004F4DC0"/>
    <w:rsid w:val="004F505F"/>
    <w:rsid w:val="004F5648"/>
    <w:rsid w:val="004F5C3C"/>
    <w:rsid w:val="004F6D88"/>
    <w:rsid w:val="004F7A98"/>
    <w:rsid w:val="005004AB"/>
    <w:rsid w:val="0050105F"/>
    <w:rsid w:val="00501493"/>
    <w:rsid w:val="00501609"/>
    <w:rsid w:val="005018A0"/>
    <w:rsid w:val="00501C44"/>
    <w:rsid w:val="00501C89"/>
    <w:rsid w:val="00501DB6"/>
    <w:rsid w:val="00501DD6"/>
    <w:rsid w:val="0050239F"/>
    <w:rsid w:val="005023D9"/>
    <w:rsid w:val="00502546"/>
    <w:rsid w:val="00502C25"/>
    <w:rsid w:val="00502D8A"/>
    <w:rsid w:val="00502F59"/>
    <w:rsid w:val="00503240"/>
    <w:rsid w:val="00503267"/>
    <w:rsid w:val="005032DD"/>
    <w:rsid w:val="00503B07"/>
    <w:rsid w:val="00503C37"/>
    <w:rsid w:val="00503E30"/>
    <w:rsid w:val="00503E63"/>
    <w:rsid w:val="005040E8"/>
    <w:rsid w:val="0050468A"/>
    <w:rsid w:val="00504846"/>
    <w:rsid w:val="0050487B"/>
    <w:rsid w:val="005052AA"/>
    <w:rsid w:val="005054C4"/>
    <w:rsid w:val="005055B4"/>
    <w:rsid w:val="005055D8"/>
    <w:rsid w:val="0050596A"/>
    <w:rsid w:val="00505CB5"/>
    <w:rsid w:val="005060D2"/>
    <w:rsid w:val="00506830"/>
    <w:rsid w:val="00506B2B"/>
    <w:rsid w:val="00507205"/>
    <w:rsid w:val="00507233"/>
    <w:rsid w:val="00507269"/>
    <w:rsid w:val="00507297"/>
    <w:rsid w:val="00507C7B"/>
    <w:rsid w:val="00507F7A"/>
    <w:rsid w:val="00507FB8"/>
    <w:rsid w:val="0051098A"/>
    <w:rsid w:val="0051102A"/>
    <w:rsid w:val="0051117C"/>
    <w:rsid w:val="00511804"/>
    <w:rsid w:val="00511BF3"/>
    <w:rsid w:val="00512A8E"/>
    <w:rsid w:val="00512BCF"/>
    <w:rsid w:val="00513357"/>
    <w:rsid w:val="00513730"/>
    <w:rsid w:val="005138F2"/>
    <w:rsid w:val="00514664"/>
    <w:rsid w:val="00514C2A"/>
    <w:rsid w:val="00514FA0"/>
    <w:rsid w:val="00515149"/>
    <w:rsid w:val="005151B7"/>
    <w:rsid w:val="005154F7"/>
    <w:rsid w:val="0051562A"/>
    <w:rsid w:val="00515642"/>
    <w:rsid w:val="005158AF"/>
    <w:rsid w:val="005158D7"/>
    <w:rsid w:val="00515E59"/>
    <w:rsid w:val="00516971"/>
    <w:rsid w:val="00516FC9"/>
    <w:rsid w:val="00517EF7"/>
    <w:rsid w:val="0052002C"/>
    <w:rsid w:val="0052077A"/>
    <w:rsid w:val="00520B7B"/>
    <w:rsid w:val="0052188D"/>
    <w:rsid w:val="00521D3E"/>
    <w:rsid w:val="00521EF8"/>
    <w:rsid w:val="005227E4"/>
    <w:rsid w:val="005228FC"/>
    <w:rsid w:val="00522951"/>
    <w:rsid w:val="00522D29"/>
    <w:rsid w:val="00523816"/>
    <w:rsid w:val="005238CF"/>
    <w:rsid w:val="00523A4A"/>
    <w:rsid w:val="00523C40"/>
    <w:rsid w:val="005243E5"/>
    <w:rsid w:val="0052440D"/>
    <w:rsid w:val="0052496D"/>
    <w:rsid w:val="0052520C"/>
    <w:rsid w:val="005252A2"/>
    <w:rsid w:val="00525DA6"/>
    <w:rsid w:val="00525F03"/>
    <w:rsid w:val="0052670E"/>
    <w:rsid w:val="00526828"/>
    <w:rsid w:val="00526AB2"/>
    <w:rsid w:val="00526C79"/>
    <w:rsid w:val="00527682"/>
    <w:rsid w:val="00527B64"/>
    <w:rsid w:val="00527F6E"/>
    <w:rsid w:val="00530269"/>
    <w:rsid w:val="00530277"/>
    <w:rsid w:val="005308BD"/>
    <w:rsid w:val="005311E0"/>
    <w:rsid w:val="00531B26"/>
    <w:rsid w:val="00531E6E"/>
    <w:rsid w:val="00531EE9"/>
    <w:rsid w:val="0053251B"/>
    <w:rsid w:val="0053264B"/>
    <w:rsid w:val="005334B7"/>
    <w:rsid w:val="00533AE8"/>
    <w:rsid w:val="00533BD1"/>
    <w:rsid w:val="005342EC"/>
    <w:rsid w:val="0053432E"/>
    <w:rsid w:val="00534487"/>
    <w:rsid w:val="00535212"/>
    <w:rsid w:val="00535944"/>
    <w:rsid w:val="00536172"/>
    <w:rsid w:val="005361BF"/>
    <w:rsid w:val="00536A42"/>
    <w:rsid w:val="0053702C"/>
    <w:rsid w:val="0053709D"/>
    <w:rsid w:val="005370B7"/>
    <w:rsid w:val="0053736B"/>
    <w:rsid w:val="005376F7"/>
    <w:rsid w:val="00540110"/>
    <w:rsid w:val="00540437"/>
    <w:rsid w:val="00541020"/>
    <w:rsid w:val="0054165A"/>
    <w:rsid w:val="00541BAD"/>
    <w:rsid w:val="00541C02"/>
    <w:rsid w:val="00542222"/>
    <w:rsid w:val="00542459"/>
    <w:rsid w:val="00542A1D"/>
    <w:rsid w:val="00542EF4"/>
    <w:rsid w:val="00542F61"/>
    <w:rsid w:val="00543277"/>
    <w:rsid w:val="00543A22"/>
    <w:rsid w:val="00544522"/>
    <w:rsid w:val="00544DDB"/>
    <w:rsid w:val="00545059"/>
    <w:rsid w:val="005452F3"/>
    <w:rsid w:val="00545744"/>
    <w:rsid w:val="00545944"/>
    <w:rsid w:val="00545B4C"/>
    <w:rsid w:val="00545B62"/>
    <w:rsid w:val="00545E83"/>
    <w:rsid w:val="00546147"/>
    <w:rsid w:val="0054651C"/>
    <w:rsid w:val="0054686D"/>
    <w:rsid w:val="005471C8"/>
    <w:rsid w:val="005472E3"/>
    <w:rsid w:val="0054775E"/>
    <w:rsid w:val="0055033F"/>
    <w:rsid w:val="00550CE0"/>
    <w:rsid w:val="00550E01"/>
    <w:rsid w:val="005517A5"/>
    <w:rsid w:val="00551BDC"/>
    <w:rsid w:val="00551D48"/>
    <w:rsid w:val="00552289"/>
    <w:rsid w:val="005527EA"/>
    <w:rsid w:val="00552B3B"/>
    <w:rsid w:val="005532F9"/>
    <w:rsid w:val="005546FD"/>
    <w:rsid w:val="00554BC5"/>
    <w:rsid w:val="00554D6F"/>
    <w:rsid w:val="00554EFB"/>
    <w:rsid w:val="00554FAC"/>
    <w:rsid w:val="00555061"/>
    <w:rsid w:val="0055520C"/>
    <w:rsid w:val="00555D0A"/>
    <w:rsid w:val="00555D23"/>
    <w:rsid w:val="00555FCE"/>
    <w:rsid w:val="005564F1"/>
    <w:rsid w:val="00556BA5"/>
    <w:rsid w:val="00556BA6"/>
    <w:rsid w:val="00556EA5"/>
    <w:rsid w:val="005575C4"/>
    <w:rsid w:val="0055786C"/>
    <w:rsid w:val="005600F5"/>
    <w:rsid w:val="0056012A"/>
    <w:rsid w:val="00560306"/>
    <w:rsid w:val="00560343"/>
    <w:rsid w:val="0056083E"/>
    <w:rsid w:val="00560B62"/>
    <w:rsid w:val="00560E22"/>
    <w:rsid w:val="00561417"/>
    <w:rsid w:val="005615D3"/>
    <w:rsid w:val="00561BE8"/>
    <w:rsid w:val="00562645"/>
    <w:rsid w:val="005628AF"/>
    <w:rsid w:val="005628FD"/>
    <w:rsid w:val="00562A3B"/>
    <w:rsid w:val="005632D8"/>
    <w:rsid w:val="00563390"/>
    <w:rsid w:val="0056340C"/>
    <w:rsid w:val="00563572"/>
    <w:rsid w:val="00563956"/>
    <w:rsid w:val="00564671"/>
    <w:rsid w:val="0056494C"/>
    <w:rsid w:val="00564A08"/>
    <w:rsid w:val="005655DA"/>
    <w:rsid w:val="00565839"/>
    <w:rsid w:val="00565875"/>
    <w:rsid w:val="00565AE0"/>
    <w:rsid w:val="00565AF8"/>
    <w:rsid w:val="00565B20"/>
    <w:rsid w:val="00565C6F"/>
    <w:rsid w:val="00565CA6"/>
    <w:rsid w:val="00566168"/>
    <w:rsid w:val="0056677C"/>
    <w:rsid w:val="0056686E"/>
    <w:rsid w:val="0056747B"/>
    <w:rsid w:val="00567AD3"/>
    <w:rsid w:val="00567DCB"/>
    <w:rsid w:val="00567F16"/>
    <w:rsid w:val="005704EE"/>
    <w:rsid w:val="005707DD"/>
    <w:rsid w:val="0057080D"/>
    <w:rsid w:val="00570885"/>
    <w:rsid w:val="00570F4F"/>
    <w:rsid w:val="00570F8A"/>
    <w:rsid w:val="00570FC2"/>
    <w:rsid w:val="005713DF"/>
    <w:rsid w:val="0057183D"/>
    <w:rsid w:val="005718B6"/>
    <w:rsid w:val="005719AB"/>
    <w:rsid w:val="0057283B"/>
    <w:rsid w:val="00572868"/>
    <w:rsid w:val="00572AD9"/>
    <w:rsid w:val="00572BF5"/>
    <w:rsid w:val="00572D68"/>
    <w:rsid w:val="00573130"/>
    <w:rsid w:val="00573558"/>
    <w:rsid w:val="0057360F"/>
    <w:rsid w:val="005737C7"/>
    <w:rsid w:val="005738FB"/>
    <w:rsid w:val="00573FD8"/>
    <w:rsid w:val="0057425B"/>
    <w:rsid w:val="0057425F"/>
    <w:rsid w:val="005746E1"/>
    <w:rsid w:val="00574BCF"/>
    <w:rsid w:val="00574EF4"/>
    <w:rsid w:val="0057501E"/>
    <w:rsid w:val="0057503D"/>
    <w:rsid w:val="00575099"/>
    <w:rsid w:val="005750CF"/>
    <w:rsid w:val="00575761"/>
    <w:rsid w:val="00575EF6"/>
    <w:rsid w:val="0057624C"/>
    <w:rsid w:val="00576324"/>
    <w:rsid w:val="005763DD"/>
    <w:rsid w:val="00577012"/>
    <w:rsid w:val="0057730B"/>
    <w:rsid w:val="00577B31"/>
    <w:rsid w:val="00577C1F"/>
    <w:rsid w:val="00580000"/>
    <w:rsid w:val="005803A2"/>
    <w:rsid w:val="00580B7F"/>
    <w:rsid w:val="00581032"/>
    <w:rsid w:val="005812C9"/>
    <w:rsid w:val="0058179C"/>
    <w:rsid w:val="005818B8"/>
    <w:rsid w:val="00581C9B"/>
    <w:rsid w:val="00581D9D"/>
    <w:rsid w:val="00581DBC"/>
    <w:rsid w:val="00582025"/>
    <w:rsid w:val="005827A5"/>
    <w:rsid w:val="00582A7F"/>
    <w:rsid w:val="00582F07"/>
    <w:rsid w:val="0058309A"/>
    <w:rsid w:val="0058363F"/>
    <w:rsid w:val="00583C88"/>
    <w:rsid w:val="00584081"/>
    <w:rsid w:val="0058414B"/>
    <w:rsid w:val="00584430"/>
    <w:rsid w:val="005847F0"/>
    <w:rsid w:val="00585351"/>
    <w:rsid w:val="0058568D"/>
    <w:rsid w:val="0058585F"/>
    <w:rsid w:val="005858A6"/>
    <w:rsid w:val="0058594D"/>
    <w:rsid w:val="005863D8"/>
    <w:rsid w:val="00586717"/>
    <w:rsid w:val="0058677A"/>
    <w:rsid w:val="00586CF3"/>
    <w:rsid w:val="00586D9D"/>
    <w:rsid w:val="00586DCF"/>
    <w:rsid w:val="005871EA"/>
    <w:rsid w:val="00587821"/>
    <w:rsid w:val="00587D36"/>
    <w:rsid w:val="00587F85"/>
    <w:rsid w:val="0059039D"/>
    <w:rsid w:val="00590AB7"/>
    <w:rsid w:val="00590BE4"/>
    <w:rsid w:val="00590D8C"/>
    <w:rsid w:val="00590F19"/>
    <w:rsid w:val="00591DC4"/>
    <w:rsid w:val="005922DE"/>
    <w:rsid w:val="00592D8C"/>
    <w:rsid w:val="005935F4"/>
    <w:rsid w:val="005939EC"/>
    <w:rsid w:val="00593B5B"/>
    <w:rsid w:val="00593F57"/>
    <w:rsid w:val="00594225"/>
    <w:rsid w:val="005943B5"/>
    <w:rsid w:val="00594754"/>
    <w:rsid w:val="005949DB"/>
    <w:rsid w:val="005955F8"/>
    <w:rsid w:val="00595636"/>
    <w:rsid w:val="0059597A"/>
    <w:rsid w:val="00595E15"/>
    <w:rsid w:val="00595E5F"/>
    <w:rsid w:val="005963B1"/>
    <w:rsid w:val="0059657B"/>
    <w:rsid w:val="00596754"/>
    <w:rsid w:val="005969E2"/>
    <w:rsid w:val="00596AC3"/>
    <w:rsid w:val="00596BE2"/>
    <w:rsid w:val="00596C41"/>
    <w:rsid w:val="00596D1C"/>
    <w:rsid w:val="005971A4"/>
    <w:rsid w:val="0059736F"/>
    <w:rsid w:val="00597451"/>
    <w:rsid w:val="00597961"/>
    <w:rsid w:val="00597C13"/>
    <w:rsid w:val="005A01B6"/>
    <w:rsid w:val="005A0450"/>
    <w:rsid w:val="005A0680"/>
    <w:rsid w:val="005A0AC0"/>
    <w:rsid w:val="005A0DFA"/>
    <w:rsid w:val="005A0FD5"/>
    <w:rsid w:val="005A1B35"/>
    <w:rsid w:val="005A1C3B"/>
    <w:rsid w:val="005A1D3C"/>
    <w:rsid w:val="005A1D73"/>
    <w:rsid w:val="005A1F19"/>
    <w:rsid w:val="005A2184"/>
    <w:rsid w:val="005A2753"/>
    <w:rsid w:val="005A2D08"/>
    <w:rsid w:val="005A35A5"/>
    <w:rsid w:val="005A3CC4"/>
    <w:rsid w:val="005A3FC8"/>
    <w:rsid w:val="005A438C"/>
    <w:rsid w:val="005A4541"/>
    <w:rsid w:val="005A4705"/>
    <w:rsid w:val="005A48B5"/>
    <w:rsid w:val="005A5B4D"/>
    <w:rsid w:val="005A6353"/>
    <w:rsid w:val="005A6413"/>
    <w:rsid w:val="005A6E22"/>
    <w:rsid w:val="005A707B"/>
    <w:rsid w:val="005A737A"/>
    <w:rsid w:val="005A7B2C"/>
    <w:rsid w:val="005A7B83"/>
    <w:rsid w:val="005B011C"/>
    <w:rsid w:val="005B0600"/>
    <w:rsid w:val="005B073E"/>
    <w:rsid w:val="005B0A1D"/>
    <w:rsid w:val="005B0D59"/>
    <w:rsid w:val="005B1088"/>
    <w:rsid w:val="005B190B"/>
    <w:rsid w:val="005B25AB"/>
    <w:rsid w:val="005B25E9"/>
    <w:rsid w:val="005B2727"/>
    <w:rsid w:val="005B2910"/>
    <w:rsid w:val="005B2DC8"/>
    <w:rsid w:val="005B3506"/>
    <w:rsid w:val="005B3653"/>
    <w:rsid w:val="005B3666"/>
    <w:rsid w:val="005B380C"/>
    <w:rsid w:val="005B3A73"/>
    <w:rsid w:val="005B3CFF"/>
    <w:rsid w:val="005B447A"/>
    <w:rsid w:val="005B4C32"/>
    <w:rsid w:val="005B4DF7"/>
    <w:rsid w:val="005B503D"/>
    <w:rsid w:val="005B5154"/>
    <w:rsid w:val="005B572A"/>
    <w:rsid w:val="005B602F"/>
    <w:rsid w:val="005B60DA"/>
    <w:rsid w:val="005B630B"/>
    <w:rsid w:val="005B6C3E"/>
    <w:rsid w:val="005B6DC0"/>
    <w:rsid w:val="005B6E1A"/>
    <w:rsid w:val="005B737D"/>
    <w:rsid w:val="005B756E"/>
    <w:rsid w:val="005B7A89"/>
    <w:rsid w:val="005B7B4E"/>
    <w:rsid w:val="005C0049"/>
    <w:rsid w:val="005C0774"/>
    <w:rsid w:val="005C0B37"/>
    <w:rsid w:val="005C0D1E"/>
    <w:rsid w:val="005C0EAC"/>
    <w:rsid w:val="005C2803"/>
    <w:rsid w:val="005C2AFE"/>
    <w:rsid w:val="005C2F10"/>
    <w:rsid w:val="005C310C"/>
    <w:rsid w:val="005C31BE"/>
    <w:rsid w:val="005C35DB"/>
    <w:rsid w:val="005C3649"/>
    <w:rsid w:val="005C3A5F"/>
    <w:rsid w:val="005C3F94"/>
    <w:rsid w:val="005C4519"/>
    <w:rsid w:val="005C4667"/>
    <w:rsid w:val="005C504C"/>
    <w:rsid w:val="005C536C"/>
    <w:rsid w:val="005C5391"/>
    <w:rsid w:val="005C5518"/>
    <w:rsid w:val="005C5A15"/>
    <w:rsid w:val="005C5DB0"/>
    <w:rsid w:val="005C7D2C"/>
    <w:rsid w:val="005C7D7B"/>
    <w:rsid w:val="005C7E78"/>
    <w:rsid w:val="005C7E87"/>
    <w:rsid w:val="005D0239"/>
    <w:rsid w:val="005D0470"/>
    <w:rsid w:val="005D0605"/>
    <w:rsid w:val="005D06E3"/>
    <w:rsid w:val="005D07B3"/>
    <w:rsid w:val="005D0B17"/>
    <w:rsid w:val="005D0E8A"/>
    <w:rsid w:val="005D0FF7"/>
    <w:rsid w:val="005D42A8"/>
    <w:rsid w:val="005D44E3"/>
    <w:rsid w:val="005D480E"/>
    <w:rsid w:val="005D4842"/>
    <w:rsid w:val="005D4A62"/>
    <w:rsid w:val="005D4D9C"/>
    <w:rsid w:val="005D4E24"/>
    <w:rsid w:val="005D51D3"/>
    <w:rsid w:val="005D5515"/>
    <w:rsid w:val="005D5532"/>
    <w:rsid w:val="005D594D"/>
    <w:rsid w:val="005D5DD0"/>
    <w:rsid w:val="005D61D7"/>
    <w:rsid w:val="005D6714"/>
    <w:rsid w:val="005D6A8B"/>
    <w:rsid w:val="005D6CE5"/>
    <w:rsid w:val="005D72CA"/>
    <w:rsid w:val="005D7438"/>
    <w:rsid w:val="005D7459"/>
    <w:rsid w:val="005D7593"/>
    <w:rsid w:val="005D7655"/>
    <w:rsid w:val="005D78B6"/>
    <w:rsid w:val="005D7B42"/>
    <w:rsid w:val="005D7C06"/>
    <w:rsid w:val="005D7DF2"/>
    <w:rsid w:val="005D7F6A"/>
    <w:rsid w:val="005E0216"/>
    <w:rsid w:val="005E0448"/>
    <w:rsid w:val="005E080F"/>
    <w:rsid w:val="005E09C3"/>
    <w:rsid w:val="005E0A13"/>
    <w:rsid w:val="005E0BF0"/>
    <w:rsid w:val="005E156D"/>
    <w:rsid w:val="005E1822"/>
    <w:rsid w:val="005E1925"/>
    <w:rsid w:val="005E1A18"/>
    <w:rsid w:val="005E206F"/>
    <w:rsid w:val="005E247C"/>
    <w:rsid w:val="005E24A6"/>
    <w:rsid w:val="005E28D0"/>
    <w:rsid w:val="005E29DA"/>
    <w:rsid w:val="005E2EA9"/>
    <w:rsid w:val="005E2FF0"/>
    <w:rsid w:val="005E34B0"/>
    <w:rsid w:val="005E3603"/>
    <w:rsid w:val="005E36AE"/>
    <w:rsid w:val="005E3930"/>
    <w:rsid w:val="005E4712"/>
    <w:rsid w:val="005E4853"/>
    <w:rsid w:val="005E4AD9"/>
    <w:rsid w:val="005E4C12"/>
    <w:rsid w:val="005E4CAA"/>
    <w:rsid w:val="005E542F"/>
    <w:rsid w:val="005E5504"/>
    <w:rsid w:val="005E5A2E"/>
    <w:rsid w:val="005E5A87"/>
    <w:rsid w:val="005E5EA4"/>
    <w:rsid w:val="005E6782"/>
    <w:rsid w:val="005E6A9B"/>
    <w:rsid w:val="005E70F5"/>
    <w:rsid w:val="005E71CB"/>
    <w:rsid w:val="005E7A6E"/>
    <w:rsid w:val="005E7F1A"/>
    <w:rsid w:val="005F01AE"/>
    <w:rsid w:val="005F1534"/>
    <w:rsid w:val="005F1A4F"/>
    <w:rsid w:val="005F1B64"/>
    <w:rsid w:val="005F216D"/>
    <w:rsid w:val="005F282E"/>
    <w:rsid w:val="005F2F22"/>
    <w:rsid w:val="005F39B3"/>
    <w:rsid w:val="005F3C40"/>
    <w:rsid w:val="005F44F0"/>
    <w:rsid w:val="005F4859"/>
    <w:rsid w:val="005F4967"/>
    <w:rsid w:val="005F5015"/>
    <w:rsid w:val="005F5055"/>
    <w:rsid w:val="005F55A8"/>
    <w:rsid w:val="005F595F"/>
    <w:rsid w:val="005F5B2B"/>
    <w:rsid w:val="005F622D"/>
    <w:rsid w:val="005F624F"/>
    <w:rsid w:val="005F67AD"/>
    <w:rsid w:val="005F6A7E"/>
    <w:rsid w:val="005F7262"/>
    <w:rsid w:val="005F792E"/>
    <w:rsid w:val="005F7E6B"/>
    <w:rsid w:val="006003E7"/>
    <w:rsid w:val="0060050A"/>
    <w:rsid w:val="006007FB"/>
    <w:rsid w:val="006009AA"/>
    <w:rsid w:val="00600A72"/>
    <w:rsid w:val="00600FC6"/>
    <w:rsid w:val="006012C5"/>
    <w:rsid w:val="006013B9"/>
    <w:rsid w:val="0060169A"/>
    <w:rsid w:val="006017B4"/>
    <w:rsid w:val="0060188A"/>
    <w:rsid w:val="006018D9"/>
    <w:rsid w:val="006020D8"/>
    <w:rsid w:val="006020F5"/>
    <w:rsid w:val="00602375"/>
    <w:rsid w:val="006023F6"/>
    <w:rsid w:val="00602E15"/>
    <w:rsid w:val="00603414"/>
    <w:rsid w:val="006034B1"/>
    <w:rsid w:val="006038DB"/>
    <w:rsid w:val="00603B38"/>
    <w:rsid w:val="00603DA3"/>
    <w:rsid w:val="00603F74"/>
    <w:rsid w:val="006044CB"/>
    <w:rsid w:val="006046E9"/>
    <w:rsid w:val="00604AF9"/>
    <w:rsid w:val="00604D92"/>
    <w:rsid w:val="00604FB2"/>
    <w:rsid w:val="006059D6"/>
    <w:rsid w:val="00605B1B"/>
    <w:rsid w:val="00605EED"/>
    <w:rsid w:val="00605F40"/>
    <w:rsid w:val="00605F59"/>
    <w:rsid w:val="00606123"/>
    <w:rsid w:val="006065A2"/>
    <w:rsid w:val="00606864"/>
    <w:rsid w:val="00606889"/>
    <w:rsid w:val="0060689A"/>
    <w:rsid w:val="00607220"/>
    <w:rsid w:val="0060727F"/>
    <w:rsid w:val="006075D7"/>
    <w:rsid w:val="006075FD"/>
    <w:rsid w:val="0060764B"/>
    <w:rsid w:val="00607920"/>
    <w:rsid w:val="0060792E"/>
    <w:rsid w:val="0060796B"/>
    <w:rsid w:val="00607AFB"/>
    <w:rsid w:val="00607DD6"/>
    <w:rsid w:val="00607F19"/>
    <w:rsid w:val="0061044E"/>
    <w:rsid w:val="006104F5"/>
    <w:rsid w:val="006106DE"/>
    <w:rsid w:val="00610C54"/>
    <w:rsid w:val="00610EC5"/>
    <w:rsid w:val="00610FC5"/>
    <w:rsid w:val="006110C7"/>
    <w:rsid w:val="0061152A"/>
    <w:rsid w:val="00611C49"/>
    <w:rsid w:val="00611E73"/>
    <w:rsid w:val="00611F3D"/>
    <w:rsid w:val="00612206"/>
    <w:rsid w:val="00612601"/>
    <w:rsid w:val="006126CE"/>
    <w:rsid w:val="006127F6"/>
    <w:rsid w:val="0061350C"/>
    <w:rsid w:val="00613BBD"/>
    <w:rsid w:val="00613C60"/>
    <w:rsid w:val="00613CF6"/>
    <w:rsid w:val="00613E46"/>
    <w:rsid w:val="006142FB"/>
    <w:rsid w:val="00614317"/>
    <w:rsid w:val="00614445"/>
    <w:rsid w:val="00614A40"/>
    <w:rsid w:val="00614AA1"/>
    <w:rsid w:val="00614BE0"/>
    <w:rsid w:val="00614F37"/>
    <w:rsid w:val="006150E3"/>
    <w:rsid w:val="006151AD"/>
    <w:rsid w:val="006154C8"/>
    <w:rsid w:val="00615A54"/>
    <w:rsid w:val="006166EF"/>
    <w:rsid w:val="00616FE1"/>
    <w:rsid w:val="0061760C"/>
    <w:rsid w:val="00617B9F"/>
    <w:rsid w:val="00619E7F"/>
    <w:rsid w:val="00620006"/>
    <w:rsid w:val="0062110A"/>
    <w:rsid w:val="006214D1"/>
    <w:rsid w:val="0062153B"/>
    <w:rsid w:val="00621B95"/>
    <w:rsid w:val="00621C42"/>
    <w:rsid w:val="00622019"/>
    <w:rsid w:val="00622232"/>
    <w:rsid w:val="006222E2"/>
    <w:rsid w:val="006227FA"/>
    <w:rsid w:val="00622815"/>
    <w:rsid w:val="006228AC"/>
    <w:rsid w:val="00622A5E"/>
    <w:rsid w:val="00622C1B"/>
    <w:rsid w:val="00622FF7"/>
    <w:rsid w:val="006230A6"/>
    <w:rsid w:val="006237A6"/>
    <w:rsid w:val="00623C61"/>
    <w:rsid w:val="0062402C"/>
    <w:rsid w:val="006240C8"/>
    <w:rsid w:val="006245C2"/>
    <w:rsid w:val="00624D06"/>
    <w:rsid w:val="006255E2"/>
    <w:rsid w:val="00625F99"/>
    <w:rsid w:val="00626057"/>
    <w:rsid w:val="00626E2B"/>
    <w:rsid w:val="00626FF5"/>
    <w:rsid w:val="006272D2"/>
    <w:rsid w:val="006273D9"/>
    <w:rsid w:val="00627994"/>
    <w:rsid w:val="00630287"/>
    <w:rsid w:val="006302C5"/>
    <w:rsid w:val="00630373"/>
    <w:rsid w:val="0063041C"/>
    <w:rsid w:val="0063094D"/>
    <w:rsid w:val="00630C49"/>
    <w:rsid w:val="00630F03"/>
    <w:rsid w:val="0063199C"/>
    <w:rsid w:val="00631A0D"/>
    <w:rsid w:val="0063211F"/>
    <w:rsid w:val="006322F2"/>
    <w:rsid w:val="006325E1"/>
    <w:rsid w:val="0063272F"/>
    <w:rsid w:val="00632973"/>
    <w:rsid w:val="006329C3"/>
    <w:rsid w:val="00632DC3"/>
    <w:rsid w:val="00632E60"/>
    <w:rsid w:val="00632EE9"/>
    <w:rsid w:val="00633719"/>
    <w:rsid w:val="00633897"/>
    <w:rsid w:val="00633ABB"/>
    <w:rsid w:val="00633C2E"/>
    <w:rsid w:val="00633E40"/>
    <w:rsid w:val="00633EB7"/>
    <w:rsid w:val="00633EFA"/>
    <w:rsid w:val="00634260"/>
    <w:rsid w:val="00634BDA"/>
    <w:rsid w:val="0063514B"/>
    <w:rsid w:val="00635195"/>
    <w:rsid w:val="00635490"/>
    <w:rsid w:val="0063584A"/>
    <w:rsid w:val="006359A4"/>
    <w:rsid w:val="00635C45"/>
    <w:rsid w:val="00635D4A"/>
    <w:rsid w:val="00635DDB"/>
    <w:rsid w:val="0063633A"/>
    <w:rsid w:val="0063639D"/>
    <w:rsid w:val="006375D3"/>
    <w:rsid w:val="0063783D"/>
    <w:rsid w:val="006404B2"/>
    <w:rsid w:val="006407C7"/>
    <w:rsid w:val="00640A46"/>
    <w:rsid w:val="006412AC"/>
    <w:rsid w:val="0064133D"/>
    <w:rsid w:val="0064145E"/>
    <w:rsid w:val="00641A8D"/>
    <w:rsid w:val="00641EF1"/>
    <w:rsid w:val="006420CB"/>
    <w:rsid w:val="00642A95"/>
    <w:rsid w:val="00642DA7"/>
    <w:rsid w:val="0064390C"/>
    <w:rsid w:val="00644309"/>
    <w:rsid w:val="0064447F"/>
    <w:rsid w:val="00644A0B"/>
    <w:rsid w:val="00645189"/>
    <w:rsid w:val="006453E4"/>
    <w:rsid w:val="006454AD"/>
    <w:rsid w:val="006458EE"/>
    <w:rsid w:val="00645A0A"/>
    <w:rsid w:val="0064600B"/>
    <w:rsid w:val="0064623C"/>
    <w:rsid w:val="0064641A"/>
    <w:rsid w:val="006470AE"/>
    <w:rsid w:val="006474B0"/>
    <w:rsid w:val="00647AB0"/>
    <w:rsid w:val="00647D5A"/>
    <w:rsid w:val="00647D60"/>
    <w:rsid w:val="00647DAE"/>
    <w:rsid w:val="00647DE3"/>
    <w:rsid w:val="0065057C"/>
    <w:rsid w:val="006510B8"/>
    <w:rsid w:val="0065124E"/>
    <w:rsid w:val="0065145B"/>
    <w:rsid w:val="00651963"/>
    <w:rsid w:val="0065199D"/>
    <w:rsid w:val="00652035"/>
    <w:rsid w:val="0065236C"/>
    <w:rsid w:val="0065265A"/>
    <w:rsid w:val="00652EFE"/>
    <w:rsid w:val="00653474"/>
    <w:rsid w:val="00653A7D"/>
    <w:rsid w:val="00653D04"/>
    <w:rsid w:val="00653D93"/>
    <w:rsid w:val="00653F6E"/>
    <w:rsid w:val="006542B9"/>
    <w:rsid w:val="00654448"/>
    <w:rsid w:val="006544BB"/>
    <w:rsid w:val="006554D6"/>
    <w:rsid w:val="00655ED3"/>
    <w:rsid w:val="00656158"/>
    <w:rsid w:val="006563A5"/>
    <w:rsid w:val="006573BE"/>
    <w:rsid w:val="00657A1C"/>
    <w:rsid w:val="00657EBB"/>
    <w:rsid w:val="00660946"/>
    <w:rsid w:val="006610C2"/>
    <w:rsid w:val="0066140B"/>
    <w:rsid w:val="00661888"/>
    <w:rsid w:val="006621EE"/>
    <w:rsid w:val="00662328"/>
    <w:rsid w:val="0066265D"/>
    <w:rsid w:val="00662661"/>
    <w:rsid w:val="00662783"/>
    <w:rsid w:val="00662BBC"/>
    <w:rsid w:val="00662EDD"/>
    <w:rsid w:val="0066335F"/>
    <w:rsid w:val="00663C3B"/>
    <w:rsid w:val="00664229"/>
    <w:rsid w:val="00664306"/>
    <w:rsid w:val="00664309"/>
    <w:rsid w:val="006645A3"/>
    <w:rsid w:val="00664912"/>
    <w:rsid w:val="00664C63"/>
    <w:rsid w:val="00664DC7"/>
    <w:rsid w:val="006650EF"/>
    <w:rsid w:val="00665415"/>
    <w:rsid w:val="006659CC"/>
    <w:rsid w:val="00665A8C"/>
    <w:rsid w:val="00665EA7"/>
    <w:rsid w:val="00665EC9"/>
    <w:rsid w:val="00665FB7"/>
    <w:rsid w:val="00666010"/>
    <w:rsid w:val="0066611F"/>
    <w:rsid w:val="00666129"/>
    <w:rsid w:val="0066622C"/>
    <w:rsid w:val="0066635B"/>
    <w:rsid w:val="0066649E"/>
    <w:rsid w:val="00666831"/>
    <w:rsid w:val="0066690C"/>
    <w:rsid w:val="006669BD"/>
    <w:rsid w:val="00666F0D"/>
    <w:rsid w:val="00667092"/>
    <w:rsid w:val="00667975"/>
    <w:rsid w:val="0067007C"/>
    <w:rsid w:val="00670621"/>
    <w:rsid w:val="0067084B"/>
    <w:rsid w:val="00670890"/>
    <w:rsid w:val="00670A46"/>
    <w:rsid w:val="00670C09"/>
    <w:rsid w:val="00670EC5"/>
    <w:rsid w:val="0067119B"/>
    <w:rsid w:val="006719A3"/>
    <w:rsid w:val="00671BB5"/>
    <w:rsid w:val="006725C9"/>
    <w:rsid w:val="00672B1A"/>
    <w:rsid w:val="00672D45"/>
    <w:rsid w:val="00672F1F"/>
    <w:rsid w:val="0067307C"/>
    <w:rsid w:val="006731C8"/>
    <w:rsid w:val="00673372"/>
    <w:rsid w:val="006733DE"/>
    <w:rsid w:val="00673406"/>
    <w:rsid w:val="006734B6"/>
    <w:rsid w:val="0067381F"/>
    <w:rsid w:val="006738FB"/>
    <w:rsid w:val="00673C92"/>
    <w:rsid w:val="00674046"/>
    <w:rsid w:val="006740A5"/>
    <w:rsid w:val="0067422D"/>
    <w:rsid w:val="00674553"/>
    <w:rsid w:val="0067465E"/>
    <w:rsid w:val="00674901"/>
    <w:rsid w:val="006751D3"/>
    <w:rsid w:val="0067552B"/>
    <w:rsid w:val="00675D9A"/>
    <w:rsid w:val="00675FB3"/>
    <w:rsid w:val="006761E8"/>
    <w:rsid w:val="0067651C"/>
    <w:rsid w:val="006775FD"/>
    <w:rsid w:val="0067797E"/>
    <w:rsid w:val="00677D20"/>
    <w:rsid w:val="00677DB9"/>
    <w:rsid w:val="006800BA"/>
    <w:rsid w:val="0068053B"/>
    <w:rsid w:val="00680789"/>
    <w:rsid w:val="0068158C"/>
    <w:rsid w:val="006816A3"/>
    <w:rsid w:val="006818D8"/>
    <w:rsid w:val="00681A31"/>
    <w:rsid w:val="00681CCC"/>
    <w:rsid w:val="00681CE6"/>
    <w:rsid w:val="00681DAF"/>
    <w:rsid w:val="006820DE"/>
    <w:rsid w:val="006820F8"/>
    <w:rsid w:val="0068231F"/>
    <w:rsid w:val="00682416"/>
    <w:rsid w:val="0068252F"/>
    <w:rsid w:val="006827F6"/>
    <w:rsid w:val="00682A6A"/>
    <w:rsid w:val="00682F00"/>
    <w:rsid w:val="00682FC6"/>
    <w:rsid w:val="00683135"/>
    <w:rsid w:val="0068320E"/>
    <w:rsid w:val="006835F8"/>
    <w:rsid w:val="00683914"/>
    <w:rsid w:val="00683B2A"/>
    <w:rsid w:val="006840A5"/>
    <w:rsid w:val="0068476B"/>
    <w:rsid w:val="00684918"/>
    <w:rsid w:val="006849FE"/>
    <w:rsid w:val="00684F06"/>
    <w:rsid w:val="006851C7"/>
    <w:rsid w:val="00685E5C"/>
    <w:rsid w:val="00685F41"/>
    <w:rsid w:val="006860AC"/>
    <w:rsid w:val="006864A7"/>
    <w:rsid w:val="0068654A"/>
    <w:rsid w:val="00686591"/>
    <w:rsid w:val="00686B46"/>
    <w:rsid w:val="00686E75"/>
    <w:rsid w:val="00687195"/>
    <w:rsid w:val="006871BC"/>
    <w:rsid w:val="0068734B"/>
    <w:rsid w:val="006879FE"/>
    <w:rsid w:val="00690332"/>
    <w:rsid w:val="0069139F"/>
    <w:rsid w:val="00691449"/>
    <w:rsid w:val="0069149A"/>
    <w:rsid w:val="006914B5"/>
    <w:rsid w:val="00691590"/>
    <w:rsid w:val="00691BAF"/>
    <w:rsid w:val="00691D1F"/>
    <w:rsid w:val="00691E61"/>
    <w:rsid w:val="00691E7E"/>
    <w:rsid w:val="006926E7"/>
    <w:rsid w:val="0069284E"/>
    <w:rsid w:val="00692BC3"/>
    <w:rsid w:val="00692DEB"/>
    <w:rsid w:val="006934DF"/>
    <w:rsid w:val="006935B5"/>
    <w:rsid w:val="00694184"/>
    <w:rsid w:val="0069458C"/>
    <w:rsid w:val="006955B5"/>
    <w:rsid w:val="0069598C"/>
    <w:rsid w:val="006959EF"/>
    <w:rsid w:val="00695EF2"/>
    <w:rsid w:val="006964EB"/>
    <w:rsid w:val="00696819"/>
    <w:rsid w:val="00696929"/>
    <w:rsid w:val="00696BF4"/>
    <w:rsid w:val="00696EB4"/>
    <w:rsid w:val="00697321"/>
    <w:rsid w:val="006975BF"/>
    <w:rsid w:val="006A0588"/>
    <w:rsid w:val="006A05B7"/>
    <w:rsid w:val="006A08A7"/>
    <w:rsid w:val="006A0AC2"/>
    <w:rsid w:val="006A0B98"/>
    <w:rsid w:val="006A0ECF"/>
    <w:rsid w:val="006A154A"/>
    <w:rsid w:val="006A1666"/>
    <w:rsid w:val="006A189D"/>
    <w:rsid w:val="006A1BB4"/>
    <w:rsid w:val="006A2157"/>
    <w:rsid w:val="006A2649"/>
    <w:rsid w:val="006A29DE"/>
    <w:rsid w:val="006A2C05"/>
    <w:rsid w:val="006A2ED1"/>
    <w:rsid w:val="006A3460"/>
    <w:rsid w:val="006A39C8"/>
    <w:rsid w:val="006A39EB"/>
    <w:rsid w:val="006A404E"/>
    <w:rsid w:val="006A426F"/>
    <w:rsid w:val="006A49BD"/>
    <w:rsid w:val="006A4F6C"/>
    <w:rsid w:val="006A52C7"/>
    <w:rsid w:val="006A5389"/>
    <w:rsid w:val="006A62A3"/>
    <w:rsid w:val="006A6411"/>
    <w:rsid w:val="006A64E6"/>
    <w:rsid w:val="006A6DAF"/>
    <w:rsid w:val="006A74F3"/>
    <w:rsid w:val="006A7763"/>
    <w:rsid w:val="006A77D5"/>
    <w:rsid w:val="006A77DC"/>
    <w:rsid w:val="006A7EE7"/>
    <w:rsid w:val="006B02E7"/>
    <w:rsid w:val="006B0800"/>
    <w:rsid w:val="006B0ABC"/>
    <w:rsid w:val="006B0C04"/>
    <w:rsid w:val="006B0EAE"/>
    <w:rsid w:val="006B0FCB"/>
    <w:rsid w:val="006B128B"/>
    <w:rsid w:val="006B16AB"/>
    <w:rsid w:val="006B16C5"/>
    <w:rsid w:val="006B16CB"/>
    <w:rsid w:val="006B1E46"/>
    <w:rsid w:val="006B1FBA"/>
    <w:rsid w:val="006B22C2"/>
    <w:rsid w:val="006B2379"/>
    <w:rsid w:val="006B2481"/>
    <w:rsid w:val="006B25DA"/>
    <w:rsid w:val="006B27DA"/>
    <w:rsid w:val="006B29C8"/>
    <w:rsid w:val="006B2B3C"/>
    <w:rsid w:val="006B2E38"/>
    <w:rsid w:val="006B2EDA"/>
    <w:rsid w:val="006B31A2"/>
    <w:rsid w:val="006B328B"/>
    <w:rsid w:val="006B37B1"/>
    <w:rsid w:val="006B393E"/>
    <w:rsid w:val="006B3AF1"/>
    <w:rsid w:val="006B3B57"/>
    <w:rsid w:val="006B3CA8"/>
    <w:rsid w:val="006B455C"/>
    <w:rsid w:val="006B46A0"/>
    <w:rsid w:val="006B47AC"/>
    <w:rsid w:val="006B4D35"/>
    <w:rsid w:val="006B53A5"/>
    <w:rsid w:val="006B53B5"/>
    <w:rsid w:val="006B53BB"/>
    <w:rsid w:val="006B588C"/>
    <w:rsid w:val="006B5A04"/>
    <w:rsid w:val="006B5E4E"/>
    <w:rsid w:val="006B5FE0"/>
    <w:rsid w:val="006B6277"/>
    <w:rsid w:val="006B662F"/>
    <w:rsid w:val="006B6832"/>
    <w:rsid w:val="006B694B"/>
    <w:rsid w:val="006B6D77"/>
    <w:rsid w:val="006B6E15"/>
    <w:rsid w:val="006B6F2F"/>
    <w:rsid w:val="006B6F4B"/>
    <w:rsid w:val="006B7388"/>
    <w:rsid w:val="006B77A5"/>
    <w:rsid w:val="006B77BE"/>
    <w:rsid w:val="006B7B81"/>
    <w:rsid w:val="006B7F2C"/>
    <w:rsid w:val="006C07B1"/>
    <w:rsid w:val="006C0DB1"/>
    <w:rsid w:val="006C129A"/>
    <w:rsid w:val="006C1587"/>
    <w:rsid w:val="006C1C3E"/>
    <w:rsid w:val="006C1D93"/>
    <w:rsid w:val="006C268D"/>
    <w:rsid w:val="006C26F5"/>
    <w:rsid w:val="006C2879"/>
    <w:rsid w:val="006C28A1"/>
    <w:rsid w:val="006C296D"/>
    <w:rsid w:val="006C2992"/>
    <w:rsid w:val="006C2AE3"/>
    <w:rsid w:val="006C2B17"/>
    <w:rsid w:val="006C38BA"/>
    <w:rsid w:val="006C39F0"/>
    <w:rsid w:val="006C3BEF"/>
    <w:rsid w:val="006C3F29"/>
    <w:rsid w:val="006C440D"/>
    <w:rsid w:val="006C4756"/>
    <w:rsid w:val="006C47F4"/>
    <w:rsid w:val="006C4C82"/>
    <w:rsid w:val="006C4EB7"/>
    <w:rsid w:val="006C506C"/>
    <w:rsid w:val="006C5AC2"/>
    <w:rsid w:val="006C65CD"/>
    <w:rsid w:val="006C6600"/>
    <w:rsid w:val="006C6753"/>
    <w:rsid w:val="006C6C21"/>
    <w:rsid w:val="006C7363"/>
    <w:rsid w:val="006C768F"/>
    <w:rsid w:val="006C7A19"/>
    <w:rsid w:val="006C7B85"/>
    <w:rsid w:val="006C7EC4"/>
    <w:rsid w:val="006D0346"/>
    <w:rsid w:val="006D04F7"/>
    <w:rsid w:val="006D07A7"/>
    <w:rsid w:val="006D166E"/>
    <w:rsid w:val="006D1D87"/>
    <w:rsid w:val="006D25F6"/>
    <w:rsid w:val="006D29B7"/>
    <w:rsid w:val="006D2A86"/>
    <w:rsid w:val="006D2D4E"/>
    <w:rsid w:val="006D4287"/>
    <w:rsid w:val="006D42EB"/>
    <w:rsid w:val="006D4663"/>
    <w:rsid w:val="006D48D3"/>
    <w:rsid w:val="006D4D95"/>
    <w:rsid w:val="006D4EB1"/>
    <w:rsid w:val="006D5034"/>
    <w:rsid w:val="006D50A3"/>
    <w:rsid w:val="006D5250"/>
    <w:rsid w:val="006D5500"/>
    <w:rsid w:val="006D5A02"/>
    <w:rsid w:val="006D5B5C"/>
    <w:rsid w:val="006D5DC6"/>
    <w:rsid w:val="006D5FDD"/>
    <w:rsid w:val="006D6532"/>
    <w:rsid w:val="006D6BFF"/>
    <w:rsid w:val="006D7884"/>
    <w:rsid w:val="006D7FED"/>
    <w:rsid w:val="006E0EAA"/>
    <w:rsid w:val="006E129C"/>
    <w:rsid w:val="006E1392"/>
    <w:rsid w:val="006E1671"/>
    <w:rsid w:val="006E1A01"/>
    <w:rsid w:val="006E1BF9"/>
    <w:rsid w:val="006E1C33"/>
    <w:rsid w:val="006E2295"/>
    <w:rsid w:val="006E257F"/>
    <w:rsid w:val="006E26D1"/>
    <w:rsid w:val="006E2836"/>
    <w:rsid w:val="006E29EC"/>
    <w:rsid w:val="006E2CD4"/>
    <w:rsid w:val="006E2CE6"/>
    <w:rsid w:val="006E2E9A"/>
    <w:rsid w:val="006E3301"/>
    <w:rsid w:val="006E3C00"/>
    <w:rsid w:val="006E3F17"/>
    <w:rsid w:val="006E40B0"/>
    <w:rsid w:val="006E43CF"/>
    <w:rsid w:val="006E4634"/>
    <w:rsid w:val="006E4875"/>
    <w:rsid w:val="006E4A65"/>
    <w:rsid w:val="006E4B05"/>
    <w:rsid w:val="006E59A5"/>
    <w:rsid w:val="006E5BDD"/>
    <w:rsid w:val="006E5E4F"/>
    <w:rsid w:val="006E5E51"/>
    <w:rsid w:val="006E5E8D"/>
    <w:rsid w:val="006E6D3C"/>
    <w:rsid w:val="006E717F"/>
    <w:rsid w:val="006E734A"/>
    <w:rsid w:val="006E7423"/>
    <w:rsid w:val="006E77FC"/>
    <w:rsid w:val="006E799A"/>
    <w:rsid w:val="006F0B44"/>
    <w:rsid w:val="006F0DFD"/>
    <w:rsid w:val="006F14FE"/>
    <w:rsid w:val="006F195F"/>
    <w:rsid w:val="006F1A61"/>
    <w:rsid w:val="006F2319"/>
    <w:rsid w:val="006F26D6"/>
    <w:rsid w:val="006F276C"/>
    <w:rsid w:val="006F2A19"/>
    <w:rsid w:val="006F2F93"/>
    <w:rsid w:val="006F31D2"/>
    <w:rsid w:val="006F38FD"/>
    <w:rsid w:val="006F3CC4"/>
    <w:rsid w:val="006F4257"/>
    <w:rsid w:val="006F49CC"/>
    <w:rsid w:val="006F51A0"/>
    <w:rsid w:val="006F530F"/>
    <w:rsid w:val="006F56B0"/>
    <w:rsid w:val="006F5C39"/>
    <w:rsid w:val="006F5D71"/>
    <w:rsid w:val="006F6392"/>
    <w:rsid w:val="006F6AEE"/>
    <w:rsid w:val="006F6FD8"/>
    <w:rsid w:val="006F74D0"/>
    <w:rsid w:val="006F75E2"/>
    <w:rsid w:val="00700136"/>
    <w:rsid w:val="00700BE9"/>
    <w:rsid w:val="00700D51"/>
    <w:rsid w:val="00700F58"/>
    <w:rsid w:val="00701117"/>
    <w:rsid w:val="0070114A"/>
    <w:rsid w:val="00701DFE"/>
    <w:rsid w:val="0070217F"/>
    <w:rsid w:val="00702193"/>
    <w:rsid w:val="0070219F"/>
    <w:rsid w:val="00702231"/>
    <w:rsid w:val="00702B1C"/>
    <w:rsid w:val="00702D7F"/>
    <w:rsid w:val="00702F42"/>
    <w:rsid w:val="00703009"/>
    <w:rsid w:val="00703242"/>
    <w:rsid w:val="00703418"/>
    <w:rsid w:val="007041A8"/>
    <w:rsid w:val="0070439F"/>
    <w:rsid w:val="00704497"/>
    <w:rsid w:val="0070518C"/>
    <w:rsid w:val="0070552D"/>
    <w:rsid w:val="00705676"/>
    <w:rsid w:val="007056FA"/>
    <w:rsid w:val="007059A8"/>
    <w:rsid w:val="00705E93"/>
    <w:rsid w:val="00706699"/>
    <w:rsid w:val="00707A32"/>
    <w:rsid w:val="00707BE0"/>
    <w:rsid w:val="0071007A"/>
    <w:rsid w:val="00710317"/>
    <w:rsid w:val="007104A2"/>
    <w:rsid w:val="00710750"/>
    <w:rsid w:val="00710E16"/>
    <w:rsid w:val="00711820"/>
    <w:rsid w:val="00711E0B"/>
    <w:rsid w:val="00711EBB"/>
    <w:rsid w:val="00711F75"/>
    <w:rsid w:val="00712068"/>
    <w:rsid w:val="007129FE"/>
    <w:rsid w:val="00712BE6"/>
    <w:rsid w:val="0071328E"/>
    <w:rsid w:val="007139D7"/>
    <w:rsid w:val="00714A84"/>
    <w:rsid w:val="0071510C"/>
    <w:rsid w:val="00715545"/>
    <w:rsid w:val="0071590D"/>
    <w:rsid w:val="00716385"/>
    <w:rsid w:val="00716A1C"/>
    <w:rsid w:val="00717449"/>
    <w:rsid w:val="00717DB8"/>
    <w:rsid w:val="00720046"/>
    <w:rsid w:val="007202AD"/>
    <w:rsid w:val="007205DF"/>
    <w:rsid w:val="007207EB"/>
    <w:rsid w:val="00720872"/>
    <w:rsid w:val="00720DCC"/>
    <w:rsid w:val="0072152F"/>
    <w:rsid w:val="007216D3"/>
    <w:rsid w:val="007217C7"/>
    <w:rsid w:val="007219E3"/>
    <w:rsid w:val="00721B60"/>
    <w:rsid w:val="00721C03"/>
    <w:rsid w:val="007226EA"/>
    <w:rsid w:val="00722A47"/>
    <w:rsid w:val="00722BF9"/>
    <w:rsid w:val="00722CEA"/>
    <w:rsid w:val="007233B4"/>
    <w:rsid w:val="00723587"/>
    <w:rsid w:val="00723762"/>
    <w:rsid w:val="007237E5"/>
    <w:rsid w:val="007238AF"/>
    <w:rsid w:val="00723FEF"/>
    <w:rsid w:val="00724188"/>
    <w:rsid w:val="00724227"/>
    <w:rsid w:val="00724609"/>
    <w:rsid w:val="00724DD9"/>
    <w:rsid w:val="00724EB3"/>
    <w:rsid w:val="00724F5A"/>
    <w:rsid w:val="0072535E"/>
    <w:rsid w:val="0072539F"/>
    <w:rsid w:val="007256CF"/>
    <w:rsid w:val="00725725"/>
    <w:rsid w:val="007257C1"/>
    <w:rsid w:val="007260AB"/>
    <w:rsid w:val="00726183"/>
    <w:rsid w:val="00726B0B"/>
    <w:rsid w:val="00726EAD"/>
    <w:rsid w:val="00726FCE"/>
    <w:rsid w:val="0072752B"/>
    <w:rsid w:val="0072759C"/>
    <w:rsid w:val="0072781C"/>
    <w:rsid w:val="0073063E"/>
    <w:rsid w:val="00730FC3"/>
    <w:rsid w:val="0073108E"/>
    <w:rsid w:val="007312B5"/>
    <w:rsid w:val="007314C8"/>
    <w:rsid w:val="007318E6"/>
    <w:rsid w:val="00731B3F"/>
    <w:rsid w:val="00731F8E"/>
    <w:rsid w:val="00732288"/>
    <w:rsid w:val="007328AA"/>
    <w:rsid w:val="00732CA5"/>
    <w:rsid w:val="00732CCD"/>
    <w:rsid w:val="007330DF"/>
    <w:rsid w:val="007340CB"/>
    <w:rsid w:val="00734236"/>
    <w:rsid w:val="00734674"/>
    <w:rsid w:val="00734824"/>
    <w:rsid w:val="00734870"/>
    <w:rsid w:val="00735141"/>
    <w:rsid w:val="00735233"/>
    <w:rsid w:val="00735271"/>
    <w:rsid w:val="00735B10"/>
    <w:rsid w:val="00735C9F"/>
    <w:rsid w:val="00735EA6"/>
    <w:rsid w:val="00736083"/>
    <w:rsid w:val="007361F5"/>
    <w:rsid w:val="00736819"/>
    <w:rsid w:val="00736A0B"/>
    <w:rsid w:val="0073765A"/>
    <w:rsid w:val="0073A3CE"/>
    <w:rsid w:val="00740051"/>
    <w:rsid w:val="0074041C"/>
    <w:rsid w:val="00741326"/>
    <w:rsid w:val="0074134F"/>
    <w:rsid w:val="00741C53"/>
    <w:rsid w:val="007421A1"/>
    <w:rsid w:val="007422CD"/>
    <w:rsid w:val="00742E0A"/>
    <w:rsid w:val="00743C8A"/>
    <w:rsid w:val="007444E8"/>
    <w:rsid w:val="007445FA"/>
    <w:rsid w:val="00744CE2"/>
    <w:rsid w:val="00744F46"/>
    <w:rsid w:val="00745457"/>
    <w:rsid w:val="007454B3"/>
    <w:rsid w:val="00746245"/>
    <w:rsid w:val="0074649A"/>
    <w:rsid w:val="0074659C"/>
    <w:rsid w:val="00746647"/>
    <w:rsid w:val="00746844"/>
    <w:rsid w:val="00746902"/>
    <w:rsid w:val="00746ECC"/>
    <w:rsid w:val="0074704F"/>
    <w:rsid w:val="00747210"/>
    <w:rsid w:val="00747B37"/>
    <w:rsid w:val="00750BFA"/>
    <w:rsid w:val="0075105B"/>
    <w:rsid w:val="00751197"/>
    <w:rsid w:val="0075148F"/>
    <w:rsid w:val="007517DF"/>
    <w:rsid w:val="00751DE7"/>
    <w:rsid w:val="00752155"/>
    <w:rsid w:val="00752289"/>
    <w:rsid w:val="0075249A"/>
    <w:rsid w:val="00752975"/>
    <w:rsid w:val="00752F41"/>
    <w:rsid w:val="007531CA"/>
    <w:rsid w:val="0075339F"/>
    <w:rsid w:val="0075362E"/>
    <w:rsid w:val="0075384E"/>
    <w:rsid w:val="00753AD4"/>
    <w:rsid w:val="00753E5D"/>
    <w:rsid w:val="00754346"/>
    <w:rsid w:val="0075487E"/>
    <w:rsid w:val="00754A6C"/>
    <w:rsid w:val="0075552C"/>
    <w:rsid w:val="007558CC"/>
    <w:rsid w:val="00755C49"/>
    <w:rsid w:val="00755CF6"/>
    <w:rsid w:val="00755FDD"/>
    <w:rsid w:val="00756352"/>
    <w:rsid w:val="00756A62"/>
    <w:rsid w:val="00756BB4"/>
    <w:rsid w:val="00756D8B"/>
    <w:rsid w:val="00756FFB"/>
    <w:rsid w:val="00757783"/>
    <w:rsid w:val="007577C8"/>
    <w:rsid w:val="00757D99"/>
    <w:rsid w:val="00760756"/>
    <w:rsid w:val="007608AB"/>
    <w:rsid w:val="007608AF"/>
    <w:rsid w:val="007610A8"/>
    <w:rsid w:val="007615CF"/>
    <w:rsid w:val="007615D5"/>
    <w:rsid w:val="007623D4"/>
    <w:rsid w:val="00762600"/>
    <w:rsid w:val="00762DF4"/>
    <w:rsid w:val="00762FEB"/>
    <w:rsid w:val="007631C7"/>
    <w:rsid w:val="007635DC"/>
    <w:rsid w:val="007636F0"/>
    <w:rsid w:val="00763D13"/>
    <w:rsid w:val="0076428A"/>
    <w:rsid w:val="00764480"/>
    <w:rsid w:val="00764737"/>
    <w:rsid w:val="00764D7A"/>
    <w:rsid w:val="00765692"/>
    <w:rsid w:val="007658F1"/>
    <w:rsid w:val="00765904"/>
    <w:rsid w:val="00765D3B"/>
    <w:rsid w:val="00765F5E"/>
    <w:rsid w:val="00766506"/>
    <w:rsid w:val="0076682E"/>
    <w:rsid w:val="00766E00"/>
    <w:rsid w:val="0076735C"/>
    <w:rsid w:val="007673C4"/>
    <w:rsid w:val="007676E1"/>
    <w:rsid w:val="00767A39"/>
    <w:rsid w:val="00770175"/>
    <w:rsid w:val="007702F9"/>
    <w:rsid w:val="007709E7"/>
    <w:rsid w:val="00770F22"/>
    <w:rsid w:val="00770FC8"/>
    <w:rsid w:val="007710B4"/>
    <w:rsid w:val="007724F1"/>
    <w:rsid w:val="00772989"/>
    <w:rsid w:val="007729F3"/>
    <w:rsid w:val="00772E6F"/>
    <w:rsid w:val="00772F09"/>
    <w:rsid w:val="007732DE"/>
    <w:rsid w:val="00773853"/>
    <w:rsid w:val="007738B4"/>
    <w:rsid w:val="00773A0E"/>
    <w:rsid w:val="00773B8B"/>
    <w:rsid w:val="00773D2A"/>
    <w:rsid w:val="00773DCC"/>
    <w:rsid w:val="00773E10"/>
    <w:rsid w:val="00774251"/>
    <w:rsid w:val="007744B9"/>
    <w:rsid w:val="0077473C"/>
    <w:rsid w:val="007751EE"/>
    <w:rsid w:val="0077537B"/>
    <w:rsid w:val="0077538E"/>
    <w:rsid w:val="00775685"/>
    <w:rsid w:val="007756CC"/>
    <w:rsid w:val="00775946"/>
    <w:rsid w:val="00775E9F"/>
    <w:rsid w:val="00776042"/>
    <w:rsid w:val="007761E2"/>
    <w:rsid w:val="0077622F"/>
    <w:rsid w:val="0077692F"/>
    <w:rsid w:val="00776AAD"/>
    <w:rsid w:val="00776B47"/>
    <w:rsid w:val="007770B2"/>
    <w:rsid w:val="0077711E"/>
    <w:rsid w:val="0077718D"/>
    <w:rsid w:val="007771E4"/>
    <w:rsid w:val="00777B74"/>
    <w:rsid w:val="00777CE5"/>
    <w:rsid w:val="00780278"/>
    <w:rsid w:val="00780496"/>
    <w:rsid w:val="0078086F"/>
    <w:rsid w:val="00780E1D"/>
    <w:rsid w:val="00780E5B"/>
    <w:rsid w:val="0078122D"/>
    <w:rsid w:val="0078139E"/>
    <w:rsid w:val="007813D8"/>
    <w:rsid w:val="00781BAC"/>
    <w:rsid w:val="00781CF5"/>
    <w:rsid w:val="0078229B"/>
    <w:rsid w:val="007824B9"/>
    <w:rsid w:val="00782734"/>
    <w:rsid w:val="00782B7C"/>
    <w:rsid w:val="00783187"/>
    <w:rsid w:val="00783483"/>
    <w:rsid w:val="007834BE"/>
    <w:rsid w:val="007835F0"/>
    <w:rsid w:val="00783681"/>
    <w:rsid w:val="00783B60"/>
    <w:rsid w:val="00783D6C"/>
    <w:rsid w:val="00783E82"/>
    <w:rsid w:val="00784181"/>
    <w:rsid w:val="007848B3"/>
    <w:rsid w:val="00784BB4"/>
    <w:rsid w:val="00784BEB"/>
    <w:rsid w:val="00785255"/>
    <w:rsid w:val="007853A7"/>
    <w:rsid w:val="007855DE"/>
    <w:rsid w:val="007859A3"/>
    <w:rsid w:val="00786022"/>
    <w:rsid w:val="007864EB"/>
    <w:rsid w:val="00786755"/>
    <w:rsid w:val="007869BA"/>
    <w:rsid w:val="00786C01"/>
    <w:rsid w:val="00786FD8"/>
    <w:rsid w:val="007873D5"/>
    <w:rsid w:val="00787519"/>
    <w:rsid w:val="0078799A"/>
    <w:rsid w:val="007879FD"/>
    <w:rsid w:val="00787EDD"/>
    <w:rsid w:val="007901AC"/>
    <w:rsid w:val="00790208"/>
    <w:rsid w:val="00790346"/>
    <w:rsid w:val="00790348"/>
    <w:rsid w:val="00790562"/>
    <w:rsid w:val="00790B3A"/>
    <w:rsid w:val="00790F63"/>
    <w:rsid w:val="00790FA8"/>
    <w:rsid w:val="007912F0"/>
    <w:rsid w:val="007919CF"/>
    <w:rsid w:val="00791CA6"/>
    <w:rsid w:val="00791CA7"/>
    <w:rsid w:val="00791E79"/>
    <w:rsid w:val="007922D3"/>
    <w:rsid w:val="00792656"/>
    <w:rsid w:val="00792BDA"/>
    <w:rsid w:val="007933BD"/>
    <w:rsid w:val="00793757"/>
    <w:rsid w:val="00793A23"/>
    <w:rsid w:val="00794938"/>
    <w:rsid w:val="007954E5"/>
    <w:rsid w:val="00795937"/>
    <w:rsid w:val="007959A8"/>
    <w:rsid w:val="00795E16"/>
    <w:rsid w:val="00796623"/>
    <w:rsid w:val="007966C7"/>
    <w:rsid w:val="00796B09"/>
    <w:rsid w:val="00796D04"/>
    <w:rsid w:val="0079726E"/>
    <w:rsid w:val="007974D4"/>
    <w:rsid w:val="00797806"/>
    <w:rsid w:val="00797AB2"/>
    <w:rsid w:val="00797AC3"/>
    <w:rsid w:val="00797FCA"/>
    <w:rsid w:val="007A12DC"/>
    <w:rsid w:val="007A17F8"/>
    <w:rsid w:val="007A1AB3"/>
    <w:rsid w:val="007A25CA"/>
    <w:rsid w:val="007A380D"/>
    <w:rsid w:val="007A39E1"/>
    <w:rsid w:val="007A439D"/>
    <w:rsid w:val="007A49B2"/>
    <w:rsid w:val="007A49D5"/>
    <w:rsid w:val="007A4B6F"/>
    <w:rsid w:val="007A4F90"/>
    <w:rsid w:val="007A52E5"/>
    <w:rsid w:val="007A56C4"/>
    <w:rsid w:val="007A56F6"/>
    <w:rsid w:val="007A595D"/>
    <w:rsid w:val="007A5EB0"/>
    <w:rsid w:val="007A6190"/>
    <w:rsid w:val="007A6852"/>
    <w:rsid w:val="007A72C1"/>
    <w:rsid w:val="007A7611"/>
    <w:rsid w:val="007B03DF"/>
    <w:rsid w:val="007B1139"/>
    <w:rsid w:val="007B15AD"/>
    <w:rsid w:val="007B1B30"/>
    <w:rsid w:val="007B2A97"/>
    <w:rsid w:val="007B2DF3"/>
    <w:rsid w:val="007B2EF2"/>
    <w:rsid w:val="007B3145"/>
    <w:rsid w:val="007B3603"/>
    <w:rsid w:val="007B3EFF"/>
    <w:rsid w:val="007B437B"/>
    <w:rsid w:val="007B4CDA"/>
    <w:rsid w:val="007B58A5"/>
    <w:rsid w:val="007B601D"/>
    <w:rsid w:val="007B63DF"/>
    <w:rsid w:val="007B676D"/>
    <w:rsid w:val="007B6DA7"/>
    <w:rsid w:val="007B7212"/>
    <w:rsid w:val="007C0126"/>
    <w:rsid w:val="007C0416"/>
    <w:rsid w:val="007C0A1F"/>
    <w:rsid w:val="007C0C2A"/>
    <w:rsid w:val="007C105E"/>
    <w:rsid w:val="007C1367"/>
    <w:rsid w:val="007C174E"/>
    <w:rsid w:val="007C188B"/>
    <w:rsid w:val="007C1B01"/>
    <w:rsid w:val="007C2016"/>
    <w:rsid w:val="007C2035"/>
    <w:rsid w:val="007C2825"/>
    <w:rsid w:val="007C2990"/>
    <w:rsid w:val="007C3780"/>
    <w:rsid w:val="007C37AC"/>
    <w:rsid w:val="007C3893"/>
    <w:rsid w:val="007C3FE3"/>
    <w:rsid w:val="007C40AA"/>
    <w:rsid w:val="007C453B"/>
    <w:rsid w:val="007C477D"/>
    <w:rsid w:val="007C4D33"/>
    <w:rsid w:val="007C526A"/>
    <w:rsid w:val="007C533C"/>
    <w:rsid w:val="007C5788"/>
    <w:rsid w:val="007C59B8"/>
    <w:rsid w:val="007C5A0A"/>
    <w:rsid w:val="007C6033"/>
    <w:rsid w:val="007C6731"/>
    <w:rsid w:val="007C7294"/>
    <w:rsid w:val="007C7755"/>
    <w:rsid w:val="007C7ED1"/>
    <w:rsid w:val="007D0177"/>
    <w:rsid w:val="007D0496"/>
    <w:rsid w:val="007D05BF"/>
    <w:rsid w:val="007D0681"/>
    <w:rsid w:val="007D0D23"/>
    <w:rsid w:val="007D0F89"/>
    <w:rsid w:val="007D1B2A"/>
    <w:rsid w:val="007D1FB4"/>
    <w:rsid w:val="007D201D"/>
    <w:rsid w:val="007D23A4"/>
    <w:rsid w:val="007D29D5"/>
    <w:rsid w:val="007D4D95"/>
    <w:rsid w:val="007D4FB8"/>
    <w:rsid w:val="007D5657"/>
    <w:rsid w:val="007D59E8"/>
    <w:rsid w:val="007D5BFD"/>
    <w:rsid w:val="007D5C8B"/>
    <w:rsid w:val="007D5FC9"/>
    <w:rsid w:val="007D5FDA"/>
    <w:rsid w:val="007D61EE"/>
    <w:rsid w:val="007D68D6"/>
    <w:rsid w:val="007D6B35"/>
    <w:rsid w:val="007D758A"/>
    <w:rsid w:val="007E0077"/>
    <w:rsid w:val="007E011F"/>
    <w:rsid w:val="007E014D"/>
    <w:rsid w:val="007E07D4"/>
    <w:rsid w:val="007E07ED"/>
    <w:rsid w:val="007E0993"/>
    <w:rsid w:val="007E0B0B"/>
    <w:rsid w:val="007E11E5"/>
    <w:rsid w:val="007E1A14"/>
    <w:rsid w:val="007E2607"/>
    <w:rsid w:val="007E284D"/>
    <w:rsid w:val="007E2879"/>
    <w:rsid w:val="007E2F64"/>
    <w:rsid w:val="007E37DE"/>
    <w:rsid w:val="007E3CE0"/>
    <w:rsid w:val="007E3D2A"/>
    <w:rsid w:val="007E415C"/>
    <w:rsid w:val="007E47CD"/>
    <w:rsid w:val="007E4D3F"/>
    <w:rsid w:val="007E55D6"/>
    <w:rsid w:val="007E5682"/>
    <w:rsid w:val="007E56CA"/>
    <w:rsid w:val="007E5737"/>
    <w:rsid w:val="007E5763"/>
    <w:rsid w:val="007E5783"/>
    <w:rsid w:val="007E5A95"/>
    <w:rsid w:val="007E5E2B"/>
    <w:rsid w:val="007E60CB"/>
    <w:rsid w:val="007E632B"/>
    <w:rsid w:val="007E6730"/>
    <w:rsid w:val="007E6D8B"/>
    <w:rsid w:val="007E718E"/>
    <w:rsid w:val="007E7214"/>
    <w:rsid w:val="007E73BB"/>
    <w:rsid w:val="007E73FB"/>
    <w:rsid w:val="007E76FC"/>
    <w:rsid w:val="007E7834"/>
    <w:rsid w:val="007E7E9C"/>
    <w:rsid w:val="007F00F3"/>
    <w:rsid w:val="007F00FD"/>
    <w:rsid w:val="007F02A7"/>
    <w:rsid w:val="007F077B"/>
    <w:rsid w:val="007F081F"/>
    <w:rsid w:val="007F09BA"/>
    <w:rsid w:val="007F0B34"/>
    <w:rsid w:val="007F0BDB"/>
    <w:rsid w:val="007F0BFF"/>
    <w:rsid w:val="007F1177"/>
    <w:rsid w:val="007F11BE"/>
    <w:rsid w:val="007F1516"/>
    <w:rsid w:val="007F1730"/>
    <w:rsid w:val="007F17BC"/>
    <w:rsid w:val="007F1D15"/>
    <w:rsid w:val="007F297D"/>
    <w:rsid w:val="007F2FD3"/>
    <w:rsid w:val="007F3144"/>
    <w:rsid w:val="007F31C1"/>
    <w:rsid w:val="007F32A3"/>
    <w:rsid w:val="007F37E3"/>
    <w:rsid w:val="007F3CB5"/>
    <w:rsid w:val="007F3EE2"/>
    <w:rsid w:val="007F4317"/>
    <w:rsid w:val="007F4578"/>
    <w:rsid w:val="007F4A4B"/>
    <w:rsid w:val="007F5672"/>
    <w:rsid w:val="007F56A1"/>
    <w:rsid w:val="007F5A2C"/>
    <w:rsid w:val="007F62A4"/>
    <w:rsid w:val="007F65D0"/>
    <w:rsid w:val="007F6A58"/>
    <w:rsid w:val="007F6B26"/>
    <w:rsid w:val="007F6B75"/>
    <w:rsid w:val="007F6EEE"/>
    <w:rsid w:val="007F7062"/>
    <w:rsid w:val="007F74BB"/>
    <w:rsid w:val="007F7AB6"/>
    <w:rsid w:val="008000DE"/>
    <w:rsid w:val="00800225"/>
    <w:rsid w:val="00800261"/>
    <w:rsid w:val="008007E0"/>
    <w:rsid w:val="008008B4"/>
    <w:rsid w:val="00800DBA"/>
    <w:rsid w:val="00801797"/>
    <w:rsid w:val="00801AFE"/>
    <w:rsid w:val="00802C03"/>
    <w:rsid w:val="00802C7E"/>
    <w:rsid w:val="008030DD"/>
    <w:rsid w:val="00803441"/>
    <w:rsid w:val="008034F0"/>
    <w:rsid w:val="0080352B"/>
    <w:rsid w:val="00803570"/>
    <w:rsid w:val="008037E5"/>
    <w:rsid w:val="00804984"/>
    <w:rsid w:val="008049B3"/>
    <w:rsid w:val="00804BAF"/>
    <w:rsid w:val="00804C30"/>
    <w:rsid w:val="00805465"/>
    <w:rsid w:val="00805A88"/>
    <w:rsid w:val="00805CD5"/>
    <w:rsid w:val="00805CE4"/>
    <w:rsid w:val="00806186"/>
    <w:rsid w:val="0080634D"/>
    <w:rsid w:val="00807763"/>
    <w:rsid w:val="00807CAE"/>
    <w:rsid w:val="00807D0E"/>
    <w:rsid w:val="00810112"/>
    <w:rsid w:val="0081143E"/>
    <w:rsid w:val="00812E5D"/>
    <w:rsid w:val="00813C9C"/>
    <w:rsid w:val="00813DA9"/>
    <w:rsid w:val="00813F3F"/>
    <w:rsid w:val="0081497D"/>
    <w:rsid w:val="00814ED4"/>
    <w:rsid w:val="0081515E"/>
    <w:rsid w:val="008151E4"/>
    <w:rsid w:val="00815CEA"/>
    <w:rsid w:val="00816A57"/>
    <w:rsid w:val="0081712F"/>
    <w:rsid w:val="008171D3"/>
    <w:rsid w:val="00817827"/>
    <w:rsid w:val="00817959"/>
    <w:rsid w:val="00817CDE"/>
    <w:rsid w:val="00817DE7"/>
    <w:rsid w:val="00817E2B"/>
    <w:rsid w:val="0082023F"/>
    <w:rsid w:val="00820260"/>
    <w:rsid w:val="008209B2"/>
    <w:rsid w:val="00820B6A"/>
    <w:rsid w:val="00820C69"/>
    <w:rsid w:val="00820CFB"/>
    <w:rsid w:val="00820FA7"/>
    <w:rsid w:val="00821060"/>
    <w:rsid w:val="008219B0"/>
    <w:rsid w:val="00821FA5"/>
    <w:rsid w:val="00822027"/>
    <w:rsid w:val="0082256F"/>
    <w:rsid w:val="008227FE"/>
    <w:rsid w:val="0082300A"/>
    <w:rsid w:val="0082301B"/>
    <w:rsid w:val="0082402D"/>
    <w:rsid w:val="00824190"/>
    <w:rsid w:val="00824753"/>
    <w:rsid w:val="00824D0B"/>
    <w:rsid w:val="00824DD5"/>
    <w:rsid w:val="00824F31"/>
    <w:rsid w:val="00824F60"/>
    <w:rsid w:val="00825089"/>
    <w:rsid w:val="00825816"/>
    <w:rsid w:val="00825951"/>
    <w:rsid w:val="00825A38"/>
    <w:rsid w:val="00825BAB"/>
    <w:rsid w:val="00825F4F"/>
    <w:rsid w:val="00826C3A"/>
    <w:rsid w:val="00826E04"/>
    <w:rsid w:val="0082747A"/>
    <w:rsid w:val="00827D2F"/>
    <w:rsid w:val="00827E5D"/>
    <w:rsid w:val="00827ED2"/>
    <w:rsid w:val="008300D2"/>
    <w:rsid w:val="008306A9"/>
    <w:rsid w:val="00830A84"/>
    <w:rsid w:val="00830ECE"/>
    <w:rsid w:val="008319F1"/>
    <w:rsid w:val="00831E71"/>
    <w:rsid w:val="00831E9F"/>
    <w:rsid w:val="00831F2B"/>
    <w:rsid w:val="008323FD"/>
    <w:rsid w:val="0083241A"/>
    <w:rsid w:val="0083245F"/>
    <w:rsid w:val="00832806"/>
    <w:rsid w:val="00832B49"/>
    <w:rsid w:val="00832C47"/>
    <w:rsid w:val="00832E8C"/>
    <w:rsid w:val="00833098"/>
    <w:rsid w:val="00833363"/>
    <w:rsid w:val="00833903"/>
    <w:rsid w:val="00833A26"/>
    <w:rsid w:val="00833C74"/>
    <w:rsid w:val="00833CAF"/>
    <w:rsid w:val="00833D89"/>
    <w:rsid w:val="00833F78"/>
    <w:rsid w:val="00834028"/>
    <w:rsid w:val="008346D5"/>
    <w:rsid w:val="008352CA"/>
    <w:rsid w:val="008352FC"/>
    <w:rsid w:val="00835CD3"/>
    <w:rsid w:val="00835E12"/>
    <w:rsid w:val="00835EF3"/>
    <w:rsid w:val="00836114"/>
    <w:rsid w:val="0083615F"/>
    <w:rsid w:val="0083695A"/>
    <w:rsid w:val="0083749A"/>
    <w:rsid w:val="00837A34"/>
    <w:rsid w:val="00840073"/>
    <w:rsid w:val="008400BC"/>
    <w:rsid w:val="00840666"/>
    <w:rsid w:val="008408F0"/>
    <w:rsid w:val="00840BE3"/>
    <w:rsid w:val="00840E11"/>
    <w:rsid w:val="00840F76"/>
    <w:rsid w:val="00841220"/>
    <w:rsid w:val="008417E2"/>
    <w:rsid w:val="008427E4"/>
    <w:rsid w:val="00842A95"/>
    <w:rsid w:val="00842C1A"/>
    <w:rsid w:val="0084320D"/>
    <w:rsid w:val="0084328B"/>
    <w:rsid w:val="0084384E"/>
    <w:rsid w:val="0084489D"/>
    <w:rsid w:val="00844A2B"/>
    <w:rsid w:val="008450C6"/>
    <w:rsid w:val="0084519D"/>
    <w:rsid w:val="00845550"/>
    <w:rsid w:val="00845CE3"/>
    <w:rsid w:val="00846021"/>
    <w:rsid w:val="00846572"/>
    <w:rsid w:val="0084673E"/>
    <w:rsid w:val="00846AB2"/>
    <w:rsid w:val="00846BC7"/>
    <w:rsid w:val="00846C63"/>
    <w:rsid w:val="0084714C"/>
    <w:rsid w:val="00847437"/>
    <w:rsid w:val="00847996"/>
    <w:rsid w:val="008503FB"/>
    <w:rsid w:val="00850640"/>
    <w:rsid w:val="00850947"/>
    <w:rsid w:val="00850D1C"/>
    <w:rsid w:val="00850FA9"/>
    <w:rsid w:val="0085114E"/>
    <w:rsid w:val="008512E5"/>
    <w:rsid w:val="0085148A"/>
    <w:rsid w:val="00851982"/>
    <w:rsid w:val="00851998"/>
    <w:rsid w:val="00851BEE"/>
    <w:rsid w:val="00851EA7"/>
    <w:rsid w:val="00851EDA"/>
    <w:rsid w:val="0085214D"/>
    <w:rsid w:val="0085276A"/>
    <w:rsid w:val="00853012"/>
    <w:rsid w:val="00853689"/>
    <w:rsid w:val="0085422E"/>
    <w:rsid w:val="0085606D"/>
    <w:rsid w:val="008563F9"/>
    <w:rsid w:val="008565D6"/>
    <w:rsid w:val="0085695E"/>
    <w:rsid w:val="00856A09"/>
    <w:rsid w:val="00857329"/>
    <w:rsid w:val="00857406"/>
    <w:rsid w:val="00857C75"/>
    <w:rsid w:val="00857DA9"/>
    <w:rsid w:val="00860052"/>
    <w:rsid w:val="008607CA"/>
    <w:rsid w:val="0086082A"/>
    <w:rsid w:val="00860976"/>
    <w:rsid w:val="00860DAA"/>
    <w:rsid w:val="00860EEA"/>
    <w:rsid w:val="00861201"/>
    <w:rsid w:val="008612AB"/>
    <w:rsid w:val="008613F8"/>
    <w:rsid w:val="00861515"/>
    <w:rsid w:val="00861A07"/>
    <w:rsid w:val="00861AF7"/>
    <w:rsid w:val="00861D6F"/>
    <w:rsid w:val="00862253"/>
    <w:rsid w:val="00862267"/>
    <w:rsid w:val="00862370"/>
    <w:rsid w:val="008626A5"/>
    <w:rsid w:val="00862967"/>
    <w:rsid w:val="008629A0"/>
    <w:rsid w:val="00862F1E"/>
    <w:rsid w:val="00863947"/>
    <w:rsid w:val="00863B92"/>
    <w:rsid w:val="00863BB8"/>
    <w:rsid w:val="0086442D"/>
    <w:rsid w:val="00864872"/>
    <w:rsid w:val="0086497F"/>
    <w:rsid w:val="0086513B"/>
    <w:rsid w:val="0086529C"/>
    <w:rsid w:val="00865354"/>
    <w:rsid w:val="00865696"/>
    <w:rsid w:val="008658AF"/>
    <w:rsid w:val="00865A38"/>
    <w:rsid w:val="00866ECC"/>
    <w:rsid w:val="008671DA"/>
    <w:rsid w:val="00867385"/>
    <w:rsid w:val="00867544"/>
    <w:rsid w:val="00867597"/>
    <w:rsid w:val="008677F2"/>
    <w:rsid w:val="00867B62"/>
    <w:rsid w:val="00867BB6"/>
    <w:rsid w:val="00867D2B"/>
    <w:rsid w:val="0087009A"/>
    <w:rsid w:val="008706C9"/>
    <w:rsid w:val="00870AAD"/>
    <w:rsid w:val="00870FB5"/>
    <w:rsid w:val="00871307"/>
    <w:rsid w:val="00871594"/>
    <w:rsid w:val="0087177C"/>
    <w:rsid w:val="0087187C"/>
    <w:rsid w:val="00872CA5"/>
    <w:rsid w:val="00872DB7"/>
    <w:rsid w:val="008737D5"/>
    <w:rsid w:val="0087410C"/>
    <w:rsid w:val="00874179"/>
    <w:rsid w:val="00874181"/>
    <w:rsid w:val="00874192"/>
    <w:rsid w:val="00874508"/>
    <w:rsid w:val="00874D44"/>
    <w:rsid w:val="00874E00"/>
    <w:rsid w:val="00874E7C"/>
    <w:rsid w:val="008759B2"/>
    <w:rsid w:val="00875A92"/>
    <w:rsid w:val="00876540"/>
    <w:rsid w:val="008768D9"/>
    <w:rsid w:val="008772A3"/>
    <w:rsid w:val="00877C29"/>
    <w:rsid w:val="00877DC8"/>
    <w:rsid w:val="00877EE0"/>
    <w:rsid w:val="008803BC"/>
    <w:rsid w:val="00880BDB"/>
    <w:rsid w:val="0088106A"/>
    <w:rsid w:val="008812B5"/>
    <w:rsid w:val="008814DA"/>
    <w:rsid w:val="00881644"/>
    <w:rsid w:val="008816F8"/>
    <w:rsid w:val="00881DBB"/>
    <w:rsid w:val="00881EAC"/>
    <w:rsid w:val="008820E3"/>
    <w:rsid w:val="00882323"/>
    <w:rsid w:val="00882504"/>
    <w:rsid w:val="0088257E"/>
    <w:rsid w:val="00882A08"/>
    <w:rsid w:val="00882D3F"/>
    <w:rsid w:val="00882EB4"/>
    <w:rsid w:val="008831F1"/>
    <w:rsid w:val="008832E2"/>
    <w:rsid w:val="008832E7"/>
    <w:rsid w:val="00883304"/>
    <w:rsid w:val="00883871"/>
    <w:rsid w:val="00884241"/>
    <w:rsid w:val="008842E7"/>
    <w:rsid w:val="008847E1"/>
    <w:rsid w:val="0088498B"/>
    <w:rsid w:val="00885B39"/>
    <w:rsid w:val="00885E2E"/>
    <w:rsid w:val="0088600B"/>
    <w:rsid w:val="008860D6"/>
    <w:rsid w:val="008866CA"/>
    <w:rsid w:val="00886910"/>
    <w:rsid w:val="00887AD8"/>
    <w:rsid w:val="00887EF9"/>
    <w:rsid w:val="00890A01"/>
    <w:rsid w:val="00890D5D"/>
    <w:rsid w:val="00890E95"/>
    <w:rsid w:val="00891140"/>
    <w:rsid w:val="00891292"/>
    <w:rsid w:val="008922AB"/>
    <w:rsid w:val="00892929"/>
    <w:rsid w:val="0089341E"/>
    <w:rsid w:val="00893589"/>
    <w:rsid w:val="00893F4D"/>
    <w:rsid w:val="00894444"/>
    <w:rsid w:val="00894547"/>
    <w:rsid w:val="00894549"/>
    <w:rsid w:val="00894F32"/>
    <w:rsid w:val="008950CF"/>
    <w:rsid w:val="0089526A"/>
    <w:rsid w:val="00895609"/>
    <w:rsid w:val="00895724"/>
    <w:rsid w:val="00895ABD"/>
    <w:rsid w:val="00896619"/>
    <w:rsid w:val="0089682D"/>
    <w:rsid w:val="00896CCD"/>
    <w:rsid w:val="008978DC"/>
    <w:rsid w:val="00897EA2"/>
    <w:rsid w:val="008A02AD"/>
    <w:rsid w:val="008A0B9A"/>
    <w:rsid w:val="008A111A"/>
    <w:rsid w:val="008A1445"/>
    <w:rsid w:val="008A174C"/>
    <w:rsid w:val="008A1AA3"/>
    <w:rsid w:val="008A26D0"/>
    <w:rsid w:val="008A26EC"/>
    <w:rsid w:val="008A2866"/>
    <w:rsid w:val="008A3022"/>
    <w:rsid w:val="008A317D"/>
    <w:rsid w:val="008A3A8D"/>
    <w:rsid w:val="008A3E72"/>
    <w:rsid w:val="008A4A34"/>
    <w:rsid w:val="008A4CE0"/>
    <w:rsid w:val="008A4E6F"/>
    <w:rsid w:val="008A519B"/>
    <w:rsid w:val="008A5458"/>
    <w:rsid w:val="008A5716"/>
    <w:rsid w:val="008A5E7B"/>
    <w:rsid w:val="008A63B7"/>
    <w:rsid w:val="008A6BAE"/>
    <w:rsid w:val="008A70EE"/>
    <w:rsid w:val="008A713B"/>
    <w:rsid w:val="008A737D"/>
    <w:rsid w:val="008A7383"/>
    <w:rsid w:val="008A7CE9"/>
    <w:rsid w:val="008A7ED5"/>
    <w:rsid w:val="008A7F92"/>
    <w:rsid w:val="008AC476"/>
    <w:rsid w:val="008B0464"/>
    <w:rsid w:val="008B0508"/>
    <w:rsid w:val="008B0D9D"/>
    <w:rsid w:val="008B0E9B"/>
    <w:rsid w:val="008B0FAE"/>
    <w:rsid w:val="008B1044"/>
    <w:rsid w:val="008B11A4"/>
    <w:rsid w:val="008B14AA"/>
    <w:rsid w:val="008B1C15"/>
    <w:rsid w:val="008B2179"/>
    <w:rsid w:val="008B26F1"/>
    <w:rsid w:val="008B28CF"/>
    <w:rsid w:val="008B29E2"/>
    <w:rsid w:val="008B2B3E"/>
    <w:rsid w:val="008B2BA9"/>
    <w:rsid w:val="008B2F75"/>
    <w:rsid w:val="008B3221"/>
    <w:rsid w:val="008B33AF"/>
    <w:rsid w:val="008B3807"/>
    <w:rsid w:val="008B3DD2"/>
    <w:rsid w:val="008B3FA7"/>
    <w:rsid w:val="008B43BF"/>
    <w:rsid w:val="008B442A"/>
    <w:rsid w:val="008B4B81"/>
    <w:rsid w:val="008B5173"/>
    <w:rsid w:val="008B5B6C"/>
    <w:rsid w:val="008B5D45"/>
    <w:rsid w:val="008B6B44"/>
    <w:rsid w:val="008B6CE7"/>
    <w:rsid w:val="008B71B1"/>
    <w:rsid w:val="008B74E7"/>
    <w:rsid w:val="008B79D3"/>
    <w:rsid w:val="008C03E1"/>
    <w:rsid w:val="008C06F8"/>
    <w:rsid w:val="008C1364"/>
    <w:rsid w:val="008C1740"/>
    <w:rsid w:val="008C1883"/>
    <w:rsid w:val="008C19E2"/>
    <w:rsid w:val="008C1A09"/>
    <w:rsid w:val="008C1AC2"/>
    <w:rsid w:val="008C1B5B"/>
    <w:rsid w:val="008C2016"/>
    <w:rsid w:val="008C255F"/>
    <w:rsid w:val="008C2585"/>
    <w:rsid w:val="008C2733"/>
    <w:rsid w:val="008C2B99"/>
    <w:rsid w:val="008C3839"/>
    <w:rsid w:val="008C3D1E"/>
    <w:rsid w:val="008C3DDB"/>
    <w:rsid w:val="008C4461"/>
    <w:rsid w:val="008C4782"/>
    <w:rsid w:val="008C47B5"/>
    <w:rsid w:val="008C4AB0"/>
    <w:rsid w:val="008C53D4"/>
    <w:rsid w:val="008C5D55"/>
    <w:rsid w:val="008C5D56"/>
    <w:rsid w:val="008C5FA9"/>
    <w:rsid w:val="008C60EA"/>
    <w:rsid w:val="008C61B8"/>
    <w:rsid w:val="008C65A5"/>
    <w:rsid w:val="008C6A92"/>
    <w:rsid w:val="008C6ED3"/>
    <w:rsid w:val="008C77E8"/>
    <w:rsid w:val="008C7FA5"/>
    <w:rsid w:val="008D056A"/>
    <w:rsid w:val="008D06BA"/>
    <w:rsid w:val="008D113A"/>
    <w:rsid w:val="008D11C4"/>
    <w:rsid w:val="008D125F"/>
    <w:rsid w:val="008D1C69"/>
    <w:rsid w:val="008D2499"/>
    <w:rsid w:val="008D35B3"/>
    <w:rsid w:val="008D3649"/>
    <w:rsid w:val="008D382B"/>
    <w:rsid w:val="008D39C3"/>
    <w:rsid w:val="008D4105"/>
    <w:rsid w:val="008D4140"/>
    <w:rsid w:val="008D436B"/>
    <w:rsid w:val="008D4765"/>
    <w:rsid w:val="008D52DA"/>
    <w:rsid w:val="008D53E3"/>
    <w:rsid w:val="008D562F"/>
    <w:rsid w:val="008D589C"/>
    <w:rsid w:val="008D5BAF"/>
    <w:rsid w:val="008D5DBC"/>
    <w:rsid w:val="008D5F29"/>
    <w:rsid w:val="008D618E"/>
    <w:rsid w:val="008D64B7"/>
    <w:rsid w:val="008D7525"/>
    <w:rsid w:val="008D7C77"/>
    <w:rsid w:val="008E00E4"/>
    <w:rsid w:val="008E0579"/>
    <w:rsid w:val="008E057A"/>
    <w:rsid w:val="008E0660"/>
    <w:rsid w:val="008E06A3"/>
    <w:rsid w:val="008E0E9F"/>
    <w:rsid w:val="008E1172"/>
    <w:rsid w:val="008E136B"/>
    <w:rsid w:val="008E2588"/>
    <w:rsid w:val="008E32F9"/>
    <w:rsid w:val="008E3959"/>
    <w:rsid w:val="008E4036"/>
    <w:rsid w:val="008E423F"/>
    <w:rsid w:val="008E4595"/>
    <w:rsid w:val="008E4732"/>
    <w:rsid w:val="008E50A4"/>
    <w:rsid w:val="008E5436"/>
    <w:rsid w:val="008E59A3"/>
    <w:rsid w:val="008E5A28"/>
    <w:rsid w:val="008E5B49"/>
    <w:rsid w:val="008E5C0B"/>
    <w:rsid w:val="008E5CCE"/>
    <w:rsid w:val="008E5DD7"/>
    <w:rsid w:val="008E6044"/>
    <w:rsid w:val="008E60C8"/>
    <w:rsid w:val="008E623B"/>
    <w:rsid w:val="008E6861"/>
    <w:rsid w:val="008E691D"/>
    <w:rsid w:val="008E7015"/>
    <w:rsid w:val="008E7454"/>
    <w:rsid w:val="008E74D6"/>
    <w:rsid w:val="008E7A0E"/>
    <w:rsid w:val="008E7A73"/>
    <w:rsid w:val="008E7AB3"/>
    <w:rsid w:val="008E7E38"/>
    <w:rsid w:val="008F01EB"/>
    <w:rsid w:val="008F06AB"/>
    <w:rsid w:val="008F0BC8"/>
    <w:rsid w:val="008F1018"/>
    <w:rsid w:val="008F15BE"/>
    <w:rsid w:val="008F1B2C"/>
    <w:rsid w:val="008F1D41"/>
    <w:rsid w:val="008F1EE5"/>
    <w:rsid w:val="008F23E6"/>
    <w:rsid w:val="008F2833"/>
    <w:rsid w:val="008F293F"/>
    <w:rsid w:val="008F2974"/>
    <w:rsid w:val="008F29E5"/>
    <w:rsid w:val="008F34EF"/>
    <w:rsid w:val="008F36E3"/>
    <w:rsid w:val="008F386A"/>
    <w:rsid w:val="008F3D32"/>
    <w:rsid w:val="008F3D6C"/>
    <w:rsid w:val="008F4017"/>
    <w:rsid w:val="008F4029"/>
    <w:rsid w:val="008F415F"/>
    <w:rsid w:val="008F49F3"/>
    <w:rsid w:val="008F4EA5"/>
    <w:rsid w:val="008F4EDC"/>
    <w:rsid w:val="008F4F5C"/>
    <w:rsid w:val="008F5068"/>
    <w:rsid w:val="008F5E69"/>
    <w:rsid w:val="008F6227"/>
    <w:rsid w:val="008F6593"/>
    <w:rsid w:val="008F6B72"/>
    <w:rsid w:val="008F6E07"/>
    <w:rsid w:val="008F6E88"/>
    <w:rsid w:val="008F6F91"/>
    <w:rsid w:val="008F72E9"/>
    <w:rsid w:val="008F7391"/>
    <w:rsid w:val="008F7424"/>
    <w:rsid w:val="008F75BA"/>
    <w:rsid w:val="008F7CBA"/>
    <w:rsid w:val="009003FD"/>
    <w:rsid w:val="00900959"/>
    <w:rsid w:val="00900CFE"/>
    <w:rsid w:val="0090153B"/>
    <w:rsid w:val="0090162B"/>
    <w:rsid w:val="00902067"/>
    <w:rsid w:val="009020CF"/>
    <w:rsid w:val="00902485"/>
    <w:rsid w:val="009024C4"/>
    <w:rsid w:val="009024FB"/>
    <w:rsid w:val="0090251B"/>
    <w:rsid w:val="009025B8"/>
    <w:rsid w:val="0090262F"/>
    <w:rsid w:val="00902662"/>
    <w:rsid w:val="00902681"/>
    <w:rsid w:val="00902F63"/>
    <w:rsid w:val="009030A4"/>
    <w:rsid w:val="0090315F"/>
    <w:rsid w:val="0090338E"/>
    <w:rsid w:val="0090349A"/>
    <w:rsid w:val="0090354A"/>
    <w:rsid w:val="00903566"/>
    <w:rsid w:val="009036E8"/>
    <w:rsid w:val="009036F5"/>
    <w:rsid w:val="0090370F"/>
    <w:rsid w:val="00903A4A"/>
    <w:rsid w:val="00904AAB"/>
    <w:rsid w:val="00904BAB"/>
    <w:rsid w:val="00904CCF"/>
    <w:rsid w:val="009057D1"/>
    <w:rsid w:val="00905CAB"/>
    <w:rsid w:val="00905E87"/>
    <w:rsid w:val="00906163"/>
    <w:rsid w:val="00906600"/>
    <w:rsid w:val="00906AFE"/>
    <w:rsid w:val="00906B44"/>
    <w:rsid w:val="00906D54"/>
    <w:rsid w:val="00906E59"/>
    <w:rsid w:val="00906EB4"/>
    <w:rsid w:val="00906EF7"/>
    <w:rsid w:val="00906F82"/>
    <w:rsid w:val="00907112"/>
    <w:rsid w:val="009071F4"/>
    <w:rsid w:val="00907395"/>
    <w:rsid w:val="0090766E"/>
    <w:rsid w:val="00907799"/>
    <w:rsid w:val="00907971"/>
    <w:rsid w:val="00907BB1"/>
    <w:rsid w:val="0091036B"/>
    <w:rsid w:val="00910B84"/>
    <w:rsid w:val="00910E12"/>
    <w:rsid w:val="00910E78"/>
    <w:rsid w:val="00911319"/>
    <w:rsid w:val="00911381"/>
    <w:rsid w:val="00911E9B"/>
    <w:rsid w:val="009127BF"/>
    <w:rsid w:val="009128B3"/>
    <w:rsid w:val="00912CEA"/>
    <w:rsid w:val="009133C7"/>
    <w:rsid w:val="00913EBE"/>
    <w:rsid w:val="0091460C"/>
    <w:rsid w:val="00914B51"/>
    <w:rsid w:val="009152FC"/>
    <w:rsid w:val="00915AD3"/>
    <w:rsid w:val="00915B7D"/>
    <w:rsid w:val="00915C1C"/>
    <w:rsid w:val="00915CE2"/>
    <w:rsid w:val="00915E06"/>
    <w:rsid w:val="00916092"/>
    <w:rsid w:val="009161A5"/>
    <w:rsid w:val="0091627F"/>
    <w:rsid w:val="0091628A"/>
    <w:rsid w:val="0091656E"/>
    <w:rsid w:val="00916BD5"/>
    <w:rsid w:val="0091717B"/>
    <w:rsid w:val="00917320"/>
    <w:rsid w:val="00917FDA"/>
    <w:rsid w:val="0092010A"/>
    <w:rsid w:val="009205C4"/>
    <w:rsid w:val="00920769"/>
    <w:rsid w:val="00920BF0"/>
    <w:rsid w:val="00920C8A"/>
    <w:rsid w:val="00920E1B"/>
    <w:rsid w:val="00921418"/>
    <w:rsid w:val="009214D2"/>
    <w:rsid w:val="009217B9"/>
    <w:rsid w:val="00921FB3"/>
    <w:rsid w:val="009220A8"/>
    <w:rsid w:val="00922B6B"/>
    <w:rsid w:val="009231FA"/>
    <w:rsid w:val="00923377"/>
    <w:rsid w:val="00923383"/>
    <w:rsid w:val="00923BF8"/>
    <w:rsid w:val="00923CF6"/>
    <w:rsid w:val="0092400F"/>
    <w:rsid w:val="00924332"/>
    <w:rsid w:val="00924AD6"/>
    <w:rsid w:val="00924DFD"/>
    <w:rsid w:val="0092515F"/>
    <w:rsid w:val="00925617"/>
    <w:rsid w:val="009258FE"/>
    <w:rsid w:val="009263D0"/>
    <w:rsid w:val="00926920"/>
    <w:rsid w:val="009269BD"/>
    <w:rsid w:val="00926ACF"/>
    <w:rsid w:val="00926F87"/>
    <w:rsid w:val="009273B9"/>
    <w:rsid w:val="009308D2"/>
    <w:rsid w:val="00930969"/>
    <w:rsid w:val="00930B30"/>
    <w:rsid w:val="00930D32"/>
    <w:rsid w:val="00930ECE"/>
    <w:rsid w:val="009317BD"/>
    <w:rsid w:val="00931F3F"/>
    <w:rsid w:val="00931FD0"/>
    <w:rsid w:val="0093233A"/>
    <w:rsid w:val="00932A89"/>
    <w:rsid w:val="00933208"/>
    <w:rsid w:val="00933713"/>
    <w:rsid w:val="0093385F"/>
    <w:rsid w:val="00933D90"/>
    <w:rsid w:val="00934102"/>
    <w:rsid w:val="009344C5"/>
    <w:rsid w:val="00934737"/>
    <w:rsid w:val="00935155"/>
    <w:rsid w:val="00935223"/>
    <w:rsid w:val="0093549C"/>
    <w:rsid w:val="00935508"/>
    <w:rsid w:val="00935DD5"/>
    <w:rsid w:val="00935E6D"/>
    <w:rsid w:val="00935EF5"/>
    <w:rsid w:val="00936249"/>
    <w:rsid w:val="0093634B"/>
    <w:rsid w:val="00936A87"/>
    <w:rsid w:val="009371C3"/>
    <w:rsid w:val="00937629"/>
    <w:rsid w:val="0093768C"/>
    <w:rsid w:val="00937B3D"/>
    <w:rsid w:val="009406F4"/>
    <w:rsid w:val="009407F5"/>
    <w:rsid w:val="00940AFB"/>
    <w:rsid w:val="00940CB5"/>
    <w:rsid w:val="0094121E"/>
    <w:rsid w:val="00941370"/>
    <w:rsid w:val="00941480"/>
    <w:rsid w:val="009414C1"/>
    <w:rsid w:val="009414EE"/>
    <w:rsid w:val="00941776"/>
    <w:rsid w:val="009425AB"/>
    <w:rsid w:val="0094278E"/>
    <w:rsid w:val="0094280C"/>
    <w:rsid w:val="00942A79"/>
    <w:rsid w:val="00942C97"/>
    <w:rsid w:val="00942DC8"/>
    <w:rsid w:val="009430CA"/>
    <w:rsid w:val="00943504"/>
    <w:rsid w:val="009435D1"/>
    <w:rsid w:val="0094381E"/>
    <w:rsid w:val="0094415E"/>
    <w:rsid w:val="00944B73"/>
    <w:rsid w:val="00944C0E"/>
    <w:rsid w:val="00944CB6"/>
    <w:rsid w:val="00944D34"/>
    <w:rsid w:val="009450F8"/>
    <w:rsid w:val="009451ED"/>
    <w:rsid w:val="0094583F"/>
    <w:rsid w:val="00945887"/>
    <w:rsid w:val="009458FD"/>
    <w:rsid w:val="009464B1"/>
    <w:rsid w:val="009467B0"/>
    <w:rsid w:val="009467CA"/>
    <w:rsid w:val="009467D5"/>
    <w:rsid w:val="00946E55"/>
    <w:rsid w:val="00947260"/>
    <w:rsid w:val="00947833"/>
    <w:rsid w:val="00947C89"/>
    <w:rsid w:val="00950230"/>
    <w:rsid w:val="0095029B"/>
    <w:rsid w:val="00950445"/>
    <w:rsid w:val="009508CF"/>
    <w:rsid w:val="00950E7B"/>
    <w:rsid w:val="00950F1F"/>
    <w:rsid w:val="0095137C"/>
    <w:rsid w:val="00951A0A"/>
    <w:rsid w:val="00951A8F"/>
    <w:rsid w:val="00951D04"/>
    <w:rsid w:val="00952875"/>
    <w:rsid w:val="009533C5"/>
    <w:rsid w:val="00953674"/>
    <w:rsid w:val="00953690"/>
    <w:rsid w:val="00953A55"/>
    <w:rsid w:val="00953F16"/>
    <w:rsid w:val="00953F9C"/>
    <w:rsid w:val="0095404A"/>
    <w:rsid w:val="00954E52"/>
    <w:rsid w:val="00954F6B"/>
    <w:rsid w:val="009554C5"/>
    <w:rsid w:val="00955B95"/>
    <w:rsid w:val="00955BAD"/>
    <w:rsid w:val="00955DAD"/>
    <w:rsid w:val="00955E23"/>
    <w:rsid w:val="00955F9A"/>
    <w:rsid w:val="009561D1"/>
    <w:rsid w:val="00956646"/>
    <w:rsid w:val="00956F51"/>
    <w:rsid w:val="009573B7"/>
    <w:rsid w:val="009574F6"/>
    <w:rsid w:val="00957677"/>
    <w:rsid w:val="009576BD"/>
    <w:rsid w:val="009579FB"/>
    <w:rsid w:val="00957A38"/>
    <w:rsid w:val="00957CB1"/>
    <w:rsid w:val="00957F7E"/>
    <w:rsid w:val="00957FA1"/>
    <w:rsid w:val="0095F54D"/>
    <w:rsid w:val="00960048"/>
    <w:rsid w:val="00960E78"/>
    <w:rsid w:val="0096184C"/>
    <w:rsid w:val="00962416"/>
    <w:rsid w:val="0096260B"/>
    <w:rsid w:val="00962693"/>
    <w:rsid w:val="009627B6"/>
    <w:rsid w:val="009629D2"/>
    <w:rsid w:val="00962CEF"/>
    <w:rsid w:val="00963765"/>
    <w:rsid w:val="00963770"/>
    <w:rsid w:val="009638EA"/>
    <w:rsid w:val="00963F0D"/>
    <w:rsid w:val="00964076"/>
    <w:rsid w:val="009640A1"/>
    <w:rsid w:val="009647BA"/>
    <w:rsid w:val="009656E4"/>
    <w:rsid w:val="00965723"/>
    <w:rsid w:val="00965893"/>
    <w:rsid w:val="009659AF"/>
    <w:rsid w:val="00965A36"/>
    <w:rsid w:val="00965D3C"/>
    <w:rsid w:val="009661A8"/>
    <w:rsid w:val="00966361"/>
    <w:rsid w:val="00966516"/>
    <w:rsid w:val="00966A9B"/>
    <w:rsid w:val="00966C07"/>
    <w:rsid w:val="00966D2E"/>
    <w:rsid w:val="00966FD6"/>
    <w:rsid w:val="009671F3"/>
    <w:rsid w:val="00967449"/>
    <w:rsid w:val="009678E9"/>
    <w:rsid w:val="00967957"/>
    <w:rsid w:val="00967D44"/>
    <w:rsid w:val="00967F19"/>
    <w:rsid w:val="00970B84"/>
    <w:rsid w:val="00970FE3"/>
    <w:rsid w:val="00971079"/>
    <w:rsid w:val="00971111"/>
    <w:rsid w:val="009711EA"/>
    <w:rsid w:val="009714A0"/>
    <w:rsid w:val="0097175B"/>
    <w:rsid w:val="00971926"/>
    <w:rsid w:val="00972A0D"/>
    <w:rsid w:val="00973031"/>
    <w:rsid w:val="00973D53"/>
    <w:rsid w:val="009744B1"/>
    <w:rsid w:val="00974670"/>
    <w:rsid w:val="0097495E"/>
    <w:rsid w:val="0097501F"/>
    <w:rsid w:val="009751BA"/>
    <w:rsid w:val="0097539A"/>
    <w:rsid w:val="009760B5"/>
    <w:rsid w:val="00976202"/>
    <w:rsid w:val="0097622A"/>
    <w:rsid w:val="009765EB"/>
    <w:rsid w:val="00976BB8"/>
    <w:rsid w:val="00976BC7"/>
    <w:rsid w:val="0097707B"/>
    <w:rsid w:val="00977769"/>
    <w:rsid w:val="00977791"/>
    <w:rsid w:val="00977C9A"/>
    <w:rsid w:val="00980000"/>
    <w:rsid w:val="009802C2"/>
    <w:rsid w:val="00980CBD"/>
    <w:rsid w:val="00980FF2"/>
    <w:rsid w:val="0098113D"/>
    <w:rsid w:val="009815FF"/>
    <w:rsid w:val="00981972"/>
    <w:rsid w:val="00981A4F"/>
    <w:rsid w:val="00981B80"/>
    <w:rsid w:val="0098256A"/>
    <w:rsid w:val="00982676"/>
    <w:rsid w:val="00982689"/>
    <w:rsid w:val="00983057"/>
    <w:rsid w:val="009831E8"/>
    <w:rsid w:val="00983E0A"/>
    <w:rsid w:val="00983F7A"/>
    <w:rsid w:val="00984BDE"/>
    <w:rsid w:val="00984C53"/>
    <w:rsid w:val="00985937"/>
    <w:rsid w:val="0098599D"/>
    <w:rsid w:val="00985B6F"/>
    <w:rsid w:val="00985C65"/>
    <w:rsid w:val="00985E48"/>
    <w:rsid w:val="00985E7E"/>
    <w:rsid w:val="00985F28"/>
    <w:rsid w:val="00985F67"/>
    <w:rsid w:val="009863AE"/>
    <w:rsid w:val="00986728"/>
    <w:rsid w:val="00986B80"/>
    <w:rsid w:val="00986CF0"/>
    <w:rsid w:val="009870F2"/>
    <w:rsid w:val="00987477"/>
    <w:rsid w:val="00987CA2"/>
    <w:rsid w:val="00987EBD"/>
    <w:rsid w:val="00987F2E"/>
    <w:rsid w:val="00990287"/>
    <w:rsid w:val="0099042A"/>
    <w:rsid w:val="00990893"/>
    <w:rsid w:val="00990AF5"/>
    <w:rsid w:val="00990F6B"/>
    <w:rsid w:val="009910FC"/>
    <w:rsid w:val="00991190"/>
    <w:rsid w:val="00992194"/>
    <w:rsid w:val="009923D5"/>
    <w:rsid w:val="00992624"/>
    <w:rsid w:val="00992951"/>
    <w:rsid w:val="00992E3E"/>
    <w:rsid w:val="00993611"/>
    <w:rsid w:val="00993FEB"/>
    <w:rsid w:val="00994068"/>
    <w:rsid w:val="00994548"/>
    <w:rsid w:val="00994593"/>
    <w:rsid w:val="00994716"/>
    <w:rsid w:val="00994815"/>
    <w:rsid w:val="00994B7D"/>
    <w:rsid w:val="009953E6"/>
    <w:rsid w:val="00995B9A"/>
    <w:rsid w:val="00996AE5"/>
    <w:rsid w:val="00996F64"/>
    <w:rsid w:val="00996FBC"/>
    <w:rsid w:val="00997570"/>
    <w:rsid w:val="0099787B"/>
    <w:rsid w:val="00997BD1"/>
    <w:rsid w:val="00997C4C"/>
    <w:rsid w:val="009A01B2"/>
    <w:rsid w:val="009A039A"/>
    <w:rsid w:val="009A04BC"/>
    <w:rsid w:val="009A09EC"/>
    <w:rsid w:val="009A1107"/>
    <w:rsid w:val="009A1284"/>
    <w:rsid w:val="009A15E8"/>
    <w:rsid w:val="009A19E6"/>
    <w:rsid w:val="009A22A3"/>
    <w:rsid w:val="009A23BA"/>
    <w:rsid w:val="009A276B"/>
    <w:rsid w:val="009A27CA"/>
    <w:rsid w:val="009A3628"/>
    <w:rsid w:val="009A395D"/>
    <w:rsid w:val="009A408D"/>
    <w:rsid w:val="009A43A3"/>
    <w:rsid w:val="009A4CA1"/>
    <w:rsid w:val="009A4DF3"/>
    <w:rsid w:val="009A52EA"/>
    <w:rsid w:val="009A57A5"/>
    <w:rsid w:val="009A5CC3"/>
    <w:rsid w:val="009A5DC1"/>
    <w:rsid w:val="009A5F57"/>
    <w:rsid w:val="009A636E"/>
    <w:rsid w:val="009A6470"/>
    <w:rsid w:val="009A647C"/>
    <w:rsid w:val="009A6A12"/>
    <w:rsid w:val="009A76B3"/>
    <w:rsid w:val="009A7B07"/>
    <w:rsid w:val="009B044B"/>
    <w:rsid w:val="009B0490"/>
    <w:rsid w:val="009B05D5"/>
    <w:rsid w:val="009B0A6B"/>
    <w:rsid w:val="009B122D"/>
    <w:rsid w:val="009B16D3"/>
    <w:rsid w:val="009B18C4"/>
    <w:rsid w:val="009B1D32"/>
    <w:rsid w:val="009B220C"/>
    <w:rsid w:val="009B2315"/>
    <w:rsid w:val="009B258B"/>
    <w:rsid w:val="009B2953"/>
    <w:rsid w:val="009B2BB2"/>
    <w:rsid w:val="009B34A2"/>
    <w:rsid w:val="009B3599"/>
    <w:rsid w:val="009B3B23"/>
    <w:rsid w:val="009B41B4"/>
    <w:rsid w:val="009B4727"/>
    <w:rsid w:val="009B4E7C"/>
    <w:rsid w:val="009B53F1"/>
    <w:rsid w:val="009B5949"/>
    <w:rsid w:val="009B5EAC"/>
    <w:rsid w:val="009B65F1"/>
    <w:rsid w:val="009B6AEB"/>
    <w:rsid w:val="009B6C2D"/>
    <w:rsid w:val="009B6D20"/>
    <w:rsid w:val="009B754F"/>
    <w:rsid w:val="009B7D82"/>
    <w:rsid w:val="009C0391"/>
    <w:rsid w:val="009C0675"/>
    <w:rsid w:val="009C0D16"/>
    <w:rsid w:val="009C1742"/>
    <w:rsid w:val="009C1DF6"/>
    <w:rsid w:val="009C242B"/>
    <w:rsid w:val="009C268D"/>
    <w:rsid w:val="009C27F8"/>
    <w:rsid w:val="009C2C1A"/>
    <w:rsid w:val="009C2E80"/>
    <w:rsid w:val="009C2F6F"/>
    <w:rsid w:val="009C3445"/>
    <w:rsid w:val="009C35A1"/>
    <w:rsid w:val="009C387B"/>
    <w:rsid w:val="009C3AF4"/>
    <w:rsid w:val="009C3B57"/>
    <w:rsid w:val="009C4C39"/>
    <w:rsid w:val="009C5430"/>
    <w:rsid w:val="009C55D0"/>
    <w:rsid w:val="009C5800"/>
    <w:rsid w:val="009C5DF2"/>
    <w:rsid w:val="009C5FD9"/>
    <w:rsid w:val="009C62BB"/>
    <w:rsid w:val="009C6CD3"/>
    <w:rsid w:val="009C6F85"/>
    <w:rsid w:val="009C6FB0"/>
    <w:rsid w:val="009C70B5"/>
    <w:rsid w:val="009C7F41"/>
    <w:rsid w:val="009D0100"/>
    <w:rsid w:val="009D0230"/>
    <w:rsid w:val="009D0B7D"/>
    <w:rsid w:val="009D0C1C"/>
    <w:rsid w:val="009D17EA"/>
    <w:rsid w:val="009D1ACA"/>
    <w:rsid w:val="009D1C80"/>
    <w:rsid w:val="009D23B3"/>
    <w:rsid w:val="009D2441"/>
    <w:rsid w:val="009D267F"/>
    <w:rsid w:val="009D26A5"/>
    <w:rsid w:val="009D3D4C"/>
    <w:rsid w:val="009D3E13"/>
    <w:rsid w:val="009D4016"/>
    <w:rsid w:val="009D4A2E"/>
    <w:rsid w:val="009D4C16"/>
    <w:rsid w:val="009D58FE"/>
    <w:rsid w:val="009D5A85"/>
    <w:rsid w:val="009D5E59"/>
    <w:rsid w:val="009D5F97"/>
    <w:rsid w:val="009D5FFF"/>
    <w:rsid w:val="009D6C35"/>
    <w:rsid w:val="009D6D6E"/>
    <w:rsid w:val="009D70DA"/>
    <w:rsid w:val="009D7500"/>
    <w:rsid w:val="009D7BC0"/>
    <w:rsid w:val="009D7DEE"/>
    <w:rsid w:val="009E083D"/>
    <w:rsid w:val="009E0C84"/>
    <w:rsid w:val="009E1167"/>
    <w:rsid w:val="009E1880"/>
    <w:rsid w:val="009E19C7"/>
    <w:rsid w:val="009E19F2"/>
    <w:rsid w:val="009E1B82"/>
    <w:rsid w:val="009E1F52"/>
    <w:rsid w:val="009E2068"/>
    <w:rsid w:val="009E2A7A"/>
    <w:rsid w:val="009E2C85"/>
    <w:rsid w:val="009E3F20"/>
    <w:rsid w:val="009E4258"/>
    <w:rsid w:val="009E48AA"/>
    <w:rsid w:val="009E4B4C"/>
    <w:rsid w:val="009E4CAD"/>
    <w:rsid w:val="009E4D55"/>
    <w:rsid w:val="009E54C6"/>
    <w:rsid w:val="009E5FFD"/>
    <w:rsid w:val="009E695B"/>
    <w:rsid w:val="009E722A"/>
    <w:rsid w:val="009E74AC"/>
    <w:rsid w:val="009E74F1"/>
    <w:rsid w:val="009E7F77"/>
    <w:rsid w:val="009F02BA"/>
    <w:rsid w:val="009F0364"/>
    <w:rsid w:val="009F0493"/>
    <w:rsid w:val="009F072F"/>
    <w:rsid w:val="009F09AE"/>
    <w:rsid w:val="009F0C36"/>
    <w:rsid w:val="009F0E1B"/>
    <w:rsid w:val="009F14C3"/>
    <w:rsid w:val="009F15FC"/>
    <w:rsid w:val="009F16B6"/>
    <w:rsid w:val="009F1C6F"/>
    <w:rsid w:val="009F29FA"/>
    <w:rsid w:val="009F3BDC"/>
    <w:rsid w:val="009F421F"/>
    <w:rsid w:val="009F4258"/>
    <w:rsid w:val="009F42F2"/>
    <w:rsid w:val="009F4510"/>
    <w:rsid w:val="009F47B7"/>
    <w:rsid w:val="009F4AB9"/>
    <w:rsid w:val="009F4CCF"/>
    <w:rsid w:val="009F54C9"/>
    <w:rsid w:val="009F5549"/>
    <w:rsid w:val="009F5CDE"/>
    <w:rsid w:val="009F5D92"/>
    <w:rsid w:val="009F63A1"/>
    <w:rsid w:val="009F64D9"/>
    <w:rsid w:val="009F70C5"/>
    <w:rsid w:val="009F77D2"/>
    <w:rsid w:val="009F7E7D"/>
    <w:rsid w:val="00A00073"/>
    <w:rsid w:val="00A008C3"/>
    <w:rsid w:val="00A01194"/>
    <w:rsid w:val="00A0164C"/>
    <w:rsid w:val="00A02250"/>
    <w:rsid w:val="00A0236B"/>
    <w:rsid w:val="00A02374"/>
    <w:rsid w:val="00A0247C"/>
    <w:rsid w:val="00A02779"/>
    <w:rsid w:val="00A028BC"/>
    <w:rsid w:val="00A029A8"/>
    <w:rsid w:val="00A02ACD"/>
    <w:rsid w:val="00A02C1D"/>
    <w:rsid w:val="00A02C51"/>
    <w:rsid w:val="00A02E14"/>
    <w:rsid w:val="00A0345C"/>
    <w:rsid w:val="00A03484"/>
    <w:rsid w:val="00A034CB"/>
    <w:rsid w:val="00A0387E"/>
    <w:rsid w:val="00A0390B"/>
    <w:rsid w:val="00A0396C"/>
    <w:rsid w:val="00A039BB"/>
    <w:rsid w:val="00A039DC"/>
    <w:rsid w:val="00A03E45"/>
    <w:rsid w:val="00A04203"/>
    <w:rsid w:val="00A045C2"/>
    <w:rsid w:val="00A04ABD"/>
    <w:rsid w:val="00A04C56"/>
    <w:rsid w:val="00A05039"/>
    <w:rsid w:val="00A050A6"/>
    <w:rsid w:val="00A0522B"/>
    <w:rsid w:val="00A056BE"/>
    <w:rsid w:val="00A05A43"/>
    <w:rsid w:val="00A063A5"/>
    <w:rsid w:val="00A06965"/>
    <w:rsid w:val="00A069D7"/>
    <w:rsid w:val="00A07898"/>
    <w:rsid w:val="00A07C73"/>
    <w:rsid w:val="00A07CE9"/>
    <w:rsid w:val="00A07DC0"/>
    <w:rsid w:val="00A07F5F"/>
    <w:rsid w:val="00A10159"/>
    <w:rsid w:val="00A10533"/>
    <w:rsid w:val="00A1082C"/>
    <w:rsid w:val="00A10C2B"/>
    <w:rsid w:val="00A124ED"/>
    <w:rsid w:val="00A12AD7"/>
    <w:rsid w:val="00A132CE"/>
    <w:rsid w:val="00A13C44"/>
    <w:rsid w:val="00A14237"/>
    <w:rsid w:val="00A14705"/>
    <w:rsid w:val="00A14BAF"/>
    <w:rsid w:val="00A1535E"/>
    <w:rsid w:val="00A15448"/>
    <w:rsid w:val="00A15641"/>
    <w:rsid w:val="00A15BC0"/>
    <w:rsid w:val="00A15C42"/>
    <w:rsid w:val="00A15C87"/>
    <w:rsid w:val="00A16222"/>
    <w:rsid w:val="00A16251"/>
    <w:rsid w:val="00A16870"/>
    <w:rsid w:val="00A16E44"/>
    <w:rsid w:val="00A17E6D"/>
    <w:rsid w:val="00A17F83"/>
    <w:rsid w:val="00A201CA"/>
    <w:rsid w:val="00A2024C"/>
    <w:rsid w:val="00A2061C"/>
    <w:rsid w:val="00A20A7C"/>
    <w:rsid w:val="00A20AB6"/>
    <w:rsid w:val="00A20B9F"/>
    <w:rsid w:val="00A20F26"/>
    <w:rsid w:val="00A220FB"/>
    <w:rsid w:val="00A2225A"/>
    <w:rsid w:val="00A2297B"/>
    <w:rsid w:val="00A2328D"/>
    <w:rsid w:val="00A2330A"/>
    <w:rsid w:val="00A237B6"/>
    <w:rsid w:val="00A2385F"/>
    <w:rsid w:val="00A238AE"/>
    <w:rsid w:val="00A23A15"/>
    <w:rsid w:val="00A24136"/>
    <w:rsid w:val="00A24A3F"/>
    <w:rsid w:val="00A25271"/>
    <w:rsid w:val="00A25507"/>
    <w:rsid w:val="00A258F6"/>
    <w:rsid w:val="00A2641A"/>
    <w:rsid w:val="00A264AF"/>
    <w:rsid w:val="00A265B0"/>
    <w:rsid w:val="00A270F9"/>
    <w:rsid w:val="00A274A8"/>
    <w:rsid w:val="00A27F87"/>
    <w:rsid w:val="00A301D0"/>
    <w:rsid w:val="00A30303"/>
    <w:rsid w:val="00A307DE"/>
    <w:rsid w:val="00A30A1A"/>
    <w:rsid w:val="00A30BAD"/>
    <w:rsid w:val="00A30D34"/>
    <w:rsid w:val="00A30FE2"/>
    <w:rsid w:val="00A31C8D"/>
    <w:rsid w:val="00A31ECB"/>
    <w:rsid w:val="00A32254"/>
    <w:rsid w:val="00A3268B"/>
    <w:rsid w:val="00A32B09"/>
    <w:rsid w:val="00A334CC"/>
    <w:rsid w:val="00A33567"/>
    <w:rsid w:val="00A335FD"/>
    <w:rsid w:val="00A33788"/>
    <w:rsid w:val="00A337A3"/>
    <w:rsid w:val="00A337B3"/>
    <w:rsid w:val="00A33D02"/>
    <w:rsid w:val="00A33D4C"/>
    <w:rsid w:val="00A340BD"/>
    <w:rsid w:val="00A342F9"/>
    <w:rsid w:val="00A34383"/>
    <w:rsid w:val="00A34499"/>
    <w:rsid w:val="00A34B93"/>
    <w:rsid w:val="00A34DA1"/>
    <w:rsid w:val="00A358D2"/>
    <w:rsid w:val="00A35B40"/>
    <w:rsid w:val="00A35F60"/>
    <w:rsid w:val="00A361DC"/>
    <w:rsid w:val="00A363BE"/>
    <w:rsid w:val="00A365BA"/>
    <w:rsid w:val="00A36932"/>
    <w:rsid w:val="00A36A15"/>
    <w:rsid w:val="00A36B9D"/>
    <w:rsid w:val="00A37184"/>
    <w:rsid w:val="00A375F2"/>
    <w:rsid w:val="00A379F1"/>
    <w:rsid w:val="00A37E7D"/>
    <w:rsid w:val="00A402F4"/>
    <w:rsid w:val="00A40449"/>
    <w:rsid w:val="00A40D2F"/>
    <w:rsid w:val="00A40EEF"/>
    <w:rsid w:val="00A42035"/>
    <w:rsid w:val="00A42332"/>
    <w:rsid w:val="00A424FB"/>
    <w:rsid w:val="00A426D4"/>
    <w:rsid w:val="00A4279C"/>
    <w:rsid w:val="00A42C77"/>
    <w:rsid w:val="00A4305C"/>
    <w:rsid w:val="00A4309F"/>
    <w:rsid w:val="00A43902"/>
    <w:rsid w:val="00A43A4D"/>
    <w:rsid w:val="00A43AFD"/>
    <w:rsid w:val="00A43C53"/>
    <w:rsid w:val="00A43D9B"/>
    <w:rsid w:val="00A441EF"/>
    <w:rsid w:val="00A44B3B"/>
    <w:rsid w:val="00A44F2B"/>
    <w:rsid w:val="00A45152"/>
    <w:rsid w:val="00A451C0"/>
    <w:rsid w:val="00A4521E"/>
    <w:rsid w:val="00A452E5"/>
    <w:rsid w:val="00A45613"/>
    <w:rsid w:val="00A457AA"/>
    <w:rsid w:val="00A458D5"/>
    <w:rsid w:val="00A464D6"/>
    <w:rsid w:val="00A4694F"/>
    <w:rsid w:val="00A47128"/>
    <w:rsid w:val="00A4769D"/>
    <w:rsid w:val="00A478F4"/>
    <w:rsid w:val="00A47B1D"/>
    <w:rsid w:val="00A47F42"/>
    <w:rsid w:val="00A503D5"/>
    <w:rsid w:val="00A505C1"/>
    <w:rsid w:val="00A50EB1"/>
    <w:rsid w:val="00A50F90"/>
    <w:rsid w:val="00A51470"/>
    <w:rsid w:val="00A51862"/>
    <w:rsid w:val="00A51996"/>
    <w:rsid w:val="00A519CE"/>
    <w:rsid w:val="00A51A6D"/>
    <w:rsid w:val="00A51B79"/>
    <w:rsid w:val="00A51C72"/>
    <w:rsid w:val="00A51FE0"/>
    <w:rsid w:val="00A52026"/>
    <w:rsid w:val="00A52063"/>
    <w:rsid w:val="00A522CE"/>
    <w:rsid w:val="00A524F1"/>
    <w:rsid w:val="00A52CBF"/>
    <w:rsid w:val="00A53370"/>
    <w:rsid w:val="00A53876"/>
    <w:rsid w:val="00A53CA4"/>
    <w:rsid w:val="00A53DC9"/>
    <w:rsid w:val="00A5419F"/>
    <w:rsid w:val="00A54225"/>
    <w:rsid w:val="00A5480B"/>
    <w:rsid w:val="00A55327"/>
    <w:rsid w:val="00A5580F"/>
    <w:rsid w:val="00A56456"/>
    <w:rsid w:val="00A564F3"/>
    <w:rsid w:val="00A56757"/>
    <w:rsid w:val="00A56D35"/>
    <w:rsid w:val="00A56E74"/>
    <w:rsid w:val="00A57104"/>
    <w:rsid w:val="00A57530"/>
    <w:rsid w:val="00A57728"/>
    <w:rsid w:val="00A5791F"/>
    <w:rsid w:val="00A6046A"/>
    <w:rsid w:val="00A606F4"/>
    <w:rsid w:val="00A60D5B"/>
    <w:rsid w:val="00A6116F"/>
    <w:rsid w:val="00A6131F"/>
    <w:rsid w:val="00A6145C"/>
    <w:rsid w:val="00A615D2"/>
    <w:rsid w:val="00A61942"/>
    <w:rsid w:val="00A61D0F"/>
    <w:rsid w:val="00A61FAA"/>
    <w:rsid w:val="00A6213F"/>
    <w:rsid w:val="00A62453"/>
    <w:rsid w:val="00A62769"/>
    <w:rsid w:val="00A62A4C"/>
    <w:rsid w:val="00A62AEF"/>
    <w:rsid w:val="00A636CD"/>
    <w:rsid w:val="00A64086"/>
    <w:rsid w:val="00A64410"/>
    <w:rsid w:val="00A646D0"/>
    <w:rsid w:val="00A64770"/>
    <w:rsid w:val="00A648F9"/>
    <w:rsid w:val="00A64FC5"/>
    <w:rsid w:val="00A6515E"/>
    <w:rsid w:val="00A65486"/>
    <w:rsid w:val="00A65581"/>
    <w:rsid w:val="00A656EB"/>
    <w:rsid w:val="00A65942"/>
    <w:rsid w:val="00A65AEB"/>
    <w:rsid w:val="00A65D8F"/>
    <w:rsid w:val="00A66844"/>
    <w:rsid w:val="00A66A35"/>
    <w:rsid w:val="00A66F71"/>
    <w:rsid w:val="00A67601"/>
    <w:rsid w:val="00A678C8"/>
    <w:rsid w:val="00A6792B"/>
    <w:rsid w:val="00A6792D"/>
    <w:rsid w:val="00A67946"/>
    <w:rsid w:val="00A67BBD"/>
    <w:rsid w:val="00A67F55"/>
    <w:rsid w:val="00A70142"/>
    <w:rsid w:val="00A704FA"/>
    <w:rsid w:val="00A70569"/>
    <w:rsid w:val="00A70ECC"/>
    <w:rsid w:val="00A711D6"/>
    <w:rsid w:val="00A71595"/>
    <w:rsid w:val="00A71BBB"/>
    <w:rsid w:val="00A71BBE"/>
    <w:rsid w:val="00A71DE1"/>
    <w:rsid w:val="00A71EBD"/>
    <w:rsid w:val="00A71F89"/>
    <w:rsid w:val="00A72046"/>
    <w:rsid w:val="00A7250B"/>
    <w:rsid w:val="00A727BC"/>
    <w:rsid w:val="00A728AB"/>
    <w:rsid w:val="00A72C8D"/>
    <w:rsid w:val="00A72FA9"/>
    <w:rsid w:val="00A72FEE"/>
    <w:rsid w:val="00A73017"/>
    <w:rsid w:val="00A732EC"/>
    <w:rsid w:val="00A7385A"/>
    <w:rsid w:val="00A73951"/>
    <w:rsid w:val="00A73D3C"/>
    <w:rsid w:val="00A74108"/>
    <w:rsid w:val="00A74EE0"/>
    <w:rsid w:val="00A75720"/>
    <w:rsid w:val="00A75DDD"/>
    <w:rsid w:val="00A75FF2"/>
    <w:rsid w:val="00A76514"/>
    <w:rsid w:val="00A7670A"/>
    <w:rsid w:val="00A76FDD"/>
    <w:rsid w:val="00A774DA"/>
    <w:rsid w:val="00A7778C"/>
    <w:rsid w:val="00A7781B"/>
    <w:rsid w:val="00A77E38"/>
    <w:rsid w:val="00A77E91"/>
    <w:rsid w:val="00A80208"/>
    <w:rsid w:val="00A80317"/>
    <w:rsid w:val="00A80A5C"/>
    <w:rsid w:val="00A8111A"/>
    <w:rsid w:val="00A81B1B"/>
    <w:rsid w:val="00A81B86"/>
    <w:rsid w:val="00A81C12"/>
    <w:rsid w:val="00A81C52"/>
    <w:rsid w:val="00A81E8F"/>
    <w:rsid w:val="00A821D5"/>
    <w:rsid w:val="00A8251C"/>
    <w:rsid w:val="00A82542"/>
    <w:rsid w:val="00A8274C"/>
    <w:rsid w:val="00A82C88"/>
    <w:rsid w:val="00A83095"/>
    <w:rsid w:val="00A83C8D"/>
    <w:rsid w:val="00A84116"/>
    <w:rsid w:val="00A8434E"/>
    <w:rsid w:val="00A84C54"/>
    <w:rsid w:val="00A84D17"/>
    <w:rsid w:val="00A85A67"/>
    <w:rsid w:val="00A86522"/>
    <w:rsid w:val="00A86716"/>
    <w:rsid w:val="00A867AE"/>
    <w:rsid w:val="00A86A4D"/>
    <w:rsid w:val="00A871A6"/>
    <w:rsid w:val="00A87F3E"/>
    <w:rsid w:val="00A87F9A"/>
    <w:rsid w:val="00A90A15"/>
    <w:rsid w:val="00A90BE9"/>
    <w:rsid w:val="00A910A9"/>
    <w:rsid w:val="00A912FE"/>
    <w:rsid w:val="00A91583"/>
    <w:rsid w:val="00A91747"/>
    <w:rsid w:val="00A91EDD"/>
    <w:rsid w:val="00A92197"/>
    <w:rsid w:val="00A92B56"/>
    <w:rsid w:val="00A92E3E"/>
    <w:rsid w:val="00A92F03"/>
    <w:rsid w:val="00A93701"/>
    <w:rsid w:val="00A93A9A"/>
    <w:rsid w:val="00A93B2C"/>
    <w:rsid w:val="00A93FD8"/>
    <w:rsid w:val="00A941CB"/>
    <w:rsid w:val="00A94708"/>
    <w:rsid w:val="00A94A9F"/>
    <w:rsid w:val="00A94BFB"/>
    <w:rsid w:val="00A94F37"/>
    <w:rsid w:val="00A95D9E"/>
    <w:rsid w:val="00A96C5B"/>
    <w:rsid w:val="00AA001A"/>
    <w:rsid w:val="00AA0231"/>
    <w:rsid w:val="00AA0249"/>
    <w:rsid w:val="00AA0518"/>
    <w:rsid w:val="00AA07D3"/>
    <w:rsid w:val="00AA0857"/>
    <w:rsid w:val="00AA0C81"/>
    <w:rsid w:val="00AA0CEB"/>
    <w:rsid w:val="00AA10EA"/>
    <w:rsid w:val="00AA1536"/>
    <w:rsid w:val="00AA1569"/>
    <w:rsid w:val="00AA1723"/>
    <w:rsid w:val="00AA1B9C"/>
    <w:rsid w:val="00AA2B5E"/>
    <w:rsid w:val="00AA2C73"/>
    <w:rsid w:val="00AA2E4E"/>
    <w:rsid w:val="00AA2E58"/>
    <w:rsid w:val="00AA3126"/>
    <w:rsid w:val="00AA313D"/>
    <w:rsid w:val="00AA387D"/>
    <w:rsid w:val="00AA3E27"/>
    <w:rsid w:val="00AA42D2"/>
    <w:rsid w:val="00AA4E10"/>
    <w:rsid w:val="00AA522D"/>
    <w:rsid w:val="00AA53FF"/>
    <w:rsid w:val="00AA5410"/>
    <w:rsid w:val="00AA6465"/>
    <w:rsid w:val="00AA673C"/>
    <w:rsid w:val="00AA6858"/>
    <w:rsid w:val="00AA6EED"/>
    <w:rsid w:val="00AA7057"/>
    <w:rsid w:val="00AA74BB"/>
    <w:rsid w:val="00AA76D0"/>
    <w:rsid w:val="00AA7795"/>
    <w:rsid w:val="00AA78B1"/>
    <w:rsid w:val="00AA790A"/>
    <w:rsid w:val="00AA7DAE"/>
    <w:rsid w:val="00AB00B7"/>
    <w:rsid w:val="00AB05CD"/>
    <w:rsid w:val="00AB0749"/>
    <w:rsid w:val="00AB0766"/>
    <w:rsid w:val="00AB07EA"/>
    <w:rsid w:val="00AB0879"/>
    <w:rsid w:val="00AB08A2"/>
    <w:rsid w:val="00AB0F28"/>
    <w:rsid w:val="00AB0FBB"/>
    <w:rsid w:val="00AB1190"/>
    <w:rsid w:val="00AB1234"/>
    <w:rsid w:val="00AB12CF"/>
    <w:rsid w:val="00AB166A"/>
    <w:rsid w:val="00AB19F3"/>
    <w:rsid w:val="00AB218F"/>
    <w:rsid w:val="00AB21C4"/>
    <w:rsid w:val="00AB2A3B"/>
    <w:rsid w:val="00AB2D7B"/>
    <w:rsid w:val="00AB2FB3"/>
    <w:rsid w:val="00AB306D"/>
    <w:rsid w:val="00AB33AF"/>
    <w:rsid w:val="00AB343A"/>
    <w:rsid w:val="00AB46E6"/>
    <w:rsid w:val="00AB4AC5"/>
    <w:rsid w:val="00AB4BEE"/>
    <w:rsid w:val="00AB4C82"/>
    <w:rsid w:val="00AB546C"/>
    <w:rsid w:val="00AB5490"/>
    <w:rsid w:val="00AB5EAA"/>
    <w:rsid w:val="00AB5FA5"/>
    <w:rsid w:val="00AB610C"/>
    <w:rsid w:val="00AB6113"/>
    <w:rsid w:val="00AB6288"/>
    <w:rsid w:val="00AB644B"/>
    <w:rsid w:val="00AB686B"/>
    <w:rsid w:val="00AB69EB"/>
    <w:rsid w:val="00AB69FF"/>
    <w:rsid w:val="00AB6B19"/>
    <w:rsid w:val="00AB6D93"/>
    <w:rsid w:val="00AB70F2"/>
    <w:rsid w:val="00AB77C8"/>
    <w:rsid w:val="00AB78D0"/>
    <w:rsid w:val="00AB7E4A"/>
    <w:rsid w:val="00AB7F4B"/>
    <w:rsid w:val="00AB7FB2"/>
    <w:rsid w:val="00AC0142"/>
    <w:rsid w:val="00AC1B2E"/>
    <w:rsid w:val="00AC224D"/>
    <w:rsid w:val="00AC27A4"/>
    <w:rsid w:val="00AC2BD5"/>
    <w:rsid w:val="00AC2E12"/>
    <w:rsid w:val="00AC372B"/>
    <w:rsid w:val="00AC3D75"/>
    <w:rsid w:val="00AC46EC"/>
    <w:rsid w:val="00AC4D30"/>
    <w:rsid w:val="00AC536F"/>
    <w:rsid w:val="00AC554C"/>
    <w:rsid w:val="00AC599E"/>
    <w:rsid w:val="00AC5E7D"/>
    <w:rsid w:val="00AC5F75"/>
    <w:rsid w:val="00AC61E2"/>
    <w:rsid w:val="00AC68DD"/>
    <w:rsid w:val="00AC6CF8"/>
    <w:rsid w:val="00AC7051"/>
    <w:rsid w:val="00AD01EE"/>
    <w:rsid w:val="00AD08D9"/>
    <w:rsid w:val="00AD08EB"/>
    <w:rsid w:val="00AD0C3F"/>
    <w:rsid w:val="00AD0D90"/>
    <w:rsid w:val="00AD1151"/>
    <w:rsid w:val="00AD1237"/>
    <w:rsid w:val="00AD1481"/>
    <w:rsid w:val="00AD19F4"/>
    <w:rsid w:val="00AD1B36"/>
    <w:rsid w:val="00AD1C19"/>
    <w:rsid w:val="00AD1F24"/>
    <w:rsid w:val="00AD2736"/>
    <w:rsid w:val="00AD27CD"/>
    <w:rsid w:val="00AD2907"/>
    <w:rsid w:val="00AD2B11"/>
    <w:rsid w:val="00AD2C5F"/>
    <w:rsid w:val="00AD2EDA"/>
    <w:rsid w:val="00AD313D"/>
    <w:rsid w:val="00AD3167"/>
    <w:rsid w:val="00AD3A5E"/>
    <w:rsid w:val="00AD3B74"/>
    <w:rsid w:val="00AD3DD2"/>
    <w:rsid w:val="00AD4E71"/>
    <w:rsid w:val="00AD4F60"/>
    <w:rsid w:val="00AD4F91"/>
    <w:rsid w:val="00AD52B0"/>
    <w:rsid w:val="00AD54B3"/>
    <w:rsid w:val="00AD56EC"/>
    <w:rsid w:val="00AD571C"/>
    <w:rsid w:val="00AD5932"/>
    <w:rsid w:val="00AD5ABC"/>
    <w:rsid w:val="00AD5E81"/>
    <w:rsid w:val="00AD644D"/>
    <w:rsid w:val="00AD67A9"/>
    <w:rsid w:val="00AD688F"/>
    <w:rsid w:val="00AD6C31"/>
    <w:rsid w:val="00AD777B"/>
    <w:rsid w:val="00AE04AD"/>
    <w:rsid w:val="00AE0DEB"/>
    <w:rsid w:val="00AE1235"/>
    <w:rsid w:val="00AE2896"/>
    <w:rsid w:val="00AE335E"/>
    <w:rsid w:val="00AE3FDF"/>
    <w:rsid w:val="00AE411B"/>
    <w:rsid w:val="00AE4698"/>
    <w:rsid w:val="00AE6728"/>
    <w:rsid w:val="00AE68B8"/>
    <w:rsid w:val="00AE6902"/>
    <w:rsid w:val="00AE6A19"/>
    <w:rsid w:val="00AE74A7"/>
    <w:rsid w:val="00AE74CA"/>
    <w:rsid w:val="00AE75F8"/>
    <w:rsid w:val="00AE772A"/>
    <w:rsid w:val="00AE7CA1"/>
    <w:rsid w:val="00AE7FB8"/>
    <w:rsid w:val="00AF0285"/>
    <w:rsid w:val="00AF05E8"/>
    <w:rsid w:val="00AF0A29"/>
    <w:rsid w:val="00AF104B"/>
    <w:rsid w:val="00AF121B"/>
    <w:rsid w:val="00AF1395"/>
    <w:rsid w:val="00AF1E39"/>
    <w:rsid w:val="00AF1F86"/>
    <w:rsid w:val="00AF1FD8"/>
    <w:rsid w:val="00AF208C"/>
    <w:rsid w:val="00AF21C9"/>
    <w:rsid w:val="00AF24C6"/>
    <w:rsid w:val="00AF325E"/>
    <w:rsid w:val="00AF3910"/>
    <w:rsid w:val="00AF39DE"/>
    <w:rsid w:val="00AF3E93"/>
    <w:rsid w:val="00AF48BB"/>
    <w:rsid w:val="00AF4D9D"/>
    <w:rsid w:val="00AF5946"/>
    <w:rsid w:val="00AF60E7"/>
    <w:rsid w:val="00AF6623"/>
    <w:rsid w:val="00AF66AD"/>
    <w:rsid w:val="00AF6A0C"/>
    <w:rsid w:val="00AF6A3E"/>
    <w:rsid w:val="00AF766C"/>
    <w:rsid w:val="00AF78E2"/>
    <w:rsid w:val="00AF7F18"/>
    <w:rsid w:val="00B00010"/>
    <w:rsid w:val="00B012CF"/>
    <w:rsid w:val="00B018C1"/>
    <w:rsid w:val="00B01B7E"/>
    <w:rsid w:val="00B01B8A"/>
    <w:rsid w:val="00B01FA5"/>
    <w:rsid w:val="00B023FF"/>
    <w:rsid w:val="00B024E6"/>
    <w:rsid w:val="00B028D0"/>
    <w:rsid w:val="00B02A95"/>
    <w:rsid w:val="00B02C41"/>
    <w:rsid w:val="00B02D3B"/>
    <w:rsid w:val="00B02F19"/>
    <w:rsid w:val="00B03140"/>
    <w:rsid w:val="00B032CA"/>
    <w:rsid w:val="00B03442"/>
    <w:rsid w:val="00B03C6A"/>
    <w:rsid w:val="00B03EA2"/>
    <w:rsid w:val="00B043ED"/>
    <w:rsid w:val="00B0480B"/>
    <w:rsid w:val="00B04E4A"/>
    <w:rsid w:val="00B0509C"/>
    <w:rsid w:val="00B05703"/>
    <w:rsid w:val="00B05939"/>
    <w:rsid w:val="00B05A87"/>
    <w:rsid w:val="00B05B14"/>
    <w:rsid w:val="00B05C09"/>
    <w:rsid w:val="00B06064"/>
    <w:rsid w:val="00B06AF7"/>
    <w:rsid w:val="00B06E92"/>
    <w:rsid w:val="00B07016"/>
    <w:rsid w:val="00B074B7"/>
    <w:rsid w:val="00B076CE"/>
    <w:rsid w:val="00B07E35"/>
    <w:rsid w:val="00B10409"/>
    <w:rsid w:val="00B104A5"/>
    <w:rsid w:val="00B105AB"/>
    <w:rsid w:val="00B10943"/>
    <w:rsid w:val="00B10A25"/>
    <w:rsid w:val="00B110FF"/>
    <w:rsid w:val="00B11124"/>
    <w:rsid w:val="00B11D3B"/>
    <w:rsid w:val="00B11FA7"/>
    <w:rsid w:val="00B12910"/>
    <w:rsid w:val="00B13E04"/>
    <w:rsid w:val="00B14321"/>
    <w:rsid w:val="00B14765"/>
    <w:rsid w:val="00B153DA"/>
    <w:rsid w:val="00B154B8"/>
    <w:rsid w:val="00B154CE"/>
    <w:rsid w:val="00B15660"/>
    <w:rsid w:val="00B15D1E"/>
    <w:rsid w:val="00B15DD0"/>
    <w:rsid w:val="00B15FA2"/>
    <w:rsid w:val="00B16277"/>
    <w:rsid w:val="00B16292"/>
    <w:rsid w:val="00B162D6"/>
    <w:rsid w:val="00B16C3F"/>
    <w:rsid w:val="00B17475"/>
    <w:rsid w:val="00B17AB1"/>
    <w:rsid w:val="00B17F88"/>
    <w:rsid w:val="00B202D0"/>
    <w:rsid w:val="00B2091B"/>
    <w:rsid w:val="00B21064"/>
    <w:rsid w:val="00B2109B"/>
    <w:rsid w:val="00B212D7"/>
    <w:rsid w:val="00B2157B"/>
    <w:rsid w:val="00B21909"/>
    <w:rsid w:val="00B2256A"/>
    <w:rsid w:val="00B225FB"/>
    <w:rsid w:val="00B226C6"/>
    <w:rsid w:val="00B22811"/>
    <w:rsid w:val="00B230E0"/>
    <w:rsid w:val="00B23AA1"/>
    <w:rsid w:val="00B23E3A"/>
    <w:rsid w:val="00B245AE"/>
    <w:rsid w:val="00B246D7"/>
    <w:rsid w:val="00B2484F"/>
    <w:rsid w:val="00B24904"/>
    <w:rsid w:val="00B2491C"/>
    <w:rsid w:val="00B24A1D"/>
    <w:rsid w:val="00B24A3C"/>
    <w:rsid w:val="00B24B9D"/>
    <w:rsid w:val="00B24C91"/>
    <w:rsid w:val="00B24D3E"/>
    <w:rsid w:val="00B25073"/>
    <w:rsid w:val="00B25123"/>
    <w:rsid w:val="00B251FF"/>
    <w:rsid w:val="00B256AE"/>
    <w:rsid w:val="00B2599F"/>
    <w:rsid w:val="00B25C33"/>
    <w:rsid w:val="00B25C60"/>
    <w:rsid w:val="00B25DDA"/>
    <w:rsid w:val="00B2607C"/>
    <w:rsid w:val="00B260E8"/>
    <w:rsid w:val="00B2666F"/>
    <w:rsid w:val="00B2708D"/>
    <w:rsid w:val="00B27794"/>
    <w:rsid w:val="00B27F38"/>
    <w:rsid w:val="00B304B8"/>
    <w:rsid w:val="00B308F3"/>
    <w:rsid w:val="00B30AA8"/>
    <w:rsid w:val="00B312F7"/>
    <w:rsid w:val="00B31958"/>
    <w:rsid w:val="00B3198C"/>
    <w:rsid w:val="00B31FDB"/>
    <w:rsid w:val="00B321B4"/>
    <w:rsid w:val="00B326AC"/>
    <w:rsid w:val="00B329D8"/>
    <w:rsid w:val="00B32D45"/>
    <w:rsid w:val="00B33274"/>
    <w:rsid w:val="00B33907"/>
    <w:rsid w:val="00B3533A"/>
    <w:rsid w:val="00B3578B"/>
    <w:rsid w:val="00B35BE6"/>
    <w:rsid w:val="00B35D71"/>
    <w:rsid w:val="00B360FB"/>
    <w:rsid w:val="00B362BF"/>
    <w:rsid w:val="00B36659"/>
    <w:rsid w:val="00B369A3"/>
    <w:rsid w:val="00B36A34"/>
    <w:rsid w:val="00B36B11"/>
    <w:rsid w:val="00B36BC4"/>
    <w:rsid w:val="00B36E99"/>
    <w:rsid w:val="00B37049"/>
    <w:rsid w:val="00B3725B"/>
    <w:rsid w:val="00B373A5"/>
    <w:rsid w:val="00B37924"/>
    <w:rsid w:val="00B37BA8"/>
    <w:rsid w:val="00B37E32"/>
    <w:rsid w:val="00B37E62"/>
    <w:rsid w:val="00B401EF"/>
    <w:rsid w:val="00B402A0"/>
    <w:rsid w:val="00B402D5"/>
    <w:rsid w:val="00B40775"/>
    <w:rsid w:val="00B407AE"/>
    <w:rsid w:val="00B40B6B"/>
    <w:rsid w:val="00B40D8D"/>
    <w:rsid w:val="00B40FE0"/>
    <w:rsid w:val="00B4152C"/>
    <w:rsid w:val="00B41BE0"/>
    <w:rsid w:val="00B41F2C"/>
    <w:rsid w:val="00B4206D"/>
    <w:rsid w:val="00B420CE"/>
    <w:rsid w:val="00B4282D"/>
    <w:rsid w:val="00B42C3A"/>
    <w:rsid w:val="00B43B39"/>
    <w:rsid w:val="00B43D6C"/>
    <w:rsid w:val="00B44AC5"/>
    <w:rsid w:val="00B44C86"/>
    <w:rsid w:val="00B45254"/>
    <w:rsid w:val="00B456C7"/>
    <w:rsid w:val="00B4584F"/>
    <w:rsid w:val="00B45FE3"/>
    <w:rsid w:val="00B46D0F"/>
    <w:rsid w:val="00B47923"/>
    <w:rsid w:val="00B47D2C"/>
    <w:rsid w:val="00B47F49"/>
    <w:rsid w:val="00B504F0"/>
    <w:rsid w:val="00B50AE4"/>
    <w:rsid w:val="00B51524"/>
    <w:rsid w:val="00B518F7"/>
    <w:rsid w:val="00B51E5D"/>
    <w:rsid w:val="00B51EC2"/>
    <w:rsid w:val="00B51EDB"/>
    <w:rsid w:val="00B51FA4"/>
    <w:rsid w:val="00B525E2"/>
    <w:rsid w:val="00B526EE"/>
    <w:rsid w:val="00B5281E"/>
    <w:rsid w:val="00B52F8C"/>
    <w:rsid w:val="00B531D9"/>
    <w:rsid w:val="00B53588"/>
    <w:rsid w:val="00B53605"/>
    <w:rsid w:val="00B53867"/>
    <w:rsid w:val="00B539F3"/>
    <w:rsid w:val="00B53AED"/>
    <w:rsid w:val="00B53F8B"/>
    <w:rsid w:val="00B544BF"/>
    <w:rsid w:val="00B54AB6"/>
    <w:rsid w:val="00B54BFC"/>
    <w:rsid w:val="00B54E75"/>
    <w:rsid w:val="00B551AC"/>
    <w:rsid w:val="00B551BD"/>
    <w:rsid w:val="00B558EB"/>
    <w:rsid w:val="00B559DC"/>
    <w:rsid w:val="00B55A12"/>
    <w:rsid w:val="00B561C0"/>
    <w:rsid w:val="00B56419"/>
    <w:rsid w:val="00B5672D"/>
    <w:rsid w:val="00B5728F"/>
    <w:rsid w:val="00B57489"/>
    <w:rsid w:val="00B57A9D"/>
    <w:rsid w:val="00B57BFC"/>
    <w:rsid w:val="00B57EB1"/>
    <w:rsid w:val="00B601A5"/>
    <w:rsid w:val="00B60723"/>
    <w:rsid w:val="00B60F05"/>
    <w:rsid w:val="00B61633"/>
    <w:rsid w:val="00B61B60"/>
    <w:rsid w:val="00B620B5"/>
    <w:rsid w:val="00B62DF0"/>
    <w:rsid w:val="00B631AA"/>
    <w:rsid w:val="00B6327C"/>
    <w:rsid w:val="00B634AF"/>
    <w:rsid w:val="00B64222"/>
    <w:rsid w:val="00B642E3"/>
    <w:rsid w:val="00B64488"/>
    <w:rsid w:val="00B64B19"/>
    <w:rsid w:val="00B65065"/>
    <w:rsid w:val="00B650D3"/>
    <w:rsid w:val="00B65DAC"/>
    <w:rsid w:val="00B66CB3"/>
    <w:rsid w:val="00B66EBA"/>
    <w:rsid w:val="00B675AB"/>
    <w:rsid w:val="00B67F42"/>
    <w:rsid w:val="00B705DF"/>
    <w:rsid w:val="00B70BC8"/>
    <w:rsid w:val="00B70DDA"/>
    <w:rsid w:val="00B70E98"/>
    <w:rsid w:val="00B7121B"/>
    <w:rsid w:val="00B7228F"/>
    <w:rsid w:val="00B72B7B"/>
    <w:rsid w:val="00B72D10"/>
    <w:rsid w:val="00B735A1"/>
    <w:rsid w:val="00B73699"/>
    <w:rsid w:val="00B75129"/>
    <w:rsid w:val="00B753CC"/>
    <w:rsid w:val="00B763B7"/>
    <w:rsid w:val="00B76446"/>
    <w:rsid w:val="00B76D87"/>
    <w:rsid w:val="00B76F94"/>
    <w:rsid w:val="00B7700A"/>
    <w:rsid w:val="00B775D3"/>
    <w:rsid w:val="00B80294"/>
    <w:rsid w:val="00B80634"/>
    <w:rsid w:val="00B808DD"/>
    <w:rsid w:val="00B808E0"/>
    <w:rsid w:val="00B8177A"/>
    <w:rsid w:val="00B817EA"/>
    <w:rsid w:val="00B82140"/>
    <w:rsid w:val="00B8228B"/>
    <w:rsid w:val="00B82A8A"/>
    <w:rsid w:val="00B82C64"/>
    <w:rsid w:val="00B82D7C"/>
    <w:rsid w:val="00B82ECE"/>
    <w:rsid w:val="00B82EF9"/>
    <w:rsid w:val="00B83367"/>
    <w:rsid w:val="00B83388"/>
    <w:rsid w:val="00B83389"/>
    <w:rsid w:val="00B83ADD"/>
    <w:rsid w:val="00B8461A"/>
    <w:rsid w:val="00B846C0"/>
    <w:rsid w:val="00B847B7"/>
    <w:rsid w:val="00B84C1F"/>
    <w:rsid w:val="00B84C31"/>
    <w:rsid w:val="00B85C0E"/>
    <w:rsid w:val="00B85E70"/>
    <w:rsid w:val="00B85F44"/>
    <w:rsid w:val="00B860C5"/>
    <w:rsid w:val="00B86674"/>
    <w:rsid w:val="00B868FF"/>
    <w:rsid w:val="00B87A87"/>
    <w:rsid w:val="00B90314"/>
    <w:rsid w:val="00B90553"/>
    <w:rsid w:val="00B90615"/>
    <w:rsid w:val="00B9085D"/>
    <w:rsid w:val="00B9091D"/>
    <w:rsid w:val="00B90E3D"/>
    <w:rsid w:val="00B90E87"/>
    <w:rsid w:val="00B91153"/>
    <w:rsid w:val="00B9137E"/>
    <w:rsid w:val="00B918D0"/>
    <w:rsid w:val="00B91C2D"/>
    <w:rsid w:val="00B91EDC"/>
    <w:rsid w:val="00B91EE9"/>
    <w:rsid w:val="00B92880"/>
    <w:rsid w:val="00B93356"/>
    <w:rsid w:val="00B9379D"/>
    <w:rsid w:val="00B937BF"/>
    <w:rsid w:val="00B93DE7"/>
    <w:rsid w:val="00B93EA2"/>
    <w:rsid w:val="00B94083"/>
    <w:rsid w:val="00B9463D"/>
    <w:rsid w:val="00B95220"/>
    <w:rsid w:val="00B96A1A"/>
    <w:rsid w:val="00B96CE0"/>
    <w:rsid w:val="00B96F15"/>
    <w:rsid w:val="00B971D1"/>
    <w:rsid w:val="00B97782"/>
    <w:rsid w:val="00BA037D"/>
    <w:rsid w:val="00BA04FA"/>
    <w:rsid w:val="00BA1114"/>
    <w:rsid w:val="00BA1633"/>
    <w:rsid w:val="00BA1683"/>
    <w:rsid w:val="00BA185D"/>
    <w:rsid w:val="00BA1DA6"/>
    <w:rsid w:val="00BA1F33"/>
    <w:rsid w:val="00BA1F58"/>
    <w:rsid w:val="00BA2586"/>
    <w:rsid w:val="00BA26CE"/>
    <w:rsid w:val="00BA27DC"/>
    <w:rsid w:val="00BA291C"/>
    <w:rsid w:val="00BA2962"/>
    <w:rsid w:val="00BA2C9C"/>
    <w:rsid w:val="00BA3B83"/>
    <w:rsid w:val="00BA3E52"/>
    <w:rsid w:val="00BA42B8"/>
    <w:rsid w:val="00BA47DF"/>
    <w:rsid w:val="00BA4C9D"/>
    <w:rsid w:val="00BA5A33"/>
    <w:rsid w:val="00BA5E0E"/>
    <w:rsid w:val="00BA67B7"/>
    <w:rsid w:val="00BA6AFC"/>
    <w:rsid w:val="00BA707E"/>
    <w:rsid w:val="00BA73D9"/>
    <w:rsid w:val="00BA755B"/>
    <w:rsid w:val="00BA7CBA"/>
    <w:rsid w:val="00BA7D04"/>
    <w:rsid w:val="00BB06AF"/>
    <w:rsid w:val="00BB0A2E"/>
    <w:rsid w:val="00BB0AEF"/>
    <w:rsid w:val="00BB0D7A"/>
    <w:rsid w:val="00BB0D85"/>
    <w:rsid w:val="00BB13C6"/>
    <w:rsid w:val="00BB1560"/>
    <w:rsid w:val="00BB168F"/>
    <w:rsid w:val="00BB1A9F"/>
    <w:rsid w:val="00BB1B03"/>
    <w:rsid w:val="00BB2FFA"/>
    <w:rsid w:val="00BB301A"/>
    <w:rsid w:val="00BB30CB"/>
    <w:rsid w:val="00BB30FA"/>
    <w:rsid w:val="00BB3265"/>
    <w:rsid w:val="00BB35F9"/>
    <w:rsid w:val="00BB37E7"/>
    <w:rsid w:val="00BB43B9"/>
    <w:rsid w:val="00BB4863"/>
    <w:rsid w:val="00BB50B6"/>
    <w:rsid w:val="00BB51E0"/>
    <w:rsid w:val="00BB51F6"/>
    <w:rsid w:val="00BB5792"/>
    <w:rsid w:val="00BB5C76"/>
    <w:rsid w:val="00BB616E"/>
    <w:rsid w:val="00BB632E"/>
    <w:rsid w:val="00BB66E9"/>
    <w:rsid w:val="00BB69C5"/>
    <w:rsid w:val="00BB755D"/>
    <w:rsid w:val="00BB7DF6"/>
    <w:rsid w:val="00BC04D0"/>
    <w:rsid w:val="00BC0676"/>
    <w:rsid w:val="00BC0B52"/>
    <w:rsid w:val="00BC0CFD"/>
    <w:rsid w:val="00BC0E6E"/>
    <w:rsid w:val="00BC0FC1"/>
    <w:rsid w:val="00BC1136"/>
    <w:rsid w:val="00BC19C6"/>
    <w:rsid w:val="00BC1DF3"/>
    <w:rsid w:val="00BC21D8"/>
    <w:rsid w:val="00BC259A"/>
    <w:rsid w:val="00BC2AA7"/>
    <w:rsid w:val="00BC2C98"/>
    <w:rsid w:val="00BC2C9B"/>
    <w:rsid w:val="00BC2F2B"/>
    <w:rsid w:val="00BC382A"/>
    <w:rsid w:val="00BC39F4"/>
    <w:rsid w:val="00BC436B"/>
    <w:rsid w:val="00BC5192"/>
    <w:rsid w:val="00BC536B"/>
    <w:rsid w:val="00BC5706"/>
    <w:rsid w:val="00BC580F"/>
    <w:rsid w:val="00BC64A7"/>
    <w:rsid w:val="00BC6814"/>
    <w:rsid w:val="00BC68A4"/>
    <w:rsid w:val="00BC71D5"/>
    <w:rsid w:val="00BC7675"/>
    <w:rsid w:val="00BC7796"/>
    <w:rsid w:val="00BC79DB"/>
    <w:rsid w:val="00BC7E49"/>
    <w:rsid w:val="00BD01EB"/>
    <w:rsid w:val="00BD023C"/>
    <w:rsid w:val="00BD04D4"/>
    <w:rsid w:val="00BD0994"/>
    <w:rsid w:val="00BD1094"/>
    <w:rsid w:val="00BD1302"/>
    <w:rsid w:val="00BD145E"/>
    <w:rsid w:val="00BD1AAA"/>
    <w:rsid w:val="00BD1AFB"/>
    <w:rsid w:val="00BD232D"/>
    <w:rsid w:val="00BD270B"/>
    <w:rsid w:val="00BD2886"/>
    <w:rsid w:val="00BD29EE"/>
    <w:rsid w:val="00BD2A42"/>
    <w:rsid w:val="00BD2A84"/>
    <w:rsid w:val="00BD2D89"/>
    <w:rsid w:val="00BD2DBF"/>
    <w:rsid w:val="00BD2DFF"/>
    <w:rsid w:val="00BD2FC3"/>
    <w:rsid w:val="00BD3520"/>
    <w:rsid w:val="00BD3950"/>
    <w:rsid w:val="00BD3BC2"/>
    <w:rsid w:val="00BD3D7A"/>
    <w:rsid w:val="00BD3DE9"/>
    <w:rsid w:val="00BD3DF9"/>
    <w:rsid w:val="00BD450B"/>
    <w:rsid w:val="00BD49B5"/>
    <w:rsid w:val="00BD4BA9"/>
    <w:rsid w:val="00BD4F4A"/>
    <w:rsid w:val="00BD50C7"/>
    <w:rsid w:val="00BD51E6"/>
    <w:rsid w:val="00BD532F"/>
    <w:rsid w:val="00BD58EC"/>
    <w:rsid w:val="00BD5D11"/>
    <w:rsid w:val="00BD65BF"/>
    <w:rsid w:val="00BD6821"/>
    <w:rsid w:val="00BD6B94"/>
    <w:rsid w:val="00BD7D37"/>
    <w:rsid w:val="00BD7E47"/>
    <w:rsid w:val="00BD7E98"/>
    <w:rsid w:val="00BE06AF"/>
    <w:rsid w:val="00BE0EFB"/>
    <w:rsid w:val="00BE0F7B"/>
    <w:rsid w:val="00BE1105"/>
    <w:rsid w:val="00BE1263"/>
    <w:rsid w:val="00BE15BA"/>
    <w:rsid w:val="00BE1626"/>
    <w:rsid w:val="00BE1730"/>
    <w:rsid w:val="00BE248D"/>
    <w:rsid w:val="00BE28BF"/>
    <w:rsid w:val="00BE29AC"/>
    <w:rsid w:val="00BE29FD"/>
    <w:rsid w:val="00BE2B4F"/>
    <w:rsid w:val="00BE2F40"/>
    <w:rsid w:val="00BE31CC"/>
    <w:rsid w:val="00BE34F7"/>
    <w:rsid w:val="00BE39AB"/>
    <w:rsid w:val="00BE3F96"/>
    <w:rsid w:val="00BE4951"/>
    <w:rsid w:val="00BE4D73"/>
    <w:rsid w:val="00BE4FE3"/>
    <w:rsid w:val="00BE533A"/>
    <w:rsid w:val="00BE5DB3"/>
    <w:rsid w:val="00BE600B"/>
    <w:rsid w:val="00BE618A"/>
    <w:rsid w:val="00BE6759"/>
    <w:rsid w:val="00BE6C48"/>
    <w:rsid w:val="00BE6D03"/>
    <w:rsid w:val="00BE6FE1"/>
    <w:rsid w:val="00BE7463"/>
    <w:rsid w:val="00BE7A20"/>
    <w:rsid w:val="00BE7B28"/>
    <w:rsid w:val="00BF0071"/>
    <w:rsid w:val="00BF04E1"/>
    <w:rsid w:val="00BF0841"/>
    <w:rsid w:val="00BF0A4E"/>
    <w:rsid w:val="00BF0ED5"/>
    <w:rsid w:val="00BF0F21"/>
    <w:rsid w:val="00BF1172"/>
    <w:rsid w:val="00BF19D2"/>
    <w:rsid w:val="00BF1A42"/>
    <w:rsid w:val="00BF1D59"/>
    <w:rsid w:val="00BF1E74"/>
    <w:rsid w:val="00BF25DF"/>
    <w:rsid w:val="00BF26A1"/>
    <w:rsid w:val="00BF29FC"/>
    <w:rsid w:val="00BF2AE3"/>
    <w:rsid w:val="00BF2D85"/>
    <w:rsid w:val="00BF302B"/>
    <w:rsid w:val="00BF30AD"/>
    <w:rsid w:val="00BF3150"/>
    <w:rsid w:val="00BF32E5"/>
    <w:rsid w:val="00BF3BBC"/>
    <w:rsid w:val="00BF3BE0"/>
    <w:rsid w:val="00BF3E1C"/>
    <w:rsid w:val="00BF440C"/>
    <w:rsid w:val="00BF498A"/>
    <w:rsid w:val="00BF4A05"/>
    <w:rsid w:val="00BF4CC6"/>
    <w:rsid w:val="00BF5121"/>
    <w:rsid w:val="00BF5526"/>
    <w:rsid w:val="00BF55A5"/>
    <w:rsid w:val="00BF5862"/>
    <w:rsid w:val="00BF5C7F"/>
    <w:rsid w:val="00BF5D80"/>
    <w:rsid w:val="00BF5E0D"/>
    <w:rsid w:val="00BF5E97"/>
    <w:rsid w:val="00BF629F"/>
    <w:rsid w:val="00BF6375"/>
    <w:rsid w:val="00BF6953"/>
    <w:rsid w:val="00BF6C8D"/>
    <w:rsid w:val="00BF6E21"/>
    <w:rsid w:val="00BF700E"/>
    <w:rsid w:val="00BF7207"/>
    <w:rsid w:val="00BF722C"/>
    <w:rsid w:val="00BF7486"/>
    <w:rsid w:val="00BF752E"/>
    <w:rsid w:val="00BF773E"/>
    <w:rsid w:val="00C0014A"/>
    <w:rsid w:val="00C00205"/>
    <w:rsid w:val="00C00986"/>
    <w:rsid w:val="00C009DD"/>
    <w:rsid w:val="00C00AF7"/>
    <w:rsid w:val="00C00FE5"/>
    <w:rsid w:val="00C012C6"/>
    <w:rsid w:val="00C013C9"/>
    <w:rsid w:val="00C01886"/>
    <w:rsid w:val="00C02184"/>
    <w:rsid w:val="00C022A3"/>
    <w:rsid w:val="00C02467"/>
    <w:rsid w:val="00C02C25"/>
    <w:rsid w:val="00C0371C"/>
    <w:rsid w:val="00C03BD2"/>
    <w:rsid w:val="00C04546"/>
    <w:rsid w:val="00C04DE6"/>
    <w:rsid w:val="00C04FD3"/>
    <w:rsid w:val="00C05086"/>
    <w:rsid w:val="00C0557F"/>
    <w:rsid w:val="00C05D12"/>
    <w:rsid w:val="00C065D0"/>
    <w:rsid w:val="00C06E1B"/>
    <w:rsid w:val="00C07245"/>
    <w:rsid w:val="00C07809"/>
    <w:rsid w:val="00C07AF4"/>
    <w:rsid w:val="00C07B85"/>
    <w:rsid w:val="00C1003E"/>
    <w:rsid w:val="00C1006B"/>
    <w:rsid w:val="00C10693"/>
    <w:rsid w:val="00C10730"/>
    <w:rsid w:val="00C10DAB"/>
    <w:rsid w:val="00C10EF4"/>
    <w:rsid w:val="00C11677"/>
    <w:rsid w:val="00C12237"/>
    <w:rsid w:val="00C12889"/>
    <w:rsid w:val="00C129A0"/>
    <w:rsid w:val="00C1319F"/>
    <w:rsid w:val="00C13C8C"/>
    <w:rsid w:val="00C141D6"/>
    <w:rsid w:val="00C148AC"/>
    <w:rsid w:val="00C148BF"/>
    <w:rsid w:val="00C14B37"/>
    <w:rsid w:val="00C14CDE"/>
    <w:rsid w:val="00C14F23"/>
    <w:rsid w:val="00C1503E"/>
    <w:rsid w:val="00C154D6"/>
    <w:rsid w:val="00C16595"/>
    <w:rsid w:val="00C16F5C"/>
    <w:rsid w:val="00C1708A"/>
    <w:rsid w:val="00C174C0"/>
    <w:rsid w:val="00C17849"/>
    <w:rsid w:val="00C1785E"/>
    <w:rsid w:val="00C178E5"/>
    <w:rsid w:val="00C17EB1"/>
    <w:rsid w:val="00C17F7B"/>
    <w:rsid w:val="00C204C7"/>
    <w:rsid w:val="00C218B4"/>
    <w:rsid w:val="00C218EC"/>
    <w:rsid w:val="00C21C98"/>
    <w:rsid w:val="00C21E98"/>
    <w:rsid w:val="00C22533"/>
    <w:rsid w:val="00C2256F"/>
    <w:rsid w:val="00C234B7"/>
    <w:rsid w:val="00C2354E"/>
    <w:rsid w:val="00C23A77"/>
    <w:rsid w:val="00C24298"/>
    <w:rsid w:val="00C24400"/>
    <w:rsid w:val="00C24703"/>
    <w:rsid w:val="00C24B99"/>
    <w:rsid w:val="00C24DC6"/>
    <w:rsid w:val="00C2525E"/>
    <w:rsid w:val="00C259C0"/>
    <w:rsid w:val="00C25A19"/>
    <w:rsid w:val="00C25B14"/>
    <w:rsid w:val="00C25BE0"/>
    <w:rsid w:val="00C25F89"/>
    <w:rsid w:val="00C2636F"/>
    <w:rsid w:val="00C2690B"/>
    <w:rsid w:val="00C26FB9"/>
    <w:rsid w:val="00C27509"/>
    <w:rsid w:val="00C27563"/>
    <w:rsid w:val="00C2788A"/>
    <w:rsid w:val="00C27E9D"/>
    <w:rsid w:val="00C30242"/>
    <w:rsid w:val="00C303A4"/>
    <w:rsid w:val="00C30BA9"/>
    <w:rsid w:val="00C31FBB"/>
    <w:rsid w:val="00C323CF"/>
    <w:rsid w:val="00C3296F"/>
    <w:rsid w:val="00C32A02"/>
    <w:rsid w:val="00C32C5E"/>
    <w:rsid w:val="00C32C75"/>
    <w:rsid w:val="00C32DD2"/>
    <w:rsid w:val="00C3361A"/>
    <w:rsid w:val="00C33E91"/>
    <w:rsid w:val="00C33E9C"/>
    <w:rsid w:val="00C340F8"/>
    <w:rsid w:val="00C34A27"/>
    <w:rsid w:val="00C35057"/>
    <w:rsid w:val="00C35573"/>
    <w:rsid w:val="00C35655"/>
    <w:rsid w:val="00C35FA9"/>
    <w:rsid w:val="00C36363"/>
    <w:rsid w:val="00C363D9"/>
    <w:rsid w:val="00C36682"/>
    <w:rsid w:val="00C36B0C"/>
    <w:rsid w:val="00C36E94"/>
    <w:rsid w:val="00C3721C"/>
    <w:rsid w:val="00C372A9"/>
    <w:rsid w:val="00C37411"/>
    <w:rsid w:val="00C377A7"/>
    <w:rsid w:val="00C37883"/>
    <w:rsid w:val="00C410F3"/>
    <w:rsid w:val="00C4160E"/>
    <w:rsid w:val="00C419E6"/>
    <w:rsid w:val="00C41D1B"/>
    <w:rsid w:val="00C4224A"/>
    <w:rsid w:val="00C4229C"/>
    <w:rsid w:val="00C422EF"/>
    <w:rsid w:val="00C42BF1"/>
    <w:rsid w:val="00C42C2C"/>
    <w:rsid w:val="00C42F25"/>
    <w:rsid w:val="00C431DD"/>
    <w:rsid w:val="00C436CD"/>
    <w:rsid w:val="00C4370E"/>
    <w:rsid w:val="00C4395F"/>
    <w:rsid w:val="00C43D83"/>
    <w:rsid w:val="00C445AF"/>
    <w:rsid w:val="00C45068"/>
    <w:rsid w:val="00C451E8"/>
    <w:rsid w:val="00C458D1"/>
    <w:rsid w:val="00C45917"/>
    <w:rsid w:val="00C46338"/>
    <w:rsid w:val="00C468CB"/>
    <w:rsid w:val="00C46CA7"/>
    <w:rsid w:val="00C46E90"/>
    <w:rsid w:val="00C46F0D"/>
    <w:rsid w:val="00C47A97"/>
    <w:rsid w:val="00C47B5F"/>
    <w:rsid w:val="00C47D0A"/>
    <w:rsid w:val="00C47D6F"/>
    <w:rsid w:val="00C508D3"/>
    <w:rsid w:val="00C50A4A"/>
    <w:rsid w:val="00C50B6D"/>
    <w:rsid w:val="00C510C5"/>
    <w:rsid w:val="00C510EE"/>
    <w:rsid w:val="00C51232"/>
    <w:rsid w:val="00C523E5"/>
    <w:rsid w:val="00C523F1"/>
    <w:rsid w:val="00C525C7"/>
    <w:rsid w:val="00C52E30"/>
    <w:rsid w:val="00C53090"/>
    <w:rsid w:val="00C537C5"/>
    <w:rsid w:val="00C53A5E"/>
    <w:rsid w:val="00C542B7"/>
    <w:rsid w:val="00C54A20"/>
    <w:rsid w:val="00C554C0"/>
    <w:rsid w:val="00C554E5"/>
    <w:rsid w:val="00C554F2"/>
    <w:rsid w:val="00C555A6"/>
    <w:rsid w:val="00C55DA4"/>
    <w:rsid w:val="00C55F46"/>
    <w:rsid w:val="00C56105"/>
    <w:rsid w:val="00C566F4"/>
    <w:rsid w:val="00C56AB0"/>
    <w:rsid w:val="00C570F1"/>
    <w:rsid w:val="00C57288"/>
    <w:rsid w:val="00C57A2E"/>
    <w:rsid w:val="00C60AAF"/>
    <w:rsid w:val="00C612A8"/>
    <w:rsid w:val="00C61EC9"/>
    <w:rsid w:val="00C61FD8"/>
    <w:rsid w:val="00C62140"/>
    <w:rsid w:val="00C62452"/>
    <w:rsid w:val="00C6261D"/>
    <w:rsid w:val="00C62920"/>
    <w:rsid w:val="00C62999"/>
    <w:rsid w:val="00C63038"/>
    <w:rsid w:val="00C632DC"/>
    <w:rsid w:val="00C632DD"/>
    <w:rsid w:val="00C6368A"/>
    <w:rsid w:val="00C63717"/>
    <w:rsid w:val="00C63C0E"/>
    <w:rsid w:val="00C64851"/>
    <w:rsid w:val="00C64916"/>
    <w:rsid w:val="00C64BAB"/>
    <w:rsid w:val="00C64D72"/>
    <w:rsid w:val="00C64EB2"/>
    <w:rsid w:val="00C64EF8"/>
    <w:rsid w:val="00C6581E"/>
    <w:rsid w:val="00C66916"/>
    <w:rsid w:val="00C66FF0"/>
    <w:rsid w:val="00C67180"/>
    <w:rsid w:val="00C67809"/>
    <w:rsid w:val="00C704E4"/>
    <w:rsid w:val="00C70900"/>
    <w:rsid w:val="00C7096D"/>
    <w:rsid w:val="00C70C6F"/>
    <w:rsid w:val="00C70DC4"/>
    <w:rsid w:val="00C70E5B"/>
    <w:rsid w:val="00C711F1"/>
    <w:rsid w:val="00C71A04"/>
    <w:rsid w:val="00C71FD7"/>
    <w:rsid w:val="00C727C2"/>
    <w:rsid w:val="00C729E8"/>
    <w:rsid w:val="00C734AD"/>
    <w:rsid w:val="00C73813"/>
    <w:rsid w:val="00C738AF"/>
    <w:rsid w:val="00C73969"/>
    <w:rsid w:val="00C73CE6"/>
    <w:rsid w:val="00C74403"/>
    <w:rsid w:val="00C74FC7"/>
    <w:rsid w:val="00C75604"/>
    <w:rsid w:val="00C7574D"/>
    <w:rsid w:val="00C7585F"/>
    <w:rsid w:val="00C759F9"/>
    <w:rsid w:val="00C75A97"/>
    <w:rsid w:val="00C7608A"/>
    <w:rsid w:val="00C76538"/>
    <w:rsid w:val="00C768D2"/>
    <w:rsid w:val="00C76A1C"/>
    <w:rsid w:val="00C76D23"/>
    <w:rsid w:val="00C76DB8"/>
    <w:rsid w:val="00C76EB7"/>
    <w:rsid w:val="00C76F0C"/>
    <w:rsid w:val="00C77336"/>
    <w:rsid w:val="00C773D8"/>
    <w:rsid w:val="00C773E2"/>
    <w:rsid w:val="00C777D0"/>
    <w:rsid w:val="00C7793A"/>
    <w:rsid w:val="00C80602"/>
    <w:rsid w:val="00C80629"/>
    <w:rsid w:val="00C80769"/>
    <w:rsid w:val="00C80A0B"/>
    <w:rsid w:val="00C80A28"/>
    <w:rsid w:val="00C81168"/>
    <w:rsid w:val="00C81327"/>
    <w:rsid w:val="00C81885"/>
    <w:rsid w:val="00C82053"/>
    <w:rsid w:val="00C82694"/>
    <w:rsid w:val="00C826F4"/>
    <w:rsid w:val="00C8287D"/>
    <w:rsid w:val="00C82898"/>
    <w:rsid w:val="00C82C44"/>
    <w:rsid w:val="00C82F56"/>
    <w:rsid w:val="00C83BAD"/>
    <w:rsid w:val="00C83D3C"/>
    <w:rsid w:val="00C83DFF"/>
    <w:rsid w:val="00C84F3D"/>
    <w:rsid w:val="00C85304"/>
    <w:rsid w:val="00C85D27"/>
    <w:rsid w:val="00C8699C"/>
    <w:rsid w:val="00C86A43"/>
    <w:rsid w:val="00C87A15"/>
    <w:rsid w:val="00C87B05"/>
    <w:rsid w:val="00C90316"/>
    <w:rsid w:val="00C90FFE"/>
    <w:rsid w:val="00C91860"/>
    <w:rsid w:val="00C926A8"/>
    <w:rsid w:val="00C92EE7"/>
    <w:rsid w:val="00C9378E"/>
    <w:rsid w:val="00C9415F"/>
    <w:rsid w:val="00C94AD8"/>
    <w:rsid w:val="00C954DE"/>
    <w:rsid w:val="00C955A7"/>
    <w:rsid w:val="00C95B20"/>
    <w:rsid w:val="00C95CA8"/>
    <w:rsid w:val="00C95D82"/>
    <w:rsid w:val="00C95EC9"/>
    <w:rsid w:val="00C966EA"/>
    <w:rsid w:val="00C96D1F"/>
    <w:rsid w:val="00C97036"/>
    <w:rsid w:val="00C9703E"/>
    <w:rsid w:val="00C9713F"/>
    <w:rsid w:val="00C9765A"/>
    <w:rsid w:val="00C976CB"/>
    <w:rsid w:val="00C97B6E"/>
    <w:rsid w:val="00C97CD6"/>
    <w:rsid w:val="00CA047E"/>
    <w:rsid w:val="00CA07A8"/>
    <w:rsid w:val="00CA127D"/>
    <w:rsid w:val="00CA15A4"/>
    <w:rsid w:val="00CA1B68"/>
    <w:rsid w:val="00CA1D94"/>
    <w:rsid w:val="00CA2397"/>
    <w:rsid w:val="00CA24CC"/>
    <w:rsid w:val="00CA25F2"/>
    <w:rsid w:val="00CA2835"/>
    <w:rsid w:val="00CA2A67"/>
    <w:rsid w:val="00CA2E07"/>
    <w:rsid w:val="00CA2EA9"/>
    <w:rsid w:val="00CA30C9"/>
    <w:rsid w:val="00CA3501"/>
    <w:rsid w:val="00CA38FD"/>
    <w:rsid w:val="00CA3A26"/>
    <w:rsid w:val="00CA3B2C"/>
    <w:rsid w:val="00CA3C64"/>
    <w:rsid w:val="00CA3CF5"/>
    <w:rsid w:val="00CA4987"/>
    <w:rsid w:val="00CA49E3"/>
    <w:rsid w:val="00CA57D8"/>
    <w:rsid w:val="00CA59F1"/>
    <w:rsid w:val="00CA5C2C"/>
    <w:rsid w:val="00CA6682"/>
    <w:rsid w:val="00CA7196"/>
    <w:rsid w:val="00CA7415"/>
    <w:rsid w:val="00CA77F9"/>
    <w:rsid w:val="00CA7986"/>
    <w:rsid w:val="00CA7BB7"/>
    <w:rsid w:val="00CA7CC9"/>
    <w:rsid w:val="00CA7DA8"/>
    <w:rsid w:val="00CB015E"/>
    <w:rsid w:val="00CB048A"/>
    <w:rsid w:val="00CB0D0A"/>
    <w:rsid w:val="00CB0D74"/>
    <w:rsid w:val="00CB0DC2"/>
    <w:rsid w:val="00CB1604"/>
    <w:rsid w:val="00CB1A25"/>
    <w:rsid w:val="00CB1DDF"/>
    <w:rsid w:val="00CB20DE"/>
    <w:rsid w:val="00CB2280"/>
    <w:rsid w:val="00CB28C5"/>
    <w:rsid w:val="00CB2999"/>
    <w:rsid w:val="00CB2AD9"/>
    <w:rsid w:val="00CB2B8A"/>
    <w:rsid w:val="00CB2F6D"/>
    <w:rsid w:val="00CB36B2"/>
    <w:rsid w:val="00CB379E"/>
    <w:rsid w:val="00CB43B7"/>
    <w:rsid w:val="00CB4F05"/>
    <w:rsid w:val="00CB52B2"/>
    <w:rsid w:val="00CB56B3"/>
    <w:rsid w:val="00CB58C4"/>
    <w:rsid w:val="00CB5CD4"/>
    <w:rsid w:val="00CB5D98"/>
    <w:rsid w:val="00CB621F"/>
    <w:rsid w:val="00CB64FB"/>
    <w:rsid w:val="00CB7198"/>
    <w:rsid w:val="00CB75B9"/>
    <w:rsid w:val="00CB7862"/>
    <w:rsid w:val="00CB7BCA"/>
    <w:rsid w:val="00CC08AB"/>
    <w:rsid w:val="00CC08CB"/>
    <w:rsid w:val="00CC0932"/>
    <w:rsid w:val="00CC0F27"/>
    <w:rsid w:val="00CC11B2"/>
    <w:rsid w:val="00CC1457"/>
    <w:rsid w:val="00CC15BA"/>
    <w:rsid w:val="00CC1822"/>
    <w:rsid w:val="00CC1AA0"/>
    <w:rsid w:val="00CC1D5C"/>
    <w:rsid w:val="00CC1F83"/>
    <w:rsid w:val="00CC225A"/>
    <w:rsid w:val="00CC2497"/>
    <w:rsid w:val="00CC2832"/>
    <w:rsid w:val="00CC2DB9"/>
    <w:rsid w:val="00CC2E17"/>
    <w:rsid w:val="00CC2EBF"/>
    <w:rsid w:val="00CC2F17"/>
    <w:rsid w:val="00CC3487"/>
    <w:rsid w:val="00CC3615"/>
    <w:rsid w:val="00CC3C9B"/>
    <w:rsid w:val="00CC3D92"/>
    <w:rsid w:val="00CC3DE3"/>
    <w:rsid w:val="00CC4E07"/>
    <w:rsid w:val="00CC4E64"/>
    <w:rsid w:val="00CC51AC"/>
    <w:rsid w:val="00CC5216"/>
    <w:rsid w:val="00CC5F52"/>
    <w:rsid w:val="00CC60A3"/>
    <w:rsid w:val="00CC65F9"/>
    <w:rsid w:val="00CC69A1"/>
    <w:rsid w:val="00CC6E8E"/>
    <w:rsid w:val="00CD0865"/>
    <w:rsid w:val="00CD15E9"/>
    <w:rsid w:val="00CD1EC8"/>
    <w:rsid w:val="00CD2172"/>
    <w:rsid w:val="00CD22FB"/>
    <w:rsid w:val="00CD23C0"/>
    <w:rsid w:val="00CD2541"/>
    <w:rsid w:val="00CD259D"/>
    <w:rsid w:val="00CD29E1"/>
    <w:rsid w:val="00CD32BE"/>
    <w:rsid w:val="00CD33FB"/>
    <w:rsid w:val="00CD369F"/>
    <w:rsid w:val="00CD36DD"/>
    <w:rsid w:val="00CD41B6"/>
    <w:rsid w:val="00CD4EC8"/>
    <w:rsid w:val="00CD59A9"/>
    <w:rsid w:val="00CD5C6D"/>
    <w:rsid w:val="00CD5DEB"/>
    <w:rsid w:val="00CD5E95"/>
    <w:rsid w:val="00CD61A1"/>
    <w:rsid w:val="00CD62AD"/>
    <w:rsid w:val="00CD648D"/>
    <w:rsid w:val="00CD678E"/>
    <w:rsid w:val="00CD6ABC"/>
    <w:rsid w:val="00CD6D12"/>
    <w:rsid w:val="00CD6FFB"/>
    <w:rsid w:val="00CD700D"/>
    <w:rsid w:val="00CD703D"/>
    <w:rsid w:val="00CD7297"/>
    <w:rsid w:val="00CD77C9"/>
    <w:rsid w:val="00CD78A0"/>
    <w:rsid w:val="00CE02FC"/>
    <w:rsid w:val="00CE066C"/>
    <w:rsid w:val="00CE0C8A"/>
    <w:rsid w:val="00CE0D62"/>
    <w:rsid w:val="00CE1002"/>
    <w:rsid w:val="00CE10D7"/>
    <w:rsid w:val="00CE1AC3"/>
    <w:rsid w:val="00CE1DA8"/>
    <w:rsid w:val="00CE2716"/>
    <w:rsid w:val="00CE27C2"/>
    <w:rsid w:val="00CE29EE"/>
    <w:rsid w:val="00CE2A96"/>
    <w:rsid w:val="00CE3358"/>
    <w:rsid w:val="00CE3568"/>
    <w:rsid w:val="00CE3CDE"/>
    <w:rsid w:val="00CE3E32"/>
    <w:rsid w:val="00CE3F63"/>
    <w:rsid w:val="00CE40E0"/>
    <w:rsid w:val="00CE4266"/>
    <w:rsid w:val="00CE46DA"/>
    <w:rsid w:val="00CE46DF"/>
    <w:rsid w:val="00CE51EC"/>
    <w:rsid w:val="00CE532D"/>
    <w:rsid w:val="00CE562C"/>
    <w:rsid w:val="00CE5BA2"/>
    <w:rsid w:val="00CE63E3"/>
    <w:rsid w:val="00CE6A8B"/>
    <w:rsid w:val="00CE6C3B"/>
    <w:rsid w:val="00CE6E43"/>
    <w:rsid w:val="00CE72A2"/>
    <w:rsid w:val="00CE7714"/>
    <w:rsid w:val="00CE78CC"/>
    <w:rsid w:val="00CE7966"/>
    <w:rsid w:val="00CF059A"/>
    <w:rsid w:val="00CF07CD"/>
    <w:rsid w:val="00CF0A54"/>
    <w:rsid w:val="00CF0AA9"/>
    <w:rsid w:val="00CF0DBB"/>
    <w:rsid w:val="00CF0FEA"/>
    <w:rsid w:val="00CF14CB"/>
    <w:rsid w:val="00CF1526"/>
    <w:rsid w:val="00CF17FC"/>
    <w:rsid w:val="00CF22CD"/>
    <w:rsid w:val="00CF23F9"/>
    <w:rsid w:val="00CF241A"/>
    <w:rsid w:val="00CF2484"/>
    <w:rsid w:val="00CF253D"/>
    <w:rsid w:val="00CF2A46"/>
    <w:rsid w:val="00CF2B3F"/>
    <w:rsid w:val="00CF34BD"/>
    <w:rsid w:val="00CF3A48"/>
    <w:rsid w:val="00CF40D8"/>
    <w:rsid w:val="00CF48C1"/>
    <w:rsid w:val="00CF4AC7"/>
    <w:rsid w:val="00CF4B79"/>
    <w:rsid w:val="00CF4DB2"/>
    <w:rsid w:val="00CF5698"/>
    <w:rsid w:val="00CF57FE"/>
    <w:rsid w:val="00CF6873"/>
    <w:rsid w:val="00CF68C3"/>
    <w:rsid w:val="00CF6E19"/>
    <w:rsid w:val="00CF6EA4"/>
    <w:rsid w:val="00CF702C"/>
    <w:rsid w:val="00CF7218"/>
    <w:rsid w:val="00CF747A"/>
    <w:rsid w:val="00CF7915"/>
    <w:rsid w:val="00CF7962"/>
    <w:rsid w:val="00CF7D72"/>
    <w:rsid w:val="00CF7FDA"/>
    <w:rsid w:val="00D00264"/>
    <w:rsid w:val="00D003C2"/>
    <w:rsid w:val="00D00EEC"/>
    <w:rsid w:val="00D010B2"/>
    <w:rsid w:val="00D01309"/>
    <w:rsid w:val="00D01839"/>
    <w:rsid w:val="00D01F41"/>
    <w:rsid w:val="00D020D1"/>
    <w:rsid w:val="00D022B9"/>
    <w:rsid w:val="00D03DCD"/>
    <w:rsid w:val="00D043B2"/>
    <w:rsid w:val="00D0445D"/>
    <w:rsid w:val="00D04FAF"/>
    <w:rsid w:val="00D0554D"/>
    <w:rsid w:val="00D05806"/>
    <w:rsid w:val="00D059EE"/>
    <w:rsid w:val="00D05C90"/>
    <w:rsid w:val="00D05CC4"/>
    <w:rsid w:val="00D0605A"/>
    <w:rsid w:val="00D065AF"/>
    <w:rsid w:val="00D068B9"/>
    <w:rsid w:val="00D06B4D"/>
    <w:rsid w:val="00D06C16"/>
    <w:rsid w:val="00D0735D"/>
    <w:rsid w:val="00D07881"/>
    <w:rsid w:val="00D079B7"/>
    <w:rsid w:val="00D07A09"/>
    <w:rsid w:val="00D10091"/>
    <w:rsid w:val="00D109D5"/>
    <w:rsid w:val="00D10F40"/>
    <w:rsid w:val="00D110D2"/>
    <w:rsid w:val="00D1112B"/>
    <w:rsid w:val="00D112D2"/>
    <w:rsid w:val="00D118EC"/>
    <w:rsid w:val="00D119F3"/>
    <w:rsid w:val="00D11C2B"/>
    <w:rsid w:val="00D11D6A"/>
    <w:rsid w:val="00D11FC5"/>
    <w:rsid w:val="00D121E6"/>
    <w:rsid w:val="00D124C4"/>
    <w:rsid w:val="00D12CB8"/>
    <w:rsid w:val="00D13599"/>
    <w:rsid w:val="00D138FE"/>
    <w:rsid w:val="00D13B3D"/>
    <w:rsid w:val="00D13D52"/>
    <w:rsid w:val="00D14005"/>
    <w:rsid w:val="00D149EC"/>
    <w:rsid w:val="00D1545B"/>
    <w:rsid w:val="00D157B0"/>
    <w:rsid w:val="00D15854"/>
    <w:rsid w:val="00D15B5C"/>
    <w:rsid w:val="00D15BD6"/>
    <w:rsid w:val="00D16142"/>
    <w:rsid w:val="00D1636A"/>
    <w:rsid w:val="00D16715"/>
    <w:rsid w:val="00D1681B"/>
    <w:rsid w:val="00D168AD"/>
    <w:rsid w:val="00D16974"/>
    <w:rsid w:val="00D16DD1"/>
    <w:rsid w:val="00D16F06"/>
    <w:rsid w:val="00D17566"/>
    <w:rsid w:val="00D17BEF"/>
    <w:rsid w:val="00D204CC"/>
    <w:rsid w:val="00D209C4"/>
    <w:rsid w:val="00D20B59"/>
    <w:rsid w:val="00D20D66"/>
    <w:rsid w:val="00D21DD9"/>
    <w:rsid w:val="00D220E8"/>
    <w:rsid w:val="00D22DEA"/>
    <w:rsid w:val="00D22F87"/>
    <w:rsid w:val="00D230DE"/>
    <w:rsid w:val="00D23904"/>
    <w:rsid w:val="00D23EA7"/>
    <w:rsid w:val="00D23F33"/>
    <w:rsid w:val="00D24229"/>
    <w:rsid w:val="00D25556"/>
    <w:rsid w:val="00D259F9"/>
    <w:rsid w:val="00D25DFE"/>
    <w:rsid w:val="00D26228"/>
    <w:rsid w:val="00D265C1"/>
    <w:rsid w:val="00D26648"/>
    <w:rsid w:val="00D2672A"/>
    <w:rsid w:val="00D270F1"/>
    <w:rsid w:val="00D27470"/>
    <w:rsid w:val="00D2759D"/>
    <w:rsid w:val="00D27601"/>
    <w:rsid w:val="00D27B39"/>
    <w:rsid w:val="00D27C8B"/>
    <w:rsid w:val="00D27E1A"/>
    <w:rsid w:val="00D3056E"/>
    <w:rsid w:val="00D307E6"/>
    <w:rsid w:val="00D308C1"/>
    <w:rsid w:val="00D30D7B"/>
    <w:rsid w:val="00D3215C"/>
    <w:rsid w:val="00D32A38"/>
    <w:rsid w:val="00D32F98"/>
    <w:rsid w:val="00D33520"/>
    <w:rsid w:val="00D33589"/>
    <w:rsid w:val="00D3395A"/>
    <w:rsid w:val="00D34195"/>
    <w:rsid w:val="00D344A9"/>
    <w:rsid w:val="00D3480D"/>
    <w:rsid w:val="00D34B3A"/>
    <w:rsid w:val="00D35423"/>
    <w:rsid w:val="00D35810"/>
    <w:rsid w:val="00D35CEA"/>
    <w:rsid w:val="00D35D36"/>
    <w:rsid w:val="00D3696E"/>
    <w:rsid w:val="00D37657"/>
    <w:rsid w:val="00D37DC2"/>
    <w:rsid w:val="00D4010E"/>
    <w:rsid w:val="00D401A5"/>
    <w:rsid w:val="00D402D2"/>
    <w:rsid w:val="00D4054F"/>
    <w:rsid w:val="00D40865"/>
    <w:rsid w:val="00D40F69"/>
    <w:rsid w:val="00D41686"/>
    <w:rsid w:val="00D4195A"/>
    <w:rsid w:val="00D41E59"/>
    <w:rsid w:val="00D42151"/>
    <w:rsid w:val="00D42219"/>
    <w:rsid w:val="00D426F1"/>
    <w:rsid w:val="00D427C4"/>
    <w:rsid w:val="00D427FF"/>
    <w:rsid w:val="00D42F2F"/>
    <w:rsid w:val="00D433E5"/>
    <w:rsid w:val="00D43572"/>
    <w:rsid w:val="00D43693"/>
    <w:rsid w:val="00D44748"/>
    <w:rsid w:val="00D44C31"/>
    <w:rsid w:val="00D44CC9"/>
    <w:rsid w:val="00D44EC7"/>
    <w:rsid w:val="00D44EF8"/>
    <w:rsid w:val="00D45267"/>
    <w:rsid w:val="00D455B6"/>
    <w:rsid w:val="00D45603"/>
    <w:rsid w:val="00D458C6"/>
    <w:rsid w:val="00D45BB6"/>
    <w:rsid w:val="00D46973"/>
    <w:rsid w:val="00D46CAF"/>
    <w:rsid w:val="00D46DC0"/>
    <w:rsid w:val="00D46DC4"/>
    <w:rsid w:val="00D46FDB"/>
    <w:rsid w:val="00D47903"/>
    <w:rsid w:val="00D47BAF"/>
    <w:rsid w:val="00D47CD7"/>
    <w:rsid w:val="00D503DE"/>
    <w:rsid w:val="00D50873"/>
    <w:rsid w:val="00D50AAD"/>
    <w:rsid w:val="00D50E7F"/>
    <w:rsid w:val="00D516BB"/>
    <w:rsid w:val="00D51826"/>
    <w:rsid w:val="00D51F10"/>
    <w:rsid w:val="00D52557"/>
    <w:rsid w:val="00D5318F"/>
    <w:rsid w:val="00D53878"/>
    <w:rsid w:val="00D53A73"/>
    <w:rsid w:val="00D5438D"/>
    <w:rsid w:val="00D5508A"/>
    <w:rsid w:val="00D554A3"/>
    <w:rsid w:val="00D554D4"/>
    <w:rsid w:val="00D5581D"/>
    <w:rsid w:val="00D5599F"/>
    <w:rsid w:val="00D55C3A"/>
    <w:rsid w:val="00D55F4C"/>
    <w:rsid w:val="00D57609"/>
    <w:rsid w:val="00D576E0"/>
    <w:rsid w:val="00D57B8B"/>
    <w:rsid w:val="00D57C4C"/>
    <w:rsid w:val="00D57FC0"/>
    <w:rsid w:val="00D5F95D"/>
    <w:rsid w:val="00D60E84"/>
    <w:rsid w:val="00D60FE4"/>
    <w:rsid w:val="00D615D9"/>
    <w:rsid w:val="00D62318"/>
    <w:rsid w:val="00D62481"/>
    <w:rsid w:val="00D62956"/>
    <w:rsid w:val="00D62B55"/>
    <w:rsid w:val="00D6321F"/>
    <w:rsid w:val="00D63925"/>
    <w:rsid w:val="00D63C48"/>
    <w:rsid w:val="00D64086"/>
    <w:rsid w:val="00D64094"/>
    <w:rsid w:val="00D64470"/>
    <w:rsid w:val="00D6499B"/>
    <w:rsid w:val="00D649FF"/>
    <w:rsid w:val="00D64C09"/>
    <w:rsid w:val="00D64F15"/>
    <w:rsid w:val="00D652BF"/>
    <w:rsid w:val="00D653CA"/>
    <w:rsid w:val="00D65C96"/>
    <w:rsid w:val="00D660C6"/>
    <w:rsid w:val="00D66302"/>
    <w:rsid w:val="00D66AF1"/>
    <w:rsid w:val="00D67B87"/>
    <w:rsid w:val="00D67BB5"/>
    <w:rsid w:val="00D67F61"/>
    <w:rsid w:val="00D70500"/>
    <w:rsid w:val="00D70966"/>
    <w:rsid w:val="00D70B3E"/>
    <w:rsid w:val="00D70FDC"/>
    <w:rsid w:val="00D712AA"/>
    <w:rsid w:val="00D71927"/>
    <w:rsid w:val="00D71A44"/>
    <w:rsid w:val="00D7233D"/>
    <w:rsid w:val="00D72473"/>
    <w:rsid w:val="00D726DD"/>
    <w:rsid w:val="00D72816"/>
    <w:rsid w:val="00D73036"/>
    <w:rsid w:val="00D73F86"/>
    <w:rsid w:val="00D73FC2"/>
    <w:rsid w:val="00D7416F"/>
    <w:rsid w:val="00D7439E"/>
    <w:rsid w:val="00D743B0"/>
    <w:rsid w:val="00D743C8"/>
    <w:rsid w:val="00D743FA"/>
    <w:rsid w:val="00D744D3"/>
    <w:rsid w:val="00D74B5F"/>
    <w:rsid w:val="00D74CB6"/>
    <w:rsid w:val="00D74DE2"/>
    <w:rsid w:val="00D752E2"/>
    <w:rsid w:val="00D7549E"/>
    <w:rsid w:val="00D75AC5"/>
    <w:rsid w:val="00D75F83"/>
    <w:rsid w:val="00D765AA"/>
    <w:rsid w:val="00D76C37"/>
    <w:rsid w:val="00D76FF6"/>
    <w:rsid w:val="00D7709A"/>
    <w:rsid w:val="00D772E4"/>
    <w:rsid w:val="00D7755C"/>
    <w:rsid w:val="00D7780A"/>
    <w:rsid w:val="00D778C3"/>
    <w:rsid w:val="00D77AD7"/>
    <w:rsid w:val="00D77E44"/>
    <w:rsid w:val="00D80190"/>
    <w:rsid w:val="00D801C4"/>
    <w:rsid w:val="00D801D3"/>
    <w:rsid w:val="00D807FB"/>
    <w:rsid w:val="00D80D30"/>
    <w:rsid w:val="00D814DA"/>
    <w:rsid w:val="00D8161B"/>
    <w:rsid w:val="00D8219D"/>
    <w:rsid w:val="00D821DF"/>
    <w:rsid w:val="00D8288D"/>
    <w:rsid w:val="00D830FD"/>
    <w:rsid w:val="00D83463"/>
    <w:rsid w:val="00D83930"/>
    <w:rsid w:val="00D83ABF"/>
    <w:rsid w:val="00D84454"/>
    <w:rsid w:val="00D8458F"/>
    <w:rsid w:val="00D84594"/>
    <w:rsid w:val="00D84B19"/>
    <w:rsid w:val="00D84D00"/>
    <w:rsid w:val="00D84E10"/>
    <w:rsid w:val="00D8573E"/>
    <w:rsid w:val="00D85C54"/>
    <w:rsid w:val="00D85E3B"/>
    <w:rsid w:val="00D86586"/>
    <w:rsid w:val="00D86681"/>
    <w:rsid w:val="00D87126"/>
    <w:rsid w:val="00D87353"/>
    <w:rsid w:val="00D87E99"/>
    <w:rsid w:val="00D87F1A"/>
    <w:rsid w:val="00D90999"/>
    <w:rsid w:val="00D90AF6"/>
    <w:rsid w:val="00D90FAA"/>
    <w:rsid w:val="00D91292"/>
    <w:rsid w:val="00D912EE"/>
    <w:rsid w:val="00D91624"/>
    <w:rsid w:val="00D91D1D"/>
    <w:rsid w:val="00D91F28"/>
    <w:rsid w:val="00D91F2A"/>
    <w:rsid w:val="00D91FFC"/>
    <w:rsid w:val="00D921AF"/>
    <w:rsid w:val="00D921F0"/>
    <w:rsid w:val="00D93DF5"/>
    <w:rsid w:val="00D94909"/>
    <w:rsid w:val="00D949EA"/>
    <w:rsid w:val="00D94C65"/>
    <w:rsid w:val="00D94D12"/>
    <w:rsid w:val="00D95655"/>
    <w:rsid w:val="00D95837"/>
    <w:rsid w:val="00D95B6E"/>
    <w:rsid w:val="00D9664C"/>
    <w:rsid w:val="00D96681"/>
    <w:rsid w:val="00D96D27"/>
    <w:rsid w:val="00D96D76"/>
    <w:rsid w:val="00D96DD8"/>
    <w:rsid w:val="00D96FF4"/>
    <w:rsid w:val="00D9712C"/>
    <w:rsid w:val="00D979DB"/>
    <w:rsid w:val="00DA018F"/>
    <w:rsid w:val="00DA01F0"/>
    <w:rsid w:val="00DA0358"/>
    <w:rsid w:val="00DA075E"/>
    <w:rsid w:val="00DA1917"/>
    <w:rsid w:val="00DA1A40"/>
    <w:rsid w:val="00DA1A87"/>
    <w:rsid w:val="00DA229F"/>
    <w:rsid w:val="00DA22BA"/>
    <w:rsid w:val="00DA2C7B"/>
    <w:rsid w:val="00DA328B"/>
    <w:rsid w:val="00DA39F1"/>
    <w:rsid w:val="00DA3EF1"/>
    <w:rsid w:val="00DA3F92"/>
    <w:rsid w:val="00DA4820"/>
    <w:rsid w:val="00DA4D27"/>
    <w:rsid w:val="00DA4DF9"/>
    <w:rsid w:val="00DA5055"/>
    <w:rsid w:val="00DA509D"/>
    <w:rsid w:val="00DA5CC2"/>
    <w:rsid w:val="00DA5E74"/>
    <w:rsid w:val="00DA6261"/>
    <w:rsid w:val="00DA629B"/>
    <w:rsid w:val="00DA7750"/>
    <w:rsid w:val="00DA7AF9"/>
    <w:rsid w:val="00DA7C45"/>
    <w:rsid w:val="00DB033B"/>
    <w:rsid w:val="00DB0891"/>
    <w:rsid w:val="00DB0A2D"/>
    <w:rsid w:val="00DB0F00"/>
    <w:rsid w:val="00DB10EF"/>
    <w:rsid w:val="00DB144F"/>
    <w:rsid w:val="00DB1503"/>
    <w:rsid w:val="00DB1931"/>
    <w:rsid w:val="00DB19CC"/>
    <w:rsid w:val="00DB1AC7"/>
    <w:rsid w:val="00DB2042"/>
    <w:rsid w:val="00DB2DCE"/>
    <w:rsid w:val="00DB3201"/>
    <w:rsid w:val="00DB336D"/>
    <w:rsid w:val="00DB36CE"/>
    <w:rsid w:val="00DB382E"/>
    <w:rsid w:val="00DB39F7"/>
    <w:rsid w:val="00DB3AC4"/>
    <w:rsid w:val="00DB3DDB"/>
    <w:rsid w:val="00DB3E68"/>
    <w:rsid w:val="00DB477B"/>
    <w:rsid w:val="00DB48C2"/>
    <w:rsid w:val="00DB4966"/>
    <w:rsid w:val="00DB52F1"/>
    <w:rsid w:val="00DB5324"/>
    <w:rsid w:val="00DB5447"/>
    <w:rsid w:val="00DB67DC"/>
    <w:rsid w:val="00DB70DC"/>
    <w:rsid w:val="00DB7236"/>
    <w:rsid w:val="00DB757C"/>
    <w:rsid w:val="00DB75CA"/>
    <w:rsid w:val="00DB7BA0"/>
    <w:rsid w:val="00DB7D69"/>
    <w:rsid w:val="00DB7F0E"/>
    <w:rsid w:val="00DB7F75"/>
    <w:rsid w:val="00DC01BE"/>
    <w:rsid w:val="00DC0209"/>
    <w:rsid w:val="00DC0300"/>
    <w:rsid w:val="00DC0306"/>
    <w:rsid w:val="00DC0D96"/>
    <w:rsid w:val="00DC0DE9"/>
    <w:rsid w:val="00DC0E1A"/>
    <w:rsid w:val="00DC0EB6"/>
    <w:rsid w:val="00DC1723"/>
    <w:rsid w:val="00DC176D"/>
    <w:rsid w:val="00DC184D"/>
    <w:rsid w:val="00DC1B0E"/>
    <w:rsid w:val="00DC2C2D"/>
    <w:rsid w:val="00DC2FDE"/>
    <w:rsid w:val="00DC3D25"/>
    <w:rsid w:val="00DC43F2"/>
    <w:rsid w:val="00DC470B"/>
    <w:rsid w:val="00DC4965"/>
    <w:rsid w:val="00DC4A02"/>
    <w:rsid w:val="00DC4B36"/>
    <w:rsid w:val="00DC50F9"/>
    <w:rsid w:val="00DC5D77"/>
    <w:rsid w:val="00DC5EC1"/>
    <w:rsid w:val="00DC5EE5"/>
    <w:rsid w:val="00DC6825"/>
    <w:rsid w:val="00DC6EA2"/>
    <w:rsid w:val="00DC6ED1"/>
    <w:rsid w:val="00DC6FA8"/>
    <w:rsid w:val="00DC70F2"/>
    <w:rsid w:val="00DC771B"/>
    <w:rsid w:val="00DC7AA2"/>
    <w:rsid w:val="00DC7B61"/>
    <w:rsid w:val="00DD0567"/>
    <w:rsid w:val="00DD0629"/>
    <w:rsid w:val="00DD0939"/>
    <w:rsid w:val="00DD0A01"/>
    <w:rsid w:val="00DD0A47"/>
    <w:rsid w:val="00DD0C22"/>
    <w:rsid w:val="00DD0E29"/>
    <w:rsid w:val="00DD0F93"/>
    <w:rsid w:val="00DD14FA"/>
    <w:rsid w:val="00DD23CE"/>
    <w:rsid w:val="00DD27BD"/>
    <w:rsid w:val="00DD2E57"/>
    <w:rsid w:val="00DD2ED8"/>
    <w:rsid w:val="00DD31A1"/>
    <w:rsid w:val="00DD3BCB"/>
    <w:rsid w:val="00DD3E2C"/>
    <w:rsid w:val="00DD47A7"/>
    <w:rsid w:val="00DD490A"/>
    <w:rsid w:val="00DD55E9"/>
    <w:rsid w:val="00DD5611"/>
    <w:rsid w:val="00DD5E48"/>
    <w:rsid w:val="00DD60B3"/>
    <w:rsid w:val="00DD62D0"/>
    <w:rsid w:val="00DD67D0"/>
    <w:rsid w:val="00DD6AF6"/>
    <w:rsid w:val="00DD6BBC"/>
    <w:rsid w:val="00DD6F80"/>
    <w:rsid w:val="00DD7006"/>
    <w:rsid w:val="00DD752B"/>
    <w:rsid w:val="00DD75EA"/>
    <w:rsid w:val="00DD77A2"/>
    <w:rsid w:val="00DD7D26"/>
    <w:rsid w:val="00DD7DBF"/>
    <w:rsid w:val="00DE04B3"/>
    <w:rsid w:val="00DE05D5"/>
    <w:rsid w:val="00DE0740"/>
    <w:rsid w:val="00DE0D82"/>
    <w:rsid w:val="00DE16B7"/>
    <w:rsid w:val="00DE1986"/>
    <w:rsid w:val="00DE1E86"/>
    <w:rsid w:val="00DE21F7"/>
    <w:rsid w:val="00DE2313"/>
    <w:rsid w:val="00DE2634"/>
    <w:rsid w:val="00DE2801"/>
    <w:rsid w:val="00DE2B84"/>
    <w:rsid w:val="00DE2D50"/>
    <w:rsid w:val="00DE2E04"/>
    <w:rsid w:val="00DE309E"/>
    <w:rsid w:val="00DE340E"/>
    <w:rsid w:val="00DE3D21"/>
    <w:rsid w:val="00DE3FA9"/>
    <w:rsid w:val="00DE40E5"/>
    <w:rsid w:val="00DE4361"/>
    <w:rsid w:val="00DE4596"/>
    <w:rsid w:val="00DE480F"/>
    <w:rsid w:val="00DE4A47"/>
    <w:rsid w:val="00DE4D9C"/>
    <w:rsid w:val="00DE51F4"/>
    <w:rsid w:val="00DE5A8E"/>
    <w:rsid w:val="00DE5AB2"/>
    <w:rsid w:val="00DE5AD3"/>
    <w:rsid w:val="00DE604F"/>
    <w:rsid w:val="00DE6B6F"/>
    <w:rsid w:val="00DE75EE"/>
    <w:rsid w:val="00DE7DD2"/>
    <w:rsid w:val="00DE7FCC"/>
    <w:rsid w:val="00DF00A4"/>
    <w:rsid w:val="00DF05EE"/>
    <w:rsid w:val="00DF083E"/>
    <w:rsid w:val="00DF0BBC"/>
    <w:rsid w:val="00DF108D"/>
    <w:rsid w:val="00DF155F"/>
    <w:rsid w:val="00DF1BEE"/>
    <w:rsid w:val="00DF1D86"/>
    <w:rsid w:val="00DF26A8"/>
    <w:rsid w:val="00DF27A2"/>
    <w:rsid w:val="00DF2FF0"/>
    <w:rsid w:val="00DF380D"/>
    <w:rsid w:val="00DF38C5"/>
    <w:rsid w:val="00DF3959"/>
    <w:rsid w:val="00DF3E93"/>
    <w:rsid w:val="00DF481D"/>
    <w:rsid w:val="00DF4B4F"/>
    <w:rsid w:val="00DF4C9F"/>
    <w:rsid w:val="00DF51B3"/>
    <w:rsid w:val="00DF51D3"/>
    <w:rsid w:val="00DF55AF"/>
    <w:rsid w:val="00DF5C09"/>
    <w:rsid w:val="00DF6270"/>
    <w:rsid w:val="00DF62E3"/>
    <w:rsid w:val="00DF67CA"/>
    <w:rsid w:val="00DF67F0"/>
    <w:rsid w:val="00DF6974"/>
    <w:rsid w:val="00DF69E7"/>
    <w:rsid w:val="00DF6EFC"/>
    <w:rsid w:val="00DF77D5"/>
    <w:rsid w:val="00DF7C1E"/>
    <w:rsid w:val="00DF7D7C"/>
    <w:rsid w:val="00DF7F4A"/>
    <w:rsid w:val="00E00382"/>
    <w:rsid w:val="00E0070F"/>
    <w:rsid w:val="00E00881"/>
    <w:rsid w:val="00E00B19"/>
    <w:rsid w:val="00E00B6B"/>
    <w:rsid w:val="00E00C37"/>
    <w:rsid w:val="00E00F09"/>
    <w:rsid w:val="00E01AD4"/>
    <w:rsid w:val="00E01B36"/>
    <w:rsid w:val="00E01BC8"/>
    <w:rsid w:val="00E01C05"/>
    <w:rsid w:val="00E0354B"/>
    <w:rsid w:val="00E03756"/>
    <w:rsid w:val="00E0413A"/>
    <w:rsid w:val="00E0434D"/>
    <w:rsid w:val="00E04D6C"/>
    <w:rsid w:val="00E04EDA"/>
    <w:rsid w:val="00E0514D"/>
    <w:rsid w:val="00E051E3"/>
    <w:rsid w:val="00E05767"/>
    <w:rsid w:val="00E05A21"/>
    <w:rsid w:val="00E05B9A"/>
    <w:rsid w:val="00E06264"/>
    <w:rsid w:val="00E064C9"/>
    <w:rsid w:val="00E0679D"/>
    <w:rsid w:val="00E07854"/>
    <w:rsid w:val="00E07A29"/>
    <w:rsid w:val="00E07CB8"/>
    <w:rsid w:val="00E07D07"/>
    <w:rsid w:val="00E1001B"/>
    <w:rsid w:val="00E10202"/>
    <w:rsid w:val="00E103EF"/>
    <w:rsid w:val="00E10489"/>
    <w:rsid w:val="00E106B9"/>
    <w:rsid w:val="00E108C3"/>
    <w:rsid w:val="00E1091C"/>
    <w:rsid w:val="00E10C06"/>
    <w:rsid w:val="00E117CE"/>
    <w:rsid w:val="00E11FAA"/>
    <w:rsid w:val="00E121C3"/>
    <w:rsid w:val="00E12223"/>
    <w:rsid w:val="00E132FB"/>
    <w:rsid w:val="00E136FB"/>
    <w:rsid w:val="00E138A8"/>
    <w:rsid w:val="00E139B5"/>
    <w:rsid w:val="00E13E48"/>
    <w:rsid w:val="00E13F8A"/>
    <w:rsid w:val="00E13FDD"/>
    <w:rsid w:val="00E142AA"/>
    <w:rsid w:val="00E143DD"/>
    <w:rsid w:val="00E15402"/>
    <w:rsid w:val="00E15E29"/>
    <w:rsid w:val="00E16035"/>
    <w:rsid w:val="00E16067"/>
    <w:rsid w:val="00E1654A"/>
    <w:rsid w:val="00E16E54"/>
    <w:rsid w:val="00E200CA"/>
    <w:rsid w:val="00E201FE"/>
    <w:rsid w:val="00E206C8"/>
    <w:rsid w:val="00E2074D"/>
    <w:rsid w:val="00E20E34"/>
    <w:rsid w:val="00E210BB"/>
    <w:rsid w:val="00E21126"/>
    <w:rsid w:val="00E2149E"/>
    <w:rsid w:val="00E2185A"/>
    <w:rsid w:val="00E21A1F"/>
    <w:rsid w:val="00E21C74"/>
    <w:rsid w:val="00E21CA8"/>
    <w:rsid w:val="00E227EE"/>
    <w:rsid w:val="00E22981"/>
    <w:rsid w:val="00E22BDF"/>
    <w:rsid w:val="00E22DE9"/>
    <w:rsid w:val="00E23028"/>
    <w:rsid w:val="00E23273"/>
    <w:rsid w:val="00E23CBD"/>
    <w:rsid w:val="00E245E3"/>
    <w:rsid w:val="00E247C7"/>
    <w:rsid w:val="00E255FC"/>
    <w:rsid w:val="00E25951"/>
    <w:rsid w:val="00E25991"/>
    <w:rsid w:val="00E25CA4"/>
    <w:rsid w:val="00E25CEF"/>
    <w:rsid w:val="00E2613B"/>
    <w:rsid w:val="00E262D1"/>
    <w:rsid w:val="00E264BE"/>
    <w:rsid w:val="00E26528"/>
    <w:rsid w:val="00E2657B"/>
    <w:rsid w:val="00E267E7"/>
    <w:rsid w:val="00E26F07"/>
    <w:rsid w:val="00E27C4D"/>
    <w:rsid w:val="00E27ECD"/>
    <w:rsid w:val="00E3032C"/>
    <w:rsid w:val="00E305E7"/>
    <w:rsid w:val="00E30898"/>
    <w:rsid w:val="00E30C18"/>
    <w:rsid w:val="00E31C28"/>
    <w:rsid w:val="00E31C45"/>
    <w:rsid w:val="00E31D36"/>
    <w:rsid w:val="00E320BF"/>
    <w:rsid w:val="00E325BF"/>
    <w:rsid w:val="00E32BC8"/>
    <w:rsid w:val="00E32DA7"/>
    <w:rsid w:val="00E32DFD"/>
    <w:rsid w:val="00E338B7"/>
    <w:rsid w:val="00E33B05"/>
    <w:rsid w:val="00E34003"/>
    <w:rsid w:val="00E34477"/>
    <w:rsid w:val="00E34621"/>
    <w:rsid w:val="00E34A10"/>
    <w:rsid w:val="00E34B77"/>
    <w:rsid w:val="00E34C05"/>
    <w:rsid w:val="00E34CA5"/>
    <w:rsid w:val="00E35123"/>
    <w:rsid w:val="00E35566"/>
    <w:rsid w:val="00E357CF"/>
    <w:rsid w:val="00E358EC"/>
    <w:rsid w:val="00E35C5E"/>
    <w:rsid w:val="00E35CE3"/>
    <w:rsid w:val="00E35D79"/>
    <w:rsid w:val="00E35FA8"/>
    <w:rsid w:val="00E36922"/>
    <w:rsid w:val="00E376B8"/>
    <w:rsid w:val="00E37E30"/>
    <w:rsid w:val="00E40BB9"/>
    <w:rsid w:val="00E40E92"/>
    <w:rsid w:val="00E4203A"/>
    <w:rsid w:val="00E4234C"/>
    <w:rsid w:val="00E425A2"/>
    <w:rsid w:val="00E42803"/>
    <w:rsid w:val="00E42D06"/>
    <w:rsid w:val="00E42D69"/>
    <w:rsid w:val="00E42DEA"/>
    <w:rsid w:val="00E42F64"/>
    <w:rsid w:val="00E43494"/>
    <w:rsid w:val="00E43E0A"/>
    <w:rsid w:val="00E440A5"/>
    <w:rsid w:val="00E44597"/>
    <w:rsid w:val="00E44651"/>
    <w:rsid w:val="00E446A0"/>
    <w:rsid w:val="00E449B5"/>
    <w:rsid w:val="00E44BA9"/>
    <w:rsid w:val="00E44D6E"/>
    <w:rsid w:val="00E44F7E"/>
    <w:rsid w:val="00E4508E"/>
    <w:rsid w:val="00E452C0"/>
    <w:rsid w:val="00E45D9B"/>
    <w:rsid w:val="00E45EEA"/>
    <w:rsid w:val="00E4611E"/>
    <w:rsid w:val="00E4652B"/>
    <w:rsid w:val="00E465B1"/>
    <w:rsid w:val="00E46CA3"/>
    <w:rsid w:val="00E46F31"/>
    <w:rsid w:val="00E4724C"/>
    <w:rsid w:val="00E47382"/>
    <w:rsid w:val="00E4757D"/>
    <w:rsid w:val="00E47C1D"/>
    <w:rsid w:val="00E47D75"/>
    <w:rsid w:val="00E506F5"/>
    <w:rsid w:val="00E510A9"/>
    <w:rsid w:val="00E51934"/>
    <w:rsid w:val="00E51A5B"/>
    <w:rsid w:val="00E51EA8"/>
    <w:rsid w:val="00E52582"/>
    <w:rsid w:val="00E5259A"/>
    <w:rsid w:val="00E52A86"/>
    <w:rsid w:val="00E5308D"/>
    <w:rsid w:val="00E5356E"/>
    <w:rsid w:val="00E53717"/>
    <w:rsid w:val="00E53847"/>
    <w:rsid w:val="00E53B41"/>
    <w:rsid w:val="00E53BAD"/>
    <w:rsid w:val="00E53CF0"/>
    <w:rsid w:val="00E53FFB"/>
    <w:rsid w:val="00E5422B"/>
    <w:rsid w:val="00E54311"/>
    <w:rsid w:val="00E544D2"/>
    <w:rsid w:val="00E54565"/>
    <w:rsid w:val="00E54798"/>
    <w:rsid w:val="00E547B9"/>
    <w:rsid w:val="00E54809"/>
    <w:rsid w:val="00E548A5"/>
    <w:rsid w:val="00E549A0"/>
    <w:rsid w:val="00E54C3B"/>
    <w:rsid w:val="00E54E87"/>
    <w:rsid w:val="00E55994"/>
    <w:rsid w:val="00E5608A"/>
    <w:rsid w:val="00E563F2"/>
    <w:rsid w:val="00E5675F"/>
    <w:rsid w:val="00E56763"/>
    <w:rsid w:val="00E569F4"/>
    <w:rsid w:val="00E56C7B"/>
    <w:rsid w:val="00E56E9D"/>
    <w:rsid w:val="00E570AB"/>
    <w:rsid w:val="00E570EA"/>
    <w:rsid w:val="00E575D6"/>
    <w:rsid w:val="00E600A7"/>
    <w:rsid w:val="00E604D0"/>
    <w:rsid w:val="00E60CFF"/>
    <w:rsid w:val="00E6139B"/>
    <w:rsid w:val="00E615A5"/>
    <w:rsid w:val="00E61942"/>
    <w:rsid w:val="00E61A3A"/>
    <w:rsid w:val="00E61DEB"/>
    <w:rsid w:val="00E627A0"/>
    <w:rsid w:val="00E628B6"/>
    <w:rsid w:val="00E62F8E"/>
    <w:rsid w:val="00E63CD5"/>
    <w:rsid w:val="00E64233"/>
    <w:rsid w:val="00E643AE"/>
    <w:rsid w:val="00E64544"/>
    <w:rsid w:val="00E64EF3"/>
    <w:rsid w:val="00E653A6"/>
    <w:rsid w:val="00E659AD"/>
    <w:rsid w:val="00E659B0"/>
    <w:rsid w:val="00E65E58"/>
    <w:rsid w:val="00E65E8C"/>
    <w:rsid w:val="00E662D6"/>
    <w:rsid w:val="00E66598"/>
    <w:rsid w:val="00E66821"/>
    <w:rsid w:val="00E66E1E"/>
    <w:rsid w:val="00E70001"/>
    <w:rsid w:val="00E702AE"/>
    <w:rsid w:val="00E70630"/>
    <w:rsid w:val="00E707FE"/>
    <w:rsid w:val="00E708FB"/>
    <w:rsid w:val="00E70961"/>
    <w:rsid w:val="00E70982"/>
    <w:rsid w:val="00E70AE1"/>
    <w:rsid w:val="00E70B79"/>
    <w:rsid w:val="00E70CFC"/>
    <w:rsid w:val="00E70E09"/>
    <w:rsid w:val="00E71006"/>
    <w:rsid w:val="00E715E7"/>
    <w:rsid w:val="00E71657"/>
    <w:rsid w:val="00E717DA"/>
    <w:rsid w:val="00E7184F"/>
    <w:rsid w:val="00E719CC"/>
    <w:rsid w:val="00E71DF5"/>
    <w:rsid w:val="00E72A3C"/>
    <w:rsid w:val="00E72DBD"/>
    <w:rsid w:val="00E72EF8"/>
    <w:rsid w:val="00E732CF"/>
    <w:rsid w:val="00E733A9"/>
    <w:rsid w:val="00E73822"/>
    <w:rsid w:val="00E73830"/>
    <w:rsid w:val="00E73AAE"/>
    <w:rsid w:val="00E742B8"/>
    <w:rsid w:val="00E754AC"/>
    <w:rsid w:val="00E76437"/>
    <w:rsid w:val="00E768A5"/>
    <w:rsid w:val="00E77919"/>
    <w:rsid w:val="00E80279"/>
    <w:rsid w:val="00E804B6"/>
    <w:rsid w:val="00E80599"/>
    <w:rsid w:val="00E80734"/>
    <w:rsid w:val="00E80B7D"/>
    <w:rsid w:val="00E80B82"/>
    <w:rsid w:val="00E80D1E"/>
    <w:rsid w:val="00E80DF9"/>
    <w:rsid w:val="00E81782"/>
    <w:rsid w:val="00E81945"/>
    <w:rsid w:val="00E81DA6"/>
    <w:rsid w:val="00E8207F"/>
    <w:rsid w:val="00E82A4B"/>
    <w:rsid w:val="00E82DC2"/>
    <w:rsid w:val="00E82DEC"/>
    <w:rsid w:val="00E83208"/>
    <w:rsid w:val="00E83349"/>
    <w:rsid w:val="00E842A8"/>
    <w:rsid w:val="00E84638"/>
    <w:rsid w:val="00E846A3"/>
    <w:rsid w:val="00E84991"/>
    <w:rsid w:val="00E853D0"/>
    <w:rsid w:val="00E8555C"/>
    <w:rsid w:val="00E86A35"/>
    <w:rsid w:val="00E86ECB"/>
    <w:rsid w:val="00E873BC"/>
    <w:rsid w:val="00E87820"/>
    <w:rsid w:val="00E8786C"/>
    <w:rsid w:val="00E87C96"/>
    <w:rsid w:val="00E87F95"/>
    <w:rsid w:val="00E90215"/>
    <w:rsid w:val="00E90410"/>
    <w:rsid w:val="00E90822"/>
    <w:rsid w:val="00E90864"/>
    <w:rsid w:val="00E90E79"/>
    <w:rsid w:val="00E910B5"/>
    <w:rsid w:val="00E91176"/>
    <w:rsid w:val="00E9176F"/>
    <w:rsid w:val="00E91797"/>
    <w:rsid w:val="00E92204"/>
    <w:rsid w:val="00E92367"/>
    <w:rsid w:val="00E927BC"/>
    <w:rsid w:val="00E93454"/>
    <w:rsid w:val="00E93489"/>
    <w:rsid w:val="00E934EF"/>
    <w:rsid w:val="00E938DA"/>
    <w:rsid w:val="00E940F2"/>
    <w:rsid w:val="00E94D9A"/>
    <w:rsid w:val="00E94F78"/>
    <w:rsid w:val="00E952D9"/>
    <w:rsid w:val="00E95812"/>
    <w:rsid w:val="00E958AE"/>
    <w:rsid w:val="00E9611A"/>
    <w:rsid w:val="00E96BFE"/>
    <w:rsid w:val="00E97284"/>
    <w:rsid w:val="00E97B38"/>
    <w:rsid w:val="00E97B9F"/>
    <w:rsid w:val="00EA0347"/>
    <w:rsid w:val="00EA1429"/>
    <w:rsid w:val="00EA1DAE"/>
    <w:rsid w:val="00EA2B9F"/>
    <w:rsid w:val="00EA2E4C"/>
    <w:rsid w:val="00EA390C"/>
    <w:rsid w:val="00EA39A9"/>
    <w:rsid w:val="00EA41C7"/>
    <w:rsid w:val="00EA450A"/>
    <w:rsid w:val="00EA463C"/>
    <w:rsid w:val="00EA551A"/>
    <w:rsid w:val="00EA5A04"/>
    <w:rsid w:val="00EA5B83"/>
    <w:rsid w:val="00EA5D65"/>
    <w:rsid w:val="00EA5D76"/>
    <w:rsid w:val="00EA69B6"/>
    <w:rsid w:val="00EA6FC3"/>
    <w:rsid w:val="00EA7158"/>
    <w:rsid w:val="00EA72B4"/>
    <w:rsid w:val="00EA7452"/>
    <w:rsid w:val="00EA76BF"/>
    <w:rsid w:val="00EA7B19"/>
    <w:rsid w:val="00EB03E3"/>
    <w:rsid w:val="00EB0A3A"/>
    <w:rsid w:val="00EB1297"/>
    <w:rsid w:val="00EB254E"/>
    <w:rsid w:val="00EB36E0"/>
    <w:rsid w:val="00EB3775"/>
    <w:rsid w:val="00EB391C"/>
    <w:rsid w:val="00EB3D97"/>
    <w:rsid w:val="00EB4710"/>
    <w:rsid w:val="00EB48F3"/>
    <w:rsid w:val="00EB52C3"/>
    <w:rsid w:val="00EB5330"/>
    <w:rsid w:val="00EB54F7"/>
    <w:rsid w:val="00EB5A12"/>
    <w:rsid w:val="00EB5C20"/>
    <w:rsid w:val="00EB5DA2"/>
    <w:rsid w:val="00EB5E96"/>
    <w:rsid w:val="00EB5FE1"/>
    <w:rsid w:val="00EB62A0"/>
    <w:rsid w:val="00EB6368"/>
    <w:rsid w:val="00EB6570"/>
    <w:rsid w:val="00EB672B"/>
    <w:rsid w:val="00EB6CE7"/>
    <w:rsid w:val="00EB707B"/>
    <w:rsid w:val="00EB7143"/>
    <w:rsid w:val="00EB7165"/>
    <w:rsid w:val="00EB721D"/>
    <w:rsid w:val="00EB73E8"/>
    <w:rsid w:val="00EB7404"/>
    <w:rsid w:val="00EB7993"/>
    <w:rsid w:val="00EB7B17"/>
    <w:rsid w:val="00EB7B92"/>
    <w:rsid w:val="00EB7D7B"/>
    <w:rsid w:val="00EC0B03"/>
    <w:rsid w:val="00EC139E"/>
    <w:rsid w:val="00EC188E"/>
    <w:rsid w:val="00EC1910"/>
    <w:rsid w:val="00EC1DBB"/>
    <w:rsid w:val="00EC20AA"/>
    <w:rsid w:val="00EC2630"/>
    <w:rsid w:val="00EC2CB6"/>
    <w:rsid w:val="00EC2D48"/>
    <w:rsid w:val="00EC2F6B"/>
    <w:rsid w:val="00EC32B9"/>
    <w:rsid w:val="00EC365D"/>
    <w:rsid w:val="00EC36A7"/>
    <w:rsid w:val="00EC3E6F"/>
    <w:rsid w:val="00EC4B69"/>
    <w:rsid w:val="00EC5919"/>
    <w:rsid w:val="00EC5A81"/>
    <w:rsid w:val="00EC5FB1"/>
    <w:rsid w:val="00EC6102"/>
    <w:rsid w:val="00EC6431"/>
    <w:rsid w:val="00EC66E4"/>
    <w:rsid w:val="00EC735B"/>
    <w:rsid w:val="00EC763A"/>
    <w:rsid w:val="00ED0464"/>
    <w:rsid w:val="00ED0B54"/>
    <w:rsid w:val="00ED0F75"/>
    <w:rsid w:val="00ED257D"/>
    <w:rsid w:val="00ED28A9"/>
    <w:rsid w:val="00ED2AFF"/>
    <w:rsid w:val="00ED3A9D"/>
    <w:rsid w:val="00ED3AEE"/>
    <w:rsid w:val="00ED41F8"/>
    <w:rsid w:val="00ED4CEA"/>
    <w:rsid w:val="00ED4F59"/>
    <w:rsid w:val="00ED530A"/>
    <w:rsid w:val="00ED54E8"/>
    <w:rsid w:val="00ED56EE"/>
    <w:rsid w:val="00ED5CAE"/>
    <w:rsid w:val="00ED5DCD"/>
    <w:rsid w:val="00ED5F96"/>
    <w:rsid w:val="00ED60D0"/>
    <w:rsid w:val="00ED6205"/>
    <w:rsid w:val="00ED64CD"/>
    <w:rsid w:val="00ED6A5B"/>
    <w:rsid w:val="00ED7162"/>
    <w:rsid w:val="00ED77DE"/>
    <w:rsid w:val="00ED7949"/>
    <w:rsid w:val="00EE01E9"/>
    <w:rsid w:val="00EE1027"/>
    <w:rsid w:val="00EE1839"/>
    <w:rsid w:val="00EE24EE"/>
    <w:rsid w:val="00EE28AB"/>
    <w:rsid w:val="00EE2F80"/>
    <w:rsid w:val="00EE30FD"/>
    <w:rsid w:val="00EE32F3"/>
    <w:rsid w:val="00EE3387"/>
    <w:rsid w:val="00EE348B"/>
    <w:rsid w:val="00EE36B3"/>
    <w:rsid w:val="00EE3A0C"/>
    <w:rsid w:val="00EE3A10"/>
    <w:rsid w:val="00EE3A6C"/>
    <w:rsid w:val="00EE43CA"/>
    <w:rsid w:val="00EE4739"/>
    <w:rsid w:val="00EE47F8"/>
    <w:rsid w:val="00EE4A9A"/>
    <w:rsid w:val="00EE4EE2"/>
    <w:rsid w:val="00EE4FFD"/>
    <w:rsid w:val="00EE5178"/>
    <w:rsid w:val="00EE5193"/>
    <w:rsid w:val="00EE55B1"/>
    <w:rsid w:val="00EE5899"/>
    <w:rsid w:val="00EE5953"/>
    <w:rsid w:val="00EE5A73"/>
    <w:rsid w:val="00EE5EF4"/>
    <w:rsid w:val="00EE5F54"/>
    <w:rsid w:val="00EE60C9"/>
    <w:rsid w:val="00EE68F6"/>
    <w:rsid w:val="00EE6BC9"/>
    <w:rsid w:val="00EE6C95"/>
    <w:rsid w:val="00EE6E24"/>
    <w:rsid w:val="00EE6E2A"/>
    <w:rsid w:val="00EE7535"/>
    <w:rsid w:val="00EE7688"/>
    <w:rsid w:val="00EE7EAE"/>
    <w:rsid w:val="00EF0E99"/>
    <w:rsid w:val="00EF1359"/>
    <w:rsid w:val="00EF1B5D"/>
    <w:rsid w:val="00EF21AB"/>
    <w:rsid w:val="00EF27A7"/>
    <w:rsid w:val="00EF2FE1"/>
    <w:rsid w:val="00EF377D"/>
    <w:rsid w:val="00EF394C"/>
    <w:rsid w:val="00EF3A88"/>
    <w:rsid w:val="00EF3BA0"/>
    <w:rsid w:val="00EF3C6E"/>
    <w:rsid w:val="00EF4236"/>
    <w:rsid w:val="00EF4237"/>
    <w:rsid w:val="00EF4564"/>
    <w:rsid w:val="00EF45BF"/>
    <w:rsid w:val="00EF5506"/>
    <w:rsid w:val="00EF5F6A"/>
    <w:rsid w:val="00EF62BA"/>
    <w:rsid w:val="00EF6661"/>
    <w:rsid w:val="00EF667F"/>
    <w:rsid w:val="00EF6944"/>
    <w:rsid w:val="00EF6C46"/>
    <w:rsid w:val="00EF6EC5"/>
    <w:rsid w:val="00EF705A"/>
    <w:rsid w:val="00EF7893"/>
    <w:rsid w:val="00EF7C74"/>
    <w:rsid w:val="00EF7FC0"/>
    <w:rsid w:val="00F00076"/>
    <w:rsid w:val="00F0059F"/>
    <w:rsid w:val="00F019B6"/>
    <w:rsid w:val="00F01C8D"/>
    <w:rsid w:val="00F02061"/>
    <w:rsid w:val="00F025B6"/>
    <w:rsid w:val="00F02DAF"/>
    <w:rsid w:val="00F02F75"/>
    <w:rsid w:val="00F030AC"/>
    <w:rsid w:val="00F030FB"/>
    <w:rsid w:val="00F03501"/>
    <w:rsid w:val="00F0380F"/>
    <w:rsid w:val="00F038A3"/>
    <w:rsid w:val="00F03FBA"/>
    <w:rsid w:val="00F04165"/>
    <w:rsid w:val="00F043F5"/>
    <w:rsid w:val="00F044D6"/>
    <w:rsid w:val="00F04ABF"/>
    <w:rsid w:val="00F04E8C"/>
    <w:rsid w:val="00F04F16"/>
    <w:rsid w:val="00F05C7F"/>
    <w:rsid w:val="00F05D11"/>
    <w:rsid w:val="00F06529"/>
    <w:rsid w:val="00F069BA"/>
    <w:rsid w:val="00F06CCB"/>
    <w:rsid w:val="00F070EF"/>
    <w:rsid w:val="00F07430"/>
    <w:rsid w:val="00F07A7C"/>
    <w:rsid w:val="00F07BAF"/>
    <w:rsid w:val="00F07CFF"/>
    <w:rsid w:val="00F07E96"/>
    <w:rsid w:val="00F10AE4"/>
    <w:rsid w:val="00F11055"/>
    <w:rsid w:val="00F1110C"/>
    <w:rsid w:val="00F11146"/>
    <w:rsid w:val="00F112E0"/>
    <w:rsid w:val="00F115E5"/>
    <w:rsid w:val="00F1228F"/>
    <w:rsid w:val="00F123DA"/>
    <w:rsid w:val="00F132C5"/>
    <w:rsid w:val="00F1352B"/>
    <w:rsid w:val="00F135A5"/>
    <w:rsid w:val="00F13711"/>
    <w:rsid w:val="00F13F6B"/>
    <w:rsid w:val="00F144B7"/>
    <w:rsid w:val="00F1484E"/>
    <w:rsid w:val="00F1549A"/>
    <w:rsid w:val="00F1559B"/>
    <w:rsid w:val="00F1569D"/>
    <w:rsid w:val="00F167C5"/>
    <w:rsid w:val="00F16CD7"/>
    <w:rsid w:val="00F17154"/>
    <w:rsid w:val="00F17748"/>
    <w:rsid w:val="00F17E3C"/>
    <w:rsid w:val="00F200F7"/>
    <w:rsid w:val="00F20D0F"/>
    <w:rsid w:val="00F20F95"/>
    <w:rsid w:val="00F2167A"/>
    <w:rsid w:val="00F22225"/>
    <w:rsid w:val="00F2276B"/>
    <w:rsid w:val="00F22DB0"/>
    <w:rsid w:val="00F22F58"/>
    <w:rsid w:val="00F22F80"/>
    <w:rsid w:val="00F23506"/>
    <w:rsid w:val="00F249B6"/>
    <w:rsid w:val="00F24B4A"/>
    <w:rsid w:val="00F24E1F"/>
    <w:rsid w:val="00F24EDF"/>
    <w:rsid w:val="00F252EA"/>
    <w:rsid w:val="00F2554B"/>
    <w:rsid w:val="00F2562E"/>
    <w:rsid w:val="00F258B6"/>
    <w:rsid w:val="00F2592E"/>
    <w:rsid w:val="00F25CD6"/>
    <w:rsid w:val="00F26E38"/>
    <w:rsid w:val="00F27619"/>
    <w:rsid w:val="00F27BBE"/>
    <w:rsid w:val="00F27DEA"/>
    <w:rsid w:val="00F30BAB"/>
    <w:rsid w:val="00F30C68"/>
    <w:rsid w:val="00F31469"/>
    <w:rsid w:val="00F317A2"/>
    <w:rsid w:val="00F31C80"/>
    <w:rsid w:val="00F31DB6"/>
    <w:rsid w:val="00F320E3"/>
    <w:rsid w:val="00F32AC7"/>
    <w:rsid w:val="00F32CFC"/>
    <w:rsid w:val="00F32E40"/>
    <w:rsid w:val="00F32EC0"/>
    <w:rsid w:val="00F3397E"/>
    <w:rsid w:val="00F33AEA"/>
    <w:rsid w:val="00F33BDC"/>
    <w:rsid w:val="00F33EB4"/>
    <w:rsid w:val="00F340C3"/>
    <w:rsid w:val="00F34531"/>
    <w:rsid w:val="00F34967"/>
    <w:rsid w:val="00F35A3A"/>
    <w:rsid w:val="00F35AF4"/>
    <w:rsid w:val="00F35D62"/>
    <w:rsid w:val="00F35F38"/>
    <w:rsid w:val="00F36116"/>
    <w:rsid w:val="00F3658A"/>
    <w:rsid w:val="00F36898"/>
    <w:rsid w:val="00F368E2"/>
    <w:rsid w:val="00F3692A"/>
    <w:rsid w:val="00F369B8"/>
    <w:rsid w:val="00F36D05"/>
    <w:rsid w:val="00F36EFF"/>
    <w:rsid w:val="00F37224"/>
    <w:rsid w:val="00F40362"/>
    <w:rsid w:val="00F40581"/>
    <w:rsid w:val="00F40F02"/>
    <w:rsid w:val="00F414B6"/>
    <w:rsid w:val="00F4222E"/>
    <w:rsid w:val="00F42532"/>
    <w:rsid w:val="00F42553"/>
    <w:rsid w:val="00F42675"/>
    <w:rsid w:val="00F42780"/>
    <w:rsid w:val="00F42905"/>
    <w:rsid w:val="00F429BE"/>
    <w:rsid w:val="00F42F9C"/>
    <w:rsid w:val="00F43040"/>
    <w:rsid w:val="00F431B7"/>
    <w:rsid w:val="00F43565"/>
    <w:rsid w:val="00F43A4E"/>
    <w:rsid w:val="00F44616"/>
    <w:rsid w:val="00F446EC"/>
    <w:rsid w:val="00F44845"/>
    <w:rsid w:val="00F44961"/>
    <w:rsid w:val="00F452F5"/>
    <w:rsid w:val="00F457FA"/>
    <w:rsid w:val="00F45CD3"/>
    <w:rsid w:val="00F461AA"/>
    <w:rsid w:val="00F46AC0"/>
    <w:rsid w:val="00F46B1B"/>
    <w:rsid w:val="00F46D37"/>
    <w:rsid w:val="00F46E76"/>
    <w:rsid w:val="00F46EB4"/>
    <w:rsid w:val="00F47343"/>
    <w:rsid w:val="00F519E4"/>
    <w:rsid w:val="00F51CB0"/>
    <w:rsid w:val="00F524D8"/>
    <w:rsid w:val="00F5266A"/>
    <w:rsid w:val="00F5293F"/>
    <w:rsid w:val="00F5298B"/>
    <w:rsid w:val="00F531A2"/>
    <w:rsid w:val="00F53403"/>
    <w:rsid w:val="00F53646"/>
    <w:rsid w:val="00F53A55"/>
    <w:rsid w:val="00F53A7A"/>
    <w:rsid w:val="00F5412E"/>
    <w:rsid w:val="00F54359"/>
    <w:rsid w:val="00F5451C"/>
    <w:rsid w:val="00F54822"/>
    <w:rsid w:val="00F549AD"/>
    <w:rsid w:val="00F54C1B"/>
    <w:rsid w:val="00F553D5"/>
    <w:rsid w:val="00F55734"/>
    <w:rsid w:val="00F55E47"/>
    <w:rsid w:val="00F5752D"/>
    <w:rsid w:val="00F57909"/>
    <w:rsid w:val="00F57F39"/>
    <w:rsid w:val="00F60050"/>
    <w:rsid w:val="00F602E3"/>
    <w:rsid w:val="00F60421"/>
    <w:rsid w:val="00F604C8"/>
    <w:rsid w:val="00F60605"/>
    <w:rsid w:val="00F60BE8"/>
    <w:rsid w:val="00F61234"/>
    <w:rsid w:val="00F6175F"/>
    <w:rsid w:val="00F618B2"/>
    <w:rsid w:val="00F619E8"/>
    <w:rsid w:val="00F61D82"/>
    <w:rsid w:val="00F61E86"/>
    <w:rsid w:val="00F6257A"/>
    <w:rsid w:val="00F627B3"/>
    <w:rsid w:val="00F62993"/>
    <w:rsid w:val="00F62BE7"/>
    <w:rsid w:val="00F62BE9"/>
    <w:rsid w:val="00F6365F"/>
    <w:rsid w:val="00F637F5"/>
    <w:rsid w:val="00F63DCA"/>
    <w:rsid w:val="00F64576"/>
    <w:rsid w:val="00F648E6"/>
    <w:rsid w:val="00F64D2A"/>
    <w:rsid w:val="00F64E32"/>
    <w:rsid w:val="00F65037"/>
    <w:rsid w:val="00F6510B"/>
    <w:rsid w:val="00F651C7"/>
    <w:rsid w:val="00F652F3"/>
    <w:rsid w:val="00F658A6"/>
    <w:rsid w:val="00F65A15"/>
    <w:rsid w:val="00F65AD6"/>
    <w:rsid w:val="00F65DD0"/>
    <w:rsid w:val="00F65EBF"/>
    <w:rsid w:val="00F6695D"/>
    <w:rsid w:val="00F66B55"/>
    <w:rsid w:val="00F66D44"/>
    <w:rsid w:val="00F670BE"/>
    <w:rsid w:val="00F676FC"/>
    <w:rsid w:val="00F70042"/>
    <w:rsid w:val="00F70C74"/>
    <w:rsid w:val="00F7101B"/>
    <w:rsid w:val="00F711AF"/>
    <w:rsid w:val="00F713DC"/>
    <w:rsid w:val="00F7152A"/>
    <w:rsid w:val="00F71629"/>
    <w:rsid w:val="00F71F58"/>
    <w:rsid w:val="00F727EC"/>
    <w:rsid w:val="00F72CFE"/>
    <w:rsid w:val="00F72E4A"/>
    <w:rsid w:val="00F72F4E"/>
    <w:rsid w:val="00F730FB"/>
    <w:rsid w:val="00F7325E"/>
    <w:rsid w:val="00F736E5"/>
    <w:rsid w:val="00F736F8"/>
    <w:rsid w:val="00F73CD3"/>
    <w:rsid w:val="00F73EAB"/>
    <w:rsid w:val="00F73F28"/>
    <w:rsid w:val="00F73FE7"/>
    <w:rsid w:val="00F74005"/>
    <w:rsid w:val="00F740AF"/>
    <w:rsid w:val="00F74547"/>
    <w:rsid w:val="00F746E7"/>
    <w:rsid w:val="00F747DD"/>
    <w:rsid w:val="00F75166"/>
    <w:rsid w:val="00F759C9"/>
    <w:rsid w:val="00F75BF8"/>
    <w:rsid w:val="00F75C92"/>
    <w:rsid w:val="00F7604B"/>
    <w:rsid w:val="00F76314"/>
    <w:rsid w:val="00F7670C"/>
    <w:rsid w:val="00F769B6"/>
    <w:rsid w:val="00F76A5B"/>
    <w:rsid w:val="00F776CF"/>
    <w:rsid w:val="00F777A2"/>
    <w:rsid w:val="00F8059A"/>
    <w:rsid w:val="00F80928"/>
    <w:rsid w:val="00F80E9F"/>
    <w:rsid w:val="00F80FC2"/>
    <w:rsid w:val="00F81331"/>
    <w:rsid w:val="00F81658"/>
    <w:rsid w:val="00F8268B"/>
    <w:rsid w:val="00F83A38"/>
    <w:rsid w:val="00F83B65"/>
    <w:rsid w:val="00F83D4C"/>
    <w:rsid w:val="00F83D9F"/>
    <w:rsid w:val="00F83F1C"/>
    <w:rsid w:val="00F840A7"/>
    <w:rsid w:val="00F84848"/>
    <w:rsid w:val="00F849FA"/>
    <w:rsid w:val="00F84A65"/>
    <w:rsid w:val="00F84B88"/>
    <w:rsid w:val="00F84F86"/>
    <w:rsid w:val="00F850C4"/>
    <w:rsid w:val="00F851C9"/>
    <w:rsid w:val="00F85246"/>
    <w:rsid w:val="00F853E7"/>
    <w:rsid w:val="00F85477"/>
    <w:rsid w:val="00F85772"/>
    <w:rsid w:val="00F85B44"/>
    <w:rsid w:val="00F8674F"/>
    <w:rsid w:val="00F868ED"/>
    <w:rsid w:val="00F86A6F"/>
    <w:rsid w:val="00F86DD7"/>
    <w:rsid w:val="00F872B3"/>
    <w:rsid w:val="00F87DB9"/>
    <w:rsid w:val="00F87E3C"/>
    <w:rsid w:val="00F9031F"/>
    <w:rsid w:val="00F90914"/>
    <w:rsid w:val="00F90C5E"/>
    <w:rsid w:val="00F90FC0"/>
    <w:rsid w:val="00F916E8"/>
    <w:rsid w:val="00F91E00"/>
    <w:rsid w:val="00F91FC6"/>
    <w:rsid w:val="00F92005"/>
    <w:rsid w:val="00F921E6"/>
    <w:rsid w:val="00F92A1C"/>
    <w:rsid w:val="00F92AC3"/>
    <w:rsid w:val="00F9309D"/>
    <w:rsid w:val="00F93249"/>
    <w:rsid w:val="00F93A41"/>
    <w:rsid w:val="00F93DD8"/>
    <w:rsid w:val="00F93E38"/>
    <w:rsid w:val="00F93FD9"/>
    <w:rsid w:val="00F94218"/>
    <w:rsid w:val="00F9442D"/>
    <w:rsid w:val="00F946E9"/>
    <w:rsid w:val="00F94BD0"/>
    <w:rsid w:val="00F95089"/>
    <w:rsid w:val="00F95A4E"/>
    <w:rsid w:val="00F95BA3"/>
    <w:rsid w:val="00F95C21"/>
    <w:rsid w:val="00F95E32"/>
    <w:rsid w:val="00F95E83"/>
    <w:rsid w:val="00F9655C"/>
    <w:rsid w:val="00F965AA"/>
    <w:rsid w:val="00F96607"/>
    <w:rsid w:val="00F96BA3"/>
    <w:rsid w:val="00F96C88"/>
    <w:rsid w:val="00F96CAD"/>
    <w:rsid w:val="00F972E4"/>
    <w:rsid w:val="00F974D6"/>
    <w:rsid w:val="00F976D8"/>
    <w:rsid w:val="00FA02A0"/>
    <w:rsid w:val="00FA049B"/>
    <w:rsid w:val="00FA0A53"/>
    <w:rsid w:val="00FA0CB0"/>
    <w:rsid w:val="00FA0D19"/>
    <w:rsid w:val="00FA0FB0"/>
    <w:rsid w:val="00FA1817"/>
    <w:rsid w:val="00FA2193"/>
    <w:rsid w:val="00FA2935"/>
    <w:rsid w:val="00FA2B55"/>
    <w:rsid w:val="00FA2C3A"/>
    <w:rsid w:val="00FA2DCF"/>
    <w:rsid w:val="00FA320A"/>
    <w:rsid w:val="00FA3498"/>
    <w:rsid w:val="00FA349E"/>
    <w:rsid w:val="00FA3D87"/>
    <w:rsid w:val="00FA4530"/>
    <w:rsid w:val="00FA484D"/>
    <w:rsid w:val="00FA4929"/>
    <w:rsid w:val="00FA4DAE"/>
    <w:rsid w:val="00FA5001"/>
    <w:rsid w:val="00FA517E"/>
    <w:rsid w:val="00FA519B"/>
    <w:rsid w:val="00FA52F3"/>
    <w:rsid w:val="00FA52FD"/>
    <w:rsid w:val="00FA5B28"/>
    <w:rsid w:val="00FA6E74"/>
    <w:rsid w:val="00FA7096"/>
    <w:rsid w:val="00FA79C8"/>
    <w:rsid w:val="00FA7CD1"/>
    <w:rsid w:val="00FA7D41"/>
    <w:rsid w:val="00FB0365"/>
    <w:rsid w:val="00FB044F"/>
    <w:rsid w:val="00FB079D"/>
    <w:rsid w:val="00FB07B3"/>
    <w:rsid w:val="00FB0CF2"/>
    <w:rsid w:val="00FB1040"/>
    <w:rsid w:val="00FB16FE"/>
    <w:rsid w:val="00FB172E"/>
    <w:rsid w:val="00FB1808"/>
    <w:rsid w:val="00FB19B8"/>
    <w:rsid w:val="00FB200E"/>
    <w:rsid w:val="00FB27C6"/>
    <w:rsid w:val="00FB2BCD"/>
    <w:rsid w:val="00FB2D64"/>
    <w:rsid w:val="00FB31EF"/>
    <w:rsid w:val="00FB3891"/>
    <w:rsid w:val="00FB3AB5"/>
    <w:rsid w:val="00FB42F0"/>
    <w:rsid w:val="00FB4BAB"/>
    <w:rsid w:val="00FB4E88"/>
    <w:rsid w:val="00FB4FEA"/>
    <w:rsid w:val="00FB50AF"/>
    <w:rsid w:val="00FB53AD"/>
    <w:rsid w:val="00FB56AA"/>
    <w:rsid w:val="00FB58E0"/>
    <w:rsid w:val="00FB5A17"/>
    <w:rsid w:val="00FB5A86"/>
    <w:rsid w:val="00FB5B93"/>
    <w:rsid w:val="00FB5E03"/>
    <w:rsid w:val="00FB63E7"/>
    <w:rsid w:val="00FB6CFA"/>
    <w:rsid w:val="00FB7351"/>
    <w:rsid w:val="00FB740D"/>
    <w:rsid w:val="00FB7658"/>
    <w:rsid w:val="00FB78B3"/>
    <w:rsid w:val="00FB7A3B"/>
    <w:rsid w:val="00FB7F51"/>
    <w:rsid w:val="00FC0400"/>
    <w:rsid w:val="00FC0682"/>
    <w:rsid w:val="00FC0C09"/>
    <w:rsid w:val="00FC1385"/>
    <w:rsid w:val="00FC19F1"/>
    <w:rsid w:val="00FC1B06"/>
    <w:rsid w:val="00FC259F"/>
    <w:rsid w:val="00FC2A36"/>
    <w:rsid w:val="00FC3227"/>
    <w:rsid w:val="00FC346E"/>
    <w:rsid w:val="00FC3730"/>
    <w:rsid w:val="00FC3988"/>
    <w:rsid w:val="00FC3FBF"/>
    <w:rsid w:val="00FC4391"/>
    <w:rsid w:val="00FC46BC"/>
    <w:rsid w:val="00FC4775"/>
    <w:rsid w:val="00FC47B3"/>
    <w:rsid w:val="00FC4A81"/>
    <w:rsid w:val="00FC4C32"/>
    <w:rsid w:val="00FC4F73"/>
    <w:rsid w:val="00FC5001"/>
    <w:rsid w:val="00FC50F0"/>
    <w:rsid w:val="00FC5BE4"/>
    <w:rsid w:val="00FC6124"/>
    <w:rsid w:val="00FC6449"/>
    <w:rsid w:val="00FC6460"/>
    <w:rsid w:val="00FC6551"/>
    <w:rsid w:val="00FC6719"/>
    <w:rsid w:val="00FC74CC"/>
    <w:rsid w:val="00FC75F1"/>
    <w:rsid w:val="00FC76E6"/>
    <w:rsid w:val="00FC772B"/>
    <w:rsid w:val="00FC7A2C"/>
    <w:rsid w:val="00FD0349"/>
    <w:rsid w:val="00FD06A3"/>
    <w:rsid w:val="00FD0B9C"/>
    <w:rsid w:val="00FD0E5C"/>
    <w:rsid w:val="00FD1089"/>
    <w:rsid w:val="00FD1C3D"/>
    <w:rsid w:val="00FD1FF8"/>
    <w:rsid w:val="00FD2621"/>
    <w:rsid w:val="00FD2ADA"/>
    <w:rsid w:val="00FD320B"/>
    <w:rsid w:val="00FD3420"/>
    <w:rsid w:val="00FD3C24"/>
    <w:rsid w:val="00FD3E33"/>
    <w:rsid w:val="00FD419C"/>
    <w:rsid w:val="00FD432F"/>
    <w:rsid w:val="00FD4C10"/>
    <w:rsid w:val="00FD52BA"/>
    <w:rsid w:val="00FD53A3"/>
    <w:rsid w:val="00FD554B"/>
    <w:rsid w:val="00FD569D"/>
    <w:rsid w:val="00FD58B7"/>
    <w:rsid w:val="00FD5E06"/>
    <w:rsid w:val="00FD5EAE"/>
    <w:rsid w:val="00FD6118"/>
    <w:rsid w:val="00FD6252"/>
    <w:rsid w:val="00FD6442"/>
    <w:rsid w:val="00FD65F8"/>
    <w:rsid w:val="00FE0138"/>
    <w:rsid w:val="00FE0F23"/>
    <w:rsid w:val="00FE116A"/>
    <w:rsid w:val="00FE2187"/>
    <w:rsid w:val="00FE2554"/>
    <w:rsid w:val="00FE266B"/>
    <w:rsid w:val="00FE2C91"/>
    <w:rsid w:val="00FE2D87"/>
    <w:rsid w:val="00FE40B3"/>
    <w:rsid w:val="00FE4A05"/>
    <w:rsid w:val="00FE4ADD"/>
    <w:rsid w:val="00FE4FA9"/>
    <w:rsid w:val="00FE505D"/>
    <w:rsid w:val="00FE5139"/>
    <w:rsid w:val="00FE55D1"/>
    <w:rsid w:val="00FE5F0C"/>
    <w:rsid w:val="00FE6173"/>
    <w:rsid w:val="00FE698D"/>
    <w:rsid w:val="00FE6D62"/>
    <w:rsid w:val="00FE70AB"/>
    <w:rsid w:val="00FE71A3"/>
    <w:rsid w:val="00FE72A9"/>
    <w:rsid w:val="00FE7DCD"/>
    <w:rsid w:val="00FF00CB"/>
    <w:rsid w:val="00FF0184"/>
    <w:rsid w:val="00FF0880"/>
    <w:rsid w:val="00FF107E"/>
    <w:rsid w:val="00FF1356"/>
    <w:rsid w:val="00FF13AB"/>
    <w:rsid w:val="00FF198D"/>
    <w:rsid w:val="00FF2134"/>
    <w:rsid w:val="00FF22BA"/>
    <w:rsid w:val="00FF276F"/>
    <w:rsid w:val="00FF3A6A"/>
    <w:rsid w:val="00FF3D5C"/>
    <w:rsid w:val="00FF41C3"/>
    <w:rsid w:val="00FF47C3"/>
    <w:rsid w:val="00FF497A"/>
    <w:rsid w:val="00FF6021"/>
    <w:rsid w:val="00FF603D"/>
    <w:rsid w:val="00FF6223"/>
    <w:rsid w:val="00FF68DD"/>
    <w:rsid w:val="00FF6B51"/>
    <w:rsid w:val="00FF6D3C"/>
    <w:rsid w:val="00FF6DA6"/>
    <w:rsid w:val="00FF7756"/>
    <w:rsid w:val="00FF78F0"/>
    <w:rsid w:val="01008A5A"/>
    <w:rsid w:val="0101159E"/>
    <w:rsid w:val="01106416"/>
    <w:rsid w:val="0113E183"/>
    <w:rsid w:val="0114A918"/>
    <w:rsid w:val="0122D0F7"/>
    <w:rsid w:val="012F55F1"/>
    <w:rsid w:val="0170C672"/>
    <w:rsid w:val="0170E4D9"/>
    <w:rsid w:val="017456E0"/>
    <w:rsid w:val="01A9F5C6"/>
    <w:rsid w:val="01AB9471"/>
    <w:rsid w:val="01C96D3E"/>
    <w:rsid w:val="024E980F"/>
    <w:rsid w:val="026AD5C3"/>
    <w:rsid w:val="02A023DD"/>
    <w:rsid w:val="02AC1BF6"/>
    <w:rsid w:val="02B0CBD0"/>
    <w:rsid w:val="03104448"/>
    <w:rsid w:val="03159DB5"/>
    <w:rsid w:val="031FA38D"/>
    <w:rsid w:val="032C74F5"/>
    <w:rsid w:val="03447097"/>
    <w:rsid w:val="03579984"/>
    <w:rsid w:val="03583208"/>
    <w:rsid w:val="0377E452"/>
    <w:rsid w:val="03A52A59"/>
    <w:rsid w:val="03A6A11D"/>
    <w:rsid w:val="03B1194C"/>
    <w:rsid w:val="03CDA519"/>
    <w:rsid w:val="03D3134B"/>
    <w:rsid w:val="03E9A67E"/>
    <w:rsid w:val="03F55AB0"/>
    <w:rsid w:val="04280E45"/>
    <w:rsid w:val="04671D0F"/>
    <w:rsid w:val="046864E1"/>
    <w:rsid w:val="046C9EF5"/>
    <w:rsid w:val="0470E1F1"/>
    <w:rsid w:val="04735EC3"/>
    <w:rsid w:val="0479BBC4"/>
    <w:rsid w:val="047DE8F0"/>
    <w:rsid w:val="0497036C"/>
    <w:rsid w:val="04992768"/>
    <w:rsid w:val="050B777E"/>
    <w:rsid w:val="05502A15"/>
    <w:rsid w:val="055B0428"/>
    <w:rsid w:val="059C0005"/>
    <w:rsid w:val="05F394F6"/>
    <w:rsid w:val="0603CDBD"/>
    <w:rsid w:val="0624F277"/>
    <w:rsid w:val="062F26D7"/>
    <w:rsid w:val="06398BA7"/>
    <w:rsid w:val="06462554"/>
    <w:rsid w:val="068C2A34"/>
    <w:rsid w:val="06C9CBB1"/>
    <w:rsid w:val="06D2C695"/>
    <w:rsid w:val="072035D1"/>
    <w:rsid w:val="074BF828"/>
    <w:rsid w:val="075C67CC"/>
    <w:rsid w:val="0799A90F"/>
    <w:rsid w:val="0799C988"/>
    <w:rsid w:val="079EF0C6"/>
    <w:rsid w:val="07BFA572"/>
    <w:rsid w:val="07ED2D0B"/>
    <w:rsid w:val="0803B599"/>
    <w:rsid w:val="0834CB62"/>
    <w:rsid w:val="083CA7F6"/>
    <w:rsid w:val="085A0C38"/>
    <w:rsid w:val="08A219E9"/>
    <w:rsid w:val="08EA8EB9"/>
    <w:rsid w:val="08FDB7E4"/>
    <w:rsid w:val="090E2E58"/>
    <w:rsid w:val="091C26F3"/>
    <w:rsid w:val="09281CC9"/>
    <w:rsid w:val="09638982"/>
    <w:rsid w:val="09F5FCC7"/>
    <w:rsid w:val="0A12A531"/>
    <w:rsid w:val="0A1B988F"/>
    <w:rsid w:val="0A277AC2"/>
    <w:rsid w:val="0A29E05F"/>
    <w:rsid w:val="0A33D83F"/>
    <w:rsid w:val="0A7713F8"/>
    <w:rsid w:val="0A852618"/>
    <w:rsid w:val="0A8CC625"/>
    <w:rsid w:val="0AC72FCA"/>
    <w:rsid w:val="0ACC608E"/>
    <w:rsid w:val="0AD4BA9E"/>
    <w:rsid w:val="0AD68993"/>
    <w:rsid w:val="0AD940AE"/>
    <w:rsid w:val="0AEF985E"/>
    <w:rsid w:val="0B02DDE9"/>
    <w:rsid w:val="0B264051"/>
    <w:rsid w:val="0B4C163F"/>
    <w:rsid w:val="0B5AB683"/>
    <w:rsid w:val="0B85F80B"/>
    <w:rsid w:val="0BC0E42E"/>
    <w:rsid w:val="0BDC798A"/>
    <w:rsid w:val="0BE338CC"/>
    <w:rsid w:val="0C339617"/>
    <w:rsid w:val="0C3409C4"/>
    <w:rsid w:val="0C923138"/>
    <w:rsid w:val="0CE8E4CF"/>
    <w:rsid w:val="0D3625B4"/>
    <w:rsid w:val="0D8CF315"/>
    <w:rsid w:val="0DB327DB"/>
    <w:rsid w:val="0DC23B9D"/>
    <w:rsid w:val="0E22B3BE"/>
    <w:rsid w:val="0E2E1EFA"/>
    <w:rsid w:val="0E3AE89F"/>
    <w:rsid w:val="0E6090F5"/>
    <w:rsid w:val="0EDCC08A"/>
    <w:rsid w:val="0F0F62CE"/>
    <w:rsid w:val="0F1E4075"/>
    <w:rsid w:val="0F6373B9"/>
    <w:rsid w:val="0F7918F0"/>
    <w:rsid w:val="0FE55765"/>
    <w:rsid w:val="0FF9B224"/>
    <w:rsid w:val="10203444"/>
    <w:rsid w:val="10528639"/>
    <w:rsid w:val="105B53F9"/>
    <w:rsid w:val="108F51BE"/>
    <w:rsid w:val="10A1D445"/>
    <w:rsid w:val="10E791CB"/>
    <w:rsid w:val="11097B41"/>
    <w:rsid w:val="1120AAF6"/>
    <w:rsid w:val="1131812F"/>
    <w:rsid w:val="11D7419B"/>
    <w:rsid w:val="11E28F35"/>
    <w:rsid w:val="1241769C"/>
    <w:rsid w:val="12505FAF"/>
    <w:rsid w:val="127455AA"/>
    <w:rsid w:val="129AA9A9"/>
    <w:rsid w:val="12C428B2"/>
    <w:rsid w:val="12C9C9DD"/>
    <w:rsid w:val="12D98726"/>
    <w:rsid w:val="130DF25A"/>
    <w:rsid w:val="131F9540"/>
    <w:rsid w:val="1345489A"/>
    <w:rsid w:val="1366B023"/>
    <w:rsid w:val="13CCD48F"/>
    <w:rsid w:val="13DF3988"/>
    <w:rsid w:val="143B0425"/>
    <w:rsid w:val="144024B0"/>
    <w:rsid w:val="147552E3"/>
    <w:rsid w:val="14C11B80"/>
    <w:rsid w:val="152D91B8"/>
    <w:rsid w:val="154633E0"/>
    <w:rsid w:val="1588E233"/>
    <w:rsid w:val="15BDC465"/>
    <w:rsid w:val="15CD2622"/>
    <w:rsid w:val="15CEE5C9"/>
    <w:rsid w:val="15E5DC6F"/>
    <w:rsid w:val="1612BE1C"/>
    <w:rsid w:val="161CBCA9"/>
    <w:rsid w:val="167988F1"/>
    <w:rsid w:val="16EB8B57"/>
    <w:rsid w:val="16EC692A"/>
    <w:rsid w:val="16F6ECBF"/>
    <w:rsid w:val="16FCE88F"/>
    <w:rsid w:val="170150C1"/>
    <w:rsid w:val="1720D053"/>
    <w:rsid w:val="1727F2FD"/>
    <w:rsid w:val="17499A39"/>
    <w:rsid w:val="176B494C"/>
    <w:rsid w:val="176E53BD"/>
    <w:rsid w:val="177990ED"/>
    <w:rsid w:val="17815CFD"/>
    <w:rsid w:val="1784A07A"/>
    <w:rsid w:val="1785E3FF"/>
    <w:rsid w:val="17AAC3D4"/>
    <w:rsid w:val="17D51E4D"/>
    <w:rsid w:val="17D70E26"/>
    <w:rsid w:val="183786B5"/>
    <w:rsid w:val="18508601"/>
    <w:rsid w:val="185805A2"/>
    <w:rsid w:val="1872A624"/>
    <w:rsid w:val="18739A00"/>
    <w:rsid w:val="1908A052"/>
    <w:rsid w:val="19A89A08"/>
    <w:rsid w:val="19AB3C48"/>
    <w:rsid w:val="19D5C9C1"/>
    <w:rsid w:val="1A143141"/>
    <w:rsid w:val="1A278473"/>
    <w:rsid w:val="1A4BE4BB"/>
    <w:rsid w:val="1A6C2DDB"/>
    <w:rsid w:val="1A6D3800"/>
    <w:rsid w:val="1A913BEC"/>
    <w:rsid w:val="1AFF93E8"/>
    <w:rsid w:val="1B0478F2"/>
    <w:rsid w:val="1B10225C"/>
    <w:rsid w:val="1B40BD89"/>
    <w:rsid w:val="1B628CDE"/>
    <w:rsid w:val="1B660DA8"/>
    <w:rsid w:val="1B89CDD9"/>
    <w:rsid w:val="1BACF477"/>
    <w:rsid w:val="1BC64326"/>
    <w:rsid w:val="1BEE46FC"/>
    <w:rsid w:val="1C0814F7"/>
    <w:rsid w:val="1C130717"/>
    <w:rsid w:val="1C5F54CA"/>
    <w:rsid w:val="1C75B8B9"/>
    <w:rsid w:val="1CDA534F"/>
    <w:rsid w:val="1CDDF3B1"/>
    <w:rsid w:val="1CFF831C"/>
    <w:rsid w:val="1D1070EC"/>
    <w:rsid w:val="1D4A1C59"/>
    <w:rsid w:val="1D5F2F1F"/>
    <w:rsid w:val="1D83344F"/>
    <w:rsid w:val="1D8710AA"/>
    <w:rsid w:val="1DA344FE"/>
    <w:rsid w:val="1DB82D06"/>
    <w:rsid w:val="1DC48393"/>
    <w:rsid w:val="1DD83E12"/>
    <w:rsid w:val="1DE13826"/>
    <w:rsid w:val="1DEADDA1"/>
    <w:rsid w:val="1DECE620"/>
    <w:rsid w:val="1DEE0827"/>
    <w:rsid w:val="1DF6B6D2"/>
    <w:rsid w:val="1DF79966"/>
    <w:rsid w:val="1E04C923"/>
    <w:rsid w:val="1EFD7B4A"/>
    <w:rsid w:val="1F13340E"/>
    <w:rsid w:val="1F47521A"/>
    <w:rsid w:val="1F5B78D3"/>
    <w:rsid w:val="1FA8CC72"/>
    <w:rsid w:val="1FF9FE0F"/>
    <w:rsid w:val="204122B1"/>
    <w:rsid w:val="205D4B1E"/>
    <w:rsid w:val="206B13E6"/>
    <w:rsid w:val="2073171E"/>
    <w:rsid w:val="208AA48B"/>
    <w:rsid w:val="2091E39E"/>
    <w:rsid w:val="20B60547"/>
    <w:rsid w:val="20F915B2"/>
    <w:rsid w:val="2127EE13"/>
    <w:rsid w:val="2137B58E"/>
    <w:rsid w:val="2149F01F"/>
    <w:rsid w:val="214DE457"/>
    <w:rsid w:val="21526764"/>
    <w:rsid w:val="21557C7A"/>
    <w:rsid w:val="21686E4C"/>
    <w:rsid w:val="2176ECC5"/>
    <w:rsid w:val="217D8681"/>
    <w:rsid w:val="21AF10C1"/>
    <w:rsid w:val="21D8E87C"/>
    <w:rsid w:val="21F2D0CC"/>
    <w:rsid w:val="22432803"/>
    <w:rsid w:val="224AEA81"/>
    <w:rsid w:val="2279BE6F"/>
    <w:rsid w:val="227A7F06"/>
    <w:rsid w:val="227CC575"/>
    <w:rsid w:val="2300288A"/>
    <w:rsid w:val="23206EA2"/>
    <w:rsid w:val="232BD11B"/>
    <w:rsid w:val="2331B8B6"/>
    <w:rsid w:val="23344608"/>
    <w:rsid w:val="23542CC0"/>
    <w:rsid w:val="2364309D"/>
    <w:rsid w:val="23801781"/>
    <w:rsid w:val="239BB0EB"/>
    <w:rsid w:val="23A70329"/>
    <w:rsid w:val="23B05C33"/>
    <w:rsid w:val="23B1EC7E"/>
    <w:rsid w:val="23D815FD"/>
    <w:rsid w:val="23EF5DEA"/>
    <w:rsid w:val="242881FC"/>
    <w:rsid w:val="2433D1CF"/>
    <w:rsid w:val="247DA3B4"/>
    <w:rsid w:val="2502E2B2"/>
    <w:rsid w:val="251DE8A8"/>
    <w:rsid w:val="25284F3D"/>
    <w:rsid w:val="2568C96B"/>
    <w:rsid w:val="258D6DDF"/>
    <w:rsid w:val="2595FBAC"/>
    <w:rsid w:val="259848B0"/>
    <w:rsid w:val="25D4983E"/>
    <w:rsid w:val="25DA77B9"/>
    <w:rsid w:val="25EF27F8"/>
    <w:rsid w:val="25F1EEBE"/>
    <w:rsid w:val="260FC33D"/>
    <w:rsid w:val="2616B542"/>
    <w:rsid w:val="26237972"/>
    <w:rsid w:val="26593B5E"/>
    <w:rsid w:val="26FE1888"/>
    <w:rsid w:val="27274DC3"/>
    <w:rsid w:val="277C9C92"/>
    <w:rsid w:val="277FB746"/>
    <w:rsid w:val="279EEF02"/>
    <w:rsid w:val="27BA5E9B"/>
    <w:rsid w:val="27C16BA8"/>
    <w:rsid w:val="27DA3370"/>
    <w:rsid w:val="27F4508C"/>
    <w:rsid w:val="282EA263"/>
    <w:rsid w:val="28C385E6"/>
    <w:rsid w:val="28F46FEE"/>
    <w:rsid w:val="292D7E78"/>
    <w:rsid w:val="293F4CB9"/>
    <w:rsid w:val="29ADFCB1"/>
    <w:rsid w:val="29C1DB7A"/>
    <w:rsid w:val="29C33500"/>
    <w:rsid w:val="29E5962C"/>
    <w:rsid w:val="29F82EC1"/>
    <w:rsid w:val="2A53C71D"/>
    <w:rsid w:val="2A5A01D2"/>
    <w:rsid w:val="2A6BD8AD"/>
    <w:rsid w:val="2A9A06E8"/>
    <w:rsid w:val="2AA30DEA"/>
    <w:rsid w:val="2AAAC228"/>
    <w:rsid w:val="2ACDCCF1"/>
    <w:rsid w:val="2AD1C843"/>
    <w:rsid w:val="2AE63657"/>
    <w:rsid w:val="2AEC2483"/>
    <w:rsid w:val="2B008C75"/>
    <w:rsid w:val="2B1FC70A"/>
    <w:rsid w:val="2B282ADC"/>
    <w:rsid w:val="2B999801"/>
    <w:rsid w:val="2BC008A0"/>
    <w:rsid w:val="2BC7B793"/>
    <w:rsid w:val="2C133B08"/>
    <w:rsid w:val="2C309CBD"/>
    <w:rsid w:val="2C309FAE"/>
    <w:rsid w:val="2C47E020"/>
    <w:rsid w:val="2CBC0515"/>
    <w:rsid w:val="2CC17905"/>
    <w:rsid w:val="2CCAAB5E"/>
    <w:rsid w:val="2CD6BE7C"/>
    <w:rsid w:val="2CE228F5"/>
    <w:rsid w:val="2D1380FA"/>
    <w:rsid w:val="2D18B283"/>
    <w:rsid w:val="2D9DC5EC"/>
    <w:rsid w:val="2E27D683"/>
    <w:rsid w:val="2E737674"/>
    <w:rsid w:val="2E76CF10"/>
    <w:rsid w:val="2E90F11D"/>
    <w:rsid w:val="2E9EA99C"/>
    <w:rsid w:val="2ED7AD61"/>
    <w:rsid w:val="2ED9930A"/>
    <w:rsid w:val="2EE3FA6F"/>
    <w:rsid w:val="2EFC6BAA"/>
    <w:rsid w:val="2F3FDB15"/>
    <w:rsid w:val="2F829E1A"/>
    <w:rsid w:val="2F9CD73E"/>
    <w:rsid w:val="2F9E8500"/>
    <w:rsid w:val="2FA05807"/>
    <w:rsid w:val="2FAD5EE4"/>
    <w:rsid w:val="2FC80FEA"/>
    <w:rsid w:val="3001820E"/>
    <w:rsid w:val="30588C21"/>
    <w:rsid w:val="30894FD2"/>
    <w:rsid w:val="308A9002"/>
    <w:rsid w:val="308B3D87"/>
    <w:rsid w:val="310CF0CB"/>
    <w:rsid w:val="314A7FAD"/>
    <w:rsid w:val="31997AD4"/>
    <w:rsid w:val="31DCF96B"/>
    <w:rsid w:val="31E6F121"/>
    <w:rsid w:val="31FC9714"/>
    <w:rsid w:val="3210DD8B"/>
    <w:rsid w:val="32326D6F"/>
    <w:rsid w:val="3258B26A"/>
    <w:rsid w:val="3268C437"/>
    <w:rsid w:val="326A005A"/>
    <w:rsid w:val="326DDD82"/>
    <w:rsid w:val="3289F244"/>
    <w:rsid w:val="32ACEA49"/>
    <w:rsid w:val="32F2CDF5"/>
    <w:rsid w:val="3338714B"/>
    <w:rsid w:val="33576936"/>
    <w:rsid w:val="337971BC"/>
    <w:rsid w:val="33BEA29E"/>
    <w:rsid w:val="33D3F9BF"/>
    <w:rsid w:val="342CC4AB"/>
    <w:rsid w:val="3457AD64"/>
    <w:rsid w:val="34717D49"/>
    <w:rsid w:val="34DF2D57"/>
    <w:rsid w:val="34FADBE9"/>
    <w:rsid w:val="353FDC14"/>
    <w:rsid w:val="354B9A14"/>
    <w:rsid w:val="354EE71C"/>
    <w:rsid w:val="3553BEEE"/>
    <w:rsid w:val="3589BFEA"/>
    <w:rsid w:val="358EA6EA"/>
    <w:rsid w:val="359AF604"/>
    <w:rsid w:val="35A49270"/>
    <w:rsid w:val="35D24045"/>
    <w:rsid w:val="3629AE5B"/>
    <w:rsid w:val="364B5252"/>
    <w:rsid w:val="364BDC88"/>
    <w:rsid w:val="36C64327"/>
    <w:rsid w:val="36C65AF9"/>
    <w:rsid w:val="36E46F50"/>
    <w:rsid w:val="36F4C7E4"/>
    <w:rsid w:val="37659569"/>
    <w:rsid w:val="37661664"/>
    <w:rsid w:val="3777D2D2"/>
    <w:rsid w:val="37B77D3C"/>
    <w:rsid w:val="37F77C58"/>
    <w:rsid w:val="38474609"/>
    <w:rsid w:val="38531D24"/>
    <w:rsid w:val="38A1F598"/>
    <w:rsid w:val="38BA6278"/>
    <w:rsid w:val="38C88871"/>
    <w:rsid w:val="38CA01AF"/>
    <w:rsid w:val="38E86788"/>
    <w:rsid w:val="393758A4"/>
    <w:rsid w:val="394CE638"/>
    <w:rsid w:val="3952F61E"/>
    <w:rsid w:val="395A0702"/>
    <w:rsid w:val="39947318"/>
    <w:rsid w:val="39AFC579"/>
    <w:rsid w:val="39D13D1F"/>
    <w:rsid w:val="39D53354"/>
    <w:rsid w:val="3A19D9CE"/>
    <w:rsid w:val="3A531B29"/>
    <w:rsid w:val="3A56086A"/>
    <w:rsid w:val="3A67C4BC"/>
    <w:rsid w:val="3A8A89E3"/>
    <w:rsid w:val="3AB5B167"/>
    <w:rsid w:val="3ADBC02B"/>
    <w:rsid w:val="3AE26C35"/>
    <w:rsid w:val="3AFAF6B5"/>
    <w:rsid w:val="3B08B66C"/>
    <w:rsid w:val="3B0C9DD6"/>
    <w:rsid w:val="3B179C62"/>
    <w:rsid w:val="3B32E420"/>
    <w:rsid w:val="3B3AE034"/>
    <w:rsid w:val="3B53114C"/>
    <w:rsid w:val="3B6EFBFC"/>
    <w:rsid w:val="3B75FE0E"/>
    <w:rsid w:val="3BFFD3CA"/>
    <w:rsid w:val="3C0823CB"/>
    <w:rsid w:val="3C2B1483"/>
    <w:rsid w:val="3C36B61F"/>
    <w:rsid w:val="3C472FEF"/>
    <w:rsid w:val="3C4F00F4"/>
    <w:rsid w:val="3C66596E"/>
    <w:rsid w:val="3C92C433"/>
    <w:rsid w:val="3CDB798C"/>
    <w:rsid w:val="3CE19C2A"/>
    <w:rsid w:val="3CF5ACE6"/>
    <w:rsid w:val="3D002ADA"/>
    <w:rsid w:val="3D0982F9"/>
    <w:rsid w:val="3D1905F1"/>
    <w:rsid w:val="3D3054E0"/>
    <w:rsid w:val="3D8895AF"/>
    <w:rsid w:val="3DA97CF1"/>
    <w:rsid w:val="3E31FE96"/>
    <w:rsid w:val="3E41B284"/>
    <w:rsid w:val="3E89283A"/>
    <w:rsid w:val="3E9DA588"/>
    <w:rsid w:val="3E9E2EB1"/>
    <w:rsid w:val="3EA5BA94"/>
    <w:rsid w:val="3EA6343D"/>
    <w:rsid w:val="3EA64503"/>
    <w:rsid w:val="3EECF062"/>
    <w:rsid w:val="3EF39718"/>
    <w:rsid w:val="3F19DFD7"/>
    <w:rsid w:val="3F2749F0"/>
    <w:rsid w:val="3F46761F"/>
    <w:rsid w:val="3F8BBC43"/>
    <w:rsid w:val="3F96E53A"/>
    <w:rsid w:val="3FB05959"/>
    <w:rsid w:val="3FB13B26"/>
    <w:rsid w:val="3FBF2A74"/>
    <w:rsid w:val="3FD1DA97"/>
    <w:rsid w:val="3FE2140B"/>
    <w:rsid w:val="40006231"/>
    <w:rsid w:val="4024A1C8"/>
    <w:rsid w:val="40407A51"/>
    <w:rsid w:val="407A2964"/>
    <w:rsid w:val="40A535D2"/>
    <w:rsid w:val="40C0F414"/>
    <w:rsid w:val="40E8AC27"/>
    <w:rsid w:val="410A9877"/>
    <w:rsid w:val="41103ED0"/>
    <w:rsid w:val="412C4894"/>
    <w:rsid w:val="41340DC9"/>
    <w:rsid w:val="4154C753"/>
    <w:rsid w:val="415E11B8"/>
    <w:rsid w:val="41654690"/>
    <w:rsid w:val="418E8D45"/>
    <w:rsid w:val="41B78AA2"/>
    <w:rsid w:val="423DBE3E"/>
    <w:rsid w:val="428D3954"/>
    <w:rsid w:val="42B1F3BB"/>
    <w:rsid w:val="42C968E7"/>
    <w:rsid w:val="433D3D6B"/>
    <w:rsid w:val="434EEF8E"/>
    <w:rsid w:val="43950D75"/>
    <w:rsid w:val="44290384"/>
    <w:rsid w:val="4433036D"/>
    <w:rsid w:val="443FAEFB"/>
    <w:rsid w:val="4448B12A"/>
    <w:rsid w:val="445A6FBF"/>
    <w:rsid w:val="4478D8D4"/>
    <w:rsid w:val="44ED6128"/>
    <w:rsid w:val="44F30BF2"/>
    <w:rsid w:val="4528DA30"/>
    <w:rsid w:val="453F1E51"/>
    <w:rsid w:val="45636E57"/>
    <w:rsid w:val="4564A031"/>
    <w:rsid w:val="456713E4"/>
    <w:rsid w:val="45767B2C"/>
    <w:rsid w:val="45C3AE2B"/>
    <w:rsid w:val="45D6298F"/>
    <w:rsid w:val="45E323BA"/>
    <w:rsid w:val="461F77E5"/>
    <w:rsid w:val="462B85F9"/>
    <w:rsid w:val="465174A1"/>
    <w:rsid w:val="467BB5EB"/>
    <w:rsid w:val="46CBA1A0"/>
    <w:rsid w:val="46E5D967"/>
    <w:rsid w:val="475F6624"/>
    <w:rsid w:val="476698B1"/>
    <w:rsid w:val="479D1DFD"/>
    <w:rsid w:val="47B73A27"/>
    <w:rsid w:val="47E9D66A"/>
    <w:rsid w:val="481C86CD"/>
    <w:rsid w:val="483B41AF"/>
    <w:rsid w:val="4847ED64"/>
    <w:rsid w:val="48501795"/>
    <w:rsid w:val="493F10A9"/>
    <w:rsid w:val="49900053"/>
    <w:rsid w:val="4994B84A"/>
    <w:rsid w:val="49BF21F5"/>
    <w:rsid w:val="49EA34E0"/>
    <w:rsid w:val="49EC7F00"/>
    <w:rsid w:val="49F8F6C7"/>
    <w:rsid w:val="4A191531"/>
    <w:rsid w:val="4A1DE0D1"/>
    <w:rsid w:val="4A2D263D"/>
    <w:rsid w:val="4A666FD6"/>
    <w:rsid w:val="4A7205C0"/>
    <w:rsid w:val="4B14FF67"/>
    <w:rsid w:val="4B1703A1"/>
    <w:rsid w:val="4B3F5B05"/>
    <w:rsid w:val="4B539158"/>
    <w:rsid w:val="4BA1B446"/>
    <w:rsid w:val="4BBE6D42"/>
    <w:rsid w:val="4BD21532"/>
    <w:rsid w:val="4C004C08"/>
    <w:rsid w:val="4C023777"/>
    <w:rsid w:val="4C1CB5B6"/>
    <w:rsid w:val="4C1CD913"/>
    <w:rsid w:val="4C3ADCE1"/>
    <w:rsid w:val="4C5A86CA"/>
    <w:rsid w:val="4C67E280"/>
    <w:rsid w:val="4CABA5A2"/>
    <w:rsid w:val="4CAF1794"/>
    <w:rsid w:val="4CE8DED1"/>
    <w:rsid w:val="4D011E72"/>
    <w:rsid w:val="4D0E307D"/>
    <w:rsid w:val="4D30BD50"/>
    <w:rsid w:val="4D3CCEE7"/>
    <w:rsid w:val="4D52E0E9"/>
    <w:rsid w:val="4D56D8C5"/>
    <w:rsid w:val="4DBEA641"/>
    <w:rsid w:val="4DEB48E6"/>
    <w:rsid w:val="4E088E08"/>
    <w:rsid w:val="4E14A604"/>
    <w:rsid w:val="4E4904FE"/>
    <w:rsid w:val="4E90B018"/>
    <w:rsid w:val="4EC886C0"/>
    <w:rsid w:val="4EE878CE"/>
    <w:rsid w:val="4F16D743"/>
    <w:rsid w:val="4F8E7521"/>
    <w:rsid w:val="4FC0E429"/>
    <w:rsid w:val="50140062"/>
    <w:rsid w:val="502A3940"/>
    <w:rsid w:val="503E6D55"/>
    <w:rsid w:val="5052634B"/>
    <w:rsid w:val="505C9EAB"/>
    <w:rsid w:val="506C1770"/>
    <w:rsid w:val="507BC9DB"/>
    <w:rsid w:val="50818366"/>
    <w:rsid w:val="5088F29A"/>
    <w:rsid w:val="50AEA808"/>
    <w:rsid w:val="50D67AB8"/>
    <w:rsid w:val="50D7B1AD"/>
    <w:rsid w:val="515B1F33"/>
    <w:rsid w:val="516C37ED"/>
    <w:rsid w:val="51A302AA"/>
    <w:rsid w:val="51B2568F"/>
    <w:rsid w:val="51D5F559"/>
    <w:rsid w:val="51FB7052"/>
    <w:rsid w:val="5231A273"/>
    <w:rsid w:val="52570979"/>
    <w:rsid w:val="528989BA"/>
    <w:rsid w:val="52CA1C4F"/>
    <w:rsid w:val="52DCFAA1"/>
    <w:rsid w:val="52EAB052"/>
    <w:rsid w:val="5305A2B3"/>
    <w:rsid w:val="5335A184"/>
    <w:rsid w:val="533D7809"/>
    <w:rsid w:val="537C41B9"/>
    <w:rsid w:val="53A34FB9"/>
    <w:rsid w:val="53D8BDAE"/>
    <w:rsid w:val="53F2747D"/>
    <w:rsid w:val="54048DE6"/>
    <w:rsid w:val="5426EF39"/>
    <w:rsid w:val="54D6ED55"/>
    <w:rsid w:val="554A5BC3"/>
    <w:rsid w:val="559E5905"/>
    <w:rsid w:val="55A26747"/>
    <w:rsid w:val="55A7C65E"/>
    <w:rsid w:val="55CF1510"/>
    <w:rsid w:val="55D3014D"/>
    <w:rsid w:val="56013F3F"/>
    <w:rsid w:val="5621955E"/>
    <w:rsid w:val="5677ABFB"/>
    <w:rsid w:val="56C19A80"/>
    <w:rsid w:val="56DB3521"/>
    <w:rsid w:val="56E128BF"/>
    <w:rsid w:val="56E35E51"/>
    <w:rsid w:val="56F3AD26"/>
    <w:rsid w:val="56FFC16B"/>
    <w:rsid w:val="57097C0A"/>
    <w:rsid w:val="570BCD3B"/>
    <w:rsid w:val="57217DB0"/>
    <w:rsid w:val="57C0B562"/>
    <w:rsid w:val="58023A42"/>
    <w:rsid w:val="580843CD"/>
    <w:rsid w:val="581D6023"/>
    <w:rsid w:val="58A2B6CC"/>
    <w:rsid w:val="58F4257C"/>
    <w:rsid w:val="591E4452"/>
    <w:rsid w:val="593F098C"/>
    <w:rsid w:val="59ACE375"/>
    <w:rsid w:val="59B31866"/>
    <w:rsid w:val="59E3CB47"/>
    <w:rsid w:val="5A08A2B5"/>
    <w:rsid w:val="5A3B9F99"/>
    <w:rsid w:val="5A3BE270"/>
    <w:rsid w:val="5A41ED0C"/>
    <w:rsid w:val="5A4B2F4C"/>
    <w:rsid w:val="5A5BD451"/>
    <w:rsid w:val="5ACFCF45"/>
    <w:rsid w:val="5B14EE01"/>
    <w:rsid w:val="5B1C98AF"/>
    <w:rsid w:val="5B5B9EBF"/>
    <w:rsid w:val="5B7FE8E9"/>
    <w:rsid w:val="5B8B7CCE"/>
    <w:rsid w:val="5B8B899B"/>
    <w:rsid w:val="5B984E05"/>
    <w:rsid w:val="5BE015C4"/>
    <w:rsid w:val="5BF341C8"/>
    <w:rsid w:val="5BF4176B"/>
    <w:rsid w:val="5C2B1921"/>
    <w:rsid w:val="5C386F80"/>
    <w:rsid w:val="5C84413E"/>
    <w:rsid w:val="5C929843"/>
    <w:rsid w:val="5D1141DF"/>
    <w:rsid w:val="5D866D25"/>
    <w:rsid w:val="5D95FB4B"/>
    <w:rsid w:val="5D98ED02"/>
    <w:rsid w:val="5DD7BA37"/>
    <w:rsid w:val="5DE2048D"/>
    <w:rsid w:val="5E149AF0"/>
    <w:rsid w:val="5E23EFF5"/>
    <w:rsid w:val="5EBD4A02"/>
    <w:rsid w:val="5F516816"/>
    <w:rsid w:val="5F590948"/>
    <w:rsid w:val="5F5A478B"/>
    <w:rsid w:val="5F8ACB74"/>
    <w:rsid w:val="5F94645D"/>
    <w:rsid w:val="5FB3B669"/>
    <w:rsid w:val="5FC19837"/>
    <w:rsid w:val="5FC6B0A6"/>
    <w:rsid w:val="5FCBFCCE"/>
    <w:rsid w:val="5FE6D7AB"/>
    <w:rsid w:val="5FF8D09F"/>
    <w:rsid w:val="602DE63C"/>
    <w:rsid w:val="606A9DC3"/>
    <w:rsid w:val="606BFFAD"/>
    <w:rsid w:val="60904619"/>
    <w:rsid w:val="60AF2008"/>
    <w:rsid w:val="60C0F244"/>
    <w:rsid w:val="6114F053"/>
    <w:rsid w:val="6134A72A"/>
    <w:rsid w:val="6140EFAD"/>
    <w:rsid w:val="616E0A0D"/>
    <w:rsid w:val="6191B060"/>
    <w:rsid w:val="61A1A5DD"/>
    <w:rsid w:val="61ADF571"/>
    <w:rsid w:val="61B6752C"/>
    <w:rsid w:val="61E6ABC2"/>
    <w:rsid w:val="61F5348F"/>
    <w:rsid w:val="61FADFBD"/>
    <w:rsid w:val="620A0BCB"/>
    <w:rsid w:val="627B635C"/>
    <w:rsid w:val="62AFC9B6"/>
    <w:rsid w:val="62BC838F"/>
    <w:rsid w:val="62D5FC5E"/>
    <w:rsid w:val="62D7C474"/>
    <w:rsid w:val="62E2B622"/>
    <w:rsid w:val="63392FA4"/>
    <w:rsid w:val="63589967"/>
    <w:rsid w:val="63786905"/>
    <w:rsid w:val="638D6F3A"/>
    <w:rsid w:val="638DE0A5"/>
    <w:rsid w:val="639006F7"/>
    <w:rsid w:val="639DE890"/>
    <w:rsid w:val="63BCE70D"/>
    <w:rsid w:val="63D0F819"/>
    <w:rsid w:val="63D16CEE"/>
    <w:rsid w:val="643021E9"/>
    <w:rsid w:val="64886B2F"/>
    <w:rsid w:val="649CB4DA"/>
    <w:rsid w:val="6511118F"/>
    <w:rsid w:val="6541F0A2"/>
    <w:rsid w:val="6544E05D"/>
    <w:rsid w:val="654ADCEE"/>
    <w:rsid w:val="6576F561"/>
    <w:rsid w:val="65817618"/>
    <w:rsid w:val="658BEEC6"/>
    <w:rsid w:val="659FE24F"/>
    <w:rsid w:val="65A558BA"/>
    <w:rsid w:val="65C15EA6"/>
    <w:rsid w:val="65D3B6DE"/>
    <w:rsid w:val="65DDBA69"/>
    <w:rsid w:val="65EBA754"/>
    <w:rsid w:val="6622381B"/>
    <w:rsid w:val="662FD479"/>
    <w:rsid w:val="66506A55"/>
    <w:rsid w:val="66880BA8"/>
    <w:rsid w:val="6783BCB8"/>
    <w:rsid w:val="678CD732"/>
    <w:rsid w:val="67926355"/>
    <w:rsid w:val="6794FDFD"/>
    <w:rsid w:val="679777B8"/>
    <w:rsid w:val="679A73E5"/>
    <w:rsid w:val="67C6BF92"/>
    <w:rsid w:val="67E96296"/>
    <w:rsid w:val="67F1C307"/>
    <w:rsid w:val="67F29F2A"/>
    <w:rsid w:val="680D67E6"/>
    <w:rsid w:val="68162EFC"/>
    <w:rsid w:val="682B12A9"/>
    <w:rsid w:val="682E03CE"/>
    <w:rsid w:val="68425E68"/>
    <w:rsid w:val="6853F005"/>
    <w:rsid w:val="685803F6"/>
    <w:rsid w:val="685B84D2"/>
    <w:rsid w:val="6873FA15"/>
    <w:rsid w:val="688ACD60"/>
    <w:rsid w:val="68961280"/>
    <w:rsid w:val="68A2EFB2"/>
    <w:rsid w:val="68C9D48A"/>
    <w:rsid w:val="68D6F651"/>
    <w:rsid w:val="68DBA219"/>
    <w:rsid w:val="68E527B1"/>
    <w:rsid w:val="68FE3455"/>
    <w:rsid w:val="695C98B5"/>
    <w:rsid w:val="69979BF9"/>
    <w:rsid w:val="69A4773B"/>
    <w:rsid w:val="69C54871"/>
    <w:rsid w:val="69D6E8F5"/>
    <w:rsid w:val="6A5755DB"/>
    <w:rsid w:val="6A80B6B9"/>
    <w:rsid w:val="6A95ECCE"/>
    <w:rsid w:val="6AC37285"/>
    <w:rsid w:val="6B08D149"/>
    <w:rsid w:val="6B437F9B"/>
    <w:rsid w:val="6B8DAF62"/>
    <w:rsid w:val="6BD4A231"/>
    <w:rsid w:val="6BD825C4"/>
    <w:rsid w:val="6BE778D2"/>
    <w:rsid w:val="6C2B93E4"/>
    <w:rsid w:val="6C5003CE"/>
    <w:rsid w:val="6C70CCB4"/>
    <w:rsid w:val="6C71B273"/>
    <w:rsid w:val="6C9744F4"/>
    <w:rsid w:val="6CAF3278"/>
    <w:rsid w:val="6CC8D24E"/>
    <w:rsid w:val="6CCDF6FB"/>
    <w:rsid w:val="6CF78DAC"/>
    <w:rsid w:val="6D1761D8"/>
    <w:rsid w:val="6D3862BE"/>
    <w:rsid w:val="6D552568"/>
    <w:rsid w:val="6D7B5CFB"/>
    <w:rsid w:val="6D970F90"/>
    <w:rsid w:val="6DB1A791"/>
    <w:rsid w:val="6DF0B8E0"/>
    <w:rsid w:val="6E014024"/>
    <w:rsid w:val="6E15E017"/>
    <w:rsid w:val="6E33E07E"/>
    <w:rsid w:val="6E3D961E"/>
    <w:rsid w:val="6E61E831"/>
    <w:rsid w:val="6E633A62"/>
    <w:rsid w:val="6E655908"/>
    <w:rsid w:val="6E70A2B7"/>
    <w:rsid w:val="6E773523"/>
    <w:rsid w:val="6EAA5E6A"/>
    <w:rsid w:val="6EE9AC11"/>
    <w:rsid w:val="6F271F05"/>
    <w:rsid w:val="6F3452C2"/>
    <w:rsid w:val="6F601247"/>
    <w:rsid w:val="6F7099CB"/>
    <w:rsid w:val="6F8653CC"/>
    <w:rsid w:val="6F8EA1FA"/>
    <w:rsid w:val="6FADF6D0"/>
    <w:rsid w:val="6FB309DB"/>
    <w:rsid w:val="6FC6E4B7"/>
    <w:rsid w:val="6FE4DA03"/>
    <w:rsid w:val="6FF3191D"/>
    <w:rsid w:val="7007AC36"/>
    <w:rsid w:val="70286DE5"/>
    <w:rsid w:val="70396B0D"/>
    <w:rsid w:val="7057221E"/>
    <w:rsid w:val="7079BD9B"/>
    <w:rsid w:val="707CD455"/>
    <w:rsid w:val="7085BAB8"/>
    <w:rsid w:val="708AFB1D"/>
    <w:rsid w:val="70995968"/>
    <w:rsid w:val="7141AF30"/>
    <w:rsid w:val="71428677"/>
    <w:rsid w:val="717D584E"/>
    <w:rsid w:val="718C70DB"/>
    <w:rsid w:val="71AFF8AA"/>
    <w:rsid w:val="71EC298F"/>
    <w:rsid w:val="721024AF"/>
    <w:rsid w:val="72179126"/>
    <w:rsid w:val="7234EF71"/>
    <w:rsid w:val="72BC9E89"/>
    <w:rsid w:val="72E1043D"/>
    <w:rsid w:val="72F9C3F6"/>
    <w:rsid w:val="73344C8D"/>
    <w:rsid w:val="7335BC57"/>
    <w:rsid w:val="73546470"/>
    <w:rsid w:val="74032EA0"/>
    <w:rsid w:val="7435379E"/>
    <w:rsid w:val="74380E50"/>
    <w:rsid w:val="744711BF"/>
    <w:rsid w:val="74532597"/>
    <w:rsid w:val="746AAD0E"/>
    <w:rsid w:val="74777E63"/>
    <w:rsid w:val="7492D078"/>
    <w:rsid w:val="74C0C0C7"/>
    <w:rsid w:val="74E12B3E"/>
    <w:rsid w:val="74F09656"/>
    <w:rsid w:val="751DEE80"/>
    <w:rsid w:val="752D3D32"/>
    <w:rsid w:val="752FC0A4"/>
    <w:rsid w:val="757CC0F8"/>
    <w:rsid w:val="75A9C900"/>
    <w:rsid w:val="75CCBDA0"/>
    <w:rsid w:val="75D51A39"/>
    <w:rsid w:val="75E117B1"/>
    <w:rsid w:val="760992F7"/>
    <w:rsid w:val="7613F64B"/>
    <w:rsid w:val="7628FC62"/>
    <w:rsid w:val="763C668B"/>
    <w:rsid w:val="769F6509"/>
    <w:rsid w:val="76E05707"/>
    <w:rsid w:val="77357C2A"/>
    <w:rsid w:val="773C70E0"/>
    <w:rsid w:val="7778F45E"/>
    <w:rsid w:val="77900DFE"/>
    <w:rsid w:val="77AC4DEE"/>
    <w:rsid w:val="77AD87EE"/>
    <w:rsid w:val="77B38582"/>
    <w:rsid w:val="77B8C6C2"/>
    <w:rsid w:val="77D724FF"/>
    <w:rsid w:val="77DAA80D"/>
    <w:rsid w:val="77EF8F10"/>
    <w:rsid w:val="780008A2"/>
    <w:rsid w:val="78264E72"/>
    <w:rsid w:val="7826E209"/>
    <w:rsid w:val="787A17B2"/>
    <w:rsid w:val="787C823E"/>
    <w:rsid w:val="78AB7D59"/>
    <w:rsid w:val="78B15AF0"/>
    <w:rsid w:val="78C286D4"/>
    <w:rsid w:val="78DC9578"/>
    <w:rsid w:val="7936E917"/>
    <w:rsid w:val="7979B6E4"/>
    <w:rsid w:val="797E7320"/>
    <w:rsid w:val="79AE8217"/>
    <w:rsid w:val="79DD97E9"/>
    <w:rsid w:val="7A19666A"/>
    <w:rsid w:val="7A54F92B"/>
    <w:rsid w:val="7A78D0AC"/>
    <w:rsid w:val="7A98B670"/>
    <w:rsid w:val="7B178BC7"/>
    <w:rsid w:val="7B2AEDDF"/>
    <w:rsid w:val="7B50DABA"/>
    <w:rsid w:val="7B80081A"/>
    <w:rsid w:val="7B8E4638"/>
    <w:rsid w:val="7B9D50F0"/>
    <w:rsid w:val="7BB59CFD"/>
    <w:rsid w:val="7BEAB1FC"/>
    <w:rsid w:val="7C262A18"/>
    <w:rsid w:val="7C43455B"/>
    <w:rsid w:val="7C7F2177"/>
    <w:rsid w:val="7D0ED8B9"/>
    <w:rsid w:val="7D2B7F39"/>
    <w:rsid w:val="7D67B1D5"/>
    <w:rsid w:val="7D9C38F0"/>
    <w:rsid w:val="7DB91A27"/>
    <w:rsid w:val="7DF283D8"/>
    <w:rsid w:val="7E160F65"/>
    <w:rsid w:val="7E502DFE"/>
    <w:rsid w:val="7E694CBB"/>
    <w:rsid w:val="7E7647C2"/>
    <w:rsid w:val="7E9509D2"/>
    <w:rsid w:val="7EACE59B"/>
    <w:rsid w:val="7EEF9D81"/>
    <w:rsid w:val="7F2D4111"/>
    <w:rsid w:val="7F496F87"/>
    <w:rsid w:val="7F5C827D"/>
    <w:rsid w:val="7F638D39"/>
    <w:rsid w:val="7F7D33A0"/>
    <w:rsid w:val="7F98E0C1"/>
    <w:rsid w:val="7FA6550F"/>
    <w:rsid w:val="7FAD6177"/>
    <w:rsid w:val="7FBE4711"/>
    <w:rsid w:val="7FD609B6"/>
    <w:rsid w:val="7FE0B806"/>
    <w:rsid w:val="7FF9A6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F5B82"/>
  <w15:docId w15:val="{4F7D2661-60BF-46D5-A738-4CA6D2A94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ajorBidi"/>
        <w:spacing w:val="5"/>
        <w:kern w:val="28"/>
        <w:sz w:val="22"/>
        <w:szCs w:val="5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C9E"/>
  </w:style>
  <w:style w:type="paragraph" w:styleId="Heading1">
    <w:name w:val="heading 1"/>
    <w:basedOn w:val="Normal"/>
    <w:next w:val="Normal"/>
    <w:link w:val="Heading1Char"/>
    <w:uiPriority w:val="9"/>
    <w:qFormat/>
    <w:rsid w:val="008323FD"/>
    <w:pPr>
      <w:keepNext/>
      <w:keepLines/>
      <w:tabs>
        <w:tab w:val="left" w:pos="540"/>
      </w:tabs>
      <w:spacing w:before="360" w:after="360"/>
      <w:outlineLvl w:val="0"/>
    </w:pPr>
    <w:rPr>
      <w:rFonts w:ascii="Arial" w:eastAsiaTheme="majorEastAsia" w:hAnsi="Arial"/>
      <w:b/>
      <w:bCs/>
      <w:color w:val="001B74"/>
      <w:sz w:val="28"/>
      <w:szCs w:val="28"/>
    </w:rPr>
  </w:style>
  <w:style w:type="paragraph" w:styleId="Heading2">
    <w:name w:val="heading 2"/>
    <w:basedOn w:val="Normal"/>
    <w:next w:val="Normal"/>
    <w:link w:val="Heading2Char"/>
    <w:autoRedefine/>
    <w:uiPriority w:val="9"/>
    <w:unhideWhenUsed/>
    <w:qFormat/>
    <w:rsid w:val="00005C37"/>
    <w:pPr>
      <w:tabs>
        <w:tab w:val="left" w:pos="540"/>
      </w:tabs>
      <w:spacing w:before="160" w:after="80" w:line="257" w:lineRule="auto"/>
      <w:outlineLvl w:val="1"/>
    </w:pPr>
    <w:rPr>
      <w:rFonts w:ascii="Arial" w:eastAsia="Aptos Display" w:hAnsi="Arial" w:cs="Aptos Display"/>
      <w:color w:val="0F4761"/>
      <w:sz w:val="24"/>
      <w:szCs w:val="32"/>
    </w:rPr>
  </w:style>
  <w:style w:type="paragraph" w:styleId="Heading3">
    <w:name w:val="heading 3"/>
    <w:basedOn w:val="Normal"/>
    <w:next w:val="Normal"/>
    <w:link w:val="Heading3Char"/>
    <w:autoRedefine/>
    <w:uiPriority w:val="9"/>
    <w:unhideWhenUsed/>
    <w:qFormat/>
    <w:rsid w:val="00D45BB6"/>
    <w:pPr>
      <w:keepNext/>
      <w:keepLines/>
      <w:spacing w:before="120" w:after="120" w:line="360" w:lineRule="auto"/>
      <w:outlineLvl w:val="2"/>
    </w:pPr>
    <w:rPr>
      <w:rFonts w:ascii="Arial" w:eastAsiaTheme="majorEastAsia" w:hAnsi="Arial"/>
      <w:bCs/>
      <w:color w:val="365F91" w:themeColor="accent1" w:themeShade="BF"/>
    </w:rPr>
  </w:style>
  <w:style w:type="paragraph" w:styleId="Heading4">
    <w:name w:val="heading 4"/>
    <w:basedOn w:val="Normal"/>
    <w:next w:val="Normal"/>
    <w:link w:val="Heading4Char"/>
    <w:uiPriority w:val="9"/>
    <w:unhideWhenUsed/>
    <w:qFormat/>
    <w:rsid w:val="00203C9E"/>
    <w:pPr>
      <w:keepNext/>
      <w:keepLines/>
      <w:spacing w:before="120" w:after="120"/>
      <w:outlineLvl w:val="3"/>
    </w:pPr>
    <w:rPr>
      <w:rFonts w:eastAsiaTheme="minorEastAsia" w:cstheme="majorEastAsia"/>
      <w:b/>
      <w:i/>
      <w:iCs/>
      <w:color w:val="244061" w:themeColor="accent1" w:themeShade="80"/>
    </w:rPr>
  </w:style>
  <w:style w:type="paragraph" w:styleId="Heading5">
    <w:name w:val="heading 5"/>
    <w:basedOn w:val="Normal"/>
    <w:link w:val="Heading5Char"/>
    <w:uiPriority w:val="9"/>
    <w:unhideWhenUsed/>
    <w:qFormat/>
    <w:rsid w:val="006420CB"/>
    <w:pPr>
      <w:widowControl w:val="0"/>
      <w:autoSpaceDE w:val="0"/>
      <w:autoSpaceDN w:val="0"/>
      <w:outlineLvl w:val="4"/>
    </w:pPr>
    <w:rPr>
      <w:rFonts w:ascii="Calibri" w:eastAsia="Calibri" w:hAnsi="Calibri" w:cs="Calibri"/>
      <w:b/>
      <w:bCs/>
      <w:i/>
      <w:iCs/>
      <w:spacing w:val="0"/>
      <w:kern w:val="0"/>
      <w:sz w:val="24"/>
      <w:szCs w:val="24"/>
    </w:rPr>
  </w:style>
  <w:style w:type="paragraph" w:styleId="Heading6">
    <w:name w:val="heading 6"/>
    <w:basedOn w:val="Normal"/>
    <w:next w:val="Normal"/>
    <w:link w:val="Heading6Char"/>
    <w:uiPriority w:val="9"/>
    <w:unhideWhenUsed/>
    <w:qFormat/>
    <w:rsid w:val="006420CB"/>
    <w:pPr>
      <w:keepNext/>
      <w:keepLines/>
      <w:spacing w:before="40"/>
      <w:outlineLvl w:val="5"/>
    </w:pPr>
    <w:rPr>
      <w:rFonts w:asciiTheme="majorHAnsi" w:eastAsiaTheme="majorEastAsia" w:hAnsiTheme="majorHAnsi"/>
      <w:color w:val="243F60" w:themeColor="accent1" w:themeShade="7F"/>
    </w:rPr>
  </w:style>
  <w:style w:type="paragraph" w:styleId="Heading7">
    <w:name w:val="heading 7"/>
    <w:basedOn w:val="Normal"/>
    <w:link w:val="Heading7Char"/>
    <w:uiPriority w:val="1"/>
    <w:qFormat/>
    <w:rsid w:val="006420CB"/>
    <w:pPr>
      <w:widowControl w:val="0"/>
      <w:autoSpaceDE w:val="0"/>
      <w:autoSpaceDN w:val="0"/>
      <w:spacing w:before="240"/>
      <w:ind w:left="360"/>
      <w:outlineLvl w:val="6"/>
    </w:pPr>
    <w:rPr>
      <w:rFonts w:ascii="Calibri" w:eastAsia="Calibri" w:hAnsi="Calibri" w:cs="Calibri"/>
      <w:i/>
      <w:iCs/>
      <w:spacing w:val="0"/>
      <w:kern w:val="0"/>
      <w:sz w:val="24"/>
      <w:szCs w:val="24"/>
    </w:rPr>
  </w:style>
  <w:style w:type="paragraph" w:styleId="Heading8">
    <w:name w:val="heading 8"/>
    <w:basedOn w:val="Normal"/>
    <w:link w:val="Heading8Char"/>
    <w:uiPriority w:val="1"/>
    <w:qFormat/>
    <w:rsid w:val="006420CB"/>
    <w:pPr>
      <w:widowControl w:val="0"/>
      <w:autoSpaceDE w:val="0"/>
      <w:autoSpaceDN w:val="0"/>
      <w:ind w:left="720"/>
      <w:outlineLvl w:val="7"/>
    </w:pPr>
    <w:rPr>
      <w:rFonts w:ascii="Calibri" w:eastAsia="Calibri" w:hAnsi="Calibri" w:cs="Calibri"/>
      <w:b/>
      <w:bCs/>
      <w:spacing w:val="0"/>
      <w:kern w:val="0"/>
      <w:szCs w:val="22"/>
    </w:rPr>
  </w:style>
  <w:style w:type="paragraph" w:styleId="Heading9">
    <w:name w:val="heading 9"/>
    <w:basedOn w:val="Normal"/>
    <w:next w:val="Normal"/>
    <w:link w:val="Heading9Char"/>
    <w:uiPriority w:val="1"/>
    <w:unhideWhenUsed/>
    <w:qFormat/>
    <w:rsid w:val="00203C9E"/>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3FD"/>
    <w:rPr>
      <w:rFonts w:ascii="Arial" w:eastAsiaTheme="majorEastAsia" w:hAnsi="Arial"/>
      <w:b/>
      <w:bCs/>
      <w:color w:val="001B74"/>
      <w:sz w:val="28"/>
      <w:szCs w:val="28"/>
    </w:rPr>
  </w:style>
  <w:style w:type="character" w:customStyle="1" w:styleId="Heading2Char">
    <w:name w:val="Heading 2 Char"/>
    <w:basedOn w:val="DefaultParagraphFont"/>
    <w:link w:val="Heading2"/>
    <w:uiPriority w:val="9"/>
    <w:rsid w:val="00005C37"/>
    <w:rPr>
      <w:rFonts w:ascii="Arial" w:eastAsia="Aptos Display" w:hAnsi="Arial" w:cs="Aptos Display"/>
      <w:color w:val="0F4761"/>
      <w:sz w:val="24"/>
      <w:szCs w:val="32"/>
    </w:rPr>
  </w:style>
  <w:style w:type="paragraph" w:styleId="EnvelopeAddress">
    <w:name w:val="envelope address"/>
    <w:basedOn w:val="Normal"/>
    <w:uiPriority w:val="99"/>
    <w:semiHidden/>
    <w:unhideWhenUsed/>
    <w:rsid w:val="00833D89"/>
    <w:pPr>
      <w:framePr w:w="7920" w:h="1980" w:hRule="exact" w:hSpace="180" w:wrap="auto" w:hAnchor="page" w:xAlign="center" w:yAlign="bottom"/>
      <w:ind w:left="2880"/>
    </w:pPr>
    <w:rPr>
      <w:rFonts w:eastAsiaTheme="majorEastAsia"/>
      <w:szCs w:val="24"/>
    </w:rPr>
  </w:style>
  <w:style w:type="paragraph" w:styleId="Title">
    <w:name w:val="Title"/>
    <w:basedOn w:val="Normal"/>
    <w:next w:val="Normal"/>
    <w:link w:val="TitleChar"/>
    <w:autoRedefine/>
    <w:uiPriority w:val="10"/>
    <w:qFormat/>
    <w:rsid w:val="008323FD"/>
    <w:pPr>
      <w:spacing w:before="240" w:after="240"/>
      <w:contextualSpacing/>
      <w:jc w:val="center"/>
    </w:pPr>
    <w:rPr>
      <w:rFonts w:ascii="Arial" w:eastAsiaTheme="majorEastAsia" w:hAnsi="Arial"/>
      <w:b/>
      <w:sz w:val="44"/>
    </w:rPr>
  </w:style>
  <w:style w:type="character" w:customStyle="1" w:styleId="TitleChar">
    <w:name w:val="Title Char"/>
    <w:basedOn w:val="DefaultParagraphFont"/>
    <w:link w:val="Title"/>
    <w:uiPriority w:val="10"/>
    <w:rsid w:val="008323FD"/>
    <w:rPr>
      <w:rFonts w:ascii="Arial" w:eastAsiaTheme="majorEastAsia" w:hAnsi="Arial"/>
      <w:b/>
      <w:sz w:val="44"/>
    </w:rPr>
  </w:style>
  <w:style w:type="paragraph" w:styleId="Subtitle">
    <w:name w:val="Subtitle"/>
    <w:basedOn w:val="Normal"/>
    <w:next w:val="Normal"/>
    <w:link w:val="SubtitleChar"/>
    <w:uiPriority w:val="11"/>
    <w:qFormat/>
    <w:rsid w:val="008323FD"/>
    <w:pPr>
      <w:numPr>
        <w:ilvl w:val="1"/>
      </w:numPr>
      <w:spacing w:before="2040"/>
      <w:contextualSpacing/>
      <w:jc w:val="center"/>
    </w:pPr>
    <w:rPr>
      <w:rFonts w:ascii="Arial" w:eastAsiaTheme="majorEastAsia" w:hAnsi="Arial"/>
      <w:b/>
      <w:i/>
      <w:iCs/>
      <w:spacing w:val="15"/>
      <w:sz w:val="40"/>
      <w:szCs w:val="24"/>
    </w:rPr>
  </w:style>
  <w:style w:type="character" w:customStyle="1" w:styleId="SubtitleChar">
    <w:name w:val="Subtitle Char"/>
    <w:basedOn w:val="DefaultParagraphFont"/>
    <w:link w:val="Subtitle"/>
    <w:uiPriority w:val="11"/>
    <w:rsid w:val="008323FD"/>
    <w:rPr>
      <w:rFonts w:ascii="Arial" w:eastAsiaTheme="majorEastAsia" w:hAnsi="Arial"/>
      <w:b/>
      <w:i/>
      <w:iCs/>
      <w:spacing w:val="15"/>
      <w:sz w:val="40"/>
      <w:szCs w:val="24"/>
    </w:rPr>
  </w:style>
  <w:style w:type="paragraph" w:styleId="BalloonText">
    <w:name w:val="Balloon Text"/>
    <w:basedOn w:val="Normal"/>
    <w:link w:val="BalloonTextChar"/>
    <w:uiPriority w:val="99"/>
    <w:semiHidden/>
    <w:unhideWhenUsed/>
    <w:rsid w:val="008E00E4"/>
    <w:rPr>
      <w:rFonts w:ascii="Tahoma" w:hAnsi="Tahoma" w:cs="Tahoma"/>
      <w:sz w:val="16"/>
      <w:szCs w:val="16"/>
    </w:rPr>
  </w:style>
  <w:style w:type="character" w:customStyle="1" w:styleId="BalloonTextChar">
    <w:name w:val="Balloon Text Char"/>
    <w:basedOn w:val="DefaultParagraphFont"/>
    <w:link w:val="BalloonText"/>
    <w:uiPriority w:val="99"/>
    <w:semiHidden/>
    <w:rsid w:val="008E00E4"/>
    <w:rPr>
      <w:rFonts w:ascii="Tahoma" w:hAnsi="Tahoma" w:cs="Tahoma"/>
      <w:sz w:val="16"/>
      <w:szCs w:val="16"/>
    </w:rPr>
  </w:style>
  <w:style w:type="paragraph" w:customStyle="1" w:styleId="SectionTitles">
    <w:name w:val="Section Titles"/>
    <w:basedOn w:val="Normal"/>
    <w:autoRedefine/>
    <w:qFormat/>
    <w:rsid w:val="00203C9E"/>
    <w:pPr>
      <w:contextualSpacing/>
    </w:pPr>
    <w:rPr>
      <w:b/>
      <w:smallCaps/>
      <w:sz w:val="40"/>
    </w:rPr>
  </w:style>
  <w:style w:type="character" w:styleId="Hyperlink">
    <w:name w:val="Hyperlink"/>
    <w:basedOn w:val="DefaultParagraphFont"/>
    <w:uiPriority w:val="99"/>
    <w:unhideWhenUsed/>
    <w:rsid w:val="00DA6261"/>
    <w:rPr>
      <w:rFonts w:ascii="Arial" w:hAnsi="Arial"/>
      <w:color w:val="0000FF" w:themeColor="hyperlink"/>
      <w:sz w:val="22"/>
      <w:u w:val="single"/>
    </w:rPr>
  </w:style>
  <w:style w:type="paragraph" w:styleId="Header">
    <w:name w:val="header"/>
    <w:basedOn w:val="Normal"/>
    <w:link w:val="HeaderChar"/>
    <w:uiPriority w:val="99"/>
    <w:unhideWhenUsed/>
    <w:rsid w:val="006731C8"/>
    <w:pPr>
      <w:tabs>
        <w:tab w:val="center" w:pos="4680"/>
        <w:tab w:val="right" w:pos="9360"/>
      </w:tabs>
    </w:pPr>
  </w:style>
  <w:style w:type="character" w:customStyle="1" w:styleId="HeaderChar">
    <w:name w:val="Header Char"/>
    <w:basedOn w:val="DefaultParagraphFont"/>
    <w:link w:val="Header"/>
    <w:uiPriority w:val="99"/>
    <w:rsid w:val="006731C8"/>
    <w:rPr>
      <w:rFonts w:ascii="Calibri" w:hAnsi="Calibri"/>
      <w:sz w:val="24"/>
      <w:szCs w:val="20"/>
    </w:rPr>
  </w:style>
  <w:style w:type="paragraph" w:styleId="Footer">
    <w:name w:val="footer"/>
    <w:basedOn w:val="Normal"/>
    <w:link w:val="FooterChar"/>
    <w:uiPriority w:val="99"/>
    <w:unhideWhenUsed/>
    <w:rsid w:val="006731C8"/>
    <w:pPr>
      <w:tabs>
        <w:tab w:val="center" w:pos="4680"/>
        <w:tab w:val="right" w:pos="9360"/>
      </w:tabs>
    </w:pPr>
  </w:style>
  <w:style w:type="character" w:customStyle="1" w:styleId="FooterChar">
    <w:name w:val="Footer Char"/>
    <w:basedOn w:val="DefaultParagraphFont"/>
    <w:link w:val="Footer"/>
    <w:uiPriority w:val="99"/>
    <w:rsid w:val="006731C8"/>
    <w:rPr>
      <w:rFonts w:ascii="Calibri" w:hAnsi="Calibri"/>
      <w:sz w:val="24"/>
      <w:szCs w:val="20"/>
    </w:rPr>
  </w:style>
  <w:style w:type="table" w:styleId="TableGrid">
    <w:name w:val="Table Grid"/>
    <w:basedOn w:val="TableNormal"/>
    <w:uiPriority w:val="39"/>
    <w:rsid w:val="00F04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 Headers"/>
    <w:basedOn w:val="Normal"/>
    <w:qFormat/>
    <w:rsid w:val="004F0ED0"/>
    <w:pPr>
      <w:jc w:val="center"/>
    </w:pPr>
    <w:rPr>
      <w:rFonts w:ascii="Arial" w:hAnsi="Arial"/>
      <w:b/>
      <w:sz w:val="18"/>
    </w:rPr>
  </w:style>
  <w:style w:type="paragraph" w:styleId="Caption">
    <w:name w:val="caption"/>
    <w:basedOn w:val="Normal"/>
    <w:next w:val="Normal"/>
    <w:uiPriority w:val="35"/>
    <w:unhideWhenUsed/>
    <w:qFormat/>
    <w:rsid w:val="00AC0142"/>
    <w:pPr>
      <w:spacing w:before="120" w:after="120"/>
    </w:pPr>
    <w:rPr>
      <w:rFonts w:ascii="Arial" w:hAnsi="Arial"/>
      <w:b/>
      <w:bCs/>
      <w:color w:val="B32317"/>
      <w:sz w:val="18"/>
      <w:szCs w:val="18"/>
    </w:rPr>
  </w:style>
  <w:style w:type="paragraph" w:customStyle="1" w:styleId="TableTitle">
    <w:name w:val="Table Title"/>
    <w:basedOn w:val="Heading2"/>
    <w:qFormat/>
    <w:rsid w:val="00F3397E"/>
    <w:pPr>
      <w:spacing w:line="360" w:lineRule="auto"/>
      <w:contextualSpacing/>
      <w:jc w:val="center"/>
    </w:pPr>
    <w:rPr>
      <w:sz w:val="22"/>
      <w:szCs w:val="22"/>
    </w:rPr>
  </w:style>
  <w:style w:type="paragraph" w:styleId="ListParagraph">
    <w:name w:val="List Paragraph"/>
    <w:basedOn w:val="Normal"/>
    <w:uiPriority w:val="34"/>
    <w:qFormat/>
    <w:rsid w:val="007F2FD3"/>
    <w:pPr>
      <w:tabs>
        <w:tab w:val="left" w:pos="360"/>
        <w:tab w:val="left" w:pos="547"/>
      </w:tabs>
      <w:spacing w:before="120" w:after="120" w:line="276" w:lineRule="auto"/>
      <w:ind w:left="360" w:hanging="360"/>
    </w:pPr>
    <w:rPr>
      <w:rFonts w:ascii="Arial" w:hAnsi="Arial"/>
      <w:b/>
    </w:rPr>
  </w:style>
  <w:style w:type="character" w:styleId="Emphasis">
    <w:name w:val="Emphasis"/>
    <w:basedOn w:val="DefaultParagraphFont"/>
    <w:uiPriority w:val="20"/>
    <w:qFormat/>
    <w:rsid w:val="00203C9E"/>
    <w:rPr>
      <w:i/>
      <w:iCs/>
    </w:rPr>
  </w:style>
  <w:style w:type="paragraph" w:customStyle="1" w:styleId="TableText">
    <w:name w:val="Table Text"/>
    <w:basedOn w:val="Normal"/>
    <w:qFormat/>
    <w:rsid w:val="00122328"/>
    <w:rPr>
      <w:rFonts w:ascii="Arial" w:hAnsi="Arial"/>
      <w:sz w:val="18"/>
    </w:rPr>
  </w:style>
  <w:style w:type="character" w:styleId="SubtleEmphasis">
    <w:name w:val="Subtle Emphasis"/>
    <w:basedOn w:val="DefaultParagraphFont"/>
    <w:uiPriority w:val="19"/>
    <w:qFormat/>
    <w:rsid w:val="00203C9E"/>
    <w:rPr>
      <w:i/>
      <w:iCs/>
      <w:color w:val="808080" w:themeColor="text1" w:themeTint="7F"/>
    </w:rPr>
  </w:style>
  <w:style w:type="character" w:styleId="Strong">
    <w:name w:val="Strong"/>
    <w:basedOn w:val="DefaultParagraphFont"/>
    <w:uiPriority w:val="22"/>
    <w:qFormat/>
    <w:rsid w:val="00CD7297"/>
    <w:rPr>
      <w:rFonts w:ascii="Arial" w:hAnsi="Arial"/>
      <w:b w:val="0"/>
      <w:bCs/>
      <w:sz w:val="22"/>
    </w:rPr>
  </w:style>
  <w:style w:type="character" w:styleId="IntenseEmphasis">
    <w:name w:val="Intense Emphasis"/>
    <w:basedOn w:val="DefaultParagraphFont"/>
    <w:uiPriority w:val="21"/>
    <w:qFormat/>
    <w:rsid w:val="00203C9E"/>
    <w:rPr>
      <w:b/>
      <w:bCs/>
      <w:i/>
      <w:iCs/>
      <w:color w:val="auto"/>
    </w:rPr>
  </w:style>
  <w:style w:type="paragraph" w:customStyle="1" w:styleId="ExhibitExampleHeader">
    <w:name w:val="Exhibit Example Header"/>
    <w:basedOn w:val="Heading2"/>
    <w:qFormat/>
    <w:rsid w:val="00203C9E"/>
    <w:pPr>
      <w:spacing w:before="360" w:after="360"/>
    </w:pPr>
    <w:rPr>
      <w:rFonts w:cs="Arial"/>
    </w:rPr>
  </w:style>
  <w:style w:type="character" w:styleId="FollowedHyperlink">
    <w:name w:val="FollowedHyperlink"/>
    <w:basedOn w:val="DefaultParagraphFont"/>
    <w:uiPriority w:val="99"/>
    <w:semiHidden/>
    <w:unhideWhenUsed/>
    <w:rsid w:val="0069458C"/>
    <w:rPr>
      <w:color w:val="800080" w:themeColor="followedHyperlink"/>
      <w:u w:val="single"/>
    </w:rPr>
  </w:style>
  <w:style w:type="paragraph" w:styleId="TOCHeading">
    <w:name w:val="TOC Heading"/>
    <w:basedOn w:val="Heading1"/>
    <w:next w:val="Normal"/>
    <w:uiPriority w:val="39"/>
    <w:unhideWhenUsed/>
    <w:qFormat/>
    <w:rsid w:val="00203C9E"/>
    <w:pPr>
      <w:tabs>
        <w:tab w:val="clear" w:pos="540"/>
      </w:tabs>
      <w:spacing w:before="480" w:after="0" w:line="276" w:lineRule="auto"/>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203C9E"/>
    <w:pPr>
      <w:spacing w:before="360"/>
    </w:pPr>
    <w:rPr>
      <w:rFonts w:asciiTheme="majorHAnsi" w:hAnsiTheme="majorHAnsi"/>
      <w:bCs/>
      <w:caps/>
      <w:sz w:val="24"/>
      <w:szCs w:val="24"/>
    </w:rPr>
  </w:style>
  <w:style w:type="paragraph" w:styleId="TOC2">
    <w:name w:val="toc 2"/>
    <w:basedOn w:val="Normal"/>
    <w:next w:val="Normal"/>
    <w:autoRedefine/>
    <w:uiPriority w:val="39"/>
    <w:unhideWhenUsed/>
    <w:qFormat/>
    <w:rsid w:val="00203C9E"/>
    <w:pPr>
      <w:spacing w:before="240"/>
    </w:pPr>
    <w:rPr>
      <w:rFonts w:asciiTheme="minorHAnsi" w:hAnsiTheme="minorHAnsi" w:cstheme="minorHAnsi"/>
      <w:bCs/>
      <w:sz w:val="20"/>
      <w:szCs w:val="20"/>
    </w:rPr>
  </w:style>
  <w:style w:type="character" w:customStyle="1" w:styleId="Heading3Char">
    <w:name w:val="Heading 3 Char"/>
    <w:basedOn w:val="DefaultParagraphFont"/>
    <w:link w:val="Heading3"/>
    <w:uiPriority w:val="9"/>
    <w:rsid w:val="00D45BB6"/>
    <w:rPr>
      <w:rFonts w:ascii="Arial" w:eastAsiaTheme="majorEastAsia" w:hAnsi="Arial"/>
      <w:bCs/>
      <w:color w:val="365F91" w:themeColor="accent1" w:themeShade="BF"/>
    </w:rPr>
  </w:style>
  <w:style w:type="paragraph" w:styleId="TOC3">
    <w:name w:val="toc 3"/>
    <w:basedOn w:val="Normal"/>
    <w:next w:val="Normal"/>
    <w:uiPriority w:val="39"/>
    <w:unhideWhenUsed/>
    <w:qFormat/>
    <w:rsid w:val="00BB301A"/>
    <w:pPr>
      <w:ind w:left="220"/>
    </w:pPr>
    <w:rPr>
      <w:rFonts w:ascii="Arial" w:hAnsi="Arial" w:cstheme="minorHAnsi"/>
      <w:sz w:val="20"/>
      <w:szCs w:val="20"/>
    </w:rPr>
  </w:style>
  <w:style w:type="character" w:styleId="CommentReference">
    <w:name w:val="annotation reference"/>
    <w:basedOn w:val="DefaultParagraphFont"/>
    <w:uiPriority w:val="99"/>
    <w:semiHidden/>
    <w:unhideWhenUsed/>
    <w:rsid w:val="0008250B"/>
    <w:rPr>
      <w:sz w:val="16"/>
      <w:szCs w:val="16"/>
    </w:rPr>
  </w:style>
  <w:style w:type="paragraph" w:styleId="CommentText">
    <w:name w:val="annotation text"/>
    <w:basedOn w:val="Normal"/>
    <w:link w:val="CommentTextChar"/>
    <w:uiPriority w:val="99"/>
    <w:unhideWhenUsed/>
    <w:rsid w:val="0008250B"/>
    <w:rPr>
      <w:sz w:val="20"/>
    </w:rPr>
  </w:style>
  <w:style w:type="character" w:customStyle="1" w:styleId="CommentTextChar">
    <w:name w:val="Comment Text Char"/>
    <w:basedOn w:val="DefaultParagraphFont"/>
    <w:link w:val="CommentText"/>
    <w:uiPriority w:val="99"/>
    <w:rsid w:val="0008250B"/>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08250B"/>
    <w:rPr>
      <w:b/>
      <w:bCs/>
    </w:rPr>
  </w:style>
  <w:style w:type="character" w:customStyle="1" w:styleId="CommentSubjectChar">
    <w:name w:val="Comment Subject Char"/>
    <w:basedOn w:val="CommentTextChar"/>
    <w:link w:val="CommentSubject"/>
    <w:uiPriority w:val="99"/>
    <w:semiHidden/>
    <w:rsid w:val="0008250B"/>
    <w:rPr>
      <w:rFonts w:ascii="Calibri" w:hAnsi="Calibri"/>
      <w:b/>
      <w:bCs/>
      <w:sz w:val="20"/>
      <w:szCs w:val="20"/>
    </w:rPr>
  </w:style>
  <w:style w:type="paragraph" w:styleId="Revision">
    <w:name w:val="Revision"/>
    <w:hidden/>
    <w:uiPriority w:val="99"/>
    <w:semiHidden/>
    <w:rsid w:val="00E23CBD"/>
    <w:rPr>
      <w:rFonts w:ascii="Calibri" w:hAnsi="Calibri"/>
      <w:sz w:val="24"/>
      <w:szCs w:val="20"/>
    </w:rPr>
  </w:style>
  <w:style w:type="paragraph" w:styleId="FootnoteText">
    <w:name w:val="footnote text"/>
    <w:basedOn w:val="Normal"/>
    <w:link w:val="FootnoteTextChar"/>
    <w:uiPriority w:val="99"/>
    <w:semiHidden/>
    <w:unhideWhenUsed/>
    <w:rsid w:val="00D47BAF"/>
    <w:rPr>
      <w:sz w:val="20"/>
    </w:rPr>
  </w:style>
  <w:style w:type="character" w:customStyle="1" w:styleId="FootnoteTextChar">
    <w:name w:val="Footnote Text Char"/>
    <w:basedOn w:val="DefaultParagraphFont"/>
    <w:link w:val="FootnoteText"/>
    <w:uiPriority w:val="99"/>
    <w:semiHidden/>
    <w:rsid w:val="00D47BAF"/>
    <w:rPr>
      <w:rFonts w:ascii="Calibri" w:hAnsi="Calibri"/>
      <w:sz w:val="20"/>
      <w:szCs w:val="20"/>
    </w:rPr>
  </w:style>
  <w:style w:type="character" w:styleId="FootnoteReference">
    <w:name w:val="footnote reference"/>
    <w:basedOn w:val="DefaultParagraphFont"/>
    <w:uiPriority w:val="99"/>
    <w:semiHidden/>
    <w:unhideWhenUsed/>
    <w:rsid w:val="00D47BAF"/>
    <w:rPr>
      <w:vertAlign w:val="superscript"/>
    </w:rPr>
  </w:style>
  <w:style w:type="paragraph" w:styleId="EndnoteText">
    <w:name w:val="endnote text"/>
    <w:basedOn w:val="Normal"/>
    <w:link w:val="EndnoteTextChar"/>
    <w:uiPriority w:val="99"/>
    <w:semiHidden/>
    <w:unhideWhenUsed/>
    <w:rsid w:val="00D47BAF"/>
    <w:rPr>
      <w:sz w:val="20"/>
    </w:rPr>
  </w:style>
  <w:style w:type="character" w:customStyle="1" w:styleId="EndnoteTextChar">
    <w:name w:val="Endnote Text Char"/>
    <w:basedOn w:val="DefaultParagraphFont"/>
    <w:link w:val="EndnoteText"/>
    <w:uiPriority w:val="99"/>
    <w:semiHidden/>
    <w:rsid w:val="00D47BAF"/>
    <w:rPr>
      <w:rFonts w:ascii="Calibri" w:hAnsi="Calibri"/>
      <w:sz w:val="20"/>
      <w:szCs w:val="20"/>
    </w:rPr>
  </w:style>
  <w:style w:type="character" w:styleId="EndnoteReference">
    <w:name w:val="endnote reference"/>
    <w:basedOn w:val="DefaultParagraphFont"/>
    <w:uiPriority w:val="99"/>
    <w:semiHidden/>
    <w:unhideWhenUsed/>
    <w:rsid w:val="00D47BAF"/>
    <w:rPr>
      <w:vertAlign w:val="superscript"/>
    </w:rPr>
  </w:style>
  <w:style w:type="table" w:customStyle="1" w:styleId="TableGrid1">
    <w:name w:val="Table Grid1"/>
    <w:basedOn w:val="TableNormal"/>
    <w:next w:val="TableGrid"/>
    <w:uiPriority w:val="59"/>
    <w:rsid w:val="00012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34260"/>
    <w:rPr>
      <w:color w:val="605E5C"/>
      <w:shd w:val="clear" w:color="auto" w:fill="E1DFDD"/>
    </w:rPr>
  </w:style>
  <w:style w:type="paragraph" w:styleId="TOC4">
    <w:name w:val="toc 4"/>
    <w:basedOn w:val="Normal"/>
    <w:next w:val="Normal"/>
    <w:autoRedefine/>
    <w:uiPriority w:val="39"/>
    <w:unhideWhenUsed/>
    <w:rsid w:val="005A6413"/>
    <w:pPr>
      <w:ind w:left="440"/>
    </w:pPr>
    <w:rPr>
      <w:rFonts w:asciiTheme="minorHAnsi" w:hAnsiTheme="minorHAnsi" w:cstheme="minorHAnsi"/>
      <w:b/>
      <w:sz w:val="20"/>
      <w:szCs w:val="20"/>
    </w:rPr>
  </w:style>
  <w:style w:type="paragraph" w:styleId="TOC5">
    <w:name w:val="toc 5"/>
    <w:basedOn w:val="Normal"/>
    <w:next w:val="Normal"/>
    <w:autoRedefine/>
    <w:uiPriority w:val="39"/>
    <w:unhideWhenUsed/>
    <w:rsid w:val="005A6413"/>
    <w:pPr>
      <w:ind w:left="660"/>
    </w:pPr>
    <w:rPr>
      <w:rFonts w:asciiTheme="minorHAnsi" w:hAnsiTheme="minorHAnsi" w:cstheme="minorHAnsi"/>
      <w:b/>
      <w:sz w:val="20"/>
      <w:szCs w:val="20"/>
    </w:rPr>
  </w:style>
  <w:style w:type="paragraph" w:styleId="TOC6">
    <w:name w:val="toc 6"/>
    <w:basedOn w:val="Normal"/>
    <w:next w:val="Normal"/>
    <w:autoRedefine/>
    <w:uiPriority w:val="39"/>
    <w:unhideWhenUsed/>
    <w:rsid w:val="005A6413"/>
    <w:pPr>
      <w:ind w:left="880"/>
    </w:pPr>
    <w:rPr>
      <w:rFonts w:asciiTheme="minorHAnsi" w:hAnsiTheme="minorHAnsi" w:cstheme="minorHAnsi"/>
      <w:b/>
      <w:sz w:val="20"/>
      <w:szCs w:val="20"/>
    </w:rPr>
  </w:style>
  <w:style w:type="paragraph" w:styleId="TOC7">
    <w:name w:val="toc 7"/>
    <w:basedOn w:val="Normal"/>
    <w:next w:val="Normal"/>
    <w:autoRedefine/>
    <w:uiPriority w:val="39"/>
    <w:unhideWhenUsed/>
    <w:rsid w:val="005A6413"/>
    <w:pPr>
      <w:ind w:left="1100"/>
    </w:pPr>
    <w:rPr>
      <w:rFonts w:asciiTheme="minorHAnsi" w:hAnsiTheme="minorHAnsi" w:cstheme="minorHAnsi"/>
      <w:b/>
      <w:sz w:val="20"/>
      <w:szCs w:val="20"/>
    </w:rPr>
  </w:style>
  <w:style w:type="paragraph" w:styleId="TOC8">
    <w:name w:val="toc 8"/>
    <w:basedOn w:val="Normal"/>
    <w:next w:val="Normal"/>
    <w:autoRedefine/>
    <w:uiPriority w:val="39"/>
    <w:unhideWhenUsed/>
    <w:rsid w:val="005A6413"/>
    <w:pPr>
      <w:ind w:left="1320"/>
    </w:pPr>
    <w:rPr>
      <w:rFonts w:asciiTheme="minorHAnsi" w:hAnsiTheme="minorHAnsi" w:cstheme="minorHAnsi"/>
      <w:b/>
      <w:sz w:val="20"/>
      <w:szCs w:val="20"/>
    </w:rPr>
  </w:style>
  <w:style w:type="paragraph" w:styleId="TOC9">
    <w:name w:val="toc 9"/>
    <w:basedOn w:val="Normal"/>
    <w:next w:val="Normal"/>
    <w:autoRedefine/>
    <w:uiPriority w:val="39"/>
    <w:unhideWhenUsed/>
    <w:rsid w:val="005A6413"/>
    <w:pPr>
      <w:ind w:left="1540"/>
    </w:pPr>
    <w:rPr>
      <w:rFonts w:asciiTheme="minorHAnsi" w:hAnsiTheme="minorHAnsi" w:cstheme="minorHAnsi"/>
      <w:b/>
      <w:sz w:val="20"/>
      <w:szCs w:val="20"/>
    </w:rPr>
  </w:style>
  <w:style w:type="paragraph" w:customStyle="1" w:styleId="Default">
    <w:name w:val="Default"/>
    <w:rsid w:val="00B245AE"/>
    <w:pPr>
      <w:autoSpaceDE w:val="0"/>
      <w:autoSpaceDN w:val="0"/>
      <w:adjustRightInd w:val="0"/>
    </w:pPr>
    <w:rPr>
      <w:rFonts w:ascii="Avenir Next LT Pro" w:hAnsi="Avenir Next LT Pro" w:cs="Avenir Next LT Pro"/>
      <w:color w:val="000000"/>
      <w:sz w:val="24"/>
      <w:szCs w:val="24"/>
      <w14:ligatures w14:val="standardContextual"/>
    </w:rPr>
  </w:style>
  <w:style w:type="paragraph" w:styleId="BodyText">
    <w:name w:val="Body Text"/>
    <w:basedOn w:val="Normal"/>
    <w:link w:val="BodyTextChar"/>
    <w:uiPriority w:val="1"/>
    <w:unhideWhenUsed/>
    <w:qFormat/>
    <w:rsid w:val="00C218B4"/>
    <w:pPr>
      <w:spacing w:before="260" w:after="260" w:line="276" w:lineRule="auto"/>
    </w:pPr>
    <w:rPr>
      <w:rFonts w:ascii="Arial" w:eastAsiaTheme="minorEastAsia" w:hAnsi="Arial"/>
      <w:szCs w:val="22"/>
    </w:rPr>
  </w:style>
  <w:style w:type="character" w:customStyle="1" w:styleId="BodyTextChar">
    <w:name w:val="Body Text Char"/>
    <w:basedOn w:val="DefaultParagraphFont"/>
    <w:link w:val="BodyText"/>
    <w:uiPriority w:val="1"/>
    <w:rsid w:val="00C218B4"/>
    <w:rPr>
      <w:rFonts w:ascii="Arial" w:eastAsiaTheme="minorEastAsia" w:hAnsi="Arial"/>
      <w:szCs w:val="22"/>
    </w:rPr>
  </w:style>
  <w:style w:type="paragraph" w:styleId="List">
    <w:name w:val="List"/>
    <w:basedOn w:val="Normal"/>
    <w:uiPriority w:val="99"/>
    <w:unhideWhenUsed/>
    <w:rsid w:val="00F93E38"/>
    <w:pPr>
      <w:spacing w:before="120" w:after="120" w:line="259" w:lineRule="auto"/>
      <w:ind w:left="360" w:hanging="360"/>
    </w:pPr>
    <w:rPr>
      <w:rFonts w:ascii="Arial" w:hAnsi="Arial"/>
    </w:rPr>
  </w:style>
  <w:style w:type="paragraph" w:styleId="BlockText">
    <w:name w:val="Block Text"/>
    <w:basedOn w:val="Normal"/>
    <w:uiPriority w:val="99"/>
    <w:unhideWhenUsed/>
    <w:rsid w:val="0022036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Mention">
    <w:name w:val="Mention"/>
    <w:basedOn w:val="DefaultParagraphFont"/>
    <w:uiPriority w:val="99"/>
    <w:unhideWhenUsed/>
    <w:rsid w:val="00380D1E"/>
    <w:rPr>
      <w:color w:val="2B579A"/>
      <w:shd w:val="clear" w:color="auto" w:fill="E1DFDD"/>
    </w:rPr>
  </w:style>
  <w:style w:type="paragraph" w:customStyle="1" w:styleId="paragraph">
    <w:name w:val="paragraph"/>
    <w:basedOn w:val="Normal"/>
    <w:rsid w:val="00B44C86"/>
    <w:pPr>
      <w:spacing w:before="100" w:beforeAutospacing="1" w:after="100" w:afterAutospacing="1"/>
    </w:pPr>
    <w:rPr>
      <w:rFonts w:ascii="Times New Roman" w:hAnsi="Times New Roman"/>
      <w:sz w:val="24"/>
      <w:szCs w:val="24"/>
    </w:rPr>
  </w:style>
  <w:style w:type="paragraph" w:styleId="BodyText2">
    <w:name w:val="Body Text 2"/>
    <w:basedOn w:val="Normal"/>
    <w:link w:val="BodyText2Char"/>
    <w:uiPriority w:val="99"/>
    <w:unhideWhenUsed/>
    <w:rsid w:val="00F9309D"/>
    <w:pPr>
      <w:spacing w:before="240" w:after="240" w:line="276" w:lineRule="auto"/>
    </w:pPr>
    <w:rPr>
      <w:rFonts w:ascii="Arial" w:hAnsi="Arial"/>
      <w:color w:val="0070C0"/>
    </w:rPr>
  </w:style>
  <w:style w:type="character" w:customStyle="1" w:styleId="BodyText2Char">
    <w:name w:val="Body Text 2 Char"/>
    <w:basedOn w:val="DefaultParagraphFont"/>
    <w:link w:val="BodyText2"/>
    <w:uiPriority w:val="99"/>
    <w:rsid w:val="00F9309D"/>
    <w:rPr>
      <w:rFonts w:ascii="Arial" w:hAnsi="Arial"/>
      <w:color w:val="0070C0"/>
    </w:rPr>
  </w:style>
  <w:style w:type="paragraph" w:styleId="BodyText3">
    <w:name w:val="Body Text 3"/>
    <w:basedOn w:val="Normal"/>
    <w:link w:val="BodyText3Char"/>
    <w:uiPriority w:val="99"/>
    <w:unhideWhenUsed/>
    <w:rsid w:val="00364EF9"/>
    <w:pPr>
      <w:spacing w:before="240" w:after="240" w:line="276" w:lineRule="auto"/>
    </w:pPr>
    <w:rPr>
      <w:rFonts w:ascii="Arial" w:hAnsi="Arial"/>
      <w:b/>
      <w:szCs w:val="16"/>
    </w:rPr>
  </w:style>
  <w:style w:type="character" w:customStyle="1" w:styleId="BodyText3Char">
    <w:name w:val="Body Text 3 Char"/>
    <w:basedOn w:val="DefaultParagraphFont"/>
    <w:link w:val="BodyText3"/>
    <w:uiPriority w:val="99"/>
    <w:rsid w:val="00364EF9"/>
    <w:rPr>
      <w:rFonts w:ascii="Arial" w:hAnsi="Arial"/>
      <w:b/>
      <w:szCs w:val="16"/>
    </w:rPr>
  </w:style>
  <w:style w:type="character" w:customStyle="1" w:styleId="spellingerror">
    <w:name w:val="spellingerror"/>
    <w:basedOn w:val="DefaultParagraphFont"/>
    <w:rsid w:val="00941776"/>
  </w:style>
  <w:style w:type="character" w:customStyle="1" w:styleId="Heading9Char">
    <w:name w:val="Heading 9 Char"/>
    <w:basedOn w:val="DefaultParagraphFont"/>
    <w:link w:val="Heading9"/>
    <w:uiPriority w:val="9"/>
    <w:rsid w:val="00203C9E"/>
    <w:rPr>
      <w:rFonts w:asciiTheme="majorHAnsi" w:eastAsiaTheme="majorEastAsia" w:hAnsiTheme="majorHAnsi"/>
      <w:i/>
      <w:iCs/>
      <w:color w:val="272727" w:themeColor="text1" w:themeTint="D8"/>
      <w:sz w:val="21"/>
      <w:szCs w:val="21"/>
    </w:rPr>
  </w:style>
  <w:style w:type="character" w:styleId="SmartLink">
    <w:name w:val="Smart Link"/>
    <w:basedOn w:val="DefaultParagraphFont"/>
    <w:uiPriority w:val="99"/>
    <w:unhideWhenUsed/>
    <w:rsid w:val="00E63CD5"/>
    <w:rPr>
      <w:color w:val="0000FF"/>
      <w:u w:val="single"/>
      <w:shd w:val="clear" w:color="auto" w:fill="F3F2F1"/>
    </w:rPr>
  </w:style>
  <w:style w:type="character" w:styleId="SmartHyperlink">
    <w:name w:val="Smart Hyperlink"/>
    <w:basedOn w:val="DefaultParagraphFont"/>
    <w:uiPriority w:val="99"/>
    <w:unhideWhenUsed/>
    <w:rsid w:val="00E63CD5"/>
    <w:rPr>
      <w:u w:val="dotted"/>
    </w:rPr>
  </w:style>
  <w:style w:type="character" w:customStyle="1" w:styleId="Heading4Char">
    <w:name w:val="Heading 4 Char"/>
    <w:basedOn w:val="DefaultParagraphFont"/>
    <w:link w:val="Heading4"/>
    <w:uiPriority w:val="9"/>
    <w:rsid w:val="00203C9E"/>
    <w:rPr>
      <w:rFonts w:eastAsiaTheme="minorEastAsia" w:cstheme="majorEastAsia"/>
      <w:b/>
      <w:i/>
      <w:iCs/>
      <w:color w:val="244061" w:themeColor="accent1" w:themeShade="80"/>
    </w:rPr>
  </w:style>
  <w:style w:type="paragraph" w:customStyle="1" w:styleId="TableParagraph">
    <w:name w:val="Table Paragraph"/>
    <w:basedOn w:val="Normal"/>
    <w:uiPriority w:val="1"/>
    <w:qFormat/>
    <w:rsid w:val="5FE6D7AB"/>
    <w:pPr>
      <w:spacing w:before="59"/>
    </w:pPr>
    <w:rPr>
      <w:rFonts w:asciiTheme="minorHAnsi" w:eastAsiaTheme="minorEastAsia" w:hAnsiTheme="minorHAnsi" w:cstheme="minorBidi"/>
      <w:szCs w:val="22"/>
    </w:rPr>
  </w:style>
  <w:style w:type="character" w:customStyle="1" w:styleId="textrun">
    <w:name w:val="textrun"/>
    <w:basedOn w:val="DefaultParagraphFont"/>
    <w:rsid w:val="00BA1DA6"/>
  </w:style>
  <w:style w:type="character" w:customStyle="1" w:styleId="tabrun">
    <w:name w:val="tabrun"/>
    <w:basedOn w:val="DefaultParagraphFont"/>
    <w:rsid w:val="00BA1DA6"/>
  </w:style>
  <w:style w:type="character" w:customStyle="1" w:styleId="tabchar">
    <w:name w:val="tabchar"/>
    <w:basedOn w:val="DefaultParagraphFont"/>
    <w:rsid w:val="00BA1DA6"/>
  </w:style>
  <w:style w:type="paragraph" w:customStyle="1" w:styleId="outlineelement">
    <w:name w:val="outlineelement"/>
    <w:basedOn w:val="Normal"/>
    <w:rsid w:val="00BA1DA6"/>
    <w:pPr>
      <w:spacing w:before="100" w:beforeAutospacing="1" w:after="100" w:afterAutospacing="1"/>
    </w:pPr>
    <w:rPr>
      <w:rFonts w:ascii="Times New Roman" w:eastAsia="Times New Roman" w:hAnsi="Times New Roman" w:cs="Times New Roman"/>
      <w:spacing w:val="0"/>
      <w:kern w:val="0"/>
      <w:sz w:val="24"/>
      <w:szCs w:val="24"/>
    </w:rPr>
  </w:style>
  <w:style w:type="character" w:customStyle="1" w:styleId="linebreakblob">
    <w:name w:val="linebreakblob"/>
    <w:basedOn w:val="DefaultParagraphFont"/>
    <w:rsid w:val="00DF3959"/>
  </w:style>
  <w:style w:type="character" w:customStyle="1" w:styleId="superscript">
    <w:name w:val="superscript"/>
    <w:basedOn w:val="DefaultParagraphFont"/>
    <w:rsid w:val="00DF3959"/>
  </w:style>
  <w:style w:type="character" w:customStyle="1" w:styleId="Heading6Char">
    <w:name w:val="Heading 6 Char"/>
    <w:basedOn w:val="DefaultParagraphFont"/>
    <w:link w:val="Heading6"/>
    <w:uiPriority w:val="9"/>
    <w:rsid w:val="006420CB"/>
    <w:rPr>
      <w:rFonts w:asciiTheme="majorHAnsi" w:eastAsiaTheme="majorEastAsia" w:hAnsiTheme="majorHAnsi"/>
      <w:color w:val="243F60" w:themeColor="accent1" w:themeShade="7F"/>
    </w:rPr>
  </w:style>
  <w:style w:type="character" w:customStyle="1" w:styleId="Heading5Char">
    <w:name w:val="Heading 5 Char"/>
    <w:basedOn w:val="DefaultParagraphFont"/>
    <w:link w:val="Heading5"/>
    <w:uiPriority w:val="9"/>
    <w:rsid w:val="006420CB"/>
    <w:rPr>
      <w:rFonts w:ascii="Calibri" w:eastAsia="Calibri" w:hAnsi="Calibri" w:cs="Calibri"/>
      <w:b/>
      <w:bCs/>
      <w:i/>
      <w:iCs/>
      <w:spacing w:val="0"/>
      <w:kern w:val="0"/>
      <w:sz w:val="24"/>
      <w:szCs w:val="24"/>
    </w:rPr>
  </w:style>
  <w:style w:type="character" w:customStyle="1" w:styleId="Heading7Char">
    <w:name w:val="Heading 7 Char"/>
    <w:basedOn w:val="DefaultParagraphFont"/>
    <w:link w:val="Heading7"/>
    <w:uiPriority w:val="1"/>
    <w:rsid w:val="006420CB"/>
    <w:rPr>
      <w:rFonts w:ascii="Calibri" w:eastAsia="Calibri" w:hAnsi="Calibri" w:cs="Calibri"/>
      <w:i/>
      <w:iCs/>
      <w:spacing w:val="0"/>
      <w:kern w:val="0"/>
      <w:sz w:val="24"/>
      <w:szCs w:val="24"/>
    </w:rPr>
  </w:style>
  <w:style w:type="character" w:customStyle="1" w:styleId="Heading8Char">
    <w:name w:val="Heading 8 Char"/>
    <w:basedOn w:val="DefaultParagraphFont"/>
    <w:link w:val="Heading8"/>
    <w:uiPriority w:val="1"/>
    <w:rsid w:val="006420CB"/>
    <w:rPr>
      <w:rFonts w:ascii="Calibri" w:eastAsia="Calibri" w:hAnsi="Calibri" w:cs="Calibri"/>
      <w:b/>
      <w:bCs/>
      <w:spacing w:val="0"/>
      <w:kern w:val="0"/>
      <w:szCs w:val="22"/>
    </w:rPr>
  </w:style>
  <w:style w:type="paragraph" w:styleId="NormalWeb">
    <w:name w:val="Normal (Web)"/>
    <w:basedOn w:val="Normal"/>
    <w:uiPriority w:val="99"/>
    <w:semiHidden/>
    <w:unhideWhenUsed/>
    <w:rsid w:val="006420CB"/>
    <w:pPr>
      <w:widowControl w:val="0"/>
      <w:autoSpaceDE w:val="0"/>
      <w:autoSpaceDN w:val="0"/>
    </w:pPr>
    <w:rPr>
      <w:rFonts w:ascii="Times New Roman" w:eastAsia="Calibri" w:hAnsi="Times New Roman" w:cs="Times New Roman"/>
      <w:spacing w:val="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194">
      <w:bodyDiv w:val="1"/>
      <w:marLeft w:val="0"/>
      <w:marRight w:val="0"/>
      <w:marTop w:val="0"/>
      <w:marBottom w:val="0"/>
      <w:divBdr>
        <w:top w:val="none" w:sz="0" w:space="0" w:color="auto"/>
        <w:left w:val="none" w:sz="0" w:space="0" w:color="auto"/>
        <w:bottom w:val="none" w:sz="0" w:space="0" w:color="auto"/>
        <w:right w:val="none" w:sz="0" w:space="0" w:color="auto"/>
      </w:divBdr>
      <w:divsChild>
        <w:div w:id="179316294">
          <w:marLeft w:val="0"/>
          <w:marRight w:val="0"/>
          <w:marTop w:val="0"/>
          <w:marBottom w:val="0"/>
          <w:divBdr>
            <w:top w:val="none" w:sz="0" w:space="0" w:color="auto"/>
            <w:left w:val="none" w:sz="0" w:space="0" w:color="auto"/>
            <w:bottom w:val="none" w:sz="0" w:space="0" w:color="auto"/>
            <w:right w:val="none" w:sz="0" w:space="0" w:color="auto"/>
          </w:divBdr>
        </w:div>
        <w:div w:id="262804287">
          <w:marLeft w:val="0"/>
          <w:marRight w:val="0"/>
          <w:marTop w:val="0"/>
          <w:marBottom w:val="0"/>
          <w:divBdr>
            <w:top w:val="none" w:sz="0" w:space="0" w:color="auto"/>
            <w:left w:val="none" w:sz="0" w:space="0" w:color="auto"/>
            <w:bottom w:val="none" w:sz="0" w:space="0" w:color="auto"/>
            <w:right w:val="none" w:sz="0" w:space="0" w:color="auto"/>
          </w:divBdr>
        </w:div>
        <w:div w:id="337465071">
          <w:marLeft w:val="0"/>
          <w:marRight w:val="0"/>
          <w:marTop w:val="0"/>
          <w:marBottom w:val="0"/>
          <w:divBdr>
            <w:top w:val="none" w:sz="0" w:space="0" w:color="auto"/>
            <w:left w:val="none" w:sz="0" w:space="0" w:color="auto"/>
            <w:bottom w:val="none" w:sz="0" w:space="0" w:color="auto"/>
            <w:right w:val="none" w:sz="0" w:space="0" w:color="auto"/>
          </w:divBdr>
        </w:div>
        <w:div w:id="340740638">
          <w:marLeft w:val="0"/>
          <w:marRight w:val="0"/>
          <w:marTop w:val="0"/>
          <w:marBottom w:val="0"/>
          <w:divBdr>
            <w:top w:val="none" w:sz="0" w:space="0" w:color="auto"/>
            <w:left w:val="none" w:sz="0" w:space="0" w:color="auto"/>
            <w:bottom w:val="none" w:sz="0" w:space="0" w:color="auto"/>
            <w:right w:val="none" w:sz="0" w:space="0" w:color="auto"/>
          </w:divBdr>
          <w:divsChild>
            <w:div w:id="5448765">
              <w:marLeft w:val="0"/>
              <w:marRight w:val="0"/>
              <w:marTop w:val="0"/>
              <w:marBottom w:val="0"/>
              <w:divBdr>
                <w:top w:val="none" w:sz="0" w:space="0" w:color="auto"/>
                <w:left w:val="none" w:sz="0" w:space="0" w:color="auto"/>
                <w:bottom w:val="none" w:sz="0" w:space="0" w:color="auto"/>
                <w:right w:val="none" w:sz="0" w:space="0" w:color="auto"/>
              </w:divBdr>
            </w:div>
            <w:div w:id="17003314">
              <w:marLeft w:val="0"/>
              <w:marRight w:val="0"/>
              <w:marTop w:val="0"/>
              <w:marBottom w:val="0"/>
              <w:divBdr>
                <w:top w:val="none" w:sz="0" w:space="0" w:color="auto"/>
                <w:left w:val="none" w:sz="0" w:space="0" w:color="auto"/>
                <w:bottom w:val="none" w:sz="0" w:space="0" w:color="auto"/>
                <w:right w:val="none" w:sz="0" w:space="0" w:color="auto"/>
              </w:divBdr>
            </w:div>
            <w:div w:id="262151149">
              <w:marLeft w:val="0"/>
              <w:marRight w:val="0"/>
              <w:marTop w:val="0"/>
              <w:marBottom w:val="0"/>
              <w:divBdr>
                <w:top w:val="none" w:sz="0" w:space="0" w:color="auto"/>
                <w:left w:val="none" w:sz="0" w:space="0" w:color="auto"/>
                <w:bottom w:val="none" w:sz="0" w:space="0" w:color="auto"/>
                <w:right w:val="none" w:sz="0" w:space="0" w:color="auto"/>
              </w:divBdr>
            </w:div>
            <w:div w:id="274408851">
              <w:marLeft w:val="0"/>
              <w:marRight w:val="0"/>
              <w:marTop w:val="0"/>
              <w:marBottom w:val="0"/>
              <w:divBdr>
                <w:top w:val="none" w:sz="0" w:space="0" w:color="auto"/>
                <w:left w:val="none" w:sz="0" w:space="0" w:color="auto"/>
                <w:bottom w:val="none" w:sz="0" w:space="0" w:color="auto"/>
                <w:right w:val="none" w:sz="0" w:space="0" w:color="auto"/>
              </w:divBdr>
            </w:div>
            <w:div w:id="384258530">
              <w:marLeft w:val="0"/>
              <w:marRight w:val="0"/>
              <w:marTop w:val="0"/>
              <w:marBottom w:val="0"/>
              <w:divBdr>
                <w:top w:val="none" w:sz="0" w:space="0" w:color="auto"/>
                <w:left w:val="none" w:sz="0" w:space="0" w:color="auto"/>
                <w:bottom w:val="none" w:sz="0" w:space="0" w:color="auto"/>
                <w:right w:val="none" w:sz="0" w:space="0" w:color="auto"/>
              </w:divBdr>
            </w:div>
            <w:div w:id="384643591">
              <w:marLeft w:val="0"/>
              <w:marRight w:val="0"/>
              <w:marTop w:val="0"/>
              <w:marBottom w:val="0"/>
              <w:divBdr>
                <w:top w:val="none" w:sz="0" w:space="0" w:color="auto"/>
                <w:left w:val="none" w:sz="0" w:space="0" w:color="auto"/>
                <w:bottom w:val="none" w:sz="0" w:space="0" w:color="auto"/>
                <w:right w:val="none" w:sz="0" w:space="0" w:color="auto"/>
              </w:divBdr>
            </w:div>
            <w:div w:id="440494023">
              <w:marLeft w:val="0"/>
              <w:marRight w:val="0"/>
              <w:marTop w:val="0"/>
              <w:marBottom w:val="0"/>
              <w:divBdr>
                <w:top w:val="none" w:sz="0" w:space="0" w:color="auto"/>
                <w:left w:val="none" w:sz="0" w:space="0" w:color="auto"/>
                <w:bottom w:val="none" w:sz="0" w:space="0" w:color="auto"/>
                <w:right w:val="none" w:sz="0" w:space="0" w:color="auto"/>
              </w:divBdr>
            </w:div>
            <w:div w:id="737020854">
              <w:marLeft w:val="0"/>
              <w:marRight w:val="0"/>
              <w:marTop w:val="0"/>
              <w:marBottom w:val="0"/>
              <w:divBdr>
                <w:top w:val="none" w:sz="0" w:space="0" w:color="auto"/>
                <w:left w:val="none" w:sz="0" w:space="0" w:color="auto"/>
                <w:bottom w:val="none" w:sz="0" w:space="0" w:color="auto"/>
                <w:right w:val="none" w:sz="0" w:space="0" w:color="auto"/>
              </w:divBdr>
            </w:div>
            <w:div w:id="768426859">
              <w:marLeft w:val="0"/>
              <w:marRight w:val="0"/>
              <w:marTop w:val="0"/>
              <w:marBottom w:val="0"/>
              <w:divBdr>
                <w:top w:val="none" w:sz="0" w:space="0" w:color="auto"/>
                <w:left w:val="none" w:sz="0" w:space="0" w:color="auto"/>
                <w:bottom w:val="none" w:sz="0" w:space="0" w:color="auto"/>
                <w:right w:val="none" w:sz="0" w:space="0" w:color="auto"/>
              </w:divBdr>
            </w:div>
            <w:div w:id="854539720">
              <w:marLeft w:val="0"/>
              <w:marRight w:val="0"/>
              <w:marTop w:val="0"/>
              <w:marBottom w:val="0"/>
              <w:divBdr>
                <w:top w:val="none" w:sz="0" w:space="0" w:color="auto"/>
                <w:left w:val="none" w:sz="0" w:space="0" w:color="auto"/>
                <w:bottom w:val="none" w:sz="0" w:space="0" w:color="auto"/>
                <w:right w:val="none" w:sz="0" w:space="0" w:color="auto"/>
              </w:divBdr>
            </w:div>
            <w:div w:id="937054858">
              <w:marLeft w:val="0"/>
              <w:marRight w:val="0"/>
              <w:marTop w:val="0"/>
              <w:marBottom w:val="0"/>
              <w:divBdr>
                <w:top w:val="none" w:sz="0" w:space="0" w:color="auto"/>
                <w:left w:val="none" w:sz="0" w:space="0" w:color="auto"/>
                <w:bottom w:val="none" w:sz="0" w:space="0" w:color="auto"/>
                <w:right w:val="none" w:sz="0" w:space="0" w:color="auto"/>
              </w:divBdr>
            </w:div>
            <w:div w:id="955212495">
              <w:marLeft w:val="0"/>
              <w:marRight w:val="0"/>
              <w:marTop w:val="0"/>
              <w:marBottom w:val="0"/>
              <w:divBdr>
                <w:top w:val="none" w:sz="0" w:space="0" w:color="auto"/>
                <w:left w:val="none" w:sz="0" w:space="0" w:color="auto"/>
                <w:bottom w:val="none" w:sz="0" w:space="0" w:color="auto"/>
                <w:right w:val="none" w:sz="0" w:space="0" w:color="auto"/>
              </w:divBdr>
            </w:div>
            <w:div w:id="1264147542">
              <w:marLeft w:val="0"/>
              <w:marRight w:val="0"/>
              <w:marTop w:val="0"/>
              <w:marBottom w:val="0"/>
              <w:divBdr>
                <w:top w:val="none" w:sz="0" w:space="0" w:color="auto"/>
                <w:left w:val="none" w:sz="0" w:space="0" w:color="auto"/>
                <w:bottom w:val="none" w:sz="0" w:space="0" w:color="auto"/>
                <w:right w:val="none" w:sz="0" w:space="0" w:color="auto"/>
              </w:divBdr>
            </w:div>
            <w:div w:id="1515920552">
              <w:marLeft w:val="0"/>
              <w:marRight w:val="0"/>
              <w:marTop w:val="0"/>
              <w:marBottom w:val="0"/>
              <w:divBdr>
                <w:top w:val="none" w:sz="0" w:space="0" w:color="auto"/>
                <w:left w:val="none" w:sz="0" w:space="0" w:color="auto"/>
                <w:bottom w:val="none" w:sz="0" w:space="0" w:color="auto"/>
                <w:right w:val="none" w:sz="0" w:space="0" w:color="auto"/>
              </w:divBdr>
            </w:div>
            <w:div w:id="1870679020">
              <w:marLeft w:val="0"/>
              <w:marRight w:val="0"/>
              <w:marTop w:val="0"/>
              <w:marBottom w:val="0"/>
              <w:divBdr>
                <w:top w:val="none" w:sz="0" w:space="0" w:color="auto"/>
                <w:left w:val="none" w:sz="0" w:space="0" w:color="auto"/>
                <w:bottom w:val="none" w:sz="0" w:space="0" w:color="auto"/>
                <w:right w:val="none" w:sz="0" w:space="0" w:color="auto"/>
              </w:divBdr>
            </w:div>
            <w:div w:id="1971932102">
              <w:marLeft w:val="0"/>
              <w:marRight w:val="0"/>
              <w:marTop w:val="0"/>
              <w:marBottom w:val="0"/>
              <w:divBdr>
                <w:top w:val="none" w:sz="0" w:space="0" w:color="auto"/>
                <w:left w:val="none" w:sz="0" w:space="0" w:color="auto"/>
                <w:bottom w:val="none" w:sz="0" w:space="0" w:color="auto"/>
                <w:right w:val="none" w:sz="0" w:space="0" w:color="auto"/>
              </w:divBdr>
            </w:div>
            <w:div w:id="1975599880">
              <w:marLeft w:val="0"/>
              <w:marRight w:val="0"/>
              <w:marTop w:val="0"/>
              <w:marBottom w:val="0"/>
              <w:divBdr>
                <w:top w:val="none" w:sz="0" w:space="0" w:color="auto"/>
                <w:left w:val="none" w:sz="0" w:space="0" w:color="auto"/>
                <w:bottom w:val="none" w:sz="0" w:space="0" w:color="auto"/>
                <w:right w:val="none" w:sz="0" w:space="0" w:color="auto"/>
              </w:divBdr>
            </w:div>
            <w:div w:id="1985965150">
              <w:marLeft w:val="0"/>
              <w:marRight w:val="0"/>
              <w:marTop w:val="0"/>
              <w:marBottom w:val="0"/>
              <w:divBdr>
                <w:top w:val="none" w:sz="0" w:space="0" w:color="auto"/>
                <w:left w:val="none" w:sz="0" w:space="0" w:color="auto"/>
                <w:bottom w:val="none" w:sz="0" w:space="0" w:color="auto"/>
                <w:right w:val="none" w:sz="0" w:space="0" w:color="auto"/>
              </w:divBdr>
            </w:div>
            <w:div w:id="1993943886">
              <w:marLeft w:val="0"/>
              <w:marRight w:val="0"/>
              <w:marTop w:val="0"/>
              <w:marBottom w:val="0"/>
              <w:divBdr>
                <w:top w:val="none" w:sz="0" w:space="0" w:color="auto"/>
                <w:left w:val="none" w:sz="0" w:space="0" w:color="auto"/>
                <w:bottom w:val="none" w:sz="0" w:space="0" w:color="auto"/>
                <w:right w:val="none" w:sz="0" w:space="0" w:color="auto"/>
              </w:divBdr>
            </w:div>
            <w:div w:id="2094736357">
              <w:marLeft w:val="0"/>
              <w:marRight w:val="0"/>
              <w:marTop w:val="0"/>
              <w:marBottom w:val="0"/>
              <w:divBdr>
                <w:top w:val="none" w:sz="0" w:space="0" w:color="auto"/>
                <w:left w:val="none" w:sz="0" w:space="0" w:color="auto"/>
                <w:bottom w:val="none" w:sz="0" w:space="0" w:color="auto"/>
                <w:right w:val="none" w:sz="0" w:space="0" w:color="auto"/>
              </w:divBdr>
            </w:div>
          </w:divsChild>
        </w:div>
        <w:div w:id="356154953">
          <w:marLeft w:val="0"/>
          <w:marRight w:val="0"/>
          <w:marTop w:val="0"/>
          <w:marBottom w:val="0"/>
          <w:divBdr>
            <w:top w:val="none" w:sz="0" w:space="0" w:color="auto"/>
            <w:left w:val="none" w:sz="0" w:space="0" w:color="auto"/>
            <w:bottom w:val="none" w:sz="0" w:space="0" w:color="auto"/>
            <w:right w:val="none" w:sz="0" w:space="0" w:color="auto"/>
          </w:divBdr>
        </w:div>
        <w:div w:id="515315799">
          <w:marLeft w:val="0"/>
          <w:marRight w:val="0"/>
          <w:marTop w:val="0"/>
          <w:marBottom w:val="0"/>
          <w:divBdr>
            <w:top w:val="none" w:sz="0" w:space="0" w:color="auto"/>
            <w:left w:val="none" w:sz="0" w:space="0" w:color="auto"/>
            <w:bottom w:val="none" w:sz="0" w:space="0" w:color="auto"/>
            <w:right w:val="none" w:sz="0" w:space="0" w:color="auto"/>
          </w:divBdr>
        </w:div>
        <w:div w:id="563218751">
          <w:marLeft w:val="0"/>
          <w:marRight w:val="0"/>
          <w:marTop w:val="0"/>
          <w:marBottom w:val="0"/>
          <w:divBdr>
            <w:top w:val="none" w:sz="0" w:space="0" w:color="auto"/>
            <w:left w:val="none" w:sz="0" w:space="0" w:color="auto"/>
            <w:bottom w:val="none" w:sz="0" w:space="0" w:color="auto"/>
            <w:right w:val="none" w:sz="0" w:space="0" w:color="auto"/>
          </w:divBdr>
        </w:div>
        <w:div w:id="664171149">
          <w:marLeft w:val="0"/>
          <w:marRight w:val="0"/>
          <w:marTop w:val="0"/>
          <w:marBottom w:val="0"/>
          <w:divBdr>
            <w:top w:val="none" w:sz="0" w:space="0" w:color="auto"/>
            <w:left w:val="none" w:sz="0" w:space="0" w:color="auto"/>
            <w:bottom w:val="none" w:sz="0" w:space="0" w:color="auto"/>
            <w:right w:val="none" w:sz="0" w:space="0" w:color="auto"/>
          </w:divBdr>
        </w:div>
        <w:div w:id="751775249">
          <w:marLeft w:val="0"/>
          <w:marRight w:val="0"/>
          <w:marTop w:val="0"/>
          <w:marBottom w:val="0"/>
          <w:divBdr>
            <w:top w:val="none" w:sz="0" w:space="0" w:color="auto"/>
            <w:left w:val="none" w:sz="0" w:space="0" w:color="auto"/>
            <w:bottom w:val="none" w:sz="0" w:space="0" w:color="auto"/>
            <w:right w:val="none" w:sz="0" w:space="0" w:color="auto"/>
          </w:divBdr>
        </w:div>
        <w:div w:id="778334678">
          <w:marLeft w:val="0"/>
          <w:marRight w:val="0"/>
          <w:marTop w:val="0"/>
          <w:marBottom w:val="0"/>
          <w:divBdr>
            <w:top w:val="none" w:sz="0" w:space="0" w:color="auto"/>
            <w:left w:val="none" w:sz="0" w:space="0" w:color="auto"/>
            <w:bottom w:val="none" w:sz="0" w:space="0" w:color="auto"/>
            <w:right w:val="none" w:sz="0" w:space="0" w:color="auto"/>
          </w:divBdr>
        </w:div>
        <w:div w:id="893614447">
          <w:marLeft w:val="0"/>
          <w:marRight w:val="0"/>
          <w:marTop w:val="0"/>
          <w:marBottom w:val="0"/>
          <w:divBdr>
            <w:top w:val="none" w:sz="0" w:space="0" w:color="auto"/>
            <w:left w:val="none" w:sz="0" w:space="0" w:color="auto"/>
            <w:bottom w:val="none" w:sz="0" w:space="0" w:color="auto"/>
            <w:right w:val="none" w:sz="0" w:space="0" w:color="auto"/>
          </w:divBdr>
        </w:div>
        <w:div w:id="921642901">
          <w:marLeft w:val="0"/>
          <w:marRight w:val="0"/>
          <w:marTop w:val="0"/>
          <w:marBottom w:val="0"/>
          <w:divBdr>
            <w:top w:val="none" w:sz="0" w:space="0" w:color="auto"/>
            <w:left w:val="none" w:sz="0" w:space="0" w:color="auto"/>
            <w:bottom w:val="none" w:sz="0" w:space="0" w:color="auto"/>
            <w:right w:val="none" w:sz="0" w:space="0" w:color="auto"/>
          </w:divBdr>
        </w:div>
        <w:div w:id="1095244162">
          <w:marLeft w:val="0"/>
          <w:marRight w:val="0"/>
          <w:marTop w:val="0"/>
          <w:marBottom w:val="0"/>
          <w:divBdr>
            <w:top w:val="none" w:sz="0" w:space="0" w:color="auto"/>
            <w:left w:val="none" w:sz="0" w:space="0" w:color="auto"/>
            <w:bottom w:val="none" w:sz="0" w:space="0" w:color="auto"/>
            <w:right w:val="none" w:sz="0" w:space="0" w:color="auto"/>
          </w:divBdr>
        </w:div>
        <w:div w:id="1158573371">
          <w:marLeft w:val="0"/>
          <w:marRight w:val="0"/>
          <w:marTop w:val="0"/>
          <w:marBottom w:val="0"/>
          <w:divBdr>
            <w:top w:val="none" w:sz="0" w:space="0" w:color="auto"/>
            <w:left w:val="none" w:sz="0" w:space="0" w:color="auto"/>
            <w:bottom w:val="none" w:sz="0" w:space="0" w:color="auto"/>
            <w:right w:val="none" w:sz="0" w:space="0" w:color="auto"/>
          </w:divBdr>
        </w:div>
        <w:div w:id="1261374702">
          <w:marLeft w:val="0"/>
          <w:marRight w:val="0"/>
          <w:marTop w:val="0"/>
          <w:marBottom w:val="0"/>
          <w:divBdr>
            <w:top w:val="none" w:sz="0" w:space="0" w:color="auto"/>
            <w:left w:val="none" w:sz="0" w:space="0" w:color="auto"/>
            <w:bottom w:val="none" w:sz="0" w:space="0" w:color="auto"/>
            <w:right w:val="none" w:sz="0" w:space="0" w:color="auto"/>
          </w:divBdr>
          <w:divsChild>
            <w:div w:id="128285804">
              <w:marLeft w:val="0"/>
              <w:marRight w:val="0"/>
              <w:marTop w:val="0"/>
              <w:marBottom w:val="0"/>
              <w:divBdr>
                <w:top w:val="none" w:sz="0" w:space="0" w:color="auto"/>
                <w:left w:val="none" w:sz="0" w:space="0" w:color="auto"/>
                <w:bottom w:val="none" w:sz="0" w:space="0" w:color="auto"/>
                <w:right w:val="none" w:sz="0" w:space="0" w:color="auto"/>
              </w:divBdr>
            </w:div>
            <w:div w:id="133641891">
              <w:marLeft w:val="0"/>
              <w:marRight w:val="0"/>
              <w:marTop w:val="0"/>
              <w:marBottom w:val="0"/>
              <w:divBdr>
                <w:top w:val="none" w:sz="0" w:space="0" w:color="auto"/>
                <w:left w:val="none" w:sz="0" w:space="0" w:color="auto"/>
                <w:bottom w:val="none" w:sz="0" w:space="0" w:color="auto"/>
                <w:right w:val="none" w:sz="0" w:space="0" w:color="auto"/>
              </w:divBdr>
            </w:div>
            <w:div w:id="173495776">
              <w:marLeft w:val="0"/>
              <w:marRight w:val="0"/>
              <w:marTop w:val="0"/>
              <w:marBottom w:val="0"/>
              <w:divBdr>
                <w:top w:val="none" w:sz="0" w:space="0" w:color="auto"/>
                <w:left w:val="none" w:sz="0" w:space="0" w:color="auto"/>
                <w:bottom w:val="none" w:sz="0" w:space="0" w:color="auto"/>
                <w:right w:val="none" w:sz="0" w:space="0" w:color="auto"/>
              </w:divBdr>
            </w:div>
            <w:div w:id="242685777">
              <w:marLeft w:val="0"/>
              <w:marRight w:val="0"/>
              <w:marTop w:val="0"/>
              <w:marBottom w:val="0"/>
              <w:divBdr>
                <w:top w:val="none" w:sz="0" w:space="0" w:color="auto"/>
                <w:left w:val="none" w:sz="0" w:space="0" w:color="auto"/>
                <w:bottom w:val="none" w:sz="0" w:space="0" w:color="auto"/>
                <w:right w:val="none" w:sz="0" w:space="0" w:color="auto"/>
              </w:divBdr>
            </w:div>
            <w:div w:id="260915367">
              <w:marLeft w:val="0"/>
              <w:marRight w:val="0"/>
              <w:marTop w:val="0"/>
              <w:marBottom w:val="0"/>
              <w:divBdr>
                <w:top w:val="none" w:sz="0" w:space="0" w:color="auto"/>
                <w:left w:val="none" w:sz="0" w:space="0" w:color="auto"/>
                <w:bottom w:val="none" w:sz="0" w:space="0" w:color="auto"/>
                <w:right w:val="none" w:sz="0" w:space="0" w:color="auto"/>
              </w:divBdr>
            </w:div>
            <w:div w:id="275841120">
              <w:marLeft w:val="0"/>
              <w:marRight w:val="0"/>
              <w:marTop w:val="0"/>
              <w:marBottom w:val="0"/>
              <w:divBdr>
                <w:top w:val="none" w:sz="0" w:space="0" w:color="auto"/>
                <w:left w:val="none" w:sz="0" w:space="0" w:color="auto"/>
                <w:bottom w:val="none" w:sz="0" w:space="0" w:color="auto"/>
                <w:right w:val="none" w:sz="0" w:space="0" w:color="auto"/>
              </w:divBdr>
            </w:div>
            <w:div w:id="328487281">
              <w:marLeft w:val="0"/>
              <w:marRight w:val="0"/>
              <w:marTop w:val="0"/>
              <w:marBottom w:val="0"/>
              <w:divBdr>
                <w:top w:val="none" w:sz="0" w:space="0" w:color="auto"/>
                <w:left w:val="none" w:sz="0" w:space="0" w:color="auto"/>
                <w:bottom w:val="none" w:sz="0" w:space="0" w:color="auto"/>
                <w:right w:val="none" w:sz="0" w:space="0" w:color="auto"/>
              </w:divBdr>
            </w:div>
            <w:div w:id="335960232">
              <w:marLeft w:val="0"/>
              <w:marRight w:val="0"/>
              <w:marTop w:val="0"/>
              <w:marBottom w:val="0"/>
              <w:divBdr>
                <w:top w:val="none" w:sz="0" w:space="0" w:color="auto"/>
                <w:left w:val="none" w:sz="0" w:space="0" w:color="auto"/>
                <w:bottom w:val="none" w:sz="0" w:space="0" w:color="auto"/>
                <w:right w:val="none" w:sz="0" w:space="0" w:color="auto"/>
              </w:divBdr>
            </w:div>
            <w:div w:id="424618109">
              <w:marLeft w:val="0"/>
              <w:marRight w:val="0"/>
              <w:marTop w:val="0"/>
              <w:marBottom w:val="0"/>
              <w:divBdr>
                <w:top w:val="none" w:sz="0" w:space="0" w:color="auto"/>
                <w:left w:val="none" w:sz="0" w:space="0" w:color="auto"/>
                <w:bottom w:val="none" w:sz="0" w:space="0" w:color="auto"/>
                <w:right w:val="none" w:sz="0" w:space="0" w:color="auto"/>
              </w:divBdr>
            </w:div>
            <w:div w:id="495728063">
              <w:marLeft w:val="0"/>
              <w:marRight w:val="0"/>
              <w:marTop w:val="0"/>
              <w:marBottom w:val="0"/>
              <w:divBdr>
                <w:top w:val="none" w:sz="0" w:space="0" w:color="auto"/>
                <w:left w:val="none" w:sz="0" w:space="0" w:color="auto"/>
                <w:bottom w:val="none" w:sz="0" w:space="0" w:color="auto"/>
                <w:right w:val="none" w:sz="0" w:space="0" w:color="auto"/>
              </w:divBdr>
            </w:div>
            <w:div w:id="498663722">
              <w:marLeft w:val="0"/>
              <w:marRight w:val="0"/>
              <w:marTop w:val="0"/>
              <w:marBottom w:val="0"/>
              <w:divBdr>
                <w:top w:val="none" w:sz="0" w:space="0" w:color="auto"/>
                <w:left w:val="none" w:sz="0" w:space="0" w:color="auto"/>
                <w:bottom w:val="none" w:sz="0" w:space="0" w:color="auto"/>
                <w:right w:val="none" w:sz="0" w:space="0" w:color="auto"/>
              </w:divBdr>
            </w:div>
            <w:div w:id="576747520">
              <w:marLeft w:val="0"/>
              <w:marRight w:val="0"/>
              <w:marTop w:val="0"/>
              <w:marBottom w:val="0"/>
              <w:divBdr>
                <w:top w:val="none" w:sz="0" w:space="0" w:color="auto"/>
                <w:left w:val="none" w:sz="0" w:space="0" w:color="auto"/>
                <w:bottom w:val="none" w:sz="0" w:space="0" w:color="auto"/>
                <w:right w:val="none" w:sz="0" w:space="0" w:color="auto"/>
              </w:divBdr>
            </w:div>
            <w:div w:id="853689560">
              <w:marLeft w:val="0"/>
              <w:marRight w:val="0"/>
              <w:marTop w:val="0"/>
              <w:marBottom w:val="0"/>
              <w:divBdr>
                <w:top w:val="none" w:sz="0" w:space="0" w:color="auto"/>
                <w:left w:val="none" w:sz="0" w:space="0" w:color="auto"/>
                <w:bottom w:val="none" w:sz="0" w:space="0" w:color="auto"/>
                <w:right w:val="none" w:sz="0" w:space="0" w:color="auto"/>
              </w:divBdr>
            </w:div>
            <w:div w:id="1023937849">
              <w:marLeft w:val="0"/>
              <w:marRight w:val="0"/>
              <w:marTop w:val="0"/>
              <w:marBottom w:val="0"/>
              <w:divBdr>
                <w:top w:val="none" w:sz="0" w:space="0" w:color="auto"/>
                <w:left w:val="none" w:sz="0" w:space="0" w:color="auto"/>
                <w:bottom w:val="none" w:sz="0" w:space="0" w:color="auto"/>
                <w:right w:val="none" w:sz="0" w:space="0" w:color="auto"/>
              </w:divBdr>
            </w:div>
            <w:div w:id="1064450253">
              <w:marLeft w:val="0"/>
              <w:marRight w:val="0"/>
              <w:marTop w:val="0"/>
              <w:marBottom w:val="0"/>
              <w:divBdr>
                <w:top w:val="none" w:sz="0" w:space="0" w:color="auto"/>
                <w:left w:val="none" w:sz="0" w:space="0" w:color="auto"/>
                <w:bottom w:val="none" w:sz="0" w:space="0" w:color="auto"/>
                <w:right w:val="none" w:sz="0" w:space="0" w:color="auto"/>
              </w:divBdr>
            </w:div>
            <w:div w:id="1124811874">
              <w:marLeft w:val="0"/>
              <w:marRight w:val="0"/>
              <w:marTop w:val="0"/>
              <w:marBottom w:val="0"/>
              <w:divBdr>
                <w:top w:val="none" w:sz="0" w:space="0" w:color="auto"/>
                <w:left w:val="none" w:sz="0" w:space="0" w:color="auto"/>
                <w:bottom w:val="none" w:sz="0" w:space="0" w:color="auto"/>
                <w:right w:val="none" w:sz="0" w:space="0" w:color="auto"/>
              </w:divBdr>
            </w:div>
            <w:div w:id="1146555136">
              <w:marLeft w:val="0"/>
              <w:marRight w:val="0"/>
              <w:marTop w:val="0"/>
              <w:marBottom w:val="0"/>
              <w:divBdr>
                <w:top w:val="none" w:sz="0" w:space="0" w:color="auto"/>
                <w:left w:val="none" w:sz="0" w:space="0" w:color="auto"/>
                <w:bottom w:val="none" w:sz="0" w:space="0" w:color="auto"/>
                <w:right w:val="none" w:sz="0" w:space="0" w:color="auto"/>
              </w:divBdr>
            </w:div>
            <w:div w:id="1611013110">
              <w:marLeft w:val="0"/>
              <w:marRight w:val="0"/>
              <w:marTop w:val="0"/>
              <w:marBottom w:val="0"/>
              <w:divBdr>
                <w:top w:val="none" w:sz="0" w:space="0" w:color="auto"/>
                <w:left w:val="none" w:sz="0" w:space="0" w:color="auto"/>
                <w:bottom w:val="none" w:sz="0" w:space="0" w:color="auto"/>
                <w:right w:val="none" w:sz="0" w:space="0" w:color="auto"/>
              </w:divBdr>
            </w:div>
            <w:div w:id="1952393538">
              <w:marLeft w:val="0"/>
              <w:marRight w:val="0"/>
              <w:marTop w:val="0"/>
              <w:marBottom w:val="0"/>
              <w:divBdr>
                <w:top w:val="none" w:sz="0" w:space="0" w:color="auto"/>
                <w:left w:val="none" w:sz="0" w:space="0" w:color="auto"/>
                <w:bottom w:val="none" w:sz="0" w:space="0" w:color="auto"/>
                <w:right w:val="none" w:sz="0" w:space="0" w:color="auto"/>
              </w:divBdr>
            </w:div>
            <w:div w:id="2061199139">
              <w:marLeft w:val="0"/>
              <w:marRight w:val="0"/>
              <w:marTop w:val="0"/>
              <w:marBottom w:val="0"/>
              <w:divBdr>
                <w:top w:val="none" w:sz="0" w:space="0" w:color="auto"/>
                <w:left w:val="none" w:sz="0" w:space="0" w:color="auto"/>
                <w:bottom w:val="none" w:sz="0" w:space="0" w:color="auto"/>
                <w:right w:val="none" w:sz="0" w:space="0" w:color="auto"/>
              </w:divBdr>
            </w:div>
          </w:divsChild>
        </w:div>
        <w:div w:id="1304580863">
          <w:marLeft w:val="0"/>
          <w:marRight w:val="0"/>
          <w:marTop w:val="0"/>
          <w:marBottom w:val="0"/>
          <w:divBdr>
            <w:top w:val="none" w:sz="0" w:space="0" w:color="auto"/>
            <w:left w:val="none" w:sz="0" w:space="0" w:color="auto"/>
            <w:bottom w:val="none" w:sz="0" w:space="0" w:color="auto"/>
            <w:right w:val="none" w:sz="0" w:space="0" w:color="auto"/>
          </w:divBdr>
        </w:div>
        <w:div w:id="1305280577">
          <w:marLeft w:val="0"/>
          <w:marRight w:val="0"/>
          <w:marTop w:val="0"/>
          <w:marBottom w:val="0"/>
          <w:divBdr>
            <w:top w:val="none" w:sz="0" w:space="0" w:color="auto"/>
            <w:left w:val="none" w:sz="0" w:space="0" w:color="auto"/>
            <w:bottom w:val="none" w:sz="0" w:space="0" w:color="auto"/>
            <w:right w:val="none" w:sz="0" w:space="0" w:color="auto"/>
          </w:divBdr>
        </w:div>
        <w:div w:id="1336568978">
          <w:marLeft w:val="0"/>
          <w:marRight w:val="0"/>
          <w:marTop w:val="0"/>
          <w:marBottom w:val="0"/>
          <w:divBdr>
            <w:top w:val="none" w:sz="0" w:space="0" w:color="auto"/>
            <w:left w:val="none" w:sz="0" w:space="0" w:color="auto"/>
            <w:bottom w:val="none" w:sz="0" w:space="0" w:color="auto"/>
            <w:right w:val="none" w:sz="0" w:space="0" w:color="auto"/>
          </w:divBdr>
        </w:div>
        <w:div w:id="1403986797">
          <w:marLeft w:val="0"/>
          <w:marRight w:val="0"/>
          <w:marTop w:val="0"/>
          <w:marBottom w:val="0"/>
          <w:divBdr>
            <w:top w:val="none" w:sz="0" w:space="0" w:color="auto"/>
            <w:left w:val="none" w:sz="0" w:space="0" w:color="auto"/>
            <w:bottom w:val="none" w:sz="0" w:space="0" w:color="auto"/>
            <w:right w:val="none" w:sz="0" w:space="0" w:color="auto"/>
          </w:divBdr>
        </w:div>
        <w:div w:id="1484539276">
          <w:marLeft w:val="0"/>
          <w:marRight w:val="0"/>
          <w:marTop w:val="0"/>
          <w:marBottom w:val="0"/>
          <w:divBdr>
            <w:top w:val="none" w:sz="0" w:space="0" w:color="auto"/>
            <w:left w:val="none" w:sz="0" w:space="0" w:color="auto"/>
            <w:bottom w:val="none" w:sz="0" w:space="0" w:color="auto"/>
            <w:right w:val="none" w:sz="0" w:space="0" w:color="auto"/>
          </w:divBdr>
        </w:div>
        <w:div w:id="1742867281">
          <w:marLeft w:val="0"/>
          <w:marRight w:val="0"/>
          <w:marTop w:val="0"/>
          <w:marBottom w:val="0"/>
          <w:divBdr>
            <w:top w:val="none" w:sz="0" w:space="0" w:color="auto"/>
            <w:left w:val="none" w:sz="0" w:space="0" w:color="auto"/>
            <w:bottom w:val="none" w:sz="0" w:space="0" w:color="auto"/>
            <w:right w:val="none" w:sz="0" w:space="0" w:color="auto"/>
          </w:divBdr>
        </w:div>
        <w:div w:id="1852597051">
          <w:marLeft w:val="0"/>
          <w:marRight w:val="0"/>
          <w:marTop w:val="0"/>
          <w:marBottom w:val="0"/>
          <w:divBdr>
            <w:top w:val="none" w:sz="0" w:space="0" w:color="auto"/>
            <w:left w:val="none" w:sz="0" w:space="0" w:color="auto"/>
            <w:bottom w:val="none" w:sz="0" w:space="0" w:color="auto"/>
            <w:right w:val="none" w:sz="0" w:space="0" w:color="auto"/>
          </w:divBdr>
          <w:divsChild>
            <w:div w:id="47389061">
              <w:marLeft w:val="0"/>
              <w:marRight w:val="0"/>
              <w:marTop w:val="0"/>
              <w:marBottom w:val="0"/>
              <w:divBdr>
                <w:top w:val="none" w:sz="0" w:space="0" w:color="auto"/>
                <w:left w:val="none" w:sz="0" w:space="0" w:color="auto"/>
                <w:bottom w:val="none" w:sz="0" w:space="0" w:color="auto"/>
                <w:right w:val="none" w:sz="0" w:space="0" w:color="auto"/>
              </w:divBdr>
            </w:div>
            <w:div w:id="106126239">
              <w:marLeft w:val="0"/>
              <w:marRight w:val="0"/>
              <w:marTop w:val="0"/>
              <w:marBottom w:val="0"/>
              <w:divBdr>
                <w:top w:val="none" w:sz="0" w:space="0" w:color="auto"/>
                <w:left w:val="none" w:sz="0" w:space="0" w:color="auto"/>
                <w:bottom w:val="none" w:sz="0" w:space="0" w:color="auto"/>
                <w:right w:val="none" w:sz="0" w:space="0" w:color="auto"/>
              </w:divBdr>
            </w:div>
            <w:div w:id="169492232">
              <w:marLeft w:val="0"/>
              <w:marRight w:val="0"/>
              <w:marTop w:val="0"/>
              <w:marBottom w:val="0"/>
              <w:divBdr>
                <w:top w:val="none" w:sz="0" w:space="0" w:color="auto"/>
                <w:left w:val="none" w:sz="0" w:space="0" w:color="auto"/>
                <w:bottom w:val="none" w:sz="0" w:space="0" w:color="auto"/>
                <w:right w:val="none" w:sz="0" w:space="0" w:color="auto"/>
              </w:divBdr>
            </w:div>
            <w:div w:id="171145491">
              <w:marLeft w:val="0"/>
              <w:marRight w:val="0"/>
              <w:marTop w:val="0"/>
              <w:marBottom w:val="0"/>
              <w:divBdr>
                <w:top w:val="none" w:sz="0" w:space="0" w:color="auto"/>
                <w:left w:val="none" w:sz="0" w:space="0" w:color="auto"/>
                <w:bottom w:val="none" w:sz="0" w:space="0" w:color="auto"/>
                <w:right w:val="none" w:sz="0" w:space="0" w:color="auto"/>
              </w:divBdr>
            </w:div>
            <w:div w:id="350494345">
              <w:marLeft w:val="0"/>
              <w:marRight w:val="0"/>
              <w:marTop w:val="0"/>
              <w:marBottom w:val="0"/>
              <w:divBdr>
                <w:top w:val="none" w:sz="0" w:space="0" w:color="auto"/>
                <w:left w:val="none" w:sz="0" w:space="0" w:color="auto"/>
                <w:bottom w:val="none" w:sz="0" w:space="0" w:color="auto"/>
                <w:right w:val="none" w:sz="0" w:space="0" w:color="auto"/>
              </w:divBdr>
            </w:div>
            <w:div w:id="494881922">
              <w:marLeft w:val="0"/>
              <w:marRight w:val="0"/>
              <w:marTop w:val="0"/>
              <w:marBottom w:val="0"/>
              <w:divBdr>
                <w:top w:val="none" w:sz="0" w:space="0" w:color="auto"/>
                <w:left w:val="none" w:sz="0" w:space="0" w:color="auto"/>
                <w:bottom w:val="none" w:sz="0" w:space="0" w:color="auto"/>
                <w:right w:val="none" w:sz="0" w:space="0" w:color="auto"/>
              </w:divBdr>
            </w:div>
            <w:div w:id="588121267">
              <w:marLeft w:val="0"/>
              <w:marRight w:val="0"/>
              <w:marTop w:val="0"/>
              <w:marBottom w:val="0"/>
              <w:divBdr>
                <w:top w:val="none" w:sz="0" w:space="0" w:color="auto"/>
                <w:left w:val="none" w:sz="0" w:space="0" w:color="auto"/>
                <w:bottom w:val="none" w:sz="0" w:space="0" w:color="auto"/>
                <w:right w:val="none" w:sz="0" w:space="0" w:color="auto"/>
              </w:divBdr>
            </w:div>
            <w:div w:id="643194024">
              <w:marLeft w:val="0"/>
              <w:marRight w:val="0"/>
              <w:marTop w:val="0"/>
              <w:marBottom w:val="0"/>
              <w:divBdr>
                <w:top w:val="none" w:sz="0" w:space="0" w:color="auto"/>
                <w:left w:val="none" w:sz="0" w:space="0" w:color="auto"/>
                <w:bottom w:val="none" w:sz="0" w:space="0" w:color="auto"/>
                <w:right w:val="none" w:sz="0" w:space="0" w:color="auto"/>
              </w:divBdr>
            </w:div>
            <w:div w:id="800077392">
              <w:marLeft w:val="0"/>
              <w:marRight w:val="0"/>
              <w:marTop w:val="0"/>
              <w:marBottom w:val="0"/>
              <w:divBdr>
                <w:top w:val="none" w:sz="0" w:space="0" w:color="auto"/>
                <w:left w:val="none" w:sz="0" w:space="0" w:color="auto"/>
                <w:bottom w:val="none" w:sz="0" w:space="0" w:color="auto"/>
                <w:right w:val="none" w:sz="0" w:space="0" w:color="auto"/>
              </w:divBdr>
            </w:div>
            <w:div w:id="943876458">
              <w:marLeft w:val="0"/>
              <w:marRight w:val="0"/>
              <w:marTop w:val="0"/>
              <w:marBottom w:val="0"/>
              <w:divBdr>
                <w:top w:val="none" w:sz="0" w:space="0" w:color="auto"/>
                <w:left w:val="none" w:sz="0" w:space="0" w:color="auto"/>
                <w:bottom w:val="none" w:sz="0" w:space="0" w:color="auto"/>
                <w:right w:val="none" w:sz="0" w:space="0" w:color="auto"/>
              </w:divBdr>
            </w:div>
            <w:div w:id="1071585426">
              <w:marLeft w:val="0"/>
              <w:marRight w:val="0"/>
              <w:marTop w:val="0"/>
              <w:marBottom w:val="0"/>
              <w:divBdr>
                <w:top w:val="none" w:sz="0" w:space="0" w:color="auto"/>
                <w:left w:val="none" w:sz="0" w:space="0" w:color="auto"/>
                <w:bottom w:val="none" w:sz="0" w:space="0" w:color="auto"/>
                <w:right w:val="none" w:sz="0" w:space="0" w:color="auto"/>
              </w:divBdr>
            </w:div>
            <w:div w:id="1077871096">
              <w:marLeft w:val="0"/>
              <w:marRight w:val="0"/>
              <w:marTop w:val="0"/>
              <w:marBottom w:val="0"/>
              <w:divBdr>
                <w:top w:val="none" w:sz="0" w:space="0" w:color="auto"/>
                <w:left w:val="none" w:sz="0" w:space="0" w:color="auto"/>
                <w:bottom w:val="none" w:sz="0" w:space="0" w:color="auto"/>
                <w:right w:val="none" w:sz="0" w:space="0" w:color="auto"/>
              </w:divBdr>
            </w:div>
            <w:div w:id="1128166590">
              <w:marLeft w:val="0"/>
              <w:marRight w:val="0"/>
              <w:marTop w:val="0"/>
              <w:marBottom w:val="0"/>
              <w:divBdr>
                <w:top w:val="none" w:sz="0" w:space="0" w:color="auto"/>
                <w:left w:val="none" w:sz="0" w:space="0" w:color="auto"/>
                <w:bottom w:val="none" w:sz="0" w:space="0" w:color="auto"/>
                <w:right w:val="none" w:sz="0" w:space="0" w:color="auto"/>
              </w:divBdr>
            </w:div>
            <w:div w:id="1183398544">
              <w:marLeft w:val="0"/>
              <w:marRight w:val="0"/>
              <w:marTop w:val="0"/>
              <w:marBottom w:val="0"/>
              <w:divBdr>
                <w:top w:val="none" w:sz="0" w:space="0" w:color="auto"/>
                <w:left w:val="none" w:sz="0" w:space="0" w:color="auto"/>
                <w:bottom w:val="none" w:sz="0" w:space="0" w:color="auto"/>
                <w:right w:val="none" w:sz="0" w:space="0" w:color="auto"/>
              </w:divBdr>
            </w:div>
            <w:div w:id="1262571159">
              <w:marLeft w:val="0"/>
              <w:marRight w:val="0"/>
              <w:marTop w:val="0"/>
              <w:marBottom w:val="0"/>
              <w:divBdr>
                <w:top w:val="none" w:sz="0" w:space="0" w:color="auto"/>
                <w:left w:val="none" w:sz="0" w:space="0" w:color="auto"/>
                <w:bottom w:val="none" w:sz="0" w:space="0" w:color="auto"/>
                <w:right w:val="none" w:sz="0" w:space="0" w:color="auto"/>
              </w:divBdr>
            </w:div>
            <w:div w:id="1487018416">
              <w:marLeft w:val="0"/>
              <w:marRight w:val="0"/>
              <w:marTop w:val="0"/>
              <w:marBottom w:val="0"/>
              <w:divBdr>
                <w:top w:val="none" w:sz="0" w:space="0" w:color="auto"/>
                <w:left w:val="none" w:sz="0" w:space="0" w:color="auto"/>
                <w:bottom w:val="none" w:sz="0" w:space="0" w:color="auto"/>
                <w:right w:val="none" w:sz="0" w:space="0" w:color="auto"/>
              </w:divBdr>
            </w:div>
            <w:div w:id="1662344697">
              <w:marLeft w:val="0"/>
              <w:marRight w:val="0"/>
              <w:marTop w:val="0"/>
              <w:marBottom w:val="0"/>
              <w:divBdr>
                <w:top w:val="none" w:sz="0" w:space="0" w:color="auto"/>
                <w:left w:val="none" w:sz="0" w:space="0" w:color="auto"/>
                <w:bottom w:val="none" w:sz="0" w:space="0" w:color="auto"/>
                <w:right w:val="none" w:sz="0" w:space="0" w:color="auto"/>
              </w:divBdr>
            </w:div>
            <w:div w:id="1863131686">
              <w:marLeft w:val="0"/>
              <w:marRight w:val="0"/>
              <w:marTop w:val="0"/>
              <w:marBottom w:val="0"/>
              <w:divBdr>
                <w:top w:val="none" w:sz="0" w:space="0" w:color="auto"/>
                <w:left w:val="none" w:sz="0" w:space="0" w:color="auto"/>
                <w:bottom w:val="none" w:sz="0" w:space="0" w:color="auto"/>
                <w:right w:val="none" w:sz="0" w:space="0" w:color="auto"/>
              </w:divBdr>
            </w:div>
            <w:div w:id="1871406908">
              <w:marLeft w:val="0"/>
              <w:marRight w:val="0"/>
              <w:marTop w:val="0"/>
              <w:marBottom w:val="0"/>
              <w:divBdr>
                <w:top w:val="none" w:sz="0" w:space="0" w:color="auto"/>
                <w:left w:val="none" w:sz="0" w:space="0" w:color="auto"/>
                <w:bottom w:val="none" w:sz="0" w:space="0" w:color="auto"/>
                <w:right w:val="none" w:sz="0" w:space="0" w:color="auto"/>
              </w:divBdr>
            </w:div>
            <w:div w:id="2101412700">
              <w:marLeft w:val="0"/>
              <w:marRight w:val="0"/>
              <w:marTop w:val="0"/>
              <w:marBottom w:val="0"/>
              <w:divBdr>
                <w:top w:val="none" w:sz="0" w:space="0" w:color="auto"/>
                <w:left w:val="none" w:sz="0" w:space="0" w:color="auto"/>
                <w:bottom w:val="none" w:sz="0" w:space="0" w:color="auto"/>
                <w:right w:val="none" w:sz="0" w:space="0" w:color="auto"/>
              </w:divBdr>
            </w:div>
          </w:divsChild>
        </w:div>
        <w:div w:id="1868911559">
          <w:marLeft w:val="0"/>
          <w:marRight w:val="0"/>
          <w:marTop w:val="0"/>
          <w:marBottom w:val="0"/>
          <w:divBdr>
            <w:top w:val="none" w:sz="0" w:space="0" w:color="auto"/>
            <w:left w:val="none" w:sz="0" w:space="0" w:color="auto"/>
            <w:bottom w:val="none" w:sz="0" w:space="0" w:color="auto"/>
            <w:right w:val="none" w:sz="0" w:space="0" w:color="auto"/>
          </w:divBdr>
        </w:div>
      </w:divsChild>
    </w:div>
    <w:div w:id="6758519">
      <w:bodyDiv w:val="1"/>
      <w:marLeft w:val="0"/>
      <w:marRight w:val="0"/>
      <w:marTop w:val="0"/>
      <w:marBottom w:val="0"/>
      <w:divBdr>
        <w:top w:val="none" w:sz="0" w:space="0" w:color="auto"/>
        <w:left w:val="none" w:sz="0" w:space="0" w:color="auto"/>
        <w:bottom w:val="none" w:sz="0" w:space="0" w:color="auto"/>
        <w:right w:val="none" w:sz="0" w:space="0" w:color="auto"/>
      </w:divBdr>
      <w:divsChild>
        <w:div w:id="7030316">
          <w:marLeft w:val="0"/>
          <w:marRight w:val="0"/>
          <w:marTop w:val="0"/>
          <w:marBottom w:val="0"/>
          <w:divBdr>
            <w:top w:val="none" w:sz="0" w:space="0" w:color="auto"/>
            <w:left w:val="none" w:sz="0" w:space="0" w:color="auto"/>
            <w:bottom w:val="none" w:sz="0" w:space="0" w:color="auto"/>
            <w:right w:val="none" w:sz="0" w:space="0" w:color="auto"/>
          </w:divBdr>
          <w:divsChild>
            <w:div w:id="44566074">
              <w:marLeft w:val="0"/>
              <w:marRight w:val="0"/>
              <w:marTop w:val="0"/>
              <w:marBottom w:val="0"/>
              <w:divBdr>
                <w:top w:val="none" w:sz="0" w:space="0" w:color="auto"/>
                <w:left w:val="none" w:sz="0" w:space="0" w:color="auto"/>
                <w:bottom w:val="none" w:sz="0" w:space="0" w:color="auto"/>
                <w:right w:val="none" w:sz="0" w:space="0" w:color="auto"/>
              </w:divBdr>
            </w:div>
            <w:div w:id="97917794">
              <w:marLeft w:val="0"/>
              <w:marRight w:val="0"/>
              <w:marTop w:val="0"/>
              <w:marBottom w:val="0"/>
              <w:divBdr>
                <w:top w:val="none" w:sz="0" w:space="0" w:color="auto"/>
                <w:left w:val="none" w:sz="0" w:space="0" w:color="auto"/>
                <w:bottom w:val="none" w:sz="0" w:space="0" w:color="auto"/>
                <w:right w:val="none" w:sz="0" w:space="0" w:color="auto"/>
              </w:divBdr>
            </w:div>
            <w:div w:id="1637487784">
              <w:marLeft w:val="0"/>
              <w:marRight w:val="0"/>
              <w:marTop w:val="0"/>
              <w:marBottom w:val="0"/>
              <w:divBdr>
                <w:top w:val="none" w:sz="0" w:space="0" w:color="auto"/>
                <w:left w:val="none" w:sz="0" w:space="0" w:color="auto"/>
                <w:bottom w:val="none" w:sz="0" w:space="0" w:color="auto"/>
                <w:right w:val="none" w:sz="0" w:space="0" w:color="auto"/>
              </w:divBdr>
            </w:div>
          </w:divsChild>
        </w:div>
        <w:div w:id="59065623">
          <w:marLeft w:val="0"/>
          <w:marRight w:val="0"/>
          <w:marTop w:val="0"/>
          <w:marBottom w:val="0"/>
          <w:divBdr>
            <w:top w:val="none" w:sz="0" w:space="0" w:color="auto"/>
            <w:left w:val="none" w:sz="0" w:space="0" w:color="auto"/>
            <w:bottom w:val="none" w:sz="0" w:space="0" w:color="auto"/>
            <w:right w:val="none" w:sz="0" w:space="0" w:color="auto"/>
          </w:divBdr>
          <w:divsChild>
            <w:div w:id="1413815291">
              <w:marLeft w:val="0"/>
              <w:marRight w:val="0"/>
              <w:marTop w:val="0"/>
              <w:marBottom w:val="0"/>
              <w:divBdr>
                <w:top w:val="none" w:sz="0" w:space="0" w:color="auto"/>
                <w:left w:val="none" w:sz="0" w:space="0" w:color="auto"/>
                <w:bottom w:val="none" w:sz="0" w:space="0" w:color="auto"/>
                <w:right w:val="none" w:sz="0" w:space="0" w:color="auto"/>
              </w:divBdr>
            </w:div>
          </w:divsChild>
        </w:div>
        <w:div w:id="72430609">
          <w:marLeft w:val="0"/>
          <w:marRight w:val="0"/>
          <w:marTop w:val="0"/>
          <w:marBottom w:val="0"/>
          <w:divBdr>
            <w:top w:val="none" w:sz="0" w:space="0" w:color="auto"/>
            <w:left w:val="none" w:sz="0" w:space="0" w:color="auto"/>
            <w:bottom w:val="none" w:sz="0" w:space="0" w:color="auto"/>
            <w:right w:val="none" w:sz="0" w:space="0" w:color="auto"/>
          </w:divBdr>
          <w:divsChild>
            <w:div w:id="111939979">
              <w:marLeft w:val="0"/>
              <w:marRight w:val="0"/>
              <w:marTop w:val="0"/>
              <w:marBottom w:val="0"/>
              <w:divBdr>
                <w:top w:val="none" w:sz="0" w:space="0" w:color="auto"/>
                <w:left w:val="none" w:sz="0" w:space="0" w:color="auto"/>
                <w:bottom w:val="none" w:sz="0" w:space="0" w:color="auto"/>
                <w:right w:val="none" w:sz="0" w:space="0" w:color="auto"/>
              </w:divBdr>
            </w:div>
          </w:divsChild>
        </w:div>
        <w:div w:id="215361533">
          <w:marLeft w:val="0"/>
          <w:marRight w:val="0"/>
          <w:marTop w:val="0"/>
          <w:marBottom w:val="0"/>
          <w:divBdr>
            <w:top w:val="none" w:sz="0" w:space="0" w:color="auto"/>
            <w:left w:val="none" w:sz="0" w:space="0" w:color="auto"/>
            <w:bottom w:val="none" w:sz="0" w:space="0" w:color="auto"/>
            <w:right w:val="none" w:sz="0" w:space="0" w:color="auto"/>
          </w:divBdr>
          <w:divsChild>
            <w:div w:id="1371952935">
              <w:marLeft w:val="0"/>
              <w:marRight w:val="0"/>
              <w:marTop w:val="0"/>
              <w:marBottom w:val="0"/>
              <w:divBdr>
                <w:top w:val="none" w:sz="0" w:space="0" w:color="auto"/>
                <w:left w:val="none" w:sz="0" w:space="0" w:color="auto"/>
                <w:bottom w:val="none" w:sz="0" w:space="0" w:color="auto"/>
                <w:right w:val="none" w:sz="0" w:space="0" w:color="auto"/>
              </w:divBdr>
            </w:div>
          </w:divsChild>
        </w:div>
        <w:div w:id="276258516">
          <w:marLeft w:val="0"/>
          <w:marRight w:val="0"/>
          <w:marTop w:val="0"/>
          <w:marBottom w:val="0"/>
          <w:divBdr>
            <w:top w:val="none" w:sz="0" w:space="0" w:color="auto"/>
            <w:left w:val="none" w:sz="0" w:space="0" w:color="auto"/>
            <w:bottom w:val="none" w:sz="0" w:space="0" w:color="auto"/>
            <w:right w:val="none" w:sz="0" w:space="0" w:color="auto"/>
          </w:divBdr>
          <w:divsChild>
            <w:div w:id="1489439451">
              <w:marLeft w:val="0"/>
              <w:marRight w:val="0"/>
              <w:marTop w:val="0"/>
              <w:marBottom w:val="0"/>
              <w:divBdr>
                <w:top w:val="none" w:sz="0" w:space="0" w:color="auto"/>
                <w:left w:val="none" w:sz="0" w:space="0" w:color="auto"/>
                <w:bottom w:val="none" w:sz="0" w:space="0" w:color="auto"/>
                <w:right w:val="none" w:sz="0" w:space="0" w:color="auto"/>
              </w:divBdr>
            </w:div>
          </w:divsChild>
        </w:div>
        <w:div w:id="448623513">
          <w:marLeft w:val="0"/>
          <w:marRight w:val="0"/>
          <w:marTop w:val="0"/>
          <w:marBottom w:val="0"/>
          <w:divBdr>
            <w:top w:val="none" w:sz="0" w:space="0" w:color="auto"/>
            <w:left w:val="none" w:sz="0" w:space="0" w:color="auto"/>
            <w:bottom w:val="none" w:sz="0" w:space="0" w:color="auto"/>
            <w:right w:val="none" w:sz="0" w:space="0" w:color="auto"/>
          </w:divBdr>
          <w:divsChild>
            <w:div w:id="566451334">
              <w:marLeft w:val="0"/>
              <w:marRight w:val="0"/>
              <w:marTop w:val="0"/>
              <w:marBottom w:val="0"/>
              <w:divBdr>
                <w:top w:val="none" w:sz="0" w:space="0" w:color="auto"/>
                <w:left w:val="none" w:sz="0" w:space="0" w:color="auto"/>
                <w:bottom w:val="none" w:sz="0" w:space="0" w:color="auto"/>
                <w:right w:val="none" w:sz="0" w:space="0" w:color="auto"/>
              </w:divBdr>
            </w:div>
          </w:divsChild>
        </w:div>
        <w:div w:id="449324479">
          <w:marLeft w:val="0"/>
          <w:marRight w:val="0"/>
          <w:marTop w:val="0"/>
          <w:marBottom w:val="0"/>
          <w:divBdr>
            <w:top w:val="none" w:sz="0" w:space="0" w:color="auto"/>
            <w:left w:val="none" w:sz="0" w:space="0" w:color="auto"/>
            <w:bottom w:val="none" w:sz="0" w:space="0" w:color="auto"/>
            <w:right w:val="none" w:sz="0" w:space="0" w:color="auto"/>
          </w:divBdr>
          <w:divsChild>
            <w:div w:id="155609813">
              <w:marLeft w:val="0"/>
              <w:marRight w:val="0"/>
              <w:marTop w:val="0"/>
              <w:marBottom w:val="0"/>
              <w:divBdr>
                <w:top w:val="none" w:sz="0" w:space="0" w:color="auto"/>
                <w:left w:val="none" w:sz="0" w:space="0" w:color="auto"/>
                <w:bottom w:val="none" w:sz="0" w:space="0" w:color="auto"/>
                <w:right w:val="none" w:sz="0" w:space="0" w:color="auto"/>
              </w:divBdr>
            </w:div>
            <w:div w:id="1134954266">
              <w:marLeft w:val="0"/>
              <w:marRight w:val="0"/>
              <w:marTop w:val="0"/>
              <w:marBottom w:val="0"/>
              <w:divBdr>
                <w:top w:val="none" w:sz="0" w:space="0" w:color="auto"/>
                <w:left w:val="none" w:sz="0" w:space="0" w:color="auto"/>
                <w:bottom w:val="none" w:sz="0" w:space="0" w:color="auto"/>
                <w:right w:val="none" w:sz="0" w:space="0" w:color="auto"/>
              </w:divBdr>
            </w:div>
          </w:divsChild>
        </w:div>
        <w:div w:id="484316595">
          <w:marLeft w:val="0"/>
          <w:marRight w:val="0"/>
          <w:marTop w:val="0"/>
          <w:marBottom w:val="0"/>
          <w:divBdr>
            <w:top w:val="none" w:sz="0" w:space="0" w:color="auto"/>
            <w:left w:val="none" w:sz="0" w:space="0" w:color="auto"/>
            <w:bottom w:val="none" w:sz="0" w:space="0" w:color="auto"/>
            <w:right w:val="none" w:sz="0" w:space="0" w:color="auto"/>
          </w:divBdr>
          <w:divsChild>
            <w:div w:id="881282167">
              <w:marLeft w:val="0"/>
              <w:marRight w:val="0"/>
              <w:marTop w:val="0"/>
              <w:marBottom w:val="0"/>
              <w:divBdr>
                <w:top w:val="none" w:sz="0" w:space="0" w:color="auto"/>
                <w:left w:val="none" w:sz="0" w:space="0" w:color="auto"/>
                <w:bottom w:val="none" w:sz="0" w:space="0" w:color="auto"/>
                <w:right w:val="none" w:sz="0" w:space="0" w:color="auto"/>
              </w:divBdr>
            </w:div>
          </w:divsChild>
        </w:div>
        <w:div w:id="497427183">
          <w:marLeft w:val="0"/>
          <w:marRight w:val="0"/>
          <w:marTop w:val="0"/>
          <w:marBottom w:val="0"/>
          <w:divBdr>
            <w:top w:val="none" w:sz="0" w:space="0" w:color="auto"/>
            <w:left w:val="none" w:sz="0" w:space="0" w:color="auto"/>
            <w:bottom w:val="none" w:sz="0" w:space="0" w:color="auto"/>
            <w:right w:val="none" w:sz="0" w:space="0" w:color="auto"/>
          </w:divBdr>
          <w:divsChild>
            <w:div w:id="1561676189">
              <w:marLeft w:val="0"/>
              <w:marRight w:val="0"/>
              <w:marTop w:val="0"/>
              <w:marBottom w:val="0"/>
              <w:divBdr>
                <w:top w:val="none" w:sz="0" w:space="0" w:color="auto"/>
                <w:left w:val="none" w:sz="0" w:space="0" w:color="auto"/>
                <w:bottom w:val="none" w:sz="0" w:space="0" w:color="auto"/>
                <w:right w:val="none" w:sz="0" w:space="0" w:color="auto"/>
              </w:divBdr>
            </w:div>
          </w:divsChild>
        </w:div>
        <w:div w:id="540672167">
          <w:marLeft w:val="0"/>
          <w:marRight w:val="0"/>
          <w:marTop w:val="0"/>
          <w:marBottom w:val="0"/>
          <w:divBdr>
            <w:top w:val="none" w:sz="0" w:space="0" w:color="auto"/>
            <w:left w:val="none" w:sz="0" w:space="0" w:color="auto"/>
            <w:bottom w:val="none" w:sz="0" w:space="0" w:color="auto"/>
            <w:right w:val="none" w:sz="0" w:space="0" w:color="auto"/>
          </w:divBdr>
          <w:divsChild>
            <w:div w:id="383255269">
              <w:marLeft w:val="0"/>
              <w:marRight w:val="0"/>
              <w:marTop w:val="0"/>
              <w:marBottom w:val="0"/>
              <w:divBdr>
                <w:top w:val="none" w:sz="0" w:space="0" w:color="auto"/>
                <w:left w:val="none" w:sz="0" w:space="0" w:color="auto"/>
                <w:bottom w:val="none" w:sz="0" w:space="0" w:color="auto"/>
                <w:right w:val="none" w:sz="0" w:space="0" w:color="auto"/>
              </w:divBdr>
            </w:div>
          </w:divsChild>
        </w:div>
        <w:div w:id="594048831">
          <w:marLeft w:val="0"/>
          <w:marRight w:val="0"/>
          <w:marTop w:val="0"/>
          <w:marBottom w:val="0"/>
          <w:divBdr>
            <w:top w:val="none" w:sz="0" w:space="0" w:color="auto"/>
            <w:left w:val="none" w:sz="0" w:space="0" w:color="auto"/>
            <w:bottom w:val="none" w:sz="0" w:space="0" w:color="auto"/>
            <w:right w:val="none" w:sz="0" w:space="0" w:color="auto"/>
          </w:divBdr>
          <w:divsChild>
            <w:div w:id="633028366">
              <w:marLeft w:val="0"/>
              <w:marRight w:val="0"/>
              <w:marTop w:val="0"/>
              <w:marBottom w:val="0"/>
              <w:divBdr>
                <w:top w:val="none" w:sz="0" w:space="0" w:color="auto"/>
                <w:left w:val="none" w:sz="0" w:space="0" w:color="auto"/>
                <w:bottom w:val="none" w:sz="0" w:space="0" w:color="auto"/>
                <w:right w:val="none" w:sz="0" w:space="0" w:color="auto"/>
              </w:divBdr>
            </w:div>
          </w:divsChild>
        </w:div>
        <w:div w:id="675696502">
          <w:marLeft w:val="0"/>
          <w:marRight w:val="0"/>
          <w:marTop w:val="0"/>
          <w:marBottom w:val="0"/>
          <w:divBdr>
            <w:top w:val="none" w:sz="0" w:space="0" w:color="auto"/>
            <w:left w:val="none" w:sz="0" w:space="0" w:color="auto"/>
            <w:bottom w:val="none" w:sz="0" w:space="0" w:color="auto"/>
            <w:right w:val="none" w:sz="0" w:space="0" w:color="auto"/>
          </w:divBdr>
          <w:divsChild>
            <w:div w:id="228422471">
              <w:marLeft w:val="0"/>
              <w:marRight w:val="0"/>
              <w:marTop w:val="0"/>
              <w:marBottom w:val="0"/>
              <w:divBdr>
                <w:top w:val="none" w:sz="0" w:space="0" w:color="auto"/>
                <w:left w:val="none" w:sz="0" w:space="0" w:color="auto"/>
                <w:bottom w:val="none" w:sz="0" w:space="0" w:color="auto"/>
                <w:right w:val="none" w:sz="0" w:space="0" w:color="auto"/>
              </w:divBdr>
            </w:div>
          </w:divsChild>
        </w:div>
        <w:div w:id="747462081">
          <w:marLeft w:val="0"/>
          <w:marRight w:val="0"/>
          <w:marTop w:val="0"/>
          <w:marBottom w:val="0"/>
          <w:divBdr>
            <w:top w:val="none" w:sz="0" w:space="0" w:color="auto"/>
            <w:left w:val="none" w:sz="0" w:space="0" w:color="auto"/>
            <w:bottom w:val="none" w:sz="0" w:space="0" w:color="auto"/>
            <w:right w:val="none" w:sz="0" w:space="0" w:color="auto"/>
          </w:divBdr>
          <w:divsChild>
            <w:div w:id="675619793">
              <w:marLeft w:val="0"/>
              <w:marRight w:val="0"/>
              <w:marTop w:val="0"/>
              <w:marBottom w:val="0"/>
              <w:divBdr>
                <w:top w:val="none" w:sz="0" w:space="0" w:color="auto"/>
                <w:left w:val="none" w:sz="0" w:space="0" w:color="auto"/>
                <w:bottom w:val="none" w:sz="0" w:space="0" w:color="auto"/>
                <w:right w:val="none" w:sz="0" w:space="0" w:color="auto"/>
              </w:divBdr>
            </w:div>
          </w:divsChild>
        </w:div>
        <w:div w:id="754281429">
          <w:marLeft w:val="0"/>
          <w:marRight w:val="0"/>
          <w:marTop w:val="0"/>
          <w:marBottom w:val="0"/>
          <w:divBdr>
            <w:top w:val="none" w:sz="0" w:space="0" w:color="auto"/>
            <w:left w:val="none" w:sz="0" w:space="0" w:color="auto"/>
            <w:bottom w:val="none" w:sz="0" w:space="0" w:color="auto"/>
            <w:right w:val="none" w:sz="0" w:space="0" w:color="auto"/>
          </w:divBdr>
          <w:divsChild>
            <w:div w:id="699551020">
              <w:marLeft w:val="0"/>
              <w:marRight w:val="0"/>
              <w:marTop w:val="0"/>
              <w:marBottom w:val="0"/>
              <w:divBdr>
                <w:top w:val="none" w:sz="0" w:space="0" w:color="auto"/>
                <w:left w:val="none" w:sz="0" w:space="0" w:color="auto"/>
                <w:bottom w:val="none" w:sz="0" w:space="0" w:color="auto"/>
                <w:right w:val="none" w:sz="0" w:space="0" w:color="auto"/>
              </w:divBdr>
            </w:div>
          </w:divsChild>
        </w:div>
        <w:div w:id="831333164">
          <w:marLeft w:val="0"/>
          <w:marRight w:val="0"/>
          <w:marTop w:val="0"/>
          <w:marBottom w:val="0"/>
          <w:divBdr>
            <w:top w:val="none" w:sz="0" w:space="0" w:color="auto"/>
            <w:left w:val="none" w:sz="0" w:space="0" w:color="auto"/>
            <w:bottom w:val="none" w:sz="0" w:space="0" w:color="auto"/>
            <w:right w:val="none" w:sz="0" w:space="0" w:color="auto"/>
          </w:divBdr>
          <w:divsChild>
            <w:div w:id="198202185">
              <w:marLeft w:val="0"/>
              <w:marRight w:val="0"/>
              <w:marTop w:val="0"/>
              <w:marBottom w:val="0"/>
              <w:divBdr>
                <w:top w:val="none" w:sz="0" w:space="0" w:color="auto"/>
                <w:left w:val="none" w:sz="0" w:space="0" w:color="auto"/>
                <w:bottom w:val="none" w:sz="0" w:space="0" w:color="auto"/>
                <w:right w:val="none" w:sz="0" w:space="0" w:color="auto"/>
              </w:divBdr>
            </w:div>
          </w:divsChild>
        </w:div>
        <w:div w:id="923150493">
          <w:marLeft w:val="0"/>
          <w:marRight w:val="0"/>
          <w:marTop w:val="0"/>
          <w:marBottom w:val="0"/>
          <w:divBdr>
            <w:top w:val="none" w:sz="0" w:space="0" w:color="auto"/>
            <w:left w:val="none" w:sz="0" w:space="0" w:color="auto"/>
            <w:bottom w:val="none" w:sz="0" w:space="0" w:color="auto"/>
            <w:right w:val="none" w:sz="0" w:space="0" w:color="auto"/>
          </w:divBdr>
          <w:divsChild>
            <w:div w:id="662198213">
              <w:marLeft w:val="0"/>
              <w:marRight w:val="0"/>
              <w:marTop w:val="0"/>
              <w:marBottom w:val="0"/>
              <w:divBdr>
                <w:top w:val="none" w:sz="0" w:space="0" w:color="auto"/>
                <w:left w:val="none" w:sz="0" w:space="0" w:color="auto"/>
                <w:bottom w:val="none" w:sz="0" w:space="0" w:color="auto"/>
                <w:right w:val="none" w:sz="0" w:space="0" w:color="auto"/>
              </w:divBdr>
            </w:div>
          </w:divsChild>
        </w:div>
        <w:div w:id="1141196517">
          <w:marLeft w:val="0"/>
          <w:marRight w:val="0"/>
          <w:marTop w:val="0"/>
          <w:marBottom w:val="0"/>
          <w:divBdr>
            <w:top w:val="none" w:sz="0" w:space="0" w:color="auto"/>
            <w:left w:val="none" w:sz="0" w:space="0" w:color="auto"/>
            <w:bottom w:val="none" w:sz="0" w:space="0" w:color="auto"/>
            <w:right w:val="none" w:sz="0" w:space="0" w:color="auto"/>
          </w:divBdr>
          <w:divsChild>
            <w:div w:id="845250340">
              <w:marLeft w:val="0"/>
              <w:marRight w:val="0"/>
              <w:marTop w:val="0"/>
              <w:marBottom w:val="0"/>
              <w:divBdr>
                <w:top w:val="none" w:sz="0" w:space="0" w:color="auto"/>
                <w:left w:val="none" w:sz="0" w:space="0" w:color="auto"/>
                <w:bottom w:val="none" w:sz="0" w:space="0" w:color="auto"/>
                <w:right w:val="none" w:sz="0" w:space="0" w:color="auto"/>
              </w:divBdr>
            </w:div>
          </w:divsChild>
        </w:div>
        <w:div w:id="1142774235">
          <w:marLeft w:val="0"/>
          <w:marRight w:val="0"/>
          <w:marTop w:val="0"/>
          <w:marBottom w:val="0"/>
          <w:divBdr>
            <w:top w:val="none" w:sz="0" w:space="0" w:color="auto"/>
            <w:left w:val="none" w:sz="0" w:space="0" w:color="auto"/>
            <w:bottom w:val="none" w:sz="0" w:space="0" w:color="auto"/>
            <w:right w:val="none" w:sz="0" w:space="0" w:color="auto"/>
          </w:divBdr>
          <w:divsChild>
            <w:div w:id="1742367349">
              <w:marLeft w:val="0"/>
              <w:marRight w:val="0"/>
              <w:marTop w:val="0"/>
              <w:marBottom w:val="0"/>
              <w:divBdr>
                <w:top w:val="none" w:sz="0" w:space="0" w:color="auto"/>
                <w:left w:val="none" w:sz="0" w:space="0" w:color="auto"/>
                <w:bottom w:val="none" w:sz="0" w:space="0" w:color="auto"/>
                <w:right w:val="none" w:sz="0" w:space="0" w:color="auto"/>
              </w:divBdr>
            </w:div>
          </w:divsChild>
        </w:div>
        <w:div w:id="1242790943">
          <w:marLeft w:val="0"/>
          <w:marRight w:val="0"/>
          <w:marTop w:val="0"/>
          <w:marBottom w:val="0"/>
          <w:divBdr>
            <w:top w:val="none" w:sz="0" w:space="0" w:color="auto"/>
            <w:left w:val="none" w:sz="0" w:space="0" w:color="auto"/>
            <w:bottom w:val="none" w:sz="0" w:space="0" w:color="auto"/>
            <w:right w:val="none" w:sz="0" w:space="0" w:color="auto"/>
          </w:divBdr>
          <w:divsChild>
            <w:div w:id="1494175061">
              <w:marLeft w:val="0"/>
              <w:marRight w:val="0"/>
              <w:marTop w:val="0"/>
              <w:marBottom w:val="0"/>
              <w:divBdr>
                <w:top w:val="none" w:sz="0" w:space="0" w:color="auto"/>
                <w:left w:val="none" w:sz="0" w:space="0" w:color="auto"/>
                <w:bottom w:val="none" w:sz="0" w:space="0" w:color="auto"/>
                <w:right w:val="none" w:sz="0" w:space="0" w:color="auto"/>
              </w:divBdr>
            </w:div>
          </w:divsChild>
        </w:div>
        <w:div w:id="1460950272">
          <w:marLeft w:val="0"/>
          <w:marRight w:val="0"/>
          <w:marTop w:val="0"/>
          <w:marBottom w:val="0"/>
          <w:divBdr>
            <w:top w:val="none" w:sz="0" w:space="0" w:color="auto"/>
            <w:left w:val="none" w:sz="0" w:space="0" w:color="auto"/>
            <w:bottom w:val="none" w:sz="0" w:space="0" w:color="auto"/>
            <w:right w:val="none" w:sz="0" w:space="0" w:color="auto"/>
          </w:divBdr>
          <w:divsChild>
            <w:div w:id="238828006">
              <w:marLeft w:val="0"/>
              <w:marRight w:val="0"/>
              <w:marTop w:val="0"/>
              <w:marBottom w:val="0"/>
              <w:divBdr>
                <w:top w:val="none" w:sz="0" w:space="0" w:color="auto"/>
                <w:left w:val="none" w:sz="0" w:space="0" w:color="auto"/>
                <w:bottom w:val="none" w:sz="0" w:space="0" w:color="auto"/>
                <w:right w:val="none" w:sz="0" w:space="0" w:color="auto"/>
              </w:divBdr>
            </w:div>
          </w:divsChild>
        </w:div>
        <w:div w:id="1481849074">
          <w:marLeft w:val="0"/>
          <w:marRight w:val="0"/>
          <w:marTop w:val="0"/>
          <w:marBottom w:val="0"/>
          <w:divBdr>
            <w:top w:val="none" w:sz="0" w:space="0" w:color="auto"/>
            <w:left w:val="none" w:sz="0" w:space="0" w:color="auto"/>
            <w:bottom w:val="none" w:sz="0" w:space="0" w:color="auto"/>
            <w:right w:val="none" w:sz="0" w:space="0" w:color="auto"/>
          </w:divBdr>
          <w:divsChild>
            <w:div w:id="880677037">
              <w:marLeft w:val="0"/>
              <w:marRight w:val="0"/>
              <w:marTop w:val="0"/>
              <w:marBottom w:val="0"/>
              <w:divBdr>
                <w:top w:val="none" w:sz="0" w:space="0" w:color="auto"/>
                <w:left w:val="none" w:sz="0" w:space="0" w:color="auto"/>
                <w:bottom w:val="none" w:sz="0" w:space="0" w:color="auto"/>
                <w:right w:val="none" w:sz="0" w:space="0" w:color="auto"/>
              </w:divBdr>
            </w:div>
          </w:divsChild>
        </w:div>
        <w:div w:id="1503086812">
          <w:marLeft w:val="0"/>
          <w:marRight w:val="0"/>
          <w:marTop w:val="0"/>
          <w:marBottom w:val="0"/>
          <w:divBdr>
            <w:top w:val="none" w:sz="0" w:space="0" w:color="auto"/>
            <w:left w:val="none" w:sz="0" w:space="0" w:color="auto"/>
            <w:bottom w:val="none" w:sz="0" w:space="0" w:color="auto"/>
            <w:right w:val="none" w:sz="0" w:space="0" w:color="auto"/>
          </w:divBdr>
          <w:divsChild>
            <w:div w:id="452675228">
              <w:marLeft w:val="0"/>
              <w:marRight w:val="0"/>
              <w:marTop w:val="0"/>
              <w:marBottom w:val="0"/>
              <w:divBdr>
                <w:top w:val="none" w:sz="0" w:space="0" w:color="auto"/>
                <w:left w:val="none" w:sz="0" w:space="0" w:color="auto"/>
                <w:bottom w:val="none" w:sz="0" w:space="0" w:color="auto"/>
                <w:right w:val="none" w:sz="0" w:space="0" w:color="auto"/>
              </w:divBdr>
            </w:div>
          </w:divsChild>
        </w:div>
        <w:div w:id="1668287906">
          <w:marLeft w:val="0"/>
          <w:marRight w:val="0"/>
          <w:marTop w:val="0"/>
          <w:marBottom w:val="0"/>
          <w:divBdr>
            <w:top w:val="none" w:sz="0" w:space="0" w:color="auto"/>
            <w:left w:val="none" w:sz="0" w:space="0" w:color="auto"/>
            <w:bottom w:val="none" w:sz="0" w:space="0" w:color="auto"/>
            <w:right w:val="none" w:sz="0" w:space="0" w:color="auto"/>
          </w:divBdr>
          <w:divsChild>
            <w:div w:id="2013532030">
              <w:marLeft w:val="0"/>
              <w:marRight w:val="0"/>
              <w:marTop w:val="0"/>
              <w:marBottom w:val="0"/>
              <w:divBdr>
                <w:top w:val="none" w:sz="0" w:space="0" w:color="auto"/>
                <w:left w:val="none" w:sz="0" w:space="0" w:color="auto"/>
                <w:bottom w:val="none" w:sz="0" w:space="0" w:color="auto"/>
                <w:right w:val="none" w:sz="0" w:space="0" w:color="auto"/>
              </w:divBdr>
            </w:div>
          </w:divsChild>
        </w:div>
        <w:div w:id="1723677314">
          <w:marLeft w:val="0"/>
          <w:marRight w:val="0"/>
          <w:marTop w:val="0"/>
          <w:marBottom w:val="0"/>
          <w:divBdr>
            <w:top w:val="none" w:sz="0" w:space="0" w:color="auto"/>
            <w:left w:val="none" w:sz="0" w:space="0" w:color="auto"/>
            <w:bottom w:val="none" w:sz="0" w:space="0" w:color="auto"/>
            <w:right w:val="none" w:sz="0" w:space="0" w:color="auto"/>
          </w:divBdr>
          <w:divsChild>
            <w:div w:id="1555659016">
              <w:marLeft w:val="0"/>
              <w:marRight w:val="0"/>
              <w:marTop w:val="0"/>
              <w:marBottom w:val="0"/>
              <w:divBdr>
                <w:top w:val="none" w:sz="0" w:space="0" w:color="auto"/>
                <w:left w:val="none" w:sz="0" w:space="0" w:color="auto"/>
                <w:bottom w:val="none" w:sz="0" w:space="0" w:color="auto"/>
                <w:right w:val="none" w:sz="0" w:space="0" w:color="auto"/>
              </w:divBdr>
            </w:div>
          </w:divsChild>
        </w:div>
        <w:div w:id="1824083035">
          <w:marLeft w:val="0"/>
          <w:marRight w:val="0"/>
          <w:marTop w:val="0"/>
          <w:marBottom w:val="0"/>
          <w:divBdr>
            <w:top w:val="none" w:sz="0" w:space="0" w:color="auto"/>
            <w:left w:val="none" w:sz="0" w:space="0" w:color="auto"/>
            <w:bottom w:val="none" w:sz="0" w:space="0" w:color="auto"/>
            <w:right w:val="none" w:sz="0" w:space="0" w:color="auto"/>
          </w:divBdr>
          <w:divsChild>
            <w:div w:id="2086682217">
              <w:marLeft w:val="0"/>
              <w:marRight w:val="0"/>
              <w:marTop w:val="0"/>
              <w:marBottom w:val="0"/>
              <w:divBdr>
                <w:top w:val="none" w:sz="0" w:space="0" w:color="auto"/>
                <w:left w:val="none" w:sz="0" w:space="0" w:color="auto"/>
                <w:bottom w:val="none" w:sz="0" w:space="0" w:color="auto"/>
                <w:right w:val="none" w:sz="0" w:space="0" w:color="auto"/>
              </w:divBdr>
            </w:div>
          </w:divsChild>
        </w:div>
        <w:div w:id="1963877087">
          <w:marLeft w:val="0"/>
          <w:marRight w:val="0"/>
          <w:marTop w:val="0"/>
          <w:marBottom w:val="0"/>
          <w:divBdr>
            <w:top w:val="none" w:sz="0" w:space="0" w:color="auto"/>
            <w:left w:val="none" w:sz="0" w:space="0" w:color="auto"/>
            <w:bottom w:val="none" w:sz="0" w:space="0" w:color="auto"/>
            <w:right w:val="none" w:sz="0" w:space="0" w:color="auto"/>
          </w:divBdr>
          <w:divsChild>
            <w:div w:id="1431975856">
              <w:marLeft w:val="0"/>
              <w:marRight w:val="0"/>
              <w:marTop w:val="0"/>
              <w:marBottom w:val="0"/>
              <w:divBdr>
                <w:top w:val="none" w:sz="0" w:space="0" w:color="auto"/>
                <w:left w:val="none" w:sz="0" w:space="0" w:color="auto"/>
                <w:bottom w:val="none" w:sz="0" w:space="0" w:color="auto"/>
                <w:right w:val="none" w:sz="0" w:space="0" w:color="auto"/>
              </w:divBdr>
            </w:div>
          </w:divsChild>
        </w:div>
        <w:div w:id="1967470869">
          <w:marLeft w:val="0"/>
          <w:marRight w:val="0"/>
          <w:marTop w:val="0"/>
          <w:marBottom w:val="0"/>
          <w:divBdr>
            <w:top w:val="none" w:sz="0" w:space="0" w:color="auto"/>
            <w:left w:val="none" w:sz="0" w:space="0" w:color="auto"/>
            <w:bottom w:val="none" w:sz="0" w:space="0" w:color="auto"/>
            <w:right w:val="none" w:sz="0" w:space="0" w:color="auto"/>
          </w:divBdr>
          <w:divsChild>
            <w:div w:id="1178807215">
              <w:marLeft w:val="0"/>
              <w:marRight w:val="0"/>
              <w:marTop w:val="0"/>
              <w:marBottom w:val="0"/>
              <w:divBdr>
                <w:top w:val="none" w:sz="0" w:space="0" w:color="auto"/>
                <w:left w:val="none" w:sz="0" w:space="0" w:color="auto"/>
                <w:bottom w:val="none" w:sz="0" w:space="0" w:color="auto"/>
                <w:right w:val="none" w:sz="0" w:space="0" w:color="auto"/>
              </w:divBdr>
            </w:div>
          </w:divsChild>
        </w:div>
        <w:div w:id="2077586352">
          <w:marLeft w:val="0"/>
          <w:marRight w:val="0"/>
          <w:marTop w:val="0"/>
          <w:marBottom w:val="0"/>
          <w:divBdr>
            <w:top w:val="none" w:sz="0" w:space="0" w:color="auto"/>
            <w:left w:val="none" w:sz="0" w:space="0" w:color="auto"/>
            <w:bottom w:val="none" w:sz="0" w:space="0" w:color="auto"/>
            <w:right w:val="none" w:sz="0" w:space="0" w:color="auto"/>
          </w:divBdr>
          <w:divsChild>
            <w:div w:id="17787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959">
      <w:bodyDiv w:val="1"/>
      <w:marLeft w:val="0"/>
      <w:marRight w:val="0"/>
      <w:marTop w:val="0"/>
      <w:marBottom w:val="0"/>
      <w:divBdr>
        <w:top w:val="none" w:sz="0" w:space="0" w:color="auto"/>
        <w:left w:val="none" w:sz="0" w:space="0" w:color="auto"/>
        <w:bottom w:val="none" w:sz="0" w:space="0" w:color="auto"/>
        <w:right w:val="none" w:sz="0" w:space="0" w:color="auto"/>
      </w:divBdr>
      <w:divsChild>
        <w:div w:id="294262598">
          <w:marLeft w:val="0"/>
          <w:marRight w:val="0"/>
          <w:marTop w:val="0"/>
          <w:marBottom w:val="0"/>
          <w:divBdr>
            <w:top w:val="none" w:sz="0" w:space="0" w:color="auto"/>
            <w:left w:val="none" w:sz="0" w:space="0" w:color="auto"/>
            <w:bottom w:val="none" w:sz="0" w:space="0" w:color="auto"/>
            <w:right w:val="none" w:sz="0" w:space="0" w:color="auto"/>
          </w:divBdr>
          <w:divsChild>
            <w:div w:id="7681725">
              <w:marLeft w:val="0"/>
              <w:marRight w:val="0"/>
              <w:marTop w:val="0"/>
              <w:marBottom w:val="0"/>
              <w:divBdr>
                <w:top w:val="none" w:sz="0" w:space="0" w:color="auto"/>
                <w:left w:val="none" w:sz="0" w:space="0" w:color="auto"/>
                <w:bottom w:val="none" w:sz="0" w:space="0" w:color="auto"/>
                <w:right w:val="none" w:sz="0" w:space="0" w:color="auto"/>
              </w:divBdr>
            </w:div>
            <w:div w:id="131752120">
              <w:marLeft w:val="0"/>
              <w:marRight w:val="0"/>
              <w:marTop w:val="0"/>
              <w:marBottom w:val="0"/>
              <w:divBdr>
                <w:top w:val="none" w:sz="0" w:space="0" w:color="auto"/>
                <w:left w:val="none" w:sz="0" w:space="0" w:color="auto"/>
                <w:bottom w:val="none" w:sz="0" w:space="0" w:color="auto"/>
                <w:right w:val="none" w:sz="0" w:space="0" w:color="auto"/>
              </w:divBdr>
            </w:div>
            <w:div w:id="225073876">
              <w:marLeft w:val="0"/>
              <w:marRight w:val="0"/>
              <w:marTop w:val="0"/>
              <w:marBottom w:val="0"/>
              <w:divBdr>
                <w:top w:val="none" w:sz="0" w:space="0" w:color="auto"/>
                <w:left w:val="none" w:sz="0" w:space="0" w:color="auto"/>
                <w:bottom w:val="none" w:sz="0" w:space="0" w:color="auto"/>
                <w:right w:val="none" w:sz="0" w:space="0" w:color="auto"/>
              </w:divBdr>
            </w:div>
            <w:div w:id="471213542">
              <w:marLeft w:val="0"/>
              <w:marRight w:val="0"/>
              <w:marTop w:val="0"/>
              <w:marBottom w:val="0"/>
              <w:divBdr>
                <w:top w:val="none" w:sz="0" w:space="0" w:color="auto"/>
                <w:left w:val="none" w:sz="0" w:space="0" w:color="auto"/>
                <w:bottom w:val="none" w:sz="0" w:space="0" w:color="auto"/>
                <w:right w:val="none" w:sz="0" w:space="0" w:color="auto"/>
              </w:divBdr>
            </w:div>
            <w:div w:id="565604324">
              <w:marLeft w:val="0"/>
              <w:marRight w:val="0"/>
              <w:marTop w:val="0"/>
              <w:marBottom w:val="0"/>
              <w:divBdr>
                <w:top w:val="none" w:sz="0" w:space="0" w:color="auto"/>
                <w:left w:val="none" w:sz="0" w:space="0" w:color="auto"/>
                <w:bottom w:val="none" w:sz="0" w:space="0" w:color="auto"/>
                <w:right w:val="none" w:sz="0" w:space="0" w:color="auto"/>
              </w:divBdr>
            </w:div>
            <w:div w:id="788207522">
              <w:marLeft w:val="0"/>
              <w:marRight w:val="0"/>
              <w:marTop w:val="0"/>
              <w:marBottom w:val="0"/>
              <w:divBdr>
                <w:top w:val="none" w:sz="0" w:space="0" w:color="auto"/>
                <w:left w:val="none" w:sz="0" w:space="0" w:color="auto"/>
                <w:bottom w:val="none" w:sz="0" w:space="0" w:color="auto"/>
                <w:right w:val="none" w:sz="0" w:space="0" w:color="auto"/>
              </w:divBdr>
            </w:div>
            <w:div w:id="838470379">
              <w:marLeft w:val="0"/>
              <w:marRight w:val="0"/>
              <w:marTop w:val="0"/>
              <w:marBottom w:val="0"/>
              <w:divBdr>
                <w:top w:val="none" w:sz="0" w:space="0" w:color="auto"/>
                <w:left w:val="none" w:sz="0" w:space="0" w:color="auto"/>
                <w:bottom w:val="none" w:sz="0" w:space="0" w:color="auto"/>
                <w:right w:val="none" w:sz="0" w:space="0" w:color="auto"/>
              </w:divBdr>
            </w:div>
            <w:div w:id="866065668">
              <w:marLeft w:val="0"/>
              <w:marRight w:val="0"/>
              <w:marTop w:val="0"/>
              <w:marBottom w:val="0"/>
              <w:divBdr>
                <w:top w:val="none" w:sz="0" w:space="0" w:color="auto"/>
                <w:left w:val="none" w:sz="0" w:space="0" w:color="auto"/>
                <w:bottom w:val="none" w:sz="0" w:space="0" w:color="auto"/>
                <w:right w:val="none" w:sz="0" w:space="0" w:color="auto"/>
              </w:divBdr>
            </w:div>
            <w:div w:id="925767089">
              <w:marLeft w:val="0"/>
              <w:marRight w:val="0"/>
              <w:marTop w:val="0"/>
              <w:marBottom w:val="0"/>
              <w:divBdr>
                <w:top w:val="none" w:sz="0" w:space="0" w:color="auto"/>
                <w:left w:val="none" w:sz="0" w:space="0" w:color="auto"/>
                <w:bottom w:val="none" w:sz="0" w:space="0" w:color="auto"/>
                <w:right w:val="none" w:sz="0" w:space="0" w:color="auto"/>
              </w:divBdr>
            </w:div>
            <w:div w:id="983699441">
              <w:marLeft w:val="0"/>
              <w:marRight w:val="0"/>
              <w:marTop w:val="0"/>
              <w:marBottom w:val="0"/>
              <w:divBdr>
                <w:top w:val="none" w:sz="0" w:space="0" w:color="auto"/>
                <w:left w:val="none" w:sz="0" w:space="0" w:color="auto"/>
                <w:bottom w:val="none" w:sz="0" w:space="0" w:color="auto"/>
                <w:right w:val="none" w:sz="0" w:space="0" w:color="auto"/>
              </w:divBdr>
            </w:div>
            <w:div w:id="1131628383">
              <w:marLeft w:val="0"/>
              <w:marRight w:val="0"/>
              <w:marTop w:val="0"/>
              <w:marBottom w:val="0"/>
              <w:divBdr>
                <w:top w:val="none" w:sz="0" w:space="0" w:color="auto"/>
                <w:left w:val="none" w:sz="0" w:space="0" w:color="auto"/>
                <w:bottom w:val="none" w:sz="0" w:space="0" w:color="auto"/>
                <w:right w:val="none" w:sz="0" w:space="0" w:color="auto"/>
              </w:divBdr>
            </w:div>
            <w:div w:id="1144925723">
              <w:marLeft w:val="0"/>
              <w:marRight w:val="0"/>
              <w:marTop w:val="0"/>
              <w:marBottom w:val="0"/>
              <w:divBdr>
                <w:top w:val="none" w:sz="0" w:space="0" w:color="auto"/>
                <w:left w:val="none" w:sz="0" w:space="0" w:color="auto"/>
                <w:bottom w:val="none" w:sz="0" w:space="0" w:color="auto"/>
                <w:right w:val="none" w:sz="0" w:space="0" w:color="auto"/>
              </w:divBdr>
            </w:div>
            <w:div w:id="1359085974">
              <w:marLeft w:val="0"/>
              <w:marRight w:val="0"/>
              <w:marTop w:val="0"/>
              <w:marBottom w:val="0"/>
              <w:divBdr>
                <w:top w:val="none" w:sz="0" w:space="0" w:color="auto"/>
                <w:left w:val="none" w:sz="0" w:space="0" w:color="auto"/>
                <w:bottom w:val="none" w:sz="0" w:space="0" w:color="auto"/>
                <w:right w:val="none" w:sz="0" w:space="0" w:color="auto"/>
              </w:divBdr>
            </w:div>
            <w:div w:id="1387678540">
              <w:marLeft w:val="0"/>
              <w:marRight w:val="0"/>
              <w:marTop w:val="0"/>
              <w:marBottom w:val="0"/>
              <w:divBdr>
                <w:top w:val="none" w:sz="0" w:space="0" w:color="auto"/>
                <w:left w:val="none" w:sz="0" w:space="0" w:color="auto"/>
                <w:bottom w:val="none" w:sz="0" w:space="0" w:color="auto"/>
                <w:right w:val="none" w:sz="0" w:space="0" w:color="auto"/>
              </w:divBdr>
            </w:div>
            <w:div w:id="1765419428">
              <w:marLeft w:val="0"/>
              <w:marRight w:val="0"/>
              <w:marTop w:val="0"/>
              <w:marBottom w:val="0"/>
              <w:divBdr>
                <w:top w:val="none" w:sz="0" w:space="0" w:color="auto"/>
                <w:left w:val="none" w:sz="0" w:space="0" w:color="auto"/>
                <w:bottom w:val="none" w:sz="0" w:space="0" w:color="auto"/>
                <w:right w:val="none" w:sz="0" w:space="0" w:color="auto"/>
              </w:divBdr>
            </w:div>
            <w:div w:id="1776290985">
              <w:marLeft w:val="0"/>
              <w:marRight w:val="0"/>
              <w:marTop w:val="0"/>
              <w:marBottom w:val="0"/>
              <w:divBdr>
                <w:top w:val="none" w:sz="0" w:space="0" w:color="auto"/>
                <w:left w:val="none" w:sz="0" w:space="0" w:color="auto"/>
                <w:bottom w:val="none" w:sz="0" w:space="0" w:color="auto"/>
                <w:right w:val="none" w:sz="0" w:space="0" w:color="auto"/>
              </w:divBdr>
            </w:div>
            <w:div w:id="1990360463">
              <w:marLeft w:val="0"/>
              <w:marRight w:val="0"/>
              <w:marTop w:val="0"/>
              <w:marBottom w:val="0"/>
              <w:divBdr>
                <w:top w:val="none" w:sz="0" w:space="0" w:color="auto"/>
                <w:left w:val="none" w:sz="0" w:space="0" w:color="auto"/>
                <w:bottom w:val="none" w:sz="0" w:space="0" w:color="auto"/>
                <w:right w:val="none" w:sz="0" w:space="0" w:color="auto"/>
              </w:divBdr>
            </w:div>
            <w:div w:id="2056810115">
              <w:marLeft w:val="0"/>
              <w:marRight w:val="0"/>
              <w:marTop w:val="0"/>
              <w:marBottom w:val="0"/>
              <w:divBdr>
                <w:top w:val="none" w:sz="0" w:space="0" w:color="auto"/>
                <w:left w:val="none" w:sz="0" w:space="0" w:color="auto"/>
                <w:bottom w:val="none" w:sz="0" w:space="0" w:color="auto"/>
                <w:right w:val="none" w:sz="0" w:space="0" w:color="auto"/>
              </w:divBdr>
            </w:div>
            <w:div w:id="2132287953">
              <w:marLeft w:val="0"/>
              <w:marRight w:val="0"/>
              <w:marTop w:val="0"/>
              <w:marBottom w:val="0"/>
              <w:divBdr>
                <w:top w:val="none" w:sz="0" w:space="0" w:color="auto"/>
                <w:left w:val="none" w:sz="0" w:space="0" w:color="auto"/>
                <w:bottom w:val="none" w:sz="0" w:space="0" w:color="auto"/>
                <w:right w:val="none" w:sz="0" w:space="0" w:color="auto"/>
              </w:divBdr>
            </w:div>
            <w:div w:id="2132745777">
              <w:marLeft w:val="0"/>
              <w:marRight w:val="0"/>
              <w:marTop w:val="0"/>
              <w:marBottom w:val="0"/>
              <w:divBdr>
                <w:top w:val="none" w:sz="0" w:space="0" w:color="auto"/>
                <w:left w:val="none" w:sz="0" w:space="0" w:color="auto"/>
                <w:bottom w:val="none" w:sz="0" w:space="0" w:color="auto"/>
                <w:right w:val="none" w:sz="0" w:space="0" w:color="auto"/>
              </w:divBdr>
            </w:div>
          </w:divsChild>
        </w:div>
        <w:div w:id="343093212">
          <w:marLeft w:val="0"/>
          <w:marRight w:val="0"/>
          <w:marTop w:val="0"/>
          <w:marBottom w:val="0"/>
          <w:divBdr>
            <w:top w:val="none" w:sz="0" w:space="0" w:color="auto"/>
            <w:left w:val="none" w:sz="0" w:space="0" w:color="auto"/>
            <w:bottom w:val="none" w:sz="0" w:space="0" w:color="auto"/>
            <w:right w:val="none" w:sz="0" w:space="0" w:color="auto"/>
          </w:divBdr>
          <w:divsChild>
            <w:div w:id="32965539">
              <w:marLeft w:val="0"/>
              <w:marRight w:val="0"/>
              <w:marTop w:val="0"/>
              <w:marBottom w:val="0"/>
              <w:divBdr>
                <w:top w:val="none" w:sz="0" w:space="0" w:color="auto"/>
                <w:left w:val="none" w:sz="0" w:space="0" w:color="auto"/>
                <w:bottom w:val="none" w:sz="0" w:space="0" w:color="auto"/>
                <w:right w:val="none" w:sz="0" w:space="0" w:color="auto"/>
              </w:divBdr>
            </w:div>
            <w:div w:id="79523276">
              <w:marLeft w:val="0"/>
              <w:marRight w:val="0"/>
              <w:marTop w:val="0"/>
              <w:marBottom w:val="0"/>
              <w:divBdr>
                <w:top w:val="none" w:sz="0" w:space="0" w:color="auto"/>
                <w:left w:val="none" w:sz="0" w:space="0" w:color="auto"/>
                <w:bottom w:val="none" w:sz="0" w:space="0" w:color="auto"/>
                <w:right w:val="none" w:sz="0" w:space="0" w:color="auto"/>
              </w:divBdr>
            </w:div>
            <w:div w:id="81338456">
              <w:marLeft w:val="0"/>
              <w:marRight w:val="0"/>
              <w:marTop w:val="0"/>
              <w:marBottom w:val="0"/>
              <w:divBdr>
                <w:top w:val="none" w:sz="0" w:space="0" w:color="auto"/>
                <w:left w:val="none" w:sz="0" w:space="0" w:color="auto"/>
                <w:bottom w:val="none" w:sz="0" w:space="0" w:color="auto"/>
                <w:right w:val="none" w:sz="0" w:space="0" w:color="auto"/>
              </w:divBdr>
            </w:div>
            <w:div w:id="83773121">
              <w:marLeft w:val="0"/>
              <w:marRight w:val="0"/>
              <w:marTop w:val="0"/>
              <w:marBottom w:val="0"/>
              <w:divBdr>
                <w:top w:val="none" w:sz="0" w:space="0" w:color="auto"/>
                <w:left w:val="none" w:sz="0" w:space="0" w:color="auto"/>
                <w:bottom w:val="none" w:sz="0" w:space="0" w:color="auto"/>
                <w:right w:val="none" w:sz="0" w:space="0" w:color="auto"/>
              </w:divBdr>
            </w:div>
            <w:div w:id="511845136">
              <w:marLeft w:val="0"/>
              <w:marRight w:val="0"/>
              <w:marTop w:val="0"/>
              <w:marBottom w:val="0"/>
              <w:divBdr>
                <w:top w:val="none" w:sz="0" w:space="0" w:color="auto"/>
                <w:left w:val="none" w:sz="0" w:space="0" w:color="auto"/>
                <w:bottom w:val="none" w:sz="0" w:space="0" w:color="auto"/>
                <w:right w:val="none" w:sz="0" w:space="0" w:color="auto"/>
              </w:divBdr>
            </w:div>
            <w:div w:id="649941549">
              <w:marLeft w:val="0"/>
              <w:marRight w:val="0"/>
              <w:marTop w:val="0"/>
              <w:marBottom w:val="0"/>
              <w:divBdr>
                <w:top w:val="none" w:sz="0" w:space="0" w:color="auto"/>
                <w:left w:val="none" w:sz="0" w:space="0" w:color="auto"/>
                <w:bottom w:val="none" w:sz="0" w:space="0" w:color="auto"/>
                <w:right w:val="none" w:sz="0" w:space="0" w:color="auto"/>
              </w:divBdr>
            </w:div>
            <w:div w:id="703166699">
              <w:marLeft w:val="0"/>
              <w:marRight w:val="0"/>
              <w:marTop w:val="0"/>
              <w:marBottom w:val="0"/>
              <w:divBdr>
                <w:top w:val="none" w:sz="0" w:space="0" w:color="auto"/>
                <w:left w:val="none" w:sz="0" w:space="0" w:color="auto"/>
                <w:bottom w:val="none" w:sz="0" w:space="0" w:color="auto"/>
                <w:right w:val="none" w:sz="0" w:space="0" w:color="auto"/>
              </w:divBdr>
            </w:div>
            <w:div w:id="1004480562">
              <w:marLeft w:val="0"/>
              <w:marRight w:val="0"/>
              <w:marTop w:val="0"/>
              <w:marBottom w:val="0"/>
              <w:divBdr>
                <w:top w:val="none" w:sz="0" w:space="0" w:color="auto"/>
                <w:left w:val="none" w:sz="0" w:space="0" w:color="auto"/>
                <w:bottom w:val="none" w:sz="0" w:space="0" w:color="auto"/>
                <w:right w:val="none" w:sz="0" w:space="0" w:color="auto"/>
              </w:divBdr>
            </w:div>
            <w:div w:id="1057707256">
              <w:marLeft w:val="0"/>
              <w:marRight w:val="0"/>
              <w:marTop w:val="0"/>
              <w:marBottom w:val="0"/>
              <w:divBdr>
                <w:top w:val="none" w:sz="0" w:space="0" w:color="auto"/>
                <w:left w:val="none" w:sz="0" w:space="0" w:color="auto"/>
                <w:bottom w:val="none" w:sz="0" w:space="0" w:color="auto"/>
                <w:right w:val="none" w:sz="0" w:space="0" w:color="auto"/>
              </w:divBdr>
            </w:div>
            <w:div w:id="1180239622">
              <w:marLeft w:val="0"/>
              <w:marRight w:val="0"/>
              <w:marTop w:val="0"/>
              <w:marBottom w:val="0"/>
              <w:divBdr>
                <w:top w:val="none" w:sz="0" w:space="0" w:color="auto"/>
                <w:left w:val="none" w:sz="0" w:space="0" w:color="auto"/>
                <w:bottom w:val="none" w:sz="0" w:space="0" w:color="auto"/>
                <w:right w:val="none" w:sz="0" w:space="0" w:color="auto"/>
              </w:divBdr>
            </w:div>
            <w:div w:id="1243838222">
              <w:marLeft w:val="0"/>
              <w:marRight w:val="0"/>
              <w:marTop w:val="0"/>
              <w:marBottom w:val="0"/>
              <w:divBdr>
                <w:top w:val="none" w:sz="0" w:space="0" w:color="auto"/>
                <w:left w:val="none" w:sz="0" w:space="0" w:color="auto"/>
                <w:bottom w:val="none" w:sz="0" w:space="0" w:color="auto"/>
                <w:right w:val="none" w:sz="0" w:space="0" w:color="auto"/>
              </w:divBdr>
            </w:div>
            <w:div w:id="1265579704">
              <w:marLeft w:val="0"/>
              <w:marRight w:val="0"/>
              <w:marTop w:val="0"/>
              <w:marBottom w:val="0"/>
              <w:divBdr>
                <w:top w:val="none" w:sz="0" w:space="0" w:color="auto"/>
                <w:left w:val="none" w:sz="0" w:space="0" w:color="auto"/>
                <w:bottom w:val="none" w:sz="0" w:space="0" w:color="auto"/>
                <w:right w:val="none" w:sz="0" w:space="0" w:color="auto"/>
              </w:divBdr>
            </w:div>
            <w:div w:id="1309700737">
              <w:marLeft w:val="0"/>
              <w:marRight w:val="0"/>
              <w:marTop w:val="0"/>
              <w:marBottom w:val="0"/>
              <w:divBdr>
                <w:top w:val="none" w:sz="0" w:space="0" w:color="auto"/>
                <w:left w:val="none" w:sz="0" w:space="0" w:color="auto"/>
                <w:bottom w:val="none" w:sz="0" w:space="0" w:color="auto"/>
                <w:right w:val="none" w:sz="0" w:space="0" w:color="auto"/>
              </w:divBdr>
            </w:div>
            <w:div w:id="1425761870">
              <w:marLeft w:val="0"/>
              <w:marRight w:val="0"/>
              <w:marTop w:val="0"/>
              <w:marBottom w:val="0"/>
              <w:divBdr>
                <w:top w:val="none" w:sz="0" w:space="0" w:color="auto"/>
                <w:left w:val="none" w:sz="0" w:space="0" w:color="auto"/>
                <w:bottom w:val="none" w:sz="0" w:space="0" w:color="auto"/>
                <w:right w:val="none" w:sz="0" w:space="0" w:color="auto"/>
              </w:divBdr>
            </w:div>
            <w:div w:id="1527138424">
              <w:marLeft w:val="0"/>
              <w:marRight w:val="0"/>
              <w:marTop w:val="0"/>
              <w:marBottom w:val="0"/>
              <w:divBdr>
                <w:top w:val="none" w:sz="0" w:space="0" w:color="auto"/>
                <w:left w:val="none" w:sz="0" w:space="0" w:color="auto"/>
                <w:bottom w:val="none" w:sz="0" w:space="0" w:color="auto"/>
                <w:right w:val="none" w:sz="0" w:space="0" w:color="auto"/>
              </w:divBdr>
            </w:div>
            <w:div w:id="1688171112">
              <w:marLeft w:val="0"/>
              <w:marRight w:val="0"/>
              <w:marTop w:val="0"/>
              <w:marBottom w:val="0"/>
              <w:divBdr>
                <w:top w:val="none" w:sz="0" w:space="0" w:color="auto"/>
                <w:left w:val="none" w:sz="0" w:space="0" w:color="auto"/>
                <w:bottom w:val="none" w:sz="0" w:space="0" w:color="auto"/>
                <w:right w:val="none" w:sz="0" w:space="0" w:color="auto"/>
              </w:divBdr>
            </w:div>
            <w:div w:id="1758095507">
              <w:marLeft w:val="0"/>
              <w:marRight w:val="0"/>
              <w:marTop w:val="0"/>
              <w:marBottom w:val="0"/>
              <w:divBdr>
                <w:top w:val="none" w:sz="0" w:space="0" w:color="auto"/>
                <w:left w:val="none" w:sz="0" w:space="0" w:color="auto"/>
                <w:bottom w:val="none" w:sz="0" w:space="0" w:color="auto"/>
                <w:right w:val="none" w:sz="0" w:space="0" w:color="auto"/>
              </w:divBdr>
            </w:div>
            <w:div w:id="1907059420">
              <w:marLeft w:val="0"/>
              <w:marRight w:val="0"/>
              <w:marTop w:val="0"/>
              <w:marBottom w:val="0"/>
              <w:divBdr>
                <w:top w:val="none" w:sz="0" w:space="0" w:color="auto"/>
                <w:left w:val="none" w:sz="0" w:space="0" w:color="auto"/>
                <w:bottom w:val="none" w:sz="0" w:space="0" w:color="auto"/>
                <w:right w:val="none" w:sz="0" w:space="0" w:color="auto"/>
              </w:divBdr>
            </w:div>
            <w:div w:id="1947619337">
              <w:marLeft w:val="0"/>
              <w:marRight w:val="0"/>
              <w:marTop w:val="0"/>
              <w:marBottom w:val="0"/>
              <w:divBdr>
                <w:top w:val="none" w:sz="0" w:space="0" w:color="auto"/>
                <w:left w:val="none" w:sz="0" w:space="0" w:color="auto"/>
                <w:bottom w:val="none" w:sz="0" w:space="0" w:color="auto"/>
                <w:right w:val="none" w:sz="0" w:space="0" w:color="auto"/>
              </w:divBdr>
            </w:div>
            <w:div w:id="2058120573">
              <w:marLeft w:val="0"/>
              <w:marRight w:val="0"/>
              <w:marTop w:val="0"/>
              <w:marBottom w:val="0"/>
              <w:divBdr>
                <w:top w:val="none" w:sz="0" w:space="0" w:color="auto"/>
                <w:left w:val="none" w:sz="0" w:space="0" w:color="auto"/>
                <w:bottom w:val="none" w:sz="0" w:space="0" w:color="auto"/>
                <w:right w:val="none" w:sz="0" w:space="0" w:color="auto"/>
              </w:divBdr>
            </w:div>
          </w:divsChild>
        </w:div>
        <w:div w:id="765930239">
          <w:marLeft w:val="0"/>
          <w:marRight w:val="0"/>
          <w:marTop w:val="0"/>
          <w:marBottom w:val="0"/>
          <w:divBdr>
            <w:top w:val="none" w:sz="0" w:space="0" w:color="auto"/>
            <w:left w:val="none" w:sz="0" w:space="0" w:color="auto"/>
            <w:bottom w:val="none" w:sz="0" w:space="0" w:color="auto"/>
            <w:right w:val="none" w:sz="0" w:space="0" w:color="auto"/>
          </w:divBdr>
        </w:div>
        <w:div w:id="1275594273">
          <w:marLeft w:val="0"/>
          <w:marRight w:val="0"/>
          <w:marTop w:val="0"/>
          <w:marBottom w:val="0"/>
          <w:divBdr>
            <w:top w:val="none" w:sz="0" w:space="0" w:color="auto"/>
            <w:left w:val="none" w:sz="0" w:space="0" w:color="auto"/>
            <w:bottom w:val="none" w:sz="0" w:space="0" w:color="auto"/>
            <w:right w:val="none" w:sz="0" w:space="0" w:color="auto"/>
          </w:divBdr>
          <w:divsChild>
            <w:div w:id="127473396">
              <w:marLeft w:val="0"/>
              <w:marRight w:val="0"/>
              <w:marTop w:val="0"/>
              <w:marBottom w:val="0"/>
              <w:divBdr>
                <w:top w:val="none" w:sz="0" w:space="0" w:color="auto"/>
                <w:left w:val="none" w:sz="0" w:space="0" w:color="auto"/>
                <w:bottom w:val="none" w:sz="0" w:space="0" w:color="auto"/>
                <w:right w:val="none" w:sz="0" w:space="0" w:color="auto"/>
              </w:divBdr>
            </w:div>
            <w:div w:id="133834652">
              <w:marLeft w:val="0"/>
              <w:marRight w:val="0"/>
              <w:marTop w:val="0"/>
              <w:marBottom w:val="0"/>
              <w:divBdr>
                <w:top w:val="none" w:sz="0" w:space="0" w:color="auto"/>
                <w:left w:val="none" w:sz="0" w:space="0" w:color="auto"/>
                <w:bottom w:val="none" w:sz="0" w:space="0" w:color="auto"/>
                <w:right w:val="none" w:sz="0" w:space="0" w:color="auto"/>
              </w:divBdr>
            </w:div>
            <w:div w:id="147090663">
              <w:marLeft w:val="0"/>
              <w:marRight w:val="0"/>
              <w:marTop w:val="0"/>
              <w:marBottom w:val="0"/>
              <w:divBdr>
                <w:top w:val="none" w:sz="0" w:space="0" w:color="auto"/>
                <w:left w:val="none" w:sz="0" w:space="0" w:color="auto"/>
                <w:bottom w:val="none" w:sz="0" w:space="0" w:color="auto"/>
                <w:right w:val="none" w:sz="0" w:space="0" w:color="auto"/>
              </w:divBdr>
            </w:div>
            <w:div w:id="177162027">
              <w:marLeft w:val="0"/>
              <w:marRight w:val="0"/>
              <w:marTop w:val="0"/>
              <w:marBottom w:val="0"/>
              <w:divBdr>
                <w:top w:val="none" w:sz="0" w:space="0" w:color="auto"/>
                <w:left w:val="none" w:sz="0" w:space="0" w:color="auto"/>
                <w:bottom w:val="none" w:sz="0" w:space="0" w:color="auto"/>
                <w:right w:val="none" w:sz="0" w:space="0" w:color="auto"/>
              </w:divBdr>
            </w:div>
            <w:div w:id="233979280">
              <w:marLeft w:val="0"/>
              <w:marRight w:val="0"/>
              <w:marTop w:val="0"/>
              <w:marBottom w:val="0"/>
              <w:divBdr>
                <w:top w:val="none" w:sz="0" w:space="0" w:color="auto"/>
                <w:left w:val="none" w:sz="0" w:space="0" w:color="auto"/>
                <w:bottom w:val="none" w:sz="0" w:space="0" w:color="auto"/>
                <w:right w:val="none" w:sz="0" w:space="0" w:color="auto"/>
              </w:divBdr>
            </w:div>
            <w:div w:id="501285888">
              <w:marLeft w:val="0"/>
              <w:marRight w:val="0"/>
              <w:marTop w:val="0"/>
              <w:marBottom w:val="0"/>
              <w:divBdr>
                <w:top w:val="none" w:sz="0" w:space="0" w:color="auto"/>
                <w:left w:val="none" w:sz="0" w:space="0" w:color="auto"/>
                <w:bottom w:val="none" w:sz="0" w:space="0" w:color="auto"/>
                <w:right w:val="none" w:sz="0" w:space="0" w:color="auto"/>
              </w:divBdr>
            </w:div>
            <w:div w:id="757096213">
              <w:marLeft w:val="0"/>
              <w:marRight w:val="0"/>
              <w:marTop w:val="0"/>
              <w:marBottom w:val="0"/>
              <w:divBdr>
                <w:top w:val="none" w:sz="0" w:space="0" w:color="auto"/>
                <w:left w:val="none" w:sz="0" w:space="0" w:color="auto"/>
                <w:bottom w:val="none" w:sz="0" w:space="0" w:color="auto"/>
                <w:right w:val="none" w:sz="0" w:space="0" w:color="auto"/>
              </w:divBdr>
            </w:div>
            <w:div w:id="861939606">
              <w:marLeft w:val="0"/>
              <w:marRight w:val="0"/>
              <w:marTop w:val="0"/>
              <w:marBottom w:val="0"/>
              <w:divBdr>
                <w:top w:val="none" w:sz="0" w:space="0" w:color="auto"/>
                <w:left w:val="none" w:sz="0" w:space="0" w:color="auto"/>
                <w:bottom w:val="none" w:sz="0" w:space="0" w:color="auto"/>
                <w:right w:val="none" w:sz="0" w:space="0" w:color="auto"/>
              </w:divBdr>
            </w:div>
            <w:div w:id="922185615">
              <w:marLeft w:val="0"/>
              <w:marRight w:val="0"/>
              <w:marTop w:val="0"/>
              <w:marBottom w:val="0"/>
              <w:divBdr>
                <w:top w:val="none" w:sz="0" w:space="0" w:color="auto"/>
                <w:left w:val="none" w:sz="0" w:space="0" w:color="auto"/>
                <w:bottom w:val="none" w:sz="0" w:space="0" w:color="auto"/>
                <w:right w:val="none" w:sz="0" w:space="0" w:color="auto"/>
              </w:divBdr>
            </w:div>
            <w:div w:id="1424914704">
              <w:marLeft w:val="0"/>
              <w:marRight w:val="0"/>
              <w:marTop w:val="0"/>
              <w:marBottom w:val="0"/>
              <w:divBdr>
                <w:top w:val="none" w:sz="0" w:space="0" w:color="auto"/>
                <w:left w:val="none" w:sz="0" w:space="0" w:color="auto"/>
                <w:bottom w:val="none" w:sz="0" w:space="0" w:color="auto"/>
                <w:right w:val="none" w:sz="0" w:space="0" w:color="auto"/>
              </w:divBdr>
            </w:div>
            <w:div w:id="1442453786">
              <w:marLeft w:val="0"/>
              <w:marRight w:val="0"/>
              <w:marTop w:val="0"/>
              <w:marBottom w:val="0"/>
              <w:divBdr>
                <w:top w:val="none" w:sz="0" w:space="0" w:color="auto"/>
                <w:left w:val="none" w:sz="0" w:space="0" w:color="auto"/>
                <w:bottom w:val="none" w:sz="0" w:space="0" w:color="auto"/>
                <w:right w:val="none" w:sz="0" w:space="0" w:color="auto"/>
              </w:divBdr>
            </w:div>
            <w:div w:id="1450273348">
              <w:marLeft w:val="0"/>
              <w:marRight w:val="0"/>
              <w:marTop w:val="0"/>
              <w:marBottom w:val="0"/>
              <w:divBdr>
                <w:top w:val="none" w:sz="0" w:space="0" w:color="auto"/>
                <w:left w:val="none" w:sz="0" w:space="0" w:color="auto"/>
                <w:bottom w:val="none" w:sz="0" w:space="0" w:color="auto"/>
                <w:right w:val="none" w:sz="0" w:space="0" w:color="auto"/>
              </w:divBdr>
            </w:div>
            <w:div w:id="1604534641">
              <w:marLeft w:val="0"/>
              <w:marRight w:val="0"/>
              <w:marTop w:val="0"/>
              <w:marBottom w:val="0"/>
              <w:divBdr>
                <w:top w:val="none" w:sz="0" w:space="0" w:color="auto"/>
                <w:left w:val="none" w:sz="0" w:space="0" w:color="auto"/>
                <w:bottom w:val="none" w:sz="0" w:space="0" w:color="auto"/>
                <w:right w:val="none" w:sz="0" w:space="0" w:color="auto"/>
              </w:divBdr>
            </w:div>
            <w:div w:id="1789085961">
              <w:marLeft w:val="0"/>
              <w:marRight w:val="0"/>
              <w:marTop w:val="0"/>
              <w:marBottom w:val="0"/>
              <w:divBdr>
                <w:top w:val="none" w:sz="0" w:space="0" w:color="auto"/>
                <w:left w:val="none" w:sz="0" w:space="0" w:color="auto"/>
                <w:bottom w:val="none" w:sz="0" w:space="0" w:color="auto"/>
                <w:right w:val="none" w:sz="0" w:space="0" w:color="auto"/>
              </w:divBdr>
            </w:div>
            <w:div w:id="1910917214">
              <w:marLeft w:val="0"/>
              <w:marRight w:val="0"/>
              <w:marTop w:val="0"/>
              <w:marBottom w:val="0"/>
              <w:divBdr>
                <w:top w:val="none" w:sz="0" w:space="0" w:color="auto"/>
                <w:left w:val="none" w:sz="0" w:space="0" w:color="auto"/>
                <w:bottom w:val="none" w:sz="0" w:space="0" w:color="auto"/>
                <w:right w:val="none" w:sz="0" w:space="0" w:color="auto"/>
              </w:divBdr>
            </w:div>
            <w:div w:id="1927031891">
              <w:marLeft w:val="0"/>
              <w:marRight w:val="0"/>
              <w:marTop w:val="0"/>
              <w:marBottom w:val="0"/>
              <w:divBdr>
                <w:top w:val="none" w:sz="0" w:space="0" w:color="auto"/>
                <w:left w:val="none" w:sz="0" w:space="0" w:color="auto"/>
                <w:bottom w:val="none" w:sz="0" w:space="0" w:color="auto"/>
                <w:right w:val="none" w:sz="0" w:space="0" w:color="auto"/>
              </w:divBdr>
            </w:div>
            <w:div w:id="1928343159">
              <w:marLeft w:val="0"/>
              <w:marRight w:val="0"/>
              <w:marTop w:val="0"/>
              <w:marBottom w:val="0"/>
              <w:divBdr>
                <w:top w:val="none" w:sz="0" w:space="0" w:color="auto"/>
                <w:left w:val="none" w:sz="0" w:space="0" w:color="auto"/>
                <w:bottom w:val="none" w:sz="0" w:space="0" w:color="auto"/>
                <w:right w:val="none" w:sz="0" w:space="0" w:color="auto"/>
              </w:divBdr>
            </w:div>
            <w:div w:id="1948000772">
              <w:marLeft w:val="0"/>
              <w:marRight w:val="0"/>
              <w:marTop w:val="0"/>
              <w:marBottom w:val="0"/>
              <w:divBdr>
                <w:top w:val="none" w:sz="0" w:space="0" w:color="auto"/>
                <w:left w:val="none" w:sz="0" w:space="0" w:color="auto"/>
                <w:bottom w:val="none" w:sz="0" w:space="0" w:color="auto"/>
                <w:right w:val="none" w:sz="0" w:space="0" w:color="auto"/>
              </w:divBdr>
            </w:div>
            <w:div w:id="2034531838">
              <w:marLeft w:val="0"/>
              <w:marRight w:val="0"/>
              <w:marTop w:val="0"/>
              <w:marBottom w:val="0"/>
              <w:divBdr>
                <w:top w:val="none" w:sz="0" w:space="0" w:color="auto"/>
                <w:left w:val="none" w:sz="0" w:space="0" w:color="auto"/>
                <w:bottom w:val="none" w:sz="0" w:space="0" w:color="auto"/>
                <w:right w:val="none" w:sz="0" w:space="0" w:color="auto"/>
              </w:divBdr>
            </w:div>
            <w:div w:id="2107269270">
              <w:marLeft w:val="0"/>
              <w:marRight w:val="0"/>
              <w:marTop w:val="0"/>
              <w:marBottom w:val="0"/>
              <w:divBdr>
                <w:top w:val="none" w:sz="0" w:space="0" w:color="auto"/>
                <w:left w:val="none" w:sz="0" w:space="0" w:color="auto"/>
                <w:bottom w:val="none" w:sz="0" w:space="0" w:color="auto"/>
                <w:right w:val="none" w:sz="0" w:space="0" w:color="auto"/>
              </w:divBdr>
            </w:div>
          </w:divsChild>
        </w:div>
        <w:div w:id="1422485282">
          <w:marLeft w:val="0"/>
          <w:marRight w:val="0"/>
          <w:marTop w:val="0"/>
          <w:marBottom w:val="0"/>
          <w:divBdr>
            <w:top w:val="none" w:sz="0" w:space="0" w:color="auto"/>
            <w:left w:val="none" w:sz="0" w:space="0" w:color="auto"/>
            <w:bottom w:val="none" w:sz="0" w:space="0" w:color="auto"/>
            <w:right w:val="none" w:sz="0" w:space="0" w:color="auto"/>
          </w:divBdr>
          <w:divsChild>
            <w:div w:id="56900449">
              <w:marLeft w:val="0"/>
              <w:marRight w:val="0"/>
              <w:marTop w:val="0"/>
              <w:marBottom w:val="0"/>
              <w:divBdr>
                <w:top w:val="none" w:sz="0" w:space="0" w:color="auto"/>
                <w:left w:val="none" w:sz="0" w:space="0" w:color="auto"/>
                <w:bottom w:val="none" w:sz="0" w:space="0" w:color="auto"/>
                <w:right w:val="none" w:sz="0" w:space="0" w:color="auto"/>
              </w:divBdr>
            </w:div>
            <w:div w:id="295646895">
              <w:marLeft w:val="0"/>
              <w:marRight w:val="0"/>
              <w:marTop w:val="0"/>
              <w:marBottom w:val="0"/>
              <w:divBdr>
                <w:top w:val="none" w:sz="0" w:space="0" w:color="auto"/>
                <w:left w:val="none" w:sz="0" w:space="0" w:color="auto"/>
                <w:bottom w:val="none" w:sz="0" w:space="0" w:color="auto"/>
                <w:right w:val="none" w:sz="0" w:space="0" w:color="auto"/>
              </w:divBdr>
            </w:div>
            <w:div w:id="302850293">
              <w:marLeft w:val="0"/>
              <w:marRight w:val="0"/>
              <w:marTop w:val="0"/>
              <w:marBottom w:val="0"/>
              <w:divBdr>
                <w:top w:val="none" w:sz="0" w:space="0" w:color="auto"/>
                <w:left w:val="none" w:sz="0" w:space="0" w:color="auto"/>
                <w:bottom w:val="none" w:sz="0" w:space="0" w:color="auto"/>
                <w:right w:val="none" w:sz="0" w:space="0" w:color="auto"/>
              </w:divBdr>
            </w:div>
            <w:div w:id="332994282">
              <w:marLeft w:val="0"/>
              <w:marRight w:val="0"/>
              <w:marTop w:val="0"/>
              <w:marBottom w:val="0"/>
              <w:divBdr>
                <w:top w:val="none" w:sz="0" w:space="0" w:color="auto"/>
                <w:left w:val="none" w:sz="0" w:space="0" w:color="auto"/>
                <w:bottom w:val="none" w:sz="0" w:space="0" w:color="auto"/>
                <w:right w:val="none" w:sz="0" w:space="0" w:color="auto"/>
              </w:divBdr>
            </w:div>
            <w:div w:id="364792766">
              <w:marLeft w:val="0"/>
              <w:marRight w:val="0"/>
              <w:marTop w:val="0"/>
              <w:marBottom w:val="0"/>
              <w:divBdr>
                <w:top w:val="none" w:sz="0" w:space="0" w:color="auto"/>
                <w:left w:val="none" w:sz="0" w:space="0" w:color="auto"/>
                <w:bottom w:val="none" w:sz="0" w:space="0" w:color="auto"/>
                <w:right w:val="none" w:sz="0" w:space="0" w:color="auto"/>
              </w:divBdr>
            </w:div>
            <w:div w:id="487089960">
              <w:marLeft w:val="0"/>
              <w:marRight w:val="0"/>
              <w:marTop w:val="0"/>
              <w:marBottom w:val="0"/>
              <w:divBdr>
                <w:top w:val="none" w:sz="0" w:space="0" w:color="auto"/>
                <w:left w:val="none" w:sz="0" w:space="0" w:color="auto"/>
                <w:bottom w:val="none" w:sz="0" w:space="0" w:color="auto"/>
                <w:right w:val="none" w:sz="0" w:space="0" w:color="auto"/>
              </w:divBdr>
            </w:div>
            <w:div w:id="1125539295">
              <w:marLeft w:val="0"/>
              <w:marRight w:val="0"/>
              <w:marTop w:val="0"/>
              <w:marBottom w:val="0"/>
              <w:divBdr>
                <w:top w:val="none" w:sz="0" w:space="0" w:color="auto"/>
                <w:left w:val="none" w:sz="0" w:space="0" w:color="auto"/>
                <w:bottom w:val="none" w:sz="0" w:space="0" w:color="auto"/>
                <w:right w:val="none" w:sz="0" w:space="0" w:color="auto"/>
              </w:divBdr>
            </w:div>
            <w:div w:id="1127092009">
              <w:marLeft w:val="0"/>
              <w:marRight w:val="0"/>
              <w:marTop w:val="0"/>
              <w:marBottom w:val="0"/>
              <w:divBdr>
                <w:top w:val="none" w:sz="0" w:space="0" w:color="auto"/>
                <w:left w:val="none" w:sz="0" w:space="0" w:color="auto"/>
                <w:bottom w:val="none" w:sz="0" w:space="0" w:color="auto"/>
                <w:right w:val="none" w:sz="0" w:space="0" w:color="auto"/>
              </w:divBdr>
            </w:div>
            <w:div w:id="1161774235">
              <w:marLeft w:val="0"/>
              <w:marRight w:val="0"/>
              <w:marTop w:val="0"/>
              <w:marBottom w:val="0"/>
              <w:divBdr>
                <w:top w:val="none" w:sz="0" w:space="0" w:color="auto"/>
                <w:left w:val="none" w:sz="0" w:space="0" w:color="auto"/>
                <w:bottom w:val="none" w:sz="0" w:space="0" w:color="auto"/>
                <w:right w:val="none" w:sz="0" w:space="0" w:color="auto"/>
              </w:divBdr>
            </w:div>
            <w:div w:id="1192231284">
              <w:marLeft w:val="0"/>
              <w:marRight w:val="0"/>
              <w:marTop w:val="0"/>
              <w:marBottom w:val="0"/>
              <w:divBdr>
                <w:top w:val="none" w:sz="0" w:space="0" w:color="auto"/>
                <w:left w:val="none" w:sz="0" w:space="0" w:color="auto"/>
                <w:bottom w:val="none" w:sz="0" w:space="0" w:color="auto"/>
                <w:right w:val="none" w:sz="0" w:space="0" w:color="auto"/>
              </w:divBdr>
            </w:div>
            <w:div w:id="1204710471">
              <w:marLeft w:val="0"/>
              <w:marRight w:val="0"/>
              <w:marTop w:val="0"/>
              <w:marBottom w:val="0"/>
              <w:divBdr>
                <w:top w:val="none" w:sz="0" w:space="0" w:color="auto"/>
                <w:left w:val="none" w:sz="0" w:space="0" w:color="auto"/>
                <w:bottom w:val="none" w:sz="0" w:space="0" w:color="auto"/>
                <w:right w:val="none" w:sz="0" w:space="0" w:color="auto"/>
              </w:divBdr>
            </w:div>
            <w:div w:id="1216236130">
              <w:marLeft w:val="0"/>
              <w:marRight w:val="0"/>
              <w:marTop w:val="0"/>
              <w:marBottom w:val="0"/>
              <w:divBdr>
                <w:top w:val="none" w:sz="0" w:space="0" w:color="auto"/>
                <w:left w:val="none" w:sz="0" w:space="0" w:color="auto"/>
                <w:bottom w:val="none" w:sz="0" w:space="0" w:color="auto"/>
                <w:right w:val="none" w:sz="0" w:space="0" w:color="auto"/>
              </w:divBdr>
            </w:div>
            <w:div w:id="1562397887">
              <w:marLeft w:val="0"/>
              <w:marRight w:val="0"/>
              <w:marTop w:val="0"/>
              <w:marBottom w:val="0"/>
              <w:divBdr>
                <w:top w:val="none" w:sz="0" w:space="0" w:color="auto"/>
                <w:left w:val="none" w:sz="0" w:space="0" w:color="auto"/>
                <w:bottom w:val="none" w:sz="0" w:space="0" w:color="auto"/>
                <w:right w:val="none" w:sz="0" w:space="0" w:color="auto"/>
              </w:divBdr>
            </w:div>
            <w:div w:id="1621108220">
              <w:marLeft w:val="0"/>
              <w:marRight w:val="0"/>
              <w:marTop w:val="0"/>
              <w:marBottom w:val="0"/>
              <w:divBdr>
                <w:top w:val="none" w:sz="0" w:space="0" w:color="auto"/>
                <w:left w:val="none" w:sz="0" w:space="0" w:color="auto"/>
                <w:bottom w:val="none" w:sz="0" w:space="0" w:color="auto"/>
                <w:right w:val="none" w:sz="0" w:space="0" w:color="auto"/>
              </w:divBdr>
            </w:div>
            <w:div w:id="1623801133">
              <w:marLeft w:val="0"/>
              <w:marRight w:val="0"/>
              <w:marTop w:val="0"/>
              <w:marBottom w:val="0"/>
              <w:divBdr>
                <w:top w:val="none" w:sz="0" w:space="0" w:color="auto"/>
                <w:left w:val="none" w:sz="0" w:space="0" w:color="auto"/>
                <w:bottom w:val="none" w:sz="0" w:space="0" w:color="auto"/>
                <w:right w:val="none" w:sz="0" w:space="0" w:color="auto"/>
              </w:divBdr>
            </w:div>
            <w:div w:id="1700349783">
              <w:marLeft w:val="0"/>
              <w:marRight w:val="0"/>
              <w:marTop w:val="0"/>
              <w:marBottom w:val="0"/>
              <w:divBdr>
                <w:top w:val="none" w:sz="0" w:space="0" w:color="auto"/>
                <w:left w:val="none" w:sz="0" w:space="0" w:color="auto"/>
                <w:bottom w:val="none" w:sz="0" w:space="0" w:color="auto"/>
                <w:right w:val="none" w:sz="0" w:space="0" w:color="auto"/>
              </w:divBdr>
            </w:div>
            <w:div w:id="1723820474">
              <w:marLeft w:val="0"/>
              <w:marRight w:val="0"/>
              <w:marTop w:val="0"/>
              <w:marBottom w:val="0"/>
              <w:divBdr>
                <w:top w:val="none" w:sz="0" w:space="0" w:color="auto"/>
                <w:left w:val="none" w:sz="0" w:space="0" w:color="auto"/>
                <w:bottom w:val="none" w:sz="0" w:space="0" w:color="auto"/>
                <w:right w:val="none" w:sz="0" w:space="0" w:color="auto"/>
              </w:divBdr>
            </w:div>
            <w:div w:id="1903902699">
              <w:marLeft w:val="0"/>
              <w:marRight w:val="0"/>
              <w:marTop w:val="0"/>
              <w:marBottom w:val="0"/>
              <w:divBdr>
                <w:top w:val="none" w:sz="0" w:space="0" w:color="auto"/>
                <w:left w:val="none" w:sz="0" w:space="0" w:color="auto"/>
                <w:bottom w:val="none" w:sz="0" w:space="0" w:color="auto"/>
                <w:right w:val="none" w:sz="0" w:space="0" w:color="auto"/>
              </w:divBdr>
            </w:div>
            <w:div w:id="1944336350">
              <w:marLeft w:val="0"/>
              <w:marRight w:val="0"/>
              <w:marTop w:val="0"/>
              <w:marBottom w:val="0"/>
              <w:divBdr>
                <w:top w:val="none" w:sz="0" w:space="0" w:color="auto"/>
                <w:left w:val="none" w:sz="0" w:space="0" w:color="auto"/>
                <w:bottom w:val="none" w:sz="0" w:space="0" w:color="auto"/>
                <w:right w:val="none" w:sz="0" w:space="0" w:color="auto"/>
              </w:divBdr>
            </w:div>
            <w:div w:id="2028481815">
              <w:marLeft w:val="0"/>
              <w:marRight w:val="0"/>
              <w:marTop w:val="0"/>
              <w:marBottom w:val="0"/>
              <w:divBdr>
                <w:top w:val="none" w:sz="0" w:space="0" w:color="auto"/>
                <w:left w:val="none" w:sz="0" w:space="0" w:color="auto"/>
                <w:bottom w:val="none" w:sz="0" w:space="0" w:color="auto"/>
                <w:right w:val="none" w:sz="0" w:space="0" w:color="auto"/>
              </w:divBdr>
            </w:div>
          </w:divsChild>
        </w:div>
        <w:div w:id="1531603944">
          <w:marLeft w:val="0"/>
          <w:marRight w:val="0"/>
          <w:marTop w:val="0"/>
          <w:marBottom w:val="0"/>
          <w:divBdr>
            <w:top w:val="none" w:sz="0" w:space="0" w:color="auto"/>
            <w:left w:val="none" w:sz="0" w:space="0" w:color="auto"/>
            <w:bottom w:val="none" w:sz="0" w:space="0" w:color="auto"/>
            <w:right w:val="none" w:sz="0" w:space="0" w:color="auto"/>
          </w:divBdr>
          <w:divsChild>
            <w:div w:id="106432098">
              <w:marLeft w:val="0"/>
              <w:marRight w:val="0"/>
              <w:marTop w:val="0"/>
              <w:marBottom w:val="0"/>
              <w:divBdr>
                <w:top w:val="none" w:sz="0" w:space="0" w:color="auto"/>
                <w:left w:val="none" w:sz="0" w:space="0" w:color="auto"/>
                <w:bottom w:val="none" w:sz="0" w:space="0" w:color="auto"/>
                <w:right w:val="none" w:sz="0" w:space="0" w:color="auto"/>
              </w:divBdr>
            </w:div>
            <w:div w:id="247733310">
              <w:marLeft w:val="0"/>
              <w:marRight w:val="0"/>
              <w:marTop w:val="0"/>
              <w:marBottom w:val="0"/>
              <w:divBdr>
                <w:top w:val="none" w:sz="0" w:space="0" w:color="auto"/>
                <w:left w:val="none" w:sz="0" w:space="0" w:color="auto"/>
                <w:bottom w:val="none" w:sz="0" w:space="0" w:color="auto"/>
                <w:right w:val="none" w:sz="0" w:space="0" w:color="auto"/>
              </w:divBdr>
            </w:div>
            <w:div w:id="335696172">
              <w:marLeft w:val="0"/>
              <w:marRight w:val="0"/>
              <w:marTop w:val="0"/>
              <w:marBottom w:val="0"/>
              <w:divBdr>
                <w:top w:val="none" w:sz="0" w:space="0" w:color="auto"/>
                <w:left w:val="none" w:sz="0" w:space="0" w:color="auto"/>
                <w:bottom w:val="none" w:sz="0" w:space="0" w:color="auto"/>
                <w:right w:val="none" w:sz="0" w:space="0" w:color="auto"/>
              </w:divBdr>
            </w:div>
            <w:div w:id="469447415">
              <w:marLeft w:val="0"/>
              <w:marRight w:val="0"/>
              <w:marTop w:val="0"/>
              <w:marBottom w:val="0"/>
              <w:divBdr>
                <w:top w:val="none" w:sz="0" w:space="0" w:color="auto"/>
                <w:left w:val="none" w:sz="0" w:space="0" w:color="auto"/>
                <w:bottom w:val="none" w:sz="0" w:space="0" w:color="auto"/>
                <w:right w:val="none" w:sz="0" w:space="0" w:color="auto"/>
              </w:divBdr>
            </w:div>
            <w:div w:id="617031275">
              <w:marLeft w:val="0"/>
              <w:marRight w:val="0"/>
              <w:marTop w:val="0"/>
              <w:marBottom w:val="0"/>
              <w:divBdr>
                <w:top w:val="none" w:sz="0" w:space="0" w:color="auto"/>
                <w:left w:val="none" w:sz="0" w:space="0" w:color="auto"/>
                <w:bottom w:val="none" w:sz="0" w:space="0" w:color="auto"/>
                <w:right w:val="none" w:sz="0" w:space="0" w:color="auto"/>
              </w:divBdr>
            </w:div>
            <w:div w:id="674770492">
              <w:marLeft w:val="0"/>
              <w:marRight w:val="0"/>
              <w:marTop w:val="0"/>
              <w:marBottom w:val="0"/>
              <w:divBdr>
                <w:top w:val="none" w:sz="0" w:space="0" w:color="auto"/>
                <w:left w:val="none" w:sz="0" w:space="0" w:color="auto"/>
                <w:bottom w:val="none" w:sz="0" w:space="0" w:color="auto"/>
                <w:right w:val="none" w:sz="0" w:space="0" w:color="auto"/>
              </w:divBdr>
            </w:div>
            <w:div w:id="785806728">
              <w:marLeft w:val="0"/>
              <w:marRight w:val="0"/>
              <w:marTop w:val="0"/>
              <w:marBottom w:val="0"/>
              <w:divBdr>
                <w:top w:val="none" w:sz="0" w:space="0" w:color="auto"/>
                <w:left w:val="none" w:sz="0" w:space="0" w:color="auto"/>
                <w:bottom w:val="none" w:sz="0" w:space="0" w:color="auto"/>
                <w:right w:val="none" w:sz="0" w:space="0" w:color="auto"/>
              </w:divBdr>
            </w:div>
            <w:div w:id="866261531">
              <w:marLeft w:val="0"/>
              <w:marRight w:val="0"/>
              <w:marTop w:val="0"/>
              <w:marBottom w:val="0"/>
              <w:divBdr>
                <w:top w:val="none" w:sz="0" w:space="0" w:color="auto"/>
                <w:left w:val="none" w:sz="0" w:space="0" w:color="auto"/>
                <w:bottom w:val="none" w:sz="0" w:space="0" w:color="auto"/>
                <w:right w:val="none" w:sz="0" w:space="0" w:color="auto"/>
              </w:divBdr>
            </w:div>
            <w:div w:id="960301209">
              <w:marLeft w:val="0"/>
              <w:marRight w:val="0"/>
              <w:marTop w:val="0"/>
              <w:marBottom w:val="0"/>
              <w:divBdr>
                <w:top w:val="none" w:sz="0" w:space="0" w:color="auto"/>
                <w:left w:val="none" w:sz="0" w:space="0" w:color="auto"/>
                <w:bottom w:val="none" w:sz="0" w:space="0" w:color="auto"/>
                <w:right w:val="none" w:sz="0" w:space="0" w:color="auto"/>
              </w:divBdr>
            </w:div>
            <w:div w:id="1267810384">
              <w:marLeft w:val="0"/>
              <w:marRight w:val="0"/>
              <w:marTop w:val="0"/>
              <w:marBottom w:val="0"/>
              <w:divBdr>
                <w:top w:val="none" w:sz="0" w:space="0" w:color="auto"/>
                <w:left w:val="none" w:sz="0" w:space="0" w:color="auto"/>
                <w:bottom w:val="none" w:sz="0" w:space="0" w:color="auto"/>
                <w:right w:val="none" w:sz="0" w:space="0" w:color="auto"/>
              </w:divBdr>
            </w:div>
            <w:div w:id="1402173194">
              <w:marLeft w:val="0"/>
              <w:marRight w:val="0"/>
              <w:marTop w:val="0"/>
              <w:marBottom w:val="0"/>
              <w:divBdr>
                <w:top w:val="none" w:sz="0" w:space="0" w:color="auto"/>
                <w:left w:val="none" w:sz="0" w:space="0" w:color="auto"/>
                <w:bottom w:val="none" w:sz="0" w:space="0" w:color="auto"/>
                <w:right w:val="none" w:sz="0" w:space="0" w:color="auto"/>
              </w:divBdr>
            </w:div>
            <w:div w:id="1410812995">
              <w:marLeft w:val="0"/>
              <w:marRight w:val="0"/>
              <w:marTop w:val="0"/>
              <w:marBottom w:val="0"/>
              <w:divBdr>
                <w:top w:val="none" w:sz="0" w:space="0" w:color="auto"/>
                <w:left w:val="none" w:sz="0" w:space="0" w:color="auto"/>
                <w:bottom w:val="none" w:sz="0" w:space="0" w:color="auto"/>
                <w:right w:val="none" w:sz="0" w:space="0" w:color="auto"/>
              </w:divBdr>
            </w:div>
            <w:div w:id="1438328710">
              <w:marLeft w:val="0"/>
              <w:marRight w:val="0"/>
              <w:marTop w:val="0"/>
              <w:marBottom w:val="0"/>
              <w:divBdr>
                <w:top w:val="none" w:sz="0" w:space="0" w:color="auto"/>
                <w:left w:val="none" w:sz="0" w:space="0" w:color="auto"/>
                <w:bottom w:val="none" w:sz="0" w:space="0" w:color="auto"/>
                <w:right w:val="none" w:sz="0" w:space="0" w:color="auto"/>
              </w:divBdr>
            </w:div>
            <w:div w:id="1545945277">
              <w:marLeft w:val="0"/>
              <w:marRight w:val="0"/>
              <w:marTop w:val="0"/>
              <w:marBottom w:val="0"/>
              <w:divBdr>
                <w:top w:val="none" w:sz="0" w:space="0" w:color="auto"/>
                <w:left w:val="none" w:sz="0" w:space="0" w:color="auto"/>
                <w:bottom w:val="none" w:sz="0" w:space="0" w:color="auto"/>
                <w:right w:val="none" w:sz="0" w:space="0" w:color="auto"/>
              </w:divBdr>
            </w:div>
            <w:div w:id="1689210308">
              <w:marLeft w:val="0"/>
              <w:marRight w:val="0"/>
              <w:marTop w:val="0"/>
              <w:marBottom w:val="0"/>
              <w:divBdr>
                <w:top w:val="none" w:sz="0" w:space="0" w:color="auto"/>
                <w:left w:val="none" w:sz="0" w:space="0" w:color="auto"/>
                <w:bottom w:val="none" w:sz="0" w:space="0" w:color="auto"/>
                <w:right w:val="none" w:sz="0" w:space="0" w:color="auto"/>
              </w:divBdr>
            </w:div>
            <w:div w:id="1710185159">
              <w:marLeft w:val="0"/>
              <w:marRight w:val="0"/>
              <w:marTop w:val="0"/>
              <w:marBottom w:val="0"/>
              <w:divBdr>
                <w:top w:val="none" w:sz="0" w:space="0" w:color="auto"/>
                <w:left w:val="none" w:sz="0" w:space="0" w:color="auto"/>
                <w:bottom w:val="none" w:sz="0" w:space="0" w:color="auto"/>
                <w:right w:val="none" w:sz="0" w:space="0" w:color="auto"/>
              </w:divBdr>
            </w:div>
            <w:div w:id="1786459011">
              <w:marLeft w:val="0"/>
              <w:marRight w:val="0"/>
              <w:marTop w:val="0"/>
              <w:marBottom w:val="0"/>
              <w:divBdr>
                <w:top w:val="none" w:sz="0" w:space="0" w:color="auto"/>
                <w:left w:val="none" w:sz="0" w:space="0" w:color="auto"/>
                <w:bottom w:val="none" w:sz="0" w:space="0" w:color="auto"/>
                <w:right w:val="none" w:sz="0" w:space="0" w:color="auto"/>
              </w:divBdr>
            </w:div>
            <w:div w:id="1869905655">
              <w:marLeft w:val="0"/>
              <w:marRight w:val="0"/>
              <w:marTop w:val="0"/>
              <w:marBottom w:val="0"/>
              <w:divBdr>
                <w:top w:val="none" w:sz="0" w:space="0" w:color="auto"/>
                <w:left w:val="none" w:sz="0" w:space="0" w:color="auto"/>
                <w:bottom w:val="none" w:sz="0" w:space="0" w:color="auto"/>
                <w:right w:val="none" w:sz="0" w:space="0" w:color="auto"/>
              </w:divBdr>
            </w:div>
            <w:div w:id="1886138869">
              <w:marLeft w:val="0"/>
              <w:marRight w:val="0"/>
              <w:marTop w:val="0"/>
              <w:marBottom w:val="0"/>
              <w:divBdr>
                <w:top w:val="none" w:sz="0" w:space="0" w:color="auto"/>
                <w:left w:val="none" w:sz="0" w:space="0" w:color="auto"/>
                <w:bottom w:val="none" w:sz="0" w:space="0" w:color="auto"/>
                <w:right w:val="none" w:sz="0" w:space="0" w:color="auto"/>
              </w:divBdr>
            </w:div>
            <w:div w:id="1951273770">
              <w:marLeft w:val="0"/>
              <w:marRight w:val="0"/>
              <w:marTop w:val="0"/>
              <w:marBottom w:val="0"/>
              <w:divBdr>
                <w:top w:val="none" w:sz="0" w:space="0" w:color="auto"/>
                <w:left w:val="none" w:sz="0" w:space="0" w:color="auto"/>
                <w:bottom w:val="none" w:sz="0" w:space="0" w:color="auto"/>
                <w:right w:val="none" w:sz="0" w:space="0" w:color="auto"/>
              </w:divBdr>
            </w:div>
          </w:divsChild>
        </w:div>
        <w:div w:id="1543440122">
          <w:marLeft w:val="0"/>
          <w:marRight w:val="0"/>
          <w:marTop w:val="0"/>
          <w:marBottom w:val="0"/>
          <w:divBdr>
            <w:top w:val="none" w:sz="0" w:space="0" w:color="auto"/>
            <w:left w:val="none" w:sz="0" w:space="0" w:color="auto"/>
            <w:bottom w:val="none" w:sz="0" w:space="0" w:color="auto"/>
            <w:right w:val="none" w:sz="0" w:space="0" w:color="auto"/>
          </w:divBdr>
          <w:divsChild>
            <w:div w:id="38555671">
              <w:marLeft w:val="0"/>
              <w:marRight w:val="0"/>
              <w:marTop w:val="0"/>
              <w:marBottom w:val="0"/>
              <w:divBdr>
                <w:top w:val="none" w:sz="0" w:space="0" w:color="auto"/>
                <w:left w:val="none" w:sz="0" w:space="0" w:color="auto"/>
                <w:bottom w:val="none" w:sz="0" w:space="0" w:color="auto"/>
                <w:right w:val="none" w:sz="0" w:space="0" w:color="auto"/>
              </w:divBdr>
            </w:div>
            <w:div w:id="115024132">
              <w:marLeft w:val="0"/>
              <w:marRight w:val="0"/>
              <w:marTop w:val="0"/>
              <w:marBottom w:val="0"/>
              <w:divBdr>
                <w:top w:val="none" w:sz="0" w:space="0" w:color="auto"/>
                <w:left w:val="none" w:sz="0" w:space="0" w:color="auto"/>
                <w:bottom w:val="none" w:sz="0" w:space="0" w:color="auto"/>
                <w:right w:val="none" w:sz="0" w:space="0" w:color="auto"/>
              </w:divBdr>
            </w:div>
            <w:div w:id="180316639">
              <w:marLeft w:val="0"/>
              <w:marRight w:val="0"/>
              <w:marTop w:val="0"/>
              <w:marBottom w:val="0"/>
              <w:divBdr>
                <w:top w:val="none" w:sz="0" w:space="0" w:color="auto"/>
                <w:left w:val="none" w:sz="0" w:space="0" w:color="auto"/>
                <w:bottom w:val="none" w:sz="0" w:space="0" w:color="auto"/>
                <w:right w:val="none" w:sz="0" w:space="0" w:color="auto"/>
              </w:divBdr>
            </w:div>
            <w:div w:id="275908409">
              <w:marLeft w:val="0"/>
              <w:marRight w:val="0"/>
              <w:marTop w:val="0"/>
              <w:marBottom w:val="0"/>
              <w:divBdr>
                <w:top w:val="none" w:sz="0" w:space="0" w:color="auto"/>
                <w:left w:val="none" w:sz="0" w:space="0" w:color="auto"/>
                <w:bottom w:val="none" w:sz="0" w:space="0" w:color="auto"/>
                <w:right w:val="none" w:sz="0" w:space="0" w:color="auto"/>
              </w:divBdr>
            </w:div>
            <w:div w:id="307050808">
              <w:marLeft w:val="0"/>
              <w:marRight w:val="0"/>
              <w:marTop w:val="0"/>
              <w:marBottom w:val="0"/>
              <w:divBdr>
                <w:top w:val="none" w:sz="0" w:space="0" w:color="auto"/>
                <w:left w:val="none" w:sz="0" w:space="0" w:color="auto"/>
                <w:bottom w:val="none" w:sz="0" w:space="0" w:color="auto"/>
                <w:right w:val="none" w:sz="0" w:space="0" w:color="auto"/>
              </w:divBdr>
            </w:div>
            <w:div w:id="416558796">
              <w:marLeft w:val="0"/>
              <w:marRight w:val="0"/>
              <w:marTop w:val="0"/>
              <w:marBottom w:val="0"/>
              <w:divBdr>
                <w:top w:val="none" w:sz="0" w:space="0" w:color="auto"/>
                <w:left w:val="none" w:sz="0" w:space="0" w:color="auto"/>
                <w:bottom w:val="none" w:sz="0" w:space="0" w:color="auto"/>
                <w:right w:val="none" w:sz="0" w:space="0" w:color="auto"/>
              </w:divBdr>
            </w:div>
            <w:div w:id="676420575">
              <w:marLeft w:val="0"/>
              <w:marRight w:val="0"/>
              <w:marTop w:val="0"/>
              <w:marBottom w:val="0"/>
              <w:divBdr>
                <w:top w:val="none" w:sz="0" w:space="0" w:color="auto"/>
                <w:left w:val="none" w:sz="0" w:space="0" w:color="auto"/>
                <w:bottom w:val="none" w:sz="0" w:space="0" w:color="auto"/>
                <w:right w:val="none" w:sz="0" w:space="0" w:color="auto"/>
              </w:divBdr>
            </w:div>
            <w:div w:id="739064484">
              <w:marLeft w:val="0"/>
              <w:marRight w:val="0"/>
              <w:marTop w:val="0"/>
              <w:marBottom w:val="0"/>
              <w:divBdr>
                <w:top w:val="none" w:sz="0" w:space="0" w:color="auto"/>
                <w:left w:val="none" w:sz="0" w:space="0" w:color="auto"/>
                <w:bottom w:val="none" w:sz="0" w:space="0" w:color="auto"/>
                <w:right w:val="none" w:sz="0" w:space="0" w:color="auto"/>
              </w:divBdr>
            </w:div>
            <w:div w:id="866412720">
              <w:marLeft w:val="0"/>
              <w:marRight w:val="0"/>
              <w:marTop w:val="0"/>
              <w:marBottom w:val="0"/>
              <w:divBdr>
                <w:top w:val="none" w:sz="0" w:space="0" w:color="auto"/>
                <w:left w:val="none" w:sz="0" w:space="0" w:color="auto"/>
                <w:bottom w:val="none" w:sz="0" w:space="0" w:color="auto"/>
                <w:right w:val="none" w:sz="0" w:space="0" w:color="auto"/>
              </w:divBdr>
            </w:div>
            <w:div w:id="956185104">
              <w:marLeft w:val="0"/>
              <w:marRight w:val="0"/>
              <w:marTop w:val="0"/>
              <w:marBottom w:val="0"/>
              <w:divBdr>
                <w:top w:val="none" w:sz="0" w:space="0" w:color="auto"/>
                <w:left w:val="none" w:sz="0" w:space="0" w:color="auto"/>
                <w:bottom w:val="none" w:sz="0" w:space="0" w:color="auto"/>
                <w:right w:val="none" w:sz="0" w:space="0" w:color="auto"/>
              </w:divBdr>
            </w:div>
            <w:div w:id="957565404">
              <w:marLeft w:val="0"/>
              <w:marRight w:val="0"/>
              <w:marTop w:val="0"/>
              <w:marBottom w:val="0"/>
              <w:divBdr>
                <w:top w:val="none" w:sz="0" w:space="0" w:color="auto"/>
                <w:left w:val="none" w:sz="0" w:space="0" w:color="auto"/>
                <w:bottom w:val="none" w:sz="0" w:space="0" w:color="auto"/>
                <w:right w:val="none" w:sz="0" w:space="0" w:color="auto"/>
              </w:divBdr>
            </w:div>
            <w:div w:id="980307132">
              <w:marLeft w:val="0"/>
              <w:marRight w:val="0"/>
              <w:marTop w:val="0"/>
              <w:marBottom w:val="0"/>
              <w:divBdr>
                <w:top w:val="none" w:sz="0" w:space="0" w:color="auto"/>
                <w:left w:val="none" w:sz="0" w:space="0" w:color="auto"/>
                <w:bottom w:val="none" w:sz="0" w:space="0" w:color="auto"/>
                <w:right w:val="none" w:sz="0" w:space="0" w:color="auto"/>
              </w:divBdr>
            </w:div>
            <w:div w:id="1086535850">
              <w:marLeft w:val="0"/>
              <w:marRight w:val="0"/>
              <w:marTop w:val="0"/>
              <w:marBottom w:val="0"/>
              <w:divBdr>
                <w:top w:val="none" w:sz="0" w:space="0" w:color="auto"/>
                <w:left w:val="none" w:sz="0" w:space="0" w:color="auto"/>
                <w:bottom w:val="none" w:sz="0" w:space="0" w:color="auto"/>
                <w:right w:val="none" w:sz="0" w:space="0" w:color="auto"/>
              </w:divBdr>
            </w:div>
            <w:div w:id="1380201639">
              <w:marLeft w:val="0"/>
              <w:marRight w:val="0"/>
              <w:marTop w:val="0"/>
              <w:marBottom w:val="0"/>
              <w:divBdr>
                <w:top w:val="none" w:sz="0" w:space="0" w:color="auto"/>
                <w:left w:val="none" w:sz="0" w:space="0" w:color="auto"/>
                <w:bottom w:val="none" w:sz="0" w:space="0" w:color="auto"/>
                <w:right w:val="none" w:sz="0" w:space="0" w:color="auto"/>
              </w:divBdr>
            </w:div>
            <w:div w:id="1473863248">
              <w:marLeft w:val="0"/>
              <w:marRight w:val="0"/>
              <w:marTop w:val="0"/>
              <w:marBottom w:val="0"/>
              <w:divBdr>
                <w:top w:val="none" w:sz="0" w:space="0" w:color="auto"/>
                <w:left w:val="none" w:sz="0" w:space="0" w:color="auto"/>
                <w:bottom w:val="none" w:sz="0" w:space="0" w:color="auto"/>
                <w:right w:val="none" w:sz="0" w:space="0" w:color="auto"/>
              </w:divBdr>
            </w:div>
            <w:div w:id="1534996192">
              <w:marLeft w:val="0"/>
              <w:marRight w:val="0"/>
              <w:marTop w:val="0"/>
              <w:marBottom w:val="0"/>
              <w:divBdr>
                <w:top w:val="none" w:sz="0" w:space="0" w:color="auto"/>
                <w:left w:val="none" w:sz="0" w:space="0" w:color="auto"/>
                <w:bottom w:val="none" w:sz="0" w:space="0" w:color="auto"/>
                <w:right w:val="none" w:sz="0" w:space="0" w:color="auto"/>
              </w:divBdr>
            </w:div>
            <w:div w:id="1687712741">
              <w:marLeft w:val="0"/>
              <w:marRight w:val="0"/>
              <w:marTop w:val="0"/>
              <w:marBottom w:val="0"/>
              <w:divBdr>
                <w:top w:val="none" w:sz="0" w:space="0" w:color="auto"/>
                <w:left w:val="none" w:sz="0" w:space="0" w:color="auto"/>
                <w:bottom w:val="none" w:sz="0" w:space="0" w:color="auto"/>
                <w:right w:val="none" w:sz="0" w:space="0" w:color="auto"/>
              </w:divBdr>
            </w:div>
            <w:div w:id="1814979857">
              <w:marLeft w:val="0"/>
              <w:marRight w:val="0"/>
              <w:marTop w:val="0"/>
              <w:marBottom w:val="0"/>
              <w:divBdr>
                <w:top w:val="none" w:sz="0" w:space="0" w:color="auto"/>
                <w:left w:val="none" w:sz="0" w:space="0" w:color="auto"/>
                <w:bottom w:val="none" w:sz="0" w:space="0" w:color="auto"/>
                <w:right w:val="none" w:sz="0" w:space="0" w:color="auto"/>
              </w:divBdr>
            </w:div>
            <w:div w:id="1982033954">
              <w:marLeft w:val="0"/>
              <w:marRight w:val="0"/>
              <w:marTop w:val="0"/>
              <w:marBottom w:val="0"/>
              <w:divBdr>
                <w:top w:val="none" w:sz="0" w:space="0" w:color="auto"/>
                <w:left w:val="none" w:sz="0" w:space="0" w:color="auto"/>
                <w:bottom w:val="none" w:sz="0" w:space="0" w:color="auto"/>
                <w:right w:val="none" w:sz="0" w:space="0" w:color="auto"/>
              </w:divBdr>
            </w:div>
            <w:div w:id="213162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15">
      <w:bodyDiv w:val="1"/>
      <w:marLeft w:val="0"/>
      <w:marRight w:val="0"/>
      <w:marTop w:val="0"/>
      <w:marBottom w:val="0"/>
      <w:divBdr>
        <w:top w:val="none" w:sz="0" w:space="0" w:color="auto"/>
        <w:left w:val="none" w:sz="0" w:space="0" w:color="auto"/>
        <w:bottom w:val="none" w:sz="0" w:space="0" w:color="auto"/>
        <w:right w:val="none" w:sz="0" w:space="0" w:color="auto"/>
      </w:divBdr>
      <w:divsChild>
        <w:div w:id="587077184">
          <w:marLeft w:val="0"/>
          <w:marRight w:val="0"/>
          <w:marTop w:val="0"/>
          <w:marBottom w:val="0"/>
          <w:divBdr>
            <w:top w:val="none" w:sz="0" w:space="0" w:color="auto"/>
            <w:left w:val="none" w:sz="0" w:space="0" w:color="auto"/>
            <w:bottom w:val="none" w:sz="0" w:space="0" w:color="auto"/>
            <w:right w:val="none" w:sz="0" w:space="0" w:color="auto"/>
          </w:divBdr>
        </w:div>
        <w:div w:id="896824227">
          <w:marLeft w:val="0"/>
          <w:marRight w:val="0"/>
          <w:marTop w:val="0"/>
          <w:marBottom w:val="0"/>
          <w:divBdr>
            <w:top w:val="none" w:sz="0" w:space="0" w:color="auto"/>
            <w:left w:val="none" w:sz="0" w:space="0" w:color="auto"/>
            <w:bottom w:val="none" w:sz="0" w:space="0" w:color="auto"/>
            <w:right w:val="none" w:sz="0" w:space="0" w:color="auto"/>
          </w:divBdr>
        </w:div>
        <w:div w:id="1058866853">
          <w:marLeft w:val="0"/>
          <w:marRight w:val="0"/>
          <w:marTop w:val="0"/>
          <w:marBottom w:val="0"/>
          <w:divBdr>
            <w:top w:val="none" w:sz="0" w:space="0" w:color="auto"/>
            <w:left w:val="none" w:sz="0" w:space="0" w:color="auto"/>
            <w:bottom w:val="none" w:sz="0" w:space="0" w:color="auto"/>
            <w:right w:val="none" w:sz="0" w:space="0" w:color="auto"/>
          </w:divBdr>
        </w:div>
        <w:div w:id="1326934218">
          <w:marLeft w:val="0"/>
          <w:marRight w:val="0"/>
          <w:marTop w:val="0"/>
          <w:marBottom w:val="0"/>
          <w:divBdr>
            <w:top w:val="none" w:sz="0" w:space="0" w:color="auto"/>
            <w:left w:val="none" w:sz="0" w:space="0" w:color="auto"/>
            <w:bottom w:val="none" w:sz="0" w:space="0" w:color="auto"/>
            <w:right w:val="none" w:sz="0" w:space="0" w:color="auto"/>
          </w:divBdr>
        </w:div>
      </w:divsChild>
    </w:div>
    <w:div w:id="38938105">
      <w:bodyDiv w:val="1"/>
      <w:marLeft w:val="0"/>
      <w:marRight w:val="0"/>
      <w:marTop w:val="0"/>
      <w:marBottom w:val="0"/>
      <w:divBdr>
        <w:top w:val="none" w:sz="0" w:space="0" w:color="auto"/>
        <w:left w:val="none" w:sz="0" w:space="0" w:color="auto"/>
        <w:bottom w:val="none" w:sz="0" w:space="0" w:color="auto"/>
        <w:right w:val="none" w:sz="0" w:space="0" w:color="auto"/>
      </w:divBdr>
      <w:divsChild>
        <w:div w:id="715931217">
          <w:marLeft w:val="0"/>
          <w:marRight w:val="0"/>
          <w:marTop w:val="0"/>
          <w:marBottom w:val="0"/>
          <w:divBdr>
            <w:top w:val="none" w:sz="0" w:space="0" w:color="auto"/>
            <w:left w:val="none" w:sz="0" w:space="0" w:color="auto"/>
            <w:bottom w:val="none" w:sz="0" w:space="0" w:color="auto"/>
            <w:right w:val="none" w:sz="0" w:space="0" w:color="auto"/>
          </w:divBdr>
        </w:div>
        <w:div w:id="1245408914">
          <w:marLeft w:val="0"/>
          <w:marRight w:val="0"/>
          <w:marTop w:val="0"/>
          <w:marBottom w:val="0"/>
          <w:divBdr>
            <w:top w:val="none" w:sz="0" w:space="0" w:color="auto"/>
            <w:left w:val="none" w:sz="0" w:space="0" w:color="auto"/>
            <w:bottom w:val="none" w:sz="0" w:space="0" w:color="auto"/>
            <w:right w:val="none" w:sz="0" w:space="0" w:color="auto"/>
          </w:divBdr>
        </w:div>
        <w:div w:id="1659655225">
          <w:marLeft w:val="0"/>
          <w:marRight w:val="0"/>
          <w:marTop w:val="0"/>
          <w:marBottom w:val="0"/>
          <w:divBdr>
            <w:top w:val="none" w:sz="0" w:space="0" w:color="auto"/>
            <w:left w:val="none" w:sz="0" w:space="0" w:color="auto"/>
            <w:bottom w:val="none" w:sz="0" w:space="0" w:color="auto"/>
            <w:right w:val="none" w:sz="0" w:space="0" w:color="auto"/>
          </w:divBdr>
        </w:div>
      </w:divsChild>
    </w:div>
    <w:div w:id="57632492">
      <w:bodyDiv w:val="1"/>
      <w:marLeft w:val="0"/>
      <w:marRight w:val="0"/>
      <w:marTop w:val="0"/>
      <w:marBottom w:val="0"/>
      <w:divBdr>
        <w:top w:val="none" w:sz="0" w:space="0" w:color="auto"/>
        <w:left w:val="none" w:sz="0" w:space="0" w:color="auto"/>
        <w:bottom w:val="none" w:sz="0" w:space="0" w:color="auto"/>
        <w:right w:val="none" w:sz="0" w:space="0" w:color="auto"/>
      </w:divBdr>
      <w:divsChild>
        <w:div w:id="87818319">
          <w:marLeft w:val="0"/>
          <w:marRight w:val="0"/>
          <w:marTop w:val="0"/>
          <w:marBottom w:val="0"/>
          <w:divBdr>
            <w:top w:val="none" w:sz="0" w:space="0" w:color="auto"/>
            <w:left w:val="none" w:sz="0" w:space="0" w:color="auto"/>
            <w:bottom w:val="none" w:sz="0" w:space="0" w:color="auto"/>
            <w:right w:val="none" w:sz="0" w:space="0" w:color="auto"/>
          </w:divBdr>
          <w:divsChild>
            <w:div w:id="179583746">
              <w:marLeft w:val="0"/>
              <w:marRight w:val="0"/>
              <w:marTop w:val="0"/>
              <w:marBottom w:val="0"/>
              <w:divBdr>
                <w:top w:val="none" w:sz="0" w:space="0" w:color="auto"/>
                <w:left w:val="none" w:sz="0" w:space="0" w:color="auto"/>
                <w:bottom w:val="none" w:sz="0" w:space="0" w:color="auto"/>
                <w:right w:val="none" w:sz="0" w:space="0" w:color="auto"/>
              </w:divBdr>
            </w:div>
            <w:div w:id="226886426">
              <w:marLeft w:val="0"/>
              <w:marRight w:val="0"/>
              <w:marTop w:val="0"/>
              <w:marBottom w:val="0"/>
              <w:divBdr>
                <w:top w:val="none" w:sz="0" w:space="0" w:color="auto"/>
                <w:left w:val="none" w:sz="0" w:space="0" w:color="auto"/>
                <w:bottom w:val="none" w:sz="0" w:space="0" w:color="auto"/>
                <w:right w:val="none" w:sz="0" w:space="0" w:color="auto"/>
              </w:divBdr>
            </w:div>
            <w:div w:id="289478796">
              <w:marLeft w:val="0"/>
              <w:marRight w:val="0"/>
              <w:marTop w:val="0"/>
              <w:marBottom w:val="0"/>
              <w:divBdr>
                <w:top w:val="none" w:sz="0" w:space="0" w:color="auto"/>
                <w:left w:val="none" w:sz="0" w:space="0" w:color="auto"/>
                <w:bottom w:val="none" w:sz="0" w:space="0" w:color="auto"/>
                <w:right w:val="none" w:sz="0" w:space="0" w:color="auto"/>
              </w:divBdr>
            </w:div>
            <w:div w:id="299968311">
              <w:marLeft w:val="0"/>
              <w:marRight w:val="0"/>
              <w:marTop w:val="0"/>
              <w:marBottom w:val="0"/>
              <w:divBdr>
                <w:top w:val="none" w:sz="0" w:space="0" w:color="auto"/>
                <w:left w:val="none" w:sz="0" w:space="0" w:color="auto"/>
                <w:bottom w:val="none" w:sz="0" w:space="0" w:color="auto"/>
                <w:right w:val="none" w:sz="0" w:space="0" w:color="auto"/>
              </w:divBdr>
            </w:div>
            <w:div w:id="590243256">
              <w:marLeft w:val="0"/>
              <w:marRight w:val="0"/>
              <w:marTop w:val="0"/>
              <w:marBottom w:val="0"/>
              <w:divBdr>
                <w:top w:val="none" w:sz="0" w:space="0" w:color="auto"/>
                <w:left w:val="none" w:sz="0" w:space="0" w:color="auto"/>
                <w:bottom w:val="none" w:sz="0" w:space="0" w:color="auto"/>
                <w:right w:val="none" w:sz="0" w:space="0" w:color="auto"/>
              </w:divBdr>
            </w:div>
            <w:div w:id="649015908">
              <w:marLeft w:val="0"/>
              <w:marRight w:val="0"/>
              <w:marTop w:val="0"/>
              <w:marBottom w:val="0"/>
              <w:divBdr>
                <w:top w:val="none" w:sz="0" w:space="0" w:color="auto"/>
                <w:left w:val="none" w:sz="0" w:space="0" w:color="auto"/>
                <w:bottom w:val="none" w:sz="0" w:space="0" w:color="auto"/>
                <w:right w:val="none" w:sz="0" w:space="0" w:color="auto"/>
              </w:divBdr>
            </w:div>
            <w:div w:id="696542287">
              <w:marLeft w:val="0"/>
              <w:marRight w:val="0"/>
              <w:marTop w:val="0"/>
              <w:marBottom w:val="0"/>
              <w:divBdr>
                <w:top w:val="none" w:sz="0" w:space="0" w:color="auto"/>
                <w:left w:val="none" w:sz="0" w:space="0" w:color="auto"/>
                <w:bottom w:val="none" w:sz="0" w:space="0" w:color="auto"/>
                <w:right w:val="none" w:sz="0" w:space="0" w:color="auto"/>
              </w:divBdr>
            </w:div>
            <w:div w:id="1154296860">
              <w:marLeft w:val="0"/>
              <w:marRight w:val="0"/>
              <w:marTop w:val="0"/>
              <w:marBottom w:val="0"/>
              <w:divBdr>
                <w:top w:val="none" w:sz="0" w:space="0" w:color="auto"/>
                <w:left w:val="none" w:sz="0" w:space="0" w:color="auto"/>
                <w:bottom w:val="none" w:sz="0" w:space="0" w:color="auto"/>
                <w:right w:val="none" w:sz="0" w:space="0" w:color="auto"/>
              </w:divBdr>
            </w:div>
            <w:div w:id="1254633521">
              <w:marLeft w:val="0"/>
              <w:marRight w:val="0"/>
              <w:marTop w:val="0"/>
              <w:marBottom w:val="0"/>
              <w:divBdr>
                <w:top w:val="none" w:sz="0" w:space="0" w:color="auto"/>
                <w:left w:val="none" w:sz="0" w:space="0" w:color="auto"/>
                <w:bottom w:val="none" w:sz="0" w:space="0" w:color="auto"/>
                <w:right w:val="none" w:sz="0" w:space="0" w:color="auto"/>
              </w:divBdr>
            </w:div>
            <w:div w:id="1274433573">
              <w:marLeft w:val="0"/>
              <w:marRight w:val="0"/>
              <w:marTop w:val="0"/>
              <w:marBottom w:val="0"/>
              <w:divBdr>
                <w:top w:val="none" w:sz="0" w:space="0" w:color="auto"/>
                <w:left w:val="none" w:sz="0" w:space="0" w:color="auto"/>
                <w:bottom w:val="none" w:sz="0" w:space="0" w:color="auto"/>
                <w:right w:val="none" w:sz="0" w:space="0" w:color="auto"/>
              </w:divBdr>
            </w:div>
            <w:div w:id="1357343269">
              <w:marLeft w:val="0"/>
              <w:marRight w:val="0"/>
              <w:marTop w:val="0"/>
              <w:marBottom w:val="0"/>
              <w:divBdr>
                <w:top w:val="none" w:sz="0" w:space="0" w:color="auto"/>
                <w:left w:val="none" w:sz="0" w:space="0" w:color="auto"/>
                <w:bottom w:val="none" w:sz="0" w:space="0" w:color="auto"/>
                <w:right w:val="none" w:sz="0" w:space="0" w:color="auto"/>
              </w:divBdr>
            </w:div>
            <w:div w:id="1440904640">
              <w:marLeft w:val="0"/>
              <w:marRight w:val="0"/>
              <w:marTop w:val="0"/>
              <w:marBottom w:val="0"/>
              <w:divBdr>
                <w:top w:val="none" w:sz="0" w:space="0" w:color="auto"/>
                <w:left w:val="none" w:sz="0" w:space="0" w:color="auto"/>
                <w:bottom w:val="none" w:sz="0" w:space="0" w:color="auto"/>
                <w:right w:val="none" w:sz="0" w:space="0" w:color="auto"/>
              </w:divBdr>
            </w:div>
            <w:div w:id="1577783090">
              <w:marLeft w:val="0"/>
              <w:marRight w:val="0"/>
              <w:marTop w:val="0"/>
              <w:marBottom w:val="0"/>
              <w:divBdr>
                <w:top w:val="none" w:sz="0" w:space="0" w:color="auto"/>
                <w:left w:val="none" w:sz="0" w:space="0" w:color="auto"/>
                <w:bottom w:val="none" w:sz="0" w:space="0" w:color="auto"/>
                <w:right w:val="none" w:sz="0" w:space="0" w:color="auto"/>
              </w:divBdr>
            </w:div>
            <w:div w:id="1592933618">
              <w:marLeft w:val="0"/>
              <w:marRight w:val="0"/>
              <w:marTop w:val="0"/>
              <w:marBottom w:val="0"/>
              <w:divBdr>
                <w:top w:val="none" w:sz="0" w:space="0" w:color="auto"/>
                <w:left w:val="none" w:sz="0" w:space="0" w:color="auto"/>
                <w:bottom w:val="none" w:sz="0" w:space="0" w:color="auto"/>
                <w:right w:val="none" w:sz="0" w:space="0" w:color="auto"/>
              </w:divBdr>
            </w:div>
            <w:div w:id="1643774979">
              <w:marLeft w:val="0"/>
              <w:marRight w:val="0"/>
              <w:marTop w:val="0"/>
              <w:marBottom w:val="0"/>
              <w:divBdr>
                <w:top w:val="none" w:sz="0" w:space="0" w:color="auto"/>
                <w:left w:val="none" w:sz="0" w:space="0" w:color="auto"/>
                <w:bottom w:val="none" w:sz="0" w:space="0" w:color="auto"/>
                <w:right w:val="none" w:sz="0" w:space="0" w:color="auto"/>
              </w:divBdr>
            </w:div>
            <w:div w:id="1765759853">
              <w:marLeft w:val="0"/>
              <w:marRight w:val="0"/>
              <w:marTop w:val="0"/>
              <w:marBottom w:val="0"/>
              <w:divBdr>
                <w:top w:val="none" w:sz="0" w:space="0" w:color="auto"/>
                <w:left w:val="none" w:sz="0" w:space="0" w:color="auto"/>
                <w:bottom w:val="none" w:sz="0" w:space="0" w:color="auto"/>
                <w:right w:val="none" w:sz="0" w:space="0" w:color="auto"/>
              </w:divBdr>
            </w:div>
            <w:div w:id="1877427541">
              <w:marLeft w:val="0"/>
              <w:marRight w:val="0"/>
              <w:marTop w:val="0"/>
              <w:marBottom w:val="0"/>
              <w:divBdr>
                <w:top w:val="none" w:sz="0" w:space="0" w:color="auto"/>
                <w:left w:val="none" w:sz="0" w:space="0" w:color="auto"/>
                <w:bottom w:val="none" w:sz="0" w:space="0" w:color="auto"/>
                <w:right w:val="none" w:sz="0" w:space="0" w:color="auto"/>
              </w:divBdr>
            </w:div>
            <w:div w:id="1935555432">
              <w:marLeft w:val="0"/>
              <w:marRight w:val="0"/>
              <w:marTop w:val="0"/>
              <w:marBottom w:val="0"/>
              <w:divBdr>
                <w:top w:val="none" w:sz="0" w:space="0" w:color="auto"/>
                <w:left w:val="none" w:sz="0" w:space="0" w:color="auto"/>
                <w:bottom w:val="none" w:sz="0" w:space="0" w:color="auto"/>
                <w:right w:val="none" w:sz="0" w:space="0" w:color="auto"/>
              </w:divBdr>
            </w:div>
            <w:div w:id="2083553003">
              <w:marLeft w:val="0"/>
              <w:marRight w:val="0"/>
              <w:marTop w:val="0"/>
              <w:marBottom w:val="0"/>
              <w:divBdr>
                <w:top w:val="none" w:sz="0" w:space="0" w:color="auto"/>
                <w:left w:val="none" w:sz="0" w:space="0" w:color="auto"/>
                <w:bottom w:val="none" w:sz="0" w:space="0" w:color="auto"/>
                <w:right w:val="none" w:sz="0" w:space="0" w:color="auto"/>
              </w:divBdr>
            </w:div>
            <w:div w:id="2097705244">
              <w:marLeft w:val="0"/>
              <w:marRight w:val="0"/>
              <w:marTop w:val="0"/>
              <w:marBottom w:val="0"/>
              <w:divBdr>
                <w:top w:val="none" w:sz="0" w:space="0" w:color="auto"/>
                <w:left w:val="none" w:sz="0" w:space="0" w:color="auto"/>
                <w:bottom w:val="none" w:sz="0" w:space="0" w:color="auto"/>
                <w:right w:val="none" w:sz="0" w:space="0" w:color="auto"/>
              </w:divBdr>
            </w:div>
          </w:divsChild>
        </w:div>
        <w:div w:id="595408410">
          <w:marLeft w:val="0"/>
          <w:marRight w:val="0"/>
          <w:marTop w:val="0"/>
          <w:marBottom w:val="0"/>
          <w:divBdr>
            <w:top w:val="none" w:sz="0" w:space="0" w:color="auto"/>
            <w:left w:val="none" w:sz="0" w:space="0" w:color="auto"/>
            <w:bottom w:val="none" w:sz="0" w:space="0" w:color="auto"/>
            <w:right w:val="none" w:sz="0" w:space="0" w:color="auto"/>
          </w:divBdr>
          <w:divsChild>
            <w:div w:id="113718239">
              <w:marLeft w:val="0"/>
              <w:marRight w:val="0"/>
              <w:marTop w:val="0"/>
              <w:marBottom w:val="0"/>
              <w:divBdr>
                <w:top w:val="none" w:sz="0" w:space="0" w:color="auto"/>
                <w:left w:val="none" w:sz="0" w:space="0" w:color="auto"/>
                <w:bottom w:val="none" w:sz="0" w:space="0" w:color="auto"/>
                <w:right w:val="none" w:sz="0" w:space="0" w:color="auto"/>
              </w:divBdr>
            </w:div>
            <w:div w:id="147408519">
              <w:marLeft w:val="0"/>
              <w:marRight w:val="0"/>
              <w:marTop w:val="0"/>
              <w:marBottom w:val="0"/>
              <w:divBdr>
                <w:top w:val="none" w:sz="0" w:space="0" w:color="auto"/>
                <w:left w:val="none" w:sz="0" w:space="0" w:color="auto"/>
                <w:bottom w:val="none" w:sz="0" w:space="0" w:color="auto"/>
                <w:right w:val="none" w:sz="0" w:space="0" w:color="auto"/>
              </w:divBdr>
            </w:div>
            <w:div w:id="334495923">
              <w:marLeft w:val="0"/>
              <w:marRight w:val="0"/>
              <w:marTop w:val="0"/>
              <w:marBottom w:val="0"/>
              <w:divBdr>
                <w:top w:val="none" w:sz="0" w:space="0" w:color="auto"/>
                <w:left w:val="none" w:sz="0" w:space="0" w:color="auto"/>
                <w:bottom w:val="none" w:sz="0" w:space="0" w:color="auto"/>
                <w:right w:val="none" w:sz="0" w:space="0" w:color="auto"/>
              </w:divBdr>
            </w:div>
            <w:div w:id="472522398">
              <w:marLeft w:val="0"/>
              <w:marRight w:val="0"/>
              <w:marTop w:val="0"/>
              <w:marBottom w:val="0"/>
              <w:divBdr>
                <w:top w:val="none" w:sz="0" w:space="0" w:color="auto"/>
                <w:left w:val="none" w:sz="0" w:space="0" w:color="auto"/>
                <w:bottom w:val="none" w:sz="0" w:space="0" w:color="auto"/>
                <w:right w:val="none" w:sz="0" w:space="0" w:color="auto"/>
              </w:divBdr>
            </w:div>
            <w:div w:id="541597514">
              <w:marLeft w:val="0"/>
              <w:marRight w:val="0"/>
              <w:marTop w:val="0"/>
              <w:marBottom w:val="0"/>
              <w:divBdr>
                <w:top w:val="none" w:sz="0" w:space="0" w:color="auto"/>
                <w:left w:val="none" w:sz="0" w:space="0" w:color="auto"/>
                <w:bottom w:val="none" w:sz="0" w:space="0" w:color="auto"/>
                <w:right w:val="none" w:sz="0" w:space="0" w:color="auto"/>
              </w:divBdr>
            </w:div>
            <w:div w:id="844442104">
              <w:marLeft w:val="0"/>
              <w:marRight w:val="0"/>
              <w:marTop w:val="0"/>
              <w:marBottom w:val="0"/>
              <w:divBdr>
                <w:top w:val="none" w:sz="0" w:space="0" w:color="auto"/>
                <w:left w:val="none" w:sz="0" w:space="0" w:color="auto"/>
                <w:bottom w:val="none" w:sz="0" w:space="0" w:color="auto"/>
                <w:right w:val="none" w:sz="0" w:space="0" w:color="auto"/>
              </w:divBdr>
            </w:div>
            <w:div w:id="855004177">
              <w:marLeft w:val="0"/>
              <w:marRight w:val="0"/>
              <w:marTop w:val="0"/>
              <w:marBottom w:val="0"/>
              <w:divBdr>
                <w:top w:val="none" w:sz="0" w:space="0" w:color="auto"/>
                <w:left w:val="none" w:sz="0" w:space="0" w:color="auto"/>
                <w:bottom w:val="none" w:sz="0" w:space="0" w:color="auto"/>
                <w:right w:val="none" w:sz="0" w:space="0" w:color="auto"/>
              </w:divBdr>
            </w:div>
            <w:div w:id="882332601">
              <w:marLeft w:val="0"/>
              <w:marRight w:val="0"/>
              <w:marTop w:val="0"/>
              <w:marBottom w:val="0"/>
              <w:divBdr>
                <w:top w:val="none" w:sz="0" w:space="0" w:color="auto"/>
                <w:left w:val="none" w:sz="0" w:space="0" w:color="auto"/>
                <w:bottom w:val="none" w:sz="0" w:space="0" w:color="auto"/>
                <w:right w:val="none" w:sz="0" w:space="0" w:color="auto"/>
              </w:divBdr>
            </w:div>
            <w:div w:id="891815754">
              <w:marLeft w:val="0"/>
              <w:marRight w:val="0"/>
              <w:marTop w:val="0"/>
              <w:marBottom w:val="0"/>
              <w:divBdr>
                <w:top w:val="none" w:sz="0" w:space="0" w:color="auto"/>
                <w:left w:val="none" w:sz="0" w:space="0" w:color="auto"/>
                <w:bottom w:val="none" w:sz="0" w:space="0" w:color="auto"/>
                <w:right w:val="none" w:sz="0" w:space="0" w:color="auto"/>
              </w:divBdr>
            </w:div>
            <w:div w:id="946931760">
              <w:marLeft w:val="0"/>
              <w:marRight w:val="0"/>
              <w:marTop w:val="0"/>
              <w:marBottom w:val="0"/>
              <w:divBdr>
                <w:top w:val="none" w:sz="0" w:space="0" w:color="auto"/>
                <w:left w:val="none" w:sz="0" w:space="0" w:color="auto"/>
                <w:bottom w:val="none" w:sz="0" w:space="0" w:color="auto"/>
                <w:right w:val="none" w:sz="0" w:space="0" w:color="auto"/>
              </w:divBdr>
            </w:div>
            <w:div w:id="1245846017">
              <w:marLeft w:val="0"/>
              <w:marRight w:val="0"/>
              <w:marTop w:val="0"/>
              <w:marBottom w:val="0"/>
              <w:divBdr>
                <w:top w:val="none" w:sz="0" w:space="0" w:color="auto"/>
                <w:left w:val="none" w:sz="0" w:space="0" w:color="auto"/>
                <w:bottom w:val="none" w:sz="0" w:space="0" w:color="auto"/>
                <w:right w:val="none" w:sz="0" w:space="0" w:color="auto"/>
              </w:divBdr>
            </w:div>
            <w:div w:id="1352800682">
              <w:marLeft w:val="0"/>
              <w:marRight w:val="0"/>
              <w:marTop w:val="0"/>
              <w:marBottom w:val="0"/>
              <w:divBdr>
                <w:top w:val="none" w:sz="0" w:space="0" w:color="auto"/>
                <w:left w:val="none" w:sz="0" w:space="0" w:color="auto"/>
                <w:bottom w:val="none" w:sz="0" w:space="0" w:color="auto"/>
                <w:right w:val="none" w:sz="0" w:space="0" w:color="auto"/>
              </w:divBdr>
            </w:div>
            <w:div w:id="1382292158">
              <w:marLeft w:val="0"/>
              <w:marRight w:val="0"/>
              <w:marTop w:val="0"/>
              <w:marBottom w:val="0"/>
              <w:divBdr>
                <w:top w:val="none" w:sz="0" w:space="0" w:color="auto"/>
                <w:left w:val="none" w:sz="0" w:space="0" w:color="auto"/>
                <w:bottom w:val="none" w:sz="0" w:space="0" w:color="auto"/>
                <w:right w:val="none" w:sz="0" w:space="0" w:color="auto"/>
              </w:divBdr>
            </w:div>
            <w:div w:id="1527671851">
              <w:marLeft w:val="0"/>
              <w:marRight w:val="0"/>
              <w:marTop w:val="0"/>
              <w:marBottom w:val="0"/>
              <w:divBdr>
                <w:top w:val="none" w:sz="0" w:space="0" w:color="auto"/>
                <w:left w:val="none" w:sz="0" w:space="0" w:color="auto"/>
                <w:bottom w:val="none" w:sz="0" w:space="0" w:color="auto"/>
                <w:right w:val="none" w:sz="0" w:space="0" w:color="auto"/>
              </w:divBdr>
            </w:div>
            <w:div w:id="1670140072">
              <w:marLeft w:val="0"/>
              <w:marRight w:val="0"/>
              <w:marTop w:val="0"/>
              <w:marBottom w:val="0"/>
              <w:divBdr>
                <w:top w:val="none" w:sz="0" w:space="0" w:color="auto"/>
                <w:left w:val="none" w:sz="0" w:space="0" w:color="auto"/>
                <w:bottom w:val="none" w:sz="0" w:space="0" w:color="auto"/>
                <w:right w:val="none" w:sz="0" w:space="0" w:color="auto"/>
              </w:divBdr>
            </w:div>
            <w:div w:id="1891645988">
              <w:marLeft w:val="0"/>
              <w:marRight w:val="0"/>
              <w:marTop w:val="0"/>
              <w:marBottom w:val="0"/>
              <w:divBdr>
                <w:top w:val="none" w:sz="0" w:space="0" w:color="auto"/>
                <w:left w:val="none" w:sz="0" w:space="0" w:color="auto"/>
                <w:bottom w:val="none" w:sz="0" w:space="0" w:color="auto"/>
                <w:right w:val="none" w:sz="0" w:space="0" w:color="auto"/>
              </w:divBdr>
            </w:div>
            <w:div w:id="1959331514">
              <w:marLeft w:val="0"/>
              <w:marRight w:val="0"/>
              <w:marTop w:val="0"/>
              <w:marBottom w:val="0"/>
              <w:divBdr>
                <w:top w:val="none" w:sz="0" w:space="0" w:color="auto"/>
                <w:left w:val="none" w:sz="0" w:space="0" w:color="auto"/>
                <w:bottom w:val="none" w:sz="0" w:space="0" w:color="auto"/>
                <w:right w:val="none" w:sz="0" w:space="0" w:color="auto"/>
              </w:divBdr>
            </w:div>
            <w:div w:id="1992446203">
              <w:marLeft w:val="0"/>
              <w:marRight w:val="0"/>
              <w:marTop w:val="0"/>
              <w:marBottom w:val="0"/>
              <w:divBdr>
                <w:top w:val="none" w:sz="0" w:space="0" w:color="auto"/>
                <w:left w:val="none" w:sz="0" w:space="0" w:color="auto"/>
                <w:bottom w:val="none" w:sz="0" w:space="0" w:color="auto"/>
                <w:right w:val="none" w:sz="0" w:space="0" w:color="auto"/>
              </w:divBdr>
            </w:div>
            <w:div w:id="2053114450">
              <w:marLeft w:val="0"/>
              <w:marRight w:val="0"/>
              <w:marTop w:val="0"/>
              <w:marBottom w:val="0"/>
              <w:divBdr>
                <w:top w:val="none" w:sz="0" w:space="0" w:color="auto"/>
                <w:left w:val="none" w:sz="0" w:space="0" w:color="auto"/>
                <w:bottom w:val="none" w:sz="0" w:space="0" w:color="auto"/>
                <w:right w:val="none" w:sz="0" w:space="0" w:color="auto"/>
              </w:divBdr>
            </w:div>
            <w:div w:id="2104377778">
              <w:marLeft w:val="0"/>
              <w:marRight w:val="0"/>
              <w:marTop w:val="0"/>
              <w:marBottom w:val="0"/>
              <w:divBdr>
                <w:top w:val="none" w:sz="0" w:space="0" w:color="auto"/>
                <w:left w:val="none" w:sz="0" w:space="0" w:color="auto"/>
                <w:bottom w:val="none" w:sz="0" w:space="0" w:color="auto"/>
                <w:right w:val="none" w:sz="0" w:space="0" w:color="auto"/>
              </w:divBdr>
            </w:div>
          </w:divsChild>
        </w:div>
        <w:div w:id="1083452452">
          <w:marLeft w:val="0"/>
          <w:marRight w:val="0"/>
          <w:marTop w:val="0"/>
          <w:marBottom w:val="0"/>
          <w:divBdr>
            <w:top w:val="none" w:sz="0" w:space="0" w:color="auto"/>
            <w:left w:val="none" w:sz="0" w:space="0" w:color="auto"/>
            <w:bottom w:val="none" w:sz="0" w:space="0" w:color="auto"/>
            <w:right w:val="none" w:sz="0" w:space="0" w:color="auto"/>
          </w:divBdr>
          <w:divsChild>
            <w:div w:id="152651778">
              <w:marLeft w:val="0"/>
              <w:marRight w:val="0"/>
              <w:marTop w:val="0"/>
              <w:marBottom w:val="0"/>
              <w:divBdr>
                <w:top w:val="none" w:sz="0" w:space="0" w:color="auto"/>
                <w:left w:val="none" w:sz="0" w:space="0" w:color="auto"/>
                <w:bottom w:val="none" w:sz="0" w:space="0" w:color="auto"/>
                <w:right w:val="none" w:sz="0" w:space="0" w:color="auto"/>
              </w:divBdr>
            </w:div>
            <w:div w:id="158469270">
              <w:marLeft w:val="0"/>
              <w:marRight w:val="0"/>
              <w:marTop w:val="0"/>
              <w:marBottom w:val="0"/>
              <w:divBdr>
                <w:top w:val="none" w:sz="0" w:space="0" w:color="auto"/>
                <w:left w:val="none" w:sz="0" w:space="0" w:color="auto"/>
                <w:bottom w:val="none" w:sz="0" w:space="0" w:color="auto"/>
                <w:right w:val="none" w:sz="0" w:space="0" w:color="auto"/>
              </w:divBdr>
            </w:div>
            <w:div w:id="220798408">
              <w:marLeft w:val="0"/>
              <w:marRight w:val="0"/>
              <w:marTop w:val="0"/>
              <w:marBottom w:val="0"/>
              <w:divBdr>
                <w:top w:val="none" w:sz="0" w:space="0" w:color="auto"/>
                <w:left w:val="none" w:sz="0" w:space="0" w:color="auto"/>
                <w:bottom w:val="none" w:sz="0" w:space="0" w:color="auto"/>
                <w:right w:val="none" w:sz="0" w:space="0" w:color="auto"/>
              </w:divBdr>
            </w:div>
            <w:div w:id="235752047">
              <w:marLeft w:val="0"/>
              <w:marRight w:val="0"/>
              <w:marTop w:val="0"/>
              <w:marBottom w:val="0"/>
              <w:divBdr>
                <w:top w:val="none" w:sz="0" w:space="0" w:color="auto"/>
                <w:left w:val="none" w:sz="0" w:space="0" w:color="auto"/>
                <w:bottom w:val="none" w:sz="0" w:space="0" w:color="auto"/>
                <w:right w:val="none" w:sz="0" w:space="0" w:color="auto"/>
              </w:divBdr>
            </w:div>
            <w:div w:id="522867015">
              <w:marLeft w:val="0"/>
              <w:marRight w:val="0"/>
              <w:marTop w:val="0"/>
              <w:marBottom w:val="0"/>
              <w:divBdr>
                <w:top w:val="none" w:sz="0" w:space="0" w:color="auto"/>
                <w:left w:val="none" w:sz="0" w:space="0" w:color="auto"/>
                <w:bottom w:val="none" w:sz="0" w:space="0" w:color="auto"/>
                <w:right w:val="none" w:sz="0" w:space="0" w:color="auto"/>
              </w:divBdr>
            </w:div>
            <w:div w:id="555550707">
              <w:marLeft w:val="0"/>
              <w:marRight w:val="0"/>
              <w:marTop w:val="0"/>
              <w:marBottom w:val="0"/>
              <w:divBdr>
                <w:top w:val="none" w:sz="0" w:space="0" w:color="auto"/>
                <w:left w:val="none" w:sz="0" w:space="0" w:color="auto"/>
                <w:bottom w:val="none" w:sz="0" w:space="0" w:color="auto"/>
                <w:right w:val="none" w:sz="0" w:space="0" w:color="auto"/>
              </w:divBdr>
            </w:div>
            <w:div w:id="584731378">
              <w:marLeft w:val="0"/>
              <w:marRight w:val="0"/>
              <w:marTop w:val="0"/>
              <w:marBottom w:val="0"/>
              <w:divBdr>
                <w:top w:val="none" w:sz="0" w:space="0" w:color="auto"/>
                <w:left w:val="none" w:sz="0" w:space="0" w:color="auto"/>
                <w:bottom w:val="none" w:sz="0" w:space="0" w:color="auto"/>
                <w:right w:val="none" w:sz="0" w:space="0" w:color="auto"/>
              </w:divBdr>
            </w:div>
            <w:div w:id="601498071">
              <w:marLeft w:val="0"/>
              <w:marRight w:val="0"/>
              <w:marTop w:val="0"/>
              <w:marBottom w:val="0"/>
              <w:divBdr>
                <w:top w:val="none" w:sz="0" w:space="0" w:color="auto"/>
                <w:left w:val="none" w:sz="0" w:space="0" w:color="auto"/>
                <w:bottom w:val="none" w:sz="0" w:space="0" w:color="auto"/>
                <w:right w:val="none" w:sz="0" w:space="0" w:color="auto"/>
              </w:divBdr>
            </w:div>
            <w:div w:id="606349873">
              <w:marLeft w:val="0"/>
              <w:marRight w:val="0"/>
              <w:marTop w:val="0"/>
              <w:marBottom w:val="0"/>
              <w:divBdr>
                <w:top w:val="none" w:sz="0" w:space="0" w:color="auto"/>
                <w:left w:val="none" w:sz="0" w:space="0" w:color="auto"/>
                <w:bottom w:val="none" w:sz="0" w:space="0" w:color="auto"/>
                <w:right w:val="none" w:sz="0" w:space="0" w:color="auto"/>
              </w:divBdr>
            </w:div>
            <w:div w:id="899172116">
              <w:marLeft w:val="0"/>
              <w:marRight w:val="0"/>
              <w:marTop w:val="0"/>
              <w:marBottom w:val="0"/>
              <w:divBdr>
                <w:top w:val="none" w:sz="0" w:space="0" w:color="auto"/>
                <w:left w:val="none" w:sz="0" w:space="0" w:color="auto"/>
                <w:bottom w:val="none" w:sz="0" w:space="0" w:color="auto"/>
                <w:right w:val="none" w:sz="0" w:space="0" w:color="auto"/>
              </w:divBdr>
            </w:div>
            <w:div w:id="908002398">
              <w:marLeft w:val="0"/>
              <w:marRight w:val="0"/>
              <w:marTop w:val="0"/>
              <w:marBottom w:val="0"/>
              <w:divBdr>
                <w:top w:val="none" w:sz="0" w:space="0" w:color="auto"/>
                <w:left w:val="none" w:sz="0" w:space="0" w:color="auto"/>
                <w:bottom w:val="none" w:sz="0" w:space="0" w:color="auto"/>
                <w:right w:val="none" w:sz="0" w:space="0" w:color="auto"/>
              </w:divBdr>
            </w:div>
            <w:div w:id="1026128938">
              <w:marLeft w:val="0"/>
              <w:marRight w:val="0"/>
              <w:marTop w:val="0"/>
              <w:marBottom w:val="0"/>
              <w:divBdr>
                <w:top w:val="none" w:sz="0" w:space="0" w:color="auto"/>
                <w:left w:val="none" w:sz="0" w:space="0" w:color="auto"/>
                <w:bottom w:val="none" w:sz="0" w:space="0" w:color="auto"/>
                <w:right w:val="none" w:sz="0" w:space="0" w:color="auto"/>
              </w:divBdr>
            </w:div>
            <w:div w:id="1090195353">
              <w:marLeft w:val="0"/>
              <w:marRight w:val="0"/>
              <w:marTop w:val="0"/>
              <w:marBottom w:val="0"/>
              <w:divBdr>
                <w:top w:val="none" w:sz="0" w:space="0" w:color="auto"/>
                <w:left w:val="none" w:sz="0" w:space="0" w:color="auto"/>
                <w:bottom w:val="none" w:sz="0" w:space="0" w:color="auto"/>
                <w:right w:val="none" w:sz="0" w:space="0" w:color="auto"/>
              </w:divBdr>
            </w:div>
            <w:div w:id="1135412228">
              <w:marLeft w:val="0"/>
              <w:marRight w:val="0"/>
              <w:marTop w:val="0"/>
              <w:marBottom w:val="0"/>
              <w:divBdr>
                <w:top w:val="none" w:sz="0" w:space="0" w:color="auto"/>
                <w:left w:val="none" w:sz="0" w:space="0" w:color="auto"/>
                <w:bottom w:val="none" w:sz="0" w:space="0" w:color="auto"/>
                <w:right w:val="none" w:sz="0" w:space="0" w:color="auto"/>
              </w:divBdr>
            </w:div>
            <w:div w:id="1148547942">
              <w:marLeft w:val="0"/>
              <w:marRight w:val="0"/>
              <w:marTop w:val="0"/>
              <w:marBottom w:val="0"/>
              <w:divBdr>
                <w:top w:val="none" w:sz="0" w:space="0" w:color="auto"/>
                <w:left w:val="none" w:sz="0" w:space="0" w:color="auto"/>
                <w:bottom w:val="none" w:sz="0" w:space="0" w:color="auto"/>
                <w:right w:val="none" w:sz="0" w:space="0" w:color="auto"/>
              </w:divBdr>
            </w:div>
            <w:div w:id="1540967337">
              <w:marLeft w:val="0"/>
              <w:marRight w:val="0"/>
              <w:marTop w:val="0"/>
              <w:marBottom w:val="0"/>
              <w:divBdr>
                <w:top w:val="none" w:sz="0" w:space="0" w:color="auto"/>
                <w:left w:val="none" w:sz="0" w:space="0" w:color="auto"/>
                <w:bottom w:val="none" w:sz="0" w:space="0" w:color="auto"/>
                <w:right w:val="none" w:sz="0" w:space="0" w:color="auto"/>
              </w:divBdr>
            </w:div>
            <w:div w:id="1638754258">
              <w:marLeft w:val="0"/>
              <w:marRight w:val="0"/>
              <w:marTop w:val="0"/>
              <w:marBottom w:val="0"/>
              <w:divBdr>
                <w:top w:val="none" w:sz="0" w:space="0" w:color="auto"/>
                <w:left w:val="none" w:sz="0" w:space="0" w:color="auto"/>
                <w:bottom w:val="none" w:sz="0" w:space="0" w:color="auto"/>
                <w:right w:val="none" w:sz="0" w:space="0" w:color="auto"/>
              </w:divBdr>
            </w:div>
            <w:div w:id="2015184398">
              <w:marLeft w:val="0"/>
              <w:marRight w:val="0"/>
              <w:marTop w:val="0"/>
              <w:marBottom w:val="0"/>
              <w:divBdr>
                <w:top w:val="none" w:sz="0" w:space="0" w:color="auto"/>
                <w:left w:val="none" w:sz="0" w:space="0" w:color="auto"/>
                <w:bottom w:val="none" w:sz="0" w:space="0" w:color="auto"/>
                <w:right w:val="none" w:sz="0" w:space="0" w:color="auto"/>
              </w:divBdr>
            </w:div>
            <w:div w:id="20665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030">
      <w:bodyDiv w:val="1"/>
      <w:marLeft w:val="0"/>
      <w:marRight w:val="0"/>
      <w:marTop w:val="0"/>
      <w:marBottom w:val="0"/>
      <w:divBdr>
        <w:top w:val="none" w:sz="0" w:space="0" w:color="auto"/>
        <w:left w:val="none" w:sz="0" w:space="0" w:color="auto"/>
        <w:bottom w:val="none" w:sz="0" w:space="0" w:color="auto"/>
        <w:right w:val="none" w:sz="0" w:space="0" w:color="auto"/>
      </w:divBdr>
      <w:divsChild>
        <w:div w:id="19749363">
          <w:marLeft w:val="0"/>
          <w:marRight w:val="0"/>
          <w:marTop w:val="0"/>
          <w:marBottom w:val="0"/>
          <w:divBdr>
            <w:top w:val="none" w:sz="0" w:space="0" w:color="auto"/>
            <w:left w:val="none" w:sz="0" w:space="0" w:color="auto"/>
            <w:bottom w:val="none" w:sz="0" w:space="0" w:color="auto"/>
            <w:right w:val="none" w:sz="0" w:space="0" w:color="auto"/>
          </w:divBdr>
          <w:divsChild>
            <w:div w:id="995885710">
              <w:marLeft w:val="0"/>
              <w:marRight w:val="0"/>
              <w:marTop w:val="0"/>
              <w:marBottom w:val="0"/>
              <w:divBdr>
                <w:top w:val="none" w:sz="0" w:space="0" w:color="auto"/>
                <w:left w:val="none" w:sz="0" w:space="0" w:color="auto"/>
                <w:bottom w:val="none" w:sz="0" w:space="0" w:color="auto"/>
                <w:right w:val="none" w:sz="0" w:space="0" w:color="auto"/>
              </w:divBdr>
            </w:div>
          </w:divsChild>
        </w:div>
        <w:div w:id="33040106">
          <w:marLeft w:val="0"/>
          <w:marRight w:val="0"/>
          <w:marTop w:val="0"/>
          <w:marBottom w:val="0"/>
          <w:divBdr>
            <w:top w:val="none" w:sz="0" w:space="0" w:color="auto"/>
            <w:left w:val="none" w:sz="0" w:space="0" w:color="auto"/>
            <w:bottom w:val="none" w:sz="0" w:space="0" w:color="auto"/>
            <w:right w:val="none" w:sz="0" w:space="0" w:color="auto"/>
          </w:divBdr>
          <w:divsChild>
            <w:div w:id="928583050">
              <w:marLeft w:val="0"/>
              <w:marRight w:val="0"/>
              <w:marTop w:val="0"/>
              <w:marBottom w:val="0"/>
              <w:divBdr>
                <w:top w:val="none" w:sz="0" w:space="0" w:color="auto"/>
                <w:left w:val="none" w:sz="0" w:space="0" w:color="auto"/>
                <w:bottom w:val="none" w:sz="0" w:space="0" w:color="auto"/>
                <w:right w:val="none" w:sz="0" w:space="0" w:color="auto"/>
              </w:divBdr>
            </w:div>
          </w:divsChild>
        </w:div>
        <w:div w:id="54090267">
          <w:marLeft w:val="0"/>
          <w:marRight w:val="0"/>
          <w:marTop w:val="0"/>
          <w:marBottom w:val="0"/>
          <w:divBdr>
            <w:top w:val="none" w:sz="0" w:space="0" w:color="auto"/>
            <w:left w:val="none" w:sz="0" w:space="0" w:color="auto"/>
            <w:bottom w:val="none" w:sz="0" w:space="0" w:color="auto"/>
            <w:right w:val="none" w:sz="0" w:space="0" w:color="auto"/>
          </w:divBdr>
          <w:divsChild>
            <w:div w:id="1992177144">
              <w:marLeft w:val="0"/>
              <w:marRight w:val="0"/>
              <w:marTop w:val="0"/>
              <w:marBottom w:val="0"/>
              <w:divBdr>
                <w:top w:val="none" w:sz="0" w:space="0" w:color="auto"/>
                <w:left w:val="none" w:sz="0" w:space="0" w:color="auto"/>
                <w:bottom w:val="none" w:sz="0" w:space="0" w:color="auto"/>
                <w:right w:val="none" w:sz="0" w:space="0" w:color="auto"/>
              </w:divBdr>
            </w:div>
          </w:divsChild>
        </w:div>
        <w:div w:id="56444967">
          <w:marLeft w:val="0"/>
          <w:marRight w:val="0"/>
          <w:marTop w:val="0"/>
          <w:marBottom w:val="0"/>
          <w:divBdr>
            <w:top w:val="none" w:sz="0" w:space="0" w:color="auto"/>
            <w:left w:val="none" w:sz="0" w:space="0" w:color="auto"/>
            <w:bottom w:val="none" w:sz="0" w:space="0" w:color="auto"/>
            <w:right w:val="none" w:sz="0" w:space="0" w:color="auto"/>
          </w:divBdr>
          <w:divsChild>
            <w:div w:id="108932606">
              <w:marLeft w:val="0"/>
              <w:marRight w:val="0"/>
              <w:marTop w:val="0"/>
              <w:marBottom w:val="0"/>
              <w:divBdr>
                <w:top w:val="none" w:sz="0" w:space="0" w:color="auto"/>
                <w:left w:val="none" w:sz="0" w:space="0" w:color="auto"/>
                <w:bottom w:val="none" w:sz="0" w:space="0" w:color="auto"/>
                <w:right w:val="none" w:sz="0" w:space="0" w:color="auto"/>
              </w:divBdr>
            </w:div>
          </w:divsChild>
        </w:div>
        <w:div w:id="83039572">
          <w:marLeft w:val="0"/>
          <w:marRight w:val="0"/>
          <w:marTop w:val="0"/>
          <w:marBottom w:val="0"/>
          <w:divBdr>
            <w:top w:val="none" w:sz="0" w:space="0" w:color="auto"/>
            <w:left w:val="none" w:sz="0" w:space="0" w:color="auto"/>
            <w:bottom w:val="none" w:sz="0" w:space="0" w:color="auto"/>
            <w:right w:val="none" w:sz="0" w:space="0" w:color="auto"/>
          </w:divBdr>
          <w:divsChild>
            <w:div w:id="1049113106">
              <w:marLeft w:val="0"/>
              <w:marRight w:val="0"/>
              <w:marTop w:val="0"/>
              <w:marBottom w:val="0"/>
              <w:divBdr>
                <w:top w:val="none" w:sz="0" w:space="0" w:color="auto"/>
                <w:left w:val="none" w:sz="0" w:space="0" w:color="auto"/>
                <w:bottom w:val="none" w:sz="0" w:space="0" w:color="auto"/>
                <w:right w:val="none" w:sz="0" w:space="0" w:color="auto"/>
              </w:divBdr>
            </w:div>
          </w:divsChild>
        </w:div>
        <w:div w:id="94787660">
          <w:marLeft w:val="0"/>
          <w:marRight w:val="0"/>
          <w:marTop w:val="0"/>
          <w:marBottom w:val="0"/>
          <w:divBdr>
            <w:top w:val="none" w:sz="0" w:space="0" w:color="auto"/>
            <w:left w:val="none" w:sz="0" w:space="0" w:color="auto"/>
            <w:bottom w:val="none" w:sz="0" w:space="0" w:color="auto"/>
            <w:right w:val="none" w:sz="0" w:space="0" w:color="auto"/>
          </w:divBdr>
          <w:divsChild>
            <w:div w:id="492451884">
              <w:marLeft w:val="0"/>
              <w:marRight w:val="0"/>
              <w:marTop w:val="0"/>
              <w:marBottom w:val="0"/>
              <w:divBdr>
                <w:top w:val="none" w:sz="0" w:space="0" w:color="auto"/>
                <w:left w:val="none" w:sz="0" w:space="0" w:color="auto"/>
                <w:bottom w:val="none" w:sz="0" w:space="0" w:color="auto"/>
                <w:right w:val="none" w:sz="0" w:space="0" w:color="auto"/>
              </w:divBdr>
            </w:div>
          </w:divsChild>
        </w:div>
        <w:div w:id="104279149">
          <w:marLeft w:val="0"/>
          <w:marRight w:val="0"/>
          <w:marTop w:val="0"/>
          <w:marBottom w:val="0"/>
          <w:divBdr>
            <w:top w:val="none" w:sz="0" w:space="0" w:color="auto"/>
            <w:left w:val="none" w:sz="0" w:space="0" w:color="auto"/>
            <w:bottom w:val="none" w:sz="0" w:space="0" w:color="auto"/>
            <w:right w:val="none" w:sz="0" w:space="0" w:color="auto"/>
          </w:divBdr>
          <w:divsChild>
            <w:div w:id="1610359677">
              <w:marLeft w:val="0"/>
              <w:marRight w:val="0"/>
              <w:marTop w:val="0"/>
              <w:marBottom w:val="0"/>
              <w:divBdr>
                <w:top w:val="none" w:sz="0" w:space="0" w:color="auto"/>
                <w:left w:val="none" w:sz="0" w:space="0" w:color="auto"/>
                <w:bottom w:val="none" w:sz="0" w:space="0" w:color="auto"/>
                <w:right w:val="none" w:sz="0" w:space="0" w:color="auto"/>
              </w:divBdr>
            </w:div>
          </w:divsChild>
        </w:div>
        <w:div w:id="120421726">
          <w:marLeft w:val="0"/>
          <w:marRight w:val="0"/>
          <w:marTop w:val="0"/>
          <w:marBottom w:val="0"/>
          <w:divBdr>
            <w:top w:val="none" w:sz="0" w:space="0" w:color="auto"/>
            <w:left w:val="none" w:sz="0" w:space="0" w:color="auto"/>
            <w:bottom w:val="none" w:sz="0" w:space="0" w:color="auto"/>
            <w:right w:val="none" w:sz="0" w:space="0" w:color="auto"/>
          </w:divBdr>
          <w:divsChild>
            <w:div w:id="1107118282">
              <w:marLeft w:val="0"/>
              <w:marRight w:val="0"/>
              <w:marTop w:val="0"/>
              <w:marBottom w:val="0"/>
              <w:divBdr>
                <w:top w:val="none" w:sz="0" w:space="0" w:color="auto"/>
                <w:left w:val="none" w:sz="0" w:space="0" w:color="auto"/>
                <w:bottom w:val="none" w:sz="0" w:space="0" w:color="auto"/>
                <w:right w:val="none" w:sz="0" w:space="0" w:color="auto"/>
              </w:divBdr>
            </w:div>
          </w:divsChild>
        </w:div>
        <w:div w:id="130173581">
          <w:marLeft w:val="0"/>
          <w:marRight w:val="0"/>
          <w:marTop w:val="0"/>
          <w:marBottom w:val="0"/>
          <w:divBdr>
            <w:top w:val="none" w:sz="0" w:space="0" w:color="auto"/>
            <w:left w:val="none" w:sz="0" w:space="0" w:color="auto"/>
            <w:bottom w:val="none" w:sz="0" w:space="0" w:color="auto"/>
            <w:right w:val="none" w:sz="0" w:space="0" w:color="auto"/>
          </w:divBdr>
          <w:divsChild>
            <w:div w:id="4670429">
              <w:marLeft w:val="0"/>
              <w:marRight w:val="0"/>
              <w:marTop w:val="0"/>
              <w:marBottom w:val="0"/>
              <w:divBdr>
                <w:top w:val="none" w:sz="0" w:space="0" w:color="auto"/>
                <w:left w:val="none" w:sz="0" w:space="0" w:color="auto"/>
                <w:bottom w:val="none" w:sz="0" w:space="0" w:color="auto"/>
                <w:right w:val="none" w:sz="0" w:space="0" w:color="auto"/>
              </w:divBdr>
            </w:div>
          </w:divsChild>
        </w:div>
        <w:div w:id="131022250">
          <w:marLeft w:val="0"/>
          <w:marRight w:val="0"/>
          <w:marTop w:val="0"/>
          <w:marBottom w:val="0"/>
          <w:divBdr>
            <w:top w:val="none" w:sz="0" w:space="0" w:color="auto"/>
            <w:left w:val="none" w:sz="0" w:space="0" w:color="auto"/>
            <w:bottom w:val="none" w:sz="0" w:space="0" w:color="auto"/>
            <w:right w:val="none" w:sz="0" w:space="0" w:color="auto"/>
          </w:divBdr>
          <w:divsChild>
            <w:div w:id="1209683250">
              <w:marLeft w:val="0"/>
              <w:marRight w:val="0"/>
              <w:marTop w:val="0"/>
              <w:marBottom w:val="0"/>
              <w:divBdr>
                <w:top w:val="none" w:sz="0" w:space="0" w:color="auto"/>
                <w:left w:val="none" w:sz="0" w:space="0" w:color="auto"/>
                <w:bottom w:val="none" w:sz="0" w:space="0" w:color="auto"/>
                <w:right w:val="none" w:sz="0" w:space="0" w:color="auto"/>
              </w:divBdr>
            </w:div>
          </w:divsChild>
        </w:div>
        <w:div w:id="147790863">
          <w:marLeft w:val="0"/>
          <w:marRight w:val="0"/>
          <w:marTop w:val="0"/>
          <w:marBottom w:val="0"/>
          <w:divBdr>
            <w:top w:val="none" w:sz="0" w:space="0" w:color="auto"/>
            <w:left w:val="none" w:sz="0" w:space="0" w:color="auto"/>
            <w:bottom w:val="none" w:sz="0" w:space="0" w:color="auto"/>
            <w:right w:val="none" w:sz="0" w:space="0" w:color="auto"/>
          </w:divBdr>
          <w:divsChild>
            <w:div w:id="1618563541">
              <w:marLeft w:val="0"/>
              <w:marRight w:val="0"/>
              <w:marTop w:val="0"/>
              <w:marBottom w:val="0"/>
              <w:divBdr>
                <w:top w:val="none" w:sz="0" w:space="0" w:color="auto"/>
                <w:left w:val="none" w:sz="0" w:space="0" w:color="auto"/>
                <w:bottom w:val="none" w:sz="0" w:space="0" w:color="auto"/>
                <w:right w:val="none" w:sz="0" w:space="0" w:color="auto"/>
              </w:divBdr>
            </w:div>
          </w:divsChild>
        </w:div>
        <w:div w:id="156044588">
          <w:marLeft w:val="0"/>
          <w:marRight w:val="0"/>
          <w:marTop w:val="0"/>
          <w:marBottom w:val="0"/>
          <w:divBdr>
            <w:top w:val="none" w:sz="0" w:space="0" w:color="auto"/>
            <w:left w:val="none" w:sz="0" w:space="0" w:color="auto"/>
            <w:bottom w:val="none" w:sz="0" w:space="0" w:color="auto"/>
            <w:right w:val="none" w:sz="0" w:space="0" w:color="auto"/>
          </w:divBdr>
          <w:divsChild>
            <w:div w:id="680812114">
              <w:marLeft w:val="0"/>
              <w:marRight w:val="0"/>
              <w:marTop w:val="0"/>
              <w:marBottom w:val="0"/>
              <w:divBdr>
                <w:top w:val="none" w:sz="0" w:space="0" w:color="auto"/>
                <w:left w:val="none" w:sz="0" w:space="0" w:color="auto"/>
                <w:bottom w:val="none" w:sz="0" w:space="0" w:color="auto"/>
                <w:right w:val="none" w:sz="0" w:space="0" w:color="auto"/>
              </w:divBdr>
            </w:div>
          </w:divsChild>
        </w:div>
        <w:div w:id="159851620">
          <w:marLeft w:val="0"/>
          <w:marRight w:val="0"/>
          <w:marTop w:val="0"/>
          <w:marBottom w:val="0"/>
          <w:divBdr>
            <w:top w:val="none" w:sz="0" w:space="0" w:color="auto"/>
            <w:left w:val="none" w:sz="0" w:space="0" w:color="auto"/>
            <w:bottom w:val="none" w:sz="0" w:space="0" w:color="auto"/>
            <w:right w:val="none" w:sz="0" w:space="0" w:color="auto"/>
          </w:divBdr>
          <w:divsChild>
            <w:div w:id="1658877150">
              <w:marLeft w:val="0"/>
              <w:marRight w:val="0"/>
              <w:marTop w:val="0"/>
              <w:marBottom w:val="0"/>
              <w:divBdr>
                <w:top w:val="none" w:sz="0" w:space="0" w:color="auto"/>
                <w:left w:val="none" w:sz="0" w:space="0" w:color="auto"/>
                <w:bottom w:val="none" w:sz="0" w:space="0" w:color="auto"/>
                <w:right w:val="none" w:sz="0" w:space="0" w:color="auto"/>
              </w:divBdr>
            </w:div>
          </w:divsChild>
        </w:div>
        <w:div w:id="177886503">
          <w:marLeft w:val="0"/>
          <w:marRight w:val="0"/>
          <w:marTop w:val="0"/>
          <w:marBottom w:val="0"/>
          <w:divBdr>
            <w:top w:val="none" w:sz="0" w:space="0" w:color="auto"/>
            <w:left w:val="none" w:sz="0" w:space="0" w:color="auto"/>
            <w:bottom w:val="none" w:sz="0" w:space="0" w:color="auto"/>
            <w:right w:val="none" w:sz="0" w:space="0" w:color="auto"/>
          </w:divBdr>
          <w:divsChild>
            <w:div w:id="84881995">
              <w:marLeft w:val="0"/>
              <w:marRight w:val="0"/>
              <w:marTop w:val="0"/>
              <w:marBottom w:val="0"/>
              <w:divBdr>
                <w:top w:val="none" w:sz="0" w:space="0" w:color="auto"/>
                <w:left w:val="none" w:sz="0" w:space="0" w:color="auto"/>
                <w:bottom w:val="none" w:sz="0" w:space="0" w:color="auto"/>
                <w:right w:val="none" w:sz="0" w:space="0" w:color="auto"/>
              </w:divBdr>
            </w:div>
          </w:divsChild>
        </w:div>
        <w:div w:id="213352165">
          <w:marLeft w:val="0"/>
          <w:marRight w:val="0"/>
          <w:marTop w:val="0"/>
          <w:marBottom w:val="0"/>
          <w:divBdr>
            <w:top w:val="none" w:sz="0" w:space="0" w:color="auto"/>
            <w:left w:val="none" w:sz="0" w:space="0" w:color="auto"/>
            <w:bottom w:val="none" w:sz="0" w:space="0" w:color="auto"/>
            <w:right w:val="none" w:sz="0" w:space="0" w:color="auto"/>
          </w:divBdr>
          <w:divsChild>
            <w:div w:id="278727037">
              <w:marLeft w:val="0"/>
              <w:marRight w:val="0"/>
              <w:marTop w:val="0"/>
              <w:marBottom w:val="0"/>
              <w:divBdr>
                <w:top w:val="none" w:sz="0" w:space="0" w:color="auto"/>
                <w:left w:val="none" w:sz="0" w:space="0" w:color="auto"/>
                <w:bottom w:val="none" w:sz="0" w:space="0" w:color="auto"/>
                <w:right w:val="none" w:sz="0" w:space="0" w:color="auto"/>
              </w:divBdr>
            </w:div>
          </w:divsChild>
        </w:div>
        <w:div w:id="294144883">
          <w:marLeft w:val="0"/>
          <w:marRight w:val="0"/>
          <w:marTop w:val="0"/>
          <w:marBottom w:val="0"/>
          <w:divBdr>
            <w:top w:val="none" w:sz="0" w:space="0" w:color="auto"/>
            <w:left w:val="none" w:sz="0" w:space="0" w:color="auto"/>
            <w:bottom w:val="none" w:sz="0" w:space="0" w:color="auto"/>
            <w:right w:val="none" w:sz="0" w:space="0" w:color="auto"/>
          </w:divBdr>
          <w:divsChild>
            <w:div w:id="1286616368">
              <w:marLeft w:val="0"/>
              <w:marRight w:val="0"/>
              <w:marTop w:val="0"/>
              <w:marBottom w:val="0"/>
              <w:divBdr>
                <w:top w:val="none" w:sz="0" w:space="0" w:color="auto"/>
                <w:left w:val="none" w:sz="0" w:space="0" w:color="auto"/>
                <w:bottom w:val="none" w:sz="0" w:space="0" w:color="auto"/>
                <w:right w:val="none" w:sz="0" w:space="0" w:color="auto"/>
              </w:divBdr>
            </w:div>
          </w:divsChild>
        </w:div>
        <w:div w:id="302660958">
          <w:marLeft w:val="0"/>
          <w:marRight w:val="0"/>
          <w:marTop w:val="0"/>
          <w:marBottom w:val="0"/>
          <w:divBdr>
            <w:top w:val="none" w:sz="0" w:space="0" w:color="auto"/>
            <w:left w:val="none" w:sz="0" w:space="0" w:color="auto"/>
            <w:bottom w:val="none" w:sz="0" w:space="0" w:color="auto"/>
            <w:right w:val="none" w:sz="0" w:space="0" w:color="auto"/>
          </w:divBdr>
          <w:divsChild>
            <w:div w:id="450244805">
              <w:marLeft w:val="0"/>
              <w:marRight w:val="0"/>
              <w:marTop w:val="0"/>
              <w:marBottom w:val="0"/>
              <w:divBdr>
                <w:top w:val="none" w:sz="0" w:space="0" w:color="auto"/>
                <w:left w:val="none" w:sz="0" w:space="0" w:color="auto"/>
                <w:bottom w:val="none" w:sz="0" w:space="0" w:color="auto"/>
                <w:right w:val="none" w:sz="0" w:space="0" w:color="auto"/>
              </w:divBdr>
            </w:div>
          </w:divsChild>
        </w:div>
        <w:div w:id="411703976">
          <w:marLeft w:val="0"/>
          <w:marRight w:val="0"/>
          <w:marTop w:val="0"/>
          <w:marBottom w:val="0"/>
          <w:divBdr>
            <w:top w:val="none" w:sz="0" w:space="0" w:color="auto"/>
            <w:left w:val="none" w:sz="0" w:space="0" w:color="auto"/>
            <w:bottom w:val="none" w:sz="0" w:space="0" w:color="auto"/>
            <w:right w:val="none" w:sz="0" w:space="0" w:color="auto"/>
          </w:divBdr>
          <w:divsChild>
            <w:div w:id="1542522020">
              <w:marLeft w:val="0"/>
              <w:marRight w:val="0"/>
              <w:marTop w:val="0"/>
              <w:marBottom w:val="0"/>
              <w:divBdr>
                <w:top w:val="none" w:sz="0" w:space="0" w:color="auto"/>
                <w:left w:val="none" w:sz="0" w:space="0" w:color="auto"/>
                <w:bottom w:val="none" w:sz="0" w:space="0" w:color="auto"/>
                <w:right w:val="none" w:sz="0" w:space="0" w:color="auto"/>
              </w:divBdr>
            </w:div>
          </w:divsChild>
        </w:div>
        <w:div w:id="427434915">
          <w:marLeft w:val="0"/>
          <w:marRight w:val="0"/>
          <w:marTop w:val="0"/>
          <w:marBottom w:val="0"/>
          <w:divBdr>
            <w:top w:val="none" w:sz="0" w:space="0" w:color="auto"/>
            <w:left w:val="none" w:sz="0" w:space="0" w:color="auto"/>
            <w:bottom w:val="none" w:sz="0" w:space="0" w:color="auto"/>
            <w:right w:val="none" w:sz="0" w:space="0" w:color="auto"/>
          </w:divBdr>
          <w:divsChild>
            <w:div w:id="597954618">
              <w:marLeft w:val="0"/>
              <w:marRight w:val="0"/>
              <w:marTop w:val="0"/>
              <w:marBottom w:val="0"/>
              <w:divBdr>
                <w:top w:val="none" w:sz="0" w:space="0" w:color="auto"/>
                <w:left w:val="none" w:sz="0" w:space="0" w:color="auto"/>
                <w:bottom w:val="none" w:sz="0" w:space="0" w:color="auto"/>
                <w:right w:val="none" w:sz="0" w:space="0" w:color="auto"/>
              </w:divBdr>
            </w:div>
          </w:divsChild>
        </w:div>
        <w:div w:id="450904112">
          <w:marLeft w:val="0"/>
          <w:marRight w:val="0"/>
          <w:marTop w:val="0"/>
          <w:marBottom w:val="0"/>
          <w:divBdr>
            <w:top w:val="none" w:sz="0" w:space="0" w:color="auto"/>
            <w:left w:val="none" w:sz="0" w:space="0" w:color="auto"/>
            <w:bottom w:val="none" w:sz="0" w:space="0" w:color="auto"/>
            <w:right w:val="none" w:sz="0" w:space="0" w:color="auto"/>
          </w:divBdr>
          <w:divsChild>
            <w:div w:id="1046099979">
              <w:marLeft w:val="0"/>
              <w:marRight w:val="0"/>
              <w:marTop w:val="0"/>
              <w:marBottom w:val="0"/>
              <w:divBdr>
                <w:top w:val="none" w:sz="0" w:space="0" w:color="auto"/>
                <w:left w:val="none" w:sz="0" w:space="0" w:color="auto"/>
                <w:bottom w:val="none" w:sz="0" w:space="0" w:color="auto"/>
                <w:right w:val="none" w:sz="0" w:space="0" w:color="auto"/>
              </w:divBdr>
            </w:div>
          </w:divsChild>
        </w:div>
        <w:div w:id="457648008">
          <w:marLeft w:val="0"/>
          <w:marRight w:val="0"/>
          <w:marTop w:val="0"/>
          <w:marBottom w:val="0"/>
          <w:divBdr>
            <w:top w:val="none" w:sz="0" w:space="0" w:color="auto"/>
            <w:left w:val="none" w:sz="0" w:space="0" w:color="auto"/>
            <w:bottom w:val="none" w:sz="0" w:space="0" w:color="auto"/>
            <w:right w:val="none" w:sz="0" w:space="0" w:color="auto"/>
          </w:divBdr>
          <w:divsChild>
            <w:div w:id="1311133866">
              <w:marLeft w:val="0"/>
              <w:marRight w:val="0"/>
              <w:marTop w:val="0"/>
              <w:marBottom w:val="0"/>
              <w:divBdr>
                <w:top w:val="none" w:sz="0" w:space="0" w:color="auto"/>
                <w:left w:val="none" w:sz="0" w:space="0" w:color="auto"/>
                <w:bottom w:val="none" w:sz="0" w:space="0" w:color="auto"/>
                <w:right w:val="none" w:sz="0" w:space="0" w:color="auto"/>
              </w:divBdr>
            </w:div>
          </w:divsChild>
        </w:div>
        <w:div w:id="461774960">
          <w:marLeft w:val="0"/>
          <w:marRight w:val="0"/>
          <w:marTop w:val="0"/>
          <w:marBottom w:val="0"/>
          <w:divBdr>
            <w:top w:val="none" w:sz="0" w:space="0" w:color="auto"/>
            <w:left w:val="none" w:sz="0" w:space="0" w:color="auto"/>
            <w:bottom w:val="none" w:sz="0" w:space="0" w:color="auto"/>
            <w:right w:val="none" w:sz="0" w:space="0" w:color="auto"/>
          </w:divBdr>
          <w:divsChild>
            <w:div w:id="1092121298">
              <w:marLeft w:val="0"/>
              <w:marRight w:val="0"/>
              <w:marTop w:val="0"/>
              <w:marBottom w:val="0"/>
              <w:divBdr>
                <w:top w:val="none" w:sz="0" w:space="0" w:color="auto"/>
                <w:left w:val="none" w:sz="0" w:space="0" w:color="auto"/>
                <w:bottom w:val="none" w:sz="0" w:space="0" w:color="auto"/>
                <w:right w:val="none" w:sz="0" w:space="0" w:color="auto"/>
              </w:divBdr>
            </w:div>
          </w:divsChild>
        </w:div>
        <w:div w:id="487482720">
          <w:marLeft w:val="0"/>
          <w:marRight w:val="0"/>
          <w:marTop w:val="0"/>
          <w:marBottom w:val="0"/>
          <w:divBdr>
            <w:top w:val="none" w:sz="0" w:space="0" w:color="auto"/>
            <w:left w:val="none" w:sz="0" w:space="0" w:color="auto"/>
            <w:bottom w:val="none" w:sz="0" w:space="0" w:color="auto"/>
            <w:right w:val="none" w:sz="0" w:space="0" w:color="auto"/>
          </w:divBdr>
          <w:divsChild>
            <w:div w:id="2139491012">
              <w:marLeft w:val="0"/>
              <w:marRight w:val="0"/>
              <w:marTop w:val="0"/>
              <w:marBottom w:val="0"/>
              <w:divBdr>
                <w:top w:val="none" w:sz="0" w:space="0" w:color="auto"/>
                <w:left w:val="none" w:sz="0" w:space="0" w:color="auto"/>
                <w:bottom w:val="none" w:sz="0" w:space="0" w:color="auto"/>
                <w:right w:val="none" w:sz="0" w:space="0" w:color="auto"/>
              </w:divBdr>
            </w:div>
          </w:divsChild>
        </w:div>
        <w:div w:id="508714636">
          <w:marLeft w:val="0"/>
          <w:marRight w:val="0"/>
          <w:marTop w:val="0"/>
          <w:marBottom w:val="0"/>
          <w:divBdr>
            <w:top w:val="none" w:sz="0" w:space="0" w:color="auto"/>
            <w:left w:val="none" w:sz="0" w:space="0" w:color="auto"/>
            <w:bottom w:val="none" w:sz="0" w:space="0" w:color="auto"/>
            <w:right w:val="none" w:sz="0" w:space="0" w:color="auto"/>
          </w:divBdr>
          <w:divsChild>
            <w:div w:id="1610359915">
              <w:marLeft w:val="0"/>
              <w:marRight w:val="0"/>
              <w:marTop w:val="0"/>
              <w:marBottom w:val="0"/>
              <w:divBdr>
                <w:top w:val="none" w:sz="0" w:space="0" w:color="auto"/>
                <w:left w:val="none" w:sz="0" w:space="0" w:color="auto"/>
                <w:bottom w:val="none" w:sz="0" w:space="0" w:color="auto"/>
                <w:right w:val="none" w:sz="0" w:space="0" w:color="auto"/>
              </w:divBdr>
            </w:div>
          </w:divsChild>
        </w:div>
        <w:div w:id="550043955">
          <w:marLeft w:val="0"/>
          <w:marRight w:val="0"/>
          <w:marTop w:val="0"/>
          <w:marBottom w:val="0"/>
          <w:divBdr>
            <w:top w:val="none" w:sz="0" w:space="0" w:color="auto"/>
            <w:left w:val="none" w:sz="0" w:space="0" w:color="auto"/>
            <w:bottom w:val="none" w:sz="0" w:space="0" w:color="auto"/>
            <w:right w:val="none" w:sz="0" w:space="0" w:color="auto"/>
          </w:divBdr>
          <w:divsChild>
            <w:div w:id="1588924021">
              <w:marLeft w:val="0"/>
              <w:marRight w:val="0"/>
              <w:marTop w:val="0"/>
              <w:marBottom w:val="0"/>
              <w:divBdr>
                <w:top w:val="none" w:sz="0" w:space="0" w:color="auto"/>
                <w:left w:val="none" w:sz="0" w:space="0" w:color="auto"/>
                <w:bottom w:val="none" w:sz="0" w:space="0" w:color="auto"/>
                <w:right w:val="none" w:sz="0" w:space="0" w:color="auto"/>
              </w:divBdr>
            </w:div>
          </w:divsChild>
        </w:div>
        <w:div w:id="551187660">
          <w:marLeft w:val="0"/>
          <w:marRight w:val="0"/>
          <w:marTop w:val="0"/>
          <w:marBottom w:val="0"/>
          <w:divBdr>
            <w:top w:val="none" w:sz="0" w:space="0" w:color="auto"/>
            <w:left w:val="none" w:sz="0" w:space="0" w:color="auto"/>
            <w:bottom w:val="none" w:sz="0" w:space="0" w:color="auto"/>
            <w:right w:val="none" w:sz="0" w:space="0" w:color="auto"/>
          </w:divBdr>
          <w:divsChild>
            <w:div w:id="62260799">
              <w:marLeft w:val="0"/>
              <w:marRight w:val="0"/>
              <w:marTop w:val="0"/>
              <w:marBottom w:val="0"/>
              <w:divBdr>
                <w:top w:val="none" w:sz="0" w:space="0" w:color="auto"/>
                <w:left w:val="none" w:sz="0" w:space="0" w:color="auto"/>
                <w:bottom w:val="none" w:sz="0" w:space="0" w:color="auto"/>
                <w:right w:val="none" w:sz="0" w:space="0" w:color="auto"/>
              </w:divBdr>
            </w:div>
          </w:divsChild>
        </w:div>
        <w:div w:id="587621107">
          <w:marLeft w:val="0"/>
          <w:marRight w:val="0"/>
          <w:marTop w:val="0"/>
          <w:marBottom w:val="0"/>
          <w:divBdr>
            <w:top w:val="none" w:sz="0" w:space="0" w:color="auto"/>
            <w:left w:val="none" w:sz="0" w:space="0" w:color="auto"/>
            <w:bottom w:val="none" w:sz="0" w:space="0" w:color="auto"/>
            <w:right w:val="none" w:sz="0" w:space="0" w:color="auto"/>
          </w:divBdr>
          <w:divsChild>
            <w:div w:id="1797019999">
              <w:marLeft w:val="0"/>
              <w:marRight w:val="0"/>
              <w:marTop w:val="0"/>
              <w:marBottom w:val="0"/>
              <w:divBdr>
                <w:top w:val="none" w:sz="0" w:space="0" w:color="auto"/>
                <w:left w:val="none" w:sz="0" w:space="0" w:color="auto"/>
                <w:bottom w:val="none" w:sz="0" w:space="0" w:color="auto"/>
                <w:right w:val="none" w:sz="0" w:space="0" w:color="auto"/>
              </w:divBdr>
            </w:div>
          </w:divsChild>
        </w:div>
        <w:div w:id="605384828">
          <w:marLeft w:val="0"/>
          <w:marRight w:val="0"/>
          <w:marTop w:val="0"/>
          <w:marBottom w:val="0"/>
          <w:divBdr>
            <w:top w:val="none" w:sz="0" w:space="0" w:color="auto"/>
            <w:left w:val="none" w:sz="0" w:space="0" w:color="auto"/>
            <w:bottom w:val="none" w:sz="0" w:space="0" w:color="auto"/>
            <w:right w:val="none" w:sz="0" w:space="0" w:color="auto"/>
          </w:divBdr>
          <w:divsChild>
            <w:div w:id="869687374">
              <w:marLeft w:val="0"/>
              <w:marRight w:val="0"/>
              <w:marTop w:val="0"/>
              <w:marBottom w:val="0"/>
              <w:divBdr>
                <w:top w:val="none" w:sz="0" w:space="0" w:color="auto"/>
                <w:left w:val="none" w:sz="0" w:space="0" w:color="auto"/>
                <w:bottom w:val="none" w:sz="0" w:space="0" w:color="auto"/>
                <w:right w:val="none" w:sz="0" w:space="0" w:color="auto"/>
              </w:divBdr>
            </w:div>
          </w:divsChild>
        </w:div>
        <w:div w:id="629093167">
          <w:marLeft w:val="0"/>
          <w:marRight w:val="0"/>
          <w:marTop w:val="0"/>
          <w:marBottom w:val="0"/>
          <w:divBdr>
            <w:top w:val="none" w:sz="0" w:space="0" w:color="auto"/>
            <w:left w:val="none" w:sz="0" w:space="0" w:color="auto"/>
            <w:bottom w:val="none" w:sz="0" w:space="0" w:color="auto"/>
            <w:right w:val="none" w:sz="0" w:space="0" w:color="auto"/>
          </w:divBdr>
          <w:divsChild>
            <w:div w:id="320087984">
              <w:marLeft w:val="0"/>
              <w:marRight w:val="0"/>
              <w:marTop w:val="0"/>
              <w:marBottom w:val="0"/>
              <w:divBdr>
                <w:top w:val="none" w:sz="0" w:space="0" w:color="auto"/>
                <w:left w:val="none" w:sz="0" w:space="0" w:color="auto"/>
                <w:bottom w:val="none" w:sz="0" w:space="0" w:color="auto"/>
                <w:right w:val="none" w:sz="0" w:space="0" w:color="auto"/>
              </w:divBdr>
            </w:div>
          </w:divsChild>
        </w:div>
        <w:div w:id="665939854">
          <w:marLeft w:val="0"/>
          <w:marRight w:val="0"/>
          <w:marTop w:val="0"/>
          <w:marBottom w:val="0"/>
          <w:divBdr>
            <w:top w:val="none" w:sz="0" w:space="0" w:color="auto"/>
            <w:left w:val="none" w:sz="0" w:space="0" w:color="auto"/>
            <w:bottom w:val="none" w:sz="0" w:space="0" w:color="auto"/>
            <w:right w:val="none" w:sz="0" w:space="0" w:color="auto"/>
          </w:divBdr>
          <w:divsChild>
            <w:div w:id="1030690428">
              <w:marLeft w:val="0"/>
              <w:marRight w:val="0"/>
              <w:marTop w:val="0"/>
              <w:marBottom w:val="0"/>
              <w:divBdr>
                <w:top w:val="none" w:sz="0" w:space="0" w:color="auto"/>
                <w:left w:val="none" w:sz="0" w:space="0" w:color="auto"/>
                <w:bottom w:val="none" w:sz="0" w:space="0" w:color="auto"/>
                <w:right w:val="none" w:sz="0" w:space="0" w:color="auto"/>
              </w:divBdr>
            </w:div>
          </w:divsChild>
        </w:div>
        <w:div w:id="672075298">
          <w:marLeft w:val="0"/>
          <w:marRight w:val="0"/>
          <w:marTop w:val="0"/>
          <w:marBottom w:val="0"/>
          <w:divBdr>
            <w:top w:val="none" w:sz="0" w:space="0" w:color="auto"/>
            <w:left w:val="none" w:sz="0" w:space="0" w:color="auto"/>
            <w:bottom w:val="none" w:sz="0" w:space="0" w:color="auto"/>
            <w:right w:val="none" w:sz="0" w:space="0" w:color="auto"/>
          </w:divBdr>
          <w:divsChild>
            <w:div w:id="399065637">
              <w:marLeft w:val="0"/>
              <w:marRight w:val="0"/>
              <w:marTop w:val="0"/>
              <w:marBottom w:val="0"/>
              <w:divBdr>
                <w:top w:val="none" w:sz="0" w:space="0" w:color="auto"/>
                <w:left w:val="none" w:sz="0" w:space="0" w:color="auto"/>
                <w:bottom w:val="none" w:sz="0" w:space="0" w:color="auto"/>
                <w:right w:val="none" w:sz="0" w:space="0" w:color="auto"/>
              </w:divBdr>
            </w:div>
          </w:divsChild>
        </w:div>
        <w:div w:id="672803068">
          <w:marLeft w:val="0"/>
          <w:marRight w:val="0"/>
          <w:marTop w:val="0"/>
          <w:marBottom w:val="0"/>
          <w:divBdr>
            <w:top w:val="none" w:sz="0" w:space="0" w:color="auto"/>
            <w:left w:val="none" w:sz="0" w:space="0" w:color="auto"/>
            <w:bottom w:val="none" w:sz="0" w:space="0" w:color="auto"/>
            <w:right w:val="none" w:sz="0" w:space="0" w:color="auto"/>
          </w:divBdr>
          <w:divsChild>
            <w:div w:id="845904802">
              <w:marLeft w:val="0"/>
              <w:marRight w:val="0"/>
              <w:marTop w:val="0"/>
              <w:marBottom w:val="0"/>
              <w:divBdr>
                <w:top w:val="none" w:sz="0" w:space="0" w:color="auto"/>
                <w:left w:val="none" w:sz="0" w:space="0" w:color="auto"/>
                <w:bottom w:val="none" w:sz="0" w:space="0" w:color="auto"/>
                <w:right w:val="none" w:sz="0" w:space="0" w:color="auto"/>
              </w:divBdr>
            </w:div>
          </w:divsChild>
        </w:div>
        <w:div w:id="676275348">
          <w:marLeft w:val="0"/>
          <w:marRight w:val="0"/>
          <w:marTop w:val="0"/>
          <w:marBottom w:val="0"/>
          <w:divBdr>
            <w:top w:val="none" w:sz="0" w:space="0" w:color="auto"/>
            <w:left w:val="none" w:sz="0" w:space="0" w:color="auto"/>
            <w:bottom w:val="none" w:sz="0" w:space="0" w:color="auto"/>
            <w:right w:val="none" w:sz="0" w:space="0" w:color="auto"/>
          </w:divBdr>
          <w:divsChild>
            <w:div w:id="1311864771">
              <w:marLeft w:val="0"/>
              <w:marRight w:val="0"/>
              <w:marTop w:val="0"/>
              <w:marBottom w:val="0"/>
              <w:divBdr>
                <w:top w:val="none" w:sz="0" w:space="0" w:color="auto"/>
                <w:left w:val="none" w:sz="0" w:space="0" w:color="auto"/>
                <w:bottom w:val="none" w:sz="0" w:space="0" w:color="auto"/>
                <w:right w:val="none" w:sz="0" w:space="0" w:color="auto"/>
              </w:divBdr>
            </w:div>
          </w:divsChild>
        </w:div>
        <w:div w:id="688024184">
          <w:marLeft w:val="0"/>
          <w:marRight w:val="0"/>
          <w:marTop w:val="0"/>
          <w:marBottom w:val="0"/>
          <w:divBdr>
            <w:top w:val="none" w:sz="0" w:space="0" w:color="auto"/>
            <w:left w:val="none" w:sz="0" w:space="0" w:color="auto"/>
            <w:bottom w:val="none" w:sz="0" w:space="0" w:color="auto"/>
            <w:right w:val="none" w:sz="0" w:space="0" w:color="auto"/>
          </w:divBdr>
          <w:divsChild>
            <w:div w:id="953290597">
              <w:marLeft w:val="0"/>
              <w:marRight w:val="0"/>
              <w:marTop w:val="0"/>
              <w:marBottom w:val="0"/>
              <w:divBdr>
                <w:top w:val="none" w:sz="0" w:space="0" w:color="auto"/>
                <w:left w:val="none" w:sz="0" w:space="0" w:color="auto"/>
                <w:bottom w:val="none" w:sz="0" w:space="0" w:color="auto"/>
                <w:right w:val="none" w:sz="0" w:space="0" w:color="auto"/>
              </w:divBdr>
            </w:div>
          </w:divsChild>
        </w:div>
        <w:div w:id="703402469">
          <w:marLeft w:val="0"/>
          <w:marRight w:val="0"/>
          <w:marTop w:val="0"/>
          <w:marBottom w:val="0"/>
          <w:divBdr>
            <w:top w:val="none" w:sz="0" w:space="0" w:color="auto"/>
            <w:left w:val="none" w:sz="0" w:space="0" w:color="auto"/>
            <w:bottom w:val="none" w:sz="0" w:space="0" w:color="auto"/>
            <w:right w:val="none" w:sz="0" w:space="0" w:color="auto"/>
          </w:divBdr>
          <w:divsChild>
            <w:div w:id="863438990">
              <w:marLeft w:val="0"/>
              <w:marRight w:val="0"/>
              <w:marTop w:val="0"/>
              <w:marBottom w:val="0"/>
              <w:divBdr>
                <w:top w:val="none" w:sz="0" w:space="0" w:color="auto"/>
                <w:left w:val="none" w:sz="0" w:space="0" w:color="auto"/>
                <w:bottom w:val="none" w:sz="0" w:space="0" w:color="auto"/>
                <w:right w:val="none" w:sz="0" w:space="0" w:color="auto"/>
              </w:divBdr>
            </w:div>
          </w:divsChild>
        </w:div>
        <w:div w:id="705522765">
          <w:marLeft w:val="0"/>
          <w:marRight w:val="0"/>
          <w:marTop w:val="0"/>
          <w:marBottom w:val="0"/>
          <w:divBdr>
            <w:top w:val="none" w:sz="0" w:space="0" w:color="auto"/>
            <w:left w:val="none" w:sz="0" w:space="0" w:color="auto"/>
            <w:bottom w:val="none" w:sz="0" w:space="0" w:color="auto"/>
            <w:right w:val="none" w:sz="0" w:space="0" w:color="auto"/>
          </w:divBdr>
          <w:divsChild>
            <w:div w:id="2074889122">
              <w:marLeft w:val="0"/>
              <w:marRight w:val="0"/>
              <w:marTop w:val="0"/>
              <w:marBottom w:val="0"/>
              <w:divBdr>
                <w:top w:val="none" w:sz="0" w:space="0" w:color="auto"/>
                <w:left w:val="none" w:sz="0" w:space="0" w:color="auto"/>
                <w:bottom w:val="none" w:sz="0" w:space="0" w:color="auto"/>
                <w:right w:val="none" w:sz="0" w:space="0" w:color="auto"/>
              </w:divBdr>
            </w:div>
          </w:divsChild>
        </w:div>
        <w:div w:id="722754826">
          <w:marLeft w:val="0"/>
          <w:marRight w:val="0"/>
          <w:marTop w:val="0"/>
          <w:marBottom w:val="0"/>
          <w:divBdr>
            <w:top w:val="none" w:sz="0" w:space="0" w:color="auto"/>
            <w:left w:val="none" w:sz="0" w:space="0" w:color="auto"/>
            <w:bottom w:val="none" w:sz="0" w:space="0" w:color="auto"/>
            <w:right w:val="none" w:sz="0" w:space="0" w:color="auto"/>
          </w:divBdr>
          <w:divsChild>
            <w:div w:id="548297061">
              <w:marLeft w:val="0"/>
              <w:marRight w:val="0"/>
              <w:marTop w:val="0"/>
              <w:marBottom w:val="0"/>
              <w:divBdr>
                <w:top w:val="none" w:sz="0" w:space="0" w:color="auto"/>
                <w:left w:val="none" w:sz="0" w:space="0" w:color="auto"/>
                <w:bottom w:val="none" w:sz="0" w:space="0" w:color="auto"/>
                <w:right w:val="none" w:sz="0" w:space="0" w:color="auto"/>
              </w:divBdr>
            </w:div>
          </w:divsChild>
        </w:div>
        <w:div w:id="723218768">
          <w:marLeft w:val="0"/>
          <w:marRight w:val="0"/>
          <w:marTop w:val="0"/>
          <w:marBottom w:val="0"/>
          <w:divBdr>
            <w:top w:val="none" w:sz="0" w:space="0" w:color="auto"/>
            <w:left w:val="none" w:sz="0" w:space="0" w:color="auto"/>
            <w:bottom w:val="none" w:sz="0" w:space="0" w:color="auto"/>
            <w:right w:val="none" w:sz="0" w:space="0" w:color="auto"/>
          </w:divBdr>
          <w:divsChild>
            <w:div w:id="1350255408">
              <w:marLeft w:val="0"/>
              <w:marRight w:val="0"/>
              <w:marTop w:val="0"/>
              <w:marBottom w:val="0"/>
              <w:divBdr>
                <w:top w:val="none" w:sz="0" w:space="0" w:color="auto"/>
                <w:left w:val="none" w:sz="0" w:space="0" w:color="auto"/>
                <w:bottom w:val="none" w:sz="0" w:space="0" w:color="auto"/>
                <w:right w:val="none" w:sz="0" w:space="0" w:color="auto"/>
              </w:divBdr>
            </w:div>
          </w:divsChild>
        </w:div>
        <w:div w:id="761921644">
          <w:marLeft w:val="0"/>
          <w:marRight w:val="0"/>
          <w:marTop w:val="0"/>
          <w:marBottom w:val="0"/>
          <w:divBdr>
            <w:top w:val="none" w:sz="0" w:space="0" w:color="auto"/>
            <w:left w:val="none" w:sz="0" w:space="0" w:color="auto"/>
            <w:bottom w:val="none" w:sz="0" w:space="0" w:color="auto"/>
            <w:right w:val="none" w:sz="0" w:space="0" w:color="auto"/>
          </w:divBdr>
          <w:divsChild>
            <w:div w:id="1003702014">
              <w:marLeft w:val="0"/>
              <w:marRight w:val="0"/>
              <w:marTop w:val="0"/>
              <w:marBottom w:val="0"/>
              <w:divBdr>
                <w:top w:val="none" w:sz="0" w:space="0" w:color="auto"/>
                <w:left w:val="none" w:sz="0" w:space="0" w:color="auto"/>
                <w:bottom w:val="none" w:sz="0" w:space="0" w:color="auto"/>
                <w:right w:val="none" w:sz="0" w:space="0" w:color="auto"/>
              </w:divBdr>
            </w:div>
          </w:divsChild>
        </w:div>
        <w:div w:id="777867262">
          <w:marLeft w:val="0"/>
          <w:marRight w:val="0"/>
          <w:marTop w:val="0"/>
          <w:marBottom w:val="0"/>
          <w:divBdr>
            <w:top w:val="none" w:sz="0" w:space="0" w:color="auto"/>
            <w:left w:val="none" w:sz="0" w:space="0" w:color="auto"/>
            <w:bottom w:val="none" w:sz="0" w:space="0" w:color="auto"/>
            <w:right w:val="none" w:sz="0" w:space="0" w:color="auto"/>
          </w:divBdr>
          <w:divsChild>
            <w:div w:id="250747557">
              <w:marLeft w:val="0"/>
              <w:marRight w:val="0"/>
              <w:marTop w:val="0"/>
              <w:marBottom w:val="0"/>
              <w:divBdr>
                <w:top w:val="none" w:sz="0" w:space="0" w:color="auto"/>
                <w:left w:val="none" w:sz="0" w:space="0" w:color="auto"/>
                <w:bottom w:val="none" w:sz="0" w:space="0" w:color="auto"/>
                <w:right w:val="none" w:sz="0" w:space="0" w:color="auto"/>
              </w:divBdr>
            </w:div>
          </w:divsChild>
        </w:div>
        <w:div w:id="782580493">
          <w:marLeft w:val="0"/>
          <w:marRight w:val="0"/>
          <w:marTop w:val="0"/>
          <w:marBottom w:val="0"/>
          <w:divBdr>
            <w:top w:val="none" w:sz="0" w:space="0" w:color="auto"/>
            <w:left w:val="none" w:sz="0" w:space="0" w:color="auto"/>
            <w:bottom w:val="none" w:sz="0" w:space="0" w:color="auto"/>
            <w:right w:val="none" w:sz="0" w:space="0" w:color="auto"/>
          </w:divBdr>
          <w:divsChild>
            <w:div w:id="1441754658">
              <w:marLeft w:val="0"/>
              <w:marRight w:val="0"/>
              <w:marTop w:val="0"/>
              <w:marBottom w:val="0"/>
              <w:divBdr>
                <w:top w:val="none" w:sz="0" w:space="0" w:color="auto"/>
                <w:left w:val="none" w:sz="0" w:space="0" w:color="auto"/>
                <w:bottom w:val="none" w:sz="0" w:space="0" w:color="auto"/>
                <w:right w:val="none" w:sz="0" w:space="0" w:color="auto"/>
              </w:divBdr>
            </w:div>
          </w:divsChild>
        </w:div>
        <w:div w:id="785386393">
          <w:marLeft w:val="0"/>
          <w:marRight w:val="0"/>
          <w:marTop w:val="0"/>
          <w:marBottom w:val="0"/>
          <w:divBdr>
            <w:top w:val="none" w:sz="0" w:space="0" w:color="auto"/>
            <w:left w:val="none" w:sz="0" w:space="0" w:color="auto"/>
            <w:bottom w:val="none" w:sz="0" w:space="0" w:color="auto"/>
            <w:right w:val="none" w:sz="0" w:space="0" w:color="auto"/>
          </w:divBdr>
          <w:divsChild>
            <w:div w:id="1185092887">
              <w:marLeft w:val="0"/>
              <w:marRight w:val="0"/>
              <w:marTop w:val="0"/>
              <w:marBottom w:val="0"/>
              <w:divBdr>
                <w:top w:val="none" w:sz="0" w:space="0" w:color="auto"/>
                <w:left w:val="none" w:sz="0" w:space="0" w:color="auto"/>
                <w:bottom w:val="none" w:sz="0" w:space="0" w:color="auto"/>
                <w:right w:val="none" w:sz="0" w:space="0" w:color="auto"/>
              </w:divBdr>
            </w:div>
          </w:divsChild>
        </w:div>
        <w:div w:id="829977403">
          <w:marLeft w:val="0"/>
          <w:marRight w:val="0"/>
          <w:marTop w:val="0"/>
          <w:marBottom w:val="0"/>
          <w:divBdr>
            <w:top w:val="none" w:sz="0" w:space="0" w:color="auto"/>
            <w:left w:val="none" w:sz="0" w:space="0" w:color="auto"/>
            <w:bottom w:val="none" w:sz="0" w:space="0" w:color="auto"/>
            <w:right w:val="none" w:sz="0" w:space="0" w:color="auto"/>
          </w:divBdr>
          <w:divsChild>
            <w:div w:id="1715616586">
              <w:marLeft w:val="0"/>
              <w:marRight w:val="0"/>
              <w:marTop w:val="0"/>
              <w:marBottom w:val="0"/>
              <w:divBdr>
                <w:top w:val="none" w:sz="0" w:space="0" w:color="auto"/>
                <w:left w:val="none" w:sz="0" w:space="0" w:color="auto"/>
                <w:bottom w:val="none" w:sz="0" w:space="0" w:color="auto"/>
                <w:right w:val="none" w:sz="0" w:space="0" w:color="auto"/>
              </w:divBdr>
            </w:div>
          </w:divsChild>
        </w:div>
        <w:div w:id="872227858">
          <w:marLeft w:val="0"/>
          <w:marRight w:val="0"/>
          <w:marTop w:val="0"/>
          <w:marBottom w:val="0"/>
          <w:divBdr>
            <w:top w:val="none" w:sz="0" w:space="0" w:color="auto"/>
            <w:left w:val="none" w:sz="0" w:space="0" w:color="auto"/>
            <w:bottom w:val="none" w:sz="0" w:space="0" w:color="auto"/>
            <w:right w:val="none" w:sz="0" w:space="0" w:color="auto"/>
          </w:divBdr>
          <w:divsChild>
            <w:div w:id="1500656101">
              <w:marLeft w:val="0"/>
              <w:marRight w:val="0"/>
              <w:marTop w:val="0"/>
              <w:marBottom w:val="0"/>
              <w:divBdr>
                <w:top w:val="none" w:sz="0" w:space="0" w:color="auto"/>
                <w:left w:val="none" w:sz="0" w:space="0" w:color="auto"/>
                <w:bottom w:val="none" w:sz="0" w:space="0" w:color="auto"/>
                <w:right w:val="none" w:sz="0" w:space="0" w:color="auto"/>
              </w:divBdr>
            </w:div>
          </w:divsChild>
        </w:div>
        <w:div w:id="880705156">
          <w:marLeft w:val="0"/>
          <w:marRight w:val="0"/>
          <w:marTop w:val="0"/>
          <w:marBottom w:val="0"/>
          <w:divBdr>
            <w:top w:val="none" w:sz="0" w:space="0" w:color="auto"/>
            <w:left w:val="none" w:sz="0" w:space="0" w:color="auto"/>
            <w:bottom w:val="none" w:sz="0" w:space="0" w:color="auto"/>
            <w:right w:val="none" w:sz="0" w:space="0" w:color="auto"/>
          </w:divBdr>
          <w:divsChild>
            <w:div w:id="1682122886">
              <w:marLeft w:val="0"/>
              <w:marRight w:val="0"/>
              <w:marTop w:val="0"/>
              <w:marBottom w:val="0"/>
              <w:divBdr>
                <w:top w:val="none" w:sz="0" w:space="0" w:color="auto"/>
                <w:left w:val="none" w:sz="0" w:space="0" w:color="auto"/>
                <w:bottom w:val="none" w:sz="0" w:space="0" w:color="auto"/>
                <w:right w:val="none" w:sz="0" w:space="0" w:color="auto"/>
              </w:divBdr>
            </w:div>
          </w:divsChild>
        </w:div>
        <w:div w:id="947197276">
          <w:marLeft w:val="0"/>
          <w:marRight w:val="0"/>
          <w:marTop w:val="0"/>
          <w:marBottom w:val="0"/>
          <w:divBdr>
            <w:top w:val="none" w:sz="0" w:space="0" w:color="auto"/>
            <w:left w:val="none" w:sz="0" w:space="0" w:color="auto"/>
            <w:bottom w:val="none" w:sz="0" w:space="0" w:color="auto"/>
            <w:right w:val="none" w:sz="0" w:space="0" w:color="auto"/>
          </w:divBdr>
          <w:divsChild>
            <w:div w:id="770201407">
              <w:marLeft w:val="0"/>
              <w:marRight w:val="0"/>
              <w:marTop w:val="0"/>
              <w:marBottom w:val="0"/>
              <w:divBdr>
                <w:top w:val="none" w:sz="0" w:space="0" w:color="auto"/>
                <w:left w:val="none" w:sz="0" w:space="0" w:color="auto"/>
                <w:bottom w:val="none" w:sz="0" w:space="0" w:color="auto"/>
                <w:right w:val="none" w:sz="0" w:space="0" w:color="auto"/>
              </w:divBdr>
            </w:div>
          </w:divsChild>
        </w:div>
        <w:div w:id="976883551">
          <w:marLeft w:val="0"/>
          <w:marRight w:val="0"/>
          <w:marTop w:val="0"/>
          <w:marBottom w:val="0"/>
          <w:divBdr>
            <w:top w:val="none" w:sz="0" w:space="0" w:color="auto"/>
            <w:left w:val="none" w:sz="0" w:space="0" w:color="auto"/>
            <w:bottom w:val="none" w:sz="0" w:space="0" w:color="auto"/>
            <w:right w:val="none" w:sz="0" w:space="0" w:color="auto"/>
          </w:divBdr>
          <w:divsChild>
            <w:div w:id="1759524302">
              <w:marLeft w:val="0"/>
              <w:marRight w:val="0"/>
              <w:marTop w:val="0"/>
              <w:marBottom w:val="0"/>
              <w:divBdr>
                <w:top w:val="none" w:sz="0" w:space="0" w:color="auto"/>
                <w:left w:val="none" w:sz="0" w:space="0" w:color="auto"/>
                <w:bottom w:val="none" w:sz="0" w:space="0" w:color="auto"/>
                <w:right w:val="none" w:sz="0" w:space="0" w:color="auto"/>
              </w:divBdr>
            </w:div>
          </w:divsChild>
        </w:div>
        <w:div w:id="1017390731">
          <w:marLeft w:val="0"/>
          <w:marRight w:val="0"/>
          <w:marTop w:val="0"/>
          <w:marBottom w:val="0"/>
          <w:divBdr>
            <w:top w:val="none" w:sz="0" w:space="0" w:color="auto"/>
            <w:left w:val="none" w:sz="0" w:space="0" w:color="auto"/>
            <w:bottom w:val="none" w:sz="0" w:space="0" w:color="auto"/>
            <w:right w:val="none" w:sz="0" w:space="0" w:color="auto"/>
          </w:divBdr>
          <w:divsChild>
            <w:div w:id="1622178716">
              <w:marLeft w:val="0"/>
              <w:marRight w:val="0"/>
              <w:marTop w:val="0"/>
              <w:marBottom w:val="0"/>
              <w:divBdr>
                <w:top w:val="none" w:sz="0" w:space="0" w:color="auto"/>
                <w:left w:val="none" w:sz="0" w:space="0" w:color="auto"/>
                <w:bottom w:val="none" w:sz="0" w:space="0" w:color="auto"/>
                <w:right w:val="none" w:sz="0" w:space="0" w:color="auto"/>
              </w:divBdr>
            </w:div>
          </w:divsChild>
        </w:div>
        <w:div w:id="1066496369">
          <w:marLeft w:val="0"/>
          <w:marRight w:val="0"/>
          <w:marTop w:val="0"/>
          <w:marBottom w:val="0"/>
          <w:divBdr>
            <w:top w:val="none" w:sz="0" w:space="0" w:color="auto"/>
            <w:left w:val="none" w:sz="0" w:space="0" w:color="auto"/>
            <w:bottom w:val="none" w:sz="0" w:space="0" w:color="auto"/>
            <w:right w:val="none" w:sz="0" w:space="0" w:color="auto"/>
          </w:divBdr>
          <w:divsChild>
            <w:div w:id="285355536">
              <w:marLeft w:val="0"/>
              <w:marRight w:val="0"/>
              <w:marTop w:val="0"/>
              <w:marBottom w:val="0"/>
              <w:divBdr>
                <w:top w:val="none" w:sz="0" w:space="0" w:color="auto"/>
                <w:left w:val="none" w:sz="0" w:space="0" w:color="auto"/>
                <w:bottom w:val="none" w:sz="0" w:space="0" w:color="auto"/>
                <w:right w:val="none" w:sz="0" w:space="0" w:color="auto"/>
              </w:divBdr>
            </w:div>
          </w:divsChild>
        </w:div>
        <w:div w:id="1091972458">
          <w:marLeft w:val="0"/>
          <w:marRight w:val="0"/>
          <w:marTop w:val="0"/>
          <w:marBottom w:val="0"/>
          <w:divBdr>
            <w:top w:val="none" w:sz="0" w:space="0" w:color="auto"/>
            <w:left w:val="none" w:sz="0" w:space="0" w:color="auto"/>
            <w:bottom w:val="none" w:sz="0" w:space="0" w:color="auto"/>
            <w:right w:val="none" w:sz="0" w:space="0" w:color="auto"/>
          </w:divBdr>
          <w:divsChild>
            <w:div w:id="1687057514">
              <w:marLeft w:val="0"/>
              <w:marRight w:val="0"/>
              <w:marTop w:val="0"/>
              <w:marBottom w:val="0"/>
              <w:divBdr>
                <w:top w:val="none" w:sz="0" w:space="0" w:color="auto"/>
                <w:left w:val="none" w:sz="0" w:space="0" w:color="auto"/>
                <w:bottom w:val="none" w:sz="0" w:space="0" w:color="auto"/>
                <w:right w:val="none" w:sz="0" w:space="0" w:color="auto"/>
              </w:divBdr>
            </w:div>
          </w:divsChild>
        </w:div>
        <w:div w:id="1096943103">
          <w:marLeft w:val="0"/>
          <w:marRight w:val="0"/>
          <w:marTop w:val="0"/>
          <w:marBottom w:val="0"/>
          <w:divBdr>
            <w:top w:val="none" w:sz="0" w:space="0" w:color="auto"/>
            <w:left w:val="none" w:sz="0" w:space="0" w:color="auto"/>
            <w:bottom w:val="none" w:sz="0" w:space="0" w:color="auto"/>
            <w:right w:val="none" w:sz="0" w:space="0" w:color="auto"/>
          </w:divBdr>
          <w:divsChild>
            <w:div w:id="1483035258">
              <w:marLeft w:val="0"/>
              <w:marRight w:val="0"/>
              <w:marTop w:val="0"/>
              <w:marBottom w:val="0"/>
              <w:divBdr>
                <w:top w:val="none" w:sz="0" w:space="0" w:color="auto"/>
                <w:left w:val="none" w:sz="0" w:space="0" w:color="auto"/>
                <w:bottom w:val="none" w:sz="0" w:space="0" w:color="auto"/>
                <w:right w:val="none" w:sz="0" w:space="0" w:color="auto"/>
              </w:divBdr>
            </w:div>
          </w:divsChild>
        </w:div>
        <w:div w:id="1109278484">
          <w:marLeft w:val="0"/>
          <w:marRight w:val="0"/>
          <w:marTop w:val="0"/>
          <w:marBottom w:val="0"/>
          <w:divBdr>
            <w:top w:val="none" w:sz="0" w:space="0" w:color="auto"/>
            <w:left w:val="none" w:sz="0" w:space="0" w:color="auto"/>
            <w:bottom w:val="none" w:sz="0" w:space="0" w:color="auto"/>
            <w:right w:val="none" w:sz="0" w:space="0" w:color="auto"/>
          </w:divBdr>
          <w:divsChild>
            <w:div w:id="1708798010">
              <w:marLeft w:val="0"/>
              <w:marRight w:val="0"/>
              <w:marTop w:val="0"/>
              <w:marBottom w:val="0"/>
              <w:divBdr>
                <w:top w:val="none" w:sz="0" w:space="0" w:color="auto"/>
                <w:left w:val="none" w:sz="0" w:space="0" w:color="auto"/>
                <w:bottom w:val="none" w:sz="0" w:space="0" w:color="auto"/>
                <w:right w:val="none" w:sz="0" w:space="0" w:color="auto"/>
              </w:divBdr>
            </w:div>
          </w:divsChild>
        </w:div>
        <w:div w:id="1156723668">
          <w:marLeft w:val="0"/>
          <w:marRight w:val="0"/>
          <w:marTop w:val="0"/>
          <w:marBottom w:val="0"/>
          <w:divBdr>
            <w:top w:val="none" w:sz="0" w:space="0" w:color="auto"/>
            <w:left w:val="none" w:sz="0" w:space="0" w:color="auto"/>
            <w:bottom w:val="none" w:sz="0" w:space="0" w:color="auto"/>
            <w:right w:val="none" w:sz="0" w:space="0" w:color="auto"/>
          </w:divBdr>
          <w:divsChild>
            <w:div w:id="1546720743">
              <w:marLeft w:val="0"/>
              <w:marRight w:val="0"/>
              <w:marTop w:val="0"/>
              <w:marBottom w:val="0"/>
              <w:divBdr>
                <w:top w:val="none" w:sz="0" w:space="0" w:color="auto"/>
                <w:left w:val="none" w:sz="0" w:space="0" w:color="auto"/>
                <w:bottom w:val="none" w:sz="0" w:space="0" w:color="auto"/>
                <w:right w:val="none" w:sz="0" w:space="0" w:color="auto"/>
              </w:divBdr>
            </w:div>
          </w:divsChild>
        </w:div>
        <w:div w:id="1176072699">
          <w:marLeft w:val="0"/>
          <w:marRight w:val="0"/>
          <w:marTop w:val="0"/>
          <w:marBottom w:val="0"/>
          <w:divBdr>
            <w:top w:val="none" w:sz="0" w:space="0" w:color="auto"/>
            <w:left w:val="none" w:sz="0" w:space="0" w:color="auto"/>
            <w:bottom w:val="none" w:sz="0" w:space="0" w:color="auto"/>
            <w:right w:val="none" w:sz="0" w:space="0" w:color="auto"/>
          </w:divBdr>
          <w:divsChild>
            <w:div w:id="1906074">
              <w:marLeft w:val="0"/>
              <w:marRight w:val="0"/>
              <w:marTop w:val="0"/>
              <w:marBottom w:val="0"/>
              <w:divBdr>
                <w:top w:val="none" w:sz="0" w:space="0" w:color="auto"/>
                <w:left w:val="none" w:sz="0" w:space="0" w:color="auto"/>
                <w:bottom w:val="none" w:sz="0" w:space="0" w:color="auto"/>
                <w:right w:val="none" w:sz="0" w:space="0" w:color="auto"/>
              </w:divBdr>
            </w:div>
          </w:divsChild>
        </w:div>
        <w:div w:id="1196969613">
          <w:marLeft w:val="0"/>
          <w:marRight w:val="0"/>
          <w:marTop w:val="0"/>
          <w:marBottom w:val="0"/>
          <w:divBdr>
            <w:top w:val="none" w:sz="0" w:space="0" w:color="auto"/>
            <w:left w:val="none" w:sz="0" w:space="0" w:color="auto"/>
            <w:bottom w:val="none" w:sz="0" w:space="0" w:color="auto"/>
            <w:right w:val="none" w:sz="0" w:space="0" w:color="auto"/>
          </w:divBdr>
          <w:divsChild>
            <w:div w:id="18438055">
              <w:marLeft w:val="0"/>
              <w:marRight w:val="0"/>
              <w:marTop w:val="0"/>
              <w:marBottom w:val="0"/>
              <w:divBdr>
                <w:top w:val="none" w:sz="0" w:space="0" w:color="auto"/>
                <w:left w:val="none" w:sz="0" w:space="0" w:color="auto"/>
                <w:bottom w:val="none" w:sz="0" w:space="0" w:color="auto"/>
                <w:right w:val="none" w:sz="0" w:space="0" w:color="auto"/>
              </w:divBdr>
            </w:div>
          </w:divsChild>
        </w:div>
        <w:div w:id="1202478691">
          <w:marLeft w:val="0"/>
          <w:marRight w:val="0"/>
          <w:marTop w:val="0"/>
          <w:marBottom w:val="0"/>
          <w:divBdr>
            <w:top w:val="none" w:sz="0" w:space="0" w:color="auto"/>
            <w:left w:val="none" w:sz="0" w:space="0" w:color="auto"/>
            <w:bottom w:val="none" w:sz="0" w:space="0" w:color="auto"/>
            <w:right w:val="none" w:sz="0" w:space="0" w:color="auto"/>
          </w:divBdr>
          <w:divsChild>
            <w:div w:id="1004238745">
              <w:marLeft w:val="0"/>
              <w:marRight w:val="0"/>
              <w:marTop w:val="0"/>
              <w:marBottom w:val="0"/>
              <w:divBdr>
                <w:top w:val="none" w:sz="0" w:space="0" w:color="auto"/>
                <w:left w:val="none" w:sz="0" w:space="0" w:color="auto"/>
                <w:bottom w:val="none" w:sz="0" w:space="0" w:color="auto"/>
                <w:right w:val="none" w:sz="0" w:space="0" w:color="auto"/>
              </w:divBdr>
            </w:div>
          </w:divsChild>
        </w:div>
        <w:div w:id="1205603517">
          <w:marLeft w:val="0"/>
          <w:marRight w:val="0"/>
          <w:marTop w:val="0"/>
          <w:marBottom w:val="0"/>
          <w:divBdr>
            <w:top w:val="none" w:sz="0" w:space="0" w:color="auto"/>
            <w:left w:val="none" w:sz="0" w:space="0" w:color="auto"/>
            <w:bottom w:val="none" w:sz="0" w:space="0" w:color="auto"/>
            <w:right w:val="none" w:sz="0" w:space="0" w:color="auto"/>
          </w:divBdr>
          <w:divsChild>
            <w:div w:id="1198396416">
              <w:marLeft w:val="0"/>
              <w:marRight w:val="0"/>
              <w:marTop w:val="0"/>
              <w:marBottom w:val="0"/>
              <w:divBdr>
                <w:top w:val="none" w:sz="0" w:space="0" w:color="auto"/>
                <w:left w:val="none" w:sz="0" w:space="0" w:color="auto"/>
                <w:bottom w:val="none" w:sz="0" w:space="0" w:color="auto"/>
                <w:right w:val="none" w:sz="0" w:space="0" w:color="auto"/>
              </w:divBdr>
            </w:div>
          </w:divsChild>
        </w:div>
        <w:div w:id="1237940649">
          <w:marLeft w:val="0"/>
          <w:marRight w:val="0"/>
          <w:marTop w:val="0"/>
          <w:marBottom w:val="0"/>
          <w:divBdr>
            <w:top w:val="none" w:sz="0" w:space="0" w:color="auto"/>
            <w:left w:val="none" w:sz="0" w:space="0" w:color="auto"/>
            <w:bottom w:val="none" w:sz="0" w:space="0" w:color="auto"/>
            <w:right w:val="none" w:sz="0" w:space="0" w:color="auto"/>
          </w:divBdr>
          <w:divsChild>
            <w:div w:id="259918854">
              <w:marLeft w:val="0"/>
              <w:marRight w:val="0"/>
              <w:marTop w:val="0"/>
              <w:marBottom w:val="0"/>
              <w:divBdr>
                <w:top w:val="none" w:sz="0" w:space="0" w:color="auto"/>
                <w:left w:val="none" w:sz="0" w:space="0" w:color="auto"/>
                <w:bottom w:val="none" w:sz="0" w:space="0" w:color="auto"/>
                <w:right w:val="none" w:sz="0" w:space="0" w:color="auto"/>
              </w:divBdr>
            </w:div>
          </w:divsChild>
        </w:div>
        <w:div w:id="1241596939">
          <w:marLeft w:val="0"/>
          <w:marRight w:val="0"/>
          <w:marTop w:val="0"/>
          <w:marBottom w:val="0"/>
          <w:divBdr>
            <w:top w:val="none" w:sz="0" w:space="0" w:color="auto"/>
            <w:left w:val="none" w:sz="0" w:space="0" w:color="auto"/>
            <w:bottom w:val="none" w:sz="0" w:space="0" w:color="auto"/>
            <w:right w:val="none" w:sz="0" w:space="0" w:color="auto"/>
          </w:divBdr>
          <w:divsChild>
            <w:div w:id="1303580708">
              <w:marLeft w:val="0"/>
              <w:marRight w:val="0"/>
              <w:marTop w:val="0"/>
              <w:marBottom w:val="0"/>
              <w:divBdr>
                <w:top w:val="none" w:sz="0" w:space="0" w:color="auto"/>
                <w:left w:val="none" w:sz="0" w:space="0" w:color="auto"/>
                <w:bottom w:val="none" w:sz="0" w:space="0" w:color="auto"/>
                <w:right w:val="none" w:sz="0" w:space="0" w:color="auto"/>
              </w:divBdr>
            </w:div>
          </w:divsChild>
        </w:div>
        <w:div w:id="1253466539">
          <w:marLeft w:val="0"/>
          <w:marRight w:val="0"/>
          <w:marTop w:val="0"/>
          <w:marBottom w:val="0"/>
          <w:divBdr>
            <w:top w:val="none" w:sz="0" w:space="0" w:color="auto"/>
            <w:left w:val="none" w:sz="0" w:space="0" w:color="auto"/>
            <w:bottom w:val="none" w:sz="0" w:space="0" w:color="auto"/>
            <w:right w:val="none" w:sz="0" w:space="0" w:color="auto"/>
          </w:divBdr>
          <w:divsChild>
            <w:div w:id="1551571988">
              <w:marLeft w:val="0"/>
              <w:marRight w:val="0"/>
              <w:marTop w:val="0"/>
              <w:marBottom w:val="0"/>
              <w:divBdr>
                <w:top w:val="none" w:sz="0" w:space="0" w:color="auto"/>
                <w:left w:val="none" w:sz="0" w:space="0" w:color="auto"/>
                <w:bottom w:val="none" w:sz="0" w:space="0" w:color="auto"/>
                <w:right w:val="none" w:sz="0" w:space="0" w:color="auto"/>
              </w:divBdr>
            </w:div>
          </w:divsChild>
        </w:div>
        <w:div w:id="1262302410">
          <w:marLeft w:val="0"/>
          <w:marRight w:val="0"/>
          <w:marTop w:val="0"/>
          <w:marBottom w:val="0"/>
          <w:divBdr>
            <w:top w:val="none" w:sz="0" w:space="0" w:color="auto"/>
            <w:left w:val="none" w:sz="0" w:space="0" w:color="auto"/>
            <w:bottom w:val="none" w:sz="0" w:space="0" w:color="auto"/>
            <w:right w:val="none" w:sz="0" w:space="0" w:color="auto"/>
          </w:divBdr>
          <w:divsChild>
            <w:div w:id="1870490006">
              <w:marLeft w:val="0"/>
              <w:marRight w:val="0"/>
              <w:marTop w:val="0"/>
              <w:marBottom w:val="0"/>
              <w:divBdr>
                <w:top w:val="none" w:sz="0" w:space="0" w:color="auto"/>
                <w:left w:val="none" w:sz="0" w:space="0" w:color="auto"/>
                <w:bottom w:val="none" w:sz="0" w:space="0" w:color="auto"/>
                <w:right w:val="none" w:sz="0" w:space="0" w:color="auto"/>
              </w:divBdr>
            </w:div>
          </w:divsChild>
        </w:div>
        <w:div w:id="1280604910">
          <w:marLeft w:val="0"/>
          <w:marRight w:val="0"/>
          <w:marTop w:val="0"/>
          <w:marBottom w:val="0"/>
          <w:divBdr>
            <w:top w:val="none" w:sz="0" w:space="0" w:color="auto"/>
            <w:left w:val="none" w:sz="0" w:space="0" w:color="auto"/>
            <w:bottom w:val="none" w:sz="0" w:space="0" w:color="auto"/>
            <w:right w:val="none" w:sz="0" w:space="0" w:color="auto"/>
          </w:divBdr>
          <w:divsChild>
            <w:div w:id="1958487798">
              <w:marLeft w:val="0"/>
              <w:marRight w:val="0"/>
              <w:marTop w:val="0"/>
              <w:marBottom w:val="0"/>
              <w:divBdr>
                <w:top w:val="none" w:sz="0" w:space="0" w:color="auto"/>
                <w:left w:val="none" w:sz="0" w:space="0" w:color="auto"/>
                <w:bottom w:val="none" w:sz="0" w:space="0" w:color="auto"/>
                <w:right w:val="none" w:sz="0" w:space="0" w:color="auto"/>
              </w:divBdr>
            </w:div>
          </w:divsChild>
        </w:div>
        <w:div w:id="1291590143">
          <w:marLeft w:val="0"/>
          <w:marRight w:val="0"/>
          <w:marTop w:val="0"/>
          <w:marBottom w:val="0"/>
          <w:divBdr>
            <w:top w:val="none" w:sz="0" w:space="0" w:color="auto"/>
            <w:left w:val="none" w:sz="0" w:space="0" w:color="auto"/>
            <w:bottom w:val="none" w:sz="0" w:space="0" w:color="auto"/>
            <w:right w:val="none" w:sz="0" w:space="0" w:color="auto"/>
          </w:divBdr>
          <w:divsChild>
            <w:div w:id="1264143557">
              <w:marLeft w:val="0"/>
              <w:marRight w:val="0"/>
              <w:marTop w:val="0"/>
              <w:marBottom w:val="0"/>
              <w:divBdr>
                <w:top w:val="none" w:sz="0" w:space="0" w:color="auto"/>
                <w:left w:val="none" w:sz="0" w:space="0" w:color="auto"/>
                <w:bottom w:val="none" w:sz="0" w:space="0" w:color="auto"/>
                <w:right w:val="none" w:sz="0" w:space="0" w:color="auto"/>
              </w:divBdr>
            </w:div>
          </w:divsChild>
        </w:div>
        <w:div w:id="1306663403">
          <w:marLeft w:val="0"/>
          <w:marRight w:val="0"/>
          <w:marTop w:val="0"/>
          <w:marBottom w:val="0"/>
          <w:divBdr>
            <w:top w:val="none" w:sz="0" w:space="0" w:color="auto"/>
            <w:left w:val="none" w:sz="0" w:space="0" w:color="auto"/>
            <w:bottom w:val="none" w:sz="0" w:space="0" w:color="auto"/>
            <w:right w:val="none" w:sz="0" w:space="0" w:color="auto"/>
          </w:divBdr>
          <w:divsChild>
            <w:div w:id="576520654">
              <w:marLeft w:val="0"/>
              <w:marRight w:val="0"/>
              <w:marTop w:val="0"/>
              <w:marBottom w:val="0"/>
              <w:divBdr>
                <w:top w:val="none" w:sz="0" w:space="0" w:color="auto"/>
                <w:left w:val="none" w:sz="0" w:space="0" w:color="auto"/>
                <w:bottom w:val="none" w:sz="0" w:space="0" w:color="auto"/>
                <w:right w:val="none" w:sz="0" w:space="0" w:color="auto"/>
              </w:divBdr>
            </w:div>
          </w:divsChild>
        </w:div>
        <w:div w:id="1340354557">
          <w:marLeft w:val="0"/>
          <w:marRight w:val="0"/>
          <w:marTop w:val="0"/>
          <w:marBottom w:val="0"/>
          <w:divBdr>
            <w:top w:val="none" w:sz="0" w:space="0" w:color="auto"/>
            <w:left w:val="none" w:sz="0" w:space="0" w:color="auto"/>
            <w:bottom w:val="none" w:sz="0" w:space="0" w:color="auto"/>
            <w:right w:val="none" w:sz="0" w:space="0" w:color="auto"/>
          </w:divBdr>
          <w:divsChild>
            <w:div w:id="3627757">
              <w:marLeft w:val="0"/>
              <w:marRight w:val="0"/>
              <w:marTop w:val="0"/>
              <w:marBottom w:val="0"/>
              <w:divBdr>
                <w:top w:val="none" w:sz="0" w:space="0" w:color="auto"/>
                <w:left w:val="none" w:sz="0" w:space="0" w:color="auto"/>
                <w:bottom w:val="none" w:sz="0" w:space="0" w:color="auto"/>
                <w:right w:val="none" w:sz="0" w:space="0" w:color="auto"/>
              </w:divBdr>
            </w:div>
          </w:divsChild>
        </w:div>
        <w:div w:id="1350333615">
          <w:marLeft w:val="0"/>
          <w:marRight w:val="0"/>
          <w:marTop w:val="0"/>
          <w:marBottom w:val="0"/>
          <w:divBdr>
            <w:top w:val="none" w:sz="0" w:space="0" w:color="auto"/>
            <w:left w:val="none" w:sz="0" w:space="0" w:color="auto"/>
            <w:bottom w:val="none" w:sz="0" w:space="0" w:color="auto"/>
            <w:right w:val="none" w:sz="0" w:space="0" w:color="auto"/>
          </w:divBdr>
          <w:divsChild>
            <w:div w:id="1788116392">
              <w:marLeft w:val="0"/>
              <w:marRight w:val="0"/>
              <w:marTop w:val="0"/>
              <w:marBottom w:val="0"/>
              <w:divBdr>
                <w:top w:val="none" w:sz="0" w:space="0" w:color="auto"/>
                <w:left w:val="none" w:sz="0" w:space="0" w:color="auto"/>
                <w:bottom w:val="none" w:sz="0" w:space="0" w:color="auto"/>
                <w:right w:val="none" w:sz="0" w:space="0" w:color="auto"/>
              </w:divBdr>
            </w:div>
          </w:divsChild>
        </w:div>
        <w:div w:id="1368989007">
          <w:marLeft w:val="0"/>
          <w:marRight w:val="0"/>
          <w:marTop w:val="0"/>
          <w:marBottom w:val="0"/>
          <w:divBdr>
            <w:top w:val="none" w:sz="0" w:space="0" w:color="auto"/>
            <w:left w:val="none" w:sz="0" w:space="0" w:color="auto"/>
            <w:bottom w:val="none" w:sz="0" w:space="0" w:color="auto"/>
            <w:right w:val="none" w:sz="0" w:space="0" w:color="auto"/>
          </w:divBdr>
          <w:divsChild>
            <w:div w:id="1031148914">
              <w:marLeft w:val="0"/>
              <w:marRight w:val="0"/>
              <w:marTop w:val="0"/>
              <w:marBottom w:val="0"/>
              <w:divBdr>
                <w:top w:val="none" w:sz="0" w:space="0" w:color="auto"/>
                <w:left w:val="none" w:sz="0" w:space="0" w:color="auto"/>
                <w:bottom w:val="none" w:sz="0" w:space="0" w:color="auto"/>
                <w:right w:val="none" w:sz="0" w:space="0" w:color="auto"/>
              </w:divBdr>
            </w:div>
          </w:divsChild>
        </w:div>
        <w:div w:id="1384207453">
          <w:marLeft w:val="0"/>
          <w:marRight w:val="0"/>
          <w:marTop w:val="0"/>
          <w:marBottom w:val="0"/>
          <w:divBdr>
            <w:top w:val="none" w:sz="0" w:space="0" w:color="auto"/>
            <w:left w:val="none" w:sz="0" w:space="0" w:color="auto"/>
            <w:bottom w:val="none" w:sz="0" w:space="0" w:color="auto"/>
            <w:right w:val="none" w:sz="0" w:space="0" w:color="auto"/>
          </w:divBdr>
          <w:divsChild>
            <w:div w:id="893348443">
              <w:marLeft w:val="0"/>
              <w:marRight w:val="0"/>
              <w:marTop w:val="0"/>
              <w:marBottom w:val="0"/>
              <w:divBdr>
                <w:top w:val="none" w:sz="0" w:space="0" w:color="auto"/>
                <w:left w:val="none" w:sz="0" w:space="0" w:color="auto"/>
                <w:bottom w:val="none" w:sz="0" w:space="0" w:color="auto"/>
                <w:right w:val="none" w:sz="0" w:space="0" w:color="auto"/>
              </w:divBdr>
            </w:div>
          </w:divsChild>
        </w:div>
        <w:div w:id="1385178101">
          <w:marLeft w:val="0"/>
          <w:marRight w:val="0"/>
          <w:marTop w:val="0"/>
          <w:marBottom w:val="0"/>
          <w:divBdr>
            <w:top w:val="none" w:sz="0" w:space="0" w:color="auto"/>
            <w:left w:val="none" w:sz="0" w:space="0" w:color="auto"/>
            <w:bottom w:val="none" w:sz="0" w:space="0" w:color="auto"/>
            <w:right w:val="none" w:sz="0" w:space="0" w:color="auto"/>
          </w:divBdr>
          <w:divsChild>
            <w:div w:id="967852516">
              <w:marLeft w:val="0"/>
              <w:marRight w:val="0"/>
              <w:marTop w:val="0"/>
              <w:marBottom w:val="0"/>
              <w:divBdr>
                <w:top w:val="none" w:sz="0" w:space="0" w:color="auto"/>
                <w:left w:val="none" w:sz="0" w:space="0" w:color="auto"/>
                <w:bottom w:val="none" w:sz="0" w:space="0" w:color="auto"/>
                <w:right w:val="none" w:sz="0" w:space="0" w:color="auto"/>
              </w:divBdr>
            </w:div>
          </w:divsChild>
        </w:div>
        <w:div w:id="1392773005">
          <w:marLeft w:val="0"/>
          <w:marRight w:val="0"/>
          <w:marTop w:val="0"/>
          <w:marBottom w:val="0"/>
          <w:divBdr>
            <w:top w:val="none" w:sz="0" w:space="0" w:color="auto"/>
            <w:left w:val="none" w:sz="0" w:space="0" w:color="auto"/>
            <w:bottom w:val="none" w:sz="0" w:space="0" w:color="auto"/>
            <w:right w:val="none" w:sz="0" w:space="0" w:color="auto"/>
          </w:divBdr>
          <w:divsChild>
            <w:div w:id="1918202316">
              <w:marLeft w:val="0"/>
              <w:marRight w:val="0"/>
              <w:marTop w:val="0"/>
              <w:marBottom w:val="0"/>
              <w:divBdr>
                <w:top w:val="none" w:sz="0" w:space="0" w:color="auto"/>
                <w:left w:val="none" w:sz="0" w:space="0" w:color="auto"/>
                <w:bottom w:val="none" w:sz="0" w:space="0" w:color="auto"/>
                <w:right w:val="none" w:sz="0" w:space="0" w:color="auto"/>
              </w:divBdr>
            </w:div>
          </w:divsChild>
        </w:div>
        <w:div w:id="1393847215">
          <w:marLeft w:val="0"/>
          <w:marRight w:val="0"/>
          <w:marTop w:val="0"/>
          <w:marBottom w:val="0"/>
          <w:divBdr>
            <w:top w:val="none" w:sz="0" w:space="0" w:color="auto"/>
            <w:left w:val="none" w:sz="0" w:space="0" w:color="auto"/>
            <w:bottom w:val="none" w:sz="0" w:space="0" w:color="auto"/>
            <w:right w:val="none" w:sz="0" w:space="0" w:color="auto"/>
          </w:divBdr>
          <w:divsChild>
            <w:div w:id="607200497">
              <w:marLeft w:val="0"/>
              <w:marRight w:val="0"/>
              <w:marTop w:val="0"/>
              <w:marBottom w:val="0"/>
              <w:divBdr>
                <w:top w:val="none" w:sz="0" w:space="0" w:color="auto"/>
                <w:left w:val="none" w:sz="0" w:space="0" w:color="auto"/>
                <w:bottom w:val="none" w:sz="0" w:space="0" w:color="auto"/>
                <w:right w:val="none" w:sz="0" w:space="0" w:color="auto"/>
              </w:divBdr>
            </w:div>
          </w:divsChild>
        </w:div>
        <w:div w:id="1453131551">
          <w:marLeft w:val="0"/>
          <w:marRight w:val="0"/>
          <w:marTop w:val="0"/>
          <w:marBottom w:val="0"/>
          <w:divBdr>
            <w:top w:val="none" w:sz="0" w:space="0" w:color="auto"/>
            <w:left w:val="none" w:sz="0" w:space="0" w:color="auto"/>
            <w:bottom w:val="none" w:sz="0" w:space="0" w:color="auto"/>
            <w:right w:val="none" w:sz="0" w:space="0" w:color="auto"/>
          </w:divBdr>
          <w:divsChild>
            <w:div w:id="128482221">
              <w:marLeft w:val="0"/>
              <w:marRight w:val="0"/>
              <w:marTop w:val="0"/>
              <w:marBottom w:val="0"/>
              <w:divBdr>
                <w:top w:val="none" w:sz="0" w:space="0" w:color="auto"/>
                <w:left w:val="none" w:sz="0" w:space="0" w:color="auto"/>
                <w:bottom w:val="none" w:sz="0" w:space="0" w:color="auto"/>
                <w:right w:val="none" w:sz="0" w:space="0" w:color="auto"/>
              </w:divBdr>
            </w:div>
          </w:divsChild>
        </w:div>
        <w:div w:id="1466894923">
          <w:marLeft w:val="0"/>
          <w:marRight w:val="0"/>
          <w:marTop w:val="0"/>
          <w:marBottom w:val="0"/>
          <w:divBdr>
            <w:top w:val="none" w:sz="0" w:space="0" w:color="auto"/>
            <w:left w:val="none" w:sz="0" w:space="0" w:color="auto"/>
            <w:bottom w:val="none" w:sz="0" w:space="0" w:color="auto"/>
            <w:right w:val="none" w:sz="0" w:space="0" w:color="auto"/>
          </w:divBdr>
          <w:divsChild>
            <w:div w:id="1933009846">
              <w:marLeft w:val="0"/>
              <w:marRight w:val="0"/>
              <w:marTop w:val="0"/>
              <w:marBottom w:val="0"/>
              <w:divBdr>
                <w:top w:val="none" w:sz="0" w:space="0" w:color="auto"/>
                <w:left w:val="none" w:sz="0" w:space="0" w:color="auto"/>
                <w:bottom w:val="none" w:sz="0" w:space="0" w:color="auto"/>
                <w:right w:val="none" w:sz="0" w:space="0" w:color="auto"/>
              </w:divBdr>
            </w:div>
          </w:divsChild>
        </w:div>
        <w:div w:id="1478297239">
          <w:marLeft w:val="0"/>
          <w:marRight w:val="0"/>
          <w:marTop w:val="0"/>
          <w:marBottom w:val="0"/>
          <w:divBdr>
            <w:top w:val="none" w:sz="0" w:space="0" w:color="auto"/>
            <w:left w:val="none" w:sz="0" w:space="0" w:color="auto"/>
            <w:bottom w:val="none" w:sz="0" w:space="0" w:color="auto"/>
            <w:right w:val="none" w:sz="0" w:space="0" w:color="auto"/>
          </w:divBdr>
          <w:divsChild>
            <w:div w:id="25760004">
              <w:marLeft w:val="0"/>
              <w:marRight w:val="0"/>
              <w:marTop w:val="0"/>
              <w:marBottom w:val="0"/>
              <w:divBdr>
                <w:top w:val="none" w:sz="0" w:space="0" w:color="auto"/>
                <w:left w:val="none" w:sz="0" w:space="0" w:color="auto"/>
                <w:bottom w:val="none" w:sz="0" w:space="0" w:color="auto"/>
                <w:right w:val="none" w:sz="0" w:space="0" w:color="auto"/>
              </w:divBdr>
            </w:div>
          </w:divsChild>
        </w:div>
        <w:div w:id="1490945907">
          <w:marLeft w:val="0"/>
          <w:marRight w:val="0"/>
          <w:marTop w:val="0"/>
          <w:marBottom w:val="0"/>
          <w:divBdr>
            <w:top w:val="none" w:sz="0" w:space="0" w:color="auto"/>
            <w:left w:val="none" w:sz="0" w:space="0" w:color="auto"/>
            <w:bottom w:val="none" w:sz="0" w:space="0" w:color="auto"/>
            <w:right w:val="none" w:sz="0" w:space="0" w:color="auto"/>
          </w:divBdr>
          <w:divsChild>
            <w:div w:id="1279919927">
              <w:marLeft w:val="0"/>
              <w:marRight w:val="0"/>
              <w:marTop w:val="0"/>
              <w:marBottom w:val="0"/>
              <w:divBdr>
                <w:top w:val="none" w:sz="0" w:space="0" w:color="auto"/>
                <w:left w:val="none" w:sz="0" w:space="0" w:color="auto"/>
                <w:bottom w:val="none" w:sz="0" w:space="0" w:color="auto"/>
                <w:right w:val="none" w:sz="0" w:space="0" w:color="auto"/>
              </w:divBdr>
            </w:div>
          </w:divsChild>
        </w:div>
        <w:div w:id="1529028908">
          <w:marLeft w:val="0"/>
          <w:marRight w:val="0"/>
          <w:marTop w:val="0"/>
          <w:marBottom w:val="0"/>
          <w:divBdr>
            <w:top w:val="none" w:sz="0" w:space="0" w:color="auto"/>
            <w:left w:val="none" w:sz="0" w:space="0" w:color="auto"/>
            <w:bottom w:val="none" w:sz="0" w:space="0" w:color="auto"/>
            <w:right w:val="none" w:sz="0" w:space="0" w:color="auto"/>
          </w:divBdr>
          <w:divsChild>
            <w:div w:id="1751154315">
              <w:marLeft w:val="0"/>
              <w:marRight w:val="0"/>
              <w:marTop w:val="0"/>
              <w:marBottom w:val="0"/>
              <w:divBdr>
                <w:top w:val="none" w:sz="0" w:space="0" w:color="auto"/>
                <w:left w:val="none" w:sz="0" w:space="0" w:color="auto"/>
                <w:bottom w:val="none" w:sz="0" w:space="0" w:color="auto"/>
                <w:right w:val="none" w:sz="0" w:space="0" w:color="auto"/>
              </w:divBdr>
            </w:div>
          </w:divsChild>
        </w:div>
        <w:div w:id="1558857100">
          <w:marLeft w:val="0"/>
          <w:marRight w:val="0"/>
          <w:marTop w:val="0"/>
          <w:marBottom w:val="0"/>
          <w:divBdr>
            <w:top w:val="none" w:sz="0" w:space="0" w:color="auto"/>
            <w:left w:val="none" w:sz="0" w:space="0" w:color="auto"/>
            <w:bottom w:val="none" w:sz="0" w:space="0" w:color="auto"/>
            <w:right w:val="none" w:sz="0" w:space="0" w:color="auto"/>
          </w:divBdr>
          <w:divsChild>
            <w:div w:id="669989708">
              <w:marLeft w:val="0"/>
              <w:marRight w:val="0"/>
              <w:marTop w:val="0"/>
              <w:marBottom w:val="0"/>
              <w:divBdr>
                <w:top w:val="none" w:sz="0" w:space="0" w:color="auto"/>
                <w:left w:val="none" w:sz="0" w:space="0" w:color="auto"/>
                <w:bottom w:val="none" w:sz="0" w:space="0" w:color="auto"/>
                <w:right w:val="none" w:sz="0" w:space="0" w:color="auto"/>
              </w:divBdr>
            </w:div>
          </w:divsChild>
        </w:div>
        <w:div w:id="1572083187">
          <w:marLeft w:val="0"/>
          <w:marRight w:val="0"/>
          <w:marTop w:val="0"/>
          <w:marBottom w:val="0"/>
          <w:divBdr>
            <w:top w:val="none" w:sz="0" w:space="0" w:color="auto"/>
            <w:left w:val="none" w:sz="0" w:space="0" w:color="auto"/>
            <w:bottom w:val="none" w:sz="0" w:space="0" w:color="auto"/>
            <w:right w:val="none" w:sz="0" w:space="0" w:color="auto"/>
          </w:divBdr>
          <w:divsChild>
            <w:div w:id="1856649286">
              <w:marLeft w:val="0"/>
              <w:marRight w:val="0"/>
              <w:marTop w:val="0"/>
              <w:marBottom w:val="0"/>
              <w:divBdr>
                <w:top w:val="none" w:sz="0" w:space="0" w:color="auto"/>
                <w:left w:val="none" w:sz="0" w:space="0" w:color="auto"/>
                <w:bottom w:val="none" w:sz="0" w:space="0" w:color="auto"/>
                <w:right w:val="none" w:sz="0" w:space="0" w:color="auto"/>
              </w:divBdr>
            </w:div>
          </w:divsChild>
        </w:div>
        <w:div w:id="1589996666">
          <w:marLeft w:val="0"/>
          <w:marRight w:val="0"/>
          <w:marTop w:val="0"/>
          <w:marBottom w:val="0"/>
          <w:divBdr>
            <w:top w:val="none" w:sz="0" w:space="0" w:color="auto"/>
            <w:left w:val="none" w:sz="0" w:space="0" w:color="auto"/>
            <w:bottom w:val="none" w:sz="0" w:space="0" w:color="auto"/>
            <w:right w:val="none" w:sz="0" w:space="0" w:color="auto"/>
          </w:divBdr>
          <w:divsChild>
            <w:div w:id="1215193604">
              <w:marLeft w:val="0"/>
              <w:marRight w:val="0"/>
              <w:marTop w:val="0"/>
              <w:marBottom w:val="0"/>
              <w:divBdr>
                <w:top w:val="none" w:sz="0" w:space="0" w:color="auto"/>
                <w:left w:val="none" w:sz="0" w:space="0" w:color="auto"/>
                <w:bottom w:val="none" w:sz="0" w:space="0" w:color="auto"/>
                <w:right w:val="none" w:sz="0" w:space="0" w:color="auto"/>
              </w:divBdr>
            </w:div>
          </w:divsChild>
        </w:div>
        <w:div w:id="1627078203">
          <w:marLeft w:val="0"/>
          <w:marRight w:val="0"/>
          <w:marTop w:val="0"/>
          <w:marBottom w:val="0"/>
          <w:divBdr>
            <w:top w:val="none" w:sz="0" w:space="0" w:color="auto"/>
            <w:left w:val="none" w:sz="0" w:space="0" w:color="auto"/>
            <w:bottom w:val="none" w:sz="0" w:space="0" w:color="auto"/>
            <w:right w:val="none" w:sz="0" w:space="0" w:color="auto"/>
          </w:divBdr>
          <w:divsChild>
            <w:div w:id="802578151">
              <w:marLeft w:val="0"/>
              <w:marRight w:val="0"/>
              <w:marTop w:val="0"/>
              <w:marBottom w:val="0"/>
              <w:divBdr>
                <w:top w:val="none" w:sz="0" w:space="0" w:color="auto"/>
                <w:left w:val="none" w:sz="0" w:space="0" w:color="auto"/>
                <w:bottom w:val="none" w:sz="0" w:space="0" w:color="auto"/>
                <w:right w:val="none" w:sz="0" w:space="0" w:color="auto"/>
              </w:divBdr>
            </w:div>
          </w:divsChild>
        </w:div>
        <w:div w:id="1629361782">
          <w:marLeft w:val="0"/>
          <w:marRight w:val="0"/>
          <w:marTop w:val="0"/>
          <w:marBottom w:val="0"/>
          <w:divBdr>
            <w:top w:val="none" w:sz="0" w:space="0" w:color="auto"/>
            <w:left w:val="none" w:sz="0" w:space="0" w:color="auto"/>
            <w:bottom w:val="none" w:sz="0" w:space="0" w:color="auto"/>
            <w:right w:val="none" w:sz="0" w:space="0" w:color="auto"/>
          </w:divBdr>
          <w:divsChild>
            <w:div w:id="1423066666">
              <w:marLeft w:val="0"/>
              <w:marRight w:val="0"/>
              <w:marTop w:val="0"/>
              <w:marBottom w:val="0"/>
              <w:divBdr>
                <w:top w:val="none" w:sz="0" w:space="0" w:color="auto"/>
                <w:left w:val="none" w:sz="0" w:space="0" w:color="auto"/>
                <w:bottom w:val="none" w:sz="0" w:space="0" w:color="auto"/>
                <w:right w:val="none" w:sz="0" w:space="0" w:color="auto"/>
              </w:divBdr>
            </w:div>
          </w:divsChild>
        </w:div>
        <w:div w:id="1645431248">
          <w:marLeft w:val="0"/>
          <w:marRight w:val="0"/>
          <w:marTop w:val="0"/>
          <w:marBottom w:val="0"/>
          <w:divBdr>
            <w:top w:val="none" w:sz="0" w:space="0" w:color="auto"/>
            <w:left w:val="none" w:sz="0" w:space="0" w:color="auto"/>
            <w:bottom w:val="none" w:sz="0" w:space="0" w:color="auto"/>
            <w:right w:val="none" w:sz="0" w:space="0" w:color="auto"/>
          </w:divBdr>
          <w:divsChild>
            <w:div w:id="1232154883">
              <w:marLeft w:val="0"/>
              <w:marRight w:val="0"/>
              <w:marTop w:val="0"/>
              <w:marBottom w:val="0"/>
              <w:divBdr>
                <w:top w:val="none" w:sz="0" w:space="0" w:color="auto"/>
                <w:left w:val="none" w:sz="0" w:space="0" w:color="auto"/>
                <w:bottom w:val="none" w:sz="0" w:space="0" w:color="auto"/>
                <w:right w:val="none" w:sz="0" w:space="0" w:color="auto"/>
              </w:divBdr>
            </w:div>
          </w:divsChild>
        </w:div>
        <w:div w:id="1671106300">
          <w:marLeft w:val="0"/>
          <w:marRight w:val="0"/>
          <w:marTop w:val="0"/>
          <w:marBottom w:val="0"/>
          <w:divBdr>
            <w:top w:val="none" w:sz="0" w:space="0" w:color="auto"/>
            <w:left w:val="none" w:sz="0" w:space="0" w:color="auto"/>
            <w:bottom w:val="none" w:sz="0" w:space="0" w:color="auto"/>
            <w:right w:val="none" w:sz="0" w:space="0" w:color="auto"/>
          </w:divBdr>
          <w:divsChild>
            <w:div w:id="780875339">
              <w:marLeft w:val="0"/>
              <w:marRight w:val="0"/>
              <w:marTop w:val="0"/>
              <w:marBottom w:val="0"/>
              <w:divBdr>
                <w:top w:val="none" w:sz="0" w:space="0" w:color="auto"/>
                <w:left w:val="none" w:sz="0" w:space="0" w:color="auto"/>
                <w:bottom w:val="none" w:sz="0" w:space="0" w:color="auto"/>
                <w:right w:val="none" w:sz="0" w:space="0" w:color="auto"/>
              </w:divBdr>
            </w:div>
          </w:divsChild>
        </w:div>
        <w:div w:id="1709598919">
          <w:marLeft w:val="0"/>
          <w:marRight w:val="0"/>
          <w:marTop w:val="0"/>
          <w:marBottom w:val="0"/>
          <w:divBdr>
            <w:top w:val="none" w:sz="0" w:space="0" w:color="auto"/>
            <w:left w:val="none" w:sz="0" w:space="0" w:color="auto"/>
            <w:bottom w:val="none" w:sz="0" w:space="0" w:color="auto"/>
            <w:right w:val="none" w:sz="0" w:space="0" w:color="auto"/>
          </w:divBdr>
          <w:divsChild>
            <w:div w:id="1389694372">
              <w:marLeft w:val="0"/>
              <w:marRight w:val="0"/>
              <w:marTop w:val="0"/>
              <w:marBottom w:val="0"/>
              <w:divBdr>
                <w:top w:val="none" w:sz="0" w:space="0" w:color="auto"/>
                <w:left w:val="none" w:sz="0" w:space="0" w:color="auto"/>
                <w:bottom w:val="none" w:sz="0" w:space="0" w:color="auto"/>
                <w:right w:val="none" w:sz="0" w:space="0" w:color="auto"/>
              </w:divBdr>
            </w:div>
          </w:divsChild>
        </w:div>
        <w:div w:id="1715034315">
          <w:marLeft w:val="0"/>
          <w:marRight w:val="0"/>
          <w:marTop w:val="0"/>
          <w:marBottom w:val="0"/>
          <w:divBdr>
            <w:top w:val="none" w:sz="0" w:space="0" w:color="auto"/>
            <w:left w:val="none" w:sz="0" w:space="0" w:color="auto"/>
            <w:bottom w:val="none" w:sz="0" w:space="0" w:color="auto"/>
            <w:right w:val="none" w:sz="0" w:space="0" w:color="auto"/>
          </w:divBdr>
          <w:divsChild>
            <w:div w:id="1634865990">
              <w:marLeft w:val="0"/>
              <w:marRight w:val="0"/>
              <w:marTop w:val="0"/>
              <w:marBottom w:val="0"/>
              <w:divBdr>
                <w:top w:val="none" w:sz="0" w:space="0" w:color="auto"/>
                <w:left w:val="none" w:sz="0" w:space="0" w:color="auto"/>
                <w:bottom w:val="none" w:sz="0" w:space="0" w:color="auto"/>
                <w:right w:val="none" w:sz="0" w:space="0" w:color="auto"/>
              </w:divBdr>
            </w:div>
          </w:divsChild>
        </w:div>
        <w:div w:id="1791434417">
          <w:marLeft w:val="0"/>
          <w:marRight w:val="0"/>
          <w:marTop w:val="0"/>
          <w:marBottom w:val="0"/>
          <w:divBdr>
            <w:top w:val="none" w:sz="0" w:space="0" w:color="auto"/>
            <w:left w:val="none" w:sz="0" w:space="0" w:color="auto"/>
            <w:bottom w:val="none" w:sz="0" w:space="0" w:color="auto"/>
            <w:right w:val="none" w:sz="0" w:space="0" w:color="auto"/>
          </w:divBdr>
          <w:divsChild>
            <w:div w:id="762266154">
              <w:marLeft w:val="0"/>
              <w:marRight w:val="0"/>
              <w:marTop w:val="0"/>
              <w:marBottom w:val="0"/>
              <w:divBdr>
                <w:top w:val="none" w:sz="0" w:space="0" w:color="auto"/>
                <w:left w:val="none" w:sz="0" w:space="0" w:color="auto"/>
                <w:bottom w:val="none" w:sz="0" w:space="0" w:color="auto"/>
                <w:right w:val="none" w:sz="0" w:space="0" w:color="auto"/>
              </w:divBdr>
            </w:div>
          </w:divsChild>
        </w:div>
        <w:div w:id="1800684372">
          <w:marLeft w:val="0"/>
          <w:marRight w:val="0"/>
          <w:marTop w:val="0"/>
          <w:marBottom w:val="0"/>
          <w:divBdr>
            <w:top w:val="none" w:sz="0" w:space="0" w:color="auto"/>
            <w:left w:val="none" w:sz="0" w:space="0" w:color="auto"/>
            <w:bottom w:val="none" w:sz="0" w:space="0" w:color="auto"/>
            <w:right w:val="none" w:sz="0" w:space="0" w:color="auto"/>
          </w:divBdr>
          <w:divsChild>
            <w:div w:id="1475440253">
              <w:marLeft w:val="0"/>
              <w:marRight w:val="0"/>
              <w:marTop w:val="0"/>
              <w:marBottom w:val="0"/>
              <w:divBdr>
                <w:top w:val="none" w:sz="0" w:space="0" w:color="auto"/>
                <w:left w:val="none" w:sz="0" w:space="0" w:color="auto"/>
                <w:bottom w:val="none" w:sz="0" w:space="0" w:color="auto"/>
                <w:right w:val="none" w:sz="0" w:space="0" w:color="auto"/>
              </w:divBdr>
            </w:div>
          </w:divsChild>
        </w:div>
        <w:div w:id="1807042440">
          <w:marLeft w:val="0"/>
          <w:marRight w:val="0"/>
          <w:marTop w:val="0"/>
          <w:marBottom w:val="0"/>
          <w:divBdr>
            <w:top w:val="none" w:sz="0" w:space="0" w:color="auto"/>
            <w:left w:val="none" w:sz="0" w:space="0" w:color="auto"/>
            <w:bottom w:val="none" w:sz="0" w:space="0" w:color="auto"/>
            <w:right w:val="none" w:sz="0" w:space="0" w:color="auto"/>
          </w:divBdr>
          <w:divsChild>
            <w:div w:id="488056227">
              <w:marLeft w:val="0"/>
              <w:marRight w:val="0"/>
              <w:marTop w:val="0"/>
              <w:marBottom w:val="0"/>
              <w:divBdr>
                <w:top w:val="none" w:sz="0" w:space="0" w:color="auto"/>
                <w:left w:val="none" w:sz="0" w:space="0" w:color="auto"/>
                <w:bottom w:val="none" w:sz="0" w:space="0" w:color="auto"/>
                <w:right w:val="none" w:sz="0" w:space="0" w:color="auto"/>
              </w:divBdr>
            </w:div>
          </w:divsChild>
        </w:div>
        <w:div w:id="1820149702">
          <w:marLeft w:val="0"/>
          <w:marRight w:val="0"/>
          <w:marTop w:val="0"/>
          <w:marBottom w:val="0"/>
          <w:divBdr>
            <w:top w:val="none" w:sz="0" w:space="0" w:color="auto"/>
            <w:left w:val="none" w:sz="0" w:space="0" w:color="auto"/>
            <w:bottom w:val="none" w:sz="0" w:space="0" w:color="auto"/>
            <w:right w:val="none" w:sz="0" w:space="0" w:color="auto"/>
          </w:divBdr>
          <w:divsChild>
            <w:div w:id="290209435">
              <w:marLeft w:val="0"/>
              <w:marRight w:val="0"/>
              <w:marTop w:val="0"/>
              <w:marBottom w:val="0"/>
              <w:divBdr>
                <w:top w:val="none" w:sz="0" w:space="0" w:color="auto"/>
                <w:left w:val="none" w:sz="0" w:space="0" w:color="auto"/>
                <w:bottom w:val="none" w:sz="0" w:space="0" w:color="auto"/>
                <w:right w:val="none" w:sz="0" w:space="0" w:color="auto"/>
              </w:divBdr>
            </w:div>
          </w:divsChild>
        </w:div>
        <w:div w:id="1850752842">
          <w:marLeft w:val="0"/>
          <w:marRight w:val="0"/>
          <w:marTop w:val="0"/>
          <w:marBottom w:val="0"/>
          <w:divBdr>
            <w:top w:val="none" w:sz="0" w:space="0" w:color="auto"/>
            <w:left w:val="none" w:sz="0" w:space="0" w:color="auto"/>
            <w:bottom w:val="none" w:sz="0" w:space="0" w:color="auto"/>
            <w:right w:val="none" w:sz="0" w:space="0" w:color="auto"/>
          </w:divBdr>
          <w:divsChild>
            <w:div w:id="1395007556">
              <w:marLeft w:val="0"/>
              <w:marRight w:val="0"/>
              <w:marTop w:val="0"/>
              <w:marBottom w:val="0"/>
              <w:divBdr>
                <w:top w:val="none" w:sz="0" w:space="0" w:color="auto"/>
                <w:left w:val="none" w:sz="0" w:space="0" w:color="auto"/>
                <w:bottom w:val="none" w:sz="0" w:space="0" w:color="auto"/>
                <w:right w:val="none" w:sz="0" w:space="0" w:color="auto"/>
              </w:divBdr>
            </w:div>
          </w:divsChild>
        </w:div>
        <w:div w:id="1924489797">
          <w:marLeft w:val="0"/>
          <w:marRight w:val="0"/>
          <w:marTop w:val="0"/>
          <w:marBottom w:val="0"/>
          <w:divBdr>
            <w:top w:val="none" w:sz="0" w:space="0" w:color="auto"/>
            <w:left w:val="none" w:sz="0" w:space="0" w:color="auto"/>
            <w:bottom w:val="none" w:sz="0" w:space="0" w:color="auto"/>
            <w:right w:val="none" w:sz="0" w:space="0" w:color="auto"/>
          </w:divBdr>
          <w:divsChild>
            <w:div w:id="450049941">
              <w:marLeft w:val="0"/>
              <w:marRight w:val="0"/>
              <w:marTop w:val="0"/>
              <w:marBottom w:val="0"/>
              <w:divBdr>
                <w:top w:val="none" w:sz="0" w:space="0" w:color="auto"/>
                <w:left w:val="none" w:sz="0" w:space="0" w:color="auto"/>
                <w:bottom w:val="none" w:sz="0" w:space="0" w:color="auto"/>
                <w:right w:val="none" w:sz="0" w:space="0" w:color="auto"/>
              </w:divBdr>
            </w:div>
          </w:divsChild>
        </w:div>
        <w:div w:id="1927568366">
          <w:marLeft w:val="0"/>
          <w:marRight w:val="0"/>
          <w:marTop w:val="0"/>
          <w:marBottom w:val="0"/>
          <w:divBdr>
            <w:top w:val="none" w:sz="0" w:space="0" w:color="auto"/>
            <w:left w:val="none" w:sz="0" w:space="0" w:color="auto"/>
            <w:bottom w:val="none" w:sz="0" w:space="0" w:color="auto"/>
            <w:right w:val="none" w:sz="0" w:space="0" w:color="auto"/>
          </w:divBdr>
          <w:divsChild>
            <w:div w:id="1092240325">
              <w:marLeft w:val="0"/>
              <w:marRight w:val="0"/>
              <w:marTop w:val="0"/>
              <w:marBottom w:val="0"/>
              <w:divBdr>
                <w:top w:val="none" w:sz="0" w:space="0" w:color="auto"/>
                <w:left w:val="none" w:sz="0" w:space="0" w:color="auto"/>
                <w:bottom w:val="none" w:sz="0" w:space="0" w:color="auto"/>
                <w:right w:val="none" w:sz="0" w:space="0" w:color="auto"/>
              </w:divBdr>
            </w:div>
          </w:divsChild>
        </w:div>
        <w:div w:id="1935479177">
          <w:marLeft w:val="0"/>
          <w:marRight w:val="0"/>
          <w:marTop w:val="0"/>
          <w:marBottom w:val="0"/>
          <w:divBdr>
            <w:top w:val="none" w:sz="0" w:space="0" w:color="auto"/>
            <w:left w:val="none" w:sz="0" w:space="0" w:color="auto"/>
            <w:bottom w:val="none" w:sz="0" w:space="0" w:color="auto"/>
            <w:right w:val="none" w:sz="0" w:space="0" w:color="auto"/>
          </w:divBdr>
          <w:divsChild>
            <w:div w:id="653490050">
              <w:marLeft w:val="0"/>
              <w:marRight w:val="0"/>
              <w:marTop w:val="0"/>
              <w:marBottom w:val="0"/>
              <w:divBdr>
                <w:top w:val="none" w:sz="0" w:space="0" w:color="auto"/>
                <w:left w:val="none" w:sz="0" w:space="0" w:color="auto"/>
                <w:bottom w:val="none" w:sz="0" w:space="0" w:color="auto"/>
                <w:right w:val="none" w:sz="0" w:space="0" w:color="auto"/>
              </w:divBdr>
            </w:div>
          </w:divsChild>
        </w:div>
        <w:div w:id="1961835202">
          <w:marLeft w:val="0"/>
          <w:marRight w:val="0"/>
          <w:marTop w:val="0"/>
          <w:marBottom w:val="0"/>
          <w:divBdr>
            <w:top w:val="none" w:sz="0" w:space="0" w:color="auto"/>
            <w:left w:val="none" w:sz="0" w:space="0" w:color="auto"/>
            <w:bottom w:val="none" w:sz="0" w:space="0" w:color="auto"/>
            <w:right w:val="none" w:sz="0" w:space="0" w:color="auto"/>
          </w:divBdr>
          <w:divsChild>
            <w:div w:id="1650131027">
              <w:marLeft w:val="0"/>
              <w:marRight w:val="0"/>
              <w:marTop w:val="0"/>
              <w:marBottom w:val="0"/>
              <w:divBdr>
                <w:top w:val="none" w:sz="0" w:space="0" w:color="auto"/>
                <w:left w:val="none" w:sz="0" w:space="0" w:color="auto"/>
                <w:bottom w:val="none" w:sz="0" w:space="0" w:color="auto"/>
                <w:right w:val="none" w:sz="0" w:space="0" w:color="auto"/>
              </w:divBdr>
            </w:div>
          </w:divsChild>
        </w:div>
        <w:div w:id="1990396690">
          <w:marLeft w:val="0"/>
          <w:marRight w:val="0"/>
          <w:marTop w:val="0"/>
          <w:marBottom w:val="0"/>
          <w:divBdr>
            <w:top w:val="none" w:sz="0" w:space="0" w:color="auto"/>
            <w:left w:val="none" w:sz="0" w:space="0" w:color="auto"/>
            <w:bottom w:val="none" w:sz="0" w:space="0" w:color="auto"/>
            <w:right w:val="none" w:sz="0" w:space="0" w:color="auto"/>
          </w:divBdr>
          <w:divsChild>
            <w:div w:id="364018863">
              <w:marLeft w:val="0"/>
              <w:marRight w:val="0"/>
              <w:marTop w:val="0"/>
              <w:marBottom w:val="0"/>
              <w:divBdr>
                <w:top w:val="none" w:sz="0" w:space="0" w:color="auto"/>
                <w:left w:val="none" w:sz="0" w:space="0" w:color="auto"/>
                <w:bottom w:val="none" w:sz="0" w:space="0" w:color="auto"/>
                <w:right w:val="none" w:sz="0" w:space="0" w:color="auto"/>
              </w:divBdr>
            </w:div>
          </w:divsChild>
        </w:div>
        <w:div w:id="2011789013">
          <w:marLeft w:val="0"/>
          <w:marRight w:val="0"/>
          <w:marTop w:val="0"/>
          <w:marBottom w:val="0"/>
          <w:divBdr>
            <w:top w:val="none" w:sz="0" w:space="0" w:color="auto"/>
            <w:left w:val="none" w:sz="0" w:space="0" w:color="auto"/>
            <w:bottom w:val="none" w:sz="0" w:space="0" w:color="auto"/>
            <w:right w:val="none" w:sz="0" w:space="0" w:color="auto"/>
          </w:divBdr>
          <w:divsChild>
            <w:div w:id="376322565">
              <w:marLeft w:val="0"/>
              <w:marRight w:val="0"/>
              <w:marTop w:val="0"/>
              <w:marBottom w:val="0"/>
              <w:divBdr>
                <w:top w:val="none" w:sz="0" w:space="0" w:color="auto"/>
                <w:left w:val="none" w:sz="0" w:space="0" w:color="auto"/>
                <w:bottom w:val="none" w:sz="0" w:space="0" w:color="auto"/>
                <w:right w:val="none" w:sz="0" w:space="0" w:color="auto"/>
              </w:divBdr>
            </w:div>
          </w:divsChild>
        </w:div>
        <w:div w:id="2048723661">
          <w:marLeft w:val="0"/>
          <w:marRight w:val="0"/>
          <w:marTop w:val="0"/>
          <w:marBottom w:val="0"/>
          <w:divBdr>
            <w:top w:val="none" w:sz="0" w:space="0" w:color="auto"/>
            <w:left w:val="none" w:sz="0" w:space="0" w:color="auto"/>
            <w:bottom w:val="none" w:sz="0" w:space="0" w:color="auto"/>
            <w:right w:val="none" w:sz="0" w:space="0" w:color="auto"/>
          </w:divBdr>
          <w:divsChild>
            <w:div w:id="1675375256">
              <w:marLeft w:val="0"/>
              <w:marRight w:val="0"/>
              <w:marTop w:val="0"/>
              <w:marBottom w:val="0"/>
              <w:divBdr>
                <w:top w:val="none" w:sz="0" w:space="0" w:color="auto"/>
                <w:left w:val="none" w:sz="0" w:space="0" w:color="auto"/>
                <w:bottom w:val="none" w:sz="0" w:space="0" w:color="auto"/>
                <w:right w:val="none" w:sz="0" w:space="0" w:color="auto"/>
              </w:divBdr>
            </w:div>
          </w:divsChild>
        </w:div>
        <w:div w:id="2062046773">
          <w:marLeft w:val="0"/>
          <w:marRight w:val="0"/>
          <w:marTop w:val="0"/>
          <w:marBottom w:val="0"/>
          <w:divBdr>
            <w:top w:val="none" w:sz="0" w:space="0" w:color="auto"/>
            <w:left w:val="none" w:sz="0" w:space="0" w:color="auto"/>
            <w:bottom w:val="none" w:sz="0" w:space="0" w:color="auto"/>
            <w:right w:val="none" w:sz="0" w:space="0" w:color="auto"/>
          </w:divBdr>
          <w:divsChild>
            <w:div w:id="266696776">
              <w:marLeft w:val="0"/>
              <w:marRight w:val="0"/>
              <w:marTop w:val="0"/>
              <w:marBottom w:val="0"/>
              <w:divBdr>
                <w:top w:val="none" w:sz="0" w:space="0" w:color="auto"/>
                <w:left w:val="none" w:sz="0" w:space="0" w:color="auto"/>
                <w:bottom w:val="none" w:sz="0" w:space="0" w:color="auto"/>
                <w:right w:val="none" w:sz="0" w:space="0" w:color="auto"/>
              </w:divBdr>
            </w:div>
          </w:divsChild>
        </w:div>
        <w:div w:id="2069650379">
          <w:marLeft w:val="0"/>
          <w:marRight w:val="0"/>
          <w:marTop w:val="0"/>
          <w:marBottom w:val="0"/>
          <w:divBdr>
            <w:top w:val="none" w:sz="0" w:space="0" w:color="auto"/>
            <w:left w:val="none" w:sz="0" w:space="0" w:color="auto"/>
            <w:bottom w:val="none" w:sz="0" w:space="0" w:color="auto"/>
            <w:right w:val="none" w:sz="0" w:space="0" w:color="auto"/>
          </w:divBdr>
          <w:divsChild>
            <w:div w:id="769738680">
              <w:marLeft w:val="0"/>
              <w:marRight w:val="0"/>
              <w:marTop w:val="0"/>
              <w:marBottom w:val="0"/>
              <w:divBdr>
                <w:top w:val="none" w:sz="0" w:space="0" w:color="auto"/>
                <w:left w:val="none" w:sz="0" w:space="0" w:color="auto"/>
                <w:bottom w:val="none" w:sz="0" w:space="0" w:color="auto"/>
                <w:right w:val="none" w:sz="0" w:space="0" w:color="auto"/>
              </w:divBdr>
            </w:div>
          </w:divsChild>
        </w:div>
        <w:div w:id="2073692527">
          <w:marLeft w:val="0"/>
          <w:marRight w:val="0"/>
          <w:marTop w:val="0"/>
          <w:marBottom w:val="0"/>
          <w:divBdr>
            <w:top w:val="none" w:sz="0" w:space="0" w:color="auto"/>
            <w:left w:val="none" w:sz="0" w:space="0" w:color="auto"/>
            <w:bottom w:val="none" w:sz="0" w:space="0" w:color="auto"/>
            <w:right w:val="none" w:sz="0" w:space="0" w:color="auto"/>
          </w:divBdr>
          <w:divsChild>
            <w:div w:id="1940408211">
              <w:marLeft w:val="0"/>
              <w:marRight w:val="0"/>
              <w:marTop w:val="0"/>
              <w:marBottom w:val="0"/>
              <w:divBdr>
                <w:top w:val="none" w:sz="0" w:space="0" w:color="auto"/>
                <w:left w:val="none" w:sz="0" w:space="0" w:color="auto"/>
                <w:bottom w:val="none" w:sz="0" w:space="0" w:color="auto"/>
                <w:right w:val="none" w:sz="0" w:space="0" w:color="auto"/>
              </w:divBdr>
            </w:div>
          </w:divsChild>
        </w:div>
        <w:div w:id="2076119172">
          <w:marLeft w:val="0"/>
          <w:marRight w:val="0"/>
          <w:marTop w:val="0"/>
          <w:marBottom w:val="0"/>
          <w:divBdr>
            <w:top w:val="none" w:sz="0" w:space="0" w:color="auto"/>
            <w:left w:val="none" w:sz="0" w:space="0" w:color="auto"/>
            <w:bottom w:val="none" w:sz="0" w:space="0" w:color="auto"/>
            <w:right w:val="none" w:sz="0" w:space="0" w:color="auto"/>
          </w:divBdr>
          <w:divsChild>
            <w:div w:id="2058696571">
              <w:marLeft w:val="0"/>
              <w:marRight w:val="0"/>
              <w:marTop w:val="0"/>
              <w:marBottom w:val="0"/>
              <w:divBdr>
                <w:top w:val="none" w:sz="0" w:space="0" w:color="auto"/>
                <w:left w:val="none" w:sz="0" w:space="0" w:color="auto"/>
                <w:bottom w:val="none" w:sz="0" w:space="0" w:color="auto"/>
                <w:right w:val="none" w:sz="0" w:space="0" w:color="auto"/>
              </w:divBdr>
            </w:div>
          </w:divsChild>
        </w:div>
        <w:div w:id="2081101211">
          <w:marLeft w:val="0"/>
          <w:marRight w:val="0"/>
          <w:marTop w:val="0"/>
          <w:marBottom w:val="0"/>
          <w:divBdr>
            <w:top w:val="none" w:sz="0" w:space="0" w:color="auto"/>
            <w:left w:val="none" w:sz="0" w:space="0" w:color="auto"/>
            <w:bottom w:val="none" w:sz="0" w:space="0" w:color="auto"/>
            <w:right w:val="none" w:sz="0" w:space="0" w:color="auto"/>
          </w:divBdr>
          <w:divsChild>
            <w:div w:id="384644723">
              <w:marLeft w:val="0"/>
              <w:marRight w:val="0"/>
              <w:marTop w:val="0"/>
              <w:marBottom w:val="0"/>
              <w:divBdr>
                <w:top w:val="none" w:sz="0" w:space="0" w:color="auto"/>
                <w:left w:val="none" w:sz="0" w:space="0" w:color="auto"/>
                <w:bottom w:val="none" w:sz="0" w:space="0" w:color="auto"/>
                <w:right w:val="none" w:sz="0" w:space="0" w:color="auto"/>
              </w:divBdr>
            </w:div>
          </w:divsChild>
        </w:div>
        <w:div w:id="2097820284">
          <w:marLeft w:val="0"/>
          <w:marRight w:val="0"/>
          <w:marTop w:val="0"/>
          <w:marBottom w:val="0"/>
          <w:divBdr>
            <w:top w:val="none" w:sz="0" w:space="0" w:color="auto"/>
            <w:left w:val="none" w:sz="0" w:space="0" w:color="auto"/>
            <w:bottom w:val="none" w:sz="0" w:space="0" w:color="auto"/>
            <w:right w:val="none" w:sz="0" w:space="0" w:color="auto"/>
          </w:divBdr>
          <w:divsChild>
            <w:div w:id="851989850">
              <w:marLeft w:val="0"/>
              <w:marRight w:val="0"/>
              <w:marTop w:val="0"/>
              <w:marBottom w:val="0"/>
              <w:divBdr>
                <w:top w:val="none" w:sz="0" w:space="0" w:color="auto"/>
                <w:left w:val="none" w:sz="0" w:space="0" w:color="auto"/>
                <w:bottom w:val="none" w:sz="0" w:space="0" w:color="auto"/>
                <w:right w:val="none" w:sz="0" w:space="0" w:color="auto"/>
              </w:divBdr>
            </w:div>
          </w:divsChild>
        </w:div>
        <w:div w:id="2099329770">
          <w:marLeft w:val="0"/>
          <w:marRight w:val="0"/>
          <w:marTop w:val="0"/>
          <w:marBottom w:val="0"/>
          <w:divBdr>
            <w:top w:val="none" w:sz="0" w:space="0" w:color="auto"/>
            <w:left w:val="none" w:sz="0" w:space="0" w:color="auto"/>
            <w:bottom w:val="none" w:sz="0" w:space="0" w:color="auto"/>
            <w:right w:val="none" w:sz="0" w:space="0" w:color="auto"/>
          </w:divBdr>
          <w:divsChild>
            <w:div w:id="2053916046">
              <w:marLeft w:val="0"/>
              <w:marRight w:val="0"/>
              <w:marTop w:val="0"/>
              <w:marBottom w:val="0"/>
              <w:divBdr>
                <w:top w:val="none" w:sz="0" w:space="0" w:color="auto"/>
                <w:left w:val="none" w:sz="0" w:space="0" w:color="auto"/>
                <w:bottom w:val="none" w:sz="0" w:space="0" w:color="auto"/>
                <w:right w:val="none" w:sz="0" w:space="0" w:color="auto"/>
              </w:divBdr>
            </w:div>
          </w:divsChild>
        </w:div>
        <w:div w:id="2102796511">
          <w:marLeft w:val="0"/>
          <w:marRight w:val="0"/>
          <w:marTop w:val="0"/>
          <w:marBottom w:val="0"/>
          <w:divBdr>
            <w:top w:val="none" w:sz="0" w:space="0" w:color="auto"/>
            <w:left w:val="none" w:sz="0" w:space="0" w:color="auto"/>
            <w:bottom w:val="none" w:sz="0" w:space="0" w:color="auto"/>
            <w:right w:val="none" w:sz="0" w:space="0" w:color="auto"/>
          </w:divBdr>
          <w:divsChild>
            <w:div w:id="2128114099">
              <w:marLeft w:val="0"/>
              <w:marRight w:val="0"/>
              <w:marTop w:val="0"/>
              <w:marBottom w:val="0"/>
              <w:divBdr>
                <w:top w:val="none" w:sz="0" w:space="0" w:color="auto"/>
                <w:left w:val="none" w:sz="0" w:space="0" w:color="auto"/>
                <w:bottom w:val="none" w:sz="0" w:space="0" w:color="auto"/>
                <w:right w:val="none" w:sz="0" w:space="0" w:color="auto"/>
              </w:divBdr>
            </w:div>
          </w:divsChild>
        </w:div>
        <w:div w:id="2107577931">
          <w:marLeft w:val="0"/>
          <w:marRight w:val="0"/>
          <w:marTop w:val="0"/>
          <w:marBottom w:val="0"/>
          <w:divBdr>
            <w:top w:val="none" w:sz="0" w:space="0" w:color="auto"/>
            <w:left w:val="none" w:sz="0" w:space="0" w:color="auto"/>
            <w:bottom w:val="none" w:sz="0" w:space="0" w:color="auto"/>
            <w:right w:val="none" w:sz="0" w:space="0" w:color="auto"/>
          </w:divBdr>
          <w:divsChild>
            <w:div w:id="1377195217">
              <w:marLeft w:val="0"/>
              <w:marRight w:val="0"/>
              <w:marTop w:val="0"/>
              <w:marBottom w:val="0"/>
              <w:divBdr>
                <w:top w:val="none" w:sz="0" w:space="0" w:color="auto"/>
                <w:left w:val="none" w:sz="0" w:space="0" w:color="auto"/>
                <w:bottom w:val="none" w:sz="0" w:space="0" w:color="auto"/>
                <w:right w:val="none" w:sz="0" w:space="0" w:color="auto"/>
              </w:divBdr>
            </w:div>
          </w:divsChild>
        </w:div>
        <w:div w:id="2108966163">
          <w:marLeft w:val="0"/>
          <w:marRight w:val="0"/>
          <w:marTop w:val="0"/>
          <w:marBottom w:val="0"/>
          <w:divBdr>
            <w:top w:val="none" w:sz="0" w:space="0" w:color="auto"/>
            <w:left w:val="none" w:sz="0" w:space="0" w:color="auto"/>
            <w:bottom w:val="none" w:sz="0" w:space="0" w:color="auto"/>
            <w:right w:val="none" w:sz="0" w:space="0" w:color="auto"/>
          </w:divBdr>
          <w:divsChild>
            <w:div w:id="1610745439">
              <w:marLeft w:val="0"/>
              <w:marRight w:val="0"/>
              <w:marTop w:val="0"/>
              <w:marBottom w:val="0"/>
              <w:divBdr>
                <w:top w:val="none" w:sz="0" w:space="0" w:color="auto"/>
                <w:left w:val="none" w:sz="0" w:space="0" w:color="auto"/>
                <w:bottom w:val="none" w:sz="0" w:space="0" w:color="auto"/>
                <w:right w:val="none" w:sz="0" w:space="0" w:color="auto"/>
              </w:divBdr>
            </w:div>
          </w:divsChild>
        </w:div>
        <w:div w:id="2137021068">
          <w:marLeft w:val="0"/>
          <w:marRight w:val="0"/>
          <w:marTop w:val="0"/>
          <w:marBottom w:val="0"/>
          <w:divBdr>
            <w:top w:val="none" w:sz="0" w:space="0" w:color="auto"/>
            <w:left w:val="none" w:sz="0" w:space="0" w:color="auto"/>
            <w:bottom w:val="none" w:sz="0" w:space="0" w:color="auto"/>
            <w:right w:val="none" w:sz="0" w:space="0" w:color="auto"/>
          </w:divBdr>
          <w:divsChild>
            <w:div w:id="11481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38">
      <w:bodyDiv w:val="1"/>
      <w:marLeft w:val="0"/>
      <w:marRight w:val="0"/>
      <w:marTop w:val="0"/>
      <w:marBottom w:val="0"/>
      <w:divBdr>
        <w:top w:val="none" w:sz="0" w:space="0" w:color="auto"/>
        <w:left w:val="none" w:sz="0" w:space="0" w:color="auto"/>
        <w:bottom w:val="none" w:sz="0" w:space="0" w:color="auto"/>
        <w:right w:val="none" w:sz="0" w:space="0" w:color="auto"/>
      </w:divBdr>
      <w:divsChild>
        <w:div w:id="10961814">
          <w:marLeft w:val="0"/>
          <w:marRight w:val="0"/>
          <w:marTop w:val="0"/>
          <w:marBottom w:val="0"/>
          <w:divBdr>
            <w:top w:val="none" w:sz="0" w:space="0" w:color="auto"/>
            <w:left w:val="none" w:sz="0" w:space="0" w:color="auto"/>
            <w:bottom w:val="none" w:sz="0" w:space="0" w:color="auto"/>
            <w:right w:val="none" w:sz="0" w:space="0" w:color="auto"/>
          </w:divBdr>
          <w:divsChild>
            <w:div w:id="37315180">
              <w:marLeft w:val="0"/>
              <w:marRight w:val="0"/>
              <w:marTop w:val="0"/>
              <w:marBottom w:val="0"/>
              <w:divBdr>
                <w:top w:val="none" w:sz="0" w:space="0" w:color="auto"/>
                <w:left w:val="none" w:sz="0" w:space="0" w:color="auto"/>
                <w:bottom w:val="none" w:sz="0" w:space="0" w:color="auto"/>
                <w:right w:val="none" w:sz="0" w:space="0" w:color="auto"/>
              </w:divBdr>
            </w:div>
            <w:div w:id="84763099">
              <w:marLeft w:val="0"/>
              <w:marRight w:val="0"/>
              <w:marTop w:val="0"/>
              <w:marBottom w:val="0"/>
              <w:divBdr>
                <w:top w:val="none" w:sz="0" w:space="0" w:color="auto"/>
                <w:left w:val="none" w:sz="0" w:space="0" w:color="auto"/>
                <w:bottom w:val="none" w:sz="0" w:space="0" w:color="auto"/>
                <w:right w:val="none" w:sz="0" w:space="0" w:color="auto"/>
              </w:divBdr>
            </w:div>
            <w:div w:id="244535797">
              <w:marLeft w:val="0"/>
              <w:marRight w:val="0"/>
              <w:marTop w:val="0"/>
              <w:marBottom w:val="0"/>
              <w:divBdr>
                <w:top w:val="none" w:sz="0" w:space="0" w:color="auto"/>
                <w:left w:val="none" w:sz="0" w:space="0" w:color="auto"/>
                <w:bottom w:val="none" w:sz="0" w:space="0" w:color="auto"/>
                <w:right w:val="none" w:sz="0" w:space="0" w:color="auto"/>
              </w:divBdr>
            </w:div>
            <w:div w:id="250050771">
              <w:marLeft w:val="0"/>
              <w:marRight w:val="0"/>
              <w:marTop w:val="0"/>
              <w:marBottom w:val="0"/>
              <w:divBdr>
                <w:top w:val="none" w:sz="0" w:space="0" w:color="auto"/>
                <w:left w:val="none" w:sz="0" w:space="0" w:color="auto"/>
                <w:bottom w:val="none" w:sz="0" w:space="0" w:color="auto"/>
                <w:right w:val="none" w:sz="0" w:space="0" w:color="auto"/>
              </w:divBdr>
            </w:div>
            <w:div w:id="581839244">
              <w:marLeft w:val="0"/>
              <w:marRight w:val="0"/>
              <w:marTop w:val="0"/>
              <w:marBottom w:val="0"/>
              <w:divBdr>
                <w:top w:val="none" w:sz="0" w:space="0" w:color="auto"/>
                <w:left w:val="none" w:sz="0" w:space="0" w:color="auto"/>
                <w:bottom w:val="none" w:sz="0" w:space="0" w:color="auto"/>
                <w:right w:val="none" w:sz="0" w:space="0" w:color="auto"/>
              </w:divBdr>
            </w:div>
            <w:div w:id="754015606">
              <w:marLeft w:val="0"/>
              <w:marRight w:val="0"/>
              <w:marTop w:val="0"/>
              <w:marBottom w:val="0"/>
              <w:divBdr>
                <w:top w:val="none" w:sz="0" w:space="0" w:color="auto"/>
                <w:left w:val="none" w:sz="0" w:space="0" w:color="auto"/>
                <w:bottom w:val="none" w:sz="0" w:space="0" w:color="auto"/>
                <w:right w:val="none" w:sz="0" w:space="0" w:color="auto"/>
              </w:divBdr>
            </w:div>
            <w:div w:id="1219324778">
              <w:marLeft w:val="0"/>
              <w:marRight w:val="0"/>
              <w:marTop w:val="0"/>
              <w:marBottom w:val="0"/>
              <w:divBdr>
                <w:top w:val="none" w:sz="0" w:space="0" w:color="auto"/>
                <w:left w:val="none" w:sz="0" w:space="0" w:color="auto"/>
                <w:bottom w:val="none" w:sz="0" w:space="0" w:color="auto"/>
                <w:right w:val="none" w:sz="0" w:space="0" w:color="auto"/>
              </w:divBdr>
            </w:div>
            <w:div w:id="1252809605">
              <w:marLeft w:val="0"/>
              <w:marRight w:val="0"/>
              <w:marTop w:val="0"/>
              <w:marBottom w:val="0"/>
              <w:divBdr>
                <w:top w:val="none" w:sz="0" w:space="0" w:color="auto"/>
                <w:left w:val="none" w:sz="0" w:space="0" w:color="auto"/>
                <w:bottom w:val="none" w:sz="0" w:space="0" w:color="auto"/>
                <w:right w:val="none" w:sz="0" w:space="0" w:color="auto"/>
              </w:divBdr>
            </w:div>
            <w:div w:id="1284846547">
              <w:marLeft w:val="0"/>
              <w:marRight w:val="0"/>
              <w:marTop w:val="0"/>
              <w:marBottom w:val="0"/>
              <w:divBdr>
                <w:top w:val="none" w:sz="0" w:space="0" w:color="auto"/>
                <w:left w:val="none" w:sz="0" w:space="0" w:color="auto"/>
                <w:bottom w:val="none" w:sz="0" w:space="0" w:color="auto"/>
                <w:right w:val="none" w:sz="0" w:space="0" w:color="auto"/>
              </w:divBdr>
            </w:div>
            <w:div w:id="1325016100">
              <w:marLeft w:val="0"/>
              <w:marRight w:val="0"/>
              <w:marTop w:val="0"/>
              <w:marBottom w:val="0"/>
              <w:divBdr>
                <w:top w:val="none" w:sz="0" w:space="0" w:color="auto"/>
                <w:left w:val="none" w:sz="0" w:space="0" w:color="auto"/>
                <w:bottom w:val="none" w:sz="0" w:space="0" w:color="auto"/>
                <w:right w:val="none" w:sz="0" w:space="0" w:color="auto"/>
              </w:divBdr>
            </w:div>
            <w:div w:id="1371144557">
              <w:marLeft w:val="0"/>
              <w:marRight w:val="0"/>
              <w:marTop w:val="0"/>
              <w:marBottom w:val="0"/>
              <w:divBdr>
                <w:top w:val="none" w:sz="0" w:space="0" w:color="auto"/>
                <w:left w:val="none" w:sz="0" w:space="0" w:color="auto"/>
                <w:bottom w:val="none" w:sz="0" w:space="0" w:color="auto"/>
                <w:right w:val="none" w:sz="0" w:space="0" w:color="auto"/>
              </w:divBdr>
            </w:div>
            <w:div w:id="1601716474">
              <w:marLeft w:val="0"/>
              <w:marRight w:val="0"/>
              <w:marTop w:val="0"/>
              <w:marBottom w:val="0"/>
              <w:divBdr>
                <w:top w:val="none" w:sz="0" w:space="0" w:color="auto"/>
                <w:left w:val="none" w:sz="0" w:space="0" w:color="auto"/>
                <w:bottom w:val="none" w:sz="0" w:space="0" w:color="auto"/>
                <w:right w:val="none" w:sz="0" w:space="0" w:color="auto"/>
              </w:divBdr>
            </w:div>
            <w:div w:id="1789742800">
              <w:marLeft w:val="0"/>
              <w:marRight w:val="0"/>
              <w:marTop w:val="0"/>
              <w:marBottom w:val="0"/>
              <w:divBdr>
                <w:top w:val="none" w:sz="0" w:space="0" w:color="auto"/>
                <w:left w:val="none" w:sz="0" w:space="0" w:color="auto"/>
                <w:bottom w:val="none" w:sz="0" w:space="0" w:color="auto"/>
                <w:right w:val="none" w:sz="0" w:space="0" w:color="auto"/>
              </w:divBdr>
            </w:div>
            <w:div w:id="1811241491">
              <w:marLeft w:val="0"/>
              <w:marRight w:val="0"/>
              <w:marTop w:val="0"/>
              <w:marBottom w:val="0"/>
              <w:divBdr>
                <w:top w:val="none" w:sz="0" w:space="0" w:color="auto"/>
                <w:left w:val="none" w:sz="0" w:space="0" w:color="auto"/>
                <w:bottom w:val="none" w:sz="0" w:space="0" w:color="auto"/>
                <w:right w:val="none" w:sz="0" w:space="0" w:color="auto"/>
              </w:divBdr>
            </w:div>
            <w:div w:id="1884560232">
              <w:marLeft w:val="0"/>
              <w:marRight w:val="0"/>
              <w:marTop w:val="0"/>
              <w:marBottom w:val="0"/>
              <w:divBdr>
                <w:top w:val="none" w:sz="0" w:space="0" w:color="auto"/>
                <w:left w:val="none" w:sz="0" w:space="0" w:color="auto"/>
                <w:bottom w:val="none" w:sz="0" w:space="0" w:color="auto"/>
                <w:right w:val="none" w:sz="0" w:space="0" w:color="auto"/>
              </w:divBdr>
            </w:div>
            <w:div w:id="1925068323">
              <w:marLeft w:val="0"/>
              <w:marRight w:val="0"/>
              <w:marTop w:val="0"/>
              <w:marBottom w:val="0"/>
              <w:divBdr>
                <w:top w:val="none" w:sz="0" w:space="0" w:color="auto"/>
                <w:left w:val="none" w:sz="0" w:space="0" w:color="auto"/>
                <w:bottom w:val="none" w:sz="0" w:space="0" w:color="auto"/>
                <w:right w:val="none" w:sz="0" w:space="0" w:color="auto"/>
              </w:divBdr>
            </w:div>
            <w:div w:id="2003582615">
              <w:marLeft w:val="0"/>
              <w:marRight w:val="0"/>
              <w:marTop w:val="0"/>
              <w:marBottom w:val="0"/>
              <w:divBdr>
                <w:top w:val="none" w:sz="0" w:space="0" w:color="auto"/>
                <w:left w:val="none" w:sz="0" w:space="0" w:color="auto"/>
                <w:bottom w:val="none" w:sz="0" w:space="0" w:color="auto"/>
                <w:right w:val="none" w:sz="0" w:space="0" w:color="auto"/>
              </w:divBdr>
            </w:div>
            <w:div w:id="2059694832">
              <w:marLeft w:val="0"/>
              <w:marRight w:val="0"/>
              <w:marTop w:val="0"/>
              <w:marBottom w:val="0"/>
              <w:divBdr>
                <w:top w:val="none" w:sz="0" w:space="0" w:color="auto"/>
                <w:left w:val="none" w:sz="0" w:space="0" w:color="auto"/>
                <w:bottom w:val="none" w:sz="0" w:space="0" w:color="auto"/>
                <w:right w:val="none" w:sz="0" w:space="0" w:color="auto"/>
              </w:divBdr>
            </w:div>
            <w:div w:id="2075079937">
              <w:marLeft w:val="0"/>
              <w:marRight w:val="0"/>
              <w:marTop w:val="0"/>
              <w:marBottom w:val="0"/>
              <w:divBdr>
                <w:top w:val="none" w:sz="0" w:space="0" w:color="auto"/>
                <w:left w:val="none" w:sz="0" w:space="0" w:color="auto"/>
                <w:bottom w:val="none" w:sz="0" w:space="0" w:color="auto"/>
                <w:right w:val="none" w:sz="0" w:space="0" w:color="auto"/>
              </w:divBdr>
            </w:div>
            <w:div w:id="2088073496">
              <w:marLeft w:val="0"/>
              <w:marRight w:val="0"/>
              <w:marTop w:val="0"/>
              <w:marBottom w:val="0"/>
              <w:divBdr>
                <w:top w:val="none" w:sz="0" w:space="0" w:color="auto"/>
                <w:left w:val="none" w:sz="0" w:space="0" w:color="auto"/>
                <w:bottom w:val="none" w:sz="0" w:space="0" w:color="auto"/>
                <w:right w:val="none" w:sz="0" w:space="0" w:color="auto"/>
              </w:divBdr>
            </w:div>
          </w:divsChild>
        </w:div>
        <w:div w:id="52511849">
          <w:marLeft w:val="0"/>
          <w:marRight w:val="0"/>
          <w:marTop w:val="0"/>
          <w:marBottom w:val="0"/>
          <w:divBdr>
            <w:top w:val="none" w:sz="0" w:space="0" w:color="auto"/>
            <w:left w:val="none" w:sz="0" w:space="0" w:color="auto"/>
            <w:bottom w:val="none" w:sz="0" w:space="0" w:color="auto"/>
            <w:right w:val="none" w:sz="0" w:space="0" w:color="auto"/>
          </w:divBdr>
          <w:divsChild>
            <w:div w:id="8218977">
              <w:marLeft w:val="0"/>
              <w:marRight w:val="0"/>
              <w:marTop w:val="0"/>
              <w:marBottom w:val="0"/>
              <w:divBdr>
                <w:top w:val="none" w:sz="0" w:space="0" w:color="auto"/>
                <w:left w:val="none" w:sz="0" w:space="0" w:color="auto"/>
                <w:bottom w:val="none" w:sz="0" w:space="0" w:color="auto"/>
                <w:right w:val="none" w:sz="0" w:space="0" w:color="auto"/>
              </w:divBdr>
            </w:div>
            <w:div w:id="262500572">
              <w:marLeft w:val="0"/>
              <w:marRight w:val="0"/>
              <w:marTop w:val="0"/>
              <w:marBottom w:val="0"/>
              <w:divBdr>
                <w:top w:val="none" w:sz="0" w:space="0" w:color="auto"/>
                <w:left w:val="none" w:sz="0" w:space="0" w:color="auto"/>
                <w:bottom w:val="none" w:sz="0" w:space="0" w:color="auto"/>
                <w:right w:val="none" w:sz="0" w:space="0" w:color="auto"/>
              </w:divBdr>
            </w:div>
            <w:div w:id="379280636">
              <w:marLeft w:val="0"/>
              <w:marRight w:val="0"/>
              <w:marTop w:val="0"/>
              <w:marBottom w:val="0"/>
              <w:divBdr>
                <w:top w:val="none" w:sz="0" w:space="0" w:color="auto"/>
                <w:left w:val="none" w:sz="0" w:space="0" w:color="auto"/>
                <w:bottom w:val="none" w:sz="0" w:space="0" w:color="auto"/>
                <w:right w:val="none" w:sz="0" w:space="0" w:color="auto"/>
              </w:divBdr>
            </w:div>
            <w:div w:id="676884948">
              <w:marLeft w:val="0"/>
              <w:marRight w:val="0"/>
              <w:marTop w:val="0"/>
              <w:marBottom w:val="0"/>
              <w:divBdr>
                <w:top w:val="none" w:sz="0" w:space="0" w:color="auto"/>
                <w:left w:val="none" w:sz="0" w:space="0" w:color="auto"/>
                <w:bottom w:val="none" w:sz="0" w:space="0" w:color="auto"/>
                <w:right w:val="none" w:sz="0" w:space="0" w:color="auto"/>
              </w:divBdr>
            </w:div>
            <w:div w:id="762604888">
              <w:marLeft w:val="0"/>
              <w:marRight w:val="0"/>
              <w:marTop w:val="0"/>
              <w:marBottom w:val="0"/>
              <w:divBdr>
                <w:top w:val="none" w:sz="0" w:space="0" w:color="auto"/>
                <w:left w:val="none" w:sz="0" w:space="0" w:color="auto"/>
                <w:bottom w:val="none" w:sz="0" w:space="0" w:color="auto"/>
                <w:right w:val="none" w:sz="0" w:space="0" w:color="auto"/>
              </w:divBdr>
            </w:div>
            <w:div w:id="786895433">
              <w:marLeft w:val="0"/>
              <w:marRight w:val="0"/>
              <w:marTop w:val="0"/>
              <w:marBottom w:val="0"/>
              <w:divBdr>
                <w:top w:val="none" w:sz="0" w:space="0" w:color="auto"/>
                <w:left w:val="none" w:sz="0" w:space="0" w:color="auto"/>
                <w:bottom w:val="none" w:sz="0" w:space="0" w:color="auto"/>
                <w:right w:val="none" w:sz="0" w:space="0" w:color="auto"/>
              </w:divBdr>
            </w:div>
            <w:div w:id="964427950">
              <w:marLeft w:val="0"/>
              <w:marRight w:val="0"/>
              <w:marTop w:val="0"/>
              <w:marBottom w:val="0"/>
              <w:divBdr>
                <w:top w:val="none" w:sz="0" w:space="0" w:color="auto"/>
                <w:left w:val="none" w:sz="0" w:space="0" w:color="auto"/>
                <w:bottom w:val="none" w:sz="0" w:space="0" w:color="auto"/>
                <w:right w:val="none" w:sz="0" w:space="0" w:color="auto"/>
              </w:divBdr>
            </w:div>
            <w:div w:id="968902848">
              <w:marLeft w:val="0"/>
              <w:marRight w:val="0"/>
              <w:marTop w:val="0"/>
              <w:marBottom w:val="0"/>
              <w:divBdr>
                <w:top w:val="none" w:sz="0" w:space="0" w:color="auto"/>
                <w:left w:val="none" w:sz="0" w:space="0" w:color="auto"/>
                <w:bottom w:val="none" w:sz="0" w:space="0" w:color="auto"/>
                <w:right w:val="none" w:sz="0" w:space="0" w:color="auto"/>
              </w:divBdr>
            </w:div>
            <w:div w:id="1088576381">
              <w:marLeft w:val="0"/>
              <w:marRight w:val="0"/>
              <w:marTop w:val="0"/>
              <w:marBottom w:val="0"/>
              <w:divBdr>
                <w:top w:val="none" w:sz="0" w:space="0" w:color="auto"/>
                <w:left w:val="none" w:sz="0" w:space="0" w:color="auto"/>
                <w:bottom w:val="none" w:sz="0" w:space="0" w:color="auto"/>
                <w:right w:val="none" w:sz="0" w:space="0" w:color="auto"/>
              </w:divBdr>
            </w:div>
            <w:div w:id="1170564491">
              <w:marLeft w:val="0"/>
              <w:marRight w:val="0"/>
              <w:marTop w:val="0"/>
              <w:marBottom w:val="0"/>
              <w:divBdr>
                <w:top w:val="none" w:sz="0" w:space="0" w:color="auto"/>
                <w:left w:val="none" w:sz="0" w:space="0" w:color="auto"/>
                <w:bottom w:val="none" w:sz="0" w:space="0" w:color="auto"/>
                <w:right w:val="none" w:sz="0" w:space="0" w:color="auto"/>
              </w:divBdr>
            </w:div>
            <w:div w:id="1242182556">
              <w:marLeft w:val="0"/>
              <w:marRight w:val="0"/>
              <w:marTop w:val="0"/>
              <w:marBottom w:val="0"/>
              <w:divBdr>
                <w:top w:val="none" w:sz="0" w:space="0" w:color="auto"/>
                <w:left w:val="none" w:sz="0" w:space="0" w:color="auto"/>
                <w:bottom w:val="none" w:sz="0" w:space="0" w:color="auto"/>
                <w:right w:val="none" w:sz="0" w:space="0" w:color="auto"/>
              </w:divBdr>
            </w:div>
            <w:div w:id="1535116436">
              <w:marLeft w:val="0"/>
              <w:marRight w:val="0"/>
              <w:marTop w:val="0"/>
              <w:marBottom w:val="0"/>
              <w:divBdr>
                <w:top w:val="none" w:sz="0" w:space="0" w:color="auto"/>
                <w:left w:val="none" w:sz="0" w:space="0" w:color="auto"/>
                <w:bottom w:val="none" w:sz="0" w:space="0" w:color="auto"/>
                <w:right w:val="none" w:sz="0" w:space="0" w:color="auto"/>
              </w:divBdr>
            </w:div>
            <w:div w:id="1651712057">
              <w:marLeft w:val="0"/>
              <w:marRight w:val="0"/>
              <w:marTop w:val="0"/>
              <w:marBottom w:val="0"/>
              <w:divBdr>
                <w:top w:val="none" w:sz="0" w:space="0" w:color="auto"/>
                <w:left w:val="none" w:sz="0" w:space="0" w:color="auto"/>
                <w:bottom w:val="none" w:sz="0" w:space="0" w:color="auto"/>
                <w:right w:val="none" w:sz="0" w:space="0" w:color="auto"/>
              </w:divBdr>
            </w:div>
            <w:div w:id="1674070305">
              <w:marLeft w:val="0"/>
              <w:marRight w:val="0"/>
              <w:marTop w:val="0"/>
              <w:marBottom w:val="0"/>
              <w:divBdr>
                <w:top w:val="none" w:sz="0" w:space="0" w:color="auto"/>
                <w:left w:val="none" w:sz="0" w:space="0" w:color="auto"/>
                <w:bottom w:val="none" w:sz="0" w:space="0" w:color="auto"/>
                <w:right w:val="none" w:sz="0" w:space="0" w:color="auto"/>
              </w:divBdr>
            </w:div>
            <w:div w:id="1823887719">
              <w:marLeft w:val="0"/>
              <w:marRight w:val="0"/>
              <w:marTop w:val="0"/>
              <w:marBottom w:val="0"/>
              <w:divBdr>
                <w:top w:val="none" w:sz="0" w:space="0" w:color="auto"/>
                <w:left w:val="none" w:sz="0" w:space="0" w:color="auto"/>
                <w:bottom w:val="none" w:sz="0" w:space="0" w:color="auto"/>
                <w:right w:val="none" w:sz="0" w:space="0" w:color="auto"/>
              </w:divBdr>
            </w:div>
            <w:div w:id="1959679935">
              <w:marLeft w:val="0"/>
              <w:marRight w:val="0"/>
              <w:marTop w:val="0"/>
              <w:marBottom w:val="0"/>
              <w:divBdr>
                <w:top w:val="none" w:sz="0" w:space="0" w:color="auto"/>
                <w:left w:val="none" w:sz="0" w:space="0" w:color="auto"/>
                <w:bottom w:val="none" w:sz="0" w:space="0" w:color="auto"/>
                <w:right w:val="none" w:sz="0" w:space="0" w:color="auto"/>
              </w:divBdr>
            </w:div>
            <w:div w:id="1982077939">
              <w:marLeft w:val="0"/>
              <w:marRight w:val="0"/>
              <w:marTop w:val="0"/>
              <w:marBottom w:val="0"/>
              <w:divBdr>
                <w:top w:val="none" w:sz="0" w:space="0" w:color="auto"/>
                <w:left w:val="none" w:sz="0" w:space="0" w:color="auto"/>
                <w:bottom w:val="none" w:sz="0" w:space="0" w:color="auto"/>
                <w:right w:val="none" w:sz="0" w:space="0" w:color="auto"/>
              </w:divBdr>
            </w:div>
            <w:div w:id="2029133139">
              <w:marLeft w:val="0"/>
              <w:marRight w:val="0"/>
              <w:marTop w:val="0"/>
              <w:marBottom w:val="0"/>
              <w:divBdr>
                <w:top w:val="none" w:sz="0" w:space="0" w:color="auto"/>
                <w:left w:val="none" w:sz="0" w:space="0" w:color="auto"/>
                <w:bottom w:val="none" w:sz="0" w:space="0" w:color="auto"/>
                <w:right w:val="none" w:sz="0" w:space="0" w:color="auto"/>
              </w:divBdr>
            </w:div>
          </w:divsChild>
        </w:div>
        <w:div w:id="857161904">
          <w:marLeft w:val="0"/>
          <w:marRight w:val="0"/>
          <w:marTop w:val="0"/>
          <w:marBottom w:val="0"/>
          <w:divBdr>
            <w:top w:val="none" w:sz="0" w:space="0" w:color="auto"/>
            <w:left w:val="none" w:sz="0" w:space="0" w:color="auto"/>
            <w:bottom w:val="none" w:sz="0" w:space="0" w:color="auto"/>
            <w:right w:val="none" w:sz="0" w:space="0" w:color="auto"/>
          </w:divBdr>
          <w:divsChild>
            <w:div w:id="25756540">
              <w:marLeft w:val="0"/>
              <w:marRight w:val="0"/>
              <w:marTop w:val="0"/>
              <w:marBottom w:val="0"/>
              <w:divBdr>
                <w:top w:val="none" w:sz="0" w:space="0" w:color="auto"/>
                <w:left w:val="none" w:sz="0" w:space="0" w:color="auto"/>
                <w:bottom w:val="none" w:sz="0" w:space="0" w:color="auto"/>
                <w:right w:val="none" w:sz="0" w:space="0" w:color="auto"/>
              </w:divBdr>
            </w:div>
            <w:div w:id="133454172">
              <w:marLeft w:val="0"/>
              <w:marRight w:val="0"/>
              <w:marTop w:val="0"/>
              <w:marBottom w:val="0"/>
              <w:divBdr>
                <w:top w:val="none" w:sz="0" w:space="0" w:color="auto"/>
                <w:left w:val="none" w:sz="0" w:space="0" w:color="auto"/>
                <w:bottom w:val="none" w:sz="0" w:space="0" w:color="auto"/>
                <w:right w:val="none" w:sz="0" w:space="0" w:color="auto"/>
              </w:divBdr>
            </w:div>
            <w:div w:id="326907088">
              <w:marLeft w:val="0"/>
              <w:marRight w:val="0"/>
              <w:marTop w:val="0"/>
              <w:marBottom w:val="0"/>
              <w:divBdr>
                <w:top w:val="none" w:sz="0" w:space="0" w:color="auto"/>
                <w:left w:val="none" w:sz="0" w:space="0" w:color="auto"/>
                <w:bottom w:val="none" w:sz="0" w:space="0" w:color="auto"/>
                <w:right w:val="none" w:sz="0" w:space="0" w:color="auto"/>
              </w:divBdr>
            </w:div>
            <w:div w:id="670176828">
              <w:marLeft w:val="0"/>
              <w:marRight w:val="0"/>
              <w:marTop w:val="0"/>
              <w:marBottom w:val="0"/>
              <w:divBdr>
                <w:top w:val="none" w:sz="0" w:space="0" w:color="auto"/>
                <w:left w:val="none" w:sz="0" w:space="0" w:color="auto"/>
                <w:bottom w:val="none" w:sz="0" w:space="0" w:color="auto"/>
                <w:right w:val="none" w:sz="0" w:space="0" w:color="auto"/>
              </w:divBdr>
            </w:div>
            <w:div w:id="819543183">
              <w:marLeft w:val="0"/>
              <w:marRight w:val="0"/>
              <w:marTop w:val="0"/>
              <w:marBottom w:val="0"/>
              <w:divBdr>
                <w:top w:val="none" w:sz="0" w:space="0" w:color="auto"/>
                <w:left w:val="none" w:sz="0" w:space="0" w:color="auto"/>
                <w:bottom w:val="none" w:sz="0" w:space="0" w:color="auto"/>
                <w:right w:val="none" w:sz="0" w:space="0" w:color="auto"/>
              </w:divBdr>
            </w:div>
            <w:div w:id="923609209">
              <w:marLeft w:val="0"/>
              <w:marRight w:val="0"/>
              <w:marTop w:val="0"/>
              <w:marBottom w:val="0"/>
              <w:divBdr>
                <w:top w:val="none" w:sz="0" w:space="0" w:color="auto"/>
                <w:left w:val="none" w:sz="0" w:space="0" w:color="auto"/>
                <w:bottom w:val="none" w:sz="0" w:space="0" w:color="auto"/>
                <w:right w:val="none" w:sz="0" w:space="0" w:color="auto"/>
              </w:divBdr>
            </w:div>
            <w:div w:id="972445481">
              <w:marLeft w:val="0"/>
              <w:marRight w:val="0"/>
              <w:marTop w:val="0"/>
              <w:marBottom w:val="0"/>
              <w:divBdr>
                <w:top w:val="none" w:sz="0" w:space="0" w:color="auto"/>
                <w:left w:val="none" w:sz="0" w:space="0" w:color="auto"/>
                <w:bottom w:val="none" w:sz="0" w:space="0" w:color="auto"/>
                <w:right w:val="none" w:sz="0" w:space="0" w:color="auto"/>
              </w:divBdr>
            </w:div>
            <w:div w:id="1103112751">
              <w:marLeft w:val="0"/>
              <w:marRight w:val="0"/>
              <w:marTop w:val="0"/>
              <w:marBottom w:val="0"/>
              <w:divBdr>
                <w:top w:val="none" w:sz="0" w:space="0" w:color="auto"/>
                <w:left w:val="none" w:sz="0" w:space="0" w:color="auto"/>
                <w:bottom w:val="none" w:sz="0" w:space="0" w:color="auto"/>
                <w:right w:val="none" w:sz="0" w:space="0" w:color="auto"/>
              </w:divBdr>
            </w:div>
            <w:div w:id="1112169326">
              <w:marLeft w:val="0"/>
              <w:marRight w:val="0"/>
              <w:marTop w:val="0"/>
              <w:marBottom w:val="0"/>
              <w:divBdr>
                <w:top w:val="none" w:sz="0" w:space="0" w:color="auto"/>
                <w:left w:val="none" w:sz="0" w:space="0" w:color="auto"/>
                <w:bottom w:val="none" w:sz="0" w:space="0" w:color="auto"/>
                <w:right w:val="none" w:sz="0" w:space="0" w:color="auto"/>
              </w:divBdr>
            </w:div>
            <w:div w:id="1147937168">
              <w:marLeft w:val="0"/>
              <w:marRight w:val="0"/>
              <w:marTop w:val="0"/>
              <w:marBottom w:val="0"/>
              <w:divBdr>
                <w:top w:val="none" w:sz="0" w:space="0" w:color="auto"/>
                <w:left w:val="none" w:sz="0" w:space="0" w:color="auto"/>
                <w:bottom w:val="none" w:sz="0" w:space="0" w:color="auto"/>
                <w:right w:val="none" w:sz="0" w:space="0" w:color="auto"/>
              </w:divBdr>
            </w:div>
            <w:div w:id="1353219449">
              <w:marLeft w:val="0"/>
              <w:marRight w:val="0"/>
              <w:marTop w:val="0"/>
              <w:marBottom w:val="0"/>
              <w:divBdr>
                <w:top w:val="none" w:sz="0" w:space="0" w:color="auto"/>
                <w:left w:val="none" w:sz="0" w:space="0" w:color="auto"/>
                <w:bottom w:val="none" w:sz="0" w:space="0" w:color="auto"/>
                <w:right w:val="none" w:sz="0" w:space="0" w:color="auto"/>
              </w:divBdr>
            </w:div>
            <w:div w:id="1413510288">
              <w:marLeft w:val="0"/>
              <w:marRight w:val="0"/>
              <w:marTop w:val="0"/>
              <w:marBottom w:val="0"/>
              <w:divBdr>
                <w:top w:val="none" w:sz="0" w:space="0" w:color="auto"/>
                <w:left w:val="none" w:sz="0" w:space="0" w:color="auto"/>
                <w:bottom w:val="none" w:sz="0" w:space="0" w:color="auto"/>
                <w:right w:val="none" w:sz="0" w:space="0" w:color="auto"/>
              </w:divBdr>
            </w:div>
            <w:div w:id="1610818273">
              <w:marLeft w:val="0"/>
              <w:marRight w:val="0"/>
              <w:marTop w:val="0"/>
              <w:marBottom w:val="0"/>
              <w:divBdr>
                <w:top w:val="none" w:sz="0" w:space="0" w:color="auto"/>
                <w:left w:val="none" w:sz="0" w:space="0" w:color="auto"/>
                <w:bottom w:val="none" w:sz="0" w:space="0" w:color="auto"/>
                <w:right w:val="none" w:sz="0" w:space="0" w:color="auto"/>
              </w:divBdr>
            </w:div>
            <w:div w:id="1750155883">
              <w:marLeft w:val="0"/>
              <w:marRight w:val="0"/>
              <w:marTop w:val="0"/>
              <w:marBottom w:val="0"/>
              <w:divBdr>
                <w:top w:val="none" w:sz="0" w:space="0" w:color="auto"/>
                <w:left w:val="none" w:sz="0" w:space="0" w:color="auto"/>
                <w:bottom w:val="none" w:sz="0" w:space="0" w:color="auto"/>
                <w:right w:val="none" w:sz="0" w:space="0" w:color="auto"/>
              </w:divBdr>
            </w:div>
            <w:div w:id="1786341628">
              <w:marLeft w:val="0"/>
              <w:marRight w:val="0"/>
              <w:marTop w:val="0"/>
              <w:marBottom w:val="0"/>
              <w:divBdr>
                <w:top w:val="none" w:sz="0" w:space="0" w:color="auto"/>
                <w:left w:val="none" w:sz="0" w:space="0" w:color="auto"/>
                <w:bottom w:val="none" w:sz="0" w:space="0" w:color="auto"/>
                <w:right w:val="none" w:sz="0" w:space="0" w:color="auto"/>
              </w:divBdr>
            </w:div>
            <w:div w:id="1801026428">
              <w:marLeft w:val="0"/>
              <w:marRight w:val="0"/>
              <w:marTop w:val="0"/>
              <w:marBottom w:val="0"/>
              <w:divBdr>
                <w:top w:val="none" w:sz="0" w:space="0" w:color="auto"/>
                <w:left w:val="none" w:sz="0" w:space="0" w:color="auto"/>
                <w:bottom w:val="none" w:sz="0" w:space="0" w:color="auto"/>
                <w:right w:val="none" w:sz="0" w:space="0" w:color="auto"/>
              </w:divBdr>
            </w:div>
            <w:div w:id="1816486349">
              <w:marLeft w:val="0"/>
              <w:marRight w:val="0"/>
              <w:marTop w:val="0"/>
              <w:marBottom w:val="0"/>
              <w:divBdr>
                <w:top w:val="none" w:sz="0" w:space="0" w:color="auto"/>
                <w:left w:val="none" w:sz="0" w:space="0" w:color="auto"/>
                <w:bottom w:val="none" w:sz="0" w:space="0" w:color="auto"/>
                <w:right w:val="none" w:sz="0" w:space="0" w:color="auto"/>
              </w:divBdr>
            </w:div>
            <w:div w:id="1833448743">
              <w:marLeft w:val="0"/>
              <w:marRight w:val="0"/>
              <w:marTop w:val="0"/>
              <w:marBottom w:val="0"/>
              <w:divBdr>
                <w:top w:val="none" w:sz="0" w:space="0" w:color="auto"/>
                <w:left w:val="none" w:sz="0" w:space="0" w:color="auto"/>
                <w:bottom w:val="none" w:sz="0" w:space="0" w:color="auto"/>
                <w:right w:val="none" w:sz="0" w:space="0" w:color="auto"/>
              </w:divBdr>
            </w:div>
            <w:div w:id="2033260602">
              <w:marLeft w:val="0"/>
              <w:marRight w:val="0"/>
              <w:marTop w:val="0"/>
              <w:marBottom w:val="0"/>
              <w:divBdr>
                <w:top w:val="none" w:sz="0" w:space="0" w:color="auto"/>
                <w:left w:val="none" w:sz="0" w:space="0" w:color="auto"/>
                <w:bottom w:val="none" w:sz="0" w:space="0" w:color="auto"/>
                <w:right w:val="none" w:sz="0" w:space="0" w:color="auto"/>
              </w:divBdr>
            </w:div>
            <w:div w:id="2076315212">
              <w:marLeft w:val="0"/>
              <w:marRight w:val="0"/>
              <w:marTop w:val="0"/>
              <w:marBottom w:val="0"/>
              <w:divBdr>
                <w:top w:val="none" w:sz="0" w:space="0" w:color="auto"/>
                <w:left w:val="none" w:sz="0" w:space="0" w:color="auto"/>
                <w:bottom w:val="none" w:sz="0" w:space="0" w:color="auto"/>
                <w:right w:val="none" w:sz="0" w:space="0" w:color="auto"/>
              </w:divBdr>
            </w:div>
          </w:divsChild>
        </w:div>
        <w:div w:id="1205563864">
          <w:marLeft w:val="0"/>
          <w:marRight w:val="0"/>
          <w:marTop w:val="0"/>
          <w:marBottom w:val="0"/>
          <w:divBdr>
            <w:top w:val="none" w:sz="0" w:space="0" w:color="auto"/>
            <w:left w:val="none" w:sz="0" w:space="0" w:color="auto"/>
            <w:bottom w:val="none" w:sz="0" w:space="0" w:color="auto"/>
            <w:right w:val="none" w:sz="0" w:space="0" w:color="auto"/>
          </w:divBdr>
          <w:divsChild>
            <w:div w:id="24255566">
              <w:marLeft w:val="0"/>
              <w:marRight w:val="0"/>
              <w:marTop w:val="0"/>
              <w:marBottom w:val="0"/>
              <w:divBdr>
                <w:top w:val="none" w:sz="0" w:space="0" w:color="auto"/>
                <w:left w:val="none" w:sz="0" w:space="0" w:color="auto"/>
                <w:bottom w:val="none" w:sz="0" w:space="0" w:color="auto"/>
                <w:right w:val="none" w:sz="0" w:space="0" w:color="auto"/>
              </w:divBdr>
            </w:div>
            <w:div w:id="64422962">
              <w:marLeft w:val="0"/>
              <w:marRight w:val="0"/>
              <w:marTop w:val="0"/>
              <w:marBottom w:val="0"/>
              <w:divBdr>
                <w:top w:val="none" w:sz="0" w:space="0" w:color="auto"/>
                <w:left w:val="none" w:sz="0" w:space="0" w:color="auto"/>
                <w:bottom w:val="none" w:sz="0" w:space="0" w:color="auto"/>
                <w:right w:val="none" w:sz="0" w:space="0" w:color="auto"/>
              </w:divBdr>
            </w:div>
            <w:div w:id="89589437">
              <w:marLeft w:val="0"/>
              <w:marRight w:val="0"/>
              <w:marTop w:val="0"/>
              <w:marBottom w:val="0"/>
              <w:divBdr>
                <w:top w:val="none" w:sz="0" w:space="0" w:color="auto"/>
                <w:left w:val="none" w:sz="0" w:space="0" w:color="auto"/>
                <w:bottom w:val="none" w:sz="0" w:space="0" w:color="auto"/>
                <w:right w:val="none" w:sz="0" w:space="0" w:color="auto"/>
              </w:divBdr>
            </w:div>
            <w:div w:id="148441963">
              <w:marLeft w:val="0"/>
              <w:marRight w:val="0"/>
              <w:marTop w:val="0"/>
              <w:marBottom w:val="0"/>
              <w:divBdr>
                <w:top w:val="none" w:sz="0" w:space="0" w:color="auto"/>
                <w:left w:val="none" w:sz="0" w:space="0" w:color="auto"/>
                <w:bottom w:val="none" w:sz="0" w:space="0" w:color="auto"/>
                <w:right w:val="none" w:sz="0" w:space="0" w:color="auto"/>
              </w:divBdr>
            </w:div>
            <w:div w:id="255404333">
              <w:marLeft w:val="0"/>
              <w:marRight w:val="0"/>
              <w:marTop w:val="0"/>
              <w:marBottom w:val="0"/>
              <w:divBdr>
                <w:top w:val="none" w:sz="0" w:space="0" w:color="auto"/>
                <w:left w:val="none" w:sz="0" w:space="0" w:color="auto"/>
                <w:bottom w:val="none" w:sz="0" w:space="0" w:color="auto"/>
                <w:right w:val="none" w:sz="0" w:space="0" w:color="auto"/>
              </w:divBdr>
            </w:div>
            <w:div w:id="527911673">
              <w:marLeft w:val="0"/>
              <w:marRight w:val="0"/>
              <w:marTop w:val="0"/>
              <w:marBottom w:val="0"/>
              <w:divBdr>
                <w:top w:val="none" w:sz="0" w:space="0" w:color="auto"/>
                <w:left w:val="none" w:sz="0" w:space="0" w:color="auto"/>
                <w:bottom w:val="none" w:sz="0" w:space="0" w:color="auto"/>
                <w:right w:val="none" w:sz="0" w:space="0" w:color="auto"/>
              </w:divBdr>
            </w:div>
            <w:div w:id="580870906">
              <w:marLeft w:val="0"/>
              <w:marRight w:val="0"/>
              <w:marTop w:val="0"/>
              <w:marBottom w:val="0"/>
              <w:divBdr>
                <w:top w:val="none" w:sz="0" w:space="0" w:color="auto"/>
                <w:left w:val="none" w:sz="0" w:space="0" w:color="auto"/>
                <w:bottom w:val="none" w:sz="0" w:space="0" w:color="auto"/>
                <w:right w:val="none" w:sz="0" w:space="0" w:color="auto"/>
              </w:divBdr>
            </w:div>
            <w:div w:id="601493413">
              <w:marLeft w:val="0"/>
              <w:marRight w:val="0"/>
              <w:marTop w:val="0"/>
              <w:marBottom w:val="0"/>
              <w:divBdr>
                <w:top w:val="none" w:sz="0" w:space="0" w:color="auto"/>
                <w:left w:val="none" w:sz="0" w:space="0" w:color="auto"/>
                <w:bottom w:val="none" w:sz="0" w:space="0" w:color="auto"/>
                <w:right w:val="none" w:sz="0" w:space="0" w:color="auto"/>
              </w:divBdr>
            </w:div>
            <w:div w:id="726147380">
              <w:marLeft w:val="0"/>
              <w:marRight w:val="0"/>
              <w:marTop w:val="0"/>
              <w:marBottom w:val="0"/>
              <w:divBdr>
                <w:top w:val="none" w:sz="0" w:space="0" w:color="auto"/>
                <w:left w:val="none" w:sz="0" w:space="0" w:color="auto"/>
                <w:bottom w:val="none" w:sz="0" w:space="0" w:color="auto"/>
                <w:right w:val="none" w:sz="0" w:space="0" w:color="auto"/>
              </w:divBdr>
            </w:div>
            <w:div w:id="798305529">
              <w:marLeft w:val="0"/>
              <w:marRight w:val="0"/>
              <w:marTop w:val="0"/>
              <w:marBottom w:val="0"/>
              <w:divBdr>
                <w:top w:val="none" w:sz="0" w:space="0" w:color="auto"/>
                <w:left w:val="none" w:sz="0" w:space="0" w:color="auto"/>
                <w:bottom w:val="none" w:sz="0" w:space="0" w:color="auto"/>
                <w:right w:val="none" w:sz="0" w:space="0" w:color="auto"/>
              </w:divBdr>
            </w:div>
            <w:div w:id="949825241">
              <w:marLeft w:val="0"/>
              <w:marRight w:val="0"/>
              <w:marTop w:val="0"/>
              <w:marBottom w:val="0"/>
              <w:divBdr>
                <w:top w:val="none" w:sz="0" w:space="0" w:color="auto"/>
                <w:left w:val="none" w:sz="0" w:space="0" w:color="auto"/>
                <w:bottom w:val="none" w:sz="0" w:space="0" w:color="auto"/>
                <w:right w:val="none" w:sz="0" w:space="0" w:color="auto"/>
              </w:divBdr>
            </w:div>
            <w:div w:id="1163159797">
              <w:marLeft w:val="0"/>
              <w:marRight w:val="0"/>
              <w:marTop w:val="0"/>
              <w:marBottom w:val="0"/>
              <w:divBdr>
                <w:top w:val="none" w:sz="0" w:space="0" w:color="auto"/>
                <w:left w:val="none" w:sz="0" w:space="0" w:color="auto"/>
                <w:bottom w:val="none" w:sz="0" w:space="0" w:color="auto"/>
                <w:right w:val="none" w:sz="0" w:space="0" w:color="auto"/>
              </w:divBdr>
            </w:div>
            <w:div w:id="1173909129">
              <w:marLeft w:val="0"/>
              <w:marRight w:val="0"/>
              <w:marTop w:val="0"/>
              <w:marBottom w:val="0"/>
              <w:divBdr>
                <w:top w:val="none" w:sz="0" w:space="0" w:color="auto"/>
                <w:left w:val="none" w:sz="0" w:space="0" w:color="auto"/>
                <w:bottom w:val="none" w:sz="0" w:space="0" w:color="auto"/>
                <w:right w:val="none" w:sz="0" w:space="0" w:color="auto"/>
              </w:divBdr>
            </w:div>
            <w:div w:id="1334334783">
              <w:marLeft w:val="0"/>
              <w:marRight w:val="0"/>
              <w:marTop w:val="0"/>
              <w:marBottom w:val="0"/>
              <w:divBdr>
                <w:top w:val="none" w:sz="0" w:space="0" w:color="auto"/>
                <w:left w:val="none" w:sz="0" w:space="0" w:color="auto"/>
                <w:bottom w:val="none" w:sz="0" w:space="0" w:color="auto"/>
                <w:right w:val="none" w:sz="0" w:space="0" w:color="auto"/>
              </w:divBdr>
            </w:div>
            <w:div w:id="1519852905">
              <w:marLeft w:val="0"/>
              <w:marRight w:val="0"/>
              <w:marTop w:val="0"/>
              <w:marBottom w:val="0"/>
              <w:divBdr>
                <w:top w:val="none" w:sz="0" w:space="0" w:color="auto"/>
                <w:left w:val="none" w:sz="0" w:space="0" w:color="auto"/>
                <w:bottom w:val="none" w:sz="0" w:space="0" w:color="auto"/>
                <w:right w:val="none" w:sz="0" w:space="0" w:color="auto"/>
              </w:divBdr>
            </w:div>
            <w:div w:id="1534422716">
              <w:marLeft w:val="0"/>
              <w:marRight w:val="0"/>
              <w:marTop w:val="0"/>
              <w:marBottom w:val="0"/>
              <w:divBdr>
                <w:top w:val="none" w:sz="0" w:space="0" w:color="auto"/>
                <w:left w:val="none" w:sz="0" w:space="0" w:color="auto"/>
                <w:bottom w:val="none" w:sz="0" w:space="0" w:color="auto"/>
                <w:right w:val="none" w:sz="0" w:space="0" w:color="auto"/>
              </w:divBdr>
            </w:div>
            <w:div w:id="1691562364">
              <w:marLeft w:val="0"/>
              <w:marRight w:val="0"/>
              <w:marTop w:val="0"/>
              <w:marBottom w:val="0"/>
              <w:divBdr>
                <w:top w:val="none" w:sz="0" w:space="0" w:color="auto"/>
                <w:left w:val="none" w:sz="0" w:space="0" w:color="auto"/>
                <w:bottom w:val="none" w:sz="0" w:space="0" w:color="auto"/>
                <w:right w:val="none" w:sz="0" w:space="0" w:color="auto"/>
              </w:divBdr>
            </w:div>
            <w:div w:id="1965384523">
              <w:marLeft w:val="0"/>
              <w:marRight w:val="0"/>
              <w:marTop w:val="0"/>
              <w:marBottom w:val="0"/>
              <w:divBdr>
                <w:top w:val="none" w:sz="0" w:space="0" w:color="auto"/>
                <w:left w:val="none" w:sz="0" w:space="0" w:color="auto"/>
                <w:bottom w:val="none" w:sz="0" w:space="0" w:color="auto"/>
                <w:right w:val="none" w:sz="0" w:space="0" w:color="auto"/>
              </w:divBdr>
            </w:div>
            <w:div w:id="1985697337">
              <w:marLeft w:val="0"/>
              <w:marRight w:val="0"/>
              <w:marTop w:val="0"/>
              <w:marBottom w:val="0"/>
              <w:divBdr>
                <w:top w:val="none" w:sz="0" w:space="0" w:color="auto"/>
                <w:left w:val="none" w:sz="0" w:space="0" w:color="auto"/>
                <w:bottom w:val="none" w:sz="0" w:space="0" w:color="auto"/>
                <w:right w:val="none" w:sz="0" w:space="0" w:color="auto"/>
              </w:divBdr>
            </w:div>
            <w:div w:id="20028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8363">
      <w:bodyDiv w:val="1"/>
      <w:marLeft w:val="0"/>
      <w:marRight w:val="0"/>
      <w:marTop w:val="0"/>
      <w:marBottom w:val="0"/>
      <w:divBdr>
        <w:top w:val="none" w:sz="0" w:space="0" w:color="auto"/>
        <w:left w:val="none" w:sz="0" w:space="0" w:color="auto"/>
        <w:bottom w:val="none" w:sz="0" w:space="0" w:color="auto"/>
        <w:right w:val="none" w:sz="0" w:space="0" w:color="auto"/>
      </w:divBdr>
      <w:divsChild>
        <w:div w:id="322706065">
          <w:marLeft w:val="0"/>
          <w:marRight w:val="0"/>
          <w:marTop w:val="0"/>
          <w:marBottom w:val="0"/>
          <w:divBdr>
            <w:top w:val="none" w:sz="0" w:space="0" w:color="auto"/>
            <w:left w:val="none" w:sz="0" w:space="0" w:color="auto"/>
            <w:bottom w:val="none" w:sz="0" w:space="0" w:color="auto"/>
            <w:right w:val="none" w:sz="0" w:space="0" w:color="auto"/>
          </w:divBdr>
          <w:divsChild>
            <w:div w:id="64107391">
              <w:marLeft w:val="0"/>
              <w:marRight w:val="0"/>
              <w:marTop w:val="0"/>
              <w:marBottom w:val="0"/>
              <w:divBdr>
                <w:top w:val="none" w:sz="0" w:space="0" w:color="auto"/>
                <w:left w:val="none" w:sz="0" w:space="0" w:color="auto"/>
                <w:bottom w:val="none" w:sz="0" w:space="0" w:color="auto"/>
                <w:right w:val="none" w:sz="0" w:space="0" w:color="auto"/>
              </w:divBdr>
            </w:div>
            <w:div w:id="92745048">
              <w:marLeft w:val="0"/>
              <w:marRight w:val="0"/>
              <w:marTop w:val="0"/>
              <w:marBottom w:val="0"/>
              <w:divBdr>
                <w:top w:val="none" w:sz="0" w:space="0" w:color="auto"/>
                <w:left w:val="none" w:sz="0" w:space="0" w:color="auto"/>
                <w:bottom w:val="none" w:sz="0" w:space="0" w:color="auto"/>
                <w:right w:val="none" w:sz="0" w:space="0" w:color="auto"/>
              </w:divBdr>
            </w:div>
            <w:div w:id="113981528">
              <w:marLeft w:val="0"/>
              <w:marRight w:val="0"/>
              <w:marTop w:val="0"/>
              <w:marBottom w:val="0"/>
              <w:divBdr>
                <w:top w:val="none" w:sz="0" w:space="0" w:color="auto"/>
                <w:left w:val="none" w:sz="0" w:space="0" w:color="auto"/>
                <w:bottom w:val="none" w:sz="0" w:space="0" w:color="auto"/>
                <w:right w:val="none" w:sz="0" w:space="0" w:color="auto"/>
              </w:divBdr>
            </w:div>
            <w:div w:id="351154470">
              <w:marLeft w:val="0"/>
              <w:marRight w:val="0"/>
              <w:marTop w:val="0"/>
              <w:marBottom w:val="0"/>
              <w:divBdr>
                <w:top w:val="none" w:sz="0" w:space="0" w:color="auto"/>
                <w:left w:val="none" w:sz="0" w:space="0" w:color="auto"/>
                <w:bottom w:val="none" w:sz="0" w:space="0" w:color="auto"/>
                <w:right w:val="none" w:sz="0" w:space="0" w:color="auto"/>
              </w:divBdr>
            </w:div>
            <w:div w:id="374545313">
              <w:marLeft w:val="0"/>
              <w:marRight w:val="0"/>
              <w:marTop w:val="0"/>
              <w:marBottom w:val="0"/>
              <w:divBdr>
                <w:top w:val="none" w:sz="0" w:space="0" w:color="auto"/>
                <w:left w:val="none" w:sz="0" w:space="0" w:color="auto"/>
                <w:bottom w:val="none" w:sz="0" w:space="0" w:color="auto"/>
                <w:right w:val="none" w:sz="0" w:space="0" w:color="auto"/>
              </w:divBdr>
            </w:div>
            <w:div w:id="638339369">
              <w:marLeft w:val="0"/>
              <w:marRight w:val="0"/>
              <w:marTop w:val="0"/>
              <w:marBottom w:val="0"/>
              <w:divBdr>
                <w:top w:val="none" w:sz="0" w:space="0" w:color="auto"/>
                <w:left w:val="none" w:sz="0" w:space="0" w:color="auto"/>
                <w:bottom w:val="none" w:sz="0" w:space="0" w:color="auto"/>
                <w:right w:val="none" w:sz="0" w:space="0" w:color="auto"/>
              </w:divBdr>
            </w:div>
            <w:div w:id="816726945">
              <w:marLeft w:val="0"/>
              <w:marRight w:val="0"/>
              <w:marTop w:val="0"/>
              <w:marBottom w:val="0"/>
              <w:divBdr>
                <w:top w:val="none" w:sz="0" w:space="0" w:color="auto"/>
                <w:left w:val="none" w:sz="0" w:space="0" w:color="auto"/>
                <w:bottom w:val="none" w:sz="0" w:space="0" w:color="auto"/>
                <w:right w:val="none" w:sz="0" w:space="0" w:color="auto"/>
              </w:divBdr>
            </w:div>
            <w:div w:id="866673814">
              <w:marLeft w:val="0"/>
              <w:marRight w:val="0"/>
              <w:marTop w:val="0"/>
              <w:marBottom w:val="0"/>
              <w:divBdr>
                <w:top w:val="none" w:sz="0" w:space="0" w:color="auto"/>
                <w:left w:val="none" w:sz="0" w:space="0" w:color="auto"/>
                <w:bottom w:val="none" w:sz="0" w:space="0" w:color="auto"/>
                <w:right w:val="none" w:sz="0" w:space="0" w:color="auto"/>
              </w:divBdr>
            </w:div>
            <w:div w:id="889074163">
              <w:marLeft w:val="0"/>
              <w:marRight w:val="0"/>
              <w:marTop w:val="0"/>
              <w:marBottom w:val="0"/>
              <w:divBdr>
                <w:top w:val="none" w:sz="0" w:space="0" w:color="auto"/>
                <w:left w:val="none" w:sz="0" w:space="0" w:color="auto"/>
                <w:bottom w:val="none" w:sz="0" w:space="0" w:color="auto"/>
                <w:right w:val="none" w:sz="0" w:space="0" w:color="auto"/>
              </w:divBdr>
            </w:div>
            <w:div w:id="1052655788">
              <w:marLeft w:val="0"/>
              <w:marRight w:val="0"/>
              <w:marTop w:val="0"/>
              <w:marBottom w:val="0"/>
              <w:divBdr>
                <w:top w:val="none" w:sz="0" w:space="0" w:color="auto"/>
                <w:left w:val="none" w:sz="0" w:space="0" w:color="auto"/>
                <w:bottom w:val="none" w:sz="0" w:space="0" w:color="auto"/>
                <w:right w:val="none" w:sz="0" w:space="0" w:color="auto"/>
              </w:divBdr>
            </w:div>
            <w:div w:id="1248684546">
              <w:marLeft w:val="0"/>
              <w:marRight w:val="0"/>
              <w:marTop w:val="0"/>
              <w:marBottom w:val="0"/>
              <w:divBdr>
                <w:top w:val="none" w:sz="0" w:space="0" w:color="auto"/>
                <w:left w:val="none" w:sz="0" w:space="0" w:color="auto"/>
                <w:bottom w:val="none" w:sz="0" w:space="0" w:color="auto"/>
                <w:right w:val="none" w:sz="0" w:space="0" w:color="auto"/>
              </w:divBdr>
            </w:div>
            <w:div w:id="1291978261">
              <w:marLeft w:val="0"/>
              <w:marRight w:val="0"/>
              <w:marTop w:val="0"/>
              <w:marBottom w:val="0"/>
              <w:divBdr>
                <w:top w:val="none" w:sz="0" w:space="0" w:color="auto"/>
                <w:left w:val="none" w:sz="0" w:space="0" w:color="auto"/>
                <w:bottom w:val="none" w:sz="0" w:space="0" w:color="auto"/>
                <w:right w:val="none" w:sz="0" w:space="0" w:color="auto"/>
              </w:divBdr>
            </w:div>
            <w:div w:id="1304000512">
              <w:marLeft w:val="0"/>
              <w:marRight w:val="0"/>
              <w:marTop w:val="0"/>
              <w:marBottom w:val="0"/>
              <w:divBdr>
                <w:top w:val="none" w:sz="0" w:space="0" w:color="auto"/>
                <w:left w:val="none" w:sz="0" w:space="0" w:color="auto"/>
                <w:bottom w:val="none" w:sz="0" w:space="0" w:color="auto"/>
                <w:right w:val="none" w:sz="0" w:space="0" w:color="auto"/>
              </w:divBdr>
            </w:div>
            <w:div w:id="1561749004">
              <w:marLeft w:val="0"/>
              <w:marRight w:val="0"/>
              <w:marTop w:val="0"/>
              <w:marBottom w:val="0"/>
              <w:divBdr>
                <w:top w:val="none" w:sz="0" w:space="0" w:color="auto"/>
                <w:left w:val="none" w:sz="0" w:space="0" w:color="auto"/>
                <w:bottom w:val="none" w:sz="0" w:space="0" w:color="auto"/>
                <w:right w:val="none" w:sz="0" w:space="0" w:color="auto"/>
              </w:divBdr>
            </w:div>
            <w:div w:id="1768430330">
              <w:marLeft w:val="0"/>
              <w:marRight w:val="0"/>
              <w:marTop w:val="0"/>
              <w:marBottom w:val="0"/>
              <w:divBdr>
                <w:top w:val="none" w:sz="0" w:space="0" w:color="auto"/>
                <w:left w:val="none" w:sz="0" w:space="0" w:color="auto"/>
                <w:bottom w:val="none" w:sz="0" w:space="0" w:color="auto"/>
                <w:right w:val="none" w:sz="0" w:space="0" w:color="auto"/>
              </w:divBdr>
            </w:div>
            <w:div w:id="1934048036">
              <w:marLeft w:val="0"/>
              <w:marRight w:val="0"/>
              <w:marTop w:val="0"/>
              <w:marBottom w:val="0"/>
              <w:divBdr>
                <w:top w:val="none" w:sz="0" w:space="0" w:color="auto"/>
                <w:left w:val="none" w:sz="0" w:space="0" w:color="auto"/>
                <w:bottom w:val="none" w:sz="0" w:space="0" w:color="auto"/>
                <w:right w:val="none" w:sz="0" w:space="0" w:color="auto"/>
              </w:divBdr>
            </w:div>
            <w:div w:id="1971856728">
              <w:marLeft w:val="0"/>
              <w:marRight w:val="0"/>
              <w:marTop w:val="0"/>
              <w:marBottom w:val="0"/>
              <w:divBdr>
                <w:top w:val="none" w:sz="0" w:space="0" w:color="auto"/>
                <w:left w:val="none" w:sz="0" w:space="0" w:color="auto"/>
                <w:bottom w:val="none" w:sz="0" w:space="0" w:color="auto"/>
                <w:right w:val="none" w:sz="0" w:space="0" w:color="auto"/>
              </w:divBdr>
            </w:div>
            <w:div w:id="1978681518">
              <w:marLeft w:val="0"/>
              <w:marRight w:val="0"/>
              <w:marTop w:val="0"/>
              <w:marBottom w:val="0"/>
              <w:divBdr>
                <w:top w:val="none" w:sz="0" w:space="0" w:color="auto"/>
                <w:left w:val="none" w:sz="0" w:space="0" w:color="auto"/>
                <w:bottom w:val="none" w:sz="0" w:space="0" w:color="auto"/>
                <w:right w:val="none" w:sz="0" w:space="0" w:color="auto"/>
              </w:divBdr>
            </w:div>
            <w:div w:id="2116707374">
              <w:marLeft w:val="0"/>
              <w:marRight w:val="0"/>
              <w:marTop w:val="0"/>
              <w:marBottom w:val="0"/>
              <w:divBdr>
                <w:top w:val="none" w:sz="0" w:space="0" w:color="auto"/>
                <w:left w:val="none" w:sz="0" w:space="0" w:color="auto"/>
                <w:bottom w:val="none" w:sz="0" w:space="0" w:color="auto"/>
                <w:right w:val="none" w:sz="0" w:space="0" w:color="auto"/>
              </w:divBdr>
            </w:div>
            <w:div w:id="2119257945">
              <w:marLeft w:val="0"/>
              <w:marRight w:val="0"/>
              <w:marTop w:val="0"/>
              <w:marBottom w:val="0"/>
              <w:divBdr>
                <w:top w:val="none" w:sz="0" w:space="0" w:color="auto"/>
                <w:left w:val="none" w:sz="0" w:space="0" w:color="auto"/>
                <w:bottom w:val="none" w:sz="0" w:space="0" w:color="auto"/>
                <w:right w:val="none" w:sz="0" w:space="0" w:color="auto"/>
              </w:divBdr>
            </w:div>
          </w:divsChild>
        </w:div>
        <w:div w:id="655303944">
          <w:marLeft w:val="0"/>
          <w:marRight w:val="0"/>
          <w:marTop w:val="0"/>
          <w:marBottom w:val="0"/>
          <w:divBdr>
            <w:top w:val="none" w:sz="0" w:space="0" w:color="auto"/>
            <w:left w:val="none" w:sz="0" w:space="0" w:color="auto"/>
            <w:bottom w:val="none" w:sz="0" w:space="0" w:color="auto"/>
            <w:right w:val="none" w:sz="0" w:space="0" w:color="auto"/>
          </w:divBdr>
          <w:divsChild>
            <w:div w:id="7800943">
              <w:marLeft w:val="0"/>
              <w:marRight w:val="0"/>
              <w:marTop w:val="0"/>
              <w:marBottom w:val="0"/>
              <w:divBdr>
                <w:top w:val="none" w:sz="0" w:space="0" w:color="auto"/>
                <w:left w:val="none" w:sz="0" w:space="0" w:color="auto"/>
                <w:bottom w:val="none" w:sz="0" w:space="0" w:color="auto"/>
                <w:right w:val="none" w:sz="0" w:space="0" w:color="auto"/>
              </w:divBdr>
            </w:div>
            <w:div w:id="130833506">
              <w:marLeft w:val="0"/>
              <w:marRight w:val="0"/>
              <w:marTop w:val="0"/>
              <w:marBottom w:val="0"/>
              <w:divBdr>
                <w:top w:val="none" w:sz="0" w:space="0" w:color="auto"/>
                <w:left w:val="none" w:sz="0" w:space="0" w:color="auto"/>
                <w:bottom w:val="none" w:sz="0" w:space="0" w:color="auto"/>
                <w:right w:val="none" w:sz="0" w:space="0" w:color="auto"/>
              </w:divBdr>
            </w:div>
            <w:div w:id="226301418">
              <w:marLeft w:val="0"/>
              <w:marRight w:val="0"/>
              <w:marTop w:val="0"/>
              <w:marBottom w:val="0"/>
              <w:divBdr>
                <w:top w:val="none" w:sz="0" w:space="0" w:color="auto"/>
                <w:left w:val="none" w:sz="0" w:space="0" w:color="auto"/>
                <w:bottom w:val="none" w:sz="0" w:space="0" w:color="auto"/>
                <w:right w:val="none" w:sz="0" w:space="0" w:color="auto"/>
              </w:divBdr>
            </w:div>
            <w:div w:id="444471973">
              <w:marLeft w:val="0"/>
              <w:marRight w:val="0"/>
              <w:marTop w:val="0"/>
              <w:marBottom w:val="0"/>
              <w:divBdr>
                <w:top w:val="none" w:sz="0" w:space="0" w:color="auto"/>
                <w:left w:val="none" w:sz="0" w:space="0" w:color="auto"/>
                <w:bottom w:val="none" w:sz="0" w:space="0" w:color="auto"/>
                <w:right w:val="none" w:sz="0" w:space="0" w:color="auto"/>
              </w:divBdr>
            </w:div>
            <w:div w:id="448429696">
              <w:marLeft w:val="0"/>
              <w:marRight w:val="0"/>
              <w:marTop w:val="0"/>
              <w:marBottom w:val="0"/>
              <w:divBdr>
                <w:top w:val="none" w:sz="0" w:space="0" w:color="auto"/>
                <w:left w:val="none" w:sz="0" w:space="0" w:color="auto"/>
                <w:bottom w:val="none" w:sz="0" w:space="0" w:color="auto"/>
                <w:right w:val="none" w:sz="0" w:space="0" w:color="auto"/>
              </w:divBdr>
            </w:div>
            <w:div w:id="517738183">
              <w:marLeft w:val="0"/>
              <w:marRight w:val="0"/>
              <w:marTop w:val="0"/>
              <w:marBottom w:val="0"/>
              <w:divBdr>
                <w:top w:val="none" w:sz="0" w:space="0" w:color="auto"/>
                <w:left w:val="none" w:sz="0" w:space="0" w:color="auto"/>
                <w:bottom w:val="none" w:sz="0" w:space="0" w:color="auto"/>
                <w:right w:val="none" w:sz="0" w:space="0" w:color="auto"/>
              </w:divBdr>
            </w:div>
            <w:div w:id="802314994">
              <w:marLeft w:val="0"/>
              <w:marRight w:val="0"/>
              <w:marTop w:val="0"/>
              <w:marBottom w:val="0"/>
              <w:divBdr>
                <w:top w:val="none" w:sz="0" w:space="0" w:color="auto"/>
                <w:left w:val="none" w:sz="0" w:space="0" w:color="auto"/>
                <w:bottom w:val="none" w:sz="0" w:space="0" w:color="auto"/>
                <w:right w:val="none" w:sz="0" w:space="0" w:color="auto"/>
              </w:divBdr>
            </w:div>
            <w:div w:id="909390592">
              <w:marLeft w:val="0"/>
              <w:marRight w:val="0"/>
              <w:marTop w:val="0"/>
              <w:marBottom w:val="0"/>
              <w:divBdr>
                <w:top w:val="none" w:sz="0" w:space="0" w:color="auto"/>
                <w:left w:val="none" w:sz="0" w:space="0" w:color="auto"/>
                <w:bottom w:val="none" w:sz="0" w:space="0" w:color="auto"/>
                <w:right w:val="none" w:sz="0" w:space="0" w:color="auto"/>
              </w:divBdr>
            </w:div>
            <w:div w:id="1036075999">
              <w:marLeft w:val="0"/>
              <w:marRight w:val="0"/>
              <w:marTop w:val="0"/>
              <w:marBottom w:val="0"/>
              <w:divBdr>
                <w:top w:val="none" w:sz="0" w:space="0" w:color="auto"/>
                <w:left w:val="none" w:sz="0" w:space="0" w:color="auto"/>
                <w:bottom w:val="none" w:sz="0" w:space="0" w:color="auto"/>
                <w:right w:val="none" w:sz="0" w:space="0" w:color="auto"/>
              </w:divBdr>
            </w:div>
            <w:div w:id="1103573324">
              <w:marLeft w:val="0"/>
              <w:marRight w:val="0"/>
              <w:marTop w:val="0"/>
              <w:marBottom w:val="0"/>
              <w:divBdr>
                <w:top w:val="none" w:sz="0" w:space="0" w:color="auto"/>
                <w:left w:val="none" w:sz="0" w:space="0" w:color="auto"/>
                <w:bottom w:val="none" w:sz="0" w:space="0" w:color="auto"/>
                <w:right w:val="none" w:sz="0" w:space="0" w:color="auto"/>
              </w:divBdr>
            </w:div>
            <w:div w:id="1131436961">
              <w:marLeft w:val="0"/>
              <w:marRight w:val="0"/>
              <w:marTop w:val="0"/>
              <w:marBottom w:val="0"/>
              <w:divBdr>
                <w:top w:val="none" w:sz="0" w:space="0" w:color="auto"/>
                <w:left w:val="none" w:sz="0" w:space="0" w:color="auto"/>
                <w:bottom w:val="none" w:sz="0" w:space="0" w:color="auto"/>
                <w:right w:val="none" w:sz="0" w:space="0" w:color="auto"/>
              </w:divBdr>
            </w:div>
            <w:div w:id="1190294195">
              <w:marLeft w:val="0"/>
              <w:marRight w:val="0"/>
              <w:marTop w:val="0"/>
              <w:marBottom w:val="0"/>
              <w:divBdr>
                <w:top w:val="none" w:sz="0" w:space="0" w:color="auto"/>
                <w:left w:val="none" w:sz="0" w:space="0" w:color="auto"/>
                <w:bottom w:val="none" w:sz="0" w:space="0" w:color="auto"/>
                <w:right w:val="none" w:sz="0" w:space="0" w:color="auto"/>
              </w:divBdr>
            </w:div>
            <w:div w:id="1416056200">
              <w:marLeft w:val="0"/>
              <w:marRight w:val="0"/>
              <w:marTop w:val="0"/>
              <w:marBottom w:val="0"/>
              <w:divBdr>
                <w:top w:val="none" w:sz="0" w:space="0" w:color="auto"/>
                <w:left w:val="none" w:sz="0" w:space="0" w:color="auto"/>
                <w:bottom w:val="none" w:sz="0" w:space="0" w:color="auto"/>
                <w:right w:val="none" w:sz="0" w:space="0" w:color="auto"/>
              </w:divBdr>
            </w:div>
            <w:div w:id="1558276909">
              <w:marLeft w:val="0"/>
              <w:marRight w:val="0"/>
              <w:marTop w:val="0"/>
              <w:marBottom w:val="0"/>
              <w:divBdr>
                <w:top w:val="none" w:sz="0" w:space="0" w:color="auto"/>
                <w:left w:val="none" w:sz="0" w:space="0" w:color="auto"/>
                <w:bottom w:val="none" w:sz="0" w:space="0" w:color="auto"/>
                <w:right w:val="none" w:sz="0" w:space="0" w:color="auto"/>
              </w:divBdr>
            </w:div>
            <w:div w:id="1681201701">
              <w:marLeft w:val="0"/>
              <w:marRight w:val="0"/>
              <w:marTop w:val="0"/>
              <w:marBottom w:val="0"/>
              <w:divBdr>
                <w:top w:val="none" w:sz="0" w:space="0" w:color="auto"/>
                <w:left w:val="none" w:sz="0" w:space="0" w:color="auto"/>
                <w:bottom w:val="none" w:sz="0" w:space="0" w:color="auto"/>
                <w:right w:val="none" w:sz="0" w:space="0" w:color="auto"/>
              </w:divBdr>
            </w:div>
            <w:div w:id="1797291425">
              <w:marLeft w:val="0"/>
              <w:marRight w:val="0"/>
              <w:marTop w:val="0"/>
              <w:marBottom w:val="0"/>
              <w:divBdr>
                <w:top w:val="none" w:sz="0" w:space="0" w:color="auto"/>
                <w:left w:val="none" w:sz="0" w:space="0" w:color="auto"/>
                <w:bottom w:val="none" w:sz="0" w:space="0" w:color="auto"/>
                <w:right w:val="none" w:sz="0" w:space="0" w:color="auto"/>
              </w:divBdr>
            </w:div>
            <w:div w:id="1848522948">
              <w:marLeft w:val="0"/>
              <w:marRight w:val="0"/>
              <w:marTop w:val="0"/>
              <w:marBottom w:val="0"/>
              <w:divBdr>
                <w:top w:val="none" w:sz="0" w:space="0" w:color="auto"/>
                <w:left w:val="none" w:sz="0" w:space="0" w:color="auto"/>
                <w:bottom w:val="none" w:sz="0" w:space="0" w:color="auto"/>
                <w:right w:val="none" w:sz="0" w:space="0" w:color="auto"/>
              </w:divBdr>
            </w:div>
            <w:div w:id="1956131659">
              <w:marLeft w:val="0"/>
              <w:marRight w:val="0"/>
              <w:marTop w:val="0"/>
              <w:marBottom w:val="0"/>
              <w:divBdr>
                <w:top w:val="none" w:sz="0" w:space="0" w:color="auto"/>
                <w:left w:val="none" w:sz="0" w:space="0" w:color="auto"/>
                <w:bottom w:val="none" w:sz="0" w:space="0" w:color="auto"/>
                <w:right w:val="none" w:sz="0" w:space="0" w:color="auto"/>
              </w:divBdr>
            </w:div>
            <w:div w:id="2088917585">
              <w:marLeft w:val="0"/>
              <w:marRight w:val="0"/>
              <w:marTop w:val="0"/>
              <w:marBottom w:val="0"/>
              <w:divBdr>
                <w:top w:val="none" w:sz="0" w:space="0" w:color="auto"/>
                <w:left w:val="none" w:sz="0" w:space="0" w:color="auto"/>
                <w:bottom w:val="none" w:sz="0" w:space="0" w:color="auto"/>
                <w:right w:val="none" w:sz="0" w:space="0" w:color="auto"/>
              </w:divBdr>
            </w:div>
            <w:div w:id="2106460738">
              <w:marLeft w:val="0"/>
              <w:marRight w:val="0"/>
              <w:marTop w:val="0"/>
              <w:marBottom w:val="0"/>
              <w:divBdr>
                <w:top w:val="none" w:sz="0" w:space="0" w:color="auto"/>
                <w:left w:val="none" w:sz="0" w:space="0" w:color="auto"/>
                <w:bottom w:val="none" w:sz="0" w:space="0" w:color="auto"/>
                <w:right w:val="none" w:sz="0" w:space="0" w:color="auto"/>
              </w:divBdr>
            </w:div>
          </w:divsChild>
        </w:div>
        <w:div w:id="995689088">
          <w:marLeft w:val="0"/>
          <w:marRight w:val="0"/>
          <w:marTop w:val="0"/>
          <w:marBottom w:val="0"/>
          <w:divBdr>
            <w:top w:val="none" w:sz="0" w:space="0" w:color="auto"/>
            <w:left w:val="none" w:sz="0" w:space="0" w:color="auto"/>
            <w:bottom w:val="none" w:sz="0" w:space="0" w:color="auto"/>
            <w:right w:val="none" w:sz="0" w:space="0" w:color="auto"/>
          </w:divBdr>
          <w:divsChild>
            <w:div w:id="198588885">
              <w:marLeft w:val="0"/>
              <w:marRight w:val="0"/>
              <w:marTop w:val="0"/>
              <w:marBottom w:val="0"/>
              <w:divBdr>
                <w:top w:val="none" w:sz="0" w:space="0" w:color="auto"/>
                <w:left w:val="none" w:sz="0" w:space="0" w:color="auto"/>
                <w:bottom w:val="none" w:sz="0" w:space="0" w:color="auto"/>
                <w:right w:val="none" w:sz="0" w:space="0" w:color="auto"/>
              </w:divBdr>
            </w:div>
            <w:div w:id="241645439">
              <w:marLeft w:val="0"/>
              <w:marRight w:val="0"/>
              <w:marTop w:val="0"/>
              <w:marBottom w:val="0"/>
              <w:divBdr>
                <w:top w:val="none" w:sz="0" w:space="0" w:color="auto"/>
                <w:left w:val="none" w:sz="0" w:space="0" w:color="auto"/>
                <w:bottom w:val="none" w:sz="0" w:space="0" w:color="auto"/>
                <w:right w:val="none" w:sz="0" w:space="0" w:color="auto"/>
              </w:divBdr>
            </w:div>
            <w:div w:id="296684474">
              <w:marLeft w:val="0"/>
              <w:marRight w:val="0"/>
              <w:marTop w:val="0"/>
              <w:marBottom w:val="0"/>
              <w:divBdr>
                <w:top w:val="none" w:sz="0" w:space="0" w:color="auto"/>
                <w:left w:val="none" w:sz="0" w:space="0" w:color="auto"/>
                <w:bottom w:val="none" w:sz="0" w:space="0" w:color="auto"/>
                <w:right w:val="none" w:sz="0" w:space="0" w:color="auto"/>
              </w:divBdr>
            </w:div>
            <w:div w:id="348023561">
              <w:marLeft w:val="0"/>
              <w:marRight w:val="0"/>
              <w:marTop w:val="0"/>
              <w:marBottom w:val="0"/>
              <w:divBdr>
                <w:top w:val="none" w:sz="0" w:space="0" w:color="auto"/>
                <w:left w:val="none" w:sz="0" w:space="0" w:color="auto"/>
                <w:bottom w:val="none" w:sz="0" w:space="0" w:color="auto"/>
                <w:right w:val="none" w:sz="0" w:space="0" w:color="auto"/>
              </w:divBdr>
            </w:div>
            <w:div w:id="407770740">
              <w:marLeft w:val="0"/>
              <w:marRight w:val="0"/>
              <w:marTop w:val="0"/>
              <w:marBottom w:val="0"/>
              <w:divBdr>
                <w:top w:val="none" w:sz="0" w:space="0" w:color="auto"/>
                <w:left w:val="none" w:sz="0" w:space="0" w:color="auto"/>
                <w:bottom w:val="none" w:sz="0" w:space="0" w:color="auto"/>
                <w:right w:val="none" w:sz="0" w:space="0" w:color="auto"/>
              </w:divBdr>
            </w:div>
            <w:div w:id="440344104">
              <w:marLeft w:val="0"/>
              <w:marRight w:val="0"/>
              <w:marTop w:val="0"/>
              <w:marBottom w:val="0"/>
              <w:divBdr>
                <w:top w:val="none" w:sz="0" w:space="0" w:color="auto"/>
                <w:left w:val="none" w:sz="0" w:space="0" w:color="auto"/>
                <w:bottom w:val="none" w:sz="0" w:space="0" w:color="auto"/>
                <w:right w:val="none" w:sz="0" w:space="0" w:color="auto"/>
              </w:divBdr>
            </w:div>
            <w:div w:id="489638334">
              <w:marLeft w:val="0"/>
              <w:marRight w:val="0"/>
              <w:marTop w:val="0"/>
              <w:marBottom w:val="0"/>
              <w:divBdr>
                <w:top w:val="none" w:sz="0" w:space="0" w:color="auto"/>
                <w:left w:val="none" w:sz="0" w:space="0" w:color="auto"/>
                <w:bottom w:val="none" w:sz="0" w:space="0" w:color="auto"/>
                <w:right w:val="none" w:sz="0" w:space="0" w:color="auto"/>
              </w:divBdr>
            </w:div>
            <w:div w:id="667295765">
              <w:marLeft w:val="0"/>
              <w:marRight w:val="0"/>
              <w:marTop w:val="0"/>
              <w:marBottom w:val="0"/>
              <w:divBdr>
                <w:top w:val="none" w:sz="0" w:space="0" w:color="auto"/>
                <w:left w:val="none" w:sz="0" w:space="0" w:color="auto"/>
                <w:bottom w:val="none" w:sz="0" w:space="0" w:color="auto"/>
                <w:right w:val="none" w:sz="0" w:space="0" w:color="auto"/>
              </w:divBdr>
            </w:div>
            <w:div w:id="745956013">
              <w:marLeft w:val="0"/>
              <w:marRight w:val="0"/>
              <w:marTop w:val="0"/>
              <w:marBottom w:val="0"/>
              <w:divBdr>
                <w:top w:val="none" w:sz="0" w:space="0" w:color="auto"/>
                <w:left w:val="none" w:sz="0" w:space="0" w:color="auto"/>
                <w:bottom w:val="none" w:sz="0" w:space="0" w:color="auto"/>
                <w:right w:val="none" w:sz="0" w:space="0" w:color="auto"/>
              </w:divBdr>
            </w:div>
            <w:div w:id="795030213">
              <w:marLeft w:val="0"/>
              <w:marRight w:val="0"/>
              <w:marTop w:val="0"/>
              <w:marBottom w:val="0"/>
              <w:divBdr>
                <w:top w:val="none" w:sz="0" w:space="0" w:color="auto"/>
                <w:left w:val="none" w:sz="0" w:space="0" w:color="auto"/>
                <w:bottom w:val="none" w:sz="0" w:space="0" w:color="auto"/>
                <w:right w:val="none" w:sz="0" w:space="0" w:color="auto"/>
              </w:divBdr>
            </w:div>
            <w:div w:id="914127920">
              <w:marLeft w:val="0"/>
              <w:marRight w:val="0"/>
              <w:marTop w:val="0"/>
              <w:marBottom w:val="0"/>
              <w:divBdr>
                <w:top w:val="none" w:sz="0" w:space="0" w:color="auto"/>
                <w:left w:val="none" w:sz="0" w:space="0" w:color="auto"/>
                <w:bottom w:val="none" w:sz="0" w:space="0" w:color="auto"/>
                <w:right w:val="none" w:sz="0" w:space="0" w:color="auto"/>
              </w:divBdr>
            </w:div>
            <w:div w:id="1040738576">
              <w:marLeft w:val="0"/>
              <w:marRight w:val="0"/>
              <w:marTop w:val="0"/>
              <w:marBottom w:val="0"/>
              <w:divBdr>
                <w:top w:val="none" w:sz="0" w:space="0" w:color="auto"/>
                <w:left w:val="none" w:sz="0" w:space="0" w:color="auto"/>
                <w:bottom w:val="none" w:sz="0" w:space="0" w:color="auto"/>
                <w:right w:val="none" w:sz="0" w:space="0" w:color="auto"/>
              </w:divBdr>
            </w:div>
            <w:div w:id="1242062945">
              <w:marLeft w:val="0"/>
              <w:marRight w:val="0"/>
              <w:marTop w:val="0"/>
              <w:marBottom w:val="0"/>
              <w:divBdr>
                <w:top w:val="none" w:sz="0" w:space="0" w:color="auto"/>
                <w:left w:val="none" w:sz="0" w:space="0" w:color="auto"/>
                <w:bottom w:val="none" w:sz="0" w:space="0" w:color="auto"/>
                <w:right w:val="none" w:sz="0" w:space="0" w:color="auto"/>
              </w:divBdr>
            </w:div>
            <w:div w:id="1493062483">
              <w:marLeft w:val="0"/>
              <w:marRight w:val="0"/>
              <w:marTop w:val="0"/>
              <w:marBottom w:val="0"/>
              <w:divBdr>
                <w:top w:val="none" w:sz="0" w:space="0" w:color="auto"/>
                <w:left w:val="none" w:sz="0" w:space="0" w:color="auto"/>
                <w:bottom w:val="none" w:sz="0" w:space="0" w:color="auto"/>
                <w:right w:val="none" w:sz="0" w:space="0" w:color="auto"/>
              </w:divBdr>
            </w:div>
            <w:div w:id="1524393858">
              <w:marLeft w:val="0"/>
              <w:marRight w:val="0"/>
              <w:marTop w:val="0"/>
              <w:marBottom w:val="0"/>
              <w:divBdr>
                <w:top w:val="none" w:sz="0" w:space="0" w:color="auto"/>
                <w:left w:val="none" w:sz="0" w:space="0" w:color="auto"/>
                <w:bottom w:val="none" w:sz="0" w:space="0" w:color="auto"/>
                <w:right w:val="none" w:sz="0" w:space="0" w:color="auto"/>
              </w:divBdr>
            </w:div>
            <w:div w:id="1691949242">
              <w:marLeft w:val="0"/>
              <w:marRight w:val="0"/>
              <w:marTop w:val="0"/>
              <w:marBottom w:val="0"/>
              <w:divBdr>
                <w:top w:val="none" w:sz="0" w:space="0" w:color="auto"/>
                <w:left w:val="none" w:sz="0" w:space="0" w:color="auto"/>
                <w:bottom w:val="none" w:sz="0" w:space="0" w:color="auto"/>
                <w:right w:val="none" w:sz="0" w:space="0" w:color="auto"/>
              </w:divBdr>
            </w:div>
            <w:div w:id="1793665109">
              <w:marLeft w:val="0"/>
              <w:marRight w:val="0"/>
              <w:marTop w:val="0"/>
              <w:marBottom w:val="0"/>
              <w:divBdr>
                <w:top w:val="none" w:sz="0" w:space="0" w:color="auto"/>
                <w:left w:val="none" w:sz="0" w:space="0" w:color="auto"/>
                <w:bottom w:val="none" w:sz="0" w:space="0" w:color="auto"/>
                <w:right w:val="none" w:sz="0" w:space="0" w:color="auto"/>
              </w:divBdr>
            </w:div>
            <w:div w:id="1880583906">
              <w:marLeft w:val="0"/>
              <w:marRight w:val="0"/>
              <w:marTop w:val="0"/>
              <w:marBottom w:val="0"/>
              <w:divBdr>
                <w:top w:val="none" w:sz="0" w:space="0" w:color="auto"/>
                <w:left w:val="none" w:sz="0" w:space="0" w:color="auto"/>
                <w:bottom w:val="none" w:sz="0" w:space="0" w:color="auto"/>
                <w:right w:val="none" w:sz="0" w:space="0" w:color="auto"/>
              </w:divBdr>
            </w:div>
            <w:div w:id="1883856572">
              <w:marLeft w:val="0"/>
              <w:marRight w:val="0"/>
              <w:marTop w:val="0"/>
              <w:marBottom w:val="0"/>
              <w:divBdr>
                <w:top w:val="none" w:sz="0" w:space="0" w:color="auto"/>
                <w:left w:val="none" w:sz="0" w:space="0" w:color="auto"/>
                <w:bottom w:val="none" w:sz="0" w:space="0" w:color="auto"/>
                <w:right w:val="none" w:sz="0" w:space="0" w:color="auto"/>
              </w:divBdr>
            </w:div>
            <w:div w:id="1953785757">
              <w:marLeft w:val="0"/>
              <w:marRight w:val="0"/>
              <w:marTop w:val="0"/>
              <w:marBottom w:val="0"/>
              <w:divBdr>
                <w:top w:val="none" w:sz="0" w:space="0" w:color="auto"/>
                <w:left w:val="none" w:sz="0" w:space="0" w:color="auto"/>
                <w:bottom w:val="none" w:sz="0" w:space="0" w:color="auto"/>
                <w:right w:val="none" w:sz="0" w:space="0" w:color="auto"/>
              </w:divBdr>
            </w:div>
          </w:divsChild>
        </w:div>
        <w:div w:id="1117019903">
          <w:marLeft w:val="0"/>
          <w:marRight w:val="0"/>
          <w:marTop w:val="0"/>
          <w:marBottom w:val="0"/>
          <w:divBdr>
            <w:top w:val="none" w:sz="0" w:space="0" w:color="auto"/>
            <w:left w:val="none" w:sz="0" w:space="0" w:color="auto"/>
            <w:bottom w:val="none" w:sz="0" w:space="0" w:color="auto"/>
            <w:right w:val="none" w:sz="0" w:space="0" w:color="auto"/>
          </w:divBdr>
          <w:divsChild>
            <w:div w:id="174224865">
              <w:marLeft w:val="0"/>
              <w:marRight w:val="0"/>
              <w:marTop w:val="0"/>
              <w:marBottom w:val="0"/>
              <w:divBdr>
                <w:top w:val="none" w:sz="0" w:space="0" w:color="auto"/>
                <w:left w:val="none" w:sz="0" w:space="0" w:color="auto"/>
                <w:bottom w:val="none" w:sz="0" w:space="0" w:color="auto"/>
                <w:right w:val="none" w:sz="0" w:space="0" w:color="auto"/>
              </w:divBdr>
            </w:div>
            <w:div w:id="388192646">
              <w:marLeft w:val="0"/>
              <w:marRight w:val="0"/>
              <w:marTop w:val="0"/>
              <w:marBottom w:val="0"/>
              <w:divBdr>
                <w:top w:val="none" w:sz="0" w:space="0" w:color="auto"/>
                <w:left w:val="none" w:sz="0" w:space="0" w:color="auto"/>
                <w:bottom w:val="none" w:sz="0" w:space="0" w:color="auto"/>
                <w:right w:val="none" w:sz="0" w:space="0" w:color="auto"/>
              </w:divBdr>
            </w:div>
            <w:div w:id="413018056">
              <w:marLeft w:val="0"/>
              <w:marRight w:val="0"/>
              <w:marTop w:val="0"/>
              <w:marBottom w:val="0"/>
              <w:divBdr>
                <w:top w:val="none" w:sz="0" w:space="0" w:color="auto"/>
                <w:left w:val="none" w:sz="0" w:space="0" w:color="auto"/>
                <w:bottom w:val="none" w:sz="0" w:space="0" w:color="auto"/>
                <w:right w:val="none" w:sz="0" w:space="0" w:color="auto"/>
              </w:divBdr>
            </w:div>
            <w:div w:id="449589888">
              <w:marLeft w:val="0"/>
              <w:marRight w:val="0"/>
              <w:marTop w:val="0"/>
              <w:marBottom w:val="0"/>
              <w:divBdr>
                <w:top w:val="none" w:sz="0" w:space="0" w:color="auto"/>
                <w:left w:val="none" w:sz="0" w:space="0" w:color="auto"/>
                <w:bottom w:val="none" w:sz="0" w:space="0" w:color="auto"/>
                <w:right w:val="none" w:sz="0" w:space="0" w:color="auto"/>
              </w:divBdr>
            </w:div>
            <w:div w:id="500781613">
              <w:marLeft w:val="0"/>
              <w:marRight w:val="0"/>
              <w:marTop w:val="0"/>
              <w:marBottom w:val="0"/>
              <w:divBdr>
                <w:top w:val="none" w:sz="0" w:space="0" w:color="auto"/>
                <w:left w:val="none" w:sz="0" w:space="0" w:color="auto"/>
                <w:bottom w:val="none" w:sz="0" w:space="0" w:color="auto"/>
                <w:right w:val="none" w:sz="0" w:space="0" w:color="auto"/>
              </w:divBdr>
            </w:div>
            <w:div w:id="740835574">
              <w:marLeft w:val="0"/>
              <w:marRight w:val="0"/>
              <w:marTop w:val="0"/>
              <w:marBottom w:val="0"/>
              <w:divBdr>
                <w:top w:val="none" w:sz="0" w:space="0" w:color="auto"/>
                <w:left w:val="none" w:sz="0" w:space="0" w:color="auto"/>
                <w:bottom w:val="none" w:sz="0" w:space="0" w:color="auto"/>
                <w:right w:val="none" w:sz="0" w:space="0" w:color="auto"/>
              </w:divBdr>
            </w:div>
            <w:div w:id="794451402">
              <w:marLeft w:val="0"/>
              <w:marRight w:val="0"/>
              <w:marTop w:val="0"/>
              <w:marBottom w:val="0"/>
              <w:divBdr>
                <w:top w:val="none" w:sz="0" w:space="0" w:color="auto"/>
                <w:left w:val="none" w:sz="0" w:space="0" w:color="auto"/>
                <w:bottom w:val="none" w:sz="0" w:space="0" w:color="auto"/>
                <w:right w:val="none" w:sz="0" w:space="0" w:color="auto"/>
              </w:divBdr>
            </w:div>
            <w:div w:id="930115571">
              <w:marLeft w:val="0"/>
              <w:marRight w:val="0"/>
              <w:marTop w:val="0"/>
              <w:marBottom w:val="0"/>
              <w:divBdr>
                <w:top w:val="none" w:sz="0" w:space="0" w:color="auto"/>
                <w:left w:val="none" w:sz="0" w:space="0" w:color="auto"/>
                <w:bottom w:val="none" w:sz="0" w:space="0" w:color="auto"/>
                <w:right w:val="none" w:sz="0" w:space="0" w:color="auto"/>
              </w:divBdr>
            </w:div>
            <w:div w:id="1044331511">
              <w:marLeft w:val="0"/>
              <w:marRight w:val="0"/>
              <w:marTop w:val="0"/>
              <w:marBottom w:val="0"/>
              <w:divBdr>
                <w:top w:val="none" w:sz="0" w:space="0" w:color="auto"/>
                <w:left w:val="none" w:sz="0" w:space="0" w:color="auto"/>
                <w:bottom w:val="none" w:sz="0" w:space="0" w:color="auto"/>
                <w:right w:val="none" w:sz="0" w:space="0" w:color="auto"/>
              </w:divBdr>
            </w:div>
            <w:div w:id="1118066973">
              <w:marLeft w:val="0"/>
              <w:marRight w:val="0"/>
              <w:marTop w:val="0"/>
              <w:marBottom w:val="0"/>
              <w:divBdr>
                <w:top w:val="none" w:sz="0" w:space="0" w:color="auto"/>
                <w:left w:val="none" w:sz="0" w:space="0" w:color="auto"/>
                <w:bottom w:val="none" w:sz="0" w:space="0" w:color="auto"/>
                <w:right w:val="none" w:sz="0" w:space="0" w:color="auto"/>
              </w:divBdr>
            </w:div>
            <w:div w:id="1445660418">
              <w:marLeft w:val="0"/>
              <w:marRight w:val="0"/>
              <w:marTop w:val="0"/>
              <w:marBottom w:val="0"/>
              <w:divBdr>
                <w:top w:val="none" w:sz="0" w:space="0" w:color="auto"/>
                <w:left w:val="none" w:sz="0" w:space="0" w:color="auto"/>
                <w:bottom w:val="none" w:sz="0" w:space="0" w:color="auto"/>
                <w:right w:val="none" w:sz="0" w:space="0" w:color="auto"/>
              </w:divBdr>
            </w:div>
            <w:div w:id="1500267750">
              <w:marLeft w:val="0"/>
              <w:marRight w:val="0"/>
              <w:marTop w:val="0"/>
              <w:marBottom w:val="0"/>
              <w:divBdr>
                <w:top w:val="none" w:sz="0" w:space="0" w:color="auto"/>
                <w:left w:val="none" w:sz="0" w:space="0" w:color="auto"/>
                <w:bottom w:val="none" w:sz="0" w:space="0" w:color="auto"/>
                <w:right w:val="none" w:sz="0" w:space="0" w:color="auto"/>
              </w:divBdr>
            </w:div>
            <w:div w:id="1515417993">
              <w:marLeft w:val="0"/>
              <w:marRight w:val="0"/>
              <w:marTop w:val="0"/>
              <w:marBottom w:val="0"/>
              <w:divBdr>
                <w:top w:val="none" w:sz="0" w:space="0" w:color="auto"/>
                <w:left w:val="none" w:sz="0" w:space="0" w:color="auto"/>
                <w:bottom w:val="none" w:sz="0" w:space="0" w:color="auto"/>
                <w:right w:val="none" w:sz="0" w:space="0" w:color="auto"/>
              </w:divBdr>
            </w:div>
            <w:div w:id="1517309892">
              <w:marLeft w:val="0"/>
              <w:marRight w:val="0"/>
              <w:marTop w:val="0"/>
              <w:marBottom w:val="0"/>
              <w:divBdr>
                <w:top w:val="none" w:sz="0" w:space="0" w:color="auto"/>
                <w:left w:val="none" w:sz="0" w:space="0" w:color="auto"/>
                <w:bottom w:val="none" w:sz="0" w:space="0" w:color="auto"/>
                <w:right w:val="none" w:sz="0" w:space="0" w:color="auto"/>
              </w:divBdr>
            </w:div>
            <w:div w:id="1684552468">
              <w:marLeft w:val="0"/>
              <w:marRight w:val="0"/>
              <w:marTop w:val="0"/>
              <w:marBottom w:val="0"/>
              <w:divBdr>
                <w:top w:val="none" w:sz="0" w:space="0" w:color="auto"/>
                <w:left w:val="none" w:sz="0" w:space="0" w:color="auto"/>
                <w:bottom w:val="none" w:sz="0" w:space="0" w:color="auto"/>
                <w:right w:val="none" w:sz="0" w:space="0" w:color="auto"/>
              </w:divBdr>
            </w:div>
            <w:div w:id="1696811931">
              <w:marLeft w:val="0"/>
              <w:marRight w:val="0"/>
              <w:marTop w:val="0"/>
              <w:marBottom w:val="0"/>
              <w:divBdr>
                <w:top w:val="none" w:sz="0" w:space="0" w:color="auto"/>
                <w:left w:val="none" w:sz="0" w:space="0" w:color="auto"/>
                <w:bottom w:val="none" w:sz="0" w:space="0" w:color="auto"/>
                <w:right w:val="none" w:sz="0" w:space="0" w:color="auto"/>
              </w:divBdr>
            </w:div>
            <w:div w:id="1758550310">
              <w:marLeft w:val="0"/>
              <w:marRight w:val="0"/>
              <w:marTop w:val="0"/>
              <w:marBottom w:val="0"/>
              <w:divBdr>
                <w:top w:val="none" w:sz="0" w:space="0" w:color="auto"/>
                <w:left w:val="none" w:sz="0" w:space="0" w:color="auto"/>
                <w:bottom w:val="none" w:sz="0" w:space="0" w:color="auto"/>
                <w:right w:val="none" w:sz="0" w:space="0" w:color="auto"/>
              </w:divBdr>
            </w:div>
            <w:div w:id="18208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9155">
      <w:bodyDiv w:val="1"/>
      <w:marLeft w:val="0"/>
      <w:marRight w:val="0"/>
      <w:marTop w:val="0"/>
      <w:marBottom w:val="0"/>
      <w:divBdr>
        <w:top w:val="none" w:sz="0" w:space="0" w:color="auto"/>
        <w:left w:val="none" w:sz="0" w:space="0" w:color="auto"/>
        <w:bottom w:val="none" w:sz="0" w:space="0" w:color="auto"/>
        <w:right w:val="none" w:sz="0" w:space="0" w:color="auto"/>
      </w:divBdr>
      <w:divsChild>
        <w:div w:id="48841681">
          <w:marLeft w:val="0"/>
          <w:marRight w:val="0"/>
          <w:marTop w:val="0"/>
          <w:marBottom w:val="0"/>
          <w:divBdr>
            <w:top w:val="none" w:sz="0" w:space="0" w:color="auto"/>
            <w:left w:val="none" w:sz="0" w:space="0" w:color="auto"/>
            <w:bottom w:val="none" w:sz="0" w:space="0" w:color="auto"/>
            <w:right w:val="none" w:sz="0" w:space="0" w:color="auto"/>
          </w:divBdr>
          <w:divsChild>
            <w:div w:id="1171290184">
              <w:marLeft w:val="0"/>
              <w:marRight w:val="0"/>
              <w:marTop w:val="0"/>
              <w:marBottom w:val="0"/>
              <w:divBdr>
                <w:top w:val="none" w:sz="0" w:space="0" w:color="auto"/>
                <w:left w:val="none" w:sz="0" w:space="0" w:color="auto"/>
                <w:bottom w:val="none" w:sz="0" w:space="0" w:color="auto"/>
                <w:right w:val="none" w:sz="0" w:space="0" w:color="auto"/>
              </w:divBdr>
            </w:div>
          </w:divsChild>
        </w:div>
        <w:div w:id="50690935">
          <w:marLeft w:val="0"/>
          <w:marRight w:val="0"/>
          <w:marTop w:val="0"/>
          <w:marBottom w:val="0"/>
          <w:divBdr>
            <w:top w:val="none" w:sz="0" w:space="0" w:color="auto"/>
            <w:left w:val="none" w:sz="0" w:space="0" w:color="auto"/>
            <w:bottom w:val="none" w:sz="0" w:space="0" w:color="auto"/>
            <w:right w:val="none" w:sz="0" w:space="0" w:color="auto"/>
          </w:divBdr>
          <w:divsChild>
            <w:div w:id="2003193668">
              <w:marLeft w:val="0"/>
              <w:marRight w:val="0"/>
              <w:marTop w:val="0"/>
              <w:marBottom w:val="0"/>
              <w:divBdr>
                <w:top w:val="none" w:sz="0" w:space="0" w:color="auto"/>
                <w:left w:val="none" w:sz="0" w:space="0" w:color="auto"/>
                <w:bottom w:val="none" w:sz="0" w:space="0" w:color="auto"/>
                <w:right w:val="none" w:sz="0" w:space="0" w:color="auto"/>
              </w:divBdr>
            </w:div>
          </w:divsChild>
        </w:div>
        <w:div w:id="135269709">
          <w:marLeft w:val="0"/>
          <w:marRight w:val="0"/>
          <w:marTop w:val="0"/>
          <w:marBottom w:val="0"/>
          <w:divBdr>
            <w:top w:val="none" w:sz="0" w:space="0" w:color="auto"/>
            <w:left w:val="none" w:sz="0" w:space="0" w:color="auto"/>
            <w:bottom w:val="none" w:sz="0" w:space="0" w:color="auto"/>
            <w:right w:val="none" w:sz="0" w:space="0" w:color="auto"/>
          </w:divBdr>
          <w:divsChild>
            <w:div w:id="1700425499">
              <w:marLeft w:val="0"/>
              <w:marRight w:val="0"/>
              <w:marTop w:val="0"/>
              <w:marBottom w:val="0"/>
              <w:divBdr>
                <w:top w:val="none" w:sz="0" w:space="0" w:color="auto"/>
                <w:left w:val="none" w:sz="0" w:space="0" w:color="auto"/>
                <w:bottom w:val="none" w:sz="0" w:space="0" w:color="auto"/>
                <w:right w:val="none" w:sz="0" w:space="0" w:color="auto"/>
              </w:divBdr>
            </w:div>
          </w:divsChild>
        </w:div>
        <w:div w:id="286206689">
          <w:marLeft w:val="0"/>
          <w:marRight w:val="0"/>
          <w:marTop w:val="0"/>
          <w:marBottom w:val="0"/>
          <w:divBdr>
            <w:top w:val="none" w:sz="0" w:space="0" w:color="auto"/>
            <w:left w:val="none" w:sz="0" w:space="0" w:color="auto"/>
            <w:bottom w:val="none" w:sz="0" w:space="0" w:color="auto"/>
            <w:right w:val="none" w:sz="0" w:space="0" w:color="auto"/>
          </w:divBdr>
          <w:divsChild>
            <w:div w:id="1100183064">
              <w:marLeft w:val="0"/>
              <w:marRight w:val="0"/>
              <w:marTop w:val="0"/>
              <w:marBottom w:val="0"/>
              <w:divBdr>
                <w:top w:val="none" w:sz="0" w:space="0" w:color="auto"/>
                <w:left w:val="none" w:sz="0" w:space="0" w:color="auto"/>
                <w:bottom w:val="none" w:sz="0" w:space="0" w:color="auto"/>
                <w:right w:val="none" w:sz="0" w:space="0" w:color="auto"/>
              </w:divBdr>
            </w:div>
          </w:divsChild>
        </w:div>
        <w:div w:id="477763899">
          <w:marLeft w:val="0"/>
          <w:marRight w:val="0"/>
          <w:marTop w:val="0"/>
          <w:marBottom w:val="0"/>
          <w:divBdr>
            <w:top w:val="none" w:sz="0" w:space="0" w:color="auto"/>
            <w:left w:val="none" w:sz="0" w:space="0" w:color="auto"/>
            <w:bottom w:val="none" w:sz="0" w:space="0" w:color="auto"/>
            <w:right w:val="none" w:sz="0" w:space="0" w:color="auto"/>
          </w:divBdr>
          <w:divsChild>
            <w:div w:id="1017149252">
              <w:marLeft w:val="0"/>
              <w:marRight w:val="0"/>
              <w:marTop w:val="0"/>
              <w:marBottom w:val="0"/>
              <w:divBdr>
                <w:top w:val="none" w:sz="0" w:space="0" w:color="auto"/>
                <w:left w:val="none" w:sz="0" w:space="0" w:color="auto"/>
                <w:bottom w:val="none" w:sz="0" w:space="0" w:color="auto"/>
                <w:right w:val="none" w:sz="0" w:space="0" w:color="auto"/>
              </w:divBdr>
            </w:div>
          </w:divsChild>
        </w:div>
        <w:div w:id="714814179">
          <w:marLeft w:val="0"/>
          <w:marRight w:val="0"/>
          <w:marTop w:val="0"/>
          <w:marBottom w:val="0"/>
          <w:divBdr>
            <w:top w:val="none" w:sz="0" w:space="0" w:color="auto"/>
            <w:left w:val="none" w:sz="0" w:space="0" w:color="auto"/>
            <w:bottom w:val="none" w:sz="0" w:space="0" w:color="auto"/>
            <w:right w:val="none" w:sz="0" w:space="0" w:color="auto"/>
          </w:divBdr>
          <w:divsChild>
            <w:div w:id="1836997790">
              <w:marLeft w:val="0"/>
              <w:marRight w:val="0"/>
              <w:marTop w:val="0"/>
              <w:marBottom w:val="0"/>
              <w:divBdr>
                <w:top w:val="none" w:sz="0" w:space="0" w:color="auto"/>
                <w:left w:val="none" w:sz="0" w:space="0" w:color="auto"/>
                <w:bottom w:val="none" w:sz="0" w:space="0" w:color="auto"/>
                <w:right w:val="none" w:sz="0" w:space="0" w:color="auto"/>
              </w:divBdr>
            </w:div>
          </w:divsChild>
        </w:div>
        <w:div w:id="799692445">
          <w:marLeft w:val="0"/>
          <w:marRight w:val="0"/>
          <w:marTop w:val="0"/>
          <w:marBottom w:val="0"/>
          <w:divBdr>
            <w:top w:val="none" w:sz="0" w:space="0" w:color="auto"/>
            <w:left w:val="none" w:sz="0" w:space="0" w:color="auto"/>
            <w:bottom w:val="none" w:sz="0" w:space="0" w:color="auto"/>
            <w:right w:val="none" w:sz="0" w:space="0" w:color="auto"/>
          </w:divBdr>
          <w:divsChild>
            <w:div w:id="770079083">
              <w:marLeft w:val="0"/>
              <w:marRight w:val="0"/>
              <w:marTop w:val="0"/>
              <w:marBottom w:val="0"/>
              <w:divBdr>
                <w:top w:val="none" w:sz="0" w:space="0" w:color="auto"/>
                <w:left w:val="none" w:sz="0" w:space="0" w:color="auto"/>
                <w:bottom w:val="none" w:sz="0" w:space="0" w:color="auto"/>
                <w:right w:val="none" w:sz="0" w:space="0" w:color="auto"/>
              </w:divBdr>
            </w:div>
          </w:divsChild>
        </w:div>
        <w:div w:id="1050114505">
          <w:marLeft w:val="0"/>
          <w:marRight w:val="0"/>
          <w:marTop w:val="0"/>
          <w:marBottom w:val="0"/>
          <w:divBdr>
            <w:top w:val="none" w:sz="0" w:space="0" w:color="auto"/>
            <w:left w:val="none" w:sz="0" w:space="0" w:color="auto"/>
            <w:bottom w:val="none" w:sz="0" w:space="0" w:color="auto"/>
            <w:right w:val="none" w:sz="0" w:space="0" w:color="auto"/>
          </w:divBdr>
          <w:divsChild>
            <w:div w:id="1477260213">
              <w:marLeft w:val="0"/>
              <w:marRight w:val="0"/>
              <w:marTop w:val="0"/>
              <w:marBottom w:val="0"/>
              <w:divBdr>
                <w:top w:val="none" w:sz="0" w:space="0" w:color="auto"/>
                <w:left w:val="none" w:sz="0" w:space="0" w:color="auto"/>
                <w:bottom w:val="none" w:sz="0" w:space="0" w:color="auto"/>
                <w:right w:val="none" w:sz="0" w:space="0" w:color="auto"/>
              </w:divBdr>
            </w:div>
          </w:divsChild>
        </w:div>
        <w:div w:id="1050763422">
          <w:marLeft w:val="0"/>
          <w:marRight w:val="0"/>
          <w:marTop w:val="0"/>
          <w:marBottom w:val="0"/>
          <w:divBdr>
            <w:top w:val="none" w:sz="0" w:space="0" w:color="auto"/>
            <w:left w:val="none" w:sz="0" w:space="0" w:color="auto"/>
            <w:bottom w:val="none" w:sz="0" w:space="0" w:color="auto"/>
            <w:right w:val="none" w:sz="0" w:space="0" w:color="auto"/>
          </w:divBdr>
          <w:divsChild>
            <w:div w:id="1765608013">
              <w:marLeft w:val="0"/>
              <w:marRight w:val="0"/>
              <w:marTop w:val="0"/>
              <w:marBottom w:val="0"/>
              <w:divBdr>
                <w:top w:val="none" w:sz="0" w:space="0" w:color="auto"/>
                <w:left w:val="none" w:sz="0" w:space="0" w:color="auto"/>
                <w:bottom w:val="none" w:sz="0" w:space="0" w:color="auto"/>
                <w:right w:val="none" w:sz="0" w:space="0" w:color="auto"/>
              </w:divBdr>
            </w:div>
          </w:divsChild>
        </w:div>
        <w:div w:id="1101879891">
          <w:marLeft w:val="0"/>
          <w:marRight w:val="0"/>
          <w:marTop w:val="0"/>
          <w:marBottom w:val="0"/>
          <w:divBdr>
            <w:top w:val="none" w:sz="0" w:space="0" w:color="auto"/>
            <w:left w:val="none" w:sz="0" w:space="0" w:color="auto"/>
            <w:bottom w:val="none" w:sz="0" w:space="0" w:color="auto"/>
            <w:right w:val="none" w:sz="0" w:space="0" w:color="auto"/>
          </w:divBdr>
          <w:divsChild>
            <w:div w:id="213781543">
              <w:marLeft w:val="0"/>
              <w:marRight w:val="0"/>
              <w:marTop w:val="0"/>
              <w:marBottom w:val="0"/>
              <w:divBdr>
                <w:top w:val="none" w:sz="0" w:space="0" w:color="auto"/>
                <w:left w:val="none" w:sz="0" w:space="0" w:color="auto"/>
                <w:bottom w:val="none" w:sz="0" w:space="0" w:color="auto"/>
                <w:right w:val="none" w:sz="0" w:space="0" w:color="auto"/>
              </w:divBdr>
            </w:div>
          </w:divsChild>
        </w:div>
        <w:div w:id="1126462461">
          <w:marLeft w:val="0"/>
          <w:marRight w:val="0"/>
          <w:marTop w:val="0"/>
          <w:marBottom w:val="0"/>
          <w:divBdr>
            <w:top w:val="none" w:sz="0" w:space="0" w:color="auto"/>
            <w:left w:val="none" w:sz="0" w:space="0" w:color="auto"/>
            <w:bottom w:val="none" w:sz="0" w:space="0" w:color="auto"/>
            <w:right w:val="none" w:sz="0" w:space="0" w:color="auto"/>
          </w:divBdr>
          <w:divsChild>
            <w:div w:id="1365208624">
              <w:marLeft w:val="0"/>
              <w:marRight w:val="0"/>
              <w:marTop w:val="0"/>
              <w:marBottom w:val="0"/>
              <w:divBdr>
                <w:top w:val="none" w:sz="0" w:space="0" w:color="auto"/>
                <w:left w:val="none" w:sz="0" w:space="0" w:color="auto"/>
                <w:bottom w:val="none" w:sz="0" w:space="0" w:color="auto"/>
                <w:right w:val="none" w:sz="0" w:space="0" w:color="auto"/>
              </w:divBdr>
            </w:div>
          </w:divsChild>
        </w:div>
        <w:div w:id="1127159414">
          <w:marLeft w:val="0"/>
          <w:marRight w:val="0"/>
          <w:marTop w:val="0"/>
          <w:marBottom w:val="0"/>
          <w:divBdr>
            <w:top w:val="none" w:sz="0" w:space="0" w:color="auto"/>
            <w:left w:val="none" w:sz="0" w:space="0" w:color="auto"/>
            <w:bottom w:val="none" w:sz="0" w:space="0" w:color="auto"/>
            <w:right w:val="none" w:sz="0" w:space="0" w:color="auto"/>
          </w:divBdr>
          <w:divsChild>
            <w:div w:id="776869748">
              <w:marLeft w:val="0"/>
              <w:marRight w:val="0"/>
              <w:marTop w:val="0"/>
              <w:marBottom w:val="0"/>
              <w:divBdr>
                <w:top w:val="none" w:sz="0" w:space="0" w:color="auto"/>
                <w:left w:val="none" w:sz="0" w:space="0" w:color="auto"/>
                <w:bottom w:val="none" w:sz="0" w:space="0" w:color="auto"/>
                <w:right w:val="none" w:sz="0" w:space="0" w:color="auto"/>
              </w:divBdr>
            </w:div>
          </w:divsChild>
        </w:div>
        <w:div w:id="1130903512">
          <w:marLeft w:val="0"/>
          <w:marRight w:val="0"/>
          <w:marTop w:val="0"/>
          <w:marBottom w:val="0"/>
          <w:divBdr>
            <w:top w:val="none" w:sz="0" w:space="0" w:color="auto"/>
            <w:left w:val="none" w:sz="0" w:space="0" w:color="auto"/>
            <w:bottom w:val="none" w:sz="0" w:space="0" w:color="auto"/>
            <w:right w:val="none" w:sz="0" w:space="0" w:color="auto"/>
          </w:divBdr>
          <w:divsChild>
            <w:div w:id="1045181659">
              <w:marLeft w:val="0"/>
              <w:marRight w:val="0"/>
              <w:marTop w:val="0"/>
              <w:marBottom w:val="0"/>
              <w:divBdr>
                <w:top w:val="none" w:sz="0" w:space="0" w:color="auto"/>
                <w:left w:val="none" w:sz="0" w:space="0" w:color="auto"/>
                <w:bottom w:val="none" w:sz="0" w:space="0" w:color="auto"/>
                <w:right w:val="none" w:sz="0" w:space="0" w:color="auto"/>
              </w:divBdr>
            </w:div>
          </w:divsChild>
        </w:div>
        <w:div w:id="1132361706">
          <w:marLeft w:val="0"/>
          <w:marRight w:val="0"/>
          <w:marTop w:val="0"/>
          <w:marBottom w:val="0"/>
          <w:divBdr>
            <w:top w:val="none" w:sz="0" w:space="0" w:color="auto"/>
            <w:left w:val="none" w:sz="0" w:space="0" w:color="auto"/>
            <w:bottom w:val="none" w:sz="0" w:space="0" w:color="auto"/>
            <w:right w:val="none" w:sz="0" w:space="0" w:color="auto"/>
          </w:divBdr>
          <w:divsChild>
            <w:div w:id="1756243745">
              <w:marLeft w:val="0"/>
              <w:marRight w:val="0"/>
              <w:marTop w:val="0"/>
              <w:marBottom w:val="0"/>
              <w:divBdr>
                <w:top w:val="none" w:sz="0" w:space="0" w:color="auto"/>
                <w:left w:val="none" w:sz="0" w:space="0" w:color="auto"/>
                <w:bottom w:val="none" w:sz="0" w:space="0" w:color="auto"/>
                <w:right w:val="none" w:sz="0" w:space="0" w:color="auto"/>
              </w:divBdr>
            </w:div>
          </w:divsChild>
        </w:div>
        <w:div w:id="1330013017">
          <w:marLeft w:val="0"/>
          <w:marRight w:val="0"/>
          <w:marTop w:val="0"/>
          <w:marBottom w:val="0"/>
          <w:divBdr>
            <w:top w:val="none" w:sz="0" w:space="0" w:color="auto"/>
            <w:left w:val="none" w:sz="0" w:space="0" w:color="auto"/>
            <w:bottom w:val="none" w:sz="0" w:space="0" w:color="auto"/>
            <w:right w:val="none" w:sz="0" w:space="0" w:color="auto"/>
          </w:divBdr>
          <w:divsChild>
            <w:div w:id="1643459650">
              <w:marLeft w:val="0"/>
              <w:marRight w:val="0"/>
              <w:marTop w:val="0"/>
              <w:marBottom w:val="0"/>
              <w:divBdr>
                <w:top w:val="none" w:sz="0" w:space="0" w:color="auto"/>
                <w:left w:val="none" w:sz="0" w:space="0" w:color="auto"/>
                <w:bottom w:val="none" w:sz="0" w:space="0" w:color="auto"/>
                <w:right w:val="none" w:sz="0" w:space="0" w:color="auto"/>
              </w:divBdr>
            </w:div>
          </w:divsChild>
        </w:div>
        <w:div w:id="1441412259">
          <w:marLeft w:val="0"/>
          <w:marRight w:val="0"/>
          <w:marTop w:val="0"/>
          <w:marBottom w:val="0"/>
          <w:divBdr>
            <w:top w:val="none" w:sz="0" w:space="0" w:color="auto"/>
            <w:left w:val="none" w:sz="0" w:space="0" w:color="auto"/>
            <w:bottom w:val="none" w:sz="0" w:space="0" w:color="auto"/>
            <w:right w:val="none" w:sz="0" w:space="0" w:color="auto"/>
          </w:divBdr>
          <w:divsChild>
            <w:div w:id="228272195">
              <w:marLeft w:val="0"/>
              <w:marRight w:val="0"/>
              <w:marTop w:val="0"/>
              <w:marBottom w:val="0"/>
              <w:divBdr>
                <w:top w:val="none" w:sz="0" w:space="0" w:color="auto"/>
                <w:left w:val="none" w:sz="0" w:space="0" w:color="auto"/>
                <w:bottom w:val="none" w:sz="0" w:space="0" w:color="auto"/>
                <w:right w:val="none" w:sz="0" w:space="0" w:color="auto"/>
              </w:divBdr>
            </w:div>
            <w:div w:id="882401703">
              <w:marLeft w:val="0"/>
              <w:marRight w:val="0"/>
              <w:marTop w:val="0"/>
              <w:marBottom w:val="0"/>
              <w:divBdr>
                <w:top w:val="none" w:sz="0" w:space="0" w:color="auto"/>
                <w:left w:val="none" w:sz="0" w:space="0" w:color="auto"/>
                <w:bottom w:val="none" w:sz="0" w:space="0" w:color="auto"/>
                <w:right w:val="none" w:sz="0" w:space="0" w:color="auto"/>
              </w:divBdr>
            </w:div>
          </w:divsChild>
        </w:div>
        <w:div w:id="1477574862">
          <w:marLeft w:val="0"/>
          <w:marRight w:val="0"/>
          <w:marTop w:val="0"/>
          <w:marBottom w:val="0"/>
          <w:divBdr>
            <w:top w:val="none" w:sz="0" w:space="0" w:color="auto"/>
            <w:left w:val="none" w:sz="0" w:space="0" w:color="auto"/>
            <w:bottom w:val="none" w:sz="0" w:space="0" w:color="auto"/>
            <w:right w:val="none" w:sz="0" w:space="0" w:color="auto"/>
          </w:divBdr>
          <w:divsChild>
            <w:div w:id="680929922">
              <w:marLeft w:val="0"/>
              <w:marRight w:val="0"/>
              <w:marTop w:val="0"/>
              <w:marBottom w:val="0"/>
              <w:divBdr>
                <w:top w:val="none" w:sz="0" w:space="0" w:color="auto"/>
                <w:left w:val="none" w:sz="0" w:space="0" w:color="auto"/>
                <w:bottom w:val="none" w:sz="0" w:space="0" w:color="auto"/>
                <w:right w:val="none" w:sz="0" w:space="0" w:color="auto"/>
              </w:divBdr>
            </w:div>
          </w:divsChild>
        </w:div>
        <w:div w:id="1631738597">
          <w:marLeft w:val="0"/>
          <w:marRight w:val="0"/>
          <w:marTop w:val="0"/>
          <w:marBottom w:val="0"/>
          <w:divBdr>
            <w:top w:val="none" w:sz="0" w:space="0" w:color="auto"/>
            <w:left w:val="none" w:sz="0" w:space="0" w:color="auto"/>
            <w:bottom w:val="none" w:sz="0" w:space="0" w:color="auto"/>
            <w:right w:val="none" w:sz="0" w:space="0" w:color="auto"/>
          </w:divBdr>
          <w:divsChild>
            <w:div w:id="141971260">
              <w:marLeft w:val="0"/>
              <w:marRight w:val="0"/>
              <w:marTop w:val="0"/>
              <w:marBottom w:val="0"/>
              <w:divBdr>
                <w:top w:val="none" w:sz="0" w:space="0" w:color="auto"/>
                <w:left w:val="none" w:sz="0" w:space="0" w:color="auto"/>
                <w:bottom w:val="none" w:sz="0" w:space="0" w:color="auto"/>
                <w:right w:val="none" w:sz="0" w:space="0" w:color="auto"/>
              </w:divBdr>
            </w:div>
          </w:divsChild>
        </w:div>
        <w:div w:id="1696612380">
          <w:marLeft w:val="0"/>
          <w:marRight w:val="0"/>
          <w:marTop w:val="0"/>
          <w:marBottom w:val="0"/>
          <w:divBdr>
            <w:top w:val="none" w:sz="0" w:space="0" w:color="auto"/>
            <w:left w:val="none" w:sz="0" w:space="0" w:color="auto"/>
            <w:bottom w:val="none" w:sz="0" w:space="0" w:color="auto"/>
            <w:right w:val="none" w:sz="0" w:space="0" w:color="auto"/>
          </w:divBdr>
          <w:divsChild>
            <w:div w:id="178004833">
              <w:marLeft w:val="0"/>
              <w:marRight w:val="0"/>
              <w:marTop w:val="0"/>
              <w:marBottom w:val="0"/>
              <w:divBdr>
                <w:top w:val="none" w:sz="0" w:space="0" w:color="auto"/>
                <w:left w:val="none" w:sz="0" w:space="0" w:color="auto"/>
                <w:bottom w:val="none" w:sz="0" w:space="0" w:color="auto"/>
                <w:right w:val="none" w:sz="0" w:space="0" w:color="auto"/>
              </w:divBdr>
            </w:div>
            <w:div w:id="1157770400">
              <w:marLeft w:val="0"/>
              <w:marRight w:val="0"/>
              <w:marTop w:val="0"/>
              <w:marBottom w:val="0"/>
              <w:divBdr>
                <w:top w:val="none" w:sz="0" w:space="0" w:color="auto"/>
                <w:left w:val="none" w:sz="0" w:space="0" w:color="auto"/>
                <w:bottom w:val="none" w:sz="0" w:space="0" w:color="auto"/>
                <w:right w:val="none" w:sz="0" w:space="0" w:color="auto"/>
              </w:divBdr>
            </w:div>
          </w:divsChild>
        </w:div>
        <w:div w:id="1721056091">
          <w:marLeft w:val="0"/>
          <w:marRight w:val="0"/>
          <w:marTop w:val="0"/>
          <w:marBottom w:val="0"/>
          <w:divBdr>
            <w:top w:val="none" w:sz="0" w:space="0" w:color="auto"/>
            <w:left w:val="none" w:sz="0" w:space="0" w:color="auto"/>
            <w:bottom w:val="none" w:sz="0" w:space="0" w:color="auto"/>
            <w:right w:val="none" w:sz="0" w:space="0" w:color="auto"/>
          </w:divBdr>
          <w:divsChild>
            <w:div w:id="527569387">
              <w:marLeft w:val="0"/>
              <w:marRight w:val="0"/>
              <w:marTop w:val="0"/>
              <w:marBottom w:val="0"/>
              <w:divBdr>
                <w:top w:val="none" w:sz="0" w:space="0" w:color="auto"/>
                <w:left w:val="none" w:sz="0" w:space="0" w:color="auto"/>
                <w:bottom w:val="none" w:sz="0" w:space="0" w:color="auto"/>
                <w:right w:val="none" w:sz="0" w:space="0" w:color="auto"/>
              </w:divBdr>
            </w:div>
          </w:divsChild>
        </w:div>
        <w:div w:id="1723093215">
          <w:marLeft w:val="0"/>
          <w:marRight w:val="0"/>
          <w:marTop w:val="0"/>
          <w:marBottom w:val="0"/>
          <w:divBdr>
            <w:top w:val="none" w:sz="0" w:space="0" w:color="auto"/>
            <w:left w:val="none" w:sz="0" w:space="0" w:color="auto"/>
            <w:bottom w:val="none" w:sz="0" w:space="0" w:color="auto"/>
            <w:right w:val="none" w:sz="0" w:space="0" w:color="auto"/>
          </w:divBdr>
          <w:divsChild>
            <w:div w:id="1890680753">
              <w:marLeft w:val="0"/>
              <w:marRight w:val="0"/>
              <w:marTop w:val="0"/>
              <w:marBottom w:val="0"/>
              <w:divBdr>
                <w:top w:val="none" w:sz="0" w:space="0" w:color="auto"/>
                <w:left w:val="none" w:sz="0" w:space="0" w:color="auto"/>
                <w:bottom w:val="none" w:sz="0" w:space="0" w:color="auto"/>
                <w:right w:val="none" w:sz="0" w:space="0" w:color="auto"/>
              </w:divBdr>
            </w:div>
          </w:divsChild>
        </w:div>
        <w:div w:id="1823735830">
          <w:marLeft w:val="0"/>
          <w:marRight w:val="0"/>
          <w:marTop w:val="0"/>
          <w:marBottom w:val="0"/>
          <w:divBdr>
            <w:top w:val="none" w:sz="0" w:space="0" w:color="auto"/>
            <w:left w:val="none" w:sz="0" w:space="0" w:color="auto"/>
            <w:bottom w:val="none" w:sz="0" w:space="0" w:color="auto"/>
            <w:right w:val="none" w:sz="0" w:space="0" w:color="auto"/>
          </w:divBdr>
          <w:divsChild>
            <w:div w:id="1881092042">
              <w:marLeft w:val="0"/>
              <w:marRight w:val="0"/>
              <w:marTop w:val="0"/>
              <w:marBottom w:val="0"/>
              <w:divBdr>
                <w:top w:val="none" w:sz="0" w:space="0" w:color="auto"/>
                <w:left w:val="none" w:sz="0" w:space="0" w:color="auto"/>
                <w:bottom w:val="none" w:sz="0" w:space="0" w:color="auto"/>
                <w:right w:val="none" w:sz="0" w:space="0" w:color="auto"/>
              </w:divBdr>
            </w:div>
          </w:divsChild>
        </w:div>
        <w:div w:id="1968583717">
          <w:marLeft w:val="0"/>
          <w:marRight w:val="0"/>
          <w:marTop w:val="0"/>
          <w:marBottom w:val="0"/>
          <w:divBdr>
            <w:top w:val="none" w:sz="0" w:space="0" w:color="auto"/>
            <w:left w:val="none" w:sz="0" w:space="0" w:color="auto"/>
            <w:bottom w:val="none" w:sz="0" w:space="0" w:color="auto"/>
            <w:right w:val="none" w:sz="0" w:space="0" w:color="auto"/>
          </w:divBdr>
          <w:divsChild>
            <w:div w:id="1017271665">
              <w:marLeft w:val="0"/>
              <w:marRight w:val="0"/>
              <w:marTop w:val="0"/>
              <w:marBottom w:val="0"/>
              <w:divBdr>
                <w:top w:val="none" w:sz="0" w:space="0" w:color="auto"/>
                <w:left w:val="none" w:sz="0" w:space="0" w:color="auto"/>
                <w:bottom w:val="none" w:sz="0" w:space="0" w:color="auto"/>
                <w:right w:val="none" w:sz="0" w:space="0" w:color="auto"/>
              </w:divBdr>
            </w:div>
          </w:divsChild>
        </w:div>
        <w:div w:id="1987273524">
          <w:marLeft w:val="0"/>
          <w:marRight w:val="0"/>
          <w:marTop w:val="0"/>
          <w:marBottom w:val="0"/>
          <w:divBdr>
            <w:top w:val="none" w:sz="0" w:space="0" w:color="auto"/>
            <w:left w:val="none" w:sz="0" w:space="0" w:color="auto"/>
            <w:bottom w:val="none" w:sz="0" w:space="0" w:color="auto"/>
            <w:right w:val="none" w:sz="0" w:space="0" w:color="auto"/>
          </w:divBdr>
          <w:divsChild>
            <w:div w:id="10461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398">
      <w:bodyDiv w:val="1"/>
      <w:marLeft w:val="0"/>
      <w:marRight w:val="0"/>
      <w:marTop w:val="0"/>
      <w:marBottom w:val="0"/>
      <w:divBdr>
        <w:top w:val="none" w:sz="0" w:space="0" w:color="auto"/>
        <w:left w:val="none" w:sz="0" w:space="0" w:color="auto"/>
        <w:bottom w:val="none" w:sz="0" w:space="0" w:color="auto"/>
        <w:right w:val="none" w:sz="0" w:space="0" w:color="auto"/>
      </w:divBdr>
      <w:divsChild>
        <w:div w:id="135681845">
          <w:marLeft w:val="0"/>
          <w:marRight w:val="0"/>
          <w:marTop w:val="0"/>
          <w:marBottom w:val="0"/>
          <w:divBdr>
            <w:top w:val="none" w:sz="0" w:space="0" w:color="auto"/>
            <w:left w:val="none" w:sz="0" w:space="0" w:color="auto"/>
            <w:bottom w:val="none" w:sz="0" w:space="0" w:color="auto"/>
            <w:right w:val="none" w:sz="0" w:space="0" w:color="auto"/>
          </w:divBdr>
        </w:div>
        <w:div w:id="274604283">
          <w:marLeft w:val="0"/>
          <w:marRight w:val="0"/>
          <w:marTop w:val="0"/>
          <w:marBottom w:val="0"/>
          <w:divBdr>
            <w:top w:val="none" w:sz="0" w:space="0" w:color="auto"/>
            <w:left w:val="none" w:sz="0" w:space="0" w:color="auto"/>
            <w:bottom w:val="none" w:sz="0" w:space="0" w:color="auto"/>
            <w:right w:val="none" w:sz="0" w:space="0" w:color="auto"/>
          </w:divBdr>
          <w:divsChild>
            <w:div w:id="281351485">
              <w:marLeft w:val="0"/>
              <w:marRight w:val="0"/>
              <w:marTop w:val="0"/>
              <w:marBottom w:val="0"/>
              <w:divBdr>
                <w:top w:val="none" w:sz="0" w:space="0" w:color="auto"/>
                <w:left w:val="none" w:sz="0" w:space="0" w:color="auto"/>
                <w:bottom w:val="none" w:sz="0" w:space="0" w:color="auto"/>
                <w:right w:val="none" w:sz="0" w:space="0" w:color="auto"/>
              </w:divBdr>
            </w:div>
            <w:div w:id="336466711">
              <w:marLeft w:val="0"/>
              <w:marRight w:val="0"/>
              <w:marTop w:val="0"/>
              <w:marBottom w:val="0"/>
              <w:divBdr>
                <w:top w:val="none" w:sz="0" w:space="0" w:color="auto"/>
                <w:left w:val="none" w:sz="0" w:space="0" w:color="auto"/>
                <w:bottom w:val="none" w:sz="0" w:space="0" w:color="auto"/>
                <w:right w:val="none" w:sz="0" w:space="0" w:color="auto"/>
              </w:divBdr>
            </w:div>
            <w:div w:id="497843821">
              <w:marLeft w:val="0"/>
              <w:marRight w:val="0"/>
              <w:marTop w:val="0"/>
              <w:marBottom w:val="0"/>
              <w:divBdr>
                <w:top w:val="none" w:sz="0" w:space="0" w:color="auto"/>
                <w:left w:val="none" w:sz="0" w:space="0" w:color="auto"/>
                <w:bottom w:val="none" w:sz="0" w:space="0" w:color="auto"/>
                <w:right w:val="none" w:sz="0" w:space="0" w:color="auto"/>
              </w:divBdr>
            </w:div>
            <w:div w:id="505901612">
              <w:marLeft w:val="0"/>
              <w:marRight w:val="0"/>
              <w:marTop w:val="0"/>
              <w:marBottom w:val="0"/>
              <w:divBdr>
                <w:top w:val="none" w:sz="0" w:space="0" w:color="auto"/>
                <w:left w:val="none" w:sz="0" w:space="0" w:color="auto"/>
                <w:bottom w:val="none" w:sz="0" w:space="0" w:color="auto"/>
                <w:right w:val="none" w:sz="0" w:space="0" w:color="auto"/>
              </w:divBdr>
            </w:div>
            <w:div w:id="581263167">
              <w:marLeft w:val="0"/>
              <w:marRight w:val="0"/>
              <w:marTop w:val="0"/>
              <w:marBottom w:val="0"/>
              <w:divBdr>
                <w:top w:val="none" w:sz="0" w:space="0" w:color="auto"/>
                <w:left w:val="none" w:sz="0" w:space="0" w:color="auto"/>
                <w:bottom w:val="none" w:sz="0" w:space="0" w:color="auto"/>
                <w:right w:val="none" w:sz="0" w:space="0" w:color="auto"/>
              </w:divBdr>
            </w:div>
            <w:div w:id="673385645">
              <w:marLeft w:val="0"/>
              <w:marRight w:val="0"/>
              <w:marTop w:val="0"/>
              <w:marBottom w:val="0"/>
              <w:divBdr>
                <w:top w:val="none" w:sz="0" w:space="0" w:color="auto"/>
                <w:left w:val="none" w:sz="0" w:space="0" w:color="auto"/>
                <w:bottom w:val="none" w:sz="0" w:space="0" w:color="auto"/>
                <w:right w:val="none" w:sz="0" w:space="0" w:color="auto"/>
              </w:divBdr>
            </w:div>
            <w:div w:id="728068774">
              <w:marLeft w:val="0"/>
              <w:marRight w:val="0"/>
              <w:marTop w:val="0"/>
              <w:marBottom w:val="0"/>
              <w:divBdr>
                <w:top w:val="none" w:sz="0" w:space="0" w:color="auto"/>
                <w:left w:val="none" w:sz="0" w:space="0" w:color="auto"/>
                <w:bottom w:val="none" w:sz="0" w:space="0" w:color="auto"/>
                <w:right w:val="none" w:sz="0" w:space="0" w:color="auto"/>
              </w:divBdr>
            </w:div>
            <w:div w:id="830607542">
              <w:marLeft w:val="0"/>
              <w:marRight w:val="0"/>
              <w:marTop w:val="0"/>
              <w:marBottom w:val="0"/>
              <w:divBdr>
                <w:top w:val="none" w:sz="0" w:space="0" w:color="auto"/>
                <w:left w:val="none" w:sz="0" w:space="0" w:color="auto"/>
                <w:bottom w:val="none" w:sz="0" w:space="0" w:color="auto"/>
                <w:right w:val="none" w:sz="0" w:space="0" w:color="auto"/>
              </w:divBdr>
            </w:div>
            <w:div w:id="979455379">
              <w:marLeft w:val="0"/>
              <w:marRight w:val="0"/>
              <w:marTop w:val="0"/>
              <w:marBottom w:val="0"/>
              <w:divBdr>
                <w:top w:val="none" w:sz="0" w:space="0" w:color="auto"/>
                <w:left w:val="none" w:sz="0" w:space="0" w:color="auto"/>
                <w:bottom w:val="none" w:sz="0" w:space="0" w:color="auto"/>
                <w:right w:val="none" w:sz="0" w:space="0" w:color="auto"/>
              </w:divBdr>
            </w:div>
            <w:div w:id="1145851523">
              <w:marLeft w:val="0"/>
              <w:marRight w:val="0"/>
              <w:marTop w:val="0"/>
              <w:marBottom w:val="0"/>
              <w:divBdr>
                <w:top w:val="none" w:sz="0" w:space="0" w:color="auto"/>
                <w:left w:val="none" w:sz="0" w:space="0" w:color="auto"/>
                <w:bottom w:val="none" w:sz="0" w:space="0" w:color="auto"/>
                <w:right w:val="none" w:sz="0" w:space="0" w:color="auto"/>
              </w:divBdr>
            </w:div>
            <w:div w:id="1156527428">
              <w:marLeft w:val="0"/>
              <w:marRight w:val="0"/>
              <w:marTop w:val="0"/>
              <w:marBottom w:val="0"/>
              <w:divBdr>
                <w:top w:val="none" w:sz="0" w:space="0" w:color="auto"/>
                <w:left w:val="none" w:sz="0" w:space="0" w:color="auto"/>
                <w:bottom w:val="none" w:sz="0" w:space="0" w:color="auto"/>
                <w:right w:val="none" w:sz="0" w:space="0" w:color="auto"/>
              </w:divBdr>
            </w:div>
            <w:div w:id="1260022256">
              <w:marLeft w:val="0"/>
              <w:marRight w:val="0"/>
              <w:marTop w:val="0"/>
              <w:marBottom w:val="0"/>
              <w:divBdr>
                <w:top w:val="none" w:sz="0" w:space="0" w:color="auto"/>
                <w:left w:val="none" w:sz="0" w:space="0" w:color="auto"/>
                <w:bottom w:val="none" w:sz="0" w:space="0" w:color="auto"/>
                <w:right w:val="none" w:sz="0" w:space="0" w:color="auto"/>
              </w:divBdr>
            </w:div>
            <w:div w:id="1284190776">
              <w:marLeft w:val="0"/>
              <w:marRight w:val="0"/>
              <w:marTop w:val="0"/>
              <w:marBottom w:val="0"/>
              <w:divBdr>
                <w:top w:val="none" w:sz="0" w:space="0" w:color="auto"/>
                <w:left w:val="none" w:sz="0" w:space="0" w:color="auto"/>
                <w:bottom w:val="none" w:sz="0" w:space="0" w:color="auto"/>
                <w:right w:val="none" w:sz="0" w:space="0" w:color="auto"/>
              </w:divBdr>
            </w:div>
            <w:div w:id="1515267489">
              <w:marLeft w:val="0"/>
              <w:marRight w:val="0"/>
              <w:marTop w:val="0"/>
              <w:marBottom w:val="0"/>
              <w:divBdr>
                <w:top w:val="none" w:sz="0" w:space="0" w:color="auto"/>
                <w:left w:val="none" w:sz="0" w:space="0" w:color="auto"/>
                <w:bottom w:val="none" w:sz="0" w:space="0" w:color="auto"/>
                <w:right w:val="none" w:sz="0" w:space="0" w:color="auto"/>
              </w:divBdr>
            </w:div>
            <w:div w:id="1614826760">
              <w:marLeft w:val="0"/>
              <w:marRight w:val="0"/>
              <w:marTop w:val="0"/>
              <w:marBottom w:val="0"/>
              <w:divBdr>
                <w:top w:val="none" w:sz="0" w:space="0" w:color="auto"/>
                <w:left w:val="none" w:sz="0" w:space="0" w:color="auto"/>
                <w:bottom w:val="none" w:sz="0" w:space="0" w:color="auto"/>
                <w:right w:val="none" w:sz="0" w:space="0" w:color="auto"/>
              </w:divBdr>
            </w:div>
            <w:div w:id="1715428045">
              <w:marLeft w:val="0"/>
              <w:marRight w:val="0"/>
              <w:marTop w:val="0"/>
              <w:marBottom w:val="0"/>
              <w:divBdr>
                <w:top w:val="none" w:sz="0" w:space="0" w:color="auto"/>
                <w:left w:val="none" w:sz="0" w:space="0" w:color="auto"/>
                <w:bottom w:val="none" w:sz="0" w:space="0" w:color="auto"/>
                <w:right w:val="none" w:sz="0" w:space="0" w:color="auto"/>
              </w:divBdr>
            </w:div>
            <w:div w:id="1876623544">
              <w:marLeft w:val="0"/>
              <w:marRight w:val="0"/>
              <w:marTop w:val="0"/>
              <w:marBottom w:val="0"/>
              <w:divBdr>
                <w:top w:val="none" w:sz="0" w:space="0" w:color="auto"/>
                <w:left w:val="none" w:sz="0" w:space="0" w:color="auto"/>
                <w:bottom w:val="none" w:sz="0" w:space="0" w:color="auto"/>
                <w:right w:val="none" w:sz="0" w:space="0" w:color="auto"/>
              </w:divBdr>
            </w:div>
            <w:div w:id="1935626386">
              <w:marLeft w:val="0"/>
              <w:marRight w:val="0"/>
              <w:marTop w:val="0"/>
              <w:marBottom w:val="0"/>
              <w:divBdr>
                <w:top w:val="none" w:sz="0" w:space="0" w:color="auto"/>
                <w:left w:val="none" w:sz="0" w:space="0" w:color="auto"/>
                <w:bottom w:val="none" w:sz="0" w:space="0" w:color="auto"/>
                <w:right w:val="none" w:sz="0" w:space="0" w:color="auto"/>
              </w:divBdr>
            </w:div>
            <w:div w:id="1998413803">
              <w:marLeft w:val="0"/>
              <w:marRight w:val="0"/>
              <w:marTop w:val="0"/>
              <w:marBottom w:val="0"/>
              <w:divBdr>
                <w:top w:val="none" w:sz="0" w:space="0" w:color="auto"/>
                <w:left w:val="none" w:sz="0" w:space="0" w:color="auto"/>
                <w:bottom w:val="none" w:sz="0" w:space="0" w:color="auto"/>
                <w:right w:val="none" w:sz="0" w:space="0" w:color="auto"/>
              </w:divBdr>
            </w:div>
            <w:div w:id="2137865456">
              <w:marLeft w:val="0"/>
              <w:marRight w:val="0"/>
              <w:marTop w:val="0"/>
              <w:marBottom w:val="0"/>
              <w:divBdr>
                <w:top w:val="none" w:sz="0" w:space="0" w:color="auto"/>
                <w:left w:val="none" w:sz="0" w:space="0" w:color="auto"/>
                <w:bottom w:val="none" w:sz="0" w:space="0" w:color="auto"/>
                <w:right w:val="none" w:sz="0" w:space="0" w:color="auto"/>
              </w:divBdr>
            </w:div>
          </w:divsChild>
        </w:div>
        <w:div w:id="397440298">
          <w:marLeft w:val="0"/>
          <w:marRight w:val="0"/>
          <w:marTop w:val="0"/>
          <w:marBottom w:val="0"/>
          <w:divBdr>
            <w:top w:val="none" w:sz="0" w:space="0" w:color="auto"/>
            <w:left w:val="none" w:sz="0" w:space="0" w:color="auto"/>
            <w:bottom w:val="none" w:sz="0" w:space="0" w:color="auto"/>
            <w:right w:val="none" w:sz="0" w:space="0" w:color="auto"/>
          </w:divBdr>
        </w:div>
        <w:div w:id="402608930">
          <w:marLeft w:val="0"/>
          <w:marRight w:val="0"/>
          <w:marTop w:val="0"/>
          <w:marBottom w:val="0"/>
          <w:divBdr>
            <w:top w:val="none" w:sz="0" w:space="0" w:color="auto"/>
            <w:left w:val="none" w:sz="0" w:space="0" w:color="auto"/>
            <w:bottom w:val="none" w:sz="0" w:space="0" w:color="auto"/>
            <w:right w:val="none" w:sz="0" w:space="0" w:color="auto"/>
          </w:divBdr>
        </w:div>
        <w:div w:id="455224641">
          <w:marLeft w:val="0"/>
          <w:marRight w:val="0"/>
          <w:marTop w:val="0"/>
          <w:marBottom w:val="0"/>
          <w:divBdr>
            <w:top w:val="none" w:sz="0" w:space="0" w:color="auto"/>
            <w:left w:val="none" w:sz="0" w:space="0" w:color="auto"/>
            <w:bottom w:val="none" w:sz="0" w:space="0" w:color="auto"/>
            <w:right w:val="none" w:sz="0" w:space="0" w:color="auto"/>
          </w:divBdr>
        </w:div>
        <w:div w:id="519011022">
          <w:marLeft w:val="0"/>
          <w:marRight w:val="0"/>
          <w:marTop w:val="0"/>
          <w:marBottom w:val="0"/>
          <w:divBdr>
            <w:top w:val="none" w:sz="0" w:space="0" w:color="auto"/>
            <w:left w:val="none" w:sz="0" w:space="0" w:color="auto"/>
            <w:bottom w:val="none" w:sz="0" w:space="0" w:color="auto"/>
            <w:right w:val="none" w:sz="0" w:space="0" w:color="auto"/>
          </w:divBdr>
        </w:div>
        <w:div w:id="565070163">
          <w:marLeft w:val="0"/>
          <w:marRight w:val="0"/>
          <w:marTop w:val="0"/>
          <w:marBottom w:val="0"/>
          <w:divBdr>
            <w:top w:val="none" w:sz="0" w:space="0" w:color="auto"/>
            <w:left w:val="none" w:sz="0" w:space="0" w:color="auto"/>
            <w:bottom w:val="none" w:sz="0" w:space="0" w:color="auto"/>
            <w:right w:val="none" w:sz="0" w:space="0" w:color="auto"/>
          </w:divBdr>
        </w:div>
        <w:div w:id="699353434">
          <w:marLeft w:val="0"/>
          <w:marRight w:val="0"/>
          <w:marTop w:val="0"/>
          <w:marBottom w:val="0"/>
          <w:divBdr>
            <w:top w:val="none" w:sz="0" w:space="0" w:color="auto"/>
            <w:left w:val="none" w:sz="0" w:space="0" w:color="auto"/>
            <w:bottom w:val="none" w:sz="0" w:space="0" w:color="auto"/>
            <w:right w:val="none" w:sz="0" w:space="0" w:color="auto"/>
          </w:divBdr>
        </w:div>
        <w:div w:id="817963430">
          <w:marLeft w:val="0"/>
          <w:marRight w:val="0"/>
          <w:marTop w:val="0"/>
          <w:marBottom w:val="0"/>
          <w:divBdr>
            <w:top w:val="none" w:sz="0" w:space="0" w:color="auto"/>
            <w:left w:val="none" w:sz="0" w:space="0" w:color="auto"/>
            <w:bottom w:val="none" w:sz="0" w:space="0" w:color="auto"/>
            <w:right w:val="none" w:sz="0" w:space="0" w:color="auto"/>
          </w:divBdr>
        </w:div>
        <w:div w:id="859320709">
          <w:marLeft w:val="0"/>
          <w:marRight w:val="0"/>
          <w:marTop w:val="0"/>
          <w:marBottom w:val="0"/>
          <w:divBdr>
            <w:top w:val="none" w:sz="0" w:space="0" w:color="auto"/>
            <w:left w:val="none" w:sz="0" w:space="0" w:color="auto"/>
            <w:bottom w:val="none" w:sz="0" w:space="0" w:color="auto"/>
            <w:right w:val="none" w:sz="0" w:space="0" w:color="auto"/>
          </w:divBdr>
        </w:div>
        <w:div w:id="870458675">
          <w:marLeft w:val="0"/>
          <w:marRight w:val="0"/>
          <w:marTop w:val="0"/>
          <w:marBottom w:val="0"/>
          <w:divBdr>
            <w:top w:val="none" w:sz="0" w:space="0" w:color="auto"/>
            <w:left w:val="none" w:sz="0" w:space="0" w:color="auto"/>
            <w:bottom w:val="none" w:sz="0" w:space="0" w:color="auto"/>
            <w:right w:val="none" w:sz="0" w:space="0" w:color="auto"/>
          </w:divBdr>
        </w:div>
        <w:div w:id="941719219">
          <w:marLeft w:val="0"/>
          <w:marRight w:val="0"/>
          <w:marTop w:val="0"/>
          <w:marBottom w:val="0"/>
          <w:divBdr>
            <w:top w:val="none" w:sz="0" w:space="0" w:color="auto"/>
            <w:left w:val="none" w:sz="0" w:space="0" w:color="auto"/>
            <w:bottom w:val="none" w:sz="0" w:space="0" w:color="auto"/>
            <w:right w:val="none" w:sz="0" w:space="0" w:color="auto"/>
          </w:divBdr>
        </w:div>
        <w:div w:id="1151556385">
          <w:marLeft w:val="0"/>
          <w:marRight w:val="0"/>
          <w:marTop w:val="0"/>
          <w:marBottom w:val="0"/>
          <w:divBdr>
            <w:top w:val="none" w:sz="0" w:space="0" w:color="auto"/>
            <w:left w:val="none" w:sz="0" w:space="0" w:color="auto"/>
            <w:bottom w:val="none" w:sz="0" w:space="0" w:color="auto"/>
            <w:right w:val="none" w:sz="0" w:space="0" w:color="auto"/>
          </w:divBdr>
        </w:div>
        <w:div w:id="1254781036">
          <w:marLeft w:val="0"/>
          <w:marRight w:val="0"/>
          <w:marTop w:val="0"/>
          <w:marBottom w:val="0"/>
          <w:divBdr>
            <w:top w:val="none" w:sz="0" w:space="0" w:color="auto"/>
            <w:left w:val="none" w:sz="0" w:space="0" w:color="auto"/>
            <w:bottom w:val="none" w:sz="0" w:space="0" w:color="auto"/>
            <w:right w:val="none" w:sz="0" w:space="0" w:color="auto"/>
          </w:divBdr>
        </w:div>
        <w:div w:id="1306742434">
          <w:marLeft w:val="0"/>
          <w:marRight w:val="0"/>
          <w:marTop w:val="0"/>
          <w:marBottom w:val="0"/>
          <w:divBdr>
            <w:top w:val="none" w:sz="0" w:space="0" w:color="auto"/>
            <w:left w:val="none" w:sz="0" w:space="0" w:color="auto"/>
            <w:bottom w:val="none" w:sz="0" w:space="0" w:color="auto"/>
            <w:right w:val="none" w:sz="0" w:space="0" w:color="auto"/>
          </w:divBdr>
        </w:div>
        <w:div w:id="1514296691">
          <w:marLeft w:val="0"/>
          <w:marRight w:val="0"/>
          <w:marTop w:val="0"/>
          <w:marBottom w:val="0"/>
          <w:divBdr>
            <w:top w:val="none" w:sz="0" w:space="0" w:color="auto"/>
            <w:left w:val="none" w:sz="0" w:space="0" w:color="auto"/>
            <w:bottom w:val="none" w:sz="0" w:space="0" w:color="auto"/>
            <w:right w:val="none" w:sz="0" w:space="0" w:color="auto"/>
          </w:divBdr>
        </w:div>
        <w:div w:id="1611619221">
          <w:marLeft w:val="0"/>
          <w:marRight w:val="0"/>
          <w:marTop w:val="0"/>
          <w:marBottom w:val="0"/>
          <w:divBdr>
            <w:top w:val="none" w:sz="0" w:space="0" w:color="auto"/>
            <w:left w:val="none" w:sz="0" w:space="0" w:color="auto"/>
            <w:bottom w:val="none" w:sz="0" w:space="0" w:color="auto"/>
            <w:right w:val="none" w:sz="0" w:space="0" w:color="auto"/>
          </w:divBdr>
        </w:div>
        <w:div w:id="1629051303">
          <w:marLeft w:val="0"/>
          <w:marRight w:val="0"/>
          <w:marTop w:val="0"/>
          <w:marBottom w:val="0"/>
          <w:divBdr>
            <w:top w:val="none" w:sz="0" w:space="0" w:color="auto"/>
            <w:left w:val="none" w:sz="0" w:space="0" w:color="auto"/>
            <w:bottom w:val="none" w:sz="0" w:space="0" w:color="auto"/>
            <w:right w:val="none" w:sz="0" w:space="0" w:color="auto"/>
          </w:divBdr>
        </w:div>
        <w:div w:id="1734694070">
          <w:marLeft w:val="0"/>
          <w:marRight w:val="0"/>
          <w:marTop w:val="0"/>
          <w:marBottom w:val="0"/>
          <w:divBdr>
            <w:top w:val="none" w:sz="0" w:space="0" w:color="auto"/>
            <w:left w:val="none" w:sz="0" w:space="0" w:color="auto"/>
            <w:bottom w:val="none" w:sz="0" w:space="0" w:color="auto"/>
            <w:right w:val="none" w:sz="0" w:space="0" w:color="auto"/>
          </w:divBdr>
        </w:div>
        <w:div w:id="1775519262">
          <w:marLeft w:val="0"/>
          <w:marRight w:val="0"/>
          <w:marTop w:val="0"/>
          <w:marBottom w:val="0"/>
          <w:divBdr>
            <w:top w:val="none" w:sz="0" w:space="0" w:color="auto"/>
            <w:left w:val="none" w:sz="0" w:space="0" w:color="auto"/>
            <w:bottom w:val="none" w:sz="0" w:space="0" w:color="auto"/>
            <w:right w:val="none" w:sz="0" w:space="0" w:color="auto"/>
          </w:divBdr>
          <w:divsChild>
            <w:div w:id="81073928">
              <w:marLeft w:val="0"/>
              <w:marRight w:val="0"/>
              <w:marTop w:val="0"/>
              <w:marBottom w:val="0"/>
              <w:divBdr>
                <w:top w:val="none" w:sz="0" w:space="0" w:color="auto"/>
                <w:left w:val="none" w:sz="0" w:space="0" w:color="auto"/>
                <w:bottom w:val="none" w:sz="0" w:space="0" w:color="auto"/>
                <w:right w:val="none" w:sz="0" w:space="0" w:color="auto"/>
              </w:divBdr>
            </w:div>
            <w:div w:id="140775525">
              <w:marLeft w:val="0"/>
              <w:marRight w:val="0"/>
              <w:marTop w:val="0"/>
              <w:marBottom w:val="0"/>
              <w:divBdr>
                <w:top w:val="none" w:sz="0" w:space="0" w:color="auto"/>
                <w:left w:val="none" w:sz="0" w:space="0" w:color="auto"/>
                <w:bottom w:val="none" w:sz="0" w:space="0" w:color="auto"/>
                <w:right w:val="none" w:sz="0" w:space="0" w:color="auto"/>
              </w:divBdr>
            </w:div>
            <w:div w:id="156581509">
              <w:marLeft w:val="0"/>
              <w:marRight w:val="0"/>
              <w:marTop w:val="0"/>
              <w:marBottom w:val="0"/>
              <w:divBdr>
                <w:top w:val="none" w:sz="0" w:space="0" w:color="auto"/>
                <w:left w:val="none" w:sz="0" w:space="0" w:color="auto"/>
                <w:bottom w:val="none" w:sz="0" w:space="0" w:color="auto"/>
                <w:right w:val="none" w:sz="0" w:space="0" w:color="auto"/>
              </w:divBdr>
            </w:div>
            <w:div w:id="211812484">
              <w:marLeft w:val="0"/>
              <w:marRight w:val="0"/>
              <w:marTop w:val="0"/>
              <w:marBottom w:val="0"/>
              <w:divBdr>
                <w:top w:val="none" w:sz="0" w:space="0" w:color="auto"/>
                <w:left w:val="none" w:sz="0" w:space="0" w:color="auto"/>
                <w:bottom w:val="none" w:sz="0" w:space="0" w:color="auto"/>
                <w:right w:val="none" w:sz="0" w:space="0" w:color="auto"/>
              </w:divBdr>
            </w:div>
            <w:div w:id="266424258">
              <w:marLeft w:val="0"/>
              <w:marRight w:val="0"/>
              <w:marTop w:val="0"/>
              <w:marBottom w:val="0"/>
              <w:divBdr>
                <w:top w:val="none" w:sz="0" w:space="0" w:color="auto"/>
                <w:left w:val="none" w:sz="0" w:space="0" w:color="auto"/>
                <w:bottom w:val="none" w:sz="0" w:space="0" w:color="auto"/>
                <w:right w:val="none" w:sz="0" w:space="0" w:color="auto"/>
              </w:divBdr>
            </w:div>
            <w:div w:id="396436977">
              <w:marLeft w:val="0"/>
              <w:marRight w:val="0"/>
              <w:marTop w:val="0"/>
              <w:marBottom w:val="0"/>
              <w:divBdr>
                <w:top w:val="none" w:sz="0" w:space="0" w:color="auto"/>
                <w:left w:val="none" w:sz="0" w:space="0" w:color="auto"/>
                <w:bottom w:val="none" w:sz="0" w:space="0" w:color="auto"/>
                <w:right w:val="none" w:sz="0" w:space="0" w:color="auto"/>
              </w:divBdr>
            </w:div>
            <w:div w:id="572357838">
              <w:marLeft w:val="0"/>
              <w:marRight w:val="0"/>
              <w:marTop w:val="0"/>
              <w:marBottom w:val="0"/>
              <w:divBdr>
                <w:top w:val="none" w:sz="0" w:space="0" w:color="auto"/>
                <w:left w:val="none" w:sz="0" w:space="0" w:color="auto"/>
                <w:bottom w:val="none" w:sz="0" w:space="0" w:color="auto"/>
                <w:right w:val="none" w:sz="0" w:space="0" w:color="auto"/>
              </w:divBdr>
            </w:div>
            <w:div w:id="832841914">
              <w:marLeft w:val="0"/>
              <w:marRight w:val="0"/>
              <w:marTop w:val="0"/>
              <w:marBottom w:val="0"/>
              <w:divBdr>
                <w:top w:val="none" w:sz="0" w:space="0" w:color="auto"/>
                <w:left w:val="none" w:sz="0" w:space="0" w:color="auto"/>
                <w:bottom w:val="none" w:sz="0" w:space="0" w:color="auto"/>
                <w:right w:val="none" w:sz="0" w:space="0" w:color="auto"/>
              </w:divBdr>
            </w:div>
            <w:div w:id="1183516672">
              <w:marLeft w:val="0"/>
              <w:marRight w:val="0"/>
              <w:marTop w:val="0"/>
              <w:marBottom w:val="0"/>
              <w:divBdr>
                <w:top w:val="none" w:sz="0" w:space="0" w:color="auto"/>
                <w:left w:val="none" w:sz="0" w:space="0" w:color="auto"/>
                <w:bottom w:val="none" w:sz="0" w:space="0" w:color="auto"/>
                <w:right w:val="none" w:sz="0" w:space="0" w:color="auto"/>
              </w:divBdr>
            </w:div>
            <w:div w:id="1301695396">
              <w:marLeft w:val="0"/>
              <w:marRight w:val="0"/>
              <w:marTop w:val="0"/>
              <w:marBottom w:val="0"/>
              <w:divBdr>
                <w:top w:val="none" w:sz="0" w:space="0" w:color="auto"/>
                <w:left w:val="none" w:sz="0" w:space="0" w:color="auto"/>
                <w:bottom w:val="none" w:sz="0" w:space="0" w:color="auto"/>
                <w:right w:val="none" w:sz="0" w:space="0" w:color="auto"/>
              </w:divBdr>
            </w:div>
            <w:div w:id="1352805175">
              <w:marLeft w:val="0"/>
              <w:marRight w:val="0"/>
              <w:marTop w:val="0"/>
              <w:marBottom w:val="0"/>
              <w:divBdr>
                <w:top w:val="none" w:sz="0" w:space="0" w:color="auto"/>
                <w:left w:val="none" w:sz="0" w:space="0" w:color="auto"/>
                <w:bottom w:val="none" w:sz="0" w:space="0" w:color="auto"/>
                <w:right w:val="none" w:sz="0" w:space="0" w:color="auto"/>
              </w:divBdr>
            </w:div>
            <w:div w:id="1454208694">
              <w:marLeft w:val="0"/>
              <w:marRight w:val="0"/>
              <w:marTop w:val="0"/>
              <w:marBottom w:val="0"/>
              <w:divBdr>
                <w:top w:val="none" w:sz="0" w:space="0" w:color="auto"/>
                <w:left w:val="none" w:sz="0" w:space="0" w:color="auto"/>
                <w:bottom w:val="none" w:sz="0" w:space="0" w:color="auto"/>
                <w:right w:val="none" w:sz="0" w:space="0" w:color="auto"/>
              </w:divBdr>
            </w:div>
            <w:div w:id="1496531162">
              <w:marLeft w:val="0"/>
              <w:marRight w:val="0"/>
              <w:marTop w:val="0"/>
              <w:marBottom w:val="0"/>
              <w:divBdr>
                <w:top w:val="none" w:sz="0" w:space="0" w:color="auto"/>
                <w:left w:val="none" w:sz="0" w:space="0" w:color="auto"/>
                <w:bottom w:val="none" w:sz="0" w:space="0" w:color="auto"/>
                <w:right w:val="none" w:sz="0" w:space="0" w:color="auto"/>
              </w:divBdr>
            </w:div>
            <w:div w:id="1579360190">
              <w:marLeft w:val="0"/>
              <w:marRight w:val="0"/>
              <w:marTop w:val="0"/>
              <w:marBottom w:val="0"/>
              <w:divBdr>
                <w:top w:val="none" w:sz="0" w:space="0" w:color="auto"/>
                <w:left w:val="none" w:sz="0" w:space="0" w:color="auto"/>
                <w:bottom w:val="none" w:sz="0" w:space="0" w:color="auto"/>
                <w:right w:val="none" w:sz="0" w:space="0" w:color="auto"/>
              </w:divBdr>
            </w:div>
            <w:div w:id="1588222077">
              <w:marLeft w:val="0"/>
              <w:marRight w:val="0"/>
              <w:marTop w:val="0"/>
              <w:marBottom w:val="0"/>
              <w:divBdr>
                <w:top w:val="none" w:sz="0" w:space="0" w:color="auto"/>
                <w:left w:val="none" w:sz="0" w:space="0" w:color="auto"/>
                <w:bottom w:val="none" w:sz="0" w:space="0" w:color="auto"/>
                <w:right w:val="none" w:sz="0" w:space="0" w:color="auto"/>
              </w:divBdr>
            </w:div>
            <w:div w:id="1590308789">
              <w:marLeft w:val="0"/>
              <w:marRight w:val="0"/>
              <w:marTop w:val="0"/>
              <w:marBottom w:val="0"/>
              <w:divBdr>
                <w:top w:val="none" w:sz="0" w:space="0" w:color="auto"/>
                <w:left w:val="none" w:sz="0" w:space="0" w:color="auto"/>
                <w:bottom w:val="none" w:sz="0" w:space="0" w:color="auto"/>
                <w:right w:val="none" w:sz="0" w:space="0" w:color="auto"/>
              </w:divBdr>
            </w:div>
            <w:div w:id="1636449707">
              <w:marLeft w:val="0"/>
              <w:marRight w:val="0"/>
              <w:marTop w:val="0"/>
              <w:marBottom w:val="0"/>
              <w:divBdr>
                <w:top w:val="none" w:sz="0" w:space="0" w:color="auto"/>
                <w:left w:val="none" w:sz="0" w:space="0" w:color="auto"/>
                <w:bottom w:val="none" w:sz="0" w:space="0" w:color="auto"/>
                <w:right w:val="none" w:sz="0" w:space="0" w:color="auto"/>
              </w:divBdr>
            </w:div>
            <w:div w:id="1664771763">
              <w:marLeft w:val="0"/>
              <w:marRight w:val="0"/>
              <w:marTop w:val="0"/>
              <w:marBottom w:val="0"/>
              <w:divBdr>
                <w:top w:val="none" w:sz="0" w:space="0" w:color="auto"/>
                <w:left w:val="none" w:sz="0" w:space="0" w:color="auto"/>
                <w:bottom w:val="none" w:sz="0" w:space="0" w:color="auto"/>
                <w:right w:val="none" w:sz="0" w:space="0" w:color="auto"/>
              </w:divBdr>
            </w:div>
            <w:div w:id="1806315761">
              <w:marLeft w:val="0"/>
              <w:marRight w:val="0"/>
              <w:marTop w:val="0"/>
              <w:marBottom w:val="0"/>
              <w:divBdr>
                <w:top w:val="none" w:sz="0" w:space="0" w:color="auto"/>
                <w:left w:val="none" w:sz="0" w:space="0" w:color="auto"/>
                <w:bottom w:val="none" w:sz="0" w:space="0" w:color="auto"/>
                <w:right w:val="none" w:sz="0" w:space="0" w:color="auto"/>
              </w:divBdr>
            </w:div>
            <w:div w:id="1917350385">
              <w:marLeft w:val="0"/>
              <w:marRight w:val="0"/>
              <w:marTop w:val="0"/>
              <w:marBottom w:val="0"/>
              <w:divBdr>
                <w:top w:val="none" w:sz="0" w:space="0" w:color="auto"/>
                <w:left w:val="none" w:sz="0" w:space="0" w:color="auto"/>
                <w:bottom w:val="none" w:sz="0" w:space="0" w:color="auto"/>
                <w:right w:val="none" w:sz="0" w:space="0" w:color="auto"/>
              </w:divBdr>
            </w:div>
          </w:divsChild>
        </w:div>
        <w:div w:id="1846045669">
          <w:marLeft w:val="0"/>
          <w:marRight w:val="0"/>
          <w:marTop w:val="0"/>
          <w:marBottom w:val="0"/>
          <w:divBdr>
            <w:top w:val="none" w:sz="0" w:space="0" w:color="auto"/>
            <w:left w:val="none" w:sz="0" w:space="0" w:color="auto"/>
            <w:bottom w:val="none" w:sz="0" w:space="0" w:color="auto"/>
            <w:right w:val="none" w:sz="0" w:space="0" w:color="auto"/>
          </w:divBdr>
          <w:divsChild>
            <w:div w:id="461536971">
              <w:marLeft w:val="0"/>
              <w:marRight w:val="0"/>
              <w:marTop w:val="0"/>
              <w:marBottom w:val="0"/>
              <w:divBdr>
                <w:top w:val="none" w:sz="0" w:space="0" w:color="auto"/>
                <w:left w:val="none" w:sz="0" w:space="0" w:color="auto"/>
                <w:bottom w:val="none" w:sz="0" w:space="0" w:color="auto"/>
                <w:right w:val="none" w:sz="0" w:space="0" w:color="auto"/>
              </w:divBdr>
            </w:div>
            <w:div w:id="716665155">
              <w:marLeft w:val="0"/>
              <w:marRight w:val="0"/>
              <w:marTop w:val="0"/>
              <w:marBottom w:val="0"/>
              <w:divBdr>
                <w:top w:val="none" w:sz="0" w:space="0" w:color="auto"/>
                <w:left w:val="none" w:sz="0" w:space="0" w:color="auto"/>
                <w:bottom w:val="none" w:sz="0" w:space="0" w:color="auto"/>
                <w:right w:val="none" w:sz="0" w:space="0" w:color="auto"/>
              </w:divBdr>
            </w:div>
            <w:div w:id="729622389">
              <w:marLeft w:val="0"/>
              <w:marRight w:val="0"/>
              <w:marTop w:val="0"/>
              <w:marBottom w:val="0"/>
              <w:divBdr>
                <w:top w:val="none" w:sz="0" w:space="0" w:color="auto"/>
                <w:left w:val="none" w:sz="0" w:space="0" w:color="auto"/>
                <w:bottom w:val="none" w:sz="0" w:space="0" w:color="auto"/>
                <w:right w:val="none" w:sz="0" w:space="0" w:color="auto"/>
              </w:divBdr>
            </w:div>
            <w:div w:id="773014871">
              <w:marLeft w:val="0"/>
              <w:marRight w:val="0"/>
              <w:marTop w:val="0"/>
              <w:marBottom w:val="0"/>
              <w:divBdr>
                <w:top w:val="none" w:sz="0" w:space="0" w:color="auto"/>
                <w:left w:val="none" w:sz="0" w:space="0" w:color="auto"/>
                <w:bottom w:val="none" w:sz="0" w:space="0" w:color="auto"/>
                <w:right w:val="none" w:sz="0" w:space="0" w:color="auto"/>
              </w:divBdr>
            </w:div>
            <w:div w:id="808867176">
              <w:marLeft w:val="0"/>
              <w:marRight w:val="0"/>
              <w:marTop w:val="0"/>
              <w:marBottom w:val="0"/>
              <w:divBdr>
                <w:top w:val="none" w:sz="0" w:space="0" w:color="auto"/>
                <w:left w:val="none" w:sz="0" w:space="0" w:color="auto"/>
                <w:bottom w:val="none" w:sz="0" w:space="0" w:color="auto"/>
                <w:right w:val="none" w:sz="0" w:space="0" w:color="auto"/>
              </w:divBdr>
            </w:div>
            <w:div w:id="938876010">
              <w:marLeft w:val="0"/>
              <w:marRight w:val="0"/>
              <w:marTop w:val="0"/>
              <w:marBottom w:val="0"/>
              <w:divBdr>
                <w:top w:val="none" w:sz="0" w:space="0" w:color="auto"/>
                <w:left w:val="none" w:sz="0" w:space="0" w:color="auto"/>
                <w:bottom w:val="none" w:sz="0" w:space="0" w:color="auto"/>
                <w:right w:val="none" w:sz="0" w:space="0" w:color="auto"/>
              </w:divBdr>
            </w:div>
            <w:div w:id="1017775698">
              <w:marLeft w:val="0"/>
              <w:marRight w:val="0"/>
              <w:marTop w:val="0"/>
              <w:marBottom w:val="0"/>
              <w:divBdr>
                <w:top w:val="none" w:sz="0" w:space="0" w:color="auto"/>
                <w:left w:val="none" w:sz="0" w:space="0" w:color="auto"/>
                <w:bottom w:val="none" w:sz="0" w:space="0" w:color="auto"/>
                <w:right w:val="none" w:sz="0" w:space="0" w:color="auto"/>
              </w:divBdr>
            </w:div>
            <w:div w:id="1050809852">
              <w:marLeft w:val="0"/>
              <w:marRight w:val="0"/>
              <w:marTop w:val="0"/>
              <w:marBottom w:val="0"/>
              <w:divBdr>
                <w:top w:val="none" w:sz="0" w:space="0" w:color="auto"/>
                <w:left w:val="none" w:sz="0" w:space="0" w:color="auto"/>
                <w:bottom w:val="none" w:sz="0" w:space="0" w:color="auto"/>
                <w:right w:val="none" w:sz="0" w:space="0" w:color="auto"/>
              </w:divBdr>
            </w:div>
            <w:div w:id="1054282329">
              <w:marLeft w:val="0"/>
              <w:marRight w:val="0"/>
              <w:marTop w:val="0"/>
              <w:marBottom w:val="0"/>
              <w:divBdr>
                <w:top w:val="none" w:sz="0" w:space="0" w:color="auto"/>
                <w:left w:val="none" w:sz="0" w:space="0" w:color="auto"/>
                <w:bottom w:val="none" w:sz="0" w:space="0" w:color="auto"/>
                <w:right w:val="none" w:sz="0" w:space="0" w:color="auto"/>
              </w:divBdr>
            </w:div>
            <w:div w:id="1138762618">
              <w:marLeft w:val="0"/>
              <w:marRight w:val="0"/>
              <w:marTop w:val="0"/>
              <w:marBottom w:val="0"/>
              <w:divBdr>
                <w:top w:val="none" w:sz="0" w:space="0" w:color="auto"/>
                <w:left w:val="none" w:sz="0" w:space="0" w:color="auto"/>
                <w:bottom w:val="none" w:sz="0" w:space="0" w:color="auto"/>
                <w:right w:val="none" w:sz="0" w:space="0" w:color="auto"/>
              </w:divBdr>
            </w:div>
            <w:div w:id="1282763390">
              <w:marLeft w:val="0"/>
              <w:marRight w:val="0"/>
              <w:marTop w:val="0"/>
              <w:marBottom w:val="0"/>
              <w:divBdr>
                <w:top w:val="none" w:sz="0" w:space="0" w:color="auto"/>
                <w:left w:val="none" w:sz="0" w:space="0" w:color="auto"/>
                <w:bottom w:val="none" w:sz="0" w:space="0" w:color="auto"/>
                <w:right w:val="none" w:sz="0" w:space="0" w:color="auto"/>
              </w:divBdr>
            </w:div>
            <w:div w:id="1313557968">
              <w:marLeft w:val="0"/>
              <w:marRight w:val="0"/>
              <w:marTop w:val="0"/>
              <w:marBottom w:val="0"/>
              <w:divBdr>
                <w:top w:val="none" w:sz="0" w:space="0" w:color="auto"/>
                <w:left w:val="none" w:sz="0" w:space="0" w:color="auto"/>
                <w:bottom w:val="none" w:sz="0" w:space="0" w:color="auto"/>
                <w:right w:val="none" w:sz="0" w:space="0" w:color="auto"/>
              </w:divBdr>
            </w:div>
            <w:div w:id="1628313559">
              <w:marLeft w:val="0"/>
              <w:marRight w:val="0"/>
              <w:marTop w:val="0"/>
              <w:marBottom w:val="0"/>
              <w:divBdr>
                <w:top w:val="none" w:sz="0" w:space="0" w:color="auto"/>
                <w:left w:val="none" w:sz="0" w:space="0" w:color="auto"/>
                <w:bottom w:val="none" w:sz="0" w:space="0" w:color="auto"/>
                <w:right w:val="none" w:sz="0" w:space="0" w:color="auto"/>
              </w:divBdr>
            </w:div>
            <w:div w:id="1629430350">
              <w:marLeft w:val="0"/>
              <w:marRight w:val="0"/>
              <w:marTop w:val="0"/>
              <w:marBottom w:val="0"/>
              <w:divBdr>
                <w:top w:val="none" w:sz="0" w:space="0" w:color="auto"/>
                <w:left w:val="none" w:sz="0" w:space="0" w:color="auto"/>
                <w:bottom w:val="none" w:sz="0" w:space="0" w:color="auto"/>
                <w:right w:val="none" w:sz="0" w:space="0" w:color="auto"/>
              </w:divBdr>
            </w:div>
            <w:div w:id="1743336851">
              <w:marLeft w:val="0"/>
              <w:marRight w:val="0"/>
              <w:marTop w:val="0"/>
              <w:marBottom w:val="0"/>
              <w:divBdr>
                <w:top w:val="none" w:sz="0" w:space="0" w:color="auto"/>
                <w:left w:val="none" w:sz="0" w:space="0" w:color="auto"/>
                <w:bottom w:val="none" w:sz="0" w:space="0" w:color="auto"/>
                <w:right w:val="none" w:sz="0" w:space="0" w:color="auto"/>
              </w:divBdr>
            </w:div>
            <w:div w:id="1912690644">
              <w:marLeft w:val="0"/>
              <w:marRight w:val="0"/>
              <w:marTop w:val="0"/>
              <w:marBottom w:val="0"/>
              <w:divBdr>
                <w:top w:val="none" w:sz="0" w:space="0" w:color="auto"/>
                <w:left w:val="none" w:sz="0" w:space="0" w:color="auto"/>
                <w:bottom w:val="none" w:sz="0" w:space="0" w:color="auto"/>
                <w:right w:val="none" w:sz="0" w:space="0" w:color="auto"/>
              </w:divBdr>
            </w:div>
            <w:div w:id="2008900008">
              <w:marLeft w:val="0"/>
              <w:marRight w:val="0"/>
              <w:marTop w:val="0"/>
              <w:marBottom w:val="0"/>
              <w:divBdr>
                <w:top w:val="none" w:sz="0" w:space="0" w:color="auto"/>
                <w:left w:val="none" w:sz="0" w:space="0" w:color="auto"/>
                <w:bottom w:val="none" w:sz="0" w:space="0" w:color="auto"/>
                <w:right w:val="none" w:sz="0" w:space="0" w:color="auto"/>
              </w:divBdr>
            </w:div>
            <w:div w:id="2075856190">
              <w:marLeft w:val="0"/>
              <w:marRight w:val="0"/>
              <w:marTop w:val="0"/>
              <w:marBottom w:val="0"/>
              <w:divBdr>
                <w:top w:val="none" w:sz="0" w:space="0" w:color="auto"/>
                <w:left w:val="none" w:sz="0" w:space="0" w:color="auto"/>
                <w:bottom w:val="none" w:sz="0" w:space="0" w:color="auto"/>
                <w:right w:val="none" w:sz="0" w:space="0" w:color="auto"/>
              </w:divBdr>
            </w:div>
            <w:div w:id="2088309310">
              <w:marLeft w:val="0"/>
              <w:marRight w:val="0"/>
              <w:marTop w:val="0"/>
              <w:marBottom w:val="0"/>
              <w:divBdr>
                <w:top w:val="none" w:sz="0" w:space="0" w:color="auto"/>
                <w:left w:val="none" w:sz="0" w:space="0" w:color="auto"/>
                <w:bottom w:val="none" w:sz="0" w:space="0" w:color="auto"/>
                <w:right w:val="none" w:sz="0" w:space="0" w:color="auto"/>
              </w:divBdr>
            </w:div>
            <w:div w:id="2134597770">
              <w:marLeft w:val="0"/>
              <w:marRight w:val="0"/>
              <w:marTop w:val="0"/>
              <w:marBottom w:val="0"/>
              <w:divBdr>
                <w:top w:val="none" w:sz="0" w:space="0" w:color="auto"/>
                <w:left w:val="none" w:sz="0" w:space="0" w:color="auto"/>
                <w:bottom w:val="none" w:sz="0" w:space="0" w:color="auto"/>
                <w:right w:val="none" w:sz="0" w:space="0" w:color="auto"/>
              </w:divBdr>
            </w:div>
          </w:divsChild>
        </w:div>
        <w:div w:id="2051609016">
          <w:marLeft w:val="0"/>
          <w:marRight w:val="0"/>
          <w:marTop w:val="0"/>
          <w:marBottom w:val="0"/>
          <w:divBdr>
            <w:top w:val="none" w:sz="0" w:space="0" w:color="auto"/>
            <w:left w:val="none" w:sz="0" w:space="0" w:color="auto"/>
            <w:bottom w:val="none" w:sz="0" w:space="0" w:color="auto"/>
            <w:right w:val="none" w:sz="0" w:space="0" w:color="auto"/>
          </w:divBdr>
        </w:div>
        <w:div w:id="2096590016">
          <w:marLeft w:val="0"/>
          <w:marRight w:val="0"/>
          <w:marTop w:val="0"/>
          <w:marBottom w:val="0"/>
          <w:divBdr>
            <w:top w:val="none" w:sz="0" w:space="0" w:color="auto"/>
            <w:left w:val="none" w:sz="0" w:space="0" w:color="auto"/>
            <w:bottom w:val="none" w:sz="0" w:space="0" w:color="auto"/>
            <w:right w:val="none" w:sz="0" w:space="0" w:color="auto"/>
          </w:divBdr>
        </w:div>
      </w:divsChild>
    </w:div>
    <w:div w:id="106003233">
      <w:bodyDiv w:val="1"/>
      <w:marLeft w:val="0"/>
      <w:marRight w:val="0"/>
      <w:marTop w:val="0"/>
      <w:marBottom w:val="0"/>
      <w:divBdr>
        <w:top w:val="none" w:sz="0" w:space="0" w:color="auto"/>
        <w:left w:val="none" w:sz="0" w:space="0" w:color="auto"/>
        <w:bottom w:val="none" w:sz="0" w:space="0" w:color="auto"/>
        <w:right w:val="none" w:sz="0" w:space="0" w:color="auto"/>
      </w:divBdr>
      <w:divsChild>
        <w:div w:id="112411064">
          <w:marLeft w:val="0"/>
          <w:marRight w:val="0"/>
          <w:marTop w:val="0"/>
          <w:marBottom w:val="0"/>
          <w:divBdr>
            <w:top w:val="none" w:sz="0" w:space="0" w:color="auto"/>
            <w:left w:val="none" w:sz="0" w:space="0" w:color="auto"/>
            <w:bottom w:val="none" w:sz="0" w:space="0" w:color="auto"/>
            <w:right w:val="none" w:sz="0" w:space="0" w:color="auto"/>
          </w:divBdr>
          <w:divsChild>
            <w:div w:id="1153838986">
              <w:marLeft w:val="0"/>
              <w:marRight w:val="0"/>
              <w:marTop w:val="0"/>
              <w:marBottom w:val="0"/>
              <w:divBdr>
                <w:top w:val="none" w:sz="0" w:space="0" w:color="auto"/>
                <w:left w:val="none" w:sz="0" w:space="0" w:color="auto"/>
                <w:bottom w:val="none" w:sz="0" w:space="0" w:color="auto"/>
                <w:right w:val="none" w:sz="0" w:space="0" w:color="auto"/>
              </w:divBdr>
            </w:div>
            <w:div w:id="1310863083">
              <w:marLeft w:val="0"/>
              <w:marRight w:val="0"/>
              <w:marTop w:val="0"/>
              <w:marBottom w:val="0"/>
              <w:divBdr>
                <w:top w:val="none" w:sz="0" w:space="0" w:color="auto"/>
                <w:left w:val="none" w:sz="0" w:space="0" w:color="auto"/>
                <w:bottom w:val="none" w:sz="0" w:space="0" w:color="auto"/>
                <w:right w:val="none" w:sz="0" w:space="0" w:color="auto"/>
              </w:divBdr>
            </w:div>
          </w:divsChild>
        </w:div>
        <w:div w:id="199172832">
          <w:marLeft w:val="0"/>
          <w:marRight w:val="0"/>
          <w:marTop w:val="0"/>
          <w:marBottom w:val="0"/>
          <w:divBdr>
            <w:top w:val="none" w:sz="0" w:space="0" w:color="auto"/>
            <w:left w:val="none" w:sz="0" w:space="0" w:color="auto"/>
            <w:bottom w:val="none" w:sz="0" w:space="0" w:color="auto"/>
            <w:right w:val="none" w:sz="0" w:space="0" w:color="auto"/>
          </w:divBdr>
          <w:divsChild>
            <w:div w:id="1819806904">
              <w:marLeft w:val="0"/>
              <w:marRight w:val="0"/>
              <w:marTop w:val="0"/>
              <w:marBottom w:val="0"/>
              <w:divBdr>
                <w:top w:val="none" w:sz="0" w:space="0" w:color="auto"/>
                <w:left w:val="none" w:sz="0" w:space="0" w:color="auto"/>
                <w:bottom w:val="none" w:sz="0" w:space="0" w:color="auto"/>
                <w:right w:val="none" w:sz="0" w:space="0" w:color="auto"/>
              </w:divBdr>
            </w:div>
          </w:divsChild>
        </w:div>
        <w:div w:id="417794199">
          <w:marLeft w:val="0"/>
          <w:marRight w:val="0"/>
          <w:marTop w:val="0"/>
          <w:marBottom w:val="0"/>
          <w:divBdr>
            <w:top w:val="none" w:sz="0" w:space="0" w:color="auto"/>
            <w:left w:val="none" w:sz="0" w:space="0" w:color="auto"/>
            <w:bottom w:val="none" w:sz="0" w:space="0" w:color="auto"/>
            <w:right w:val="none" w:sz="0" w:space="0" w:color="auto"/>
          </w:divBdr>
          <w:divsChild>
            <w:div w:id="1705131740">
              <w:marLeft w:val="0"/>
              <w:marRight w:val="0"/>
              <w:marTop w:val="0"/>
              <w:marBottom w:val="0"/>
              <w:divBdr>
                <w:top w:val="none" w:sz="0" w:space="0" w:color="auto"/>
                <w:left w:val="none" w:sz="0" w:space="0" w:color="auto"/>
                <w:bottom w:val="none" w:sz="0" w:space="0" w:color="auto"/>
                <w:right w:val="none" w:sz="0" w:space="0" w:color="auto"/>
              </w:divBdr>
            </w:div>
          </w:divsChild>
        </w:div>
        <w:div w:id="445388697">
          <w:marLeft w:val="0"/>
          <w:marRight w:val="0"/>
          <w:marTop w:val="0"/>
          <w:marBottom w:val="0"/>
          <w:divBdr>
            <w:top w:val="none" w:sz="0" w:space="0" w:color="auto"/>
            <w:left w:val="none" w:sz="0" w:space="0" w:color="auto"/>
            <w:bottom w:val="none" w:sz="0" w:space="0" w:color="auto"/>
            <w:right w:val="none" w:sz="0" w:space="0" w:color="auto"/>
          </w:divBdr>
          <w:divsChild>
            <w:div w:id="576402616">
              <w:marLeft w:val="0"/>
              <w:marRight w:val="0"/>
              <w:marTop w:val="0"/>
              <w:marBottom w:val="0"/>
              <w:divBdr>
                <w:top w:val="none" w:sz="0" w:space="0" w:color="auto"/>
                <w:left w:val="none" w:sz="0" w:space="0" w:color="auto"/>
                <w:bottom w:val="none" w:sz="0" w:space="0" w:color="auto"/>
                <w:right w:val="none" w:sz="0" w:space="0" w:color="auto"/>
              </w:divBdr>
            </w:div>
          </w:divsChild>
        </w:div>
        <w:div w:id="531773498">
          <w:marLeft w:val="0"/>
          <w:marRight w:val="0"/>
          <w:marTop w:val="0"/>
          <w:marBottom w:val="0"/>
          <w:divBdr>
            <w:top w:val="none" w:sz="0" w:space="0" w:color="auto"/>
            <w:left w:val="none" w:sz="0" w:space="0" w:color="auto"/>
            <w:bottom w:val="none" w:sz="0" w:space="0" w:color="auto"/>
            <w:right w:val="none" w:sz="0" w:space="0" w:color="auto"/>
          </w:divBdr>
          <w:divsChild>
            <w:div w:id="316494347">
              <w:marLeft w:val="0"/>
              <w:marRight w:val="0"/>
              <w:marTop w:val="0"/>
              <w:marBottom w:val="0"/>
              <w:divBdr>
                <w:top w:val="none" w:sz="0" w:space="0" w:color="auto"/>
                <w:left w:val="none" w:sz="0" w:space="0" w:color="auto"/>
                <w:bottom w:val="none" w:sz="0" w:space="0" w:color="auto"/>
                <w:right w:val="none" w:sz="0" w:space="0" w:color="auto"/>
              </w:divBdr>
            </w:div>
          </w:divsChild>
        </w:div>
        <w:div w:id="596670060">
          <w:marLeft w:val="0"/>
          <w:marRight w:val="0"/>
          <w:marTop w:val="0"/>
          <w:marBottom w:val="0"/>
          <w:divBdr>
            <w:top w:val="none" w:sz="0" w:space="0" w:color="auto"/>
            <w:left w:val="none" w:sz="0" w:space="0" w:color="auto"/>
            <w:bottom w:val="none" w:sz="0" w:space="0" w:color="auto"/>
            <w:right w:val="none" w:sz="0" w:space="0" w:color="auto"/>
          </w:divBdr>
          <w:divsChild>
            <w:div w:id="648444057">
              <w:marLeft w:val="0"/>
              <w:marRight w:val="0"/>
              <w:marTop w:val="0"/>
              <w:marBottom w:val="0"/>
              <w:divBdr>
                <w:top w:val="none" w:sz="0" w:space="0" w:color="auto"/>
                <w:left w:val="none" w:sz="0" w:space="0" w:color="auto"/>
                <w:bottom w:val="none" w:sz="0" w:space="0" w:color="auto"/>
                <w:right w:val="none" w:sz="0" w:space="0" w:color="auto"/>
              </w:divBdr>
            </w:div>
            <w:div w:id="2038652809">
              <w:marLeft w:val="0"/>
              <w:marRight w:val="0"/>
              <w:marTop w:val="0"/>
              <w:marBottom w:val="0"/>
              <w:divBdr>
                <w:top w:val="none" w:sz="0" w:space="0" w:color="auto"/>
                <w:left w:val="none" w:sz="0" w:space="0" w:color="auto"/>
                <w:bottom w:val="none" w:sz="0" w:space="0" w:color="auto"/>
                <w:right w:val="none" w:sz="0" w:space="0" w:color="auto"/>
              </w:divBdr>
            </w:div>
          </w:divsChild>
        </w:div>
        <w:div w:id="605115357">
          <w:marLeft w:val="0"/>
          <w:marRight w:val="0"/>
          <w:marTop w:val="0"/>
          <w:marBottom w:val="0"/>
          <w:divBdr>
            <w:top w:val="none" w:sz="0" w:space="0" w:color="auto"/>
            <w:left w:val="none" w:sz="0" w:space="0" w:color="auto"/>
            <w:bottom w:val="none" w:sz="0" w:space="0" w:color="auto"/>
            <w:right w:val="none" w:sz="0" w:space="0" w:color="auto"/>
          </w:divBdr>
          <w:divsChild>
            <w:div w:id="1291282877">
              <w:marLeft w:val="0"/>
              <w:marRight w:val="0"/>
              <w:marTop w:val="0"/>
              <w:marBottom w:val="0"/>
              <w:divBdr>
                <w:top w:val="none" w:sz="0" w:space="0" w:color="auto"/>
                <w:left w:val="none" w:sz="0" w:space="0" w:color="auto"/>
                <w:bottom w:val="none" w:sz="0" w:space="0" w:color="auto"/>
                <w:right w:val="none" w:sz="0" w:space="0" w:color="auto"/>
              </w:divBdr>
            </w:div>
          </w:divsChild>
        </w:div>
        <w:div w:id="660743404">
          <w:marLeft w:val="0"/>
          <w:marRight w:val="0"/>
          <w:marTop w:val="0"/>
          <w:marBottom w:val="0"/>
          <w:divBdr>
            <w:top w:val="none" w:sz="0" w:space="0" w:color="auto"/>
            <w:left w:val="none" w:sz="0" w:space="0" w:color="auto"/>
            <w:bottom w:val="none" w:sz="0" w:space="0" w:color="auto"/>
            <w:right w:val="none" w:sz="0" w:space="0" w:color="auto"/>
          </w:divBdr>
          <w:divsChild>
            <w:div w:id="1880698477">
              <w:marLeft w:val="0"/>
              <w:marRight w:val="0"/>
              <w:marTop w:val="0"/>
              <w:marBottom w:val="0"/>
              <w:divBdr>
                <w:top w:val="none" w:sz="0" w:space="0" w:color="auto"/>
                <w:left w:val="none" w:sz="0" w:space="0" w:color="auto"/>
                <w:bottom w:val="none" w:sz="0" w:space="0" w:color="auto"/>
                <w:right w:val="none" w:sz="0" w:space="0" w:color="auto"/>
              </w:divBdr>
            </w:div>
          </w:divsChild>
        </w:div>
        <w:div w:id="702634363">
          <w:marLeft w:val="0"/>
          <w:marRight w:val="0"/>
          <w:marTop w:val="0"/>
          <w:marBottom w:val="0"/>
          <w:divBdr>
            <w:top w:val="none" w:sz="0" w:space="0" w:color="auto"/>
            <w:left w:val="none" w:sz="0" w:space="0" w:color="auto"/>
            <w:bottom w:val="none" w:sz="0" w:space="0" w:color="auto"/>
            <w:right w:val="none" w:sz="0" w:space="0" w:color="auto"/>
          </w:divBdr>
          <w:divsChild>
            <w:div w:id="212230429">
              <w:marLeft w:val="0"/>
              <w:marRight w:val="0"/>
              <w:marTop w:val="0"/>
              <w:marBottom w:val="0"/>
              <w:divBdr>
                <w:top w:val="none" w:sz="0" w:space="0" w:color="auto"/>
                <w:left w:val="none" w:sz="0" w:space="0" w:color="auto"/>
                <w:bottom w:val="none" w:sz="0" w:space="0" w:color="auto"/>
                <w:right w:val="none" w:sz="0" w:space="0" w:color="auto"/>
              </w:divBdr>
            </w:div>
            <w:div w:id="754399710">
              <w:marLeft w:val="0"/>
              <w:marRight w:val="0"/>
              <w:marTop w:val="0"/>
              <w:marBottom w:val="0"/>
              <w:divBdr>
                <w:top w:val="none" w:sz="0" w:space="0" w:color="auto"/>
                <w:left w:val="none" w:sz="0" w:space="0" w:color="auto"/>
                <w:bottom w:val="none" w:sz="0" w:space="0" w:color="auto"/>
                <w:right w:val="none" w:sz="0" w:space="0" w:color="auto"/>
              </w:divBdr>
            </w:div>
          </w:divsChild>
        </w:div>
        <w:div w:id="717051352">
          <w:marLeft w:val="0"/>
          <w:marRight w:val="0"/>
          <w:marTop w:val="0"/>
          <w:marBottom w:val="0"/>
          <w:divBdr>
            <w:top w:val="none" w:sz="0" w:space="0" w:color="auto"/>
            <w:left w:val="none" w:sz="0" w:space="0" w:color="auto"/>
            <w:bottom w:val="none" w:sz="0" w:space="0" w:color="auto"/>
            <w:right w:val="none" w:sz="0" w:space="0" w:color="auto"/>
          </w:divBdr>
          <w:divsChild>
            <w:div w:id="1145121669">
              <w:marLeft w:val="0"/>
              <w:marRight w:val="0"/>
              <w:marTop w:val="0"/>
              <w:marBottom w:val="0"/>
              <w:divBdr>
                <w:top w:val="none" w:sz="0" w:space="0" w:color="auto"/>
                <w:left w:val="none" w:sz="0" w:space="0" w:color="auto"/>
                <w:bottom w:val="none" w:sz="0" w:space="0" w:color="auto"/>
                <w:right w:val="none" w:sz="0" w:space="0" w:color="auto"/>
              </w:divBdr>
            </w:div>
          </w:divsChild>
        </w:div>
        <w:div w:id="752774673">
          <w:marLeft w:val="0"/>
          <w:marRight w:val="0"/>
          <w:marTop w:val="0"/>
          <w:marBottom w:val="0"/>
          <w:divBdr>
            <w:top w:val="none" w:sz="0" w:space="0" w:color="auto"/>
            <w:left w:val="none" w:sz="0" w:space="0" w:color="auto"/>
            <w:bottom w:val="none" w:sz="0" w:space="0" w:color="auto"/>
            <w:right w:val="none" w:sz="0" w:space="0" w:color="auto"/>
          </w:divBdr>
          <w:divsChild>
            <w:div w:id="1651716831">
              <w:marLeft w:val="0"/>
              <w:marRight w:val="0"/>
              <w:marTop w:val="0"/>
              <w:marBottom w:val="0"/>
              <w:divBdr>
                <w:top w:val="none" w:sz="0" w:space="0" w:color="auto"/>
                <w:left w:val="none" w:sz="0" w:space="0" w:color="auto"/>
                <w:bottom w:val="none" w:sz="0" w:space="0" w:color="auto"/>
                <w:right w:val="none" w:sz="0" w:space="0" w:color="auto"/>
              </w:divBdr>
            </w:div>
          </w:divsChild>
        </w:div>
        <w:div w:id="890845589">
          <w:marLeft w:val="0"/>
          <w:marRight w:val="0"/>
          <w:marTop w:val="0"/>
          <w:marBottom w:val="0"/>
          <w:divBdr>
            <w:top w:val="none" w:sz="0" w:space="0" w:color="auto"/>
            <w:left w:val="none" w:sz="0" w:space="0" w:color="auto"/>
            <w:bottom w:val="none" w:sz="0" w:space="0" w:color="auto"/>
            <w:right w:val="none" w:sz="0" w:space="0" w:color="auto"/>
          </w:divBdr>
          <w:divsChild>
            <w:div w:id="213859240">
              <w:marLeft w:val="0"/>
              <w:marRight w:val="0"/>
              <w:marTop w:val="0"/>
              <w:marBottom w:val="0"/>
              <w:divBdr>
                <w:top w:val="none" w:sz="0" w:space="0" w:color="auto"/>
                <w:left w:val="none" w:sz="0" w:space="0" w:color="auto"/>
                <w:bottom w:val="none" w:sz="0" w:space="0" w:color="auto"/>
                <w:right w:val="none" w:sz="0" w:space="0" w:color="auto"/>
              </w:divBdr>
            </w:div>
          </w:divsChild>
        </w:div>
        <w:div w:id="917595410">
          <w:marLeft w:val="0"/>
          <w:marRight w:val="0"/>
          <w:marTop w:val="0"/>
          <w:marBottom w:val="0"/>
          <w:divBdr>
            <w:top w:val="none" w:sz="0" w:space="0" w:color="auto"/>
            <w:left w:val="none" w:sz="0" w:space="0" w:color="auto"/>
            <w:bottom w:val="none" w:sz="0" w:space="0" w:color="auto"/>
            <w:right w:val="none" w:sz="0" w:space="0" w:color="auto"/>
          </w:divBdr>
          <w:divsChild>
            <w:div w:id="637732282">
              <w:marLeft w:val="0"/>
              <w:marRight w:val="0"/>
              <w:marTop w:val="0"/>
              <w:marBottom w:val="0"/>
              <w:divBdr>
                <w:top w:val="none" w:sz="0" w:space="0" w:color="auto"/>
                <w:left w:val="none" w:sz="0" w:space="0" w:color="auto"/>
                <w:bottom w:val="none" w:sz="0" w:space="0" w:color="auto"/>
                <w:right w:val="none" w:sz="0" w:space="0" w:color="auto"/>
              </w:divBdr>
            </w:div>
          </w:divsChild>
        </w:div>
        <w:div w:id="967778325">
          <w:marLeft w:val="0"/>
          <w:marRight w:val="0"/>
          <w:marTop w:val="0"/>
          <w:marBottom w:val="0"/>
          <w:divBdr>
            <w:top w:val="none" w:sz="0" w:space="0" w:color="auto"/>
            <w:left w:val="none" w:sz="0" w:space="0" w:color="auto"/>
            <w:bottom w:val="none" w:sz="0" w:space="0" w:color="auto"/>
            <w:right w:val="none" w:sz="0" w:space="0" w:color="auto"/>
          </w:divBdr>
          <w:divsChild>
            <w:div w:id="1238711642">
              <w:marLeft w:val="0"/>
              <w:marRight w:val="0"/>
              <w:marTop w:val="0"/>
              <w:marBottom w:val="0"/>
              <w:divBdr>
                <w:top w:val="none" w:sz="0" w:space="0" w:color="auto"/>
                <w:left w:val="none" w:sz="0" w:space="0" w:color="auto"/>
                <w:bottom w:val="none" w:sz="0" w:space="0" w:color="auto"/>
                <w:right w:val="none" w:sz="0" w:space="0" w:color="auto"/>
              </w:divBdr>
            </w:div>
          </w:divsChild>
        </w:div>
        <w:div w:id="980038580">
          <w:marLeft w:val="0"/>
          <w:marRight w:val="0"/>
          <w:marTop w:val="0"/>
          <w:marBottom w:val="0"/>
          <w:divBdr>
            <w:top w:val="none" w:sz="0" w:space="0" w:color="auto"/>
            <w:left w:val="none" w:sz="0" w:space="0" w:color="auto"/>
            <w:bottom w:val="none" w:sz="0" w:space="0" w:color="auto"/>
            <w:right w:val="none" w:sz="0" w:space="0" w:color="auto"/>
          </w:divBdr>
          <w:divsChild>
            <w:div w:id="1751999606">
              <w:marLeft w:val="0"/>
              <w:marRight w:val="0"/>
              <w:marTop w:val="0"/>
              <w:marBottom w:val="0"/>
              <w:divBdr>
                <w:top w:val="none" w:sz="0" w:space="0" w:color="auto"/>
                <w:left w:val="none" w:sz="0" w:space="0" w:color="auto"/>
                <w:bottom w:val="none" w:sz="0" w:space="0" w:color="auto"/>
                <w:right w:val="none" w:sz="0" w:space="0" w:color="auto"/>
              </w:divBdr>
            </w:div>
          </w:divsChild>
        </w:div>
        <w:div w:id="1043019010">
          <w:marLeft w:val="0"/>
          <w:marRight w:val="0"/>
          <w:marTop w:val="0"/>
          <w:marBottom w:val="0"/>
          <w:divBdr>
            <w:top w:val="none" w:sz="0" w:space="0" w:color="auto"/>
            <w:left w:val="none" w:sz="0" w:space="0" w:color="auto"/>
            <w:bottom w:val="none" w:sz="0" w:space="0" w:color="auto"/>
            <w:right w:val="none" w:sz="0" w:space="0" w:color="auto"/>
          </w:divBdr>
          <w:divsChild>
            <w:div w:id="1833057559">
              <w:marLeft w:val="0"/>
              <w:marRight w:val="0"/>
              <w:marTop w:val="0"/>
              <w:marBottom w:val="0"/>
              <w:divBdr>
                <w:top w:val="none" w:sz="0" w:space="0" w:color="auto"/>
                <w:left w:val="none" w:sz="0" w:space="0" w:color="auto"/>
                <w:bottom w:val="none" w:sz="0" w:space="0" w:color="auto"/>
                <w:right w:val="none" w:sz="0" w:space="0" w:color="auto"/>
              </w:divBdr>
            </w:div>
          </w:divsChild>
        </w:div>
        <w:div w:id="1079015535">
          <w:marLeft w:val="0"/>
          <w:marRight w:val="0"/>
          <w:marTop w:val="0"/>
          <w:marBottom w:val="0"/>
          <w:divBdr>
            <w:top w:val="none" w:sz="0" w:space="0" w:color="auto"/>
            <w:left w:val="none" w:sz="0" w:space="0" w:color="auto"/>
            <w:bottom w:val="none" w:sz="0" w:space="0" w:color="auto"/>
            <w:right w:val="none" w:sz="0" w:space="0" w:color="auto"/>
          </w:divBdr>
          <w:divsChild>
            <w:div w:id="168570935">
              <w:marLeft w:val="0"/>
              <w:marRight w:val="0"/>
              <w:marTop w:val="0"/>
              <w:marBottom w:val="0"/>
              <w:divBdr>
                <w:top w:val="none" w:sz="0" w:space="0" w:color="auto"/>
                <w:left w:val="none" w:sz="0" w:space="0" w:color="auto"/>
                <w:bottom w:val="none" w:sz="0" w:space="0" w:color="auto"/>
                <w:right w:val="none" w:sz="0" w:space="0" w:color="auto"/>
              </w:divBdr>
            </w:div>
          </w:divsChild>
        </w:div>
        <w:div w:id="1123308104">
          <w:marLeft w:val="0"/>
          <w:marRight w:val="0"/>
          <w:marTop w:val="0"/>
          <w:marBottom w:val="0"/>
          <w:divBdr>
            <w:top w:val="none" w:sz="0" w:space="0" w:color="auto"/>
            <w:left w:val="none" w:sz="0" w:space="0" w:color="auto"/>
            <w:bottom w:val="none" w:sz="0" w:space="0" w:color="auto"/>
            <w:right w:val="none" w:sz="0" w:space="0" w:color="auto"/>
          </w:divBdr>
          <w:divsChild>
            <w:div w:id="75519984">
              <w:marLeft w:val="0"/>
              <w:marRight w:val="0"/>
              <w:marTop w:val="0"/>
              <w:marBottom w:val="0"/>
              <w:divBdr>
                <w:top w:val="none" w:sz="0" w:space="0" w:color="auto"/>
                <w:left w:val="none" w:sz="0" w:space="0" w:color="auto"/>
                <w:bottom w:val="none" w:sz="0" w:space="0" w:color="auto"/>
                <w:right w:val="none" w:sz="0" w:space="0" w:color="auto"/>
              </w:divBdr>
            </w:div>
          </w:divsChild>
        </w:div>
        <w:div w:id="1160269173">
          <w:marLeft w:val="0"/>
          <w:marRight w:val="0"/>
          <w:marTop w:val="0"/>
          <w:marBottom w:val="0"/>
          <w:divBdr>
            <w:top w:val="none" w:sz="0" w:space="0" w:color="auto"/>
            <w:left w:val="none" w:sz="0" w:space="0" w:color="auto"/>
            <w:bottom w:val="none" w:sz="0" w:space="0" w:color="auto"/>
            <w:right w:val="none" w:sz="0" w:space="0" w:color="auto"/>
          </w:divBdr>
          <w:divsChild>
            <w:div w:id="686173619">
              <w:marLeft w:val="0"/>
              <w:marRight w:val="0"/>
              <w:marTop w:val="0"/>
              <w:marBottom w:val="0"/>
              <w:divBdr>
                <w:top w:val="none" w:sz="0" w:space="0" w:color="auto"/>
                <w:left w:val="none" w:sz="0" w:space="0" w:color="auto"/>
                <w:bottom w:val="none" w:sz="0" w:space="0" w:color="auto"/>
                <w:right w:val="none" w:sz="0" w:space="0" w:color="auto"/>
              </w:divBdr>
            </w:div>
          </w:divsChild>
        </w:div>
        <w:div w:id="1212108887">
          <w:marLeft w:val="0"/>
          <w:marRight w:val="0"/>
          <w:marTop w:val="0"/>
          <w:marBottom w:val="0"/>
          <w:divBdr>
            <w:top w:val="none" w:sz="0" w:space="0" w:color="auto"/>
            <w:left w:val="none" w:sz="0" w:space="0" w:color="auto"/>
            <w:bottom w:val="none" w:sz="0" w:space="0" w:color="auto"/>
            <w:right w:val="none" w:sz="0" w:space="0" w:color="auto"/>
          </w:divBdr>
          <w:divsChild>
            <w:div w:id="195705238">
              <w:marLeft w:val="0"/>
              <w:marRight w:val="0"/>
              <w:marTop w:val="0"/>
              <w:marBottom w:val="0"/>
              <w:divBdr>
                <w:top w:val="none" w:sz="0" w:space="0" w:color="auto"/>
                <w:left w:val="none" w:sz="0" w:space="0" w:color="auto"/>
                <w:bottom w:val="none" w:sz="0" w:space="0" w:color="auto"/>
                <w:right w:val="none" w:sz="0" w:space="0" w:color="auto"/>
              </w:divBdr>
            </w:div>
          </w:divsChild>
        </w:div>
        <w:div w:id="1431001514">
          <w:marLeft w:val="0"/>
          <w:marRight w:val="0"/>
          <w:marTop w:val="0"/>
          <w:marBottom w:val="0"/>
          <w:divBdr>
            <w:top w:val="none" w:sz="0" w:space="0" w:color="auto"/>
            <w:left w:val="none" w:sz="0" w:space="0" w:color="auto"/>
            <w:bottom w:val="none" w:sz="0" w:space="0" w:color="auto"/>
            <w:right w:val="none" w:sz="0" w:space="0" w:color="auto"/>
          </w:divBdr>
          <w:divsChild>
            <w:div w:id="1805733472">
              <w:marLeft w:val="0"/>
              <w:marRight w:val="0"/>
              <w:marTop w:val="0"/>
              <w:marBottom w:val="0"/>
              <w:divBdr>
                <w:top w:val="none" w:sz="0" w:space="0" w:color="auto"/>
                <w:left w:val="none" w:sz="0" w:space="0" w:color="auto"/>
                <w:bottom w:val="none" w:sz="0" w:space="0" w:color="auto"/>
                <w:right w:val="none" w:sz="0" w:space="0" w:color="auto"/>
              </w:divBdr>
            </w:div>
          </w:divsChild>
        </w:div>
        <w:div w:id="1450470553">
          <w:marLeft w:val="0"/>
          <w:marRight w:val="0"/>
          <w:marTop w:val="0"/>
          <w:marBottom w:val="0"/>
          <w:divBdr>
            <w:top w:val="none" w:sz="0" w:space="0" w:color="auto"/>
            <w:left w:val="none" w:sz="0" w:space="0" w:color="auto"/>
            <w:bottom w:val="none" w:sz="0" w:space="0" w:color="auto"/>
            <w:right w:val="none" w:sz="0" w:space="0" w:color="auto"/>
          </w:divBdr>
          <w:divsChild>
            <w:div w:id="1186018393">
              <w:marLeft w:val="0"/>
              <w:marRight w:val="0"/>
              <w:marTop w:val="0"/>
              <w:marBottom w:val="0"/>
              <w:divBdr>
                <w:top w:val="none" w:sz="0" w:space="0" w:color="auto"/>
                <w:left w:val="none" w:sz="0" w:space="0" w:color="auto"/>
                <w:bottom w:val="none" w:sz="0" w:space="0" w:color="auto"/>
                <w:right w:val="none" w:sz="0" w:space="0" w:color="auto"/>
              </w:divBdr>
            </w:div>
          </w:divsChild>
        </w:div>
        <w:div w:id="1528256381">
          <w:marLeft w:val="0"/>
          <w:marRight w:val="0"/>
          <w:marTop w:val="0"/>
          <w:marBottom w:val="0"/>
          <w:divBdr>
            <w:top w:val="none" w:sz="0" w:space="0" w:color="auto"/>
            <w:left w:val="none" w:sz="0" w:space="0" w:color="auto"/>
            <w:bottom w:val="none" w:sz="0" w:space="0" w:color="auto"/>
            <w:right w:val="none" w:sz="0" w:space="0" w:color="auto"/>
          </w:divBdr>
          <w:divsChild>
            <w:div w:id="650644921">
              <w:marLeft w:val="0"/>
              <w:marRight w:val="0"/>
              <w:marTop w:val="0"/>
              <w:marBottom w:val="0"/>
              <w:divBdr>
                <w:top w:val="none" w:sz="0" w:space="0" w:color="auto"/>
                <w:left w:val="none" w:sz="0" w:space="0" w:color="auto"/>
                <w:bottom w:val="none" w:sz="0" w:space="0" w:color="auto"/>
                <w:right w:val="none" w:sz="0" w:space="0" w:color="auto"/>
              </w:divBdr>
            </w:div>
            <w:div w:id="2077435725">
              <w:marLeft w:val="0"/>
              <w:marRight w:val="0"/>
              <w:marTop w:val="0"/>
              <w:marBottom w:val="0"/>
              <w:divBdr>
                <w:top w:val="none" w:sz="0" w:space="0" w:color="auto"/>
                <w:left w:val="none" w:sz="0" w:space="0" w:color="auto"/>
                <w:bottom w:val="none" w:sz="0" w:space="0" w:color="auto"/>
                <w:right w:val="none" w:sz="0" w:space="0" w:color="auto"/>
              </w:divBdr>
            </w:div>
          </w:divsChild>
        </w:div>
        <w:div w:id="1570263203">
          <w:marLeft w:val="0"/>
          <w:marRight w:val="0"/>
          <w:marTop w:val="0"/>
          <w:marBottom w:val="0"/>
          <w:divBdr>
            <w:top w:val="none" w:sz="0" w:space="0" w:color="auto"/>
            <w:left w:val="none" w:sz="0" w:space="0" w:color="auto"/>
            <w:bottom w:val="none" w:sz="0" w:space="0" w:color="auto"/>
            <w:right w:val="none" w:sz="0" w:space="0" w:color="auto"/>
          </w:divBdr>
          <w:divsChild>
            <w:div w:id="1003437079">
              <w:marLeft w:val="0"/>
              <w:marRight w:val="0"/>
              <w:marTop w:val="0"/>
              <w:marBottom w:val="0"/>
              <w:divBdr>
                <w:top w:val="none" w:sz="0" w:space="0" w:color="auto"/>
                <w:left w:val="none" w:sz="0" w:space="0" w:color="auto"/>
                <w:bottom w:val="none" w:sz="0" w:space="0" w:color="auto"/>
                <w:right w:val="none" w:sz="0" w:space="0" w:color="auto"/>
              </w:divBdr>
            </w:div>
            <w:div w:id="1090389397">
              <w:marLeft w:val="0"/>
              <w:marRight w:val="0"/>
              <w:marTop w:val="0"/>
              <w:marBottom w:val="0"/>
              <w:divBdr>
                <w:top w:val="none" w:sz="0" w:space="0" w:color="auto"/>
                <w:left w:val="none" w:sz="0" w:space="0" w:color="auto"/>
                <w:bottom w:val="none" w:sz="0" w:space="0" w:color="auto"/>
                <w:right w:val="none" w:sz="0" w:space="0" w:color="auto"/>
              </w:divBdr>
            </w:div>
          </w:divsChild>
        </w:div>
        <w:div w:id="1632785787">
          <w:marLeft w:val="0"/>
          <w:marRight w:val="0"/>
          <w:marTop w:val="0"/>
          <w:marBottom w:val="0"/>
          <w:divBdr>
            <w:top w:val="none" w:sz="0" w:space="0" w:color="auto"/>
            <w:left w:val="none" w:sz="0" w:space="0" w:color="auto"/>
            <w:bottom w:val="none" w:sz="0" w:space="0" w:color="auto"/>
            <w:right w:val="none" w:sz="0" w:space="0" w:color="auto"/>
          </w:divBdr>
          <w:divsChild>
            <w:div w:id="629289816">
              <w:marLeft w:val="0"/>
              <w:marRight w:val="0"/>
              <w:marTop w:val="0"/>
              <w:marBottom w:val="0"/>
              <w:divBdr>
                <w:top w:val="none" w:sz="0" w:space="0" w:color="auto"/>
                <w:left w:val="none" w:sz="0" w:space="0" w:color="auto"/>
                <w:bottom w:val="none" w:sz="0" w:space="0" w:color="auto"/>
                <w:right w:val="none" w:sz="0" w:space="0" w:color="auto"/>
              </w:divBdr>
            </w:div>
          </w:divsChild>
        </w:div>
        <w:div w:id="1644233646">
          <w:marLeft w:val="0"/>
          <w:marRight w:val="0"/>
          <w:marTop w:val="0"/>
          <w:marBottom w:val="0"/>
          <w:divBdr>
            <w:top w:val="none" w:sz="0" w:space="0" w:color="auto"/>
            <w:left w:val="none" w:sz="0" w:space="0" w:color="auto"/>
            <w:bottom w:val="none" w:sz="0" w:space="0" w:color="auto"/>
            <w:right w:val="none" w:sz="0" w:space="0" w:color="auto"/>
          </w:divBdr>
          <w:divsChild>
            <w:div w:id="1958681474">
              <w:marLeft w:val="0"/>
              <w:marRight w:val="0"/>
              <w:marTop w:val="0"/>
              <w:marBottom w:val="0"/>
              <w:divBdr>
                <w:top w:val="none" w:sz="0" w:space="0" w:color="auto"/>
                <w:left w:val="none" w:sz="0" w:space="0" w:color="auto"/>
                <w:bottom w:val="none" w:sz="0" w:space="0" w:color="auto"/>
                <w:right w:val="none" w:sz="0" w:space="0" w:color="auto"/>
              </w:divBdr>
            </w:div>
          </w:divsChild>
        </w:div>
        <w:div w:id="1655910471">
          <w:marLeft w:val="0"/>
          <w:marRight w:val="0"/>
          <w:marTop w:val="0"/>
          <w:marBottom w:val="0"/>
          <w:divBdr>
            <w:top w:val="none" w:sz="0" w:space="0" w:color="auto"/>
            <w:left w:val="none" w:sz="0" w:space="0" w:color="auto"/>
            <w:bottom w:val="none" w:sz="0" w:space="0" w:color="auto"/>
            <w:right w:val="none" w:sz="0" w:space="0" w:color="auto"/>
          </w:divBdr>
          <w:divsChild>
            <w:div w:id="426392075">
              <w:marLeft w:val="0"/>
              <w:marRight w:val="0"/>
              <w:marTop w:val="0"/>
              <w:marBottom w:val="0"/>
              <w:divBdr>
                <w:top w:val="none" w:sz="0" w:space="0" w:color="auto"/>
                <w:left w:val="none" w:sz="0" w:space="0" w:color="auto"/>
                <w:bottom w:val="none" w:sz="0" w:space="0" w:color="auto"/>
                <w:right w:val="none" w:sz="0" w:space="0" w:color="auto"/>
              </w:divBdr>
            </w:div>
          </w:divsChild>
        </w:div>
        <w:div w:id="1968655672">
          <w:marLeft w:val="0"/>
          <w:marRight w:val="0"/>
          <w:marTop w:val="0"/>
          <w:marBottom w:val="0"/>
          <w:divBdr>
            <w:top w:val="none" w:sz="0" w:space="0" w:color="auto"/>
            <w:left w:val="none" w:sz="0" w:space="0" w:color="auto"/>
            <w:bottom w:val="none" w:sz="0" w:space="0" w:color="auto"/>
            <w:right w:val="none" w:sz="0" w:space="0" w:color="auto"/>
          </w:divBdr>
          <w:divsChild>
            <w:div w:id="1432319221">
              <w:marLeft w:val="0"/>
              <w:marRight w:val="0"/>
              <w:marTop w:val="0"/>
              <w:marBottom w:val="0"/>
              <w:divBdr>
                <w:top w:val="none" w:sz="0" w:space="0" w:color="auto"/>
                <w:left w:val="none" w:sz="0" w:space="0" w:color="auto"/>
                <w:bottom w:val="none" w:sz="0" w:space="0" w:color="auto"/>
                <w:right w:val="none" w:sz="0" w:space="0" w:color="auto"/>
              </w:divBdr>
            </w:div>
          </w:divsChild>
        </w:div>
        <w:div w:id="2007127232">
          <w:marLeft w:val="0"/>
          <w:marRight w:val="0"/>
          <w:marTop w:val="0"/>
          <w:marBottom w:val="0"/>
          <w:divBdr>
            <w:top w:val="none" w:sz="0" w:space="0" w:color="auto"/>
            <w:left w:val="none" w:sz="0" w:space="0" w:color="auto"/>
            <w:bottom w:val="none" w:sz="0" w:space="0" w:color="auto"/>
            <w:right w:val="none" w:sz="0" w:space="0" w:color="auto"/>
          </w:divBdr>
          <w:divsChild>
            <w:div w:id="372269199">
              <w:marLeft w:val="0"/>
              <w:marRight w:val="0"/>
              <w:marTop w:val="0"/>
              <w:marBottom w:val="0"/>
              <w:divBdr>
                <w:top w:val="none" w:sz="0" w:space="0" w:color="auto"/>
                <w:left w:val="none" w:sz="0" w:space="0" w:color="auto"/>
                <w:bottom w:val="none" w:sz="0" w:space="0" w:color="auto"/>
                <w:right w:val="none" w:sz="0" w:space="0" w:color="auto"/>
              </w:divBdr>
            </w:div>
          </w:divsChild>
        </w:div>
        <w:div w:id="2109570284">
          <w:marLeft w:val="0"/>
          <w:marRight w:val="0"/>
          <w:marTop w:val="0"/>
          <w:marBottom w:val="0"/>
          <w:divBdr>
            <w:top w:val="none" w:sz="0" w:space="0" w:color="auto"/>
            <w:left w:val="none" w:sz="0" w:space="0" w:color="auto"/>
            <w:bottom w:val="none" w:sz="0" w:space="0" w:color="auto"/>
            <w:right w:val="none" w:sz="0" w:space="0" w:color="auto"/>
          </w:divBdr>
          <w:divsChild>
            <w:div w:id="263807653">
              <w:marLeft w:val="0"/>
              <w:marRight w:val="0"/>
              <w:marTop w:val="0"/>
              <w:marBottom w:val="0"/>
              <w:divBdr>
                <w:top w:val="none" w:sz="0" w:space="0" w:color="auto"/>
                <w:left w:val="none" w:sz="0" w:space="0" w:color="auto"/>
                <w:bottom w:val="none" w:sz="0" w:space="0" w:color="auto"/>
                <w:right w:val="none" w:sz="0" w:space="0" w:color="auto"/>
              </w:divBdr>
            </w:div>
            <w:div w:id="15513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652">
      <w:bodyDiv w:val="1"/>
      <w:marLeft w:val="0"/>
      <w:marRight w:val="0"/>
      <w:marTop w:val="0"/>
      <w:marBottom w:val="0"/>
      <w:divBdr>
        <w:top w:val="none" w:sz="0" w:space="0" w:color="auto"/>
        <w:left w:val="none" w:sz="0" w:space="0" w:color="auto"/>
        <w:bottom w:val="none" w:sz="0" w:space="0" w:color="auto"/>
        <w:right w:val="none" w:sz="0" w:space="0" w:color="auto"/>
      </w:divBdr>
      <w:divsChild>
        <w:div w:id="50933658">
          <w:marLeft w:val="0"/>
          <w:marRight w:val="0"/>
          <w:marTop w:val="0"/>
          <w:marBottom w:val="0"/>
          <w:divBdr>
            <w:top w:val="none" w:sz="0" w:space="0" w:color="auto"/>
            <w:left w:val="none" w:sz="0" w:space="0" w:color="auto"/>
            <w:bottom w:val="none" w:sz="0" w:space="0" w:color="auto"/>
            <w:right w:val="none" w:sz="0" w:space="0" w:color="auto"/>
          </w:divBdr>
          <w:divsChild>
            <w:div w:id="1964339738">
              <w:marLeft w:val="0"/>
              <w:marRight w:val="0"/>
              <w:marTop w:val="0"/>
              <w:marBottom w:val="0"/>
              <w:divBdr>
                <w:top w:val="none" w:sz="0" w:space="0" w:color="auto"/>
                <w:left w:val="none" w:sz="0" w:space="0" w:color="auto"/>
                <w:bottom w:val="none" w:sz="0" w:space="0" w:color="auto"/>
                <w:right w:val="none" w:sz="0" w:space="0" w:color="auto"/>
              </w:divBdr>
            </w:div>
            <w:div w:id="2047488193">
              <w:marLeft w:val="0"/>
              <w:marRight w:val="0"/>
              <w:marTop w:val="0"/>
              <w:marBottom w:val="0"/>
              <w:divBdr>
                <w:top w:val="none" w:sz="0" w:space="0" w:color="auto"/>
                <w:left w:val="none" w:sz="0" w:space="0" w:color="auto"/>
                <w:bottom w:val="none" w:sz="0" w:space="0" w:color="auto"/>
                <w:right w:val="none" w:sz="0" w:space="0" w:color="auto"/>
              </w:divBdr>
            </w:div>
          </w:divsChild>
        </w:div>
        <w:div w:id="130640382">
          <w:marLeft w:val="0"/>
          <w:marRight w:val="0"/>
          <w:marTop w:val="0"/>
          <w:marBottom w:val="0"/>
          <w:divBdr>
            <w:top w:val="none" w:sz="0" w:space="0" w:color="auto"/>
            <w:left w:val="none" w:sz="0" w:space="0" w:color="auto"/>
            <w:bottom w:val="none" w:sz="0" w:space="0" w:color="auto"/>
            <w:right w:val="none" w:sz="0" w:space="0" w:color="auto"/>
          </w:divBdr>
          <w:divsChild>
            <w:div w:id="972247763">
              <w:marLeft w:val="0"/>
              <w:marRight w:val="0"/>
              <w:marTop w:val="0"/>
              <w:marBottom w:val="0"/>
              <w:divBdr>
                <w:top w:val="none" w:sz="0" w:space="0" w:color="auto"/>
                <w:left w:val="none" w:sz="0" w:space="0" w:color="auto"/>
                <w:bottom w:val="none" w:sz="0" w:space="0" w:color="auto"/>
                <w:right w:val="none" w:sz="0" w:space="0" w:color="auto"/>
              </w:divBdr>
            </w:div>
          </w:divsChild>
        </w:div>
        <w:div w:id="272327612">
          <w:marLeft w:val="0"/>
          <w:marRight w:val="0"/>
          <w:marTop w:val="0"/>
          <w:marBottom w:val="0"/>
          <w:divBdr>
            <w:top w:val="none" w:sz="0" w:space="0" w:color="auto"/>
            <w:left w:val="none" w:sz="0" w:space="0" w:color="auto"/>
            <w:bottom w:val="none" w:sz="0" w:space="0" w:color="auto"/>
            <w:right w:val="none" w:sz="0" w:space="0" w:color="auto"/>
          </w:divBdr>
          <w:divsChild>
            <w:div w:id="1759598035">
              <w:marLeft w:val="0"/>
              <w:marRight w:val="0"/>
              <w:marTop w:val="0"/>
              <w:marBottom w:val="0"/>
              <w:divBdr>
                <w:top w:val="none" w:sz="0" w:space="0" w:color="auto"/>
                <w:left w:val="none" w:sz="0" w:space="0" w:color="auto"/>
                <w:bottom w:val="none" w:sz="0" w:space="0" w:color="auto"/>
                <w:right w:val="none" w:sz="0" w:space="0" w:color="auto"/>
              </w:divBdr>
            </w:div>
          </w:divsChild>
        </w:div>
        <w:div w:id="367415910">
          <w:marLeft w:val="0"/>
          <w:marRight w:val="0"/>
          <w:marTop w:val="0"/>
          <w:marBottom w:val="0"/>
          <w:divBdr>
            <w:top w:val="none" w:sz="0" w:space="0" w:color="auto"/>
            <w:left w:val="none" w:sz="0" w:space="0" w:color="auto"/>
            <w:bottom w:val="none" w:sz="0" w:space="0" w:color="auto"/>
            <w:right w:val="none" w:sz="0" w:space="0" w:color="auto"/>
          </w:divBdr>
          <w:divsChild>
            <w:div w:id="977419229">
              <w:marLeft w:val="0"/>
              <w:marRight w:val="0"/>
              <w:marTop w:val="0"/>
              <w:marBottom w:val="0"/>
              <w:divBdr>
                <w:top w:val="none" w:sz="0" w:space="0" w:color="auto"/>
                <w:left w:val="none" w:sz="0" w:space="0" w:color="auto"/>
                <w:bottom w:val="none" w:sz="0" w:space="0" w:color="auto"/>
                <w:right w:val="none" w:sz="0" w:space="0" w:color="auto"/>
              </w:divBdr>
            </w:div>
          </w:divsChild>
        </w:div>
        <w:div w:id="438989085">
          <w:marLeft w:val="0"/>
          <w:marRight w:val="0"/>
          <w:marTop w:val="0"/>
          <w:marBottom w:val="0"/>
          <w:divBdr>
            <w:top w:val="none" w:sz="0" w:space="0" w:color="auto"/>
            <w:left w:val="none" w:sz="0" w:space="0" w:color="auto"/>
            <w:bottom w:val="none" w:sz="0" w:space="0" w:color="auto"/>
            <w:right w:val="none" w:sz="0" w:space="0" w:color="auto"/>
          </w:divBdr>
          <w:divsChild>
            <w:div w:id="686293076">
              <w:marLeft w:val="0"/>
              <w:marRight w:val="0"/>
              <w:marTop w:val="0"/>
              <w:marBottom w:val="0"/>
              <w:divBdr>
                <w:top w:val="none" w:sz="0" w:space="0" w:color="auto"/>
                <w:left w:val="none" w:sz="0" w:space="0" w:color="auto"/>
                <w:bottom w:val="none" w:sz="0" w:space="0" w:color="auto"/>
                <w:right w:val="none" w:sz="0" w:space="0" w:color="auto"/>
              </w:divBdr>
            </w:div>
          </w:divsChild>
        </w:div>
        <w:div w:id="694769729">
          <w:marLeft w:val="0"/>
          <w:marRight w:val="0"/>
          <w:marTop w:val="0"/>
          <w:marBottom w:val="0"/>
          <w:divBdr>
            <w:top w:val="none" w:sz="0" w:space="0" w:color="auto"/>
            <w:left w:val="none" w:sz="0" w:space="0" w:color="auto"/>
            <w:bottom w:val="none" w:sz="0" w:space="0" w:color="auto"/>
            <w:right w:val="none" w:sz="0" w:space="0" w:color="auto"/>
          </w:divBdr>
          <w:divsChild>
            <w:div w:id="1451587176">
              <w:marLeft w:val="0"/>
              <w:marRight w:val="0"/>
              <w:marTop w:val="0"/>
              <w:marBottom w:val="0"/>
              <w:divBdr>
                <w:top w:val="none" w:sz="0" w:space="0" w:color="auto"/>
                <w:left w:val="none" w:sz="0" w:space="0" w:color="auto"/>
                <w:bottom w:val="none" w:sz="0" w:space="0" w:color="auto"/>
                <w:right w:val="none" w:sz="0" w:space="0" w:color="auto"/>
              </w:divBdr>
            </w:div>
          </w:divsChild>
        </w:div>
        <w:div w:id="696002752">
          <w:marLeft w:val="0"/>
          <w:marRight w:val="0"/>
          <w:marTop w:val="0"/>
          <w:marBottom w:val="0"/>
          <w:divBdr>
            <w:top w:val="none" w:sz="0" w:space="0" w:color="auto"/>
            <w:left w:val="none" w:sz="0" w:space="0" w:color="auto"/>
            <w:bottom w:val="none" w:sz="0" w:space="0" w:color="auto"/>
            <w:right w:val="none" w:sz="0" w:space="0" w:color="auto"/>
          </w:divBdr>
          <w:divsChild>
            <w:div w:id="1935937244">
              <w:marLeft w:val="0"/>
              <w:marRight w:val="0"/>
              <w:marTop w:val="0"/>
              <w:marBottom w:val="0"/>
              <w:divBdr>
                <w:top w:val="none" w:sz="0" w:space="0" w:color="auto"/>
                <w:left w:val="none" w:sz="0" w:space="0" w:color="auto"/>
                <w:bottom w:val="none" w:sz="0" w:space="0" w:color="auto"/>
                <w:right w:val="none" w:sz="0" w:space="0" w:color="auto"/>
              </w:divBdr>
            </w:div>
          </w:divsChild>
        </w:div>
        <w:div w:id="762847107">
          <w:marLeft w:val="0"/>
          <w:marRight w:val="0"/>
          <w:marTop w:val="0"/>
          <w:marBottom w:val="0"/>
          <w:divBdr>
            <w:top w:val="none" w:sz="0" w:space="0" w:color="auto"/>
            <w:left w:val="none" w:sz="0" w:space="0" w:color="auto"/>
            <w:bottom w:val="none" w:sz="0" w:space="0" w:color="auto"/>
            <w:right w:val="none" w:sz="0" w:space="0" w:color="auto"/>
          </w:divBdr>
          <w:divsChild>
            <w:div w:id="237059424">
              <w:marLeft w:val="0"/>
              <w:marRight w:val="0"/>
              <w:marTop w:val="0"/>
              <w:marBottom w:val="0"/>
              <w:divBdr>
                <w:top w:val="none" w:sz="0" w:space="0" w:color="auto"/>
                <w:left w:val="none" w:sz="0" w:space="0" w:color="auto"/>
                <w:bottom w:val="none" w:sz="0" w:space="0" w:color="auto"/>
                <w:right w:val="none" w:sz="0" w:space="0" w:color="auto"/>
              </w:divBdr>
            </w:div>
          </w:divsChild>
        </w:div>
        <w:div w:id="785008393">
          <w:marLeft w:val="0"/>
          <w:marRight w:val="0"/>
          <w:marTop w:val="0"/>
          <w:marBottom w:val="0"/>
          <w:divBdr>
            <w:top w:val="none" w:sz="0" w:space="0" w:color="auto"/>
            <w:left w:val="none" w:sz="0" w:space="0" w:color="auto"/>
            <w:bottom w:val="none" w:sz="0" w:space="0" w:color="auto"/>
            <w:right w:val="none" w:sz="0" w:space="0" w:color="auto"/>
          </w:divBdr>
          <w:divsChild>
            <w:div w:id="466894078">
              <w:marLeft w:val="0"/>
              <w:marRight w:val="0"/>
              <w:marTop w:val="0"/>
              <w:marBottom w:val="0"/>
              <w:divBdr>
                <w:top w:val="none" w:sz="0" w:space="0" w:color="auto"/>
                <w:left w:val="none" w:sz="0" w:space="0" w:color="auto"/>
                <w:bottom w:val="none" w:sz="0" w:space="0" w:color="auto"/>
                <w:right w:val="none" w:sz="0" w:space="0" w:color="auto"/>
              </w:divBdr>
            </w:div>
            <w:div w:id="2095324226">
              <w:marLeft w:val="0"/>
              <w:marRight w:val="0"/>
              <w:marTop w:val="0"/>
              <w:marBottom w:val="0"/>
              <w:divBdr>
                <w:top w:val="none" w:sz="0" w:space="0" w:color="auto"/>
                <w:left w:val="none" w:sz="0" w:space="0" w:color="auto"/>
                <w:bottom w:val="none" w:sz="0" w:space="0" w:color="auto"/>
                <w:right w:val="none" w:sz="0" w:space="0" w:color="auto"/>
              </w:divBdr>
            </w:div>
          </w:divsChild>
        </w:div>
        <w:div w:id="802306877">
          <w:marLeft w:val="0"/>
          <w:marRight w:val="0"/>
          <w:marTop w:val="0"/>
          <w:marBottom w:val="0"/>
          <w:divBdr>
            <w:top w:val="none" w:sz="0" w:space="0" w:color="auto"/>
            <w:left w:val="none" w:sz="0" w:space="0" w:color="auto"/>
            <w:bottom w:val="none" w:sz="0" w:space="0" w:color="auto"/>
            <w:right w:val="none" w:sz="0" w:space="0" w:color="auto"/>
          </w:divBdr>
          <w:divsChild>
            <w:div w:id="564605680">
              <w:marLeft w:val="0"/>
              <w:marRight w:val="0"/>
              <w:marTop w:val="0"/>
              <w:marBottom w:val="0"/>
              <w:divBdr>
                <w:top w:val="none" w:sz="0" w:space="0" w:color="auto"/>
                <w:left w:val="none" w:sz="0" w:space="0" w:color="auto"/>
                <w:bottom w:val="none" w:sz="0" w:space="0" w:color="auto"/>
                <w:right w:val="none" w:sz="0" w:space="0" w:color="auto"/>
              </w:divBdr>
            </w:div>
          </w:divsChild>
        </w:div>
        <w:div w:id="977077588">
          <w:marLeft w:val="0"/>
          <w:marRight w:val="0"/>
          <w:marTop w:val="0"/>
          <w:marBottom w:val="0"/>
          <w:divBdr>
            <w:top w:val="none" w:sz="0" w:space="0" w:color="auto"/>
            <w:left w:val="none" w:sz="0" w:space="0" w:color="auto"/>
            <w:bottom w:val="none" w:sz="0" w:space="0" w:color="auto"/>
            <w:right w:val="none" w:sz="0" w:space="0" w:color="auto"/>
          </w:divBdr>
          <w:divsChild>
            <w:div w:id="92286010">
              <w:marLeft w:val="0"/>
              <w:marRight w:val="0"/>
              <w:marTop w:val="0"/>
              <w:marBottom w:val="0"/>
              <w:divBdr>
                <w:top w:val="none" w:sz="0" w:space="0" w:color="auto"/>
                <w:left w:val="none" w:sz="0" w:space="0" w:color="auto"/>
                <w:bottom w:val="none" w:sz="0" w:space="0" w:color="auto"/>
                <w:right w:val="none" w:sz="0" w:space="0" w:color="auto"/>
              </w:divBdr>
            </w:div>
          </w:divsChild>
        </w:div>
        <w:div w:id="994534109">
          <w:marLeft w:val="0"/>
          <w:marRight w:val="0"/>
          <w:marTop w:val="0"/>
          <w:marBottom w:val="0"/>
          <w:divBdr>
            <w:top w:val="none" w:sz="0" w:space="0" w:color="auto"/>
            <w:left w:val="none" w:sz="0" w:space="0" w:color="auto"/>
            <w:bottom w:val="none" w:sz="0" w:space="0" w:color="auto"/>
            <w:right w:val="none" w:sz="0" w:space="0" w:color="auto"/>
          </w:divBdr>
          <w:divsChild>
            <w:div w:id="1250695782">
              <w:marLeft w:val="0"/>
              <w:marRight w:val="0"/>
              <w:marTop w:val="0"/>
              <w:marBottom w:val="0"/>
              <w:divBdr>
                <w:top w:val="none" w:sz="0" w:space="0" w:color="auto"/>
                <w:left w:val="none" w:sz="0" w:space="0" w:color="auto"/>
                <w:bottom w:val="none" w:sz="0" w:space="0" w:color="auto"/>
                <w:right w:val="none" w:sz="0" w:space="0" w:color="auto"/>
              </w:divBdr>
            </w:div>
          </w:divsChild>
        </w:div>
        <w:div w:id="1032926880">
          <w:marLeft w:val="0"/>
          <w:marRight w:val="0"/>
          <w:marTop w:val="0"/>
          <w:marBottom w:val="0"/>
          <w:divBdr>
            <w:top w:val="none" w:sz="0" w:space="0" w:color="auto"/>
            <w:left w:val="none" w:sz="0" w:space="0" w:color="auto"/>
            <w:bottom w:val="none" w:sz="0" w:space="0" w:color="auto"/>
            <w:right w:val="none" w:sz="0" w:space="0" w:color="auto"/>
          </w:divBdr>
          <w:divsChild>
            <w:div w:id="1387606708">
              <w:marLeft w:val="0"/>
              <w:marRight w:val="0"/>
              <w:marTop w:val="0"/>
              <w:marBottom w:val="0"/>
              <w:divBdr>
                <w:top w:val="none" w:sz="0" w:space="0" w:color="auto"/>
                <w:left w:val="none" w:sz="0" w:space="0" w:color="auto"/>
                <w:bottom w:val="none" w:sz="0" w:space="0" w:color="auto"/>
                <w:right w:val="none" w:sz="0" w:space="0" w:color="auto"/>
              </w:divBdr>
            </w:div>
          </w:divsChild>
        </w:div>
        <w:div w:id="1089502460">
          <w:marLeft w:val="0"/>
          <w:marRight w:val="0"/>
          <w:marTop w:val="0"/>
          <w:marBottom w:val="0"/>
          <w:divBdr>
            <w:top w:val="none" w:sz="0" w:space="0" w:color="auto"/>
            <w:left w:val="none" w:sz="0" w:space="0" w:color="auto"/>
            <w:bottom w:val="none" w:sz="0" w:space="0" w:color="auto"/>
            <w:right w:val="none" w:sz="0" w:space="0" w:color="auto"/>
          </w:divBdr>
          <w:divsChild>
            <w:div w:id="1310133063">
              <w:marLeft w:val="0"/>
              <w:marRight w:val="0"/>
              <w:marTop w:val="0"/>
              <w:marBottom w:val="0"/>
              <w:divBdr>
                <w:top w:val="none" w:sz="0" w:space="0" w:color="auto"/>
                <w:left w:val="none" w:sz="0" w:space="0" w:color="auto"/>
                <w:bottom w:val="none" w:sz="0" w:space="0" w:color="auto"/>
                <w:right w:val="none" w:sz="0" w:space="0" w:color="auto"/>
              </w:divBdr>
            </w:div>
          </w:divsChild>
        </w:div>
        <w:div w:id="1430732264">
          <w:marLeft w:val="0"/>
          <w:marRight w:val="0"/>
          <w:marTop w:val="0"/>
          <w:marBottom w:val="0"/>
          <w:divBdr>
            <w:top w:val="none" w:sz="0" w:space="0" w:color="auto"/>
            <w:left w:val="none" w:sz="0" w:space="0" w:color="auto"/>
            <w:bottom w:val="none" w:sz="0" w:space="0" w:color="auto"/>
            <w:right w:val="none" w:sz="0" w:space="0" w:color="auto"/>
          </w:divBdr>
          <w:divsChild>
            <w:div w:id="758141987">
              <w:marLeft w:val="0"/>
              <w:marRight w:val="0"/>
              <w:marTop w:val="0"/>
              <w:marBottom w:val="0"/>
              <w:divBdr>
                <w:top w:val="none" w:sz="0" w:space="0" w:color="auto"/>
                <w:left w:val="none" w:sz="0" w:space="0" w:color="auto"/>
                <w:bottom w:val="none" w:sz="0" w:space="0" w:color="auto"/>
                <w:right w:val="none" w:sz="0" w:space="0" w:color="auto"/>
              </w:divBdr>
            </w:div>
          </w:divsChild>
        </w:div>
        <w:div w:id="1536194222">
          <w:marLeft w:val="0"/>
          <w:marRight w:val="0"/>
          <w:marTop w:val="0"/>
          <w:marBottom w:val="0"/>
          <w:divBdr>
            <w:top w:val="none" w:sz="0" w:space="0" w:color="auto"/>
            <w:left w:val="none" w:sz="0" w:space="0" w:color="auto"/>
            <w:bottom w:val="none" w:sz="0" w:space="0" w:color="auto"/>
            <w:right w:val="none" w:sz="0" w:space="0" w:color="auto"/>
          </w:divBdr>
          <w:divsChild>
            <w:div w:id="2116168279">
              <w:marLeft w:val="0"/>
              <w:marRight w:val="0"/>
              <w:marTop w:val="0"/>
              <w:marBottom w:val="0"/>
              <w:divBdr>
                <w:top w:val="none" w:sz="0" w:space="0" w:color="auto"/>
                <w:left w:val="none" w:sz="0" w:space="0" w:color="auto"/>
                <w:bottom w:val="none" w:sz="0" w:space="0" w:color="auto"/>
                <w:right w:val="none" w:sz="0" w:space="0" w:color="auto"/>
              </w:divBdr>
            </w:div>
          </w:divsChild>
        </w:div>
        <w:div w:id="1675297325">
          <w:marLeft w:val="0"/>
          <w:marRight w:val="0"/>
          <w:marTop w:val="0"/>
          <w:marBottom w:val="0"/>
          <w:divBdr>
            <w:top w:val="none" w:sz="0" w:space="0" w:color="auto"/>
            <w:left w:val="none" w:sz="0" w:space="0" w:color="auto"/>
            <w:bottom w:val="none" w:sz="0" w:space="0" w:color="auto"/>
            <w:right w:val="none" w:sz="0" w:space="0" w:color="auto"/>
          </w:divBdr>
          <w:divsChild>
            <w:div w:id="450516640">
              <w:marLeft w:val="0"/>
              <w:marRight w:val="0"/>
              <w:marTop w:val="0"/>
              <w:marBottom w:val="0"/>
              <w:divBdr>
                <w:top w:val="none" w:sz="0" w:space="0" w:color="auto"/>
                <w:left w:val="none" w:sz="0" w:space="0" w:color="auto"/>
                <w:bottom w:val="none" w:sz="0" w:space="0" w:color="auto"/>
                <w:right w:val="none" w:sz="0" w:space="0" w:color="auto"/>
              </w:divBdr>
            </w:div>
          </w:divsChild>
        </w:div>
        <w:div w:id="1699039479">
          <w:marLeft w:val="0"/>
          <w:marRight w:val="0"/>
          <w:marTop w:val="0"/>
          <w:marBottom w:val="0"/>
          <w:divBdr>
            <w:top w:val="none" w:sz="0" w:space="0" w:color="auto"/>
            <w:left w:val="none" w:sz="0" w:space="0" w:color="auto"/>
            <w:bottom w:val="none" w:sz="0" w:space="0" w:color="auto"/>
            <w:right w:val="none" w:sz="0" w:space="0" w:color="auto"/>
          </w:divBdr>
          <w:divsChild>
            <w:div w:id="1407265714">
              <w:marLeft w:val="0"/>
              <w:marRight w:val="0"/>
              <w:marTop w:val="0"/>
              <w:marBottom w:val="0"/>
              <w:divBdr>
                <w:top w:val="none" w:sz="0" w:space="0" w:color="auto"/>
                <w:left w:val="none" w:sz="0" w:space="0" w:color="auto"/>
                <w:bottom w:val="none" w:sz="0" w:space="0" w:color="auto"/>
                <w:right w:val="none" w:sz="0" w:space="0" w:color="auto"/>
              </w:divBdr>
            </w:div>
          </w:divsChild>
        </w:div>
        <w:div w:id="1842116501">
          <w:marLeft w:val="0"/>
          <w:marRight w:val="0"/>
          <w:marTop w:val="0"/>
          <w:marBottom w:val="0"/>
          <w:divBdr>
            <w:top w:val="none" w:sz="0" w:space="0" w:color="auto"/>
            <w:left w:val="none" w:sz="0" w:space="0" w:color="auto"/>
            <w:bottom w:val="none" w:sz="0" w:space="0" w:color="auto"/>
            <w:right w:val="none" w:sz="0" w:space="0" w:color="auto"/>
          </w:divBdr>
          <w:divsChild>
            <w:div w:id="2028632726">
              <w:marLeft w:val="0"/>
              <w:marRight w:val="0"/>
              <w:marTop w:val="0"/>
              <w:marBottom w:val="0"/>
              <w:divBdr>
                <w:top w:val="none" w:sz="0" w:space="0" w:color="auto"/>
                <w:left w:val="none" w:sz="0" w:space="0" w:color="auto"/>
                <w:bottom w:val="none" w:sz="0" w:space="0" w:color="auto"/>
                <w:right w:val="none" w:sz="0" w:space="0" w:color="auto"/>
              </w:divBdr>
            </w:div>
          </w:divsChild>
        </w:div>
        <w:div w:id="1869564002">
          <w:marLeft w:val="0"/>
          <w:marRight w:val="0"/>
          <w:marTop w:val="0"/>
          <w:marBottom w:val="0"/>
          <w:divBdr>
            <w:top w:val="none" w:sz="0" w:space="0" w:color="auto"/>
            <w:left w:val="none" w:sz="0" w:space="0" w:color="auto"/>
            <w:bottom w:val="none" w:sz="0" w:space="0" w:color="auto"/>
            <w:right w:val="none" w:sz="0" w:space="0" w:color="auto"/>
          </w:divBdr>
          <w:divsChild>
            <w:div w:id="1286237628">
              <w:marLeft w:val="0"/>
              <w:marRight w:val="0"/>
              <w:marTop w:val="0"/>
              <w:marBottom w:val="0"/>
              <w:divBdr>
                <w:top w:val="none" w:sz="0" w:space="0" w:color="auto"/>
                <w:left w:val="none" w:sz="0" w:space="0" w:color="auto"/>
                <w:bottom w:val="none" w:sz="0" w:space="0" w:color="auto"/>
                <w:right w:val="none" w:sz="0" w:space="0" w:color="auto"/>
              </w:divBdr>
            </w:div>
          </w:divsChild>
        </w:div>
        <w:div w:id="1998068239">
          <w:marLeft w:val="0"/>
          <w:marRight w:val="0"/>
          <w:marTop w:val="0"/>
          <w:marBottom w:val="0"/>
          <w:divBdr>
            <w:top w:val="none" w:sz="0" w:space="0" w:color="auto"/>
            <w:left w:val="none" w:sz="0" w:space="0" w:color="auto"/>
            <w:bottom w:val="none" w:sz="0" w:space="0" w:color="auto"/>
            <w:right w:val="none" w:sz="0" w:space="0" w:color="auto"/>
          </w:divBdr>
          <w:divsChild>
            <w:div w:id="598559505">
              <w:marLeft w:val="0"/>
              <w:marRight w:val="0"/>
              <w:marTop w:val="0"/>
              <w:marBottom w:val="0"/>
              <w:divBdr>
                <w:top w:val="none" w:sz="0" w:space="0" w:color="auto"/>
                <w:left w:val="none" w:sz="0" w:space="0" w:color="auto"/>
                <w:bottom w:val="none" w:sz="0" w:space="0" w:color="auto"/>
                <w:right w:val="none" w:sz="0" w:space="0" w:color="auto"/>
              </w:divBdr>
            </w:div>
          </w:divsChild>
        </w:div>
        <w:div w:id="2052142462">
          <w:marLeft w:val="0"/>
          <w:marRight w:val="0"/>
          <w:marTop w:val="0"/>
          <w:marBottom w:val="0"/>
          <w:divBdr>
            <w:top w:val="none" w:sz="0" w:space="0" w:color="auto"/>
            <w:left w:val="none" w:sz="0" w:space="0" w:color="auto"/>
            <w:bottom w:val="none" w:sz="0" w:space="0" w:color="auto"/>
            <w:right w:val="none" w:sz="0" w:space="0" w:color="auto"/>
          </w:divBdr>
          <w:divsChild>
            <w:div w:id="1366564239">
              <w:marLeft w:val="0"/>
              <w:marRight w:val="0"/>
              <w:marTop w:val="0"/>
              <w:marBottom w:val="0"/>
              <w:divBdr>
                <w:top w:val="none" w:sz="0" w:space="0" w:color="auto"/>
                <w:left w:val="none" w:sz="0" w:space="0" w:color="auto"/>
                <w:bottom w:val="none" w:sz="0" w:space="0" w:color="auto"/>
                <w:right w:val="none" w:sz="0" w:space="0" w:color="auto"/>
              </w:divBdr>
            </w:div>
          </w:divsChild>
        </w:div>
        <w:div w:id="2085881587">
          <w:marLeft w:val="0"/>
          <w:marRight w:val="0"/>
          <w:marTop w:val="0"/>
          <w:marBottom w:val="0"/>
          <w:divBdr>
            <w:top w:val="none" w:sz="0" w:space="0" w:color="auto"/>
            <w:left w:val="none" w:sz="0" w:space="0" w:color="auto"/>
            <w:bottom w:val="none" w:sz="0" w:space="0" w:color="auto"/>
            <w:right w:val="none" w:sz="0" w:space="0" w:color="auto"/>
          </w:divBdr>
          <w:divsChild>
            <w:div w:id="101534031">
              <w:marLeft w:val="0"/>
              <w:marRight w:val="0"/>
              <w:marTop w:val="0"/>
              <w:marBottom w:val="0"/>
              <w:divBdr>
                <w:top w:val="none" w:sz="0" w:space="0" w:color="auto"/>
                <w:left w:val="none" w:sz="0" w:space="0" w:color="auto"/>
                <w:bottom w:val="none" w:sz="0" w:space="0" w:color="auto"/>
                <w:right w:val="none" w:sz="0" w:space="0" w:color="auto"/>
              </w:divBdr>
            </w:div>
          </w:divsChild>
        </w:div>
        <w:div w:id="2114546899">
          <w:marLeft w:val="0"/>
          <w:marRight w:val="0"/>
          <w:marTop w:val="0"/>
          <w:marBottom w:val="0"/>
          <w:divBdr>
            <w:top w:val="none" w:sz="0" w:space="0" w:color="auto"/>
            <w:left w:val="none" w:sz="0" w:space="0" w:color="auto"/>
            <w:bottom w:val="none" w:sz="0" w:space="0" w:color="auto"/>
            <w:right w:val="none" w:sz="0" w:space="0" w:color="auto"/>
          </w:divBdr>
          <w:divsChild>
            <w:div w:id="13549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619">
      <w:bodyDiv w:val="1"/>
      <w:marLeft w:val="0"/>
      <w:marRight w:val="0"/>
      <w:marTop w:val="0"/>
      <w:marBottom w:val="0"/>
      <w:divBdr>
        <w:top w:val="none" w:sz="0" w:space="0" w:color="auto"/>
        <w:left w:val="none" w:sz="0" w:space="0" w:color="auto"/>
        <w:bottom w:val="none" w:sz="0" w:space="0" w:color="auto"/>
        <w:right w:val="none" w:sz="0" w:space="0" w:color="auto"/>
      </w:divBdr>
      <w:divsChild>
        <w:div w:id="166679861">
          <w:marLeft w:val="0"/>
          <w:marRight w:val="0"/>
          <w:marTop w:val="0"/>
          <w:marBottom w:val="0"/>
          <w:divBdr>
            <w:top w:val="none" w:sz="0" w:space="0" w:color="auto"/>
            <w:left w:val="none" w:sz="0" w:space="0" w:color="auto"/>
            <w:bottom w:val="none" w:sz="0" w:space="0" w:color="auto"/>
            <w:right w:val="none" w:sz="0" w:space="0" w:color="auto"/>
          </w:divBdr>
          <w:divsChild>
            <w:div w:id="1489402388">
              <w:marLeft w:val="0"/>
              <w:marRight w:val="0"/>
              <w:marTop w:val="0"/>
              <w:marBottom w:val="0"/>
              <w:divBdr>
                <w:top w:val="none" w:sz="0" w:space="0" w:color="auto"/>
                <w:left w:val="none" w:sz="0" w:space="0" w:color="auto"/>
                <w:bottom w:val="none" w:sz="0" w:space="0" w:color="auto"/>
                <w:right w:val="none" w:sz="0" w:space="0" w:color="auto"/>
              </w:divBdr>
            </w:div>
          </w:divsChild>
        </w:div>
        <w:div w:id="233980377">
          <w:marLeft w:val="0"/>
          <w:marRight w:val="0"/>
          <w:marTop w:val="0"/>
          <w:marBottom w:val="0"/>
          <w:divBdr>
            <w:top w:val="none" w:sz="0" w:space="0" w:color="auto"/>
            <w:left w:val="none" w:sz="0" w:space="0" w:color="auto"/>
            <w:bottom w:val="none" w:sz="0" w:space="0" w:color="auto"/>
            <w:right w:val="none" w:sz="0" w:space="0" w:color="auto"/>
          </w:divBdr>
          <w:divsChild>
            <w:div w:id="898251173">
              <w:marLeft w:val="0"/>
              <w:marRight w:val="0"/>
              <w:marTop w:val="0"/>
              <w:marBottom w:val="0"/>
              <w:divBdr>
                <w:top w:val="none" w:sz="0" w:space="0" w:color="auto"/>
                <w:left w:val="none" w:sz="0" w:space="0" w:color="auto"/>
                <w:bottom w:val="none" w:sz="0" w:space="0" w:color="auto"/>
                <w:right w:val="none" w:sz="0" w:space="0" w:color="auto"/>
              </w:divBdr>
            </w:div>
          </w:divsChild>
        </w:div>
        <w:div w:id="319116473">
          <w:marLeft w:val="0"/>
          <w:marRight w:val="0"/>
          <w:marTop w:val="0"/>
          <w:marBottom w:val="0"/>
          <w:divBdr>
            <w:top w:val="none" w:sz="0" w:space="0" w:color="auto"/>
            <w:left w:val="none" w:sz="0" w:space="0" w:color="auto"/>
            <w:bottom w:val="none" w:sz="0" w:space="0" w:color="auto"/>
            <w:right w:val="none" w:sz="0" w:space="0" w:color="auto"/>
          </w:divBdr>
          <w:divsChild>
            <w:div w:id="789856037">
              <w:marLeft w:val="0"/>
              <w:marRight w:val="0"/>
              <w:marTop w:val="0"/>
              <w:marBottom w:val="0"/>
              <w:divBdr>
                <w:top w:val="none" w:sz="0" w:space="0" w:color="auto"/>
                <w:left w:val="none" w:sz="0" w:space="0" w:color="auto"/>
                <w:bottom w:val="none" w:sz="0" w:space="0" w:color="auto"/>
                <w:right w:val="none" w:sz="0" w:space="0" w:color="auto"/>
              </w:divBdr>
            </w:div>
          </w:divsChild>
        </w:div>
        <w:div w:id="376321065">
          <w:marLeft w:val="0"/>
          <w:marRight w:val="0"/>
          <w:marTop w:val="0"/>
          <w:marBottom w:val="0"/>
          <w:divBdr>
            <w:top w:val="none" w:sz="0" w:space="0" w:color="auto"/>
            <w:left w:val="none" w:sz="0" w:space="0" w:color="auto"/>
            <w:bottom w:val="none" w:sz="0" w:space="0" w:color="auto"/>
            <w:right w:val="none" w:sz="0" w:space="0" w:color="auto"/>
          </w:divBdr>
          <w:divsChild>
            <w:div w:id="1388187896">
              <w:marLeft w:val="0"/>
              <w:marRight w:val="0"/>
              <w:marTop w:val="0"/>
              <w:marBottom w:val="0"/>
              <w:divBdr>
                <w:top w:val="none" w:sz="0" w:space="0" w:color="auto"/>
                <w:left w:val="none" w:sz="0" w:space="0" w:color="auto"/>
                <w:bottom w:val="none" w:sz="0" w:space="0" w:color="auto"/>
                <w:right w:val="none" w:sz="0" w:space="0" w:color="auto"/>
              </w:divBdr>
            </w:div>
          </w:divsChild>
        </w:div>
        <w:div w:id="527985513">
          <w:marLeft w:val="0"/>
          <w:marRight w:val="0"/>
          <w:marTop w:val="0"/>
          <w:marBottom w:val="0"/>
          <w:divBdr>
            <w:top w:val="none" w:sz="0" w:space="0" w:color="auto"/>
            <w:left w:val="none" w:sz="0" w:space="0" w:color="auto"/>
            <w:bottom w:val="none" w:sz="0" w:space="0" w:color="auto"/>
            <w:right w:val="none" w:sz="0" w:space="0" w:color="auto"/>
          </w:divBdr>
          <w:divsChild>
            <w:div w:id="1867135531">
              <w:marLeft w:val="0"/>
              <w:marRight w:val="0"/>
              <w:marTop w:val="0"/>
              <w:marBottom w:val="0"/>
              <w:divBdr>
                <w:top w:val="none" w:sz="0" w:space="0" w:color="auto"/>
                <w:left w:val="none" w:sz="0" w:space="0" w:color="auto"/>
                <w:bottom w:val="none" w:sz="0" w:space="0" w:color="auto"/>
                <w:right w:val="none" w:sz="0" w:space="0" w:color="auto"/>
              </w:divBdr>
            </w:div>
          </w:divsChild>
        </w:div>
        <w:div w:id="563948295">
          <w:marLeft w:val="0"/>
          <w:marRight w:val="0"/>
          <w:marTop w:val="0"/>
          <w:marBottom w:val="0"/>
          <w:divBdr>
            <w:top w:val="none" w:sz="0" w:space="0" w:color="auto"/>
            <w:left w:val="none" w:sz="0" w:space="0" w:color="auto"/>
            <w:bottom w:val="none" w:sz="0" w:space="0" w:color="auto"/>
            <w:right w:val="none" w:sz="0" w:space="0" w:color="auto"/>
          </w:divBdr>
          <w:divsChild>
            <w:div w:id="744378541">
              <w:marLeft w:val="0"/>
              <w:marRight w:val="0"/>
              <w:marTop w:val="0"/>
              <w:marBottom w:val="0"/>
              <w:divBdr>
                <w:top w:val="none" w:sz="0" w:space="0" w:color="auto"/>
                <w:left w:val="none" w:sz="0" w:space="0" w:color="auto"/>
                <w:bottom w:val="none" w:sz="0" w:space="0" w:color="auto"/>
                <w:right w:val="none" w:sz="0" w:space="0" w:color="auto"/>
              </w:divBdr>
            </w:div>
          </w:divsChild>
        </w:div>
        <w:div w:id="585530546">
          <w:marLeft w:val="0"/>
          <w:marRight w:val="0"/>
          <w:marTop w:val="0"/>
          <w:marBottom w:val="0"/>
          <w:divBdr>
            <w:top w:val="none" w:sz="0" w:space="0" w:color="auto"/>
            <w:left w:val="none" w:sz="0" w:space="0" w:color="auto"/>
            <w:bottom w:val="none" w:sz="0" w:space="0" w:color="auto"/>
            <w:right w:val="none" w:sz="0" w:space="0" w:color="auto"/>
          </w:divBdr>
          <w:divsChild>
            <w:div w:id="1384251499">
              <w:marLeft w:val="0"/>
              <w:marRight w:val="0"/>
              <w:marTop w:val="0"/>
              <w:marBottom w:val="0"/>
              <w:divBdr>
                <w:top w:val="none" w:sz="0" w:space="0" w:color="auto"/>
                <w:left w:val="none" w:sz="0" w:space="0" w:color="auto"/>
                <w:bottom w:val="none" w:sz="0" w:space="0" w:color="auto"/>
                <w:right w:val="none" w:sz="0" w:space="0" w:color="auto"/>
              </w:divBdr>
            </w:div>
          </w:divsChild>
        </w:div>
        <w:div w:id="724573821">
          <w:marLeft w:val="0"/>
          <w:marRight w:val="0"/>
          <w:marTop w:val="0"/>
          <w:marBottom w:val="0"/>
          <w:divBdr>
            <w:top w:val="none" w:sz="0" w:space="0" w:color="auto"/>
            <w:left w:val="none" w:sz="0" w:space="0" w:color="auto"/>
            <w:bottom w:val="none" w:sz="0" w:space="0" w:color="auto"/>
            <w:right w:val="none" w:sz="0" w:space="0" w:color="auto"/>
          </w:divBdr>
          <w:divsChild>
            <w:div w:id="1761902355">
              <w:marLeft w:val="0"/>
              <w:marRight w:val="0"/>
              <w:marTop w:val="0"/>
              <w:marBottom w:val="0"/>
              <w:divBdr>
                <w:top w:val="none" w:sz="0" w:space="0" w:color="auto"/>
                <w:left w:val="none" w:sz="0" w:space="0" w:color="auto"/>
                <w:bottom w:val="none" w:sz="0" w:space="0" w:color="auto"/>
                <w:right w:val="none" w:sz="0" w:space="0" w:color="auto"/>
              </w:divBdr>
            </w:div>
          </w:divsChild>
        </w:div>
        <w:div w:id="809982895">
          <w:marLeft w:val="0"/>
          <w:marRight w:val="0"/>
          <w:marTop w:val="0"/>
          <w:marBottom w:val="0"/>
          <w:divBdr>
            <w:top w:val="none" w:sz="0" w:space="0" w:color="auto"/>
            <w:left w:val="none" w:sz="0" w:space="0" w:color="auto"/>
            <w:bottom w:val="none" w:sz="0" w:space="0" w:color="auto"/>
            <w:right w:val="none" w:sz="0" w:space="0" w:color="auto"/>
          </w:divBdr>
          <w:divsChild>
            <w:div w:id="1213230175">
              <w:marLeft w:val="0"/>
              <w:marRight w:val="0"/>
              <w:marTop w:val="0"/>
              <w:marBottom w:val="0"/>
              <w:divBdr>
                <w:top w:val="none" w:sz="0" w:space="0" w:color="auto"/>
                <w:left w:val="none" w:sz="0" w:space="0" w:color="auto"/>
                <w:bottom w:val="none" w:sz="0" w:space="0" w:color="auto"/>
                <w:right w:val="none" w:sz="0" w:space="0" w:color="auto"/>
              </w:divBdr>
            </w:div>
          </w:divsChild>
        </w:div>
        <w:div w:id="848251837">
          <w:marLeft w:val="0"/>
          <w:marRight w:val="0"/>
          <w:marTop w:val="0"/>
          <w:marBottom w:val="0"/>
          <w:divBdr>
            <w:top w:val="none" w:sz="0" w:space="0" w:color="auto"/>
            <w:left w:val="none" w:sz="0" w:space="0" w:color="auto"/>
            <w:bottom w:val="none" w:sz="0" w:space="0" w:color="auto"/>
            <w:right w:val="none" w:sz="0" w:space="0" w:color="auto"/>
          </w:divBdr>
          <w:divsChild>
            <w:div w:id="403531138">
              <w:marLeft w:val="0"/>
              <w:marRight w:val="0"/>
              <w:marTop w:val="0"/>
              <w:marBottom w:val="0"/>
              <w:divBdr>
                <w:top w:val="none" w:sz="0" w:space="0" w:color="auto"/>
                <w:left w:val="none" w:sz="0" w:space="0" w:color="auto"/>
                <w:bottom w:val="none" w:sz="0" w:space="0" w:color="auto"/>
                <w:right w:val="none" w:sz="0" w:space="0" w:color="auto"/>
              </w:divBdr>
            </w:div>
            <w:div w:id="1118185172">
              <w:marLeft w:val="0"/>
              <w:marRight w:val="0"/>
              <w:marTop w:val="0"/>
              <w:marBottom w:val="0"/>
              <w:divBdr>
                <w:top w:val="none" w:sz="0" w:space="0" w:color="auto"/>
                <w:left w:val="none" w:sz="0" w:space="0" w:color="auto"/>
                <w:bottom w:val="none" w:sz="0" w:space="0" w:color="auto"/>
                <w:right w:val="none" w:sz="0" w:space="0" w:color="auto"/>
              </w:divBdr>
            </w:div>
            <w:div w:id="1478033893">
              <w:marLeft w:val="0"/>
              <w:marRight w:val="0"/>
              <w:marTop w:val="0"/>
              <w:marBottom w:val="0"/>
              <w:divBdr>
                <w:top w:val="none" w:sz="0" w:space="0" w:color="auto"/>
                <w:left w:val="none" w:sz="0" w:space="0" w:color="auto"/>
                <w:bottom w:val="none" w:sz="0" w:space="0" w:color="auto"/>
                <w:right w:val="none" w:sz="0" w:space="0" w:color="auto"/>
              </w:divBdr>
            </w:div>
          </w:divsChild>
        </w:div>
        <w:div w:id="951976076">
          <w:marLeft w:val="0"/>
          <w:marRight w:val="0"/>
          <w:marTop w:val="0"/>
          <w:marBottom w:val="0"/>
          <w:divBdr>
            <w:top w:val="none" w:sz="0" w:space="0" w:color="auto"/>
            <w:left w:val="none" w:sz="0" w:space="0" w:color="auto"/>
            <w:bottom w:val="none" w:sz="0" w:space="0" w:color="auto"/>
            <w:right w:val="none" w:sz="0" w:space="0" w:color="auto"/>
          </w:divBdr>
          <w:divsChild>
            <w:div w:id="499007817">
              <w:marLeft w:val="0"/>
              <w:marRight w:val="0"/>
              <w:marTop w:val="0"/>
              <w:marBottom w:val="0"/>
              <w:divBdr>
                <w:top w:val="none" w:sz="0" w:space="0" w:color="auto"/>
                <w:left w:val="none" w:sz="0" w:space="0" w:color="auto"/>
                <w:bottom w:val="none" w:sz="0" w:space="0" w:color="auto"/>
                <w:right w:val="none" w:sz="0" w:space="0" w:color="auto"/>
              </w:divBdr>
            </w:div>
          </w:divsChild>
        </w:div>
        <w:div w:id="985209480">
          <w:marLeft w:val="0"/>
          <w:marRight w:val="0"/>
          <w:marTop w:val="0"/>
          <w:marBottom w:val="0"/>
          <w:divBdr>
            <w:top w:val="none" w:sz="0" w:space="0" w:color="auto"/>
            <w:left w:val="none" w:sz="0" w:space="0" w:color="auto"/>
            <w:bottom w:val="none" w:sz="0" w:space="0" w:color="auto"/>
            <w:right w:val="none" w:sz="0" w:space="0" w:color="auto"/>
          </w:divBdr>
          <w:divsChild>
            <w:div w:id="252513893">
              <w:marLeft w:val="0"/>
              <w:marRight w:val="0"/>
              <w:marTop w:val="0"/>
              <w:marBottom w:val="0"/>
              <w:divBdr>
                <w:top w:val="none" w:sz="0" w:space="0" w:color="auto"/>
                <w:left w:val="none" w:sz="0" w:space="0" w:color="auto"/>
                <w:bottom w:val="none" w:sz="0" w:space="0" w:color="auto"/>
                <w:right w:val="none" w:sz="0" w:space="0" w:color="auto"/>
              </w:divBdr>
            </w:div>
          </w:divsChild>
        </w:div>
        <w:div w:id="1079523864">
          <w:marLeft w:val="0"/>
          <w:marRight w:val="0"/>
          <w:marTop w:val="0"/>
          <w:marBottom w:val="0"/>
          <w:divBdr>
            <w:top w:val="none" w:sz="0" w:space="0" w:color="auto"/>
            <w:left w:val="none" w:sz="0" w:space="0" w:color="auto"/>
            <w:bottom w:val="none" w:sz="0" w:space="0" w:color="auto"/>
            <w:right w:val="none" w:sz="0" w:space="0" w:color="auto"/>
          </w:divBdr>
          <w:divsChild>
            <w:div w:id="2059209220">
              <w:marLeft w:val="0"/>
              <w:marRight w:val="0"/>
              <w:marTop w:val="0"/>
              <w:marBottom w:val="0"/>
              <w:divBdr>
                <w:top w:val="none" w:sz="0" w:space="0" w:color="auto"/>
                <w:left w:val="none" w:sz="0" w:space="0" w:color="auto"/>
                <w:bottom w:val="none" w:sz="0" w:space="0" w:color="auto"/>
                <w:right w:val="none" w:sz="0" w:space="0" w:color="auto"/>
              </w:divBdr>
            </w:div>
          </w:divsChild>
        </w:div>
        <w:div w:id="1096366680">
          <w:marLeft w:val="0"/>
          <w:marRight w:val="0"/>
          <w:marTop w:val="0"/>
          <w:marBottom w:val="0"/>
          <w:divBdr>
            <w:top w:val="none" w:sz="0" w:space="0" w:color="auto"/>
            <w:left w:val="none" w:sz="0" w:space="0" w:color="auto"/>
            <w:bottom w:val="none" w:sz="0" w:space="0" w:color="auto"/>
            <w:right w:val="none" w:sz="0" w:space="0" w:color="auto"/>
          </w:divBdr>
          <w:divsChild>
            <w:div w:id="1739553906">
              <w:marLeft w:val="0"/>
              <w:marRight w:val="0"/>
              <w:marTop w:val="0"/>
              <w:marBottom w:val="0"/>
              <w:divBdr>
                <w:top w:val="none" w:sz="0" w:space="0" w:color="auto"/>
                <w:left w:val="none" w:sz="0" w:space="0" w:color="auto"/>
                <w:bottom w:val="none" w:sz="0" w:space="0" w:color="auto"/>
                <w:right w:val="none" w:sz="0" w:space="0" w:color="auto"/>
              </w:divBdr>
            </w:div>
          </w:divsChild>
        </w:div>
        <w:div w:id="1126849783">
          <w:marLeft w:val="0"/>
          <w:marRight w:val="0"/>
          <w:marTop w:val="0"/>
          <w:marBottom w:val="0"/>
          <w:divBdr>
            <w:top w:val="none" w:sz="0" w:space="0" w:color="auto"/>
            <w:left w:val="none" w:sz="0" w:space="0" w:color="auto"/>
            <w:bottom w:val="none" w:sz="0" w:space="0" w:color="auto"/>
            <w:right w:val="none" w:sz="0" w:space="0" w:color="auto"/>
          </w:divBdr>
          <w:divsChild>
            <w:div w:id="305863163">
              <w:marLeft w:val="0"/>
              <w:marRight w:val="0"/>
              <w:marTop w:val="0"/>
              <w:marBottom w:val="0"/>
              <w:divBdr>
                <w:top w:val="none" w:sz="0" w:space="0" w:color="auto"/>
                <w:left w:val="none" w:sz="0" w:space="0" w:color="auto"/>
                <w:bottom w:val="none" w:sz="0" w:space="0" w:color="auto"/>
                <w:right w:val="none" w:sz="0" w:space="0" w:color="auto"/>
              </w:divBdr>
            </w:div>
          </w:divsChild>
        </w:div>
        <w:div w:id="1140999994">
          <w:marLeft w:val="0"/>
          <w:marRight w:val="0"/>
          <w:marTop w:val="0"/>
          <w:marBottom w:val="0"/>
          <w:divBdr>
            <w:top w:val="none" w:sz="0" w:space="0" w:color="auto"/>
            <w:left w:val="none" w:sz="0" w:space="0" w:color="auto"/>
            <w:bottom w:val="none" w:sz="0" w:space="0" w:color="auto"/>
            <w:right w:val="none" w:sz="0" w:space="0" w:color="auto"/>
          </w:divBdr>
          <w:divsChild>
            <w:div w:id="2063362741">
              <w:marLeft w:val="0"/>
              <w:marRight w:val="0"/>
              <w:marTop w:val="0"/>
              <w:marBottom w:val="0"/>
              <w:divBdr>
                <w:top w:val="none" w:sz="0" w:space="0" w:color="auto"/>
                <w:left w:val="none" w:sz="0" w:space="0" w:color="auto"/>
                <w:bottom w:val="none" w:sz="0" w:space="0" w:color="auto"/>
                <w:right w:val="none" w:sz="0" w:space="0" w:color="auto"/>
              </w:divBdr>
            </w:div>
          </w:divsChild>
        </w:div>
        <w:div w:id="1166095664">
          <w:marLeft w:val="0"/>
          <w:marRight w:val="0"/>
          <w:marTop w:val="0"/>
          <w:marBottom w:val="0"/>
          <w:divBdr>
            <w:top w:val="none" w:sz="0" w:space="0" w:color="auto"/>
            <w:left w:val="none" w:sz="0" w:space="0" w:color="auto"/>
            <w:bottom w:val="none" w:sz="0" w:space="0" w:color="auto"/>
            <w:right w:val="none" w:sz="0" w:space="0" w:color="auto"/>
          </w:divBdr>
          <w:divsChild>
            <w:div w:id="1115490707">
              <w:marLeft w:val="0"/>
              <w:marRight w:val="0"/>
              <w:marTop w:val="0"/>
              <w:marBottom w:val="0"/>
              <w:divBdr>
                <w:top w:val="none" w:sz="0" w:space="0" w:color="auto"/>
                <w:left w:val="none" w:sz="0" w:space="0" w:color="auto"/>
                <w:bottom w:val="none" w:sz="0" w:space="0" w:color="auto"/>
                <w:right w:val="none" w:sz="0" w:space="0" w:color="auto"/>
              </w:divBdr>
            </w:div>
          </w:divsChild>
        </w:div>
        <w:div w:id="1254850453">
          <w:marLeft w:val="0"/>
          <w:marRight w:val="0"/>
          <w:marTop w:val="0"/>
          <w:marBottom w:val="0"/>
          <w:divBdr>
            <w:top w:val="none" w:sz="0" w:space="0" w:color="auto"/>
            <w:left w:val="none" w:sz="0" w:space="0" w:color="auto"/>
            <w:bottom w:val="none" w:sz="0" w:space="0" w:color="auto"/>
            <w:right w:val="none" w:sz="0" w:space="0" w:color="auto"/>
          </w:divBdr>
          <w:divsChild>
            <w:div w:id="883830333">
              <w:marLeft w:val="0"/>
              <w:marRight w:val="0"/>
              <w:marTop w:val="0"/>
              <w:marBottom w:val="0"/>
              <w:divBdr>
                <w:top w:val="none" w:sz="0" w:space="0" w:color="auto"/>
                <w:left w:val="none" w:sz="0" w:space="0" w:color="auto"/>
                <w:bottom w:val="none" w:sz="0" w:space="0" w:color="auto"/>
                <w:right w:val="none" w:sz="0" w:space="0" w:color="auto"/>
              </w:divBdr>
            </w:div>
            <w:div w:id="1992560750">
              <w:marLeft w:val="0"/>
              <w:marRight w:val="0"/>
              <w:marTop w:val="0"/>
              <w:marBottom w:val="0"/>
              <w:divBdr>
                <w:top w:val="none" w:sz="0" w:space="0" w:color="auto"/>
                <w:left w:val="none" w:sz="0" w:space="0" w:color="auto"/>
                <w:bottom w:val="none" w:sz="0" w:space="0" w:color="auto"/>
                <w:right w:val="none" w:sz="0" w:space="0" w:color="auto"/>
              </w:divBdr>
            </w:div>
          </w:divsChild>
        </w:div>
        <w:div w:id="1344472433">
          <w:marLeft w:val="0"/>
          <w:marRight w:val="0"/>
          <w:marTop w:val="0"/>
          <w:marBottom w:val="0"/>
          <w:divBdr>
            <w:top w:val="none" w:sz="0" w:space="0" w:color="auto"/>
            <w:left w:val="none" w:sz="0" w:space="0" w:color="auto"/>
            <w:bottom w:val="none" w:sz="0" w:space="0" w:color="auto"/>
            <w:right w:val="none" w:sz="0" w:space="0" w:color="auto"/>
          </w:divBdr>
          <w:divsChild>
            <w:div w:id="902134471">
              <w:marLeft w:val="0"/>
              <w:marRight w:val="0"/>
              <w:marTop w:val="0"/>
              <w:marBottom w:val="0"/>
              <w:divBdr>
                <w:top w:val="none" w:sz="0" w:space="0" w:color="auto"/>
                <w:left w:val="none" w:sz="0" w:space="0" w:color="auto"/>
                <w:bottom w:val="none" w:sz="0" w:space="0" w:color="auto"/>
                <w:right w:val="none" w:sz="0" w:space="0" w:color="auto"/>
              </w:divBdr>
            </w:div>
          </w:divsChild>
        </w:div>
        <w:div w:id="1360475857">
          <w:marLeft w:val="0"/>
          <w:marRight w:val="0"/>
          <w:marTop w:val="0"/>
          <w:marBottom w:val="0"/>
          <w:divBdr>
            <w:top w:val="none" w:sz="0" w:space="0" w:color="auto"/>
            <w:left w:val="none" w:sz="0" w:space="0" w:color="auto"/>
            <w:bottom w:val="none" w:sz="0" w:space="0" w:color="auto"/>
            <w:right w:val="none" w:sz="0" w:space="0" w:color="auto"/>
          </w:divBdr>
          <w:divsChild>
            <w:div w:id="697466240">
              <w:marLeft w:val="0"/>
              <w:marRight w:val="0"/>
              <w:marTop w:val="0"/>
              <w:marBottom w:val="0"/>
              <w:divBdr>
                <w:top w:val="none" w:sz="0" w:space="0" w:color="auto"/>
                <w:left w:val="none" w:sz="0" w:space="0" w:color="auto"/>
                <w:bottom w:val="none" w:sz="0" w:space="0" w:color="auto"/>
                <w:right w:val="none" w:sz="0" w:space="0" w:color="auto"/>
              </w:divBdr>
            </w:div>
          </w:divsChild>
        </w:div>
        <w:div w:id="1427767570">
          <w:marLeft w:val="0"/>
          <w:marRight w:val="0"/>
          <w:marTop w:val="0"/>
          <w:marBottom w:val="0"/>
          <w:divBdr>
            <w:top w:val="none" w:sz="0" w:space="0" w:color="auto"/>
            <w:left w:val="none" w:sz="0" w:space="0" w:color="auto"/>
            <w:bottom w:val="none" w:sz="0" w:space="0" w:color="auto"/>
            <w:right w:val="none" w:sz="0" w:space="0" w:color="auto"/>
          </w:divBdr>
          <w:divsChild>
            <w:div w:id="1475874195">
              <w:marLeft w:val="0"/>
              <w:marRight w:val="0"/>
              <w:marTop w:val="0"/>
              <w:marBottom w:val="0"/>
              <w:divBdr>
                <w:top w:val="none" w:sz="0" w:space="0" w:color="auto"/>
                <w:left w:val="none" w:sz="0" w:space="0" w:color="auto"/>
                <w:bottom w:val="none" w:sz="0" w:space="0" w:color="auto"/>
                <w:right w:val="none" w:sz="0" w:space="0" w:color="auto"/>
              </w:divBdr>
            </w:div>
          </w:divsChild>
        </w:div>
        <w:div w:id="1606039134">
          <w:marLeft w:val="0"/>
          <w:marRight w:val="0"/>
          <w:marTop w:val="0"/>
          <w:marBottom w:val="0"/>
          <w:divBdr>
            <w:top w:val="none" w:sz="0" w:space="0" w:color="auto"/>
            <w:left w:val="none" w:sz="0" w:space="0" w:color="auto"/>
            <w:bottom w:val="none" w:sz="0" w:space="0" w:color="auto"/>
            <w:right w:val="none" w:sz="0" w:space="0" w:color="auto"/>
          </w:divBdr>
          <w:divsChild>
            <w:div w:id="1732004088">
              <w:marLeft w:val="0"/>
              <w:marRight w:val="0"/>
              <w:marTop w:val="0"/>
              <w:marBottom w:val="0"/>
              <w:divBdr>
                <w:top w:val="none" w:sz="0" w:space="0" w:color="auto"/>
                <w:left w:val="none" w:sz="0" w:space="0" w:color="auto"/>
                <w:bottom w:val="none" w:sz="0" w:space="0" w:color="auto"/>
                <w:right w:val="none" w:sz="0" w:space="0" w:color="auto"/>
              </w:divBdr>
            </w:div>
          </w:divsChild>
        </w:div>
        <w:div w:id="1611082971">
          <w:marLeft w:val="0"/>
          <w:marRight w:val="0"/>
          <w:marTop w:val="0"/>
          <w:marBottom w:val="0"/>
          <w:divBdr>
            <w:top w:val="none" w:sz="0" w:space="0" w:color="auto"/>
            <w:left w:val="none" w:sz="0" w:space="0" w:color="auto"/>
            <w:bottom w:val="none" w:sz="0" w:space="0" w:color="auto"/>
            <w:right w:val="none" w:sz="0" w:space="0" w:color="auto"/>
          </w:divBdr>
          <w:divsChild>
            <w:div w:id="716780944">
              <w:marLeft w:val="0"/>
              <w:marRight w:val="0"/>
              <w:marTop w:val="0"/>
              <w:marBottom w:val="0"/>
              <w:divBdr>
                <w:top w:val="none" w:sz="0" w:space="0" w:color="auto"/>
                <w:left w:val="none" w:sz="0" w:space="0" w:color="auto"/>
                <w:bottom w:val="none" w:sz="0" w:space="0" w:color="auto"/>
                <w:right w:val="none" w:sz="0" w:space="0" w:color="auto"/>
              </w:divBdr>
            </w:div>
          </w:divsChild>
        </w:div>
        <w:div w:id="1674720918">
          <w:marLeft w:val="0"/>
          <w:marRight w:val="0"/>
          <w:marTop w:val="0"/>
          <w:marBottom w:val="0"/>
          <w:divBdr>
            <w:top w:val="none" w:sz="0" w:space="0" w:color="auto"/>
            <w:left w:val="none" w:sz="0" w:space="0" w:color="auto"/>
            <w:bottom w:val="none" w:sz="0" w:space="0" w:color="auto"/>
            <w:right w:val="none" w:sz="0" w:space="0" w:color="auto"/>
          </w:divBdr>
          <w:divsChild>
            <w:div w:id="296449305">
              <w:marLeft w:val="0"/>
              <w:marRight w:val="0"/>
              <w:marTop w:val="0"/>
              <w:marBottom w:val="0"/>
              <w:divBdr>
                <w:top w:val="none" w:sz="0" w:space="0" w:color="auto"/>
                <w:left w:val="none" w:sz="0" w:space="0" w:color="auto"/>
                <w:bottom w:val="none" w:sz="0" w:space="0" w:color="auto"/>
                <w:right w:val="none" w:sz="0" w:space="0" w:color="auto"/>
              </w:divBdr>
            </w:div>
          </w:divsChild>
        </w:div>
        <w:div w:id="1760784123">
          <w:marLeft w:val="0"/>
          <w:marRight w:val="0"/>
          <w:marTop w:val="0"/>
          <w:marBottom w:val="0"/>
          <w:divBdr>
            <w:top w:val="none" w:sz="0" w:space="0" w:color="auto"/>
            <w:left w:val="none" w:sz="0" w:space="0" w:color="auto"/>
            <w:bottom w:val="none" w:sz="0" w:space="0" w:color="auto"/>
            <w:right w:val="none" w:sz="0" w:space="0" w:color="auto"/>
          </w:divBdr>
          <w:divsChild>
            <w:div w:id="415781670">
              <w:marLeft w:val="0"/>
              <w:marRight w:val="0"/>
              <w:marTop w:val="0"/>
              <w:marBottom w:val="0"/>
              <w:divBdr>
                <w:top w:val="none" w:sz="0" w:space="0" w:color="auto"/>
                <w:left w:val="none" w:sz="0" w:space="0" w:color="auto"/>
                <w:bottom w:val="none" w:sz="0" w:space="0" w:color="auto"/>
                <w:right w:val="none" w:sz="0" w:space="0" w:color="auto"/>
              </w:divBdr>
            </w:div>
          </w:divsChild>
        </w:div>
        <w:div w:id="1858107605">
          <w:marLeft w:val="0"/>
          <w:marRight w:val="0"/>
          <w:marTop w:val="0"/>
          <w:marBottom w:val="0"/>
          <w:divBdr>
            <w:top w:val="none" w:sz="0" w:space="0" w:color="auto"/>
            <w:left w:val="none" w:sz="0" w:space="0" w:color="auto"/>
            <w:bottom w:val="none" w:sz="0" w:space="0" w:color="auto"/>
            <w:right w:val="none" w:sz="0" w:space="0" w:color="auto"/>
          </w:divBdr>
          <w:divsChild>
            <w:div w:id="1268002035">
              <w:marLeft w:val="0"/>
              <w:marRight w:val="0"/>
              <w:marTop w:val="0"/>
              <w:marBottom w:val="0"/>
              <w:divBdr>
                <w:top w:val="none" w:sz="0" w:space="0" w:color="auto"/>
                <w:left w:val="none" w:sz="0" w:space="0" w:color="auto"/>
                <w:bottom w:val="none" w:sz="0" w:space="0" w:color="auto"/>
                <w:right w:val="none" w:sz="0" w:space="0" w:color="auto"/>
              </w:divBdr>
            </w:div>
          </w:divsChild>
        </w:div>
        <w:div w:id="1926301447">
          <w:marLeft w:val="0"/>
          <w:marRight w:val="0"/>
          <w:marTop w:val="0"/>
          <w:marBottom w:val="0"/>
          <w:divBdr>
            <w:top w:val="none" w:sz="0" w:space="0" w:color="auto"/>
            <w:left w:val="none" w:sz="0" w:space="0" w:color="auto"/>
            <w:bottom w:val="none" w:sz="0" w:space="0" w:color="auto"/>
            <w:right w:val="none" w:sz="0" w:space="0" w:color="auto"/>
          </w:divBdr>
          <w:divsChild>
            <w:div w:id="753629562">
              <w:marLeft w:val="0"/>
              <w:marRight w:val="0"/>
              <w:marTop w:val="0"/>
              <w:marBottom w:val="0"/>
              <w:divBdr>
                <w:top w:val="none" w:sz="0" w:space="0" w:color="auto"/>
                <w:left w:val="none" w:sz="0" w:space="0" w:color="auto"/>
                <w:bottom w:val="none" w:sz="0" w:space="0" w:color="auto"/>
                <w:right w:val="none" w:sz="0" w:space="0" w:color="auto"/>
              </w:divBdr>
            </w:div>
          </w:divsChild>
        </w:div>
        <w:div w:id="2116168879">
          <w:marLeft w:val="0"/>
          <w:marRight w:val="0"/>
          <w:marTop w:val="0"/>
          <w:marBottom w:val="0"/>
          <w:divBdr>
            <w:top w:val="none" w:sz="0" w:space="0" w:color="auto"/>
            <w:left w:val="none" w:sz="0" w:space="0" w:color="auto"/>
            <w:bottom w:val="none" w:sz="0" w:space="0" w:color="auto"/>
            <w:right w:val="none" w:sz="0" w:space="0" w:color="auto"/>
          </w:divBdr>
          <w:divsChild>
            <w:div w:id="13614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3591">
      <w:bodyDiv w:val="1"/>
      <w:marLeft w:val="0"/>
      <w:marRight w:val="0"/>
      <w:marTop w:val="0"/>
      <w:marBottom w:val="0"/>
      <w:divBdr>
        <w:top w:val="none" w:sz="0" w:space="0" w:color="auto"/>
        <w:left w:val="none" w:sz="0" w:space="0" w:color="auto"/>
        <w:bottom w:val="none" w:sz="0" w:space="0" w:color="auto"/>
        <w:right w:val="none" w:sz="0" w:space="0" w:color="auto"/>
      </w:divBdr>
      <w:divsChild>
        <w:div w:id="43918162">
          <w:marLeft w:val="0"/>
          <w:marRight w:val="0"/>
          <w:marTop w:val="0"/>
          <w:marBottom w:val="0"/>
          <w:divBdr>
            <w:top w:val="none" w:sz="0" w:space="0" w:color="auto"/>
            <w:left w:val="none" w:sz="0" w:space="0" w:color="auto"/>
            <w:bottom w:val="none" w:sz="0" w:space="0" w:color="auto"/>
            <w:right w:val="none" w:sz="0" w:space="0" w:color="auto"/>
          </w:divBdr>
          <w:divsChild>
            <w:div w:id="229273603">
              <w:marLeft w:val="0"/>
              <w:marRight w:val="0"/>
              <w:marTop w:val="0"/>
              <w:marBottom w:val="0"/>
              <w:divBdr>
                <w:top w:val="none" w:sz="0" w:space="0" w:color="auto"/>
                <w:left w:val="none" w:sz="0" w:space="0" w:color="auto"/>
                <w:bottom w:val="none" w:sz="0" w:space="0" w:color="auto"/>
                <w:right w:val="none" w:sz="0" w:space="0" w:color="auto"/>
              </w:divBdr>
            </w:div>
            <w:div w:id="1388383249">
              <w:marLeft w:val="0"/>
              <w:marRight w:val="0"/>
              <w:marTop w:val="0"/>
              <w:marBottom w:val="0"/>
              <w:divBdr>
                <w:top w:val="none" w:sz="0" w:space="0" w:color="auto"/>
                <w:left w:val="none" w:sz="0" w:space="0" w:color="auto"/>
                <w:bottom w:val="none" w:sz="0" w:space="0" w:color="auto"/>
                <w:right w:val="none" w:sz="0" w:space="0" w:color="auto"/>
              </w:divBdr>
            </w:div>
            <w:div w:id="1645163720">
              <w:marLeft w:val="0"/>
              <w:marRight w:val="0"/>
              <w:marTop w:val="0"/>
              <w:marBottom w:val="0"/>
              <w:divBdr>
                <w:top w:val="none" w:sz="0" w:space="0" w:color="auto"/>
                <w:left w:val="none" w:sz="0" w:space="0" w:color="auto"/>
                <w:bottom w:val="none" w:sz="0" w:space="0" w:color="auto"/>
                <w:right w:val="none" w:sz="0" w:space="0" w:color="auto"/>
              </w:divBdr>
            </w:div>
            <w:div w:id="1648197395">
              <w:marLeft w:val="0"/>
              <w:marRight w:val="0"/>
              <w:marTop w:val="0"/>
              <w:marBottom w:val="0"/>
              <w:divBdr>
                <w:top w:val="none" w:sz="0" w:space="0" w:color="auto"/>
                <w:left w:val="none" w:sz="0" w:space="0" w:color="auto"/>
                <w:bottom w:val="none" w:sz="0" w:space="0" w:color="auto"/>
                <w:right w:val="none" w:sz="0" w:space="0" w:color="auto"/>
              </w:divBdr>
            </w:div>
            <w:div w:id="2011524910">
              <w:marLeft w:val="0"/>
              <w:marRight w:val="0"/>
              <w:marTop w:val="0"/>
              <w:marBottom w:val="0"/>
              <w:divBdr>
                <w:top w:val="none" w:sz="0" w:space="0" w:color="auto"/>
                <w:left w:val="none" w:sz="0" w:space="0" w:color="auto"/>
                <w:bottom w:val="none" w:sz="0" w:space="0" w:color="auto"/>
                <w:right w:val="none" w:sz="0" w:space="0" w:color="auto"/>
              </w:divBdr>
            </w:div>
          </w:divsChild>
        </w:div>
        <w:div w:id="1329288711">
          <w:marLeft w:val="0"/>
          <w:marRight w:val="0"/>
          <w:marTop w:val="0"/>
          <w:marBottom w:val="0"/>
          <w:divBdr>
            <w:top w:val="none" w:sz="0" w:space="0" w:color="auto"/>
            <w:left w:val="none" w:sz="0" w:space="0" w:color="auto"/>
            <w:bottom w:val="none" w:sz="0" w:space="0" w:color="auto"/>
            <w:right w:val="none" w:sz="0" w:space="0" w:color="auto"/>
          </w:divBdr>
          <w:divsChild>
            <w:div w:id="287049060">
              <w:marLeft w:val="0"/>
              <w:marRight w:val="0"/>
              <w:marTop w:val="0"/>
              <w:marBottom w:val="0"/>
              <w:divBdr>
                <w:top w:val="none" w:sz="0" w:space="0" w:color="auto"/>
                <w:left w:val="none" w:sz="0" w:space="0" w:color="auto"/>
                <w:bottom w:val="none" w:sz="0" w:space="0" w:color="auto"/>
                <w:right w:val="none" w:sz="0" w:space="0" w:color="auto"/>
              </w:divBdr>
            </w:div>
            <w:div w:id="457988614">
              <w:marLeft w:val="0"/>
              <w:marRight w:val="0"/>
              <w:marTop w:val="0"/>
              <w:marBottom w:val="0"/>
              <w:divBdr>
                <w:top w:val="none" w:sz="0" w:space="0" w:color="auto"/>
                <w:left w:val="none" w:sz="0" w:space="0" w:color="auto"/>
                <w:bottom w:val="none" w:sz="0" w:space="0" w:color="auto"/>
                <w:right w:val="none" w:sz="0" w:space="0" w:color="auto"/>
              </w:divBdr>
            </w:div>
            <w:div w:id="564027103">
              <w:marLeft w:val="0"/>
              <w:marRight w:val="0"/>
              <w:marTop w:val="0"/>
              <w:marBottom w:val="0"/>
              <w:divBdr>
                <w:top w:val="none" w:sz="0" w:space="0" w:color="auto"/>
                <w:left w:val="none" w:sz="0" w:space="0" w:color="auto"/>
                <w:bottom w:val="none" w:sz="0" w:space="0" w:color="auto"/>
                <w:right w:val="none" w:sz="0" w:space="0" w:color="auto"/>
              </w:divBdr>
            </w:div>
            <w:div w:id="565335202">
              <w:marLeft w:val="0"/>
              <w:marRight w:val="0"/>
              <w:marTop w:val="0"/>
              <w:marBottom w:val="0"/>
              <w:divBdr>
                <w:top w:val="none" w:sz="0" w:space="0" w:color="auto"/>
                <w:left w:val="none" w:sz="0" w:space="0" w:color="auto"/>
                <w:bottom w:val="none" w:sz="0" w:space="0" w:color="auto"/>
                <w:right w:val="none" w:sz="0" w:space="0" w:color="auto"/>
              </w:divBdr>
            </w:div>
            <w:div w:id="605969066">
              <w:marLeft w:val="0"/>
              <w:marRight w:val="0"/>
              <w:marTop w:val="0"/>
              <w:marBottom w:val="0"/>
              <w:divBdr>
                <w:top w:val="none" w:sz="0" w:space="0" w:color="auto"/>
                <w:left w:val="none" w:sz="0" w:space="0" w:color="auto"/>
                <w:bottom w:val="none" w:sz="0" w:space="0" w:color="auto"/>
                <w:right w:val="none" w:sz="0" w:space="0" w:color="auto"/>
              </w:divBdr>
            </w:div>
            <w:div w:id="801001189">
              <w:marLeft w:val="0"/>
              <w:marRight w:val="0"/>
              <w:marTop w:val="0"/>
              <w:marBottom w:val="0"/>
              <w:divBdr>
                <w:top w:val="none" w:sz="0" w:space="0" w:color="auto"/>
                <w:left w:val="none" w:sz="0" w:space="0" w:color="auto"/>
                <w:bottom w:val="none" w:sz="0" w:space="0" w:color="auto"/>
                <w:right w:val="none" w:sz="0" w:space="0" w:color="auto"/>
              </w:divBdr>
            </w:div>
            <w:div w:id="827481663">
              <w:marLeft w:val="0"/>
              <w:marRight w:val="0"/>
              <w:marTop w:val="0"/>
              <w:marBottom w:val="0"/>
              <w:divBdr>
                <w:top w:val="none" w:sz="0" w:space="0" w:color="auto"/>
                <w:left w:val="none" w:sz="0" w:space="0" w:color="auto"/>
                <w:bottom w:val="none" w:sz="0" w:space="0" w:color="auto"/>
                <w:right w:val="none" w:sz="0" w:space="0" w:color="auto"/>
              </w:divBdr>
            </w:div>
            <w:div w:id="878013782">
              <w:marLeft w:val="0"/>
              <w:marRight w:val="0"/>
              <w:marTop w:val="0"/>
              <w:marBottom w:val="0"/>
              <w:divBdr>
                <w:top w:val="none" w:sz="0" w:space="0" w:color="auto"/>
                <w:left w:val="none" w:sz="0" w:space="0" w:color="auto"/>
                <w:bottom w:val="none" w:sz="0" w:space="0" w:color="auto"/>
                <w:right w:val="none" w:sz="0" w:space="0" w:color="auto"/>
              </w:divBdr>
            </w:div>
            <w:div w:id="890074642">
              <w:marLeft w:val="0"/>
              <w:marRight w:val="0"/>
              <w:marTop w:val="0"/>
              <w:marBottom w:val="0"/>
              <w:divBdr>
                <w:top w:val="none" w:sz="0" w:space="0" w:color="auto"/>
                <w:left w:val="none" w:sz="0" w:space="0" w:color="auto"/>
                <w:bottom w:val="none" w:sz="0" w:space="0" w:color="auto"/>
                <w:right w:val="none" w:sz="0" w:space="0" w:color="auto"/>
              </w:divBdr>
            </w:div>
            <w:div w:id="895511017">
              <w:marLeft w:val="0"/>
              <w:marRight w:val="0"/>
              <w:marTop w:val="0"/>
              <w:marBottom w:val="0"/>
              <w:divBdr>
                <w:top w:val="none" w:sz="0" w:space="0" w:color="auto"/>
                <w:left w:val="none" w:sz="0" w:space="0" w:color="auto"/>
                <w:bottom w:val="none" w:sz="0" w:space="0" w:color="auto"/>
                <w:right w:val="none" w:sz="0" w:space="0" w:color="auto"/>
              </w:divBdr>
            </w:div>
            <w:div w:id="988705424">
              <w:marLeft w:val="0"/>
              <w:marRight w:val="0"/>
              <w:marTop w:val="0"/>
              <w:marBottom w:val="0"/>
              <w:divBdr>
                <w:top w:val="none" w:sz="0" w:space="0" w:color="auto"/>
                <w:left w:val="none" w:sz="0" w:space="0" w:color="auto"/>
                <w:bottom w:val="none" w:sz="0" w:space="0" w:color="auto"/>
                <w:right w:val="none" w:sz="0" w:space="0" w:color="auto"/>
              </w:divBdr>
            </w:div>
            <w:div w:id="1161970640">
              <w:marLeft w:val="0"/>
              <w:marRight w:val="0"/>
              <w:marTop w:val="0"/>
              <w:marBottom w:val="0"/>
              <w:divBdr>
                <w:top w:val="none" w:sz="0" w:space="0" w:color="auto"/>
                <w:left w:val="none" w:sz="0" w:space="0" w:color="auto"/>
                <w:bottom w:val="none" w:sz="0" w:space="0" w:color="auto"/>
                <w:right w:val="none" w:sz="0" w:space="0" w:color="auto"/>
              </w:divBdr>
            </w:div>
            <w:div w:id="1293755631">
              <w:marLeft w:val="0"/>
              <w:marRight w:val="0"/>
              <w:marTop w:val="0"/>
              <w:marBottom w:val="0"/>
              <w:divBdr>
                <w:top w:val="none" w:sz="0" w:space="0" w:color="auto"/>
                <w:left w:val="none" w:sz="0" w:space="0" w:color="auto"/>
                <w:bottom w:val="none" w:sz="0" w:space="0" w:color="auto"/>
                <w:right w:val="none" w:sz="0" w:space="0" w:color="auto"/>
              </w:divBdr>
            </w:div>
            <w:div w:id="1329210574">
              <w:marLeft w:val="0"/>
              <w:marRight w:val="0"/>
              <w:marTop w:val="0"/>
              <w:marBottom w:val="0"/>
              <w:divBdr>
                <w:top w:val="none" w:sz="0" w:space="0" w:color="auto"/>
                <w:left w:val="none" w:sz="0" w:space="0" w:color="auto"/>
                <w:bottom w:val="none" w:sz="0" w:space="0" w:color="auto"/>
                <w:right w:val="none" w:sz="0" w:space="0" w:color="auto"/>
              </w:divBdr>
            </w:div>
            <w:div w:id="1393694378">
              <w:marLeft w:val="0"/>
              <w:marRight w:val="0"/>
              <w:marTop w:val="0"/>
              <w:marBottom w:val="0"/>
              <w:divBdr>
                <w:top w:val="none" w:sz="0" w:space="0" w:color="auto"/>
                <w:left w:val="none" w:sz="0" w:space="0" w:color="auto"/>
                <w:bottom w:val="none" w:sz="0" w:space="0" w:color="auto"/>
                <w:right w:val="none" w:sz="0" w:space="0" w:color="auto"/>
              </w:divBdr>
            </w:div>
            <w:div w:id="1406149673">
              <w:marLeft w:val="0"/>
              <w:marRight w:val="0"/>
              <w:marTop w:val="0"/>
              <w:marBottom w:val="0"/>
              <w:divBdr>
                <w:top w:val="none" w:sz="0" w:space="0" w:color="auto"/>
                <w:left w:val="none" w:sz="0" w:space="0" w:color="auto"/>
                <w:bottom w:val="none" w:sz="0" w:space="0" w:color="auto"/>
                <w:right w:val="none" w:sz="0" w:space="0" w:color="auto"/>
              </w:divBdr>
            </w:div>
            <w:div w:id="1538927506">
              <w:marLeft w:val="0"/>
              <w:marRight w:val="0"/>
              <w:marTop w:val="0"/>
              <w:marBottom w:val="0"/>
              <w:divBdr>
                <w:top w:val="none" w:sz="0" w:space="0" w:color="auto"/>
                <w:left w:val="none" w:sz="0" w:space="0" w:color="auto"/>
                <w:bottom w:val="none" w:sz="0" w:space="0" w:color="auto"/>
                <w:right w:val="none" w:sz="0" w:space="0" w:color="auto"/>
              </w:divBdr>
            </w:div>
            <w:div w:id="1759250354">
              <w:marLeft w:val="0"/>
              <w:marRight w:val="0"/>
              <w:marTop w:val="0"/>
              <w:marBottom w:val="0"/>
              <w:divBdr>
                <w:top w:val="none" w:sz="0" w:space="0" w:color="auto"/>
                <w:left w:val="none" w:sz="0" w:space="0" w:color="auto"/>
                <w:bottom w:val="none" w:sz="0" w:space="0" w:color="auto"/>
                <w:right w:val="none" w:sz="0" w:space="0" w:color="auto"/>
              </w:divBdr>
            </w:div>
            <w:div w:id="1865944172">
              <w:marLeft w:val="0"/>
              <w:marRight w:val="0"/>
              <w:marTop w:val="0"/>
              <w:marBottom w:val="0"/>
              <w:divBdr>
                <w:top w:val="none" w:sz="0" w:space="0" w:color="auto"/>
                <w:left w:val="none" w:sz="0" w:space="0" w:color="auto"/>
                <w:bottom w:val="none" w:sz="0" w:space="0" w:color="auto"/>
                <w:right w:val="none" w:sz="0" w:space="0" w:color="auto"/>
              </w:divBdr>
            </w:div>
            <w:div w:id="1908567662">
              <w:marLeft w:val="0"/>
              <w:marRight w:val="0"/>
              <w:marTop w:val="0"/>
              <w:marBottom w:val="0"/>
              <w:divBdr>
                <w:top w:val="none" w:sz="0" w:space="0" w:color="auto"/>
                <w:left w:val="none" w:sz="0" w:space="0" w:color="auto"/>
                <w:bottom w:val="none" w:sz="0" w:space="0" w:color="auto"/>
                <w:right w:val="none" w:sz="0" w:space="0" w:color="auto"/>
              </w:divBdr>
            </w:div>
          </w:divsChild>
        </w:div>
        <w:div w:id="1471702589">
          <w:marLeft w:val="0"/>
          <w:marRight w:val="0"/>
          <w:marTop w:val="0"/>
          <w:marBottom w:val="0"/>
          <w:divBdr>
            <w:top w:val="none" w:sz="0" w:space="0" w:color="auto"/>
            <w:left w:val="none" w:sz="0" w:space="0" w:color="auto"/>
            <w:bottom w:val="none" w:sz="0" w:space="0" w:color="auto"/>
            <w:right w:val="none" w:sz="0" w:space="0" w:color="auto"/>
          </w:divBdr>
          <w:divsChild>
            <w:div w:id="19162433">
              <w:marLeft w:val="0"/>
              <w:marRight w:val="0"/>
              <w:marTop w:val="0"/>
              <w:marBottom w:val="0"/>
              <w:divBdr>
                <w:top w:val="none" w:sz="0" w:space="0" w:color="auto"/>
                <w:left w:val="none" w:sz="0" w:space="0" w:color="auto"/>
                <w:bottom w:val="none" w:sz="0" w:space="0" w:color="auto"/>
                <w:right w:val="none" w:sz="0" w:space="0" w:color="auto"/>
              </w:divBdr>
            </w:div>
            <w:div w:id="39257089">
              <w:marLeft w:val="0"/>
              <w:marRight w:val="0"/>
              <w:marTop w:val="0"/>
              <w:marBottom w:val="0"/>
              <w:divBdr>
                <w:top w:val="none" w:sz="0" w:space="0" w:color="auto"/>
                <w:left w:val="none" w:sz="0" w:space="0" w:color="auto"/>
                <w:bottom w:val="none" w:sz="0" w:space="0" w:color="auto"/>
                <w:right w:val="none" w:sz="0" w:space="0" w:color="auto"/>
              </w:divBdr>
            </w:div>
            <w:div w:id="134958339">
              <w:marLeft w:val="0"/>
              <w:marRight w:val="0"/>
              <w:marTop w:val="0"/>
              <w:marBottom w:val="0"/>
              <w:divBdr>
                <w:top w:val="none" w:sz="0" w:space="0" w:color="auto"/>
                <w:left w:val="none" w:sz="0" w:space="0" w:color="auto"/>
                <w:bottom w:val="none" w:sz="0" w:space="0" w:color="auto"/>
                <w:right w:val="none" w:sz="0" w:space="0" w:color="auto"/>
              </w:divBdr>
            </w:div>
            <w:div w:id="273250338">
              <w:marLeft w:val="0"/>
              <w:marRight w:val="0"/>
              <w:marTop w:val="0"/>
              <w:marBottom w:val="0"/>
              <w:divBdr>
                <w:top w:val="none" w:sz="0" w:space="0" w:color="auto"/>
                <w:left w:val="none" w:sz="0" w:space="0" w:color="auto"/>
                <w:bottom w:val="none" w:sz="0" w:space="0" w:color="auto"/>
                <w:right w:val="none" w:sz="0" w:space="0" w:color="auto"/>
              </w:divBdr>
            </w:div>
            <w:div w:id="366376798">
              <w:marLeft w:val="0"/>
              <w:marRight w:val="0"/>
              <w:marTop w:val="0"/>
              <w:marBottom w:val="0"/>
              <w:divBdr>
                <w:top w:val="none" w:sz="0" w:space="0" w:color="auto"/>
                <w:left w:val="none" w:sz="0" w:space="0" w:color="auto"/>
                <w:bottom w:val="none" w:sz="0" w:space="0" w:color="auto"/>
                <w:right w:val="none" w:sz="0" w:space="0" w:color="auto"/>
              </w:divBdr>
            </w:div>
            <w:div w:id="558050618">
              <w:marLeft w:val="0"/>
              <w:marRight w:val="0"/>
              <w:marTop w:val="0"/>
              <w:marBottom w:val="0"/>
              <w:divBdr>
                <w:top w:val="none" w:sz="0" w:space="0" w:color="auto"/>
                <w:left w:val="none" w:sz="0" w:space="0" w:color="auto"/>
                <w:bottom w:val="none" w:sz="0" w:space="0" w:color="auto"/>
                <w:right w:val="none" w:sz="0" w:space="0" w:color="auto"/>
              </w:divBdr>
            </w:div>
            <w:div w:id="596252771">
              <w:marLeft w:val="0"/>
              <w:marRight w:val="0"/>
              <w:marTop w:val="0"/>
              <w:marBottom w:val="0"/>
              <w:divBdr>
                <w:top w:val="none" w:sz="0" w:space="0" w:color="auto"/>
                <w:left w:val="none" w:sz="0" w:space="0" w:color="auto"/>
                <w:bottom w:val="none" w:sz="0" w:space="0" w:color="auto"/>
                <w:right w:val="none" w:sz="0" w:space="0" w:color="auto"/>
              </w:divBdr>
            </w:div>
            <w:div w:id="683239967">
              <w:marLeft w:val="0"/>
              <w:marRight w:val="0"/>
              <w:marTop w:val="0"/>
              <w:marBottom w:val="0"/>
              <w:divBdr>
                <w:top w:val="none" w:sz="0" w:space="0" w:color="auto"/>
                <w:left w:val="none" w:sz="0" w:space="0" w:color="auto"/>
                <w:bottom w:val="none" w:sz="0" w:space="0" w:color="auto"/>
                <w:right w:val="none" w:sz="0" w:space="0" w:color="auto"/>
              </w:divBdr>
            </w:div>
            <w:div w:id="1019159059">
              <w:marLeft w:val="0"/>
              <w:marRight w:val="0"/>
              <w:marTop w:val="0"/>
              <w:marBottom w:val="0"/>
              <w:divBdr>
                <w:top w:val="none" w:sz="0" w:space="0" w:color="auto"/>
                <w:left w:val="none" w:sz="0" w:space="0" w:color="auto"/>
                <w:bottom w:val="none" w:sz="0" w:space="0" w:color="auto"/>
                <w:right w:val="none" w:sz="0" w:space="0" w:color="auto"/>
              </w:divBdr>
            </w:div>
            <w:div w:id="1115098935">
              <w:marLeft w:val="0"/>
              <w:marRight w:val="0"/>
              <w:marTop w:val="0"/>
              <w:marBottom w:val="0"/>
              <w:divBdr>
                <w:top w:val="none" w:sz="0" w:space="0" w:color="auto"/>
                <w:left w:val="none" w:sz="0" w:space="0" w:color="auto"/>
                <w:bottom w:val="none" w:sz="0" w:space="0" w:color="auto"/>
                <w:right w:val="none" w:sz="0" w:space="0" w:color="auto"/>
              </w:divBdr>
            </w:div>
            <w:div w:id="1170297519">
              <w:marLeft w:val="0"/>
              <w:marRight w:val="0"/>
              <w:marTop w:val="0"/>
              <w:marBottom w:val="0"/>
              <w:divBdr>
                <w:top w:val="none" w:sz="0" w:space="0" w:color="auto"/>
                <w:left w:val="none" w:sz="0" w:space="0" w:color="auto"/>
                <w:bottom w:val="none" w:sz="0" w:space="0" w:color="auto"/>
                <w:right w:val="none" w:sz="0" w:space="0" w:color="auto"/>
              </w:divBdr>
            </w:div>
            <w:div w:id="1246499317">
              <w:marLeft w:val="0"/>
              <w:marRight w:val="0"/>
              <w:marTop w:val="0"/>
              <w:marBottom w:val="0"/>
              <w:divBdr>
                <w:top w:val="none" w:sz="0" w:space="0" w:color="auto"/>
                <w:left w:val="none" w:sz="0" w:space="0" w:color="auto"/>
                <w:bottom w:val="none" w:sz="0" w:space="0" w:color="auto"/>
                <w:right w:val="none" w:sz="0" w:space="0" w:color="auto"/>
              </w:divBdr>
            </w:div>
            <w:div w:id="1253972052">
              <w:marLeft w:val="0"/>
              <w:marRight w:val="0"/>
              <w:marTop w:val="0"/>
              <w:marBottom w:val="0"/>
              <w:divBdr>
                <w:top w:val="none" w:sz="0" w:space="0" w:color="auto"/>
                <w:left w:val="none" w:sz="0" w:space="0" w:color="auto"/>
                <w:bottom w:val="none" w:sz="0" w:space="0" w:color="auto"/>
                <w:right w:val="none" w:sz="0" w:space="0" w:color="auto"/>
              </w:divBdr>
            </w:div>
            <w:div w:id="1254121078">
              <w:marLeft w:val="0"/>
              <w:marRight w:val="0"/>
              <w:marTop w:val="0"/>
              <w:marBottom w:val="0"/>
              <w:divBdr>
                <w:top w:val="none" w:sz="0" w:space="0" w:color="auto"/>
                <w:left w:val="none" w:sz="0" w:space="0" w:color="auto"/>
                <w:bottom w:val="none" w:sz="0" w:space="0" w:color="auto"/>
                <w:right w:val="none" w:sz="0" w:space="0" w:color="auto"/>
              </w:divBdr>
            </w:div>
            <w:div w:id="1486047542">
              <w:marLeft w:val="0"/>
              <w:marRight w:val="0"/>
              <w:marTop w:val="0"/>
              <w:marBottom w:val="0"/>
              <w:divBdr>
                <w:top w:val="none" w:sz="0" w:space="0" w:color="auto"/>
                <w:left w:val="none" w:sz="0" w:space="0" w:color="auto"/>
                <w:bottom w:val="none" w:sz="0" w:space="0" w:color="auto"/>
                <w:right w:val="none" w:sz="0" w:space="0" w:color="auto"/>
              </w:divBdr>
            </w:div>
            <w:div w:id="1682782758">
              <w:marLeft w:val="0"/>
              <w:marRight w:val="0"/>
              <w:marTop w:val="0"/>
              <w:marBottom w:val="0"/>
              <w:divBdr>
                <w:top w:val="none" w:sz="0" w:space="0" w:color="auto"/>
                <w:left w:val="none" w:sz="0" w:space="0" w:color="auto"/>
                <w:bottom w:val="none" w:sz="0" w:space="0" w:color="auto"/>
                <w:right w:val="none" w:sz="0" w:space="0" w:color="auto"/>
              </w:divBdr>
            </w:div>
            <w:div w:id="1758137115">
              <w:marLeft w:val="0"/>
              <w:marRight w:val="0"/>
              <w:marTop w:val="0"/>
              <w:marBottom w:val="0"/>
              <w:divBdr>
                <w:top w:val="none" w:sz="0" w:space="0" w:color="auto"/>
                <w:left w:val="none" w:sz="0" w:space="0" w:color="auto"/>
                <w:bottom w:val="none" w:sz="0" w:space="0" w:color="auto"/>
                <w:right w:val="none" w:sz="0" w:space="0" w:color="auto"/>
              </w:divBdr>
            </w:div>
            <w:div w:id="1814440650">
              <w:marLeft w:val="0"/>
              <w:marRight w:val="0"/>
              <w:marTop w:val="0"/>
              <w:marBottom w:val="0"/>
              <w:divBdr>
                <w:top w:val="none" w:sz="0" w:space="0" w:color="auto"/>
                <w:left w:val="none" w:sz="0" w:space="0" w:color="auto"/>
                <w:bottom w:val="none" w:sz="0" w:space="0" w:color="auto"/>
                <w:right w:val="none" w:sz="0" w:space="0" w:color="auto"/>
              </w:divBdr>
            </w:div>
            <w:div w:id="1859391925">
              <w:marLeft w:val="0"/>
              <w:marRight w:val="0"/>
              <w:marTop w:val="0"/>
              <w:marBottom w:val="0"/>
              <w:divBdr>
                <w:top w:val="none" w:sz="0" w:space="0" w:color="auto"/>
                <w:left w:val="none" w:sz="0" w:space="0" w:color="auto"/>
                <w:bottom w:val="none" w:sz="0" w:space="0" w:color="auto"/>
                <w:right w:val="none" w:sz="0" w:space="0" w:color="auto"/>
              </w:divBdr>
            </w:div>
            <w:div w:id="2037657087">
              <w:marLeft w:val="0"/>
              <w:marRight w:val="0"/>
              <w:marTop w:val="0"/>
              <w:marBottom w:val="0"/>
              <w:divBdr>
                <w:top w:val="none" w:sz="0" w:space="0" w:color="auto"/>
                <w:left w:val="none" w:sz="0" w:space="0" w:color="auto"/>
                <w:bottom w:val="none" w:sz="0" w:space="0" w:color="auto"/>
                <w:right w:val="none" w:sz="0" w:space="0" w:color="auto"/>
              </w:divBdr>
            </w:div>
          </w:divsChild>
        </w:div>
        <w:div w:id="1590312662">
          <w:marLeft w:val="0"/>
          <w:marRight w:val="0"/>
          <w:marTop w:val="0"/>
          <w:marBottom w:val="0"/>
          <w:divBdr>
            <w:top w:val="none" w:sz="0" w:space="0" w:color="auto"/>
            <w:left w:val="none" w:sz="0" w:space="0" w:color="auto"/>
            <w:bottom w:val="none" w:sz="0" w:space="0" w:color="auto"/>
            <w:right w:val="none" w:sz="0" w:space="0" w:color="auto"/>
          </w:divBdr>
          <w:divsChild>
            <w:div w:id="759445571">
              <w:marLeft w:val="0"/>
              <w:marRight w:val="0"/>
              <w:marTop w:val="0"/>
              <w:marBottom w:val="0"/>
              <w:divBdr>
                <w:top w:val="none" w:sz="0" w:space="0" w:color="auto"/>
                <w:left w:val="none" w:sz="0" w:space="0" w:color="auto"/>
                <w:bottom w:val="none" w:sz="0" w:space="0" w:color="auto"/>
                <w:right w:val="none" w:sz="0" w:space="0" w:color="auto"/>
              </w:divBdr>
            </w:div>
            <w:div w:id="844589260">
              <w:marLeft w:val="0"/>
              <w:marRight w:val="0"/>
              <w:marTop w:val="0"/>
              <w:marBottom w:val="0"/>
              <w:divBdr>
                <w:top w:val="none" w:sz="0" w:space="0" w:color="auto"/>
                <w:left w:val="none" w:sz="0" w:space="0" w:color="auto"/>
                <w:bottom w:val="none" w:sz="0" w:space="0" w:color="auto"/>
                <w:right w:val="none" w:sz="0" w:space="0" w:color="auto"/>
              </w:divBdr>
            </w:div>
            <w:div w:id="1187060185">
              <w:marLeft w:val="0"/>
              <w:marRight w:val="0"/>
              <w:marTop w:val="0"/>
              <w:marBottom w:val="0"/>
              <w:divBdr>
                <w:top w:val="none" w:sz="0" w:space="0" w:color="auto"/>
                <w:left w:val="none" w:sz="0" w:space="0" w:color="auto"/>
                <w:bottom w:val="none" w:sz="0" w:space="0" w:color="auto"/>
                <w:right w:val="none" w:sz="0" w:space="0" w:color="auto"/>
              </w:divBdr>
            </w:div>
            <w:div w:id="1602296133">
              <w:marLeft w:val="0"/>
              <w:marRight w:val="0"/>
              <w:marTop w:val="0"/>
              <w:marBottom w:val="0"/>
              <w:divBdr>
                <w:top w:val="none" w:sz="0" w:space="0" w:color="auto"/>
                <w:left w:val="none" w:sz="0" w:space="0" w:color="auto"/>
                <w:bottom w:val="none" w:sz="0" w:space="0" w:color="auto"/>
                <w:right w:val="none" w:sz="0" w:space="0" w:color="auto"/>
              </w:divBdr>
            </w:div>
            <w:div w:id="2027320963">
              <w:marLeft w:val="0"/>
              <w:marRight w:val="0"/>
              <w:marTop w:val="0"/>
              <w:marBottom w:val="0"/>
              <w:divBdr>
                <w:top w:val="none" w:sz="0" w:space="0" w:color="auto"/>
                <w:left w:val="none" w:sz="0" w:space="0" w:color="auto"/>
                <w:bottom w:val="none" w:sz="0" w:space="0" w:color="auto"/>
                <w:right w:val="none" w:sz="0" w:space="0" w:color="auto"/>
              </w:divBdr>
            </w:div>
            <w:div w:id="2056076808">
              <w:marLeft w:val="0"/>
              <w:marRight w:val="0"/>
              <w:marTop w:val="0"/>
              <w:marBottom w:val="0"/>
              <w:divBdr>
                <w:top w:val="none" w:sz="0" w:space="0" w:color="auto"/>
                <w:left w:val="none" w:sz="0" w:space="0" w:color="auto"/>
                <w:bottom w:val="none" w:sz="0" w:space="0" w:color="auto"/>
                <w:right w:val="none" w:sz="0" w:space="0" w:color="auto"/>
              </w:divBdr>
            </w:div>
            <w:div w:id="2090492623">
              <w:marLeft w:val="0"/>
              <w:marRight w:val="0"/>
              <w:marTop w:val="0"/>
              <w:marBottom w:val="0"/>
              <w:divBdr>
                <w:top w:val="none" w:sz="0" w:space="0" w:color="auto"/>
                <w:left w:val="none" w:sz="0" w:space="0" w:color="auto"/>
                <w:bottom w:val="none" w:sz="0" w:space="0" w:color="auto"/>
                <w:right w:val="none" w:sz="0" w:space="0" w:color="auto"/>
              </w:divBdr>
            </w:div>
            <w:div w:id="21432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78511">
      <w:bodyDiv w:val="1"/>
      <w:marLeft w:val="0"/>
      <w:marRight w:val="0"/>
      <w:marTop w:val="0"/>
      <w:marBottom w:val="0"/>
      <w:divBdr>
        <w:top w:val="none" w:sz="0" w:space="0" w:color="auto"/>
        <w:left w:val="none" w:sz="0" w:space="0" w:color="auto"/>
        <w:bottom w:val="none" w:sz="0" w:space="0" w:color="auto"/>
        <w:right w:val="none" w:sz="0" w:space="0" w:color="auto"/>
      </w:divBdr>
      <w:divsChild>
        <w:div w:id="124781638">
          <w:marLeft w:val="0"/>
          <w:marRight w:val="0"/>
          <w:marTop w:val="0"/>
          <w:marBottom w:val="0"/>
          <w:divBdr>
            <w:top w:val="none" w:sz="0" w:space="0" w:color="auto"/>
            <w:left w:val="none" w:sz="0" w:space="0" w:color="auto"/>
            <w:bottom w:val="none" w:sz="0" w:space="0" w:color="auto"/>
            <w:right w:val="none" w:sz="0" w:space="0" w:color="auto"/>
          </w:divBdr>
          <w:divsChild>
            <w:div w:id="1342732023">
              <w:marLeft w:val="0"/>
              <w:marRight w:val="0"/>
              <w:marTop w:val="0"/>
              <w:marBottom w:val="0"/>
              <w:divBdr>
                <w:top w:val="none" w:sz="0" w:space="0" w:color="auto"/>
                <w:left w:val="none" w:sz="0" w:space="0" w:color="auto"/>
                <w:bottom w:val="none" w:sz="0" w:space="0" w:color="auto"/>
                <w:right w:val="none" w:sz="0" w:space="0" w:color="auto"/>
              </w:divBdr>
            </w:div>
          </w:divsChild>
        </w:div>
        <w:div w:id="320810786">
          <w:marLeft w:val="0"/>
          <w:marRight w:val="0"/>
          <w:marTop w:val="0"/>
          <w:marBottom w:val="0"/>
          <w:divBdr>
            <w:top w:val="none" w:sz="0" w:space="0" w:color="auto"/>
            <w:left w:val="none" w:sz="0" w:space="0" w:color="auto"/>
            <w:bottom w:val="none" w:sz="0" w:space="0" w:color="auto"/>
            <w:right w:val="none" w:sz="0" w:space="0" w:color="auto"/>
          </w:divBdr>
          <w:divsChild>
            <w:div w:id="1080172313">
              <w:marLeft w:val="0"/>
              <w:marRight w:val="0"/>
              <w:marTop w:val="0"/>
              <w:marBottom w:val="0"/>
              <w:divBdr>
                <w:top w:val="none" w:sz="0" w:space="0" w:color="auto"/>
                <w:left w:val="none" w:sz="0" w:space="0" w:color="auto"/>
                <w:bottom w:val="none" w:sz="0" w:space="0" w:color="auto"/>
                <w:right w:val="none" w:sz="0" w:space="0" w:color="auto"/>
              </w:divBdr>
            </w:div>
          </w:divsChild>
        </w:div>
        <w:div w:id="362093843">
          <w:marLeft w:val="0"/>
          <w:marRight w:val="0"/>
          <w:marTop w:val="0"/>
          <w:marBottom w:val="0"/>
          <w:divBdr>
            <w:top w:val="none" w:sz="0" w:space="0" w:color="auto"/>
            <w:left w:val="none" w:sz="0" w:space="0" w:color="auto"/>
            <w:bottom w:val="none" w:sz="0" w:space="0" w:color="auto"/>
            <w:right w:val="none" w:sz="0" w:space="0" w:color="auto"/>
          </w:divBdr>
          <w:divsChild>
            <w:div w:id="1821075741">
              <w:marLeft w:val="0"/>
              <w:marRight w:val="0"/>
              <w:marTop w:val="0"/>
              <w:marBottom w:val="0"/>
              <w:divBdr>
                <w:top w:val="none" w:sz="0" w:space="0" w:color="auto"/>
                <w:left w:val="none" w:sz="0" w:space="0" w:color="auto"/>
                <w:bottom w:val="none" w:sz="0" w:space="0" w:color="auto"/>
                <w:right w:val="none" w:sz="0" w:space="0" w:color="auto"/>
              </w:divBdr>
            </w:div>
          </w:divsChild>
        </w:div>
        <w:div w:id="426734082">
          <w:marLeft w:val="0"/>
          <w:marRight w:val="0"/>
          <w:marTop w:val="0"/>
          <w:marBottom w:val="0"/>
          <w:divBdr>
            <w:top w:val="none" w:sz="0" w:space="0" w:color="auto"/>
            <w:left w:val="none" w:sz="0" w:space="0" w:color="auto"/>
            <w:bottom w:val="none" w:sz="0" w:space="0" w:color="auto"/>
            <w:right w:val="none" w:sz="0" w:space="0" w:color="auto"/>
          </w:divBdr>
          <w:divsChild>
            <w:div w:id="1083063017">
              <w:marLeft w:val="0"/>
              <w:marRight w:val="0"/>
              <w:marTop w:val="0"/>
              <w:marBottom w:val="0"/>
              <w:divBdr>
                <w:top w:val="none" w:sz="0" w:space="0" w:color="auto"/>
                <w:left w:val="none" w:sz="0" w:space="0" w:color="auto"/>
                <w:bottom w:val="none" w:sz="0" w:space="0" w:color="auto"/>
                <w:right w:val="none" w:sz="0" w:space="0" w:color="auto"/>
              </w:divBdr>
            </w:div>
          </w:divsChild>
        </w:div>
        <w:div w:id="499740239">
          <w:marLeft w:val="0"/>
          <w:marRight w:val="0"/>
          <w:marTop w:val="0"/>
          <w:marBottom w:val="0"/>
          <w:divBdr>
            <w:top w:val="none" w:sz="0" w:space="0" w:color="auto"/>
            <w:left w:val="none" w:sz="0" w:space="0" w:color="auto"/>
            <w:bottom w:val="none" w:sz="0" w:space="0" w:color="auto"/>
            <w:right w:val="none" w:sz="0" w:space="0" w:color="auto"/>
          </w:divBdr>
          <w:divsChild>
            <w:div w:id="931470078">
              <w:marLeft w:val="0"/>
              <w:marRight w:val="0"/>
              <w:marTop w:val="0"/>
              <w:marBottom w:val="0"/>
              <w:divBdr>
                <w:top w:val="none" w:sz="0" w:space="0" w:color="auto"/>
                <w:left w:val="none" w:sz="0" w:space="0" w:color="auto"/>
                <w:bottom w:val="none" w:sz="0" w:space="0" w:color="auto"/>
                <w:right w:val="none" w:sz="0" w:space="0" w:color="auto"/>
              </w:divBdr>
            </w:div>
          </w:divsChild>
        </w:div>
        <w:div w:id="593974797">
          <w:marLeft w:val="0"/>
          <w:marRight w:val="0"/>
          <w:marTop w:val="0"/>
          <w:marBottom w:val="0"/>
          <w:divBdr>
            <w:top w:val="none" w:sz="0" w:space="0" w:color="auto"/>
            <w:left w:val="none" w:sz="0" w:space="0" w:color="auto"/>
            <w:bottom w:val="none" w:sz="0" w:space="0" w:color="auto"/>
            <w:right w:val="none" w:sz="0" w:space="0" w:color="auto"/>
          </w:divBdr>
          <w:divsChild>
            <w:div w:id="1982496538">
              <w:marLeft w:val="0"/>
              <w:marRight w:val="0"/>
              <w:marTop w:val="0"/>
              <w:marBottom w:val="0"/>
              <w:divBdr>
                <w:top w:val="none" w:sz="0" w:space="0" w:color="auto"/>
                <w:left w:val="none" w:sz="0" w:space="0" w:color="auto"/>
                <w:bottom w:val="none" w:sz="0" w:space="0" w:color="auto"/>
                <w:right w:val="none" w:sz="0" w:space="0" w:color="auto"/>
              </w:divBdr>
            </w:div>
          </w:divsChild>
        </w:div>
        <w:div w:id="743844148">
          <w:marLeft w:val="0"/>
          <w:marRight w:val="0"/>
          <w:marTop w:val="0"/>
          <w:marBottom w:val="0"/>
          <w:divBdr>
            <w:top w:val="none" w:sz="0" w:space="0" w:color="auto"/>
            <w:left w:val="none" w:sz="0" w:space="0" w:color="auto"/>
            <w:bottom w:val="none" w:sz="0" w:space="0" w:color="auto"/>
            <w:right w:val="none" w:sz="0" w:space="0" w:color="auto"/>
          </w:divBdr>
          <w:divsChild>
            <w:div w:id="2144155623">
              <w:marLeft w:val="0"/>
              <w:marRight w:val="0"/>
              <w:marTop w:val="0"/>
              <w:marBottom w:val="0"/>
              <w:divBdr>
                <w:top w:val="none" w:sz="0" w:space="0" w:color="auto"/>
                <w:left w:val="none" w:sz="0" w:space="0" w:color="auto"/>
                <w:bottom w:val="none" w:sz="0" w:space="0" w:color="auto"/>
                <w:right w:val="none" w:sz="0" w:space="0" w:color="auto"/>
              </w:divBdr>
            </w:div>
          </w:divsChild>
        </w:div>
        <w:div w:id="778066722">
          <w:marLeft w:val="0"/>
          <w:marRight w:val="0"/>
          <w:marTop w:val="0"/>
          <w:marBottom w:val="0"/>
          <w:divBdr>
            <w:top w:val="none" w:sz="0" w:space="0" w:color="auto"/>
            <w:left w:val="none" w:sz="0" w:space="0" w:color="auto"/>
            <w:bottom w:val="none" w:sz="0" w:space="0" w:color="auto"/>
            <w:right w:val="none" w:sz="0" w:space="0" w:color="auto"/>
          </w:divBdr>
          <w:divsChild>
            <w:div w:id="1151365719">
              <w:marLeft w:val="0"/>
              <w:marRight w:val="0"/>
              <w:marTop w:val="0"/>
              <w:marBottom w:val="0"/>
              <w:divBdr>
                <w:top w:val="none" w:sz="0" w:space="0" w:color="auto"/>
                <w:left w:val="none" w:sz="0" w:space="0" w:color="auto"/>
                <w:bottom w:val="none" w:sz="0" w:space="0" w:color="auto"/>
                <w:right w:val="none" w:sz="0" w:space="0" w:color="auto"/>
              </w:divBdr>
            </w:div>
          </w:divsChild>
        </w:div>
        <w:div w:id="784230784">
          <w:marLeft w:val="0"/>
          <w:marRight w:val="0"/>
          <w:marTop w:val="0"/>
          <w:marBottom w:val="0"/>
          <w:divBdr>
            <w:top w:val="none" w:sz="0" w:space="0" w:color="auto"/>
            <w:left w:val="none" w:sz="0" w:space="0" w:color="auto"/>
            <w:bottom w:val="none" w:sz="0" w:space="0" w:color="auto"/>
            <w:right w:val="none" w:sz="0" w:space="0" w:color="auto"/>
          </w:divBdr>
          <w:divsChild>
            <w:div w:id="211843232">
              <w:marLeft w:val="0"/>
              <w:marRight w:val="0"/>
              <w:marTop w:val="0"/>
              <w:marBottom w:val="0"/>
              <w:divBdr>
                <w:top w:val="none" w:sz="0" w:space="0" w:color="auto"/>
                <w:left w:val="none" w:sz="0" w:space="0" w:color="auto"/>
                <w:bottom w:val="none" w:sz="0" w:space="0" w:color="auto"/>
                <w:right w:val="none" w:sz="0" w:space="0" w:color="auto"/>
              </w:divBdr>
            </w:div>
          </w:divsChild>
        </w:div>
        <w:div w:id="815299067">
          <w:marLeft w:val="0"/>
          <w:marRight w:val="0"/>
          <w:marTop w:val="0"/>
          <w:marBottom w:val="0"/>
          <w:divBdr>
            <w:top w:val="none" w:sz="0" w:space="0" w:color="auto"/>
            <w:left w:val="none" w:sz="0" w:space="0" w:color="auto"/>
            <w:bottom w:val="none" w:sz="0" w:space="0" w:color="auto"/>
            <w:right w:val="none" w:sz="0" w:space="0" w:color="auto"/>
          </w:divBdr>
          <w:divsChild>
            <w:div w:id="268900548">
              <w:marLeft w:val="0"/>
              <w:marRight w:val="0"/>
              <w:marTop w:val="0"/>
              <w:marBottom w:val="0"/>
              <w:divBdr>
                <w:top w:val="none" w:sz="0" w:space="0" w:color="auto"/>
                <w:left w:val="none" w:sz="0" w:space="0" w:color="auto"/>
                <w:bottom w:val="none" w:sz="0" w:space="0" w:color="auto"/>
                <w:right w:val="none" w:sz="0" w:space="0" w:color="auto"/>
              </w:divBdr>
            </w:div>
          </w:divsChild>
        </w:div>
        <w:div w:id="816382991">
          <w:marLeft w:val="0"/>
          <w:marRight w:val="0"/>
          <w:marTop w:val="0"/>
          <w:marBottom w:val="0"/>
          <w:divBdr>
            <w:top w:val="none" w:sz="0" w:space="0" w:color="auto"/>
            <w:left w:val="none" w:sz="0" w:space="0" w:color="auto"/>
            <w:bottom w:val="none" w:sz="0" w:space="0" w:color="auto"/>
            <w:right w:val="none" w:sz="0" w:space="0" w:color="auto"/>
          </w:divBdr>
          <w:divsChild>
            <w:div w:id="137841550">
              <w:marLeft w:val="0"/>
              <w:marRight w:val="0"/>
              <w:marTop w:val="0"/>
              <w:marBottom w:val="0"/>
              <w:divBdr>
                <w:top w:val="none" w:sz="0" w:space="0" w:color="auto"/>
                <w:left w:val="none" w:sz="0" w:space="0" w:color="auto"/>
                <w:bottom w:val="none" w:sz="0" w:space="0" w:color="auto"/>
                <w:right w:val="none" w:sz="0" w:space="0" w:color="auto"/>
              </w:divBdr>
            </w:div>
          </w:divsChild>
        </w:div>
        <w:div w:id="846021894">
          <w:marLeft w:val="0"/>
          <w:marRight w:val="0"/>
          <w:marTop w:val="0"/>
          <w:marBottom w:val="0"/>
          <w:divBdr>
            <w:top w:val="none" w:sz="0" w:space="0" w:color="auto"/>
            <w:left w:val="none" w:sz="0" w:space="0" w:color="auto"/>
            <w:bottom w:val="none" w:sz="0" w:space="0" w:color="auto"/>
            <w:right w:val="none" w:sz="0" w:space="0" w:color="auto"/>
          </w:divBdr>
          <w:divsChild>
            <w:div w:id="429198582">
              <w:marLeft w:val="0"/>
              <w:marRight w:val="0"/>
              <w:marTop w:val="0"/>
              <w:marBottom w:val="0"/>
              <w:divBdr>
                <w:top w:val="none" w:sz="0" w:space="0" w:color="auto"/>
                <w:left w:val="none" w:sz="0" w:space="0" w:color="auto"/>
                <w:bottom w:val="none" w:sz="0" w:space="0" w:color="auto"/>
                <w:right w:val="none" w:sz="0" w:space="0" w:color="auto"/>
              </w:divBdr>
            </w:div>
          </w:divsChild>
        </w:div>
        <w:div w:id="857085454">
          <w:marLeft w:val="0"/>
          <w:marRight w:val="0"/>
          <w:marTop w:val="0"/>
          <w:marBottom w:val="0"/>
          <w:divBdr>
            <w:top w:val="none" w:sz="0" w:space="0" w:color="auto"/>
            <w:left w:val="none" w:sz="0" w:space="0" w:color="auto"/>
            <w:bottom w:val="none" w:sz="0" w:space="0" w:color="auto"/>
            <w:right w:val="none" w:sz="0" w:space="0" w:color="auto"/>
          </w:divBdr>
          <w:divsChild>
            <w:div w:id="1158957312">
              <w:marLeft w:val="0"/>
              <w:marRight w:val="0"/>
              <w:marTop w:val="0"/>
              <w:marBottom w:val="0"/>
              <w:divBdr>
                <w:top w:val="none" w:sz="0" w:space="0" w:color="auto"/>
                <w:left w:val="none" w:sz="0" w:space="0" w:color="auto"/>
                <w:bottom w:val="none" w:sz="0" w:space="0" w:color="auto"/>
                <w:right w:val="none" w:sz="0" w:space="0" w:color="auto"/>
              </w:divBdr>
            </w:div>
          </w:divsChild>
        </w:div>
        <w:div w:id="989138443">
          <w:marLeft w:val="0"/>
          <w:marRight w:val="0"/>
          <w:marTop w:val="0"/>
          <w:marBottom w:val="0"/>
          <w:divBdr>
            <w:top w:val="none" w:sz="0" w:space="0" w:color="auto"/>
            <w:left w:val="none" w:sz="0" w:space="0" w:color="auto"/>
            <w:bottom w:val="none" w:sz="0" w:space="0" w:color="auto"/>
            <w:right w:val="none" w:sz="0" w:space="0" w:color="auto"/>
          </w:divBdr>
          <w:divsChild>
            <w:div w:id="707803235">
              <w:marLeft w:val="0"/>
              <w:marRight w:val="0"/>
              <w:marTop w:val="0"/>
              <w:marBottom w:val="0"/>
              <w:divBdr>
                <w:top w:val="none" w:sz="0" w:space="0" w:color="auto"/>
                <w:left w:val="none" w:sz="0" w:space="0" w:color="auto"/>
                <w:bottom w:val="none" w:sz="0" w:space="0" w:color="auto"/>
                <w:right w:val="none" w:sz="0" w:space="0" w:color="auto"/>
              </w:divBdr>
            </w:div>
          </w:divsChild>
        </w:div>
        <w:div w:id="1050617866">
          <w:marLeft w:val="0"/>
          <w:marRight w:val="0"/>
          <w:marTop w:val="0"/>
          <w:marBottom w:val="0"/>
          <w:divBdr>
            <w:top w:val="none" w:sz="0" w:space="0" w:color="auto"/>
            <w:left w:val="none" w:sz="0" w:space="0" w:color="auto"/>
            <w:bottom w:val="none" w:sz="0" w:space="0" w:color="auto"/>
            <w:right w:val="none" w:sz="0" w:space="0" w:color="auto"/>
          </w:divBdr>
          <w:divsChild>
            <w:div w:id="1612392569">
              <w:marLeft w:val="0"/>
              <w:marRight w:val="0"/>
              <w:marTop w:val="0"/>
              <w:marBottom w:val="0"/>
              <w:divBdr>
                <w:top w:val="none" w:sz="0" w:space="0" w:color="auto"/>
                <w:left w:val="none" w:sz="0" w:space="0" w:color="auto"/>
                <w:bottom w:val="none" w:sz="0" w:space="0" w:color="auto"/>
                <w:right w:val="none" w:sz="0" w:space="0" w:color="auto"/>
              </w:divBdr>
            </w:div>
          </w:divsChild>
        </w:div>
        <w:div w:id="1147430809">
          <w:marLeft w:val="0"/>
          <w:marRight w:val="0"/>
          <w:marTop w:val="0"/>
          <w:marBottom w:val="0"/>
          <w:divBdr>
            <w:top w:val="none" w:sz="0" w:space="0" w:color="auto"/>
            <w:left w:val="none" w:sz="0" w:space="0" w:color="auto"/>
            <w:bottom w:val="none" w:sz="0" w:space="0" w:color="auto"/>
            <w:right w:val="none" w:sz="0" w:space="0" w:color="auto"/>
          </w:divBdr>
          <w:divsChild>
            <w:div w:id="382675859">
              <w:marLeft w:val="0"/>
              <w:marRight w:val="0"/>
              <w:marTop w:val="0"/>
              <w:marBottom w:val="0"/>
              <w:divBdr>
                <w:top w:val="none" w:sz="0" w:space="0" w:color="auto"/>
                <w:left w:val="none" w:sz="0" w:space="0" w:color="auto"/>
                <w:bottom w:val="none" w:sz="0" w:space="0" w:color="auto"/>
                <w:right w:val="none" w:sz="0" w:space="0" w:color="auto"/>
              </w:divBdr>
            </w:div>
          </w:divsChild>
        </w:div>
        <w:div w:id="1481730060">
          <w:marLeft w:val="0"/>
          <w:marRight w:val="0"/>
          <w:marTop w:val="0"/>
          <w:marBottom w:val="0"/>
          <w:divBdr>
            <w:top w:val="none" w:sz="0" w:space="0" w:color="auto"/>
            <w:left w:val="none" w:sz="0" w:space="0" w:color="auto"/>
            <w:bottom w:val="none" w:sz="0" w:space="0" w:color="auto"/>
            <w:right w:val="none" w:sz="0" w:space="0" w:color="auto"/>
          </w:divBdr>
          <w:divsChild>
            <w:div w:id="1932200856">
              <w:marLeft w:val="0"/>
              <w:marRight w:val="0"/>
              <w:marTop w:val="0"/>
              <w:marBottom w:val="0"/>
              <w:divBdr>
                <w:top w:val="none" w:sz="0" w:space="0" w:color="auto"/>
                <w:left w:val="none" w:sz="0" w:space="0" w:color="auto"/>
                <w:bottom w:val="none" w:sz="0" w:space="0" w:color="auto"/>
                <w:right w:val="none" w:sz="0" w:space="0" w:color="auto"/>
              </w:divBdr>
            </w:div>
          </w:divsChild>
        </w:div>
        <w:div w:id="1554344841">
          <w:marLeft w:val="0"/>
          <w:marRight w:val="0"/>
          <w:marTop w:val="0"/>
          <w:marBottom w:val="0"/>
          <w:divBdr>
            <w:top w:val="none" w:sz="0" w:space="0" w:color="auto"/>
            <w:left w:val="none" w:sz="0" w:space="0" w:color="auto"/>
            <w:bottom w:val="none" w:sz="0" w:space="0" w:color="auto"/>
            <w:right w:val="none" w:sz="0" w:space="0" w:color="auto"/>
          </w:divBdr>
          <w:divsChild>
            <w:div w:id="1285966499">
              <w:marLeft w:val="0"/>
              <w:marRight w:val="0"/>
              <w:marTop w:val="0"/>
              <w:marBottom w:val="0"/>
              <w:divBdr>
                <w:top w:val="none" w:sz="0" w:space="0" w:color="auto"/>
                <w:left w:val="none" w:sz="0" w:space="0" w:color="auto"/>
                <w:bottom w:val="none" w:sz="0" w:space="0" w:color="auto"/>
                <w:right w:val="none" w:sz="0" w:space="0" w:color="auto"/>
              </w:divBdr>
            </w:div>
          </w:divsChild>
        </w:div>
        <w:div w:id="1647588820">
          <w:marLeft w:val="0"/>
          <w:marRight w:val="0"/>
          <w:marTop w:val="0"/>
          <w:marBottom w:val="0"/>
          <w:divBdr>
            <w:top w:val="none" w:sz="0" w:space="0" w:color="auto"/>
            <w:left w:val="none" w:sz="0" w:space="0" w:color="auto"/>
            <w:bottom w:val="none" w:sz="0" w:space="0" w:color="auto"/>
            <w:right w:val="none" w:sz="0" w:space="0" w:color="auto"/>
          </w:divBdr>
          <w:divsChild>
            <w:div w:id="620771675">
              <w:marLeft w:val="0"/>
              <w:marRight w:val="0"/>
              <w:marTop w:val="0"/>
              <w:marBottom w:val="0"/>
              <w:divBdr>
                <w:top w:val="none" w:sz="0" w:space="0" w:color="auto"/>
                <w:left w:val="none" w:sz="0" w:space="0" w:color="auto"/>
                <w:bottom w:val="none" w:sz="0" w:space="0" w:color="auto"/>
                <w:right w:val="none" w:sz="0" w:space="0" w:color="auto"/>
              </w:divBdr>
            </w:div>
          </w:divsChild>
        </w:div>
        <w:div w:id="1709916183">
          <w:marLeft w:val="0"/>
          <w:marRight w:val="0"/>
          <w:marTop w:val="0"/>
          <w:marBottom w:val="0"/>
          <w:divBdr>
            <w:top w:val="none" w:sz="0" w:space="0" w:color="auto"/>
            <w:left w:val="none" w:sz="0" w:space="0" w:color="auto"/>
            <w:bottom w:val="none" w:sz="0" w:space="0" w:color="auto"/>
            <w:right w:val="none" w:sz="0" w:space="0" w:color="auto"/>
          </w:divBdr>
          <w:divsChild>
            <w:div w:id="1190683293">
              <w:marLeft w:val="0"/>
              <w:marRight w:val="0"/>
              <w:marTop w:val="0"/>
              <w:marBottom w:val="0"/>
              <w:divBdr>
                <w:top w:val="none" w:sz="0" w:space="0" w:color="auto"/>
                <w:left w:val="none" w:sz="0" w:space="0" w:color="auto"/>
                <w:bottom w:val="none" w:sz="0" w:space="0" w:color="auto"/>
                <w:right w:val="none" w:sz="0" w:space="0" w:color="auto"/>
              </w:divBdr>
            </w:div>
            <w:div w:id="1280838629">
              <w:marLeft w:val="0"/>
              <w:marRight w:val="0"/>
              <w:marTop w:val="0"/>
              <w:marBottom w:val="0"/>
              <w:divBdr>
                <w:top w:val="none" w:sz="0" w:space="0" w:color="auto"/>
                <w:left w:val="none" w:sz="0" w:space="0" w:color="auto"/>
                <w:bottom w:val="none" w:sz="0" w:space="0" w:color="auto"/>
                <w:right w:val="none" w:sz="0" w:space="0" w:color="auto"/>
              </w:divBdr>
            </w:div>
          </w:divsChild>
        </w:div>
        <w:div w:id="1714766799">
          <w:marLeft w:val="0"/>
          <w:marRight w:val="0"/>
          <w:marTop w:val="0"/>
          <w:marBottom w:val="0"/>
          <w:divBdr>
            <w:top w:val="none" w:sz="0" w:space="0" w:color="auto"/>
            <w:left w:val="none" w:sz="0" w:space="0" w:color="auto"/>
            <w:bottom w:val="none" w:sz="0" w:space="0" w:color="auto"/>
            <w:right w:val="none" w:sz="0" w:space="0" w:color="auto"/>
          </w:divBdr>
          <w:divsChild>
            <w:div w:id="1496653001">
              <w:marLeft w:val="0"/>
              <w:marRight w:val="0"/>
              <w:marTop w:val="0"/>
              <w:marBottom w:val="0"/>
              <w:divBdr>
                <w:top w:val="none" w:sz="0" w:space="0" w:color="auto"/>
                <w:left w:val="none" w:sz="0" w:space="0" w:color="auto"/>
                <w:bottom w:val="none" w:sz="0" w:space="0" w:color="auto"/>
                <w:right w:val="none" w:sz="0" w:space="0" w:color="auto"/>
              </w:divBdr>
            </w:div>
            <w:div w:id="1686788515">
              <w:marLeft w:val="0"/>
              <w:marRight w:val="0"/>
              <w:marTop w:val="0"/>
              <w:marBottom w:val="0"/>
              <w:divBdr>
                <w:top w:val="none" w:sz="0" w:space="0" w:color="auto"/>
                <w:left w:val="none" w:sz="0" w:space="0" w:color="auto"/>
                <w:bottom w:val="none" w:sz="0" w:space="0" w:color="auto"/>
                <w:right w:val="none" w:sz="0" w:space="0" w:color="auto"/>
              </w:divBdr>
            </w:div>
          </w:divsChild>
        </w:div>
        <w:div w:id="1914970824">
          <w:marLeft w:val="0"/>
          <w:marRight w:val="0"/>
          <w:marTop w:val="0"/>
          <w:marBottom w:val="0"/>
          <w:divBdr>
            <w:top w:val="none" w:sz="0" w:space="0" w:color="auto"/>
            <w:left w:val="none" w:sz="0" w:space="0" w:color="auto"/>
            <w:bottom w:val="none" w:sz="0" w:space="0" w:color="auto"/>
            <w:right w:val="none" w:sz="0" w:space="0" w:color="auto"/>
          </w:divBdr>
          <w:divsChild>
            <w:div w:id="1932930651">
              <w:marLeft w:val="0"/>
              <w:marRight w:val="0"/>
              <w:marTop w:val="0"/>
              <w:marBottom w:val="0"/>
              <w:divBdr>
                <w:top w:val="none" w:sz="0" w:space="0" w:color="auto"/>
                <w:left w:val="none" w:sz="0" w:space="0" w:color="auto"/>
                <w:bottom w:val="none" w:sz="0" w:space="0" w:color="auto"/>
                <w:right w:val="none" w:sz="0" w:space="0" w:color="auto"/>
              </w:divBdr>
            </w:div>
          </w:divsChild>
        </w:div>
        <w:div w:id="2004355587">
          <w:marLeft w:val="0"/>
          <w:marRight w:val="0"/>
          <w:marTop w:val="0"/>
          <w:marBottom w:val="0"/>
          <w:divBdr>
            <w:top w:val="none" w:sz="0" w:space="0" w:color="auto"/>
            <w:left w:val="none" w:sz="0" w:space="0" w:color="auto"/>
            <w:bottom w:val="none" w:sz="0" w:space="0" w:color="auto"/>
            <w:right w:val="none" w:sz="0" w:space="0" w:color="auto"/>
          </w:divBdr>
          <w:divsChild>
            <w:div w:id="2033141544">
              <w:marLeft w:val="0"/>
              <w:marRight w:val="0"/>
              <w:marTop w:val="0"/>
              <w:marBottom w:val="0"/>
              <w:divBdr>
                <w:top w:val="none" w:sz="0" w:space="0" w:color="auto"/>
                <w:left w:val="none" w:sz="0" w:space="0" w:color="auto"/>
                <w:bottom w:val="none" w:sz="0" w:space="0" w:color="auto"/>
                <w:right w:val="none" w:sz="0" w:space="0" w:color="auto"/>
              </w:divBdr>
            </w:div>
          </w:divsChild>
        </w:div>
        <w:div w:id="2019115015">
          <w:marLeft w:val="0"/>
          <w:marRight w:val="0"/>
          <w:marTop w:val="0"/>
          <w:marBottom w:val="0"/>
          <w:divBdr>
            <w:top w:val="none" w:sz="0" w:space="0" w:color="auto"/>
            <w:left w:val="none" w:sz="0" w:space="0" w:color="auto"/>
            <w:bottom w:val="none" w:sz="0" w:space="0" w:color="auto"/>
            <w:right w:val="none" w:sz="0" w:space="0" w:color="auto"/>
          </w:divBdr>
          <w:divsChild>
            <w:div w:id="73651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1187">
      <w:bodyDiv w:val="1"/>
      <w:marLeft w:val="0"/>
      <w:marRight w:val="0"/>
      <w:marTop w:val="0"/>
      <w:marBottom w:val="0"/>
      <w:divBdr>
        <w:top w:val="none" w:sz="0" w:space="0" w:color="auto"/>
        <w:left w:val="none" w:sz="0" w:space="0" w:color="auto"/>
        <w:bottom w:val="none" w:sz="0" w:space="0" w:color="auto"/>
        <w:right w:val="none" w:sz="0" w:space="0" w:color="auto"/>
      </w:divBdr>
      <w:divsChild>
        <w:div w:id="97065657">
          <w:marLeft w:val="0"/>
          <w:marRight w:val="0"/>
          <w:marTop w:val="0"/>
          <w:marBottom w:val="0"/>
          <w:divBdr>
            <w:top w:val="none" w:sz="0" w:space="0" w:color="auto"/>
            <w:left w:val="none" w:sz="0" w:space="0" w:color="auto"/>
            <w:bottom w:val="none" w:sz="0" w:space="0" w:color="auto"/>
            <w:right w:val="none" w:sz="0" w:space="0" w:color="auto"/>
          </w:divBdr>
          <w:divsChild>
            <w:div w:id="1270972302">
              <w:marLeft w:val="0"/>
              <w:marRight w:val="0"/>
              <w:marTop w:val="0"/>
              <w:marBottom w:val="0"/>
              <w:divBdr>
                <w:top w:val="none" w:sz="0" w:space="0" w:color="auto"/>
                <w:left w:val="none" w:sz="0" w:space="0" w:color="auto"/>
                <w:bottom w:val="none" w:sz="0" w:space="0" w:color="auto"/>
                <w:right w:val="none" w:sz="0" w:space="0" w:color="auto"/>
              </w:divBdr>
            </w:div>
          </w:divsChild>
        </w:div>
        <w:div w:id="117800838">
          <w:marLeft w:val="0"/>
          <w:marRight w:val="0"/>
          <w:marTop w:val="0"/>
          <w:marBottom w:val="0"/>
          <w:divBdr>
            <w:top w:val="none" w:sz="0" w:space="0" w:color="auto"/>
            <w:left w:val="none" w:sz="0" w:space="0" w:color="auto"/>
            <w:bottom w:val="none" w:sz="0" w:space="0" w:color="auto"/>
            <w:right w:val="none" w:sz="0" w:space="0" w:color="auto"/>
          </w:divBdr>
          <w:divsChild>
            <w:div w:id="78715546">
              <w:marLeft w:val="0"/>
              <w:marRight w:val="0"/>
              <w:marTop w:val="0"/>
              <w:marBottom w:val="0"/>
              <w:divBdr>
                <w:top w:val="none" w:sz="0" w:space="0" w:color="auto"/>
                <w:left w:val="none" w:sz="0" w:space="0" w:color="auto"/>
                <w:bottom w:val="none" w:sz="0" w:space="0" w:color="auto"/>
                <w:right w:val="none" w:sz="0" w:space="0" w:color="auto"/>
              </w:divBdr>
            </w:div>
          </w:divsChild>
        </w:div>
        <w:div w:id="149443137">
          <w:marLeft w:val="0"/>
          <w:marRight w:val="0"/>
          <w:marTop w:val="0"/>
          <w:marBottom w:val="0"/>
          <w:divBdr>
            <w:top w:val="none" w:sz="0" w:space="0" w:color="auto"/>
            <w:left w:val="none" w:sz="0" w:space="0" w:color="auto"/>
            <w:bottom w:val="none" w:sz="0" w:space="0" w:color="auto"/>
            <w:right w:val="none" w:sz="0" w:space="0" w:color="auto"/>
          </w:divBdr>
          <w:divsChild>
            <w:div w:id="461702848">
              <w:marLeft w:val="0"/>
              <w:marRight w:val="0"/>
              <w:marTop w:val="0"/>
              <w:marBottom w:val="0"/>
              <w:divBdr>
                <w:top w:val="none" w:sz="0" w:space="0" w:color="auto"/>
                <w:left w:val="none" w:sz="0" w:space="0" w:color="auto"/>
                <w:bottom w:val="none" w:sz="0" w:space="0" w:color="auto"/>
                <w:right w:val="none" w:sz="0" w:space="0" w:color="auto"/>
              </w:divBdr>
            </w:div>
          </w:divsChild>
        </w:div>
        <w:div w:id="160124251">
          <w:marLeft w:val="0"/>
          <w:marRight w:val="0"/>
          <w:marTop w:val="0"/>
          <w:marBottom w:val="0"/>
          <w:divBdr>
            <w:top w:val="none" w:sz="0" w:space="0" w:color="auto"/>
            <w:left w:val="none" w:sz="0" w:space="0" w:color="auto"/>
            <w:bottom w:val="none" w:sz="0" w:space="0" w:color="auto"/>
            <w:right w:val="none" w:sz="0" w:space="0" w:color="auto"/>
          </w:divBdr>
          <w:divsChild>
            <w:div w:id="1910843562">
              <w:marLeft w:val="0"/>
              <w:marRight w:val="0"/>
              <w:marTop w:val="0"/>
              <w:marBottom w:val="0"/>
              <w:divBdr>
                <w:top w:val="none" w:sz="0" w:space="0" w:color="auto"/>
                <w:left w:val="none" w:sz="0" w:space="0" w:color="auto"/>
                <w:bottom w:val="none" w:sz="0" w:space="0" w:color="auto"/>
                <w:right w:val="none" w:sz="0" w:space="0" w:color="auto"/>
              </w:divBdr>
            </w:div>
          </w:divsChild>
        </w:div>
        <w:div w:id="177892442">
          <w:marLeft w:val="0"/>
          <w:marRight w:val="0"/>
          <w:marTop w:val="0"/>
          <w:marBottom w:val="0"/>
          <w:divBdr>
            <w:top w:val="none" w:sz="0" w:space="0" w:color="auto"/>
            <w:left w:val="none" w:sz="0" w:space="0" w:color="auto"/>
            <w:bottom w:val="none" w:sz="0" w:space="0" w:color="auto"/>
            <w:right w:val="none" w:sz="0" w:space="0" w:color="auto"/>
          </w:divBdr>
          <w:divsChild>
            <w:div w:id="355278667">
              <w:marLeft w:val="0"/>
              <w:marRight w:val="0"/>
              <w:marTop w:val="0"/>
              <w:marBottom w:val="0"/>
              <w:divBdr>
                <w:top w:val="none" w:sz="0" w:space="0" w:color="auto"/>
                <w:left w:val="none" w:sz="0" w:space="0" w:color="auto"/>
                <w:bottom w:val="none" w:sz="0" w:space="0" w:color="auto"/>
                <w:right w:val="none" w:sz="0" w:space="0" w:color="auto"/>
              </w:divBdr>
            </w:div>
          </w:divsChild>
        </w:div>
        <w:div w:id="294221861">
          <w:marLeft w:val="0"/>
          <w:marRight w:val="0"/>
          <w:marTop w:val="0"/>
          <w:marBottom w:val="0"/>
          <w:divBdr>
            <w:top w:val="none" w:sz="0" w:space="0" w:color="auto"/>
            <w:left w:val="none" w:sz="0" w:space="0" w:color="auto"/>
            <w:bottom w:val="none" w:sz="0" w:space="0" w:color="auto"/>
            <w:right w:val="none" w:sz="0" w:space="0" w:color="auto"/>
          </w:divBdr>
          <w:divsChild>
            <w:div w:id="145051984">
              <w:marLeft w:val="0"/>
              <w:marRight w:val="0"/>
              <w:marTop w:val="0"/>
              <w:marBottom w:val="0"/>
              <w:divBdr>
                <w:top w:val="none" w:sz="0" w:space="0" w:color="auto"/>
                <w:left w:val="none" w:sz="0" w:space="0" w:color="auto"/>
                <w:bottom w:val="none" w:sz="0" w:space="0" w:color="auto"/>
                <w:right w:val="none" w:sz="0" w:space="0" w:color="auto"/>
              </w:divBdr>
            </w:div>
          </w:divsChild>
        </w:div>
        <w:div w:id="384646756">
          <w:marLeft w:val="0"/>
          <w:marRight w:val="0"/>
          <w:marTop w:val="0"/>
          <w:marBottom w:val="0"/>
          <w:divBdr>
            <w:top w:val="none" w:sz="0" w:space="0" w:color="auto"/>
            <w:left w:val="none" w:sz="0" w:space="0" w:color="auto"/>
            <w:bottom w:val="none" w:sz="0" w:space="0" w:color="auto"/>
            <w:right w:val="none" w:sz="0" w:space="0" w:color="auto"/>
          </w:divBdr>
          <w:divsChild>
            <w:div w:id="442304733">
              <w:marLeft w:val="0"/>
              <w:marRight w:val="0"/>
              <w:marTop w:val="0"/>
              <w:marBottom w:val="0"/>
              <w:divBdr>
                <w:top w:val="none" w:sz="0" w:space="0" w:color="auto"/>
                <w:left w:val="none" w:sz="0" w:space="0" w:color="auto"/>
                <w:bottom w:val="none" w:sz="0" w:space="0" w:color="auto"/>
                <w:right w:val="none" w:sz="0" w:space="0" w:color="auto"/>
              </w:divBdr>
            </w:div>
          </w:divsChild>
        </w:div>
        <w:div w:id="417749365">
          <w:marLeft w:val="0"/>
          <w:marRight w:val="0"/>
          <w:marTop w:val="0"/>
          <w:marBottom w:val="0"/>
          <w:divBdr>
            <w:top w:val="none" w:sz="0" w:space="0" w:color="auto"/>
            <w:left w:val="none" w:sz="0" w:space="0" w:color="auto"/>
            <w:bottom w:val="none" w:sz="0" w:space="0" w:color="auto"/>
            <w:right w:val="none" w:sz="0" w:space="0" w:color="auto"/>
          </w:divBdr>
          <w:divsChild>
            <w:div w:id="83890538">
              <w:marLeft w:val="0"/>
              <w:marRight w:val="0"/>
              <w:marTop w:val="0"/>
              <w:marBottom w:val="0"/>
              <w:divBdr>
                <w:top w:val="none" w:sz="0" w:space="0" w:color="auto"/>
                <w:left w:val="none" w:sz="0" w:space="0" w:color="auto"/>
                <w:bottom w:val="none" w:sz="0" w:space="0" w:color="auto"/>
                <w:right w:val="none" w:sz="0" w:space="0" w:color="auto"/>
              </w:divBdr>
            </w:div>
            <w:div w:id="2087725095">
              <w:marLeft w:val="0"/>
              <w:marRight w:val="0"/>
              <w:marTop w:val="0"/>
              <w:marBottom w:val="0"/>
              <w:divBdr>
                <w:top w:val="none" w:sz="0" w:space="0" w:color="auto"/>
                <w:left w:val="none" w:sz="0" w:space="0" w:color="auto"/>
                <w:bottom w:val="none" w:sz="0" w:space="0" w:color="auto"/>
                <w:right w:val="none" w:sz="0" w:space="0" w:color="auto"/>
              </w:divBdr>
            </w:div>
          </w:divsChild>
        </w:div>
        <w:div w:id="548103764">
          <w:marLeft w:val="0"/>
          <w:marRight w:val="0"/>
          <w:marTop w:val="0"/>
          <w:marBottom w:val="0"/>
          <w:divBdr>
            <w:top w:val="none" w:sz="0" w:space="0" w:color="auto"/>
            <w:left w:val="none" w:sz="0" w:space="0" w:color="auto"/>
            <w:bottom w:val="none" w:sz="0" w:space="0" w:color="auto"/>
            <w:right w:val="none" w:sz="0" w:space="0" w:color="auto"/>
          </w:divBdr>
          <w:divsChild>
            <w:div w:id="39550809">
              <w:marLeft w:val="0"/>
              <w:marRight w:val="0"/>
              <w:marTop w:val="0"/>
              <w:marBottom w:val="0"/>
              <w:divBdr>
                <w:top w:val="none" w:sz="0" w:space="0" w:color="auto"/>
                <w:left w:val="none" w:sz="0" w:space="0" w:color="auto"/>
                <w:bottom w:val="none" w:sz="0" w:space="0" w:color="auto"/>
                <w:right w:val="none" w:sz="0" w:space="0" w:color="auto"/>
              </w:divBdr>
            </w:div>
          </w:divsChild>
        </w:div>
        <w:div w:id="637878810">
          <w:marLeft w:val="0"/>
          <w:marRight w:val="0"/>
          <w:marTop w:val="0"/>
          <w:marBottom w:val="0"/>
          <w:divBdr>
            <w:top w:val="none" w:sz="0" w:space="0" w:color="auto"/>
            <w:left w:val="none" w:sz="0" w:space="0" w:color="auto"/>
            <w:bottom w:val="none" w:sz="0" w:space="0" w:color="auto"/>
            <w:right w:val="none" w:sz="0" w:space="0" w:color="auto"/>
          </w:divBdr>
          <w:divsChild>
            <w:div w:id="1666014619">
              <w:marLeft w:val="0"/>
              <w:marRight w:val="0"/>
              <w:marTop w:val="0"/>
              <w:marBottom w:val="0"/>
              <w:divBdr>
                <w:top w:val="none" w:sz="0" w:space="0" w:color="auto"/>
                <w:left w:val="none" w:sz="0" w:space="0" w:color="auto"/>
                <w:bottom w:val="none" w:sz="0" w:space="0" w:color="auto"/>
                <w:right w:val="none" w:sz="0" w:space="0" w:color="auto"/>
              </w:divBdr>
            </w:div>
          </w:divsChild>
        </w:div>
        <w:div w:id="772436992">
          <w:marLeft w:val="0"/>
          <w:marRight w:val="0"/>
          <w:marTop w:val="0"/>
          <w:marBottom w:val="0"/>
          <w:divBdr>
            <w:top w:val="none" w:sz="0" w:space="0" w:color="auto"/>
            <w:left w:val="none" w:sz="0" w:space="0" w:color="auto"/>
            <w:bottom w:val="none" w:sz="0" w:space="0" w:color="auto"/>
            <w:right w:val="none" w:sz="0" w:space="0" w:color="auto"/>
          </w:divBdr>
          <w:divsChild>
            <w:div w:id="32771471">
              <w:marLeft w:val="0"/>
              <w:marRight w:val="0"/>
              <w:marTop w:val="0"/>
              <w:marBottom w:val="0"/>
              <w:divBdr>
                <w:top w:val="none" w:sz="0" w:space="0" w:color="auto"/>
                <w:left w:val="none" w:sz="0" w:space="0" w:color="auto"/>
                <w:bottom w:val="none" w:sz="0" w:space="0" w:color="auto"/>
                <w:right w:val="none" w:sz="0" w:space="0" w:color="auto"/>
              </w:divBdr>
            </w:div>
          </w:divsChild>
        </w:div>
        <w:div w:id="814495567">
          <w:marLeft w:val="0"/>
          <w:marRight w:val="0"/>
          <w:marTop w:val="0"/>
          <w:marBottom w:val="0"/>
          <w:divBdr>
            <w:top w:val="none" w:sz="0" w:space="0" w:color="auto"/>
            <w:left w:val="none" w:sz="0" w:space="0" w:color="auto"/>
            <w:bottom w:val="none" w:sz="0" w:space="0" w:color="auto"/>
            <w:right w:val="none" w:sz="0" w:space="0" w:color="auto"/>
          </w:divBdr>
          <w:divsChild>
            <w:div w:id="112943949">
              <w:marLeft w:val="0"/>
              <w:marRight w:val="0"/>
              <w:marTop w:val="0"/>
              <w:marBottom w:val="0"/>
              <w:divBdr>
                <w:top w:val="none" w:sz="0" w:space="0" w:color="auto"/>
                <w:left w:val="none" w:sz="0" w:space="0" w:color="auto"/>
                <w:bottom w:val="none" w:sz="0" w:space="0" w:color="auto"/>
                <w:right w:val="none" w:sz="0" w:space="0" w:color="auto"/>
              </w:divBdr>
            </w:div>
          </w:divsChild>
        </w:div>
        <w:div w:id="830605076">
          <w:marLeft w:val="0"/>
          <w:marRight w:val="0"/>
          <w:marTop w:val="0"/>
          <w:marBottom w:val="0"/>
          <w:divBdr>
            <w:top w:val="none" w:sz="0" w:space="0" w:color="auto"/>
            <w:left w:val="none" w:sz="0" w:space="0" w:color="auto"/>
            <w:bottom w:val="none" w:sz="0" w:space="0" w:color="auto"/>
            <w:right w:val="none" w:sz="0" w:space="0" w:color="auto"/>
          </w:divBdr>
          <w:divsChild>
            <w:div w:id="1437754089">
              <w:marLeft w:val="0"/>
              <w:marRight w:val="0"/>
              <w:marTop w:val="0"/>
              <w:marBottom w:val="0"/>
              <w:divBdr>
                <w:top w:val="none" w:sz="0" w:space="0" w:color="auto"/>
                <w:left w:val="none" w:sz="0" w:space="0" w:color="auto"/>
                <w:bottom w:val="none" w:sz="0" w:space="0" w:color="auto"/>
                <w:right w:val="none" w:sz="0" w:space="0" w:color="auto"/>
              </w:divBdr>
            </w:div>
          </w:divsChild>
        </w:div>
        <w:div w:id="960844796">
          <w:marLeft w:val="0"/>
          <w:marRight w:val="0"/>
          <w:marTop w:val="0"/>
          <w:marBottom w:val="0"/>
          <w:divBdr>
            <w:top w:val="none" w:sz="0" w:space="0" w:color="auto"/>
            <w:left w:val="none" w:sz="0" w:space="0" w:color="auto"/>
            <w:bottom w:val="none" w:sz="0" w:space="0" w:color="auto"/>
            <w:right w:val="none" w:sz="0" w:space="0" w:color="auto"/>
          </w:divBdr>
          <w:divsChild>
            <w:div w:id="1616980780">
              <w:marLeft w:val="0"/>
              <w:marRight w:val="0"/>
              <w:marTop w:val="0"/>
              <w:marBottom w:val="0"/>
              <w:divBdr>
                <w:top w:val="none" w:sz="0" w:space="0" w:color="auto"/>
                <w:left w:val="none" w:sz="0" w:space="0" w:color="auto"/>
                <w:bottom w:val="none" w:sz="0" w:space="0" w:color="auto"/>
                <w:right w:val="none" w:sz="0" w:space="0" w:color="auto"/>
              </w:divBdr>
            </w:div>
          </w:divsChild>
        </w:div>
        <w:div w:id="1021202451">
          <w:marLeft w:val="0"/>
          <w:marRight w:val="0"/>
          <w:marTop w:val="0"/>
          <w:marBottom w:val="0"/>
          <w:divBdr>
            <w:top w:val="none" w:sz="0" w:space="0" w:color="auto"/>
            <w:left w:val="none" w:sz="0" w:space="0" w:color="auto"/>
            <w:bottom w:val="none" w:sz="0" w:space="0" w:color="auto"/>
            <w:right w:val="none" w:sz="0" w:space="0" w:color="auto"/>
          </w:divBdr>
          <w:divsChild>
            <w:div w:id="1911965262">
              <w:marLeft w:val="0"/>
              <w:marRight w:val="0"/>
              <w:marTop w:val="0"/>
              <w:marBottom w:val="0"/>
              <w:divBdr>
                <w:top w:val="none" w:sz="0" w:space="0" w:color="auto"/>
                <w:left w:val="none" w:sz="0" w:space="0" w:color="auto"/>
                <w:bottom w:val="none" w:sz="0" w:space="0" w:color="auto"/>
                <w:right w:val="none" w:sz="0" w:space="0" w:color="auto"/>
              </w:divBdr>
            </w:div>
          </w:divsChild>
        </w:div>
        <w:div w:id="1021585451">
          <w:marLeft w:val="0"/>
          <w:marRight w:val="0"/>
          <w:marTop w:val="0"/>
          <w:marBottom w:val="0"/>
          <w:divBdr>
            <w:top w:val="none" w:sz="0" w:space="0" w:color="auto"/>
            <w:left w:val="none" w:sz="0" w:space="0" w:color="auto"/>
            <w:bottom w:val="none" w:sz="0" w:space="0" w:color="auto"/>
            <w:right w:val="none" w:sz="0" w:space="0" w:color="auto"/>
          </w:divBdr>
          <w:divsChild>
            <w:div w:id="449469308">
              <w:marLeft w:val="0"/>
              <w:marRight w:val="0"/>
              <w:marTop w:val="0"/>
              <w:marBottom w:val="0"/>
              <w:divBdr>
                <w:top w:val="none" w:sz="0" w:space="0" w:color="auto"/>
                <w:left w:val="none" w:sz="0" w:space="0" w:color="auto"/>
                <w:bottom w:val="none" w:sz="0" w:space="0" w:color="auto"/>
                <w:right w:val="none" w:sz="0" w:space="0" w:color="auto"/>
              </w:divBdr>
            </w:div>
          </w:divsChild>
        </w:div>
        <w:div w:id="1090471970">
          <w:marLeft w:val="0"/>
          <w:marRight w:val="0"/>
          <w:marTop w:val="0"/>
          <w:marBottom w:val="0"/>
          <w:divBdr>
            <w:top w:val="none" w:sz="0" w:space="0" w:color="auto"/>
            <w:left w:val="none" w:sz="0" w:space="0" w:color="auto"/>
            <w:bottom w:val="none" w:sz="0" w:space="0" w:color="auto"/>
            <w:right w:val="none" w:sz="0" w:space="0" w:color="auto"/>
          </w:divBdr>
          <w:divsChild>
            <w:div w:id="1322201667">
              <w:marLeft w:val="0"/>
              <w:marRight w:val="0"/>
              <w:marTop w:val="0"/>
              <w:marBottom w:val="0"/>
              <w:divBdr>
                <w:top w:val="none" w:sz="0" w:space="0" w:color="auto"/>
                <w:left w:val="none" w:sz="0" w:space="0" w:color="auto"/>
                <w:bottom w:val="none" w:sz="0" w:space="0" w:color="auto"/>
                <w:right w:val="none" w:sz="0" w:space="0" w:color="auto"/>
              </w:divBdr>
            </w:div>
          </w:divsChild>
        </w:div>
        <w:div w:id="1191919367">
          <w:marLeft w:val="0"/>
          <w:marRight w:val="0"/>
          <w:marTop w:val="0"/>
          <w:marBottom w:val="0"/>
          <w:divBdr>
            <w:top w:val="none" w:sz="0" w:space="0" w:color="auto"/>
            <w:left w:val="none" w:sz="0" w:space="0" w:color="auto"/>
            <w:bottom w:val="none" w:sz="0" w:space="0" w:color="auto"/>
            <w:right w:val="none" w:sz="0" w:space="0" w:color="auto"/>
          </w:divBdr>
          <w:divsChild>
            <w:div w:id="1153374155">
              <w:marLeft w:val="0"/>
              <w:marRight w:val="0"/>
              <w:marTop w:val="0"/>
              <w:marBottom w:val="0"/>
              <w:divBdr>
                <w:top w:val="none" w:sz="0" w:space="0" w:color="auto"/>
                <w:left w:val="none" w:sz="0" w:space="0" w:color="auto"/>
                <w:bottom w:val="none" w:sz="0" w:space="0" w:color="auto"/>
                <w:right w:val="none" w:sz="0" w:space="0" w:color="auto"/>
              </w:divBdr>
            </w:div>
          </w:divsChild>
        </w:div>
        <w:div w:id="1513379613">
          <w:marLeft w:val="0"/>
          <w:marRight w:val="0"/>
          <w:marTop w:val="0"/>
          <w:marBottom w:val="0"/>
          <w:divBdr>
            <w:top w:val="none" w:sz="0" w:space="0" w:color="auto"/>
            <w:left w:val="none" w:sz="0" w:space="0" w:color="auto"/>
            <w:bottom w:val="none" w:sz="0" w:space="0" w:color="auto"/>
            <w:right w:val="none" w:sz="0" w:space="0" w:color="auto"/>
          </w:divBdr>
          <w:divsChild>
            <w:div w:id="1045640695">
              <w:marLeft w:val="0"/>
              <w:marRight w:val="0"/>
              <w:marTop w:val="0"/>
              <w:marBottom w:val="0"/>
              <w:divBdr>
                <w:top w:val="none" w:sz="0" w:space="0" w:color="auto"/>
                <w:left w:val="none" w:sz="0" w:space="0" w:color="auto"/>
                <w:bottom w:val="none" w:sz="0" w:space="0" w:color="auto"/>
                <w:right w:val="none" w:sz="0" w:space="0" w:color="auto"/>
              </w:divBdr>
            </w:div>
          </w:divsChild>
        </w:div>
        <w:div w:id="1513567185">
          <w:marLeft w:val="0"/>
          <w:marRight w:val="0"/>
          <w:marTop w:val="0"/>
          <w:marBottom w:val="0"/>
          <w:divBdr>
            <w:top w:val="none" w:sz="0" w:space="0" w:color="auto"/>
            <w:left w:val="none" w:sz="0" w:space="0" w:color="auto"/>
            <w:bottom w:val="none" w:sz="0" w:space="0" w:color="auto"/>
            <w:right w:val="none" w:sz="0" w:space="0" w:color="auto"/>
          </w:divBdr>
          <w:divsChild>
            <w:div w:id="1427729391">
              <w:marLeft w:val="0"/>
              <w:marRight w:val="0"/>
              <w:marTop w:val="0"/>
              <w:marBottom w:val="0"/>
              <w:divBdr>
                <w:top w:val="none" w:sz="0" w:space="0" w:color="auto"/>
                <w:left w:val="none" w:sz="0" w:space="0" w:color="auto"/>
                <w:bottom w:val="none" w:sz="0" w:space="0" w:color="auto"/>
                <w:right w:val="none" w:sz="0" w:space="0" w:color="auto"/>
              </w:divBdr>
            </w:div>
          </w:divsChild>
        </w:div>
        <w:div w:id="1682118942">
          <w:marLeft w:val="0"/>
          <w:marRight w:val="0"/>
          <w:marTop w:val="0"/>
          <w:marBottom w:val="0"/>
          <w:divBdr>
            <w:top w:val="none" w:sz="0" w:space="0" w:color="auto"/>
            <w:left w:val="none" w:sz="0" w:space="0" w:color="auto"/>
            <w:bottom w:val="none" w:sz="0" w:space="0" w:color="auto"/>
            <w:right w:val="none" w:sz="0" w:space="0" w:color="auto"/>
          </w:divBdr>
          <w:divsChild>
            <w:div w:id="902718150">
              <w:marLeft w:val="0"/>
              <w:marRight w:val="0"/>
              <w:marTop w:val="0"/>
              <w:marBottom w:val="0"/>
              <w:divBdr>
                <w:top w:val="none" w:sz="0" w:space="0" w:color="auto"/>
                <w:left w:val="none" w:sz="0" w:space="0" w:color="auto"/>
                <w:bottom w:val="none" w:sz="0" w:space="0" w:color="auto"/>
                <w:right w:val="none" w:sz="0" w:space="0" w:color="auto"/>
              </w:divBdr>
            </w:div>
          </w:divsChild>
        </w:div>
        <w:div w:id="2086800267">
          <w:marLeft w:val="0"/>
          <w:marRight w:val="0"/>
          <w:marTop w:val="0"/>
          <w:marBottom w:val="0"/>
          <w:divBdr>
            <w:top w:val="none" w:sz="0" w:space="0" w:color="auto"/>
            <w:left w:val="none" w:sz="0" w:space="0" w:color="auto"/>
            <w:bottom w:val="none" w:sz="0" w:space="0" w:color="auto"/>
            <w:right w:val="none" w:sz="0" w:space="0" w:color="auto"/>
          </w:divBdr>
          <w:divsChild>
            <w:div w:id="554270368">
              <w:marLeft w:val="0"/>
              <w:marRight w:val="0"/>
              <w:marTop w:val="0"/>
              <w:marBottom w:val="0"/>
              <w:divBdr>
                <w:top w:val="none" w:sz="0" w:space="0" w:color="auto"/>
                <w:left w:val="none" w:sz="0" w:space="0" w:color="auto"/>
                <w:bottom w:val="none" w:sz="0" w:space="0" w:color="auto"/>
                <w:right w:val="none" w:sz="0" w:space="0" w:color="auto"/>
              </w:divBdr>
            </w:div>
            <w:div w:id="1572422528">
              <w:marLeft w:val="0"/>
              <w:marRight w:val="0"/>
              <w:marTop w:val="0"/>
              <w:marBottom w:val="0"/>
              <w:divBdr>
                <w:top w:val="none" w:sz="0" w:space="0" w:color="auto"/>
                <w:left w:val="none" w:sz="0" w:space="0" w:color="auto"/>
                <w:bottom w:val="none" w:sz="0" w:space="0" w:color="auto"/>
                <w:right w:val="none" w:sz="0" w:space="0" w:color="auto"/>
              </w:divBdr>
            </w:div>
          </w:divsChild>
        </w:div>
        <w:div w:id="2114203820">
          <w:marLeft w:val="0"/>
          <w:marRight w:val="0"/>
          <w:marTop w:val="0"/>
          <w:marBottom w:val="0"/>
          <w:divBdr>
            <w:top w:val="none" w:sz="0" w:space="0" w:color="auto"/>
            <w:left w:val="none" w:sz="0" w:space="0" w:color="auto"/>
            <w:bottom w:val="none" w:sz="0" w:space="0" w:color="auto"/>
            <w:right w:val="none" w:sz="0" w:space="0" w:color="auto"/>
          </w:divBdr>
          <w:divsChild>
            <w:div w:id="1112047058">
              <w:marLeft w:val="0"/>
              <w:marRight w:val="0"/>
              <w:marTop w:val="0"/>
              <w:marBottom w:val="0"/>
              <w:divBdr>
                <w:top w:val="none" w:sz="0" w:space="0" w:color="auto"/>
                <w:left w:val="none" w:sz="0" w:space="0" w:color="auto"/>
                <w:bottom w:val="none" w:sz="0" w:space="0" w:color="auto"/>
                <w:right w:val="none" w:sz="0" w:space="0" w:color="auto"/>
              </w:divBdr>
            </w:div>
          </w:divsChild>
        </w:div>
        <w:div w:id="2135906909">
          <w:marLeft w:val="0"/>
          <w:marRight w:val="0"/>
          <w:marTop w:val="0"/>
          <w:marBottom w:val="0"/>
          <w:divBdr>
            <w:top w:val="none" w:sz="0" w:space="0" w:color="auto"/>
            <w:left w:val="none" w:sz="0" w:space="0" w:color="auto"/>
            <w:bottom w:val="none" w:sz="0" w:space="0" w:color="auto"/>
            <w:right w:val="none" w:sz="0" w:space="0" w:color="auto"/>
          </w:divBdr>
          <w:divsChild>
            <w:div w:id="5860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4147">
      <w:bodyDiv w:val="1"/>
      <w:marLeft w:val="0"/>
      <w:marRight w:val="0"/>
      <w:marTop w:val="0"/>
      <w:marBottom w:val="0"/>
      <w:divBdr>
        <w:top w:val="none" w:sz="0" w:space="0" w:color="auto"/>
        <w:left w:val="none" w:sz="0" w:space="0" w:color="auto"/>
        <w:bottom w:val="none" w:sz="0" w:space="0" w:color="auto"/>
        <w:right w:val="none" w:sz="0" w:space="0" w:color="auto"/>
      </w:divBdr>
    </w:div>
    <w:div w:id="163906023">
      <w:bodyDiv w:val="1"/>
      <w:marLeft w:val="0"/>
      <w:marRight w:val="0"/>
      <w:marTop w:val="0"/>
      <w:marBottom w:val="0"/>
      <w:divBdr>
        <w:top w:val="none" w:sz="0" w:space="0" w:color="auto"/>
        <w:left w:val="none" w:sz="0" w:space="0" w:color="auto"/>
        <w:bottom w:val="none" w:sz="0" w:space="0" w:color="auto"/>
        <w:right w:val="none" w:sz="0" w:space="0" w:color="auto"/>
      </w:divBdr>
      <w:divsChild>
        <w:div w:id="31930345">
          <w:marLeft w:val="0"/>
          <w:marRight w:val="0"/>
          <w:marTop w:val="0"/>
          <w:marBottom w:val="0"/>
          <w:divBdr>
            <w:top w:val="none" w:sz="0" w:space="0" w:color="auto"/>
            <w:left w:val="none" w:sz="0" w:space="0" w:color="auto"/>
            <w:bottom w:val="none" w:sz="0" w:space="0" w:color="auto"/>
            <w:right w:val="none" w:sz="0" w:space="0" w:color="auto"/>
          </w:divBdr>
          <w:divsChild>
            <w:div w:id="713233473">
              <w:marLeft w:val="-75"/>
              <w:marRight w:val="0"/>
              <w:marTop w:val="30"/>
              <w:marBottom w:val="30"/>
              <w:divBdr>
                <w:top w:val="none" w:sz="0" w:space="0" w:color="auto"/>
                <w:left w:val="none" w:sz="0" w:space="0" w:color="auto"/>
                <w:bottom w:val="none" w:sz="0" w:space="0" w:color="auto"/>
                <w:right w:val="none" w:sz="0" w:space="0" w:color="auto"/>
              </w:divBdr>
              <w:divsChild>
                <w:div w:id="80874008">
                  <w:marLeft w:val="0"/>
                  <w:marRight w:val="0"/>
                  <w:marTop w:val="0"/>
                  <w:marBottom w:val="0"/>
                  <w:divBdr>
                    <w:top w:val="none" w:sz="0" w:space="0" w:color="auto"/>
                    <w:left w:val="none" w:sz="0" w:space="0" w:color="auto"/>
                    <w:bottom w:val="none" w:sz="0" w:space="0" w:color="auto"/>
                    <w:right w:val="none" w:sz="0" w:space="0" w:color="auto"/>
                  </w:divBdr>
                  <w:divsChild>
                    <w:div w:id="616106088">
                      <w:marLeft w:val="0"/>
                      <w:marRight w:val="0"/>
                      <w:marTop w:val="0"/>
                      <w:marBottom w:val="0"/>
                      <w:divBdr>
                        <w:top w:val="none" w:sz="0" w:space="0" w:color="auto"/>
                        <w:left w:val="none" w:sz="0" w:space="0" w:color="auto"/>
                        <w:bottom w:val="none" w:sz="0" w:space="0" w:color="auto"/>
                        <w:right w:val="none" w:sz="0" w:space="0" w:color="auto"/>
                      </w:divBdr>
                    </w:div>
                  </w:divsChild>
                </w:div>
                <w:div w:id="123814377">
                  <w:marLeft w:val="0"/>
                  <w:marRight w:val="0"/>
                  <w:marTop w:val="0"/>
                  <w:marBottom w:val="0"/>
                  <w:divBdr>
                    <w:top w:val="none" w:sz="0" w:space="0" w:color="auto"/>
                    <w:left w:val="none" w:sz="0" w:space="0" w:color="auto"/>
                    <w:bottom w:val="none" w:sz="0" w:space="0" w:color="auto"/>
                    <w:right w:val="none" w:sz="0" w:space="0" w:color="auto"/>
                  </w:divBdr>
                  <w:divsChild>
                    <w:div w:id="1109278895">
                      <w:marLeft w:val="0"/>
                      <w:marRight w:val="0"/>
                      <w:marTop w:val="0"/>
                      <w:marBottom w:val="0"/>
                      <w:divBdr>
                        <w:top w:val="none" w:sz="0" w:space="0" w:color="auto"/>
                        <w:left w:val="none" w:sz="0" w:space="0" w:color="auto"/>
                        <w:bottom w:val="none" w:sz="0" w:space="0" w:color="auto"/>
                        <w:right w:val="none" w:sz="0" w:space="0" w:color="auto"/>
                      </w:divBdr>
                    </w:div>
                  </w:divsChild>
                </w:div>
                <w:div w:id="175775798">
                  <w:marLeft w:val="0"/>
                  <w:marRight w:val="0"/>
                  <w:marTop w:val="0"/>
                  <w:marBottom w:val="0"/>
                  <w:divBdr>
                    <w:top w:val="none" w:sz="0" w:space="0" w:color="auto"/>
                    <w:left w:val="none" w:sz="0" w:space="0" w:color="auto"/>
                    <w:bottom w:val="none" w:sz="0" w:space="0" w:color="auto"/>
                    <w:right w:val="none" w:sz="0" w:space="0" w:color="auto"/>
                  </w:divBdr>
                  <w:divsChild>
                    <w:div w:id="1092435222">
                      <w:marLeft w:val="0"/>
                      <w:marRight w:val="0"/>
                      <w:marTop w:val="0"/>
                      <w:marBottom w:val="0"/>
                      <w:divBdr>
                        <w:top w:val="none" w:sz="0" w:space="0" w:color="auto"/>
                        <w:left w:val="none" w:sz="0" w:space="0" w:color="auto"/>
                        <w:bottom w:val="none" w:sz="0" w:space="0" w:color="auto"/>
                        <w:right w:val="none" w:sz="0" w:space="0" w:color="auto"/>
                      </w:divBdr>
                    </w:div>
                  </w:divsChild>
                </w:div>
                <w:div w:id="218129743">
                  <w:marLeft w:val="0"/>
                  <w:marRight w:val="0"/>
                  <w:marTop w:val="0"/>
                  <w:marBottom w:val="0"/>
                  <w:divBdr>
                    <w:top w:val="none" w:sz="0" w:space="0" w:color="auto"/>
                    <w:left w:val="none" w:sz="0" w:space="0" w:color="auto"/>
                    <w:bottom w:val="none" w:sz="0" w:space="0" w:color="auto"/>
                    <w:right w:val="none" w:sz="0" w:space="0" w:color="auto"/>
                  </w:divBdr>
                  <w:divsChild>
                    <w:div w:id="1624145639">
                      <w:marLeft w:val="0"/>
                      <w:marRight w:val="0"/>
                      <w:marTop w:val="0"/>
                      <w:marBottom w:val="0"/>
                      <w:divBdr>
                        <w:top w:val="none" w:sz="0" w:space="0" w:color="auto"/>
                        <w:left w:val="none" w:sz="0" w:space="0" w:color="auto"/>
                        <w:bottom w:val="none" w:sz="0" w:space="0" w:color="auto"/>
                        <w:right w:val="none" w:sz="0" w:space="0" w:color="auto"/>
                      </w:divBdr>
                    </w:div>
                  </w:divsChild>
                </w:div>
                <w:div w:id="325322807">
                  <w:marLeft w:val="0"/>
                  <w:marRight w:val="0"/>
                  <w:marTop w:val="0"/>
                  <w:marBottom w:val="0"/>
                  <w:divBdr>
                    <w:top w:val="none" w:sz="0" w:space="0" w:color="auto"/>
                    <w:left w:val="none" w:sz="0" w:space="0" w:color="auto"/>
                    <w:bottom w:val="none" w:sz="0" w:space="0" w:color="auto"/>
                    <w:right w:val="none" w:sz="0" w:space="0" w:color="auto"/>
                  </w:divBdr>
                  <w:divsChild>
                    <w:div w:id="778184604">
                      <w:marLeft w:val="0"/>
                      <w:marRight w:val="0"/>
                      <w:marTop w:val="0"/>
                      <w:marBottom w:val="0"/>
                      <w:divBdr>
                        <w:top w:val="none" w:sz="0" w:space="0" w:color="auto"/>
                        <w:left w:val="none" w:sz="0" w:space="0" w:color="auto"/>
                        <w:bottom w:val="none" w:sz="0" w:space="0" w:color="auto"/>
                        <w:right w:val="none" w:sz="0" w:space="0" w:color="auto"/>
                      </w:divBdr>
                    </w:div>
                  </w:divsChild>
                </w:div>
                <w:div w:id="361899736">
                  <w:marLeft w:val="0"/>
                  <w:marRight w:val="0"/>
                  <w:marTop w:val="0"/>
                  <w:marBottom w:val="0"/>
                  <w:divBdr>
                    <w:top w:val="none" w:sz="0" w:space="0" w:color="auto"/>
                    <w:left w:val="none" w:sz="0" w:space="0" w:color="auto"/>
                    <w:bottom w:val="none" w:sz="0" w:space="0" w:color="auto"/>
                    <w:right w:val="none" w:sz="0" w:space="0" w:color="auto"/>
                  </w:divBdr>
                  <w:divsChild>
                    <w:div w:id="477065962">
                      <w:marLeft w:val="0"/>
                      <w:marRight w:val="0"/>
                      <w:marTop w:val="0"/>
                      <w:marBottom w:val="0"/>
                      <w:divBdr>
                        <w:top w:val="none" w:sz="0" w:space="0" w:color="auto"/>
                        <w:left w:val="none" w:sz="0" w:space="0" w:color="auto"/>
                        <w:bottom w:val="none" w:sz="0" w:space="0" w:color="auto"/>
                        <w:right w:val="none" w:sz="0" w:space="0" w:color="auto"/>
                      </w:divBdr>
                    </w:div>
                  </w:divsChild>
                </w:div>
                <w:div w:id="371420599">
                  <w:marLeft w:val="0"/>
                  <w:marRight w:val="0"/>
                  <w:marTop w:val="0"/>
                  <w:marBottom w:val="0"/>
                  <w:divBdr>
                    <w:top w:val="none" w:sz="0" w:space="0" w:color="auto"/>
                    <w:left w:val="none" w:sz="0" w:space="0" w:color="auto"/>
                    <w:bottom w:val="none" w:sz="0" w:space="0" w:color="auto"/>
                    <w:right w:val="none" w:sz="0" w:space="0" w:color="auto"/>
                  </w:divBdr>
                  <w:divsChild>
                    <w:div w:id="1936480429">
                      <w:marLeft w:val="0"/>
                      <w:marRight w:val="0"/>
                      <w:marTop w:val="0"/>
                      <w:marBottom w:val="0"/>
                      <w:divBdr>
                        <w:top w:val="none" w:sz="0" w:space="0" w:color="auto"/>
                        <w:left w:val="none" w:sz="0" w:space="0" w:color="auto"/>
                        <w:bottom w:val="none" w:sz="0" w:space="0" w:color="auto"/>
                        <w:right w:val="none" w:sz="0" w:space="0" w:color="auto"/>
                      </w:divBdr>
                    </w:div>
                  </w:divsChild>
                </w:div>
                <w:div w:id="430124939">
                  <w:marLeft w:val="0"/>
                  <w:marRight w:val="0"/>
                  <w:marTop w:val="0"/>
                  <w:marBottom w:val="0"/>
                  <w:divBdr>
                    <w:top w:val="none" w:sz="0" w:space="0" w:color="auto"/>
                    <w:left w:val="none" w:sz="0" w:space="0" w:color="auto"/>
                    <w:bottom w:val="none" w:sz="0" w:space="0" w:color="auto"/>
                    <w:right w:val="none" w:sz="0" w:space="0" w:color="auto"/>
                  </w:divBdr>
                  <w:divsChild>
                    <w:div w:id="1892842232">
                      <w:marLeft w:val="0"/>
                      <w:marRight w:val="0"/>
                      <w:marTop w:val="0"/>
                      <w:marBottom w:val="0"/>
                      <w:divBdr>
                        <w:top w:val="none" w:sz="0" w:space="0" w:color="auto"/>
                        <w:left w:val="none" w:sz="0" w:space="0" w:color="auto"/>
                        <w:bottom w:val="none" w:sz="0" w:space="0" w:color="auto"/>
                        <w:right w:val="none" w:sz="0" w:space="0" w:color="auto"/>
                      </w:divBdr>
                    </w:div>
                  </w:divsChild>
                </w:div>
                <w:div w:id="584339057">
                  <w:marLeft w:val="0"/>
                  <w:marRight w:val="0"/>
                  <w:marTop w:val="0"/>
                  <w:marBottom w:val="0"/>
                  <w:divBdr>
                    <w:top w:val="none" w:sz="0" w:space="0" w:color="auto"/>
                    <w:left w:val="none" w:sz="0" w:space="0" w:color="auto"/>
                    <w:bottom w:val="none" w:sz="0" w:space="0" w:color="auto"/>
                    <w:right w:val="none" w:sz="0" w:space="0" w:color="auto"/>
                  </w:divBdr>
                  <w:divsChild>
                    <w:div w:id="686367110">
                      <w:marLeft w:val="0"/>
                      <w:marRight w:val="0"/>
                      <w:marTop w:val="0"/>
                      <w:marBottom w:val="0"/>
                      <w:divBdr>
                        <w:top w:val="none" w:sz="0" w:space="0" w:color="auto"/>
                        <w:left w:val="none" w:sz="0" w:space="0" w:color="auto"/>
                        <w:bottom w:val="none" w:sz="0" w:space="0" w:color="auto"/>
                        <w:right w:val="none" w:sz="0" w:space="0" w:color="auto"/>
                      </w:divBdr>
                    </w:div>
                  </w:divsChild>
                </w:div>
                <w:div w:id="587202783">
                  <w:marLeft w:val="0"/>
                  <w:marRight w:val="0"/>
                  <w:marTop w:val="0"/>
                  <w:marBottom w:val="0"/>
                  <w:divBdr>
                    <w:top w:val="none" w:sz="0" w:space="0" w:color="auto"/>
                    <w:left w:val="none" w:sz="0" w:space="0" w:color="auto"/>
                    <w:bottom w:val="none" w:sz="0" w:space="0" w:color="auto"/>
                    <w:right w:val="none" w:sz="0" w:space="0" w:color="auto"/>
                  </w:divBdr>
                  <w:divsChild>
                    <w:div w:id="692804065">
                      <w:marLeft w:val="0"/>
                      <w:marRight w:val="0"/>
                      <w:marTop w:val="0"/>
                      <w:marBottom w:val="0"/>
                      <w:divBdr>
                        <w:top w:val="none" w:sz="0" w:space="0" w:color="auto"/>
                        <w:left w:val="none" w:sz="0" w:space="0" w:color="auto"/>
                        <w:bottom w:val="none" w:sz="0" w:space="0" w:color="auto"/>
                        <w:right w:val="none" w:sz="0" w:space="0" w:color="auto"/>
                      </w:divBdr>
                    </w:div>
                  </w:divsChild>
                </w:div>
                <w:div w:id="697320959">
                  <w:marLeft w:val="0"/>
                  <w:marRight w:val="0"/>
                  <w:marTop w:val="0"/>
                  <w:marBottom w:val="0"/>
                  <w:divBdr>
                    <w:top w:val="none" w:sz="0" w:space="0" w:color="auto"/>
                    <w:left w:val="none" w:sz="0" w:space="0" w:color="auto"/>
                    <w:bottom w:val="none" w:sz="0" w:space="0" w:color="auto"/>
                    <w:right w:val="none" w:sz="0" w:space="0" w:color="auto"/>
                  </w:divBdr>
                  <w:divsChild>
                    <w:div w:id="2083867451">
                      <w:marLeft w:val="0"/>
                      <w:marRight w:val="0"/>
                      <w:marTop w:val="0"/>
                      <w:marBottom w:val="0"/>
                      <w:divBdr>
                        <w:top w:val="none" w:sz="0" w:space="0" w:color="auto"/>
                        <w:left w:val="none" w:sz="0" w:space="0" w:color="auto"/>
                        <w:bottom w:val="none" w:sz="0" w:space="0" w:color="auto"/>
                        <w:right w:val="none" w:sz="0" w:space="0" w:color="auto"/>
                      </w:divBdr>
                    </w:div>
                  </w:divsChild>
                </w:div>
                <w:div w:id="797265133">
                  <w:marLeft w:val="0"/>
                  <w:marRight w:val="0"/>
                  <w:marTop w:val="0"/>
                  <w:marBottom w:val="0"/>
                  <w:divBdr>
                    <w:top w:val="none" w:sz="0" w:space="0" w:color="auto"/>
                    <w:left w:val="none" w:sz="0" w:space="0" w:color="auto"/>
                    <w:bottom w:val="none" w:sz="0" w:space="0" w:color="auto"/>
                    <w:right w:val="none" w:sz="0" w:space="0" w:color="auto"/>
                  </w:divBdr>
                  <w:divsChild>
                    <w:div w:id="2057122147">
                      <w:marLeft w:val="0"/>
                      <w:marRight w:val="0"/>
                      <w:marTop w:val="0"/>
                      <w:marBottom w:val="0"/>
                      <w:divBdr>
                        <w:top w:val="none" w:sz="0" w:space="0" w:color="auto"/>
                        <w:left w:val="none" w:sz="0" w:space="0" w:color="auto"/>
                        <w:bottom w:val="none" w:sz="0" w:space="0" w:color="auto"/>
                        <w:right w:val="none" w:sz="0" w:space="0" w:color="auto"/>
                      </w:divBdr>
                    </w:div>
                  </w:divsChild>
                </w:div>
                <w:div w:id="806973415">
                  <w:marLeft w:val="0"/>
                  <w:marRight w:val="0"/>
                  <w:marTop w:val="0"/>
                  <w:marBottom w:val="0"/>
                  <w:divBdr>
                    <w:top w:val="none" w:sz="0" w:space="0" w:color="auto"/>
                    <w:left w:val="none" w:sz="0" w:space="0" w:color="auto"/>
                    <w:bottom w:val="none" w:sz="0" w:space="0" w:color="auto"/>
                    <w:right w:val="none" w:sz="0" w:space="0" w:color="auto"/>
                  </w:divBdr>
                  <w:divsChild>
                    <w:div w:id="994456484">
                      <w:marLeft w:val="0"/>
                      <w:marRight w:val="0"/>
                      <w:marTop w:val="0"/>
                      <w:marBottom w:val="0"/>
                      <w:divBdr>
                        <w:top w:val="none" w:sz="0" w:space="0" w:color="auto"/>
                        <w:left w:val="none" w:sz="0" w:space="0" w:color="auto"/>
                        <w:bottom w:val="none" w:sz="0" w:space="0" w:color="auto"/>
                        <w:right w:val="none" w:sz="0" w:space="0" w:color="auto"/>
                      </w:divBdr>
                    </w:div>
                  </w:divsChild>
                </w:div>
                <w:div w:id="810173148">
                  <w:marLeft w:val="0"/>
                  <w:marRight w:val="0"/>
                  <w:marTop w:val="0"/>
                  <w:marBottom w:val="0"/>
                  <w:divBdr>
                    <w:top w:val="none" w:sz="0" w:space="0" w:color="auto"/>
                    <w:left w:val="none" w:sz="0" w:space="0" w:color="auto"/>
                    <w:bottom w:val="none" w:sz="0" w:space="0" w:color="auto"/>
                    <w:right w:val="none" w:sz="0" w:space="0" w:color="auto"/>
                  </w:divBdr>
                  <w:divsChild>
                    <w:div w:id="1254511226">
                      <w:marLeft w:val="0"/>
                      <w:marRight w:val="0"/>
                      <w:marTop w:val="0"/>
                      <w:marBottom w:val="0"/>
                      <w:divBdr>
                        <w:top w:val="none" w:sz="0" w:space="0" w:color="auto"/>
                        <w:left w:val="none" w:sz="0" w:space="0" w:color="auto"/>
                        <w:bottom w:val="none" w:sz="0" w:space="0" w:color="auto"/>
                        <w:right w:val="none" w:sz="0" w:space="0" w:color="auto"/>
                      </w:divBdr>
                    </w:div>
                  </w:divsChild>
                </w:div>
                <w:div w:id="964428698">
                  <w:marLeft w:val="0"/>
                  <w:marRight w:val="0"/>
                  <w:marTop w:val="0"/>
                  <w:marBottom w:val="0"/>
                  <w:divBdr>
                    <w:top w:val="none" w:sz="0" w:space="0" w:color="auto"/>
                    <w:left w:val="none" w:sz="0" w:space="0" w:color="auto"/>
                    <w:bottom w:val="none" w:sz="0" w:space="0" w:color="auto"/>
                    <w:right w:val="none" w:sz="0" w:space="0" w:color="auto"/>
                  </w:divBdr>
                  <w:divsChild>
                    <w:div w:id="1529953119">
                      <w:marLeft w:val="0"/>
                      <w:marRight w:val="0"/>
                      <w:marTop w:val="0"/>
                      <w:marBottom w:val="0"/>
                      <w:divBdr>
                        <w:top w:val="none" w:sz="0" w:space="0" w:color="auto"/>
                        <w:left w:val="none" w:sz="0" w:space="0" w:color="auto"/>
                        <w:bottom w:val="none" w:sz="0" w:space="0" w:color="auto"/>
                        <w:right w:val="none" w:sz="0" w:space="0" w:color="auto"/>
                      </w:divBdr>
                    </w:div>
                  </w:divsChild>
                </w:div>
                <w:div w:id="994140038">
                  <w:marLeft w:val="0"/>
                  <w:marRight w:val="0"/>
                  <w:marTop w:val="0"/>
                  <w:marBottom w:val="0"/>
                  <w:divBdr>
                    <w:top w:val="none" w:sz="0" w:space="0" w:color="auto"/>
                    <w:left w:val="none" w:sz="0" w:space="0" w:color="auto"/>
                    <w:bottom w:val="none" w:sz="0" w:space="0" w:color="auto"/>
                    <w:right w:val="none" w:sz="0" w:space="0" w:color="auto"/>
                  </w:divBdr>
                  <w:divsChild>
                    <w:div w:id="2054186496">
                      <w:marLeft w:val="0"/>
                      <w:marRight w:val="0"/>
                      <w:marTop w:val="0"/>
                      <w:marBottom w:val="0"/>
                      <w:divBdr>
                        <w:top w:val="none" w:sz="0" w:space="0" w:color="auto"/>
                        <w:left w:val="none" w:sz="0" w:space="0" w:color="auto"/>
                        <w:bottom w:val="none" w:sz="0" w:space="0" w:color="auto"/>
                        <w:right w:val="none" w:sz="0" w:space="0" w:color="auto"/>
                      </w:divBdr>
                    </w:div>
                  </w:divsChild>
                </w:div>
                <w:div w:id="1098866232">
                  <w:marLeft w:val="0"/>
                  <w:marRight w:val="0"/>
                  <w:marTop w:val="0"/>
                  <w:marBottom w:val="0"/>
                  <w:divBdr>
                    <w:top w:val="none" w:sz="0" w:space="0" w:color="auto"/>
                    <w:left w:val="none" w:sz="0" w:space="0" w:color="auto"/>
                    <w:bottom w:val="none" w:sz="0" w:space="0" w:color="auto"/>
                    <w:right w:val="none" w:sz="0" w:space="0" w:color="auto"/>
                  </w:divBdr>
                  <w:divsChild>
                    <w:div w:id="893736401">
                      <w:marLeft w:val="0"/>
                      <w:marRight w:val="0"/>
                      <w:marTop w:val="0"/>
                      <w:marBottom w:val="0"/>
                      <w:divBdr>
                        <w:top w:val="none" w:sz="0" w:space="0" w:color="auto"/>
                        <w:left w:val="none" w:sz="0" w:space="0" w:color="auto"/>
                        <w:bottom w:val="none" w:sz="0" w:space="0" w:color="auto"/>
                        <w:right w:val="none" w:sz="0" w:space="0" w:color="auto"/>
                      </w:divBdr>
                    </w:div>
                  </w:divsChild>
                </w:div>
                <w:div w:id="1206409705">
                  <w:marLeft w:val="0"/>
                  <w:marRight w:val="0"/>
                  <w:marTop w:val="0"/>
                  <w:marBottom w:val="0"/>
                  <w:divBdr>
                    <w:top w:val="none" w:sz="0" w:space="0" w:color="auto"/>
                    <w:left w:val="none" w:sz="0" w:space="0" w:color="auto"/>
                    <w:bottom w:val="none" w:sz="0" w:space="0" w:color="auto"/>
                    <w:right w:val="none" w:sz="0" w:space="0" w:color="auto"/>
                  </w:divBdr>
                  <w:divsChild>
                    <w:div w:id="919364523">
                      <w:marLeft w:val="0"/>
                      <w:marRight w:val="0"/>
                      <w:marTop w:val="0"/>
                      <w:marBottom w:val="0"/>
                      <w:divBdr>
                        <w:top w:val="none" w:sz="0" w:space="0" w:color="auto"/>
                        <w:left w:val="none" w:sz="0" w:space="0" w:color="auto"/>
                        <w:bottom w:val="none" w:sz="0" w:space="0" w:color="auto"/>
                        <w:right w:val="none" w:sz="0" w:space="0" w:color="auto"/>
                      </w:divBdr>
                    </w:div>
                  </w:divsChild>
                </w:div>
                <w:div w:id="1243641788">
                  <w:marLeft w:val="0"/>
                  <w:marRight w:val="0"/>
                  <w:marTop w:val="0"/>
                  <w:marBottom w:val="0"/>
                  <w:divBdr>
                    <w:top w:val="none" w:sz="0" w:space="0" w:color="auto"/>
                    <w:left w:val="none" w:sz="0" w:space="0" w:color="auto"/>
                    <w:bottom w:val="none" w:sz="0" w:space="0" w:color="auto"/>
                    <w:right w:val="none" w:sz="0" w:space="0" w:color="auto"/>
                  </w:divBdr>
                  <w:divsChild>
                    <w:div w:id="1512067296">
                      <w:marLeft w:val="0"/>
                      <w:marRight w:val="0"/>
                      <w:marTop w:val="0"/>
                      <w:marBottom w:val="0"/>
                      <w:divBdr>
                        <w:top w:val="none" w:sz="0" w:space="0" w:color="auto"/>
                        <w:left w:val="none" w:sz="0" w:space="0" w:color="auto"/>
                        <w:bottom w:val="none" w:sz="0" w:space="0" w:color="auto"/>
                        <w:right w:val="none" w:sz="0" w:space="0" w:color="auto"/>
                      </w:divBdr>
                    </w:div>
                  </w:divsChild>
                </w:div>
                <w:div w:id="1308508532">
                  <w:marLeft w:val="0"/>
                  <w:marRight w:val="0"/>
                  <w:marTop w:val="0"/>
                  <w:marBottom w:val="0"/>
                  <w:divBdr>
                    <w:top w:val="none" w:sz="0" w:space="0" w:color="auto"/>
                    <w:left w:val="none" w:sz="0" w:space="0" w:color="auto"/>
                    <w:bottom w:val="none" w:sz="0" w:space="0" w:color="auto"/>
                    <w:right w:val="none" w:sz="0" w:space="0" w:color="auto"/>
                  </w:divBdr>
                  <w:divsChild>
                    <w:div w:id="992098253">
                      <w:marLeft w:val="0"/>
                      <w:marRight w:val="0"/>
                      <w:marTop w:val="0"/>
                      <w:marBottom w:val="0"/>
                      <w:divBdr>
                        <w:top w:val="none" w:sz="0" w:space="0" w:color="auto"/>
                        <w:left w:val="none" w:sz="0" w:space="0" w:color="auto"/>
                        <w:bottom w:val="none" w:sz="0" w:space="0" w:color="auto"/>
                        <w:right w:val="none" w:sz="0" w:space="0" w:color="auto"/>
                      </w:divBdr>
                    </w:div>
                  </w:divsChild>
                </w:div>
                <w:div w:id="1335960299">
                  <w:marLeft w:val="0"/>
                  <w:marRight w:val="0"/>
                  <w:marTop w:val="0"/>
                  <w:marBottom w:val="0"/>
                  <w:divBdr>
                    <w:top w:val="none" w:sz="0" w:space="0" w:color="auto"/>
                    <w:left w:val="none" w:sz="0" w:space="0" w:color="auto"/>
                    <w:bottom w:val="none" w:sz="0" w:space="0" w:color="auto"/>
                    <w:right w:val="none" w:sz="0" w:space="0" w:color="auto"/>
                  </w:divBdr>
                  <w:divsChild>
                    <w:div w:id="728503459">
                      <w:marLeft w:val="0"/>
                      <w:marRight w:val="0"/>
                      <w:marTop w:val="0"/>
                      <w:marBottom w:val="0"/>
                      <w:divBdr>
                        <w:top w:val="none" w:sz="0" w:space="0" w:color="auto"/>
                        <w:left w:val="none" w:sz="0" w:space="0" w:color="auto"/>
                        <w:bottom w:val="none" w:sz="0" w:space="0" w:color="auto"/>
                        <w:right w:val="none" w:sz="0" w:space="0" w:color="auto"/>
                      </w:divBdr>
                    </w:div>
                  </w:divsChild>
                </w:div>
                <w:div w:id="1373000873">
                  <w:marLeft w:val="0"/>
                  <w:marRight w:val="0"/>
                  <w:marTop w:val="0"/>
                  <w:marBottom w:val="0"/>
                  <w:divBdr>
                    <w:top w:val="none" w:sz="0" w:space="0" w:color="auto"/>
                    <w:left w:val="none" w:sz="0" w:space="0" w:color="auto"/>
                    <w:bottom w:val="none" w:sz="0" w:space="0" w:color="auto"/>
                    <w:right w:val="none" w:sz="0" w:space="0" w:color="auto"/>
                  </w:divBdr>
                  <w:divsChild>
                    <w:div w:id="384305008">
                      <w:marLeft w:val="0"/>
                      <w:marRight w:val="0"/>
                      <w:marTop w:val="0"/>
                      <w:marBottom w:val="0"/>
                      <w:divBdr>
                        <w:top w:val="none" w:sz="0" w:space="0" w:color="auto"/>
                        <w:left w:val="none" w:sz="0" w:space="0" w:color="auto"/>
                        <w:bottom w:val="none" w:sz="0" w:space="0" w:color="auto"/>
                        <w:right w:val="none" w:sz="0" w:space="0" w:color="auto"/>
                      </w:divBdr>
                    </w:div>
                  </w:divsChild>
                </w:div>
                <w:div w:id="1395616625">
                  <w:marLeft w:val="0"/>
                  <w:marRight w:val="0"/>
                  <w:marTop w:val="0"/>
                  <w:marBottom w:val="0"/>
                  <w:divBdr>
                    <w:top w:val="none" w:sz="0" w:space="0" w:color="auto"/>
                    <w:left w:val="none" w:sz="0" w:space="0" w:color="auto"/>
                    <w:bottom w:val="none" w:sz="0" w:space="0" w:color="auto"/>
                    <w:right w:val="none" w:sz="0" w:space="0" w:color="auto"/>
                  </w:divBdr>
                  <w:divsChild>
                    <w:div w:id="934167769">
                      <w:marLeft w:val="0"/>
                      <w:marRight w:val="0"/>
                      <w:marTop w:val="0"/>
                      <w:marBottom w:val="0"/>
                      <w:divBdr>
                        <w:top w:val="none" w:sz="0" w:space="0" w:color="auto"/>
                        <w:left w:val="none" w:sz="0" w:space="0" w:color="auto"/>
                        <w:bottom w:val="none" w:sz="0" w:space="0" w:color="auto"/>
                        <w:right w:val="none" w:sz="0" w:space="0" w:color="auto"/>
                      </w:divBdr>
                    </w:div>
                  </w:divsChild>
                </w:div>
                <w:div w:id="1479033770">
                  <w:marLeft w:val="0"/>
                  <w:marRight w:val="0"/>
                  <w:marTop w:val="0"/>
                  <w:marBottom w:val="0"/>
                  <w:divBdr>
                    <w:top w:val="none" w:sz="0" w:space="0" w:color="auto"/>
                    <w:left w:val="none" w:sz="0" w:space="0" w:color="auto"/>
                    <w:bottom w:val="none" w:sz="0" w:space="0" w:color="auto"/>
                    <w:right w:val="none" w:sz="0" w:space="0" w:color="auto"/>
                  </w:divBdr>
                  <w:divsChild>
                    <w:div w:id="1825925233">
                      <w:marLeft w:val="0"/>
                      <w:marRight w:val="0"/>
                      <w:marTop w:val="0"/>
                      <w:marBottom w:val="0"/>
                      <w:divBdr>
                        <w:top w:val="none" w:sz="0" w:space="0" w:color="auto"/>
                        <w:left w:val="none" w:sz="0" w:space="0" w:color="auto"/>
                        <w:bottom w:val="none" w:sz="0" w:space="0" w:color="auto"/>
                        <w:right w:val="none" w:sz="0" w:space="0" w:color="auto"/>
                      </w:divBdr>
                    </w:div>
                  </w:divsChild>
                </w:div>
                <w:div w:id="1558206104">
                  <w:marLeft w:val="0"/>
                  <w:marRight w:val="0"/>
                  <w:marTop w:val="0"/>
                  <w:marBottom w:val="0"/>
                  <w:divBdr>
                    <w:top w:val="none" w:sz="0" w:space="0" w:color="auto"/>
                    <w:left w:val="none" w:sz="0" w:space="0" w:color="auto"/>
                    <w:bottom w:val="none" w:sz="0" w:space="0" w:color="auto"/>
                    <w:right w:val="none" w:sz="0" w:space="0" w:color="auto"/>
                  </w:divBdr>
                  <w:divsChild>
                    <w:div w:id="521937578">
                      <w:marLeft w:val="0"/>
                      <w:marRight w:val="0"/>
                      <w:marTop w:val="0"/>
                      <w:marBottom w:val="0"/>
                      <w:divBdr>
                        <w:top w:val="none" w:sz="0" w:space="0" w:color="auto"/>
                        <w:left w:val="none" w:sz="0" w:space="0" w:color="auto"/>
                        <w:bottom w:val="none" w:sz="0" w:space="0" w:color="auto"/>
                        <w:right w:val="none" w:sz="0" w:space="0" w:color="auto"/>
                      </w:divBdr>
                    </w:div>
                  </w:divsChild>
                </w:div>
                <w:div w:id="1669941159">
                  <w:marLeft w:val="0"/>
                  <w:marRight w:val="0"/>
                  <w:marTop w:val="0"/>
                  <w:marBottom w:val="0"/>
                  <w:divBdr>
                    <w:top w:val="none" w:sz="0" w:space="0" w:color="auto"/>
                    <w:left w:val="none" w:sz="0" w:space="0" w:color="auto"/>
                    <w:bottom w:val="none" w:sz="0" w:space="0" w:color="auto"/>
                    <w:right w:val="none" w:sz="0" w:space="0" w:color="auto"/>
                  </w:divBdr>
                  <w:divsChild>
                    <w:div w:id="1461534463">
                      <w:marLeft w:val="0"/>
                      <w:marRight w:val="0"/>
                      <w:marTop w:val="0"/>
                      <w:marBottom w:val="0"/>
                      <w:divBdr>
                        <w:top w:val="none" w:sz="0" w:space="0" w:color="auto"/>
                        <w:left w:val="none" w:sz="0" w:space="0" w:color="auto"/>
                        <w:bottom w:val="none" w:sz="0" w:space="0" w:color="auto"/>
                        <w:right w:val="none" w:sz="0" w:space="0" w:color="auto"/>
                      </w:divBdr>
                    </w:div>
                  </w:divsChild>
                </w:div>
                <w:div w:id="1679429438">
                  <w:marLeft w:val="0"/>
                  <w:marRight w:val="0"/>
                  <w:marTop w:val="0"/>
                  <w:marBottom w:val="0"/>
                  <w:divBdr>
                    <w:top w:val="none" w:sz="0" w:space="0" w:color="auto"/>
                    <w:left w:val="none" w:sz="0" w:space="0" w:color="auto"/>
                    <w:bottom w:val="none" w:sz="0" w:space="0" w:color="auto"/>
                    <w:right w:val="none" w:sz="0" w:space="0" w:color="auto"/>
                  </w:divBdr>
                  <w:divsChild>
                    <w:div w:id="231693898">
                      <w:marLeft w:val="0"/>
                      <w:marRight w:val="0"/>
                      <w:marTop w:val="0"/>
                      <w:marBottom w:val="0"/>
                      <w:divBdr>
                        <w:top w:val="none" w:sz="0" w:space="0" w:color="auto"/>
                        <w:left w:val="none" w:sz="0" w:space="0" w:color="auto"/>
                        <w:bottom w:val="none" w:sz="0" w:space="0" w:color="auto"/>
                        <w:right w:val="none" w:sz="0" w:space="0" w:color="auto"/>
                      </w:divBdr>
                    </w:div>
                  </w:divsChild>
                </w:div>
                <w:div w:id="1684479863">
                  <w:marLeft w:val="0"/>
                  <w:marRight w:val="0"/>
                  <w:marTop w:val="0"/>
                  <w:marBottom w:val="0"/>
                  <w:divBdr>
                    <w:top w:val="none" w:sz="0" w:space="0" w:color="auto"/>
                    <w:left w:val="none" w:sz="0" w:space="0" w:color="auto"/>
                    <w:bottom w:val="none" w:sz="0" w:space="0" w:color="auto"/>
                    <w:right w:val="none" w:sz="0" w:space="0" w:color="auto"/>
                  </w:divBdr>
                  <w:divsChild>
                    <w:div w:id="1025011505">
                      <w:marLeft w:val="0"/>
                      <w:marRight w:val="0"/>
                      <w:marTop w:val="0"/>
                      <w:marBottom w:val="0"/>
                      <w:divBdr>
                        <w:top w:val="none" w:sz="0" w:space="0" w:color="auto"/>
                        <w:left w:val="none" w:sz="0" w:space="0" w:color="auto"/>
                        <w:bottom w:val="none" w:sz="0" w:space="0" w:color="auto"/>
                        <w:right w:val="none" w:sz="0" w:space="0" w:color="auto"/>
                      </w:divBdr>
                    </w:div>
                  </w:divsChild>
                </w:div>
                <w:div w:id="1687563539">
                  <w:marLeft w:val="0"/>
                  <w:marRight w:val="0"/>
                  <w:marTop w:val="0"/>
                  <w:marBottom w:val="0"/>
                  <w:divBdr>
                    <w:top w:val="none" w:sz="0" w:space="0" w:color="auto"/>
                    <w:left w:val="none" w:sz="0" w:space="0" w:color="auto"/>
                    <w:bottom w:val="none" w:sz="0" w:space="0" w:color="auto"/>
                    <w:right w:val="none" w:sz="0" w:space="0" w:color="auto"/>
                  </w:divBdr>
                  <w:divsChild>
                    <w:div w:id="1366831824">
                      <w:marLeft w:val="0"/>
                      <w:marRight w:val="0"/>
                      <w:marTop w:val="0"/>
                      <w:marBottom w:val="0"/>
                      <w:divBdr>
                        <w:top w:val="none" w:sz="0" w:space="0" w:color="auto"/>
                        <w:left w:val="none" w:sz="0" w:space="0" w:color="auto"/>
                        <w:bottom w:val="none" w:sz="0" w:space="0" w:color="auto"/>
                        <w:right w:val="none" w:sz="0" w:space="0" w:color="auto"/>
                      </w:divBdr>
                    </w:div>
                  </w:divsChild>
                </w:div>
                <w:div w:id="1840540524">
                  <w:marLeft w:val="0"/>
                  <w:marRight w:val="0"/>
                  <w:marTop w:val="0"/>
                  <w:marBottom w:val="0"/>
                  <w:divBdr>
                    <w:top w:val="none" w:sz="0" w:space="0" w:color="auto"/>
                    <w:left w:val="none" w:sz="0" w:space="0" w:color="auto"/>
                    <w:bottom w:val="none" w:sz="0" w:space="0" w:color="auto"/>
                    <w:right w:val="none" w:sz="0" w:space="0" w:color="auto"/>
                  </w:divBdr>
                  <w:divsChild>
                    <w:div w:id="573510930">
                      <w:marLeft w:val="0"/>
                      <w:marRight w:val="0"/>
                      <w:marTop w:val="0"/>
                      <w:marBottom w:val="0"/>
                      <w:divBdr>
                        <w:top w:val="none" w:sz="0" w:space="0" w:color="auto"/>
                        <w:left w:val="none" w:sz="0" w:space="0" w:color="auto"/>
                        <w:bottom w:val="none" w:sz="0" w:space="0" w:color="auto"/>
                        <w:right w:val="none" w:sz="0" w:space="0" w:color="auto"/>
                      </w:divBdr>
                    </w:div>
                  </w:divsChild>
                </w:div>
                <w:div w:id="1902402812">
                  <w:marLeft w:val="0"/>
                  <w:marRight w:val="0"/>
                  <w:marTop w:val="0"/>
                  <w:marBottom w:val="0"/>
                  <w:divBdr>
                    <w:top w:val="none" w:sz="0" w:space="0" w:color="auto"/>
                    <w:left w:val="none" w:sz="0" w:space="0" w:color="auto"/>
                    <w:bottom w:val="none" w:sz="0" w:space="0" w:color="auto"/>
                    <w:right w:val="none" w:sz="0" w:space="0" w:color="auto"/>
                  </w:divBdr>
                  <w:divsChild>
                    <w:div w:id="804783424">
                      <w:marLeft w:val="0"/>
                      <w:marRight w:val="0"/>
                      <w:marTop w:val="0"/>
                      <w:marBottom w:val="0"/>
                      <w:divBdr>
                        <w:top w:val="none" w:sz="0" w:space="0" w:color="auto"/>
                        <w:left w:val="none" w:sz="0" w:space="0" w:color="auto"/>
                        <w:bottom w:val="none" w:sz="0" w:space="0" w:color="auto"/>
                        <w:right w:val="none" w:sz="0" w:space="0" w:color="auto"/>
                      </w:divBdr>
                    </w:div>
                  </w:divsChild>
                </w:div>
                <w:div w:id="1903128640">
                  <w:marLeft w:val="0"/>
                  <w:marRight w:val="0"/>
                  <w:marTop w:val="0"/>
                  <w:marBottom w:val="0"/>
                  <w:divBdr>
                    <w:top w:val="none" w:sz="0" w:space="0" w:color="auto"/>
                    <w:left w:val="none" w:sz="0" w:space="0" w:color="auto"/>
                    <w:bottom w:val="none" w:sz="0" w:space="0" w:color="auto"/>
                    <w:right w:val="none" w:sz="0" w:space="0" w:color="auto"/>
                  </w:divBdr>
                  <w:divsChild>
                    <w:div w:id="918951146">
                      <w:marLeft w:val="0"/>
                      <w:marRight w:val="0"/>
                      <w:marTop w:val="0"/>
                      <w:marBottom w:val="0"/>
                      <w:divBdr>
                        <w:top w:val="none" w:sz="0" w:space="0" w:color="auto"/>
                        <w:left w:val="none" w:sz="0" w:space="0" w:color="auto"/>
                        <w:bottom w:val="none" w:sz="0" w:space="0" w:color="auto"/>
                        <w:right w:val="none" w:sz="0" w:space="0" w:color="auto"/>
                      </w:divBdr>
                    </w:div>
                  </w:divsChild>
                </w:div>
                <w:div w:id="1949576566">
                  <w:marLeft w:val="0"/>
                  <w:marRight w:val="0"/>
                  <w:marTop w:val="0"/>
                  <w:marBottom w:val="0"/>
                  <w:divBdr>
                    <w:top w:val="none" w:sz="0" w:space="0" w:color="auto"/>
                    <w:left w:val="none" w:sz="0" w:space="0" w:color="auto"/>
                    <w:bottom w:val="none" w:sz="0" w:space="0" w:color="auto"/>
                    <w:right w:val="none" w:sz="0" w:space="0" w:color="auto"/>
                  </w:divBdr>
                  <w:divsChild>
                    <w:div w:id="2040736464">
                      <w:marLeft w:val="0"/>
                      <w:marRight w:val="0"/>
                      <w:marTop w:val="0"/>
                      <w:marBottom w:val="0"/>
                      <w:divBdr>
                        <w:top w:val="none" w:sz="0" w:space="0" w:color="auto"/>
                        <w:left w:val="none" w:sz="0" w:space="0" w:color="auto"/>
                        <w:bottom w:val="none" w:sz="0" w:space="0" w:color="auto"/>
                        <w:right w:val="none" w:sz="0" w:space="0" w:color="auto"/>
                      </w:divBdr>
                    </w:div>
                  </w:divsChild>
                </w:div>
                <w:div w:id="1955937986">
                  <w:marLeft w:val="0"/>
                  <w:marRight w:val="0"/>
                  <w:marTop w:val="0"/>
                  <w:marBottom w:val="0"/>
                  <w:divBdr>
                    <w:top w:val="none" w:sz="0" w:space="0" w:color="auto"/>
                    <w:left w:val="none" w:sz="0" w:space="0" w:color="auto"/>
                    <w:bottom w:val="none" w:sz="0" w:space="0" w:color="auto"/>
                    <w:right w:val="none" w:sz="0" w:space="0" w:color="auto"/>
                  </w:divBdr>
                  <w:divsChild>
                    <w:div w:id="624510590">
                      <w:marLeft w:val="0"/>
                      <w:marRight w:val="0"/>
                      <w:marTop w:val="0"/>
                      <w:marBottom w:val="0"/>
                      <w:divBdr>
                        <w:top w:val="none" w:sz="0" w:space="0" w:color="auto"/>
                        <w:left w:val="none" w:sz="0" w:space="0" w:color="auto"/>
                        <w:bottom w:val="none" w:sz="0" w:space="0" w:color="auto"/>
                        <w:right w:val="none" w:sz="0" w:space="0" w:color="auto"/>
                      </w:divBdr>
                    </w:div>
                  </w:divsChild>
                </w:div>
                <w:div w:id="1958944861">
                  <w:marLeft w:val="0"/>
                  <w:marRight w:val="0"/>
                  <w:marTop w:val="0"/>
                  <w:marBottom w:val="0"/>
                  <w:divBdr>
                    <w:top w:val="none" w:sz="0" w:space="0" w:color="auto"/>
                    <w:left w:val="none" w:sz="0" w:space="0" w:color="auto"/>
                    <w:bottom w:val="none" w:sz="0" w:space="0" w:color="auto"/>
                    <w:right w:val="none" w:sz="0" w:space="0" w:color="auto"/>
                  </w:divBdr>
                  <w:divsChild>
                    <w:div w:id="662661407">
                      <w:marLeft w:val="0"/>
                      <w:marRight w:val="0"/>
                      <w:marTop w:val="0"/>
                      <w:marBottom w:val="0"/>
                      <w:divBdr>
                        <w:top w:val="none" w:sz="0" w:space="0" w:color="auto"/>
                        <w:left w:val="none" w:sz="0" w:space="0" w:color="auto"/>
                        <w:bottom w:val="none" w:sz="0" w:space="0" w:color="auto"/>
                        <w:right w:val="none" w:sz="0" w:space="0" w:color="auto"/>
                      </w:divBdr>
                    </w:div>
                  </w:divsChild>
                </w:div>
                <w:div w:id="2105803611">
                  <w:marLeft w:val="0"/>
                  <w:marRight w:val="0"/>
                  <w:marTop w:val="0"/>
                  <w:marBottom w:val="0"/>
                  <w:divBdr>
                    <w:top w:val="none" w:sz="0" w:space="0" w:color="auto"/>
                    <w:left w:val="none" w:sz="0" w:space="0" w:color="auto"/>
                    <w:bottom w:val="none" w:sz="0" w:space="0" w:color="auto"/>
                    <w:right w:val="none" w:sz="0" w:space="0" w:color="auto"/>
                  </w:divBdr>
                  <w:divsChild>
                    <w:div w:id="103207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7662">
          <w:marLeft w:val="0"/>
          <w:marRight w:val="0"/>
          <w:marTop w:val="0"/>
          <w:marBottom w:val="0"/>
          <w:divBdr>
            <w:top w:val="none" w:sz="0" w:space="0" w:color="auto"/>
            <w:left w:val="none" w:sz="0" w:space="0" w:color="auto"/>
            <w:bottom w:val="none" w:sz="0" w:space="0" w:color="auto"/>
            <w:right w:val="none" w:sz="0" w:space="0" w:color="auto"/>
          </w:divBdr>
          <w:divsChild>
            <w:div w:id="27220462">
              <w:marLeft w:val="0"/>
              <w:marRight w:val="0"/>
              <w:marTop w:val="0"/>
              <w:marBottom w:val="0"/>
              <w:divBdr>
                <w:top w:val="none" w:sz="0" w:space="0" w:color="auto"/>
                <w:left w:val="none" w:sz="0" w:space="0" w:color="auto"/>
                <w:bottom w:val="none" w:sz="0" w:space="0" w:color="auto"/>
                <w:right w:val="none" w:sz="0" w:space="0" w:color="auto"/>
              </w:divBdr>
            </w:div>
            <w:div w:id="71893985">
              <w:marLeft w:val="0"/>
              <w:marRight w:val="0"/>
              <w:marTop w:val="0"/>
              <w:marBottom w:val="0"/>
              <w:divBdr>
                <w:top w:val="none" w:sz="0" w:space="0" w:color="auto"/>
                <w:left w:val="none" w:sz="0" w:space="0" w:color="auto"/>
                <w:bottom w:val="none" w:sz="0" w:space="0" w:color="auto"/>
                <w:right w:val="none" w:sz="0" w:space="0" w:color="auto"/>
              </w:divBdr>
            </w:div>
            <w:div w:id="127935228">
              <w:marLeft w:val="0"/>
              <w:marRight w:val="0"/>
              <w:marTop w:val="0"/>
              <w:marBottom w:val="0"/>
              <w:divBdr>
                <w:top w:val="none" w:sz="0" w:space="0" w:color="auto"/>
                <w:left w:val="none" w:sz="0" w:space="0" w:color="auto"/>
                <w:bottom w:val="none" w:sz="0" w:space="0" w:color="auto"/>
                <w:right w:val="none" w:sz="0" w:space="0" w:color="auto"/>
              </w:divBdr>
            </w:div>
            <w:div w:id="484706644">
              <w:marLeft w:val="0"/>
              <w:marRight w:val="0"/>
              <w:marTop w:val="0"/>
              <w:marBottom w:val="0"/>
              <w:divBdr>
                <w:top w:val="none" w:sz="0" w:space="0" w:color="auto"/>
                <w:left w:val="none" w:sz="0" w:space="0" w:color="auto"/>
                <w:bottom w:val="none" w:sz="0" w:space="0" w:color="auto"/>
                <w:right w:val="none" w:sz="0" w:space="0" w:color="auto"/>
              </w:divBdr>
            </w:div>
            <w:div w:id="561721113">
              <w:marLeft w:val="0"/>
              <w:marRight w:val="0"/>
              <w:marTop w:val="0"/>
              <w:marBottom w:val="0"/>
              <w:divBdr>
                <w:top w:val="none" w:sz="0" w:space="0" w:color="auto"/>
                <w:left w:val="none" w:sz="0" w:space="0" w:color="auto"/>
                <w:bottom w:val="none" w:sz="0" w:space="0" w:color="auto"/>
                <w:right w:val="none" w:sz="0" w:space="0" w:color="auto"/>
              </w:divBdr>
            </w:div>
            <w:div w:id="594099042">
              <w:marLeft w:val="0"/>
              <w:marRight w:val="0"/>
              <w:marTop w:val="0"/>
              <w:marBottom w:val="0"/>
              <w:divBdr>
                <w:top w:val="none" w:sz="0" w:space="0" w:color="auto"/>
                <w:left w:val="none" w:sz="0" w:space="0" w:color="auto"/>
                <w:bottom w:val="none" w:sz="0" w:space="0" w:color="auto"/>
                <w:right w:val="none" w:sz="0" w:space="0" w:color="auto"/>
              </w:divBdr>
            </w:div>
            <w:div w:id="641352167">
              <w:marLeft w:val="0"/>
              <w:marRight w:val="0"/>
              <w:marTop w:val="0"/>
              <w:marBottom w:val="0"/>
              <w:divBdr>
                <w:top w:val="none" w:sz="0" w:space="0" w:color="auto"/>
                <w:left w:val="none" w:sz="0" w:space="0" w:color="auto"/>
                <w:bottom w:val="none" w:sz="0" w:space="0" w:color="auto"/>
                <w:right w:val="none" w:sz="0" w:space="0" w:color="auto"/>
              </w:divBdr>
            </w:div>
            <w:div w:id="819931830">
              <w:marLeft w:val="0"/>
              <w:marRight w:val="0"/>
              <w:marTop w:val="0"/>
              <w:marBottom w:val="0"/>
              <w:divBdr>
                <w:top w:val="none" w:sz="0" w:space="0" w:color="auto"/>
                <w:left w:val="none" w:sz="0" w:space="0" w:color="auto"/>
                <w:bottom w:val="none" w:sz="0" w:space="0" w:color="auto"/>
                <w:right w:val="none" w:sz="0" w:space="0" w:color="auto"/>
              </w:divBdr>
            </w:div>
            <w:div w:id="841702915">
              <w:marLeft w:val="0"/>
              <w:marRight w:val="0"/>
              <w:marTop w:val="0"/>
              <w:marBottom w:val="0"/>
              <w:divBdr>
                <w:top w:val="none" w:sz="0" w:space="0" w:color="auto"/>
                <w:left w:val="none" w:sz="0" w:space="0" w:color="auto"/>
                <w:bottom w:val="none" w:sz="0" w:space="0" w:color="auto"/>
                <w:right w:val="none" w:sz="0" w:space="0" w:color="auto"/>
              </w:divBdr>
            </w:div>
            <w:div w:id="874200347">
              <w:marLeft w:val="0"/>
              <w:marRight w:val="0"/>
              <w:marTop w:val="0"/>
              <w:marBottom w:val="0"/>
              <w:divBdr>
                <w:top w:val="none" w:sz="0" w:space="0" w:color="auto"/>
                <w:left w:val="none" w:sz="0" w:space="0" w:color="auto"/>
                <w:bottom w:val="none" w:sz="0" w:space="0" w:color="auto"/>
                <w:right w:val="none" w:sz="0" w:space="0" w:color="auto"/>
              </w:divBdr>
            </w:div>
            <w:div w:id="949702580">
              <w:marLeft w:val="0"/>
              <w:marRight w:val="0"/>
              <w:marTop w:val="0"/>
              <w:marBottom w:val="0"/>
              <w:divBdr>
                <w:top w:val="none" w:sz="0" w:space="0" w:color="auto"/>
                <w:left w:val="none" w:sz="0" w:space="0" w:color="auto"/>
                <w:bottom w:val="none" w:sz="0" w:space="0" w:color="auto"/>
                <w:right w:val="none" w:sz="0" w:space="0" w:color="auto"/>
              </w:divBdr>
            </w:div>
            <w:div w:id="1059983979">
              <w:marLeft w:val="0"/>
              <w:marRight w:val="0"/>
              <w:marTop w:val="0"/>
              <w:marBottom w:val="0"/>
              <w:divBdr>
                <w:top w:val="none" w:sz="0" w:space="0" w:color="auto"/>
                <w:left w:val="none" w:sz="0" w:space="0" w:color="auto"/>
                <w:bottom w:val="none" w:sz="0" w:space="0" w:color="auto"/>
                <w:right w:val="none" w:sz="0" w:space="0" w:color="auto"/>
              </w:divBdr>
            </w:div>
            <w:div w:id="1601378375">
              <w:marLeft w:val="0"/>
              <w:marRight w:val="0"/>
              <w:marTop w:val="0"/>
              <w:marBottom w:val="0"/>
              <w:divBdr>
                <w:top w:val="none" w:sz="0" w:space="0" w:color="auto"/>
                <w:left w:val="none" w:sz="0" w:space="0" w:color="auto"/>
                <w:bottom w:val="none" w:sz="0" w:space="0" w:color="auto"/>
                <w:right w:val="none" w:sz="0" w:space="0" w:color="auto"/>
              </w:divBdr>
            </w:div>
            <w:div w:id="1667896863">
              <w:marLeft w:val="0"/>
              <w:marRight w:val="0"/>
              <w:marTop w:val="0"/>
              <w:marBottom w:val="0"/>
              <w:divBdr>
                <w:top w:val="none" w:sz="0" w:space="0" w:color="auto"/>
                <w:left w:val="none" w:sz="0" w:space="0" w:color="auto"/>
                <w:bottom w:val="none" w:sz="0" w:space="0" w:color="auto"/>
                <w:right w:val="none" w:sz="0" w:space="0" w:color="auto"/>
              </w:divBdr>
            </w:div>
            <w:div w:id="1688212048">
              <w:marLeft w:val="0"/>
              <w:marRight w:val="0"/>
              <w:marTop w:val="0"/>
              <w:marBottom w:val="0"/>
              <w:divBdr>
                <w:top w:val="none" w:sz="0" w:space="0" w:color="auto"/>
                <w:left w:val="none" w:sz="0" w:space="0" w:color="auto"/>
                <w:bottom w:val="none" w:sz="0" w:space="0" w:color="auto"/>
                <w:right w:val="none" w:sz="0" w:space="0" w:color="auto"/>
              </w:divBdr>
            </w:div>
            <w:div w:id="1696422366">
              <w:marLeft w:val="0"/>
              <w:marRight w:val="0"/>
              <w:marTop w:val="0"/>
              <w:marBottom w:val="0"/>
              <w:divBdr>
                <w:top w:val="none" w:sz="0" w:space="0" w:color="auto"/>
                <w:left w:val="none" w:sz="0" w:space="0" w:color="auto"/>
                <w:bottom w:val="none" w:sz="0" w:space="0" w:color="auto"/>
                <w:right w:val="none" w:sz="0" w:space="0" w:color="auto"/>
              </w:divBdr>
            </w:div>
            <w:div w:id="1765413906">
              <w:marLeft w:val="0"/>
              <w:marRight w:val="0"/>
              <w:marTop w:val="0"/>
              <w:marBottom w:val="0"/>
              <w:divBdr>
                <w:top w:val="none" w:sz="0" w:space="0" w:color="auto"/>
                <w:left w:val="none" w:sz="0" w:space="0" w:color="auto"/>
                <w:bottom w:val="none" w:sz="0" w:space="0" w:color="auto"/>
                <w:right w:val="none" w:sz="0" w:space="0" w:color="auto"/>
              </w:divBdr>
            </w:div>
            <w:div w:id="1800949118">
              <w:marLeft w:val="0"/>
              <w:marRight w:val="0"/>
              <w:marTop w:val="0"/>
              <w:marBottom w:val="0"/>
              <w:divBdr>
                <w:top w:val="none" w:sz="0" w:space="0" w:color="auto"/>
                <w:left w:val="none" w:sz="0" w:space="0" w:color="auto"/>
                <w:bottom w:val="none" w:sz="0" w:space="0" w:color="auto"/>
                <w:right w:val="none" w:sz="0" w:space="0" w:color="auto"/>
              </w:divBdr>
            </w:div>
            <w:div w:id="2031950157">
              <w:marLeft w:val="0"/>
              <w:marRight w:val="0"/>
              <w:marTop w:val="0"/>
              <w:marBottom w:val="0"/>
              <w:divBdr>
                <w:top w:val="none" w:sz="0" w:space="0" w:color="auto"/>
                <w:left w:val="none" w:sz="0" w:space="0" w:color="auto"/>
                <w:bottom w:val="none" w:sz="0" w:space="0" w:color="auto"/>
                <w:right w:val="none" w:sz="0" w:space="0" w:color="auto"/>
              </w:divBdr>
            </w:div>
            <w:div w:id="2111199289">
              <w:marLeft w:val="0"/>
              <w:marRight w:val="0"/>
              <w:marTop w:val="0"/>
              <w:marBottom w:val="0"/>
              <w:divBdr>
                <w:top w:val="none" w:sz="0" w:space="0" w:color="auto"/>
                <w:left w:val="none" w:sz="0" w:space="0" w:color="auto"/>
                <w:bottom w:val="none" w:sz="0" w:space="0" w:color="auto"/>
                <w:right w:val="none" w:sz="0" w:space="0" w:color="auto"/>
              </w:divBdr>
            </w:div>
          </w:divsChild>
        </w:div>
        <w:div w:id="137698164">
          <w:marLeft w:val="0"/>
          <w:marRight w:val="0"/>
          <w:marTop w:val="0"/>
          <w:marBottom w:val="0"/>
          <w:divBdr>
            <w:top w:val="none" w:sz="0" w:space="0" w:color="auto"/>
            <w:left w:val="none" w:sz="0" w:space="0" w:color="auto"/>
            <w:bottom w:val="none" w:sz="0" w:space="0" w:color="auto"/>
            <w:right w:val="none" w:sz="0" w:space="0" w:color="auto"/>
          </w:divBdr>
          <w:divsChild>
            <w:div w:id="219900854">
              <w:marLeft w:val="0"/>
              <w:marRight w:val="0"/>
              <w:marTop w:val="0"/>
              <w:marBottom w:val="0"/>
              <w:divBdr>
                <w:top w:val="none" w:sz="0" w:space="0" w:color="auto"/>
                <w:left w:val="none" w:sz="0" w:space="0" w:color="auto"/>
                <w:bottom w:val="none" w:sz="0" w:space="0" w:color="auto"/>
                <w:right w:val="none" w:sz="0" w:space="0" w:color="auto"/>
              </w:divBdr>
            </w:div>
            <w:div w:id="441847918">
              <w:marLeft w:val="0"/>
              <w:marRight w:val="0"/>
              <w:marTop w:val="0"/>
              <w:marBottom w:val="0"/>
              <w:divBdr>
                <w:top w:val="none" w:sz="0" w:space="0" w:color="auto"/>
                <w:left w:val="none" w:sz="0" w:space="0" w:color="auto"/>
                <w:bottom w:val="none" w:sz="0" w:space="0" w:color="auto"/>
                <w:right w:val="none" w:sz="0" w:space="0" w:color="auto"/>
              </w:divBdr>
            </w:div>
            <w:div w:id="697043058">
              <w:marLeft w:val="0"/>
              <w:marRight w:val="0"/>
              <w:marTop w:val="0"/>
              <w:marBottom w:val="0"/>
              <w:divBdr>
                <w:top w:val="none" w:sz="0" w:space="0" w:color="auto"/>
                <w:left w:val="none" w:sz="0" w:space="0" w:color="auto"/>
                <w:bottom w:val="none" w:sz="0" w:space="0" w:color="auto"/>
                <w:right w:val="none" w:sz="0" w:space="0" w:color="auto"/>
              </w:divBdr>
            </w:div>
            <w:div w:id="887299532">
              <w:marLeft w:val="0"/>
              <w:marRight w:val="0"/>
              <w:marTop w:val="0"/>
              <w:marBottom w:val="0"/>
              <w:divBdr>
                <w:top w:val="none" w:sz="0" w:space="0" w:color="auto"/>
                <w:left w:val="none" w:sz="0" w:space="0" w:color="auto"/>
                <w:bottom w:val="none" w:sz="0" w:space="0" w:color="auto"/>
                <w:right w:val="none" w:sz="0" w:space="0" w:color="auto"/>
              </w:divBdr>
            </w:div>
            <w:div w:id="979069321">
              <w:marLeft w:val="0"/>
              <w:marRight w:val="0"/>
              <w:marTop w:val="0"/>
              <w:marBottom w:val="0"/>
              <w:divBdr>
                <w:top w:val="none" w:sz="0" w:space="0" w:color="auto"/>
                <w:left w:val="none" w:sz="0" w:space="0" w:color="auto"/>
                <w:bottom w:val="none" w:sz="0" w:space="0" w:color="auto"/>
                <w:right w:val="none" w:sz="0" w:space="0" w:color="auto"/>
              </w:divBdr>
            </w:div>
            <w:div w:id="1008800103">
              <w:marLeft w:val="0"/>
              <w:marRight w:val="0"/>
              <w:marTop w:val="0"/>
              <w:marBottom w:val="0"/>
              <w:divBdr>
                <w:top w:val="none" w:sz="0" w:space="0" w:color="auto"/>
                <w:left w:val="none" w:sz="0" w:space="0" w:color="auto"/>
                <w:bottom w:val="none" w:sz="0" w:space="0" w:color="auto"/>
                <w:right w:val="none" w:sz="0" w:space="0" w:color="auto"/>
              </w:divBdr>
            </w:div>
            <w:div w:id="1420906818">
              <w:marLeft w:val="0"/>
              <w:marRight w:val="0"/>
              <w:marTop w:val="0"/>
              <w:marBottom w:val="0"/>
              <w:divBdr>
                <w:top w:val="none" w:sz="0" w:space="0" w:color="auto"/>
                <w:left w:val="none" w:sz="0" w:space="0" w:color="auto"/>
                <w:bottom w:val="none" w:sz="0" w:space="0" w:color="auto"/>
                <w:right w:val="none" w:sz="0" w:space="0" w:color="auto"/>
              </w:divBdr>
            </w:div>
            <w:div w:id="1423839741">
              <w:marLeft w:val="0"/>
              <w:marRight w:val="0"/>
              <w:marTop w:val="0"/>
              <w:marBottom w:val="0"/>
              <w:divBdr>
                <w:top w:val="none" w:sz="0" w:space="0" w:color="auto"/>
                <w:left w:val="none" w:sz="0" w:space="0" w:color="auto"/>
                <w:bottom w:val="none" w:sz="0" w:space="0" w:color="auto"/>
                <w:right w:val="none" w:sz="0" w:space="0" w:color="auto"/>
              </w:divBdr>
            </w:div>
            <w:div w:id="1466048476">
              <w:marLeft w:val="0"/>
              <w:marRight w:val="0"/>
              <w:marTop w:val="0"/>
              <w:marBottom w:val="0"/>
              <w:divBdr>
                <w:top w:val="none" w:sz="0" w:space="0" w:color="auto"/>
                <w:left w:val="none" w:sz="0" w:space="0" w:color="auto"/>
                <w:bottom w:val="none" w:sz="0" w:space="0" w:color="auto"/>
                <w:right w:val="none" w:sz="0" w:space="0" w:color="auto"/>
              </w:divBdr>
            </w:div>
            <w:div w:id="1625621235">
              <w:marLeft w:val="0"/>
              <w:marRight w:val="0"/>
              <w:marTop w:val="0"/>
              <w:marBottom w:val="0"/>
              <w:divBdr>
                <w:top w:val="none" w:sz="0" w:space="0" w:color="auto"/>
                <w:left w:val="none" w:sz="0" w:space="0" w:color="auto"/>
                <w:bottom w:val="none" w:sz="0" w:space="0" w:color="auto"/>
                <w:right w:val="none" w:sz="0" w:space="0" w:color="auto"/>
              </w:divBdr>
            </w:div>
            <w:div w:id="1879782646">
              <w:marLeft w:val="0"/>
              <w:marRight w:val="0"/>
              <w:marTop w:val="0"/>
              <w:marBottom w:val="0"/>
              <w:divBdr>
                <w:top w:val="none" w:sz="0" w:space="0" w:color="auto"/>
                <w:left w:val="none" w:sz="0" w:space="0" w:color="auto"/>
                <w:bottom w:val="none" w:sz="0" w:space="0" w:color="auto"/>
                <w:right w:val="none" w:sz="0" w:space="0" w:color="auto"/>
              </w:divBdr>
            </w:div>
            <w:div w:id="1896548172">
              <w:marLeft w:val="0"/>
              <w:marRight w:val="0"/>
              <w:marTop w:val="0"/>
              <w:marBottom w:val="0"/>
              <w:divBdr>
                <w:top w:val="none" w:sz="0" w:space="0" w:color="auto"/>
                <w:left w:val="none" w:sz="0" w:space="0" w:color="auto"/>
                <w:bottom w:val="none" w:sz="0" w:space="0" w:color="auto"/>
                <w:right w:val="none" w:sz="0" w:space="0" w:color="auto"/>
              </w:divBdr>
            </w:div>
            <w:div w:id="2030525306">
              <w:marLeft w:val="0"/>
              <w:marRight w:val="0"/>
              <w:marTop w:val="0"/>
              <w:marBottom w:val="0"/>
              <w:divBdr>
                <w:top w:val="none" w:sz="0" w:space="0" w:color="auto"/>
                <w:left w:val="none" w:sz="0" w:space="0" w:color="auto"/>
                <w:bottom w:val="none" w:sz="0" w:space="0" w:color="auto"/>
                <w:right w:val="none" w:sz="0" w:space="0" w:color="auto"/>
              </w:divBdr>
            </w:div>
            <w:div w:id="2082680224">
              <w:marLeft w:val="0"/>
              <w:marRight w:val="0"/>
              <w:marTop w:val="0"/>
              <w:marBottom w:val="0"/>
              <w:divBdr>
                <w:top w:val="none" w:sz="0" w:space="0" w:color="auto"/>
                <w:left w:val="none" w:sz="0" w:space="0" w:color="auto"/>
                <w:bottom w:val="none" w:sz="0" w:space="0" w:color="auto"/>
                <w:right w:val="none" w:sz="0" w:space="0" w:color="auto"/>
              </w:divBdr>
            </w:div>
            <w:div w:id="2139489417">
              <w:marLeft w:val="0"/>
              <w:marRight w:val="0"/>
              <w:marTop w:val="0"/>
              <w:marBottom w:val="0"/>
              <w:divBdr>
                <w:top w:val="none" w:sz="0" w:space="0" w:color="auto"/>
                <w:left w:val="none" w:sz="0" w:space="0" w:color="auto"/>
                <w:bottom w:val="none" w:sz="0" w:space="0" w:color="auto"/>
                <w:right w:val="none" w:sz="0" w:space="0" w:color="auto"/>
              </w:divBdr>
            </w:div>
          </w:divsChild>
        </w:div>
        <w:div w:id="271783263">
          <w:marLeft w:val="0"/>
          <w:marRight w:val="0"/>
          <w:marTop w:val="0"/>
          <w:marBottom w:val="0"/>
          <w:divBdr>
            <w:top w:val="none" w:sz="0" w:space="0" w:color="auto"/>
            <w:left w:val="none" w:sz="0" w:space="0" w:color="auto"/>
            <w:bottom w:val="none" w:sz="0" w:space="0" w:color="auto"/>
            <w:right w:val="none" w:sz="0" w:space="0" w:color="auto"/>
          </w:divBdr>
          <w:divsChild>
            <w:div w:id="89161432">
              <w:marLeft w:val="0"/>
              <w:marRight w:val="0"/>
              <w:marTop w:val="0"/>
              <w:marBottom w:val="0"/>
              <w:divBdr>
                <w:top w:val="none" w:sz="0" w:space="0" w:color="auto"/>
                <w:left w:val="none" w:sz="0" w:space="0" w:color="auto"/>
                <w:bottom w:val="none" w:sz="0" w:space="0" w:color="auto"/>
                <w:right w:val="none" w:sz="0" w:space="0" w:color="auto"/>
              </w:divBdr>
            </w:div>
            <w:div w:id="129179332">
              <w:marLeft w:val="0"/>
              <w:marRight w:val="0"/>
              <w:marTop w:val="0"/>
              <w:marBottom w:val="0"/>
              <w:divBdr>
                <w:top w:val="none" w:sz="0" w:space="0" w:color="auto"/>
                <w:left w:val="none" w:sz="0" w:space="0" w:color="auto"/>
                <w:bottom w:val="none" w:sz="0" w:space="0" w:color="auto"/>
                <w:right w:val="none" w:sz="0" w:space="0" w:color="auto"/>
              </w:divBdr>
            </w:div>
            <w:div w:id="313490992">
              <w:marLeft w:val="0"/>
              <w:marRight w:val="0"/>
              <w:marTop w:val="0"/>
              <w:marBottom w:val="0"/>
              <w:divBdr>
                <w:top w:val="none" w:sz="0" w:space="0" w:color="auto"/>
                <w:left w:val="none" w:sz="0" w:space="0" w:color="auto"/>
                <w:bottom w:val="none" w:sz="0" w:space="0" w:color="auto"/>
                <w:right w:val="none" w:sz="0" w:space="0" w:color="auto"/>
              </w:divBdr>
            </w:div>
            <w:div w:id="401368316">
              <w:marLeft w:val="0"/>
              <w:marRight w:val="0"/>
              <w:marTop w:val="0"/>
              <w:marBottom w:val="0"/>
              <w:divBdr>
                <w:top w:val="none" w:sz="0" w:space="0" w:color="auto"/>
                <w:left w:val="none" w:sz="0" w:space="0" w:color="auto"/>
                <w:bottom w:val="none" w:sz="0" w:space="0" w:color="auto"/>
                <w:right w:val="none" w:sz="0" w:space="0" w:color="auto"/>
              </w:divBdr>
            </w:div>
            <w:div w:id="589966504">
              <w:marLeft w:val="0"/>
              <w:marRight w:val="0"/>
              <w:marTop w:val="0"/>
              <w:marBottom w:val="0"/>
              <w:divBdr>
                <w:top w:val="none" w:sz="0" w:space="0" w:color="auto"/>
                <w:left w:val="none" w:sz="0" w:space="0" w:color="auto"/>
                <w:bottom w:val="none" w:sz="0" w:space="0" w:color="auto"/>
                <w:right w:val="none" w:sz="0" w:space="0" w:color="auto"/>
              </w:divBdr>
            </w:div>
            <w:div w:id="610089277">
              <w:marLeft w:val="0"/>
              <w:marRight w:val="0"/>
              <w:marTop w:val="0"/>
              <w:marBottom w:val="0"/>
              <w:divBdr>
                <w:top w:val="none" w:sz="0" w:space="0" w:color="auto"/>
                <w:left w:val="none" w:sz="0" w:space="0" w:color="auto"/>
                <w:bottom w:val="none" w:sz="0" w:space="0" w:color="auto"/>
                <w:right w:val="none" w:sz="0" w:space="0" w:color="auto"/>
              </w:divBdr>
            </w:div>
            <w:div w:id="654263610">
              <w:marLeft w:val="0"/>
              <w:marRight w:val="0"/>
              <w:marTop w:val="0"/>
              <w:marBottom w:val="0"/>
              <w:divBdr>
                <w:top w:val="none" w:sz="0" w:space="0" w:color="auto"/>
                <w:left w:val="none" w:sz="0" w:space="0" w:color="auto"/>
                <w:bottom w:val="none" w:sz="0" w:space="0" w:color="auto"/>
                <w:right w:val="none" w:sz="0" w:space="0" w:color="auto"/>
              </w:divBdr>
            </w:div>
            <w:div w:id="797794115">
              <w:marLeft w:val="0"/>
              <w:marRight w:val="0"/>
              <w:marTop w:val="0"/>
              <w:marBottom w:val="0"/>
              <w:divBdr>
                <w:top w:val="none" w:sz="0" w:space="0" w:color="auto"/>
                <w:left w:val="none" w:sz="0" w:space="0" w:color="auto"/>
                <w:bottom w:val="none" w:sz="0" w:space="0" w:color="auto"/>
                <w:right w:val="none" w:sz="0" w:space="0" w:color="auto"/>
              </w:divBdr>
            </w:div>
            <w:div w:id="891042615">
              <w:marLeft w:val="0"/>
              <w:marRight w:val="0"/>
              <w:marTop w:val="0"/>
              <w:marBottom w:val="0"/>
              <w:divBdr>
                <w:top w:val="none" w:sz="0" w:space="0" w:color="auto"/>
                <w:left w:val="none" w:sz="0" w:space="0" w:color="auto"/>
                <w:bottom w:val="none" w:sz="0" w:space="0" w:color="auto"/>
                <w:right w:val="none" w:sz="0" w:space="0" w:color="auto"/>
              </w:divBdr>
            </w:div>
            <w:div w:id="895164310">
              <w:marLeft w:val="0"/>
              <w:marRight w:val="0"/>
              <w:marTop w:val="0"/>
              <w:marBottom w:val="0"/>
              <w:divBdr>
                <w:top w:val="none" w:sz="0" w:space="0" w:color="auto"/>
                <w:left w:val="none" w:sz="0" w:space="0" w:color="auto"/>
                <w:bottom w:val="none" w:sz="0" w:space="0" w:color="auto"/>
                <w:right w:val="none" w:sz="0" w:space="0" w:color="auto"/>
              </w:divBdr>
            </w:div>
            <w:div w:id="1063261232">
              <w:marLeft w:val="0"/>
              <w:marRight w:val="0"/>
              <w:marTop w:val="0"/>
              <w:marBottom w:val="0"/>
              <w:divBdr>
                <w:top w:val="none" w:sz="0" w:space="0" w:color="auto"/>
                <w:left w:val="none" w:sz="0" w:space="0" w:color="auto"/>
                <w:bottom w:val="none" w:sz="0" w:space="0" w:color="auto"/>
                <w:right w:val="none" w:sz="0" w:space="0" w:color="auto"/>
              </w:divBdr>
            </w:div>
            <w:div w:id="1151099939">
              <w:marLeft w:val="0"/>
              <w:marRight w:val="0"/>
              <w:marTop w:val="0"/>
              <w:marBottom w:val="0"/>
              <w:divBdr>
                <w:top w:val="none" w:sz="0" w:space="0" w:color="auto"/>
                <w:left w:val="none" w:sz="0" w:space="0" w:color="auto"/>
                <w:bottom w:val="none" w:sz="0" w:space="0" w:color="auto"/>
                <w:right w:val="none" w:sz="0" w:space="0" w:color="auto"/>
              </w:divBdr>
            </w:div>
            <w:div w:id="1232620699">
              <w:marLeft w:val="0"/>
              <w:marRight w:val="0"/>
              <w:marTop w:val="0"/>
              <w:marBottom w:val="0"/>
              <w:divBdr>
                <w:top w:val="none" w:sz="0" w:space="0" w:color="auto"/>
                <w:left w:val="none" w:sz="0" w:space="0" w:color="auto"/>
                <w:bottom w:val="none" w:sz="0" w:space="0" w:color="auto"/>
                <w:right w:val="none" w:sz="0" w:space="0" w:color="auto"/>
              </w:divBdr>
            </w:div>
            <w:div w:id="1258102575">
              <w:marLeft w:val="0"/>
              <w:marRight w:val="0"/>
              <w:marTop w:val="0"/>
              <w:marBottom w:val="0"/>
              <w:divBdr>
                <w:top w:val="none" w:sz="0" w:space="0" w:color="auto"/>
                <w:left w:val="none" w:sz="0" w:space="0" w:color="auto"/>
                <w:bottom w:val="none" w:sz="0" w:space="0" w:color="auto"/>
                <w:right w:val="none" w:sz="0" w:space="0" w:color="auto"/>
              </w:divBdr>
            </w:div>
            <w:div w:id="1277831135">
              <w:marLeft w:val="0"/>
              <w:marRight w:val="0"/>
              <w:marTop w:val="0"/>
              <w:marBottom w:val="0"/>
              <w:divBdr>
                <w:top w:val="none" w:sz="0" w:space="0" w:color="auto"/>
                <w:left w:val="none" w:sz="0" w:space="0" w:color="auto"/>
                <w:bottom w:val="none" w:sz="0" w:space="0" w:color="auto"/>
                <w:right w:val="none" w:sz="0" w:space="0" w:color="auto"/>
              </w:divBdr>
            </w:div>
            <w:div w:id="1341421898">
              <w:marLeft w:val="0"/>
              <w:marRight w:val="0"/>
              <w:marTop w:val="0"/>
              <w:marBottom w:val="0"/>
              <w:divBdr>
                <w:top w:val="none" w:sz="0" w:space="0" w:color="auto"/>
                <w:left w:val="none" w:sz="0" w:space="0" w:color="auto"/>
                <w:bottom w:val="none" w:sz="0" w:space="0" w:color="auto"/>
                <w:right w:val="none" w:sz="0" w:space="0" w:color="auto"/>
              </w:divBdr>
            </w:div>
            <w:div w:id="1583566293">
              <w:marLeft w:val="0"/>
              <w:marRight w:val="0"/>
              <w:marTop w:val="0"/>
              <w:marBottom w:val="0"/>
              <w:divBdr>
                <w:top w:val="none" w:sz="0" w:space="0" w:color="auto"/>
                <w:left w:val="none" w:sz="0" w:space="0" w:color="auto"/>
                <w:bottom w:val="none" w:sz="0" w:space="0" w:color="auto"/>
                <w:right w:val="none" w:sz="0" w:space="0" w:color="auto"/>
              </w:divBdr>
            </w:div>
            <w:div w:id="1768227894">
              <w:marLeft w:val="0"/>
              <w:marRight w:val="0"/>
              <w:marTop w:val="0"/>
              <w:marBottom w:val="0"/>
              <w:divBdr>
                <w:top w:val="none" w:sz="0" w:space="0" w:color="auto"/>
                <w:left w:val="none" w:sz="0" w:space="0" w:color="auto"/>
                <w:bottom w:val="none" w:sz="0" w:space="0" w:color="auto"/>
                <w:right w:val="none" w:sz="0" w:space="0" w:color="auto"/>
              </w:divBdr>
            </w:div>
            <w:div w:id="1847279342">
              <w:marLeft w:val="0"/>
              <w:marRight w:val="0"/>
              <w:marTop w:val="0"/>
              <w:marBottom w:val="0"/>
              <w:divBdr>
                <w:top w:val="none" w:sz="0" w:space="0" w:color="auto"/>
                <w:left w:val="none" w:sz="0" w:space="0" w:color="auto"/>
                <w:bottom w:val="none" w:sz="0" w:space="0" w:color="auto"/>
                <w:right w:val="none" w:sz="0" w:space="0" w:color="auto"/>
              </w:divBdr>
            </w:div>
            <w:div w:id="2033146113">
              <w:marLeft w:val="0"/>
              <w:marRight w:val="0"/>
              <w:marTop w:val="0"/>
              <w:marBottom w:val="0"/>
              <w:divBdr>
                <w:top w:val="none" w:sz="0" w:space="0" w:color="auto"/>
                <w:left w:val="none" w:sz="0" w:space="0" w:color="auto"/>
                <w:bottom w:val="none" w:sz="0" w:space="0" w:color="auto"/>
                <w:right w:val="none" w:sz="0" w:space="0" w:color="auto"/>
              </w:divBdr>
            </w:div>
          </w:divsChild>
        </w:div>
        <w:div w:id="753404279">
          <w:marLeft w:val="0"/>
          <w:marRight w:val="0"/>
          <w:marTop w:val="0"/>
          <w:marBottom w:val="0"/>
          <w:divBdr>
            <w:top w:val="none" w:sz="0" w:space="0" w:color="auto"/>
            <w:left w:val="none" w:sz="0" w:space="0" w:color="auto"/>
            <w:bottom w:val="none" w:sz="0" w:space="0" w:color="auto"/>
            <w:right w:val="none" w:sz="0" w:space="0" w:color="auto"/>
          </w:divBdr>
        </w:div>
        <w:div w:id="994992841">
          <w:marLeft w:val="0"/>
          <w:marRight w:val="0"/>
          <w:marTop w:val="0"/>
          <w:marBottom w:val="0"/>
          <w:divBdr>
            <w:top w:val="none" w:sz="0" w:space="0" w:color="auto"/>
            <w:left w:val="none" w:sz="0" w:space="0" w:color="auto"/>
            <w:bottom w:val="none" w:sz="0" w:space="0" w:color="auto"/>
            <w:right w:val="none" w:sz="0" w:space="0" w:color="auto"/>
          </w:divBdr>
          <w:divsChild>
            <w:div w:id="7415964">
              <w:marLeft w:val="0"/>
              <w:marRight w:val="0"/>
              <w:marTop w:val="0"/>
              <w:marBottom w:val="0"/>
              <w:divBdr>
                <w:top w:val="none" w:sz="0" w:space="0" w:color="auto"/>
                <w:left w:val="none" w:sz="0" w:space="0" w:color="auto"/>
                <w:bottom w:val="none" w:sz="0" w:space="0" w:color="auto"/>
                <w:right w:val="none" w:sz="0" w:space="0" w:color="auto"/>
              </w:divBdr>
            </w:div>
            <w:div w:id="44984942">
              <w:marLeft w:val="0"/>
              <w:marRight w:val="0"/>
              <w:marTop w:val="0"/>
              <w:marBottom w:val="0"/>
              <w:divBdr>
                <w:top w:val="none" w:sz="0" w:space="0" w:color="auto"/>
                <w:left w:val="none" w:sz="0" w:space="0" w:color="auto"/>
                <w:bottom w:val="none" w:sz="0" w:space="0" w:color="auto"/>
                <w:right w:val="none" w:sz="0" w:space="0" w:color="auto"/>
              </w:divBdr>
            </w:div>
            <w:div w:id="110440062">
              <w:marLeft w:val="0"/>
              <w:marRight w:val="0"/>
              <w:marTop w:val="0"/>
              <w:marBottom w:val="0"/>
              <w:divBdr>
                <w:top w:val="none" w:sz="0" w:space="0" w:color="auto"/>
                <w:left w:val="none" w:sz="0" w:space="0" w:color="auto"/>
                <w:bottom w:val="none" w:sz="0" w:space="0" w:color="auto"/>
                <w:right w:val="none" w:sz="0" w:space="0" w:color="auto"/>
              </w:divBdr>
            </w:div>
            <w:div w:id="120879317">
              <w:marLeft w:val="0"/>
              <w:marRight w:val="0"/>
              <w:marTop w:val="0"/>
              <w:marBottom w:val="0"/>
              <w:divBdr>
                <w:top w:val="none" w:sz="0" w:space="0" w:color="auto"/>
                <w:left w:val="none" w:sz="0" w:space="0" w:color="auto"/>
                <w:bottom w:val="none" w:sz="0" w:space="0" w:color="auto"/>
                <w:right w:val="none" w:sz="0" w:space="0" w:color="auto"/>
              </w:divBdr>
            </w:div>
            <w:div w:id="252203567">
              <w:marLeft w:val="0"/>
              <w:marRight w:val="0"/>
              <w:marTop w:val="0"/>
              <w:marBottom w:val="0"/>
              <w:divBdr>
                <w:top w:val="none" w:sz="0" w:space="0" w:color="auto"/>
                <w:left w:val="none" w:sz="0" w:space="0" w:color="auto"/>
                <w:bottom w:val="none" w:sz="0" w:space="0" w:color="auto"/>
                <w:right w:val="none" w:sz="0" w:space="0" w:color="auto"/>
              </w:divBdr>
            </w:div>
            <w:div w:id="332267891">
              <w:marLeft w:val="0"/>
              <w:marRight w:val="0"/>
              <w:marTop w:val="0"/>
              <w:marBottom w:val="0"/>
              <w:divBdr>
                <w:top w:val="none" w:sz="0" w:space="0" w:color="auto"/>
                <w:left w:val="none" w:sz="0" w:space="0" w:color="auto"/>
                <w:bottom w:val="none" w:sz="0" w:space="0" w:color="auto"/>
                <w:right w:val="none" w:sz="0" w:space="0" w:color="auto"/>
              </w:divBdr>
            </w:div>
            <w:div w:id="357703346">
              <w:marLeft w:val="0"/>
              <w:marRight w:val="0"/>
              <w:marTop w:val="0"/>
              <w:marBottom w:val="0"/>
              <w:divBdr>
                <w:top w:val="none" w:sz="0" w:space="0" w:color="auto"/>
                <w:left w:val="none" w:sz="0" w:space="0" w:color="auto"/>
                <w:bottom w:val="none" w:sz="0" w:space="0" w:color="auto"/>
                <w:right w:val="none" w:sz="0" w:space="0" w:color="auto"/>
              </w:divBdr>
            </w:div>
            <w:div w:id="605773955">
              <w:marLeft w:val="0"/>
              <w:marRight w:val="0"/>
              <w:marTop w:val="0"/>
              <w:marBottom w:val="0"/>
              <w:divBdr>
                <w:top w:val="none" w:sz="0" w:space="0" w:color="auto"/>
                <w:left w:val="none" w:sz="0" w:space="0" w:color="auto"/>
                <w:bottom w:val="none" w:sz="0" w:space="0" w:color="auto"/>
                <w:right w:val="none" w:sz="0" w:space="0" w:color="auto"/>
              </w:divBdr>
            </w:div>
            <w:div w:id="827592241">
              <w:marLeft w:val="0"/>
              <w:marRight w:val="0"/>
              <w:marTop w:val="0"/>
              <w:marBottom w:val="0"/>
              <w:divBdr>
                <w:top w:val="none" w:sz="0" w:space="0" w:color="auto"/>
                <w:left w:val="none" w:sz="0" w:space="0" w:color="auto"/>
                <w:bottom w:val="none" w:sz="0" w:space="0" w:color="auto"/>
                <w:right w:val="none" w:sz="0" w:space="0" w:color="auto"/>
              </w:divBdr>
            </w:div>
            <w:div w:id="956253557">
              <w:marLeft w:val="0"/>
              <w:marRight w:val="0"/>
              <w:marTop w:val="0"/>
              <w:marBottom w:val="0"/>
              <w:divBdr>
                <w:top w:val="none" w:sz="0" w:space="0" w:color="auto"/>
                <w:left w:val="none" w:sz="0" w:space="0" w:color="auto"/>
                <w:bottom w:val="none" w:sz="0" w:space="0" w:color="auto"/>
                <w:right w:val="none" w:sz="0" w:space="0" w:color="auto"/>
              </w:divBdr>
            </w:div>
            <w:div w:id="1021707102">
              <w:marLeft w:val="0"/>
              <w:marRight w:val="0"/>
              <w:marTop w:val="0"/>
              <w:marBottom w:val="0"/>
              <w:divBdr>
                <w:top w:val="none" w:sz="0" w:space="0" w:color="auto"/>
                <w:left w:val="none" w:sz="0" w:space="0" w:color="auto"/>
                <w:bottom w:val="none" w:sz="0" w:space="0" w:color="auto"/>
                <w:right w:val="none" w:sz="0" w:space="0" w:color="auto"/>
              </w:divBdr>
            </w:div>
            <w:div w:id="1311713332">
              <w:marLeft w:val="0"/>
              <w:marRight w:val="0"/>
              <w:marTop w:val="0"/>
              <w:marBottom w:val="0"/>
              <w:divBdr>
                <w:top w:val="none" w:sz="0" w:space="0" w:color="auto"/>
                <w:left w:val="none" w:sz="0" w:space="0" w:color="auto"/>
                <w:bottom w:val="none" w:sz="0" w:space="0" w:color="auto"/>
                <w:right w:val="none" w:sz="0" w:space="0" w:color="auto"/>
              </w:divBdr>
            </w:div>
            <w:div w:id="1929578543">
              <w:marLeft w:val="0"/>
              <w:marRight w:val="0"/>
              <w:marTop w:val="0"/>
              <w:marBottom w:val="0"/>
              <w:divBdr>
                <w:top w:val="none" w:sz="0" w:space="0" w:color="auto"/>
                <w:left w:val="none" w:sz="0" w:space="0" w:color="auto"/>
                <w:bottom w:val="none" w:sz="0" w:space="0" w:color="auto"/>
                <w:right w:val="none" w:sz="0" w:space="0" w:color="auto"/>
              </w:divBdr>
            </w:div>
            <w:div w:id="1930649472">
              <w:marLeft w:val="0"/>
              <w:marRight w:val="0"/>
              <w:marTop w:val="0"/>
              <w:marBottom w:val="0"/>
              <w:divBdr>
                <w:top w:val="none" w:sz="0" w:space="0" w:color="auto"/>
                <w:left w:val="none" w:sz="0" w:space="0" w:color="auto"/>
                <w:bottom w:val="none" w:sz="0" w:space="0" w:color="auto"/>
                <w:right w:val="none" w:sz="0" w:space="0" w:color="auto"/>
              </w:divBdr>
            </w:div>
          </w:divsChild>
        </w:div>
        <w:div w:id="1120683136">
          <w:marLeft w:val="0"/>
          <w:marRight w:val="0"/>
          <w:marTop w:val="0"/>
          <w:marBottom w:val="0"/>
          <w:divBdr>
            <w:top w:val="none" w:sz="0" w:space="0" w:color="auto"/>
            <w:left w:val="none" w:sz="0" w:space="0" w:color="auto"/>
            <w:bottom w:val="none" w:sz="0" w:space="0" w:color="auto"/>
            <w:right w:val="none" w:sz="0" w:space="0" w:color="auto"/>
          </w:divBdr>
        </w:div>
        <w:div w:id="1125392399">
          <w:marLeft w:val="0"/>
          <w:marRight w:val="0"/>
          <w:marTop w:val="0"/>
          <w:marBottom w:val="0"/>
          <w:divBdr>
            <w:top w:val="none" w:sz="0" w:space="0" w:color="auto"/>
            <w:left w:val="none" w:sz="0" w:space="0" w:color="auto"/>
            <w:bottom w:val="none" w:sz="0" w:space="0" w:color="auto"/>
            <w:right w:val="none" w:sz="0" w:space="0" w:color="auto"/>
          </w:divBdr>
          <w:divsChild>
            <w:div w:id="966358086">
              <w:marLeft w:val="-75"/>
              <w:marRight w:val="0"/>
              <w:marTop w:val="30"/>
              <w:marBottom w:val="30"/>
              <w:divBdr>
                <w:top w:val="none" w:sz="0" w:space="0" w:color="auto"/>
                <w:left w:val="none" w:sz="0" w:space="0" w:color="auto"/>
                <w:bottom w:val="none" w:sz="0" w:space="0" w:color="auto"/>
                <w:right w:val="none" w:sz="0" w:space="0" w:color="auto"/>
              </w:divBdr>
              <w:divsChild>
                <w:div w:id="97066475">
                  <w:marLeft w:val="0"/>
                  <w:marRight w:val="0"/>
                  <w:marTop w:val="0"/>
                  <w:marBottom w:val="0"/>
                  <w:divBdr>
                    <w:top w:val="none" w:sz="0" w:space="0" w:color="auto"/>
                    <w:left w:val="none" w:sz="0" w:space="0" w:color="auto"/>
                    <w:bottom w:val="none" w:sz="0" w:space="0" w:color="auto"/>
                    <w:right w:val="none" w:sz="0" w:space="0" w:color="auto"/>
                  </w:divBdr>
                  <w:divsChild>
                    <w:div w:id="18628666">
                      <w:marLeft w:val="0"/>
                      <w:marRight w:val="0"/>
                      <w:marTop w:val="0"/>
                      <w:marBottom w:val="0"/>
                      <w:divBdr>
                        <w:top w:val="none" w:sz="0" w:space="0" w:color="auto"/>
                        <w:left w:val="none" w:sz="0" w:space="0" w:color="auto"/>
                        <w:bottom w:val="none" w:sz="0" w:space="0" w:color="auto"/>
                        <w:right w:val="none" w:sz="0" w:space="0" w:color="auto"/>
                      </w:divBdr>
                    </w:div>
                  </w:divsChild>
                </w:div>
                <w:div w:id="395592175">
                  <w:marLeft w:val="0"/>
                  <w:marRight w:val="0"/>
                  <w:marTop w:val="0"/>
                  <w:marBottom w:val="0"/>
                  <w:divBdr>
                    <w:top w:val="none" w:sz="0" w:space="0" w:color="auto"/>
                    <w:left w:val="none" w:sz="0" w:space="0" w:color="auto"/>
                    <w:bottom w:val="none" w:sz="0" w:space="0" w:color="auto"/>
                    <w:right w:val="none" w:sz="0" w:space="0" w:color="auto"/>
                  </w:divBdr>
                  <w:divsChild>
                    <w:div w:id="677581772">
                      <w:marLeft w:val="0"/>
                      <w:marRight w:val="0"/>
                      <w:marTop w:val="0"/>
                      <w:marBottom w:val="0"/>
                      <w:divBdr>
                        <w:top w:val="none" w:sz="0" w:space="0" w:color="auto"/>
                        <w:left w:val="none" w:sz="0" w:space="0" w:color="auto"/>
                        <w:bottom w:val="none" w:sz="0" w:space="0" w:color="auto"/>
                        <w:right w:val="none" w:sz="0" w:space="0" w:color="auto"/>
                      </w:divBdr>
                    </w:div>
                  </w:divsChild>
                </w:div>
                <w:div w:id="663164491">
                  <w:marLeft w:val="0"/>
                  <w:marRight w:val="0"/>
                  <w:marTop w:val="0"/>
                  <w:marBottom w:val="0"/>
                  <w:divBdr>
                    <w:top w:val="none" w:sz="0" w:space="0" w:color="auto"/>
                    <w:left w:val="none" w:sz="0" w:space="0" w:color="auto"/>
                    <w:bottom w:val="none" w:sz="0" w:space="0" w:color="auto"/>
                    <w:right w:val="none" w:sz="0" w:space="0" w:color="auto"/>
                  </w:divBdr>
                  <w:divsChild>
                    <w:div w:id="4745791">
                      <w:marLeft w:val="0"/>
                      <w:marRight w:val="0"/>
                      <w:marTop w:val="0"/>
                      <w:marBottom w:val="0"/>
                      <w:divBdr>
                        <w:top w:val="none" w:sz="0" w:space="0" w:color="auto"/>
                        <w:left w:val="none" w:sz="0" w:space="0" w:color="auto"/>
                        <w:bottom w:val="none" w:sz="0" w:space="0" w:color="auto"/>
                        <w:right w:val="none" w:sz="0" w:space="0" w:color="auto"/>
                      </w:divBdr>
                    </w:div>
                  </w:divsChild>
                </w:div>
                <w:div w:id="805246844">
                  <w:marLeft w:val="0"/>
                  <w:marRight w:val="0"/>
                  <w:marTop w:val="0"/>
                  <w:marBottom w:val="0"/>
                  <w:divBdr>
                    <w:top w:val="none" w:sz="0" w:space="0" w:color="auto"/>
                    <w:left w:val="none" w:sz="0" w:space="0" w:color="auto"/>
                    <w:bottom w:val="none" w:sz="0" w:space="0" w:color="auto"/>
                    <w:right w:val="none" w:sz="0" w:space="0" w:color="auto"/>
                  </w:divBdr>
                  <w:divsChild>
                    <w:div w:id="1766611228">
                      <w:marLeft w:val="0"/>
                      <w:marRight w:val="0"/>
                      <w:marTop w:val="0"/>
                      <w:marBottom w:val="0"/>
                      <w:divBdr>
                        <w:top w:val="none" w:sz="0" w:space="0" w:color="auto"/>
                        <w:left w:val="none" w:sz="0" w:space="0" w:color="auto"/>
                        <w:bottom w:val="none" w:sz="0" w:space="0" w:color="auto"/>
                        <w:right w:val="none" w:sz="0" w:space="0" w:color="auto"/>
                      </w:divBdr>
                    </w:div>
                  </w:divsChild>
                </w:div>
                <w:div w:id="831065417">
                  <w:marLeft w:val="0"/>
                  <w:marRight w:val="0"/>
                  <w:marTop w:val="0"/>
                  <w:marBottom w:val="0"/>
                  <w:divBdr>
                    <w:top w:val="none" w:sz="0" w:space="0" w:color="auto"/>
                    <w:left w:val="none" w:sz="0" w:space="0" w:color="auto"/>
                    <w:bottom w:val="none" w:sz="0" w:space="0" w:color="auto"/>
                    <w:right w:val="none" w:sz="0" w:space="0" w:color="auto"/>
                  </w:divBdr>
                  <w:divsChild>
                    <w:div w:id="1552156203">
                      <w:marLeft w:val="0"/>
                      <w:marRight w:val="0"/>
                      <w:marTop w:val="0"/>
                      <w:marBottom w:val="0"/>
                      <w:divBdr>
                        <w:top w:val="none" w:sz="0" w:space="0" w:color="auto"/>
                        <w:left w:val="none" w:sz="0" w:space="0" w:color="auto"/>
                        <w:bottom w:val="none" w:sz="0" w:space="0" w:color="auto"/>
                        <w:right w:val="none" w:sz="0" w:space="0" w:color="auto"/>
                      </w:divBdr>
                    </w:div>
                  </w:divsChild>
                </w:div>
                <w:div w:id="839806485">
                  <w:marLeft w:val="0"/>
                  <w:marRight w:val="0"/>
                  <w:marTop w:val="0"/>
                  <w:marBottom w:val="0"/>
                  <w:divBdr>
                    <w:top w:val="none" w:sz="0" w:space="0" w:color="auto"/>
                    <w:left w:val="none" w:sz="0" w:space="0" w:color="auto"/>
                    <w:bottom w:val="none" w:sz="0" w:space="0" w:color="auto"/>
                    <w:right w:val="none" w:sz="0" w:space="0" w:color="auto"/>
                  </w:divBdr>
                  <w:divsChild>
                    <w:div w:id="1864586834">
                      <w:marLeft w:val="0"/>
                      <w:marRight w:val="0"/>
                      <w:marTop w:val="0"/>
                      <w:marBottom w:val="0"/>
                      <w:divBdr>
                        <w:top w:val="none" w:sz="0" w:space="0" w:color="auto"/>
                        <w:left w:val="none" w:sz="0" w:space="0" w:color="auto"/>
                        <w:bottom w:val="none" w:sz="0" w:space="0" w:color="auto"/>
                        <w:right w:val="none" w:sz="0" w:space="0" w:color="auto"/>
                      </w:divBdr>
                    </w:div>
                  </w:divsChild>
                </w:div>
                <w:div w:id="853149508">
                  <w:marLeft w:val="0"/>
                  <w:marRight w:val="0"/>
                  <w:marTop w:val="0"/>
                  <w:marBottom w:val="0"/>
                  <w:divBdr>
                    <w:top w:val="none" w:sz="0" w:space="0" w:color="auto"/>
                    <w:left w:val="none" w:sz="0" w:space="0" w:color="auto"/>
                    <w:bottom w:val="none" w:sz="0" w:space="0" w:color="auto"/>
                    <w:right w:val="none" w:sz="0" w:space="0" w:color="auto"/>
                  </w:divBdr>
                  <w:divsChild>
                    <w:div w:id="1360085678">
                      <w:marLeft w:val="0"/>
                      <w:marRight w:val="0"/>
                      <w:marTop w:val="0"/>
                      <w:marBottom w:val="0"/>
                      <w:divBdr>
                        <w:top w:val="none" w:sz="0" w:space="0" w:color="auto"/>
                        <w:left w:val="none" w:sz="0" w:space="0" w:color="auto"/>
                        <w:bottom w:val="none" w:sz="0" w:space="0" w:color="auto"/>
                        <w:right w:val="none" w:sz="0" w:space="0" w:color="auto"/>
                      </w:divBdr>
                    </w:div>
                  </w:divsChild>
                </w:div>
                <w:div w:id="877664085">
                  <w:marLeft w:val="0"/>
                  <w:marRight w:val="0"/>
                  <w:marTop w:val="0"/>
                  <w:marBottom w:val="0"/>
                  <w:divBdr>
                    <w:top w:val="none" w:sz="0" w:space="0" w:color="auto"/>
                    <w:left w:val="none" w:sz="0" w:space="0" w:color="auto"/>
                    <w:bottom w:val="none" w:sz="0" w:space="0" w:color="auto"/>
                    <w:right w:val="none" w:sz="0" w:space="0" w:color="auto"/>
                  </w:divBdr>
                  <w:divsChild>
                    <w:div w:id="1106730829">
                      <w:marLeft w:val="0"/>
                      <w:marRight w:val="0"/>
                      <w:marTop w:val="0"/>
                      <w:marBottom w:val="0"/>
                      <w:divBdr>
                        <w:top w:val="none" w:sz="0" w:space="0" w:color="auto"/>
                        <w:left w:val="none" w:sz="0" w:space="0" w:color="auto"/>
                        <w:bottom w:val="none" w:sz="0" w:space="0" w:color="auto"/>
                        <w:right w:val="none" w:sz="0" w:space="0" w:color="auto"/>
                      </w:divBdr>
                    </w:div>
                  </w:divsChild>
                </w:div>
                <w:div w:id="1039671746">
                  <w:marLeft w:val="0"/>
                  <w:marRight w:val="0"/>
                  <w:marTop w:val="0"/>
                  <w:marBottom w:val="0"/>
                  <w:divBdr>
                    <w:top w:val="none" w:sz="0" w:space="0" w:color="auto"/>
                    <w:left w:val="none" w:sz="0" w:space="0" w:color="auto"/>
                    <w:bottom w:val="none" w:sz="0" w:space="0" w:color="auto"/>
                    <w:right w:val="none" w:sz="0" w:space="0" w:color="auto"/>
                  </w:divBdr>
                  <w:divsChild>
                    <w:div w:id="1474057524">
                      <w:marLeft w:val="0"/>
                      <w:marRight w:val="0"/>
                      <w:marTop w:val="0"/>
                      <w:marBottom w:val="0"/>
                      <w:divBdr>
                        <w:top w:val="none" w:sz="0" w:space="0" w:color="auto"/>
                        <w:left w:val="none" w:sz="0" w:space="0" w:color="auto"/>
                        <w:bottom w:val="none" w:sz="0" w:space="0" w:color="auto"/>
                        <w:right w:val="none" w:sz="0" w:space="0" w:color="auto"/>
                      </w:divBdr>
                    </w:div>
                  </w:divsChild>
                </w:div>
                <w:div w:id="1093283463">
                  <w:marLeft w:val="0"/>
                  <w:marRight w:val="0"/>
                  <w:marTop w:val="0"/>
                  <w:marBottom w:val="0"/>
                  <w:divBdr>
                    <w:top w:val="none" w:sz="0" w:space="0" w:color="auto"/>
                    <w:left w:val="none" w:sz="0" w:space="0" w:color="auto"/>
                    <w:bottom w:val="none" w:sz="0" w:space="0" w:color="auto"/>
                    <w:right w:val="none" w:sz="0" w:space="0" w:color="auto"/>
                  </w:divBdr>
                  <w:divsChild>
                    <w:div w:id="1331564273">
                      <w:marLeft w:val="0"/>
                      <w:marRight w:val="0"/>
                      <w:marTop w:val="0"/>
                      <w:marBottom w:val="0"/>
                      <w:divBdr>
                        <w:top w:val="none" w:sz="0" w:space="0" w:color="auto"/>
                        <w:left w:val="none" w:sz="0" w:space="0" w:color="auto"/>
                        <w:bottom w:val="none" w:sz="0" w:space="0" w:color="auto"/>
                        <w:right w:val="none" w:sz="0" w:space="0" w:color="auto"/>
                      </w:divBdr>
                    </w:div>
                  </w:divsChild>
                </w:div>
                <w:div w:id="1471559432">
                  <w:marLeft w:val="0"/>
                  <w:marRight w:val="0"/>
                  <w:marTop w:val="0"/>
                  <w:marBottom w:val="0"/>
                  <w:divBdr>
                    <w:top w:val="none" w:sz="0" w:space="0" w:color="auto"/>
                    <w:left w:val="none" w:sz="0" w:space="0" w:color="auto"/>
                    <w:bottom w:val="none" w:sz="0" w:space="0" w:color="auto"/>
                    <w:right w:val="none" w:sz="0" w:space="0" w:color="auto"/>
                  </w:divBdr>
                  <w:divsChild>
                    <w:div w:id="730814356">
                      <w:marLeft w:val="0"/>
                      <w:marRight w:val="0"/>
                      <w:marTop w:val="0"/>
                      <w:marBottom w:val="0"/>
                      <w:divBdr>
                        <w:top w:val="none" w:sz="0" w:space="0" w:color="auto"/>
                        <w:left w:val="none" w:sz="0" w:space="0" w:color="auto"/>
                        <w:bottom w:val="none" w:sz="0" w:space="0" w:color="auto"/>
                        <w:right w:val="none" w:sz="0" w:space="0" w:color="auto"/>
                      </w:divBdr>
                    </w:div>
                  </w:divsChild>
                </w:div>
                <w:div w:id="1786346523">
                  <w:marLeft w:val="0"/>
                  <w:marRight w:val="0"/>
                  <w:marTop w:val="0"/>
                  <w:marBottom w:val="0"/>
                  <w:divBdr>
                    <w:top w:val="none" w:sz="0" w:space="0" w:color="auto"/>
                    <w:left w:val="none" w:sz="0" w:space="0" w:color="auto"/>
                    <w:bottom w:val="none" w:sz="0" w:space="0" w:color="auto"/>
                    <w:right w:val="none" w:sz="0" w:space="0" w:color="auto"/>
                  </w:divBdr>
                  <w:divsChild>
                    <w:div w:id="1291861413">
                      <w:marLeft w:val="0"/>
                      <w:marRight w:val="0"/>
                      <w:marTop w:val="0"/>
                      <w:marBottom w:val="0"/>
                      <w:divBdr>
                        <w:top w:val="none" w:sz="0" w:space="0" w:color="auto"/>
                        <w:left w:val="none" w:sz="0" w:space="0" w:color="auto"/>
                        <w:bottom w:val="none" w:sz="0" w:space="0" w:color="auto"/>
                        <w:right w:val="none" w:sz="0" w:space="0" w:color="auto"/>
                      </w:divBdr>
                    </w:div>
                  </w:divsChild>
                </w:div>
                <w:div w:id="1886679774">
                  <w:marLeft w:val="0"/>
                  <w:marRight w:val="0"/>
                  <w:marTop w:val="0"/>
                  <w:marBottom w:val="0"/>
                  <w:divBdr>
                    <w:top w:val="none" w:sz="0" w:space="0" w:color="auto"/>
                    <w:left w:val="none" w:sz="0" w:space="0" w:color="auto"/>
                    <w:bottom w:val="none" w:sz="0" w:space="0" w:color="auto"/>
                    <w:right w:val="none" w:sz="0" w:space="0" w:color="auto"/>
                  </w:divBdr>
                  <w:divsChild>
                    <w:div w:id="869419990">
                      <w:marLeft w:val="0"/>
                      <w:marRight w:val="0"/>
                      <w:marTop w:val="0"/>
                      <w:marBottom w:val="0"/>
                      <w:divBdr>
                        <w:top w:val="none" w:sz="0" w:space="0" w:color="auto"/>
                        <w:left w:val="none" w:sz="0" w:space="0" w:color="auto"/>
                        <w:bottom w:val="none" w:sz="0" w:space="0" w:color="auto"/>
                        <w:right w:val="none" w:sz="0" w:space="0" w:color="auto"/>
                      </w:divBdr>
                    </w:div>
                  </w:divsChild>
                </w:div>
                <w:div w:id="1988435226">
                  <w:marLeft w:val="0"/>
                  <w:marRight w:val="0"/>
                  <w:marTop w:val="0"/>
                  <w:marBottom w:val="0"/>
                  <w:divBdr>
                    <w:top w:val="none" w:sz="0" w:space="0" w:color="auto"/>
                    <w:left w:val="none" w:sz="0" w:space="0" w:color="auto"/>
                    <w:bottom w:val="none" w:sz="0" w:space="0" w:color="auto"/>
                    <w:right w:val="none" w:sz="0" w:space="0" w:color="auto"/>
                  </w:divBdr>
                  <w:divsChild>
                    <w:div w:id="2007515450">
                      <w:marLeft w:val="0"/>
                      <w:marRight w:val="0"/>
                      <w:marTop w:val="0"/>
                      <w:marBottom w:val="0"/>
                      <w:divBdr>
                        <w:top w:val="none" w:sz="0" w:space="0" w:color="auto"/>
                        <w:left w:val="none" w:sz="0" w:space="0" w:color="auto"/>
                        <w:bottom w:val="none" w:sz="0" w:space="0" w:color="auto"/>
                        <w:right w:val="none" w:sz="0" w:space="0" w:color="auto"/>
                      </w:divBdr>
                    </w:div>
                  </w:divsChild>
                </w:div>
                <w:div w:id="2092113988">
                  <w:marLeft w:val="0"/>
                  <w:marRight w:val="0"/>
                  <w:marTop w:val="0"/>
                  <w:marBottom w:val="0"/>
                  <w:divBdr>
                    <w:top w:val="none" w:sz="0" w:space="0" w:color="auto"/>
                    <w:left w:val="none" w:sz="0" w:space="0" w:color="auto"/>
                    <w:bottom w:val="none" w:sz="0" w:space="0" w:color="auto"/>
                    <w:right w:val="none" w:sz="0" w:space="0" w:color="auto"/>
                  </w:divBdr>
                  <w:divsChild>
                    <w:div w:id="397871541">
                      <w:marLeft w:val="0"/>
                      <w:marRight w:val="0"/>
                      <w:marTop w:val="0"/>
                      <w:marBottom w:val="0"/>
                      <w:divBdr>
                        <w:top w:val="none" w:sz="0" w:space="0" w:color="auto"/>
                        <w:left w:val="none" w:sz="0" w:space="0" w:color="auto"/>
                        <w:bottom w:val="none" w:sz="0" w:space="0" w:color="auto"/>
                        <w:right w:val="none" w:sz="0" w:space="0" w:color="auto"/>
                      </w:divBdr>
                    </w:div>
                  </w:divsChild>
                </w:div>
                <w:div w:id="2106874532">
                  <w:marLeft w:val="0"/>
                  <w:marRight w:val="0"/>
                  <w:marTop w:val="0"/>
                  <w:marBottom w:val="0"/>
                  <w:divBdr>
                    <w:top w:val="none" w:sz="0" w:space="0" w:color="auto"/>
                    <w:left w:val="none" w:sz="0" w:space="0" w:color="auto"/>
                    <w:bottom w:val="none" w:sz="0" w:space="0" w:color="auto"/>
                    <w:right w:val="none" w:sz="0" w:space="0" w:color="auto"/>
                  </w:divBdr>
                  <w:divsChild>
                    <w:div w:id="14830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426">
          <w:marLeft w:val="0"/>
          <w:marRight w:val="0"/>
          <w:marTop w:val="0"/>
          <w:marBottom w:val="0"/>
          <w:divBdr>
            <w:top w:val="none" w:sz="0" w:space="0" w:color="auto"/>
            <w:left w:val="none" w:sz="0" w:space="0" w:color="auto"/>
            <w:bottom w:val="none" w:sz="0" w:space="0" w:color="auto"/>
            <w:right w:val="none" w:sz="0" w:space="0" w:color="auto"/>
          </w:divBdr>
          <w:divsChild>
            <w:div w:id="8264890">
              <w:marLeft w:val="0"/>
              <w:marRight w:val="0"/>
              <w:marTop w:val="0"/>
              <w:marBottom w:val="0"/>
              <w:divBdr>
                <w:top w:val="none" w:sz="0" w:space="0" w:color="auto"/>
                <w:left w:val="none" w:sz="0" w:space="0" w:color="auto"/>
                <w:bottom w:val="none" w:sz="0" w:space="0" w:color="auto"/>
                <w:right w:val="none" w:sz="0" w:space="0" w:color="auto"/>
              </w:divBdr>
            </w:div>
            <w:div w:id="107628784">
              <w:marLeft w:val="0"/>
              <w:marRight w:val="0"/>
              <w:marTop w:val="0"/>
              <w:marBottom w:val="0"/>
              <w:divBdr>
                <w:top w:val="none" w:sz="0" w:space="0" w:color="auto"/>
                <w:left w:val="none" w:sz="0" w:space="0" w:color="auto"/>
                <w:bottom w:val="none" w:sz="0" w:space="0" w:color="auto"/>
                <w:right w:val="none" w:sz="0" w:space="0" w:color="auto"/>
              </w:divBdr>
            </w:div>
            <w:div w:id="236863333">
              <w:marLeft w:val="0"/>
              <w:marRight w:val="0"/>
              <w:marTop w:val="0"/>
              <w:marBottom w:val="0"/>
              <w:divBdr>
                <w:top w:val="none" w:sz="0" w:space="0" w:color="auto"/>
                <w:left w:val="none" w:sz="0" w:space="0" w:color="auto"/>
                <w:bottom w:val="none" w:sz="0" w:space="0" w:color="auto"/>
                <w:right w:val="none" w:sz="0" w:space="0" w:color="auto"/>
              </w:divBdr>
            </w:div>
            <w:div w:id="282467472">
              <w:marLeft w:val="0"/>
              <w:marRight w:val="0"/>
              <w:marTop w:val="0"/>
              <w:marBottom w:val="0"/>
              <w:divBdr>
                <w:top w:val="none" w:sz="0" w:space="0" w:color="auto"/>
                <w:left w:val="none" w:sz="0" w:space="0" w:color="auto"/>
                <w:bottom w:val="none" w:sz="0" w:space="0" w:color="auto"/>
                <w:right w:val="none" w:sz="0" w:space="0" w:color="auto"/>
              </w:divBdr>
            </w:div>
            <w:div w:id="493375235">
              <w:marLeft w:val="0"/>
              <w:marRight w:val="0"/>
              <w:marTop w:val="0"/>
              <w:marBottom w:val="0"/>
              <w:divBdr>
                <w:top w:val="none" w:sz="0" w:space="0" w:color="auto"/>
                <w:left w:val="none" w:sz="0" w:space="0" w:color="auto"/>
                <w:bottom w:val="none" w:sz="0" w:space="0" w:color="auto"/>
                <w:right w:val="none" w:sz="0" w:space="0" w:color="auto"/>
              </w:divBdr>
            </w:div>
            <w:div w:id="556623708">
              <w:marLeft w:val="0"/>
              <w:marRight w:val="0"/>
              <w:marTop w:val="0"/>
              <w:marBottom w:val="0"/>
              <w:divBdr>
                <w:top w:val="none" w:sz="0" w:space="0" w:color="auto"/>
                <w:left w:val="none" w:sz="0" w:space="0" w:color="auto"/>
                <w:bottom w:val="none" w:sz="0" w:space="0" w:color="auto"/>
                <w:right w:val="none" w:sz="0" w:space="0" w:color="auto"/>
              </w:divBdr>
            </w:div>
            <w:div w:id="561478159">
              <w:marLeft w:val="0"/>
              <w:marRight w:val="0"/>
              <w:marTop w:val="0"/>
              <w:marBottom w:val="0"/>
              <w:divBdr>
                <w:top w:val="none" w:sz="0" w:space="0" w:color="auto"/>
                <w:left w:val="none" w:sz="0" w:space="0" w:color="auto"/>
                <w:bottom w:val="none" w:sz="0" w:space="0" w:color="auto"/>
                <w:right w:val="none" w:sz="0" w:space="0" w:color="auto"/>
              </w:divBdr>
            </w:div>
            <w:div w:id="594674958">
              <w:marLeft w:val="0"/>
              <w:marRight w:val="0"/>
              <w:marTop w:val="0"/>
              <w:marBottom w:val="0"/>
              <w:divBdr>
                <w:top w:val="none" w:sz="0" w:space="0" w:color="auto"/>
                <w:left w:val="none" w:sz="0" w:space="0" w:color="auto"/>
                <w:bottom w:val="none" w:sz="0" w:space="0" w:color="auto"/>
                <w:right w:val="none" w:sz="0" w:space="0" w:color="auto"/>
              </w:divBdr>
            </w:div>
            <w:div w:id="655961785">
              <w:marLeft w:val="0"/>
              <w:marRight w:val="0"/>
              <w:marTop w:val="0"/>
              <w:marBottom w:val="0"/>
              <w:divBdr>
                <w:top w:val="none" w:sz="0" w:space="0" w:color="auto"/>
                <w:left w:val="none" w:sz="0" w:space="0" w:color="auto"/>
                <w:bottom w:val="none" w:sz="0" w:space="0" w:color="auto"/>
                <w:right w:val="none" w:sz="0" w:space="0" w:color="auto"/>
              </w:divBdr>
            </w:div>
            <w:div w:id="745801839">
              <w:marLeft w:val="0"/>
              <w:marRight w:val="0"/>
              <w:marTop w:val="0"/>
              <w:marBottom w:val="0"/>
              <w:divBdr>
                <w:top w:val="none" w:sz="0" w:space="0" w:color="auto"/>
                <w:left w:val="none" w:sz="0" w:space="0" w:color="auto"/>
                <w:bottom w:val="none" w:sz="0" w:space="0" w:color="auto"/>
                <w:right w:val="none" w:sz="0" w:space="0" w:color="auto"/>
              </w:divBdr>
            </w:div>
            <w:div w:id="1033503733">
              <w:marLeft w:val="0"/>
              <w:marRight w:val="0"/>
              <w:marTop w:val="0"/>
              <w:marBottom w:val="0"/>
              <w:divBdr>
                <w:top w:val="none" w:sz="0" w:space="0" w:color="auto"/>
                <w:left w:val="none" w:sz="0" w:space="0" w:color="auto"/>
                <w:bottom w:val="none" w:sz="0" w:space="0" w:color="auto"/>
                <w:right w:val="none" w:sz="0" w:space="0" w:color="auto"/>
              </w:divBdr>
            </w:div>
            <w:div w:id="1087655010">
              <w:marLeft w:val="0"/>
              <w:marRight w:val="0"/>
              <w:marTop w:val="0"/>
              <w:marBottom w:val="0"/>
              <w:divBdr>
                <w:top w:val="none" w:sz="0" w:space="0" w:color="auto"/>
                <w:left w:val="none" w:sz="0" w:space="0" w:color="auto"/>
                <w:bottom w:val="none" w:sz="0" w:space="0" w:color="auto"/>
                <w:right w:val="none" w:sz="0" w:space="0" w:color="auto"/>
              </w:divBdr>
            </w:div>
            <w:div w:id="1150949102">
              <w:marLeft w:val="0"/>
              <w:marRight w:val="0"/>
              <w:marTop w:val="0"/>
              <w:marBottom w:val="0"/>
              <w:divBdr>
                <w:top w:val="none" w:sz="0" w:space="0" w:color="auto"/>
                <w:left w:val="none" w:sz="0" w:space="0" w:color="auto"/>
                <w:bottom w:val="none" w:sz="0" w:space="0" w:color="auto"/>
                <w:right w:val="none" w:sz="0" w:space="0" w:color="auto"/>
              </w:divBdr>
            </w:div>
            <w:div w:id="1315719058">
              <w:marLeft w:val="0"/>
              <w:marRight w:val="0"/>
              <w:marTop w:val="0"/>
              <w:marBottom w:val="0"/>
              <w:divBdr>
                <w:top w:val="none" w:sz="0" w:space="0" w:color="auto"/>
                <w:left w:val="none" w:sz="0" w:space="0" w:color="auto"/>
                <w:bottom w:val="none" w:sz="0" w:space="0" w:color="auto"/>
                <w:right w:val="none" w:sz="0" w:space="0" w:color="auto"/>
              </w:divBdr>
            </w:div>
            <w:div w:id="1350058086">
              <w:marLeft w:val="0"/>
              <w:marRight w:val="0"/>
              <w:marTop w:val="0"/>
              <w:marBottom w:val="0"/>
              <w:divBdr>
                <w:top w:val="none" w:sz="0" w:space="0" w:color="auto"/>
                <w:left w:val="none" w:sz="0" w:space="0" w:color="auto"/>
                <w:bottom w:val="none" w:sz="0" w:space="0" w:color="auto"/>
                <w:right w:val="none" w:sz="0" w:space="0" w:color="auto"/>
              </w:divBdr>
            </w:div>
            <w:div w:id="1350570349">
              <w:marLeft w:val="0"/>
              <w:marRight w:val="0"/>
              <w:marTop w:val="0"/>
              <w:marBottom w:val="0"/>
              <w:divBdr>
                <w:top w:val="none" w:sz="0" w:space="0" w:color="auto"/>
                <w:left w:val="none" w:sz="0" w:space="0" w:color="auto"/>
                <w:bottom w:val="none" w:sz="0" w:space="0" w:color="auto"/>
                <w:right w:val="none" w:sz="0" w:space="0" w:color="auto"/>
              </w:divBdr>
            </w:div>
            <w:div w:id="1483157001">
              <w:marLeft w:val="0"/>
              <w:marRight w:val="0"/>
              <w:marTop w:val="0"/>
              <w:marBottom w:val="0"/>
              <w:divBdr>
                <w:top w:val="none" w:sz="0" w:space="0" w:color="auto"/>
                <w:left w:val="none" w:sz="0" w:space="0" w:color="auto"/>
                <w:bottom w:val="none" w:sz="0" w:space="0" w:color="auto"/>
                <w:right w:val="none" w:sz="0" w:space="0" w:color="auto"/>
              </w:divBdr>
            </w:div>
            <w:div w:id="1499467104">
              <w:marLeft w:val="0"/>
              <w:marRight w:val="0"/>
              <w:marTop w:val="0"/>
              <w:marBottom w:val="0"/>
              <w:divBdr>
                <w:top w:val="none" w:sz="0" w:space="0" w:color="auto"/>
                <w:left w:val="none" w:sz="0" w:space="0" w:color="auto"/>
                <w:bottom w:val="none" w:sz="0" w:space="0" w:color="auto"/>
                <w:right w:val="none" w:sz="0" w:space="0" w:color="auto"/>
              </w:divBdr>
            </w:div>
            <w:div w:id="1629698868">
              <w:marLeft w:val="0"/>
              <w:marRight w:val="0"/>
              <w:marTop w:val="0"/>
              <w:marBottom w:val="0"/>
              <w:divBdr>
                <w:top w:val="none" w:sz="0" w:space="0" w:color="auto"/>
                <w:left w:val="none" w:sz="0" w:space="0" w:color="auto"/>
                <w:bottom w:val="none" w:sz="0" w:space="0" w:color="auto"/>
                <w:right w:val="none" w:sz="0" w:space="0" w:color="auto"/>
              </w:divBdr>
            </w:div>
            <w:div w:id="1967277510">
              <w:marLeft w:val="0"/>
              <w:marRight w:val="0"/>
              <w:marTop w:val="0"/>
              <w:marBottom w:val="0"/>
              <w:divBdr>
                <w:top w:val="none" w:sz="0" w:space="0" w:color="auto"/>
                <w:left w:val="none" w:sz="0" w:space="0" w:color="auto"/>
                <w:bottom w:val="none" w:sz="0" w:space="0" w:color="auto"/>
                <w:right w:val="none" w:sz="0" w:space="0" w:color="auto"/>
              </w:divBdr>
            </w:div>
          </w:divsChild>
        </w:div>
        <w:div w:id="1545215309">
          <w:marLeft w:val="0"/>
          <w:marRight w:val="0"/>
          <w:marTop w:val="0"/>
          <w:marBottom w:val="0"/>
          <w:divBdr>
            <w:top w:val="none" w:sz="0" w:space="0" w:color="auto"/>
            <w:left w:val="none" w:sz="0" w:space="0" w:color="auto"/>
            <w:bottom w:val="none" w:sz="0" w:space="0" w:color="auto"/>
            <w:right w:val="none" w:sz="0" w:space="0" w:color="auto"/>
          </w:divBdr>
        </w:div>
        <w:div w:id="1620649155">
          <w:marLeft w:val="0"/>
          <w:marRight w:val="0"/>
          <w:marTop w:val="0"/>
          <w:marBottom w:val="0"/>
          <w:divBdr>
            <w:top w:val="none" w:sz="0" w:space="0" w:color="auto"/>
            <w:left w:val="none" w:sz="0" w:space="0" w:color="auto"/>
            <w:bottom w:val="none" w:sz="0" w:space="0" w:color="auto"/>
            <w:right w:val="none" w:sz="0" w:space="0" w:color="auto"/>
          </w:divBdr>
          <w:divsChild>
            <w:div w:id="1029918818">
              <w:marLeft w:val="-75"/>
              <w:marRight w:val="0"/>
              <w:marTop w:val="30"/>
              <w:marBottom w:val="30"/>
              <w:divBdr>
                <w:top w:val="none" w:sz="0" w:space="0" w:color="auto"/>
                <w:left w:val="none" w:sz="0" w:space="0" w:color="auto"/>
                <w:bottom w:val="none" w:sz="0" w:space="0" w:color="auto"/>
                <w:right w:val="none" w:sz="0" w:space="0" w:color="auto"/>
              </w:divBdr>
              <w:divsChild>
                <w:div w:id="18119619">
                  <w:marLeft w:val="0"/>
                  <w:marRight w:val="0"/>
                  <w:marTop w:val="0"/>
                  <w:marBottom w:val="0"/>
                  <w:divBdr>
                    <w:top w:val="none" w:sz="0" w:space="0" w:color="auto"/>
                    <w:left w:val="none" w:sz="0" w:space="0" w:color="auto"/>
                    <w:bottom w:val="none" w:sz="0" w:space="0" w:color="auto"/>
                    <w:right w:val="none" w:sz="0" w:space="0" w:color="auto"/>
                  </w:divBdr>
                  <w:divsChild>
                    <w:div w:id="1004823412">
                      <w:marLeft w:val="0"/>
                      <w:marRight w:val="0"/>
                      <w:marTop w:val="0"/>
                      <w:marBottom w:val="0"/>
                      <w:divBdr>
                        <w:top w:val="none" w:sz="0" w:space="0" w:color="auto"/>
                        <w:left w:val="none" w:sz="0" w:space="0" w:color="auto"/>
                        <w:bottom w:val="none" w:sz="0" w:space="0" w:color="auto"/>
                        <w:right w:val="none" w:sz="0" w:space="0" w:color="auto"/>
                      </w:divBdr>
                    </w:div>
                  </w:divsChild>
                </w:div>
                <w:div w:id="120996887">
                  <w:marLeft w:val="0"/>
                  <w:marRight w:val="0"/>
                  <w:marTop w:val="0"/>
                  <w:marBottom w:val="0"/>
                  <w:divBdr>
                    <w:top w:val="none" w:sz="0" w:space="0" w:color="auto"/>
                    <w:left w:val="none" w:sz="0" w:space="0" w:color="auto"/>
                    <w:bottom w:val="none" w:sz="0" w:space="0" w:color="auto"/>
                    <w:right w:val="none" w:sz="0" w:space="0" w:color="auto"/>
                  </w:divBdr>
                  <w:divsChild>
                    <w:div w:id="699473358">
                      <w:marLeft w:val="0"/>
                      <w:marRight w:val="0"/>
                      <w:marTop w:val="0"/>
                      <w:marBottom w:val="0"/>
                      <w:divBdr>
                        <w:top w:val="none" w:sz="0" w:space="0" w:color="auto"/>
                        <w:left w:val="none" w:sz="0" w:space="0" w:color="auto"/>
                        <w:bottom w:val="none" w:sz="0" w:space="0" w:color="auto"/>
                        <w:right w:val="none" w:sz="0" w:space="0" w:color="auto"/>
                      </w:divBdr>
                    </w:div>
                  </w:divsChild>
                </w:div>
                <w:div w:id="363404446">
                  <w:marLeft w:val="0"/>
                  <w:marRight w:val="0"/>
                  <w:marTop w:val="0"/>
                  <w:marBottom w:val="0"/>
                  <w:divBdr>
                    <w:top w:val="none" w:sz="0" w:space="0" w:color="auto"/>
                    <w:left w:val="none" w:sz="0" w:space="0" w:color="auto"/>
                    <w:bottom w:val="none" w:sz="0" w:space="0" w:color="auto"/>
                    <w:right w:val="none" w:sz="0" w:space="0" w:color="auto"/>
                  </w:divBdr>
                  <w:divsChild>
                    <w:div w:id="1999650310">
                      <w:marLeft w:val="0"/>
                      <w:marRight w:val="0"/>
                      <w:marTop w:val="0"/>
                      <w:marBottom w:val="0"/>
                      <w:divBdr>
                        <w:top w:val="none" w:sz="0" w:space="0" w:color="auto"/>
                        <w:left w:val="none" w:sz="0" w:space="0" w:color="auto"/>
                        <w:bottom w:val="none" w:sz="0" w:space="0" w:color="auto"/>
                        <w:right w:val="none" w:sz="0" w:space="0" w:color="auto"/>
                      </w:divBdr>
                    </w:div>
                  </w:divsChild>
                </w:div>
                <w:div w:id="491261506">
                  <w:marLeft w:val="0"/>
                  <w:marRight w:val="0"/>
                  <w:marTop w:val="0"/>
                  <w:marBottom w:val="0"/>
                  <w:divBdr>
                    <w:top w:val="none" w:sz="0" w:space="0" w:color="auto"/>
                    <w:left w:val="none" w:sz="0" w:space="0" w:color="auto"/>
                    <w:bottom w:val="none" w:sz="0" w:space="0" w:color="auto"/>
                    <w:right w:val="none" w:sz="0" w:space="0" w:color="auto"/>
                  </w:divBdr>
                  <w:divsChild>
                    <w:div w:id="1794859506">
                      <w:marLeft w:val="0"/>
                      <w:marRight w:val="0"/>
                      <w:marTop w:val="0"/>
                      <w:marBottom w:val="0"/>
                      <w:divBdr>
                        <w:top w:val="none" w:sz="0" w:space="0" w:color="auto"/>
                        <w:left w:val="none" w:sz="0" w:space="0" w:color="auto"/>
                        <w:bottom w:val="none" w:sz="0" w:space="0" w:color="auto"/>
                        <w:right w:val="none" w:sz="0" w:space="0" w:color="auto"/>
                      </w:divBdr>
                    </w:div>
                  </w:divsChild>
                </w:div>
                <w:div w:id="592007256">
                  <w:marLeft w:val="0"/>
                  <w:marRight w:val="0"/>
                  <w:marTop w:val="0"/>
                  <w:marBottom w:val="0"/>
                  <w:divBdr>
                    <w:top w:val="none" w:sz="0" w:space="0" w:color="auto"/>
                    <w:left w:val="none" w:sz="0" w:space="0" w:color="auto"/>
                    <w:bottom w:val="none" w:sz="0" w:space="0" w:color="auto"/>
                    <w:right w:val="none" w:sz="0" w:space="0" w:color="auto"/>
                  </w:divBdr>
                  <w:divsChild>
                    <w:div w:id="624699689">
                      <w:marLeft w:val="0"/>
                      <w:marRight w:val="0"/>
                      <w:marTop w:val="0"/>
                      <w:marBottom w:val="0"/>
                      <w:divBdr>
                        <w:top w:val="none" w:sz="0" w:space="0" w:color="auto"/>
                        <w:left w:val="none" w:sz="0" w:space="0" w:color="auto"/>
                        <w:bottom w:val="none" w:sz="0" w:space="0" w:color="auto"/>
                        <w:right w:val="none" w:sz="0" w:space="0" w:color="auto"/>
                      </w:divBdr>
                    </w:div>
                  </w:divsChild>
                </w:div>
                <w:div w:id="626862061">
                  <w:marLeft w:val="0"/>
                  <w:marRight w:val="0"/>
                  <w:marTop w:val="0"/>
                  <w:marBottom w:val="0"/>
                  <w:divBdr>
                    <w:top w:val="none" w:sz="0" w:space="0" w:color="auto"/>
                    <w:left w:val="none" w:sz="0" w:space="0" w:color="auto"/>
                    <w:bottom w:val="none" w:sz="0" w:space="0" w:color="auto"/>
                    <w:right w:val="none" w:sz="0" w:space="0" w:color="auto"/>
                  </w:divBdr>
                  <w:divsChild>
                    <w:div w:id="1734425098">
                      <w:marLeft w:val="0"/>
                      <w:marRight w:val="0"/>
                      <w:marTop w:val="0"/>
                      <w:marBottom w:val="0"/>
                      <w:divBdr>
                        <w:top w:val="none" w:sz="0" w:space="0" w:color="auto"/>
                        <w:left w:val="none" w:sz="0" w:space="0" w:color="auto"/>
                        <w:bottom w:val="none" w:sz="0" w:space="0" w:color="auto"/>
                        <w:right w:val="none" w:sz="0" w:space="0" w:color="auto"/>
                      </w:divBdr>
                    </w:div>
                  </w:divsChild>
                </w:div>
                <w:div w:id="638459090">
                  <w:marLeft w:val="0"/>
                  <w:marRight w:val="0"/>
                  <w:marTop w:val="0"/>
                  <w:marBottom w:val="0"/>
                  <w:divBdr>
                    <w:top w:val="none" w:sz="0" w:space="0" w:color="auto"/>
                    <w:left w:val="none" w:sz="0" w:space="0" w:color="auto"/>
                    <w:bottom w:val="none" w:sz="0" w:space="0" w:color="auto"/>
                    <w:right w:val="none" w:sz="0" w:space="0" w:color="auto"/>
                  </w:divBdr>
                  <w:divsChild>
                    <w:div w:id="2122146747">
                      <w:marLeft w:val="0"/>
                      <w:marRight w:val="0"/>
                      <w:marTop w:val="0"/>
                      <w:marBottom w:val="0"/>
                      <w:divBdr>
                        <w:top w:val="none" w:sz="0" w:space="0" w:color="auto"/>
                        <w:left w:val="none" w:sz="0" w:space="0" w:color="auto"/>
                        <w:bottom w:val="none" w:sz="0" w:space="0" w:color="auto"/>
                        <w:right w:val="none" w:sz="0" w:space="0" w:color="auto"/>
                      </w:divBdr>
                    </w:div>
                  </w:divsChild>
                </w:div>
                <w:div w:id="739519432">
                  <w:marLeft w:val="0"/>
                  <w:marRight w:val="0"/>
                  <w:marTop w:val="0"/>
                  <w:marBottom w:val="0"/>
                  <w:divBdr>
                    <w:top w:val="none" w:sz="0" w:space="0" w:color="auto"/>
                    <w:left w:val="none" w:sz="0" w:space="0" w:color="auto"/>
                    <w:bottom w:val="none" w:sz="0" w:space="0" w:color="auto"/>
                    <w:right w:val="none" w:sz="0" w:space="0" w:color="auto"/>
                  </w:divBdr>
                  <w:divsChild>
                    <w:div w:id="1356808288">
                      <w:marLeft w:val="0"/>
                      <w:marRight w:val="0"/>
                      <w:marTop w:val="0"/>
                      <w:marBottom w:val="0"/>
                      <w:divBdr>
                        <w:top w:val="none" w:sz="0" w:space="0" w:color="auto"/>
                        <w:left w:val="none" w:sz="0" w:space="0" w:color="auto"/>
                        <w:bottom w:val="none" w:sz="0" w:space="0" w:color="auto"/>
                        <w:right w:val="none" w:sz="0" w:space="0" w:color="auto"/>
                      </w:divBdr>
                    </w:div>
                  </w:divsChild>
                </w:div>
                <w:div w:id="882601654">
                  <w:marLeft w:val="0"/>
                  <w:marRight w:val="0"/>
                  <w:marTop w:val="0"/>
                  <w:marBottom w:val="0"/>
                  <w:divBdr>
                    <w:top w:val="none" w:sz="0" w:space="0" w:color="auto"/>
                    <w:left w:val="none" w:sz="0" w:space="0" w:color="auto"/>
                    <w:bottom w:val="none" w:sz="0" w:space="0" w:color="auto"/>
                    <w:right w:val="none" w:sz="0" w:space="0" w:color="auto"/>
                  </w:divBdr>
                  <w:divsChild>
                    <w:div w:id="1352873385">
                      <w:marLeft w:val="0"/>
                      <w:marRight w:val="0"/>
                      <w:marTop w:val="0"/>
                      <w:marBottom w:val="0"/>
                      <w:divBdr>
                        <w:top w:val="none" w:sz="0" w:space="0" w:color="auto"/>
                        <w:left w:val="none" w:sz="0" w:space="0" w:color="auto"/>
                        <w:bottom w:val="none" w:sz="0" w:space="0" w:color="auto"/>
                        <w:right w:val="none" w:sz="0" w:space="0" w:color="auto"/>
                      </w:divBdr>
                    </w:div>
                  </w:divsChild>
                </w:div>
                <w:div w:id="1009675082">
                  <w:marLeft w:val="0"/>
                  <w:marRight w:val="0"/>
                  <w:marTop w:val="0"/>
                  <w:marBottom w:val="0"/>
                  <w:divBdr>
                    <w:top w:val="none" w:sz="0" w:space="0" w:color="auto"/>
                    <w:left w:val="none" w:sz="0" w:space="0" w:color="auto"/>
                    <w:bottom w:val="none" w:sz="0" w:space="0" w:color="auto"/>
                    <w:right w:val="none" w:sz="0" w:space="0" w:color="auto"/>
                  </w:divBdr>
                  <w:divsChild>
                    <w:div w:id="1756436426">
                      <w:marLeft w:val="0"/>
                      <w:marRight w:val="0"/>
                      <w:marTop w:val="0"/>
                      <w:marBottom w:val="0"/>
                      <w:divBdr>
                        <w:top w:val="none" w:sz="0" w:space="0" w:color="auto"/>
                        <w:left w:val="none" w:sz="0" w:space="0" w:color="auto"/>
                        <w:bottom w:val="none" w:sz="0" w:space="0" w:color="auto"/>
                        <w:right w:val="none" w:sz="0" w:space="0" w:color="auto"/>
                      </w:divBdr>
                    </w:div>
                  </w:divsChild>
                </w:div>
                <w:div w:id="1027371507">
                  <w:marLeft w:val="0"/>
                  <w:marRight w:val="0"/>
                  <w:marTop w:val="0"/>
                  <w:marBottom w:val="0"/>
                  <w:divBdr>
                    <w:top w:val="none" w:sz="0" w:space="0" w:color="auto"/>
                    <w:left w:val="none" w:sz="0" w:space="0" w:color="auto"/>
                    <w:bottom w:val="none" w:sz="0" w:space="0" w:color="auto"/>
                    <w:right w:val="none" w:sz="0" w:space="0" w:color="auto"/>
                  </w:divBdr>
                  <w:divsChild>
                    <w:div w:id="661858732">
                      <w:marLeft w:val="0"/>
                      <w:marRight w:val="0"/>
                      <w:marTop w:val="0"/>
                      <w:marBottom w:val="0"/>
                      <w:divBdr>
                        <w:top w:val="none" w:sz="0" w:space="0" w:color="auto"/>
                        <w:left w:val="none" w:sz="0" w:space="0" w:color="auto"/>
                        <w:bottom w:val="none" w:sz="0" w:space="0" w:color="auto"/>
                        <w:right w:val="none" w:sz="0" w:space="0" w:color="auto"/>
                      </w:divBdr>
                    </w:div>
                  </w:divsChild>
                </w:div>
                <w:div w:id="1199128011">
                  <w:marLeft w:val="0"/>
                  <w:marRight w:val="0"/>
                  <w:marTop w:val="0"/>
                  <w:marBottom w:val="0"/>
                  <w:divBdr>
                    <w:top w:val="none" w:sz="0" w:space="0" w:color="auto"/>
                    <w:left w:val="none" w:sz="0" w:space="0" w:color="auto"/>
                    <w:bottom w:val="none" w:sz="0" w:space="0" w:color="auto"/>
                    <w:right w:val="none" w:sz="0" w:space="0" w:color="auto"/>
                  </w:divBdr>
                  <w:divsChild>
                    <w:div w:id="198661725">
                      <w:marLeft w:val="0"/>
                      <w:marRight w:val="0"/>
                      <w:marTop w:val="0"/>
                      <w:marBottom w:val="0"/>
                      <w:divBdr>
                        <w:top w:val="none" w:sz="0" w:space="0" w:color="auto"/>
                        <w:left w:val="none" w:sz="0" w:space="0" w:color="auto"/>
                        <w:bottom w:val="none" w:sz="0" w:space="0" w:color="auto"/>
                        <w:right w:val="none" w:sz="0" w:space="0" w:color="auto"/>
                      </w:divBdr>
                    </w:div>
                  </w:divsChild>
                </w:div>
                <w:div w:id="1212576632">
                  <w:marLeft w:val="0"/>
                  <w:marRight w:val="0"/>
                  <w:marTop w:val="0"/>
                  <w:marBottom w:val="0"/>
                  <w:divBdr>
                    <w:top w:val="none" w:sz="0" w:space="0" w:color="auto"/>
                    <w:left w:val="none" w:sz="0" w:space="0" w:color="auto"/>
                    <w:bottom w:val="none" w:sz="0" w:space="0" w:color="auto"/>
                    <w:right w:val="none" w:sz="0" w:space="0" w:color="auto"/>
                  </w:divBdr>
                  <w:divsChild>
                    <w:div w:id="831220332">
                      <w:marLeft w:val="0"/>
                      <w:marRight w:val="0"/>
                      <w:marTop w:val="0"/>
                      <w:marBottom w:val="0"/>
                      <w:divBdr>
                        <w:top w:val="none" w:sz="0" w:space="0" w:color="auto"/>
                        <w:left w:val="none" w:sz="0" w:space="0" w:color="auto"/>
                        <w:bottom w:val="none" w:sz="0" w:space="0" w:color="auto"/>
                        <w:right w:val="none" w:sz="0" w:space="0" w:color="auto"/>
                      </w:divBdr>
                    </w:div>
                  </w:divsChild>
                </w:div>
                <w:div w:id="1237745107">
                  <w:marLeft w:val="0"/>
                  <w:marRight w:val="0"/>
                  <w:marTop w:val="0"/>
                  <w:marBottom w:val="0"/>
                  <w:divBdr>
                    <w:top w:val="none" w:sz="0" w:space="0" w:color="auto"/>
                    <w:left w:val="none" w:sz="0" w:space="0" w:color="auto"/>
                    <w:bottom w:val="none" w:sz="0" w:space="0" w:color="auto"/>
                    <w:right w:val="none" w:sz="0" w:space="0" w:color="auto"/>
                  </w:divBdr>
                  <w:divsChild>
                    <w:div w:id="657270445">
                      <w:marLeft w:val="0"/>
                      <w:marRight w:val="0"/>
                      <w:marTop w:val="0"/>
                      <w:marBottom w:val="0"/>
                      <w:divBdr>
                        <w:top w:val="none" w:sz="0" w:space="0" w:color="auto"/>
                        <w:left w:val="none" w:sz="0" w:space="0" w:color="auto"/>
                        <w:bottom w:val="none" w:sz="0" w:space="0" w:color="auto"/>
                        <w:right w:val="none" w:sz="0" w:space="0" w:color="auto"/>
                      </w:divBdr>
                    </w:div>
                  </w:divsChild>
                </w:div>
                <w:div w:id="1376075360">
                  <w:marLeft w:val="0"/>
                  <w:marRight w:val="0"/>
                  <w:marTop w:val="0"/>
                  <w:marBottom w:val="0"/>
                  <w:divBdr>
                    <w:top w:val="none" w:sz="0" w:space="0" w:color="auto"/>
                    <w:left w:val="none" w:sz="0" w:space="0" w:color="auto"/>
                    <w:bottom w:val="none" w:sz="0" w:space="0" w:color="auto"/>
                    <w:right w:val="none" w:sz="0" w:space="0" w:color="auto"/>
                  </w:divBdr>
                  <w:divsChild>
                    <w:div w:id="1417361280">
                      <w:marLeft w:val="0"/>
                      <w:marRight w:val="0"/>
                      <w:marTop w:val="0"/>
                      <w:marBottom w:val="0"/>
                      <w:divBdr>
                        <w:top w:val="none" w:sz="0" w:space="0" w:color="auto"/>
                        <w:left w:val="none" w:sz="0" w:space="0" w:color="auto"/>
                        <w:bottom w:val="none" w:sz="0" w:space="0" w:color="auto"/>
                        <w:right w:val="none" w:sz="0" w:space="0" w:color="auto"/>
                      </w:divBdr>
                    </w:div>
                  </w:divsChild>
                </w:div>
                <w:div w:id="1701079236">
                  <w:marLeft w:val="0"/>
                  <w:marRight w:val="0"/>
                  <w:marTop w:val="0"/>
                  <w:marBottom w:val="0"/>
                  <w:divBdr>
                    <w:top w:val="none" w:sz="0" w:space="0" w:color="auto"/>
                    <w:left w:val="none" w:sz="0" w:space="0" w:color="auto"/>
                    <w:bottom w:val="none" w:sz="0" w:space="0" w:color="auto"/>
                    <w:right w:val="none" w:sz="0" w:space="0" w:color="auto"/>
                  </w:divBdr>
                  <w:divsChild>
                    <w:div w:id="1130437293">
                      <w:marLeft w:val="0"/>
                      <w:marRight w:val="0"/>
                      <w:marTop w:val="0"/>
                      <w:marBottom w:val="0"/>
                      <w:divBdr>
                        <w:top w:val="none" w:sz="0" w:space="0" w:color="auto"/>
                        <w:left w:val="none" w:sz="0" w:space="0" w:color="auto"/>
                        <w:bottom w:val="none" w:sz="0" w:space="0" w:color="auto"/>
                        <w:right w:val="none" w:sz="0" w:space="0" w:color="auto"/>
                      </w:divBdr>
                    </w:div>
                  </w:divsChild>
                </w:div>
                <w:div w:id="1807431595">
                  <w:marLeft w:val="0"/>
                  <w:marRight w:val="0"/>
                  <w:marTop w:val="0"/>
                  <w:marBottom w:val="0"/>
                  <w:divBdr>
                    <w:top w:val="none" w:sz="0" w:space="0" w:color="auto"/>
                    <w:left w:val="none" w:sz="0" w:space="0" w:color="auto"/>
                    <w:bottom w:val="none" w:sz="0" w:space="0" w:color="auto"/>
                    <w:right w:val="none" w:sz="0" w:space="0" w:color="auto"/>
                  </w:divBdr>
                  <w:divsChild>
                    <w:div w:id="840046770">
                      <w:marLeft w:val="0"/>
                      <w:marRight w:val="0"/>
                      <w:marTop w:val="0"/>
                      <w:marBottom w:val="0"/>
                      <w:divBdr>
                        <w:top w:val="none" w:sz="0" w:space="0" w:color="auto"/>
                        <w:left w:val="none" w:sz="0" w:space="0" w:color="auto"/>
                        <w:bottom w:val="none" w:sz="0" w:space="0" w:color="auto"/>
                        <w:right w:val="none" w:sz="0" w:space="0" w:color="auto"/>
                      </w:divBdr>
                    </w:div>
                  </w:divsChild>
                </w:div>
                <w:div w:id="1830289446">
                  <w:marLeft w:val="0"/>
                  <w:marRight w:val="0"/>
                  <w:marTop w:val="0"/>
                  <w:marBottom w:val="0"/>
                  <w:divBdr>
                    <w:top w:val="none" w:sz="0" w:space="0" w:color="auto"/>
                    <w:left w:val="none" w:sz="0" w:space="0" w:color="auto"/>
                    <w:bottom w:val="none" w:sz="0" w:space="0" w:color="auto"/>
                    <w:right w:val="none" w:sz="0" w:space="0" w:color="auto"/>
                  </w:divBdr>
                  <w:divsChild>
                    <w:div w:id="7332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84199">
          <w:marLeft w:val="0"/>
          <w:marRight w:val="0"/>
          <w:marTop w:val="0"/>
          <w:marBottom w:val="0"/>
          <w:divBdr>
            <w:top w:val="none" w:sz="0" w:space="0" w:color="auto"/>
            <w:left w:val="none" w:sz="0" w:space="0" w:color="auto"/>
            <w:bottom w:val="none" w:sz="0" w:space="0" w:color="auto"/>
            <w:right w:val="none" w:sz="0" w:space="0" w:color="auto"/>
          </w:divBdr>
        </w:div>
      </w:divsChild>
    </w:div>
    <w:div w:id="171652968">
      <w:bodyDiv w:val="1"/>
      <w:marLeft w:val="0"/>
      <w:marRight w:val="0"/>
      <w:marTop w:val="0"/>
      <w:marBottom w:val="0"/>
      <w:divBdr>
        <w:top w:val="none" w:sz="0" w:space="0" w:color="auto"/>
        <w:left w:val="none" w:sz="0" w:space="0" w:color="auto"/>
        <w:bottom w:val="none" w:sz="0" w:space="0" w:color="auto"/>
        <w:right w:val="none" w:sz="0" w:space="0" w:color="auto"/>
      </w:divBdr>
      <w:divsChild>
        <w:div w:id="71201783">
          <w:marLeft w:val="0"/>
          <w:marRight w:val="0"/>
          <w:marTop w:val="0"/>
          <w:marBottom w:val="0"/>
          <w:divBdr>
            <w:top w:val="none" w:sz="0" w:space="0" w:color="auto"/>
            <w:left w:val="none" w:sz="0" w:space="0" w:color="auto"/>
            <w:bottom w:val="none" w:sz="0" w:space="0" w:color="auto"/>
            <w:right w:val="none" w:sz="0" w:space="0" w:color="auto"/>
          </w:divBdr>
          <w:divsChild>
            <w:div w:id="750396448">
              <w:marLeft w:val="0"/>
              <w:marRight w:val="0"/>
              <w:marTop w:val="0"/>
              <w:marBottom w:val="0"/>
              <w:divBdr>
                <w:top w:val="none" w:sz="0" w:space="0" w:color="auto"/>
                <w:left w:val="none" w:sz="0" w:space="0" w:color="auto"/>
                <w:bottom w:val="none" w:sz="0" w:space="0" w:color="auto"/>
                <w:right w:val="none" w:sz="0" w:space="0" w:color="auto"/>
              </w:divBdr>
            </w:div>
          </w:divsChild>
        </w:div>
        <w:div w:id="77136671">
          <w:marLeft w:val="0"/>
          <w:marRight w:val="0"/>
          <w:marTop w:val="0"/>
          <w:marBottom w:val="0"/>
          <w:divBdr>
            <w:top w:val="none" w:sz="0" w:space="0" w:color="auto"/>
            <w:left w:val="none" w:sz="0" w:space="0" w:color="auto"/>
            <w:bottom w:val="none" w:sz="0" w:space="0" w:color="auto"/>
            <w:right w:val="none" w:sz="0" w:space="0" w:color="auto"/>
          </w:divBdr>
          <w:divsChild>
            <w:div w:id="1277172945">
              <w:marLeft w:val="0"/>
              <w:marRight w:val="0"/>
              <w:marTop w:val="0"/>
              <w:marBottom w:val="0"/>
              <w:divBdr>
                <w:top w:val="none" w:sz="0" w:space="0" w:color="auto"/>
                <w:left w:val="none" w:sz="0" w:space="0" w:color="auto"/>
                <w:bottom w:val="none" w:sz="0" w:space="0" w:color="auto"/>
                <w:right w:val="none" w:sz="0" w:space="0" w:color="auto"/>
              </w:divBdr>
            </w:div>
            <w:div w:id="1754232489">
              <w:marLeft w:val="0"/>
              <w:marRight w:val="0"/>
              <w:marTop w:val="0"/>
              <w:marBottom w:val="0"/>
              <w:divBdr>
                <w:top w:val="none" w:sz="0" w:space="0" w:color="auto"/>
                <w:left w:val="none" w:sz="0" w:space="0" w:color="auto"/>
                <w:bottom w:val="none" w:sz="0" w:space="0" w:color="auto"/>
                <w:right w:val="none" w:sz="0" w:space="0" w:color="auto"/>
              </w:divBdr>
            </w:div>
          </w:divsChild>
        </w:div>
        <w:div w:id="77363303">
          <w:marLeft w:val="0"/>
          <w:marRight w:val="0"/>
          <w:marTop w:val="0"/>
          <w:marBottom w:val="0"/>
          <w:divBdr>
            <w:top w:val="none" w:sz="0" w:space="0" w:color="auto"/>
            <w:left w:val="none" w:sz="0" w:space="0" w:color="auto"/>
            <w:bottom w:val="none" w:sz="0" w:space="0" w:color="auto"/>
            <w:right w:val="none" w:sz="0" w:space="0" w:color="auto"/>
          </w:divBdr>
          <w:divsChild>
            <w:div w:id="353966148">
              <w:marLeft w:val="0"/>
              <w:marRight w:val="0"/>
              <w:marTop w:val="0"/>
              <w:marBottom w:val="0"/>
              <w:divBdr>
                <w:top w:val="none" w:sz="0" w:space="0" w:color="auto"/>
                <w:left w:val="none" w:sz="0" w:space="0" w:color="auto"/>
                <w:bottom w:val="none" w:sz="0" w:space="0" w:color="auto"/>
                <w:right w:val="none" w:sz="0" w:space="0" w:color="auto"/>
              </w:divBdr>
            </w:div>
          </w:divsChild>
        </w:div>
        <w:div w:id="106587808">
          <w:marLeft w:val="0"/>
          <w:marRight w:val="0"/>
          <w:marTop w:val="0"/>
          <w:marBottom w:val="0"/>
          <w:divBdr>
            <w:top w:val="none" w:sz="0" w:space="0" w:color="auto"/>
            <w:left w:val="none" w:sz="0" w:space="0" w:color="auto"/>
            <w:bottom w:val="none" w:sz="0" w:space="0" w:color="auto"/>
            <w:right w:val="none" w:sz="0" w:space="0" w:color="auto"/>
          </w:divBdr>
          <w:divsChild>
            <w:div w:id="1532298964">
              <w:marLeft w:val="0"/>
              <w:marRight w:val="0"/>
              <w:marTop w:val="0"/>
              <w:marBottom w:val="0"/>
              <w:divBdr>
                <w:top w:val="none" w:sz="0" w:space="0" w:color="auto"/>
                <w:left w:val="none" w:sz="0" w:space="0" w:color="auto"/>
                <w:bottom w:val="none" w:sz="0" w:space="0" w:color="auto"/>
                <w:right w:val="none" w:sz="0" w:space="0" w:color="auto"/>
              </w:divBdr>
            </w:div>
          </w:divsChild>
        </w:div>
        <w:div w:id="142629029">
          <w:marLeft w:val="0"/>
          <w:marRight w:val="0"/>
          <w:marTop w:val="0"/>
          <w:marBottom w:val="0"/>
          <w:divBdr>
            <w:top w:val="none" w:sz="0" w:space="0" w:color="auto"/>
            <w:left w:val="none" w:sz="0" w:space="0" w:color="auto"/>
            <w:bottom w:val="none" w:sz="0" w:space="0" w:color="auto"/>
            <w:right w:val="none" w:sz="0" w:space="0" w:color="auto"/>
          </w:divBdr>
          <w:divsChild>
            <w:div w:id="1230459409">
              <w:marLeft w:val="0"/>
              <w:marRight w:val="0"/>
              <w:marTop w:val="0"/>
              <w:marBottom w:val="0"/>
              <w:divBdr>
                <w:top w:val="none" w:sz="0" w:space="0" w:color="auto"/>
                <w:left w:val="none" w:sz="0" w:space="0" w:color="auto"/>
                <w:bottom w:val="none" w:sz="0" w:space="0" w:color="auto"/>
                <w:right w:val="none" w:sz="0" w:space="0" w:color="auto"/>
              </w:divBdr>
            </w:div>
          </w:divsChild>
        </w:div>
        <w:div w:id="196744960">
          <w:marLeft w:val="0"/>
          <w:marRight w:val="0"/>
          <w:marTop w:val="0"/>
          <w:marBottom w:val="0"/>
          <w:divBdr>
            <w:top w:val="none" w:sz="0" w:space="0" w:color="auto"/>
            <w:left w:val="none" w:sz="0" w:space="0" w:color="auto"/>
            <w:bottom w:val="none" w:sz="0" w:space="0" w:color="auto"/>
            <w:right w:val="none" w:sz="0" w:space="0" w:color="auto"/>
          </w:divBdr>
          <w:divsChild>
            <w:div w:id="603342116">
              <w:marLeft w:val="0"/>
              <w:marRight w:val="0"/>
              <w:marTop w:val="0"/>
              <w:marBottom w:val="0"/>
              <w:divBdr>
                <w:top w:val="none" w:sz="0" w:space="0" w:color="auto"/>
                <w:left w:val="none" w:sz="0" w:space="0" w:color="auto"/>
                <w:bottom w:val="none" w:sz="0" w:space="0" w:color="auto"/>
                <w:right w:val="none" w:sz="0" w:space="0" w:color="auto"/>
              </w:divBdr>
            </w:div>
          </w:divsChild>
        </w:div>
        <w:div w:id="435683669">
          <w:marLeft w:val="0"/>
          <w:marRight w:val="0"/>
          <w:marTop w:val="0"/>
          <w:marBottom w:val="0"/>
          <w:divBdr>
            <w:top w:val="none" w:sz="0" w:space="0" w:color="auto"/>
            <w:left w:val="none" w:sz="0" w:space="0" w:color="auto"/>
            <w:bottom w:val="none" w:sz="0" w:space="0" w:color="auto"/>
            <w:right w:val="none" w:sz="0" w:space="0" w:color="auto"/>
          </w:divBdr>
          <w:divsChild>
            <w:div w:id="1119572248">
              <w:marLeft w:val="0"/>
              <w:marRight w:val="0"/>
              <w:marTop w:val="0"/>
              <w:marBottom w:val="0"/>
              <w:divBdr>
                <w:top w:val="none" w:sz="0" w:space="0" w:color="auto"/>
                <w:left w:val="none" w:sz="0" w:space="0" w:color="auto"/>
                <w:bottom w:val="none" w:sz="0" w:space="0" w:color="auto"/>
                <w:right w:val="none" w:sz="0" w:space="0" w:color="auto"/>
              </w:divBdr>
            </w:div>
          </w:divsChild>
        </w:div>
        <w:div w:id="500894659">
          <w:marLeft w:val="0"/>
          <w:marRight w:val="0"/>
          <w:marTop w:val="0"/>
          <w:marBottom w:val="0"/>
          <w:divBdr>
            <w:top w:val="none" w:sz="0" w:space="0" w:color="auto"/>
            <w:left w:val="none" w:sz="0" w:space="0" w:color="auto"/>
            <w:bottom w:val="none" w:sz="0" w:space="0" w:color="auto"/>
            <w:right w:val="none" w:sz="0" w:space="0" w:color="auto"/>
          </w:divBdr>
          <w:divsChild>
            <w:div w:id="747271394">
              <w:marLeft w:val="0"/>
              <w:marRight w:val="0"/>
              <w:marTop w:val="0"/>
              <w:marBottom w:val="0"/>
              <w:divBdr>
                <w:top w:val="none" w:sz="0" w:space="0" w:color="auto"/>
                <w:left w:val="none" w:sz="0" w:space="0" w:color="auto"/>
                <w:bottom w:val="none" w:sz="0" w:space="0" w:color="auto"/>
                <w:right w:val="none" w:sz="0" w:space="0" w:color="auto"/>
              </w:divBdr>
            </w:div>
          </w:divsChild>
        </w:div>
        <w:div w:id="796676894">
          <w:marLeft w:val="0"/>
          <w:marRight w:val="0"/>
          <w:marTop w:val="0"/>
          <w:marBottom w:val="0"/>
          <w:divBdr>
            <w:top w:val="none" w:sz="0" w:space="0" w:color="auto"/>
            <w:left w:val="none" w:sz="0" w:space="0" w:color="auto"/>
            <w:bottom w:val="none" w:sz="0" w:space="0" w:color="auto"/>
            <w:right w:val="none" w:sz="0" w:space="0" w:color="auto"/>
          </w:divBdr>
          <w:divsChild>
            <w:div w:id="1795173393">
              <w:marLeft w:val="0"/>
              <w:marRight w:val="0"/>
              <w:marTop w:val="0"/>
              <w:marBottom w:val="0"/>
              <w:divBdr>
                <w:top w:val="none" w:sz="0" w:space="0" w:color="auto"/>
                <w:left w:val="none" w:sz="0" w:space="0" w:color="auto"/>
                <w:bottom w:val="none" w:sz="0" w:space="0" w:color="auto"/>
                <w:right w:val="none" w:sz="0" w:space="0" w:color="auto"/>
              </w:divBdr>
            </w:div>
          </w:divsChild>
        </w:div>
        <w:div w:id="1024791291">
          <w:marLeft w:val="0"/>
          <w:marRight w:val="0"/>
          <w:marTop w:val="0"/>
          <w:marBottom w:val="0"/>
          <w:divBdr>
            <w:top w:val="none" w:sz="0" w:space="0" w:color="auto"/>
            <w:left w:val="none" w:sz="0" w:space="0" w:color="auto"/>
            <w:bottom w:val="none" w:sz="0" w:space="0" w:color="auto"/>
            <w:right w:val="none" w:sz="0" w:space="0" w:color="auto"/>
          </w:divBdr>
          <w:divsChild>
            <w:div w:id="1053188171">
              <w:marLeft w:val="0"/>
              <w:marRight w:val="0"/>
              <w:marTop w:val="0"/>
              <w:marBottom w:val="0"/>
              <w:divBdr>
                <w:top w:val="none" w:sz="0" w:space="0" w:color="auto"/>
                <w:left w:val="none" w:sz="0" w:space="0" w:color="auto"/>
                <w:bottom w:val="none" w:sz="0" w:space="0" w:color="auto"/>
                <w:right w:val="none" w:sz="0" w:space="0" w:color="auto"/>
              </w:divBdr>
            </w:div>
          </w:divsChild>
        </w:div>
        <w:div w:id="1078558118">
          <w:marLeft w:val="0"/>
          <w:marRight w:val="0"/>
          <w:marTop w:val="0"/>
          <w:marBottom w:val="0"/>
          <w:divBdr>
            <w:top w:val="none" w:sz="0" w:space="0" w:color="auto"/>
            <w:left w:val="none" w:sz="0" w:space="0" w:color="auto"/>
            <w:bottom w:val="none" w:sz="0" w:space="0" w:color="auto"/>
            <w:right w:val="none" w:sz="0" w:space="0" w:color="auto"/>
          </w:divBdr>
          <w:divsChild>
            <w:div w:id="867716523">
              <w:marLeft w:val="0"/>
              <w:marRight w:val="0"/>
              <w:marTop w:val="0"/>
              <w:marBottom w:val="0"/>
              <w:divBdr>
                <w:top w:val="none" w:sz="0" w:space="0" w:color="auto"/>
                <w:left w:val="none" w:sz="0" w:space="0" w:color="auto"/>
                <w:bottom w:val="none" w:sz="0" w:space="0" w:color="auto"/>
                <w:right w:val="none" w:sz="0" w:space="0" w:color="auto"/>
              </w:divBdr>
            </w:div>
          </w:divsChild>
        </w:div>
        <w:div w:id="1155220360">
          <w:marLeft w:val="0"/>
          <w:marRight w:val="0"/>
          <w:marTop w:val="0"/>
          <w:marBottom w:val="0"/>
          <w:divBdr>
            <w:top w:val="none" w:sz="0" w:space="0" w:color="auto"/>
            <w:left w:val="none" w:sz="0" w:space="0" w:color="auto"/>
            <w:bottom w:val="none" w:sz="0" w:space="0" w:color="auto"/>
            <w:right w:val="none" w:sz="0" w:space="0" w:color="auto"/>
          </w:divBdr>
          <w:divsChild>
            <w:div w:id="895361248">
              <w:marLeft w:val="0"/>
              <w:marRight w:val="0"/>
              <w:marTop w:val="0"/>
              <w:marBottom w:val="0"/>
              <w:divBdr>
                <w:top w:val="none" w:sz="0" w:space="0" w:color="auto"/>
                <w:left w:val="none" w:sz="0" w:space="0" w:color="auto"/>
                <w:bottom w:val="none" w:sz="0" w:space="0" w:color="auto"/>
                <w:right w:val="none" w:sz="0" w:space="0" w:color="auto"/>
              </w:divBdr>
            </w:div>
          </w:divsChild>
        </w:div>
        <w:div w:id="1163353083">
          <w:marLeft w:val="0"/>
          <w:marRight w:val="0"/>
          <w:marTop w:val="0"/>
          <w:marBottom w:val="0"/>
          <w:divBdr>
            <w:top w:val="none" w:sz="0" w:space="0" w:color="auto"/>
            <w:left w:val="none" w:sz="0" w:space="0" w:color="auto"/>
            <w:bottom w:val="none" w:sz="0" w:space="0" w:color="auto"/>
            <w:right w:val="none" w:sz="0" w:space="0" w:color="auto"/>
          </w:divBdr>
          <w:divsChild>
            <w:div w:id="59057223">
              <w:marLeft w:val="0"/>
              <w:marRight w:val="0"/>
              <w:marTop w:val="0"/>
              <w:marBottom w:val="0"/>
              <w:divBdr>
                <w:top w:val="none" w:sz="0" w:space="0" w:color="auto"/>
                <w:left w:val="none" w:sz="0" w:space="0" w:color="auto"/>
                <w:bottom w:val="none" w:sz="0" w:space="0" w:color="auto"/>
                <w:right w:val="none" w:sz="0" w:space="0" w:color="auto"/>
              </w:divBdr>
            </w:div>
          </w:divsChild>
        </w:div>
        <w:div w:id="1366298101">
          <w:marLeft w:val="0"/>
          <w:marRight w:val="0"/>
          <w:marTop w:val="0"/>
          <w:marBottom w:val="0"/>
          <w:divBdr>
            <w:top w:val="none" w:sz="0" w:space="0" w:color="auto"/>
            <w:left w:val="none" w:sz="0" w:space="0" w:color="auto"/>
            <w:bottom w:val="none" w:sz="0" w:space="0" w:color="auto"/>
            <w:right w:val="none" w:sz="0" w:space="0" w:color="auto"/>
          </w:divBdr>
          <w:divsChild>
            <w:div w:id="173813211">
              <w:marLeft w:val="0"/>
              <w:marRight w:val="0"/>
              <w:marTop w:val="0"/>
              <w:marBottom w:val="0"/>
              <w:divBdr>
                <w:top w:val="none" w:sz="0" w:space="0" w:color="auto"/>
                <w:left w:val="none" w:sz="0" w:space="0" w:color="auto"/>
                <w:bottom w:val="none" w:sz="0" w:space="0" w:color="auto"/>
                <w:right w:val="none" w:sz="0" w:space="0" w:color="auto"/>
              </w:divBdr>
            </w:div>
          </w:divsChild>
        </w:div>
        <w:div w:id="1394888465">
          <w:marLeft w:val="0"/>
          <w:marRight w:val="0"/>
          <w:marTop w:val="0"/>
          <w:marBottom w:val="0"/>
          <w:divBdr>
            <w:top w:val="none" w:sz="0" w:space="0" w:color="auto"/>
            <w:left w:val="none" w:sz="0" w:space="0" w:color="auto"/>
            <w:bottom w:val="none" w:sz="0" w:space="0" w:color="auto"/>
            <w:right w:val="none" w:sz="0" w:space="0" w:color="auto"/>
          </w:divBdr>
          <w:divsChild>
            <w:div w:id="1651900935">
              <w:marLeft w:val="0"/>
              <w:marRight w:val="0"/>
              <w:marTop w:val="0"/>
              <w:marBottom w:val="0"/>
              <w:divBdr>
                <w:top w:val="none" w:sz="0" w:space="0" w:color="auto"/>
                <w:left w:val="none" w:sz="0" w:space="0" w:color="auto"/>
                <w:bottom w:val="none" w:sz="0" w:space="0" w:color="auto"/>
                <w:right w:val="none" w:sz="0" w:space="0" w:color="auto"/>
              </w:divBdr>
            </w:div>
          </w:divsChild>
        </w:div>
        <w:div w:id="1501461139">
          <w:marLeft w:val="0"/>
          <w:marRight w:val="0"/>
          <w:marTop w:val="0"/>
          <w:marBottom w:val="0"/>
          <w:divBdr>
            <w:top w:val="none" w:sz="0" w:space="0" w:color="auto"/>
            <w:left w:val="none" w:sz="0" w:space="0" w:color="auto"/>
            <w:bottom w:val="none" w:sz="0" w:space="0" w:color="auto"/>
            <w:right w:val="none" w:sz="0" w:space="0" w:color="auto"/>
          </w:divBdr>
          <w:divsChild>
            <w:div w:id="1226184945">
              <w:marLeft w:val="0"/>
              <w:marRight w:val="0"/>
              <w:marTop w:val="0"/>
              <w:marBottom w:val="0"/>
              <w:divBdr>
                <w:top w:val="none" w:sz="0" w:space="0" w:color="auto"/>
                <w:left w:val="none" w:sz="0" w:space="0" w:color="auto"/>
                <w:bottom w:val="none" w:sz="0" w:space="0" w:color="auto"/>
                <w:right w:val="none" w:sz="0" w:space="0" w:color="auto"/>
              </w:divBdr>
            </w:div>
          </w:divsChild>
        </w:div>
        <w:div w:id="1526290652">
          <w:marLeft w:val="0"/>
          <w:marRight w:val="0"/>
          <w:marTop w:val="0"/>
          <w:marBottom w:val="0"/>
          <w:divBdr>
            <w:top w:val="none" w:sz="0" w:space="0" w:color="auto"/>
            <w:left w:val="none" w:sz="0" w:space="0" w:color="auto"/>
            <w:bottom w:val="none" w:sz="0" w:space="0" w:color="auto"/>
            <w:right w:val="none" w:sz="0" w:space="0" w:color="auto"/>
          </w:divBdr>
          <w:divsChild>
            <w:div w:id="1017196446">
              <w:marLeft w:val="0"/>
              <w:marRight w:val="0"/>
              <w:marTop w:val="0"/>
              <w:marBottom w:val="0"/>
              <w:divBdr>
                <w:top w:val="none" w:sz="0" w:space="0" w:color="auto"/>
                <w:left w:val="none" w:sz="0" w:space="0" w:color="auto"/>
                <w:bottom w:val="none" w:sz="0" w:space="0" w:color="auto"/>
                <w:right w:val="none" w:sz="0" w:space="0" w:color="auto"/>
              </w:divBdr>
            </w:div>
            <w:div w:id="1919552421">
              <w:marLeft w:val="0"/>
              <w:marRight w:val="0"/>
              <w:marTop w:val="0"/>
              <w:marBottom w:val="0"/>
              <w:divBdr>
                <w:top w:val="none" w:sz="0" w:space="0" w:color="auto"/>
                <w:left w:val="none" w:sz="0" w:space="0" w:color="auto"/>
                <w:bottom w:val="none" w:sz="0" w:space="0" w:color="auto"/>
                <w:right w:val="none" w:sz="0" w:space="0" w:color="auto"/>
              </w:divBdr>
            </w:div>
          </w:divsChild>
        </w:div>
        <w:div w:id="1567450925">
          <w:marLeft w:val="0"/>
          <w:marRight w:val="0"/>
          <w:marTop w:val="0"/>
          <w:marBottom w:val="0"/>
          <w:divBdr>
            <w:top w:val="none" w:sz="0" w:space="0" w:color="auto"/>
            <w:left w:val="none" w:sz="0" w:space="0" w:color="auto"/>
            <w:bottom w:val="none" w:sz="0" w:space="0" w:color="auto"/>
            <w:right w:val="none" w:sz="0" w:space="0" w:color="auto"/>
          </w:divBdr>
          <w:divsChild>
            <w:div w:id="756900713">
              <w:marLeft w:val="0"/>
              <w:marRight w:val="0"/>
              <w:marTop w:val="0"/>
              <w:marBottom w:val="0"/>
              <w:divBdr>
                <w:top w:val="none" w:sz="0" w:space="0" w:color="auto"/>
                <w:left w:val="none" w:sz="0" w:space="0" w:color="auto"/>
                <w:bottom w:val="none" w:sz="0" w:space="0" w:color="auto"/>
                <w:right w:val="none" w:sz="0" w:space="0" w:color="auto"/>
              </w:divBdr>
            </w:div>
          </w:divsChild>
        </w:div>
        <w:div w:id="1789658509">
          <w:marLeft w:val="0"/>
          <w:marRight w:val="0"/>
          <w:marTop w:val="0"/>
          <w:marBottom w:val="0"/>
          <w:divBdr>
            <w:top w:val="none" w:sz="0" w:space="0" w:color="auto"/>
            <w:left w:val="none" w:sz="0" w:space="0" w:color="auto"/>
            <w:bottom w:val="none" w:sz="0" w:space="0" w:color="auto"/>
            <w:right w:val="none" w:sz="0" w:space="0" w:color="auto"/>
          </w:divBdr>
          <w:divsChild>
            <w:div w:id="886793152">
              <w:marLeft w:val="0"/>
              <w:marRight w:val="0"/>
              <w:marTop w:val="0"/>
              <w:marBottom w:val="0"/>
              <w:divBdr>
                <w:top w:val="none" w:sz="0" w:space="0" w:color="auto"/>
                <w:left w:val="none" w:sz="0" w:space="0" w:color="auto"/>
                <w:bottom w:val="none" w:sz="0" w:space="0" w:color="auto"/>
                <w:right w:val="none" w:sz="0" w:space="0" w:color="auto"/>
              </w:divBdr>
            </w:div>
          </w:divsChild>
        </w:div>
        <w:div w:id="1963685464">
          <w:marLeft w:val="0"/>
          <w:marRight w:val="0"/>
          <w:marTop w:val="0"/>
          <w:marBottom w:val="0"/>
          <w:divBdr>
            <w:top w:val="none" w:sz="0" w:space="0" w:color="auto"/>
            <w:left w:val="none" w:sz="0" w:space="0" w:color="auto"/>
            <w:bottom w:val="none" w:sz="0" w:space="0" w:color="auto"/>
            <w:right w:val="none" w:sz="0" w:space="0" w:color="auto"/>
          </w:divBdr>
          <w:divsChild>
            <w:div w:id="1798640014">
              <w:marLeft w:val="0"/>
              <w:marRight w:val="0"/>
              <w:marTop w:val="0"/>
              <w:marBottom w:val="0"/>
              <w:divBdr>
                <w:top w:val="none" w:sz="0" w:space="0" w:color="auto"/>
                <w:left w:val="none" w:sz="0" w:space="0" w:color="auto"/>
                <w:bottom w:val="none" w:sz="0" w:space="0" w:color="auto"/>
                <w:right w:val="none" w:sz="0" w:space="0" w:color="auto"/>
              </w:divBdr>
            </w:div>
          </w:divsChild>
        </w:div>
        <w:div w:id="1997370084">
          <w:marLeft w:val="0"/>
          <w:marRight w:val="0"/>
          <w:marTop w:val="0"/>
          <w:marBottom w:val="0"/>
          <w:divBdr>
            <w:top w:val="none" w:sz="0" w:space="0" w:color="auto"/>
            <w:left w:val="none" w:sz="0" w:space="0" w:color="auto"/>
            <w:bottom w:val="none" w:sz="0" w:space="0" w:color="auto"/>
            <w:right w:val="none" w:sz="0" w:space="0" w:color="auto"/>
          </w:divBdr>
          <w:divsChild>
            <w:div w:id="1133987538">
              <w:marLeft w:val="0"/>
              <w:marRight w:val="0"/>
              <w:marTop w:val="0"/>
              <w:marBottom w:val="0"/>
              <w:divBdr>
                <w:top w:val="none" w:sz="0" w:space="0" w:color="auto"/>
                <w:left w:val="none" w:sz="0" w:space="0" w:color="auto"/>
                <w:bottom w:val="none" w:sz="0" w:space="0" w:color="auto"/>
                <w:right w:val="none" w:sz="0" w:space="0" w:color="auto"/>
              </w:divBdr>
            </w:div>
          </w:divsChild>
        </w:div>
        <w:div w:id="2033065272">
          <w:marLeft w:val="0"/>
          <w:marRight w:val="0"/>
          <w:marTop w:val="0"/>
          <w:marBottom w:val="0"/>
          <w:divBdr>
            <w:top w:val="none" w:sz="0" w:space="0" w:color="auto"/>
            <w:left w:val="none" w:sz="0" w:space="0" w:color="auto"/>
            <w:bottom w:val="none" w:sz="0" w:space="0" w:color="auto"/>
            <w:right w:val="none" w:sz="0" w:space="0" w:color="auto"/>
          </w:divBdr>
          <w:divsChild>
            <w:div w:id="1844591837">
              <w:marLeft w:val="0"/>
              <w:marRight w:val="0"/>
              <w:marTop w:val="0"/>
              <w:marBottom w:val="0"/>
              <w:divBdr>
                <w:top w:val="none" w:sz="0" w:space="0" w:color="auto"/>
                <w:left w:val="none" w:sz="0" w:space="0" w:color="auto"/>
                <w:bottom w:val="none" w:sz="0" w:space="0" w:color="auto"/>
                <w:right w:val="none" w:sz="0" w:space="0" w:color="auto"/>
              </w:divBdr>
            </w:div>
          </w:divsChild>
        </w:div>
        <w:div w:id="2088646794">
          <w:marLeft w:val="0"/>
          <w:marRight w:val="0"/>
          <w:marTop w:val="0"/>
          <w:marBottom w:val="0"/>
          <w:divBdr>
            <w:top w:val="none" w:sz="0" w:space="0" w:color="auto"/>
            <w:left w:val="none" w:sz="0" w:space="0" w:color="auto"/>
            <w:bottom w:val="none" w:sz="0" w:space="0" w:color="auto"/>
            <w:right w:val="none" w:sz="0" w:space="0" w:color="auto"/>
          </w:divBdr>
          <w:divsChild>
            <w:div w:id="1413426889">
              <w:marLeft w:val="0"/>
              <w:marRight w:val="0"/>
              <w:marTop w:val="0"/>
              <w:marBottom w:val="0"/>
              <w:divBdr>
                <w:top w:val="none" w:sz="0" w:space="0" w:color="auto"/>
                <w:left w:val="none" w:sz="0" w:space="0" w:color="auto"/>
                <w:bottom w:val="none" w:sz="0" w:space="0" w:color="auto"/>
                <w:right w:val="none" w:sz="0" w:space="0" w:color="auto"/>
              </w:divBdr>
            </w:div>
          </w:divsChild>
        </w:div>
        <w:div w:id="2092118291">
          <w:marLeft w:val="0"/>
          <w:marRight w:val="0"/>
          <w:marTop w:val="0"/>
          <w:marBottom w:val="0"/>
          <w:divBdr>
            <w:top w:val="none" w:sz="0" w:space="0" w:color="auto"/>
            <w:left w:val="none" w:sz="0" w:space="0" w:color="auto"/>
            <w:bottom w:val="none" w:sz="0" w:space="0" w:color="auto"/>
            <w:right w:val="none" w:sz="0" w:space="0" w:color="auto"/>
          </w:divBdr>
          <w:divsChild>
            <w:div w:id="8770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9132">
      <w:bodyDiv w:val="1"/>
      <w:marLeft w:val="0"/>
      <w:marRight w:val="0"/>
      <w:marTop w:val="0"/>
      <w:marBottom w:val="0"/>
      <w:divBdr>
        <w:top w:val="none" w:sz="0" w:space="0" w:color="auto"/>
        <w:left w:val="none" w:sz="0" w:space="0" w:color="auto"/>
        <w:bottom w:val="none" w:sz="0" w:space="0" w:color="auto"/>
        <w:right w:val="none" w:sz="0" w:space="0" w:color="auto"/>
      </w:divBdr>
      <w:divsChild>
        <w:div w:id="164706783">
          <w:marLeft w:val="0"/>
          <w:marRight w:val="0"/>
          <w:marTop w:val="0"/>
          <w:marBottom w:val="0"/>
          <w:divBdr>
            <w:top w:val="none" w:sz="0" w:space="0" w:color="auto"/>
            <w:left w:val="none" w:sz="0" w:space="0" w:color="auto"/>
            <w:bottom w:val="none" w:sz="0" w:space="0" w:color="auto"/>
            <w:right w:val="none" w:sz="0" w:space="0" w:color="auto"/>
          </w:divBdr>
          <w:divsChild>
            <w:div w:id="961693411">
              <w:marLeft w:val="0"/>
              <w:marRight w:val="0"/>
              <w:marTop w:val="0"/>
              <w:marBottom w:val="0"/>
              <w:divBdr>
                <w:top w:val="none" w:sz="0" w:space="0" w:color="auto"/>
                <w:left w:val="none" w:sz="0" w:space="0" w:color="auto"/>
                <w:bottom w:val="none" w:sz="0" w:space="0" w:color="auto"/>
                <w:right w:val="none" w:sz="0" w:space="0" w:color="auto"/>
              </w:divBdr>
            </w:div>
            <w:div w:id="1123811732">
              <w:marLeft w:val="0"/>
              <w:marRight w:val="0"/>
              <w:marTop w:val="0"/>
              <w:marBottom w:val="0"/>
              <w:divBdr>
                <w:top w:val="none" w:sz="0" w:space="0" w:color="auto"/>
                <w:left w:val="none" w:sz="0" w:space="0" w:color="auto"/>
                <w:bottom w:val="none" w:sz="0" w:space="0" w:color="auto"/>
                <w:right w:val="none" w:sz="0" w:space="0" w:color="auto"/>
              </w:divBdr>
            </w:div>
            <w:div w:id="1304502365">
              <w:marLeft w:val="0"/>
              <w:marRight w:val="0"/>
              <w:marTop w:val="0"/>
              <w:marBottom w:val="0"/>
              <w:divBdr>
                <w:top w:val="none" w:sz="0" w:space="0" w:color="auto"/>
                <w:left w:val="none" w:sz="0" w:space="0" w:color="auto"/>
                <w:bottom w:val="none" w:sz="0" w:space="0" w:color="auto"/>
                <w:right w:val="none" w:sz="0" w:space="0" w:color="auto"/>
              </w:divBdr>
            </w:div>
          </w:divsChild>
        </w:div>
        <w:div w:id="206991417">
          <w:marLeft w:val="0"/>
          <w:marRight w:val="0"/>
          <w:marTop w:val="0"/>
          <w:marBottom w:val="0"/>
          <w:divBdr>
            <w:top w:val="none" w:sz="0" w:space="0" w:color="auto"/>
            <w:left w:val="none" w:sz="0" w:space="0" w:color="auto"/>
            <w:bottom w:val="none" w:sz="0" w:space="0" w:color="auto"/>
            <w:right w:val="none" w:sz="0" w:space="0" w:color="auto"/>
          </w:divBdr>
          <w:divsChild>
            <w:div w:id="226652045">
              <w:marLeft w:val="0"/>
              <w:marRight w:val="0"/>
              <w:marTop w:val="0"/>
              <w:marBottom w:val="0"/>
              <w:divBdr>
                <w:top w:val="none" w:sz="0" w:space="0" w:color="auto"/>
                <w:left w:val="none" w:sz="0" w:space="0" w:color="auto"/>
                <w:bottom w:val="none" w:sz="0" w:space="0" w:color="auto"/>
                <w:right w:val="none" w:sz="0" w:space="0" w:color="auto"/>
              </w:divBdr>
            </w:div>
          </w:divsChild>
        </w:div>
        <w:div w:id="220559492">
          <w:marLeft w:val="0"/>
          <w:marRight w:val="0"/>
          <w:marTop w:val="0"/>
          <w:marBottom w:val="0"/>
          <w:divBdr>
            <w:top w:val="none" w:sz="0" w:space="0" w:color="auto"/>
            <w:left w:val="none" w:sz="0" w:space="0" w:color="auto"/>
            <w:bottom w:val="none" w:sz="0" w:space="0" w:color="auto"/>
            <w:right w:val="none" w:sz="0" w:space="0" w:color="auto"/>
          </w:divBdr>
          <w:divsChild>
            <w:div w:id="1837918406">
              <w:marLeft w:val="0"/>
              <w:marRight w:val="0"/>
              <w:marTop w:val="0"/>
              <w:marBottom w:val="0"/>
              <w:divBdr>
                <w:top w:val="none" w:sz="0" w:space="0" w:color="auto"/>
                <w:left w:val="none" w:sz="0" w:space="0" w:color="auto"/>
                <w:bottom w:val="none" w:sz="0" w:space="0" w:color="auto"/>
                <w:right w:val="none" w:sz="0" w:space="0" w:color="auto"/>
              </w:divBdr>
            </w:div>
          </w:divsChild>
        </w:div>
        <w:div w:id="261766068">
          <w:marLeft w:val="0"/>
          <w:marRight w:val="0"/>
          <w:marTop w:val="0"/>
          <w:marBottom w:val="0"/>
          <w:divBdr>
            <w:top w:val="none" w:sz="0" w:space="0" w:color="auto"/>
            <w:left w:val="none" w:sz="0" w:space="0" w:color="auto"/>
            <w:bottom w:val="none" w:sz="0" w:space="0" w:color="auto"/>
            <w:right w:val="none" w:sz="0" w:space="0" w:color="auto"/>
          </w:divBdr>
          <w:divsChild>
            <w:div w:id="1567642683">
              <w:marLeft w:val="0"/>
              <w:marRight w:val="0"/>
              <w:marTop w:val="0"/>
              <w:marBottom w:val="0"/>
              <w:divBdr>
                <w:top w:val="none" w:sz="0" w:space="0" w:color="auto"/>
                <w:left w:val="none" w:sz="0" w:space="0" w:color="auto"/>
                <w:bottom w:val="none" w:sz="0" w:space="0" w:color="auto"/>
                <w:right w:val="none" w:sz="0" w:space="0" w:color="auto"/>
              </w:divBdr>
            </w:div>
          </w:divsChild>
        </w:div>
        <w:div w:id="283846921">
          <w:marLeft w:val="0"/>
          <w:marRight w:val="0"/>
          <w:marTop w:val="0"/>
          <w:marBottom w:val="0"/>
          <w:divBdr>
            <w:top w:val="none" w:sz="0" w:space="0" w:color="auto"/>
            <w:left w:val="none" w:sz="0" w:space="0" w:color="auto"/>
            <w:bottom w:val="none" w:sz="0" w:space="0" w:color="auto"/>
            <w:right w:val="none" w:sz="0" w:space="0" w:color="auto"/>
          </w:divBdr>
          <w:divsChild>
            <w:div w:id="1081831122">
              <w:marLeft w:val="0"/>
              <w:marRight w:val="0"/>
              <w:marTop w:val="0"/>
              <w:marBottom w:val="0"/>
              <w:divBdr>
                <w:top w:val="none" w:sz="0" w:space="0" w:color="auto"/>
                <w:left w:val="none" w:sz="0" w:space="0" w:color="auto"/>
                <w:bottom w:val="none" w:sz="0" w:space="0" w:color="auto"/>
                <w:right w:val="none" w:sz="0" w:space="0" w:color="auto"/>
              </w:divBdr>
            </w:div>
          </w:divsChild>
        </w:div>
        <w:div w:id="495920830">
          <w:marLeft w:val="0"/>
          <w:marRight w:val="0"/>
          <w:marTop w:val="0"/>
          <w:marBottom w:val="0"/>
          <w:divBdr>
            <w:top w:val="none" w:sz="0" w:space="0" w:color="auto"/>
            <w:left w:val="none" w:sz="0" w:space="0" w:color="auto"/>
            <w:bottom w:val="none" w:sz="0" w:space="0" w:color="auto"/>
            <w:right w:val="none" w:sz="0" w:space="0" w:color="auto"/>
          </w:divBdr>
          <w:divsChild>
            <w:div w:id="48655212">
              <w:marLeft w:val="0"/>
              <w:marRight w:val="0"/>
              <w:marTop w:val="0"/>
              <w:marBottom w:val="0"/>
              <w:divBdr>
                <w:top w:val="none" w:sz="0" w:space="0" w:color="auto"/>
                <w:left w:val="none" w:sz="0" w:space="0" w:color="auto"/>
                <w:bottom w:val="none" w:sz="0" w:space="0" w:color="auto"/>
                <w:right w:val="none" w:sz="0" w:space="0" w:color="auto"/>
              </w:divBdr>
            </w:div>
            <w:div w:id="1102577685">
              <w:marLeft w:val="0"/>
              <w:marRight w:val="0"/>
              <w:marTop w:val="0"/>
              <w:marBottom w:val="0"/>
              <w:divBdr>
                <w:top w:val="none" w:sz="0" w:space="0" w:color="auto"/>
                <w:left w:val="none" w:sz="0" w:space="0" w:color="auto"/>
                <w:bottom w:val="none" w:sz="0" w:space="0" w:color="auto"/>
                <w:right w:val="none" w:sz="0" w:space="0" w:color="auto"/>
              </w:divBdr>
            </w:div>
          </w:divsChild>
        </w:div>
        <w:div w:id="536162092">
          <w:marLeft w:val="0"/>
          <w:marRight w:val="0"/>
          <w:marTop w:val="0"/>
          <w:marBottom w:val="0"/>
          <w:divBdr>
            <w:top w:val="none" w:sz="0" w:space="0" w:color="auto"/>
            <w:left w:val="none" w:sz="0" w:space="0" w:color="auto"/>
            <w:bottom w:val="none" w:sz="0" w:space="0" w:color="auto"/>
            <w:right w:val="none" w:sz="0" w:space="0" w:color="auto"/>
          </w:divBdr>
          <w:divsChild>
            <w:div w:id="54592897">
              <w:marLeft w:val="0"/>
              <w:marRight w:val="0"/>
              <w:marTop w:val="0"/>
              <w:marBottom w:val="0"/>
              <w:divBdr>
                <w:top w:val="none" w:sz="0" w:space="0" w:color="auto"/>
                <w:left w:val="none" w:sz="0" w:space="0" w:color="auto"/>
                <w:bottom w:val="none" w:sz="0" w:space="0" w:color="auto"/>
                <w:right w:val="none" w:sz="0" w:space="0" w:color="auto"/>
              </w:divBdr>
            </w:div>
          </w:divsChild>
        </w:div>
        <w:div w:id="541986745">
          <w:marLeft w:val="0"/>
          <w:marRight w:val="0"/>
          <w:marTop w:val="0"/>
          <w:marBottom w:val="0"/>
          <w:divBdr>
            <w:top w:val="none" w:sz="0" w:space="0" w:color="auto"/>
            <w:left w:val="none" w:sz="0" w:space="0" w:color="auto"/>
            <w:bottom w:val="none" w:sz="0" w:space="0" w:color="auto"/>
            <w:right w:val="none" w:sz="0" w:space="0" w:color="auto"/>
          </w:divBdr>
          <w:divsChild>
            <w:div w:id="772821462">
              <w:marLeft w:val="0"/>
              <w:marRight w:val="0"/>
              <w:marTop w:val="0"/>
              <w:marBottom w:val="0"/>
              <w:divBdr>
                <w:top w:val="none" w:sz="0" w:space="0" w:color="auto"/>
                <w:left w:val="none" w:sz="0" w:space="0" w:color="auto"/>
                <w:bottom w:val="none" w:sz="0" w:space="0" w:color="auto"/>
                <w:right w:val="none" w:sz="0" w:space="0" w:color="auto"/>
              </w:divBdr>
            </w:div>
          </w:divsChild>
        </w:div>
        <w:div w:id="551039156">
          <w:marLeft w:val="0"/>
          <w:marRight w:val="0"/>
          <w:marTop w:val="0"/>
          <w:marBottom w:val="0"/>
          <w:divBdr>
            <w:top w:val="none" w:sz="0" w:space="0" w:color="auto"/>
            <w:left w:val="none" w:sz="0" w:space="0" w:color="auto"/>
            <w:bottom w:val="none" w:sz="0" w:space="0" w:color="auto"/>
            <w:right w:val="none" w:sz="0" w:space="0" w:color="auto"/>
          </w:divBdr>
          <w:divsChild>
            <w:div w:id="342368573">
              <w:marLeft w:val="0"/>
              <w:marRight w:val="0"/>
              <w:marTop w:val="0"/>
              <w:marBottom w:val="0"/>
              <w:divBdr>
                <w:top w:val="none" w:sz="0" w:space="0" w:color="auto"/>
                <w:left w:val="none" w:sz="0" w:space="0" w:color="auto"/>
                <w:bottom w:val="none" w:sz="0" w:space="0" w:color="auto"/>
                <w:right w:val="none" w:sz="0" w:space="0" w:color="auto"/>
              </w:divBdr>
            </w:div>
          </w:divsChild>
        </w:div>
        <w:div w:id="599028125">
          <w:marLeft w:val="0"/>
          <w:marRight w:val="0"/>
          <w:marTop w:val="0"/>
          <w:marBottom w:val="0"/>
          <w:divBdr>
            <w:top w:val="none" w:sz="0" w:space="0" w:color="auto"/>
            <w:left w:val="none" w:sz="0" w:space="0" w:color="auto"/>
            <w:bottom w:val="none" w:sz="0" w:space="0" w:color="auto"/>
            <w:right w:val="none" w:sz="0" w:space="0" w:color="auto"/>
          </w:divBdr>
          <w:divsChild>
            <w:div w:id="1262685239">
              <w:marLeft w:val="0"/>
              <w:marRight w:val="0"/>
              <w:marTop w:val="0"/>
              <w:marBottom w:val="0"/>
              <w:divBdr>
                <w:top w:val="none" w:sz="0" w:space="0" w:color="auto"/>
                <w:left w:val="none" w:sz="0" w:space="0" w:color="auto"/>
                <w:bottom w:val="none" w:sz="0" w:space="0" w:color="auto"/>
                <w:right w:val="none" w:sz="0" w:space="0" w:color="auto"/>
              </w:divBdr>
            </w:div>
          </w:divsChild>
        </w:div>
        <w:div w:id="649402525">
          <w:marLeft w:val="0"/>
          <w:marRight w:val="0"/>
          <w:marTop w:val="0"/>
          <w:marBottom w:val="0"/>
          <w:divBdr>
            <w:top w:val="none" w:sz="0" w:space="0" w:color="auto"/>
            <w:left w:val="none" w:sz="0" w:space="0" w:color="auto"/>
            <w:bottom w:val="none" w:sz="0" w:space="0" w:color="auto"/>
            <w:right w:val="none" w:sz="0" w:space="0" w:color="auto"/>
          </w:divBdr>
          <w:divsChild>
            <w:div w:id="66198060">
              <w:marLeft w:val="0"/>
              <w:marRight w:val="0"/>
              <w:marTop w:val="0"/>
              <w:marBottom w:val="0"/>
              <w:divBdr>
                <w:top w:val="none" w:sz="0" w:space="0" w:color="auto"/>
                <w:left w:val="none" w:sz="0" w:space="0" w:color="auto"/>
                <w:bottom w:val="none" w:sz="0" w:space="0" w:color="auto"/>
                <w:right w:val="none" w:sz="0" w:space="0" w:color="auto"/>
              </w:divBdr>
            </w:div>
            <w:div w:id="919216901">
              <w:marLeft w:val="0"/>
              <w:marRight w:val="0"/>
              <w:marTop w:val="0"/>
              <w:marBottom w:val="0"/>
              <w:divBdr>
                <w:top w:val="none" w:sz="0" w:space="0" w:color="auto"/>
                <w:left w:val="none" w:sz="0" w:space="0" w:color="auto"/>
                <w:bottom w:val="none" w:sz="0" w:space="0" w:color="auto"/>
                <w:right w:val="none" w:sz="0" w:space="0" w:color="auto"/>
              </w:divBdr>
            </w:div>
            <w:div w:id="2047216936">
              <w:marLeft w:val="0"/>
              <w:marRight w:val="0"/>
              <w:marTop w:val="0"/>
              <w:marBottom w:val="0"/>
              <w:divBdr>
                <w:top w:val="none" w:sz="0" w:space="0" w:color="auto"/>
                <w:left w:val="none" w:sz="0" w:space="0" w:color="auto"/>
                <w:bottom w:val="none" w:sz="0" w:space="0" w:color="auto"/>
                <w:right w:val="none" w:sz="0" w:space="0" w:color="auto"/>
              </w:divBdr>
            </w:div>
            <w:div w:id="2076199851">
              <w:marLeft w:val="0"/>
              <w:marRight w:val="0"/>
              <w:marTop w:val="0"/>
              <w:marBottom w:val="0"/>
              <w:divBdr>
                <w:top w:val="none" w:sz="0" w:space="0" w:color="auto"/>
                <w:left w:val="none" w:sz="0" w:space="0" w:color="auto"/>
                <w:bottom w:val="none" w:sz="0" w:space="0" w:color="auto"/>
                <w:right w:val="none" w:sz="0" w:space="0" w:color="auto"/>
              </w:divBdr>
            </w:div>
          </w:divsChild>
        </w:div>
        <w:div w:id="681784529">
          <w:marLeft w:val="0"/>
          <w:marRight w:val="0"/>
          <w:marTop w:val="0"/>
          <w:marBottom w:val="0"/>
          <w:divBdr>
            <w:top w:val="none" w:sz="0" w:space="0" w:color="auto"/>
            <w:left w:val="none" w:sz="0" w:space="0" w:color="auto"/>
            <w:bottom w:val="none" w:sz="0" w:space="0" w:color="auto"/>
            <w:right w:val="none" w:sz="0" w:space="0" w:color="auto"/>
          </w:divBdr>
          <w:divsChild>
            <w:div w:id="175267854">
              <w:marLeft w:val="0"/>
              <w:marRight w:val="0"/>
              <w:marTop w:val="0"/>
              <w:marBottom w:val="0"/>
              <w:divBdr>
                <w:top w:val="none" w:sz="0" w:space="0" w:color="auto"/>
                <w:left w:val="none" w:sz="0" w:space="0" w:color="auto"/>
                <w:bottom w:val="none" w:sz="0" w:space="0" w:color="auto"/>
                <w:right w:val="none" w:sz="0" w:space="0" w:color="auto"/>
              </w:divBdr>
            </w:div>
          </w:divsChild>
        </w:div>
        <w:div w:id="766849651">
          <w:marLeft w:val="0"/>
          <w:marRight w:val="0"/>
          <w:marTop w:val="0"/>
          <w:marBottom w:val="0"/>
          <w:divBdr>
            <w:top w:val="none" w:sz="0" w:space="0" w:color="auto"/>
            <w:left w:val="none" w:sz="0" w:space="0" w:color="auto"/>
            <w:bottom w:val="none" w:sz="0" w:space="0" w:color="auto"/>
            <w:right w:val="none" w:sz="0" w:space="0" w:color="auto"/>
          </w:divBdr>
          <w:divsChild>
            <w:div w:id="1215118336">
              <w:marLeft w:val="0"/>
              <w:marRight w:val="0"/>
              <w:marTop w:val="0"/>
              <w:marBottom w:val="0"/>
              <w:divBdr>
                <w:top w:val="none" w:sz="0" w:space="0" w:color="auto"/>
                <w:left w:val="none" w:sz="0" w:space="0" w:color="auto"/>
                <w:bottom w:val="none" w:sz="0" w:space="0" w:color="auto"/>
                <w:right w:val="none" w:sz="0" w:space="0" w:color="auto"/>
              </w:divBdr>
            </w:div>
            <w:div w:id="1401362748">
              <w:marLeft w:val="0"/>
              <w:marRight w:val="0"/>
              <w:marTop w:val="0"/>
              <w:marBottom w:val="0"/>
              <w:divBdr>
                <w:top w:val="none" w:sz="0" w:space="0" w:color="auto"/>
                <w:left w:val="none" w:sz="0" w:space="0" w:color="auto"/>
                <w:bottom w:val="none" w:sz="0" w:space="0" w:color="auto"/>
                <w:right w:val="none" w:sz="0" w:space="0" w:color="auto"/>
              </w:divBdr>
            </w:div>
          </w:divsChild>
        </w:div>
        <w:div w:id="789856991">
          <w:marLeft w:val="0"/>
          <w:marRight w:val="0"/>
          <w:marTop w:val="0"/>
          <w:marBottom w:val="0"/>
          <w:divBdr>
            <w:top w:val="none" w:sz="0" w:space="0" w:color="auto"/>
            <w:left w:val="none" w:sz="0" w:space="0" w:color="auto"/>
            <w:bottom w:val="none" w:sz="0" w:space="0" w:color="auto"/>
            <w:right w:val="none" w:sz="0" w:space="0" w:color="auto"/>
          </w:divBdr>
          <w:divsChild>
            <w:div w:id="1001277314">
              <w:marLeft w:val="0"/>
              <w:marRight w:val="0"/>
              <w:marTop w:val="0"/>
              <w:marBottom w:val="0"/>
              <w:divBdr>
                <w:top w:val="none" w:sz="0" w:space="0" w:color="auto"/>
                <w:left w:val="none" w:sz="0" w:space="0" w:color="auto"/>
                <w:bottom w:val="none" w:sz="0" w:space="0" w:color="auto"/>
                <w:right w:val="none" w:sz="0" w:space="0" w:color="auto"/>
              </w:divBdr>
            </w:div>
            <w:div w:id="1658531334">
              <w:marLeft w:val="0"/>
              <w:marRight w:val="0"/>
              <w:marTop w:val="0"/>
              <w:marBottom w:val="0"/>
              <w:divBdr>
                <w:top w:val="none" w:sz="0" w:space="0" w:color="auto"/>
                <w:left w:val="none" w:sz="0" w:space="0" w:color="auto"/>
                <w:bottom w:val="none" w:sz="0" w:space="0" w:color="auto"/>
                <w:right w:val="none" w:sz="0" w:space="0" w:color="auto"/>
              </w:divBdr>
            </w:div>
          </w:divsChild>
        </w:div>
        <w:div w:id="806780705">
          <w:marLeft w:val="0"/>
          <w:marRight w:val="0"/>
          <w:marTop w:val="0"/>
          <w:marBottom w:val="0"/>
          <w:divBdr>
            <w:top w:val="none" w:sz="0" w:space="0" w:color="auto"/>
            <w:left w:val="none" w:sz="0" w:space="0" w:color="auto"/>
            <w:bottom w:val="none" w:sz="0" w:space="0" w:color="auto"/>
            <w:right w:val="none" w:sz="0" w:space="0" w:color="auto"/>
          </w:divBdr>
          <w:divsChild>
            <w:div w:id="229535830">
              <w:marLeft w:val="0"/>
              <w:marRight w:val="0"/>
              <w:marTop w:val="0"/>
              <w:marBottom w:val="0"/>
              <w:divBdr>
                <w:top w:val="none" w:sz="0" w:space="0" w:color="auto"/>
                <w:left w:val="none" w:sz="0" w:space="0" w:color="auto"/>
                <w:bottom w:val="none" w:sz="0" w:space="0" w:color="auto"/>
                <w:right w:val="none" w:sz="0" w:space="0" w:color="auto"/>
              </w:divBdr>
            </w:div>
          </w:divsChild>
        </w:div>
        <w:div w:id="839348229">
          <w:marLeft w:val="0"/>
          <w:marRight w:val="0"/>
          <w:marTop w:val="0"/>
          <w:marBottom w:val="0"/>
          <w:divBdr>
            <w:top w:val="none" w:sz="0" w:space="0" w:color="auto"/>
            <w:left w:val="none" w:sz="0" w:space="0" w:color="auto"/>
            <w:bottom w:val="none" w:sz="0" w:space="0" w:color="auto"/>
            <w:right w:val="none" w:sz="0" w:space="0" w:color="auto"/>
          </w:divBdr>
          <w:divsChild>
            <w:div w:id="2144107843">
              <w:marLeft w:val="0"/>
              <w:marRight w:val="0"/>
              <w:marTop w:val="0"/>
              <w:marBottom w:val="0"/>
              <w:divBdr>
                <w:top w:val="none" w:sz="0" w:space="0" w:color="auto"/>
                <w:left w:val="none" w:sz="0" w:space="0" w:color="auto"/>
                <w:bottom w:val="none" w:sz="0" w:space="0" w:color="auto"/>
                <w:right w:val="none" w:sz="0" w:space="0" w:color="auto"/>
              </w:divBdr>
            </w:div>
          </w:divsChild>
        </w:div>
        <w:div w:id="975256829">
          <w:marLeft w:val="0"/>
          <w:marRight w:val="0"/>
          <w:marTop w:val="0"/>
          <w:marBottom w:val="0"/>
          <w:divBdr>
            <w:top w:val="none" w:sz="0" w:space="0" w:color="auto"/>
            <w:left w:val="none" w:sz="0" w:space="0" w:color="auto"/>
            <w:bottom w:val="none" w:sz="0" w:space="0" w:color="auto"/>
            <w:right w:val="none" w:sz="0" w:space="0" w:color="auto"/>
          </w:divBdr>
          <w:divsChild>
            <w:div w:id="1581332425">
              <w:marLeft w:val="0"/>
              <w:marRight w:val="0"/>
              <w:marTop w:val="0"/>
              <w:marBottom w:val="0"/>
              <w:divBdr>
                <w:top w:val="none" w:sz="0" w:space="0" w:color="auto"/>
                <w:left w:val="none" w:sz="0" w:space="0" w:color="auto"/>
                <w:bottom w:val="none" w:sz="0" w:space="0" w:color="auto"/>
                <w:right w:val="none" w:sz="0" w:space="0" w:color="auto"/>
              </w:divBdr>
            </w:div>
          </w:divsChild>
        </w:div>
        <w:div w:id="1021786617">
          <w:marLeft w:val="0"/>
          <w:marRight w:val="0"/>
          <w:marTop w:val="0"/>
          <w:marBottom w:val="0"/>
          <w:divBdr>
            <w:top w:val="none" w:sz="0" w:space="0" w:color="auto"/>
            <w:left w:val="none" w:sz="0" w:space="0" w:color="auto"/>
            <w:bottom w:val="none" w:sz="0" w:space="0" w:color="auto"/>
            <w:right w:val="none" w:sz="0" w:space="0" w:color="auto"/>
          </w:divBdr>
          <w:divsChild>
            <w:div w:id="1504934929">
              <w:marLeft w:val="0"/>
              <w:marRight w:val="0"/>
              <w:marTop w:val="0"/>
              <w:marBottom w:val="0"/>
              <w:divBdr>
                <w:top w:val="none" w:sz="0" w:space="0" w:color="auto"/>
                <w:left w:val="none" w:sz="0" w:space="0" w:color="auto"/>
                <w:bottom w:val="none" w:sz="0" w:space="0" w:color="auto"/>
                <w:right w:val="none" w:sz="0" w:space="0" w:color="auto"/>
              </w:divBdr>
            </w:div>
          </w:divsChild>
        </w:div>
        <w:div w:id="1264608725">
          <w:marLeft w:val="0"/>
          <w:marRight w:val="0"/>
          <w:marTop w:val="0"/>
          <w:marBottom w:val="0"/>
          <w:divBdr>
            <w:top w:val="none" w:sz="0" w:space="0" w:color="auto"/>
            <w:left w:val="none" w:sz="0" w:space="0" w:color="auto"/>
            <w:bottom w:val="none" w:sz="0" w:space="0" w:color="auto"/>
            <w:right w:val="none" w:sz="0" w:space="0" w:color="auto"/>
          </w:divBdr>
          <w:divsChild>
            <w:div w:id="869800336">
              <w:marLeft w:val="0"/>
              <w:marRight w:val="0"/>
              <w:marTop w:val="0"/>
              <w:marBottom w:val="0"/>
              <w:divBdr>
                <w:top w:val="none" w:sz="0" w:space="0" w:color="auto"/>
                <w:left w:val="none" w:sz="0" w:space="0" w:color="auto"/>
                <w:bottom w:val="none" w:sz="0" w:space="0" w:color="auto"/>
                <w:right w:val="none" w:sz="0" w:space="0" w:color="auto"/>
              </w:divBdr>
            </w:div>
          </w:divsChild>
        </w:div>
        <w:div w:id="1291857783">
          <w:marLeft w:val="0"/>
          <w:marRight w:val="0"/>
          <w:marTop w:val="0"/>
          <w:marBottom w:val="0"/>
          <w:divBdr>
            <w:top w:val="none" w:sz="0" w:space="0" w:color="auto"/>
            <w:left w:val="none" w:sz="0" w:space="0" w:color="auto"/>
            <w:bottom w:val="none" w:sz="0" w:space="0" w:color="auto"/>
            <w:right w:val="none" w:sz="0" w:space="0" w:color="auto"/>
          </w:divBdr>
          <w:divsChild>
            <w:div w:id="530345249">
              <w:marLeft w:val="0"/>
              <w:marRight w:val="0"/>
              <w:marTop w:val="0"/>
              <w:marBottom w:val="0"/>
              <w:divBdr>
                <w:top w:val="none" w:sz="0" w:space="0" w:color="auto"/>
                <w:left w:val="none" w:sz="0" w:space="0" w:color="auto"/>
                <w:bottom w:val="none" w:sz="0" w:space="0" w:color="auto"/>
                <w:right w:val="none" w:sz="0" w:space="0" w:color="auto"/>
              </w:divBdr>
            </w:div>
            <w:div w:id="840393164">
              <w:marLeft w:val="0"/>
              <w:marRight w:val="0"/>
              <w:marTop w:val="0"/>
              <w:marBottom w:val="0"/>
              <w:divBdr>
                <w:top w:val="none" w:sz="0" w:space="0" w:color="auto"/>
                <w:left w:val="none" w:sz="0" w:space="0" w:color="auto"/>
                <w:bottom w:val="none" w:sz="0" w:space="0" w:color="auto"/>
                <w:right w:val="none" w:sz="0" w:space="0" w:color="auto"/>
              </w:divBdr>
            </w:div>
            <w:div w:id="1110928334">
              <w:marLeft w:val="0"/>
              <w:marRight w:val="0"/>
              <w:marTop w:val="0"/>
              <w:marBottom w:val="0"/>
              <w:divBdr>
                <w:top w:val="none" w:sz="0" w:space="0" w:color="auto"/>
                <w:left w:val="none" w:sz="0" w:space="0" w:color="auto"/>
                <w:bottom w:val="none" w:sz="0" w:space="0" w:color="auto"/>
                <w:right w:val="none" w:sz="0" w:space="0" w:color="auto"/>
              </w:divBdr>
            </w:div>
            <w:div w:id="1584140531">
              <w:marLeft w:val="0"/>
              <w:marRight w:val="0"/>
              <w:marTop w:val="0"/>
              <w:marBottom w:val="0"/>
              <w:divBdr>
                <w:top w:val="none" w:sz="0" w:space="0" w:color="auto"/>
                <w:left w:val="none" w:sz="0" w:space="0" w:color="auto"/>
                <w:bottom w:val="none" w:sz="0" w:space="0" w:color="auto"/>
                <w:right w:val="none" w:sz="0" w:space="0" w:color="auto"/>
              </w:divBdr>
            </w:div>
            <w:div w:id="1871916730">
              <w:marLeft w:val="0"/>
              <w:marRight w:val="0"/>
              <w:marTop w:val="0"/>
              <w:marBottom w:val="0"/>
              <w:divBdr>
                <w:top w:val="none" w:sz="0" w:space="0" w:color="auto"/>
                <w:left w:val="none" w:sz="0" w:space="0" w:color="auto"/>
                <w:bottom w:val="none" w:sz="0" w:space="0" w:color="auto"/>
                <w:right w:val="none" w:sz="0" w:space="0" w:color="auto"/>
              </w:divBdr>
            </w:div>
          </w:divsChild>
        </w:div>
        <w:div w:id="1304316428">
          <w:marLeft w:val="0"/>
          <w:marRight w:val="0"/>
          <w:marTop w:val="0"/>
          <w:marBottom w:val="0"/>
          <w:divBdr>
            <w:top w:val="none" w:sz="0" w:space="0" w:color="auto"/>
            <w:left w:val="none" w:sz="0" w:space="0" w:color="auto"/>
            <w:bottom w:val="none" w:sz="0" w:space="0" w:color="auto"/>
            <w:right w:val="none" w:sz="0" w:space="0" w:color="auto"/>
          </w:divBdr>
          <w:divsChild>
            <w:div w:id="66269199">
              <w:marLeft w:val="0"/>
              <w:marRight w:val="0"/>
              <w:marTop w:val="0"/>
              <w:marBottom w:val="0"/>
              <w:divBdr>
                <w:top w:val="none" w:sz="0" w:space="0" w:color="auto"/>
                <w:left w:val="none" w:sz="0" w:space="0" w:color="auto"/>
                <w:bottom w:val="none" w:sz="0" w:space="0" w:color="auto"/>
                <w:right w:val="none" w:sz="0" w:space="0" w:color="auto"/>
              </w:divBdr>
            </w:div>
            <w:div w:id="224803964">
              <w:marLeft w:val="0"/>
              <w:marRight w:val="0"/>
              <w:marTop w:val="0"/>
              <w:marBottom w:val="0"/>
              <w:divBdr>
                <w:top w:val="none" w:sz="0" w:space="0" w:color="auto"/>
                <w:left w:val="none" w:sz="0" w:space="0" w:color="auto"/>
                <w:bottom w:val="none" w:sz="0" w:space="0" w:color="auto"/>
                <w:right w:val="none" w:sz="0" w:space="0" w:color="auto"/>
              </w:divBdr>
            </w:div>
            <w:div w:id="712343345">
              <w:marLeft w:val="0"/>
              <w:marRight w:val="0"/>
              <w:marTop w:val="0"/>
              <w:marBottom w:val="0"/>
              <w:divBdr>
                <w:top w:val="none" w:sz="0" w:space="0" w:color="auto"/>
                <w:left w:val="none" w:sz="0" w:space="0" w:color="auto"/>
                <w:bottom w:val="none" w:sz="0" w:space="0" w:color="auto"/>
                <w:right w:val="none" w:sz="0" w:space="0" w:color="auto"/>
              </w:divBdr>
            </w:div>
          </w:divsChild>
        </w:div>
        <w:div w:id="1326319139">
          <w:marLeft w:val="0"/>
          <w:marRight w:val="0"/>
          <w:marTop w:val="0"/>
          <w:marBottom w:val="0"/>
          <w:divBdr>
            <w:top w:val="none" w:sz="0" w:space="0" w:color="auto"/>
            <w:left w:val="none" w:sz="0" w:space="0" w:color="auto"/>
            <w:bottom w:val="none" w:sz="0" w:space="0" w:color="auto"/>
            <w:right w:val="none" w:sz="0" w:space="0" w:color="auto"/>
          </w:divBdr>
          <w:divsChild>
            <w:div w:id="265189126">
              <w:marLeft w:val="0"/>
              <w:marRight w:val="0"/>
              <w:marTop w:val="0"/>
              <w:marBottom w:val="0"/>
              <w:divBdr>
                <w:top w:val="none" w:sz="0" w:space="0" w:color="auto"/>
                <w:left w:val="none" w:sz="0" w:space="0" w:color="auto"/>
                <w:bottom w:val="none" w:sz="0" w:space="0" w:color="auto"/>
                <w:right w:val="none" w:sz="0" w:space="0" w:color="auto"/>
              </w:divBdr>
            </w:div>
          </w:divsChild>
        </w:div>
        <w:div w:id="1436973595">
          <w:marLeft w:val="0"/>
          <w:marRight w:val="0"/>
          <w:marTop w:val="0"/>
          <w:marBottom w:val="0"/>
          <w:divBdr>
            <w:top w:val="none" w:sz="0" w:space="0" w:color="auto"/>
            <w:left w:val="none" w:sz="0" w:space="0" w:color="auto"/>
            <w:bottom w:val="none" w:sz="0" w:space="0" w:color="auto"/>
            <w:right w:val="none" w:sz="0" w:space="0" w:color="auto"/>
          </w:divBdr>
          <w:divsChild>
            <w:div w:id="2002851924">
              <w:marLeft w:val="0"/>
              <w:marRight w:val="0"/>
              <w:marTop w:val="0"/>
              <w:marBottom w:val="0"/>
              <w:divBdr>
                <w:top w:val="none" w:sz="0" w:space="0" w:color="auto"/>
                <w:left w:val="none" w:sz="0" w:space="0" w:color="auto"/>
                <w:bottom w:val="none" w:sz="0" w:space="0" w:color="auto"/>
                <w:right w:val="none" w:sz="0" w:space="0" w:color="auto"/>
              </w:divBdr>
            </w:div>
          </w:divsChild>
        </w:div>
        <w:div w:id="1467162492">
          <w:marLeft w:val="0"/>
          <w:marRight w:val="0"/>
          <w:marTop w:val="0"/>
          <w:marBottom w:val="0"/>
          <w:divBdr>
            <w:top w:val="none" w:sz="0" w:space="0" w:color="auto"/>
            <w:left w:val="none" w:sz="0" w:space="0" w:color="auto"/>
            <w:bottom w:val="none" w:sz="0" w:space="0" w:color="auto"/>
            <w:right w:val="none" w:sz="0" w:space="0" w:color="auto"/>
          </w:divBdr>
          <w:divsChild>
            <w:div w:id="171533515">
              <w:marLeft w:val="0"/>
              <w:marRight w:val="0"/>
              <w:marTop w:val="0"/>
              <w:marBottom w:val="0"/>
              <w:divBdr>
                <w:top w:val="none" w:sz="0" w:space="0" w:color="auto"/>
                <w:left w:val="none" w:sz="0" w:space="0" w:color="auto"/>
                <w:bottom w:val="none" w:sz="0" w:space="0" w:color="auto"/>
                <w:right w:val="none" w:sz="0" w:space="0" w:color="auto"/>
              </w:divBdr>
            </w:div>
          </w:divsChild>
        </w:div>
        <w:div w:id="1502811461">
          <w:marLeft w:val="0"/>
          <w:marRight w:val="0"/>
          <w:marTop w:val="0"/>
          <w:marBottom w:val="0"/>
          <w:divBdr>
            <w:top w:val="none" w:sz="0" w:space="0" w:color="auto"/>
            <w:left w:val="none" w:sz="0" w:space="0" w:color="auto"/>
            <w:bottom w:val="none" w:sz="0" w:space="0" w:color="auto"/>
            <w:right w:val="none" w:sz="0" w:space="0" w:color="auto"/>
          </w:divBdr>
          <w:divsChild>
            <w:div w:id="2032535128">
              <w:marLeft w:val="0"/>
              <w:marRight w:val="0"/>
              <w:marTop w:val="0"/>
              <w:marBottom w:val="0"/>
              <w:divBdr>
                <w:top w:val="none" w:sz="0" w:space="0" w:color="auto"/>
                <w:left w:val="none" w:sz="0" w:space="0" w:color="auto"/>
                <w:bottom w:val="none" w:sz="0" w:space="0" w:color="auto"/>
                <w:right w:val="none" w:sz="0" w:space="0" w:color="auto"/>
              </w:divBdr>
            </w:div>
          </w:divsChild>
        </w:div>
        <w:div w:id="1718971763">
          <w:marLeft w:val="0"/>
          <w:marRight w:val="0"/>
          <w:marTop w:val="0"/>
          <w:marBottom w:val="0"/>
          <w:divBdr>
            <w:top w:val="none" w:sz="0" w:space="0" w:color="auto"/>
            <w:left w:val="none" w:sz="0" w:space="0" w:color="auto"/>
            <w:bottom w:val="none" w:sz="0" w:space="0" w:color="auto"/>
            <w:right w:val="none" w:sz="0" w:space="0" w:color="auto"/>
          </w:divBdr>
          <w:divsChild>
            <w:div w:id="221714554">
              <w:marLeft w:val="0"/>
              <w:marRight w:val="0"/>
              <w:marTop w:val="0"/>
              <w:marBottom w:val="0"/>
              <w:divBdr>
                <w:top w:val="none" w:sz="0" w:space="0" w:color="auto"/>
                <w:left w:val="none" w:sz="0" w:space="0" w:color="auto"/>
                <w:bottom w:val="none" w:sz="0" w:space="0" w:color="auto"/>
                <w:right w:val="none" w:sz="0" w:space="0" w:color="auto"/>
              </w:divBdr>
            </w:div>
            <w:div w:id="229929545">
              <w:marLeft w:val="0"/>
              <w:marRight w:val="0"/>
              <w:marTop w:val="0"/>
              <w:marBottom w:val="0"/>
              <w:divBdr>
                <w:top w:val="none" w:sz="0" w:space="0" w:color="auto"/>
                <w:left w:val="none" w:sz="0" w:space="0" w:color="auto"/>
                <w:bottom w:val="none" w:sz="0" w:space="0" w:color="auto"/>
                <w:right w:val="none" w:sz="0" w:space="0" w:color="auto"/>
              </w:divBdr>
            </w:div>
            <w:div w:id="325789477">
              <w:marLeft w:val="0"/>
              <w:marRight w:val="0"/>
              <w:marTop w:val="0"/>
              <w:marBottom w:val="0"/>
              <w:divBdr>
                <w:top w:val="none" w:sz="0" w:space="0" w:color="auto"/>
                <w:left w:val="none" w:sz="0" w:space="0" w:color="auto"/>
                <w:bottom w:val="none" w:sz="0" w:space="0" w:color="auto"/>
                <w:right w:val="none" w:sz="0" w:space="0" w:color="auto"/>
              </w:divBdr>
            </w:div>
            <w:div w:id="383212116">
              <w:marLeft w:val="0"/>
              <w:marRight w:val="0"/>
              <w:marTop w:val="0"/>
              <w:marBottom w:val="0"/>
              <w:divBdr>
                <w:top w:val="none" w:sz="0" w:space="0" w:color="auto"/>
                <w:left w:val="none" w:sz="0" w:space="0" w:color="auto"/>
                <w:bottom w:val="none" w:sz="0" w:space="0" w:color="auto"/>
                <w:right w:val="none" w:sz="0" w:space="0" w:color="auto"/>
              </w:divBdr>
            </w:div>
            <w:div w:id="442959851">
              <w:marLeft w:val="0"/>
              <w:marRight w:val="0"/>
              <w:marTop w:val="0"/>
              <w:marBottom w:val="0"/>
              <w:divBdr>
                <w:top w:val="none" w:sz="0" w:space="0" w:color="auto"/>
                <w:left w:val="none" w:sz="0" w:space="0" w:color="auto"/>
                <w:bottom w:val="none" w:sz="0" w:space="0" w:color="auto"/>
                <w:right w:val="none" w:sz="0" w:space="0" w:color="auto"/>
              </w:divBdr>
            </w:div>
            <w:div w:id="459570914">
              <w:marLeft w:val="0"/>
              <w:marRight w:val="0"/>
              <w:marTop w:val="0"/>
              <w:marBottom w:val="0"/>
              <w:divBdr>
                <w:top w:val="none" w:sz="0" w:space="0" w:color="auto"/>
                <w:left w:val="none" w:sz="0" w:space="0" w:color="auto"/>
                <w:bottom w:val="none" w:sz="0" w:space="0" w:color="auto"/>
                <w:right w:val="none" w:sz="0" w:space="0" w:color="auto"/>
              </w:divBdr>
            </w:div>
            <w:div w:id="712925900">
              <w:marLeft w:val="0"/>
              <w:marRight w:val="0"/>
              <w:marTop w:val="0"/>
              <w:marBottom w:val="0"/>
              <w:divBdr>
                <w:top w:val="none" w:sz="0" w:space="0" w:color="auto"/>
                <w:left w:val="none" w:sz="0" w:space="0" w:color="auto"/>
                <w:bottom w:val="none" w:sz="0" w:space="0" w:color="auto"/>
                <w:right w:val="none" w:sz="0" w:space="0" w:color="auto"/>
              </w:divBdr>
            </w:div>
            <w:div w:id="820080765">
              <w:marLeft w:val="0"/>
              <w:marRight w:val="0"/>
              <w:marTop w:val="0"/>
              <w:marBottom w:val="0"/>
              <w:divBdr>
                <w:top w:val="none" w:sz="0" w:space="0" w:color="auto"/>
                <w:left w:val="none" w:sz="0" w:space="0" w:color="auto"/>
                <w:bottom w:val="none" w:sz="0" w:space="0" w:color="auto"/>
                <w:right w:val="none" w:sz="0" w:space="0" w:color="auto"/>
              </w:divBdr>
            </w:div>
            <w:div w:id="1024134945">
              <w:marLeft w:val="0"/>
              <w:marRight w:val="0"/>
              <w:marTop w:val="0"/>
              <w:marBottom w:val="0"/>
              <w:divBdr>
                <w:top w:val="none" w:sz="0" w:space="0" w:color="auto"/>
                <w:left w:val="none" w:sz="0" w:space="0" w:color="auto"/>
                <w:bottom w:val="none" w:sz="0" w:space="0" w:color="auto"/>
                <w:right w:val="none" w:sz="0" w:space="0" w:color="auto"/>
              </w:divBdr>
            </w:div>
            <w:div w:id="1094009626">
              <w:marLeft w:val="0"/>
              <w:marRight w:val="0"/>
              <w:marTop w:val="0"/>
              <w:marBottom w:val="0"/>
              <w:divBdr>
                <w:top w:val="none" w:sz="0" w:space="0" w:color="auto"/>
                <w:left w:val="none" w:sz="0" w:space="0" w:color="auto"/>
                <w:bottom w:val="none" w:sz="0" w:space="0" w:color="auto"/>
                <w:right w:val="none" w:sz="0" w:space="0" w:color="auto"/>
              </w:divBdr>
            </w:div>
            <w:div w:id="1204976581">
              <w:marLeft w:val="0"/>
              <w:marRight w:val="0"/>
              <w:marTop w:val="0"/>
              <w:marBottom w:val="0"/>
              <w:divBdr>
                <w:top w:val="none" w:sz="0" w:space="0" w:color="auto"/>
                <w:left w:val="none" w:sz="0" w:space="0" w:color="auto"/>
                <w:bottom w:val="none" w:sz="0" w:space="0" w:color="auto"/>
                <w:right w:val="none" w:sz="0" w:space="0" w:color="auto"/>
              </w:divBdr>
            </w:div>
            <w:div w:id="1230337250">
              <w:marLeft w:val="0"/>
              <w:marRight w:val="0"/>
              <w:marTop w:val="0"/>
              <w:marBottom w:val="0"/>
              <w:divBdr>
                <w:top w:val="none" w:sz="0" w:space="0" w:color="auto"/>
                <w:left w:val="none" w:sz="0" w:space="0" w:color="auto"/>
                <w:bottom w:val="none" w:sz="0" w:space="0" w:color="auto"/>
                <w:right w:val="none" w:sz="0" w:space="0" w:color="auto"/>
              </w:divBdr>
            </w:div>
            <w:div w:id="1258488641">
              <w:marLeft w:val="0"/>
              <w:marRight w:val="0"/>
              <w:marTop w:val="0"/>
              <w:marBottom w:val="0"/>
              <w:divBdr>
                <w:top w:val="none" w:sz="0" w:space="0" w:color="auto"/>
                <w:left w:val="none" w:sz="0" w:space="0" w:color="auto"/>
                <w:bottom w:val="none" w:sz="0" w:space="0" w:color="auto"/>
                <w:right w:val="none" w:sz="0" w:space="0" w:color="auto"/>
              </w:divBdr>
            </w:div>
            <w:div w:id="1347051790">
              <w:marLeft w:val="0"/>
              <w:marRight w:val="0"/>
              <w:marTop w:val="0"/>
              <w:marBottom w:val="0"/>
              <w:divBdr>
                <w:top w:val="none" w:sz="0" w:space="0" w:color="auto"/>
                <w:left w:val="none" w:sz="0" w:space="0" w:color="auto"/>
                <w:bottom w:val="none" w:sz="0" w:space="0" w:color="auto"/>
                <w:right w:val="none" w:sz="0" w:space="0" w:color="auto"/>
              </w:divBdr>
            </w:div>
            <w:div w:id="1463570851">
              <w:marLeft w:val="0"/>
              <w:marRight w:val="0"/>
              <w:marTop w:val="0"/>
              <w:marBottom w:val="0"/>
              <w:divBdr>
                <w:top w:val="none" w:sz="0" w:space="0" w:color="auto"/>
                <w:left w:val="none" w:sz="0" w:space="0" w:color="auto"/>
                <w:bottom w:val="none" w:sz="0" w:space="0" w:color="auto"/>
                <w:right w:val="none" w:sz="0" w:space="0" w:color="auto"/>
              </w:divBdr>
            </w:div>
            <w:div w:id="1464351531">
              <w:marLeft w:val="0"/>
              <w:marRight w:val="0"/>
              <w:marTop w:val="0"/>
              <w:marBottom w:val="0"/>
              <w:divBdr>
                <w:top w:val="none" w:sz="0" w:space="0" w:color="auto"/>
                <w:left w:val="none" w:sz="0" w:space="0" w:color="auto"/>
                <w:bottom w:val="none" w:sz="0" w:space="0" w:color="auto"/>
                <w:right w:val="none" w:sz="0" w:space="0" w:color="auto"/>
              </w:divBdr>
            </w:div>
            <w:div w:id="1751344190">
              <w:marLeft w:val="0"/>
              <w:marRight w:val="0"/>
              <w:marTop w:val="0"/>
              <w:marBottom w:val="0"/>
              <w:divBdr>
                <w:top w:val="none" w:sz="0" w:space="0" w:color="auto"/>
                <w:left w:val="none" w:sz="0" w:space="0" w:color="auto"/>
                <w:bottom w:val="none" w:sz="0" w:space="0" w:color="auto"/>
                <w:right w:val="none" w:sz="0" w:space="0" w:color="auto"/>
              </w:divBdr>
            </w:div>
            <w:div w:id="1789080033">
              <w:marLeft w:val="0"/>
              <w:marRight w:val="0"/>
              <w:marTop w:val="0"/>
              <w:marBottom w:val="0"/>
              <w:divBdr>
                <w:top w:val="none" w:sz="0" w:space="0" w:color="auto"/>
                <w:left w:val="none" w:sz="0" w:space="0" w:color="auto"/>
                <w:bottom w:val="none" w:sz="0" w:space="0" w:color="auto"/>
                <w:right w:val="none" w:sz="0" w:space="0" w:color="auto"/>
              </w:divBdr>
            </w:div>
            <w:div w:id="1893270689">
              <w:marLeft w:val="0"/>
              <w:marRight w:val="0"/>
              <w:marTop w:val="0"/>
              <w:marBottom w:val="0"/>
              <w:divBdr>
                <w:top w:val="none" w:sz="0" w:space="0" w:color="auto"/>
                <w:left w:val="none" w:sz="0" w:space="0" w:color="auto"/>
                <w:bottom w:val="none" w:sz="0" w:space="0" w:color="auto"/>
                <w:right w:val="none" w:sz="0" w:space="0" w:color="auto"/>
              </w:divBdr>
            </w:div>
            <w:div w:id="1918708291">
              <w:marLeft w:val="0"/>
              <w:marRight w:val="0"/>
              <w:marTop w:val="0"/>
              <w:marBottom w:val="0"/>
              <w:divBdr>
                <w:top w:val="none" w:sz="0" w:space="0" w:color="auto"/>
                <w:left w:val="none" w:sz="0" w:space="0" w:color="auto"/>
                <w:bottom w:val="none" w:sz="0" w:space="0" w:color="auto"/>
                <w:right w:val="none" w:sz="0" w:space="0" w:color="auto"/>
              </w:divBdr>
            </w:div>
            <w:div w:id="1948539980">
              <w:marLeft w:val="0"/>
              <w:marRight w:val="0"/>
              <w:marTop w:val="0"/>
              <w:marBottom w:val="0"/>
              <w:divBdr>
                <w:top w:val="none" w:sz="0" w:space="0" w:color="auto"/>
                <w:left w:val="none" w:sz="0" w:space="0" w:color="auto"/>
                <w:bottom w:val="none" w:sz="0" w:space="0" w:color="auto"/>
                <w:right w:val="none" w:sz="0" w:space="0" w:color="auto"/>
              </w:divBdr>
            </w:div>
            <w:div w:id="1982727280">
              <w:marLeft w:val="0"/>
              <w:marRight w:val="0"/>
              <w:marTop w:val="0"/>
              <w:marBottom w:val="0"/>
              <w:divBdr>
                <w:top w:val="none" w:sz="0" w:space="0" w:color="auto"/>
                <w:left w:val="none" w:sz="0" w:space="0" w:color="auto"/>
                <w:bottom w:val="none" w:sz="0" w:space="0" w:color="auto"/>
                <w:right w:val="none" w:sz="0" w:space="0" w:color="auto"/>
              </w:divBdr>
            </w:div>
            <w:div w:id="2084984285">
              <w:marLeft w:val="0"/>
              <w:marRight w:val="0"/>
              <w:marTop w:val="0"/>
              <w:marBottom w:val="0"/>
              <w:divBdr>
                <w:top w:val="none" w:sz="0" w:space="0" w:color="auto"/>
                <w:left w:val="none" w:sz="0" w:space="0" w:color="auto"/>
                <w:bottom w:val="none" w:sz="0" w:space="0" w:color="auto"/>
                <w:right w:val="none" w:sz="0" w:space="0" w:color="auto"/>
              </w:divBdr>
            </w:div>
            <w:div w:id="2086951222">
              <w:marLeft w:val="0"/>
              <w:marRight w:val="0"/>
              <w:marTop w:val="0"/>
              <w:marBottom w:val="0"/>
              <w:divBdr>
                <w:top w:val="none" w:sz="0" w:space="0" w:color="auto"/>
                <w:left w:val="none" w:sz="0" w:space="0" w:color="auto"/>
                <w:bottom w:val="none" w:sz="0" w:space="0" w:color="auto"/>
                <w:right w:val="none" w:sz="0" w:space="0" w:color="auto"/>
              </w:divBdr>
            </w:div>
          </w:divsChild>
        </w:div>
        <w:div w:id="1831554267">
          <w:marLeft w:val="0"/>
          <w:marRight w:val="0"/>
          <w:marTop w:val="0"/>
          <w:marBottom w:val="0"/>
          <w:divBdr>
            <w:top w:val="none" w:sz="0" w:space="0" w:color="auto"/>
            <w:left w:val="none" w:sz="0" w:space="0" w:color="auto"/>
            <w:bottom w:val="none" w:sz="0" w:space="0" w:color="auto"/>
            <w:right w:val="none" w:sz="0" w:space="0" w:color="auto"/>
          </w:divBdr>
          <w:divsChild>
            <w:div w:id="853305244">
              <w:marLeft w:val="0"/>
              <w:marRight w:val="0"/>
              <w:marTop w:val="0"/>
              <w:marBottom w:val="0"/>
              <w:divBdr>
                <w:top w:val="none" w:sz="0" w:space="0" w:color="auto"/>
                <w:left w:val="none" w:sz="0" w:space="0" w:color="auto"/>
                <w:bottom w:val="none" w:sz="0" w:space="0" w:color="auto"/>
                <w:right w:val="none" w:sz="0" w:space="0" w:color="auto"/>
              </w:divBdr>
            </w:div>
          </w:divsChild>
        </w:div>
        <w:div w:id="1842575916">
          <w:marLeft w:val="0"/>
          <w:marRight w:val="0"/>
          <w:marTop w:val="0"/>
          <w:marBottom w:val="0"/>
          <w:divBdr>
            <w:top w:val="none" w:sz="0" w:space="0" w:color="auto"/>
            <w:left w:val="none" w:sz="0" w:space="0" w:color="auto"/>
            <w:bottom w:val="none" w:sz="0" w:space="0" w:color="auto"/>
            <w:right w:val="none" w:sz="0" w:space="0" w:color="auto"/>
          </w:divBdr>
          <w:divsChild>
            <w:div w:id="448167224">
              <w:marLeft w:val="0"/>
              <w:marRight w:val="0"/>
              <w:marTop w:val="0"/>
              <w:marBottom w:val="0"/>
              <w:divBdr>
                <w:top w:val="none" w:sz="0" w:space="0" w:color="auto"/>
                <w:left w:val="none" w:sz="0" w:space="0" w:color="auto"/>
                <w:bottom w:val="none" w:sz="0" w:space="0" w:color="auto"/>
                <w:right w:val="none" w:sz="0" w:space="0" w:color="auto"/>
              </w:divBdr>
            </w:div>
          </w:divsChild>
        </w:div>
        <w:div w:id="1844592034">
          <w:marLeft w:val="0"/>
          <w:marRight w:val="0"/>
          <w:marTop w:val="0"/>
          <w:marBottom w:val="0"/>
          <w:divBdr>
            <w:top w:val="none" w:sz="0" w:space="0" w:color="auto"/>
            <w:left w:val="none" w:sz="0" w:space="0" w:color="auto"/>
            <w:bottom w:val="none" w:sz="0" w:space="0" w:color="auto"/>
            <w:right w:val="none" w:sz="0" w:space="0" w:color="auto"/>
          </w:divBdr>
          <w:divsChild>
            <w:div w:id="936669702">
              <w:marLeft w:val="0"/>
              <w:marRight w:val="0"/>
              <w:marTop w:val="0"/>
              <w:marBottom w:val="0"/>
              <w:divBdr>
                <w:top w:val="none" w:sz="0" w:space="0" w:color="auto"/>
                <w:left w:val="none" w:sz="0" w:space="0" w:color="auto"/>
                <w:bottom w:val="none" w:sz="0" w:space="0" w:color="auto"/>
                <w:right w:val="none" w:sz="0" w:space="0" w:color="auto"/>
              </w:divBdr>
            </w:div>
          </w:divsChild>
        </w:div>
        <w:div w:id="1858035910">
          <w:marLeft w:val="0"/>
          <w:marRight w:val="0"/>
          <w:marTop w:val="0"/>
          <w:marBottom w:val="0"/>
          <w:divBdr>
            <w:top w:val="none" w:sz="0" w:space="0" w:color="auto"/>
            <w:left w:val="none" w:sz="0" w:space="0" w:color="auto"/>
            <w:bottom w:val="none" w:sz="0" w:space="0" w:color="auto"/>
            <w:right w:val="none" w:sz="0" w:space="0" w:color="auto"/>
          </w:divBdr>
          <w:divsChild>
            <w:div w:id="13581142">
              <w:marLeft w:val="0"/>
              <w:marRight w:val="0"/>
              <w:marTop w:val="0"/>
              <w:marBottom w:val="0"/>
              <w:divBdr>
                <w:top w:val="none" w:sz="0" w:space="0" w:color="auto"/>
                <w:left w:val="none" w:sz="0" w:space="0" w:color="auto"/>
                <w:bottom w:val="none" w:sz="0" w:space="0" w:color="auto"/>
                <w:right w:val="none" w:sz="0" w:space="0" w:color="auto"/>
              </w:divBdr>
            </w:div>
            <w:div w:id="374814421">
              <w:marLeft w:val="0"/>
              <w:marRight w:val="0"/>
              <w:marTop w:val="0"/>
              <w:marBottom w:val="0"/>
              <w:divBdr>
                <w:top w:val="none" w:sz="0" w:space="0" w:color="auto"/>
                <w:left w:val="none" w:sz="0" w:space="0" w:color="auto"/>
                <w:bottom w:val="none" w:sz="0" w:space="0" w:color="auto"/>
                <w:right w:val="none" w:sz="0" w:space="0" w:color="auto"/>
              </w:divBdr>
            </w:div>
            <w:div w:id="457574756">
              <w:marLeft w:val="0"/>
              <w:marRight w:val="0"/>
              <w:marTop w:val="0"/>
              <w:marBottom w:val="0"/>
              <w:divBdr>
                <w:top w:val="none" w:sz="0" w:space="0" w:color="auto"/>
                <w:left w:val="none" w:sz="0" w:space="0" w:color="auto"/>
                <w:bottom w:val="none" w:sz="0" w:space="0" w:color="auto"/>
                <w:right w:val="none" w:sz="0" w:space="0" w:color="auto"/>
              </w:divBdr>
            </w:div>
            <w:div w:id="1273248054">
              <w:marLeft w:val="0"/>
              <w:marRight w:val="0"/>
              <w:marTop w:val="0"/>
              <w:marBottom w:val="0"/>
              <w:divBdr>
                <w:top w:val="none" w:sz="0" w:space="0" w:color="auto"/>
                <w:left w:val="none" w:sz="0" w:space="0" w:color="auto"/>
                <w:bottom w:val="none" w:sz="0" w:space="0" w:color="auto"/>
                <w:right w:val="none" w:sz="0" w:space="0" w:color="auto"/>
              </w:divBdr>
            </w:div>
            <w:div w:id="1891568945">
              <w:marLeft w:val="0"/>
              <w:marRight w:val="0"/>
              <w:marTop w:val="0"/>
              <w:marBottom w:val="0"/>
              <w:divBdr>
                <w:top w:val="none" w:sz="0" w:space="0" w:color="auto"/>
                <w:left w:val="none" w:sz="0" w:space="0" w:color="auto"/>
                <w:bottom w:val="none" w:sz="0" w:space="0" w:color="auto"/>
                <w:right w:val="none" w:sz="0" w:space="0" w:color="auto"/>
              </w:divBdr>
            </w:div>
          </w:divsChild>
        </w:div>
        <w:div w:id="1892576257">
          <w:marLeft w:val="0"/>
          <w:marRight w:val="0"/>
          <w:marTop w:val="0"/>
          <w:marBottom w:val="0"/>
          <w:divBdr>
            <w:top w:val="none" w:sz="0" w:space="0" w:color="auto"/>
            <w:left w:val="none" w:sz="0" w:space="0" w:color="auto"/>
            <w:bottom w:val="none" w:sz="0" w:space="0" w:color="auto"/>
            <w:right w:val="none" w:sz="0" w:space="0" w:color="auto"/>
          </w:divBdr>
          <w:divsChild>
            <w:div w:id="2016763833">
              <w:marLeft w:val="0"/>
              <w:marRight w:val="0"/>
              <w:marTop w:val="0"/>
              <w:marBottom w:val="0"/>
              <w:divBdr>
                <w:top w:val="none" w:sz="0" w:space="0" w:color="auto"/>
                <w:left w:val="none" w:sz="0" w:space="0" w:color="auto"/>
                <w:bottom w:val="none" w:sz="0" w:space="0" w:color="auto"/>
                <w:right w:val="none" w:sz="0" w:space="0" w:color="auto"/>
              </w:divBdr>
            </w:div>
          </w:divsChild>
        </w:div>
        <w:div w:id="1908178700">
          <w:marLeft w:val="0"/>
          <w:marRight w:val="0"/>
          <w:marTop w:val="0"/>
          <w:marBottom w:val="0"/>
          <w:divBdr>
            <w:top w:val="none" w:sz="0" w:space="0" w:color="auto"/>
            <w:left w:val="none" w:sz="0" w:space="0" w:color="auto"/>
            <w:bottom w:val="none" w:sz="0" w:space="0" w:color="auto"/>
            <w:right w:val="none" w:sz="0" w:space="0" w:color="auto"/>
          </w:divBdr>
          <w:divsChild>
            <w:div w:id="161050784">
              <w:marLeft w:val="0"/>
              <w:marRight w:val="0"/>
              <w:marTop w:val="0"/>
              <w:marBottom w:val="0"/>
              <w:divBdr>
                <w:top w:val="none" w:sz="0" w:space="0" w:color="auto"/>
                <w:left w:val="none" w:sz="0" w:space="0" w:color="auto"/>
                <w:bottom w:val="none" w:sz="0" w:space="0" w:color="auto"/>
                <w:right w:val="none" w:sz="0" w:space="0" w:color="auto"/>
              </w:divBdr>
            </w:div>
            <w:div w:id="296305970">
              <w:marLeft w:val="0"/>
              <w:marRight w:val="0"/>
              <w:marTop w:val="0"/>
              <w:marBottom w:val="0"/>
              <w:divBdr>
                <w:top w:val="none" w:sz="0" w:space="0" w:color="auto"/>
                <w:left w:val="none" w:sz="0" w:space="0" w:color="auto"/>
                <w:bottom w:val="none" w:sz="0" w:space="0" w:color="auto"/>
                <w:right w:val="none" w:sz="0" w:space="0" w:color="auto"/>
              </w:divBdr>
            </w:div>
            <w:div w:id="644434121">
              <w:marLeft w:val="0"/>
              <w:marRight w:val="0"/>
              <w:marTop w:val="0"/>
              <w:marBottom w:val="0"/>
              <w:divBdr>
                <w:top w:val="none" w:sz="0" w:space="0" w:color="auto"/>
                <w:left w:val="none" w:sz="0" w:space="0" w:color="auto"/>
                <w:bottom w:val="none" w:sz="0" w:space="0" w:color="auto"/>
                <w:right w:val="none" w:sz="0" w:space="0" w:color="auto"/>
              </w:divBdr>
            </w:div>
            <w:div w:id="912816650">
              <w:marLeft w:val="0"/>
              <w:marRight w:val="0"/>
              <w:marTop w:val="0"/>
              <w:marBottom w:val="0"/>
              <w:divBdr>
                <w:top w:val="none" w:sz="0" w:space="0" w:color="auto"/>
                <w:left w:val="none" w:sz="0" w:space="0" w:color="auto"/>
                <w:bottom w:val="none" w:sz="0" w:space="0" w:color="auto"/>
                <w:right w:val="none" w:sz="0" w:space="0" w:color="auto"/>
              </w:divBdr>
            </w:div>
            <w:div w:id="1270889383">
              <w:marLeft w:val="0"/>
              <w:marRight w:val="0"/>
              <w:marTop w:val="0"/>
              <w:marBottom w:val="0"/>
              <w:divBdr>
                <w:top w:val="none" w:sz="0" w:space="0" w:color="auto"/>
                <w:left w:val="none" w:sz="0" w:space="0" w:color="auto"/>
                <w:bottom w:val="none" w:sz="0" w:space="0" w:color="auto"/>
                <w:right w:val="none" w:sz="0" w:space="0" w:color="auto"/>
              </w:divBdr>
            </w:div>
            <w:div w:id="1593973408">
              <w:marLeft w:val="0"/>
              <w:marRight w:val="0"/>
              <w:marTop w:val="0"/>
              <w:marBottom w:val="0"/>
              <w:divBdr>
                <w:top w:val="none" w:sz="0" w:space="0" w:color="auto"/>
                <w:left w:val="none" w:sz="0" w:space="0" w:color="auto"/>
                <w:bottom w:val="none" w:sz="0" w:space="0" w:color="auto"/>
                <w:right w:val="none" w:sz="0" w:space="0" w:color="auto"/>
              </w:divBdr>
            </w:div>
            <w:div w:id="1763799689">
              <w:marLeft w:val="0"/>
              <w:marRight w:val="0"/>
              <w:marTop w:val="0"/>
              <w:marBottom w:val="0"/>
              <w:divBdr>
                <w:top w:val="none" w:sz="0" w:space="0" w:color="auto"/>
                <w:left w:val="none" w:sz="0" w:space="0" w:color="auto"/>
                <w:bottom w:val="none" w:sz="0" w:space="0" w:color="auto"/>
                <w:right w:val="none" w:sz="0" w:space="0" w:color="auto"/>
              </w:divBdr>
            </w:div>
            <w:div w:id="1799226761">
              <w:marLeft w:val="0"/>
              <w:marRight w:val="0"/>
              <w:marTop w:val="0"/>
              <w:marBottom w:val="0"/>
              <w:divBdr>
                <w:top w:val="none" w:sz="0" w:space="0" w:color="auto"/>
                <w:left w:val="none" w:sz="0" w:space="0" w:color="auto"/>
                <w:bottom w:val="none" w:sz="0" w:space="0" w:color="auto"/>
                <w:right w:val="none" w:sz="0" w:space="0" w:color="auto"/>
              </w:divBdr>
            </w:div>
            <w:div w:id="1951933612">
              <w:marLeft w:val="0"/>
              <w:marRight w:val="0"/>
              <w:marTop w:val="0"/>
              <w:marBottom w:val="0"/>
              <w:divBdr>
                <w:top w:val="none" w:sz="0" w:space="0" w:color="auto"/>
                <w:left w:val="none" w:sz="0" w:space="0" w:color="auto"/>
                <w:bottom w:val="none" w:sz="0" w:space="0" w:color="auto"/>
                <w:right w:val="none" w:sz="0" w:space="0" w:color="auto"/>
              </w:divBdr>
            </w:div>
            <w:div w:id="1977755480">
              <w:marLeft w:val="0"/>
              <w:marRight w:val="0"/>
              <w:marTop w:val="0"/>
              <w:marBottom w:val="0"/>
              <w:divBdr>
                <w:top w:val="none" w:sz="0" w:space="0" w:color="auto"/>
                <w:left w:val="none" w:sz="0" w:space="0" w:color="auto"/>
                <w:bottom w:val="none" w:sz="0" w:space="0" w:color="auto"/>
                <w:right w:val="none" w:sz="0" w:space="0" w:color="auto"/>
              </w:divBdr>
            </w:div>
            <w:div w:id="2056805632">
              <w:marLeft w:val="0"/>
              <w:marRight w:val="0"/>
              <w:marTop w:val="0"/>
              <w:marBottom w:val="0"/>
              <w:divBdr>
                <w:top w:val="none" w:sz="0" w:space="0" w:color="auto"/>
                <w:left w:val="none" w:sz="0" w:space="0" w:color="auto"/>
                <w:bottom w:val="none" w:sz="0" w:space="0" w:color="auto"/>
                <w:right w:val="none" w:sz="0" w:space="0" w:color="auto"/>
              </w:divBdr>
            </w:div>
            <w:div w:id="2112584002">
              <w:marLeft w:val="0"/>
              <w:marRight w:val="0"/>
              <w:marTop w:val="0"/>
              <w:marBottom w:val="0"/>
              <w:divBdr>
                <w:top w:val="none" w:sz="0" w:space="0" w:color="auto"/>
                <w:left w:val="none" w:sz="0" w:space="0" w:color="auto"/>
                <w:bottom w:val="none" w:sz="0" w:space="0" w:color="auto"/>
                <w:right w:val="none" w:sz="0" w:space="0" w:color="auto"/>
              </w:divBdr>
            </w:div>
          </w:divsChild>
        </w:div>
        <w:div w:id="1920554463">
          <w:marLeft w:val="0"/>
          <w:marRight w:val="0"/>
          <w:marTop w:val="0"/>
          <w:marBottom w:val="0"/>
          <w:divBdr>
            <w:top w:val="none" w:sz="0" w:space="0" w:color="auto"/>
            <w:left w:val="none" w:sz="0" w:space="0" w:color="auto"/>
            <w:bottom w:val="none" w:sz="0" w:space="0" w:color="auto"/>
            <w:right w:val="none" w:sz="0" w:space="0" w:color="auto"/>
          </w:divBdr>
          <w:divsChild>
            <w:div w:id="39519325">
              <w:marLeft w:val="0"/>
              <w:marRight w:val="0"/>
              <w:marTop w:val="0"/>
              <w:marBottom w:val="0"/>
              <w:divBdr>
                <w:top w:val="none" w:sz="0" w:space="0" w:color="auto"/>
                <w:left w:val="none" w:sz="0" w:space="0" w:color="auto"/>
                <w:bottom w:val="none" w:sz="0" w:space="0" w:color="auto"/>
                <w:right w:val="none" w:sz="0" w:space="0" w:color="auto"/>
              </w:divBdr>
            </w:div>
          </w:divsChild>
        </w:div>
        <w:div w:id="1968004499">
          <w:marLeft w:val="0"/>
          <w:marRight w:val="0"/>
          <w:marTop w:val="0"/>
          <w:marBottom w:val="0"/>
          <w:divBdr>
            <w:top w:val="none" w:sz="0" w:space="0" w:color="auto"/>
            <w:left w:val="none" w:sz="0" w:space="0" w:color="auto"/>
            <w:bottom w:val="none" w:sz="0" w:space="0" w:color="auto"/>
            <w:right w:val="none" w:sz="0" w:space="0" w:color="auto"/>
          </w:divBdr>
          <w:divsChild>
            <w:div w:id="5641948">
              <w:marLeft w:val="0"/>
              <w:marRight w:val="0"/>
              <w:marTop w:val="0"/>
              <w:marBottom w:val="0"/>
              <w:divBdr>
                <w:top w:val="none" w:sz="0" w:space="0" w:color="auto"/>
                <w:left w:val="none" w:sz="0" w:space="0" w:color="auto"/>
                <w:bottom w:val="none" w:sz="0" w:space="0" w:color="auto"/>
                <w:right w:val="none" w:sz="0" w:space="0" w:color="auto"/>
              </w:divBdr>
            </w:div>
          </w:divsChild>
        </w:div>
        <w:div w:id="1990937555">
          <w:marLeft w:val="0"/>
          <w:marRight w:val="0"/>
          <w:marTop w:val="0"/>
          <w:marBottom w:val="0"/>
          <w:divBdr>
            <w:top w:val="none" w:sz="0" w:space="0" w:color="auto"/>
            <w:left w:val="none" w:sz="0" w:space="0" w:color="auto"/>
            <w:bottom w:val="none" w:sz="0" w:space="0" w:color="auto"/>
            <w:right w:val="none" w:sz="0" w:space="0" w:color="auto"/>
          </w:divBdr>
          <w:divsChild>
            <w:div w:id="726951519">
              <w:marLeft w:val="0"/>
              <w:marRight w:val="0"/>
              <w:marTop w:val="0"/>
              <w:marBottom w:val="0"/>
              <w:divBdr>
                <w:top w:val="none" w:sz="0" w:space="0" w:color="auto"/>
                <w:left w:val="none" w:sz="0" w:space="0" w:color="auto"/>
                <w:bottom w:val="none" w:sz="0" w:space="0" w:color="auto"/>
                <w:right w:val="none" w:sz="0" w:space="0" w:color="auto"/>
              </w:divBdr>
            </w:div>
            <w:div w:id="746651836">
              <w:marLeft w:val="0"/>
              <w:marRight w:val="0"/>
              <w:marTop w:val="0"/>
              <w:marBottom w:val="0"/>
              <w:divBdr>
                <w:top w:val="none" w:sz="0" w:space="0" w:color="auto"/>
                <w:left w:val="none" w:sz="0" w:space="0" w:color="auto"/>
                <w:bottom w:val="none" w:sz="0" w:space="0" w:color="auto"/>
                <w:right w:val="none" w:sz="0" w:space="0" w:color="auto"/>
              </w:divBdr>
            </w:div>
            <w:div w:id="761612306">
              <w:marLeft w:val="0"/>
              <w:marRight w:val="0"/>
              <w:marTop w:val="0"/>
              <w:marBottom w:val="0"/>
              <w:divBdr>
                <w:top w:val="none" w:sz="0" w:space="0" w:color="auto"/>
                <w:left w:val="none" w:sz="0" w:space="0" w:color="auto"/>
                <w:bottom w:val="none" w:sz="0" w:space="0" w:color="auto"/>
                <w:right w:val="none" w:sz="0" w:space="0" w:color="auto"/>
              </w:divBdr>
            </w:div>
            <w:div w:id="1749764037">
              <w:marLeft w:val="0"/>
              <w:marRight w:val="0"/>
              <w:marTop w:val="0"/>
              <w:marBottom w:val="0"/>
              <w:divBdr>
                <w:top w:val="none" w:sz="0" w:space="0" w:color="auto"/>
                <w:left w:val="none" w:sz="0" w:space="0" w:color="auto"/>
                <w:bottom w:val="none" w:sz="0" w:space="0" w:color="auto"/>
                <w:right w:val="none" w:sz="0" w:space="0" w:color="auto"/>
              </w:divBdr>
            </w:div>
            <w:div w:id="1869953830">
              <w:marLeft w:val="0"/>
              <w:marRight w:val="0"/>
              <w:marTop w:val="0"/>
              <w:marBottom w:val="0"/>
              <w:divBdr>
                <w:top w:val="none" w:sz="0" w:space="0" w:color="auto"/>
                <w:left w:val="none" w:sz="0" w:space="0" w:color="auto"/>
                <w:bottom w:val="none" w:sz="0" w:space="0" w:color="auto"/>
                <w:right w:val="none" w:sz="0" w:space="0" w:color="auto"/>
              </w:divBdr>
            </w:div>
            <w:div w:id="2000841518">
              <w:marLeft w:val="0"/>
              <w:marRight w:val="0"/>
              <w:marTop w:val="0"/>
              <w:marBottom w:val="0"/>
              <w:divBdr>
                <w:top w:val="none" w:sz="0" w:space="0" w:color="auto"/>
                <w:left w:val="none" w:sz="0" w:space="0" w:color="auto"/>
                <w:bottom w:val="none" w:sz="0" w:space="0" w:color="auto"/>
                <w:right w:val="none" w:sz="0" w:space="0" w:color="auto"/>
              </w:divBdr>
            </w:div>
          </w:divsChild>
        </w:div>
        <w:div w:id="2014143380">
          <w:marLeft w:val="0"/>
          <w:marRight w:val="0"/>
          <w:marTop w:val="0"/>
          <w:marBottom w:val="0"/>
          <w:divBdr>
            <w:top w:val="none" w:sz="0" w:space="0" w:color="auto"/>
            <w:left w:val="none" w:sz="0" w:space="0" w:color="auto"/>
            <w:bottom w:val="none" w:sz="0" w:space="0" w:color="auto"/>
            <w:right w:val="none" w:sz="0" w:space="0" w:color="auto"/>
          </w:divBdr>
          <w:divsChild>
            <w:div w:id="369763333">
              <w:marLeft w:val="0"/>
              <w:marRight w:val="0"/>
              <w:marTop w:val="0"/>
              <w:marBottom w:val="0"/>
              <w:divBdr>
                <w:top w:val="none" w:sz="0" w:space="0" w:color="auto"/>
                <w:left w:val="none" w:sz="0" w:space="0" w:color="auto"/>
                <w:bottom w:val="none" w:sz="0" w:space="0" w:color="auto"/>
                <w:right w:val="none" w:sz="0" w:space="0" w:color="auto"/>
              </w:divBdr>
            </w:div>
          </w:divsChild>
        </w:div>
        <w:div w:id="2099674484">
          <w:marLeft w:val="0"/>
          <w:marRight w:val="0"/>
          <w:marTop w:val="0"/>
          <w:marBottom w:val="0"/>
          <w:divBdr>
            <w:top w:val="none" w:sz="0" w:space="0" w:color="auto"/>
            <w:left w:val="none" w:sz="0" w:space="0" w:color="auto"/>
            <w:bottom w:val="none" w:sz="0" w:space="0" w:color="auto"/>
            <w:right w:val="none" w:sz="0" w:space="0" w:color="auto"/>
          </w:divBdr>
          <w:divsChild>
            <w:div w:id="11417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5879">
      <w:bodyDiv w:val="1"/>
      <w:marLeft w:val="0"/>
      <w:marRight w:val="0"/>
      <w:marTop w:val="0"/>
      <w:marBottom w:val="0"/>
      <w:divBdr>
        <w:top w:val="none" w:sz="0" w:space="0" w:color="auto"/>
        <w:left w:val="none" w:sz="0" w:space="0" w:color="auto"/>
        <w:bottom w:val="none" w:sz="0" w:space="0" w:color="auto"/>
        <w:right w:val="none" w:sz="0" w:space="0" w:color="auto"/>
      </w:divBdr>
      <w:divsChild>
        <w:div w:id="287400065">
          <w:marLeft w:val="0"/>
          <w:marRight w:val="0"/>
          <w:marTop w:val="0"/>
          <w:marBottom w:val="0"/>
          <w:divBdr>
            <w:top w:val="none" w:sz="0" w:space="0" w:color="auto"/>
            <w:left w:val="none" w:sz="0" w:space="0" w:color="auto"/>
            <w:bottom w:val="none" w:sz="0" w:space="0" w:color="auto"/>
            <w:right w:val="none" w:sz="0" w:space="0" w:color="auto"/>
          </w:divBdr>
          <w:divsChild>
            <w:div w:id="2019457443">
              <w:marLeft w:val="0"/>
              <w:marRight w:val="0"/>
              <w:marTop w:val="0"/>
              <w:marBottom w:val="0"/>
              <w:divBdr>
                <w:top w:val="none" w:sz="0" w:space="0" w:color="auto"/>
                <w:left w:val="none" w:sz="0" w:space="0" w:color="auto"/>
                <w:bottom w:val="none" w:sz="0" w:space="0" w:color="auto"/>
                <w:right w:val="none" w:sz="0" w:space="0" w:color="auto"/>
              </w:divBdr>
            </w:div>
          </w:divsChild>
        </w:div>
        <w:div w:id="647980752">
          <w:marLeft w:val="0"/>
          <w:marRight w:val="0"/>
          <w:marTop w:val="0"/>
          <w:marBottom w:val="0"/>
          <w:divBdr>
            <w:top w:val="none" w:sz="0" w:space="0" w:color="auto"/>
            <w:left w:val="none" w:sz="0" w:space="0" w:color="auto"/>
            <w:bottom w:val="none" w:sz="0" w:space="0" w:color="auto"/>
            <w:right w:val="none" w:sz="0" w:space="0" w:color="auto"/>
          </w:divBdr>
          <w:divsChild>
            <w:div w:id="778257814">
              <w:marLeft w:val="0"/>
              <w:marRight w:val="0"/>
              <w:marTop w:val="0"/>
              <w:marBottom w:val="0"/>
              <w:divBdr>
                <w:top w:val="none" w:sz="0" w:space="0" w:color="auto"/>
                <w:left w:val="none" w:sz="0" w:space="0" w:color="auto"/>
                <w:bottom w:val="none" w:sz="0" w:space="0" w:color="auto"/>
                <w:right w:val="none" w:sz="0" w:space="0" w:color="auto"/>
              </w:divBdr>
            </w:div>
          </w:divsChild>
        </w:div>
        <w:div w:id="982319128">
          <w:marLeft w:val="0"/>
          <w:marRight w:val="0"/>
          <w:marTop w:val="0"/>
          <w:marBottom w:val="0"/>
          <w:divBdr>
            <w:top w:val="none" w:sz="0" w:space="0" w:color="auto"/>
            <w:left w:val="none" w:sz="0" w:space="0" w:color="auto"/>
            <w:bottom w:val="none" w:sz="0" w:space="0" w:color="auto"/>
            <w:right w:val="none" w:sz="0" w:space="0" w:color="auto"/>
          </w:divBdr>
          <w:divsChild>
            <w:div w:id="683240007">
              <w:marLeft w:val="0"/>
              <w:marRight w:val="0"/>
              <w:marTop w:val="0"/>
              <w:marBottom w:val="0"/>
              <w:divBdr>
                <w:top w:val="none" w:sz="0" w:space="0" w:color="auto"/>
                <w:left w:val="none" w:sz="0" w:space="0" w:color="auto"/>
                <w:bottom w:val="none" w:sz="0" w:space="0" w:color="auto"/>
                <w:right w:val="none" w:sz="0" w:space="0" w:color="auto"/>
              </w:divBdr>
            </w:div>
          </w:divsChild>
        </w:div>
        <w:div w:id="1005286045">
          <w:marLeft w:val="0"/>
          <w:marRight w:val="0"/>
          <w:marTop w:val="0"/>
          <w:marBottom w:val="0"/>
          <w:divBdr>
            <w:top w:val="none" w:sz="0" w:space="0" w:color="auto"/>
            <w:left w:val="none" w:sz="0" w:space="0" w:color="auto"/>
            <w:bottom w:val="none" w:sz="0" w:space="0" w:color="auto"/>
            <w:right w:val="none" w:sz="0" w:space="0" w:color="auto"/>
          </w:divBdr>
          <w:divsChild>
            <w:div w:id="1676567851">
              <w:marLeft w:val="0"/>
              <w:marRight w:val="0"/>
              <w:marTop w:val="0"/>
              <w:marBottom w:val="0"/>
              <w:divBdr>
                <w:top w:val="none" w:sz="0" w:space="0" w:color="auto"/>
                <w:left w:val="none" w:sz="0" w:space="0" w:color="auto"/>
                <w:bottom w:val="none" w:sz="0" w:space="0" w:color="auto"/>
                <w:right w:val="none" w:sz="0" w:space="0" w:color="auto"/>
              </w:divBdr>
            </w:div>
          </w:divsChild>
        </w:div>
        <w:div w:id="1133715481">
          <w:marLeft w:val="0"/>
          <w:marRight w:val="0"/>
          <w:marTop w:val="0"/>
          <w:marBottom w:val="0"/>
          <w:divBdr>
            <w:top w:val="none" w:sz="0" w:space="0" w:color="auto"/>
            <w:left w:val="none" w:sz="0" w:space="0" w:color="auto"/>
            <w:bottom w:val="none" w:sz="0" w:space="0" w:color="auto"/>
            <w:right w:val="none" w:sz="0" w:space="0" w:color="auto"/>
          </w:divBdr>
          <w:divsChild>
            <w:div w:id="2050639328">
              <w:marLeft w:val="0"/>
              <w:marRight w:val="0"/>
              <w:marTop w:val="0"/>
              <w:marBottom w:val="0"/>
              <w:divBdr>
                <w:top w:val="none" w:sz="0" w:space="0" w:color="auto"/>
                <w:left w:val="none" w:sz="0" w:space="0" w:color="auto"/>
                <w:bottom w:val="none" w:sz="0" w:space="0" w:color="auto"/>
                <w:right w:val="none" w:sz="0" w:space="0" w:color="auto"/>
              </w:divBdr>
            </w:div>
          </w:divsChild>
        </w:div>
        <w:div w:id="1196776294">
          <w:marLeft w:val="0"/>
          <w:marRight w:val="0"/>
          <w:marTop w:val="0"/>
          <w:marBottom w:val="0"/>
          <w:divBdr>
            <w:top w:val="none" w:sz="0" w:space="0" w:color="auto"/>
            <w:left w:val="none" w:sz="0" w:space="0" w:color="auto"/>
            <w:bottom w:val="none" w:sz="0" w:space="0" w:color="auto"/>
            <w:right w:val="none" w:sz="0" w:space="0" w:color="auto"/>
          </w:divBdr>
          <w:divsChild>
            <w:div w:id="1152715992">
              <w:marLeft w:val="0"/>
              <w:marRight w:val="0"/>
              <w:marTop w:val="0"/>
              <w:marBottom w:val="0"/>
              <w:divBdr>
                <w:top w:val="none" w:sz="0" w:space="0" w:color="auto"/>
                <w:left w:val="none" w:sz="0" w:space="0" w:color="auto"/>
                <w:bottom w:val="none" w:sz="0" w:space="0" w:color="auto"/>
                <w:right w:val="none" w:sz="0" w:space="0" w:color="auto"/>
              </w:divBdr>
            </w:div>
          </w:divsChild>
        </w:div>
        <w:div w:id="1479691964">
          <w:marLeft w:val="0"/>
          <w:marRight w:val="0"/>
          <w:marTop w:val="0"/>
          <w:marBottom w:val="0"/>
          <w:divBdr>
            <w:top w:val="none" w:sz="0" w:space="0" w:color="auto"/>
            <w:left w:val="none" w:sz="0" w:space="0" w:color="auto"/>
            <w:bottom w:val="none" w:sz="0" w:space="0" w:color="auto"/>
            <w:right w:val="none" w:sz="0" w:space="0" w:color="auto"/>
          </w:divBdr>
          <w:divsChild>
            <w:div w:id="1788816309">
              <w:marLeft w:val="0"/>
              <w:marRight w:val="0"/>
              <w:marTop w:val="0"/>
              <w:marBottom w:val="0"/>
              <w:divBdr>
                <w:top w:val="none" w:sz="0" w:space="0" w:color="auto"/>
                <w:left w:val="none" w:sz="0" w:space="0" w:color="auto"/>
                <w:bottom w:val="none" w:sz="0" w:space="0" w:color="auto"/>
                <w:right w:val="none" w:sz="0" w:space="0" w:color="auto"/>
              </w:divBdr>
            </w:div>
          </w:divsChild>
        </w:div>
        <w:div w:id="1649630914">
          <w:marLeft w:val="0"/>
          <w:marRight w:val="0"/>
          <w:marTop w:val="0"/>
          <w:marBottom w:val="0"/>
          <w:divBdr>
            <w:top w:val="none" w:sz="0" w:space="0" w:color="auto"/>
            <w:left w:val="none" w:sz="0" w:space="0" w:color="auto"/>
            <w:bottom w:val="none" w:sz="0" w:space="0" w:color="auto"/>
            <w:right w:val="none" w:sz="0" w:space="0" w:color="auto"/>
          </w:divBdr>
          <w:divsChild>
            <w:div w:id="704793117">
              <w:marLeft w:val="0"/>
              <w:marRight w:val="0"/>
              <w:marTop w:val="0"/>
              <w:marBottom w:val="0"/>
              <w:divBdr>
                <w:top w:val="none" w:sz="0" w:space="0" w:color="auto"/>
                <w:left w:val="none" w:sz="0" w:space="0" w:color="auto"/>
                <w:bottom w:val="none" w:sz="0" w:space="0" w:color="auto"/>
                <w:right w:val="none" w:sz="0" w:space="0" w:color="auto"/>
              </w:divBdr>
            </w:div>
          </w:divsChild>
        </w:div>
        <w:div w:id="1651783016">
          <w:marLeft w:val="0"/>
          <w:marRight w:val="0"/>
          <w:marTop w:val="0"/>
          <w:marBottom w:val="0"/>
          <w:divBdr>
            <w:top w:val="none" w:sz="0" w:space="0" w:color="auto"/>
            <w:left w:val="none" w:sz="0" w:space="0" w:color="auto"/>
            <w:bottom w:val="none" w:sz="0" w:space="0" w:color="auto"/>
            <w:right w:val="none" w:sz="0" w:space="0" w:color="auto"/>
          </w:divBdr>
          <w:divsChild>
            <w:div w:id="1157645029">
              <w:marLeft w:val="0"/>
              <w:marRight w:val="0"/>
              <w:marTop w:val="0"/>
              <w:marBottom w:val="0"/>
              <w:divBdr>
                <w:top w:val="none" w:sz="0" w:space="0" w:color="auto"/>
                <w:left w:val="none" w:sz="0" w:space="0" w:color="auto"/>
                <w:bottom w:val="none" w:sz="0" w:space="0" w:color="auto"/>
                <w:right w:val="none" w:sz="0" w:space="0" w:color="auto"/>
              </w:divBdr>
            </w:div>
          </w:divsChild>
        </w:div>
        <w:div w:id="1805192665">
          <w:marLeft w:val="0"/>
          <w:marRight w:val="0"/>
          <w:marTop w:val="0"/>
          <w:marBottom w:val="0"/>
          <w:divBdr>
            <w:top w:val="none" w:sz="0" w:space="0" w:color="auto"/>
            <w:left w:val="none" w:sz="0" w:space="0" w:color="auto"/>
            <w:bottom w:val="none" w:sz="0" w:space="0" w:color="auto"/>
            <w:right w:val="none" w:sz="0" w:space="0" w:color="auto"/>
          </w:divBdr>
          <w:divsChild>
            <w:div w:id="594943431">
              <w:marLeft w:val="0"/>
              <w:marRight w:val="0"/>
              <w:marTop w:val="0"/>
              <w:marBottom w:val="0"/>
              <w:divBdr>
                <w:top w:val="none" w:sz="0" w:space="0" w:color="auto"/>
                <w:left w:val="none" w:sz="0" w:space="0" w:color="auto"/>
                <w:bottom w:val="none" w:sz="0" w:space="0" w:color="auto"/>
                <w:right w:val="none" w:sz="0" w:space="0" w:color="auto"/>
              </w:divBdr>
            </w:div>
          </w:divsChild>
        </w:div>
        <w:div w:id="1889873885">
          <w:marLeft w:val="0"/>
          <w:marRight w:val="0"/>
          <w:marTop w:val="0"/>
          <w:marBottom w:val="0"/>
          <w:divBdr>
            <w:top w:val="none" w:sz="0" w:space="0" w:color="auto"/>
            <w:left w:val="none" w:sz="0" w:space="0" w:color="auto"/>
            <w:bottom w:val="none" w:sz="0" w:space="0" w:color="auto"/>
            <w:right w:val="none" w:sz="0" w:space="0" w:color="auto"/>
          </w:divBdr>
          <w:divsChild>
            <w:div w:id="523248819">
              <w:marLeft w:val="0"/>
              <w:marRight w:val="0"/>
              <w:marTop w:val="0"/>
              <w:marBottom w:val="0"/>
              <w:divBdr>
                <w:top w:val="none" w:sz="0" w:space="0" w:color="auto"/>
                <w:left w:val="none" w:sz="0" w:space="0" w:color="auto"/>
                <w:bottom w:val="none" w:sz="0" w:space="0" w:color="auto"/>
                <w:right w:val="none" w:sz="0" w:space="0" w:color="auto"/>
              </w:divBdr>
            </w:div>
          </w:divsChild>
        </w:div>
        <w:div w:id="1943949205">
          <w:marLeft w:val="0"/>
          <w:marRight w:val="0"/>
          <w:marTop w:val="0"/>
          <w:marBottom w:val="0"/>
          <w:divBdr>
            <w:top w:val="none" w:sz="0" w:space="0" w:color="auto"/>
            <w:left w:val="none" w:sz="0" w:space="0" w:color="auto"/>
            <w:bottom w:val="none" w:sz="0" w:space="0" w:color="auto"/>
            <w:right w:val="none" w:sz="0" w:space="0" w:color="auto"/>
          </w:divBdr>
          <w:divsChild>
            <w:div w:id="29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1333">
      <w:bodyDiv w:val="1"/>
      <w:marLeft w:val="0"/>
      <w:marRight w:val="0"/>
      <w:marTop w:val="0"/>
      <w:marBottom w:val="0"/>
      <w:divBdr>
        <w:top w:val="none" w:sz="0" w:space="0" w:color="auto"/>
        <w:left w:val="none" w:sz="0" w:space="0" w:color="auto"/>
        <w:bottom w:val="none" w:sz="0" w:space="0" w:color="auto"/>
        <w:right w:val="none" w:sz="0" w:space="0" w:color="auto"/>
      </w:divBdr>
      <w:divsChild>
        <w:div w:id="18623995">
          <w:marLeft w:val="0"/>
          <w:marRight w:val="0"/>
          <w:marTop w:val="0"/>
          <w:marBottom w:val="0"/>
          <w:divBdr>
            <w:top w:val="none" w:sz="0" w:space="0" w:color="auto"/>
            <w:left w:val="none" w:sz="0" w:space="0" w:color="auto"/>
            <w:bottom w:val="none" w:sz="0" w:space="0" w:color="auto"/>
            <w:right w:val="none" w:sz="0" w:space="0" w:color="auto"/>
          </w:divBdr>
          <w:divsChild>
            <w:div w:id="397172663">
              <w:marLeft w:val="0"/>
              <w:marRight w:val="0"/>
              <w:marTop w:val="0"/>
              <w:marBottom w:val="0"/>
              <w:divBdr>
                <w:top w:val="none" w:sz="0" w:space="0" w:color="auto"/>
                <w:left w:val="none" w:sz="0" w:space="0" w:color="auto"/>
                <w:bottom w:val="none" w:sz="0" w:space="0" w:color="auto"/>
                <w:right w:val="none" w:sz="0" w:space="0" w:color="auto"/>
              </w:divBdr>
            </w:div>
            <w:div w:id="478574114">
              <w:marLeft w:val="0"/>
              <w:marRight w:val="0"/>
              <w:marTop w:val="0"/>
              <w:marBottom w:val="0"/>
              <w:divBdr>
                <w:top w:val="none" w:sz="0" w:space="0" w:color="auto"/>
                <w:left w:val="none" w:sz="0" w:space="0" w:color="auto"/>
                <w:bottom w:val="none" w:sz="0" w:space="0" w:color="auto"/>
                <w:right w:val="none" w:sz="0" w:space="0" w:color="auto"/>
              </w:divBdr>
            </w:div>
            <w:div w:id="524825206">
              <w:marLeft w:val="0"/>
              <w:marRight w:val="0"/>
              <w:marTop w:val="0"/>
              <w:marBottom w:val="0"/>
              <w:divBdr>
                <w:top w:val="none" w:sz="0" w:space="0" w:color="auto"/>
                <w:left w:val="none" w:sz="0" w:space="0" w:color="auto"/>
                <w:bottom w:val="none" w:sz="0" w:space="0" w:color="auto"/>
                <w:right w:val="none" w:sz="0" w:space="0" w:color="auto"/>
              </w:divBdr>
            </w:div>
            <w:div w:id="903414123">
              <w:marLeft w:val="0"/>
              <w:marRight w:val="0"/>
              <w:marTop w:val="0"/>
              <w:marBottom w:val="0"/>
              <w:divBdr>
                <w:top w:val="none" w:sz="0" w:space="0" w:color="auto"/>
                <w:left w:val="none" w:sz="0" w:space="0" w:color="auto"/>
                <w:bottom w:val="none" w:sz="0" w:space="0" w:color="auto"/>
                <w:right w:val="none" w:sz="0" w:space="0" w:color="auto"/>
              </w:divBdr>
            </w:div>
            <w:div w:id="1020543753">
              <w:marLeft w:val="0"/>
              <w:marRight w:val="0"/>
              <w:marTop w:val="0"/>
              <w:marBottom w:val="0"/>
              <w:divBdr>
                <w:top w:val="none" w:sz="0" w:space="0" w:color="auto"/>
                <w:left w:val="none" w:sz="0" w:space="0" w:color="auto"/>
                <w:bottom w:val="none" w:sz="0" w:space="0" w:color="auto"/>
                <w:right w:val="none" w:sz="0" w:space="0" w:color="auto"/>
              </w:divBdr>
            </w:div>
          </w:divsChild>
        </w:div>
        <w:div w:id="328680693">
          <w:marLeft w:val="0"/>
          <w:marRight w:val="0"/>
          <w:marTop w:val="0"/>
          <w:marBottom w:val="0"/>
          <w:divBdr>
            <w:top w:val="none" w:sz="0" w:space="0" w:color="auto"/>
            <w:left w:val="none" w:sz="0" w:space="0" w:color="auto"/>
            <w:bottom w:val="none" w:sz="0" w:space="0" w:color="auto"/>
            <w:right w:val="none" w:sz="0" w:space="0" w:color="auto"/>
          </w:divBdr>
          <w:divsChild>
            <w:div w:id="482938434">
              <w:marLeft w:val="0"/>
              <w:marRight w:val="0"/>
              <w:marTop w:val="0"/>
              <w:marBottom w:val="0"/>
              <w:divBdr>
                <w:top w:val="none" w:sz="0" w:space="0" w:color="auto"/>
                <w:left w:val="none" w:sz="0" w:space="0" w:color="auto"/>
                <w:bottom w:val="none" w:sz="0" w:space="0" w:color="auto"/>
                <w:right w:val="none" w:sz="0" w:space="0" w:color="auto"/>
              </w:divBdr>
            </w:div>
            <w:div w:id="10637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3887">
      <w:bodyDiv w:val="1"/>
      <w:marLeft w:val="0"/>
      <w:marRight w:val="0"/>
      <w:marTop w:val="0"/>
      <w:marBottom w:val="0"/>
      <w:divBdr>
        <w:top w:val="none" w:sz="0" w:space="0" w:color="auto"/>
        <w:left w:val="none" w:sz="0" w:space="0" w:color="auto"/>
        <w:bottom w:val="none" w:sz="0" w:space="0" w:color="auto"/>
        <w:right w:val="none" w:sz="0" w:space="0" w:color="auto"/>
      </w:divBdr>
      <w:divsChild>
        <w:div w:id="57095168">
          <w:marLeft w:val="0"/>
          <w:marRight w:val="0"/>
          <w:marTop w:val="0"/>
          <w:marBottom w:val="0"/>
          <w:divBdr>
            <w:top w:val="none" w:sz="0" w:space="0" w:color="auto"/>
            <w:left w:val="none" w:sz="0" w:space="0" w:color="auto"/>
            <w:bottom w:val="none" w:sz="0" w:space="0" w:color="auto"/>
            <w:right w:val="none" w:sz="0" w:space="0" w:color="auto"/>
          </w:divBdr>
          <w:divsChild>
            <w:div w:id="338896136">
              <w:marLeft w:val="0"/>
              <w:marRight w:val="0"/>
              <w:marTop w:val="0"/>
              <w:marBottom w:val="0"/>
              <w:divBdr>
                <w:top w:val="none" w:sz="0" w:space="0" w:color="auto"/>
                <w:left w:val="none" w:sz="0" w:space="0" w:color="auto"/>
                <w:bottom w:val="none" w:sz="0" w:space="0" w:color="auto"/>
                <w:right w:val="none" w:sz="0" w:space="0" w:color="auto"/>
              </w:divBdr>
            </w:div>
            <w:div w:id="424882771">
              <w:marLeft w:val="0"/>
              <w:marRight w:val="0"/>
              <w:marTop w:val="0"/>
              <w:marBottom w:val="0"/>
              <w:divBdr>
                <w:top w:val="none" w:sz="0" w:space="0" w:color="auto"/>
                <w:left w:val="none" w:sz="0" w:space="0" w:color="auto"/>
                <w:bottom w:val="none" w:sz="0" w:space="0" w:color="auto"/>
                <w:right w:val="none" w:sz="0" w:space="0" w:color="auto"/>
              </w:divBdr>
            </w:div>
            <w:div w:id="616255229">
              <w:marLeft w:val="0"/>
              <w:marRight w:val="0"/>
              <w:marTop w:val="0"/>
              <w:marBottom w:val="0"/>
              <w:divBdr>
                <w:top w:val="none" w:sz="0" w:space="0" w:color="auto"/>
                <w:left w:val="none" w:sz="0" w:space="0" w:color="auto"/>
                <w:bottom w:val="none" w:sz="0" w:space="0" w:color="auto"/>
                <w:right w:val="none" w:sz="0" w:space="0" w:color="auto"/>
              </w:divBdr>
            </w:div>
            <w:div w:id="667486673">
              <w:marLeft w:val="0"/>
              <w:marRight w:val="0"/>
              <w:marTop w:val="0"/>
              <w:marBottom w:val="0"/>
              <w:divBdr>
                <w:top w:val="none" w:sz="0" w:space="0" w:color="auto"/>
                <w:left w:val="none" w:sz="0" w:space="0" w:color="auto"/>
                <w:bottom w:val="none" w:sz="0" w:space="0" w:color="auto"/>
                <w:right w:val="none" w:sz="0" w:space="0" w:color="auto"/>
              </w:divBdr>
            </w:div>
            <w:div w:id="714159363">
              <w:marLeft w:val="0"/>
              <w:marRight w:val="0"/>
              <w:marTop w:val="0"/>
              <w:marBottom w:val="0"/>
              <w:divBdr>
                <w:top w:val="none" w:sz="0" w:space="0" w:color="auto"/>
                <w:left w:val="none" w:sz="0" w:space="0" w:color="auto"/>
                <w:bottom w:val="none" w:sz="0" w:space="0" w:color="auto"/>
                <w:right w:val="none" w:sz="0" w:space="0" w:color="auto"/>
              </w:divBdr>
            </w:div>
            <w:div w:id="753287076">
              <w:marLeft w:val="0"/>
              <w:marRight w:val="0"/>
              <w:marTop w:val="0"/>
              <w:marBottom w:val="0"/>
              <w:divBdr>
                <w:top w:val="none" w:sz="0" w:space="0" w:color="auto"/>
                <w:left w:val="none" w:sz="0" w:space="0" w:color="auto"/>
                <w:bottom w:val="none" w:sz="0" w:space="0" w:color="auto"/>
                <w:right w:val="none" w:sz="0" w:space="0" w:color="auto"/>
              </w:divBdr>
            </w:div>
            <w:div w:id="1089931897">
              <w:marLeft w:val="0"/>
              <w:marRight w:val="0"/>
              <w:marTop w:val="0"/>
              <w:marBottom w:val="0"/>
              <w:divBdr>
                <w:top w:val="none" w:sz="0" w:space="0" w:color="auto"/>
                <w:left w:val="none" w:sz="0" w:space="0" w:color="auto"/>
                <w:bottom w:val="none" w:sz="0" w:space="0" w:color="auto"/>
                <w:right w:val="none" w:sz="0" w:space="0" w:color="auto"/>
              </w:divBdr>
            </w:div>
            <w:div w:id="1109282315">
              <w:marLeft w:val="0"/>
              <w:marRight w:val="0"/>
              <w:marTop w:val="0"/>
              <w:marBottom w:val="0"/>
              <w:divBdr>
                <w:top w:val="none" w:sz="0" w:space="0" w:color="auto"/>
                <w:left w:val="none" w:sz="0" w:space="0" w:color="auto"/>
                <w:bottom w:val="none" w:sz="0" w:space="0" w:color="auto"/>
                <w:right w:val="none" w:sz="0" w:space="0" w:color="auto"/>
              </w:divBdr>
            </w:div>
            <w:div w:id="1121729667">
              <w:marLeft w:val="0"/>
              <w:marRight w:val="0"/>
              <w:marTop w:val="0"/>
              <w:marBottom w:val="0"/>
              <w:divBdr>
                <w:top w:val="none" w:sz="0" w:space="0" w:color="auto"/>
                <w:left w:val="none" w:sz="0" w:space="0" w:color="auto"/>
                <w:bottom w:val="none" w:sz="0" w:space="0" w:color="auto"/>
                <w:right w:val="none" w:sz="0" w:space="0" w:color="auto"/>
              </w:divBdr>
            </w:div>
            <w:div w:id="1151017105">
              <w:marLeft w:val="0"/>
              <w:marRight w:val="0"/>
              <w:marTop w:val="0"/>
              <w:marBottom w:val="0"/>
              <w:divBdr>
                <w:top w:val="none" w:sz="0" w:space="0" w:color="auto"/>
                <w:left w:val="none" w:sz="0" w:space="0" w:color="auto"/>
                <w:bottom w:val="none" w:sz="0" w:space="0" w:color="auto"/>
                <w:right w:val="none" w:sz="0" w:space="0" w:color="auto"/>
              </w:divBdr>
            </w:div>
            <w:div w:id="1180966147">
              <w:marLeft w:val="0"/>
              <w:marRight w:val="0"/>
              <w:marTop w:val="0"/>
              <w:marBottom w:val="0"/>
              <w:divBdr>
                <w:top w:val="none" w:sz="0" w:space="0" w:color="auto"/>
                <w:left w:val="none" w:sz="0" w:space="0" w:color="auto"/>
                <w:bottom w:val="none" w:sz="0" w:space="0" w:color="auto"/>
                <w:right w:val="none" w:sz="0" w:space="0" w:color="auto"/>
              </w:divBdr>
            </w:div>
            <w:div w:id="1222979763">
              <w:marLeft w:val="0"/>
              <w:marRight w:val="0"/>
              <w:marTop w:val="0"/>
              <w:marBottom w:val="0"/>
              <w:divBdr>
                <w:top w:val="none" w:sz="0" w:space="0" w:color="auto"/>
                <w:left w:val="none" w:sz="0" w:space="0" w:color="auto"/>
                <w:bottom w:val="none" w:sz="0" w:space="0" w:color="auto"/>
                <w:right w:val="none" w:sz="0" w:space="0" w:color="auto"/>
              </w:divBdr>
            </w:div>
            <w:div w:id="1249778354">
              <w:marLeft w:val="0"/>
              <w:marRight w:val="0"/>
              <w:marTop w:val="0"/>
              <w:marBottom w:val="0"/>
              <w:divBdr>
                <w:top w:val="none" w:sz="0" w:space="0" w:color="auto"/>
                <w:left w:val="none" w:sz="0" w:space="0" w:color="auto"/>
                <w:bottom w:val="none" w:sz="0" w:space="0" w:color="auto"/>
                <w:right w:val="none" w:sz="0" w:space="0" w:color="auto"/>
              </w:divBdr>
            </w:div>
            <w:div w:id="1523397216">
              <w:marLeft w:val="0"/>
              <w:marRight w:val="0"/>
              <w:marTop w:val="0"/>
              <w:marBottom w:val="0"/>
              <w:divBdr>
                <w:top w:val="none" w:sz="0" w:space="0" w:color="auto"/>
                <w:left w:val="none" w:sz="0" w:space="0" w:color="auto"/>
                <w:bottom w:val="none" w:sz="0" w:space="0" w:color="auto"/>
                <w:right w:val="none" w:sz="0" w:space="0" w:color="auto"/>
              </w:divBdr>
            </w:div>
            <w:div w:id="1536194694">
              <w:marLeft w:val="0"/>
              <w:marRight w:val="0"/>
              <w:marTop w:val="0"/>
              <w:marBottom w:val="0"/>
              <w:divBdr>
                <w:top w:val="none" w:sz="0" w:space="0" w:color="auto"/>
                <w:left w:val="none" w:sz="0" w:space="0" w:color="auto"/>
                <w:bottom w:val="none" w:sz="0" w:space="0" w:color="auto"/>
                <w:right w:val="none" w:sz="0" w:space="0" w:color="auto"/>
              </w:divBdr>
            </w:div>
            <w:div w:id="1590430865">
              <w:marLeft w:val="0"/>
              <w:marRight w:val="0"/>
              <w:marTop w:val="0"/>
              <w:marBottom w:val="0"/>
              <w:divBdr>
                <w:top w:val="none" w:sz="0" w:space="0" w:color="auto"/>
                <w:left w:val="none" w:sz="0" w:space="0" w:color="auto"/>
                <w:bottom w:val="none" w:sz="0" w:space="0" w:color="auto"/>
                <w:right w:val="none" w:sz="0" w:space="0" w:color="auto"/>
              </w:divBdr>
            </w:div>
            <w:div w:id="1675261387">
              <w:marLeft w:val="0"/>
              <w:marRight w:val="0"/>
              <w:marTop w:val="0"/>
              <w:marBottom w:val="0"/>
              <w:divBdr>
                <w:top w:val="none" w:sz="0" w:space="0" w:color="auto"/>
                <w:left w:val="none" w:sz="0" w:space="0" w:color="auto"/>
                <w:bottom w:val="none" w:sz="0" w:space="0" w:color="auto"/>
                <w:right w:val="none" w:sz="0" w:space="0" w:color="auto"/>
              </w:divBdr>
            </w:div>
            <w:div w:id="1934509254">
              <w:marLeft w:val="0"/>
              <w:marRight w:val="0"/>
              <w:marTop w:val="0"/>
              <w:marBottom w:val="0"/>
              <w:divBdr>
                <w:top w:val="none" w:sz="0" w:space="0" w:color="auto"/>
                <w:left w:val="none" w:sz="0" w:space="0" w:color="auto"/>
                <w:bottom w:val="none" w:sz="0" w:space="0" w:color="auto"/>
                <w:right w:val="none" w:sz="0" w:space="0" w:color="auto"/>
              </w:divBdr>
            </w:div>
            <w:div w:id="1983847259">
              <w:marLeft w:val="0"/>
              <w:marRight w:val="0"/>
              <w:marTop w:val="0"/>
              <w:marBottom w:val="0"/>
              <w:divBdr>
                <w:top w:val="none" w:sz="0" w:space="0" w:color="auto"/>
                <w:left w:val="none" w:sz="0" w:space="0" w:color="auto"/>
                <w:bottom w:val="none" w:sz="0" w:space="0" w:color="auto"/>
                <w:right w:val="none" w:sz="0" w:space="0" w:color="auto"/>
              </w:divBdr>
            </w:div>
            <w:div w:id="2028746111">
              <w:marLeft w:val="0"/>
              <w:marRight w:val="0"/>
              <w:marTop w:val="0"/>
              <w:marBottom w:val="0"/>
              <w:divBdr>
                <w:top w:val="none" w:sz="0" w:space="0" w:color="auto"/>
                <w:left w:val="none" w:sz="0" w:space="0" w:color="auto"/>
                <w:bottom w:val="none" w:sz="0" w:space="0" w:color="auto"/>
                <w:right w:val="none" w:sz="0" w:space="0" w:color="auto"/>
              </w:divBdr>
            </w:div>
          </w:divsChild>
        </w:div>
        <w:div w:id="108353453">
          <w:marLeft w:val="0"/>
          <w:marRight w:val="0"/>
          <w:marTop w:val="0"/>
          <w:marBottom w:val="0"/>
          <w:divBdr>
            <w:top w:val="none" w:sz="0" w:space="0" w:color="auto"/>
            <w:left w:val="none" w:sz="0" w:space="0" w:color="auto"/>
            <w:bottom w:val="none" w:sz="0" w:space="0" w:color="auto"/>
            <w:right w:val="none" w:sz="0" w:space="0" w:color="auto"/>
          </w:divBdr>
        </w:div>
        <w:div w:id="301354190">
          <w:marLeft w:val="0"/>
          <w:marRight w:val="0"/>
          <w:marTop w:val="0"/>
          <w:marBottom w:val="0"/>
          <w:divBdr>
            <w:top w:val="none" w:sz="0" w:space="0" w:color="auto"/>
            <w:left w:val="none" w:sz="0" w:space="0" w:color="auto"/>
            <w:bottom w:val="none" w:sz="0" w:space="0" w:color="auto"/>
            <w:right w:val="none" w:sz="0" w:space="0" w:color="auto"/>
          </w:divBdr>
          <w:divsChild>
            <w:div w:id="77093882">
              <w:marLeft w:val="0"/>
              <w:marRight w:val="0"/>
              <w:marTop w:val="0"/>
              <w:marBottom w:val="0"/>
              <w:divBdr>
                <w:top w:val="none" w:sz="0" w:space="0" w:color="auto"/>
                <w:left w:val="none" w:sz="0" w:space="0" w:color="auto"/>
                <w:bottom w:val="none" w:sz="0" w:space="0" w:color="auto"/>
                <w:right w:val="none" w:sz="0" w:space="0" w:color="auto"/>
              </w:divBdr>
            </w:div>
            <w:div w:id="119803900">
              <w:marLeft w:val="0"/>
              <w:marRight w:val="0"/>
              <w:marTop w:val="0"/>
              <w:marBottom w:val="0"/>
              <w:divBdr>
                <w:top w:val="none" w:sz="0" w:space="0" w:color="auto"/>
                <w:left w:val="none" w:sz="0" w:space="0" w:color="auto"/>
                <w:bottom w:val="none" w:sz="0" w:space="0" w:color="auto"/>
                <w:right w:val="none" w:sz="0" w:space="0" w:color="auto"/>
              </w:divBdr>
            </w:div>
            <w:div w:id="294339303">
              <w:marLeft w:val="0"/>
              <w:marRight w:val="0"/>
              <w:marTop w:val="0"/>
              <w:marBottom w:val="0"/>
              <w:divBdr>
                <w:top w:val="none" w:sz="0" w:space="0" w:color="auto"/>
                <w:left w:val="none" w:sz="0" w:space="0" w:color="auto"/>
                <w:bottom w:val="none" w:sz="0" w:space="0" w:color="auto"/>
                <w:right w:val="none" w:sz="0" w:space="0" w:color="auto"/>
              </w:divBdr>
            </w:div>
            <w:div w:id="305545923">
              <w:marLeft w:val="0"/>
              <w:marRight w:val="0"/>
              <w:marTop w:val="0"/>
              <w:marBottom w:val="0"/>
              <w:divBdr>
                <w:top w:val="none" w:sz="0" w:space="0" w:color="auto"/>
                <w:left w:val="none" w:sz="0" w:space="0" w:color="auto"/>
                <w:bottom w:val="none" w:sz="0" w:space="0" w:color="auto"/>
                <w:right w:val="none" w:sz="0" w:space="0" w:color="auto"/>
              </w:divBdr>
            </w:div>
            <w:div w:id="545331705">
              <w:marLeft w:val="0"/>
              <w:marRight w:val="0"/>
              <w:marTop w:val="0"/>
              <w:marBottom w:val="0"/>
              <w:divBdr>
                <w:top w:val="none" w:sz="0" w:space="0" w:color="auto"/>
                <w:left w:val="none" w:sz="0" w:space="0" w:color="auto"/>
                <w:bottom w:val="none" w:sz="0" w:space="0" w:color="auto"/>
                <w:right w:val="none" w:sz="0" w:space="0" w:color="auto"/>
              </w:divBdr>
            </w:div>
            <w:div w:id="685519683">
              <w:marLeft w:val="0"/>
              <w:marRight w:val="0"/>
              <w:marTop w:val="0"/>
              <w:marBottom w:val="0"/>
              <w:divBdr>
                <w:top w:val="none" w:sz="0" w:space="0" w:color="auto"/>
                <w:left w:val="none" w:sz="0" w:space="0" w:color="auto"/>
                <w:bottom w:val="none" w:sz="0" w:space="0" w:color="auto"/>
                <w:right w:val="none" w:sz="0" w:space="0" w:color="auto"/>
              </w:divBdr>
            </w:div>
            <w:div w:id="696003841">
              <w:marLeft w:val="0"/>
              <w:marRight w:val="0"/>
              <w:marTop w:val="0"/>
              <w:marBottom w:val="0"/>
              <w:divBdr>
                <w:top w:val="none" w:sz="0" w:space="0" w:color="auto"/>
                <w:left w:val="none" w:sz="0" w:space="0" w:color="auto"/>
                <w:bottom w:val="none" w:sz="0" w:space="0" w:color="auto"/>
                <w:right w:val="none" w:sz="0" w:space="0" w:color="auto"/>
              </w:divBdr>
            </w:div>
            <w:div w:id="903028938">
              <w:marLeft w:val="0"/>
              <w:marRight w:val="0"/>
              <w:marTop w:val="0"/>
              <w:marBottom w:val="0"/>
              <w:divBdr>
                <w:top w:val="none" w:sz="0" w:space="0" w:color="auto"/>
                <w:left w:val="none" w:sz="0" w:space="0" w:color="auto"/>
                <w:bottom w:val="none" w:sz="0" w:space="0" w:color="auto"/>
                <w:right w:val="none" w:sz="0" w:space="0" w:color="auto"/>
              </w:divBdr>
            </w:div>
            <w:div w:id="1040980360">
              <w:marLeft w:val="0"/>
              <w:marRight w:val="0"/>
              <w:marTop w:val="0"/>
              <w:marBottom w:val="0"/>
              <w:divBdr>
                <w:top w:val="none" w:sz="0" w:space="0" w:color="auto"/>
                <w:left w:val="none" w:sz="0" w:space="0" w:color="auto"/>
                <w:bottom w:val="none" w:sz="0" w:space="0" w:color="auto"/>
                <w:right w:val="none" w:sz="0" w:space="0" w:color="auto"/>
              </w:divBdr>
            </w:div>
            <w:div w:id="1085302149">
              <w:marLeft w:val="0"/>
              <w:marRight w:val="0"/>
              <w:marTop w:val="0"/>
              <w:marBottom w:val="0"/>
              <w:divBdr>
                <w:top w:val="none" w:sz="0" w:space="0" w:color="auto"/>
                <w:left w:val="none" w:sz="0" w:space="0" w:color="auto"/>
                <w:bottom w:val="none" w:sz="0" w:space="0" w:color="auto"/>
                <w:right w:val="none" w:sz="0" w:space="0" w:color="auto"/>
              </w:divBdr>
            </w:div>
            <w:div w:id="1131703581">
              <w:marLeft w:val="0"/>
              <w:marRight w:val="0"/>
              <w:marTop w:val="0"/>
              <w:marBottom w:val="0"/>
              <w:divBdr>
                <w:top w:val="none" w:sz="0" w:space="0" w:color="auto"/>
                <w:left w:val="none" w:sz="0" w:space="0" w:color="auto"/>
                <w:bottom w:val="none" w:sz="0" w:space="0" w:color="auto"/>
                <w:right w:val="none" w:sz="0" w:space="0" w:color="auto"/>
              </w:divBdr>
            </w:div>
            <w:div w:id="1327325135">
              <w:marLeft w:val="0"/>
              <w:marRight w:val="0"/>
              <w:marTop w:val="0"/>
              <w:marBottom w:val="0"/>
              <w:divBdr>
                <w:top w:val="none" w:sz="0" w:space="0" w:color="auto"/>
                <w:left w:val="none" w:sz="0" w:space="0" w:color="auto"/>
                <w:bottom w:val="none" w:sz="0" w:space="0" w:color="auto"/>
                <w:right w:val="none" w:sz="0" w:space="0" w:color="auto"/>
              </w:divBdr>
            </w:div>
            <w:div w:id="1384449752">
              <w:marLeft w:val="0"/>
              <w:marRight w:val="0"/>
              <w:marTop w:val="0"/>
              <w:marBottom w:val="0"/>
              <w:divBdr>
                <w:top w:val="none" w:sz="0" w:space="0" w:color="auto"/>
                <w:left w:val="none" w:sz="0" w:space="0" w:color="auto"/>
                <w:bottom w:val="none" w:sz="0" w:space="0" w:color="auto"/>
                <w:right w:val="none" w:sz="0" w:space="0" w:color="auto"/>
              </w:divBdr>
            </w:div>
            <w:div w:id="1473719697">
              <w:marLeft w:val="0"/>
              <w:marRight w:val="0"/>
              <w:marTop w:val="0"/>
              <w:marBottom w:val="0"/>
              <w:divBdr>
                <w:top w:val="none" w:sz="0" w:space="0" w:color="auto"/>
                <w:left w:val="none" w:sz="0" w:space="0" w:color="auto"/>
                <w:bottom w:val="none" w:sz="0" w:space="0" w:color="auto"/>
                <w:right w:val="none" w:sz="0" w:space="0" w:color="auto"/>
              </w:divBdr>
            </w:div>
            <w:div w:id="1566064233">
              <w:marLeft w:val="0"/>
              <w:marRight w:val="0"/>
              <w:marTop w:val="0"/>
              <w:marBottom w:val="0"/>
              <w:divBdr>
                <w:top w:val="none" w:sz="0" w:space="0" w:color="auto"/>
                <w:left w:val="none" w:sz="0" w:space="0" w:color="auto"/>
                <w:bottom w:val="none" w:sz="0" w:space="0" w:color="auto"/>
                <w:right w:val="none" w:sz="0" w:space="0" w:color="auto"/>
              </w:divBdr>
            </w:div>
            <w:div w:id="1706560556">
              <w:marLeft w:val="0"/>
              <w:marRight w:val="0"/>
              <w:marTop w:val="0"/>
              <w:marBottom w:val="0"/>
              <w:divBdr>
                <w:top w:val="none" w:sz="0" w:space="0" w:color="auto"/>
                <w:left w:val="none" w:sz="0" w:space="0" w:color="auto"/>
                <w:bottom w:val="none" w:sz="0" w:space="0" w:color="auto"/>
                <w:right w:val="none" w:sz="0" w:space="0" w:color="auto"/>
              </w:divBdr>
            </w:div>
            <w:div w:id="1884126496">
              <w:marLeft w:val="0"/>
              <w:marRight w:val="0"/>
              <w:marTop w:val="0"/>
              <w:marBottom w:val="0"/>
              <w:divBdr>
                <w:top w:val="none" w:sz="0" w:space="0" w:color="auto"/>
                <w:left w:val="none" w:sz="0" w:space="0" w:color="auto"/>
                <w:bottom w:val="none" w:sz="0" w:space="0" w:color="auto"/>
                <w:right w:val="none" w:sz="0" w:space="0" w:color="auto"/>
              </w:divBdr>
            </w:div>
            <w:div w:id="2027321537">
              <w:marLeft w:val="0"/>
              <w:marRight w:val="0"/>
              <w:marTop w:val="0"/>
              <w:marBottom w:val="0"/>
              <w:divBdr>
                <w:top w:val="none" w:sz="0" w:space="0" w:color="auto"/>
                <w:left w:val="none" w:sz="0" w:space="0" w:color="auto"/>
                <w:bottom w:val="none" w:sz="0" w:space="0" w:color="auto"/>
                <w:right w:val="none" w:sz="0" w:space="0" w:color="auto"/>
              </w:divBdr>
            </w:div>
            <w:div w:id="2033798872">
              <w:marLeft w:val="0"/>
              <w:marRight w:val="0"/>
              <w:marTop w:val="0"/>
              <w:marBottom w:val="0"/>
              <w:divBdr>
                <w:top w:val="none" w:sz="0" w:space="0" w:color="auto"/>
                <w:left w:val="none" w:sz="0" w:space="0" w:color="auto"/>
                <w:bottom w:val="none" w:sz="0" w:space="0" w:color="auto"/>
                <w:right w:val="none" w:sz="0" w:space="0" w:color="auto"/>
              </w:divBdr>
            </w:div>
            <w:div w:id="2063747447">
              <w:marLeft w:val="0"/>
              <w:marRight w:val="0"/>
              <w:marTop w:val="0"/>
              <w:marBottom w:val="0"/>
              <w:divBdr>
                <w:top w:val="none" w:sz="0" w:space="0" w:color="auto"/>
                <w:left w:val="none" w:sz="0" w:space="0" w:color="auto"/>
                <w:bottom w:val="none" w:sz="0" w:space="0" w:color="auto"/>
                <w:right w:val="none" w:sz="0" w:space="0" w:color="auto"/>
              </w:divBdr>
            </w:div>
          </w:divsChild>
        </w:div>
        <w:div w:id="320696883">
          <w:marLeft w:val="0"/>
          <w:marRight w:val="0"/>
          <w:marTop w:val="0"/>
          <w:marBottom w:val="0"/>
          <w:divBdr>
            <w:top w:val="none" w:sz="0" w:space="0" w:color="auto"/>
            <w:left w:val="none" w:sz="0" w:space="0" w:color="auto"/>
            <w:bottom w:val="none" w:sz="0" w:space="0" w:color="auto"/>
            <w:right w:val="none" w:sz="0" w:space="0" w:color="auto"/>
          </w:divBdr>
          <w:divsChild>
            <w:div w:id="7024409">
              <w:marLeft w:val="0"/>
              <w:marRight w:val="0"/>
              <w:marTop w:val="0"/>
              <w:marBottom w:val="0"/>
              <w:divBdr>
                <w:top w:val="none" w:sz="0" w:space="0" w:color="auto"/>
                <w:left w:val="none" w:sz="0" w:space="0" w:color="auto"/>
                <w:bottom w:val="none" w:sz="0" w:space="0" w:color="auto"/>
                <w:right w:val="none" w:sz="0" w:space="0" w:color="auto"/>
              </w:divBdr>
            </w:div>
            <w:div w:id="15887329">
              <w:marLeft w:val="0"/>
              <w:marRight w:val="0"/>
              <w:marTop w:val="0"/>
              <w:marBottom w:val="0"/>
              <w:divBdr>
                <w:top w:val="none" w:sz="0" w:space="0" w:color="auto"/>
                <w:left w:val="none" w:sz="0" w:space="0" w:color="auto"/>
                <w:bottom w:val="none" w:sz="0" w:space="0" w:color="auto"/>
                <w:right w:val="none" w:sz="0" w:space="0" w:color="auto"/>
              </w:divBdr>
            </w:div>
            <w:div w:id="76364783">
              <w:marLeft w:val="0"/>
              <w:marRight w:val="0"/>
              <w:marTop w:val="0"/>
              <w:marBottom w:val="0"/>
              <w:divBdr>
                <w:top w:val="none" w:sz="0" w:space="0" w:color="auto"/>
                <w:left w:val="none" w:sz="0" w:space="0" w:color="auto"/>
                <w:bottom w:val="none" w:sz="0" w:space="0" w:color="auto"/>
                <w:right w:val="none" w:sz="0" w:space="0" w:color="auto"/>
              </w:divBdr>
            </w:div>
            <w:div w:id="89667254">
              <w:marLeft w:val="0"/>
              <w:marRight w:val="0"/>
              <w:marTop w:val="0"/>
              <w:marBottom w:val="0"/>
              <w:divBdr>
                <w:top w:val="none" w:sz="0" w:space="0" w:color="auto"/>
                <w:left w:val="none" w:sz="0" w:space="0" w:color="auto"/>
                <w:bottom w:val="none" w:sz="0" w:space="0" w:color="auto"/>
                <w:right w:val="none" w:sz="0" w:space="0" w:color="auto"/>
              </w:divBdr>
            </w:div>
            <w:div w:id="332882283">
              <w:marLeft w:val="0"/>
              <w:marRight w:val="0"/>
              <w:marTop w:val="0"/>
              <w:marBottom w:val="0"/>
              <w:divBdr>
                <w:top w:val="none" w:sz="0" w:space="0" w:color="auto"/>
                <w:left w:val="none" w:sz="0" w:space="0" w:color="auto"/>
                <w:bottom w:val="none" w:sz="0" w:space="0" w:color="auto"/>
                <w:right w:val="none" w:sz="0" w:space="0" w:color="auto"/>
              </w:divBdr>
            </w:div>
            <w:div w:id="513033258">
              <w:marLeft w:val="0"/>
              <w:marRight w:val="0"/>
              <w:marTop w:val="0"/>
              <w:marBottom w:val="0"/>
              <w:divBdr>
                <w:top w:val="none" w:sz="0" w:space="0" w:color="auto"/>
                <w:left w:val="none" w:sz="0" w:space="0" w:color="auto"/>
                <w:bottom w:val="none" w:sz="0" w:space="0" w:color="auto"/>
                <w:right w:val="none" w:sz="0" w:space="0" w:color="auto"/>
              </w:divBdr>
            </w:div>
            <w:div w:id="620842232">
              <w:marLeft w:val="0"/>
              <w:marRight w:val="0"/>
              <w:marTop w:val="0"/>
              <w:marBottom w:val="0"/>
              <w:divBdr>
                <w:top w:val="none" w:sz="0" w:space="0" w:color="auto"/>
                <w:left w:val="none" w:sz="0" w:space="0" w:color="auto"/>
                <w:bottom w:val="none" w:sz="0" w:space="0" w:color="auto"/>
                <w:right w:val="none" w:sz="0" w:space="0" w:color="auto"/>
              </w:divBdr>
            </w:div>
            <w:div w:id="652370781">
              <w:marLeft w:val="0"/>
              <w:marRight w:val="0"/>
              <w:marTop w:val="0"/>
              <w:marBottom w:val="0"/>
              <w:divBdr>
                <w:top w:val="none" w:sz="0" w:space="0" w:color="auto"/>
                <w:left w:val="none" w:sz="0" w:space="0" w:color="auto"/>
                <w:bottom w:val="none" w:sz="0" w:space="0" w:color="auto"/>
                <w:right w:val="none" w:sz="0" w:space="0" w:color="auto"/>
              </w:divBdr>
            </w:div>
            <w:div w:id="795684102">
              <w:marLeft w:val="0"/>
              <w:marRight w:val="0"/>
              <w:marTop w:val="0"/>
              <w:marBottom w:val="0"/>
              <w:divBdr>
                <w:top w:val="none" w:sz="0" w:space="0" w:color="auto"/>
                <w:left w:val="none" w:sz="0" w:space="0" w:color="auto"/>
                <w:bottom w:val="none" w:sz="0" w:space="0" w:color="auto"/>
                <w:right w:val="none" w:sz="0" w:space="0" w:color="auto"/>
              </w:divBdr>
            </w:div>
            <w:div w:id="838080534">
              <w:marLeft w:val="0"/>
              <w:marRight w:val="0"/>
              <w:marTop w:val="0"/>
              <w:marBottom w:val="0"/>
              <w:divBdr>
                <w:top w:val="none" w:sz="0" w:space="0" w:color="auto"/>
                <w:left w:val="none" w:sz="0" w:space="0" w:color="auto"/>
                <w:bottom w:val="none" w:sz="0" w:space="0" w:color="auto"/>
                <w:right w:val="none" w:sz="0" w:space="0" w:color="auto"/>
              </w:divBdr>
            </w:div>
            <w:div w:id="1213887836">
              <w:marLeft w:val="0"/>
              <w:marRight w:val="0"/>
              <w:marTop w:val="0"/>
              <w:marBottom w:val="0"/>
              <w:divBdr>
                <w:top w:val="none" w:sz="0" w:space="0" w:color="auto"/>
                <w:left w:val="none" w:sz="0" w:space="0" w:color="auto"/>
                <w:bottom w:val="none" w:sz="0" w:space="0" w:color="auto"/>
                <w:right w:val="none" w:sz="0" w:space="0" w:color="auto"/>
              </w:divBdr>
            </w:div>
            <w:div w:id="1247767006">
              <w:marLeft w:val="0"/>
              <w:marRight w:val="0"/>
              <w:marTop w:val="0"/>
              <w:marBottom w:val="0"/>
              <w:divBdr>
                <w:top w:val="none" w:sz="0" w:space="0" w:color="auto"/>
                <w:left w:val="none" w:sz="0" w:space="0" w:color="auto"/>
                <w:bottom w:val="none" w:sz="0" w:space="0" w:color="auto"/>
                <w:right w:val="none" w:sz="0" w:space="0" w:color="auto"/>
              </w:divBdr>
            </w:div>
            <w:div w:id="1272204784">
              <w:marLeft w:val="0"/>
              <w:marRight w:val="0"/>
              <w:marTop w:val="0"/>
              <w:marBottom w:val="0"/>
              <w:divBdr>
                <w:top w:val="none" w:sz="0" w:space="0" w:color="auto"/>
                <w:left w:val="none" w:sz="0" w:space="0" w:color="auto"/>
                <w:bottom w:val="none" w:sz="0" w:space="0" w:color="auto"/>
                <w:right w:val="none" w:sz="0" w:space="0" w:color="auto"/>
              </w:divBdr>
            </w:div>
            <w:div w:id="1560899931">
              <w:marLeft w:val="0"/>
              <w:marRight w:val="0"/>
              <w:marTop w:val="0"/>
              <w:marBottom w:val="0"/>
              <w:divBdr>
                <w:top w:val="none" w:sz="0" w:space="0" w:color="auto"/>
                <w:left w:val="none" w:sz="0" w:space="0" w:color="auto"/>
                <w:bottom w:val="none" w:sz="0" w:space="0" w:color="auto"/>
                <w:right w:val="none" w:sz="0" w:space="0" w:color="auto"/>
              </w:divBdr>
            </w:div>
            <w:div w:id="1609392145">
              <w:marLeft w:val="0"/>
              <w:marRight w:val="0"/>
              <w:marTop w:val="0"/>
              <w:marBottom w:val="0"/>
              <w:divBdr>
                <w:top w:val="none" w:sz="0" w:space="0" w:color="auto"/>
                <w:left w:val="none" w:sz="0" w:space="0" w:color="auto"/>
                <w:bottom w:val="none" w:sz="0" w:space="0" w:color="auto"/>
                <w:right w:val="none" w:sz="0" w:space="0" w:color="auto"/>
              </w:divBdr>
            </w:div>
            <w:div w:id="1712652762">
              <w:marLeft w:val="0"/>
              <w:marRight w:val="0"/>
              <w:marTop w:val="0"/>
              <w:marBottom w:val="0"/>
              <w:divBdr>
                <w:top w:val="none" w:sz="0" w:space="0" w:color="auto"/>
                <w:left w:val="none" w:sz="0" w:space="0" w:color="auto"/>
                <w:bottom w:val="none" w:sz="0" w:space="0" w:color="auto"/>
                <w:right w:val="none" w:sz="0" w:space="0" w:color="auto"/>
              </w:divBdr>
            </w:div>
            <w:div w:id="1795639042">
              <w:marLeft w:val="0"/>
              <w:marRight w:val="0"/>
              <w:marTop w:val="0"/>
              <w:marBottom w:val="0"/>
              <w:divBdr>
                <w:top w:val="none" w:sz="0" w:space="0" w:color="auto"/>
                <w:left w:val="none" w:sz="0" w:space="0" w:color="auto"/>
                <w:bottom w:val="none" w:sz="0" w:space="0" w:color="auto"/>
                <w:right w:val="none" w:sz="0" w:space="0" w:color="auto"/>
              </w:divBdr>
            </w:div>
            <w:div w:id="1936011321">
              <w:marLeft w:val="0"/>
              <w:marRight w:val="0"/>
              <w:marTop w:val="0"/>
              <w:marBottom w:val="0"/>
              <w:divBdr>
                <w:top w:val="none" w:sz="0" w:space="0" w:color="auto"/>
                <w:left w:val="none" w:sz="0" w:space="0" w:color="auto"/>
                <w:bottom w:val="none" w:sz="0" w:space="0" w:color="auto"/>
                <w:right w:val="none" w:sz="0" w:space="0" w:color="auto"/>
              </w:divBdr>
            </w:div>
            <w:div w:id="1951165086">
              <w:marLeft w:val="0"/>
              <w:marRight w:val="0"/>
              <w:marTop w:val="0"/>
              <w:marBottom w:val="0"/>
              <w:divBdr>
                <w:top w:val="none" w:sz="0" w:space="0" w:color="auto"/>
                <w:left w:val="none" w:sz="0" w:space="0" w:color="auto"/>
                <w:bottom w:val="none" w:sz="0" w:space="0" w:color="auto"/>
                <w:right w:val="none" w:sz="0" w:space="0" w:color="auto"/>
              </w:divBdr>
            </w:div>
            <w:div w:id="2124417456">
              <w:marLeft w:val="0"/>
              <w:marRight w:val="0"/>
              <w:marTop w:val="0"/>
              <w:marBottom w:val="0"/>
              <w:divBdr>
                <w:top w:val="none" w:sz="0" w:space="0" w:color="auto"/>
                <w:left w:val="none" w:sz="0" w:space="0" w:color="auto"/>
                <w:bottom w:val="none" w:sz="0" w:space="0" w:color="auto"/>
                <w:right w:val="none" w:sz="0" w:space="0" w:color="auto"/>
              </w:divBdr>
            </w:div>
          </w:divsChild>
        </w:div>
        <w:div w:id="575894429">
          <w:marLeft w:val="0"/>
          <w:marRight w:val="0"/>
          <w:marTop w:val="0"/>
          <w:marBottom w:val="0"/>
          <w:divBdr>
            <w:top w:val="none" w:sz="0" w:space="0" w:color="auto"/>
            <w:left w:val="none" w:sz="0" w:space="0" w:color="auto"/>
            <w:bottom w:val="none" w:sz="0" w:space="0" w:color="auto"/>
            <w:right w:val="none" w:sz="0" w:space="0" w:color="auto"/>
          </w:divBdr>
          <w:divsChild>
            <w:div w:id="645935458">
              <w:marLeft w:val="-75"/>
              <w:marRight w:val="0"/>
              <w:marTop w:val="30"/>
              <w:marBottom w:val="30"/>
              <w:divBdr>
                <w:top w:val="none" w:sz="0" w:space="0" w:color="auto"/>
                <w:left w:val="none" w:sz="0" w:space="0" w:color="auto"/>
                <w:bottom w:val="none" w:sz="0" w:space="0" w:color="auto"/>
                <w:right w:val="none" w:sz="0" w:space="0" w:color="auto"/>
              </w:divBdr>
              <w:divsChild>
                <w:div w:id="50033852">
                  <w:marLeft w:val="0"/>
                  <w:marRight w:val="0"/>
                  <w:marTop w:val="0"/>
                  <w:marBottom w:val="0"/>
                  <w:divBdr>
                    <w:top w:val="none" w:sz="0" w:space="0" w:color="auto"/>
                    <w:left w:val="none" w:sz="0" w:space="0" w:color="auto"/>
                    <w:bottom w:val="none" w:sz="0" w:space="0" w:color="auto"/>
                    <w:right w:val="none" w:sz="0" w:space="0" w:color="auto"/>
                  </w:divBdr>
                  <w:divsChild>
                    <w:div w:id="1226529154">
                      <w:marLeft w:val="0"/>
                      <w:marRight w:val="0"/>
                      <w:marTop w:val="0"/>
                      <w:marBottom w:val="0"/>
                      <w:divBdr>
                        <w:top w:val="none" w:sz="0" w:space="0" w:color="auto"/>
                        <w:left w:val="none" w:sz="0" w:space="0" w:color="auto"/>
                        <w:bottom w:val="none" w:sz="0" w:space="0" w:color="auto"/>
                        <w:right w:val="none" w:sz="0" w:space="0" w:color="auto"/>
                      </w:divBdr>
                    </w:div>
                  </w:divsChild>
                </w:div>
                <w:div w:id="100539178">
                  <w:marLeft w:val="0"/>
                  <w:marRight w:val="0"/>
                  <w:marTop w:val="0"/>
                  <w:marBottom w:val="0"/>
                  <w:divBdr>
                    <w:top w:val="none" w:sz="0" w:space="0" w:color="auto"/>
                    <w:left w:val="none" w:sz="0" w:space="0" w:color="auto"/>
                    <w:bottom w:val="none" w:sz="0" w:space="0" w:color="auto"/>
                    <w:right w:val="none" w:sz="0" w:space="0" w:color="auto"/>
                  </w:divBdr>
                  <w:divsChild>
                    <w:div w:id="1802113295">
                      <w:marLeft w:val="0"/>
                      <w:marRight w:val="0"/>
                      <w:marTop w:val="0"/>
                      <w:marBottom w:val="0"/>
                      <w:divBdr>
                        <w:top w:val="none" w:sz="0" w:space="0" w:color="auto"/>
                        <w:left w:val="none" w:sz="0" w:space="0" w:color="auto"/>
                        <w:bottom w:val="none" w:sz="0" w:space="0" w:color="auto"/>
                        <w:right w:val="none" w:sz="0" w:space="0" w:color="auto"/>
                      </w:divBdr>
                    </w:div>
                  </w:divsChild>
                </w:div>
                <w:div w:id="103424558">
                  <w:marLeft w:val="0"/>
                  <w:marRight w:val="0"/>
                  <w:marTop w:val="0"/>
                  <w:marBottom w:val="0"/>
                  <w:divBdr>
                    <w:top w:val="none" w:sz="0" w:space="0" w:color="auto"/>
                    <w:left w:val="none" w:sz="0" w:space="0" w:color="auto"/>
                    <w:bottom w:val="none" w:sz="0" w:space="0" w:color="auto"/>
                    <w:right w:val="none" w:sz="0" w:space="0" w:color="auto"/>
                  </w:divBdr>
                  <w:divsChild>
                    <w:div w:id="1264189754">
                      <w:marLeft w:val="0"/>
                      <w:marRight w:val="0"/>
                      <w:marTop w:val="0"/>
                      <w:marBottom w:val="0"/>
                      <w:divBdr>
                        <w:top w:val="none" w:sz="0" w:space="0" w:color="auto"/>
                        <w:left w:val="none" w:sz="0" w:space="0" w:color="auto"/>
                        <w:bottom w:val="none" w:sz="0" w:space="0" w:color="auto"/>
                        <w:right w:val="none" w:sz="0" w:space="0" w:color="auto"/>
                      </w:divBdr>
                    </w:div>
                  </w:divsChild>
                </w:div>
                <w:div w:id="155463846">
                  <w:marLeft w:val="0"/>
                  <w:marRight w:val="0"/>
                  <w:marTop w:val="0"/>
                  <w:marBottom w:val="0"/>
                  <w:divBdr>
                    <w:top w:val="none" w:sz="0" w:space="0" w:color="auto"/>
                    <w:left w:val="none" w:sz="0" w:space="0" w:color="auto"/>
                    <w:bottom w:val="none" w:sz="0" w:space="0" w:color="auto"/>
                    <w:right w:val="none" w:sz="0" w:space="0" w:color="auto"/>
                  </w:divBdr>
                  <w:divsChild>
                    <w:div w:id="1994485261">
                      <w:marLeft w:val="0"/>
                      <w:marRight w:val="0"/>
                      <w:marTop w:val="0"/>
                      <w:marBottom w:val="0"/>
                      <w:divBdr>
                        <w:top w:val="none" w:sz="0" w:space="0" w:color="auto"/>
                        <w:left w:val="none" w:sz="0" w:space="0" w:color="auto"/>
                        <w:bottom w:val="none" w:sz="0" w:space="0" w:color="auto"/>
                        <w:right w:val="none" w:sz="0" w:space="0" w:color="auto"/>
                      </w:divBdr>
                    </w:div>
                  </w:divsChild>
                </w:div>
                <w:div w:id="208029875">
                  <w:marLeft w:val="0"/>
                  <w:marRight w:val="0"/>
                  <w:marTop w:val="0"/>
                  <w:marBottom w:val="0"/>
                  <w:divBdr>
                    <w:top w:val="none" w:sz="0" w:space="0" w:color="auto"/>
                    <w:left w:val="none" w:sz="0" w:space="0" w:color="auto"/>
                    <w:bottom w:val="none" w:sz="0" w:space="0" w:color="auto"/>
                    <w:right w:val="none" w:sz="0" w:space="0" w:color="auto"/>
                  </w:divBdr>
                  <w:divsChild>
                    <w:div w:id="476458848">
                      <w:marLeft w:val="0"/>
                      <w:marRight w:val="0"/>
                      <w:marTop w:val="0"/>
                      <w:marBottom w:val="0"/>
                      <w:divBdr>
                        <w:top w:val="none" w:sz="0" w:space="0" w:color="auto"/>
                        <w:left w:val="none" w:sz="0" w:space="0" w:color="auto"/>
                        <w:bottom w:val="none" w:sz="0" w:space="0" w:color="auto"/>
                        <w:right w:val="none" w:sz="0" w:space="0" w:color="auto"/>
                      </w:divBdr>
                    </w:div>
                  </w:divsChild>
                </w:div>
                <w:div w:id="259528069">
                  <w:marLeft w:val="0"/>
                  <w:marRight w:val="0"/>
                  <w:marTop w:val="0"/>
                  <w:marBottom w:val="0"/>
                  <w:divBdr>
                    <w:top w:val="none" w:sz="0" w:space="0" w:color="auto"/>
                    <w:left w:val="none" w:sz="0" w:space="0" w:color="auto"/>
                    <w:bottom w:val="none" w:sz="0" w:space="0" w:color="auto"/>
                    <w:right w:val="none" w:sz="0" w:space="0" w:color="auto"/>
                  </w:divBdr>
                  <w:divsChild>
                    <w:div w:id="546601369">
                      <w:marLeft w:val="0"/>
                      <w:marRight w:val="0"/>
                      <w:marTop w:val="0"/>
                      <w:marBottom w:val="0"/>
                      <w:divBdr>
                        <w:top w:val="none" w:sz="0" w:space="0" w:color="auto"/>
                        <w:left w:val="none" w:sz="0" w:space="0" w:color="auto"/>
                        <w:bottom w:val="none" w:sz="0" w:space="0" w:color="auto"/>
                        <w:right w:val="none" w:sz="0" w:space="0" w:color="auto"/>
                      </w:divBdr>
                    </w:div>
                  </w:divsChild>
                </w:div>
                <w:div w:id="298995151">
                  <w:marLeft w:val="0"/>
                  <w:marRight w:val="0"/>
                  <w:marTop w:val="0"/>
                  <w:marBottom w:val="0"/>
                  <w:divBdr>
                    <w:top w:val="none" w:sz="0" w:space="0" w:color="auto"/>
                    <w:left w:val="none" w:sz="0" w:space="0" w:color="auto"/>
                    <w:bottom w:val="none" w:sz="0" w:space="0" w:color="auto"/>
                    <w:right w:val="none" w:sz="0" w:space="0" w:color="auto"/>
                  </w:divBdr>
                  <w:divsChild>
                    <w:div w:id="1916091253">
                      <w:marLeft w:val="0"/>
                      <w:marRight w:val="0"/>
                      <w:marTop w:val="0"/>
                      <w:marBottom w:val="0"/>
                      <w:divBdr>
                        <w:top w:val="none" w:sz="0" w:space="0" w:color="auto"/>
                        <w:left w:val="none" w:sz="0" w:space="0" w:color="auto"/>
                        <w:bottom w:val="none" w:sz="0" w:space="0" w:color="auto"/>
                        <w:right w:val="none" w:sz="0" w:space="0" w:color="auto"/>
                      </w:divBdr>
                    </w:div>
                  </w:divsChild>
                </w:div>
                <w:div w:id="333386961">
                  <w:marLeft w:val="0"/>
                  <w:marRight w:val="0"/>
                  <w:marTop w:val="0"/>
                  <w:marBottom w:val="0"/>
                  <w:divBdr>
                    <w:top w:val="none" w:sz="0" w:space="0" w:color="auto"/>
                    <w:left w:val="none" w:sz="0" w:space="0" w:color="auto"/>
                    <w:bottom w:val="none" w:sz="0" w:space="0" w:color="auto"/>
                    <w:right w:val="none" w:sz="0" w:space="0" w:color="auto"/>
                  </w:divBdr>
                  <w:divsChild>
                    <w:div w:id="1133251215">
                      <w:marLeft w:val="0"/>
                      <w:marRight w:val="0"/>
                      <w:marTop w:val="0"/>
                      <w:marBottom w:val="0"/>
                      <w:divBdr>
                        <w:top w:val="none" w:sz="0" w:space="0" w:color="auto"/>
                        <w:left w:val="none" w:sz="0" w:space="0" w:color="auto"/>
                        <w:bottom w:val="none" w:sz="0" w:space="0" w:color="auto"/>
                        <w:right w:val="none" w:sz="0" w:space="0" w:color="auto"/>
                      </w:divBdr>
                    </w:div>
                  </w:divsChild>
                </w:div>
                <w:div w:id="345210598">
                  <w:marLeft w:val="0"/>
                  <w:marRight w:val="0"/>
                  <w:marTop w:val="0"/>
                  <w:marBottom w:val="0"/>
                  <w:divBdr>
                    <w:top w:val="none" w:sz="0" w:space="0" w:color="auto"/>
                    <w:left w:val="none" w:sz="0" w:space="0" w:color="auto"/>
                    <w:bottom w:val="none" w:sz="0" w:space="0" w:color="auto"/>
                    <w:right w:val="none" w:sz="0" w:space="0" w:color="auto"/>
                  </w:divBdr>
                  <w:divsChild>
                    <w:div w:id="817645387">
                      <w:marLeft w:val="0"/>
                      <w:marRight w:val="0"/>
                      <w:marTop w:val="0"/>
                      <w:marBottom w:val="0"/>
                      <w:divBdr>
                        <w:top w:val="none" w:sz="0" w:space="0" w:color="auto"/>
                        <w:left w:val="none" w:sz="0" w:space="0" w:color="auto"/>
                        <w:bottom w:val="none" w:sz="0" w:space="0" w:color="auto"/>
                        <w:right w:val="none" w:sz="0" w:space="0" w:color="auto"/>
                      </w:divBdr>
                    </w:div>
                  </w:divsChild>
                </w:div>
                <w:div w:id="353729165">
                  <w:marLeft w:val="0"/>
                  <w:marRight w:val="0"/>
                  <w:marTop w:val="0"/>
                  <w:marBottom w:val="0"/>
                  <w:divBdr>
                    <w:top w:val="none" w:sz="0" w:space="0" w:color="auto"/>
                    <w:left w:val="none" w:sz="0" w:space="0" w:color="auto"/>
                    <w:bottom w:val="none" w:sz="0" w:space="0" w:color="auto"/>
                    <w:right w:val="none" w:sz="0" w:space="0" w:color="auto"/>
                  </w:divBdr>
                  <w:divsChild>
                    <w:div w:id="1415518170">
                      <w:marLeft w:val="0"/>
                      <w:marRight w:val="0"/>
                      <w:marTop w:val="0"/>
                      <w:marBottom w:val="0"/>
                      <w:divBdr>
                        <w:top w:val="none" w:sz="0" w:space="0" w:color="auto"/>
                        <w:left w:val="none" w:sz="0" w:space="0" w:color="auto"/>
                        <w:bottom w:val="none" w:sz="0" w:space="0" w:color="auto"/>
                        <w:right w:val="none" w:sz="0" w:space="0" w:color="auto"/>
                      </w:divBdr>
                    </w:div>
                  </w:divsChild>
                </w:div>
                <w:div w:id="368071993">
                  <w:marLeft w:val="0"/>
                  <w:marRight w:val="0"/>
                  <w:marTop w:val="0"/>
                  <w:marBottom w:val="0"/>
                  <w:divBdr>
                    <w:top w:val="none" w:sz="0" w:space="0" w:color="auto"/>
                    <w:left w:val="none" w:sz="0" w:space="0" w:color="auto"/>
                    <w:bottom w:val="none" w:sz="0" w:space="0" w:color="auto"/>
                    <w:right w:val="none" w:sz="0" w:space="0" w:color="auto"/>
                  </w:divBdr>
                  <w:divsChild>
                    <w:div w:id="288322502">
                      <w:marLeft w:val="0"/>
                      <w:marRight w:val="0"/>
                      <w:marTop w:val="0"/>
                      <w:marBottom w:val="0"/>
                      <w:divBdr>
                        <w:top w:val="none" w:sz="0" w:space="0" w:color="auto"/>
                        <w:left w:val="none" w:sz="0" w:space="0" w:color="auto"/>
                        <w:bottom w:val="none" w:sz="0" w:space="0" w:color="auto"/>
                        <w:right w:val="none" w:sz="0" w:space="0" w:color="auto"/>
                      </w:divBdr>
                    </w:div>
                  </w:divsChild>
                </w:div>
                <w:div w:id="383070160">
                  <w:marLeft w:val="0"/>
                  <w:marRight w:val="0"/>
                  <w:marTop w:val="0"/>
                  <w:marBottom w:val="0"/>
                  <w:divBdr>
                    <w:top w:val="none" w:sz="0" w:space="0" w:color="auto"/>
                    <w:left w:val="none" w:sz="0" w:space="0" w:color="auto"/>
                    <w:bottom w:val="none" w:sz="0" w:space="0" w:color="auto"/>
                    <w:right w:val="none" w:sz="0" w:space="0" w:color="auto"/>
                  </w:divBdr>
                  <w:divsChild>
                    <w:div w:id="1813324876">
                      <w:marLeft w:val="0"/>
                      <w:marRight w:val="0"/>
                      <w:marTop w:val="0"/>
                      <w:marBottom w:val="0"/>
                      <w:divBdr>
                        <w:top w:val="none" w:sz="0" w:space="0" w:color="auto"/>
                        <w:left w:val="none" w:sz="0" w:space="0" w:color="auto"/>
                        <w:bottom w:val="none" w:sz="0" w:space="0" w:color="auto"/>
                        <w:right w:val="none" w:sz="0" w:space="0" w:color="auto"/>
                      </w:divBdr>
                    </w:div>
                  </w:divsChild>
                </w:div>
                <w:div w:id="386420781">
                  <w:marLeft w:val="0"/>
                  <w:marRight w:val="0"/>
                  <w:marTop w:val="0"/>
                  <w:marBottom w:val="0"/>
                  <w:divBdr>
                    <w:top w:val="none" w:sz="0" w:space="0" w:color="auto"/>
                    <w:left w:val="none" w:sz="0" w:space="0" w:color="auto"/>
                    <w:bottom w:val="none" w:sz="0" w:space="0" w:color="auto"/>
                    <w:right w:val="none" w:sz="0" w:space="0" w:color="auto"/>
                  </w:divBdr>
                  <w:divsChild>
                    <w:div w:id="1011101573">
                      <w:marLeft w:val="0"/>
                      <w:marRight w:val="0"/>
                      <w:marTop w:val="0"/>
                      <w:marBottom w:val="0"/>
                      <w:divBdr>
                        <w:top w:val="none" w:sz="0" w:space="0" w:color="auto"/>
                        <w:left w:val="none" w:sz="0" w:space="0" w:color="auto"/>
                        <w:bottom w:val="none" w:sz="0" w:space="0" w:color="auto"/>
                        <w:right w:val="none" w:sz="0" w:space="0" w:color="auto"/>
                      </w:divBdr>
                    </w:div>
                  </w:divsChild>
                </w:div>
                <w:div w:id="415246283">
                  <w:marLeft w:val="0"/>
                  <w:marRight w:val="0"/>
                  <w:marTop w:val="0"/>
                  <w:marBottom w:val="0"/>
                  <w:divBdr>
                    <w:top w:val="none" w:sz="0" w:space="0" w:color="auto"/>
                    <w:left w:val="none" w:sz="0" w:space="0" w:color="auto"/>
                    <w:bottom w:val="none" w:sz="0" w:space="0" w:color="auto"/>
                    <w:right w:val="none" w:sz="0" w:space="0" w:color="auto"/>
                  </w:divBdr>
                  <w:divsChild>
                    <w:div w:id="2040665547">
                      <w:marLeft w:val="0"/>
                      <w:marRight w:val="0"/>
                      <w:marTop w:val="0"/>
                      <w:marBottom w:val="0"/>
                      <w:divBdr>
                        <w:top w:val="none" w:sz="0" w:space="0" w:color="auto"/>
                        <w:left w:val="none" w:sz="0" w:space="0" w:color="auto"/>
                        <w:bottom w:val="none" w:sz="0" w:space="0" w:color="auto"/>
                        <w:right w:val="none" w:sz="0" w:space="0" w:color="auto"/>
                      </w:divBdr>
                    </w:div>
                  </w:divsChild>
                </w:div>
                <w:div w:id="446781172">
                  <w:marLeft w:val="0"/>
                  <w:marRight w:val="0"/>
                  <w:marTop w:val="0"/>
                  <w:marBottom w:val="0"/>
                  <w:divBdr>
                    <w:top w:val="none" w:sz="0" w:space="0" w:color="auto"/>
                    <w:left w:val="none" w:sz="0" w:space="0" w:color="auto"/>
                    <w:bottom w:val="none" w:sz="0" w:space="0" w:color="auto"/>
                    <w:right w:val="none" w:sz="0" w:space="0" w:color="auto"/>
                  </w:divBdr>
                  <w:divsChild>
                    <w:div w:id="1705979237">
                      <w:marLeft w:val="0"/>
                      <w:marRight w:val="0"/>
                      <w:marTop w:val="0"/>
                      <w:marBottom w:val="0"/>
                      <w:divBdr>
                        <w:top w:val="none" w:sz="0" w:space="0" w:color="auto"/>
                        <w:left w:val="none" w:sz="0" w:space="0" w:color="auto"/>
                        <w:bottom w:val="none" w:sz="0" w:space="0" w:color="auto"/>
                        <w:right w:val="none" w:sz="0" w:space="0" w:color="auto"/>
                      </w:divBdr>
                    </w:div>
                  </w:divsChild>
                </w:div>
                <w:div w:id="588462116">
                  <w:marLeft w:val="0"/>
                  <w:marRight w:val="0"/>
                  <w:marTop w:val="0"/>
                  <w:marBottom w:val="0"/>
                  <w:divBdr>
                    <w:top w:val="none" w:sz="0" w:space="0" w:color="auto"/>
                    <w:left w:val="none" w:sz="0" w:space="0" w:color="auto"/>
                    <w:bottom w:val="none" w:sz="0" w:space="0" w:color="auto"/>
                    <w:right w:val="none" w:sz="0" w:space="0" w:color="auto"/>
                  </w:divBdr>
                  <w:divsChild>
                    <w:div w:id="153037624">
                      <w:marLeft w:val="0"/>
                      <w:marRight w:val="0"/>
                      <w:marTop w:val="0"/>
                      <w:marBottom w:val="0"/>
                      <w:divBdr>
                        <w:top w:val="none" w:sz="0" w:space="0" w:color="auto"/>
                        <w:left w:val="none" w:sz="0" w:space="0" w:color="auto"/>
                        <w:bottom w:val="none" w:sz="0" w:space="0" w:color="auto"/>
                        <w:right w:val="none" w:sz="0" w:space="0" w:color="auto"/>
                      </w:divBdr>
                    </w:div>
                  </w:divsChild>
                </w:div>
                <w:div w:id="637805876">
                  <w:marLeft w:val="0"/>
                  <w:marRight w:val="0"/>
                  <w:marTop w:val="0"/>
                  <w:marBottom w:val="0"/>
                  <w:divBdr>
                    <w:top w:val="none" w:sz="0" w:space="0" w:color="auto"/>
                    <w:left w:val="none" w:sz="0" w:space="0" w:color="auto"/>
                    <w:bottom w:val="none" w:sz="0" w:space="0" w:color="auto"/>
                    <w:right w:val="none" w:sz="0" w:space="0" w:color="auto"/>
                  </w:divBdr>
                  <w:divsChild>
                    <w:div w:id="2094430477">
                      <w:marLeft w:val="0"/>
                      <w:marRight w:val="0"/>
                      <w:marTop w:val="0"/>
                      <w:marBottom w:val="0"/>
                      <w:divBdr>
                        <w:top w:val="none" w:sz="0" w:space="0" w:color="auto"/>
                        <w:left w:val="none" w:sz="0" w:space="0" w:color="auto"/>
                        <w:bottom w:val="none" w:sz="0" w:space="0" w:color="auto"/>
                        <w:right w:val="none" w:sz="0" w:space="0" w:color="auto"/>
                      </w:divBdr>
                    </w:div>
                  </w:divsChild>
                </w:div>
                <w:div w:id="903568908">
                  <w:marLeft w:val="0"/>
                  <w:marRight w:val="0"/>
                  <w:marTop w:val="0"/>
                  <w:marBottom w:val="0"/>
                  <w:divBdr>
                    <w:top w:val="none" w:sz="0" w:space="0" w:color="auto"/>
                    <w:left w:val="none" w:sz="0" w:space="0" w:color="auto"/>
                    <w:bottom w:val="none" w:sz="0" w:space="0" w:color="auto"/>
                    <w:right w:val="none" w:sz="0" w:space="0" w:color="auto"/>
                  </w:divBdr>
                  <w:divsChild>
                    <w:div w:id="237520705">
                      <w:marLeft w:val="0"/>
                      <w:marRight w:val="0"/>
                      <w:marTop w:val="0"/>
                      <w:marBottom w:val="0"/>
                      <w:divBdr>
                        <w:top w:val="none" w:sz="0" w:space="0" w:color="auto"/>
                        <w:left w:val="none" w:sz="0" w:space="0" w:color="auto"/>
                        <w:bottom w:val="none" w:sz="0" w:space="0" w:color="auto"/>
                        <w:right w:val="none" w:sz="0" w:space="0" w:color="auto"/>
                      </w:divBdr>
                    </w:div>
                  </w:divsChild>
                </w:div>
                <w:div w:id="1016689464">
                  <w:marLeft w:val="0"/>
                  <w:marRight w:val="0"/>
                  <w:marTop w:val="0"/>
                  <w:marBottom w:val="0"/>
                  <w:divBdr>
                    <w:top w:val="none" w:sz="0" w:space="0" w:color="auto"/>
                    <w:left w:val="none" w:sz="0" w:space="0" w:color="auto"/>
                    <w:bottom w:val="none" w:sz="0" w:space="0" w:color="auto"/>
                    <w:right w:val="none" w:sz="0" w:space="0" w:color="auto"/>
                  </w:divBdr>
                  <w:divsChild>
                    <w:div w:id="1644693416">
                      <w:marLeft w:val="0"/>
                      <w:marRight w:val="0"/>
                      <w:marTop w:val="0"/>
                      <w:marBottom w:val="0"/>
                      <w:divBdr>
                        <w:top w:val="none" w:sz="0" w:space="0" w:color="auto"/>
                        <w:left w:val="none" w:sz="0" w:space="0" w:color="auto"/>
                        <w:bottom w:val="none" w:sz="0" w:space="0" w:color="auto"/>
                        <w:right w:val="none" w:sz="0" w:space="0" w:color="auto"/>
                      </w:divBdr>
                    </w:div>
                  </w:divsChild>
                </w:div>
                <w:div w:id="1339380505">
                  <w:marLeft w:val="0"/>
                  <w:marRight w:val="0"/>
                  <w:marTop w:val="0"/>
                  <w:marBottom w:val="0"/>
                  <w:divBdr>
                    <w:top w:val="none" w:sz="0" w:space="0" w:color="auto"/>
                    <w:left w:val="none" w:sz="0" w:space="0" w:color="auto"/>
                    <w:bottom w:val="none" w:sz="0" w:space="0" w:color="auto"/>
                    <w:right w:val="none" w:sz="0" w:space="0" w:color="auto"/>
                  </w:divBdr>
                  <w:divsChild>
                    <w:div w:id="1188179246">
                      <w:marLeft w:val="0"/>
                      <w:marRight w:val="0"/>
                      <w:marTop w:val="0"/>
                      <w:marBottom w:val="0"/>
                      <w:divBdr>
                        <w:top w:val="none" w:sz="0" w:space="0" w:color="auto"/>
                        <w:left w:val="none" w:sz="0" w:space="0" w:color="auto"/>
                        <w:bottom w:val="none" w:sz="0" w:space="0" w:color="auto"/>
                        <w:right w:val="none" w:sz="0" w:space="0" w:color="auto"/>
                      </w:divBdr>
                    </w:div>
                  </w:divsChild>
                </w:div>
                <w:div w:id="1378315881">
                  <w:marLeft w:val="0"/>
                  <w:marRight w:val="0"/>
                  <w:marTop w:val="0"/>
                  <w:marBottom w:val="0"/>
                  <w:divBdr>
                    <w:top w:val="none" w:sz="0" w:space="0" w:color="auto"/>
                    <w:left w:val="none" w:sz="0" w:space="0" w:color="auto"/>
                    <w:bottom w:val="none" w:sz="0" w:space="0" w:color="auto"/>
                    <w:right w:val="none" w:sz="0" w:space="0" w:color="auto"/>
                  </w:divBdr>
                  <w:divsChild>
                    <w:div w:id="1984850907">
                      <w:marLeft w:val="0"/>
                      <w:marRight w:val="0"/>
                      <w:marTop w:val="0"/>
                      <w:marBottom w:val="0"/>
                      <w:divBdr>
                        <w:top w:val="none" w:sz="0" w:space="0" w:color="auto"/>
                        <w:left w:val="none" w:sz="0" w:space="0" w:color="auto"/>
                        <w:bottom w:val="none" w:sz="0" w:space="0" w:color="auto"/>
                        <w:right w:val="none" w:sz="0" w:space="0" w:color="auto"/>
                      </w:divBdr>
                    </w:div>
                  </w:divsChild>
                </w:div>
                <w:div w:id="1390113606">
                  <w:marLeft w:val="0"/>
                  <w:marRight w:val="0"/>
                  <w:marTop w:val="0"/>
                  <w:marBottom w:val="0"/>
                  <w:divBdr>
                    <w:top w:val="none" w:sz="0" w:space="0" w:color="auto"/>
                    <w:left w:val="none" w:sz="0" w:space="0" w:color="auto"/>
                    <w:bottom w:val="none" w:sz="0" w:space="0" w:color="auto"/>
                    <w:right w:val="none" w:sz="0" w:space="0" w:color="auto"/>
                  </w:divBdr>
                  <w:divsChild>
                    <w:div w:id="1537305730">
                      <w:marLeft w:val="0"/>
                      <w:marRight w:val="0"/>
                      <w:marTop w:val="0"/>
                      <w:marBottom w:val="0"/>
                      <w:divBdr>
                        <w:top w:val="none" w:sz="0" w:space="0" w:color="auto"/>
                        <w:left w:val="none" w:sz="0" w:space="0" w:color="auto"/>
                        <w:bottom w:val="none" w:sz="0" w:space="0" w:color="auto"/>
                        <w:right w:val="none" w:sz="0" w:space="0" w:color="auto"/>
                      </w:divBdr>
                    </w:div>
                  </w:divsChild>
                </w:div>
                <w:div w:id="1483040026">
                  <w:marLeft w:val="0"/>
                  <w:marRight w:val="0"/>
                  <w:marTop w:val="0"/>
                  <w:marBottom w:val="0"/>
                  <w:divBdr>
                    <w:top w:val="none" w:sz="0" w:space="0" w:color="auto"/>
                    <w:left w:val="none" w:sz="0" w:space="0" w:color="auto"/>
                    <w:bottom w:val="none" w:sz="0" w:space="0" w:color="auto"/>
                    <w:right w:val="none" w:sz="0" w:space="0" w:color="auto"/>
                  </w:divBdr>
                  <w:divsChild>
                    <w:div w:id="2114279779">
                      <w:marLeft w:val="0"/>
                      <w:marRight w:val="0"/>
                      <w:marTop w:val="0"/>
                      <w:marBottom w:val="0"/>
                      <w:divBdr>
                        <w:top w:val="none" w:sz="0" w:space="0" w:color="auto"/>
                        <w:left w:val="none" w:sz="0" w:space="0" w:color="auto"/>
                        <w:bottom w:val="none" w:sz="0" w:space="0" w:color="auto"/>
                        <w:right w:val="none" w:sz="0" w:space="0" w:color="auto"/>
                      </w:divBdr>
                    </w:div>
                  </w:divsChild>
                </w:div>
                <w:div w:id="1540123835">
                  <w:marLeft w:val="0"/>
                  <w:marRight w:val="0"/>
                  <w:marTop w:val="0"/>
                  <w:marBottom w:val="0"/>
                  <w:divBdr>
                    <w:top w:val="none" w:sz="0" w:space="0" w:color="auto"/>
                    <w:left w:val="none" w:sz="0" w:space="0" w:color="auto"/>
                    <w:bottom w:val="none" w:sz="0" w:space="0" w:color="auto"/>
                    <w:right w:val="none" w:sz="0" w:space="0" w:color="auto"/>
                  </w:divBdr>
                  <w:divsChild>
                    <w:div w:id="519856040">
                      <w:marLeft w:val="0"/>
                      <w:marRight w:val="0"/>
                      <w:marTop w:val="0"/>
                      <w:marBottom w:val="0"/>
                      <w:divBdr>
                        <w:top w:val="none" w:sz="0" w:space="0" w:color="auto"/>
                        <w:left w:val="none" w:sz="0" w:space="0" w:color="auto"/>
                        <w:bottom w:val="none" w:sz="0" w:space="0" w:color="auto"/>
                        <w:right w:val="none" w:sz="0" w:space="0" w:color="auto"/>
                      </w:divBdr>
                    </w:div>
                  </w:divsChild>
                </w:div>
                <w:div w:id="1605265641">
                  <w:marLeft w:val="0"/>
                  <w:marRight w:val="0"/>
                  <w:marTop w:val="0"/>
                  <w:marBottom w:val="0"/>
                  <w:divBdr>
                    <w:top w:val="none" w:sz="0" w:space="0" w:color="auto"/>
                    <w:left w:val="none" w:sz="0" w:space="0" w:color="auto"/>
                    <w:bottom w:val="none" w:sz="0" w:space="0" w:color="auto"/>
                    <w:right w:val="none" w:sz="0" w:space="0" w:color="auto"/>
                  </w:divBdr>
                  <w:divsChild>
                    <w:div w:id="543374673">
                      <w:marLeft w:val="0"/>
                      <w:marRight w:val="0"/>
                      <w:marTop w:val="0"/>
                      <w:marBottom w:val="0"/>
                      <w:divBdr>
                        <w:top w:val="none" w:sz="0" w:space="0" w:color="auto"/>
                        <w:left w:val="none" w:sz="0" w:space="0" w:color="auto"/>
                        <w:bottom w:val="none" w:sz="0" w:space="0" w:color="auto"/>
                        <w:right w:val="none" w:sz="0" w:space="0" w:color="auto"/>
                      </w:divBdr>
                    </w:div>
                  </w:divsChild>
                </w:div>
                <w:div w:id="1610351591">
                  <w:marLeft w:val="0"/>
                  <w:marRight w:val="0"/>
                  <w:marTop w:val="0"/>
                  <w:marBottom w:val="0"/>
                  <w:divBdr>
                    <w:top w:val="none" w:sz="0" w:space="0" w:color="auto"/>
                    <w:left w:val="none" w:sz="0" w:space="0" w:color="auto"/>
                    <w:bottom w:val="none" w:sz="0" w:space="0" w:color="auto"/>
                    <w:right w:val="none" w:sz="0" w:space="0" w:color="auto"/>
                  </w:divBdr>
                  <w:divsChild>
                    <w:div w:id="490758270">
                      <w:marLeft w:val="0"/>
                      <w:marRight w:val="0"/>
                      <w:marTop w:val="0"/>
                      <w:marBottom w:val="0"/>
                      <w:divBdr>
                        <w:top w:val="none" w:sz="0" w:space="0" w:color="auto"/>
                        <w:left w:val="none" w:sz="0" w:space="0" w:color="auto"/>
                        <w:bottom w:val="none" w:sz="0" w:space="0" w:color="auto"/>
                        <w:right w:val="none" w:sz="0" w:space="0" w:color="auto"/>
                      </w:divBdr>
                    </w:div>
                  </w:divsChild>
                </w:div>
                <w:div w:id="1640767072">
                  <w:marLeft w:val="0"/>
                  <w:marRight w:val="0"/>
                  <w:marTop w:val="0"/>
                  <w:marBottom w:val="0"/>
                  <w:divBdr>
                    <w:top w:val="none" w:sz="0" w:space="0" w:color="auto"/>
                    <w:left w:val="none" w:sz="0" w:space="0" w:color="auto"/>
                    <w:bottom w:val="none" w:sz="0" w:space="0" w:color="auto"/>
                    <w:right w:val="none" w:sz="0" w:space="0" w:color="auto"/>
                  </w:divBdr>
                  <w:divsChild>
                    <w:div w:id="1012954913">
                      <w:marLeft w:val="0"/>
                      <w:marRight w:val="0"/>
                      <w:marTop w:val="0"/>
                      <w:marBottom w:val="0"/>
                      <w:divBdr>
                        <w:top w:val="none" w:sz="0" w:space="0" w:color="auto"/>
                        <w:left w:val="none" w:sz="0" w:space="0" w:color="auto"/>
                        <w:bottom w:val="none" w:sz="0" w:space="0" w:color="auto"/>
                        <w:right w:val="none" w:sz="0" w:space="0" w:color="auto"/>
                      </w:divBdr>
                    </w:div>
                  </w:divsChild>
                </w:div>
                <w:div w:id="1705792935">
                  <w:marLeft w:val="0"/>
                  <w:marRight w:val="0"/>
                  <w:marTop w:val="0"/>
                  <w:marBottom w:val="0"/>
                  <w:divBdr>
                    <w:top w:val="none" w:sz="0" w:space="0" w:color="auto"/>
                    <w:left w:val="none" w:sz="0" w:space="0" w:color="auto"/>
                    <w:bottom w:val="none" w:sz="0" w:space="0" w:color="auto"/>
                    <w:right w:val="none" w:sz="0" w:space="0" w:color="auto"/>
                  </w:divBdr>
                  <w:divsChild>
                    <w:div w:id="550460091">
                      <w:marLeft w:val="0"/>
                      <w:marRight w:val="0"/>
                      <w:marTop w:val="0"/>
                      <w:marBottom w:val="0"/>
                      <w:divBdr>
                        <w:top w:val="none" w:sz="0" w:space="0" w:color="auto"/>
                        <w:left w:val="none" w:sz="0" w:space="0" w:color="auto"/>
                        <w:bottom w:val="none" w:sz="0" w:space="0" w:color="auto"/>
                        <w:right w:val="none" w:sz="0" w:space="0" w:color="auto"/>
                      </w:divBdr>
                    </w:div>
                  </w:divsChild>
                </w:div>
                <w:div w:id="1772700486">
                  <w:marLeft w:val="0"/>
                  <w:marRight w:val="0"/>
                  <w:marTop w:val="0"/>
                  <w:marBottom w:val="0"/>
                  <w:divBdr>
                    <w:top w:val="none" w:sz="0" w:space="0" w:color="auto"/>
                    <w:left w:val="none" w:sz="0" w:space="0" w:color="auto"/>
                    <w:bottom w:val="none" w:sz="0" w:space="0" w:color="auto"/>
                    <w:right w:val="none" w:sz="0" w:space="0" w:color="auto"/>
                  </w:divBdr>
                  <w:divsChild>
                    <w:div w:id="1525361710">
                      <w:marLeft w:val="0"/>
                      <w:marRight w:val="0"/>
                      <w:marTop w:val="0"/>
                      <w:marBottom w:val="0"/>
                      <w:divBdr>
                        <w:top w:val="none" w:sz="0" w:space="0" w:color="auto"/>
                        <w:left w:val="none" w:sz="0" w:space="0" w:color="auto"/>
                        <w:bottom w:val="none" w:sz="0" w:space="0" w:color="auto"/>
                        <w:right w:val="none" w:sz="0" w:space="0" w:color="auto"/>
                      </w:divBdr>
                    </w:div>
                  </w:divsChild>
                </w:div>
                <w:div w:id="1793598514">
                  <w:marLeft w:val="0"/>
                  <w:marRight w:val="0"/>
                  <w:marTop w:val="0"/>
                  <w:marBottom w:val="0"/>
                  <w:divBdr>
                    <w:top w:val="none" w:sz="0" w:space="0" w:color="auto"/>
                    <w:left w:val="none" w:sz="0" w:space="0" w:color="auto"/>
                    <w:bottom w:val="none" w:sz="0" w:space="0" w:color="auto"/>
                    <w:right w:val="none" w:sz="0" w:space="0" w:color="auto"/>
                  </w:divBdr>
                  <w:divsChild>
                    <w:div w:id="343096053">
                      <w:marLeft w:val="0"/>
                      <w:marRight w:val="0"/>
                      <w:marTop w:val="0"/>
                      <w:marBottom w:val="0"/>
                      <w:divBdr>
                        <w:top w:val="none" w:sz="0" w:space="0" w:color="auto"/>
                        <w:left w:val="none" w:sz="0" w:space="0" w:color="auto"/>
                        <w:bottom w:val="none" w:sz="0" w:space="0" w:color="auto"/>
                        <w:right w:val="none" w:sz="0" w:space="0" w:color="auto"/>
                      </w:divBdr>
                    </w:div>
                  </w:divsChild>
                </w:div>
                <w:div w:id="1841964298">
                  <w:marLeft w:val="0"/>
                  <w:marRight w:val="0"/>
                  <w:marTop w:val="0"/>
                  <w:marBottom w:val="0"/>
                  <w:divBdr>
                    <w:top w:val="none" w:sz="0" w:space="0" w:color="auto"/>
                    <w:left w:val="none" w:sz="0" w:space="0" w:color="auto"/>
                    <w:bottom w:val="none" w:sz="0" w:space="0" w:color="auto"/>
                    <w:right w:val="none" w:sz="0" w:space="0" w:color="auto"/>
                  </w:divBdr>
                  <w:divsChild>
                    <w:div w:id="403800029">
                      <w:marLeft w:val="0"/>
                      <w:marRight w:val="0"/>
                      <w:marTop w:val="0"/>
                      <w:marBottom w:val="0"/>
                      <w:divBdr>
                        <w:top w:val="none" w:sz="0" w:space="0" w:color="auto"/>
                        <w:left w:val="none" w:sz="0" w:space="0" w:color="auto"/>
                        <w:bottom w:val="none" w:sz="0" w:space="0" w:color="auto"/>
                        <w:right w:val="none" w:sz="0" w:space="0" w:color="auto"/>
                      </w:divBdr>
                    </w:div>
                  </w:divsChild>
                </w:div>
                <w:div w:id="1967009645">
                  <w:marLeft w:val="0"/>
                  <w:marRight w:val="0"/>
                  <w:marTop w:val="0"/>
                  <w:marBottom w:val="0"/>
                  <w:divBdr>
                    <w:top w:val="none" w:sz="0" w:space="0" w:color="auto"/>
                    <w:left w:val="none" w:sz="0" w:space="0" w:color="auto"/>
                    <w:bottom w:val="none" w:sz="0" w:space="0" w:color="auto"/>
                    <w:right w:val="none" w:sz="0" w:space="0" w:color="auto"/>
                  </w:divBdr>
                  <w:divsChild>
                    <w:div w:id="1066991786">
                      <w:marLeft w:val="0"/>
                      <w:marRight w:val="0"/>
                      <w:marTop w:val="0"/>
                      <w:marBottom w:val="0"/>
                      <w:divBdr>
                        <w:top w:val="none" w:sz="0" w:space="0" w:color="auto"/>
                        <w:left w:val="none" w:sz="0" w:space="0" w:color="auto"/>
                        <w:bottom w:val="none" w:sz="0" w:space="0" w:color="auto"/>
                        <w:right w:val="none" w:sz="0" w:space="0" w:color="auto"/>
                      </w:divBdr>
                    </w:div>
                  </w:divsChild>
                </w:div>
                <w:div w:id="1974405376">
                  <w:marLeft w:val="0"/>
                  <w:marRight w:val="0"/>
                  <w:marTop w:val="0"/>
                  <w:marBottom w:val="0"/>
                  <w:divBdr>
                    <w:top w:val="none" w:sz="0" w:space="0" w:color="auto"/>
                    <w:left w:val="none" w:sz="0" w:space="0" w:color="auto"/>
                    <w:bottom w:val="none" w:sz="0" w:space="0" w:color="auto"/>
                    <w:right w:val="none" w:sz="0" w:space="0" w:color="auto"/>
                  </w:divBdr>
                  <w:divsChild>
                    <w:div w:id="1212576973">
                      <w:marLeft w:val="0"/>
                      <w:marRight w:val="0"/>
                      <w:marTop w:val="0"/>
                      <w:marBottom w:val="0"/>
                      <w:divBdr>
                        <w:top w:val="none" w:sz="0" w:space="0" w:color="auto"/>
                        <w:left w:val="none" w:sz="0" w:space="0" w:color="auto"/>
                        <w:bottom w:val="none" w:sz="0" w:space="0" w:color="auto"/>
                        <w:right w:val="none" w:sz="0" w:space="0" w:color="auto"/>
                      </w:divBdr>
                    </w:div>
                  </w:divsChild>
                </w:div>
                <w:div w:id="2077507710">
                  <w:marLeft w:val="0"/>
                  <w:marRight w:val="0"/>
                  <w:marTop w:val="0"/>
                  <w:marBottom w:val="0"/>
                  <w:divBdr>
                    <w:top w:val="none" w:sz="0" w:space="0" w:color="auto"/>
                    <w:left w:val="none" w:sz="0" w:space="0" w:color="auto"/>
                    <w:bottom w:val="none" w:sz="0" w:space="0" w:color="auto"/>
                    <w:right w:val="none" w:sz="0" w:space="0" w:color="auto"/>
                  </w:divBdr>
                  <w:divsChild>
                    <w:div w:id="1608543246">
                      <w:marLeft w:val="0"/>
                      <w:marRight w:val="0"/>
                      <w:marTop w:val="0"/>
                      <w:marBottom w:val="0"/>
                      <w:divBdr>
                        <w:top w:val="none" w:sz="0" w:space="0" w:color="auto"/>
                        <w:left w:val="none" w:sz="0" w:space="0" w:color="auto"/>
                        <w:bottom w:val="none" w:sz="0" w:space="0" w:color="auto"/>
                        <w:right w:val="none" w:sz="0" w:space="0" w:color="auto"/>
                      </w:divBdr>
                    </w:div>
                  </w:divsChild>
                </w:div>
                <w:div w:id="2143187152">
                  <w:marLeft w:val="0"/>
                  <w:marRight w:val="0"/>
                  <w:marTop w:val="0"/>
                  <w:marBottom w:val="0"/>
                  <w:divBdr>
                    <w:top w:val="none" w:sz="0" w:space="0" w:color="auto"/>
                    <w:left w:val="none" w:sz="0" w:space="0" w:color="auto"/>
                    <w:bottom w:val="none" w:sz="0" w:space="0" w:color="auto"/>
                    <w:right w:val="none" w:sz="0" w:space="0" w:color="auto"/>
                  </w:divBdr>
                  <w:divsChild>
                    <w:div w:id="1779136160">
                      <w:marLeft w:val="0"/>
                      <w:marRight w:val="0"/>
                      <w:marTop w:val="0"/>
                      <w:marBottom w:val="0"/>
                      <w:divBdr>
                        <w:top w:val="none" w:sz="0" w:space="0" w:color="auto"/>
                        <w:left w:val="none" w:sz="0" w:space="0" w:color="auto"/>
                        <w:bottom w:val="none" w:sz="0" w:space="0" w:color="auto"/>
                        <w:right w:val="none" w:sz="0" w:space="0" w:color="auto"/>
                      </w:divBdr>
                    </w:div>
                  </w:divsChild>
                </w:div>
                <w:div w:id="2145654220">
                  <w:marLeft w:val="0"/>
                  <w:marRight w:val="0"/>
                  <w:marTop w:val="0"/>
                  <w:marBottom w:val="0"/>
                  <w:divBdr>
                    <w:top w:val="none" w:sz="0" w:space="0" w:color="auto"/>
                    <w:left w:val="none" w:sz="0" w:space="0" w:color="auto"/>
                    <w:bottom w:val="none" w:sz="0" w:space="0" w:color="auto"/>
                    <w:right w:val="none" w:sz="0" w:space="0" w:color="auto"/>
                  </w:divBdr>
                  <w:divsChild>
                    <w:div w:id="5076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50047">
          <w:marLeft w:val="0"/>
          <w:marRight w:val="0"/>
          <w:marTop w:val="0"/>
          <w:marBottom w:val="0"/>
          <w:divBdr>
            <w:top w:val="none" w:sz="0" w:space="0" w:color="auto"/>
            <w:left w:val="none" w:sz="0" w:space="0" w:color="auto"/>
            <w:bottom w:val="none" w:sz="0" w:space="0" w:color="auto"/>
            <w:right w:val="none" w:sz="0" w:space="0" w:color="auto"/>
          </w:divBdr>
        </w:div>
        <w:div w:id="890120230">
          <w:marLeft w:val="0"/>
          <w:marRight w:val="0"/>
          <w:marTop w:val="0"/>
          <w:marBottom w:val="0"/>
          <w:divBdr>
            <w:top w:val="none" w:sz="0" w:space="0" w:color="auto"/>
            <w:left w:val="none" w:sz="0" w:space="0" w:color="auto"/>
            <w:bottom w:val="none" w:sz="0" w:space="0" w:color="auto"/>
            <w:right w:val="none" w:sz="0" w:space="0" w:color="auto"/>
          </w:divBdr>
        </w:div>
        <w:div w:id="1211653753">
          <w:marLeft w:val="0"/>
          <w:marRight w:val="0"/>
          <w:marTop w:val="0"/>
          <w:marBottom w:val="0"/>
          <w:divBdr>
            <w:top w:val="none" w:sz="0" w:space="0" w:color="auto"/>
            <w:left w:val="none" w:sz="0" w:space="0" w:color="auto"/>
            <w:bottom w:val="none" w:sz="0" w:space="0" w:color="auto"/>
            <w:right w:val="none" w:sz="0" w:space="0" w:color="auto"/>
          </w:divBdr>
        </w:div>
        <w:div w:id="1345980309">
          <w:marLeft w:val="0"/>
          <w:marRight w:val="0"/>
          <w:marTop w:val="0"/>
          <w:marBottom w:val="0"/>
          <w:divBdr>
            <w:top w:val="none" w:sz="0" w:space="0" w:color="auto"/>
            <w:left w:val="none" w:sz="0" w:space="0" w:color="auto"/>
            <w:bottom w:val="none" w:sz="0" w:space="0" w:color="auto"/>
            <w:right w:val="none" w:sz="0" w:space="0" w:color="auto"/>
          </w:divBdr>
          <w:divsChild>
            <w:div w:id="59789918">
              <w:marLeft w:val="0"/>
              <w:marRight w:val="0"/>
              <w:marTop w:val="0"/>
              <w:marBottom w:val="0"/>
              <w:divBdr>
                <w:top w:val="none" w:sz="0" w:space="0" w:color="auto"/>
                <w:left w:val="none" w:sz="0" w:space="0" w:color="auto"/>
                <w:bottom w:val="none" w:sz="0" w:space="0" w:color="auto"/>
                <w:right w:val="none" w:sz="0" w:space="0" w:color="auto"/>
              </w:divBdr>
            </w:div>
            <w:div w:id="483013434">
              <w:marLeft w:val="0"/>
              <w:marRight w:val="0"/>
              <w:marTop w:val="0"/>
              <w:marBottom w:val="0"/>
              <w:divBdr>
                <w:top w:val="none" w:sz="0" w:space="0" w:color="auto"/>
                <w:left w:val="none" w:sz="0" w:space="0" w:color="auto"/>
                <w:bottom w:val="none" w:sz="0" w:space="0" w:color="auto"/>
                <w:right w:val="none" w:sz="0" w:space="0" w:color="auto"/>
              </w:divBdr>
            </w:div>
            <w:div w:id="606811513">
              <w:marLeft w:val="0"/>
              <w:marRight w:val="0"/>
              <w:marTop w:val="0"/>
              <w:marBottom w:val="0"/>
              <w:divBdr>
                <w:top w:val="none" w:sz="0" w:space="0" w:color="auto"/>
                <w:left w:val="none" w:sz="0" w:space="0" w:color="auto"/>
                <w:bottom w:val="none" w:sz="0" w:space="0" w:color="auto"/>
                <w:right w:val="none" w:sz="0" w:space="0" w:color="auto"/>
              </w:divBdr>
            </w:div>
            <w:div w:id="652374896">
              <w:marLeft w:val="0"/>
              <w:marRight w:val="0"/>
              <w:marTop w:val="0"/>
              <w:marBottom w:val="0"/>
              <w:divBdr>
                <w:top w:val="none" w:sz="0" w:space="0" w:color="auto"/>
                <w:left w:val="none" w:sz="0" w:space="0" w:color="auto"/>
                <w:bottom w:val="none" w:sz="0" w:space="0" w:color="auto"/>
                <w:right w:val="none" w:sz="0" w:space="0" w:color="auto"/>
              </w:divBdr>
            </w:div>
            <w:div w:id="930311200">
              <w:marLeft w:val="0"/>
              <w:marRight w:val="0"/>
              <w:marTop w:val="0"/>
              <w:marBottom w:val="0"/>
              <w:divBdr>
                <w:top w:val="none" w:sz="0" w:space="0" w:color="auto"/>
                <w:left w:val="none" w:sz="0" w:space="0" w:color="auto"/>
                <w:bottom w:val="none" w:sz="0" w:space="0" w:color="auto"/>
                <w:right w:val="none" w:sz="0" w:space="0" w:color="auto"/>
              </w:divBdr>
            </w:div>
            <w:div w:id="996179715">
              <w:marLeft w:val="0"/>
              <w:marRight w:val="0"/>
              <w:marTop w:val="0"/>
              <w:marBottom w:val="0"/>
              <w:divBdr>
                <w:top w:val="none" w:sz="0" w:space="0" w:color="auto"/>
                <w:left w:val="none" w:sz="0" w:space="0" w:color="auto"/>
                <w:bottom w:val="none" w:sz="0" w:space="0" w:color="auto"/>
                <w:right w:val="none" w:sz="0" w:space="0" w:color="auto"/>
              </w:divBdr>
            </w:div>
            <w:div w:id="1149709568">
              <w:marLeft w:val="0"/>
              <w:marRight w:val="0"/>
              <w:marTop w:val="0"/>
              <w:marBottom w:val="0"/>
              <w:divBdr>
                <w:top w:val="none" w:sz="0" w:space="0" w:color="auto"/>
                <w:left w:val="none" w:sz="0" w:space="0" w:color="auto"/>
                <w:bottom w:val="none" w:sz="0" w:space="0" w:color="auto"/>
                <w:right w:val="none" w:sz="0" w:space="0" w:color="auto"/>
              </w:divBdr>
            </w:div>
            <w:div w:id="1196189402">
              <w:marLeft w:val="0"/>
              <w:marRight w:val="0"/>
              <w:marTop w:val="0"/>
              <w:marBottom w:val="0"/>
              <w:divBdr>
                <w:top w:val="none" w:sz="0" w:space="0" w:color="auto"/>
                <w:left w:val="none" w:sz="0" w:space="0" w:color="auto"/>
                <w:bottom w:val="none" w:sz="0" w:space="0" w:color="auto"/>
                <w:right w:val="none" w:sz="0" w:space="0" w:color="auto"/>
              </w:divBdr>
            </w:div>
            <w:div w:id="1303266074">
              <w:marLeft w:val="0"/>
              <w:marRight w:val="0"/>
              <w:marTop w:val="0"/>
              <w:marBottom w:val="0"/>
              <w:divBdr>
                <w:top w:val="none" w:sz="0" w:space="0" w:color="auto"/>
                <w:left w:val="none" w:sz="0" w:space="0" w:color="auto"/>
                <w:bottom w:val="none" w:sz="0" w:space="0" w:color="auto"/>
                <w:right w:val="none" w:sz="0" w:space="0" w:color="auto"/>
              </w:divBdr>
            </w:div>
            <w:div w:id="1337418341">
              <w:marLeft w:val="0"/>
              <w:marRight w:val="0"/>
              <w:marTop w:val="0"/>
              <w:marBottom w:val="0"/>
              <w:divBdr>
                <w:top w:val="none" w:sz="0" w:space="0" w:color="auto"/>
                <w:left w:val="none" w:sz="0" w:space="0" w:color="auto"/>
                <w:bottom w:val="none" w:sz="0" w:space="0" w:color="auto"/>
                <w:right w:val="none" w:sz="0" w:space="0" w:color="auto"/>
              </w:divBdr>
            </w:div>
            <w:div w:id="1383601853">
              <w:marLeft w:val="0"/>
              <w:marRight w:val="0"/>
              <w:marTop w:val="0"/>
              <w:marBottom w:val="0"/>
              <w:divBdr>
                <w:top w:val="none" w:sz="0" w:space="0" w:color="auto"/>
                <w:left w:val="none" w:sz="0" w:space="0" w:color="auto"/>
                <w:bottom w:val="none" w:sz="0" w:space="0" w:color="auto"/>
                <w:right w:val="none" w:sz="0" w:space="0" w:color="auto"/>
              </w:divBdr>
            </w:div>
            <w:div w:id="1562328419">
              <w:marLeft w:val="0"/>
              <w:marRight w:val="0"/>
              <w:marTop w:val="0"/>
              <w:marBottom w:val="0"/>
              <w:divBdr>
                <w:top w:val="none" w:sz="0" w:space="0" w:color="auto"/>
                <w:left w:val="none" w:sz="0" w:space="0" w:color="auto"/>
                <w:bottom w:val="none" w:sz="0" w:space="0" w:color="auto"/>
                <w:right w:val="none" w:sz="0" w:space="0" w:color="auto"/>
              </w:divBdr>
            </w:div>
            <w:div w:id="1576206605">
              <w:marLeft w:val="0"/>
              <w:marRight w:val="0"/>
              <w:marTop w:val="0"/>
              <w:marBottom w:val="0"/>
              <w:divBdr>
                <w:top w:val="none" w:sz="0" w:space="0" w:color="auto"/>
                <w:left w:val="none" w:sz="0" w:space="0" w:color="auto"/>
                <w:bottom w:val="none" w:sz="0" w:space="0" w:color="auto"/>
                <w:right w:val="none" w:sz="0" w:space="0" w:color="auto"/>
              </w:divBdr>
            </w:div>
            <w:div w:id="1586567666">
              <w:marLeft w:val="0"/>
              <w:marRight w:val="0"/>
              <w:marTop w:val="0"/>
              <w:marBottom w:val="0"/>
              <w:divBdr>
                <w:top w:val="none" w:sz="0" w:space="0" w:color="auto"/>
                <w:left w:val="none" w:sz="0" w:space="0" w:color="auto"/>
                <w:bottom w:val="none" w:sz="0" w:space="0" w:color="auto"/>
                <w:right w:val="none" w:sz="0" w:space="0" w:color="auto"/>
              </w:divBdr>
            </w:div>
            <w:div w:id="1616134591">
              <w:marLeft w:val="0"/>
              <w:marRight w:val="0"/>
              <w:marTop w:val="0"/>
              <w:marBottom w:val="0"/>
              <w:divBdr>
                <w:top w:val="none" w:sz="0" w:space="0" w:color="auto"/>
                <w:left w:val="none" w:sz="0" w:space="0" w:color="auto"/>
                <w:bottom w:val="none" w:sz="0" w:space="0" w:color="auto"/>
                <w:right w:val="none" w:sz="0" w:space="0" w:color="auto"/>
              </w:divBdr>
            </w:div>
            <w:div w:id="1696536305">
              <w:marLeft w:val="0"/>
              <w:marRight w:val="0"/>
              <w:marTop w:val="0"/>
              <w:marBottom w:val="0"/>
              <w:divBdr>
                <w:top w:val="none" w:sz="0" w:space="0" w:color="auto"/>
                <w:left w:val="none" w:sz="0" w:space="0" w:color="auto"/>
                <w:bottom w:val="none" w:sz="0" w:space="0" w:color="auto"/>
                <w:right w:val="none" w:sz="0" w:space="0" w:color="auto"/>
              </w:divBdr>
            </w:div>
            <w:div w:id="1713534506">
              <w:marLeft w:val="0"/>
              <w:marRight w:val="0"/>
              <w:marTop w:val="0"/>
              <w:marBottom w:val="0"/>
              <w:divBdr>
                <w:top w:val="none" w:sz="0" w:space="0" w:color="auto"/>
                <w:left w:val="none" w:sz="0" w:space="0" w:color="auto"/>
                <w:bottom w:val="none" w:sz="0" w:space="0" w:color="auto"/>
                <w:right w:val="none" w:sz="0" w:space="0" w:color="auto"/>
              </w:divBdr>
            </w:div>
            <w:div w:id="1731229243">
              <w:marLeft w:val="0"/>
              <w:marRight w:val="0"/>
              <w:marTop w:val="0"/>
              <w:marBottom w:val="0"/>
              <w:divBdr>
                <w:top w:val="none" w:sz="0" w:space="0" w:color="auto"/>
                <w:left w:val="none" w:sz="0" w:space="0" w:color="auto"/>
                <w:bottom w:val="none" w:sz="0" w:space="0" w:color="auto"/>
                <w:right w:val="none" w:sz="0" w:space="0" w:color="auto"/>
              </w:divBdr>
            </w:div>
            <w:div w:id="1857504504">
              <w:marLeft w:val="0"/>
              <w:marRight w:val="0"/>
              <w:marTop w:val="0"/>
              <w:marBottom w:val="0"/>
              <w:divBdr>
                <w:top w:val="none" w:sz="0" w:space="0" w:color="auto"/>
                <w:left w:val="none" w:sz="0" w:space="0" w:color="auto"/>
                <w:bottom w:val="none" w:sz="0" w:space="0" w:color="auto"/>
                <w:right w:val="none" w:sz="0" w:space="0" w:color="auto"/>
              </w:divBdr>
            </w:div>
            <w:div w:id="2009669126">
              <w:marLeft w:val="0"/>
              <w:marRight w:val="0"/>
              <w:marTop w:val="0"/>
              <w:marBottom w:val="0"/>
              <w:divBdr>
                <w:top w:val="none" w:sz="0" w:space="0" w:color="auto"/>
                <w:left w:val="none" w:sz="0" w:space="0" w:color="auto"/>
                <w:bottom w:val="none" w:sz="0" w:space="0" w:color="auto"/>
                <w:right w:val="none" w:sz="0" w:space="0" w:color="auto"/>
              </w:divBdr>
            </w:div>
          </w:divsChild>
        </w:div>
        <w:div w:id="1459255134">
          <w:marLeft w:val="0"/>
          <w:marRight w:val="0"/>
          <w:marTop w:val="0"/>
          <w:marBottom w:val="0"/>
          <w:divBdr>
            <w:top w:val="none" w:sz="0" w:space="0" w:color="auto"/>
            <w:left w:val="none" w:sz="0" w:space="0" w:color="auto"/>
            <w:bottom w:val="none" w:sz="0" w:space="0" w:color="auto"/>
            <w:right w:val="none" w:sz="0" w:space="0" w:color="auto"/>
          </w:divBdr>
          <w:divsChild>
            <w:div w:id="1347488711">
              <w:marLeft w:val="-75"/>
              <w:marRight w:val="0"/>
              <w:marTop w:val="30"/>
              <w:marBottom w:val="30"/>
              <w:divBdr>
                <w:top w:val="none" w:sz="0" w:space="0" w:color="auto"/>
                <w:left w:val="none" w:sz="0" w:space="0" w:color="auto"/>
                <w:bottom w:val="none" w:sz="0" w:space="0" w:color="auto"/>
                <w:right w:val="none" w:sz="0" w:space="0" w:color="auto"/>
              </w:divBdr>
              <w:divsChild>
                <w:div w:id="40061190">
                  <w:marLeft w:val="0"/>
                  <w:marRight w:val="0"/>
                  <w:marTop w:val="0"/>
                  <w:marBottom w:val="0"/>
                  <w:divBdr>
                    <w:top w:val="none" w:sz="0" w:space="0" w:color="auto"/>
                    <w:left w:val="none" w:sz="0" w:space="0" w:color="auto"/>
                    <w:bottom w:val="none" w:sz="0" w:space="0" w:color="auto"/>
                    <w:right w:val="none" w:sz="0" w:space="0" w:color="auto"/>
                  </w:divBdr>
                  <w:divsChild>
                    <w:div w:id="1349215246">
                      <w:marLeft w:val="0"/>
                      <w:marRight w:val="0"/>
                      <w:marTop w:val="0"/>
                      <w:marBottom w:val="0"/>
                      <w:divBdr>
                        <w:top w:val="none" w:sz="0" w:space="0" w:color="auto"/>
                        <w:left w:val="none" w:sz="0" w:space="0" w:color="auto"/>
                        <w:bottom w:val="none" w:sz="0" w:space="0" w:color="auto"/>
                        <w:right w:val="none" w:sz="0" w:space="0" w:color="auto"/>
                      </w:divBdr>
                    </w:div>
                  </w:divsChild>
                </w:div>
                <w:div w:id="51078542">
                  <w:marLeft w:val="0"/>
                  <w:marRight w:val="0"/>
                  <w:marTop w:val="0"/>
                  <w:marBottom w:val="0"/>
                  <w:divBdr>
                    <w:top w:val="none" w:sz="0" w:space="0" w:color="auto"/>
                    <w:left w:val="none" w:sz="0" w:space="0" w:color="auto"/>
                    <w:bottom w:val="none" w:sz="0" w:space="0" w:color="auto"/>
                    <w:right w:val="none" w:sz="0" w:space="0" w:color="auto"/>
                  </w:divBdr>
                  <w:divsChild>
                    <w:div w:id="840975151">
                      <w:marLeft w:val="0"/>
                      <w:marRight w:val="0"/>
                      <w:marTop w:val="0"/>
                      <w:marBottom w:val="0"/>
                      <w:divBdr>
                        <w:top w:val="none" w:sz="0" w:space="0" w:color="auto"/>
                        <w:left w:val="none" w:sz="0" w:space="0" w:color="auto"/>
                        <w:bottom w:val="none" w:sz="0" w:space="0" w:color="auto"/>
                        <w:right w:val="none" w:sz="0" w:space="0" w:color="auto"/>
                      </w:divBdr>
                    </w:div>
                  </w:divsChild>
                </w:div>
                <w:div w:id="53745253">
                  <w:marLeft w:val="0"/>
                  <w:marRight w:val="0"/>
                  <w:marTop w:val="0"/>
                  <w:marBottom w:val="0"/>
                  <w:divBdr>
                    <w:top w:val="none" w:sz="0" w:space="0" w:color="auto"/>
                    <w:left w:val="none" w:sz="0" w:space="0" w:color="auto"/>
                    <w:bottom w:val="none" w:sz="0" w:space="0" w:color="auto"/>
                    <w:right w:val="none" w:sz="0" w:space="0" w:color="auto"/>
                  </w:divBdr>
                  <w:divsChild>
                    <w:div w:id="509560880">
                      <w:marLeft w:val="0"/>
                      <w:marRight w:val="0"/>
                      <w:marTop w:val="0"/>
                      <w:marBottom w:val="0"/>
                      <w:divBdr>
                        <w:top w:val="none" w:sz="0" w:space="0" w:color="auto"/>
                        <w:left w:val="none" w:sz="0" w:space="0" w:color="auto"/>
                        <w:bottom w:val="none" w:sz="0" w:space="0" w:color="auto"/>
                        <w:right w:val="none" w:sz="0" w:space="0" w:color="auto"/>
                      </w:divBdr>
                    </w:div>
                  </w:divsChild>
                </w:div>
                <w:div w:id="83427606">
                  <w:marLeft w:val="0"/>
                  <w:marRight w:val="0"/>
                  <w:marTop w:val="0"/>
                  <w:marBottom w:val="0"/>
                  <w:divBdr>
                    <w:top w:val="none" w:sz="0" w:space="0" w:color="auto"/>
                    <w:left w:val="none" w:sz="0" w:space="0" w:color="auto"/>
                    <w:bottom w:val="none" w:sz="0" w:space="0" w:color="auto"/>
                    <w:right w:val="none" w:sz="0" w:space="0" w:color="auto"/>
                  </w:divBdr>
                  <w:divsChild>
                    <w:div w:id="2025470003">
                      <w:marLeft w:val="0"/>
                      <w:marRight w:val="0"/>
                      <w:marTop w:val="0"/>
                      <w:marBottom w:val="0"/>
                      <w:divBdr>
                        <w:top w:val="none" w:sz="0" w:space="0" w:color="auto"/>
                        <w:left w:val="none" w:sz="0" w:space="0" w:color="auto"/>
                        <w:bottom w:val="none" w:sz="0" w:space="0" w:color="auto"/>
                        <w:right w:val="none" w:sz="0" w:space="0" w:color="auto"/>
                      </w:divBdr>
                    </w:div>
                  </w:divsChild>
                </w:div>
                <w:div w:id="144317157">
                  <w:marLeft w:val="0"/>
                  <w:marRight w:val="0"/>
                  <w:marTop w:val="0"/>
                  <w:marBottom w:val="0"/>
                  <w:divBdr>
                    <w:top w:val="none" w:sz="0" w:space="0" w:color="auto"/>
                    <w:left w:val="none" w:sz="0" w:space="0" w:color="auto"/>
                    <w:bottom w:val="none" w:sz="0" w:space="0" w:color="auto"/>
                    <w:right w:val="none" w:sz="0" w:space="0" w:color="auto"/>
                  </w:divBdr>
                  <w:divsChild>
                    <w:div w:id="1389037992">
                      <w:marLeft w:val="0"/>
                      <w:marRight w:val="0"/>
                      <w:marTop w:val="0"/>
                      <w:marBottom w:val="0"/>
                      <w:divBdr>
                        <w:top w:val="none" w:sz="0" w:space="0" w:color="auto"/>
                        <w:left w:val="none" w:sz="0" w:space="0" w:color="auto"/>
                        <w:bottom w:val="none" w:sz="0" w:space="0" w:color="auto"/>
                        <w:right w:val="none" w:sz="0" w:space="0" w:color="auto"/>
                      </w:divBdr>
                    </w:div>
                  </w:divsChild>
                </w:div>
                <w:div w:id="202593175">
                  <w:marLeft w:val="0"/>
                  <w:marRight w:val="0"/>
                  <w:marTop w:val="0"/>
                  <w:marBottom w:val="0"/>
                  <w:divBdr>
                    <w:top w:val="none" w:sz="0" w:space="0" w:color="auto"/>
                    <w:left w:val="none" w:sz="0" w:space="0" w:color="auto"/>
                    <w:bottom w:val="none" w:sz="0" w:space="0" w:color="auto"/>
                    <w:right w:val="none" w:sz="0" w:space="0" w:color="auto"/>
                  </w:divBdr>
                  <w:divsChild>
                    <w:div w:id="1688217503">
                      <w:marLeft w:val="0"/>
                      <w:marRight w:val="0"/>
                      <w:marTop w:val="0"/>
                      <w:marBottom w:val="0"/>
                      <w:divBdr>
                        <w:top w:val="none" w:sz="0" w:space="0" w:color="auto"/>
                        <w:left w:val="none" w:sz="0" w:space="0" w:color="auto"/>
                        <w:bottom w:val="none" w:sz="0" w:space="0" w:color="auto"/>
                        <w:right w:val="none" w:sz="0" w:space="0" w:color="auto"/>
                      </w:divBdr>
                    </w:div>
                  </w:divsChild>
                </w:div>
                <w:div w:id="275525598">
                  <w:marLeft w:val="0"/>
                  <w:marRight w:val="0"/>
                  <w:marTop w:val="0"/>
                  <w:marBottom w:val="0"/>
                  <w:divBdr>
                    <w:top w:val="none" w:sz="0" w:space="0" w:color="auto"/>
                    <w:left w:val="none" w:sz="0" w:space="0" w:color="auto"/>
                    <w:bottom w:val="none" w:sz="0" w:space="0" w:color="auto"/>
                    <w:right w:val="none" w:sz="0" w:space="0" w:color="auto"/>
                  </w:divBdr>
                  <w:divsChild>
                    <w:div w:id="665398696">
                      <w:marLeft w:val="0"/>
                      <w:marRight w:val="0"/>
                      <w:marTop w:val="0"/>
                      <w:marBottom w:val="0"/>
                      <w:divBdr>
                        <w:top w:val="none" w:sz="0" w:space="0" w:color="auto"/>
                        <w:left w:val="none" w:sz="0" w:space="0" w:color="auto"/>
                        <w:bottom w:val="none" w:sz="0" w:space="0" w:color="auto"/>
                        <w:right w:val="none" w:sz="0" w:space="0" w:color="auto"/>
                      </w:divBdr>
                    </w:div>
                  </w:divsChild>
                </w:div>
                <w:div w:id="282157339">
                  <w:marLeft w:val="0"/>
                  <w:marRight w:val="0"/>
                  <w:marTop w:val="0"/>
                  <w:marBottom w:val="0"/>
                  <w:divBdr>
                    <w:top w:val="none" w:sz="0" w:space="0" w:color="auto"/>
                    <w:left w:val="none" w:sz="0" w:space="0" w:color="auto"/>
                    <w:bottom w:val="none" w:sz="0" w:space="0" w:color="auto"/>
                    <w:right w:val="none" w:sz="0" w:space="0" w:color="auto"/>
                  </w:divBdr>
                  <w:divsChild>
                    <w:div w:id="1680234409">
                      <w:marLeft w:val="0"/>
                      <w:marRight w:val="0"/>
                      <w:marTop w:val="0"/>
                      <w:marBottom w:val="0"/>
                      <w:divBdr>
                        <w:top w:val="none" w:sz="0" w:space="0" w:color="auto"/>
                        <w:left w:val="none" w:sz="0" w:space="0" w:color="auto"/>
                        <w:bottom w:val="none" w:sz="0" w:space="0" w:color="auto"/>
                        <w:right w:val="none" w:sz="0" w:space="0" w:color="auto"/>
                      </w:divBdr>
                    </w:div>
                  </w:divsChild>
                </w:div>
                <w:div w:id="310720444">
                  <w:marLeft w:val="0"/>
                  <w:marRight w:val="0"/>
                  <w:marTop w:val="0"/>
                  <w:marBottom w:val="0"/>
                  <w:divBdr>
                    <w:top w:val="none" w:sz="0" w:space="0" w:color="auto"/>
                    <w:left w:val="none" w:sz="0" w:space="0" w:color="auto"/>
                    <w:bottom w:val="none" w:sz="0" w:space="0" w:color="auto"/>
                    <w:right w:val="none" w:sz="0" w:space="0" w:color="auto"/>
                  </w:divBdr>
                  <w:divsChild>
                    <w:div w:id="918439164">
                      <w:marLeft w:val="0"/>
                      <w:marRight w:val="0"/>
                      <w:marTop w:val="0"/>
                      <w:marBottom w:val="0"/>
                      <w:divBdr>
                        <w:top w:val="none" w:sz="0" w:space="0" w:color="auto"/>
                        <w:left w:val="none" w:sz="0" w:space="0" w:color="auto"/>
                        <w:bottom w:val="none" w:sz="0" w:space="0" w:color="auto"/>
                        <w:right w:val="none" w:sz="0" w:space="0" w:color="auto"/>
                      </w:divBdr>
                    </w:div>
                  </w:divsChild>
                </w:div>
                <w:div w:id="313335368">
                  <w:marLeft w:val="0"/>
                  <w:marRight w:val="0"/>
                  <w:marTop w:val="0"/>
                  <w:marBottom w:val="0"/>
                  <w:divBdr>
                    <w:top w:val="none" w:sz="0" w:space="0" w:color="auto"/>
                    <w:left w:val="none" w:sz="0" w:space="0" w:color="auto"/>
                    <w:bottom w:val="none" w:sz="0" w:space="0" w:color="auto"/>
                    <w:right w:val="none" w:sz="0" w:space="0" w:color="auto"/>
                  </w:divBdr>
                  <w:divsChild>
                    <w:div w:id="1148089689">
                      <w:marLeft w:val="0"/>
                      <w:marRight w:val="0"/>
                      <w:marTop w:val="0"/>
                      <w:marBottom w:val="0"/>
                      <w:divBdr>
                        <w:top w:val="none" w:sz="0" w:space="0" w:color="auto"/>
                        <w:left w:val="none" w:sz="0" w:space="0" w:color="auto"/>
                        <w:bottom w:val="none" w:sz="0" w:space="0" w:color="auto"/>
                        <w:right w:val="none" w:sz="0" w:space="0" w:color="auto"/>
                      </w:divBdr>
                    </w:div>
                  </w:divsChild>
                </w:div>
                <w:div w:id="533420201">
                  <w:marLeft w:val="0"/>
                  <w:marRight w:val="0"/>
                  <w:marTop w:val="0"/>
                  <w:marBottom w:val="0"/>
                  <w:divBdr>
                    <w:top w:val="none" w:sz="0" w:space="0" w:color="auto"/>
                    <w:left w:val="none" w:sz="0" w:space="0" w:color="auto"/>
                    <w:bottom w:val="none" w:sz="0" w:space="0" w:color="auto"/>
                    <w:right w:val="none" w:sz="0" w:space="0" w:color="auto"/>
                  </w:divBdr>
                  <w:divsChild>
                    <w:div w:id="457341361">
                      <w:marLeft w:val="0"/>
                      <w:marRight w:val="0"/>
                      <w:marTop w:val="0"/>
                      <w:marBottom w:val="0"/>
                      <w:divBdr>
                        <w:top w:val="none" w:sz="0" w:space="0" w:color="auto"/>
                        <w:left w:val="none" w:sz="0" w:space="0" w:color="auto"/>
                        <w:bottom w:val="none" w:sz="0" w:space="0" w:color="auto"/>
                        <w:right w:val="none" w:sz="0" w:space="0" w:color="auto"/>
                      </w:divBdr>
                    </w:div>
                  </w:divsChild>
                </w:div>
                <w:div w:id="592787159">
                  <w:marLeft w:val="0"/>
                  <w:marRight w:val="0"/>
                  <w:marTop w:val="0"/>
                  <w:marBottom w:val="0"/>
                  <w:divBdr>
                    <w:top w:val="none" w:sz="0" w:space="0" w:color="auto"/>
                    <w:left w:val="none" w:sz="0" w:space="0" w:color="auto"/>
                    <w:bottom w:val="none" w:sz="0" w:space="0" w:color="auto"/>
                    <w:right w:val="none" w:sz="0" w:space="0" w:color="auto"/>
                  </w:divBdr>
                  <w:divsChild>
                    <w:div w:id="1178421294">
                      <w:marLeft w:val="0"/>
                      <w:marRight w:val="0"/>
                      <w:marTop w:val="0"/>
                      <w:marBottom w:val="0"/>
                      <w:divBdr>
                        <w:top w:val="none" w:sz="0" w:space="0" w:color="auto"/>
                        <w:left w:val="none" w:sz="0" w:space="0" w:color="auto"/>
                        <w:bottom w:val="none" w:sz="0" w:space="0" w:color="auto"/>
                        <w:right w:val="none" w:sz="0" w:space="0" w:color="auto"/>
                      </w:divBdr>
                    </w:div>
                  </w:divsChild>
                </w:div>
                <w:div w:id="609315596">
                  <w:marLeft w:val="0"/>
                  <w:marRight w:val="0"/>
                  <w:marTop w:val="0"/>
                  <w:marBottom w:val="0"/>
                  <w:divBdr>
                    <w:top w:val="none" w:sz="0" w:space="0" w:color="auto"/>
                    <w:left w:val="none" w:sz="0" w:space="0" w:color="auto"/>
                    <w:bottom w:val="none" w:sz="0" w:space="0" w:color="auto"/>
                    <w:right w:val="none" w:sz="0" w:space="0" w:color="auto"/>
                  </w:divBdr>
                  <w:divsChild>
                    <w:div w:id="861481351">
                      <w:marLeft w:val="0"/>
                      <w:marRight w:val="0"/>
                      <w:marTop w:val="0"/>
                      <w:marBottom w:val="0"/>
                      <w:divBdr>
                        <w:top w:val="none" w:sz="0" w:space="0" w:color="auto"/>
                        <w:left w:val="none" w:sz="0" w:space="0" w:color="auto"/>
                        <w:bottom w:val="none" w:sz="0" w:space="0" w:color="auto"/>
                        <w:right w:val="none" w:sz="0" w:space="0" w:color="auto"/>
                      </w:divBdr>
                    </w:div>
                  </w:divsChild>
                </w:div>
                <w:div w:id="832647629">
                  <w:marLeft w:val="0"/>
                  <w:marRight w:val="0"/>
                  <w:marTop w:val="0"/>
                  <w:marBottom w:val="0"/>
                  <w:divBdr>
                    <w:top w:val="none" w:sz="0" w:space="0" w:color="auto"/>
                    <w:left w:val="none" w:sz="0" w:space="0" w:color="auto"/>
                    <w:bottom w:val="none" w:sz="0" w:space="0" w:color="auto"/>
                    <w:right w:val="none" w:sz="0" w:space="0" w:color="auto"/>
                  </w:divBdr>
                  <w:divsChild>
                    <w:div w:id="1822499280">
                      <w:marLeft w:val="0"/>
                      <w:marRight w:val="0"/>
                      <w:marTop w:val="0"/>
                      <w:marBottom w:val="0"/>
                      <w:divBdr>
                        <w:top w:val="none" w:sz="0" w:space="0" w:color="auto"/>
                        <w:left w:val="none" w:sz="0" w:space="0" w:color="auto"/>
                        <w:bottom w:val="none" w:sz="0" w:space="0" w:color="auto"/>
                        <w:right w:val="none" w:sz="0" w:space="0" w:color="auto"/>
                      </w:divBdr>
                    </w:div>
                  </w:divsChild>
                </w:div>
                <w:div w:id="928932365">
                  <w:marLeft w:val="0"/>
                  <w:marRight w:val="0"/>
                  <w:marTop w:val="0"/>
                  <w:marBottom w:val="0"/>
                  <w:divBdr>
                    <w:top w:val="none" w:sz="0" w:space="0" w:color="auto"/>
                    <w:left w:val="none" w:sz="0" w:space="0" w:color="auto"/>
                    <w:bottom w:val="none" w:sz="0" w:space="0" w:color="auto"/>
                    <w:right w:val="none" w:sz="0" w:space="0" w:color="auto"/>
                  </w:divBdr>
                  <w:divsChild>
                    <w:div w:id="1499879728">
                      <w:marLeft w:val="0"/>
                      <w:marRight w:val="0"/>
                      <w:marTop w:val="0"/>
                      <w:marBottom w:val="0"/>
                      <w:divBdr>
                        <w:top w:val="none" w:sz="0" w:space="0" w:color="auto"/>
                        <w:left w:val="none" w:sz="0" w:space="0" w:color="auto"/>
                        <w:bottom w:val="none" w:sz="0" w:space="0" w:color="auto"/>
                        <w:right w:val="none" w:sz="0" w:space="0" w:color="auto"/>
                      </w:divBdr>
                    </w:div>
                  </w:divsChild>
                </w:div>
                <w:div w:id="941452973">
                  <w:marLeft w:val="0"/>
                  <w:marRight w:val="0"/>
                  <w:marTop w:val="0"/>
                  <w:marBottom w:val="0"/>
                  <w:divBdr>
                    <w:top w:val="none" w:sz="0" w:space="0" w:color="auto"/>
                    <w:left w:val="none" w:sz="0" w:space="0" w:color="auto"/>
                    <w:bottom w:val="none" w:sz="0" w:space="0" w:color="auto"/>
                    <w:right w:val="none" w:sz="0" w:space="0" w:color="auto"/>
                  </w:divBdr>
                  <w:divsChild>
                    <w:div w:id="1284924504">
                      <w:marLeft w:val="0"/>
                      <w:marRight w:val="0"/>
                      <w:marTop w:val="0"/>
                      <w:marBottom w:val="0"/>
                      <w:divBdr>
                        <w:top w:val="none" w:sz="0" w:space="0" w:color="auto"/>
                        <w:left w:val="none" w:sz="0" w:space="0" w:color="auto"/>
                        <w:bottom w:val="none" w:sz="0" w:space="0" w:color="auto"/>
                        <w:right w:val="none" w:sz="0" w:space="0" w:color="auto"/>
                      </w:divBdr>
                    </w:div>
                  </w:divsChild>
                </w:div>
                <w:div w:id="965234692">
                  <w:marLeft w:val="0"/>
                  <w:marRight w:val="0"/>
                  <w:marTop w:val="0"/>
                  <w:marBottom w:val="0"/>
                  <w:divBdr>
                    <w:top w:val="none" w:sz="0" w:space="0" w:color="auto"/>
                    <w:left w:val="none" w:sz="0" w:space="0" w:color="auto"/>
                    <w:bottom w:val="none" w:sz="0" w:space="0" w:color="auto"/>
                    <w:right w:val="none" w:sz="0" w:space="0" w:color="auto"/>
                  </w:divBdr>
                  <w:divsChild>
                    <w:div w:id="377628533">
                      <w:marLeft w:val="0"/>
                      <w:marRight w:val="0"/>
                      <w:marTop w:val="0"/>
                      <w:marBottom w:val="0"/>
                      <w:divBdr>
                        <w:top w:val="none" w:sz="0" w:space="0" w:color="auto"/>
                        <w:left w:val="none" w:sz="0" w:space="0" w:color="auto"/>
                        <w:bottom w:val="none" w:sz="0" w:space="0" w:color="auto"/>
                        <w:right w:val="none" w:sz="0" w:space="0" w:color="auto"/>
                      </w:divBdr>
                    </w:div>
                  </w:divsChild>
                </w:div>
                <w:div w:id="1011686580">
                  <w:marLeft w:val="0"/>
                  <w:marRight w:val="0"/>
                  <w:marTop w:val="0"/>
                  <w:marBottom w:val="0"/>
                  <w:divBdr>
                    <w:top w:val="none" w:sz="0" w:space="0" w:color="auto"/>
                    <w:left w:val="none" w:sz="0" w:space="0" w:color="auto"/>
                    <w:bottom w:val="none" w:sz="0" w:space="0" w:color="auto"/>
                    <w:right w:val="none" w:sz="0" w:space="0" w:color="auto"/>
                  </w:divBdr>
                  <w:divsChild>
                    <w:div w:id="270092124">
                      <w:marLeft w:val="0"/>
                      <w:marRight w:val="0"/>
                      <w:marTop w:val="0"/>
                      <w:marBottom w:val="0"/>
                      <w:divBdr>
                        <w:top w:val="none" w:sz="0" w:space="0" w:color="auto"/>
                        <w:left w:val="none" w:sz="0" w:space="0" w:color="auto"/>
                        <w:bottom w:val="none" w:sz="0" w:space="0" w:color="auto"/>
                        <w:right w:val="none" w:sz="0" w:space="0" w:color="auto"/>
                      </w:divBdr>
                    </w:div>
                  </w:divsChild>
                </w:div>
                <w:div w:id="1091194358">
                  <w:marLeft w:val="0"/>
                  <w:marRight w:val="0"/>
                  <w:marTop w:val="0"/>
                  <w:marBottom w:val="0"/>
                  <w:divBdr>
                    <w:top w:val="none" w:sz="0" w:space="0" w:color="auto"/>
                    <w:left w:val="none" w:sz="0" w:space="0" w:color="auto"/>
                    <w:bottom w:val="none" w:sz="0" w:space="0" w:color="auto"/>
                    <w:right w:val="none" w:sz="0" w:space="0" w:color="auto"/>
                  </w:divBdr>
                  <w:divsChild>
                    <w:div w:id="2019111684">
                      <w:marLeft w:val="0"/>
                      <w:marRight w:val="0"/>
                      <w:marTop w:val="0"/>
                      <w:marBottom w:val="0"/>
                      <w:divBdr>
                        <w:top w:val="none" w:sz="0" w:space="0" w:color="auto"/>
                        <w:left w:val="none" w:sz="0" w:space="0" w:color="auto"/>
                        <w:bottom w:val="none" w:sz="0" w:space="0" w:color="auto"/>
                        <w:right w:val="none" w:sz="0" w:space="0" w:color="auto"/>
                      </w:divBdr>
                    </w:div>
                  </w:divsChild>
                </w:div>
                <w:div w:id="1184517451">
                  <w:marLeft w:val="0"/>
                  <w:marRight w:val="0"/>
                  <w:marTop w:val="0"/>
                  <w:marBottom w:val="0"/>
                  <w:divBdr>
                    <w:top w:val="none" w:sz="0" w:space="0" w:color="auto"/>
                    <w:left w:val="none" w:sz="0" w:space="0" w:color="auto"/>
                    <w:bottom w:val="none" w:sz="0" w:space="0" w:color="auto"/>
                    <w:right w:val="none" w:sz="0" w:space="0" w:color="auto"/>
                  </w:divBdr>
                  <w:divsChild>
                    <w:div w:id="1997026880">
                      <w:marLeft w:val="0"/>
                      <w:marRight w:val="0"/>
                      <w:marTop w:val="0"/>
                      <w:marBottom w:val="0"/>
                      <w:divBdr>
                        <w:top w:val="none" w:sz="0" w:space="0" w:color="auto"/>
                        <w:left w:val="none" w:sz="0" w:space="0" w:color="auto"/>
                        <w:bottom w:val="none" w:sz="0" w:space="0" w:color="auto"/>
                        <w:right w:val="none" w:sz="0" w:space="0" w:color="auto"/>
                      </w:divBdr>
                    </w:div>
                  </w:divsChild>
                </w:div>
                <w:div w:id="1218858474">
                  <w:marLeft w:val="0"/>
                  <w:marRight w:val="0"/>
                  <w:marTop w:val="0"/>
                  <w:marBottom w:val="0"/>
                  <w:divBdr>
                    <w:top w:val="none" w:sz="0" w:space="0" w:color="auto"/>
                    <w:left w:val="none" w:sz="0" w:space="0" w:color="auto"/>
                    <w:bottom w:val="none" w:sz="0" w:space="0" w:color="auto"/>
                    <w:right w:val="none" w:sz="0" w:space="0" w:color="auto"/>
                  </w:divBdr>
                  <w:divsChild>
                    <w:div w:id="987783390">
                      <w:marLeft w:val="0"/>
                      <w:marRight w:val="0"/>
                      <w:marTop w:val="0"/>
                      <w:marBottom w:val="0"/>
                      <w:divBdr>
                        <w:top w:val="none" w:sz="0" w:space="0" w:color="auto"/>
                        <w:left w:val="none" w:sz="0" w:space="0" w:color="auto"/>
                        <w:bottom w:val="none" w:sz="0" w:space="0" w:color="auto"/>
                        <w:right w:val="none" w:sz="0" w:space="0" w:color="auto"/>
                      </w:divBdr>
                    </w:div>
                  </w:divsChild>
                </w:div>
                <w:div w:id="1231430125">
                  <w:marLeft w:val="0"/>
                  <w:marRight w:val="0"/>
                  <w:marTop w:val="0"/>
                  <w:marBottom w:val="0"/>
                  <w:divBdr>
                    <w:top w:val="none" w:sz="0" w:space="0" w:color="auto"/>
                    <w:left w:val="none" w:sz="0" w:space="0" w:color="auto"/>
                    <w:bottom w:val="none" w:sz="0" w:space="0" w:color="auto"/>
                    <w:right w:val="none" w:sz="0" w:space="0" w:color="auto"/>
                  </w:divBdr>
                  <w:divsChild>
                    <w:div w:id="568997537">
                      <w:marLeft w:val="0"/>
                      <w:marRight w:val="0"/>
                      <w:marTop w:val="0"/>
                      <w:marBottom w:val="0"/>
                      <w:divBdr>
                        <w:top w:val="none" w:sz="0" w:space="0" w:color="auto"/>
                        <w:left w:val="none" w:sz="0" w:space="0" w:color="auto"/>
                        <w:bottom w:val="none" w:sz="0" w:space="0" w:color="auto"/>
                        <w:right w:val="none" w:sz="0" w:space="0" w:color="auto"/>
                      </w:divBdr>
                    </w:div>
                  </w:divsChild>
                </w:div>
                <w:div w:id="1257179677">
                  <w:marLeft w:val="0"/>
                  <w:marRight w:val="0"/>
                  <w:marTop w:val="0"/>
                  <w:marBottom w:val="0"/>
                  <w:divBdr>
                    <w:top w:val="none" w:sz="0" w:space="0" w:color="auto"/>
                    <w:left w:val="none" w:sz="0" w:space="0" w:color="auto"/>
                    <w:bottom w:val="none" w:sz="0" w:space="0" w:color="auto"/>
                    <w:right w:val="none" w:sz="0" w:space="0" w:color="auto"/>
                  </w:divBdr>
                  <w:divsChild>
                    <w:div w:id="1743943487">
                      <w:marLeft w:val="0"/>
                      <w:marRight w:val="0"/>
                      <w:marTop w:val="0"/>
                      <w:marBottom w:val="0"/>
                      <w:divBdr>
                        <w:top w:val="none" w:sz="0" w:space="0" w:color="auto"/>
                        <w:left w:val="none" w:sz="0" w:space="0" w:color="auto"/>
                        <w:bottom w:val="none" w:sz="0" w:space="0" w:color="auto"/>
                        <w:right w:val="none" w:sz="0" w:space="0" w:color="auto"/>
                      </w:divBdr>
                    </w:div>
                  </w:divsChild>
                </w:div>
                <w:div w:id="1279332018">
                  <w:marLeft w:val="0"/>
                  <w:marRight w:val="0"/>
                  <w:marTop w:val="0"/>
                  <w:marBottom w:val="0"/>
                  <w:divBdr>
                    <w:top w:val="none" w:sz="0" w:space="0" w:color="auto"/>
                    <w:left w:val="none" w:sz="0" w:space="0" w:color="auto"/>
                    <w:bottom w:val="none" w:sz="0" w:space="0" w:color="auto"/>
                    <w:right w:val="none" w:sz="0" w:space="0" w:color="auto"/>
                  </w:divBdr>
                  <w:divsChild>
                    <w:div w:id="307592653">
                      <w:marLeft w:val="0"/>
                      <w:marRight w:val="0"/>
                      <w:marTop w:val="0"/>
                      <w:marBottom w:val="0"/>
                      <w:divBdr>
                        <w:top w:val="none" w:sz="0" w:space="0" w:color="auto"/>
                        <w:left w:val="none" w:sz="0" w:space="0" w:color="auto"/>
                        <w:bottom w:val="none" w:sz="0" w:space="0" w:color="auto"/>
                        <w:right w:val="none" w:sz="0" w:space="0" w:color="auto"/>
                      </w:divBdr>
                    </w:div>
                  </w:divsChild>
                </w:div>
                <w:div w:id="1306548589">
                  <w:marLeft w:val="0"/>
                  <w:marRight w:val="0"/>
                  <w:marTop w:val="0"/>
                  <w:marBottom w:val="0"/>
                  <w:divBdr>
                    <w:top w:val="none" w:sz="0" w:space="0" w:color="auto"/>
                    <w:left w:val="none" w:sz="0" w:space="0" w:color="auto"/>
                    <w:bottom w:val="none" w:sz="0" w:space="0" w:color="auto"/>
                    <w:right w:val="none" w:sz="0" w:space="0" w:color="auto"/>
                  </w:divBdr>
                  <w:divsChild>
                    <w:div w:id="2001040924">
                      <w:marLeft w:val="0"/>
                      <w:marRight w:val="0"/>
                      <w:marTop w:val="0"/>
                      <w:marBottom w:val="0"/>
                      <w:divBdr>
                        <w:top w:val="none" w:sz="0" w:space="0" w:color="auto"/>
                        <w:left w:val="none" w:sz="0" w:space="0" w:color="auto"/>
                        <w:bottom w:val="none" w:sz="0" w:space="0" w:color="auto"/>
                        <w:right w:val="none" w:sz="0" w:space="0" w:color="auto"/>
                      </w:divBdr>
                    </w:div>
                  </w:divsChild>
                </w:div>
                <w:div w:id="1334189988">
                  <w:marLeft w:val="0"/>
                  <w:marRight w:val="0"/>
                  <w:marTop w:val="0"/>
                  <w:marBottom w:val="0"/>
                  <w:divBdr>
                    <w:top w:val="none" w:sz="0" w:space="0" w:color="auto"/>
                    <w:left w:val="none" w:sz="0" w:space="0" w:color="auto"/>
                    <w:bottom w:val="none" w:sz="0" w:space="0" w:color="auto"/>
                    <w:right w:val="none" w:sz="0" w:space="0" w:color="auto"/>
                  </w:divBdr>
                  <w:divsChild>
                    <w:div w:id="2044670618">
                      <w:marLeft w:val="0"/>
                      <w:marRight w:val="0"/>
                      <w:marTop w:val="0"/>
                      <w:marBottom w:val="0"/>
                      <w:divBdr>
                        <w:top w:val="none" w:sz="0" w:space="0" w:color="auto"/>
                        <w:left w:val="none" w:sz="0" w:space="0" w:color="auto"/>
                        <w:bottom w:val="none" w:sz="0" w:space="0" w:color="auto"/>
                        <w:right w:val="none" w:sz="0" w:space="0" w:color="auto"/>
                      </w:divBdr>
                    </w:div>
                  </w:divsChild>
                </w:div>
                <w:div w:id="1397390665">
                  <w:marLeft w:val="0"/>
                  <w:marRight w:val="0"/>
                  <w:marTop w:val="0"/>
                  <w:marBottom w:val="0"/>
                  <w:divBdr>
                    <w:top w:val="none" w:sz="0" w:space="0" w:color="auto"/>
                    <w:left w:val="none" w:sz="0" w:space="0" w:color="auto"/>
                    <w:bottom w:val="none" w:sz="0" w:space="0" w:color="auto"/>
                    <w:right w:val="none" w:sz="0" w:space="0" w:color="auto"/>
                  </w:divBdr>
                  <w:divsChild>
                    <w:div w:id="1534466542">
                      <w:marLeft w:val="0"/>
                      <w:marRight w:val="0"/>
                      <w:marTop w:val="0"/>
                      <w:marBottom w:val="0"/>
                      <w:divBdr>
                        <w:top w:val="none" w:sz="0" w:space="0" w:color="auto"/>
                        <w:left w:val="none" w:sz="0" w:space="0" w:color="auto"/>
                        <w:bottom w:val="none" w:sz="0" w:space="0" w:color="auto"/>
                        <w:right w:val="none" w:sz="0" w:space="0" w:color="auto"/>
                      </w:divBdr>
                    </w:div>
                  </w:divsChild>
                </w:div>
                <w:div w:id="1403941407">
                  <w:marLeft w:val="0"/>
                  <w:marRight w:val="0"/>
                  <w:marTop w:val="0"/>
                  <w:marBottom w:val="0"/>
                  <w:divBdr>
                    <w:top w:val="none" w:sz="0" w:space="0" w:color="auto"/>
                    <w:left w:val="none" w:sz="0" w:space="0" w:color="auto"/>
                    <w:bottom w:val="none" w:sz="0" w:space="0" w:color="auto"/>
                    <w:right w:val="none" w:sz="0" w:space="0" w:color="auto"/>
                  </w:divBdr>
                  <w:divsChild>
                    <w:div w:id="1078988269">
                      <w:marLeft w:val="0"/>
                      <w:marRight w:val="0"/>
                      <w:marTop w:val="0"/>
                      <w:marBottom w:val="0"/>
                      <w:divBdr>
                        <w:top w:val="none" w:sz="0" w:space="0" w:color="auto"/>
                        <w:left w:val="none" w:sz="0" w:space="0" w:color="auto"/>
                        <w:bottom w:val="none" w:sz="0" w:space="0" w:color="auto"/>
                        <w:right w:val="none" w:sz="0" w:space="0" w:color="auto"/>
                      </w:divBdr>
                    </w:div>
                  </w:divsChild>
                </w:div>
                <w:div w:id="1486429842">
                  <w:marLeft w:val="0"/>
                  <w:marRight w:val="0"/>
                  <w:marTop w:val="0"/>
                  <w:marBottom w:val="0"/>
                  <w:divBdr>
                    <w:top w:val="none" w:sz="0" w:space="0" w:color="auto"/>
                    <w:left w:val="none" w:sz="0" w:space="0" w:color="auto"/>
                    <w:bottom w:val="none" w:sz="0" w:space="0" w:color="auto"/>
                    <w:right w:val="none" w:sz="0" w:space="0" w:color="auto"/>
                  </w:divBdr>
                  <w:divsChild>
                    <w:div w:id="1416634035">
                      <w:marLeft w:val="0"/>
                      <w:marRight w:val="0"/>
                      <w:marTop w:val="0"/>
                      <w:marBottom w:val="0"/>
                      <w:divBdr>
                        <w:top w:val="none" w:sz="0" w:space="0" w:color="auto"/>
                        <w:left w:val="none" w:sz="0" w:space="0" w:color="auto"/>
                        <w:bottom w:val="none" w:sz="0" w:space="0" w:color="auto"/>
                        <w:right w:val="none" w:sz="0" w:space="0" w:color="auto"/>
                      </w:divBdr>
                    </w:div>
                  </w:divsChild>
                </w:div>
                <w:div w:id="1528564769">
                  <w:marLeft w:val="0"/>
                  <w:marRight w:val="0"/>
                  <w:marTop w:val="0"/>
                  <w:marBottom w:val="0"/>
                  <w:divBdr>
                    <w:top w:val="none" w:sz="0" w:space="0" w:color="auto"/>
                    <w:left w:val="none" w:sz="0" w:space="0" w:color="auto"/>
                    <w:bottom w:val="none" w:sz="0" w:space="0" w:color="auto"/>
                    <w:right w:val="none" w:sz="0" w:space="0" w:color="auto"/>
                  </w:divBdr>
                  <w:divsChild>
                    <w:div w:id="1317879141">
                      <w:marLeft w:val="0"/>
                      <w:marRight w:val="0"/>
                      <w:marTop w:val="0"/>
                      <w:marBottom w:val="0"/>
                      <w:divBdr>
                        <w:top w:val="none" w:sz="0" w:space="0" w:color="auto"/>
                        <w:left w:val="none" w:sz="0" w:space="0" w:color="auto"/>
                        <w:bottom w:val="none" w:sz="0" w:space="0" w:color="auto"/>
                        <w:right w:val="none" w:sz="0" w:space="0" w:color="auto"/>
                      </w:divBdr>
                    </w:div>
                  </w:divsChild>
                </w:div>
                <w:div w:id="1707025309">
                  <w:marLeft w:val="0"/>
                  <w:marRight w:val="0"/>
                  <w:marTop w:val="0"/>
                  <w:marBottom w:val="0"/>
                  <w:divBdr>
                    <w:top w:val="none" w:sz="0" w:space="0" w:color="auto"/>
                    <w:left w:val="none" w:sz="0" w:space="0" w:color="auto"/>
                    <w:bottom w:val="none" w:sz="0" w:space="0" w:color="auto"/>
                    <w:right w:val="none" w:sz="0" w:space="0" w:color="auto"/>
                  </w:divBdr>
                  <w:divsChild>
                    <w:div w:id="2040616555">
                      <w:marLeft w:val="0"/>
                      <w:marRight w:val="0"/>
                      <w:marTop w:val="0"/>
                      <w:marBottom w:val="0"/>
                      <w:divBdr>
                        <w:top w:val="none" w:sz="0" w:space="0" w:color="auto"/>
                        <w:left w:val="none" w:sz="0" w:space="0" w:color="auto"/>
                        <w:bottom w:val="none" w:sz="0" w:space="0" w:color="auto"/>
                        <w:right w:val="none" w:sz="0" w:space="0" w:color="auto"/>
                      </w:divBdr>
                    </w:div>
                  </w:divsChild>
                </w:div>
                <w:div w:id="1810199898">
                  <w:marLeft w:val="0"/>
                  <w:marRight w:val="0"/>
                  <w:marTop w:val="0"/>
                  <w:marBottom w:val="0"/>
                  <w:divBdr>
                    <w:top w:val="none" w:sz="0" w:space="0" w:color="auto"/>
                    <w:left w:val="none" w:sz="0" w:space="0" w:color="auto"/>
                    <w:bottom w:val="none" w:sz="0" w:space="0" w:color="auto"/>
                    <w:right w:val="none" w:sz="0" w:space="0" w:color="auto"/>
                  </w:divBdr>
                  <w:divsChild>
                    <w:div w:id="789131557">
                      <w:marLeft w:val="0"/>
                      <w:marRight w:val="0"/>
                      <w:marTop w:val="0"/>
                      <w:marBottom w:val="0"/>
                      <w:divBdr>
                        <w:top w:val="none" w:sz="0" w:space="0" w:color="auto"/>
                        <w:left w:val="none" w:sz="0" w:space="0" w:color="auto"/>
                        <w:bottom w:val="none" w:sz="0" w:space="0" w:color="auto"/>
                        <w:right w:val="none" w:sz="0" w:space="0" w:color="auto"/>
                      </w:divBdr>
                    </w:div>
                  </w:divsChild>
                </w:div>
                <w:div w:id="1827742299">
                  <w:marLeft w:val="0"/>
                  <w:marRight w:val="0"/>
                  <w:marTop w:val="0"/>
                  <w:marBottom w:val="0"/>
                  <w:divBdr>
                    <w:top w:val="none" w:sz="0" w:space="0" w:color="auto"/>
                    <w:left w:val="none" w:sz="0" w:space="0" w:color="auto"/>
                    <w:bottom w:val="none" w:sz="0" w:space="0" w:color="auto"/>
                    <w:right w:val="none" w:sz="0" w:space="0" w:color="auto"/>
                  </w:divBdr>
                  <w:divsChild>
                    <w:div w:id="594828184">
                      <w:marLeft w:val="0"/>
                      <w:marRight w:val="0"/>
                      <w:marTop w:val="0"/>
                      <w:marBottom w:val="0"/>
                      <w:divBdr>
                        <w:top w:val="none" w:sz="0" w:space="0" w:color="auto"/>
                        <w:left w:val="none" w:sz="0" w:space="0" w:color="auto"/>
                        <w:bottom w:val="none" w:sz="0" w:space="0" w:color="auto"/>
                        <w:right w:val="none" w:sz="0" w:space="0" w:color="auto"/>
                      </w:divBdr>
                    </w:div>
                  </w:divsChild>
                </w:div>
                <w:div w:id="2010979274">
                  <w:marLeft w:val="0"/>
                  <w:marRight w:val="0"/>
                  <w:marTop w:val="0"/>
                  <w:marBottom w:val="0"/>
                  <w:divBdr>
                    <w:top w:val="none" w:sz="0" w:space="0" w:color="auto"/>
                    <w:left w:val="none" w:sz="0" w:space="0" w:color="auto"/>
                    <w:bottom w:val="none" w:sz="0" w:space="0" w:color="auto"/>
                    <w:right w:val="none" w:sz="0" w:space="0" w:color="auto"/>
                  </w:divBdr>
                  <w:divsChild>
                    <w:div w:id="2012369819">
                      <w:marLeft w:val="0"/>
                      <w:marRight w:val="0"/>
                      <w:marTop w:val="0"/>
                      <w:marBottom w:val="0"/>
                      <w:divBdr>
                        <w:top w:val="none" w:sz="0" w:space="0" w:color="auto"/>
                        <w:left w:val="none" w:sz="0" w:space="0" w:color="auto"/>
                        <w:bottom w:val="none" w:sz="0" w:space="0" w:color="auto"/>
                        <w:right w:val="none" w:sz="0" w:space="0" w:color="auto"/>
                      </w:divBdr>
                    </w:div>
                  </w:divsChild>
                </w:div>
                <w:div w:id="2014799957">
                  <w:marLeft w:val="0"/>
                  <w:marRight w:val="0"/>
                  <w:marTop w:val="0"/>
                  <w:marBottom w:val="0"/>
                  <w:divBdr>
                    <w:top w:val="none" w:sz="0" w:space="0" w:color="auto"/>
                    <w:left w:val="none" w:sz="0" w:space="0" w:color="auto"/>
                    <w:bottom w:val="none" w:sz="0" w:space="0" w:color="auto"/>
                    <w:right w:val="none" w:sz="0" w:space="0" w:color="auto"/>
                  </w:divBdr>
                  <w:divsChild>
                    <w:div w:id="1419475769">
                      <w:marLeft w:val="0"/>
                      <w:marRight w:val="0"/>
                      <w:marTop w:val="0"/>
                      <w:marBottom w:val="0"/>
                      <w:divBdr>
                        <w:top w:val="none" w:sz="0" w:space="0" w:color="auto"/>
                        <w:left w:val="none" w:sz="0" w:space="0" w:color="auto"/>
                        <w:bottom w:val="none" w:sz="0" w:space="0" w:color="auto"/>
                        <w:right w:val="none" w:sz="0" w:space="0" w:color="auto"/>
                      </w:divBdr>
                    </w:div>
                  </w:divsChild>
                </w:div>
                <w:div w:id="2052263455">
                  <w:marLeft w:val="0"/>
                  <w:marRight w:val="0"/>
                  <w:marTop w:val="0"/>
                  <w:marBottom w:val="0"/>
                  <w:divBdr>
                    <w:top w:val="none" w:sz="0" w:space="0" w:color="auto"/>
                    <w:left w:val="none" w:sz="0" w:space="0" w:color="auto"/>
                    <w:bottom w:val="none" w:sz="0" w:space="0" w:color="auto"/>
                    <w:right w:val="none" w:sz="0" w:space="0" w:color="auto"/>
                  </w:divBdr>
                  <w:divsChild>
                    <w:div w:id="76901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80999">
          <w:marLeft w:val="0"/>
          <w:marRight w:val="0"/>
          <w:marTop w:val="0"/>
          <w:marBottom w:val="0"/>
          <w:divBdr>
            <w:top w:val="none" w:sz="0" w:space="0" w:color="auto"/>
            <w:left w:val="none" w:sz="0" w:space="0" w:color="auto"/>
            <w:bottom w:val="none" w:sz="0" w:space="0" w:color="auto"/>
            <w:right w:val="none" w:sz="0" w:space="0" w:color="auto"/>
          </w:divBdr>
          <w:divsChild>
            <w:div w:id="1377655677">
              <w:marLeft w:val="-75"/>
              <w:marRight w:val="0"/>
              <w:marTop w:val="30"/>
              <w:marBottom w:val="30"/>
              <w:divBdr>
                <w:top w:val="none" w:sz="0" w:space="0" w:color="auto"/>
                <w:left w:val="none" w:sz="0" w:space="0" w:color="auto"/>
                <w:bottom w:val="none" w:sz="0" w:space="0" w:color="auto"/>
                <w:right w:val="none" w:sz="0" w:space="0" w:color="auto"/>
              </w:divBdr>
              <w:divsChild>
                <w:div w:id="31464008">
                  <w:marLeft w:val="0"/>
                  <w:marRight w:val="0"/>
                  <w:marTop w:val="0"/>
                  <w:marBottom w:val="0"/>
                  <w:divBdr>
                    <w:top w:val="none" w:sz="0" w:space="0" w:color="auto"/>
                    <w:left w:val="none" w:sz="0" w:space="0" w:color="auto"/>
                    <w:bottom w:val="none" w:sz="0" w:space="0" w:color="auto"/>
                    <w:right w:val="none" w:sz="0" w:space="0" w:color="auto"/>
                  </w:divBdr>
                  <w:divsChild>
                    <w:div w:id="1334065736">
                      <w:marLeft w:val="0"/>
                      <w:marRight w:val="0"/>
                      <w:marTop w:val="0"/>
                      <w:marBottom w:val="0"/>
                      <w:divBdr>
                        <w:top w:val="none" w:sz="0" w:space="0" w:color="auto"/>
                        <w:left w:val="none" w:sz="0" w:space="0" w:color="auto"/>
                        <w:bottom w:val="none" w:sz="0" w:space="0" w:color="auto"/>
                        <w:right w:val="none" w:sz="0" w:space="0" w:color="auto"/>
                      </w:divBdr>
                    </w:div>
                  </w:divsChild>
                </w:div>
                <w:div w:id="95637153">
                  <w:marLeft w:val="0"/>
                  <w:marRight w:val="0"/>
                  <w:marTop w:val="0"/>
                  <w:marBottom w:val="0"/>
                  <w:divBdr>
                    <w:top w:val="none" w:sz="0" w:space="0" w:color="auto"/>
                    <w:left w:val="none" w:sz="0" w:space="0" w:color="auto"/>
                    <w:bottom w:val="none" w:sz="0" w:space="0" w:color="auto"/>
                    <w:right w:val="none" w:sz="0" w:space="0" w:color="auto"/>
                  </w:divBdr>
                  <w:divsChild>
                    <w:div w:id="871307906">
                      <w:marLeft w:val="0"/>
                      <w:marRight w:val="0"/>
                      <w:marTop w:val="0"/>
                      <w:marBottom w:val="0"/>
                      <w:divBdr>
                        <w:top w:val="none" w:sz="0" w:space="0" w:color="auto"/>
                        <w:left w:val="none" w:sz="0" w:space="0" w:color="auto"/>
                        <w:bottom w:val="none" w:sz="0" w:space="0" w:color="auto"/>
                        <w:right w:val="none" w:sz="0" w:space="0" w:color="auto"/>
                      </w:divBdr>
                    </w:div>
                  </w:divsChild>
                </w:div>
                <w:div w:id="193617384">
                  <w:marLeft w:val="0"/>
                  <w:marRight w:val="0"/>
                  <w:marTop w:val="0"/>
                  <w:marBottom w:val="0"/>
                  <w:divBdr>
                    <w:top w:val="none" w:sz="0" w:space="0" w:color="auto"/>
                    <w:left w:val="none" w:sz="0" w:space="0" w:color="auto"/>
                    <w:bottom w:val="none" w:sz="0" w:space="0" w:color="auto"/>
                    <w:right w:val="none" w:sz="0" w:space="0" w:color="auto"/>
                  </w:divBdr>
                  <w:divsChild>
                    <w:div w:id="2075666141">
                      <w:marLeft w:val="0"/>
                      <w:marRight w:val="0"/>
                      <w:marTop w:val="0"/>
                      <w:marBottom w:val="0"/>
                      <w:divBdr>
                        <w:top w:val="none" w:sz="0" w:space="0" w:color="auto"/>
                        <w:left w:val="none" w:sz="0" w:space="0" w:color="auto"/>
                        <w:bottom w:val="none" w:sz="0" w:space="0" w:color="auto"/>
                        <w:right w:val="none" w:sz="0" w:space="0" w:color="auto"/>
                      </w:divBdr>
                    </w:div>
                  </w:divsChild>
                </w:div>
                <w:div w:id="248585003">
                  <w:marLeft w:val="0"/>
                  <w:marRight w:val="0"/>
                  <w:marTop w:val="0"/>
                  <w:marBottom w:val="0"/>
                  <w:divBdr>
                    <w:top w:val="none" w:sz="0" w:space="0" w:color="auto"/>
                    <w:left w:val="none" w:sz="0" w:space="0" w:color="auto"/>
                    <w:bottom w:val="none" w:sz="0" w:space="0" w:color="auto"/>
                    <w:right w:val="none" w:sz="0" w:space="0" w:color="auto"/>
                  </w:divBdr>
                  <w:divsChild>
                    <w:div w:id="1492990393">
                      <w:marLeft w:val="0"/>
                      <w:marRight w:val="0"/>
                      <w:marTop w:val="0"/>
                      <w:marBottom w:val="0"/>
                      <w:divBdr>
                        <w:top w:val="none" w:sz="0" w:space="0" w:color="auto"/>
                        <w:left w:val="none" w:sz="0" w:space="0" w:color="auto"/>
                        <w:bottom w:val="none" w:sz="0" w:space="0" w:color="auto"/>
                        <w:right w:val="none" w:sz="0" w:space="0" w:color="auto"/>
                      </w:divBdr>
                    </w:div>
                  </w:divsChild>
                </w:div>
                <w:div w:id="249897830">
                  <w:marLeft w:val="0"/>
                  <w:marRight w:val="0"/>
                  <w:marTop w:val="0"/>
                  <w:marBottom w:val="0"/>
                  <w:divBdr>
                    <w:top w:val="none" w:sz="0" w:space="0" w:color="auto"/>
                    <w:left w:val="none" w:sz="0" w:space="0" w:color="auto"/>
                    <w:bottom w:val="none" w:sz="0" w:space="0" w:color="auto"/>
                    <w:right w:val="none" w:sz="0" w:space="0" w:color="auto"/>
                  </w:divBdr>
                  <w:divsChild>
                    <w:div w:id="1084106578">
                      <w:marLeft w:val="0"/>
                      <w:marRight w:val="0"/>
                      <w:marTop w:val="0"/>
                      <w:marBottom w:val="0"/>
                      <w:divBdr>
                        <w:top w:val="none" w:sz="0" w:space="0" w:color="auto"/>
                        <w:left w:val="none" w:sz="0" w:space="0" w:color="auto"/>
                        <w:bottom w:val="none" w:sz="0" w:space="0" w:color="auto"/>
                        <w:right w:val="none" w:sz="0" w:space="0" w:color="auto"/>
                      </w:divBdr>
                    </w:div>
                  </w:divsChild>
                </w:div>
                <w:div w:id="317267201">
                  <w:marLeft w:val="0"/>
                  <w:marRight w:val="0"/>
                  <w:marTop w:val="0"/>
                  <w:marBottom w:val="0"/>
                  <w:divBdr>
                    <w:top w:val="none" w:sz="0" w:space="0" w:color="auto"/>
                    <w:left w:val="none" w:sz="0" w:space="0" w:color="auto"/>
                    <w:bottom w:val="none" w:sz="0" w:space="0" w:color="auto"/>
                    <w:right w:val="none" w:sz="0" w:space="0" w:color="auto"/>
                  </w:divBdr>
                  <w:divsChild>
                    <w:div w:id="814689557">
                      <w:marLeft w:val="0"/>
                      <w:marRight w:val="0"/>
                      <w:marTop w:val="0"/>
                      <w:marBottom w:val="0"/>
                      <w:divBdr>
                        <w:top w:val="none" w:sz="0" w:space="0" w:color="auto"/>
                        <w:left w:val="none" w:sz="0" w:space="0" w:color="auto"/>
                        <w:bottom w:val="none" w:sz="0" w:space="0" w:color="auto"/>
                        <w:right w:val="none" w:sz="0" w:space="0" w:color="auto"/>
                      </w:divBdr>
                    </w:div>
                  </w:divsChild>
                </w:div>
                <w:div w:id="382024277">
                  <w:marLeft w:val="0"/>
                  <w:marRight w:val="0"/>
                  <w:marTop w:val="0"/>
                  <w:marBottom w:val="0"/>
                  <w:divBdr>
                    <w:top w:val="none" w:sz="0" w:space="0" w:color="auto"/>
                    <w:left w:val="none" w:sz="0" w:space="0" w:color="auto"/>
                    <w:bottom w:val="none" w:sz="0" w:space="0" w:color="auto"/>
                    <w:right w:val="none" w:sz="0" w:space="0" w:color="auto"/>
                  </w:divBdr>
                  <w:divsChild>
                    <w:div w:id="2111923988">
                      <w:marLeft w:val="0"/>
                      <w:marRight w:val="0"/>
                      <w:marTop w:val="0"/>
                      <w:marBottom w:val="0"/>
                      <w:divBdr>
                        <w:top w:val="none" w:sz="0" w:space="0" w:color="auto"/>
                        <w:left w:val="none" w:sz="0" w:space="0" w:color="auto"/>
                        <w:bottom w:val="none" w:sz="0" w:space="0" w:color="auto"/>
                        <w:right w:val="none" w:sz="0" w:space="0" w:color="auto"/>
                      </w:divBdr>
                    </w:div>
                  </w:divsChild>
                </w:div>
                <w:div w:id="404646586">
                  <w:marLeft w:val="0"/>
                  <w:marRight w:val="0"/>
                  <w:marTop w:val="0"/>
                  <w:marBottom w:val="0"/>
                  <w:divBdr>
                    <w:top w:val="none" w:sz="0" w:space="0" w:color="auto"/>
                    <w:left w:val="none" w:sz="0" w:space="0" w:color="auto"/>
                    <w:bottom w:val="none" w:sz="0" w:space="0" w:color="auto"/>
                    <w:right w:val="none" w:sz="0" w:space="0" w:color="auto"/>
                  </w:divBdr>
                  <w:divsChild>
                    <w:div w:id="1405956854">
                      <w:marLeft w:val="0"/>
                      <w:marRight w:val="0"/>
                      <w:marTop w:val="0"/>
                      <w:marBottom w:val="0"/>
                      <w:divBdr>
                        <w:top w:val="none" w:sz="0" w:space="0" w:color="auto"/>
                        <w:left w:val="none" w:sz="0" w:space="0" w:color="auto"/>
                        <w:bottom w:val="none" w:sz="0" w:space="0" w:color="auto"/>
                        <w:right w:val="none" w:sz="0" w:space="0" w:color="auto"/>
                      </w:divBdr>
                    </w:div>
                  </w:divsChild>
                </w:div>
                <w:div w:id="427820132">
                  <w:marLeft w:val="0"/>
                  <w:marRight w:val="0"/>
                  <w:marTop w:val="0"/>
                  <w:marBottom w:val="0"/>
                  <w:divBdr>
                    <w:top w:val="none" w:sz="0" w:space="0" w:color="auto"/>
                    <w:left w:val="none" w:sz="0" w:space="0" w:color="auto"/>
                    <w:bottom w:val="none" w:sz="0" w:space="0" w:color="auto"/>
                    <w:right w:val="none" w:sz="0" w:space="0" w:color="auto"/>
                  </w:divBdr>
                  <w:divsChild>
                    <w:div w:id="1364281590">
                      <w:marLeft w:val="0"/>
                      <w:marRight w:val="0"/>
                      <w:marTop w:val="0"/>
                      <w:marBottom w:val="0"/>
                      <w:divBdr>
                        <w:top w:val="none" w:sz="0" w:space="0" w:color="auto"/>
                        <w:left w:val="none" w:sz="0" w:space="0" w:color="auto"/>
                        <w:bottom w:val="none" w:sz="0" w:space="0" w:color="auto"/>
                        <w:right w:val="none" w:sz="0" w:space="0" w:color="auto"/>
                      </w:divBdr>
                    </w:div>
                  </w:divsChild>
                </w:div>
                <w:div w:id="439419514">
                  <w:marLeft w:val="0"/>
                  <w:marRight w:val="0"/>
                  <w:marTop w:val="0"/>
                  <w:marBottom w:val="0"/>
                  <w:divBdr>
                    <w:top w:val="none" w:sz="0" w:space="0" w:color="auto"/>
                    <w:left w:val="none" w:sz="0" w:space="0" w:color="auto"/>
                    <w:bottom w:val="none" w:sz="0" w:space="0" w:color="auto"/>
                    <w:right w:val="none" w:sz="0" w:space="0" w:color="auto"/>
                  </w:divBdr>
                  <w:divsChild>
                    <w:div w:id="819735295">
                      <w:marLeft w:val="0"/>
                      <w:marRight w:val="0"/>
                      <w:marTop w:val="0"/>
                      <w:marBottom w:val="0"/>
                      <w:divBdr>
                        <w:top w:val="none" w:sz="0" w:space="0" w:color="auto"/>
                        <w:left w:val="none" w:sz="0" w:space="0" w:color="auto"/>
                        <w:bottom w:val="none" w:sz="0" w:space="0" w:color="auto"/>
                        <w:right w:val="none" w:sz="0" w:space="0" w:color="auto"/>
                      </w:divBdr>
                    </w:div>
                  </w:divsChild>
                </w:div>
                <w:div w:id="492257499">
                  <w:marLeft w:val="0"/>
                  <w:marRight w:val="0"/>
                  <w:marTop w:val="0"/>
                  <w:marBottom w:val="0"/>
                  <w:divBdr>
                    <w:top w:val="none" w:sz="0" w:space="0" w:color="auto"/>
                    <w:left w:val="none" w:sz="0" w:space="0" w:color="auto"/>
                    <w:bottom w:val="none" w:sz="0" w:space="0" w:color="auto"/>
                    <w:right w:val="none" w:sz="0" w:space="0" w:color="auto"/>
                  </w:divBdr>
                  <w:divsChild>
                    <w:div w:id="1800145461">
                      <w:marLeft w:val="0"/>
                      <w:marRight w:val="0"/>
                      <w:marTop w:val="0"/>
                      <w:marBottom w:val="0"/>
                      <w:divBdr>
                        <w:top w:val="none" w:sz="0" w:space="0" w:color="auto"/>
                        <w:left w:val="none" w:sz="0" w:space="0" w:color="auto"/>
                        <w:bottom w:val="none" w:sz="0" w:space="0" w:color="auto"/>
                        <w:right w:val="none" w:sz="0" w:space="0" w:color="auto"/>
                      </w:divBdr>
                    </w:div>
                  </w:divsChild>
                </w:div>
                <w:div w:id="513228773">
                  <w:marLeft w:val="0"/>
                  <w:marRight w:val="0"/>
                  <w:marTop w:val="0"/>
                  <w:marBottom w:val="0"/>
                  <w:divBdr>
                    <w:top w:val="none" w:sz="0" w:space="0" w:color="auto"/>
                    <w:left w:val="none" w:sz="0" w:space="0" w:color="auto"/>
                    <w:bottom w:val="none" w:sz="0" w:space="0" w:color="auto"/>
                    <w:right w:val="none" w:sz="0" w:space="0" w:color="auto"/>
                  </w:divBdr>
                  <w:divsChild>
                    <w:div w:id="1530988282">
                      <w:marLeft w:val="0"/>
                      <w:marRight w:val="0"/>
                      <w:marTop w:val="0"/>
                      <w:marBottom w:val="0"/>
                      <w:divBdr>
                        <w:top w:val="none" w:sz="0" w:space="0" w:color="auto"/>
                        <w:left w:val="none" w:sz="0" w:space="0" w:color="auto"/>
                        <w:bottom w:val="none" w:sz="0" w:space="0" w:color="auto"/>
                        <w:right w:val="none" w:sz="0" w:space="0" w:color="auto"/>
                      </w:divBdr>
                    </w:div>
                  </w:divsChild>
                </w:div>
                <w:div w:id="513695187">
                  <w:marLeft w:val="0"/>
                  <w:marRight w:val="0"/>
                  <w:marTop w:val="0"/>
                  <w:marBottom w:val="0"/>
                  <w:divBdr>
                    <w:top w:val="none" w:sz="0" w:space="0" w:color="auto"/>
                    <w:left w:val="none" w:sz="0" w:space="0" w:color="auto"/>
                    <w:bottom w:val="none" w:sz="0" w:space="0" w:color="auto"/>
                    <w:right w:val="none" w:sz="0" w:space="0" w:color="auto"/>
                  </w:divBdr>
                  <w:divsChild>
                    <w:div w:id="1736004401">
                      <w:marLeft w:val="0"/>
                      <w:marRight w:val="0"/>
                      <w:marTop w:val="0"/>
                      <w:marBottom w:val="0"/>
                      <w:divBdr>
                        <w:top w:val="none" w:sz="0" w:space="0" w:color="auto"/>
                        <w:left w:val="none" w:sz="0" w:space="0" w:color="auto"/>
                        <w:bottom w:val="none" w:sz="0" w:space="0" w:color="auto"/>
                        <w:right w:val="none" w:sz="0" w:space="0" w:color="auto"/>
                      </w:divBdr>
                    </w:div>
                  </w:divsChild>
                </w:div>
                <w:div w:id="641885711">
                  <w:marLeft w:val="0"/>
                  <w:marRight w:val="0"/>
                  <w:marTop w:val="0"/>
                  <w:marBottom w:val="0"/>
                  <w:divBdr>
                    <w:top w:val="none" w:sz="0" w:space="0" w:color="auto"/>
                    <w:left w:val="none" w:sz="0" w:space="0" w:color="auto"/>
                    <w:bottom w:val="none" w:sz="0" w:space="0" w:color="auto"/>
                    <w:right w:val="none" w:sz="0" w:space="0" w:color="auto"/>
                  </w:divBdr>
                  <w:divsChild>
                    <w:div w:id="285963607">
                      <w:marLeft w:val="0"/>
                      <w:marRight w:val="0"/>
                      <w:marTop w:val="0"/>
                      <w:marBottom w:val="0"/>
                      <w:divBdr>
                        <w:top w:val="none" w:sz="0" w:space="0" w:color="auto"/>
                        <w:left w:val="none" w:sz="0" w:space="0" w:color="auto"/>
                        <w:bottom w:val="none" w:sz="0" w:space="0" w:color="auto"/>
                        <w:right w:val="none" w:sz="0" w:space="0" w:color="auto"/>
                      </w:divBdr>
                    </w:div>
                  </w:divsChild>
                </w:div>
                <w:div w:id="687485777">
                  <w:marLeft w:val="0"/>
                  <w:marRight w:val="0"/>
                  <w:marTop w:val="0"/>
                  <w:marBottom w:val="0"/>
                  <w:divBdr>
                    <w:top w:val="none" w:sz="0" w:space="0" w:color="auto"/>
                    <w:left w:val="none" w:sz="0" w:space="0" w:color="auto"/>
                    <w:bottom w:val="none" w:sz="0" w:space="0" w:color="auto"/>
                    <w:right w:val="none" w:sz="0" w:space="0" w:color="auto"/>
                  </w:divBdr>
                  <w:divsChild>
                    <w:div w:id="111559499">
                      <w:marLeft w:val="0"/>
                      <w:marRight w:val="0"/>
                      <w:marTop w:val="0"/>
                      <w:marBottom w:val="0"/>
                      <w:divBdr>
                        <w:top w:val="none" w:sz="0" w:space="0" w:color="auto"/>
                        <w:left w:val="none" w:sz="0" w:space="0" w:color="auto"/>
                        <w:bottom w:val="none" w:sz="0" w:space="0" w:color="auto"/>
                        <w:right w:val="none" w:sz="0" w:space="0" w:color="auto"/>
                      </w:divBdr>
                    </w:div>
                  </w:divsChild>
                </w:div>
                <w:div w:id="767967392">
                  <w:marLeft w:val="0"/>
                  <w:marRight w:val="0"/>
                  <w:marTop w:val="0"/>
                  <w:marBottom w:val="0"/>
                  <w:divBdr>
                    <w:top w:val="none" w:sz="0" w:space="0" w:color="auto"/>
                    <w:left w:val="none" w:sz="0" w:space="0" w:color="auto"/>
                    <w:bottom w:val="none" w:sz="0" w:space="0" w:color="auto"/>
                    <w:right w:val="none" w:sz="0" w:space="0" w:color="auto"/>
                  </w:divBdr>
                  <w:divsChild>
                    <w:div w:id="727071332">
                      <w:marLeft w:val="0"/>
                      <w:marRight w:val="0"/>
                      <w:marTop w:val="0"/>
                      <w:marBottom w:val="0"/>
                      <w:divBdr>
                        <w:top w:val="none" w:sz="0" w:space="0" w:color="auto"/>
                        <w:left w:val="none" w:sz="0" w:space="0" w:color="auto"/>
                        <w:bottom w:val="none" w:sz="0" w:space="0" w:color="auto"/>
                        <w:right w:val="none" w:sz="0" w:space="0" w:color="auto"/>
                      </w:divBdr>
                    </w:div>
                  </w:divsChild>
                </w:div>
                <w:div w:id="783772200">
                  <w:marLeft w:val="0"/>
                  <w:marRight w:val="0"/>
                  <w:marTop w:val="0"/>
                  <w:marBottom w:val="0"/>
                  <w:divBdr>
                    <w:top w:val="none" w:sz="0" w:space="0" w:color="auto"/>
                    <w:left w:val="none" w:sz="0" w:space="0" w:color="auto"/>
                    <w:bottom w:val="none" w:sz="0" w:space="0" w:color="auto"/>
                    <w:right w:val="none" w:sz="0" w:space="0" w:color="auto"/>
                  </w:divBdr>
                  <w:divsChild>
                    <w:div w:id="2143503126">
                      <w:marLeft w:val="0"/>
                      <w:marRight w:val="0"/>
                      <w:marTop w:val="0"/>
                      <w:marBottom w:val="0"/>
                      <w:divBdr>
                        <w:top w:val="none" w:sz="0" w:space="0" w:color="auto"/>
                        <w:left w:val="none" w:sz="0" w:space="0" w:color="auto"/>
                        <w:bottom w:val="none" w:sz="0" w:space="0" w:color="auto"/>
                        <w:right w:val="none" w:sz="0" w:space="0" w:color="auto"/>
                      </w:divBdr>
                    </w:div>
                  </w:divsChild>
                </w:div>
                <w:div w:id="806236977">
                  <w:marLeft w:val="0"/>
                  <w:marRight w:val="0"/>
                  <w:marTop w:val="0"/>
                  <w:marBottom w:val="0"/>
                  <w:divBdr>
                    <w:top w:val="none" w:sz="0" w:space="0" w:color="auto"/>
                    <w:left w:val="none" w:sz="0" w:space="0" w:color="auto"/>
                    <w:bottom w:val="none" w:sz="0" w:space="0" w:color="auto"/>
                    <w:right w:val="none" w:sz="0" w:space="0" w:color="auto"/>
                  </w:divBdr>
                  <w:divsChild>
                    <w:div w:id="907154351">
                      <w:marLeft w:val="0"/>
                      <w:marRight w:val="0"/>
                      <w:marTop w:val="0"/>
                      <w:marBottom w:val="0"/>
                      <w:divBdr>
                        <w:top w:val="none" w:sz="0" w:space="0" w:color="auto"/>
                        <w:left w:val="none" w:sz="0" w:space="0" w:color="auto"/>
                        <w:bottom w:val="none" w:sz="0" w:space="0" w:color="auto"/>
                        <w:right w:val="none" w:sz="0" w:space="0" w:color="auto"/>
                      </w:divBdr>
                    </w:div>
                  </w:divsChild>
                </w:div>
                <w:div w:id="836388067">
                  <w:marLeft w:val="0"/>
                  <w:marRight w:val="0"/>
                  <w:marTop w:val="0"/>
                  <w:marBottom w:val="0"/>
                  <w:divBdr>
                    <w:top w:val="none" w:sz="0" w:space="0" w:color="auto"/>
                    <w:left w:val="none" w:sz="0" w:space="0" w:color="auto"/>
                    <w:bottom w:val="none" w:sz="0" w:space="0" w:color="auto"/>
                    <w:right w:val="none" w:sz="0" w:space="0" w:color="auto"/>
                  </w:divBdr>
                  <w:divsChild>
                    <w:div w:id="999649359">
                      <w:marLeft w:val="0"/>
                      <w:marRight w:val="0"/>
                      <w:marTop w:val="0"/>
                      <w:marBottom w:val="0"/>
                      <w:divBdr>
                        <w:top w:val="none" w:sz="0" w:space="0" w:color="auto"/>
                        <w:left w:val="none" w:sz="0" w:space="0" w:color="auto"/>
                        <w:bottom w:val="none" w:sz="0" w:space="0" w:color="auto"/>
                        <w:right w:val="none" w:sz="0" w:space="0" w:color="auto"/>
                      </w:divBdr>
                    </w:div>
                  </w:divsChild>
                </w:div>
                <w:div w:id="896744437">
                  <w:marLeft w:val="0"/>
                  <w:marRight w:val="0"/>
                  <w:marTop w:val="0"/>
                  <w:marBottom w:val="0"/>
                  <w:divBdr>
                    <w:top w:val="none" w:sz="0" w:space="0" w:color="auto"/>
                    <w:left w:val="none" w:sz="0" w:space="0" w:color="auto"/>
                    <w:bottom w:val="none" w:sz="0" w:space="0" w:color="auto"/>
                    <w:right w:val="none" w:sz="0" w:space="0" w:color="auto"/>
                  </w:divBdr>
                  <w:divsChild>
                    <w:div w:id="1197425683">
                      <w:marLeft w:val="0"/>
                      <w:marRight w:val="0"/>
                      <w:marTop w:val="0"/>
                      <w:marBottom w:val="0"/>
                      <w:divBdr>
                        <w:top w:val="none" w:sz="0" w:space="0" w:color="auto"/>
                        <w:left w:val="none" w:sz="0" w:space="0" w:color="auto"/>
                        <w:bottom w:val="none" w:sz="0" w:space="0" w:color="auto"/>
                        <w:right w:val="none" w:sz="0" w:space="0" w:color="auto"/>
                      </w:divBdr>
                    </w:div>
                  </w:divsChild>
                </w:div>
                <w:div w:id="907812427">
                  <w:marLeft w:val="0"/>
                  <w:marRight w:val="0"/>
                  <w:marTop w:val="0"/>
                  <w:marBottom w:val="0"/>
                  <w:divBdr>
                    <w:top w:val="none" w:sz="0" w:space="0" w:color="auto"/>
                    <w:left w:val="none" w:sz="0" w:space="0" w:color="auto"/>
                    <w:bottom w:val="none" w:sz="0" w:space="0" w:color="auto"/>
                    <w:right w:val="none" w:sz="0" w:space="0" w:color="auto"/>
                  </w:divBdr>
                  <w:divsChild>
                    <w:div w:id="575090082">
                      <w:marLeft w:val="0"/>
                      <w:marRight w:val="0"/>
                      <w:marTop w:val="0"/>
                      <w:marBottom w:val="0"/>
                      <w:divBdr>
                        <w:top w:val="none" w:sz="0" w:space="0" w:color="auto"/>
                        <w:left w:val="none" w:sz="0" w:space="0" w:color="auto"/>
                        <w:bottom w:val="none" w:sz="0" w:space="0" w:color="auto"/>
                        <w:right w:val="none" w:sz="0" w:space="0" w:color="auto"/>
                      </w:divBdr>
                    </w:div>
                  </w:divsChild>
                </w:div>
                <w:div w:id="923488145">
                  <w:marLeft w:val="0"/>
                  <w:marRight w:val="0"/>
                  <w:marTop w:val="0"/>
                  <w:marBottom w:val="0"/>
                  <w:divBdr>
                    <w:top w:val="none" w:sz="0" w:space="0" w:color="auto"/>
                    <w:left w:val="none" w:sz="0" w:space="0" w:color="auto"/>
                    <w:bottom w:val="none" w:sz="0" w:space="0" w:color="auto"/>
                    <w:right w:val="none" w:sz="0" w:space="0" w:color="auto"/>
                  </w:divBdr>
                  <w:divsChild>
                    <w:div w:id="1569878042">
                      <w:marLeft w:val="0"/>
                      <w:marRight w:val="0"/>
                      <w:marTop w:val="0"/>
                      <w:marBottom w:val="0"/>
                      <w:divBdr>
                        <w:top w:val="none" w:sz="0" w:space="0" w:color="auto"/>
                        <w:left w:val="none" w:sz="0" w:space="0" w:color="auto"/>
                        <w:bottom w:val="none" w:sz="0" w:space="0" w:color="auto"/>
                        <w:right w:val="none" w:sz="0" w:space="0" w:color="auto"/>
                      </w:divBdr>
                    </w:div>
                  </w:divsChild>
                </w:div>
                <w:div w:id="982588484">
                  <w:marLeft w:val="0"/>
                  <w:marRight w:val="0"/>
                  <w:marTop w:val="0"/>
                  <w:marBottom w:val="0"/>
                  <w:divBdr>
                    <w:top w:val="none" w:sz="0" w:space="0" w:color="auto"/>
                    <w:left w:val="none" w:sz="0" w:space="0" w:color="auto"/>
                    <w:bottom w:val="none" w:sz="0" w:space="0" w:color="auto"/>
                    <w:right w:val="none" w:sz="0" w:space="0" w:color="auto"/>
                  </w:divBdr>
                  <w:divsChild>
                    <w:div w:id="1951086514">
                      <w:marLeft w:val="0"/>
                      <w:marRight w:val="0"/>
                      <w:marTop w:val="0"/>
                      <w:marBottom w:val="0"/>
                      <w:divBdr>
                        <w:top w:val="none" w:sz="0" w:space="0" w:color="auto"/>
                        <w:left w:val="none" w:sz="0" w:space="0" w:color="auto"/>
                        <w:bottom w:val="none" w:sz="0" w:space="0" w:color="auto"/>
                        <w:right w:val="none" w:sz="0" w:space="0" w:color="auto"/>
                      </w:divBdr>
                    </w:div>
                  </w:divsChild>
                </w:div>
                <w:div w:id="1035737038">
                  <w:marLeft w:val="0"/>
                  <w:marRight w:val="0"/>
                  <w:marTop w:val="0"/>
                  <w:marBottom w:val="0"/>
                  <w:divBdr>
                    <w:top w:val="none" w:sz="0" w:space="0" w:color="auto"/>
                    <w:left w:val="none" w:sz="0" w:space="0" w:color="auto"/>
                    <w:bottom w:val="none" w:sz="0" w:space="0" w:color="auto"/>
                    <w:right w:val="none" w:sz="0" w:space="0" w:color="auto"/>
                  </w:divBdr>
                  <w:divsChild>
                    <w:div w:id="151025107">
                      <w:marLeft w:val="0"/>
                      <w:marRight w:val="0"/>
                      <w:marTop w:val="0"/>
                      <w:marBottom w:val="0"/>
                      <w:divBdr>
                        <w:top w:val="none" w:sz="0" w:space="0" w:color="auto"/>
                        <w:left w:val="none" w:sz="0" w:space="0" w:color="auto"/>
                        <w:bottom w:val="none" w:sz="0" w:space="0" w:color="auto"/>
                        <w:right w:val="none" w:sz="0" w:space="0" w:color="auto"/>
                      </w:divBdr>
                    </w:div>
                  </w:divsChild>
                </w:div>
                <w:div w:id="1064448429">
                  <w:marLeft w:val="0"/>
                  <w:marRight w:val="0"/>
                  <w:marTop w:val="0"/>
                  <w:marBottom w:val="0"/>
                  <w:divBdr>
                    <w:top w:val="none" w:sz="0" w:space="0" w:color="auto"/>
                    <w:left w:val="none" w:sz="0" w:space="0" w:color="auto"/>
                    <w:bottom w:val="none" w:sz="0" w:space="0" w:color="auto"/>
                    <w:right w:val="none" w:sz="0" w:space="0" w:color="auto"/>
                  </w:divBdr>
                  <w:divsChild>
                    <w:div w:id="1630276957">
                      <w:marLeft w:val="0"/>
                      <w:marRight w:val="0"/>
                      <w:marTop w:val="0"/>
                      <w:marBottom w:val="0"/>
                      <w:divBdr>
                        <w:top w:val="none" w:sz="0" w:space="0" w:color="auto"/>
                        <w:left w:val="none" w:sz="0" w:space="0" w:color="auto"/>
                        <w:bottom w:val="none" w:sz="0" w:space="0" w:color="auto"/>
                        <w:right w:val="none" w:sz="0" w:space="0" w:color="auto"/>
                      </w:divBdr>
                    </w:div>
                  </w:divsChild>
                </w:div>
                <w:div w:id="1181816675">
                  <w:marLeft w:val="0"/>
                  <w:marRight w:val="0"/>
                  <w:marTop w:val="0"/>
                  <w:marBottom w:val="0"/>
                  <w:divBdr>
                    <w:top w:val="none" w:sz="0" w:space="0" w:color="auto"/>
                    <w:left w:val="none" w:sz="0" w:space="0" w:color="auto"/>
                    <w:bottom w:val="none" w:sz="0" w:space="0" w:color="auto"/>
                    <w:right w:val="none" w:sz="0" w:space="0" w:color="auto"/>
                  </w:divBdr>
                  <w:divsChild>
                    <w:div w:id="1001421851">
                      <w:marLeft w:val="0"/>
                      <w:marRight w:val="0"/>
                      <w:marTop w:val="0"/>
                      <w:marBottom w:val="0"/>
                      <w:divBdr>
                        <w:top w:val="none" w:sz="0" w:space="0" w:color="auto"/>
                        <w:left w:val="none" w:sz="0" w:space="0" w:color="auto"/>
                        <w:bottom w:val="none" w:sz="0" w:space="0" w:color="auto"/>
                        <w:right w:val="none" w:sz="0" w:space="0" w:color="auto"/>
                      </w:divBdr>
                    </w:div>
                  </w:divsChild>
                </w:div>
                <w:div w:id="1297637224">
                  <w:marLeft w:val="0"/>
                  <w:marRight w:val="0"/>
                  <w:marTop w:val="0"/>
                  <w:marBottom w:val="0"/>
                  <w:divBdr>
                    <w:top w:val="none" w:sz="0" w:space="0" w:color="auto"/>
                    <w:left w:val="none" w:sz="0" w:space="0" w:color="auto"/>
                    <w:bottom w:val="none" w:sz="0" w:space="0" w:color="auto"/>
                    <w:right w:val="none" w:sz="0" w:space="0" w:color="auto"/>
                  </w:divBdr>
                  <w:divsChild>
                    <w:div w:id="989478108">
                      <w:marLeft w:val="0"/>
                      <w:marRight w:val="0"/>
                      <w:marTop w:val="0"/>
                      <w:marBottom w:val="0"/>
                      <w:divBdr>
                        <w:top w:val="none" w:sz="0" w:space="0" w:color="auto"/>
                        <w:left w:val="none" w:sz="0" w:space="0" w:color="auto"/>
                        <w:bottom w:val="none" w:sz="0" w:space="0" w:color="auto"/>
                        <w:right w:val="none" w:sz="0" w:space="0" w:color="auto"/>
                      </w:divBdr>
                    </w:div>
                  </w:divsChild>
                </w:div>
                <w:div w:id="1412583557">
                  <w:marLeft w:val="0"/>
                  <w:marRight w:val="0"/>
                  <w:marTop w:val="0"/>
                  <w:marBottom w:val="0"/>
                  <w:divBdr>
                    <w:top w:val="none" w:sz="0" w:space="0" w:color="auto"/>
                    <w:left w:val="none" w:sz="0" w:space="0" w:color="auto"/>
                    <w:bottom w:val="none" w:sz="0" w:space="0" w:color="auto"/>
                    <w:right w:val="none" w:sz="0" w:space="0" w:color="auto"/>
                  </w:divBdr>
                  <w:divsChild>
                    <w:div w:id="926503050">
                      <w:marLeft w:val="0"/>
                      <w:marRight w:val="0"/>
                      <w:marTop w:val="0"/>
                      <w:marBottom w:val="0"/>
                      <w:divBdr>
                        <w:top w:val="none" w:sz="0" w:space="0" w:color="auto"/>
                        <w:left w:val="none" w:sz="0" w:space="0" w:color="auto"/>
                        <w:bottom w:val="none" w:sz="0" w:space="0" w:color="auto"/>
                        <w:right w:val="none" w:sz="0" w:space="0" w:color="auto"/>
                      </w:divBdr>
                    </w:div>
                  </w:divsChild>
                </w:div>
                <w:div w:id="1457481181">
                  <w:marLeft w:val="0"/>
                  <w:marRight w:val="0"/>
                  <w:marTop w:val="0"/>
                  <w:marBottom w:val="0"/>
                  <w:divBdr>
                    <w:top w:val="none" w:sz="0" w:space="0" w:color="auto"/>
                    <w:left w:val="none" w:sz="0" w:space="0" w:color="auto"/>
                    <w:bottom w:val="none" w:sz="0" w:space="0" w:color="auto"/>
                    <w:right w:val="none" w:sz="0" w:space="0" w:color="auto"/>
                  </w:divBdr>
                  <w:divsChild>
                    <w:div w:id="485705081">
                      <w:marLeft w:val="0"/>
                      <w:marRight w:val="0"/>
                      <w:marTop w:val="0"/>
                      <w:marBottom w:val="0"/>
                      <w:divBdr>
                        <w:top w:val="none" w:sz="0" w:space="0" w:color="auto"/>
                        <w:left w:val="none" w:sz="0" w:space="0" w:color="auto"/>
                        <w:bottom w:val="none" w:sz="0" w:space="0" w:color="auto"/>
                        <w:right w:val="none" w:sz="0" w:space="0" w:color="auto"/>
                      </w:divBdr>
                    </w:div>
                  </w:divsChild>
                </w:div>
                <w:div w:id="1690640065">
                  <w:marLeft w:val="0"/>
                  <w:marRight w:val="0"/>
                  <w:marTop w:val="0"/>
                  <w:marBottom w:val="0"/>
                  <w:divBdr>
                    <w:top w:val="none" w:sz="0" w:space="0" w:color="auto"/>
                    <w:left w:val="none" w:sz="0" w:space="0" w:color="auto"/>
                    <w:bottom w:val="none" w:sz="0" w:space="0" w:color="auto"/>
                    <w:right w:val="none" w:sz="0" w:space="0" w:color="auto"/>
                  </w:divBdr>
                  <w:divsChild>
                    <w:div w:id="1206064435">
                      <w:marLeft w:val="0"/>
                      <w:marRight w:val="0"/>
                      <w:marTop w:val="0"/>
                      <w:marBottom w:val="0"/>
                      <w:divBdr>
                        <w:top w:val="none" w:sz="0" w:space="0" w:color="auto"/>
                        <w:left w:val="none" w:sz="0" w:space="0" w:color="auto"/>
                        <w:bottom w:val="none" w:sz="0" w:space="0" w:color="auto"/>
                        <w:right w:val="none" w:sz="0" w:space="0" w:color="auto"/>
                      </w:divBdr>
                    </w:div>
                  </w:divsChild>
                </w:div>
                <w:div w:id="1855722855">
                  <w:marLeft w:val="0"/>
                  <w:marRight w:val="0"/>
                  <w:marTop w:val="0"/>
                  <w:marBottom w:val="0"/>
                  <w:divBdr>
                    <w:top w:val="none" w:sz="0" w:space="0" w:color="auto"/>
                    <w:left w:val="none" w:sz="0" w:space="0" w:color="auto"/>
                    <w:bottom w:val="none" w:sz="0" w:space="0" w:color="auto"/>
                    <w:right w:val="none" w:sz="0" w:space="0" w:color="auto"/>
                  </w:divBdr>
                  <w:divsChild>
                    <w:div w:id="1060247246">
                      <w:marLeft w:val="0"/>
                      <w:marRight w:val="0"/>
                      <w:marTop w:val="0"/>
                      <w:marBottom w:val="0"/>
                      <w:divBdr>
                        <w:top w:val="none" w:sz="0" w:space="0" w:color="auto"/>
                        <w:left w:val="none" w:sz="0" w:space="0" w:color="auto"/>
                        <w:bottom w:val="none" w:sz="0" w:space="0" w:color="auto"/>
                        <w:right w:val="none" w:sz="0" w:space="0" w:color="auto"/>
                      </w:divBdr>
                    </w:div>
                  </w:divsChild>
                </w:div>
                <w:div w:id="1893616515">
                  <w:marLeft w:val="0"/>
                  <w:marRight w:val="0"/>
                  <w:marTop w:val="0"/>
                  <w:marBottom w:val="0"/>
                  <w:divBdr>
                    <w:top w:val="none" w:sz="0" w:space="0" w:color="auto"/>
                    <w:left w:val="none" w:sz="0" w:space="0" w:color="auto"/>
                    <w:bottom w:val="none" w:sz="0" w:space="0" w:color="auto"/>
                    <w:right w:val="none" w:sz="0" w:space="0" w:color="auto"/>
                  </w:divBdr>
                  <w:divsChild>
                    <w:div w:id="136774002">
                      <w:marLeft w:val="0"/>
                      <w:marRight w:val="0"/>
                      <w:marTop w:val="0"/>
                      <w:marBottom w:val="0"/>
                      <w:divBdr>
                        <w:top w:val="none" w:sz="0" w:space="0" w:color="auto"/>
                        <w:left w:val="none" w:sz="0" w:space="0" w:color="auto"/>
                        <w:bottom w:val="none" w:sz="0" w:space="0" w:color="auto"/>
                        <w:right w:val="none" w:sz="0" w:space="0" w:color="auto"/>
                      </w:divBdr>
                    </w:div>
                  </w:divsChild>
                </w:div>
                <w:div w:id="1917547786">
                  <w:marLeft w:val="0"/>
                  <w:marRight w:val="0"/>
                  <w:marTop w:val="0"/>
                  <w:marBottom w:val="0"/>
                  <w:divBdr>
                    <w:top w:val="none" w:sz="0" w:space="0" w:color="auto"/>
                    <w:left w:val="none" w:sz="0" w:space="0" w:color="auto"/>
                    <w:bottom w:val="none" w:sz="0" w:space="0" w:color="auto"/>
                    <w:right w:val="none" w:sz="0" w:space="0" w:color="auto"/>
                  </w:divBdr>
                  <w:divsChild>
                    <w:div w:id="683432903">
                      <w:marLeft w:val="0"/>
                      <w:marRight w:val="0"/>
                      <w:marTop w:val="0"/>
                      <w:marBottom w:val="0"/>
                      <w:divBdr>
                        <w:top w:val="none" w:sz="0" w:space="0" w:color="auto"/>
                        <w:left w:val="none" w:sz="0" w:space="0" w:color="auto"/>
                        <w:bottom w:val="none" w:sz="0" w:space="0" w:color="auto"/>
                        <w:right w:val="none" w:sz="0" w:space="0" w:color="auto"/>
                      </w:divBdr>
                    </w:div>
                  </w:divsChild>
                </w:div>
                <w:div w:id="1925525083">
                  <w:marLeft w:val="0"/>
                  <w:marRight w:val="0"/>
                  <w:marTop w:val="0"/>
                  <w:marBottom w:val="0"/>
                  <w:divBdr>
                    <w:top w:val="none" w:sz="0" w:space="0" w:color="auto"/>
                    <w:left w:val="none" w:sz="0" w:space="0" w:color="auto"/>
                    <w:bottom w:val="none" w:sz="0" w:space="0" w:color="auto"/>
                    <w:right w:val="none" w:sz="0" w:space="0" w:color="auto"/>
                  </w:divBdr>
                  <w:divsChild>
                    <w:div w:id="1853645650">
                      <w:marLeft w:val="0"/>
                      <w:marRight w:val="0"/>
                      <w:marTop w:val="0"/>
                      <w:marBottom w:val="0"/>
                      <w:divBdr>
                        <w:top w:val="none" w:sz="0" w:space="0" w:color="auto"/>
                        <w:left w:val="none" w:sz="0" w:space="0" w:color="auto"/>
                        <w:bottom w:val="none" w:sz="0" w:space="0" w:color="auto"/>
                        <w:right w:val="none" w:sz="0" w:space="0" w:color="auto"/>
                      </w:divBdr>
                    </w:div>
                  </w:divsChild>
                </w:div>
                <w:div w:id="1989673600">
                  <w:marLeft w:val="0"/>
                  <w:marRight w:val="0"/>
                  <w:marTop w:val="0"/>
                  <w:marBottom w:val="0"/>
                  <w:divBdr>
                    <w:top w:val="none" w:sz="0" w:space="0" w:color="auto"/>
                    <w:left w:val="none" w:sz="0" w:space="0" w:color="auto"/>
                    <w:bottom w:val="none" w:sz="0" w:space="0" w:color="auto"/>
                    <w:right w:val="none" w:sz="0" w:space="0" w:color="auto"/>
                  </w:divBdr>
                  <w:divsChild>
                    <w:div w:id="800922132">
                      <w:marLeft w:val="0"/>
                      <w:marRight w:val="0"/>
                      <w:marTop w:val="0"/>
                      <w:marBottom w:val="0"/>
                      <w:divBdr>
                        <w:top w:val="none" w:sz="0" w:space="0" w:color="auto"/>
                        <w:left w:val="none" w:sz="0" w:space="0" w:color="auto"/>
                        <w:bottom w:val="none" w:sz="0" w:space="0" w:color="auto"/>
                        <w:right w:val="none" w:sz="0" w:space="0" w:color="auto"/>
                      </w:divBdr>
                    </w:div>
                  </w:divsChild>
                </w:div>
                <w:div w:id="2118476158">
                  <w:marLeft w:val="0"/>
                  <w:marRight w:val="0"/>
                  <w:marTop w:val="0"/>
                  <w:marBottom w:val="0"/>
                  <w:divBdr>
                    <w:top w:val="none" w:sz="0" w:space="0" w:color="auto"/>
                    <w:left w:val="none" w:sz="0" w:space="0" w:color="auto"/>
                    <w:bottom w:val="none" w:sz="0" w:space="0" w:color="auto"/>
                    <w:right w:val="none" w:sz="0" w:space="0" w:color="auto"/>
                  </w:divBdr>
                  <w:divsChild>
                    <w:div w:id="1785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740105">
          <w:marLeft w:val="0"/>
          <w:marRight w:val="0"/>
          <w:marTop w:val="0"/>
          <w:marBottom w:val="0"/>
          <w:divBdr>
            <w:top w:val="none" w:sz="0" w:space="0" w:color="auto"/>
            <w:left w:val="none" w:sz="0" w:space="0" w:color="auto"/>
            <w:bottom w:val="none" w:sz="0" w:space="0" w:color="auto"/>
            <w:right w:val="none" w:sz="0" w:space="0" w:color="auto"/>
          </w:divBdr>
        </w:div>
        <w:div w:id="1894122670">
          <w:marLeft w:val="0"/>
          <w:marRight w:val="0"/>
          <w:marTop w:val="0"/>
          <w:marBottom w:val="0"/>
          <w:divBdr>
            <w:top w:val="none" w:sz="0" w:space="0" w:color="auto"/>
            <w:left w:val="none" w:sz="0" w:space="0" w:color="auto"/>
            <w:bottom w:val="none" w:sz="0" w:space="0" w:color="auto"/>
            <w:right w:val="none" w:sz="0" w:space="0" w:color="auto"/>
          </w:divBdr>
          <w:divsChild>
            <w:div w:id="160855384">
              <w:marLeft w:val="0"/>
              <w:marRight w:val="0"/>
              <w:marTop w:val="0"/>
              <w:marBottom w:val="0"/>
              <w:divBdr>
                <w:top w:val="none" w:sz="0" w:space="0" w:color="auto"/>
                <w:left w:val="none" w:sz="0" w:space="0" w:color="auto"/>
                <w:bottom w:val="none" w:sz="0" w:space="0" w:color="auto"/>
                <w:right w:val="none" w:sz="0" w:space="0" w:color="auto"/>
              </w:divBdr>
            </w:div>
            <w:div w:id="278073845">
              <w:marLeft w:val="0"/>
              <w:marRight w:val="0"/>
              <w:marTop w:val="0"/>
              <w:marBottom w:val="0"/>
              <w:divBdr>
                <w:top w:val="none" w:sz="0" w:space="0" w:color="auto"/>
                <w:left w:val="none" w:sz="0" w:space="0" w:color="auto"/>
                <w:bottom w:val="none" w:sz="0" w:space="0" w:color="auto"/>
                <w:right w:val="none" w:sz="0" w:space="0" w:color="auto"/>
              </w:divBdr>
            </w:div>
            <w:div w:id="643043210">
              <w:marLeft w:val="0"/>
              <w:marRight w:val="0"/>
              <w:marTop w:val="0"/>
              <w:marBottom w:val="0"/>
              <w:divBdr>
                <w:top w:val="none" w:sz="0" w:space="0" w:color="auto"/>
                <w:left w:val="none" w:sz="0" w:space="0" w:color="auto"/>
                <w:bottom w:val="none" w:sz="0" w:space="0" w:color="auto"/>
                <w:right w:val="none" w:sz="0" w:space="0" w:color="auto"/>
              </w:divBdr>
            </w:div>
            <w:div w:id="1030716007">
              <w:marLeft w:val="0"/>
              <w:marRight w:val="0"/>
              <w:marTop w:val="0"/>
              <w:marBottom w:val="0"/>
              <w:divBdr>
                <w:top w:val="none" w:sz="0" w:space="0" w:color="auto"/>
                <w:left w:val="none" w:sz="0" w:space="0" w:color="auto"/>
                <w:bottom w:val="none" w:sz="0" w:space="0" w:color="auto"/>
                <w:right w:val="none" w:sz="0" w:space="0" w:color="auto"/>
              </w:divBdr>
            </w:div>
            <w:div w:id="1134952514">
              <w:marLeft w:val="0"/>
              <w:marRight w:val="0"/>
              <w:marTop w:val="0"/>
              <w:marBottom w:val="0"/>
              <w:divBdr>
                <w:top w:val="none" w:sz="0" w:space="0" w:color="auto"/>
                <w:left w:val="none" w:sz="0" w:space="0" w:color="auto"/>
                <w:bottom w:val="none" w:sz="0" w:space="0" w:color="auto"/>
                <w:right w:val="none" w:sz="0" w:space="0" w:color="auto"/>
              </w:divBdr>
            </w:div>
            <w:div w:id="1136603876">
              <w:marLeft w:val="0"/>
              <w:marRight w:val="0"/>
              <w:marTop w:val="0"/>
              <w:marBottom w:val="0"/>
              <w:divBdr>
                <w:top w:val="none" w:sz="0" w:space="0" w:color="auto"/>
                <w:left w:val="none" w:sz="0" w:space="0" w:color="auto"/>
                <w:bottom w:val="none" w:sz="0" w:space="0" w:color="auto"/>
                <w:right w:val="none" w:sz="0" w:space="0" w:color="auto"/>
              </w:divBdr>
            </w:div>
            <w:div w:id="1720548556">
              <w:marLeft w:val="0"/>
              <w:marRight w:val="0"/>
              <w:marTop w:val="0"/>
              <w:marBottom w:val="0"/>
              <w:divBdr>
                <w:top w:val="none" w:sz="0" w:space="0" w:color="auto"/>
                <w:left w:val="none" w:sz="0" w:space="0" w:color="auto"/>
                <w:bottom w:val="none" w:sz="0" w:space="0" w:color="auto"/>
                <w:right w:val="none" w:sz="0" w:space="0" w:color="auto"/>
              </w:divBdr>
            </w:div>
            <w:div w:id="2016692286">
              <w:marLeft w:val="0"/>
              <w:marRight w:val="0"/>
              <w:marTop w:val="0"/>
              <w:marBottom w:val="0"/>
              <w:divBdr>
                <w:top w:val="none" w:sz="0" w:space="0" w:color="auto"/>
                <w:left w:val="none" w:sz="0" w:space="0" w:color="auto"/>
                <w:bottom w:val="none" w:sz="0" w:space="0" w:color="auto"/>
                <w:right w:val="none" w:sz="0" w:space="0" w:color="auto"/>
              </w:divBdr>
            </w:div>
            <w:div w:id="2033458126">
              <w:marLeft w:val="0"/>
              <w:marRight w:val="0"/>
              <w:marTop w:val="0"/>
              <w:marBottom w:val="0"/>
              <w:divBdr>
                <w:top w:val="none" w:sz="0" w:space="0" w:color="auto"/>
                <w:left w:val="none" w:sz="0" w:space="0" w:color="auto"/>
                <w:bottom w:val="none" w:sz="0" w:space="0" w:color="auto"/>
                <w:right w:val="none" w:sz="0" w:space="0" w:color="auto"/>
              </w:divBdr>
            </w:div>
            <w:div w:id="2106539516">
              <w:marLeft w:val="0"/>
              <w:marRight w:val="0"/>
              <w:marTop w:val="0"/>
              <w:marBottom w:val="0"/>
              <w:divBdr>
                <w:top w:val="none" w:sz="0" w:space="0" w:color="auto"/>
                <w:left w:val="none" w:sz="0" w:space="0" w:color="auto"/>
                <w:bottom w:val="none" w:sz="0" w:space="0" w:color="auto"/>
                <w:right w:val="none" w:sz="0" w:space="0" w:color="auto"/>
              </w:divBdr>
            </w:div>
          </w:divsChild>
        </w:div>
        <w:div w:id="1915159998">
          <w:marLeft w:val="0"/>
          <w:marRight w:val="0"/>
          <w:marTop w:val="0"/>
          <w:marBottom w:val="0"/>
          <w:divBdr>
            <w:top w:val="none" w:sz="0" w:space="0" w:color="auto"/>
            <w:left w:val="none" w:sz="0" w:space="0" w:color="auto"/>
            <w:bottom w:val="none" w:sz="0" w:space="0" w:color="auto"/>
            <w:right w:val="none" w:sz="0" w:space="0" w:color="auto"/>
          </w:divBdr>
        </w:div>
        <w:div w:id="2022851434">
          <w:marLeft w:val="0"/>
          <w:marRight w:val="0"/>
          <w:marTop w:val="0"/>
          <w:marBottom w:val="0"/>
          <w:divBdr>
            <w:top w:val="none" w:sz="0" w:space="0" w:color="auto"/>
            <w:left w:val="none" w:sz="0" w:space="0" w:color="auto"/>
            <w:bottom w:val="none" w:sz="0" w:space="0" w:color="auto"/>
            <w:right w:val="none" w:sz="0" w:space="0" w:color="auto"/>
          </w:divBdr>
        </w:div>
      </w:divsChild>
    </w:div>
    <w:div w:id="201752422">
      <w:bodyDiv w:val="1"/>
      <w:marLeft w:val="0"/>
      <w:marRight w:val="0"/>
      <w:marTop w:val="0"/>
      <w:marBottom w:val="0"/>
      <w:divBdr>
        <w:top w:val="none" w:sz="0" w:space="0" w:color="auto"/>
        <w:left w:val="none" w:sz="0" w:space="0" w:color="auto"/>
        <w:bottom w:val="none" w:sz="0" w:space="0" w:color="auto"/>
        <w:right w:val="none" w:sz="0" w:space="0" w:color="auto"/>
      </w:divBdr>
      <w:divsChild>
        <w:div w:id="38358994">
          <w:marLeft w:val="0"/>
          <w:marRight w:val="0"/>
          <w:marTop w:val="0"/>
          <w:marBottom w:val="0"/>
          <w:divBdr>
            <w:top w:val="none" w:sz="0" w:space="0" w:color="auto"/>
            <w:left w:val="none" w:sz="0" w:space="0" w:color="auto"/>
            <w:bottom w:val="none" w:sz="0" w:space="0" w:color="auto"/>
            <w:right w:val="none" w:sz="0" w:space="0" w:color="auto"/>
          </w:divBdr>
          <w:divsChild>
            <w:div w:id="49963363">
              <w:marLeft w:val="0"/>
              <w:marRight w:val="0"/>
              <w:marTop w:val="0"/>
              <w:marBottom w:val="0"/>
              <w:divBdr>
                <w:top w:val="none" w:sz="0" w:space="0" w:color="auto"/>
                <w:left w:val="none" w:sz="0" w:space="0" w:color="auto"/>
                <w:bottom w:val="none" w:sz="0" w:space="0" w:color="auto"/>
                <w:right w:val="none" w:sz="0" w:space="0" w:color="auto"/>
              </w:divBdr>
            </w:div>
            <w:div w:id="234827861">
              <w:marLeft w:val="0"/>
              <w:marRight w:val="0"/>
              <w:marTop w:val="0"/>
              <w:marBottom w:val="0"/>
              <w:divBdr>
                <w:top w:val="none" w:sz="0" w:space="0" w:color="auto"/>
                <w:left w:val="none" w:sz="0" w:space="0" w:color="auto"/>
                <w:bottom w:val="none" w:sz="0" w:space="0" w:color="auto"/>
                <w:right w:val="none" w:sz="0" w:space="0" w:color="auto"/>
              </w:divBdr>
            </w:div>
            <w:div w:id="462770266">
              <w:marLeft w:val="0"/>
              <w:marRight w:val="0"/>
              <w:marTop w:val="0"/>
              <w:marBottom w:val="0"/>
              <w:divBdr>
                <w:top w:val="none" w:sz="0" w:space="0" w:color="auto"/>
                <w:left w:val="none" w:sz="0" w:space="0" w:color="auto"/>
                <w:bottom w:val="none" w:sz="0" w:space="0" w:color="auto"/>
                <w:right w:val="none" w:sz="0" w:space="0" w:color="auto"/>
              </w:divBdr>
            </w:div>
            <w:div w:id="492530386">
              <w:marLeft w:val="0"/>
              <w:marRight w:val="0"/>
              <w:marTop w:val="0"/>
              <w:marBottom w:val="0"/>
              <w:divBdr>
                <w:top w:val="none" w:sz="0" w:space="0" w:color="auto"/>
                <w:left w:val="none" w:sz="0" w:space="0" w:color="auto"/>
                <w:bottom w:val="none" w:sz="0" w:space="0" w:color="auto"/>
                <w:right w:val="none" w:sz="0" w:space="0" w:color="auto"/>
              </w:divBdr>
            </w:div>
            <w:div w:id="565994202">
              <w:marLeft w:val="0"/>
              <w:marRight w:val="0"/>
              <w:marTop w:val="0"/>
              <w:marBottom w:val="0"/>
              <w:divBdr>
                <w:top w:val="none" w:sz="0" w:space="0" w:color="auto"/>
                <w:left w:val="none" w:sz="0" w:space="0" w:color="auto"/>
                <w:bottom w:val="none" w:sz="0" w:space="0" w:color="auto"/>
                <w:right w:val="none" w:sz="0" w:space="0" w:color="auto"/>
              </w:divBdr>
            </w:div>
            <w:div w:id="614364260">
              <w:marLeft w:val="0"/>
              <w:marRight w:val="0"/>
              <w:marTop w:val="0"/>
              <w:marBottom w:val="0"/>
              <w:divBdr>
                <w:top w:val="none" w:sz="0" w:space="0" w:color="auto"/>
                <w:left w:val="none" w:sz="0" w:space="0" w:color="auto"/>
                <w:bottom w:val="none" w:sz="0" w:space="0" w:color="auto"/>
                <w:right w:val="none" w:sz="0" w:space="0" w:color="auto"/>
              </w:divBdr>
            </w:div>
            <w:div w:id="619343077">
              <w:marLeft w:val="0"/>
              <w:marRight w:val="0"/>
              <w:marTop w:val="0"/>
              <w:marBottom w:val="0"/>
              <w:divBdr>
                <w:top w:val="none" w:sz="0" w:space="0" w:color="auto"/>
                <w:left w:val="none" w:sz="0" w:space="0" w:color="auto"/>
                <w:bottom w:val="none" w:sz="0" w:space="0" w:color="auto"/>
                <w:right w:val="none" w:sz="0" w:space="0" w:color="auto"/>
              </w:divBdr>
            </w:div>
            <w:div w:id="627470660">
              <w:marLeft w:val="0"/>
              <w:marRight w:val="0"/>
              <w:marTop w:val="0"/>
              <w:marBottom w:val="0"/>
              <w:divBdr>
                <w:top w:val="none" w:sz="0" w:space="0" w:color="auto"/>
                <w:left w:val="none" w:sz="0" w:space="0" w:color="auto"/>
                <w:bottom w:val="none" w:sz="0" w:space="0" w:color="auto"/>
                <w:right w:val="none" w:sz="0" w:space="0" w:color="auto"/>
              </w:divBdr>
            </w:div>
            <w:div w:id="808714741">
              <w:marLeft w:val="0"/>
              <w:marRight w:val="0"/>
              <w:marTop w:val="0"/>
              <w:marBottom w:val="0"/>
              <w:divBdr>
                <w:top w:val="none" w:sz="0" w:space="0" w:color="auto"/>
                <w:left w:val="none" w:sz="0" w:space="0" w:color="auto"/>
                <w:bottom w:val="none" w:sz="0" w:space="0" w:color="auto"/>
                <w:right w:val="none" w:sz="0" w:space="0" w:color="auto"/>
              </w:divBdr>
            </w:div>
            <w:div w:id="840119995">
              <w:marLeft w:val="0"/>
              <w:marRight w:val="0"/>
              <w:marTop w:val="0"/>
              <w:marBottom w:val="0"/>
              <w:divBdr>
                <w:top w:val="none" w:sz="0" w:space="0" w:color="auto"/>
                <w:left w:val="none" w:sz="0" w:space="0" w:color="auto"/>
                <w:bottom w:val="none" w:sz="0" w:space="0" w:color="auto"/>
                <w:right w:val="none" w:sz="0" w:space="0" w:color="auto"/>
              </w:divBdr>
            </w:div>
            <w:div w:id="871570763">
              <w:marLeft w:val="0"/>
              <w:marRight w:val="0"/>
              <w:marTop w:val="0"/>
              <w:marBottom w:val="0"/>
              <w:divBdr>
                <w:top w:val="none" w:sz="0" w:space="0" w:color="auto"/>
                <w:left w:val="none" w:sz="0" w:space="0" w:color="auto"/>
                <w:bottom w:val="none" w:sz="0" w:space="0" w:color="auto"/>
                <w:right w:val="none" w:sz="0" w:space="0" w:color="auto"/>
              </w:divBdr>
            </w:div>
            <w:div w:id="1050154968">
              <w:marLeft w:val="0"/>
              <w:marRight w:val="0"/>
              <w:marTop w:val="0"/>
              <w:marBottom w:val="0"/>
              <w:divBdr>
                <w:top w:val="none" w:sz="0" w:space="0" w:color="auto"/>
                <w:left w:val="none" w:sz="0" w:space="0" w:color="auto"/>
                <w:bottom w:val="none" w:sz="0" w:space="0" w:color="auto"/>
                <w:right w:val="none" w:sz="0" w:space="0" w:color="auto"/>
              </w:divBdr>
            </w:div>
            <w:div w:id="1057047562">
              <w:marLeft w:val="0"/>
              <w:marRight w:val="0"/>
              <w:marTop w:val="0"/>
              <w:marBottom w:val="0"/>
              <w:divBdr>
                <w:top w:val="none" w:sz="0" w:space="0" w:color="auto"/>
                <w:left w:val="none" w:sz="0" w:space="0" w:color="auto"/>
                <w:bottom w:val="none" w:sz="0" w:space="0" w:color="auto"/>
                <w:right w:val="none" w:sz="0" w:space="0" w:color="auto"/>
              </w:divBdr>
            </w:div>
            <w:div w:id="1059279733">
              <w:marLeft w:val="0"/>
              <w:marRight w:val="0"/>
              <w:marTop w:val="0"/>
              <w:marBottom w:val="0"/>
              <w:divBdr>
                <w:top w:val="none" w:sz="0" w:space="0" w:color="auto"/>
                <w:left w:val="none" w:sz="0" w:space="0" w:color="auto"/>
                <w:bottom w:val="none" w:sz="0" w:space="0" w:color="auto"/>
                <w:right w:val="none" w:sz="0" w:space="0" w:color="auto"/>
              </w:divBdr>
            </w:div>
            <w:div w:id="1379207175">
              <w:marLeft w:val="0"/>
              <w:marRight w:val="0"/>
              <w:marTop w:val="0"/>
              <w:marBottom w:val="0"/>
              <w:divBdr>
                <w:top w:val="none" w:sz="0" w:space="0" w:color="auto"/>
                <w:left w:val="none" w:sz="0" w:space="0" w:color="auto"/>
                <w:bottom w:val="none" w:sz="0" w:space="0" w:color="auto"/>
                <w:right w:val="none" w:sz="0" w:space="0" w:color="auto"/>
              </w:divBdr>
            </w:div>
            <w:div w:id="1452625416">
              <w:marLeft w:val="0"/>
              <w:marRight w:val="0"/>
              <w:marTop w:val="0"/>
              <w:marBottom w:val="0"/>
              <w:divBdr>
                <w:top w:val="none" w:sz="0" w:space="0" w:color="auto"/>
                <w:left w:val="none" w:sz="0" w:space="0" w:color="auto"/>
                <w:bottom w:val="none" w:sz="0" w:space="0" w:color="auto"/>
                <w:right w:val="none" w:sz="0" w:space="0" w:color="auto"/>
              </w:divBdr>
            </w:div>
            <w:div w:id="1529027332">
              <w:marLeft w:val="0"/>
              <w:marRight w:val="0"/>
              <w:marTop w:val="0"/>
              <w:marBottom w:val="0"/>
              <w:divBdr>
                <w:top w:val="none" w:sz="0" w:space="0" w:color="auto"/>
                <w:left w:val="none" w:sz="0" w:space="0" w:color="auto"/>
                <w:bottom w:val="none" w:sz="0" w:space="0" w:color="auto"/>
                <w:right w:val="none" w:sz="0" w:space="0" w:color="auto"/>
              </w:divBdr>
            </w:div>
            <w:div w:id="1659846126">
              <w:marLeft w:val="0"/>
              <w:marRight w:val="0"/>
              <w:marTop w:val="0"/>
              <w:marBottom w:val="0"/>
              <w:divBdr>
                <w:top w:val="none" w:sz="0" w:space="0" w:color="auto"/>
                <w:left w:val="none" w:sz="0" w:space="0" w:color="auto"/>
                <w:bottom w:val="none" w:sz="0" w:space="0" w:color="auto"/>
                <w:right w:val="none" w:sz="0" w:space="0" w:color="auto"/>
              </w:divBdr>
            </w:div>
            <w:div w:id="1938053488">
              <w:marLeft w:val="0"/>
              <w:marRight w:val="0"/>
              <w:marTop w:val="0"/>
              <w:marBottom w:val="0"/>
              <w:divBdr>
                <w:top w:val="none" w:sz="0" w:space="0" w:color="auto"/>
                <w:left w:val="none" w:sz="0" w:space="0" w:color="auto"/>
                <w:bottom w:val="none" w:sz="0" w:space="0" w:color="auto"/>
                <w:right w:val="none" w:sz="0" w:space="0" w:color="auto"/>
              </w:divBdr>
            </w:div>
            <w:div w:id="2127037627">
              <w:marLeft w:val="0"/>
              <w:marRight w:val="0"/>
              <w:marTop w:val="0"/>
              <w:marBottom w:val="0"/>
              <w:divBdr>
                <w:top w:val="none" w:sz="0" w:space="0" w:color="auto"/>
                <w:left w:val="none" w:sz="0" w:space="0" w:color="auto"/>
                <w:bottom w:val="none" w:sz="0" w:space="0" w:color="auto"/>
                <w:right w:val="none" w:sz="0" w:space="0" w:color="auto"/>
              </w:divBdr>
            </w:div>
          </w:divsChild>
        </w:div>
        <w:div w:id="297296660">
          <w:marLeft w:val="0"/>
          <w:marRight w:val="0"/>
          <w:marTop w:val="0"/>
          <w:marBottom w:val="0"/>
          <w:divBdr>
            <w:top w:val="none" w:sz="0" w:space="0" w:color="auto"/>
            <w:left w:val="none" w:sz="0" w:space="0" w:color="auto"/>
            <w:bottom w:val="none" w:sz="0" w:space="0" w:color="auto"/>
            <w:right w:val="none" w:sz="0" w:space="0" w:color="auto"/>
          </w:divBdr>
          <w:divsChild>
            <w:div w:id="372510962">
              <w:marLeft w:val="0"/>
              <w:marRight w:val="0"/>
              <w:marTop w:val="0"/>
              <w:marBottom w:val="0"/>
              <w:divBdr>
                <w:top w:val="none" w:sz="0" w:space="0" w:color="auto"/>
                <w:left w:val="none" w:sz="0" w:space="0" w:color="auto"/>
                <w:bottom w:val="none" w:sz="0" w:space="0" w:color="auto"/>
                <w:right w:val="none" w:sz="0" w:space="0" w:color="auto"/>
              </w:divBdr>
            </w:div>
            <w:div w:id="523790124">
              <w:marLeft w:val="0"/>
              <w:marRight w:val="0"/>
              <w:marTop w:val="0"/>
              <w:marBottom w:val="0"/>
              <w:divBdr>
                <w:top w:val="none" w:sz="0" w:space="0" w:color="auto"/>
                <w:left w:val="none" w:sz="0" w:space="0" w:color="auto"/>
                <w:bottom w:val="none" w:sz="0" w:space="0" w:color="auto"/>
                <w:right w:val="none" w:sz="0" w:space="0" w:color="auto"/>
              </w:divBdr>
            </w:div>
            <w:div w:id="708383555">
              <w:marLeft w:val="0"/>
              <w:marRight w:val="0"/>
              <w:marTop w:val="0"/>
              <w:marBottom w:val="0"/>
              <w:divBdr>
                <w:top w:val="none" w:sz="0" w:space="0" w:color="auto"/>
                <w:left w:val="none" w:sz="0" w:space="0" w:color="auto"/>
                <w:bottom w:val="none" w:sz="0" w:space="0" w:color="auto"/>
                <w:right w:val="none" w:sz="0" w:space="0" w:color="auto"/>
              </w:divBdr>
            </w:div>
            <w:div w:id="743183996">
              <w:marLeft w:val="0"/>
              <w:marRight w:val="0"/>
              <w:marTop w:val="0"/>
              <w:marBottom w:val="0"/>
              <w:divBdr>
                <w:top w:val="none" w:sz="0" w:space="0" w:color="auto"/>
                <w:left w:val="none" w:sz="0" w:space="0" w:color="auto"/>
                <w:bottom w:val="none" w:sz="0" w:space="0" w:color="auto"/>
                <w:right w:val="none" w:sz="0" w:space="0" w:color="auto"/>
              </w:divBdr>
            </w:div>
            <w:div w:id="823665140">
              <w:marLeft w:val="0"/>
              <w:marRight w:val="0"/>
              <w:marTop w:val="0"/>
              <w:marBottom w:val="0"/>
              <w:divBdr>
                <w:top w:val="none" w:sz="0" w:space="0" w:color="auto"/>
                <w:left w:val="none" w:sz="0" w:space="0" w:color="auto"/>
                <w:bottom w:val="none" w:sz="0" w:space="0" w:color="auto"/>
                <w:right w:val="none" w:sz="0" w:space="0" w:color="auto"/>
              </w:divBdr>
            </w:div>
            <w:div w:id="2030137542">
              <w:marLeft w:val="0"/>
              <w:marRight w:val="0"/>
              <w:marTop w:val="0"/>
              <w:marBottom w:val="0"/>
              <w:divBdr>
                <w:top w:val="none" w:sz="0" w:space="0" w:color="auto"/>
                <w:left w:val="none" w:sz="0" w:space="0" w:color="auto"/>
                <w:bottom w:val="none" w:sz="0" w:space="0" w:color="auto"/>
                <w:right w:val="none" w:sz="0" w:space="0" w:color="auto"/>
              </w:divBdr>
            </w:div>
          </w:divsChild>
        </w:div>
        <w:div w:id="628173236">
          <w:marLeft w:val="0"/>
          <w:marRight w:val="0"/>
          <w:marTop w:val="0"/>
          <w:marBottom w:val="0"/>
          <w:divBdr>
            <w:top w:val="none" w:sz="0" w:space="0" w:color="auto"/>
            <w:left w:val="none" w:sz="0" w:space="0" w:color="auto"/>
            <w:bottom w:val="none" w:sz="0" w:space="0" w:color="auto"/>
            <w:right w:val="none" w:sz="0" w:space="0" w:color="auto"/>
          </w:divBdr>
          <w:divsChild>
            <w:div w:id="4939854">
              <w:marLeft w:val="0"/>
              <w:marRight w:val="0"/>
              <w:marTop w:val="0"/>
              <w:marBottom w:val="0"/>
              <w:divBdr>
                <w:top w:val="none" w:sz="0" w:space="0" w:color="auto"/>
                <w:left w:val="none" w:sz="0" w:space="0" w:color="auto"/>
                <w:bottom w:val="none" w:sz="0" w:space="0" w:color="auto"/>
                <w:right w:val="none" w:sz="0" w:space="0" w:color="auto"/>
              </w:divBdr>
            </w:div>
            <w:div w:id="97877548">
              <w:marLeft w:val="0"/>
              <w:marRight w:val="0"/>
              <w:marTop w:val="0"/>
              <w:marBottom w:val="0"/>
              <w:divBdr>
                <w:top w:val="none" w:sz="0" w:space="0" w:color="auto"/>
                <w:left w:val="none" w:sz="0" w:space="0" w:color="auto"/>
                <w:bottom w:val="none" w:sz="0" w:space="0" w:color="auto"/>
                <w:right w:val="none" w:sz="0" w:space="0" w:color="auto"/>
              </w:divBdr>
            </w:div>
            <w:div w:id="119107011">
              <w:marLeft w:val="0"/>
              <w:marRight w:val="0"/>
              <w:marTop w:val="0"/>
              <w:marBottom w:val="0"/>
              <w:divBdr>
                <w:top w:val="none" w:sz="0" w:space="0" w:color="auto"/>
                <w:left w:val="none" w:sz="0" w:space="0" w:color="auto"/>
                <w:bottom w:val="none" w:sz="0" w:space="0" w:color="auto"/>
                <w:right w:val="none" w:sz="0" w:space="0" w:color="auto"/>
              </w:divBdr>
            </w:div>
            <w:div w:id="249778096">
              <w:marLeft w:val="0"/>
              <w:marRight w:val="0"/>
              <w:marTop w:val="0"/>
              <w:marBottom w:val="0"/>
              <w:divBdr>
                <w:top w:val="none" w:sz="0" w:space="0" w:color="auto"/>
                <w:left w:val="none" w:sz="0" w:space="0" w:color="auto"/>
                <w:bottom w:val="none" w:sz="0" w:space="0" w:color="auto"/>
                <w:right w:val="none" w:sz="0" w:space="0" w:color="auto"/>
              </w:divBdr>
            </w:div>
            <w:div w:id="354355588">
              <w:marLeft w:val="0"/>
              <w:marRight w:val="0"/>
              <w:marTop w:val="0"/>
              <w:marBottom w:val="0"/>
              <w:divBdr>
                <w:top w:val="none" w:sz="0" w:space="0" w:color="auto"/>
                <w:left w:val="none" w:sz="0" w:space="0" w:color="auto"/>
                <w:bottom w:val="none" w:sz="0" w:space="0" w:color="auto"/>
                <w:right w:val="none" w:sz="0" w:space="0" w:color="auto"/>
              </w:divBdr>
            </w:div>
            <w:div w:id="357580698">
              <w:marLeft w:val="0"/>
              <w:marRight w:val="0"/>
              <w:marTop w:val="0"/>
              <w:marBottom w:val="0"/>
              <w:divBdr>
                <w:top w:val="none" w:sz="0" w:space="0" w:color="auto"/>
                <w:left w:val="none" w:sz="0" w:space="0" w:color="auto"/>
                <w:bottom w:val="none" w:sz="0" w:space="0" w:color="auto"/>
                <w:right w:val="none" w:sz="0" w:space="0" w:color="auto"/>
              </w:divBdr>
            </w:div>
            <w:div w:id="440105048">
              <w:marLeft w:val="0"/>
              <w:marRight w:val="0"/>
              <w:marTop w:val="0"/>
              <w:marBottom w:val="0"/>
              <w:divBdr>
                <w:top w:val="none" w:sz="0" w:space="0" w:color="auto"/>
                <w:left w:val="none" w:sz="0" w:space="0" w:color="auto"/>
                <w:bottom w:val="none" w:sz="0" w:space="0" w:color="auto"/>
                <w:right w:val="none" w:sz="0" w:space="0" w:color="auto"/>
              </w:divBdr>
            </w:div>
            <w:div w:id="617956136">
              <w:marLeft w:val="0"/>
              <w:marRight w:val="0"/>
              <w:marTop w:val="0"/>
              <w:marBottom w:val="0"/>
              <w:divBdr>
                <w:top w:val="none" w:sz="0" w:space="0" w:color="auto"/>
                <w:left w:val="none" w:sz="0" w:space="0" w:color="auto"/>
                <w:bottom w:val="none" w:sz="0" w:space="0" w:color="auto"/>
                <w:right w:val="none" w:sz="0" w:space="0" w:color="auto"/>
              </w:divBdr>
            </w:div>
            <w:div w:id="618226687">
              <w:marLeft w:val="0"/>
              <w:marRight w:val="0"/>
              <w:marTop w:val="0"/>
              <w:marBottom w:val="0"/>
              <w:divBdr>
                <w:top w:val="none" w:sz="0" w:space="0" w:color="auto"/>
                <w:left w:val="none" w:sz="0" w:space="0" w:color="auto"/>
                <w:bottom w:val="none" w:sz="0" w:space="0" w:color="auto"/>
                <w:right w:val="none" w:sz="0" w:space="0" w:color="auto"/>
              </w:divBdr>
            </w:div>
            <w:div w:id="821895200">
              <w:marLeft w:val="0"/>
              <w:marRight w:val="0"/>
              <w:marTop w:val="0"/>
              <w:marBottom w:val="0"/>
              <w:divBdr>
                <w:top w:val="none" w:sz="0" w:space="0" w:color="auto"/>
                <w:left w:val="none" w:sz="0" w:space="0" w:color="auto"/>
                <w:bottom w:val="none" w:sz="0" w:space="0" w:color="auto"/>
                <w:right w:val="none" w:sz="0" w:space="0" w:color="auto"/>
              </w:divBdr>
            </w:div>
            <w:div w:id="860822500">
              <w:marLeft w:val="0"/>
              <w:marRight w:val="0"/>
              <w:marTop w:val="0"/>
              <w:marBottom w:val="0"/>
              <w:divBdr>
                <w:top w:val="none" w:sz="0" w:space="0" w:color="auto"/>
                <w:left w:val="none" w:sz="0" w:space="0" w:color="auto"/>
                <w:bottom w:val="none" w:sz="0" w:space="0" w:color="auto"/>
                <w:right w:val="none" w:sz="0" w:space="0" w:color="auto"/>
              </w:divBdr>
            </w:div>
            <w:div w:id="1010445248">
              <w:marLeft w:val="0"/>
              <w:marRight w:val="0"/>
              <w:marTop w:val="0"/>
              <w:marBottom w:val="0"/>
              <w:divBdr>
                <w:top w:val="none" w:sz="0" w:space="0" w:color="auto"/>
                <w:left w:val="none" w:sz="0" w:space="0" w:color="auto"/>
                <w:bottom w:val="none" w:sz="0" w:space="0" w:color="auto"/>
                <w:right w:val="none" w:sz="0" w:space="0" w:color="auto"/>
              </w:divBdr>
            </w:div>
            <w:div w:id="1489319025">
              <w:marLeft w:val="0"/>
              <w:marRight w:val="0"/>
              <w:marTop w:val="0"/>
              <w:marBottom w:val="0"/>
              <w:divBdr>
                <w:top w:val="none" w:sz="0" w:space="0" w:color="auto"/>
                <w:left w:val="none" w:sz="0" w:space="0" w:color="auto"/>
                <w:bottom w:val="none" w:sz="0" w:space="0" w:color="auto"/>
                <w:right w:val="none" w:sz="0" w:space="0" w:color="auto"/>
              </w:divBdr>
            </w:div>
            <w:div w:id="1531608326">
              <w:marLeft w:val="0"/>
              <w:marRight w:val="0"/>
              <w:marTop w:val="0"/>
              <w:marBottom w:val="0"/>
              <w:divBdr>
                <w:top w:val="none" w:sz="0" w:space="0" w:color="auto"/>
                <w:left w:val="none" w:sz="0" w:space="0" w:color="auto"/>
                <w:bottom w:val="none" w:sz="0" w:space="0" w:color="auto"/>
                <w:right w:val="none" w:sz="0" w:space="0" w:color="auto"/>
              </w:divBdr>
            </w:div>
            <w:div w:id="1789162442">
              <w:marLeft w:val="0"/>
              <w:marRight w:val="0"/>
              <w:marTop w:val="0"/>
              <w:marBottom w:val="0"/>
              <w:divBdr>
                <w:top w:val="none" w:sz="0" w:space="0" w:color="auto"/>
                <w:left w:val="none" w:sz="0" w:space="0" w:color="auto"/>
                <w:bottom w:val="none" w:sz="0" w:space="0" w:color="auto"/>
                <w:right w:val="none" w:sz="0" w:space="0" w:color="auto"/>
              </w:divBdr>
            </w:div>
            <w:div w:id="1933858732">
              <w:marLeft w:val="0"/>
              <w:marRight w:val="0"/>
              <w:marTop w:val="0"/>
              <w:marBottom w:val="0"/>
              <w:divBdr>
                <w:top w:val="none" w:sz="0" w:space="0" w:color="auto"/>
                <w:left w:val="none" w:sz="0" w:space="0" w:color="auto"/>
                <w:bottom w:val="none" w:sz="0" w:space="0" w:color="auto"/>
                <w:right w:val="none" w:sz="0" w:space="0" w:color="auto"/>
              </w:divBdr>
            </w:div>
            <w:div w:id="1994136395">
              <w:marLeft w:val="0"/>
              <w:marRight w:val="0"/>
              <w:marTop w:val="0"/>
              <w:marBottom w:val="0"/>
              <w:divBdr>
                <w:top w:val="none" w:sz="0" w:space="0" w:color="auto"/>
                <w:left w:val="none" w:sz="0" w:space="0" w:color="auto"/>
                <w:bottom w:val="none" w:sz="0" w:space="0" w:color="auto"/>
                <w:right w:val="none" w:sz="0" w:space="0" w:color="auto"/>
              </w:divBdr>
            </w:div>
            <w:div w:id="2069179618">
              <w:marLeft w:val="0"/>
              <w:marRight w:val="0"/>
              <w:marTop w:val="0"/>
              <w:marBottom w:val="0"/>
              <w:divBdr>
                <w:top w:val="none" w:sz="0" w:space="0" w:color="auto"/>
                <w:left w:val="none" w:sz="0" w:space="0" w:color="auto"/>
                <w:bottom w:val="none" w:sz="0" w:space="0" w:color="auto"/>
                <w:right w:val="none" w:sz="0" w:space="0" w:color="auto"/>
              </w:divBdr>
            </w:div>
            <w:div w:id="2123720373">
              <w:marLeft w:val="0"/>
              <w:marRight w:val="0"/>
              <w:marTop w:val="0"/>
              <w:marBottom w:val="0"/>
              <w:divBdr>
                <w:top w:val="none" w:sz="0" w:space="0" w:color="auto"/>
                <w:left w:val="none" w:sz="0" w:space="0" w:color="auto"/>
                <w:bottom w:val="none" w:sz="0" w:space="0" w:color="auto"/>
                <w:right w:val="none" w:sz="0" w:space="0" w:color="auto"/>
              </w:divBdr>
            </w:div>
            <w:div w:id="2142771333">
              <w:marLeft w:val="0"/>
              <w:marRight w:val="0"/>
              <w:marTop w:val="0"/>
              <w:marBottom w:val="0"/>
              <w:divBdr>
                <w:top w:val="none" w:sz="0" w:space="0" w:color="auto"/>
                <w:left w:val="none" w:sz="0" w:space="0" w:color="auto"/>
                <w:bottom w:val="none" w:sz="0" w:space="0" w:color="auto"/>
                <w:right w:val="none" w:sz="0" w:space="0" w:color="auto"/>
              </w:divBdr>
            </w:div>
          </w:divsChild>
        </w:div>
        <w:div w:id="927542712">
          <w:marLeft w:val="0"/>
          <w:marRight w:val="0"/>
          <w:marTop w:val="0"/>
          <w:marBottom w:val="0"/>
          <w:divBdr>
            <w:top w:val="none" w:sz="0" w:space="0" w:color="auto"/>
            <w:left w:val="none" w:sz="0" w:space="0" w:color="auto"/>
            <w:bottom w:val="none" w:sz="0" w:space="0" w:color="auto"/>
            <w:right w:val="none" w:sz="0" w:space="0" w:color="auto"/>
          </w:divBdr>
          <w:divsChild>
            <w:div w:id="60835206">
              <w:marLeft w:val="0"/>
              <w:marRight w:val="0"/>
              <w:marTop w:val="0"/>
              <w:marBottom w:val="0"/>
              <w:divBdr>
                <w:top w:val="none" w:sz="0" w:space="0" w:color="auto"/>
                <w:left w:val="none" w:sz="0" w:space="0" w:color="auto"/>
                <w:bottom w:val="none" w:sz="0" w:space="0" w:color="auto"/>
                <w:right w:val="none" w:sz="0" w:space="0" w:color="auto"/>
              </w:divBdr>
            </w:div>
            <w:div w:id="141388996">
              <w:marLeft w:val="0"/>
              <w:marRight w:val="0"/>
              <w:marTop w:val="0"/>
              <w:marBottom w:val="0"/>
              <w:divBdr>
                <w:top w:val="none" w:sz="0" w:space="0" w:color="auto"/>
                <w:left w:val="none" w:sz="0" w:space="0" w:color="auto"/>
                <w:bottom w:val="none" w:sz="0" w:space="0" w:color="auto"/>
                <w:right w:val="none" w:sz="0" w:space="0" w:color="auto"/>
              </w:divBdr>
            </w:div>
            <w:div w:id="190847805">
              <w:marLeft w:val="0"/>
              <w:marRight w:val="0"/>
              <w:marTop w:val="0"/>
              <w:marBottom w:val="0"/>
              <w:divBdr>
                <w:top w:val="none" w:sz="0" w:space="0" w:color="auto"/>
                <w:left w:val="none" w:sz="0" w:space="0" w:color="auto"/>
                <w:bottom w:val="none" w:sz="0" w:space="0" w:color="auto"/>
                <w:right w:val="none" w:sz="0" w:space="0" w:color="auto"/>
              </w:divBdr>
            </w:div>
            <w:div w:id="452673781">
              <w:marLeft w:val="0"/>
              <w:marRight w:val="0"/>
              <w:marTop w:val="0"/>
              <w:marBottom w:val="0"/>
              <w:divBdr>
                <w:top w:val="none" w:sz="0" w:space="0" w:color="auto"/>
                <w:left w:val="none" w:sz="0" w:space="0" w:color="auto"/>
                <w:bottom w:val="none" w:sz="0" w:space="0" w:color="auto"/>
                <w:right w:val="none" w:sz="0" w:space="0" w:color="auto"/>
              </w:divBdr>
            </w:div>
            <w:div w:id="494809037">
              <w:marLeft w:val="0"/>
              <w:marRight w:val="0"/>
              <w:marTop w:val="0"/>
              <w:marBottom w:val="0"/>
              <w:divBdr>
                <w:top w:val="none" w:sz="0" w:space="0" w:color="auto"/>
                <w:left w:val="none" w:sz="0" w:space="0" w:color="auto"/>
                <w:bottom w:val="none" w:sz="0" w:space="0" w:color="auto"/>
                <w:right w:val="none" w:sz="0" w:space="0" w:color="auto"/>
              </w:divBdr>
            </w:div>
            <w:div w:id="504710808">
              <w:marLeft w:val="0"/>
              <w:marRight w:val="0"/>
              <w:marTop w:val="0"/>
              <w:marBottom w:val="0"/>
              <w:divBdr>
                <w:top w:val="none" w:sz="0" w:space="0" w:color="auto"/>
                <w:left w:val="none" w:sz="0" w:space="0" w:color="auto"/>
                <w:bottom w:val="none" w:sz="0" w:space="0" w:color="auto"/>
                <w:right w:val="none" w:sz="0" w:space="0" w:color="auto"/>
              </w:divBdr>
            </w:div>
            <w:div w:id="546181070">
              <w:marLeft w:val="0"/>
              <w:marRight w:val="0"/>
              <w:marTop w:val="0"/>
              <w:marBottom w:val="0"/>
              <w:divBdr>
                <w:top w:val="none" w:sz="0" w:space="0" w:color="auto"/>
                <w:left w:val="none" w:sz="0" w:space="0" w:color="auto"/>
                <w:bottom w:val="none" w:sz="0" w:space="0" w:color="auto"/>
                <w:right w:val="none" w:sz="0" w:space="0" w:color="auto"/>
              </w:divBdr>
            </w:div>
            <w:div w:id="914898791">
              <w:marLeft w:val="0"/>
              <w:marRight w:val="0"/>
              <w:marTop w:val="0"/>
              <w:marBottom w:val="0"/>
              <w:divBdr>
                <w:top w:val="none" w:sz="0" w:space="0" w:color="auto"/>
                <w:left w:val="none" w:sz="0" w:space="0" w:color="auto"/>
                <w:bottom w:val="none" w:sz="0" w:space="0" w:color="auto"/>
                <w:right w:val="none" w:sz="0" w:space="0" w:color="auto"/>
              </w:divBdr>
            </w:div>
            <w:div w:id="1093740216">
              <w:marLeft w:val="0"/>
              <w:marRight w:val="0"/>
              <w:marTop w:val="0"/>
              <w:marBottom w:val="0"/>
              <w:divBdr>
                <w:top w:val="none" w:sz="0" w:space="0" w:color="auto"/>
                <w:left w:val="none" w:sz="0" w:space="0" w:color="auto"/>
                <w:bottom w:val="none" w:sz="0" w:space="0" w:color="auto"/>
                <w:right w:val="none" w:sz="0" w:space="0" w:color="auto"/>
              </w:divBdr>
            </w:div>
            <w:div w:id="1096362904">
              <w:marLeft w:val="0"/>
              <w:marRight w:val="0"/>
              <w:marTop w:val="0"/>
              <w:marBottom w:val="0"/>
              <w:divBdr>
                <w:top w:val="none" w:sz="0" w:space="0" w:color="auto"/>
                <w:left w:val="none" w:sz="0" w:space="0" w:color="auto"/>
                <w:bottom w:val="none" w:sz="0" w:space="0" w:color="auto"/>
                <w:right w:val="none" w:sz="0" w:space="0" w:color="auto"/>
              </w:divBdr>
            </w:div>
            <w:div w:id="1242061712">
              <w:marLeft w:val="0"/>
              <w:marRight w:val="0"/>
              <w:marTop w:val="0"/>
              <w:marBottom w:val="0"/>
              <w:divBdr>
                <w:top w:val="none" w:sz="0" w:space="0" w:color="auto"/>
                <w:left w:val="none" w:sz="0" w:space="0" w:color="auto"/>
                <w:bottom w:val="none" w:sz="0" w:space="0" w:color="auto"/>
                <w:right w:val="none" w:sz="0" w:space="0" w:color="auto"/>
              </w:divBdr>
            </w:div>
            <w:div w:id="1497182468">
              <w:marLeft w:val="0"/>
              <w:marRight w:val="0"/>
              <w:marTop w:val="0"/>
              <w:marBottom w:val="0"/>
              <w:divBdr>
                <w:top w:val="none" w:sz="0" w:space="0" w:color="auto"/>
                <w:left w:val="none" w:sz="0" w:space="0" w:color="auto"/>
                <w:bottom w:val="none" w:sz="0" w:space="0" w:color="auto"/>
                <w:right w:val="none" w:sz="0" w:space="0" w:color="auto"/>
              </w:divBdr>
            </w:div>
            <w:div w:id="1530491376">
              <w:marLeft w:val="0"/>
              <w:marRight w:val="0"/>
              <w:marTop w:val="0"/>
              <w:marBottom w:val="0"/>
              <w:divBdr>
                <w:top w:val="none" w:sz="0" w:space="0" w:color="auto"/>
                <w:left w:val="none" w:sz="0" w:space="0" w:color="auto"/>
                <w:bottom w:val="none" w:sz="0" w:space="0" w:color="auto"/>
                <w:right w:val="none" w:sz="0" w:space="0" w:color="auto"/>
              </w:divBdr>
            </w:div>
            <w:div w:id="1670015370">
              <w:marLeft w:val="0"/>
              <w:marRight w:val="0"/>
              <w:marTop w:val="0"/>
              <w:marBottom w:val="0"/>
              <w:divBdr>
                <w:top w:val="none" w:sz="0" w:space="0" w:color="auto"/>
                <w:left w:val="none" w:sz="0" w:space="0" w:color="auto"/>
                <w:bottom w:val="none" w:sz="0" w:space="0" w:color="auto"/>
                <w:right w:val="none" w:sz="0" w:space="0" w:color="auto"/>
              </w:divBdr>
            </w:div>
            <w:div w:id="1717778066">
              <w:marLeft w:val="0"/>
              <w:marRight w:val="0"/>
              <w:marTop w:val="0"/>
              <w:marBottom w:val="0"/>
              <w:divBdr>
                <w:top w:val="none" w:sz="0" w:space="0" w:color="auto"/>
                <w:left w:val="none" w:sz="0" w:space="0" w:color="auto"/>
                <w:bottom w:val="none" w:sz="0" w:space="0" w:color="auto"/>
                <w:right w:val="none" w:sz="0" w:space="0" w:color="auto"/>
              </w:divBdr>
            </w:div>
            <w:div w:id="1724983648">
              <w:marLeft w:val="0"/>
              <w:marRight w:val="0"/>
              <w:marTop w:val="0"/>
              <w:marBottom w:val="0"/>
              <w:divBdr>
                <w:top w:val="none" w:sz="0" w:space="0" w:color="auto"/>
                <w:left w:val="none" w:sz="0" w:space="0" w:color="auto"/>
                <w:bottom w:val="none" w:sz="0" w:space="0" w:color="auto"/>
                <w:right w:val="none" w:sz="0" w:space="0" w:color="auto"/>
              </w:divBdr>
            </w:div>
            <w:div w:id="1813520414">
              <w:marLeft w:val="0"/>
              <w:marRight w:val="0"/>
              <w:marTop w:val="0"/>
              <w:marBottom w:val="0"/>
              <w:divBdr>
                <w:top w:val="none" w:sz="0" w:space="0" w:color="auto"/>
                <w:left w:val="none" w:sz="0" w:space="0" w:color="auto"/>
                <w:bottom w:val="none" w:sz="0" w:space="0" w:color="auto"/>
                <w:right w:val="none" w:sz="0" w:space="0" w:color="auto"/>
              </w:divBdr>
            </w:div>
            <w:div w:id="1958021122">
              <w:marLeft w:val="0"/>
              <w:marRight w:val="0"/>
              <w:marTop w:val="0"/>
              <w:marBottom w:val="0"/>
              <w:divBdr>
                <w:top w:val="none" w:sz="0" w:space="0" w:color="auto"/>
                <w:left w:val="none" w:sz="0" w:space="0" w:color="auto"/>
                <w:bottom w:val="none" w:sz="0" w:space="0" w:color="auto"/>
                <w:right w:val="none" w:sz="0" w:space="0" w:color="auto"/>
              </w:divBdr>
            </w:div>
            <w:div w:id="1976058718">
              <w:marLeft w:val="0"/>
              <w:marRight w:val="0"/>
              <w:marTop w:val="0"/>
              <w:marBottom w:val="0"/>
              <w:divBdr>
                <w:top w:val="none" w:sz="0" w:space="0" w:color="auto"/>
                <w:left w:val="none" w:sz="0" w:space="0" w:color="auto"/>
                <w:bottom w:val="none" w:sz="0" w:space="0" w:color="auto"/>
                <w:right w:val="none" w:sz="0" w:space="0" w:color="auto"/>
              </w:divBdr>
            </w:div>
            <w:div w:id="2105690690">
              <w:marLeft w:val="0"/>
              <w:marRight w:val="0"/>
              <w:marTop w:val="0"/>
              <w:marBottom w:val="0"/>
              <w:divBdr>
                <w:top w:val="none" w:sz="0" w:space="0" w:color="auto"/>
                <w:left w:val="none" w:sz="0" w:space="0" w:color="auto"/>
                <w:bottom w:val="none" w:sz="0" w:space="0" w:color="auto"/>
                <w:right w:val="none" w:sz="0" w:space="0" w:color="auto"/>
              </w:divBdr>
            </w:div>
          </w:divsChild>
        </w:div>
        <w:div w:id="1157065267">
          <w:marLeft w:val="0"/>
          <w:marRight w:val="0"/>
          <w:marTop w:val="0"/>
          <w:marBottom w:val="0"/>
          <w:divBdr>
            <w:top w:val="none" w:sz="0" w:space="0" w:color="auto"/>
            <w:left w:val="none" w:sz="0" w:space="0" w:color="auto"/>
            <w:bottom w:val="none" w:sz="0" w:space="0" w:color="auto"/>
            <w:right w:val="none" w:sz="0" w:space="0" w:color="auto"/>
          </w:divBdr>
          <w:divsChild>
            <w:div w:id="22437301">
              <w:marLeft w:val="0"/>
              <w:marRight w:val="0"/>
              <w:marTop w:val="0"/>
              <w:marBottom w:val="0"/>
              <w:divBdr>
                <w:top w:val="none" w:sz="0" w:space="0" w:color="auto"/>
                <w:left w:val="none" w:sz="0" w:space="0" w:color="auto"/>
                <w:bottom w:val="none" w:sz="0" w:space="0" w:color="auto"/>
                <w:right w:val="none" w:sz="0" w:space="0" w:color="auto"/>
              </w:divBdr>
            </w:div>
            <w:div w:id="145629278">
              <w:marLeft w:val="0"/>
              <w:marRight w:val="0"/>
              <w:marTop w:val="0"/>
              <w:marBottom w:val="0"/>
              <w:divBdr>
                <w:top w:val="none" w:sz="0" w:space="0" w:color="auto"/>
                <w:left w:val="none" w:sz="0" w:space="0" w:color="auto"/>
                <w:bottom w:val="none" w:sz="0" w:space="0" w:color="auto"/>
                <w:right w:val="none" w:sz="0" w:space="0" w:color="auto"/>
              </w:divBdr>
            </w:div>
            <w:div w:id="427654085">
              <w:marLeft w:val="0"/>
              <w:marRight w:val="0"/>
              <w:marTop w:val="0"/>
              <w:marBottom w:val="0"/>
              <w:divBdr>
                <w:top w:val="none" w:sz="0" w:space="0" w:color="auto"/>
                <w:left w:val="none" w:sz="0" w:space="0" w:color="auto"/>
                <w:bottom w:val="none" w:sz="0" w:space="0" w:color="auto"/>
                <w:right w:val="none" w:sz="0" w:space="0" w:color="auto"/>
              </w:divBdr>
            </w:div>
            <w:div w:id="898131864">
              <w:marLeft w:val="0"/>
              <w:marRight w:val="0"/>
              <w:marTop w:val="0"/>
              <w:marBottom w:val="0"/>
              <w:divBdr>
                <w:top w:val="none" w:sz="0" w:space="0" w:color="auto"/>
                <w:left w:val="none" w:sz="0" w:space="0" w:color="auto"/>
                <w:bottom w:val="none" w:sz="0" w:space="0" w:color="auto"/>
                <w:right w:val="none" w:sz="0" w:space="0" w:color="auto"/>
              </w:divBdr>
            </w:div>
            <w:div w:id="905801601">
              <w:marLeft w:val="0"/>
              <w:marRight w:val="0"/>
              <w:marTop w:val="0"/>
              <w:marBottom w:val="0"/>
              <w:divBdr>
                <w:top w:val="none" w:sz="0" w:space="0" w:color="auto"/>
                <w:left w:val="none" w:sz="0" w:space="0" w:color="auto"/>
                <w:bottom w:val="none" w:sz="0" w:space="0" w:color="auto"/>
                <w:right w:val="none" w:sz="0" w:space="0" w:color="auto"/>
              </w:divBdr>
            </w:div>
            <w:div w:id="986669049">
              <w:marLeft w:val="0"/>
              <w:marRight w:val="0"/>
              <w:marTop w:val="0"/>
              <w:marBottom w:val="0"/>
              <w:divBdr>
                <w:top w:val="none" w:sz="0" w:space="0" w:color="auto"/>
                <w:left w:val="none" w:sz="0" w:space="0" w:color="auto"/>
                <w:bottom w:val="none" w:sz="0" w:space="0" w:color="auto"/>
                <w:right w:val="none" w:sz="0" w:space="0" w:color="auto"/>
              </w:divBdr>
            </w:div>
            <w:div w:id="1030253931">
              <w:marLeft w:val="0"/>
              <w:marRight w:val="0"/>
              <w:marTop w:val="0"/>
              <w:marBottom w:val="0"/>
              <w:divBdr>
                <w:top w:val="none" w:sz="0" w:space="0" w:color="auto"/>
                <w:left w:val="none" w:sz="0" w:space="0" w:color="auto"/>
                <w:bottom w:val="none" w:sz="0" w:space="0" w:color="auto"/>
                <w:right w:val="none" w:sz="0" w:space="0" w:color="auto"/>
              </w:divBdr>
            </w:div>
            <w:div w:id="1247958002">
              <w:marLeft w:val="0"/>
              <w:marRight w:val="0"/>
              <w:marTop w:val="0"/>
              <w:marBottom w:val="0"/>
              <w:divBdr>
                <w:top w:val="none" w:sz="0" w:space="0" w:color="auto"/>
                <w:left w:val="none" w:sz="0" w:space="0" w:color="auto"/>
                <w:bottom w:val="none" w:sz="0" w:space="0" w:color="auto"/>
                <w:right w:val="none" w:sz="0" w:space="0" w:color="auto"/>
              </w:divBdr>
            </w:div>
            <w:div w:id="1330908708">
              <w:marLeft w:val="0"/>
              <w:marRight w:val="0"/>
              <w:marTop w:val="0"/>
              <w:marBottom w:val="0"/>
              <w:divBdr>
                <w:top w:val="none" w:sz="0" w:space="0" w:color="auto"/>
                <w:left w:val="none" w:sz="0" w:space="0" w:color="auto"/>
                <w:bottom w:val="none" w:sz="0" w:space="0" w:color="auto"/>
                <w:right w:val="none" w:sz="0" w:space="0" w:color="auto"/>
              </w:divBdr>
            </w:div>
            <w:div w:id="1432041744">
              <w:marLeft w:val="0"/>
              <w:marRight w:val="0"/>
              <w:marTop w:val="0"/>
              <w:marBottom w:val="0"/>
              <w:divBdr>
                <w:top w:val="none" w:sz="0" w:space="0" w:color="auto"/>
                <w:left w:val="none" w:sz="0" w:space="0" w:color="auto"/>
                <w:bottom w:val="none" w:sz="0" w:space="0" w:color="auto"/>
                <w:right w:val="none" w:sz="0" w:space="0" w:color="auto"/>
              </w:divBdr>
            </w:div>
            <w:div w:id="1472552946">
              <w:marLeft w:val="0"/>
              <w:marRight w:val="0"/>
              <w:marTop w:val="0"/>
              <w:marBottom w:val="0"/>
              <w:divBdr>
                <w:top w:val="none" w:sz="0" w:space="0" w:color="auto"/>
                <w:left w:val="none" w:sz="0" w:space="0" w:color="auto"/>
                <w:bottom w:val="none" w:sz="0" w:space="0" w:color="auto"/>
                <w:right w:val="none" w:sz="0" w:space="0" w:color="auto"/>
              </w:divBdr>
            </w:div>
            <w:div w:id="1485002604">
              <w:marLeft w:val="0"/>
              <w:marRight w:val="0"/>
              <w:marTop w:val="0"/>
              <w:marBottom w:val="0"/>
              <w:divBdr>
                <w:top w:val="none" w:sz="0" w:space="0" w:color="auto"/>
                <w:left w:val="none" w:sz="0" w:space="0" w:color="auto"/>
                <w:bottom w:val="none" w:sz="0" w:space="0" w:color="auto"/>
                <w:right w:val="none" w:sz="0" w:space="0" w:color="auto"/>
              </w:divBdr>
            </w:div>
            <w:div w:id="1510485814">
              <w:marLeft w:val="0"/>
              <w:marRight w:val="0"/>
              <w:marTop w:val="0"/>
              <w:marBottom w:val="0"/>
              <w:divBdr>
                <w:top w:val="none" w:sz="0" w:space="0" w:color="auto"/>
                <w:left w:val="none" w:sz="0" w:space="0" w:color="auto"/>
                <w:bottom w:val="none" w:sz="0" w:space="0" w:color="auto"/>
                <w:right w:val="none" w:sz="0" w:space="0" w:color="auto"/>
              </w:divBdr>
            </w:div>
            <w:div w:id="1639989248">
              <w:marLeft w:val="0"/>
              <w:marRight w:val="0"/>
              <w:marTop w:val="0"/>
              <w:marBottom w:val="0"/>
              <w:divBdr>
                <w:top w:val="none" w:sz="0" w:space="0" w:color="auto"/>
                <w:left w:val="none" w:sz="0" w:space="0" w:color="auto"/>
                <w:bottom w:val="none" w:sz="0" w:space="0" w:color="auto"/>
                <w:right w:val="none" w:sz="0" w:space="0" w:color="auto"/>
              </w:divBdr>
            </w:div>
            <w:div w:id="1691174799">
              <w:marLeft w:val="0"/>
              <w:marRight w:val="0"/>
              <w:marTop w:val="0"/>
              <w:marBottom w:val="0"/>
              <w:divBdr>
                <w:top w:val="none" w:sz="0" w:space="0" w:color="auto"/>
                <w:left w:val="none" w:sz="0" w:space="0" w:color="auto"/>
                <w:bottom w:val="none" w:sz="0" w:space="0" w:color="auto"/>
                <w:right w:val="none" w:sz="0" w:space="0" w:color="auto"/>
              </w:divBdr>
            </w:div>
            <w:div w:id="1706713698">
              <w:marLeft w:val="0"/>
              <w:marRight w:val="0"/>
              <w:marTop w:val="0"/>
              <w:marBottom w:val="0"/>
              <w:divBdr>
                <w:top w:val="none" w:sz="0" w:space="0" w:color="auto"/>
                <w:left w:val="none" w:sz="0" w:space="0" w:color="auto"/>
                <w:bottom w:val="none" w:sz="0" w:space="0" w:color="auto"/>
                <w:right w:val="none" w:sz="0" w:space="0" w:color="auto"/>
              </w:divBdr>
            </w:div>
            <w:div w:id="1967151027">
              <w:marLeft w:val="0"/>
              <w:marRight w:val="0"/>
              <w:marTop w:val="0"/>
              <w:marBottom w:val="0"/>
              <w:divBdr>
                <w:top w:val="none" w:sz="0" w:space="0" w:color="auto"/>
                <w:left w:val="none" w:sz="0" w:space="0" w:color="auto"/>
                <w:bottom w:val="none" w:sz="0" w:space="0" w:color="auto"/>
                <w:right w:val="none" w:sz="0" w:space="0" w:color="auto"/>
              </w:divBdr>
            </w:div>
            <w:div w:id="2029482417">
              <w:marLeft w:val="0"/>
              <w:marRight w:val="0"/>
              <w:marTop w:val="0"/>
              <w:marBottom w:val="0"/>
              <w:divBdr>
                <w:top w:val="none" w:sz="0" w:space="0" w:color="auto"/>
                <w:left w:val="none" w:sz="0" w:space="0" w:color="auto"/>
                <w:bottom w:val="none" w:sz="0" w:space="0" w:color="auto"/>
                <w:right w:val="none" w:sz="0" w:space="0" w:color="auto"/>
              </w:divBdr>
            </w:div>
            <w:div w:id="2111923603">
              <w:marLeft w:val="0"/>
              <w:marRight w:val="0"/>
              <w:marTop w:val="0"/>
              <w:marBottom w:val="0"/>
              <w:divBdr>
                <w:top w:val="none" w:sz="0" w:space="0" w:color="auto"/>
                <w:left w:val="none" w:sz="0" w:space="0" w:color="auto"/>
                <w:bottom w:val="none" w:sz="0" w:space="0" w:color="auto"/>
                <w:right w:val="none" w:sz="0" w:space="0" w:color="auto"/>
              </w:divBdr>
            </w:div>
            <w:div w:id="2143771076">
              <w:marLeft w:val="0"/>
              <w:marRight w:val="0"/>
              <w:marTop w:val="0"/>
              <w:marBottom w:val="0"/>
              <w:divBdr>
                <w:top w:val="none" w:sz="0" w:space="0" w:color="auto"/>
                <w:left w:val="none" w:sz="0" w:space="0" w:color="auto"/>
                <w:bottom w:val="none" w:sz="0" w:space="0" w:color="auto"/>
                <w:right w:val="none" w:sz="0" w:space="0" w:color="auto"/>
              </w:divBdr>
            </w:div>
          </w:divsChild>
        </w:div>
        <w:div w:id="1749616618">
          <w:marLeft w:val="0"/>
          <w:marRight w:val="0"/>
          <w:marTop w:val="0"/>
          <w:marBottom w:val="0"/>
          <w:divBdr>
            <w:top w:val="none" w:sz="0" w:space="0" w:color="auto"/>
            <w:left w:val="none" w:sz="0" w:space="0" w:color="auto"/>
            <w:bottom w:val="none" w:sz="0" w:space="0" w:color="auto"/>
            <w:right w:val="none" w:sz="0" w:space="0" w:color="auto"/>
          </w:divBdr>
          <w:divsChild>
            <w:div w:id="74861576">
              <w:marLeft w:val="0"/>
              <w:marRight w:val="0"/>
              <w:marTop w:val="0"/>
              <w:marBottom w:val="0"/>
              <w:divBdr>
                <w:top w:val="none" w:sz="0" w:space="0" w:color="auto"/>
                <w:left w:val="none" w:sz="0" w:space="0" w:color="auto"/>
                <w:bottom w:val="none" w:sz="0" w:space="0" w:color="auto"/>
                <w:right w:val="none" w:sz="0" w:space="0" w:color="auto"/>
              </w:divBdr>
            </w:div>
            <w:div w:id="121047555">
              <w:marLeft w:val="0"/>
              <w:marRight w:val="0"/>
              <w:marTop w:val="0"/>
              <w:marBottom w:val="0"/>
              <w:divBdr>
                <w:top w:val="none" w:sz="0" w:space="0" w:color="auto"/>
                <w:left w:val="none" w:sz="0" w:space="0" w:color="auto"/>
                <w:bottom w:val="none" w:sz="0" w:space="0" w:color="auto"/>
                <w:right w:val="none" w:sz="0" w:space="0" w:color="auto"/>
              </w:divBdr>
            </w:div>
            <w:div w:id="334109051">
              <w:marLeft w:val="0"/>
              <w:marRight w:val="0"/>
              <w:marTop w:val="0"/>
              <w:marBottom w:val="0"/>
              <w:divBdr>
                <w:top w:val="none" w:sz="0" w:space="0" w:color="auto"/>
                <w:left w:val="none" w:sz="0" w:space="0" w:color="auto"/>
                <w:bottom w:val="none" w:sz="0" w:space="0" w:color="auto"/>
                <w:right w:val="none" w:sz="0" w:space="0" w:color="auto"/>
              </w:divBdr>
            </w:div>
            <w:div w:id="384448826">
              <w:marLeft w:val="0"/>
              <w:marRight w:val="0"/>
              <w:marTop w:val="0"/>
              <w:marBottom w:val="0"/>
              <w:divBdr>
                <w:top w:val="none" w:sz="0" w:space="0" w:color="auto"/>
                <w:left w:val="none" w:sz="0" w:space="0" w:color="auto"/>
                <w:bottom w:val="none" w:sz="0" w:space="0" w:color="auto"/>
                <w:right w:val="none" w:sz="0" w:space="0" w:color="auto"/>
              </w:divBdr>
            </w:div>
            <w:div w:id="435567172">
              <w:marLeft w:val="0"/>
              <w:marRight w:val="0"/>
              <w:marTop w:val="0"/>
              <w:marBottom w:val="0"/>
              <w:divBdr>
                <w:top w:val="none" w:sz="0" w:space="0" w:color="auto"/>
                <w:left w:val="none" w:sz="0" w:space="0" w:color="auto"/>
                <w:bottom w:val="none" w:sz="0" w:space="0" w:color="auto"/>
                <w:right w:val="none" w:sz="0" w:space="0" w:color="auto"/>
              </w:divBdr>
            </w:div>
            <w:div w:id="664432893">
              <w:marLeft w:val="0"/>
              <w:marRight w:val="0"/>
              <w:marTop w:val="0"/>
              <w:marBottom w:val="0"/>
              <w:divBdr>
                <w:top w:val="none" w:sz="0" w:space="0" w:color="auto"/>
                <w:left w:val="none" w:sz="0" w:space="0" w:color="auto"/>
                <w:bottom w:val="none" w:sz="0" w:space="0" w:color="auto"/>
                <w:right w:val="none" w:sz="0" w:space="0" w:color="auto"/>
              </w:divBdr>
            </w:div>
            <w:div w:id="747725808">
              <w:marLeft w:val="0"/>
              <w:marRight w:val="0"/>
              <w:marTop w:val="0"/>
              <w:marBottom w:val="0"/>
              <w:divBdr>
                <w:top w:val="none" w:sz="0" w:space="0" w:color="auto"/>
                <w:left w:val="none" w:sz="0" w:space="0" w:color="auto"/>
                <w:bottom w:val="none" w:sz="0" w:space="0" w:color="auto"/>
                <w:right w:val="none" w:sz="0" w:space="0" w:color="auto"/>
              </w:divBdr>
            </w:div>
            <w:div w:id="762645313">
              <w:marLeft w:val="0"/>
              <w:marRight w:val="0"/>
              <w:marTop w:val="0"/>
              <w:marBottom w:val="0"/>
              <w:divBdr>
                <w:top w:val="none" w:sz="0" w:space="0" w:color="auto"/>
                <w:left w:val="none" w:sz="0" w:space="0" w:color="auto"/>
                <w:bottom w:val="none" w:sz="0" w:space="0" w:color="auto"/>
                <w:right w:val="none" w:sz="0" w:space="0" w:color="auto"/>
              </w:divBdr>
            </w:div>
            <w:div w:id="998339229">
              <w:marLeft w:val="0"/>
              <w:marRight w:val="0"/>
              <w:marTop w:val="0"/>
              <w:marBottom w:val="0"/>
              <w:divBdr>
                <w:top w:val="none" w:sz="0" w:space="0" w:color="auto"/>
                <w:left w:val="none" w:sz="0" w:space="0" w:color="auto"/>
                <w:bottom w:val="none" w:sz="0" w:space="0" w:color="auto"/>
                <w:right w:val="none" w:sz="0" w:space="0" w:color="auto"/>
              </w:divBdr>
            </w:div>
            <w:div w:id="1218202478">
              <w:marLeft w:val="0"/>
              <w:marRight w:val="0"/>
              <w:marTop w:val="0"/>
              <w:marBottom w:val="0"/>
              <w:divBdr>
                <w:top w:val="none" w:sz="0" w:space="0" w:color="auto"/>
                <w:left w:val="none" w:sz="0" w:space="0" w:color="auto"/>
                <w:bottom w:val="none" w:sz="0" w:space="0" w:color="auto"/>
                <w:right w:val="none" w:sz="0" w:space="0" w:color="auto"/>
              </w:divBdr>
            </w:div>
            <w:div w:id="1311712129">
              <w:marLeft w:val="0"/>
              <w:marRight w:val="0"/>
              <w:marTop w:val="0"/>
              <w:marBottom w:val="0"/>
              <w:divBdr>
                <w:top w:val="none" w:sz="0" w:space="0" w:color="auto"/>
                <w:left w:val="none" w:sz="0" w:space="0" w:color="auto"/>
                <w:bottom w:val="none" w:sz="0" w:space="0" w:color="auto"/>
                <w:right w:val="none" w:sz="0" w:space="0" w:color="auto"/>
              </w:divBdr>
            </w:div>
            <w:div w:id="1368070672">
              <w:marLeft w:val="0"/>
              <w:marRight w:val="0"/>
              <w:marTop w:val="0"/>
              <w:marBottom w:val="0"/>
              <w:divBdr>
                <w:top w:val="none" w:sz="0" w:space="0" w:color="auto"/>
                <w:left w:val="none" w:sz="0" w:space="0" w:color="auto"/>
                <w:bottom w:val="none" w:sz="0" w:space="0" w:color="auto"/>
                <w:right w:val="none" w:sz="0" w:space="0" w:color="auto"/>
              </w:divBdr>
            </w:div>
            <w:div w:id="1528907719">
              <w:marLeft w:val="0"/>
              <w:marRight w:val="0"/>
              <w:marTop w:val="0"/>
              <w:marBottom w:val="0"/>
              <w:divBdr>
                <w:top w:val="none" w:sz="0" w:space="0" w:color="auto"/>
                <w:left w:val="none" w:sz="0" w:space="0" w:color="auto"/>
                <w:bottom w:val="none" w:sz="0" w:space="0" w:color="auto"/>
                <w:right w:val="none" w:sz="0" w:space="0" w:color="auto"/>
              </w:divBdr>
            </w:div>
            <w:div w:id="1603953276">
              <w:marLeft w:val="0"/>
              <w:marRight w:val="0"/>
              <w:marTop w:val="0"/>
              <w:marBottom w:val="0"/>
              <w:divBdr>
                <w:top w:val="none" w:sz="0" w:space="0" w:color="auto"/>
                <w:left w:val="none" w:sz="0" w:space="0" w:color="auto"/>
                <w:bottom w:val="none" w:sz="0" w:space="0" w:color="auto"/>
                <w:right w:val="none" w:sz="0" w:space="0" w:color="auto"/>
              </w:divBdr>
            </w:div>
            <w:div w:id="1606159586">
              <w:marLeft w:val="0"/>
              <w:marRight w:val="0"/>
              <w:marTop w:val="0"/>
              <w:marBottom w:val="0"/>
              <w:divBdr>
                <w:top w:val="none" w:sz="0" w:space="0" w:color="auto"/>
                <w:left w:val="none" w:sz="0" w:space="0" w:color="auto"/>
                <w:bottom w:val="none" w:sz="0" w:space="0" w:color="auto"/>
                <w:right w:val="none" w:sz="0" w:space="0" w:color="auto"/>
              </w:divBdr>
            </w:div>
            <w:div w:id="1620604725">
              <w:marLeft w:val="0"/>
              <w:marRight w:val="0"/>
              <w:marTop w:val="0"/>
              <w:marBottom w:val="0"/>
              <w:divBdr>
                <w:top w:val="none" w:sz="0" w:space="0" w:color="auto"/>
                <w:left w:val="none" w:sz="0" w:space="0" w:color="auto"/>
                <w:bottom w:val="none" w:sz="0" w:space="0" w:color="auto"/>
                <w:right w:val="none" w:sz="0" w:space="0" w:color="auto"/>
              </w:divBdr>
            </w:div>
            <w:div w:id="1753355391">
              <w:marLeft w:val="0"/>
              <w:marRight w:val="0"/>
              <w:marTop w:val="0"/>
              <w:marBottom w:val="0"/>
              <w:divBdr>
                <w:top w:val="none" w:sz="0" w:space="0" w:color="auto"/>
                <w:left w:val="none" w:sz="0" w:space="0" w:color="auto"/>
                <w:bottom w:val="none" w:sz="0" w:space="0" w:color="auto"/>
                <w:right w:val="none" w:sz="0" w:space="0" w:color="auto"/>
              </w:divBdr>
            </w:div>
            <w:div w:id="1804545680">
              <w:marLeft w:val="0"/>
              <w:marRight w:val="0"/>
              <w:marTop w:val="0"/>
              <w:marBottom w:val="0"/>
              <w:divBdr>
                <w:top w:val="none" w:sz="0" w:space="0" w:color="auto"/>
                <w:left w:val="none" w:sz="0" w:space="0" w:color="auto"/>
                <w:bottom w:val="none" w:sz="0" w:space="0" w:color="auto"/>
                <w:right w:val="none" w:sz="0" w:space="0" w:color="auto"/>
              </w:divBdr>
            </w:div>
            <w:div w:id="1865827365">
              <w:marLeft w:val="0"/>
              <w:marRight w:val="0"/>
              <w:marTop w:val="0"/>
              <w:marBottom w:val="0"/>
              <w:divBdr>
                <w:top w:val="none" w:sz="0" w:space="0" w:color="auto"/>
                <w:left w:val="none" w:sz="0" w:space="0" w:color="auto"/>
                <w:bottom w:val="none" w:sz="0" w:space="0" w:color="auto"/>
                <w:right w:val="none" w:sz="0" w:space="0" w:color="auto"/>
              </w:divBdr>
            </w:div>
            <w:div w:id="20640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75563">
      <w:bodyDiv w:val="1"/>
      <w:marLeft w:val="0"/>
      <w:marRight w:val="0"/>
      <w:marTop w:val="0"/>
      <w:marBottom w:val="0"/>
      <w:divBdr>
        <w:top w:val="none" w:sz="0" w:space="0" w:color="auto"/>
        <w:left w:val="none" w:sz="0" w:space="0" w:color="auto"/>
        <w:bottom w:val="none" w:sz="0" w:space="0" w:color="auto"/>
        <w:right w:val="none" w:sz="0" w:space="0" w:color="auto"/>
      </w:divBdr>
      <w:divsChild>
        <w:div w:id="204371500">
          <w:marLeft w:val="0"/>
          <w:marRight w:val="0"/>
          <w:marTop w:val="0"/>
          <w:marBottom w:val="0"/>
          <w:divBdr>
            <w:top w:val="none" w:sz="0" w:space="0" w:color="auto"/>
            <w:left w:val="none" w:sz="0" w:space="0" w:color="auto"/>
            <w:bottom w:val="none" w:sz="0" w:space="0" w:color="auto"/>
            <w:right w:val="none" w:sz="0" w:space="0" w:color="auto"/>
          </w:divBdr>
          <w:divsChild>
            <w:div w:id="783157582">
              <w:marLeft w:val="0"/>
              <w:marRight w:val="0"/>
              <w:marTop w:val="0"/>
              <w:marBottom w:val="0"/>
              <w:divBdr>
                <w:top w:val="none" w:sz="0" w:space="0" w:color="auto"/>
                <w:left w:val="none" w:sz="0" w:space="0" w:color="auto"/>
                <w:bottom w:val="none" w:sz="0" w:space="0" w:color="auto"/>
                <w:right w:val="none" w:sz="0" w:space="0" w:color="auto"/>
              </w:divBdr>
            </w:div>
          </w:divsChild>
        </w:div>
        <w:div w:id="359360197">
          <w:marLeft w:val="0"/>
          <w:marRight w:val="0"/>
          <w:marTop w:val="0"/>
          <w:marBottom w:val="0"/>
          <w:divBdr>
            <w:top w:val="none" w:sz="0" w:space="0" w:color="auto"/>
            <w:left w:val="none" w:sz="0" w:space="0" w:color="auto"/>
            <w:bottom w:val="none" w:sz="0" w:space="0" w:color="auto"/>
            <w:right w:val="none" w:sz="0" w:space="0" w:color="auto"/>
          </w:divBdr>
          <w:divsChild>
            <w:div w:id="534539516">
              <w:marLeft w:val="0"/>
              <w:marRight w:val="0"/>
              <w:marTop w:val="0"/>
              <w:marBottom w:val="0"/>
              <w:divBdr>
                <w:top w:val="none" w:sz="0" w:space="0" w:color="auto"/>
                <w:left w:val="none" w:sz="0" w:space="0" w:color="auto"/>
                <w:bottom w:val="none" w:sz="0" w:space="0" w:color="auto"/>
                <w:right w:val="none" w:sz="0" w:space="0" w:color="auto"/>
              </w:divBdr>
            </w:div>
          </w:divsChild>
        </w:div>
        <w:div w:id="584874781">
          <w:marLeft w:val="0"/>
          <w:marRight w:val="0"/>
          <w:marTop w:val="0"/>
          <w:marBottom w:val="0"/>
          <w:divBdr>
            <w:top w:val="none" w:sz="0" w:space="0" w:color="auto"/>
            <w:left w:val="none" w:sz="0" w:space="0" w:color="auto"/>
            <w:bottom w:val="none" w:sz="0" w:space="0" w:color="auto"/>
            <w:right w:val="none" w:sz="0" w:space="0" w:color="auto"/>
          </w:divBdr>
          <w:divsChild>
            <w:div w:id="1271203831">
              <w:marLeft w:val="0"/>
              <w:marRight w:val="0"/>
              <w:marTop w:val="0"/>
              <w:marBottom w:val="0"/>
              <w:divBdr>
                <w:top w:val="none" w:sz="0" w:space="0" w:color="auto"/>
                <w:left w:val="none" w:sz="0" w:space="0" w:color="auto"/>
                <w:bottom w:val="none" w:sz="0" w:space="0" w:color="auto"/>
                <w:right w:val="none" w:sz="0" w:space="0" w:color="auto"/>
              </w:divBdr>
            </w:div>
          </w:divsChild>
        </w:div>
        <w:div w:id="873882973">
          <w:marLeft w:val="0"/>
          <w:marRight w:val="0"/>
          <w:marTop w:val="0"/>
          <w:marBottom w:val="0"/>
          <w:divBdr>
            <w:top w:val="none" w:sz="0" w:space="0" w:color="auto"/>
            <w:left w:val="none" w:sz="0" w:space="0" w:color="auto"/>
            <w:bottom w:val="none" w:sz="0" w:space="0" w:color="auto"/>
            <w:right w:val="none" w:sz="0" w:space="0" w:color="auto"/>
          </w:divBdr>
          <w:divsChild>
            <w:div w:id="254100426">
              <w:marLeft w:val="0"/>
              <w:marRight w:val="0"/>
              <w:marTop w:val="0"/>
              <w:marBottom w:val="0"/>
              <w:divBdr>
                <w:top w:val="none" w:sz="0" w:space="0" w:color="auto"/>
                <w:left w:val="none" w:sz="0" w:space="0" w:color="auto"/>
                <w:bottom w:val="none" w:sz="0" w:space="0" w:color="auto"/>
                <w:right w:val="none" w:sz="0" w:space="0" w:color="auto"/>
              </w:divBdr>
            </w:div>
          </w:divsChild>
        </w:div>
        <w:div w:id="1220046481">
          <w:marLeft w:val="0"/>
          <w:marRight w:val="0"/>
          <w:marTop w:val="0"/>
          <w:marBottom w:val="0"/>
          <w:divBdr>
            <w:top w:val="none" w:sz="0" w:space="0" w:color="auto"/>
            <w:left w:val="none" w:sz="0" w:space="0" w:color="auto"/>
            <w:bottom w:val="none" w:sz="0" w:space="0" w:color="auto"/>
            <w:right w:val="none" w:sz="0" w:space="0" w:color="auto"/>
          </w:divBdr>
          <w:divsChild>
            <w:div w:id="376131318">
              <w:marLeft w:val="0"/>
              <w:marRight w:val="0"/>
              <w:marTop w:val="0"/>
              <w:marBottom w:val="0"/>
              <w:divBdr>
                <w:top w:val="none" w:sz="0" w:space="0" w:color="auto"/>
                <w:left w:val="none" w:sz="0" w:space="0" w:color="auto"/>
                <w:bottom w:val="none" w:sz="0" w:space="0" w:color="auto"/>
                <w:right w:val="none" w:sz="0" w:space="0" w:color="auto"/>
              </w:divBdr>
            </w:div>
          </w:divsChild>
        </w:div>
        <w:div w:id="1516456565">
          <w:marLeft w:val="0"/>
          <w:marRight w:val="0"/>
          <w:marTop w:val="0"/>
          <w:marBottom w:val="0"/>
          <w:divBdr>
            <w:top w:val="none" w:sz="0" w:space="0" w:color="auto"/>
            <w:left w:val="none" w:sz="0" w:space="0" w:color="auto"/>
            <w:bottom w:val="none" w:sz="0" w:space="0" w:color="auto"/>
            <w:right w:val="none" w:sz="0" w:space="0" w:color="auto"/>
          </w:divBdr>
          <w:divsChild>
            <w:div w:id="1820683204">
              <w:marLeft w:val="0"/>
              <w:marRight w:val="0"/>
              <w:marTop w:val="0"/>
              <w:marBottom w:val="0"/>
              <w:divBdr>
                <w:top w:val="none" w:sz="0" w:space="0" w:color="auto"/>
                <w:left w:val="none" w:sz="0" w:space="0" w:color="auto"/>
                <w:bottom w:val="none" w:sz="0" w:space="0" w:color="auto"/>
                <w:right w:val="none" w:sz="0" w:space="0" w:color="auto"/>
              </w:divBdr>
            </w:div>
          </w:divsChild>
        </w:div>
        <w:div w:id="1544245601">
          <w:marLeft w:val="0"/>
          <w:marRight w:val="0"/>
          <w:marTop w:val="0"/>
          <w:marBottom w:val="0"/>
          <w:divBdr>
            <w:top w:val="none" w:sz="0" w:space="0" w:color="auto"/>
            <w:left w:val="none" w:sz="0" w:space="0" w:color="auto"/>
            <w:bottom w:val="none" w:sz="0" w:space="0" w:color="auto"/>
            <w:right w:val="none" w:sz="0" w:space="0" w:color="auto"/>
          </w:divBdr>
          <w:divsChild>
            <w:div w:id="2126189778">
              <w:marLeft w:val="0"/>
              <w:marRight w:val="0"/>
              <w:marTop w:val="0"/>
              <w:marBottom w:val="0"/>
              <w:divBdr>
                <w:top w:val="none" w:sz="0" w:space="0" w:color="auto"/>
                <w:left w:val="none" w:sz="0" w:space="0" w:color="auto"/>
                <w:bottom w:val="none" w:sz="0" w:space="0" w:color="auto"/>
                <w:right w:val="none" w:sz="0" w:space="0" w:color="auto"/>
              </w:divBdr>
            </w:div>
          </w:divsChild>
        </w:div>
        <w:div w:id="1596330585">
          <w:marLeft w:val="0"/>
          <w:marRight w:val="0"/>
          <w:marTop w:val="0"/>
          <w:marBottom w:val="0"/>
          <w:divBdr>
            <w:top w:val="none" w:sz="0" w:space="0" w:color="auto"/>
            <w:left w:val="none" w:sz="0" w:space="0" w:color="auto"/>
            <w:bottom w:val="none" w:sz="0" w:space="0" w:color="auto"/>
            <w:right w:val="none" w:sz="0" w:space="0" w:color="auto"/>
          </w:divBdr>
          <w:divsChild>
            <w:div w:id="1711228618">
              <w:marLeft w:val="0"/>
              <w:marRight w:val="0"/>
              <w:marTop w:val="0"/>
              <w:marBottom w:val="0"/>
              <w:divBdr>
                <w:top w:val="none" w:sz="0" w:space="0" w:color="auto"/>
                <w:left w:val="none" w:sz="0" w:space="0" w:color="auto"/>
                <w:bottom w:val="none" w:sz="0" w:space="0" w:color="auto"/>
                <w:right w:val="none" w:sz="0" w:space="0" w:color="auto"/>
              </w:divBdr>
            </w:div>
          </w:divsChild>
        </w:div>
        <w:div w:id="1634287745">
          <w:marLeft w:val="0"/>
          <w:marRight w:val="0"/>
          <w:marTop w:val="0"/>
          <w:marBottom w:val="0"/>
          <w:divBdr>
            <w:top w:val="none" w:sz="0" w:space="0" w:color="auto"/>
            <w:left w:val="none" w:sz="0" w:space="0" w:color="auto"/>
            <w:bottom w:val="none" w:sz="0" w:space="0" w:color="auto"/>
            <w:right w:val="none" w:sz="0" w:space="0" w:color="auto"/>
          </w:divBdr>
          <w:divsChild>
            <w:div w:id="573200583">
              <w:marLeft w:val="0"/>
              <w:marRight w:val="0"/>
              <w:marTop w:val="0"/>
              <w:marBottom w:val="0"/>
              <w:divBdr>
                <w:top w:val="none" w:sz="0" w:space="0" w:color="auto"/>
                <w:left w:val="none" w:sz="0" w:space="0" w:color="auto"/>
                <w:bottom w:val="none" w:sz="0" w:space="0" w:color="auto"/>
                <w:right w:val="none" w:sz="0" w:space="0" w:color="auto"/>
              </w:divBdr>
            </w:div>
          </w:divsChild>
        </w:div>
        <w:div w:id="1746804565">
          <w:marLeft w:val="0"/>
          <w:marRight w:val="0"/>
          <w:marTop w:val="0"/>
          <w:marBottom w:val="0"/>
          <w:divBdr>
            <w:top w:val="none" w:sz="0" w:space="0" w:color="auto"/>
            <w:left w:val="none" w:sz="0" w:space="0" w:color="auto"/>
            <w:bottom w:val="none" w:sz="0" w:space="0" w:color="auto"/>
            <w:right w:val="none" w:sz="0" w:space="0" w:color="auto"/>
          </w:divBdr>
          <w:divsChild>
            <w:div w:id="1010835107">
              <w:marLeft w:val="0"/>
              <w:marRight w:val="0"/>
              <w:marTop w:val="0"/>
              <w:marBottom w:val="0"/>
              <w:divBdr>
                <w:top w:val="none" w:sz="0" w:space="0" w:color="auto"/>
                <w:left w:val="none" w:sz="0" w:space="0" w:color="auto"/>
                <w:bottom w:val="none" w:sz="0" w:space="0" w:color="auto"/>
                <w:right w:val="none" w:sz="0" w:space="0" w:color="auto"/>
              </w:divBdr>
            </w:div>
          </w:divsChild>
        </w:div>
        <w:div w:id="1902329793">
          <w:marLeft w:val="0"/>
          <w:marRight w:val="0"/>
          <w:marTop w:val="0"/>
          <w:marBottom w:val="0"/>
          <w:divBdr>
            <w:top w:val="none" w:sz="0" w:space="0" w:color="auto"/>
            <w:left w:val="none" w:sz="0" w:space="0" w:color="auto"/>
            <w:bottom w:val="none" w:sz="0" w:space="0" w:color="auto"/>
            <w:right w:val="none" w:sz="0" w:space="0" w:color="auto"/>
          </w:divBdr>
          <w:divsChild>
            <w:div w:id="2111928455">
              <w:marLeft w:val="0"/>
              <w:marRight w:val="0"/>
              <w:marTop w:val="0"/>
              <w:marBottom w:val="0"/>
              <w:divBdr>
                <w:top w:val="none" w:sz="0" w:space="0" w:color="auto"/>
                <w:left w:val="none" w:sz="0" w:space="0" w:color="auto"/>
                <w:bottom w:val="none" w:sz="0" w:space="0" w:color="auto"/>
                <w:right w:val="none" w:sz="0" w:space="0" w:color="auto"/>
              </w:divBdr>
            </w:div>
          </w:divsChild>
        </w:div>
        <w:div w:id="1976594722">
          <w:marLeft w:val="0"/>
          <w:marRight w:val="0"/>
          <w:marTop w:val="0"/>
          <w:marBottom w:val="0"/>
          <w:divBdr>
            <w:top w:val="none" w:sz="0" w:space="0" w:color="auto"/>
            <w:left w:val="none" w:sz="0" w:space="0" w:color="auto"/>
            <w:bottom w:val="none" w:sz="0" w:space="0" w:color="auto"/>
            <w:right w:val="none" w:sz="0" w:space="0" w:color="auto"/>
          </w:divBdr>
          <w:divsChild>
            <w:div w:id="115291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81832">
      <w:bodyDiv w:val="1"/>
      <w:marLeft w:val="0"/>
      <w:marRight w:val="0"/>
      <w:marTop w:val="0"/>
      <w:marBottom w:val="0"/>
      <w:divBdr>
        <w:top w:val="none" w:sz="0" w:space="0" w:color="auto"/>
        <w:left w:val="none" w:sz="0" w:space="0" w:color="auto"/>
        <w:bottom w:val="none" w:sz="0" w:space="0" w:color="auto"/>
        <w:right w:val="none" w:sz="0" w:space="0" w:color="auto"/>
      </w:divBdr>
      <w:divsChild>
        <w:div w:id="40250963">
          <w:marLeft w:val="0"/>
          <w:marRight w:val="0"/>
          <w:marTop w:val="0"/>
          <w:marBottom w:val="0"/>
          <w:divBdr>
            <w:top w:val="none" w:sz="0" w:space="0" w:color="auto"/>
            <w:left w:val="none" w:sz="0" w:space="0" w:color="auto"/>
            <w:bottom w:val="none" w:sz="0" w:space="0" w:color="auto"/>
            <w:right w:val="none" w:sz="0" w:space="0" w:color="auto"/>
          </w:divBdr>
          <w:divsChild>
            <w:div w:id="42604302">
              <w:marLeft w:val="0"/>
              <w:marRight w:val="0"/>
              <w:marTop w:val="0"/>
              <w:marBottom w:val="0"/>
              <w:divBdr>
                <w:top w:val="none" w:sz="0" w:space="0" w:color="auto"/>
                <w:left w:val="none" w:sz="0" w:space="0" w:color="auto"/>
                <w:bottom w:val="none" w:sz="0" w:space="0" w:color="auto"/>
                <w:right w:val="none" w:sz="0" w:space="0" w:color="auto"/>
              </w:divBdr>
            </w:div>
          </w:divsChild>
        </w:div>
        <w:div w:id="49696447">
          <w:marLeft w:val="0"/>
          <w:marRight w:val="0"/>
          <w:marTop w:val="0"/>
          <w:marBottom w:val="0"/>
          <w:divBdr>
            <w:top w:val="none" w:sz="0" w:space="0" w:color="auto"/>
            <w:left w:val="none" w:sz="0" w:space="0" w:color="auto"/>
            <w:bottom w:val="none" w:sz="0" w:space="0" w:color="auto"/>
            <w:right w:val="none" w:sz="0" w:space="0" w:color="auto"/>
          </w:divBdr>
          <w:divsChild>
            <w:div w:id="94525750">
              <w:marLeft w:val="0"/>
              <w:marRight w:val="0"/>
              <w:marTop w:val="0"/>
              <w:marBottom w:val="0"/>
              <w:divBdr>
                <w:top w:val="none" w:sz="0" w:space="0" w:color="auto"/>
                <w:left w:val="none" w:sz="0" w:space="0" w:color="auto"/>
                <w:bottom w:val="none" w:sz="0" w:space="0" w:color="auto"/>
                <w:right w:val="none" w:sz="0" w:space="0" w:color="auto"/>
              </w:divBdr>
            </w:div>
          </w:divsChild>
        </w:div>
        <w:div w:id="166871899">
          <w:marLeft w:val="0"/>
          <w:marRight w:val="0"/>
          <w:marTop w:val="0"/>
          <w:marBottom w:val="0"/>
          <w:divBdr>
            <w:top w:val="none" w:sz="0" w:space="0" w:color="auto"/>
            <w:left w:val="none" w:sz="0" w:space="0" w:color="auto"/>
            <w:bottom w:val="none" w:sz="0" w:space="0" w:color="auto"/>
            <w:right w:val="none" w:sz="0" w:space="0" w:color="auto"/>
          </w:divBdr>
          <w:divsChild>
            <w:div w:id="1453985589">
              <w:marLeft w:val="0"/>
              <w:marRight w:val="0"/>
              <w:marTop w:val="0"/>
              <w:marBottom w:val="0"/>
              <w:divBdr>
                <w:top w:val="none" w:sz="0" w:space="0" w:color="auto"/>
                <w:left w:val="none" w:sz="0" w:space="0" w:color="auto"/>
                <w:bottom w:val="none" w:sz="0" w:space="0" w:color="auto"/>
                <w:right w:val="none" w:sz="0" w:space="0" w:color="auto"/>
              </w:divBdr>
            </w:div>
            <w:div w:id="2120488088">
              <w:marLeft w:val="0"/>
              <w:marRight w:val="0"/>
              <w:marTop w:val="0"/>
              <w:marBottom w:val="0"/>
              <w:divBdr>
                <w:top w:val="none" w:sz="0" w:space="0" w:color="auto"/>
                <w:left w:val="none" w:sz="0" w:space="0" w:color="auto"/>
                <w:bottom w:val="none" w:sz="0" w:space="0" w:color="auto"/>
                <w:right w:val="none" w:sz="0" w:space="0" w:color="auto"/>
              </w:divBdr>
            </w:div>
          </w:divsChild>
        </w:div>
        <w:div w:id="281615299">
          <w:marLeft w:val="0"/>
          <w:marRight w:val="0"/>
          <w:marTop w:val="0"/>
          <w:marBottom w:val="0"/>
          <w:divBdr>
            <w:top w:val="none" w:sz="0" w:space="0" w:color="auto"/>
            <w:left w:val="none" w:sz="0" w:space="0" w:color="auto"/>
            <w:bottom w:val="none" w:sz="0" w:space="0" w:color="auto"/>
            <w:right w:val="none" w:sz="0" w:space="0" w:color="auto"/>
          </w:divBdr>
          <w:divsChild>
            <w:div w:id="621771802">
              <w:marLeft w:val="0"/>
              <w:marRight w:val="0"/>
              <w:marTop w:val="0"/>
              <w:marBottom w:val="0"/>
              <w:divBdr>
                <w:top w:val="none" w:sz="0" w:space="0" w:color="auto"/>
                <w:left w:val="none" w:sz="0" w:space="0" w:color="auto"/>
                <w:bottom w:val="none" w:sz="0" w:space="0" w:color="auto"/>
                <w:right w:val="none" w:sz="0" w:space="0" w:color="auto"/>
              </w:divBdr>
            </w:div>
          </w:divsChild>
        </w:div>
        <w:div w:id="450514094">
          <w:marLeft w:val="0"/>
          <w:marRight w:val="0"/>
          <w:marTop w:val="0"/>
          <w:marBottom w:val="0"/>
          <w:divBdr>
            <w:top w:val="none" w:sz="0" w:space="0" w:color="auto"/>
            <w:left w:val="none" w:sz="0" w:space="0" w:color="auto"/>
            <w:bottom w:val="none" w:sz="0" w:space="0" w:color="auto"/>
            <w:right w:val="none" w:sz="0" w:space="0" w:color="auto"/>
          </w:divBdr>
          <w:divsChild>
            <w:div w:id="1408769363">
              <w:marLeft w:val="0"/>
              <w:marRight w:val="0"/>
              <w:marTop w:val="0"/>
              <w:marBottom w:val="0"/>
              <w:divBdr>
                <w:top w:val="none" w:sz="0" w:space="0" w:color="auto"/>
                <w:left w:val="none" w:sz="0" w:space="0" w:color="auto"/>
                <w:bottom w:val="none" w:sz="0" w:space="0" w:color="auto"/>
                <w:right w:val="none" w:sz="0" w:space="0" w:color="auto"/>
              </w:divBdr>
            </w:div>
          </w:divsChild>
        </w:div>
        <w:div w:id="452022268">
          <w:marLeft w:val="0"/>
          <w:marRight w:val="0"/>
          <w:marTop w:val="0"/>
          <w:marBottom w:val="0"/>
          <w:divBdr>
            <w:top w:val="none" w:sz="0" w:space="0" w:color="auto"/>
            <w:left w:val="none" w:sz="0" w:space="0" w:color="auto"/>
            <w:bottom w:val="none" w:sz="0" w:space="0" w:color="auto"/>
            <w:right w:val="none" w:sz="0" w:space="0" w:color="auto"/>
          </w:divBdr>
          <w:divsChild>
            <w:div w:id="696736942">
              <w:marLeft w:val="0"/>
              <w:marRight w:val="0"/>
              <w:marTop w:val="0"/>
              <w:marBottom w:val="0"/>
              <w:divBdr>
                <w:top w:val="none" w:sz="0" w:space="0" w:color="auto"/>
                <w:left w:val="none" w:sz="0" w:space="0" w:color="auto"/>
                <w:bottom w:val="none" w:sz="0" w:space="0" w:color="auto"/>
                <w:right w:val="none" w:sz="0" w:space="0" w:color="auto"/>
              </w:divBdr>
            </w:div>
          </w:divsChild>
        </w:div>
        <w:div w:id="525674753">
          <w:marLeft w:val="0"/>
          <w:marRight w:val="0"/>
          <w:marTop w:val="0"/>
          <w:marBottom w:val="0"/>
          <w:divBdr>
            <w:top w:val="none" w:sz="0" w:space="0" w:color="auto"/>
            <w:left w:val="none" w:sz="0" w:space="0" w:color="auto"/>
            <w:bottom w:val="none" w:sz="0" w:space="0" w:color="auto"/>
            <w:right w:val="none" w:sz="0" w:space="0" w:color="auto"/>
          </w:divBdr>
          <w:divsChild>
            <w:div w:id="865484704">
              <w:marLeft w:val="0"/>
              <w:marRight w:val="0"/>
              <w:marTop w:val="0"/>
              <w:marBottom w:val="0"/>
              <w:divBdr>
                <w:top w:val="none" w:sz="0" w:space="0" w:color="auto"/>
                <w:left w:val="none" w:sz="0" w:space="0" w:color="auto"/>
                <w:bottom w:val="none" w:sz="0" w:space="0" w:color="auto"/>
                <w:right w:val="none" w:sz="0" w:space="0" w:color="auto"/>
              </w:divBdr>
            </w:div>
            <w:div w:id="2099784901">
              <w:marLeft w:val="0"/>
              <w:marRight w:val="0"/>
              <w:marTop w:val="0"/>
              <w:marBottom w:val="0"/>
              <w:divBdr>
                <w:top w:val="none" w:sz="0" w:space="0" w:color="auto"/>
                <w:left w:val="none" w:sz="0" w:space="0" w:color="auto"/>
                <w:bottom w:val="none" w:sz="0" w:space="0" w:color="auto"/>
                <w:right w:val="none" w:sz="0" w:space="0" w:color="auto"/>
              </w:divBdr>
            </w:div>
          </w:divsChild>
        </w:div>
        <w:div w:id="543828503">
          <w:marLeft w:val="0"/>
          <w:marRight w:val="0"/>
          <w:marTop w:val="0"/>
          <w:marBottom w:val="0"/>
          <w:divBdr>
            <w:top w:val="none" w:sz="0" w:space="0" w:color="auto"/>
            <w:left w:val="none" w:sz="0" w:space="0" w:color="auto"/>
            <w:bottom w:val="none" w:sz="0" w:space="0" w:color="auto"/>
            <w:right w:val="none" w:sz="0" w:space="0" w:color="auto"/>
          </w:divBdr>
          <w:divsChild>
            <w:div w:id="1118067129">
              <w:marLeft w:val="0"/>
              <w:marRight w:val="0"/>
              <w:marTop w:val="0"/>
              <w:marBottom w:val="0"/>
              <w:divBdr>
                <w:top w:val="none" w:sz="0" w:space="0" w:color="auto"/>
                <w:left w:val="none" w:sz="0" w:space="0" w:color="auto"/>
                <w:bottom w:val="none" w:sz="0" w:space="0" w:color="auto"/>
                <w:right w:val="none" w:sz="0" w:space="0" w:color="auto"/>
              </w:divBdr>
            </w:div>
          </w:divsChild>
        </w:div>
        <w:div w:id="658731129">
          <w:marLeft w:val="0"/>
          <w:marRight w:val="0"/>
          <w:marTop w:val="0"/>
          <w:marBottom w:val="0"/>
          <w:divBdr>
            <w:top w:val="none" w:sz="0" w:space="0" w:color="auto"/>
            <w:left w:val="none" w:sz="0" w:space="0" w:color="auto"/>
            <w:bottom w:val="none" w:sz="0" w:space="0" w:color="auto"/>
            <w:right w:val="none" w:sz="0" w:space="0" w:color="auto"/>
          </w:divBdr>
          <w:divsChild>
            <w:div w:id="375814844">
              <w:marLeft w:val="0"/>
              <w:marRight w:val="0"/>
              <w:marTop w:val="0"/>
              <w:marBottom w:val="0"/>
              <w:divBdr>
                <w:top w:val="none" w:sz="0" w:space="0" w:color="auto"/>
                <w:left w:val="none" w:sz="0" w:space="0" w:color="auto"/>
                <w:bottom w:val="none" w:sz="0" w:space="0" w:color="auto"/>
                <w:right w:val="none" w:sz="0" w:space="0" w:color="auto"/>
              </w:divBdr>
            </w:div>
          </w:divsChild>
        </w:div>
        <w:div w:id="794757998">
          <w:marLeft w:val="0"/>
          <w:marRight w:val="0"/>
          <w:marTop w:val="0"/>
          <w:marBottom w:val="0"/>
          <w:divBdr>
            <w:top w:val="none" w:sz="0" w:space="0" w:color="auto"/>
            <w:left w:val="none" w:sz="0" w:space="0" w:color="auto"/>
            <w:bottom w:val="none" w:sz="0" w:space="0" w:color="auto"/>
            <w:right w:val="none" w:sz="0" w:space="0" w:color="auto"/>
          </w:divBdr>
          <w:divsChild>
            <w:div w:id="2145733999">
              <w:marLeft w:val="0"/>
              <w:marRight w:val="0"/>
              <w:marTop w:val="0"/>
              <w:marBottom w:val="0"/>
              <w:divBdr>
                <w:top w:val="none" w:sz="0" w:space="0" w:color="auto"/>
                <w:left w:val="none" w:sz="0" w:space="0" w:color="auto"/>
                <w:bottom w:val="none" w:sz="0" w:space="0" w:color="auto"/>
                <w:right w:val="none" w:sz="0" w:space="0" w:color="auto"/>
              </w:divBdr>
            </w:div>
          </w:divsChild>
        </w:div>
        <w:div w:id="849953418">
          <w:marLeft w:val="0"/>
          <w:marRight w:val="0"/>
          <w:marTop w:val="0"/>
          <w:marBottom w:val="0"/>
          <w:divBdr>
            <w:top w:val="none" w:sz="0" w:space="0" w:color="auto"/>
            <w:left w:val="none" w:sz="0" w:space="0" w:color="auto"/>
            <w:bottom w:val="none" w:sz="0" w:space="0" w:color="auto"/>
            <w:right w:val="none" w:sz="0" w:space="0" w:color="auto"/>
          </w:divBdr>
          <w:divsChild>
            <w:div w:id="1772702059">
              <w:marLeft w:val="0"/>
              <w:marRight w:val="0"/>
              <w:marTop w:val="0"/>
              <w:marBottom w:val="0"/>
              <w:divBdr>
                <w:top w:val="none" w:sz="0" w:space="0" w:color="auto"/>
                <w:left w:val="none" w:sz="0" w:space="0" w:color="auto"/>
                <w:bottom w:val="none" w:sz="0" w:space="0" w:color="auto"/>
                <w:right w:val="none" w:sz="0" w:space="0" w:color="auto"/>
              </w:divBdr>
            </w:div>
          </w:divsChild>
        </w:div>
        <w:div w:id="922564402">
          <w:marLeft w:val="0"/>
          <w:marRight w:val="0"/>
          <w:marTop w:val="0"/>
          <w:marBottom w:val="0"/>
          <w:divBdr>
            <w:top w:val="none" w:sz="0" w:space="0" w:color="auto"/>
            <w:left w:val="none" w:sz="0" w:space="0" w:color="auto"/>
            <w:bottom w:val="none" w:sz="0" w:space="0" w:color="auto"/>
            <w:right w:val="none" w:sz="0" w:space="0" w:color="auto"/>
          </w:divBdr>
          <w:divsChild>
            <w:div w:id="1412197708">
              <w:marLeft w:val="0"/>
              <w:marRight w:val="0"/>
              <w:marTop w:val="0"/>
              <w:marBottom w:val="0"/>
              <w:divBdr>
                <w:top w:val="none" w:sz="0" w:space="0" w:color="auto"/>
                <w:left w:val="none" w:sz="0" w:space="0" w:color="auto"/>
                <w:bottom w:val="none" w:sz="0" w:space="0" w:color="auto"/>
                <w:right w:val="none" w:sz="0" w:space="0" w:color="auto"/>
              </w:divBdr>
            </w:div>
          </w:divsChild>
        </w:div>
        <w:div w:id="1095132714">
          <w:marLeft w:val="0"/>
          <w:marRight w:val="0"/>
          <w:marTop w:val="0"/>
          <w:marBottom w:val="0"/>
          <w:divBdr>
            <w:top w:val="none" w:sz="0" w:space="0" w:color="auto"/>
            <w:left w:val="none" w:sz="0" w:space="0" w:color="auto"/>
            <w:bottom w:val="none" w:sz="0" w:space="0" w:color="auto"/>
            <w:right w:val="none" w:sz="0" w:space="0" w:color="auto"/>
          </w:divBdr>
          <w:divsChild>
            <w:div w:id="1860460415">
              <w:marLeft w:val="0"/>
              <w:marRight w:val="0"/>
              <w:marTop w:val="0"/>
              <w:marBottom w:val="0"/>
              <w:divBdr>
                <w:top w:val="none" w:sz="0" w:space="0" w:color="auto"/>
                <w:left w:val="none" w:sz="0" w:space="0" w:color="auto"/>
                <w:bottom w:val="none" w:sz="0" w:space="0" w:color="auto"/>
                <w:right w:val="none" w:sz="0" w:space="0" w:color="auto"/>
              </w:divBdr>
            </w:div>
          </w:divsChild>
        </w:div>
        <w:div w:id="1214078167">
          <w:marLeft w:val="0"/>
          <w:marRight w:val="0"/>
          <w:marTop w:val="0"/>
          <w:marBottom w:val="0"/>
          <w:divBdr>
            <w:top w:val="none" w:sz="0" w:space="0" w:color="auto"/>
            <w:left w:val="none" w:sz="0" w:space="0" w:color="auto"/>
            <w:bottom w:val="none" w:sz="0" w:space="0" w:color="auto"/>
            <w:right w:val="none" w:sz="0" w:space="0" w:color="auto"/>
          </w:divBdr>
          <w:divsChild>
            <w:div w:id="395857704">
              <w:marLeft w:val="0"/>
              <w:marRight w:val="0"/>
              <w:marTop w:val="0"/>
              <w:marBottom w:val="0"/>
              <w:divBdr>
                <w:top w:val="none" w:sz="0" w:space="0" w:color="auto"/>
                <w:left w:val="none" w:sz="0" w:space="0" w:color="auto"/>
                <w:bottom w:val="none" w:sz="0" w:space="0" w:color="auto"/>
                <w:right w:val="none" w:sz="0" w:space="0" w:color="auto"/>
              </w:divBdr>
            </w:div>
          </w:divsChild>
        </w:div>
        <w:div w:id="1338773412">
          <w:marLeft w:val="0"/>
          <w:marRight w:val="0"/>
          <w:marTop w:val="0"/>
          <w:marBottom w:val="0"/>
          <w:divBdr>
            <w:top w:val="none" w:sz="0" w:space="0" w:color="auto"/>
            <w:left w:val="none" w:sz="0" w:space="0" w:color="auto"/>
            <w:bottom w:val="none" w:sz="0" w:space="0" w:color="auto"/>
            <w:right w:val="none" w:sz="0" w:space="0" w:color="auto"/>
          </w:divBdr>
          <w:divsChild>
            <w:div w:id="979845253">
              <w:marLeft w:val="0"/>
              <w:marRight w:val="0"/>
              <w:marTop w:val="0"/>
              <w:marBottom w:val="0"/>
              <w:divBdr>
                <w:top w:val="none" w:sz="0" w:space="0" w:color="auto"/>
                <w:left w:val="none" w:sz="0" w:space="0" w:color="auto"/>
                <w:bottom w:val="none" w:sz="0" w:space="0" w:color="auto"/>
                <w:right w:val="none" w:sz="0" w:space="0" w:color="auto"/>
              </w:divBdr>
            </w:div>
          </w:divsChild>
        </w:div>
        <w:div w:id="1524711328">
          <w:marLeft w:val="0"/>
          <w:marRight w:val="0"/>
          <w:marTop w:val="0"/>
          <w:marBottom w:val="0"/>
          <w:divBdr>
            <w:top w:val="none" w:sz="0" w:space="0" w:color="auto"/>
            <w:left w:val="none" w:sz="0" w:space="0" w:color="auto"/>
            <w:bottom w:val="none" w:sz="0" w:space="0" w:color="auto"/>
            <w:right w:val="none" w:sz="0" w:space="0" w:color="auto"/>
          </w:divBdr>
          <w:divsChild>
            <w:div w:id="588394451">
              <w:marLeft w:val="0"/>
              <w:marRight w:val="0"/>
              <w:marTop w:val="0"/>
              <w:marBottom w:val="0"/>
              <w:divBdr>
                <w:top w:val="none" w:sz="0" w:space="0" w:color="auto"/>
                <w:left w:val="none" w:sz="0" w:space="0" w:color="auto"/>
                <w:bottom w:val="none" w:sz="0" w:space="0" w:color="auto"/>
                <w:right w:val="none" w:sz="0" w:space="0" w:color="auto"/>
              </w:divBdr>
            </w:div>
          </w:divsChild>
        </w:div>
        <w:div w:id="1528831433">
          <w:marLeft w:val="0"/>
          <w:marRight w:val="0"/>
          <w:marTop w:val="0"/>
          <w:marBottom w:val="0"/>
          <w:divBdr>
            <w:top w:val="none" w:sz="0" w:space="0" w:color="auto"/>
            <w:left w:val="none" w:sz="0" w:space="0" w:color="auto"/>
            <w:bottom w:val="none" w:sz="0" w:space="0" w:color="auto"/>
            <w:right w:val="none" w:sz="0" w:space="0" w:color="auto"/>
          </w:divBdr>
          <w:divsChild>
            <w:div w:id="374620333">
              <w:marLeft w:val="0"/>
              <w:marRight w:val="0"/>
              <w:marTop w:val="0"/>
              <w:marBottom w:val="0"/>
              <w:divBdr>
                <w:top w:val="none" w:sz="0" w:space="0" w:color="auto"/>
                <w:left w:val="none" w:sz="0" w:space="0" w:color="auto"/>
                <w:bottom w:val="none" w:sz="0" w:space="0" w:color="auto"/>
                <w:right w:val="none" w:sz="0" w:space="0" w:color="auto"/>
              </w:divBdr>
            </w:div>
            <w:div w:id="1409688878">
              <w:marLeft w:val="0"/>
              <w:marRight w:val="0"/>
              <w:marTop w:val="0"/>
              <w:marBottom w:val="0"/>
              <w:divBdr>
                <w:top w:val="none" w:sz="0" w:space="0" w:color="auto"/>
                <w:left w:val="none" w:sz="0" w:space="0" w:color="auto"/>
                <w:bottom w:val="none" w:sz="0" w:space="0" w:color="auto"/>
                <w:right w:val="none" w:sz="0" w:space="0" w:color="auto"/>
              </w:divBdr>
            </w:div>
          </w:divsChild>
        </w:div>
        <w:div w:id="1774550384">
          <w:marLeft w:val="0"/>
          <w:marRight w:val="0"/>
          <w:marTop w:val="0"/>
          <w:marBottom w:val="0"/>
          <w:divBdr>
            <w:top w:val="none" w:sz="0" w:space="0" w:color="auto"/>
            <w:left w:val="none" w:sz="0" w:space="0" w:color="auto"/>
            <w:bottom w:val="none" w:sz="0" w:space="0" w:color="auto"/>
            <w:right w:val="none" w:sz="0" w:space="0" w:color="auto"/>
          </w:divBdr>
          <w:divsChild>
            <w:div w:id="2004041201">
              <w:marLeft w:val="0"/>
              <w:marRight w:val="0"/>
              <w:marTop w:val="0"/>
              <w:marBottom w:val="0"/>
              <w:divBdr>
                <w:top w:val="none" w:sz="0" w:space="0" w:color="auto"/>
                <w:left w:val="none" w:sz="0" w:space="0" w:color="auto"/>
                <w:bottom w:val="none" w:sz="0" w:space="0" w:color="auto"/>
                <w:right w:val="none" w:sz="0" w:space="0" w:color="auto"/>
              </w:divBdr>
            </w:div>
          </w:divsChild>
        </w:div>
        <w:div w:id="1785997014">
          <w:marLeft w:val="0"/>
          <w:marRight w:val="0"/>
          <w:marTop w:val="0"/>
          <w:marBottom w:val="0"/>
          <w:divBdr>
            <w:top w:val="none" w:sz="0" w:space="0" w:color="auto"/>
            <w:left w:val="none" w:sz="0" w:space="0" w:color="auto"/>
            <w:bottom w:val="none" w:sz="0" w:space="0" w:color="auto"/>
            <w:right w:val="none" w:sz="0" w:space="0" w:color="auto"/>
          </w:divBdr>
          <w:divsChild>
            <w:div w:id="1316564314">
              <w:marLeft w:val="0"/>
              <w:marRight w:val="0"/>
              <w:marTop w:val="0"/>
              <w:marBottom w:val="0"/>
              <w:divBdr>
                <w:top w:val="none" w:sz="0" w:space="0" w:color="auto"/>
                <w:left w:val="none" w:sz="0" w:space="0" w:color="auto"/>
                <w:bottom w:val="none" w:sz="0" w:space="0" w:color="auto"/>
                <w:right w:val="none" w:sz="0" w:space="0" w:color="auto"/>
              </w:divBdr>
            </w:div>
          </w:divsChild>
        </w:div>
        <w:div w:id="1792699849">
          <w:marLeft w:val="0"/>
          <w:marRight w:val="0"/>
          <w:marTop w:val="0"/>
          <w:marBottom w:val="0"/>
          <w:divBdr>
            <w:top w:val="none" w:sz="0" w:space="0" w:color="auto"/>
            <w:left w:val="none" w:sz="0" w:space="0" w:color="auto"/>
            <w:bottom w:val="none" w:sz="0" w:space="0" w:color="auto"/>
            <w:right w:val="none" w:sz="0" w:space="0" w:color="auto"/>
          </w:divBdr>
          <w:divsChild>
            <w:div w:id="268708406">
              <w:marLeft w:val="0"/>
              <w:marRight w:val="0"/>
              <w:marTop w:val="0"/>
              <w:marBottom w:val="0"/>
              <w:divBdr>
                <w:top w:val="none" w:sz="0" w:space="0" w:color="auto"/>
                <w:left w:val="none" w:sz="0" w:space="0" w:color="auto"/>
                <w:bottom w:val="none" w:sz="0" w:space="0" w:color="auto"/>
                <w:right w:val="none" w:sz="0" w:space="0" w:color="auto"/>
              </w:divBdr>
            </w:div>
            <w:div w:id="2001813478">
              <w:marLeft w:val="0"/>
              <w:marRight w:val="0"/>
              <w:marTop w:val="0"/>
              <w:marBottom w:val="0"/>
              <w:divBdr>
                <w:top w:val="none" w:sz="0" w:space="0" w:color="auto"/>
                <w:left w:val="none" w:sz="0" w:space="0" w:color="auto"/>
                <w:bottom w:val="none" w:sz="0" w:space="0" w:color="auto"/>
                <w:right w:val="none" w:sz="0" w:space="0" w:color="auto"/>
              </w:divBdr>
            </w:div>
          </w:divsChild>
        </w:div>
        <w:div w:id="1828981142">
          <w:marLeft w:val="0"/>
          <w:marRight w:val="0"/>
          <w:marTop w:val="0"/>
          <w:marBottom w:val="0"/>
          <w:divBdr>
            <w:top w:val="none" w:sz="0" w:space="0" w:color="auto"/>
            <w:left w:val="none" w:sz="0" w:space="0" w:color="auto"/>
            <w:bottom w:val="none" w:sz="0" w:space="0" w:color="auto"/>
            <w:right w:val="none" w:sz="0" w:space="0" w:color="auto"/>
          </w:divBdr>
          <w:divsChild>
            <w:div w:id="80300554">
              <w:marLeft w:val="0"/>
              <w:marRight w:val="0"/>
              <w:marTop w:val="0"/>
              <w:marBottom w:val="0"/>
              <w:divBdr>
                <w:top w:val="none" w:sz="0" w:space="0" w:color="auto"/>
                <w:left w:val="none" w:sz="0" w:space="0" w:color="auto"/>
                <w:bottom w:val="none" w:sz="0" w:space="0" w:color="auto"/>
                <w:right w:val="none" w:sz="0" w:space="0" w:color="auto"/>
              </w:divBdr>
            </w:div>
          </w:divsChild>
        </w:div>
        <w:div w:id="1839424936">
          <w:marLeft w:val="0"/>
          <w:marRight w:val="0"/>
          <w:marTop w:val="0"/>
          <w:marBottom w:val="0"/>
          <w:divBdr>
            <w:top w:val="none" w:sz="0" w:space="0" w:color="auto"/>
            <w:left w:val="none" w:sz="0" w:space="0" w:color="auto"/>
            <w:bottom w:val="none" w:sz="0" w:space="0" w:color="auto"/>
            <w:right w:val="none" w:sz="0" w:space="0" w:color="auto"/>
          </w:divBdr>
          <w:divsChild>
            <w:div w:id="606810725">
              <w:marLeft w:val="0"/>
              <w:marRight w:val="0"/>
              <w:marTop w:val="0"/>
              <w:marBottom w:val="0"/>
              <w:divBdr>
                <w:top w:val="none" w:sz="0" w:space="0" w:color="auto"/>
                <w:left w:val="none" w:sz="0" w:space="0" w:color="auto"/>
                <w:bottom w:val="none" w:sz="0" w:space="0" w:color="auto"/>
                <w:right w:val="none" w:sz="0" w:space="0" w:color="auto"/>
              </w:divBdr>
            </w:div>
            <w:div w:id="1646202884">
              <w:marLeft w:val="0"/>
              <w:marRight w:val="0"/>
              <w:marTop w:val="0"/>
              <w:marBottom w:val="0"/>
              <w:divBdr>
                <w:top w:val="none" w:sz="0" w:space="0" w:color="auto"/>
                <w:left w:val="none" w:sz="0" w:space="0" w:color="auto"/>
                <w:bottom w:val="none" w:sz="0" w:space="0" w:color="auto"/>
                <w:right w:val="none" w:sz="0" w:space="0" w:color="auto"/>
              </w:divBdr>
            </w:div>
          </w:divsChild>
        </w:div>
        <w:div w:id="1839806240">
          <w:marLeft w:val="0"/>
          <w:marRight w:val="0"/>
          <w:marTop w:val="0"/>
          <w:marBottom w:val="0"/>
          <w:divBdr>
            <w:top w:val="none" w:sz="0" w:space="0" w:color="auto"/>
            <w:left w:val="none" w:sz="0" w:space="0" w:color="auto"/>
            <w:bottom w:val="none" w:sz="0" w:space="0" w:color="auto"/>
            <w:right w:val="none" w:sz="0" w:space="0" w:color="auto"/>
          </w:divBdr>
          <w:divsChild>
            <w:div w:id="123277680">
              <w:marLeft w:val="0"/>
              <w:marRight w:val="0"/>
              <w:marTop w:val="0"/>
              <w:marBottom w:val="0"/>
              <w:divBdr>
                <w:top w:val="none" w:sz="0" w:space="0" w:color="auto"/>
                <w:left w:val="none" w:sz="0" w:space="0" w:color="auto"/>
                <w:bottom w:val="none" w:sz="0" w:space="0" w:color="auto"/>
                <w:right w:val="none" w:sz="0" w:space="0" w:color="auto"/>
              </w:divBdr>
            </w:div>
            <w:div w:id="2140144413">
              <w:marLeft w:val="0"/>
              <w:marRight w:val="0"/>
              <w:marTop w:val="0"/>
              <w:marBottom w:val="0"/>
              <w:divBdr>
                <w:top w:val="none" w:sz="0" w:space="0" w:color="auto"/>
                <w:left w:val="none" w:sz="0" w:space="0" w:color="auto"/>
                <w:bottom w:val="none" w:sz="0" w:space="0" w:color="auto"/>
                <w:right w:val="none" w:sz="0" w:space="0" w:color="auto"/>
              </w:divBdr>
            </w:div>
          </w:divsChild>
        </w:div>
        <w:div w:id="2039160587">
          <w:marLeft w:val="0"/>
          <w:marRight w:val="0"/>
          <w:marTop w:val="0"/>
          <w:marBottom w:val="0"/>
          <w:divBdr>
            <w:top w:val="none" w:sz="0" w:space="0" w:color="auto"/>
            <w:left w:val="none" w:sz="0" w:space="0" w:color="auto"/>
            <w:bottom w:val="none" w:sz="0" w:space="0" w:color="auto"/>
            <w:right w:val="none" w:sz="0" w:space="0" w:color="auto"/>
          </w:divBdr>
          <w:divsChild>
            <w:div w:id="13581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55798">
      <w:bodyDiv w:val="1"/>
      <w:marLeft w:val="0"/>
      <w:marRight w:val="0"/>
      <w:marTop w:val="0"/>
      <w:marBottom w:val="0"/>
      <w:divBdr>
        <w:top w:val="none" w:sz="0" w:space="0" w:color="auto"/>
        <w:left w:val="none" w:sz="0" w:space="0" w:color="auto"/>
        <w:bottom w:val="none" w:sz="0" w:space="0" w:color="auto"/>
        <w:right w:val="none" w:sz="0" w:space="0" w:color="auto"/>
      </w:divBdr>
    </w:div>
    <w:div w:id="247009860">
      <w:bodyDiv w:val="1"/>
      <w:marLeft w:val="0"/>
      <w:marRight w:val="0"/>
      <w:marTop w:val="0"/>
      <w:marBottom w:val="0"/>
      <w:divBdr>
        <w:top w:val="none" w:sz="0" w:space="0" w:color="auto"/>
        <w:left w:val="none" w:sz="0" w:space="0" w:color="auto"/>
        <w:bottom w:val="none" w:sz="0" w:space="0" w:color="auto"/>
        <w:right w:val="none" w:sz="0" w:space="0" w:color="auto"/>
      </w:divBdr>
    </w:div>
    <w:div w:id="249043037">
      <w:bodyDiv w:val="1"/>
      <w:marLeft w:val="0"/>
      <w:marRight w:val="0"/>
      <w:marTop w:val="0"/>
      <w:marBottom w:val="0"/>
      <w:divBdr>
        <w:top w:val="none" w:sz="0" w:space="0" w:color="auto"/>
        <w:left w:val="none" w:sz="0" w:space="0" w:color="auto"/>
        <w:bottom w:val="none" w:sz="0" w:space="0" w:color="auto"/>
        <w:right w:val="none" w:sz="0" w:space="0" w:color="auto"/>
      </w:divBdr>
      <w:divsChild>
        <w:div w:id="55009837">
          <w:marLeft w:val="0"/>
          <w:marRight w:val="0"/>
          <w:marTop w:val="0"/>
          <w:marBottom w:val="0"/>
          <w:divBdr>
            <w:top w:val="none" w:sz="0" w:space="0" w:color="auto"/>
            <w:left w:val="none" w:sz="0" w:space="0" w:color="auto"/>
            <w:bottom w:val="none" w:sz="0" w:space="0" w:color="auto"/>
            <w:right w:val="none" w:sz="0" w:space="0" w:color="auto"/>
          </w:divBdr>
        </w:div>
        <w:div w:id="65541261">
          <w:marLeft w:val="0"/>
          <w:marRight w:val="0"/>
          <w:marTop w:val="0"/>
          <w:marBottom w:val="0"/>
          <w:divBdr>
            <w:top w:val="none" w:sz="0" w:space="0" w:color="auto"/>
            <w:left w:val="none" w:sz="0" w:space="0" w:color="auto"/>
            <w:bottom w:val="none" w:sz="0" w:space="0" w:color="auto"/>
            <w:right w:val="none" w:sz="0" w:space="0" w:color="auto"/>
          </w:divBdr>
        </w:div>
        <w:div w:id="86081149">
          <w:marLeft w:val="0"/>
          <w:marRight w:val="0"/>
          <w:marTop w:val="0"/>
          <w:marBottom w:val="0"/>
          <w:divBdr>
            <w:top w:val="none" w:sz="0" w:space="0" w:color="auto"/>
            <w:left w:val="none" w:sz="0" w:space="0" w:color="auto"/>
            <w:bottom w:val="none" w:sz="0" w:space="0" w:color="auto"/>
            <w:right w:val="none" w:sz="0" w:space="0" w:color="auto"/>
          </w:divBdr>
        </w:div>
        <w:div w:id="87233591">
          <w:marLeft w:val="0"/>
          <w:marRight w:val="0"/>
          <w:marTop w:val="0"/>
          <w:marBottom w:val="0"/>
          <w:divBdr>
            <w:top w:val="none" w:sz="0" w:space="0" w:color="auto"/>
            <w:left w:val="none" w:sz="0" w:space="0" w:color="auto"/>
            <w:bottom w:val="none" w:sz="0" w:space="0" w:color="auto"/>
            <w:right w:val="none" w:sz="0" w:space="0" w:color="auto"/>
          </w:divBdr>
        </w:div>
        <w:div w:id="107548266">
          <w:marLeft w:val="0"/>
          <w:marRight w:val="0"/>
          <w:marTop w:val="0"/>
          <w:marBottom w:val="0"/>
          <w:divBdr>
            <w:top w:val="none" w:sz="0" w:space="0" w:color="auto"/>
            <w:left w:val="none" w:sz="0" w:space="0" w:color="auto"/>
            <w:bottom w:val="none" w:sz="0" w:space="0" w:color="auto"/>
            <w:right w:val="none" w:sz="0" w:space="0" w:color="auto"/>
          </w:divBdr>
        </w:div>
        <w:div w:id="123814892">
          <w:marLeft w:val="0"/>
          <w:marRight w:val="0"/>
          <w:marTop w:val="0"/>
          <w:marBottom w:val="0"/>
          <w:divBdr>
            <w:top w:val="none" w:sz="0" w:space="0" w:color="auto"/>
            <w:left w:val="none" w:sz="0" w:space="0" w:color="auto"/>
            <w:bottom w:val="none" w:sz="0" w:space="0" w:color="auto"/>
            <w:right w:val="none" w:sz="0" w:space="0" w:color="auto"/>
          </w:divBdr>
        </w:div>
        <w:div w:id="129985002">
          <w:marLeft w:val="0"/>
          <w:marRight w:val="0"/>
          <w:marTop w:val="0"/>
          <w:marBottom w:val="0"/>
          <w:divBdr>
            <w:top w:val="none" w:sz="0" w:space="0" w:color="auto"/>
            <w:left w:val="none" w:sz="0" w:space="0" w:color="auto"/>
            <w:bottom w:val="none" w:sz="0" w:space="0" w:color="auto"/>
            <w:right w:val="none" w:sz="0" w:space="0" w:color="auto"/>
          </w:divBdr>
        </w:div>
        <w:div w:id="130445333">
          <w:marLeft w:val="0"/>
          <w:marRight w:val="0"/>
          <w:marTop w:val="0"/>
          <w:marBottom w:val="0"/>
          <w:divBdr>
            <w:top w:val="none" w:sz="0" w:space="0" w:color="auto"/>
            <w:left w:val="none" w:sz="0" w:space="0" w:color="auto"/>
            <w:bottom w:val="none" w:sz="0" w:space="0" w:color="auto"/>
            <w:right w:val="none" w:sz="0" w:space="0" w:color="auto"/>
          </w:divBdr>
        </w:div>
        <w:div w:id="133790445">
          <w:marLeft w:val="0"/>
          <w:marRight w:val="0"/>
          <w:marTop w:val="0"/>
          <w:marBottom w:val="0"/>
          <w:divBdr>
            <w:top w:val="none" w:sz="0" w:space="0" w:color="auto"/>
            <w:left w:val="none" w:sz="0" w:space="0" w:color="auto"/>
            <w:bottom w:val="none" w:sz="0" w:space="0" w:color="auto"/>
            <w:right w:val="none" w:sz="0" w:space="0" w:color="auto"/>
          </w:divBdr>
        </w:div>
        <w:div w:id="161436280">
          <w:marLeft w:val="0"/>
          <w:marRight w:val="0"/>
          <w:marTop w:val="0"/>
          <w:marBottom w:val="0"/>
          <w:divBdr>
            <w:top w:val="none" w:sz="0" w:space="0" w:color="auto"/>
            <w:left w:val="none" w:sz="0" w:space="0" w:color="auto"/>
            <w:bottom w:val="none" w:sz="0" w:space="0" w:color="auto"/>
            <w:right w:val="none" w:sz="0" w:space="0" w:color="auto"/>
          </w:divBdr>
        </w:div>
        <w:div w:id="166557678">
          <w:marLeft w:val="0"/>
          <w:marRight w:val="0"/>
          <w:marTop w:val="0"/>
          <w:marBottom w:val="0"/>
          <w:divBdr>
            <w:top w:val="none" w:sz="0" w:space="0" w:color="auto"/>
            <w:left w:val="none" w:sz="0" w:space="0" w:color="auto"/>
            <w:bottom w:val="none" w:sz="0" w:space="0" w:color="auto"/>
            <w:right w:val="none" w:sz="0" w:space="0" w:color="auto"/>
          </w:divBdr>
        </w:div>
        <w:div w:id="177626789">
          <w:marLeft w:val="0"/>
          <w:marRight w:val="0"/>
          <w:marTop w:val="0"/>
          <w:marBottom w:val="0"/>
          <w:divBdr>
            <w:top w:val="none" w:sz="0" w:space="0" w:color="auto"/>
            <w:left w:val="none" w:sz="0" w:space="0" w:color="auto"/>
            <w:bottom w:val="none" w:sz="0" w:space="0" w:color="auto"/>
            <w:right w:val="none" w:sz="0" w:space="0" w:color="auto"/>
          </w:divBdr>
        </w:div>
        <w:div w:id="199632094">
          <w:marLeft w:val="0"/>
          <w:marRight w:val="0"/>
          <w:marTop w:val="0"/>
          <w:marBottom w:val="0"/>
          <w:divBdr>
            <w:top w:val="none" w:sz="0" w:space="0" w:color="auto"/>
            <w:left w:val="none" w:sz="0" w:space="0" w:color="auto"/>
            <w:bottom w:val="none" w:sz="0" w:space="0" w:color="auto"/>
            <w:right w:val="none" w:sz="0" w:space="0" w:color="auto"/>
          </w:divBdr>
        </w:div>
        <w:div w:id="241841888">
          <w:marLeft w:val="0"/>
          <w:marRight w:val="0"/>
          <w:marTop w:val="0"/>
          <w:marBottom w:val="0"/>
          <w:divBdr>
            <w:top w:val="none" w:sz="0" w:space="0" w:color="auto"/>
            <w:left w:val="none" w:sz="0" w:space="0" w:color="auto"/>
            <w:bottom w:val="none" w:sz="0" w:space="0" w:color="auto"/>
            <w:right w:val="none" w:sz="0" w:space="0" w:color="auto"/>
          </w:divBdr>
        </w:div>
        <w:div w:id="298220293">
          <w:marLeft w:val="0"/>
          <w:marRight w:val="0"/>
          <w:marTop w:val="0"/>
          <w:marBottom w:val="0"/>
          <w:divBdr>
            <w:top w:val="none" w:sz="0" w:space="0" w:color="auto"/>
            <w:left w:val="none" w:sz="0" w:space="0" w:color="auto"/>
            <w:bottom w:val="none" w:sz="0" w:space="0" w:color="auto"/>
            <w:right w:val="none" w:sz="0" w:space="0" w:color="auto"/>
          </w:divBdr>
        </w:div>
        <w:div w:id="299264151">
          <w:marLeft w:val="0"/>
          <w:marRight w:val="0"/>
          <w:marTop w:val="0"/>
          <w:marBottom w:val="0"/>
          <w:divBdr>
            <w:top w:val="none" w:sz="0" w:space="0" w:color="auto"/>
            <w:left w:val="none" w:sz="0" w:space="0" w:color="auto"/>
            <w:bottom w:val="none" w:sz="0" w:space="0" w:color="auto"/>
            <w:right w:val="none" w:sz="0" w:space="0" w:color="auto"/>
          </w:divBdr>
        </w:div>
        <w:div w:id="333846830">
          <w:marLeft w:val="0"/>
          <w:marRight w:val="0"/>
          <w:marTop w:val="0"/>
          <w:marBottom w:val="0"/>
          <w:divBdr>
            <w:top w:val="none" w:sz="0" w:space="0" w:color="auto"/>
            <w:left w:val="none" w:sz="0" w:space="0" w:color="auto"/>
            <w:bottom w:val="none" w:sz="0" w:space="0" w:color="auto"/>
            <w:right w:val="none" w:sz="0" w:space="0" w:color="auto"/>
          </w:divBdr>
        </w:div>
        <w:div w:id="465049628">
          <w:marLeft w:val="0"/>
          <w:marRight w:val="0"/>
          <w:marTop w:val="0"/>
          <w:marBottom w:val="0"/>
          <w:divBdr>
            <w:top w:val="none" w:sz="0" w:space="0" w:color="auto"/>
            <w:left w:val="none" w:sz="0" w:space="0" w:color="auto"/>
            <w:bottom w:val="none" w:sz="0" w:space="0" w:color="auto"/>
            <w:right w:val="none" w:sz="0" w:space="0" w:color="auto"/>
          </w:divBdr>
          <w:divsChild>
            <w:div w:id="112672089">
              <w:marLeft w:val="0"/>
              <w:marRight w:val="0"/>
              <w:marTop w:val="0"/>
              <w:marBottom w:val="0"/>
              <w:divBdr>
                <w:top w:val="none" w:sz="0" w:space="0" w:color="auto"/>
                <w:left w:val="none" w:sz="0" w:space="0" w:color="auto"/>
                <w:bottom w:val="none" w:sz="0" w:space="0" w:color="auto"/>
                <w:right w:val="none" w:sz="0" w:space="0" w:color="auto"/>
              </w:divBdr>
            </w:div>
            <w:div w:id="137887875">
              <w:marLeft w:val="0"/>
              <w:marRight w:val="0"/>
              <w:marTop w:val="0"/>
              <w:marBottom w:val="0"/>
              <w:divBdr>
                <w:top w:val="none" w:sz="0" w:space="0" w:color="auto"/>
                <w:left w:val="none" w:sz="0" w:space="0" w:color="auto"/>
                <w:bottom w:val="none" w:sz="0" w:space="0" w:color="auto"/>
                <w:right w:val="none" w:sz="0" w:space="0" w:color="auto"/>
              </w:divBdr>
            </w:div>
            <w:div w:id="162933695">
              <w:marLeft w:val="0"/>
              <w:marRight w:val="0"/>
              <w:marTop w:val="0"/>
              <w:marBottom w:val="0"/>
              <w:divBdr>
                <w:top w:val="none" w:sz="0" w:space="0" w:color="auto"/>
                <w:left w:val="none" w:sz="0" w:space="0" w:color="auto"/>
                <w:bottom w:val="none" w:sz="0" w:space="0" w:color="auto"/>
                <w:right w:val="none" w:sz="0" w:space="0" w:color="auto"/>
              </w:divBdr>
            </w:div>
            <w:div w:id="307437448">
              <w:marLeft w:val="0"/>
              <w:marRight w:val="0"/>
              <w:marTop w:val="0"/>
              <w:marBottom w:val="0"/>
              <w:divBdr>
                <w:top w:val="none" w:sz="0" w:space="0" w:color="auto"/>
                <w:left w:val="none" w:sz="0" w:space="0" w:color="auto"/>
                <w:bottom w:val="none" w:sz="0" w:space="0" w:color="auto"/>
                <w:right w:val="none" w:sz="0" w:space="0" w:color="auto"/>
              </w:divBdr>
            </w:div>
            <w:div w:id="324169937">
              <w:marLeft w:val="0"/>
              <w:marRight w:val="0"/>
              <w:marTop w:val="0"/>
              <w:marBottom w:val="0"/>
              <w:divBdr>
                <w:top w:val="none" w:sz="0" w:space="0" w:color="auto"/>
                <w:left w:val="none" w:sz="0" w:space="0" w:color="auto"/>
                <w:bottom w:val="none" w:sz="0" w:space="0" w:color="auto"/>
                <w:right w:val="none" w:sz="0" w:space="0" w:color="auto"/>
              </w:divBdr>
            </w:div>
            <w:div w:id="437069079">
              <w:marLeft w:val="0"/>
              <w:marRight w:val="0"/>
              <w:marTop w:val="0"/>
              <w:marBottom w:val="0"/>
              <w:divBdr>
                <w:top w:val="none" w:sz="0" w:space="0" w:color="auto"/>
                <w:left w:val="none" w:sz="0" w:space="0" w:color="auto"/>
                <w:bottom w:val="none" w:sz="0" w:space="0" w:color="auto"/>
                <w:right w:val="none" w:sz="0" w:space="0" w:color="auto"/>
              </w:divBdr>
            </w:div>
            <w:div w:id="757215370">
              <w:marLeft w:val="0"/>
              <w:marRight w:val="0"/>
              <w:marTop w:val="0"/>
              <w:marBottom w:val="0"/>
              <w:divBdr>
                <w:top w:val="none" w:sz="0" w:space="0" w:color="auto"/>
                <w:left w:val="none" w:sz="0" w:space="0" w:color="auto"/>
                <w:bottom w:val="none" w:sz="0" w:space="0" w:color="auto"/>
                <w:right w:val="none" w:sz="0" w:space="0" w:color="auto"/>
              </w:divBdr>
            </w:div>
            <w:div w:id="767232014">
              <w:marLeft w:val="0"/>
              <w:marRight w:val="0"/>
              <w:marTop w:val="0"/>
              <w:marBottom w:val="0"/>
              <w:divBdr>
                <w:top w:val="none" w:sz="0" w:space="0" w:color="auto"/>
                <w:left w:val="none" w:sz="0" w:space="0" w:color="auto"/>
                <w:bottom w:val="none" w:sz="0" w:space="0" w:color="auto"/>
                <w:right w:val="none" w:sz="0" w:space="0" w:color="auto"/>
              </w:divBdr>
            </w:div>
            <w:div w:id="787701118">
              <w:marLeft w:val="0"/>
              <w:marRight w:val="0"/>
              <w:marTop w:val="0"/>
              <w:marBottom w:val="0"/>
              <w:divBdr>
                <w:top w:val="none" w:sz="0" w:space="0" w:color="auto"/>
                <w:left w:val="none" w:sz="0" w:space="0" w:color="auto"/>
                <w:bottom w:val="none" w:sz="0" w:space="0" w:color="auto"/>
                <w:right w:val="none" w:sz="0" w:space="0" w:color="auto"/>
              </w:divBdr>
            </w:div>
            <w:div w:id="820578613">
              <w:marLeft w:val="0"/>
              <w:marRight w:val="0"/>
              <w:marTop w:val="0"/>
              <w:marBottom w:val="0"/>
              <w:divBdr>
                <w:top w:val="none" w:sz="0" w:space="0" w:color="auto"/>
                <w:left w:val="none" w:sz="0" w:space="0" w:color="auto"/>
                <w:bottom w:val="none" w:sz="0" w:space="0" w:color="auto"/>
                <w:right w:val="none" w:sz="0" w:space="0" w:color="auto"/>
              </w:divBdr>
            </w:div>
            <w:div w:id="826046146">
              <w:marLeft w:val="0"/>
              <w:marRight w:val="0"/>
              <w:marTop w:val="0"/>
              <w:marBottom w:val="0"/>
              <w:divBdr>
                <w:top w:val="none" w:sz="0" w:space="0" w:color="auto"/>
                <w:left w:val="none" w:sz="0" w:space="0" w:color="auto"/>
                <w:bottom w:val="none" w:sz="0" w:space="0" w:color="auto"/>
                <w:right w:val="none" w:sz="0" w:space="0" w:color="auto"/>
              </w:divBdr>
            </w:div>
            <w:div w:id="886643023">
              <w:marLeft w:val="0"/>
              <w:marRight w:val="0"/>
              <w:marTop w:val="0"/>
              <w:marBottom w:val="0"/>
              <w:divBdr>
                <w:top w:val="none" w:sz="0" w:space="0" w:color="auto"/>
                <w:left w:val="none" w:sz="0" w:space="0" w:color="auto"/>
                <w:bottom w:val="none" w:sz="0" w:space="0" w:color="auto"/>
                <w:right w:val="none" w:sz="0" w:space="0" w:color="auto"/>
              </w:divBdr>
            </w:div>
            <w:div w:id="955604720">
              <w:marLeft w:val="0"/>
              <w:marRight w:val="0"/>
              <w:marTop w:val="0"/>
              <w:marBottom w:val="0"/>
              <w:divBdr>
                <w:top w:val="none" w:sz="0" w:space="0" w:color="auto"/>
                <w:left w:val="none" w:sz="0" w:space="0" w:color="auto"/>
                <w:bottom w:val="none" w:sz="0" w:space="0" w:color="auto"/>
                <w:right w:val="none" w:sz="0" w:space="0" w:color="auto"/>
              </w:divBdr>
            </w:div>
            <w:div w:id="1048188170">
              <w:marLeft w:val="0"/>
              <w:marRight w:val="0"/>
              <w:marTop w:val="0"/>
              <w:marBottom w:val="0"/>
              <w:divBdr>
                <w:top w:val="none" w:sz="0" w:space="0" w:color="auto"/>
                <w:left w:val="none" w:sz="0" w:space="0" w:color="auto"/>
                <w:bottom w:val="none" w:sz="0" w:space="0" w:color="auto"/>
                <w:right w:val="none" w:sz="0" w:space="0" w:color="auto"/>
              </w:divBdr>
            </w:div>
            <w:div w:id="1086463351">
              <w:marLeft w:val="0"/>
              <w:marRight w:val="0"/>
              <w:marTop w:val="0"/>
              <w:marBottom w:val="0"/>
              <w:divBdr>
                <w:top w:val="none" w:sz="0" w:space="0" w:color="auto"/>
                <w:left w:val="none" w:sz="0" w:space="0" w:color="auto"/>
                <w:bottom w:val="none" w:sz="0" w:space="0" w:color="auto"/>
                <w:right w:val="none" w:sz="0" w:space="0" w:color="auto"/>
              </w:divBdr>
            </w:div>
            <w:div w:id="1135222887">
              <w:marLeft w:val="0"/>
              <w:marRight w:val="0"/>
              <w:marTop w:val="0"/>
              <w:marBottom w:val="0"/>
              <w:divBdr>
                <w:top w:val="none" w:sz="0" w:space="0" w:color="auto"/>
                <w:left w:val="none" w:sz="0" w:space="0" w:color="auto"/>
                <w:bottom w:val="none" w:sz="0" w:space="0" w:color="auto"/>
                <w:right w:val="none" w:sz="0" w:space="0" w:color="auto"/>
              </w:divBdr>
            </w:div>
            <w:div w:id="1384208598">
              <w:marLeft w:val="0"/>
              <w:marRight w:val="0"/>
              <w:marTop w:val="0"/>
              <w:marBottom w:val="0"/>
              <w:divBdr>
                <w:top w:val="none" w:sz="0" w:space="0" w:color="auto"/>
                <w:left w:val="none" w:sz="0" w:space="0" w:color="auto"/>
                <w:bottom w:val="none" w:sz="0" w:space="0" w:color="auto"/>
                <w:right w:val="none" w:sz="0" w:space="0" w:color="auto"/>
              </w:divBdr>
            </w:div>
            <w:div w:id="2011327656">
              <w:marLeft w:val="0"/>
              <w:marRight w:val="0"/>
              <w:marTop w:val="0"/>
              <w:marBottom w:val="0"/>
              <w:divBdr>
                <w:top w:val="none" w:sz="0" w:space="0" w:color="auto"/>
                <w:left w:val="none" w:sz="0" w:space="0" w:color="auto"/>
                <w:bottom w:val="none" w:sz="0" w:space="0" w:color="auto"/>
                <w:right w:val="none" w:sz="0" w:space="0" w:color="auto"/>
              </w:divBdr>
            </w:div>
            <w:div w:id="2019230072">
              <w:marLeft w:val="0"/>
              <w:marRight w:val="0"/>
              <w:marTop w:val="0"/>
              <w:marBottom w:val="0"/>
              <w:divBdr>
                <w:top w:val="none" w:sz="0" w:space="0" w:color="auto"/>
                <w:left w:val="none" w:sz="0" w:space="0" w:color="auto"/>
                <w:bottom w:val="none" w:sz="0" w:space="0" w:color="auto"/>
                <w:right w:val="none" w:sz="0" w:space="0" w:color="auto"/>
              </w:divBdr>
            </w:div>
            <w:div w:id="2073504988">
              <w:marLeft w:val="0"/>
              <w:marRight w:val="0"/>
              <w:marTop w:val="0"/>
              <w:marBottom w:val="0"/>
              <w:divBdr>
                <w:top w:val="none" w:sz="0" w:space="0" w:color="auto"/>
                <w:left w:val="none" w:sz="0" w:space="0" w:color="auto"/>
                <w:bottom w:val="none" w:sz="0" w:space="0" w:color="auto"/>
                <w:right w:val="none" w:sz="0" w:space="0" w:color="auto"/>
              </w:divBdr>
            </w:div>
          </w:divsChild>
        </w:div>
        <w:div w:id="521473290">
          <w:marLeft w:val="0"/>
          <w:marRight w:val="0"/>
          <w:marTop w:val="0"/>
          <w:marBottom w:val="0"/>
          <w:divBdr>
            <w:top w:val="none" w:sz="0" w:space="0" w:color="auto"/>
            <w:left w:val="none" w:sz="0" w:space="0" w:color="auto"/>
            <w:bottom w:val="none" w:sz="0" w:space="0" w:color="auto"/>
            <w:right w:val="none" w:sz="0" w:space="0" w:color="auto"/>
          </w:divBdr>
        </w:div>
        <w:div w:id="544409974">
          <w:marLeft w:val="0"/>
          <w:marRight w:val="0"/>
          <w:marTop w:val="0"/>
          <w:marBottom w:val="0"/>
          <w:divBdr>
            <w:top w:val="none" w:sz="0" w:space="0" w:color="auto"/>
            <w:left w:val="none" w:sz="0" w:space="0" w:color="auto"/>
            <w:bottom w:val="none" w:sz="0" w:space="0" w:color="auto"/>
            <w:right w:val="none" w:sz="0" w:space="0" w:color="auto"/>
          </w:divBdr>
        </w:div>
        <w:div w:id="567420428">
          <w:marLeft w:val="0"/>
          <w:marRight w:val="0"/>
          <w:marTop w:val="0"/>
          <w:marBottom w:val="0"/>
          <w:divBdr>
            <w:top w:val="none" w:sz="0" w:space="0" w:color="auto"/>
            <w:left w:val="none" w:sz="0" w:space="0" w:color="auto"/>
            <w:bottom w:val="none" w:sz="0" w:space="0" w:color="auto"/>
            <w:right w:val="none" w:sz="0" w:space="0" w:color="auto"/>
          </w:divBdr>
        </w:div>
        <w:div w:id="665325442">
          <w:marLeft w:val="0"/>
          <w:marRight w:val="0"/>
          <w:marTop w:val="0"/>
          <w:marBottom w:val="0"/>
          <w:divBdr>
            <w:top w:val="none" w:sz="0" w:space="0" w:color="auto"/>
            <w:left w:val="none" w:sz="0" w:space="0" w:color="auto"/>
            <w:bottom w:val="none" w:sz="0" w:space="0" w:color="auto"/>
            <w:right w:val="none" w:sz="0" w:space="0" w:color="auto"/>
          </w:divBdr>
        </w:div>
        <w:div w:id="684209808">
          <w:marLeft w:val="0"/>
          <w:marRight w:val="0"/>
          <w:marTop w:val="0"/>
          <w:marBottom w:val="0"/>
          <w:divBdr>
            <w:top w:val="none" w:sz="0" w:space="0" w:color="auto"/>
            <w:left w:val="none" w:sz="0" w:space="0" w:color="auto"/>
            <w:bottom w:val="none" w:sz="0" w:space="0" w:color="auto"/>
            <w:right w:val="none" w:sz="0" w:space="0" w:color="auto"/>
          </w:divBdr>
        </w:div>
        <w:div w:id="821434622">
          <w:marLeft w:val="0"/>
          <w:marRight w:val="0"/>
          <w:marTop w:val="0"/>
          <w:marBottom w:val="0"/>
          <w:divBdr>
            <w:top w:val="none" w:sz="0" w:space="0" w:color="auto"/>
            <w:left w:val="none" w:sz="0" w:space="0" w:color="auto"/>
            <w:bottom w:val="none" w:sz="0" w:space="0" w:color="auto"/>
            <w:right w:val="none" w:sz="0" w:space="0" w:color="auto"/>
          </w:divBdr>
        </w:div>
        <w:div w:id="823005242">
          <w:marLeft w:val="0"/>
          <w:marRight w:val="0"/>
          <w:marTop w:val="0"/>
          <w:marBottom w:val="0"/>
          <w:divBdr>
            <w:top w:val="none" w:sz="0" w:space="0" w:color="auto"/>
            <w:left w:val="none" w:sz="0" w:space="0" w:color="auto"/>
            <w:bottom w:val="none" w:sz="0" w:space="0" w:color="auto"/>
            <w:right w:val="none" w:sz="0" w:space="0" w:color="auto"/>
          </w:divBdr>
        </w:div>
        <w:div w:id="873423565">
          <w:marLeft w:val="0"/>
          <w:marRight w:val="0"/>
          <w:marTop w:val="0"/>
          <w:marBottom w:val="0"/>
          <w:divBdr>
            <w:top w:val="none" w:sz="0" w:space="0" w:color="auto"/>
            <w:left w:val="none" w:sz="0" w:space="0" w:color="auto"/>
            <w:bottom w:val="none" w:sz="0" w:space="0" w:color="auto"/>
            <w:right w:val="none" w:sz="0" w:space="0" w:color="auto"/>
          </w:divBdr>
          <w:divsChild>
            <w:div w:id="1960795144">
              <w:marLeft w:val="-75"/>
              <w:marRight w:val="0"/>
              <w:marTop w:val="30"/>
              <w:marBottom w:val="30"/>
              <w:divBdr>
                <w:top w:val="none" w:sz="0" w:space="0" w:color="auto"/>
                <w:left w:val="none" w:sz="0" w:space="0" w:color="auto"/>
                <w:bottom w:val="none" w:sz="0" w:space="0" w:color="auto"/>
                <w:right w:val="none" w:sz="0" w:space="0" w:color="auto"/>
              </w:divBdr>
              <w:divsChild>
                <w:div w:id="10303328">
                  <w:marLeft w:val="0"/>
                  <w:marRight w:val="0"/>
                  <w:marTop w:val="0"/>
                  <w:marBottom w:val="0"/>
                  <w:divBdr>
                    <w:top w:val="none" w:sz="0" w:space="0" w:color="auto"/>
                    <w:left w:val="none" w:sz="0" w:space="0" w:color="auto"/>
                    <w:bottom w:val="none" w:sz="0" w:space="0" w:color="auto"/>
                    <w:right w:val="none" w:sz="0" w:space="0" w:color="auto"/>
                  </w:divBdr>
                  <w:divsChild>
                    <w:div w:id="975527309">
                      <w:marLeft w:val="0"/>
                      <w:marRight w:val="0"/>
                      <w:marTop w:val="0"/>
                      <w:marBottom w:val="0"/>
                      <w:divBdr>
                        <w:top w:val="none" w:sz="0" w:space="0" w:color="auto"/>
                        <w:left w:val="none" w:sz="0" w:space="0" w:color="auto"/>
                        <w:bottom w:val="none" w:sz="0" w:space="0" w:color="auto"/>
                        <w:right w:val="none" w:sz="0" w:space="0" w:color="auto"/>
                      </w:divBdr>
                    </w:div>
                  </w:divsChild>
                </w:div>
                <w:div w:id="364452791">
                  <w:marLeft w:val="0"/>
                  <w:marRight w:val="0"/>
                  <w:marTop w:val="0"/>
                  <w:marBottom w:val="0"/>
                  <w:divBdr>
                    <w:top w:val="none" w:sz="0" w:space="0" w:color="auto"/>
                    <w:left w:val="none" w:sz="0" w:space="0" w:color="auto"/>
                    <w:bottom w:val="none" w:sz="0" w:space="0" w:color="auto"/>
                    <w:right w:val="none" w:sz="0" w:space="0" w:color="auto"/>
                  </w:divBdr>
                  <w:divsChild>
                    <w:div w:id="354385846">
                      <w:marLeft w:val="0"/>
                      <w:marRight w:val="0"/>
                      <w:marTop w:val="0"/>
                      <w:marBottom w:val="0"/>
                      <w:divBdr>
                        <w:top w:val="none" w:sz="0" w:space="0" w:color="auto"/>
                        <w:left w:val="none" w:sz="0" w:space="0" w:color="auto"/>
                        <w:bottom w:val="none" w:sz="0" w:space="0" w:color="auto"/>
                        <w:right w:val="none" w:sz="0" w:space="0" w:color="auto"/>
                      </w:divBdr>
                    </w:div>
                  </w:divsChild>
                </w:div>
                <w:div w:id="1139616853">
                  <w:marLeft w:val="0"/>
                  <w:marRight w:val="0"/>
                  <w:marTop w:val="0"/>
                  <w:marBottom w:val="0"/>
                  <w:divBdr>
                    <w:top w:val="none" w:sz="0" w:space="0" w:color="auto"/>
                    <w:left w:val="none" w:sz="0" w:space="0" w:color="auto"/>
                    <w:bottom w:val="none" w:sz="0" w:space="0" w:color="auto"/>
                    <w:right w:val="none" w:sz="0" w:space="0" w:color="auto"/>
                  </w:divBdr>
                  <w:divsChild>
                    <w:div w:id="1940285272">
                      <w:marLeft w:val="0"/>
                      <w:marRight w:val="0"/>
                      <w:marTop w:val="0"/>
                      <w:marBottom w:val="0"/>
                      <w:divBdr>
                        <w:top w:val="none" w:sz="0" w:space="0" w:color="auto"/>
                        <w:left w:val="none" w:sz="0" w:space="0" w:color="auto"/>
                        <w:bottom w:val="none" w:sz="0" w:space="0" w:color="auto"/>
                        <w:right w:val="none" w:sz="0" w:space="0" w:color="auto"/>
                      </w:divBdr>
                    </w:div>
                  </w:divsChild>
                </w:div>
                <w:div w:id="1153761500">
                  <w:marLeft w:val="0"/>
                  <w:marRight w:val="0"/>
                  <w:marTop w:val="0"/>
                  <w:marBottom w:val="0"/>
                  <w:divBdr>
                    <w:top w:val="none" w:sz="0" w:space="0" w:color="auto"/>
                    <w:left w:val="none" w:sz="0" w:space="0" w:color="auto"/>
                    <w:bottom w:val="none" w:sz="0" w:space="0" w:color="auto"/>
                    <w:right w:val="none" w:sz="0" w:space="0" w:color="auto"/>
                  </w:divBdr>
                  <w:divsChild>
                    <w:div w:id="1798645497">
                      <w:marLeft w:val="0"/>
                      <w:marRight w:val="0"/>
                      <w:marTop w:val="0"/>
                      <w:marBottom w:val="0"/>
                      <w:divBdr>
                        <w:top w:val="none" w:sz="0" w:space="0" w:color="auto"/>
                        <w:left w:val="none" w:sz="0" w:space="0" w:color="auto"/>
                        <w:bottom w:val="none" w:sz="0" w:space="0" w:color="auto"/>
                        <w:right w:val="none" w:sz="0" w:space="0" w:color="auto"/>
                      </w:divBdr>
                    </w:div>
                  </w:divsChild>
                </w:div>
                <w:div w:id="1330988443">
                  <w:marLeft w:val="0"/>
                  <w:marRight w:val="0"/>
                  <w:marTop w:val="0"/>
                  <w:marBottom w:val="0"/>
                  <w:divBdr>
                    <w:top w:val="none" w:sz="0" w:space="0" w:color="auto"/>
                    <w:left w:val="none" w:sz="0" w:space="0" w:color="auto"/>
                    <w:bottom w:val="none" w:sz="0" w:space="0" w:color="auto"/>
                    <w:right w:val="none" w:sz="0" w:space="0" w:color="auto"/>
                  </w:divBdr>
                  <w:divsChild>
                    <w:div w:id="189681408">
                      <w:marLeft w:val="0"/>
                      <w:marRight w:val="0"/>
                      <w:marTop w:val="0"/>
                      <w:marBottom w:val="0"/>
                      <w:divBdr>
                        <w:top w:val="none" w:sz="0" w:space="0" w:color="auto"/>
                        <w:left w:val="none" w:sz="0" w:space="0" w:color="auto"/>
                        <w:bottom w:val="none" w:sz="0" w:space="0" w:color="auto"/>
                        <w:right w:val="none" w:sz="0" w:space="0" w:color="auto"/>
                      </w:divBdr>
                    </w:div>
                  </w:divsChild>
                </w:div>
                <w:div w:id="1729037690">
                  <w:marLeft w:val="0"/>
                  <w:marRight w:val="0"/>
                  <w:marTop w:val="0"/>
                  <w:marBottom w:val="0"/>
                  <w:divBdr>
                    <w:top w:val="none" w:sz="0" w:space="0" w:color="auto"/>
                    <w:left w:val="none" w:sz="0" w:space="0" w:color="auto"/>
                    <w:bottom w:val="none" w:sz="0" w:space="0" w:color="auto"/>
                    <w:right w:val="none" w:sz="0" w:space="0" w:color="auto"/>
                  </w:divBdr>
                  <w:divsChild>
                    <w:div w:id="1171136924">
                      <w:marLeft w:val="0"/>
                      <w:marRight w:val="0"/>
                      <w:marTop w:val="0"/>
                      <w:marBottom w:val="0"/>
                      <w:divBdr>
                        <w:top w:val="none" w:sz="0" w:space="0" w:color="auto"/>
                        <w:left w:val="none" w:sz="0" w:space="0" w:color="auto"/>
                        <w:bottom w:val="none" w:sz="0" w:space="0" w:color="auto"/>
                        <w:right w:val="none" w:sz="0" w:space="0" w:color="auto"/>
                      </w:divBdr>
                    </w:div>
                  </w:divsChild>
                </w:div>
                <w:div w:id="2069450955">
                  <w:marLeft w:val="0"/>
                  <w:marRight w:val="0"/>
                  <w:marTop w:val="0"/>
                  <w:marBottom w:val="0"/>
                  <w:divBdr>
                    <w:top w:val="none" w:sz="0" w:space="0" w:color="auto"/>
                    <w:left w:val="none" w:sz="0" w:space="0" w:color="auto"/>
                    <w:bottom w:val="none" w:sz="0" w:space="0" w:color="auto"/>
                    <w:right w:val="none" w:sz="0" w:space="0" w:color="auto"/>
                  </w:divBdr>
                  <w:divsChild>
                    <w:div w:id="1585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20005">
          <w:marLeft w:val="0"/>
          <w:marRight w:val="0"/>
          <w:marTop w:val="0"/>
          <w:marBottom w:val="0"/>
          <w:divBdr>
            <w:top w:val="none" w:sz="0" w:space="0" w:color="auto"/>
            <w:left w:val="none" w:sz="0" w:space="0" w:color="auto"/>
            <w:bottom w:val="none" w:sz="0" w:space="0" w:color="auto"/>
            <w:right w:val="none" w:sz="0" w:space="0" w:color="auto"/>
          </w:divBdr>
          <w:divsChild>
            <w:div w:id="55206412">
              <w:marLeft w:val="0"/>
              <w:marRight w:val="0"/>
              <w:marTop w:val="0"/>
              <w:marBottom w:val="0"/>
              <w:divBdr>
                <w:top w:val="none" w:sz="0" w:space="0" w:color="auto"/>
                <w:left w:val="none" w:sz="0" w:space="0" w:color="auto"/>
                <w:bottom w:val="none" w:sz="0" w:space="0" w:color="auto"/>
                <w:right w:val="none" w:sz="0" w:space="0" w:color="auto"/>
              </w:divBdr>
            </w:div>
            <w:div w:id="88352766">
              <w:marLeft w:val="0"/>
              <w:marRight w:val="0"/>
              <w:marTop w:val="0"/>
              <w:marBottom w:val="0"/>
              <w:divBdr>
                <w:top w:val="none" w:sz="0" w:space="0" w:color="auto"/>
                <w:left w:val="none" w:sz="0" w:space="0" w:color="auto"/>
                <w:bottom w:val="none" w:sz="0" w:space="0" w:color="auto"/>
                <w:right w:val="none" w:sz="0" w:space="0" w:color="auto"/>
              </w:divBdr>
            </w:div>
            <w:div w:id="229317379">
              <w:marLeft w:val="0"/>
              <w:marRight w:val="0"/>
              <w:marTop w:val="0"/>
              <w:marBottom w:val="0"/>
              <w:divBdr>
                <w:top w:val="none" w:sz="0" w:space="0" w:color="auto"/>
                <w:left w:val="none" w:sz="0" w:space="0" w:color="auto"/>
                <w:bottom w:val="none" w:sz="0" w:space="0" w:color="auto"/>
                <w:right w:val="none" w:sz="0" w:space="0" w:color="auto"/>
              </w:divBdr>
            </w:div>
            <w:div w:id="466512880">
              <w:marLeft w:val="0"/>
              <w:marRight w:val="0"/>
              <w:marTop w:val="0"/>
              <w:marBottom w:val="0"/>
              <w:divBdr>
                <w:top w:val="none" w:sz="0" w:space="0" w:color="auto"/>
                <w:left w:val="none" w:sz="0" w:space="0" w:color="auto"/>
                <w:bottom w:val="none" w:sz="0" w:space="0" w:color="auto"/>
                <w:right w:val="none" w:sz="0" w:space="0" w:color="auto"/>
              </w:divBdr>
            </w:div>
            <w:div w:id="715663395">
              <w:marLeft w:val="0"/>
              <w:marRight w:val="0"/>
              <w:marTop w:val="0"/>
              <w:marBottom w:val="0"/>
              <w:divBdr>
                <w:top w:val="none" w:sz="0" w:space="0" w:color="auto"/>
                <w:left w:val="none" w:sz="0" w:space="0" w:color="auto"/>
                <w:bottom w:val="none" w:sz="0" w:space="0" w:color="auto"/>
                <w:right w:val="none" w:sz="0" w:space="0" w:color="auto"/>
              </w:divBdr>
            </w:div>
            <w:div w:id="741413698">
              <w:marLeft w:val="0"/>
              <w:marRight w:val="0"/>
              <w:marTop w:val="0"/>
              <w:marBottom w:val="0"/>
              <w:divBdr>
                <w:top w:val="none" w:sz="0" w:space="0" w:color="auto"/>
                <w:left w:val="none" w:sz="0" w:space="0" w:color="auto"/>
                <w:bottom w:val="none" w:sz="0" w:space="0" w:color="auto"/>
                <w:right w:val="none" w:sz="0" w:space="0" w:color="auto"/>
              </w:divBdr>
            </w:div>
            <w:div w:id="976494577">
              <w:marLeft w:val="0"/>
              <w:marRight w:val="0"/>
              <w:marTop w:val="0"/>
              <w:marBottom w:val="0"/>
              <w:divBdr>
                <w:top w:val="none" w:sz="0" w:space="0" w:color="auto"/>
                <w:left w:val="none" w:sz="0" w:space="0" w:color="auto"/>
                <w:bottom w:val="none" w:sz="0" w:space="0" w:color="auto"/>
                <w:right w:val="none" w:sz="0" w:space="0" w:color="auto"/>
              </w:divBdr>
            </w:div>
            <w:div w:id="1100565802">
              <w:marLeft w:val="0"/>
              <w:marRight w:val="0"/>
              <w:marTop w:val="0"/>
              <w:marBottom w:val="0"/>
              <w:divBdr>
                <w:top w:val="none" w:sz="0" w:space="0" w:color="auto"/>
                <w:left w:val="none" w:sz="0" w:space="0" w:color="auto"/>
                <w:bottom w:val="none" w:sz="0" w:space="0" w:color="auto"/>
                <w:right w:val="none" w:sz="0" w:space="0" w:color="auto"/>
              </w:divBdr>
            </w:div>
            <w:div w:id="1108818807">
              <w:marLeft w:val="0"/>
              <w:marRight w:val="0"/>
              <w:marTop w:val="0"/>
              <w:marBottom w:val="0"/>
              <w:divBdr>
                <w:top w:val="none" w:sz="0" w:space="0" w:color="auto"/>
                <w:left w:val="none" w:sz="0" w:space="0" w:color="auto"/>
                <w:bottom w:val="none" w:sz="0" w:space="0" w:color="auto"/>
                <w:right w:val="none" w:sz="0" w:space="0" w:color="auto"/>
              </w:divBdr>
            </w:div>
            <w:div w:id="1181892562">
              <w:marLeft w:val="0"/>
              <w:marRight w:val="0"/>
              <w:marTop w:val="0"/>
              <w:marBottom w:val="0"/>
              <w:divBdr>
                <w:top w:val="none" w:sz="0" w:space="0" w:color="auto"/>
                <w:left w:val="none" w:sz="0" w:space="0" w:color="auto"/>
                <w:bottom w:val="none" w:sz="0" w:space="0" w:color="auto"/>
                <w:right w:val="none" w:sz="0" w:space="0" w:color="auto"/>
              </w:divBdr>
            </w:div>
            <w:div w:id="1217932534">
              <w:marLeft w:val="0"/>
              <w:marRight w:val="0"/>
              <w:marTop w:val="0"/>
              <w:marBottom w:val="0"/>
              <w:divBdr>
                <w:top w:val="none" w:sz="0" w:space="0" w:color="auto"/>
                <w:left w:val="none" w:sz="0" w:space="0" w:color="auto"/>
                <w:bottom w:val="none" w:sz="0" w:space="0" w:color="auto"/>
                <w:right w:val="none" w:sz="0" w:space="0" w:color="auto"/>
              </w:divBdr>
            </w:div>
            <w:div w:id="1326785442">
              <w:marLeft w:val="0"/>
              <w:marRight w:val="0"/>
              <w:marTop w:val="0"/>
              <w:marBottom w:val="0"/>
              <w:divBdr>
                <w:top w:val="none" w:sz="0" w:space="0" w:color="auto"/>
                <w:left w:val="none" w:sz="0" w:space="0" w:color="auto"/>
                <w:bottom w:val="none" w:sz="0" w:space="0" w:color="auto"/>
                <w:right w:val="none" w:sz="0" w:space="0" w:color="auto"/>
              </w:divBdr>
            </w:div>
            <w:div w:id="1418550412">
              <w:marLeft w:val="0"/>
              <w:marRight w:val="0"/>
              <w:marTop w:val="0"/>
              <w:marBottom w:val="0"/>
              <w:divBdr>
                <w:top w:val="none" w:sz="0" w:space="0" w:color="auto"/>
                <w:left w:val="none" w:sz="0" w:space="0" w:color="auto"/>
                <w:bottom w:val="none" w:sz="0" w:space="0" w:color="auto"/>
                <w:right w:val="none" w:sz="0" w:space="0" w:color="auto"/>
              </w:divBdr>
            </w:div>
            <w:div w:id="1426880999">
              <w:marLeft w:val="0"/>
              <w:marRight w:val="0"/>
              <w:marTop w:val="0"/>
              <w:marBottom w:val="0"/>
              <w:divBdr>
                <w:top w:val="none" w:sz="0" w:space="0" w:color="auto"/>
                <w:left w:val="none" w:sz="0" w:space="0" w:color="auto"/>
                <w:bottom w:val="none" w:sz="0" w:space="0" w:color="auto"/>
                <w:right w:val="none" w:sz="0" w:space="0" w:color="auto"/>
              </w:divBdr>
            </w:div>
            <w:div w:id="1523786722">
              <w:marLeft w:val="0"/>
              <w:marRight w:val="0"/>
              <w:marTop w:val="0"/>
              <w:marBottom w:val="0"/>
              <w:divBdr>
                <w:top w:val="none" w:sz="0" w:space="0" w:color="auto"/>
                <w:left w:val="none" w:sz="0" w:space="0" w:color="auto"/>
                <w:bottom w:val="none" w:sz="0" w:space="0" w:color="auto"/>
                <w:right w:val="none" w:sz="0" w:space="0" w:color="auto"/>
              </w:divBdr>
            </w:div>
            <w:div w:id="1596086412">
              <w:marLeft w:val="0"/>
              <w:marRight w:val="0"/>
              <w:marTop w:val="0"/>
              <w:marBottom w:val="0"/>
              <w:divBdr>
                <w:top w:val="none" w:sz="0" w:space="0" w:color="auto"/>
                <w:left w:val="none" w:sz="0" w:space="0" w:color="auto"/>
                <w:bottom w:val="none" w:sz="0" w:space="0" w:color="auto"/>
                <w:right w:val="none" w:sz="0" w:space="0" w:color="auto"/>
              </w:divBdr>
            </w:div>
            <w:div w:id="1718551880">
              <w:marLeft w:val="0"/>
              <w:marRight w:val="0"/>
              <w:marTop w:val="0"/>
              <w:marBottom w:val="0"/>
              <w:divBdr>
                <w:top w:val="none" w:sz="0" w:space="0" w:color="auto"/>
                <w:left w:val="none" w:sz="0" w:space="0" w:color="auto"/>
                <w:bottom w:val="none" w:sz="0" w:space="0" w:color="auto"/>
                <w:right w:val="none" w:sz="0" w:space="0" w:color="auto"/>
              </w:divBdr>
            </w:div>
            <w:div w:id="1729113278">
              <w:marLeft w:val="0"/>
              <w:marRight w:val="0"/>
              <w:marTop w:val="0"/>
              <w:marBottom w:val="0"/>
              <w:divBdr>
                <w:top w:val="none" w:sz="0" w:space="0" w:color="auto"/>
                <w:left w:val="none" w:sz="0" w:space="0" w:color="auto"/>
                <w:bottom w:val="none" w:sz="0" w:space="0" w:color="auto"/>
                <w:right w:val="none" w:sz="0" w:space="0" w:color="auto"/>
              </w:divBdr>
            </w:div>
            <w:div w:id="1897399401">
              <w:marLeft w:val="0"/>
              <w:marRight w:val="0"/>
              <w:marTop w:val="0"/>
              <w:marBottom w:val="0"/>
              <w:divBdr>
                <w:top w:val="none" w:sz="0" w:space="0" w:color="auto"/>
                <w:left w:val="none" w:sz="0" w:space="0" w:color="auto"/>
                <w:bottom w:val="none" w:sz="0" w:space="0" w:color="auto"/>
                <w:right w:val="none" w:sz="0" w:space="0" w:color="auto"/>
              </w:divBdr>
            </w:div>
            <w:div w:id="2007240889">
              <w:marLeft w:val="0"/>
              <w:marRight w:val="0"/>
              <w:marTop w:val="0"/>
              <w:marBottom w:val="0"/>
              <w:divBdr>
                <w:top w:val="none" w:sz="0" w:space="0" w:color="auto"/>
                <w:left w:val="none" w:sz="0" w:space="0" w:color="auto"/>
                <w:bottom w:val="none" w:sz="0" w:space="0" w:color="auto"/>
                <w:right w:val="none" w:sz="0" w:space="0" w:color="auto"/>
              </w:divBdr>
            </w:div>
          </w:divsChild>
        </w:div>
        <w:div w:id="970938413">
          <w:marLeft w:val="0"/>
          <w:marRight w:val="0"/>
          <w:marTop w:val="0"/>
          <w:marBottom w:val="0"/>
          <w:divBdr>
            <w:top w:val="none" w:sz="0" w:space="0" w:color="auto"/>
            <w:left w:val="none" w:sz="0" w:space="0" w:color="auto"/>
            <w:bottom w:val="none" w:sz="0" w:space="0" w:color="auto"/>
            <w:right w:val="none" w:sz="0" w:space="0" w:color="auto"/>
          </w:divBdr>
        </w:div>
        <w:div w:id="1006709796">
          <w:marLeft w:val="0"/>
          <w:marRight w:val="0"/>
          <w:marTop w:val="0"/>
          <w:marBottom w:val="0"/>
          <w:divBdr>
            <w:top w:val="none" w:sz="0" w:space="0" w:color="auto"/>
            <w:left w:val="none" w:sz="0" w:space="0" w:color="auto"/>
            <w:bottom w:val="none" w:sz="0" w:space="0" w:color="auto"/>
            <w:right w:val="none" w:sz="0" w:space="0" w:color="auto"/>
          </w:divBdr>
        </w:div>
        <w:div w:id="1035497940">
          <w:marLeft w:val="0"/>
          <w:marRight w:val="0"/>
          <w:marTop w:val="0"/>
          <w:marBottom w:val="0"/>
          <w:divBdr>
            <w:top w:val="none" w:sz="0" w:space="0" w:color="auto"/>
            <w:left w:val="none" w:sz="0" w:space="0" w:color="auto"/>
            <w:bottom w:val="none" w:sz="0" w:space="0" w:color="auto"/>
            <w:right w:val="none" w:sz="0" w:space="0" w:color="auto"/>
          </w:divBdr>
        </w:div>
        <w:div w:id="1096050177">
          <w:marLeft w:val="0"/>
          <w:marRight w:val="0"/>
          <w:marTop w:val="0"/>
          <w:marBottom w:val="0"/>
          <w:divBdr>
            <w:top w:val="none" w:sz="0" w:space="0" w:color="auto"/>
            <w:left w:val="none" w:sz="0" w:space="0" w:color="auto"/>
            <w:bottom w:val="none" w:sz="0" w:space="0" w:color="auto"/>
            <w:right w:val="none" w:sz="0" w:space="0" w:color="auto"/>
          </w:divBdr>
        </w:div>
        <w:div w:id="1170216825">
          <w:marLeft w:val="0"/>
          <w:marRight w:val="0"/>
          <w:marTop w:val="0"/>
          <w:marBottom w:val="0"/>
          <w:divBdr>
            <w:top w:val="none" w:sz="0" w:space="0" w:color="auto"/>
            <w:left w:val="none" w:sz="0" w:space="0" w:color="auto"/>
            <w:bottom w:val="none" w:sz="0" w:space="0" w:color="auto"/>
            <w:right w:val="none" w:sz="0" w:space="0" w:color="auto"/>
          </w:divBdr>
        </w:div>
        <w:div w:id="1186941867">
          <w:marLeft w:val="0"/>
          <w:marRight w:val="0"/>
          <w:marTop w:val="0"/>
          <w:marBottom w:val="0"/>
          <w:divBdr>
            <w:top w:val="none" w:sz="0" w:space="0" w:color="auto"/>
            <w:left w:val="none" w:sz="0" w:space="0" w:color="auto"/>
            <w:bottom w:val="none" w:sz="0" w:space="0" w:color="auto"/>
            <w:right w:val="none" w:sz="0" w:space="0" w:color="auto"/>
          </w:divBdr>
        </w:div>
        <w:div w:id="1249195181">
          <w:marLeft w:val="0"/>
          <w:marRight w:val="0"/>
          <w:marTop w:val="0"/>
          <w:marBottom w:val="0"/>
          <w:divBdr>
            <w:top w:val="none" w:sz="0" w:space="0" w:color="auto"/>
            <w:left w:val="none" w:sz="0" w:space="0" w:color="auto"/>
            <w:bottom w:val="none" w:sz="0" w:space="0" w:color="auto"/>
            <w:right w:val="none" w:sz="0" w:space="0" w:color="auto"/>
          </w:divBdr>
        </w:div>
        <w:div w:id="1261453692">
          <w:marLeft w:val="0"/>
          <w:marRight w:val="0"/>
          <w:marTop w:val="0"/>
          <w:marBottom w:val="0"/>
          <w:divBdr>
            <w:top w:val="none" w:sz="0" w:space="0" w:color="auto"/>
            <w:left w:val="none" w:sz="0" w:space="0" w:color="auto"/>
            <w:bottom w:val="none" w:sz="0" w:space="0" w:color="auto"/>
            <w:right w:val="none" w:sz="0" w:space="0" w:color="auto"/>
          </w:divBdr>
        </w:div>
        <w:div w:id="1271545947">
          <w:marLeft w:val="0"/>
          <w:marRight w:val="0"/>
          <w:marTop w:val="0"/>
          <w:marBottom w:val="0"/>
          <w:divBdr>
            <w:top w:val="none" w:sz="0" w:space="0" w:color="auto"/>
            <w:left w:val="none" w:sz="0" w:space="0" w:color="auto"/>
            <w:bottom w:val="none" w:sz="0" w:space="0" w:color="auto"/>
            <w:right w:val="none" w:sz="0" w:space="0" w:color="auto"/>
          </w:divBdr>
        </w:div>
        <w:div w:id="1278488713">
          <w:marLeft w:val="0"/>
          <w:marRight w:val="0"/>
          <w:marTop w:val="0"/>
          <w:marBottom w:val="0"/>
          <w:divBdr>
            <w:top w:val="none" w:sz="0" w:space="0" w:color="auto"/>
            <w:left w:val="none" w:sz="0" w:space="0" w:color="auto"/>
            <w:bottom w:val="none" w:sz="0" w:space="0" w:color="auto"/>
            <w:right w:val="none" w:sz="0" w:space="0" w:color="auto"/>
          </w:divBdr>
        </w:div>
        <w:div w:id="1396468313">
          <w:marLeft w:val="0"/>
          <w:marRight w:val="0"/>
          <w:marTop w:val="0"/>
          <w:marBottom w:val="0"/>
          <w:divBdr>
            <w:top w:val="none" w:sz="0" w:space="0" w:color="auto"/>
            <w:left w:val="none" w:sz="0" w:space="0" w:color="auto"/>
            <w:bottom w:val="none" w:sz="0" w:space="0" w:color="auto"/>
            <w:right w:val="none" w:sz="0" w:space="0" w:color="auto"/>
          </w:divBdr>
        </w:div>
        <w:div w:id="1520855315">
          <w:marLeft w:val="0"/>
          <w:marRight w:val="0"/>
          <w:marTop w:val="0"/>
          <w:marBottom w:val="0"/>
          <w:divBdr>
            <w:top w:val="none" w:sz="0" w:space="0" w:color="auto"/>
            <w:left w:val="none" w:sz="0" w:space="0" w:color="auto"/>
            <w:bottom w:val="none" w:sz="0" w:space="0" w:color="auto"/>
            <w:right w:val="none" w:sz="0" w:space="0" w:color="auto"/>
          </w:divBdr>
          <w:divsChild>
            <w:div w:id="62994442">
              <w:marLeft w:val="0"/>
              <w:marRight w:val="0"/>
              <w:marTop w:val="0"/>
              <w:marBottom w:val="0"/>
              <w:divBdr>
                <w:top w:val="none" w:sz="0" w:space="0" w:color="auto"/>
                <w:left w:val="none" w:sz="0" w:space="0" w:color="auto"/>
                <w:bottom w:val="none" w:sz="0" w:space="0" w:color="auto"/>
                <w:right w:val="none" w:sz="0" w:space="0" w:color="auto"/>
              </w:divBdr>
            </w:div>
            <w:div w:id="82383657">
              <w:marLeft w:val="0"/>
              <w:marRight w:val="0"/>
              <w:marTop w:val="0"/>
              <w:marBottom w:val="0"/>
              <w:divBdr>
                <w:top w:val="none" w:sz="0" w:space="0" w:color="auto"/>
                <w:left w:val="none" w:sz="0" w:space="0" w:color="auto"/>
                <w:bottom w:val="none" w:sz="0" w:space="0" w:color="auto"/>
                <w:right w:val="none" w:sz="0" w:space="0" w:color="auto"/>
              </w:divBdr>
            </w:div>
            <w:div w:id="105202515">
              <w:marLeft w:val="0"/>
              <w:marRight w:val="0"/>
              <w:marTop w:val="0"/>
              <w:marBottom w:val="0"/>
              <w:divBdr>
                <w:top w:val="none" w:sz="0" w:space="0" w:color="auto"/>
                <w:left w:val="none" w:sz="0" w:space="0" w:color="auto"/>
                <w:bottom w:val="none" w:sz="0" w:space="0" w:color="auto"/>
                <w:right w:val="none" w:sz="0" w:space="0" w:color="auto"/>
              </w:divBdr>
            </w:div>
            <w:div w:id="137839785">
              <w:marLeft w:val="0"/>
              <w:marRight w:val="0"/>
              <w:marTop w:val="0"/>
              <w:marBottom w:val="0"/>
              <w:divBdr>
                <w:top w:val="none" w:sz="0" w:space="0" w:color="auto"/>
                <w:left w:val="none" w:sz="0" w:space="0" w:color="auto"/>
                <w:bottom w:val="none" w:sz="0" w:space="0" w:color="auto"/>
                <w:right w:val="none" w:sz="0" w:space="0" w:color="auto"/>
              </w:divBdr>
            </w:div>
            <w:div w:id="144711022">
              <w:marLeft w:val="0"/>
              <w:marRight w:val="0"/>
              <w:marTop w:val="0"/>
              <w:marBottom w:val="0"/>
              <w:divBdr>
                <w:top w:val="none" w:sz="0" w:space="0" w:color="auto"/>
                <w:left w:val="none" w:sz="0" w:space="0" w:color="auto"/>
                <w:bottom w:val="none" w:sz="0" w:space="0" w:color="auto"/>
                <w:right w:val="none" w:sz="0" w:space="0" w:color="auto"/>
              </w:divBdr>
            </w:div>
            <w:div w:id="164441401">
              <w:marLeft w:val="0"/>
              <w:marRight w:val="0"/>
              <w:marTop w:val="0"/>
              <w:marBottom w:val="0"/>
              <w:divBdr>
                <w:top w:val="none" w:sz="0" w:space="0" w:color="auto"/>
                <w:left w:val="none" w:sz="0" w:space="0" w:color="auto"/>
                <w:bottom w:val="none" w:sz="0" w:space="0" w:color="auto"/>
                <w:right w:val="none" w:sz="0" w:space="0" w:color="auto"/>
              </w:divBdr>
            </w:div>
            <w:div w:id="324355386">
              <w:marLeft w:val="0"/>
              <w:marRight w:val="0"/>
              <w:marTop w:val="0"/>
              <w:marBottom w:val="0"/>
              <w:divBdr>
                <w:top w:val="none" w:sz="0" w:space="0" w:color="auto"/>
                <w:left w:val="none" w:sz="0" w:space="0" w:color="auto"/>
                <w:bottom w:val="none" w:sz="0" w:space="0" w:color="auto"/>
                <w:right w:val="none" w:sz="0" w:space="0" w:color="auto"/>
              </w:divBdr>
            </w:div>
            <w:div w:id="603616094">
              <w:marLeft w:val="0"/>
              <w:marRight w:val="0"/>
              <w:marTop w:val="0"/>
              <w:marBottom w:val="0"/>
              <w:divBdr>
                <w:top w:val="none" w:sz="0" w:space="0" w:color="auto"/>
                <w:left w:val="none" w:sz="0" w:space="0" w:color="auto"/>
                <w:bottom w:val="none" w:sz="0" w:space="0" w:color="auto"/>
                <w:right w:val="none" w:sz="0" w:space="0" w:color="auto"/>
              </w:divBdr>
            </w:div>
            <w:div w:id="650061016">
              <w:marLeft w:val="0"/>
              <w:marRight w:val="0"/>
              <w:marTop w:val="0"/>
              <w:marBottom w:val="0"/>
              <w:divBdr>
                <w:top w:val="none" w:sz="0" w:space="0" w:color="auto"/>
                <w:left w:val="none" w:sz="0" w:space="0" w:color="auto"/>
                <w:bottom w:val="none" w:sz="0" w:space="0" w:color="auto"/>
                <w:right w:val="none" w:sz="0" w:space="0" w:color="auto"/>
              </w:divBdr>
            </w:div>
            <w:div w:id="656685653">
              <w:marLeft w:val="0"/>
              <w:marRight w:val="0"/>
              <w:marTop w:val="0"/>
              <w:marBottom w:val="0"/>
              <w:divBdr>
                <w:top w:val="none" w:sz="0" w:space="0" w:color="auto"/>
                <w:left w:val="none" w:sz="0" w:space="0" w:color="auto"/>
                <w:bottom w:val="none" w:sz="0" w:space="0" w:color="auto"/>
                <w:right w:val="none" w:sz="0" w:space="0" w:color="auto"/>
              </w:divBdr>
            </w:div>
            <w:div w:id="932057730">
              <w:marLeft w:val="0"/>
              <w:marRight w:val="0"/>
              <w:marTop w:val="0"/>
              <w:marBottom w:val="0"/>
              <w:divBdr>
                <w:top w:val="none" w:sz="0" w:space="0" w:color="auto"/>
                <w:left w:val="none" w:sz="0" w:space="0" w:color="auto"/>
                <w:bottom w:val="none" w:sz="0" w:space="0" w:color="auto"/>
                <w:right w:val="none" w:sz="0" w:space="0" w:color="auto"/>
              </w:divBdr>
            </w:div>
            <w:div w:id="1054935926">
              <w:marLeft w:val="0"/>
              <w:marRight w:val="0"/>
              <w:marTop w:val="0"/>
              <w:marBottom w:val="0"/>
              <w:divBdr>
                <w:top w:val="none" w:sz="0" w:space="0" w:color="auto"/>
                <w:left w:val="none" w:sz="0" w:space="0" w:color="auto"/>
                <w:bottom w:val="none" w:sz="0" w:space="0" w:color="auto"/>
                <w:right w:val="none" w:sz="0" w:space="0" w:color="auto"/>
              </w:divBdr>
            </w:div>
            <w:div w:id="1066798808">
              <w:marLeft w:val="0"/>
              <w:marRight w:val="0"/>
              <w:marTop w:val="0"/>
              <w:marBottom w:val="0"/>
              <w:divBdr>
                <w:top w:val="none" w:sz="0" w:space="0" w:color="auto"/>
                <w:left w:val="none" w:sz="0" w:space="0" w:color="auto"/>
                <w:bottom w:val="none" w:sz="0" w:space="0" w:color="auto"/>
                <w:right w:val="none" w:sz="0" w:space="0" w:color="auto"/>
              </w:divBdr>
            </w:div>
            <w:div w:id="1283196882">
              <w:marLeft w:val="0"/>
              <w:marRight w:val="0"/>
              <w:marTop w:val="0"/>
              <w:marBottom w:val="0"/>
              <w:divBdr>
                <w:top w:val="none" w:sz="0" w:space="0" w:color="auto"/>
                <w:left w:val="none" w:sz="0" w:space="0" w:color="auto"/>
                <w:bottom w:val="none" w:sz="0" w:space="0" w:color="auto"/>
                <w:right w:val="none" w:sz="0" w:space="0" w:color="auto"/>
              </w:divBdr>
            </w:div>
            <w:div w:id="1481775630">
              <w:marLeft w:val="0"/>
              <w:marRight w:val="0"/>
              <w:marTop w:val="0"/>
              <w:marBottom w:val="0"/>
              <w:divBdr>
                <w:top w:val="none" w:sz="0" w:space="0" w:color="auto"/>
                <w:left w:val="none" w:sz="0" w:space="0" w:color="auto"/>
                <w:bottom w:val="none" w:sz="0" w:space="0" w:color="auto"/>
                <w:right w:val="none" w:sz="0" w:space="0" w:color="auto"/>
              </w:divBdr>
            </w:div>
            <w:div w:id="1526406530">
              <w:marLeft w:val="0"/>
              <w:marRight w:val="0"/>
              <w:marTop w:val="0"/>
              <w:marBottom w:val="0"/>
              <w:divBdr>
                <w:top w:val="none" w:sz="0" w:space="0" w:color="auto"/>
                <w:left w:val="none" w:sz="0" w:space="0" w:color="auto"/>
                <w:bottom w:val="none" w:sz="0" w:space="0" w:color="auto"/>
                <w:right w:val="none" w:sz="0" w:space="0" w:color="auto"/>
              </w:divBdr>
            </w:div>
            <w:div w:id="1745031975">
              <w:marLeft w:val="0"/>
              <w:marRight w:val="0"/>
              <w:marTop w:val="0"/>
              <w:marBottom w:val="0"/>
              <w:divBdr>
                <w:top w:val="none" w:sz="0" w:space="0" w:color="auto"/>
                <w:left w:val="none" w:sz="0" w:space="0" w:color="auto"/>
                <w:bottom w:val="none" w:sz="0" w:space="0" w:color="auto"/>
                <w:right w:val="none" w:sz="0" w:space="0" w:color="auto"/>
              </w:divBdr>
            </w:div>
            <w:div w:id="1870296382">
              <w:marLeft w:val="0"/>
              <w:marRight w:val="0"/>
              <w:marTop w:val="0"/>
              <w:marBottom w:val="0"/>
              <w:divBdr>
                <w:top w:val="none" w:sz="0" w:space="0" w:color="auto"/>
                <w:left w:val="none" w:sz="0" w:space="0" w:color="auto"/>
                <w:bottom w:val="none" w:sz="0" w:space="0" w:color="auto"/>
                <w:right w:val="none" w:sz="0" w:space="0" w:color="auto"/>
              </w:divBdr>
            </w:div>
            <w:div w:id="1936011973">
              <w:marLeft w:val="0"/>
              <w:marRight w:val="0"/>
              <w:marTop w:val="0"/>
              <w:marBottom w:val="0"/>
              <w:divBdr>
                <w:top w:val="none" w:sz="0" w:space="0" w:color="auto"/>
                <w:left w:val="none" w:sz="0" w:space="0" w:color="auto"/>
                <w:bottom w:val="none" w:sz="0" w:space="0" w:color="auto"/>
                <w:right w:val="none" w:sz="0" w:space="0" w:color="auto"/>
              </w:divBdr>
            </w:div>
            <w:div w:id="2054695723">
              <w:marLeft w:val="0"/>
              <w:marRight w:val="0"/>
              <w:marTop w:val="0"/>
              <w:marBottom w:val="0"/>
              <w:divBdr>
                <w:top w:val="none" w:sz="0" w:space="0" w:color="auto"/>
                <w:left w:val="none" w:sz="0" w:space="0" w:color="auto"/>
                <w:bottom w:val="none" w:sz="0" w:space="0" w:color="auto"/>
                <w:right w:val="none" w:sz="0" w:space="0" w:color="auto"/>
              </w:divBdr>
            </w:div>
          </w:divsChild>
        </w:div>
        <w:div w:id="1521549597">
          <w:marLeft w:val="0"/>
          <w:marRight w:val="0"/>
          <w:marTop w:val="0"/>
          <w:marBottom w:val="0"/>
          <w:divBdr>
            <w:top w:val="none" w:sz="0" w:space="0" w:color="auto"/>
            <w:left w:val="none" w:sz="0" w:space="0" w:color="auto"/>
            <w:bottom w:val="none" w:sz="0" w:space="0" w:color="auto"/>
            <w:right w:val="none" w:sz="0" w:space="0" w:color="auto"/>
          </w:divBdr>
        </w:div>
        <w:div w:id="1560290093">
          <w:marLeft w:val="0"/>
          <w:marRight w:val="0"/>
          <w:marTop w:val="0"/>
          <w:marBottom w:val="0"/>
          <w:divBdr>
            <w:top w:val="none" w:sz="0" w:space="0" w:color="auto"/>
            <w:left w:val="none" w:sz="0" w:space="0" w:color="auto"/>
            <w:bottom w:val="none" w:sz="0" w:space="0" w:color="auto"/>
            <w:right w:val="none" w:sz="0" w:space="0" w:color="auto"/>
          </w:divBdr>
        </w:div>
        <w:div w:id="1572305501">
          <w:marLeft w:val="0"/>
          <w:marRight w:val="0"/>
          <w:marTop w:val="0"/>
          <w:marBottom w:val="0"/>
          <w:divBdr>
            <w:top w:val="none" w:sz="0" w:space="0" w:color="auto"/>
            <w:left w:val="none" w:sz="0" w:space="0" w:color="auto"/>
            <w:bottom w:val="none" w:sz="0" w:space="0" w:color="auto"/>
            <w:right w:val="none" w:sz="0" w:space="0" w:color="auto"/>
          </w:divBdr>
        </w:div>
        <w:div w:id="1595480111">
          <w:marLeft w:val="0"/>
          <w:marRight w:val="0"/>
          <w:marTop w:val="0"/>
          <w:marBottom w:val="0"/>
          <w:divBdr>
            <w:top w:val="none" w:sz="0" w:space="0" w:color="auto"/>
            <w:left w:val="none" w:sz="0" w:space="0" w:color="auto"/>
            <w:bottom w:val="none" w:sz="0" w:space="0" w:color="auto"/>
            <w:right w:val="none" w:sz="0" w:space="0" w:color="auto"/>
          </w:divBdr>
        </w:div>
        <w:div w:id="1613828463">
          <w:marLeft w:val="0"/>
          <w:marRight w:val="0"/>
          <w:marTop w:val="0"/>
          <w:marBottom w:val="0"/>
          <w:divBdr>
            <w:top w:val="none" w:sz="0" w:space="0" w:color="auto"/>
            <w:left w:val="none" w:sz="0" w:space="0" w:color="auto"/>
            <w:bottom w:val="none" w:sz="0" w:space="0" w:color="auto"/>
            <w:right w:val="none" w:sz="0" w:space="0" w:color="auto"/>
          </w:divBdr>
        </w:div>
        <w:div w:id="1642611678">
          <w:marLeft w:val="0"/>
          <w:marRight w:val="0"/>
          <w:marTop w:val="0"/>
          <w:marBottom w:val="0"/>
          <w:divBdr>
            <w:top w:val="none" w:sz="0" w:space="0" w:color="auto"/>
            <w:left w:val="none" w:sz="0" w:space="0" w:color="auto"/>
            <w:bottom w:val="none" w:sz="0" w:space="0" w:color="auto"/>
            <w:right w:val="none" w:sz="0" w:space="0" w:color="auto"/>
          </w:divBdr>
        </w:div>
        <w:div w:id="1808623318">
          <w:marLeft w:val="0"/>
          <w:marRight w:val="0"/>
          <w:marTop w:val="0"/>
          <w:marBottom w:val="0"/>
          <w:divBdr>
            <w:top w:val="none" w:sz="0" w:space="0" w:color="auto"/>
            <w:left w:val="none" w:sz="0" w:space="0" w:color="auto"/>
            <w:bottom w:val="none" w:sz="0" w:space="0" w:color="auto"/>
            <w:right w:val="none" w:sz="0" w:space="0" w:color="auto"/>
          </w:divBdr>
        </w:div>
        <w:div w:id="1861384689">
          <w:marLeft w:val="0"/>
          <w:marRight w:val="0"/>
          <w:marTop w:val="0"/>
          <w:marBottom w:val="0"/>
          <w:divBdr>
            <w:top w:val="none" w:sz="0" w:space="0" w:color="auto"/>
            <w:left w:val="none" w:sz="0" w:space="0" w:color="auto"/>
            <w:bottom w:val="none" w:sz="0" w:space="0" w:color="auto"/>
            <w:right w:val="none" w:sz="0" w:space="0" w:color="auto"/>
          </w:divBdr>
        </w:div>
        <w:div w:id="1878348445">
          <w:marLeft w:val="0"/>
          <w:marRight w:val="0"/>
          <w:marTop w:val="0"/>
          <w:marBottom w:val="0"/>
          <w:divBdr>
            <w:top w:val="none" w:sz="0" w:space="0" w:color="auto"/>
            <w:left w:val="none" w:sz="0" w:space="0" w:color="auto"/>
            <w:bottom w:val="none" w:sz="0" w:space="0" w:color="auto"/>
            <w:right w:val="none" w:sz="0" w:space="0" w:color="auto"/>
          </w:divBdr>
        </w:div>
        <w:div w:id="1906455374">
          <w:marLeft w:val="0"/>
          <w:marRight w:val="0"/>
          <w:marTop w:val="0"/>
          <w:marBottom w:val="0"/>
          <w:divBdr>
            <w:top w:val="none" w:sz="0" w:space="0" w:color="auto"/>
            <w:left w:val="none" w:sz="0" w:space="0" w:color="auto"/>
            <w:bottom w:val="none" w:sz="0" w:space="0" w:color="auto"/>
            <w:right w:val="none" w:sz="0" w:space="0" w:color="auto"/>
          </w:divBdr>
          <w:divsChild>
            <w:div w:id="13923143">
              <w:marLeft w:val="0"/>
              <w:marRight w:val="0"/>
              <w:marTop w:val="0"/>
              <w:marBottom w:val="0"/>
              <w:divBdr>
                <w:top w:val="none" w:sz="0" w:space="0" w:color="auto"/>
                <w:left w:val="none" w:sz="0" w:space="0" w:color="auto"/>
                <w:bottom w:val="none" w:sz="0" w:space="0" w:color="auto"/>
                <w:right w:val="none" w:sz="0" w:space="0" w:color="auto"/>
              </w:divBdr>
            </w:div>
            <w:div w:id="27535021">
              <w:marLeft w:val="0"/>
              <w:marRight w:val="0"/>
              <w:marTop w:val="0"/>
              <w:marBottom w:val="0"/>
              <w:divBdr>
                <w:top w:val="none" w:sz="0" w:space="0" w:color="auto"/>
                <w:left w:val="none" w:sz="0" w:space="0" w:color="auto"/>
                <w:bottom w:val="none" w:sz="0" w:space="0" w:color="auto"/>
                <w:right w:val="none" w:sz="0" w:space="0" w:color="auto"/>
              </w:divBdr>
            </w:div>
            <w:div w:id="39747144">
              <w:marLeft w:val="0"/>
              <w:marRight w:val="0"/>
              <w:marTop w:val="0"/>
              <w:marBottom w:val="0"/>
              <w:divBdr>
                <w:top w:val="none" w:sz="0" w:space="0" w:color="auto"/>
                <w:left w:val="none" w:sz="0" w:space="0" w:color="auto"/>
                <w:bottom w:val="none" w:sz="0" w:space="0" w:color="auto"/>
                <w:right w:val="none" w:sz="0" w:space="0" w:color="auto"/>
              </w:divBdr>
            </w:div>
            <w:div w:id="152184529">
              <w:marLeft w:val="0"/>
              <w:marRight w:val="0"/>
              <w:marTop w:val="0"/>
              <w:marBottom w:val="0"/>
              <w:divBdr>
                <w:top w:val="none" w:sz="0" w:space="0" w:color="auto"/>
                <w:left w:val="none" w:sz="0" w:space="0" w:color="auto"/>
                <w:bottom w:val="none" w:sz="0" w:space="0" w:color="auto"/>
                <w:right w:val="none" w:sz="0" w:space="0" w:color="auto"/>
              </w:divBdr>
            </w:div>
            <w:div w:id="243731989">
              <w:marLeft w:val="0"/>
              <w:marRight w:val="0"/>
              <w:marTop w:val="0"/>
              <w:marBottom w:val="0"/>
              <w:divBdr>
                <w:top w:val="none" w:sz="0" w:space="0" w:color="auto"/>
                <w:left w:val="none" w:sz="0" w:space="0" w:color="auto"/>
                <w:bottom w:val="none" w:sz="0" w:space="0" w:color="auto"/>
                <w:right w:val="none" w:sz="0" w:space="0" w:color="auto"/>
              </w:divBdr>
            </w:div>
            <w:div w:id="296494125">
              <w:marLeft w:val="0"/>
              <w:marRight w:val="0"/>
              <w:marTop w:val="0"/>
              <w:marBottom w:val="0"/>
              <w:divBdr>
                <w:top w:val="none" w:sz="0" w:space="0" w:color="auto"/>
                <w:left w:val="none" w:sz="0" w:space="0" w:color="auto"/>
                <w:bottom w:val="none" w:sz="0" w:space="0" w:color="auto"/>
                <w:right w:val="none" w:sz="0" w:space="0" w:color="auto"/>
              </w:divBdr>
            </w:div>
            <w:div w:id="706024835">
              <w:marLeft w:val="0"/>
              <w:marRight w:val="0"/>
              <w:marTop w:val="0"/>
              <w:marBottom w:val="0"/>
              <w:divBdr>
                <w:top w:val="none" w:sz="0" w:space="0" w:color="auto"/>
                <w:left w:val="none" w:sz="0" w:space="0" w:color="auto"/>
                <w:bottom w:val="none" w:sz="0" w:space="0" w:color="auto"/>
                <w:right w:val="none" w:sz="0" w:space="0" w:color="auto"/>
              </w:divBdr>
            </w:div>
            <w:div w:id="730424304">
              <w:marLeft w:val="0"/>
              <w:marRight w:val="0"/>
              <w:marTop w:val="0"/>
              <w:marBottom w:val="0"/>
              <w:divBdr>
                <w:top w:val="none" w:sz="0" w:space="0" w:color="auto"/>
                <w:left w:val="none" w:sz="0" w:space="0" w:color="auto"/>
                <w:bottom w:val="none" w:sz="0" w:space="0" w:color="auto"/>
                <w:right w:val="none" w:sz="0" w:space="0" w:color="auto"/>
              </w:divBdr>
            </w:div>
            <w:div w:id="756555016">
              <w:marLeft w:val="0"/>
              <w:marRight w:val="0"/>
              <w:marTop w:val="0"/>
              <w:marBottom w:val="0"/>
              <w:divBdr>
                <w:top w:val="none" w:sz="0" w:space="0" w:color="auto"/>
                <w:left w:val="none" w:sz="0" w:space="0" w:color="auto"/>
                <w:bottom w:val="none" w:sz="0" w:space="0" w:color="auto"/>
                <w:right w:val="none" w:sz="0" w:space="0" w:color="auto"/>
              </w:divBdr>
            </w:div>
            <w:div w:id="1040856236">
              <w:marLeft w:val="0"/>
              <w:marRight w:val="0"/>
              <w:marTop w:val="0"/>
              <w:marBottom w:val="0"/>
              <w:divBdr>
                <w:top w:val="none" w:sz="0" w:space="0" w:color="auto"/>
                <w:left w:val="none" w:sz="0" w:space="0" w:color="auto"/>
                <w:bottom w:val="none" w:sz="0" w:space="0" w:color="auto"/>
                <w:right w:val="none" w:sz="0" w:space="0" w:color="auto"/>
              </w:divBdr>
            </w:div>
            <w:div w:id="1105003951">
              <w:marLeft w:val="0"/>
              <w:marRight w:val="0"/>
              <w:marTop w:val="0"/>
              <w:marBottom w:val="0"/>
              <w:divBdr>
                <w:top w:val="none" w:sz="0" w:space="0" w:color="auto"/>
                <w:left w:val="none" w:sz="0" w:space="0" w:color="auto"/>
                <w:bottom w:val="none" w:sz="0" w:space="0" w:color="auto"/>
                <w:right w:val="none" w:sz="0" w:space="0" w:color="auto"/>
              </w:divBdr>
            </w:div>
            <w:div w:id="1143546138">
              <w:marLeft w:val="0"/>
              <w:marRight w:val="0"/>
              <w:marTop w:val="0"/>
              <w:marBottom w:val="0"/>
              <w:divBdr>
                <w:top w:val="none" w:sz="0" w:space="0" w:color="auto"/>
                <w:left w:val="none" w:sz="0" w:space="0" w:color="auto"/>
                <w:bottom w:val="none" w:sz="0" w:space="0" w:color="auto"/>
                <w:right w:val="none" w:sz="0" w:space="0" w:color="auto"/>
              </w:divBdr>
            </w:div>
            <w:div w:id="1179663304">
              <w:marLeft w:val="0"/>
              <w:marRight w:val="0"/>
              <w:marTop w:val="0"/>
              <w:marBottom w:val="0"/>
              <w:divBdr>
                <w:top w:val="none" w:sz="0" w:space="0" w:color="auto"/>
                <w:left w:val="none" w:sz="0" w:space="0" w:color="auto"/>
                <w:bottom w:val="none" w:sz="0" w:space="0" w:color="auto"/>
                <w:right w:val="none" w:sz="0" w:space="0" w:color="auto"/>
              </w:divBdr>
            </w:div>
            <w:div w:id="1223826895">
              <w:marLeft w:val="0"/>
              <w:marRight w:val="0"/>
              <w:marTop w:val="0"/>
              <w:marBottom w:val="0"/>
              <w:divBdr>
                <w:top w:val="none" w:sz="0" w:space="0" w:color="auto"/>
                <w:left w:val="none" w:sz="0" w:space="0" w:color="auto"/>
                <w:bottom w:val="none" w:sz="0" w:space="0" w:color="auto"/>
                <w:right w:val="none" w:sz="0" w:space="0" w:color="auto"/>
              </w:divBdr>
            </w:div>
            <w:div w:id="1352221534">
              <w:marLeft w:val="0"/>
              <w:marRight w:val="0"/>
              <w:marTop w:val="0"/>
              <w:marBottom w:val="0"/>
              <w:divBdr>
                <w:top w:val="none" w:sz="0" w:space="0" w:color="auto"/>
                <w:left w:val="none" w:sz="0" w:space="0" w:color="auto"/>
                <w:bottom w:val="none" w:sz="0" w:space="0" w:color="auto"/>
                <w:right w:val="none" w:sz="0" w:space="0" w:color="auto"/>
              </w:divBdr>
            </w:div>
            <w:div w:id="1395663926">
              <w:marLeft w:val="0"/>
              <w:marRight w:val="0"/>
              <w:marTop w:val="0"/>
              <w:marBottom w:val="0"/>
              <w:divBdr>
                <w:top w:val="none" w:sz="0" w:space="0" w:color="auto"/>
                <w:left w:val="none" w:sz="0" w:space="0" w:color="auto"/>
                <w:bottom w:val="none" w:sz="0" w:space="0" w:color="auto"/>
                <w:right w:val="none" w:sz="0" w:space="0" w:color="auto"/>
              </w:divBdr>
            </w:div>
            <w:div w:id="1411655303">
              <w:marLeft w:val="0"/>
              <w:marRight w:val="0"/>
              <w:marTop w:val="0"/>
              <w:marBottom w:val="0"/>
              <w:divBdr>
                <w:top w:val="none" w:sz="0" w:space="0" w:color="auto"/>
                <w:left w:val="none" w:sz="0" w:space="0" w:color="auto"/>
                <w:bottom w:val="none" w:sz="0" w:space="0" w:color="auto"/>
                <w:right w:val="none" w:sz="0" w:space="0" w:color="auto"/>
              </w:divBdr>
            </w:div>
            <w:div w:id="1634827167">
              <w:marLeft w:val="0"/>
              <w:marRight w:val="0"/>
              <w:marTop w:val="0"/>
              <w:marBottom w:val="0"/>
              <w:divBdr>
                <w:top w:val="none" w:sz="0" w:space="0" w:color="auto"/>
                <w:left w:val="none" w:sz="0" w:space="0" w:color="auto"/>
                <w:bottom w:val="none" w:sz="0" w:space="0" w:color="auto"/>
                <w:right w:val="none" w:sz="0" w:space="0" w:color="auto"/>
              </w:divBdr>
            </w:div>
            <w:div w:id="1843934165">
              <w:marLeft w:val="0"/>
              <w:marRight w:val="0"/>
              <w:marTop w:val="0"/>
              <w:marBottom w:val="0"/>
              <w:divBdr>
                <w:top w:val="none" w:sz="0" w:space="0" w:color="auto"/>
                <w:left w:val="none" w:sz="0" w:space="0" w:color="auto"/>
                <w:bottom w:val="none" w:sz="0" w:space="0" w:color="auto"/>
                <w:right w:val="none" w:sz="0" w:space="0" w:color="auto"/>
              </w:divBdr>
            </w:div>
            <w:div w:id="1861355243">
              <w:marLeft w:val="0"/>
              <w:marRight w:val="0"/>
              <w:marTop w:val="0"/>
              <w:marBottom w:val="0"/>
              <w:divBdr>
                <w:top w:val="none" w:sz="0" w:space="0" w:color="auto"/>
                <w:left w:val="none" w:sz="0" w:space="0" w:color="auto"/>
                <w:bottom w:val="none" w:sz="0" w:space="0" w:color="auto"/>
                <w:right w:val="none" w:sz="0" w:space="0" w:color="auto"/>
              </w:divBdr>
            </w:div>
          </w:divsChild>
        </w:div>
        <w:div w:id="1961952126">
          <w:marLeft w:val="0"/>
          <w:marRight w:val="0"/>
          <w:marTop w:val="0"/>
          <w:marBottom w:val="0"/>
          <w:divBdr>
            <w:top w:val="none" w:sz="0" w:space="0" w:color="auto"/>
            <w:left w:val="none" w:sz="0" w:space="0" w:color="auto"/>
            <w:bottom w:val="none" w:sz="0" w:space="0" w:color="auto"/>
            <w:right w:val="none" w:sz="0" w:space="0" w:color="auto"/>
          </w:divBdr>
        </w:div>
        <w:div w:id="1987082117">
          <w:marLeft w:val="0"/>
          <w:marRight w:val="0"/>
          <w:marTop w:val="0"/>
          <w:marBottom w:val="0"/>
          <w:divBdr>
            <w:top w:val="none" w:sz="0" w:space="0" w:color="auto"/>
            <w:left w:val="none" w:sz="0" w:space="0" w:color="auto"/>
            <w:bottom w:val="none" w:sz="0" w:space="0" w:color="auto"/>
            <w:right w:val="none" w:sz="0" w:space="0" w:color="auto"/>
          </w:divBdr>
        </w:div>
        <w:div w:id="1995720303">
          <w:marLeft w:val="0"/>
          <w:marRight w:val="0"/>
          <w:marTop w:val="0"/>
          <w:marBottom w:val="0"/>
          <w:divBdr>
            <w:top w:val="none" w:sz="0" w:space="0" w:color="auto"/>
            <w:left w:val="none" w:sz="0" w:space="0" w:color="auto"/>
            <w:bottom w:val="none" w:sz="0" w:space="0" w:color="auto"/>
            <w:right w:val="none" w:sz="0" w:space="0" w:color="auto"/>
          </w:divBdr>
        </w:div>
        <w:div w:id="2030908353">
          <w:marLeft w:val="0"/>
          <w:marRight w:val="0"/>
          <w:marTop w:val="0"/>
          <w:marBottom w:val="0"/>
          <w:divBdr>
            <w:top w:val="none" w:sz="0" w:space="0" w:color="auto"/>
            <w:left w:val="none" w:sz="0" w:space="0" w:color="auto"/>
            <w:bottom w:val="none" w:sz="0" w:space="0" w:color="auto"/>
            <w:right w:val="none" w:sz="0" w:space="0" w:color="auto"/>
          </w:divBdr>
        </w:div>
        <w:div w:id="2094666935">
          <w:marLeft w:val="0"/>
          <w:marRight w:val="0"/>
          <w:marTop w:val="0"/>
          <w:marBottom w:val="0"/>
          <w:divBdr>
            <w:top w:val="none" w:sz="0" w:space="0" w:color="auto"/>
            <w:left w:val="none" w:sz="0" w:space="0" w:color="auto"/>
            <w:bottom w:val="none" w:sz="0" w:space="0" w:color="auto"/>
            <w:right w:val="none" w:sz="0" w:space="0" w:color="auto"/>
          </w:divBdr>
        </w:div>
      </w:divsChild>
    </w:div>
    <w:div w:id="278797932">
      <w:bodyDiv w:val="1"/>
      <w:marLeft w:val="0"/>
      <w:marRight w:val="0"/>
      <w:marTop w:val="0"/>
      <w:marBottom w:val="0"/>
      <w:divBdr>
        <w:top w:val="none" w:sz="0" w:space="0" w:color="auto"/>
        <w:left w:val="none" w:sz="0" w:space="0" w:color="auto"/>
        <w:bottom w:val="none" w:sz="0" w:space="0" w:color="auto"/>
        <w:right w:val="none" w:sz="0" w:space="0" w:color="auto"/>
      </w:divBdr>
      <w:divsChild>
        <w:div w:id="42172024">
          <w:marLeft w:val="0"/>
          <w:marRight w:val="0"/>
          <w:marTop w:val="0"/>
          <w:marBottom w:val="0"/>
          <w:divBdr>
            <w:top w:val="none" w:sz="0" w:space="0" w:color="auto"/>
            <w:left w:val="none" w:sz="0" w:space="0" w:color="auto"/>
            <w:bottom w:val="none" w:sz="0" w:space="0" w:color="auto"/>
            <w:right w:val="none" w:sz="0" w:space="0" w:color="auto"/>
          </w:divBdr>
        </w:div>
        <w:div w:id="313992218">
          <w:marLeft w:val="0"/>
          <w:marRight w:val="0"/>
          <w:marTop w:val="0"/>
          <w:marBottom w:val="0"/>
          <w:divBdr>
            <w:top w:val="none" w:sz="0" w:space="0" w:color="auto"/>
            <w:left w:val="none" w:sz="0" w:space="0" w:color="auto"/>
            <w:bottom w:val="none" w:sz="0" w:space="0" w:color="auto"/>
            <w:right w:val="none" w:sz="0" w:space="0" w:color="auto"/>
          </w:divBdr>
        </w:div>
        <w:div w:id="641081246">
          <w:marLeft w:val="0"/>
          <w:marRight w:val="0"/>
          <w:marTop w:val="0"/>
          <w:marBottom w:val="0"/>
          <w:divBdr>
            <w:top w:val="none" w:sz="0" w:space="0" w:color="auto"/>
            <w:left w:val="none" w:sz="0" w:space="0" w:color="auto"/>
            <w:bottom w:val="none" w:sz="0" w:space="0" w:color="auto"/>
            <w:right w:val="none" w:sz="0" w:space="0" w:color="auto"/>
          </w:divBdr>
        </w:div>
        <w:div w:id="757139736">
          <w:marLeft w:val="0"/>
          <w:marRight w:val="0"/>
          <w:marTop w:val="0"/>
          <w:marBottom w:val="0"/>
          <w:divBdr>
            <w:top w:val="none" w:sz="0" w:space="0" w:color="auto"/>
            <w:left w:val="none" w:sz="0" w:space="0" w:color="auto"/>
            <w:bottom w:val="none" w:sz="0" w:space="0" w:color="auto"/>
            <w:right w:val="none" w:sz="0" w:space="0" w:color="auto"/>
          </w:divBdr>
        </w:div>
        <w:div w:id="1221213582">
          <w:marLeft w:val="0"/>
          <w:marRight w:val="0"/>
          <w:marTop w:val="0"/>
          <w:marBottom w:val="0"/>
          <w:divBdr>
            <w:top w:val="none" w:sz="0" w:space="0" w:color="auto"/>
            <w:left w:val="none" w:sz="0" w:space="0" w:color="auto"/>
            <w:bottom w:val="none" w:sz="0" w:space="0" w:color="auto"/>
            <w:right w:val="none" w:sz="0" w:space="0" w:color="auto"/>
          </w:divBdr>
        </w:div>
        <w:div w:id="1531995321">
          <w:marLeft w:val="0"/>
          <w:marRight w:val="0"/>
          <w:marTop w:val="0"/>
          <w:marBottom w:val="0"/>
          <w:divBdr>
            <w:top w:val="none" w:sz="0" w:space="0" w:color="auto"/>
            <w:left w:val="none" w:sz="0" w:space="0" w:color="auto"/>
            <w:bottom w:val="none" w:sz="0" w:space="0" w:color="auto"/>
            <w:right w:val="none" w:sz="0" w:space="0" w:color="auto"/>
          </w:divBdr>
        </w:div>
        <w:div w:id="1691297810">
          <w:marLeft w:val="0"/>
          <w:marRight w:val="0"/>
          <w:marTop w:val="0"/>
          <w:marBottom w:val="0"/>
          <w:divBdr>
            <w:top w:val="none" w:sz="0" w:space="0" w:color="auto"/>
            <w:left w:val="none" w:sz="0" w:space="0" w:color="auto"/>
            <w:bottom w:val="none" w:sz="0" w:space="0" w:color="auto"/>
            <w:right w:val="none" w:sz="0" w:space="0" w:color="auto"/>
          </w:divBdr>
        </w:div>
      </w:divsChild>
    </w:div>
    <w:div w:id="285090424">
      <w:bodyDiv w:val="1"/>
      <w:marLeft w:val="0"/>
      <w:marRight w:val="0"/>
      <w:marTop w:val="0"/>
      <w:marBottom w:val="0"/>
      <w:divBdr>
        <w:top w:val="none" w:sz="0" w:space="0" w:color="auto"/>
        <w:left w:val="none" w:sz="0" w:space="0" w:color="auto"/>
        <w:bottom w:val="none" w:sz="0" w:space="0" w:color="auto"/>
        <w:right w:val="none" w:sz="0" w:space="0" w:color="auto"/>
      </w:divBdr>
      <w:divsChild>
        <w:div w:id="66415867">
          <w:marLeft w:val="0"/>
          <w:marRight w:val="0"/>
          <w:marTop w:val="0"/>
          <w:marBottom w:val="0"/>
          <w:divBdr>
            <w:top w:val="none" w:sz="0" w:space="0" w:color="auto"/>
            <w:left w:val="none" w:sz="0" w:space="0" w:color="auto"/>
            <w:bottom w:val="none" w:sz="0" w:space="0" w:color="auto"/>
            <w:right w:val="none" w:sz="0" w:space="0" w:color="auto"/>
          </w:divBdr>
          <w:divsChild>
            <w:div w:id="169414223">
              <w:marLeft w:val="0"/>
              <w:marRight w:val="0"/>
              <w:marTop w:val="0"/>
              <w:marBottom w:val="0"/>
              <w:divBdr>
                <w:top w:val="none" w:sz="0" w:space="0" w:color="auto"/>
                <w:left w:val="none" w:sz="0" w:space="0" w:color="auto"/>
                <w:bottom w:val="none" w:sz="0" w:space="0" w:color="auto"/>
                <w:right w:val="none" w:sz="0" w:space="0" w:color="auto"/>
              </w:divBdr>
            </w:div>
          </w:divsChild>
        </w:div>
        <w:div w:id="73287420">
          <w:marLeft w:val="0"/>
          <w:marRight w:val="0"/>
          <w:marTop w:val="0"/>
          <w:marBottom w:val="0"/>
          <w:divBdr>
            <w:top w:val="none" w:sz="0" w:space="0" w:color="auto"/>
            <w:left w:val="none" w:sz="0" w:space="0" w:color="auto"/>
            <w:bottom w:val="none" w:sz="0" w:space="0" w:color="auto"/>
            <w:right w:val="none" w:sz="0" w:space="0" w:color="auto"/>
          </w:divBdr>
          <w:divsChild>
            <w:div w:id="1779986430">
              <w:marLeft w:val="0"/>
              <w:marRight w:val="0"/>
              <w:marTop w:val="0"/>
              <w:marBottom w:val="0"/>
              <w:divBdr>
                <w:top w:val="none" w:sz="0" w:space="0" w:color="auto"/>
                <w:left w:val="none" w:sz="0" w:space="0" w:color="auto"/>
                <w:bottom w:val="none" w:sz="0" w:space="0" w:color="auto"/>
                <w:right w:val="none" w:sz="0" w:space="0" w:color="auto"/>
              </w:divBdr>
            </w:div>
          </w:divsChild>
        </w:div>
        <w:div w:id="240602226">
          <w:marLeft w:val="0"/>
          <w:marRight w:val="0"/>
          <w:marTop w:val="0"/>
          <w:marBottom w:val="0"/>
          <w:divBdr>
            <w:top w:val="none" w:sz="0" w:space="0" w:color="auto"/>
            <w:left w:val="none" w:sz="0" w:space="0" w:color="auto"/>
            <w:bottom w:val="none" w:sz="0" w:space="0" w:color="auto"/>
            <w:right w:val="none" w:sz="0" w:space="0" w:color="auto"/>
          </w:divBdr>
          <w:divsChild>
            <w:div w:id="2052267517">
              <w:marLeft w:val="0"/>
              <w:marRight w:val="0"/>
              <w:marTop w:val="0"/>
              <w:marBottom w:val="0"/>
              <w:divBdr>
                <w:top w:val="none" w:sz="0" w:space="0" w:color="auto"/>
                <w:left w:val="none" w:sz="0" w:space="0" w:color="auto"/>
                <w:bottom w:val="none" w:sz="0" w:space="0" w:color="auto"/>
                <w:right w:val="none" w:sz="0" w:space="0" w:color="auto"/>
              </w:divBdr>
            </w:div>
          </w:divsChild>
        </w:div>
        <w:div w:id="419104445">
          <w:marLeft w:val="0"/>
          <w:marRight w:val="0"/>
          <w:marTop w:val="0"/>
          <w:marBottom w:val="0"/>
          <w:divBdr>
            <w:top w:val="none" w:sz="0" w:space="0" w:color="auto"/>
            <w:left w:val="none" w:sz="0" w:space="0" w:color="auto"/>
            <w:bottom w:val="none" w:sz="0" w:space="0" w:color="auto"/>
            <w:right w:val="none" w:sz="0" w:space="0" w:color="auto"/>
          </w:divBdr>
          <w:divsChild>
            <w:div w:id="1246763734">
              <w:marLeft w:val="0"/>
              <w:marRight w:val="0"/>
              <w:marTop w:val="0"/>
              <w:marBottom w:val="0"/>
              <w:divBdr>
                <w:top w:val="none" w:sz="0" w:space="0" w:color="auto"/>
                <w:left w:val="none" w:sz="0" w:space="0" w:color="auto"/>
                <w:bottom w:val="none" w:sz="0" w:space="0" w:color="auto"/>
                <w:right w:val="none" w:sz="0" w:space="0" w:color="auto"/>
              </w:divBdr>
            </w:div>
          </w:divsChild>
        </w:div>
        <w:div w:id="422146122">
          <w:marLeft w:val="0"/>
          <w:marRight w:val="0"/>
          <w:marTop w:val="0"/>
          <w:marBottom w:val="0"/>
          <w:divBdr>
            <w:top w:val="none" w:sz="0" w:space="0" w:color="auto"/>
            <w:left w:val="none" w:sz="0" w:space="0" w:color="auto"/>
            <w:bottom w:val="none" w:sz="0" w:space="0" w:color="auto"/>
            <w:right w:val="none" w:sz="0" w:space="0" w:color="auto"/>
          </w:divBdr>
          <w:divsChild>
            <w:div w:id="2048753430">
              <w:marLeft w:val="0"/>
              <w:marRight w:val="0"/>
              <w:marTop w:val="0"/>
              <w:marBottom w:val="0"/>
              <w:divBdr>
                <w:top w:val="none" w:sz="0" w:space="0" w:color="auto"/>
                <w:left w:val="none" w:sz="0" w:space="0" w:color="auto"/>
                <w:bottom w:val="none" w:sz="0" w:space="0" w:color="auto"/>
                <w:right w:val="none" w:sz="0" w:space="0" w:color="auto"/>
              </w:divBdr>
            </w:div>
          </w:divsChild>
        </w:div>
        <w:div w:id="630138000">
          <w:marLeft w:val="0"/>
          <w:marRight w:val="0"/>
          <w:marTop w:val="0"/>
          <w:marBottom w:val="0"/>
          <w:divBdr>
            <w:top w:val="none" w:sz="0" w:space="0" w:color="auto"/>
            <w:left w:val="none" w:sz="0" w:space="0" w:color="auto"/>
            <w:bottom w:val="none" w:sz="0" w:space="0" w:color="auto"/>
            <w:right w:val="none" w:sz="0" w:space="0" w:color="auto"/>
          </w:divBdr>
          <w:divsChild>
            <w:div w:id="1014576636">
              <w:marLeft w:val="0"/>
              <w:marRight w:val="0"/>
              <w:marTop w:val="0"/>
              <w:marBottom w:val="0"/>
              <w:divBdr>
                <w:top w:val="none" w:sz="0" w:space="0" w:color="auto"/>
                <w:left w:val="none" w:sz="0" w:space="0" w:color="auto"/>
                <w:bottom w:val="none" w:sz="0" w:space="0" w:color="auto"/>
                <w:right w:val="none" w:sz="0" w:space="0" w:color="auto"/>
              </w:divBdr>
            </w:div>
          </w:divsChild>
        </w:div>
        <w:div w:id="681401290">
          <w:marLeft w:val="0"/>
          <w:marRight w:val="0"/>
          <w:marTop w:val="0"/>
          <w:marBottom w:val="0"/>
          <w:divBdr>
            <w:top w:val="none" w:sz="0" w:space="0" w:color="auto"/>
            <w:left w:val="none" w:sz="0" w:space="0" w:color="auto"/>
            <w:bottom w:val="none" w:sz="0" w:space="0" w:color="auto"/>
            <w:right w:val="none" w:sz="0" w:space="0" w:color="auto"/>
          </w:divBdr>
          <w:divsChild>
            <w:div w:id="593444112">
              <w:marLeft w:val="0"/>
              <w:marRight w:val="0"/>
              <w:marTop w:val="0"/>
              <w:marBottom w:val="0"/>
              <w:divBdr>
                <w:top w:val="none" w:sz="0" w:space="0" w:color="auto"/>
                <w:left w:val="none" w:sz="0" w:space="0" w:color="auto"/>
                <w:bottom w:val="none" w:sz="0" w:space="0" w:color="auto"/>
                <w:right w:val="none" w:sz="0" w:space="0" w:color="auto"/>
              </w:divBdr>
            </w:div>
          </w:divsChild>
        </w:div>
        <w:div w:id="738207680">
          <w:marLeft w:val="0"/>
          <w:marRight w:val="0"/>
          <w:marTop w:val="0"/>
          <w:marBottom w:val="0"/>
          <w:divBdr>
            <w:top w:val="none" w:sz="0" w:space="0" w:color="auto"/>
            <w:left w:val="none" w:sz="0" w:space="0" w:color="auto"/>
            <w:bottom w:val="none" w:sz="0" w:space="0" w:color="auto"/>
            <w:right w:val="none" w:sz="0" w:space="0" w:color="auto"/>
          </w:divBdr>
          <w:divsChild>
            <w:div w:id="1020161950">
              <w:marLeft w:val="0"/>
              <w:marRight w:val="0"/>
              <w:marTop w:val="0"/>
              <w:marBottom w:val="0"/>
              <w:divBdr>
                <w:top w:val="none" w:sz="0" w:space="0" w:color="auto"/>
                <w:left w:val="none" w:sz="0" w:space="0" w:color="auto"/>
                <w:bottom w:val="none" w:sz="0" w:space="0" w:color="auto"/>
                <w:right w:val="none" w:sz="0" w:space="0" w:color="auto"/>
              </w:divBdr>
            </w:div>
          </w:divsChild>
        </w:div>
        <w:div w:id="781265995">
          <w:marLeft w:val="0"/>
          <w:marRight w:val="0"/>
          <w:marTop w:val="0"/>
          <w:marBottom w:val="0"/>
          <w:divBdr>
            <w:top w:val="none" w:sz="0" w:space="0" w:color="auto"/>
            <w:left w:val="none" w:sz="0" w:space="0" w:color="auto"/>
            <w:bottom w:val="none" w:sz="0" w:space="0" w:color="auto"/>
            <w:right w:val="none" w:sz="0" w:space="0" w:color="auto"/>
          </w:divBdr>
          <w:divsChild>
            <w:div w:id="1823885745">
              <w:marLeft w:val="0"/>
              <w:marRight w:val="0"/>
              <w:marTop w:val="0"/>
              <w:marBottom w:val="0"/>
              <w:divBdr>
                <w:top w:val="none" w:sz="0" w:space="0" w:color="auto"/>
                <w:left w:val="none" w:sz="0" w:space="0" w:color="auto"/>
                <w:bottom w:val="none" w:sz="0" w:space="0" w:color="auto"/>
                <w:right w:val="none" w:sz="0" w:space="0" w:color="auto"/>
              </w:divBdr>
            </w:div>
          </w:divsChild>
        </w:div>
        <w:div w:id="826360203">
          <w:marLeft w:val="0"/>
          <w:marRight w:val="0"/>
          <w:marTop w:val="0"/>
          <w:marBottom w:val="0"/>
          <w:divBdr>
            <w:top w:val="none" w:sz="0" w:space="0" w:color="auto"/>
            <w:left w:val="none" w:sz="0" w:space="0" w:color="auto"/>
            <w:bottom w:val="none" w:sz="0" w:space="0" w:color="auto"/>
            <w:right w:val="none" w:sz="0" w:space="0" w:color="auto"/>
          </w:divBdr>
          <w:divsChild>
            <w:div w:id="1805192714">
              <w:marLeft w:val="0"/>
              <w:marRight w:val="0"/>
              <w:marTop w:val="0"/>
              <w:marBottom w:val="0"/>
              <w:divBdr>
                <w:top w:val="none" w:sz="0" w:space="0" w:color="auto"/>
                <w:left w:val="none" w:sz="0" w:space="0" w:color="auto"/>
                <w:bottom w:val="none" w:sz="0" w:space="0" w:color="auto"/>
                <w:right w:val="none" w:sz="0" w:space="0" w:color="auto"/>
              </w:divBdr>
            </w:div>
          </w:divsChild>
        </w:div>
        <w:div w:id="832910102">
          <w:marLeft w:val="0"/>
          <w:marRight w:val="0"/>
          <w:marTop w:val="0"/>
          <w:marBottom w:val="0"/>
          <w:divBdr>
            <w:top w:val="none" w:sz="0" w:space="0" w:color="auto"/>
            <w:left w:val="none" w:sz="0" w:space="0" w:color="auto"/>
            <w:bottom w:val="none" w:sz="0" w:space="0" w:color="auto"/>
            <w:right w:val="none" w:sz="0" w:space="0" w:color="auto"/>
          </w:divBdr>
          <w:divsChild>
            <w:div w:id="66847458">
              <w:marLeft w:val="0"/>
              <w:marRight w:val="0"/>
              <w:marTop w:val="0"/>
              <w:marBottom w:val="0"/>
              <w:divBdr>
                <w:top w:val="none" w:sz="0" w:space="0" w:color="auto"/>
                <w:left w:val="none" w:sz="0" w:space="0" w:color="auto"/>
                <w:bottom w:val="none" w:sz="0" w:space="0" w:color="auto"/>
                <w:right w:val="none" w:sz="0" w:space="0" w:color="auto"/>
              </w:divBdr>
            </w:div>
          </w:divsChild>
        </w:div>
        <w:div w:id="891231342">
          <w:marLeft w:val="0"/>
          <w:marRight w:val="0"/>
          <w:marTop w:val="0"/>
          <w:marBottom w:val="0"/>
          <w:divBdr>
            <w:top w:val="none" w:sz="0" w:space="0" w:color="auto"/>
            <w:left w:val="none" w:sz="0" w:space="0" w:color="auto"/>
            <w:bottom w:val="none" w:sz="0" w:space="0" w:color="auto"/>
            <w:right w:val="none" w:sz="0" w:space="0" w:color="auto"/>
          </w:divBdr>
          <w:divsChild>
            <w:div w:id="1014958462">
              <w:marLeft w:val="0"/>
              <w:marRight w:val="0"/>
              <w:marTop w:val="0"/>
              <w:marBottom w:val="0"/>
              <w:divBdr>
                <w:top w:val="none" w:sz="0" w:space="0" w:color="auto"/>
                <w:left w:val="none" w:sz="0" w:space="0" w:color="auto"/>
                <w:bottom w:val="none" w:sz="0" w:space="0" w:color="auto"/>
                <w:right w:val="none" w:sz="0" w:space="0" w:color="auto"/>
              </w:divBdr>
            </w:div>
          </w:divsChild>
        </w:div>
        <w:div w:id="1057776141">
          <w:marLeft w:val="0"/>
          <w:marRight w:val="0"/>
          <w:marTop w:val="0"/>
          <w:marBottom w:val="0"/>
          <w:divBdr>
            <w:top w:val="none" w:sz="0" w:space="0" w:color="auto"/>
            <w:left w:val="none" w:sz="0" w:space="0" w:color="auto"/>
            <w:bottom w:val="none" w:sz="0" w:space="0" w:color="auto"/>
            <w:right w:val="none" w:sz="0" w:space="0" w:color="auto"/>
          </w:divBdr>
          <w:divsChild>
            <w:div w:id="1534420867">
              <w:marLeft w:val="0"/>
              <w:marRight w:val="0"/>
              <w:marTop w:val="0"/>
              <w:marBottom w:val="0"/>
              <w:divBdr>
                <w:top w:val="none" w:sz="0" w:space="0" w:color="auto"/>
                <w:left w:val="none" w:sz="0" w:space="0" w:color="auto"/>
                <w:bottom w:val="none" w:sz="0" w:space="0" w:color="auto"/>
                <w:right w:val="none" w:sz="0" w:space="0" w:color="auto"/>
              </w:divBdr>
            </w:div>
          </w:divsChild>
        </w:div>
        <w:div w:id="1123811368">
          <w:marLeft w:val="0"/>
          <w:marRight w:val="0"/>
          <w:marTop w:val="0"/>
          <w:marBottom w:val="0"/>
          <w:divBdr>
            <w:top w:val="none" w:sz="0" w:space="0" w:color="auto"/>
            <w:left w:val="none" w:sz="0" w:space="0" w:color="auto"/>
            <w:bottom w:val="none" w:sz="0" w:space="0" w:color="auto"/>
            <w:right w:val="none" w:sz="0" w:space="0" w:color="auto"/>
          </w:divBdr>
          <w:divsChild>
            <w:div w:id="662777013">
              <w:marLeft w:val="0"/>
              <w:marRight w:val="0"/>
              <w:marTop w:val="0"/>
              <w:marBottom w:val="0"/>
              <w:divBdr>
                <w:top w:val="none" w:sz="0" w:space="0" w:color="auto"/>
                <w:left w:val="none" w:sz="0" w:space="0" w:color="auto"/>
                <w:bottom w:val="none" w:sz="0" w:space="0" w:color="auto"/>
                <w:right w:val="none" w:sz="0" w:space="0" w:color="auto"/>
              </w:divBdr>
            </w:div>
          </w:divsChild>
        </w:div>
        <w:div w:id="1134249747">
          <w:marLeft w:val="0"/>
          <w:marRight w:val="0"/>
          <w:marTop w:val="0"/>
          <w:marBottom w:val="0"/>
          <w:divBdr>
            <w:top w:val="none" w:sz="0" w:space="0" w:color="auto"/>
            <w:left w:val="none" w:sz="0" w:space="0" w:color="auto"/>
            <w:bottom w:val="none" w:sz="0" w:space="0" w:color="auto"/>
            <w:right w:val="none" w:sz="0" w:space="0" w:color="auto"/>
          </w:divBdr>
          <w:divsChild>
            <w:div w:id="1072779902">
              <w:marLeft w:val="0"/>
              <w:marRight w:val="0"/>
              <w:marTop w:val="0"/>
              <w:marBottom w:val="0"/>
              <w:divBdr>
                <w:top w:val="none" w:sz="0" w:space="0" w:color="auto"/>
                <w:left w:val="none" w:sz="0" w:space="0" w:color="auto"/>
                <w:bottom w:val="none" w:sz="0" w:space="0" w:color="auto"/>
                <w:right w:val="none" w:sz="0" w:space="0" w:color="auto"/>
              </w:divBdr>
            </w:div>
          </w:divsChild>
        </w:div>
        <w:div w:id="1213888560">
          <w:marLeft w:val="0"/>
          <w:marRight w:val="0"/>
          <w:marTop w:val="0"/>
          <w:marBottom w:val="0"/>
          <w:divBdr>
            <w:top w:val="none" w:sz="0" w:space="0" w:color="auto"/>
            <w:left w:val="none" w:sz="0" w:space="0" w:color="auto"/>
            <w:bottom w:val="none" w:sz="0" w:space="0" w:color="auto"/>
            <w:right w:val="none" w:sz="0" w:space="0" w:color="auto"/>
          </w:divBdr>
          <w:divsChild>
            <w:div w:id="95028026">
              <w:marLeft w:val="0"/>
              <w:marRight w:val="0"/>
              <w:marTop w:val="0"/>
              <w:marBottom w:val="0"/>
              <w:divBdr>
                <w:top w:val="none" w:sz="0" w:space="0" w:color="auto"/>
                <w:left w:val="none" w:sz="0" w:space="0" w:color="auto"/>
                <w:bottom w:val="none" w:sz="0" w:space="0" w:color="auto"/>
                <w:right w:val="none" w:sz="0" w:space="0" w:color="auto"/>
              </w:divBdr>
            </w:div>
          </w:divsChild>
        </w:div>
        <w:div w:id="1409889169">
          <w:marLeft w:val="0"/>
          <w:marRight w:val="0"/>
          <w:marTop w:val="0"/>
          <w:marBottom w:val="0"/>
          <w:divBdr>
            <w:top w:val="none" w:sz="0" w:space="0" w:color="auto"/>
            <w:left w:val="none" w:sz="0" w:space="0" w:color="auto"/>
            <w:bottom w:val="none" w:sz="0" w:space="0" w:color="auto"/>
            <w:right w:val="none" w:sz="0" w:space="0" w:color="auto"/>
          </w:divBdr>
          <w:divsChild>
            <w:div w:id="1351761403">
              <w:marLeft w:val="0"/>
              <w:marRight w:val="0"/>
              <w:marTop w:val="0"/>
              <w:marBottom w:val="0"/>
              <w:divBdr>
                <w:top w:val="none" w:sz="0" w:space="0" w:color="auto"/>
                <w:left w:val="none" w:sz="0" w:space="0" w:color="auto"/>
                <w:bottom w:val="none" w:sz="0" w:space="0" w:color="auto"/>
                <w:right w:val="none" w:sz="0" w:space="0" w:color="auto"/>
              </w:divBdr>
            </w:div>
          </w:divsChild>
        </w:div>
        <w:div w:id="1460412322">
          <w:marLeft w:val="0"/>
          <w:marRight w:val="0"/>
          <w:marTop w:val="0"/>
          <w:marBottom w:val="0"/>
          <w:divBdr>
            <w:top w:val="none" w:sz="0" w:space="0" w:color="auto"/>
            <w:left w:val="none" w:sz="0" w:space="0" w:color="auto"/>
            <w:bottom w:val="none" w:sz="0" w:space="0" w:color="auto"/>
            <w:right w:val="none" w:sz="0" w:space="0" w:color="auto"/>
          </w:divBdr>
          <w:divsChild>
            <w:div w:id="1871335158">
              <w:marLeft w:val="0"/>
              <w:marRight w:val="0"/>
              <w:marTop w:val="0"/>
              <w:marBottom w:val="0"/>
              <w:divBdr>
                <w:top w:val="none" w:sz="0" w:space="0" w:color="auto"/>
                <w:left w:val="none" w:sz="0" w:space="0" w:color="auto"/>
                <w:bottom w:val="none" w:sz="0" w:space="0" w:color="auto"/>
                <w:right w:val="none" w:sz="0" w:space="0" w:color="auto"/>
              </w:divBdr>
            </w:div>
          </w:divsChild>
        </w:div>
        <w:div w:id="1502041569">
          <w:marLeft w:val="0"/>
          <w:marRight w:val="0"/>
          <w:marTop w:val="0"/>
          <w:marBottom w:val="0"/>
          <w:divBdr>
            <w:top w:val="none" w:sz="0" w:space="0" w:color="auto"/>
            <w:left w:val="none" w:sz="0" w:space="0" w:color="auto"/>
            <w:bottom w:val="none" w:sz="0" w:space="0" w:color="auto"/>
            <w:right w:val="none" w:sz="0" w:space="0" w:color="auto"/>
          </w:divBdr>
          <w:divsChild>
            <w:div w:id="2004814981">
              <w:marLeft w:val="0"/>
              <w:marRight w:val="0"/>
              <w:marTop w:val="0"/>
              <w:marBottom w:val="0"/>
              <w:divBdr>
                <w:top w:val="none" w:sz="0" w:space="0" w:color="auto"/>
                <w:left w:val="none" w:sz="0" w:space="0" w:color="auto"/>
                <w:bottom w:val="none" w:sz="0" w:space="0" w:color="auto"/>
                <w:right w:val="none" w:sz="0" w:space="0" w:color="auto"/>
              </w:divBdr>
            </w:div>
          </w:divsChild>
        </w:div>
        <w:div w:id="1752585428">
          <w:marLeft w:val="0"/>
          <w:marRight w:val="0"/>
          <w:marTop w:val="0"/>
          <w:marBottom w:val="0"/>
          <w:divBdr>
            <w:top w:val="none" w:sz="0" w:space="0" w:color="auto"/>
            <w:left w:val="none" w:sz="0" w:space="0" w:color="auto"/>
            <w:bottom w:val="none" w:sz="0" w:space="0" w:color="auto"/>
            <w:right w:val="none" w:sz="0" w:space="0" w:color="auto"/>
          </w:divBdr>
          <w:divsChild>
            <w:div w:id="1301380765">
              <w:marLeft w:val="0"/>
              <w:marRight w:val="0"/>
              <w:marTop w:val="0"/>
              <w:marBottom w:val="0"/>
              <w:divBdr>
                <w:top w:val="none" w:sz="0" w:space="0" w:color="auto"/>
                <w:left w:val="none" w:sz="0" w:space="0" w:color="auto"/>
                <w:bottom w:val="none" w:sz="0" w:space="0" w:color="auto"/>
                <w:right w:val="none" w:sz="0" w:space="0" w:color="auto"/>
              </w:divBdr>
            </w:div>
          </w:divsChild>
        </w:div>
        <w:div w:id="1798522103">
          <w:marLeft w:val="0"/>
          <w:marRight w:val="0"/>
          <w:marTop w:val="0"/>
          <w:marBottom w:val="0"/>
          <w:divBdr>
            <w:top w:val="none" w:sz="0" w:space="0" w:color="auto"/>
            <w:left w:val="none" w:sz="0" w:space="0" w:color="auto"/>
            <w:bottom w:val="none" w:sz="0" w:space="0" w:color="auto"/>
            <w:right w:val="none" w:sz="0" w:space="0" w:color="auto"/>
          </w:divBdr>
          <w:divsChild>
            <w:div w:id="444203708">
              <w:marLeft w:val="0"/>
              <w:marRight w:val="0"/>
              <w:marTop w:val="0"/>
              <w:marBottom w:val="0"/>
              <w:divBdr>
                <w:top w:val="none" w:sz="0" w:space="0" w:color="auto"/>
                <w:left w:val="none" w:sz="0" w:space="0" w:color="auto"/>
                <w:bottom w:val="none" w:sz="0" w:space="0" w:color="auto"/>
                <w:right w:val="none" w:sz="0" w:space="0" w:color="auto"/>
              </w:divBdr>
            </w:div>
          </w:divsChild>
        </w:div>
        <w:div w:id="1899589302">
          <w:marLeft w:val="0"/>
          <w:marRight w:val="0"/>
          <w:marTop w:val="0"/>
          <w:marBottom w:val="0"/>
          <w:divBdr>
            <w:top w:val="none" w:sz="0" w:space="0" w:color="auto"/>
            <w:left w:val="none" w:sz="0" w:space="0" w:color="auto"/>
            <w:bottom w:val="none" w:sz="0" w:space="0" w:color="auto"/>
            <w:right w:val="none" w:sz="0" w:space="0" w:color="auto"/>
          </w:divBdr>
          <w:divsChild>
            <w:div w:id="1896352368">
              <w:marLeft w:val="0"/>
              <w:marRight w:val="0"/>
              <w:marTop w:val="0"/>
              <w:marBottom w:val="0"/>
              <w:divBdr>
                <w:top w:val="none" w:sz="0" w:space="0" w:color="auto"/>
                <w:left w:val="none" w:sz="0" w:space="0" w:color="auto"/>
                <w:bottom w:val="none" w:sz="0" w:space="0" w:color="auto"/>
                <w:right w:val="none" w:sz="0" w:space="0" w:color="auto"/>
              </w:divBdr>
            </w:div>
          </w:divsChild>
        </w:div>
        <w:div w:id="2052997995">
          <w:marLeft w:val="0"/>
          <w:marRight w:val="0"/>
          <w:marTop w:val="0"/>
          <w:marBottom w:val="0"/>
          <w:divBdr>
            <w:top w:val="none" w:sz="0" w:space="0" w:color="auto"/>
            <w:left w:val="none" w:sz="0" w:space="0" w:color="auto"/>
            <w:bottom w:val="none" w:sz="0" w:space="0" w:color="auto"/>
            <w:right w:val="none" w:sz="0" w:space="0" w:color="auto"/>
          </w:divBdr>
          <w:divsChild>
            <w:div w:id="1208489842">
              <w:marLeft w:val="0"/>
              <w:marRight w:val="0"/>
              <w:marTop w:val="0"/>
              <w:marBottom w:val="0"/>
              <w:divBdr>
                <w:top w:val="none" w:sz="0" w:space="0" w:color="auto"/>
                <w:left w:val="none" w:sz="0" w:space="0" w:color="auto"/>
                <w:bottom w:val="none" w:sz="0" w:space="0" w:color="auto"/>
                <w:right w:val="none" w:sz="0" w:space="0" w:color="auto"/>
              </w:divBdr>
            </w:div>
          </w:divsChild>
        </w:div>
        <w:div w:id="2129396989">
          <w:marLeft w:val="0"/>
          <w:marRight w:val="0"/>
          <w:marTop w:val="0"/>
          <w:marBottom w:val="0"/>
          <w:divBdr>
            <w:top w:val="none" w:sz="0" w:space="0" w:color="auto"/>
            <w:left w:val="none" w:sz="0" w:space="0" w:color="auto"/>
            <w:bottom w:val="none" w:sz="0" w:space="0" w:color="auto"/>
            <w:right w:val="none" w:sz="0" w:space="0" w:color="auto"/>
          </w:divBdr>
          <w:divsChild>
            <w:div w:id="5061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8288">
      <w:bodyDiv w:val="1"/>
      <w:marLeft w:val="0"/>
      <w:marRight w:val="0"/>
      <w:marTop w:val="0"/>
      <w:marBottom w:val="0"/>
      <w:divBdr>
        <w:top w:val="none" w:sz="0" w:space="0" w:color="auto"/>
        <w:left w:val="none" w:sz="0" w:space="0" w:color="auto"/>
        <w:bottom w:val="none" w:sz="0" w:space="0" w:color="auto"/>
        <w:right w:val="none" w:sz="0" w:space="0" w:color="auto"/>
      </w:divBdr>
      <w:divsChild>
        <w:div w:id="555511779">
          <w:marLeft w:val="0"/>
          <w:marRight w:val="0"/>
          <w:marTop w:val="0"/>
          <w:marBottom w:val="0"/>
          <w:divBdr>
            <w:top w:val="none" w:sz="0" w:space="0" w:color="auto"/>
            <w:left w:val="none" w:sz="0" w:space="0" w:color="auto"/>
            <w:bottom w:val="none" w:sz="0" w:space="0" w:color="auto"/>
            <w:right w:val="none" w:sz="0" w:space="0" w:color="auto"/>
          </w:divBdr>
        </w:div>
        <w:div w:id="978149820">
          <w:marLeft w:val="0"/>
          <w:marRight w:val="0"/>
          <w:marTop w:val="0"/>
          <w:marBottom w:val="0"/>
          <w:divBdr>
            <w:top w:val="none" w:sz="0" w:space="0" w:color="auto"/>
            <w:left w:val="none" w:sz="0" w:space="0" w:color="auto"/>
            <w:bottom w:val="none" w:sz="0" w:space="0" w:color="auto"/>
            <w:right w:val="none" w:sz="0" w:space="0" w:color="auto"/>
          </w:divBdr>
        </w:div>
        <w:div w:id="1898204050">
          <w:marLeft w:val="0"/>
          <w:marRight w:val="0"/>
          <w:marTop w:val="0"/>
          <w:marBottom w:val="0"/>
          <w:divBdr>
            <w:top w:val="none" w:sz="0" w:space="0" w:color="auto"/>
            <w:left w:val="none" w:sz="0" w:space="0" w:color="auto"/>
            <w:bottom w:val="none" w:sz="0" w:space="0" w:color="auto"/>
            <w:right w:val="none" w:sz="0" w:space="0" w:color="auto"/>
          </w:divBdr>
        </w:div>
      </w:divsChild>
    </w:div>
    <w:div w:id="296841786">
      <w:bodyDiv w:val="1"/>
      <w:marLeft w:val="0"/>
      <w:marRight w:val="0"/>
      <w:marTop w:val="0"/>
      <w:marBottom w:val="0"/>
      <w:divBdr>
        <w:top w:val="none" w:sz="0" w:space="0" w:color="auto"/>
        <w:left w:val="none" w:sz="0" w:space="0" w:color="auto"/>
        <w:bottom w:val="none" w:sz="0" w:space="0" w:color="auto"/>
        <w:right w:val="none" w:sz="0" w:space="0" w:color="auto"/>
      </w:divBdr>
      <w:divsChild>
        <w:div w:id="19400963">
          <w:marLeft w:val="0"/>
          <w:marRight w:val="0"/>
          <w:marTop w:val="0"/>
          <w:marBottom w:val="0"/>
          <w:divBdr>
            <w:top w:val="none" w:sz="0" w:space="0" w:color="auto"/>
            <w:left w:val="none" w:sz="0" w:space="0" w:color="auto"/>
            <w:bottom w:val="none" w:sz="0" w:space="0" w:color="auto"/>
            <w:right w:val="none" w:sz="0" w:space="0" w:color="auto"/>
          </w:divBdr>
        </w:div>
        <w:div w:id="28993696">
          <w:marLeft w:val="0"/>
          <w:marRight w:val="0"/>
          <w:marTop w:val="0"/>
          <w:marBottom w:val="0"/>
          <w:divBdr>
            <w:top w:val="none" w:sz="0" w:space="0" w:color="auto"/>
            <w:left w:val="none" w:sz="0" w:space="0" w:color="auto"/>
            <w:bottom w:val="none" w:sz="0" w:space="0" w:color="auto"/>
            <w:right w:val="none" w:sz="0" w:space="0" w:color="auto"/>
          </w:divBdr>
        </w:div>
        <w:div w:id="104422719">
          <w:marLeft w:val="0"/>
          <w:marRight w:val="0"/>
          <w:marTop w:val="0"/>
          <w:marBottom w:val="0"/>
          <w:divBdr>
            <w:top w:val="none" w:sz="0" w:space="0" w:color="auto"/>
            <w:left w:val="none" w:sz="0" w:space="0" w:color="auto"/>
            <w:bottom w:val="none" w:sz="0" w:space="0" w:color="auto"/>
            <w:right w:val="none" w:sz="0" w:space="0" w:color="auto"/>
          </w:divBdr>
        </w:div>
        <w:div w:id="122162830">
          <w:marLeft w:val="0"/>
          <w:marRight w:val="0"/>
          <w:marTop w:val="0"/>
          <w:marBottom w:val="0"/>
          <w:divBdr>
            <w:top w:val="none" w:sz="0" w:space="0" w:color="auto"/>
            <w:left w:val="none" w:sz="0" w:space="0" w:color="auto"/>
            <w:bottom w:val="none" w:sz="0" w:space="0" w:color="auto"/>
            <w:right w:val="none" w:sz="0" w:space="0" w:color="auto"/>
          </w:divBdr>
          <w:divsChild>
            <w:div w:id="1076440728">
              <w:marLeft w:val="-75"/>
              <w:marRight w:val="0"/>
              <w:marTop w:val="30"/>
              <w:marBottom w:val="30"/>
              <w:divBdr>
                <w:top w:val="none" w:sz="0" w:space="0" w:color="auto"/>
                <w:left w:val="none" w:sz="0" w:space="0" w:color="auto"/>
                <w:bottom w:val="none" w:sz="0" w:space="0" w:color="auto"/>
                <w:right w:val="none" w:sz="0" w:space="0" w:color="auto"/>
              </w:divBdr>
              <w:divsChild>
                <w:div w:id="65884098">
                  <w:marLeft w:val="0"/>
                  <w:marRight w:val="0"/>
                  <w:marTop w:val="0"/>
                  <w:marBottom w:val="0"/>
                  <w:divBdr>
                    <w:top w:val="none" w:sz="0" w:space="0" w:color="auto"/>
                    <w:left w:val="none" w:sz="0" w:space="0" w:color="auto"/>
                    <w:bottom w:val="none" w:sz="0" w:space="0" w:color="auto"/>
                    <w:right w:val="none" w:sz="0" w:space="0" w:color="auto"/>
                  </w:divBdr>
                  <w:divsChild>
                    <w:div w:id="947811066">
                      <w:marLeft w:val="0"/>
                      <w:marRight w:val="0"/>
                      <w:marTop w:val="0"/>
                      <w:marBottom w:val="0"/>
                      <w:divBdr>
                        <w:top w:val="none" w:sz="0" w:space="0" w:color="auto"/>
                        <w:left w:val="none" w:sz="0" w:space="0" w:color="auto"/>
                        <w:bottom w:val="none" w:sz="0" w:space="0" w:color="auto"/>
                        <w:right w:val="none" w:sz="0" w:space="0" w:color="auto"/>
                      </w:divBdr>
                    </w:div>
                  </w:divsChild>
                </w:div>
                <w:div w:id="114370212">
                  <w:marLeft w:val="0"/>
                  <w:marRight w:val="0"/>
                  <w:marTop w:val="0"/>
                  <w:marBottom w:val="0"/>
                  <w:divBdr>
                    <w:top w:val="none" w:sz="0" w:space="0" w:color="auto"/>
                    <w:left w:val="none" w:sz="0" w:space="0" w:color="auto"/>
                    <w:bottom w:val="none" w:sz="0" w:space="0" w:color="auto"/>
                    <w:right w:val="none" w:sz="0" w:space="0" w:color="auto"/>
                  </w:divBdr>
                  <w:divsChild>
                    <w:div w:id="1776174619">
                      <w:marLeft w:val="0"/>
                      <w:marRight w:val="0"/>
                      <w:marTop w:val="0"/>
                      <w:marBottom w:val="0"/>
                      <w:divBdr>
                        <w:top w:val="none" w:sz="0" w:space="0" w:color="auto"/>
                        <w:left w:val="none" w:sz="0" w:space="0" w:color="auto"/>
                        <w:bottom w:val="none" w:sz="0" w:space="0" w:color="auto"/>
                        <w:right w:val="none" w:sz="0" w:space="0" w:color="auto"/>
                      </w:divBdr>
                    </w:div>
                  </w:divsChild>
                </w:div>
                <w:div w:id="186335157">
                  <w:marLeft w:val="0"/>
                  <w:marRight w:val="0"/>
                  <w:marTop w:val="0"/>
                  <w:marBottom w:val="0"/>
                  <w:divBdr>
                    <w:top w:val="none" w:sz="0" w:space="0" w:color="auto"/>
                    <w:left w:val="none" w:sz="0" w:space="0" w:color="auto"/>
                    <w:bottom w:val="none" w:sz="0" w:space="0" w:color="auto"/>
                    <w:right w:val="none" w:sz="0" w:space="0" w:color="auto"/>
                  </w:divBdr>
                  <w:divsChild>
                    <w:div w:id="1076904911">
                      <w:marLeft w:val="0"/>
                      <w:marRight w:val="0"/>
                      <w:marTop w:val="0"/>
                      <w:marBottom w:val="0"/>
                      <w:divBdr>
                        <w:top w:val="none" w:sz="0" w:space="0" w:color="auto"/>
                        <w:left w:val="none" w:sz="0" w:space="0" w:color="auto"/>
                        <w:bottom w:val="none" w:sz="0" w:space="0" w:color="auto"/>
                        <w:right w:val="none" w:sz="0" w:space="0" w:color="auto"/>
                      </w:divBdr>
                    </w:div>
                  </w:divsChild>
                </w:div>
                <w:div w:id="186530930">
                  <w:marLeft w:val="0"/>
                  <w:marRight w:val="0"/>
                  <w:marTop w:val="0"/>
                  <w:marBottom w:val="0"/>
                  <w:divBdr>
                    <w:top w:val="none" w:sz="0" w:space="0" w:color="auto"/>
                    <w:left w:val="none" w:sz="0" w:space="0" w:color="auto"/>
                    <w:bottom w:val="none" w:sz="0" w:space="0" w:color="auto"/>
                    <w:right w:val="none" w:sz="0" w:space="0" w:color="auto"/>
                  </w:divBdr>
                  <w:divsChild>
                    <w:div w:id="764423298">
                      <w:marLeft w:val="0"/>
                      <w:marRight w:val="0"/>
                      <w:marTop w:val="0"/>
                      <w:marBottom w:val="0"/>
                      <w:divBdr>
                        <w:top w:val="none" w:sz="0" w:space="0" w:color="auto"/>
                        <w:left w:val="none" w:sz="0" w:space="0" w:color="auto"/>
                        <w:bottom w:val="none" w:sz="0" w:space="0" w:color="auto"/>
                        <w:right w:val="none" w:sz="0" w:space="0" w:color="auto"/>
                      </w:divBdr>
                    </w:div>
                  </w:divsChild>
                </w:div>
                <w:div w:id="226111315">
                  <w:marLeft w:val="0"/>
                  <w:marRight w:val="0"/>
                  <w:marTop w:val="0"/>
                  <w:marBottom w:val="0"/>
                  <w:divBdr>
                    <w:top w:val="none" w:sz="0" w:space="0" w:color="auto"/>
                    <w:left w:val="none" w:sz="0" w:space="0" w:color="auto"/>
                    <w:bottom w:val="none" w:sz="0" w:space="0" w:color="auto"/>
                    <w:right w:val="none" w:sz="0" w:space="0" w:color="auto"/>
                  </w:divBdr>
                  <w:divsChild>
                    <w:div w:id="130901193">
                      <w:marLeft w:val="0"/>
                      <w:marRight w:val="0"/>
                      <w:marTop w:val="0"/>
                      <w:marBottom w:val="0"/>
                      <w:divBdr>
                        <w:top w:val="none" w:sz="0" w:space="0" w:color="auto"/>
                        <w:left w:val="none" w:sz="0" w:space="0" w:color="auto"/>
                        <w:bottom w:val="none" w:sz="0" w:space="0" w:color="auto"/>
                        <w:right w:val="none" w:sz="0" w:space="0" w:color="auto"/>
                      </w:divBdr>
                    </w:div>
                  </w:divsChild>
                </w:div>
                <w:div w:id="354422628">
                  <w:marLeft w:val="0"/>
                  <w:marRight w:val="0"/>
                  <w:marTop w:val="0"/>
                  <w:marBottom w:val="0"/>
                  <w:divBdr>
                    <w:top w:val="none" w:sz="0" w:space="0" w:color="auto"/>
                    <w:left w:val="none" w:sz="0" w:space="0" w:color="auto"/>
                    <w:bottom w:val="none" w:sz="0" w:space="0" w:color="auto"/>
                    <w:right w:val="none" w:sz="0" w:space="0" w:color="auto"/>
                  </w:divBdr>
                  <w:divsChild>
                    <w:div w:id="1592811741">
                      <w:marLeft w:val="0"/>
                      <w:marRight w:val="0"/>
                      <w:marTop w:val="0"/>
                      <w:marBottom w:val="0"/>
                      <w:divBdr>
                        <w:top w:val="none" w:sz="0" w:space="0" w:color="auto"/>
                        <w:left w:val="none" w:sz="0" w:space="0" w:color="auto"/>
                        <w:bottom w:val="none" w:sz="0" w:space="0" w:color="auto"/>
                        <w:right w:val="none" w:sz="0" w:space="0" w:color="auto"/>
                      </w:divBdr>
                    </w:div>
                  </w:divsChild>
                </w:div>
                <w:div w:id="409354776">
                  <w:marLeft w:val="0"/>
                  <w:marRight w:val="0"/>
                  <w:marTop w:val="0"/>
                  <w:marBottom w:val="0"/>
                  <w:divBdr>
                    <w:top w:val="none" w:sz="0" w:space="0" w:color="auto"/>
                    <w:left w:val="none" w:sz="0" w:space="0" w:color="auto"/>
                    <w:bottom w:val="none" w:sz="0" w:space="0" w:color="auto"/>
                    <w:right w:val="none" w:sz="0" w:space="0" w:color="auto"/>
                  </w:divBdr>
                  <w:divsChild>
                    <w:div w:id="1684437214">
                      <w:marLeft w:val="0"/>
                      <w:marRight w:val="0"/>
                      <w:marTop w:val="0"/>
                      <w:marBottom w:val="0"/>
                      <w:divBdr>
                        <w:top w:val="none" w:sz="0" w:space="0" w:color="auto"/>
                        <w:left w:val="none" w:sz="0" w:space="0" w:color="auto"/>
                        <w:bottom w:val="none" w:sz="0" w:space="0" w:color="auto"/>
                        <w:right w:val="none" w:sz="0" w:space="0" w:color="auto"/>
                      </w:divBdr>
                    </w:div>
                  </w:divsChild>
                </w:div>
                <w:div w:id="410124408">
                  <w:marLeft w:val="0"/>
                  <w:marRight w:val="0"/>
                  <w:marTop w:val="0"/>
                  <w:marBottom w:val="0"/>
                  <w:divBdr>
                    <w:top w:val="none" w:sz="0" w:space="0" w:color="auto"/>
                    <w:left w:val="none" w:sz="0" w:space="0" w:color="auto"/>
                    <w:bottom w:val="none" w:sz="0" w:space="0" w:color="auto"/>
                    <w:right w:val="none" w:sz="0" w:space="0" w:color="auto"/>
                  </w:divBdr>
                  <w:divsChild>
                    <w:div w:id="1299532913">
                      <w:marLeft w:val="0"/>
                      <w:marRight w:val="0"/>
                      <w:marTop w:val="0"/>
                      <w:marBottom w:val="0"/>
                      <w:divBdr>
                        <w:top w:val="none" w:sz="0" w:space="0" w:color="auto"/>
                        <w:left w:val="none" w:sz="0" w:space="0" w:color="auto"/>
                        <w:bottom w:val="none" w:sz="0" w:space="0" w:color="auto"/>
                        <w:right w:val="none" w:sz="0" w:space="0" w:color="auto"/>
                      </w:divBdr>
                    </w:div>
                  </w:divsChild>
                </w:div>
                <w:div w:id="504638996">
                  <w:marLeft w:val="0"/>
                  <w:marRight w:val="0"/>
                  <w:marTop w:val="0"/>
                  <w:marBottom w:val="0"/>
                  <w:divBdr>
                    <w:top w:val="none" w:sz="0" w:space="0" w:color="auto"/>
                    <w:left w:val="none" w:sz="0" w:space="0" w:color="auto"/>
                    <w:bottom w:val="none" w:sz="0" w:space="0" w:color="auto"/>
                    <w:right w:val="none" w:sz="0" w:space="0" w:color="auto"/>
                  </w:divBdr>
                  <w:divsChild>
                    <w:div w:id="805704139">
                      <w:marLeft w:val="0"/>
                      <w:marRight w:val="0"/>
                      <w:marTop w:val="0"/>
                      <w:marBottom w:val="0"/>
                      <w:divBdr>
                        <w:top w:val="none" w:sz="0" w:space="0" w:color="auto"/>
                        <w:left w:val="none" w:sz="0" w:space="0" w:color="auto"/>
                        <w:bottom w:val="none" w:sz="0" w:space="0" w:color="auto"/>
                        <w:right w:val="none" w:sz="0" w:space="0" w:color="auto"/>
                      </w:divBdr>
                    </w:div>
                  </w:divsChild>
                </w:div>
                <w:div w:id="548881800">
                  <w:marLeft w:val="0"/>
                  <w:marRight w:val="0"/>
                  <w:marTop w:val="0"/>
                  <w:marBottom w:val="0"/>
                  <w:divBdr>
                    <w:top w:val="none" w:sz="0" w:space="0" w:color="auto"/>
                    <w:left w:val="none" w:sz="0" w:space="0" w:color="auto"/>
                    <w:bottom w:val="none" w:sz="0" w:space="0" w:color="auto"/>
                    <w:right w:val="none" w:sz="0" w:space="0" w:color="auto"/>
                  </w:divBdr>
                  <w:divsChild>
                    <w:div w:id="669596940">
                      <w:marLeft w:val="0"/>
                      <w:marRight w:val="0"/>
                      <w:marTop w:val="0"/>
                      <w:marBottom w:val="0"/>
                      <w:divBdr>
                        <w:top w:val="none" w:sz="0" w:space="0" w:color="auto"/>
                        <w:left w:val="none" w:sz="0" w:space="0" w:color="auto"/>
                        <w:bottom w:val="none" w:sz="0" w:space="0" w:color="auto"/>
                        <w:right w:val="none" w:sz="0" w:space="0" w:color="auto"/>
                      </w:divBdr>
                    </w:div>
                  </w:divsChild>
                </w:div>
                <w:div w:id="770317486">
                  <w:marLeft w:val="0"/>
                  <w:marRight w:val="0"/>
                  <w:marTop w:val="0"/>
                  <w:marBottom w:val="0"/>
                  <w:divBdr>
                    <w:top w:val="none" w:sz="0" w:space="0" w:color="auto"/>
                    <w:left w:val="none" w:sz="0" w:space="0" w:color="auto"/>
                    <w:bottom w:val="none" w:sz="0" w:space="0" w:color="auto"/>
                    <w:right w:val="none" w:sz="0" w:space="0" w:color="auto"/>
                  </w:divBdr>
                  <w:divsChild>
                    <w:div w:id="279580167">
                      <w:marLeft w:val="0"/>
                      <w:marRight w:val="0"/>
                      <w:marTop w:val="0"/>
                      <w:marBottom w:val="0"/>
                      <w:divBdr>
                        <w:top w:val="none" w:sz="0" w:space="0" w:color="auto"/>
                        <w:left w:val="none" w:sz="0" w:space="0" w:color="auto"/>
                        <w:bottom w:val="none" w:sz="0" w:space="0" w:color="auto"/>
                        <w:right w:val="none" w:sz="0" w:space="0" w:color="auto"/>
                      </w:divBdr>
                    </w:div>
                  </w:divsChild>
                </w:div>
                <w:div w:id="775947440">
                  <w:marLeft w:val="0"/>
                  <w:marRight w:val="0"/>
                  <w:marTop w:val="0"/>
                  <w:marBottom w:val="0"/>
                  <w:divBdr>
                    <w:top w:val="none" w:sz="0" w:space="0" w:color="auto"/>
                    <w:left w:val="none" w:sz="0" w:space="0" w:color="auto"/>
                    <w:bottom w:val="none" w:sz="0" w:space="0" w:color="auto"/>
                    <w:right w:val="none" w:sz="0" w:space="0" w:color="auto"/>
                  </w:divBdr>
                  <w:divsChild>
                    <w:div w:id="1484470721">
                      <w:marLeft w:val="0"/>
                      <w:marRight w:val="0"/>
                      <w:marTop w:val="0"/>
                      <w:marBottom w:val="0"/>
                      <w:divBdr>
                        <w:top w:val="none" w:sz="0" w:space="0" w:color="auto"/>
                        <w:left w:val="none" w:sz="0" w:space="0" w:color="auto"/>
                        <w:bottom w:val="none" w:sz="0" w:space="0" w:color="auto"/>
                        <w:right w:val="none" w:sz="0" w:space="0" w:color="auto"/>
                      </w:divBdr>
                    </w:div>
                  </w:divsChild>
                </w:div>
                <w:div w:id="904679800">
                  <w:marLeft w:val="0"/>
                  <w:marRight w:val="0"/>
                  <w:marTop w:val="0"/>
                  <w:marBottom w:val="0"/>
                  <w:divBdr>
                    <w:top w:val="none" w:sz="0" w:space="0" w:color="auto"/>
                    <w:left w:val="none" w:sz="0" w:space="0" w:color="auto"/>
                    <w:bottom w:val="none" w:sz="0" w:space="0" w:color="auto"/>
                    <w:right w:val="none" w:sz="0" w:space="0" w:color="auto"/>
                  </w:divBdr>
                  <w:divsChild>
                    <w:div w:id="1866752775">
                      <w:marLeft w:val="0"/>
                      <w:marRight w:val="0"/>
                      <w:marTop w:val="0"/>
                      <w:marBottom w:val="0"/>
                      <w:divBdr>
                        <w:top w:val="none" w:sz="0" w:space="0" w:color="auto"/>
                        <w:left w:val="none" w:sz="0" w:space="0" w:color="auto"/>
                        <w:bottom w:val="none" w:sz="0" w:space="0" w:color="auto"/>
                        <w:right w:val="none" w:sz="0" w:space="0" w:color="auto"/>
                      </w:divBdr>
                    </w:div>
                  </w:divsChild>
                </w:div>
                <w:div w:id="990060664">
                  <w:marLeft w:val="0"/>
                  <w:marRight w:val="0"/>
                  <w:marTop w:val="0"/>
                  <w:marBottom w:val="0"/>
                  <w:divBdr>
                    <w:top w:val="none" w:sz="0" w:space="0" w:color="auto"/>
                    <w:left w:val="none" w:sz="0" w:space="0" w:color="auto"/>
                    <w:bottom w:val="none" w:sz="0" w:space="0" w:color="auto"/>
                    <w:right w:val="none" w:sz="0" w:space="0" w:color="auto"/>
                  </w:divBdr>
                  <w:divsChild>
                    <w:div w:id="1956280944">
                      <w:marLeft w:val="0"/>
                      <w:marRight w:val="0"/>
                      <w:marTop w:val="0"/>
                      <w:marBottom w:val="0"/>
                      <w:divBdr>
                        <w:top w:val="none" w:sz="0" w:space="0" w:color="auto"/>
                        <w:left w:val="none" w:sz="0" w:space="0" w:color="auto"/>
                        <w:bottom w:val="none" w:sz="0" w:space="0" w:color="auto"/>
                        <w:right w:val="none" w:sz="0" w:space="0" w:color="auto"/>
                      </w:divBdr>
                    </w:div>
                  </w:divsChild>
                </w:div>
                <w:div w:id="1247572969">
                  <w:marLeft w:val="0"/>
                  <w:marRight w:val="0"/>
                  <w:marTop w:val="0"/>
                  <w:marBottom w:val="0"/>
                  <w:divBdr>
                    <w:top w:val="none" w:sz="0" w:space="0" w:color="auto"/>
                    <w:left w:val="none" w:sz="0" w:space="0" w:color="auto"/>
                    <w:bottom w:val="none" w:sz="0" w:space="0" w:color="auto"/>
                    <w:right w:val="none" w:sz="0" w:space="0" w:color="auto"/>
                  </w:divBdr>
                  <w:divsChild>
                    <w:div w:id="719354977">
                      <w:marLeft w:val="0"/>
                      <w:marRight w:val="0"/>
                      <w:marTop w:val="0"/>
                      <w:marBottom w:val="0"/>
                      <w:divBdr>
                        <w:top w:val="none" w:sz="0" w:space="0" w:color="auto"/>
                        <w:left w:val="none" w:sz="0" w:space="0" w:color="auto"/>
                        <w:bottom w:val="none" w:sz="0" w:space="0" w:color="auto"/>
                        <w:right w:val="none" w:sz="0" w:space="0" w:color="auto"/>
                      </w:divBdr>
                    </w:div>
                  </w:divsChild>
                </w:div>
                <w:div w:id="1270309202">
                  <w:marLeft w:val="0"/>
                  <w:marRight w:val="0"/>
                  <w:marTop w:val="0"/>
                  <w:marBottom w:val="0"/>
                  <w:divBdr>
                    <w:top w:val="none" w:sz="0" w:space="0" w:color="auto"/>
                    <w:left w:val="none" w:sz="0" w:space="0" w:color="auto"/>
                    <w:bottom w:val="none" w:sz="0" w:space="0" w:color="auto"/>
                    <w:right w:val="none" w:sz="0" w:space="0" w:color="auto"/>
                  </w:divBdr>
                  <w:divsChild>
                    <w:div w:id="710880578">
                      <w:marLeft w:val="0"/>
                      <w:marRight w:val="0"/>
                      <w:marTop w:val="0"/>
                      <w:marBottom w:val="0"/>
                      <w:divBdr>
                        <w:top w:val="none" w:sz="0" w:space="0" w:color="auto"/>
                        <w:left w:val="none" w:sz="0" w:space="0" w:color="auto"/>
                        <w:bottom w:val="none" w:sz="0" w:space="0" w:color="auto"/>
                        <w:right w:val="none" w:sz="0" w:space="0" w:color="auto"/>
                      </w:divBdr>
                    </w:div>
                  </w:divsChild>
                </w:div>
                <w:div w:id="1321274538">
                  <w:marLeft w:val="0"/>
                  <w:marRight w:val="0"/>
                  <w:marTop w:val="0"/>
                  <w:marBottom w:val="0"/>
                  <w:divBdr>
                    <w:top w:val="none" w:sz="0" w:space="0" w:color="auto"/>
                    <w:left w:val="none" w:sz="0" w:space="0" w:color="auto"/>
                    <w:bottom w:val="none" w:sz="0" w:space="0" w:color="auto"/>
                    <w:right w:val="none" w:sz="0" w:space="0" w:color="auto"/>
                  </w:divBdr>
                  <w:divsChild>
                    <w:div w:id="417559112">
                      <w:marLeft w:val="0"/>
                      <w:marRight w:val="0"/>
                      <w:marTop w:val="0"/>
                      <w:marBottom w:val="0"/>
                      <w:divBdr>
                        <w:top w:val="none" w:sz="0" w:space="0" w:color="auto"/>
                        <w:left w:val="none" w:sz="0" w:space="0" w:color="auto"/>
                        <w:bottom w:val="none" w:sz="0" w:space="0" w:color="auto"/>
                        <w:right w:val="none" w:sz="0" w:space="0" w:color="auto"/>
                      </w:divBdr>
                    </w:div>
                  </w:divsChild>
                </w:div>
                <w:div w:id="1346784637">
                  <w:marLeft w:val="0"/>
                  <w:marRight w:val="0"/>
                  <w:marTop w:val="0"/>
                  <w:marBottom w:val="0"/>
                  <w:divBdr>
                    <w:top w:val="none" w:sz="0" w:space="0" w:color="auto"/>
                    <w:left w:val="none" w:sz="0" w:space="0" w:color="auto"/>
                    <w:bottom w:val="none" w:sz="0" w:space="0" w:color="auto"/>
                    <w:right w:val="none" w:sz="0" w:space="0" w:color="auto"/>
                  </w:divBdr>
                  <w:divsChild>
                    <w:div w:id="320694101">
                      <w:marLeft w:val="0"/>
                      <w:marRight w:val="0"/>
                      <w:marTop w:val="0"/>
                      <w:marBottom w:val="0"/>
                      <w:divBdr>
                        <w:top w:val="none" w:sz="0" w:space="0" w:color="auto"/>
                        <w:left w:val="none" w:sz="0" w:space="0" w:color="auto"/>
                        <w:bottom w:val="none" w:sz="0" w:space="0" w:color="auto"/>
                        <w:right w:val="none" w:sz="0" w:space="0" w:color="auto"/>
                      </w:divBdr>
                    </w:div>
                  </w:divsChild>
                </w:div>
                <w:div w:id="1370571642">
                  <w:marLeft w:val="0"/>
                  <w:marRight w:val="0"/>
                  <w:marTop w:val="0"/>
                  <w:marBottom w:val="0"/>
                  <w:divBdr>
                    <w:top w:val="none" w:sz="0" w:space="0" w:color="auto"/>
                    <w:left w:val="none" w:sz="0" w:space="0" w:color="auto"/>
                    <w:bottom w:val="none" w:sz="0" w:space="0" w:color="auto"/>
                    <w:right w:val="none" w:sz="0" w:space="0" w:color="auto"/>
                  </w:divBdr>
                  <w:divsChild>
                    <w:div w:id="1833719352">
                      <w:marLeft w:val="0"/>
                      <w:marRight w:val="0"/>
                      <w:marTop w:val="0"/>
                      <w:marBottom w:val="0"/>
                      <w:divBdr>
                        <w:top w:val="none" w:sz="0" w:space="0" w:color="auto"/>
                        <w:left w:val="none" w:sz="0" w:space="0" w:color="auto"/>
                        <w:bottom w:val="none" w:sz="0" w:space="0" w:color="auto"/>
                        <w:right w:val="none" w:sz="0" w:space="0" w:color="auto"/>
                      </w:divBdr>
                    </w:div>
                  </w:divsChild>
                </w:div>
                <w:div w:id="1608007535">
                  <w:marLeft w:val="0"/>
                  <w:marRight w:val="0"/>
                  <w:marTop w:val="0"/>
                  <w:marBottom w:val="0"/>
                  <w:divBdr>
                    <w:top w:val="none" w:sz="0" w:space="0" w:color="auto"/>
                    <w:left w:val="none" w:sz="0" w:space="0" w:color="auto"/>
                    <w:bottom w:val="none" w:sz="0" w:space="0" w:color="auto"/>
                    <w:right w:val="none" w:sz="0" w:space="0" w:color="auto"/>
                  </w:divBdr>
                  <w:divsChild>
                    <w:div w:id="1847747733">
                      <w:marLeft w:val="0"/>
                      <w:marRight w:val="0"/>
                      <w:marTop w:val="0"/>
                      <w:marBottom w:val="0"/>
                      <w:divBdr>
                        <w:top w:val="none" w:sz="0" w:space="0" w:color="auto"/>
                        <w:left w:val="none" w:sz="0" w:space="0" w:color="auto"/>
                        <w:bottom w:val="none" w:sz="0" w:space="0" w:color="auto"/>
                        <w:right w:val="none" w:sz="0" w:space="0" w:color="auto"/>
                      </w:divBdr>
                    </w:div>
                  </w:divsChild>
                </w:div>
                <w:div w:id="1936209161">
                  <w:marLeft w:val="0"/>
                  <w:marRight w:val="0"/>
                  <w:marTop w:val="0"/>
                  <w:marBottom w:val="0"/>
                  <w:divBdr>
                    <w:top w:val="none" w:sz="0" w:space="0" w:color="auto"/>
                    <w:left w:val="none" w:sz="0" w:space="0" w:color="auto"/>
                    <w:bottom w:val="none" w:sz="0" w:space="0" w:color="auto"/>
                    <w:right w:val="none" w:sz="0" w:space="0" w:color="auto"/>
                  </w:divBdr>
                  <w:divsChild>
                    <w:div w:id="5423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304108">
          <w:marLeft w:val="0"/>
          <w:marRight w:val="0"/>
          <w:marTop w:val="0"/>
          <w:marBottom w:val="0"/>
          <w:divBdr>
            <w:top w:val="none" w:sz="0" w:space="0" w:color="auto"/>
            <w:left w:val="none" w:sz="0" w:space="0" w:color="auto"/>
            <w:bottom w:val="none" w:sz="0" w:space="0" w:color="auto"/>
            <w:right w:val="none" w:sz="0" w:space="0" w:color="auto"/>
          </w:divBdr>
          <w:divsChild>
            <w:div w:id="633366911">
              <w:marLeft w:val="0"/>
              <w:marRight w:val="0"/>
              <w:marTop w:val="0"/>
              <w:marBottom w:val="0"/>
              <w:divBdr>
                <w:top w:val="none" w:sz="0" w:space="0" w:color="auto"/>
                <w:left w:val="none" w:sz="0" w:space="0" w:color="auto"/>
                <w:bottom w:val="none" w:sz="0" w:space="0" w:color="auto"/>
                <w:right w:val="none" w:sz="0" w:space="0" w:color="auto"/>
              </w:divBdr>
            </w:div>
            <w:div w:id="860388722">
              <w:marLeft w:val="0"/>
              <w:marRight w:val="0"/>
              <w:marTop w:val="0"/>
              <w:marBottom w:val="0"/>
              <w:divBdr>
                <w:top w:val="none" w:sz="0" w:space="0" w:color="auto"/>
                <w:left w:val="none" w:sz="0" w:space="0" w:color="auto"/>
                <w:bottom w:val="none" w:sz="0" w:space="0" w:color="auto"/>
                <w:right w:val="none" w:sz="0" w:space="0" w:color="auto"/>
              </w:divBdr>
            </w:div>
            <w:div w:id="1199120049">
              <w:marLeft w:val="0"/>
              <w:marRight w:val="0"/>
              <w:marTop w:val="0"/>
              <w:marBottom w:val="0"/>
              <w:divBdr>
                <w:top w:val="none" w:sz="0" w:space="0" w:color="auto"/>
                <w:left w:val="none" w:sz="0" w:space="0" w:color="auto"/>
                <w:bottom w:val="none" w:sz="0" w:space="0" w:color="auto"/>
                <w:right w:val="none" w:sz="0" w:space="0" w:color="auto"/>
              </w:divBdr>
            </w:div>
            <w:div w:id="1200363333">
              <w:marLeft w:val="0"/>
              <w:marRight w:val="0"/>
              <w:marTop w:val="0"/>
              <w:marBottom w:val="0"/>
              <w:divBdr>
                <w:top w:val="none" w:sz="0" w:space="0" w:color="auto"/>
                <w:left w:val="none" w:sz="0" w:space="0" w:color="auto"/>
                <w:bottom w:val="none" w:sz="0" w:space="0" w:color="auto"/>
                <w:right w:val="none" w:sz="0" w:space="0" w:color="auto"/>
              </w:divBdr>
            </w:div>
            <w:div w:id="1720591556">
              <w:marLeft w:val="0"/>
              <w:marRight w:val="0"/>
              <w:marTop w:val="0"/>
              <w:marBottom w:val="0"/>
              <w:divBdr>
                <w:top w:val="none" w:sz="0" w:space="0" w:color="auto"/>
                <w:left w:val="none" w:sz="0" w:space="0" w:color="auto"/>
                <w:bottom w:val="none" w:sz="0" w:space="0" w:color="auto"/>
                <w:right w:val="none" w:sz="0" w:space="0" w:color="auto"/>
              </w:divBdr>
            </w:div>
          </w:divsChild>
        </w:div>
        <w:div w:id="288977411">
          <w:marLeft w:val="0"/>
          <w:marRight w:val="0"/>
          <w:marTop w:val="0"/>
          <w:marBottom w:val="0"/>
          <w:divBdr>
            <w:top w:val="none" w:sz="0" w:space="0" w:color="auto"/>
            <w:left w:val="none" w:sz="0" w:space="0" w:color="auto"/>
            <w:bottom w:val="none" w:sz="0" w:space="0" w:color="auto"/>
            <w:right w:val="none" w:sz="0" w:space="0" w:color="auto"/>
          </w:divBdr>
          <w:divsChild>
            <w:div w:id="240797829">
              <w:marLeft w:val="0"/>
              <w:marRight w:val="0"/>
              <w:marTop w:val="0"/>
              <w:marBottom w:val="0"/>
              <w:divBdr>
                <w:top w:val="none" w:sz="0" w:space="0" w:color="auto"/>
                <w:left w:val="none" w:sz="0" w:space="0" w:color="auto"/>
                <w:bottom w:val="none" w:sz="0" w:space="0" w:color="auto"/>
                <w:right w:val="none" w:sz="0" w:space="0" w:color="auto"/>
              </w:divBdr>
            </w:div>
            <w:div w:id="282342973">
              <w:marLeft w:val="0"/>
              <w:marRight w:val="0"/>
              <w:marTop w:val="0"/>
              <w:marBottom w:val="0"/>
              <w:divBdr>
                <w:top w:val="none" w:sz="0" w:space="0" w:color="auto"/>
                <w:left w:val="none" w:sz="0" w:space="0" w:color="auto"/>
                <w:bottom w:val="none" w:sz="0" w:space="0" w:color="auto"/>
                <w:right w:val="none" w:sz="0" w:space="0" w:color="auto"/>
              </w:divBdr>
            </w:div>
            <w:div w:id="619074562">
              <w:marLeft w:val="0"/>
              <w:marRight w:val="0"/>
              <w:marTop w:val="0"/>
              <w:marBottom w:val="0"/>
              <w:divBdr>
                <w:top w:val="none" w:sz="0" w:space="0" w:color="auto"/>
                <w:left w:val="none" w:sz="0" w:space="0" w:color="auto"/>
                <w:bottom w:val="none" w:sz="0" w:space="0" w:color="auto"/>
                <w:right w:val="none" w:sz="0" w:space="0" w:color="auto"/>
              </w:divBdr>
            </w:div>
            <w:div w:id="620575072">
              <w:marLeft w:val="0"/>
              <w:marRight w:val="0"/>
              <w:marTop w:val="0"/>
              <w:marBottom w:val="0"/>
              <w:divBdr>
                <w:top w:val="none" w:sz="0" w:space="0" w:color="auto"/>
                <w:left w:val="none" w:sz="0" w:space="0" w:color="auto"/>
                <w:bottom w:val="none" w:sz="0" w:space="0" w:color="auto"/>
                <w:right w:val="none" w:sz="0" w:space="0" w:color="auto"/>
              </w:divBdr>
            </w:div>
            <w:div w:id="766385368">
              <w:marLeft w:val="0"/>
              <w:marRight w:val="0"/>
              <w:marTop w:val="0"/>
              <w:marBottom w:val="0"/>
              <w:divBdr>
                <w:top w:val="none" w:sz="0" w:space="0" w:color="auto"/>
                <w:left w:val="none" w:sz="0" w:space="0" w:color="auto"/>
                <w:bottom w:val="none" w:sz="0" w:space="0" w:color="auto"/>
                <w:right w:val="none" w:sz="0" w:space="0" w:color="auto"/>
              </w:divBdr>
            </w:div>
            <w:div w:id="823663060">
              <w:marLeft w:val="0"/>
              <w:marRight w:val="0"/>
              <w:marTop w:val="0"/>
              <w:marBottom w:val="0"/>
              <w:divBdr>
                <w:top w:val="none" w:sz="0" w:space="0" w:color="auto"/>
                <w:left w:val="none" w:sz="0" w:space="0" w:color="auto"/>
                <w:bottom w:val="none" w:sz="0" w:space="0" w:color="auto"/>
                <w:right w:val="none" w:sz="0" w:space="0" w:color="auto"/>
              </w:divBdr>
            </w:div>
            <w:div w:id="906956315">
              <w:marLeft w:val="0"/>
              <w:marRight w:val="0"/>
              <w:marTop w:val="0"/>
              <w:marBottom w:val="0"/>
              <w:divBdr>
                <w:top w:val="none" w:sz="0" w:space="0" w:color="auto"/>
                <w:left w:val="none" w:sz="0" w:space="0" w:color="auto"/>
                <w:bottom w:val="none" w:sz="0" w:space="0" w:color="auto"/>
                <w:right w:val="none" w:sz="0" w:space="0" w:color="auto"/>
              </w:divBdr>
            </w:div>
            <w:div w:id="999114205">
              <w:marLeft w:val="0"/>
              <w:marRight w:val="0"/>
              <w:marTop w:val="0"/>
              <w:marBottom w:val="0"/>
              <w:divBdr>
                <w:top w:val="none" w:sz="0" w:space="0" w:color="auto"/>
                <w:left w:val="none" w:sz="0" w:space="0" w:color="auto"/>
                <w:bottom w:val="none" w:sz="0" w:space="0" w:color="auto"/>
                <w:right w:val="none" w:sz="0" w:space="0" w:color="auto"/>
              </w:divBdr>
            </w:div>
            <w:div w:id="1051268998">
              <w:marLeft w:val="0"/>
              <w:marRight w:val="0"/>
              <w:marTop w:val="0"/>
              <w:marBottom w:val="0"/>
              <w:divBdr>
                <w:top w:val="none" w:sz="0" w:space="0" w:color="auto"/>
                <w:left w:val="none" w:sz="0" w:space="0" w:color="auto"/>
                <w:bottom w:val="none" w:sz="0" w:space="0" w:color="auto"/>
                <w:right w:val="none" w:sz="0" w:space="0" w:color="auto"/>
              </w:divBdr>
            </w:div>
            <w:div w:id="1176771149">
              <w:marLeft w:val="0"/>
              <w:marRight w:val="0"/>
              <w:marTop w:val="0"/>
              <w:marBottom w:val="0"/>
              <w:divBdr>
                <w:top w:val="none" w:sz="0" w:space="0" w:color="auto"/>
                <w:left w:val="none" w:sz="0" w:space="0" w:color="auto"/>
                <w:bottom w:val="none" w:sz="0" w:space="0" w:color="auto"/>
                <w:right w:val="none" w:sz="0" w:space="0" w:color="auto"/>
              </w:divBdr>
            </w:div>
            <w:div w:id="1227567324">
              <w:marLeft w:val="0"/>
              <w:marRight w:val="0"/>
              <w:marTop w:val="0"/>
              <w:marBottom w:val="0"/>
              <w:divBdr>
                <w:top w:val="none" w:sz="0" w:space="0" w:color="auto"/>
                <w:left w:val="none" w:sz="0" w:space="0" w:color="auto"/>
                <w:bottom w:val="none" w:sz="0" w:space="0" w:color="auto"/>
                <w:right w:val="none" w:sz="0" w:space="0" w:color="auto"/>
              </w:divBdr>
            </w:div>
            <w:div w:id="1332947005">
              <w:marLeft w:val="0"/>
              <w:marRight w:val="0"/>
              <w:marTop w:val="0"/>
              <w:marBottom w:val="0"/>
              <w:divBdr>
                <w:top w:val="none" w:sz="0" w:space="0" w:color="auto"/>
                <w:left w:val="none" w:sz="0" w:space="0" w:color="auto"/>
                <w:bottom w:val="none" w:sz="0" w:space="0" w:color="auto"/>
                <w:right w:val="none" w:sz="0" w:space="0" w:color="auto"/>
              </w:divBdr>
            </w:div>
            <w:div w:id="1498689778">
              <w:marLeft w:val="0"/>
              <w:marRight w:val="0"/>
              <w:marTop w:val="0"/>
              <w:marBottom w:val="0"/>
              <w:divBdr>
                <w:top w:val="none" w:sz="0" w:space="0" w:color="auto"/>
                <w:left w:val="none" w:sz="0" w:space="0" w:color="auto"/>
                <w:bottom w:val="none" w:sz="0" w:space="0" w:color="auto"/>
                <w:right w:val="none" w:sz="0" w:space="0" w:color="auto"/>
              </w:divBdr>
            </w:div>
            <w:div w:id="1550994368">
              <w:marLeft w:val="0"/>
              <w:marRight w:val="0"/>
              <w:marTop w:val="0"/>
              <w:marBottom w:val="0"/>
              <w:divBdr>
                <w:top w:val="none" w:sz="0" w:space="0" w:color="auto"/>
                <w:left w:val="none" w:sz="0" w:space="0" w:color="auto"/>
                <w:bottom w:val="none" w:sz="0" w:space="0" w:color="auto"/>
                <w:right w:val="none" w:sz="0" w:space="0" w:color="auto"/>
              </w:divBdr>
            </w:div>
            <w:div w:id="1585990282">
              <w:marLeft w:val="0"/>
              <w:marRight w:val="0"/>
              <w:marTop w:val="0"/>
              <w:marBottom w:val="0"/>
              <w:divBdr>
                <w:top w:val="none" w:sz="0" w:space="0" w:color="auto"/>
                <w:left w:val="none" w:sz="0" w:space="0" w:color="auto"/>
                <w:bottom w:val="none" w:sz="0" w:space="0" w:color="auto"/>
                <w:right w:val="none" w:sz="0" w:space="0" w:color="auto"/>
              </w:divBdr>
            </w:div>
            <w:div w:id="1801336588">
              <w:marLeft w:val="0"/>
              <w:marRight w:val="0"/>
              <w:marTop w:val="0"/>
              <w:marBottom w:val="0"/>
              <w:divBdr>
                <w:top w:val="none" w:sz="0" w:space="0" w:color="auto"/>
                <w:left w:val="none" w:sz="0" w:space="0" w:color="auto"/>
                <w:bottom w:val="none" w:sz="0" w:space="0" w:color="auto"/>
                <w:right w:val="none" w:sz="0" w:space="0" w:color="auto"/>
              </w:divBdr>
            </w:div>
            <w:div w:id="1919050646">
              <w:marLeft w:val="0"/>
              <w:marRight w:val="0"/>
              <w:marTop w:val="0"/>
              <w:marBottom w:val="0"/>
              <w:divBdr>
                <w:top w:val="none" w:sz="0" w:space="0" w:color="auto"/>
                <w:left w:val="none" w:sz="0" w:space="0" w:color="auto"/>
                <w:bottom w:val="none" w:sz="0" w:space="0" w:color="auto"/>
                <w:right w:val="none" w:sz="0" w:space="0" w:color="auto"/>
              </w:divBdr>
            </w:div>
            <w:div w:id="1973945136">
              <w:marLeft w:val="0"/>
              <w:marRight w:val="0"/>
              <w:marTop w:val="0"/>
              <w:marBottom w:val="0"/>
              <w:divBdr>
                <w:top w:val="none" w:sz="0" w:space="0" w:color="auto"/>
                <w:left w:val="none" w:sz="0" w:space="0" w:color="auto"/>
                <w:bottom w:val="none" w:sz="0" w:space="0" w:color="auto"/>
                <w:right w:val="none" w:sz="0" w:space="0" w:color="auto"/>
              </w:divBdr>
            </w:div>
            <w:div w:id="2005084598">
              <w:marLeft w:val="0"/>
              <w:marRight w:val="0"/>
              <w:marTop w:val="0"/>
              <w:marBottom w:val="0"/>
              <w:divBdr>
                <w:top w:val="none" w:sz="0" w:space="0" w:color="auto"/>
                <w:left w:val="none" w:sz="0" w:space="0" w:color="auto"/>
                <w:bottom w:val="none" w:sz="0" w:space="0" w:color="auto"/>
                <w:right w:val="none" w:sz="0" w:space="0" w:color="auto"/>
              </w:divBdr>
            </w:div>
            <w:div w:id="2082487247">
              <w:marLeft w:val="0"/>
              <w:marRight w:val="0"/>
              <w:marTop w:val="0"/>
              <w:marBottom w:val="0"/>
              <w:divBdr>
                <w:top w:val="none" w:sz="0" w:space="0" w:color="auto"/>
                <w:left w:val="none" w:sz="0" w:space="0" w:color="auto"/>
                <w:bottom w:val="none" w:sz="0" w:space="0" w:color="auto"/>
                <w:right w:val="none" w:sz="0" w:space="0" w:color="auto"/>
              </w:divBdr>
            </w:div>
          </w:divsChild>
        </w:div>
        <w:div w:id="306983280">
          <w:marLeft w:val="0"/>
          <w:marRight w:val="0"/>
          <w:marTop w:val="0"/>
          <w:marBottom w:val="0"/>
          <w:divBdr>
            <w:top w:val="none" w:sz="0" w:space="0" w:color="auto"/>
            <w:left w:val="none" w:sz="0" w:space="0" w:color="auto"/>
            <w:bottom w:val="none" w:sz="0" w:space="0" w:color="auto"/>
            <w:right w:val="none" w:sz="0" w:space="0" w:color="auto"/>
          </w:divBdr>
          <w:divsChild>
            <w:div w:id="80030852">
              <w:marLeft w:val="0"/>
              <w:marRight w:val="0"/>
              <w:marTop w:val="0"/>
              <w:marBottom w:val="0"/>
              <w:divBdr>
                <w:top w:val="none" w:sz="0" w:space="0" w:color="auto"/>
                <w:left w:val="none" w:sz="0" w:space="0" w:color="auto"/>
                <w:bottom w:val="none" w:sz="0" w:space="0" w:color="auto"/>
                <w:right w:val="none" w:sz="0" w:space="0" w:color="auto"/>
              </w:divBdr>
            </w:div>
            <w:div w:id="157119225">
              <w:marLeft w:val="0"/>
              <w:marRight w:val="0"/>
              <w:marTop w:val="0"/>
              <w:marBottom w:val="0"/>
              <w:divBdr>
                <w:top w:val="none" w:sz="0" w:space="0" w:color="auto"/>
                <w:left w:val="none" w:sz="0" w:space="0" w:color="auto"/>
                <w:bottom w:val="none" w:sz="0" w:space="0" w:color="auto"/>
                <w:right w:val="none" w:sz="0" w:space="0" w:color="auto"/>
              </w:divBdr>
            </w:div>
            <w:div w:id="235021936">
              <w:marLeft w:val="0"/>
              <w:marRight w:val="0"/>
              <w:marTop w:val="0"/>
              <w:marBottom w:val="0"/>
              <w:divBdr>
                <w:top w:val="none" w:sz="0" w:space="0" w:color="auto"/>
                <w:left w:val="none" w:sz="0" w:space="0" w:color="auto"/>
                <w:bottom w:val="none" w:sz="0" w:space="0" w:color="auto"/>
                <w:right w:val="none" w:sz="0" w:space="0" w:color="auto"/>
              </w:divBdr>
            </w:div>
            <w:div w:id="293564680">
              <w:marLeft w:val="0"/>
              <w:marRight w:val="0"/>
              <w:marTop w:val="0"/>
              <w:marBottom w:val="0"/>
              <w:divBdr>
                <w:top w:val="none" w:sz="0" w:space="0" w:color="auto"/>
                <w:left w:val="none" w:sz="0" w:space="0" w:color="auto"/>
                <w:bottom w:val="none" w:sz="0" w:space="0" w:color="auto"/>
                <w:right w:val="none" w:sz="0" w:space="0" w:color="auto"/>
              </w:divBdr>
            </w:div>
            <w:div w:id="397174296">
              <w:marLeft w:val="0"/>
              <w:marRight w:val="0"/>
              <w:marTop w:val="0"/>
              <w:marBottom w:val="0"/>
              <w:divBdr>
                <w:top w:val="none" w:sz="0" w:space="0" w:color="auto"/>
                <w:left w:val="none" w:sz="0" w:space="0" w:color="auto"/>
                <w:bottom w:val="none" w:sz="0" w:space="0" w:color="auto"/>
                <w:right w:val="none" w:sz="0" w:space="0" w:color="auto"/>
              </w:divBdr>
            </w:div>
            <w:div w:id="463624105">
              <w:marLeft w:val="0"/>
              <w:marRight w:val="0"/>
              <w:marTop w:val="0"/>
              <w:marBottom w:val="0"/>
              <w:divBdr>
                <w:top w:val="none" w:sz="0" w:space="0" w:color="auto"/>
                <w:left w:val="none" w:sz="0" w:space="0" w:color="auto"/>
                <w:bottom w:val="none" w:sz="0" w:space="0" w:color="auto"/>
                <w:right w:val="none" w:sz="0" w:space="0" w:color="auto"/>
              </w:divBdr>
            </w:div>
            <w:div w:id="690644897">
              <w:marLeft w:val="0"/>
              <w:marRight w:val="0"/>
              <w:marTop w:val="0"/>
              <w:marBottom w:val="0"/>
              <w:divBdr>
                <w:top w:val="none" w:sz="0" w:space="0" w:color="auto"/>
                <w:left w:val="none" w:sz="0" w:space="0" w:color="auto"/>
                <w:bottom w:val="none" w:sz="0" w:space="0" w:color="auto"/>
                <w:right w:val="none" w:sz="0" w:space="0" w:color="auto"/>
              </w:divBdr>
            </w:div>
            <w:div w:id="773742200">
              <w:marLeft w:val="0"/>
              <w:marRight w:val="0"/>
              <w:marTop w:val="0"/>
              <w:marBottom w:val="0"/>
              <w:divBdr>
                <w:top w:val="none" w:sz="0" w:space="0" w:color="auto"/>
                <w:left w:val="none" w:sz="0" w:space="0" w:color="auto"/>
                <w:bottom w:val="none" w:sz="0" w:space="0" w:color="auto"/>
                <w:right w:val="none" w:sz="0" w:space="0" w:color="auto"/>
              </w:divBdr>
            </w:div>
            <w:div w:id="799885232">
              <w:marLeft w:val="0"/>
              <w:marRight w:val="0"/>
              <w:marTop w:val="0"/>
              <w:marBottom w:val="0"/>
              <w:divBdr>
                <w:top w:val="none" w:sz="0" w:space="0" w:color="auto"/>
                <w:left w:val="none" w:sz="0" w:space="0" w:color="auto"/>
                <w:bottom w:val="none" w:sz="0" w:space="0" w:color="auto"/>
                <w:right w:val="none" w:sz="0" w:space="0" w:color="auto"/>
              </w:divBdr>
            </w:div>
            <w:div w:id="1034579148">
              <w:marLeft w:val="0"/>
              <w:marRight w:val="0"/>
              <w:marTop w:val="0"/>
              <w:marBottom w:val="0"/>
              <w:divBdr>
                <w:top w:val="none" w:sz="0" w:space="0" w:color="auto"/>
                <w:left w:val="none" w:sz="0" w:space="0" w:color="auto"/>
                <w:bottom w:val="none" w:sz="0" w:space="0" w:color="auto"/>
                <w:right w:val="none" w:sz="0" w:space="0" w:color="auto"/>
              </w:divBdr>
            </w:div>
            <w:div w:id="1297564970">
              <w:marLeft w:val="0"/>
              <w:marRight w:val="0"/>
              <w:marTop w:val="0"/>
              <w:marBottom w:val="0"/>
              <w:divBdr>
                <w:top w:val="none" w:sz="0" w:space="0" w:color="auto"/>
                <w:left w:val="none" w:sz="0" w:space="0" w:color="auto"/>
                <w:bottom w:val="none" w:sz="0" w:space="0" w:color="auto"/>
                <w:right w:val="none" w:sz="0" w:space="0" w:color="auto"/>
              </w:divBdr>
            </w:div>
            <w:div w:id="1345207050">
              <w:marLeft w:val="0"/>
              <w:marRight w:val="0"/>
              <w:marTop w:val="0"/>
              <w:marBottom w:val="0"/>
              <w:divBdr>
                <w:top w:val="none" w:sz="0" w:space="0" w:color="auto"/>
                <w:left w:val="none" w:sz="0" w:space="0" w:color="auto"/>
                <w:bottom w:val="none" w:sz="0" w:space="0" w:color="auto"/>
                <w:right w:val="none" w:sz="0" w:space="0" w:color="auto"/>
              </w:divBdr>
            </w:div>
            <w:div w:id="1360398961">
              <w:marLeft w:val="0"/>
              <w:marRight w:val="0"/>
              <w:marTop w:val="0"/>
              <w:marBottom w:val="0"/>
              <w:divBdr>
                <w:top w:val="none" w:sz="0" w:space="0" w:color="auto"/>
                <w:left w:val="none" w:sz="0" w:space="0" w:color="auto"/>
                <w:bottom w:val="none" w:sz="0" w:space="0" w:color="auto"/>
                <w:right w:val="none" w:sz="0" w:space="0" w:color="auto"/>
              </w:divBdr>
            </w:div>
            <w:div w:id="1378041627">
              <w:marLeft w:val="0"/>
              <w:marRight w:val="0"/>
              <w:marTop w:val="0"/>
              <w:marBottom w:val="0"/>
              <w:divBdr>
                <w:top w:val="none" w:sz="0" w:space="0" w:color="auto"/>
                <w:left w:val="none" w:sz="0" w:space="0" w:color="auto"/>
                <w:bottom w:val="none" w:sz="0" w:space="0" w:color="auto"/>
                <w:right w:val="none" w:sz="0" w:space="0" w:color="auto"/>
              </w:divBdr>
            </w:div>
            <w:div w:id="1452482121">
              <w:marLeft w:val="0"/>
              <w:marRight w:val="0"/>
              <w:marTop w:val="0"/>
              <w:marBottom w:val="0"/>
              <w:divBdr>
                <w:top w:val="none" w:sz="0" w:space="0" w:color="auto"/>
                <w:left w:val="none" w:sz="0" w:space="0" w:color="auto"/>
                <w:bottom w:val="none" w:sz="0" w:space="0" w:color="auto"/>
                <w:right w:val="none" w:sz="0" w:space="0" w:color="auto"/>
              </w:divBdr>
            </w:div>
            <w:div w:id="1643920332">
              <w:marLeft w:val="0"/>
              <w:marRight w:val="0"/>
              <w:marTop w:val="0"/>
              <w:marBottom w:val="0"/>
              <w:divBdr>
                <w:top w:val="none" w:sz="0" w:space="0" w:color="auto"/>
                <w:left w:val="none" w:sz="0" w:space="0" w:color="auto"/>
                <w:bottom w:val="none" w:sz="0" w:space="0" w:color="auto"/>
                <w:right w:val="none" w:sz="0" w:space="0" w:color="auto"/>
              </w:divBdr>
            </w:div>
            <w:div w:id="1726097653">
              <w:marLeft w:val="0"/>
              <w:marRight w:val="0"/>
              <w:marTop w:val="0"/>
              <w:marBottom w:val="0"/>
              <w:divBdr>
                <w:top w:val="none" w:sz="0" w:space="0" w:color="auto"/>
                <w:left w:val="none" w:sz="0" w:space="0" w:color="auto"/>
                <w:bottom w:val="none" w:sz="0" w:space="0" w:color="auto"/>
                <w:right w:val="none" w:sz="0" w:space="0" w:color="auto"/>
              </w:divBdr>
            </w:div>
            <w:div w:id="1991906824">
              <w:marLeft w:val="0"/>
              <w:marRight w:val="0"/>
              <w:marTop w:val="0"/>
              <w:marBottom w:val="0"/>
              <w:divBdr>
                <w:top w:val="none" w:sz="0" w:space="0" w:color="auto"/>
                <w:left w:val="none" w:sz="0" w:space="0" w:color="auto"/>
                <w:bottom w:val="none" w:sz="0" w:space="0" w:color="auto"/>
                <w:right w:val="none" w:sz="0" w:space="0" w:color="auto"/>
              </w:divBdr>
            </w:div>
            <w:div w:id="2007320618">
              <w:marLeft w:val="0"/>
              <w:marRight w:val="0"/>
              <w:marTop w:val="0"/>
              <w:marBottom w:val="0"/>
              <w:divBdr>
                <w:top w:val="none" w:sz="0" w:space="0" w:color="auto"/>
                <w:left w:val="none" w:sz="0" w:space="0" w:color="auto"/>
                <w:bottom w:val="none" w:sz="0" w:space="0" w:color="auto"/>
                <w:right w:val="none" w:sz="0" w:space="0" w:color="auto"/>
              </w:divBdr>
            </w:div>
            <w:div w:id="2062711444">
              <w:marLeft w:val="0"/>
              <w:marRight w:val="0"/>
              <w:marTop w:val="0"/>
              <w:marBottom w:val="0"/>
              <w:divBdr>
                <w:top w:val="none" w:sz="0" w:space="0" w:color="auto"/>
                <w:left w:val="none" w:sz="0" w:space="0" w:color="auto"/>
                <w:bottom w:val="none" w:sz="0" w:space="0" w:color="auto"/>
                <w:right w:val="none" w:sz="0" w:space="0" w:color="auto"/>
              </w:divBdr>
            </w:div>
          </w:divsChild>
        </w:div>
        <w:div w:id="331301985">
          <w:marLeft w:val="0"/>
          <w:marRight w:val="0"/>
          <w:marTop w:val="0"/>
          <w:marBottom w:val="0"/>
          <w:divBdr>
            <w:top w:val="none" w:sz="0" w:space="0" w:color="auto"/>
            <w:left w:val="none" w:sz="0" w:space="0" w:color="auto"/>
            <w:bottom w:val="none" w:sz="0" w:space="0" w:color="auto"/>
            <w:right w:val="none" w:sz="0" w:space="0" w:color="auto"/>
          </w:divBdr>
        </w:div>
        <w:div w:id="338702872">
          <w:marLeft w:val="0"/>
          <w:marRight w:val="0"/>
          <w:marTop w:val="0"/>
          <w:marBottom w:val="0"/>
          <w:divBdr>
            <w:top w:val="none" w:sz="0" w:space="0" w:color="auto"/>
            <w:left w:val="none" w:sz="0" w:space="0" w:color="auto"/>
            <w:bottom w:val="none" w:sz="0" w:space="0" w:color="auto"/>
            <w:right w:val="none" w:sz="0" w:space="0" w:color="auto"/>
          </w:divBdr>
        </w:div>
        <w:div w:id="549653775">
          <w:marLeft w:val="0"/>
          <w:marRight w:val="0"/>
          <w:marTop w:val="0"/>
          <w:marBottom w:val="0"/>
          <w:divBdr>
            <w:top w:val="none" w:sz="0" w:space="0" w:color="auto"/>
            <w:left w:val="none" w:sz="0" w:space="0" w:color="auto"/>
            <w:bottom w:val="none" w:sz="0" w:space="0" w:color="auto"/>
            <w:right w:val="none" w:sz="0" w:space="0" w:color="auto"/>
          </w:divBdr>
        </w:div>
        <w:div w:id="669480176">
          <w:marLeft w:val="0"/>
          <w:marRight w:val="0"/>
          <w:marTop w:val="0"/>
          <w:marBottom w:val="0"/>
          <w:divBdr>
            <w:top w:val="none" w:sz="0" w:space="0" w:color="auto"/>
            <w:left w:val="none" w:sz="0" w:space="0" w:color="auto"/>
            <w:bottom w:val="none" w:sz="0" w:space="0" w:color="auto"/>
            <w:right w:val="none" w:sz="0" w:space="0" w:color="auto"/>
          </w:divBdr>
        </w:div>
        <w:div w:id="935482981">
          <w:marLeft w:val="0"/>
          <w:marRight w:val="0"/>
          <w:marTop w:val="0"/>
          <w:marBottom w:val="0"/>
          <w:divBdr>
            <w:top w:val="none" w:sz="0" w:space="0" w:color="auto"/>
            <w:left w:val="none" w:sz="0" w:space="0" w:color="auto"/>
            <w:bottom w:val="none" w:sz="0" w:space="0" w:color="auto"/>
            <w:right w:val="none" w:sz="0" w:space="0" w:color="auto"/>
          </w:divBdr>
        </w:div>
        <w:div w:id="965159187">
          <w:marLeft w:val="0"/>
          <w:marRight w:val="0"/>
          <w:marTop w:val="0"/>
          <w:marBottom w:val="0"/>
          <w:divBdr>
            <w:top w:val="none" w:sz="0" w:space="0" w:color="auto"/>
            <w:left w:val="none" w:sz="0" w:space="0" w:color="auto"/>
            <w:bottom w:val="none" w:sz="0" w:space="0" w:color="auto"/>
            <w:right w:val="none" w:sz="0" w:space="0" w:color="auto"/>
          </w:divBdr>
        </w:div>
        <w:div w:id="989797230">
          <w:marLeft w:val="0"/>
          <w:marRight w:val="0"/>
          <w:marTop w:val="0"/>
          <w:marBottom w:val="0"/>
          <w:divBdr>
            <w:top w:val="none" w:sz="0" w:space="0" w:color="auto"/>
            <w:left w:val="none" w:sz="0" w:space="0" w:color="auto"/>
            <w:bottom w:val="none" w:sz="0" w:space="0" w:color="auto"/>
            <w:right w:val="none" w:sz="0" w:space="0" w:color="auto"/>
          </w:divBdr>
        </w:div>
        <w:div w:id="1010958751">
          <w:marLeft w:val="0"/>
          <w:marRight w:val="0"/>
          <w:marTop w:val="0"/>
          <w:marBottom w:val="0"/>
          <w:divBdr>
            <w:top w:val="none" w:sz="0" w:space="0" w:color="auto"/>
            <w:left w:val="none" w:sz="0" w:space="0" w:color="auto"/>
            <w:bottom w:val="none" w:sz="0" w:space="0" w:color="auto"/>
            <w:right w:val="none" w:sz="0" w:space="0" w:color="auto"/>
          </w:divBdr>
        </w:div>
        <w:div w:id="1048988415">
          <w:marLeft w:val="0"/>
          <w:marRight w:val="0"/>
          <w:marTop w:val="0"/>
          <w:marBottom w:val="0"/>
          <w:divBdr>
            <w:top w:val="none" w:sz="0" w:space="0" w:color="auto"/>
            <w:left w:val="none" w:sz="0" w:space="0" w:color="auto"/>
            <w:bottom w:val="none" w:sz="0" w:space="0" w:color="auto"/>
            <w:right w:val="none" w:sz="0" w:space="0" w:color="auto"/>
          </w:divBdr>
          <w:divsChild>
            <w:div w:id="10882914">
              <w:marLeft w:val="0"/>
              <w:marRight w:val="0"/>
              <w:marTop w:val="0"/>
              <w:marBottom w:val="0"/>
              <w:divBdr>
                <w:top w:val="none" w:sz="0" w:space="0" w:color="auto"/>
                <w:left w:val="none" w:sz="0" w:space="0" w:color="auto"/>
                <w:bottom w:val="none" w:sz="0" w:space="0" w:color="auto"/>
                <w:right w:val="none" w:sz="0" w:space="0" w:color="auto"/>
              </w:divBdr>
            </w:div>
            <w:div w:id="100951950">
              <w:marLeft w:val="0"/>
              <w:marRight w:val="0"/>
              <w:marTop w:val="0"/>
              <w:marBottom w:val="0"/>
              <w:divBdr>
                <w:top w:val="none" w:sz="0" w:space="0" w:color="auto"/>
                <w:left w:val="none" w:sz="0" w:space="0" w:color="auto"/>
                <w:bottom w:val="none" w:sz="0" w:space="0" w:color="auto"/>
                <w:right w:val="none" w:sz="0" w:space="0" w:color="auto"/>
              </w:divBdr>
            </w:div>
            <w:div w:id="439229818">
              <w:marLeft w:val="0"/>
              <w:marRight w:val="0"/>
              <w:marTop w:val="0"/>
              <w:marBottom w:val="0"/>
              <w:divBdr>
                <w:top w:val="none" w:sz="0" w:space="0" w:color="auto"/>
                <w:left w:val="none" w:sz="0" w:space="0" w:color="auto"/>
                <w:bottom w:val="none" w:sz="0" w:space="0" w:color="auto"/>
                <w:right w:val="none" w:sz="0" w:space="0" w:color="auto"/>
              </w:divBdr>
            </w:div>
            <w:div w:id="533005085">
              <w:marLeft w:val="0"/>
              <w:marRight w:val="0"/>
              <w:marTop w:val="0"/>
              <w:marBottom w:val="0"/>
              <w:divBdr>
                <w:top w:val="none" w:sz="0" w:space="0" w:color="auto"/>
                <w:left w:val="none" w:sz="0" w:space="0" w:color="auto"/>
                <w:bottom w:val="none" w:sz="0" w:space="0" w:color="auto"/>
                <w:right w:val="none" w:sz="0" w:space="0" w:color="auto"/>
              </w:divBdr>
            </w:div>
            <w:div w:id="744306228">
              <w:marLeft w:val="0"/>
              <w:marRight w:val="0"/>
              <w:marTop w:val="0"/>
              <w:marBottom w:val="0"/>
              <w:divBdr>
                <w:top w:val="none" w:sz="0" w:space="0" w:color="auto"/>
                <w:left w:val="none" w:sz="0" w:space="0" w:color="auto"/>
                <w:bottom w:val="none" w:sz="0" w:space="0" w:color="auto"/>
                <w:right w:val="none" w:sz="0" w:space="0" w:color="auto"/>
              </w:divBdr>
            </w:div>
            <w:div w:id="747725947">
              <w:marLeft w:val="0"/>
              <w:marRight w:val="0"/>
              <w:marTop w:val="0"/>
              <w:marBottom w:val="0"/>
              <w:divBdr>
                <w:top w:val="none" w:sz="0" w:space="0" w:color="auto"/>
                <w:left w:val="none" w:sz="0" w:space="0" w:color="auto"/>
                <w:bottom w:val="none" w:sz="0" w:space="0" w:color="auto"/>
                <w:right w:val="none" w:sz="0" w:space="0" w:color="auto"/>
              </w:divBdr>
            </w:div>
            <w:div w:id="953902823">
              <w:marLeft w:val="0"/>
              <w:marRight w:val="0"/>
              <w:marTop w:val="0"/>
              <w:marBottom w:val="0"/>
              <w:divBdr>
                <w:top w:val="none" w:sz="0" w:space="0" w:color="auto"/>
                <w:left w:val="none" w:sz="0" w:space="0" w:color="auto"/>
                <w:bottom w:val="none" w:sz="0" w:space="0" w:color="auto"/>
                <w:right w:val="none" w:sz="0" w:space="0" w:color="auto"/>
              </w:divBdr>
            </w:div>
            <w:div w:id="985083742">
              <w:marLeft w:val="0"/>
              <w:marRight w:val="0"/>
              <w:marTop w:val="0"/>
              <w:marBottom w:val="0"/>
              <w:divBdr>
                <w:top w:val="none" w:sz="0" w:space="0" w:color="auto"/>
                <w:left w:val="none" w:sz="0" w:space="0" w:color="auto"/>
                <w:bottom w:val="none" w:sz="0" w:space="0" w:color="auto"/>
                <w:right w:val="none" w:sz="0" w:space="0" w:color="auto"/>
              </w:divBdr>
            </w:div>
            <w:div w:id="1114178191">
              <w:marLeft w:val="0"/>
              <w:marRight w:val="0"/>
              <w:marTop w:val="0"/>
              <w:marBottom w:val="0"/>
              <w:divBdr>
                <w:top w:val="none" w:sz="0" w:space="0" w:color="auto"/>
                <w:left w:val="none" w:sz="0" w:space="0" w:color="auto"/>
                <w:bottom w:val="none" w:sz="0" w:space="0" w:color="auto"/>
                <w:right w:val="none" w:sz="0" w:space="0" w:color="auto"/>
              </w:divBdr>
            </w:div>
            <w:div w:id="1115439245">
              <w:marLeft w:val="0"/>
              <w:marRight w:val="0"/>
              <w:marTop w:val="0"/>
              <w:marBottom w:val="0"/>
              <w:divBdr>
                <w:top w:val="none" w:sz="0" w:space="0" w:color="auto"/>
                <w:left w:val="none" w:sz="0" w:space="0" w:color="auto"/>
                <w:bottom w:val="none" w:sz="0" w:space="0" w:color="auto"/>
                <w:right w:val="none" w:sz="0" w:space="0" w:color="auto"/>
              </w:divBdr>
            </w:div>
            <w:div w:id="1226911348">
              <w:marLeft w:val="0"/>
              <w:marRight w:val="0"/>
              <w:marTop w:val="0"/>
              <w:marBottom w:val="0"/>
              <w:divBdr>
                <w:top w:val="none" w:sz="0" w:space="0" w:color="auto"/>
                <w:left w:val="none" w:sz="0" w:space="0" w:color="auto"/>
                <w:bottom w:val="none" w:sz="0" w:space="0" w:color="auto"/>
                <w:right w:val="none" w:sz="0" w:space="0" w:color="auto"/>
              </w:divBdr>
            </w:div>
            <w:div w:id="1312714508">
              <w:marLeft w:val="0"/>
              <w:marRight w:val="0"/>
              <w:marTop w:val="0"/>
              <w:marBottom w:val="0"/>
              <w:divBdr>
                <w:top w:val="none" w:sz="0" w:space="0" w:color="auto"/>
                <w:left w:val="none" w:sz="0" w:space="0" w:color="auto"/>
                <w:bottom w:val="none" w:sz="0" w:space="0" w:color="auto"/>
                <w:right w:val="none" w:sz="0" w:space="0" w:color="auto"/>
              </w:divBdr>
            </w:div>
            <w:div w:id="1411925974">
              <w:marLeft w:val="0"/>
              <w:marRight w:val="0"/>
              <w:marTop w:val="0"/>
              <w:marBottom w:val="0"/>
              <w:divBdr>
                <w:top w:val="none" w:sz="0" w:space="0" w:color="auto"/>
                <w:left w:val="none" w:sz="0" w:space="0" w:color="auto"/>
                <w:bottom w:val="none" w:sz="0" w:space="0" w:color="auto"/>
                <w:right w:val="none" w:sz="0" w:space="0" w:color="auto"/>
              </w:divBdr>
            </w:div>
            <w:div w:id="1479883982">
              <w:marLeft w:val="0"/>
              <w:marRight w:val="0"/>
              <w:marTop w:val="0"/>
              <w:marBottom w:val="0"/>
              <w:divBdr>
                <w:top w:val="none" w:sz="0" w:space="0" w:color="auto"/>
                <w:left w:val="none" w:sz="0" w:space="0" w:color="auto"/>
                <w:bottom w:val="none" w:sz="0" w:space="0" w:color="auto"/>
                <w:right w:val="none" w:sz="0" w:space="0" w:color="auto"/>
              </w:divBdr>
            </w:div>
            <w:div w:id="1555507501">
              <w:marLeft w:val="0"/>
              <w:marRight w:val="0"/>
              <w:marTop w:val="0"/>
              <w:marBottom w:val="0"/>
              <w:divBdr>
                <w:top w:val="none" w:sz="0" w:space="0" w:color="auto"/>
                <w:left w:val="none" w:sz="0" w:space="0" w:color="auto"/>
                <w:bottom w:val="none" w:sz="0" w:space="0" w:color="auto"/>
                <w:right w:val="none" w:sz="0" w:space="0" w:color="auto"/>
              </w:divBdr>
            </w:div>
            <w:div w:id="1676959559">
              <w:marLeft w:val="0"/>
              <w:marRight w:val="0"/>
              <w:marTop w:val="0"/>
              <w:marBottom w:val="0"/>
              <w:divBdr>
                <w:top w:val="none" w:sz="0" w:space="0" w:color="auto"/>
                <w:left w:val="none" w:sz="0" w:space="0" w:color="auto"/>
                <w:bottom w:val="none" w:sz="0" w:space="0" w:color="auto"/>
                <w:right w:val="none" w:sz="0" w:space="0" w:color="auto"/>
              </w:divBdr>
            </w:div>
            <w:div w:id="1774086093">
              <w:marLeft w:val="0"/>
              <w:marRight w:val="0"/>
              <w:marTop w:val="0"/>
              <w:marBottom w:val="0"/>
              <w:divBdr>
                <w:top w:val="none" w:sz="0" w:space="0" w:color="auto"/>
                <w:left w:val="none" w:sz="0" w:space="0" w:color="auto"/>
                <w:bottom w:val="none" w:sz="0" w:space="0" w:color="auto"/>
                <w:right w:val="none" w:sz="0" w:space="0" w:color="auto"/>
              </w:divBdr>
            </w:div>
            <w:div w:id="1776435136">
              <w:marLeft w:val="0"/>
              <w:marRight w:val="0"/>
              <w:marTop w:val="0"/>
              <w:marBottom w:val="0"/>
              <w:divBdr>
                <w:top w:val="none" w:sz="0" w:space="0" w:color="auto"/>
                <w:left w:val="none" w:sz="0" w:space="0" w:color="auto"/>
                <w:bottom w:val="none" w:sz="0" w:space="0" w:color="auto"/>
                <w:right w:val="none" w:sz="0" w:space="0" w:color="auto"/>
              </w:divBdr>
            </w:div>
            <w:div w:id="1776707399">
              <w:marLeft w:val="0"/>
              <w:marRight w:val="0"/>
              <w:marTop w:val="0"/>
              <w:marBottom w:val="0"/>
              <w:divBdr>
                <w:top w:val="none" w:sz="0" w:space="0" w:color="auto"/>
                <w:left w:val="none" w:sz="0" w:space="0" w:color="auto"/>
                <w:bottom w:val="none" w:sz="0" w:space="0" w:color="auto"/>
                <w:right w:val="none" w:sz="0" w:space="0" w:color="auto"/>
              </w:divBdr>
            </w:div>
            <w:div w:id="2003047891">
              <w:marLeft w:val="0"/>
              <w:marRight w:val="0"/>
              <w:marTop w:val="0"/>
              <w:marBottom w:val="0"/>
              <w:divBdr>
                <w:top w:val="none" w:sz="0" w:space="0" w:color="auto"/>
                <w:left w:val="none" w:sz="0" w:space="0" w:color="auto"/>
                <w:bottom w:val="none" w:sz="0" w:space="0" w:color="auto"/>
                <w:right w:val="none" w:sz="0" w:space="0" w:color="auto"/>
              </w:divBdr>
            </w:div>
          </w:divsChild>
        </w:div>
        <w:div w:id="1217467377">
          <w:marLeft w:val="0"/>
          <w:marRight w:val="0"/>
          <w:marTop w:val="0"/>
          <w:marBottom w:val="0"/>
          <w:divBdr>
            <w:top w:val="none" w:sz="0" w:space="0" w:color="auto"/>
            <w:left w:val="none" w:sz="0" w:space="0" w:color="auto"/>
            <w:bottom w:val="none" w:sz="0" w:space="0" w:color="auto"/>
            <w:right w:val="none" w:sz="0" w:space="0" w:color="auto"/>
          </w:divBdr>
        </w:div>
        <w:div w:id="1221021300">
          <w:marLeft w:val="0"/>
          <w:marRight w:val="0"/>
          <w:marTop w:val="0"/>
          <w:marBottom w:val="0"/>
          <w:divBdr>
            <w:top w:val="none" w:sz="0" w:space="0" w:color="auto"/>
            <w:left w:val="none" w:sz="0" w:space="0" w:color="auto"/>
            <w:bottom w:val="none" w:sz="0" w:space="0" w:color="auto"/>
            <w:right w:val="none" w:sz="0" w:space="0" w:color="auto"/>
          </w:divBdr>
        </w:div>
        <w:div w:id="1231698927">
          <w:marLeft w:val="0"/>
          <w:marRight w:val="0"/>
          <w:marTop w:val="0"/>
          <w:marBottom w:val="0"/>
          <w:divBdr>
            <w:top w:val="none" w:sz="0" w:space="0" w:color="auto"/>
            <w:left w:val="none" w:sz="0" w:space="0" w:color="auto"/>
            <w:bottom w:val="none" w:sz="0" w:space="0" w:color="auto"/>
            <w:right w:val="none" w:sz="0" w:space="0" w:color="auto"/>
          </w:divBdr>
        </w:div>
        <w:div w:id="1386643250">
          <w:marLeft w:val="0"/>
          <w:marRight w:val="0"/>
          <w:marTop w:val="0"/>
          <w:marBottom w:val="0"/>
          <w:divBdr>
            <w:top w:val="none" w:sz="0" w:space="0" w:color="auto"/>
            <w:left w:val="none" w:sz="0" w:space="0" w:color="auto"/>
            <w:bottom w:val="none" w:sz="0" w:space="0" w:color="auto"/>
            <w:right w:val="none" w:sz="0" w:space="0" w:color="auto"/>
          </w:divBdr>
        </w:div>
        <w:div w:id="1406495214">
          <w:marLeft w:val="0"/>
          <w:marRight w:val="0"/>
          <w:marTop w:val="0"/>
          <w:marBottom w:val="0"/>
          <w:divBdr>
            <w:top w:val="none" w:sz="0" w:space="0" w:color="auto"/>
            <w:left w:val="none" w:sz="0" w:space="0" w:color="auto"/>
            <w:bottom w:val="none" w:sz="0" w:space="0" w:color="auto"/>
            <w:right w:val="none" w:sz="0" w:space="0" w:color="auto"/>
          </w:divBdr>
        </w:div>
        <w:div w:id="1464424577">
          <w:marLeft w:val="0"/>
          <w:marRight w:val="0"/>
          <w:marTop w:val="0"/>
          <w:marBottom w:val="0"/>
          <w:divBdr>
            <w:top w:val="none" w:sz="0" w:space="0" w:color="auto"/>
            <w:left w:val="none" w:sz="0" w:space="0" w:color="auto"/>
            <w:bottom w:val="none" w:sz="0" w:space="0" w:color="auto"/>
            <w:right w:val="none" w:sz="0" w:space="0" w:color="auto"/>
          </w:divBdr>
          <w:divsChild>
            <w:div w:id="36710835">
              <w:marLeft w:val="0"/>
              <w:marRight w:val="0"/>
              <w:marTop w:val="0"/>
              <w:marBottom w:val="0"/>
              <w:divBdr>
                <w:top w:val="none" w:sz="0" w:space="0" w:color="auto"/>
                <w:left w:val="none" w:sz="0" w:space="0" w:color="auto"/>
                <w:bottom w:val="none" w:sz="0" w:space="0" w:color="auto"/>
                <w:right w:val="none" w:sz="0" w:space="0" w:color="auto"/>
              </w:divBdr>
            </w:div>
            <w:div w:id="170532150">
              <w:marLeft w:val="0"/>
              <w:marRight w:val="0"/>
              <w:marTop w:val="0"/>
              <w:marBottom w:val="0"/>
              <w:divBdr>
                <w:top w:val="none" w:sz="0" w:space="0" w:color="auto"/>
                <w:left w:val="none" w:sz="0" w:space="0" w:color="auto"/>
                <w:bottom w:val="none" w:sz="0" w:space="0" w:color="auto"/>
                <w:right w:val="none" w:sz="0" w:space="0" w:color="auto"/>
              </w:divBdr>
            </w:div>
            <w:div w:id="263612962">
              <w:marLeft w:val="0"/>
              <w:marRight w:val="0"/>
              <w:marTop w:val="0"/>
              <w:marBottom w:val="0"/>
              <w:divBdr>
                <w:top w:val="none" w:sz="0" w:space="0" w:color="auto"/>
                <w:left w:val="none" w:sz="0" w:space="0" w:color="auto"/>
                <w:bottom w:val="none" w:sz="0" w:space="0" w:color="auto"/>
                <w:right w:val="none" w:sz="0" w:space="0" w:color="auto"/>
              </w:divBdr>
            </w:div>
            <w:div w:id="294524511">
              <w:marLeft w:val="0"/>
              <w:marRight w:val="0"/>
              <w:marTop w:val="0"/>
              <w:marBottom w:val="0"/>
              <w:divBdr>
                <w:top w:val="none" w:sz="0" w:space="0" w:color="auto"/>
                <w:left w:val="none" w:sz="0" w:space="0" w:color="auto"/>
                <w:bottom w:val="none" w:sz="0" w:space="0" w:color="auto"/>
                <w:right w:val="none" w:sz="0" w:space="0" w:color="auto"/>
              </w:divBdr>
            </w:div>
            <w:div w:id="324943096">
              <w:marLeft w:val="0"/>
              <w:marRight w:val="0"/>
              <w:marTop w:val="0"/>
              <w:marBottom w:val="0"/>
              <w:divBdr>
                <w:top w:val="none" w:sz="0" w:space="0" w:color="auto"/>
                <w:left w:val="none" w:sz="0" w:space="0" w:color="auto"/>
                <w:bottom w:val="none" w:sz="0" w:space="0" w:color="auto"/>
                <w:right w:val="none" w:sz="0" w:space="0" w:color="auto"/>
              </w:divBdr>
            </w:div>
            <w:div w:id="591353724">
              <w:marLeft w:val="0"/>
              <w:marRight w:val="0"/>
              <w:marTop w:val="0"/>
              <w:marBottom w:val="0"/>
              <w:divBdr>
                <w:top w:val="none" w:sz="0" w:space="0" w:color="auto"/>
                <w:left w:val="none" w:sz="0" w:space="0" w:color="auto"/>
                <w:bottom w:val="none" w:sz="0" w:space="0" w:color="auto"/>
                <w:right w:val="none" w:sz="0" w:space="0" w:color="auto"/>
              </w:divBdr>
            </w:div>
            <w:div w:id="680007020">
              <w:marLeft w:val="0"/>
              <w:marRight w:val="0"/>
              <w:marTop w:val="0"/>
              <w:marBottom w:val="0"/>
              <w:divBdr>
                <w:top w:val="none" w:sz="0" w:space="0" w:color="auto"/>
                <w:left w:val="none" w:sz="0" w:space="0" w:color="auto"/>
                <w:bottom w:val="none" w:sz="0" w:space="0" w:color="auto"/>
                <w:right w:val="none" w:sz="0" w:space="0" w:color="auto"/>
              </w:divBdr>
            </w:div>
            <w:div w:id="780956372">
              <w:marLeft w:val="0"/>
              <w:marRight w:val="0"/>
              <w:marTop w:val="0"/>
              <w:marBottom w:val="0"/>
              <w:divBdr>
                <w:top w:val="none" w:sz="0" w:space="0" w:color="auto"/>
                <w:left w:val="none" w:sz="0" w:space="0" w:color="auto"/>
                <w:bottom w:val="none" w:sz="0" w:space="0" w:color="auto"/>
                <w:right w:val="none" w:sz="0" w:space="0" w:color="auto"/>
              </w:divBdr>
            </w:div>
            <w:div w:id="917178907">
              <w:marLeft w:val="0"/>
              <w:marRight w:val="0"/>
              <w:marTop w:val="0"/>
              <w:marBottom w:val="0"/>
              <w:divBdr>
                <w:top w:val="none" w:sz="0" w:space="0" w:color="auto"/>
                <w:left w:val="none" w:sz="0" w:space="0" w:color="auto"/>
                <w:bottom w:val="none" w:sz="0" w:space="0" w:color="auto"/>
                <w:right w:val="none" w:sz="0" w:space="0" w:color="auto"/>
              </w:divBdr>
            </w:div>
            <w:div w:id="1070075895">
              <w:marLeft w:val="0"/>
              <w:marRight w:val="0"/>
              <w:marTop w:val="0"/>
              <w:marBottom w:val="0"/>
              <w:divBdr>
                <w:top w:val="none" w:sz="0" w:space="0" w:color="auto"/>
                <w:left w:val="none" w:sz="0" w:space="0" w:color="auto"/>
                <w:bottom w:val="none" w:sz="0" w:space="0" w:color="auto"/>
                <w:right w:val="none" w:sz="0" w:space="0" w:color="auto"/>
              </w:divBdr>
            </w:div>
            <w:div w:id="1165435325">
              <w:marLeft w:val="0"/>
              <w:marRight w:val="0"/>
              <w:marTop w:val="0"/>
              <w:marBottom w:val="0"/>
              <w:divBdr>
                <w:top w:val="none" w:sz="0" w:space="0" w:color="auto"/>
                <w:left w:val="none" w:sz="0" w:space="0" w:color="auto"/>
                <w:bottom w:val="none" w:sz="0" w:space="0" w:color="auto"/>
                <w:right w:val="none" w:sz="0" w:space="0" w:color="auto"/>
              </w:divBdr>
            </w:div>
            <w:div w:id="1254129308">
              <w:marLeft w:val="0"/>
              <w:marRight w:val="0"/>
              <w:marTop w:val="0"/>
              <w:marBottom w:val="0"/>
              <w:divBdr>
                <w:top w:val="none" w:sz="0" w:space="0" w:color="auto"/>
                <w:left w:val="none" w:sz="0" w:space="0" w:color="auto"/>
                <w:bottom w:val="none" w:sz="0" w:space="0" w:color="auto"/>
                <w:right w:val="none" w:sz="0" w:space="0" w:color="auto"/>
              </w:divBdr>
            </w:div>
            <w:div w:id="1385762946">
              <w:marLeft w:val="0"/>
              <w:marRight w:val="0"/>
              <w:marTop w:val="0"/>
              <w:marBottom w:val="0"/>
              <w:divBdr>
                <w:top w:val="none" w:sz="0" w:space="0" w:color="auto"/>
                <w:left w:val="none" w:sz="0" w:space="0" w:color="auto"/>
                <w:bottom w:val="none" w:sz="0" w:space="0" w:color="auto"/>
                <w:right w:val="none" w:sz="0" w:space="0" w:color="auto"/>
              </w:divBdr>
            </w:div>
            <w:div w:id="1398821999">
              <w:marLeft w:val="0"/>
              <w:marRight w:val="0"/>
              <w:marTop w:val="0"/>
              <w:marBottom w:val="0"/>
              <w:divBdr>
                <w:top w:val="none" w:sz="0" w:space="0" w:color="auto"/>
                <w:left w:val="none" w:sz="0" w:space="0" w:color="auto"/>
                <w:bottom w:val="none" w:sz="0" w:space="0" w:color="auto"/>
                <w:right w:val="none" w:sz="0" w:space="0" w:color="auto"/>
              </w:divBdr>
            </w:div>
            <w:div w:id="1492260216">
              <w:marLeft w:val="0"/>
              <w:marRight w:val="0"/>
              <w:marTop w:val="0"/>
              <w:marBottom w:val="0"/>
              <w:divBdr>
                <w:top w:val="none" w:sz="0" w:space="0" w:color="auto"/>
                <w:left w:val="none" w:sz="0" w:space="0" w:color="auto"/>
                <w:bottom w:val="none" w:sz="0" w:space="0" w:color="auto"/>
                <w:right w:val="none" w:sz="0" w:space="0" w:color="auto"/>
              </w:divBdr>
            </w:div>
            <w:div w:id="1779829424">
              <w:marLeft w:val="0"/>
              <w:marRight w:val="0"/>
              <w:marTop w:val="0"/>
              <w:marBottom w:val="0"/>
              <w:divBdr>
                <w:top w:val="none" w:sz="0" w:space="0" w:color="auto"/>
                <w:left w:val="none" w:sz="0" w:space="0" w:color="auto"/>
                <w:bottom w:val="none" w:sz="0" w:space="0" w:color="auto"/>
                <w:right w:val="none" w:sz="0" w:space="0" w:color="auto"/>
              </w:divBdr>
            </w:div>
            <w:div w:id="1886717646">
              <w:marLeft w:val="0"/>
              <w:marRight w:val="0"/>
              <w:marTop w:val="0"/>
              <w:marBottom w:val="0"/>
              <w:divBdr>
                <w:top w:val="none" w:sz="0" w:space="0" w:color="auto"/>
                <w:left w:val="none" w:sz="0" w:space="0" w:color="auto"/>
                <w:bottom w:val="none" w:sz="0" w:space="0" w:color="auto"/>
                <w:right w:val="none" w:sz="0" w:space="0" w:color="auto"/>
              </w:divBdr>
            </w:div>
            <w:div w:id="1926301103">
              <w:marLeft w:val="0"/>
              <w:marRight w:val="0"/>
              <w:marTop w:val="0"/>
              <w:marBottom w:val="0"/>
              <w:divBdr>
                <w:top w:val="none" w:sz="0" w:space="0" w:color="auto"/>
                <w:left w:val="none" w:sz="0" w:space="0" w:color="auto"/>
                <w:bottom w:val="none" w:sz="0" w:space="0" w:color="auto"/>
                <w:right w:val="none" w:sz="0" w:space="0" w:color="auto"/>
              </w:divBdr>
            </w:div>
            <w:div w:id="1937790334">
              <w:marLeft w:val="0"/>
              <w:marRight w:val="0"/>
              <w:marTop w:val="0"/>
              <w:marBottom w:val="0"/>
              <w:divBdr>
                <w:top w:val="none" w:sz="0" w:space="0" w:color="auto"/>
                <w:left w:val="none" w:sz="0" w:space="0" w:color="auto"/>
                <w:bottom w:val="none" w:sz="0" w:space="0" w:color="auto"/>
                <w:right w:val="none" w:sz="0" w:space="0" w:color="auto"/>
              </w:divBdr>
            </w:div>
            <w:div w:id="2100447083">
              <w:marLeft w:val="0"/>
              <w:marRight w:val="0"/>
              <w:marTop w:val="0"/>
              <w:marBottom w:val="0"/>
              <w:divBdr>
                <w:top w:val="none" w:sz="0" w:space="0" w:color="auto"/>
                <w:left w:val="none" w:sz="0" w:space="0" w:color="auto"/>
                <w:bottom w:val="none" w:sz="0" w:space="0" w:color="auto"/>
                <w:right w:val="none" w:sz="0" w:space="0" w:color="auto"/>
              </w:divBdr>
            </w:div>
          </w:divsChild>
        </w:div>
        <w:div w:id="1650591433">
          <w:marLeft w:val="0"/>
          <w:marRight w:val="0"/>
          <w:marTop w:val="0"/>
          <w:marBottom w:val="0"/>
          <w:divBdr>
            <w:top w:val="none" w:sz="0" w:space="0" w:color="auto"/>
            <w:left w:val="none" w:sz="0" w:space="0" w:color="auto"/>
            <w:bottom w:val="none" w:sz="0" w:space="0" w:color="auto"/>
            <w:right w:val="none" w:sz="0" w:space="0" w:color="auto"/>
          </w:divBdr>
          <w:divsChild>
            <w:div w:id="1066731209">
              <w:marLeft w:val="-75"/>
              <w:marRight w:val="0"/>
              <w:marTop w:val="30"/>
              <w:marBottom w:val="30"/>
              <w:divBdr>
                <w:top w:val="none" w:sz="0" w:space="0" w:color="auto"/>
                <w:left w:val="none" w:sz="0" w:space="0" w:color="auto"/>
                <w:bottom w:val="none" w:sz="0" w:space="0" w:color="auto"/>
                <w:right w:val="none" w:sz="0" w:space="0" w:color="auto"/>
              </w:divBdr>
              <w:divsChild>
                <w:div w:id="298994987">
                  <w:marLeft w:val="0"/>
                  <w:marRight w:val="0"/>
                  <w:marTop w:val="0"/>
                  <w:marBottom w:val="0"/>
                  <w:divBdr>
                    <w:top w:val="none" w:sz="0" w:space="0" w:color="auto"/>
                    <w:left w:val="none" w:sz="0" w:space="0" w:color="auto"/>
                    <w:bottom w:val="none" w:sz="0" w:space="0" w:color="auto"/>
                    <w:right w:val="none" w:sz="0" w:space="0" w:color="auto"/>
                  </w:divBdr>
                  <w:divsChild>
                    <w:div w:id="270599292">
                      <w:marLeft w:val="0"/>
                      <w:marRight w:val="0"/>
                      <w:marTop w:val="0"/>
                      <w:marBottom w:val="0"/>
                      <w:divBdr>
                        <w:top w:val="none" w:sz="0" w:space="0" w:color="auto"/>
                        <w:left w:val="none" w:sz="0" w:space="0" w:color="auto"/>
                        <w:bottom w:val="none" w:sz="0" w:space="0" w:color="auto"/>
                        <w:right w:val="none" w:sz="0" w:space="0" w:color="auto"/>
                      </w:divBdr>
                    </w:div>
                  </w:divsChild>
                </w:div>
                <w:div w:id="592662873">
                  <w:marLeft w:val="0"/>
                  <w:marRight w:val="0"/>
                  <w:marTop w:val="0"/>
                  <w:marBottom w:val="0"/>
                  <w:divBdr>
                    <w:top w:val="none" w:sz="0" w:space="0" w:color="auto"/>
                    <w:left w:val="none" w:sz="0" w:space="0" w:color="auto"/>
                    <w:bottom w:val="none" w:sz="0" w:space="0" w:color="auto"/>
                    <w:right w:val="none" w:sz="0" w:space="0" w:color="auto"/>
                  </w:divBdr>
                  <w:divsChild>
                    <w:div w:id="157692375">
                      <w:marLeft w:val="0"/>
                      <w:marRight w:val="0"/>
                      <w:marTop w:val="0"/>
                      <w:marBottom w:val="0"/>
                      <w:divBdr>
                        <w:top w:val="none" w:sz="0" w:space="0" w:color="auto"/>
                        <w:left w:val="none" w:sz="0" w:space="0" w:color="auto"/>
                        <w:bottom w:val="none" w:sz="0" w:space="0" w:color="auto"/>
                        <w:right w:val="none" w:sz="0" w:space="0" w:color="auto"/>
                      </w:divBdr>
                    </w:div>
                  </w:divsChild>
                </w:div>
                <w:div w:id="851140650">
                  <w:marLeft w:val="0"/>
                  <w:marRight w:val="0"/>
                  <w:marTop w:val="0"/>
                  <w:marBottom w:val="0"/>
                  <w:divBdr>
                    <w:top w:val="none" w:sz="0" w:space="0" w:color="auto"/>
                    <w:left w:val="none" w:sz="0" w:space="0" w:color="auto"/>
                    <w:bottom w:val="none" w:sz="0" w:space="0" w:color="auto"/>
                    <w:right w:val="none" w:sz="0" w:space="0" w:color="auto"/>
                  </w:divBdr>
                  <w:divsChild>
                    <w:div w:id="476580292">
                      <w:marLeft w:val="0"/>
                      <w:marRight w:val="0"/>
                      <w:marTop w:val="0"/>
                      <w:marBottom w:val="0"/>
                      <w:divBdr>
                        <w:top w:val="none" w:sz="0" w:space="0" w:color="auto"/>
                        <w:left w:val="none" w:sz="0" w:space="0" w:color="auto"/>
                        <w:bottom w:val="none" w:sz="0" w:space="0" w:color="auto"/>
                        <w:right w:val="none" w:sz="0" w:space="0" w:color="auto"/>
                      </w:divBdr>
                    </w:div>
                  </w:divsChild>
                </w:div>
                <w:div w:id="1220094664">
                  <w:marLeft w:val="0"/>
                  <w:marRight w:val="0"/>
                  <w:marTop w:val="0"/>
                  <w:marBottom w:val="0"/>
                  <w:divBdr>
                    <w:top w:val="none" w:sz="0" w:space="0" w:color="auto"/>
                    <w:left w:val="none" w:sz="0" w:space="0" w:color="auto"/>
                    <w:bottom w:val="none" w:sz="0" w:space="0" w:color="auto"/>
                    <w:right w:val="none" w:sz="0" w:space="0" w:color="auto"/>
                  </w:divBdr>
                  <w:divsChild>
                    <w:div w:id="1680543190">
                      <w:marLeft w:val="0"/>
                      <w:marRight w:val="0"/>
                      <w:marTop w:val="0"/>
                      <w:marBottom w:val="0"/>
                      <w:divBdr>
                        <w:top w:val="none" w:sz="0" w:space="0" w:color="auto"/>
                        <w:left w:val="none" w:sz="0" w:space="0" w:color="auto"/>
                        <w:bottom w:val="none" w:sz="0" w:space="0" w:color="auto"/>
                        <w:right w:val="none" w:sz="0" w:space="0" w:color="auto"/>
                      </w:divBdr>
                    </w:div>
                  </w:divsChild>
                </w:div>
                <w:div w:id="1242132958">
                  <w:marLeft w:val="0"/>
                  <w:marRight w:val="0"/>
                  <w:marTop w:val="0"/>
                  <w:marBottom w:val="0"/>
                  <w:divBdr>
                    <w:top w:val="none" w:sz="0" w:space="0" w:color="auto"/>
                    <w:left w:val="none" w:sz="0" w:space="0" w:color="auto"/>
                    <w:bottom w:val="none" w:sz="0" w:space="0" w:color="auto"/>
                    <w:right w:val="none" w:sz="0" w:space="0" w:color="auto"/>
                  </w:divBdr>
                  <w:divsChild>
                    <w:div w:id="1637224985">
                      <w:marLeft w:val="0"/>
                      <w:marRight w:val="0"/>
                      <w:marTop w:val="0"/>
                      <w:marBottom w:val="0"/>
                      <w:divBdr>
                        <w:top w:val="none" w:sz="0" w:space="0" w:color="auto"/>
                        <w:left w:val="none" w:sz="0" w:space="0" w:color="auto"/>
                        <w:bottom w:val="none" w:sz="0" w:space="0" w:color="auto"/>
                        <w:right w:val="none" w:sz="0" w:space="0" w:color="auto"/>
                      </w:divBdr>
                    </w:div>
                  </w:divsChild>
                </w:div>
                <w:div w:id="1282103318">
                  <w:marLeft w:val="0"/>
                  <w:marRight w:val="0"/>
                  <w:marTop w:val="0"/>
                  <w:marBottom w:val="0"/>
                  <w:divBdr>
                    <w:top w:val="none" w:sz="0" w:space="0" w:color="auto"/>
                    <w:left w:val="none" w:sz="0" w:space="0" w:color="auto"/>
                    <w:bottom w:val="none" w:sz="0" w:space="0" w:color="auto"/>
                    <w:right w:val="none" w:sz="0" w:space="0" w:color="auto"/>
                  </w:divBdr>
                  <w:divsChild>
                    <w:div w:id="1599094053">
                      <w:marLeft w:val="0"/>
                      <w:marRight w:val="0"/>
                      <w:marTop w:val="0"/>
                      <w:marBottom w:val="0"/>
                      <w:divBdr>
                        <w:top w:val="none" w:sz="0" w:space="0" w:color="auto"/>
                        <w:left w:val="none" w:sz="0" w:space="0" w:color="auto"/>
                        <w:bottom w:val="none" w:sz="0" w:space="0" w:color="auto"/>
                        <w:right w:val="none" w:sz="0" w:space="0" w:color="auto"/>
                      </w:divBdr>
                    </w:div>
                  </w:divsChild>
                </w:div>
                <w:div w:id="1291129883">
                  <w:marLeft w:val="0"/>
                  <w:marRight w:val="0"/>
                  <w:marTop w:val="0"/>
                  <w:marBottom w:val="0"/>
                  <w:divBdr>
                    <w:top w:val="none" w:sz="0" w:space="0" w:color="auto"/>
                    <w:left w:val="none" w:sz="0" w:space="0" w:color="auto"/>
                    <w:bottom w:val="none" w:sz="0" w:space="0" w:color="auto"/>
                    <w:right w:val="none" w:sz="0" w:space="0" w:color="auto"/>
                  </w:divBdr>
                  <w:divsChild>
                    <w:div w:id="438841186">
                      <w:marLeft w:val="0"/>
                      <w:marRight w:val="0"/>
                      <w:marTop w:val="0"/>
                      <w:marBottom w:val="0"/>
                      <w:divBdr>
                        <w:top w:val="none" w:sz="0" w:space="0" w:color="auto"/>
                        <w:left w:val="none" w:sz="0" w:space="0" w:color="auto"/>
                        <w:bottom w:val="none" w:sz="0" w:space="0" w:color="auto"/>
                        <w:right w:val="none" w:sz="0" w:space="0" w:color="auto"/>
                      </w:divBdr>
                    </w:div>
                  </w:divsChild>
                </w:div>
                <w:div w:id="1423725398">
                  <w:marLeft w:val="0"/>
                  <w:marRight w:val="0"/>
                  <w:marTop w:val="0"/>
                  <w:marBottom w:val="0"/>
                  <w:divBdr>
                    <w:top w:val="none" w:sz="0" w:space="0" w:color="auto"/>
                    <w:left w:val="none" w:sz="0" w:space="0" w:color="auto"/>
                    <w:bottom w:val="none" w:sz="0" w:space="0" w:color="auto"/>
                    <w:right w:val="none" w:sz="0" w:space="0" w:color="auto"/>
                  </w:divBdr>
                  <w:divsChild>
                    <w:div w:id="42218685">
                      <w:marLeft w:val="0"/>
                      <w:marRight w:val="0"/>
                      <w:marTop w:val="0"/>
                      <w:marBottom w:val="0"/>
                      <w:divBdr>
                        <w:top w:val="none" w:sz="0" w:space="0" w:color="auto"/>
                        <w:left w:val="none" w:sz="0" w:space="0" w:color="auto"/>
                        <w:bottom w:val="none" w:sz="0" w:space="0" w:color="auto"/>
                        <w:right w:val="none" w:sz="0" w:space="0" w:color="auto"/>
                      </w:divBdr>
                    </w:div>
                  </w:divsChild>
                </w:div>
                <w:div w:id="1439057097">
                  <w:marLeft w:val="0"/>
                  <w:marRight w:val="0"/>
                  <w:marTop w:val="0"/>
                  <w:marBottom w:val="0"/>
                  <w:divBdr>
                    <w:top w:val="none" w:sz="0" w:space="0" w:color="auto"/>
                    <w:left w:val="none" w:sz="0" w:space="0" w:color="auto"/>
                    <w:bottom w:val="none" w:sz="0" w:space="0" w:color="auto"/>
                    <w:right w:val="none" w:sz="0" w:space="0" w:color="auto"/>
                  </w:divBdr>
                  <w:divsChild>
                    <w:div w:id="491601142">
                      <w:marLeft w:val="0"/>
                      <w:marRight w:val="0"/>
                      <w:marTop w:val="0"/>
                      <w:marBottom w:val="0"/>
                      <w:divBdr>
                        <w:top w:val="none" w:sz="0" w:space="0" w:color="auto"/>
                        <w:left w:val="none" w:sz="0" w:space="0" w:color="auto"/>
                        <w:bottom w:val="none" w:sz="0" w:space="0" w:color="auto"/>
                        <w:right w:val="none" w:sz="0" w:space="0" w:color="auto"/>
                      </w:divBdr>
                    </w:div>
                  </w:divsChild>
                </w:div>
                <w:div w:id="1543244945">
                  <w:marLeft w:val="0"/>
                  <w:marRight w:val="0"/>
                  <w:marTop w:val="0"/>
                  <w:marBottom w:val="0"/>
                  <w:divBdr>
                    <w:top w:val="none" w:sz="0" w:space="0" w:color="auto"/>
                    <w:left w:val="none" w:sz="0" w:space="0" w:color="auto"/>
                    <w:bottom w:val="none" w:sz="0" w:space="0" w:color="auto"/>
                    <w:right w:val="none" w:sz="0" w:space="0" w:color="auto"/>
                  </w:divBdr>
                  <w:divsChild>
                    <w:div w:id="1389301463">
                      <w:marLeft w:val="0"/>
                      <w:marRight w:val="0"/>
                      <w:marTop w:val="0"/>
                      <w:marBottom w:val="0"/>
                      <w:divBdr>
                        <w:top w:val="none" w:sz="0" w:space="0" w:color="auto"/>
                        <w:left w:val="none" w:sz="0" w:space="0" w:color="auto"/>
                        <w:bottom w:val="none" w:sz="0" w:space="0" w:color="auto"/>
                        <w:right w:val="none" w:sz="0" w:space="0" w:color="auto"/>
                      </w:divBdr>
                    </w:div>
                  </w:divsChild>
                </w:div>
                <w:div w:id="1544365712">
                  <w:marLeft w:val="0"/>
                  <w:marRight w:val="0"/>
                  <w:marTop w:val="0"/>
                  <w:marBottom w:val="0"/>
                  <w:divBdr>
                    <w:top w:val="none" w:sz="0" w:space="0" w:color="auto"/>
                    <w:left w:val="none" w:sz="0" w:space="0" w:color="auto"/>
                    <w:bottom w:val="none" w:sz="0" w:space="0" w:color="auto"/>
                    <w:right w:val="none" w:sz="0" w:space="0" w:color="auto"/>
                  </w:divBdr>
                  <w:divsChild>
                    <w:div w:id="1599949368">
                      <w:marLeft w:val="0"/>
                      <w:marRight w:val="0"/>
                      <w:marTop w:val="0"/>
                      <w:marBottom w:val="0"/>
                      <w:divBdr>
                        <w:top w:val="none" w:sz="0" w:space="0" w:color="auto"/>
                        <w:left w:val="none" w:sz="0" w:space="0" w:color="auto"/>
                        <w:bottom w:val="none" w:sz="0" w:space="0" w:color="auto"/>
                        <w:right w:val="none" w:sz="0" w:space="0" w:color="auto"/>
                      </w:divBdr>
                    </w:div>
                  </w:divsChild>
                </w:div>
                <w:div w:id="1847360643">
                  <w:marLeft w:val="0"/>
                  <w:marRight w:val="0"/>
                  <w:marTop w:val="0"/>
                  <w:marBottom w:val="0"/>
                  <w:divBdr>
                    <w:top w:val="none" w:sz="0" w:space="0" w:color="auto"/>
                    <w:left w:val="none" w:sz="0" w:space="0" w:color="auto"/>
                    <w:bottom w:val="none" w:sz="0" w:space="0" w:color="auto"/>
                    <w:right w:val="none" w:sz="0" w:space="0" w:color="auto"/>
                  </w:divBdr>
                  <w:divsChild>
                    <w:div w:id="770395077">
                      <w:marLeft w:val="0"/>
                      <w:marRight w:val="0"/>
                      <w:marTop w:val="0"/>
                      <w:marBottom w:val="0"/>
                      <w:divBdr>
                        <w:top w:val="none" w:sz="0" w:space="0" w:color="auto"/>
                        <w:left w:val="none" w:sz="0" w:space="0" w:color="auto"/>
                        <w:bottom w:val="none" w:sz="0" w:space="0" w:color="auto"/>
                        <w:right w:val="none" w:sz="0" w:space="0" w:color="auto"/>
                      </w:divBdr>
                    </w:div>
                  </w:divsChild>
                </w:div>
                <w:div w:id="1900169722">
                  <w:marLeft w:val="0"/>
                  <w:marRight w:val="0"/>
                  <w:marTop w:val="0"/>
                  <w:marBottom w:val="0"/>
                  <w:divBdr>
                    <w:top w:val="none" w:sz="0" w:space="0" w:color="auto"/>
                    <w:left w:val="none" w:sz="0" w:space="0" w:color="auto"/>
                    <w:bottom w:val="none" w:sz="0" w:space="0" w:color="auto"/>
                    <w:right w:val="none" w:sz="0" w:space="0" w:color="auto"/>
                  </w:divBdr>
                  <w:divsChild>
                    <w:div w:id="1933194917">
                      <w:marLeft w:val="0"/>
                      <w:marRight w:val="0"/>
                      <w:marTop w:val="0"/>
                      <w:marBottom w:val="0"/>
                      <w:divBdr>
                        <w:top w:val="none" w:sz="0" w:space="0" w:color="auto"/>
                        <w:left w:val="none" w:sz="0" w:space="0" w:color="auto"/>
                        <w:bottom w:val="none" w:sz="0" w:space="0" w:color="auto"/>
                        <w:right w:val="none" w:sz="0" w:space="0" w:color="auto"/>
                      </w:divBdr>
                    </w:div>
                  </w:divsChild>
                </w:div>
                <w:div w:id="2029215130">
                  <w:marLeft w:val="0"/>
                  <w:marRight w:val="0"/>
                  <w:marTop w:val="0"/>
                  <w:marBottom w:val="0"/>
                  <w:divBdr>
                    <w:top w:val="none" w:sz="0" w:space="0" w:color="auto"/>
                    <w:left w:val="none" w:sz="0" w:space="0" w:color="auto"/>
                    <w:bottom w:val="none" w:sz="0" w:space="0" w:color="auto"/>
                    <w:right w:val="none" w:sz="0" w:space="0" w:color="auto"/>
                  </w:divBdr>
                  <w:divsChild>
                    <w:div w:id="1345474619">
                      <w:marLeft w:val="0"/>
                      <w:marRight w:val="0"/>
                      <w:marTop w:val="0"/>
                      <w:marBottom w:val="0"/>
                      <w:divBdr>
                        <w:top w:val="none" w:sz="0" w:space="0" w:color="auto"/>
                        <w:left w:val="none" w:sz="0" w:space="0" w:color="auto"/>
                        <w:bottom w:val="none" w:sz="0" w:space="0" w:color="auto"/>
                        <w:right w:val="none" w:sz="0" w:space="0" w:color="auto"/>
                      </w:divBdr>
                    </w:div>
                  </w:divsChild>
                </w:div>
                <w:div w:id="2090954136">
                  <w:marLeft w:val="0"/>
                  <w:marRight w:val="0"/>
                  <w:marTop w:val="0"/>
                  <w:marBottom w:val="0"/>
                  <w:divBdr>
                    <w:top w:val="none" w:sz="0" w:space="0" w:color="auto"/>
                    <w:left w:val="none" w:sz="0" w:space="0" w:color="auto"/>
                    <w:bottom w:val="none" w:sz="0" w:space="0" w:color="auto"/>
                    <w:right w:val="none" w:sz="0" w:space="0" w:color="auto"/>
                  </w:divBdr>
                  <w:divsChild>
                    <w:div w:id="176117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5360">
          <w:marLeft w:val="0"/>
          <w:marRight w:val="0"/>
          <w:marTop w:val="0"/>
          <w:marBottom w:val="0"/>
          <w:divBdr>
            <w:top w:val="none" w:sz="0" w:space="0" w:color="auto"/>
            <w:left w:val="none" w:sz="0" w:space="0" w:color="auto"/>
            <w:bottom w:val="none" w:sz="0" w:space="0" w:color="auto"/>
            <w:right w:val="none" w:sz="0" w:space="0" w:color="auto"/>
          </w:divBdr>
        </w:div>
        <w:div w:id="1686785406">
          <w:marLeft w:val="0"/>
          <w:marRight w:val="0"/>
          <w:marTop w:val="0"/>
          <w:marBottom w:val="0"/>
          <w:divBdr>
            <w:top w:val="none" w:sz="0" w:space="0" w:color="auto"/>
            <w:left w:val="none" w:sz="0" w:space="0" w:color="auto"/>
            <w:bottom w:val="none" w:sz="0" w:space="0" w:color="auto"/>
            <w:right w:val="none" w:sz="0" w:space="0" w:color="auto"/>
          </w:divBdr>
        </w:div>
        <w:div w:id="1726248855">
          <w:marLeft w:val="0"/>
          <w:marRight w:val="0"/>
          <w:marTop w:val="0"/>
          <w:marBottom w:val="0"/>
          <w:divBdr>
            <w:top w:val="none" w:sz="0" w:space="0" w:color="auto"/>
            <w:left w:val="none" w:sz="0" w:space="0" w:color="auto"/>
            <w:bottom w:val="none" w:sz="0" w:space="0" w:color="auto"/>
            <w:right w:val="none" w:sz="0" w:space="0" w:color="auto"/>
          </w:divBdr>
          <w:divsChild>
            <w:div w:id="26762971">
              <w:marLeft w:val="0"/>
              <w:marRight w:val="0"/>
              <w:marTop w:val="0"/>
              <w:marBottom w:val="0"/>
              <w:divBdr>
                <w:top w:val="none" w:sz="0" w:space="0" w:color="auto"/>
                <w:left w:val="none" w:sz="0" w:space="0" w:color="auto"/>
                <w:bottom w:val="none" w:sz="0" w:space="0" w:color="auto"/>
                <w:right w:val="none" w:sz="0" w:space="0" w:color="auto"/>
              </w:divBdr>
            </w:div>
            <w:div w:id="31619848">
              <w:marLeft w:val="0"/>
              <w:marRight w:val="0"/>
              <w:marTop w:val="0"/>
              <w:marBottom w:val="0"/>
              <w:divBdr>
                <w:top w:val="none" w:sz="0" w:space="0" w:color="auto"/>
                <w:left w:val="none" w:sz="0" w:space="0" w:color="auto"/>
                <w:bottom w:val="none" w:sz="0" w:space="0" w:color="auto"/>
                <w:right w:val="none" w:sz="0" w:space="0" w:color="auto"/>
              </w:divBdr>
            </w:div>
            <w:div w:id="80181398">
              <w:marLeft w:val="0"/>
              <w:marRight w:val="0"/>
              <w:marTop w:val="0"/>
              <w:marBottom w:val="0"/>
              <w:divBdr>
                <w:top w:val="none" w:sz="0" w:space="0" w:color="auto"/>
                <w:left w:val="none" w:sz="0" w:space="0" w:color="auto"/>
                <w:bottom w:val="none" w:sz="0" w:space="0" w:color="auto"/>
                <w:right w:val="none" w:sz="0" w:space="0" w:color="auto"/>
              </w:divBdr>
            </w:div>
            <w:div w:id="126171799">
              <w:marLeft w:val="0"/>
              <w:marRight w:val="0"/>
              <w:marTop w:val="0"/>
              <w:marBottom w:val="0"/>
              <w:divBdr>
                <w:top w:val="none" w:sz="0" w:space="0" w:color="auto"/>
                <w:left w:val="none" w:sz="0" w:space="0" w:color="auto"/>
                <w:bottom w:val="none" w:sz="0" w:space="0" w:color="auto"/>
                <w:right w:val="none" w:sz="0" w:space="0" w:color="auto"/>
              </w:divBdr>
            </w:div>
            <w:div w:id="209074143">
              <w:marLeft w:val="0"/>
              <w:marRight w:val="0"/>
              <w:marTop w:val="0"/>
              <w:marBottom w:val="0"/>
              <w:divBdr>
                <w:top w:val="none" w:sz="0" w:space="0" w:color="auto"/>
                <w:left w:val="none" w:sz="0" w:space="0" w:color="auto"/>
                <w:bottom w:val="none" w:sz="0" w:space="0" w:color="auto"/>
                <w:right w:val="none" w:sz="0" w:space="0" w:color="auto"/>
              </w:divBdr>
            </w:div>
            <w:div w:id="298876478">
              <w:marLeft w:val="0"/>
              <w:marRight w:val="0"/>
              <w:marTop w:val="0"/>
              <w:marBottom w:val="0"/>
              <w:divBdr>
                <w:top w:val="none" w:sz="0" w:space="0" w:color="auto"/>
                <w:left w:val="none" w:sz="0" w:space="0" w:color="auto"/>
                <w:bottom w:val="none" w:sz="0" w:space="0" w:color="auto"/>
                <w:right w:val="none" w:sz="0" w:space="0" w:color="auto"/>
              </w:divBdr>
            </w:div>
            <w:div w:id="406999165">
              <w:marLeft w:val="0"/>
              <w:marRight w:val="0"/>
              <w:marTop w:val="0"/>
              <w:marBottom w:val="0"/>
              <w:divBdr>
                <w:top w:val="none" w:sz="0" w:space="0" w:color="auto"/>
                <w:left w:val="none" w:sz="0" w:space="0" w:color="auto"/>
                <w:bottom w:val="none" w:sz="0" w:space="0" w:color="auto"/>
                <w:right w:val="none" w:sz="0" w:space="0" w:color="auto"/>
              </w:divBdr>
            </w:div>
            <w:div w:id="408967711">
              <w:marLeft w:val="0"/>
              <w:marRight w:val="0"/>
              <w:marTop w:val="0"/>
              <w:marBottom w:val="0"/>
              <w:divBdr>
                <w:top w:val="none" w:sz="0" w:space="0" w:color="auto"/>
                <w:left w:val="none" w:sz="0" w:space="0" w:color="auto"/>
                <w:bottom w:val="none" w:sz="0" w:space="0" w:color="auto"/>
                <w:right w:val="none" w:sz="0" w:space="0" w:color="auto"/>
              </w:divBdr>
            </w:div>
            <w:div w:id="636497315">
              <w:marLeft w:val="0"/>
              <w:marRight w:val="0"/>
              <w:marTop w:val="0"/>
              <w:marBottom w:val="0"/>
              <w:divBdr>
                <w:top w:val="none" w:sz="0" w:space="0" w:color="auto"/>
                <w:left w:val="none" w:sz="0" w:space="0" w:color="auto"/>
                <w:bottom w:val="none" w:sz="0" w:space="0" w:color="auto"/>
                <w:right w:val="none" w:sz="0" w:space="0" w:color="auto"/>
              </w:divBdr>
            </w:div>
            <w:div w:id="809397097">
              <w:marLeft w:val="0"/>
              <w:marRight w:val="0"/>
              <w:marTop w:val="0"/>
              <w:marBottom w:val="0"/>
              <w:divBdr>
                <w:top w:val="none" w:sz="0" w:space="0" w:color="auto"/>
                <w:left w:val="none" w:sz="0" w:space="0" w:color="auto"/>
                <w:bottom w:val="none" w:sz="0" w:space="0" w:color="auto"/>
                <w:right w:val="none" w:sz="0" w:space="0" w:color="auto"/>
              </w:divBdr>
            </w:div>
            <w:div w:id="912086112">
              <w:marLeft w:val="0"/>
              <w:marRight w:val="0"/>
              <w:marTop w:val="0"/>
              <w:marBottom w:val="0"/>
              <w:divBdr>
                <w:top w:val="none" w:sz="0" w:space="0" w:color="auto"/>
                <w:left w:val="none" w:sz="0" w:space="0" w:color="auto"/>
                <w:bottom w:val="none" w:sz="0" w:space="0" w:color="auto"/>
                <w:right w:val="none" w:sz="0" w:space="0" w:color="auto"/>
              </w:divBdr>
            </w:div>
            <w:div w:id="1153522904">
              <w:marLeft w:val="0"/>
              <w:marRight w:val="0"/>
              <w:marTop w:val="0"/>
              <w:marBottom w:val="0"/>
              <w:divBdr>
                <w:top w:val="none" w:sz="0" w:space="0" w:color="auto"/>
                <w:left w:val="none" w:sz="0" w:space="0" w:color="auto"/>
                <w:bottom w:val="none" w:sz="0" w:space="0" w:color="auto"/>
                <w:right w:val="none" w:sz="0" w:space="0" w:color="auto"/>
              </w:divBdr>
            </w:div>
            <w:div w:id="1198933533">
              <w:marLeft w:val="0"/>
              <w:marRight w:val="0"/>
              <w:marTop w:val="0"/>
              <w:marBottom w:val="0"/>
              <w:divBdr>
                <w:top w:val="none" w:sz="0" w:space="0" w:color="auto"/>
                <w:left w:val="none" w:sz="0" w:space="0" w:color="auto"/>
                <w:bottom w:val="none" w:sz="0" w:space="0" w:color="auto"/>
                <w:right w:val="none" w:sz="0" w:space="0" w:color="auto"/>
              </w:divBdr>
            </w:div>
            <w:div w:id="1369068673">
              <w:marLeft w:val="0"/>
              <w:marRight w:val="0"/>
              <w:marTop w:val="0"/>
              <w:marBottom w:val="0"/>
              <w:divBdr>
                <w:top w:val="none" w:sz="0" w:space="0" w:color="auto"/>
                <w:left w:val="none" w:sz="0" w:space="0" w:color="auto"/>
                <w:bottom w:val="none" w:sz="0" w:space="0" w:color="auto"/>
                <w:right w:val="none" w:sz="0" w:space="0" w:color="auto"/>
              </w:divBdr>
            </w:div>
            <w:div w:id="1449087166">
              <w:marLeft w:val="0"/>
              <w:marRight w:val="0"/>
              <w:marTop w:val="0"/>
              <w:marBottom w:val="0"/>
              <w:divBdr>
                <w:top w:val="none" w:sz="0" w:space="0" w:color="auto"/>
                <w:left w:val="none" w:sz="0" w:space="0" w:color="auto"/>
                <w:bottom w:val="none" w:sz="0" w:space="0" w:color="auto"/>
                <w:right w:val="none" w:sz="0" w:space="0" w:color="auto"/>
              </w:divBdr>
            </w:div>
            <w:div w:id="1700348351">
              <w:marLeft w:val="0"/>
              <w:marRight w:val="0"/>
              <w:marTop w:val="0"/>
              <w:marBottom w:val="0"/>
              <w:divBdr>
                <w:top w:val="none" w:sz="0" w:space="0" w:color="auto"/>
                <w:left w:val="none" w:sz="0" w:space="0" w:color="auto"/>
                <w:bottom w:val="none" w:sz="0" w:space="0" w:color="auto"/>
                <w:right w:val="none" w:sz="0" w:space="0" w:color="auto"/>
              </w:divBdr>
            </w:div>
            <w:div w:id="1712730384">
              <w:marLeft w:val="0"/>
              <w:marRight w:val="0"/>
              <w:marTop w:val="0"/>
              <w:marBottom w:val="0"/>
              <w:divBdr>
                <w:top w:val="none" w:sz="0" w:space="0" w:color="auto"/>
                <w:left w:val="none" w:sz="0" w:space="0" w:color="auto"/>
                <w:bottom w:val="none" w:sz="0" w:space="0" w:color="auto"/>
                <w:right w:val="none" w:sz="0" w:space="0" w:color="auto"/>
              </w:divBdr>
            </w:div>
            <w:div w:id="1804614254">
              <w:marLeft w:val="0"/>
              <w:marRight w:val="0"/>
              <w:marTop w:val="0"/>
              <w:marBottom w:val="0"/>
              <w:divBdr>
                <w:top w:val="none" w:sz="0" w:space="0" w:color="auto"/>
                <w:left w:val="none" w:sz="0" w:space="0" w:color="auto"/>
                <w:bottom w:val="none" w:sz="0" w:space="0" w:color="auto"/>
                <w:right w:val="none" w:sz="0" w:space="0" w:color="auto"/>
              </w:divBdr>
            </w:div>
            <w:div w:id="1826389842">
              <w:marLeft w:val="0"/>
              <w:marRight w:val="0"/>
              <w:marTop w:val="0"/>
              <w:marBottom w:val="0"/>
              <w:divBdr>
                <w:top w:val="none" w:sz="0" w:space="0" w:color="auto"/>
                <w:left w:val="none" w:sz="0" w:space="0" w:color="auto"/>
                <w:bottom w:val="none" w:sz="0" w:space="0" w:color="auto"/>
                <w:right w:val="none" w:sz="0" w:space="0" w:color="auto"/>
              </w:divBdr>
            </w:div>
            <w:div w:id="2066416910">
              <w:marLeft w:val="0"/>
              <w:marRight w:val="0"/>
              <w:marTop w:val="0"/>
              <w:marBottom w:val="0"/>
              <w:divBdr>
                <w:top w:val="none" w:sz="0" w:space="0" w:color="auto"/>
                <w:left w:val="none" w:sz="0" w:space="0" w:color="auto"/>
                <w:bottom w:val="none" w:sz="0" w:space="0" w:color="auto"/>
                <w:right w:val="none" w:sz="0" w:space="0" w:color="auto"/>
              </w:divBdr>
            </w:div>
          </w:divsChild>
        </w:div>
        <w:div w:id="1757748145">
          <w:marLeft w:val="0"/>
          <w:marRight w:val="0"/>
          <w:marTop w:val="0"/>
          <w:marBottom w:val="0"/>
          <w:divBdr>
            <w:top w:val="none" w:sz="0" w:space="0" w:color="auto"/>
            <w:left w:val="none" w:sz="0" w:space="0" w:color="auto"/>
            <w:bottom w:val="none" w:sz="0" w:space="0" w:color="auto"/>
            <w:right w:val="none" w:sz="0" w:space="0" w:color="auto"/>
          </w:divBdr>
        </w:div>
        <w:div w:id="1776556698">
          <w:marLeft w:val="0"/>
          <w:marRight w:val="0"/>
          <w:marTop w:val="0"/>
          <w:marBottom w:val="0"/>
          <w:divBdr>
            <w:top w:val="none" w:sz="0" w:space="0" w:color="auto"/>
            <w:left w:val="none" w:sz="0" w:space="0" w:color="auto"/>
            <w:bottom w:val="none" w:sz="0" w:space="0" w:color="auto"/>
            <w:right w:val="none" w:sz="0" w:space="0" w:color="auto"/>
          </w:divBdr>
        </w:div>
        <w:div w:id="1807238965">
          <w:marLeft w:val="0"/>
          <w:marRight w:val="0"/>
          <w:marTop w:val="0"/>
          <w:marBottom w:val="0"/>
          <w:divBdr>
            <w:top w:val="none" w:sz="0" w:space="0" w:color="auto"/>
            <w:left w:val="none" w:sz="0" w:space="0" w:color="auto"/>
            <w:bottom w:val="none" w:sz="0" w:space="0" w:color="auto"/>
            <w:right w:val="none" w:sz="0" w:space="0" w:color="auto"/>
          </w:divBdr>
        </w:div>
        <w:div w:id="1809204174">
          <w:marLeft w:val="0"/>
          <w:marRight w:val="0"/>
          <w:marTop w:val="0"/>
          <w:marBottom w:val="0"/>
          <w:divBdr>
            <w:top w:val="none" w:sz="0" w:space="0" w:color="auto"/>
            <w:left w:val="none" w:sz="0" w:space="0" w:color="auto"/>
            <w:bottom w:val="none" w:sz="0" w:space="0" w:color="auto"/>
            <w:right w:val="none" w:sz="0" w:space="0" w:color="auto"/>
          </w:divBdr>
        </w:div>
        <w:div w:id="1822187232">
          <w:marLeft w:val="0"/>
          <w:marRight w:val="0"/>
          <w:marTop w:val="0"/>
          <w:marBottom w:val="0"/>
          <w:divBdr>
            <w:top w:val="none" w:sz="0" w:space="0" w:color="auto"/>
            <w:left w:val="none" w:sz="0" w:space="0" w:color="auto"/>
            <w:bottom w:val="none" w:sz="0" w:space="0" w:color="auto"/>
            <w:right w:val="none" w:sz="0" w:space="0" w:color="auto"/>
          </w:divBdr>
        </w:div>
        <w:div w:id="1836797449">
          <w:marLeft w:val="0"/>
          <w:marRight w:val="0"/>
          <w:marTop w:val="0"/>
          <w:marBottom w:val="0"/>
          <w:divBdr>
            <w:top w:val="none" w:sz="0" w:space="0" w:color="auto"/>
            <w:left w:val="none" w:sz="0" w:space="0" w:color="auto"/>
            <w:bottom w:val="none" w:sz="0" w:space="0" w:color="auto"/>
            <w:right w:val="none" w:sz="0" w:space="0" w:color="auto"/>
          </w:divBdr>
        </w:div>
        <w:div w:id="1861892265">
          <w:marLeft w:val="0"/>
          <w:marRight w:val="0"/>
          <w:marTop w:val="0"/>
          <w:marBottom w:val="0"/>
          <w:divBdr>
            <w:top w:val="none" w:sz="0" w:space="0" w:color="auto"/>
            <w:left w:val="none" w:sz="0" w:space="0" w:color="auto"/>
            <w:bottom w:val="none" w:sz="0" w:space="0" w:color="auto"/>
            <w:right w:val="none" w:sz="0" w:space="0" w:color="auto"/>
          </w:divBdr>
        </w:div>
        <w:div w:id="1963263888">
          <w:marLeft w:val="0"/>
          <w:marRight w:val="0"/>
          <w:marTop w:val="0"/>
          <w:marBottom w:val="0"/>
          <w:divBdr>
            <w:top w:val="none" w:sz="0" w:space="0" w:color="auto"/>
            <w:left w:val="none" w:sz="0" w:space="0" w:color="auto"/>
            <w:bottom w:val="none" w:sz="0" w:space="0" w:color="auto"/>
            <w:right w:val="none" w:sz="0" w:space="0" w:color="auto"/>
          </w:divBdr>
        </w:div>
        <w:div w:id="1997830662">
          <w:marLeft w:val="0"/>
          <w:marRight w:val="0"/>
          <w:marTop w:val="0"/>
          <w:marBottom w:val="0"/>
          <w:divBdr>
            <w:top w:val="none" w:sz="0" w:space="0" w:color="auto"/>
            <w:left w:val="none" w:sz="0" w:space="0" w:color="auto"/>
            <w:bottom w:val="none" w:sz="0" w:space="0" w:color="auto"/>
            <w:right w:val="none" w:sz="0" w:space="0" w:color="auto"/>
          </w:divBdr>
        </w:div>
      </w:divsChild>
    </w:div>
    <w:div w:id="311327646">
      <w:bodyDiv w:val="1"/>
      <w:marLeft w:val="0"/>
      <w:marRight w:val="0"/>
      <w:marTop w:val="0"/>
      <w:marBottom w:val="0"/>
      <w:divBdr>
        <w:top w:val="none" w:sz="0" w:space="0" w:color="auto"/>
        <w:left w:val="none" w:sz="0" w:space="0" w:color="auto"/>
        <w:bottom w:val="none" w:sz="0" w:space="0" w:color="auto"/>
        <w:right w:val="none" w:sz="0" w:space="0" w:color="auto"/>
      </w:divBdr>
      <w:divsChild>
        <w:div w:id="425660260">
          <w:marLeft w:val="0"/>
          <w:marRight w:val="0"/>
          <w:marTop w:val="0"/>
          <w:marBottom w:val="0"/>
          <w:divBdr>
            <w:top w:val="none" w:sz="0" w:space="0" w:color="auto"/>
            <w:left w:val="none" w:sz="0" w:space="0" w:color="auto"/>
            <w:bottom w:val="none" w:sz="0" w:space="0" w:color="auto"/>
            <w:right w:val="none" w:sz="0" w:space="0" w:color="auto"/>
          </w:divBdr>
          <w:divsChild>
            <w:div w:id="1268925076">
              <w:marLeft w:val="0"/>
              <w:marRight w:val="0"/>
              <w:marTop w:val="0"/>
              <w:marBottom w:val="0"/>
              <w:divBdr>
                <w:top w:val="none" w:sz="0" w:space="0" w:color="auto"/>
                <w:left w:val="none" w:sz="0" w:space="0" w:color="auto"/>
                <w:bottom w:val="none" w:sz="0" w:space="0" w:color="auto"/>
                <w:right w:val="none" w:sz="0" w:space="0" w:color="auto"/>
              </w:divBdr>
            </w:div>
            <w:div w:id="1415085247">
              <w:marLeft w:val="0"/>
              <w:marRight w:val="0"/>
              <w:marTop w:val="0"/>
              <w:marBottom w:val="0"/>
              <w:divBdr>
                <w:top w:val="none" w:sz="0" w:space="0" w:color="auto"/>
                <w:left w:val="none" w:sz="0" w:space="0" w:color="auto"/>
                <w:bottom w:val="none" w:sz="0" w:space="0" w:color="auto"/>
                <w:right w:val="none" w:sz="0" w:space="0" w:color="auto"/>
              </w:divBdr>
            </w:div>
            <w:div w:id="1501964740">
              <w:marLeft w:val="0"/>
              <w:marRight w:val="0"/>
              <w:marTop w:val="0"/>
              <w:marBottom w:val="0"/>
              <w:divBdr>
                <w:top w:val="none" w:sz="0" w:space="0" w:color="auto"/>
                <w:left w:val="none" w:sz="0" w:space="0" w:color="auto"/>
                <w:bottom w:val="none" w:sz="0" w:space="0" w:color="auto"/>
                <w:right w:val="none" w:sz="0" w:space="0" w:color="auto"/>
              </w:divBdr>
            </w:div>
            <w:div w:id="1514761707">
              <w:marLeft w:val="0"/>
              <w:marRight w:val="0"/>
              <w:marTop w:val="0"/>
              <w:marBottom w:val="0"/>
              <w:divBdr>
                <w:top w:val="none" w:sz="0" w:space="0" w:color="auto"/>
                <w:left w:val="none" w:sz="0" w:space="0" w:color="auto"/>
                <w:bottom w:val="none" w:sz="0" w:space="0" w:color="auto"/>
                <w:right w:val="none" w:sz="0" w:space="0" w:color="auto"/>
              </w:divBdr>
            </w:div>
            <w:div w:id="1516185315">
              <w:marLeft w:val="0"/>
              <w:marRight w:val="0"/>
              <w:marTop w:val="0"/>
              <w:marBottom w:val="0"/>
              <w:divBdr>
                <w:top w:val="none" w:sz="0" w:space="0" w:color="auto"/>
                <w:left w:val="none" w:sz="0" w:space="0" w:color="auto"/>
                <w:bottom w:val="none" w:sz="0" w:space="0" w:color="auto"/>
                <w:right w:val="none" w:sz="0" w:space="0" w:color="auto"/>
              </w:divBdr>
            </w:div>
            <w:div w:id="1705279272">
              <w:marLeft w:val="0"/>
              <w:marRight w:val="0"/>
              <w:marTop w:val="0"/>
              <w:marBottom w:val="0"/>
              <w:divBdr>
                <w:top w:val="none" w:sz="0" w:space="0" w:color="auto"/>
                <w:left w:val="none" w:sz="0" w:space="0" w:color="auto"/>
                <w:bottom w:val="none" w:sz="0" w:space="0" w:color="auto"/>
                <w:right w:val="none" w:sz="0" w:space="0" w:color="auto"/>
              </w:divBdr>
            </w:div>
            <w:div w:id="1715155159">
              <w:marLeft w:val="0"/>
              <w:marRight w:val="0"/>
              <w:marTop w:val="0"/>
              <w:marBottom w:val="0"/>
              <w:divBdr>
                <w:top w:val="none" w:sz="0" w:space="0" w:color="auto"/>
                <w:left w:val="none" w:sz="0" w:space="0" w:color="auto"/>
                <w:bottom w:val="none" w:sz="0" w:space="0" w:color="auto"/>
                <w:right w:val="none" w:sz="0" w:space="0" w:color="auto"/>
              </w:divBdr>
            </w:div>
            <w:div w:id="2032218396">
              <w:marLeft w:val="0"/>
              <w:marRight w:val="0"/>
              <w:marTop w:val="0"/>
              <w:marBottom w:val="0"/>
              <w:divBdr>
                <w:top w:val="none" w:sz="0" w:space="0" w:color="auto"/>
                <w:left w:val="none" w:sz="0" w:space="0" w:color="auto"/>
                <w:bottom w:val="none" w:sz="0" w:space="0" w:color="auto"/>
                <w:right w:val="none" w:sz="0" w:space="0" w:color="auto"/>
              </w:divBdr>
            </w:div>
          </w:divsChild>
        </w:div>
        <w:div w:id="828061912">
          <w:marLeft w:val="0"/>
          <w:marRight w:val="0"/>
          <w:marTop w:val="0"/>
          <w:marBottom w:val="0"/>
          <w:divBdr>
            <w:top w:val="none" w:sz="0" w:space="0" w:color="auto"/>
            <w:left w:val="none" w:sz="0" w:space="0" w:color="auto"/>
            <w:bottom w:val="none" w:sz="0" w:space="0" w:color="auto"/>
            <w:right w:val="none" w:sz="0" w:space="0" w:color="auto"/>
          </w:divBdr>
          <w:divsChild>
            <w:div w:id="294871684">
              <w:marLeft w:val="0"/>
              <w:marRight w:val="0"/>
              <w:marTop w:val="0"/>
              <w:marBottom w:val="0"/>
              <w:divBdr>
                <w:top w:val="none" w:sz="0" w:space="0" w:color="auto"/>
                <w:left w:val="none" w:sz="0" w:space="0" w:color="auto"/>
                <w:bottom w:val="none" w:sz="0" w:space="0" w:color="auto"/>
                <w:right w:val="none" w:sz="0" w:space="0" w:color="auto"/>
              </w:divBdr>
            </w:div>
            <w:div w:id="408889476">
              <w:marLeft w:val="0"/>
              <w:marRight w:val="0"/>
              <w:marTop w:val="0"/>
              <w:marBottom w:val="0"/>
              <w:divBdr>
                <w:top w:val="none" w:sz="0" w:space="0" w:color="auto"/>
                <w:left w:val="none" w:sz="0" w:space="0" w:color="auto"/>
                <w:bottom w:val="none" w:sz="0" w:space="0" w:color="auto"/>
                <w:right w:val="none" w:sz="0" w:space="0" w:color="auto"/>
              </w:divBdr>
            </w:div>
            <w:div w:id="451483574">
              <w:marLeft w:val="0"/>
              <w:marRight w:val="0"/>
              <w:marTop w:val="0"/>
              <w:marBottom w:val="0"/>
              <w:divBdr>
                <w:top w:val="none" w:sz="0" w:space="0" w:color="auto"/>
                <w:left w:val="none" w:sz="0" w:space="0" w:color="auto"/>
                <w:bottom w:val="none" w:sz="0" w:space="0" w:color="auto"/>
                <w:right w:val="none" w:sz="0" w:space="0" w:color="auto"/>
              </w:divBdr>
            </w:div>
            <w:div w:id="476533766">
              <w:marLeft w:val="0"/>
              <w:marRight w:val="0"/>
              <w:marTop w:val="0"/>
              <w:marBottom w:val="0"/>
              <w:divBdr>
                <w:top w:val="none" w:sz="0" w:space="0" w:color="auto"/>
                <w:left w:val="none" w:sz="0" w:space="0" w:color="auto"/>
                <w:bottom w:val="none" w:sz="0" w:space="0" w:color="auto"/>
                <w:right w:val="none" w:sz="0" w:space="0" w:color="auto"/>
              </w:divBdr>
            </w:div>
            <w:div w:id="592321221">
              <w:marLeft w:val="0"/>
              <w:marRight w:val="0"/>
              <w:marTop w:val="0"/>
              <w:marBottom w:val="0"/>
              <w:divBdr>
                <w:top w:val="none" w:sz="0" w:space="0" w:color="auto"/>
                <w:left w:val="none" w:sz="0" w:space="0" w:color="auto"/>
                <w:bottom w:val="none" w:sz="0" w:space="0" w:color="auto"/>
                <w:right w:val="none" w:sz="0" w:space="0" w:color="auto"/>
              </w:divBdr>
            </w:div>
            <w:div w:id="1018580114">
              <w:marLeft w:val="0"/>
              <w:marRight w:val="0"/>
              <w:marTop w:val="0"/>
              <w:marBottom w:val="0"/>
              <w:divBdr>
                <w:top w:val="none" w:sz="0" w:space="0" w:color="auto"/>
                <w:left w:val="none" w:sz="0" w:space="0" w:color="auto"/>
                <w:bottom w:val="none" w:sz="0" w:space="0" w:color="auto"/>
                <w:right w:val="none" w:sz="0" w:space="0" w:color="auto"/>
              </w:divBdr>
            </w:div>
            <w:div w:id="1025835256">
              <w:marLeft w:val="0"/>
              <w:marRight w:val="0"/>
              <w:marTop w:val="0"/>
              <w:marBottom w:val="0"/>
              <w:divBdr>
                <w:top w:val="none" w:sz="0" w:space="0" w:color="auto"/>
                <w:left w:val="none" w:sz="0" w:space="0" w:color="auto"/>
                <w:bottom w:val="none" w:sz="0" w:space="0" w:color="auto"/>
                <w:right w:val="none" w:sz="0" w:space="0" w:color="auto"/>
              </w:divBdr>
            </w:div>
            <w:div w:id="1125543114">
              <w:marLeft w:val="0"/>
              <w:marRight w:val="0"/>
              <w:marTop w:val="0"/>
              <w:marBottom w:val="0"/>
              <w:divBdr>
                <w:top w:val="none" w:sz="0" w:space="0" w:color="auto"/>
                <w:left w:val="none" w:sz="0" w:space="0" w:color="auto"/>
                <w:bottom w:val="none" w:sz="0" w:space="0" w:color="auto"/>
                <w:right w:val="none" w:sz="0" w:space="0" w:color="auto"/>
              </w:divBdr>
            </w:div>
            <w:div w:id="1277248818">
              <w:marLeft w:val="0"/>
              <w:marRight w:val="0"/>
              <w:marTop w:val="0"/>
              <w:marBottom w:val="0"/>
              <w:divBdr>
                <w:top w:val="none" w:sz="0" w:space="0" w:color="auto"/>
                <w:left w:val="none" w:sz="0" w:space="0" w:color="auto"/>
                <w:bottom w:val="none" w:sz="0" w:space="0" w:color="auto"/>
                <w:right w:val="none" w:sz="0" w:space="0" w:color="auto"/>
              </w:divBdr>
            </w:div>
            <w:div w:id="1341733718">
              <w:marLeft w:val="0"/>
              <w:marRight w:val="0"/>
              <w:marTop w:val="0"/>
              <w:marBottom w:val="0"/>
              <w:divBdr>
                <w:top w:val="none" w:sz="0" w:space="0" w:color="auto"/>
                <w:left w:val="none" w:sz="0" w:space="0" w:color="auto"/>
                <w:bottom w:val="none" w:sz="0" w:space="0" w:color="auto"/>
                <w:right w:val="none" w:sz="0" w:space="0" w:color="auto"/>
              </w:divBdr>
            </w:div>
            <w:div w:id="1462112993">
              <w:marLeft w:val="0"/>
              <w:marRight w:val="0"/>
              <w:marTop w:val="0"/>
              <w:marBottom w:val="0"/>
              <w:divBdr>
                <w:top w:val="none" w:sz="0" w:space="0" w:color="auto"/>
                <w:left w:val="none" w:sz="0" w:space="0" w:color="auto"/>
                <w:bottom w:val="none" w:sz="0" w:space="0" w:color="auto"/>
                <w:right w:val="none" w:sz="0" w:space="0" w:color="auto"/>
              </w:divBdr>
            </w:div>
            <w:div w:id="1546411329">
              <w:marLeft w:val="0"/>
              <w:marRight w:val="0"/>
              <w:marTop w:val="0"/>
              <w:marBottom w:val="0"/>
              <w:divBdr>
                <w:top w:val="none" w:sz="0" w:space="0" w:color="auto"/>
                <w:left w:val="none" w:sz="0" w:space="0" w:color="auto"/>
                <w:bottom w:val="none" w:sz="0" w:space="0" w:color="auto"/>
                <w:right w:val="none" w:sz="0" w:space="0" w:color="auto"/>
              </w:divBdr>
            </w:div>
            <w:div w:id="1560164857">
              <w:marLeft w:val="0"/>
              <w:marRight w:val="0"/>
              <w:marTop w:val="0"/>
              <w:marBottom w:val="0"/>
              <w:divBdr>
                <w:top w:val="none" w:sz="0" w:space="0" w:color="auto"/>
                <w:left w:val="none" w:sz="0" w:space="0" w:color="auto"/>
                <w:bottom w:val="none" w:sz="0" w:space="0" w:color="auto"/>
                <w:right w:val="none" w:sz="0" w:space="0" w:color="auto"/>
              </w:divBdr>
            </w:div>
            <w:div w:id="1592085436">
              <w:marLeft w:val="0"/>
              <w:marRight w:val="0"/>
              <w:marTop w:val="0"/>
              <w:marBottom w:val="0"/>
              <w:divBdr>
                <w:top w:val="none" w:sz="0" w:space="0" w:color="auto"/>
                <w:left w:val="none" w:sz="0" w:space="0" w:color="auto"/>
                <w:bottom w:val="none" w:sz="0" w:space="0" w:color="auto"/>
                <w:right w:val="none" w:sz="0" w:space="0" w:color="auto"/>
              </w:divBdr>
            </w:div>
            <w:div w:id="1746223511">
              <w:marLeft w:val="0"/>
              <w:marRight w:val="0"/>
              <w:marTop w:val="0"/>
              <w:marBottom w:val="0"/>
              <w:divBdr>
                <w:top w:val="none" w:sz="0" w:space="0" w:color="auto"/>
                <w:left w:val="none" w:sz="0" w:space="0" w:color="auto"/>
                <w:bottom w:val="none" w:sz="0" w:space="0" w:color="auto"/>
                <w:right w:val="none" w:sz="0" w:space="0" w:color="auto"/>
              </w:divBdr>
            </w:div>
            <w:div w:id="1853369827">
              <w:marLeft w:val="0"/>
              <w:marRight w:val="0"/>
              <w:marTop w:val="0"/>
              <w:marBottom w:val="0"/>
              <w:divBdr>
                <w:top w:val="none" w:sz="0" w:space="0" w:color="auto"/>
                <w:left w:val="none" w:sz="0" w:space="0" w:color="auto"/>
                <w:bottom w:val="none" w:sz="0" w:space="0" w:color="auto"/>
                <w:right w:val="none" w:sz="0" w:space="0" w:color="auto"/>
              </w:divBdr>
            </w:div>
            <w:div w:id="1879392888">
              <w:marLeft w:val="0"/>
              <w:marRight w:val="0"/>
              <w:marTop w:val="0"/>
              <w:marBottom w:val="0"/>
              <w:divBdr>
                <w:top w:val="none" w:sz="0" w:space="0" w:color="auto"/>
                <w:left w:val="none" w:sz="0" w:space="0" w:color="auto"/>
                <w:bottom w:val="none" w:sz="0" w:space="0" w:color="auto"/>
                <w:right w:val="none" w:sz="0" w:space="0" w:color="auto"/>
              </w:divBdr>
            </w:div>
            <w:div w:id="2016611135">
              <w:marLeft w:val="0"/>
              <w:marRight w:val="0"/>
              <w:marTop w:val="0"/>
              <w:marBottom w:val="0"/>
              <w:divBdr>
                <w:top w:val="none" w:sz="0" w:space="0" w:color="auto"/>
                <w:left w:val="none" w:sz="0" w:space="0" w:color="auto"/>
                <w:bottom w:val="none" w:sz="0" w:space="0" w:color="auto"/>
                <w:right w:val="none" w:sz="0" w:space="0" w:color="auto"/>
              </w:divBdr>
            </w:div>
            <w:div w:id="2028364790">
              <w:marLeft w:val="0"/>
              <w:marRight w:val="0"/>
              <w:marTop w:val="0"/>
              <w:marBottom w:val="0"/>
              <w:divBdr>
                <w:top w:val="none" w:sz="0" w:space="0" w:color="auto"/>
                <w:left w:val="none" w:sz="0" w:space="0" w:color="auto"/>
                <w:bottom w:val="none" w:sz="0" w:space="0" w:color="auto"/>
                <w:right w:val="none" w:sz="0" w:space="0" w:color="auto"/>
              </w:divBdr>
            </w:div>
            <w:div w:id="2080590575">
              <w:marLeft w:val="0"/>
              <w:marRight w:val="0"/>
              <w:marTop w:val="0"/>
              <w:marBottom w:val="0"/>
              <w:divBdr>
                <w:top w:val="none" w:sz="0" w:space="0" w:color="auto"/>
                <w:left w:val="none" w:sz="0" w:space="0" w:color="auto"/>
                <w:bottom w:val="none" w:sz="0" w:space="0" w:color="auto"/>
                <w:right w:val="none" w:sz="0" w:space="0" w:color="auto"/>
              </w:divBdr>
            </w:div>
          </w:divsChild>
        </w:div>
        <w:div w:id="1798723172">
          <w:marLeft w:val="0"/>
          <w:marRight w:val="0"/>
          <w:marTop w:val="0"/>
          <w:marBottom w:val="0"/>
          <w:divBdr>
            <w:top w:val="none" w:sz="0" w:space="0" w:color="auto"/>
            <w:left w:val="none" w:sz="0" w:space="0" w:color="auto"/>
            <w:bottom w:val="none" w:sz="0" w:space="0" w:color="auto"/>
            <w:right w:val="none" w:sz="0" w:space="0" w:color="auto"/>
          </w:divBdr>
          <w:divsChild>
            <w:div w:id="26689385">
              <w:marLeft w:val="0"/>
              <w:marRight w:val="0"/>
              <w:marTop w:val="0"/>
              <w:marBottom w:val="0"/>
              <w:divBdr>
                <w:top w:val="none" w:sz="0" w:space="0" w:color="auto"/>
                <w:left w:val="none" w:sz="0" w:space="0" w:color="auto"/>
                <w:bottom w:val="none" w:sz="0" w:space="0" w:color="auto"/>
                <w:right w:val="none" w:sz="0" w:space="0" w:color="auto"/>
              </w:divBdr>
            </w:div>
            <w:div w:id="93945394">
              <w:marLeft w:val="0"/>
              <w:marRight w:val="0"/>
              <w:marTop w:val="0"/>
              <w:marBottom w:val="0"/>
              <w:divBdr>
                <w:top w:val="none" w:sz="0" w:space="0" w:color="auto"/>
                <w:left w:val="none" w:sz="0" w:space="0" w:color="auto"/>
                <w:bottom w:val="none" w:sz="0" w:space="0" w:color="auto"/>
                <w:right w:val="none" w:sz="0" w:space="0" w:color="auto"/>
              </w:divBdr>
            </w:div>
            <w:div w:id="209920018">
              <w:marLeft w:val="0"/>
              <w:marRight w:val="0"/>
              <w:marTop w:val="0"/>
              <w:marBottom w:val="0"/>
              <w:divBdr>
                <w:top w:val="none" w:sz="0" w:space="0" w:color="auto"/>
                <w:left w:val="none" w:sz="0" w:space="0" w:color="auto"/>
                <w:bottom w:val="none" w:sz="0" w:space="0" w:color="auto"/>
                <w:right w:val="none" w:sz="0" w:space="0" w:color="auto"/>
              </w:divBdr>
            </w:div>
            <w:div w:id="371656722">
              <w:marLeft w:val="0"/>
              <w:marRight w:val="0"/>
              <w:marTop w:val="0"/>
              <w:marBottom w:val="0"/>
              <w:divBdr>
                <w:top w:val="none" w:sz="0" w:space="0" w:color="auto"/>
                <w:left w:val="none" w:sz="0" w:space="0" w:color="auto"/>
                <w:bottom w:val="none" w:sz="0" w:space="0" w:color="auto"/>
                <w:right w:val="none" w:sz="0" w:space="0" w:color="auto"/>
              </w:divBdr>
            </w:div>
            <w:div w:id="426459821">
              <w:marLeft w:val="0"/>
              <w:marRight w:val="0"/>
              <w:marTop w:val="0"/>
              <w:marBottom w:val="0"/>
              <w:divBdr>
                <w:top w:val="none" w:sz="0" w:space="0" w:color="auto"/>
                <w:left w:val="none" w:sz="0" w:space="0" w:color="auto"/>
                <w:bottom w:val="none" w:sz="0" w:space="0" w:color="auto"/>
                <w:right w:val="none" w:sz="0" w:space="0" w:color="auto"/>
              </w:divBdr>
            </w:div>
            <w:div w:id="512108772">
              <w:marLeft w:val="0"/>
              <w:marRight w:val="0"/>
              <w:marTop w:val="0"/>
              <w:marBottom w:val="0"/>
              <w:divBdr>
                <w:top w:val="none" w:sz="0" w:space="0" w:color="auto"/>
                <w:left w:val="none" w:sz="0" w:space="0" w:color="auto"/>
                <w:bottom w:val="none" w:sz="0" w:space="0" w:color="auto"/>
                <w:right w:val="none" w:sz="0" w:space="0" w:color="auto"/>
              </w:divBdr>
            </w:div>
            <w:div w:id="604920206">
              <w:marLeft w:val="0"/>
              <w:marRight w:val="0"/>
              <w:marTop w:val="0"/>
              <w:marBottom w:val="0"/>
              <w:divBdr>
                <w:top w:val="none" w:sz="0" w:space="0" w:color="auto"/>
                <w:left w:val="none" w:sz="0" w:space="0" w:color="auto"/>
                <w:bottom w:val="none" w:sz="0" w:space="0" w:color="auto"/>
                <w:right w:val="none" w:sz="0" w:space="0" w:color="auto"/>
              </w:divBdr>
            </w:div>
            <w:div w:id="710152209">
              <w:marLeft w:val="0"/>
              <w:marRight w:val="0"/>
              <w:marTop w:val="0"/>
              <w:marBottom w:val="0"/>
              <w:divBdr>
                <w:top w:val="none" w:sz="0" w:space="0" w:color="auto"/>
                <w:left w:val="none" w:sz="0" w:space="0" w:color="auto"/>
                <w:bottom w:val="none" w:sz="0" w:space="0" w:color="auto"/>
                <w:right w:val="none" w:sz="0" w:space="0" w:color="auto"/>
              </w:divBdr>
            </w:div>
            <w:div w:id="902721244">
              <w:marLeft w:val="0"/>
              <w:marRight w:val="0"/>
              <w:marTop w:val="0"/>
              <w:marBottom w:val="0"/>
              <w:divBdr>
                <w:top w:val="none" w:sz="0" w:space="0" w:color="auto"/>
                <w:left w:val="none" w:sz="0" w:space="0" w:color="auto"/>
                <w:bottom w:val="none" w:sz="0" w:space="0" w:color="auto"/>
                <w:right w:val="none" w:sz="0" w:space="0" w:color="auto"/>
              </w:divBdr>
            </w:div>
            <w:div w:id="956525366">
              <w:marLeft w:val="0"/>
              <w:marRight w:val="0"/>
              <w:marTop w:val="0"/>
              <w:marBottom w:val="0"/>
              <w:divBdr>
                <w:top w:val="none" w:sz="0" w:space="0" w:color="auto"/>
                <w:left w:val="none" w:sz="0" w:space="0" w:color="auto"/>
                <w:bottom w:val="none" w:sz="0" w:space="0" w:color="auto"/>
                <w:right w:val="none" w:sz="0" w:space="0" w:color="auto"/>
              </w:divBdr>
            </w:div>
            <w:div w:id="1021199102">
              <w:marLeft w:val="0"/>
              <w:marRight w:val="0"/>
              <w:marTop w:val="0"/>
              <w:marBottom w:val="0"/>
              <w:divBdr>
                <w:top w:val="none" w:sz="0" w:space="0" w:color="auto"/>
                <w:left w:val="none" w:sz="0" w:space="0" w:color="auto"/>
                <w:bottom w:val="none" w:sz="0" w:space="0" w:color="auto"/>
                <w:right w:val="none" w:sz="0" w:space="0" w:color="auto"/>
              </w:divBdr>
            </w:div>
            <w:div w:id="1057632305">
              <w:marLeft w:val="0"/>
              <w:marRight w:val="0"/>
              <w:marTop w:val="0"/>
              <w:marBottom w:val="0"/>
              <w:divBdr>
                <w:top w:val="none" w:sz="0" w:space="0" w:color="auto"/>
                <w:left w:val="none" w:sz="0" w:space="0" w:color="auto"/>
                <w:bottom w:val="none" w:sz="0" w:space="0" w:color="auto"/>
                <w:right w:val="none" w:sz="0" w:space="0" w:color="auto"/>
              </w:divBdr>
            </w:div>
            <w:div w:id="1130711973">
              <w:marLeft w:val="0"/>
              <w:marRight w:val="0"/>
              <w:marTop w:val="0"/>
              <w:marBottom w:val="0"/>
              <w:divBdr>
                <w:top w:val="none" w:sz="0" w:space="0" w:color="auto"/>
                <w:left w:val="none" w:sz="0" w:space="0" w:color="auto"/>
                <w:bottom w:val="none" w:sz="0" w:space="0" w:color="auto"/>
                <w:right w:val="none" w:sz="0" w:space="0" w:color="auto"/>
              </w:divBdr>
            </w:div>
            <w:div w:id="1237784119">
              <w:marLeft w:val="0"/>
              <w:marRight w:val="0"/>
              <w:marTop w:val="0"/>
              <w:marBottom w:val="0"/>
              <w:divBdr>
                <w:top w:val="none" w:sz="0" w:space="0" w:color="auto"/>
                <w:left w:val="none" w:sz="0" w:space="0" w:color="auto"/>
                <w:bottom w:val="none" w:sz="0" w:space="0" w:color="auto"/>
                <w:right w:val="none" w:sz="0" w:space="0" w:color="auto"/>
              </w:divBdr>
            </w:div>
            <w:div w:id="1253706835">
              <w:marLeft w:val="0"/>
              <w:marRight w:val="0"/>
              <w:marTop w:val="0"/>
              <w:marBottom w:val="0"/>
              <w:divBdr>
                <w:top w:val="none" w:sz="0" w:space="0" w:color="auto"/>
                <w:left w:val="none" w:sz="0" w:space="0" w:color="auto"/>
                <w:bottom w:val="none" w:sz="0" w:space="0" w:color="auto"/>
                <w:right w:val="none" w:sz="0" w:space="0" w:color="auto"/>
              </w:divBdr>
            </w:div>
            <w:div w:id="1307247226">
              <w:marLeft w:val="0"/>
              <w:marRight w:val="0"/>
              <w:marTop w:val="0"/>
              <w:marBottom w:val="0"/>
              <w:divBdr>
                <w:top w:val="none" w:sz="0" w:space="0" w:color="auto"/>
                <w:left w:val="none" w:sz="0" w:space="0" w:color="auto"/>
                <w:bottom w:val="none" w:sz="0" w:space="0" w:color="auto"/>
                <w:right w:val="none" w:sz="0" w:space="0" w:color="auto"/>
              </w:divBdr>
            </w:div>
            <w:div w:id="1715160351">
              <w:marLeft w:val="0"/>
              <w:marRight w:val="0"/>
              <w:marTop w:val="0"/>
              <w:marBottom w:val="0"/>
              <w:divBdr>
                <w:top w:val="none" w:sz="0" w:space="0" w:color="auto"/>
                <w:left w:val="none" w:sz="0" w:space="0" w:color="auto"/>
                <w:bottom w:val="none" w:sz="0" w:space="0" w:color="auto"/>
                <w:right w:val="none" w:sz="0" w:space="0" w:color="auto"/>
              </w:divBdr>
            </w:div>
            <w:div w:id="1718815948">
              <w:marLeft w:val="0"/>
              <w:marRight w:val="0"/>
              <w:marTop w:val="0"/>
              <w:marBottom w:val="0"/>
              <w:divBdr>
                <w:top w:val="none" w:sz="0" w:space="0" w:color="auto"/>
                <w:left w:val="none" w:sz="0" w:space="0" w:color="auto"/>
                <w:bottom w:val="none" w:sz="0" w:space="0" w:color="auto"/>
                <w:right w:val="none" w:sz="0" w:space="0" w:color="auto"/>
              </w:divBdr>
            </w:div>
            <w:div w:id="1756436767">
              <w:marLeft w:val="0"/>
              <w:marRight w:val="0"/>
              <w:marTop w:val="0"/>
              <w:marBottom w:val="0"/>
              <w:divBdr>
                <w:top w:val="none" w:sz="0" w:space="0" w:color="auto"/>
                <w:left w:val="none" w:sz="0" w:space="0" w:color="auto"/>
                <w:bottom w:val="none" w:sz="0" w:space="0" w:color="auto"/>
                <w:right w:val="none" w:sz="0" w:space="0" w:color="auto"/>
              </w:divBdr>
            </w:div>
            <w:div w:id="1997683741">
              <w:marLeft w:val="0"/>
              <w:marRight w:val="0"/>
              <w:marTop w:val="0"/>
              <w:marBottom w:val="0"/>
              <w:divBdr>
                <w:top w:val="none" w:sz="0" w:space="0" w:color="auto"/>
                <w:left w:val="none" w:sz="0" w:space="0" w:color="auto"/>
                <w:bottom w:val="none" w:sz="0" w:space="0" w:color="auto"/>
                <w:right w:val="none" w:sz="0" w:space="0" w:color="auto"/>
              </w:divBdr>
            </w:div>
          </w:divsChild>
        </w:div>
        <w:div w:id="2112624652">
          <w:marLeft w:val="0"/>
          <w:marRight w:val="0"/>
          <w:marTop w:val="0"/>
          <w:marBottom w:val="0"/>
          <w:divBdr>
            <w:top w:val="none" w:sz="0" w:space="0" w:color="auto"/>
            <w:left w:val="none" w:sz="0" w:space="0" w:color="auto"/>
            <w:bottom w:val="none" w:sz="0" w:space="0" w:color="auto"/>
            <w:right w:val="none" w:sz="0" w:space="0" w:color="auto"/>
          </w:divBdr>
          <w:divsChild>
            <w:div w:id="159345855">
              <w:marLeft w:val="0"/>
              <w:marRight w:val="0"/>
              <w:marTop w:val="0"/>
              <w:marBottom w:val="0"/>
              <w:divBdr>
                <w:top w:val="none" w:sz="0" w:space="0" w:color="auto"/>
                <w:left w:val="none" w:sz="0" w:space="0" w:color="auto"/>
                <w:bottom w:val="none" w:sz="0" w:space="0" w:color="auto"/>
                <w:right w:val="none" w:sz="0" w:space="0" w:color="auto"/>
              </w:divBdr>
            </w:div>
            <w:div w:id="233661569">
              <w:marLeft w:val="0"/>
              <w:marRight w:val="0"/>
              <w:marTop w:val="0"/>
              <w:marBottom w:val="0"/>
              <w:divBdr>
                <w:top w:val="none" w:sz="0" w:space="0" w:color="auto"/>
                <w:left w:val="none" w:sz="0" w:space="0" w:color="auto"/>
                <w:bottom w:val="none" w:sz="0" w:space="0" w:color="auto"/>
                <w:right w:val="none" w:sz="0" w:space="0" w:color="auto"/>
              </w:divBdr>
            </w:div>
            <w:div w:id="897278150">
              <w:marLeft w:val="0"/>
              <w:marRight w:val="0"/>
              <w:marTop w:val="0"/>
              <w:marBottom w:val="0"/>
              <w:divBdr>
                <w:top w:val="none" w:sz="0" w:space="0" w:color="auto"/>
                <w:left w:val="none" w:sz="0" w:space="0" w:color="auto"/>
                <w:bottom w:val="none" w:sz="0" w:space="0" w:color="auto"/>
                <w:right w:val="none" w:sz="0" w:space="0" w:color="auto"/>
              </w:divBdr>
            </w:div>
            <w:div w:id="1368986709">
              <w:marLeft w:val="0"/>
              <w:marRight w:val="0"/>
              <w:marTop w:val="0"/>
              <w:marBottom w:val="0"/>
              <w:divBdr>
                <w:top w:val="none" w:sz="0" w:space="0" w:color="auto"/>
                <w:left w:val="none" w:sz="0" w:space="0" w:color="auto"/>
                <w:bottom w:val="none" w:sz="0" w:space="0" w:color="auto"/>
                <w:right w:val="none" w:sz="0" w:space="0" w:color="auto"/>
              </w:divBdr>
            </w:div>
            <w:div w:id="143825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51319">
      <w:bodyDiv w:val="1"/>
      <w:marLeft w:val="0"/>
      <w:marRight w:val="0"/>
      <w:marTop w:val="0"/>
      <w:marBottom w:val="0"/>
      <w:divBdr>
        <w:top w:val="none" w:sz="0" w:space="0" w:color="auto"/>
        <w:left w:val="none" w:sz="0" w:space="0" w:color="auto"/>
        <w:bottom w:val="none" w:sz="0" w:space="0" w:color="auto"/>
        <w:right w:val="none" w:sz="0" w:space="0" w:color="auto"/>
      </w:divBdr>
      <w:divsChild>
        <w:div w:id="39865694">
          <w:marLeft w:val="0"/>
          <w:marRight w:val="0"/>
          <w:marTop w:val="0"/>
          <w:marBottom w:val="0"/>
          <w:divBdr>
            <w:top w:val="none" w:sz="0" w:space="0" w:color="auto"/>
            <w:left w:val="none" w:sz="0" w:space="0" w:color="auto"/>
            <w:bottom w:val="none" w:sz="0" w:space="0" w:color="auto"/>
            <w:right w:val="none" w:sz="0" w:space="0" w:color="auto"/>
          </w:divBdr>
          <w:divsChild>
            <w:div w:id="854928050">
              <w:marLeft w:val="0"/>
              <w:marRight w:val="0"/>
              <w:marTop w:val="0"/>
              <w:marBottom w:val="0"/>
              <w:divBdr>
                <w:top w:val="none" w:sz="0" w:space="0" w:color="auto"/>
                <w:left w:val="none" w:sz="0" w:space="0" w:color="auto"/>
                <w:bottom w:val="none" w:sz="0" w:space="0" w:color="auto"/>
                <w:right w:val="none" w:sz="0" w:space="0" w:color="auto"/>
              </w:divBdr>
            </w:div>
          </w:divsChild>
        </w:div>
        <w:div w:id="128909454">
          <w:marLeft w:val="0"/>
          <w:marRight w:val="0"/>
          <w:marTop w:val="0"/>
          <w:marBottom w:val="0"/>
          <w:divBdr>
            <w:top w:val="none" w:sz="0" w:space="0" w:color="auto"/>
            <w:left w:val="none" w:sz="0" w:space="0" w:color="auto"/>
            <w:bottom w:val="none" w:sz="0" w:space="0" w:color="auto"/>
            <w:right w:val="none" w:sz="0" w:space="0" w:color="auto"/>
          </w:divBdr>
          <w:divsChild>
            <w:div w:id="144321212">
              <w:marLeft w:val="0"/>
              <w:marRight w:val="0"/>
              <w:marTop w:val="0"/>
              <w:marBottom w:val="0"/>
              <w:divBdr>
                <w:top w:val="none" w:sz="0" w:space="0" w:color="auto"/>
                <w:left w:val="none" w:sz="0" w:space="0" w:color="auto"/>
                <w:bottom w:val="none" w:sz="0" w:space="0" w:color="auto"/>
                <w:right w:val="none" w:sz="0" w:space="0" w:color="auto"/>
              </w:divBdr>
            </w:div>
          </w:divsChild>
        </w:div>
        <w:div w:id="131557204">
          <w:marLeft w:val="0"/>
          <w:marRight w:val="0"/>
          <w:marTop w:val="0"/>
          <w:marBottom w:val="0"/>
          <w:divBdr>
            <w:top w:val="none" w:sz="0" w:space="0" w:color="auto"/>
            <w:left w:val="none" w:sz="0" w:space="0" w:color="auto"/>
            <w:bottom w:val="none" w:sz="0" w:space="0" w:color="auto"/>
            <w:right w:val="none" w:sz="0" w:space="0" w:color="auto"/>
          </w:divBdr>
          <w:divsChild>
            <w:div w:id="886070302">
              <w:marLeft w:val="0"/>
              <w:marRight w:val="0"/>
              <w:marTop w:val="0"/>
              <w:marBottom w:val="0"/>
              <w:divBdr>
                <w:top w:val="none" w:sz="0" w:space="0" w:color="auto"/>
                <w:left w:val="none" w:sz="0" w:space="0" w:color="auto"/>
                <w:bottom w:val="none" w:sz="0" w:space="0" w:color="auto"/>
                <w:right w:val="none" w:sz="0" w:space="0" w:color="auto"/>
              </w:divBdr>
            </w:div>
          </w:divsChild>
        </w:div>
        <w:div w:id="283774394">
          <w:marLeft w:val="0"/>
          <w:marRight w:val="0"/>
          <w:marTop w:val="0"/>
          <w:marBottom w:val="0"/>
          <w:divBdr>
            <w:top w:val="none" w:sz="0" w:space="0" w:color="auto"/>
            <w:left w:val="none" w:sz="0" w:space="0" w:color="auto"/>
            <w:bottom w:val="none" w:sz="0" w:space="0" w:color="auto"/>
            <w:right w:val="none" w:sz="0" w:space="0" w:color="auto"/>
          </w:divBdr>
          <w:divsChild>
            <w:div w:id="519120886">
              <w:marLeft w:val="0"/>
              <w:marRight w:val="0"/>
              <w:marTop w:val="0"/>
              <w:marBottom w:val="0"/>
              <w:divBdr>
                <w:top w:val="none" w:sz="0" w:space="0" w:color="auto"/>
                <w:left w:val="none" w:sz="0" w:space="0" w:color="auto"/>
                <w:bottom w:val="none" w:sz="0" w:space="0" w:color="auto"/>
                <w:right w:val="none" w:sz="0" w:space="0" w:color="auto"/>
              </w:divBdr>
            </w:div>
          </w:divsChild>
        </w:div>
        <w:div w:id="338849301">
          <w:marLeft w:val="0"/>
          <w:marRight w:val="0"/>
          <w:marTop w:val="0"/>
          <w:marBottom w:val="0"/>
          <w:divBdr>
            <w:top w:val="none" w:sz="0" w:space="0" w:color="auto"/>
            <w:left w:val="none" w:sz="0" w:space="0" w:color="auto"/>
            <w:bottom w:val="none" w:sz="0" w:space="0" w:color="auto"/>
            <w:right w:val="none" w:sz="0" w:space="0" w:color="auto"/>
          </w:divBdr>
          <w:divsChild>
            <w:div w:id="636379277">
              <w:marLeft w:val="0"/>
              <w:marRight w:val="0"/>
              <w:marTop w:val="0"/>
              <w:marBottom w:val="0"/>
              <w:divBdr>
                <w:top w:val="none" w:sz="0" w:space="0" w:color="auto"/>
                <w:left w:val="none" w:sz="0" w:space="0" w:color="auto"/>
                <w:bottom w:val="none" w:sz="0" w:space="0" w:color="auto"/>
                <w:right w:val="none" w:sz="0" w:space="0" w:color="auto"/>
              </w:divBdr>
            </w:div>
          </w:divsChild>
        </w:div>
        <w:div w:id="470750185">
          <w:marLeft w:val="0"/>
          <w:marRight w:val="0"/>
          <w:marTop w:val="0"/>
          <w:marBottom w:val="0"/>
          <w:divBdr>
            <w:top w:val="none" w:sz="0" w:space="0" w:color="auto"/>
            <w:left w:val="none" w:sz="0" w:space="0" w:color="auto"/>
            <w:bottom w:val="none" w:sz="0" w:space="0" w:color="auto"/>
            <w:right w:val="none" w:sz="0" w:space="0" w:color="auto"/>
          </w:divBdr>
          <w:divsChild>
            <w:div w:id="1128628170">
              <w:marLeft w:val="0"/>
              <w:marRight w:val="0"/>
              <w:marTop w:val="0"/>
              <w:marBottom w:val="0"/>
              <w:divBdr>
                <w:top w:val="none" w:sz="0" w:space="0" w:color="auto"/>
                <w:left w:val="none" w:sz="0" w:space="0" w:color="auto"/>
                <w:bottom w:val="none" w:sz="0" w:space="0" w:color="auto"/>
                <w:right w:val="none" w:sz="0" w:space="0" w:color="auto"/>
              </w:divBdr>
            </w:div>
          </w:divsChild>
        </w:div>
        <w:div w:id="522288214">
          <w:marLeft w:val="0"/>
          <w:marRight w:val="0"/>
          <w:marTop w:val="0"/>
          <w:marBottom w:val="0"/>
          <w:divBdr>
            <w:top w:val="none" w:sz="0" w:space="0" w:color="auto"/>
            <w:left w:val="none" w:sz="0" w:space="0" w:color="auto"/>
            <w:bottom w:val="none" w:sz="0" w:space="0" w:color="auto"/>
            <w:right w:val="none" w:sz="0" w:space="0" w:color="auto"/>
          </w:divBdr>
          <w:divsChild>
            <w:div w:id="1326935318">
              <w:marLeft w:val="0"/>
              <w:marRight w:val="0"/>
              <w:marTop w:val="0"/>
              <w:marBottom w:val="0"/>
              <w:divBdr>
                <w:top w:val="none" w:sz="0" w:space="0" w:color="auto"/>
                <w:left w:val="none" w:sz="0" w:space="0" w:color="auto"/>
                <w:bottom w:val="none" w:sz="0" w:space="0" w:color="auto"/>
                <w:right w:val="none" w:sz="0" w:space="0" w:color="auto"/>
              </w:divBdr>
            </w:div>
          </w:divsChild>
        </w:div>
        <w:div w:id="663318598">
          <w:marLeft w:val="0"/>
          <w:marRight w:val="0"/>
          <w:marTop w:val="0"/>
          <w:marBottom w:val="0"/>
          <w:divBdr>
            <w:top w:val="none" w:sz="0" w:space="0" w:color="auto"/>
            <w:left w:val="none" w:sz="0" w:space="0" w:color="auto"/>
            <w:bottom w:val="none" w:sz="0" w:space="0" w:color="auto"/>
            <w:right w:val="none" w:sz="0" w:space="0" w:color="auto"/>
          </w:divBdr>
          <w:divsChild>
            <w:div w:id="620844543">
              <w:marLeft w:val="0"/>
              <w:marRight w:val="0"/>
              <w:marTop w:val="0"/>
              <w:marBottom w:val="0"/>
              <w:divBdr>
                <w:top w:val="none" w:sz="0" w:space="0" w:color="auto"/>
                <w:left w:val="none" w:sz="0" w:space="0" w:color="auto"/>
                <w:bottom w:val="none" w:sz="0" w:space="0" w:color="auto"/>
                <w:right w:val="none" w:sz="0" w:space="0" w:color="auto"/>
              </w:divBdr>
            </w:div>
          </w:divsChild>
        </w:div>
        <w:div w:id="759643895">
          <w:marLeft w:val="0"/>
          <w:marRight w:val="0"/>
          <w:marTop w:val="0"/>
          <w:marBottom w:val="0"/>
          <w:divBdr>
            <w:top w:val="none" w:sz="0" w:space="0" w:color="auto"/>
            <w:left w:val="none" w:sz="0" w:space="0" w:color="auto"/>
            <w:bottom w:val="none" w:sz="0" w:space="0" w:color="auto"/>
            <w:right w:val="none" w:sz="0" w:space="0" w:color="auto"/>
          </w:divBdr>
          <w:divsChild>
            <w:div w:id="2053578735">
              <w:marLeft w:val="0"/>
              <w:marRight w:val="0"/>
              <w:marTop w:val="0"/>
              <w:marBottom w:val="0"/>
              <w:divBdr>
                <w:top w:val="none" w:sz="0" w:space="0" w:color="auto"/>
                <w:left w:val="none" w:sz="0" w:space="0" w:color="auto"/>
                <w:bottom w:val="none" w:sz="0" w:space="0" w:color="auto"/>
                <w:right w:val="none" w:sz="0" w:space="0" w:color="auto"/>
              </w:divBdr>
            </w:div>
          </w:divsChild>
        </w:div>
        <w:div w:id="790051563">
          <w:marLeft w:val="0"/>
          <w:marRight w:val="0"/>
          <w:marTop w:val="0"/>
          <w:marBottom w:val="0"/>
          <w:divBdr>
            <w:top w:val="none" w:sz="0" w:space="0" w:color="auto"/>
            <w:left w:val="none" w:sz="0" w:space="0" w:color="auto"/>
            <w:bottom w:val="none" w:sz="0" w:space="0" w:color="auto"/>
            <w:right w:val="none" w:sz="0" w:space="0" w:color="auto"/>
          </w:divBdr>
          <w:divsChild>
            <w:div w:id="1486166696">
              <w:marLeft w:val="0"/>
              <w:marRight w:val="0"/>
              <w:marTop w:val="0"/>
              <w:marBottom w:val="0"/>
              <w:divBdr>
                <w:top w:val="none" w:sz="0" w:space="0" w:color="auto"/>
                <w:left w:val="none" w:sz="0" w:space="0" w:color="auto"/>
                <w:bottom w:val="none" w:sz="0" w:space="0" w:color="auto"/>
                <w:right w:val="none" w:sz="0" w:space="0" w:color="auto"/>
              </w:divBdr>
            </w:div>
          </w:divsChild>
        </w:div>
        <w:div w:id="827864962">
          <w:marLeft w:val="0"/>
          <w:marRight w:val="0"/>
          <w:marTop w:val="0"/>
          <w:marBottom w:val="0"/>
          <w:divBdr>
            <w:top w:val="none" w:sz="0" w:space="0" w:color="auto"/>
            <w:left w:val="none" w:sz="0" w:space="0" w:color="auto"/>
            <w:bottom w:val="none" w:sz="0" w:space="0" w:color="auto"/>
            <w:right w:val="none" w:sz="0" w:space="0" w:color="auto"/>
          </w:divBdr>
          <w:divsChild>
            <w:div w:id="610865505">
              <w:marLeft w:val="0"/>
              <w:marRight w:val="0"/>
              <w:marTop w:val="0"/>
              <w:marBottom w:val="0"/>
              <w:divBdr>
                <w:top w:val="none" w:sz="0" w:space="0" w:color="auto"/>
                <w:left w:val="none" w:sz="0" w:space="0" w:color="auto"/>
                <w:bottom w:val="none" w:sz="0" w:space="0" w:color="auto"/>
                <w:right w:val="none" w:sz="0" w:space="0" w:color="auto"/>
              </w:divBdr>
            </w:div>
          </w:divsChild>
        </w:div>
        <w:div w:id="880749300">
          <w:marLeft w:val="0"/>
          <w:marRight w:val="0"/>
          <w:marTop w:val="0"/>
          <w:marBottom w:val="0"/>
          <w:divBdr>
            <w:top w:val="none" w:sz="0" w:space="0" w:color="auto"/>
            <w:left w:val="none" w:sz="0" w:space="0" w:color="auto"/>
            <w:bottom w:val="none" w:sz="0" w:space="0" w:color="auto"/>
            <w:right w:val="none" w:sz="0" w:space="0" w:color="auto"/>
          </w:divBdr>
          <w:divsChild>
            <w:div w:id="216402162">
              <w:marLeft w:val="0"/>
              <w:marRight w:val="0"/>
              <w:marTop w:val="0"/>
              <w:marBottom w:val="0"/>
              <w:divBdr>
                <w:top w:val="none" w:sz="0" w:space="0" w:color="auto"/>
                <w:left w:val="none" w:sz="0" w:space="0" w:color="auto"/>
                <w:bottom w:val="none" w:sz="0" w:space="0" w:color="auto"/>
                <w:right w:val="none" w:sz="0" w:space="0" w:color="auto"/>
              </w:divBdr>
            </w:div>
          </w:divsChild>
        </w:div>
        <w:div w:id="962544600">
          <w:marLeft w:val="0"/>
          <w:marRight w:val="0"/>
          <w:marTop w:val="0"/>
          <w:marBottom w:val="0"/>
          <w:divBdr>
            <w:top w:val="none" w:sz="0" w:space="0" w:color="auto"/>
            <w:left w:val="none" w:sz="0" w:space="0" w:color="auto"/>
            <w:bottom w:val="none" w:sz="0" w:space="0" w:color="auto"/>
            <w:right w:val="none" w:sz="0" w:space="0" w:color="auto"/>
          </w:divBdr>
          <w:divsChild>
            <w:div w:id="1111246057">
              <w:marLeft w:val="0"/>
              <w:marRight w:val="0"/>
              <w:marTop w:val="0"/>
              <w:marBottom w:val="0"/>
              <w:divBdr>
                <w:top w:val="none" w:sz="0" w:space="0" w:color="auto"/>
                <w:left w:val="none" w:sz="0" w:space="0" w:color="auto"/>
                <w:bottom w:val="none" w:sz="0" w:space="0" w:color="auto"/>
                <w:right w:val="none" w:sz="0" w:space="0" w:color="auto"/>
              </w:divBdr>
            </w:div>
          </w:divsChild>
        </w:div>
        <w:div w:id="968046085">
          <w:marLeft w:val="0"/>
          <w:marRight w:val="0"/>
          <w:marTop w:val="0"/>
          <w:marBottom w:val="0"/>
          <w:divBdr>
            <w:top w:val="none" w:sz="0" w:space="0" w:color="auto"/>
            <w:left w:val="none" w:sz="0" w:space="0" w:color="auto"/>
            <w:bottom w:val="none" w:sz="0" w:space="0" w:color="auto"/>
            <w:right w:val="none" w:sz="0" w:space="0" w:color="auto"/>
          </w:divBdr>
          <w:divsChild>
            <w:div w:id="1521238626">
              <w:marLeft w:val="0"/>
              <w:marRight w:val="0"/>
              <w:marTop w:val="0"/>
              <w:marBottom w:val="0"/>
              <w:divBdr>
                <w:top w:val="none" w:sz="0" w:space="0" w:color="auto"/>
                <w:left w:val="none" w:sz="0" w:space="0" w:color="auto"/>
                <w:bottom w:val="none" w:sz="0" w:space="0" w:color="auto"/>
                <w:right w:val="none" w:sz="0" w:space="0" w:color="auto"/>
              </w:divBdr>
            </w:div>
          </w:divsChild>
        </w:div>
        <w:div w:id="990409144">
          <w:marLeft w:val="0"/>
          <w:marRight w:val="0"/>
          <w:marTop w:val="0"/>
          <w:marBottom w:val="0"/>
          <w:divBdr>
            <w:top w:val="none" w:sz="0" w:space="0" w:color="auto"/>
            <w:left w:val="none" w:sz="0" w:space="0" w:color="auto"/>
            <w:bottom w:val="none" w:sz="0" w:space="0" w:color="auto"/>
            <w:right w:val="none" w:sz="0" w:space="0" w:color="auto"/>
          </w:divBdr>
          <w:divsChild>
            <w:div w:id="939142395">
              <w:marLeft w:val="0"/>
              <w:marRight w:val="0"/>
              <w:marTop w:val="0"/>
              <w:marBottom w:val="0"/>
              <w:divBdr>
                <w:top w:val="none" w:sz="0" w:space="0" w:color="auto"/>
                <w:left w:val="none" w:sz="0" w:space="0" w:color="auto"/>
                <w:bottom w:val="none" w:sz="0" w:space="0" w:color="auto"/>
                <w:right w:val="none" w:sz="0" w:space="0" w:color="auto"/>
              </w:divBdr>
            </w:div>
          </w:divsChild>
        </w:div>
        <w:div w:id="1018236913">
          <w:marLeft w:val="0"/>
          <w:marRight w:val="0"/>
          <w:marTop w:val="0"/>
          <w:marBottom w:val="0"/>
          <w:divBdr>
            <w:top w:val="none" w:sz="0" w:space="0" w:color="auto"/>
            <w:left w:val="none" w:sz="0" w:space="0" w:color="auto"/>
            <w:bottom w:val="none" w:sz="0" w:space="0" w:color="auto"/>
            <w:right w:val="none" w:sz="0" w:space="0" w:color="auto"/>
          </w:divBdr>
          <w:divsChild>
            <w:div w:id="1365640350">
              <w:marLeft w:val="0"/>
              <w:marRight w:val="0"/>
              <w:marTop w:val="0"/>
              <w:marBottom w:val="0"/>
              <w:divBdr>
                <w:top w:val="none" w:sz="0" w:space="0" w:color="auto"/>
                <w:left w:val="none" w:sz="0" w:space="0" w:color="auto"/>
                <w:bottom w:val="none" w:sz="0" w:space="0" w:color="auto"/>
                <w:right w:val="none" w:sz="0" w:space="0" w:color="auto"/>
              </w:divBdr>
            </w:div>
          </w:divsChild>
        </w:div>
        <w:div w:id="1034161370">
          <w:marLeft w:val="0"/>
          <w:marRight w:val="0"/>
          <w:marTop w:val="0"/>
          <w:marBottom w:val="0"/>
          <w:divBdr>
            <w:top w:val="none" w:sz="0" w:space="0" w:color="auto"/>
            <w:left w:val="none" w:sz="0" w:space="0" w:color="auto"/>
            <w:bottom w:val="none" w:sz="0" w:space="0" w:color="auto"/>
            <w:right w:val="none" w:sz="0" w:space="0" w:color="auto"/>
          </w:divBdr>
          <w:divsChild>
            <w:div w:id="1524704820">
              <w:marLeft w:val="0"/>
              <w:marRight w:val="0"/>
              <w:marTop w:val="0"/>
              <w:marBottom w:val="0"/>
              <w:divBdr>
                <w:top w:val="none" w:sz="0" w:space="0" w:color="auto"/>
                <w:left w:val="none" w:sz="0" w:space="0" w:color="auto"/>
                <w:bottom w:val="none" w:sz="0" w:space="0" w:color="auto"/>
                <w:right w:val="none" w:sz="0" w:space="0" w:color="auto"/>
              </w:divBdr>
            </w:div>
          </w:divsChild>
        </w:div>
        <w:div w:id="1059287617">
          <w:marLeft w:val="0"/>
          <w:marRight w:val="0"/>
          <w:marTop w:val="0"/>
          <w:marBottom w:val="0"/>
          <w:divBdr>
            <w:top w:val="none" w:sz="0" w:space="0" w:color="auto"/>
            <w:left w:val="none" w:sz="0" w:space="0" w:color="auto"/>
            <w:bottom w:val="none" w:sz="0" w:space="0" w:color="auto"/>
            <w:right w:val="none" w:sz="0" w:space="0" w:color="auto"/>
          </w:divBdr>
          <w:divsChild>
            <w:div w:id="2090082324">
              <w:marLeft w:val="0"/>
              <w:marRight w:val="0"/>
              <w:marTop w:val="0"/>
              <w:marBottom w:val="0"/>
              <w:divBdr>
                <w:top w:val="none" w:sz="0" w:space="0" w:color="auto"/>
                <w:left w:val="none" w:sz="0" w:space="0" w:color="auto"/>
                <w:bottom w:val="none" w:sz="0" w:space="0" w:color="auto"/>
                <w:right w:val="none" w:sz="0" w:space="0" w:color="auto"/>
              </w:divBdr>
            </w:div>
          </w:divsChild>
        </w:div>
        <w:div w:id="1094597562">
          <w:marLeft w:val="0"/>
          <w:marRight w:val="0"/>
          <w:marTop w:val="0"/>
          <w:marBottom w:val="0"/>
          <w:divBdr>
            <w:top w:val="none" w:sz="0" w:space="0" w:color="auto"/>
            <w:left w:val="none" w:sz="0" w:space="0" w:color="auto"/>
            <w:bottom w:val="none" w:sz="0" w:space="0" w:color="auto"/>
            <w:right w:val="none" w:sz="0" w:space="0" w:color="auto"/>
          </w:divBdr>
          <w:divsChild>
            <w:div w:id="1395853771">
              <w:marLeft w:val="0"/>
              <w:marRight w:val="0"/>
              <w:marTop w:val="0"/>
              <w:marBottom w:val="0"/>
              <w:divBdr>
                <w:top w:val="none" w:sz="0" w:space="0" w:color="auto"/>
                <w:left w:val="none" w:sz="0" w:space="0" w:color="auto"/>
                <w:bottom w:val="none" w:sz="0" w:space="0" w:color="auto"/>
                <w:right w:val="none" w:sz="0" w:space="0" w:color="auto"/>
              </w:divBdr>
            </w:div>
          </w:divsChild>
        </w:div>
        <w:div w:id="1131747801">
          <w:marLeft w:val="0"/>
          <w:marRight w:val="0"/>
          <w:marTop w:val="0"/>
          <w:marBottom w:val="0"/>
          <w:divBdr>
            <w:top w:val="none" w:sz="0" w:space="0" w:color="auto"/>
            <w:left w:val="none" w:sz="0" w:space="0" w:color="auto"/>
            <w:bottom w:val="none" w:sz="0" w:space="0" w:color="auto"/>
            <w:right w:val="none" w:sz="0" w:space="0" w:color="auto"/>
          </w:divBdr>
          <w:divsChild>
            <w:div w:id="90440489">
              <w:marLeft w:val="0"/>
              <w:marRight w:val="0"/>
              <w:marTop w:val="0"/>
              <w:marBottom w:val="0"/>
              <w:divBdr>
                <w:top w:val="none" w:sz="0" w:space="0" w:color="auto"/>
                <w:left w:val="none" w:sz="0" w:space="0" w:color="auto"/>
                <w:bottom w:val="none" w:sz="0" w:space="0" w:color="auto"/>
                <w:right w:val="none" w:sz="0" w:space="0" w:color="auto"/>
              </w:divBdr>
            </w:div>
          </w:divsChild>
        </w:div>
        <w:div w:id="1199515313">
          <w:marLeft w:val="0"/>
          <w:marRight w:val="0"/>
          <w:marTop w:val="0"/>
          <w:marBottom w:val="0"/>
          <w:divBdr>
            <w:top w:val="none" w:sz="0" w:space="0" w:color="auto"/>
            <w:left w:val="none" w:sz="0" w:space="0" w:color="auto"/>
            <w:bottom w:val="none" w:sz="0" w:space="0" w:color="auto"/>
            <w:right w:val="none" w:sz="0" w:space="0" w:color="auto"/>
          </w:divBdr>
          <w:divsChild>
            <w:div w:id="1337540120">
              <w:marLeft w:val="0"/>
              <w:marRight w:val="0"/>
              <w:marTop w:val="0"/>
              <w:marBottom w:val="0"/>
              <w:divBdr>
                <w:top w:val="none" w:sz="0" w:space="0" w:color="auto"/>
                <w:left w:val="none" w:sz="0" w:space="0" w:color="auto"/>
                <w:bottom w:val="none" w:sz="0" w:space="0" w:color="auto"/>
                <w:right w:val="none" w:sz="0" w:space="0" w:color="auto"/>
              </w:divBdr>
            </w:div>
          </w:divsChild>
        </w:div>
        <w:div w:id="1314791768">
          <w:marLeft w:val="0"/>
          <w:marRight w:val="0"/>
          <w:marTop w:val="0"/>
          <w:marBottom w:val="0"/>
          <w:divBdr>
            <w:top w:val="none" w:sz="0" w:space="0" w:color="auto"/>
            <w:left w:val="none" w:sz="0" w:space="0" w:color="auto"/>
            <w:bottom w:val="none" w:sz="0" w:space="0" w:color="auto"/>
            <w:right w:val="none" w:sz="0" w:space="0" w:color="auto"/>
          </w:divBdr>
          <w:divsChild>
            <w:div w:id="94447801">
              <w:marLeft w:val="0"/>
              <w:marRight w:val="0"/>
              <w:marTop w:val="0"/>
              <w:marBottom w:val="0"/>
              <w:divBdr>
                <w:top w:val="none" w:sz="0" w:space="0" w:color="auto"/>
                <w:left w:val="none" w:sz="0" w:space="0" w:color="auto"/>
                <w:bottom w:val="none" w:sz="0" w:space="0" w:color="auto"/>
                <w:right w:val="none" w:sz="0" w:space="0" w:color="auto"/>
              </w:divBdr>
            </w:div>
          </w:divsChild>
        </w:div>
        <w:div w:id="1331372471">
          <w:marLeft w:val="0"/>
          <w:marRight w:val="0"/>
          <w:marTop w:val="0"/>
          <w:marBottom w:val="0"/>
          <w:divBdr>
            <w:top w:val="none" w:sz="0" w:space="0" w:color="auto"/>
            <w:left w:val="none" w:sz="0" w:space="0" w:color="auto"/>
            <w:bottom w:val="none" w:sz="0" w:space="0" w:color="auto"/>
            <w:right w:val="none" w:sz="0" w:space="0" w:color="auto"/>
          </w:divBdr>
          <w:divsChild>
            <w:div w:id="96406844">
              <w:marLeft w:val="0"/>
              <w:marRight w:val="0"/>
              <w:marTop w:val="0"/>
              <w:marBottom w:val="0"/>
              <w:divBdr>
                <w:top w:val="none" w:sz="0" w:space="0" w:color="auto"/>
                <w:left w:val="none" w:sz="0" w:space="0" w:color="auto"/>
                <w:bottom w:val="none" w:sz="0" w:space="0" w:color="auto"/>
                <w:right w:val="none" w:sz="0" w:space="0" w:color="auto"/>
              </w:divBdr>
            </w:div>
          </w:divsChild>
        </w:div>
        <w:div w:id="1350988276">
          <w:marLeft w:val="0"/>
          <w:marRight w:val="0"/>
          <w:marTop w:val="0"/>
          <w:marBottom w:val="0"/>
          <w:divBdr>
            <w:top w:val="none" w:sz="0" w:space="0" w:color="auto"/>
            <w:left w:val="none" w:sz="0" w:space="0" w:color="auto"/>
            <w:bottom w:val="none" w:sz="0" w:space="0" w:color="auto"/>
            <w:right w:val="none" w:sz="0" w:space="0" w:color="auto"/>
          </w:divBdr>
          <w:divsChild>
            <w:div w:id="800415045">
              <w:marLeft w:val="0"/>
              <w:marRight w:val="0"/>
              <w:marTop w:val="0"/>
              <w:marBottom w:val="0"/>
              <w:divBdr>
                <w:top w:val="none" w:sz="0" w:space="0" w:color="auto"/>
                <w:left w:val="none" w:sz="0" w:space="0" w:color="auto"/>
                <w:bottom w:val="none" w:sz="0" w:space="0" w:color="auto"/>
                <w:right w:val="none" w:sz="0" w:space="0" w:color="auto"/>
              </w:divBdr>
            </w:div>
          </w:divsChild>
        </w:div>
        <w:div w:id="1390570606">
          <w:marLeft w:val="0"/>
          <w:marRight w:val="0"/>
          <w:marTop w:val="0"/>
          <w:marBottom w:val="0"/>
          <w:divBdr>
            <w:top w:val="none" w:sz="0" w:space="0" w:color="auto"/>
            <w:left w:val="none" w:sz="0" w:space="0" w:color="auto"/>
            <w:bottom w:val="none" w:sz="0" w:space="0" w:color="auto"/>
            <w:right w:val="none" w:sz="0" w:space="0" w:color="auto"/>
          </w:divBdr>
          <w:divsChild>
            <w:div w:id="1577326762">
              <w:marLeft w:val="0"/>
              <w:marRight w:val="0"/>
              <w:marTop w:val="0"/>
              <w:marBottom w:val="0"/>
              <w:divBdr>
                <w:top w:val="none" w:sz="0" w:space="0" w:color="auto"/>
                <w:left w:val="none" w:sz="0" w:space="0" w:color="auto"/>
                <w:bottom w:val="none" w:sz="0" w:space="0" w:color="auto"/>
                <w:right w:val="none" w:sz="0" w:space="0" w:color="auto"/>
              </w:divBdr>
            </w:div>
          </w:divsChild>
        </w:div>
        <w:div w:id="1390610019">
          <w:marLeft w:val="0"/>
          <w:marRight w:val="0"/>
          <w:marTop w:val="0"/>
          <w:marBottom w:val="0"/>
          <w:divBdr>
            <w:top w:val="none" w:sz="0" w:space="0" w:color="auto"/>
            <w:left w:val="none" w:sz="0" w:space="0" w:color="auto"/>
            <w:bottom w:val="none" w:sz="0" w:space="0" w:color="auto"/>
            <w:right w:val="none" w:sz="0" w:space="0" w:color="auto"/>
          </w:divBdr>
          <w:divsChild>
            <w:div w:id="925531954">
              <w:marLeft w:val="0"/>
              <w:marRight w:val="0"/>
              <w:marTop w:val="0"/>
              <w:marBottom w:val="0"/>
              <w:divBdr>
                <w:top w:val="none" w:sz="0" w:space="0" w:color="auto"/>
                <w:left w:val="none" w:sz="0" w:space="0" w:color="auto"/>
                <w:bottom w:val="none" w:sz="0" w:space="0" w:color="auto"/>
                <w:right w:val="none" w:sz="0" w:space="0" w:color="auto"/>
              </w:divBdr>
            </w:div>
          </w:divsChild>
        </w:div>
        <w:div w:id="1392651707">
          <w:marLeft w:val="0"/>
          <w:marRight w:val="0"/>
          <w:marTop w:val="0"/>
          <w:marBottom w:val="0"/>
          <w:divBdr>
            <w:top w:val="none" w:sz="0" w:space="0" w:color="auto"/>
            <w:left w:val="none" w:sz="0" w:space="0" w:color="auto"/>
            <w:bottom w:val="none" w:sz="0" w:space="0" w:color="auto"/>
            <w:right w:val="none" w:sz="0" w:space="0" w:color="auto"/>
          </w:divBdr>
          <w:divsChild>
            <w:div w:id="893084087">
              <w:marLeft w:val="0"/>
              <w:marRight w:val="0"/>
              <w:marTop w:val="0"/>
              <w:marBottom w:val="0"/>
              <w:divBdr>
                <w:top w:val="none" w:sz="0" w:space="0" w:color="auto"/>
                <w:left w:val="none" w:sz="0" w:space="0" w:color="auto"/>
                <w:bottom w:val="none" w:sz="0" w:space="0" w:color="auto"/>
                <w:right w:val="none" w:sz="0" w:space="0" w:color="auto"/>
              </w:divBdr>
            </w:div>
          </w:divsChild>
        </w:div>
        <w:div w:id="1405033239">
          <w:marLeft w:val="0"/>
          <w:marRight w:val="0"/>
          <w:marTop w:val="0"/>
          <w:marBottom w:val="0"/>
          <w:divBdr>
            <w:top w:val="none" w:sz="0" w:space="0" w:color="auto"/>
            <w:left w:val="none" w:sz="0" w:space="0" w:color="auto"/>
            <w:bottom w:val="none" w:sz="0" w:space="0" w:color="auto"/>
            <w:right w:val="none" w:sz="0" w:space="0" w:color="auto"/>
          </w:divBdr>
          <w:divsChild>
            <w:div w:id="1068072544">
              <w:marLeft w:val="0"/>
              <w:marRight w:val="0"/>
              <w:marTop w:val="0"/>
              <w:marBottom w:val="0"/>
              <w:divBdr>
                <w:top w:val="none" w:sz="0" w:space="0" w:color="auto"/>
                <w:left w:val="none" w:sz="0" w:space="0" w:color="auto"/>
                <w:bottom w:val="none" w:sz="0" w:space="0" w:color="auto"/>
                <w:right w:val="none" w:sz="0" w:space="0" w:color="auto"/>
              </w:divBdr>
            </w:div>
          </w:divsChild>
        </w:div>
        <w:div w:id="1525750145">
          <w:marLeft w:val="0"/>
          <w:marRight w:val="0"/>
          <w:marTop w:val="0"/>
          <w:marBottom w:val="0"/>
          <w:divBdr>
            <w:top w:val="none" w:sz="0" w:space="0" w:color="auto"/>
            <w:left w:val="none" w:sz="0" w:space="0" w:color="auto"/>
            <w:bottom w:val="none" w:sz="0" w:space="0" w:color="auto"/>
            <w:right w:val="none" w:sz="0" w:space="0" w:color="auto"/>
          </w:divBdr>
          <w:divsChild>
            <w:div w:id="528176827">
              <w:marLeft w:val="0"/>
              <w:marRight w:val="0"/>
              <w:marTop w:val="0"/>
              <w:marBottom w:val="0"/>
              <w:divBdr>
                <w:top w:val="none" w:sz="0" w:space="0" w:color="auto"/>
                <w:left w:val="none" w:sz="0" w:space="0" w:color="auto"/>
                <w:bottom w:val="none" w:sz="0" w:space="0" w:color="auto"/>
                <w:right w:val="none" w:sz="0" w:space="0" w:color="auto"/>
              </w:divBdr>
            </w:div>
          </w:divsChild>
        </w:div>
        <w:div w:id="1604071642">
          <w:marLeft w:val="0"/>
          <w:marRight w:val="0"/>
          <w:marTop w:val="0"/>
          <w:marBottom w:val="0"/>
          <w:divBdr>
            <w:top w:val="none" w:sz="0" w:space="0" w:color="auto"/>
            <w:left w:val="none" w:sz="0" w:space="0" w:color="auto"/>
            <w:bottom w:val="none" w:sz="0" w:space="0" w:color="auto"/>
            <w:right w:val="none" w:sz="0" w:space="0" w:color="auto"/>
          </w:divBdr>
          <w:divsChild>
            <w:div w:id="1140732450">
              <w:marLeft w:val="0"/>
              <w:marRight w:val="0"/>
              <w:marTop w:val="0"/>
              <w:marBottom w:val="0"/>
              <w:divBdr>
                <w:top w:val="none" w:sz="0" w:space="0" w:color="auto"/>
                <w:left w:val="none" w:sz="0" w:space="0" w:color="auto"/>
                <w:bottom w:val="none" w:sz="0" w:space="0" w:color="auto"/>
                <w:right w:val="none" w:sz="0" w:space="0" w:color="auto"/>
              </w:divBdr>
            </w:div>
          </w:divsChild>
        </w:div>
        <w:div w:id="1671639182">
          <w:marLeft w:val="0"/>
          <w:marRight w:val="0"/>
          <w:marTop w:val="0"/>
          <w:marBottom w:val="0"/>
          <w:divBdr>
            <w:top w:val="none" w:sz="0" w:space="0" w:color="auto"/>
            <w:left w:val="none" w:sz="0" w:space="0" w:color="auto"/>
            <w:bottom w:val="none" w:sz="0" w:space="0" w:color="auto"/>
            <w:right w:val="none" w:sz="0" w:space="0" w:color="auto"/>
          </w:divBdr>
          <w:divsChild>
            <w:div w:id="1490443236">
              <w:marLeft w:val="0"/>
              <w:marRight w:val="0"/>
              <w:marTop w:val="0"/>
              <w:marBottom w:val="0"/>
              <w:divBdr>
                <w:top w:val="none" w:sz="0" w:space="0" w:color="auto"/>
                <w:left w:val="none" w:sz="0" w:space="0" w:color="auto"/>
                <w:bottom w:val="none" w:sz="0" w:space="0" w:color="auto"/>
                <w:right w:val="none" w:sz="0" w:space="0" w:color="auto"/>
              </w:divBdr>
            </w:div>
          </w:divsChild>
        </w:div>
        <w:div w:id="1859927746">
          <w:marLeft w:val="0"/>
          <w:marRight w:val="0"/>
          <w:marTop w:val="0"/>
          <w:marBottom w:val="0"/>
          <w:divBdr>
            <w:top w:val="none" w:sz="0" w:space="0" w:color="auto"/>
            <w:left w:val="none" w:sz="0" w:space="0" w:color="auto"/>
            <w:bottom w:val="none" w:sz="0" w:space="0" w:color="auto"/>
            <w:right w:val="none" w:sz="0" w:space="0" w:color="auto"/>
          </w:divBdr>
          <w:divsChild>
            <w:div w:id="1677927259">
              <w:marLeft w:val="0"/>
              <w:marRight w:val="0"/>
              <w:marTop w:val="0"/>
              <w:marBottom w:val="0"/>
              <w:divBdr>
                <w:top w:val="none" w:sz="0" w:space="0" w:color="auto"/>
                <w:left w:val="none" w:sz="0" w:space="0" w:color="auto"/>
                <w:bottom w:val="none" w:sz="0" w:space="0" w:color="auto"/>
                <w:right w:val="none" w:sz="0" w:space="0" w:color="auto"/>
              </w:divBdr>
            </w:div>
          </w:divsChild>
        </w:div>
        <w:div w:id="1878542112">
          <w:marLeft w:val="0"/>
          <w:marRight w:val="0"/>
          <w:marTop w:val="0"/>
          <w:marBottom w:val="0"/>
          <w:divBdr>
            <w:top w:val="none" w:sz="0" w:space="0" w:color="auto"/>
            <w:left w:val="none" w:sz="0" w:space="0" w:color="auto"/>
            <w:bottom w:val="none" w:sz="0" w:space="0" w:color="auto"/>
            <w:right w:val="none" w:sz="0" w:space="0" w:color="auto"/>
          </w:divBdr>
          <w:divsChild>
            <w:div w:id="1234008142">
              <w:marLeft w:val="0"/>
              <w:marRight w:val="0"/>
              <w:marTop w:val="0"/>
              <w:marBottom w:val="0"/>
              <w:divBdr>
                <w:top w:val="none" w:sz="0" w:space="0" w:color="auto"/>
                <w:left w:val="none" w:sz="0" w:space="0" w:color="auto"/>
                <w:bottom w:val="none" w:sz="0" w:space="0" w:color="auto"/>
                <w:right w:val="none" w:sz="0" w:space="0" w:color="auto"/>
              </w:divBdr>
            </w:div>
          </w:divsChild>
        </w:div>
        <w:div w:id="1897692691">
          <w:marLeft w:val="0"/>
          <w:marRight w:val="0"/>
          <w:marTop w:val="0"/>
          <w:marBottom w:val="0"/>
          <w:divBdr>
            <w:top w:val="none" w:sz="0" w:space="0" w:color="auto"/>
            <w:left w:val="none" w:sz="0" w:space="0" w:color="auto"/>
            <w:bottom w:val="none" w:sz="0" w:space="0" w:color="auto"/>
            <w:right w:val="none" w:sz="0" w:space="0" w:color="auto"/>
          </w:divBdr>
          <w:divsChild>
            <w:div w:id="1717511036">
              <w:marLeft w:val="0"/>
              <w:marRight w:val="0"/>
              <w:marTop w:val="0"/>
              <w:marBottom w:val="0"/>
              <w:divBdr>
                <w:top w:val="none" w:sz="0" w:space="0" w:color="auto"/>
                <w:left w:val="none" w:sz="0" w:space="0" w:color="auto"/>
                <w:bottom w:val="none" w:sz="0" w:space="0" w:color="auto"/>
                <w:right w:val="none" w:sz="0" w:space="0" w:color="auto"/>
              </w:divBdr>
            </w:div>
          </w:divsChild>
        </w:div>
        <w:div w:id="2025475985">
          <w:marLeft w:val="0"/>
          <w:marRight w:val="0"/>
          <w:marTop w:val="0"/>
          <w:marBottom w:val="0"/>
          <w:divBdr>
            <w:top w:val="none" w:sz="0" w:space="0" w:color="auto"/>
            <w:left w:val="none" w:sz="0" w:space="0" w:color="auto"/>
            <w:bottom w:val="none" w:sz="0" w:space="0" w:color="auto"/>
            <w:right w:val="none" w:sz="0" w:space="0" w:color="auto"/>
          </w:divBdr>
          <w:divsChild>
            <w:div w:id="977221369">
              <w:marLeft w:val="0"/>
              <w:marRight w:val="0"/>
              <w:marTop w:val="0"/>
              <w:marBottom w:val="0"/>
              <w:divBdr>
                <w:top w:val="none" w:sz="0" w:space="0" w:color="auto"/>
                <w:left w:val="none" w:sz="0" w:space="0" w:color="auto"/>
                <w:bottom w:val="none" w:sz="0" w:space="0" w:color="auto"/>
                <w:right w:val="none" w:sz="0" w:space="0" w:color="auto"/>
              </w:divBdr>
            </w:div>
          </w:divsChild>
        </w:div>
        <w:div w:id="2085250354">
          <w:marLeft w:val="0"/>
          <w:marRight w:val="0"/>
          <w:marTop w:val="0"/>
          <w:marBottom w:val="0"/>
          <w:divBdr>
            <w:top w:val="none" w:sz="0" w:space="0" w:color="auto"/>
            <w:left w:val="none" w:sz="0" w:space="0" w:color="auto"/>
            <w:bottom w:val="none" w:sz="0" w:space="0" w:color="auto"/>
            <w:right w:val="none" w:sz="0" w:space="0" w:color="auto"/>
          </w:divBdr>
          <w:divsChild>
            <w:div w:id="11997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60702">
      <w:bodyDiv w:val="1"/>
      <w:marLeft w:val="0"/>
      <w:marRight w:val="0"/>
      <w:marTop w:val="0"/>
      <w:marBottom w:val="0"/>
      <w:divBdr>
        <w:top w:val="none" w:sz="0" w:space="0" w:color="auto"/>
        <w:left w:val="none" w:sz="0" w:space="0" w:color="auto"/>
        <w:bottom w:val="none" w:sz="0" w:space="0" w:color="auto"/>
        <w:right w:val="none" w:sz="0" w:space="0" w:color="auto"/>
      </w:divBdr>
      <w:divsChild>
        <w:div w:id="61486998">
          <w:marLeft w:val="0"/>
          <w:marRight w:val="0"/>
          <w:marTop w:val="0"/>
          <w:marBottom w:val="0"/>
          <w:divBdr>
            <w:top w:val="none" w:sz="0" w:space="0" w:color="auto"/>
            <w:left w:val="none" w:sz="0" w:space="0" w:color="auto"/>
            <w:bottom w:val="none" w:sz="0" w:space="0" w:color="auto"/>
            <w:right w:val="none" w:sz="0" w:space="0" w:color="auto"/>
          </w:divBdr>
          <w:divsChild>
            <w:div w:id="118690940">
              <w:marLeft w:val="0"/>
              <w:marRight w:val="0"/>
              <w:marTop w:val="0"/>
              <w:marBottom w:val="0"/>
              <w:divBdr>
                <w:top w:val="none" w:sz="0" w:space="0" w:color="auto"/>
                <w:left w:val="none" w:sz="0" w:space="0" w:color="auto"/>
                <w:bottom w:val="none" w:sz="0" w:space="0" w:color="auto"/>
                <w:right w:val="none" w:sz="0" w:space="0" w:color="auto"/>
              </w:divBdr>
            </w:div>
            <w:div w:id="711534824">
              <w:marLeft w:val="0"/>
              <w:marRight w:val="0"/>
              <w:marTop w:val="0"/>
              <w:marBottom w:val="0"/>
              <w:divBdr>
                <w:top w:val="none" w:sz="0" w:space="0" w:color="auto"/>
                <w:left w:val="none" w:sz="0" w:space="0" w:color="auto"/>
                <w:bottom w:val="none" w:sz="0" w:space="0" w:color="auto"/>
                <w:right w:val="none" w:sz="0" w:space="0" w:color="auto"/>
              </w:divBdr>
            </w:div>
            <w:div w:id="945771414">
              <w:marLeft w:val="0"/>
              <w:marRight w:val="0"/>
              <w:marTop w:val="0"/>
              <w:marBottom w:val="0"/>
              <w:divBdr>
                <w:top w:val="none" w:sz="0" w:space="0" w:color="auto"/>
                <w:left w:val="none" w:sz="0" w:space="0" w:color="auto"/>
                <w:bottom w:val="none" w:sz="0" w:space="0" w:color="auto"/>
                <w:right w:val="none" w:sz="0" w:space="0" w:color="auto"/>
              </w:divBdr>
            </w:div>
            <w:div w:id="967052306">
              <w:marLeft w:val="0"/>
              <w:marRight w:val="0"/>
              <w:marTop w:val="0"/>
              <w:marBottom w:val="0"/>
              <w:divBdr>
                <w:top w:val="none" w:sz="0" w:space="0" w:color="auto"/>
                <w:left w:val="none" w:sz="0" w:space="0" w:color="auto"/>
                <w:bottom w:val="none" w:sz="0" w:space="0" w:color="auto"/>
                <w:right w:val="none" w:sz="0" w:space="0" w:color="auto"/>
              </w:divBdr>
            </w:div>
            <w:div w:id="1050691858">
              <w:marLeft w:val="0"/>
              <w:marRight w:val="0"/>
              <w:marTop w:val="0"/>
              <w:marBottom w:val="0"/>
              <w:divBdr>
                <w:top w:val="none" w:sz="0" w:space="0" w:color="auto"/>
                <w:left w:val="none" w:sz="0" w:space="0" w:color="auto"/>
                <w:bottom w:val="none" w:sz="0" w:space="0" w:color="auto"/>
                <w:right w:val="none" w:sz="0" w:space="0" w:color="auto"/>
              </w:divBdr>
            </w:div>
            <w:div w:id="1052582142">
              <w:marLeft w:val="0"/>
              <w:marRight w:val="0"/>
              <w:marTop w:val="0"/>
              <w:marBottom w:val="0"/>
              <w:divBdr>
                <w:top w:val="none" w:sz="0" w:space="0" w:color="auto"/>
                <w:left w:val="none" w:sz="0" w:space="0" w:color="auto"/>
                <w:bottom w:val="none" w:sz="0" w:space="0" w:color="auto"/>
                <w:right w:val="none" w:sz="0" w:space="0" w:color="auto"/>
              </w:divBdr>
            </w:div>
            <w:div w:id="1093553115">
              <w:marLeft w:val="0"/>
              <w:marRight w:val="0"/>
              <w:marTop w:val="0"/>
              <w:marBottom w:val="0"/>
              <w:divBdr>
                <w:top w:val="none" w:sz="0" w:space="0" w:color="auto"/>
                <w:left w:val="none" w:sz="0" w:space="0" w:color="auto"/>
                <w:bottom w:val="none" w:sz="0" w:space="0" w:color="auto"/>
                <w:right w:val="none" w:sz="0" w:space="0" w:color="auto"/>
              </w:divBdr>
            </w:div>
            <w:div w:id="1202595983">
              <w:marLeft w:val="0"/>
              <w:marRight w:val="0"/>
              <w:marTop w:val="0"/>
              <w:marBottom w:val="0"/>
              <w:divBdr>
                <w:top w:val="none" w:sz="0" w:space="0" w:color="auto"/>
                <w:left w:val="none" w:sz="0" w:space="0" w:color="auto"/>
                <w:bottom w:val="none" w:sz="0" w:space="0" w:color="auto"/>
                <w:right w:val="none" w:sz="0" w:space="0" w:color="auto"/>
              </w:divBdr>
            </w:div>
            <w:div w:id="1241405672">
              <w:marLeft w:val="0"/>
              <w:marRight w:val="0"/>
              <w:marTop w:val="0"/>
              <w:marBottom w:val="0"/>
              <w:divBdr>
                <w:top w:val="none" w:sz="0" w:space="0" w:color="auto"/>
                <w:left w:val="none" w:sz="0" w:space="0" w:color="auto"/>
                <w:bottom w:val="none" w:sz="0" w:space="0" w:color="auto"/>
                <w:right w:val="none" w:sz="0" w:space="0" w:color="auto"/>
              </w:divBdr>
            </w:div>
            <w:div w:id="1326858515">
              <w:marLeft w:val="0"/>
              <w:marRight w:val="0"/>
              <w:marTop w:val="0"/>
              <w:marBottom w:val="0"/>
              <w:divBdr>
                <w:top w:val="none" w:sz="0" w:space="0" w:color="auto"/>
                <w:left w:val="none" w:sz="0" w:space="0" w:color="auto"/>
                <w:bottom w:val="none" w:sz="0" w:space="0" w:color="auto"/>
                <w:right w:val="none" w:sz="0" w:space="0" w:color="auto"/>
              </w:divBdr>
            </w:div>
            <w:div w:id="1350107193">
              <w:marLeft w:val="0"/>
              <w:marRight w:val="0"/>
              <w:marTop w:val="0"/>
              <w:marBottom w:val="0"/>
              <w:divBdr>
                <w:top w:val="none" w:sz="0" w:space="0" w:color="auto"/>
                <w:left w:val="none" w:sz="0" w:space="0" w:color="auto"/>
                <w:bottom w:val="none" w:sz="0" w:space="0" w:color="auto"/>
                <w:right w:val="none" w:sz="0" w:space="0" w:color="auto"/>
              </w:divBdr>
            </w:div>
            <w:div w:id="1471706498">
              <w:marLeft w:val="0"/>
              <w:marRight w:val="0"/>
              <w:marTop w:val="0"/>
              <w:marBottom w:val="0"/>
              <w:divBdr>
                <w:top w:val="none" w:sz="0" w:space="0" w:color="auto"/>
                <w:left w:val="none" w:sz="0" w:space="0" w:color="auto"/>
                <w:bottom w:val="none" w:sz="0" w:space="0" w:color="auto"/>
                <w:right w:val="none" w:sz="0" w:space="0" w:color="auto"/>
              </w:divBdr>
            </w:div>
            <w:div w:id="1490057541">
              <w:marLeft w:val="0"/>
              <w:marRight w:val="0"/>
              <w:marTop w:val="0"/>
              <w:marBottom w:val="0"/>
              <w:divBdr>
                <w:top w:val="none" w:sz="0" w:space="0" w:color="auto"/>
                <w:left w:val="none" w:sz="0" w:space="0" w:color="auto"/>
                <w:bottom w:val="none" w:sz="0" w:space="0" w:color="auto"/>
                <w:right w:val="none" w:sz="0" w:space="0" w:color="auto"/>
              </w:divBdr>
            </w:div>
            <w:div w:id="1556965906">
              <w:marLeft w:val="0"/>
              <w:marRight w:val="0"/>
              <w:marTop w:val="0"/>
              <w:marBottom w:val="0"/>
              <w:divBdr>
                <w:top w:val="none" w:sz="0" w:space="0" w:color="auto"/>
                <w:left w:val="none" w:sz="0" w:space="0" w:color="auto"/>
                <w:bottom w:val="none" w:sz="0" w:space="0" w:color="auto"/>
                <w:right w:val="none" w:sz="0" w:space="0" w:color="auto"/>
              </w:divBdr>
            </w:div>
            <w:div w:id="1606185086">
              <w:marLeft w:val="0"/>
              <w:marRight w:val="0"/>
              <w:marTop w:val="0"/>
              <w:marBottom w:val="0"/>
              <w:divBdr>
                <w:top w:val="none" w:sz="0" w:space="0" w:color="auto"/>
                <w:left w:val="none" w:sz="0" w:space="0" w:color="auto"/>
                <w:bottom w:val="none" w:sz="0" w:space="0" w:color="auto"/>
                <w:right w:val="none" w:sz="0" w:space="0" w:color="auto"/>
              </w:divBdr>
            </w:div>
            <w:div w:id="1640913339">
              <w:marLeft w:val="0"/>
              <w:marRight w:val="0"/>
              <w:marTop w:val="0"/>
              <w:marBottom w:val="0"/>
              <w:divBdr>
                <w:top w:val="none" w:sz="0" w:space="0" w:color="auto"/>
                <w:left w:val="none" w:sz="0" w:space="0" w:color="auto"/>
                <w:bottom w:val="none" w:sz="0" w:space="0" w:color="auto"/>
                <w:right w:val="none" w:sz="0" w:space="0" w:color="auto"/>
              </w:divBdr>
            </w:div>
            <w:div w:id="1669478042">
              <w:marLeft w:val="0"/>
              <w:marRight w:val="0"/>
              <w:marTop w:val="0"/>
              <w:marBottom w:val="0"/>
              <w:divBdr>
                <w:top w:val="none" w:sz="0" w:space="0" w:color="auto"/>
                <w:left w:val="none" w:sz="0" w:space="0" w:color="auto"/>
                <w:bottom w:val="none" w:sz="0" w:space="0" w:color="auto"/>
                <w:right w:val="none" w:sz="0" w:space="0" w:color="auto"/>
              </w:divBdr>
            </w:div>
            <w:div w:id="1783529381">
              <w:marLeft w:val="0"/>
              <w:marRight w:val="0"/>
              <w:marTop w:val="0"/>
              <w:marBottom w:val="0"/>
              <w:divBdr>
                <w:top w:val="none" w:sz="0" w:space="0" w:color="auto"/>
                <w:left w:val="none" w:sz="0" w:space="0" w:color="auto"/>
                <w:bottom w:val="none" w:sz="0" w:space="0" w:color="auto"/>
                <w:right w:val="none" w:sz="0" w:space="0" w:color="auto"/>
              </w:divBdr>
            </w:div>
            <w:div w:id="2084639815">
              <w:marLeft w:val="0"/>
              <w:marRight w:val="0"/>
              <w:marTop w:val="0"/>
              <w:marBottom w:val="0"/>
              <w:divBdr>
                <w:top w:val="none" w:sz="0" w:space="0" w:color="auto"/>
                <w:left w:val="none" w:sz="0" w:space="0" w:color="auto"/>
                <w:bottom w:val="none" w:sz="0" w:space="0" w:color="auto"/>
                <w:right w:val="none" w:sz="0" w:space="0" w:color="auto"/>
              </w:divBdr>
            </w:div>
            <w:div w:id="2141334760">
              <w:marLeft w:val="0"/>
              <w:marRight w:val="0"/>
              <w:marTop w:val="0"/>
              <w:marBottom w:val="0"/>
              <w:divBdr>
                <w:top w:val="none" w:sz="0" w:space="0" w:color="auto"/>
                <w:left w:val="none" w:sz="0" w:space="0" w:color="auto"/>
                <w:bottom w:val="none" w:sz="0" w:space="0" w:color="auto"/>
                <w:right w:val="none" w:sz="0" w:space="0" w:color="auto"/>
              </w:divBdr>
            </w:div>
          </w:divsChild>
        </w:div>
        <w:div w:id="328943599">
          <w:marLeft w:val="0"/>
          <w:marRight w:val="0"/>
          <w:marTop w:val="0"/>
          <w:marBottom w:val="0"/>
          <w:divBdr>
            <w:top w:val="none" w:sz="0" w:space="0" w:color="auto"/>
            <w:left w:val="none" w:sz="0" w:space="0" w:color="auto"/>
            <w:bottom w:val="none" w:sz="0" w:space="0" w:color="auto"/>
            <w:right w:val="none" w:sz="0" w:space="0" w:color="auto"/>
          </w:divBdr>
        </w:div>
        <w:div w:id="682364054">
          <w:marLeft w:val="0"/>
          <w:marRight w:val="0"/>
          <w:marTop w:val="0"/>
          <w:marBottom w:val="0"/>
          <w:divBdr>
            <w:top w:val="none" w:sz="0" w:space="0" w:color="auto"/>
            <w:left w:val="none" w:sz="0" w:space="0" w:color="auto"/>
            <w:bottom w:val="none" w:sz="0" w:space="0" w:color="auto"/>
            <w:right w:val="none" w:sz="0" w:space="0" w:color="auto"/>
          </w:divBdr>
          <w:divsChild>
            <w:div w:id="24865901">
              <w:marLeft w:val="0"/>
              <w:marRight w:val="0"/>
              <w:marTop w:val="0"/>
              <w:marBottom w:val="0"/>
              <w:divBdr>
                <w:top w:val="none" w:sz="0" w:space="0" w:color="auto"/>
                <w:left w:val="none" w:sz="0" w:space="0" w:color="auto"/>
                <w:bottom w:val="none" w:sz="0" w:space="0" w:color="auto"/>
                <w:right w:val="none" w:sz="0" w:space="0" w:color="auto"/>
              </w:divBdr>
            </w:div>
            <w:div w:id="154805975">
              <w:marLeft w:val="0"/>
              <w:marRight w:val="0"/>
              <w:marTop w:val="0"/>
              <w:marBottom w:val="0"/>
              <w:divBdr>
                <w:top w:val="none" w:sz="0" w:space="0" w:color="auto"/>
                <w:left w:val="none" w:sz="0" w:space="0" w:color="auto"/>
                <w:bottom w:val="none" w:sz="0" w:space="0" w:color="auto"/>
                <w:right w:val="none" w:sz="0" w:space="0" w:color="auto"/>
              </w:divBdr>
            </w:div>
            <w:div w:id="255140528">
              <w:marLeft w:val="0"/>
              <w:marRight w:val="0"/>
              <w:marTop w:val="0"/>
              <w:marBottom w:val="0"/>
              <w:divBdr>
                <w:top w:val="none" w:sz="0" w:space="0" w:color="auto"/>
                <w:left w:val="none" w:sz="0" w:space="0" w:color="auto"/>
                <w:bottom w:val="none" w:sz="0" w:space="0" w:color="auto"/>
                <w:right w:val="none" w:sz="0" w:space="0" w:color="auto"/>
              </w:divBdr>
            </w:div>
            <w:div w:id="405304795">
              <w:marLeft w:val="0"/>
              <w:marRight w:val="0"/>
              <w:marTop w:val="0"/>
              <w:marBottom w:val="0"/>
              <w:divBdr>
                <w:top w:val="none" w:sz="0" w:space="0" w:color="auto"/>
                <w:left w:val="none" w:sz="0" w:space="0" w:color="auto"/>
                <w:bottom w:val="none" w:sz="0" w:space="0" w:color="auto"/>
                <w:right w:val="none" w:sz="0" w:space="0" w:color="auto"/>
              </w:divBdr>
            </w:div>
            <w:div w:id="605650664">
              <w:marLeft w:val="0"/>
              <w:marRight w:val="0"/>
              <w:marTop w:val="0"/>
              <w:marBottom w:val="0"/>
              <w:divBdr>
                <w:top w:val="none" w:sz="0" w:space="0" w:color="auto"/>
                <w:left w:val="none" w:sz="0" w:space="0" w:color="auto"/>
                <w:bottom w:val="none" w:sz="0" w:space="0" w:color="auto"/>
                <w:right w:val="none" w:sz="0" w:space="0" w:color="auto"/>
              </w:divBdr>
            </w:div>
            <w:div w:id="655063785">
              <w:marLeft w:val="0"/>
              <w:marRight w:val="0"/>
              <w:marTop w:val="0"/>
              <w:marBottom w:val="0"/>
              <w:divBdr>
                <w:top w:val="none" w:sz="0" w:space="0" w:color="auto"/>
                <w:left w:val="none" w:sz="0" w:space="0" w:color="auto"/>
                <w:bottom w:val="none" w:sz="0" w:space="0" w:color="auto"/>
                <w:right w:val="none" w:sz="0" w:space="0" w:color="auto"/>
              </w:divBdr>
            </w:div>
            <w:div w:id="658075339">
              <w:marLeft w:val="0"/>
              <w:marRight w:val="0"/>
              <w:marTop w:val="0"/>
              <w:marBottom w:val="0"/>
              <w:divBdr>
                <w:top w:val="none" w:sz="0" w:space="0" w:color="auto"/>
                <w:left w:val="none" w:sz="0" w:space="0" w:color="auto"/>
                <w:bottom w:val="none" w:sz="0" w:space="0" w:color="auto"/>
                <w:right w:val="none" w:sz="0" w:space="0" w:color="auto"/>
              </w:divBdr>
            </w:div>
            <w:div w:id="824665066">
              <w:marLeft w:val="0"/>
              <w:marRight w:val="0"/>
              <w:marTop w:val="0"/>
              <w:marBottom w:val="0"/>
              <w:divBdr>
                <w:top w:val="none" w:sz="0" w:space="0" w:color="auto"/>
                <w:left w:val="none" w:sz="0" w:space="0" w:color="auto"/>
                <w:bottom w:val="none" w:sz="0" w:space="0" w:color="auto"/>
                <w:right w:val="none" w:sz="0" w:space="0" w:color="auto"/>
              </w:divBdr>
            </w:div>
            <w:div w:id="843591325">
              <w:marLeft w:val="0"/>
              <w:marRight w:val="0"/>
              <w:marTop w:val="0"/>
              <w:marBottom w:val="0"/>
              <w:divBdr>
                <w:top w:val="none" w:sz="0" w:space="0" w:color="auto"/>
                <w:left w:val="none" w:sz="0" w:space="0" w:color="auto"/>
                <w:bottom w:val="none" w:sz="0" w:space="0" w:color="auto"/>
                <w:right w:val="none" w:sz="0" w:space="0" w:color="auto"/>
              </w:divBdr>
            </w:div>
            <w:div w:id="937181035">
              <w:marLeft w:val="0"/>
              <w:marRight w:val="0"/>
              <w:marTop w:val="0"/>
              <w:marBottom w:val="0"/>
              <w:divBdr>
                <w:top w:val="none" w:sz="0" w:space="0" w:color="auto"/>
                <w:left w:val="none" w:sz="0" w:space="0" w:color="auto"/>
                <w:bottom w:val="none" w:sz="0" w:space="0" w:color="auto"/>
                <w:right w:val="none" w:sz="0" w:space="0" w:color="auto"/>
              </w:divBdr>
            </w:div>
            <w:div w:id="1083643898">
              <w:marLeft w:val="0"/>
              <w:marRight w:val="0"/>
              <w:marTop w:val="0"/>
              <w:marBottom w:val="0"/>
              <w:divBdr>
                <w:top w:val="none" w:sz="0" w:space="0" w:color="auto"/>
                <w:left w:val="none" w:sz="0" w:space="0" w:color="auto"/>
                <w:bottom w:val="none" w:sz="0" w:space="0" w:color="auto"/>
                <w:right w:val="none" w:sz="0" w:space="0" w:color="auto"/>
              </w:divBdr>
            </w:div>
            <w:div w:id="1189559882">
              <w:marLeft w:val="0"/>
              <w:marRight w:val="0"/>
              <w:marTop w:val="0"/>
              <w:marBottom w:val="0"/>
              <w:divBdr>
                <w:top w:val="none" w:sz="0" w:space="0" w:color="auto"/>
                <w:left w:val="none" w:sz="0" w:space="0" w:color="auto"/>
                <w:bottom w:val="none" w:sz="0" w:space="0" w:color="auto"/>
                <w:right w:val="none" w:sz="0" w:space="0" w:color="auto"/>
              </w:divBdr>
            </w:div>
            <w:div w:id="1407267276">
              <w:marLeft w:val="0"/>
              <w:marRight w:val="0"/>
              <w:marTop w:val="0"/>
              <w:marBottom w:val="0"/>
              <w:divBdr>
                <w:top w:val="none" w:sz="0" w:space="0" w:color="auto"/>
                <w:left w:val="none" w:sz="0" w:space="0" w:color="auto"/>
                <w:bottom w:val="none" w:sz="0" w:space="0" w:color="auto"/>
                <w:right w:val="none" w:sz="0" w:space="0" w:color="auto"/>
              </w:divBdr>
            </w:div>
            <w:div w:id="1416240658">
              <w:marLeft w:val="0"/>
              <w:marRight w:val="0"/>
              <w:marTop w:val="0"/>
              <w:marBottom w:val="0"/>
              <w:divBdr>
                <w:top w:val="none" w:sz="0" w:space="0" w:color="auto"/>
                <w:left w:val="none" w:sz="0" w:space="0" w:color="auto"/>
                <w:bottom w:val="none" w:sz="0" w:space="0" w:color="auto"/>
                <w:right w:val="none" w:sz="0" w:space="0" w:color="auto"/>
              </w:divBdr>
            </w:div>
            <w:div w:id="1419600760">
              <w:marLeft w:val="0"/>
              <w:marRight w:val="0"/>
              <w:marTop w:val="0"/>
              <w:marBottom w:val="0"/>
              <w:divBdr>
                <w:top w:val="none" w:sz="0" w:space="0" w:color="auto"/>
                <w:left w:val="none" w:sz="0" w:space="0" w:color="auto"/>
                <w:bottom w:val="none" w:sz="0" w:space="0" w:color="auto"/>
                <w:right w:val="none" w:sz="0" w:space="0" w:color="auto"/>
              </w:divBdr>
            </w:div>
            <w:div w:id="1546022421">
              <w:marLeft w:val="0"/>
              <w:marRight w:val="0"/>
              <w:marTop w:val="0"/>
              <w:marBottom w:val="0"/>
              <w:divBdr>
                <w:top w:val="none" w:sz="0" w:space="0" w:color="auto"/>
                <w:left w:val="none" w:sz="0" w:space="0" w:color="auto"/>
                <w:bottom w:val="none" w:sz="0" w:space="0" w:color="auto"/>
                <w:right w:val="none" w:sz="0" w:space="0" w:color="auto"/>
              </w:divBdr>
            </w:div>
            <w:div w:id="1654063321">
              <w:marLeft w:val="0"/>
              <w:marRight w:val="0"/>
              <w:marTop w:val="0"/>
              <w:marBottom w:val="0"/>
              <w:divBdr>
                <w:top w:val="none" w:sz="0" w:space="0" w:color="auto"/>
                <w:left w:val="none" w:sz="0" w:space="0" w:color="auto"/>
                <w:bottom w:val="none" w:sz="0" w:space="0" w:color="auto"/>
                <w:right w:val="none" w:sz="0" w:space="0" w:color="auto"/>
              </w:divBdr>
            </w:div>
            <w:div w:id="1896157851">
              <w:marLeft w:val="0"/>
              <w:marRight w:val="0"/>
              <w:marTop w:val="0"/>
              <w:marBottom w:val="0"/>
              <w:divBdr>
                <w:top w:val="none" w:sz="0" w:space="0" w:color="auto"/>
                <w:left w:val="none" w:sz="0" w:space="0" w:color="auto"/>
                <w:bottom w:val="none" w:sz="0" w:space="0" w:color="auto"/>
                <w:right w:val="none" w:sz="0" w:space="0" w:color="auto"/>
              </w:divBdr>
            </w:div>
            <w:div w:id="1982030531">
              <w:marLeft w:val="0"/>
              <w:marRight w:val="0"/>
              <w:marTop w:val="0"/>
              <w:marBottom w:val="0"/>
              <w:divBdr>
                <w:top w:val="none" w:sz="0" w:space="0" w:color="auto"/>
                <w:left w:val="none" w:sz="0" w:space="0" w:color="auto"/>
                <w:bottom w:val="none" w:sz="0" w:space="0" w:color="auto"/>
                <w:right w:val="none" w:sz="0" w:space="0" w:color="auto"/>
              </w:divBdr>
            </w:div>
          </w:divsChild>
        </w:div>
        <w:div w:id="686760826">
          <w:marLeft w:val="0"/>
          <w:marRight w:val="0"/>
          <w:marTop w:val="0"/>
          <w:marBottom w:val="0"/>
          <w:divBdr>
            <w:top w:val="none" w:sz="0" w:space="0" w:color="auto"/>
            <w:left w:val="none" w:sz="0" w:space="0" w:color="auto"/>
            <w:bottom w:val="none" w:sz="0" w:space="0" w:color="auto"/>
            <w:right w:val="none" w:sz="0" w:space="0" w:color="auto"/>
          </w:divBdr>
        </w:div>
        <w:div w:id="962880434">
          <w:marLeft w:val="0"/>
          <w:marRight w:val="0"/>
          <w:marTop w:val="0"/>
          <w:marBottom w:val="0"/>
          <w:divBdr>
            <w:top w:val="none" w:sz="0" w:space="0" w:color="auto"/>
            <w:left w:val="none" w:sz="0" w:space="0" w:color="auto"/>
            <w:bottom w:val="none" w:sz="0" w:space="0" w:color="auto"/>
            <w:right w:val="none" w:sz="0" w:space="0" w:color="auto"/>
          </w:divBdr>
          <w:divsChild>
            <w:div w:id="512376555">
              <w:marLeft w:val="0"/>
              <w:marRight w:val="0"/>
              <w:marTop w:val="0"/>
              <w:marBottom w:val="0"/>
              <w:divBdr>
                <w:top w:val="none" w:sz="0" w:space="0" w:color="auto"/>
                <w:left w:val="none" w:sz="0" w:space="0" w:color="auto"/>
                <w:bottom w:val="none" w:sz="0" w:space="0" w:color="auto"/>
                <w:right w:val="none" w:sz="0" w:space="0" w:color="auto"/>
              </w:divBdr>
            </w:div>
            <w:div w:id="1028069861">
              <w:marLeft w:val="0"/>
              <w:marRight w:val="0"/>
              <w:marTop w:val="0"/>
              <w:marBottom w:val="0"/>
              <w:divBdr>
                <w:top w:val="none" w:sz="0" w:space="0" w:color="auto"/>
                <w:left w:val="none" w:sz="0" w:space="0" w:color="auto"/>
                <w:bottom w:val="none" w:sz="0" w:space="0" w:color="auto"/>
                <w:right w:val="none" w:sz="0" w:space="0" w:color="auto"/>
              </w:divBdr>
            </w:div>
            <w:div w:id="1404378676">
              <w:marLeft w:val="0"/>
              <w:marRight w:val="0"/>
              <w:marTop w:val="0"/>
              <w:marBottom w:val="0"/>
              <w:divBdr>
                <w:top w:val="none" w:sz="0" w:space="0" w:color="auto"/>
                <w:left w:val="none" w:sz="0" w:space="0" w:color="auto"/>
                <w:bottom w:val="none" w:sz="0" w:space="0" w:color="auto"/>
                <w:right w:val="none" w:sz="0" w:space="0" w:color="auto"/>
              </w:divBdr>
            </w:div>
            <w:div w:id="1426656727">
              <w:marLeft w:val="0"/>
              <w:marRight w:val="0"/>
              <w:marTop w:val="0"/>
              <w:marBottom w:val="0"/>
              <w:divBdr>
                <w:top w:val="none" w:sz="0" w:space="0" w:color="auto"/>
                <w:left w:val="none" w:sz="0" w:space="0" w:color="auto"/>
                <w:bottom w:val="none" w:sz="0" w:space="0" w:color="auto"/>
                <w:right w:val="none" w:sz="0" w:space="0" w:color="auto"/>
              </w:divBdr>
            </w:div>
            <w:div w:id="1850944367">
              <w:marLeft w:val="0"/>
              <w:marRight w:val="0"/>
              <w:marTop w:val="0"/>
              <w:marBottom w:val="0"/>
              <w:divBdr>
                <w:top w:val="none" w:sz="0" w:space="0" w:color="auto"/>
                <w:left w:val="none" w:sz="0" w:space="0" w:color="auto"/>
                <w:bottom w:val="none" w:sz="0" w:space="0" w:color="auto"/>
                <w:right w:val="none" w:sz="0" w:space="0" w:color="auto"/>
              </w:divBdr>
            </w:div>
          </w:divsChild>
        </w:div>
        <w:div w:id="1377312802">
          <w:marLeft w:val="0"/>
          <w:marRight w:val="0"/>
          <w:marTop w:val="0"/>
          <w:marBottom w:val="0"/>
          <w:divBdr>
            <w:top w:val="none" w:sz="0" w:space="0" w:color="auto"/>
            <w:left w:val="none" w:sz="0" w:space="0" w:color="auto"/>
            <w:bottom w:val="none" w:sz="0" w:space="0" w:color="auto"/>
            <w:right w:val="none" w:sz="0" w:space="0" w:color="auto"/>
          </w:divBdr>
          <w:divsChild>
            <w:div w:id="83385343">
              <w:marLeft w:val="0"/>
              <w:marRight w:val="0"/>
              <w:marTop w:val="0"/>
              <w:marBottom w:val="0"/>
              <w:divBdr>
                <w:top w:val="none" w:sz="0" w:space="0" w:color="auto"/>
                <w:left w:val="none" w:sz="0" w:space="0" w:color="auto"/>
                <w:bottom w:val="none" w:sz="0" w:space="0" w:color="auto"/>
                <w:right w:val="none" w:sz="0" w:space="0" w:color="auto"/>
              </w:divBdr>
            </w:div>
            <w:div w:id="155809622">
              <w:marLeft w:val="0"/>
              <w:marRight w:val="0"/>
              <w:marTop w:val="0"/>
              <w:marBottom w:val="0"/>
              <w:divBdr>
                <w:top w:val="none" w:sz="0" w:space="0" w:color="auto"/>
                <w:left w:val="none" w:sz="0" w:space="0" w:color="auto"/>
                <w:bottom w:val="none" w:sz="0" w:space="0" w:color="auto"/>
                <w:right w:val="none" w:sz="0" w:space="0" w:color="auto"/>
              </w:divBdr>
            </w:div>
            <w:div w:id="674498750">
              <w:marLeft w:val="0"/>
              <w:marRight w:val="0"/>
              <w:marTop w:val="0"/>
              <w:marBottom w:val="0"/>
              <w:divBdr>
                <w:top w:val="none" w:sz="0" w:space="0" w:color="auto"/>
                <w:left w:val="none" w:sz="0" w:space="0" w:color="auto"/>
                <w:bottom w:val="none" w:sz="0" w:space="0" w:color="auto"/>
                <w:right w:val="none" w:sz="0" w:space="0" w:color="auto"/>
              </w:divBdr>
            </w:div>
            <w:div w:id="710769805">
              <w:marLeft w:val="0"/>
              <w:marRight w:val="0"/>
              <w:marTop w:val="0"/>
              <w:marBottom w:val="0"/>
              <w:divBdr>
                <w:top w:val="none" w:sz="0" w:space="0" w:color="auto"/>
                <w:left w:val="none" w:sz="0" w:space="0" w:color="auto"/>
                <w:bottom w:val="none" w:sz="0" w:space="0" w:color="auto"/>
                <w:right w:val="none" w:sz="0" w:space="0" w:color="auto"/>
              </w:divBdr>
            </w:div>
            <w:div w:id="772868382">
              <w:marLeft w:val="0"/>
              <w:marRight w:val="0"/>
              <w:marTop w:val="0"/>
              <w:marBottom w:val="0"/>
              <w:divBdr>
                <w:top w:val="none" w:sz="0" w:space="0" w:color="auto"/>
                <w:left w:val="none" w:sz="0" w:space="0" w:color="auto"/>
                <w:bottom w:val="none" w:sz="0" w:space="0" w:color="auto"/>
                <w:right w:val="none" w:sz="0" w:space="0" w:color="auto"/>
              </w:divBdr>
            </w:div>
            <w:div w:id="841821867">
              <w:marLeft w:val="0"/>
              <w:marRight w:val="0"/>
              <w:marTop w:val="0"/>
              <w:marBottom w:val="0"/>
              <w:divBdr>
                <w:top w:val="none" w:sz="0" w:space="0" w:color="auto"/>
                <w:left w:val="none" w:sz="0" w:space="0" w:color="auto"/>
                <w:bottom w:val="none" w:sz="0" w:space="0" w:color="auto"/>
                <w:right w:val="none" w:sz="0" w:space="0" w:color="auto"/>
              </w:divBdr>
            </w:div>
            <w:div w:id="876158630">
              <w:marLeft w:val="0"/>
              <w:marRight w:val="0"/>
              <w:marTop w:val="0"/>
              <w:marBottom w:val="0"/>
              <w:divBdr>
                <w:top w:val="none" w:sz="0" w:space="0" w:color="auto"/>
                <w:left w:val="none" w:sz="0" w:space="0" w:color="auto"/>
                <w:bottom w:val="none" w:sz="0" w:space="0" w:color="auto"/>
                <w:right w:val="none" w:sz="0" w:space="0" w:color="auto"/>
              </w:divBdr>
            </w:div>
            <w:div w:id="935400556">
              <w:marLeft w:val="0"/>
              <w:marRight w:val="0"/>
              <w:marTop w:val="0"/>
              <w:marBottom w:val="0"/>
              <w:divBdr>
                <w:top w:val="none" w:sz="0" w:space="0" w:color="auto"/>
                <w:left w:val="none" w:sz="0" w:space="0" w:color="auto"/>
                <w:bottom w:val="none" w:sz="0" w:space="0" w:color="auto"/>
                <w:right w:val="none" w:sz="0" w:space="0" w:color="auto"/>
              </w:divBdr>
            </w:div>
            <w:div w:id="1122307243">
              <w:marLeft w:val="0"/>
              <w:marRight w:val="0"/>
              <w:marTop w:val="0"/>
              <w:marBottom w:val="0"/>
              <w:divBdr>
                <w:top w:val="none" w:sz="0" w:space="0" w:color="auto"/>
                <w:left w:val="none" w:sz="0" w:space="0" w:color="auto"/>
                <w:bottom w:val="none" w:sz="0" w:space="0" w:color="auto"/>
                <w:right w:val="none" w:sz="0" w:space="0" w:color="auto"/>
              </w:divBdr>
            </w:div>
            <w:div w:id="1223104509">
              <w:marLeft w:val="0"/>
              <w:marRight w:val="0"/>
              <w:marTop w:val="0"/>
              <w:marBottom w:val="0"/>
              <w:divBdr>
                <w:top w:val="none" w:sz="0" w:space="0" w:color="auto"/>
                <w:left w:val="none" w:sz="0" w:space="0" w:color="auto"/>
                <w:bottom w:val="none" w:sz="0" w:space="0" w:color="auto"/>
                <w:right w:val="none" w:sz="0" w:space="0" w:color="auto"/>
              </w:divBdr>
            </w:div>
            <w:div w:id="1243834768">
              <w:marLeft w:val="0"/>
              <w:marRight w:val="0"/>
              <w:marTop w:val="0"/>
              <w:marBottom w:val="0"/>
              <w:divBdr>
                <w:top w:val="none" w:sz="0" w:space="0" w:color="auto"/>
                <w:left w:val="none" w:sz="0" w:space="0" w:color="auto"/>
                <w:bottom w:val="none" w:sz="0" w:space="0" w:color="auto"/>
                <w:right w:val="none" w:sz="0" w:space="0" w:color="auto"/>
              </w:divBdr>
            </w:div>
            <w:div w:id="1390418865">
              <w:marLeft w:val="0"/>
              <w:marRight w:val="0"/>
              <w:marTop w:val="0"/>
              <w:marBottom w:val="0"/>
              <w:divBdr>
                <w:top w:val="none" w:sz="0" w:space="0" w:color="auto"/>
                <w:left w:val="none" w:sz="0" w:space="0" w:color="auto"/>
                <w:bottom w:val="none" w:sz="0" w:space="0" w:color="auto"/>
                <w:right w:val="none" w:sz="0" w:space="0" w:color="auto"/>
              </w:divBdr>
            </w:div>
            <w:div w:id="1405374408">
              <w:marLeft w:val="0"/>
              <w:marRight w:val="0"/>
              <w:marTop w:val="0"/>
              <w:marBottom w:val="0"/>
              <w:divBdr>
                <w:top w:val="none" w:sz="0" w:space="0" w:color="auto"/>
                <w:left w:val="none" w:sz="0" w:space="0" w:color="auto"/>
                <w:bottom w:val="none" w:sz="0" w:space="0" w:color="auto"/>
                <w:right w:val="none" w:sz="0" w:space="0" w:color="auto"/>
              </w:divBdr>
            </w:div>
            <w:div w:id="1550410238">
              <w:marLeft w:val="0"/>
              <w:marRight w:val="0"/>
              <w:marTop w:val="0"/>
              <w:marBottom w:val="0"/>
              <w:divBdr>
                <w:top w:val="none" w:sz="0" w:space="0" w:color="auto"/>
                <w:left w:val="none" w:sz="0" w:space="0" w:color="auto"/>
                <w:bottom w:val="none" w:sz="0" w:space="0" w:color="auto"/>
                <w:right w:val="none" w:sz="0" w:space="0" w:color="auto"/>
              </w:divBdr>
            </w:div>
            <w:div w:id="1556307983">
              <w:marLeft w:val="0"/>
              <w:marRight w:val="0"/>
              <w:marTop w:val="0"/>
              <w:marBottom w:val="0"/>
              <w:divBdr>
                <w:top w:val="none" w:sz="0" w:space="0" w:color="auto"/>
                <w:left w:val="none" w:sz="0" w:space="0" w:color="auto"/>
                <w:bottom w:val="none" w:sz="0" w:space="0" w:color="auto"/>
                <w:right w:val="none" w:sz="0" w:space="0" w:color="auto"/>
              </w:divBdr>
            </w:div>
            <w:div w:id="1649168484">
              <w:marLeft w:val="0"/>
              <w:marRight w:val="0"/>
              <w:marTop w:val="0"/>
              <w:marBottom w:val="0"/>
              <w:divBdr>
                <w:top w:val="none" w:sz="0" w:space="0" w:color="auto"/>
                <w:left w:val="none" w:sz="0" w:space="0" w:color="auto"/>
                <w:bottom w:val="none" w:sz="0" w:space="0" w:color="auto"/>
                <w:right w:val="none" w:sz="0" w:space="0" w:color="auto"/>
              </w:divBdr>
            </w:div>
            <w:div w:id="1790466147">
              <w:marLeft w:val="0"/>
              <w:marRight w:val="0"/>
              <w:marTop w:val="0"/>
              <w:marBottom w:val="0"/>
              <w:divBdr>
                <w:top w:val="none" w:sz="0" w:space="0" w:color="auto"/>
                <w:left w:val="none" w:sz="0" w:space="0" w:color="auto"/>
                <w:bottom w:val="none" w:sz="0" w:space="0" w:color="auto"/>
                <w:right w:val="none" w:sz="0" w:space="0" w:color="auto"/>
              </w:divBdr>
            </w:div>
            <w:div w:id="1826314964">
              <w:marLeft w:val="0"/>
              <w:marRight w:val="0"/>
              <w:marTop w:val="0"/>
              <w:marBottom w:val="0"/>
              <w:divBdr>
                <w:top w:val="none" w:sz="0" w:space="0" w:color="auto"/>
                <w:left w:val="none" w:sz="0" w:space="0" w:color="auto"/>
                <w:bottom w:val="none" w:sz="0" w:space="0" w:color="auto"/>
                <w:right w:val="none" w:sz="0" w:space="0" w:color="auto"/>
              </w:divBdr>
            </w:div>
            <w:div w:id="1913002824">
              <w:marLeft w:val="0"/>
              <w:marRight w:val="0"/>
              <w:marTop w:val="0"/>
              <w:marBottom w:val="0"/>
              <w:divBdr>
                <w:top w:val="none" w:sz="0" w:space="0" w:color="auto"/>
                <w:left w:val="none" w:sz="0" w:space="0" w:color="auto"/>
                <w:bottom w:val="none" w:sz="0" w:space="0" w:color="auto"/>
                <w:right w:val="none" w:sz="0" w:space="0" w:color="auto"/>
              </w:divBdr>
            </w:div>
            <w:div w:id="1990475025">
              <w:marLeft w:val="0"/>
              <w:marRight w:val="0"/>
              <w:marTop w:val="0"/>
              <w:marBottom w:val="0"/>
              <w:divBdr>
                <w:top w:val="none" w:sz="0" w:space="0" w:color="auto"/>
                <w:left w:val="none" w:sz="0" w:space="0" w:color="auto"/>
                <w:bottom w:val="none" w:sz="0" w:space="0" w:color="auto"/>
                <w:right w:val="none" w:sz="0" w:space="0" w:color="auto"/>
              </w:divBdr>
            </w:div>
          </w:divsChild>
        </w:div>
        <w:div w:id="1527209827">
          <w:marLeft w:val="0"/>
          <w:marRight w:val="0"/>
          <w:marTop w:val="0"/>
          <w:marBottom w:val="0"/>
          <w:divBdr>
            <w:top w:val="none" w:sz="0" w:space="0" w:color="auto"/>
            <w:left w:val="none" w:sz="0" w:space="0" w:color="auto"/>
            <w:bottom w:val="none" w:sz="0" w:space="0" w:color="auto"/>
            <w:right w:val="none" w:sz="0" w:space="0" w:color="auto"/>
          </w:divBdr>
        </w:div>
        <w:div w:id="1882474567">
          <w:marLeft w:val="0"/>
          <w:marRight w:val="0"/>
          <w:marTop w:val="0"/>
          <w:marBottom w:val="0"/>
          <w:divBdr>
            <w:top w:val="none" w:sz="0" w:space="0" w:color="auto"/>
            <w:left w:val="none" w:sz="0" w:space="0" w:color="auto"/>
            <w:bottom w:val="none" w:sz="0" w:space="0" w:color="auto"/>
            <w:right w:val="none" w:sz="0" w:space="0" w:color="auto"/>
          </w:divBdr>
          <w:divsChild>
            <w:div w:id="684330655">
              <w:marLeft w:val="0"/>
              <w:marRight w:val="0"/>
              <w:marTop w:val="0"/>
              <w:marBottom w:val="0"/>
              <w:divBdr>
                <w:top w:val="none" w:sz="0" w:space="0" w:color="auto"/>
                <w:left w:val="none" w:sz="0" w:space="0" w:color="auto"/>
                <w:bottom w:val="none" w:sz="0" w:space="0" w:color="auto"/>
                <w:right w:val="none" w:sz="0" w:space="0" w:color="auto"/>
              </w:divBdr>
            </w:div>
            <w:div w:id="750858615">
              <w:marLeft w:val="0"/>
              <w:marRight w:val="0"/>
              <w:marTop w:val="0"/>
              <w:marBottom w:val="0"/>
              <w:divBdr>
                <w:top w:val="none" w:sz="0" w:space="0" w:color="auto"/>
                <w:left w:val="none" w:sz="0" w:space="0" w:color="auto"/>
                <w:bottom w:val="none" w:sz="0" w:space="0" w:color="auto"/>
                <w:right w:val="none" w:sz="0" w:space="0" w:color="auto"/>
              </w:divBdr>
            </w:div>
            <w:div w:id="867789970">
              <w:marLeft w:val="0"/>
              <w:marRight w:val="0"/>
              <w:marTop w:val="0"/>
              <w:marBottom w:val="0"/>
              <w:divBdr>
                <w:top w:val="none" w:sz="0" w:space="0" w:color="auto"/>
                <w:left w:val="none" w:sz="0" w:space="0" w:color="auto"/>
                <w:bottom w:val="none" w:sz="0" w:space="0" w:color="auto"/>
                <w:right w:val="none" w:sz="0" w:space="0" w:color="auto"/>
              </w:divBdr>
            </w:div>
            <w:div w:id="1332295155">
              <w:marLeft w:val="0"/>
              <w:marRight w:val="0"/>
              <w:marTop w:val="0"/>
              <w:marBottom w:val="0"/>
              <w:divBdr>
                <w:top w:val="none" w:sz="0" w:space="0" w:color="auto"/>
                <w:left w:val="none" w:sz="0" w:space="0" w:color="auto"/>
                <w:bottom w:val="none" w:sz="0" w:space="0" w:color="auto"/>
                <w:right w:val="none" w:sz="0" w:space="0" w:color="auto"/>
              </w:divBdr>
            </w:div>
            <w:div w:id="1423379019">
              <w:marLeft w:val="0"/>
              <w:marRight w:val="0"/>
              <w:marTop w:val="0"/>
              <w:marBottom w:val="0"/>
              <w:divBdr>
                <w:top w:val="none" w:sz="0" w:space="0" w:color="auto"/>
                <w:left w:val="none" w:sz="0" w:space="0" w:color="auto"/>
                <w:bottom w:val="none" w:sz="0" w:space="0" w:color="auto"/>
                <w:right w:val="none" w:sz="0" w:space="0" w:color="auto"/>
              </w:divBdr>
            </w:div>
            <w:div w:id="1460994053">
              <w:marLeft w:val="0"/>
              <w:marRight w:val="0"/>
              <w:marTop w:val="0"/>
              <w:marBottom w:val="0"/>
              <w:divBdr>
                <w:top w:val="none" w:sz="0" w:space="0" w:color="auto"/>
                <w:left w:val="none" w:sz="0" w:space="0" w:color="auto"/>
                <w:bottom w:val="none" w:sz="0" w:space="0" w:color="auto"/>
                <w:right w:val="none" w:sz="0" w:space="0" w:color="auto"/>
              </w:divBdr>
            </w:div>
            <w:div w:id="1521353779">
              <w:marLeft w:val="0"/>
              <w:marRight w:val="0"/>
              <w:marTop w:val="0"/>
              <w:marBottom w:val="0"/>
              <w:divBdr>
                <w:top w:val="none" w:sz="0" w:space="0" w:color="auto"/>
                <w:left w:val="none" w:sz="0" w:space="0" w:color="auto"/>
                <w:bottom w:val="none" w:sz="0" w:space="0" w:color="auto"/>
                <w:right w:val="none" w:sz="0" w:space="0" w:color="auto"/>
              </w:divBdr>
            </w:div>
            <w:div w:id="1618098760">
              <w:marLeft w:val="0"/>
              <w:marRight w:val="0"/>
              <w:marTop w:val="0"/>
              <w:marBottom w:val="0"/>
              <w:divBdr>
                <w:top w:val="none" w:sz="0" w:space="0" w:color="auto"/>
                <w:left w:val="none" w:sz="0" w:space="0" w:color="auto"/>
                <w:bottom w:val="none" w:sz="0" w:space="0" w:color="auto"/>
                <w:right w:val="none" w:sz="0" w:space="0" w:color="auto"/>
              </w:divBdr>
            </w:div>
            <w:div w:id="1966808579">
              <w:marLeft w:val="0"/>
              <w:marRight w:val="0"/>
              <w:marTop w:val="0"/>
              <w:marBottom w:val="0"/>
              <w:divBdr>
                <w:top w:val="none" w:sz="0" w:space="0" w:color="auto"/>
                <w:left w:val="none" w:sz="0" w:space="0" w:color="auto"/>
                <w:bottom w:val="none" w:sz="0" w:space="0" w:color="auto"/>
                <w:right w:val="none" w:sz="0" w:space="0" w:color="auto"/>
              </w:divBdr>
            </w:div>
            <w:div w:id="1981614047">
              <w:marLeft w:val="0"/>
              <w:marRight w:val="0"/>
              <w:marTop w:val="0"/>
              <w:marBottom w:val="0"/>
              <w:divBdr>
                <w:top w:val="none" w:sz="0" w:space="0" w:color="auto"/>
                <w:left w:val="none" w:sz="0" w:space="0" w:color="auto"/>
                <w:bottom w:val="none" w:sz="0" w:space="0" w:color="auto"/>
                <w:right w:val="none" w:sz="0" w:space="0" w:color="auto"/>
              </w:divBdr>
            </w:div>
            <w:div w:id="2058814393">
              <w:marLeft w:val="0"/>
              <w:marRight w:val="0"/>
              <w:marTop w:val="0"/>
              <w:marBottom w:val="0"/>
              <w:divBdr>
                <w:top w:val="none" w:sz="0" w:space="0" w:color="auto"/>
                <w:left w:val="none" w:sz="0" w:space="0" w:color="auto"/>
                <w:bottom w:val="none" w:sz="0" w:space="0" w:color="auto"/>
                <w:right w:val="none" w:sz="0" w:space="0" w:color="auto"/>
              </w:divBdr>
            </w:div>
          </w:divsChild>
        </w:div>
        <w:div w:id="1924945613">
          <w:marLeft w:val="0"/>
          <w:marRight w:val="0"/>
          <w:marTop w:val="0"/>
          <w:marBottom w:val="0"/>
          <w:divBdr>
            <w:top w:val="none" w:sz="0" w:space="0" w:color="auto"/>
            <w:left w:val="none" w:sz="0" w:space="0" w:color="auto"/>
            <w:bottom w:val="none" w:sz="0" w:space="0" w:color="auto"/>
            <w:right w:val="none" w:sz="0" w:space="0" w:color="auto"/>
          </w:divBdr>
        </w:div>
        <w:div w:id="1956983253">
          <w:marLeft w:val="0"/>
          <w:marRight w:val="0"/>
          <w:marTop w:val="0"/>
          <w:marBottom w:val="0"/>
          <w:divBdr>
            <w:top w:val="none" w:sz="0" w:space="0" w:color="auto"/>
            <w:left w:val="none" w:sz="0" w:space="0" w:color="auto"/>
            <w:bottom w:val="none" w:sz="0" w:space="0" w:color="auto"/>
            <w:right w:val="none" w:sz="0" w:space="0" w:color="auto"/>
          </w:divBdr>
          <w:divsChild>
            <w:div w:id="160661279">
              <w:marLeft w:val="0"/>
              <w:marRight w:val="0"/>
              <w:marTop w:val="0"/>
              <w:marBottom w:val="0"/>
              <w:divBdr>
                <w:top w:val="none" w:sz="0" w:space="0" w:color="auto"/>
                <w:left w:val="none" w:sz="0" w:space="0" w:color="auto"/>
                <w:bottom w:val="none" w:sz="0" w:space="0" w:color="auto"/>
                <w:right w:val="none" w:sz="0" w:space="0" w:color="auto"/>
              </w:divBdr>
            </w:div>
            <w:div w:id="219484152">
              <w:marLeft w:val="0"/>
              <w:marRight w:val="0"/>
              <w:marTop w:val="0"/>
              <w:marBottom w:val="0"/>
              <w:divBdr>
                <w:top w:val="none" w:sz="0" w:space="0" w:color="auto"/>
                <w:left w:val="none" w:sz="0" w:space="0" w:color="auto"/>
                <w:bottom w:val="none" w:sz="0" w:space="0" w:color="auto"/>
                <w:right w:val="none" w:sz="0" w:space="0" w:color="auto"/>
              </w:divBdr>
            </w:div>
            <w:div w:id="224031208">
              <w:marLeft w:val="0"/>
              <w:marRight w:val="0"/>
              <w:marTop w:val="0"/>
              <w:marBottom w:val="0"/>
              <w:divBdr>
                <w:top w:val="none" w:sz="0" w:space="0" w:color="auto"/>
                <w:left w:val="none" w:sz="0" w:space="0" w:color="auto"/>
                <w:bottom w:val="none" w:sz="0" w:space="0" w:color="auto"/>
                <w:right w:val="none" w:sz="0" w:space="0" w:color="auto"/>
              </w:divBdr>
            </w:div>
            <w:div w:id="230970093">
              <w:marLeft w:val="0"/>
              <w:marRight w:val="0"/>
              <w:marTop w:val="0"/>
              <w:marBottom w:val="0"/>
              <w:divBdr>
                <w:top w:val="none" w:sz="0" w:space="0" w:color="auto"/>
                <w:left w:val="none" w:sz="0" w:space="0" w:color="auto"/>
                <w:bottom w:val="none" w:sz="0" w:space="0" w:color="auto"/>
                <w:right w:val="none" w:sz="0" w:space="0" w:color="auto"/>
              </w:divBdr>
            </w:div>
            <w:div w:id="254679475">
              <w:marLeft w:val="0"/>
              <w:marRight w:val="0"/>
              <w:marTop w:val="0"/>
              <w:marBottom w:val="0"/>
              <w:divBdr>
                <w:top w:val="none" w:sz="0" w:space="0" w:color="auto"/>
                <w:left w:val="none" w:sz="0" w:space="0" w:color="auto"/>
                <w:bottom w:val="none" w:sz="0" w:space="0" w:color="auto"/>
                <w:right w:val="none" w:sz="0" w:space="0" w:color="auto"/>
              </w:divBdr>
            </w:div>
            <w:div w:id="897788961">
              <w:marLeft w:val="0"/>
              <w:marRight w:val="0"/>
              <w:marTop w:val="0"/>
              <w:marBottom w:val="0"/>
              <w:divBdr>
                <w:top w:val="none" w:sz="0" w:space="0" w:color="auto"/>
                <w:left w:val="none" w:sz="0" w:space="0" w:color="auto"/>
                <w:bottom w:val="none" w:sz="0" w:space="0" w:color="auto"/>
                <w:right w:val="none" w:sz="0" w:space="0" w:color="auto"/>
              </w:divBdr>
            </w:div>
            <w:div w:id="1145974502">
              <w:marLeft w:val="0"/>
              <w:marRight w:val="0"/>
              <w:marTop w:val="0"/>
              <w:marBottom w:val="0"/>
              <w:divBdr>
                <w:top w:val="none" w:sz="0" w:space="0" w:color="auto"/>
                <w:left w:val="none" w:sz="0" w:space="0" w:color="auto"/>
                <w:bottom w:val="none" w:sz="0" w:space="0" w:color="auto"/>
                <w:right w:val="none" w:sz="0" w:space="0" w:color="auto"/>
              </w:divBdr>
            </w:div>
            <w:div w:id="1652172747">
              <w:marLeft w:val="0"/>
              <w:marRight w:val="0"/>
              <w:marTop w:val="0"/>
              <w:marBottom w:val="0"/>
              <w:divBdr>
                <w:top w:val="none" w:sz="0" w:space="0" w:color="auto"/>
                <w:left w:val="none" w:sz="0" w:space="0" w:color="auto"/>
                <w:bottom w:val="none" w:sz="0" w:space="0" w:color="auto"/>
                <w:right w:val="none" w:sz="0" w:space="0" w:color="auto"/>
              </w:divBdr>
            </w:div>
            <w:div w:id="1672441279">
              <w:marLeft w:val="0"/>
              <w:marRight w:val="0"/>
              <w:marTop w:val="0"/>
              <w:marBottom w:val="0"/>
              <w:divBdr>
                <w:top w:val="none" w:sz="0" w:space="0" w:color="auto"/>
                <w:left w:val="none" w:sz="0" w:space="0" w:color="auto"/>
                <w:bottom w:val="none" w:sz="0" w:space="0" w:color="auto"/>
                <w:right w:val="none" w:sz="0" w:space="0" w:color="auto"/>
              </w:divBdr>
            </w:div>
            <w:div w:id="1694959559">
              <w:marLeft w:val="0"/>
              <w:marRight w:val="0"/>
              <w:marTop w:val="0"/>
              <w:marBottom w:val="0"/>
              <w:divBdr>
                <w:top w:val="none" w:sz="0" w:space="0" w:color="auto"/>
                <w:left w:val="none" w:sz="0" w:space="0" w:color="auto"/>
                <w:bottom w:val="none" w:sz="0" w:space="0" w:color="auto"/>
                <w:right w:val="none" w:sz="0" w:space="0" w:color="auto"/>
              </w:divBdr>
            </w:div>
            <w:div w:id="1771582521">
              <w:marLeft w:val="0"/>
              <w:marRight w:val="0"/>
              <w:marTop w:val="0"/>
              <w:marBottom w:val="0"/>
              <w:divBdr>
                <w:top w:val="none" w:sz="0" w:space="0" w:color="auto"/>
                <w:left w:val="none" w:sz="0" w:space="0" w:color="auto"/>
                <w:bottom w:val="none" w:sz="0" w:space="0" w:color="auto"/>
                <w:right w:val="none" w:sz="0" w:space="0" w:color="auto"/>
              </w:divBdr>
            </w:div>
            <w:div w:id="19158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17724">
      <w:bodyDiv w:val="1"/>
      <w:marLeft w:val="0"/>
      <w:marRight w:val="0"/>
      <w:marTop w:val="0"/>
      <w:marBottom w:val="0"/>
      <w:divBdr>
        <w:top w:val="none" w:sz="0" w:space="0" w:color="auto"/>
        <w:left w:val="none" w:sz="0" w:space="0" w:color="auto"/>
        <w:bottom w:val="none" w:sz="0" w:space="0" w:color="auto"/>
        <w:right w:val="none" w:sz="0" w:space="0" w:color="auto"/>
      </w:divBdr>
      <w:divsChild>
        <w:div w:id="357702982">
          <w:marLeft w:val="0"/>
          <w:marRight w:val="0"/>
          <w:marTop w:val="0"/>
          <w:marBottom w:val="0"/>
          <w:divBdr>
            <w:top w:val="none" w:sz="0" w:space="0" w:color="auto"/>
            <w:left w:val="none" w:sz="0" w:space="0" w:color="auto"/>
            <w:bottom w:val="none" w:sz="0" w:space="0" w:color="auto"/>
            <w:right w:val="none" w:sz="0" w:space="0" w:color="auto"/>
          </w:divBdr>
          <w:divsChild>
            <w:div w:id="123547658">
              <w:marLeft w:val="0"/>
              <w:marRight w:val="0"/>
              <w:marTop w:val="0"/>
              <w:marBottom w:val="0"/>
              <w:divBdr>
                <w:top w:val="none" w:sz="0" w:space="0" w:color="auto"/>
                <w:left w:val="none" w:sz="0" w:space="0" w:color="auto"/>
                <w:bottom w:val="none" w:sz="0" w:space="0" w:color="auto"/>
                <w:right w:val="none" w:sz="0" w:space="0" w:color="auto"/>
              </w:divBdr>
            </w:div>
            <w:div w:id="136731119">
              <w:marLeft w:val="0"/>
              <w:marRight w:val="0"/>
              <w:marTop w:val="0"/>
              <w:marBottom w:val="0"/>
              <w:divBdr>
                <w:top w:val="none" w:sz="0" w:space="0" w:color="auto"/>
                <w:left w:val="none" w:sz="0" w:space="0" w:color="auto"/>
                <w:bottom w:val="none" w:sz="0" w:space="0" w:color="auto"/>
                <w:right w:val="none" w:sz="0" w:space="0" w:color="auto"/>
              </w:divBdr>
            </w:div>
            <w:div w:id="281805808">
              <w:marLeft w:val="0"/>
              <w:marRight w:val="0"/>
              <w:marTop w:val="0"/>
              <w:marBottom w:val="0"/>
              <w:divBdr>
                <w:top w:val="none" w:sz="0" w:space="0" w:color="auto"/>
                <w:left w:val="none" w:sz="0" w:space="0" w:color="auto"/>
                <w:bottom w:val="none" w:sz="0" w:space="0" w:color="auto"/>
                <w:right w:val="none" w:sz="0" w:space="0" w:color="auto"/>
              </w:divBdr>
            </w:div>
            <w:div w:id="712003447">
              <w:marLeft w:val="0"/>
              <w:marRight w:val="0"/>
              <w:marTop w:val="0"/>
              <w:marBottom w:val="0"/>
              <w:divBdr>
                <w:top w:val="none" w:sz="0" w:space="0" w:color="auto"/>
                <w:left w:val="none" w:sz="0" w:space="0" w:color="auto"/>
                <w:bottom w:val="none" w:sz="0" w:space="0" w:color="auto"/>
                <w:right w:val="none" w:sz="0" w:space="0" w:color="auto"/>
              </w:divBdr>
            </w:div>
            <w:div w:id="735906059">
              <w:marLeft w:val="0"/>
              <w:marRight w:val="0"/>
              <w:marTop w:val="0"/>
              <w:marBottom w:val="0"/>
              <w:divBdr>
                <w:top w:val="none" w:sz="0" w:space="0" w:color="auto"/>
                <w:left w:val="none" w:sz="0" w:space="0" w:color="auto"/>
                <w:bottom w:val="none" w:sz="0" w:space="0" w:color="auto"/>
                <w:right w:val="none" w:sz="0" w:space="0" w:color="auto"/>
              </w:divBdr>
            </w:div>
            <w:div w:id="912936581">
              <w:marLeft w:val="0"/>
              <w:marRight w:val="0"/>
              <w:marTop w:val="0"/>
              <w:marBottom w:val="0"/>
              <w:divBdr>
                <w:top w:val="none" w:sz="0" w:space="0" w:color="auto"/>
                <w:left w:val="none" w:sz="0" w:space="0" w:color="auto"/>
                <w:bottom w:val="none" w:sz="0" w:space="0" w:color="auto"/>
                <w:right w:val="none" w:sz="0" w:space="0" w:color="auto"/>
              </w:divBdr>
            </w:div>
            <w:div w:id="1231384842">
              <w:marLeft w:val="0"/>
              <w:marRight w:val="0"/>
              <w:marTop w:val="0"/>
              <w:marBottom w:val="0"/>
              <w:divBdr>
                <w:top w:val="none" w:sz="0" w:space="0" w:color="auto"/>
                <w:left w:val="none" w:sz="0" w:space="0" w:color="auto"/>
                <w:bottom w:val="none" w:sz="0" w:space="0" w:color="auto"/>
                <w:right w:val="none" w:sz="0" w:space="0" w:color="auto"/>
              </w:divBdr>
            </w:div>
            <w:div w:id="1500150967">
              <w:marLeft w:val="0"/>
              <w:marRight w:val="0"/>
              <w:marTop w:val="0"/>
              <w:marBottom w:val="0"/>
              <w:divBdr>
                <w:top w:val="none" w:sz="0" w:space="0" w:color="auto"/>
                <w:left w:val="none" w:sz="0" w:space="0" w:color="auto"/>
                <w:bottom w:val="none" w:sz="0" w:space="0" w:color="auto"/>
                <w:right w:val="none" w:sz="0" w:space="0" w:color="auto"/>
              </w:divBdr>
            </w:div>
            <w:div w:id="1769345118">
              <w:marLeft w:val="0"/>
              <w:marRight w:val="0"/>
              <w:marTop w:val="0"/>
              <w:marBottom w:val="0"/>
              <w:divBdr>
                <w:top w:val="none" w:sz="0" w:space="0" w:color="auto"/>
                <w:left w:val="none" w:sz="0" w:space="0" w:color="auto"/>
                <w:bottom w:val="none" w:sz="0" w:space="0" w:color="auto"/>
                <w:right w:val="none" w:sz="0" w:space="0" w:color="auto"/>
              </w:divBdr>
            </w:div>
            <w:div w:id="1838768579">
              <w:marLeft w:val="0"/>
              <w:marRight w:val="0"/>
              <w:marTop w:val="0"/>
              <w:marBottom w:val="0"/>
              <w:divBdr>
                <w:top w:val="none" w:sz="0" w:space="0" w:color="auto"/>
                <w:left w:val="none" w:sz="0" w:space="0" w:color="auto"/>
                <w:bottom w:val="none" w:sz="0" w:space="0" w:color="auto"/>
                <w:right w:val="none" w:sz="0" w:space="0" w:color="auto"/>
              </w:divBdr>
            </w:div>
            <w:div w:id="1951083681">
              <w:marLeft w:val="0"/>
              <w:marRight w:val="0"/>
              <w:marTop w:val="0"/>
              <w:marBottom w:val="0"/>
              <w:divBdr>
                <w:top w:val="none" w:sz="0" w:space="0" w:color="auto"/>
                <w:left w:val="none" w:sz="0" w:space="0" w:color="auto"/>
                <w:bottom w:val="none" w:sz="0" w:space="0" w:color="auto"/>
                <w:right w:val="none" w:sz="0" w:space="0" w:color="auto"/>
              </w:divBdr>
            </w:div>
            <w:div w:id="1985233533">
              <w:marLeft w:val="0"/>
              <w:marRight w:val="0"/>
              <w:marTop w:val="0"/>
              <w:marBottom w:val="0"/>
              <w:divBdr>
                <w:top w:val="none" w:sz="0" w:space="0" w:color="auto"/>
                <w:left w:val="none" w:sz="0" w:space="0" w:color="auto"/>
                <w:bottom w:val="none" w:sz="0" w:space="0" w:color="auto"/>
                <w:right w:val="none" w:sz="0" w:space="0" w:color="auto"/>
              </w:divBdr>
            </w:div>
            <w:div w:id="2029912632">
              <w:marLeft w:val="0"/>
              <w:marRight w:val="0"/>
              <w:marTop w:val="0"/>
              <w:marBottom w:val="0"/>
              <w:divBdr>
                <w:top w:val="none" w:sz="0" w:space="0" w:color="auto"/>
                <w:left w:val="none" w:sz="0" w:space="0" w:color="auto"/>
                <w:bottom w:val="none" w:sz="0" w:space="0" w:color="auto"/>
                <w:right w:val="none" w:sz="0" w:space="0" w:color="auto"/>
              </w:divBdr>
            </w:div>
          </w:divsChild>
        </w:div>
        <w:div w:id="1408108237">
          <w:marLeft w:val="0"/>
          <w:marRight w:val="0"/>
          <w:marTop w:val="0"/>
          <w:marBottom w:val="0"/>
          <w:divBdr>
            <w:top w:val="none" w:sz="0" w:space="0" w:color="auto"/>
            <w:left w:val="none" w:sz="0" w:space="0" w:color="auto"/>
            <w:bottom w:val="none" w:sz="0" w:space="0" w:color="auto"/>
            <w:right w:val="none" w:sz="0" w:space="0" w:color="auto"/>
          </w:divBdr>
          <w:divsChild>
            <w:div w:id="49813198">
              <w:marLeft w:val="0"/>
              <w:marRight w:val="0"/>
              <w:marTop w:val="0"/>
              <w:marBottom w:val="0"/>
              <w:divBdr>
                <w:top w:val="none" w:sz="0" w:space="0" w:color="auto"/>
                <w:left w:val="none" w:sz="0" w:space="0" w:color="auto"/>
                <w:bottom w:val="none" w:sz="0" w:space="0" w:color="auto"/>
                <w:right w:val="none" w:sz="0" w:space="0" w:color="auto"/>
              </w:divBdr>
            </w:div>
            <w:div w:id="120272958">
              <w:marLeft w:val="0"/>
              <w:marRight w:val="0"/>
              <w:marTop w:val="0"/>
              <w:marBottom w:val="0"/>
              <w:divBdr>
                <w:top w:val="none" w:sz="0" w:space="0" w:color="auto"/>
                <w:left w:val="none" w:sz="0" w:space="0" w:color="auto"/>
                <w:bottom w:val="none" w:sz="0" w:space="0" w:color="auto"/>
                <w:right w:val="none" w:sz="0" w:space="0" w:color="auto"/>
              </w:divBdr>
            </w:div>
            <w:div w:id="214313823">
              <w:marLeft w:val="0"/>
              <w:marRight w:val="0"/>
              <w:marTop w:val="0"/>
              <w:marBottom w:val="0"/>
              <w:divBdr>
                <w:top w:val="none" w:sz="0" w:space="0" w:color="auto"/>
                <w:left w:val="none" w:sz="0" w:space="0" w:color="auto"/>
                <w:bottom w:val="none" w:sz="0" w:space="0" w:color="auto"/>
                <w:right w:val="none" w:sz="0" w:space="0" w:color="auto"/>
              </w:divBdr>
            </w:div>
            <w:div w:id="414400251">
              <w:marLeft w:val="0"/>
              <w:marRight w:val="0"/>
              <w:marTop w:val="0"/>
              <w:marBottom w:val="0"/>
              <w:divBdr>
                <w:top w:val="none" w:sz="0" w:space="0" w:color="auto"/>
                <w:left w:val="none" w:sz="0" w:space="0" w:color="auto"/>
                <w:bottom w:val="none" w:sz="0" w:space="0" w:color="auto"/>
                <w:right w:val="none" w:sz="0" w:space="0" w:color="auto"/>
              </w:divBdr>
            </w:div>
            <w:div w:id="417873782">
              <w:marLeft w:val="0"/>
              <w:marRight w:val="0"/>
              <w:marTop w:val="0"/>
              <w:marBottom w:val="0"/>
              <w:divBdr>
                <w:top w:val="none" w:sz="0" w:space="0" w:color="auto"/>
                <w:left w:val="none" w:sz="0" w:space="0" w:color="auto"/>
                <w:bottom w:val="none" w:sz="0" w:space="0" w:color="auto"/>
                <w:right w:val="none" w:sz="0" w:space="0" w:color="auto"/>
              </w:divBdr>
            </w:div>
            <w:div w:id="454374979">
              <w:marLeft w:val="0"/>
              <w:marRight w:val="0"/>
              <w:marTop w:val="0"/>
              <w:marBottom w:val="0"/>
              <w:divBdr>
                <w:top w:val="none" w:sz="0" w:space="0" w:color="auto"/>
                <w:left w:val="none" w:sz="0" w:space="0" w:color="auto"/>
                <w:bottom w:val="none" w:sz="0" w:space="0" w:color="auto"/>
                <w:right w:val="none" w:sz="0" w:space="0" w:color="auto"/>
              </w:divBdr>
            </w:div>
            <w:div w:id="464859940">
              <w:marLeft w:val="0"/>
              <w:marRight w:val="0"/>
              <w:marTop w:val="0"/>
              <w:marBottom w:val="0"/>
              <w:divBdr>
                <w:top w:val="none" w:sz="0" w:space="0" w:color="auto"/>
                <w:left w:val="none" w:sz="0" w:space="0" w:color="auto"/>
                <w:bottom w:val="none" w:sz="0" w:space="0" w:color="auto"/>
                <w:right w:val="none" w:sz="0" w:space="0" w:color="auto"/>
              </w:divBdr>
            </w:div>
            <w:div w:id="849105579">
              <w:marLeft w:val="0"/>
              <w:marRight w:val="0"/>
              <w:marTop w:val="0"/>
              <w:marBottom w:val="0"/>
              <w:divBdr>
                <w:top w:val="none" w:sz="0" w:space="0" w:color="auto"/>
                <w:left w:val="none" w:sz="0" w:space="0" w:color="auto"/>
                <w:bottom w:val="none" w:sz="0" w:space="0" w:color="auto"/>
                <w:right w:val="none" w:sz="0" w:space="0" w:color="auto"/>
              </w:divBdr>
            </w:div>
            <w:div w:id="859011844">
              <w:marLeft w:val="0"/>
              <w:marRight w:val="0"/>
              <w:marTop w:val="0"/>
              <w:marBottom w:val="0"/>
              <w:divBdr>
                <w:top w:val="none" w:sz="0" w:space="0" w:color="auto"/>
                <w:left w:val="none" w:sz="0" w:space="0" w:color="auto"/>
                <w:bottom w:val="none" w:sz="0" w:space="0" w:color="auto"/>
                <w:right w:val="none" w:sz="0" w:space="0" w:color="auto"/>
              </w:divBdr>
            </w:div>
            <w:div w:id="974603721">
              <w:marLeft w:val="0"/>
              <w:marRight w:val="0"/>
              <w:marTop w:val="0"/>
              <w:marBottom w:val="0"/>
              <w:divBdr>
                <w:top w:val="none" w:sz="0" w:space="0" w:color="auto"/>
                <w:left w:val="none" w:sz="0" w:space="0" w:color="auto"/>
                <w:bottom w:val="none" w:sz="0" w:space="0" w:color="auto"/>
                <w:right w:val="none" w:sz="0" w:space="0" w:color="auto"/>
              </w:divBdr>
            </w:div>
            <w:div w:id="990256335">
              <w:marLeft w:val="0"/>
              <w:marRight w:val="0"/>
              <w:marTop w:val="0"/>
              <w:marBottom w:val="0"/>
              <w:divBdr>
                <w:top w:val="none" w:sz="0" w:space="0" w:color="auto"/>
                <w:left w:val="none" w:sz="0" w:space="0" w:color="auto"/>
                <w:bottom w:val="none" w:sz="0" w:space="0" w:color="auto"/>
                <w:right w:val="none" w:sz="0" w:space="0" w:color="auto"/>
              </w:divBdr>
            </w:div>
            <w:div w:id="994182095">
              <w:marLeft w:val="0"/>
              <w:marRight w:val="0"/>
              <w:marTop w:val="0"/>
              <w:marBottom w:val="0"/>
              <w:divBdr>
                <w:top w:val="none" w:sz="0" w:space="0" w:color="auto"/>
                <w:left w:val="none" w:sz="0" w:space="0" w:color="auto"/>
                <w:bottom w:val="none" w:sz="0" w:space="0" w:color="auto"/>
                <w:right w:val="none" w:sz="0" w:space="0" w:color="auto"/>
              </w:divBdr>
            </w:div>
            <w:div w:id="1078870138">
              <w:marLeft w:val="0"/>
              <w:marRight w:val="0"/>
              <w:marTop w:val="0"/>
              <w:marBottom w:val="0"/>
              <w:divBdr>
                <w:top w:val="none" w:sz="0" w:space="0" w:color="auto"/>
                <w:left w:val="none" w:sz="0" w:space="0" w:color="auto"/>
                <w:bottom w:val="none" w:sz="0" w:space="0" w:color="auto"/>
                <w:right w:val="none" w:sz="0" w:space="0" w:color="auto"/>
              </w:divBdr>
            </w:div>
            <w:div w:id="1088381459">
              <w:marLeft w:val="0"/>
              <w:marRight w:val="0"/>
              <w:marTop w:val="0"/>
              <w:marBottom w:val="0"/>
              <w:divBdr>
                <w:top w:val="none" w:sz="0" w:space="0" w:color="auto"/>
                <w:left w:val="none" w:sz="0" w:space="0" w:color="auto"/>
                <w:bottom w:val="none" w:sz="0" w:space="0" w:color="auto"/>
                <w:right w:val="none" w:sz="0" w:space="0" w:color="auto"/>
              </w:divBdr>
            </w:div>
            <w:div w:id="1105342673">
              <w:marLeft w:val="0"/>
              <w:marRight w:val="0"/>
              <w:marTop w:val="0"/>
              <w:marBottom w:val="0"/>
              <w:divBdr>
                <w:top w:val="none" w:sz="0" w:space="0" w:color="auto"/>
                <w:left w:val="none" w:sz="0" w:space="0" w:color="auto"/>
                <w:bottom w:val="none" w:sz="0" w:space="0" w:color="auto"/>
                <w:right w:val="none" w:sz="0" w:space="0" w:color="auto"/>
              </w:divBdr>
            </w:div>
            <w:div w:id="1167524469">
              <w:marLeft w:val="0"/>
              <w:marRight w:val="0"/>
              <w:marTop w:val="0"/>
              <w:marBottom w:val="0"/>
              <w:divBdr>
                <w:top w:val="none" w:sz="0" w:space="0" w:color="auto"/>
                <w:left w:val="none" w:sz="0" w:space="0" w:color="auto"/>
                <w:bottom w:val="none" w:sz="0" w:space="0" w:color="auto"/>
                <w:right w:val="none" w:sz="0" w:space="0" w:color="auto"/>
              </w:divBdr>
            </w:div>
            <w:div w:id="1359962841">
              <w:marLeft w:val="0"/>
              <w:marRight w:val="0"/>
              <w:marTop w:val="0"/>
              <w:marBottom w:val="0"/>
              <w:divBdr>
                <w:top w:val="none" w:sz="0" w:space="0" w:color="auto"/>
                <w:left w:val="none" w:sz="0" w:space="0" w:color="auto"/>
                <w:bottom w:val="none" w:sz="0" w:space="0" w:color="auto"/>
                <w:right w:val="none" w:sz="0" w:space="0" w:color="auto"/>
              </w:divBdr>
            </w:div>
            <w:div w:id="1466778476">
              <w:marLeft w:val="0"/>
              <w:marRight w:val="0"/>
              <w:marTop w:val="0"/>
              <w:marBottom w:val="0"/>
              <w:divBdr>
                <w:top w:val="none" w:sz="0" w:space="0" w:color="auto"/>
                <w:left w:val="none" w:sz="0" w:space="0" w:color="auto"/>
                <w:bottom w:val="none" w:sz="0" w:space="0" w:color="auto"/>
                <w:right w:val="none" w:sz="0" w:space="0" w:color="auto"/>
              </w:divBdr>
            </w:div>
            <w:div w:id="1607613094">
              <w:marLeft w:val="0"/>
              <w:marRight w:val="0"/>
              <w:marTop w:val="0"/>
              <w:marBottom w:val="0"/>
              <w:divBdr>
                <w:top w:val="none" w:sz="0" w:space="0" w:color="auto"/>
                <w:left w:val="none" w:sz="0" w:space="0" w:color="auto"/>
                <w:bottom w:val="none" w:sz="0" w:space="0" w:color="auto"/>
                <w:right w:val="none" w:sz="0" w:space="0" w:color="auto"/>
              </w:divBdr>
            </w:div>
            <w:div w:id="1633093868">
              <w:marLeft w:val="0"/>
              <w:marRight w:val="0"/>
              <w:marTop w:val="0"/>
              <w:marBottom w:val="0"/>
              <w:divBdr>
                <w:top w:val="none" w:sz="0" w:space="0" w:color="auto"/>
                <w:left w:val="none" w:sz="0" w:space="0" w:color="auto"/>
                <w:bottom w:val="none" w:sz="0" w:space="0" w:color="auto"/>
                <w:right w:val="none" w:sz="0" w:space="0" w:color="auto"/>
              </w:divBdr>
            </w:div>
          </w:divsChild>
        </w:div>
        <w:div w:id="1940212772">
          <w:marLeft w:val="0"/>
          <w:marRight w:val="0"/>
          <w:marTop w:val="0"/>
          <w:marBottom w:val="0"/>
          <w:divBdr>
            <w:top w:val="none" w:sz="0" w:space="0" w:color="auto"/>
            <w:left w:val="none" w:sz="0" w:space="0" w:color="auto"/>
            <w:bottom w:val="none" w:sz="0" w:space="0" w:color="auto"/>
            <w:right w:val="none" w:sz="0" w:space="0" w:color="auto"/>
          </w:divBdr>
          <w:divsChild>
            <w:div w:id="88622381">
              <w:marLeft w:val="0"/>
              <w:marRight w:val="0"/>
              <w:marTop w:val="0"/>
              <w:marBottom w:val="0"/>
              <w:divBdr>
                <w:top w:val="none" w:sz="0" w:space="0" w:color="auto"/>
                <w:left w:val="none" w:sz="0" w:space="0" w:color="auto"/>
                <w:bottom w:val="none" w:sz="0" w:space="0" w:color="auto"/>
                <w:right w:val="none" w:sz="0" w:space="0" w:color="auto"/>
              </w:divBdr>
            </w:div>
            <w:div w:id="253904624">
              <w:marLeft w:val="0"/>
              <w:marRight w:val="0"/>
              <w:marTop w:val="0"/>
              <w:marBottom w:val="0"/>
              <w:divBdr>
                <w:top w:val="none" w:sz="0" w:space="0" w:color="auto"/>
                <w:left w:val="none" w:sz="0" w:space="0" w:color="auto"/>
                <w:bottom w:val="none" w:sz="0" w:space="0" w:color="auto"/>
                <w:right w:val="none" w:sz="0" w:space="0" w:color="auto"/>
              </w:divBdr>
            </w:div>
            <w:div w:id="304507367">
              <w:marLeft w:val="0"/>
              <w:marRight w:val="0"/>
              <w:marTop w:val="0"/>
              <w:marBottom w:val="0"/>
              <w:divBdr>
                <w:top w:val="none" w:sz="0" w:space="0" w:color="auto"/>
                <w:left w:val="none" w:sz="0" w:space="0" w:color="auto"/>
                <w:bottom w:val="none" w:sz="0" w:space="0" w:color="auto"/>
                <w:right w:val="none" w:sz="0" w:space="0" w:color="auto"/>
              </w:divBdr>
            </w:div>
            <w:div w:id="540090789">
              <w:marLeft w:val="0"/>
              <w:marRight w:val="0"/>
              <w:marTop w:val="0"/>
              <w:marBottom w:val="0"/>
              <w:divBdr>
                <w:top w:val="none" w:sz="0" w:space="0" w:color="auto"/>
                <w:left w:val="none" w:sz="0" w:space="0" w:color="auto"/>
                <w:bottom w:val="none" w:sz="0" w:space="0" w:color="auto"/>
                <w:right w:val="none" w:sz="0" w:space="0" w:color="auto"/>
              </w:divBdr>
            </w:div>
            <w:div w:id="568883949">
              <w:marLeft w:val="0"/>
              <w:marRight w:val="0"/>
              <w:marTop w:val="0"/>
              <w:marBottom w:val="0"/>
              <w:divBdr>
                <w:top w:val="none" w:sz="0" w:space="0" w:color="auto"/>
                <w:left w:val="none" w:sz="0" w:space="0" w:color="auto"/>
                <w:bottom w:val="none" w:sz="0" w:space="0" w:color="auto"/>
                <w:right w:val="none" w:sz="0" w:space="0" w:color="auto"/>
              </w:divBdr>
            </w:div>
            <w:div w:id="688416103">
              <w:marLeft w:val="0"/>
              <w:marRight w:val="0"/>
              <w:marTop w:val="0"/>
              <w:marBottom w:val="0"/>
              <w:divBdr>
                <w:top w:val="none" w:sz="0" w:space="0" w:color="auto"/>
                <w:left w:val="none" w:sz="0" w:space="0" w:color="auto"/>
                <w:bottom w:val="none" w:sz="0" w:space="0" w:color="auto"/>
                <w:right w:val="none" w:sz="0" w:space="0" w:color="auto"/>
              </w:divBdr>
            </w:div>
            <w:div w:id="1055129703">
              <w:marLeft w:val="0"/>
              <w:marRight w:val="0"/>
              <w:marTop w:val="0"/>
              <w:marBottom w:val="0"/>
              <w:divBdr>
                <w:top w:val="none" w:sz="0" w:space="0" w:color="auto"/>
                <w:left w:val="none" w:sz="0" w:space="0" w:color="auto"/>
                <w:bottom w:val="none" w:sz="0" w:space="0" w:color="auto"/>
                <w:right w:val="none" w:sz="0" w:space="0" w:color="auto"/>
              </w:divBdr>
            </w:div>
            <w:div w:id="1085492862">
              <w:marLeft w:val="0"/>
              <w:marRight w:val="0"/>
              <w:marTop w:val="0"/>
              <w:marBottom w:val="0"/>
              <w:divBdr>
                <w:top w:val="none" w:sz="0" w:space="0" w:color="auto"/>
                <w:left w:val="none" w:sz="0" w:space="0" w:color="auto"/>
                <w:bottom w:val="none" w:sz="0" w:space="0" w:color="auto"/>
                <w:right w:val="none" w:sz="0" w:space="0" w:color="auto"/>
              </w:divBdr>
            </w:div>
            <w:div w:id="1141507895">
              <w:marLeft w:val="0"/>
              <w:marRight w:val="0"/>
              <w:marTop w:val="0"/>
              <w:marBottom w:val="0"/>
              <w:divBdr>
                <w:top w:val="none" w:sz="0" w:space="0" w:color="auto"/>
                <w:left w:val="none" w:sz="0" w:space="0" w:color="auto"/>
                <w:bottom w:val="none" w:sz="0" w:space="0" w:color="auto"/>
                <w:right w:val="none" w:sz="0" w:space="0" w:color="auto"/>
              </w:divBdr>
            </w:div>
            <w:div w:id="1219899423">
              <w:marLeft w:val="0"/>
              <w:marRight w:val="0"/>
              <w:marTop w:val="0"/>
              <w:marBottom w:val="0"/>
              <w:divBdr>
                <w:top w:val="none" w:sz="0" w:space="0" w:color="auto"/>
                <w:left w:val="none" w:sz="0" w:space="0" w:color="auto"/>
                <w:bottom w:val="none" w:sz="0" w:space="0" w:color="auto"/>
                <w:right w:val="none" w:sz="0" w:space="0" w:color="auto"/>
              </w:divBdr>
            </w:div>
            <w:div w:id="1283264938">
              <w:marLeft w:val="0"/>
              <w:marRight w:val="0"/>
              <w:marTop w:val="0"/>
              <w:marBottom w:val="0"/>
              <w:divBdr>
                <w:top w:val="none" w:sz="0" w:space="0" w:color="auto"/>
                <w:left w:val="none" w:sz="0" w:space="0" w:color="auto"/>
                <w:bottom w:val="none" w:sz="0" w:space="0" w:color="auto"/>
                <w:right w:val="none" w:sz="0" w:space="0" w:color="auto"/>
              </w:divBdr>
            </w:div>
            <w:div w:id="1340888234">
              <w:marLeft w:val="0"/>
              <w:marRight w:val="0"/>
              <w:marTop w:val="0"/>
              <w:marBottom w:val="0"/>
              <w:divBdr>
                <w:top w:val="none" w:sz="0" w:space="0" w:color="auto"/>
                <w:left w:val="none" w:sz="0" w:space="0" w:color="auto"/>
                <w:bottom w:val="none" w:sz="0" w:space="0" w:color="auto"/>
                <w:right w:val="none" w:sz="0" w:space="0" w:color="auto"/>
              </w:divBdr>
            </w:div>
            <w:div w:id="1427728490">
              <w:marLeft w:val="0"/>
              <w:marRight w:val="0"/>
              <w:marTop w:val="0"/>
              <w:marBottom w:val="0"/>
              <w:divBdr>
                <w:top w:val="none" w:sz="0" w:space="0" w:color="auto"/>
                <w:left w:val="none" w:sz="0" w:space="0" w:color="auto"/>
                <w:bottom w:val="none" w:sz="0" w:space="0" w:color="auto"/>
                <w:right w:val="none" w:sz="0" w:space="0" w:color="auto"/>
              </w:divBdr>
            </w:div>
            <w:div w:id="1454441699">
              <w:marLeft w:val="0"/>
              <w:marRight w:val="0"/>
              <w:marTop w:val="0"/>
              <w:marBottom w:val="0"/>
              <w:divBdr>
                <w:top w:val="none" w:sz="0" w:space="0" w:color="auto"/>
                <w:left w:val="none" w:sz="0" w:space="0" w:color="auto"/>
                <w:bottom w:val="none" w:sz="0" w:space="0" w:color="auto"/>
                <w:right w:val="none" w:sz="0" w:space="0" w:color="auto"/>
              </w:divBdr>
            </w:div>
            <w:div w:id="1465805850">
              <w:marLeft w:val="0"/>
              <w:marRight w:val="0"/>
              <w:marTop w:val="0"/>
              <w:marBottom w:val="0"/>
              <w:divBdr>
                <w:top w:val="none" w:sz="0" w:space="0" w:color="auto"/>
                <w:left w:val="none" w:sz="0" w:space="0" w:color="auto"/>
                <w:bottom w:val="none" w:sz="0" w:space="0" w:color="auto"/>
                <w:right w:val="none" w:sz="0" w:space="0" w:color="auto"/>
              </w:divBdr>
            </w:div>
            <w:div w:id="1577594535">
              <w:marLeft w:val="0"/>
              <w:marRight w:val="0"/>
              <w:marTop w:val="0"/>
              <w:marBottom w:val="0"/>
              <w:divBdr>
                <w:top w:val="none" w:sz="0" w:space="0" w:color="auto"/>
                <w:left w:val="none" w:sz="0" w:space="0" w:color="auto"/>
                <w:bottom w:val="none" w:sz="0" w:space="0" w:color="auto"/>
                <w:right w:val="none" w:sz="0" w:space="0" w:color="auto"/>
              </w:divBdr>
            </w:div>
            <w:div w:id="1843548816">
              <w:marLeft w:val="0"/>
              <w:marRight w:val="0"/>
              <w:marTop w:val="0"/>
              <w:marBottom w:val="0"/>
              <w:divBdr>
                <w:top w:val="none" w:sz="0" w:space="0" w:color="auto"/>
                <w:left w:val="none" w:sz="0" w:space="0" w:color="auto"/>
                <w:bottom w:val="none" w:sz="0" w:space="0" w:color="auto"/>
                <w:right w:val="none" w:sz="0" w:space="0" w:color="auto"/>
              </w:divBdr>
            </w:div>
            <w:div w:id="1859345101">
              <w:marLeft w:val="0"/>
              <w:marRight w:val="0"/>
              <w:marTop w:val="0"/>
              <w:marBottom w:val="0"/>
              <w:divBdr>
                <w:top w:val="none" w:sz="0" w:space="0" w:color="auto"/>
                <w:left w:val="none" w:sz="0" w:space="0" w:color="auto"/>
                <w:bottom w:val="none" w:sz="0" w:space="0" w:color="auto"/>
                <w:right w:val="none" w:sz="0" w:space="0" w:color="auto"/>
              </w:divBdr>
            </w:div>
            <w:div w:id="1902708735">
              <w:marLeft w:val="0"/>
              <w:marRight w:val="0"/>
              <w:marTop w:val="0"/>
              <w:marBottom w:val="0"/>
              <w:divBdr>
                <w:top w:val="none" w:sz="0" w:space="0" w:color="auto"/>
                <w:left w:val="none" w:sz="0" w:space="0" w:color="auto"/>
                <w:bottom w:val="none" w:sz="0" w:space="0" w:color="auto"/>
                <w:right w:val="none" w:sz="0" w:space="0" w:color="auto"/>
              </w:divBdr>
            </w:div>
            <w:div w:id="2006588069">
              <w:marLeft w:val="0"/>
              <w:marRight w:val="0"/>
              <w:marTop w:val="0"/>
              <w:marBottom w:val="0"/>
              <w:divBdr>
                <w:top w:val="none" w:sz="0" w:space="0" w:color="auto"/>
                <w:left w:val="none" w:sz="0" w:space="0" w:color="auto"/>
                <w:bottom w:val="none" w:sz="0" w:space="0" w:color="auto"/>
                <w:right w:val="none" w:sz="0" w:space="0" w:color="auto"/>
              </w:divBdr>
            </w:div>
          </w:divsChild>
        </w:div>
        <w:div w:id="2145536007">
          <w:marLeft w:val="0"/>
          <w:marRight w:val="0"/>
          <w:marTop w:val="0"/>
          <w:marBottom w:val="0"/>
          <w:divBdr>
            <w:top w:val="none" w:sz="0" w:space="0" w:color="auto"/>
            <w:left w:val="none" w:sz="0" w:space="0" w:color="auto"/>
            <w:bottom w:val="none" w:sz="0" w:space="0" w:color="auto"/>
            <w:right w:val="none" w:sz="0" w:space="0" w:color="auto"/>
          </w:divBdr>
          <w:divsChild>
            <w:div w:id="140971401">
              <w:marLeft w:val="0"/>
              <w:marRight w:val="0"/>
              <w:marTop w:val="0"/>
              <w:marBottom w:val="0"/>
              <w:divBdr>
                <w:top w:val="none" w:sz="0" w:space="0" w:color="auto"/>
                <w:left w:val="none" w:sz="0" w:space="0" w:color="auto"/>
                <w:bottom w:val="none" w:sz="0" w:space="0" w:color="auto"/>
                <w:right w:val="none" w:sz="0" w:space="0" w:color="auto"/>
              </w:divBdr>
            </w:div>
            <w:div w:id="389380738">
              <w:marLeft w:val="0"/>
              <w:marRight w:val="0"/>
              <w:marTop w:val="0"/>
              <w:marBottom w:val="0"/>
              <w:divBdr>
                <w:top w:val="none" w:sz="0" w:space="0" w:color="auto"/>
                <w:left w:val="none" w:sz="0" w:space="0" w:color="auto"/>
                <w:bottom w:val="none" w:sz="0" w:space="0" w:color="auto"/>
                <w:right w:val="none" w:sz="0" w:space="0" w:color="auto"/>
              </w:divBdr>
            </w:div>
            <w:div w:id="397746269">
              <w:marLeft w:val="0"/>
              <w:marRight w:val="0"/>
              <w:marTop w:val="0"/>
              <w:marBottom w:val="0"/>
              <w:divBdr>
                <w:top w:val="none" w:sz="0" w:space="0" w:color="auto"/>
                <w:left w:val="none" w:sz="0" w:space="0" w:color="auto"/>
                <w:bottom w:val="none" w:sz="0" w:space="0" w:color="auto"/>
                <w:right w:val="none" w:sz="0" w:space="0" w:color="auto"/>
              </w:divBdr>
            </w:div>
            <w:div w:id="439372628">
              <w:marLeft w:val="0"/>
              <w:marRight w:val="0"/>
              <w:marTop w:val="0"/>
              <w:marBottom w:val="0"/>
              <w:divBdr>
                <w:top w:val="none" w:sz="0" w:space="0" w:color="auto"/>
                <w:left w:val="none" w:sz="0" w:space="0" w:color="auto"/>
                <w:bottom w:val="none" w:sz="0" w:space="0" w:color="auto"/>
                <w:right w:val="none" w:sz="0" w:space="0" w:color="auto"/>
              </w:divBdr>
            </w:div>
            <w:div w:id="441463160">
              <w:marLeft w:val="0"/>
              <w:marRight w:val="0"/>
              <w:marTop w:val="0"/>
              <w:marBottom w:val="0"/>
              <w:divBdr>
                <w:top w:val="none" w:sz="0" w:space="0" w:color="auto"/>
                <w:left w:val="none" w:sz="0" w:space="0" w:color="auto"/>
                <w:bottom w:val="none" w:sz="0" w:space="0" w:color="auto"/>
                <w:right w:val="none" w:sz="0" w:space="0" w:color="auto"/>
              </w:divBdr>
            </w:div>
            <w:div w:id="547883049">
              <w:marLeft w:val="0"/>
              <w:marRight w:val="0"/>
              <w:marTop w:val="0"/>
              <w:marBottom w:val="0"/>
              <w:divBdr>
                <w:top w:val="none" w:sz="0" w:space="0" w:color="auto"/>
                <w:left w:val="none" w:sz="0" w:space="0" w:color="auto"/>
                <w:bottom w:val="none" w:sz="0" w:space="0" w:color="auto"/>
                <w:right w:val="none" w:sz="0" w:space="0" w:color="auto"/>
              </w:divBdr>
            </w:div>
            <w:div w:id="605121481">
              <w:marLeft w:val="0"/>
              <w:marRight w:val="0"/>
              <w:marTop w:val="0"/>
              <w:marBottom w:val="0"/>
              <w:divBdr>
                <w:top w:val="none" w:sz="0" w:space="0" w:color="auto"/>
                <w:left w:val="none" w:sz="0" w:space="0" w:color="auto"/>
                <w:bottom w:val="none" w:sz="0" w:space="0" w:color="auto"/>
                <w:right w:val="none" w:sz="0" w:space="0" w:color="auto"/>
              </w:divBdr>
            </w:div>
            <w:div w:id="914050967">
              <w:marLeft w:val="0"/>
              <w:marRight w:val="0"/>
              <w:marTop w:val="0"/>
              <w:marBottom w:val="0"/>
              <w:divBdr>
                <w:top w:val="none" w:sz="0" w:space="0" w:color="auto"/>
                <w:left w:val="none" w:sz="0" w:space="0" w:color="auto"/>
                <w:bottom w:val="none" w:sz="0" w:space="0" w:color="auto"/>
                <w:right w:val="none" w:sz="0" w:space="0" w:color="auto"/>
              </w:divBdr>
            </w:div>
            <w:div w:id="942373644">
              <w:marLeft w:val="0"/>
              <w:marRight w:val="0"/>
              <w:marTop w:val="0"/>
              <w:marBottom w:val="0"/>
              <w:divBdr>
                <w:top w:val="none" w:sz="0" w:space="0" w:color="auto"/>
                <w:left w:val="none" w:sz="0" w:space="0" w:color="auto"/>
                <w:bottom w:val="none" w:sz="0" w:space="0" w:color="auto"/>
                <w:right w:val="none" w:sz="0" w:space="0" w:color="auto"/>
              </w:divBdr>
            </w:div>
            <w:div w:id="1128890178">
              <w:marLeft w:val="0"/>
              <w:marRight w:val="0"/>
              <w:marTop w:val="0"/>
              <w:marBottom w:val="0"/>
              <w:divBdr>
                <w:top w:val="none" w:sz="0" w:space="0" w:color="auto"/>
                <w:left w:val="none" w:sz="0" w:space="0" w:color="auto"/>
                <w:bottom w:val="none" w:sz="0" w:space="0" w:color="auto"/>
                <w:right w:val="none" w:sz="0" w:space="0" w:color="auto"/>
              </w:divBdr>
            </w:div>
            <w:div w:id="1290277647">
              <w:marLeft w:val="0"/>
              <w:marRight w:val="0"/>
              <w:marTop w:val="0"/>
              <w:marBottom w:val="0"/>
              <w:divBdr>
                <w:top w:val="none" w:sz="0" w:space="0" w:color="auto"/>
                <w:left w:val="none" w:sz="0" w:space="0" w:color="auto"/>
                <w:bottom w:val="none" w:sz="0" w:space="0" w:color="auto"/>
                <w:right w:val="none" w:sz="0" w:space="0" w:color="auto"/>
              </w:divBdr>
            </w:div>
            <w:div w:id="1317686755">
              <w:marLeft w:val="0"/>
              <w:marRight w:val="0"/>
              <w:marTop w:val="0"/>
              <w:marBottom w:val="0"/>
              <w:divBdr>
                <w:top w:val="none" w:sz="0" w:space="0" w:color="auto"/>
                <w:left w:val="none" w:sz="0" w:space="0" w:color="auto"/>
                <w:bottom w:val="none" w:sz="0" w:space="0" w:color="auto"/>
                <w:right w:val="none" w:sz="0" w:space="0" w:color="auto"/>
              </w:divBdr>
            </w:div>
            <w:div w:id="1367021736">
              <w:marLeft w:val="0"/>
              <w:marRight w:val="0"/>
              <w:marTop w:val="0"/>
              <w:marBottom w:val="0"/>
              <w:divBdr>
                <w:top w:val="none" w:sz="0" w:space="0" w:color="auto"/>
                <w:left w:val="none" w:sz="0" w:space="0" w:color="auto"/>
                <w:bottom w:val="none" w:sz="0" w:space="0" w:color="auto"/>
                <w:right w:val="none" w:sz="0" w:space="0" w:color="auto"/>
              </w:divBdr>
            </w:div>
            <w:div w:id="1474560555">
              <w:marLeft w:val="0"/>
              <w:marRight w:val="0"/>
              <w:marTop w:val="0"/>
              <w:marBottom w:val="0"/>
              <w:divBdr>
                <w:top w:val="none" w:sz="0" w:space="0" w:color="auto"/>
                <w:left w:val="none" w:sz="0" w:space="0" w:color="auto"/>
                <w:bottom w:val="none" w:sz="0" w:space="0" w:color="auto"/>
                <w:right w:val="none" w:sz="0" w:space="0" w:color="auto"/>
              </w:divBdr>
            </w:div>
            <w:div w:id="1557933954">
              <w:marLeft w:val="0"/>
              <w:marRight w:val="0"/>
              <w:marTop w:val="0"/>
              <w:marBottom w:val="0"/>
              <w:divBdr>
                <w:top w:val="none" w:sz="0" w:space="0" w:color="auto"/>
                <w:left w:val="none" w:sz="0" w:space="0" w:color="auto"/>
                <w:bottom w:val="none" w:sz="0" w:space="0" w:color="auto"/>
                <w:right w:val="none" w:sz="0" w:space="0" w:color="auto"/>
              </w:divBdr>
            </w:div>
            <w:div w:id="1587303474">
              <w:marLeft w:val="0"/>
              <w:marRight w:val="0"/>
              <w:marTop w:val="0"/>
              <w:marBottom w:val="0"/>
              <w:divBdr>
                <w:top w:val="none" w:sz="0" w:space="0" w:color="auto"/>
                <w:left w:val="none" w:sz="0" w:space="0" w:color="auto"/>
                <w:bottom w:val="none" w:sz="0" w:space="0" w:color="auto"/>
                <w:right w:val="none" w:sz="0" w:space="0" w:color="auto"/>
              </w:divBdr>
            </w:div>
            <w:div w:id="1638877376">
              <w:marLeft w:val="0"/>
              <w:marRight w:val="0"/>
              <w:marTop w:val="0"/>
              <w:marBottom w:val="0"/>
              <w:divBdr>
                <w:top w:val="none" w:sz="0" w:space="0" w:color="auto"/>
                <w:left w:val="none" w:sz="0" w:space="0" w:color="auto"/>
                <w:bottom w:val="none" w:sz="0" w:space="0" w:color="auto"/>
                <w:right w:val="none" w:sz="0" w:space="0" w:color="auto"/>
              </w:divBdr>
            </w:div>
            <w:div w:id="1708798097">
              <w:marLeft w:val="0"/>
              <w:marRight w:val="0"/>
              <w:marTop w:val="0"/>
              <w:marBottom w:val="0"/>
              <w:divBdr>
                <w:top w:val="none" w:sz="0" w:space="0" w:color="auto"/>
                <w:left w:val="none" w:sz="0" w:space="0" w:color="auto"/>
                <w:bottom w:val="none" w:sz="0" w:space="0" w:color="auto"/>
                <w:right w:val="none" w:sz="0" w:space="0" w:color="auto"/>
              </w:divBdr>
            </w:div>
            <w:div w:id="1766613001">
              <w:marLeft w:val="0"/>
              <w:marRight w:val="0"/>
              <w:marTop w:val="0"/>
              <w:marBottom w:val="0"/>
              <w:divBdr>
                <w:top w:val="none" w:sz="0" w:space="0" w:color="auto"/>
                <w:left w:val="none" w:sz="0" w:space="0" w:color="auto"/>
                <w:bottom w:val="none" w:sz="0" w:space="0" w:color="auto"/>
                <w:right w:val="none" w:sz="0" w:space="0" w:color="auto"/>
              </w:divBdr>
            </w:div>
            <w:div w:id="18917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2633">
      <w:bodyDiv w:val="1"/>
      <w:marLeft w:val="0"/>
      <w:marRight w:val="0"/>
      <w:marTop w:val="0"/>
      <w:marBottom w:val="0"/>
      <w:divBdr>
        <w:top w:val="none" w:sz="0" w:space="0" w:color="auto"/>
        <w:left w:val="none" w:sz="0" w:space="0" w:color="auto"/>
        <w:bottom w:val="none" w:sz="0" w:space="0" w:color="auto"/>
        <w:right w:val="none" w:sz="0" w:space="0" w:color="auto"/>
      </w:divBdr>
      <w:divsChild>
        <w:div w:id="276914946">
          <w:marLeft w:val="0"/>
          <w:marRight w:val="0"/>
          <w:marTop w:val="0"/>
          <w:marBottom w:val="0"/>
          <w:divBdr>
            <w:top w:val="none" w:sz="0" w:space="0" w:color="auto"/>
            <w:left w:val="none" w:sz="0" w:space="0" w:color="auto"/>
            <w:bottom w:val="none" w:sz="0" w:space="0" w:color="auto"/>
            <w:right w:val="none" w:sz="0" w:space="0" w:color="auto"/>
          </w:divBdr>
          <w:divsChild>
            <w:div w:id="58671861">
              <w:marLeft w:val="0"/>
              <w:marRight w:val="0"/>
              <w:marTop w:val="0"/>
              <w:marBottom w:val="0"/>
              <w:divBdr>
                <w:top w:val="none" w:sz="0" w:space="0" w:color="auto"/>
                <w:left w:val="none" w:sz="0" w:space="0" w:color="auto"/>
                <w:bottom w:val="none" w:sz="0" w:space="0" w:color="auto"/>
                <w:right w:val="none" w:sz="0" w:space="0" w:color="auto"/>
              </w:divBdr>
            </w:div>
            <w:div w:id="122118514">
              <w:marLeft w:val="0"/>
              <w:marRight w:val="0"/>
              <w:marTop w:val="0"/>
              <w:marBottom w:val="0"/>
              <w:divBdr>
                <w:top w:val="none" w:sz="0" w:space="0" w:color="auto"/>
                <w:left w:val="none" w:sz="0" w:space="0" w:color="auto"/>
                <w:bottom w:val="none" w:sz="0" w:space="0" w:color="auto"/>
                <w:right w:val="none" w:sz="0" w:space="0" w:color="auto"/>
              </w:divBdr>
            </w:div>
            <w:div w:id="161819828">
              <w:marLeft w:val="0"/>
              <w:marRight w:val="0"/>
              <w:marTop w:val="0"/>
              <w:marBottom w:val="0"/>
              <w:divBdr>
                <w:top w:val="none" w:sz="0" w:space="0" w:color="auto"/>
                <w:left w:val="none" w:sz="0" w:space="0" w:color="auto"/>
                <w:bottom w:val="none" w:sz="0" w:space="0" w:color="auto"/>
                <w:right w:val="none" w:sz="0" w:space="0" w:color="auto"/>
              </w:divBdr>
            </w:div>
            <w:div w:id="384108831">
              <w:marLeft w:val="0"/>
              <w:marRight w:val="0"/>
              <w:marTop w:val="0"/>
              <w:marBottom w:val="0"/>
              <w:divBdr>
                <w:top w:val="none" w:sz="0" w:space="0" w:color="auto"/>
                <w:left w:val="none" w:sz="0" w:space="0" w:color="auto"/>
                <w:bottom w:val="none" w:sz="0" w:space="0" w:color="auto"/>
                <w:right w:val="none" w:sz="0" w:space="0" w:color="auto"/>
              </w:divBdr>
            </w:div>
            <w:div w:id="528765589">
              <w:marLeft w:val="0"/>
              <w:marRight w:val="0"/>
              <w:marTop w:val="0"/>
              <w:marBottom w:val="0"/>
              <w:divBdr>
                <w:top w:val="none" w:sz="0" w:space="0" w:color="auto"/>
                <w:left w:val="none" w:sz="0" w:space="0" w:color="auto"/>
                <w:bottom w:val="none" w:sz="0" w:space="0" w:color="auto"/>
                <w:right w:val="none" w:sz="0" w:space="0" w:color="auto"/>
              </w:divBdr>
            </w:div>
            <w:div w:id="567881732">
              <w:marLeft w:val="0"/>
              <w:marRight w:val="0"/>
              <w:marTop w:val="0"/>
              <w:marBottom w:val="0"/>
              <w:divBdr>
                <w:top w:val="none" w:sz="0" w:space="0" w:color="auto"/>
                <w:left w:val="none" w:sz="0" w:space="0" w:color="auto"/>
                <w:bottom w:val="none" w:sz="0" w:space="0" w:color="auto"/>
                <w:right w:val="none" w:sz="0" w:space="0" w:color="auto"/>
              </w:divBdr>
            </w:div>
            <w:div w:id="672611809">
              <w:marLeft w:val="0"/>
              <w:marRight w:val="0"/>
              <w:marTop w:val="0"/>
              <w:marBottom w:val="0"/>
              <w:divBdr>
                <w:top w:val="none" w:sz="0" w:space="0" w:color="auto"/>
                <w:left w:val="none" w:sz="0" w:space="0" w:color="auto"/>
                <w:bottom w:val="none" w:sz="0" w:space="0" w:color="auto"/>
                <w:right w:val="none" w:sz="0" w:space="0" w:color="auto"/>
              </w:divBdr>
            </w:div>
            <w:div w:id="697894171">
              <w:marLeft w:val="0"/>
              <w:marRight w:val="0"/>
              <w:marTop w:val="0"/>
              <w:marBottom w:val="0"/>
              <w:divBdr>
                <w:top w:val="none" w:sz="0" w:space="0" w:color="auto"/>
                <w:left w:val="none" w:sz="0" w:space="0" w:color="auto"/>
                <w:bottom w:val="none" w:sz="0" w:space="0" w:color="auto"/>
                <w:right w:val="none" w:sz="0" w:space="0" w:color="auto"/>
              </w:divBdr>
            </w:div>
            <w:div w:id="946738917">
              <w:marLeft w:val="0"/>
              <w:marRight w:val="0"/>
              <w:marTop w:val="0"/>
              <w:marBottom w:val="0"/>
              <w:divBdr>
                <w:top w:val="none" w:sz="0" w:space="0" w:color="auto"/>
                <w:left w:val="none" w:sz="0" w:space="0" w:color="auto"/>
                <w:bottom w:val="none" w:sz="0" w:space="0" w:color="auto"/>
                <w:right w:val="none" w:sz="0" w:space="0" w:color="auto"/>
              </w:divBdr>
            </w:div>
            <w:div w:id="1130854095">
              <w:marLeft w:val="0"/>
              <w:marRight w:val="0"/>
              <w:marTop w:val="0"/>
              <w:marBottom w:val="0"/>
              <w:divBdr>
                <w:top w:val="none" w:sz="0" w:space="0" w:color="auto"/>
                <w:left w:val="none" w:sz="0" w:space="0" w:color="auto"/>
                <w:bottom w:val="none" w:sz="0" w:space="0" w:color="auto"/>
                <w:right w:val="none" w:sz="0" w:space="0" w:color="auto"/>
              </w:divBdr>
            </w:div>
            <w:div w:id="1310093723">
              <w:marLeft w:val="0"/>
              <w:marRight w:val="0"/>
              <w:marTop w:val="0"/>
              <w:marBottom w:val="0"/>
              <w:divBdr>
                <w:top w:val="none" w:sz="0" w:space="0" w:color="auto"/>
                <w:left w:val="none" w:sz="0" w:space="0" w:color="auto"/>
                <w:bottom w:val="none" w:sz="0" w:space="0" w:color="auto"/>
                <w:right w:val="none" w:sz="0" w:space="0" w:color="auto"/>
              </w:divBdr>
            </w:div>
            <w:div w:id="1331375313">
              <w:marLeft w:val="0"/>
              <w:marRight w:val="0"/>
              <w:marTop w:val="0"/>
              <w:marBottom w:val="0"/>
              <w:divBdr>
                <w:top w:val="none" w:sz="0" w:space="0" w:color="auto"/>
                <w:left w:val="none" w:sz="0" w:space="0" w:color="auto"/>
                <w:bottom w:val="none" w:sz="0" w:space="0" w:color="auto"/>
                <w:right w:val="none" w:sz="0" w:space="0" w:color="auto"/>
              </w:divBdr>
            </w:div>
            <w:div w:id="1562061352">
              <w:marLeft w:val="0"/>
              <w:marRight w:val="0"/>
              <w:marTop w:val="0"/>
              <w:marBottom w:val="0"/>
              <w:divBdr>
                <w:top w:val="none" w:sz="0" w:space="0" w:color="auto"/>
                <w:left w:val="none" w:sz="0" w:space="0" w:color="auto"/>
                <w:bottom w:val="none" w:sz="0" w:space="0" w:color="auto"/>
                <w:right w:val="none" w:sz="0" w:space="0" w:color="auto"/>
              </w:divBdr>
            </w:div>
            <w:div w:id="1568422667">
              <w:marLeft w:val="0"/>
              <w:marRight w:val="0"/>
              <w:marTop w:val="0"/>
              <w:marBottom w:val="0"/>
              <w:divBdr>
                <w:top w:val="none" w:sz="0" w:space="0" w:color="auto"/>
                <w:left w:val="none" w:sz="0" w:space="0" w:color="auto"/>
                <w:bottom w:val="none" w:sz="0" w:space="0" w:color="auto"/>
                <w:right w:val="none" w:sz="0" w:space="0" w:color="auto"/>
              </w:divBdr>
            </w:div>
            <w:div w:id="1777479939">
              <w:marLeft w:val="0"/>
              <w:marRight w:val="0"/>
              <w:marTop w:val="0"/>
              <w:marBottom w:val="0"/>
              <w:divBdr>
                <w:top w:val="none" w:sz="0" w:space="0" w:color="auto"/>
                <w:left w:val="none" w:sz="0" w:space="0" w:color="auto"/>
                <w:bottom w:val="none" w:sz="0" w:space="0" w:color="auto"/>
                <w:right w:val="none" w:sz="0" w:space="0" w:color="auto"/>
              </w:divBdr>
            </w:div>
            <w:div w:id="1810170031">
              <w:marLeft w:val="0"/>
              <w:marRight w:val="0"/>
              <w:marTop w:val="0"/>
              <w:marBottom w:val="0"/>
              <w:divBdr>
                <w:top w:val="none" w:sz="0" w:space="0" w:color="auto"/>
                <w:left w:val="none" w:sz="0" w:space="0" w:color="auto"/>
                <w:bottom w:val="none" w:sz="0" w:space="0" w:color="auto"/>
                <w:right w:val="none" w:sz="0" w:space="0" w:color="auto"/>
              </w:divBdr>
            </w:div>
            <w:div w:id="1816297291">
              <w:marLeft w:val="0"/>
              <w:marRight w:val="0"/>
              <w:marTop w:val="0"/>
              <w:marBottom w:val="0"/>
              <w:divBdr>
                <w:top w:val="none" w:sz="0" w:space="0" w:color="auto"/>
                <w:left w:val="none" w:sz="0" w:space="0" w:color="auto"/>
                <w:bottom w:val="none" w:sz="0" w:space="0" w:color="auto"/>
                <w:right w:val="none" w:sz="0" w:space="0" w:color="auto"/>
              </w:divBdr>
            </w:div>
            <w:div w:id="1887597450">
              <w:marLeft w:val="0"/>
              <w:marRight w:val="0"/>
              <w:marTop w:val="0"/>
              <w:marBottom w:val="0"/>
              <w:divBdr>
                <w:top w:val="none" w:sz="0" w:space="0" w:color="auto"/>
                <w:left w:val="none" w:sz="0" w:space="0" w:color="auto"/>
                <w:bottom w:val="none" w:sz="0" w:space="0" w:color="auto"/>
                <w:right w:val="none" w:sz="0" w:space="0" w:color="auto"/>
              </w:divBdr>
            </w:div>
            <w:div w:id="1917589418">
              <w:marLeft w:val="0"/>
              <w:marRight w:val="0"/>
              <w:marTop w:val="0"/>
              <w:marBottom w:val="0"/>
              <w:divBdr>
                <w:top w:val="none" w:sz="0" w:space="0" w:color="auto"/>
                <w:left w:val="none" w:sz="0" w:space="0" w:color="auto"/>
                <w:bottom w:val="none" w:sz="0" w:space="0" w:color="auto"/>
                <w:right w:val="none" w:sz="0" w:space="0" w:color="auto"/>
              </w:divBdr>
            </w:div>
            <w:div w:id="2050568587">
              <w:marLeft w:val="0"/>
              <w:marRight w:val="0"/>
              <w:marTop w:val="0"/>
              <w:marBottom w:val="0"/>
              <w:divBdr>
                <w:top w:val="none" w:sz="0" w:space="0" w:color="auto"/>
                <w:left w:val="none" w:sz="0" w:space="0" w:color="auto"/>
                <w:bottom w:val="none" w:sz="0" w:space="0" w:color="auto"/>
                <w:right w:val="none" w:sz="0" w:space="0" w:color="auto"/>
              </w:divBdr>
            </w:div>
          </w:divsChild>
        </w:div>
        <w:div w:id="520628334">
          <w:marLeft w:val="0"/>
          <w:marRight w:val="0"/>
          <w:marTop w:val="0"/>
          <w:marBottom w:val="0"/>
          <w:divBdr>
            <w:top w:val="none" w:sz="0" w:space="0" w:color="auto"/>
            <w:left w:val="none" w:sz="0" w:space="0" w:color="auto"/>
            <w:bottom w:val="none" w:sz="0" w:space="0" w:color="auto"/>
            <w:right w:val="none" w:sz="0" w:space="0" w:color="auto"/>
          </w:divBdr>
          <w:divsChild>
            <w:div w:id="56779717">
              <w:marLeft w:val="0"/>
              <w:marRight w:val="0"/>
              <w:marTop w:val="0"/>
              <w:marBottom w:val="0"/>
              <w:divBdr>
                <w:top w:val="none" w:sz="0" w:space="0" w:color="auto"/>
                <w:left w:val="none" w:sz="0" w:space="0" w:color="auto"/>
                <w:bottom w:val="none" w:sz="0" w:space="0" w:color="auto"/>
                <w:right w:val="none" w:sz="0" w:space="0" w:color="auto"/>
              </w:divBdr>
            </w:div>
            <w:div w:id="186143227">
              <w:marLeft w:val="0"/>
              <w:marRight w:val="0"/>
              <w:marTop w:val="0"/>
              <w:marBottom w:val="0"/>
              <w:divBdr>
                <w:top w:val="none" w:sz="0" w:space="0" w:color="auto"/>
                <w:left w:val="none" w:sz="0" w:space="0" w:color="auto"/>
                <w:bottom w:val="none" w:sz="0" w:space="0" w:color="auto"/>
                <w:right w:val="none" w:sz="0" w:space="0" w:color="auto"/>
              </w:divBdr>
            </w:div>
            <w:div w:id="363097442">
              <w:marLeft w:val="0"/>
              <w:marRight w:val="0"/>
              <w:marTop w:val="0"/>
              <w:marBottom w:val="0"/>
              <w:divBdr>
                <w:top w:val="none" w:sz="0" w:space="0" w:color="auto"/>
                <w:left w:val="none" w:sz="0" w:space="0" w:color="auto"/>
                <w:bottom w:val="none" w:sz="0" w:space="0" w:color="auto"/>
                <w:right w:val="none" w:sz="0" w:space="0" w:color="auto"/>
              </w:divBdr>
            </w:div>
            <w:div w:id="403383650">
              <w:marLeft w:val="0"/>
              <w:marRight w:val="0"/>
              <w:marTop w:val="0"/>
              <w:marBottom w:val="0"/>
              <w:divBdr>
                <w:top w:val="none" w:sz="0" w:space="0" w:color="auto"/>
                <w:left w:val="none" w:sz="0" w:space="0" w:color="auto"/>
                <w:bottom w:val="none" w:sz="0" w:space="0" w:color="auto"/>
                <w:right w:val="none" w:sz="0" w:space="0" w:color="auto"/>
              </w:divBdr>
            </w:div>
            <w:div w:id="405424105">
              <w:marLeft w:val="0"/>
              <w:marRight w:val="0"/>
              <w:marTop w:val="0"/>
              <w:marBottom w:val="0"/>
              <w:divBdr>
                <w:top w:val="none" w:sz="0" w:space="0" w:color="auto"/>
                <w:left w:val="none" w:sz="0" w:space="0" w:color="auto"/>
                <w:bottom w:val="none" w:sz="0" w:space="0" w:color="auto"/>
                <w:right w:val="none" w:sz="0" w:space="0" w:color="auto"/>
              </w:divBdr>
            </w:div>
            <w:div w:id="430005092">
              <w:marLeft w:val="0"/>
              <w:marRight w:val="0"/>
              <w:marTop w:val="0"/>
              <w:marBottom w:val="0"/>
              <w:divBdr>
                <w:top w:val="none" w:sz="0" w:space="0" w:color="auto"/>
                <w:left w:val="none" w:sz="0" w:space="0" w:color="auto"/>
                <w:bottom w:val="none" w:sz="0" w:space="0" w:color="auto"/>
                <w:right w:val="none" w:sz="0" w:space="0" w:color="auto"/>
              </w:divBdr>
            </w:div>
            <w:div w:id="581715483">
              <w:marLeft w:val="0"/>
              <w:marRight w:val="0"/>
              <w:marTop w:val="0"/>
              <w:marBottom w:val="0"/>
              <w:divBdr>
                <w:top w:val="none" w:sz="0" w:space="0" w:color="auto"/>
                <w:left w:val="none" w:sz="0" w:space="0" w:color="auto"/>
                <w:bottom w:val="none" w:sz="0" w:space="0" w:color="auto"/>
                <w:right w:val="none" w:sz="0" w:space="0" w:color="auto"/>
              </w:divBdr>
            </w:div>
            <w:div w:id="716005654">
              <w:marLeft w:val="0"/>
              <w:marRight w:val="0"/>
              <w:marTop w:val="0"/>
              <w:marBottom w:val="0"/>
              <w:divBdr>
                <w:top w:val="none" w:sz="0" w:space="0" w:color="auto"/>
                <w:left w:val="none" w:sz="0" w:space="0" w:color="auto"/>
                <w:bottom w:val="none" w:sz="0" w:space="0" w:color="auto"/>
                <w:right w:val="none" w:sz="0" w:space="0" w:color="auto"/>
              </w:divBdr>
            </w:div>
            <w:div w:id="967974738">
              <w:marLeft w:val="0"/>
              <w:marRight w:val="0"/>
              <w:marTop w:val="0"/>
              <w:marBottom w:val="0"/>
              <w:divBdr>
                <w:top w:val="none" w:sz="0" w:space="0" w:color="auto"/>
                <w:left w:val="none" w:sz="0" w:space="0" w:color="auto"/>
                <w:bottom w:val="none" w:sz="0" w:space="0" w:color="auto"/>
                <w:right w:val="none" w:sz="0" w:space="0" w:color="auto"/>
              </w:divBdr>
            </w:div>
            <w:div w:id="978150269">
              <w:marLeft w:val="0"/>
              <w:marRight w:val="0"/>
              <w:marTop w:val="0"/>
              <w:marBottom w:val="0"/>
              <w:divBdr>
                <w:top w:val="none" w:sz="0" w:space="0" w:color="auto"/>
                <w:left w:val="none" w:sz="0" w:space="0" w:color="auto"/>
                <w:bottom w:val="none" w:sz="0" w:space="0" w:color="auto"/>
                <w:right w:val="none" w:sz="0" w:space="0" w:color="auto"/>
              </w:divBdr>
            </w:div>
            <w:div w:id="990672346">
              <w:marLeft w:val="0"/>
              <w:marRight w:val="0"/>
              <w:marTop w:val="0"/>
              <w:marBottom w:val="0"/>
              <w:divBdr>
                <w:top w:val="none" w:sz="0" w:space="0" w:color="auto"/>
                <w:left w:val="none" w:sz="0" w:space="0" w:color="auto"/>
                <w:bottom w:val="none" w:sz="0" w:space="0" w:color="auto"/>
                <w:right w:val="none" w:sz="0" w:space="0" w:color="auto"/>
              </w:divBdr>
            </w:div>
            <w:div w:id="1174613282">
              <w:marLeft w:val="0"/>
              <w:marRight w:val="0"/>
              <w:marTop w:val="0"/>
              <w:marBottom w:val="0"/>
              <w:divBdr>
                <w:top w:val="none" w:sz="0" w:space="0" w:color="auto"/>
                <w:left w:val="none" w:sz="0" w:space="0" w:color="auto"/>
                <w:bottom w:val="none" w:sz="0" w:space="0" w:color="auto"/>
                <w:right w:val="none" w:sz="0" w:space="0" w:color="auto"/>
              </w:divBdr>
            </w:div>
            <w:div w:id="1179082794">
              <w:marLeft w:val="0"/>
              <w:marRight w:val="0"/>
              <w:marTop w:val="0"/>
              <w:marBottom w:val="0"/>
              <w:divBdr>
                <w:top w:val="none" w:sz="0" w:space="0" w:color="auto"/>
                <w:left w:val="none" w:sz="0" w:space="0" w:color="auto"/>
                <w:bottom w:val="none" w:sz="0" w:space="0" w:color="auto"/>
                <w:right w:val="none" w:sz="0" w:space="0" w:color="auto"/>
              </w:divBdr>
            </w:div>
            <w:div w:id="1315528014">
              <w:marLeft w:val="0"/>
              <w:marRight w:val="0"/>
              <w:marTop w:val="0"/>
              <w:marBottom w:val="0"/>
              <w:divBdr>
                <w:top w:val="none" w:sz="0" w:space="0" w:color="auto"/>
                <w:left w:val="none" w:sz="0" w:space="0" w:color="auto"/>
                <w:bottom w:val="none" w:sz="0" w:space="0" w:color="auto"/>
                <w:right w:val="none" w:sz="0" w:space="0" w:color="auto"/>
              </w:divBdr>
            </w:div>
            <w:div w:id="1483044327">
              <w:marLeft w:val="0"/>
              <w:marRight w:val="0"/>
              <w:marTop w:val="0"/>
              <w:marBottom w:val="0"/>
              <w:divBdr>
                <w:top w:val="none" w:sz="0" w:space="0" w:color="auto"/>
                <w:left w:val="none" w:sz="0" w:space="0" w:color="auto"/>
                <w:bottom w:val="none" w:sz="0" w:space="0" w:color="auto"/>
                <w:right w:val="none" w:sz="0" w:space="0" w:color="auto"/>
              </w:divBdr>
            </w:div>
            <w:div w:id="1497187566">
              <w:marLeft w:val="0"/>
              <w:marRight w:val="0"/>
              <w:marTop w:val="0"/>
              <w:marBottom w:val="0"/>
              <w:divBdr>
                <w:top w:val="none" w:sz="0" w:space="0" w:color="auto"/>
                <w:left w:val="none" w:sz="0" w:space="0" w:color="auto"/>
                <w:bottom w:val="none" w:sz="0" w:space="0" w:color="auto"/>
                <w:right w:val="none" w:sz="0" w:space="0" w:color="auto"/>
              </w:divBdr>
            </w:div>
            <w:div w:id="1836873665">
              <w:marLeft w:val="0"/>
              <w:marRight w:val="0"/>
              <w:marTop w:val="0"/>
              <w:marBottom w:val="0"/>
              <w:divBdr>
                <w:top w:val="none" w:sz="0" w:space="0" w:color="auto"/>
                <w:left w:val="none" w:sz="0" w:space="0" w:color="auto"/>
                <w:bottom w:val="none" w:sz="0" w:space="0" w:color="auto"/>
                <w:right w:val="none" w:sz="0" w:space="0" w:color="auto"/>
              </w:divBdr>
            </w:div>
            <w:div w:id="1952738513">
              <w:marLeft w:val="0"/>
              <w:marRight w:val="0"/>
              <w:marTop w:val="0"/>
              <w:marBottom w:val="0"/>
              <w:divBdr>
                <w:top w:val="none" w:sz="0" w:space="0" w:color="auto"/>
                <w:left w:val="none" w:sz="0" w:space="0" w:color="auto"/>
                <w:bottom w:val="none" w:sz="0" w:space="0" w:color="auto"/>
                <w:right w:val="none" w:sz="0" w:space="0" w:color="auto"/>
              </w:divBdr>
            </w:div>
            <w:div w:id="1985086941">
              <w:marLeft w:val="0"/>
              <w:marRight w:val="0"/>
              <w:marTop w:val="0"/>
              <w:marBottom w:val="0"/>
              <w:divBdr>
                <w:top w:val="none" w:sz="0" w:space="0" w:color="auto"/>
                <w:left w:val="none" w:sz="0" w:space="0" w:color="auto"/>
                <w:bottom w:val="none" w:sz="0" w:space="0" w:color="auto"/>
                <w:right w:val="none" w:sz="0" w:space="0" w:color="auto"/>
              </w:divBdr>
            </w:div>
          </w:divsChild>
        </w:div>
        <w:div w:id="2076393754">
          <w:marLeft w:val="0"/>
          <w:marRight w:val="0"/>
          <w:marTop w:val="0"/>
          <w:marBottom w:val="0"/>
          <w:divBdr>
            <w:top w:val="none" w:sz="0" w:space="0" w:color="auto"/>
            <w:left w:val="none" w:sz="0" w:space="0" w:color="auto"/>
            <w:bottom w:val="none" w:sz="0" w:space="0" w:color="auto"/>
            <w:right w:val="none" w:sz="0" w:space="0" w:color="auto"/>
          </w:divBdr>
          <w:divsChild>
            <w:div w:id="79836356">
              <w:marLeft w:val="0"/>
              <w:marRight w:val="0"/>
              <w:marTop w:val="0"/>
              <w:marBottom w:val="0"/>
              <w:divBdr>
                <w:top w:val="none" w:sz="0" w:space="0" w:color="auto"/>
                <w:left w:val="none" w:sz="0" w:space="0" w:color="auto"/>
                <w:bottom w:val="none" w:sz="0" w:space="0" w:color="auto"/>
                <w:right w:val="none" w:sz="0" w:space="0" w:color="auto"/>
              </w:divBdr>
            </w:div>
            <w:div w:id="101465236">
              <w:marLeft w:val="0"/>
              <w:marRight w:val="0"/>
              <w:marTop w:val="0"/>
              <w:marBottom w:val="0"/>
              <w:divBdr>
                <w:top w:val="none" w:sz="0" w:space="0" w:color="auto"/>
                <w:left w:val="none" w:sz="0" w:space="0" w:color="auto"/>
                <w:bottom w:val="none" w:sz="0" w:space="0" w:color="auto"/>
                <w:right w:val="none" w:sz="0" w:space="0" w:color="auto"/>
              </w:divBdr>
            </w:div>
            <w:div w:id="152185337">
              <w:marLeft w:val="0"/>
              <w:marRight w:val="0"/>
              <w:marTop w:val="0"/>
              <w:marBottom w:val="0"/>
              <w:divBdr>
                <w:top w:val="none" w:sz="0" w:space="0" w:color="auto"/>
                <w:left w:val="none" w:sz="0" w:space="0" w:color="auto"/>
                <w:bottom w:val="none" w:sz="0" w:space="0" w:color="auto"/>
                <w:right w:val="none" w:sz="0" w:space="0" w:color="auto"/>
              </w:divBdr>
            </w:div>
            <w:div w:id="158734243">
              <w:marLeft w:val="0"/>
              <w:marRight w:val="0"/>
              <w:marTop w:val="0"/>
              <w:marBottom w:val="0"/>
              <w:divBdr>
                <w:top w:val="none" w:sz="0" w:space="0" w:color="auto"/>
                <w:left w:val="none" w:sz="0" w:space="0" w:color="auto"/>
                <w:bottom w:val="none" w:sz="0" w:space="0" w:color="auto"/>
                <w:right w:val="none" w:sz="0" w:space="0" w:color="auto"/>
              </w:divBdr>
            </w:div>
            <w:div w:id="450128842">
              <w:marLeft w:val="0"/>
              <w:marRight w:val="0"/>
              <w:marTop w:val="0"/>
              <w:marBottom w:val="0"/>
              <w:divBdr>
                <w:top w:val="none" w:sz="0" w:space="0" w:color="auto"/>
                <w:left w:val="none" w:sz="0" w:space="0" w:color="auto"/>
                <w:bottom w:val="none" w:sz="0" w:space="0" w:color="auto"/>
                <w:right w:val="none" w:sz="0" w:space="0" w:color="auto"/>
              </w:divBdr>
            </w:div>
            <w:div w:id="468669766">
              <w:marLeft w:val="0"/>
              <w:marRight w:val="0"/>
              <w:marTop w:val="0"/>
              <w:marBottom w:val="0"/>
              <w:divBdr>
                <w:top w:val="none" w:sz="0" w:space="0" w:color="auto"/>
                <w:left w:val="none" w:sz="0" w:space="0" w:color="auto"/>
                <w:bottom w:val="none" w:sz="0" w:space="0" w:color="auto"/>
                <w:right w:val="none" w:sz="0" w:space="0" w:color="auto"/>
              </w:divBdr>
            </w:div>
            <w:div w:id="477113130">
              <w:marLeft w:val="0"/>
              <w:marRight w:val="0"/>
              <w:marTop w:val="0"/>
              <w:marBottom w:val="0"/>
              <w:divBdr>
                <w:top w:val="none" w:sz="0" w:space="0" w:color="auto"/>
                <w:left w:val="none" w:sz="0" w:space="0" w:color="auto"/>
                <w:bottom w:val="none" w:sz="0" w:space="0" w:color="auto"/>
                <w:right w:val="none" w:sz="0" w:space="0" w:color="auto"/>
              </w:divBdr>
            </w:div>
            <w:div w:id="491988047">
              <w:marLeft w:val="0"/>
              <w:marRight w:val="0"/>
              <w:marTop w:val="0"/>
              <w:marBottom w:val="0"/>
              <w:divBdr>
                <w:top w:val="none" w:sz="0" w:space="0" w:color="auto"/>
                <w:left w:val="none" w:sz="0" w:space="0" w:color="auto"/>
                <w:bottom w:val="none" w:sz="0" w:space="0" w:color="auto"/>
                <w:right w:val="none" w:sz="0" w:space="0" w:color="auto"/>
              </w:divBdr>
            </w:div>
            <w:div w:id="1006783927">
              <w:marLeft w:val="0"/>
              <w:marRight w:val="0"/>
              <w:marTop w:val="0"/>
              <w:marBottom w:val="0"/>
              <w:divBdr>
                <w:top w:val="none" w:sz="0" w:space="0" w:color="auto"/>
                <w:left w:val="none" w:sz="0" w:space="0" w:color="auto"/>
                <w:bottom w:val="none" w:sz="0" w:space="0" w:color="auto"/>
                <w:right w:val="none" w:sz="0" w:space="0" w:color="auto"/>
              </w:divBdr>
            </w:div>
            <w:div w:id="1060903462">
              <w:marLeft w:val="0"/>
              <w:marRight w:val="0"/>
              <w:marTop w:val="0"/>
              <w:marBottom w:val="0"/>
              <w:divBdr>
                <w:top w:val="none" w:sz="0" w:space="0" w:color="auto"/>
                <w:left w:val="none" w:sz="0" w:space="0" w:color="auto"/>
                <w:bottom w:val="none" w:sz="0" w:space="0" w:color="auto"/>
                <w:right w:val="none" w:sz="0" w:space="0" w:color="auto"/>
              </w:divBdr>
            </w:div>
            <w:div w:id="1084575409">
              <w:marLeft w:val="0"/>
              <w:marRight w:val="0"/>
              <w:marTop w:val="0"/>
              <w:marBottom w:val="0"/>
              <w:divBdr>
                <w:top w:val="none" w:sz="0" w:space="0" w:color="auto"/>
                <w:left w:val="none" w:sz="0" w:space="0" w:color="auto"/>
                <w:bottom w:val="none" w:sz="0" w:space="0" w:color="auto"/>
                <w:right w:val="none" w:sz="0" w:space="0" w:color="auto"/>
              </w:divBdr>
            </w:div>
            <w:div w:id="1134716639">
              <w:marLeft w:val="0"/>
              <w:marRight w:val="0"/>
              <w:marTop w:val="0"/>
              <w:marBottom w:val="0"/>
              <w:divBdr>
                <w:top w:val="none" w:sz="0" w:space="0" w:color="auto"/>
                <w:left w:val="none" w:sz="0" w:space="0" w:color="auto"/>
                <w:bottom w:val="none" w:sz="0" w:space="0" w:color="auto"/>
                <w:right w:val="none" w:sz="0" w:space="0" w:color="auto"/>
              </w:divBdr>
            </w:div>
            <w:div w:id="1226338996">
              <w:marLeft w:val="0"/>
              <w:marRight w:val="0"/>
              <w:marTop w:val="0"/>
              <w:marBottom w:val="0"/>
              <w:divBdr>
                <w:top w:val="none" w:sz="0" w:space="0" w:color="auto"/>
                <w:left w:val="none" w:sz="0" w:space="0" w:color="auto"/>
                <w:bottom w:val="none" w:sz="0" w:space="0" w:color="auto"/>
                <w:right w:val="none" w:sz="0" w:space="0" w:color="auto"/>
              </w:divBdr>
            </w:div>
            <w:div w:id="1244098540">
              <w:marLeft w:val="0"/>
              <w:marRight w:val="0"/>
              <w:marTop w:val="0"/>
              <w:marBottom w:val="0"/>
              <w:divBdr>
                <w:top w:val="none" w:sz="0" w:space="0" w:color="auto"/>
                <w:left w:val="none" w:sz="0" w:space="0" w:color="auto"/>
                <w:bottom w:val="none" w:sz="0" w:space="0" w:color="auto"/>
                <w:right w:val="none" w:sz="0" w:space="0" w:color="auto"/>
              </w:divBdr>
            </w:div>
            <w:div w:id="1269314071">
              <w:marLeft w:val="0"/>
              <w:marRight w:val="0"/>
              <w:marTop w:val="0"/>
              <w:marBottom w:val="0"/>
              <w:divBdr>
                <w:top w:val="none" w:sz="0" w:space="0" w:color="auto"/>
                <w:left w:val="none" w:sz="0" w:space="0" w:color="auto"/>
                <w:bottom w:val="none" w:sz="0" w:space="0" w:color="auto"/>
                <w:right w:val="none" w:sz="0" w:space="0" w:color="auto"/>
              </w:divBdr>
            </w:div>
            <w:div w:id="1311253438">
              <w:marLeft w:val="0"/>
              <w:marRight w:val="0"/>
              <w:marTop w:val="0"/>
              <w:marBottom w:val="0"/>
              <w:divBdr>
                <w:top w:val="none" w:sz="0" w:space="0" w:color="auto"/>
                <w:left w:val="none" w:sz="0" w:space="0" w:color="auto"/>
                <w:bottom w:val="none" w:sz="0" w:space="0" w:color="auto"/>
                <w:right w:val="none" w:sz="0" w:space="0" w:color="auto"/>
              </w:divBdr>
            </w:div>
            <w:div w:id="1487240484">
              <w:marLeft w:val="0"/>
              <w:marRight w:val="0"/>
              <w:marTop w:val="0"/>
              <w:marBottom w:val="0"/>
              <w:divBdr>
                <w:top w:val="none" w:sz="0" w:space="0" w:color="auto"/>
                <w:left w:val="none" w:sz="0" w:space="0" w:color="auto"/>
                <w:bottom w:val="none" w:sz="0" w:space="0" w:color="auto"/>
                <w:right w:val="none" w:sz="0" w:space="0" w:color="auto"/>
              </w:divBdr>
            </w:div>
            <w:div w:id="1682585690">
              <w:marLeft w:val="0"/>
              <w:marRight w:val="0"/>
              <w:marTop w:val="0"/>
              <w:marBottom w:val="0"/>
              <w:divBdr>
                <w:top w:val="none" w:sz="0" w:space="0" w:color="auto"/>
                <w:left w:val="none" w:sz="0" w:space="0" w:color="auto"/>
                <w:bottom w:val="none" w:sz="0" w:space="0" w:color="auto"/>
                <w:right w:val="none" w:sz="0" w:space="0" w:color="auto"/>
              </w:divBdr>
            </w:div>
            <w:div w:id="1750351271">
              <w:marLeft w:val="0"/>
              <w:marRight w:val="0"/>
              <w:marTop w:val="0"/>
              <w:marBottom w:val="0"/>
              <w:divBdr>
                <w:top w:val="none" w:sz="0" w:space="0" w:color="auto"/>
                <w:left w:val="none" w:sz="0" w:space="0" w:color="auto"/>
                <w:bottom w:val="none" w:sz="0" w:space="0" w:color="auto"/>
                <w:right w:val="none" w:sz="0" w:space="0" w:color="auto"/>
              </w:divBdr>
            </w:div>
            <w:div w:id="19707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96836">
      <w:bodyDiv w:val="1"/>
      <w:marLeft w:val="0"/>
      <w:marRight w:val="0"/>
      <w:marTop w:val="0"/>
      <w:marBottom w:val="0"/>
      <w:divBdr>
        <w:top w:val="none" w:sz="0" w:space="0" w:color="auto"/>
        <w:left w:val="none" w:sz="0" w:space="0" w:color="auto"/>
        <w:bottom w:val="none" w:sz="0" w:space="0" w:color="auto"/>
        <w:right w:val="none" w:sz="0" w:space="0" w:color="auto"/>
      </w:divBdr>
      <w:divsChild>
        <w:div w:id="428278089">
          <w:marLeft w:val="0"/>
          <w:marRight w:val="0"/>
          <w:marTop w:val="0"/>
          <w:marBottom w:val="0"/>
          <w:divBdr>
            <w:top w:val="none" w:sz="0" w:space="0" w:color="auto"/>
            <w:left w:val="none" w:sz="0" w:space="0" w:color="auto"/>
            <w:bottom w:val="none" w:sz="0" w:space="0" w:color="auto"/>
            <w:right w:val="none" w:sz="0" w:space="0" w:color="auto"/>
          </w:divBdr>
          <w:divsChild>
            <w:div w:id="111829673">
              <w:marLeft w:val="0"/>
              <w:marRight w:val="0"/>
              <w:marTop w:val="0"/>
              <w:marBottom w:val="0"/>
              <w:divBdr>
                <w:top w:val="none" w:sz="0" w:space="0" w:color="auto"/>
                <w:left w:val="none" w:sz="0" w:space="0" w:color="auto"/>
                <w:bottom w:val="none" w:sz="0" w:space="0" w:color="auto"/>
                <w:right w:val="none" w:sz="0" w:space="0" w:color="auto"/>
              </w:divBdr>
            </w:div>
            <w:div w:id="210043878">
              <w:marLeft w:val="0"/>
              <w:marRight w:val="0"/>
              <w:marTop w:val="0"/>
              <w:marBottom w:val="0"/>
              <w:divBdr>
                <w:top w:val="none" w:sz="0" w:space="0" w:color="auto"/>
                <w:left w:val="none" w:sz="0" w:space="0" w:color="auto"/>
                <w:bottom w:val="none" w:sz="0" w:space="0" w:color="auto"/>
                <w:right w:val="none" w:sz="0" w:space="0" w:color="auto"/>
              </w:divBdr>
            </w:div>
            <w:div w:id="238373971">
              <w:marLeft w:val="0"/>
              <w:marRight w:val="0"/>
              <w:marTop w:val="0"/>
              <w:marBottom w:val="0"/>
              <w:divBdr>
                <w:top w:val="none" w:sz="0" w:space="0" w:color="auto"/>
                <w:left w:val="none" w:sz="0" w:space="0" w:color="auto"/>
                <w:bottom w:val="none" w:sz="0" w:space="0" w:color="auto"/>
                <w:right w:val="none" w:sz="0" w:space="0" w:color="auto"/>
              </w:divBdr>
            </w:div>
            <w:div w:id="305011216">
              <w:marLeft w:val="0"/>
              <w:marRight w:val="0"/>
              <w:marTop w:val="0"/>
              <w:marBottom w:val="0"/>
              <w:divBdr>
                <w:top w:val="none" w:sz="0" w:space="0" w:color="auto"/>
                <w:left w:val="none" w:sz="0" w:space="0" w:color="auto"/>
                <w:bottom w:val="none" w:sz="0" w:space="0" w:color="auto"/>
                <w:right w:val="none" w:sz="0" w:space="0" w:color="auto"/>
              </w:divBdr>
            </w:div>
            <w:div w:id="389840464">
              <w:marLeft w:val="0"/>
              <w:marRight w:val="0"/>
              <w:marTop w:val="0"/>
              <w:marBottom w:val="0"/>
              <w:divBdr>
                <w:top w:val="none" w:sz="0" w:space="0" w:color="auto"/>
                <w:left w:val="none" w:sz="0" w:space="0" w:color="auto"/>
                <w:bottom w:val="none" w:sz="0" w:space="0" w:color="auto"/>
                <w:right w:val="none" w:sz="0" w:space="0" w:color="auto"/>
              </w:divBdr>
            </w:div>
            <w:div w:id="492334414">
              <w:marLeft w:val="0"/>
              <w:marRight w:val="0"/>
              <w:marTop w:val="0"/>
              <w:marBottom w:val="0"/>
              <w:divBdr>
                <w:top w:val="none" w:sz="0" w:space="0" w:color="auto"/>
                <w:left w:val="none" w:sz="0" w:space="0" w:color="auto"/>
                <w:bottom w:val="none" w:sz="0" w:space="0" w:color="auto"/>
                <w:right w:val="none" w:sz="0" w:space="0" w:color="auto"/>
              </w:divBdr>
            </w:div>
            <w:div w:id="553740644">
              <w:marLeft w:val="0"/>
              <w:marRight w:val="0"/>
              <w:marTop w:val="0"/>
              <w:marBottom w:val="0"/>
              <w:divBdr>
                <w:top w:val="none" w:sz="0" w:space="0" w:color="auto"/>
                <w:left w:val="none" w:sz="0" w:space="0" w:color="auto"/>
                <w:bottom w:val="none" w:sz="0" w:space="0" w:color="auto"/>
                <w:right w:val="none" w:sz="0" w:space="0" w:color="auto"/>
              </w:divBdr>
            </w:div>
            <w:div w:id="599992971">
              <w:marLeft w:val="0"/>
              <w:marRight w:val="0"/>
              <w:marTop w:val="0"/>
              <w:marBottom w:val="0"/>
              <w:divBdr>
                <w:top w:val="none" w:sz="0" w:space="0" w:color="auto"/>
                <w:left w:val="none" w:sz="0" w:space="0" w:color="auto"/>
                <w:bottom w:val="none" w:sz="0" w:space="0" w:color="auto"/>
                <w:right w:val="none" w:sz="0" w:space="0" w:color="auto"/>
              </w:divBdr>
            </w:div>
            <w:div w:id="636450209">
              <w:marLeft w:val="0"/>
              <w:marRight w:val="0"/>
              <w:marTop w:val="0"/>
              <w:marBottom w:val="0"/>
              <w:divBdr>
                <w:top w:val="none" w:sz="0" w:space="0" w:color="auto"/>
                <w:left w:val="none" w:sz="0" w:space="0" w:color="auto"/>
                <w:bottom w:val="none" w:sz="0" w:space="0" w:color="auto"/>
                <w:right w:val="none" w:sz="0" w:space="0" w:color="auto"/>
              </w:divBdr>
            </w:div>
            <w:div w:id="1050618430">
              <w:marLeft w:val="0"/>
              <w:marRight w:val="0"/>
              <w:marTop w:val="0"/>
              <w:marBottom w:val="0"/>
              <w:divBdr>
                <w:top w:val="none" w:sz="0" w:space="0" w:color="auto"/>
                <w:left w:val="none" w:sz="0" w:space="0" w:color="auto"/>
                <w:bottom w:val="none" w:sz="0" w:space="0" w:color="auto"/>
                <w:right w:val="none" w:sz="0" w:space="0" w:color="auto"/>
              </w:divBdr>
            </w:div>
            <w:div w:id="1151101176">
              <w:marLeft w:val="0"/>
              <w:marRight w:val="0"/>
              <w:marTop w:val="0"/>
              <w:marBottom w:val="0"/>
              <w:divBdr>
                <w:top w:val="none" w:sz="0" w:space="0" w:color="auto"/>
                <w:left w:val="none" w:sz="0" w:space="0" w:color="auto"/>
                <w:bottom w:val="none" w:sz="0" w:space="0" w:color="auto"/>
                <w:right w:val="none" w:sz="0" w:space="0" w:color="auto"/>
              </w:divBdr>
            </w:div>
            <w:div w:id="1280261023">
              <w:marLeft w:val="0"/>
              <w:marRight w:val="0"/>
              <w:marTop w:val="0"/>
              <w:marBottom w:val="0"/>
              <w:divBdr>
                <w:top w:val="none" w:sz="0" w:space="0" w:color="auto"/>
                <w:left w:val="none" w:sz="0" w:space="0" w:color="auto"/>
                <w:bottom w:val="none" w:sz="0" w:space="0" w:color="auto"/>
                <w:right w:val="none" w:sz="0" w:space="0" w:color="auto"/>
              </w:divBdr>
            </w:div>
            <w:div w:id="1299989420">
              <w:marLeft w:val="0"/>
              <w:marRight w:val="0"/>
              <w:marTop w:val="0"/>
              <w:marBottom w:val="0"/>
              <w:divBdr>
                <w:top w:val="none" w:sz="0" w:space="0" w:color="auto"/>
                <w:left w:val="none" w:sz="0" w:space="0" w:color="auto"/>
                <w:bottom w:val="none" w:sz="0" w:space="0" w:color="auto"/>
                <w:right w:val="none" w:sz="0" w:space="0" w:color="auto"/>
              </w:divBdr>
            </w:div>
            <w:div w:id="1487816365">
              <w:marLeft w:val="0"/>
              <w:marRight w:val="0"/>
              <w:marTop w:val="0"/>
              <w:marBottom w:val="0"/>
              <w:divBdr>
                <w:top w:val="none" w:sz="0" w:space="0" w:color="auto"/>
                <w:left w:val="none" w:sz="0" w:space="0" w:color="auto"/>
                <w:bottom w:val="none" w:sz="0" w:space="0" w:color="auto"/>
                <w:right w:val="none" w:sz="0" w:space="0" w:color="auto"/>
              </w:divBdr>
            </w:div>
            <w:div w:id="1833447884">
              <w:marLeft w:val="0"/>
              <w:marRight w:val="0"/>
              <w:marTop w:val="0"/>
              <w:marBottom w:val="0"/>
              <w:divBdr>
                <w:top w:val="none" w:sz="0" w:space="0" w:color="auto"/>
                <w:left w:val="none" w:sz="0" w:space="0" w:color="auto"/>
                <w:bottom w:val="none" w:sz="0" w:space="0" w:color="auto"/>
                <w:right w:val="none" w:sz="0" w:space="0" w:color="auto"/>
              </w:divBdr>
            </w:div>
            <w:div w:id="1929000186">
              <w:marLeft w:val="0"/>
              <w:marRight w:val="0"/>
              <w:marTop w:val="0"/>
              <w:marBottom w:val="0"/>
              <w:divBdr>
                <w:top w:val="none" w:sz="0" w:space="0" w:color="auto"/>
                <w:left w:val="none" w:sz="0" w:space="0" w:color="auto"/>
                <w:bottom w:val="none" w:sz="0" w:space="0" w:color="auto"/>
                <w:right w:val="none" w:sz="0" w:space="0" w:color="auto"/>
              </w:divBdr>
            </w:div>
            <w:div w:id="1936093135">
              <w:marLeft w:val="0"/>
              <w:marRight w:val="0"/>
              <w:marTop w:val="0"/>
              <w:marBottom w:val="0"/>
              <w:divBdr>
                <w:top w:val="none" w:sz="0" w:space="0" w:color="auto"/>
                <w:left w:val="none" w:sz="0" w:space="0" w:color="auto"/>
                <w:bottom w:val="none" w:sz="0" w:space="0" w:color="auto"/>
                <w:right w:val="none" w:sz="0" w:space="0" w:color="auto"/>
              </w:divBdr>
            </w:div>
            <w:div w:id="1998147860">
              <w:marLeft w:val="0"/>
              <w:marRight w:val="0"/>
              <w:marTop w:val="0"/>
              <w:marBottom w:val="0"/>
              <w:divBdr>
                <w:top w:val="none" w:sz="0" w:space="0" w:color="auto"/>
                <w:left w:val="none" w:sz="0" w:space="0" w:color="auto"/>
                <w:bottom w:val="none" w:sz="0" w:space="0" w:color="auto"/>
                <w:right w:val="none" w:sz="0" w:space="0" w:color="auto"/>
              </w:divBdr>
            </w:div>
            <w:div w:id="2036535049">
              <w:marLeft w:val="0"/>
              <w:marRight w:val="0"/>
              <w:marTop w:val="0"/>
              <w:marBottom w:val="0"/>
              <w:divBdr>
                <w:top w:val="none" w:sz="0" w:space="0" w:color="auto"/>
                <w:left w:val="none" w:sz="0" w:space="0" w:color="auto"/>
                <w:bottom w:val="none" w:sz="0" w:space="0" w:color="auto"/>
                <w:right w:val="none" w:sz="0" w:space="0" w:color="auto"/>
              </w:divBdr>
            </w:div>
            <w:div w:id="2053462622">
              <w:marLeft w:val="0"/>
              <w:marRight w:val="0"/>
              <w:marTop w:val="0"/>
              <w:marBottom w:val="0"/>
              <w:divBdr>
                <w:top w:val="none" w:sz="0" w:space="0" w:color="auto"/>
                <w:left w:val="none" w:sz="0" w:space="0" w:color="auto"/>
                <w:bottom w:val="none" w:sz="0" w:space="0" w:color="auto"/>
                <w:right w:val="none" w:sz="0" w:space="0" w:color="auto"/>
              </w:divBdr>
            </w:div>
          </w:divsChild>
        </w:div>
        <w:div w:id="528302336">
          <w:marLeft w:val="0"/>
          <w:marRight w:val="0"/>
          <w:marTop w:val="0"/>
          <w:marBottom w:val="0"/>
          <w:divBdr>
            <w:top w:val="none" w:sz="0" w:space="0" w:color="auto"/>
            <w:left w:val="none" w:sz="0" w:space="0" w:color="auto"/>
            <w:bottom w:val="none" w:sz="0" w:space="0" w:color="auto"/>
            <w:right w:val="none" w:sz="0" w:space="0" w:color="auto"/>
          </w:divBdr>
          <w:divsChild>
            <w:div w:id="138615579">
              <w:marLeft w:val="0"/>
              <w:marRight w:val="0"/>
              <w:marTop w:val="0"/>
              <w:marBottom w:val="0"/>
              <w:divBdr>
                <w:top w:val="none" w:sz="0" w:space="0" w:color="auto"/>
                <w:left w:val="none" w:sz="0" w:space="0" w:color="auto"/>
                <w:bottom w:val="none" w:sz="0" w:space="0" w:color="auto"/>
                <w:right w:val="none" w:sz="0" w:space="0" w:color="auto"/>
              </w:divBdr>
            </w:div>
            <w:div w:id="225148738">
              <w:marLeft w:val="0"/>
              <w:marRight w:val="0"/>
              <w:marTop w:val="0"/>
              <w:marBottom w:val="0"/>
              <w:divBdr>
                <w:top w:val="none" w:sz="0" w:space="0" w:color="auto"/>
                <w:left w:val="none" w:sz="0" w:space="0" w:color="auto"/>
                <w:bottom w:val="none" w:sz="0" w:space="0" w:color="auto"/>
                <w:right w:val="none" w:sz="0" w:space="0" w:color="auto"/>
              </w:divBdr>
            </w:div>
            <w:div w:id="293216866">
              <w:marLeft w:val="0"/>
              <w:marRight w:val="0"/>
              <w:marTop w:val="0"/>
              <w:marBottom w:val="0"/>
              <w:divBdr>
                <w:top w:val="none" w:sz="0" w:space="0" w:color="auto"/>
                <w:left w:val="none" w:sz="0" w:space="0" w:color="auto"/>
                <w:bottom w:val="none" w:sz="0" w:space="0" w:color="auto"/>
                <w:right w:val="none" w:sz="0" w:space="0" w:color="auto"/>
              </w:divBdr>
            </w:div>
            <w:div w:id="319772178">
              <w:marLeft w:val="0"/>
              <w:marRight w:val="0"/>
              <w:marTop w:val="0"/>
              <w:marBottom w:val="0"/>
              <w:divBdr>
                <w:top w:val="none" w:sz="0" w:space="0" w:color="auto"/>
                <w:left w:val="none" w:sz="0" w:space="0" w:color="auto"/>
                <w:bottom w:val="none" w:sz="0" w:space="0" w:color="auto"/>
                <w:right w:val="none" w:sz="0" w:space="0" w:color="auto"/>
              </w:divBdr>
            </w:div>
            <w:div w:id="331103575">
              <w:marLeft w:val="0"/>
              <w:marRight w:val="0"/>
              <w:marTop w:val="0"/>
              <w:marBottom w:val="0"/>
              <w:divBdr>
                <w:top w:val="none" w:sz="0" w:space="0" w:color="auto"/>
                <w:left w:val="none" w:sz="0" w:space="0" w:color="auto"/>
                <w:bottom w:val="none" w:sz="0" w:space="0" w:color="auto"/>
                <w:right w:val="none" w:sz="0" w:space="0" w:color="auto"/>
              </w:divBdr>
            </w:div>
            <w:div w:id="533809843">
              <w:marLeft w:val="0"/>
              <w:marRight w:val="0"/>
              <w:marTop w:val="0"/>
              <w:marBottom w:val="0"/>
              <w:divBdr>
                <w:top w:val="none" w:sz="0" w:space="0" w:color="auto"/>
                <w:left w:val="none" w:sz="0" w:space="0" w:color="auto"/>
                <w:bottom w:val="none" w:sz="0" w:space="0" w:color="auto"/>
                <w:right w:val="none" w:sz="0" w:space="0" w:color="auto"/>
              </w:divBdr>
            </w:div>
            <w:div w:id="598375459">
              <w:marLeft w:val="0"/>
              <w:marRight w:val="0"/>
              <w:marTop w:val="0"/>
              <w:marBottom w:val="0"/>
              <w:divBdr>
                <w:top w:val="none" w:sz="0" w:space="0" w:color="auto"/>
                <w:left w:val="none" w:sz="0" w:space="0" w:color="auto"/>
                <w:bottom w:val="none" w:sz="0" w:space="0" w:color="auto"/>
                <w:right w:val="none" w:sz="0" w:space="0" w:color="auto"/>
              </w:divBdr>
            </w:div>
            <w:div w:id="654071693">
              <w:marLeft w:val="0"/>
              <w:marRight w:val="0"/>
              <w:marTop w:val="0"/>
              <w:marBottom w:val="0"/>
              <w:divBdr>
                <w:top w:val="none" w:sz="0" w:space="0" w:color="auto"/>
                <w:left w:val="none" w:sz="0" w:space="0" w:color="auto"/>
                <w:bottom w:val="none" w:sz="0" w:space="0" w:color="auto"/>
                <w:right w:val="none" w:sz="0" w:space="0" w:color="auto"/>
              </w:divBdr>
            </w:div>
            <w:div w:id="713190991">
              <w:marLeft w:val="0"/>
              <w:marRight w:val="0"/>
              <w:marTop w:val="0"/>
              <w:marBottom w:val="0"/>
              <w:divBdr>
                <w:top w:val="none" w:sz="0" w:space="0" w:color="auto"/>
                <w:left w:val="none" w:sz="0" w:space="0" w:color="auto"/>
                <w:bottom w:val="none" w:sz="0" w:space="0" w:color="auto"/>
                <w:right w:val="none" w:sz="0" w:space="0" w:color="auto"/>
              </w:divBdr>
            </w:div>
            <w:div w:id="949898086">
              <w:marLeft w:val="0"/>
              <w:marRight w:val="0"/>
              <w:marTop w:val="0"/>
              <w:marBottom w:val="0"/>
              <w:divBdr>
                <w:top w:val="none" w:sz="0" w:space="0" w:color="auto"/>
                <w:left w:val="none" w:sz="0" w:space="0" w:color="auto"/>
                <w:bottom w:val="none" w:sz="0" w:space="0" w:color="auto"/>
                <w:right w:val="none" w:sz="0" w:space="0" w:color="auto"/>
              </w:divBdr>
            </w:div>
            <w:div w:id="1100755847">
              <w:marLeft w:val="0"/>
              <w:marRight w:val="0"/>
              <w:marTop w:val="0"/>
              <w:marBottom w:val="0"/>
              <w:divBdr>
                <w:top w:val="none" w:sz="0" w:space="0" w:color="auto"/>
                <w:left w:val="none" w:sz="0" w:space="0" w:color="auto"/>
                <w:bottom w:val="none" w:sz="0" w:space="0" w:color="auto"/>
                <w:right w:val="none" w:sz="0" w:space="0" w:color="auto"/>
              </w:divBdr>
            </w:div>
            <w:div w:id="1105880739">
              <w:marLeft w:val="0"/>
              <w:marRight w:val="0"/>
              <w:marTop w:val="0"/>
              <w:marBottom w:val="0"/>
              <w:divBdr>
                <w:top w:val="none" w:sz="0" w:space="0" w:color="auto"/>
                <w:left w:val="none" w:sz="0" w:space="0" w:color="auto"/>
                <w:bottom w:val="none" w:sz="0" w:space="0" w:color="auto"/>
                <w:right w:val="none" w:sz="0" w:space="0" w:color="auto"/>
              </w:divBdr>
            </w:div>
            <w:div w:id="1167789732">
              <w:marLeft w:val="0"/>
              <w:marRight w:val="0"/>
              <w:marTop w:val="0"/>
              <w:marBottom w:val="0"/>
              <w:divBdr>
                <w:top w:val="none" w:sz="0" w:space="0" w:color="auto"/>
                <w:left w:val="none" w:sz="0" w:space="0" w:color="auto"/>
                <w:bottom w:val="none" w:sz="0" w:space="0" w:color="auto"/>
                <w:right w:val="none" w:sz="0" w:space="0" w:color="auto"/>
              </w:divBdr>
            </w:div>
            <w:div w:id="1242717681">
              <w:marLeft w:val="0"/>
              <w:marRight w:val="0"/>
              <w:marTop w:val="0"/>
              <w:marBottom w:val="0"/>
              <w:divBdr>
                <w:top w:val="none" w:sz="0" w:space="0" w:color="auto"/>
                <w:left w:val="none" w:sz="0" w:space="0" w:color="auto"/>
                <w:bottom w:val="none" w:sz="0" w:space="0" w:color="auto"/>
                <w:right w:val="none" w:sz="0" w:space="0" w:color="auto"/>
              </w:divBdr>
            </w:div>
            <w:div w:id="1410955410">
              <w:marLeft w:val="0"/>
              <w:marRight w:val="0"/>
              <w:marTop w:val="0"/>
              <w:marBottom w:val="0"/>
              <w:divBdr>
                <w:top w:val="none" w:sz="0" w:space="0" w:color="auto"/>
                <w:left w:val="none" w:sz="0" w:space="0" w:color="auto"/>
                <w:bottom w:val="none" w:sz="0" w:space="0" w:color="auto"/>
                <w:right w:val="none" w:sz="0" w:space="0" w:color="auto"/>
              </w:divBdr>
            </w:div>
            <w:div w:id="1716394080">
              <w:marLeft w:val="0"/>
              <w:marRight w:val="0"/>
              <w:marTop w:val="0"/>
              <w:marBottom w:val="0"/>
              <w:divBdr>
                <w:top w:val="none" w:sz="0" w:space="0" w:color="auto"/>
                <w:left w:val="none" w:sz="0" w:space="0" w:color="auto"/>
                <w:bottom w:val="none" w:sz="0" w:space="0" w:color="auto"/>
                <w:right w:val="none" w:sz="0" w:space="0" w:color="auto"/>
              </w:divBdr>
            </w:div>
            <w:div w:id="1724911346">
              <w:marLeft w:val="0"/>
              <w:marRight w:val="0"/>
              <w:marTop w:val="0"/>
              <w:marBottom w:val="0"/>
              <w:divBdr>
                <w:top w:val="none" w:sz="0" w:space="0" w:color="auto"/>
                <w:left w:val="none" w:sz="0" w:space="0" w:color="auto"/>
                <w:bottom w:val="none" w:sz="0" w:space="0" w:color="auto"/>
                <w:right w:val="none" w:sz="0" w:space="0" w:color="auto"/>
              </w:divBdr>
            </w:div>
            <w:div w:id="1937903057">
              <w:marLeft w:val="0"/>
              <w:marRight w:val="0"/>
              <w:marTop w:val="0"/>
              <w:marBottom w:val="0"/>
              <w:divBdr>
                <w:top w:val="none" w:sz="0" w:space="0" w:color="auto"/>
                <w:left w:val="none" w:sz="0" w:space="0" w:color="auto"/>
                <w:bottom w:val="none" w:sz="0" w:space="0" w:color="auto"/>
                <w:right w:val="none" w:sz="0" w:space="0" w:color="auto"/>
              </w:divBdr>
            </w:div>
            <w:div w:id="2068798252">
              <w:marLeft w:val="0"/>
              <w:marRight w:val="0"/>
              <w:marTop w:val="0"/>
              <w:marBottom w:val="0"/>
              <w:divBdr>
                <w:top w:val="none" w:sz="0" w:space="0" w:color="auto"/>
                <w:left w:val="none" w:sz="0" w:space="0" w:color="auto"/>
                <w:bottom w:val="none" w:sz="0" w:space="0" w:color="auto"/>
                <w:right w:val="none" w:sz="0" w:space="0" w:color="auto"/>
              </w:divBdr>
            </w:div>
            <w:div w:id="2087997264">
              <w:marLeft w:val="0"/>
              <w:marRight w:val="0"/>
              <w:marTop w:val="0"/>
              <w:marBottom w:val="0"/>
              <w:divBdr>
                <w:top w:val="none" w:sz="0" w:space="0" w:color="auto"/>
                <w:left w:val="none" w:sz="0" w:space="0" w:color="auto"/>
                <w:bottom w:val="none" w:sz="0" w:space="0" w:color="auto"/>
                <w:right w:val="none" w:sz="0" w:space="0" w:color="auto"/>
              </w:divBdr>
            </w:div>
          </w:divsChild>
        </w:div>
        <w:div w:id="864713334">
          <w:marLeft w:val="0"/>
          <w:marRight w:val="0"/>
          <w:marTop w:val="0"/>
          <w:marBottom w:val="0"/>
          <w:divBdr>
            <w:top w:val="none" w:sz="0" w:space="0" w:color="auto"/>
            <w:left w:val="none" w:sz="0" w:space="0" w:color="auto"/>
            <w:bottom w:val="none" w:sz="0" w:space="0" w:color="auto"/>
            <w:right w:val="none" w:sz="0" w:space="0" w:color="auto"/>
          </w:divBdr>
          <w:divsChild>
            <w:div w:id="516308702">
              <w:marLeft w:val="0"/>
              <w:marRight w:val="0"/>
              <w:marTop w:val="0"/>
              <w:marBottom w:val="0"/>
              <w:divBdr>
                <w:top w:val="none" w:sz="0" w:space="0" w:color="auto"/>
                <w:left w:val="none" w:sz="0" w:space="0" w:color="auto"/>
                <w:bottom w:val="none" w:sz="0" w:space="0" w:color="auto"/>
                <w:right w:val="none" w:sz="0" w:space="0" w:color="auto"/>
              </w:divBdr>
            </w:div>
            <w:div w:id="546797684">
              <w:marLeft w:val="0"/>
              <w:marRight w:val="0"/>
              <w:marTop w:val="0"/>
              <w:marBottom w:val="0"/>
              <w:divBdr>
                <w:top w:val="none" w:sz="0" w:space="0" w:color="auto"/>
                <w:left w:val="none" w:sz="0" w:space="0" w:color="auto"/>
                <w:bottom w:val="none" w:sz="0" w:space="0" w:color="auto"/>
                <w:right w:val="none" w:sz="0" w:space="0" w:color="auto"/>
              </w:divBdr>
            </w:div>
            <w:div w:id="624970288">
              <w:marLeft w:val="0"/>
              <w:marRight w:val="0"/>
              <w:marTop w:val="0"/>
              <w:marBottom w:val="0"/>
              <w:divBdr>
                <w:top w:val="none" w:sz="0" w:space="0" w:color="auto"/>
                <w:left w:val="none" w:sz="0" w:space="0" w:color="auto"/>
                <w:bottom w:val="none" w:sz="0" w:space="0" w:color="auto"/>
                <w:right w:val="none" w:sz="0" w:space="0" w:color="auto"/>
              </w:divBdr>
            </w:div>
            <w:div w:id="694813769">
              <w:marLeft w:val="0"/>
              <w:marRight w:val="0"/>
              <w:marTop w:val="0"/>
              <w:marBottom w:val="0"/>
              <w:divBdr>
                <w:top w:val="none" w:sz="0" w:space="0" w:color="auto"/>
                <w:left w:val="none" w:sz="0" w:space="0" w:color="auto"/>
                <w:bottom w:val="none" w:sz="0" w:space="0" w:color="auto"/>
                <w:right w:val="none" w:sz="0" w:space="0" w:color="auto"/>
              </w:divBdr>
            </w:div>
            <w:div w:id="740913006">
              <w:marLeft w:val="0"/>
              <w:marRight w:val="0"/>
              <w:marTop w:val="0"/>
              <w:marBottom w:val="0"/>
              <w:divBdr>
                <w:top w:val="none" w:sz="0" w:space="0" w:color="auto"/>
                <w:left w:val="none" w:sz="0" w:space="0" w:color="auto"/>
                <w:bottom w:val="none" w:sz="0" w:space="0" w:color="auto"/>
                <w:right w:val="none" w:sz="0" w:space="0" w:color="auto"/>
              </w:divBdr>
            </w:div>
            <w:div w:id="879245902">
              <w:marLeft w:val="0"/>
              <w:marRight w:val="0"/>
              <w:marTop w:val="0"/>
              <w:marBottom w:val="0"/>
              <w:divBdr>
                <w:top w:val="none" w:sz="0" w:space="0" w:color="auto"/>
                <w:left w:val="none" w:sz="0" w:space="0" w:color="auto"/>
                <w:bottom w:val="none" w:sz="0" w:space="0" w:color="auto"/>
                <w:right w:val="none" w:sz="0" w:space="0" w:color="auto"/>
              </w:divBdr>
            </w:div>
            <w:div w:id="924144619">
              <w:marLeft w:val="0"/>
              <w:marRight w:val="0"/>
              <w:marTop w:val="0"/>
              <w:marBottom w:val="0"/>
              <w:divBdr>
                <w:top w:val="none" w:sz="0" w:space="0" w:color="auto"/>
                <w:left w:val="none" w:sz="0" w:space="0" w:color="auto"/>
                <w:bottom w:val="none" w:sz="0" w:space="0" w:color="auto"/>
                <w:right w:val="none" w:sz="0" w:space="0" w:color="auto"/>
              </w:divBdr>
            </w:div>
            <w:div w:id="1150751366">
              <w:marLeft w:val="0"/>
              <w:marRight w:val="0"/>
              <w:marTop w:val="0"/>
              <w:marBottom w:val="0"/>
              <w:divBdr>
                <w:top w:val="none" w:sz="0" w:space="0" w:color="auto"/>
                <w:left w:val="none" w:sz="0" w:space="0" w:color="auto"/>
                <w:bottom w:val="none" w:sz="0" w:space="0" w:color="auto"/>
                <w:right w:val="none" w:sz="0" w:space="0" w:color="auto"/>
              </w:divBdr>
            </w:div>
            <w:div w:id="1220247139">
              <w:marLeft w:val="0"/>
              <w:marRight w:val="0"/>
              <w:marTop w:val="0"/>
              <w:marBottom w:val="0"/>
              <w:divBdr>
                <w:top w:val="none" w:sz="0" w:space="0" w:color="auto"/>
                <w:left w:val="none" w:sz="0" w:space="0" w:color="auto"/>
                <w:bottom w:val="none" w:sz="0" w:space="0" w:color="auto"/>
                <w:right w:val="none" w:sz="0" w:space="0" w:color="auto"/>
              </w:divBdr>
            </w:div>
            <w:div w:id="1436634362">
              <w:marLeft w:val="0"/>
              <w:marRight w:val="0"/>
              <w:marTop w:val="0"/>
              <w:marBottom w:val="0"/>
              <w:divBdr>
                <w:top w:val="none" w:sz="0" w:space="0" w:color="auto"/>
                <w:left w:val="none" w:sz="0" w:space="0" w:color="auto"/>
                <w:bottom w:val="none" w:sz="0" w:space="0" w:color="auto"/>
                <w:right w:val="none" w:sz="0" w:space="0" w:color="auto"/>
              </w:divBdr>
            </w:div>
            <w:div w:id="1451584577">
              <w:marLeft w:val="0"/>
              <w:marRight w:val="0"/>
              <w:marTop w:val="0"/>
              <w:marBottom w:val="0"/>
              <w:divBdr>
                <w:top w:val="none" w:sz="0" w:space="0" w:color="auto"/>
                <w:left w:val="none" w:sz="0" w:space="0" w:color="auto"/>
                <w:bottom w:val="none" w:sz="0" w:space="0" w:color="auto"/>
                <w:right w:val="none" w:sz="0" w:space="0" w:color="auto"/>
              </w:divBdr>
            </w:div>
            <w:div w:id="1486821245">
              <w:marLeft w:val="0"/>
              <w:marRight w:val="0"/>
              <w:marTop w:val="0"/>
              <w:marBottom w:val="0"/>
              <w:divBdr>
                <w:top w:val="none" w:sz="0" w:space="0" w:color="auto"/>
                <w:left w:val="none" w:sz="0" w:space="0" w:color="auto"/>
                <w:bottom w:val="none" w:sz="0" w:space="0" w:color="auto"/>
                <w:right w:val="none" w:sz="0" w:space="0" w:color="auto"/>
              </w:divBdr>
            </w:div>
            <w:div w:id="1542129175">
              <w:marLeft w:val="0"/>
              <w:marRight w:val="0"/>
              <w:marTop w:val="0"/>
              <w:marBottom w:val="0"/>
              <w:divBdr>
                <w:top w:val="none" w:sz="0" w:space="0" w:color="auto"/>
                <w:left w:val="none" w:sz="0" w:space="0" w:color="auto"/>
                <w:bottom w:val="none" w:sz="0" w:space="0" w:color="auto"/>
                <w:right w:val="none" w:sz="0" w:space="0" w:color="auto"/>
              </w:divBdr>
            </w:div>
            <w:div w:id="1585531354">
              <w:marLeft w:val="0"/>
              <w:marRight w:val="0"/>
              <w:marTop w:val="0"/>
              <w:marBottom w:val="0"/>
              <w:divBdr>
                <w:top w:val="none" w:sz="0" w:space="0" w:color="auto"/>
                <w:left w:val="none" w:sz="0" w:space="0" w:color="auto"/>
                <w:bottom w:val="none" w:sz="0" w:space="0" w:color="auto"/>
                <w:right w:val="none" w:sz="0" w:space="0" w:color="auto"/>
              </w:divBdr>
            </w:div>
            <w:div w:id="1717700407">
              <w:marLeft w:val="0"/>
              <w:marRight w:val="0"/>
              <w:marTop w:val="0"/>
              <w:marBottom w:val="0"/>
              <w:divBdr>
                <w:top w:val="none" w:sz="0" w:space="0" w:color="auto"/>
                <w:left w:val="none" w:sz="0" w:space="0" w:color="auto"/>
                <w:bottom w:val="none" w:sz="0" w:space="0" w:color="auto"/>
                <w:right w:val="none" w:sz="0" w:space="0" w:color="auto"/>
              </w:divBdr>
            </w:div>
            <w:div w:id="1793405484">
              <w:marLeft w:val="0"/>
              <w:marRight w:val="0"/>
              <w:marTop w:val="0"/>
              <w:marBottom w:val="0"/>
              <w:divBdr>
                <w:top w:val="none" w:sz="0" w:space="0" w:color="auto"/>
                <w:left w:val="none" w:sz="0" w:space="0" w:color="auto"/>
                <w:bottom w:val="none" w:sz="0" w:space="0" w:color="auto"/>
                <w:right w:val="none" w:sz="0" w:space="0" w:color="auto"/>
              </w:divBdr>
            </w:div>
            <w:div w:id="1840271609">
              <w:marLeft w:val="0"/>
              <w:marRight w:val="0"/>
              <w:marTop w:val="0"/>
              <w:marBottom w:val="0"/>
              <w:divBdr>
                <w:top w:val="none" w:sz="0" w:space="0" w:color="auto"/>
                <w:left w:val="none" w:sz="0" w:space="0" w:color="auto"/>
                <w:bottom w:val="none" w:sz="0" w:space="0" w:color="auto"/>
                <w:right w:val="none" w:sz="0" w:space="0" w:color="auto"/>
              </w:divBdr>
            </w:div>
            <w:div w:id="1856115417">
              <w:marLeft w:val="0"/>
              <w:marRight w:val="0"/>
              <w:marTop w:val="0"/>
              <w:marBottom w:val="0"/>
              <w:divBdr>
                <w:top w:val="none" w:sz="0" w:space="0" w:color="auto"/>
                <w:left w:val="none" w:sz="0" w:space="0" w:color="auto"/>
                <w:bottom w:val="none" w:sz="0" w:space="0" w:color="auto"/>
                <w:right w:val="none" w:sz="0" w:space="0" w:color="auto"/>
              </w:divBdr>
            </w:div>
            <w:div w:id="2001077976">
              <w:marLeft w:val="0"/>
              <w:marRight w:val="0"/>
              <w:marTop w:val="0"/>
              <w:marBottom w:val="0"/>
              <w:divBdr>
                <w:top w:val="none" w:sz="0" w:space="0" w:color="auto"/>
                <w:left w:val="none" w:sz="0" w:space="0" w:color="auto"/>
                <w:bottom w:val="none" w:sz="0" w:space="0" w:color="auto"/>
                <w:right w:val="none" w:sz="0" w:space="0" w:color="auto"/>
              </w:divBdr>
            </w:div>
            <w:div w:id="2135520963">
              <w:marLeft w:val="0"/>
              <w:marRight w:val="0"/>
              <w:marTop w:val="0"/>
              <w:marBottom w:val="0"/>
              <w:divBdr>
                <w:top w:val="none" w:sz="0" w:space="0" w:color="auto"/>
                <w:left w:val="none" w:sz="0" w:space="0" w:color="auto"/>
                <w:bottom w:val="none" w:sz="0" w:space="0" w:color="auto"/>
                <w:right w:val="none" w:sz="0" w:space="0" w:color="auto"/>
              </w:divBdr>
            </w:div>
          </w:divsChild>
        </w:div>
        <w:div w:id="1062414096">
          <w:marLeft w:val="0"/>
          <w:marRight w:val="0"/>
          <w:marTop w:val="0"/>
          <w:marBottom w:val="0"/>
          <w:divBdr>
            <w:top w:val="none" w:sz="0" w:space="0" w:color="auto"/>
            <w:left w:val="none" w:sz="0" w:space="0" w:color="auto"/>
            <w:bottom w:val="none" w:sz="0" w:space="0" w:color="auto"/>
            <w:right w:val="none" w:sz="0" w:space="0" w:color="auto"/>
          </w:divBdr>
          <w:divsChild>
            <w:div w:id="102236341">
              <w:marLeft w:val="0"/>
              <w:marRight w:val="0"/>
              <w:marTop w:val="0"/>
              <w:marBottom w:val="0"/>
              <w:divBdr>
                <w:top w:val="none" w:sz="0" w:space="0" w:color="auto"/>
                <w:left w:val="none" w:sz="0" w:space="0" w:color="auto"/>
                <w:bottom w:val="none" w:sz="0" w:space="0" w:color="auto"/>
                <w:right w:val="none" w:sz="0" w:space="0" w:color="auto"/>
              </w:divBdr>
            </w:div>
            <w:div w:id="355080078">
              <w:marLeft w:val="0"/>
              <w:marRight w:val="0"/>
              <w:marTop w:val="0"/>
              <w:marBottom w:val="0"/>
              <w:divBdr>
                <w:top w:val="none" w:sz="0" w:space="0" w:color="auto"/>
                <w:left w:val="none" w:sz="0" w:space="0" w:color="auto"/>
                <w:bottom w:val="none" w:sz="0" w:space="0" w:color="auto"/>
                <w:right w:val="none" w:sz="0" w:space="0" w:color="auto"/>
              </w:divBdr>
            </w:div>
            <w:div w:id="491020530">
              <w:marLeft w:val="0"/>
              <w:marRight w:val="0"/>
              <w:marTop w:val="0"/>
              <w:marBottom w:val="0"/>
              <w:divBdr>
                <w:top w:val="none" w:sz="0" w:space="0" w:color="auto"/>
                <w:left w:val="none" w:sz="0" w:space="0" w:color="auto"/>
                <w:bottom w:val="none" w:sz="0" w:space="0" w:color="auto"/>
                <w:right w:val="none" w:sz="0" w:space="0" w:color="auto"/>
              </w:divBdr>
            </w:div>
            <w:div w:id="517887023">
              <w:marLeft w:val="0"/>
              <w:marRight w:val="0"/>
              <w:marTop w:val="0"/>
              <w:marBottom w:val="0"/>
              <w:divBdr>
                <w:top w:val="none" w:sz="0" w:space="0" w:color="auto"/>
                <w:left w:val="none" w:sz="0" w:space="0" w:color="auto"/>
                <w:bottom w:val="none" w:sz="0" w:space="0" w:color="auto"/>
                <w:right w:val="none" w:sz="0" w:space="0" w:color="auto"/>
              </w:divBdr>
            </w:div>
            <w:div w:id="726224566">
              <w:marLeft w:val="0"/>
              <w:marRight w:val="0"/>
              <w:marTop w:val="0"/>
              <w:marBottom w:val="0"/>
              <w:divBdr>
                <w:top w:val="none" w:sz="0" w:space="0" w:color="auto"/>
                <w:left w:val="none" w:sz="0" w:space="0" w:color="auto"/>
                <w:bottom w:val="none" w:sz="0" w:space="0" w:color="auto"/>
                <w:right w:val="none" w:sz="0" w:space="0" w:color="auto"/>
              </w:divBdr>
            </w:div>
            <w:div w:id="908687006">
              <w:marLeft w:val="0"/>
              <w:marRight w:val="0"/>
              <w:marTop w:val="0"/>
              <w:marBottom w:val="0"/>
              <w:divBdr>
                <w:top w:val="none" w:sz="0" w:space="0" w:color="auto"/>
                <w:left w:val="none" w:sz="0" w:space="0" w:color="auto"/>
                <w:bottom w:val="none" w:sz="0" w:space="0" w:color="auto"/>
                <w:right w:val="none" w:sz="0" w:space="0" w:color="auto"/>
              </w:divBdr>
            </w:div>
            <w:div w:id="1771469802">
              <w:marLeft w:val="0"/>
              <w:marRight w:val="0"/>
              <w:marTop w:val="0"/>
              <w:marBottom w:val="0"/>
              <w:divBdr>
                <w:top w:val="none" w:sz="0" w:space="0" w:color="auto"/>
                <w:left w:val="none" w:sz="0" w:space="0" w:color="auto"/>
                <w:bottom w:val="none" w:sz="0" w:space="0" w:color="auto"/>
                <w:right w:val="none" w:sz="0" w:space="0" w:color="auto"/>
              </w:divBdr>
            </w:div>
          </w:divsChild>
        </w:div>
        <w:div w:id="1590234357">
          <w:marLeft w:val="0"/>
          <w:marRight w:val="0"/>
          <w:marTop w:val="0"/>
          <w:marBottom w:val="0"/>
          <w:divBdr>
            <w:top w:val="none" w:sz="0" w:space="0" w:color="auto"/>
            <w:left w:val="none" w:sz="0" w:space="0" w:color="auto"/>
            <w:bottom w:val="none" w:sz="0" w:space="0" w:color="auto"/>
            <w:right w:val="none" w:sz="0" w:space="0" w:color="auto"/>
          </w:divBdr>
          <w:divsChild>
            <w:div w:id="172230792">
              <w:marLeft w:val="0"/>
              <w:marRight w:val="0"/>
              <w:marTop w:val="0"/>
              <w:marBottom w:val="0"/>
              <w:divBdr>
                <w:top w:val="none" w:sz="0" w:space="0" w:color="auto"/>
                <w:left w:val="none" w:sz="0" w:space="0" w:color="auto"/>
                <w:bottom w:val="none" w:sz="0" w:space="0" w:color="auto"/>
                <w:right w:val="none" w:sz="0" w:space="0" w:color="auto"/>
              </w:divBdr>
            </w:div>
            <w:div w:id="175116035">
              <w:marLeft w:val="0"/>
              <w:marRight w:val="0"/>
              <w:marTop w:val="0"/>
              <w:marBottom w:val="0"/>
              <w:divBdr>
                <w:top w:val="none" w:sz="0" w:space="0" w:color="auto"/>
                <w:left w:val="none" w:sz="0" w:space="0" w:color="auto"/>
                <w:bottom w:val="none" w:sz="0" w:space="0" w:color="auto"/>
                <w:right w:val="none" w:sz="0" w:space="0" w:color="auto"/>
              </w:divBdr>
            </w:div>
            <w:div w:id="271060603">
              <w:marLeft w:val="0"/>
              <w:marRight w:val="0"/>
              <w:marTop w:val="0"/>
              <w:marBottom w:val="0"/>
              <w:divBdr>
                <w:top w:val="none" w:sz="0" w:space="0" w:color="auto"/>
                <w:left w:val="none" w:sz="0" w:space="0" w:color="auto"/>
                <w:bottom w:val="none" w:sz="0" w:space="0" w:color="auto"/>
                <w:right w:val="none" w:sz="0" w:space="0" w:color="auto"/>
              </w:divBdr>
            </w:div>
            <w:div w:id="283773572">
              <w:marLeft w:val="0"/>
              <w:marRight w:val="0"/>
              <w:marTop w:val="0"/>
              <w:marBottom w:val="0"/>
              <w:divBdr>
                <w:top w:val="none" w:sz="0" w:space="0" w:color="auto"/>
                <w:left w:val="none" w:sz="0" w:space="0" w:color="auto"/>
                <w:bottom w:val="none" w:sz="0" w:space="0" w:color="auto"/>
                <w:right w:val="none" w:sz="0" w:space="0" w:color="auto"/>
              </w:divBdr>
            </w:div>
            <w:div w:id="391123989">
              <w:marLeft w:val="0"/>
              <w:marRight w:val="0"/>
              <w:marTop w:val="0"/>
              <w:marBottom w:val="0"/>
              <w:divBdr>
                <w:top w:val="none" w:sz="0" w:space="0" w:color="auto"/>
                <w:left w:val="none" w:sz="0" w:space="0" w:color="auto"/>
                <w:bottom w:val="none" w:sz="0" w:space="0" w:color="auto"/>
                <w:right w:val="none" w:sz="0" w:space="0" w:color="auto"/>
              </w:divBdr>
            </w:div>
            <w:div w:id="397823200">
              <w:marLeft w:val="0"/>
              <w:marRight w:val="0"/>
              <w:marTop w:val="0"/>
              <w:marBottom w:val="0"/>
              <w:divBdr>
                <w:top w:val="none" w:sz="0" w:space="0" w:color="auto"/>
                <w:left w:val="none" w:sz="0" w:space="0" w:color="auto"/>
                <w:bottom w:val="none" w:sz="0" w:space="0" w:color="auto"/>
                <w:right w:val="none" w:sz="0" w:space="0" w:color="auto"/>
              </w:divBdr>
            </w:div>
            <w:div w:id="425421638">
              <w:marLeft w:val="0"/>
              <w:marRight w:val="0"/>
              <w:marTop w:val="0"/>
              <w:marBottom w:val="0"/>
              <w:divBdr>
                <w:top w:val="none" w:sz="0" w:space="0" w:color="auto"/>
                <w:left w:val="none" w:sz="0" w:space="0" w:color="auto"/>
                <w:bottom w:val="none" w:sz="0" w:space="0" w:color="auto"/>
                <w:right w:val="none" w:sz="0" w:space="0" w:color="auto"/>
              </w:divBdr>
            </w:div>
            <w:div w:id="572541965">
              <w:marLeft w:val="0"/>
              <w:marRight w:val="0"/>
              <w:marTop w:val="0"/>
              <w:marBottom w:val="0"/>
              <w:divBdr>
                <w:top w:val="none" w:sz="0" w:space="0" w:color="auto"/>
                <w:left w:val="none" w:sz="0" w:space="0" w:color="auto"/>
                <w:bottom w:val="none" w:sz="0" w:space="0" w:color="auto"/>
                <w:right w:val="none" w:sz="0" w:space="0" w:color="auto"/>
              </w:divBdr>
            </w:div>
            <w:div w:id="693730824">
              <w:marLeft w:val="0"/>
              <w:marRight w:val="0"/>
              <w:marTop w:val="0"/>
              <w:marBottom w:val="0"/>
              <w:divBdr>
                <w:top w:val="none" w:sz="0" w:space="0" w:color="auto"/>
                <w:left w:val="none" w:sz="0" w:space="0" w:color="auto"/>
                <w:bottom w:val="none" w:sz="0" w:space="0" w:color="auto"/>
                <w:right w:val="none" w:sz="0" w:space="0" w:color="auto"/>
              </w:divBdr>
            </w:div>
            <w:div w:id="808790221">
              <w:marLeft w:val="0"/>
              <w:marRight w:val="0"/>
              <w:marTop w:val="0"/>
              <w:marBottom w:val="0"/>
              <w:divBdr>
                <w:top w:val="none" w:sz="0" w:space="0" w:color="auto"/>
                <w:left w:val="none" w:sz="0" w:space="0" w:color="auto"/>
                <w:bottom w:val="none" w:sz="0" w:space="0" w:color="auto"/>
                <w:right w:val="none" w:sz="0" w:space="0" w:color="auto"/>
              </w:divBdr>
            </w:div>
            <w:div w:id="869802165">
              <w:marLeft w:val="0"/>
              <w:marRight w:val="0"/>
              <w:marTop w:val="0"/>
              <w:marBottom w:val="0"/>
              <w:divBdr>
                <w:top w:val="none" w:sz="0" w:space="0" w:color="auto"/>
                <w:left w:val="none" w:sz="0" w:space="0" w:color="auto"/>
                <w:bottom w:val="none" w:sz="0" w:space="0" w:color="auto"/>
                <w:right w:val="none" w:sz="0" w:space="0" w:color="auto"/>
              </w:divBdr>
            </w:div>
            <w:div w:id="1072463103">
              <w:marLeft w:val="0"/>
              <w:marRight w:val="0"/>
              <w:marTop w:val="0"/>
              <w:marBottom w:val="0"/>
              <w:divBdr>
                <w:top w:val="none" w:sz="0" w:space="0" w:color="auto"/>
                <w:left w:val="none" w:sz="0" w:space="0" w:color="auto"/>
                <w:bottom w:val="none" w:sz="0" w:space="0" w:color="auto"/>
                <w:right w:val="none" w:sz="0" w:space="0" w:color="auto"/>
              </w:divBdr>
            </w:div>
            <w:div w:id="1104110840">
              <w:marLeft w:val="0"/>
              <w:marRight w:val="0"/>
              <w:marTop w:val="0"/>
              <w:marBottom w:val="0"/>
              <w:divBdr>
                <w:top w:val="none" w:sz="0" w:space="0" w:color="auto"/>
                <w:left w:val="none" w:sz="0" w:space="0" w:color="auto"/>
                <w:bottom w:val="none" w:sz="0" w:space="0" w:color="auto"/>
                <w:right w:val="none" w:sz="0" w:space="0" w:color="auto"/>
              </w:divBdr>
            </w:div>
            <w:div w:id="1144588400">
              <w:marLeft w:val="0"/>
              <w:marRight w:val="0"/>
              <w:marTop w:val="0"/>
              <w:marBottom w:val="0"/>
              <w:divBdr>
                <w:top w:val="none" w:sz="0" w:space="0" w:color="auto"/>
                <w:left w:val="none" w:sz="0" w:space="0" w:color="auto"/>
                <w:bottom w:val="none" w:sz="0" w:space="0" w:color="auto"/>
                <w:right w:val="none" w:sz="0" w:space="0" w:color="auto"/>
              </w:divBdr>
            </w:div>
            <w:div w:id="1170414171">
              <w:marLeft w:val="0"/>
              <w:marRight w:val="0"/>
              <w:marTop w:val="0"/>
              <w:marBottom w:val="0"/>
              <w:divBdr>
                <w:top w:val="none" w:sz="0" w:space="0" w:color="auto"/>
                <w:left w:val="none" w:sz="0" w:space="0" w:color="auto"/>
                <w:bottom w:val="none" w:sz="0" w:space="0" w:color="auto"/>
                <w:right w:val="none" w:sz="0" w:space="0" w:color="auto"/>
              </w:divBdr>
            </w:div>
            <w:div w:id="1396735464">
              <w:marLeft w:val="0"/>
              <w:marRight w:val="0"/>
              <w:marTop w:val="0"/>
              <w:marBottom w:val="0"/>
              <w:divBdr>
                <w:top w:val="none" w:sz="0" w:space="0" w:color="auto"/>
                <w:left w:val="none" w:sz="0" w:space="0" w:color="auto"/>
                <w:bottom w:val="none" w:sz="0" w:space="0" w:color="auto"/>
                <w:right w:val="none" w:sz="0" w:space="0" w:color="auto"/>
              </w:divBdr>
            </w:div>
            <w:div w:id="1406534344">
              <w:marLeft w:val="0"/>
              <w:marRight w:val="0"/>
              <w:marTop w:val="0"/>
              <w:marBottom w:val="0"/>
              <w:divBdr>
                <w:top w:val="none" w:sz="0" w:space="0" w:color="auto"/>
                <w:left w:val="none" w:sz="0" w:space="0" w:color="auto"/>
                <w:bottom w:val="none" w:sz="0" w:space="0" w:color="auto"/>
                <w:right w:val="none" w:sz="0" w:space="0" w:color="auto"/>
              </w:divBdr>
            </w:div>
            <w:div w:id="1447390183">
              <w:marLeft w:val="0"/>
              <w:marRight w:val="0"/>
              <w:marTop w:val="0"/>
              <w:marBottom w:val="0"/>
              <w:divBdr>
                <w:top w:val="none" w:sz="0" w:space="0" w:color="auto"/>
                <w:left w:val="none" w:sz="0" w:space="0" w:color="auto"/>
                <w:bottom w:val="none" w:sz="0" w:space="0" w:color="auto"/>
                <w:right w:val="none" w:sz="0" w:space="0" w:color="auto"/>
              </w:divBdr>
            </w:div>
            <w:div w:id="1823500426">
              <w:marLeft w:val="0"/>
              <w:marRight w:val="0"/>
              <w:marTop w:val="0"/>
              <w:marBottom w:val="0"/>
              <w:divBdr>
                <w:top w:val="none" w:sz="0" w:space="0" w:color="auto"/>
                <w:left w:val="none" w:sz="0" w:space="0" w:color="auto"/>
                <w:bottom w:val="none" w:sz="0" w:space="0" w:color="auto"/>
                <w:right w:val="none" w:sz="0" w:space="0" w:color="auto"/>
              </w:divBdr>
            </w:div>
            <w:div w:id="19792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7682">
      <w:bodyDiv w:val="1"/>
      <w:marLeft w:val="0"/>
      <w:marRight w:val="0"/>
      <w:marTop w:val="0"/>
      <w:marBottom w:val="0"/>
      <w:divBdr>
        <w:top w:val="none" w:sz="0" w:space="0" w:color="auto"/>
        <w:left w:val="none" w:sz="0" w:space="0" w:color="auto"/>
        <w:bottom w:val="none" w:sz="0" w:space="0" w:color="auto"/>
        <w:right w:val="none" w:sz="0" w:space="0" w:color="auto"/>
      </w:divBdr>
      <w:divsChild>
        <w:div w:id="1102649358">
          <w:marLeft w:val="0"/>
          <w:marRight w:val="0"/>
          <w:marTop w:val="0"/>
          <w:marBottom w:val="0"/>
          <w:divBdr>
            <w:top w:val="none" w:sz="0" w:space="0" w:color="auto"/>
            <w:left w:val="none" w:sz="0" w:space="0" w:color="auto"/>
            <w:bottom w:val="none" w:sz="0" w:space="0" w:color="auto"/>
            <w:right w:val="none" w:sz="0" w:space="0" w:color="auto"/>
          </w:divBdr>
        </w:div>
        <w:div w:id="1675063935">
          <w:marLeft w:val="0"/>
          <w:marRight w:val="0"/>
          <w:marTop w:val="0"/>
          <w:marBottom w:val="0"/>
          <w:divBdr>
            <w:top w:val="none" w:sz="0" w:space="0" w:color="auto"/>
            <w:left w:val="none" w:sz="0" w:space="0" w:color="auto"/>
            <w:bottom w:val="none" w:sz="0" w:space="0" w:color="auto"/>
            <w:right w:val="none" w:sz="0" w:space="0" w:color="auto"/>
          </w:divBdr>
        </w:div>
        <w:div w:id="1798718531">
          <w:marLeft w:val="0"/>
          <w:marRight w:val="0"/>
          <w:marTop w:val="0"/>
          <w:marBottom w:val="0"/>
          <w:divBdr>
            <w:top w:val="none" w:sz="0" w:space="0" w:color="auto"/>
            <w:left w:val="none" w:sz="0" w:space="0" w:color="auto"/>
            <w:bottom w:val="none" w:sz="0" w:space="0" w:color="auto"/>
            <w:right w:val="none" w:sz="0" w:space="0" w:color="auto"/>
          </w:divBdr>
        </w:div>
      </w:divsChild>
    </w:div>
    <w:div w:id="389036879">
      <w:bodyDiv w:val="1"/>
      <w:marLeft w:val="0"/>
      <w:marRight w:val="0"/>
      <w:marTop w:val="0"/>
      <w:marBottom w:val="0"/>
      <w:divBdr>
        <w:top w:val="none" w:sz="0" w:space="0" w:color="auto"/>
        <w:left w:val="none" w:sz="0" w:space="0" w:color="auto"/>
        <w:bottom w:val="none" w:sz="0" w:space="0" w:color="auto"/>
        <w:right w:val="none" w:sz="0" w:space="0" w:color="auto"/>
      </w:divBdr>
      <w:divsChild>
        <w:div w:id="1055932">
          <w:marLeft w:val="0"/>
          <w:marRight w:val="0"/>
          <w:marTop w:val="0"/>
          <w:marBottom w:val="0"/>
          <w:divBdr>
            <w:top w:val="none" w:sz="0" w:space="0" w:color="auto"/>
            <w:left w:val="none" w:sz="0" w:space="0" w:color="auto"/>
            <w:bottom w:val="none" w:sz="0" w:space="0" w:color="auto"/>
            <w:right w:val="none" w:sz="0" w:space="0" w:color="auto"/>
          </w:divBdr>
          <w:divsChild>
            <w:div w:id="2095128631">
              <w:marLeft w:val="0"/>
              <w:marRight w:val="0"/>
              <w:marTop w:val="0"/>
              <w:marBottom w:val="0"/>
              <w:divBdr>
                <w:top w:val="none" w:sz="0" w:space="0" w:color="auto"/>
                <w:left w:val="none" w:sz="0" w:space="0" w:color="auto"/>
                <w:bottom w:val="none" w:sz="0" w:space="0" w:color="auto"/>
                <w:right w:val="none" w:sz="0" w:space="0" w:color="auto"/>
              </w:divBdr>
            </w:div>
          </w:divsChild>
        </w:div>
        <w:div w:id="2167953">
          <w:marLeft w:val="0"/>
          <w:marRight w:val="0"/>
          <w:marTop w:val="0"/>
          <w:marBottom w:val="0"/>
          <w:divBdr>
            <w:top w:val="none" w:sz="0" w:space="0" w:color="auto"/>
            <w:left w:val="none" w:sz="0" w:space="0" w:color="auto"/>
            <w:bottom w:val="none" w:sz="0" w:space="0" w:color="auto"/>
            <w:right w:val="none" w:sz="0" w:space="0" w:color="auto"/>
          </w:divBdr>
          <w:divsChild>
            <w:div w:id="1666081115">
              <w:marLeft w:val="0"/>
              <w:marRight w:val="0"/>
              <w:marTop w:val="0"/>
              <w:marBottom w:val="0"/>
              <w:divBdr>
                <w:top w:val="none" w:sz="0" w:space="0" w:color="auto"/>
                <w:left w:val="none" w:sz="0" w:space="0" w:color="auto"/>
                <w:bottom w:val="none" w:sz="0" w:space="0" w:color="auto"/>
                <w:right w:val="none" w:sz="0" w:space="0" w:color="auto"/>
              </w:divBdr>
            </w:div>
          </w:divsChild>
        </w:div>
        <w:div w:id="3557825">
          <w:marLeft w:val="0"/>
          <w:marRight w:val="0"/>
          <w:marTop w:val="0"/>
          <w:marBottom w:val="0"/>
          <w:divBdr>
            <w:top w:val="none" w:sz="0" w:space="0" w:color="auto"/>
            <w:left w:val="none" w:sz="0" w:space="0" w:color="auto"/>
            <w:bottom w:val="none" w:sz="0" w:space="0" w:color="auto"/>
            <w:right w:val="none" w:sz="0" w:space="0" w:color="auto"/>
          </w:divBdr>
          <w:divsChild>
            <w:div w:id="419957360">
              <w:marLeft w:val="0"/>
              <w:marRight w:val="0"/>
              <w:marTop w:val="0"/>
              <w:marBottom w:val="0"/>
              <w:divBdr>
                <w:top w:val="none" w:sz="0" w:space="0" w:color="auto"/>
                <w:left w:val="none" w:sz="0" w:space="0" w:color="auto"/>
                <w:bottom w:val="none" w:sz="0" w:space="0" w:color="auto"/>
                <w:right w:val="none" w:sz="0" w:space="0" w:color="auto"/>
              </w:divBdr>
            </w:div>
          </w:divsChild>
        </w:div>
        <w:div w:id="4748795">
          <w:marLeft w:val="0"/>
          <w:marRight w:val="0"/>
          <w:marTop w:val="0"/>
          <w:marBottom w:val="0"/>
          <w:divBdr>
            <w:top w:val="none" w:sz="0" w:space="0" w:color="auto"/>
            <w:left w:val="none" w:sz="0" w:space="0" w:color="auto"/>
            <w:bottom w:val="none" w:sz="0" w:space="0" w:color="auto"/>
            <w:right w:val="none" w:sz="0" w:space="0" w:color="auto"/>
          </w:divBdr>
          <w:divsChild>
            <w:div w:id="336231309">
              <w:marLeft w:val="0"/>
              <w:marRight w:val="0"/>
              <w:marTop w:val="0"/>
              <w:marBottom w:val="0"/>
              <w:divBdr>
                <w:top w:val="none" w:sz="0" w:space="0" w:color="auto"/>
                <w:left w:val="none" w:sz="0" w:space="0" w:color="auto"/>
                <w:bottom w:val="none" w:sz="0" w:space="0" w:color="auto"/>
                <w:right w:val="none" w:sz="0" w:space="0" w:color="auto"/>
              </w:divBdr>
            </w:div>
          </w:divsChild>
        </w:div>
        <w:div w:id="5713710">
          <w:marLeft w:val="0"/>
          <w:marRight w:val="0"/>
          <w:marTop w:val="0"/>
          <w:marBottom w:val="0"/>
          <w:divBdr>
            <w:top w:val="none" w:sz="0" w:space="0" w:color="auto"/>
            <w:left w:val="none" w:sz="0" w:space="0" w:color="auto"/>
            <w:bottom w:val="none" w:sz="0" w:space="0" w:color="auto"/>
            <w:right w:val="none" w:sz="0" w:space="0" w:color="auto"/>
          </w:divBdr>
          <w:divsChild>
            <w:div w:id="1435898498">
              <w:marLeft w:val="0"/>
              <w:marRight w:val="0"/>
              <w:marTop w:val="0"/>
              <w:marBottom w:val="0"/>
              <w:divBdr>
                <w:top w:val="none" w:sz="0" w:space="0" w:color="auto"/>
                <w:left w:val="none" w:sz="0" w:space="0" w:color="auto"/>
                <w:bottom w:val="none" w:sz="0" w:space="0" w:color="auto"/>
                <w:right w:val="none" w:sz="0" w:space="0" w:color="auto"/>
              </w:divBdr>
            </w:div>
          </w:divsChild>
        </w:div>
        <w:div w:id="7759089">
          <w:marLeft w:val="0"/>
          <w:marRight w:val="0"/>
          <w:marTop w:val="0"/>
          <w:marBottom w:val="0"/>
          <w:divBdr>
            <w:top w:val="none" w:sz="0" w:space="0" w:color="auto"/>
            <w:left w:val="none" w:sz="0" w:space="0" w:color="auto"/>
            <w:bottom w:val="none" w:sz="0" w:space="0" w:color="auto"/>
            <w:right w:val="none" w:sz="0" w:space="0" w:color="auto"/>
          </w:divBdr>
          <w:divsChild>
            <w:div w:id="1108887917">
              <w:marLeft w:val="0"/>
              <w:marRight w:val="0"/>
              <w:marTop w:val="0"/>
              <w:marBottom w:val="0"/>
              <w:divBdr>
                <w:top w:val="none" w:sz="0" w:space="0" w:color="auto"/>
                <w:left w:val="none" w:sz="0" w:space="0" w:color="auto"/>
                <w:bottom w:val="none" w:sz="0" w:space="0" w:color="auto"/>
                <w:right w:val="none" w:sz="0" w:space="0" w:color="auto"/>
              </w:divBdr>
            </w:div>
          </w:divsChild>
        </w:div>
        <w:div w:id="11687940">
          <w:marLeft w:val="0"/>
          <w:marRight w:val="0"/>
          <w:marTop w:val="0"/>
          <w:marBottom w:val="0"/>
          <w:divBdr>
            <w:top w:val="none" w:sz="0" w:space="0" w:color="auto"/>
            <w:left w:val="none" w:sz="0" w:space="0" w:color="auto"/>
            <w:bottom w:val="none" w:sz="0" w:space="0" w:color="auto"/>
            <w:right w:val="none" w:sz="0" w:space="0" w:color="auto"/>
          </w:divBdr>
          <w:divsChild>
            <w:div w:id="1164934062">
              <w:marLeft w:val="0"/>
              <w:marRight w:val="0"/>
              <w:marTop w:val="0"/>
              <w:marBottom w:val="0"/>
              <w:divBdr>
                <w:top w:val="none" w:sz="0" w:space="0" w:color="auto"/>
                <w:left w:val="none" w:sz="0" w:space="0" w:color="auto"/>
                <w:bottom w:val="none" w:sz="0" w:space="0" w:color="auto"/>
                <w:right w:val="none" w:sz="0" w:space="0" w:color="auto"/>
              </w:divBdr>
            </w:div>
          </w:divsChild>
        </w:div>
        <w:div w:id="16736092">
          <w:marLeft w:val="0"/>
          <w:marRight w:val="0"/>
          <w:marTop w:val="0"/>
          <w:marBottom w:val="0"/>
          <w:divBdr>
            <w:top w:val="none" w:sz="0" w:space="0" w:color="auto"/>
            <w:left w:val="none" w:sz="0" w:space="0" w:color="auto"/>
            <w:bottom w:val="none" w:sz="0" w:space="0" w:color="auto"/>
            <w:right w:val="none" w:sz="0" w:space="0" w:color="auto"/>
          </w:divBdr>
          <w:divsChild>
            <w:div w:id="916211563">
              <w:marLeft w:val="0"/>
              <w:marRight w:val="0"/>
              <w:marTop w:val="0"/>
              <w:marBottom w:val="0"/>
              <w:divBdr>
                <w:top w:val="none" w:sz="0" w:space="0" w:color="auto"/>
                <w:left w:val="none" w:sz="0" w:space="0" w:color="auto"/>
                <w:bottom w:val="none" w:sz="0" w:space="0" w:color="auto"/>
                <w:right w:val="none" w:sz="0" w:space="0" w:color="auto"/>
              </w:divBdr>
            </w:div>
          </w:divsChild>
        </w:div>
        <w:div w:id="17048524">
          <w:marLeft w:val="0"/>
          <w:marRight w:val="0"/>
          <w:marTop w:val="0"/>
          <w:marBottom w:val="0"/>
          <w:divBdr>
            <w:top w:val="none" w:sz="0" w:space="0" w:color="auto"/>
            <w:left w:val="none" w:sz="0" w:space="0" w:color="auto"/>
            <w:bottom w:val="none" w:sz="0" w:space="0" w:color="auto"/>
            <w:right w:val="none" w:sz="0" w:space="0" w:color="auto"/>
          </w:divBdr>
          <w:divsChild>
            <w:div w:id="1116683452">
              <w:marLeft w:val="0"/>
              <w:marRight w:val="0"/>
              <w:marTop w:val="0"/>
              <w:marBottom w:val="0"/>
              <w:divBdr>
                <w:top w:val="none" w:sz="0" w:space="0" w:color="auto"/>
                <w:left w:val="none" w:sz="0" w:space="0" w:color="auto"/>
                <w:bottom w:val="none" w:sz="0" w:space="0" w:color="auto"/>
                <w:right w:val="none" w:sz="0" w:space="0" w:color="auto"/>
              </w:divBdr>
            </w:div>
          </w:divsChild>
        </w:div>
        <w:div w:id="18943342">
          <w:marLeft w:val="0"/>
          <w:marRight w:val="0"/>
          <w:marTop w:val="0"/>
          <w:marBottom w:val="0"/>
          <w:divBdr>
            <w:top w:val="none" w:sz="0" w:space="0" w:color="auto"/>
            <w:left w:val="none" w:sz="0" w:space="0" w:color="auto"/>
            <w:bottom w:val="none" w:sz="0" w:space="0" w:color="auto"/>
            <w:right w:val="none" w:sz="0" w:space="0" w:color="auto"/>
          </w:divBdr>
          <w:divsChild>
            <w:div w:id="1152017398">
              <w:marLeft w:val="0"/>
              <w:marRight w:val="0"/>
              <w:marTop w:val="0"/>
              <w:marBottom w:val="0"/>
              <w:divBdr>
                <w:top w:val="none" w:sz="0" w:space="0" w:color="auto"/>
                <w:left w:val="none" w:sz="0" w:space="0" w:color="auto"/>
                <w:bottom w:val="none" w:sz="0" w:space="0" w:color="auto"/>
                <w:right w:val="none" w:sz="0" w:space="0" w:color="auto"/>
              </w:divBdr>
            </w:div>
          </w:divsChild>
        </w:div>
        <w:div w:id="33241468">
          <w:marLeft w:val="0"/>
          <w:marRight w:val="0"/>
          <w:marTop w:val="0"/>
          <w:marBottom w:val="0"/>
          <w:divBdr>
            <w:top w:val="none" w:sz="0" w:space="0" w:color="auto"/>
            <w:left w:val="none" w:sz="0" w:space="0" w:color="auto"/>
            <w:bottom w:val="none" w:sz="0" w:space="0" w:color="auto"/>
            <w:right w:val="none" w:sz="0" w:space="0" w:color="auto"/>
          </w:divBdr>
          <w:divsChild>
            <w:div w:id="1286035405">
              <w:marLeft w:val="0"/>
              <w:marRight w:val="0"/>
              <w:marTop w:val="0"/>
              <w:marBottom w:val="0"/>
              <w:divBdr>
                <w:top w:val="none" w:sz="0" w:space="0" w:color="auto"/>
                <w:left w:val="none" w:sz="0" w:space="0" w:color="auto"/>
                <w:bottom w:val="none" w:sz="0" w:space="0" w:color="auto"/>
                <w:right w:val="none" w:sz="0" w:space="0" w:color="auto"/>
              </w:divBdr>
            </w:div>
          </w:divsChild>
        </w:div>
        <w:div w:id="52776191">
          <w:marLeft w:val="0"/>
          <w:marRight w:val="0"/>
          <w:marTop w:val="0"/>
          <w:marBottom w:val="0"/>
          <w:divBdr>
            <w:top w:val="none" w:sz="0" w:space="0" w:color="auto"/>
            <w:left w:val="none" w:sz="0" w:space="0" w:color="auto"/>
            <w:bottom w:val="none" w:sz="0" w:space="0" w:color="auto"/>
            <w:right w:val="none" w:sz="0" w:space="0" w:color="auto"/>
          </w:divBdr>
          <w:divsChild>
            <w:div w:id="2068529430">
              <w:marLeft w:val="0"/>
              <w:marRight w:val="0"/>
              <w:marTop w:val="0"/>
              <w:marBottom w:val="0"/>
              <w:divBdr>
                <w:top w:val="none" w:sz="0" w:space="0" w:color="auto"/>
                <w:left w:val="none" w:sz="0" w:space="0" w:color="auto"/>
                <w:bottom w:val="none" w:sz="0" w:space="0" w:color="auto"/>
                <w:right w:val="none" w:sz="0" w:space="0" w:color="auto"/>
              </w:divBdr>
            </w:div>
          </w:divsChild>
        </w:div>
        <w:div w:id="53428393">
          <w:marLeft w:val="0"/>
          <w:marRight w:val="0"/>
          <w:marTop w:val="0"/>
          <w:marBottom w:val="0"/>
          <w:divBdr>
            <w:top w:val="none" w:sz="0" w:space="0" w:color="auto"/>
            <w:left w:val="none" w:sz="0" w:space="0" w:color="auto"/>
            <w:bottom w:val="none" w:sz="0" w:space="0" w:color="auto"/>
            <w:right w:val="none" w:sz="0" w:space="0" w:color="auto"/>
          </w:divBdr>
          <w:divsChild>
            <w:div w:id="983050229">
              <w:marLeft w:val="0"/>
              <w:marRight w:val="0"/>
              <w:marTop w:val="0"/>
              <w:marBottom w:val="0"/>
              <w:divBdr>
                <w:top w:val="none" w:sz="0" w:space="0" w:color="auto"/>
                <w:left w:val="none" w:sz="0" w:space="0" w:color="auto"/>
                <w:bottom w:val="none" w:sz="0" w:space="0" w:color="auto"/>
                <w:right w:val="none" w:sz="0" w:space="0" w:color="auto"/>
              </w:divBdr>
            </w:div>
          </w:divsChild>
        </w:div>
        <w:div w:id="63719695">
          <w:marLeft w:val="0"/>
          <w:marRight w:val="0"/>
          <w:marTop w:val="0"/>
          <w:marBottom w:val="0"/>
          <w:divBdr>
            <w:top w:val="none" w:sz="0" w:space="0" w:color="auto"/>
            <w:left w:val="none" w:sz="0" w:space="0" w:color="auto"/>
            <w:bottom w:val="none" w:sz="0" w:space="0" w:color="auto"/>
            <w:right w:val="none" w:sz="0" w:space="0" w:color="auto"/>
          </w:divBdr>
          <w:divsChild>
            <w:div w:id="1739595761">
              <w:marLeft w:val="0"/>
              <w:marRight w:val="0"/>
              <w:marTop w:val="0"/>
              <w:marBottom w:val="0"/>
              <w:divBdr>
                <w:top w:val="none" w:sz="0" w:space="0" w:color="auto"/>
                <w:left w:val="none" w:sz="0" w:space="0" w:color="auto"/>
                <w:bottom w:val="none" w:sz="0" w:space="0" w:color="auto"/>
                <w:right w:val="none" w:sz="0" w:space="0" w:color="auto"/>
              </w:divBdr>
            </w:div>
          </w:divsChild>
        </w:div>
        <w:div w:id="73086115">
          <w:marLeft w:val="0"/>
          <w:marRight w:val="0"/>
          <w:marTop w:val="0"/>
          <w:marBottom w:val="0"/>
          <w:divBdr>
            <w:top w:val="none" w:sz="0" w:space="0" w:color="auto"/>
            <w:left w:val="none" w:sz="0" w:space="0" w:color="auto"/>
            <w:bottom w:val="none" w:sz="0" w:space="0" w:color="auto"/>
            <w:right w:val="none" w:sz="0" w:space="0" w:color="auto"/>
          </w:divBdr>
          <w:divsChild>
            <w:div w:id="2093620640">
              <w:marLeft w:val="0"/>
              <w:marRight w:val="0"/>
              <w:marTop w:val="0"/>
              <w:marBottom w:val="0"/>
              <w:divBdr>
                <w:top w:val="none" w:sz="0" w:space="0" w:color="auto"/>
                <w:left w:val="none" w:sz="0" w:space="0" w:color="auto"/>
                <w:bottom w:val="none" w:sz="0" w:space="0" w:color="auto"/>
                <w:right w:val="none" w:sz="0" w:space="0" w:color="auto"/>
              </w:divBdr>
            </w:div>
          </w:divsChild>
        </w:div>
        <w:div w:id="73205697">
          <w:marLeft w:val="0"/>
          <w:marRight w:val="0"/>
          <w:marTop w:val="0"/>
          <w:marBottom w:val="0"/>
          <w:divBdr>
            <w:top w:val="none" w:sz="0" w:space="0" w:color="auto"/>
            <w:left w:val="none" w:sz="0" w:space="0" w:color="auto"/>
            <w:bottom w:val="none" w:sz="0" w:space="0" w:color="auto"/>
            <w:right w:val="none" w:sz="0" w:space="0" w:color="auto"/>
          </w:divBdr>
          <w:divsChild>
            <w:div w:id="218054016">
              <w:marLeft w:val="0"/>
              <w:marRight w:val="0"/>
              <w:marTop w:val="0"/>
              <w:marBottom w:val="0"/>
              <w:divBdr>
                <w:top w:val="none" w:sz="0" w:space="0" w:color="auto"/>
                <w:left w:val="none" w:sz="0" w:space="0" w:color="auto"/>
                <w:bottom w:val="none" w:sz="0" w:space="0" w:color="auto"/>
                <w:right w:val="none" w:sz="0" w:space="0" w:color="auto"/>
              </w:divBdr>
            </w:div>
          </w:divsChild>
        </w:div>
        <w:div w:id="77529744">
          <w:marLeft w:val="0"/>
          <w:marRight w:val="0"/>
          <w:marTop w:val="0"/>
          <w:marBottom w:val="0"/>
          <w:divBdr>
            <w:top w:val="none" w:sz="0" w:space="0" w:color="auto"/>
            <w:left w:val="none" w:sz="0" w:space="0" w:color="auto"/>
            <w:bottom w:val="none" w:sz="0" w:space="0" w:color="auto"/>
            <w:right w:val="none" w:sz="0" w:space="0" w:color="auto"/>
          </w:divBdr>
          <w:divsChild>
            <w:div w:id="1561281100">
              <w:marLeft w:val="0"/>
              <w:marRight w:val="0"/>
              <w:marTop w:val="0"/>
              <w:marBottom w:val="0"/>
              <w:divBdr>
                <w:top w:val="none" w:sz="0" w:space="0" w:color="auto"/>
                <w:left w:val="none" w:sz="0" w:space="0" w:color="auto"/>
                <w:bottom w:val="none" w:sz="0" w:space="0" w:color="auto"/>
                <w:right w:val="none" w:sz="0" w:space="0" w:color="auto"/>
              </w:divBdr>
            </w:div>
          </w:divsChild>
        </w:div>
        <w:div w:id="83650071">
          <w:marLeft w:val="0"/>
          <w:marRight w:val="0"/>
          <w:marTop w:val="0"/>
          <w:marBottom w:val="0"/>
          <w:divBdr>
            <w:top w:val="none" w:sz="0" w:space="0" w:color="auto"/>
            <w:left w:val="none" w:sz="0" w:space="0" w:color="auto"/>
            <w:bottom w:val="none" w:sz="0" w:space="0" w:color="auto"/>
            <w:right w:val="none" w:sz="0" w:space="0" w:color="auto"/>
          </w:divBdr>
          <w:divsChild>
            <w:div w:id="1885487152">
              <w:marLeft w:val="0"/>
              <w:marRight w:val="0"/>
              <w:marTop w:val="0"/>
              <w:marBottom w:val="0"/>
              <w:divBdr>
                <w:top w:val="none" w:sz="0" w:space="0" w:color="auto"/>
                <w:left w:val="none" w:sz="0" w:space="0" w:color="auto"/>
                <w:bottom w:val="none" w:sz="0" w:space="0" w:color="auto"/>
                <w:right w:val="none" w:sz="0" w:space="0" w:color="auto"/>
              </w:divBdr>
            </w:div>
          </w:divsChild>
        </w:div>
        <w:div w:id="91515971">
          <w:marLeft w:val="0"/>
          <w:marRight w:val="0"/>
          <w:marTop w:val="0"/>
          <w:marBottom w:val="0"/>
          <w:divBdr>
            <w:top w:val="none" w:sz="0" w:space="0" w:color="auto"/>
            <w:left w:val="none" w:sz="0" w:space="0" w:color="auto"/>
            <w:bottom w:val="none" w:sz="0" w:space="0" w:color="auto"/>
            <w:right w:val="none" w:sz="0" w:space="0" w:color="auto"/>
          </w:divBdr>
          <w:divsChild>
            <w:div w:id="1102841029">
              <w:marLeft w:val="0"/>
              <w:marRight w:val="0"/>
              <w:marTop w:val="0"/>
              <w:marBottom w:val="0"/>
              <w:divBdr>
                <w:top w:val="none" w:sz="0" w:space="0" w:color="auto"/>
                <w:left w:val="none" w:sz="0" w:space="0" w:color="auto"/>
                <w:bottom w:val="none" w:sz="0" w:space="0" w:color="auto"/>
                <w:right w:val="none" w:sz="0" w:space="0" w:color="auto"/>
              </w:divBdr>
            </w:div>
          </w:divsChild>
        </w:div>
        <w:div w:id="101193988">
          <w:marLeft w:val="0"/>
          <w:marRight w:val="0"/>
          <w:marTop w:val="0"/>
          <w:marBottom w:val="0"/>
          <w:divBdr>
            <w:top w:val="none" w:sz="0" w:space="0" w:color="auto"/>
            <w:left w:val="none" w:sz="0" w:space="0" w:color="auto"/>
            <w:bottom w:val="none" w:sz="0" w:space="0" w:color="auto"/>
            <w:right w:val="none" w:sz="0" w:space="0" w:color="auto"/>
          </w:divBdr>
          <w:divsChild>
            <w:div w:id="92943337">
              <w:marLeft w:val="0"/>
              <w:marRight w:val="0"/>
              <w:marTop w:val="0"/>
              <w:marBottom w:val="0"/>
              <w:divBdr>
                <w:top w:val="none" w:sz="0" w:space="0" w:color="auto"/>
                <w:left w:val="none" w:sz="0" w:space="0" w:color="auto"/>
                <w:bottom w:val="none" w:sz="0" w:space="0" w:color="auto"/>
                <w:right w:val="none" w:sz="0" w:space="0" w:color="auto"/>
              </w:divBdr>
            </w:div>
          </w:divsChild>
        </w:div>
        <w:div w:id="103156140">
          <w:marLeft w:val="0"/>
          <w:marRight w:val="0"/>
          <w:marTop w:val="0"/>
          <w:marBottom w:val="0"/>
          <w:divBdr>
            <w:top w:val="none" w:sz="0" w:space="0" w:color="auto"/>
            <w:left w:val="none" w:sz="0" w:space="0" w:color="auto"/>
            <w:bottom w:val="none" w:sz="0" w:space="0" w:color="auto"/>
            <w:right w:val="none" w:sz="0" w:space="0" w:color="auto"/>
          </w:divBdr>
          <w:divsChild>
            <w:div w:id="1926375871">
              <w:marLeft w:val="0"/>
              <w:marRight w:val="0"/>
              <w:marTop w:val="0"/>
              <w:marBottom w:val="0"/>
              <w:divBdr>
                <w:top w:val="none" w:sz="0" w:space="0" w:color="auto"/>
                <w:left w:val="none" w:sz="0" w:space="0" w:color="auto"/>
                <w:bottom w:val="none" w:sz="0" w:space="0" w:color="auto"/>
                <w:right w:val="none" w:sz="0" w:space="0" w:color="auto"/>
              </w:divBdr>
            </w:div>
          </w:divsChild>
        </w:div>
        <w:div w:id="110785622">
          <w:marLeft w:val="0"/>
          <w:marRight w:val="0"/>
          <w:marTop w:val="0"/>
          <w:marBottom w:val="0"/>
          <w:divBdr>
            <w:top w:val="none" w:sz="0" w:space="0" w:color="auto"/>
            <w:left w:val="none" w:sz="0" w:space="0" w:color="auto"/>
            <w:bottom w:val="none" w:sz="0" w:space="0" w:color="auto"/>
            <w:right w:val="none" w:sz="0" w:space="0" w:color="auto"/>
          </w:divBdr>
          <w:divsChild>
            <w:div w:id="1284535678">
              <w:marLeft w:val="0"/>
              <w:marRight w:val="0"/>
              <w:marTop w:val="0"/>
              <w:marBottom w:val="0"/>
              <w:divBdr>
                <w:top w:val="none" w:sz="0" w:space="0" w:color="auto"/>
                <w:left w:val="none" w:sz="0" w:space="0" w:color="auto"/>
                <w:bottom w:val="none" w:sz="0" w:space="0" w:color="auto"/>
                <w:right w:val="none" w:sz="0" w:space="0" w:color="auto"/>
              </w:divBdr>
            </w:div>
          </w:divsChild>
        </w:div>
        <w:div w:id="111870359">
          <w:marLeft w:val="0"/>
          <w:marRight w:val="0"/>
          <w:marTop w:val="0"/>
          <w:marBottom w:val="0"/>
          <w:divBdr>
            <w:top w:val="none" w:sz="0" w:space="0" w:color="auto"/>
            <w:left w:val="none" w:sz="0" w:space="0" w:color="auto"/>
            <w:bottom w:val="none" w:sz="0" w:space="0" w:color="auto"/>
            <w:right w:val="none" w:sz="0" w:space="0" w:color="auto"/>
          </w:divBdr>
          <w:divsChild>
            <w:div w:id="656612030">
              <w:marLeft w:val="0"/>
              <w:marRight w:val="0"/>
              <w:marTop w:val="0"/>
              <w:marBottom w:val="0"/>
              <w:divBdr>
                <w:top w:val="none" w:sz="0" w:space="0" w:color="auto"/>
                <w:left w:val="none" w:sz="0" w:space="0" w:color="auto"/>
                <w:bottom w:val="none" w:sz="0" w:space="0" w:color="auto"/>
                <w:right w:val="none" w:sz="0" w:space="0" w:color="auto"/>
              </w:divBdr>
            </w:div>
          </w:divsChild>
        </w:div>
        <w:div w:id="113184282">
          <w:marLeft w:val="0"/>
          <w:marRight w:val="0"/>
          <w:marTop w:val="0"/>
          <w:marBottom w:val="0"/>
          <w:divBdr>
            <w:top w:val="none" w:sz="0" w:space="0" w:color="auto"/>
            <w:left w:val="none" w:sz="0" w:space="0" w:color="auto"/>
            <w:bottom w:val="none" w:sz="0" w:space="0" w:color="auto"/>
            <w:right w:val="none" w:sz="0" w:space="0" w:color="auto"/>
          </w:divBdr>
          <w:divsChild>
            <w:div w:id="1374887801">
              <w:marLeft w:val="0"/>
              <w:marRight w:val="0"/>
              <w:marTop w:val="0"/>
              <w:marBottom w:val="0"/>
              <w:divBdr>
                <w:top w:val="none" w:sz="0" w:space="0" w:color="auto"/>
                <w:left w:val="none" w:sz="0" w:space="0" w:color="auto"/>
                <w:bottom w:val="none" w:sz="0" w:space="0" w:color="auto"/>
                <w:right w:val="none" w:sz="0" w:space="0" w:color="auto"/>
              </w:divBdr>
            </w:div>
          </w:divsChild>
        </w:div>
        <w:div w:id="122582144">
          <w:marLeft w:val="0"/>
          <w:marRight w:val="0"/>
          <w:marTop w:val="0"/>
          <w:marBottom w:val="0"/>
          <w:divBdr>
            <w:top w:val="none" w:sz="0" w:space="0" w:color="auto"/>
            <w:left w:val="none" w:sz="0" w:space="0" w:color="auto"/>
            <w:bottom w:val="none" w:sz="0" w:space="0" w:color="auto"/>
            <w:right w:val="none" w:sz="0" w:space="0" w:color="auto"/>
          </w:divBdr>
          <w:divsChild>
            <w:div w:id="106779971">
              <w:marLeft w:val="0"/>
              <w:marRight w:val="0"/>
              <w:marTop w:val="0"/>
              <w:marBottom w:val="0"/>
              <w:divBdr>
                <w:top w:val="none" w:sz="0" w:space="0" w:color="auto"/>
                <w:left w:val="none" w:sz="0" w:space="0" w:color="auto"/>
                <w:bottom w:val="none" w:sz="0" w:space="0" w:color="auto"/>
                <w:right w:val="none" w:sz="0" w:space="0" w:color="auto"/>
              </w:divBdr>
            </w:div>
          </w:divsChild>
        </w:div>
        <w:div w:id="132525334">
          <w:marLeft w:val="0"/>
          <w:marRight w:val="0"/>
          <w:marTop w:val="0"/>
          <w:marBottom w:val="0"/>
          <w:divBdr>
            <w:top w:val="none" w:sz="0" w:space="0" w:color="auto"/>
            <w:left w:val="none" w:sz="0" w:space="0" w:color="auto"/>
            <w:bottom w:val="none" w:sz="0" w:space="0" w:color="auto"/>
            <w:right w:val="none" w:sz="0" w:space="0" w:color="auto"/>
          </w:divBdr>
          <w:divsChild>
            <w:div w:id="1544906266">
              <w:marLeft w:val="0"/>
              <w:marRight w:val="0"/>
              <w:marTop w:val="0"/>
              <w:marBottom w:val="0"/>
              <w:divBdr>
                <w:top w:val="none" w:sz="0" w:space="0" w:color="auto"/>
                <w:left w:val="none" w:sz="0" w:space="0" w:color="auto"/>
                <w:bottom w:val="none" w:sz="0" w:space="0" w:color="auto"/>
                <w:right w:val="none" w:sz="0" w:space="0" w:color="auto"/>
              </w:divBdr>
            </w:div>
          </w:divsChild>
        </w:div>
        <w:div w:id="133447651">
          <w:marLeft w:val="0"/>
          <w:marRight w:val="0"/>
          <w:marTop w:val="0"/>
          <w:marBottom w:val="0"/>
          <w:divBdr>
            <w:top w:val="none" w:sz="0" w:space="0" w:color="auto"/>
            <w:left w:val="none" w:sz="0" w:space="0" w:color="auto"/>
            <w:bottom w:val="none" w:sz="0" w:space="0" w:color="auto"/>
            <w:right w:val="none" w:sz="0" w:space="0" w:color="auto"/>
          </w:divBdr>
          <w:divsChild>
            <w:div w:id="1406218560">
              <w:marLeft w:val="0"/>
              <w:marRight w:val="0"/>
              <w:marTop w:val="0"/>
              <w:marBottom w:val="0"/>
              <w:divBdr>
                <w:top w:val="none" w:sz="0" w:space="0" w:color="auto"/>
                <w:left w:val="none" w:sz="0" w:space="0" w:color="auto"/>
                <w:bottom w:val="none" w:sz="0" w:space="0" w:color="auto"/>
                <w:right w:val="none" w:sz="0" w:space="0" w:color="auto"/>
              </w:divBdr>
            </w:div>
          </w:divsChild>
        </w:div>
        <w:div w:id="137263980">
          <w:marLeft w:val="0"/>
          <w:marRight w:val="0"/>
          <w:marTop w:val="0"/>
          <w:marBottom w:val="0"/>
          <w:divBdr>
            <w:top w:val="none" w:sz="0" w:space="0" w:color="auto"/>
            <w:left w:val="none" w:sz="0" w:space="0" w:color="auto"/>
            <w:bottom w:val="none" w:sz="0" w:space="0" w:color="auto"/>
            <w:right w:val="none" w:sz="0" w:space="0" w:color="auto"/>
          </w:divBdr>
          <w:divsChild>
            <w:div w:id="225459615">
              <w:marLeft w:val="0"/>
              <w:marRight w:val="0"/>
              <w:marTop w:val="0"/>
              <w:marBottom w:val="0"/>
              <w:divBdr>
                <w:top w:val="none" w:sz="0" w:space="0" w:color="auto"/>
                <w:left w:val="none" w:sz="0" w:space="0" w:color="auto"/>
                <w:bottom w:val="none" w:sz="0" w:space="0" w:color="auto"/>
                <w:right w:val="none" w:sz="0" w:space="0" w:color="auto"/>
              </w:divBdr>
            </w:div>
          </w:divsChild>
        </w:div>
        <w:div w:id="146288547">
          <w:marLeft w:val="0"/>
          <w:marRight w:val="0"/>
          <w:marTop w:val="0"/>
          <w:marBottom w:val="0"/>
          <w:divBdr>
            <w:top w:val="none" w:sz="0" w:space="0" w:color="auto"/>
            <w:left w:val="none" w:sz="0" w:space="0" w:color="auto"/>
            <w:bottom w:val="none" w:sz="0" w:space="0" w:color="auto"/>
            <w:right w:val="none" w:sz="0" w:space="0" w:color="auto"/>
          </w:divBdr>
          <w:divsChild>
            <w:div w:id="540359304">
              <w:marLeft w:val="0"/>
              <w:marRight w:val="0"/>
              <w:marTop w:val="0"/>
              <w:marBottom w:val="0"/>
              <w:divBdr>
                <w:top w:val="none" w:sz="0" w:space="0" w:color="auto"/>
                <w:left w:val="none" w:sz="0" w:space="0" w:color="auto"/>
                <w:bottom w:val="none" w:sz="0" w:space="0" w:color="auto"/>
                <w:right w:val="none" w:sz="0" w:space="0" w:color="auto"/>
              </w:divBdr>
            </w:div>
          </w:divsChild>
        </w:div>
        <w:div w:id="152138220">
          <w:marLeft w:val="0"/>
          <w:marRight w:val="0"/>
          <w:marTop w:val="0"/>
          <w:marBottom w:val="0"/>
          <w:divBdr>
            <w:top w:val="none" w:sz="0" w:space="0" w:color="auto"/>
            <w:left w:val="none" w:sz="0" w:space="0" w:color="auto"/>
            <w:bottom w:val="none" w:sz="0" w:space="0" w:color="auto"/>
            <w:right w:val="none" w:sz="0" w:space="0" w:color="auto"/>
          </w:divBdr>
          <w:divsChild>
            <w:div w:id="1854344900">
              <w:marLeft w:val="0"/>
              <w:marRight w:val="0"/>
              <w:marTop w:val="0"/>
              <w:marBottom w:val="0"/>
              <w:divBdr>
                <w:top w:val="none" w:sz="0" w:space="0" w:color="auto"/>
                <w:left w:val="none" w:sz="0" w:space="0" w:color="auto"/>
                <w:bottom w:val="none" w:sz="0" w:space="0" w:color="auto"/>
                <w:right w:val="none" w:sz="0" w:space="0" w:color="auto"/>
              </w:divBdr>
            </w:div>
          </w:divsChild>
        </w:div>
        <w:div w:id="160630455">
          <w:marLeft w:val="0"/>
          <w:marRight w:val="0"/>
          <w:marTop w:val="0"/>
          <w:marBottom w:val="0"/>
          <w:divBdr>
            <w:top w:val="none" w:sz="0" w:space="0" w:color="auto"/>
            <w:left w:val="none" w:sz="0" w:space="0" w:color="auto"/>
            <w:bottom w:val="none" w:sz="0" w:space="0" w:color="auto"/>
            <w:right w:val="none" w:sz="0" w:space="0" w:color="auto"/>
          </w:divBdr>
          <w:divsChild>
            <w:div w:id="371924127">
              <w:marLeft w:val="0"/>
              <w:marRight w:val="0"/>
              <w:marTop w:val="0"/>
              <w:marBottom w:val="0"/>
              <w:divBdr>
                <w:top w:val="none" w:sz="0" w:space="0" w:color="auto"/>
                <w:left w:val="none" w:sz="0" w:space="0" w:color="auto"/>
                <w:bottom w:val="none" w:sz="0" w:space="0" w:color="auto"/>
                <w:right w:val="none" w:sz="0" w:space="0" w:color="auto"/>
              </w:divBdr>
            </w:div>
          </w:divsChild>
        </w:div>
        <w:div w:id="166603221">
          <w:marLeft w:val="0"/>
          <w:marRight w:val="0"/>
          <w:marTop w:val="0"/>
          <w:marBottom w:val="0"/>
          <w:divBdr>
            <w:top w:val="none" w:sz="0" w:space="0" w:color="auto"/>
            <w:left w:val="none" w:sz="0" w:space="0" w:color="auto"/>
            <w:bottom w:val="none" w:sz="0" w:space="0" w:color="auto"/>
            <w:right w:val="none" w:sz="0" w:space="0" w:color="auto"/>
          </w:divBdr>
          <w:divsChild>
            <w:div w:id="317467094">
              <w:marLeft w:val="0"/>
              <w:marRight w:val="0"/>
              <w:marTop w:val="0"/>
              <w:marBottom w:val="0"/>
              <w:divBdr>
                <w:top w:val="none" w:sz="0" w:space="0" w:color="auto"/>
                <w:left w:val="none" w:sz="0" w:space="0" w:color="auto"/>
                <w:bottom w:val="none" w:sz="0" w:space="0" w:color="auto"/>
                <w:right w:val="none" w:sz="0" w:space="0" w:color="auto"/>
              </w:divBdr>
            </w:div>
          </w:divsChild>
        </w:div>
        <w:div w:id="177935243">
          <w:marLeft w:val="0"/>
          <w:marRight w:val="0"/>
          <w:marTop w:val="0"/>
          <w:marBottom w:val="0"/>
          <w:divBdr>
            <w:top w:val="none" w:sz="0" w:space="0" w:color="auto"/>
            <w:left w:val="none" w:sz="0" w:space="0" w:color="auto"/>
            <w:bottom w:val="none" w:sz="0" w:space="0" w:color="auto"/>
            <w:right w:val="none" w:sz="0" w:space="0" w:color="auto"/>
          </w:divBdr>
          <w:divsChild>
            <w:div w:id="1240479942">
              <w:marLeft w:val="0"/>
              <w:marRight w:val="0"/>
              <w:marTop w:val="0"/>
              <w:marBottom w:val="0"/>
              <w:divBdr>
                <w:top w:val="none" w:sz="0" w:space="0" w:color="auto"/>
                <w:left w:val="none" w:sz="0" w:space="0" w:color="auto"/>
                <w:bottom w:val="none" w:sz="0" w:space="0" w:color="auto"/>
                <w:right w:val="none" w:sz="0" w:space="0" w:color="auto"/>
              </w:divBdr>
            </w:div>
          </w:divsChild>
        </w:div>
        <w:div w:id="184249106">
          <w:marLeft w:val="0"/>
          <w:marRight w:val="0"/>
          <w:marTop w:val="0"/>
          <w:marBottom w:val="0"/>
          <w:divBdr>
            <w:top w:val="none" w:sz="0" w:space="0" w:color="auto"/>
            <w:left w:val="none" w:sz="0" w:space="0" w:color="auto"/>
            <w:bottom w:val="none" w:sz="0" w:space="0" w:color="auto"/>
            <w:right w:val="none" w:sz="0" w:space="0" w:color="auto"/>
          </w:divBdr>
          <w:divsChild>
            <w:div w:id="1994093423">
              <w:marLeft w:val="0"/>
              <w:marRight w:val="0"/>
              <w:marTop w:val="0"/>
              <w:marBottom w:val="0"/>
              <w:divBdr>
                <w:top w:val="none" w:sz="0" w:space="0" w:color="auto"/>
                <w:left w:val="none" w:sz="0" w:space="0" w:color="auto"/>
                <w:bottom w:val="none" w:sz="0" w:space="0" w:color="auto"/>
                <w:right w:val="none" w:sz="0" w:space="0" w:color="auto"/>
              </w:divBdr>
            </w:div>
          </w:divsChild>
        </w:div>
        <w:div w:id="185757617">
          <w:marLeft w:val="0"/>
          <w:marRight w:val="0"/>
          <w:marTop w:val="0"/>
          <w:marBottom w:val="0"/>
          <w:divBdr>
            <w:top w:val="none" w:sz="0" w:space="0" w:color="auto"/>
            <w:left w:val="none" w:sz="0" w:space="0" w:color="auto"/>
            <w:bottom w:val="none" w:sz="0" w:space="0" w:color="auto"/>
            <w:right w:val="none" w:sz="0" w:space="0" w:color="auto"/>
          </w:divBdr>
          <w:divsChild>
            <w:div w:id="245576267">
              <w:marLeft w:val="0"/>
              <w:marRight w:val="0"/>
              <w:marTop w:val="0"/>
              <w:marBottom w:val="0"/>
              <w:divBdr>
                <w:top w:val="none" w:sz="0" w:space="0" w:color="auto"/>
                <w:left w:val="none" w:sz="0" w:space="0" w:color="auto"/>
                <w:bottom w:val="none" w:sz="0" w:space="0" w:color="auto"/>
                <w:right w:val="none" w:sz="0" w:space="0" w:color="auto"/>
              </w:divBdr>
            </w:div>
          </w:divsChild>
        </w:div>
        <w:div w:id="191311780">
          <w:marLeft w:val="0"/>
          <w:marRight w:val="0"/>
          <w:marTop w:val="0"/>
          <w:marBottom w:val="0"/>
          <w:divBdr>
            <w:top w:val="none" w:sz="0" w:space="0" w:color="auto"/>
            <w:left w:val="none" w:sz="0" w:space="0" w:color="auto"/>
            <w:bottom w:val="none" w:sz="0" w:space="0" w:color="auto"/>
            <w:right w:val="none" w:sz="0" w:space="0" w:color="auto"/>
          </w:divBdr>
          <w:divsChild>
            <w:div w:id="1003312798">
              <w:marLeft w:val="0"/>
              <w:marRight w:val="0"/>
              <w:marTop w:val="0"/>
              <w:marBottom w:val="0"/>
              <w:divBdr>
                <w:top w:val="none" w:sz="0" w:space="0" w:color="auto"/>
                <w:left w:val="none" w:sz="0" w:space="0" w:color="auto"/>
                <w:bottom w:val="none" w:sz="0" w:space="0" w:color="auto"/>
                <w:right w:val="none" w:sz="0" w:space="0" w:color="auto"/>
              </w:divBdr>
            </w:div>
          </w:divsChild>
        </w:div>
        <w:div w:id="195897108">
          <w:marLeft w:val="0"/>
          <w:marRight w:val="0"/>
          <w:marTop w:val="0"/>
          <w:marBottom w:val="0"/>
          <w:divBdr>
            <w:top w:val="none" w:sz="0" w:space="0" w:color="auto"/>
            <w:left w:val="none" w:sz="0" w:space="0" w:color="auto"/>
            <w:bottom w:val="none" w:sz="0" w:space="0" w:color="auto"/>
            <w:right w:val="none" w:sz="0" w:space="0" w:color="auto"/>
          </w:divBdr>
          <w:divsChild>
            <w:div w:id="1241523139">
              <w:marLeft w:val="0"/>
              <w:marRight w:val="0"/>
              <w:marTop w:val="0"/>
              <w:marBottom w:val="0"/>
              <w:divBdr>
                <w:top w:val="none" w:sz="0" w:space="0" w:color="auto"/>
                <w:left w:val="none" w:sz="0" w:space="0" w:color="auto"/>
                <w:bottom w:val="none" w:sz="0" w:space="0" w:color="auto"/>
                <w:right w:val="none" w:sz="0" w:space="0" w:color="auto"/>
              </w:divBdr>
            </w:div>
          </w:divsChild>
        </w:div>
        <w:div w:id="207691069">
          <w:marLeft w:val="0"/>
          <w:marRight w:val="0"/>
          <w:marTop w:val="0"/>
          <w:marBottom w:val="0"/>
          <w:divBdr>
            <w:top w:val="none" w:sz="0" w:space="0" w:color="auto"/>
            <w:left w:val="none" w:sz="0" w:space="0" w:color="auto"/>
            <w:bottom w:val="none" w:sz="0" w:space="0" w:color="auto"/>
            <w:right w:val="none" w:sz="0" w:space="0" w:color="auto"/>
          </w:divBdr>
          <w:divsChild>
            <w:div w:id="80954603">
              <w:marLeft w:val="0"/>
              <w:marRight w:val="0"/>
              <w:marTop w:val="0"/>
              <w:marBottom w:val="0"/>
              <w:divBdr>
                <w:top w:val="none" w:sz="0" w:space="0" w:color="auto"/>
                <w:left w:val="none" w:sz="0" w:space="0" w:color="auto"/>
                <w:bottom w:val="none" w:sz="0" w:space="0" w:color="auto"/>
                <w:right w:val="none" w:sz="0" w:space="0" w:color="auto"/>
              </w:divBdr>
            </w:div>
          </w:divsChild>
        </w:div>
        <w:div w:id="219901721">
          <w:marLeft w:val="0"/>
          <w:marRight w:val="0"/>
          <w:marTop w:val="0"/>
          <w:marBottom w:val="0"/>
          <w:divBdr>
            <w:top w:val="none" w:sz="0" w:space="0" w:color="auto"/>
            <w:left w:val="none" w:sz="0" w:space="0" w:color="auto"/>
            <w:bottom w:val="none" w:sz="0" w:space="0" w:color="auto"/>
            <w:right w:val="none" w:sz="0" w:space="0" w:color="auto"/>
          </w:divBdr>
          <w:divsChild>
            <w:div w:id="1967152288">
              <w:marLeft w:val="0"/>
              <w:marRight w:val="0"/>
              <w:marTop w:val="0"/>
              <w:marBottom w:val="0"/>
              <w:divBdr>
                <w:top w:val="none" w:sz="0" w:space="0" w:color="auto"/>
                <w:left w:val="none" w:sz="0" w:space="0" w:color="auto"/>
                <w:bottom w:val="none" w:sz="0" w:space="0" w:color="auto"/>
                <w:right w:val="none" w:sz="0" w:space="0" w:color="auto"/>
              </w:divBdr>
            </w:div>
          </w:divsChild>
        </w:div>
        <w:div w:id="225528337">
          <w:marLeft w:val="0"/>
          <w:marRight w:val="0"/>
          <w:marTop w:val="0"/>
          <w:marBottom w:val="0"/>
          <w:divBdr>
            <w:top w:val="none" w:sz="0" w:space="0" w:color="auto"/>
            <w:left w:val="none" w:sz="0" w:space="0" w:color="auto"/>
            <w:bottom w:val="none" w:sz="0" w:space="0" w:color="auto"/>
            <w:right w:val="none" w:sz="0" w:space="0" w:color="auto"/>
          </w:divBdr>
          <w:divsChild>
            <w:div w:id="205797690">
              <w:marLeft w:val="0"/>
              <w:marRight w:val="0"/>
              <w:marTop w:val="0"/>
              <w:marBottom w:val="0"/>
              <w:divBdr>
                <w:top w:val="none" w:sz="0" w:space="0" w:color="auto"/>
                <w:left w:val="none" w:sz="0" w:space="0" w:color="auto"/>
                <w:bottom w:val="none" w:sz="0" w:space="0" w:color="auto"/>
                <w:right w:val="none" w:sz="0" w:space="0" w:color="auto"/>
              </w:divBdr>
            </w:div>
          </w:divsChild>
        </w:div>
        <w:div w:id="231158288">
          <w:marLeft w:val="0"/>
          <w:marRight w:val="0"/>
          <w:marTop w:val="0"/>
          <w:marBottom w:val="0"/>
          <w:divBdr>
            <w:top w:val="none" w:sz="0" w:space="0" w:color="auto"/>
            <w:left w:val="none" w:sz="0" w:space="0" w:color="auto"/>
            <w:bottom w:val="none" w:sz="0" w:space="0" w:color="auto"/>
            <w:right w:val="none" w:sz="0" w:space="0" w:color="auto"/>
          </w:divBdr>
          <w:divsChild>
            <w:div w:id="794299240">
              <w:marLeft w:val="0"/>
              <w:marRight w:val="0"/>
              <w:marTop w:val="0"/>
              <w:marBottom w:val="0"/>
              <w:divBdr>
                <w:top w:val="none" w:sz="0" w:space="0" w:color="auto"/>
                <w:left w:val="none" w:sz="0" w:space="0" w:color="auto"/>
                <w:bottom w:val="none" w:sz="0" w:space="0" w:color="auto"/>
                <w:right w:val="none" w:sz="0" w:space="0" w:color="auto"/>
              </w:divBdr>
            </w:div>
          </w:divsChild>
        </w:div>
        <w:div w:id="231625922">
          <w:marLeft w:val="0"/>
          <w:marRight w:val="0"/>
          <w:marTop w:val="0"/>
          <w:marBottom w:val="0"/>
          <w:divBdr>
            <w:top w:val="none" w:sz="0" w:space="0" w:color="auto"/>
            <w:left w:val="none" w:sz="0" w:space="0" w:color="auto"/>
            <w:bottom w:val="none" w:sz="0" w:space="0" w:color="auto"/>
            <w:right w:val="none" w:sz="0" w:space="0" w:color="auto"/>
          </w:divBdr>
          <w:divsChild>
            <w:div w:id="1205873040">
              <w:marLeft w:val="0"/>
              <w:marRight w:val="0"/>
              <w:marTop w:val="0"/>
              <w:marBottom w:val="0"/>
              <w:divBdr>
                <w:top w:val="none" w:sz="0" w:space="0" w:color="auto"/>
                <w:left w:val="none" w:sz="0" w:space="0" w:color="auto"/>
                <w:bottom w:val="none" w:sz="0" w:space="0" w:color="auto"/>
                <w:right w:val="none" w:sz="0" w:space="0" w:color="auto"/>
              </w:divBdr>
            </w:div>
          </w:divsChild>
        </w:div>
        <w:div w:id="240680004">
          <w:marLeft w:val="0"/>
          <w:marRight w:val="0"/>
          <w:marTop w:val="0"/>
          <w:marBottom w:val="0"/>
          <w:divBdr>
            <w:top w:val="none" w:sz="0" w:space="0" w:color="auto"/>
            <w:left w:val="none" w:sz="0" w:space="0" w:color="auto"/>
            <w:bottom w:val="none" w:sz="0" w:space="0" w:color="auto"/>
            <w:right w:val="none" w:sz="0" w:space="0" w:color="auto"/>
          </w:divBdr>
          <w:divsChild>
            <w:div w:id="878787078">
              <w:marLeft w:val="0"/>
              <w:marRight w:val="0"/>
              <w:marTop w:val="0"/>
              <w:marBottom w:val="0"/>
              <w:divBdr>
                <w:top w:val="none" w:sz="0" w:space="0" w:color="auto"/>
                <w:left w:val="none" w:sz="0" w:space="0" w:color="auto"/>
                <w:bottom w:val="none" w:sz="0" w:space="0" w:color="auto"/>
                <w:right w:val="none" w:sz="0" w:space="0" w:color="auto"/>
              </w:divBdr>
            </w:div>
          </w:divsChild>
        </w:div>
        <w:div w:id="247806983">
          <w:marLeft w:val="0"/>
          <w:marRight w:val="0"/>
          <w:marTop w:val="0"/>
          <w:marBottom w:val="0"/>
          <w:divBdr>
            <w:top w:val="none" w:sz="0" w:space="0" w:color="auto"/>
            <w:left w:val="none" w:sz="0" w:space="0" w:color="auto"/>
            <w:bottom w:val="none" w:sz="0" w:space="0" w:color="auto"/>
            <w:right w:val="none" w:sz="0" w:space="0" w:color="auto"/>
          </w:divBdr>
          <w:divsChild>
            <w:div w:id="194083946">
              <w:marLeft w:val="0"/>
              <w:marRight w:val="0"/>
              <w:marTop w:val="0"/>
              <w:marBottom w:val="0"/>
              <w:divBdr>
                <w:top w:val="none" w:sz="0" w:space="0" w:color="auto"/>
                <w:left w:val="none" w:sz="0" w:space="0" w:color="auto"/>
                <w:bottom w:val="none" w:sz="0" w:space="0" w:color="auto"/>
                <w:right w:val="none" w:sz="0" w:space="0" w:color="auto"/>
              </w:divBdr>
            </w:div>
          </w:divsChild>
        </w:div>
        <w:div w:id="253906177">
          <w:marLeft w:val="0"/>
          <w:marRight w:val="0"/>
          <w:marTop w:val="0"/>
          <w:marBottom w:val="0"/>
          <w:divBdr>
            <w:top w:val="none" w:sz="0" w:space="0" w:color="auto"/>
            <w:left w:val="none" w:sz="0" w:space="0" w:color="auto"/>
            <w:bottom w:val="none" w:sz="0" w:space="0" w:color="auto"/>
            <w:right w:val="none" w:sz="0" w:space="0" w:color="auto"/>
          </w:divBdr>
          <w:divsChild>
            <w:div w:id="204950640">
              <w:marLeft w:val="0"/>
              <w:marRight w:val="0"/>
              <w:marTop w:val="0"/>
              <w:marBottom w:val="0"/>
              <w:divBdr>
                <w:top w:val="none" w:sz="0" w:space="0" w:color="auto"/>
                <w:left w:val="none" w:sz="0" w:space="0" w:color="auto"/>
                <w:bottom w:val="none" w:sz="0" w:space="0" w:color="auto"/>
                <w:right w:val="none" w:sz="0" w:space="0" w:color="auto"/>
              </w:divBdr>
            </w:div>
          </w:divsChild>
        </w:div>
        <w:div w:id="255016911">
          <w:marLeft w:val="0"/>
          <w:marRight w:val="0"/>
          <w:marTop w:val="0"/>
          <w:marBottom w:val="0"/>
          <w:divBdr>
            <w:top w:val="none" w:sz="0" w:space="0" w:color="auto"/>
            <w:left w:val="none" w:sz="0" w:space="0" w:color="auto"/>
            <w:bottom w:val="none" w:sz="0" w:space="0" w:color="auto"/>
            <w:right w:val="none" w:sz="0" w:space="0" w:color="auto"/>
          </w:divBdr>
          <w:divsChild>
            <w:div w:id="1659385236">
              <w:marLeft w:val="0"/>
              <w:marRight w:val="0"/>
              <w:marTop w:val="0"/>
              <w:marBottom w:val="0"/>
              <w:divBdr>
                <w:top w:val="none" w:sz="0" w:space="0" w:color="auto"/>
                <w:left w:val="none" w:sz="0" w:space="0" w:color="auto"/>
                <w:bottom w:val="none" w:sz="0" w:space="0" w:color="auto"/>
                <w:right w:val="none" w:sz="0" w:space="0" w:color="auto"/>
              </w:divBdr>
            </w:div>
          </w:divsChild>
        </w:div>
        <w:div w:id="255792571">
          <w:marLeft w:val="0"/>
          <w:marRight w:val="0"/>
          <w:marTop w:val="0"/>
          <w:marBottom w:val="0"/>
          <w:divBdr>
            <w:top w:val="none" w:sz="0" w:space="0" w:color="auto"/>
            <w:left w:val="none" w:sz="0" w:space="0" w:color="auto"/>
            <w:bottom w:val="none" w:sz="0" w:space="0" w:color="auto"/>
            <w:right w:val="none" w:sz="0" w:space="0" w:color="auto"/>
          </w:divBdr>
          <w:divsChild>
            <w:div w:id="499464433">
              <w:marLeft w:val="0"/>
              <w:marRight w:val="0"/>
              <w:marTop w:val="0"/>
              <w:marBottom w:val="0"/>
              <w:divBdr>
                <w:top w:val="none" w:sz="0" w:space="0" w:color="auto"/>
                <w:left w:val="none" w:sz="0" w:space="0" w:color="auto"/>
                <w:bottom w:val="none" w:sz="0" w:space="0" w:color="auto"/>
                <w:right w:val="none" w:sz="0" w:space="0" w:color="auto"/>
              </w:divBdr>
            </w:div>
          </w:divsChild>
        </w:div>
        <w:div w:id="256525523">
          <w:marLeft w:val="0"/>
          <w:marRight w:val="0"/>
          <w:marTop w:val="0"/>
          <w:marBottom w:val="0"/>
          <w:divBdr>
            <w:top w:val="none" w:sz="0" w:space="0" w:color="auto"/>
            <w:left w:val="none" w:sz="0" w:space="0" w:color="auto"/>
            <w:bottom w:val="none" w:sz="0" w:space="0" w:color="auto"/>
            <w:right w:val="none" w:sz="0" w:space="0" w:color="auto"/>
          </w:divBdr>
          <w:divsChild>
            <w:div w:id="1724862673">
              <w:marLeft w:val="0"/>
              <w:marRight w:val="0"/>
              <w:marTop w:val="0"/>
              <w:marBottom w:val="0"/>
              <w:divBdr>
                <w:top w:val="none" w:sz="0" w:space="0" w:color="auto"/>
                <w:left w:val="none" w:sz="0" w:space="0" w:color="auto"/>
                <w:bottom w:val="none" w:sz="0" w:space="0" w:color="auto"/>
                <w:right w:val="none" w:sz="0" w:space="0" w:color="auto"/>
              </w:divBdr>
            </w:div>
          </w:divsChild>
        </w:div>
        <w:div w:id="278296737">
          <w:marLeft w:val="0"/>
          <w:marRight w:val="0"/>
          <w:marTop w:val="0"/>
          <w:marBottom w:val="0"/>
          <w:divBdr>
            <w:top w:val="none" w:sz="0" w:space="0" w:color="auto"/>
            <w:left w:val="none" w:sz="0" w:space="0" w:color="auto"/>
            <w:bottom w:val="none" w:sz="0" w:space="0" w:color="auto"/>
            <w:right w:val="none" w:sz="0" w:space="0" w:color="auto"/>
          </w:divBdr>
          <w:divsChild>
            <w:div w:id="1323241934">
              <w:marLeft w:val="0"/>
              <w:marRight w:val="0"/>
              <w:marTop w:val="0"/>
              <w:marBottom w:val="0"/>
              <w:divBdr>
                <w:top w:val="none" w:sz="0" w:space="0" w:color="auto"/>
                <w:left w:val="none" w:sz="0" w:space="0" w:color="auto"/>
                <w:bottom w:val="none" w:sz="0" w:space="0" w:color="auto"/>
                <w:right w:val="none" w:sz="0" w:space="0" w:color="auto"/>
              </w:divBdr>
            </w:div>
          </w:divsChild>
        </w:div>
        <w:div w:id="280038202">
          <w:marLeft w:val="0"/>
          <w:marRight w:val="0"/>
          <w:marTop w:val="0"/>
          <w:marBottom w:val="0"/>
          <w:divBdr>
            <w:top w:val="none" w:sz="0" w:space="0" w:color="auto"/>
            <w:left w:val="none" w:sz="0" w:space="0" w:color="auto"/>
            <w:bottom w:val="none" w:sz="0" w:space="0" w:color="auto"/>
            <w:right w:val="none" w:sz="0" w:space="0" w:color="auto"/>
          </w:divBdr>
          <w:divsChild>
            <w:div w:id="595599116">
              <w:marLeft w:val="0"/>
              <w:marRight w:val="0"/>
              <w:marTop w:val="0"/>
              <w:marBottom w:val="0"/>
              <w:divBdr>
                <w:top w:val="none" w:sz="0" w:space="0" w:color="auto"/>
                <w:left w:val="none" w:sz="0" w:space="0" w:color="auto"/>
                <w:bottom w:val="none" w:sz="0" w:space="0" w:color="auto"/>
                <w:right w:val="none" w:sz="0" w:space="0" w:color="auto"/>
              </w:divBdr>
            </w:div>
          </w:divsChild>
        </w:div>
        <w:div w:id="281304394">
          <w:marLeft w:val="0"/>
          <w:marRight w:val="0"/>
          <w:marTop w:val="0"/>
          <w:marBottom w:val="0"/>
          <w:divBdr>
            <w:top w:val="none" w:sz="0" w:space="0" w:color="auto"/>
            <w:left w:val="none" w:sz="0" w:space="0" w:color="auto"/>
            <w:bottom w:val="none" w:sz="0" w:space="0" w:color="auto"/>
            <w:right w:val="none" w:sz="0" w:space="0" w:color="auto"/>
          </w:divBdr>
          <w:divsChild>
            <w:div w:id="591621241">
              <w:marLeft w:val="0"/>
              <w:marRight w:val="0"/>
              <w:marTop w:val="0"/>
              <w:marBottom w:val="0"/>
              <w:divBdr>
                <w:top w:val="none" w:sz="0" w:space="0" w:color="auto"/>
                <w:left w:val="none" w:sz="0" w:space="0" w:color="auto"/>
                <w:bottom w:val="none" w:sz="0" w:space="0" w:color="auto"/>
                <w:right w:val="none" w:sz="0" w:space="0" w:color="auto"/>
              </w:divBdr>
            </w:div>
          </w:divsChild>
        </w:div>
        <w:div w:id="289408935">
          <w:marLeft w:val="0"/>
          <w:marRight w:val="0"/>
          <w:marTop w:val="0"/>
          <w:marBottom w:val="0"/>
          <w:divBdr>
            <w:top w:val="none" w:sz="0" w:space="0" w:color="auto"/>
            <w:left w:val="none" w:sz="0" w:space="0" w:color="auto"/>
            <w:bottom w:val="none" w:sz="0" w:space="0" w:color="auto"/>
            <w:right w:val="none" w:sz="0" w:space="0" w:color="auto"/>
          </w:divBdr>
          <w:divsChild>
            <w:div w:id="404232030">
              <w:marLeft w:val="0"/>
              <w:marRight w:val="0"/>
              <w:marTop w:val="0"/>
              <w:marBottom w:val="0"/>
              <w:divBdr>
                <w:top w:val="none" w:sz="0" w:space="0" w:color="auto"/>
                <w:left w:val="none" w:sz="0" w:space="0" w:color="auto"/>
                <w:bottom w:val="none" w:sz="0" w:space="0" w:color="auto"/>
                <w:right w:val="none" w:sz="0" w:space="0" w:color="auto"/>
              </w:divBdr>
            </w:div>
          </w:divsChild>
        </w:div>
        <w:div w:id="290135884">
          <w:marLeft w:val="0"/>
          <w:marRight w:val="0"/>
          <w:marTop w:val="0"/>
          <w:marBottom w:val="0"/>
          <w:divBdr>
            <w:top w:val="none" w:sz="0" w:space="0" w:color="auto"/>
            <w:left w:val="none" w:sz="0" w:space="0" w:color="auto"/>
            <w:bottom w:val="none" w:sz="0" w:space="0" w:color="auto"/>
            <w:right w:val="none" w:sz="0" w:space="0" w:color="auto"/>
          </w:divBdr>
          <w:divsChild>
            <w:div w:id="1765416352">
              <w:marLeft w:val="0"/>
              <w:marRight w:val="0"/>
              <w:marTop w:val="0"/>
              <w:marBottom w:val="0"/>
              <w:divBdr>
                <w:top w:val="none" w:sz="0" w:space="0" w:color="auto"/>
                <w:left w:val="none" w:sz="0" w:space="0" w:color="auto"/>
                <w:bottom w:val="none" w:sz="0" w:space="0" w:color="auto"/>
                <w:right w:val="none" w:sz="0" w:space="0" w:color="auto"/>
              </w:divBdr>
            </w:div>
          </w:divsChild>
        </w:div>
        <w:div w:id="306592690">
          <w:marLeft w:val="0"/>
          <w:marRight w:val="0"/>
          <w:marTop w:val="0"/>
          <w:marBottom w:val="0"/>
          <w:divBdr>
            <w:top w:val="none" w:sz="0" w:space="0" w:color="auto"/>
            <w:left w:val="none" w:sz="0" w:space="0" w:color="auto"/>
            <w:bottom w:val="none" w:sz="0" w:space="0" w:color="auto"/>
            <w:right w:val="none" w:sz="0" w:space="0" w:color="auto"/>
          </w:divBdr>
          <w:divsChild>
            <w:div w:id="74790462">
              <w:marLeft w:val="0"/>
              <w:marRight w:val="0"/>
              <w:marTop w:val="0"/>
              <w:marBottom w:val="0"/>
              <w:divBdr>
                <w:top w:val="none" w:sz="0" w:space="0" w:color="auto"/>
                <w:left w:val="none" w:sz="0" w:space="0" w:color="auto"/>
                <w:bottom w:val="none" w:sz="0" w:space="0" w:color="auto"/>
                <w:right w:val="none" w:sz="0" w:space="0" w:color="auto"/>
              </w:divBdr>
            </w:div>
          </w:divsChild>
        </w:div>
        <w:div w:id="306739149">
          <w:marLeft w:val="0"/>
          <w:marRight w:val="0"/>
          <w:marTop w:val="0"/>
          <w:marBottom w:val="0"/>
          <w:divBdr>
            <w:top w:val="none" w:sz="0" w:space="0" w:color="auto"/>
            <w:left w:val="none" w:sz="0" w:space="0" w:color="auto"/>
            <w:bottom w:val="none" w:sz="0" w:space="0" w:color="auto"/>
            <w:right w:val="none" w:sz="0" w:space="0" w:color="auto"/>
          </w:divBdr>
          <w:divsChild>
            <w:div w:id="112748462">
              <w:marLeft w:val="0"/>
              <w:marRight w:val="0"/>
              <w:marTop w:val="0"/>
              <w:marBottom w:val="0"/>
              <w:divBdr>
                <w:top w:val="none" w:sz="0" w:space="0" w:color="auto"/>
                <w:left w:val="none" w:sz="0" w:space="0" w:color="auto"/>
                <w:bottom w:val="none" w:sz="0" w:space="0" w:color="auto"/>
                <w:right w:val="none" w:sz="0" w:space="0" w:color="auto"/>
              </w:divBdr>
            </w:div>
          </w:divsChild>
        </w:div>
        <w:div w:id="314647611">
          <w:marLeft w:val="0"/>
          <w:marRight w:val="0"/>
          <w:marTop w:val="0"/>
          <w:marBottom w:val="0"/>
          <w:divBdr>
            <w:top w:val="none" w:sz="0" w:space="0" w:color="auto"/>
            <w:left w:val="none" w:sz="0" w:space="0" w:color="auto"/>
            <w:bottom w:val="none" w:sz="0" w:space="0" w:color="auto"/>
            <w:right w:val="none" w:sz="0" w:space="0" w:color="auto"/>
          </w:divBdr>
          <w:divsChild>
            <w:div w:id="2037078066">
              <w:marLeft w:val="0"/>
              <w:marRight w:val="0"/>
              <w:marTop w:val="0"/>
              <w:marBottom w:val="0"/>
              <w:divBdr>
                <w:top w:val="none" w:sz="0" w:space="0" w:color="auto"/>
                <w:left w:val="none" w:sz="0" w:space="0" w:color="auto"/>
                <w:bottom w:val="none" w:sz="0" w:space="0" w:color="auto"/>
                <w:right w:val="none" w:sz="0" w:space="0" w:color="auto"/>
              </w:divBdr>
            </w:div>
          </w:divsChild>
        </w:div>
        <w:div w:id="323439871">
          <w:marLeft w:val="0"/>
          <w:marRight w:val="0"/>
          <w:marTop w:val="0"/>
          <w:marBottom w:val="0"/>
          <w:divBdr>
            <w:top w:val="none" w:sz="0" w:space="0" w:color="auto"/>
            <w:left w:val="none" w:sz="0" w:space="0" w:color="auto"/>
            <w:bottom w:val="none" w:sz="0" w:space="0" w:color="auto"/>
            <w:right w:val="none" w:sz="0" w:space="0" w:color="auto"/>
          </w:divBdr>
          <w:divsChild>
            <w:div w:id="34085023">
              <w:marLeft w:val="0"/>
              <w:marRight w:val="0"/>
              <w:marTop w:val="0"/>
              <w:marBottom w:val="0"/>
              <w:divBdr>
                <w:top w:val="none" w:sz="0" w:space="0" w:color="auto"/>
                <w:left w:val="none" w:sz="0" w:space="0" w:color="auto"/>
                <w:bottom w:val="none" w:sz="0" w:space="0" w:color="auto"/>
                <w:right w:val="none" w:sz="0" w:space="0" w:color="auto"/>
              </w:divBdr>
            </w:div>
          </w:divsChild>
        </w:div>
        <w:div w:id="324405222">
          <w:marLeft w:val="0"/>
          <w:marRight w:val="0"/>
          <w:marTop w:val="0"/>
          <w:marBottom w:val="0"/>
          <w:divBdr>
            <w:top w:val="none" w:sz="0" w:space="0" w:color="auto"/>
            <w:left w:val="none" w:sz="0" w:space="0" w:color="auto"/>
            <w:bottom w:val="none" w:sz="0" w:space="0" w:color="auto"/>
            <w:right w:val="none" w:sz="0" w:space="0" w:color="auto"/>
          </w:divBdr>
          <w:divsChild>
            <w:div w:id="1141727796">
              <w:marLeft w:val="0"/>
              <w:marRight w:val="0"/>
              <w:marTop w:val="0"/>
              <w:marBottom w:val="0"/>
              <w:divBdr>
                <w:top w:val="none" w:sz="0" w:space="0" w:color="auto"/>
                <w:left w:val="none" w:sz="0" w:space="0" w:color="auto"/>
                <w:bottom w:val="none" w:sz="0" w:space="0" w:color="auto"/>
                <w:right w:val="none" w:sz="0" w:space="0" w:color="auto"/>
              </w:divBdr>
            </w:div>
          </w:divsChild>
        </w:div>
        <w:div w:id="329526451">
          <w:marLeft w:val="0"/>
          <w:marRight w:val="0"/>
          <w:marTop w:val="0"/>
          <w:marBottom w:val="0"/>
          <w:divBdr>
            <w:top w:val="none" w:sz="0" w:space="0" w:color="auto"/>
            <w:left w:val="none" w:sz="0" w:space="0" w:color="auto"/>
            <w:bottom w:val="none" w:sz="0" w:space="0" w:color="auto"/>
            <w:right w:val="none" w:sz="0" w:space="0" w:color="auto"/>
          </w:divBdr>
          <w:divsChild>
            <w:div w:id="2121945918">
              <w:marLeft w:val="0"/>
              <w:marRight w:val="0"/>
              <w:marTop w:val="0"/>
              <w:marBottom w:val="0"/>
              <w:divBdr>
                <w:top w:val="none" w:sz="0" w:space="0" w:color="auto"/>
                <w:left w:val="none" w:sz="0" w:space="0" w:color="auto"/>
                <w:bottom w:val="none" w:sz="0" w:space="0" w:color="auto"/>
                <w:right w:val="none" w:sz="0" w:space="0" w:color="auto"/>
              </w:divBdr>
            </w:div>
          </w:divsChild>
        </w:div>
        <w:div w:id="329875271">
          <w:marLeft w:val="0"/>
          <w:marRight w:val="0"/>
          <w:marTop w:val="0"/>
          <w:marBottom w:val="0"/>
          <w:divBdr>
            <w:top w:val="none" w:sz="0" w:space="0" w:color="auto"/>
            <w:left w:val="none" w:sz="0" w:space="0" w:color="auto"/>
            <w:bottom w:val="none" w:sz="0" w:space="0" w:color="auto"/>
            <w:right w:val="none" w:sz="0" w:space="0" w:color="auto"/>
          </w:divBdr>
          <w:divsChild>
            <w:div w:id="1576473749">
              <w:marLeft w:val="0"/>
              <w:marRight w:val="0"/>
              <w:marTop w:val="0"/>
              <w:marBottom w:val="0"/>
              <w:divBdr>
                <w:top w:val="none" w:sz="0" w:space="0" w:color="auto"/>
                <w:left w:val="none" w:sz="0" w:space="0" w:color="auto"/>
                <w:bottom w:val="none" w:sz="0" w:space="0" w:color="auto"/>
                <w:right w:val="none" w:sz="0" w:space="0" w:color="auto"/>
              </w:divBdr>
            </w:div>
          </w:divsChild>
        </w:div>
        <w:div w:id="332874421">
          <w:marLeft w:val="0"/>
          <w:marRight w:val="0"/>
          <w:marTop w:val="0"/>
          <w:marBottom w:val="0"/>
          <w:divBdr>
            <w:top w:val="none" w:sz="0" w:space="0" w:color="auto"/>
            <w:left w:val="none" w:sz="0" w:space="0" w:color="auto"/>
            <w:bottom w:val="none" w:sz="0" w:space="0" w:color="auto"/>
            <w:right w:val="none" w:sz="0" w:space="0" w:color="auto"/>
          </w:divBdr>
          <w:divsChild>
            <w:div w:id="1906449767">
              <w:marLeft w:val="0"/>
              <w:marRight w:val="0"/>
              <w:marTop w:val="0"/>
              <w:marBottom w:val="0"/>
              <w:divBdr>
                <w:top w:val="none" w:sz="0" w:space="0" w:color="auto"/>
                <w:left w:val="none" w:sz="0" w:space="0" w:color="auto"/>
                <w:bottom w:val="none" w:sz="0" w:space="0" w:color="auto"/>
                <w:right w:val="none" w:sz="0" w:space="0" w:color="auto"/>
              </w:divBdr>
            </w:div>
          </w:divsChild>
        </w:div>
        <w:div w:id="332996070">
          <w:marLeft w:val="0"/>
          <w:marRight w:val="0"/>
          <w:marTop w:val="0"/>
          <w:marBottom w:val="0"/>
          <w:divBdr>
            <w:top w:val="none" w:sz="0" w:space="0" w:color="auto"/>
            <w:left w:val="none" w:sz="0" w:space="0" w:color="auto"/>
            <w:bottom w:val="none" w:sz="0" w:space="0" w:color="auto"/>
            <w:right w:val="none" w:sz="0" w:space="0" w:color="auto"/>
          </w:divBdr>
          <w:divsChild>
            <w:div w:id="693261955">
              <w:marLeft w:val="0"/>
              <w:marRight w:val="0"/>
              <w:marTop w:val="0"/>
              <w:marBottom w:val="0"/>
              <w:divBdr>
                <w:top w:val="none" w:sz="0" w:space="0" w:color="auto"/>
                <w:left w:val="none" w:sz="0" w:space="0" w:color="auto"/>
                <w:bottom w:val="none" w:sz="0" w:space="0" w:color="auto"/>
                <w:right w:val="none" w:sz="0" w:space="0" w:color="auto"/>
              </w:divBdr>
            </w:div>
          </w:divsChild>
        </w:div>
        <w:div w:id="334459489">
          <w:marLeft w:val="0"/>
          <w:marRight w:val="0"/>
          <w:marTop w:val="0"/>
          <w:marBottom w:val="0"/>
          <w:divBdr>
            <w:top w:val="none" w:sz="0" w:space="0" w:color="auto"/>
            <w:left w:val="none" w:sz="0" w:space="0" w:color="auto"/>
            <w:bottom w:val="none" w:sz="0" w:space="0" w:color="auto"/>
            <w:right w:val="none" w:sz="0" w:space="0" w:color="auto"/>
          </w:divBdr>
          <w:divsChild>
            <w:div w:id="1450858149">
              <w:marLeft w:val="0"/>
              <w:marRight w:val="0"/>
              <w:marTop w:val="0"/>
              <w:marBottom w:val="0"/>
              <w:divBdr>
                <w:top w:val="none" w:sz="0" w:space="0" w:color="auto"/>
                <w:left w:val="none" w:sz="0" w:space="0" w:color="auto"/>
                <w:bottom w:val="none" w:sz="0" w:space="0" w:color="auto"/>
                <w:right w:val="none" w:sz="0" w:space="0" w:color="auto"/>
              </w:divBdr>
            </w:div>
          </w:divsChild>
        </w:div>
        <w:div w:id="334647534">
          <w:marLeft w:val="0"/>
          <w:marRight w:val="0"/>
          <w:marTop w:val="0"/>
          <w:marBottom w:val="0"/>
          <w:divBdr>
            <w:top w:val="none" w:sz="0" w:space="0" w:color="auto"/>
            <w:left w:val="none" w:sz="0" w:space="0" w:color="auto"/>
            <w:bottom w:val="none" w:sz="0" w:space="0" w:color="auto"/>
            <w:right w:val="none" w:sz="0" w:space="0" w:color="auto"/>
          </w:divBdr>
          <w:divsChild>
            <w:div w:id="1518545743">
              <w:marLeft w:val="0"/>
              <w:marRight w:val="0"/>
              <w:marTop w:val="0"/>
              <w:marBottom w:val="0"/>
              <w:divBdr>
                <w:top w:val="none" w:sz="0" w:space="0" w:color="auto"/>
                <w:left w:val="none" w:sz="0" w:space="0" w:color="auto"/>
                <w:bottom w:val="none" w:sz="0" w:space="0" w:color="auto"/>
                <w:right w:val="none" w:sz="0" w:space="0" w:color="auto"/>
              </w:divBdr>
            </w:div>
          </w:divsChild>
        </w:div>
        <w:div w:id="340199907">
          <w:marLeft w:val="0"/>
          <w:marRight w:val="0"/>
          <w:marTop w:val="0"/>
          <w:marBottom w:val="0"/>
          <w:divBdr>
            <w:top w:val="none" w:sz="0" w:space="0" w:color="auto"/>
            <w:left w:val="none" w:sz="0" w:space="0" w:color="auto"/>
            <w:bottom w:val="none" w:sz="0" w:space="0" w:color="auto"/>
            <w:right w:val="none" w:sz="0" w:space="0" w:color="auto"/>
          </w:divBdr>
          <w:divsChild>
            <w:div w:id="2107387567">
              <w:marLeft w:val="0"/>
              <w:marRight w:val="0"/>
              <w:marTop w:val="0"/>
              <w:marBottom w:val="0"/>
              <w:divBdr>
                <w:top w:val="none" w:sz="0" w:space="0" w:color="auto"/>
                <w:left w:val="none" w:sz="0" w:space="0" w:color="auto"/>
                <w:bottom w:val="none" w:sz="0" w:space="0" w:color="auto"/>
                <w:right w:val="none" w:sz="0" w:space="0" w:color="auto"/>
              </w:divBdr>
            </w:div>
          </w:divsChild>
        </w:div>
        <w:div w:id="343673722">
          <w:marLeft w:val="0"/>
          <w:marRight w:val="0"/>
          <w:marTop w:val="0"/>
          <w:marBottom w:val="0"/>
          <w:divBdr>
            <w:top w:val="none" w:sz="0" w:space="0" w:color="auto"/>
            <w:left w:val="none" w:sz="0" w:space="0" w:color="auto"/>
            <w:bottom w:val="none" w:sz="0" w:space="0" w:color="auto"/>
            <w:right w:val="none" w:sz="0" w:space="0" w:color="auto"/>
          </w:divBdr>
          <w:divsChild>
            <w:div w:id="1427383799">
              <w:marLeft w:val="0"/>
              <w:marRight w:val="0"/>
              <w:marTop w:val="0"/>
              <w:marBottom w:val="0"/>
              <w:divBdr>
                <w:top w:val="none" w:sz="0" w:space="0" w:color="auto"/>
                <w:left w:val="none" w:sz="0" w:space="0" w:color="auto"/>
                <w:bottom w:val="none" w:sz="0" w:space="0" w:color="auto"/>
                <w:right w:val="none" w:sz="0" w:space="0" w:color="auto"/>
              </w:divBdr>
            </w:div>
          </w:divsChild>
        </w:div>
        <w:div w:id="349449100">
          <w:marLeft w:val="0"/>
          <w:marRight w:val="0"/>
          <w:marTop w:val="0"/>
          <w:marBottom w:val="0"/>
          <w:divBdr>
            <w:top w:val="none" w:sz="0" w:space="0" w:color="auto"/>
            <w:left w:val="none" w:sz="0" w:space="0" w:color="auto"/>
            <w:bottom w:val="none" w:sz="0" w:space="0" w:color="auto"/>
            <w:right w:val="none" w:sz="0" w:space="0" w:color="auto"/>
          </w:divBdr>
          <w:divsChild>
            <w:div w:id="1117261705">
              <w:marLeft w:val="0"/>
              <w:marRight w:val="0"/>
              <w:marTop w:val="0"/>
              <w:marBottom w:val="0"/>
              <w:divBdr>
                <w:top w:val="none" w:sz="0" w:space="0" w:color="auto"/>
                <w:left w:val="none" w:sz="0" w:space="0" w:color="auto"/>
                <w:bottom w:val="none" w:sz="0" w:space="0" w:color="auto"/>
                <w:right w:val="none" w:sz="0" w:space="0" w:color="auto"/>
              </w:divBdr>
            </w:div>
          </w:divsChild>
        </w:div>
        <w:div w:id="355161208">
          <w:marLeft w:val="0"/>
          <w:marRight w:val="0"/>
          <w:marTop w:val="0"/>
          <w:marBottom w:val="0"/>
          <w:divBdr>
            <w:top w:val="none" w:sz="0" w:space="0" w:color="auto"/>
            <w:left w:val="none" w:sz="0" w:space="0" w:color="auto"/>
            <w:bottom w:val="none" w:sz="0" w:space="0" w:color="auto"/>
            <w:right w:val="none" w:sz="0" w:space="0" w:color="auto"/>
          </w:divBdr>
          <w:divsChild>
            <w:div w:id="794177289">
              <w:marLeft w:val="0"/>
              <w:marRight w:val="0"/>
              <w:marTop w:val="0"/>
              <w:marBottom w:val="0"/>
              <w:divBdr>
                <w:top w:val="none" w:sz="0" w:space="0" w:color="auto"/>
                <w:left w:val="none" w:sz="0" w:space="0" w:color="auto"/>
                <w:bottom w:val="none" w:sz="0" w:space="0" w:color="auto"/>
                <w:right w:val="none" w:sz="0" w:space="0" w:color="auto"/>
              </w:divBdr>
            </w:div>
          </w:divsChild>
        </w:div>
        <w:div w:id="360400874">
          <w:marLeft w:val="0"/>
          <w:marRight w:val="0"/>
          <w:marTop w:val="0"/>
          <w:marBottom w:val="0"/>
          <w:divBdr>
            <w:top w:val="none" w:sz="0" w:space="0" w:color="auto"/>
            <w:left w:val="none" w:sz="0" w:space="0" w:color="auto"/>
            <w:bottom w:val="none" w:sz="0" w:space="0" w:color="auto"/>
            <w:right w:val="none" w:sz="0" w:space="0" w:color="auto"/>
          </w:divBdr>
          <w:divsChild>
            <w:div w:id="1408190176">
              <w:marLeft w:val="0"/>
              <w:marRight w:val="0"/>
              <w:marTop w:val="0"/>
              <w:marBottom w:val="0"/>
              <w:divBdr>
                <w:top w:val="none" w:sz="0" w:space="0" w:color="auto"/>
                <w:left w:val="none" w:sz="0" w:space="0" w:color="auto"/>
                <w:bottom w:val="none" w:sz="0" w:space="0" w:color="auto"/>
                <w:right w:val="none" w:sz="0" w:space="0" w:color="auto"/>
              </w:divBdr>
            </w:div>
          </w:divsChild>
        </w:div>
        <w:div w:id="361978078">
          <w:marLeft w:val="0"/>
          <w:marRight w:val="0"/>
          <w:marTop w:val="0"/>
          <w:marBottom w:val="0"/>
          <w:divBdr>
            <w:top w:val="none" w:sz="0" w:space="0" w:color="auto"/>
            <w:left w:val="none" w:sz="0" w:space="0" w:color="auto"/>
            <w:bottom w:val="none" w:sz="0" w:space="0" w:color="auto"/>
            <w:right w:val="none" w:sz="0" w:space="0" w:color="auto"/>
          </w:divBdr>
          <w:divsChild>
            <w:div w:id="392893255">
              <w:marLeft w:val="0"/>
              <w:marRight w:val="0"/>
              <w:marTop w:val="0"/>
              <w:marBottom w:val="0"/>
              <w:divBdr>
                <w:top w:val="none" w:sz="0" w:space="0" w:color="auto"/>
                <w:left w:val="none" w:sz="0" w:space="0" w:color="auto"/>
                <w:bottom w:val="none" w:sz="0" w:space="0" w:color="auto"/>
                <w:right w:val="none" w:sz="0" w:space="0" w:color="auto"/>
              </w:divBdr>
            </w:div>
          </w:divsChild>
        </w:div>
        <w:div w:id="370886995">
          <w:marLeft w:val="0"/>
          <w:marRight w:val="0"/>
          <w:marTop w:val="0"/>
          <w:marBottom w:val="0"/>
          <w:divBdr>
            <w:top w:val="none" w:sz="0" w:space="0" w:color="auto"/>
            <w:left w:val="none" w:sz="0" w:space="0" w:color="auto"/>
            <w:bottom w:val="none" w:sz="0" w:space="0" w:color="auto"/>
            <w:right w:val="none" w:sz="0" w:space="0" w:color="auto"/>
          </w:divBdr>
          <w:divsChild>
            <w:div w:id="78407808">
              <w:marLeft w:val="0"/>
              <w:marRight w:val="0"/>
              <w:marTop w:val="0"/>
              <w:marBottom w:val="0"/>
              <w:divBdr>
                <w:top w:val="none" w:sz="0" w:space="0" w:color="auto"/>
                <w:left w:val="none" w:sz="0" w:space="0" w:color="auto"/>
                <w:bottom w:val="none" w:sz="0" w:space="0" w:color="auto"/>
                <w:right w:val="none" w:sz="0" w:space="0" w:color="auto"/>
              </w:divBdr>
            </w:div>
          </w:divsChild>
        </w:div>
        <w:div w:id="371078214">
          <w:marLeft w:val="0"/>
          <w:marRight w:val="0"/>
          <w:marTop w:val="0"/>
          <w:marBottom w:val="0"/>
          <w:divBdr>
            <w:top w:val="none" w:sz="0" w:space="0" w:color="auto"/>
            <w:left w:val="none" w:sz="0" w:space="0" w:color="auto"/>
            <w:bottom w:val="none" w:sz="0" w:space="0" w:color="auto"/>
            <w:right w:val="none" w:sz="0" w:space="0" w:color="auto"/>
          </w:divBdr>
          <w:divsChild>
            <w:div w:id="1682005119">
              <w:marLeft w:val="0"/>
              <w:marRight w:val="0"/>
              <w:marTop w:val="0"/>
              <w:marBottom w:val="0"/>
              <w:divBdr>
                <w:top w:val="none" w:sz="0" w:space="0" w:color="auto"/>
                <w:left w:val="none" w:sz="0" w:space="0" w:color="auto"/>
                <w:bottom w:val="none" w:sz="0" w:space="0" w:color="auto"/>
                <w:right w:val="none" w:sz="0" w:space="0" w:color="auto"/>
              </w:divBdr>
            </w:div>
          </w:divsChild>
        </w:div>
        <w:div w:id="373627973">
          <w:marLeft w:val="0"/>
          <w:marRight w:val="0"/>
          <w:marTop w:val="0"/>
          <w:marBottom w:val="0"/>
          <w:divBdr>
            <w:top w:val="none" w:sz="0" w:space="0" w:color="auto"/>
            <w:left w:val="none" w:sz="0" w:space="0" w:color="auto"/>
            <w:bottom w:val="none" w:sz="0" w:space="0" w:color="auto"/>
            <w:right w:val="none" w:sz="0" w:space="0" w:color="auto"/>
          </w:divBdr>
          <w:divsChild>
            <w:div w:id="698051602">
              <w:marLeft w:val="0"/>
              <w:marRight w:val="0"/>
              <w:marTop w:val="0"/>
              <w:marBottom w:val="0"/>
              <w:divBdr>
                <w:top w:val="none" w:sz="0" w:space="0" w:color="auto"/>
                <w:left w:val="none" w:sz="0" w:space="0" w:color="auto"/>
                <w:bottom w:val="none" w:sz="0" w:space="0" w:color="auto"/>
                <w:right w:val="none" w:sz="0" w:space="0" w:color="auto"/>
              </w:divBdr>
            </w:div>
          </w:divsChild>
        </w:div>
        <w:div w:id="380062889">
          <w:marLeft w:val="0"/>
          <w:marRight w:val="0"/>
          <w:marTop w:val="0"/>
          <w:marBottom w:val="0"/>
          <w:divBdr>
            <w:top w:val="none" w:sz="0" w:space="0" w:color="auto"/>
            <w:left w:val="none" w:sz="0" w:space="0" w:color="auto"/>
            <w:bottom w:val="none" w:sz="0" w:space="0" w:color="auto"/>
            <w:right w:val="none" w:sz="0" w:space="0" w:color="auto"/>
          </w:divBdr>
          <w:divsChild>
            <w:div w:id="1859344351">
              <w:marLeft w:val="0"/>
              <w:marRight w:val="0"/>
              <w:marTop w:val="0"/>
              <w:marBottom w:val="0"/>
              <w:divBdr>
                <w:top w:val="none" w:sz="0" w:space="0" w:color="auto"/>
                <w:left w:val="none" w:sz="0" w:space="0" w:color="auto"/>
                <w:bottom w:val="none" w:sz="0" w:space="0" w:color="auto"/>
                <w:right w:val="none" w:sz="0" w:space="0" w:color="auto"/>
              </w:divBdr>
            </w:div>
          </w:divsChild>
        </w:div>
        <w:div w:id="383214027">
          <w:marLeft w:val="0"/>
          <w:marRight w:val="0"/>
          <w:marTop w:val="0"/>
          <w:marBottom w:val="0"/>
          <w:divBdr>
            <w:top w:val="none" w:sz="0" w:space="0" w:color="auto"/>
            <w:left w:val="none" w:sz="0" w:space="0" w:color="auto"/>
            <w:bottom w:val="none" w:sz="0" w:space="0" w:color="auto"/>
            <w:right w:val="none" w:sz="0" w:space="0" w:color="auto"/>
          </w:divBdr>
          <w:divsChild>
            <w:div w:id="412287440">
              <w:marLeft w:val="0"/>
              <w:marRight w:val="0"/>
              <w:marTop w:val="0"/>
              <w:marBottom w:val="0"/>
              <w:divBdr>
                <w:top w:val="none" w:sz="0" w:space="0" w:color="auto"/>
                <w:left w:val="none" w:sz="0" w:space="0" w:color="auto"/>
                <w:bottom w:val="none" w:sz="0" w:space="0" w:color="auto"/>
                <w:right w:val="none" w:sz="0" w:space="0" w:color="auto"/>
              </w:divBdr>
            </w:div>
          </w:divsChild>
        </w:div>
        <w:div w:id="387580678">
          <w:marLeft w:val="0"/>
          <w:marRight w:val="0"/>
          <w:marTop w:val="0"/>
          <w:marBottom w:val="0"/>
          <w:divBdr>
            <w:top w:val="none" w:sz="0" w:space="0" w:color="auto"/>
            <w:left w:val="none" w:sz="0" w:space="0" w:color="auto"/>
            <w:bottom w:val="none" w:sz="0" w:space="0" w:color="auto"/>
            <w:right w:val="none" w:sz="0" w:space="0" w:color="auto"/>
          </w:divBdr>
          <w:divsChild>
            <w:div w:id="193351132">
              <w:marLeft w:val="0"/>
              <w:marRight w:val="0"/>
              <w:marTop w:val="0"/>
              <w:marBottom w:val="0"/>
              <w:divBdr>
                <w:top w:val="none" w:sz="0" w:space="0" w:color="auto"/>
                <w:left w:val="none" w:sz="0" w:space="0" w:color="auto"/>
                <w:bottom w:val="none" w:sz="0" w:space="0" w:color="auto"/>
                <w:right w:val="none" w:sz="0" w:space="0" w:color="auto"/>
              </w:divBdr>
            </w:div>
          </w:divsChild>
        </w:div>
        <w:div w:id="392310620">
          <w:marLeft w:val="0"/>
          <w:marRight w:val="0"/>
          <w:marTop w:val="0"/>
          <w:marBottom w:val="0"/>
          <w:divBdr>
            <w:top w:val="none" w:sz="0" w:space="0" w:color="auto"/>
            <w:left w:val="none" w:sz="0" w:space="0" w:color="auto"/>
            <w:bottom w:val="none" w:sz="0" w:space="0" w:color="auto"/>
            <w:right w:val="none" w:sz="0" w:space="0" w:color="auto"/>
          </w:divBdr>
          <w:divsChild>
            <w:div w:id="187522098">
              <w:marLeft w:val="0"/>
              <w:marRight w:val="0"/>
              <w:marTop w:val="0"/>
              <w:marBottom w:val="0"/>
              <w:divBdr>
                <w:top w:val="none" w:sz="0" w:space="0" w:color="auto"/>
                <w:left w:val="none" w:sz="0" w:space="0" w:color="auto"/>
                <w:bottom w:val="none" w:sz="0" w:space="0" w:color="auto"/>
                <w:right w:val="none" w:sz="0" w:space="0" w:color="auto"/>
              </w:divBdr>
            </w:div>
          </w:divsChild>
        </w:div>
        <w:div w:id="399062815">
          <w:marLeft w:val="0"/>
          <w:marRight w:val="0"/>
          <w:marTop w:val="0"/>
          <w:marBottom w:val="0"/>
          <w:divBdr>
            <w:top w:val="none" w:sz="0" w:space="0" w:color="auto"/>
            <w:left w:val="none" w:sz="0" w:space="0" w:color="auto"/>
            <w:bottom w:val="none" w:sz="0" w:space="0" w:color="auto"/>
            <w:right w:val="none" w:sz="0" w:space="0" w:color="auto"/>
          </w:divBdr>
          <w:divsChild>
            <w:div w:id="13575902">
              <w:marLeft w:val="0"/>
              <w:marRight w:val="0"/>
              <w:marTop w:val="0"/>
              <w:marBottom w:val="0"/>
              <w:divBdr>
                <w:top w:val="none" w:sz="0" w:space="0" w:color="auto"/>
                <w:left w:val="none" w:sz="0" w:space="0" w:color="auto"/>
                <w:bottom w:val="none" w:sz="0" w:space="0" w:color="auto"/>
                <w:right w:val="none" w:sz="0" w:space="0" w:color="auto"/>
              </w:divBdr>
            </w:div>
          </w:divsChild>
        </w:div>
        <w:div w:id="402803065">
          <w:marLeft w:val="0"/>
          <w:marRight w:val="0"/>
          <w:marTop w:val="0"/>
          <w:marBottom w:val="0"/>
          <w:divBdr>
            <w:top w:val="none" w:sz="0" w:space="0" w:color="auto"/>
            <w:left w:val="none" w:sz="0" w:space="0" w:color="auto"/>
            <w:bottom w:val="none" w:sz="0" w:space="0" w:color="auto"/>
            <w:right w:val="none" w:sz="0" w:space="0" w:color="auto"/>
          </w:divBdr>
          <w:divsChild>
            <w:div w:id="488522791">
              <w:marLeft w:val="0"/>
              <w:marRight w:val="0"/>
              <w:marTop w:val="0"/>
              <w:marBottom w:val="0"/>
              <w:divBdr>
                <w:top w:val="none" w:sz="0" w:space="0" w:color="auto"/>
                <w:left w:val="none" w:sz="0" w:space="0" w:color="auto"/>
                <w:bottom w:val="none" w:sz="0" w:space="0" w:color="auto"/>
                <w:right w:val="none" w:sz="0" w:space="0" w:color="auto"/>
              </w:divBdr>
            </w:div>
          </w:divsChild>
        </w:div>
        <w:div w:id="406802614">
          <w:marLeft w:val="0"/>
          <w:marRight w:val="0"/>
          <w:marTop w:val="0"/>
          <w:marBottom w:val="0"/>
          <w:divBdr>
            <w:top w:val="none" w:sz="0" w:space="0" w:color="auto"/>
            <w:left w:val="none" w:sz="0" w:space="0" w:color="auto"/>
            <w:bottom w:val="none" w:sz="0" w:space="0" w:color="auto"/>
            <w:right w:val="none" w:sz="0" w:space="0" w:color="auto"/>
          </w:divBdr>
          <w:divsChild>
            <w:div w:id="1614555430">
              <w:marLeft w:val="0"/>
              <w:marRight w:val="0"/>
              <w:marTop w:val="0"/>
              <w:marBottom w:val="0"/>
              <w:divBdr>
                <w:top w:val="none" w:sz="0" w:space="0" w:color="auto"/>
                <w:left w:val="none" w:sz="0" w:space="0" w:color="auto"/>
                <w:bottom w:val="none" w:sz="0" w:space="0" w:color="auto"/>
                <w:right w:val="none" w:sz="0" w:space="0" w:color="auto"/>
              </w:divBdr>
            </w:div>
          </w:divsChild>
        </w:div>
        <w:div w:id="410468132">
          <w:marLeft w:val="0"/>
          <w:marRight w:val="0"/>
          <w:marTop w:val="0"/>
          <w:marBottom w:val="0"/>
          <w:divBdr>
            <w:top w:val="none" w:sz="0" w:space="0" w:color="auto"/>
            <w:left w:val="none" w:sz="0" w:space="0" w:color="auto"/>
            <w:bottom w:val="none" w:sz="0" w:space="0" w:color="auto"/>
            <w:right w:val="none" w:sz="0" w:space="0" w:color="auto"/>
          </w:divBdr>
          <w:divsChild>
            <w:div w:id="493954822">
              <w:marLeft w:val="0"/>
              <w:marRight w:val="0"/>
              <w:marTop w:val="0"/>
              <w:marBottom w:val="0"/>
              <w:divBdr>
                <w:top w:val="none" w:sz="0" w:space="0" w:color="auto"/>
                <w:left w:val="none" w:sz="0" w:space="0" w:color="auto"/>
                <w:bottom w:val="none" w:sz="0" w:space="0" w:color="auto"/>
                <w:right w:val="none" w:sz="0" w:space="0" w:color="auto"/>
              </w:divBdr>
            </w:div>
          </w:divsChild>
        </w:div>
        <w:div w:id="413554580">
          <w:marLeft w:val="0"/>
          <w:marRight w:val="0"/>
          <w:marTop w:val="0"/>
          <w:marBottom w:val="0"/>
          <w:divBdr>
            <w:top w:val="none" w:sz="0" w:space="0" w:color="auto"/>
            <w:left w:val="none" w:sz="0" w:space="0" w:color="auto"/>
            <w:bottom w:val="none" w:sz="0" w:space="0" w:color="auto"/>
            <w:right w:val="none" w:sz="0" w:space="0" w:color="auto"/>
          </w:divBdr>
          <w:divsChild>
            <w:div w:id="832988748">
              <w:marLeft w:val="0"/>
              <w:marRight w:val="0"/>
              <w:marTop w:val="0"/>
              <w:marBottom w:val="0"/>
              <w:divBdr>
                <w:top w:val="none" w:sz="0" w:space="0" w:color="auto"/>
                <w:left w:val="none" w:sz="0" w:space="0" w:color="auto"/>
                <w:bottom w:val="none" w:sz="0" w:space="0" w:color="auto"/>
                <w:right w:val="none" w:sz="0" w:space="0" w:color="auto"/>
              </w:divBdr>
            </w:div>
          </w:divsChild>
        </w:div>
        <w:div w:id="418216262">
          <w:marLeft w:val="0"/>
          <w:marRight w:val="0"/>
          <w:marTop w:val="0"/>
          <w:marBottom w:val="0"/>
          <w:divBdr>
            <w:top w:val="none" w:sz="0" w:space="0" w:color="auto"/>
            <w:left w:val="none" w:sz="0" w:space="0" w:color="auto"/>
            <w:bottom w:val="none" w:sz="0" w:space="0" w:color="auto"/>
            <w:right w:val="none" w:sz="0" w:space="0" w:color="auto"/>
          </w:divBdr>
          <w:divsChild>
            <w:div w:id="1419787873">
              <w:marLeft w:val="0"/>
              <w:marRight w:val="0"/>
              <w:marTop w:val="0"/>
              <w:marBottom w:val="0"/>
              <w:divBdr>
                <w:top w:val="none" w:sz="0" w:space="0" w:color="auto"/>
                <w:left w:val="none" w:sz="0" w:space="0" w:color="auto"/>
                <w:bottom w:val="none" w:sz="0" w:space="0" w:color="auto"/>
                <w:right w:val="none" w:sz="0" w:space="0" w:color="auto"/>
              </w:divBdr>
            </w:div>
          </w:divsChild>
        </w:div>
        <w:div w:id="419716142">
          <w:marLeft w:val="0"/>
          <w:marRight w:val="0"/>
          <w:marTop w:val="0"/>
          <w:marBottom w:val="0"/>
          <w:divBdr>
            <w:top w:val="none" w:sz="0" w:space="0" w:color="auto"/>
            <w:left w:val="none" w:sz="0" w:space="0" w:color="auto"/>
            <w:bottom w:val="none" w:sz="0" w:space="0" w:color="auto"/>
            <w:right w:val="none" w:sz="0" w:space="0" w:color="auto"/>
          </w:divBdr>
          <w:divsChild>
            <w:div w:id="394160026">
              <w:marLeft w:val="0"/>
              <w:marRight w:val="0"/>
              <w:marTop w:val="0"/>
              <w:marBottom w:val="0"/>
              <w:divBdr>
                <w:top w:val="none" w:sz="0" w:space="0" w:color="auto"/>
                <w:left w:val="none" w:sz="0" w:space="0" w:color="auto"/>
                <w:bottom w:val="none" w:sz="0" w:space="0" w:color="auto"/>
                <w:right w:val="none" w:sz="0" w:space="0" w:color="auto"/>
              </w:divBdr>
            </w:div>
          </w:divsChild>
        </w:div>
        <w:div w:id="436024236">
          <w:marLeft w:val="0"/>
          <w:marRight w:val="0"/>
          <w:marTop w:val="0"/>
          <w:marBottom w:val="0"/>
          <w:divBdr>
            <w:top w:val="none" w:sz="0" w:space="0" w:color="auto"/>
            <w:left w:val="none" w:sz="0" w:space="0" w:color="auto"/>
            <w:bottom w:val="none" w:sz="0" w:space="0" w:color="auto"/>
            <w:right w:val="none" w:sz="0" w:space="0" w:color="auto"/>
          </w:divBdr>
          <w:divsChild>
            <w:div w:id="1977644334">
              <w:marLeft w:val="0"/>
              <w:marRight w:val="0"/>
              <w:marTop w:val="0"/>
              <w:marBottom w:val="0"/>
              <w:divBdr>
                <w:top w:val="none" w:sz="0" w:space="0" w:color="auto"/>
                <w:left w:val="none" w:sz="0" w:space="0" w:color="auto"/>
                <w:bottom w:val="none" w:sz="0" w:space="0" w:color="auto"/>
                <w:right w:val="none" w:sz="0" w:space="0" w:color="auto"/>
              </w:divBdr>
            </w:div>
          </w:divsChild>
        </w:div>
        <w:div w:id="439033620">
          <w:marLeft w:val="0"/>
          <w:marRight w:val="0"/>
          <w:marTop w:val="0"/>
          <w:marBottom w:val="0"/>
          <w:divBdr>
            <w:top w:val="none" w:sz="0" w:space="0" w:color="auto"/>
            <w:left w:val="none" w:sz="0" w:space="0" w:color="auto"/>
            <w:bottom w:val="none" w:sz="0" w:space="0" w:color="auto"/>
            <w:right w:val="none" w:sz="0" w:space="0" w:color="auto"/>
          </w:divBdr>
          <w:divsChild>
            <w:div w:id="319039094">
              <w:marLeft w:val="0"/>
              <w:marRight w:val="0"/>
              <w:marTop w:val="0"/>
              <w:marBottom w:val="0"/>
              <w:divBdr>
                <w:top w:val="none" w:sz="0" w:space="0" w:color="auto"/>
                <w:left w:val="none" w:sz="0" w:space="0" w:color="auto"/>
                <w:bottom w:val="none" w:sz="0" w:space="0" w:color="auto"/>
                <w:right w:val="none" w:sz="0" w:space="0" w:color="auto"/>
              </w:divBdr>
            </w:div>
          </w:divsChild>
        </w:div>
        <w:div w:id="450514494">
          <w:marLeft w:val="0"/>
          <w:marRight w:val="0"/>
          <w:marTop w:val="0"/>
          <w:marBottom w:val="0"/>
          <w:divBdr>
            <w:top w:val="none" w:sz="0" w:space="0" w:color="auto"/>
            <w:left w:val="none" w:sz="0" w:space="0" w:color="auto"/>
            <w:bottom w:val="none" w:sz="0" w:space="0" w:color="auto"/>
            <w:right w:val="none" w:sz="0" w:space="0" w:color="auto"/>
          </w:divBdr>
          <w:divsChild>
            <w:div w:id="1999187301">
              <w:marLeft w:val="0"/>
              <w:marRight w:val="0"/>
              <w:marTop w:val="0"/>
              <w:marBottom w:val="0"/>
              <w:divBdr>
                <w:top w:val="none" w:sz="0" w:space="0" w:color="auto"/>
                <w:left w:val="none" w:sz="0" w:space="0" w:color="auto"/>
                <w:bottom w:val="none" w:sz="0" w:space="0" w:color="auto"/>
                <w:right w:val="none" w:sz="0" w:space="0" w:color="auto"/>
              </w:divBdr>
            </w:div>
          </w:divsChild>
        </w:div>
        <w:div w:id="459032465">
          <w:marLeft w:val="0"/>
          <w:marRight w:val="0"/>
          <w:marTop w:val="0"/>
          <w:marBottom w:val="0"/>
          <w:divBdr>
            <w:top w:val="none" w:sz="0" w:space="0" w:color="auto"/>
            <w:left w:val="none" w:sz="0" w:space="0" w:color="auto"/>
            <w:bottom w:val="none" w:sz="0" w:space="0" w:color="auto"/>
            <w:right w:val="none" w:sz="0" w:space="0" w:color="auto"/>
          </w:divBdr>
          <w:divsChild>
            <w:div w:id="242183677">
              <w:marLeft w:val="0"/>
              <w:marRight w:val="0"/>
              <w:marTop w:val="0"/>
              <w:marBottom w:val="0"/>
              <w:divBdr>
                <w:top w:val="none" w:sz="0" w:space="0" w:color="auto"/>
                <w:left w:val="none" w:sz="0" w:space="0" w:color="auto"/>
                <w:bottom w:val="none" w:sz="0" w:space="0" w:color="auto"/>
                <w:right w:val="none" w:sz="0" w:space="0" w:color="auto"/>
              </w:divBdr>
            </w:div>
          </w:divsChild>
        </w:div>
        <w:div w:id="463470604">
          <w:marLeft w:val="0"/>
          <w:marRight w:val="0"/>
          <w:marTop w:val="0"/>
          <w:marBottom w:val="0"/>
          <w:divBdr>
            <w:top w:val="none" w:sz="0" w:space="0" w:color="auto"/>
            <w:left w:val="none" w:sz="0" w:space="0" w:color="auto"/>
            <w:bottom w:val="none" w:sz="0" w:space="0" w:color="auto"/>
            <w:right w:val="none" w:sz="0" w:space="0" w:color="auto"/>
          </w:divBdr>
          <w:divsChild>
            <w:div w:id="1381368259">
              <w:marLeft w:val="0"/>
              <w:marRight w:val="0"/>
              <w:marTop w:val="0"/>
              <w:marBottom w:val="0"/>
              <w:divBdr>
                <w:top w:val="none" w:sz="0" w:space="0" w:color="auto"/>
                <w:left w:val="none" w:sz="0" w:space="0" w:color="auto"/>
                <w:bottom w:val="none" w:sz="0" w:space="0" w:color="auto"/>
                <w:right w:val="none" w:sz="0" w:space="0" w:color="auto"/>
              </w:divBdr>
            </w:div>
          </w:divsChild>
        </w:div>
        <w:div w:id="464661773">
          <w:marLeft w:val="0"/>
          <w:marRight w:val="0"/>
          <w:marTop w:val="0"/>
          <w:marBottom w:val="0"/>
          <w:divBdr>
            <w:top w:val="none" w:sz="0" w:space="0" w:color="auto"/>
            <w:left w:val="none" w:sz="0" w:space="0" w:color="auto"/>
            <w:bottom w:val="none" w:sz="0" w:space="0" w:color="auto"/>
            <w:right w:val="none" w:sz="0" w:space="0" w:color="auto"/>
          </w:divBdr>
          <w:divsChild>
            <w:div w:id="1801727433">
              <w:marLeft w:val="0"/>
              <w:marRight w:val="0"/>
              <w:marTop w:val="0"/>
              <w:marBottom w:val="0"/>
              <w:divBdr>
                <w:top w:val="none" w:sz="0" w:space="0" w:color="auto"/>
                <w:left w:val="none" w:sz="0" w:space="0" w:color="auto"/>
                <w:bottom w:val="none" w:sz="0" w:space="0" w:color="auto"/>
                <w:right w:val="none" w:sz="0" w:space="0" w:color="auto"/>
              </w:divBdr>
            </w:div>
          </w:divsChild>
        </w:div>
        <w:div w:id="466901210">
          <w:marLeft w:val="0"/>
          <w:marRight w:val="0"/>
          <w:marTop w:val="0"/>
          <w:marBottom w:val="0"/>
          <w:divBdr>
            <w:top w:val="none" w:sz="0" w:space="0" w:color="auto"/>
            <w:left w:val="none" w:sz="0" w:space="0" w:color="auto"/>
            <w:bottom w:val="none" w:sz="0" w:space="0" w:color="auto"/>
            <w:right w:val="none" w:sz="0" w:space="0" w:color="auto"/>
          </w:divBdr>
          <w:divsChild>
            <w:div w:id="1765689536">
              <w:marLeft w:val="0"/>
              <w:marRight w:val="0"/>
              <w:marTop w:val="0"/>
              <w:marBottom w:val="0"/>
              <w:divBdr>
                <w:top w:val="none" w:sz="0" w:space="0" w:color="auto"/>
                <w:left w:val="none" w:sz="0" w:space="0" w:color="auto"/>
                <w:bottom w:val="none" w:sz="0" w:space="0" w:color="auto"/>
                <w:right w:val="none" w:sz="0" w:space="0" w:color="auto"/>
              </w:divBdr>
            </w:div>
          </w:divsChild>
        </w:div>
        <w:div w:id="468086494">
          <w:marLeft w:val="0"/>
          <w:marRight w:val="0"/>
          <w:marTop w:val="0"/>
          <w:marBottom w:val="0"/>
          <w:divBdr>
            <w:top w:val="none" w:sz="0" w:space="0" w:color="auto"/>
            <w:left w:val="none" w:sz="0" w:space="0" w:color="auto"/>
            <w:bottom w:val="none" w:sz="0" w:space="0" w:color="auto"/>
            <w:right w:val="none" w:sz="0" w:space="0" w:color="auto"/>
          </w:divBdr>
          <w:divsChild>
            <w:div w:id="864439652">
              <w:marLeft w:val="0"/>
              <w:marRight w:val="0"/>
              <w:marTop w:val="0"/>
              <w:marBottom w:val="0"/>
              <w:divBdr>
                <w:top w:val="none" w:sz="0" w:space="0" w:color="auto"/>
                <w:left w:val="none" w:sz="0" w:space="0" w:color="auto"/>
                <w:bottom w:val="none" w:sz="0" w:space="0" w:color="auto"/>
                <w:right w:val="none" w:sz="0" w:space="0" w:color="auto"/>
              </w:divBdr>
            </w:div>
          </w:divsChild>
        </w:div>
        <w:div w:id="472527711">
          <w:marLeft w:val="0"/>
          <w:marRight w:val="0"/>
          <w:marTop w:val="0"/>
          <w:marBottom w:val="0"/>
          <w:divBdr>
            <w:top w:val="none" w:sz="0" w:space="0" w:color="auto"/>
            <w:left w:val="none" w:sz="0" w:space="0" w:color="auto"/>
            <w:bottom w:val="none" w:sz="0" w:space="0" w:color="auto"/>
            <w:right w:val="none" w:sz="0" w:space="0" w:color="auto"/>
          </w:divBdr>
          <w:divsChild>
            <w:div w:id="724914713">
              <w:marLeft w:val="0"/>
              <w:marRight w:val="0"/>
              <w:marTop w:val="0"/>
              <w:marBottom w:val="0"/>
              <w:divBdr>
                <w:top w:val="none" w:sz="0" w:space="0" w:color="auto"/>
                <w:left w:val="none" w:sz="0" w:space="0" w:color="auto"/>
                <w:bottom w:val="none" w:sz="0" w:space="0" w:color="auto"/>
                <w:right w:val="none" w:sz="0" w:space="0" w:color="auto"/>
              </w:divBdr>
            </w:div>
          </w:divsChild>
        </w:div>
        <w:div w:id="478546452">
          <w:marLeft w:val="0"/>
          <w:marRight w:val="0"/>
          <w:marTop w:val="0"/>
          <w:marBottom w:val="0"/>
          <w:divBdr>
            <w:top w:val="none" w:sz="0" w:space="0" w:color="auto"/>
            <w:left w:val="none" w:sz="0" w:space="0" w:color="auto"/>
            <w:bottom w:val="none" w:sz="0" w:space="0" w:color="auto"/>
            <w:right w:val="none" w:sz="0" w:space="0" w:color="auto"/>
          </w:divBdr>
          <w:divsChild>
            <w:div w:id="1120031200">
              <w:marLeft w:val="0"/>
              <w:marRight w:val="0"/>
              <w:marTop w:val="0"/>
              <w:marBottom w:val="0"/>
              <w:divBdr>
                <w:top w:val="none" w:sz="0" w:space="0" w:color="auto"/>
                <w:left w:val="none" w:sz="0" w:space="0" w:color="auto"/>
                <w:bottom w:val="none" w:sz="0" w:space="0" w:color="auto"/>
                <w:right w:val="none" w:sz="0" w:space="0" w:color="auto"/>
              </w:divBdr>
            </w:div>
          </w:divsChild>
        </w:div>
        <w:div w:id="485824966">
          <w:marLeft w:val="0"/>
          <w:marRight w:val="0"/>
          <w:marTop w:val="0"/>
          <w:marBottom w:val="0"/>
          <w:divBdr>
            <w:top w:val="none" w:sz="0" w:space="0" w:color="auto"/>
            <w:left w:val="none" w:sz="0" w:space="0" w:color="auto"/>
            <w:bottom w:val="none" w:sz="0" w:space="0" w:color="auto"/>
            <w:right w:val="none" w:sz="0" w:space="0" w:color="auto"/>
          </w:divBdr>
          <w:divsChild>
            <w:div w:id="2055153727">
              <w:marLeft w:val="0"/>
              <w:marRight w:val="0"/>
              <w:marTop w:val="0"/>
              <w:marBottom w:val="0"/>
              <w:divBdr>
                <w:top w:val="none" w:sz="0" w:space="0" w:color="auto"/>
                <w:left w:val="none" w:sz="0" w:space="0" w:color="auto"/>
                <w:bottom w:val="none" w:sz="0" w:space="0" w:color="auto"/>
                <w:right w:val="none" w:sz="0" w:space="0" w:color="auto"/>
              </w:divBdr>
            </w:div>
          </w:divsChild>
        </w:div>
        <w:div w:id="491262804">
          <w:marLeft w:val="0"/>
          <w:marRight w:val="0"/>
          <w:marTop w:val="0"/>
          <w:marBottom w:val="0"/>
          <w:divBdr>
            <w:top w:val="none" w:sz="0" w:space="0" w:color="auto"/>
            <w:left w:val="none" w:sz="0" w:space="0" w:color="auto"/>
            <w:bottom w:val="none" w:sz="0" w:space="0" w:color="auto"/>
            <w:right w:val="none" w:sz="0" w:space="0" w:color="auto"/>
          </w:divBdr>
          <w:divsChild>
            <w:div w:id="1324776177">
              <w:marLeft w:val="0"/>
              <w:marRight w:val="0"/>
              <w:marTop w:val="0"/>
              <w:marBottom w:val="0"/>
              <w:divBdr>
                <w:top w:val="none" w:sz="0" w:space="0" w:color="auto"/>
                <w:left w:val="none" w:sz="0" w:space="0" w:color="auto"/>
                <w:bottom w:val="none" w:sz="0" w:space="0" w:color="auto"/>
                <w:right w:val="none" w:sz="0" w:space="0" w:color="auto"/>
              </w:divBdr>
            </w:div>
          </w:divsChild>
        </w:div>
        <w:div w:id="494996148">
          <w:marLeft w:val="0"/>
          <w:marRight w:val="0"/>
          <w:marTop w:val="0"/>
          <w:marBottom w:val="0"/>
          <w:divBdr>
            <w:top w:val="none" w:sz="0" w:space="0" w:color="auto"/>
            <w:left w:val="none" w:sz="0" w:space="0" w:color="auto"/>
            <w:bottom w:val="none" w:sz="0" w:space="0" w:color="auto"/>
            <w:right w:val="none" w:sz="0" w:space="0" w:color="auto"/>
          </w:divBdr>
          <w:divsChild>
            <w:div w:id="2010937016">
              <w:marLeft w:val="0"/>
              <w:marRight w:val="0"/>
              <w:marTop w:val="0"/>
              <w:marBottom w:val="0"/>
              <w:divBdr>
                <w:top w:val="none" w:sz="0" w:space="0" w:color="auto"/>
                <w:left w:val="none" w:sz="0" w:space="0" w:color="auto"/>
                <w:bottom w:val="none" w:sz="0" w:space="0" w:color="auto"/>
                <w:right w:val="none" w:sz="0" w:space="0" w:color="auto"/>
              </w:divBdr>
            </w:div>
          </w:divsChild>
        </w:div>
        <w:div w:id="495998541">
          <w:marLeft w:val="0"/>
          <w:marRight w:val="0"/>
          <w:marTop w:val="0"/>
          <w:marBottom w:val="0"/>
          <w:divBdr>
            <w:top w:val="none" w:sz="0" w:space="0" w:color="auto"/>
            <w:left w:val="none" w:sz="0" w:space="0" w:color="auto"/>
            <w:bottom w:val="none" w:sz="0" w:space="0" w:color="auto"/>
            <w:right w:val="none" w:sz="0" w:space="0" w:color="auto"/>
          </w:divBdr>
          <w:divsChild>
            <w:div w:id="259918422">
              <w:marLeft w:val="0"/>
              <w:marRight w:val="0"/>
              <w:marTop w:val="0"/>
              <w:marBottom w:val="0"/>
              <w:divBdr>
                <w:top w:val="none" w:sz="0" w:space="0" w:color="auto"/>
                <w:left w:val="none" w:sz="0" w:space="0" w:color="auto"/>
                <w:bottom w:val="none" w:sz="0" w:space="0" w:color="auto"/>
                <w:right w:val="none" w:sz="0" w:space="0" w:color="auto"/>
              </w:divBdr>
            </w:div>
          </w:divsChild>
        </w:div>
        <w:div w:id="510485551">
          <w:marLeft w:val="0"/>
          <w:marRight w:val="0"/>
          <w:marTop w:val="0"/>
          <w:marBottom w:val="0"/>
          <w:divBdr>
            <w:top w:val="none" w:sz="0" w:space="0" w:color="auto"/>
            <w:left w:val="none" w:sz="0" w:space="0" w:color="auto"/>
            <w:bottom w:val="none" w:sz="0" w:space="0" w:color="auto"/>
            <w:right w:val="none" w:sz="0" w:space="0" w:color="auto"/>
          </w:divBdr>
          <w:divsChild>
            <w:div w:id="307710575">
              <w:marLeft w:val="0"/>
              <w:marRight w:val="0"/>
              <w:marTop w:val="0"/>
              <w:marBottom w:val="0"/>
              <w:divBdr>
                <w:top w:val="none" w:sz="0" w:space="0" w:color="auto"/>
                <w:left w:val="none" w:sz="0" w:space="0" w:color="auto"/>
                <w:bottom w:val="none" w:sz="0" w:space="0" w:color="auto"/>
                <w:right w:val="none" w:sz="0" w:space="0" w:color="auto"/>
              </w:divBdr>
            </w:div>
          </w:divsChild>
        </w:div>
        <w:div w:id="512499034">
          <w:marLeft w:val="0"/>
          <w:marRight w:val="0"/>
          <w:marTop w:val="0"/>
          <w:marBottom w:val="0"/>
          <w:divBdr>
            <w:top w:val="none" w:sz="0" w:space="0" w:color="auto"/>
            <w:left w:val="none" w:sz="0" w:space="0" w:color="auto"/>
            <w:bottom w:val="none" w:sz="0" w:space="0" w:color="auto"/>
            <w:right w:val="none" w:sz="0" w:space="0" w:color="auto"/>
          </w:divBdr>
          <w:divsChild>
            <w:div w:id="1947274482">
              <w:marLeft w:val="0"/>
              <w:marRight w:val="0"/>
              <w:marTop w:val="0"/>
              <w:marBottom w:val="0"/>
              <w:divBdr>
                <w:top w:val="none" w:sz="0" w:space="0" w:color="auto"/>
                <w:left w:val="none" w:sz="0" w:space="0" w:color="auto"/>
                <w:bottom w:val="none" w:sz="0" w:space="0" w:color="auto"/>
                <w:right w:val="none" w:sz="0" w:space="0" w:color="auto"/>
              </w:divBdr>
            </w:div>
          </w:divsChild>
        </w:div>
        <w:div w:id="519003675">
          <w:marLeft w:val="0"/>
          <w:marRight w:val="0"/>
          <w:marTop w:val="0"/>
          <w:marBottom w:val="0"/>
          <w:divBdr>
            <w:top w:val="none" w:sz="0" w:space="0" w:color="auto"/>
            <w:left w:val="none" w:sz="0" w:space="0" w:color="auto"/>
            <w:bottom w:val="none" w:sz="0" w:space="0" w:color="auto"/>
            <w:right w:val="none" w:sz="0" w:space="0" w:color="auto"/>
          </w:divBdr>
          <w:divsChild>
            <w:div w:id="16392762">
              <w:marLeft w:val="0"/>
              <w:marRight w:val="0"/>
              <w:marTop w:val="0"/>
              <w:marBottom w:val="0"/>
              <w:divBdr>
                <w:top w:val="none" w:sz="0" w:space="0" w:color="auto"/>
                <w:left w:val="none" w:sz="0" w:space="0" w:color="auto"/>
                <w:bottom w:val="none" w:sz="0" w:space="0" w:color="auto"/>
                <w:right w:val="none" w:sz="0" w:space="0" w:color="auto"/>
              </w:divBdr>
            </w:div>
          </w:divsChild>
        </w:div>
        <w:div w:id="536622757">
          <w:marLeft w:val="0"/>
          <w:marRight w:val="0"/>
          <w:marTop w:val="0"/>
          <w:marBottom w:val="0"/>
          <w:divBdr>
            <w:top w:val="none" w:sz="0" w:space="0" w:color="auto"/>
            <w:left w:val="none" w:sz="0" w:space="0" w:color="auto"/>
            <w:bottom w:val="none" w:sz="0" w:space="0" w:color="auto"/>
            <w:right w:val="none" w:sz="0" w:space="0" w:color="auto"/>
          </w:divBdr>
          <w:divsChild>
            <w:div w:id="2123766093">
              <w:marLeft w:val="0"/>
              <w:marRight w:val="0"/>
              <w:marTop w:val="0"/>
              <w:marBottom w:val="0"/>
              <w:divBdr>
                <w:top w:val="none" w:sz="0" w:space="0" w:color="auto"/>
                <w:left w:val="none" w:sz="0" w:space="0" w:color="auto"/>
                <w:bottom w:val="none" w:sz="0" w:space="0" w:color="auto"/>
                <w:right w:val="none" w:sz="0" w:space="0" w:color="auto"/>
              </w:divBdr>
            </w:div>
          </w:divsChild>
        </w:div>
        <w:div w:id="537352726">
          <w:marLeft w:val="0"/>
          <w:marRight w:val="0"/>
          <w:marTop w:val="0"/>
          <w:marBottom w:val="0"/>
          <w:divBdr>
            <w:top w:val="none" w:sz="0" w:space="0" w:color="auto"/>
            <w:left w:val="none" w:sz="0" w:space="0" w:color="auto"/>
            <w:bottom w:val="none" w:sz="0" w:space="0" w:color="auto"/>
            <w:right w:val="none" w:sz="0" w:space="0" w:color="auto"/>
          </w:divBdr>
          <w:divsChild>
            <w:div w:id="1664550967">
              <w:marLeft w:val="0"/>
              <w:marRight w:val="0"/>
              <w:marTop w:val="0"/>
              <w:marBottom w:val="0"/>
              <w:divBdr>
                <w:top w:val="none" w:sz="0" w:space="0" w:color="auto"/>
                <w:left w:val="none" w:sz="0" w:space="0" w:color="auto"/>
                <w:bottom w:val="none" w:sz="0" w:space="0" w:color="auto"/>
                <w:right w:val="none" w:sz="0" w:space="0" w:color="auto"/>
              </w:divBdr>
            </w:div>
          </w:divsChild>
        </w:div>
        <w:div w:id="542133305">
          <w:marLeft w:val="0"/>
          <w:marRight w:val="0"/>
          <w:marTop w:val="0"/>
          <w:marBottom w:val="0"/>
          <w:divBdr>
            <w:top w:val="none" w:sz="0" w:space="0" w:color="auto"/>
            <w:left w:val="none" w:sz="0" w:space="0" w:color="auto"/>
            <w:bottom w:val="none" w:sz="0" w:space="0" w:color="auto"/>
            <w:right w:val="none" w:sz="0" w:space="0" w:color="auto"/>
          </w:divBdr>
          <w:divsChild>
            <w:div w:id="1435054081">
              <w:marLeft w:val="0"/>
              <w:marRight w:val="0"/>
              <w:marTop w:val="0"/>
              <w:marBottom w:val="0"/>
              <w:divBdr>
                <w:top w:val="none" w:sz="0" w:space="0" w:color="auto"/>
                <w:left w:val="none" w:sz="0" w:space="0" w:color="auto"/>
                <w:bottom w:val="none" w:sz="0" w:space="0" w:color="auto"/>
                <w:right w:val="none" w:sz="0" w:space="0" w:color="auto"/>
              </w:divBdr>
            </w:div>
          </w:divsChild>
        </w:div>
        <w:div w:id="545070092">
          <w:marLeft w:val="0"/>
          <w:marRight w:val="0"/>
          <w:marTop w:val="0"/>
          <w:marBottom w:val="0"/>
          <w:divBdr>
            <w:top w:val="none" w:sz="0" w:space="0" w:color="auto"/>
            <w:left w:val="none" w:sz="0" w:space="0" w:color="auto"/>
            <w:bottom w:val="none" w:sz="0" w:space="0" w:color="auto"/>
            <w:right w:val="none" w:sz="0" w:space="0" w:color="auto"/>
          </w:divBdr>
          <w:divsChild>
            <w:div w:id="2088962490">
              <w:marLeft w:val="0"/>
              <w:marRight w:val="0"/>
              <w:marTop w:val="0"/>
              <w:marBottom w:val="0"/>
              <w:divBdr>
                <w:top w:val="none" w:sz="0" w:space="0" w:color="auto"/>
                <w:left w:val="none" w:sz="0" w:space="0" w:color="auto"/>
                <w:bottom w:val="none" w:sz="0" w:space="0" w:color="auto"/>
                <w:right w:val="none" w:sz="0" w:space="0" w:color="auto"/>
              </w:divBdr>
            </w:div>
          </w:divsChild>
        </w:div>
        <w:div w:id="581569843">
          <w:marLeft w:val="0"/>
          <w:marRight w:val="0"/>
          <w:marTop w:val="0"/>
          <w:marBottom w:val="0"/>
          <w:divBdr>
            <w:top w:val="none" w:sz="0" w:space="0" w:color="auto"/>
            <w:left w:val="none" w:sz="0" w:space="0" w:color="auto"/>
            <w:bottom w:val="none" w:sz="0" w:space="0" w:color="auto"/>
            <w:right w:val="none" w:sz="0" w:space="0" w:color="auto"/>
          </w:divBdr>
          <w:divsChild>
            <w:div w:id="245772175">
              <w:marLeft w:val="0"/>
              <w:marRight w:val="0"/>
              <w:marTop w:val="0"/>
              <w:marBottom w:val="0"/>
              <w:divBdr>
                <w:top w:val="none" w:sz="0" w:space="0" w:color="auto"/>
                <w:left w:val="none" w:sz="0" w:space="0" w:color="auto"/>
                <w:bottom w:val="none" w:sz="0" w:space="0" w:color="auto"/>
                <w:right w:val="none" w:sz="0" w:space="0" w:color="auto"/>
              </w:divBdr>
            </w:div>
          </w:divsChild>
        </w:div>
        <w:div w:id="585194904">
          <w:marLeft w:val="0"/>
          <w:marRight w:val="0"/>
          <w:marTop w:val="0"/>
          <w:marBottom w:val="0"/>
          <w:divBdr>
            <w:top w:val="none" w:sz="0" w:space="0" w:color="auto"/>
            <w:left w:val="none" w:sz="0" w:space="0" w:color="auto"/>
            <w:bottom w:val="none" w:sz="0" w:space="0" w:color="auto"/>
            <w:right w:val="none" w:sz="0" w:space="0" w:color="auto"/>
          </w:divBdr>
          <w:divsChild>
            <w:div w:id="1665550188">
              <w:marLeft w:val="0"/>
              <w:marRight w:val="0"/>
              <w:marTop w:val="0"/>
              <w:marBottom w:val="0"/>
              <w:divBdr>
                <w:top w:val="none" w:sz="0" w:space="0" w:color="auto"/>
                <w:left w:val="none" w:sz="0" w:space="0" w:color="auto"/>
                <w:bottom w:val="none" w:sz="0" w:space="0" w:color="auto"/>
                <w:right w:val="none" w:sz="0" w:space="0" w:color="auto"/>
              </w:divBdr>
            </w:div>
          </w:divsChild>
        </w:div>
        <w:div w:id="597064245">
          <w:marLeft w:val="0"/>
          <w:marRight w:val="0"/>
          <w:marTop w:val="0"/>
          <w:marBottom w:val="0"/>
          <w:divBdr>
            <w:top w:val="none" w:sz="0" w:space="0" w:color="auto"/>
            <w:left w:val="none" w:sz="0" w:space="0" w:color="auto"/>
            <w:bottom w:val="none" w:sz="0" w:space="0" w:color="auto"/>
            <w:right w:val="none" w:sz="0" w:space="0" w:color="auto"/>
          </w:divBdr>
          <w:divsChild>
            <w:div w:id="933171362">
              <w:marLeft w:val="0"/>
              <w:marRight w:val="0"/>
              <w:marTop w:val="0"/>
              <w:marBottom w:val="0"/>
              <w:divBdr>
                <w:top w:val="none" w:sz="0" w:space="0" w:color="auto"/>
                <w:left w:val="none" w:sz="0" w:space="0" w:color="auto"/>
                <w:bottom w:val="none" w:sz="0" w:space="0" w:color="auto"/>
                <w:right w:val="none" w:sz="0" w:space="0" w:color="auto"/>
              </w:divBdr>
            </w:div>
          </w:divsChild>
        </w:div>
        <w:div w:id="608852095">
          <w:marLeft w:val="0"/>
          <w:marRight w:val="0"/>
          <w:marTop w:val="0"/>
          <w:marBottom w:val="0"/>
          <w:divBdr>
            <w:top w:val="none" w:sz="0" w:space="0" w:color="auto"/>
            <w:left w:val="none" w:sz="0" w:space="0" w:color="auto"/>
            <w:bottom w:val="none" w:sz="0" w:space="0" w:color="auto"/>
            <w:right w:val="none" w:sz="0" w:space="0" w:color="auto"/>
          </w:divBdr>
          <w:divsChild>
            <w:div w:id="1379471906">
              <w:marLeft w:val="0"/>
              <w:marRight w:val="0"/>
              <w:marTop w:val="0"/>
              <w:marBottom w:val="0"/>
              <w:divBdr>
                <w:top w:val="none" w:sz="0" w:space="0" w:color="auto"/>
                <w:left w:val="none" w:sz="0" w:space="0" w:color="auto"/>
                <w:bottom w:val="none" w:sz="0" w:space="0" w:color="auto"/>
                <w:right w:val="none" w:sz="0" w:space="0" w:color="auto"/>
              </w:divBdr>
            </w:div>
          </w:divsChild>
        </w:div>
        <w:div w:id="619996092">
          <w:marLeft w:val="0"/>
          <w:marRight w:val="0"/>
          <w:marTop w:val="0"/>
          <w:marBottom w:val="0"/>
          <w:divBdr>
            <w:top w:val="none" w:sz="0" w:space="0" w:color="auto"/>
            <w:left w:val="none" w:sz="0" w:space="0" w:color="auto"/>
            <w:bottom w:val="none" w:sz="0" w:space="0" w:color="auto"/>
            <w:right w:val="none" w:sz="0" w:space="0" w:color="auto"/>
          </w:divBdr>
          <w:divsChild>
            <w:div w:id="277951983">
              <w:marLeft w:val="0"/>
              <w:marRight w:val="0"/>
              <w:marTop w:val="0"/>
              <w:marBottom w:val="0"/>
              <w:divBdr>
                <w:top w:val="none" w:sz="0" w:space="0" w:color="auto"/>
                <w:left w:val="none" w:sz="0" w:space="0" w:color="auto"/>
                <w:bottom w:val="none" w:sz="0" w:space="0" w:color="auto"/>
                <w:right w:val="none" w:sz="0" w:space="0" w:color="auto"/>
              </w:divBdr>
            </w:div>
          </w:divsChild>
        </w:div>
        <w:div w:id="620502373">
          <w:marLeft w:val="0"/>
          <w:marRight w:val="0"/>
          <w:marTop w:val="0"/>
          <w:marBottom w:val="0"/>
          <w:divBdr>
            <w:top w:val="none" w:sz="0" w:space="0" w:color="auto"/>
            <w:left w:val="none" w:sz="0" w:space="0" w:color="auto"/>
            <w:bottom w:val="none" w:sz="0" w:space="0" w:color="auto"/>
            <w:right w:val="none" w:sz="0" w:space="0" w:color="auto"/>
          </w:divBdr>
          <w:divsChild>
            <w:div w:id="865022984">
              <w:marLeft w:val="0"/>
              <w:marRight w:val="0"/>
              <w:marTop w:val="0"/>
              <w:marBottom w:val="0"/>
              <w:divBdr>
                <w:top w:val="none" w:sz="0" w:space="0" w:color="auto"/>
                <w:left w:val="none" w:sz="0" w:space="0" w:color="auto"/>
                <w:bottom w:val="none" w:sz="0" w:space="0" w:color="auto"/>
                <w:right w:val="none" w:sz="0" w:space="0" w:color="auto"/>
              </w:divBdr>
            </w:div>
          </w:divsChild>
        </w:div>
        <w:div w:id="630357439">
          <w:marLeft w:val="0"/>
          <w:marRight w:val="0"/>
          <w:marTop w:val="0"/>
          <w:marBottom w:val="0"/>
          <w:divBdr>
            <w:top w:val="none" w:sz="0" w:space="0" w:color="auto"/>
            <w:left w:val="none" w:sz="0" w:space="0" w:color="auto"/>
            <w:bottom w:val="none" w:sz="0" w:space="0" w:color="auto"/>
            <w:right w:val="none" w:sz="0" w:space="0" w:color="auto"/>
          </w:divBdr>
          <w:divsChild>
            <w:div w:id="2107075993">
              <w:marLeft w:val="0"/>
              <w:marRight w:val="0"/>
              <w:marTop w:val="0"/>
              <w:marBottom w:val="0"/>
              <w:divBdr>
                <w:top w:val="none" w:sz="0" w:space="0" w:color="auto"/>
                <w:left w:val="none" w:sz="0" w:space="0" w:color="auto"/>
                <w:bottom w:val="none" w:sz="0" w:space="0" w:color="auto"/>
                <w:right w:val="none" w:sz="0" w:space="0" w:color="auto"/>
              </w:divBdr>
            </w:div>
          </w:divsChild>
        </w:div>
        <w:div w:id="632946872">
          <w:marLeft w:val="0"/>
          <w:marRight w:val="0"/>
          <w:marTop w:val="0"/>
          <w:marBottom w:val="0"/>
          <w:divBdr>
            <w:top w:val="none" w:sz="0" w:space="0" w:color="auto"/>
            <w:left w:val="none" w:sz="0" w:space="0" w:color="auto"/>
            <w:bottom w:val="none" w:sz="0" w:space="0" w:color="auto"/>
            <w:right w:val="none" w:sz="0" w:space="0" w:color="auto"/>
          </w:divBdr>
          <w:divsChild>
            <w:div w:id="1903784866">
              <w:marLeft w:val="0"/>
              <w:marRight w:val="0"/>
              <w:marTop w:val="0"/>
              <w:marBottom w:val="0"/>
              <w:divBdr>
                <w:top w:val="none" w:sz="0" w:space="0" w:color="auto"/>
                <w:left w:val="none" w:sz="0" w:space="0" w:color="auto"/>
                <w:bottom w:val="none" w:sz="0" w:space="0" w:color="auto"/>
                <w:right w:val="none" w:sz="0" w:space="0" w:color="auto"/>
              </w:divBdr>
            </w:div>
          </w:divsChild>
        </w:div>
        <w:div w:id="640617643">
          <w:marLeft w:val="0"/>
          <w:marRight w:val="0"/>
          <w:marTop w:val="0"/>
          <w:marBottom w:val="0"/>
          <w:divBdr>
            <w:top w:val="none" w:sz="0" w:space="0" w:color="auto"/>
            <w:left w:val="none" w:sz="0" w:space="0" w:color="auto"/>
            <w:bottom w:val="none" w:sz="0" w:space="0" w:color="auto"/>
            <w:right w:val="none" w:sz="0" w:space="0" w:color="auto"/>
          </w:divBdr>
          <w:divsChild>
            <w:div w:id="189539461">
              <w:marLeft w:val="0"/>
              <w:marRight w:val="0"/>
              <w:marTop w:val="0"/>
              <w:marBottom w:val="0"/>
              <w:divBdr>
                <w:top w:val="none" w:sz="0" w:space="0" w:color="auto"/>
                <w:left w:val="none" w:sz="0" w:space="0" w:color="auto"/>
                <w:bottom w:val="none" w:sz="0" w:space="0" w:color="auto"/>
                <w:right w:val="none" w:sz="0" w:space="0" w:color="auto"/>
              </w:divBdr>
            </w:div>
          </w:divsChild>
        </w:div>
        <w:div w:id="643119700">
          <w:marLeft w:val="0"/>
          <w:marRight w:val="0"/>
          <w:marTop w:val="0"/>
          <w:marBottom w:val="0"/>
          <w:divBdr>
            <w:top w:val="none" w:sz="0" w:space="0" w:color="auto"/>
            <w:left w:val="none" w:sz="0" w:space="0" w:color="auto"/>
            <w:bottom w:val="none" w:sz="0" w:space="0" w:color="auto"/>
            <w:right w:val="none" w:sz="0" w:space="0" w:color="auto"/>
          </w:divBdr>
          <w:divsChild>
            <w:div w:id="1447193288">
              <w:marLeft w:val="0"/>
              <w:marRight w:val="0"/>
              <w:marTop w:val="0"/>
              <w:marBottom w:val="0"/>
              <w:divBdr>
                <w:top w:val="none" w:sz="0" w:space="0" w:color="auto"/>
                <w:left w:val="none" w:sz="0" w:space="0" w:color="auto"/>
                <w:bottom w:val="none" w:sz="0" w:space="0" w:color="auto"/>
                <w:right w:val="none" w:sz="0" w:space="0" w:color="auto"/>
              </w:divBdr>
            </w:div>
          </w:divsChild>
        </w:div>
        <w:div w:id="643973585">
          <w:marLeft w:val="0"/>
          <w:marRight w:val="0"/>
          <w:marTop w:val="0"/>
          <w:marBottom w:val="0"/>
          <w:divBdr>
            <w:top w:val="none" w:sz="0" w:space="0" w:color="auto"/>
            <w:left w:val="none" w:sz="0" w:space="0" w:color="auto"/>
            <w:bottom w:val="none" w:sz="0" w:space="0" w:color="auto"/>
            <w:right w:val="none" w:sz="0" w:space="0" w:color="auto"/>
          </w:divBdr>
          <w:divsChild>
            <w:div w:id="210852641">
              <w:marLeft w:val="0"/>
              <w:marRight w:val="0"/>
              <w:marTop w:val="0"/>
              <w:marBottom w:val="0"/>
              <w:divBdr>
                <w:top w:val="none" w:sz="0" w:space="0" w:color="auto"/>
                <w:left w:val="none" w:sz="0" w:space="0" w:color="auto"/>
                <w:bottom w:val="none" w:sz="0" w:space="0" w:color="auto"/>
                <w:right w:val="none" w:sz="0" w:space="0" w:color="auto"/>
              </w:divBdr>
            </w:div>
          </w:divsChild>
        </w:div>
        <w:div w:id="650721437">
          <w:marLeft w:val="0"/>
          <w:marRight w:val="0"/>
          <w:marTop w:val="0"/>
          <w:marBottom w:val="0"/>
          <w:divBdr>
            <w:top w:val="none" w:sz="0" w:space="0" w:color="auto"/>
            <w:left w:val="none" w:sz="0" w:space="0" w:color="auto"/>
            <w:bottom w:val="none" w:sz="0" w:space="0" w:color="auto"/>
            <w:right w:val="none" w:sz="0" w:space="0" w:color="auto"/>
          </w:divBdr>
          <w:divsChild>
            <w:div w:id="473985210">
              <w:marLeft w:val="0"/>
              <w:marRight w:val="0"/>
              <w:marTop w:val="0"/>
              <w:marBottom w:val="0"/>
              <w:divBdr>
                <w:top w:val="none" w:sz="0" w:space="0" w:color="auto"/>
                <w:left w:val="none" w:sz="0" w:space="0" w:color="auto"/>
                <w:bottom w:val="none" w:sz="0" w:space="0" w:color="auto"/>
                <w:right w:val="none" w:sz="0" w:space="0" w:color="auto"/>
              </w:divBdr>
            </w:div>
          </w:divsChild>
        </w:div>
        <w:div w:id="654187081">
          <w:marLeft w:val="0"/>
          <w:marRight w:val="0"/>
          <w:marTop w:val="0"/>
          <w:marBottom w:val="0"/>
          <w:divBdr>
            <w:top w:val="none" w:sz="0" w:space="0" w:color="auto"/>
            <w:left w:val="none" w:sz="0" w:space="0" w:color="auto"/>
            <w:bottom w:val="none" w:sz="0" w:space="0" w:color="auto"/>
            <w:right w:val="none" w:sz="0" w:space="0" w:color="auto"/>
          </w:divBdr>
          <w:divsChild>
            <w:div w:id="1755591811">
              <w:marLeft w:val="0"/>
              <w:marRight w:val="0"/>
              <w:marTop w:val="0"/>
              <w:marBottom w:val="0"/>
              <w:divBdr>
                <w:top w:val="none" w:sz="0" w:space="0" w:color="auto"/>
                <w:left w:val="none" w:sz="0" w:space="0" w:color="auto"/>
                <w:bottom w:val="none" w:sz="0" w:space="0" w:color="auto"/>
                <w:right w:val="none" w:sz="0" w:space="0" w:color="auto"/>
              </w:divBdr>
            </w:div>
          </w:divsChild>
        </w:div>
        <w:div w:id="654646925">
          <w:marLeft w:val="0"/>
          <w:marRight w:val="0"/>
          <w:marTop w:val="0"/>
          <w:marBottom w:val="0"/>
          <w:divBdr>
            <w:top w:val="none" w:sz="0" w:space="0" w:color="auto"/>
            <w:left w:val="none" w:sz="0" w:space="0" w:color="auto"/>
            <w:bottom w:val="none" w:sz="0" w:space="0" w:color="auto"/>
            <w:right w:val="none" w:sz="0" w:space="0" w:color="auto"/>
          </w:divBdr>
          <w:divsChild>
            <w:div w:id="2041583882">
              <w:marLeft w:val="0"/>
              <w:marRight w:val="0"/>
              <w:marTop w:val="0"/>
              <w:marBottom w:val="0"/>
              <w:divBdr>
                <w:top w:val="none" w:sz="0" w:space="0" w:color="auto"/>
                <w:left w:val="none" w:sz="0" w:space="0" w:color="auto"/>
                <w:bottom w:val="none" w:sz="0" w:space="0" w:color="auto"/>
                <w:right w:val="none" w:sz="0" w:space="0" w:color="auto"/>
              </w:divBdr>
            </w:div>
          </w:divsChild>
        </w:div>
        <w:div w:id="657030522">
          <w:marLeft w:val="0"/>
          <w:marRight w:val="0"/>
          <w:marTop w:val="0"/>
          <w:marBottom w:val="0"/>
          <w:divBdr>
            <w:top w:val="none" w:sz="0" w:space="0" w:color="auto"/>
            <w:left w:val="none" w:sz="0" w:space="0" w:color="auto"/>
            <w:bottom w:val="none" w:sz="0" w:space="0" w:color="auto"/>
            <w:right w:val="none" w:sz="0" w:space="0" w:color="auto"/>
          </w:divBdr>
          <w:divsChild>
            <w:div w:id="1262758802">
              <w:marLeft w:val="0"/>
              <w:marRight w:val="0"/>
              <w:marTop w:val="0"/>
              <w:marBottom w:val="0"/>
              <w:divBdr>
                <w:top w:val="none" w:sz="0" w:space="0" w:color="auto"/>
                <w:left w:val="none" w:sz="0" w:space="0" w:color="auto"/>
                <w:bottom w:val="none" w:sz="0" w:space="0" w:color="auto"/>
                <w:right w:val="none" w:sz="0" w:space="0" w:color="auto"/>
              </w:divBdr>
            </w:div>
          </w:divsChild>
        </w:div>
        <w:div w:id="660038886">
          <w:marLeft w:val="0"/>
          <w:marRight w:val="0"/>
          <w:marTop w:val="0"/>
          <w:marBottom w:val="0"/>
          <w:divBdr>
            <w:top w:val="none" w:sz="0" w:space="0" w:color="auto"/>
            <w:left w:val="none" w:sz="0" w:space="0" w:color="auto"/>
            <w:bottom w:val="none" w:sz="0" w:space="0" w:color="auto"/>
            <w:right w:val="none" w:sz="0" w:space="0" w:color="auto"/>
          </w:divBdr>
          <w:divsChild>
            <w:div w:id="986588807">
              <w:marLeft w:val="0"/>
              <w:marRight w:val="0"/>
              <w:marTop w:val="0"/>
              <w:marBottom w:val="0"/>
              <w:divBdr>
                <w:top w:val="none" w:sz="0" w:space="0" w:color="auto"/>
                <w:left w:val="none" w:sz="0" w:space="0" w:color="auto"/>
                <w:bottom w:val="none" w:sz="0" w:space="0" w:color="auto"/>
                <w:right w:val="none" w:sz="0" w:space="0" w:color="auto"/>
              </w:divBdr>
            </w:div>
          </w:divsChild>
        </w:div>
        <w:div w:id="661395790">
          <w:marLeft w:val="0"/>
          <w:marRight w:val="0"/>
          <w:marTop w:val="0"/>
          <w:marBottom w:val="0"/>
          <w:divBdr>
            <w:top w:val="none" w:sz="0" w:space="0" w:color="auto"/>
            <w:left w:val="none" w:sz="0" w:space="0" w:color="auto"/>
            <w:bottom w:val="none" w:sz="0" w:space="0" w:color="auto"/>
            <w:right w:val="none" w:sz="0" w:space="0" w:color="auto"/>
          </w:divBdr>
          <w:divsChild>
            <w:div w:id="1957523795">
              <w:marLeft w:val="0"/>
              <w:marRight w:val="0"/>
              <w:marTop w:val="0"/>
              <w:marBottom w:val="0"/>
              <w:divBdr>
                <w:top w:val="none" w:sz="0" w:space="0" w:color="auto"/>
                <w:left w:val="none" w:sz="0" w:space="0" w:color="auto"/>
                <w:bottom w:val="none" w:sz="0" w:space="0" w:color="auto"/>
                <w:right w:val="none" w:sz="0" w:space="0" w:color="auto"/>
              </w:divBdr>
            </w:div>
          </w:divsChild>
        </w:div>
        <w:div w:id="662195801">
          <w:marLeft w:val="0"/>
          <w:marRight w:val="0"/>
          <w:marTop w:val="0"/>
          <w:marBottom w:val="0"/>
          <w:divBdr>
            <w:top w:val="none" w:sz="0" w:space="0" w:color="auto"/>
            <w:left w:val="none" w:sz="0" w:space="0" w:color="auto"/>
            <w:bottom w:val="none" w:sz="0" w:space="0" w:color="auto"/>
            <w:right w:val="none" w:sz="0" w:space="0" w:color="auto"/>
          </w:divBdr>
          <w:divsChild>
            <w:div w:id="590551276">
              <w:marLeft w:val="0"/>
              <w:marRight w:val="0"/>
              <w:marTop w:val="0"/>
              <w:marBottom w:val="0"/>
              <w:divBdr>
                <w:top w:val="none" w:sz="0" w:space="0" w:color="auto"/>
                <w:left w:val="none" w:sz="0" w:space="0" w:color="auto"/>
                <w:bottom w:val="none" w:sz="0" w:space="0" w:color="auto"/>
                <w:right w:val="none" w:sz="0" w:space="0" w:color="auto"/>
              </w:divBdr>
            </w:div>
          </w:divsChild>
        </w:div>
        <w:div w:id="672533882">
          <w:marLeft w:val="0"/>
          <w:marRight w:val="0"/>
          <w:marTop w:val="0"/>
          <w:marBottom w:val="0"/>
          <w:divBdr>
            <w:top w:val="none" w:sz="0" w:space="0" w:color="auto"/>
            <w:left w:val="none" w:sz="0" w:space="0" w:color="auto"/>
            <w:bottom w:val="none" w:sz="0" w:space="0" w:color="auto"/>
            <w:right w:val="none" w:sz="0" w:space="0" w:color="auto"/>
          </w:divBdr>
          <w:divsChild>
            <w:div w:id="1328900965">
              <w:marLeft w:val="0"/>
              <w:marRight w:val="0"/>
              <w:marTop w:val="0"/>
              <w:marBottom w:val="0"/>
              <w:divBdr>
                <w:top w:val="none" w:sz="0" w:space="0" w:color="auto"/>
                <w:left w:val="none" w:sz="0" w:space="0" w:color="auto"/>
                <w:bottom w:val="none" w:sz="0" w:space="0" w:color="auto"/>
                <w:right w:val="none" w:sz="0" w:space="0" w:color="auto"/>
              </w:divBdr>
            </w:div>
          </w:divsChild>
        </w:div>
        <w:div w:id="674498154">
          <w:marLeft w:val="0"/>
          <w:marRight w:val="0"/>
          <w:marTop w:val="0"/>
          <w:marBottom w:val="0"/>
          <w:divBdr>
            <w:top w:val="none" w:sz="0" w:space="0" w:color="auto"/>
            <w:left w:val="none" w:sz="0" w:space="0" w:color="auto"/>
            <w:bottom w:val="none" w:sz="0" w:space="0" w:color="auto"/>
            <w:right w:val="none" w:sz="0" w:space="0" w:color="auto"/>
          </w:divBdr>
          <w:divsChild>
            <w:div w:id="382677857">
              <w:marLeft w:val="0"/>
              <w:marRight w:val="0"/>
              <w:marTop w:val="0"/>
              <w:marBottom w:val="0"/>
              <w:divBdr>
                <w:top w:val="none" w:sz="0" w:space="0" w:color="auto"/>
                <w:left w:val="none" w:sz="0" w:space="0" w:color="auto"/>
                <w:bottom w:val="none" w:sz="0" w:space="0" w:color="auto"/>
                <w:right w:val="none" w:sz="0" w:space="0" w:color="auto"/>
              </w:divBdr>
            </w:div>
          </w:divsChild>
        </w:div>
        <w:div w:id="678847730">
          <w:marLeft w:val="0"/>
          <w:marRight w:val="0"/>
          <w:marTop w:val="0"/>
          <w:marBottom w:val="0"/>
          <w:divBdr>
            <w:top w:val="none" w:sz="0" w:space="0" w:color="auto"/>
            <w:left w:val="none" w:sz="0" w:space="0" w:color="auto"/>
            <w:bottom w:val="none" w:sz="0" w:space="0" w:color="auto"/>
            <w:right w:val="none" w:sz="0" w:space="0" w:color="auto"/>
          </w:divBdr>
          <w:divsChild>
            <w:div w:id="389691357">
              <w:marLeft w:val="0"/>
              <w:marRight w:val="0"/>
              <w:marTop w:val="0"/>
              <w:marBottom w:val="0"/>
              <w:divBdr>
                <w:top w:val="none" w:sz="0" w:space="0" w:color="auto"/>
                <w:left w:val="none" w:sz="0" w:space="0" w:color="auto"/>
                <w:bottom w:val="none" w:sz="0" w:space="0" w:color="auto"/>
                <w:right w:val="none" w:sz="0" w:space="0" w:color="auto"/>
              </w:divBdr>
            </w:div>
          </w:divsChild>
        </w:div>
        <w:div w:id="686566399">
          <w:marLeft w:val="0"/>
          <w:marRight w:val="0"/>
          <w:marTop w:val="0"/>
          <w:marBottom w:val="0"/>
          <w:divBdr>
            <w:top w:val="none" w:sz="0" w:space="0" w:color="auto"/>
            <w:left w:val="none" w:sz="0" w:space="0" w:color="auto"/>
            <w:bottom w:val="none" w:sz="0" w:space="0" w:color="auto"/>
            <w:right w:val="none" w:sz="0" w:space="0" w:color="auto"/>
          </w:divBdr>
          <w:divsChild>
            <w:div w:id="1077946071">
              <w:marLeft w:val="0"/>
              <w:marRight w:val="0"/>
              <w:marTop w:val="0"/>
              <w:marBottom w:val="0"/>
              <w:divBdr>
                <w:top w:val="none" w:sz="0" w:space="0" w:color="auto"/>
                <w:left w:val="none" w:sz="0" w:space="0" w:color="auto"/>
                <w:bottom w:val="none" w:sz="0" w:space="0" w:color="auto"/>
                <w:right w:val="none" w:sz="0" w:space="0" w:color="auto"/>
              </w:divBdr>
            </w:div>
          </w:divsChild>
        </w:div>
        <w:div w:id="688994743">
          <w:marLeft w:val="0"/>
          <w:marRight w:val="0"/>
          <w:marTop w:val="0"/>
          <w:marBottom w:val="0"/>
          <w:divBdr>
            <w:top w:val="none" w:sz="0" w:space="0" w:color="auto"/>
            <w:left w:val="none" w:sz="0" w:space="0" w:color="auto"/>
            <w:bottom w:val="none" w:sz="0" w:space="0" w:color="auto"/>
            <w:right w:val="none" w:sz="0" w:space="0" w:color="auto"/>
          </w:divBdr>
          <w:divsChild>
            <w:div w:id="547910288">
              <w:marLeft w:val="0"/>
              <w:marRight w:val="0"/>
              <w:marTop w:val="0"/>
              <w:marBottom w:val="0"/>
              <w:divBdr>
                <w:top w:val="none" w:sz="0" w:space="0" w:color="auto"/>
                <w:left w:val="none" w:sz="0" w:space="0" w:color="auto"/>
                <w:bottom w:val="none" w:sz="0" w:space="0" w:color="auto"/>
                <w:right w:val="none" w:sz="0" w:space="0" w:color="auto"/>
              </w:divBdr>
            </w:div>
          </w:divsChild>
        </w:div>
        <w:div w:id="690375299">
          <w:marLeft w:val="0"/>
          <w:marRight w:val="0"/>
          <w:marTop w:val="0"/>
          <w:marBottom w:val="0"/>
          <w:divBdr>
            <w:top w:val="none" w:sz="0" w:space="0" w:color="auto"/>
            <w:left w:val="none" w:sz="0" w:space="0" w:color="auto"/>
            <w:bottom w:val="none" w:sz="0" w:space="0" w:color="auto"/>
            <w:right w:val="none" w:sz="0" w:space="0" w:color="auto"/>
          </w:divBdr>
          <w:divsChild>
            <w:div w:id="1419056631">
              <w:marLeft w:val="0"/>
              <w:marRight w:val="0"/>
              <w:marTop w:val="0"/>
              <w:marBottom w:val="0"/>
              <w:divBdr>
                <w:top w:val="none" w:sz="0" w:space="0" w:color="auto"/>
                <w:left w:val="none" w:sz="0" w:space="0" w:color="auto"/>
                <w:bottom w:val="none" w:sz="0" w:space="0" w:color="auto"/>
                <w:right w:val="none" w:sz="0" w:space="0" w:color="auto"/>
              </w:divBdr>
            </w:div>
          </w:divsChild>
        </w:div>
        <w:div w:id="690573916">
          <w:marLeft w:val="0"/>
          <w:marRight w:val="0"/>
          <w:marTop w:val="0"/>
          <w:marBottom w:val="0"/>
          <w:divBdr>
            <w:top w:val="none" w:sz="0" w:space="0" w:color="auto"/>
            <w:left w:val="none" w:sz="0" w:space="0" w:color="auto"/>
            <w:bottom w:val="none" w:sz="0" w:space="0" w:color="auto"/>
            <w:right w:val="none" w:sz="0" w:space="0" w:color="auto"/>
          </w:divBdr>
          <w:divsChild>
            <w:div w:id="1755393735">
              <w:marLeft w:val="0"/>
              <w:marRight w:val="0"/>
              <w:marTop w:val="0"/>
              <w:marBottom w:val="0"/>
              <w:divBdr>
                <w:top w:val="none" w:sz="0" w:space="0" w:color="auto"/>
                <w:left w:val="none" w:sz="0" w:space="0" w:color="auto"/>
                <w:bottom w:val="none" w:sz="0" w:space="0" w:color="auto"/>
                <w:right w:val="none" w:sz="0" w:space="0" w:color="auto"/>
              </w:divBdr>
            </w:div>
          </w:divsChild>
        </w:div>
        <w:div w:id="692531466">
          <w:marLeft w:val="0"/>
          <w:marRight w:val="0"/>
          <w:marTop w:val="0"/>
          <w:marBottom w:val="0"/>
          <w:divBdr>
            <w:top w:val="none" w:sz="0" w:space="0" w:color="auto"/>
            <w:left w:val="none" w:sz="0" w:space="0" w:color="auto"/>
            <w:bottom w:val="none" w:sz="0" w:space="0" w:color="auto"/>
            <w:right w:val="none" w:sz="0" w:space="0" w:color="auto"/>
          </w:divBdr>
          <w:divsChild>
            <w:div w:id="2101944113">
              <w:marLeft w:val="0"/>
              <w:marRight w:val="0"/>
              <w:marTop w:val="0"/>
              <w:marBottom w:val="0"/>
              <w:divBdr>
                <w:top w:val="none" w:sz="0" w:space="0" w:color="auto"/>
                <w:left w:val="none" w:sz="0" w:space="0" w:color="auto"/>
                <w:bottom w:val="none" w:sz="0" w:space="0" w:color="auto"/>
                <w:right w:val="none" w:sz="0" w:space="0" w:color="auto"/>
              </w:divBdr>
            </w:div>
          </w:divsChild>
        </w:div>
        <w:div w:id="712193218">
          <w:marLeft w:val="0"/>
          <w:marRight w:val="0"/>
          <w:marTop w:val="0"/>
          <w:marBottom w:val="0"/>
          <w:divBdr>
            <w:top w:val="none" w:sz="0" w:space="0" w:color="auto"/>
            <w:left w:val="none" w:sz="0" w:space="0" w:color="auto"/>
            <w:bottom w:val="none" w:sz="0" w:space="0" w:color="auto"/>
            <w:right w:val="none" w:sz="0" w:space="0" w:color="auto"/>
          </w:divBdr>
          <w:divsChild>
            <w:div w:id="1328249415">
              <w:marLeft w:val="0"/>
              <w:marRight w:val="0"/>
              <w:marTop w:val="0"/>
              <w:marBottom w:val="0"/>
              <w:divBdr>
                <w:top w:val="none" w:sz="0" w:space="0" w:color="auto"/>
                <w:left w:val="none" w:sz="0" w:space="0" w:color="auto"/>
                <w:bottom w:val="none" w:sz="0" w:space="0" w:color="auto"/>
                <w:right w:val="none" w:sz="0" w:space="0" w:color="auto"/>
              </w:divBdr>
            </w:div>
          </w:divsChild>
        </w:div>
        <w:div w:id="713428409">
          <w:marLeft w:val="0"/>
          <w:marRight w:val="0"/>
          <w:marTop w:val="0"/>
          <w:marBottom w:val="0"/>
          <w:divBdr>
            <w:top w:val="none" w:sz="0" w:space="0" w:color="auto"/>
            <w:left w:val="none" w:sz="0" w:space="0" w:color="auto"/>
            <w:bottom w:val="none" w:sz="0" w:space="0" w:color="auto"/>
            <w:right w:val="none" w:sz="0" w:space="0" w:color="auto"/>
          </w:divBdr>
          <w:divsChild>
            <w:div w:id="314913023">
              <w:marLeft w:val="0"/>
              <w:marRight w:val="0"/>
              <w:marTop w:val="0"/>
              <w:marBottom w:val="0"/>
              <w:divBdr>
                <w:top w:val="none" w:sz="0" w:space="0" w:color="auto"/>
                <w:left w:val="none" w:sz="0" w:space="0" w:color="auto"/>
                <w:bottom w:val="none" w:sz="0" w:space="0" w:color="auto"/>
                <w:right w:val="none" w:sz="0" w:space="0" w:color="auto"/>
              </w:divBdr>
            </w:div>
          </w:divsChild>
        </w:div>
        <w:div w:id="714280727">
          <w:marLeft w:val="0"/>
          <w:marRight w:val="0"/>
          <w:marTop w:val="0"/>
          <w:marBottom w:val="0"/>
          <w:divBdr>
            <w:top w:val="none" w:sz="0" w:space="0" w:color="auto"/>
            <w:left w:val="none" w:sz="0" w:space="0" w:color="auto"/>
            <w:bottom w:val="none" w:sz="0" w:space="0" w:color="auto"/>
            <w:right w:val="none" w:sz="0" w:space="0" w:color="auto"/>
          </w:divBdr>
          <w:divsChild>
            <w:div w:id="1873761063">
              <w:marLeft w:val="0"/>
              <w:marRight w:val="0"/>
              <w:marTop w:val="0"/>
              <w:marBottom w:val="0"/>
              <w:divBdr>
                <w:top w:val="none" w:sz="0" w:space="0" w:color="auto"/>
                <w:left w:val="none" w:sz="0" w:space="0" w:color="auto"/>
                <w:bottom w:val="none" w:sz="0" w:space="0" w:color="auto"/>
                <w:right w:val="none" w:sz="0" w:space="0" w:color="auto"/>
              </w:divBdr>
            </w:div>
          </w:divsChild>
        </w:div>
        <w:div w:id="718550157">
          <w:marLeft w:val="0"/>
          <w:marRight w:val="0"/>
          <w:marTop w:val="0"/>
          <w:marBottom w:val="0"/>
          <w:divBdr>
            <w:top w:val="none" w:sz="0" w:space="0" w:color="auto"/>
            <w:left w:val="none" w:sz="0" w:space="0" w:color="auto"/>
            <w:bottom w:val="none" w:sz="0" w:space="0" w:color="auto"/>
            <w:right w:val="none" w:sz="0" w:space="0" w:color="auto"/>
          </w:divBdr>
          <w:divsChild>
            <w:div w:id="974339484">
              <w:marLeft w:val="0"/>
              <w:marRight w:val="0"/>
              <w:marTop w:val="0"/>
              <w:marBottom w:val="0"/>
              <w:divBdr>
                <w:top w:val="none" w:sz="0" w:space="0" w:color="auto"/>
                <w:left w:val="none" w:sz="0" w:space="0" w:color="auto"/>
                <w:bottom w:val="none" w:sz="0" w:space="0" w:color="auto"/>
                <w:right w:val="none" w:sz="0" w:space="0" w:color="auto"/>
              </w:divBdr>
            </w:div>
          </w:divsChild>
        </w:div>
        <w:div w:id="719406171">
          <w:marLeft w:val="0"/>
          <w:marRight w:val="0"/>
          <w:marTop w:val="0"/>
          <w:marBottom w:val="0"/>
          <w:divBdr>
            <w:top w:val="none" w:sz="0" w:space="0" w:color="auto"/>
            <w:left w:val="none" w:sz="0" w:space="0" w:color="auto"/>
            <w:bottom w:val="none" w:sz="0" w:space="0" w:color="auto"/>
            <w:right w:val="none" w:sz="0" w:space="0" w:color="auto"/>
          </w:divBdr>
          <w:divsChild>
            <w:div w:id="1762484659">
              <w:marLeft w:val="0"/>
              <w:marRight w:val="0"/>
              <w:marTop w:val="0"/>
              <w:marBottom w:val="0"/>
              <w:divBdr>
                <w:top w:val="none" w:sz="0" w:space="0" w:color="auto"/>
                <w:left w:val="none" w:sz="0" w:space="0" w:color="auto"/>
                <w:bottom w:val="none" w:sz="0" w:space="0" w:color="auto"/>
                <w:right w:val="none" w:sz="0" w:space="0" w:color="auto"/>
              </w:divBdr>
            </w:div>
          </w:divsChild>
        </w:div>
        <w:div w:id="722409308">
          <w:marLeft w:val="0"/>
          <w:marRight w:val="0"/>
          <w:marTop w:val="0"/>
          <w:marBottom w:val="0"/>
          <w:divBdr>
            <w:top w:val="none" w:sz="0" w:space="0" w:color="auto"/>
            <w:left w:val="none" w:sz="0" w:space="0" w:color="auto"/>
            <w:bottom w:val="none" w:sz="0" w:space="0" w:color="auto"/>
            <w:right w:val="none" w:sz="0" w:space="0" w:color="auto"/>
          </w:divBdr>
          <w:divsChild>
            <w:div w:id="1085688958">
              <w:marLeft w:val="0"/>
              <w:marRight w:val="0"/>
              <w:marTop w:val="0"/>
              <w:marBottom w:val="0"/>
              <w:divBdr>
                <w:top w:val="none" w:sz="0" w:space="0" w:color="auto"/>
                <w:left w:val="none" w:sz="0" w:space="0" w:color="auto"/>
                <w:bottom w:val="none" w:sz="0" w:space="0" w:color="auto"/>
                <w:right w:val="none" w:sz="0" w:space="0" w:color="auto"/>
              </w:divBdr>
            </w:div>
          </w:divsChild>
        </w:div>
        <w:div w:id="728915439">
          <w:marLeft w:val="0"/>
          <w:marRight w:val="0"/>
          <w:marTop w:val="0"/>
          <w:marBottom w:val="0"/>
          <w:divBdr>
            <w:top w:val="none" w:sz="0" w:space="0" w:color="auto"/>
            <w:left w:val="none" w:sz="0" w:space="0" w:color="auto"/>
            <w:bottom w:val="none" w:sz="0" w:space="0" w:color="auto"/>
            <w:right w:val="none" w:sz="0" w:space="0" w:color="auto"/>
          </w:divBdr>
          <w:divsChild>
            <w:div w:id="80638194">
              <w:marLeft w:val="0"/>
              <w:marRight w:val="0"/>
              <w:marTop w:val="0"/>
              <w:marBottom w:val="0"/>
              <w:divBdr>
                <w:top w:val="none" w:sz="0" w:space="0" w:color="auto"/>
                <w:left w:val="none" w:sz="0" w:space="0" w:color="auto"/>
                <w:bottom w:val="none" w:sz="0" w:space="0" w:color="auto"/>
                <w:right w:val="none" w:sz="0" w:space="0" w:color="auto"/>
              </w:divBdr>
            </w:div>
          </w:divsChild>
        </w:div>
        <w:div w:id="728966735">
          <w:marLeft w:val="0"/>
          <w:marRight w:val="0"/>
          <w:marTop w:val="0"/>
          <w:marBottom w:val="0"/>
          <w:divBdr>
            <w:top w:val="none" w:sz="0" w:space="0" w:color="auto"/>
            <w:left w:val="none" w:sz="0" w:space="0" w:color="auto"/>
            <w:bottom w:val="none" w:sz="0" w:space="0" w:color="auto"/>
            <w:right w:val="none" w:sz="0" w:space="0" w:color="auto"/>
          </w:divBdr>
          <w:divsChild>
            <w:div w:id="623998175">
              <w:marLeft w:val="0"/>
              <w:marRight w:val="0"/>
              <w:marTop w:val="0"/>
              <w:marBottom w:val="0"/>
              <w:divBdr>
                <w:top w:val="none" w:sz="0" w:space="0" w:color="auto"/>
                <w:left w:val="none" w:sz="0" w:space="0" w:color="auto"/>
                <w:bottom w:val="none" w:sz="0" w:space="0" w:color="auto"/>
                <w:right w:val="none" w:sz="0" w:space="0" w:color="auto"/>
              </w:divBdr>
            </w:div>
          </w:divsChild>
        </w:div>
        <w:div w:id="736436859">
          <w:marLeft w:val="0"/>
          <w:marRight w:val="0"/>
          <w:marTop w:val="0"/>
          <w:marBottom w:val="0"/>
          <w:divBdr>
            <w:top w:val="none" w:sz="0" w:space="0" w:color="auto"/>
            <w:left w:val="none" w:sz="0" w:space="0" w:color="auto"/>
            <w:bottom w:val="none" w:sz="0" w:space="0" w:color="auto"/>
            <w:right w:val="none" w:sz="0" w:space="0" w:color="auto"/>
          </w:divBdr>
          <w:divsChild>
            <w:div w:id="2058121065">
              <w:marLeft w:val="0"/>
              <w:marRight w:val="0"/>
              <w:marTop w:val="0"/>
              <w:marBottom w:val="0"/>
              <w:divBdr>
                <w:top w:val="none" w:sz="0" w:space="0" w:color="auto"/>
                <w:left w:val="none" w:sz="0" w:space="0" w:color="auto"/>
                <w:bottom w:val="none" w:sz="0" w:space="0" w:color="auto"/>
                <w:right w:val="none" w:sz="0" w:space="0" w:color="auto"/>
              </w:divBdr>
            </w:div>
          </w:divsChild>
        </w:div>
        <w:div w:id="737020695">
          <w:marLeft w:val="0"/>
          <w:marRight w:val="0"/>
          <w:marTop w:val="0"/>
          <w:marBottom w:val="0"/>
          <w:divBdr>
            <w:top w:val="none" w:sz="0" w:space="0" w:color="auto"/>
            <w:left w:val="none" w:sz="0" w:space="0" w:color="auto"/>
            <w:bottom w:val="none" w:sz="0" w:space="0" w:color="auto"/>
            <w:right w:val="none" w:sz="0" w:space="0" w:color="auto"/>
          </w:divBdr>
          <w:divsChild>
            <w:div w:id="1697191648">
              <w:marLeft w:val="0"/>
              <w:marRight w:val="0"/>
              <w:marTop w:val="0"/>
              <w:marBottom w:val="0"/>
              <w:divBdr>
                <w:top w:val="none" w:sz="0" w:space="0" w:color="auto"/>
                <w:left w:val="none" w:sz="0" w:space="0" w:color="auto"/>
                <w:bottom w:val="none" w:sz="0" w:space="0" w:color="auto"/>
                <w:right w:val="none" w:sz="0" w:space="0" w:color="auto"/>
              </w:divBdr>
            </w:div>
          </w:divsChild>
        </w:div>
        <w:div w:id="741175405">
          <w:marLeft w:val="0"/>
          <w:marRight w:val="0"/>
          <w:marTop w:val="0"/>
          <w:marBottom w:val="0"/>
          <w:divBdr>
            <w:top w:val="none" w:sz="0" w:space="0" w:color="auto"/>
            <w:left w:val="none" w:sz="0" w:space="0" w:color="auto"/>
            <w:bottom w:val="none" w:sz="0" w:space="0" w:color="auto"/>
            <w:right w:val="none" w:sz="0" w:space="0" w:color="auto"/>
          </w:divBdr>
          <w:divsChild>
            <w:div w:id="434207367">
              <w:marLeft w:val="0"/>
              <w:marRight w:val="0"/>
              <w:marTop w:val="0"/>
              <w:marBottom w:val="0"/>
              <w:divBdr>
                <w:top w:val="none" w:sz="0" w:space="0" w:color="auto"/>
                <w:left w:val="none" w:sz="0" w:space="0" w:color="auto"/>
                <w:bottom w:val="none" w:sz="0" w:space="0" w:color="auto"/>
                <w:right w:val="none" w:sz="0" w:space="0" w:color="auto"/>
              </w:divBdr>
            </w:div>
          </w:divsChild>
        </w:div>
        <w:div w:id="760030233">
          <w:marLeft w:val="0"/>
          <w:marRight w:val="0"/>
          <w:marTop w:val="0"/>
          <w:marBottom w:val="0"/>
          <w:divBdr>
            <w:top w:val="none" w:sz="0" w:space="0" w:color="auto"/>
            <w:left w:val="none" w:sz="0" w:space="0" w:color="auto"/>
            <w:bottom w:val="none" w:sz="0" w:space="0" w:color="auto"/>
            <w:right w:val="none" w:sz="0" w:space="0" w:color="auto"/>
          </w:divBdr>
          <w:divsChild>
            <w:div w:id="2095857546">
              <w:marLeft w:val="0"/>
              <w:marRight w:val="0"/>
              <w:marTop w:val="0"/>
              <w:marBottom w:val="0"/>
              <w:divBdr>
                <w:top w:val="none" w:sz="0" w:space="0" w:color="auto"/>
                <w:left w:val="none" w:sz="0" w:space="0" w:color="auto"/>
                <w:bottom w:val="none" w:sz="0" w:space="0" w:color="auto"/>
                <w:right w:val="none" w:sz="0" w:space="0" w:color="auto"/>
              </w:divBdr>
            </w:div>
          </w:divsChild>
        </w:div>
        <w:div w:id="764619583">
          <w:marLeft w:val="0"/>
          <w:marRight w:val="0"/>
          <w:marTop w:val="0"/>
          <w:marBottom w:val="0"/>
          <w:divBdr>
            <w:top w:val="none" w:sz="0" w:space="0" w:color="auto"/>
            <w:left w:val="none" w:sz="0" w:space="0" w:color="auto"/>
            <w:bottom w:val="none" w:sz="0" w:space="0" w:color="auto"/>
            <w:right w:val="none" w:sz="0" w:space="0" w:color="auto"/>
          </w:divBdr>
          <w:divsChild>
            <w:div w:id="420495255">
              <w:marLeft w:val="0"/>
              <w:marRight w:val="0"/>
              <w:marTop w:val="0"/>
              <w:marBottom w:val="0"/>
              <w:divBdr>
                <w:top w:val="none" w:sz="0" w:space="0" w:color="auto"/>
                <w:left w:val="none" w:sz="0" w:space="0" w:color="auto"/>
                <w:bottom w:val="none" w:sz="0" w:space="0" w:color="auto"/>
                <w:right w:val="none" w:sz="0" w:space="0" w:color="auto"/>
              </w:divBdr>
            </w:div>
          </w:divsChild>
        </w:div>
        <w:div w:id="783039568">
          <w:marLeft w:val="0"/>
          <w:marRight w:val="0"/>
          <w:marTop w:val="0"/>
          <w:marBottom w:val="0"/>
          <w:divBdr>
            <w:top w:val="none" w:sz="0" w:space="0" w:color="auto"/>
            <w:left w:val="none" w:sz="0" w:space="0" w:color="auto"/>
            <w:bottom w:val="none" w:sz="0" w:space="0" w:color="auto"/>
            <w:right w:val="none" w:sz="0" w:space="0" w:color="auto"/>
          </w:divBdr>
          <w:divsChild>
            <w:div w:id="380444855">
              <w:marLeft w:val="0"/>
              <w:marRight w:val="0"/>
              <w:marTop w:val="0"/>
              <w:marBottom w:val="0"/>
              <w:divBdr>
                <w:top w:val="none" w:sz="0" w:space="0" w:color="auto"/>
                <w:left w:val="none" w:sz="0" w:space="0" w:color="auto"/>
                <w:bottom w:val="none" w:sz="0" w:space="0" w:color="auto"/>
                <w:right w:val="none" w:sz="0" w:space="0" w:color="auto"/>
              </w:divBdr>
            </w:div>
          </w:divsChild>
        </w:div>
        <w:div w:id="783765785">
          <w:marLeft w:val="0"/>
          <w:marRight w:val="0"/>
          <w:marTop w:val="0"/>
          <w:marBottom w:val="0"/>
          <w:divBdr>
            <w:top w:val="none" w:sz="0" w:space="0" w:color="auto"/>
            <w:left w:val="none" w:sz="0" w:space="0" w:color="auto"/>
            <w:bottom w:val="none" w:sz="0" w:space="0" w:color="auto"/>
            <w:right w:val="none" w:sz="0" w:space="0" w:color="auto"/>
          </w:divBdr>
          <w:divsChild>
            <w:div w:id="855994831">
              <w:marLeft w:val="0"/>
              <w:marRight w:val="0"/>
              <w:marTop w:val="0"/>
              <w:marBottom w:val="0"/>
              <w:divBdr>
                <w:top w:val="none" w:sz="0" w:space="0" w:color="auto"/>
                <w:left w:val="none" w:sz="0" w:space="0" w:color="auto"/>
                <w:bottom w:val="none" w:sz="0" w:space="0" w:color="auto"/>
                <w:right w:val="none" w:sz="0" w:space="0" w:color="auto"/>
              </w:divBdr>
            </w:div>
          </w:divsChild>
        </w:div>
        <w:div w:id="820117662">
          <w:marLeft w:val="0"/>
          <w:marRight w:val="0"/>
          <w:marTop w:val="0"/>
          <w:marBottom w:val="0"/>
          <w:divBdr>
            <w:top w:val="none" w:sz="0" w:space="0" w:color="auto"/>
            <w:left w:val="none" w:sz="0" w:space="0" w:color="auto"/>
            <w:bottom w:val="none" w:sz="0" w:space="0" w:color="auto"/>
            <w:right w:val="none" w:sz="0" w:space="0" w:color="auto"/>
          </w:divBdr>
          <w:divsChild>
            <w:div w:id="256443193">
              <w:marLeft w:val="0"/>
              <w:marRight w:val="0"/>
              <w:marTop w:val="0"/>
              <w:marBottom w:val="0"/>
              <w:divBdr>
                <w:top w:val="none" w:sz="0" w:space="0" w:color="auto"/>
                <w:left w:val="none" w:sz="0" w:space="0" w:color="auto"/>
                <w:bottom w:val="none" w:sz="0" w:space="0" w:color="auto"/>
                <w:right w:val="none" w:sz="0" w:space="0" w:color="auto"/>
              </w:divBdr>
            </w:div>
          </w:divsChild>
        </w:div>
        <w:div w:id="820728426">
          <w:marLeft w:val="0"/>
          <w:marRight w:val="0"/>
          <w:marTop w:val="0"/>
          <w:marBottom w:val="0"/>
          <w:divBdr>
            <w:top w:val="none" w:sz="0" w:space="0" w:color="auto"/>
            <w:left w:val="none" w:sz="0" w:space="0" w:color="auto"/>
            <w:bottom w:val="none" w:sz="0" w:space="0" w:color="auto"/>
            <w:right w:val="none" w:sz="0" w:space="0" w:color="auto"/>
          </w:divBdr>
          <w:divsChild>
            <w:div w:id="709846675">
              <w:marLeft w:val="0"/>
              <w:marRight w:val="0"/>
              <w:marTop w:val="0"/>
              <w:marBottom w:val="0"/>
              <w:divBdr>
                <w:top w:val="none" w:sz="0" w:space="0" w:color="auto"/>
                <w:left w:val="none" w:sz="0" w:space="0" w:color="auto"/>
                <w:bottom w:val="none" w:sz="0" w:space="0" w:color="auto"/>
                <w:right w:val="none" w:sz="0" w:space="0" w:color="auto"/>
              </w:divBdr>
            </w:div>
          </w:divsChild>
        </w:div>
        <w:div w:id="831264750">
          <w:marLeft w:val="0"/>
          <w:marRight w:val="0"/>
          <w:marTop w:val="0"/>
          <w:marBottom w:val="0"/>
          <w:divBdr>
            <w:top w:val="none" w:sz="0" w:space="0" w:color="auto"/>
            <w:left w:val="none" w:sz="0" w:space="0" w:color="auto"/>
            <w:bottom w:val="none" w:sz="0" w:space="0" w:color="auto"/>
            <w:right w:val="none" w:sz="0" w:space="0" w:color="auto"/>
          </w:divBdr>
          <w:divsChild>
            <w:div w:id="470443523">
              <w:marLeft w:val="0"/>
              <w:marRight w:val="0"/>
              <w:marTop w:val="0"/>
              <w:marBottom w:val="0"/>
              <w:divBdr>
                <w:top w:val="none" w:sz="0" w:space="0" w:color="auto"/>
                <w:left w:val="none" w:sz="0" w:space="0" w:color="auto"/>
                <w:bottom w:val="none" w:sz="0" w:space="0" w:color="auto"/>
                <w:right w:val="none" w:sz="0" w:space="0" w:color="auto"/>
              </w:divBdr>
            </w:div>
          </w:divsChild>
        </w:div>
        <w:div w:id="832531290">
          <w:marLeft w:val="0"/>
          <w:marRight w:val="0"/>
          <w:marTop w:val="0"/>
          <w:marBottom w:val="0"/>
          <w:divBdr>
            <w:top w:val="none" w:sz="0" w:space="0" w:color="auto"/>
            <w:left w:val="none" w:sz="0" w:space="0" w:color="auto"/>
            <w:bottom w:val="none" w:sz="0" w:space="0" w:color="auto"/>
            <w:right w:val="none" w:sz="0" w:space="0" w:color="auto"/>
          </w:divBdr>
          <w:divsChild>
            <w:div w:id="1782526694">
              <w:marLeft w:val="0"/>
              <w:marRight w:val="0"/>
              <w:marTop w:val="0"/>
              <w:marBottom w:val="0"/>
              <w:divBdr>
                <w:top w:val="none" w:sz="0" w:space="0" w:color="auto"/>
                <w:left w:val="none" w:sz="0" w:space="0" w:color="auto"/>
                <w:bottom w:val="none" w:sz="0" w:space="0" w:color="auto"/>
                <w:right w:val="none" w:sz="0" w:space="0" w:color="auto"/>
              </w:divBdr>
            </w:div>
          </w:divsChild>
        </w:div>
        <w:div w:id="845557995">
          <w:marLeft w:val="0"/>
          <w:marRight w:val="0"/>
          <w:marTop w:val="0"/>
          <w:marBottom w:val="0"/>
          <w:divBdr>
            <w:top w:val="none" w:sz="0" w:space="0" w:color="auto"/>
            <w:left w:val="none" w:sz="0" w:space="0" w:color="auto"/>
            <w:bottom w:val="none" w:sz="0" w:space="0" w:color="auto"/>
            <w:right w:val="none" w:sz="0" w:space="0" w:color="auto"/>
          </w:divBdr>
          <w:divsChild>
            <w:div w:id="615521126">
              <w:marLeft w:val="0"/>
              <w:marRight w:val="0"/>
              <w:marTop w:val="0"/>
              <w:marBottom w:val="0"/>
              <w:divBdr>
                <w:top w:val="none" w:sz="0" w:space="0" w:color="auto"/>
                <w:left w:val="none" w:sz="0" w:space="0" w:color="auto"/>
                <w:bottom w:val="none" w:sz="0" w:space="0" w:color="auto"/>
                <w:right w:val="none" w:sz="0" w:space="0" w:color="auto"/>
              </w:divBdr>
            </w:div>
          </w:divsChild>
        </w:div>
        <w:div w:id="846098608">
          <w:marLeft w:val="0"/>
          <w:marRight w:val="0"/>
          <w:marTop w:val="0"/>
          <w:marBottom w:val="0"/>
          <w:divBdr>
            <w:top w:val="none" w:sz="0" w:space="0" w:color="auto"/>
            <w:left w:val="none" w:sz="0" w:space="0" w:color="auto"/>
            <w:bottom w:val="none" w:sz="0" w:space="0" w:color="auto"/>
            <w:right w:val="none" w:sz="0" w:space="0" w:color="auto"/>
          </w:divBdr>
          <w:divsChild>
            <w:div w:id="334187423">
              <w:marLeft w:val="0"/>
              <w:marRight w:val="0"/>
              <w:marTop w:val="0"/>
              <w:marBottom w:val="0"/>
              <w:divBdr>
                <w:top w:val="none" w:sz="0" w:space="0" w:color="auto"/>
                <w:left w:val="none" w:sz="0" w:space="0" w:color="auto"/>
                <w:bottom w:val="none" w:sz="0" w:space="0" w:color="auto"/>
                <w:right w:val="none" w:sz="0" w:space="0" w:color="auto"/>
              </w:divBdr>
            </w:div>
          </w:divsChild>
        </w:div>
        <w:div w:id="847015508">
          <w:marLeft w:val="0"/>
          <w:marRight w:val="0"/>
          <w:marTop w:val="0"/>
          <w:marBottom w:val="0"/>
          <w:divBdr>
            <w:top w:val="none" w:sz="0" w:space="0" w:color="auto"/>
            <w:left w:val="none" w:sz="0" w:space="0" w:color="auto"/>
            <w:bottom w:val="none" w:sz="0" w:space="0" w:color="auto"/>
            <w:right w:val="none" w:sz="0" w:space="0" w:color="auto"/>
          </w:divBdr>
          <w:divsChild>
            <w:div w:id="13922059">
              <w:marLeft w:val="0"/>
              <w:marRight w:val="0"/>
              <w:marTop w:val="0"/>
              <w:marBottom w:val="0"/>
              <w:divBdr>
                <w:top w:val="none" w:sz="0" w:space="0" w:color="auto"/>
                <w:left w:val="none" w:sz="0" w:space="0" w:color="auto"/>
                <w:bottom w:val="none" w:sz="0" w:space="0" w:color="auto"/>
                <w:right w:val="none" w:sz="0" w:space="0" w:color="auto"/>
              </w:divBdr>
            </w:div>
          </w:divsChild>
        </w:div>
        <w:div w:id="851189062">
          <w:marLeft w:val="0"/>
          <w:marRight w:val="0"/>
          <w:marTop w:val="0"/>
          <w:marBottom w:val="0"/>
          <w:divBdr>
            <w:top w:val="none" w:sz="0" w:space="0" w:color="auto"/>
            <w:left w:val="none" w:sz="0" w:space="0" w:color="auto"/>
            <w:bottom w:val="none" w:sz="0" w:space="0" w:color="auto"/>
            <w:right w:val="none" w:sz="0" w:space="0" w:color="auto"/>
          </w:divBdr>
          <w:divsChild>
            <w:div w:id="203906586">
              <w:marLeft w:val="0"/>
              <w:marRight w:val="0"/>
              <w:marTop w:val="0"/>
              <w:marBottom w:val="0"/>
              <w:divBdr>
                <w:top w:val="none" w:sz="0" w:space="0" w:color="auto"/>
                <w:left w:val="none" w:sz="0" w:space="0" w:color="auto"/>
                <w:bottom w:val="none" w:sz="0" w:space="0" w:color="auto"/>
                <w:right w:val="none" w:sz="0" w:space="0" w:color="auto"/>
              </w:divBdr>
            </w:div>
          </w:divsChild>
        </w:div>
        <w:div w:id="860046452">
          <w:marLeft w:val="0"/>
          <w:marRight w:val="0"/>
          <w:marTop w:val="0"/>
          <w:marBottom w:val="0"/>
          <w:divBdr>
            <w:top w:val="none" w:sz="0" w:space="0" w:color="auto"/>
            <w:left w:val="none" w:sz="0" w:space="0" w:color="auto"/>
            <w:bottom w:val="none" w:sz="0" w:space="0" w:color="auto"/>
            <w:right w:val="none" w:sz="0" w:space="0" w:color="auto"/>
          </w:divBdr>
          <w:divsChild>
            <w:div w:id="1317341332">
              <w:marLeft w:val="0"/>
              <w:marRight w:val="0"/>
              <w:marTop w:val="0"/>
              <w:marBottom w:val="0"/>
              <w:divBdr>
                <w:top w:val="none" w:sz="0" w:space="0" w:color="auto"/>
                <w:left w:val="none" w:sz="0" w:space="0" w:color="auto"/>
                <w:bottom w:val="none" w:sz="0" w:space="0" w:color="auto"/>
                <w:right w:val="none" w:sz="0" w:space="0" w:color="auto"/>
              </w:divBdr>
            </w:div>
          </w:divsChild>
        </w:div>
        <w:div w:id="868690117">
          <w:marLeft w:val="0"/>
          <w:marRight w:val="0"/>
          <w:marTop w:val="0"/>
          <w:marBottom w:val="0"/>
          <w:divBdr>
            <w:top w:val="none" w:sz="0" w:space="0" w:color="auto"/>
            <w:left w:val="none" w:sz="0" w:space="0" w:color="auto"/>
            <w:bottom w:val="none" w:sz="0" w:space="0" w:color="auto"/>
            <w:right w:val="none" w:sz="0" w:space="0" w:color="auto"/>
          </w:divBdr>
          <w:divsChild>
            <w:div w:id="811336482">
              <w:marLeft w:val="0"/>
              <w:marRight w:val="0"/>
              <w:marTop w:val="0"/>
              <w:marBottom w:val="0"/>
              <w:divBdr>
                <w:top w:val="none" w:sz="0" w:space="0" w:color="auto"/>
                <w:left w:val="none" w:sz="0" w:space="0" w:color="auto"/>
                <w:bottom w:val="none" w:sz="0" w:space="0" w:color="auto"/>
                <w:right w:val="none" w:sz="0" w:space="0" w:color="auto"/>
              </w:divBdr>
            </w:div>
          </w:divsChild>
        </w:div>
        <w:div w:id="887186625">
          <w:marLeft w:val="0"/>
          <w:marRight w:val="0"/>
          <w:marTop w:val="0"/>
          <w:marBottom w:val="0"/>
          <w:divBdr>
            <w:top w:val="none" w:sz="0" w:space="0" w:color="auto"/>
            <w:left w:val="none" w:sz="0" w:space="0" w:color="auto"/>
            <w:bottom w:val="none" w:sz="0" w:space="0" w:color="auto"/>
            <w:right w:val="none" w:sz="0" w:space="0" w:color="auto"/>
          </w:divBdr>
          <w:divsChild>
            <w:div w:id="1009528453">
              <w:marLeft w:val="0"/>
              <w:marRight w:val="0"/>
              <w:marTop w:val="0"/>
              <w:marBottom w:val="0"/>
              <w:divBdr>
                <w:top w:val="none" w:sz="0" w:space="0" w:color="auto"/>
                <w:left w:val="none" w:sz="0" w:space="0" w:color="auto"/>
                <w:bottom w:val="none" w:sz="0" w:space="0" w:color="auto"/>
                <w:right w:val="none" w:sz="0" w:space="0" w:color="auto"/>
              </w:divBdr>
            </w:div>
          </w:divsChild>
        </w:div>
        <w:div w:id="891692069">
          <w:marLeft w:val="0"/>
          <w:marRight w:val="0"/>
          <w:marTop w:val="0"/>
          <w:marBottom w:val="0"/>
          <w:divBdr>
            <w:top w:val="none" w:sz="0" w:space="0" w:color="auto"/>
            <w:left w:val="none" w:sz="0" w:space="0" w:color="auto"/>
            <w:bottom w:val="none" w:sz="0" w:space="0" w:color="auto"/>
            <w:right w:val="none" w:sz="0" w:space="0" w:color="auto"/>
          </w:divBdr>
          <w:divsChild>
            <w:div w:id="1814054778">
              <w:marLeft w:val="0"/>
              <w:marRight w:val="0"/>
              <w:marTop w:val="0"/>
              <w:marBottom w:val="0"/>
              <w:divBdr>
                <w:top w:val="none" w:sz="0" w:space="0" w:color="auto"/>
                <w:left w:val="none" w:sz="0" w:space="0" w:color="auto"/>
                <w:bottom w:val="none" w:sz="0" w:space="0" w:color="auto"/>
                <w:right w:val="none" w:sz="0" w:space="0" w:color="auto"/>
              </w:divBdr>
            </w:div>
          </w:divsChild>
        </w:div>
        <w:div w:id="894705399">
          <w:marLeft w:val="0"/>
          <w:marRight w:val="0"/>
          <w:marTop w:val="0"/>
          <w:marBottom w:val="0"/>
          <w:divBdr>
            <w:top w:val="none" w:sz="0" w:space="0" w:color="auto"/>
            <w:left w:val="none" w:sz="0" w:space="0" w:color="auto"/>
            <w:bottom w:val="none" w:sz="0" w:space="0" w:color="auto"/>
            <w:right w:val="none" w:sz="0" w:space="0" w:color="auto"/>
          </w:divBdr>
          <w:divsChild>
            <w:div w:id="1066612868">
              <w:marLeft w:val="0"/>
              <w:marRight w:val="0"/>
              <w:marTop w:val="0"/>
              <w:marBottom w:val="0"/>
              <w:divBdr>
                <w:top w:val="none" w:sz="0" w:space="0" w:color="auto"/>
                <w:left w:val="none" w:sz="0" w:space="0" w:color="auto"/>
                <w:bottom w:val="none" w:sz="0" w:space="0" w:color="auto"/>
                <w:right w:val="none" w:sz="0" w:space="0" w:color="auto"/>
              </w:divBdr>
            </w:div>
          </w:divsChild>
        </w:div>
        <w:div w:id="905846492">
          <w:marLeft w:val="0"/>
          <w:marRight w:val="0"/>
          <w:marTop w:val="0"/>
          <w:marBottom w:val="0"/>
          <w:divBdr>
            <w:top w:val="none" w:sz="0" w:space="0" w:color="auto"/>
            <w:left w:val="none" w:sz="0" w:space="0" w:color="auto"/>
            <w:bottom w:val="none" w:sz="0" w:space="0" w:color="auto"/>
            <w:right w:val="none" w:sz="0" w:space="0" w:color="auto"/>
          </w:divBdr>
          <w:divsChild>
            <w:div w:id="1139302525">
              <w:marLeft w:val="0"/>
              <w:marRight w:val="0"/>
              <w:marTop w:val="0"/>
              <w:marBottom w:val="0"/>
              <w:divBdr>
                <w:top w:val="none" w:sz="0" w:space="0" w:color="auto"/>
                <w:left w:val="none" w:sz="0" w:space="0" w:color="auto"/>
                <w:bottom w:val="none" w:sz="0" w:space="0" w:color="auto"/>
                <w:right w:val="none" w:sz="0" w:space="0" w:color="auto"/>
              </w:divBdr>
            </w:div>
          </w:divsChild>
        </w:div>
        <w:div w:id="907883254">
          <w:marLeft w:val="0"/>
          <w:marRight w:val="0"/>
          <w:marTop w:val="0"/>
          <w:marBottom w:val="0"/>
          <w:divBdr>
            <w:top w:val="none" w:sz="0" w:space="0" w:color="auto"/>
            <w:left w:val="none" w:sz="0" w:space="0" w:color="auto"/>
            <w:bottom w:val="none" w:sz="0" w:space="0" w:color="auto"/>
            <w:right w:val="none" w:sz="0" w:space="0" w:color="auto"/>
          </w:divBdr>
          <w:divsChild>
            <w:div w:id="1715083284">
              <w:marLeft w:val="0"/>
              <w:marRight w:val="0"/>
              <w:marTop w:val="0"/>
              <w:marBottom w:val="0"/>
              <w:divBdr>
                <w:top w:val="none" w:sz="0" w:space="0" w:color="auto"/>
                <w:left w:val="none" w:sz="0" w:space="0" w:color="auto"/>
                <w:bottom w:val="none" w:sz="0" w:space="0" w:color="auto"/>
                <w:right w:val="none" w:sz="0" w:space="0" w:color="auto"/>
              </w:divBdr>
            </w:div>
          </w:divsChild>
        </w:div>
        <w:div w:id="909582112">
          <w:marLeft w:val="0"/>
          <w:marRight w:val="0"/>
          <w:marTop w:val="0"/>
          <w:marBottom w:val="0"/>
          <w:divBdr>
            <w:top w:val="none" w:sz="0" w:space="0" w:color="auto"/>
            <w:left w:val="none" w:sz="0" w:space="0" w:color="auto"/>
            <w:bottom w:val="none" w:sz="0" w:space="0" w:color="auto"/>
            <w:right w:val="none" w:sz="0" w:space="0" w:color="auto"/>
          </w:divBdr>
          <w:divsChild>
            <w:div w:id="603926419">
              <w:marLeft w:val="0"/>
              <w:marRight w:val="0"/>
              <w:marTop w:val="0"/>
              <w:marBottom w:val="0"/>
              <w:divBdr>
                <w:top w:val="none" w:sz="0" w:space="0" w:color="auto"/>
                <w:left w:val="none" w:sz="0" w:space="0" w:color="auto"/>
                <w:bottom w:val="none" w:sz="0" w:space="0" w:color="auto"/>
                <w:right w:val="none" w:sz="0" w:space="0" w:color="auto"/>
              </w:divBdr>
            </w:div>
          </w:divsChild>
        </w:div>
        <w:div w:id="910117870">
          <w:marLeft w:val="0"/>
          <w:marRight w:val="0"/>
          <w:marTop w:val="0"/>
          <w:marBottom w:val="0"/>
          <w:divBdr>
            <w:top w:val="none" w:sz="0" w:space="0" w:color="auto"/>
            <w:left w:val="none" w:sz="0" w:space="0" w:color="auto"/>
            <w:bottom w:val="none" w:sz="0" w:space="0" w:color="auto"/>
            <w:right w:val="none" w:sz="0" w:space="0" w:color="auto"/>
          </w:divBdr>
          <w:divsChild>
            <w:div w:id="132605634">
              <w:marLeft w:val="0"/>
              <w:marRight w:val="0"/>
              <w:marTop w:val="0"/>
              <w:marBottom w:val="0"/>
              <w:divBdr>
                <w:top w:val="none" w:sz="0" w:space="0" w:color="auto"/>
                <w:left w:val="none" w:sz="0" w:space="0" w:color="auto"/>
                <w:bottom w:val="none" w:sz="0" w:space="0" w:color="auto"/>
                <w:right w:val="none" w:sz="0" w:space="0" w:color="auto"/>
              </w:divBdr>
            </w:div>
          </w:divsChild>
        </w:div>
        <w:div w:id="913396980">
          <w:marLeft w:val="0"/>
          <w:marRight w:val="0"/>
          <w:marTop w:val="0"/>
          <w:marBottom w:val="0"/>
          <w:divBdr>
            <w:top w:val="none" w:sz="0" w:space="0" w:color="auto"/>
            <w:left w:val="none" w:sz="0" w:space="0" w:color="auto"/>
            <w:bottom w:val="none" w:sz="0" w:space="0" w:color="auto"/>
            <w:right w:val="none" w:sz="0" w:space="0" w:color="auto"/>
          </w:divBdr>
          <w:divsChild>
            <w:div w:id="1939561953">
              <w:marLeft w:val="0"/>
              <w:marRight w:val="0"/>
              <w:marTop w:val="0"/>
              <w:marBottom w:val="0"/>
              <w:divBdr>
                <w:top w:val="none" w:sz="0" w:space="0" w:color="auto"/>
                <w:left w:val="none" w:sz="0" w:space="0" w:color="auto"/>
                <w:bottom w:val="none" w:sz="0" w:space="0" w:color="auto"/>
                <w:right w:val="none" w:sz="0" w:space="0" w:color="auto"/>
              </w:divBdr>
            </w:div>
          </w:divsChild>
        </w:div>
        <w:div w:id="914511814">
          <w:marLeft w:val="0"/>
          <w:marRight w:val="0"/>
          <w:marTop w:val="0"/>
          <w:marBottom w:val="0"/>
          <w:divBdr>
            <w:top w:val="none" w:sz="0" w:space="0" w:color="auto"/>
            <w:left w:val="none" w:sz="0" w:space="0" w:color="auto"/>
            <w:bottom w:val="none" w:sz="0" w:space="0" w:color="auto"/>
            <w:right w:val="none" w:sz="0" w:space="0" w:color="auto"/>
          </w:divBdr>
          <w:divsChild>
            <w:div w:id="2010910455">
              <w:marLeft w:val="0"/>
              <w:marRight w:val="0"/>
              <w:marTop w:val="0"/>
              <w:marBottom w:val="0"/>
              <w:divBdr>
                <w:top w:val="none" w:sz="0" w:space="0" w:color="auto"/>
                <w:left w:val="none" w:sz="0" w:space="0" w:color="auto"/>
                <w:bottom w:val="none" w:sz="0" w:space="0" w:color="auto"/>
                <w:right w:val="none" w:sz="0" w:space="0" w:color="auto"/>
              </w:divBdr>
            </w:div>
          </w:divsChild>
        </w:div>
        <w:div w:id="920062906">
          <w:marLeft w:val="0"/>
          <w:marRight w:val="0"/>
          <w:marTop w:val="0"/>
          <w:marBottom w:val="0"/>
          <w:divBdr>
            <w:top w:val="none" w:sz="0" w:space="0" w:color="auto"/>
            <w:left w:val="none" w:sz="0" w:space="0" w:color="auto"/>
            <w:bottom w:val="none" w:sz="0" w:space="0" w:color="auto"/>
            <w:right w:val="none" w:sz="0" w:space="0" w:color="auto"/>
          </w:divBdr>
          <w:divsChild>
            <w:div w:id="1170289559">
              <w:marLeft w:val="0"/>
              <w:marRight w:val="0"/>
              <w:marTop w:val="0"/>
              <w:marBottom w:val="0"/>
              <w:divBdr>
                <w:top w:val="none" w:sz="0" w:space="0" w:color="auto"/>
                <w:left w:val="none" w:sz="0" w:space="0" w:color="auto"/>
                <w:bottom w:val="none" w:sz="0" w:space="0" w:color="auto"/>
                <w:right w:val="none" w:sz="0" w:space="0" w:color="auto"/>
              </w:divBdr>
            </w:div>
          </w:divsChild>
        </w:div>
        <w:div w:id="924145645">
          <w:marLeft w:val="0"/>
          <w:marRight w:val="0"/>
          <w:marTop w:val="0"/>
          <w:marBottom w:val="0"/>
          <w:divBdr>
            <w:top w:val="none" w:sz="0" w:space="0" w:color="auto"/>
            <w:left w:val="none" w:sz="0" w:space="0" w:color="auto"/>
            <w:bottom w:val="none" w:sz="0" w:space="0" w:color="auto"/>
            <w:right w:val="none" w:sz="0" w:space="0" w:color="auto"/>
          </w:divBdr>
          <w:divsChild>
            <w:div w:id="1069383053">
              <w:marLeft w:val="0"/>
              <w:marRight w:val="0"/>
              <w:marTop w:val="0"/>
              <w:marBottom w:val="0"/>
              <w:divBdr>
                <w:top w:val="none" w:sz="0" w:space="0" w:color="auto"/>
                <w:left w:val="none" w:sz="0" w:space="0" w:color="auto"/>
                <w:bottom w:val="none" w:sz="0" w:space="0" w:color="auto"/>
                <w:right w:val="none" w:sz="0" w:space="0" w:color="auto"/>
              </w:divBdr>
            </w:div>
          </w:divsChild>
        </w:div>
        <w:div w:id="934556575">
          <w:marLeft w:val="0"/>
          <w:marRight w:val="0"/>
          <w:marTop w:val="0"/>
          <w:marBottom w:val="0"/>
          <w:divBdr>
            <w:top w:val="none" w:sz="0" w:space="0" w:color="auto"/>
            <w:left w:val="none" w:sz="0" w:space="0" w:color="auto"/>
            <w:bottom w:val="none" w:sz="0" w:space="0" w:color="auto"/>
            <w:right w:val="none" w:sz="0" w:space="0" w:color="auto"/>
          </w:divBdr>
          <w:divsChild>
            <w:div w:id="1267925597">
              <w:marLeft w:val="0"/>
              <w:marRight w:val="0"/>
              <w:marTop w:val="0"/>
              <w:marBottom w:val="0"/>
              <w:divBdr>
                <w:top w:val="none" w:sz="0" w:space="0" w:color="auto"/>
                <w:left w:val="none" w:sz="0" w:space="0" w:color="auto"/>
                <w:bottom w:val="none" w:sz="0" w:space="0" w:color="auto"/>
                <w:right w:val="none" w:sz="0" w:space="0" w:color="auto"/>
              </w:divBdr>
            </w:div>
          </w:divsChild>
        </w:div>
        <w:div w:id="947084682">
          <w:marLeft w:val="0"/>
          <w:marRight w:val="0"/>
          <w:marTop w:val="0"/>
          <w:marBottom w:val="0"/>
          <w:divBdr>
            <w:top w:val="none" w:sz="0" w:space="0" w:color="auto"/>
            <w:left w:val="none" w:sz="0" w:space="0" w:color="auto"/>
            <w:bottom w:val="none" w:sz="0" w:space="0" w:color="auto"/>
            <w:right w:val="none" w:sz="0" w:space="0" w:color="auto"/>
          </w:divBdr>
          <w:divsChild>
            <w:div w:id="1753313333">
              <w:marLeft w:val="0"/>
              <w:marRight w:val="0"/>
              <w:marTop w:val="0"/>
              <w:marBottom w:val="0"/>
              <w:divBdr>
                <w:top w:val="none" w:sz="0" w:space="0" w:color="auto"/>
                <w:left w:val="none" w:sz="0" w:space="0" w:color="auto"/>
                <w:bottom w:val="none" w:sz="0" w:space="0" w:color="auto"/>
                <w:right w:val="none" w:sz="0" w:space="0" w:color="auto"/>
              </w:divBdr>
            </w:div>
          </w:divsChild>
        </w:div>
        <w:div w:id="948659256">
          <w:marLeft w:val="0"/>
          <w:marRight w:val="0"/>
          <w:marTop w:val="0"/>
          <w:marBottom w:val="0"/>
          <w:divBdr>
            <w:top w:val="none" w:sz="0" w:space="0" w:color="auto"/>
            <w:left w:val="none" w:sz="0" w:space="0" w:color="auto"/>
            <w:bottom w:val="none" w:sz="0" w:space="0" w:color="auto"/>
            <w:right w:val="none" w:sz="0" w:space="0" w:color="auto"/>
          </w:divBdr>
          <w:divsChild>
            <w:div w:id="1828282796">
              <w:marLeft w:val="0"/>
              <w:marRight w:val="0"/>
              <w:marTop w:val="0"/>
              <w:marBottom w:val="0"/>
              <w:divBdr>
                <w:top w:val="none" w:sz="0" w:space="0" w:color="auto"/>
                <w:left w:val="none" w:sz="0" w:space="0" w:color="auto"/>
                <w:bottom w:val="none" w:sz="0" w:space="0" w:color="auto"/>
                <w:right w:val="none" w:sz="0" w:space="0" w:color="auto"/>
              </w:divBdr>
            </w:div>
          </w:divsChild>
        </w:div>
        <w:div w:id="951477955">
          <w:marLeft w:val="0"/>
          <w:marRight w:val="0"/>
          <w:marTop w:val="0"/>
          <w:marBottom w:val="0"/>
          <w:divBdr>
            <w:top w:val="none" w:sz="0" w:space="0" w:color="auto"/>
            <w:left w:val="none" w:sz="0" w:space="0" w:color="auto"/>
            <w:bottom w:val="none" w:sz="0" w:space="0" w:color="auto"/>
            <w:right w:val="none" w:sz="0" w:space="0" w:color="auto"/>
          </w:divBdr>
          <w:divsChild>
            <w:div w:id="1852257565">
              <w:marLeft w:val="0"/>
              <w:marRight w:val="0"/>
              <w:marTop w:val="0"/>
              <w:marBottom w:val="0"/>
              <w:divBdr>
                <w:top w:val="none" w:sz="0" w:space="0" w:color="auto"/>
                <w:left w:val="none" w:sz="0" w:space="0" w:color="auto"/>
                <w:bottom w:val="none" w:sz="0" w:space="0" w:color="auto"/>
                <w:right w:val="none" w:sz="0" w:space="0" w:color="auto"/>
              </w:divBdr>
            </w:div>
          </w:divsChild>
        </w:div>
        <w:div w:id="951665851">
          <w:marLeft w:val="0"/>
          <w:marRight w:val="0"/>
          <w:marTop w:val="0"/>
          <w:marBottom w:val="0"/>
          <w:divBdr>
            <w:top w:val="none" w:sz="0" w:space="0" w:color="auto"/>
            <w:left w:val="none" w:sz="0" w:space="0" w:color="auto"/>
            <w:bottom w:val="none" w:sz="0" w:space="0" w:color="auto"/>
            <w:right w:val="none" w:sz="0" w:space="0" w:color="auto"/>
          </w:divBdr>
          <w:divsChild>
            <w:div w:id="738477306">
              <w:marLeft w:val="0"/>
              <w:marRight w:val="0"/>
              <w:marTop w:val="0"/>
              <w:marBottom w:val="0"/>
              <w:divBdr>
                <w:top w:val="none" w:sz="0" w:space="0" w:color="auto"/>
                <w:left w:val="none" w:sz="0" w:space="0" w:color="auto"/>
                <w:bottom w:val="none" w:sz="0" w:space="0" w:color="auto"/>
                <w:right w:val="none" w:sz="0" w:space="0" w:color="auto"/>
              </w:divBdr>
            </w:div>
          </w:divsChild>
        </w:div>
        <w:div w:id="955018930">
          <w:marLeft w:val="0"/>
          <w:marRight w:val="0"/>
          <w:marTop w:val="0"/>
          <w:marBottom w:val="0"/>
          <w:divBdr>
            <w:top w:val="none" w:sz="0" w:space="0" w:color="auto"/>
            <w:left w:val="none" w:sz="0" w:space="0" w:color="auto"/>
            <w:bottom w:val="none" w:sz="0" w:space="0" w:color="auto"/>
            <w:right w:val="none" w:sz="0" w:space="0" w:color="auto"/>
          </w:divBdr>
          <w:divsChild>
            <w:div w:id="1780949920">
              <w:marLeft w:val="0"/>
              <w:marRight w:val="0"/>
              <w:marTop w:val="0"/>
              <w:marBottom w:val="0"/>
              <w:divBdr>
                <w:top w:val="none" w:sz="0" w:space="0" w:color="auto"/>
                <w:left w:val="none" w:sz="0" w:space="0" w:color="auto"/>
                <w:bottom w:val="none" w:sz="0" w:space="0" w:color="auto"/>
                <w:right w:val="none" w:sz="0" w:space="0" w:color="auto"/>
              </w:divBdr>
            </w:div>
          </w:divsChild>
        </w:div>
        <w:div w:id="979531673">
          <w:marLeft w:val="0"/>
          <w:marRight w:val="0"/>
          <w:marTop w:val="0"/>
          <w:marBottom w:val="0"/>
          <w:divBdr>
            <w:top w:val="none" w:sz="0" w:space="0" w:color="auto"/>
            <w:left w:val="none" w:sz="0" w:space="0" w:color="auto"/>
            <w:bottom w:val="none" w:sz="0" w:space="0" w:color="auto"/>
            <w:right w:val="none" w:sz="0" w:space="0" w:color="auto"/>
          </w:divBdr>
          <w:divsChild>
            <w:div w:id="1566915186">
              <w:marLeft w:val="0"/>
              <w:marRight w:val="0"/>
              <w:marTop w:val="0"/>
              <w:marBottom w:val="0"/>
              <w:divBdr>
                <w:top w:val="none" w:sz="0" w:space="0" w:color="auto"/>
                <w:left w:val="none" w:sz="0" w:space="0" w:color="auto"/>
                <w:bottom w:val="none" w:sz="0" w:space="0" w:color="auto"/>
                <w:right w:val="none" w:sz="0" w:space="0" w:color="auto"/>
              </w:divBdr>
            </w:div>
          </w:divsChild>
        </w:div>
        <w:div w:id="986933515">
          <w:marLeft w:val="0"/>
          <w:marRight w:val="0"/>
          <w:marTop w:val="0"/>
          <w:marBottom w:val="0"/>
          <w:divBdr>
            <w:top w:val="none" w:sz="0" w:space="0" w:color="auto"/>
            <w:left w:val="none" w:sz="0" w:space="0" w:color="auto"/>
            <w:bottom w:val="none" w:sz="0" w:space="0" w:color="auto"/>
            <w:right w:val="none" w:sz="0" w:space="0" w:color="auto"/>
          </w:divBdr>
          <w:divsChild>
            <w:div w:id="1063603864">
              <w:marLeft w:val="0"/>
              <w:marRight w:val="0"/>
              <w:marTop w:val="0"/>
              <w:marBottom w:val="0"/>
              <w:divBdr>
                <w:top w:val="none" w:sz="0" w:space="0" w:color="auto"/>
                <w:left w:val="none" w:sz="0" w:space="0" w:color="auto"/>
                <w:bottom w:val="none" w:sz="0" w:space="0" w:color="auto"/>
                <w:right w:val="none" w:sz="0" w:space="0" w:color="auto"/>
              </w:divBdr>
            </w:div>
          </w:divsChild>
        </w:div>
        <w:div w:id="988946603">
          <w:marLeft w:val="0"/>
          <w:marRight w:val="0"/>
          <w:marTop w:val="0"/>
          <w:marBottom w:val="0"/>
          <w:divBdr>
            <w:top w:val="none" w:sz="0" w:space="0" w:color="auto"/>
            <w:left w:val="none" w:sz="0" w:space="0" w:color="auto"/>
            <w:bottom w:val="none" w:sz="0" w:space="0" w:color="auto"/>
            <w:right w:val="none" w:sz="0" w:space="0" w:color="auto"/>
          </w:divBdr>
          <w:divsChild>
            <w:div w:id="409891359">
              <w:marLeft w:val="0"/>
              <w:marRight w:val="0"/>
              <w:marTop w:val="0"/>
              <w:marBottom w:val="0"/>
              <w:divBdr>
                <w:top w:val="none" w:sz="0" w:space="0" w:color="auto"/>
                <w:left w:val="none" w:sz="0" w:space="0" w:color="auto"/>
                <w:bottom w:val="none" w:sz="0" w:space="0" w:color="auto"/>
                <w:right w:val="none" w:sz="0" w:space="0" w:color="auto"/>
              </w:divBdr>
            </w:div>
          </w:divsChild>
        </w:div>
        <w:div w:id="998928250">
          <w:marLeft w:val="0"/>
          <w:marRight w:val="0"/>
          <w:marTop w:val="0"/>
          <w:marBottom w:val="0"/>
          <w:divBdr>
            <w:top w:val="none" w:sz="0" w:space="0" w:color="auto"/>
            <w:left w:val="none" w:sz="0" w:space="0" w:color="auto"/>
            <w:bottom w:val="none" w:sz="0" w:space="0" w:color="auto"/>
            <w:right w:val="none" w:sz="0" w:space="0" w:color="auto"/>
          </w:divBdr>
          <w:divsChild>
            <w:div w:id="1966764819">
              <w:marLeft w:val="0"/>
              <w:marRight w:val="0"/>
              <w:marTop w:val="0"/>
              <w:marBottom w:val="0"/>
              <w:divBdr>
                <w:top w:val="none" w:sz="0" w:space="0" w:color="auto"/>
                <w:left w:val="none" w:sz="0" w:space="0" w:color="auto"/>
                <w:bottom w:val="none" w:sz="0" w:space="0" w:color="auto"/>
                <w:right w:val="none" w:sz="0" w:space="0" w:color="auto"/>
              </w:divBdr>
            </w:div>
          </w:divsChild>
        </w:div>
        <w:div w:id="1006590757">
          <w:marLeft w:val="0"/>
          <w:marRight w:val="0"/>
          <w:marTop w:val="0"/>
          <w:marBottom w:val="0"/>
          <w:divBdr>
            <w:top w:val="none" w:sz="0" w:space="0" w:color="auto"/>
            <w:left w:val="none" w:sz="0" w:space="0" w:color="auto"/>
            <w:bottom w:val="none" w:sz="0" w:space="0" w:color="auto"/>
            <w:right w:val="none" w:sz="0" w:space="0" w:color="auto"/>
          </w:divBdr>
          <w:divsChild>
            <w:div w:id="236599215">
              <w:marLeft w:val="0"/>
              <w:marRight w:val="0"/>
              <w:marTop w:val="0"/>
              <w:marBottom w:val="0"/>
              <w:divBdr>
                <w:top w:val="none" w:sz="0" w:space="0" w:color="auto"/>
                <w:left w:val="none" w:sz="0" w:space="0" w:color="auto"/>
                <w:bottom w:val="none" w:sz="0" w:space="0" w:color="auto"/>
                <w:right w:val="none" w:sz="0" w:space="0" w:color="auto"/>
              </w:divBdr>
            </w:div>
          </w:divsChild>
        </w:div>
        <w:div w:id="1016035788">
          <w:marLeft w:val="0"/>
          <w:marRight w:val="0"/>
          <w:marTop w:val="0"/>
          <w:marBottom w:val="0"/>
          <w:divBdr>
            <w:top w:val="none" w:sz="0" w:space="0" w:color="auto"/>
            <w:left w:val="none" w:sz="0" w:space="0" w:color="auto"/>
            <w:bottom w:val="none" w:sz="0" w:space="0" w:color="auto"/>
            <w:right w:val="none" w:sz="0" w:space="0" w:color="auto"/>
          </w:divBdr>
          <w:divsChild>
            <w:div w:id="1535389898">
              <w:marLeft w:val="0"/>
              <w:marRight w:val="0"/>
              <w:marTop w:val="0"/>
              <w:marBottom w:val="0"/>
              <w:divBdr>
                <w:top w:val="none" w:sz="0" w:space="0" w:color="auto"/>
                <w:left w:val="none" w:sz="0" w:space="0" w:color="auto"/>
                <w:bottom w:val="none" w:sz="0" w:space="0" w:color="auto"/>
                <w:right w:val="none" w:sz="0" w:space="0" w:color="auto"/>
              </w:divBdr>
            </w:div>
          </w:divsChild>
        </w:div>
        <w:div w:id="1019628295">
          <w:marLeft w:val="0"/>
          <w:marRight w:val="0"/>
          <w:marTop w:val="0"/>
          <w:marBottom w:val="0"/>
          <w:divBdr>
            <w:top w:val="none" w:sz="0" w:space="0" w:color="auto"/>
            <w:left w:val="none" w:sz="0" w:space="0" w:color="auto"/>
            <w:bottom w:val="none" w:sz="0" w:space="0" w:color="auto"/>
            <w:right w:val="none" w:sz="0" w:space="0" w:color="auto"/>
          </w:divBdr>
          <w:divsChild>
            <w:div w:id="1605501150">
              <w:marLeft w:val="0"/>
              <w:marRight w:val="0"/>
              <w:marTop w:val="0"/>
              <w:marBottom w:val="0"/>
              <w:divBdr>
                <w:top w:val="none" w:sz="0" w:space="0" w:color="auto"/>
                <w:left w:val="none" w:sz="0" w:space="0" w:color="auto"/>
                <w:bottom w:val="none" w:sz="0" w:space="0" w:color="auto"/>
                <w:right w:val="none" w:sz="0" w:space="0" w:color="auto"/>
              </w:divBdr>
            </w:div>
          </w:divsChild>
        </w:div>
        <w:div w:id="1019966853">
          <w:marLeft w:val="0"/>
          <w:marRight w:val="0"/>
          <w:marTop w:val="0"/>
          <w:marBottom w:val="0"/>
          <w:divBdr>
            <w:top w:val="none" w:sz="0" w:space="0" w:color="auto"/>
            <w:left w:val="none" w:sz="0" w:space="0" w:color="auto"/>
            <w:bottom w:val="none" w:sz="0" w:space="0" w:color="auto"/>
            <w:right w:val="none" w:sz="0" w:space="0" w:color="auto"/>
          </w:divBdr>
          <w:divsChild>
            <w:div w:id="717125348">
              <w:marLeft w:val="0"/>
              <w:marRight w:val="0"/>
              <w:marTop w:val="0"/>
              <w:marBottom w:val="0"/>
              <w:divBdr>
                <w:top w:val="none" w:sz="0" w:space="0" w:color="auto"/>
                <w:left w:val="none" w:sz="0" w:space="0" w:color="auto"/>
                <w:bottom w:val="none" w:sz="0" w:space="0" w:color="auto"/>
                <w:right w:val="none" w:sz="0" w:space="0" w:color="auto"/>
              </w:divBdr>
            </w:div>
          </w:divsChild>
        </w:div>
        <w:div w:id="1021736620">
          <w:marLeft w:val="0"/>
          <w:marRight w:val="0"/>
          <w:marTop w:val="0"/>
          <w:marBottom w:val="0"/>
          <w:divBdr>
            <w:top w:val="none" w:sz="0" w:space="0" w:color="auto"/>
            <w:left w:val="none" w:sz="0" w:space="0" w:color="auto"/>
            <w:bottom w:val="none" w:sz="0" w:space="0" w:color="auto"/>
            <w:right w:val="none" w:sz="0" w:space="0" w:color="auto"/>
          </w:divBdr>
          <w:divsChild>
            <w:div w:id="60758363">
              <w:marLeft w:val="0"/>
              <w:marRight w:val="0"/>
              <w:marTop w:val="0"/>
              <w:marBottom w:val="0"/>
              <w:divBdr>
                <w:top w:val="none" w:sz="0" w:space="0" w:color="auto"/>
                <w:left w:val="none" w:sz="0" w:space="0" w:color="auto"/>
                <w:bottom w:val="none" w:sz="0" w:space="0" w:color="auto"/>
                <w:right w:val="none" w:sz="0" w:space="0" w:color="auto"/>
              </w:divBdr>
            </w:div>
          </w:divsChild>
        </w:div>
        <w:div w:id="1021786900">
          <w:marLeft w:val="0"/>
          <w:marRight w:val="0"/>
          <w:marTop w:val="0"/>
          <w:marBottom w:val="0"/>
          <w:divBdr>
            <w:top w:val="none" w:sz="0" w:space="0" w:color="auto"/>
            <w:left w:val="none" w:sz="0" w:space="0" w:color="auto"/>
            <w:bottom w:val="none" w:sz="0" w:space="0" w:color="auto"/>
            <w:right w:val="none" w:sz="0" w:space="0" w:color="auto"/>
          </w:divBdr>
          <w:divsChild>
            <w:div w:id="1253467595">
              <w:marLeft w:val="0"/>
              <w:marRight w:val="0"/>
              <w:marTop w:val="0"/>
              <w:marBottom w:val="0"/>
              <w:divBdr>
                <w:top w:val="none" w:sz="0" w:space="0" w:color="auto"/>
                <w:left w:val="none" w:sz="0" w:space="0" w:color="auto"/>
                <w:bottom w:val="none" w:sz="0" w:space="0" w:color="auto"/>
                <w:right w:val="none" w:sz="0" w:space="0" w:color="auto"/>
              </w:divBdr>
            </w:div>
          </w:divsChild>
        </w:div>
        <w:div w:id="1035889366">
          <w:marLeft w:val="0"/>
          <w:marRight w:val="0"/>
          <w:marTop w:val="0"/>
          <w:marBottom w:val="0"/>
          <w:divBdr>
            <w:top w:val="none" w:sz="0" w:space="0" w:color="auto"/>
            <w:left w:val="none" w:sz="0" w:space="0" w:color="auto"/>
            <w:bottom w:val="none" w:sz="0" w:space="0" w:color="auto"/>
            <w:right w:val="none" w:sz="0" w:space="0" w:color="auto"/>
          </w:divBdr>
          <w:divsChild>
            <w:div w:id="2086881073">
              <w:marLeft w:val="0"/>
              <w:marRight w:val="0"/>
              <w:marTop w:val="0"/>
              <w:marBottom w:val="0"/>
              <w:divBdr>
                <w:top w:val="none" w:sz="0" w:space="0" w:color="auto"/>
                <w:left w:val="none" w:sz="0" w:space="0" w:color="auto"/>
                <w:bottom w:val="none" w:sz="0" w:space="0" w:color="auto"/>
                <w:right w:val="none" w:sz="0" w:space="0" w:color="auto"/>
              </w:divBdr>
            </w:div>
          </w:divsChild>
        </w:div>
        <w:div w:id="1039890626">
          <w:marLeft w:val="0"/>
          <w:marRight w:val="0"/>
          <w:marTop w:val="0"/>
          <w:marBottom w:val="0"/>
          <w:divBdr>
            <w:top w:val="none" w:sz="0" w:space="0" w:color="auto"/>
            <w:left w:val="none" w:sz="0" w:space="0" w:color="auto"/>
            <w:bottom w:val="none" w:sz="0" w:space="0" w:color="auto"/>
            <w:right w:val="none" w:sz="0" w:space="0" w:color="auto"/>
          </w:divBdr>
          <w:divsChild>
            <w:div w:id="1304853334">
              <w:marLeft w:val="0"/>
              <w:marRight w:val="0"/>
              <w:marTop w:val="0"/>
              <w:marBottom w:val="0"/>
              <w:divBdr>
                <w:top w:val="none" w:sz="0" w:space="0" w:color="auto"/>
                <w:left w:val="none" w:sz="0" w:space="0" w:color="auto"/>
                <w:bottom w:val="none" w:sz="0" w:space="0" w:color="auto"/>
                <w:right w:val="none" w:sz="0" w:space="0" w:color="auto"/>
              </w:divBdr>
            </w:div>
          </w:divsChild>
        </w:div>
        <w:div w:id="1050499767">
          <w:marLeft w:val="0"/>
          <w:marRight w:val="0"/>
          <w:marTop w:val="0"/>
          <w:marBottom w:val="0"/>
          <w:divBdr>
            <w:top w:val="none" w:sz="0" w:space="0" w:color="auto"/>
            <w:left w:val="none" w:sz="0" w:space="0" w:color="auto"/>
            <w:bottom w:val="none" w:sz="0" w:space="0" w:color="auto"/>
            <w:right w:val="none" w:sz="0" w:space="0" w:color="auto"/>
          </w:divBdr>
          <w:divsChild>
            <w:div w:id="1196037119">
              <w:marLeft w:val="0"/>
              <w:marRight w:val="0"/>
              <w:marTop w:val="0"/>
              <w:marBottom w:val="0"/>
              <w:divBdr>
                <w:top w:val="none" w:sz="0" w:space="0" w:color="auto"/>
                <w:left w:val="none" w:sz="0" w:space="0" w:color="auto"/>
                <w:bottom w:val="none" w:sz="0" w:space="0" w:color="auto"/>
                <w:right w:val="none" w:sz="0" w:space="0" w:color="auto"/>
              </w:divBdr>
            </w:div>
          </w:divsChild>
        </w:div>
        <w:div w:id="1054239378">
          <w:marLeft w:val="0"/>
          <w:marRight w:val="0"/>
          <w:marTop w:val="0"/>
          <w:marBottom w:val="0"/>
          <w:divBdr>
            <w:top w:val="none" w:sz="0" w:space="0" w:color="auto"/>
            <w:left w:val="none" w:sz="0" w:space="0" w:color="auto"/>
            <w:bottom w:val="none" w:sz="0" w:space="0" w:color="auto"/>
            <w:right w:val="none" w:sz="0" w:space="0" w:color="auto"/>
          </w:divBdr>
          <w:divsChild>
            <w:div w:id="638152436">
              <w:marLeft w:val="0"/>
              <w:marRight w:val="0"/>
              <w:marTop w:val="0"/>
              <w:marBottom w:val="0"/>
              <w:divBdr>
                <w:top w:val="none" w:sz="0" w:space="0" w:color="auto"/>
                <w:left w:val="none" w:sz="0" w:space="0" w:color="auto"/>
                <w:bottom w:val="none" w:sz="0" w:space="0" w:color="auto"/>
                <w:right w:val="none" w:sz="0" w:space="0" w:color="auto"/>
              </w:divBdr>
            </w:div>
          </w:divsChild>
        </w:div>
        <w:div w:id="1059092309">
          <w:marLeft w:val="0"/>
          <w:marRight w:val="0"/>
          <w:marTop w:val="0"/>
          <w:marBottom w:val="0"/>
          <w:divBdr>
            <w:top w:val="none" w:sz="0" w:space="0" w:color="auto"/>
            <w:left w:val="none" w:sz="0" w:space="0" w:color="auto"/>
            <w:bottom w:val="none" w:sz="0" w:space="0" w:color="auto"/>
            <w:right w:val="none" w:sz="0" w:space="0" w:color="auto"/>
          </w:divBdr>
          <w:divsChild>
            <w:div w:id="942959535">
              <w:marLeft w:val="0"/>
              <w:marRight w:val="0"/>
              <w:marTop w:val="0"/>
              <w:marBottom w:val="0"/>
              <w:divBdr>
                <w:top w:val="none" w:sz="0" w:space="0" w:color="auto"/>
                <w:left w:val="none" w:sz="0" w:space="0" w:color="auto"/>
                <w:bottom w:val="none" w:sz="0" w:space="0" w:color="auto"/>
                <w:right w:val="none" w:sz="0" w:space="0" w:color="auto"/>
              </w:divBdr>
            </w:div>
          </w:divsChild>
        </w:div>
        <w:div w:id="1067533929">
          <w:marLeft w:val="0"/>
          <w:marRight w:val="0"/>
          <w:marTop w:val="0"/>
          <w:marBottom w:val="0"/>
          <w:divBdr>
            <w:top w:val="none" w:sz="0" w:space="0" w:color="auto"/>
            <w:left w:val="none" w:sz="0" w:space="0" w:color="auto"/>
            <w:bottom w:val="none" w:sz="0" w:space="0" w:color="auto"/>
            <w:right w:val="none" w:sz="0" w:space="0" w:color="auto"/>
          </w:divBdr>
          <w:divsChild>
            <w:div w:id="1143697711">
              <w:marLeft w:val="0"/>
              <w:marRight w:val="0"/>
              <w:marTop w:val="0"/>
              <w:marBottom w:val="0"/>
              <w:divBdr>
                <w:top w:val="none" w:sz="0" w:space="0" w:color="auto"/>
                <w:left w:val="none" w:sz="0" w:space="0" w:color="auto"/>
                <w:bottom w:val="none" w:sz="0" w:space="0" w:color="auto"/>
                <w:right w:val="none" w:sz="0" w:space="0" w:color="auto"/>
              </w:divBdr>
            </w:div>
          </w:divsChild>
        </w:div>
        <w:div w:id="1069305351">
          <w:marLeft w:val="0"/>
          <w:marRight w:val="0"/>
          <w:marTop w:val="0"/>
          <w:marBottom w:val="0"/>
          <w:divBdr>
            <w:top w:val="none" w:sz="0" w:space="0" w:color="auto"/>
            <w:left w:val="none" w:sz="0" w:space="0" w:color="auto"/>
            <w:bottom w:val="none" w:sz="0" w:space="0" w:color="auto"/>
            <w:right w:val="none" w:sz="0" w:space="0" w:color="auto"/>
          </w:divBdr>
          <w:divsChild>
            <w:div w:id="545485427">
              <w:marLeft w:val="0"/>
              <w:marRight w:val="0"/>
              <w:marTop w:val="0"/>
              <w:marBottom w:val="0"/>
              <w:divBdr>
                <w:top w:val="none" w:sz="0" w:space="0" w:color="auto"/>
                <w:left w:val="none" w:sz="0" w:space="0" w:color="auto"/>
                <w:bottom w:val="none" w:sz="0" w:space="0" w:color="auto"/>
                <w:right w:val="none" w:sz="0" w:space="0" w:color="auto"/>
              </w:divBdr>
            </w:div>
          </w:divsChild>
        </w:div>
        <w:div w:id="1074743308">
          <w:marLeft w:val="0"/>
          <w:marRight w:val="0"/>
          <w:marTop w:val="0"/>
          <w:marBottom w:val="0"/>
          <w:divBdr>
            <w:top w:val="none" w:sz="0" w:space="0" w:color="auto"/>
            <w:left w:val="none" w:sz="0" w:space="0" w:color="auto"/>
            <w:bottom w:val="none" w:sz="0" w:space="0" w:color="auto"/>
            <w:right w:val="none" w:sz="0" w:space="0" w:color="auto"/>
          </w:divBdr>
          <w:divsChild>
            <w:div w:id="1237975378">
              <w:marLeft w:val="0"/>
              <w:marRight w:val="0"/>
              <w:marTop w:val="0"/>
              <w:marBottom w:val="0"/>
              <w:divBdr>
                <w:top w:val="none" w:sz="0" w:space="0" w:color="auto"/>
                <w:left w:val="none" w:sz="0" w:space="0" w:color="auto"/>
                <w:bottom w:val="none" w:sz="0" w:space="0" w:color="auto"/>
                <w:right w:val="none" w:sz="0" w:space="0" w:color="auto"/>
              </w:divBdr>
            </w:div>
          </w:divsChild>
        </w:div>
        <w:div w:id="1075930562">
          <w:marLeft w:val="0"/>
          <w:marRight w:val="0"/>
          <w:marTop w:val="0"/>
          <w:marBottom w:val="0"/>
          <w:divBdr>
            <w:top w:val="none" w:sz="0" w:space="0" w:color="auto"/>
            <w:left w:val="none" w:sz="0" w:space="0" w:color="auto"/>
            <w:bottom w:val="none" w:sz="0" w:space="0" w:color="auto"/>
            <w:right w:val="none" w:sz="0" w:space="0" w:color="auto"/>
          </w:divBdr>
          <w:divsChild>
            <w:div w:id="749960466">
              <w:marLeft w:val="0"/>
              <w:marRight w:val="0"/>
              <w:marTop w:val="0"/>
              <w:marBottom w:val="0"/>
              <w:divBdr>
                <w:top w:val="none" w:sz="0" w:space="0" w:color="auto"/>
                <w:left w:val="none" w:sz="0" w:space="0" w:color="auto"/>
                <w:bottom w:val="none" w:sz="0" w:space="0" w:color="auto"/>
                <w:right w:val="none" w:sz="0" w:space="0" w:color="auto"/>
              </w:divBdr>
            </w:div>
          </w:divsChild>
        </w:div>
        <w:div w:id="1079255632">
          <w:marLeft w:val="0"/>
          <w:marRight w:val="0"/>
          <w:marTop w:val="0"/>
          <w:marBottom w:val="0"/>
          <w:divBdr>
            <w:top w:val="none" w:sz="0" w:space="0" w:color="auto"/>
            <w:left w:val="none" w:sz="0" w:space="0" w:color="auto"/>
            <w:bottom w:val="none" w:sz="0" w:space="0" w:color="auto"/>
            <w:right w:val="none" w:sz="0" w:space="0" w:color="auto"/>
          </w:divBdr>
          <w:divsChild>
            <w:div w:id="1891961845">
              <w:marLeft w:val="0"/>
              <w:marRight w:val="0"/>
              <w:marTop w:val="0"/>
              <w:marBottom w:val="0"/>
              <w:divBdr>
                <w:top w:val="none" w:sz="0" w:space="0" w:color="auto"/>
                <w:left w:val="none" w:sz="0" w:space="0" w:color="auto"/>
                <w:bottom w:val="none" w:sz="0" w:space="0" w:color="auto"/>
                <w:right w:val="none" w:sz="0" w:space="0" w:color="auto"/>
              </w:divBdr>
            </w:div>
          </w:divsChild>
        </w:div>
        <w:div w:id="1101488273">
          <w:marLeft w:val="0"/>
          <w:marRight w:val="0"/>
          <w:marTop w:val="0"/>
          <w:marBottom w:val="0"/>
          <w:divBdr>
            <w:top w:val="none" w:sz="0" w:space="0" w:color="auto"/>
            <w:left w:val="none" w:sz="0" w:space="0" w:color="auto"/>
            <w:bottom w:val="none" w:sz="0" w:space="0" w:color="auto"/>
            <w:right w:val="none" w:sz="0" w:space="0" w:color="auto"/>
          </w:divBdr>
          <w:divsChild>
            <w:div w:id="1559777688">
              <w:marLeft w:val="0"/>
              <w:marRight w:val="0"/>
              <w:marTop w:val="0"/>
              <w:marBottom w:val="0"/>
              <w:divBdr>
                <w:top w:val="none" w:sz="0" w:space="0" w:color="auto"/>
                <w:left w:val="none" w:sz="0" w:space="0" w:color="auto"/>
                <w:bottom w:val="none" w:sz="0" w:space="0" w:color="auto"/>
                <w:right w:val="none" w:sz="0" w:space="0" w:color="auto"/>
              </w:divBdr>
            </w:div>
          </w:divsChild>
        </w:div>
        <w:div w:id="1110319463">
          <w:marLeft w:val="0"/>
          <w:marRight w:val="0"/>
          <w:marTop w:val="0"/>
          <w:marBottom w:val="0"/>
          <w:divBdr>
            <w:top w:val="none" w:sz="0" w:space="0" w:color="auto"/>
            <w:left w:val="none" w:sz="0" w:space="0" w:color="auto"/>
            <w:bottom w:val="none" w:sz="0" w:space="0" w:color="auto"/>
            <w:right w:val="none" w:sz="0" w:space="0" w:color="auto"/>
          </w:divBdr>
          <w:divsChild>
            <w:div w:id="976029935">
              <w:marLeft w:val="0"/>
              <w:marRight w:val="0"/>
              <w:marTop w:val="0"/>
              <w:marBottom w:val="0"/>
              <w:divBdr>
                <w:top w:val="none" w:sz="0" w:space="0" w:color="auto"/>
                <w:left w:val="none" w:sz="0" w:space="0" w:color="auto"/>
                <w:bottom w:val="none" w:sz="0" w:space="0" w:color="auto"/>
                <w:right w:val="none" w:sz="0" w:space="0" w:color="auto"/>
              </w:divBdr>
            </w:div>
          </w:divsChild>
        </w:div>
        <w:div w:id="1111052566">
          <w:marLeft w:val="0"/>
          <w:marRight w:val="0"/>
          <w:marTop w:val="0"/>
          <w:marBottom w:val="0"/>
          <w:divBdr>
            <w:top w:val="none" w:sz="0" w:space="0" w:color="auto"/>
            <w:left w:val="none" w:sz="0" w:space="0" w:color="auto"/>
            <w:bottom w:val="none" w:sz="0" w:space="0" w:color="auto"/>
            <w:right w:val="none" w:sz="0" w:space="0" w:color="auto"/>
          </w:divBdr>
          <w:divsChild>
            <w:div w:id="771434997">
              <w:marLeft w:val="0"/>
              <w:marRight w:val="0"/>
              <w:marTop w:val="0"/>
              <w:marBottom w:val="0"/>
              <w:divBdr>
                <w:top w:val="none" w:sz="0" w:space="0" w:color="auto"/>
                <w:left w:val="none" w:sz="0" w:space="0" w:color="auto"/>
                <w:bottom w:val="none" w:sz="0" w:space="0" w:color="auto"/>
                <w:right w:val="none" w:sz="0" w:space="0" w:color="auto"/>
              </w:divBdr>
            </w:div>
          </w:divsChild>
        </w:div>
        <w:div w:id="1113020434">
          <w:marLeft w:val="0"/>
          <w:marRight w:val="0"/>
          <w:marTop w:val="0"/>
          <w:marBottom w:val="0"/>
          <w:divBdr>
            <w:top w:val="none" w:sz="0" w:space="0" w:color="auto"/>
            <w:left w:val="none" w:sz="0" w:space="0" w:color="auto"/>
            <w:bottom w:val="none" w:sz="0" w:space="0" w:color="auto"/>
            <w:right w:val="none" w:sz="0" w:space="0" w:color="auto"/>
          </w:divBdr>
          <w:divsChild>
            <w:div w:id="491071639">
              <w:marLeft w:val="0"/>
              <w:marRight w:val="0"/>
              <w:marTop w:val="0"/>
              <w:marBottom w:val="0"/>
              <w:divBdr>
                <w:top w:val="none" w:sz="0" w:space="0" w:color="auto"/>
                <w:left w:val="none" w:sz="0" w:space="0" w:color="auto"/>
                <w:bottom w:val="none" w:sz="0" w:space="0" w:color="auto"/>
                <w:right w:val="none" w:sz="0" w:space="0" w:color="auto"/>
              </w:divBdr>
            </w:div>
          </w:divsChild>
        </w:div>
        <w:div w:id="1113668461">
          <w:marLeft w:val="0"/>
          <w:marRight w:val="0"/>
          <w:marTop w:val="0"/>
          <w:marBottom w:val="0"/>
          <w:divBdr>
            <w:top w:val="none" w:sz="0" w:space="0" w:color="auto"/>
            <w:left w:val="none" w:sz="0" w:space="0" w:color="auto"/>
            <w:bottom w:val="none" w:sz="0" w:space="0" w:color="auto"/>
            <w:right w:val="none" w:sz="0" w:space="0" w:color="auto"/>
          </w:divBdr>
          <w:divsChild>
            <w:div w:id="1322077641">
              <w:marLeft w:val="0"/>
              <w:marRight w:val="0"/>
              <w:marTop w:val="0"/>
              <w:marBottom w:val="0"/>
              <w:divBdr>
                <w:top w:val="none" w:sz="0" w:space="0" w:color="auto"/>
                <w:left w:val="none" w:sz="0" w:space="0" w:color="auto"/>
                <w:bottom w:val="none" w:sz="0" w:space="0" w:color="auto"/>
                <w:right w:val="none" w:sz="0" w:space="0" w:color="auto"/>
              </w:divBdr>
            </w:div>
          </w:divsChild>
        </w:div>
        <w:div w:id="1121876368">
          <w:marLeft w:val="0"/>
          <w:marRight w:val="0"/>
          <w:marTop w:val="0"/>
          <w:marBottom w:val="0"/>
          <w:divBdr>
            <w:top w:val="none" w:sz="0" w:space="0" w:color="auto"/>
            <w:left w:val="none" w:sz="0" w:space="0" w:color="auto"/>
            <w:bottom w:val="none" w:sz="0" w:space="0" w:color="auto"/>
            <w:right w:val="none" w:sz="0" w:space="0" w:color="auto"/>
          </w:divBdr>
          <w:divsChild>
            <w:div w:id="1527869980">
              <w:marLeft w:val="0"/>
              <w:marRight w:val="0"/>
              <w:marTop w:val="0"/>
              <w:marBottom w:val="0"/>
              <w:divBdr>
                <w:top w:val="none" w:sz="0" w:space="0" w:color="auto"/>
                <w:left w:val="none" w:sz="0" w:space="0" w:color="auto"/>
                <w:bottom w:val="none" w:sz="0" w:space="0" w:color="auto"/>
                <w:right w:val="none" w:sz="0" w:space="0" w:color="auto"/>
              </w:divBdr>
            </w:div>
          </w:divsChild>
        </w:div>
        <w:div w:id="1127240737">
          <w:marLeft w:val="0"/>
          <w:marRight w:val="0"/>
          <w:marTop w:val="0"/>
          <w:marBottom w:val="0"/>
          <w:divBdr>
            <w:top w:val="none" w:sz="0" w:space="0" w:color="auto"/>
            <w:left w:val="none" w:sz="0" w:space="0" w:color="auto"/>
            <w:bottom w:val="none" w:sz="0" w:space="0" w:color="auto"/>
            <w:right w:val="none" w:sz="0" w:space="0" w:color="auto"/>
          </w:divBdr>
          <w:divsChild>
            <w:div w:id="1061291584">
              <w:marLeft w:val="0"/>
              <w:marRight w:val="0"/>
              <w:marTop w:val="0"/>
              <w:marBottom w:val="0"/>
              <w:divBdr>
                <w:top w:val="none" w:sz="0" w:space="0" w:color="auto"/>
                <w:left w:val="none" w:sz="0" w:space="0" w:color="auto"/>
                <w:bottom w:val="none" w:sz="0" w:space="0" w:color="auto"/>
                <w:right w:val="none" w:sz="0" w:space="0" w:color="auto"/>
              </w:divBdr>
            </w:div>
          </w:divsChild>
        </w:div>
        <w:div w:id="1137798495">
          <w:marLeft w:val="0"/>
          <w:marRight w:val="0"/>
          <w:marTop w:val="0"/>
          <w:marBottom w:val="0"/>
          <w:divBdr>
            <w:top w:val="none" w:sz="0" w:space="0" w:color="auto"/>
            <w:left w:val="none" w:sz="0" w:space="0" w:color="auto"/>
            <w:bottom w:val="none" w:sz="0" w:space="0" w:color="auto"/>
            <w:right w:val="none" w:sz="0" w:space="0" w:color="auto"/>
          </w:divBdr>
          <w:divsChild>
            <w:div w:id="52198724">
              <w:marLeft w:val="0"/>
              <w:marRight w:val="0"/>
              <w:marTop w:val="0"/>
              <w:marBottom w:val="0"/>
              <w:divBdr>
                <w:top w:val="none" w:sz="0" w:space="0" w:color="auto"/>
                <w:left w:val="none" w:sz="0" w:space="0" w:color="auto"/>
                <w:bottom w:val="none" w:sz="0" w:space="0" w:color="auto"/>
                <w:right w:val="none" w:sz="0" w:space="0" w:color="auto"/>
              </w:divBdr>
            </w:div>
          </w:divsChild>
        </w:div>
        <w:div w:id="1149634745">
          <w:marLeft w:val="0"/>
          <w:marRight w:val="0"/>
          <w:marTop w:val="0"/>
          <w:marBottom w:val="0"/>
          <w:divBdr>
            <w:top w:val="none" w:sz="0" w:space="0" w:color="auto"/>
            <w:left w:val="none" w:sz="0" w:space="0" w:color="auto"/>
            <w:bottom w:val="none" w:sz="0" w:space="0" w:color="auto"/>
            <w:right w:val="none" w:sz="0" w:space="0" w:color="auto"/>
          </w:divBdr>
          <w:divsChild>
            <w:div w:id="70351932">
              <w:marLeft w:val="0"/>
              <w:marRight w:val="0"/>
              <w:marTop w:val="0"/>
              <w:marBottom w:val="0"/>
              <w:divBdr>
                <w:top w:val="none" w:sz="0" w:space="0" w:color="auto"/>
                <w:left w:val="none" w:sz="0" w:space="0" w:color="auto"/>
                <w:bottom w:val="none" w:sz="0" w:space="0" w:color="auto"/>
                <w:right w:val="none" w:sz="0" w:space="0" w:color="auto"/>
              </w:divBdr>
            </w:div>
          </w:divsChild>
        </w:div>
        <w:div w:id="1152872212">
          <w:marLeft w:val="0"/>
          <w:marRight w:val="0"/>
          <w:marTop w:val="0"/>
          <w:marBottom w:val="0"/>
          <w:divBdr>
            <w:top w:val="none" w:sz="0" w:space="0" w:color="auto"/>
            <w:left w:val="none" w:sz="0" w:space="0" w:color="auto"/>
            <w:bottom w:val="none" w:sz="0" w:space="0" w:color="auto"/>
            <w:right w:val="none" w:sz="0" w:space="0" w:color="auto"/>
          </w:divBdr>
          <w:divsChild>
            <w:div w:id="1795253437">
              <w:marLeft w:val="0"/>
              <w:marRight w:val="0"/>
              <w:marTop w:val="0"/>
              <w:marBottom w:val="0"/>
              <w:divBdr>
                <w:top w:val="none" w:sz="0" w:space="0" w:color="auto"/>
                <w:left w:val="none" w:sz="0" w:space="0" w:color="auto"/>
                <w:bottom w:val="none" w:sz="0" w:space="0" w:color="auto"/>
                <w:right w:val="none" w:sz="0" w:space="0" w:color="auto"/>
              </w:divBdr>
            </w:div>
          </w:divsChild>
        </w:div>
        <w:div w:id="1154950740">
          <w:marLeft w:val="0"/>
          <w:marRight w:val="0"/>
          <w:marTop w:val="0"/>
          <w:marBottom w:val="0"/>
          <w:divBdr>
            <w:top w:val="none" w:sz="0" w:space="0" w:color="auto"/>
            <w:left w:val="none" w:sz="0" w:space="0" w:color="auto"/>
            <w:bottom w:val="none" w:sz="0" w:space="0" w:color="auto"/>
            <w:right w:val="none" w:sz="0" w:space="0" w:color="auto"/>
          </w:divBdr>
          <w:divsChild>
            <w:div w:id="627203661">
              <w:marLeft w:val="0"/>
              <w:marRight w:val="0"/>
              <w:marTop w:val="0"/>
              <w:marBottom w:val="0"/>
              <w:divBdr>
                <w:top w:val="none" w:sz="0" w:space="0" w:color="auto"/>
                <w:left w:val="none" w:sz="0" w:space="0" w:color="auto"/>
                <w:bottom w:val="none" w:sz="0" w:space="0" w:color="auto"/>
                <w:right w:val="none" w:sz="0" w:space="0" w:color="auto"/>
              </w:divBdr>
            </w:div>
          </w:divsChild>
        </w:div>
        <w:div w:id="1162433895">
          <w:marLeft w:val="0"/>
          <w:marRight w:val="0"/>
          <w:marTop w:val="0"/>
          <w:marBottom w:val="0"/>
          <w:divBdr>
            <w:top w:val="none" w:sz="0" w:space="0" w:color="auto"/>
            <w:left w:val="none" w:sz="0" w:space="0" w:color="auto"/>
            <w:bottom w:val="none" w:sz="0" w:space="0" w:color="auto"/>
            <w:right w:val="none" w:sz="0" w:space="0" w:color="auto"/>
          </w:divBdr>
          <w:divsChild>
            <w:div w:id="1697803186">
              <w:marLeft w:val="0"/>
              <w:marRight w:val="0"/>
              <w:marTop w:val="0"/>
              <w:marBottom w:val="0"/>
              <w:divBdr>
                <w:top w:val="none" w:sz="0" w:space="0" w:color="auto"/>
                <w:left w:val="none" w:sz="0" w:space="0" w:color="auto"/>
                <w:bottom w:val="none" w:sz="0" w:space="0" w:color="auto"/>
                <w:right w:val="none" w:sz="0" w:space="0" w:color="auto"/>
              </w:divBdr>
            </w:div>
          </w:divsChild>
        </w:div>
        <w:div w:id="1165166469">
          <w:marLeft w:val="0"/>
          <w:marRight w:val="0"/>
          <w:marTop w:val="0"/>
          <w:marBottom w:val="0"/>
          <w:divBdr>
            <w:top w:val="none" w:sz="0" w:space="0" w:color="auto"/>
            <w:left w:val="none" w:sz="0" w:space="0" w:color="auto"/>
            <w:bottom w:val="none" w:sz="0" w:space="0" w:color="auto"/>
            <w:right w:val="none" w:sz="0" w:space="0" w:color="auto"/>
          </w:divBdr>
          <w:divsChild>
            <w:div w:id="917128282">
              <w:marLeft w:val="0"/>
              <w:marRight w:val="0"/>
              <w:marTop w:val="0"/>
              <w:marBottom w:val="0"/>
              <w:divBdr>
                <w:top w:val="none" w:sz="0" w:space="0" w:color="auto"/>
                <w:left w:val="none" w:sz="0" w:space="0" w:color="auto"/>
                <w:bottom w:val="none" w:sz="0" w:space="0" w:color="auto"/>
                <w:right w:val="none" w:sz="0" w:space="0" w:color="auto"/>
              </w:divBdr>
            </w:div>
          </w:divsChild>
        </w:div>
        <w:div w:id="1172842267">
          <w:marLeft w:val="0"/>
          <w:marRight w:val="0"/>
          <w:marTop w:val="0"/>
          <w:marBottom w:val="0"/>
          <w:divBdr>
            <w:top w:val="none" w:sz="0" w:space="0" w:color="auto"/>
            <w:left w:val="none" w:sz="0" w:space="0" w:color="auto"/>
            <w:bottom w:val="none" w:sz="0" w:space="0" w:color="auto"/>
            <w:right w:val="none" w:sz="0" w:space="0" w:color="auto"/>
          </w:divBdr>
          <w:divsChild>
            <w:div w:id="1949505836">
              <w:marLeft w:val="0"/>
              <w:marRight w:val="0"/>
              <w:marTop w:val="0"/>
              <w:marBottom w:val="0"/>
              <w:divBdr>
                <w:top w:val="none" w:sz="0" w:space="0" w:color="auto"/>
                <w:left w:val="none" w:sz="0" w:space="0" w:color="auto"/>
                <w:bottom w:val="none" w:sz="0" w:space="0" w:color="auto"/>
                <w:right w:val="none" w:sz="0" w:space="0" w:color="auto"/>
              </w:divBdr>
            </w:div>
          </w:divsChild>
        </w:div>
        <w:div w:id="1182360259">
          <w:marLeft w:val="0"/>
          <w:marRight w:val="0"/>
          <w:marTop w:val="0"/>
          <w:marBottom w:val="0"/>
          <w:divBdr>
            <w:top w:val="none" w:sz="0" w:space="0" w:color="auto"/>
            <w:left w:val="none" w:sz="0" w:space="0" w:color="auto"/>
            <w:bottom w:val="none" w:sz="0" w:space="0" w:color="auto"/>
            <w:right w:val="none" w:sz="0" w:space="0" w:color="auto"/>
          </w:divBdr>
          <w:divsChild>
            <w:div w:id="1283272008">
              <w:marLeft w:val="0"/>
              <w:marRight w:val="0"/>
              <w:marTop w:val="0"/>
              <w:marBottom w:val="0"/>
              <w:divBdr>
                <w:top w:val="none" w:sz="0" w:space="0" w:color="auto"/>
                <w:left w:val="none" w:sz="0" w:space="0" w:color="auto"/>
                <w:bottom w:val="none" w:sz="0" w:space="0" w:color="auto"/>
                <w:right w:val="none" w:sz="0" w:space="0" w:color="auto"/>
              </w:divBdr>
            </w:div>
          </w:divsChild>
        </w:div>
        <w:div w:id="1190801058">
          <w:marLeft w:val="0"/>
          <w:marRight w:val="0"/>
          <w:marTop w:val="0"/>
          <w:marBottom w:val="0"/>
          <w:divBdr>
            <w:top w:val="none" w:sz="0" w:space="0" w:color="auto"/>
            <w:left w:val="none" w:sz="0" w:space="0" w:color="auto"/>
            <w:bottom w:val="none" w:sz="0" w:space="0" w:color="auto"/>
            <w:right w:val="none" w:sz="0" w:space="0" w:color="auto"/>
          </w:divBdr>
          <w:divsChild>
            <w:div w:id="2107965885">
              <w:marLeft w:val="0"/>
              <w:marRight w:val="0"/>
              <w:marTop w:val="0"/>
              <w:marBottom w:val="0"/>
              <w:divBdr>
                <w:top w:val="none" w:sz="0" w:space="0" w:color="auto"/>
                <w:left w:val="none" w:sz="0" w:space="0" w:color="auto"/>
                <w:bottom w:val="none" w:sz="0" w:space="0" w:color="auto"/>
                <w:right w:val="none" w:sz="0" w:space="0" w:color="auto"/>
              </w:divBdr>
            </w:div>
          </w:divsChild>
        </w:div>
        <w:div w:id="1193345916">
          <w:marLeft w:val="0"/>
          <w:marRight w:val="0"/>
          <w:marTop w:val="0"/>
          <w:marBottom w:val="0"/>
          <w:divBdr>
            <w:top w:val="none" w:sz="0" w:space="0" w:color="auto"/>
            <w:left w:val="none" w:sz="0" w:space="0" w:color="auto"/>
            <w:bottom w:val="none" w:sz="0" w:space="0" w:color="auto"/>
            <w:right w:val="none" w:sz="0" w:space="0" w:color="auto"/>
          </w:divBdr>
          <w:divsChild>
            <w:div w:id="212160566">
              <w:marLeft w:val="0"/>
              <w:marRight w:val="0"/>
              <w:marTop w:val="0"/>
              <w:marBottom w:val="0"/>
              <w:divBdr>
                <w:top w:val="none" w:sz="0" w:space="0" w:color="auto"/>
                <w:left w:val="none" w:sz="0" w:space="0" w:color="auto"/>
                <w:bottom w:val="none" w:sz="0" w:space="0" w:color="auto"/>
                <w:right w:val="none" w:sz="0" w:space="0" w:color="auto"/>
              </w:divBdr>
            </w:div>
          </w:divsChild>
        </w:div>
        <w:div w:id="1197043205">
          <w:marLeft w:val="0"/>
          <w:marRight w:val="0"/>
          <w:marTop w:val="0"/>
          <w:marBottom w:val="0"/>
          <w:divBdr>
            <w:top w:val="none" w:sz="0" w:space="0" w:color="auto"/>
            <w:left w:val="none" w:sz="0" w:space="0" w:color="auto"/>
            <w:bottom w:val="none" w:sz="0" w:space="0" w:color="auto"/>
            <w:right w:val="none" w:sz="0" w:space="0" w:color="auto"/>
          </w:divBdr>
          <w:divsChild>
            <w:div w:id="1313829744">
              <w:marLeft w:val="0"/>
              <w:marRight w:val="0"/>
              <w:marTop w:val="0"/>
              <w:marBottom w:val="0"/>
              <w:divBdr>
                <w:top w:val="none" w:sz="0" w:space="0" w:color="auto"/>
                <w:left w:val="none" w:sz="0" w:space="0" w:color="auto"/>
                <w:bottom w:val="none" w:sz="0" w:space="0" w:color="auto"/>
                <w:right w:val="none" w:sz="0" w:space="0" w:color="auto"/>
              </w:divBdr>
            </w:div>
          </w:divsChild>
        </w:div>
        <w:div w:id="1202207746">
          <w:marLeft w:val="0"/>
          <w:marRight w:val="0"/>
          <w:marTop w:val="0"/>
          <w:marBottom w:val="0"/>
          <w:divBdr>
            <w:top w:val="none" w:sz="0" w:space="0" w:color="auto"/>
            <w:left w:val="none" w:sz="0" w:space="0" w:color="auto"/>
            <w:bottom w:val="none" w:sz="0" w:space="0" w:color="auto"/>
            <w:right w:val="none" w:sz="0" w:space="0" w:color="auto"/>
          </w:divBdr>
          <w:divsChild>
            <w:div w:id="1129933913">
              <w:marLeft w:val="0"/>
              <w:marRight w:val="0"/>
              <w:marTop w:val="0"/>
              <w:marBottom w:val="0"/>
              <w:divBdr>
                <w:top w:val="none" w:sz="0" w:space="0" w:color="auto"/>
                <w:left w:val="none" w:sz="0" w:space="0" w:color="auto"/>
                <w:bottom w:val="none" w:sz="0" w:space="0" w:color="auto"/>
                <w:right w:val="none" w:sz="0" w:space="0" w:color="auto"/>
              </w:divBdr>
            </w:div>
          </w:divsChild>
        </w:div>
        <w:div w:id="1205286507">
          <w:marLeft w:val="0"/>
          <w:marRight w:val="0"/>
          <w:marTop w:val="0"/>
          <w:marBottom w:val="0"/>
          <w:divBdr>
            <w:top w:val="none" w:sz="0" w:space="0" w:color="auto"/>
            <w:left w:val="none" w:sz="0" w:space="0" w:color="auto"/>
            <w:bottom w:val="none" w:sz="0" w:space="0" w:color="auto"/>
            <w:right w:val="none" w:sz="0" w:space="0" w:color="auto"/>
          </w:divBdr>
          <w:divsChild>
            <w:div w:id="633491487">
              <w:marLeft w:val="0"/>
              <w:marRight w:val="0"/>
              <w:marTop w:val="0"/>
              <w:marBottom w:val="0"/>
              <w:divBdr>
                <w:top w:val="none" w:sz="0" w:space="0" w:color="auto"/>
                <w:left w:val="none" w:sz="0" w:space="0" w:color="auto"/>
                <w:bottom w:val="none" w:sz="0" w:space="0" w:color="auto"/>
                <w:right w:val="none" w:sz="0" w:space="0" w:color="auto"/>
              </w:divBdr>
            </w:div>
          </w:divsChild>
        </w:div>
        <w:div w:id="1208882569">
          <w:marLeft w:val="0"/>
          <w:marRight w:val="0"/>
          <w:marTop w:val="0"/>
          <w:marBottom w:val="0"/>
          <w:divBdr>
            <w:top w:val="none" w:sz="0" w:space="0" w:color="auto"/>
            <w:left w:val="none" w:sz="0" w:space="0" w:color="auto"/>
            <w:bottom w:val="none" w:sz="0" w:space="0" w:color="auto"/>
            <w:right w:val="none" w:sz="0" w:space="0" w:color="auto"/>
          </w:divBdr>
          <w:divsChild>
            <w:div w:id="558708064">
              <w:marLeft w:val="0"/>
              <w:marRight w:val="0"/>
              <w:marTop w:val="0"/>
              <w:marBottom w:val="0"/>
              <w:divBdr>
                <w:top w:val="none" w:sz="0" w:space="0" w:color="auto"/>
                <w:left w:val="none" w:sz="0" w:space="0" w:color="auto"/>
                <w:bottom w:val="none" w:sz="0" w:space="0" w:color="auto"/>
                <w:right w:val="none" w:sz="0" w:space="0" w:color="auto"/>
              </w:divBdr>
            </w:div>
          </w:divsChild>
        </w:div>
        <w:div w:id="1211841180">
          <w:marLeft w:val="0"/>
          <w:marRight w:val="0"/>
          <w:marTop w:val="0"/>
          <w:marBottom w:val="0"/>
          <w:divBdr>
            <w:top w:val="none" w:sz="0" w:space="0" w:color="auto"/>
            <w:left w:val="none" w:sz="0" w:space="0" w:color="auto"/>
            <w:bottom w:val="none" w:sz="0" w:space="0" w:color="auto"/>
            <w:right w:val="none" w:sz="0" w:space="0" w:color="auto"/>
          </w:divBdr>
          <w:divsChild>
            <w:div w:id="1218542252">
              <w:marLeft w:val="0"/>
              <w:marRight w:val="0"/>
              <w:marTop w:val="0"/>
              <w:marBottom w:val="0"/>
              <w:divBdr>
                <w:top w:val="none" w:sz="0" w:space="0" w:color="auto"/>
                <w:left w:val="none" w:sz="0" w:space="0" w:color="auto"/>
                <w:bottom w:val="none" w:sz="0" w:space="0" w:color="auto"/>
                <w:right w:val="none" w:sz="0" w:space="0" w:color="auto"/>
              </w:divBdr>
            </w:div>
          </w:divsChild>
        </w:div>
        <w:div w:id="1233469364">
          <w:marLeft w:val="0"/>
          <w:marRight w:val="0"/>
          <w:marTop w:val="0"/>
          <w:marBottom w:val="0"/>
          <w:divBdr>
            <w:top w:val="none" w:sz="0" w:space="0" w:color="auto"/>
            <w:left w:val="none" w:sz="0" w:space="0" w:color="auto"/>
            <w:bottom w:val="none" w:sz="0" w:space="0" w:color="auto"/>
            <w:right w:val="none" w:sz="0" w:space="0" w:color="auto"/>
          </w:divBdr>
          <w:divsChild>
            <w:div w:id="794443435">
              <w:marLeft w:val="0"/>
              <w:marRight w:val="0"/>
              <w:marTop w:val="0"/>
              <w:marBottom w:val="0"/>
              <w:divBdr>
                <w:top w:val="none" w:sz="0" w:space="0" w:color="auto"/>
                <w:left w:val="none" w:sz="0" w:space="0" w:color="auto"/>
                <w:bottom w:val="none" w:sz="0" w:space="0" w:color="auto"/>
                <w:right w:val="none" w:sz="0" w:space="0" w:color="auto"/>
              </w:divBdr>
            </w:div>
          </w:divsChild>
        </w:div>
        <w:div w:id="1258055550">
          <w:marLeft w:val="0"/>
          <w:marRight w:val="0"/>
          <w:marTop w:val="0"/>
          <w:marBottom w:val="0"/>
          <w:divBdr>
            <w:top w:val="none" w:sz="0" w:space="0" w:color="auto"/>
            <w:left w:val="none" w:sz="0" w:space="0" w:color="auto"/>
            <w:bottom w:val="none" w:sz="0" w:space="0" w:color="auto"/>
            <w:right w:val="none" w:sz="0" w:space="0" w:color="auto"/>
          </w:divBdr>
          <w:divsChild>
            <w:div w:id="425420065">
              <w:marLeft w:val="0"/>
              <w:marRight w:val="0"/>
              <w:marTop w:val="0"/>
              <w:marBottom w:val="0"/>
              <w:divBdr>
                <w:top w:val="none" w:sz="0" w:space="0" w:color="auto"/>
                <w:left w:val="none" w:sz="0" w:space="0" w:color="auto"/>
                <w:bottom w:val="none" w:sz="0" w:space="0" w:color="auto"/>
                <w:right w:val="none" w:sz="0" w:space="0" w:color="auto"/>
              </w:divBdr>
            </w:div>
          </w:divsChild>
        </w:div>
        <w:div w:id="1259173309">
          <w:marLeft w:val="0"/>
          <w:marRight w:val="0"/>
          <w:marTop w:val="0"/>
          <w:marBottom w:val="0"/>
          <w:divBdr>
            <w:top w:val="none" w:sz="0" w:space="0" w:color="auto"/>
            <w:left w:val="none" w:sz="0" w:space="0" w:color="auto"/>
            <w:bottom w:val="none" w:sz="0" w:space="0" w:color="auto"/>
            <w:right w:val="none" w:sz="0" w:space="0" w:color="auto"/>
          </w:divBdr>
          <w:divsChild>
            <w:div w:id="559023727">
              <w:marLeft w:val="0"/>
              <w:marRight w:val="0"/>
              <w:marTop w:val="0"/>
              <w:marBottom w:val="0"/>
              <w:divBdr>
                <w:top w:val="none" w:sz="0" w:space="0" w:color="auto"/>
                <w:left w:val="none" w:sz="0" w:space="0" w:color="auto"/>
                <w:bottom w:val="none" w:sz="0" w:space="0" w:color="auto"/>
                <w:right w:val="none" w:sz="0" w:space="0" w:color="auto"/>
              </w:divBdr>
            </w:div>
          </w:divsChild>
        </w:div>
        <w:div w:id="1265262037">
          <w:marLeft w:val="0"/>
          <w:marRight w:val="0"/>
          <w:marTop w:val="0"/>
          <w:marBottom w:val="0"/>
          <w:divBdr>
            <w:top w:val="none" w:sz="0" w:space="0" w:color="auto"/>
            <w:left w:val="none" w:sz="0" w:space="0" w:color="auto"/>
            <w:bottom w:val="none" w:sz="0" w:space="0" w:color="auto"/>
            <w:right w:val="none" w:sz="0" w:space="0" w:color="auto"/>
          </w:divBdr>
          <w:divsChild>
            <w:div w:id="1164315988">
              <w:marLeft w:val="0"/>
              <w:marRight w:val="0"/>
              <w:marTop w:val="0"/>
              <w:marBottom w:val="0"/>
              <w:divBdr>
                <w:top w:val="none" w:sz="0" w:space="0" w:color="auto"/>
                <w:left w:val="none" w:sz="0" w:space="0" w:color="auto"/>
                <w:bottom w:val="none" w:sz="0" w:space="0" w:color="auto"/>
                <w:right w:val="none" w:sz="0" w:space="0" w:color="auto"/>
              </w:divBdr>
            </w:div>
          </w:divsChild>
        </w:div>
        <w:div w:id="1268150533">
          <w:marLeft w:val="0"/>
          <w:marRight w:val="0"/>
          <w:marTop w:val="0"/>
          <w:marBottom w:val="0"/>
          <w:divBdr>
            <w:top w:val="none" w:sz="0" w:space="0" w:color="auto"/>
            <w:left w:val="none" w:sz="0" w:space="0" w:color="auto"/>
            <w:bottom w:val="none" w:sz="0" w:space="0" w:color="auto"/>
            <w:right w:val="none" w:sz="0" w:space="0" w:color="auto"/>
          </w:divBdr>
          <w:divsChild>
            <w:div w:id="1578510698">
              <w:marLeft w:val="0"/>
              <w:marRight w:val="0"/>
              <w:marTop w:val="0"/>
              <w:marBottom w:val="0"/>
              <w:divBdr>
                <w:top w:val="none" w:sz="0" w:space="0" w:color="auto"/>
                <w:left w:val="none" w:sz="0" w:space="0" w:color="auto"/>
                <w:bottom w:val="none" w:sz="0" w:space="0" w:color="auto"/>
                <w:right w:val="none" w:sz="0" w:space="0" w:color="auto"/>
              </w:divBdr>
            </w:div>
          </w:divsChild>
        </w:div>
        <w:div w:id="1276399044">
          <w:marLeft w:val="0"/>
          <w:marRight w:val="0"/>
          <w:marTop w:val="0"/>
          <w:marBottom w:val="0"/>
          <w:divBdr>
            <w:top w:val="none" w:sz="0" w:space="0" w:color="auto"/>
            <w:left w:val="none" w:sz="0" w:space="0" w:color="auto"/>
            <w:bottom w:val="none" w:sz="0" w:space="0" w:color="auto"/>
            <w:right w:val="none" w:sz="0" w:space="0" w:color="auto"/>
          </w:divBdr>
          <w:divsChild>
            <w:div w:id="1326583">
              <w:marLeft w:val="0"/>
              <w:marRight w:val="0"/>
              <w:marTop w:val="0"/>
              <w:marBottom w:val="0"/>
              <w:divBdr>
                <w:top w:val="none" w:sz="0" w:space="0" w:color="auto"/>
                <w:left w:val="none" w:sz="0" w:space="0" w:color="auto"/>
                <w:bottom w:val="none" w:sz="0" w:space="0" w:color="auto"/>
                <w:right w:val="none" w:sz="0" w:space="0" w:color="auto"/>
              </w:divBdr>
            </w:div>
          </w:divsChild>
        </w:div>
        <w:div w:id="1279409938">
          <w:marLeft w:val="0"/>
          <w:marRight w:val="0"/>
          <w:marTop w:val="0"/>
          <w:marBottom w:val="0"/>
          <w:divBdr>
            <w:top w:val="none" w:sz="0" w:space="0" w:color="auto"/>
            <w:left w:val="none" w:sz="0" w:space="0" w:color="auto"/>
            <w:bottom w:val="none" w:sz="0" w:space="0" w:color="auto"/>
            <w:right w:val="none" w:sz="0" w:space="0" w:color="auto"/>
          </w:divBdr>
          <w:divsChild>
            <w:div w:id="734857212">
              <w:marLeft w:val="0"/>
              <w:marRight w:val="0"/>
              <w:marTop w:val="0"/>
              <w:marBottom w:val="0"/>
              <w:divBdr>
                <w:top w:val="none" w:sz="0" w:space="0" w:color="auto"/>
                <w:left w:val="none" w:sz="0" w:space="0" w:color="auto"/>
                <w:bottom w:val="none" w:sz="0" w:space="0" w:color="auto"/>
                <w:right w:val="none" w:sz="0" w:space="0" w:color="auto"/>
              </w:divBdr>
            </w:div>
          </w:divsChild>
        </w:div>
        <w:div w:id="1284924816">
          <w:marLeft w:val="0"/>
          <w:marRight w:val="0"/>
          <w:marTop w:val="0"/>
          <w:marBottom w:val="0"/>
          <w:divBdr>
            <w:top w:val="none" w:sz="0" w:space="0" w:color="auto"/>
            <w:left w:val="none" w:sz="0" w:space="0" w:color="auto"/>
            <w:bottom w:val="none" w:sz="0" w:space="0" w:color="auto"/>
            <w:right w:val="none" w:sz="0" w:space="0" w:color="auto"/>
          </w:divBdr>
          <w:divsChild>
            <w:div w:id="224684475">
              <w:marLeft w:val="0"/>
              <w:marRight w:val="0"/>
              <w:marTop w:val="0"/>
              <w:marBottom w:val="0"/>
              <w:divBdr>
                <w:top w:val="none" w:sz="0" w:space="0" w:color="auto"/>
                <w:left w:val="none" w:sz="0" w:space="0" w:color="auto"/>
                <w:bottom w:val="none" w:sz="0" w:space="0" w:color="auto"/>
                <w:right w:val="none" w:sz="0" w:space="0" w:color="auto"/>
              </w:divBdr>
            </w:div>
          </w:divsChild>
        </w:div>
        <w:div w:id="1285430055">
          <w:marLeft w:val="0"/>
          <w:marRight w:val="0"/>
          <w:marTop w:val="0"/>
          <w:marBottom w:val="0"/>
          <w:divBdr>
            <w:top w:val="none" w:sz="0" w:space="0" w:color="auto"/>
            <w:left w:val="none" w:sz="0" w:space="0" w:color="auto"/>
            <w:bottom w:val="none" w:sz="0" w:space="0" w:color="auto"/>
            <w:right w:val="none" w:sz="0" w:space="0" w:color="auto"/>
          </w:divBdr>
          <w:divsChild>
            <w:div w:id="1998681315">
              <w:marLeft w:val="0"/>
              <w:marRight w:val="0"/>
              <w:marTop w:val="0"/>
              <w:marBottom w:val="0"/>
              <w:divBdr>
                <w:top w:val="none" w:sz="0" w:space="0" w:color="auto"/>
                <w:left w:val="none" w:sz="0" w:space="0" w:color="auto"/>
                <w:bottom w:val="none" w:sz="0" w:space="0" w:color="auto"/>
                <w:right w:val="none" w:sz="0" w:space="0" w:color="auto"/>
              </w:divBdr>
            </w:div>
          </w:divsChild>
        </w:div>
        <w:div w:id="1293317930">
          <w:marLeft w:val="0"/>
          <w:marRight w:val="0"/>
          <w:marTop w:val="0"/>
          <w:marBottom w:val="0"/>
          <w:divBdr>
            <w:top w:val="none" w:sz="0" w:space="0" w:color="auto"/>
            <w:left w:val="none" w:sz="0" w:space="0" w:color="auto"/>
            <w:bottom w:val="none" w:sz="0" w:space="0" w:color="auto"/>
            <w:right w:val="none" w:sz="0" w:space="0" w:color="auto"/>
          </w:divBdr>
          <w:divsChild>
            <w:div w:id="962421579">
              <w:marLeft w:val="0"/>
              <w:marRight w:val="0"/>
              <w:marTop w:val="0"/>
              <w:marBottom w:val="0"/>
              <w:divBdr>
                <w:top w:val="none" w:sz="0" w:space="0" w:color="auto"/>
                <w:left w:val="none" w:sz="0" w:space="0" w:color="auto"/>
                <w:bottom w:val="none" w:sz="0" w:space="0" w:color="auto"/>
                <w:right w:val="none" w:sz="0" w:space="0" w:color="auto"/>
              </w:divBdr>
            </w:div>
          </w:divsChild>
        </w:div>
        <w:div w:id="1311248364">
          <w:marLeft w:val="0"/>
          <w:marRight w:val="0"/>
          <w:marTop w:val="0"/>
          <w:marBottom w:val="0"/>
          <w:divBdr>
            <w:top w:val="none" w:sz="0" w:space="0" w:color="auto"/>
            <w:left w:val="none" w:sz="0" w:space="0" w:color="auto"/>
            <w:bottom w:val="none" w:sz="0" w:space="0" w:color="auto"/>
            <w:right w:val="none" w:sz="0" w:space="0" w:color="auto"/>
          </w:divBdr>
          <w:divsChild>
            <w:div w:id="1597247381">
              <w:marLeft w:val="0"/>
              <w:marRight w:val="0"/>
              <w:marTop w:val="0"/>
              <w:marBottom w:val="0"/>
              <w:divBdr>
                <w:top w:val="none" w:sz="0" w:space="0" w:color="auto"/>
                <w:left w:val="none" w:sz="0" w:space="0" w:color="auto"/>
                <w:bottom w:val="none" w:sz="0" w:space="0" w:color="auto"/>
                <w:right w:val="none" w:sz="0" w:space="0" w:color="auto"/>
              </w:divBdr>
            </w:div>
          </w:divsChild>
        </w:div>
        <w:div w:id="1312902616">
          <w:marLeft w:val="0"/>
          <w:marRight w:val="0"/>
          <w:marTop w:val="0"/>
          <w:marBottom w:val="0"/>
          <w:divBdr>
            <w:top w:val="none" w:sz="0" w:space="0" w:color="auto"/>
            <w:left w:val="none" w:sz="0" w:space="0" w:color="auto"/>
            <w:bottom w:val="none" w:sz="0" w:space="0" w:color="auto"/>
            <w:right w:val="none" w:sz="0" w:space="0" w:color="auto"/>
          </w:divBdr>
          <w:divsChild>
            <w:div w:id="994534522">
              <w:marLeft w:val="0"/>
              <w:marRight w:val="0"/>
              <w:marTop w:val="0"/>
              <w:marBottom w:val="0"/>
              <w:divBdr>
                <w:top w:val="none" w:sz="0" w:space="0" w:color="auto"/>
                <w:left w:val="none" w:sz="0" w:space="0" w:color="auto"/>
                <w:bottom w:val="none" w:sz="0" w:space="0" w:color="auto"/>
                <w:right w:val="none" w:sz="0" w:space="0" w:color="auto"/>
              </w:divBdr>
            </w:div>
          </w:divsChild>
        </w:div>
        <w:div w:id="1316759293">
          <w:marLeft w:val="0"/>
          <w:marRight w:val="0"/>
          <w:marTop w:val="0"/>
          <w:marBottom w:val="0"/>
          <w:divBdr>
            <w:top w:val="none" w:sz="0" w:space="0" w:color="auto"/>
            <w:left w:val="none" w:sz="0" w:space="0" w:color="auto"/>
            <w:bottom w:val="none" w:sz="0" w:space="0" w:color="auto"/>
            <w:right w:val="none" w:sz="0" w:space="0" w:color="auto"/>
          </w:divBdr>
          <w:divsChild>
            <w:div w:id="2107991006">
              <w:marLeft w:val="0"/>
              <w:marRight w:val="0"/>
              <w:marTop w:val="0"/>
              <w:marBottom w:val="0"/>
              <w:divBdr>
                <w:top w:val="none" w:sz="0" w:space="0" w:color="auto"/>
                <w:left w:val="none" w:sz="0" w:space="0" w:color="auto"/>
                <w:bottom w:val="none" w:sz="0" w:space="0" w:color="auto"/>
                <w:right w:val="none" w:sz="0" w:space="0" w:color="auto"/>
              </w:divBdr>
            </w:div>
          </w:divsChild>
        </w:div>
        <w:div w:id="1319765530">
          <w:marLeft w:val="0"/>
          <w:marRight w:val="0"/>
          <w:marTop w:val="0"/>
          <w:marBottom w:val="0"/>
          <w:divBdr>
            <w:top w:val="none" w:sz="0" w:space="0" w:color="auto"/>
            <w:left w:val="none" w:sz="0" w:space="0" w:color="auto"/>
            <w:bottom w:val="none" w:sz="0" w:space="0" w:color="auto"/>
            <w:right w:val="none" w:sz="0" w:space="0" w:color="auto"/>
          </w:divBdr>
          <w:divsChild>
            <w:div w:id="489685541">
              <w:marLeft w:val="0"/>
              <w:marRight w:val="0"/>
              <w:marTop w:val="0"/>
              <w:marBottom w:val="0"/>
              <w:divBdr>
                <w:top w:val="none" w:sz="0" w:space="0" w:color="auto"/>
                <w:left w:val="none" w:sz="0" w:space="0" w:color="auto"/>
                <w:bottom w:val="none" w:sz="0" w:space="0" w:color="auto"/>
                <w:right w:val="none" w:sz="0" w:space="0" w:color="auto"/>
              </w:divBdr>
            </w:div>
          </w:divsChild>
        </w:div>
        <w:div w:id="1322923031">
          <w:marLeft w:val="0"/>
          <w:marRight w:val="0"/>
          <w:marTop w:val="0"/>
          <w:marBottom w:val="0"/>
          <w:divBdr>
            <w:top w:val="none" w:sz="0" w:space="0" w:color="auto"/>
            <w:left w:val="none" w:sz="0" w:space="0" w:color="auto"/>
            <w:bottom w:val="none" w:sz="0" w:space="0" w:color="auto"/>
            <w:right w:val="none" w:sz="0" w:space="0" w:color="auto"/>
          </w:divBdr>
          <w:divsChild>
            <w:div w:id="1018847491">
              <w:marLeft w:val="0"/>
              <w:marRight w:val="0"/>
              <w:marTop w:val="0"/>
              <w:marBottom w:val="0"/>
              <w:divBdr>
                <w:top w:val="none" w:sz="0" w:space="0" w:color="auto"/>
                <w:left w:val="none" w:sz="0" w:space="0" w:color="auto"/>
                <w:bottom w:val="none" w:sz="0" w:space="0" w:color="auto"/>
                <w:right w:val="none" w:sz="0" w:space="0" w:color="auto"/>
              </w:divBdr>
            </w:div>
          </w:divsChild>
        </w:div>
        <w:div w:id="1323193935">
          <w:marLeft w:val="0"/>
          <w:marRight w:val="0"/>
          <w:marTop w:val="0"/>
          <w:marBottom w:val="0"/>
          <w:divBdr>
            <w:top w:val="none" w:sz="0" w:space="0" w:color="auto"/>
            <w:left w:val="none" w:sz="0" w:space="0" w:color="auto"/>
            <w:bottom w:val="none" w:sz="0" w:space="0" w:color="auto"/>
            <w:right w:val="none" w:sz="0" w:space="0" w:color="auto"/>
          </w:divBdr>
          <w:divsChild>
            <w:div w:id="1464732468">
              <w:marLeft w:val="0"/>
              <w:marRight w:val="0"/>
              <w:marTop w:val="0"/>
              <w:marBottom w:val="0"/>
              <w:divBdr>
                <w:top w:val="none" w:sz="0" w:space="0" w:color="auto"/>
                <w:left w:val="none" w:sz="0" w:space="0" w:color="auto"/>
                <w:bottom w:val="none" w:sz="0" w:space="0" w:color="auto"/>
                <w:right w:val="none" w:sz="0" w:space="0" w:color="auto"/>
              </w:divBdr>
            </w:div>
          </w:divsChild>
        </w:div>
        <w:div w:id="1329364102">
          <w:marLeft w:val="0"/>
          <w:marRight w:val="0"/>
          <w:marTop w:val="0"/>
          <w:marBottom w:val="0"/>
          <w:divBdr>
            <w:top w:val="none" w:sz="0" w:space="0" w:color="auto"/>
            <w:left w:val="none" w:sz="0" w:space="0" w:color="auto"/>
            <w:bottom w:val="none" w:sz="0" w:space="0" w:color="auto"/>
            <w:right w:val="none" w:sz="0" w:space="0" w:color="auto"/>
          </w:divBdr>
          <w:divsChild>
            <w:div w:id="1412580939">
              <w:marLeft w:val="0"/>
              <w:marRight w:val="0"/>
              <w:marTop w:val="0"/>
              <w:marBottom w:val="0"/>
              <w:divBdr>
                <w:top w:val="none" w:sz="0" w:space="0" w:color="auto"/>
                <w:left w:val="none" w:sz="0" w:space="0" w:color="auto"/>
                <w:bottom w:val="none" w:sz="0" w:space="0" w:color="auto"/>
                <w:right w:val="none" w:sz="0" w:space="0" w:color="auto"/>
              </w:divBdr>
            </w:div>
          </w:divsChild>
        </w:div>
        <w:div w:id="1333603667">
          <w:marLeft w:val="0"/>
          <w:marRight w:val="0"/>
          <w:marTop w:val="0"/>
          <w:marBottom w:val="0"/>
          <w:divBdr>
            <w:top w:val="none" w:sz="0" w:space="0" w:color="auto"/>
            <w:left w:val="none" w:sz="0" w:space="0" w:color="auto"/>
            <w:bottom w:val="none" w:sz="0" w:space="0" w:color="auto"/>
            <w:right w:val="none" w:sz="0" w:space="0" w:color="auto"/>
          </w:divBdr>
          <w:divsChild>
            <w:div w:id="91782125">
              <w:marLeft w:val="0"/>
              <w:marRight w:val="0"/>
              <w:marTop w:val="0"/>
              <w:marBottom w:val="0"/>
              <w:divBdr>
                <w:top w:val="none" w:sz="0" w:space="0" w:color="auto"/>
                <w:left w:val="none" w:sz="0" w:space="0" w:color="auto"/>
                <w:bottom w:val="none" w:sz="0" w:space="0" w:color="auto"/>
                <w:right w:val="none" w:sz="0" w:space="0" w:color="auto"/>
              </w:divBdr>
            </w:div>
          </w:divsChild>
        </w:div>
        <w:div w:id="1333604402">
          <w:marLeft w:val="0"/>
          <w:marRight w:val="0"/>
          <w:marTop w:val="0"/>
          <w:marBottom w:val="0"/>
          <w:divBdr>
            <w:top w:val="none" w:sz="0" w:space="0" w:color="auto"/>
            <w:left w:val="none" w:sz="0" w:space="0" w:color="auto"/>
            <w:bottom w:val="none" w:sz="0" w:space="0" w:color="auto"/>
            <w:right w:val="none" w:sz="0" w:space="0" w:color="auto"/>
          </w:divBdr>
          <w:divsChild>
            <w:div w:id="992372125">
              <w:marLeft w:val="0"/>
              <w:marRight w:val="0"/>
              <w:marTop w:val="0"/>
              <w:marBottom w:val="0"/>
              <w:divBdr>
                <w:top w:val="none" w:sz="0" w:space="0" w:color="auto"/>
                <w:left w:val="none" w:sz="0" w:space="0" w:color="auto"/>
                <w:bottom w:val="none" w:sz="0" w:space="0" w:color="auto"/>
                <w:right w:val="none" w:sz="0" w:space="0" w:color="auto"/>
              </w:divBdr>
            </w:div>
          </w:divsChild>
        </w:div>
        <w:div w:id="1359743496">
          <w:marLeft w:val="0"/>
          <w:marRight w:val="0"/>
          <w:marTop w:val="0"/>
          <w:marBottom w:val="0"/>
          <w:divBdr>
            <w:top w:val="none" w:sz="0" w:space="0" w:color="auto"/>
            <w:left w:val="none" w:sz="0" w:space="0" w:color="auto"/>
            <w:bottom w:val="none" w:sz="0" w:space="0" w:color="auto"/>
            <w:right w:val="none" w:sz="0" w:space="0" w:color="auto"/>
          </w:divBdr>
          <w:divsChild>
            <w:div w:id="592395547">
              <w:marLeft w:val="0"/>
              <w:marRight w:val="0"/>
              <w:marTop w:val="0"/>
              <w:marBottom w:val="0"/>
              <w:divBdr>
                <w:top w:val="none" w:sz="0" w:space="0" w:color="auto"/>
                <w:left w:val="none" w:sz="0" w:space="0" w:color="auto"/>
                <w:bottom w:val="none" w:sz="0" w:space="0" w:color="auto"/>
                <w:right w:val="none" w:sz="0" w:space="0" w:color="auto"/>
              </w:divBdr>
            </w:div>
          </w:divsChild>
        </w:div>
        <w:div w:id="1360080091">
          <w:marLeft w:val="0"/>
          <w:marRight w:val="0"/>
          <w:marTop w:val="0"/>
          <w:marBottom w:val="0"/>
          <w:divBdr>
            <w:top w:val="none" w:sz="0" w:space="0" w:color="auto"/>
            <w:left w:val="none" w:sz="0" w:space="0" w:color="auto"/>
            <w:bottom w:val="none" w:sz="0" w:space="0" w:color="auto"/>
            <w:right w:val="none" w:sz="0" w:space="0" w:color="auto"/>
          </w:divBdr>
          <w:divsChild>
            <w:div w:id="617029252">
              <w:marLeft w:val="0"/>
              <w:marRight w:val="0"/>
              <w:marTop w:val="0"/>
              <w:marBottom w:val="0"/>
              <w:divBdr>
                <w:top w:val="none" w:sz="0" w:space="0" w:color="auto"/>
                <w:left w:val="none" w:sz="0" w:space="0" w:color="auto"/>
                <w:bottom w:val="none" w:sz="0" w:space="0" w:color="auto"/>
                <w:right w:val="none" w:sz="0" w:space="0" w:color="auto"/>
              </w:divBdr>
            </w:div>
          </w:divsChild>
        </w:div>
        <w:div w:id="1362629655">
          <w:marLeft w:val="0"/>
          <w:marRight w:val="0"/>
          <w:marTop w:val="0"/>
          <w:marBottom w:val="0"/>
          <w:divBdr>
            <w:top w:val="none" w:sz="0" w:space="0" w:color="auto"/>
            <w:left w:val="none" w:sz="0" w:space="0" w:color="auto"/>
            <w:bottom w:val="none" w:sz="0" w:space="0" w:color="auto"/>
            <w:right w:val="none" w:sz="0" w:space="0" w:color="auto"/>
          </w:divBdr>
          <w:divsChild>
            <w:div w:id="79790028">
              <w:marLeft w:val="0"/>
              <w:marRight w:val="0"/>
              <w:marTop w:val="0"/>
              <w:marBottom w:val="0"/>
              <w:divBdr>
                <w:top w:val="none" w:sz="0" w:space="0" w:color="auto"/>
                <w:left w:val="none" w:sz="0" w:space="0" w:color="auto"/>
                <w:bottom w:val="none" w:sz="0" w:space="0" w:color="auto"/>
                <w:right w:val="none" w:sz="0" w:space="0" w:color="auto"/>
              </w:divBdr>
            </w:div>
          </w:divsChild>
        </w:div>
        <w:div w:id="1368994563">
          <w:marLeft w:val="0"/>
          <w:marRight w:val="0"/>
          <w:marTop w:val="0"/>
          <w:marBottom w:val="0"/>
          <w:divBdr>
            <w:top w:val="none" w:sz="0" w:space="0" w:color="auto"/>
            <w:left w:val="none" w:sz="0" w:space="0" w:color="auto"/>
            <w:bottom w:val="none" w:sz="0" w:space="0" w:color="auto"/>
            <w:right w:val="none" w:sz="0" w:space="0" w:color="auto"/>
          </w:divBdr>
          <w:divsChild>
            <w:div w:id="1058439126">
              <w:marLeft w:val="0"/>
              <w:marRight w:val="0"/>
              <w:marTop w:val="0"/>
              <w:marBottom w:val="0"/>
              <w:divBdr>
                <w:top w:val="none" w:sz="0" w:space="0" w:color="auto"/>
                <w:left w:val="none" w:sz="0" w:space="0" w:color="auto"/>
                <w:bottom w:val="none" w:sz="0" w:space="0" w:color="auto"/>
                <w:right w:val="none" w:sz="0" w:space="0" w:color="auto"/>
              </w:divBdr>
            </w:div>
          </w:divsChild>
        </w:div>
        <w:div w:id="1369332742">
          <w:marLeft w:val="0"/>
          <w:marRight w:val="0"/>
          <w:marTop w:val="0"/>
          <w:marBottom w:val="0"/>
          <w:divBdr>
            <w:top w:val="none" w:sz="0" w:space="0" w:color="auto"/>
            <w:left w:val="none" w:sz="0" w:space="0" w:color="auto"/>
            <w:bottom w:val="none" w:sz="0" w:space="0" w:color="auto"/>
            <w:right w:val="none" w:sz="0" w:space="0" w:color="auto"/>
          </w:divBdr>
          <w:divsChild>
            <w:div w:id="1151486543">
              <w:marLeft w:val="0"/>
              <w:marRight w:val="0"/>
              <w:marTop w:val="0"/>
              <w:marBottom w:val="0"/>
              <w:divBdr>
                <w:top w:val="none" w:sz="0" w:space="0" w:color="auto"/>
                <w:left w:val="none" w:sz="0" w:space="0" w:color="auto"/>
                <w:bottom w:val="none" w:sz="0" w:space="0" w:color="auto"/>
                <w:right w:val="none" w:sz="0" w:space="0" w:color="auto"/>
              </w:divBdr>
            </w:div>
          </w:divsChild>
        </w:div>
        <w:div w:id="1375302536">
          <w:marLeft w:val="0"/>
          <w:marRight w:val="0"/>
          <w:marTop w:val="0"/>
          <w:marBottom w:val="0"/>
          <w:divBdr>
            <w:top w:val="none" w:sz="0" w:space="0" w:color="auto"/>
            <w:left w:val="none" w:sz="0" w:space="0" w:color="auto"/>
            <w:bottom w:val="none" w:sz="0" w:space="0" w:color="auto"/>
            <w:right w:val="none" w:sz="0" w:space="0" w:color="auto"/>
          </w:divBdr>
          <w:divsChild>
            <w:div w:id="868032096">
              <w:marLeft w:val="0"/>
              <w:marRight w:val="0"/>
              <w:marTop w:val="0"/>
              <w:marBottom w:val="0"/>
              <w:divBdr>
                <w:top w:val="none" w:sz="0" w:space="0" w:color="auto"/>
                <w:left w:val="none" w:sz="0" w:space="0" w:color="auto"/>
                <w:bottom w:val="none" w:sz="0" w:space="0" w:color="auto"/>
                <w:right w:val="none" w:sz="0" w:space="0" w:color="auto"/>
              </w:divBdr>
            </w:div>
          </w:divsChild>
        </w:div>
        <w:div w:id="1376076070">
          <w:marLeft w:val="0"/>
          <w:marRight w:val="0"/>
          <w:marTop w:val="0"/>
          <w:marBottom w:val="0"/>
          <w:divBdr>
            <w:top w:val="none" w:sz="0" w:space="0" w:color="auto"/>
            <w:left w:val="none" w:sz="0" w:space="0" w:color="auto"/>
            <w:bottom w:val="none" w:sz="0" w:space="0" w:color="auto"/>
            <w:right w:val="none" w:sz="0" w:space="0" w:color="auto"/>
          </w:divBdr>
          <w:divsChild>
            <w:div w:id="1052340431">
              <w:marLeft w:val="0"/>
              <w:marRight w:val="0"/>
              <w:marTop w:val="0"/>
              <w:marBottom w:val="0"/>
              <w:divBdr>
                <w:top w:val="none" w:sz="0" w:space="0" w:color="auto"/>
                <w:left w:val="none" w:sz="0" w:space="0" w:color="auto"/>
                <w:bottom w:val="none" w:sz="0" w:space="0" w:color="auto"/>
                <w:right w:val="none" w:sz="0" w:space="0" w:color="auto"/>
              </w:divBdr>
            </w:div>
          </w:divsChild>
        </w:div>
        <w:div w:id="1396199898">
          <w:marLeft w:val="0"/>
          <w:marRight w:val="0"/>
          <w:marTop w:val="0"/>
          <w:marBottom w:val="0"/>
          <w:divBdr>
            <w:top w:val="none" w:sz="0" w:space="0" w:color="auto"/>
            <w:left w:val="none" w:sz="0" w:space="0" w:color="auto"/>
            <w:bottom w:val="none" w:sz="0" w:space="0" w:color="auto"/>
            <w:right w:val="none" w:sz="0" w:space="0" w:color="auto"/>
          </w:divBdr>
          <w:divsChild>
            <w:div w:id="1738278534">
              <w:marLeft w:val="0"/>
              <w:marRight w:val="0"/>
              <w:marTop w:val="0"/>
              <w:marBottom w:val="0"/>
              <w:divBdr>
                <w:top w:val="none" w:sz="0" w:space="0" w:color="auto"/>
                <w:left w:val="none" w:sz="0" w:space="0" w:color="auto"/>
                <w:bottom w:val="none" w:sz="0" w:space="0" w:color="auto"/>
                <w:right w:val="none" w:sz="0" w:space="0" w:color="auto"/>
              </w:divBdr>
            </w:div>
          </w:divsChild>
        </w:div>
        <w:div w:id="1407649100">
          <w:marLeft w:val="0"/>
          <w:marRight w:val="0"/>
          <w:marTop w:val="0"/>
          <w:marBottom w:val="0"/>
          <w:divBdr>
            <w:top w:val="none" w:sz="0" w:space="0" w:color="auto"/>
            <w:left w:val="none" w:sz="0" w:space="0" w:color="auto"/>
            <w:bottom w:val="none" w:sz="0" w:space="0" w:color="auto"/>
            <w:right w:val="none" w:sz="0" w:space="0" w:color="auto"/>
          </w:divBdr>
          <w:divsChild>
            <w:div w:id="472908862">
              <w:marLeft w:val="0"/>
              <w:marRight w:val="0"/>
              <w:marTop w:val="0"/>
              <w:marBottom w:val="0"/>
              <w:divBdr>
                <w:top w:val="none" w:sz="0" w:space="0" w:color="auto"/>
                <w:left w:val="none" w:sz="0" w:space="0" w:color="auto"/>
                <w:bottom w:val="none" w:sz="0" w:space="0" w:color="auto"/>
                <w:right w:val="none" w:sz="0" w:space="0" w:color="auto"/>
              </w:divBdr>
            </w:div>
          </w:divsChild>
        </w:div>
        <w:div w:id="1408697270">
          <w:marLeft w:val="0"/>
          <w:marRight w:val="0"/>
          <w:marTop w:val="0"/>
          <w:marBottom w:val="0"/>
          <w:divBdr>
            <w:top w:val="none" w:sz="0" w:space="0" w:color="auto"/>
            <w:left w:val="none" w:sz="0" w:space="0" w:color="auto"/>
            <w:bottom w:val="none" w:sz="0" w:space="0" w:color="auto"/>
            <w:right w:val="none" w:sz="0" w:space="0" w:color="auto"/>
          </w:divBdr>
          <w:divsChild>
            <w:div w:id="1629969630">
              <w:marLeft w:val="0"/>
              <w:marRight w:val="0"/>
              <w:marTop w:val="0"/>
              <w:marBottom w:val="0"/>
              <w:divBdr>
                <w:top w:val="none" w:sz="0" w:space="0" w:color="auto"/>
                <w:left w:val="none" w:sz="0" w:space="0" w:color="auto"/>
                <w:bottom w:val="none" w:sz="0" w:space="0" w:color="auto"/>
                <w:right w:val="none" w:sz="0" w:space="0" w:color="auto"/>
              </w:divBdr>
            </w:div>
          </w:divsChild>
        </w:div>
        <w:div w:id="1414812695">
          <w:marLeft w:val="0"/>
          <w:marRight w:val="0"/>
          <w:marTop w:val="0"/>
          <w:marBottom w:val="0"/>
          <w:divBdr>
            <w:top w:val="none" w:sz="0" w:space="0" w:color="auto"/>
            <w:left w:val="none" w:sz="0" w:space="0" w:color="auto"/>
            <w:bottom w:val="none" w:sz="0" w:space="0" w:color="auto"/>
            <w:right w:val="none" w:sz="0" w:space="0" w:color="auto"/>
          </w:divBdr>
          <w:divsChild>
            <w:div w:id="2067558360">
              <w:marLeft w:val="0"/>
              <w:marRight w:val="0"/>
              <w:marTop w:val="0"/>
              <w:marBottom w:val="0"/>
              <w:divBdr>
                <w:top w:val="none" w:sz="0" w:space="0" w:color="auto"/>
                <w:left w:val="none" w:sz="0" w:space="0" w:color="auto"/>
                <w:bottom w:val="none" w:sz="0" w:space="0" w:color="auto"/>
                <w:right w:val="none" w:sz="0" w:space="0" w:color="auto"/>
              </w:divBdr>
            </w:div>
          </w:divsChild>
        </w:div>
        <w:div w:id="1416055462">
          <w:marLeft w:val="0"/>
          <w:marRight w:val="0"/>
          <w:marTop w:val="0"/>
          <w:marBottom w:val="0"/>
          <w:divBdr>
            <w:top w:val="none" w:sz="0" w:space="0" w:color="auto"/>
            <w:left w:val="none" w:sz="0" w:space="0" w:color="auto"/>
            <w:bottom w:val="none" w:sz="0" w:space="0" w:color="auto"/>
            <w:right w:val="none" w:sz="0" w:space="0" w:color="auto"/>
          </w:divBdr>
          <w:divsChild>
            <w:div w:id="2086148730">
              <w:marLeft w:val="0"/>
              <w:marRight w:val="0"/>
              <w:marTop w:val="0"/>
              <w:marBottom w:val="0"/>
              <w:divBdr>
                <w:top w:val="none" w:sz="0" w:space="0" w:color="auto"/>
                <w:left w:val="none" w:sz="0" w:space="0" w:color="auto"/>
                <w:bottom w:val="none" w:sz="0" w:space="0" w:color="auto"/>
                <w:right w:val="none" w:sz="0" w:space="0" w:color="auto"/>
              </w:divBdr>
            </w:div>
          </w:divsChild>
        </w:div>
        <w:div w:id="1418015230">
          <w:marLeft w:val="0"/>
          <w:marRight w:val="0"/>
          <w:marTop w:val="0"/>
          <w:marBottom w:val="0"/>
          <w:divBdr>
            <w:top w:val="none" w:sz="0" w:space="0" w:color="auto"/>
            <w:left w:val="none" w:sz="0" w:space="0" w:color="auto"/>
            <w:bottom w:val="none" w:sz="0" w:space="0" w:color="auto"/>
            <w:right w:val="none" w:sz="0" w:space="0" w:color="auto"/>
          </w:divBdr>
          <w:divsChild>
            <w:div w:id="560671569">
              <w:marLeft w:val="0"/>
              <w:marRight w:val="0"/>
              <w:marTop w:val="0"/>
              <w:marBottom w:val="0"/>
              <w:divBdr>
                <w:top w:val="none" w:sz="0" w:space="0" w:color="auto"/>
                <w:left w:val="none" w:sz="0" w:space="0" w:color="auto"/>
                <w:bottom w:val="none" w:sz="0" w:space="0" w:color="auto"/>
                <w:right w:val="none" w:sz="0" w:space="0" w:color="auto"/>
              </w:divBdr>
            </w:div>
          </w:divsChild>
        </w:div>
        <w:div w:id="1423916035">
          <w:marLeft w:val="0"/>
          <w:marRight w:val="0"/>
          <w:marTop w:val="0"/>
          <w:marBottom w:val="0"/>
          <w:divBdr>
            <w:top w:val="none" w:sz="0" w:space="0" w:color="auto"/>
            <w:left w:val="none" w:sz="0" w:space="0" w:color="auto"/>
            <w:bottom w:val="none" w:sz="0" w:space="0" w:color="auto"/>
            <w:right w:val="none" w:sz="0" w:space="0" w:color="auto"/>
          </w:divBdr>
          <w:divsChild>
            <w:div w:id="1744833012">
              <w:marLeft w:val="0"/>
              <w:marRight w:val="0"/>
              <w:marTop w:val="0"/>
              <w:marBottom w:val="0"/>
              <w:divBdr>
                <w:top w:val="none" w:sz="0" w:space="0" w:color="auto"/>
                <w:left w:val="none" w:sz="0" w:space="0" w:color="auto"/>
                <w:bottom w:val="none" w:sz="0" w:space="0" w:color="auto"/>
                <w:right w:val="none" w:sz="0" w:space="0" w:color="auto"/>
              </w:divBdr>
            </w:div>
          </w:divsChild>
        </w:div>
        <w:div w:id="1424574664">
          <w:marLeft w:val="0"/>
          <w:marRight w:val="0"/>
          <w:marTop w:val="0"/>
          <w:marBottom w:val="0"/>
          <w:divBdr>
            <w:top w:val="none" w:sz="0" w:space="0" w:color="auto"/>
            <w:left w:val="none" w:sz="0" w:space="0" w:color="auto"/>
            <w:bottom w:val="none" w:sz="0" w:space="0" w:color="auto"/>
            <w:right w:val="none" w:sz="0" w:space="0" w:color="auto"/>
          </w:divBdr>
          <w:divsChild>
            <w:div w:id="266547706">
              <w:marLeft w:val="0"/>
              <w:marRight w:val="0"/>
              <w:marTop w:val="0"/>
              <w:marBottom w:val="0"/>
              <w:divBdr>
                <w:top w:val="none" w:sz="0" w:space="0" w:color="auto"/>
                <w:left w:val="none" w:sz="0" w:space="0" w:color="auto"/>
                <w:bottom w:val="none" w:sz="0" w:space="0" w:color="auto"/>
                <w:right w:val="none" w:sz="0" w:space="0" w:color="auto"/>
              </w:divBdr>
            </w:div>
          </w:divsChild>
        </w:div>
        <w:div w:id="1426538677">
          <w:marLeft w:val="0"/>
          <w:marRight w:val="0"/>
          <w:marTop w:val="0"/>
          <w:marBottom w:val="0"/>
          <w:divBdr>
            <w:top w:val="none" w:sz="0" w:space="0" w:color="auto"/>
            <w:left w:val="none" w:sz="0" w:space="0" w:color="auto"/>
            <w:bottom w:val="none" w:sz="0" w:space="0" w:color="auto"/>
            <w:right w:val="none" w:sz="0" w:space="0" w:color="auto"/>
          </w:divBdr>
          <w:divsChild>
            <w:div w:id="761608712">
              <w:marLeft w:val="0"/>
              <w:marRight w:val="0"/>
              <w:marTop w:val="0"/>
              <w:marBottom w:val="0"/>
              <w:divBdr>
                <w:top w:val="none" w:sz="0" w:space="0" w:color="auto"/>
                <w:left w:val="none" w:sz="0" w:space="0" w:color="auto"/>
                <w:bottom w:val="none" w:sz="0" w:space="0" w:color="auto"/>
                <w:right w:val="none" w:sz="0" w:space="0" w:color="auto"/>
              </w:divBdr>
            </w:div>
          </w:divsChild>
        </w:div>
        <w:div w:id="1428888472">
          <w:marLeft w:val="0"/>
          <w:marRight w:val="0"/>
          <w:marTop w:val="0"/>
          <w:marBottom w:val="0"/>
          <w:divBdr>
            <w:top w:val="none" w:sz="0" w:space="0" w:color="auto"/>
            <w:left w:val="none" w:sz="0" w:space="0" w:color="auto"/>
            <w:bottom w:val="none" w:sz="0" w:space="0" w:color="auto"/>
            <w:right w:val="none" w:sz="0" w:space="0" w:color="auto"/>
          </w:divBdr>
          <w:divsChild>
            <w:div w:id="455946542">
              <w:marLeft w:val="0"/>
              <w:marRight w:val="0"/>
              <w:marTop w:val="0"/>
              <w:marBottom w:val="0"/>
              <w:divBdr>
                <w:top w:val="none" w:sz="0" w:space="0" w:color="auto"/>
                <w:left w:val="none" w:sz="0" w:space="0" w:color="auto"/>
                <w:bottom w:val="none" w:sz="0" w:space="0" w:color="auto"/>
                <w:right w:val="none" w:sz="0" w:space="0" w:color="auto"/>
              </w:divBdr>
            </w:div>
          </w:divsChild>
        </w:div>
        <w:div w:id="1429236606">
          <w:marLeft w:val="0"/>
          <w:marRight w:val="0"/>
          <w:marTop w:val="0"/>
          <w:marBottom w:val="0"/>
          <w:divBdr>
            <w:top w:val="none" w:sz="0" w:space="0" w:color="auto"/>
            <w:left w:val="none" w:sz="0" w:space="0" w:color="auto"/>
            <w:bottom w:val="none" w:sz="0" w:space="0" w:color="auto"/>
            <w:right w:val="none" w:sz="0" w:space="0" w:color="auto"/>
          </w:divBdr>
          <w:divsChild>
            <w:div w:id="669067222">
              <w:marLeft w:val="0"/>
              <w:marRight w:val="0"/>
              <w:marTop w:val="0"/>
              <w:marBottom w:val="0"/>
              <w:divBdr>
                <w:top w:val="none" w:sz="0" w:space="0" w:color="auto"/>
                <w:left w:val="none" w:sz="0" w:space="0" w:color="auto"/>
                <w:bottom w:val="none" w:sz="0" w:space="0" w:color="auto"/>
                <w:right w:val="none" w:sz="0" w:space="0" w:color="auto"/>
              </w:divBdr>
            </w:div>
          </w:divsChild>
        </w:div>
        <w:div w:id="1436710032">
          <w:marLeft w:val="0"/>
          <w:marRight w:val="0"/>
          <w:marTop w:val="0"/>
          <w:marBottom w:val="0"/>
          <w:divBdr>
            <w:top w:val="none" w:sz="0" w:space="0" w:color="auto"/>
            <w:left w:val="none" w:sz="0" w:space="0" w:color="auto"/>
            <w:bottom w:val="none" w:sz="0" w:space="0" w:color="auto"/>
            <w:right w:val="none" w:sz="0" w:space="0" w:color="auto"/>
          </w:divBdr>
          <w:divsChild>
            <w:div w:id="1508401094">
              <w:marLeft w:val="0"/>
              <w:marRight w:val="0"/>
              <w:marTop w:val="0"/>
              <w:marBottom w:val="0"/>
              <w:divBdr>
                <w:top w:val="none" w:sz="0" w:space="0" w:color="auto"/>
                <w:left w:val="none" w:sz="0" w:space="0" w:color="auto"/>
                <w:bottom w:val="none" w:sz="0" w:space="0" w:color="auto"/>
                <w:right w:val="none" w:sz="0" w:space="0" w:color="auto"/>
              </w:divBdr>
            </w:div>
          </w:divsChild>
        </w:div>
        <w:div w:id="1438524074">
          <w:marLeft w:val="0"/>
          <w:marRight w:val="0"/>
          <w:marTop w:val="0"/>
          <w:marBottom w:val="0"/>
          <w:divBdr>
            <w:top w:val="none" w:sz="0" w:space="0" w:color="auto"/>
            <w:left w:val="none" w:sz="0" w:space="0" w:color="auto"/>
            <w:bottom w:val="none" w:sz="0" w:space="0" w:color="auto"/>
            <w:right w:val="none" w:sz="0" w:space="0" w:color="auto"/>
          </w:divBdr>
          <w:divsChild>
            <w:div w:id="1922712630">
              <w:marLeft w:val="0"/>
              <w:marRight w:val="0"/>
              <w:marTop w:val="0"/>
              <w:marBottom w:val="0"/>
              <w:divBdr>
                <w:top w:val="none" w:sz="0" w:space="0" w:color="auto"/>
                <w:left w:val="none" w:sz="0" w:space="0" w:color="auto"/>
                <w:bottom w:val="none" w:sz="0" w:space="0" w:color="auto"/>
                <w:right w:val="none" w:sz="0" w:space="0" w:color="auto"/>
              </w:divBdr>
            </w:div>
          </w:divsChild>
        </w:div>
        <w:div w:id="1438712355">
          <w:marLeft w:val="0"/>
          <w:marRight w:val="0"/>
          <w:marTop w:val="0"/>
          <w:marBottom w:val="0"/>
          <w:divBdr>
            <w:top w:val="none" w:sz="0" w:space="0" w:color="auto"/>
            <w:left w:val="none" w:sz="0" w:space="0" w:color="auto"/>
            <w:bottom w:val="none" w:sz="0" w:space="0" w:color="auto"/>
            <w:right w:val="none" w:sz="0" w:space="0" w:color="auto"/>
          </w:divBdr>
          <w:divsChild>
            <w:div w:id="1281959711">
              <w:marLeft w:val="0"/>
              <w:marRight w:val="0"/>
              <w:marTop w:val="0"/>
              <w:marBottom w:val="0"/>
              <w:divBdr>
                <w:top w:val="none" w:sz="0" w:space="0" w:color="auto"/>
                <w:left w:val="none" w:sz="0" w:space="0" w:color="auto"/>
                <w:bottom w:val="none" w:sz="0" w:space="0" w:color="auto"/>
                <w:right w:val="none" w:sz="0" w:space="0" w:color="auto"/>
              </w:divBdr>
            </w:div>
          </w:divsChild>
        </w:div>
        <w:div w:id="1448309413">
          <w:marLeft w:val="0"/>
          <w:marRight w:val="0"/>
          <w:marTop w:val="0"/>
          <w:marBottom w:val="0"/>
          <w:divBdr>
            <w:top w:val="none" w:sz="0" w:space="0" w:color="auto"/>
            <w:left w:val="none" w:sz="0" w:space="0" w:color="auto"/>
            <w:bottom w:val="none" w:sz="0" w:space="0" w:color="auto"/>
            <w:right w:val="none" w:sz="0" w:space="0" w:color="auto"/>
          </w:divBdr>
          <w:divsChild>
            <w:div w:id="450785934">
              <w:marLeft w:val="0"/>
              <w:marRight w:val="0"/>
              <w:marTop w:val="0"/>
              <w:marBottom w:val="0"/>
              <w:divBdr>
                <w:top w:val="none" w:sz="0" w:space="0" w:color="auto"/>
                <w:left w:val="none" w:sz="0" w:space="0" w:color="auto"/>
                <w:bottom w:val="none" w:sz="0" w:space="0" w:color="auto"/>
                <w:right w:val="none" w:sz="0" w:space="0" w:color="auto"/>
              </w:divBdr>
            </w:div>
          </w:divsChild>
        </w:div>
        <w:div w:id="1450196058">
          <w:marLeft w:val="0"/>
          <w:marRight w:val="0"/>
          <w:marTop w:val="0"/>
          <w:marBottom w:val="0"/>
          <w:divBdr>
            <w:top w:val="none" w:sz="0" w:space="0" w:color="auto"/>
            <w:left w:val="none" w:sz="0" w:space="0" w:color="auto"/>
            <w:bottom w:val="none" w:sz="0" w:space="0" w:color="auto"/>
            <w:right w:val="none" w:sz="0" w:space="0" w:color="auto"/>
          </w:divBdr>
          <w:divsChild>
            <w:div w:id="498545553">
              <w:marLeft w:val="0"/>
              <w:marRight w:val="0"/>
              <w:marTop w:val="0"/>
              <w:marBottom w:val="0"/>
              <w:divBdr>
                <w:top w:val="none" w:sz="0" w:space="0" w:color="auto"/>
                <w:left w:val="none" w:sz="0" w:space="0" w:color="auto"/>
                <w:bottom w:val="none" w:sz="0" w:space="0" w:color="auto"/>
                <w:right w:val="none" w:sz="0" w:space="0" w:color="auto"/>
              </w:divBdr>
            </w:div>
          </w:divsChild>
        </w:div>
        <w:div w:id="1453012119">
          <w:marLeft w:val="0"/>
          <w:marRight w:val="0"/>
          <w:marTop w:val="0"/>
          <w:marBottom w:val="0"/>
          <w:divBdr>
            <w:top w:val="none" w:sz="0" w:space="0" w:color="auto"/>
            <w:left w:val="none" w:sz="0" w:space="0" w:color="auto"/>
            <w:bottom w:val="none" w:sz="0" w:space="0" w:color="auto"/>
            <w:right w:val="none" w:sz="0" w:space="0" w:color="auto"/>
          </w:divBdr>
          <w:divsChild>
            <w:div w:id="208690118">
              <w:marLeft w:val="0"/>
              <w:marRight w:val="0"/>
              <w:marTop w:val="0"/>
              <w:marBottom w:val="0"/>
              <w:divBdr>
                <w:top w:val="none" w:sz="0" w:space="0" w:color="auto"/>
                <w:left w:val="none" w:sz="0" w:space="0" w:color="auto"/>
                <w:bottom w:val="none" w:sz="0" w:space="0" w:color="auto"/>
                <w:right w:val="none" w:sz="0" w:space="0" w:color="auto"/>
              </w:divBdr>
            </w:div>
          </w:divsChild>
        </w:div>
        <w:div w:id="1460763377">
          <w:marLeft w:val="0"/>
          <w:marRight w:val="0"/>
          <w:marTop w:val="0"/>
          <w:marBottom w:val="0"/>
          <w:divBdr>
            <w:top w:val="none" w:sz="0" w:space="0" w:color="auto"/>
            <w:left w:val="none" w:sz="0" w:space="0" w:color="auto"/>
            <w:bottom w:val="none" w:sz="0" w:space="0" w:color="auto"/>
            <w:right w:val="none" w:sz="0" w:space="0" w:color="auto"/>
          </w:divBdr>
          <w:divsChild>
            <w:div w:id="1044864743">
              <w:marLeft w:val="0"/>
              <w:marRight w:val="0"/>
              <w:marTop w:val="0"/>
              <w:marBottom w:val="0"/>
              <w:divBdr>
                <w:top w:val="none" w:sz="0" w:space="0" w:color="auto"/>
                <w:left w:val="none" w:sz="0" w:space="0" w:color="auto"/>
                <w:bottom w:val="none" w:sz="0" w:space="0" w:color="auto"/>
                <w:right w:val="none" w:sz="0" w:space="0" w:color="auto"/>
              </w:divBdr>
            </w:div>
          </w:divsChild>
        </w:div>
        <w:div w:id="1470048297">
          <w:marLeft w:val="0"/>
          <w:marRight w:val="0"/>
          <w:marTop w:val="0"/>
          <w:marBottom w:val="0"/>
          <w:divBdr>
            <w:top w:val="none" w:sz="0" w:space="0" w:color="auto"/>
            <w:left w:val="none" w:sz="0" w:space="0" w:color="auto"/>
            <w:bottom w:val="none" w:sz="0" w:space="0" w:color="auto"/>
            <w:right w:val="none" w:sz="0" w:space="0" w:color="auto"/>
          </w:divBdr>
          <w:divsChild>
            <w:div w:id="878475828">
              <w:marLeft w:val="0"/>
              <w:marRight w:val="0"/>
              <w:marTop w:val="0"/>
              <w:marBottom w:val="0"/>
              <w:divBdr>
                <w:top w:val="none" w:sz="0" w:space="0" w:color="auto"/>
                <w:left w:val="none" w:sz="0" w:space="0" w:color="auto"/>
                <w:bottom w:val="none" w:sz="0" w:space="0" w:color="auto"/>
                <w:right w:val="none" w:sz="0" w:space="0" w:color="auto"/>
              </w:divBdr>
            </w:div>
          </w:divsChild>
        </w:div>
        <w:div w:id="1471677985">
          <w:marLeft w:val="0"/>
          <w:marRight w:val="0"/>
          <w:marTop w:val="0"/>
          <w:marBottom w:val="0"/>
          <w:divBdr>
            <w:top w:val="none" w:sz="0" w:space="0" w:color="auto"/>
            <w:left w:val="none" w:sz="0" w:space="0" w:color="auto"/>
            <w:bottom w:val="none" w:sz="0" w:space="0" w:color="auto"/>
            <w:right w:val="none" w:sz="0" w:space="0" w:color="auto"/>
          </w:divBdr>
          <w:divsChild>
            <w:div w:id="191769405">
              <w:marLeft w:val="0"/>
              <w:marRight w:val="0"/>
              <w:marTop w:val="0"/>
              <w:marBottom w:val="0"/>
              <w:divBdr>
                <w:top w:val="none" w:sz="0" w:space="0" w:color="auto"/>
                <w:left w:val="none" w:sz="0" w:space="0" w:color="auto"/>
                <w:bottom w:val="none" w:sz="0" w:space="0" w:color="auto"/>
                <w:right w:val="none" w:sz="0" w:space="0" w:color="auto"/>
              </w:divBdr>
            </w:div>
          </w:divsChild>
        </w:div>
        <w:div w:id="1476600651">
          <w:marLeft w:val="0"/>
          <w:marRight w:val="0"/>
          <w:marTop w:val="0"/>
          <w:marBottom w:val="0"/>
          <w:divBdr>
            <w:top w:val="none" w:sz="0" w:space="0" w:color="auto"/>
            <w:left w:val="none" w:sz="0" w:space="0" w:color="auto"/>
            <w:bottom w:val="none" w:sz="0" w:space="0" w:color="auto"/>
            <w:right w:val="none" w:sz="0" w:space="0" w:color="auto"/>
          </w:divBdr>
          <w:divsChild>
            <w:div w:id="1002858866">
              <w:marLeft w:val="0"/>
              <w:marRight w:val="0"/>
              <w:marTop w:val="0"/>
              <w:marBottom w:val="0"/>
              <w:divBdr>
                <w:top w:val="none" w:sz="0" w:space="0" w:color="auto"/>
                <w:left w:val="none" w:sz="0" w:space="0" w:color="auto"/>
                <w:bottom w:val="none" w:sz="0" w:space="0" w:color="auto"/>
                <w:right w:val="none" w:sz="0" w:space="0" w:color="auto"/>
              </w:divBdr>
            </w:div>
          </w:divsChild>
        </w:div>
        <w:div w:id="1476676029">
          <w:marLeft w:val="0"/>
          <w:marRight w:val="0"/>
          <w:marTop w:val="0"/>
          <w:marBottom w:val="0"/>
          <w:divBdr>
            <w:top w:val="none" w:sz="0" w:space="0" w:color="auto"/>
            <w:left w:val="none" w:sz="0" w:space="0" w:color="auto"/>
            <w:bottom w:val="none" w:sz="0" w:space="0" w:color="auto"/>
            <w:right w:val="none" w:sz="0" w:space="0" w:color="auto"/>
          </w:divBdr>
          <w:divsChild>
            <w:div w:id="1418284446">
              <w:marLeft w:val="0"/>
              <w:marRight w:val="0"/>
              <w:marTop w:val="0"/>
              <w:marBottom w:val="0"/>
              <w:divBdr>
                <w:top w:val="none" w:sz="0" w:space="0" w:color="auto"/>
                <w:left w:val="none" w:sz="0" w:space="0" w:color="auto"/>
                <w:bottom w:val="none" w:sz="0" w:space="0" w:color="auto"/>
                <w:right w:val="none" w:sz="0" w:space="0" w:color="auto"/>
              </w:divBdr>
            </w:div>
          </w:divsChild>
        </w:div>
        <w:div w:id="1484926412">
          <w:marLeft w:val="0"/>
          <w:marRight w:val="0"/>
          <w:marTop w:val="0"/>
          <w:marBottom w:val="0"/>
          <w:divBdr>
            <w:top w:val="none" w:sz="0" w:space="0" w:color="auto"/>
            <w:left w:val="none" w:sz="0" w:space="0" w:color="auto"/>
            <w:bottom w:val="none" w:sz="0" w:space="0" w:color="auto"/>
            <w:right w:val="none" w:sz="0" w:space="0" w:color="auto"/>
          </w:divBdr>
          <w:divsChild>
            <w:div w:id="1869760603">
              <w:marLeft w:val="0"/>
              <w:marRight w:val="0"/>
              <w:marTop w:val="0"/>
              <w:marBottom w:val="0"/>
              <w:divBdr>
                <w:top w:val="none" w:sz="0" w:space="0" w:color="auto"/>
                <w:left w:val="none" w:sz="0" w:space="0" w:color="auto"/>
                <w:bottom w:val="none" w:sz="0" w:space="0" w:color="auto"/>
                <w:right w:val="none" w:sz="0" w:space="0" w:color="auto"/>
              </w:divBdr>
            </w:div>
          </w:divsChild>
        </w:div>
        <w:div w:id="1487895560">
          <w:marLeft w:val="0"/>
          <w:marRight w:val="0"/>
          <w:marTop w:val="0"/>
          <w:marBottom w:val="0"/>
          <w:divBdr>
            <w:top w:val="none" w:sz="0" w:space="0" w:color="auto"/>
            <w:left w:val="none" w:sz="0" w:space="0" w:color="auto"/>
            <w:bottom w:val="none" w:sz="0" w:space="0" w:color="auto"/>
            <w:right w:val="none" w:sz="0" w:space="0" w:color="auto"/>
          </w:divBdr>
          <w:divsChild>
            <w:div w:id="581260036">
              <w:marLeft w:val="0"/>
              <w:marRight w:val="0"/>
              <w:marTop w:val="0"/>
              <w:marBottom w:val="0"/>
              <w:divBdr>
                <w:top w:val="none" w:sz="0" w:space="0" w:color="auto"/>
                <w:left w:val="none" w:sz="0" w:space="0" w:color="auto"/>
                <w:bottom w:val="none" w:sz="0" w:space="0" w:color="auto"/>
                <w:right w:val="none" w:sz="0" w:space="0" w:color="auto"/>
              </w:divBdr>
            </w:div>
          </w:divsChild>
        </w:div>
        <w:div w:id="1489513434">
          <w:marLeft w:val="0"/>
          <w:marRight w:val="0"/>
          <w:marTop w:val="0"/>
          <w:marBottom w:val="0"/>
          <w:divBdr>
            <w:top w:val="none" w:sz="0" w:space="0" w:color="auto"/>
            <w:left w:val="none" w:sz="0" w:space="0" w:color="auto"/>
            <w:bottom w:val="none" w:sz="0" w:space="0" w:color="auto"/>
            <w:right w:val="none" w:sz="0" w:space="0" w:color="auto"/>
          </w:divBdr>
          <w:divsChild>
            <w:div w:id="611133101">
              <w:marLeft w:val="0"/>
              <w:marRight w:val="0"/>
              <w:marTop w:val="0"/>
              <w:marBottom w:val="0"/>
              <w:divBdr>
                <w:top w:val="none" w:sz="0" w:space="0" w:color="auto"/>
                <w:left w:val="none" w:sz="0" w:space="0" w:color="auto"/>
                <w:bottom w:val="none" w:sz="0" w:space="0" w:color="auto"/>
                <w:right w:val="none" w:sz="0" w:space="0" w:color="auto"/>
              </w:divBdr>
            </w:div>
          </w:divsChild>
        </w:div>
        <w:div w:id="1494762527">
          <w:marLeft w:val="0"/>
          <w:marRight w:val="0"/>
          <w:marTop w:val="0"/>
          <w:marBottom w:val="0"/>
          <w:divBdr>
            <w:top w:val="none" w:sz="0" w:space="0" w:color="auto"/>
            <w:left w:val="none" w:sz="0" w:space="0" w:color="auto"/>
            <w:bottom w:val="none" w:sz="0" w:space="0" w:color="auto"/>
            <w:right w:val="none" w:sz="0" w:space="0" w:color="auto"/>
          </w:divBdr>
          <w:divsChild>
            <w:div w:id="1976908563">
              <w:marLeft w:val="0"/>
              <w:marRight w:val="0"/>
              <w:marTop w:val="0"/>
              <w:marBottom w:val="0"/>
              <w:divBdr>
                <w:top w:val="none" w:sz="0" w:space="0" w:color="auto"/>
                <w:left w:val="none" w:sz="0" w:space="0" w:color="auto"/>
                <w:bottom w:val="none" w:sz="0" w:space="0" w:color="auto"/>
                <w:right w:val="none" w:sz="0" w:space="0" w:color="auto"/>
              </w:divBdr>
            </w:div>
          </w:divsChild>
        </w:div>
        <w:div w:id="1500806738">
          <w:marLeft w:val="0"/>
          <w:marRight w:val="0"/>
          <w:marTop w:val="0"/>
          <w:marBottom w:val="0"/>
          <w:divBdr>
            <w:top w:val="none" w:sz="0" w:space="0" w:color="auto"/>
            <w:left w:val="none" w:sz="0" w:space="0" w:color="auto"/>
            <w:bottom w:val="none" w:sz="0" w:space="0" w:color="auto"/>
            <w:right w:val="none" w:sz="0" w:space="0" w:color="auto"/>
          </w:divBdr>
          <w:divsChild>
            <w:div w:id="1772160203">
              <w:marLeft w:val="0"/>
              <w:marRight w:val="0"/>
              <w:marTop w:val="0"/>
              <w:marBottom w:val="0"/>
              <w:divBdr>
                <w:top w:val="none" w:sz="0" w:space="0" w:color="auto"/>
                <w:left w:val="none" w:sz="0" w:space="0" w:color="auto"/>
                <w:bottom w:val="none" w:sz="0" w:space="0" w:color="auto"/>
                <w:right w:val="none" w:sz="0" w:space="0" w:color="auto"/>
              </w:divBdr>
            </w:div>
          </w:divsChild>
        </w:div>
        <w:div w:id="1515412205">
          <w:marLeft w:val="0"/>
          <w:marRight w:val="0"/>
          <w:marTop w:val="0"/>
          <w:marBottom w:val="0"/>
          <w:divBdr>
            <w:top w:val="none" w:sz="0" w:space="0" w:color="auto"/>
            <w:left w:val="none" w:sz="0" w:space="0" w:color="auto"/>
            <w:bottom w:val="none" w:sz="0" w:space="0" w:color="auto"/>
            <w:right w:val="none" w:sz="0" w:space="0" w:color="auto"/>
          </w:divBdr>
          <w:divsChild>
            <w:div w:id="257561947">
              <w:marLeft w:val="0"/>
              <w:marRight w:val="0"/>
              <w:marTop w:val="0"/>
              <w:marBottom w:val="0"/>
              <w:divBdr>
                <w:top w:val="none" w:sz="0" w:space="0" w:color="auto"/>
                <w:left w:val="none" w:sz="0" w:space="0" w:color="auto"/>
                <w:bottom w:val="none" w:sz="0" w:space="0" w:color="auto"/>
                <w:right w:val="none" w:sz="0" w:space="0" w:color="auto"/>
              </w:divBdr>
            </w:div>
          </w:divsChild>
        </w:div>
        <w:div w:id="1517159168">
          <w:marLeft w:val="0"/>
          <w:marRight w:val="0"/>
          <w:marTop w:val="0"/>
          <w:marBottom w:val="0"/>
          <w:divBdr>
            <w:top w:val="none" w:sz="0" w:space="0" w:color="auto"/>
            <w:left w:val="none" w:sz="0" w:space="0" w:color="auto"/>
            <w:bottom w:val="none" w:sz="0" w:space="0" w:color="auto"/>
            <w:right w:val="none" w:sz="0" w:space="0" w:color="auto"/>
          </w:divBdr>
          <w:divsChild>
            <w:div w:id="1924025185">
              <w:marLeft w:val="0"/>
              <w:marRight w:val="0"/>
              <w:marTop w:val="0"/>
              <w:marBottom w:val="0"/>
              <w:divBdr>
                <w:top w:val="none" w:sz="0" w:space="0" w:color="auto"/>
                <w:left w:val="none" w:sz="0" w:space="0" w:color="auto"/>
                <w:bottom w:val="none" w:sz="0" w:space="0" w:color="auto"/>
                <w:right w:val="none" w:sz="0" w:space="0" w:color="auto"/>
              </w:divBdr>
            </w:div>
          </w:divsChild>
        </w:div>
        <w:div w:id="1521889768">
          <w:marLeft w:val="0"/>
          <w:marRight w:val="0"/>
          <w:marTop w:val="0"/>
          <w:marBottom w:val="0"/>
          <w:divBdr>
            <w:top w:val="none" w:sz="0" w:space="0" w:color="auto"/>
            <w:left w:val="none" w:sz="0" w:space="0" w:color="auto"/>
            <w:bottom w:val="none" w:sz="0" w:space="0" w:color="auto"/>
            <w:right w:val="none" w:sz="0" w:space="0" w:color="auto"/>
          </w:divBdr>
          <w:divsChild>
            <w:div w:id="884834268">
              <w:marLeft w:val="0"/>
              <w:marRight w:val="0"/>
              <w:marTop w:val="0"/>
              <w:marBottom w:val="0"/>
              <w:divBdr>
                <w:top w:val="none" w:sz="0" w:space="0" w:color="auto"/>
                <w:left w:val="none" w:sz="0" w:space="0" w:color="auto"/>
                <w:bottom w:val="none" w:sz="0" w:space="0" w:color="auto"/>
                <w:right w:val="none" w:sz="0" w:space="0" w:color="auto"/>
              </w:divBdr>
            </w:div>
          </w:divsChild>
        </w:div>
        <w:div w:id="1524855134">
          <w:marLeft w:val="0"/>
          <w:marRight w:val="0"/>
          <w:marTop w:val="0"/>
          <w:marBottom w:val="0"/>
          <w:divBdr>
            <w:top w:val="none" w:sz="0" w:space="0" w:color="auto"/>
            <w:left w:val="none" w:sz="0" w:space="0" w:color="auto"/>
            <w:bottom w:val="none" w:sz="0" w:space="0" w:color="auto"/>
            <w:right w:val="none" w:sz="0" w:space="0" w:color="auto"/>
          </w:divBdr>
          <w:divsChild>
            <w:div w:id="1112826779">
              <w:marLeft w:val="0"/>
              <w:marRight w:val="0"/>
              <w:marTop w:val="0"/>
              <w:marBottom w:val="0"/>
              <w:divBdr>
                <w:top w:val="none" w:sz="0" w:space="0" w:color="auto"/>
                <w:left w:val="none" w:sz="0" w:space="0" w:color="auto"/>
                <w:bottom w:val="none" w:sz="0" w:space="0" w:color="auto"/>
                <w:right w:val="none" w:sz="0" w:space="0" w:color="auto"/>
              </w:divBdr>
            </w:div>
          </w:divsChild>
        </w:div>
        <w:div w:id="1541746812">
          <w:marLeft w:val="0"/>
          <w:marRight w:val="0"/>
          <w:marTop w:val="0"/>
          <w:marBottom w:val="0"/>
          <w:divBdr>
            <w:top w:val="none" w:sz="0" w:space="0" w:color="auto"/>
            <w:left w:val="none" w:sz="0" w:space="0" w:color="auto"/>
            <w:bottom w:val="none" w:sz="0" w:space="0" w:color="auto"/>
            <w:right w:val="none" w:sz="0" w:space="0" w:color="auto"/>
          </w:divBdr>
          <w:divsChild>
            <w:div w:id="451368838">
              <w:marLeft w:val="0"/>
              <w:marRight w:val="0"/>
              <w:marTop w:val="0"/>
              <w:marBottom w:val="0"/>
              <w:divBdr>
                <w:top w:val="none" w:sz="0" w:space="0" w:color="auto"/>
                <w:left w:val="none" w:sz="0" w:space="0" w:color="auto"/>
                <w:bottom w:val="none" w:sz="0" w:space="0" w:color="auto"/>
                <w:right w:val="none" w:sz="0" w:space="0" w:color="auto"/>
              </w:divBdr>
            </w:div>
          </w:divsChild>
        </w:div>
        <w:div w:id="1541821121">
          <w:marLeft w:val="0"/>
          <w:marRight w:val="0"/>
          <w:marTop w:val="0"/>
          <w:marBottom w:val="0"/>
          <w:divBdr>
            <w:top w:val="none" w:sz="0" w:space="0" w:color="auto"/>
            <w:left w:val="none" w:sz="0" w:space="0" w:color="auto"/>
            <w:bottom w:val="none" w:sz="0" w:space="0" w:color="auto"/>
            <w:right w:val="none" w:sz="0" w:space="0" w:color="auto"/>
          </w:divBdr>
          <w:divsChild>
            <w:div w:id="709064444">
              <w:marLeft w:val="0"/>
              <w:marRight w:val="0"/>
              <w:marTop w:val="0"/>
              <w:marBottom w:val="0"/>
              <w:divBdr>
                <w:top w:val="none" w:sz="0" w:space="0" w:color="auto"/>
                <w:left w:val="none" w:sz="0" w:space="0" w:color="auto"/>
                <w:bottom w:val="none" w:sz="0" w:space="0" w:color="auto"/>
                <w:right w:val="none" w:sz="0" w:space="0" w:color="auto"/>
              </w:divBdr>
            </w:div>
          </w:divsChild>
        </w:div>
        <w:div w:id="1545675432">
          <w:marLeft w:val="0"/>
          <w:marRight w:val="0"/>
          <w:marTop w:val="0"/>
          <w:marBottom w:val="0"/>
          <w:divBdr>
            <w:top w:val="none" w:sz="0" w:space="0" w:color="auto"/>
            <w:left w:val="none" w:sz="0" w:space="0" w:color="auto"/>
            <w:bottom w:val="none" w:sz="0" w:space="0" w:color="auto"/>
            <w:right w:val="none" w:sz="0" w:space="0" w:color="auto"/>
          </w:divBdr>
          <w:divsChild>
            <w:div w:id="826046835">
              <w:marLeft w:val="0"/>
              <w:marRight w:val="0"/>
              <w:marTop w:val="0"/>
              <w:marBottom w:val="0"/>
              <w:divBdr>
                <w:top w:val="none" w:sz="0" w:space="0" w:color="auto"/>
                <w:left w:val="none" w:sz="0" w:space="0" w:color="auto"/>
                <w:bottom w:val="none" w:sz="0" w:space="0" w:color="auto"/>
                <w:right w:val="none" w:sz="0" w:space="0" w:color="auto"/>
              </w:divBdr>
            </w:div>
          </w:divsChild>
        </w:div>
        <w:div w:id="1548831163">
          <w:marLeft w:val="0"/>
          <w:marRight w:val="0"/>
          <w:marTop w:val="0"/>
          <w:marBottom w:val="0"/>
          <w:divBdr>
            <w:top w:val="none" w:sz="0" w:space="0" w:color="auto"/>
            <w:left w:val="none" w:sz="0" w:space="0" w:color="auto"/>
            <w:bottom w:val="none" w:sz="0" w:space="0" w:color="auto"/>
            <w:right w:val="none" w:sz="0" w:space="0" w:color="auto"/>
          </w:divBdr>
          <w:divsChild>
            <w:div w:id="77949835">
              <w:marLeft w:val="0"/>
              <w:marRight w:val="0"/>
              <w:marTop w:val="0"/>
              <w:marBottom w:val="0"/>
              <w:divBdr>
                <w:top w:val="none" w:sz="0" w:space="0" w:color="auto"/>
                <w:left w:val="none" w:sz="0" w:space="0" w:color="auto"/>
                <w:bottom w:val="none" w:sz="0" w:space="0" w:color="auto"/>
                <w:right w:val="none" w:sz="0" w:space="0" w:color="auto"/>
              </w:divBdr>
            </w:div>
          </w:divsChild>
        </w:div>
        <w:div w:id="1550412657">
          <w:marLeft w:val="0"/>
          <w:marRight w:val="0"/>
          <w:marTop w:val="0"/>
          <w:marBottom w:val="0"/>
          <w:divBdr>
            <w:top w:val="none" w:sz="0" w:space="0" w:color="auto"/>
            <w:left w:val="none" w:sz="0" w:space="0" w:color="auto"/>
            <w:bottom w:val="none" w:sz="0" w:space="0" w:color="auto"/>
            <w:right w:val="none" w:sz="0" w:space="0" w:color="auto"/>
          </w:divBdr>
          <w:divsChild>
            <w:div w:id="1928490691">
              <w:marLeft w:val="0"/>
              <w:marRight w:val="0"/>
              <w:marTop w:val="0"/>
              <w:marBottom w:val="0"/>
              <w:divBdr>
                <w:top w:val="none" w:sz="0" w:space="0" w:color="auto"/>
                <w:left w:val="none" w:sz="0" w:space="0" w:color="auto"/>
                <w:bottom w:val="none" w:sz="0" w:space="0" w:color="auto"/>
                <w:right w:val="none" w:sz="0" w:space="0" w:color="auto"/>
              </w:divBdr>
            </w:div>
          </w:divsChild>
        </w:div>
        <w:div w:id="1553879466">
          <w:marLeft w:val="0"/>
          <w:marRight w:val="0"/>
          <w:marTop w:val="0"/>
          <w:marBottom w:val="0"/>
          <w:divBdr>
            <w:top w:val="none" w:sz="0" w:space="0" w:color="auto"/>
            <w:left w:val="none" w:sz="0" w:space="0" w:color="auto"/>
            <w:bottom w:val="none" w:sz="0" w:space="0" w:color="auto"/>
            <w:right w:val="none" w:sz="0" w:space="0" w:color="auto"/>
          </w:divBdr>
          <w:divsChild>
            <w:div w:id="2036536337">
              <w:marLeft w:val="0"/>
              <w:marRight w:val="0"/>
              <w:marTop w:val="0"/>
              <w:marBottom w:val="0"/>
              <w:divBdr>
                <w:top w:val="none" w:sz="0" w:space="0" w:color="auto"/>
                <w:left w:val="none" w:sz="0" w:space="0" w:color="auto"/>
                <w:bottom w:val="none" w:sz="0" w:space="0" w:color="auto"/>
                <w:right w:val="none" w:sz="0" w:space="0" w:color="auto"/>
              </w:divBdr>
            </w:div>
          </w:divsChild>
        </w:div>
        <w:div w:id="1554538369">
          <w:marLeft w:val="0"/>
          <w:marRight w:val="0"/>
          <w:marTop w:val="0"/>
          <w:marBottom w:val="0"/>
          <w:divBdr>
            <w:top w:val="none" w:sz="0" w:space="0" w:color="auto"/>
            <w:left w:val="none" w:sz="0" w:space="0" w:color="auto"/>
            <w:bottom w:val="none" w:sz="0" w:space="0" w:color="auto"/>
            <w:right w:val="none" w:sz="0" w:space="0" w:color="auto"/>
          </w:divBdr>
          <w:divsChild>
            <w:div w:id="860506837">
              <w:marLeft w:val="0"/>
              <w:marRight w:val="0"/>
              <w:marTop w:val="0"/>
              <w:marBottom w:val="0"/>
              <w:divBdr>
                <w:top w:val="none" w:sz="0" w:space="0" w:color="auto"/>
                <w:left w:val="none" w:sz="0" w:space="0" w:color="auto"/>
                <w:bottom w:val="none" w:sz="0" w:space="0" w:color="auto"/>
                <w:right w:val="none" w:sz="0" w:space="0" w:color="auto"/>
              </w:divBdr>
            </w:div>
          </w:divsChild>
        </w:div>
        <w:div w:id="1562594606">
          <w:marLeft w:val="0"/>
          <w:marRight w:val="0"/>
          <w:marTop w:val="0"/>
          <w:marBottom w:val="0"/>
          <w:divBdr>
            <w:top w:val="none" w:sz="0" w:space="0" w:color="auto"/>
            <w:left w:val="none" w:sz="0" w:space="0" w:color="auto"/>
            <w:bottom w:val="none" w:sz="0" w:space="0" w:color="auto"/>
            <w:right w:val="none" w:sz="0" w:space="0" w:color="auto"/>
          </w:divBdr>
          <w:divsChild>
            <w:div w:id="1200818733">
              <w:marLeft w:val="0"/>
              <w:marRight w:val="0"/>
              <w:marTop w:val="0"/>
              <w:marBottom w:val="0"/>
              <w:divBdr>
                <w:top w:val="none" w:sz="0" w:space="0" w:color="auto"/>
                <w:left w:val="none" w:sz="0" w:space="0" w:color="auto"/>
                <w:bottom w:val="none" w:sz="0" w:space="0" w:color="auto"/>
                <w:right w:val="none" w:sz="0" w:space="0" w:color="auto"/>
              </w:divBdr>
            </w:div>
          </w:divsChild>
        </w:div>
        <w:div w:id="1565483737">
          <w:marLeft w:val="0"/>
          <w:marRight w:val="0"/>
          <w:marTop w:val="0"/>
          <w:marBottom w:val="0"/>
          <w:divBdr>
            <w:top w:val="none" w:sz="0" w:space="0" w:color="auto"/>
            <w:left w:val="none" w:sz="0" w:space="0" w:color="auto"/>
            <w:bottom w:val="none" w:sz="0" w:space="0" w:color="auto"/>
            <w:right w:val="none" w:sz="0" w:space="0" w:color="auto"/>
          </w:divBdr>
          <w:divsChild>
            <w:div w:id="1845239122">
              <w:marLeft w:val="0"/>
              <w:marRight w:val="0"/>
              <w:marTop w:val="0"/>
              <w:marBottom w:val="0"/>
              <w:divBdr>
                <w:top w:val="none" w:sz="0" w:space="0" w:color="auto"/>
                <w:left w:val="none" w:sz="0" w:space="0" w:color="auto"/>
                <w:bottom w:val="none" w:sz="0" w:space="0" w:color="auto"/>
                <w:right w:val="none" w:sz="0" w:space="0" w:color="auto"/>
              </w:divBdr>
            </w:div>
          </w:divsChild>
        </w:div>
        <w:div w:id="1586646521">
          <w:marLeft w:val="0"/>
          <w:marRight w:val="0"/>
          <w:marTop w:val="0"/>
          <w:marBottom w:val="0"/>
          <w:divBdr>
            <w:top w:val="none" w:sz="0" w:space="0" w:color="auto"/>
            <w:left w:val="none" w:sz="0" w:space="0" w:color="auto"/>
            <w:bottom w:val="none" w:sz="0" w:space="0" w:color="auto"/>
            <w:right w:val="none" w:sz="0" w:space="0" w:color="auto"/>
          </w:divBdr>
          <w:divsChild>
            <w:div w:id="1628120419">
              <w:marLeft w:val="0"/>
              <w:marRight w:val="0"/>
              <w:marTop w:val="0"/>
              <w:marBottom w:val="0"/>
              <w:divBdr>
                <w:top w:val="none" w:sz="0" w:space="0" w:color="auto"/>
                <w:left w:val="none" w:sz="0" w:space="0" w:color="auto"/>
                <w:bottom w:val="none" w:sz="0" w:space="0" w:color="auto"/>
                <w:right w:val="none" w:sz="0" w:space="0" w:color="auto"/>
              </w:divBdr>
            </w:div>
          </w:divsChild>
        </w:div>
        <w:div w:id="1589271958">
          <w:marLeft w:val="0"/>
          <w:marRight w:val="0"/>
          <w:marTop w:val="0"/>
          <w:marBottom w:val="0"/>
          <w:divBdr>
            <w:top w:val="none" w:sz="0" w:space="0" w:color="auto"/>
            <w:left w:val="none" w:sz="0" w:space="0" w:color="auto"/>
            <w:bottom w:val="none" w:sz="0" w:space="0" w:color="auto"/>
            <w:right w:val="none" w:sz="0" w:space="0" w:color="auto"/>
          </w:divBdr>
          <w:divsChild>
            <w:div w:id="1155562390">
              <w:marLeft w:val="0"/>
              <w:marRight w:val="0"/>
              <w:marTop w:val="0"/>
              <w:marBottom w:val="0"/>
              <w:divBdr>
                <w:top w:val="none" w:sz="0" w:space="0" w:color="auto"/>
                <w:left w:val="none" w:sz="0" w:space="0" w:color="auto"/>
                <w:bottom w:val="none" w:sz="0" w:space="0" w:color="auto"/>
                <w:right w:val="none" w:sz="0" w:space="0" w:color="auto"/>
              </w:divBdr>
            </w:div>
          </w:divsChild>
        </w:div>
        <w:div w:id="1614359079">
          <w:marLeft w:val="0"/>
          <w:marRight w:val="0"/>
          <w:marTop w:val="0"/>
          <w:marBottom w:val="0"/>
          <w:divBdr>
            <w:top w:val="none" w:sz="0" w:space="0" w:color="auto"/>
            <w:left w:val="none" w:sz="0" w:space="0" w:color="auto"/>
            <w:bottom w:val="none" w:sz="0" w:space="0" w:color="auto"/>
            <w:right w:val="none" w:sz="0" w:space="0" w:color="auto"/>
          </w:divBdr>
          <w:divsChild>
            <w:div w:id="1889761628">
              <w:marLeft w:val="0"/>
              <w:marRight w:val="0"/>
              <w:marTop w:val="0"/>
              <w:marBottom w:val="0"/>
              <w:divBdr>
                <w:top w:val="none" w:sz="0" w:space="0" w:color="auto"/>
                <w:left w:val="none" w:sz="0" w:space="0" w:color="auto"/>
                <w:bottom w:val="none" w:sz="0" w:space="0" w:color="auto"/>
                <w:right w:val="none" w:sz="0" w:space="0" w:color="auto"/>
              </w:divBdr>
            </w:div>
          </w:divsChild>
        </w:div>
        <w:div w:id="1616718517">
          <w:marLeft w:val="0"/>
          <w:marRight w:val="0"/>
          <w:marTop w:val="0"/>
          <w:marBottom w:val="0"/>
          <w:divBdr>
            <w:top w:val="none" w:sz="0" w:space="0" w:color="auto"/>
            <w:left w:val="none" w:sz="0" w:space="0" w:color="auto"/>
            <w:bottom w:val="none" w:sz="0" w:space="0" w:color="auto"/>
            <w:right w:val="none" w:sz="0" w:space="0" w:color="auto"/>
          </w:divBdr>
          <w:divsChild>
            <w:div w:id="1938562052">
              <w:marLeft w:val="0"/>
              <w:marRight w:val="0"/>
              <w:marTop w:val="0"/>
              <w:marBottom w:val="0"/>
              <w:divBdr>
                <w:top w:val="none" w:sz="0" w:space="0" w:color="auto"/>
                <w:left w:val="none" w:sz="0" w:space="0" w:color="auto"/>
                <w:bottom w:val="none" w:sz="0" w:space="0" w:color="auto"/>
                <w:right w:val="none" w:sz="0" w:space="0" w:color="auto"/>
              </w:divBdr>
            </w:div>
          </w:divsChild>
        </w:div>
        <w:div w:id="1622884879">
          <w:marLeft w:val="0"/>
          <w:marRight w:val="0"/>
          <w:marTop w:val="0"/>
          <w:marBottom w:val="0"/>
          <w:divBdr>
            <w:top w:val="none" w:sz="0" w:space="0" w:color="auto"/>
            <w:left w:val="none" w:sz="0" w:space="0" w:color="auto"/>
            <w:bottom w:val="none" w:sz="0" w:space="0" w:color="auto"/>
            <w:right w:val="none" w:sz="0" w:space="0" w:color="auto"/>
          </w:divBdr>
          <w:divsChild>
            <w:div w:id="1164974077">
              <w:marLeft w:val="0"/>
              <w:marRight w:val="0"/>
              <w:marTop w:val="0"/>
              <w:marBottom w:val="0"/>
              <w:divBdr>
                <w:top w:val="none" w:sz="0" w:space="0" w:color="auto"/>
                <w:left w:val="none" w:sz="0" w:space="0" w:color="auto"/>
                <w:bottom w:val="none" w:sz="0" w:space="0" w:color="auto"/>
                <w:right w:val="none" w:sz="0" w:space="0" w:color="auto"/>
              </w:divBdr>
            </w:div>
          </w:divsChild>
        </w:div>
        <w:div w:id="1628507337">
          <w:marLeft w:val="0"/>
          <w:marRight w:val="0"/>
          <w:marTop w:val="0"/>
          <w:marBottom w:val="0"/>
          <w:divBdr>
            <w:top w:val="none" w:sz="0" w:space="0" w:color="auto"/>
            <w:left w:val="none" w:sz="0" w:space="0" w:color="auto"/>
            <w:bottom w:val="none" w:sz="0" w:space="0" w:color="auto"/>
            <w:right w:val="none" w:sz="0" w:space="0" w:color="auto"/>
          </w:divBdr>
          <w:divsChild>
            <w:div w:id="171337234">
              <w:marLeft w:val="0"/>
              <w:marRight w:val="0"/>
              <w:marTop w:val="0"/>
              <w:marBottom w:val="0"/>
              <w:divBdr>
                <w:top w:val="none" w:sz="0" w:space="0" w:color="auto"/>
                <w:left w:val="none" w:sz="0" w:space="0" w:color="auto"/>
                <w:bottom w:val="none" w:sz="0" w:space="0" w:color="auto"/>
                <w:right w:val="none" w:sz="0" w:space="0" w:color="auto"/>
              </w:divBdr>
            </w:div>
          </w:divsChild>
        </w:div>
        <w:div w:id="1629237829">
          <w:marLeft w:val="0"/>
          <w:marRight w:val="0"/>
          <w:marTop w:val="0"/>
          <w:marBottom w:val="0"/>
          <w:divBdr>
            <w:top w:val="none" w:sz="0" w:space="0" w:color="auto"/>
            <w:left w:val="none" w:sz="0" w:space="0" w:color="auto"/>
            <w:bottom w:val="none" w:sz="0" w:space="0" w:color="auto"/>
            <w:right w:val="none" w:sz="0" w:space="0" w:color="auto"/>
          </w:divBdr>
          <w:divsChild>
            <w:div w:id="1813596174">
              <w:marLeft w:val="0"/>
              <w:marRight w:val="0"/>
              <w:marTop w:val="0"/>
              <w:marBottom w:val="0"/>
              <w:divBdr>
                <w:top w:val="none" w:sz="0" w:space="0" w:color="auto"/>
                <w:left w:val="none" w:sz="0" w:space="0" w:color="auto"/>
                <w:bottom w:val="none" w:sz="0" w:space="0" w:color="auto"/>
                <w:right w:val="none" w:sz="0" w:space="0" w:color="auto"/>
              </w:divBdr>
            </w:div>
          </w:divsChild>
        </w:div>
        <w:div w:id="1630672492">
          <w:marLeft w:val="0"/>
          <w:marRight w:val="0"/>
          <w:marTop w:val="0"/>
          <w:marBottom w:val="0"/>
          <w:divBdr>
            <w:top w:val="none" w:sz="0" w:space="0" w:color="auto"/>
            <w:left w:val="none" w:sz="0" w:space="0" w:color="auto"/>
            <w:bottom w:val="none" w:sz="0" w:space="0" w:color="auto"/>
            <w:right w:val="none" w:sz="0" w:space="0" w:color="auto"/>
          </w:divBdr>
          <w:divsChild>
            <w:div w:id="1400397246">
              <w:marLeft w:val="0"/>
              <w:marRight w:val="0"/>
              <w:marTop w:val="0"/>
              <w:marBottom w:val="0"/>
              <w:divBdr>
                <w:top w:val="none" w:sz="0" w:space="0" w:color="auto"/>
                <w:left w:val="none" w:sz="0" w:space="0" w:color="auto"/>
                <w:bottom w:val="none" w:sz="0" w:space="0" w:color="auto"/>
                <w:right w:val="none" w:sz="0" w:space="0" w:color="auto"/>
              </w:divBdr>
            </w:div>
          </w:divsChild>
        </w:div>
        <w:div w:id="1634754220">
          <w:marLeft w:val="0"/>
          <w:marRight w:val="0"/>
          <w:marTop w:val="0"/>
          <w:marBottom w:val="0"/>
          <w:divBdr>
            <w:top w:val="none" w:sz="0" w:space="0" w:color="auto"/>
            <w:left w:val="none" w:sz="0" w:space="0" w:color="auto"/>
            <w:bottom w:val="none" w:sz="0" w:space="0" w:color="auto"/>
            <w:right w:val="none" w:sz="0" w:space="0" w:color="auto"/>
          </w:divBdr>
          <w:divsChild>
            <w:div w:id="1358118038">
              <w:marLeft w:val="0"/>
              <w:marRight w:val="0"/>
              <w:marTop w:val="0"/>
              <w:marBottom w:val="0"/>
              <w:divBdr>
                <w:top w:val="none" w:sz="0" w:space="0" w:color="auto"/>
                <w:left w:val="none" w:sz="0" w:space="0" w:color="auto"/>
                <w:bottom w:val="none" w:sz="0" w:space="0" w:color="auto"/>
                <w:right w:val="none" w:sz="0" w:space="0" w:color="auto"/>
              </w:divBdr>
            </w:div>
          </w:divsChild>
        </w:div>
        <w:div w:id="1635326593">
          <w:marLeft w:val="0"/>
          <w:marRight w:val="0"/>
          <w:marTop w:val="0"/>
          <w:marBottom w:val="0"/>
          <w:divBdr>
            <w:top w:val="none" w:sz="0" w:space="0" w:color="auto"/>
            <w:left w:val="none" w:sz="0" w:space="0" w:color="auto"/>
            <w:bottom w:val="none" w:sz="0" w:space="0" w:color="auto"/>
            <w:right w:val="none" w:sz="0" w:space="0" w:color="auto"/>
          </w:divBdr>
          <w:divsChild>
            <w:div w:id="557398416">
              <w:marLeft w:val="0"/>
              <w:marRight w:val="0"/>
              <w:marTop w:val="0"/>
              <w:marBottom w:val="0"/>
              <w:divBdr>
                <w:top w:val="none" w:sz="0" w:space="0" w:color="auto"/>
                <w:left w:val="none" w:sz="0" w:space="0" w:color="auto"/>
                <w:bottom w:val="none" w:sz="0" w:space="0" w:color="auto"/>
                <w:right w:val="none" w:sz="0" w:space="0" w:color="auto"/>
              </w:divBdr>
            </w:div>
          </w:divsChild>
        </w:div>
        <w:div w:id="1637643149">
          <w:marLeft w:val="0"/>
          <w:marRight w:val="0"/>
          <w:marTop w:val="0"/>
          <w:marBottom w:val="0"/>
          <w:divBdr>
            <w:top w:val="none" w:sz="0" w:space="0" w:color="auto"/>
            <w:left w:val="none" w:sz="0" w:space="0" w:color="auto"/>
            <w:bottom w:val="none" w:sz="0" w:space="0" w:color="auto"/>
            <w:right w:val="none" w:sz="0" w:space="0" w:color="auto"/>
          </w:divBdr>
          <w:divsChild>
            <w:div w:id="1107964887">
              <w:marLeft w:val="0"/>
              <w:marRight w:val="0"/>
              <w:marTop w:val="0"/>
              <w:marBottom w:val="0"/>
              <w:divBdr>
                <w:top w:val="none" w:sz="0" w:space="0" w:color="auto"/>
                <w:left w:val="none" w:sz="0" w:space="0" w:color="auto"/>
                <w:bottom w:val="none" w:sz="0" w:space="0" w:color="auto"/>
                <w:right w:val="none" w:sz="0" w:space="0" w:color="auto"/>
              </w:divBdr>
            </w:div>
          </w:divsChild>
        </w:div>
        <w:div w:id="1639650249">
          <w:marLeft w:val="0"/>
          <w:marRight w:val="0"/>
          <w:marTop w:val="0"/>
          <w:marBottom w:val="0"/>
          <w:divBdr>
            <w:top w:val="none" w:sz="0" w:space="0" w:color="auto"/>
            <w:left w:val="none" w:sz="0" w:space="0" w:color="auto"/>
            <w:bottom w:val="none" w:sz="0" w:space="0" w:color="auto"/>
            <w:right w:val="none" w:sz="0" w:space="0" w:color="auto"/>
          </w:divBdr>
          <w:divsChild>
            <w:div w:id="1324770941">
              <w:marLeft w:val="0"/>
              <w:marRight w:val="0"/>
              <w:marTop w:val="0"/>
              <w:marBottom w:val="0"/>
              <w:divBdr>
                <w:top w:val="none" w:sz="0" w:space="0" w:color="auto"/>
                <w:left w:val="none" w:sz="0" w:space="0" w:color="auto"/>
                <w:bottom w:val="none" w:sz="0" w:space="0" w:color="auto"/>
                <w:right w:val="none" w:sz="0" w:space="0" w:color="auto"/>
              </w:divBdr>
            </w:div>
          </w:divsChild>
        </w:div>
        <w:div w:id="1642031138">
          <w:marLeft w:val="0"/>
          <w:marRight w:val="0"/>
          <w:marTop w:val="0"/>
          <w:marBottom w:val="0"/>
          <w:divBdr>
            <w:top w:val="none" w:sz="0" w:space="0" w:color="auto"/>
            <w:left w:val="none" w:sz="0" w:space="0" w:color="auto"/>
            <w:bottom w:val="none" w:sz="0" w:space="0" w:color="auto"/>
            <w:right w:val="none" w:sz="0" w:space="0" w:color="auto"/>
          </w:divBdr>
          <w:divsChild>
            <w:div w:id="1156534337">
              <w:marLeft w:val="0"/>
              <w:marRight w:val="0"/>
              <w:marTop w:val="0"/>
              <w:marBottom w:val="0"/>
              <w:divBdr>
                <w:top w:val="none" w:sz="0" w:space="0" w:color="auto"/>
                <w:left w:val="none" w:sz="0" w:space="0" w:color="auto"/>
                <w:bottom w:val="none" w:sz="0" w:space="0" w:color="auto"/>
                <w:right w:val="none" w:sz="0" w:space="0" w:color="auto"/>
              </w:divBdr>
            </w:div>
          </w:divsChild>
        </w:div>
        <w:div w:id="1645621118">
          <w:marLeft w:val="0"/>
          <w:marRight w:val="0"/>
          <w:marTop w:val="0"/>
          <w:marBottom w:val="0"/>
          <w:divBdr>
            <w:top w:val="none" w:sz="0" w:space="0" w:color="auto"/>
            <w:left w:val="none" w:sz="0" w:space="0" w:color="auto"/>
            <w:bottom w:val="none" w:sz="0" w:space="0" w:color="auto"/>
            <w:right w:val="none" w:sz="0" w:space="0" w:color="auto"/>
          </w:divBdr>
          <w:divsChild>
            <w:div w:id="2076975402">
              <w:marLeft w:val="0"/>
              <w:marRight w:val="0"/>
              <w:marTop w:val="0"/>
              <w:marBottom w:val="0"/>
              <w:divBdr>
                <w:top w:val="none" w:sz="0" w:space="0" w:color="auto"/>
                <w:left w:val="none" w:sz="0" w:space="0" w:color="auto"/>
                <w:bottom w:val="none" w:sz="0" w:space="0" w:color="auto"/>
                <w:right w:val="none" w:sz="0" w:space="0" w:color="auto"/>
              </w:divBdr>
            </w:div>
          </w:divsChild>
        </w:div>
        <w:div w:id="1660887622">
          <w:marLeft w:val="0"/>
          <w:marRight w:val="0"/>
          <w:marTop w:val="0"/>
          <w:marBottom w:val="0"/>
          <w:divBdr>
            <w:top w:val="none" w:sz="0" w:space="0" w:color="auto"/>
            <w:left w:val="none" w:sz="0" w:space="0" w:color="auto"/>
            <w:bottom w:val="none" w:sz="0" w:space="0" w:color="auto"/>
            <w:right w:val="none" w:sz="0" w:space="0" w:color="auto"/>
          </w:divBdr>
          <w:divsChild>
            <w:div w:id="1483812219">
              <w:marLeft w:val="0"/>
              <w:marRight w:val="0"/>
              <w:marTop w:val="0"/>
              <w:marBottom w:val="0"/>
              <w:divBdr>
                <w:top w:val="none" w:sz="0" w:space="0" w:color="auto"/>
                <w:left w:val="none" w:sz="0" w:space="0" w:color="auto"/>
                <w:bottom w:val="none" w:sz="0" w:space="0" w:color="auto"/>
                <w:right w:val="none" w:sz="0" w:space="0" w:color="auto"/>
              </w:divBdr>
            </w:div>
          </w:divsChild>
        </w:div>
        <w:div w:id="1660960769">
          <w:marLeft w:val="0"/>
          <w:marRight w:val="0"/>
          <w:marTop w:val="0"/>
          <w:marBottom w:val="0"/>
          <w:divBdr>
            <w:top w:val="none" w:sz="0" w:space="0" w:color="auto"/>
            <w:left w:val="none" w:sz="0" w:space="0" w:color="auto"/>
            <w:bottom w:val="none" w:sz="0" w:space="0" w:color="auto"/>
            <w:right w:val="none" w:sz="0" w:space="0" w:color="auto"/>
          </w:divBdr>
          <w:divsChild>
            <w:div w:id="1948347706">
              <w:marLeft w:val="0"/>
              <w:marRight w:val="0"/>
              <w:marTop w:val="0"/>
              <w:marBottom w:val="0"/>
              <w:divBdr>
                <w:top w:val="none" w:sz="0" w:space="0" w:color="auto"/>
                <w:left w:val="none" w:sz="0" w:space="0" w:color="auto"/>
                <w:bottom w:val="none" w:sz="0" w:space="0" w:color="auto"/>
                <w:right w:val="none" w:sz="0" w:space="0" w:color="auto"/>
              </w:divBdr>
            </w:div>
          </w:divsChild>
        </w:div>
        <w:div w:id="1661158349">
          <w:marLeft w:val="0"/>
          <w:marRight w:val="0"/>
          <w:marTop w:val="0"/>
          <w:marBottom w:val="0"/>
          <w:divBdr>
            <w:top w:val="none" w:sz="0" w:space="0" w:color="auto"/>
            <w:left w:val="none" w:sz="0" w:space="0" w:color="auto"/>
            <w:bottom w:val="none" w:sz="0" w:space="0" w:color="auto"/>
            <w:right w:val="none" w:sz="0" w:space="0" w:color="auto"/>
          </w:divBdr>
          <w:divsChild>
            <w:div w:id="357318696">
              <w:marLeft w:val="0"/>
              <w:marRight w:val="0"/>
              <w:marTop w:val="0"/>
              <w:marBottom w:val="0"/>
              <w:divBdr>
                <w:top w:val="none" w:sz="0" w:space="0" w:color="auto"/>
                <w:left w:val="none" w:sz="0" w:space="0" w:color="auto"/>
                <w:bottom w:val="none" w:sz="0" w:space="0" w:color="auto"/>
                <w:right w:val="none" w:sz="0" w:space="0" w:color="auto"/>
              </w:divBdr>
            </w:div>
          </w:divsChild>
        </w:div>
        <w:div w:id="1662925515">
          <w:marLeft w:val="0"/>
          <w:marRight w:val="0"/>
          <w:marTop w:val="0"/>
          <w:marBottom w:val="0"/>
          <w:divBdr>
            <w:top w:val="none" w:sz="0" w:space="0" w:color="auto"/>
            <w:left w:val="none" w:sz="0" w:space="0" w:color="auto"/>
            <w:bottom w:val="none" w:sz="0" w:space="0" w:color="auto"/>
            <w:right w:val="none" w:sz="0" w:space="0" w:color="auto"/>
          </w:divBdr>
          <w:divsChild>
            <w:div w:id="2007708047">
              <w:marLeft w:val="0"/>
              <w:marRight w:val="0"/>
              <w:marTop w:val="0"/>
              <w:marBottom w:val="0"/>
              <w:divBdr>
                <w:top w:val="none" w:sz="0" w:space="0" w:color="auto"/>
                <w:left w:val="none" w:sz="0" w:space="0" w:color="auto"/>
                <w:bottom w:val="none" w:sz="0" w:space="0" w:color="auto"/>
                <w:right w:val="none" w:sz="0" w:space="0" w:color="auto"/>
              </w:divBdr>
            </w:div>
          </w:divsChild>
        </w:div>
        <w:div w:id="1666859079">
          <w:marLeft w:val="0"/>
          <w:marRight w:val="0"/>
          <w:marTop w:val="0"/>
          <w:marBottom w:val="0"/>
          <w:divBdr>
            <w:top w:val="none" w:sz="0" w:space="0" w:color="auto"/>
            <w:left w:val="none" w:sz="0" w:space="0" w:color="auto"/>
            <w:bottom w:val="none" w:sz="0" w:space="0" w:color="auto"/>
            <w:right w:val="none" w:sz="0" w:space="0" w:color="auto"/>
          </w:divBdr>
          <w:divsChild>
            <w:div w:id="1123042758">
              <w:marLeft w:val="0"/>
              <w:marRight w:val="0"/>
              <w:marTop w:val="0"/>
              <w:marBottom w:val="0"/>
              <w:divBdr>
                <w:top w:val="none" w:sz="0" w:space="0" w:color="auto"/>
                <w:left w:val="none" w:sz="0" w:space="0" w:color="auto"/>
                <w:bottom w:val="none" w:sz="0" w:space="0" w:color="auto"/>
                <w:right w:val="none" w:sz="0" w:space="0" w:color="auto"/>
              </w:divBdr>
            </w:div>
          </w:divsChild>
        </w:div>
        <w:div w:id="1672829407">
          <w:marLeft w:val="0"/>
          <w:marRight w:val="0"/>
          <w:marTop w:val="0"/>
          <w:marBottom w:val="0"/>
          <w:divBdr>
            <w:top w:val="none" w:sz="0" w:space="0" w:color="auto"/>
            <w:left w:val="none" w:sz="0" w:space="0" w:color="auto"/>
            <w:bottom w:val="none" w:sz="0" w:space="0" w:color="auto"/>
            <w:right w:val="none" w:sz="0" w:space="0" w:color="auto"/>
          </w:divBdr>
          <w:divsChild>
            <w:div w:id="883061127">
              <w:marLeft w:val="0"/>
              <w:marRight w:val="0"/>
              <w:marTop w:val="0"/>
              <w:marBottom w:val="0"/>
              <w:divBdr>
                <w:top w:val="none" w:sz="0" w:space="0" w:color="auto"/>
                <w:left w:val="none" w:sz="0" w:space="0" w:color="auto"/>
                <w:bottom w:val="none" w:sz="0" w:space="0" w:color="auto"/>
                <w:right w:val="none" w:sz="0" w:space="0" w:color="auto"/>
              </w:divBdr>
            </w:div>
          </w:divsChild>
        </w:div>
        <w:div w:id="1677802215">
          <w:marLeft w:val="0"/>
          <w:marRight w:val="0"/>
          <w:marTop w:val="0"/>
          <w:marBottom w:val="0"/>
          <w:divBdr>
            <w:top w:val="none" w:sz="0" w:space="0" w:color="auto"/>
            <w:left w:val="none" w:sz="0" w:space="0" w:color="auto"/>
            <w:bottom w:val="none" w:sz="0" w:space="0" w:color="auto"/>
            <w:right w:val="none" w:sz="0" w:space="0" w:color="auto"/>
          </w:divBdr>
          <w:divsChild>
            <w:div w:id="1733119471">
              <w:marLeft w:val="0"/>
              <w:marRight w:val="0"/>
              <w:marTop w:val="0"/>
              <w:marBottom w:val="0"/>
              <w:divBdr>
                <w:top w:val="none" w:sz="0" w:space="0" w:color="auto"/>
                <w:left w:val="none" w:sz="0" w:space="0" w:color="auto"/>
                <w:bottom w:val="none" w:sz="0" w:space="0" w:color="auto"/>
                <w:right w:val="none" w:sz="0" w:space="0" w:color="auto"/>
              </w:divBdr>
            </w:div>
          </w:divsChild>
        </w:div>
        <w:div w:id="1682008193">
          <w:marLeft w:val="0"/>
          <w:marRight w:val="0"/>
          <w:marTop w:val="0"/>
          <w:marBottom w:val="0"/>
          <w:divBdr>
            <w:top w:val="none" w:sz="0" w:space="0" w:color="auto"/>
            <w:left w:val="none" w:sz="0" w:space="0" w:color="auto"/>
            <w:bottom w:val="none" w:sz="0" w:space="0" w:color="auto"/>
            <w:right w:val="none" w:sz="0" w:space="0" w:color="auto"/>
          </w:divBdr>
          <w:divsChild>
            <w:div w:id="489172851">
              <w:marLeft w:val="0"/>
              <w:marRight w:val="0"/>
              <w:marTop w:val="0"/>
              <w:marBottom w:val="0"/>
              <w:divBdr>
                <w:top w:val="none" w:sz="0" w:space="0" w:color="auto"/>
                <w:left w:val="none" w:sz="0" w:space="0" w:color="auto"/>
                <w:bottom w:val="none" w:sz="0" w:space="0" w:color="auto"/>
                <w:right w:val="none" w:sz="0" w:space="0" w:color="auto"/>
              </w:divBdr>
            </w:div>
          </w:divsChild>
        </w:div>
        <w:div w:id="1682275782">
          <w:marLeft w:val="0"/>
          <w:marRight w:val="0"/>
          <w:marTop w:val="0"/>
          <w:marBottom w:val="0"/>
          <w:divBdr>
            <w:top w:val="none" w:sz="0" w:space="0" w:color="auto"/>
            <w:left w:val="none" w:sz="0" w:space="0" w:color="auto"/>
            <w:bottom w:val="none" w:sz="0" w:space="0" w:color="auto"/>
            <w:right w:val="none" w:sz="0" w:space="0" w:color="auto"/>
          </w:divBdr>
          <w:divsChild>
            <w:div w:id="1473408607">
              <w:marLeft w:val="0"/>
              <w:marRight w:val="0"/>
              <w:marTop w:val="0"/>
              <w:marBottom w:val="0"/>
              <w:divBdr>
                <w:top w:val="none" w:sz="0" w:space="0" w:color="auto"/>
                <w:left w:val="none" w:sz="0" w:space="0" w:color="auto"/>
                <w:bottom w:val="none" w:sz="0" w:space="0" w:color="auto"/>
                <w:right w:val="none" w:sz="0" w:space="0" w:color="auto"/>
              </w:divBdr>
            </w:div>
          </w:divsChild>
        </w:div>
        <w:div w:id="1689796598">
          <w:marLeft w:val="0"/>
          <w:marRight w:val="0"/>
          <w:marTop w:val="0"/>
          <w:marBottom w:val="0"/>
          <w:divBdr>
            <w:top w:val="none" w:sz="0" w:space="0" w:color="auto"/>
            <w:left w:val="none" w:sz="0" w:space="0" w:color="auto"/>
            <w:bottom w:val="none" w:sz="0" w:space="0" w:color="auto"/>
            <w:right w:val="none" w:sz="0" w:space="0" w:color="auto"/>
          </w:divBdr>
          <w:divsChild>
            <w:div w:id="1787233927">
              <w:marLeft w:val="0"/>
              <w:marRight w:val="0"/>
              <w:marTop w:val="0"/>
              <w:marBottom w:val="0"/>
              <w:divBdr>
                <w:top w:val="none" w:sz="0" w:space="0" w:color="auto"/>
                <w:left w:val="none" w:sz="0" w:space="0" w:color="auto"/>
                <w:bottom w:val="none" w:sz="0" w:space="0" w:color="auto"/>
                <w:right w:val="none" w:sz="0" w:space="0" w:color="auto"/>
              </w:divBdr>
            </w:div>
          </w:divsChild>
        </w:div>
        <w:div w:id="1692028488">
          <w:marLeft w:val="0"/>
          <w:marRight w:val="0"/>
          <w:marTop w:val="0"/>
          <w:marBottom w:val="0"/>
          <w:divBdr>
            <w:top w:val="none" w:sz="0" w:space="0" w:color="auto"/>
            <w:left w:val="none" w:sz="0" w:space="0" w:color="auto"/>
            <w:bottom w:val="none" w:sz="0" w:space="0" w:color="auto"/>
            <w:right w:val="none" w:sz="0" w:space="0" w:color="auto"/>
          </w:divBdr>
          <w:divsChild>
            <w:div w:id="875236545">
              <w:marLeft w:val="0"/>
              <w:marRight w:val="0"/>
              <w:marTop w:val="0"/>
              <w:marBottom w:val="0"/>
              <w:divBdr>
                <w:top w:val="none" w:sz="0" w:space="0" w:color="auto"/>
                <w:left w:val="none" w:sz="0" w:space="0" w:color="auto"/>
                <w:bottom w:val="none" w:sz="0" w:space="0" w:color="auto"/>
                <w:right w:val="none" w:sz="0" w:space="0" w:color="auto"/>
              </w:divBdr>
            </w:div>
          </w:divsChild>
        </w:div>
        <w:div w:id="1694183291">
          <w:marLeft w:val="0"/>
          <w:marRight w:val="0"/>
          <w:marTop w:val="0"/>
          <w:marBottom w:val="0"/>
          <w:divBdr>
            <w:top w:val="none" w:sz="0" w:space="0" w:color="auto"/>
            <w:left w:val="none" w:sz="0" w:space="0" w:color="auto"/>
            <w:bottom w:val="none" w:sz="0" w:space="0" w:color="auto"/>
            <w:right w:val="none" w:sz="0" w:space="0" w:color="auto"/>
          </w:divBdr>
          <w:divsChild>
            <w:div w:id="1347290882">
              <w:marLeft w:val="0"/>
              <w:marRight w:val="0"/>
              <w:marTop w:val="0"/>
              <w:marBottom w:val="0"/>
              <w:divBdr>
                <w:top w:val="none" w:sz="0" w:space="0" w:color="auto"/>
                <w:left w:val="none" w:sz="0" w:space="0" w:color="auto"/>
                <w:bottom w:val="none" w:sz="0" w:space="0" w:color="auto"/>
                <w:right w:val="none" w:sz="0" w:space="0" w:color="auto"/>
              </w:divBdr>
            </w:div>
          </w:divsChild>
        </w:div>
        <w:div w:id="1695233313">
          <w:marLeft w:val="0"/>
          <w:marRight w:val="0"/>
          <w:marTop w:val="0"/>
          <w:marBottom w:val="0"/>
          <w:divBdr>
            <w:top w:val="none" w:sz="0" w:space="0" w:color="auto"/>
            <w:left w:val="none" w:sz="0" w:space="0" w:color="auto"/>
            <w:bottom w:val="none" w:sz="0" w:space="0" w:color="auto"/>
            <w:right w:val="none" w:sz="0" w:space="0" w:color="auto"/>
          </w:divBdr>
          <w:divsChild>
            <w:div w:id="1281912382">
              <w:marLeft w:val="0"/>
              <w:marRight w:val="0"/>
              <w:marTop w:val="0"/>
              <w:marBottom w:val="0"/>
              <w:divBdr>
                <w:top w:val="none" w:sz="0" w:space="0" w:color="auto"/>
                <w:left w:val="none" w:sz="0" w:space="0" w:color="auto"/>
                <w:bottom w:val="none" w:sz="0" w:space="0" w:color="auto"/>
                <w:right w:val="none" w:sz="0" w:space="0" w:color="auto"/>
              </w:divBdr>
            </w:div>
          </w:divsChild>
        </w:div>
        <w:div w:id="1704289207">
          <w:marLeft w:val="0"/>
          <w:marRight w:val="0"/>
          <w:marTop w:val="0"/>
          <w:marBottom w:val="0"/>
          <w:divBdr>
            <w:top w:val="none" w:sz="0" w:space="0" w:color="auto"/>
            <w:left w:val="none" w:sz="0" w:space="0" w:color="auto"/>
            <w:bottom w:val="none" w:sz="0" w:space="0" w:color="auto"/>
            <w:right w:val="none" w:sz="0" w:space="0" w:color="auto"/>
          </w:divBdr>
          <w:divsChild>
            <w:div w:id="2018342583">
              <w:marLeft w:val="0"/>
              <w:marRight w:val="0"/>
              <w:marTop w:val="0"/>
              <w:marBottom w:val="0"/>
              <w:divBdr>
                <w:top w:val="none" w:sz="0" w:space="0" w:color="auto"/>
                <w:left w:val="none" w:sz="0" w:space="0" w:color="auto"/>
                <w:bottom w:val="none" w:sz="0" w:space="0" w:color="auto"/>
                <w:right w:val="none" w:sz="0" w:space="0" w:color="auto"/>
              </w:divBdr>
            </w:div>
          </w:divsChild>
        </w:div>
        <w:div w:id="1717002949">
          <w:marLeft w:val="0"/>
          <w:marRight w:val="0"/>
          <w:marTop w:val="0"/>
          <w:marBottom w:val="0"/>
          <w:divBdr>
            <w:top w:val="none" w:sz="0" w:space="0" w:color="auto"/>
            <w:left w:val="none" w:sz="0" w:space="0" w:color="auto"/>
            <w:bottom w:val="none" w:sz="0" w:space="0" w:color="auto"/>
            <w:right w:val="none" w:sz="0" w:space="0" w:color="auto"/>
          </w:divBdr>
          <w:divsChild>
            <w:div w:id="13852154">
              <w:marLeft w:val="0"/>
              <w:marRight w:val="0"/>
              <w:marTop w:val="0"/>
              <w:marBottom w:val="0"/>
              <w:divBdr>
                <w:top w:val="none" w:sz="0" w:space="0" w:color="auto"/>
                <w:left w:val="none" w:sz="0" w:space="0" w:color="auto"/>
                <w:bottom w:val="none" w:sz="0" w:space="0" w:color="auto"/>
                <w:right w:val="none" w:sz="0" w:space="0" w:color="auto"/>
              </w:divBdr>
            </w:div>
          </w:divsChild>
        </w:div>
        <w:div w:id="1719470467">
          <w:marLeft w:val="0"/>
          <w:marRight w:val="0"/>
          <w:marTop w:val="0"/>
          <w:marBottom w:val="0"/>
          <w:divBdr>
            <w:top w:val="none" w:sz="0" w:space="0" w:color="auto"/>
            <w:left w:val="none" w:sz="0" w:space="0" w:color="auto"/>
            <w:bottom w:val="none" w:sz="0" w:space="0" w:color="auto"/>
            <w:right w:val="none" w:sz="0" w:space="0" w:color="auto"/>
          </w:divBdr>
          <w:divsChild>
            <w:div w:id="1539776677">
              <w:marLeft w:val="0"/>
              <w:marRight w:val="0"/>
              <w:marTop w:val="0"/>
              <w:marBottom w:val="0"/>
              <w:divBdr>
                <w:top w:val="none" w:sz="0" w:space="0" w:color="auto"/>
                <w:left w:val="none" w:sz="0" w:space="0" w:color="auto"/>
                <w:bottom w:val="none" w:sz="0" w:space="0" w:color="auto"/>
                <w:right w:val="none" w:sz="0" w:space="0" w:color="auto"/>
              </w:divBdr>
            </w:div>
          </w:divsChild>
        </w:div>
        <w:div w:id="1724937781">
          <w:marLeft w:val="0"/>
          <w:marRight w:val="0"/>
          <w:marTop w:val="0"/>
          <w:marBottom w:val="0"/>
          <w:divBdr>
            <w:top w:val="none" w:sz="0" w:space="0" w:color="auto"/>
            <w:left w:val="none" w:sz="0" w:space="0" w:color="auto"/>
            <w:bottom w:val="none" w:sz="0" w:space="0" w:color="auto"/>
            <w:right w:val="none" w:sz="0" w:space="0" w:color="auto"/>
          </w:divBdr>
          <w:divsChild>
            <w:div w:id="204683858">
              <w:marLeft w:val="0"/>
              <w:marRight w:val="0"/>
              <w:marTop w:val="0"/>
              <w:marBottom w:val="0"/>
              <w:divBdr>
                <w:top w:val="none" w:sz="0" w:space="0" w:color="auto"/>
                <w:left w:val="none" w:sz="0" w:space="0" w:color="auto"/>
                <w:bottom w:val="none" w:sz="0" w:space="0" w:color="auto"/>
                <w:right w:val="none" w:sz="0" w:space="0" w:color="auto"/>
              </w:divBdr>
            </w:div>
          </w:divsChild>
        </w:div>
        <w:div w:id="1739864835">
          <w:marLeft w:val="0"/>
          <w:marRight w:val="0"/>
          <w:marTop w:val="0"/>
          <w:marBottom w:val="0"/>
          <w:divBdr>
            <w:top w:val="none" w:sz="0" w:space="0" w:color="auto"/>
            <w:left w:val="none" w:sz="0" w:space="0" w:color="auto"/>
            <w:bottom w:val="none" w:sz="0" w:space="0" w:color="auto"/>
            <w:right w:val="none" w:sz="0" w:space="0" w:color="auto"/>
          </w:divBdr>
          <w:divsChild>
            <w:div w:id="2013413670">
              <w:marLeft w:val="0"/>
              <w:marRight w:val="0"/>
              <w:marTop w:val="0"/>
              <w:marBottom w:val="0"/>
              <w:divBdr>
                <w:top w:val="none" w:sz="0" w:space="0" w:color="auto"/>
                <w:left w:val="none" w:sz="0" w:space="0" w:color="auto"/>
                <w:bottom w:val="none" w:sz="0" w:space="0" w:color="auto"/>
                <w:right w:val="none" w:sz="0" w:space="0" w:color="auto"/>
              </w:divBdr>
            </w:div>
          </w:divsChild>
        </w:div>
        <w:div w:id="1750075591">
          <w:marLeft w:val="0"/>
          <w:marRight w:val="0"/>
          <w:marTop w:val="0"/>
          <w:marBottom w:val="0"/>
          <w:divBdr>
            <w:top w:val="none" w:sz="0" w:space="0" w:color="auto"/>
            <w:left w:val="none" w:sz="0" w:space="0" w:color="auto"/>
            <w:bottom w:val="none" w:sz="0" w:space="0" w:color="auto"/>
            <w:right w:val="none" w:sz="0" w:space="0" w:color="auto"/>
          </w:divBdr>
          <w:divsChild>
            <w:div w:id="65887057">
              <w:marLeft w:val="0"/>
              <w:marRight w:val="0"/>
              <w:marTop w:val="0"/>
              <w:marBottom w:val="0"/>
              <w:divBdr>
                <w:top w:val="none" w:sz="0" w:space="0" w:color="auto"/>
                <w:left w:val="none" w:sz="0" w:space="0" w:color="auto"/>
                <w:bottom w:val="none" w:sz="0" w:space="0" w:color="auto"/>
                <w:right w:val="none" w:sz="0" w:space="0" w:color="auto"/>
              </w:divBdr>
            </w:div>
          </w:divsChild>
        </w:div>
        <w:div w:id="1750081952">
          <w:marLeft w:val="0"/>
          <w:marRight w:val="0"/>
          <w:marTop w:val="0"/>
          <w:marBottom w:val="0"/>
          <w:divBdr>
            <w:top w:val="none" w:sz="0" w:space="0" w:color="auto"/>
            <w:left w:val="none" w:sz="0" w:space="0" w:color="auto"/>
            <w:bottom w:val="none" w:sz="0" w:space="0" w:color="auto"/>
            <w:right w:val="none" w:sz="0" w:space="0" w:color="auto"/>
          </w:divBdr>
          <w:divsChild>
            <w:div w:id="66152898">
              <w:marLeft w:val="0"/>
              <w:marRight w:val="0"/>
              <w:marTop w:val="0"/>
              <w:marBottom w:val="0"/>
              <w:divBdr>
                <w:top w:val="none" w:sz="0" w:space="0" w:color="auto"/>
                <w:left w:val="none" w:sz="0" w:space="0" w:color="auto"/>
                <w:bottom w:val="none" w:sz="0" w:space="0" w:color="auto"/>
                <w:right w:val="none" w:sz="0" w:space="0" w:color="auto"/>
              </w:divBdr>
            </w:div>
          </w:divsChild>
        </w:div>
        <w:div w:id="1759251683">
          <w:marLeft w:val="0"/>
          <w:marRight w:val="0"/>
          <w:marTop w:val="0"/>
          <w:marBottom w:val="0"/>
          <w:divBdr>
            <w:top w:val="none" w:sz="0" w:space="0" w:color="auto"/>
            <w:left w:val="none" w:sz="0" w:space="0" w:color="auto"/>
            <w:bottom w:val="none" w:sz="0" w:space="0" w:color="auto"/>
            <w:right w:val="none" w:sz="0" w:space="0" w:color="auto"/>
          </w:divBdr>
          <w:divsChild>
            <w:div w:id="1526480443">
              <w:marLeft w:val="0"/>
              <w:marRight w:val="0"/>
              <w:marTop w:val="0"/>
              <w:marBottom w:val="0"/>
              <w:divBdr>
                <w:top w:val="none" w:sz="0" w:space="0" w:color="auto"/>
                <w:left w:val="none" w:sz="0" w:space="0" w:color="auto"/>
                <w:bottom w:val="none" w:sz="0" w:space="0" w:color="auto"/>
                <w:right w:val="none" w:sz="0" w:space="0" w:color="auto"/>
              </w:divBdr>
            </w:div>
          </w:divsChild>
        </w:div>
        <w:div w:id="1763262262">
          <w:marLeft w:val="0"/>
          <w:marRight w:val="0"/>
          <w:marTop w:val="0"/>
          <w:marBottom w:val="0"/>
          <w:divBdr>
            <w:top w:val="none" w:sz="0" w:space="0" w:color="auto"/>
            <w:left w:val="none" w:sz="0" w:space="0" w:color="auto"/>
            <w:bottom w:val="none" w:sz="0" w:space="0" w:color="auto"/>
            <w:right w:val="none" w:sz="0" w:space="0" w:color="auto"/>
          </w:divBdr>
          <w:divsChild>
            <w:div w:id="1192452976">
              <w:marLeft w:val="0"/>
              <w:marRight w:val="0"/>
              <w:marTop w:val="0"/>
              <w:marBottom w:val="0"/>
              <w:divBdr>
                <w:top w:val="none" w:sz="0" w:space="0" w:color="auto"/>
                <w:left w:val="none" w:sz="0" w:space="0" w:color="auto"/>
                <w:bottom w:val="none" w:sz="0" w:space="0" w:color="auto"/>
                <w:right w:val="none" w:sz="0" w:space="0" w:color="auto"/>
              </w:divBdr>
            </w:div>
          </w:divsChild>
        </w:div>
        <w:div w:id="1763716399">
          <w:marLeft w:val="0"/>
          <w:marRight w:val="0"/>
          <w:marTop w:val="0"/>
          <w:marBottom w:val="0"/>
          <w:divBdr>
            <w:top w:val="none" w:sz="0" w:space="0" w:color="auto"/>
            <w:left w:val="none" w:sz="0" w:space="0" w:color="auto"/>
            <w:bottom w:val="none" w:sz="0" w:space="0" w:color="auto"/>
            <w:right w:val="none" w:sz="0" w:space="0" w:color="auto"/>
          </w:divBdr>
          <w:divsChild>
            <w:div w:id="1096511919">
              <w:marLeft w:val="0"/>
              <w:marRight w:val="0"/>
              <w:marTop w:val="0"/>
              <w:marBottom w:val="0"/>
              <w:divBdr>
                <w:top w:val="none" w:sz="0" w:space="0" w:color="auto"/>
                <w:left w:val="none" w:sz="0" w:space="0" w:color="auto"/>
                <w:bottom w:val="none" w:sz="0" w:space="0" w:color="auto"/>
                <w:right w:val="none" w:sz="0" w:space="0" w:color="auto"/>
              </w:divBdr>
            </w:div>
          </w:divsChild>
        </w:div>
        <w:div w:id="1767967120">
          <w:marLeft w:val="0"/>
          <w:marRight w:val="0"/>
          <w:marTop w:val="0"/>
          <w:marBottom w:val="0"/>
          <w:divBdr>
            <w:top w:val="none" w:sz="0" w:space="0" w:color="auto"/>
            <w:left w:val="none" w:sz="0" w:space="0" w:color="auto"/>
            <w:bottom w:val="none" w:sz="0" w:space="0" w:color="auto"/>
            <w:right w:val="none" w:sz="0" w:space="0" w:color="auto"/>
          </w:divBdr>
          <w:divsChild>
            <w:div w:id="1668897047">
              <w:marLeft w:val="0"/>
              <w:marRight w:val="0"/>
              <w:marTop w:val="0"/>
              <w:marBottom w:val="0"/>
              <w:divBdr>
                <w:top w:val="none" w:sz="0" w:space="0" w:color="auto"/>
                <w:left w:val="none" w:sz="0" w:space="0" w:color="auto"/>
                <w:bottom w:val="none" w:sz="0" w:space="0" w:color="auto"/>
                <w:right w:val="none" w:sz="0" w:space="0" w:color="auto"/>
              </w:divBdr>
            </w:div>
          </w:divsChild>
        </w:div>
        <w:div w:id="1768187830">
          <w:marLeft w:val="0"/>
          <w:marRight w:val="0"/>
          <w:marTop w:val="0"/>
          <w:marBottom w:val="0"/>
          <w:divBdr>
            <w:top w:val="none" w:sz="0" w:space="0" w:color="auto"/>
            <w:left w:val="none" w:sz="0" w:space="0" w:color="auto"/>
            <w:bottom w:val="none" w:sz="0" w:space="0" w:color="auto"/>
            <w:right w:val="none" w:sz="0" w:space="0" w:color="auto"/>
          </w:divBdr>
          <w:divsChild>
            <w:div w:id="779959963">
              <w:marLeft w:val="0"/>
              <w:marRight w:val="0"/>
              <w:marTop w:val="0"/>
              <w:marBottom w:val="0"/>
              <w:divBdr>
                <w:top w:val="none" w:sz="0" w:space="0" w:color="auto"/>
                <w:left w:val="none" w:sz="0" w:space="0" w:color="auto"/>
                <w:bottom w:val="none" w:sz="0" w:space="0" w:color="auto"/>
                <w:right w:val="none" w:sz="0" w:space="0" w:color="auto"/>
              </w:divBdr>
            </w:div>
          </w:divsChild>
        </w:div>
        <w:div w:id="1768379714">
          <w:marLeft w:val="0"/>
          <w:marRight w:val="0"/>
          <w:marTop w:val="0"/>
          <w:marBottom w:val="0"/>
          <w:divBdr>
            <w:top w:val="none" w:sz="0" w:space="0" w:color="auto"/>
            <w:left w:val="none" w:sz="0" w:space="0" w:color="auto"/>
            <w:bottom w:val="none" w:sz="0" w:space="0" w:color="auto"/>
            <w:right w:val="none" w:sz="0" w:space="0" w:color="auto"/>
          </w:divBdr>
          <w:divsChild>
            <w:div w:id="1993873642">
              <w:marLeft w:val="0"/>
              <w:marRight w:val="0"/>
              <w:marTop w:val="0"/>
              <w:marBottom w:val="0"/>
              <w:divBdr>
                <w:top w:val="none" w:sz="0" w:space="0" w:color="auto"/>
                <w:left w:val="none" w:sz="0" w:space="0" w:color="auto"/>
                <w:bottom w:val="none" w:sz="0" w:space="0" w:color="auto"/>
                <w:right w:val="none" w:sz="0" w:space="0" w:color="auto"/>
              </w:divBdr>
            </w:div>
          </w:divsChild>
        </w:div>
        <w:div w:id="1769884843">
          <w:marLeft w:val="0"/>
          <w:marRight w:val="0"/>
          <w:marTop w:val="0"/>
          <w:marBottom w:val="0"/>
          <w:divBdr>
            <w:top w:val="none" w:sz="0" w:space="0" w:color="auto"/>
            <w:left w:val="none" w:sz="0" w:space="0" w:color="auto"/>
            <w:bottom w:val="none" w:sz="0" w:space="0" w:color="auto"/>
            <w:right w:val="none" w:sz="0" w:space="0" w:color="auto"/>
          </w:divBdr>
          <w:divsChild>
            <w:div w:id="1414937083">
              <w:marLeft w:val="0"/>
              <w:marRight w:val="0"/>
              <w:marTop w:val="0"/>
              <w:marBottom w:val="0"/>
              <w:divBdr>
                <w:top w:val="none" w:sz="0" w:space="0" w:color="auto"/>
                <w:left w:val="none" w:sz="0" w:space="0" w:color="auto"/>
                <w:bottom w:val="none" w:sz="0" w:space="0" w:color="auto"/>
                <w:right w:val="none" w:sz="0" w:space="0" w:color="auto"/>
              </w:divBdr>
            </w:div>
          </w:divsChild>
        </w:div>
        <w:div w:id="1777943329">
          <w:marLeft w:val="0"/>
          <w:marRight w:val="0"/>
          <w:marTop w:val="0"/>
          <w:marBottom w:val="0"/>
          <w:divBdr>
            <w:top w:val="none" w:sz="0" w:space="0" w:color="auto"/>
            <w:left w:val="none" w:sz="0" w:space="0" w:color="auto"/>
            <w:bottom w:val="none" w:sz="0" w:space="0" w:color="auto"/>
            <w:right w:val="none" w:sz="0" w:space="0" w:color="auto"/>
          </w:divBdr>
          <w:divsChild>
            <w:div w:id="1002003322">
              <w:marLeft w:val="0"/>
              <w:marRight w:val="0"/>
              <w:marTop w:val="0"/>
              <w:marBottom w:val="0"/>
              <w:divBdr>
                <w:top w:val="none" w:sz="0" w:space="0" w:color="auto"/>
                <w:left w:val="none" w:sz="0" w:space="0" w:color="auto"/>
                <w:bottom w:val="none" w:sz="0" w:space="0" w:color="auto"/>
                <w:right w:val="none" w:sz="0" w:space="0" w:color="auto"/>
              </w:divBdr>
            </w:div>
          </w:divsChild>
        </w:div>
        <w:div w:id="1784183538">
          <w:marLeft w:val="0"/>
          <w:marRight w:val="0"/>
          <w:marTop w:val="0"/>
          <w:marBottom w:val="0"/>
          <w:divBdr>
            <w:top w:val="none" w:sz="0" w:space="0" w:color="auto"/>
            <w:left w:val="none" w:sz="0" w:space="0" w:color="auto"/>
            <w:bottom w:val="none" w:sz="0" w:space="0" w:color="auto"/>
            <w:right w:val="none" w:sz="0" w:space="0" w:color="auto"/>
          </w:divBdr>
          <w:divsChild>
            <w:div w:id="70935735">
              <w:marLeft w:val="0"/>
              <w:marRight w:val="0"/>
              <w:marTop w:val="0"/>
              <w:marBottom w:val="0"/>
              <w:divBdr>
                <w:top w:val="none" w:sz="0" w:space="0" w:color="auto"/>
                <w:left w:val="none" w:sz="0" w:space="0" w:color="auto"/>
                <w:bottom w:val="none" w:sz="0" w:space="0" w:color="auto"/>
                <w:right w:val="none" w:sz="0" w:space="0" w:color="auto"/>
              </w:divBdr>
            </w:div>
          </w:divsChild>
        </w:div>
        <w:div w:id="1784492459">
          <w:marLeft w:val="0"/>
          <w:marRight w:val="0"/>
          <w:marTop w:val="0"/>
          <w:marBottom w:val="0"/>
          <w:divBdr>
            <w:top w:val="none" w:sz="0" w:space="0" w:color="auto"/>
            <w:left w:val="none" w:sz="0" w:space="0" w:color="auto"/>
            <w:bottom w:val="none" w:sz="0" w:space="0" w:color="auto"/>
            <w:right w:val="none" w:sz="0" w:space="0" w:color="auto"/>
          </w:divBdr>
          <w:divsChild>
            <w:div w:id="378433169">
              <w:marLeft w:val="0"/>
              <w:marRight w:val="0"/>
              <w:marTop w:val="0"/>
              <w:marBottom w:val="0"/>
              <w:divBdr>
                <w:top w:val="none" w:sz="0" w:space="0" w:color="auto"/>
                <w:left w:val="none" w:sz="0" w:space="0" w:color="auto"/>
                <w:bottom w:val="none" w:sz="0" w:space="0" w:color="auto"/>
                <w:right w:val="none" w:sz="0" w:space="0" w:color="auto"/>
              </w:divBdr>
            </w:div>
          </w:divsChild>
        </w:div>
        <w:div w:id="1787233986">
          <w:marLeft w:val="0"/>
          <w:marRight w:val="0"/>
          <w:marTop w:val="0"/>
          <w:marBottom w:val="0"/>
          <w:divBdr>
            <w:top w:val="none" w:sz="0" w:space="0" w:color="auto"/>
            <w:left w:val="none" w:sz="0" w:space="0" w:color="auto"/>
            <w:bottom w:val="none" w:sz="0" w:space="0" w:color="auto"/>
            <w:right w:val="none" w:sz="0" w:space="0" w:color="auto"/>
          </w:divBdr>
          <w:divsChild>
            <w:div w:id="910045794">
              <w:marLeft w:val="0"/>
              <w:marRight w:val="0"/>
              <w:marTop w:val="0"/>
              <w:marBottom w:val="0"/>
              <w:divBdr>
                <w:top w:val="none" w:sz="0" w:space="0" w:color="auto"/>
                <w:left w:val="none" w:sz="0" w:space="0" w:color="auto"/>
                <w:bottom w:val="none" w:sz="0" w:space="0" w:color="auto"/>
                <w:right w:val="none" w:sz="0" w:space="0" w:color="auto"/>
              </w:divBdr>
            </w:div>
          </w:divsChild>
        </w:div>
        <w:div w:id="1791322361">
          <w:marLeft w:val="0"/>
          <w:marRight w:val="0"/>
          <w:marTop w:val="0"/>
          <w:marBottom w:val="0"/>
          <w:divBdr>
            <w:top w:val="none" w:sz="0" w:space="0" w:color="auto"/>
            <w:left w:val="none" w:sz="0" w:space="0" w:color="auto"/>
            <w:bottom w:val="none" w:sz="0" w:space="0" w:color="auto"/>
            <w:right w:val="none" w:sz="0" w:space="0" w:color="auto"/>
          </w:divBdr>
          <w:divsChild>
            <w:div w:id="56712358">
              <w:marLeft w:val="0"/>
              <w:marRight w:val="0"/>
              <w:marTop w:val="0"/>
              <w:marBottom w:val="0"/>
              <w:divBdr>
                <w:top w:val="none" w:sz="0" w:space="0" w:color="auto"/>
                <w:left w:val="none" w:sz="0" w:space="0" w:color="auto"/>
                <w:bottom w:val="none" w:sz="0" w:space="0" w:color="auto"/>
                <w:right w:val="none" w:sz="0" w:space="0" w:color="auto"/>
              </w:divBdr>
            </w:div>
          </w:divsChild>
        </w:div>
        <w:div w:id="1791976265">
          <w:marLeft w:val="0"/>
          <w:marRight w:val="0"/>
          <w:marTop w:val="0"/>
          <w:marBottom w:val="0"/>
          <w:divBdr>
            <w:top w:val="none" w:sz="0" w:space="0" w:color="auto"/>
            <w:left w:val="none" w:sz="0" w:space="0" w:color="auto"/>
            <w:bottom w:val="none" w:sz="0" w:space="0" w:color="auto"/>
            <w:right w:val="none" w:sz="0" w:space="0" w:color="auto"/>
          </w:divBdr>
          <w:divsChild>
            <w:div w:id="666321077">
              <w:marLeft w:val="0"/>
              <w:marRight w:val="0"/>
              <w:marTop w:val="0"/>
              <w:marBottom w:val="0"/>
              <w:divBdr>
                <w:top w:val="none" w:sz="0" w:space="0" w:color="auto"/>
                <w:left w:val="none" w:sz="0" w:space="0" w:color="auto"/>
                <w:bottom w:val="none" w:sz="0" w:space="0" w:color="auto"/>
                <w:right w:val="none" w:sz="0" w:space="0" w:color="auto"/>
              </w:divBdr>
            </w:div>
          </w:divsChild>
        </w:div>
        <w:div w:id="1792628375">
          <w:marLeft w:val="0"/>
          <w:marRight w:val="0"/>
          <w:marTop w:val="0"/>
          <w:marBottom w:val="0"/>
          <w:divBdr>
            <w:top w:val="none" w:sz="0" w:space="0" w:color="auto"/>
            <w:left w:val="none" w:sz="0" w:space="0" w:color="auto"/>
            <w:bottom w:val="none" w:sz="0" w:space="0" w:color="auto"/>
            <w:right w:val="none" w:sz="0" w:space="0" w:color="auto"/>
          </w:divBdr>
          <w:divsChild>
            <w:div w:id="1557204615">
              <w:marLeft w:val="0"/>
              <w:marRight w:val="0"/>
              <w:marTop w:val="0"/>
              <w:marBottom w:val="0"/>
              <w:divBdr>
                <w:top w:val="none" w:sz="0" w:space="0" w:color="auto"/>
                <w:left w:val="none" w:sz="0" w:space="0" w:color="auto"/>
                <w:bottom w:val="none" w:sz="0" w:space="0" w:color="auto"/>
                <w:right w:val="none" w:sz="0" w:space="0" w:color="auto"/>
              </w:divBdr>
            </w:div>
          </w:divsChild>
        </w:div>
        <w:div w:id="1796675846">
          <w:marLeft w:val="0"/>
          <w:marRight w:val="0"/>
          <w:marTop w:val="0"/>
          <w:marBottom w:val="0"/>
          <w:divBdr>
            <w:top w:val="none" w:sz="0" w:space="0" w:color="auto"/>
            <w:left w:val="none" w:sz="0" w:space="0" w:color="auto"/>
            <w:bottom w:val="none" w:sz="0" w:space="0" w:color="auto"/>
            <w:right w:val="none" w:sz="0" w:space="0" w:color="auto"/>
          </w:divBdr>
          <w:divsChild>
            <w:div w:id="532814746">
              <w:marLeft w:val="0"/>
              <w:marRight w:val="0"/>
              <w:marTop w:val="0"/>
              <w:marBottom w:val="0"/>
              <w:divBdr>
                <w:top w:val="none" w:sz="0" w:space="0" w:color="auto"/>
                <w:left w:val="none" w:sz="0" w:space="0" w:color="auto"/>
                <w:bottom w:val="none" w:sz="0" w:space="0" w:color="auto"/>
                <w:right w:val="none" w:sz="0" w:space="0" w:color="auto"/>
              </w:divBdr>
            </w:div>
          </w:divsChild>
        </w:div>
        <w:div w:id="1802840647">
          <w:marLeft w:val="0"/>
          <w:marRight w:val="0"/>
          <w:marTop w:val="0"/>
          <w:marBottom w:val="0"/>
          <w:divBdr>
            <w:top w:val="none" w:sz="0" w:space="0" w:color="auto"/>
            <w:left w:val="none" w:sz="0" w:space="0" w:color="auto"/>
            <w:bottom w:val="none" w:sz="0" w:space="0" w:color="auto"/>
            <w:right w:val="none" w:sz="0" w:space="0" w:color="auto"/>
          </w:divBdr>
          <w:divsChild>
            <w:div w:id="385107879">
              <w:marLeft w:val="0"/>
              <w:marRight w:val="0"/>
              <w:marTop w:val="0"/>
              <w:marBottom w:val="0"/>
              <w:divBdr>
                <w:top w:val="none" w:sz="0" w:space="0" w:color="auto"/>
                <w:left w:val="none" w:sz="0" w:space="0" w:color="auto"/>
                <w:bottom w:val="none" w:sz="0" w:space="0" w:color="auto"/>
                <w:right w:val="none" w:sz="0" w:space="0" w:color="auto"/>
              </w:divBdr>
            </w:div>
          </w:divsChild>
        </w:div>
        <w:div w:id="1805738028">
          <w:marLeft w:val="0"/>
          <w:marRight w:val="0"/>
          <w:marTop w:val="0"/>
          <w:marBottom w:val="0"/>
          <w:divBdr>
            <w:top w:val="none" w:sz="0" w:space="0" w:color="auto"/>
            <w:left w:val="none" w:sz="0" w:space="0" w:color="auto"/>
            <w:bottom w:val="none" w:sz="0" w:space="0" w:color="auto"/>
            <w:right w:val="none" w:sz="0" w:space="0" w:color="auto"/>
          </w:divBdr>
          <w:divsChild>
            <w:div w:id="2091268970">
              <w:marLeft w:val="0"/>
              <w:marRight w:val="0"/>
              <w:marTop w:val="0"/>
              <w:marBottom w:val="0"/>
              <w:divBdr>
                <w:top w:val="none" w:sz="0" w:space="0" w:color="auto"/>
                <w:left w:val="none" w:sz="0" w:space="0" w:color="auto"/>
                <w:bottom w:val="none" w:sz="0" w:space="0" w:color="auto"/>
                <w:right w:val="none" w:sz="0" w:space="0" w:color="auto"/>
              </w:divBdr>
            </w:div>
          </w:divsChild>
        </w:div>
        <w:div w:id="1806581448">
          <w:marLeft w:val="0"/>
          <w:marRight w:val="0"/>
          <w:marTop w:val="0"/>
          <w:marBottom w:val="0"/>
          <w:divBdr>
            <w:top w:val="none" w:sz="0" w:space="0" w:color="auto"/>
            <w:left w:val="none" w:sz="0" w:space="0" w:color="auto"/>
            <w:bottom w:val="none" w:sz="0" w:space="0" w:color="auto"/>
            <w:right w:val="none" w:sz="0" w:space="0" w:color="auto"/>
          </w:divBdr>
          <w:divsChild>
            <w:div w:id="18162239">
              <w:marLeft w:val="0"/>
              <w:marRight w:val="0"/>
              <w:marTop w:val="0"/>
              <w:marBottom w:val="0"/>
              <w:divBdr>
                <w:top w:val="none" w:sz="0" w:space="0" w:color="auto"/>
                <w:left w:val="none" w:sz="0" w:space="0" w:color="auto"/>
                <w:bottom w:val="none" w:sz="0" w:space="0" w:color="auto"/>
                <w:right w:val="none" w:sz="0" w:space="0" w:color="auto"/>
              </w:divBdr>
            </w:div>
          </w:divsChild>
        </w:div>
        <w:div w:id="1818454073">
          <w:marLeft w:val="0"/>
          <w:marRight w:val="0"/>
          <w:marTop w:val="0"/>
          <w:marBottom w:val="0"/>
          <w:divBdr>
            <w:top w:val="none" w:sz="0" w:space="0" w:color="auto"/>
            <w:left w:val="none" w:sz="0" w:space="0" w:color="auto"/>
            <w:bottom w:val="none" w:sz="0" w:space="0" w:color="auto"/>
            <w:right w:val="none" w:sz="0" w:space="0" w:color="auto"/>
          </w:divBdr>
          <w:divsChild>
            <w:div w:id="116030475">
              <w:marLeft w:val="0"/>
              <w:marRight w:val="0"/>
              <w:marTop w:val="0"/>
              <w:marBottom w:val="0"/>
              <w:divBdr>
                <w:top w:val="none" w:sz="0" w:space="0" w:color="auto"/>
                <w:left w:val="none" w:sz="0" w:space="0" w:color="auto"/>
                <w:bottom w:val="none" w:sz="0" w:space="0" w:color="auto"/>
                <w:right w:val="none" w:sz="0" w:space="0" w:color="auto"/>
              </w:divBdr>
            </w:div>
          </w:divsChild>
        </w:div>
        <w:div w:id="1819300480">
          <w:marLeft w:val="0"/>
          <w:marRight w:val="0"/>
          <w:marTop w:val="0"/>
          <w:marBottom w:val="0"/>
          <w:divBdr>
            <w:top w:val="none" w:sz="0" w:space="0" w:color="auto"/>
            <w:left w:val="none" w:sz="0" w:space="0" w:color="auto"/>
            <w:bottom w:val="none" w:sz="0" w:space="0" w:color="auto"/>
            <w:right w:val="none" w:sz="0" w:space="0" w:color="auto"/>
          </w:divBdr>
          <w:divsChild>
            <w:div w:id="2105683477">
              <w:marLeft w:val="0"/>
              <w:marRight w:val="0"/>
              <w:marTop w:val="0"/>
              <w:marBottom w:val="0"/>
              <w:divBdr>
                <w:top w:val="none" w:sz="0" w:space="0" w:color="auto"/>
                <w:left w:val="none" w:sz="0" w:space="0" w:color="auto"/>
                <w:bottom w:val="none" w:sz="0" w:space="0" w:color="auto"/>
                <w:right w:val="none" w:sz="0" w:space="0" w:color="auto"/>
              </w:divBdr>
            </w:div>
          </w:divsChild>
        </w:div>
        <w:div w:id="1839535791">
          <w:marLeft w:val="0"/>
          <w:marRight w:val="0"/>
          <w:marTop w:val="0"/>
          <w:marBottom w:val="0"/>
          <w:divBdr>
            <w:top w:val="none" w:sz="0" w:space="0" w:color="auto"/>
            <w:left w:val="none" w:sz="0" w:space="0" w:color="auto"/>
            <w:bottom w:val="none" w:sz="0" w:space="0" w:color="auto"/>
            <w:right w:val="none" w:sz="0" w:space="0" w:color="auto"/>
          </w:divBdr>
          <w:divsChild>
            <w:div w:id="293482619">
              <w:marLeft w:val="0"/>
              <w:marRight w:val="0"/>
              <w:marTop w:val="0"/>
              <w:marBottom w:val="0"/>
              <w:divBdr>
                <w:top w:val="none" w:sz="0" w:space="0" w:color="auto"/>
                <w:left w:val="none" w:sz="0" w:space="0" w:color="auto"/>
                <w:bottom w:val="none" w:sz="0" w:space="0" w:color="auto"/>
                <w:right w:val="none" w:sz="0" w:space="0" w:color="auto"/>
              </w:divBdr>
            </w:div>
          </w:divsChild>
        </w:div>
        <w:div w:id="1840467158">
          <w:marLeft w:val="0"/>
          <w:marRight w:val="0"/>
          <w:marTop w:val="0"/>
          <w:marBottom w:val="0"/>
          <w:divBdr>
            <w:top w:val="none" w:sz="0" w:space="0" w:color="auto"/>
            <w:left w:val="none" w:sz="0" w:space="0" w:color="auto"/>
            <w:bottom w:val="none" w:sz="0" w:space="0" w:color="auto"/>
            <w:right w:val="none" w:sz="0" w:space="0" w:color="auto"/>
          </w:divBdr>
          <w:divsChild>
            <w:div w:id="1177647212">
              <w:marLeft w:val="0"/>
              <w:marRight w:val="0"/>
              <w:marTop w:val="0"/>
              <w:marBottom w:val="0"/>
              <w:divBdr>
                <w:top w:val="none" w:sz="0" w:space="0" w:color="auto"/>
                <w:left w:val="none" w:sz="0" w:space="0" w:color="auto"/>
                <w:bottom w:val="none" w:sz="0" w:space="0" w:color="auto"/>
                <w:right w:val="none" w:sz="0" w:space="0" w:color="auto"/>
              </w:divBdr>
            </w:div>
          </w:divsChild>
        </w:div>
        <w:div w:id="1840732085">
          <w:marLeft w:val="0"/>
          <w:marRight w:val="0"/>
          <w:marTop w:val="0"/>
          <w:marBottom w:val="0"/>
          <w:divBdr>
            <w:top w:val="none" w:sz="0" w:space="0" w:color="auto"/>
            <w:left w:val="none" w:sz="0" w:space="0" w:color="auto"/>
            <w:bottom w:val="none" w:sz="0" w:space="0" w:color="auto"/>
            <w:right w:val="none" w:sz="0" w:space="0" w:color="auto"/>
          </w:divBdr>
          <w:divsChild>
            <w:div w:id="39668214">
              <w:marLeft w:val="0"/>
              <w:marRight w:val="0"/>
              <w:marTop w:val="0"/>
              <w:marBottom w:val="0"/>
              <w:divBdr>
                <w:top w:val="none" w:sz="0" w:space="0" w:color="auto"/>
                <w:left w:val="none" w:sz="0" w:space="0" w:color="auto"/>
                <w:bottom w:val="none" w:sz="0" w:space="0" w:color="auto"/>
                <w:right w:val="none" w:sz="0" w:space="0" w:color="auto"/>
              </w:divBdr>
            </w:div>
          </w:divsChild>
        </w:div>
        <w:div w:id="1841308747">
          <w:marLeft w:val="0"/>
          <w:marRight w:val="0"/>
          <w:marTop w:val="0"/>
          <w:marBottom w:val="0"/>
          <w:divBdr>
            <w:top w:val="none" w:sz="0" w:space="0" w:color="auto"/>
            <w:left w:val="none" w:sz="0" w:space="0" w:color="auto"/>
            <w:bottom w:val="none" w:sz="0" w:space="0" w:color="auto"/>
            <w:right w:val="none" w:sz="0" w:space="0" w:color="auto"/>
          </w:divBdr>
          <w:divsChild>
            <w:div w:id="1890847003">
              <w:marLeft w:val="0"/>
              <w:marRight w:val="0"/>
              <w:marTop w:val="0"/>
              <w:marBottom w:val="0"/>
              <w:divBdr>
                <w:top w:val="none" w:sz="0" w:space="0" w:color="auto"/>
                <w:left w:val="none" w:sz="0" w:space="0" w:color="auto"/>
                <w:bottom w:val="none" w:sz="0" w:space="0" w:color="auto"/>
                <w:right w:val="none" w:sz="0" w:space="0" w:color="auto"/>
              </w:divBdr>
            </w:div>
          </w:divsChild>
        </w:div>
        <w:div w:id="1849980769">
          <w:marLeft w:val="0"/>
          <w:marRight w:val="0"/>
          <w:marTop w:val="0"/>
          <w:marBottom w:val="0"/>
          <w:divBdr>
            <w:top w:val="none" w:sz="0" w:space="0" w:color="auto"/>
            <w:left w:val="none" w:sz="0" w:space="0" w:color="auto"/>
            <w:bottom w:val="none" w:sz="0" w:space="0" w:color="auto"/>
            <w:right w:val="none" w:sz="0" w:space="0" w:color="auto"/>
          </w:divBdr>
          <w:divsChild>
            <w:div w:id="439957434">
              <w:marLeft w:val="0"/>
              <w:marRight w:val="0"/>
              <w:marTop w:val="0"/>
              <w:marBottom w:val="0"/>
              <w:divBdr>
                <w:top w:val="none" w:sz="0" w:space="0" w:color="auto"/>
                <w:left w:val="none" w:sz="0" w:space="0" w:color="auto"/>
                <w:bottom w:val="none" w:sz="0" w:space="0" w:color="auto"/>
                <w:right w:val="none" w:sz="0" w:space="0" w:color="auto"/>
              </w:divBdr>
            </w:div>
          </w:divsChild>
        </w:div>
        <w:div w:id="1852186166">
          <w:marLeft w:val="0"/>
          <w:marRight w:val="0"/>
          <w:marTop w:val="0"/>
          <w:marBottom w:val="0"/>
          <w:divBdr>
            <w:top w:val="none" w:sz="0" w:space="0" w:color="auto"/>
            <w:left w:val="none" w:sz="0" w:space="0" w:color="auto"/>
            <w:bottom w:val="none" w:sz="0" w:space="0" w:color="auto"/>
            <w:right w:val="none" w:sz="0" w:space="0" w:color="auto"/>
          </w:divBdr>
          <w:divsChild>
            <w:div w:id="1742943569">
              <w:marLeft w:val="0"/>
              <w:marRight w:val="0"/>
              <w:marTop w:val="0"/>
              <w:marBottom w:val="0"/>
              <w:divBdr>
                <w:top w:val="none" w:sz="0" w:space="0" w:color="auto"/>
                <w:left w:val="none" w:sz="0" w:space="0" w:color="auto"/>
                <w:bottom w:val="none" w:sz="0" w:space="0" w:color="auto"/>
                <w:right w:val="none" w:sz="0" w:space="0" w:color="auto"/>
              </w:divBdr>
            </w:div>
          </w:divsChild>
        </w:div>
        <w:div w:id="1861580892">
          <w:marLeft w:val="0"/>
          <w:marRight w:val="0"/>
          <w:marTop w:val="0"/>
          <w:marBottom w:val="0"/>
          <w:divBdr>
            <w:top w:val="none" w:sz="0" w:space="0" w:color="auto"/>
            <w:left w:val="none" w:sz="0" w:space="0" w:color="auto"/>
            <w:bottom w:val="none" w:sz="0" w:space="0" w:color="auto"/>
            <w:right w:val="none" w:sz="0" w:space="0" w:color="auto"/>
          </w:divBdr>
          <w:divsChild>
            <w:div w:id="341469041">
              <w:marLeft w:val="0"/>
              <w:marRight w:val="0"/>
              <w:marTop w:val="0"/>
              <w:marBottom w:val="0"/>
              <w:divBdr>
                <w:top w:val="none" w:sz="0" w:space="0" w:color="auto"/>
                <w:left w:val="none" w:sz="0" w:space="0" w:color="auto"/>
                <w:bottom w:val="none" w:sz="0" w:space="0" w:color="auto"/>
                <w:right w:val="none" w:sz="0" w:space="0" w:color="auto"/>
              </w:divBdr>
            </w:div>
          </w:divsChild>
        </w:div>
        <w:div w:id="1868562692">
          <w:marLeft w:val="0"/>
          <w:marRight w:val="0"/>
          <w:marTop w:val="0"/>
          <w:marBottom w:val="0"/>
          <w:divBdr>
            <w:top w:val="none" w:sz="0" w:space="0" w:color="auto"/>
            <w:left w:val="none" w:sz="0" w:space="0" w:color="auto"/>
            <w:bottom w:val="none" w:sz="0" w:space="0" w:color="auto"/>
            <w:right w:val="none" w:sz="0" w:space="0" w:color="auto"/>
          </w:divBdr>
          <w:divsChild>
            <w:div w:id="1571648283">
              <w:marLeft w:val="0"/>
              <w:marRight w:val="0"/>
              <w:marTop w:val="0"/>
              <w:marBottom w:val="0"/>
              <w:divBdr>
                <w:top w:val="none" w:sz="0" w:space="0" w:color="auto"/>
                <w:left w:val="none" w:sz="0" w:space="0" w:color="auto"/>
                <w:bottom w:val="none" w:sz="0" w:space="0" w:color="auto"/>
                <w:right w:val="none" w:sz="0" w:space="0" w:color="auto"/>
              </w:divBdr>
            </w:div>
          </w:divsChild>
        </w:div>
        <w:div w:id="1881815969">
          <w:marLeft w:val="0"/>
          <w:marRight w:val="0"/>
          <w:marTop w:val="0"/>
          <w:marBottom w:val="0"/>
          <w:divBdr>
            <w:top w:val="none" w:sz="0" w:space="0" w:color="auto"/>
            <w:left w:val="none" w:sz="0" w:space="0" w:color="auto"/>
            <w:bottom w:val="none" w:sz="0" w:space="0" w:color="auto"/>
            <w:right w:val="none" w:sz="0" w:space="0" w:color="auto"/>
          </w:divBdr>
          <w:divsChild>
            <w:div w:id="670060432">
              <w:marLeft w:val="0"/>
              <w:marRight w:val="0"/>
              <w:marTop w:val="0"/>
              <w:marBottom w:val="0"/>
              <w:divBdr>
                <w:top w:val="none" w:sz="0" w:space="0" w:color="auto"/>
                <w:left w:val="none" w:sz="0" w:space="0" w:color="auto"/>
                <w:bottom w:val="none" w:sz="0" w:space="0" w:color="auto"/>
                <w:right w:val="none" w:sz="0" w:space="0" w:color="auto"/>
              </w:divBdr>
            </w:div>
          </w:divsChild>
        </w:div>
        <w:div w:id="1886260268">
          <w:marLeft w:val="0"/>
          <w:marRight w:val="0"/>
          <w:marTop w:val="0"/>
          <w:marBottom w:val="0"/>
          <w:divBdr>
            <w:top w:val="none" w:sz="0" w:space="0" w:color="auto"/>
            <w:left w:val="none" w:sz="0" w:space="0" w:color="auto"/>
            <w:bottom w:val="none" w:sz="0" w:space="0" w:color="auto"/>
            <w:right w:val="none" w:sz="0" w:space="0" w:color="auto"/>
          </w:divBdr>
          <w:divsChild>
            <w:div w:id="1978991556">
              <w:marLeft w:val="0"/>
              <w:marRight w:val="0"/>
              <w:marTop w:val="0"/>
              <w:marBottom w:val="0"/>
              <w:divBdr>
                <w:top w:val="none" w:sz="0" w:space="0" w:color="auto"/>
                <w:left w:val="none" w:sz="0" w:space="0" w:color="auto"/>
                <w:bottom w:val="none" w:sz="0" w:space="0" w:color="auto"/>
                <w:right w:val="none" w:sz="0" w:space="0" w:color="auto"/>
              </w:divBdr>
            </w:div>
          </w:divsChild>
        </w:div>
        <w:div w:id="1889101757">
          <w:marLeft w:val="0"/>
          <w:marRight w:val="0"/>
          <w:marTop w:val="0"/>
          <w:marBottom w:val="0"/>
          <w:divBdr>
            <w:top w:val="none" w:sz="0" w:space="0" w:color="auto"/>
            <w:left w:val="none" w:sz="0" w:space="0" w:color="auto"/>
            <w:bottom w:val="none" w:sz="0" w:space="0" w:color="auto"/>
            <w:right w:val="none" w:sz="0" w:space="0" w:color="auto"/>
          </w:divBdr>
          <w:divsChild>
            <w:div w:id="1653564890">
              <w:marLeft w:val="0"/>
              <w:marRight w:val="0"/>
              <w:marTop w:val="0"/>
              <w:marBottom w:val="0"/>
              <w:divBdr>
                <w:top w:val="none" w:sz="0" w:space="0" w:color="auto"/>
                <w:left w:val="none" w:sz="0" w:space="0" w:color="auto"/>
                <w:bottom w:val="none" w:sz="0" w:space="0" w:color="auto"/>
                <w:right w:val="none" w:sz="0" w:space="0" w:color="auto"/>
              </w:divBdr>
            </w:div>
          </w:divsChild>
        </w:div>
        <w:div w:id="1893343195">
          <w:marLeft w:val="0"/>
          <w:marRight w:val="0"/>
          <w:marTop w:val="0"/>
          <w:marBottom w:val="0"/>
          <w:divBdr>
            <w:top w:val="none" w:sz="0" w:space="0" w:color="auto"/>
            <w:left w:val="none" w:sz="0" w:space="0" w:color="auto"/>
            <w:bottom w:val="none" w:sz="0" w:space="0" w:color="auto"/>
            <w:right w:val="none" w:sz="0" w:space="0" w:color="auto"/>
          </w:divBdr>
          <w:divsChild>
            <w:div w:id="1198540501">
              <w:marLeft w:val="0"/>
              <w:marRight w:val="0"/>
              <w:marTop w:val="0"/>
              <w:marBottom w:val="0"/>
              <w:divBdr>
                <w:top w:val="none" w:sz="0" w:space="0" w:color="auto"/>
                <w:left w:val="none" w:sz="0" w:space="0" w:color="auto"/>
                <w:bottom w:val="none" w:sz="0" w:space="0" w:color="auto"/>
                <w:right w:val="none" w:sz="0" w:space="0" w:color="auto"/>
              </w:divBdr>
            </w:div>
          </w:divsChild>
        </w:div>
        <w:div w:id="1899975125">
          <w:marLeft w:val="0"/>
          <w:marRight w:val="0"/>
          <w:marTop w:val="0"/>
          <w:marBottom w:val="0"/>
          <w:divBdr>
            <w:top w:val="none" w:sz="0" w:space="0" w:color="auto"/>
            <w:left w:val="none" w:sz="0" w:space="0" w:color="auto"/>
            <w:bottom w:val="none" w:sz="0" w:space="0" w:color="auto"/>
            <w:right w:val="none" w:sz="0" w:space="0" w:color="auto"/>
          </w:divBdr>
          <w:divsChild>
            <w:div w:id="1457603081">
              <w:marLeft w:val="0"/>
              <w:marRight w:val="0"/>
              <w:marTop w:val="0"/>
              <w:marBottom w:val="0"/>
              <w:divBdr>
                <w:top w:val="none" w:sz="0" w:space="0" w:color="auto"/>
                <w:left w:val="none" w:sz="0" w:space="0" w:color="auto"/>
                <w:bottom w:val="none" w:sz="0" w:space="0" w:color="auto"/>
                <w:right w:val="none" w:sz="0" w:space="0" w:color="auto"/>
              </w:divBdr>
            </w:div>
          </w:divsChild>
        </w:div>
        <w:div w:id="1907109860">
          <w:marLeft w:val="0"/>
          <w:marRight w:val="0"/>
          <w:marTop w:val="0"/>
          <w:marBottom w:val="0"/>
          <w:divBdr>
            <w:top w:val="none" w:sz="0" w:space="0" w:color="auto"/>
            <w:left w:val="none" w:sz="0" w:space="0" w:color="auto"/>
            <w:bottom w:val="none" w:sz="0" w:space="0" w:color="auto"/>
            <w:right w:val="none" w:sz="0" w:space="0" w:color="auto"/>
          </w:divBdr>
          <w:divsChild>
            <w:div w:id="2084908145">
              <w:marLeft w:val="0"/>
              <w:marRight w:val="0"/>
              <w:marTop w:val="0"/>
              <w:marBottom w:val="0"/>
              <w:divBdr>
                <w:top w:val="none" w:sz="0" w:space="0" w:color="auto"/>
                <w:left w:val="none" w:sz="0" w:space="0" w:color="auto"/>
                <w:bottom w:val="none" w:sz="0" w:space="0" w:color="auto"/>
                <w:right w:val="none" w:sz="0" w:space="0" w:color="auto"/>
              </w:divBdr>
            </w:div>
          </w:divsChild>
        </w:div>
        <w:div w:id="1918854144">
          <w:marLeft w:val="0"/>
          <w:marRight w:val="0"/>
          <w:marTop w:val="0"/>
          <w:marBottom w:val="0"/>
          <w:divBdr>
            <w:top w:val="none" w:sz="0" w:space="0" w:color="auto"/>
            <w:left w:val="none" w:sz="0" w:space="0" w:color="auto"/>
            <w:bottom w:val="none" w:sz="0" w:space="0" w:color="auto"/>
            <w:right w:val="none" w:sz="0" w:space="0" w:color="auto"/>
          </w:divBdr>
          <w:divsChild>
            <w:div w:id="1289779615">
              <w:marLeft w:val="0"/>
              <w:marRight w:val="0"/>
              <w:marTop w:val="0"/>
              <w:marBottom w:val="0"/>
              <w:divBdr>
                <w:top w:val="none" w:sz="0" w:space="0" w:color="auto"/>
                <w:left w:val="none" w:sz="0" w:space="0" w:color="auto"/>
                <w:bottom w:val="none" w:sz="0" w:space="0" w:color="auto"/>
                <w:right w:val="none" w:sz="0" w:space="0" w:color="auto"/>
              </w:divBdr>
            </w:div>
          </w:divsChild>
        </w:div>
        <w:div w:id="1927376694">
          <w:marLeft w:val="0"/>
          <w:marRight w:val="0"/>
          <w:marTop w:val="0"/>
          <w:marBottom w:val="0"/>
          <w:divBdr>
            <w:top w:val="none" w:sz="0" w:space="0" w:color="auto"/>
            <w:left w:val="none" w:sz="0" w:space="0" w:color="auto"/>
            <w:bottom w:val="none" w:sz="0" w:space="0" w:color="auto"/>
            <w:right w:val="none" w:sz="0" w:space="0" w:color="auto"/>
          </w:divBdr>
          <w:divsChild>
            <w:div w:id="1572499730">
              <w:marLeft w:val="0"/>
              <w:marRight w:val="0"/>
              <w:marTop w:val="0"/>
              <w:marBottom w:val="0"/>
              <w:divBdr>
                <w:top w:val="none" w:sz="0" w:space="0" w:color="auto"/>
                <w:left w:val="none" w:sz="0" w:space="0" w:color="auto"/>
                <w:bottom w:val="none" w:sz="0" w:space="0" w:color="auto"/>
                <w:right w:val="none" w:sz="0" w:space="0" w:color="auto"/>
              </w:divBdr>
            </w:div>
          </w:divsChild>
        </w:div>
        <w:div w:id="1927569366">
          <w:marLeft w:val="0"/>
          <w:marRight w:val="0"/>
          <w:marTop w:val="0"/>
          <w:marBottom w:val="0"/>
          <w:divBdr>
            <w:top w:val="none" w:sz="0" w:space="0" w:color="auto"/>
            <w:left w:val="none" w:sz="0" w:space="0" w:color="auto"/>
            <w:bottom w:val="none" w:sz="0" w:space="0" w:color="auto"/>
            <w:right w:val="none" w:sz="0" w:space="0" w:color="auto"/>
          </w:divBdr>
          <w:divsChild>
            <w:div w:id="1775326330">
              <w:marLeft w:val="0"/>
              <w:marRight w:val="0"/>
              <w:marTop w:val="0"/>
              <w:marBottom w:val="0"/>
              <w:divBdr>
                <w:top w:val="none" w:sz="0" w:space="0" w:color="auto"/>
                <w:left w:val="none" w:sz="0" w:space="0" w:color="auto"/>
                <w:bottom w:val="none" w:sz="0" w:space="0" w:color="auto"/>
                <w:right w:val="none" w:sz="0" w:space="0" w:color="auto"/>
              </w:divBdr>
            </w:div>
          </w:divsChild>
        </w:div>
        <w:div w:id="1927570669">
          <w:marLeft w:val="0"/>
          <w:marRight w:val="0"/>
          <w:marTop w:val="0"/>
          <w:marBottom w:val="0"/>
          <w:divBdr>
            <w:top w:val="none" w:sz="0" w:space="0" w:color="auto"/>
            <w:left w:val="none" w:sz="0" w:space="0" w:color="auto"/>
            <w:bottom w:val="none" w:sz="0" w:space="0" w:color="auto"/>
            <w:right w:val="none" w:sz="0" w:space="0" w:color="auto"/>
          </w:divBdr>
          <w:divsChild>
            <w:div w:id="1014380564">
              <w:marLeft w:val="0"/>
              <w:marRight w:val="0"/>
              <w:marTop w:val="0"/>
              <w:marBottom w:val="0"/>
              <w:divBdr>
                <w:top w:val="none" w:sz="0" w:space="0" w:color="auto"/>
                <w:left w:val="none" w:sz="0" w:space="0" w:color="auto"/>
                <w:bottom w:val="none" w:sz="0" w:space="0" w:color="auto"/>
                <w:right w:val="none" w:sz="0" w:space="0" w:color="auto"/>
              </w:divBdr>
            </w:div>
          </w:divsChild>
        </w:div>
        <w:div w:id="1931235657">
          <w:marLeft w:val="0"/>
          <w:marRight w:val="0"/>
          <w:marTop w:val="0"/>
          <w:marBottom w:val="0"/>
          <w:divBdr>
            <w:top w:val="none" w:sz="0" w:space="0" w:color="auto"/>
            <w:left w:val="none" w:sz="0" w:space="0" w:color="auto"/>
            <w:bottom w:val="none" w:sz="0" w:space="0" w:color="auto"/>
            <w:right w:val="none" w:sz="0" w:space="0" w:color="auto"/>
          </w:divBdr>
          <w:divsChild>
            <w:div w:id="674651419">
              <w:marLeft w:val="0"/>
              <w:marRight w:val="0"/>
              <w:marTop w:val="0"/>
              <w:marBottom w:val="0"/>
              <w:divBdr>
                <w:top w:val="none" w:sz="0" w:space="0" w:color="auto"/>
                <w:left w:val="none" w:sz="0" w:space="0" w:color="auto"/>
                <w:bottom w:val="none" w:sz="0" w:space="0" w:color="auto"/>
                <w:right w:val="none" w:sz="0" w:space="0" w:color="auto"/>
              </w:divBdr>
            </w:div>
          </w:divsChild>
        </w:div>
        <w:div w:id="1933734007">
          <w:marLeft w:val="0"/>
          <w:marRight w:val="0"/>
          <w:marTop w:val="0"/>
          <w:marBottom w:val="0"/>
          <w:divBdr>
            <w:top w:val="none" w:sz="0" w:space="0" w:color="auto"/>
            <w:left w:val="none" w:sz="0" w:space="0" w:color="auto"/>
            <w:bottom w:val="none" w:sz="0" w:space="0" w:color="auto"/>
            <w:right w:val="none" w:sz="0" w:space="0" w:color="auto"/>
          </w:divBdr>
          <w:divsChild>
            <w:div w:id="1363632078">
              <w:marLeft w:val="0"/>
              <w:marRight w:val="0"/>
              <w:marTop w:val="0"/>
              <w:marBottom w:val="0"/>
              <w:divBdr>
                <w:top w:val="none" w:sz="0" w:space="0" w:color="auto"/>
                <w:left w:val="none" w:sz="0" w:space="0" w:color="auto"/>
                <w:bottom w:val="none" w:sz="0" w:space="0" w:color="auto"/>
                <w:right w:val="none" w:sz="0" w:space="0" w:color="auto"/>
              </w:divBdr>
            </w:div>
          </w:divsChild>
        </w:div>
        <w:div w:id="1933736424">
          <w:marLeft w:val="0"/>
          <w:marRight w:val="0"/>
          <w:marTop w:val="0"/>
          <w:marBottom w:val="0"/>
          <w:divBdr>
            <w:top w:val="none" w:sz="0" w:space="0" w:color="auto"/>
            <w:left w:val="none" w:sz="0" w:space="0" w:color="auto"/>
            <w:bottom w:val="none" w:sz="0" w:space="0" w:color="auto"/>
            <w:right w:val="none" w:sz="0" w:space="0" w:color="auto"/>
          </w:divBdr>
          <w:divsChild>
            <w:div w:id="1969821614">
              <w:marLeft w:val="0"/>
              <w:marRight w:val="0"/>
              <w:marTop w:val="0"/>
              <w:marBottom w:val="0"/>
              <w:divBdr>
                <w:top w:val="none" w:sz="0" w:space="0" w:color="auto"/>
                <w:left w:val="none" w:sz="0" w:space="0" w:color="auto"/>
                <w:bottom w:val="none" w:sz="0" w:space="0" w:color="auto"/>
                <w:right w:val="none" w:sz="0" w:space="0" w:color="auto"/>
              </w:divBdr>
            </w:div>
          </w:divsChild>
        </w:div>
        <w:div w:id="1934122307">
          <w:marLeft w:val="0"/>
          <w:marRight w:val="0"/>
          <w:marTop w:val="0"/>
          <w:marBottom w:val="0"/>
          <w:divBdr>
            <w:top w:val="none" w:sz="0" w:space="0" w:color="auto"/>
            <w:left w:val="none" w:sz="0" w:space="0" w:color="auto"/>
            <w:bottom w:val="none" w:sz="0" w:space="0" w:color="auto"/>
            <w:right w:val="none" w:sz="0" w:space="0" w:color="auto"/>
          </w:divBdr>
          <w:divsChild>
            <w:div w:id="196747606">
              <w:marLeft w:val="0"/>
              <w:marRight w:val="0"/>
              <w:marTop w:val="0"/>
              <w:marBottom w:val="0"/>
              <w:divBdr>
                <w:top w:val="none" w:sz="0" w:space="0" w:color="auto"/>
                <w:left w:val="none" w:sz="0" w:space="0" w:color="auto"/>
                <w:bottom w:val="none" w:sz="0" w:space="0" w:color="auto"/>
                <w:right w:val="none" w:sz="0" w:space="0" w:color="auto"/>
              </w:divBdr>
            </w:div>
          </w:divsChild>
        </w:div>
        <w:div w:id="1934820832">
          <w:marLeft w:val="0"/>
          <w:marRight w:val="0"/>
          <w:marTop w:val="0"/>
          <w:marBottom w:val="0"/>
          <w:divBdr>
            <w:top w:val="none" w:sz="0" w:space="0" w:color="auto"/>
            <w:left w:val="none" w:sz="0" w:space="0" w:color="auto"/>
            <w:bottom w:val="none" w:sz="0" w:space="0" w:color="auto"/>
            <w:right w:val="none" w:sz="0" w:space="0" w:color="auto"/>
          </w:divBdr>
          <w:divsChild>
            <w:div w:id="32198691">
              <w:marLeft w:val="0"/>
              <w:marRight w:val="0"/>
              <w:marTop w:val="0"/>
              <w:marBottom w:val="0"/>
              <w:divBdr>
                <w:top w:val="none" w:sz="0" w:space="0" w:color="auto"/>
                <w:left w:val="none" w:sz="0" w:space="0" w:color="auto"/>
                <w:bottom w:val="none" w:sz="0" w:space="0" w:color="auto"/>
                <w:right w:val="none" w:sz="0" w:space="0" w:color="auto"/>
              </w:divBdr>
            </w:div>
          </w:divsChild>
        </w:div>
        <w:div w:id="1937713564">
          <w:marLeft w:val="0"/>
          <w:marRight w:val="0"/>
          <w:marTop w:val="0"/>
          <w:marBottom w:val="0"/>
          <w:divBdr>
            <w:top w:val="none" w:sz="0" w:space="0" w:color="auto"/>
            <w:left w:val="none" w:sz="0" w:space="0" w:color="auto"/>
            <w:bottom w:val="none" w:sz="0" w:space="0" w:color="auto"/>
            <w:right w:val="none" w:sz="0" w:space="0" w:color="auto"/>
          </w:divBdr>
          <w:divsChild>
            <w:div w:id="1904488367">
              <w:marLeft w:val="0"/>
              <w:marRight w:val="0"/>
              <w:marTop w:val="0"/>
              <w:marBottom w:val="0"/>
              <w:divBdr>
                <w:top w:val="none" w:sz="0" w:space="0" w:color="auto"/>
                <w:left w:val="none" w:sz="0" w:space="0" w:color="auto"/>
                <w:bottom w:val="none" w:sz="0" w:space="0" w:color="auto"/>
                <w:right w:val="none" w:sz="0" w:space="0" w:color="auto"/>
              </w:divBdr>
            </w:div>
          </w:divsChild>
        </w:div>
        <w:div w:id="1942493922">
          <w:marLeft w:val="0"/>
          <w:marRight w:val="0"/>
          <w:marTop w:val="0"/>
          <w:marBottom w:val="0"/>
          <w:divBdr>
            <w:top w:val="none" w:sz="0" w:space="0" w:color="auto"/>
            <w:left w:val="none" w:sz="0" w:space="0" w:color="auto"/>
            <w:bottom w:val="none" w:sz="0" w:space="0" w:color="auto"/>
            <w:right w:val="none" w:sz="0" w:space="0" w:color="auto"/>
          </w:divBdr>
          <w:divsChild>
            <w:div w:id="1378893371">
              <w:marLeft w:val="0"/>
              <w:marRight w:val="0"/>
              <w:marTop w:val="0"/>
              <w:marBottom w:val="0"/>
              <w:divBdr>
                <w:top w:val="none" w:sz="0" w:space="0" w:color="auto"/>
                <w:left w:val="none" w:sz="0" w:space="0" w:color="auto"/>
                <w:bottom w:val="none" w:sz="0" w:space="0" w:color="auto"/>
                <w:right w:val="none" w:sz="0" w:space="0" w:color="auto"/>
              </w:divBdr>
            </w:div>
          </w:divsChild>
        </w:div>
        <w:div w:id="1943680653">
          <w:marLeft w:val="0"/>
          <w:marRight w:val="0"/>
          <w:marTop w:val="0"/>
          <w:marBottom w:val="0"/>
          <w:divBdr>
            <w:top w:val="none" w:sz="0" w:space="0" w:color="auto"/>
            <w:left w:val="none" w:sz="0" w:space="0" w:color="auto"/>
            <w:bottom w:val="none" w:sz="0" w:space="0" w:color="auto"/>
            <w:right w:val="none" w:sz="0" w:space="0" w:color="auto"/>
          </w:divBdr>
          <w:divsChild>
            <w:div w:id="642588247">
              <w:marLeft w:val="0"/>
              <w:marRight w:val="0"/>
              <w:marTop w:val="0"/>
              <w:marBottom w:val="0"/>
              <w:divBdr>
                <w:top w:val="none" w:sz="0" w:space="0" w:color="auto"/>
                <w:left w:val="none" w:sz="0" w:space="0" w:color="auto"/>
                <w:bottom w:val="none" w:sz="0" w:space="0" w:color="auto"/>
                <w:right w:val="none" w:sz="0" w:space="0" w:color="auto"/>
              </w:divBdr>
            </w:div>
          </w:divsChild>
        </w:div>
        <w:div w:id="1948350789">
          <w:marLeft w:val="0"/>
          <w:marRight w:val="0"/>
          <w:marTop w:val="0"/>
          <w:marBottom w:val="0"/>
          <w:divBdr>
            <w:top w:val="none" w:sz="0" w:space="0" w:color="auto"/>
            <w:left w:val="none" w:sz="0" w:space="0" w:color="auto"/>
            <w:bottom w:val="none" w:sz="0" w:space="0" w:color="auto"/>
            <w:right w:val="none" w:sz="0" w:space="0" w:color="auto"/>
          </w:divBdr>
          <w:divsChild>
            <w:div w:id="1779253282">
              <w:marLeft w:val="0"/>
              <w:marRight w:val="0"/>
              <w:marTop w:val="0"/>
              <w:marBottom w:val="0"/>
              <w:divBdr>
                <w:top w:val="none" w:sz="0" w:space="0" w:color="auto"/>
                <w:left w:val="none" w:sz="0" w:space="0" w:color="auto"/>
                <w:bottom w:val="none" w:sz="0" w:space="0" w:color="auto"/>
                <w:right w:val="none" w:sz="0" w:space="0" w:color="auto"/>
              </w:divBdr>
            </w:div>
          </w:divsChild>
        </w:div>
        <w:div w:id="1949387638">
          <w:marLeft w:val="0"/>
          <w:marRight w:val="0"/>
          <w:marTop w:val="0"/>
          <w:marBottom w:val="0"/>
          <w:divBdr>
            <w:top w:val="none" w:sz="0" w:space="0" w:color="auto"/>
            <w:left w:val="none" w:sz="0" w:space="0" w:color="auto"/>
            <w:bottom w:val="none" w:sz="0" w:space="0" w:color="auto"/>
            <w:right w:val="none" w:sz="0" w:space="0" w:color="auto"/>
          </w:divBdr>
          <w:divsChild>
            <w:div w:id="1969966652">
              <w:marLeft w:val="0"/>
              <w:marRight w:val="0"/>
              <w:marTop w:val="0"/>
              <w:marBottom w:val="0"/>
              <w:divBdr>
                <w:top w:val="none" w:sz="0" w:space="0" w:color="auto"/>
                <w:left w:val="none" w:sz="0" w:space="0" w:color="auto"/>
                <w:bottom w:val="none" w:sz="0" w:space="0" w:color="auto"/>
                <w:right w:val="none" w:sz="0" w:space="0" w:color="auto"/>
              </w:divBdr>
            </w:div>
          </w:divsChild>
        </w:div>
        <w:div w:id="1958485208">
          <w:marLeft w:val="0"/>
          <w:marRight w:val="0"/>
          <w:marTop w:val="0"/>
          <w:marBottom w:val="0"/>
          <w:divBdr>
            <w:top w:val="none" w:sz="0" w:space="0" w:color="auto"/>
            <w:left w:val="none" w:sz="0" w:space="0" w:color="auto"/>
            <w:bottom w:val="none" w:sz="0" w:space="0" w:color="auto"/>
            <w:right w:val="none" w:sz="0" w:space="0" w:color="auto"/>
          </w:divBdr>
          <w:divsChild>
            <w:div w:id="270554651">
              <w:marLeft w:val="0"/>
              <w:marRight w:val="0"/>
              <w:marTop w:val="0"/>
              <w:marBottom w:val="0"/>
              <w:divBdr>
                <w:top w:val="none" w:sz="0" w:space="0" w:color="auto"/>
                <w:left w:val="none" w:sz="0" w:space="0" w:color="auto"/>
                <w:bottom w:val="none" w:sz="0" w:space="0" w:color="auto"/>
                <w:right w:val="none" w:sz="0" w:space="0" w:color="auto"/>
              </w:divBdr>
            </w:div>
          </w:divsChild>
        </w:div>
        <w:div w:id="1966351666">
          <w:marLeft w:val="0"/>
          <w:marRight w:val="0"/>
          <w:marTop w:val="0"/>
          <w:marBottom w:val="0"/>
          <w:divBdr>
            <w:top w:val="none" w:sz="0" w:space="0" w:color="auto"/>
            <w:left w:val="none" w:sz="0" w:space="0" w:color="auto"/>
            <w:bottom w:val="none" w:sz="0" w:space="0" w:color="auto"/>
            <w:right w:val="none" w:sz="0" w:space="0" w:color="auto"/>
          </w:divBdr>
          <w:divsChild>
            <w:div w:id="1783187144">
              <w:marLeft w:val="0"/>
              <w:marRight w:val="0"/>
              <w:marTop w:val="0"/>
              <w:marBottom w:val="0"/>
              <w:divBdr>
                <w:top w:val="none" w:sz="0" w:space="0" w:color="auto"/>
                <w:left w:val="none" w:sz="0" w:space="0" w:color="auto"/>
                <w:bottom w:val="none" w:sz="0" w:space="0" w:color="auto"/>
                <w:right w:val="none" w:sz="0" w:space="0" w:color="auto"/>
              </w:divBdr>
            </w:div>
          </w:divsChild>
        </w:div>
        <w:div w:id="1973123701">
          <w:marLeft w:val="0"/>
          <w:marRight w:val="0"/>
          <w:marTop w:val="0"/>
          <w:marBottom w:val="0"/>
          <w:divBdr>
            <w:top w:val="none" w:sz="0" w:space="0" w:color="auto"/>
            <w:left w:val="none" w:sz="0" w:space="0" w:color="auto"/>
            <w:bottom w:val="none" w:sz="0" w:space="0" w:color="auto"/>
            <w:right w:val="none" w:sz="0" w:space="0" w:color="auto"/>
          </w:divBdr>
          <w:divsChild>
            <w:div w:id="930044504">
              <w:marLeft w:val="0"/>
              <w:marRight w:val="0"/>
              <w:marTop w:val="0"/>
              <w:marBottom w:val="0"/>
              <w:divBdr>
                <w:top w:val="none" w:sz="0" w:space="0" w:color="auto"/>
                <w:left w:val="none" w:sz="0" w:space="0" w:color="auto"/>
                <w:bottom w:val="none" w:sz="0" w:space="0" w:color="auto"/>
                <w:right w:val="none" w:sz="0" w:space="0" w:color="auto"/>
              </w:divBdr>
            </w:div>
          </w:divsChild>
        </w:div>
        <w:div w:id="1975136821">
          <w:marLeft w:val="0"/>
          <w:marRight w:val="0"/>
          <w:marTop w:val="0"/>
          <w:marBottom w:val="0"/>
          <w:divBdr>
            <w:top w:val="none" w:sz="0" w:space="0" w:color="auto"/>
            <w:left w:val="none" w:sz="0" w:space="0" w:color="auto"/>
            <w:bottom w:val="none" w:sz="0" w:space="0" w:color="auto"/>
            <w:right w:val="none" w:sz="0" w:space="0" w:color="auto"/>
          </w:divBdr>
          <w:divsChild>
            <w:div w:id="597834265">
              <w:marLeft w:val="0"/>
              <w:marRight w:val="0"/>
              <w:marTop w:val="0"/>
              <w:marBottom w:val="0"/>
              <w:divBdr>
                <w:top w:val="none" w:sz="0" w:space="0" w:color="auto"/>
                <w:left w:val="none" w:sz="0" w:space="0" w:color="auto"/>
                <w:bottom w:val="none" w:sz="0" w:space="0" w:color="auto"/>
                <w:right w:val="none" w:sz="0" w:space="0" w:color="auto"/>
              </w:divBdr>
            </w:div>
          </w:divsChild>
        </w:div>
        <w:div w:id="1980381999">
          <w:marLeft w:val="0"/>
          <w:marRight w:val="0"/>
          <w:marTop w:val="0"/>
          <w:marBottom w:val="0"/>
          <w:divBdr>
            <w:top w:val="none" w:sz="0" w:space="0" w:color="auto"/>
            <w:left w:val="none" w:sz="0" w:space="0" w:color="auto"/>
            <w:bottom w:val="none" w:sz="0" w:space="0" w:color="auto"/>
            <w:right w:val="none" w:sz="0" w:space="0" w:color="auto"/>
          </w:divBdr>
          <w:divsChild>
            <w:div w:id="582884160">
              <w:marLeft w:val="0"/>
              <w:marRight w:val="0"/>
              <w:marTop w:val="0"/>
              <w:marBottom w:val="0"/>
              <w:divBdr>
                <w:top w:val="none" w:sz="0" w:space="0" w:color="auto"/>
                <w:left w:val="none" w:sz="0" w:space="0" w:color="auto"/>
                <w:bottom w:val="none" w:sz="0" w:space="0" w:color="auto"/>
                <w:right w:val="none" w:sz="0" w:space="0" w:color="auto"/>
              </w:divBdr>
            </w:div>
          </w:divsChild>
        </w:div>
        <w:div w:id="1983343133">
          <w:marLeft w:val="0"/>
          <w:marRight w:val="0"/>
          <w:marTop w:val="0"/>
          <w:marBottom w:val="0"/>
          <w:divBdr>
            <w:top w:val="none" w:sz="0" w:space="0" w:color="auto"/>
            <w:left w:val="none" w:sz="0" w:space="0" w:color="auto"/>
            <w:bottom w:val="none" w:sz="0" w:space="0" w:color="auto"/>
            <w:right w:val="none" w:sz="0" w:space="0" w:color="auto"/>
          </w:divBdr>
          <w:divsChild>
            <w:div w:id="1226180054">
              <w:marLeft w:val="0"/>
              <w:marRight w:val="0"/>
              <w:marTop w:val="0"/>
              <w:marBottom w:val="0"/>
              <w:divBdr>
                <w:top w:val="none" w:sz="0" w:space="0" w:color="auto"/>
                <w:left w:val="none" w:sz="0" w:space="0" w:color="auto"/>
                <w:bottom w:val="none" w:sz="0" w:space="0" w:color="auto"/>
                <w:right w:val="none" w:sz="0" w:space="0" w:color="auto"/>
              </w:divBdr>
            </w:div>
          </w:divsChild>
        </w:div>
        <w:div w:id="1999066564">
          <w:marLeft w:val="0"/>
          <w:marRight w:val="0"/>
          <w:marTop w:val="0"/>
          <w:marBottom w:val="0"/>
          <w:divBdr>
            <w:top w:val="none" w:sz="0" w:space="0" w:color="auto"/>
            <w:left w:val="none" w:sz="0" w:space="0" w:color="auto"/>
            <w:bottom w:val="none" w:sz="0" w:space="0" w:color="auto"/>
            <w:right w:val="none" w:sz="0" w:space="0" w:color="auto"/>
          </w:divBdr>
          <w:divsChild>
            <w:div w:id="923686798">
              <w:marLeft w:val="0"/>
              <w:marRight w:val="0"/>
              <w:marTop w:val="0"/>
              <w:marBottom w:val="0"/>
              <w:divBdr>
                <w:top w:val="none" w:sz="0" w:space="0" w:color="auto"/>
                <w:left w:val="none" w:sz="0" w:space="0" w:color="auto"/>
                <w:bottom w:val="none" w:sz="0" w:space="0" w:color="auto"/>
                <w:right w:val="none" w:sz="0" w:space="0" w:color="auto"/>
              </w:divBdr>
            </w:div>
          </w:divsChild>
        </w:div>
        <w:div w:id="2003122340">
          <w:marLeft w:val="0"/>
          <w:marRight w:val="0"/>
          <w:marTop w:val="0"/>
          <w:marBottom w:val="0"/>
          <w:divBdr>
            <w:top w:val="none" w:sz="0" w:space="0" w:color="auto"/>
            <w:left w:val="none" w:sz="0" w:space="0" w:color="auto"/>
            <w:bottom w:val="none" w:sz="0" w:space="0" w:color="auto"/>
            <w:right w:val="none" w:sz="0" w:space="0" w:color="auto"/>
          </w:divBdr>
          <w:divsChild>
            <w:div w:id="92089160">
              <w:marLeft w:val="0"/>
              <w:marRight w:val="0"/>
              <w:marTop w:val="0"/>
              <w:marBottom w:val="0"/>
              <w:divBdr>
                <w:top w:val="none" w:sz="0" w:space="0" w:color="auto"/>
                <w:left w:val="none" w:sz="0" w:space="0" w:color="auto"/>
                <w:bottom w:val="none" w:sz="0" w:space="0" w:color="auto"/>
                <w:right w:val="none" w:sz="0" w:space="0" w:color="auto"/>
              </w:divBdr>
            </w:div>
          </w:divsChild>
        </w:div>
        <w:div w:id="2004357208">
          <w:marLeft w:val="0"/>
          <w:marRight w:val="0"/>
          <w:marTop w:val="0"/>
          <w:marBottom w:val="0"/>
          <w:divBdr>
            <w:top w:val="none" w:sz="0" w:space="0" w:color="auto"/>
            <w:left w:val="none" w:sz="0" w:space="0" w:color="auto"/>
            <w:bottom w:val="none" w:sz="0" w:space="0" w:color="auto"/>
            <w:right w:val="none" w:sz="0" w:space="0" w:color="auto"/>
          </w:divBdr>
          <w:divsChild>
            <w:div w:id="1805152077">
              <w:marLeft w:val="0"/>
              <w:marRight w:val="0"/>
              <w:marTop w:val="0"/>
              <w:marBottom w:val="0"/>
              <w:divBdr>
                <w:top w:val="none" w:sz="0" w:space="0" w:color="auto"/>
                <w:left w:val="none" w:sz="0" w:space="0" w:color="auto"/>
                <w:bottom w:val="none" w:sz="0" w:space="0" w:color="auto"/>
                <w:right w:val="none" w:sz="0" w:space="0" w:color="auto"/>
              </w:divBdr>
            </w:div>
          </w:divsChild>
        </w:div>
        <w:div w:id="2006591117">
          <w:marLeft w:val="0"/>
          <w:marRight w:val="0"/>
          <w:marTop w:val="0"/>
          <w:marBottom w:val="0"/>
          <w:divBdr>
            <w:top w:val="none" w:sz="0" w:space="0" w:color="auto"/>
            <w:left w:val="none" w:sz="0" w:space="0" w:color="auto"/>
            <w:bottom w:val="none" w:sz="0" w:space="0" w:color="auto"/>
            <w:right w:val="none" w:sz="0" w:space="0" w:color="auto"/>
          </w:divBdr>
          <w:divsChild>
            <w:div w:id="1248805002">
              <w:marLeft w:val="0"/>
              <w:marRight w:val="0"/>
              <w:marTop w:val="0"/>
              <w:marBottom w:val="0"/>
              <w:divBdr>
                <w:top w:val="none" w:sz="0" w:space="0" w:color="auto"/>
                <w:left w:val="none" w:sz="0" w:space="0" w:color="auto"/>
                <w:bottom w:val="none" w:sz="0" w:space="0" w:color="auto"/>
                <w:right w:val="none" w:sz="0" w:space="0" w:color="auto"/>
              </w:divBdr>
            </w:div>
          </w:divsChild>
        </w:div>
        <w:div w:id="2012874627">
          <w:marLeft w:val="0"/>
          <w:marRight w:val="0"/>
          <w:marTop w:val="0"/>
          <w:marBottom w:val="0"/>
          <w:divBdr>
            <w:top w:val="none" w:sz="0" w:space="0" w:color="auto"/>
            <w:left w:val="none" w:sz="0" w:space="0" w:color="auto"/>
            <w:bottom w:val="none" w:sz="0" w:space="0" w:color="auto"/>
            <w:right w:val="none" w:sz="0" w:space="0" w:color="auto"/>
          </w:divBdr>
          <w:divsChild>
            <w:div w:id="321586256">
              <w:marLeft w:val="0"/>
              <w:marRight w:val="0"/>
              <w:marTop w:val="0"/>
              <w:marBottom w:val="0"/>
              <w:divBdr>
                <w:top w:val="none" w:sz="0" w:space="0" w:color="auto"/>
                <w:left w:val="none" w:sz="0" w:space="0" w:color="auto"/>
                <w:bottom w:val="none" w:sz="0" w:space="0" w:color="auto"/>
                <w:right w:val="none" w:sz="0" w:space="0" w:color="auto"/>
              </w:divBdr>
            </w:div>
          </w:divsChild>
        </w:div>
        <w:div w:id="2021275628">
          <w:marLeft w:val="0"/>
          <w:marRight w:val="0"/>
          <w:marTop w:val="0"/>
          <w:marBottom w:val="0"/>
          <w:divBdr>
            <w:top w:val="none" w:sz="0" w:space="0" w:color="auto"/>
            <w:left w:val="none" w:sz="0" w:space="0" w:color="auto"/>
            <w:bottom w:val="none" w:sz="0" w:space="0" w:color="auto"/>
            <w:right w:val="none" w:sz="0" w:space="0" w:color="auto"/>
          </w:divBdr>
          <w:divsChild>
            <w:div w:id="1031611307">
              <w:marLeft w:val="0"/>
              <w:marRight w:val="0"/>
              <w:marTop w:val="0"/>
              <w:marBottom w:val="0"/>
              <w:divBdr>
                <w:top w:val="none" w:sz="0" w:space="0" w:color="auto"/>
                <w:left w:val="none" w:sz="0" w:space="0" w:color="auto"/>
                <w:bottom w:val="none" w:sz="0" w:space="0" w:color="auto"/>
                <w:right w:val="none" w:sz="0" w:space="0" w:color="auto"/>
              </w:divBdr>
            </w:div>
          </w:divsChild>
        </w:div>
        <w:div w:id="2028024232">
          <w:marLeft w:val="0"/>
          <w:marRight w:val="0"/>
          <w:marTop w:val="0"/>
          <w:marBottom w:val="0"/>
          <w:divBdr>
            <w:top w:val="none" w:sz="0" w:space="0" w:color="auto"/>
            <w:left w:val="none" w:sz="0" w:space="0" w:color="auto"/>
            <w:bottom w:val="none" w:sz="0" w:space="0" w:color="auto"/>
            <w:right w:val="none" w:sz="0" w:space="0" w:color="auto"/>
          </w:divBdr>
          <w:divsChild>
            <w:div w:id="1518469774">
              <w:marLeft w:val="0"/>
              <w:marRight w:val="0"/>
              <w:marTop w:val="0"/>
              <w:marBottom w:val="0"/>
              <w:divBdr>
                <w:top w:val="none" w:sz="0" w:space="0" w:color="auto"/>
                <w:left w:val="none" w:sz="0" w:space="0" w:color="auto"/>
                <w:bottom w:val="none" w:sz="0" w:space="0" w:color="auto"/>
                <w:right w:val="none" w:sz="0" w:space="0" w:color="auto"/>
              </w:divBdr>
            </w:div>
          </w:divsChild>
        </w:div>
        <w:div w:id="2044087058">
          <w:marLeft w:val="0"/>
          <w:marRight w:val="0"/>
          <w:marTop w:val="0"/>
          <w:marBottom w:val="0"/>
          <w:divBdr>
            <w:top w:val="none" w:sz="0" w:space="0" w:color="auto"/>
            <w:left w:val="none" w:sz="0" w:space="0" w:color="auto"/>
            <w:bottom w:val="none" w:sz="0" w:space="0" w:color="auto"/>
            <w:right w:val="none" w:sz="0" w:space="0" w:color="auto"/>
          </w:divBdr>
          <w:divsChild>
            <w:div w:id="344135952">
              <w:marLeft w:val="0"/>
              <w:marRight w:val="0"/>
              <w:marTop w:val="0"/>
              <w:marBottom w:val="0"/>
              <w:divBdr>
                <w:top w:val="none" w:sz="0" w:space="0" w:color="auto"/>
                <w:left w:val="none" w:sz="0" w:space="0" w:color="auto"/>
                <w:bottom w:val="none" w:sz="0" w:space="0" w:color="auto"/>
                <w:right w:val="none" w:sz="0" w:space="0" w:color="auto"/>
              </w:divBdr>
            </w:div>
          </w:divsChild>
        </w:div>
        <w:div w:id="2051998264">
          <w:marLeft w:val="0"/>
          <w:marRight w:val="0"/>
          <w:marTop w:val="0"/>
          <w:marBottom w:val="0"/>
          <w:divBdr>
            <w:top w:val="none" w:sz="0" w:space="0" w:color="auto"/>
            <w:left w:val="none" w:sz="0" w:space="0" w:color="auto"/>
            <w:bottom w:val="none" w:sz="0" w:space="0" w:color="auto"/>
            <w:right w:val="none" w:sz="0" w:space="0" w:color="auto"/>
          </w:divBdr>
          <w:divsChild>
            <w:div w:id="1649163468">
              <w:marLeft w:val="0"/>
              <w:marRight w:val="0"/>
              <w:marTop w:val="0"/>
              <w:marBottom w:val="0"/>
              <w:divBdr>
                <w:top w:val="none" w:sz="0" w:space="0" w:color="auto"/>
                <w:left w:val="none" w:sz="0" w:space="0" w:color="auto"/>
                <w:bottom w:val="none" w:sz="0" w:space="0" w:color="auto"/>
                <w:right w:val="none" w:sz="0" w:space="0" w:color="auto"/>
              </w:divBdr>
            </w:div>
          </w:divsChild>
        </w:div>
        <w:div w:id="2064711801">
          <w:marLeft w:val="0"/>
          <w:marRight w:val="0"/>
          <w:marTop w:val="0"/>
          <w:marBottom w:val="0"/>
          <w:divBdr>
            <w:top w:val="none" w:sz="0" w:space="0" w:color="auto"/>
            <w:left w:val="none" w:sz="0" w:space="0" w:color="auto"/>
            <w:bottom w:val="none" w:sz="0" w:space="0" w:color="auto"/>
            <w:right w:val="none" w:sz="0" w:space="0" w:color="auto"/>
          </w:divBdr>
          <w:divsChild>
            <w:div w:id="420219057">
              <w:marLeft w:val="0"/>
              <w:marRight w:val="0"/>
              <w:marTop w:val="0"/>
              <w:marBottom w:val="0"/>
              <w:divBdr>
                <w:top w:val="none" w:sz="0" w:space="0" w:color="auto"/>
                <w:left w:val="none" w:sz="0" w:space="0" w:color="auto"/>
                <w:bottom w:val="none" w:sz="0" w:space="0" w:color="auto"/>
                <w:right w:val="none" w:sz="0" w:space="0" w:color="auto"/>
              </w:divBdr>
            </w:div>
          </w:divsChild>
        </w:div>
        <w:div w:id="2071345419">
          <w:marLeft w:val="0"/>
          <w:marRight w:val="0"/>
          <w:marTop w:val="0"/>
          <w:marBottom w:val="0"/>
          <w:divBdr>
            <w:top w:val="none" w:sz="0" w:space="0" w:color="auto"/>
            <w:left w:val="none" w:sz="0" w:space="0" w:color="auto"/>
            <w:bottom w:val="none" w:sz="0" w:space="0" w:color="auto"/>
            <w:right w:val="none" w:sz="0" w:space="0" w:color="auto"/>
          </w:divBdr>
          <w:divsChild>
            <w:div w:id="189338241">
              <w:marLeft w:val="0"/>
              <w:marRight w:val="0"/>
              <w:marTop w:val="0"/>
              <w:marBottom w:val="0"/>
              <w:divBdr>
                <w:top w:val="none" w:sz="0" w:space="0" w:color="auto"/>
                <w:left w:val="none" w:sz="0" w:space="0" w:color="auto"/>
                <w:bottom w:val="none" w:sz="0" w:space="0" w:color="auto"/>
                <w:right w:val="none" w:sz="0" w:space="0" w:color="auto"/>
              </w:divBdr>
            </w:div>
          </w:divsChild>
        </w:div>
        <w:div w:id="2077123274">
          <w:marLeft w:val="0"/>
          <w:marRight w:val="0"/>
          <w:marTop w:val="0"/>
          <w:marBottom w:val="0"/>
          <w:divBdr>
            <w:top w:val="none" w:sz="0" w:space="0" w:color="auto"/>
            <w:left w:val="none" w:sz="0" w:space="0" w:color="auto"/>
            <w:bottom w:val="none" w:sz="0" w:space="0" w:color="auto"/>
            <w:right w:val="none" w:sz="0" w:space="0" w:color="auto"/>
          </w:divBdr>
          <w:divsChild>
            <w:div w:id="1493066695">
              <w:marLeft w:val="0"/>
              <w:marRight w:val="0"/>
              <w:marTop w:val="0"/>
              <w:marBottom w:val="0"/>
              <w:divBdr>
                <w:top w:val="none" w:sz="0" w:space="0" w:color="auto"/>
                <w:left w:val="none" w:sz="0" w:space="0" w:color="auto"/>
                <w:bottom w:val="none" w:sz="0" w:space="0" w:color="auto"/>
                <w:right w:val="none" w:sz="0" w:space="0" w:color="auto"/>
              </w:divBdr>
            </w:div>
          </w:divsChild>
        </w:div>
        <w:div w:id="2081169297">
          <w:marLeft w:val="0"/>
          <w:marRight w:val="0"/>
          <w:marTop w:val="0"/>
          <w:marBottom w:val="0"/>
          <w:divBdr>
            <w:top w:val="none" w:sz="0" w:space="0" w:color="auto"/>
            <w:left w:val="none" w:sz="0" w:space="0" w:color="auto"/>
            <w:bottom w:val="none" w:sz="0" w:space="0" w:color="auto"/>
            <w:right w:val="none" w:sz="0" w:space="0" w:color="auto"/>
          </w:divBdr>
          <w:divsChild>
            <w:div w:id="538475942">
              <w:marLeft w:val="0"/>
              <w:marRight w:val="0"/>
              <w:marTop w:val="0"/>
              <w:marBottom w:val="0"/>
              <w:divBdr>
                <w:top w:val="none" w:sz="0" w:space="0" w:color="auto"/>
                <w:left w:val="none" w:sz="0" w:space="0" w:color="auto"/>
                <w:bottom w:val="none" w:sz="0" w:space="0" w:color="auto"/>
                <w:right w:val="none" w:sz="0" w:space="0" w:color="auto"/>
              </w:divBdr>
            </w:div>
          </w:divsChild>
        </w:div>
        <w:div w:id="2081711197">
          <w:marLeft w:val="0"/>
          <w:marRight w:val="0"/>
          <w:marTop w:val="0"/>
          <w:marBottom w:val="0"/>
          <w:divBdr>
            <w:top w:val="none" w:sz="0" w:space="0" w:color="auto"/>
            <w:left w:val="none" w:sz="0" w:space="0" w:color="auto"/>
            <w:bottom w:val="none" w:sz="0" w:space="0" w:color="auto"/>
            <w:right w:val="none" w:sz="0" w:space="0" w:color="auto"/>
          </w:divBdr>
          <w:divsChild>
            <w:div w:id="2130195813">
              <w:marLeft w:val="0"/>
              <w:marRight w:val="0"/>
              <w:marTop w:val="0"/>
              <w:marBottom w:val="0"/>
              <w:divBdr>
                <w:top w:val="none" w:sz="0" w:space="0" w:color="auto"/>
                <w:left w:val="none" w:sz="0" w:space="0" w:color="auto"/>
                <w:bottom w:val="none" w:sz="0" w:space="0" w:color="auto"/>
                <w:right w:val="none" w:sz="0" w:space="0" w:color="auto"/>
              </w:divBdr>
            </w:div>
          </w:divsChild>
        </w:div>
        <w:div w:id="2089036049">
          <w:marLeft w:val="0"/>
          <w:marRight w:val="0"/>
          <w:marTop w:val="0"/>
          <w:marBottom w:val="0"/>
          <w:divBdr>
            <w:top w:val="none" w:sz="0" w:space="0" w:color="auto"/>
            <w:left w:val="none" w:sz="0" w:space="0" w:color="auto"/>
            <w:bottom w:val="none" w:sz="0" w:space="0" w:color="auto"/>
            <w:right w:val="none" w:sz="0" w:space="0" w:color="auto"/>
          </w:divBdr>
          <w:divsChild>
            <w:div w:id="1411004813">
              <w:marLeft w:val="0"/>
              <w:marRight w:val="0"/>
              <w:marTop w:val="0"/>
              <w:marBottom w:val="0"/>
              <w:divBdr>
                <w:top w:val="none" w:sz="0" w:space="0" w:color="auto"/>
                <w:left w:val="none" w:sz="0" w:space="0" w:color="auto"/>
                <w:bottom w:val="none" w:sz="0" w:space="0" w:color="auto"/>
                <w:right w:val="none" w:sz="0" w:space="0" w:color="auto"/>
              </w:divBdr>
            </w:div>
          </w:divsChild>
        </w:div>
        <w:div w:id="2090151599">
          <w:marLeft w:val="0"/>
          <w:marRight w:val="0"/>
          <w:marTop w:val="0"/>
          <w:marBottom w:val="0"/>
          <w:divBdr>
            <w:top w:val="none" w:sz="0" w:space="0" w:color="auto"/>
            <w:left w:val="none" w:sz="0" w:space="0" w:color="auto"/>
            <w:bottom w:val="none" w:sz="0" w:space="0" w:color="auto"/>
            <w:right w:val="none" w:sz="0" w:space="0" w:color="auto"/>
          </w:divBdr>
          <w:divsChild>
            <w:div w:id="738206999">
              <w:marLeft w:val="0"/>
              <w:marRight w:val="0"/>
              <w:marTop w:val="0"/>
              <w:marBottom w:val="0"/>
              <w:divBdr>
                <w:top w:val="none" w:sz="0" w:space="0" w:color="auto"/>
                <w:left w:val="none" w:sz="0" w:space="0" w:color="auto"/>
                <w:bottom w:val="none" w:sz="0" w:space="0" w:color="auto"/>
                <w:right w:val="none" w:sz="0" w:space="0" w:color="auto"/>
              </w:divBdr>
            </w:div>
          </w:divsChild>
        </w:div>
        <w:div w:id="2093432566">
          <w:marLeft w:val="0"/>
          <w:marRight w:val="0"/>
          <w:marTop w:val="0"/>
          <w:marBottom w:val="0"/>
          <w:divBdr>
            <w:top w:val="none" w:sz="0" w:space="0" w:color="auto"/>
            <w:left w:val="none" w:sz="0" w:space="0" w:color="auto"/>
            <w:bottom w:val="none" w:sz="0" w:space="0" w:color="auto"/>
            <w:right w:val="none" w:sz="0" w:space="0" w:color="auto"/>
          </w:divBdr>
          <w:divsChild>
            <w:div w:id="145516678">
              <w:marLeft w:val="0"/>
              <w:marRight w:val="0"/>
              <w:marTop w:val="0"/>
              <w:marBottom w:val="0"/>
              <w:divBdr>
                <w:top w:val="none" w:sz="0" w:space="0" w:color="auto"/>
                <w:left w:val="none" w:sz="0" w:space="0" w:color="auto"/>
                <w:bottom w:val="none" w:sz="0" w:space="0" w:color="auto"/>
                <w:right w:val="none" w:sz="0" w:space="0" w:color="auto"/>
              </w:divBdr>
            </w:div>
          </w:divsChild>
        </w:div>
        <w:div w:id="2100709711">
          <w:marLeft w:val="0"/>
          <w:marRight w:val="0"/>
          <w:marTop w:val="0"/>
          <w:marBottom w:val="0"/>
          <w:divBdr>
            <w:top w:val="none" w:sz="0" w:space="0" w:color="auto"/>
            <w:left w:val="none" w:sz="0" w:space="0" w:color="auto"/>
            <w:bottom w:val="none" w:sz="0" w:space="0" w:color="auto"/>
            <w:right w:val="none" w:sz="0" w:space="0" w:color="auto"/>
          </w:divBdr>
          <w:divsChild>
            <w:div w:id="1574075764">
              <w:marLeft w:val="0"/>
              <w:marRight w:val="0"/>
              <w:marTop w:val="0"/>
              <w:marBottom w:val="0"/>
              <w:divBdr>
                <w:top w:val="none" w:sz="0" w:space="0" w:color="auto"/>
                <w:left w:val="none" w:sz="0" w:space="0" w:color="auto"/>
                <w:bottom w:val="none" w:sz="0" w:space="0" w:color="auto"/>
                <w:right w:val="none" w:sz="0" w:space="0" w:color="auto"/>
              </w:divBdr>
            </w:div>
          </w:divsChild>
        </w:div>
        <w:div w:id="2102330790">
          <w:marLeft w:val="0"/>
          <w:marRight w:val="0"/>
          <w:marTop w:val="0"/>
          <w:marBottom w:val="0"/>
          <w:divBdr>
            <w:top w:val="none" w:sz="0" w:space="0" w:color="auto"/>
            <w:left w:val="none" w:sz="0" w:space="0" w:color="auto"/>
            <w:bottom w:val="none" w:sz="0" w:space="0" w:color="auto"/>
            <w:right w:val="none" w:sz="0" w:space="0" w:color="auto"/>
          </w:divBdr>
          <w:divsChild>
            <w:div w:id="885677813">
              <w:marLeft w:val="0"/>
              <w:marRight w:val="0"/>
              <w:marTop w:val="0"/>
              <w:marBottom w:val="0"/>
              <w:divBdr>
                <w:top w:val="none" w:sz="0" w:space="0" w:color="auto"/>
                <w:left w:val="none" w:sz="0" w:space="0" w:color="auto"/>
                <w:bottom w:val="none" w:sz="0" w:space="0" w:color="auto"/>
                <w:right w:val="none" w:sz="0" w:space="0" w:color="auto"/>
              </w:divBdr>
            </w:div>
          </w:divsChild>
        </w:div>
        <w:div w:id="2110009045">
          <w:marLeft w:val="0"/>
          <w:marRight w:val="0"/>
          <w:marTop w:val="0"/>
          <w:marBottom w:val="0"/>
          <w:divBdr>
            <w:top w:val="none" w:sz="0" w:space="0" w:color="auto"/>
            <w:left w:val="none" w:sz="0" w:space="0" w:color="auto"/>
            <w:bottom w:val="none" w:sz="0" w:space="0" w:color="auto"/>
            <w:right w:val="none" w:sz="0" w:space="0" w:color="auto"/>
          </w:divBdr>
          <w:divsChild>
            <w:div w:id="1623686790">
              <w:marLeft w:val="0"/>
              <w:marRight w:val="0"/>
              <w:marTop w:val="0"/>
              <w:marBottom w:val="0"/>
              <w:divBdr>
                <w:top w:val="none" w:sz="0" w:space="0" w:color="auto"/>
                <w:left w:val="none" w:sz="0" w:space="0" w:color="auto"/>
                <w:bottom w:val="none" w:sz="0" w:space="0" w:color="auto"/>
                <w:right w:val="none" w:sz="0" w:space="0" w:color="auto"/>
              </w:divBdr>
            </w:div>
          </w:divsChild>
        </w:div>
        <w:div w:id="2110542661">
          <w:marLeft w:val="0"/>
          <w:marRight w:val="0"/>
          <w:marTop w:val="0"/>
          <w:marBottom w:val="0"/>
          <w:divBdr>
            <w:top w:val="none" w:sz="0" w:space="0" w:color="auto"/>
            <w:left w:val="none" w:sz="0" w:space="0" w:color="auto"/>
            <w:bottom w:val="none" w:sz="0" w:space="0" w:color="auto"/>
            <w:right w:val="none" w:sz="0" w:space="0" w:color="auto"/>
          </w:divBdr>
          <w:divsChild>
            <w:div w:id="1656758648">
              <w:marLeft w:val="0"/>
              <w:marRight w:val="0"/>
              <w:marTop w:val="0"/>
              <w:marBottom w:val="0"/>
              <w:divBdr>
                <w:top w:val="none" w:sz="0" w:space="0" w:color="auto"/>
                <w:left w:val="none" w:sz="0" w:space="0" w:color="auto"/>
                <w:bottom w:val="none" w:sz="0" w:space="0" w:color="auto"/>
                <w:right w:val="none" w:sz="0" w:space="0" w:color="auto"/>
              </w:divBdr>
            </w:div>
          </w:divsChild>
        </w:div>
        <w:div w:id="2120485343">
          <w:marLeft w:val="0"/>
          <w:marRight w:val="0"/>
          <w:marTop w:val="0"/>
          <w:marBottom w:val="0"/>
          <w:divBdr>
            <w:top w:val="none" w:sz="0" w:space="0" w:color="auto"/>
            <w:left w:val="none" w:sz="0" w:space="0" w:color="auto"/>
            <w:bottom w:val="none" w:sz="0" w:space="0" w:color="auto"/>
            <w:right w:val="none" w:sz="0" w:space="0" w:color="auto"/>
          </w:divBdr>
          <w:divsChild>
            <w:div w:id="56242593">
              <w:marLeft w:val="0"/>
              <w:marRight w:val="0"/>
              <w:marTop w:val="0"/>
              <w:marBottom w:val="0"/>
              <w:divBdr>
                <w:top w:val="none" w:sz="0" w:space="0" w:color="auto"/>
                <w:left w:val="none" w:sz="0" w:space="0" w:color="auto"/>
                <w:bottom w:val="none" w:sz="0" w:space="0" w:color="auto"/>
                <w:right w:val="none" w:sz="0" w:space="0" w:color="auto"/>
              </w:divBdr>
            </w:div>
          </w:divsChild>
        </w:div>
        <w:div w:id="2120836055">
          <w:marLeft w:val="0"/>
          <w:marRight w:val="0"/>
          <w:marTop w:val="0"/>
          <w:marBottom w:val="0"/>
          <w:divBdr>
            <w:top w:val="none" w:sz="0" w:space="0" w:color="auto"/>
            <w:left w:val="none" w:sz="0" w:space="0" w:color="auto"/>
            <w:bottom w:val="none" w:sz="0" w:space="0" w:color="auto"/>
            <w:right w:val="none" w:sz="0" w:space="0" w:color="auto"/>
          </w:divBdr>
          <w:divsChild>
            <w:div w:id="378012592">
              <w:marLeft w:val="0"/>
              <w:marRight w:val="0"/>
              <w:marTop w:val="0"/>
              <w:marBottom w:val="0"/>
              <w:divBdr>
                <w:top w:val="none" w:sz="0" w:space="0" w:color="auto"/>
                <w:left w:val="none" w:sz="0" w:space="0" w:color="auto"/>
                <w:bottom w:val="none" w:sz="0" w:space="0" w:color="auto"/>
                <w:right w:val="none" w:sz="0" w:space="0" w:color="auto"/>
              </w:divBdr>
            </w:div>
          </w:divsChild>
        </w:div>
        <w:div w:id="2130272805">
          <w:marLeft w:val="0"/>
          <w:marRight w:val="0"/>
          <w:marTop w:val="0"/>
          <w:marBottom w:val="0"/>
          <w:divBdr>
            <w:top w:val="none" w:sz="0" w:space="0" w:color="auto"/>
            <w:left w:val="none" w:sz="0" w:space="0" w:color="auto"/>
            <w:bottom w:val="none" w:sz="0" w:space="0" w:color="auto"/>
            <w:right w:val="none" w:sz="0" w:space="0" w:color="auto"/>
          </w:divBdr>
          <w:divsChild>
            <w:div w:id="289869468">
              <w:marLeft w:val="0"/>
              <w:marRight w:val="0"/>
              <w:marTop w:val="0"/>
              <w:marBottom w:val="0"/>
              <w:divBdr>
                <w:top w:val="none" w:sz="0" w:space="0" w:color="auto"/>
                <w:left w:val="none" w:sz="0" w:space="0" w:color="auto"/>
                <w:bottom w:val="none" w:sz="0" w:space="0" w:color="auto"/>
                <w:right w:val="none" w:sz="0" w:space="0" w:color="auto"/>
              </w:divBdr>
            </w:div>
          </w:divsChild>
        </w:div>
        <w:div w:id="2132481083">
          <w:marLeft w:val="0"/>
          <w:marRight w:val="0"/>
          <w:marTop w:val="0"/>
          <w:marBottom w:val="0"/>
          <w:divBdr>
            <w:top w:val="none" w:sz="0" w:space="0" w:color="auto"/>
            <w:left w:val="none" w:sz="0" w:space="0" w:color="auto"/>
            <w:bottom w:val="none" w:sz="0" w:space="0" w:color="auto"/>
            <w:right w:val="none" w:sz="0" w:space="0" w:color="auto"/>
          </w:divBdr>
          <w:divsChild>
            <w:div w:id="139081925">
              <w:marLeft w:val="0"/>
              <w:marRight w:val="0"/>
              <w:marTop w:val="0"/>
              <w:marBottom w:val="0"/>
              <w:divBdr>
                <w:top w:val="none" w:sz="0" w:space="0" w:color="auto"/>
                <w:left w:val="none" w:sz="0" w:space="0" w:color="auto"/>
                <w:bottom w:val="none" w:sz="0" w:space="0" w:color="auto"/>
                <w:right w:val="none" w:sz="0" w:space="0" w:color="auto"/>
              </w:divBdr>
            </w:div>
          </w:divsChild>
        </w:div>
        <w:div w:id="2135320109">
          <w:marLeft w:val="0"/>
          <w:marRight w:val="0"/>
          <w:marTop w:val="0"/>
          <w:marBottom w:val="0"/>
          <w:divBdr>
            <w:top w:val="none" w:sz="0" w:space="0" w:color="auto"/>
            <w:left w:val="none" w:sz="0" w:space="0" w:color="auto"/>
            <w:bottom w:val="none" w:sz="0" w:space="0" w:color="auto"/>
            <w:right w:val="none" w:sz="0" w:space="0" w:color="auto"/>
          </w:divBdr>
          <w:divsChild>
            <w:div w:id="226578160">
              <w:marLeft w:val="0"/>
              <w:marRight w:val="0"/>
              <w:marTop w:val="0"/>
              <w:marBottom w:val="0"/>
              <w:divBdr>
                <w:top w:val="none" w:sz="0" w:space="0" w:color="auto"/>
                <w:left w:val="none" w:sz="0" w:space="0" w:color="auto"/>
                <w:bottom w:val="none" w:sz="0" w:space="0" w:color="auto"/>
                <w:right w:val="none" w:sz="0" w:space="0" w:color="auto"/>
              </w:divBdr>
            </w:div>
          </w:divsChild>
        </w:div>
        <w:div w:id="2136437022">
          <w:marLeft w:val="0"/>
          <w:marRight w:val="0"/>
          <w:marTop w:val="0"/>
          <w:marBottom w:val="0"/>
          <w:divBdr>
            <w:top w:val="none" w:sz="0" w:space="0" w:color="auto"/>
            <w:left w:val="none" w:sz="0" w:space="0" w:color="auto"/>
            <w:bottom w:val="none" w:sz="0" w:space="0" w:color="auto"/>
            <w:right w:val="none" w:sz="0" w:space="0" w:color="auto"/>
          </w:divBdr>
          <w:divsChild>
            <w:div w:id="1404835228">
              <w:marLeft w:val="0"/>
              <w:marRight w:val="0"/>
              <w:marTop w:val="0"/>
              <w:marBottom w:val="0"/>
              <w:divBdr>
                <w:top w:val="none" w:sz="0" w:space="0" w:color="auto"/>
                <w:left w:val="none" w:sz="0" w:space="0" w:color="auto"/>
                <w:bottom w:val="none" w:sz="0" w:space="0" w:color="auto"/>
                <w:right w:val="none" w:sz="0" w:space="0" w:color="auto"/>
              </w:divBdr>
            </w:div>
          </w:divsChild>
        </w:div>
        <w:div w:id="2136486038">
          <w:marLeft w:val="0"/>
          <w:marRight w:val="0"/>
          <w:marTop w:val="0"/>
          <w:marBottom w:val="0"/>
          <w:divBdr>
            <w:top w:val="none" w:sz="0" w:space="0" w:color="auto"/>
            <w:left w:val="none" w:sz="0" w:space="0" w:color="auto"/>
            <w:bottom w:val="none" w:sz="0" w:space="0" w:color="auto"/>
            <w:right w:val="none" w:sz="0" w:space="0" w:color="auto"/>
          </w:divBdr>
          <w:divsChild>
            <w:div w:id="1205368003">
              <w:marLeft w:val="0"/>
              <w:marRight w:val="0"/>
              <w:marTop w:val="0"/>
              <w:marBottom w:val="0"/>
              <w:divBdr>
                <w:top w:val="none" w:sz="0" w:space="0" w:color="auto"/>
                <w:left w:val="none" w:sz="0" w:space="0" w:color="auto"/>
                <w:bottom w:val="none" w:sz="0" w:space="0" w:color="auto"/>
                <w:right w:val="none" w:sz="0" w:space="0" w:color="auto"/>
              </w:divBdr>
            </w:div>
          </w:divsChild>
        </w:div>
        <w:div w:id="2146042150">
          <w:marLeft w:val="0"/>
          <w:marRight w:val="0"/>
          <w:marTop w:val="0"/>
          <w:marBottom w:val="0"/>
          <w:divBdr>
            <w:top w:val="none" w:sz="0" w:space="0" w:color="auto"/>
            <w:left w:val="none" w:sz="0" w:space="0" w:color="auto"/>
            <w:bottom w:val="none" w:sz="0" w:space="0" w:color="auto"/>
            <w:right w:val="none" w:sz="0" w:space="0" w:color="auto"/>
          </w:divBdr>
          <w:divsChild>
            <w:div w:id="20973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7931">
      <w:bodyDiv w:val="1"/>
      <w:marLeft w:val="0"/>
      <w:marRight w:val="0"/>
      <w:marTop w:val="0"/>
      <w:marBottom w:val="0"/>
      <w:divBdr>
        <w:top w:val="none" w:sz="0" w:space="0" w:color="auto"/>
        <w:left w:val="none" w:sz="0" w:space="0" w:color="auto"/>
        <w:bottom w:val="none" w:sz="0" w:space="0" w:color="auto"/>
        <w:right w:val="none" w:sz="0" w:space="0" w:color="auto"/>
      </w:divBdr>
      <w:divsChild>
        <w:div w:id="129057146">
          <w:marLeft w:val="0"/>
          <w:marRight w:val="0"/>
          <w:marTop w:val="0"/>
          <w:marBottom w:val="0"/>
          <w:divBdr>
            <w:top w:val="none" w:sz="0" w:space="0" w:color="auto"/>
            <w:left w:val="none" w:sz="0" w:space="0" w:color="auto"/>
            <w:bottom w:val="none" w:sz="0" w:space="0" w:color="auto"/>
            <w:right w:val="none" w:sz="0" w:space="0" w:color="auto"/>
          </w:divBdr>
        </w:div>
        <w:div w:id="387657049">
          <w:marLeft w:val="0"/>
          <w:marRight w:val="0"/>
          <w:marTop w:val="0"/>
          <w:marBottom w:val="0"/>
          <w:divBdr>
            <w:top w:val="none" w:sz="0" w:space="0" w:color="auto"/>
            <w:left w:val="none" w:sz="0" w:space="0" w:color="auto"/>
            <w:bottom w:val="none" w:sz="0" w:space="0" w:color="auto"/>
            <w:right w:val="none" w:sz="0" w:space="0" w:color="auto"/>
          </w:divBdr>
        </w:div>
        <w:div w:id="438721302">
          <w:marLeft w:val="0"/>
          <w:marRight w:val="0"/>
          <w:marTop w:val="0"/>
          <w:marBottom w:val="0"/>
          <w:divBdr>
            <w:top w:val="none" w:sz="0" w:space="0" w:color="auto"/>
            <w:left w:val="none" w:sz="0" w:space="0" w:color="auto"/>
            <w:bottom w:val="none" w:sz="0" w:space="0" w:color="auto"/>
            <w:right w:val="none" w:sz="0" w:space="0" w:color="auto"/>
          </w:divBdr>
        </w:div>
        <w:div w:id="552886090">
          <w:marLeft w:val="0"/>
          <w:marRight w:val="0"/>
          <w:marTop w:val="0"/>
          <w:marBottom w:val="0"/>
          <w:divBdr>
            <w:top w:val="none" w:sz="0" w:space="0" w:color="auto"/>
            <w:left w:val="none" w:sz="0" w:space="0" w:color="auto"/>
            <w:bottom w:val="none" w:sz="0" w:space="0" w:color="auto"/>
            <w:right w:val="none" w:sz="0" w:space="0" w:color="auto"/>
          </w:divBdr>
        </w:div>
        <w:div w:id="871767951">
          <w:marLeft w:val="0"/>
          <w:marRight w:val="0"/>
          <w:marTop w:val="0"/>
          <w:marBottom w:val="0"/>
          <w:divBdr>
            <w:top w:val="none" w:sz="0" w:space="0" w:color="auto"/>
            <w:left w:val="none" w:sz="0" w:space="0" w:color="auto"/>
            <w:bottom w:val="none" w:sz="0" w:space="0" w:color="auto"/>
            <w:right w:val="none" w:sz="0" w:space="0" w:color="auto"/>
          </w:divBdr>
        </w:div>
        <w:div w:id="997919992">
          <w:marLeft w:val="0"/>
          <w:marRight w:val="0"/>
          <w:marTop w:val="0"/>
          <w:marBottom w:val="0"/>
          <w:divBdr>
            <w:top w:val="none" w:sz="0" w:space="0" w:color="auto"/>
            <w:left w:val="none" w:sz="0" w:space="0" w:color="auto"/>
            <w:bottom w:val="none" w:sz="0" w:space="0" w:color="auto"/>
            <w:right w:val="none" w:sz="0" w:space="0" w:color="auto"/>
          </w:divBdr>
        </w:div>
        <w:div w:id="1172256018">
          <w:marLeft w:val="0"/>
          <w:marRight w:val="0"/>
          <w:marTop w:val="0"/>
          <w:marBottom w:val="0"/>
          <w:divBdr>
            <w:top w:val="none" w:sz="0" w:space="0" w:color="auto"/>
            <w:left w:val="none" w:sz="0" w:space="0" w:color="auto"/>
            <w:bottom w:val="none" w:sz="0" w:space="0" w:color="auto"/>
            <w:right w:val="none" w:sz="0" w:space="0" w:color="auto"/>
          </w:divBdr>
        </w:div>
        <w:div w:id="1181168132">
          <w:marLeft w:val="0"/>
          <w:marRight w:val="0"/>
          <w:marTop w:val="0"/>
          <w:marBottom w:val="0"/>
          <w:divBdr>
            <w:top w:val="none" w:sz="0" w:space="0" w:color="auto"/>
            <w:left w:val="none" w:sz="0" w:space="0" w:color="auto"/>
            <w:bottom w:val="none" w:sz="0" w:space="0" w:color="auto"/>
            <w:right w:val="none" w:sz="0" w:space="0" w:color="auto"/>
          </w:divBdr>
        </w:div>
        <w:div w:id="1344237036">
          <w:marLeft w:val="0"/>
          <w:marRight w:val="0"/>
          <w:marTop w:val="0"/>
          <w:marBottom w:val="0"/>
          <w:divBdr>
            <w:top w:val="none" w:sz="0" w:space="0" w:color="auto"/>
            <w:left w:val="none" w:sz="0" w:space="0" w:color="auto"/>
            <w:bottom w:val="none" w:sz="0" w:space="0" w:color="auto"/>
            <w:right w:val="none" w:sz="0" w:space="0" w:color="auto"/>
          </w:divBdr>
        </w:div>
        <w:div w:id="1986735409">
          <w:marLeft w:val="0"/>
          <w:marRight w:val="0"/>
          <w:marTop w:val="0"/>
          <w:marBottom w:val="0"/>
          <w:divBdr>
            <w:top w:val="none" w:sz="0" w:space="0" w:color="auto"/>
            <w:left w:val="none" w:sz="0" w:space="0" w:color="auto"/>
            <w:bottom w:val="none" w:sz="0" w:space="0" w:color="auto"/>
            <w:right w:val="none" w:sz="0" w:space="0" w:color="auto"/>
          </w:divBdr>
        </w:div>
        <w:div w:id="2079093198">
          <w:marLeft w:val="0"/>
          <w:marRight w:val="0"/>
          <w:marTop w:val="0"/>
          <w:marBottom w:val="0"/>
          <w:divBdr>
            <w:top w:val="none" w:sz="0" w:space="0" w:color="auto"/>
            <w:left w:val="none" w:sz="0" w:space="0" w:color="auto"/>
            <w:bottom w:val="none" w:sz="0" w:space="0" w:color="auto"/>
            <w:right w:val="none" w:sz="0" w:space="0" w:color="auto"/>
          </w:divBdr>
        </w:div>
      </w:divsChild>
    </w:div>
    <w:div w:id="407310817">
      <w:bodyDiv w:val="1"/>
      <w:marLeft w:val="0"/>
      <w:marRight w:val="0"/>
      <w:marTop w:val="0"/>
      <w:marBottom w:val="0"/>
      <w:divBdr>
        <w:top w:val="none" w:sz="0" w:space="0" w:color="auto"/>
        <w:left w:val="none" w:sz="0" w:space="0" w:color="auto"/>
        <w:bottom w:val="none" w:sz="0" w:space="0" w:color="auto"/>
        <w:right w:val="none" w:sz="0" w:space="0" w:color="auto"/>
      </w:divBdr>
    </w:div>
    <w:div w:id="411047039">
      <w:bodyDiv w:val="1"/>
      <w:marLeft w:val="0"/>
      <w:marRight w:val="0"/>
      <w:marTop w:val="0"/>
      <w:marBottom w:val="0"/>
      <w:divBdr>
        <w:top w:val="none" w:sz="0" w:space="0" w:color="auto"/>
        <w:left w:val="none" w:sz="0" w:space="0" w:color="auto"/>
        <w:bottom w:val="none" w:sz="0" w:space="0" w:color="auto"/>
        <w:right w:val="none" w:sz="0" w:space="0" w:color="auto"/>
      </w:divBdr>
      <w:divsChild>
        <w:div w:id="7173745">
          <w:marLeft w:val="0"/>
          <w:marRight w:val="0"/>
          <w:marTop w:val="0"/>
          <w:marBottom w:val="0"/>
          <w:divBdr>
            <w:top w:val="none" w:sz="0" w:space="0" w:color="auto"/>
            <w:left w:val="none" w:sz="0" w:space="0" w:color="auto"/>
            <w:bottom w:val="none" w:sz="0" w:space="0" w:color="auto"/>
            <w:right w:val="none" w:sz="0" w:space="0" w:color="auto"/>
          </w:divBdr>
          <w:divsChild>
            <w:div w:id="1086877197">
              <w:marLeft w:val="0"/>
              <w:marRight w:val="0"/>
              <w:marTop w:val="0"/>
              <w:marBottom w:val="0"/>
              <w:divBdr>
                <w:top w:val="none" w:sz="0" w:space="0" w:color="auto"/>
                <w:left w:val="none" w:sz="0" w:space="0" w:color="auto"/>
                <w:bottom w:val="none" w:sz="0" w:space="0" w:color="auto"/>
                <w:right w:val="none" w:sz="0" w:space="0" w:color="auto"/>
              </w:divBdr>
            </w:div>
          </w:divsChild>
        </w:div>
        <w:div w:id="52849219">
          <w:marLeft w:val="0"/>
          <w:marRight w:val="0"/>
          <w:marTop w:val="0"/>
          <w:marBottom w:val="0"/>
          <w:divBdr>
            <w:top w:val="none" w:sz="0" w:space="0" w:color="auto"/>
            <w:left w:val="none" w:sz="0" w:space="0" w:color="auto"/>
            <w:bottom w:val="none" w:sz="0" w:space="0" w:color="auto"/>
            <w:right w:val="none" w:sz="0" w:space="0" w:color="auto"/>
          </w:divBdr>
          <w:divsChild>
            <w:div w:id="702051333">
              <w:marLeft w:val="0"/>
              <w:marRight w:val="0"/>
              <w:marTop w:val="0"/>
              <w:marBottom w:val="0"/>
              <w:divBdr>
                <w:top w:val="none" w:sz="0" w:space="0" w:color="auto"/>
                <w:left w:val="none" w:sz="0" w:space="0" w:color="auto"/>
                <w:bottom w:val="none" w:sz="0" w:space="0" w:color="auto"/>
                <w:right w:val="none" w:sz="0" w:space="0" w:color="auto"/>
              </w:divBdr>
            </w:div>
          </w:divsChild>
        </w:div>
        <w:div w:id="83383566">
          <w:marLeft w:val="0"/>
          <w:marRight w:val="0"/>
          <w:marTop w:val="0"/>
          <w:marBottom w:val="0"/>
          <w:divBdr>
            <w:top w:val="none" w:sz="0" w:space="0" w:color="auto"/>
            <w:left w:val="none" w:sz="0" w:space="0" w:color="auto"/>
            <w:bottom w:val="none" w:sz="0" w:space="0" w:color="auto"/>
            <w:right w:val="none" w:sz="0" w:space="0" w:color="auto"/>
          </w:divBdr>
          <w:divsChild>
            <w:div w:id="634916882">
              <w:marLeft w:val="0"/>
              <w:marRight w:val="0"/>
              <w:marTop w:val="0"/>
              <w:marBottom w:val="0"/>
              <w:divBdr>
                <w:top w:val="none" w:sz="0" w:space="0" w:color="auto"/>
                <w:left w:val="none" w:sz="0" w:space="0" w:color="auto"/>
                <w:bottom w:val="none" w:sz="0" w:space="0" w:color="auto"/>
                <w:right w:val="none" w:sz="0" w:space="0" w:color="auto"/>
              </w:divBdr>
            </w:div>
          </w:divsChild>
        </w:div>
        <w:div w:id="216818171">
          <w:marLeft w:val="0"/>
          <w:marRight w:val="0"/>
          <w:marTop w:val="0"/>
          <w:marBottom w:val="0"/>
          <w:divBdr>
            <w:top w:val="none" w:sz="0" w:space="0" w:color="auto"/>
            <w:left w:val="none" w:sz="0" w:space="0" w:color="auto"/>
            <w:bottom w:val="none" w:sz="0" w:space="0" w:color="auto"/>
            <w:right w:val="none" w:sz="0" w:space="0" w:color="auto"/>
          </w:divBdr>
          <w:divsChild>
            <w:div w:id="1931036170">
              <w:marLeft w:val="0"/>
              <w:marRight w:val="0"/>
              <w:marTop w:val="0"/>
              <w:marBottom w:val="0"/>
              <w:divBdr>
                <w:top w:val="none" w:sz="0" w:space="0" w:color="auto"/>
                <w:left w:val="none" w:sz="0" w:space="0" w:color="auto"/>
                <w:bottom w:val="none" w:sz="0" w:space="0" w:color="auto"/>
                <w:right w:val="none" w:sz="0" w:space="0" w:color="auto"/>
              </w:divBdr>
            </w:div>
          </w:divsChild>
        </w:div>
        <w:div w:id="347411482">
          <w:marLeft w:val="0"/>
          <w:marRight w:val="0"/>
          <w:marTop w:val="0"/>
          <w:marBottom w:val="0"/>
          <w:divBdr>
            <w:top w:val="none" w:sz="0" w:space="0" w:color="auto"/>
            <w:left w:val="none" w:sz="0" w:space="0" w:color="auto"/>
            <w:bottom w:val="none" w:sz="0" w:space="0" w:color="auto"/>
            <w:right w:val="none" w:sz="0" w:space="0" w:color="auto"/>
          </w:divBdr>
          <w:divsChild>
            <w:div w:id="1871259201">
              <w:marLeft w:val="0"/>
              <w:marRight w:val="0"/>
              <w:marTop w:val="0"/>
              <w:marBottom w:val="0"/>
              <w:divBdr>
                <w:top w:val="none" w:sz="0" w:space="0" w:color="auto"/>
                <w:left w:val="none" w:sz="0" w:space="0" w:color="auto"/>
                <w:bottom w:val="none" w:sz="0" w:space="0" w:color="auto"/>
                <w:right w:val="none" w:sz="0" w:space="0" w:color="auto"/>
              </w:divBdr>
            </w:div>
          </w:divsChild>
        </w:div>
        <w:div w:id="368535431">
          <w:marLeft w:val="0"/>
          <w:marRight w:val="0"/>
          <w:marTop w:val="0"/>
          <w:marBottom w:val="0"/>
          <w:divBdr>
            <w:top w:val="none" w:sz="0" w:space="0" w:color="auto"/>
            <w:left w:val="none" w:sz="0" w:space="0" w:color="auto"/>
            <w:bottom w:val="none" w:sz="0" w:space="0" w:color="auto"/>
            <w:right w:val="none" w:sz="0" w:space="0" w:color="auto"/>
          </w:divBdr>
          <w:divsChild>
            <w:div w:id="962463722">
              <w:marLeft w:val="0"/>
              <w:marRight w:val="0"/>
              <w:marTop w:val="0"/>
              <w:marBottom w:val="0"/>
              <w:divBdr>
                <w:top w:val="none" w:sz="0" w:space="0" w:color="auto"/>
                <w:left w:val="none" w:sz="0" w:space="0" w:color="auto"/>
                <w:bottom w:val="none" w:sz="0" w:space="0" w:color="auto"/>
                <w:right w:val="none" w:sz="0" w:space="0" w:color="auto"/>
              </w:divBdr>
            </w:div>
          </w:divsChild>
        </w:div>
        <w:div w:id="599223692">
          <w:marLeft w:val="0"/>
          <w:marRight w:val="0"/>
          <w:marTop w:val="0"/>
          <w:marBottom w:val="0"/>
          <w:divBdr>
            <w:top w:val="none" w:sz="0" w:space="0" w:color="auto"/>
            <w:left w:val="none" w:sz="0" w:space="0" w:color="auto"/>
            <w:bottom w:val="none" w:sz="0" w:space="0" w:color="auto"/>
            <w:right w:val="none" w:sz="0" w:space="0" w:color="auto"/>
          </w:divBdr>
          <w:divsChild>
            <w:div w:id="1436439565">
              <w:marLeft w:val="0"/>
              <w:marRight w:val="0"/>
              <w:marTop w:val="0"/>
              <w:marBottom w:val="0"/>
              <w:divBdr>
                <w:top w:val="none" w:sz="0" w:space="0" w:color="auto"/>
                <w:left w:val="none" w:sz="0" w:space="0" w:color="auto"/>
                <w:bottom w:val="none" w:sz="0" w:space="0" w:color="auto"/>
                <w:right w:val="none" w:sz="0" w:space="0" w:color="auto"/>
              </w:divBdr>
            </w:div>
          </w:divsChild>
        </w:div>
        <w:div w:id="638537286">
          <w:marLeft w:val="0"/>
          <w:marRight w:val="0"/>
          <w:marTop w:val="0"/>
          <w:marBottom w:val="0"/>
          <w:divBdr>
            <w:top w:val="none" w:sz="0" w:space="0" w:color="auto"/>
            <w:left w:val="none" w:sz="0" w:space="0" w:color="auto"/>
            <w:bottom w:val="none" w:sz="0" w:space="0" w:color="auto"/>
            <w:right w:val="none" w:sz="0" w:space="0" w:color="auto"/>
          </w:divBdr>
          <w:divsChild>
            <w:div w:id="1012990777">
              <w:marLeft w:val="0"/>
              <w:marRight w:val="0"/>
              <w:marTop w:val="0"/>
              <w:marBottom w:val="0"/>
              <w:divBdr>
                <w:top w:val="none" w:sz="0" w:space="0" w:color="auto"/>
                <w:left w:val="none" w:sz="0" w:space="0" w:color="auto"/>
                <w:bottom w:val="none" w:sz="0" w:space="0" w:color="auto"/>
                <w:right w:val="none" w:sz="0" w:space="0" w:color="auto"/>
              </w:divBdr>
            </w:div>
          </w:divsChild>
        </w:div>
        <w:div w:id="727345322">
          <w:marLeft w:val="0"/>
          <w:marRight w:val="0"/>
          <w:marTop w:val="0"/>
          <w:marBottom w:val="0"/>
          <w:divBdr>
            <w:top w:val="none" w:sz="0" w:space="0" w:color="auto"/>
            <w:left w:val="none" w:sz="0" w:space="0" w:color="auto"/>
            <w:bottom w:val="none" w:sz="0" w:space="0" w:color="auto"/>
            <w:right w:val="none" w:sz="0" w:space="0" w:color="auto"/>
          </w:divBdr>
          <w:divsChild>
            <w:div w:id="968168944">
              <w:marLeft w:val="0"/>
              <w:marRight w:val="0"/>
              <w:marTop w:val="0"/>
              <w:marBottom w:val="0"/>
              <w:divBdr>
                <w:top w:val="none" w:sz="0" w:space="0" w:color="auto"/>
                <w:left w:val="none" w:sz="0" w:space="0" w:color="auto"/>
                <w:bottom w:val="none" w:sz="0" w:space="0" w:color="auto"/>
                <w:right w:val="none" w:sz="0" w:space="0" w:color="auto"/>
              </w:divBdr>
            </w:div>
          </w:divsChild>
        </w:div>
        <w:div w:id="779571290">
          <w:marLeft w:val="0"/>
          <w:marRight w:val="0"/>
          <w:marTop w:val="0"/>
          <w:marBottom w:val="0"/>
          <w:divBdr>
            <w:top w:val="none" w:sz="0" w:space="0" w:color="auto"/>
            <w:left w:val="none" w:sz="0" w:space="0" w:color="auto"/>
            <w:bottom w:val="none" w:sz="0" w:space="0" w:color="auto"/>
            <w:right w:val="none" w:sz="0" w:space="0" w:color="auto"/>
          </w:divBdr>
          <w:divsChild>
            <w:div w:id="4870381">
              <w:marLeft w:val="0"/>
              <w:marRight w:val="0"/>
              <w:marTop w:val="0"/>
              <w:marBottom w:val="0"/>
              <w:divBdr>
                <w:top w:val="none" w:sz="0" w:space="0" w:color="auto"/>
                <w:left w:val="none" w:sz="0" w:space="0" w:color="auto"/>
                <w:bottom w:val="none" w:sz="0" w:space="0" w:color="auto"/>
                <w:right w:val="none" w:sz="0" w:space="0" w:color="auto"/>
              </w:divBdr>
            </w:div>
          </w:divsChild>
        </w:div>
        <w:div w:id="931158995">
          <w:marLeft w:val="0"/>
          <w:marRight w:val="0"/>
          <w:marTop w:val="0"/>
          <w:marBottom w:val="0"/>
          <w:divBdr>
            <w:top w:val="none" w:sz="0" w:space="0" w:color="auto"/>
            <w:left w:val="none" w:sz="0" w:space="0" w:color="auto"/>
            <w:bottom w:val="none" w:sz="0" w:space="0" w:color="auto"/>
            <w:right w:val="none" w:sz="0" w:space="0" w:color="auto"/>
          </w:divBdr>
          <w:divsChild>
            <w:div w:id="1572696891">
              <w:marLeft w:val="0"/>
              <w:marRight w:val="0"/>
              <w:marTop w:val="0"/>
              <w:marBottom w:val="0"/>
              <w:divBdr>
                <w:top w:val="none" w:sz="0" w:space="0" w:color="auto"/>
                <w:left w:val="none" w:sz="0" w:space="0" w:color="auto"/>
                <w:bottom w:val="none" w:sz="0" w:space="0" w:color="auto"/>
                <w:right w:val="none" w:sz="0" w:space="0" w:color="auto"/>
              </w:divBdr>
            </w:div>
          </w:divsChild>
        </w:div>
        <w:div w:id="944968011">
          <w:marLeft w:val="0"/>
          <w:marRight w:val="0"/>
          <w:marTop w:val="0"/>
          <w:marBottom w:val="0"/>
          <w:divBdr>
            <w:top w:val="none" w:sz="0" w:space="0" w:color="auto"/>
            <w:left w:val="none" w:sz="0" w:space="0" w:color="auto"/>
            <w:bottom w:val="none" w:sz="0" w:space="0" w:color="auto"/>
            <w:right w:val="none" w:sz="0" w:space="0" w:color="auto"/>
          </w:divBdr>
          <w:divsChild>
            <w:div w:id="100418346">
              <w:marLeft w:val="0"/>
              <w:marRight w:val="0"/>
              <w:marTop w:val="0"/>
              <w:marBottom w:val="0"/>
              <w:divBdr>
                <w:top w:val="none" w:sz="0" w:space="0" w:color="auto"/>
                <w:left w:val="none" w:sz="0" w:space="0" w:color="auto"/>
                <w:bottom w:val="none" w:sz="0" w:space="0" w:color="auto"/>
                <w:right w:val="none" w:sz="0" w:space="0" w:color="auto"/>
              </w:divBdr>
            </w:div>
          </w:divsChild>
        </w:div>
        <w:div w:id="950015736">
          <w:marLeft w:val="0"/>
          <w:marRight w:val="0"/>
          <w:marTop w:val="0"/>
          <w:marBottom w:val="0"/>
          <w:divBdr>
            <w:top w:val="none" w:sz="0" w:space="0" w:color="auto"/>
            <w:left w:val="none" w:sz="0" w:space="0" w:color="auto"/>
            <w:bottom w:val="none" w:sz="0" w:space="0" w:color="auto"/>
            <w:right w:val="none" w:sz="0" w:space="0" w:color="auto"/>
          </w:divBdr>
          <w:divsChild>
            <w:div w:id="1447308653">
              <w:marLeft w:val="0"/>
              <w:marRight w:val="0"/>
              <w:marTop w:val="0"/>
              <w:marBottom w:val="0"/>
              <w:divBdr>
                <w:top w:val="none" w:sz="0" w:space="0" w:color="auto"/>
                <w:left w:val="none" w:sz="0" w:space="0" w:color="auto"/>
                <w:bottom w:val="none" w:sz="0" w:space="0" w:color="auto"/>
                <w:right w:val="none" w:sz="0" w:space="0" w:color="auto"/>
              </w:divBdr>
            </w:div>
          </w:divsChild>
        </w:div>
        <w:div w:id="988628568">
          <w:marLeft w:val="0"/>
          <w:marRight w:val="0"/>
          <w:marTop w:val="0"/>
          <w:marBottom w:val="0"/>
          <w:divBdr>
            <w:top w:val="none" w:sz="0" w:space="0" w:color="auto"/>
            <w:left w:val="none" w:sz="0" w:space="0" w:color="auto"/>
            <w:bottom w:val="none" w:sz="0" w:space="0" w:color="auto"/>
            <w:right w:val="none" w:sz="0" w:space="0" w:color="auto"/>
          </w:divBdr>
          <w:divsChild>
            <w:div w:id="1288969900">
              <w:marLeft w:val="0"/>
              <w:marRight w:val="0"/>
              <w:marTop w:val="0"/>
              <w:marBottom w:val="0"/>
              <w:divBdr>
                <w:top w:val="none" w:sz="0" w:space="0" w:color="auto"/>
                <w:left w:val="none" w:sz="0" w:space="0" w:color="auto"/>
                <w:bottom w:val="none" w:sz="0" w:space="0" w:color="auto"/>
                <w:right w:val="none" w:sz="0" w:space="0" w:color="auto"/>
              </w:divBdr>
            </w:div>
          </w:divsChild>
        </w:div>
        <w:div w:id="1084884707">
          <w:marLeft w:val="0"/>
          <w:marRight w:val="0"/>
          <w:marTop w:val="0"/>
          <w:marBottom w:val="0"/>
          <w:divBdr>
            <w:top w:val="none" w:sz="0" w:space="0" w:color="auto"/>
            <w:left w:val="none" w:sz="0" w:space="0" w:color="auto"/>
            <w:bottom w:val="none" w:sz="0" w:space="0" w:color="auto"/>
            <w:right w:val="none" w:sz="0" w:space="0" w:color="auto"/>
          </w:divBdr>
          <w:divsChild>
            <w:div w:id="1499416963">
              <w:marLeft w:val="0"/>
              <w:marRight w:val="0"/>
              <w:marTop w:val="0"/>
              <w:marBottom w:val="0"/>
              <w:divBdr>
                <w:top w:val="none" w:sz="0" w:space="0" w:color="auto"/>
                <w:left w:val="none" w:sz="0" w:space="0" w:color="auto"/>
                <w:bottom w:val="none" w:sz="0" w:space="0" w:color="auto"/>
                <w:right w:val="none" w:sz="0" w:space="0" w:color="auto"/>
              </w:divBdr>
            </w:div>
          </w:divsChild>
        </w:div>
        <w:div w:id="1158036646">
          <w:marLeft w:val="0"/>
          <w:marRight w:val="0"/>
          <w:marTop w:val="0"/>
          <w:marBottom w:val="0"/>
          <w:divBdr>
            <w:top w:val="none" w:sz="0" w:space="0" w:color="auto"/>
            <w:left w:val="none" w:sz="0" w:space="0" w:color="auto"/>
            <w:bottom w:val="none" w:sz="0" w:space="0" w:color="auto"/>
            <w:right w:val="none" w:sz="0" w:space="0" w:color="auto"/>
          </w:divBdr>
          <w:divsChild>
            <w:div w:id="1225985847">
              <w:marLeft w:val="0"/>
              <w:marRight w:val="0"/>
              <w:marTop w:val="0"/>
              <w:marBottom w:val="0"/>
              <w:divBdr>
                <w:top w:val="none" w:sz="0" w:space="0" w:color="auto"/>
                <w:left w:val="none" w:sz="0" w:space="0" w:color="auto"/>
                <w:bottom w:val="none" w:sz="0" w:space="0" w:color="auto"/>
                <w:right w:val="none" w:sz="0" w:space="0" w:color="auto"/>
              </w:divBdr>
            </w:div>
          </w:divsChild>
        </w:div>
        <w:div w:id="1251811497">
          <w:marLeft w:val="0"/>
          <w:marRight w:val="0"/>
          <w:marTop w:val="0"/>
          <w:marBottom w:val="0"/>
          <w:divBdr>
            <w:top w:val="none" w:sz="0" w:space="0" w:color="auto"/>
            <w:left w:val="none" w:sz="0" w:space="0" w:color="auto"/>
            <w:bottom w:val="none" w:sz="0" w:space="0" w:color="auto"/>
            <w:right w:val="none" w:sz="0" w:space="0" w:color="auto"/>
          </w:divBdr>
          <w:divsChild>
            <w:div w:id="1735002818">
              <w:marLeft w:val="0"/>
              <w:marRight w:val="0"/>
              <w:marTop w:val="0"/>
              <w:marBottom w:val="0"/>
              <w:divBdr>
                <w:top w:val="none" w:sz="0" w:space="0" w:color="auto"/>
                <w:left w:val="none" w:sz="0" w:space="0" w:color="auto"/>
                <w:bottom w:val="none" w:sz="0" w:space="0" w:color="auto"/>
                <w:right w:val="none" w:sz="0" w:space="0" w:color="auto"/>
              </w:divBdr>
            </w:div>
          </w:divsChild>
        </w:div>
        <w:div w:id="1276789251">
          <w:marLeft w:val="0"/>
          <w:marRight w:val="0"/>
          <w:marTop w:val="0"/>
          <w:marBottom w:val="0"/>
          <w:divBdr>
            <w:top w:val="none" w:sz="0" w:space="0" w:color="auto"/>
            <w:left w:val="none" w:sz="0" w:space="0" w:color="auto"/>
            <w:bottom w:val="none" w:sz="0" w:space="0" w:color="auto"/>
            <w:right w:val="none" w:sz="0" w:space="0" w:color="auto"/>
          </w:divBdr>
          <w:divsChild>
            <w:div w:id="1549024772">
              <w:marLeft w:val="0"/>
              <w:marRight w:val="0"/>
              <w:marTop w:val="0"/>
              <w:marBottom w:val="0"/>
              <w:divBdr>
                <w:top w:val="none" w:sz="0" w:space="0" w:color="auto"/>
                <w:left w:val="none" w:sz="0" w:space="0" w:color="auto"/>
                <w:bottom w:val="none" w:sz="0" w:space="0" w:color="auto"/>
                <w:right w:val="none" w:sz="0" w:space="0" w:color="auto"/>
              </w:divBdr>
            </w:div>
          </w:divsChild>
        </w:div>
        <w:div w:id="1296792427">
          <w:marLeft w:val="0"/>
          <w:marRight w:val="0"/>
          <w:marTop w:val="0"/>
          <w:marBottom w:val="0"/>
          <w:divBdr>
            <w:top w:val="none" w:sz="0" w:space="0" w:color="auto"/>
            <w:left w:val="none" w:sz="0" w:space="0" w:color="auto"/>
            <w:bottom w:val="none" w:sz="0" w:space="0" w:color="auto"/>
            <w:right w:val="none" w:sz="0" w:space="0" w:color="auto"/>
          </w:divBdr>
          <w:divsChild>
            <w:div w:id="1126385554">
              <w:marLeft w:val="0"/>
              <w:marRight w:val="0"/>
              <w:marTop w:val="0"/>
              <w:marBottom w:val="0"/>
              <w:divBdr>
                <w:top w:val="none" w:sz="0" w:space="0" w:color="auto"/>
                <w:left w:val="none" w:sz="0" w:space="0" w:color="auto"/>
                <w:bottom w:val="none" w:sz="0" w:space="0" w:color="auto"/>
                <w:right w:val="none" w:sz="0" w:space="0" w:color="auto"/>
              </w:divBdr>
            </w:div>
          </w:divsChild>
        </w:div>
        <w:div w:id="1388456425">
          <w:marLeft w:val="0"/>
          <w:marRight w:val="0"/>
          <w:marTop w:val="0"/>
          <w:marBottom w:val="0"/>
          <w:divBdr>
            <w:top w:val="none" w:sz="0" w:space="0" w:color="auto"/>
            <w:left w:val="none" w:sz="0" w:space="0" w:color="auto"/>
            <w:bottom w:val="none" w:sz="0" w:space="0" w:color="auto"/>
            <w:right w:val="none" w:sz="0" w:space="0" w:color="auto"/>
          </w:divBdr>
          <w:divsChild>
            <w:div w:id="908030999">
              <w:marLeft w:val="0"/>
              <w:marRight w:val="0"/>
              <w:marTop w:val="0"/>
              <w:marBottom w:val="0"/>
              <w:divBdr>
                <w:top w:val="none" w:sz="0" w:space="0" w:color="auto"/>
                <w:left w:val="none" w:sz="0" w:space="0" w:color="auto"/>
                <w:bottom w:val="none" w:sz="0" w:space="0" w:color="auto"/>
                <w:right w:val="none" w:sz="0" w:space="0" w:color="auto"/>
              </w:divBdr>
            </w:div>
          </w:divsChild>
        </w:div>
        <w:div w:id="1399010850">
          <w:marLeft w:val="0"/>
          <w:marRight w:val="0"/>
          <w:marTop w:val="0"/>
          <w:marBottom w:val="0"/>
          <w:divBdr>
            <w:top w:val="none" w:sz="0" w:space="0" w:color="auto"/>
            <w:left w:val="none" w:sz="0" w:space="0" w:color="auto"/>
            <w:bottom w:val="none" w:sz="0" w:space="0" w:color="auto"/>
            <w:right w:val="none" w:sz="0" w:space="0" w:color="auto"/>
          </w:divBdr>
          <w:divsChild>
            <w:div w:id="926187438">
              <w:marLeft w:val="0"/>
              <w:marRight w:val="0"/>
              <w:marTop w:val="0"/>
              <w:marBottom w:val="0"/>
              <w:divBdr>
                <w:top w:val="none" w:sz="0" w:space="0" w:color="auto"/>
                <w:left w:val="none" w:sz="0" w:space="0" w:color="auto"/>
                <w:bottom w:val="none" w:sz="0" w:space="0" w:color="auto"/>
                <w:right w:val="none" w:sz="0" w:space="0" w:color="auto"/>
              </w:divBdr>
            </w:div>
          </w:divsChild>
        </w:div>
        <w:div w:id="1404067545">
          <w:marLeft w:val="0"/>
          <w:marRight w:val="0"/>
          <w:marTop w:val="0"/>
          <w:marBottom w:val="0"/>
          <w:divBdr>
            <w:top w:val="none" w:sz="0" w:space="0" w:color="auto"/>
            <w:left w:val="none" w:sz="0" w:space="0" w:color="auto"/>
            <w:bottom w:val="none" w:sz="0" w:space="0" w:color="auto"/>
            <w:right w:val="none" w:sz="0" w:space="0" w:color="auto"/>
          </w:divBdr>
          <w:divsChild>
            <w:div w:id="406071354">
              <w:marLeft w:val="0"/>
              <w:marRight w:val="0"/>
              <w:marTop w:val="0"/>
              <w:marBottom w:val="0"/>
              <w:divBdr>
                <w:top w:val="none" w:sz="0" w:space="0" w:color="auto"/>
                <w:left w:val="none" w:sz="0" w:space="0" w:color="auto"/>
                <w:bottom w:val="none" w:sz="0" w:space="0" w:color="auto"/>
                <w:right w:val="none" w:sz="0" w:space="0" w:color="auto"/>
              </w:divBdr>
            </w:div>
          </w:divsChild>
        </w:div>
        <w:div w:id="1478495219">
          <w:marLeft w:val="0"/>
          <w:marRight w:val="0"/>
          <w:marTop w:val="0"/>
          <w:marBottom w:val="0"/>
          <w:divBdr>
            <w:top w:val="none" w:sz="0" w:space="0" w:color="auto"/>
            <w:left w:val="none" w:sz="0" w:space="0" w:color="auto"/>
            <w:bottom w:val="none" w:sz="0" w:space="0" w:color="auto"/>
            <w:right w:val="none" w:sz="0" w:space="0" w:color="auto"/>
          </w:divBdr>
          <w:divsChild>
            <w:div w:id="1144814493">
              <w:marLeft w:val="0"/>
              <w:marRight w:val="0"/>
              <w:marTop w:val="0"/>
              <w:marBottom w:val="0"/>
              <w:divBdr>
                <w:top w:val="none" w:sz="0" w:space="0" w:color="auto"/>
                <w:left w:val="none" w:sz="0" w:space="0" w:color="auto"/>
                <w:bottom w:val="none" w:sz="0" w:space="0" w:color="auto"/>
                <w:right w:val="none" w:sz="0" w:space="0" w:color="auto"/>
              </w:divBdr>
            </w:div>
          </w:divsChild>
        </w:div>
        <w:div w:id="1570849191">
          <w:marLeft w:val="0"/>
          <w:marRight w:val="0"/>
          <w:marTop w:val="0"/>
          <w:marBottom w:val="0"/>
          <w:divBdr>
            <w:top w:val="none" w:sz="0" w:space="0" w:color="auto"/>
            <w:left w:val="none" w:sz="0" w:space="0" w:color="auto"/>
            <w:bottom w:val="none" w:sz="0" w:space="0" w:color="auto"/>
            <w:right w:val="none" w:sz="0" w:space="0" w:color="auto"/>
          </w:divBdr>
          <w:divsChild>
            <w:div w:id="98650717">
              <w:marLeft w:val="0"/>
              <w:marRight w:val="0"/>
              <w:marTop w:val="0"/>
              <w:marBottom w:val="0"/>
              <w:divBdr>
                <w:top w:val="none" w:sz="0" w:space="0" w:color="auto"/>
                <w:left w:val="none" w:sz="0" w:space="0" w:color="auto"/>
                <w:bottom w:val="none" w:sz="0" w:space="0" w:color="auto"/>
                <w:right w:val="none" w:sz="0" w:space="0" w:color="auto"/>
              </w:divBdr>
            </w:div>
          </w:divsChild>
        </w:div>
        <w:div w:id="1588923625">
          <w:marLeft w:val="0"/>
          <w:marRight w:val="0"/>
          <w:marTop w:val="0"/>
          <w:marBottom w:val="0"/>
          <w:divBdr>
            <w:top w:val="none" w:sz="0" w:space="0" w:color="auto"/>
            <w:left w:val="none" w:sz="0" w:space="0" w:color="auto"/>
            <w:bottom w:val="none" w:sz="0" w:space="0" w:color="auto"/>
            <w:right w:val="none" w:sz="0" w:space="0" w:color="auto"/>
          </w:divBdr>
          <w:divsChild>
            <w:div w:id="1706590156">
              <w:marLeft w:val="0"/>
              <w:marRight w:val="0"/>
              <w:marTop w:val="0"/>
              <w:marBottom w:val="0"/>
              <w:divBdr>
                <w:top w:val="none" w:sz="0" w:space="0" w:color="auto"/>
                <w:left w:val="none" w:sz="0" w:space="0" w:color="auto"/>
                <w:bottom w:val="none" w:sz="0" w:space="0" w:color="auto"/>
                <w:right w:val="none" w:sz="0" w:space="0" w:color="auto"/>
              </w:divBdr>
            </w:div>
          </w:divsChild>
        </w:div>
        <w:div w:id="1673801114">
          <w:marLeft w:val="0"/>
          <w:marRight w:val="0"/>
          <w:marTop w:val="0"/>
          <w:marBottom w:val="0"/>
          <w:divBdr>
            <w:top w:val="none" w:sz="0" w:space="0" w:color="auto"/>
            <w:left w:val="none" w:sz="0" w:space="0" w:color="auto"/>
            <w:bottom w:val="none" w:sz="0" w:space="0" w:color="auto"/>
            <w:right w:val="none" w:sz="0" w:space="0" w:color="auto"/>
          </w:divBdr>
          <w:divsChild>
            <w:div w:id="1237593114">
              <w:marLeft w:val="0"/>
              <w:marRight w:val="0"/>
              <w:marTop w:val="0"/>
              <w:marBottom w:val="0"/>
              <w:divBdr>
                <w:top w:val="none" w:sz="0" w:space="0" w:color="auto"/>
                <w:left w:val="none" w:sz="0" w:space="0" w:color="auto"/>
                <w:bottom w:val="none" w:sz="0" w:space="0" w:color="auto"/>
                <w:right w:val="none" w:sz="0" w:space="0" w:color="auto"/>
              </w:divBdr>
            </w:div>
          </w:divsChild>
        </w:div>
        <w:div w:id="1732148884">
          <w:marLeft w:val="0"/>
          <w:marRight w:val="0"/>
          <w:marTop w:val="0"/>
          <w:marBottom w:val="0"/>
          <w:divBdr>
            <w:top w:val="none" w:sz="0" w:space="0" w:color="auto"/>
            <w:left w:val="none" w:sz="0" w:space="0" w:color="auto"/>
            <w:bottom w:val="none" w:sz="0" w:space="0" w:color="auto"/>
            <w:right w:val="none" w:sz="0" w:space="0" w:color="auto"/>
          </w:divBdr>
          <w:divsChild>
            <w:div w:id="58211421">
              <w:marLeft w:val="0"/>
              <w:marRight w:val="0"/>
              <w:marTop w:val="0"/>
              <w:marBottom w:val="0"/>
              <w:divBdr>
                <w:top w:val="none" w:sz="0" w:space="0" w:color="auto"/>
                <w:left w:val="none" w:sz="0" w:space="0" w:color="auto"/>
                <w:bottom w:val="none" w:sz="0" w:space="0" w:color="auto"/>
                <w:right w:val="none" w:sz="0" w:space="0" w:color="auto"/>
              </w:divBdr>
            </w:div>
          </w:divsChild>
        </w:div>
        <w:div w:id="1789818448">
          <w:marLeft w:val="0"/>
          <w:marRight w:val="0"/>
          <w:marTop w:val="0"/>
          <w:marBottom w:val="0"/>
          <w:divBdr>
            <w:top w:val="none" w:sz="0" w:space="0" w:color="auto"/>
            <w:left w:val="none" w:sz="0" w:space="0" w:color="auto"/>
            <w:bottom w:val="none" w:sz="0" w:space="0" w:color="auto"/>
            <w:right w:val="none" w:sz="0" w:space="0" w:color="auto"/>
          </w:divBdr>
          <w:divsChild>
            <w:div w:id="948586133">
              <w:marLeft w:val="0"/>
              <w:marRight w:val="0"/>
              <w:marTop w:val="0"/>
              <w:marBottom w:val="0"/>
              <w:divBdr>
                <w:top w:val="none" w:sz="0" w:space="0" w:color="auto"/>
                <w:left w:val="none" w:sz="0" w:space="0" w:color="auto"/>
                <w:bottom w:val="none" w:sz="0" w:space="0" w:color="auto"/>
                <w:right w:val="none" w:sz="0" w:space="0" w:color="auto"/>
              </w:divBdr>
            </w:div>
          </w:divsChild>
        </w:div>
        <w:div w:id="1898276807">
          <w:marLeft w:val="0"/>
          <w:marRight w:val="0"/>
          <w:marTop w:val="0"/>
          <w:marBottom w:val="0"/>
          <w:divBdr>
            <w:top w:val="none" w:sz="0" w:space="0" w:color="auto"/>
            <w:left w:val="none" w:sz="0" w:space="0" w:color="auto"/>
            <w:bottom w:val="none" w:sz="0" w:space="0" w:color="auto"/>
            <w:right w:val="none" w:sz="0" w:space="0" w:color="auto"/>
          </w:divBdr>
          <w:divsChild>
            <w:div w:id="482042536">
              <w:marLeft w:val="0"/>
              <w:marRight w:val="0"/>
              <w:marTop w:val="0"/>
              <w:marBottom w:val="0"/>
              <w:divBdr>
                <w:top w:val="none" w:sz="0" w:space="0" w:color="auto"/>
                <w:left w:val="none" w:sz="0" w:space="0" w:color="auto"/>
                <w:bottom w:val="none" w:sz="0" w:space="0" w:color="auto"/>
                <w:right w:val="none" w:sz="0" w:space="0" w:color="auto"/>
              </w:divBdr>
            </w:div>
          </w:divsChild>
        </w:div>
        <w:div w:id="1910185192">
          <w:marLeft w:val="0"/>
          <w:marRight w:val="0"/>
          <w:marTop w:val="0"/>
          <w:marBottom w:val="0"/>
          <w:divBdr>
            <w:top w:val="none" w:sz="0" w:space="0" w:color="auto"/>
            <w:left w:val="none" w:sz="0" w:space="0" w:color="auto"/>
            <w:bottom w:val="none" w:sz="0" w:space="0" w:color="auto"/>
            <w:right w:val="none" w:sz="0" w:space="0" w:color="auto"/>
          </w:divBdr>
          <w:divsChild>
            <w:div w:id="185754974">
              <w:marLeft w:val="0"/>
              <w:marRight w:val="0"/>
              <w:marTop w:val="0"/>
              <w:marBottom w:val="0"/>
              <w:divBdr>
                <w:top w:val="none" w:sz="0" w:space="0" w:color="auto"/>
                <w:left w:val="none" w:sz="0" w:space="0" w:color="auto"/>
                <w:bottom w:val="none" w:sz="0" w:space="0" w:color="auto"/>
                <w:right w:val="none" w:sz="0" w:space="0" w:color="auto"/>
              </w:divBdr>
            </w:div>
          </w:divsChild>
        </w:div>
        <w:div w:id="1983999572">
          <w:marLeft w:val="0"/>
          <w:marRight w:val="0"/>
          <w:marTop w:val="0"/>
          <w:marBottom w:val="0"/>
          <w:divBdr>
            <w:top w:val="none" w:sz="0" w:space="0" w:color="auto"/>
            <w:left w:val="none" w:sz="0" w:space="0" w:color="auto"/>
            <w:bottom w:val="none" w:sz="0" w:space="0" w:color="auto"/>
            <w:right w:val="none" w:sz="0" w:space="0" w:color="auto"/>
          </w:divBdr>
          <w:divsChild>
            <w:div w:id="826088947">
              <w:marLeft w:val="0"/>
              <w:marRight w:val="0"/>
              <w:marTop w:val="0"/>
              <w:marBottom w:val="0"/>
              <w:divBdr>
                <w:top w:val="none" w:sz="0" w:space="0" w:color="auto"/>
                <w:left w:val="none" w:sz="0" w:space="0" w:color="auto"/>
                <w:bottom w:val="none" w:sz="0" w:space="0" w:color="auto"/>
                <w:right w:val="none" w:sz="0" w:space="0" w:color="auto"/>
              </w:divBdr>
            </w:div>
          </w:divsChild>
        </w:div>
        <w:div w:id="2044671016">
          <w:marLeft w:val="0"/>
          <w:marRight w:val="0"/>
          <w:marTop w:val="0"/>
          <w:marBottom w:val="0"/>
          <w:divBdr>
            <w:top w:val="none" w:sz="0" w:space="0" w:color="auto"/>
            <w:left w:val="none" w:sz="0" w:space="0" w:color="auto"/>
            <w:bottom w:val="none" w:sz="0" w:space="0" w:color="auto"/>
            <w:right w:val="none" w:sz="0" w:space="0" w:color="auto"/>
          </w:divBdr>
          <w:divsChild>
            <w:div w:id="21633486">
              <w:marLeft w:val="0"/>
              <w:marRight w:val="0"/>
              <w:marTop w:val="0"/>
              <w:marBottom w:val="0"/>
              <w:divBdr>
                <w:top w:val="none" w:sz="0" w:space="0" w:color="auto"/>
                <w:left w:val="none" w:sz="0" w:space="0" w:color="auto"/>
                <w:bottom w:val="none" w:sz="0" w:space="0" w:color="auto"/>
                <w:right w:val="none" w:sz="0" w:space="0" w:color="auto"/>
              </w:divBdr>
            </w:div>
          </w:divsChild>
        </w:div>
        <w:div w:id="2061586753">
          <w:marLeft w:val="0"/>
          <w:marRight w:val="0"/>
          <w:marTop w:val="0"/>
          <w:marBottom w:val="0"/>
          <w:divBdr>
            <w:top w:val="none" w:sz="0" w:space="0" w:color="auto"/>
            <w:left w:val="none" w:sz="0" w:space="0" w:color="auto"/>
            <w:bottom w:val="none" w:sz="0" w:space="0" w:color="auto"/>
            <w:right w:val="none" w:sz="0" w:space="0" w:color="auto"/>
          </w:divBdr>
          <w:divsChild>
            <w:div w:id="1749031781">
              <w:marLeft w:val="0"/>
              <w:marRight w:val="0"/>
              <w:marTop w:val="0"/>
              <w:marBottom w:val="0"/>
              <w:divBdr>
                <w:top w:val="none" w:sz="0" w:space="0" w:color="auto"/>
                <w:left w:val="none" w:sz="0" w:space="0" w:color="auto"/>
                <w:bottom w:val="none" w:sz="0" w:space="0" w:color="auto"/>
                <w:right w:val="none" w:sz="0" w:space="0" w:color="auto"/>
              </w:divBdr>
            </w:div>
          </w:divsChild>
        </w:div>
        <w:div w:id="2068799060">
          <w:marLeft w:val="0"/>
          <w:marRight w:val="0"/>
          <w:marTop w:val="0"/>
          <w:marBottom w:val="0"/>
          <w:divBdr>
            <w:top w:val="none" w:sz="0" w:space="0" w:color="auto"/>
            <w:left w:val="none" w:sz="0" w:space="0" w:color="auto"/>
            <w:bottom w:val="none" w:sz="0" w:space="0" w:color="auto"/>
            <w:right w:val="none" w:sz="0" w:space="0" w:color="auto"/>
          </w:divBdr>
          <w:divsChild>
            <w:div w:id="1056512659">
              <w:marLeft w:val="0"/>
              <w:marRight w:val="0"/>
              <w:marTop w:val="0"/>
              <w:marBottom w:val="0"/>
              <w:divBdr>
                <w:top w:val="none" w:sz="0" w:space="0" w:color="auto"/>
                <w:left w:val="none" w:sz="0" w:space="0" w:color="auto"/>
                <w:bottom w:val="none" w:sz="0" w:space="0" w:color="auto"/>
                <w:right w:val="none" w:sz="0" w:space="0" w:color="auto"/>
              </w:divBdr>
            </w:div>
          </w:divsChild>
        </w:div>
        <w:div w:id="2096240570">
          <w:marLeft w:val="0"/>
          <w:marRight w:val="0"/>
          <w:marTop w:val="0"/>
          <w:marBottom w:val="0"/>
          <w:divBdr>
            <w:top w:val="none" w:sz="0" w:space="0" w:color="auto"/>
            <w:left w:val="none" w:sz="0" w:space="0" w:color="auto"/>
            <w:bottom w:val="none" w:sz="0" w:space="0" w:color="auto"/>
            <w:right w:val="none" w:sz="0" w:space="0" w:color="auto"/>
          </w:divBdr>
          <w:divsChild>
            <w:div w:id="310015695">
              <w:marLeft w:val="0"/>
              <w:marRight w:val="0"/>
              <w:marTop w:val="0"/>
              <w:marBottom w:val="0"/>
              <w:divBdr>
                <w:top w:val="none" w:sz="0" w:space="0" w:color="auto"/>
                <w:left w:val="none" w:sz="0" w:space="0" w:color="auto"/>
                <w:bottom w:val="none" w:sz="0" w:space="0" w:color="auto"/>
                <w:right w:val="none" w:sz="0" w:space="0" w:color="auto"/>
              </w:divBdr>
            </w:div>
          </w:divsChild>
        </w:div>
        <w:div w:id="2132672991">
          <w:marLeft w:val="0"/>
          <w:marRight w:val="0"/>
          <w:marTop w:val="0"/>
          <w:marBottom w:val="0"/>
          <w:divBdr>
            <w:top w:val="none" w:sz="0" w:space="0" w:color="auto"/>
            <w:left w:val="none" w:sz="0" w:space="0" w:color="auto"/>
            <w:bottom w:val="none" w:sz="0" w:space="0" w:color="auto"/>
            <w:right w:val="none" w:sz="0" w:space="0" w:color="auto"/>
          </w:divBdr>
          <w:divsChild>
            <w:div w:id="304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6871">
      <w:bodyDiv w:val="1"/>
      <w:marLeft w:val="0"/>
      <w:marRight w:val="0"/>
      <w:marTop w:val="0"/>
      <w:marBottom w:val="0"/>
      <w:divBdr>
        <w:top w:val="none" w:sz="0" w:space="0" w:color="auto"/>
        <w:left w:val="none" w:sz="0" w:space="0" w:color="auto"/>
        <w:bottom w:val="none" w:sz="0" w:space="0" w:color="auto"/>
        <w:right w:val="none" w:sz="0" w:space="0" w:color="auto"/>
      </w:divBdr>
      <w:divsChild>
        <w:div w:id="56325331">
          <w:marLeft w:val="0"/>
          <w:marRight w:val="0"/>
          <w:marTop w:val="0"/>
          <w:marBottom w:val="0"/>
          <w:divBdr>
            <w:top w:val="none" w:sz="0" w:space="0" w:color="auto"/>
            <w:left w:val="none" w:sz="0" w:space="0" w:color="auto"/>
            <w:bottom w:val="none" w:sz="0" w:space="0" w:color="auto"/>
            <w:right w:val="none" w:sz="0" w:space="0" w:color="auto"/>
          </w:divBdr>
        </w:div>
        <w:div w:id="383721200">
          <w:marLeft w:val="0"/>
          <w:marRight w:val="0"/>
          <w:marTop w:val="0"/>
          <w:marBottom w:val="0"/>
          <w:divBdr>
            <w:top w:val="none" w:sz="0" w:space="0" w:color="auto"/>
            <w:left w:val="none" w:sz="0" w:space="0" w:color="auto"/>
            <w:bottom w:val="none" w:sz="0" w:space="0" w:color="auto"/>
            <w:right w:val="none" w:sz="0" w:space="0" w:color="auto"/>
          </w:divBdr>
        </w:div>
        <w:div w:id="393358749">
          <w:marLeft w:val="0"/>
          <w:marRight w:val="0"/>
          <w:marTop w:val="0"/>
          <w:marBottom w:val="0"/>
          <w:divBdr>
            <w:top w:val="none" w:sz="0" w:space="0" w:color="auto"/>
            <w:left w:val="none" w:sz="0" w:space="0" w:color="auto"/>
            <w:bottom w:val="none" w:sz="0" w:space="0" w:color="auto"/>
            <w:right w:val="none" w:sz="0" w:space="0" w:color="auto"/>
          </w:divBdr>
        </w:div>
        <w:div w:id="412315307">
          <w:marLeft w:val="0"/>
          <w:marRight w:val="0"/>
          <w:marTop w:val="0"/>
          <w:marBottom w:val="0"/>
          <w:divBdr>
            <w:top w:val="none" w:sz="0" w:space="0" w:color="auto"/>
            <w:left w:val="none" w:sz="0" w:space="0" w:color="auto"/>
            <w:bottom w:val="none" w:sz="0" w:space="0" w:color="auto"/>
            <w:right w:val="none" w:sz="0" w:space="0" w:color="auto"/>
          </w:divBdr>
        </w:div>
        <w:div w:id="805977158">
          <w:marLeft w:val="0"/>
          <w:marRight w:val="0"/>
          <w:marTop w:val="0"/>
          <w:marBottom w:val="0"/>
          <w:divBdr>
            <w:top w:val="none" w:sz="0" w:space="0" w:color="auto"/>
            <w:left w:val="none" w:sz="0" w:space="0" w:color="auto"/>
            <w:bottom w:val="none" w:sz="0" w:space="0" w:color="auto"/>
            <w:right w:val="none" w:sz="0" w:space="0" w:color="auto"/>
          </w:divBdr>
          <w:divsChild>
            <w:div w:id="259875297">
              <w:marLeft w:val="0"/>
              <w:marRight w:val="0"/>
              <w:marTop w:val="0"/>
              <w:marBottom w:val="0"/>
              <w:divBdr>
                <w:top w:val="none" w:sz="0" w:space="0" w:color="auto"/>
                <w:left w:val="none" w:sz="0" w:space="0" w:color="auto"/>
                <w:bottom w:val="none" w:sz="0" w:space="0" w:color="auto"/>
                <w:right w:val="none" w:sz="0" w:space="0" w:color="auto"/>
              </w:divBdr>
            </w:div>
            <w:div w:id="299773487">
              <w:marLeft w:val="0"/>
              <w:marRight w:val="0"/>
              <w:marTop w:val="0"/>
              <w:marBottom w:val="0"/>
              <w:divBdr>
                <w:top w:val="none" w:sz="0" w:space="0" w:color="auto"/>
                <w:left w:val="none" w:sz="0" w:space="0" w:color="auto"/>
                <w:bottom w:val="none" w:sz="0" w:space="0" w:color="auto"/>
                <w:right w:val="none" w:sz="0" w:space="0" w:color="auto"/>
              </w:divBdr>
            </w:div>
            <w:div w:id="531767303">
              <w:marLeft w:val="0"/>
              <w:marRight w:val="0"/>
              <w:marTop w:val="0"/>
              <w:marBottom w:val="0"/>
              <w:divBdr>
                <w:top w:val="none" w:sz="0" w:space="0" w:color="auto"/>
                <w:left w:val="none" w:sz="0" w:space="0" w:color="auto"/>
                <w:bottom w:val="none" w:sz="0" w:space="0" w:color="auto"/>
                <w:right w:val="none" w:sz="0" w:space="0" w:color="auto"/>
              </w:divBdr>
            </w:div>
            <w:div w:id="596404921">
              <w:marLeft w:val="0"/>
              <w:marRight w:val="0"/>
              <w:marTop w:val="0"/>
              <w:marBottom w:val="0"/>
              <w:divBdr>
                <w:top w:val="none" w:sz="0" w:space="0" w:color="auto"/>
                <w:left w:val="none" w:sz="0" w:space="0" w:color="auto"/>
                <w:bottom w:val="none" w:sz="0" w:space="0" w:color="auto"/>
                <w:right w:val="none" w:sz="0" w:space="0" w:color="auto"/>
              </w:divBdr>
            </w:div>
            <w:div w:id="854415976">
              <w:marLeft w:val="0"/>
              <w:marRight w:val="0"/>
              <w:marTop w:val="0"/>
              <w:marBottom w:val="0"/>
              <w:divBdr>
                <w:top w:val="none" w:sz="0" w:space="0" w:color="auto"/>
                <w:left w:val="none" w:sz="0" w:space="0" w:color="auto"/>
                <w:bottom w:val="none" w:sz="0" w:space="0" w:color="auto"/>
                <w:right w:val="none" w:sz="0" w:space="0" w:color="auto"/>
              </w:divBdr>
            </w:div>
            <w:div w:id="862284740">
              <w:marLeft w:val="0"/>
              <w:marRight w:val="0"/>
              <w:marTop w:val="0"/>
              <w:marBottom w:val="0"/>
              <w:divBdr>
                <w:top w:val="none" w:sz="0" w:space="0" w:color="auto"/>
                <w:left w:val="none" w:sz="0" w:space="0" w:color="auto"/>
                <w:bottom w:val="none" w:sz="0" w:space="0" w:color="auto"/>
                <w:right w:val="none" w:sz="0" w:space="0" w:color="auto"/>
              </w:divBdr>
            </w:div>
            <w:div w:id="878397670">
              <w:marLeft w:val="0"/>
              <w:marRight w:val="0"/>
              <w:marTop w:val="0"/>
              <w:marBottom w:val="0"/>
              <w:divBdr>
                <w:top w:val="none" w:sz="0" w:space="0" w:color="auto"/>
                <w:left w:val="none" w:sz="0" w:space="0" w:color="auto"/>
                <w:bottom w:val="none" w:sz="0" w:space="0" w:color="auto"/>
                <w:right w:val="none" w:sz="0" w:space="0" w:color="auto"/>
              </w:divBdr>
            </w:div>
            <w:div w:id="1018896564">
              <w:marLeft w:val="0"/>
              <w:marRight w:val="0"/>
              <w:marTop w:val="0"/>
              <w:marBottom w:val="0"/>
              <w:divBdr>
                <w:top w:val="none" w:sz="0" w:space="0" w:color="auto"/>
                <w:left w:val="none" w:sz="0" w:space="0" w:color="auto"/>
                <w:bottom w:val="none" w:sz="0" w:space="0" w:color="auto"/>
                <w:right w:val="none" w:sz="0" w:space="0" w:color="auto"/>
              </w:divBdr>
            </w:div>
            <w:div w:id="1217471618">
              <w:marLeft w:val="0"/>
              <w:marRight w:val="0"/>
              <w:marTop w:val="0"/>
              <w:marBottom w:val="0"/>
              <w:divBdr>
                <w:top w:val="none" w:sz="0" w:space="0" w:color="auto"/>
                <w:left w:val="none" w:sz="0" w:space="0" w:color="auto"/>
                <w:bottom w:val="none" w:sz="0" w:space="0" w:color="auto"/>
                <w:right w:val="none" w:sz="0" w:space="0" w:color="auto"/>
              </w:divBdr>
            </w:div>
            <w:div w:id="1220482711">
              <w:marLeft w:val="0"/>
              <w:marRight w:val="0"/>
              <w:marTop w:val="0"/>
              <w:marBottom w:val="0"/>
              <w:divBdr>
                <w:top w:val="none" w:sz="0" w:space="0" w:color="auto"/>
                <w:left w:val="none" w:sz="0" w:space="0" w:color="auto"/>
                <w:bottom w:val="none" w:sz="0" w:space="0" w:color="auto"/>
                <w:right w:val="none" w:sz="0" w:space="0" w:color="auto"/>
              </w:divBdr>
            </w:div>
            <w:div w:id="1226916479">
              <w:marLeft w:val="0"/>
              <w:marRight w:val="0"/>
              <w:marTop w:val="0"/>
              <w:marBottom w:val="0"/>
              <w:divBdr>
                <w:top w:val="none" w:sz="0" w:space="0" w:color="auto"/>
                <w:left w:val="none" w:sz="0" w:space="0" w:color="auto"/>
                <w:bottom w:val="none" w:sz="0" w:space="0" w:color="auto"/>
                <w:right w:val="none" w:sz="0" w:space="0" w:color="auto"/>
              </w:divBdr>
            </w:div>
            <w:div w:id="1395856875">
              <w:marLeft w:val="0"/>
              <w:marRight w:val="0"/>
              <w:marTop w:val="0"/>
              <w:marBottom w:val="0"/>
              <w:divBdr>
                <w:top w:val="none" w:sz="0" w:space="0" w:color="auto"/>
                <w:left w:val="none" w:sz="0" w:space="0" w:color="auto"/>
                <w:bottom w:val="none" w:sz="0" w:space="0" w:color="auto"/>
                <w:right w:val="none" w:sz="0" w:space="0" w:color="auto"/>
              </w:divBdr>
            </w:div>
            <w:div w:id="1487235122">
              <w:marLeft w:val="0"/>
              <w:marRight w:val="0"/>
              <w:marTop w:val="0"/>
              <w:marBottom w:val="0"/>
              <w:divBdr>
                <w:top w:val="none" w:sz="0" w:space="0" w:color="auto"/>
                <w:left w:val="none" w:sz="0" w:space="0" w:color="auto"/>
                <w:bottom w:val="none" w:sz="0" w:space="0" w:color="auto"/>
                <w:right w:val="none" w:sz="0" w:space="0" w:color="auto"/>
              </w:divBdr>
            </w:div>
            <w:div w:id="1492286221">
              <w:marLeft w:val="0"/>
              <w:marRight w:val="0"/>
              <w:marTop w:val="0"/>
              <w:marBottom w:val="0"/>
              <w:divBdr>
                <w:top w:val="none" w:sz="0" w:space="0" w:color="auto"/>
                <w:left w:val="none" w:sz="0" w:space="0" w:color="auto"/>
                <w:bottom w:val="none" w:sz="0" w:space="0" w:color="auto"/>
                <w:right w:val="none" w:sz="0" w:space="0" w:color="auto"/>
              </w:divBdr>
            </w:div>
            <w:div w:id="1533613009">
              <w:marLeft w:val="0"/>
              <w:marRight w:val="0"/>
              <w:marTop w:val="0"/>
              <w:marBottom w:val="0"/>
              <w:divBdr>
                <w:top w:val="none" w:sz="0" w:space="0" w:color="auto"/>
                <w:left w:val="none" w:sz="0" w:space="0" w:color="auto"/>
                <w:bottom w:val="none" w:sz="0" w:space="0" w:color="auto"/>
                <w:right w:val="none" w:sz="0" w:space="0" w:color="auto"/>
              </w:divBdr>
            </w:div>
            <w:div w:id="1589315880">
              <w:marLeft w:val="0"/>
              <w:marRight w:val="0"/>
              <w:marTop w:val="0"/>
              <w:marBottom w:val="0"/>
              <w:divBdr>
                <w:top w:val="none" w:sz="0" w:space="0" w:color="auto"/>
                <w:left w:val="none" w:sz="0" w:space="0" w:color="auto"/>
                <w:bottom w:val="none" w:sz="0" w:space="0" w:color="auto"/>
                <w:right w:val="none" w:sz="0" w:space="0" w:color="auto"/>
              </w:divBdr>
            </w:div>
            <w:div w:id="1675183428">
              <w:marLeft w:val="0"/>
              <w:marRight w:val="0"/>
              <w:marTop w:val="0"/>
              <w:marBottom w:val="0"/>
              <w:divBdr>
                <w:top w:val="none" w:sz="0" w:space="0" w:color="auto"/>
                <w:left w:val="none" w:sz="0" w:space="0" w:color="auto"/>
                <w:bottom w:val="none" w:sz="0" w:space="0" w:color="auto"/>
                <w:right w:val="none" w:sz="0" w:space="0" w:color="auto"/>
              </w:divBdr>
            </w:div>
            <w:div w:id="1908152561">
              <w:marLeft w:val="0"/>
              <w:marRight w:val="0"/>
              <w:marTop w:val="0"/>
              <w:marBottom w:val="0"/>
              <w:divBdr>
                <w:top w:val="none" w:sz="0" w:space="0" w:color="auto"/>
                <w:left w:val="none" w:sz="0" w:space="0" w:color="auto"/>
                <w:bottom w:val="none" w:sz="0" w:space="0" w:color="auto"/>
                <w:right w:val="none" w:sz="0" w:space="0" w:color="auto"/>
              </w:divBdr>
            </w:div>
            <w:div w:id="1964843673">
              <w:marLeft w:val="0"/>
              <w:marRight w:val="0"/>
              <w:marTop w:val="0"/>
              <w:marBottom w:val="0"/>
              <w:divBdr>
                <w:top w:val="none" w:sz="0" w:space="0" w:color="auto"/>
                <w:left w:val="none" w:sz="0" w:space="0" w:color="auto"/>
                <w:bottom w:val="none" w:sz="0" w:space="0" w:color="auto"/>
                <w:right w:val="none" w:sz="0" w:space="0" w:color="auto"/>
              </w:divBdr>
            </w:div>
          </w:divsChild>
        </w:div>
        <w:div w:id="836000211">
          <w:marLeft w:val="0"/>
          <w:marRight w:val="0"/>
          <w:marTop w:val="0"/>
          <w:marBottom w:val="0"/>
          <w:divBdr>
            <w:top w:val="none" w:sz="0" w:space="0" w:color="auto"/>
            <w:left w:val="none" w:sz="0" w:space="0" w:color="auto"/>
            <w:bottom w:val="none" w:sz="0" w:space="0" w:color="auto"/>
            <w:right w:val="none" w:sz="0" w:space="0" w:color="auto"/>
          </w:divBdr>
        </w:div>
        <w:div w:id="934480755">
          <w:marLeft w:val="0"/>
          <w:marRight w:val="0"/>
          <w:marTop w:val="0"/>
          <w:marBottom w:val="0"/>
          <w:divBdr>
            <w:top w:val="none" w:sz="0" w:space="0" w:color="auto"/>
            <w:left w:val="none" w:sz="0" w:space="0" w:color="auto"/>
            <w:bottom w:val="none" w:sz="0" w:space="0" w:color="auto"/>
            <w:right w:val="none" w:sz="0" w:space="0" w:color="auto"/>
          </w:divBdr>
        </w:div>
        <w:div w:id="1113135194">
          <w:marLeft w:val="0"/>
          <w:marRight w:val="0"/>
          <w:marTop w:val="0"/>
          <w:marBottom w:val="0"/>
          <w:divBdr>
            <w:top w:val="none" w:sz="0" w:space="0" w:color="auto"/>
            <w:left w:val="none" w:sz="0" w:space="0" w:color="auto"/>
            <w:bottom w:val="none" w:sz="0" w:space="0" w:color="auto"/>
            <w:right w:val="none" w:sz="0" w:space="0" w:color="auto"/>
          </w:divBdr>
        </w:div>
        <w:div w:id="1166628645">
          <w:marLeft w:val="0"/>
          <w:marRight w:val="0"/>
          <w:marTop w:val="0"/>
          <w:marBottom w:val="0"/>
          <w:divBdr>
            <w:top w:val="none" w:sz="0" w:space="0" w:color="auto"/>
            <w:left w:val="none" w:sz="0" w:space="0" w:color="auto"/>
            <w:bottom w:val="none" w:sz="0" w:space="0" w:color="auto"/>
            <w:right w:val="none" w:sz="0" w:space="0" w:color="auto"/>
          </w:divBdr>
        </w:div>
        <w:div w:id="1200431950">
          <w:marLeft w:val="0"/>
          <w:marRight w:val="0"/>
          <w:marTop w:val="0"/>
          <w:marBottom w:val="0"/>
          <w:divBdr>
            <w:top w:val="none" w:sz="0" w:space="0" w:color="auto"/>
            <w:left w:val="none" w:sz="0" w:space="0" w:color="auto"/>
            <w:bottom w:val="none" w:sz="0" w:space="0" w:color="auto"/>
            <w:right w:val="none" w:sz="0" w:space="0" w:color="auto"/>
          </w:divBdr>
          <w:divsChild>
            <w:div w:id="22050780">
              <w:marLeft w:val="0"/>
              <w:marRight w:val="0"/>
              <w:marTop w:val="0"/>
              <w:marBottom w:val="0"/>
              <w:divBdr>
                <w:top w:val="none" w:sz="0" w:space="0" w:color="auto"/>
                <w:left w:val="none" w:sz="0" w:space="0" w:color="auto"/>
                <w:bottom w:val="none" w:sz="0" w:space="0" w:color="auto"/>
                <w:right w:val="none" w:sz="0" w:space="0" w:color="auto"/>
              </w:divBdr>
            </w:div>
            <w:div w:id="38938202">
              <w:marLeft w:val="0"/>
              <w:marRight w:val="0"/>
              <w:marTop w:val="0"/>
              <w:marBottom w:val="0"/>
              <w:divBdr>
                <w:top w:val="none" w:sz="0" w:space="0" w:color="auto"/>
                <w:left w:val="none" w:sz="0" w:space="0" w:color="auto"/>
                <w:bottom w:val="none" w:sz="0" w:space="0" w:color="auto"/>
                <w:right w:val="none" w:sz="0" w:space="0" w:color="auto"/>
              </w:divBdr>
            </w:div>
            <w:div w:id="187449630">
              <w:marLeft w:val="0"/>
              <w:marRight w:val="0"/>
              <w:marTop w:val="0"/>
              <w:marBottom w:val="0"/>
              <w:divBdr>
                <w:top w:val="none" w:sz="0" w:space="0" w:color="auto"/>
                <w:left w:val="none" w:sz="0" w:space="0" w:color="auto"/>
                <w:bottom w:val="none" w:sz="0" w:space="0" w:color="auto"/>
                <w:right w:val="none" w:sz="0" w:space="0" w:color="auto"/>
              </w:divBdr>
            </w:div>
            <w:div w:id="490634455">
              <w:marLeft w:val="0"/>
              <w:marRight w:val="0"/>
              <w:marTop w:val="0"/>
              <w:marBottom w:val="0"/>
              <w:divBdr>
                <w:top w:val="none" w:sz="0" w:space="0" w:color="auto"/>
                <w:left w:val="none" w:sz="0" w:space="0" w:color="auto"/>
                <w:bottom w:val="none" w:sz="0" w:space="0" w:color="auto"/>
                <w:right w:val="none" w:sz="0" w:space="0" w:color="auto"/>
              </w:divBdr>
            </w:div>
            <w:div w:id="663162337">
              <w:marLeft w:val="0"/>
              <w:marRight w:val="0"/>
              <w:marTop w:val="0"/>
              <w:marBottom w:val="0"/>
              <w:divBdr>
                <w:top w:val="none" w:sz="0" w:space="0" w:color="auto"/>
                <w:left w:val="none" w:sz="0" w:space="0" w:color="auto"/>
                <w:bottom w:val="none" w:sz="0" w:space="0" w:color="auto"/>
                <w:right w:val="none" w:sz="0" w:space="0" w:color="auto"/>
              </w:divBdr>
            </w:div>
            <w:div w:id="735125738">
              <w:marLeft w:val="0"/>
              <w:marRight w:val="0"/>
              <w:marTop w:val="0"/>
              <w:marBottom w:val="0"/>
              <w:divBdr>
                <w:top w:val="none" w:sz="0" w:space="0" w:color="auto"/>
                <w:left w:val="none" w:sz="0" w:space="0" w:color="auto"/>
                <w:bottom w:val="none" w:sz="0" w:space="0" w:color="auto"/>
                <w:right w:val="none" w:sz="0" w:space="0" w:color="auto"/>
              </w:divBdr>
            </w:div>
            <w:div w:id="759257437">
              <w:marLeft w:val="0"/>
              <w:marRight w:val="0"/>
              <w:marTop w:val="0"/>
              <w:marBottom w:val="0"/>
              <w:divBdr>
                <w:top w:val="none" w:sz="0" w:space="0" w:color="auto"/>
                <w:left w:val="none" w:sz="0" w:space="0" w:color="auto"/>
                <w:bottom w:val="none" w:sz="0" w:space="0" w:color="auto"/>
                <w:right w:val="none" w:sz="0" w:space="0" w:color="auto"/>
              </w:divBdr>
            </w:div>
            <w:div w:id="773521555">
              <w:marLeft w:val="0"/>
              <w:marRight w:val="0"/>
              <w:marTop w:val="0"/>
              <w:marBottom w:val="0"/>
              <w:divBdr>
                <w:top w:val="none" w:sz="0" w:space="0" w:color="auto"/>
                <w:left w:val="none" w:sz="0" w:space="0" w:color="auto"/>
                <w:bottom w:val="none" w:sz="0" w:space="0" w:color="auto"/>
                <w:right w:val="none" w:sz="0" w:space="0" w:color="auto"/>
              </w:divBdr>
            </w:div>
            <w:div w:id="787552679">
              <w:marLeft w:val="0"/>
              <w:marRight w:val="0"/>
              <w:marTop w:val="0"/>
              <w:marBottom w:val="0"/>
              <w:divBdr>
                <w:top w:val="none" w:sz="0" w:space="0" w:color="auto"/>
                <w:left w:val="none" w:sz="0" w:space="0" w:color="auto"/>
                <w:bottom w:val="none" w:sz="0" w:space="0" w:color="auto"/>
                <w:right w:val="none" w:sz="0" w:space="0" w:color="auto"/>
              </w:divBdr>
            </w:div>
            <w:div w:id="811141077">
              <w:marLeft w:val="0"/>
              <w:marRight w:val="0"/>
              <w:marTop w:val="0"/>
              <w:marBottom w:val="0"/>
              <w:divBdr>
                <w:top w:val="none" w:sz="0" w:space="0" w:color="auto"/>
                <w:left w:val="none" w:sz="0" w:space="0" w:color="auto"/>
                <w:bottom w:val="none" w:sz="0" w:space="0" w:color="auto"/>
                <w:right w:val="none" w:sz="0" w:space="0" w:color="auto"/>
              </w:divBdr>
            </w:div>
            <w:div w:id="893349291">
              <w:marLeft w:val="0"/>
              <w:marRight w:val="0"/>
              <w:marTop w:val="0"/>
              <w:marBottom w:val="0"/>
              <w:divBdr>
                <w:top w:val="none" w:sz="0" w:space="0" w:color="auto"/>
                <w:left w:val="none" w:sz="0" w:space="0" w:color="auto"/>
                <w:bottom w:val="none" w:sz="0" w:space="0" w:color="auto"/>
                <w:right w:val="none" w:sz="0" w:space="0" w:color="auto"/>
              </w:divBdr>
            </w:div>
            <w:div w:id="1336806670">
              <w:marLeft w:val="0"/>
              <w:marRight w:val="0"/>
              <w:marTop w:val="0"/>
              <w:marBottom w:val="0"/>
              <w:divBdr>
                <w:top w:val="none" w:sz="0" w:space="0" w:color="auto"/>
                <w:left w:val="none" w:sz="0" w:space="0" w:color="auto"/>
                <w:bottom w:val="none" w:sz="0" w:space="0" w:color="auto"/>
                <w:right w:val="none" w:sz="0" w:space="0" w:color="auto"/>
              </w:divBdr>
            </w:div>
            <w:div w:id="1591355861">
              <w:marLeft w:val="0"/>
              <w:marRight w:val="0"/>
              <w:marTop w:val="0"/>
              <w:marBottom w:val="0"/>
              <w:divBdr>
                <w:top w:val="none" w:sz="0" w:space="0" w:color="auto"/>
                <w:left w:val="none" w:sz="0" w:space="0" w:color="auto"/>
                <w:bottom w:val="none" w:sz="0" w:space="0" w:color="auto"/>
                <w:right w:val="none" w:sz="0" w:space="0" w:color="auto"/>
              </w:divBdr>
            </w:div>
            <w:div w:id="1592854909">
              <w:marLeft w:val="0"/>
              <w:marRight w:val="0"/>
              <w:marTop w:val="0"/>
              <w:marBottom w:val="0"/>
              <w:divBdr>
                <w:top w:val="none" w:sz="0" w:space="0" w:color="auto"/>
                <w:left w:val="none" w:sz="0" w:space="0" w:color="auto"/>
                <w:bottom w:val="none" w:sz="0" w:space="0" w:color="auto"/>
                <w:right w:val="none" w:sz="0" w:space="0" w:color="auto"/>
              </w:divBdr>
            </w:div>
            <w:div w:id="1637490681">
              <w:marLeft w:val="0"/>
              <w:marRight w:val="0"/>
              <w:marTop w:val="0"/>
              <w:marBottom w:val="0"/>
              <w:divBdr>
                <w:top w:val="none" w:sz="0" w:space="0" w:color="auto"/>
                <w:left w:val="none" w:sz="0" w:space="0" w:color="auto"/>
                <w:bottom w:val="none" w:sz="0" w:space="0" w:color="auto"/>
                <w:right w:val="none" w:sz="0" w:space="0" w:color="auto"/>
              </w:divBdr>
            </w:div>
            <w:div w:id="1704331055">
              <w:marLeft w:val="0"/>
              <w:marRight w:val="0"/>
              <w:marTop w:val="0"/>
              <w:marBottom w:val="0"/>
              <w:divBdr>
                <w:top w:val="none" w:sz="0" w:space="0" w:color="auto"/>
                <w:left w:val="none" w:sz="0" w:space="0" w:color="auto"/>
                <w:bottom w:val="none" w:sz="0" w:space="0" w:color="auto"/>
                <w:right w:val="none" w:sz="0" w:space="0" w:color="auto"/>
              </w:divBdr>
            </w:div>
            <w:div w:id="1937901064">
              <w:marLeft w:val="0"/>
              <w:marRight w:val="0"/>
              <w:marTop w:val="0"/>
              <w:marBottom w:val="0"/>
              <w:divBdr>
                <w:top w:val="none" w:sz="0" w:space="0" w:color="auto"/>
                <w:left w:val="none" w:sz="0" w:space="0" w:color="auto"/>
                <w:bottom w:val="none" w:sz="0" w:space="0" w:color="auto"/>
                <w:right w:val="none" w:sz="0" w:space="0" w:color="auto"/>
              </w:divBdr>
            </w:div>
            <w:div w:id="2033918362">
              <w:marLeft w:val="0"/>
              <w:marRight w:val="0"/>
              <w:marTop w:val="0"/>
              <w:marBottom w:val="0"/>
              <w:divBdr>
                <w:top w:val="none" w:sz="0" w:space="0" w:color="auto"/>
                <w:left w:val="none" w:sz="0" w:space="0" w:color="auto"/>
                <w:bottom w:val="none" w:sz="0" w:space="0" w:color="auto"/>
                <w:right w:val="none" w:sz="0" w:space="0" w:color="auto"/>
              </w:divBdr>
            </w:div>
            <w:div w:id="2044547819">
              <w:marLeft w:val="0"/>
              <w:marRight w:val="0"/>
              <w:marTop w:val="0"/>
              <w:marBottom w:val="0"/>
              <w:divBdr>
                <w:top w:val="none" w:sz="0" w:space="0" w:color="auto"/>
                <w:left w:val="none" w:sz="0" w:space="0" w:color="auto"/>
                <w:bottom w:val="none" w:sz="0" w:space="0" w:color="auto"/>
                <w:right w:val="none" w:sz="0" w:space="0" w:color="auto"/>
              </w:divBdr>
            </w:div>
            <w:div w:id="2130659803">
              <w:marLeft w:val="0"/>
              <w:marRight w:val="0"/>
              <w:marTop w:val="0"/>
              <w:marBottom w:val="0"/>
              <w:divBdr>
                <w:top w:val="none" w:sz="0" w:space="0" w:color="auto"/>
                <w:left w:val="none" w:sz="0" w:space="0" w:color="auto"/>
                <w:bottom w:val="none" w:sz="0" w:space="0" w:color="auto"/>
                <w:right w:val="none" w:sz="0" w:space="0" w:color="auto"/>
              </w:divBdr>
            </w:div>
          </w:divsChild>
        </w:div>
        <w:div w:id="1272396123">
          <w:marLeft w:val="0"/>
          <w:marRight w:val="0"/>
          <w:marTop w:val="0"/>
          <w:marBottom w:val="0"/>
          <w:divBdr>
            <w:top w:val="none" w:sz="0" w:space="0" w:color="auto"/>
            <w:left w:val="none" w:sz="0" w:space="0" w:color="auto"/>
            <w:bottom w:val="none" w:sz="0" w:space="0" w:color="auto"/>
            <w:right w:val="none" w:sz="0" w:space="0" w:color="auto"/>
          </w:divBdr>
        </w:div>
        <w:div w:id="1282149006">
          <w:marLeft w:val="0"/>
          <w:marRight w:val="0"/>
          <w:marTop w:val="0"/>
          <w:marBottom w:val="0"/>
          <w:divBdr>
            <w:top w:val="none" w:sz="0" w:space="0" w:color="auto"/>
            <w:left w:val="none" w:sz="0" w:space="0" w:color="auto"/>
            <w:bottom w:val="none" w:sz="0" w:space="0" w:color="auto"/>
            <w:right w:val="none" w:sz="0" w:space="0" w:color="auto"/>
          </w:divBdr>
        </w:div>
        <w:div w:id="1399086497">
          <w:marLeft w:val="0"/>
          <w:marRight w:val="0"/>
          <w:marTop w:val="0"/>
          <w:marBottom w:val="0"/>
          <w:divBdr>
            <w:top w:val="none" w:sz="0" w:space="0" w:color="auto"/>
            <w:left w:val="none" w:sz="0" w:space="0" w:color="auto"/>
            <w:bottom w:val="none" w:sz="0" w:space="0" w:color="auto"/>
            <w:right w:val="none" w:sz="0" w:space="0" w:color="auto"/>
          </w:divBdr>
        </w:div>
        <w:div w:id="1430270777">
          <w:marLeft w:val="0"/>
          <w:marRight w:val="0"/>
          <w:marTop w:val="0"/>
          <w:marBottom w:val="0"/>
          <w:divBdr>
            <w:top w:val="none" w:sz="0" w:space="0" w:color="auto"/>
            <w:left w:val="none" w:sz="0" w:space="0" w:color="auto"/>
            <w:bottom w:val="none" w:sz="0" w:space="0" w:color="auto"/>
            <w:right w:val="none" w:sz="0" w:space="0" w:color="auto"/>
          </w:divBdr>
        </w:div>
        <w:div w:id="1571697679">
          <w:marLeft w:val="0"/>
          <w:marRight w:val="0"/>
          <w:marTop w:val="0"/>
          <w:marBottom w:val="0"/>
          <w:divBdr>
            <w:top w:val="none" w:sz="0" w:space="0" w:color="auto"/>
            <w:left w:val="none" w:sz="0" w:space="0" w:color="auto"/>
            <w:bottom w:val="none" w:sz="0" w:space="0" w:color="auto"/>
            <w:right w:val="none" w:sz="0" w:space="0" w:color="auto"/>
          </w:divBdr>
        </w:div>
        <w:div w:id="1756173105">
          <w:marLeft w:val="0"/>
          <w:marRight w:val="0"/>
          <w:marTop w:val="0"/>
          <w:marBottom w:val="0"/>
          <w:divBdr>
            <w:top w:val="none" w:sz="0" w:space="0" w:color="auto"/>
            <w:left w:val="none" w:sz="0" w:space="0" w:color="auto"/>
            <w:bottom w:val="none" w:sz="0" w:space="0" w:color="auto"/>
            <w:right w:val="none" w:sz="0" w:space="0" w:color="auto"/>
          </w:divBdr>
        </w:div>
        <w:div w:id="1774745259">
          <w:marLeft w:val="0"/>
          <w:marRight w:val="0"/>
          <w:marTop w:val="0"/>
          <w:marBottom w:val="0"/>
          <w:divBdr>
            <w:top w:val="none" w:sz="0" w:space="0" w:color="auto"/>
            <w:left w:val="none" w:sz="0" w:space="0" w:color="auto"/>
            <w:bottom w:val="none" w:sz="0" w:space="0" w:color="auto"/>
            <w:right w:val="none" w:sz="0" w:space="0" w:color="auto"/>
          </w:divBdr>
        </w:div>
        <w:div w:id="2008049566">
          <w:marLeft w:val="0"/>
          <w:marRight w:val="0"/>
          <w:marTop w:val="0"/>
          <w:marBottom w:val="0"/>
          <w:divBdr>
            <w:top w:val="none" w:sz="0" w:space="0" w:color="auto"/>
            <w:left w:val="none" w:sz="0" w:space="0" w:color="auto"/>
            <w:bottom w:val="none" w:sz="0" w:space="0" w:color="auto"/>
            <w:right w:val="none" w:sz="0" w:space="0" w:color="auto"/>
          </w:divBdr>
        </w:div>
        <w:div w:id="2063751050">
          <w:marLeft w:val="0"/>
          <w:marRight w:val="0"/>
          <w:marTop w:val="0"/>
          <w:marBottom w:val="0"/>
          <w:divBdr>
            <w:top w:val="none" w:sz="0" w:space="0" w:color="auto"/>
            <w:left w:val="none" w:sz="0" w:space="0" w:color="auto"/>
            <w:bottom w:val="none" w:sz="0" w:space="0" w:color="auto"/>
            <w:right w:val="none" w:sz="0" w:space="0" w:color="auto"/>
          </w:divBdr>
        </w:div>
        <w:div w:id="2103722417">
          <w:marLeft w:val="0"/>
          <w:marRight w:val="0"/>
          <w:marTop w:val="0"/>
          <w:marBottom w:val="0"/>
          <w:divBdr>
            <w:top w:val="none" w:sz="0" w:space="0" w:color="auto"/>
            <w:left w:val="none" w:sz="0" w:space="0" w:color="auto"/>
            <w:bottom w:val="none" w:sz="0" w:space="0" w:color="auto"/>
            <w:right w:val="none" w:sz="0" w:space="0" w:color="auto"/>
          </w:divBdr>
        </w:div>
      </w:divsChild>
    </w:div>
    <w:div w:id="434327590">
      <w:bodyDiv w:val="1"/>
      <w:marLeft w:val="0"/>
      <w:marRight w:val="0"/>
      <w:marTop w:val="0"/>
      <w:marBottom w:val="0"/>
      <w:divBdr>
        <w:top w:val="none" w:sz="0" w:space="0" w:color="auto"/>
        <w:left w:val="none" w:sz="0" w:space="0" w:color="auto"/>
        <w:bottom w:val="none" w:sz="0" w:space="0" w:color="auto"/>
        <w:right w:val="none" w:sz="0" w:space="0" w:color="auto"/>
      </w:divBdr>
    </w:div>
    <w:div w:id="434979326">
      <w:bodyDiv w:val="1"/>
      <w:marLeft w:val="0"/>
      <w:marRight w:val="0"/>
      <w:marTop w:val="0"/>
      <w:marBottom w:val="0"/>
      <w:divBdr>
        <w:top w:val="none" w:sz="0" w:space="0" w:color="auto"/>
        <w:left w:val="none" w:sz="0" w:space="0" w:color="auto"/>
        <w:bottom w:val="none" w:sz="0" w:space="0" w:color="auto"/>
        <w:right w:val="none" w:sz="0" w:space="0" w:color="auto"/>
      </w:divBdr>
      <w:divsChild>
        <w:div w:id="48111435">
          <w:marLeft w:val="0"/>
          <w:marRight w:val="0"/>
          <w:marTop w:val="0"/>
          <w:marBottom w:val="0"/>
          <w:divBdr>
            <w:top w:val="none" w:sz="0" w:space="0" w:color="auto"/>
            <w:left w:val="none" w:sz="0" w:space="0" w:color="auto"/>
            <w:bottom w:val="none" w:sz="0" w:space="0" w:color="auto"/>
            <w:right w:val="none" w:sz="0" w:space="0" w:color="auto"/>
          </w:divBdr>
        </w:div>
        <w:div w:id="106237150">
          <w:marLeft w:val="0"/>
          <w:marRight w:val="0"/>
          <w:marTop w:val="0"/>
          <w:marBottom w:val="0"/>
          <w:divBdr>
            <w:top w:val="none" w:sz="0" w:space="0" w:color="auto"/>
            <w:left w:val="none" w:sz="0" w:space="0" w:color="auto"/>
            <w:bottom w:val="none" w:sz="0" w:space="0" w:color="auto"/>
            <w:right w:val="none" w:sz="0" w:space="0" w:color="auto"/>
          </w:divBdr>
        </w:div>
        <w:div w:id="111872362">
          <w:marLeft w:val="0"/>
          <w:marRight w:val="0"/>
          <w:marTop w:val="0"/>
          <w:marBottom w:val="0"/>
          <w:divBdr>
            <w:top w:val="none" w:sz="0" w:space="0" w:color="auto"/>
            <w:left w:val="none" w:sz="0" w:space="0" w:color="auto"/>
            <w:bottom w:val="none" w:sz="0" w:space="0" w:color="auto"/>
            <w:right w:val="none" w:sz="0" w:space="0" w:color="auto"/>
          </w:divBdr>
        </w:div>
        <w:div w:id="116293591">
          <w:marLeft w:val="0"/>
          <w:marRight w:val="0"/>
          <w:marTop w:val="0"/>
          <w:marBottom w:val="0"/>
          <w:divBdr>
            <w:top w:val="none" w:sz="0" w:space="0" w:color="auto"/>
            <w:left w:val="none" w:sz="0" w:space="0" w:color="auto"/>
            <w:bottom w:val="none" w:sz="0" w:space="0" w:color="auto"/>
            <w:right w:val="none" w:sz="0" w:space="0" w:color="auto"/>
          </w:divBdr>
        </w:div>
        <w:div w:id="161050817">
          <w:marLeft w:val="0"/>
          <w:marRight w:val="0"/>
          <w:marTop w:val="0"/>
          <w:marBottom w:val="0"/>
          <w:divBdr>
            <w:top w:val="none" w:sz="0" w:space="0" w:color="auto"/>
            <w:left w:val="none" w:sz="0" w:space="0" w:color="auto"/>
            <w:bottom w:val="none" w:sz="0" w:space="0" w:color="auto"/>
            <w:right w:val="none" w:sz="0" w:space="0" w:color="auto"/>
          </w:divBdr>
        </w:div>
        <w:div w:id="197133523">
          <w:marLeft w:val="0"/>
          <w:marRight w:val="0"/>
          <w:marTop w:val="0"/>
          <w:marBottom w:val="0"/>
          <w:divBdr>
            <w:top w:val="none" w:sz="0" w:space="0" w:color="auto"/>
            <w:left w:val="none" w:sz="0" w:space="0" w:color="auto"/>
            <w:bottom w:val="none" w:sz="0" w:space="0" w:color="auto"/>
            <w:right w:val="none" w:sz="0" w:space="0" w:color="auto"/>
          </w:divBdr>
        </w:div>
        <w:div w:id="207307455">
          <w:marLeft w:val="0"/>
          <w:marRight w:val="0"/>
          <w:marTop w:val="0"/>
          <w:marBottom w:val="0"/>
          <w:divBdr>
            <w:top w:val="none" w:sz="0" w:space="0" w:color="auto"/>
            <w:left w:val="none" w:sz="0" w:space="0" w:color="auto"/>
            <w:bottom w:val="none" w:sz="0" w:space="0" w:color="auto"/>
            <w:right w:val="none" w:sz="0" w:space="0" w:color="auto"/>
          </w:divBdr>
        </w:div>
        <w:div w:id="213660973">
          <w:marLeft w:val="0"/>
          <w:marRight w:val="0"/>
          <w:marTop w:val="0"/>
          <w:marBottom w:val="0"/>
          <w:divBdr>
            <w:top w:val="none" w:sz="0" w:space="0" w:color="auto"/>
            <w:left w:val="none" w:sz="0" w:space="0" w:color="auto"/>
            <w:bottom w:val="none" w:sz="0" w:space="0" w:color="auto"/>
            <w:right w:val="none" w:sz="0" w:space="0" w:color="auto"/>
          </w:divBdr>
        </w:div>
        <w:div w:id="272133193">
          <w:marLeft w:val="0"/>
          <w:marRight w:val="0"/>
          <w:marTop w:val="0"/>
          <w:marBottom w:val="0"/>
          <w:divBdr>
            <w:top w:val="none" w:sz="0" w:space="0" w:color="auto"/>
            <w:left w:val="none" w:sz="0" w:space="0" w:color="auto"/>
            <w:bottom w:val="none" w:sz="0" w:space="0" w:color="auto"/>
            <w:right w:val="none" w:sz="0" w:space="0" w:color="auto"/>
          </w:divBdr>
        </w:div>
        <w:div w:id="305092665">
          <w:marLeft w:val="0"/>
          <w:marRight w:val="0"/>
          <w:marTop w:val="0"/>
          <w:marBottom w:val="0"/>
          <w:divBdr>
            <w:top w:val="none" w:sz="0" w:space="0" w:color="auto"/>
            <w:left w:val="none" w:sz="0" w:space="0" w:color="auto"/>
            <w:bottom w:val="none" w:sz="0" w:space="0" w:color="auto"/>
            <w:right w:val="none" w:sz="0" w:space="0" w:color="auto"/>
          </w:divBdr>
        </w:div>
        <w:div w:id="306403910">
          <w:marLeft w:val="0"/>
          <w:marRight w:val="0"/>
          <w:marTop w:val="0"/>
          <w:marBottom w:val="0"/>
          <w:divBdr>
            <w:top w:val="none" w:sz="0" w:space="0" w:color="auto"/>
            <w:left w:val="none" w:sz="0" w:space="0" w:color="auto"/>
            <w:bottom w:val="none" w:sz="0" w:space="0" w:color="auto"/>
            <w:right w:val="none" w:sz="0" w:space="0" w:color="auto"/>
          </w:divBdr>
          <w:divsChild>
            <w:div w:id="147401048">
              <w:marLeft w:val="0"/>
              <w:marRight w:val="0"/>
              <w:marTop w:val="0"/>
              <w:marBottom w:val="0"/>
              <w:divBdr>
                <w:top w:val="none" w:sz="0" w:space="0" w:color="auto"/>
                <w:left w:val="none" w:sz="0" w:space="0" w:color="auto"/>
                <w:bottom w:val="none" w:sz="0" w:space="0" w:color="auto"/>
                <w:right w:val="none" w:sz="0" w:space="0" w:color="auto"/>
              </w:divBdr>
            </w:div>
            <w:div w:id="151412101">
              <w:marLeft w:val="0"/>
              <w:marRight w:val="0"/>
              <w:marTop w:val="0"/>
              <w:marBottom w:val="0"/>
              <w:divBdr>
                <w:top w:val="none" w:sz="0" w:space="0" w:color="auto"/>
                <w:left w:val="none" w:sz="0" w:space="0" w:color="auto"/>
                <w:bottom w:val="none" w:sz="0" w:space="0" w:color="auto"/>
                <w:right w:val="none" w:sz="0" w:space="0" w:color="auto"/>
              </w:divBdr>
            </w:div>
            <w:div w:id="295911638">
              <w:marLeft w:val="0"/>
              <w:marRight w:val="0"/>
              <w:marTop w:val="0"/>
              <w:marBottom w:val="0"/>
              <w:divBdr>
                <w:top w:val="none" w:sz="0" w:space="0" w:color="auto"/>
                <w:left w:val="none" w:sz="0" w:space="0" w:color="auto"/>
                <w:bottom w:val="none" w:sz="0" w:space="0" w:color="auto"/>
                <w:right w:val="none" w:sz="0" w:space="0" w:color="auto"/>
              </w:divBdr>
            </w:div>
            <w:div w:id="347029114">
              <w:marLeft w:val="0"/>
              <w:marRight w:val="0"/>
              <w:marTop w:val="0"/>
              <w:marBottom w:val="0"/>
              <w:divBdr>
                <w:top w:val="none" w:sz="0" w:space="0" w:color="auto"/>
                <w:left w:val="none" w:sz="0" w:space="0" w:color="auto"/>
                <w:bottom w:val="none" w:sz="0" w:space="0" w:color="auto"/>
                <w:right w:val="none" w:sz="0" w:space="0" w:color="auto"/>
              </w:divBdr>
            </w:div>
            <w:div w:id="381903901">
              <w:marLeft w:val="0"/>
              <w:marRight w:val="0"/>
              <w:marTop w:val="0"/>
              <w:marBottom w:val="0"/>
              <w:divBdr>
                <w:top w:val="none" w:sz="0" w:space="0" w:color="auto"/>
                <w:left w:val="none" w:sz="0" w:space="0" w:color="auto"/>
                <w:bottom w:val="none" w:sz="0" w:space="0" w:color="auto"/>
                <w:right w:val="none" w:sz="0" w:space="0" w:color="auto"/>
              </w:divBdr>
            </w:div>
            <w:div w:id="544411054">
              <w:marLeft w:val="0"/>
              <w:marRight w:val="0"/>
              <w:marTop w:val="0"/>
              <w:marBottom w:val="0"/>
              <w:divBdr>
                <w:top w:val="none" w:sz="0" w:space="0" w:color="auto"/>
                <w:left w:val="none" w:sz="0" w:space="0" w:color="auto"/>
                <w:bottom w:val="none" w:sz="0" w:space="0" w:color="auto"/>
                <w:right w:val="none" w:sz="0" w:space="0" w:color="auto"/>
              </w:divBdr>
            </w:div>
            <w:div w:id="686443677">
              <w:marLeft w:val="0"/>
              <w:marRight w:val="0"/>
              <w:marTop w:val="0"/>
              <w:marBottom w:val="0"/>
              <w:divBdr>
                <w:top w:val="none" w:sz="0" w:space="0" w:color="auto"/>
                <w:left w:val="none" w:sz="0" w:space="0" w:color="auto"/>
                <w:bottom w:val="none" w:sz="0" w:space="0" w:color="auto"/>
                <w:right w:val="none" w:sz="0" w:space="0" w:color="auto"/>
              </w:divBdr>
            </w:div>
            <w:div w:id="688802367">
              <w:marLeft w:val="0"/>
              <w:marRight w:val="0"/>
              <w:marTop w:val="0"/>
              <w:marBottom w:val="0"/>
              <w:divBdr>
                <w:top w:val="none" w:sz="0" w:space="0" w:color="auto"/>
                <w:left w:val="none" w:sz="0" w:space="0" w:color="auto"/>
                <w:bottom w:val="none" w:sz="0" w:space="0" w:color="auto"/>
                <w:right w:val="none" w:sz="0" w:space="0" w:color="auto"/>
              </w:divBdr>
            </w:div>
            <w:div w:id="886916345">
              <w:marLeft w:val="0"/>
              <w:marRight w:val="0"/>
              <w:marTop w:val="0"/>
              <w:marBottom w:val="0"/>
              <w:divBdr>
                <w:top w:val="none" w:sz="0" w:space="0" w:color="auto"/>
                <w:left w:val="none" w:sz="0" w:space="0" w:color="auto"/>
                <w:bottom w:val="none" w:sz="0" w:space="0" w:color="auto"/>
                <w:right w:val="none" w:sz="0" w:space="0" w:color="auto"/>
              </w:divBdr>
            </w:div>
            <w:div w:id="895513569">
              <w:marLeft w:val="0"/>
              <w:marRight w:val="0"/>
              <w:marTop w:val="0"/>
              <w:marBottom w:val="0"/>
              <w:divBdr>
                <w:top w:val="none" w:sz="0" w:space="0" w:color="auto"/>
                <w:left w:val="none" w:sz="0" w:space="0" w:color="auto"/>
                <w:bottom w:val="none" w:sz="0" w:space="0" w:color="auto"/>
                <w:right w:val="none" w:sz="0" w:space="0" w:color="auto"/>
              </w:divBdr>
            </w:div>
            <w:div w:id="1198733536">
              <w:marLeft w:val="0"/>
              <w:marRight w:val="0"/>
              <w:marTop w:val="0"/>
              <w:marBottom w:val="0"/>
              <w:divBdr>
                <w:top w:val="none" w:sz="0" w:space="0" w:color="auto"/>
                <w:left w:val="none" w:sz="0" w:space="0" w:color="auto"/>
                <w:bottom w:val="none" w:sz="0" w:space="0" w:color="auto"/>
                <w:right w:val="none" w:sz="0" w:space="0" w:color="auto"/>
              </w:divBdr>
            </w:div>
            <w:div w:id="1307124312">
              <w:marLeft w:val="0"/>
              <w:marRight w:val="0"/>
              <w:marTop w:val="0"/>
              <w:marBottom w:val="0"/>
              <w:divBdr>
                <w:top w:val="none" w:sz="0" w:space="0" w:color="auto"/>
                <w:left w:val="none" w:sz="0" w:space="0" w:color="auto"/>
                <w:bottom w:val="none" w:sz="0" w:space="0" w:color="auto"/>
                <w:right w:val="none" w:sz="0" w:space="0" w:color="auto"/>
              </w:divBdr>
            </w:div>
            <w:div w:id="1395160884">
              <w:marLeft w:val="0"/>
              <w:marRight w:val="0"/>
              <w:marTop w:val="0"/>
              <w:marBottom w:val="0"/>
              <w:divBdr>
                <w:top w:val="none" w:sz="0" w:space="0" w:color="auto"/>
                <w:left w:val="none" w:sz="0" w:space="0" w:color="auto"/>
                <w:bottom w:val="none" w:sz="0" w:space="0" w:color="auto"/>
                <w:right w:val="none" w:sz="0" w:space="0" w:color="auto"/>
              </w:divBdr>
            </w:div>
            <w:div w:id="1402868341">
              <w:marLeft w:val="0"/>
              <w:marRight w:val="0"/>
              <w:marTop w:val="0"/>
              <w:marBottom w:val="0"/>
              <w:divBdr>
                <w:top w:val="none" w:sz="0" w:space="0" w:color="auto"/>
                <w:left w:val="none" w:sz="0" w:space="0" w:color="auto"/>
                <w:bottom w:val="none" w:sz="0" w:space="0" w:color="auto"/>
                <w:right w:val="none" w:sz="0" w:space="0" w:color="auto"/>
              </w:divBdr>
            </w:div>
            <w:div w:id="1414206050">
              <w:marLeft w:val="0"/>
              <w:marRight w:val="0"/>
              <w:marTop w:val="0"/>
              <w:marBottom w:val="0"/>
              <w:divBdr>
                <w:top w:val="none" w:sz="0" w:space="0" w:color="auto"/>
                <w:left w:val="none" w:sz="0" w:space="0" w:color="auto"/>
                <w:bottom w:val="none" w:sz="0" w:space="0" w:color="auto"/>
                <w:right w:val="none" w:sz="0" w:space="0" w:color="auto"/>
              </w:divBdr>
            </w:div>
            <w:div w:id="1532106207">
              <w:marLeft w:val="0"/>
              <w:marRight w:val="0"/>
              <w:marTop w:val="0"/>
              <w:marBottom w:val="0"/>
              <w:divBdr>
                <w:top w:val="none" w:sz="0" w:space="0" w:color="auto"/>
                <w:left w:val="none" w:sz="0" w:space="0" w:color="auto"/>
                <w:bottom w:val="none" w:sz="0" w:space="0" w:color="auto"/>
                <w:right w:val="none" w:sz="0" w:space="0" w:color="auto"/>
              </w:divBdr>
            </w:div>
            <w:div w:id="1579903556">
              <w:marLeft w:val="0"/>
              <w:marRight w:val="0"/>
              <w:marTop w:val="0"/>
              <w:marBottom w:val="0"/>
              <w:divBdr>
                <w:top w:val="none" w:sz="0" w:space="0" w:color="auto"/>
                <w:left w:val="none" w:sz="0" w:space="0" w:color="auto"/>
                <w:bottom w:val="none" w:sz="0" w:space="0" w:color="auto"/>
                <w:right w:val="none" w:sz="0" w:space="0" w:color="auto"/>
              </w:divBdr>
            </w:div>
            <w:div w:id="1814172819">
              <w:marLeft w:val="0"/>
              <w:marRight w:val="0"/>
              <w:marTop w:val="0"/>
              <w:marBottom w:val="0"/>
              <w:divBdr>
                <w:top w:val="none" w:sz="0" w:space="0" w:color="auto"/>
                <w:left w:val="none" w:sz="0" w:space="0" w:color="auto"/>
                <w:bottom w:val="none" w:sz="0" w:space="0" w:color="auto"/>
                <w:right w:val="none" w:sz="0" w:space="0" w:color="auto"/>
              </w:divBdr>
            </w:div>
            <w:div w:id="2012635494">
              <w:marLeft w:val="0"/>
              <w:marRight w:val="0"/>
              <w:marTop w:val="0"/>
              <w:marBottom w:val="0"/>
              <w:divBdr>
                <w:top w:val="none" w:sz="0" w:space="0" w:color="auto"/>
                <w:left w:val="none" w:sz="0" w:space="0" w:color="auto"/>
                <w:bottom w:val="none" w:sz="0" w:space="0" w:color="auto"/>
                <w:right w:val="none" w:sz="0" w:space="0" w:color="auto"/>
              </w:divBdr>
            </w:div>
            <w:div w:id="2054307803">
              <w:marLeft w:val="0"/>
              <w:marRight w:val="0"/>
              <w:marTop w:val="0"/>
              <w:marBottom w:val="0"/>
              <w:divBdr>
                <w:top w:val="none" w:sz="0" w:space="0" w:color="auto"/>
                <w:left w:val="none" w:sz="0" w:space="0" w:color="auto"/>
                <w:bottom w:val="none" w:sz="0" w:space="0" w:color="auto"/>
                <w:right w:val="none" w:sz="0" w:space="0" w:color="auto"/>
              </w:divBdr>
            </w:div>
          </w:divsChild>
        </w:div>
        <w:div w:id="350450043">
          <w:marLeft w:val="0"/>
          <w:marRight w:val="0"/>
          <w:marTop w:val="0"/>
          <w:marBottom w:val="0"/>
          <w:divBdr>
            <w:top w:val="none" w:sz="0" w:space="0" w:color="auto"/>
            <w:left w:val="none" w:sz="0" w:space="0" w:color="auto"/>
            <w:bottom w:val="none" w:sz="0" w:space="0" w:color="auto"/>
            <w:right w:val="none" w:sz="0" w:space="0" w:color="auto"/>
          </w:divBdr>
        </w:div>
        <w:div w:id="427391187">
          <w:marLeft w:val="0"/>
          <w:marRight w:val="0"/>
          <w:marTop w:val="0"/>
          <w:marBottom w:val="0"/>
          <w:divBdr>
            <w:top w:val="none" w:sz="0" w:space="0" w:color="auto"/>
            <w:left w:val="none" w:sz="0" w:space="0" w:color="auto"/>
            <w:bottom w:val="none" w:sz="0" w:space="0" w:color="auto"/>
            <w:right w:val="none" w:sz="0" w:space="0" w:color="auto"/>
          </w:divBdr>
        </w:div>
        <w:div w:id="432676201">
          <w:marLeft w:val="0"/>
          <w:marRight w:val="0"/>
          <w:marTop w:val="0"/>
          <w:marBottom w:val="0"/>
          <w:divBdr>
            <w:top w:val="none" w:sz="0" w:space="0" w:color="auto"/>
            <w:left w:val="none" w:sz="0" w:space="0" w:color="auto"/>
            <w:bottom w:val="none" w:sz="0" w:space="0" w:color="auto"/>
            <w:right w:val="none" w:sz="0" w:space="0" w:color="auto"/>
          </w:divBdr>
        </w:div>
        <w:div w:id="444203192">
          <w:marLeft w:val="0"/>
          <w:marRight w:val="0"/>
          <w:marTop w:val="0"/>
          <w:marBottom w:val="0"/>
          <w:divBdr>
            <w:top w:val="none" w:sz="0" w:space="0" w:color="auto"/>
            <w:left w:val="none" w:sz="0" w:space="0" w:color="auto"/>
            <w:bottom w:val="none" w:sz="0" w:space="0" w:color="auto"/>
            <w:right w:val="none" w:sz="0" w:space="0" w:color="auto"/>
          </w:divBdr>
        </w:div>
        <w:div w:id="528226571">
          <w:marLeft w:val="0"/>
          <w:marRight w:val="0"/>
          <w:marTop w:val="0"/>
          <w:marBottom w:val="0"/>
          <w:divBdr>
            <w:top w:val="none" w:sz="0" w:space="0" w:color="auto"/>
            <w:left w:val="none" w:sz="0" w:space="0" w:color="auto"/>
            <w:bottom w:val="none" w:sz="0" w:space="0" w:color="auto"/>
            <w:right w:val="none" w:sz="0" w:space="0" w:color="auto"/>
          </w:divBdr>
        </w:div>
        <w:div w:id="540754399">
          <w:marLeft w:val="0"/>
          <w:marRight w:val="0"/>
          <w:marTop w:val="0"/>
          <w:marBottom w:val="0"/>
          <w:divBdr>
            <w:top w:val="none" w:sz="0" w:space="0" w:color="auto"/>
            <w:left w:val="none" w:sz="0" w:space="0" w:color="auto"/>
            <w:bottom w:val="none" w:sz="0" w:space="0" w:color="auto"/>
            <w:right w:val="none" w:sz="0" w:space="0" w:color="auto"/>
          </w:divBdr>
        </w:div>
        <w:div w:id="562912700">
          <w:marLeft w:val="0"/>
          <w:marRight w:val="0"/>
          <w:marTop w:val="0"/>
          <w:marBottom w:val="0"/>
          <w:divBdr>
            <w:top w:val="none" w:sz="0" w:space="0" w:color="auto"/>
            <w:left w:val="none" w:sz="0" w:space="0" w:color="auto"/>
            <w:bottom w:val="none" w:sz="0" w:space="0" w:color="auto"/>
            <w:right w:val="none" w:sz="0" w:space="0" w:color="auto"/>
          </w:divBdr>
        </w:div>
        <w:div w:id="617181056">
          <w:marLeft w:val="0"/>
          <w:marRight w:val="0"/>
          <w:marTop w:val="0"/>
          <w:marBottom w:val="0"/>
          <w:divBdr>
            <w:top w:val="none" w:sz="0" w:space="0" w:color="auto"/>
            <w:left w:val="none" w:sz="0" w:space="0" w:color="auto"/>
            <w:bottom w:val="none" w:sz="0" w:space="0" w:color="auto"/>
            <w:right w:val="none" w:sz="0" w:space="0" w:color="auto"/>
          </w:divBdr>
        </w:div>
        <w:div w:id="629215000">
          <w:marLeft w:val="0"/>
          <w:marRight w:val="0"/>
          <w:marTop w:val="0"/>
          <w:marBottom w:val="0"/>
          <w:divBdr>
            <w:top w:val="none" w:sz="0" w:space="0" w:color="auto"/>
            <w:left w:val="none" w:sz="0" w:space="0" w:color="auto"/>
            <w:bottom w:val="none" w:sz="0" w:space="0" w:color="auto"/>
            <w:right w:val="none" w:sz="0" w:space="0" w:color="auto"/>
          </w:divBdr>
        </w:div>
        <w:div w:id="656811628">
          <w:marLeft w:val="0"/>
          <w:marRight w:val="0"/>
          <w:marTop w:val="0"/>
          <w:marBottom w:val="0"/>
          <w:divBdr>
            <w:top w:val="none" w:sz="0" w:space="0" w:color="auto"/>
            <w:left w:val="none" w:sz="0" w:space="0" w:color="auto"/>
            <w:bottom w:val="none" w:sz="0" w:space="0" w:color="auto"/>
            <w:right w:val="none" w:sz="0" w:space="0" w:color="auto"/>
          </w:divBdr>
        </w:div>
        <w:div w:id="677854738">
          <w:marLeft w:val="0"/>
          <w:marRight w:val="0"/>
          <w:marTop w:val="0"/>
          <w:marBottom w:val="0"/>
          <w:divBdr>
            <w:top w:val="none" w:sz="0" w:space="0" w:color="auto"/>
            <w:left w:val="none" w:sz="0" w:space="0" w:color="auto"/>
            <w:bottom w:val="none" w:sz="0" w:space="0" w:color="auto"/>
            <w:right w:val="none" w:sz="0" w:space="0" w:color="auto"/>
          </w:divBdr>
        </w:div>
        <w:div w:id="683285295">
          <w:marLeft w:val="0"/>
          <w:marRight w:val="0"/>
          <w:marTop w:val="0"/>
          <w:marBottom w:val="0"/>
          <w:divBdr>
            <w:top w:val="none" w:sz="0" w:space="0" w:color="auto"/>
            <w:left w:val="none" w:sz="0" w:space="0" w:color="auto"/>
            <w:bottom w:val="none" w:sz="0" w:space="0" w:color="auto"/>
            <w:right w:val="none" w:sz="0" w:space="0" w:color="auto"/>
          </w:divBdr>
        </w:div>
        <w:div w:id="731780674">
          <w:marLeft w:val="0"/>
          <w:marRight w:val="0"/>
          <w:marTop w:val="0"/>
          <w:marBottom w:val="0"/>
          <w:divBdr>
            <w:top w:val="none" w:sz="0" w:space="0" w:color="auto"/>
            <w:left w:val="none" w:sz="0" w:space="0" w:color="auto"/>
            <w:bottom w:val="none" w:sz="0" w:space="0" w:color="auto"/>
            <w:right w:val="none" w:sz="0" w:space="0" w:color="auto"/>
          </w:divBdr>
        </w:div>
        <w:div w:id="752314637">
          <w:marLeft w:val="0"/>
          <w:marRight w:val="0"/>
          <w:marTop w:val="0"/>
          <w:marBottom w:val="0"/>
          <w:divBdr>
            <w:top w:val="none" w:sz="0" w:space="0" w:color="auto"/>
            <w:left w:val="none" w:sz="0" w:space="0" w:color="auto"/>
            <w:bottom w:val="none" w:sz="0" w:space="0" w:color="auto"/>
            <w:right w:val="none" w:sz="0" w:space="0" w:color="auto"/>
          </w:divBdr>
          <w:divsChild>
            <w:div w:id="33624627">
              <w:marLeft w:val="-75"/>
              <w:marRight w:val="0"/>
              <w:marTop w:val="30"/>
              <w:marBottom w:val="30"/>
              <w:divBdr>
                <w:top w:val="none" w:sz="0" w:space="0" w:color="auto"/>
                <w:left w:val="none" w:sz="0" w:space="0" w:color="auto"/>
                <w:bottom w:val="none" w:sz="0" w:space="0" w:color="auto"/>
                <w:right w:val="none" w:sz="0" w:space="0" w:color="auto"/>
              </w:divBdr>
              <w:divsChild>
                <w:div w:id="2244425">
                  <w:marLeft w:val="0"/>
                  <w:marRight w:val="0"/>
                  <w:marTop w:val="0"/>
                  <w:marBottom w:val="0"/>
                  <w:divBdr>
                    <w:top w:val="none" w:sz="0" w:space="0" w:color="auto"/>
                    <w:left w:val="none" w:sz="0" w:space="0" w:color="auto"/>
                    <w:bottom w:val="none" w:sz="0" w:space="0" w:color="auto"/>
                    <w:right w:val="none" w:sz="0" w:space="0" w:color="auto"/>
                  </w:divBdr>
                  <w:divsChild>
                    <w:div w:id="311447491">
                      <w:marLeft w:val="0"/>
                      <w:marRight w:val="0"/>
                      <w:marTop w:val="0"/>
                      <w:marBottom w:val="0"/>
                      <w:divBdr>
                        <w:top w:val="none" w:sz="0" w:space="0" w:color="auto"/>
                        <w:left w:val="none" w:sz="0" w:space="0" w:color="auto"/>
                        <w:bottom w:val="none" w:sz="0" w:space="0" w:color="auto"/>
                        <w:right w:val="none" w:sz="0" w:space="0" w:color="auto"/>
                      </w:divBdr>
                    </w:div>
                  </w:divsChild>
                </w:div>
                <w:div w:id="85273129">
                  <w:marLeft w:val="0"/>
                  <w:marRight w:val="0"/>
                  <w:marTop w:val="0"/>
                  <w:marBottom w:val="0"/>
                  <w:divBdr>
                    <w:top w:val="none" w:sz="0" w:space="0" w:color="auto"/>
                    <w:left w:val="none" w:sz="0" w:space="0" w:color="auto"/>
                    <w:bottom w:val="none" w:sz="0" w:space="0" w:color="auto"/>
                    <w:right w:val="none" w:sz="0" w:space="0" w:color="auto"/>
                  </w:divBdr>
                  <w:divsChild>
                    <w:div w:id="1806849847">
                      <w:marLeft w:val="0"/>
                      <w:marRight w:val="0"/>
                      <w:marTop w:val="0"/>
                      <w:marBottom w:val="0"/>
                      <w:divBdr>
                        <w:top w:val="none" w:sz="0" w:space="0" w:color="auto"/>
                        <w:left w:val="none" w:sz="0" w:space="0" w:color="auto"/>
                        <w:bottom w:val="none" w:sz="0" w:space="0" w:color="auto"/>
                        <w:right w:val="none" w:sz="0" w:space="0" w:color="auto"/>
                      </w:divBdr>
                    </w:div>
                  </w:divsChild>
                </w:div>
                <w:div w:id="113403149">
                  <w:marLeft w:val="0"/>
                  <w:marRight w:val="0"/>
                  <w:marTop w:val="0"/>
                  <w:marBottom w:val="0"/>
                  <w:divBdr>
                    <w:top w:val="none" w:sz="0" w:space="0" w:color="auto"/>
                    <w:left w:val="none" w:sz="0" w:space="0" w:color="auto"/>
                    <w:bottom w:val="none" w:sz="0" w:space="0" w:color="auto"/>
                    <w:right w:val="none" w:sz="0" w:space="0" w:color="auto"/>
                  </w:divBdr>
                  <w:divsChild>
                    <w:div w:id="1458253664">
                      <w:marLeft w:val="0"/>
                      <w:marRight w:val="0"/>
                      <w:marTop w:val="0"/>
                      <w:marBottom w:val="0"/>
                      <w:divBdr>
                        <w:top w:val="none" w:sz="0" w:space="0" w:color="auto"/>
                        <w:left w:val="none" w:sz="0" w:space="0" w:color="auto"/>
                        <w:bottom w:val="none" w:sz="0" w:space="0" w:color="auto"/>
                        <w:right w:val="none" w:sz="0" w:space="0" w:color="auto"/>
                      </w:divBdr>
                    </w:div>
                  </w:divsChild>
                </w:div>
                <w:div w:id="373390110">
                  <w:marLeft w:val="0"/>
                  <w:marRight w:val="0"/>
                  <w:marTop w:val="0"/>
                  <w:marBottom w:val="0"/>
                  <w:divBdr>
                    <w:top w:val="none" w:sz="0" w:space="0" w:color="auto"/>
                    <w:left w:val="none" w:sz="0" w:space="0" w:color="auto"/>
                    <w:bottom w:val="none" w:sz="0" w:space="0" w:color="auto"/>
                    <w:right w:val="none" w:sz="0" w:space="0" w:color="auto"/>
                  </w:divBdr>
                  <w:divsChild>
                    <w:div w:id="142237633">
                      <w:marLeft w:val="0"/>
                      <w:marRight w:val="0"/>
                      <w:marTop w:val="0"/>
                      <w:marBottom w:val="0"/>
                      <w:divBdr>
                        <w:top w:val="none" w:sz="0" w:space="0" w:color="auto"/>
                        <w:left w:val="none" w:sz="0" w:space="0" w:color="auto"/>
                        <w:bottom w:val="none" w:sz="0" w:space="0" w:color="auto"/>
                        <w:right w:val="none" w:sz="0" w:space="0" w:color="auto"/>
                      </w:divBdr>
                    </w:div>
                  </w:divsChild>
                </w:div>
                <w:div w:id="472677071">
                  <w:marLeft w:val="0"/>
                  <w:marRight w:val="0"/>
                  <w:marTop w:val="0"/>
                  <w:marBottom w:val="0"/>
                  <w:divBdr>
                    <w:top w:val="none" w:sz="0" w:space="0" w:color="auto"/>
                    <w:left w:val="none" w:sz="0" w:space="0" w:color="auto"/>
                    <w:bottom w:val="none" w:sz="0" w:space="0" w:color="auto"/>
                    <w:right w:val="none" w:sz="0" w:space="0" w:color="auto"/>
                  </w:divBdr>
                  <w:divsChild>
                    <w:div w:id="366568149">
                      <w:marLeft w:val="0"/>
                      <w:marRight w:val="0"/>
                      <w:marTop w:val="0"/>
                      <w:marBottom w:val="0"/>
                      <w:divBdr>
                        <w:top w:val="none" w:sz="0" w:space="0" w:color="auto"/>
                        <w:left w:val="none" w:sz="0" w:space="0" w:color="auto"/>
                        <w:bottom w:val="none" w:sz="0" w:space="0" w:color="auto"/>
                        <w:right w:val="none" w:sz="0" w:space="0" w:color="auto"/>
                      </w:divBdr>
                    </w:div>
                  </w:divsChild>
                </w:div>
                <w:div w:id="628165160">
                  <w:marLeft w:val="0"/>
                  <w:marRight w:val="0"/>
                  <w:marTop w:val="0"/>
                  <w:marBottom w:val="0"/>
                  <w:divBdr>
                    <w:top w:val="none" w:sz="0" w:space="0" w:color="auto"/>
                    <w:left w:val="none" w:sz="0" w:space="0" w:color="auto"/>
                    <w:bottom w:val="none" w:sz="0" w:space="0" w:color="auto"/>
                    <w:right w:val="none" w:sz="0" w:space="0" w:color="auto"/>
                  </w:divBdr>
                  <w:divsChild>
                    <w:div w:id="737479575">
                      <w:marLeft w:val="0"/>
                      <w:marRight w:val="0"/>
                      <w:marTop w:val="0"/>
                      <w:marBottom w:val="0"/>
                      <w:divBdr>
                        <w:top w:val="none" w:sz="0" w:space="0" w:color="auto"/>
                        <w:left w:val="none" w:sz="0" w:space="0" w:color="auto"/>
                        <w:bottom w:val="none" w:sz="0" w:space="0" w:color="auto"/>
                        <w:right w:val="none" w:sz="0" w:space="0" w:color="auto"/>
                      </w:divBdr>
                    </w:div>
                  </w:divsChild>
                </w:div>
                <w:div w:id="641664971">
                  <w:marLeft w:val="0"/>
                  <w:marRight w:val="0"/>
                  <w:marTop w:val="0"/>
                  <w:marBottom w:val="0"/>
                  <w:divBdr>
                    <w:top w:val="none" w:sz="0" w:space="0" w:color="auto"/>
                    <w:left w:val="none" w:sz="0" w:space="0" w:color="auto"/>
                    <w:bottom w:val="none" w:sz="0" w:space="0" w:color="auto"/>
                    <w:right w:val="none" w:sz="0" w:space="0" w:color="auto"/>
                  </w:divBdr>
                  <w:divsChild>
                    <w:div w:id="1576430510">
                      <w:marLeft w:val="0"/>
                      <w:marRight w:val="0"/>
                      <w:marTop w:val="0"/>
                      <w:marBottom w:val="0"/>
                      <w:divBdr>
                        <w:top w:val="none" w:sz="0" w:space="0" w:color="auto"/>
                        <w:left w:val="none" w:sz="0" w:space="0" w:color="auto"/>
                        <w:bottom w:val="none" w:sz="0" w:space="0" w:color="auto"/>
                        <w:right w:val="none" w:sz="0" w:space="0" w:color="auto"/>
                      </w:divBdr>
                    </w:div>
                  </w:divsChild>
                </w:div>
                <w:div w:id="759132943">
                  <w:marLeft w:val="0"/>
                  <w:marRight w:val="0"/>
                  <w:marTop w:val="0"/>
                  <w:marBottom w:val="0"/>
                  <w:divBdr>
                    <w:top w:val="none" w:sz="0" w:space="0" w:color="auto"/>
                    <w:left w:val="none" w:sz="0" w:space="0" w:color="auto"/>
                    <w:bottom w:val="none" w:sz="0" w:space="0" w:color="auto"/>
                    <w:right w:val="none" w:sz="0" w:space="0" w:color="auto"/>
                  </w:divBdr>
                  <w:divsChild>
                    <w:div w:id="927882371">
                      <w:marLeft w:val="0"/>
                      <w:marRight w:val="0"/>
                      <w:marTop w:val="0"/>
                      <w:marBottom w:val="0"/>
                      <w:divBdr>
                        <w:top w:val="none" w:sz="0" w:space="0" w:color="auto"/>
                        <w:left w:val="none" w:sz="0" w:space="0" w:color="auto"/>
                        <w:bottom w:val="none" w:sz="0" w:space="0" w:color="auto"/>
                        <w:right w:val="none" w:sz="0" w:space="0" w:color="auto"/>
                      </w:divBdr>
                    </w:div>
                  </w:divsChild>
                </w:div>
                <w:div w:id="779489585">
                  <w:marLeft w:val="0"/>
                  <w:marRight w:val="0"/>
                  <w:marTop w:val="0"/>
                  <w:marBottom w:val="0"/>
                  <w:divBdr>
                    <w:top w:val="none" w:sz="0" w:space="0" w:color="auto"/>
                    <w:left w:val="none" w:sz="0" w:space="0" w:color="auto"/>
                    <w:bottom w:val="none" w:sz="0" w:space="0" w:color="auto"/>
                    <w:right w:val="none" w:sz="0" w:space="0" w:color="auto"/>
                  </w:divBdr>
                  <w:divsChild>
                    <w:div w:id="982926525">
                      <w:marLeft w:val="0"/>
                      <w:marRight w:val="0"/>
                      <w:marTop w:val="0"/>
                      <w:marBottom w:val="0"/>
                      <w:divBdr>
                        <w:top w:val="none" w:sz="0" w:space="0" w:color="auto"/>
                        <w:left w:val="none" w:sz="0" w:space="0" w:color="auto"/>
                        <w:bottom w:val="none" w:sz="0" w:space="0" w:color="auto"/>
                        <w:right w:val="none" w:sz="0" w:space="0" w:color="auto"/>
                      </w:divBdr>
                    </w:div>
                  </w:divsChild>
                </w:div>
                <w:div w:id="808325825">
                  <w:marLeft w:val="0"/>
                  <w:marRight w:val="0"/>
                  <w:marTop w:val="0"/>
                  <w:marBottom w:val="0"/>
                  <w:divBdr>
                    <w:top w:val="none" w:sz="0" w:space="0" w:color="auto"/>
                    <w:left w:val="none" w:sz="0" w:space="0" w:color="auto"/>
                    <w:bottom w:val="none" w:sz="0" w:space="0" w:color="auto"/>
                    <w:right w:val="none" w:sz="0" w:space="0" w:color="auto"/>
                  </w:divBdr>
                  <w:divsChild>
                    <w:div w:id="204101042">
                      <w:marLeft w:val="0"/>
                      <w:marRight w:val="0"/>
                      <w:marTop w:val="0"/>
                      <w:marBottom w:val="0"/>
                      <w:divBdr>
                        <w:top w:val="none" w:sz="0" w:space="0" w:color="auto"/>
                        <w:left w:val="none" w:sz="0" w:space="0" w:color="auto"/>
                        <w:bottom w:val="none" w:sz="0" w:space="0" w:color="auto"/>
                        <w:right w:val="none" w:sz="0" w:space="0" w:color="auto"/>
                      </w:divBdr>
                    </w:div>
                  </w:divsChild>
                </w:div>
                <w:div w:id="847526152">
                  <w:marLeft w:val="0"/>
                  <w:marRight w:val="0"/>
                  <w:marTop w:val="0"/>
                  <w:marBottom w:val="0"/>
                  <w:divBdr>
                    <w:top w:val="none" w:sz="0" w:space="0" w:color="auto"/>
                    <w:left w:val="none" w:sz="0" w:space="0" w:color="auto"/>
                    <w:bottom w:val="none" w:sz="0" w:space="0" w:color="auto"/>
                    <w:right w:val="none" w:sz="0" w:space="0" w:color="auto"/>
                  </w:divBdr>
                  <w:divsChild>
                    <w:div w:id="294675688">
                      <w:marLeft w:val="0"/>
                      <w:marRight w:val="0"/>
                      <w:marTop w:val="0"/>
                      <w:marBottom w:val="0"/>
                      <w:divBdr>
                        <w:top w:val="none" w:sz="0" w:space="0" w:color="auto"/>
                        <w:left w:val="none" w:sz="0" w:space="0" w:color="auto"/>
                        <w:bottom w:val="none" w:sz="0" w:space="0" w:color="auto"/>
                        <w:right w:val="none" w:sz="0" w:space="0" w:color="auto"/>
                      </w:divBdr>
                    </w:div>
                  </w:divsChild>
                </w:div>
                <w:div w:id="1068499311">
                  <w:marLeft w:val="0"/>
                  <w:marRight w:val="0"/>
                  <w:marTop w:val="0"/>
                  <w:marBottom w:val="0"/>
                  <w:divBdr>
                    <w:top w:val="none" w:sz="0" w:space="0" w:color="auto"/>
                    <w:left w:val="none" w:sz="0" w:space="0" w:color="auto"/>
                    <w:bottom w:val="none" w:sz="0" w:space="0" w:color="auto"/>
                    <w:right w:val="none" w:sz="0" w:space="0" w:color="auto"/>
                  </w:divBdr>
                  <w:divsChild>
                    <w:div w:id="91633082">
                      <w:marLeft w:val="0"/>
                      <w:marRight w:val="0"/>
                      <w:marTop w:val="0"/>
                      <w:marBottom w:val="0"/>
                      <w:divBdr>
                        <w:top w:val="none" w:sz="0" w:space="0" w:color="auto"/>
                        <w:left w:val="none" w:sz="0" w:space="0" w:color="auto"/>
                        <w:bottom w:val="none" w:sz="0" w:space="0" w:color="auto"/>
                        <w:right w:val="none" w:sz="0" w:space="0" w:color="auto"/>
                      </w:divBdr>
                    </w:div>
                  </w:divsChild>
                </w:div>
                <w:div w:id="1148478467">
                  <w:marLeft w:val="0"/>
                  <w:marRight w:val="0"/>
                  <w:marTop w:val="0"/>
                  <w:marBottom w:val="0"/>
                  <w:divBdr>
                    <w:top w:val="none" w:sz="0" w:space="0" w:color="auto"/>
                    <w:left w:val="none" w:sz="0" w:space="0" w:color="auto"/>
                    <w:bottom w:val="none" w:sz="0" w:space="0" w:color="auto"/>
                    <w:right w:val="none" w:sz="0" w:space="0" w:color="auto"/>
                  </w:divBdr>
                  <w:divsChild>
                    <w:div w:id="1114207866">
                      <w:marLeft w:val="0"/>
                      <w:marRight w:val="0"/>
                      <w:marTop w:val="0"/>
                      <w:marBottom w:val="0"/>
                      <w:divBdr>
                        <w:top w:val="none" w:sz="0" w:space="0" w:color="auto"/>
                        <w:left w:val="none" w:sz="0" w:space="0" w:color="auto"/>
                        <w:bottom w:val="none" w:sz="0" w:space="0" w:color="auto"/>
                        <w:right w:val="none" w:sz="0" w:space="0" w:color="auto"/>
                      </w:divBdr>
                    </w:div>
                  </w:divsChild>
                </w:div>
                <w:div w:id="1226844122">
                  <w:marLeft w:val="0"/>
                  <w:marRight w:val="0"/>
                  <w:marTop w:val="0"/>
                  <w:marBottom w:val="0"/>
                  <w:divBdr>
                    <w:top w:val="none" w:sz="0" w:space="0" w:color="auto"/>
                    <w:left w:val="none" w:sz="0" w:space="0" w:color="auto"/>
                    <w:bottom w:val="none" w:sz="0" w:space="0" w:color="auto"/>
                    <w:right w:val="none" w:sz="0" w:space="0" w:color="auto"/>
                  </w:divBdr>
                  <w:divsChild>
                    <w:div w:id="2003968568">
                      <w:marLeft w:val="0"/>
                      <w:marRight w:val="0"/>
                      <w:marTop w:val="0"/>
                      <w:marBottom w:val="0"/>
                      <w:divBdr>
                        <w:top w:val="none" w:sz="0" w:space="0" w:color="auto"/>
                        <w:left w:val="none" w:sz="0" w:space="0" w:color="auto"/>
                        <w:bottom w:val="none" w:sz="0" w:space="0" w:color="auto"/>
                        <w:right w:val="none" w:sz="0" w:space="0" w:color="auto"/>
                      </w:divBdr>
                    </w:div>
                  </w:divsChild>
                </w:div>
                <w:div w:id="1256325566">
                  <w:marLeft w:val="0"/>
                  <w:marRight w:val="0"/>
                  <w:marTop w:val="0"/>
                  <w:marBottom w:val="0"/>
                  <w:divBdr>
                    <w:top w:val="none" w:sz="0" w:space="0" w:color="auto"/>
                    <w:left w:val="none" w:sz="0" w:space="0" w:color="auto"/>
                    <w:bottom w:val="none" w:sz="0" w:space="0" w:color="auto"/>
                    <w:right w:val="none" w:sz="0" w:space="0" w:color="auto"/>
                  </w:divBdr>
                  <w:divsChild>
                    <w:div w:id="1691443499">
                      <w:marLeft w:val="0"/>
                      <w:marRight w:val="0"/>
                      <w:marTop w:val="0"/>
                      <w:marBottom w:val="0"/>
                      <w:divBdr>
                        <w:top w:val="none" w:sz="0" w:space="0" w:color="auto"/>
                        <w:left w:val="none" w:sz="0" w:space="0" w:color="auto"/>
                        <w:bottom w:val="none" w:sz="0" w:space="0" w:color="auto"/>
                        <w:right w:val="none" w:sz="0" w:space="0" w:color="auto"/>
                      </w:divBdr>
                    </w:div>
                  </w:divsChild>
                </w:div>
                <w:div w:id="1256665696">
                  <w:marLeft w:val="0"/>
                  <w:marRight w:val="0"/>
                  <w:marTop w:val="0"/>
                  <w:marBottom w:val="0"/>
                  <w:divBdr>
                    <w:top w:val="none" w:sz="0" w:space="0" w:color="auto"/>
                    <w:left w:val="none" w:sz="0" w:space="0" w:color="auto"/>
                    <w:bottom w:val="none" w:sz="0" w:space="0" w:color="auto"/>
                    <w:right w:val="none" w:sz="0" w:space="0" w:color="auto"/>
                  </w:divBdr>
                  <w:divsChild>
                    <w:div w:id="1423261669">
                      <w:marLeft w:val="0"/>
                      <w:marRight w:val="0"/>
                      <w:marTop w:val="0"/>
                      <w:marBottom w:val="0"/>
                      <w:divBdr>
                        <w:top w:val="none" w:sz="0" w:space="0" w:color="auto"/>
                        <w:left w:val="none" w:sz="0" w:space="0" w:color="auto"/>
                        <w:bottom w:val="none" w:sz="0" w:space="0" w:color="auto"/>
                        <w:right w:val="none" w:sz="0" w:space="0" w:color="auto"/>
                      </w:divBdr>
                    </w:div>
                  </w:divsChild>
                </w:div>
                <w:div w:id="1338340048">
                  <w:marLeft w:val="0"/>
                  <w:marRight w:val="0"/>
                  <w:marTop w:val="0"/>
                  <w:marBottom w:val="0"/>
                  <w:divBdr>
                    <w:top w:val="none" w:sz="0" w:space="0" w:color="auto"/>
                    <w:left w:val="none" w:sz="0" w:space="0" w:color="auto"/>
                    <w:bottom w:val="none" w:sz="0" w:space="0" w:color="auto"/>
                    <w:right w:val="none" w:sz="0" w:space="0" w:color="auto"/>
                  </w:divBdr>
                  <w:divsChild>
                    <w:div w:id="1496144050">
                      <w:marLeft w:val="0"/>
                      <w:marRight w:val="0"/>
                      <w:marTop w:val="0"/>
                      <w:marBottom w:val="0"/>
                      <w:divBdr>
                        <w:top w:val="none" w:sz="0" w:space="0" w:color="auto"/>
                        <w:left w:val="none" w:sz="0" w:space="0" w:color="auto"/>
                        <w:bottom w:val="none" w:sz="0" w:space="0" w:color="auto"/>
                        <w:right w:val="none" w:sz="0" w:space="0" w:color="auto"/>
                      </w:divBdr>
                    </w:div>
                  </w:divsChild>
                </w:div>
                <w:div w:id="1562132828">
                  <w:marLeft w:val="0"/>
                  <w:marRight w:val="0"/>
                  <w:marTop w:val="0"/>
                  <w:marBottom w:val="0"/>
                  <w:divBdr>
                    <w:top w:val="none" w:sz="0" w:space="0" w:color="auto"/>
                    <w:left w:val="none" w:sz="0" w:space="0" w:color="auto"/>
                    <w:bottom w:val="none" w:sz="0" w:space="0" w:color="auto"/>
                    <w:right w:val="none" w:sz="0" w:space="0" w:color="auto"/>
                  </w:divBdr>
                  <w:divsChild>
                    <w:div w:id="272052650">
                      <w:marLeft w:val="0"/>
                      <w:marRight w:val="0"/>
                      <w:marTop w:val="0"/>
                      <w:marBottom w:val="0"/>
                      <w:divBdr>
                        <w:top w:val="none" w:sz="0" w:space="0" w:color="auto"/>
                        <w:left w:val="none" w:sz="0" w:space="0" w:color="auto"/>
                        <w:bottom w:val="none" w:sz="0" w:space="0" w:color="auto"/>
                        <w:right w:val="none" w:sz="0" w:space="0" w:color="auto"/>
                      </w:divBdr>
                    </w:div>
                  </w:divsChild>
                </w:div>
                <w:div w:id="1656450640">
                  <w:marLeft w:val="0"/>
                  <w:marRight w:val="0"/>
                  <w:marTop w:val="0"/>
                  <w:marBottom w:val="0"/>
                  <w:divBdr>
                    <w:top w:val="none" w:sz="0" w:space="0" w:color="auto"/>
                    <w:left w:val="none" w:sz="0" w:space="0" w:color="auto"/>
                    <w:bottom w:val="none" w:sz="0" w:space="0" w:color="auto"/>
                    <w:right w:val="none" w:sz="0" w:space="0" w:color="auto"/>
                  </w:divBdr>
                  <w:divsChild>
                    <w:div w:id="859465574">
                      <w:marLeft w:val="0"/>
                      <w:marRight w:val="0"/>
                      <w:marTop w:val="0"/>
                      <w:marBottom w:val="0"/>
                      <w:divBdr>
                        <w:top w:val="none" w:sz="0" w:space="0" w:color="auto"/>
                        <w:left w:val="none" w:sz="0" w:space="0" w:color="auto"/>
                        <w:bottom w:val="none" w:sz="0" w:space="0" w:color="auto"/>
                        <w:right w:val="none" w:sz="0" w:space="0" w:color="auto"/>
                      </w:divBdr>
                    </w:div>
                  </w:divsChild>
                </w:div>
                <w:div w:id="1658537947">
                  <w:marLeft w:val="0"/>
                  <w:marRight w:val="0"/>
                  <w:marTop w:val="0"/>
                  <w:marBottom w:val="0"/>
                  <w:divBdr>
                    <w:top w:val="none" w:sz="0" w:space="0" w:color="auto"/>
                    <w:left w:val="none" w:sz="0" w:space="0" w:color="auto"/>
                    <w:bottom w:val="none" w:sz="0" w:space="0" w:color="auto"/>
                    <w:right w:val="none" w:sz="0" w:space="0" w:color="auto"/>
                  </w:divBdr>
                  <w:divsChild>
                    <w:div w:id="811480901">
                      <w:marLeft w:val="0"/>
                      <w:marRight w:val="0"/>
                      <w:marTop w:val="0"/>
                      <w:marBottom w:val="0"/>
                      <w:divBdr>
                        <w:top w:val="none" w:sz="0" w:space="0" w:color="auto"/>
                        <w:left w:val="none" w:sz="0" w:space="0" w:color="auto"/>
                        <w:bottom w:val="none" w:sz="0" w:space="0" w:color="auto"/>
                        <w:right w:val="none" w:sz="0" w:space="0" w:color="auto"/>
                      </w:divBdr>
                    </w:div>
                  </w:divsChild>
                </w:div>
                <w:div w:id="1709259799">
                  <w:marLeft w:val="0"/>
                  <w:marRight w:val="0"/>
                  <w:marTop w:val="0"/>
                  <w:marBottom w:val="0"/>
                  <w:divBdr>
                    <w:top w:val="none" w:sz="0" w:space="0" w:color="auto"/>
                    <w:left w:val="none" w:sz="0" w:space="0" w:color="auto"/>
                    <w:bottom w:val="none" w:sz="0" w:space="0" w:color="auto"/>
                    <w:right w:val="none" w:sz="0" w:space="0" w:color="auto"/>
                  </w:divBdr>
                  <w:divsChild>
                    <w:div w:id="1395854953">
                      <w:marLeft w:val="0"/>
                      <w:marRight w:val="0"/>
                      <w:marTop w:val="0"/>
                      <w:marBottom w:val="0"/>
                      <w:divBdr>
                        <w:top w:val="none" w:sz="0" w:space="0" w:color="auto"/>
                        <w:left w:val="none" w:sz="0" w:space="0" w:color="auto"/>
                        <w:bottom w:val="none" w:sz="0" w:space="0" w:color="auto"/>
                        <w:right w:val="none" w:sz="0" w:space="0" w:color="auto"/>
                      </w:divBdr>
                    </w:div>
                  </w:divsChild>
                </w:div>
                <w:div w:id="1912688983">
                  <w:marLeft w:val="0"/>
                  <w:marRight w:val="0"/>
                  <w:marTop w:val="0"/>
                  <w:marBottom w:val="0"/>
                  <w:divBdr>
                    <w:top w:val="none" w:sz="0" w:space="0" w:color="auto"/>
                    <w:left w:val="none" w:sz="0" w:space="0" w:color="auto"/>
                    <w:bottom w:val="none" w:sz="0" w:space="0" w:color="auto"/>
                    <w:right w:val="none" w:sz="0" w:space="0" w:color="auto"/>
                  </w:divBdr>
                  <w:divsChild>
                    <w:div w:id="2046170393">
                      <w:marLeft w:val="0"/>
                      <w:marRight w:val="0"/>
                      <w:marTop w:val="0"/>
                      <w:marBottom w:val="0"/>
                      <w:divBdr>
                        <w:top w:val="none" w:sz="0" w:space="0" w:color="auto"/>
                        <w:left w:val="none" w:sz="0" w:space="0" w:color="auto"/>
                        <w:bottom w:val="none" w:sz="0" w:space="0" w:color="auto"/>
                        <w:right w:val="none" w:sz="0" w:space="0" w:color="auto"/>
                      </w:divBdr>
                    </w:div>
                  </w:divsChild>
                </w:div>
                <w:div w:id="1928227946">
                  <w:marLeft w:val="0"/>
                  <w:marRight w:val="0"/>
                  <w:marTop w:val="0"/>
                  <w:marBottom w:val="0"/>
                  <w:divBdr>
                    <w:top w:val="none" w:sz="0" w:space="0" w:color="auto"/>
                    <w:left w:val="none" w:sz="0" w:space="0" w:color="auto"/>
                    <w:bottom w:val="none" w:sz="0" w:space="0" w:color="auto"/>
                    <w:right w:val="none" w:sz="0" w:space="0" w:color="auto"/>
                  </w:divBdr>
                  <w:divsChild>
                    <w:div w:id="616568700">
                      <w:marLeft w:val="0"/>
                      <w:marRight w:val="0"/>
                      <w:marTop w:val="0"/>
                      <w:marBottom w:val="0"/>
                      <w:divBdr>
                        <w:top w:val="none" w:sz="0" w:space="0" w:color="auto"/>
                        <w:left w:val="none" w:sz="0" w:space="0" w:color="auto"/>
                        <w:bottom w:val="none" w:sz="0" w:space="0" w:color="auto"/>
                        <w:right w:val="none" w:sz="0" w:space="0" w:color="auto"/>
                      </w:divBdr>
                    </w:div>
                  </w:divsChild>
                </w:div>
                <w:div w:id="2135247991">
                  <w:marLeft w:val="0"/>
                  <w:marRight w:val="0"/>
                  <w:marTop w:val="0"/>
                  <w:marBottom w:val="0"/>
                  <w:divBdr>
                    <w:top w:val="none" w:sz="0" w:space="0" w:color="auto"/>
                    <w:left w:val="none" w:sz="0" w:space="0" w:color="auto"/>
                    <w:bottom w:val="none" w:sz="0" w:space="0" w:color="auto"/>
                    <w:right w:val="none" w:sz="0" w:space="0" w:color="auto"/>
                  </w:divBdr>
                  <w:divsChild>
                    <w:div w:id="3332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56808">
          <w:marLeft w:val="0"/>
          <w:marRight w:val="0"/>
          <w:marTop w:val="0"/>
          <w:marBottom w:val="0"/>
          <w:divBdr>
            <w:top w:val="none" w:sz="0" w:space="0" w:color="auto"/>
            <w:left w:val="none" w:sz="0" w:space="0" w:color="auto"/>
            <w:bottom w:val="none" w:sz="0" w:space="0" w:color="auto"/>
            <w:right w:val="none" w:sz="0" w:space="0" w:color="auto"/>
          </w:divBdr>
        </w:div>
        <w:div w:id="805666289">
          <w:marLeft w:val="0"/>
          <w:marRight w:val="0"/>
          <w:marTop w:val="0"/>
          <w:marBottom w:val="0"/>
          <w:divBdr>
            <w:top w:val="none" w:sz="0" w:space="0" w:color="auto"/>
            <w:left w:val="none" w:sz="0" w:space="0" w:color="auto"/>
            <w:bottom w:val="none" w:sz="0" w:space="0" w:color="auto"/>
            <w:right w:val="none" w:sz="0" w:space="0" w:color="auto"/>
          </w:divBdr>
        </w:div>
        <w:div w:id="809322921">
          <w:marLeft w:val="0"/>
          <w:marRight w:val="0"/>
          <w:marTop w:val="0"/>
          <w:marBottom w:val="0"/>
          <w:divBdr>
            <w:top w:val="none" w:sz="0" w:space="0" w:color="auto"/>
            <w:left w:val="none" w:sz="0" w:space="0" w:color="auto"/>
            <w:bottom w:val="none" w:sz="0" w:space="0" w:color="auto"/>
            <w:right w:val="none" w:sz="0" w:space="0" w:color="auto"/>
          </w:divBdr>
        </w:div>
        <w:div w:id="907304835">
          <w:marLeft w:val="0"/>
          <w:marRight w:val="0"/>
          <w:marTop w:val="0"/>
          <w:marBottom w:val="0"/>
          <w:divBdr>
            <w:top w:val="none" w:sz="0" w:space="0" w:color="auto"/>
            <w:left w:val="none" w:sz="0" w:space="0" w:color="auto"/>
            <w:bottom w:val="none" w:sz="0" w:space="0" w:color="auto"/>
            <w:right w:val="none" w:sz="0" w:space="0" w:color="auto"/>
          </w:divBdr>
        </w:div>
        <w:div w:id="941760568">
          <w:marLeft w:val="0"/>
          <w:marRight w:val="0"/>
          <w:marTop w:val="0"/>
          <w:marBottom w:val="0"/>
          <w:divBdr>
            <w:top w:val="none" w:sz="0" w:space="0" w:color="auto"/>
            <w:left w:val="none" w:sz="0" w:space="0" w:color="auto"/>
            <w:bottom w:val="none" w:sz="0" w:space="0" w:color="auto"/>
            <w:right w:val="none" w:sz="0" w:space="0" w:color="auto"/>
          </w:divBdr>
        </w:div>
        <w:div w:id="943614505">
          <w:marLeft w:val="0"/>
          <w:marRight w:val="0"/>
          <w:marTop w:val="0"/>
          <w:marBottom w:val="0"/>
          <w:divBdr>
            <w:top w:val="none" w:sz="0" w:space="0" w:color="auto"/>
            <w:left w:val="none" w:sz="0" w:space="0" w:color="auto"/>
            <w:bottom w:val="none" w:sz="0" w:space="0" w:color="auto"/>
            <w:right w:val="none" w:sz="0" w:space="0" w:color="auto"/>
          </w:divBdr>
        </w:div>
        <w:div w:id="1017848317">
          <w:marLeft w:val="0"/>
          <w:marRight w:val="0"/>
          <w:marTop w:val="0"/>
          <w:marBottom w:val="0"/>
          <w:divBdr>
            <w:top w:val="none" w:sz="0" w:space="0" w:color="auto"/>
            <w:left w:val="none" w:sz="0" w:space="0" w:color="auto"/>
            <w:bottom w:val="none" w:sz="0" w:space="0" w:color="auto"/>
            <w:right w:val="none" w:sz="0" w:space="0" w:color="auto"/>
          </w:divBdr>
        </w:div>
        <w:div w:id="1055200513">
          <w:marLeft w:val="0"/>
          <w:marRight w:val="0"/>
          <w:marTop w:val="0"/>
          <w:marBottom w:val="0"/>
          <w:divBdr>
            <w:top w:val="none" w:sz="0" w:space="0" w:color="auto"/>
            <w:left w:val="none" w:sz="0" w:space="0" w:color="auto"/>
            <w:bottom w:val="none" w:sz="0" w:space="0" w:color="auto"/>
            <w:right w:val="none" w:sz="0" w:space="0" w:color="auto"/>
          </w:divBdr>
        </w:div>
        <w:div w:id="1070469099">
          <w:marLeft w:val="0"/>
          <w:marRight w:val="0"/>
          <w:marTop w:val="0"/>
          <w:marBottom w:val="0"/>
          <w:divBdr>
            <w:top w:val="none" w:sz="0" w:space="0" w:color="auto"/>
            <w:left w:val="none" w:sz="0" w:space="0" w:color="auto"/>
            <w:bottom w:val="none" w:sz="0" w:space="0" w:color="auto"/>
            <w:right w:val="none" w:sz="0" w:space="0" w:color="auto"/>
          </w:divBdr>
        </w:div>
        <w:div w:id="1077359200">
          <w:marLeft w:val="0"/>
          <w:marRight w:val="0"/>
          <w:marTop w:val="0"/>
          <w:marBottom w:val="0"/>
          <w:divBdr>
            <w:top w:val="none" w:sz="0" w:space="0" w:color="auto"/>
            <w:left w:val="none" w:sz="0" w:space="0" w:color="auto"/>
            <w:bottom w:val="none" w:sz="0" w:space="0" w:color="auto"/>
            <w:right w:val="none" w:sz="0" w:space="0" w:color="auto"/>
          </w:divBdr>
        </w:div>
        <w:div w:id="1169252934">
          <w:marLeft w:val="0"/>
          <w:marRight w:val="0"/>
          <w:marTop w:val="0"/>
          <w:marBottom w:val="0"/>
          <w:divBdr>
            <w:top w:val="none" w:sz="0" w:space="0" w:color="auto"/>
            <w:left w:val="none" w:sz="0" w:space="0" w:color="auto"/>
            <w:bottom w:val="none" w:sz="0" w:space="0" w:color="auto"/>
            <w:right w:val="none" w:sz="0" w:space="0" w:color="auto"/>
          </w:divBdr>
        </w:div>
        <w:div w:id="1287858097">
          <w:marLeft w:val="0"/>
          <w:marRight w:val="0"/>
          <w:marTop w:val="0"/>
          <w:marBottom w:val="0"/>
          <w:divBdr>
            <w:top w:val="none" w:sz="0" w:space="0" w:color="auto"/>
            <w:left w:val="none" w:sz="0" w:space="0" w:color="auto"/>
            <w:bottom w:val="none" w:sz="0" w:space="0" w:color="auto"/>
            <w:right w:val="none" w:sz="0" w:space="0" w:color="auto"/>
          </w:divBdr>
        </w:div>
        <w:div w:id="1292712812">
          <w:marLeft w:val="0"/>
          <w:marRight w:val="0"/>
          <w:marTop w:val="0"/>
          <w:marBottom w:val="0"/>
          <w:divBdr>
            <w:top w:val="none" w:sz="0" w:space="0" w:color="auto"/>
            <w:left w:val="none" w:sz="0" w:space="0" w:color="auto"/>
            <w:bottom w:val="none" w:sz="0" w:space="0" w:color="auto"/>
            <w:right w:val="none" w:sz="0" w:space="0" w:color="auto"/>
          </w:divBdr>
        </w:div>
        <w:div w:id="1317151878">
          <w:marLeft w:val="0"/>
          <w:marRight w:val="0"/>
          <w:marTop w:val="0"/>
          <w:marBottom w:val="0"/>
          <w:divBdr>
            <w:top w:val="none" w:sz="0" w:space="0" w:color="auto"/>
            <w:left w:val="none" w:sz="0" w:space="0" w:color="auto"/>
            <w:bottom w:val="none" w:sz="0" w:space="0" w:color="auto"/>
            <w:right w:val="none" w:sz="0" w:space="0" w:color="auto"/>
          </w:divBdr>
        </w:div>
        <w:div w:id="1339581740">
          <w:marLeft w:val="0"/>
          <w:marRight w:val="0"/>
          <w:marTop w:val="0"/>
          <w:marBottom w:val="0"/>
          <w:divBdr>
            <w:top w:val="none" w:sz="0" w:space="0" w:color="auto"/>
            <w:left w:val="none" w:sz="0" w:space="0" w:color="auto"/>
            <w:bottom w:val="none" w:sz="0" w:space="0" w:color="auto"/>
            <w:right w:val="none" w:sz="0" w:space="0" w:color="auto"/>
          </w:divBdr>
        </w:div>
        <w:div w:id="1373193510">
          <w:marLeft w:val="0"/>
          <w:marRight w:val="0"/>
          <w:marTop w:val="0"/>
          <w:marBottom w:val="0"/>
          <w:divBdr>
            <w:top w:val="none" w:sz="0" w:space="0" w:color="auto"/>
            <w:left w:val="none" w:sz="0" w:space="0" w:color="auto"/>
            <w:bottom w:val="none" w:sz="0" w:space="0" w:color="auto"/>
            <w:right w:val="none" w:sz="0" w:space="0" w:color="auto"/>
          </w:divBdr>
        </w:div>
        <w:div w:id="1380520628">
          <w:marLeft w:val="0"/>
          <w:marRight w:val="0"/>
          <w:marTop w:val="0"/>
          <w:marBottom w:val="0"/>
          <w:divBdr>
            <w:top w:val="none" w:sz="0" w:space="0" w:color="auto"/>
            <w:left w:val="none" w:sz="0" w:space="0" w:color="auto"/>
            <w:bottom w:val="none" w:sz="0" w:space="0" w:color="auto"/>
            <w:right w:val="none" w:sz="0" w:space="0" w:color="auto"/>
          </w:divBdr>
        </w:div>
        <w:div w:id="1404914264">
          <w:marLeft w:val="0"/>
          <w:marRight w:val="0"/>
          <w:marTop w:val="0"/>
          <w:marBottom w:val="0"/>
          <w:divBdr>
            <w:top w:val="none" w:sz="0" w:space="0" w:color="auto"/>
            <w:left w:val="none" w:sz="0" w:space="0" w:color="auto"/>
            <w:bottom w:val="none" w:sz="0" w:space="0" w:color="auto"/>
            <w:right w:val="none" w:sz="0" w:space="0" w:color="auto"/>
          </w:divBdr>
        </w:div>
        <w:div w:id="1412041311">
          <w:marLeft w:val="0"/>
          <w:marRight w:val="0"/>
          <w:marTop w:val="0"/>
          <w:marBottom w:val="0"/>
          <w:divBdr>
            <w:top w:val="none" w:sz="0" w:space="0" w:color="auto"/>
            <w:left w:val="none" w:sz="0" w:space="0" w:color="auto"/>
            <w:bottom w:val="none" w:sz="0" w:space="0" w:color="auto"/>
            <w:right w:val="none" w:sz="0" w:space="0" w:color="auto"/>
          </w:divBdr>
        </w:div>
        <w:div w:id="1428229058">
          <w:marLeft w:val="0"/>
          <w:marRight w:val="0"/>
          <w:marTop w:val="0"/>
          <w:marBottom w:val="0"/>
          <w:divBdr>
            <w:top w:val="none" w:sz="0" w:space="0" w:color="auto"/>
            <w:left w:val="none" w:sz="0" w:space="0" w:color="auto"/>
            <w:bottom w:val="none" w:sz="0" w:space="0" w:color="auto"/>
            <w:right w:val="none" w:sz="0" w:space="0" w:color="auto"/>
          </w:divBdr>
        </w:div>
        <w:div w:id="1438601175">
          <w:marLeft w:val="0"/>
          <w:marRight w:val="0"/>
          <w:marTop w:val="0"/>
          <w:marBottom w:val="0"/>
          <w:divBdr>
            <w:top w:val="none" w:sz="0" w:space="0" w:color="auto"/>
            <w:left w:val="none" w:sz="0" w:space="0" w:color="auto"/>
            <w:bottom w:val="none" w:sz="0" w:space="0" w:color="auto"/>
            <w:right w:val="none" w:sz="0" w:space="0" w:color="auto"/>
          </w:divBdr>
        </w:div>
        <w:div w:id="1463887353">
          <w:marLeft w:val="0"/>
          <w:marRight w:val="0"/>
          <w:marTop w:val="0"/>
          <w:marBottom w:val="0"/>
          <w:divBdr>
            <w:top w:val="none" w:sz="0" w:space="0" w:color="auto"/>
            <w:left w:val="none" w:sz="0" w:space="0" w:color="auto"/>
            <w:bottom w:val="none" w:sz="0" w:space="0" w:color="auto"/>
            <w:right w:val="none" w:sz="0" w:space="0" w:color="auto"/>
          </w:divBdr>
        </w:div>
        <w:div w:id="1507864735">
          <w:marLeft w:val="0"/>
          <w:marRight w:val="0"/>
          <w:marTop w:val="0"/>
          <w:marBottom w:val="0"/>
          <w:divBdr>
            <w:top w:val="none" w:sz="0" w:space="0" w:color="auto"/>
            <w:left w:val="none" w:sz="0" w:space="0" w:color="auto"/>
            <w:bottom w:val="none" w:sz="0" w:space="0" w:color="auto"/>
            <w:right w:val="none" w:sz="0" w:space="0" w:color="auto"/>
          </w:divBdr>
        </w:div>
        <w:div w:id="1526866679">
          <w:marLeft w:val="0"/>
          <w:marRight w:val="0"/>
          <w:marTop w:val="0"/>
          <w:marBottom w:val="0"/>
          <w:divBdr>
            <w:top w:val="none" w:sz="0" w:space="0" w:color="auto"/>
            <w:left w:val="none" w:sz="0" w:space="0" w:color="auto"/>
            <w:bottom w:val="none" w:sz="0" w:space="0" w:color="auto"/>
            <w:right w:val="none" w:sz="0" w:space="0" w:color="auto"/>
          </w:divBdr>
        </w:div>
        <w:div w:id="1551458007">
          <w:marLeft w:val="0"/>
          <w:marRight w:val="0"/>
          <w:marTop w:val="0"/>
          <w:marBottom w:val="0"/>
          <w:divBdr>
            <w:top w:val="none" w:sz="0" w:space="0" w:color="auto"/>
            <w:left w:val="none" w:sz="0" w:space="0" w:color="auto"/>
            <w:bottom w:val="none" w:sz="0" w:space="0" w:color="auto"/>
            <w:right w:val="none" w:sz="0" w:space="0" w:color="auto"/>
          </w:divBdr>
        </w:div>
        <w:div w:id="1590191343">
          <w:marLeft w:val="0"/>
          <w:marRight w:val="0"/>
          <w:marTop w:val="0"/>
          <w:marBottom w:val="0"/>
          <w:divBdr>
            <w:top w:val="none" w:sz="0" w:space="0" w:color="auto"/>
            <w:left w:val="none" w:sz="0" w:space="0" w:color="auto"/>
            <w:bottom w:val="none" w:sz="0" w:space="0" w:color="auto"/>
            <w:right w:val="none" w:sz="0" w:space="0" w:color="auto"/>
          </w:divBdr>
        </w:div>
        <w:div w:id="1639260563">
          <w:marLeft w:val="0"/>
          <w:marRight w:val="0"/>
          <w:marTop w:val="0"/>
          <w:marBottom w:val="0"/>
          <w:divBdr>
            <w:top w:val="none" w:sz="0" w:space="0" w:color="auto"/>
            <w:left w:val="none" w:sz="0" w:space="0" w:color="auto"/>
            <w:bottom w:val="none" w:sz="0" w:space="0" w:color="auto"/>
            <w:right w:val="none" w:sz="0" w:space="0" w:color="auto"/>
          </w:divBdr>
        </w:div>
        <w:div w:id="1649438637">
          <w:marLeft w:val="0"/>
          <w:marRight w:val="0"/>
          <w:marTop w:val="0"/>
          <w:marBottom w:val="0"/>
          <w:divBdr>
            <w:top w:val="none" w:sz="0" w:space="0" w:color="auto"/>
            <w:left w:val="none" w:sz="0" w:space="0" w:color="auto"/>
            <w:bottom w:val="none" w:sz="0" w:space="0" w:color="auto"/>
            <w:right w:val="none" w:sz="0" w:space="0" w:color="auto"/>
          </w:divBdr>
        </w:div>
        <w:div w:id="1688410186">
          <w:marLeft w:val="0"/>
          <w:marRight w:val="0"/>
          <w:marTop w:val="0"/>
          <w:marBottom w:val="0"/>
          <w:divBdr>
            <w:top w:val="none" w:sz="0" w:space="0" w:color="auto"/>
            <w:left w:val="none" w:sz="0" w:space="0" w:color="auto"/>
            <w:bottom w:val="none" w:sz="0" w:space="0" w:color="auto"/>
            <w:right w:val="none" w:sz="0" w:space="0" w:color="auto"/>
          </w:divBdr>
        </w:div>
        <w:div w:id="1693412251">
          <w:marLeft w:val="0"/>
          <w:marRight w:val="0"/>
          <w:marTop w:val="0"/>
          <w:marBottom w:val="0"/>
          <w:divBdr>
            <w:top w:val="none" w:sz="0" w:space="0" w:color="auto"/>
            <w:left w:val="none" w:sz="0" w:space="0" w:color="auto"/>
            <w:bottom w:val="none" w:sz="0" w:space="0" w:color="auto"/>
            <w:right w:val="none" w:sz="0" w:space="0" w:color="auto"/>
          </w:divBdr>
        </w:div>
        <w:div w:id="1805154856">
          <w:marLeft w:val="0"/>
          <w:marRight w:val="0"/>
          <w:marTop w:val="0"/>
          <w:marBottom w:val="0"/>
          <w:divBdr>
            <w:top w:val="none" w:sz="0" w:space="0" w:color="auto"/>
            <w:left w:val="none" w:sz="0" w:space="0" w:color="auto"/>
            <w:bottom w:val="none" w:sz="0" w:space="0" w:color="auto"/>
            <w:right w:val="none" w:sz="0" w:space="0" w:color="auto"/>
          </w:divBdr>
        </w:div>
        <w:div w:id="1862357772">
          <w:marLeft w:val="0"/>
          <w:marRight w:val="0"/>
          <w:marTop w:val="0"/>
          <w:marBottom w:val="0"/>
          <w:divBdr>
            <w:top w:val="none" w:sz="0" w:space="0" w:color="auto"/>
            <w:left w:val="none" w:sz="0" w:space="0" w:color="auto"/>
            <w:bottom w:val="none" w:sz="0" w:space="0" w:color="auto"/>
            <w:right w:val="none" w:sz="0" w:space="0" w:color="auto"/>
          </w:divBdr>
        </w:div>
        <w:div w:id="1896114029">
          <w:marLeft w:val="0"/>
          <w:marRight w:val="0"/>
          <w:marTop w:val="0"/>
          <w:marBottom w:val="0"/>
          <w:divBdr>
            <w:top w:val="none" w:sz="0" w:space="0" w:color="auto"/>
            <w:left w:val="none" w:sz="0" w:space="0" w:color="auto"/>
            <w:bottom w:val="none" w:sz="0" w:space="0" w:color="auto"/>
            <w:right w:val="none" w:sz="0" w:space="0" w:color="auto"/>
          </w:divBdr>
        </w:div>
        <w:div w:id="1944529366">
          <w:marLeft w:val="0"/>
          <w:marRight w:val="0"/>
          <w:marTop w:val="0"/>
          <w:marBottom w:val="0"/>
          <w:divBdr>
            <w:top w:val="none" w:sz="0" w:space="0" w:color="auto"/>
            <w:left w:val="none" w:sz="0" w:space="0" w:color="auto"/>
            <w:bottom w:val="none" w:sz="0" w:space="0" w:color="auto"/>
            <w:right w:val="none" w:sz="0" w:space="0" w:color="auto"/>
          </w:divBdr>
        </w:div>
        <w:div w:id="2023777340">
          <w:marLeft w:val="0"/>
          <w:marRight w:val="0"/>
          <w:marTop w:val="0"/>
          <w:marBottom w:val="0"/>
          <w:divBdr>
            <w:top w:val="none" w:sz="0" w:space="0" w:color="auto"/>
            <w:left w:val="none" w:sz="0" w:space="0" w:color="auto"/>
            <w:bottom w:val="none" w:sz="0" w:space="0" w:color="auto"/>
            <w:right w:val="none" w:sz="0" w:space="0" w:color="auto"/>
          </w:divBdr>
        </w:div>
        <w:div w:id="2062897897">
          <w:marLeft w:val="0"/>
          <w:marRight w:val="0"/>
          <w:marTop w:val="0"/>
          <w:marBottom w:val="0"/>
          <w:divBdr>
            <w:top w:val="none" w:sz="0" w:space="0" w:color="auto"/>
            <w:left w:val="none" w:sz="0" w:space="0" w:color="auto"/>
            <w:bottom w:val="none" w:sz="0" w:space="0" w:color="auto"/>
            <w:right w:val="none" w:sz="0" w:space="0" w:color="auto"/>
          </w:divBdr>
        </w:div>
        <w:div w:id="2072923210">
          <w:marLeft w:val="0"/>
          <w:marRight w:val="0"/>
          <w:marTop w:val="0"/>
          <w:marBottom w:val="0"/>
          <w:divBdr>
            <w:top w:val="none" w:sz="0" w:space="0" w:color="auto"/>
            <w:left w:val="none" w:sz="0" w:space="0" w:color="auto"/>
            <w:bottom w:val="none" w:sz="0" w:space="0" w:color="auto"/>
            <w:right w:val="none" w:sz="0" w:space="0" w:color="auto"/>
          </w:divBdr>
        </w:div>
      </w:divsChild>
    </w:div>
    <w:div w:id="435057046">
      <w:bodyDiv w:val="1"/>
      <w:marLeft w:val="0"/>
      <w:marRight w:val="0"/>
      <w:marTop w:val="0"/>
      <w:marBottom w:val="0"/>
      <w:divBdr>
        <w:top w:val="none" w:sz="0" w:space="0" w:color="auto"/>
        <w:left w:val="none" w:sz="0" w:space="0" w:color="auto"/>
        <w:bottom w:val="none" w:sz="0" w:space="0" w:color="auto"/>
        <w:right w:val="none" w:sz="0" w:space="0" w:color="auto"/>
      </w:divBdr>
      <w:divsChild>
        <w:div w:id="70782503">
          <w:marLeft w:val="0"/>
          <w:marRight w:val="0"/>
          <w:marTop w:val="0"/>
          <w:marBottom w:val="0"/>
          <w:divBdr>
            <w:top w:val="none" w:sz="0" w:space="0" w:color="auto"/>
            <w:left w:val="none" w:sz="0" w:space="0" w:color="auto"/>
            <w:bottom w:val="none" w:sz="0" w:space="0" w:color="auto"/>
            <w:right w:val="none" w:sz="0" w:space="0" w:color="auto"/>
          </w:divBdr>
          <w:divsChild>
            <w:div w:id="1198353272">
              <w:marLeft w:val="0"/>
              <w:marRight w:val="0"/>
              <w:marTop w:val="0"/>
              <w:marBottom w:val="0"/>
              <w:divBdr>
                <w:top w:val="none" w:sz="0" w:space="0" w:color="auto"/>
                <w:left w:val="none" w:sz="0" w:space="0" w:color="auto"/>
                <w:bottom w:val="none" w:sz="0" w:space="0" w:color="auto"/>
                <w:right w:val="none" w:sz="0" w:space="0" w:color="auto"/>
              </w:divBdr>
            </w:div>
          </w:divsChild>
        </w:div>
        <w:div w:id="85347060">
          <w:marLeft w:val="0"/>
          <w:marRight w:val="0"/>
          <w:marTop w:val="0"/>
          <w:marBottom w:val="0"/>
          <w:divBdr>
            <w:top w:val="none" w:sz="0" w:space="0" w:color="auto"/>
            <w:left w:val="none" w:sz="0" w:space="0" w:color="auto"/>
            <w:bottom w:val="none" w:sz="0" w:space="0" w:color="auto"/>
            <w:right w:val="none" w:sz="0" w:space="0" w:color="auto"/>
          </w:divBdr>
          <w:divsChild>
            <w:div w:id="1800680114">
              <w:marLeft w:val="0"/>
              <w:marRight w:val="0"/>
              <w:marTop w:val="0"/>
              <w:marBottom w:val="0"/>
              <w:divBdr>
                <w:top w:val="none" w:sz="0" w:space="0" w:color="auto"/>
                <w:left w:val="none" w:sz="0" w:space="0" w:color="auto"/>
                <w:bottom w:val="none" w:sz="0" w:space="0" w:color="auto"/>
                <w:right w:val="none" w:sz="0" w:space="0" w:color="auto"/>
              </w:divBdr>
            </w:div>
            <w:div w:id="1919706763">
              <w:marLeft w:val="0"/>
              <w:marRight w:val="0"/>
              <w:marTop w:val="0"/>
              <w:marBottom w:val="0"/>
              <w:divBdr>
                <w:top w:val="none" w:sz="0" w:space="0" w:color="auto"/>
                <w:left w:val="none" w:sz="0" w:space="0" w:color="auto"/>
                <w:bottom w:val="none" w:sz="0" w:space="0" w:color="auto"/>
                <w:right w:val="none" w:sz="0" w:space="0" w:color="auto"/>
              </w:divBdr>
            </w:div>
          </w:divsChild>
        </w:div>
        <w:div w:id="164441631">
          <w:marLeft w:val="0"/>
          <w:marRight w:val="0"/>
          <w:marTop w:val="0"/>
          <w:marBottom w:val="0"/>
          <w:divBdr>
            <w:top w:val="none" w:sz="0" w:space="0" w:color="auto"/>
            <w:left w:val="none" w:sz="0" w:space="0" w:color="auto"/>
            <w:bottom w:val="none" w:sz="0" w:space="0" w:color="auto"/>
            <w:right w:val="none" w:sz="0" w:space="0" w:color="auto"/>
          </w:divBdr>
          <w:divsChild>
            <w:div w:id="454642867">
              <w:marLeft w:val="0"/>
              <w:marRight w:val="0"/>
              <w:marTop w:val="0"/>
              <w:marBottom w:val="0"/>
              <w:divBdr>
                <w:top w:val="none" w:sz="0" w:space="0" w:color="auto"/>
                <w:left w:val="none" w:sz="0" w:space="0" w:color="auto"/>
                <w:bottom w:val="none" w:sz="0" w:space="0" w:color="auto"/>
                <w:right w:val="none" w:sz="0" w:space="0" w:color="auto"/>
              </w:divBdr>
            </w:div>
          </w:divsChild>
        </w:div>
        <w:div w:id="238834710">
          <w:marLeft w:val="0"/>
          <w:marRight w:val="0"/>
          <w:marTop w:val="0"/>
          <w:marBottom w:val="0"/>
          <w:divBdr>
            <w:top w:val="none" w:sz="0" w:space="0" w:color="auto"/>
            <w:left w:val="none" w:sz="0" w:space="0" w:color="auto"/>
            <w:bottom w:val="none" w:sz="0" w:space="0" w:color="auto"/>
            <w:right w:val="none" w:sz="0" w:space="0" w:color="auto"/>
          </w:divBdr>
          <w:divsChild>
            <w:div w:id="42408151">
              <w:marLeft w:val="0"/>
              <w:marRight w:val="0"/>
              <w:marTop w:val="0"/>
              <w:marBottom w:val="0"/>
              <w:divBdr>
                <w:top w:val="none" w:sz="0" w:space="0" w:color="auto"/>
                <w:left w:val="none" w:sz="0" w:space="0" w:color="auto"/>
                <w:bottom w:val="none" w:sz="0" w:space="0" w:color="auto"/>
                <w:right w:val="none" w:sz="0" w:space="0" w:color="auto"/>
              </w:divBdr>
            </w:div>
          </w:divsChild>
        </w:div>
        <w:div w:id="255600250">
          <w:marLeft w:val="0"/>
          <w:marRight w:val="0"/>
          <w:marTop w:val="0"/>
          <w:marBottom w:val="0"/>
          <w:divBdr>
            <w:top w:val="none" w:sz="0" w:space="0" w:color="auto"/>
            <w:left w:val="none" w:sz="0" w:space="0" w:color="auto"/>
            <w:bottom w:val="none" w:sz="0" w:space="0" w:color="auto"/>
            <w:right w:val="none" w:sz="0" w:space="0" w:color="auto"/>
          </w:divBdr>
          <w:divsChild>
            <w:div w:id="259945794">
              <w:marLeft w:val="0"/>
              <w:marRight w:val="0"/>
              <w:marTop w:val="0"/>
              <w:marBottom w:val="0"/>
              <w:divBdr>
                <w:top w:val="none" w:sz="0" w:space="0" w:color="auto"/>
                <w:left w:val="none" w:sz="0" w:space="0" w:color="auto"/>
                <w:bottom w:val="none" w:sz="0" w:space="0" w:color="auto"/>
                <w:right w:val="none" w:sz="0" w:space="0" w:color="auto"/>
              </w:divBdr>
            </w:div>
          </w:divsChild>
        </w:div>
        <w:div w:id="314651643">
          <w:marLeft w:val="0"/>
          <w:marRight w:val="0"/>
          <w:marTop w:val="0"/>
          <w:marBottom w:val="0"/>
          <w:divBdr>
            <w:top w:val="none" w:sz="0" w:space="0" w:color="auto"/>
            <w:left w:val="none" w:sz="0" w:space="0" w:color="auto"/>
            <w:bottom w:val="none" w:sz="0" w:space="0" w:color="auto"/>
            <w:right w:val="none" w:sz="0" w:space="0" w:color="auto"/>
          </w:divBdr>
          <w:divsChild>
            <w:div w:id="124082216">
              <w:marLeft w:val="0"/>
              <w:marRight w:val="0"/>
              <w:marTop w:val="0"/>
              <w:marBottom w:val="0"/>
              <w:divBdr>
                <w:top w:val="none" w:sz="0" w:space="0" w:color="auto"/>
                <w:left w:val="none" w:sz="0" w:space="0" w:color="auto"/>
                <w:bottom w:val="none" w:sz="0" w:space="0" w:color="auto"/>
                <w:right w:val="none" w:sz="0" w:space="0" w:color="auto"/>
              </w:divBdr>
            </w:div>
          </w:divsChild>
        </w:div>
        <w:div w:id="319232300">
          <w:marLeft w:val="0"/>
          <w:marRight w:val="0"/>
          <w:marTop w:val="0"/>
          <w:marBottom w:val="0"/>
          <w:divBdr>
            <w:top w:val="none" w:sz="0" w:space="0" w:color="auto"/>
            <w:left w:val="none" w:sz="0" w:space="0" w:color="auto"/>
            <w:bottom w:val="none" w:sz="0" w:space="0" w:color="auto"/>
            <w:right w:val="none" w:sz="0" w:space="0" w:color="auto"/>
          </w:divBdr>
          <w:divsChild>
            <w:div w:id="1278877185">
              <w:marLeft w:val="0"/>
              <w:marRight w:val="0"/>
              <w:marTop w:val="0"/>
              <w:marBottom w:val="0"/>
              <w:divBdr>
                <w:top w:val="none" w:sz="0" w:space="0" w:color="auto"/>
                <w:left w:val="none" w:sz="0" w:space="0" w:color="auto"/>
                <w:bottom w:val="none" w:sz="0" w:space="0" w:color="auto"/>
                <w:right w:val="none" w:sz="0" w:space="0" w:color="auto"/>
              </w:divBdr>
            </w:div>
          </w:divsChild>
        </w:div>
        <w:div w:id="430904355">
          <w:marLeft w:val="0"/>
          <w:marRight w:val="0"/>
          <w:marTop w:val="0"/>
          <w:marBottom w:val="0"/>
          <w:divBdr>
            <w:top w:val="none" w:sz="0" w:space="0" w:color="auto"/>
            <w:left w:val="none" w:sz="0" w:space="0" w:color="auto"/>
            <w:bottom w:val="none" w:sz="0" w:space="0" w:color="auto"/>
            <w:right w:val="none" w:sz="0" w:space="0" w:color="auto"/>
          </w:divBdr>
          <w:divsChild>
            <w:div w:id="2000502759">
              <w:marLeft w:val="0"/>
              <w:marRight w:val="0"/>
              <w:marTop w:val="0"/>
              <w:marBottom w:val="0"/>
              <w:divBdr>
                <w:top w:val="none" w:sz="0" w:space="0" w:color="auto"/>
                <w:left w:val="none" w:sz="0" w:space="0" w:color="auto"/>
                <w:bottom w:val="none" w:sz="0" w:space="0" w:color="auto"/>
                <w:right w:val="none" w:sz="0" w:space="0" w:color="auto"/>
              </w:divBdr>
            </w:div>
          </w:divsChild>
        </w:div>
        <w:div w:id="612784971">
          <w:marLeft w:val="0"/>
          <w:marRight w:val="0"/>
          <w:marTop w:val="0"/>
          <w:marBottom w:val="0"/>
          <w:divBdr>
            <w:top w:val="none" w:sz="0" w:space="0" w:color="auto"/>
            <w:left w:val="none" w:sz="0" w:space="0" w:color="auto"/>
            <w:bottom w:val="none" w:sz="0" w:space="0" w:color="auto"/>
            <w:right w:val="none" w:sz="0" w:space="0" w:color="auto"/>
          </w:divBdr>
          <w:divsChild>
            <w:div w:id="2114010401">
              <w:marLeft w:val="0"/>
              <w:marRight w:val="0"/>
              <w:marTop w:val="0"/>
              <w:marBottom w:val="0"/>
              <w:divBdr>
                <w:top w:val="none" w:sz="0" w:space="0" w:color="auto"/>
                <w:left w:val="none" w:sz="0" w:space="0" w:color="auto"/>
                <w:bottom w:val="none" w:sz="0" w:space="0" w:color="auto"/>
                <w:right w:val="none" w:sz="0" w:space="0" w:color="auto"/>
              </w:divBdr>
            </w:div>
          </w:divsChild>
        </w:div>
        <w:div w:id="644048609">
          <w:marLeft w:val="0"/>
          <w:marRight w:val="0"/>
          <w:marTop w:val="0"/>
          <w:marBottom w:val="0"/>
          <w:divBdr>
            <w:top w:val="none" w:sz="0" w:space="0" w:color="auto"/>
            <w:left w:val="none" w:sz="0" w:space="0" w:color="auto"/>
            <w:bottom w:val="none" w:sz="0" w:space="0" w:color="auto"/>
            <w:right w:val="none" w:sz="0" w:space="0" w:color="auto"/>
          </w:divBdr>
          <w:divsChild>
            <w:div w:id="217716725">
              <w:marLeft w:val="0"/>
              <w:marRight w:val="0"/>
              <w:marTop w:val="0"/>
              <w:marBottom w:val="0"/>
              <w:divBdr>
                <w:top w:val="none" w:sz="0" w:space="0" w:color="auto"/>
                <w:left w:val="none" w:sz="0" w:space="0" w:color="auto"/>
                <w:bottom w:val="none" w:sz="0" w:space="0" w:color="auto"/>
                <w:right w:val="none" w:sz="0" w:space="0" w:color="auto"/>
              </w:divBdr>
            </w:div>
          </w:divsChild>
        </w:div>
        <w:div w:id="702024243">
          <w:marLeft w:val="0"/>
          <w:marRight w:val="0"/>
          <w:marTop w:val="0"/>
          <w:marBottom w:val="0"/>
          <w:divBdr>
            <w:top w:val="none" w:sz="0" w:space="0" w:color="auto"/>
            <w:left w:val="none" w:sz="0" w:space="0" w:color="auto"/>
            <w:bottom w:val="none" w:sz="0" w:space="0" w:color="auto"/>
            <w:right w:val="none" w:sz="0" w:space="0" w:color="auto"/>
          </w:divBdr>
          <w:divsChild>
            <w:div w:id="737746924">
              <w:marLeft w:val="0"/>
              <w:marRight w:val="0"/>
              <w:marTop w:val="0"/>
              <w:marBottom w:val="0"/>
              <w:divBdr>
                <w:top w:val="none" w:sz="0" w:space="0" w:color="auto"/>
                <w:left w:val="none" w:sz="0" w:space="0" w:color="auto"/>
                <w:bottom w:val="none" w:sz="0" w:space="0" w:color="auto"/>
                <w:right w:val="none" w:sz="0" w:space="0" w:color="auto"/>
              </w:divBdr>
            </w:div>
          </w:divsChild>
        </w:div>
        <w:div w:id="761028603">
          <w:marLeft w:val="0"/>
          <w:marRight w:val="0"/>
          <w:marTop w:val="0"/>
          <w:marBottom w:val="0"/>
          <w:divBdr>
            <w:top w:val="none" w:sz="0" w:space="0" w:color="auto"/>
            <w:left w:val="none" w:sz="0" w:space="0" w:color="auto"/>
            <w:bottom w:val="none" w:sz="0" w:space="0" w:color="auto"/>
            <w:right w:val="none" w:sz="0" w:space="0" w:color="auto"/>
          </w:divBdr>
          <w:divsChild>
            <w:div w:id="765737515">
              <w:marLeft w:val="0"/>
              <w:marRight w:val="0"/>
              <w:marTop w:val="0"/>
              <w:marBottom w:val="0"/>
              <w:divBdr>
                <w:top w:val="none" w:sz="0" w:space="0" w:color="auto"/>
                <w:left w:val="none" w:sz="0" w:space="0" w:color="auto"/>
                <w:bottom w:val="none" w:sz="0" w:space="0" w:color="auto"/>
                <w:right w:val="none" w:sz="0" w:space="0" w:color="auto"/>
              </w:divBdr>
            </w:div>
          </w:divsChild>
        </w:div>
        <w:div w:id="805273359">
          <w:marLeft w:val="0"/>
          <w:marRight w:val="0"/>
          <w:marTop w:val="0"/>
          <w:marBottom w:val="0"/>
          <w:divBdr>
            <w:top w:val="none" w:sz="0" w:space="0" w:color="auto"/>
            <w:left w:val="none" w:sz="0" w:space="0" w:color="auto"/>
            <w:bottom w:val="none" w:sz="0" w:space="0" w:color="auto"/>
            <w:right w:val="none" w:sz="0" w:space="0" w:color="auto"/>
          </w:divBdr>
          <w:divsChild>
            <w:div w:id="1357581501">
              <w:marLeft w:val="0"/>
              <w:marRight w:val="0"/>
              <w:marTop w:val="0"/>
              <w:marBottom w:val="0"/>
              <w:divBdr>
                <w:top w:val="none" w:sz="0" w:space="0" w:color="auto"/>
                <w:left w:val="none" w:sz="0" w:space="0" w:color="auto"/>
                <w:bottom w:val="none" w:sz="0" w:space="0" w:color="auto"/>
                <w:right w:val="none" w:sz="0" w:space="0" w:color="auto"/>
              </w:divBdr>
            </w:div>
          </w:divsChild>
        </w:div>
        <w:div w:id="829098876">
          <w:marLeft w:val="0"/>
          <w:marRight w:val="0"/>
          <w:marTop w:val="0"/>
          <w:marBottom w:val="0"/>
          <w:divBdr>
            <w:top w:val="none" w:sz="0" w:space="0" w:color="auto"/>
            <w:left w:val="none" w:sz="0" w:space="0" w:color="auto"/>
            <w:bottom w:val="none" w:sz="0" w:space="0" w:color="auto"/>
            <w:right w:val="none" w:sz="0" w:space="0" w:color="auto"/>
          </w:divBdr>
          <w:divsChild>
            <w:div w:id="1568953818">
              <w:marLeft w:val="0"/>
              <w:marRight w:val="0"/>
              <w:marTop w:val="0"/>
              <w:marBottom w:val="0"/>
              <w:divBdr>
                <w:top w:val="none" w:sz="0" w:space="0" w:color="auto"/>
                <w:left w:val="none" w:sz="0" w:space="0" w:color="auto"/>
                <w:bottom w:val="none" w:sz="0" w:space="0" w:color="auto"/>
                <w:right w:val="none" w:sz="0" w:space="0" w:color="auto"/>
              </w:divBdr>
            </w:div>
          </w:divsChild>
        </w:div>
        <w:div w:id="838423421">
          <w:marLeft w:val="0"/>
          <w:marRight w:val="0"/>
          <w:marTop w:val="0"/>
          <w:marBottom w:val="0"/>
          <w:divBdr>
            <w:top w:val="none" w:sz="0" w:space="0" w:color="auto"/>
            <w:left w:val="none" w:sz="0" w:space="0" w:color="auto"/>
            <w:bottom w:val="none" w:sz="0" w:space="0" w:color="auto"/>
            <w:right w:val="none" w:sz="0" w:space="0" w:color="auto"/>
          </w:divBdr>
          <w:divsChild>
            <w:div w:id="208879171">
              <w:marLeft w:val="0"/>
              <w:marRight w:val="0"/>
              <w:marTop w:val="0"/>
              <w:marBottom w:val="0"/>
              <w:divBdr>
                <w:top w:val="none" w:sz="0" w:space="0" w:color="auto"/>
                <w:left w:val="none" w:sz="0" w:space="0" w:color="auto"/>
                <w:bottom w:val="none" w:sz="0" w:space="0" w:color="auto"/>
                <w:right w:val="none" w:sz="0" w:space="0" w:color="auto"/>
              </w:divBdr>
            </w:div>
          </w:divsChild>
        </w:div>
        <w:div w:id="920990700">
          <w:marLeft w:val="0"/>
          <w:marRight w:val="0"/>
          <w:marTop w:val="0"/>
          <w:marBottom w:val="0"/>
          <w:divBdr>
            <w:top w:val="none" w:sz="0" w:space="0" w:color="auto"/>
            <w:left w:val="none" w:sz="0" w:space="0" w:color="auto"/>
            <w:bottom w:val="none" w:sz="0" w:space="0" w:color="auto"/>
            <w:right w:val="none" w:sz="0" w:space="0" w:color="auto"/>
          </w:divBdr>
          <w:divsChild>
            <w:div w:id="2086102041">
              <w:marLeft w:val="0"/>
              <w:marRight w:val="0"/>
              <w:marTop w:val="0"/>
              <w:marBottom w:val="0"/>
              <w:divBdr>
                <w:top w:val="none" w:sz="0" w:space="0" w:color="auto"/>
                <w:left w:val="none" w:sz="0" w:space="0" w:color="auto"/>
                <w:bottom w:val="none" w:sz="0" w:space="0" w:color="auto"/>
                <w:right w:val="none" w:sz="0" w:space="0" w:color="auto"/>
              </w:divBdr>
            </w:div>
          </w:divsChild>
        </w:div>
        <w:div w:id="978724964">
          <w:marLeft w:val="0"/>
          <w:marRight w:val="0"/>
          <w:marTop w:val="0"/>
          <w:marBottom w:val="0"/>
          <w:divBdr>
            <w:top w:val="none" w:sz="0" w:space="0" w:color="auto"/>
            <w:left w:val="none" w:sz="0" w:space="0" w:color="auto"/>
            <w:bottom w:val="none" w:sz="0" w:space="0" w:color="auto"/>
            <w:right w:val="none" w:sz="0" w:space="0" w:color="auto"/>
          </w:divBdr>
          <w:divsChild>
            <w:div w:id="1037125218">
              <w:marLeft w:val="0"/>
              <w:marRight w:val="0"/>
              <w:marTop w:val="0"/>
              <w:marBottom w:val="0"/>
              <w:divBdr>
                <w:top w:val="none" w:sz="0" w:space="0" w:color="auto"/>
                <w:left w:val="none" w:sz="0" w:space="0" w:color="auto"/>
                <w:bottom w:val="none" w:sz="0" w:space="0" w:color="auto"/>
                <w:right w:val="none" w:sz="0" w:space="0" w:color="auto"/>
              </w:divBdr>
            </w:div>
          </w:divsChild>
        </w:div>
        <w:div w:id="994140472">
          <w:marLeft w:val="0"/>
          <w:marRight w:val="0"/>
          <w:marTop w:val="0"/>
          <w:marBottom w:val="0"/>
          <w:divBdr>
            <w:top w:val="none" w:sz="0" w:space="0" w:color="auto"/>
            <w:left w:val="none" w:sz="0" w:space="0" w:color="auto"/>
            <w:bottom w:val="none" w:sz="0" w:space="0" w:color="auto"/>
            <w:right w:val="none" w:sz="0" w:space="0" w:color="auto"/>
          </w:divBdr>
          <w:divsChild>
            <w:div w:id="118108007">
              <w:marLeft w:val="0"/>
              <w:marRight w:val="0"/>
              <w:marTop w:val="0"/>
              <w:marBottom w:val="0"/>
              <w:divBdr>
                <w:top w:val="none" w:sz="0" w:space="0" w:color="auto"/>
                <w:left w:val="none" w:sz="0" w:space="0" w:color="auto"/>
                <w:bottom w:val="none" w:sz="0" w:space="0" w:color="auto"/>
                <w:right w:val="none" w:sz="0" w:space="0" w:color="auto"/>
              </w:divBdr>
            </w:div>
            <w:div w:id="344022701">
              <w:marLeft w:val="0"/>
              <w:marRight w:val="0"/>
              <w:marTop w:val="0"/>
              <w:marBottom w:val="0"/>
              <w:divBdr>
                <w:top w:val="none" w:sz="0" w:space="0" w:color="auto"/>
                <w:left w:val="none" w:sz="0" w:space="0" w:color="auto"/>
                <w:bottom w:val="none" w:sz="0" w:space="0" w:color="auto"/>
                <w:right w:val="none" w:sz="0" w:space="0" w:color="auto"/>
              </w:divBdr>
            </w:div>
          </w:divsChild>
        </w:div>
        <w:div w:id="1307005591">
          <w:marLeft w:val="0"/>
          <w:marRight w:val="0"/>
          <w:marTop w:val="0"/>
          <w:marBottom w:val="0"/>
          <w:divBdr>
            <w:top w:val="none" w:sz="0" w:space="0" w:color="auto"/>
            <w:left w:val="none" w:sz="0" w:space="0" w:color="auto"/>
            <w:bottom w:val="none" w:sz="0" w:space="0" w:color="auto"/>
            <w:right w:val="none" w:sz="0" w:space="0" w:color="auto"/>
          </w:divBdr>
          <w:divsChild>
            <w:div w:id="1537934452">
              <w:marLeft w:val="0"/>
              <w:marRight w:val="0"/>
              <w:marTop w:val="0"/>
              <w:marBottom w:val="0"/>
              <w:divBdr>
                <w:top w:val="none" w:sz="0" w:space="0" w:color="auto"/>
                <w:left w:val="none" w:sz="0" w:space="0" w:color="auto"/>
                <w:bottom w:val="none" w:sz="0" w:space="0" w:color="auto"/>
                <w:right w:val="none" w:sz="0" w:space="0" w:color="auto"/>
              </w:divBdr>
            </w:div>
          </w:divsChild>
        </w:div>
        <w:div w:id="1561284276">
          <w:marLeft w:val="0"/>
          <w:marRight w:val="0"/>
          <w:marTop w:val="0"/>
          <w:marBottom w:val="0"/>
          <w:divBdr>
            <w:top w:val="none" w:sz="0" w:space="0" w:color="auto"/>
            <w:left w:val="none" w:sz="0" w:space="0" w:color="auto"/>
            <w:bottom w:val="none" w:sz="0" w:space="0" w:color="auto"/>
            <w:right w:val="none" w:sz="0" w:space="0" w:color="auto"/>
          </w:divBdr>
          <w:divsChild>
            <w:div w:id="741607357">
              <w:marLeft w:val="0"/>
              <w:marRight w:val="0"/>
              <w:marTop w:val="0"/>
              <w:marBottom w:val="0"/>
              <w:divBdr>
                <w:top w:val="none" w:sz="0" w:space="0" w:color="auto"/>
                <w:left w:val="none" w:sz="0" w:space="0" w:color="auto"/>
                <w:bottom w:val="none" w:sz="0" w:space="0" w:color="auto"/>
                <w:right w:val="none" w:sz="0" w:space="0" w:color="auto"/>
              </w:divBdr>
            </w:div>
          </w:divsChild>
        </w:div>
        <w:div w:id="1676298797">
          <w:marLeft w:val="0"/>
          <w:marRight w:val="0"/>
          <w:marTop w:val="0"/>
          <w:marBottom w:val="0"/>
          <w:divBdr>
            <w:top w:val="none" w:sz="0" w:space="0" w:color="auto"/>
            <w:left w:val="none" w:sz="0" w:space="0" w:color="auto"/>
            <w:bottom w:val="none" w:sz="0" w:space="0" w:color="auto"/>
            <w:right w:val="none" w:sz="0" w:space="0" w:color="auto"/>
          </w:divBdr>
          <w:divsChild>
            <w:div w:id="225528600">
              <w:marLeft w:val="0"/>
              <w:marRight w:val="0"/>
              <w:marTop w:val="0"/>
              <w:marBottom w:val="0"/>
              <w:divBdr>
                <w:top w:val="none" w:sz="0" w:space="0" w:color="auto"/>
                <w:left w:val="none" w:sz="0" w:space="0" w:color="auto"/>
                <w:bottom w:val="none" w:sz="0" w:space="0" w:color="auto"/>
                <w:right w:val="none" w:sz="0" w:space="0" w:color="auto"/>
              </w:divBdr>
            </w:div>
          </w:divsChild>
        </w:div>
        <w:div w:id="1885871582">
          <w:marLeft w:val="0"/>
          <w:marRight w:val="0"/>
          <w:marTop w:val="0"/>
          <w:marBottom w:val="0"/>
          <w:divBdr>
            <w:top w:val="none" w:sz="0" w:space="0" w:color="auto"/>
            <w:left w:val="none" w:sz="0" w:space="0" w:color="auto"/>
            <w:bottom w:val="none" w:sz="0" w:space="0" w:color="auto"/>
            <w:right w:val="none" w:sz="0" w:space="0" w:color="auto"/>
          </w:divBdr>
          <w:divsChild>
            <w:div w:id="13961740">
              <w:marLeft w:val="0"/>
              <w:marRight w:val="0"/>
              <w:marTop w:val="0"/>
              <w:marBottom w:val="0"/>
              <w:divBdr>
                <w:top w:val="none" w:sz="0" w:space="0" w:color="auto"/>
                <w:left w:val="none" w:sz="0" w:space="0" w:color="auto"/>
                <w:bottom w:val="none" w:sz="0" w:space="0" w:color="auto"/>
                <w:right w:val="none" w:sz="0" w:space="0" w:color="auto"/>
              </w:divBdr>
            </w:div>
          </w:divsChild>
        </w:div>
        <w:div w:id="1963268986">
          <w:marLeft w:val="0"/>
          <w:marRight w:val="0"/>
          <w:marTop w:val="0"/>
          <w:marBottom w:val="0"/>
          <w:divBdr>
            <w:top w:val="none" w:sz="0" w:space="0" w:color="auto"/>
            <w:left w:val="none" w:sz="0" w:space="0" w:color="auto"/>
            <w:bottom w:val="none" w:sz="0" w:space="0" w:color="auto"/>
            <w:right w:val="none" w:sz="0" w:space="0" w:color="auto"/>
          </w:divBdr>
          <w:divsChild>
            <w:div w:id="794444257">
              <w:marLeft w:val="0"/>
              <w:marRight w:val="0"/>
              <w:marTop w:val="0"/>
              <w:marBottom w:val="0"/>
              <w:divBdr>
                <w:top w:val="none" w:sz="0" w:space="0" w:color="auto"/>
                <w:left w:val="none" w:sz="0" w:space="0" w:color="auto"/>
                <w:bottom w:val="none" w:sz="0" w:space="0" w:color="auto"/>
                <w:right w:val="none" w:sz="0" w:space="0" w:color="auto"/>
              </w:divBdr>
            </w:div>
          </w:divsChild>
        </w:div>
        <w:div w:id="2011563526">
          <w:marLeft w:val="0"/>
          <w:marRight w:val="0"/>
          <w:marTop w:val="0"/>
          <w:marBottom w:val="0"/>
          <w:divBdr>
            <w:top w:val="none" w:sz="0" w:space="0" w:color="auto"/>
            <w:left w:val="none" w:sz="0" w:space="0" w:color="auto"/>
            <w:bottom w:val="none" w:sz="0" w:space="0" w:color="auto"/>
            <w:right w:val="none" w:sz="0" w:space="0" w:color="auto"/>
          </w:divBdr>
          <w:divsChild>
            <w:div w:id="3415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4147">
      <w:bodyDiv w:val="1"/>
      <w:marLeft w:val="0"/>
      <w:marRight w:val="0"/>
      <w:marTop w:val="0"/>
      <w:marBottom w:val="0"/>
      <w:divBdr>
        <w:top w:val="none" w:sz="0" w:space="0" w:color="auto"/>
        <w:left w:val="none" w:sz="0" w:space="0" w:color="auto"/>
        <w:bottom w:val="none" w:sz="0" w:space="0" w:color="auto"/>
        <w:right w:val="none" w:sz="0" w:space="0" w:color="auto"/>
      </w:divBdr>
      <w:divsChild>
        <w:div w:id="51854284">
          <w:marLeft w:val="0"/>
          <w:marRight w:val="0"/>
          <w:marTop w:val="0"/>
          <w:marBottom w:val="0"/>
          <w:divBdr>
            <w:top w:val="none" w:sz="0" w:space="0" w:color="auto"/>
            <w:left w:val="none" w:sz="0" w:space="0" w:color="auto"/>
            <w:bottom w:val="none" w:sz="0" w:space="0" w:color="auto"/>
            <w:right w:val="none" w:sz="0" w:space="0" w:color="auto"/>
          </w:divBdr>
        </w:div>
        <w:div w:id="147404247">
          <w:marLeft w:val="0"/>
          <w:marRight w:val="0"/>
          <w:marTop w:val="0"/>
          <w:marBottom w:val="0"/>
          <w:divBdr>
            <w:top w:val="none" w:sz="0" w:space="0" w:color="auto"/>
            <w:left w:val="none" w:sz="0" w:space="0" w:color="auto"/>
            <w:bottom w:val="none" w:sz="0" w:space="0" w:color="auto"/>
            <w:right w:val="none" w:sz="0" w:space="0" w:color="auto"/>
          </w:divBdr>
          <w:divsChild>
            <w:div w:id="1828864211">
              <w:marLeft w:val="0"/>
              <w:marRight w:val="0"/>
              <w:marTop w:val="30"/>
              <w:marBottom w:val="30"/>
              <w:divBdr>
                <w:top w:val="none" w:sz="0" w:space="0" w:color="auto"/>
                <w:left w:val="none" w:sz="0" w:space="0" w:color="auto"/>
                <w:bottom w:val="none" w:sz="0" w:space="0" w:color="auto"/>
                <w:right w:val="none" w:sz="0" w:space="0" w:color="auto"/>
              </w:divBdr>
              <w:divsChild>
                <w:div w:id="745155789">
                  <w:marLeft w:val="0"/>
                  <w:marRight w:val="0"/>
                  <w:marTop w:val="0"/>
                  <w:marBottom w:val="0"/>
                  <w:divBdr>
                    <w:top w:val="none" w:sz="0" w:space="0" w:color="auto"/>
                    <w:left w:val="none" w:sz="0" w:space="0" w:color="auto"/>
                    <w:bottom w:val="none" w:sz="0" w:space="0" w:color="auto"/>
                    <w:right w:val="none" w:sz="0" w:space="0" w:color="auto"/>
                  </w:divBdr>
                  <w:divsChild>
                    <w:div w:id="780153213">
                      <w:marLeft w:val="0"/>
                      <w:marRight w:val="0"/>
                      <w:marTop w:val="0"/>
                      <w:marBottom w:val="0"/>
                      <w:divBdr>
                        <w:top w:val="none" w:sz="0" w:space="0" w:color="auto"/>
                        <w:left w:val="none" w:sz="0" w:space="0" w:color="auto"/>
                        <w:bottom w:val="none" w:sz="0" w:space="0" w:color="auto"/>
                        <w:right w:val="none" w:sz="0" w:space="0" w:color="auto"/>
                      </w:divBdr>
                    </w:div>
                  </w:divsChild>
                </w:div>
                <w:div w:id="900553907">
                  <w:marLeft w:val="0"/>
                  <w:marRight w:val="0"/>
                  <w:marTop w:val="0"/>
                  <w:marBottom w:val="0"/>
                  <w:divBdr>
                    <w:top w:val="none" w:sz="0" w:space="0" w:color="auto"/>
                    <w:left w:val="none" w:sz="0" w:space="0" w:color="auto"/>
                    <w:bottom w:val="none" w:sz="0" w:space="0" w:color="auto"/>
                    <w:right w:val="none" w:sz="0" w:space="0" w:color="auto"/>
                  </w:divBdr>
                  <w:divsChild>
                    <w:div w:id="1936673058">
                      <w:marLeft w:val="0"/>
                      <w:marRight w:val="0"/>
                      <w:marTop w:val="0"/>
                      <w:marBottom w:val="0"/>
                      <w:divBdr>
                        <w:top w:val="none" w:sz="0" w:space="0" w:color="auto"/>
                        <w:left w:val="none" w:sz="0" w:space="0" w:color="auto"/>
                        <w:bottom w:val="none" w:sz="0" w:space="0" w:color="auto"/>
                        <w:right w:val="none" w:sz="0" w:space="0" w:color="auto"/>
                      </w:divBdr>
                    </w:div>
                  </w:divsChild>
                </w:div>
                <w:div w:id="951203321">
                  <w:marLeft w:val="0"/>
                  <w:marRight w:val="0"/>
                  <w:marTop w:val="0"/>
                  <w:marBottom w:val="0"/>
                  <w:divBdr>
                    <w:top w:val="none" w:sz="0" w:space="0" w:color="auto"/>
                    <w:left w:val="none" w:sz="0" w:space="0" w:color="auto"/>
                    <w:bottom w:val="none" w:sz="0" w:space="0" w:color="auto"/>
                    <w:right w:val="none" w:sz="0" w:space="0" w:color="auto"/>
                  </w:divBdr>
                  <w:divsChild>
                    <w:div w:id="1168863148">
                      <w:marLeft w:val="0"/>
                      <w:marRight w:val="0"/>
                      <w:marTop w:val="0"/>
                      <w:marBottom w:val="0"/>
                      <w:divBdr>
                        <w:top w:val="none" w:sz="0" w:space="0" w:color="auto"/>
                        <w:left w:val="none" w:sz="0" w:space="0" w:color="auto"/>
                        <w:bottom w:val="none" w:sz="0" w:space="0" w:color="auto"/>
                        <w:right w:val="none" w:sz="0" w:space="0" w:color="auto"/>
                      </w:divBdr>
                    </w:div>
                  </w:divsChild>
                </w:div>
                <w:div w:id="1249538054">
                  <w:marLeft w:val="0"/>
                  <w:marRight w:val="0"/>
                  <w:marTop w:val="0"/>
                  <w:marBottom w:val="0"/>
                  <w:divBdr>
                    <w:top w:val="none" w:sz="0" w:space="0" w:color="auto"/>
                    <w:left w:val="none" w:sz="0" w:space="0" w:color="auto"/>
                    <w:bottom w:val="none" w:sz="0" w:space="0" w:color="auto"/>
                    <w:right w:val="none" w:sz="0" w:space="0" w:color="auto"/>
                  </w:divBdr>
                  <w:divsChild>
                    <w:div w:id="1227492361">
                      <w:marLeft w:val="0"/>
                      <w:marRight w:val="0"/>
                      <w:marTop w:val="0"/>
                      <w:marBottom w:val="0"/>
                      <w:divBdr>
                        <w:top w:val="none" w:sz="0" w:space="0" w:color="auto"/>
                        <w:left w:val="none" w:sz="0" w:space="0" w:color="auto"/>
                        <w:bottom w:val="none" w:sz="0" w:space="0" w:color="auto"/>
                        <w:right w:val="none" w:sz="0" w:space="0" w:color="auto"/>
                      </w:divBdr>
                    </w:div>
                  </w:divsChild>
                </w:div>
                <w:div w:id="1716735724">
                  <w:marLeft w:val="0"/>
                  <w:marRight w:val="0"/>
                  <w:marTop w:val="0"/>
                  <w:marBottom w:val="0"/>
                  <w:divBdr>
                    <w:top w:val="none" w:sz="0" w:space="0" w:color="auto"/>
                    <w:left w:val="none" w:sz="0" w:space="0" w:color="auto"/>
                    <w:bottom w:val="none" w:sz="0" w:space="0" w:color="auto"/>
                    <w:right w:val="none" w:sz="0" w:space="0" w:color="auto"/>
                  </w:divBdr>
                  <w:divsChild>
                    <w:div w:id="1484078270">
                      <w:marLeft w:val="0"/>
                      <w:marRight w:val="0"/>
                      <w:marTop w:val="0"/>
                      <w:marBottom w:val="0"/>
                      <w:divBdr>
                        <w:top w:val="none" w:sz="0" w:space="0" w:color="auto"/>
                        <w:left w:val="none" w:sz="0" w:space="0" w:color="auto"/>
                        <w:bottom w:val="none" w:sz="0" w:space="0" w:color="auto"/>
                        <w:right w:val="none" w:sz="0" w:space="0" w:color="auto"/>
                      </w:divBdr>
                    </w:div>
                  </w:divsChild>
                </w:div>
                <w:div w:id="1803227252">
                  <w:marLeft w:val="0"/>
                  <w:marRight w:val="0"/>
                  <w:marTop w:val="0"/>
                  <w:marBottom w:val="0"/>
                  <w:divBdr>
                    <w:top w:val="none" w:sz="0" w:space="0" w:color="auto"/>
                    <w:left w:val="none" w:sz="0" w:space="0" w:color="auto"/>
                    <w:bottom w:val="none" w:sz="0" w:space="0" w:color="auto"/>
                    <w:right w:val="none" w:sz="0" w:space="0" w:color="auto"/>
                  </w:divBdr>
                  <w:divsChild>
                    <w:div w:id="1972438022">
                      <w:marLeft w:val="0"/>
                      <w:marRight w:val="0"/>
                      <w:marTop w:val="0"/>
                      <w:marBottom w:val="0"/>
                      <w:divBdr>
                        <w:top w:val="none" w:sz="0" w:space="0" w:color="auto"/>
                        <w:left w:val="none" w:sz="0" w:space="0" w:color="auto"/>
                        <w:bottom w:val="none" w:sz="0" w:space="0" w:color="auto"/>
                        <w:right w:val="none" w:sz="0" w:space="0" w:color="auto"/>
                      </w:divBdr>
                    </w:div>
                  </w:divsChild>
                </w:div>
                <w:div w:id="1816069320">
                  <w:marLeft w:val="0"/>
                  <w:marRight w:val="0"/>
                  <w:marTop w:val="0"/>
                  <w:marBottom w:val="0"/>
                  <w:divBdr>
                    <w:top w:val="none" w:sz="0" w:space="0" w:color="auto"/>
                    <w:left w:val="none" w:sz="0" w:space="0" w:color="auto"/>
                    <w:bottom w:val="none" w:sz="0" w:space="0" w:color="auto"/>
                    <w:right w:val="none" w:sz="0" w:space="0" w:color="auto"/>
                  </w:divBdr>
                  <w:divsChild>
                    <w:div w:id="597637677">
                      <w:marLeft w:val="0"/>
                      <w:marRight w:val="0"/>
                      <w:marTop w:val="0"/>
                      <w:marBottom w:val="0"/>
                      <w:divBdr>
                        <w:top w:val="none" w:sz="0" w:space="0" w:color="auto"/>
                        <w:left w:val="none" w:sz="0" w:space="0" w:color="auto"/>
                        <w:bottom w:val="none" w:sz="0" w:space="0" w:color="auto"/>
                        <w:right w:val="none" w:sz="0" w:space="0" w:color="auto"/>
                      </w:divBdr>
                    </w:div>
                  </w:divsChild>
                </w:div>
                <w:div w:id="1928923069">
                  <w:marLeft w:val="0"/>
                  <w:marRight w:val="0"/>
                  <w:marTop w:val="0"/>
                  <w:marBottom w:val="0"/>
                  <w:divBdr>
                    <w:top w:val="none" w:sz="0" w:space="0" w:color="auto"/>
                    <w:left w:val="none" w:sz="0" w:space="0" w:color="auto"/>
                    <w:bottom w:val="none" w:sz="0" w:space="0" w:color="auto"/>
                    <w:right w:val="none" w:sz="0" w:space="0" w:color="auto"/>
                  </w:divBdr>
                  <w:divsChild>
                    <w:div w:id="915477451">
                      <w:marLeft w:val="0"/>
                      <w:marRight w:val="0"/>
                      <w:marTop w:val="0"/>
                      <w:marBottom w:val="0"/>
                      <w:divBdr>
                        <w:top w:val="none" w:sz="0" w:space="0" w:color="auto"/>
                        <w:left w:val="none" w:sz="0" w:space="0" w:color="auto"/>
                        <w:bottom w:val="none" w:sz="0" w:space="0" w:color="auto"/>
                        <w:right w:val="none" w:sz="0" w:space="0" w:color="auto"/>
                      </w:divBdr>
                    </w:div>
                  </w:divsChild>
                </w:div>
                <w:div w:id="1948465440">
                  <w:marLeft w:val="0"/>
                  <w:marRight w:val="0"/>
                  <w:marTop w:val="0"/>
                  <w:marBottom w:val="0"/>
                  <w:divBdr>
                    <w:top w:val="none" w:sz="0" w:space="0" w:color="auto"/>
                    <w:left w:val="none" w:sz="0" w:space="0" w:color="auto"/>
                    <w:bottom w:val="none" w:sz="0" w:space="0" w:color="auto"/>
                    <w:right w:val="none" w:sz="0" w:space="0" w:color="auto"/>
                  </w:divBdr>
                  <w:divsChild>
                    <w:div w:id="14635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17452">
          <w:marLeft w:val="0"/>
          <w:marRight w:val="0"/>
          <w:marTop w:val="0"/>
          <w:marBottom w:val="0"/>
          <w:divBdr>
            <w:top w:val="none" w:sz="0" w:space="0" w:color="auto"/>
            <w:left w:val="none" w:sz="0" w:space="0" w:color="auto"/>
            <w:bottom w:val="none" w:sz="0" w:space="0" w:color="auto"/>
            <w:right w:val="none" w:sz="0" w:space="0" w:color="auto"/>
          </w:divBdr>
        </w:div>
      </w:divsChild>
    </w:div>
    <w:div w:id="443768981">
      <w:bodyDiv w:val="1"/>
      <w:marLeft w:val="0"/>
      <w:marRight w:val="0"/>
      <w:marTop w:val="0"/>
      <w:marBottom w:val="0"/>
      <w:divBdr>
        <w:top w:val="none" w:sz="0" w:space="0" w:color="auto"/>
        <w:left w:val="none" w:sz="0" w:space="0" w:color="auto"/>
        <w:bottom w:val="none" w:sz="0" w:space="0" w:color="auto"/>
        <w:right w:val="none" w:sz="0" w:space="0" w:color="auto"/>
      </w:divBdr>
      <w:divsChild>
        <w:div w:id="41368548">
          <w:marLeft w:val="0"/>
          <w:marRight w:val="0"/>
          <w:marTop w:val="0"/>
          <w:marBottom w:val="0"/>
          <w:divBdr>
            <w:top w:val="none" w:sz="0" w:space="0" w:color="auto"/>
            <w:left w:val="none" w:sz="0" w:space="0" w:color="auto"/>
            <w:bottom w:val="none" w:sz="0" w:space="0" w:color="auto"/>
            <w:right w:val="none" w:sz="0" w:space="0" w:color="auto"/>
          </w:divBdr>
          <w:divsChild>
            <w:div w:id="1363094998">
              <w:marLeft w:val="0"/>
              <w:marRight w:val="0"/>
              <w:marTop w:val="0"/>
              <w:marBottom w:val="0"/>
              <w:divBdr>
                <w:top w:val="none" w:sz="0" w:space="0" w:color="auto"/>
                <w:left w:val="none" w:sz="0" w:space="0" w:color="auto"/>
                <w:bottom w:val="none" w:sz="0" w:space="0" w:color="auto"/>
                <w:right w:val="none" w:sz="0" w:space="0" w:color="auto"/>
              </w:divBdr>
            </w:div>
          </w:divsChild>
        </w:div>
        <w:div w:id="255402310">
          <w:marLeft w:val="0"/>
          <w:marRight w:val="0"/>
          <w:marTop w:val="0"/>
          <w:marBottom w:val="0"/>
          <w:divBdr>
            <w:top w:val="none" w:sz="0" w:space="0" w:color="auto"/>
            <w:left w:val="none" w:sz="0" w:space="0" w:color="auto"/>
            <w:bottom w:val="none" w:sz="0" w:space="0" w:color="auto"/>
            <w:right w:val="none" w:sz="0" w:space="0" w:color="auto"/>
          </w:divBdr>
          <w:divsChild>
            <w:div w:id="809707857">
              <w:marLeft w:val="0"/>
              <w:marRight w:val="0"/>
              <w:marTop w:val="0"/>
              <w:marBottom w:val="0"/>
              <w:divBdr>
                <w:top w:val="none" w:sz="0" w:space="0" w:color="auto"/>
                <w:left w:val="none" w:sz="0" w:space="0" w:color="auto"/>
                <w:bottom w:val="none" w:sz="0" w:space="0" w:color="auto"/>
                <w:right w:val="none" w:sz="0" w:space="0" w:color="auto"/>
              </w:divBdr>
            </w:div>
          </w:divsChild>
        </w:div>
        <w:div w:id="322665822">
          <w:marLeft w:val="0"/>
          <w:marRight w:val="0"/>
          <w:marTop w:val="0"/>
          <w:marBottom w:val="0"/>
          <w:divBdr>
            <w:top w:val="none" w:sz="0" w:space="0" w:color="auto"/>
            <w:left w:val="none" w:sz="0" w:space="0" w:color="auto"/>
            <w:bottom w:val="none" w:sz="0" w:space="0" w:color="auto"/>
            <w:right w:val="none" w:sz="0" w:space="0" w:color="auto"/>
          </w:divBdr>
          <w:divsChild>
            <w:div w:id="220404548">
              <w:marLeft w:val="0"/>
              <w:marRight w:val="0"/>
              <w:marTop w:val="0"/>
              <w:marBottom w:val="0"/>
              <w:divBdr>
                <w:top w:val="none" w:sz="0" w:space="0" w:color="auto"/>
                <w:left w:val="none" w:sz="0" w:space="0" w:color="auto"/>
                <w:bottom w:val="none" w:sz="0" w:space="0" w:color="auto"/>
                <w:right w:val="none" w:sz="0" w:space="0" w:color="auto"/>
              </w:divBdr>
            </w:div>
          </w:divsChild>
        </w:div>
        <w:div w:id="326792072">
          <w:marLeft w:val="0"/>
          <w:marRight w:val="0"/>
          <w:marTop w:val="0"/>
          <w:marBottom w:val="0"/>
          <w:divBdr>
            <w:top w:val="none" w:sz="0" w:space="0" w:color="auto"/>
            <w:left w:val="none" w:sz="0" w:space="0" w:color="auto"/>
            <w:bottom w:val="none" w:sz="0" w:space="0" w:color="auto"/>
            <w:right w:val="none" w:sz="0" w:space="0" w:color="auto"/>
          </w:divBdr>
          <w:divsChild>
            <w:div w:id="362558621">
              <w:marLeft w:val="0"/>
              <w:marRight w:val="0"/>
              <w:marTop w:val="0"/>
              <w:marBottom w:val="0"/>
              <w:divBdr>
                <w:top w:val="none" w:sz="0" w:space="0" w:color="auto"/>
                <w:left w:val="none" w:sz="0" w:space="0" w:color="auto"/>
                <w:bottom w:val="none" w:sz="0" w:space="0" w:color="auto"/>
                <w:right w:val="none" w:sz="0" w:space="0" w:color="auto"/>
              </w:divBdr>
            </w:div>
          </w:divsChild>
        </w:div>
        <w:div w:id="351225897">
          <w:marLeft w:val="0"/>
          <w:marRight w:val="0"/>
          <w:marTop w:val="0"/>
          <w:marBottom w:val="0"/>
          <w:divBdr>
            <w:top w:val="none" w:sz="0" w:space="0" w:color="auto"/>
            <w:left w:val="none" w:sz="0" w:space="0" w:color="auto"/>
            <w:bottom w:val="none" w:sz="0" w:space="0" w:color="auto"/>
            <w:right w:val="none" w:sz="0" w:space="0" w:color="auto"/>
          </w:divBdr>
          <w:divsChild>
            <w:div w:id="358748902">
              <w:marLeft w:val="0"/>
              <w:marRight w:val="0"/>
              <w:marTop w:val="0"/>
              <w:marBottom w:val="0"/>
              <w:divBdr>
                <w:top w:val="none" w:sz="0" w:space="0" w:color="auto"/>
                <w:left w:val="none" w:sz="0" w:space="0" w:color="auto"/>
                <w:bottom w:val="none" w:sz="0" w:space="0" w:color="auto"/>
                <w:right w:val="none" w:sz="0" w:space="0" w:color="auto"/>
              </w:divBdr>
            </w:div>
          </w:divsChild>
        </w:div>
        <w:div w:id="374742286">
          <w:marLeft w:val="0"/>
          <w:marRight w:val="0"/>
          <w:marTop w:val="0"/>
          <w:marBottom w:val="0"/>
          <w:divBdr>
            <w:top w:val="none" w:sz="0" w:space="0" w:color="auto"/>
            <w:left w:val="none" w:sz="0" w:space="0" w:color="auto"/>
            <w:bottom w:val="none" w:sz="0" w:space="0" w:color="auto"/>
            <w:right w:val="none" w:sz="0" w:space="0" w:color="auto"/>
          </w:divBdr>
          <w:divsChild>
            <w:div w:id="977686057">
              <w:marLeft w:val="0"/>
              <w:marRight w:val="0"/>
              <w:marTop w:val="0"/>
              <w:marBottom w:val="0"/>
              <w:divBdr>
                <w:top w:val="none" w:sz="0" w:space="0" w:color="auto"/>
                <w:left w:val="none" w:sz="0" w:space="0" w:color="auto"/>
                <w:bottom w:val="none" w:sz="0" w:space="0" w:color="auto"/>
                <w:right w:val="none" w:sz="0" w:space="0" w:color="auto"/>
              </w:divBdr>
            </w:div>
          </w:divsChild>
        </w:div>
        <w:div w:id="559634399">
          <w:marLeft w:val="0"/>
          <w:marRight w:val="0"/>
          <w:marTop w:val="0"/>
          <w:marBottom w:val="0"/>
          <w:divBdr>
            <w:top w:val="none" w:sz="0" w:space="0" w:color="auto"/>
            <w:left w:val="none" w:sz="0" w:space="0" w:color="auto"/>
            <w:bottom w:val="none" w:sz="0" w:space="0" w:color="auto"/>
            <w:right w:val="none" w:sz="0" w:space="0" w:color="auto"/>
          </w:divBdr>
          <w:divsChild>
            <w:div w:id="450781949">
              <w:marLeft w:val="0"/>
              <w:marRight w:val="0"/>
              <w:marTop w:val="0"/>
              <w:marBottom w:val="0"/>
              <w:divBdr>
                <w:top w:val="none" w:sz="0" w:space="0" w:color="auto"/>
                <w:left w:val="none" w:sz="0" w:space="0" w:color="auto"/>
                <w:bottom w:val="none" w:sz="0" w:space="0" w:color="auto"/>
                <w:right w:val="none" w:sz="0" w:space="0" w:color="auto"/>
              </w:divBdr>
            </w:div>
          </w:divsChild>
        </w:div>
        <w:div w:id="565411389">
          <w:marLeft w:val="0"/>
          <w:marRight w:val="0"/>
          <w:marTop w:val="0"/>
          <w:marBottom w:val="0"/>
          <w:divBdr>
            <w:top w:val="none" w:sz="0" w:space="0" w:color="auto"/>
            <w:left w:val="none" w:sz="0" w:space="0" w:color="auto"/>
            <w:bottom w:val="none" w:sz="0" w:space="0" w:color="auto"/>
            <w:right w:val="none" w:sz="0" w:space="0" w:color="auto"/>
          </w:divBdr>
          <w:divsChild>
            <w:div w:id="1082872645">
              <w:marLeft w:val="0"/>
              <w:marRight w:val="0"/>
              <w:marTop w:val="0"/>
              <w:marBottom w:val="0"/>
              <w:divBdr>
                <w:top w:val="none" w:sz="0" w:space="0" w:color="auto"/>
                <w:left w:val="none" w:sz="0" w:space="0" w:color="auto"/>
                <w:bottom w:val="none" w:sz="0" w:space="0" w:color="auto"/>
                <w:right w:val="none" w:sz="0" w:space="0" w:color="auto"/>
              </w:divBdr>
            </w:div>
          </w:divsChild>
        </w:div>
        <w:div w:id="572355076">
          <w:marLeft w:val="0"/>
          <w:marRight w:val="0"/>
          <w:marTop w:val="0"/>
          <w:marBottom w:val="0"/>
          <w:divBdr>
            <w:top w:val="none" w:sz="0" w:space="0" w:color="auto"/>
            <w:left w:val="none" w:sz="0" w:space="0" w:color="auto"/>
            <w:bottom w:val="none" w:sz="0" w:space="0" w:color="auto"/>
            <w:right w:val="none" w:sz="0" w:space="0" w:color="auto"/>
          </w:divBdr>
          <w:divsChild>
            <w:div w:id="104011134">
              <w:marLeft w:val="0"/>
              <w:marRight w:val="0"/>
              <w:marTop w:val="0"/>
              <w:marBottom w:val="0"/>
              <w:divBdr>
                <w:top w:val="none" w:sz="0" w:space="0" w:color="auto"/>
                <w:left w:val="none" w:sz="0" w:space="0" w:color="auto"/>
                <w:bottom w:val="none" w:sz="0" w:space="0" w:color="auto"/>
                <w:right w:val="none" w:sz="0" w:space="0" w:color="auto"/>
              </w:divBdr>
            </w:div>
          </w:divsChild>
        </w:div>
        <w:div w:id="578291048">
          <w:marLeft w:val="0"/>
          <w:marRight w:val="0"/>
          <w:marTop w:val="0"/>
          <w:marBottom w:val="0"/>
          <w:divBdr>
            <w:top w:val="none" w:sz="0" w:space="0" w:color="auto"/>
            <w:left w:val="none" w:sz="0" w:space="0" w:color="auto"/>
            <w:bottom w:val="none" w:sz="0" w:space="0" w:color="auto"/>
            <w:right w:val="none" w:sz="0" w:space="0" w:color="auto"/>
          </w:divBdr>
          <w:divsChild>
            <w:div w:id="210970307">
              <w:marLeft w:val="0"/>
              <w:marRight w:val="0"/>
              <w:marTop w:val="0"/>
              <w:marBottom w:val="0"/>
              <w:divBdr>
                <w:top w:val="none" w:sz="0" w:space="0" w:color="auto"/>
                <w:left w:val="none" w:sz="0" w:space="0" w:color="auto"/>
                <w:bottom w:val="none" w:sz="0" w:space="0" w:color="auto"/>
                <w:right w:val="none" w:sz="0" w:space="0" w:color="auto"/>
              </w:divBdr>
            </w:div>
          </w:divsChild>
        </w:div>
        <w:div w:id="686369625">
          <w:marLeft w:val="0"/>
          <w:marRight w:val="0"/>
          <w:marTop w:val="0"/>
          <w:marBottom w:val="0"/>
          <w:divBdr>
            <w:top w:val="none" w:sz="0" w:space="0" w:color="auto"/>
            <w:left w:val="none" w:sz="0" w:space="0" w:color="auto"/>
            <w:bottom w:val="none" w:sz="0" w:space="0" w:color="auto"/>
            <w:right w:val="none" w:sz="0" w:space="0" w:color="auto"/>
          </w:divBdr>
          <w:divsChild>
            <w:div w:id="640842084">
              <w:marLeft w:val="0"/>
              <w:marRight w:val="0"/>
              <w:marTop w:val="0"/>
              <w:marBottom w:val="0"/>
              <w:divBdr>
                <w:top w:val="none" w:sz="0" w:space="0" w:color="auto"/>
                <w:left w:val="none" w:sz="0" w:space="0" w:color="auto"/>
                <w:bottom w:val="none" w:sz="0" w:space="0" w:color="auto"/>
                <w:right w:val="none" w:sz="0" w:space="0" w:color="auto"/>
              </w:divBdr>
            </w:div>
          </w:divsChild>
        </w:div>
        <w:div w:id="725033798">
          <w:marLeft w:val="0"/>
          <w:marRight w:val="0"/>
          <w:marTop w:val="0"/>
          <w:marBottom w:val="0"/>
          <w:divBdr>
            <w:top w:val="none" w:sz="0" w:space="0" w:color="auto"/>
            <w:left w:val="none" w:sz="0" w:space="0" w:color="auto"/>
            <w:bottom w:val="none" w:sz="0" w:space="0" w:color="auto"/>
            <w:right w:val="none" w:sz="0" w:space="0" w:color="auto"/>
          </w:divBdr>
          <w:divsChild>
            <w:div w:id="1764064686">
              <w:marLeft w:val="0"/>
              <w:marRight w:val="0"/>
              <w:marTop w:val="0"/>
              <w:marBottom w:val="0"/>
              <w:divBdr>
                <w:top w:val="none" w:sz="0" w:space="0" w:color="auto"/>
                <w:left w:val="none" w:sz="0" w:space="0" w:color="auto"/>
                <w:bottom w:val="none" w:sz="0" w:space="0" w:color="auto"/>
                <w:right w:val="none" w:sz="0" w:space="0" w:color="auto"/>
              </w:divBdr>
            </w:div>
          </w:divsChild>
        </w:div>
        <w:div w:id="726883436">
          <w:marLeft w:val="0"/>
          <w:marRight w:val="0"/>
          <w:marTop w:val="0"/>
          <w:marBottom w:val="0"/>
          <w:divBdr>
            <w:top w:val="none" w:sz="0" w:space="0" w:color="auto"/>
            <w:left w:val="none" w:sz="0" w:space="0" w:color="auto"/>
            <w:bottom w:val="none" w:sz="0" w:space="0" w:color="auto"/>
            <w:right w:val="none" w:sz="0" w:space="0" w:color="auto"/>
          </w:divBdr>
          <w:divsChild>
            <w:div w:id="1108161714">
              <w:marLeft w:val="0"/>
              <w:marRight w:val="0"/>
              <w:marTop w:val="0"/>
              <w:marBottom w:val="0"/>
              <w:divBdr>
                <w:top w:val="none" w:sz="0" w:space="0" w:color="auto"/>
                <w:left w:val="none" w:sz="0" w:space="0" w:color="auto"/>
                <w:bottom w:val="none" w:sz="0" w:space="0" w:color="auto"/>
                <w:right w:val="none" w:sz="0" w:space="0" w:color="auto"/>
              </w:divBdr>
            </w:div>
          </w:divsChild>
        </w:div>
        <w:div w:id="769004727">
          <w:marLeft w:val="0"/>
          <w:marRight w:val="0"/>
          <w:marTop w:val="0"/>
          <w:marBottom w:val="0"/>
          <w:divBdr>
            <w:top w:val="none" w:sz="0" w:space="0" w:color="auto"/>
            <w:left w:val="none" w:sz="0" w:space="0" w:color="auto"/>
            <w:bottom w:val="none" w:sz="0" w:space="0" w:color="auto"/>
            <w:right w:val="none" w:sz="0" w:space="0" w:color="auto"/>
          </w:divBdr>
          <w:divsChild>
            <w:div w:id="641732116">
              <w:marLeft w:val="0"/>
              <w:marRight w:val="0"/>
              <w:marTop w:val="0"/>
              <w:marBottom w:val="0"/>
              <w:divBdr>
                <w:top w:val="none" w:sz="0" w:space="0" w:color="auto"/>
                <w:left w:val="none" w:sz="0" w:space="0" w:color="auto"/>
                <w:bottom w:val="none" w:sz="0" w:space="0" w:color="auto"/>
                <w:right w:val="none" w:sz="0" w:space="0" w:color="auto"/>
              </w:divBdr>
            </w:div>
          </w:divsChild>
        </w:div>
        <w:div w:id="792134892">
          <w:marLeft w:val="0"/>
          <w:marRight w:val="0"/>
          <w:marTop w:val="0"/>
          <w:marBottom w:val="0"/>
          <w:divBdr>
            <w:top w:val="none" w:sz="0" w:space="0" w:color="auto"/>
            <w:left w:val="none" w:sz="0" w:space="0" w:color="auto"/>
            <w:bottom w:val="none" w:sz="0" w:space="0" w:color="auto"/>
            <w:right w:val="none" w:sz="0" w:space="0" w:color="auto"/>
          </w:divBdr>
          <w:divsChild>
            <w:div w:id="817723085">
              <w:marLeft w:val="0"/>
              <w:marRight w:val="0"/>
              <w:marTop w:val="0"/>
              <w:marBottom w:val="0"/>
              <w:divBdr>
                <w:top w:val="none" w:sz="0" w:space="0" w:color="auto"/>
                <w:left w:val="none" w:sz="0" w:space="0" w:color="auto"/>
                <w:bottom w:val="none" w:sz="0" w:space="0" w:color="auto"/>
                <w:right w:val="none" w:sz="0" w:space="0" w:color="auto"/>
              </w:divBdr>
            </w:div>
          </w:divsChild>
        </w:div>
        <w:div w:id="813372150">
          <w:marLeft w:val="0"/>
          <w:marRight w:val="0"/>
          <w:marTop w:val="0"/>
          <w:marBottom w:val="0"/>
          <w:divBdr>
            <w:top w:val="none" w:sz="0" w:space="0" w:color="auto"/>
            <w:left w:val="none" w:sz="0" w:space="0" w:color="auto"/>
            <w:bottom w:val="none" w:sz="0" w:space="0" w:color="auto"/>
            <w:right w:val="none" w:sz="0" w:space="0" w:color="auto"/>
          </w:divBdr>
          <w:divsChild>
            <w:div w:id="862090640">
              <w:marLeft w:val="0"/>
              <w:marRight w:val="0"/>
              <w:marTop w:val="0"/>
              <w:marBottom w:val="0"/>
              <w:divBdr>
                <w:top w:val="none" w:sz="0" w:space="0" w:color="auto"/>
                <w:left w:val="none" w:sz="0" w:space="0" w:color="auto"/>
                <w:bottom w:val="none" w:sz="0" w:space="0" w:color="auto"/>
                <w:right w:val="none" w:sz="0" w:space="0" w:color="auto"/>
              </w:divBdr>
            </w:div>
          </w:divsChild>
        </w:div>
        <w:div w:id="1049913335">
          <w:marLeft w:val="0"/>
          <w:marRight w:val="0"/>
          <w:marTop w:val="0"/>
          <w:marBottom w:val="0"/>
          <w:divBdr>
            <w:top w:val="none" w:sz="0" w:space="0" w:color="auto"/>
            <w:left w:val="none" w:sz="0" w:space="0" w:color="auto"/>
            <w:bottom w:val="none" w:sz="0" w:space="0" w:color="auto"/>
            <w:right w:val="none" w:sz="0" w:space="0" w:color="auto"/>
          </w:divBdr>
          <w:divsChild>
            <w:div w:id="717389054">
              <w:marLeft w:val="0"/>
              <w:marRight w:val="0"/>
              <w:marTop w:val="0"/>
              <w:marBottom w:val="0"/>
              <w:divBdr>
                <w:top w:val="none" w:sz="0" w:space="0" w:color="auto"/>
                <w:left w:val="none" w:sz="0" w:space="0" w:color="auto"/>
                <w:bottom w:val="none" w:sz="0" w:space="0" w:color="auto"/>
                <w:right w:val="none" w:sz="0" w:space="0" w:color="auto"/>
              </w:divBdr>
            </w:div>
          </w:divsChild>
        </w:div>
        <w:div w:id="1056582674">
          <w:marLeft w:val="0"/>
          <w:marRight w:val="0"/>
          <w:marTop w:val="0"/>
          <w:marBottom w:val="0"/>
          <w:divBdr>
            <w:top w:val="none" w:sz="0" w:space="0" w:color="auto"/>
            <w:left w:val="none" w:sz="0" w:space="0" w:color="auto"/>
            <w:bottom w:val="none" w:sz="0" w:space="0" w:color="auto"/>
            <w:right w:val="none" w:sz="0" w:space="0" w:color="auto"/>
          </w:divBdr>
          <w:divsChild>
            <w:div w:id="1721440720">
              <w:marLeft w:val="0"/>
              <w:marRight w:val="0"/>
              <w:marTop w:val="0"/>
              <w:marBottom w:val="0"/>
              <w:divBdr>
                <w:top w:val="none" w:sz="0" w:space="0" w:color="auto"/>
                <w:left w:val="none" w:sz="0" w:space="0" w:color="auto"/>
                <w:bottom w:val="none" w:sz="0" w:space="0" w:color="auto"/>
                <w:right w:val="none" w:sz="0" w:space="0" w:color="auto"/>
              </w:divBdr>
            </w:div>
          </w:divsChild>
        </w:div>
        <w:div w:id="1065372989">
          <w:marLeft w:val="0"/>
          <w:marRight w:val="0"/>
          <w:marTop w:val="0"/>
          <w:marBottom w:val="0"/>
          <w:divBdr>
            <w:top w:val="none" w:sz="0" w:space="0" w:color="auto"/>
            <w:left w:val="none" w:sz="0" w:space="0" w:color="auto"/>
            <w:bottom w:val="none" w:sz="0" w:space="0" w:color="auto"/>
            <w:right w:val="none" w:sz="0" w:space="0" w:color="auto"/>
          </w:divBdr>
          <w:divsChild>
            <w:div w:id="632449330">
              <w:marLeft w:val="0"/>
              <w:marRight w:val="0"/>
              <w:marTop w:val="0"/>
              <w:marBottom w:val="0"/>
              <w:divBdr>
                <w:top w:val="none" w:sz="0" w:space="0" w:color="auto"/>
                <w:left w:val="none" w:sz="0" w:space="0" w:color="auto"/>
                <w:bottom w:val="none" w:sz="0" w:space="0" w:color="auto"/>
                <w:right w:val="none" w:sz="0" w:space="0" w:color="auto"/>
              </w:divBdr>
            </w:div>
          </w:divsChild>
        </w:div>
        <w:div w:id="1096750630">
          <w:marLeft w:val="0"/>
          <w:marRight w:val="0"/>
          <w:marTop w:val="0"/>
          <w:marBottom w:val="0"/>
          <w:divBdr>
            <w:top w:val="none" w:sz="0" w:space="0" w:color="auto"/>
            <w:left w:val="none" w:sz="0" w:space="0" w:color="auto"/>
            <w:bottom w:val="none" w:sz="0" w:space="0" w:color="auto"/>
            <w:right w:val="none" w:sz="0" w:space="0" w:color="auto"/>
          </w:divBdr>
          <w:divsChild>
            <w:div w:id="758868104">
              <w:marLeft w:val="0"/>
              <w:marRight w:val="0"/>
              <w:marTop w:val="0"/>
              <w:marBottom w:val="0"/>
              <w:divBdr>
                <w:top w:val="none" w:sz="0" w:space="0" w:color="auto"/>
                <w:left w:val="none" w:sz="0" w:space="0" w:color="auto"/>
                <w:bottom w:val="none" w:sz="0" w:space="0" w:color="auto"/>
                <w:right w:val="none" w:sz="0" w:space="0" w:color="auto"/>
              </w:divBdr>
            </w:div>
          </w:divsChild>
        </w:div>
        <w:div w:id="1141000548">
          <w:marLeft w:val="0"/>
          <w:marRight w:val="0"/>
          <w:marTop w:val="0"/>
          <w:marBottom w:val="0"/>
          <w:divBdr>
            <w:top w:val="none" w:sz="0" w:space="0" w:color="auto"/>
            <w:left w:val="none" w:sz="0" w:space="0" w:color="auto"/>
            <w:bottom w:val="none" w:sz="0" w:space="0" w:color="auto"/>
            <w:right w:val="none" w:sz="0" w:space="0" w:color="auto"/>
          </w:divBdr>
          <w:divsChild>
            <w:div w:id="643504665">
              <w:marLeft w:val="0"/>
              <w:marRight w:val="0"/>
              <w:marTop w:val="0"/>
              <w:marBottom w:val="0"/>
              <w:divBdr>
                <w:top w:val="none" w:sz="0" w:space="0" w:color="auto"/>
                <w:left w:val="none" w:sz="0" w:space="0" w:color="auto"/>
                <w:bottom w:val="none" w:sz="0" w:space="0" w:color="auto"/>
                <w:right w:val="none" w:sz="0" w:space="0" w:color="auto"/>
              </w:divBdr>
            </w:div>
          </w:divsChild>
        </w:div>
        <w:div w:id="1150681963">
          <w:marLeft w:val="0"/>
          <w:marRight w:val="0"/>
          <w:marTop w:val="0"/>
          <w:marBottom w:val="0"/>
          <w:divBdr>
            <w:top w:val="none" w:sz="0" w:space="0" w:color="auto"/>
            <w:left w:val="none" w:sz="0" w:space="0" w:color="auto"/>
            <w:bottom w:val="none" w:sz="0" w:space="0" w:color="auto"/>
            <w:right w:val="none" w:sz="0" w:space="0" w:color="auto"/>
          </w:divBdr>
          <w:divsChild>
            <w:div w:id="968628908">
              <w:marLeft w:val="0"/>
              <w:marRight w:val="0"/>
              <w:marTop w:val="0"/>
              <w:marBottom w:val="0"/>
              <w:divBdr>
                <w:top w:val="none" w:sz="0" w:space="0" w:color="auto"/>
                <w:left w:val="none" w:sz="0" w:space="0" w:color="auto"/>
                <w:bottom w:val="none" w:sz="0" w:space="0" w:color="auto"/>
                <w:right w:val="none" w:sz="0" w:space="0" w:color="auto"/>
              </w:divBdr>
            </w:div>
          </w:divsChild>
        </w:div>
        <w:div w:id="1203983080">
          <w:marLeft w:val="0"/>
          <w:marRight w:val="0"/>
          <w:marTop w:val="0"/>
          <w:marBottom w:val="0"/>
          <w:divBdr>
            <w:top w:val="none" w:sz="0" w:space="0" w:color="auto"/>
            <w:left w:val="none" w:sz="0" w:space="0" w:color="auto"/>
            <w:bottom w:val="none" w:sz="0" w:space="0" w:color="auto"/>
            <w:right w:val="none" w:sz="0" w:space="0" w:color="auto"/>
          </w:divBdr>
          <w:divsChild>
            <w:div w:id="1929346946">
              <w:marLeft w:val="0"/>
              <w:marRight w:val="0"/>
              <w:marTop w:val="0"/>
              <w:marBottom w:val="0"/>
              <w:divBdr>
                <w:top w:val="none" w:sz="0" w:space="0" w:color="auto"/>
                <w:left w:val="none" w:sz="0" w:space="0" w:color="auto"/>
                <w:bottom w:val="none" w:sz="0" w:space="0" w:color="auto"/>
                <w:right w:val="none" w:sz="0" w:space="0" w:color="auto"/>
              </w:divBdr>
            </w:div>
          </w:divsChild>
        </w:div>
        <w:div w:id="1277952988">
          <w:marLeft w:val="0"/>
          <w:marRight w:val="0"/>
          <w:marTop w:val="0"/>
          <w:marBottom w:val="0"/>
          <w:divBdr>
            <w:top w:val="none" w:sz="0" w:space="0" w:color="auto"/>
            <w:left w:val="none" w:sz="0" w:space="0" w:color="auto"/>
            <w:bottom w:val="none" w:sz="0" w:space="0" w:color="auto"/>
            <w:right w:val="none" w:sz="0" w:space="0" w:color="auto"/>
          </w:divBdr>
          <w:divsChild>
            <w:div w:id="644285345">
              <w:marLeft w:val="0"/>
              <w:marRight w:val="0"/>
              <w:marTop w:val="0"/>
              <w:marBottom w:val="0"/>
              <w:divBdr>
                <w:top w:val="none" w:sz="0" w:space="0" w:color="auto"/>
                <w:left w:val="none" w:sz="0" w:space="0" w:color="auto"/>
                <w:bottom w:val="none" w:sz="0" w:space="0" w:color="auto"/>
                <w:right w:val="none" w:sz="0" w:space="0" w:color="auto"/>
              </w:divBdr>
            </w:div>
          </w:divsChild>
        </w:div>
        <w:div w:id="1280455711">
          <w:marLeft w:val="0"/>
          <w:marRight w:val="0"/>
          <w:marTop w:val="0"/>
          <w:marBottom w:val="0"/>
          <w:divBdr>
            <w:top w:val="none" w:sz="0" w:space="0" w:color="auto"/>
            <w:left w:val="none" w:sz="0" w:space="0" w:color="auto"/>
            <w:bottom w:val="none" w:sz="0" w:space="0" w:color="auto"/>
            <w:right w:val="none" w:sz="0" w:space="0" w:color="auto"/>
          </w:divBdr>
          <w:divsChild>
            <w:div w:id="1153638271">
              <w:marLeft w:val="0"/>
              <w:marRight w:val="0"/>
              <w:marTop w:val="0"/>
              <w:marBottom w:val="0"/>
              <w:divBdr>
                <w:top w:val="none" w:sz="0" w:space="0" w:color="auto"/>
                <w:left w:val="none" w:sz="0" w:space="0" w:color="auto"/>
                <w:bottom w:val="none" w:sz="0" w:space="0" w:color="auto"/>
                <w:right w:val="none" w:sz="0" w:space="0" w:color="auto"/>
              </w:divBdr>
            </w:div>
          </w:divsChild>
        </w:div>
        <w:div w:id="1320233587">
          <w:marLeft w:val="0"/>
          <w:marRight w:val="0"/>
          <w:marTop w:val="0"/>
          <w:marBottom w:val="0"/>
          <w:divBdr>
            <w:top w:val="none" w:sz="0" w:space="0" w:color="auto"/>
            <w:left w:val="none" w:sz="0" w:space="0" w:color="auto"/>
            <w:bottom w:val="none" w:sz="0" w:space="0" w:color="auto"/>
            <w:right w:val="none" w:sz="0" w:space="0" w:color="auto"/>
          </w:divBdr>
          <w:divsChild>
            <w:div w:id="1274753243">
              <w:marLeft w:val="0"/>
              <w:marRight w:val="0"/>
              <w:marTop w:val="0"/>
              <w:marBottom w:val="0"/>
              <w:divBdr>
                <w:top w:val="none" w:sz="0" w:space="0" w:color="auto"/>
                <w:left w:val="none" w:sz="0" w:space="0" w:color="auto"/>
                <w:bottom w:val="none" w:sz="0" w:space="0" w:color="auto"/>
                <w:right w:val="none" w:sz="0" w:space="0" w:color="auto"/>
              </w:divBdr>
            </w:div>
          </w:divsChild>
        </w:div>
        <w:div w:id="1475297422">
          <w:marLeft w:val="0"/>
          <w:marRight w:val="0"/>
          <w:marTop w:val="0"/>
          <w:marBottom w:val="0"/>
          <w:divBdr>
            <w:top w:val="none" w:sz="0" w:space="0" w:color="auto"/>
            <w:left w:val="none" w:sz="0" w:space="0" w:color="auto"/>
            <w:bottom w:val="none" w:sz="0" w:space="0" w:color="auto"/>
            <w:right w:val="none" w:sz="0" w:space="0" w:color="auto"/>
          </w:divBdr>
          <w:divsChild>
            <w:div w:id="910624107">
              <w:marLeft w:val="0"/>
              <w:marRight w:val="0"/>
              <w:marTop w:val="0"/>
              <w:marBottom w:val="0"/>
              <w:divBdr>
                <w:top w:val="none" w:sz="0" w:space="0" w:color="auto"/>
                <w:left w:val="none" w:sz="0" w:space="0" w:color="auto"/>
                <w:bottom w:val="none" w:sz="0" w:space="0" w:color="auto"/>
                <w:right w:val="none" w:sz="0" w:space="0" w:color="auto"/>
              </w:divBdr>
            </w:div>
          </w:divsChild>
        </w:div>
        <w:div w:id="1565947882">
          <w:marLeft w:val="0"/>
          <w:marRight w:val="0"/>
          <w:marTop w:val="0"/>
          <w:marBottom w:val="0"/>
          <w:divBdr>
            <w:top w:val="none" w:sz="0" w:space="0" w:color="auto"/>
            <w:left w:val="none" w:sz="0" w:space="0" w:color="auto"/>
            <w:bottom w:val="none" w:sz="0" w:space="0" w:color="auto"/>
            <w:right w:val="none" w:sz="0" w:space="0" w:color="auto"/>
          </w:divBdr>
          <w:divsChild>
            <w:div w:id="385690012">
              <w:marLeft w:val="0"/>
              <w:marRight w:val="0"/>
              <w:marTop w:val="0"/>
              <w:marBottom w:val="0"/>
              <w:divBdr>
                <w:top w:val="none" w:sz="0" w:space="0" w:color="auto"/>
                <w:left w:val="none" w:sz="0" w:space="0" w:color="auto"/>
                <w:bottom w:val="none" w:sz="0" w:space="0" w:color="auto"/>
                <w:right w:val="none" w:sz="0" w:space="0" w:color="auto"/>
              </w:divBdr>
            </w:div>
          </w:divsChild>
        </w:div>
        <w:div w:id="1741362565">
          <w:marLeft w:val="0"/>
          <w:marRight w:val="0"/>
          <w:marTop w:val="0"/>
          <w:marBottom w:val="0"/>
          <w:divBdr>
            <w:top w:val="none" w:sz="0" w:space="0" w:color="auto"/>
            <w:left w:val="none" w:sz="0" w:space="0" w:color="auto"/>
            <w:bottom w:val="none" w:sz="0" w:space="0" w:color="auto"/>
            <w:right w:val="none" w:sz="0" w:space="0" w:color="auto"/>
          </w:divBdr>
          <w:divsChild>
            <w:div w:id="422839339">
              <w:marLeft w:val="0"/>
              <w:marRight w:val="0"/>
              <w:marTop w:val="0"/>
              <w:marBottom w:val="0"/>
              <w:divBdr>
                <w:top w:val="none" w:sz="0" w:space="0" w:color="auto"/>
                <w:left w:val="none" w:sz="0" w:space="0" w:color="auto"/>
                <w:bottom w:val="none" w:sz="0" w:space="0" w:color="auto"/>
                <w:right w:val="none" w:sz="0" w:space="0" w:color="auto"/>
              </w:divBdr>
            </w:div>
          </w:divsChild>
        </w:div>
        <w:div w:id="1782649067">
          <w:marLeft w:val="0"/>
          <w:marRight w:val="0"/>
          <w:marTop w:val="0"/>
          <w:marBottom w:val="0"/>
          <w:divBdr>
            <w:top w:val="none" w:sz="0" w:space="0" w:color="auto"/>
            <w:left w:val="none" w:sz="0" w:space="0" w:color="auto"/>
            <w:bottom w:val="none" w:sz="0" w:space="0" w:color="auto"/>
            <w:right w:val="none" w:sz="0" w:space="0" w:color="auto"/>
          </w:divBdr>
          <w:divsChild>
            <w:div w:id="751854528">
              <w:marLeft w:val="0"/>
              <w:marRight w:val="0"/>
              <w:marTop w:val="0"/>
              <w:marBottom w:val="0"/>
              <w:divBdr>
                <w:top w:val="none" w:sz="0" w:space="0" w:color="auto"/>
                <w:left w:val="none" w:sz="0" w:space="0" w:color="auto"/>
                <w:bottom w:val="none" w:sz="0" w:space="0" w:color="auto"/>
                <w:right w:val="none" w:sz="0" w:space="0" w:color="auto"/>
              </w:divBdr>
            </w:div>
          </w:divsChild>
        </w:div>
        <w:div w:id="1797409830">
          <w:marLeft w:val="0"/>
          <w:marRight w:val="0"/>
          <w:marTop w:val="0"/>
          <w:marBottom w:val="0"/>
          <w:divBdr>
            <w:top w:val="none" w:sz="0" w:space="0" w:color="auto"/>
            <w:left w:val="none" w:sz="0" w:space="0" w:color="auto"/>
            <w:bottom w:val="none" w:sz="0" w:space="0" w:color="auto"/>
            <w:right w:val="none" w:sz="0" w:space="0" w:color="auto"/>
          </w:divBdr>
          <w:divsChild>
            <w:div w:id="1583025069">
              <w:marLeft w:val="0"/>
              <w:marRight w:val="0"/>
              <w:marTop w:val="0"/>
              <w:marBottom w:val="0"/>
              <w:divBdr>
                <w:top w:val="none" w:sz="0" w:space="0" w:color="auto"/>
                <w:left w:val="none" w:sz="0" w:space="0" w:color="auto"/>
                <w:bottom w:val="none" w:sz="0" w:space="0" w:color="auto"/>
                <w:right w:val="none" w:sz="0" w:space="0" w:color="auto"/>
              </w:divBdr>
            </w:div>
          </w:divsChild>
        </w:div>
        <w:div w:id="1851871423">
          <w:marLeft w:val="0"/>
          <w:marRight w:val="0"/>
          <w:marTop w:val="0"/>
          <w:marBottom w:val="0"/>
          <w:divBdr>
            <w:top w:val="none" w:sz="0" w:space="0" w:color="auto"/>
            <w:left w:val="none" w:sz="0" w:space="0" w:color="auto"/>
            <w:bottom w:val="none" w:sz="0" w:space="0" w:color="auto"/>
            <w:right w:val="none" w:sz="0" w:space="0" w:color="auto"/>
          </w:divBdr>
          <w:divsChild>
            <w:div w:id="1298535932">
              <w:marLeft w:val="0"/>
              <w:marRight w:val="0"/>
              <w:marTop w:val="0"/>
              <w:marBottom w:val="0"/>
              <w:divBdr>
                <w:top w:val="none" w:sz="0" w:space="0" w:color="auto"/>
                <w:left w:val="none" w:sz="0" w:space="0" w:color="auto"/>
                <w:bottom w:val="none" w:sz="0" w:space="0" w:color="auto"/>
                <w:right w:val="none" w:sz="0" w:space="0" w:color="auto"/>
              </w:divBdr>
            </w:div>
          </w:divsChild>
        </w:div>
        <w:div w:id="1932547046">
          <w:marLeft w:val="0"/>
          <w:marRight w:val="0"/>
          <w:marTop w:val="0"/>
          <w:marBottom w:val="0"/>
          <w:divBdr>
            <w:top w:val="none" w:sz="0" w:space="0" w:color="auto"/>
            <w:left w:val="none" w:sz="0" w:space="0" w:color="auto"/>
            <w:bottom w:val="none" w:sz="0" w:space="0" w:color="auto"/>
            <w:right w:val="none" w:sz="0" w:space="0" w:color="auto"/>
          </w:divBdr>
          <w:divsChild>
            <w:div w:id="1393696693">
              <w:marLeft w:val="0"/>
              <w:marRight w:val="0"/>
              <w:marTop w:val="0"/>
              <w:marBottom w:val="0"/>
              <w:divBdr>
                <w:top w:val="none" w:sz="0" w:space="0" w:color="auto"/>
                <w:left w:val="none" w:sz="0" w:space="0" w:color="auto"/>
                <w:bottom w:val="none" w:sz="0" w:space="0" w:color="auto"/>
                <w:right w:val="none" w:sz="0" w:space="0" w:color="auto"/>
              </w:divBdr>
            </w:div>
          </w:divsChild>
        </w:div>
        <w:div w:id="2035613709">
          <w:marLeft w:val="0"/>
          <w:marRight w:val="0"/>
          <w:marTop w:val="0"/>
          <w:marBottom w:val="0"/>
          <w:divBdr>
            <w:top w:val="none" w:sz="0" w:space="0" w:color="auto"/>
            <w:left w:val="none" w:sz="0" w:space="0" w:color="auto"/>
            <w:bottom w:val="none" w:sz="0" w:space="0" w:color="auto"/>
            <w:right w:val="none" w:sz="0" w:space="0" w:color="auto"/>
          </w:divBdr>
          <w:divsChild>
            <w:div w:id="875048546">
              <w:marLeft w:val="0"/>
              <w:marRight w:val="0"/>
              <w:marTop w:val="0"/>
              <w:marBottom w:val="0"/>
              <w:divBdr>
                <w:top w:val="none" w:sz="0" w:space="0" w:color="auto"/>
                <w:left w:val="none" w:sz="0" w:space="0" w:color="auto"/>
                <w:bottom w:val="none" w:sz="0" w:space="0" w:color="auto"/>
                <w:right w:val="none" w:sz="0" w:space="0" w:color="auto"/>
              </w:divBdr>
            </w:div>
          </w:divsChild>
        </w:div>
        <w:div w:id="2117864603">
          <w:marLeft w:val="0"/>
          <w:marRight w:val="0"/>
          <w:marTop w:val="0"/>
          <w:marBottom w:val="0"/>
          <w:divBdr>
            <w:top w:val="none" w:sz="0" w:space="0" w:color="auto"/>
            <w:left w:val="none" w:sz="0" w:space="0" w:color="auto"/>
            <w:bottom w:val="none" w:sz="0" w:space="0" w:color="auto"/>
            <w:right w:val="none" w:sz="0" w:space="0" w:color="auto"/>
          </w:divBdr>
          <w:divsChild>
            <w:div w:id="851649745">
              <w:marLeft w:val="0"/>
              <w:marRight w:val="0"/>
              <w:marTop w:val="0"/>
              <w:marBottom w:val="0"/>
              <w:divBdr>
                <w:top w:val="none" w:sz="0" w:space="0" w:color="auto"/>
                <w:left w:val="none" w:sz="0" w:space="0" w:color="auto"/>
                <w:bottom w:val="none" w:sz="0" w:space="0" w:color="auto"/>
                <w:right w:val="none" w:sz="0" w:space="0" w:color="auto"/>
              </w:divBdr>
            </w:div>
          </w:divsChild>
        </w:div>
        <w:div w:id="2132241831">
          <w:marLeft w:val="0"/>
          <w:marRight w:val="0"/>
          <w:marTop w:val="0"/>
          <w:marBottom w:val="0"/>
          <w:divBdr>
            <w:top w:val="none" w:sz="0" w:space="0" w:color="auto"/>
            <w:left w:val="none" w:sz="0" w:space="0" w:color="auto"/>
            <w:bottom w:val="none" w:sz="0" w:space="0" w:color="auto"/>
            <w:right w:val="none" w:sz="0" w:space="0" w:color="auto"/>
          </w:divBdr>
          <w:divsChild>
            <w:div w:id="7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381">
      <w:bodyDiv w:val="1"/>
      <w:marLeft w:val="0"/>
      <w:marRight w:val="0"/>
      <w:marTop w:val="0"/>
      <w:marBottom w:val="0"/>
      <w:divBdr>
        <w:top w:val="none" w:sz="0" w:space="0" w:color="auto"/>
        <w:left w:val="none" w:sz="0" w:space="0" w:color="auto"/>
        <w:bottom w:val="none" w:sz="0" w:space="0" w:color="auto"/>
        <w:right w:val="none" w:sz="0" w:space="0" w:color="auto"/>
      </w:divBdr>
      <w:divsChild>
        <w:div w:id="26175403">
          <w:marLeft w:val="0"/>
          <w:marRight w:val="0"/>
          <w:marTop w:val="0"/>
          <w:marBottom w:val="0"/>
          <w:divBdr>
            <w:top w:val="none" w:sz="0" w:space="0" w:color="auto"/>
            <w:left w:val="none" w:sz="0" w:space="0" w:color="auto"/>
            <w:bottom w:val="none" w:sz="0" w:space="0" w:color="auto"/>
            <w:right w:val="none" w:sz="0" w:space="0" w:color="auto"/>
          </w:divBdr>
        </w:div>
        <w:div w:id="61105347">
          <w:marLeft w:val="0"/>
          <w:marRight w:val="0"/>
          <w:marTop w:val="0"/>
          <w:marBottom w:val="0"/>
          <w:divBdr>
            <w:top w:val="none" w:sz="0" w:space="0" w:color="auto"/>
            <w:left w:val="none" w:sz="0" w:space="0" w:color="auto"/>
            <w:bottom w:val="none" w:sz="0" w:space="0" w:color="auto"/>
            <w:right w:val="none" w:sz="0" w:space="0" w:color="auto"/>
          </w:divBdr>
        </w:div>
        <w:div w:id="104270192">
          <w:marLeft w:val="0"/>
          <w:marRight w:val="0"/>
          <w:marTop w:val="0"/>
          <w:marBottom w:val="0"/>
          <w:divBdr>
            <w:top w:val="none" w:sz="0" w:space="0" w:color="auto"/>
            <w:left w:val="none" w:sz="0" w:space="0" w:color="auto"/>
            <w:bottom w:val="none" w:sz="0" w:space="0" w:color="auto"/>
            <w:right w:val="none" w:sz="0" w:space="0" w:color="auto"/>
          </w:divBdr>
        </w:div>
        <w:div w:id="210001933">
          <w:marLeft w:val="0"/>
          <w:marRight w:val="0"/>
          <w:marTop w:val="0"/>
          <w:marBottom w:val="0"/>
          <w:divBdr>
            <w:top w:val="none" w:sz="0" w:space="0" w:color="auto"/>
            <w:left w:val="none" w:sz="0" w:space="0" w:color="auto"/>
            <w:bottom w:val="none" w:sz="0" w:space="0" w:color="auto"/>
            <w:right w:val="none" w:sz="0" w:space="0" w:color="auto"/>
          </w:divBdr>
        </w:div>
        <w:div w:id="243927293">
          <w:marLeft w:val="0"/>
          <w:marRight w:val="0"/>
          <w:marTop w:val="0"/>
          <w:marBottom w:val="0"/>
          <w:divBdr>
            <w:top w:val="none" w:sz="0" w:space="0" w:color="auto"/>
            <w:left w:val="none" w:sz="0" w:space="0" w:color="auto"/>
            <w:bottom w:val="none" w:sz="0" w:space="0" w:color="auto"/>
            <w:right w:val="none" w:sz="0" w:space="0" w:color="auto"/>
          </w:divBdr>
        </w:div>
        <w:div w:id="274950682">
          <w:marLeft w:val="0"/>
          <w:marRight w:val="0"/>
          <w:marTop w:val="0"/>
          <w:marBottom w:val="0"/>
          <w:divBdr>
            <w:top w:val="none" w:sz="0" w:space="0" w:color="auto"/>
            <w:left w:val="none" w:sz="0" w:space="0" w:color="auto"/>
            <w:bottom w:val="none" w:sz="0" w:space="0" w:color="auto"/>
            <w:right w:val="none" w:sz="0" w:space="0" w:color="auto"/>
          </w:divBdr>
        </w:div>
        <w:div w:id="330909677">
          <w:marLeft w:val="0"/>
          <w:marRight w:val="0"/>
          <w:marTop w:val="0"/>
          <w:marBottom w:val="0"/>
          <w:divBdr>
            <w:top w:val="none" w:sz="0" w:space="0" w:color="auto"/>
            <w:left w:val="none" w:sz="0" w:space="0" w:color="auto"/>
            <w:bottom w:val="none" w:sz="0" w:space="0" w:color="auto"/>
            <w:right w:val="none" w:sz="0" w:space="0" w:color="auto"/>
          </w:divBdr>
        </w:div>
        <w:div w:id="363794038">
          <w:marLeft w:val="0"/>
          <w:marRight w:val="0"/>
          <w:marTop w:val="0"/>
          <w:marBottom w:val="0"/>
          <w:divBdr>
            <w:top w:val="none" w:sz="0" w:space="0" w:color="auto"/>
            <w:left w:val="none" w:sz="0" w:space="0" w:color="auto"/>
            <w:bottom w:val="none" w:sz="0" w:space="0" w:color="auto"/>
            <w:right w:val="none" w:sz="0" w:space="0" w:color="auto"/>
          </w:divBdr>
        </w:div>
        <w:div w:id="373576176">
          <w:marLeft w:val="0"/>
          <w:marRight w:val="0"/>
          <w:marTop w:val="0"/>
          <w:marBottom w:val="0"/>
          <w:divBdr>
            <w:top w:val="none" w:sz="0" w:space="0" w:color="auto"/>
            <w:left w:val="none" w:sz="0" w:space="0" w:color="auto"/>
            <w:bottom w:val="none" w:sz="0" w:space="0" w:color="auto"/>
            <w:right w:val="none" w:sz="0" w:space="0" w:color="auto"/>
          </w:divBdr>
        </w:div>
        <w:div w:id="386421160">
          <w:marLeft w:val="0"/>
          <w:marRight w:val="0"/>
          <w:marTop w:val="0"/>
          <w:marBottom w:val="0"/>
          <w:divBdr>
            <w:top w:val="none" w:sz="0" w:space="0" w:color="auto"/>
            <w:left w:val="none" w:sz="0" w:space="0" w:color="auto"/>
            <w:bottom w:val="none" w:sz="0" w:space="0" w:color="auto"/>
            <w:right w:val="none" w:sz="0" w:space="0" w:color="auto"/>
          </w:divBdr>
        </w:div>
        <w:div w:id="398334410">
          <w:marLeft w:val="0"/>
          <w:marRight w:val="0"/>
          <w:marTop w:val="0"/>
          <w:marBottom w:val="0"/>
          <w:divBdr>
            <w:top w:val="none" w:sz="0" w:space="0" w:color="auto"/>
            <w:left w:val="none" w:sz="0" w:space="0" w:color="auto"/>
            <w:bottom w:val="none" w:sz="0" w:space="0" w:color="auto"/>
            <w:right w:val="none" w:sz="0" w:space="0" w:color="auto"/>
          </w:divBdr>
        </w:div>
        <w:div w:id="495802760">
          <w:marLeft w:val="0"/>
          <w:marRight w:val="0"/>
          <w:marTop w:val="0"/>
          <w:marBottom w:val="0"/>
          <w:divBdr>
            <w:top w:val="none" w:sz="0" w:space="0" w:color="auto"/>
            <w:left w:val="none" w:sz="0" w:space="0" w:color="auto"/>
            <w:bottom w:val="none" w:sz="0" w:space="0" w:color="auto"/>
            <w:right w:val="none" w:sz="0" w:space="0" w:color="auto"/>
          </w:divBdr>
        </w:div>
        <w:div w:id="503208248">
          <w:marLeft w:val="0"/>
          <w:marRight w:val="0"/>
          <w:marTop w:val="0"/>
          <w:marBottom w:val="0"/>
          <w:divBdr>
            <w:top w:val="none" w:sz="0" w:space="0" w:color="auto"/>
            <w:left w:val="none" w:sz="0" w:space="0" w:color="auto"/>
            <w:bottom w:val="none" w:sz="0" w:space="0" w:color="auto"/>
            <w:right w:val="none" w:sz="0" w:space="0" w:color="auto"/>
          </w:divBdr>
        </w:div>
        <w:div w:id="569656230">
          <w:marLeft w:val="0"/>
          <w:marRight w:val="0"/>
          <w:marTop w:val="0"/>
          <w:marBottom w:val="0"/>
          <w:divBdr>
            <w:top w:val="none" w:sz="0" w:space="0" w:color="auto"/>
            <w:left w:val="none" w:sz="0" w:space="0" w:color="auto"/>
            <w:bottom w:val="none" w:sz="0" w:space="0" w:color="auto"/>
            <w:right w:val="none" w:sz="0" w:space="0" w:color="auto"/>
          </w:divBdr>
        </w:div>
        <w:div w:id="650183059">
          <w:marLeft w:val="0"/>
          <w:marRight w:val="0"/>
          <w:marTop w:val="0"/>
          <w:marBottom w:val="0"/>
          <w:divBdr>
            <w:top w:val="none" w:sz="0" w:space="0" w:color="auto"/>
            <w:left w:val="none" w:sz="0" w:space="0" w:color="auto"/>
            <w:bottom w:val="none" w:sz="0" w:space="0" w:color="auto"/>
            <w:right w:val="none" w:sz="0" w:space="0" w:color="auto"/>
          </w:divBdr>
        </w:div>
        <w:div w:id="650792052">
          <w:marLeft w:val="0"/>
          <w:marRight w:val="0"/>
          <w:marTop w:val="0"/>
          <w:marBottom w:val="0"/>
          <w:divBdr>
            <w:top w:val="none" w:sz="0" w:space="0" w:color="auto"/>
            <w:left w:val="none" w:sz="0" w:space="0" w:color="auto"/>
            <w:bottom w:val="none" w:sz="0" w:space="0" w:color="auto"/>
            <w:right w:val="none" w:sz="0" w:space="0" w:color="auto"/>
          </w:divBdr>
        </w:div>
        <w:div w:id="825780630">
          <w:marLeft w:val="0"/>
          <w:marRight w:val="0"/>
          <w:marTop w:val="0"/>
          <w:marBottom w:val="0"/>
          <w:divBdr>
            <w:top w:val="none" w:sz="0" w:space="0" w:color="auto"/>
            <w:left w:val="none" w:sz="0" w:space="0" w:color="auto"/>
            <w:bottom w:val="none" w:sz="0" w:space="0" w:color="auto"/>
            <w:right w:val="none" w:sz="0" w:space="0" w:color="auto"/>
          </w:divBdr>
          <w:divsChild>
            <w:div w:id="22632132">
              <w:marLeft w:val="0"/>
              <w:marRight w:val="0"/>
              <w:marTop w:val="0"/>
              <w:marBottom w:val="0"/>
              <w:divBdr>
                <w:top w:val="none" w:sz="0" w:space="0" w:color="auto"/>
                <w:left w:val="none" w:sz="0" w:space="0" w:color="auto"/>
                <w:bottom w:val="none" w:sz="0" w:space="0" w:color="auto"/>
                <w:right w:val="none" w:sz="0" w:space="0" w:color="auto"/>
              </w:divBdr>
            </w:div>
            <w:div w:id="464205038">
              <w:marLeft w:val="0"/>
              <w:marRight w:val="0"/>
              <w:marTop w:val="0"/>
              <w:marBottom w:val="0"/>
              <w:divBdr>
                <w:top w:val="none" w:sz="0" w:space="0" w:color="auto"/>
                <w:left w:val="none" w:sz="0" w:space="0" w:color="auto"/>
                <w:bottom w:val="none" w:sz="0" w:space="0" w:color="auto"/>
                <w:right w:val="none" w:sz="0" w:space="0" w:color="auto"/>
              </w:divBdr>
            </w:div>
            <w:div w:id="493685765">
              <w:marLeft w:val="0"/>
              <w:marRight w:val="0"/>
              <w:marTop w:val="0"/>
              <w:marBottom w:val="0"/>
              <w:divBdr>
                <w:top w:val="none" w:sz="0" w:space="0" w:color="auto"/>
                <w:left w:val="none" w:sz="0" w:space="0" w:color="auto"/>
                <w:bottom w:val="none" w:sz="0" w:space="0" w:color="auto"/>
                <w:right w:val="none" w:sz="0" w:space="0" w:color="auto"/>
              </w:divBdr>
            </w:div>
            <w:div w:id="547885216">
              <w:marLeft w:val="0"/>
              <w:marRight w:val="0"/>
              <w:marTop w:val="0"/>
              <w:marBottom w:val="0"/>
              <w:divBdr>
                <w:top w:val="none" w:sz="0" w:space="0" w:color="auto"/>
                <w:left w:val="none" w:sz="0" w:space="0" w:color="auto"/>
                <w:bottom w:val="none" w:sz="0" w:space="0" w:color="auto"/>
                <w:right w:val="none" w:sz="0" w:space="0" w:color="auto"/>
              </w:divBdr>
            </w:div>
            <w:div w:id="565844337">
              <w:marLeft w:val="0"/>
              <w:marRight w:val="0"/>
              <w:marTop w:val="0"/>
              <w:marBottom w:val="0"/>
              <w:divBdr>
                <w:top w:val="none" w:sz="0" w:space="0" w:color="auto"/>
                <w:left w:val="none" w:sz="0" w:space="0" w:color="auto"/>
                <w:bottom w:val="none" w:sz="0" w:space="0" w:color="auto"/>
                <w:right w:val="none" w:sz="0" w:space="0" w:color="auto"/>
              </w:divBdr>
            </w:div>
            <w:div w:id="585773413">
              <w:marLeft w:val="0"/>
              <w:marRight w:val="0"/>
              <w:marTop w:val="0"/>
              <w:marBottom w:val="0"/>
              <w:divBdr>
                <w:top w:val="none" w:sz="0" w:space="0" w:color="auto"/>
                <w:left w:val="none" w:sz="0" w:space="0" w:color="auto"/>
                <w:bottom w:val="none" w:sz="0" w:space="0" w:color="auto"/>
                <w:right w:val="none" w:sz="0" w:space="0" w:color="auto"/>
              </w:divBdr>
            </w:div>
            <w:div w:id="692539985">
              <w:marLeft w:val="0"/>
              <w:marRight w:val="0"/>
              <w:marTop w:val="0"/>
              <w:marBottom w:val="0"/>
              <w:divBdr>
                <w:top w:val="none" w:sz="0" w:space="0" w:color="auto"/>
                <w:left w:val="none" w:sz="0" w:space="0" w:color="auto"/>
                <w:bottom w:val="none" w:sz="0" w:space="0" w:color="auto"/>
                <w:right w:val="none" w:sz="0" w:space="0" w:color="auto"/>
              </w:divBdr>
            </w:div>
            <w:div w:id="738552970">
              <w:marLeft w:val="0"/>
              <w:marRight w:val="0"/>
              <w:marTop w:val="0"/>
              <w:marBottom w:val="0"/>
              <w:divBdr>
                <w:top w:val="none" w:sz="0" w:space="0" w:color="auto"/>
                <w:left w:val="none" w:sz="0" w:space="0" w:color="auto"/>
                <w:bottom w:val="none" w:sz="0" w:space="0" w:color="auto"/>
                <w:right w:val="none" w:sz="0" w:space="0" w:color="auto"/>
              </w:divBdr>
            </w:div>
            <w:div w:id="763113632">
              <w:marLeft w:val="0"/>
              <w:marRight w:val="0"/>
              <w:marTop w:val="0"/>
              <w:marBottom w:val="0"/>
              <w:divBdr>
                <w:top w:val="none" w:sz="0" w:space="0" w:color="auto"/>
                <w:left w:val="none" w:sz="0" w:space="0" w:color="auto"/>
                <w:bottom w:val="none" w:sz="0" w:space="0" w:color="auto"/>
                <w:right w:val="none" w:sz="0" w:space="0" w:color="auto"/>
              </w:divBdr>
            </w:div>
            <w:div w:id="785738120">
              <w:marLeft w:val="0"/>
              <w:marRight w:val="0"/>
              <w:marTop w:val="0"/>
              <w:marBottom w:val="0"/>
              <w:divBdr>
                <w:top w:val="none" w:sz="0" w:space="0" w:color="auto"/>
                <w:left w:val="none" w:sz="0" w:space="0" w:color="auto"/>
                <w:bottom w:val="none" w:sz="0" w:space="0" w:color="auto"/>
                <w:right w:val="none" w:sz="0" w:space="0" w:color="auto"/>
              </w:divBdr>
            </w:div>
            <w:div w:id="843664948">
              <w:marLeft w:val="0"/>
              <w:marRight w:val="0"/>
              <w:marTop w:val="0"/>
              <w:marBottom w:val="0"/>
              <w:divBdr>
                <w:top w:val="none" w:sz="0" w:space="0" w:color="auto"/>
                <w:left w:val="none" w:sz="0" w:space="0" w:color="auto"/>
                <w:bottom w:val="none" w:sz="0" w:space="0" w:color="auto"/>
                <w:right w:val="none" w:sz="0" w:space="0" w:color="auto"/>
              </w:divBdr>
            </w:div>
            <w:div w:id="974869321">
              <w:marLeft w:val="0"/>
              <w:marRight w:val="0"/>
              <w:marTop w:val="0"/>
              <w:marBottom w:val="0"/>
              <w:divBdr>
                <w:top w:val="none" w:sz="0" w:space="0" w:color="auto"/>
                <w:left w:val="none" w:sz="0" w:space="0" w:color="auto"/>
                <w:bottom w:val="none" w:sz="0" w:space="0" w:color="auto"/>
                <w:right w:val="none" w:sz="0" w:space="0" w:color="auto"/>
              </w:divBdr>
            </w:div>
            <w:div w:id="1202863500">
              <w:marLeft w:val="0"/>
              <w:marRight w:val="0"/>
              <w:marTop w:val="0"/>
              <w:marBottom w:val="0"/>
              <w:divBdr>
                <w:top w:val="none" w:sz="0" w:space="0" w:color="auto"/>
                <w:left w:val="none" w:sz="0" w:space="0" w:color="auto"/>
                <w:bottom w:val="none" w:sz="0" w:space="0" w:color="auto"/>
                <w:right w:val="none" w:sz="0" w:space="0" w:color="auto"/>
              </w:divBdr>
            </w:div>
            <w:div w:id="1263145552">
              <w:marLeft w:val="0"/>
              <w:marRight w:val="0"/>
              <w:marTop w:val="0"/>
              <w:marBottom w:val="0"/>
              <w:divBdr>
                <w:top w:val="none" w:sz="0" w:space="0" w:color="auto"/>
                <w:left w:val="none" w:sz="0" w:space="0" w:color="auto"/>
                <w:bottom w:val="none" w:sz="0" w:space="0" w:color="auto"/>
                <w:right w:val="none" w:sz="0" w:space="0" w:color="auto"/>
              </w:divBdr>
            </w:div>
            <w:div w:id="1283075305">
              <w:marLeft w:val="0"/>
              <w:marRight w:val="0"/>
              <w:marTop w:val="0"/>
              <w:marBottom w:val="0"/>
              <w:divBdr>
                <w:top w:val="none" w:sz="0" w:space="0" w:color="auto"/>
                <w:left w:val="none" w:sz="0" w:space="0" w:color="auto"/>
                <w:bottom w:val="none" w:sz="0" w:space="0" w:color="auto"/>
                <w:right w:val="none" w:sz="0" w:space="0" w:color="auto"/>
              </w:divBdr>
            </w:div>
            <w:div w:id="1357272121">
              <w:marLeft w:val="0"/>
              <w:marRight w:val="0"/>
              <w:marTop w:val="0"/>
              <w:marBottom w:val="0"/>
              <w:divBdr>
                <w:top w:val="none" w:sz="0" w:space="0" w:color="auto"/>
                <w:left w:val="none" w:sz="0" w:space="0" w:color="auto"/>
                <w:bottom w:val="none" w:sz="0" w:space="0" w:color="auto"/>
                <w:right w:val="none" w:sz="0" w:space="0" w:color="auto"/>
              </w:divBdr>
            </w:div>
            <w:div w:id="1691026700">
              <w:marLeft w:val="0"/>
              <w:marRight w:val="0"/>
              <w:marTop w:val="0"/>
              <w:marBottom w:val="0"/>
              <w:divBdr>
                <w:top w:val="none" w:sz="0" w:space="0" w:color="auto"/>
                <w:left w:val="none" w:sz="0" w:space="0" w:color="auto"/>
                <w:bottom w:val="none" w:sz="0" w:space="0" w:color="auto"/>
                <w:right w:val="none" w:sz="0" w:space="0" w:color="auto"/>
              </w:divBdr>
            </w:div>
            <w:div w:id="1692798395">
              <w:marLeft w:val="0"/>
              <w:marRight w:val="0"/>
              <w:marTop w:val="0"/>
              <w:marBottom w:val="0"/>
              <w:divBdr>
                <w:top w:val="none" w:sz="0" w:space="0" w:color="auto"/>
                <w:left w:val="none" w:sz="0" w:space="0" w:color="auto"/>
                <w:bottom w:val="none" w:sz="0" w:space="0" w:color="auto"/>
                <w:right w:val="none" w:sz="0" w:space="0" w:color="auto"/>
              </w:divBdr>
            </w:div>
            <w:div w:id="1804273356">
              <w:marLeft w:val="0"/>
              <w:marRight w:val="0"/>
              <w:marTop w:val="0"/>
              <w:marBottom w:val="0"/>
              <w:divBdr>
                <w:top w:val="none" w:sz="0" w:space="0" w:color="auto"/>
                <w:left w:val="none" w:sz="0" w:space="0" w:color="auto"/>
                <w:bottom w:val="none" w:sz="0" w:space="0" w:color="auto"/>
                <w:right w:val="none" w:sz="0" w:space="0" w:color="auto"/>
              </w:divBdr>
            </w:div>
            <w:div w:id="2081632473">
              <w:marLeft w:val="0"/>
              <w:marRight w:val="0"/>
              <w:marTop w:val="0"/>
              <w:marBottom w:val="0"/>
              <w:divBdr>
                <w:top w:val="none" w:sz="0" w:space="0" w:color="auto"/>
                <w:left w:val="none" w:sz="0" w:space="0" w:color="auto"/>
                <w:bottom w:val="none" w:sz="0" w:space="0" w:color="auto"/>
                <w:right w:val="none" w:sz="0" w:space="0" w:color="auto"/>
              </w:divBdr>
            </w:div>
          </w:divsChild>
        </w:div>
        <w:div w:id="827524232">
          <w:marLeft w:val="0"/>
          <w:marRight w:val="0"/>
          <w:marTop w:val="0"/>
          <w:marBottom w:val="0"/>
          <w:divBdr>
            <w:top w:val="none" w:sz="0" w:space="0" w:color="auto"/>
            <w:left w:val="none" w:sz="0" w:space="0" w:color="auto"/>
            <w:bottom w:val="none" w:sz="0" w:space="0" w:color="auto"/>
            <w:right w:val="none" w:sz="0" w:space="0" w:color="auto"/>
          </w:divBdr>
        </w:div>
        <w:div w:id="871114450">
          <w:marLeft w:val="0"/>
          <w:marRight w:val="0"/>
          <w:marTop w:val="0"/>
          <w:marBottom w:val="0"/>
          <w:divBdr>
            <w:top w:val="none" w:sz="0" w:space="0" w:color="auto"/>
            <w:left w:val="none" w:sz="0" w:space="0" w:color="auto"/>
            <w:bottom w:val="none" w:sz="0" w:space="0" w:color="auto"/>
            <w:right w:val="none" w:sz="0" w:space="0" w:color="auto"/>
          </w:divBdr>
        </w:div>
        <w:div w:id="981423018">
          <w:marLeft w:val="0"/>
          <w:marRight w:val="0"/>
          <w:marTop w:val="0"/>
          <w:marBottom w:val="0"/>
          <w:divBdr>
            <w:top w:val="none" w:sz="0" w:space="0" w:color="auto"/>
            <w:left w:val="none" w:sz="0" w:space="0" w:color="auto"/>
            <w:bottom w:val="none" w:sz="0" w:space="0" w:color="auto"/>
            <w:right w:val="none" w:sz="0" w:space="0" w:color="auto"/>
          </w:divBdr>
        </w:div>
        <w:div w:id="1014191793">
          <w:marLeft w:val="0"/>
          <w:marRight w:val="0"/>
          <w:marTop w:val="0"/>
          <w:marBottom w:val="0"/>
          <w:divBdr>
            <w:top w:val="none" w:sz="0" w:space="0" w:color="auto"/>
            <w:left w:val="none" w:sz="0" w:space="0" w:color="auto"/>
            <w:bottom w:val="none" w:sz="0" w:space="0" w:color="auto"/>
            <w:right w:val="none" w:sz="0" w:space="0" w:color="auto"/>
          </w:divBdr>
        </w:div>
        <w:div w:id="1023020619">
          <w:marLeft w:val="0"/>
          <w:marRight w:val="0"/>
          <w:marTop w:val="0"/>
          <w:marBottom w:val="0"/>
          <w:divBdr>
            <w:top w:val="none" w:sz="0" w:space="0" w:color="auto"/>
            <w:left w:val="none" w:sz="0" w:space="0" w:color="auto"/>
            <w:bottom w:val="none" w:sz="0" w:space="0" w:color="auto"/>
            <w:right w:val="none" w:sz="0" w:space="0" w:color="auto"/>
          </w:divBdr>
        </w:div>
        <w:div w:id="1056004164">
          <w:marLeft w:val="0"/>
          <w:marRight w:val="0"/>
          <w:marTop w:val="0"/>
          <w:marBottom w:val="0"/>
          <w:divBdr>
            <w:top w:val="none" w:sz="0" w:space="0" w:color="auto"/>
            <w:left w:val="none" w:sz="0" w:space="0" w:color="auto"/>
            <w:bottom w:val="none" w:sz="0" w:space="0" w:color="auto"/>
            <w:right w:val="none" w:sz="0" w:space="0" w:color="auto"/>
          </w:divBdr>
        </w:div>
        <w:div w:id="1112818927">
          <w:marLeft w:val="0"/>
          <w:marRight w:val="0"/>
          <w:marTop w:val="0"/>
          <w:marBottom w:val="0"/>
          <w:divBdr>
            <w:top w:val="none" w:sz="0" w:space="0" w:color="auto"/>
            <w:left w:val="none" w:sz="0" w:space="0" w:color="auto"/>
            <w:bottom w:val="none" w:sz="0" w:space="0" w:color="auto"/>
            <w:right w:val="none" w:sz="0" w:space="0" w:color="auto"/>
          </w:divBdr>
        </w:div>
        <w:div w:id="1116489248">
          <w:marLeft w:val="0"/>
          <w:marRight w:val="0"/>
          <w:marTop w:val="0"/>
          <w:marBottom w:val="0"/>
          <w:divBdr>
            <w:top w:val="none" w:sz="0" w:space="0" w:color="auto"/>
            <w:left w:val="none" w:sz="0" w:space="0" w:color="auto"/>
            <w:bottom w:val="none" w:sz="0" w:space="0" w:color="auto"/>
            <w:right w:val="none" w:sz="0" w:space="0" w:color="auto"/>
          </w:divBdr>
        </w:div>
        <w:div w:id="1123842027">
          <w:marLeft w:val="0"/>
          <w:marRight w:val="0"/>
          <w:marTop w:val="0"/>
          <w:marBottom w:val="0"/>
          <w:divBdr>
            <w:top w:val="none" w:sz="0" w:space="0" w:color="auto"/>
            <w:left w:val="none" w:sz="0" w:space="0" w:color="auto"/>
            <w:bottom w:val="none" w:sz="0" w:space="0" w:color="auto"/>
            <w:right w:val="none" w:sz="0" w:space="0" w:color="auto"/>
          </w:divBdr>
        </w:div>
        <w:div w:id="1150101961">
          <w:marLeft w:val="0"/>
          <w:marRight w:val="0"/>
          <w:marTop w:val="0"/>
          <w:marBottom w:val="0"/>
          <w:divBdr>
            <w:top w:val="none" w:sz="0" w:space="0" w:color="auto"/>
            <w:left w:val="none" w:sz="0" w:space="0" w:color="auto"/>
            <w:bottom w:val="none" w:sz="0" w:space="0" w:color="auto"/>
            <w:right w:val="none" w:sz="0" w:space="0" w:color="auto"/>
          </w:divBdr>
        </w:div>
        <w:div w:id="1153332096">
          <w:marLeft w:val="0"/>
          <w:marRight w:val="0"/>
          <w:marTop w:val="0"/>
          <w:marBottom w:val="0"/>
          <w:divBdr>
            <w:top w:val="none" w:sz="0" w:space="0" w:color="auto"/>
            <w:left w:val="none" w:sz="0" w:space="0" w:color="auto"/>
            <w:bottom w:val="none" w:sz="0" w:space="0" w:color="auto"/>
            <w:right w:val="none" w:sz="0" w:space="0" w:color="auto"/>
          </w:divBdr>
        </w:div>
        <w:div w:id="1174808680">
          <w:marLeft w:val="0"/>
          <w:marRight w:val="0"/>
          <w:marTop w:val="0"/>
          <w:marBottom w:val="0"/>
          <w:divBdr>
            <w:top w:val="none" w:sz="0" w:space="0" w:color="auto"/>
            <w:left w:val="none" w:sz="0" w:space="0" w:color="auto"/>
            <w:bottom w:val="none" w:sz="0" w:space="0" w:color="auto"/>
            <w:right w:val="none" w:sz="0" w:space="0" w:color="auto"/>
          </w:divBdr>
        </w:div>
        <w:div w:id="1181120448">
          <w:marLeft w:val="0"/>
          <w:marRight w:val="0"/>
          <w:marTop w:val="0"/>
          <w:marBottom w:val="0"/>
          <w:divBdr>
            <w:top w:val="none" w:sz="0" w:space="0" w:color="auto"/>
            <w:left w:val="none" w:sz="0" w:space="0" w:color="auto"/>
            <w:bottom w:val="none" w:sz="0" w:space="0" w:color="auto"/>
            <w:right w:val="none" w:sz="0" w:space="0" w:color="auto"/>
          </w:divBdr>
        </w:div>
        <w:div w:id="1242372031">
          <w:marLeft w:val="0"/>
          <w:marRight w:val="0"/>
          <w:marTop w:val="0"/>
          <w:marBottom w:val="0"/>
          <w:divBdr>
            <w:top w:val="none" w:sz="0" w:space="0" w:color="auto"/>
            <w:left w:val="none" w:sz="0" w:space="0" w:color="auto"/>
            <w:bottom w:val="none" w:sz="0" w:space="0" w:color="auto"/>
            <w:right w:val="none" w:sz="0" w:space="0" w:color="auto"/>
          </w:divBdr>
          <w:divsChild>
            <w:div w:id="82383158">
              <w:marLeft w:val="0"/>
              <w:marRight w:val="0"/>
              <w:marTop w:val="0"/>
              <w:marBottom w:val="0"/>
              <w:divBdr>
                <w:top w:val="none" w:sz="0" w:space="0" w:color="auto"/>
                <w:left w:val="none" w:sz="0" w:space="0" w:color="auto"/>
                <w:bottom w:val="none" w:sz="0" w:space="0" w:color="auto"/>
                <w:right w:val="none" w:sz="0" w:space="0" w:color="auto"/>
              </w:divBdr>
            </w:div>
            <w:div w:id="207492952">
              <w:marLeft w:val="0"/>
              <w:marRight w:val="0"/>
              <w:marTop w:val="0"/>
              <w:marBottom w:val="0"/>
              <w:divBdr>
                <w:top w:val="none" w:sz="0" w:space="0" w:color="auto"/>
                <w:left w:val="none" w:sz="0" w:space="0" w:color="auto"/>
                <w:bottom w:val="none" w:sz="0" w:space="0" w:color="auto"/>
                <w:right w:val="none" w:sz="0" w:space="0" w:color="auto"/>
              </w:divBdr>
            </w:div>
            <w:div w:id="310601686">
              <w:marLeft w:val="0"/>
              <w:marRight w:val="0"/>
              <w:marTop w:val="0"/>
              <w:marBottom w:val="0"/>
              <w:divBdr>
                <w:top w:val="none" w:sz="0" w:space="0" w:color="auto"/>
                <w:left w:val="none" w:sz="0" w:space="0" w:color="auto"/>
                <w:bottom w:val="none" w:sz="0" w:space="0" w:color="auto"/>
                <w:right w:val="none" w:sz="0" w:space="0" w:color="auto"/>
              </w:divBdr>
            </w:div>
            <w:div w:id="456948361">
              <w:marLeft w:val="0"/>
              <w:marRight w:val="0"/>
              <w:marTop w:val="0"/>
              <w:marBottom w:val="0"/>
              <w:divBdr>
                <w:top w:val="none" w:sz="0" w:space="0" w:color="auto"/>
                <w:left w:val="none" w:sz="0" w:space="0" w:color="auto"/>
                <w:bottom w:val="none" w:sz="0" w:space="0" w:color="auto"/>
                <w:right w:val="none" w:sz="0" w:space="0" w:color="auto"/>
              </w:divBdr>
            </w:div>
            <w:div w:id="530453796">
              <w:marLeft w:val="0"/>
              <w:marRight w:val="0"/>
              <w:marTop w:val="0"/>
              <w:marBottom w:val="0"/>
              <w:divBdr>
                <w:top w:val="none" w:sz="0" w:space="0" w:color="auto"/>
                <w:left w:val="none" w:sz="0" w:space="0" w:color="auto"/>
                <w:bottom w:val="none" w:sz="0" w:space="0" w:color="auto"/>
                <w:right w:val="none" w:sz="0" w:space="0" w:color="auto"/>
              </w:divBdr>
            </w:div>
            <w:div w:id="577909474">
              <w:marLeft w:val="0"/>
              <w:marRight w:val="0"/>
              <w:marTop w:val="0"/>
              <w:marBottom w:val="0"/>
              <w:divBdr>
                <w:top w:val="none" w:sz="0" w:space="0" w:color="auto"/>
                <w:left w:val="none" w:sz="0" w:space="0" w:color="auto"/>
                <w:bottom w:val="none" w:sz="0" w:space="0" w:color="auto"/>
                <w:right w:val="none" w:sz="0" w:space="0" w:color="auto"/>
              </w:divBdr>
            </w:div>
            <w:div w:id="641539593">
              <w:marLeft w:val="0"/>
              <w:marRight w:val="0"/>
              <w:marTop w:val="0"/>
              <w:marBottom w:val="0"/>
              <w:divBdr>
                <w:top w:val="none" w:sz="0" w:space="0" w:color="auto"/>
                <w:left w:val="none" w:sz="0" w:space="0" w:color="auto"/>
                <w:bottom w:val="none" w:sz="0" w:space="0" w:color="auto"/>
                <w:right w:val="none" w:sz="0" w:space="0" w:color="auto"/>
              </w:divBdr>
            </w:div>
            <w:div w:id="645664429">
              <w:marLeft w:val="0"/>
              <w:marRight w:val="0"/>
              <w:marTop w:val="0"/>
              <w:marBottom w:val="0"/>
              <w:divBdr>
                <w:top w:val="none" w:sz="0" w:space="0" w:color="auto"/>
                <w:left w:val="none" w:sz="0" w:space="0" w:color="auto"/>
                <w:bottom w:val="none" w:sz="0" w:space="0" w:color="auto"/>
                <w:right w:val="none" w:sz="0" w:space="0" w:color="auto"/>
              </w:divBdr>
            </w:div>
            <w:div w:id="697002039">
              <w:marLeft w:val="0"/>
              <w:marRight w:val="0"/>
              <w:marTop w:val="0"/>
              <w:marBottom w:val="0"/>
              <w:divBdr>
                <w:top w:val="none" w:sz="0" w:space="0" w:color="auto"/>
                <w:left w:val="none" w:sz="0" w:space="0" w:color="auto"/>
                <w:bottom w:val="none" w:sz="0" w:space="0" w:color="auto"/>
                <w:right w:val="none" w:sz="0" w:space="0" w:color="auto"/>
              </w:divBdr>
            </w:div>
            <w:div w:id="728722784">
              <w:marLeft w:val="0"/>
              <w:marRight w:val="0"/>
              <w:marTop w:val="0"/>
              <w:marBottom w:val="0"/>
              <w:divBdr>
                <w:top w:val="none" w:sz="0" w:space="0" w:color="auto"/>
                <w:left w:val="none" w:sz="0" w:space="0" w:color="auto"/>
                <w:bottom w:val="none" w:sz="0" w:space="0" w:color="auto"/>
                <w:right w:val="none" w:sz="0" w:space="0" w:color="auto"/>
              </w:divBdr>
            </w:div>
            <w:div w:id="871918177">
              <w:marLeft w:val="0"/>
              <w:marRight w:val="0"/>
              <w:marTop w:val="0"/>
              <w:marBottom w:val="0"/>
              <w:divBdr>
                <w:top w:val="none" w:sz="0" w:space="0" w:color="auto"/>
                <w:left w:val="none" w:sz="0" w:space="0" w:color="auto"/>
                <w:bottom w:val="none" w:sz="0" w:space="0" w:color="auto"/>
                <w:right w:val="none" w:sz="0" w:space="0" w:color="auto"/>
              </w:divBdr>
            </w:div>
            <w:div w:id="984895641">
              <w:marLeft w:val="0"/>
              <w:marRight w:val="0"/>
              <w:marTop w:val="0"/>
              <w:marBottom w:val="0"/>
              <w:divBdr>
                <w:top w:val="none" w:sz="0" w:space="0" w:color="auto"/>
                <w:left w:val="none" w:sz="0" w:space="0" w:color="auto"/>
                <w:bottom w:val="none" w:sz="0" w:space="0" w:color="auto"/>
                <w:right w:val="none" w:sz="0" w:space="0" w:color="auto"/>
              </w:divBdr>
            </w:div>
            <w:div w:id="1200820759">
              <w:marLeft w:val="0"/>
              <w:marRight w:val="0"/>
              <w:marTop w:val="0"/>
              <w:marBottom w:val="0"/>
              <w:divBdr>
                <w:top w:val="none" w:sz="0" w:space="0" w:color="auto"/>
                <w:left w:val="none" w:sz="0" w:space="0" w:color="auto"/>
                <w:bottom w:val="none" w:sz="0" w:space="0" w:color="auto"/>
                <w:right w:val="none" w:sz="0" w:space="0" w:color="auto"/>
              </w:divBdr>
            </w:div>
            <w:div w:id="1466850214">
              <w:marLeft w:val="0"/>
              <w:marRight w:val="0"/>
              <w:marTop w:val="0"/>
              <w:marBottom w:val="0"/>
              <w:divBdr>
                <w:top w:val="none" w:sz="0" w:space="0" w:color="auto"/>
                <w:left w:val="none" w:sz="0" w:space="0" w:color="auto"/>
                <w:bottom w:val="none" w:sz="0" w:space="0" w:color="auto"/>
                <w:right w:val="none" w:sz="0" w:space="0" w:color="auto"/>
              </w:divBdr>
            </w:div>
            <w:div w:id="1496913537">
              <w:marLeft w:val="0"/>
              <w:marRight w:val="0"/>
              <w:marTop w:val="0"/>
              <w:marBottom w:val="0"/>
              <w:divBdr>
                <w:top w:val="none" w:sz="0" w:space="0" w:color="auto"/>
                <w:left w:val="none" w:sz="0" w:space="0" w:color="auto"/>
                <w:bottom w:val="none" w:sz="0" w:space="0" w:color="auto"/>
                <w:right w:val="none" w:sz="0" w:space="0" w:color="auto"/>
              </w:divBdr>
            </w:div>
            <w:div w:id="1598294371">
              <w:marLeft w:val="0"/>
              <w:marRight w:val="0"/>
              <w:marTop w:val="0"/>
              <w:marBottom w:val="0"/>
              <w:divBdr>
                <w:top w:val="none" w:sz="0" w:space="0" w:color="auto"/>
                <w:left w:val="none" w:sz="0" w:space="0" w:color="auto"/>
                <w:bottom w:val="none" w:sz="0" w:space="0" w:color="auto"/>
                <w:right w:val="none" w:sz="0" w:space="0" w:color="auto"/>
              </w:divBdr>
            </w:div>
            <w:div w:id="1756396056">
              <w:marLeft w:val="0"/>
              <w:marRight w:val="0"/>
              <w:marTop w:val="0"/>
              <w:marBottom w:val="0"/>
              <w:divBdr>
                <w:top w:val="none" w:sz="0" w:space="0" w:color="auto"/>
                <w:left w:val="none" w:sz="0" w:space="0" w:color="auto"/>
                <w:bottom w:val="none" w:sz="0" w:space="0" w:color="auto"/>
                <w:right w:val="none" w:sz="0" w:space="0" w:color="auto"/>
              </w:divBdr>
            </w:div>
            <w:div w:id="1836913023">
              <w:marLeft w:val="0"/>
              <w:marRight w:val="0"/>
              <w:marTop w:val="0"/>
              <w:marBottom w:val="0"/>
              <w:divBdr>
                <w:top w:val="none" w:sz="0" w:space="0" w:color="auto"/>
                <w:left w:val="none" w:sz="0" w:space="0" w:color="auto"/>
                <w:bottom w:val="none" w:sz="0" w:space="0" w:color="auto"/>
                <w:right w:val="none" w:sz="0" w:space="0" w:color="auto"/>
              </w:divBdr>
            </w:div>
            <w:div w:id="1859612986">
              <w:marLeft w:val="0"/>
              <w:marRight w:val="0"/>
              <w:marTop w:val="0"/>
              <w:marBottom w:val="0"/>
              <w:divBdr>
                <w:top w:val="none" w:sz="0" w:space="0" w:color="auto"/>
                <w:left w:val="none" w:sz="0" w:space="0" w:color="auto"/>
                <w:bottom w:val="none" w:sz="0" w:space="0" w:color="auto"/>
                <w:right w:val="none" w:sz="0" w:space="0" w:color="auto"/>
              </w:divBdr>
            </w:div>
            <w:div w:id="2075928118">
              <w:marLeft w:val="0"/>
              <w:marRight w:val="0"/>
              <w:marTop w:val="0"/>
              <w:marBottom w:val="0"/>
              <w:divBdr>
                <w:top w:val="none" w:sz="0" w:space="0" w:color="auto"/>
                <w:left w:val="none" w:sz="0" w:space="0" w:color="auto"/>
                <w:bottom w:val="none" w:sz="0" w:space="0" w:color="auto"/>
                <w:right w:val="none" w:sz="0" w:space="0" w:color="auto"/>
              </w:divBdr>
            </w:div>
          </w:divsChild>
        </w:div>
        <w:div w:id="1331643587">
          <w:marLeft w:val="0"/>
          <w:marRight w:val="0"/>
          <w:marTop w:val="0"/>
          <w:marBottom w:val="0"/>
          <w:divBdr>
            <w:top w:val="none" w:sz="0" w:space="0" w:color="auto"/>
            <w:left w:val="none" w:sz="0" w:space="0" w:color="auto"/>
            <w:bottom w:val="none" w:sz="0" w:space="0" w:color="auto"/>
            <w:right w:val="none" w:sz="0" w:space="0" w:color="auto"/>
          </w:divBdr>
        </w:div>
        <w:div w:id="1332366401">
          <w:marLeft w:val="0"/>
          <w:marRight w:val="0"/>
          <w:marTop w:val="0"/>
          <w:marBottom w:val="0"/>
          <w:divBdr>
            <w:top w:val="none" w:sz="0" w:space="0" w:color="auto"/>
            <w:left w:val="none" w:sz="0" w:space="0" w:color="auto"/>
            <w:bottom w:val="none" w:sz="0" w:space="0" w:color="auto"/>
            <w:right w:val="none" w:sz="0" w:space="0" w:color="auto"/>
          </w:divBdr>
          <w:divsChild>
            <w:div w:id="28723440">
              <w:marLeft w:val="0"/>
              <w:marRight w:val="0"/>
              <w:marTop w:val="0"/>
              <w:marBottom w:val="0"/>
              <w:divBdr>
                <w:top w:val="none" w:sz="0" w:space="0" w:color="auto"/>
                <w:left w:val="none" w:sz="0" w:space="0" w:color="auto"/>
                <w:bottom w:val="none" w:sz="0" w:space="0" w:color="auto"/>
                <w:right w:val="none" w:sz="0" w:space="0" w:color="auto"/>
              </w:divBdr>
            </w:div>
            <w:div w:id="149638333">
              <w:marLeft w:val="0"/>
              <w:marRight w:val="0"/>
              <w:marTop w:val="0"/>
              <w:marBottom w:val="0"/>
              <w:divBdr>
                <w:top w:val="none" w:sz="0" w:space="0" w:color="auto"/>
                <w:left w:val="none" w:sz="0" w:space="0" w:color="auto"/>
                <w:bottom w:val="none" w:sz="0" w:space="0" w:color="auto"/>
                <w:right w:val="none" w:sz="0" w:space="0" w:color="auto"/>
              </w:divBdr>
            </w:div>
            <w:div w:id="195241088">
              <w:marLeft w:val="0"/>
              <w:marRight w:val="0"/>
              <w:marTop w:val="0"/>
              <w:marBottom w:val="0"/>
              <w:divBdr>
                <w:top w:val="none" w:sz="0" w:space="0" w:color="auto"/>
                <w:left w:val="none" w:sz="0" w:space="0" w:color="auto"/>
                <w:bottom w:val="none" w:sz="0" w:space="0" w:color="auto"/>
                <w:right w:val="none" w:sz="0" w:space="0" w:color="auto"/>
              </w:divBdr>
            </w:div>
            <w:div w:id="361634243">
              <w:marLeft w:val="0"/>
              <w:marRight w:val="0"/>
              <w:marTop w:val="0"/>
              <w:marBottom w:val="0"/>
              <w:divBdr>
                <w:top w:val="none" w:sz="0" w:space="0" w:color="auto"/>
                <w:left w:val="none" w:sz="0" w:space="0" w:color="auto"/>
                <w:bottom w:val="none" w:sz="0" w:space="0" w:color="auto"/>
                <w:right w:val="none" w:sz="0" w:space="0" w:color="auto"/>
              </w:divBdr>
            </w:div>
            <w:div w:id="483863685">
              <w:marLeft w:val="0"/>
              <w:marRight w:val="0"/>
              <w:marTop w:val="0"/>
              <w:marBottom w:val="0"/>
              <w:divBdr>
                <w:top w:val="none" w:sz="0" w:space="0" w:color="auto"/>
                <w:left w:val="none" w:sz="0" w:space="0" w:color="auto"/>
                <w:bottom w:val="none" w:sz="0" w:space="0" w:color="auto"/>
                <w:right w:val="none" w:sz="0" w:space="0" w:color="auto"/>
              </w:divBdr>
            </w:div>
            <w:div w:id="573321491">
              <w:marLeft w:val="0"/>
              <w:marRight w:val="0"/>
              <w:marTop w:val="0"/>
              <w:marBottom w:val="0"/>
              <w:divBdr>
                <w:top w:val="none" w:sz="0" w:space="0" w:color="auto"/>
                <w:left w:val="none" w:sz="0" w:space="0" w:color="auto"/>
                <w:bottom w:val="none" w:sz="0" w:space="0" w:color="auto"/>
                <w:right w:val="none" w:sz="0" w:space="0" w:color="auto"/>
              </w:divBdr>
            </w:div>
            <w:div w:id="651058603">
              <w:marLeft w:val="0"/>
              <w:marRight w:val="0"/>
              <w:marTop w:val="0"/>
              <w:marBottom w:val="0"/>
              <w:divBdr>
                <w:top w:val="none" w:sz="0" w:space="0" w:color="auto"/>
                <w:left w:val="none" w:sz="0" w:space="0" w:color="auto"/>
                <w:bottom w:val="none" w:sz="0" w:space="0" w:color="auto"/>
                <w:right w:val="none" w:sz="0" w:space="0" w:color="auto"/>
              </w:divBdr>
            </w:div>
            <w:div w:id="753353775">
              <w:marLeft w:val="0"/>
              <w:marRight w:val="0"/>
              <w:marTop w:val="0"/>
              <w:marBottom w:val="0"/>
              <w:divBdr>
                <w:top w:val="none" w:sz="0" w:space="0" w:color="auto"/>
                <w:left w:val="none" w:sz="0" w:space="0" w:color="auto"/>
                <w:bottom w:val="none" w:sz="0" w:space="0" w:color="auto"/>
                <w:right w:val="none" w:sz="0" w:space="0" w:color="auto"/>
              </w:divBdr>
            </w:div>
            <w:div w:id="1044990005">
              <w:marLeft w:val="0"/>
              <w:marRight w:val="0"/>
              <w:marTop w:val="0"/>
              <w:marBottom w:val="0"/>
              <w:divBdr>
                <w:top w:val="none" w:sz="0" w:space="0" w:color="auto"/>
                <w:left w:val="none" w:sz="0" w:space="0" w:color="auto"/>
                <w:bottom w:val="none" w:sz="0" w:space="0" w:color="auto"/>
                <w:right w:val="none" w:sz="0" w:space="0" w:color="auto"/>
              </w:divBdr>
            </w:div>
            <w:div w:id="1086075737">
              <w:marLeft w:val="0"/>
              <w:marRight w:val="0"/>
              <w:marTop w:val="0"/>
              <w:marBottom w:val="0"/>
              <w:divBdr>
                <w:top w:val="none" w:sz="0" w:space="0" w:color="auto"/>
                <w:left w:val="none" w:sz="0" w:space="0" w:color="auto"/>
                <w:bottom w:val="none" w:sz="0" w:space="0" w:color="auto"/>
                <w:right w:val="none" w:sz="0" w:space="0" w:color="auto"/>
              </w:divBdr>
            </w:div>
            <w:div w:id="1145006348">
              <w:marLeft w:val="0"/>
              <w:marRight w:val="0"/>
              <w:marTop w:val="0"/>
              <w:marBottom w:val="0"/>
              <w:divBdr>
                <w:top w:val="none" w:sz="0" w:space="0" w:color="auto"/>
                <w:left w:val="none" w:sz="0" w:space="0" w:color="auto"/>
                <w:bottom w:val="none" w:sz="0" w:space="0" w:color="auto"/>
                <w:right w:val="none" w:sz="0" w:space="0" w:color="auto"/>
              </w:divBdr>
            </w:div>
            <w:div w:id="1220439551">
              <w:marLeft w:val="0"/>
              <w:marRight w:val="0"/>
              <w:marTop w:val="0"/>
              <w:marBottom w:val="0"/>
              <w:divBdr>
                <w:top w:val="none" w:sz="0" w:space="0" w:color="auto"/>
                <w:left w:val="none" w:sz="0" w:space="0" w:color="auto"/>
                <w:bottom w:val="none" w:sz="0" w:space="0" w:color="auto"/>
                <w:right w:val="none" w:sz="0" w:space="0" w:color="auto"/>
              </w:divBdr>
            </w:div>
            <w:div w:id="1397702883">
              <w:marLeft w:val="0"/>
              <w:marRight w:val="0"/>
              <w:marTop w:val="0"/>
              <w:marBottom w:val="0"/>
              <w:divBdr>
                <w:top w:val="none" w:sz="0" w:space="0" w:color="auto"/>
                <w:left w:val="none" w:sz="0" w:space="0" w:color="auto"/>
                <w:bottom w:val="none" w:sz="0" w:space="0" w:color="auto"/>
                <w:right w:val="none" w:sz="0" w:space="0" w:color="auto"/>
              </w:divBdr>
            </w:div>
            <w:div w:id="1527136433">
              <w:marLeft w:val="0"/>
              <w:marRight w:val="0"/>
              <w:marTop w:val="0"/>
              <w:marBottom w:val="0"/>
              <w:divBdr>
                <w:top w:val="none" w:sz="0" w:space="0" w:color="auto"/>
                <w:left w:val="none" w:sz="0" w:space="0" w:color="auto"/>
                <w:bottom w:val="none" w:sz="0" w:space="0" w:color="auto"/>
                <w:right w:val="none" w:sz="0" w:space="0" w:color="auto"/>
              </w:divBdr>
            </w:div>
            <w:div w:id="1589539188">
              <w:marLeft w:val="0"/>
              <w:marRight w:val="0"/>
              <w:marTop w:val="0"/>
              <w:marBottom w:val="0"/>
              <w:divBdr>
                <w:top w:val="none" w:sz="0" w:space="0" w:color="auto"/>
                <w:left w:val="none" w:sz="0" w:space="0" w:color="auto"/>
                <w:bottom w:val="none" w:sz="0" w:space="0" w:color="auto"/>
                <w:right w:val="none" w:sz="0" w:space="0" w:color="auto"/>
              </w:divBdr>
            </w:div>
            <w:div w:id="1596742506">
              <w:marLeft w:val="0"/>
              <w:marRight w:val="0"/>
              <w:marTop w:val="0"/>
              <w:marBottom w:val="0"/>
              <w:divBdr>
                <w:top w:val="none" w:sz="0" w:space="0" w:color="auto"/>
                <w:left w:val="none" w:sz="0" w:space="0" w:color="auto"/>
                <w:bottom w:val="none" w:sz="0" w:space="0" w:color="auto"/>
                <w:right w:val="none" w:sz="0" w:space="0" w:color="auto"/>
              </w:divBdr>
            </w:div>
            <w:div w:id="1638606036">
              <w:marLeft w:val="0"/>
              <w:marRight w:val="0"/>
              <w:marTop w:val="0"/>
              <w:marBottom w:val="0"/>
              <w:divBdr>
                <w:top w:val="none" w:sz="0" w:space="0" w:color="auto"/>
                <w:left w:val="none" w:sz="0" w:space="0" w:color="auto"/>
                <w:bottom w:val="none" w:sz="0" w:space="0" w:color="auto"/>
                <w:right w:val="none" w:sz="0" w:space="0" w:color="auto"/>
              </w:divBdr>
            </w:div>
            <w:div w:id="1643000412">
              <w:marLeft w:val="0"/>
              <w:marRight w:val="0"/>
              <w:marTop w:val="0"/>
              <w:marBottom w:val="0"/>
              <w:divBdr>
                <w:top w:val="none" w:sz="0" w:space="0" w:color="auto"/>
                <w:left w:val="none" w:sz="0" w:space="0" w:color="auto"/>
                <w:bottom w:val="none" w:sz="0" w:space="0" w:color="auto"/>
                <w:right w:val="none" w:sz="0" w:space="0" w:color="auto"/>
              </w:divBdr>
            </w:div>
            <w:div w:id="2045446266">
              <w:marLeft w:val="0"/>
              <w:marRight w:val="0"/>
              <w:marTop w:val="0"/>
              <w:marBottom w:val="0"/>
              <w:divBdr>
                <w:top w:val="none" w:sz="0" w:space="0" w:color="auto"/>
                <w:left w:val="none" w:sz="0" w:space="0" w:color="auto"/>
                <w:bottom w:val="none" w:sz="0" w:space="0" w:color="auto"/>
                <w:right w:val="none" w:sz="0" w:space="0" w:color="auto"/>
              </w:divBdr>
            </w:div>
            <w:div w:id="2087190620">
              <w:marLeft w:val="0"/>
              <w:marRight w:val="0"/>
              <w:marTop w:val="0"/>
              <w:marBottom w:val="0"/>
              <w:divBdr>
                <w:top w:val="none" w:sz="0" w:space="0" w:color="auto"/>
                <w:left w:val="none" w:sz="0" w:space="0" w:color="auto"/>
                <w:bottom w:val="none" w:sz="0" w:space="0" w:color="auto"/>
                <w:right w:val="none" w:sz="0" w:space="0" w:color="auto"/>
              </w:divBdr>
            </w:div>
          </w:divsChild>
        </w:div>
        <w:div w:id="1349016808">
          <w:marLeft w:val="0"/>
          <w:marRight w:val="0"/>
          <w:marTop w:val="0"/>
          <w:marBottom w:val="0"/>
          <w:divBdr>
            <w:top w:val="none" w:sz="0" w:space="0" w:color="auto"/>
            <w:left w:val="none" w:sz="0" w:space="0" w:color="auto"/>
            <w:bottom w:val="none" w:sz="0" w:space="0" w:color="auto"/>
            <w:right w:val="none" w:sz="0" w:space="0" w:color="auto"/>
          </w:divBdr>
        </w:div>
        <w:div w:id="1404445747">
          <w:marLeft w:val="0"/>
          <w:marRight w:val="0"/>
          <w:marTop w:val="0"/>
          <w:marBottom w:val="0"/>
          <w:divBdr>
            <w:top w:val="none" w:sz="0" w:space="0" w:color="auto"/>
            <w:left w:val="none" w:sz="0" w:space="0" w:color="auto"/>
            <w:bottom w:val="none" w:sz="0" w:space="0" w:color="auto"/>
            <w:right w:val="none" w:sz="0" w:space="0" w:color="auto"/>
          </w:divBdr>
        </w:div>
        <w:div w:id="1423532429">
          <w:marLeft w:val="0"/>
          <w:marRight w:val="0"/>
          <w:marTop w:val="0"/>
          <w:marBottom w:val="0"/>
          <w:divBdr>
            <w:top w:val="none" w:sz="0" w:space="0" w:color="auto"/>
            <w:left w:val="none" w:sz="0" w:space="0" w:color="auto"/>
            <w:bottom w:val="none" w:sz="0" w:space="0" w:color="auto"/>
            <w:right w:val="none" w:sz="0" w:space="0" w:color="auto"/>
          </w:divBdr>
        </w:div>
        <w:div w:id="1448623743">
          <w:marLeft w:val="0"/>
          <w:marRight w:val="0"/>
          <w:marTop w:val="0"/>
          <w:marBottom w:val="0"/>
          <w:divBdr>
            <w:top w:val="none" w:sz="0" w:space="0" w:color="auto"/>
            <w:left w:val="none" w:sz="0" w:space="0" w:color="auto"/>
            <w:bottom w:val="none" w:sz="0" w:space="0" w:color="auto"/>
            <w:right w:val="none" w:sz="0" w:space="0" w:color="auto"/>
          </w:divBdr>
          <w:divsChild>
            <w:div w:id="52511384">
              <w:marLeft w:val="-75"/>
              <w:marRight w:val="0"/>
              <w:marTop w:val="30"/>
              <w:marBottom w:val="30"/>
              <w:divBdr>
                <w:top w:val="none" w:sz="0" w:space="0" w:color="auto"/>
                <w:left w:val="none" w:sz="0" w:space="0" w:color="auto"/>
                <w:bottom w:val="none" w:sz="0" w:space="0" w:color="auto"/>
                <w:right w:val="none" w:sz="0" w:space="0" w:color="auto"/>
              </w:divBdr>
              <w:divsChild>
                <w:div w:id="103313085">
                  <w:marLeft w:val="0"/>
                  <w:marRight w:val="0"/>
                  <w:marTop w:val="0"/>
                  <w:marBottom w:val="0"/>
                  <w:divBdr>
                    <w:top w:val="none" w:sz="0" w:space="0" w:color="auto"/>
                    <w:left w:val="none" w:sz="0" w:space="0" w:color="auto"/>
                    <w:bottom w:val="none" w:sz="0" w:space="0" w:color="auto"/>
                    <w:right w:val="none" w:sz="0" w:space="0" w:color="auto"/>
                  </w:divBdr>
                  <w:divsChild>
                    <w:div w:id="785854848">
                      <w:marLeft w:val="0"/>
                      <w:marRight w:val="0"/>
                      <w:marTop w:val="0"/>
                      <w:marBottom w:val="0"/>
                      <w:divBdr>
                        <w:top w:val="none" w:sz="0" w:space="0" w:color="auto"/>
                        <w:left w:val="none" w:sz="0" w:space="0" w:color="auto"/>
                        <w:bottom w:val="none" w:sz="0" w:space="0" w:color="auto"/>
                        <w:right w:val="none" w:sz="0" w:space="0" w:color="auto"/>
                      </w:divBdr>
                    </w:div>
                  </w:divsChild>
                </w:div>
                <w:div w:id="322928475">
                  <w:marLeft w:val="0"/>
                  <w:marRight w:val="0"/>
                  <w:marTop w:val="0"/>
                  <w:marBottom w:val="0"/>
                  <w:divBdr>
                    <w:top w:val="none" w:sz="0" w:space="0" w:color="auto"/>
                    <w:left w:val="none" w:sz="0" w:space="0" w:color="auto"/>
                    <w:bottom w:val="none" w:sz="0" w:space="0" w:color="auto"/>
                    <w:right w:val="none" w:sz="0" w:space="0" w:color="auto"/>
                  </w:divBdr>
                  <w:divsChild>
                    <w:div w:id="1819880568">
                      <w:marLeft w:val="0"/>
                      <w:marRight w:val="0"/>
                      <w:marTop w:val="0"/>
                      <w:marBottom w:val="0"/>
                      <w:divBdr>
                        <w:top w:val="none" w:sz="0" w:space="0" w:color="auto"/>
                        <w:left w:val="none" w:sz="0" w:space="0" w:color="auto"/>
                        <w:bottom w:val="none" w:sz="0" w:space="0" w:color="auto"/>
                        <w:right w:val="none" w:sz="0" w:space="0" w:color="auto"/>
                      </w:divBdr>
                    </w:div>
                  </w:divsChild>
                </w:div>
                <w:div w:id="676272915">
                  <w:marLeft w:val="0"/>
                  <w:marRight w:val="0"/>
                  <w:marTop w:val="0"/>
                  <w:marBottom w:val="0"/>
                  <w:divBdr>
                    <w:top w:val="none" w:sz="0" w:space="0" w:color="auto"/>
                    <w:left w:val="none" w:sz="0" w:space="0" w:color="auto"/>
                    <w:bottom w:val="none" w:sz="0" w:space="0" w:color="auto"/>
                    <w:right w:val="none" w:sz="0" w:space="0" w:color="auto"/>
                  </w:divBdr>
                  <w:divsChild>
                    <w:div w:id="2005695434">
                      <w:marLeft w:val="0"/>
                      <w:marRight w:val="0"/>
                      <w:marTop w:val="0"/>
                      <w:marBottom w:val="0"/>
                      <w:divBdr>
                        <w:top w:val="none" w:sz="0" w:space="0" w:color="auto"/>
                        <w:left w:val="none" w:sz="0" w:space="0" w:color="auto"/>
                        <w:bottom w:val="none" w:sz="0" w:space="0" w:color="auto"/>
                        <w:right w:val="none" w:sz="0" w:space="0" w:color="auto"/>
                      </w:divBdr>
                    </w:div>
                  </w:divsChild>
                </w:div>
                <w:div w:id="729305300">
                  <w:marLeft w:val="0"/>
                  <w:marRight w:val="0"/>
                  <w:marTop w:val="0"/>
                  <w:marBottom w:val="0"/>
                  <w:divBdr>
                    <w:top w:val="none" w:sz="0" w:space="0" w:color="auto"/>
                    <w:left w:val="none" w:sz="0" w:space="0" w:color="auto"/>
                    <w:bottom w:val="none" w:sz="0" w:space="0" w:color="auto"/>
                    <w:right w:val="none" w:sz="0" w:space="0" w:color="auto"/>
                  </w:divBdr>
                  <w:divsChild>
                    <w:div w:id="1757358167">
                      <w:marLeft w:val="0"/>
                      <w:marRight w:val="0"/>
                      <w:marTop w:val="0"/>
                      <w:marBottom w:val="0"/>
                      <w:divBdr>
                        <w:top w:val="none" w:sz="0" w:space="0" w:color="auto"/>
                        <w:left w:val="none" w:sz="0" w:space="0" w:color="auto"/>
                        <w:bottom w:val="none" w:sz="0" w:space="0" w:color="auto"/>
                        <w:right w:val="none" w:sz="0" w:space="0" w:color="auto"/>
                      </w:divBdr>
                    </w:div>
                  </w:divsChild>
                </w:div>
                <w:div w:id="1051420899">
                  <w:marLeft w:val="0"/>
                  <w:marRight w:val="0"/>
                  <w:marTop w:val="0"/>
                  <w:marBottom w:val="0"/>
                  <w:divBdr>
                    <w:top w:val="none" w:sz="0" w:space="0" w:color="auto"/>
                    <w:left w:val="none" w:sz="0" w:space="0" w:color="auto"/>
                    <w:bottom w:val="none" w:sz="0" w:space="0" w:color="auto"/>
                    <w:right w:val="none" w:sz="0" w:space="0" w:color="auto"/>
                  </w:divBdr>
                  <w:divsChild>
                    <w:div w:id="1892882762">
                      <w:marLeft w:val="0"/>
                      <w:marRight w:val="0"/>
                      <w:marTop w:val="0"/>
                      <w:marBottom w:val="0"/>
                      <w:divBdr>
                        <w:top w:val="none" w:sz="0" w:space="0" w:color="auto"/>
                        <w:left w:val="none" w:sz="0" w:space="0" w:color="auto"/>
                        <w:bottom w:val="none" w:sz="0" w:space="0" w:color="auto"/>
                        <w:right w:val="none" w:sz="0" w:space="0" w:color="auto"/>
                      </w:divBdr>
                    </w:div>
                  </w:divsChild>
                </w:div>
                <w:div w:id="1792552022">
                  <w:marLeft w:val="0"/>
                  <w:marRight w:val="0"/>
                  <w:marTop w:val="0"/>
                  <w:marBottom w:val="0"/>
                  <w:divBdr>
                    <w:top w:val="none" w:sz="0" w:space="0" w:color="auto"/>
                    <w:left w:val="none" w:sz="0" w:space="0" w:color="auto"/>
                    <w:bottom w:val="none" w:sz="0" w:space="0" w:color="auto"/>
                    <w:right w:val="none" w:sz="0" w:space="0" w:color="auto"/>
                  </w:divBdr>
                  <w:divsChild>
                    <w:div w:id="2112356862">
                      <w:marLeft w:val="0"/>
                      <w:marRight w:val="0"/>
                      <w:marTop w:val="0"/>
                      <w:marBottom w:val="0"/>
                      <w:divBdr>
                        <w:top w:val="none" w:sz="0" w:space="0" w:color="auto"/>
                        <w:left w:val="none" w:sz="0" w:space="0" w:color="auto"/>
                        <w:bottom w:val="none" w:sz="0" w:space="0" w:color="auto"/>
                        <w:right w:val="none" w:sz="0" w:space="0" w:color="auto"/>
                      </w:divBdr>
                    </w:div>
                  </w:divsChild>
                </w:div>
                <w:div w:id="2050253961">
                  <w:marLeft w:val="0"/>
                  <w:marRight w:val="0"/>
                  <w:marTop w:val="0"/>
                  <w:marBottom w:val="0"/>
                  <w:divBdr>
                    <w:top w:val="none" w:sz="0" w:space="0" w:color="auto"/>
                    <w:left w:val="none" w:sz="0" w:space="0" w:color="auto"/>
                    <w:bottom w:val="none" w:sz="0" w:space="0" w:color="auto"/>
                    <w:right w:val="none" w:sz="0" w:space="0" w:color="auto"/>
                  </w:divBdr>
                  <w:divsChild>
                    <w:div w:id="1660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78140">
          <w:marLeft w:val="0"/>
          <w:marRight w:val="0"/>
          <w:marTop w:val="0"/>
          <w:marBottom w:val="0"/>
          <w:divBdr>
            <w:top w:val="none" w:sz="0" w:space="0" w:color="auto"/>
            <w:left w:val="none" w:sz="0" w:space="0" w:color="auto"/>
            <w:bottom w:val="none" w:sz="0" w:space="0" w:color="auto"/>
            <w:right w:val="none" w:sz="0" w:space="0" w:color="auto"/>
          </w:divBdr>
        </w:div>
        <w:div w:id="1527282011">
          <w:marLeft w:val="0"/>
          <w:marRight w:val="0"/>
          <w:marTop w:val="0"/>
          <w:marBottom w:val="0"/>
          <w:divBdr>
            <w:top w:val="none" w:sz="0" w:space="0" w:color="auto"/>
            <w:left w:val="none" w:sz="0" w:space="0" w:color="auto"/>
            <w:bottom w:val="none" w:sz="0" w:space="0" w:color="auto"/>
            <w:right w:val="none" w:sz="0" w:space="0" w:color="auto"/>
          </w:divBdr>
        </w:div>
        <w:div w:id="1556503738">
          <w:marLeft w:val="0"/>
          <w:marRight w:val="0"/>
          <w:marTop w:val="0"/>
          <w:marBottom w:val="0"/>
          <w:divBdr>
            <w:top w:val="none" w:sz="0" w:space="0" w:color="auto"/>
            <w:left w:val="none" w:sz="0" w:space="0" w:color="auto"/>
            <w:bottom w:val="none" w:sz="0" w:space="0" w:color="auto"/>
            <w:right w:val="none" w:sz="0" w:space="0" w:color="auto"/>
          </w:divBdr>
        </w:div>
        <w:div w:id="1592736999">
          <w:marLeft w:val="0"/>
          <w:marRight w:val="0"/>
          <w:marTop w:val="0"/>
          <w:marBottom w:val="0"/>
          <w:divBdr>
            <w:top w:val="none" w:sz="0" w:space="0" w:color="auto"/>
            <w:left w:val="none" w:sz="0" w:space="0" w:color="auto"/>
            <w:bottom w:val="none" w:sz="0" w:space="0" w:color="auto"/>
            <w:right w:val="none" w:sz="0" w:space="0" w:color="auto"/>
          </w:divBdr>
        </w:div>
        <w:div w:id="1630554972">
          <w:marLeft w:val="0"/>
          <w:marRight w:val="0"/>
          <w:marTop w:val="0"/>
          <w:marBottom w:val="0"/>
          <w:divBdr>
            <w:top w:val="none" w:sz="0" w:space="0" w:color="auto"/>
            <w:left w:val="none" w:sz="0" w:space="0" w:color="auto"/>
            <w:bottom w:val="none" w:sz="0" w:space="0" w:color="auto"/>
            <w:right w:val="none" w:sz="0" w:space="0" w:color="auto"/>
          </w:divBdr>
          <w:divsChild>
            <w:div w:id="1517750">
              <w:marLeft w:val="0"/>
              <w:marRight w:val="0"/>
              <w:marTop w:val="0"/>
              <w:marBottom w:val="0"/>
              <w:divBdr>
                <w:top w:val="none" w:sz="0" w:space="0" w:color="auto"/>
                <w:left w:val="none" w:sz="0" w:space="0" w:color="auto"/>
                <w:bottom w:val="none" w:sz="0" w:space="0" w:color="auto"/>
                <w:right w:val="none" w:sz="0" w:space="0" w:color="auto"/>
              </w:divBdr>
            </w:div>
            <w:div w:id="5983700">
              <w:marLeft w:val="0"/>
              <w:marRight w:val="0"/>
              <w:marTop w:val="0"/>
              <w:marBottom w:val="0"/>
              <w:divBdr>
                <w:top w:val="none" w:sz="0" w:space="0" w:color="auto"/>
                <w:left w:val="none" w:sz="0" w:space="0" w:color="auto"/>
                <w:bottom w:val="none" w:sz="0" w:space="0" w:color="auto"/>
                <w:right w:val="none" w:sz="0" w:space="0" w:color="auto"/>
              </w:divBdr>
            </w:div>
            <w:div w:id="186531296">
              <w:marLeft w:val="0"/>
              <w:marRight w:val="0"/>
              <w:marTop w:val="0"/>
              <w:marBottom w:val="0"/>
              <w:divBdr>
                <w:top w:val="none" w:sz="0" w:space="0" w:color="auto"/>
                <w:left w:val="none" w:sz="0" w:space="0" w:color="auto"/>
                <w:bottom w:val="none" w:sz="0" w:space="0" w:color="auto"/>
                <w:right w:val="none" w:sz="0" w:space="0" w:color="auto"/>
              </w:divBdr>
            </w:div>
            <w:div w:id="240800200">
              <w:marLeft w:val="0"/>
              <w:marRight w:val="0"/>
              <w:marTop w:val="0"/>
              <w:marBottom w:val="0"/>
              <w:divBdr>
                <w:top w:val="none" w:sz="0" w:space="0" w:color="auto"/>
                <w:left w:val="none" w:sz="0" w:space="0" w:color="auto"/>
                <w:bottom w:val="none" w:sz="0" w:space="0" w:color="auto"/>
                <w:right w:val="none" w:sz="0" w:space="0" w:color="auto"/>
              </w:divBdr>
            </w:div>
            <w:div w:id="381053115">
              <w:marLeft w:val="0"/>
              <w:marRight w:val="0"/>
              <w:marTop w:val="0"/>
              <w:marBottom w:val="0"/>
              <w:divBdr>
                <w:top w:val="none" w:sz="0" w:space="0" w:color="auto"/>
                <w:left w:val="none" w:sz="0" w:space="0" w:color="auto"/>
                <w:bottom w:val="none" w:sz="0" w:space="0" w:color="auto"/>
                <w:right w:val="none" w:sz="0" w:space="0" w:color="auto"/>
              </w:divBdr>
            </w:div>
            <w:div w:id="428426165">
              <w:marLeft w:val="0"/>
              <w:marRight w:val="0"/>
              <w:marTop w:val="0"/>
              <w:marBottom w:val="0"/>
              <w:divBdr>
                <w:top w:val="none" w:sz="0" w:space="0" w:color="auto"/>
                <w:left w:val="none" w:sz="0" w:space="0" w:color="auto"/>
                <w:bottom w:val="none" w:sz="0" w:space="0" w:color="auto"/>
                <w:right w:val="none" w:sz="0" w:space="0" w:color="auto"/>
              </w:divBdr>
            </w:div>
            <w:div w:id="483475618">
              <w:marLeft w:val="0"/>
              <w:marRight w:val="0"/>
              <w:marTop w:val="0"/>
              <w:marBottom w:val="0"/>
              <w:divBdr>
                <w:top w:val="none" w:sz="0" w:space="0" w:color="auto"/>
                <w:left w:val="none" w:sz="0" w:space="0" w:color="auto"/>
                <w:bottom w:val="none" w:sz="0" w:space="0" w:color="auto"/>
                <w:right w:val="none" w:sz="0" w:space="0" w:color="auto"/>
              </w:divBdr>
            </w:div>
            <w:div w:id="629212607">
              <w:marLeft w:val="0"/>
              <w:marRight w:val="0"/>
              <w:marTop w:val="0"/>
              <w:marBottom w:val="0"/>
              <w:divBdr>
                <w:top w:val="none" w:sz="0" w:space="0" w:color="auto"/>
                <w:left w:val="none" w:sz="0" w:space="0" w:color="auto"/>
                <w:bottom w:val="none" w:sz="0" w:space="0" w:color="auto"/>
                <w:right w:val="none" w:sz="0" w:space="0" w:color="auto"/>
              </w:divBdr>
            </w:div>
            <w:div w:id="689914946">
              <w:marLeft w:val="0"/>
              <w:marRight w:val="0"/>
              <w:marTop w:val="0"/>
              <w:marBottom w:val="0"/>
              <w:divBdr>
                <w:top w:val="none" w:sz="0" w:space="0" w:color="auto"/>
                <w:left w:val="none" w:sz="0" w:space="0" w:color="auto"/>
                <w:bottom w:val="none" w:sz="0" w:space="0" w:color="auto"/>
                <w:right w:val="none" w:sz="0" w:space="0" w:color="auto"/>
              </w:divBdr>
            </w:div>
            <w:div w:id="791559178">
              <w:marLeft w:val="0"/>
              <w:marRight w:val="0"/>
              <w:marTop w:val="0"/>
              <w:marBottom w:val="0"/>
              <w:divBdr>
                <w:top w:val="none" w:sz="0" w:space="0" w:color="auto"/>
                <w:left w:val="none" w:sz="0" w:space="0" w:color="auto"/>
                <w:bottom w:val="none" w:sz="0" w:space="0" w:color="auto"/>
                <w:right w:val="none" w:sz="0" w:space="0" w:color="auto"/>
              </w:divBdr>
            </w:div>
            <w:div w:id="895164150">
              <w:marLeft w:val="0"/>
              <w:marRight w:val="0"/>
              <w:marTop w:val="0"/>
              <w:marBottom w:val="0"/>
              <w:divBdr>
                <w:top w:val="none" w:sz="0" w:space="0" w:color="auto"/>
                <w:left w:val="none" w:sz="0" w:space="0" w:color="auto"/>
                <w:bottom w:val="none" w:sz="0" w:space="0" w:color="auto"/>
                <w:right w:val="none" w:sz="0" w:space="0" w:color="auto"/>
              </w:divBdr>
            </w:div>
            <w:div w:id="1227258066">
              <w:marLeft w:val="0"/>
              <w:marRight w:val="0"/>
              <w:marTop w:val="0"/>
              <w:marBottom w:val="0"/>
              <w:divBdr>
                <w:top w:val="none" w:sz="0" w:space="0" w:color="auto"/>
                <w:left w:val="none" w:sz="0" w:space="0" w:color="auto"/>
                <w:bottom w:val="none" w:sz="0" w:space="0" w:color="auto"/>
                <w:right w:val="none" w:sz="0" w:space="0" w:color="auto"/>
              </w:divBdr>
            </w:div>
            <w:div w:id="1326931361">
              <w:marLeft w:val="0"/>
              <w:marRight w:val="0"/>
              <w:marTop w:val="0"/>
              <w:marBottom w:val="0"/>
              <w:divBdr>
                <w:top w:val="none" w:sz="0" w:space="0" w:color="auto"/>
                <w:left w:val="none" w:sz="0" w:space="0" w:color="auto"/>
                <w:bottom w:val="none" w:sz="0" w:space="0" w:color="auto"/>
                <w:right w:val="none" w:sz="0" w:space="0" w:color="auto"/>
              </w:divBdr>
            </w:div>
            <w:div w:id="1342661075">
              <w:marLeft w:val="0"/>
              <w:marRight w:val="0"/>
              <w:marTop w:val="0"/>
              <w:marBottom w:val="0"/>
              <w:divBdr>
                <w:top w:val="none" w:sz="0" w:space="0" w:color="auto"/>
                <w:left w:val="none" w:sz="0" w:space="0" w:color="auto"/>
                <w:bottom w:val="none" w:sz="0" w:space="0" w:color="auto"/>
                <w:right w:val="none" w:sz="0" w:space="0" w:color="auto"/>
              </w:divBdr>
            </w:div>
            <w:div w:id="1494028627">
              <w:marLeft w:val="0"/>
              <w:marRight w:val="0"/>
              <w:marTop w:val="0"/>
              <w:marBottom w:val="0"/>
              <w:divBdr>
                <w:top w:val="none" w:sz="0" w:space="0" w:color="auto"/>
                <w:left w:val="none" w:sz="0" w:space="0" w:color="auto"/>
                <w:bottom w:val="none" w:sz="0" w:space="0" w:color="auto"/>
                <w:right w:val="none" w:sz="0" w:space="0" w:color="auto"/>
              </w:divBdr>
            </w:div>
            <w:div w:id="1521167802">
              <w:marLeft w:val="0"/>
              <w:marRight w:val="0"/>
              <w:marTop w:val="0"/>
              <w:marBottom w:val="0"/>
              <w:divBdr>
                <w:top w:val="none" w:sz="0" w:space="0" w:color="auto"/>
                <w:left w:val="none" w:sz="0" w:space="0" w:color="auto"/>
                <w:bottom w:val="none" w:sz="0" w:space="0" w:color="auto"/>
                <w:right w:val="none" w:sz="0" w:space="0" w:color="auto"/>
              </w:divBdr>
            </w:div>
            <w:div w:id="1630353869">
              <w:marLeft w:val="0"/>
              <w:marRight w:val="0"/>
              <w:marTop w:val="0"/>
              <w:marBottom w:val="0"/>
              <w:divBdr>
                <w:top w:val="none" w:sz="0" w:space="0" w:color="auto"/>
                <w:left w:val="none" w:sz="0" w:space="0" w:color="auto"/>
                <w:bottom w:val="none" w:sz="0" w:space="0" w:color="auto"/>
                <w:right w:val="none" w:sz="0" w:space="0" w:color="auto"/>
              </w:divBdr>
            </w:div>
            <w:div w:id="1706053472">
              <w:marLeft w:val="0"/>
              <w:marRight w:val="0"/>
              <w:marTop w:val="0"/>
              <w:marBottom w:val="0"/>
              <w:divBdr>
                <w:top w:val="none" w:sz="0" w:space="0" w:color="auto"/>
                <w:left w:val="none" w:sz="0" w:space="0" w:color="auto"/>
                <w:bottom w:val="none" w:sz="0" w:space="0" w:color="auto"/>
                <w:right w:val="none" w:sz="0" w:space="0" w:color="auto"/>
              </w:divBdr>
            </w:div>
            <w:div w:id="1913343988">
              <w:marLeft w:val="0"/>
              <w:marRight w:val="0"/>
              <w:marTop w:val="0"/>
              <w:marBottom w:val="0"/>
              <w:divBdr>
                <w:top w:val="none" w:sz="0" w:space="0" w:color="auto"/>
                <w:left w:val="none" w:sz="0" w:space="0" w:color="auto"/>
                <w:bottom w:val="none" w:sz="0" w:space="0" w:color="auto"/>
                <w:right w:val="none" w:sz="0" w:space="0" w:color="auto"/>
              </w:divBdr>
            </w:div>
            <w:div w:id="2027902022">
              <w:marLeft w:val="0"/>
              <w:marRight w:val="0"/>
              <w:marTop w:val="0"/>
              <w:marBottom w:val="0"/>
              <w:divBdr>
                <w:top w:val="none" w:sz="0" w:space="0" w:color="auto"/>
                <w:left w:val="none" w:sz="0" w:space="0" w:color="auto"/>
                <w:bottom w:val="none" w:sz="0" w:space="0" w:color="auto"/>
                <w:right w:val="none" w:sz="0" w:space="0" w:color="auto"/>
              </w:divBdr>
            </w:div>
          </w:divsChild>
        </w:div>
        <w:div w:id="1703245222">
          <w:marLeft w:val="0"/>
          <w:marRight w:val="0"/>
          <w:marTop w:val="0"/>
          <w:marBottom w:val="0"/>
          <w:divBdr>
            <w:top w:val="none" w:sz="0" w:space="0" w:color="auto"/>
            <w:left w:val="none" w:sz="0" w:space="0" w:color="auto"/>
            <w:bottom w:val="none" w:sz="0" w:space="0" w:color="auto"/>
            <w:right w:val="none" w:sz="0" w:space="0" w:color="auto"/>
          </w:divBdr>
        </w:div>
        <w:div w:id="1722745816">
          <w:marLeft w:val="0"/>
          <w:marRight w:val="0"/>
          <w:marTop w:val="0"/>
          <w:marBottom w:val="0"/>
          <w:divBdr>
            <w:top w:val="none" w:sz="0" w:space="0" w:color="auto"/>
            <w:left w:val="none" w:sz="0" w:space="0" w:color="auto"/>
            <w:bottom w:val="none" w:sz="0" w:space="0" w:color="auto"/>
            <w:right w:val="none" w:sz="0" w:space="0" w:color="auto"/>
          </w:divBdr>
        </w:div>
        <w:div w:id="1731079858">
          <w:marLeft w:val="0"/>
          <w:marRight w:val="0"/>
          <w:marTop w:val="0"/>
          <w:marBottom w:val="0"/>
          <w:divBdr>
            <w:top w:val="none" w:sz="0" w:space="0" w:color="auto"/>
            <w:left w:val="none" w:sz="0" w:space="0" w:color="auto"/>
            <w:bottom w:val="none" w:sz="0" w:space="0" w:color="auto"/>
            <w:right w:val="none" w:sz="0" w:space="0" w:color="auto"/>
          </w:divBdr>
        </w:div>
        <w:div w:id="1732850766">
          <w:marLeft w:val="0"/>
          <w:marRight w:val="0"/>
          <w:marTop w:val="0"/>
          <w:marBottom w:val="0"/>
          <w:divBdr>
            <w:top w:val="none" w:sz="0" w:space="0" w:color="auto"/>
            <w:left w:val="none" w:sz="0" w:space="0" w:color="auto"/>
            <w:bottom w:val="none" w:sz="0" w:space="0" w:color="auto"/>
            <w:right w:val="none" w:sz="0" w:space="0" w:color="auto"/>
          </w:divBdr>
        </w:div>
        <w:div w:id="1757631075">
          <w:marLeft w:val="0"/>
          <w:marRight w:val="0"/>
          <w:marTop w:val="0"/>
          <w:marBottom w:val="0"/>
          <w:divBdr>
            <w:top w:val="none" w:sz="0" w:space="0" w:color="auto"/>
            <w:left w:val="none" w:sz="0" w:space="0" w:color="auto"/>
            <w:bottom w:val="none" w:sz="0" w:space="0" w:color="auto"/>
            <w:right w:val="none" w:sz="0" w:space="0" w:color="auto"/>
          </w:divBdr>
        </w:div>
        <w:div w:id="1870339429">
          <w:marLeft w:val="0"/>
          <w:marRight w:val="0"/>
          <w:marTop w:val="0"/>
          <w:marBottom w:val="0"/>
          <w:divBdr>
            <w:top w:val="none" w:sz="0" w:space="0" w:color="auto"/>
            <w:left w:val="none" w:sz="0" w:space="0" w:color="auto"/>
            <w:bottom w:val="none" w:sz="0" w:space="0" w:color="auto"/>
            <w:right w:val="none" w:sz="0" w:space="0" w:color="auto"/>
          </w:divBdr>
        </w:div>
        <w:div w:id="1879661179">
          <w:marLeft w:val="0"/>
          <w:marRight w:val="0"/>
          <w:marTop w:val="0"/>
          <w:marBottom w:val="0"/>
          <w:divBdr>
            <w:top w:val="none" w:sz="0" w:space="0" w:color="auto"/>
            <w:left w:val="none" w:sz="0" w:space="0" w:color="auto"/>
            <w:bottom w:val="none" w:sz="0" w:space="0" w:color="auto"/>
            <w:right w:val="none" w:sz="0" w:space="0" w:color="auto"/>
          </w:divBdr>
        </w:div>
        <w:div w:id="1910533698">
          <w:marLeft w:val="0"/>
          <w:marRight w:val="0"/>
          <w:marTop w:val="0"/>
          <w:marBottom w:val="0"/>
          <w:divBdr>
            <w:top w:val="none" w:sz="0" w:space="0" w:color="auto"/>
            <w:left w:val="none" w:sz="0" w:space="0" w:color="auto"/>
            <w:bottom w:val="none" w:sz="0" w:space="0" w:color="auto"/>
            <w:right w:val="none" w:sz="0" w:space="0" w:color="auto"/>
          </w:divBdr>
        </w:div>
        <w:div w:id="1911697465">
          <w:marLeft w:val="0"/>
          <w:marRight w:val="0"/>
          <w:marTop w:val="0"/>
          <w:marBottom w:val="0"/>
          <w:divBdr>
            <w:top w:val="none" w:sz="0" w:space="0" w:color="auto"/>
            <w:left w:val="none" w:sz="0" w:space="0" w:color="auto"/>
            <w:bottom w:val="none" w:sz="0" w:space="0" w:color="auto"/>
            <w:right w:val="none" w:sz="0" w:space="0" w:color="auto"/>
          </w:divBdr>
        </w:div>
        <w:div w:id="1951859426">
          <w:marLeft w:val="0"/>
          <w:marRight w:val="0"/>
          <w:marTop w:val="0"/>
          <w:marBottom w:val="0"/>
          <w:divBdr>
            <w:top w:val="none" w:sz="0" w:space="0" w:color="auto"/>
            <w:left w:val="none" w:sz="0" w:space="0" w:color="auto"/>
            <w:bottom w:val="none" w:sz="0" w:space="0" w:color="auto"/>
            <w:right w:val="none" w:sz="0" w:space="0" w:color="auto"/>
          </w:divBdr>
        </w:div>
        <w:div w:id="1991010179">
          <w:marLeft w:val="0"/>
          <w:marRight w:val="0"/>
          <w:marTop w:val="0"/>
          <w:marBottom w:val="0"/>
          <w:divBdr>
            <w:top w:val="none" w:sz="0" w:space="0" w:color="auto"/>
            <w:left w:val="none" w:sz="0" w:space="0" w:color="auto"/>
            <w:bottom w:val="none" w:sz="0" w:space="0" w:color="auto"/>
            <w:right w:val="none" w:sz="0" w:space="0" w:color="auto"/>
          </w:divBdr>
        </w:div>
        <w:div w:id="2083670956">
          <w:marLeft w:val="0"/>
          <w:marRight w:val="0"/>
          <w:marTop w:val="0"/>
          <w:marBottom w:val="0"/>
          <w:divBdr>
            <w:top w:val="none" w:sz="0" w:space="0" w:color="auto"/>
            <w:left w:val="none" w:sz="0" w:space="0" w:color="auto"/>
            <w:bottom w:val="none" w:sz="0" w:space="0" w:color="auto"/>
            <w:right w:val="none" w:sz="0" w:space="0" w:color="auto"/>
          </w:divBdr>
        </w:div>
      </w:divsChild>
    </w:div>
    <w:div w:id="457189422">
      <w:bodyDiv w:val="1"/>
      <w:marLeft w:val="0"/>
      <w:marRight w:val="0"/>
      <w:marTop w:val="0"/>
      <w:marBottom w:val="0"/>
      <w:divBdr>
        <w:top w:val="none" w:sz="0" w:space="0" w:color="auto"/>
        <w:left w:val="none" w:sz="0" w:space="0" w:color="auto"/>
        <w:bottom w:val="none" w:sz="0" w:space="0" w:color="auto"/>
        <w:right w:val="none" w:sz="0" w:space="0" w:color="auto"/>
      </w:divBdr>
    </w:div>
    <w:div w:id="479157642">
      <w:bodyDiv w:val="1"/>
      <w:marLeft w:val="0"/>
      <w:marRight w:val="0"/>
      <w:marTop w:val="0"/>
      <w:marBottom w:val="0"/>
      <w:divBdr>
        <w:top w:val="none" w:sz="0" w:space="0" w:color="auto"/>
        <w:left w:val="none" w:sz="0" w:space="0" w:color="auto"/>
        <w:bottom w:val="none" w:sz="0" w:space="0" w:color="auto"/>
        <w:right w:val="none" w:sz="0" w:space="0" w:color="auto"/>
      </w:divBdr>
      <w:divsChild>
        <w:div w:id="11499659">
          <w:marLeft w:val="0"/>
          <w:marRight w:val="0"/>
          <w:marTop w:val="0"/>
          <w:marBottom w:val="0"/>
          <w:divBdr>
            <w:top w:val="none" w:sz="0" w:space="0" w:color="auto"/>
            <w:left w:val="none" w:sz="0" w:space="0" w:color="auto"/>
            <w:bottom w:val="none" w:sz="0" w:space="0" w:color="auto"/>
            <w:right w:val="none" w:sz="0" w:space="0" w:color="auto"/>
          </w:divBdr>
        </w:div>
        <w:div w:id="276109976">
          <w:marLeft w:val="0"/>
          <w:marRight w:val="0"/>
          <w:marTop w:val="0"/>
          <w:marBottom w:val="0"/>
          <w:divBdr>
            <w:top w:val="none" w:sz="0" w:space="0" w:color="auto"/>
            <w:left w:val="none" w:sz="0" w:space="0" w:color="auto"/>
            <w:bottom w:val="none" w:sz="0" w:space="0" w:color="auto"/>
            <w:right w:val="none" w:sz="0" w:space="0" w:color="auto"/>
          </w:divBdr>
        </w:div>
        <w:div w:id="1281035515">
          <w:marLeft w:val="0"/>
          <w:marRight w:val="0"/>
          <w:marTop w:val="0"/>
          <w:marBottom w:val="0"/>
          <w:divBdr>
            <w:top w:val="none" w:sz="0" w:space="0" w:color="auto"/>
            <w:left w:val="none" w:sz="0" w:space="0" w:color="auto"/>
            <w:bottom w:val="none" w:sz="0" w:space="0" w:color="auto"/>
            <w:right w:val="none" w:sz="0" w:space="0" w:color="auto"/>
          </w:divBdr>
        </w:div>
        <w:div w:id="1297099093">
          <w:marLeft w:val="0"/>
          <w:marRight w:val="0"/>
          <w:marTop w:val="0"/>
          <w:marBottom w:val="0"/>
          <w:divBdr>
            <w:top w:val="none" w:sz="0" w:space="0" w:color="auto"/>
            <w:left w:val="none" w:sz="0" w:space="0" w:color="auto"/>
            <w:bottom w:val="none" w:sz="0" w:space="0" w:color="auto"/>
            <w:right w:val="none" w:sz="0" w:space="0" w:color="auto"/>
          </w:divBdr>
        </w:div>
        <w:div w:id="1924799878">
          <w:marLeft w:val="0"/>
          <w:marRight w:val="0"/>
          <w:marTop w:val="0"/>
          <w:marBottom w:val="0"/>
          <w:divBdr>
            <w:top w:val="none" w:sz="0" w:space="0" w:color="auto"/>
            <w:left w:val="none" w:sz="0" w:space="0" w:color="auto"/>
            <w:bottom w:val="none" w:sz="0" w:space="0" w:color="auto"/>
            <w:right w:val="none" w:sz="0" w:space="0" w:color="auto"/>
          </w:divBdr>
        </w:div>
      </w:divsChild>
    </w:div>
    <w:div w:id="486942159">
      <w:bodyDiv w:val="1"/>
      <w:marLeft w:val="0"/>
      <w:marRight w:val="0"/>
      <w:marTop w:val="0"/>
      <w:marBottom w:val="0"/>
      <w:divBdr>
        <w:top w:val="none" w:sz="0" w:space="0" w:color="auto"/>
        <w:left w:val="none" w:sz="0" w:space="0" w:color="auto"/>
        <w:bottom w:val="none" w:sz="0" w:space="0" w:color="auto"/>
        <w:right w:val="none" w:sz="0" w:space="0" w:color="auto"/>
      </w:divBdr>
      <w:divsChild>
        <w:div w:id="363411777">
          <w:marLeft w:val="0"/>
          <w:marRight w:val="0"/>
          <w:marTop w:val="0"/>
          <w:marBottom w:val="0"/>
          <w:divBdr>
            <w:top w:val="none" w:sz="0" w:space="0" w:color="auto"/>
            <w:left w:val="none" w:sz="0" w:space="0" w:color="auto"/>
            <w:bottom w:val="none" w:sz="0" w:space="0" w:color="auto"/>
            <w:right w:val="none" w:sz="0" w:space="0" w:color="auto"/>
          </w:divBdr>
        </w:div>
        <w:div w:id="1553804492">
          <w:marLeft w:val="0"/>
          <w:marRight w:val="0"/>
          <w:marTop w:val="0"/>
          <w:marBottom w:val="0"/>
          <w:divBdr>
            <w:top w:val="none" w:sz="0" w:space="0" w:color="auto"/>
            <w:left w:val="none" w:sz="0" w:space="0" w:color="auto"/>
            <w:bottom w:val="none" w:sz="0" w:space="0" w:color="auto"/>
            <w:right w:val="none" w:sz="0" w:space="0" w:color="auto"/>
          </w:divBdr>
        </w:div>
      </w:divsChild>
    </w:div>
    <w:div w:id="517504426">
      <w:bodyDiv w:val="1"/>
      <w:marLeft w:val="0"/>
      <w:marRight w:val="0"/>
      <w:marTop w:val="0"/>
      <w:marBottom w:val="0"/>
      <w:divBdr>
        <w:top w:val="none" w:sz="0" w:space="0" w:color="auto"/>
        <w:left w:val="none" w:sz="0" w:space="0" w:color="auto"/>
        <w:bottom w:val="none" w:sz="0" w:space="0" w:color="auto"/>
        <w:right w:val="none" w:sz="0" w:space="0" w:color="auto"/>
      </w:divBdr>
      <w:divsChild>
        <w:div w:id="369458873">
          <w:marLeft w:val="0"/>
          <w:marRight w:val="0"/>
          <w:marTop w:val="0"/>
          <w:marBottom w:val="0"/>
          <w:divBdr>
            <w:top w:val="none" w:sz="0" w:space="0" w:color="auto"/>
            <w:left w:val="none" w:sz="0" w:space="0" w:color="auto"/>
            <w:bottom w:val="none" w:sz="0" w:space="0" w:color="auto"/>
            <w:right w:val="none" w:sz="0" w:space="0" w:color="auto"/>
          </w:divBdr>
        </w:div>
        <w:div w:id="890188574">
          <w:marLeft w:val="0"/>
          <w:marRight w:val="0"/>
          <w:marTop w:val="0"/>
          <w:marBottom w:val="0"/>
          <w:divBdr>
            <w:top w:val="none" w:sz="0" w:space="0" w:color="auto"/>
            <w:left w:val="none" w:sz="0" w:space="0" w:color="auto"/>
            <w:bottom w:val="none" w:sz="0" w:space="0" w:color="auto"/>
            <w:right w:val="none" w:sz="0" w:space="0" w:color="auto"/>
          </w:divBdr>
        </w:div>
      </w:divsChild>
    </w:div>
    <w:div w:id="535657859">
      <w:bodyDiv w:val="1"/>
      <w:marLeft w:val="0"/>
      <w:marRight w:val="0"/>
      <w:marTop w:val="0"/>
      <w:marBottom w:val="0"/>
      <w:divBdr>
        <w:top w:val="none" w:sz="0" w:space="0" w:color="auto"/>
        <w:left w:val="none" w:sz="0" w:space="0" w:color="auto"/>
        <w:bottom w:val="none" w:sz="0" w:space="0" w:color="auto"/>
        <w:right w:val="none" w:sz="0" w:space="0" w:color="auto"/>
      </w:divBdr>
      <w:divsChild>
        <w:div w:id="1276207505">
          <w:marLeft w:val="0"/>
          <w:marRight w:val="0"/>
          <w:marTop w:val="0"/>
          <w:marBottom w:val="0"/>
          <w:divBdr>
            <w:top w:val="none" w:sz="0" w:space="0" w:color="auto"/>
            <w:left w:val="none" w:sz="0" w:space="0" w:color="auto"/>
            <w:bottom w:val="none" w:sz="0" w:space="0" w:color="auto"/>
            <w:right w:val="none" w:sz="0" w:space="0" w:color="auto"/>
          </w:divBdr>
          <w:divsChild>
            <w:div w:id="251476544">
              <w:marLeft w:val="0"/>
              <w:marRight w:val="0"/>
              <w:marTop w:val="30"/>
              <w:marBottom w:val="30"/>
              <w:divBdr>
                <w:top w:val="none" w:sz="0" w:space="0" w:color="auto"/>
                <w:left w:val="none" w:sz="0" w:space="0" w:color="auto"/>
                <w:bottom w:val="none" w:sz="0" w:space="0" w:color="auto"/>
                <w:right w:val="none" w:sz="0" w:space="0" w:color="auto"/>
              </w:divBdr>
              <w:divsChild>
                <w:div w:id="271668847">
                  <w:marLeft w:val="0"/>
                  <w:marRight w:val="0"/>
                  <w:marTop w:val="0"/>
                  <w:marBottom w:val="0"/>
                  <w:divBdr>
                    <w:top w:val="none" w:sz="0" w:space="0" w:color="auto"/>
                    <w:left w:val="none" w:sz="0" w:space="0" w:color="auto"/>
                    <w:bottom w:val="none" w:sz="0" w:space="0" w:color="auto"/>
                    <w:right w:val="none" w:sz="0" w:space="0" w:color="auto"/>
                  </w:divBdr>
                  <w:divsChild>
                    <w:div w:id="892085718">
                      <w:marLeft w:val="0"/>
                      <w:marRight w:val="0"/>
                      <w:marTop w:val="0"/>
                      <w:marBottom w:val="0"/>
                      <w:divBdr>
                        <w:top w:val="none" w:sz="0" w:space="0" w:color="auto"/>
                        <w:left w:val="none" w:sz="0" w:space="0" w:color="auto"/>
                        <w:bottom w:val="none" w:sz="0" w:space="0" w:color="auto"/>
                        <w:right w:val="none" w:sz="0" w:space="0" w:color="auto"/>
                      </w:divBdr>
                    </w:div>
                  </w:divsChild>
                </w:div>
                <w:div w:id="847674773">
                  <w:marLeft w:val="0"/>
                  <w:marRight w:val="0"/>
                  <w:marTop w:val="0"/>
                  <w:marBottom w:val="0"/>
                  <w:divBdr>
                    <w:top w:val="none" w:sz="0" w:space="0" w:color="auto"/>
                    <w:left w:val="none" w:sz="0" w:space="0" w:color="auto"/>
                    <w:bottom w:val="none" w:sz="0" w:space="0" w:color="auto"/>
                    <w:right w:val="none" w:sz="0" w:space="0" w:color="auto"/>
                  </w:divBdr>
                  <w:divsChild>
                    <w:div w:id="847863212">
                      <w:marLeft w:val="0"/>
                      <w:marRight w:val="0"/>
                      <w:marTop w:val="0"/>
                      <w:marBottom w:val="0"/>
                      <w:divBdr>
                        <w:top w:val="none" w:sz="0" w:space="0" w:color="auto"/>
                        <w:left w:val="none" w:sz="0" w:space="0" w:color="auto"/>
                        <w:bottom w:val="none" w:sz="0" w:space="0" w:color="auto"/>
                        <w:right w:val="none" w:sz="0" w:space="0" w:color="auto"/>
                      </w:divBdr>
                    </w:div>
                  </w:divsChild>
                </w:div>
                <w:div w:id="1007945535">
                  <w:marLeft w:val="0"/>
                  <w:marRight w:val="0"/>
                  <w:marTop w:val="0"/>
                  <w:marBottom w:val="0"/>
                  <w:divBdr>
                    <w:top w:val="none" w:sz="0" w:space="0" w:color="auto"/>
                    <w:left w:val="none" w:sz="0" w:space="0" w:color="auto"/>
                    <w:bottom w:val="none" w:sz="0" w:space="0" w:color="auto"/>
                    <w:right w:val="none" w:sz="0" w:space="0" w:color="auto"/>
                  </w:divBdr>
                  <w:divsChild>
                    <w:div w:id="302002067">
                      <w:marLeft w:val="0"/>
                      <w:marRight w:val="0"/>
                      <w:marTop w:val="0"/>
                      <w:marBottom w:val="0"/>
                      <w:divBdr>
                        <w:top w:val="none" w:sz="0" w:space="0" w:color="auto"/>
                        <w:left w:val="none" w:sz="0" w:space="0" w:color="auto"/>
                        <w:bottom w:val="none" w:sz="0" w:space="0" w:color="auto"/>
                        <w:right w:val="none" w:sz="0" w:space="0" w:color="auto"/>
                      </w:divBdr>
                    </w:div>
                  </w:divsChild>
                </w:div>
                <w:div w:id="1434402145">
                  <w:marLeft w:val="0"/>
                  <w:marRight w:val="0"/>
                  <w:marTop w:val="0"/>
                  <w:marBottom w:val="0"/>
                  <w:divBdr>
                    <w:top w:val="none" w:sz="0" w:space="0" w:color="auto"/>
                    <w:left w:val="none" w:sz="0" w:space="0" w:color="auto"/>
                    <w:bottom w:val="none" w:sz="0" w:space="0" w:color="auto"/>
                    <w:right w:val="none" w:sz="0" w:space="0" w:color="auto"/>
                  </w:divBdr>
                  <w:divsChild>
                    <w:div w:id="1536893850">
                      <w:marLeft w:val="0"/>
                      <w:marRight w:val="0"/>
                      <w:marTop w:val="0"/>
                      <w:marBottom w:val="0"/>
                      <w:divBdr>
                        <w:top w:val="none" w:sz="0" w:space="0" w:color="auto"/>
                        <w:left w:val="none" w:sz="0" w:space="0" w:color="auto"/>
                        <w:bottom w:val="none" w:sz="0" w:space="0" w:color="auto"/>
                        <w:right w:val="none" w:sz="0" w:space="0" w:color="auto"/>
                      </w:divBdr>
                    </w:div>
                  </w:divsChild>
                </w:div>
                <w:div w:id="1794668349">
                  <w:marLeft w:val="0"/>
                  <w:marRight w:val="0"/>
                  <w:marTop w:val="0"/>
                  <w:marBottom w:val="0"/>
                  <w:divBdr>
                    <w:top w:val="none" w:sz="0" w:space="0" w:color="auto"/>
                    <w:left w:val="none" w:sz="0" w:space="0" w:color="auto"/>
                    <w:bottom w:val="none" w:sz="0" w:space="0" w:color="auto"/>
                    <w:right w:val="none" w:sz="0" w:space="0" w:color="auto"/>
                  </w:divBdr>
                  <w:divsChild>
                    <w:div w:id="1552882276">
                      <w:marLeft w:val="0"/>
                      <w:marRight w:val="0"/>
                      <w:marTop w:val="0"/>
                      <w:marBottom w:val="0"/>
                      <w:divBdr>
                        <w:top w:val="none" w:sz="0" w:space="0" w:color="auto"/>
                        <w:left w:val="none" w:sz="0" w:space="0" w:color="auto"/>
                        <w:bottom w:val="none" w:sz="0" w:space="0" w:color="auto"/>
                        <w:right w:val="none" w:sz="0" w:space="0" w:color="auto"/>
                      </w:divBdr>
                    </w:div>
                  </w:divsChild>
                </w:div>
                <w:div w:id="1814718368">
                  <w:marLeft w:val="0"/>
                  <w:marRight w:val="0"/>
                  <w:marTop w:val="0"/>
                  <w:marBottom w:val="0"/>
                  <w:divBdr>
                    <w:top w:val="none" w:sz="0" w:space="0" w:color="auto"/>
                    <w:left w:val="none" w:sz="0" w:space="0" w:color="auto"/>
                    <w:bottom w:val="none" w:sz="0" w:space="0" w:color="auto"/>
                    <w:right w:val="none" w:sz="0" w:space="0" w:color="auto"/>
                  </w:divBdr>
                  <w:divsChild>
                    <w:div w:id="1469712237">
                      <w:marLeft w:val="0"/>
                      <w:marRight w:val="0"/>
                      <w:marTop w:val="0"/>
                      <w:marBottom w:val="0"/>
                      <w:divBdr>
                        <w:top w:val="none" w:sz="0" w:space="0" w:color="auto"/>
                        <w:left w:val="none" w:sz="0" w:space="0" w:color="auto"/>
                        <w:bottom w:val="none" w:sz="0" w:space="0" w:color="auto"/>
                        <w:right w:val="none" w:sz="0" w:space="0" w:color="auto"/>
                      </w:divBdr>
                    </w:div>
                  </w:divsChild>
                </w:div>
                <w:div w:id="1892231043">
                  <w:marLeft w:val="0"/>
                  <w:marRight w:val="0"/>
                  <w:marTop w:val="0"/>
                  <w:marBottom w:val="0"/>
                  <w:divBdr>
                    <w:top w:val="none" w:sz="0" w:space="0" w:color="auto"/>
                    <w:left w:val="none" w:sz="0" w:space="0" w:color="auto"/>
                    <w:bottom w:val="none" w:sz="0" w:space="0" w:color="auto"/>
                    <w:right w:val="none" w:sz="0" w:space="0" w:color="auto"/>
                  </w:divBdr>
                  <w:divsChild>
                    <w:div w:id="97796967">
                      <w:marLeft w:val="0"/>
                      <w:marRight w:val="0"/>
                      <w:marTop w:val="0"/>
                      <w:marBottom w:val="0"/>
                      <w:divBdr>
                        <w:top w:val="none" w:sz="0" w:space="0" w:color="auto"/>
                        <w:left w:val="none" w:sz="0" w:space="0" w:color="auto"/>
                        <w:bottom w:val="none" w:sz="0" w:space="0" w:color="auto"/>
                        <w:right w:val="none" w:sz="0" w:space="0" w:color="auto"/>
                      </w:divBdr>
                    </w:div>
                  </w:divsChild>
                </w:div>
                <w:div w:id="1893302019">
                  <w:marLeft w:val="0"/>
                  <w:marRight w:val="0"/>
                  <w:marTop w:val="0"/>
                  <w:marBottom w:val="0"/>
                  <w:divBdr>
                    <w:top w:val="none" w:sz="0" w:space="0" w:color="auto"/>
                    <w:left w:val="none" w:sz="0" w:space="0" w:color="auto"/>
                    <w:bottom w:val="none" w:sz="0" w:space="0" w:color="auto"/>
                    <w:right w:val="none" w:sz="0" w:space="0" w:color="auto"/>
                  </w:divBdr>
                  <w:divsChild>
                    <w:div w:id="190921652">
                      <w:marLeft w:val="0"/>
                      <w:marRight w:val="0"/>
                      <w:marTop w:val="0"/>
                      <w:marBottom w:val="0"/>
                      <w:divBdr>
                        <w:top w:val="none" w:sz="0" w:space="0" w:color="auto"/>
                        <w:left w:val="none" w:sz="0" w:space="0" w:color="auto"/>
                        <w:bottom w:val="none" w:sz="0" w:space="0" w:color="auto"/>
                        <w:right w:val="none" w:sz="0" w:space="0" w:color="auto"/>
                      </w:divBdr>
                    </w:div>
                  </w:divsChild>
                </w:div>
                <w:div w:id="2130395519">
                  <w:marLeft w:val="0"/>
                  <w:marRight w:val="0"/>
                  <w:marTop w:val="0"/>
                  <w:marBottom w:val="0"/>
                  <w:divBdr>
                    <w:top w:val="none" w:sz="0" w:space="0" w:color="auto"/>
                    <w:left w:val="none" w:sz="0" w:space="0" w:color="auto"/>
                    <w:bottom w:val="none" w:sz="0" w:space="0" w:color="auto"/>
                    <w:right w:val="none" w:sz="0" w:space="0" w:color="auto"/>
                  </w:divBdr>
                  <w:divsChild>
                    <w:div w:id="13178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89501">
          <w:marLeft w:val="0"/>
          <w:marRight w:val="0"/>
          <w:marTop w:val="0"/>
          <w:marBottom w:val="0"/>
          <w:divBdr>
            <w:top w:val="none" w:sz="0" w:space="0" w:color="auto"/>
            <w:left w:val="none" w:sz="0" w:space="0" w:color="auto"/>
            <w:bottom w:val="none" w:sz="0" w:space="0" w:color="auto"/>
            <w:right w:val="none" w:sz="0" w:space="0" w:color="auto"/>
          </w:divBdr>
        </w:div>
        <w:div w:id="2135633235">
          <w:marLeft w:val="0"/>
          <w:marRight w:val="0"/>
          <w:marTop w:val="0"/>
          <w:marBottom w:val="0"/>
          <w:divBdr>
            <w:top w:val="none" w:sz="0" w:space="0" w:color="auto"/>
            <w:left w:val="none" w:sz="0" w:space="0" w:color="auto"/>
            <w:bottom w:val="none" w:sz="0" w:space="0" w:color="auto"/>
            <w:right w:val="none" w:sz="0" w:space="0" w:color="auto"/>
          </w:divBdr>
        </w:div>
      </w:divsChild>
    </w:div>
    <w:div w:id="559481522">
      <w:bodyDiv w:val="1"/>
      <w:marLeft w:val="0"/>
      <w:marRight w:val="0"/>
      <w:marTop w:val="0"/>
      <w:marBottom w:val="0"/>
      <w:divBdr>
        <w:top w:val="none" w:sz="0" w:space="0" w:color="auto"/>
        <w:left w:val="none" w:sz="0" w:space="0" w:color="auto"/>
        <w:bottom w:val="none" w:sz="0" w:space="0" w:color="auto"/>
        <w:right w:val="none" w:sz="0" w:space="0" w:color="auto"/>
      </w:divBdr>
      <w:divsChild>
        <w:div w:id="12999981">
          <w:marLeft w:val="0"/>
          <w:marRight w:val="0"/>
          <w:marTop w:val="0"/>
          <w:marBottom w:val="0"/>
          <w:divBdr>
            <w:top w:val="none" w:sz="0" w:space="0" w:color="auto"/>
            <w:left w:val="none" w:sz="0" w:space="0" w:color="auto"/>
            <w:bottom w:val="none" w:sz="0" w:space="0" w:color="auto"/>
            <w:right w:val="none" w:sz="0" w:space="0" w:color="auto"/>
          </w:divBdr>
        </w:div>
        <w:div w:id="49039058">
          <w:marLeft w:val="0"/>
          <w:marRight w:val="0"/>
          <w:marTop w:val="0"/>
          <w:marBottom w:val="0"/>
          <w:divBdr>
            <w:top w:val="none" w:sz="0" w:space="0" w:color="auto"/>
            <w:left w:val="none" w:sz="0" w:space="0" w:color="auto"/>
            <w:bottom w:val="none" w:sz="0" w:space="0" w:color="auto"/>
            <w:right w:val="none" w:sz="0" w:space="0" w:color="auto"/>
          </w:divBdr>
        </w:div>
        <w:div w:id="130905489">
          <w:marLeft w:val="0"/>
          <w:marRight w:val="0"/>
          <w:marTop w:val="0"/>
          <w:marBottom w:val="0"/>
          <w:divBdr>
            <w:top w:val="none" w:sz="0" w:space="0" w:color="auto"/>
            <w:left w:val="none" w:sz="0" w:space="0" w:color="auto"/>
            <w:bottom w:val="none" w:sz="0" w:space="0" w:color="auto"/>
            <w:right w:val="none" w:sz="0" w:space="0" w:color="auto"/>
          </w:divBdr>
        </w:div>
        <w:div w:id="194395275">
          <w:marLeft w:val="0"/>
          <w:marRight w:val="0"/>
          <w:marTop w:val="0"/>
          <w:marBottom w:val="0"/>
          <w:divBdr>
            <w:top w:val="none" w:sz="0" w:space="0" w:color="auto"/>
            <w:left w:val="none" w:sz="0" w:space="0" w:color="auto"/>
            <w:bottom w:val="none" w:sz="0" w:space="0" w:color="auto"/>
            <w:right w:val="none" w:sz="0" w:space="0" w:color="auto"/>
          </w:divBdr>
        </w:div>
        <w:div w:id="274872665">
          <w:marLeft w:val="0"/>
          <w:marRight w:val="0"/>
          <w:marTop w:val="0"/>
          <w:marBottom w:val="0"/>
          <w:divBdr>
            <w:top w:val="none" w:sz="0" w:space="0" w:color="auto"/>
            <w:left w:val="none" w:sz="0" w:space="0" w:color="auto"/>
            <w:bottom w:val="none" w:sz="0" w:space="0" w:color="auto"/>
            <w:right w:val="none" w:sz="0" w:space="0" w:color="auto"/>
          </w:divBdr>
        </w:div>
        <w:div w:id="293222142">
          <w:marLeft w:val="0"/>
          <w:marRight w:val="0"/>
          <w:marTop w:val="0"/>
          <w:marBottom w:val="0"/>
          <w:divBdr>
            <w:top w:val="none" w:sz="0" w:space="0" w:color="auto"/>
            <w:left w:val="none" w:sz="0" w:space="0" w:color="auto"/>
            <w:bottom w:val="none" w:sz="0" w:space="0" w:color="auto"/>
            <w:right w:val="none" w:sz="0" w:space="0" w:color="auto"/>
          </w:divBdr>
        </w:div>
        <w:div w:id="296645510">
          <w:marLeft w:val="0"/>
          <w:marRight w:val="0"/>
          <w:marTop w:val="0"/>
          <w:marBottom w:val="0"/>
          <w:divBdr>
            <w:top w:val="none" w:sz="0" w:space="0" w:color="auto"/>
            <w:left w:val="none" w:sz="0" w:space="0" w:color="auto"/>
            <w:bottom w:val="none" w:sz="0" w:space="0" w:color="auto"/>
            <w:right w:val="none" w:sz="0" w:space="0" w:color="auto"/>
          </w:divBdr>
        </w:div>
        <w:div w:id="356783953">
          <w:marLeft w:val="0"/>
          <w:marRight w:val="0"/>
          <w:marTop w:val="0"/>
          <w:marBottom w:val="0"/>
          <w:divBdr>
            <w:top w:val="none" w:sz="0" w:space="0" w:color="auto"/>
            <w:left w:val="none" w:sz="0" w:space="0" w:color="auto"/>
            <w:bottom w:val="none" w:sz="0" w:space="0" w:color="auto"/>
            <w:right w:val="none" w:sz="0" w:space="0" w:color="auto"/>
          </w:divBdr>
        </w:div>
        <w:div w:id="402222069">
          <w:marLeft w:val="0"/>
          <w:marRight w:val="0"/>
          <w:marTop w:val="0"/>
          <w:marBottom w:val="0"/>
          <w:divBdr>
            <w:top w:val="none" w:sz="0" w:space="0" w:color="auto"/>
            <w:left w:val="none" w:sz="0" w:space="0" w:color="auto"/>
            <w:bottom w:val="none" w:sz="0" w:space="0" w:color="auto"/>
            <w:right w:val="none" w:sz="0" w:space="0" w:color="auto"/>
          </w:divBdr>
        </w:div>
        <w:div w:id="420877663">
          <w:marLeft w:val="0"/>
          <w:marRight w:val="0"/>
          <w:marTop w:val="0"/>
          <w:marBottom w:val="0"/>
          <w:divBdr>
            <w:top w:val="none" w:sz="0" w:space="0" w:color="auto"/>
            <w:left w:val="none" w:sz="0" w:space="0" w:color="auto"/>
            <w:bottom w:val="none" w:sz="0" w:space="0" w:color="auto"/>
            <w:right w:val="none" w:sz="0" w:space="0" w:color="auto"/>
          </w:divBdr>
        </w:div>
        <w:div w:id="427890764">
          <w:marLeft w:val="0"/>
          <w:marRight w:val="0"/>
          <w:marTop w:val="0"/>
          <w:marBottom w:val="0"/>
          <w:divBdr>
            <w:top w:val="none" w:sz="0" w:space="0" w:color="auto"/>
            <w:left w:val="none" w:sz="0" w:space="0" w:color="auto"/>
            <w:bottom w:val="none" w:sz="0" w:space="0" w:color="auto"/>
            <w:right w:val="none" w:sz="0" w:space="0" w:color="auto"/>
          </w:divBdr>
        </w:div>
        <w:div w:id="471870467">
          <w:marLeft w:val="0"/>
          <w:marRight w:val="0"/>
          <w:marTop w:val="0"/>
          <w:marBottom w:val="0"/>
          <w:divBdr>
            <w:top w:val="none" w:sz="0" w:space="0" w:color="auto"/>
            <w:left w:val="none" w:sz="0" w:space="0" w:color="auto"/>
            <w:bottom w:val="none" w:sz="0" w:space="0" w:color="auto"/>
            <w:right w:val="none" w:sz="0" w:space="0" w:color="auto"/>
          </w:divBdr>
        </w:div>
        <w:div w:id="482359623">
          <w:marLeft w:val="0"/>
          <w:marRight w:val="0"/>
          <w:marTop w:val="0"/>
          <w:marBottom w:val="0"/>
          <w:divBdr>
            <w:top w:val="none" w:sz="0" w:space="0" w:color="auto"/>
            <w:left w:val="none" w:sz="0" w:space="0" w:color="auto"/>
            <w:bottom w:val="none" w:sz="0" w:space="0" w:color="auto"/>
            <w:right w:val="none" w:sz="0" w:space="0" w:color="auto"/>
          </w:divBdr>
        </w:div>
        <w:div w:id="490096806">
          <w:marLeft w:val="0"/>
          <w:marRight w:val="0"/>
          <w:marTop w:val="0"/>
          <w:marBottom w:val="0"/>
          <w:divBdr>
            <w:top w:val="none" w:sz="0" w:space="0" w:color="auto"/>
            <w:left w:val="none" w:sz="0" w:space="0" w:color="auto"/>
            <w:bottom w:val="none" w:sz="0" w:space="0" w:color="auto"/>
            <w:right w:val="none" w:sz="0" w:space="0" w:color="auto"/>
          </w:divBdr>
        </w:div>
        <w:div w:id="540827076">
          <w:marLeft w:val="0"/>
          <w:marRight w:val="0"/>
          <w:marTop w:val="0"/>
          <w:marBottom w:val="0"/>
          <w:divBdr>
            <w:top w:val="none" w:sz="0" w:space="0" w:color="auto"/>
            <w:left w:val="none" w:sz="0" w:space="0" w:color="auto"/>
            <w:bottom w:val="none" w:sz="0" w:space="0" w:color="auto"/>
            <w:right w:val="none" w:sz="0" w:space="0" w:color="auto"/>
          </w:divBdr>
        </w:div>
        <w:div w:id="566301700">
          <w:marLeft w:val="0"/>
          <w:marRight w:val="0"/>
          <w:marTop w:val="0"/>
          <w:marBottom w:val="0"/>
          <w:divBdr>
            <w:top w:val="none" w:sz="0" w:space="0" w:color="auto"/>
            <w:left w:val="none" w:sz="0" w:space="0" w:color="auto"/>
            <w:bottom w:val="none" w:sz="0" w:space="0" w:color="auto"/>
            <w:right w:val="none" w:sz="0" w:space="0" w:color="auto"/>
          </w:divBdr>
        </w:div>
        <w:div w:id="579024850">
          <w:marLeft w:val="0"/>
          <w:marRight w:val="0"/>
          <w:marTop w:val="0"/>
          <w:marBottom w:val="0"/>
          <w:divBdr>
            <w:top w:val="none" w:sz="0" w:space="0" w:color="auto"/>
            <w:left w:val="none" w:sz="0" w:space="0" w:color="auto"/>
            <w:bottom w:val="none" w:sz="0" w:space="0" w:color="auto"/>
            <w:right w:val="none" w:sz="0" w:space="0" w:color="auto"/>
          </w:divBdr>
        </w:div>
        <w:div w:id="599609464">
          <w:marLeft w:val="0"/>
          <w:marRight w:val="0"/>
          <w:marTop w:val="0"/>
          <w:marBottom w:val="0"/>
          <w:divBdr>
            <w:top w:val="none" w:sz="0" w:space="0" w:color="auto"/>
            <w:left w:val="none" w:sz="0" w:space="0" w:color="auto"/>
            <w:bottom w:val="none" w:sz="0" w:space="0" w:color="auto"/>
            <w:right w:val="none" w:sz="0" w:space="0" w:color="auto"/>
          </w:divBdr>
        </w:div>
        <w:div w:id="604776684">
          <w:marLeft w:val="0"/>
          <w:marRight w:val="0"/>
          <w:marTop w:val="0"/>
          <w:marBottom w:val="0"/>
          <w:divBdr>
            <w:top w:val="none" w:sz="0" w:space="0" w:color="auto"/>
            <w:left w:val="none" w:sz="0" w:space="0" w:color="auto"/>
            <w:bottom w:val="none" w:sz="0" w:space="0" w:color="auto"/>
            <w:right w:val="none" w:sz="0" w:space="0" w:color="auto"/>
          </w:divBdr>
        </w:div>
        <w:div w:id="652833523">
          <w:marLeft w:val="0"/>
          <w:marRight w:val="0"/>
          <w:marTop w:val="0"/>
          <w:marBottom w:val="0"/>
          <w:divBdr>
            <w:top w:val="none" w:sz="0" w:space="0" w:color="auto"/>
            <w:left w:val="none" w:sz="0" w:space="0" w:color="auto"/>
            <w:bottom w:val="none" w:sz="0" w:space="0" w:color="auto"/>
            <w:right w:val="none" w:sz="0" w:space="0" w:color="auto"/>
          </w:divBdr>
          <w:divsChild>
            <w:div w:id="77530219">
              <w:marLeft w:val="0"/>
              <w:marRight w:val="0"/>
              <w:marTop w:val="0"/>
              <w:marBottom w:val="0"/>
              <w:divBdr>
                <w:top w:val="none" w:sz="0" w:space="0" w:color="auto"/>
                <w:left w:val="none" w:sz="0" w:space="0" w:color="auto"/>
                <w:bottom w:val="none" w:sz="0" w:space="0" w:color="auto"/>
                <w:right w:val="none" w:sz="0" w:space="0" w:color="auto"/>
              </w:divBdr>
            </w:div>
            <w:div w:id="86270648">
              <w:marLeft w:val="0"/>
              <w:marRight w:val="0"/>
              <w:marTop w:val="0"/>
              <w:marBottom w:val="0"/>
              <w:divBdr>
                <w:top w:val="none" w:sz="0" w:space="0" w:color="auto"/>
                <w:left w:val="none" w:sz="0" w:space="0" w:color="auto"/>
                <w:bottom w:val="none" w:sz="0" w:space="0" w:color="auto"/>
                <w:right w:val="none" w:sz="0" w:space="0" w:color="auto"/>
              </w:divBdr>
            </w:div>
            <w:div w:id="90248334">
              <w:marLeft w:val="0"/>
              <w:marRight w:val="0"/>
              <w:marTop w:val="0"/>
              <w:marBottom w:val="0"/>
              <w:divBdr>
                <w:top w:val="none" w:sz="0" w:space="0" w:color="auto"/>
                <w:left w:val="none" w:sz="0" w:space="0" w:color="auto"/>
                <w:bottom w:val="none" w:sz="0" w:space="0" w:color="auto"/>
                <w:right w:val="none" w:sz="0" w:space="0" w:color="auto"/>
              </w:divBdr>
            </w:div>
            <w:div w:id="115686510">
              <w:marLeft w:val="0"/>
              <w:marRight w:val="0"/>
              <w:marTop w:val="0"/>
              <w:marBottom w:val="0"/>
              <w:divBdr>
                <w:top w:val="none" w:sz="0" w:space="0" w:color="auto"/>
                <w:left w:val="none" w:sz="0" w:space="0" w:color="auto"/>
                <w:bottom w:val="none" w:sz="0" w:space="0" w:color="auto"/>
                <w:right w:val="none" w:sz="0" w:space="0" w:color="auto"/>
              </w:divBdr>
            </w:div>
            <w:div w:id="180122554">
              <w:marLeft w:val="0"/>
              <w:marRight w:val="0"/>
              <w:marTop w:val="0"/>
              <w:marBottom w:val="0"/>
              <w:divBdr>
                <w:top w:val="none" w:sz="0" w:space="0" w:color="auto"/>
                <w:left w:val="none" w:sz="0" w:space="0" w:color="auto"/>
                <w:bottom w:val="none" w:sz="0" w:space="0" w:color="auto"/>
                <w:right w:val="none" w:sz="0" w:space="0" w:color="auto"/>
              </w:divBdr>
            </w:div>
            <w:div w:id="183131649">
              <w:marLeft w:val="0"/>
              <w:marRight w:val="0"/>
              <w:marTop w:val="0"/>
              <w:marBottom w:val="0"/>
              <w:divBdr>
                <w:top w:val="none" w:sz="0" w:space="0" w:color="auto"/>
                <w:left w:val="none" w:sz="0" w:space="0" w:color="auto"/>
                <w:bottom w:val="none" w:sz="0" w:space="0" w:color="auto"/>
                <w:right w:val="none" w:sz="0" w:space="0" w:color="auto"/>
              </w:divBdr>
            </w:div>
            <w:div w:id="501704795">
              <w:marLeft w:val="0"/>
              <w:marRight w:val="0"/>
              <w:marTop w:val="0"/>
              <w:marBottom w:val="0"/>
              <w:divBdr>
                <w:top w:val="none" w:sz="0" w:space="0" w:color="auto"/>
                <w:left w:val="none" w:sz="0" w:space="0" w:color="auto"/>
                <w:bottom w:val="none" w:sz="0" w:space="0" w:color="auto"/>
                <w:right w:val="none" w:sz="0" w:space="0" w:color="auto"/>
              </w:divBdr>
            </w:div>
            <w:div w:id="519510439">
              <w:marLeft w:val="0"/>
              <w:marRight w:val="0"/>
              <w:marTop w:val="0"/>
              <w:marBottom w:val="0"/>
              <w:divBdr>
                <w:top w:val="none" w:sz="0" w:space="0" w:color="auto"/>
                <w:left w:val="none" w:sz="0" w:space="0" w:color="auto"/>
                <w:bottom w:val="none" w:sz="0" w:space="0" w:color="auto"/>
                <w:right w:val="none" w:sz="0" w:space="0" w:color="auto"/>
              </w:divBdr>
            </w:div>
            <w:div w:id="536435496">
              <w:marLeft w:val="0"/>
              <w:marRight w:val="0"/>
              <w:marTop w:val="0"/>
              <w:marBottom w:val="0"/>
              <w:divBdr>
                <w:top w:val="none" w:sz="0" w:space="0" w:color="auto"/>
                <w:left w:val="none" w:sz="0" w:space="0" w:color="auto"/>
                <w:bottom w:val="none" w:sz="0" w:space="0" w:color="auto"/>
                <w:right w:val="none" w:sz="0" w:space="0" w:color="auto"/>
              </w:divBdr>
            </w:div>
            <w:div w:id="551771283">
              <w:marLeft w:val="0"/>
              <w:marRight w:val="0"/>
              <w:marTop w:val="0"/>
              <w:marBottom w:val="0"/>
              <w:divBdr>
                <w:top w:val="none" w:sz="0" w:space="0" w:color="auto"/>
                <w:left w:val="none" w:sz="0" w:space="0" w:color="auto"/>
                <w:bottom w:val="none" w:sz="0" w:space="0" w:color="auto"/>
                <w:right w:val="none" w:sz="0" w:space="0" w:color="auto"/>
              </w:divBdr>
            </w:div>
            <w:div w:id="612202025">
              <w:marLeft w:val="0"/>
              <w:marRight w:val="0"/>
              <w:marTop w:val="0"/>
              <w:marBottom w:val="0"/>
              <w:divBdr>
                <w:top w:val="none" w:sz="0" w:space="0" w:color="auto"/>
                <w:left w:val="none" w:sz="0" w:space="0" w:color="auto"/>
                <w:bottom w:val="none" w:sz="0" w:space="0" w:color="auto"/>
                <w:right w:val="none" w:sz="0" w:space="0" w:color="auto"/>
              </w:divBdr>
            </w:div>
            <w:div w:id="645158693">
              <w:marLeft w:val="0"/>
              <w:marRight w:val="0"/>
              <w:marTop w:val="0"/>
              <w:marBottom w:val="0"/>
              <w:divBdr>
                <w:top w:val="none" w:sz="0" w:space="0" w:color="auto"/>
                <w:left w:val="none" w:sz="0" w:space="0" w:color="auto"/>
                <w:bottom w:val="none" w:sz="0" w:space="0" w:color="auto"/>
                <w:right w:val="none" w:sz="0" w:space="0" w:color="auto"/>
              </w:divBdr>
            </w:div>
            <w:div w:id="706679843">
              <w:marLeft w:val="0"/>
              <w:marRight w:val="0"/>
              <w:marTop w:val="0"/>
              <w:marBottom w:val="0"/>
              <w:divBdr>
                <w:top w:val="none" w:sz="0" w:space="0" w:color="auto"/>
                <w:left w:val="none" w:sz="0" w:space="0" w:color="auto"/>
                <w:bottom w:val="none" w:sz="0" w:space="0" w:color="auto"/>
                <w:right w:val="none" w:sz="0" w:space="0" w:color="auto"/>
              </w:divBdr>
            </w:div>
            <w:div w:id="737286070">
              <w:marLeft w:val="0"/>
              <w:marRight w:val="0"/>
              <w:marTop w:val="0"/>
              <w:marBottom w:val="0"/>
              <w:divBdr>
                <w:top w:val="none" w:sz="0" w:space="0" w:color="auto"/>
                <w:left w:val="none" w:sz="0" w:space="0" w:color="auto"/>
                <w:bottom w:val="none" w:sz="0" w:space="0" w:color="auto"/>
                <w:right w:val="none" w:sz="0" w:space="0" w:color="auto"/>
              </w:divBdr>
            </w:div>
            <w:div w:id="778917722">
              <w:marLeft w:val="0"/>
              <w:marRight w:val="0"/>
              <w:marTop w:val="0"/>
              <w:marBottom w:val="0"/>
              <w:divBdr>
                <w:top w:val="none" w:sz="0" w:space="0" w:color="auto"/>
                <w:left w:val="none" w:sz="0" w:space="0" w:color="auto"/>
                <w:bottom w:val="none" w:sz="0" w:space="0" w:color="auto"/>
                <w:right w:val="none" w:sz="0" w:space="0" w:color="auto"/>
              </w:divBdr>
            </w:div>
            <w:div w:id="798180348">
              <w:marLeft w:val="0"/>
              <w:marRight w:val="0"/>
              <w:marTop w:val="0"/>
              <w:marBottom w:val="0"/>
              <w:divBdr>
                <w:top w:val="none" w:sz="0" w:space="0" w:color="auto"/>
                <w:left w:val="none" w:sz="0" w:space="0" w:color="auto"/>
                <w:bottom w:val="none" w:sz="0" w:space="0" w:color="auto"/>
                <w:right w:val="none" w:sz="0" w:space="0" w:color="auto"/>
              </w:divBdr>
            </w:div>
            <w:div w:id="804935339">
              <w:marLeft w:val="0"/>
              <w:marRight w:val="0"/>
              <w:marTop w:val="0"/>
              <w:marBottom w:val="0"/>
              <w:divBdr>
                <w:top w:val="none" w:sz="0" w:space="0" w:color="auto"/>
                <w:left w:val="none" w:sz="0" w:space="0" w:color="auto"/>
                <w:bottom w:val="none" w:sz="0" w:space="0" w:color="auto"/>
                <w:right w:val="none" w:sz="0" w:space="0" w:color="auto"/>
              </w:divBdr>
            </w:div>
            <w:div w:id="950212392">
              <w:marLeft w:val="0"/>
              <w:marRight w:val="0"/>
              <w:marTop w:val="0"/>
              <w:marBottom w:val="0"/>
              <w:divBdr>
                <w:top w:val="none" w:sz="0" w:space="0" w:color="auto"/>
                <w:left w:val="none" w:sz="0" w:space="0" w:color="auto"/>
                <w:bottom w:val="none" w:sz="0" w:space="0" w:color="auto"/>
                <w:right w:val="none" w:sz="0" w:space="0" w:color="auto"/>
              </w:divBdr>
            </w:div>
            <w:div w:id="962610541">
              <w:marLeft w:val="0"/>
              <w:marRight w:val="0"/>
              <w:marTop w:val="0"/>
              <w:marBottom w:val="0"/>
              <w:divBdr>
                <w:top w:val="none" w:sz="0" w:space="0" w:color="auto"/>
                <w:left w:val="none" w:sz="0" w:space="0" w:color="auto"/>
                <w:bottom w:val="none" w:sz="0" w:space="0" w:color="auto"/>
                <w:right w:val="none" w:sz="0" w:space="0" w:color="auto"/>
              </w:divBdr>
            </w:div>
            <w:div w:id="1019047687">
              <w:marLeft w:val="0"/>
              <w:marRight w:val="0"/>
              <w:marTop w:val="0"/>
              <w:marBottom w:val="0"/>
              <w:divBdr>
                <w:top w:val="none" w:sz="0" w:space="0" w:color="auto"/>
                <w:left w:val="none" w:sz="0" w:space="0" w:color="auto"/>
                <w:bottom w:val="none" w:sz="0" w:space="0" w:color="auto"/>
                <w:right w:val="none" w:sz="0" w:space="0" w:color="auto"/>
              </w:divBdr>
            </w:div>
            <w:div w:id="1047798473">
              <w:marLeft w:val="0"/>
              <w:marRight w:val="0"/>
              <w:marTop w:val="0"/>
              <w:marBottom w:val="0"/>
              <w:divBdr>
                <w:top w:val="none" w:sz="0" w:space="0" w:color="auto"/>
                <w:left w:val="none" w:sz="0" w:space="0" w:color="auto"/>
                <w:bottom w:val="none" w:sz="0" w:space="0" w:color="auto"/>
                <w:right w:val="none" w:sz="0" w:space="0" w:color="auto"/>
              </w:divBdr>
            </w:div>
            <w:div w:id="1101409764">
              <w:marLeft w:val="0"/>
              <w:marRight w:val="0"/>
              <w:marTop w:val="0"/>
              <w:marBottom w:val="0"/>
              <w:divBdr>
                <w:top w:val="none" w:sz="0" w:space="0" w:color="auto"/>
                <w:left w:val="none" w:sz="0" w:space="0" w:color="auto"/>
                <w:bottom w:val="none" w:sz="0" w:space="0" w:color="auto"/>
                <w:right w:val="none" w:sz="0" w:space="0" w:color="auto"/>
              </w:divBdr>
            </w:div>
            <w:div w:id="1157724241">
              <w:marLeft w:val="0"/>
              <w:marRight w:val="0"/>
              <w:marTop w:val="0"/>
              <w:marBottom w:val="0"/>
              <w:divBdr>
                <w:top w:val="none" w:sz="0" w:space="0" w:color="auto"/>
                <w:left w:val="none" w:sz="0" w:space="0" w:color="auto"/>
                <w:bottom w:val="none" w:sz="0" w:space="0" w:color="auto"/>
                <w:right w:val="none" w:sz="0" w:space="0" w:color="auto"/>
              </w:divBdr>
            </w:div>
            <w:div w:id="1326472727">
              <w:marLeft w:val="0"/>
              <w:marRight w:val="0"/>
              <w:marTop w:val="0"/>
              <w:marBottom w:val="0"/>
              <w:divBdr>
                <w:top w:val="none" w:sz="0" w:space="0" w:color="auto"/>
                <w:left w:val="none" w:sz="0" w:space="0" w:color="auto"/>
                <w:bottom w:val="none" w:sz="0" w:space="0" w:color="auto"/>
                <w:right w:val="none" w:sz="0" w:space="0" w:color="auto"/>
              </w:divBdr>
            </w:div>
            <w:div w:id="1349139253">
              <w:marLeft w:val="0"/>
              <w:marRight w:val="0"/>
              <w:marTop w:val="0"/>
              <w:marBottom w:val="0"/>
              <w:divBdr>
                <w:top w:val="none" w:sz="0" w:space="0" w:color="auto"/>
                <w:left w:val="none" w:sz="0" w:space="0" w:color="auto"/>
                <w:bottom w:val="none" w:sz="0" w:space="0" w:color="auto"/>
                <w:right w:val="none" w:sz="0" w:space="0" w:color="auto"/>
              </w:divBdr>
            </w:div>
            <w:div w:id="1358385907">
              <w:marLeft w:val="0"/>
              <w:marRight w:val="0"/>
              <w:marTop w:val="0"/>
              <w:marBottom w:val="0"/>
              <w:divBdr>
                <w:top w:val="none" w:sz="0" w:space="0" w:color="auto"/>
                <w:left w:val="none" w:sz="0" w:space="0" w:color="auto"/>
                <w:bottom w:val="none" w:sz="0" w:space="0" w:color="auto"/>
                <w:right w:val="none" w:sz="0" w:space="0" w:color="auto"/>
              </w:divBdr>
            </w:div>
            <w:div w:id="1380057309">
              <w:marLeft w:val="0"/>
              <w:marRight w:val="0"/>
              <w:marTop w:val="0"/>
              <w:marBottom w:val="0"/>
              <w:divBdr>
                <w:top w:val="none" w:sz="0" w:space="0" w:color="auto"/>
                <w:left w:val="none" w:sz="0" w:space="0" w:color="auto"/>
                <w:bottom w:val="none" w:sz="0" w:space="0" w:color="auto"/>
                <w:right w:val="none" w:sz="0" w:space="0" w:color="auto"/>
              </w:divBdr>
            </w:div>
            <w:div w:id="1387216993">
              <w:marLeft w:val="0"/>
              <w:marRight w:val="0"/>
              <w:marTop w:val="0"/>
              <w:marBottom w:val="0"/>
              <w:divBdr>
                <w:top w:val="none" w:sz="0" w:space="0" w:color="auto"/>
                <w:left w:val="none" w:sz="0" w:space="0" w:color="auto"/>
                <w:bottom w:val="none" w:sz="0" w:space="0" w:color="auto"/>
                <w:right w:val="none" w:sz="0" w:space="0" w:color="auto"/>
              </w:divBdr>
            </w:div>
            <w:div w:id="1439638779">
              <w:marLeft w:val="0"/>
              <w:marRight w:val="0"/>
              <w:marTop w:val="0"/>
              <w:marBottom w:val="0"/>
              <w:divBdr>
                <w:top w:val="none" w:sz="0" w:space="0" w:color="auto"/>
                <w:left w:val="none" w:sz="0" w:space="0" w:color="auto"/>
                <w:bottom w:val="none" w:sz="0" w:space="0" w:color="auto"/>
                <w:right w:val="none" w:sz="0" w:space="0" w:color="auto"/>
              </w:divBdr>
            </w:div>
            <w:div w:id="1453089797">
              <w:marLeft w:val="0"/>
              <w:marRight w:val="0"/>
              <w:marTop w:val="0"/>
              <w:marBottom w:val="0"/>
              <w:divBdr>
                <w:top w:val="none" w:sz="0" w:space="0" w:color="auto"/>
                <w:left w:val="none" w:sz="0" w:space="0" w:color="auto"/>
                <w:bottom w:val="none" w:sz="0" w:space="0" w:color="auto"/>
                <w:right w:val="none" w:sz="0" w:space="0" w:color="auto"/>
              </w:divBdr>
            </w:div>
            <w:div w:id="1482230218">
              <w:marLeft w:val="0"/>
              <w:marRight w:val="0"/>
              <w:marTop w:val="0"/>
              <w:marBottom w:val="0"/>
              <w:divBdr>
                <w:top w:val="none" w:sz="0" w:space="0" w:color="auto"/>
                <w:left w:val="none" w:sz="0" w:space="0" w:color="auto"/>
                <w:bottom w:val="none" w:sz="0" w:space="0" w:color="auto"/>
                <w:right w:val="none" w:sz="0" w:space="0" w:color="auto"/>
              </w:divBdr>
            </w:div>
            <w:div w:id="1509052836">
              <w:marLeft w:val="0"/>
              <w:marRight w:val="0"/>
              <w:marTop w:val="0"/>
              <w:marBottom w:val="0"/>
              <w:divBdr>
                <w:top w:val="none" w:sz="0" w:space="0" w:color="auto"/>
                <w:left w:val="none" w:sz="0" w:space="0" w:color="auto"/>
                <w:bottom w:val="none" w:sz="0" w:space="0" w:color="auto"/>
                <w:right w:val="none" w:sz="0" w:space="0" w:color="auto"/>
              </w:divBdr>
            </w:div>
            <w:div w:id="1527719586">
              <w:marLeft w:val="0"/>
              <w:marRight w:val="0"/>
              <w:marTop w:val="0"/>
              <w:marBottom w:val="0"/>
              <w:divBdr>
                <w:top w:val="none" w:sz="0" w:space="0" w:color="auto"/>
                <w:left w:val="none" w:sz="0" w:space="0" w:color="auto"/>
                <w:bottom w:val="none" w:sz="0" w:space="0" w:color="auto"/>
                <w:right w:val="none" w:sz="0" w:space="0" w:color="auto"/>
              </w:divBdr>
            </w:div>
            <w:div w:id="1533611407">
              <w:marLeft w:val="0"/>
              <w:marRight w:val="0"/>
              <w:marTop w:val="0"/>
              <w:marBottom w:val="0"/>
              <w:divBdr>
                <w:top w:val="none" w:sz="0" w:space="0" w:color="auto"/>
                <w:left w:val="none" w:sz="0" w:space="0" w:color="auto"/>
                <w:bottom w:val="none" w:sz="0" w:space="0" w:color="auto"/>
                <w:right w:val="none" w:sz="0" w:space="0" w:color="auto"/>
              </w:divBdr>
            </w:div>
            <w:div w:id="1650016131">
              <w:marLeft w:val="0"/>
              <w:marRight w:val="0"/>
              <w:marTop w:val="0"/>
              <w:marBottom w:val="0"/>
              <w:divBdr>
                <w:top w:val="none" w:sz="0" w:space="0" w:color="auto"/>
                <w:left w:val="none" w:sz="0" w:space="0" w:color="auto"/>
                <w:bottom w:val="none" w:sz="0" w:space="0" w:color="auto"/>
                <w:right w:val="none" w:sz="0" w:space="0" w:color="auto"/>
              </w:divBdr>
            </w:div>
            <w:div w:id="1689216979">
              <w:marLeft w:val="0"/>
              <w:marRight w:val="0"/>
              <w:marTop w:val="0"/>
              <w:marBottom w:val="0"/>
              <w:divBdr>
                <w:top w:val="none" w:sz="0" w:space="0" w:color="auto"/>
                <w:left w:val="none" w:sz="0" w:space="0" w:color="auto"/>
                <w:bottom w:val="none" w:sz="0" w:space="0" w:color="auto"/>
                <w:right w:val="none" w:sz="0" w:space="0" w:color="auto"/>
              </w:divBdr>
            </w:div>
            <w:div w:id="1749964961">
              <w:marLeft w:val="0"/>
              <w:marRight w:val="0"/>
              <w:marTop w:val="0"/>
              <w:marBottom w:val="0"/>
              <w:divBdr>
                <w:top w:val="none" w:sz="0" w:space="0" w:color="auto"/>
                <w:left w:val="none" w:sz="0" w:space="0" w:color="auto"/>
                <w:bottom w:val="none" w:sz="0" w:space="0" w:color="auto"/>
                <w:right w:val="none" w:sz="0" w:space="0" w:color="auto"/>
              </w:divBdr>
            </w:div>
            <w:div w:id="1848251062">
              <w:marLeft w:val="0"/>
              <w:marRight w:val="0"/>
              <w:marTop w:val="0"/>
              <w:marBottom w:val="0"/>
              <w:divBdr>
                <w:top w:val="none" w:sz="0" w:space="0" w:color="auto"/>
                <w:left w:val="none" w:sz="0" w:space="0" w:color="auto"/>
                <w:bottom w:val="none" w:sz="0" w:space="0" w:color="auto"/>
                <w:right w:val="none" w:sz="0" w:space="0" w:color="auto"/>
              </w:divBdr>
            </w:div>
            <w:div w:id="1902860781">
              <w:marLeft w:val="0"/>
              <w:marRight w:val="0"/>
              <w:marTop w:val="0"/>
              <w:marBottom w:val="0"/>
              <w:divBdr>
                <w:top w:val="none" w:sz="0" w:space="0" w:color="auto"/>
                <w:left w:val="none" w:sz="0" w:space="0" w:color="auto"/>
                <w:bottom w:val="none" w:sz="0" w:space="0" w:color="auto"/>
                <w:right w:val="none" w:sz="0" w:space="0" w:color="auto"/>
              </w:divBdr>
            </w:div>
            <w:div w:id="1994487770">
              <w:marLeft w:val="0"/>
              <w:marRight w:val="0"/>
              <w:marTop w:val="0"/>
              <w:marBottom w:val="0"/>
              <w:divBdr>
                <w:top w:val="none" w:sz="0" w:space="0" w:color="auto"/>
                <w:left w:val="none" w:sz="0" w:space="0" w:color="auto"/>
                <w:bottom w:val="none" w:sz="0" w:space="0" w:color="auto"/>
                <w:right w:val="none" w:sz="0" w:space="0" w:color="auto"/>
              </w:divBdr>
            </w:div>
            <w:div w:id="2033217701">
              <w:marLeft w:val="0"/>
              <w:marRight w:val="0"/>
              <w:marTop w:val="0"/>
              <w:marBottom w:val="0"/>
              <w:divBdr>
                <w:top w:val="none" w:sz="0" w:space="0" w:color="auto"/>
                <w:left w:val="none" w:sz="0" w:space="0" w:color="auto"/>
                <w:bottom w:val="none" w:sz="0" w:space="0" w:color="auto"/>
                <w:right w:val="none" w:sz="0" w:space="0" w:color="auto"/>
              </w:divBdr>
            </w:div>
            <w:div w:id="2041783326">
              <w:marLeft w:val="0"/>
              <w:marRight w:val="0"/>
              <w:marTop w:val="0"/>
              <w:marBottom w:val="0"/>
              <w:divBdr>
                <w:top w:val="none" w:sz="0" w:space="0" w:color="auto"/>
                <w:left w:val="none" w:sz="0" w:space="0" w:color="auto"/>
                <w:bottom w:val="none" w:sz="0" w:space="0" w:color="auto"/>
                <w:right w:val="none" w:sz="0" w:space="0" w:color="auto"/>
              </w:divBdr>
            </w:div>
            <w:div w:id="2146853592">
              <w:marLeft w:val="0"/>
              <w:marRight w:val="0"/>
              <w:marTop w:val="0"/>
              <w:marBottom w:val="0"/>
              <w:divBdr>
                <w:top w:val="none" w:sz="0" w:space="0" w:color="auto"/>
                <w:left w:val="none" w:sz="0" w:space="0" w:color="auto"/>
                <w:bottom w:val="none" w:sz="0" w:space="0" w:color="auto"/>
                <w:right w:val="none" w:sz="0" w:space="0" w:color="auto"/>
              </w:divBdr>
            </w:div>
          </w:divsChild>
        </w:div>
        <w:div w:id="737047192">
          <w:marLeft w:val="0"/>
          <w:marRight w:val="0"/>
          <w:marTop w:val="0"/>
          <w:marBottom w:val="0"/>
          <w:divBdr>
            <w:top w:val="none" w:sz="0" w:space="0" w:color="auto"/>
            <w:left w:val="none" w:sz="0" w:space="0" w:color="auto"/>
            <w:bottom w:val="none" w:sz="0" w:space="0" w:color="auto"/>
            <w:right w:val="none" w:sz="0" w:space="0" w:color="auto"/>
          </w:divBdr>
        </w:div>
        <w:div w:id="789982522">
          <w:marLeft w:val="0"/>
          <w:marRight w:val="0"/>
          <w:marTop w:val="0"/>
          <w:marBottom w:val="0"/>
          <w:divBdr>
            <w:top w:val="none" w:sz="0" w:space="0" w:color="auto"/>
            <w:left w:val="none" w:sz="0" w:space="0" w:color="auto"/>
            <w:bottom w:val="none" w:sz="0" w:space="0" w:color="auto"/>
            <w:right w:val="none" w:sz="0" w:space="0" w:color="auto"/>
          </w:divBdr>
        </w:div>
        <w:div w:id="830751067">
          <w:marLeft w:val="0"/>
          <w:marRight w:val="0"/>
          <w:marTop w:val="0"/>
          <w:marBottom w:val="0"/>
          <w:divBdr>
            <w:top w:val="none" w:sz="0" w:space="0" w:color="auto"/>
            <w:left w:val="none" w:sz="0" w:space="0" w:color="auto"/>
            <w:bottom w:val="none" w:sz="0" w:space="0" w:color="auto"/>
            <w:right w:val="none" w:sz="0" w:space="0" w:color="auto"/>
          </w:divBdr>
        </w:div>
        <w:div w:id="912934307">
          <w:marLeft w:val="0"/>
          <w:marRight w:val="0"/>
          <w:marTop w:val="0"/>
          <w:marBottom w:val="0"/>
          <w:divBdr>
            <w:top w:val="none" w:sz="0" w:space="0" w:color="auto"/>
            <w:left w:val="none" w:sz="0" w:space="0" w:color="auto"/>
            <w:bottom w:val="none" w:sz="0" w:space="0" w:color="auto"/>
            <w:right w:val="none" w:sz="0" w:space="0" w:color="auto"/>
          </w:divBdr>
        </w:div>
        <w:div w:id="1032220791">
          <w:marLeft w:val="0"/>
          <w:marRight w:val="0"/>
          <w:marTop w:val="0"/>
          <w:marBottom w:val="0"/>
          <w:divBdr>
            <w:top w:val="none" w:sz="0" w:space="0" w:color="auto"/>
            <w:left w:val="none" w:sz="0" w:space="0" w:color="auto"/>
            <w:bottom w:val="none" w:sz="0" w:space="0" w:color="auto"/>
            <w:right w:val="none" w:sz="0" w:space="0" w:color="auto"/>
          </w:divBdr>
        </w:div>
        <w:div w:id="1044984165">
          <w:marLeft w:val="0"/>
          <w:marRight w:val="0"/>
          <w:marTop w:val="0"/>
          <w:marBottom w:val="0"/>
          <w:divBdr>
            <w:top w:val="none" w:sz="0" w:space="0" w:color="auto"/>
            <w:left w:val="none" w:sz="0" w:space="0" w:color="auto"/>
            <w:bottom w:val="none" w:sz="0" w:space="0" w:color="auto"/>
            <w:right w:val="none" w:sz="0" w:space="0" w:color="auto"/>
          </w:divBdr>
        </w:div>
        <w:div w:id="1047411814">
          <w:marLeft w:val="0"/>
          <w:marRight w:val="0"/>
          <w:marTop w:val="0"/>
          <w:marBottom w:val="0"/>
          <w:divBdr>
            <w:top w:val="none" w:sz="0" w:space="0" w:color="auto"/>
            <w:left w:val="none" w:sz="0" w:space="0" w:color="auto"/>
            <w:bottom w:val="none" w:sz="0" w:space="0" w:color="auto"/>
            <w:right w:val="none" w:sz="0" w:space="0" w:color="auto"/>
          </w:divBdr>
        </w:div>
        <w:div w:id="1096554040">
          <w:marLeft w:val="0"/>
          <w:marRight w:val="0"/>
          <w:marTop w:val="0"/>
          <w:marBottom w:val="0"/>
          <w:divBdr>
            <w:top w:val="none" w:sz="0" w:space="0" w:color="auto"/>
            <w:left w:val="none" w:sz="0" w:space="0" w:color="auto"/>
            <w:bottom w:val="none" w:sz="0" w:space="0" w:color="auto"/>
            <w:right w:val="none" w:sz="0" w:space="0" w:color="auto"/>
          </w:divBdr>
        </w:div>
        <w:div w:id="1209800203">
          <w:marLeft w:val="0"/>
          <w:marRight w:val="0"/>
          <w:marTop w:val="0"/>
          <w:marBottom w:val="0"/>
          <w:divBdr>
            <w:top w:val="none" w:sz="0" w:space="0" w:color="auto"/>
            <w:left w:val="none" w:sz="0" w:space="0" w:color="auto"/>
            <w:bottom w:val="none" w:sz="0" w:space="0" w:color="auto"/>
            <w:right w:val="none" w:sz="0" w:space="0" w:color="auto"/>
          </w:divBdr>
        </w:div>
        <w:div w:id="1322001947">
          <w:marLeft w:val="0"/>
          <w:marRight w:val="0"/>
          <w:marTop w:val="0"/>
          <w:marBottom w:val="0"/>
          <w:divBdr>
            <w:top w:val="none" w:sz="0" w:space="0" w:color="auto"/>
            <w:left w:val="none" w:sz="0" w:space="0" w:color="auto"/>
            <w:bottom w:val="none" w:sz="0" w:space="0" w:color="auto"/>
            <w:right w:val="none" w:sz="0" w:space="0" w:color="auto"/>
          </w:divBdr>
        </w:div>
        <w:div w:id="1393237291">
          <w:marLeft w:val="0"/>
          <w:marRight w:val="0"/>
          <w:marTop w:val="0"/>
          <w:marBottom w:val="0"/>
          <w:divBdr>
            <w:top w:val="none" w:sz="0" w:space="0" w:color="auto"/>
            <w:left w:val="none" w:sz="0" w:space="0" w:color="auto"/>
            <w:bottom w:val="none" w:sz="0" w:space="0" w:color="auto"/>
            <w:right w:val="none" w:sz="0" w:space="0" w:color="auto"/>
          </w:divBdr>
        </w:div>
        <w:div w:id="1544707576">
          <w:marLeft w:val="0"/>
          <w:marRight w:val="0"/>
          <w:marTop w:val="0"/>
          <w:marBottom w:val="0"/>
          <w:divBdr>
            <w:top w:val="none" w:sz="0" w:space="0" w:color="auto"/>
            <w:left w:val="none" w:sz="0" w:space="0" w:color="auto"/>
            <w:bottom w:val="none" w:sz="0" w:space="0" w:color="auto"/>
            <w:right w:val="none" w:sz="0" w:space="0" w:color="auto"/>
          </w:divBdr>
        </w:div>
        <w:div w:id="1545678231">
          <w:marLeft w:val="0"/>
          <w:marRight w:val="0"/>
          <w:marTop w:val="0"/>
          <w:marBottom w:val="0"/>
          <w:divBdr>
            <w:top w:val="none" w:sz="0" w:space="0" w:color="auto"/>
            <w:left w:val="none" w:sz="0" w:space="0" w:color="auto"/>
            <w:bottom w:val="none" w:sz="0" w:space="0" w:color="auto"/>
            <w:right w:val="none" w:sz="0" w:space="0" w:color="auto"/>
          </w:divBdr>
        </w:div>
        <w:div w:id="1700428339">
          <w:marLeft w:val="0"/>
          <w:marRight w:val="0"/>
          <w:marTop w:val="0"/>
          <w:marBottom w:val="0"/>
          <w:divBdr>
            <w:top w:val="none" w:sz="0" w:space="0" w:color="auto"/>
            <w:left w:val="none" w:sz="0" w:space="0" w:color="auto"/>
            <w:bottom w:val="none" w:sz="0" w:space="0" w:color="auto"/>
            <w:right w:val="none" w:sz="0" w:space="0" w:color="auto"/>
          </w:divBdr>
        </w:div>
        <w:div w:id="1767579579">
          <w:marLeft w:val="0"/>
          <w:marRight w:val="0"/>
          <w:marTop w:val="0"/>
          <w:marBottom w:val="0"/>
          <w:divBdr>
            <w:top w:val="none" w:sz="0" w:space="0" w:color="auto"/>
            <w:left w:val="none" w:sz="0" w:space="0" w:color="auto"/>
            <w:bottom w:val="none" w:sz="0" w:space="0" w:color="auto"/>
            <w:right w:val="none" w:sz="0" w:space="0" w:color="auto"/>
          </w:divBdr>
        </w:div>
        <w:div w:id="1836071036">
          <w:marLeft w:val="0"/>
          <w:marRight w:val="0"/>
          <w:marTop w:val="0"/>
          <w:marBottom w:val="0"/>
          <w:divBdr>
            <w:top w:val="none" w:sz="0" w:space="0" w:color="auto"/>
            <w:left w:val="none" w:sz="0" w:space="0" w:color="auto"/>
            <w:bottom w:val="none" w:sz="0" w:space="0" w:color="auto"/>
            <w:right w:val="none" w:sz="0" w:space="0" w:color="auto"/>
          </w:divBdr>
        </w:div>
        <w:div w:id="1842158648">
          <w:marLeft w:val="0"/>
          <w:marRight w:val="0"/>
          <w:marTop w:val="0"/>
          <w:marBottom w:val="0"/>
          <w:divBdr>
            <w:top w:val="none" w:sz="0" w:space="0" w:color="auto"/>
            <w:left w:val="none" w:sz="0" w:space="0" w:color="auto"/>
            <w:bottom w:val="none" w:sz="0" w:space="0" w:color="auto"/>
            <w:right w:val="none" w:sz="0" w:space="0" w:color="auto"/>
          </w:divBdr>
        </w:div>
        <w:div w:id="1898083900">
          <w:marLeft w:val="0"/>
          <w:marRight w:val="0"/>
          <w:marTop w:val="0"/>
          <w:marBottom w:val="0"/>
          <w:divBdr>
            <w:top w:val="none" w:sz="0" w:space="0" w:color="auto"/>
            <w:left w:val="none" w:sz="0" w:space="0" w:color="auto"/>
            <w:bottom w:val="none" w:sz="0" w:space="0" w:color="auto"/>
            <w:right w:val="none" w:sz="0" w:space="0" w:color="auto"/>
          </w:divBdr>
        </w:div>
        <w:div w:id="1933123173">
          <w:marLeft w:val="0"/>
          <w:marRight w:val="0"/>
          <w:marTop w:val="0"/>
          <w:marBottom w:val="0"/>
          <w:divBdr>
            <w:top w:val="none" w:sz="0" w:space="0" w:color="auto"/>
            <w:left w:val="none" w:sz="0" w:space="0" w:color="auto"/>
            <w:bottom w:val="none" w:sz="0" w:space="0" w:color="auto"/>
            <w:right w:val="none" w:sz="0" w:space="0" w:color="auto"/>
          </w:divBdr>
        </w:div>
        <w:div w:id="1960725263">
          <w:marLeft w:val="0"/>
          <w:marRight w:val="0"/>
          <w:marTop w:val="0"/>
          <w:marBottom w:val="0"/>
          <w:divBdr>
            <w:top w:val="none" w:sz="0" w:space="0" w:color="auto"/>
            <w:left w:val="none" w:sz="0" w:space="0" w:color="auto"/>
            <w:bottom w:val="none" w:sz="0" w:space="0" w:color="auto"/>
            <w:right w:val="none" w:sz="0" w:space="0" w:color="auto"/>
          </w:divBdr>
        </w:div>
        <w:div w:id="2006853944">
          <w:marLeft w:val="0"/>
          <w:marRight w:val="0"/>
          <w:marTop w:val="0"/>
          <w:marBottom w:val="0"/>
          <w:divBdr>
            <w:top w:val="none" w:sz="0" w:space="0" w:color="auto"/>
            <w:left w:val="none" w:sz="0" w:space="0" w:color="auto"/>
            <w:bottom w:val="none" w:sz="0" w:space="0" w:color="auto"/>
            <w:right w:val="none" w:sz="0" w:space="0" w:color="auto"/>
          </w:divBdr>
        </w:div>
        <w:div w:id="2054231689">
          <w:marLeft w:val="0"/>
          <w:marRight w:val="0"/>
          <w:marTop w:val="0"/>
          <w:marBottom w:val="0"/>
          <w:divBdr>
            <w:top w:val="none" w:sz="0" w:space="0" w:color="auto"/>
            <w:left w:val="none" w:sz="0" w:space="0" w:color="auto"/>
            <w:bottom w:val="none" w:sz="0" w:space="0" w:color="auto"/>
            <w:right w:val="none" w:sz="0" w:space="0" w:color="auto"/>
          </w:divBdr>
        </w:div>
        <w:div w:id="2072579785">
          <w:marLeft w:val="0"/>
          <w:marRight w:val="0"/>
          <w:marTop w:val="0"/>
          <w:marBottom w:val="0"/>
          <w:divBdr>
            <w:top w:val="none" w:sz="0" w:space="0" w:color="auto"/>
            <w:left w:val="none" w:sz="0" w:space="0" w:color="auto"/>
            <w:bottom w:val="none" w:sz="0" w:space="0" w:color="auto"/>
            <w:right w:val="none" w:sz="0" w:space="0" w:color="auto"/>
          </w:divBdr>
        </w:div>
        <w:div w:id="2119635981">
          <w:marLeft w:val="0"/>
          <w:marRight w:val="0"/>
          <w:marTop w:val="0"/>
          <w:marBottom w:val="0"/>
          <w:divBdr>
            <w:top w:val="none" w:sz="0" w:space="0" w:color="auto"/>
            <w:left w:val="none" w:sz="0" w:space="0" w:color="auto"/>
            <w:bottom w:val="none" w:sz="0" w:space="0" w:color="auto"/>
            <w:right w:val="none" w:sz="0" w:space="0" w:color="auto"/>
          </w:divBdr>
        </w:div>
        <w:div w:id="2119794093">
          <w:marLeft w:val="0"/>
          <w:marRight w:val="0"/>
          <w:marTop w:val="0"/>
          <w:marBottom w:val="0"/>
          <w:divBdr>
            <w:top w:val="none" w:sz="0" w:space="0" w:color="auto"/>
            <w:left w:val="none" w:sz="0" w:space="0" w:color="auto"/>
            <w:bottom w:val="none" w:sz="0" w:space="0" w:color="auto"/>
            <w:right w:val="none" w:sz="0" w:space="0" w:color="auto"/>
          </w:divBdr>
        </w:div>
        <w:div w:id="2130855528">
          <w:marLeft w:val="0"/>
          <w:marRight w:val="0"/>
          <w:marTop w:val="0"/>
          <w:marBottom w:val="0"/>
          <w:divBdr>
            <w:top w:val="none" w:sz="0" w:space="0" w:color="auto"/>
            <w:left w:val="none" w:sz="0" w:space="0" w:color="auto"/>
            <w:bottom w:val="none" w:sz="0" w:space="0" w:color="auto"/>
            <w:right w:val="none" w:sz="0" w:space="0" w:color="auto"/>
          </w:divBdr>
        </w:div>
      </w:divsChild>
    </w:div>
    <w:div w:id="564075273">
      <w:bodyDiv w:val="1"/>
      <w:marLeft w:val="0"/>
      <w:marRight w:val="0"/>
      <w:marTop w:val="0"/>
      <w:marBottom w:val="0"/>
      <w:divBdr>
        <w:top w:val="none" w:sz="0" w:space="0" w:color="auto"/>
        <w:left w:val="none" w:sz="0" w:space="0" w:color="auto"/>
        <w:bottom w:val="none" w:sz="0" w:space="0" w:color="auto"/>
        <w:right w:val="none" w:sz="0" w:space="0" w:color="auto"/>
      </w:divBdr>
      <w:divsChild>
        <w:div w:id="214899005">
          <w:marLeft w:val="0"/>
          <w:marRight w:val="0"/>
          <w:marTop w:val="0"/>
          <w:marBottom w:val="0"/>
          <w:divBdr>
            <w:top w:val="none" w:sz="0" w:space="0" w:color="auto"/>
            <w:left w:val="none" w:sz="0" w:space="0" w:color="auto"/>
            <w:bottom w:val="none" w:sz="0" w:space="0" w:color="auto"/>
            <w:right w:val="none" w:sz="0" w:space="0" w:color="auto"/>
          </w:divBdr>
          <w:divsChild>
            <w:div w:id="1511219774">
              <w:marLeft w:val="0"/>
              <w:marRight w:val="0"/>
              <w:marTop w:val="0"/>
              <w:marBottom w:val="0"/>
              <w:divBdr>
                <w:top w:val="none" w:sz="0" w:space="0" w:color="auto"/>
                <w:left w:val="none" w:sz="0" w:space="0" w:color="auto"/>
                <w:bottom w:val="none" w:sz="0" w:space="0" w:color="auto"/>
                <w:right w:val="none" w:sz="0" w:space="0" w:color="auto"/>
              </w:divBdr>
            </w:div>
          </w:divsChild>
        </w:div>
        <w:div w:id="250238133">
          <w:marLeft w:val="0"/>
          <w:marRight w:val="0"/>
          <w:marTop w:val="0"/>
          <w:marBottom w:val="0"/>
          <w:divBdr>
            <w:top w:val="none" w:sz="0" w:space="0" w:color="auto"/>
            <w:left w:val="none" w:sz="0" w:space="0" w:color="auto"/>
            <w:bottom w:val="none" w:sz="0" w:space="0" w:color="auto"/>
            <w:right w:val="none" w:sz="0" w:space="0" w:color="auto"/>
          </w:divBdr>
          <w:divsChild>
            <w:div w:id="1250846898">
              <w:marLeft w:val="0"/>
              <w:marRight w:val="0"/>
              <w:marTop w:val="0"/>
              <w:marBottom w:val="0"/>
              <w:divBdr>
                <w:top w:val="none" w:sz="0" w:space="0" w:color="auto"/>
                <w:left w:val="none" w:sz="0" w:space="0" w:color="auto"/>
                <w:bottom w:val="none" w:sz="0" w:space="0" w:color="auto"/>
                <w:right w:val="none" w:sz="0" w:space="0" w:color="auto"/>
              </w:divBdr>
            </w:div>
            <w:div w:id="1436247903">
              <w:marLeft w:val="0"/>
              <w:marRight w:val="0"/>
              <w:marTop w:val="0"/>
              <w:marBottom w:val="0"/>
              <w:divBdr>
                <w:top w:val="none" w:sz="0" w:space="0" w:color="auto"/>
                <w:left w:val="none" w:sz="0" w:space="0" w:color="auto"/>
                <w:bottom w:val="none" w:sz="0" w:space="0" w:color="auto"/>
                <w:right w:val="none" w:sz="0" w:space="0" w:color="auto"/>
              </w:divBdr>
            </w:div>
          </w:divsChild>
        </w:div>
        <w:div w:id="311252433">
          <w:marLeft w:val="0"/>
          <w:marRight w:val="0"/>
          <w:marTop w:val="0"/>
          <w:marBottom w:val="0"/>
          <w:divBdr>
            <w:top w:val="none" w:sz="0" w:space="0" w:color="auto"/>
            <w:left w:val="none" w:sz="0" w:space="0" w:color="auto"/>
            <w:bottom w:val="none" w:sz="0" w:space="0" w:color="auto"/>
            <w:right w:val="none" w:sz="0" w:space="0" w:color="auto"/>
          </w:divBdr>
          <w:divsChild>
            <w:div w:id="1420179507">
              <w:marLeft w:val="0"/>
              <w:marRight w:val="0"/>
              <w:marTop w:val="0"/>
              <w:marBottom w:val="0"/>
              <w:divBdr>
                <w:top w:val="none" w:sz="0" w:space="0" w:color="auto"/>
                <w:left w:val="none" w:sz="0" w:space="0" w:color="auto"/>
                <w:bottom w:val="none" w:sz="0" w:space="0" w:color="auto"/>
                <w:right w:val="none" w:sz="0" w:space="0" w:color="auto"/>
              </w:divBdr>
            </w:div>
          </w:divsChild>
        </w:div>
        <w:div w:id="466780096">
          <w:marLeft w:val="0"/>
          <w:marRight w:val="0"/>
          <w:marTop w:val="0"/>
          <w:marBottom w:val="0"/>
          <w:divBdr>
            <w:top w:val="none" w:sz="0" w:space="0" w:color="auto"/>
            <w:left w:val="none" w:sz="0" w:space="0" w:color="auto"/>
            <w:bottom w:val="none" w:sz="0" w:space="0" w:color="auto"/>
            <w:right w:val="none" w:sz="0" w:space="0" w:color="auto"/>
          </w:divBdr>
          <w:divsChild>
            <w:div w:id="957642808">
              <w:marLeft w:val="0"/>
              <w:marRight w:val="0"/>
              <w:marTop w:val="0"/>
              <w:marBottom w:val="0"/>
              <w:divBdr>
                <w:top w:val="none" w:sz="0" w:space="0" w:color="auto"/>
                <w:left w:val="none" w:sz="0" w:space="0" w:color="auto"/>
                <w:bottom w:val="none" w:sz="0" w:space="0" w:color="auto"/>
                <w:right w:val="none" w:sz="0" w:space="0" w:color="auto"/>
              </w:divBdr>
            </w:div>
          </w:divsChild>
        </w:div>
        <w:div w:id="513544186">
          <w:marLeft w:val="0"/>
          <w:marRight w:val="0"/>
          <w:marTop w:val="0"/>
          <w:marBottom w:val="0"/>
          <w:divBdr>
            <w:top w:val="none" w:sz="0" w:space="0" w:color="auto"/>
            <w:left w:val="none" w:sz="0" w:space="0" w:color="auto"/>
            <w:bottom w:val="none" w:sz="0" w:space="0" w:color="auto"/>
            <w:right w:val="none" w:sz="0" w:space="0" w:color="auto"/>
          </w:divBdr>
          <w:divsChild>
            <w:div w:id="847407939">
              <w:marLeft w:val="0"/>
              <w:marRight w:val="0"/>
              <w:marTop w:val="0"/>
              <w:marBottom w:val="0"/>
              <w:divBdr>
                <w:top w:val="none" w:sz="0" w:space="0" w:color="auto"/>
                <w:left w:val="none" w:sz="0" w:space="0" w:color="auto"/>
                <w:bottom w:val="none" w:sz="0" w:space="0" w:color="auto"/>
                <w:right w:val="none" w:sz="0" w:space="0" w:color="auto"/>
              </w:divBdr>
            </w:div>
          </w:divsChild>
        </w:div>
        <w:div w:id="534460780">
          <w:marLeft w:val="0"/>
          <w:marRight w:val="0"/>
          <w:marTop w:val="0"/>
          <w:marBottom w:val="0"/>
          <w:divBdr>
            <w:top w:val="none" w:sz="0" w:space="0" w:color="auto"/>
            <w:left w:val="none" w:sz="0" w:space="0" w:color="auto"/>
            <w:bottom w:val="none" w:sz="0" w:space="0" w:color="auto"/>
            <w:right w:val="none" w:sz="0" w:space="0" w:color="auto"/>
          </w:divBdr>
          <w:divsChild>
            <w:div w:id="269246468">
              <w:marLeft w:val="0"/>
              <w:marRight w:val="0"/>
              <w:marTop w:val="0"/>
              <w:marBottom w:val="0"/>
              <w:divBdr>
                <w:top w:val="none" w:sz="0" w:space="0" w:color="auto"/>
                <w:left w:val="none" w:sz="0" w:space="0" w:color="auto"/>
                <w:bottom w:val="none" w:sz="0" w:space="0" w:color="auto"/>
                <w:right w:val="none" w:sz="0" w:space="0" w:color="auto"/>
              </w:divBdr>
            </w:div>
          </w:divsChild>
        </w:div>
        <w:div w:id="625477470">
          <w:marLeft w:val="0"/>
          <w:marRight w:val="0"/>
          <w:marTop w:val="0"/>
          <w:marBottom w:val="0"/>
          <w:divBdr>
            <w:top w:val="none" w:sz="0" w:space="0" w:color="auto"/>
            <w:left w:val="none" w:sz="0" w:space="0" w:color="auto"/>
            <w:bottom w:val="none" w:sz="0" w:space="0" w:color="auto"/>
            <w:right w:val="none" w:sz="0" w:space="0" w:color="auto"/>
          </w:divBdr>
          <w:divsChild>
            <w:div w:id="264077132">
              <w:marLeft w:val="0"/>
              <w:marRight w:val="0"/>
              <w:marTop w:val="0"/>
              <w:marBottom w:val="0"/>
              <w:divBdr>
                <w:top w:val="none" w:sz="0" w:space="0" w:color="auto"/>
                <w:left w:val="none" w:sz="0" w:space="0" w:color="auto"/>
                <w:bottom w:val="none" w:sz="0" w:space="0" w:color="auto"/>
                <w:right w:val="none" w:sz="0" w:space="0" w:color="auto"/>
              </w:divBdr>
            </w:div>
          </w:divsChild>
        </w:div>
        <w:div w:id="697312906">
          <w:marLeft w:val="0"/>
          <w:marRight w:val="0"/>
          <w:marTop w:val="0"/>
          <w:marBottom w:val="0"/>
          <w:divBdr>
            <w:top w:val="none" w:sz="0" w:space="0" w:color="auto"/>
            <w:left w:val="none" w:sz="0" w:space="0" w:color="auto"/>
            <w:bottom w:val="none" w:sz="0" w:space="0" w:color="auto"/>
            <w:right w:val="none" w:sz="0" w:space="0" w:color="auto"/>
          </w:divBdr>
          <w:divsChild>
            <w:div w:id="190462441">
              <w:marLeft w:val="0"/>
              <w:marRight w:val="0"/>
              <w:marTop w:val="0"/>
              <w:marBottom w:val="0"/>
              <w:divBdr>
                <w:top w:val="none" w:sz="0" w:space="0" w:color="auto"/>
                <w:left w:val="none" w:sz="0" w:space="0" w:color="auto"/>
                <w:bottom w:val="none" w:sz="0" w:space="0" w:color="auto"/>
                <w:right w:val="none" w:sz="0" w:space="0" w:color="auto"/>
              </w:divBdr>
            </w:div>
          </w:divsChild>
        </w:div>
        <w:div w:id="796263650">
          <w:marLeft w:val="0"/>
          <w:marRight w:val="0"/>
          <w:marTop w:val="0"/>
          <w:marBottom w:val="0"/>
          <w:divBdr>
            <w:top w:val="none" w:sz="0" w:space="0" w:color="auto"/>
            <w:left w:val="none" w:sz="0" w:space="0" w:color="auto"/>
            <w:bottom w:val="none" w:sz="0" w:space="0" w:color="auto"/>
            <w:right w:val="none" w:sz="0" w:space="0" w:color="auto"/>
          </w:divBdr>
          <w:divsChild>
            <w:div w:id="405226742">
              <w:marLeft w:val="0"/>
              <w:marRight w:val="0"/>
              <w:marTop w:val="0"/>
              <w:marBottom w:val="0"/>
              <w:divBdr>
                <w:top w:val="none" w:sz="0" w:space="0" w:color="auto"/>
                <w:left w:val="none" w:sz="0" w:space="0" w:color="auto"/>
                <w:bottom w:val="none" w:sz="0" w:space="0" w:color="auto"/>
                <w:right w:val="none" w:sz="0" w:space="0" w:color="auto"/>
              </w:divBdr>
            </w:div>
          </w:divsChild>
        </w:div>
        <w:div w:id="903376454">
          <w:marLeft w:val="0"/>
          <w:marRight w:val="0"/>
          <w:marTop w:val="0"/>
          <w:marBottom w:val="0"/>
          <w:divBdr>
            <w:top w:val="none" w:sz="0" w:space="0" w:color="auto"/>
            <w:left w:val="none" w:sz="0" w:space="0" w:color="auto"/>
            <w:bottom w:val="none" w:sz="0" w:space="0" w:color="auto"/>
            <w:right w:val="none" w:sz="0" w:space="0" w:color="auto"/>
          </w:divBdr>
          <w:divsChild>
            <w:div w:id="261575137">
              <w:marLeft w:val="0"/>
              <w:marRight w:val="0"/>
              <w:marTop w:val="0"/>
              <w:marBottom w:val="0"/>
              <w:divBdr>
                <w:top w:val="none" w:sz="0" w:space="0" w:color="auto"/>
                <w:left w:val="none" w:sz="0" w:space="0" w:color="auto"/>
                <w:bottom w:val="none" w:sz="0" w:space="0" w:color="auto"/>
                <w:right w:val="none" w:sz="0" w:space="0" w:color="auto"/>
              </w:divBdr>
            </w:div>
          </w:divsChild>
        </w:div>
        <w:div w:id="930510778">
          <w:marLeft w:val="0"/>
          <w:marRight w:val="0"/>
          <w:marTop w:val="0"/>
          <w:marBottom w:val="0"/>
          <w:divBdr>
            <w:top w:val="none" w:sz="0" w:space="0" w:color="auto"/>
            <w:left w:val="none" w:sz="0" w:space="0" w:color="auto"/>
            <w:bottom w:val="none" w:sz="0" w:space="0" w:color="auto"/>
            <w:right w:val="none" w:sz="0" w:space="0" w:color="auto"/>
          </w:divBdr>
          <w:divsChild>
            <w:div w:id="1357923024">
              <w:marLeft w:val="0"/>
              <w:marRight w:val="0"/>
              <w:marTop w:val="0"/>
              <w:marBottom w:val="0"/>
              <w:divBdr>
                <w:top w:val="none" w:sz="0" w:space="0" w:color="auto"/>
                <w:left w:val="none" w:sz="0" w:space="0" w:color="auto"/>
                <w:bottom w:val="none" w:sz="0" w:space="0" w:color="auto"/>
                <w:right w:val="none" w:sz="0" w:space="0" w:color="auto"/>
              </w:divBdr>
            </w:div>
          </w:divsChild>
        </w:div>
        <w:div w:id="982975232">
          <w:marLeft w:val="0"/>
          <w:marRight w:val="0"/>
          <w:marTop w:val="0"/>
          <w:marBottom w:val="0"/>
          <w:divBdr>
            <w:top w:val="none" w:sz="0" w:space="0" w:color="auto"/>
            <w:left w:val="none" w:sz="0" w:space="0" w:color="auto"/>
            <w:bottom w:val="none" w:sz="0" w:space="0" w:color="auto"/>
            <w:right w:val="none" w:sz="0" w:space="0" w:color="auto"/>
          </w:divBdr>
          <w:divsChild>
            <w:div w:id="306670090">
              <w:marLeft w:val="0"/>
              <w:marRight w:val="0"/>
              <w:marTop w:val="0"/>
              <w:marBottom w:val="0"/>
              <w:divBdr>
                <w:top w:val="none" w:sz="0" w:space="0" w:color="auto"/>
                <w:left w:val="none" w:sz="0" w:space="0" w:color="auto"/>
                <w:bottom w:val="none" w:sz="0" w:space="0" w:color="auto"/>
                <w:right w:val="none" w:sz="0" w:space="0" w:color="auto"/>
              </w:divBdr>
            </w:div>
          </w:divsChild>
        </w:div>
        <w:div w:id="1008291125">
          <w:marLeft w:val="0"/>
          <w:marRight w:val="0"/>
          <w:marTop w:val="0"/>
          <w:marBottom w:val="0"/>
          <w:divBdr>
            <w:top w:val="none" w:sz="0" w:space="0" w:color="auto"/>
            <w:left w:val="none" w:sz="0" w:space="0" w:color="auto"/>
            <w:bottom w:val="none" w:sz="0" w:space="0" w:color="auto"/>
            <w:right w:val="none" w:sz="0" w:space="0" w:color="auto"/>
          </w:divBdr>
          <w:divsChild>
            <w:div w:id="1844083248">
              <w:marLeft w:val="0"/>
              <w:marRight w:val="0"/>
              <w:marTop w:val="0"/>
              <w:marBottom w:val="0"/>
              <w:divBdr>
                <w:top w:val="none" w:sz="0" w:space="0" w:color="auto"/>
                <w:left w:val="none" w:sz="0" w:space="0" w:color="auto"/>
                <w:bottom w:val="none" w:sz="0" w:space="0" w:color="auto"/>
                <w:right w:val="none" w:sz="0" w:space="0" w:color="auto"/>
              </w:divBdr>
            </w:div>
          </w:divsChild>
        </w:div>
        <w:div w:id="1020661494">
          <w:marLeft w:val="0"/>
          <w:marRight w:val="0"/>
          <w:marTop w:val="0"/>
          <w:marBottom w:val="0"/>
          <w:divBdr>
            <w:top w:val="none" w:sz="0" w:space="0" w:color="auto"/>
            <w:left w:val="none" w:sz="0" w:space="0" w:color="auto"/>
            <w:bottom w:val="none" w:sz="0" w:space="0" w:color="auto"/>
            <w:right w:val="none" w:sz="0" w:space="0" w:color="auto"/>
          </w:divBdr>
          <w:divsChild>
            <w:div w:id="944852275">
              <w:marLeft w:val="0"/>
              <w:marRight w:val="0"/>
              <w:marTop w:val="0"/>
              <w:marBottom w:val="0"/>
              <w:divBdr>
                <w:top w:val="none" w:sz="0" w:space="0" w:color="auto"/>
                <w:left w:val="none" w:sz="0" w:space="0" w:color="auto"/>
                <w:bottom w:val="none" w:sz="0" w:space="0" w:color="auto"/>
                <w:right w:val="none" w:sz="0" w:space="0" w:color="auto"/>
              </w:divBdr>
            </w:div>
          </w:divsChild>
        </w:div>
        <w:div w:id="1154102835">
          <w:marLeft w:val="0"/>
          <w:marRight w:val="0"/>
          <w:marTop w:val="0"/>
          <w:marBottom w:val="0"/>
          <w:divBdr>
            <w:top w:val="none" w:sz="0" w:space="0" w:color="auto"/>
            <w:left w:val="none" w:sz="0" w:space="0" w:color="auto"/>
            <w:bottom w:val="none" w:sz="0" w:space="0" w:color="auto"/>
            <w:right w:val="none" w:sz="0" w:space="0" w:color="auto"/>
          </w:divBdr>
          <w:divsChild>
            <w:div w:id="246117943">
              <w:marLeft w:val="0"/>
              <w:marRight w:val="0"/>
              <w:marTop w:val="0"/>
              <w:marBottom w:val="0"/>
              <w:divBdr>
                <w:top w:val="none" w:sz="0" w:space="0" w:color="auto"/>
                <w:left w:val="none" w:sz="0" w:space="0" w:color="auto"/>
                <w:bottom w:val="none" w:sz="0" w:space="0" w:color="auto"/>
                <w:right w:val="none" w:sz="0" w:space="0" w:color="auto"/>
              </w:divBdr>
            </w:div>
          </w:divsChild>
        </w:div>
        <w:div w:id="1154106879">
          <w:marLeft w:val="0"/>
          <w:marRight w:val="0"/>
          <w:marTop w:val="0"/>
          <w:marBottom w:val="0"/>
          <w:divBdr>
            <w:top w:val="none" w:sz="0" w:space="0" w:color="auto"/>
            <w:left w:val="none" w:sz="0" w:space="0" w:color="auto"/>
            <w:bottom w:val="none" w:sz="0" w:space="0" w:color="auto"/>
            <w:right w:val="none" w:sz="0" w:space="0" w:color="auto"/>
          </w:divBdr>
          <w:divsChild>
            <w:div w:id="457604126">
              <w:marLeft w:val="0"/>
              <w:marRight w:val="0"/>
              <w:marTop w:val="0"/>
              <w:marBottom w:val="0"/>
              <w:divBdr>
                <w:top w:val="none" w:sz="0" w:space="0" w:color="auto"/>
                <w:left w:val="none" w:sz="0" w:space="0" w:color="auto"/>
                <w:bottom w:val="none" w:sz="0" w:space="0" w:color="auto"/>
                <w:right w:val="none" w:sz="0" w:space="0" w:color="auto"/>
              </w:divBdr>
            </w:div>
          </w:divsChild>
        </w:div>
        <w:div w:id="1159884785">
          <w:marLeft w:val="0"/>
          <w:marRight w:val="0"/>
          <w:marTop w:val="0"/>
          <w:marBottom w:val="0"/>
          <w:divBdr>
            <w:top w:val="none" w:sz="0" w:space="0" w:color="auto"/>
            <w:left w:val="none" w:sz="0" w:space="0" w:color="auto"/>
            <w:bottom w:val="none" w:sz="0" w:space="0" w:color="auto"/>
            <w:right w:val="none" w:sz="0" w:space="0" w:color="auto"/>
          </w:divBdr>
          <w:divsChild>
            <w:div w:id="1457062453">
              <w:marLeft w:val="0"/>
              <w:marRight w:val="0"/>
              <w:marTop w:val="0"/>
              <w:marBottom w:val="0"/>
              <w:divBdr>
                <w:top w:val="none" w:sz="0" w:space="0" w:color="auto"/>
                <w:left w:val="none" w:sz="0" w:space="0" w:color="auto"/>
                <w:bottom w:val="none" w:sz="0" w:space="0" w:color="auto"/>
                <w:right w:val="none" w:sz="0" w:space="0" w:color="auto"/>
              </w:divBdr>
            </w:div>
            <w:div w:id="1739672527">
              <w:marLeft w:val="0"/>
              <w:marRight w:val="0"/>
              <w:marTop w:val="0"/>
              <w:marBottom w:val="0"/>
              <w:divBdr>
                <w:top w:val="none" w:sz="0" w:space="0" w:color="auto"/>
                <w:left w:val="none" w:sz="0" w:space="0" w:color="auto"/>
                <w:bottom w:val="none" w:sz="0" w:space="0" w:color="auto"/>
                <w:right w:val="none" w:sz="0" w:space="0" w:color="auto"/>
              </w:divBdr>
            </w:div>
          </w:divsChild>
        </w:div>
        <w:div w:id="1467162764">
          <w:marLeft w:val="0"/>
          <w:marRight w:val="0"/>
          <w:marTop w:val="0"/>
          <w:marBottom w:val="0"/>
          <w:divBdr>
            <w:top w:val="none" w:sz="0" w:space="0" w:color="auto"/>
            <w:left w:val="none" w:sz="0" w:space="0" w:color="auto"/>
            <w:bottom w:val="none" w:sz="0" w:space="0" w:color="auto"/>
            <w:right w:val="none" w:sz="0" w:space="0" w:color="auto"/>
          </w:divBdr>
          <w:divsChild>
            <w:div w:id="288903339">
              <w:marLeft w:val="0"/>
              <w:marRight w:val="0"/>
              <w:marTop w:val="0"/>
              <w:marBottom w:val="0"/>
              <w:divBdr>
                <w:top w:val="none" w:sz="0" w:space="0" w:color="auto"/>
                <w:left w:val="none" w:sz="0" w:space="0" w:color="auto"/>
                <w:bottom w:val="none" w:sz="0" w:space="0" w:color="auto"/>
                <w:right w:val="none" w:sz="0" w:space="0" w:color="auto"/>
              </w:divBdr>
            </w:div>
          </w:divsChild>
        </w:div>
        <w:div w:id="1550536116">
          <w:marLeft w:val="0"/>
          <w:marRight w:val="0"/>
          <w:marTop w:val="0"/>
          <w:marBottom w:val="0"/>
          <w:divBdr>
            <w:top w:val="none" w:sz="0" w:space="0" w:color="auto"/>
            <w:left w:val="none" w:sz="0" w:space="0" w:color="auto"/>
            <w:bottom w:val="none" w:sz="0" w:space="0" w:color="auto"/>
            <w:right w:val="none" w:sz="0" w:space="0" w:color="auto"/>
          </w:divBdr>
          <w:divsChild>
            <w:div w:id="878585274">
              <w:marLeft w:val="0"/>
              <w:marRight w:val="0"/>
              <w:marTop w:val="0"/>
              <w:marBottom w:val="0"/>
              <w:divBdr>
                <w:top w:val="none" w:sz="0" w:space="0" w:color="auto"/>
                <w:left w:val="none" w:sz="0" w:space="0" w:color="auto"/>
                <w:bottom w:val="none" w:sz="0" w:space="0" w:color="auto"/>
                <w:right w:val="none" w:sz="0" w:space="0" w:color="auto"/>
              </w:divBdr>
            </w:div>
          </w:divsChild>
        </w:div>
        <w:div w:id="1663318105">
          <w:marLeft w:val="0"/>
          <w:marRight w:val="0"/>
          <w:marTop w:val="0"/>
          <w:marBottom w:val="0"/>
          <w:divBdr>
            <w:top w:val="none" w:sz="0" w:space="0" w:color="auto"/>
            <w:left w:val="none" w:sz="0" w:space="0" w:color="auto"/>
            <w:bottom w:val="none" w:sz="0" w:space="0" w:color="auto"/>
            <w:right w:val="none" w:sz="0" w:space="0" w:color="auto"/>
          </w:divBdr>
          <w:divsChild>
            <w:div w:id="681395284">
              <w:marLeft w:val="0"/>
              <w:marRight w:val="0"/>
              <w:marTop w:val="0"/>
              <w:marBottom w:val="0"/>
              <w:divBdr>
                <w:top w:val="none" w:sz="0" w:space="0" w:color="auto"/>
                <w:left w:val="none" w:sz="0" w:space="0" w:color="auto"/>
                <w:bottom w:val="none" w:sz="0" w:space="0" w:color="auto"/>
                <w:right w:val="none" w:sz="0" w:space="0" w:color="auto"/>
              </w:divBdr>
            </w:div>
          </w:divsChild>
        </w:div>
        <w:div w:id="1883978971">
          <w:marLeft w:val="0"/>
          <w:marRight w:val="0"/>
          <w:marTop w:val="0"/>
          <w:marBottom w:val="0"/>
          <w:divBdr>
            <w:top w:val="none" w:sz="0" w:space="0" w:color="auto"/>
            <w:left w:val="none" w:sz="0" w:space="0" w:color="auto"/>
            <w:bottom w:val="none" w:sz="0" w:space="0" w:color="auto"/>
            <w:right w:val="none" w:sz="0" w:space="0" w:color="auto"/>
          </w:divBdr>
          <w:divsChild>
            <w:div w:id="948007727">
              <w:marLeft w:val="0"/>
              <w:marRight w:val="0"/>
              <w:marTop w:val="0"/>
              <w:marBottom w:val="0"/>
              <w:divBdr>
                <w:top w:val="none" w:sz="0" w:space="0" w:color="auto"/>
                <w:left w:val="none" w:sz="0" w:space="0" w:color="auto"/>
                <w:bottom w:val="none" w:sz="0" w:space="0" w:color="auto"/>
                <w:right w:val="none" w:sz="0" w:space="0" w:color="auto"/>
              </w:divBdr>
            </w:div>
          </w:divsChild>
        </w:div>
        <w:div w:id="1889608800">
          <w:marLeft w:val="0"/>
          <w:marRight w:val="0"/>
          <w:marTop w:val="0"/>
          <w:marBottom w:val="0"/>
          <w:divBdr>
            <w:top w:val="none" w:sz="0" w:space="0" w:color="auto"/>
            <w:left w:val="none" w:sz="0" w:space="0" w:color="auto"/>
            <w:bottom w:val="none" w:sz="0" w:space="0" w:color="auto"/>
            <w:right w:val="none" w:sz="0" w:space="0" w:color="auto"/>
          </w:divBdr>
          <w:divsChild>
            <w:div w:id="1401178230">
              <w:marLeft w:val="0"/>
              <w:marRight w:val="0"/>
              <w:marTop w:val="0"/>
              <w:marBottom w:val="0"/>
              <w:divBdr>
                <w:top w:val="none" w:sz="0" w:space="0" w:color="auto"/>
                <w:left w:val="none" w:sz="0" w:space="0" w:color="auto"/>
                <w:bottom w:val="none" w:sz="0" w:space="0" w:color="auto"/>
                <w:right w:val="none" w:sz="0" w:space="0" w:color="auto"/>
              </w:divBdr>
            </w:div>
          </w:divsChild>
        </w:div>
        <w:div w:id="1992908000">
          <w:marLeft w:val="0"/>
          <w:marRight w:val="0"/>
          <w:marTop w:val="0"/>
          <w:marBottom w:val="0"/>
          <w:divBdr>
            <w:top w:val="none" w:sz="0" w:space="0" w:color="auto"/>
            <w:left w:val="none" w:sz="0" w:space="0" w:color="auto"/>
            <w:bottom w:val="none" w:sz="0" w:space="0" w:color="auto"/>
            <w:right w:val="none" w:sz="0" w:space="0" w:color="auto"/>
          </w:divBdr>
          <w:divsChild>
            <w:div w:id="566307582">
              <w:marLeft w:val="0"/>
              <w:marRight w:val="0"/>
              <w:marTop w:val="0"/>
              <w:marBottom w:val="0"/>
              <w:divBdr>
                <w:top w:val="none" w:sz="0" w:space="0" w:color="auto"/>
                <w:left w:val="none" w:sz="0" w:space="0" w:color="auto"/>
                <w:bottom w:val="none" w:sz="0" w:space="0" w:color="auto"/>
                <w:right w:val="none" w:sz="0" w:space="0" w:color="auto"/>
              </w:divBdr>
            </w:div>
          </w:divsChild>
        </w:div>
        <w:div w:id="2021351639">
          <w:marLeft w:val="0"/>
          <w:marRight w:val="0"/>
          <w:marTop w:val="0"/>
          <w:marBottom w:val="0"/>
          <w:divBdr>
            <w:top w:val="none" w:sz="0" w:space="0" w:color="auto"/>
            <w:left w:val="none" w:sz="0" w:space="0" w:color="auto"/>
            <w:bottom w:val="none" w:sz="0" w:space="0" w:color="auto"/>
            <w:right w:val="none" w:sz="0" w:space="0" w:color="auto"/>
          </w:divBdr>
          <w:divsChild>
            <w:div w:id="14864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1203">
      <w:bodyDiv w:val="1"/>
      <w:marLeft w:val="0"/>
      <w:marRight w:val="0"/>
      <w:marTop w:val="0"/>
      <w:marBottom w:val="0"/>
      <w:divBdr>
        <w:top w:val="none" w:sz="0" w:space="0" w:color="auto"/>
        <w:left w:val="none" w:sz="0" w:space="0" w:color="auto"/>
        <w:bottom w:val="none" w:sz="0" w:space="0" w:color="auto"/>
        <w:right w:val="none" w:sz="0" w:space="0" w:color="auto"/>
      </w:divBdr>
      <w:divsChild>
        <w:div w:id="132719111">
          <w:marLeft w:val="0"/>
          <w:marRight w:val="0"/>
          <w:marTop w:val="0"/>
          <w:marBottom w:val="0"/>
          <w:divBdr>
            <w:top w:val="none" w:sz="0" w:space="0" w:color="auto"/>
            <w:left w:val="none" w:sz="0" w:space="0" w:color="auto"/>
            <w:bottom w:val="none" w:sz="0" w:space="0" w:color="auto"/>
            <w:right w:val="none" w:sz="0" w:space="0" w:color="auto"/>
          </w:divBdr>
        </w:div>
        <w:div w:id="285353512">
          <w:marLeft w:val="0"/>
          <w:marRight w:val="0"/>
          <w:marTop w:val="0"/>
          <w:marBottom w:val="0"/>
          <w:divBdr>
            <w:top w:val="none" w:sz="0" w:space="0" w:color="auto"/>
            <w:left w:val="none" w:sz="0" w:space="0" w:color="auto"/>
            <w:bottom w:val="none" w:sz="0" w:space="0" w:color="auto"/>
            <w:right w:val="none" w:sz="0" w:space="0" w:color="auto"/>
          </w:divBdr>
        </w:div>
        <w:div w:id="354890953">
          <w:marLeft w:val="0"/>
          <w:marRight w:val="0"/>
          <w:marTop w:val="0"/>
          <w:marBottom w:val="0"/>
          <w:divBdr>
            <w:top w:val="none" w:sz="0" w:space="0" w:color="auto"/>
            <w:left w:val="none" w:sz="0" w:space="0" w:color="auto"/>
            <w:bottom w:val="none" w:sz="0" w:space="0" w:color="auto"/>
            <w:right w:val="none" w:sz="0" w:space="0" w:color="auto"/>
          </w:divBdr>
        </w:div>
        <w:div w:id="1032651563">
          <w:marLeft w:val="0"/>
          <w:marRight w:val="0"/>
          <w:marTop w:val="0"/>
          <w:marBottom w:val="0"/>
          <w:divBdr>
            <w:top w:val="none" w:sz="0" w:space="0" w:color="auto"/>
            <w:left w:val="none" w:sz="0" w:space="0" w:color="auto"/>
            <w:bottom w:val="none" w:sz="0" w:space="0" w:color="auto"/>
            <w:right w:val="none" w:sz="0" w:space="0" w:color="auto"/>
          </w:divBdr>
        </w:div>
        <w:div w:id="1105075951">
          <w:marLeft w:val="0"/>
          <w:marRight w:val="0"/>
          <w:marTop w:val="0"/>
          <w:marBottom w:val="0"/>
          <w:divBdr>
            <w:top w:val="none" w:sz="0" w:space="0" w:color="auto"/>
            <w:left w:val="none" w:sz="0" w:space="0" w:color="auto"/>
            <w:bottom w:val="none" w:sz="0" w:space="0" w:color="auto"/>
            <w:right w:val="none" w:sz="0" w:space="0" w:color="auto"/>
          </w:divBdr>
        </w:div>
        <w:div w:id="1184511900">
          <w:marLeft w:val="0"/>
          <w:marRight w:val="0"/>
          <w:marTop w:val="0"/>
          <w:marBottom w:val="0"/>
          <w:divBdr>
            <w:top w:val="none" w:sz="0" w:space="0" w:color="auto"/>
            <w:left w:val="none" w:sz="0" w:space="0" w:color="auto"/>
            <w:bottom w:val="none" w:sz="0" w:space="0" w:color="auto"/>
            <w:right w:val="none" w:sz="0" w:space="0" w:color="auto"/>
          </w:divBdr>
        </w:div>
        <w:div w:id="1582526148">
          <w:marLeft w:val="0"/>
          <w:marRight w:val="0"/>
          <w:marTop w:val="0"/>
          <w:marBottom w:val="0"/>
          <w:divBdr>
            <w:top w:val="none" w:sz="0" w:space="0" w:color="auto"/>
            <w:left w:val="none" w:sz="0" w:space="0" w:color="auto"/>
            <w:bottom w:val="none" w:sz="0" w:space="0" w:color="auto"/>
            <w:right w:val="none" w:sz="0" w:space="0" w:color="auto"/>
          </w:divBdr>
        </w:div>
        <w:div w:id="1728646336">
          <w:marLeft w:val="0"/>
          <w:marRight w:val="0"/>
          <w:marTop w:val="0"/>
          <w:marBottom w:val="0"/>
          <w:divBdr>
            <w:top w:val="none" w:sz="0" w:space="0" w:color="auto"/>
            <w:left w:val="none" w:sz="0" w:space="0" w:color="auto"/>
            <w:bottom w:val="none" w:sz="0" w:space="0" w:color="auto"/>
            <w:right w:val="none" w:sz="0" w:space="0" w:color="auto"/>
          </w:divBdr>
        </w:div>
        <w:div w:id="1871411594">
          <w:marLeft w:val="0"/>
          <w:marRight w:val="0"/>
          <w:marTop w:val="0"/>
          <w:marBottom w:val="0"/>
          <w:divBdr>
            <w:top w:val="none" w:sz="0" w:space="0" w:color="auto"/>
            <w:left w:val="none" w:sz="0" w:space="0" w:color="auto"/>
            <w:bottom w:val="none" w:sz="0" w:space="0" w:color="auto"/>
            <w:right w:val="none" w:sz="0" w:space="0" w:color="auto"/>
          </w:divBdr>
        </w:div>
        <w:div w:id="1896893847">
          <w:marLeft w:val="0"/>
          <w:marRight w:val="0"/>
          <w:marTop w:val="0"/>
          <w:marBottom w:val="0"/>
          <w:divBdr>
            <w:top w:val="none" w:sz="0" w:space="0" w:color="auto"/>
            <w:left w:val="none" w:sz="0" w:space="0" w:color="auto"/>
            <w:bottom w:val="none" w:sz="0" w:space="0" w:color="auto"/>
            <w:right w:val="none" w:sz="0" w:space="0" w:color="auto"/>
          </w:divBdr>
        </w:div>
      </w:divsChild>
    </w:div>
    <w:div w:id="616104268">
      <w:bodyDiv w:val="1"/>
      <w:marLeft w:val="0"/>
      <w:marRight w:val="0"/>
      <w:marTop w:val="0"/>
      <w:marBottom w:val="0"/>
      <w:divBdr>
        <w:top w:val="none" w:sz="0" w:space="0" w:color="auto"/>
        <w:left w:val="none" w:sz="0" w:space="0" w:color="auto"/>
        <w:bottom w:val="none" w:sz="0" w:space="0" w:color="auto"/>
        <w:right w:val="none" w:sz="0" w:space="0" w:color="auto"/>
      </w:divBdr>
      <w:divsChild>
        <w:div w:id="48192101">
          <w:marLeft w:val="0"/>
          <w:marRight w:val="0"/>
          <w:marTop w:val="0"/>
          <w:marBottom w:val="0"/>
          <w:divBdr>
            <w:top w:val="none" w:sz="0" w:space="0" w:color="auto"/>
            <w:left w:val="none" w:sz="0" w:space="0" w:color="auto"/>
            <w:bottom w:val="none" w:sz="0" w:space="0" w:color="auto"/>
            <w:right w:val="none" w:sz="0" w:space="0" w:color="auto"/>
          </w:divBdr>
          <w:divsChild>
            <w:div w:id="454324929">
              <w:marLeft w:val="0"/>
              <w:marRight w:val="0"/>
              <w:marTop w:val="0"/>
              <w:marBottom w:val="0"/>
              <w:divBdr>
                <w:top w:val="none" w:sz="0" w:space="0" w:color="auto"/>
                <w:left w:val="none" w:sz="0" w:space="0" w:color="auto"/>
                <w:bottom w:val="none" w:sz="0" w:space="0" w:color="auto"/>
                <w:right w:val="none" w:sz="0" w:space="0" w:color="auto"/>
              </w:divBdr>
            </w:div>
          </w:divsChild>
        </w:div>
        <w:div w:id="113865795">
          <w:marLeft w:val="0"/>
          <w:marRight w:val="0"/>
          <w:marTop w:val="0"/>
          <w:marBottom w:val="0"/>
          <w:divBdr>
            <w:top w:val="none" w:sz="0" w:space="0" w:color="auto"/>
            <w:left w:val="none" w:sz="0" w:space="0" w:color="auto"/>
            <w:bottom w:val="none" w:sz="0" w:space="0" w:color="auto"/>
            <w:right w:val="none" w:sz="0" w:space="0" w:color="auto"/>
          </w:divBdr>
          <w:divsChild>
            <w:div w:id="193349977">
              <w:marLeft w:val="0"/>
              <w:marRight w:val="0"/>
              <w:marTop w:val="0"/>
              <w:marBottom w:val="0"/>
              <w:divBdr>
                <w:top w:val="none" w:sz="0" w:space="0" w:color="auto"/>
                <w:left w:val="none" w:sz="0" w:space="0" w:color="auto"/>
                <w:bottom w:val="none" w:sz="0" w:space="0" w:color="auto"/>
                <w:right w:val="none" w:sz="0" w:space="0" w:color="auto"/>
              </w:divBdr>
            </w:div>
          </w:divsChild>
        </w:div>
        <w:div w:id="118498715">
          <w:marLeft w:val="0"/>
          <w:marRight w:val="0"/>
          <w:marTop w:val="0"/>
          <w:marBottom w:val="0"/>
          <w:divBdr>
            <w:top w:val="none" w:sz="0" w:space="0" w:color="auto"/>
            <w:left w:val="none" w:sz="0" w:space="0" w:color="auto"/>
            <w:bottom w:val="none" w:sz="0" w:space="0" w:color="auto"/>
            <w:right w:val="none" w:sz="0" w:space="0" w:color="auto"/>
          </w:divBdr>
          <w:divsChild>
            <w:div w:id="75714189">
              <w:marLeft w:val="0"/>
              <w:marRight w:val="0"/>
              <w:marTop w:val="0"/>
              <w:marBottom w:val="0"/>
              <w:divBdr>
                <w:top w:val="none" w:sz="0" w:space="0" w:color="auto"/>
                <w:left w:val="none" w:sz="0" w:space="0" w:color="auto"/>
                <w:bottom w:val="none" w:sz="0" w:space="0" w:color="auto"/>
                <w:right w:val="none" w:sz="0" w:space="0" w:color="auto"/>
              </w:divBdr>
            </w:div>
          </w:divsChild>
        </w:div>
        <w:div w:id="122501647">
          <w:marLeft w:val="0"/>
          <w:marRight w:val="0"/>
          <w:marTop w:val="0"/>
          <w:marBottom w:val="0"/>
          <w:divBdr>
            <w:top w:val="none" w:sz="0" w:space="0" w:color="auto"/>
            <w:left w:val="none" w:sz="0" w:space="0" w:color="auto"/>
            <w:bottom w:val="none" w:sz="0" w:space="0" w:color="auto"/>
            <w:right w:val="none" w:sz="0" w:space="0" w:color="auto"/>
          </w:divBdr>
          <w:divsChild>
            <w:div w:id="1458523537">
              <w:marLeft w:val="0"/>
              <w:marRight w:val="0"/>
              <w:marTop w:val="0"/>
              <w:marBottom w:val="0"/>
              <w:divBdr>
                <w:top w:val="none" w:sz="0" w:space="0" w:color="auto"/>
                <w:left w:val="none" w:sz="0" w:space="0" w:color="auto"/>
                <w:bottom w:val="none" w:sz="0" w:space="0" w:color="auto"/>
                <w:right w:val="none" w:sz="0" w:space="0" w:color="auto"/>
              </w:divBdr>
            </w:div>
            <w:div w:id="1698696136">
              <w:marLeft w:val="0"/>
              <w:marRight w:val="0"/>
              <w:marTop w:val="0"/>
              <w:marBottom w:val="0"/>
              <w:divBdr>
                <w:top w:val="none" w:sz="0" w:space="0" w:color="auto"/>
                <w:left w:val="none" w:sz="0" w:space="0" w:color="auto"/>
                <w:bottom w:val="none" w:sz="0" w:space="0" w:color="auto"/>
                <w:right w:val="none" w:sz="0" w:space="0" w:color="auto"/>
              </w:divBdr>
            </w:div>
          </w:divsChild>
        </w:div>
        <w:div w:id="391469106">
          <w:marLeft w:val="0"/>
          <w:marRight w:val="0"/>
          <w:marTop w:val="0"/>
          <w:marBottom w:val="0"/>
          <w:divBdr>
            <w:top w:val="none" w:sz="0" w:space="0" w:color="auto"/>
            <w:left w:val="none" w:sz="0" w:space="0" w:color="auto"/>
            <w:bottom w:val="none" w:sz="0" w:space="0" w:color="auto"/>
            <w:right w:val="none" w:sz="0" w:space="0" w:color="auto"/>
          </w:divBdr>
          <w:divsChild>
            <w:div w:id="994257103">
              <w:marLeft w:val="0"/>
              <w:marRight w:val="0"/>
              <w:marTop w:val="0"/>
              <w:marBottom w:val="0"/>
              <w:divBdr>
                <w:top w:val="none" w:sz="0" w:space="0" w:color="auto"/>
                <w:left w:val="none" w:sz="0" w:space="0" w:color="auto"/>
                <w:bottom w:val="none" w:sz="0" w:space="0" w:color="auto"/>
                <w:right w:val="none" w:sz="0" w:space="0" w:color="auto"/>
              </w:divBdr>
            </w:div>
          </w:divsChild>
        </w:div>
        <w:div w:id="399639724">
          <w:marLeft w:val="0"/>
          <w:marRight w:val="0"/>
          <w:marTop w:val="0"/>
          <w:marBottom w:val="0"/>
          <w:divBdr>
            <w:top w:val="none" w:sz="0" w:space="0" w:color="auto"/>
            <w:left w:val="none" w:sz="0" w:space="0" w:color="auto"/>
            <w:bottom w:val="none" w:sz="0" w:space="0" w:color="auto"/>
            <w:right w:val="none" w:sz="0" w:space="0" w:color="auto"/>
          </w:divBdr>
          <w:divsChild>
            <w:div w:id="1302073399">
              <w:marLeft w:val="0"/>
              <w:marRight w:val="0"/>
              <w:marTop w:val="0"/>
              <w:marBottom w:val="0"/>
              <w:divBdr>
                <w:top w:val="none" w:sz="0" w:space="0" w:color="auto"/>
                <w:left w:val="none" w:sz="0" w:space="0" w:color="auto"/>
                <w:bottom w:val="none" w:sz="0" w:space="0" w:color="auto"/>
                <w:right w:val="none" w:sz="0" w:space="0" w:color="auto"/>
              </w:divBdr>
            </w:div>
          </w:divsChild>
        </w:div>
        <w:div w:id="535125422">
          <w:marLeft w:val="0"/>
          <w:marRight w:val="0"/>
          <w:marTop w:val="0"/>
          <w:marBottom w:val="0"/>
          <w:divBdr>
            <w:top w:val="none" w:sz="0" w:space="0" w:color="auto"/>
            <w:left w:val="none" w:sz="0" w:space="0" w:color="auto"/>
            <w:bottom w:val="none" w:sz="0" w:space="0" w:color="auto"/>
            <w:right w:val="none" w:sz="0" w:space="0" w:color="auto"/>
          </w:divBdr>
          <w:divsChild>
            <w:div w:id="1791430688">
              <w:marLeft w:val="0"/>
              <w:marRight w:val="0"/>
              <w:marTop w:val="0"/>
              <w:marBottom w:val="0"/>
              <w:divBdr>
                <w:top w:val="none" w:sz="0" w:space="0" w:color="auto"/>
                <w:left w:val="none" w:sz="0" w:space="0" w:color="auto"/>
                <w:bottom w:val="none" w:sz="0" w:space="0" w:color="auto"/>
                <w:right w:val="none" w:sz="0" w:space="0" w:color="auto"/>
              </w:divBdr>
            </w:div>
          </w:divsChild>
        </w:div>
        <w:div w:id="557977761">
          <w:marLeft w:val="0"/>
          <w:marRight w:val="0"/>
          <w:marTop w:val="0"/>
          <w:marBottom w:val="0"/>
          <w:divBdr>
            <w:top w:val="none" w:sz="0" w:space="0" w:color="auto"/>
            <w:left w:val="none" w:sz="0" w:space="0" w:color="auto"/>
            <w:bottom w:val="none" w:sz="0" w:space="0" w:color="auto"/>
            <w:right w:val="none" w:sz="0" w:space="0" w:color="auto"/>
          </w:divBdr>
          <w:divsChild>
            <w:div w:id="728766453">
              <w:marLeft w:val="0"/>
              <w:marRight w:val="0"/>
              <w:marTop w:val="0"/>
              <w:marBottom w:val="0"/>
              <w:divBdr>
                <w:top w:val="none" w:sz="0" w:space="0" w:color="auto"/>
                <w:left w:val="none" w:sz="0" w:space="0" w:color="auto"/>
                <w:bottom w:val="none" w:sz="0" w:space="0" w:color="auto"/>
                <w:right w:val="none" w:sz="0" w:space="0" w:color="auto"/>
              </w:divBdr>
            </w:div>
          </w:divsChild>
        </w:div>
        <w:div w:id="561796492">
          <w:marLeft w:val="0"/>
          <w:marRight w:val="0"/>
          <w:marTop w:val="0"/>
          <w:marBottom w:val="0"/>
          <w:divBdr>
            <w:top w:val="none" w:sz="0" w:space="0" w:color="auto"/>
            <w:left w:val="none" w:sz="0" w:space="0" w:color="auto"/>
            <w:bottom w:val="none" w:sz="0" w:space="0" w:color="auto"/>
            <w:right w:val="none" w:sz="0" w:space="0" w:color="auto"/>
          </w:divBdr>
          <w:divsChild>
            <w:div w:id="75056200">
              <w:marLeft w:val="0"/>
              <w:marRight w:val="0"/>
              <w:marTop w:val="0"/>
              <w:marBottom w:val="0"/>
              <w:divBdr>
                <w:top w:val="none" w:sz="0" w:space="0" w:color="auto"/>
                <w:left w:val="none" w:sz="0" w:space="0" w:color="auto"/>
                <w:bottom w:val="none" w:sz="0" w:space="0" w:color="auto"/>
                <w:right w:val="none" w:sz="0" w:space="0" w:color="auto"/>
              </w:divBdr>
            </w:div>
            <w:div w:id="1702973372">
              <w:marLeft w:val="0"/>
              <w:marRight w:val="0"/>
              <w:marTop w:val="0"/>
              <w:marBottom w:val="0"/>
              <w:divBdr>
                <w:top w:val="none" w:sz="0" w:space="0" w:color="auto"/>
                <w:left w:val="none" w:sz="0" w:space="0" w:color="auto"/>
                <w:bottom w:val="none" w:sz="0" w:space="0" w:color="auto"/>
                <w:right w:val="none" w:sz="0" w:space="0" w:color="auto"/>
              </w:divBdr>
            </w:div>
          </w:divsChild>
        </w:div>
        <w:div w:id="627393622">
          <w:marLeft w:val="0"/>
          <w:marRight w:val="0"/>
          <w:marTop w:val="0"/>
          <w:marBottom w:val="0"/>
          <w:divBdr>
            <w:top w:val="none" w:sz="0" w:space="0" w:color="auto"/>
            <w:left w:val="none" w:sz="0" w:space="0" w:color="auto"/>
            <w:bottom w:val="none" w:sz="0" w:space="0" w:color="auto"/>
            <w:right w:val="none" w:sz="0" w:space="0" w:color="auto"/>
          </w:divBdr>
          <w:divsChild>
            <w:div w:id="672143736">
              <w:marLeft w:val="0"/>
              <w:marRight w:val="0"/>
              <w:marTop w:val="0"/>
              <w:marBottom w:val="0"/>
              <w:divBdr>
                <w:top w:val="none" w:sz="0" w:space="0" w:color="auto"/>
                <w:left w:val="none" w:sz="0" w:space="0" w:color="auto"/>
                <w:bottom w:val="none" w:sz="0" w:space="0" w:color="auto"/>
                <w:right w:val="none" w:sz="0" w:space="0" w:color="auto"/>
              </w:divBdr>
            </w:div>
          </w:divsChild>
        </w:div>
        <w:div w:id="648241892">
          <w:marLeft w:val="0"/>
          <w:marRight w:val="0"/>
          <w:marTop w:val="0"/>
          <w:marBottom w:val="0"/>
          <w:divBdr>
            <w:top w:val="none" w:sz="0" w:space="0" w:color="auto"/>
            <w:left w:val="none" w:sz="0" w:space="0" w:color="auto"/>
            <w:bottom w:val="none" w:sz="0" w:space="0" w:color="auto"/>
            <w:right w:val="none" w:sz="0" w:space="0" w:color="auto"/>
          </w:divBdr>
          <w:divsChild>
            <w:div w:id="944727738">
              <w:marLeft w:val="0"/>
              <w:marRight w:val="0"/>
              <w:marTop w:val="0"/>
              <w:marBottom w:val="0"/>
              <w:divBdr>
                <w:top w:val="none" w:sz="0" w:space="0" w:color="auto"/>
                <w:left w:val="none" w:sz="0" w:space="0" w:color="auto"/>
                <w:bottom w:val="none" w:sz="0" w:space="0" w:color="auto"/>
                <w:right w:val="none" w:sz="0" w:space="0" w:color="auto"/>
              </w:divBdr>
            </w:div>
          </w:divsChild>
        </w:div>
        <w:div w:id="680861059">
          <w:marLeft w:val="0"/>
          <w:marRight w:val="0"/>
          <w:marTop w:val="0"/>
          <w:marBottom w:val="0"/>
          <w:divBdr>
            <w:top w:val="none" w:sz="0" w:space="0" w:color="auto"/>
            <w:left w:val="none" w:sz="0" w:space="0" w:color="auto"/>
            <w:bottom w:val="none" w:sz="0" w:space="0" w:color="auto"/>
            <w:right w:val="none" w:sz="0" w:space="0" w:color="auto"/>
          </w:divBdr>
          <w:divsChild>
            <w:div w:id="43677095">
              <w:marLeft w:val="0"/>
              <w:marRight w:val="0"/>
              <w:marTop w:val="0"/>
              <w:marBottom w:val="0"/>
              <w:divBdr>
                <w:top w:val="none" w:sz="0" w:space="0" w:color="auto"/>
                <w:left w:val="none" w:sz="0" w:space="0" w:color="auto"/>
                <w:bottom w:val="none" w:sz="0" w:space="0" w:color="auto"/>
                <w:right w:val="none" w:sz="0" w:space="0" w:color="auto"/>
              </w:divBdr>
            </w:div>
          </w:divsChild>
        </w:div>
        <w:div w:id="702442083">
          <w:marLeft w:val="0"/>
          <w:marRight w:val="0"/>
          <w:marTop w:val="0"/>
          <w:marBottom w:val="0"/>
          <w:divBdr>
            <w:top w:val="none" w:sz="0" w:space="0" w:color="auto"/>
            <w:left w:val="none" w:sz="0" w:space="0" w:color="auto"/>
            <w:bottom w:val="none" w:sz="0" w:space="0" w:color="auto"/>
            <w:right w:val="none" w:sz="0" w:space="0" w:color="auto"/>
          </w:divBdr>
          <w:divsChild>
            <w:div w:id="110637287">
              <w:marLeft w:val="0"/>
              <w:marRight w:val="0"/>
              <w:marTop w:val="0"/>
              <w:marBottom w:val="0"/>
              <w:divBdr>
                <w:top w:val="none" w:sz="0" w:space="0" w:color="auto"/>
                <w:left w:val="none" w:sz="0" w:space="0" w:color="auto"/>
                <w:bottom w:val="none" w:sz="0" w:space="0" w:color="auto"/>
                <w:right w:val="none" w:sz="0" w:space="0" w:color="auto"/>
              </w:divBdr>
            </w:div>
          </w:divsChild>
        </w:div>
        <w:div w:id="817770660">
          <w:marLeft w:val="0"/>
          <w:marRight w:val="0"/>
          <w:marTop w:val="0"/>
          <w:marBottom w:val="0"/>
          <w:divBdr>
            <w:top w:val="none" w:sz="0" w:space="0" w:color="auto"/>
            <w:left w:val="none" w:sz="0" w:space="0" w:color="auto"/>
            <w:bottom w:val="none" w:sz="0" w:space="0" w:color="auto"/>
            <w:right w:val="none" w:sz="0" w:space="0" w:color="auto"/>
          </w:divBdr>
          <w:divsChild>
            <w:div w:id="2008705610">
              <w:marLeft w:val="0"/>
              <w:marRight w:val="0"/>
              <w:marTop w:val="0"/>
              <w:marBottom w:val="0"/>
              <w:divBdr>
                <w:top w:val="none" w:sz="0" w:space="0" w:color="auto"/>
                <w:left w:val="none" w:sz="0" w:space="0" w:color="auto"/>
                <w:bottom w:val="none" w:sz="0" w:space="0" w:color="auto"/>
                <w:right w:val="none" w:sz="0" w:space="0" w:color="auto"/>
              </w:divBdr>
            </w:div>
          </w:divsChild>
        </w:div>
        <w:div w:id="1138885775">
          <w:marLeft w:val="0"/>
          <w:marRight w:val="0"/>
          <w:marTop w:val="0"/>
          <w:marBottom w:val="0"/>
          <w:divBdr>
            <w:top w:val="none" w:sz="0" w:space="0" w:color="auto"/>
            <w:left w:val="none" w:sz="0" w:space="0" w:color="auto"/>
            <w:bottom w:val="none" w:sz="0" w:space="0" w:color="auto"/>
            <w:right w:val="none" w:sz="0" w:space="0" w:color="auto"/>
          </w:divBdr>
          <w:divsChild>
            <w:div w:id="975720846">
              <w:marLeft w:val="0"/>
              <w:marRight w:val="0"/>
              <w:marTop w:val="0"/>
              <w:marBottom w:val="0"/>
              <w:divBdr>
                <w:top w:val="none" w:sz="0" w:space="0" w:color="auto"/>
                <w:left w:val="none" w:sz="0" w:space="0" w:color="auto"/>
                <w:bottom w:val="none" w:sz="0" w:space="0" w:color="auto"/>
                <w:right w:val="none" w:sz="0" w:space="0" w:color="auto"/>
              </w:divBdr>
            </w:div>
          </w:divsChild>
        </w:div>
        <w:div w:id="1149057230">
          <w:marLeft w:val="0"/>
          <w:marRight w:val="0"/>
          <w:marTop w:val="0"/>
          <w:marBottom w:val="0"/>
          <w:divBdr>
            <w:top w:val="none" w:sz="0" w:space="0" w:color="auto"/>
            <w:left w:val="none" w:sz="0" w:space="0" w:color="auto"/>
            <w:bottom w:val="none" w:sz="0" w:space="0" w:color="auto"/>
            <w:right w:val="none" w:sz="0" w:space="0" w:color="auto"/>
          </w:divBdr>
          <w:divsChild>
            <w:div w:id="42993253">
              <w:marLeft w:val="0"/>
              <w:marRight w:val="0"/>
              <w:marTop w:val="0"/>
              <w:marBottom w:val="0"/>
              <w:divBdr>
                <w:top w:val="none" w:sz="0" w:space="0" w:color="auto"/>
                <w:left w:val="none" w:sz="0" w:space="0" w:color="auto"/>
                <w:bottom w:val="none" w:sz="0" w:space="0" w:color="auto"/>
                <w:right w:val="none" w:sz="0" w:space="0" w:color="auto"/>
              </w:divBdr>
            </w:div>
            <w:div w:id="1737626944">
              <w:marLeft w:val="0"/>
              <w:marRight w:val="0"/>
              <w:marTop w:val="0"/>
              <w:marBottom w:val="0"/>
              <w:divBdr>
                <w:top w:val="none" w:sz="0" w:space="0" w:color="auto"/>
                <w:left w:val="none" w:sz="0" w:space="0" w:color="auto"/>
                <w:bottom w:val="none" w:sz="0" w:space="0" w:color="auto"/>
                <w:right w:val="none" w:sz="0" w:space="0" w:color="auto"/>
              </w:divBdr>
            </w:div>
          </w:divsChild>
        </w:div>
        <w:div w:id="1275475118">
          <w:marLeft w:val="0"/>
          <w:marRight w:val="0"/>
          <w:marTop w:val="0"/>
          <w:marBottom w:val="0"/>
          <w:divBdr>
            <w:top w:val="none" w:sz="0" w:space="0" w:color="auto"/>
            <w:left w:val="none" w:sz="0" w:space="0" w:color="auto"/>
            <w:bottom w:val="none" w:sz="0" w:space="0" w:color="auto"/>
            <w:right w:val="none" w:sz="0" w:space="0" w:color="auto"/>
          </w:divBdr>
          <w:divsChild>
            <w:div w:id="193734220">
              <w:marLeft w:val="0"/>
              <w:marRight w:val="0"/>
              <w:marTop w:val="0"/>
              <w:marBottom w:val="0"/>
              <w:divBdr>
                <w:top w:val="none" w:sz="0" w:space="0" w:color="auto"/>
                <w:left w:val="none" w:sz="0" w:space="0" w:color="auto"/>
                <w:bottom w:val="none" w:sz="0" w:space="0" w:color="auto"/>
                <w:right w:val="none" w:sz="0" w:space="0" w:color="auto"/>
              </w:divBdr>
            </w:div>
          </w:divsChild>
        </w:div>
        <w:div w:id="1319455835">
          <w:marLeft w:val="0"/>
          <w:marRight w:val="0"/>
          <w:marTop w:val="0"/>
          <w:marBottom w:val="0"/>
          <w:divBdr>
            <w:top w:val="none" w:sz="0" w:space="0" w:color="auto"/>
            <w:left w:val="none" w:sz="0" w:space="0" w:color="auto"/>
            <w:bottom w:val="none" w:sz="0" w:space="0" w:color="auto"/>
            <w:right w:val="none" w:sz="0" w:space="0" w:color="auto"/>
          </w:divBdr>
          <w:divsChild>
            <w:div w:id="109933261">
              <w:marLeft w:val="0"/>
              <w:marRight w:val="0"/>
              <w:marTop w:val="0"/>
              <w:marBottom w:val="0"/>
              <w:divBdr>
                <w:top w:val="none" w:sz="0" w:space="0" w:color="auto"/>
                <w:left w:val="none" w:sz="0" w:space="0" w:color="auto"/>
                <w:bottom w:val="none" w:sz="0" w:space="0" w:color="auto"/>
                <w:right w:val="none" w:sz="0" w:space="0" w:color="auto"/>
              </w:divBdr>
            </w:div>
          </w:divsChild>
        </w:div>
        <w:div w:id="1341620183">
          <w:marLeft w:val="0"/>
          <w:marRight w:val="0"/>
          <w:marTop w:val="0"/>
          <w:marBottom w:val="0"/>
          <w:divBdr>
            <w:top w:val="none" w:sz="0" w:space="0" w:color="auto"/>
            <w:left w:val="none" w:sz="0" w:space="0" w:color="auto"/>
            <w:bottom w:val="none" w:sz="0" w:space="0" w:color="auto"/>
            <w:right w:val="none" w:sz="0" w:space="0" w:color="auto"/>
          </w:divBdr>
          <w:divsChild>
            <w:div w:id="1300263379">
              <w:marLeft w:val="0"/>
              <w:marRight w:val="0"/>
              <w:marTop w:val="0"/>
              <w:marBottom w:val="0"/>
              <w:divBdr>
                <w:top w:val="none" w:sz="0" w:space="0" w:color="auto"/>
                <w:left w:val="none" w:sz="0" w:space="0" w:color="auto"/>
                <w:bottom w:val="none" w:sz="0" w:space="0" w:color="auto"/>
                <w:right w:val="none" w:sz="0" w:space="0" w:color="auto"/>
              </w:divBdr>
            </w:div>
          </w:divsChild>
        </w:div>
        <w:div w:id="1391272640">
          <w:marLeft w:val="0"/>
          <w:marRight w:val="0"/>
          <w:marTop w:val="0"/>
          <w:marBottom w:val="0"/>
          <w:divBdr>
            <w:top w:val="none" w:sz="0" w:space="0" w:color="auto"/>
            <w:left w:val="none" w:sz="0" w:space="0" w:color="auto"/>
            <w:bottom w:val="none" w:sz="0" w:space="0" w:color="auto"/>
            <w:right w:val="none" w:sz="0" w:space="0" w:color="auto"/>
          </w:divBdr>
          <w:divsChild>
            <w:div w:id="739249862">
              <w:marLeft w:val="0"/>
              <w:marRight w:val="0"/>
              <w:marTop w:val="0"/>
              <w:marBottom w:val="0"/>
              <w:divBdr>
                <w:top w:val="none" w:sz="0" w:space="0" w:color="auto"/>
                <w:left w:val="none" w:sz="0" w:space="0" w:color="auto"/>
                <w:bottom w:val="none" w:sz="0" w:space="0" w:color="auto"/>
                <w:right w:val="none" w:sz="0" w:space="0" w:color="auto"/>
              </w:divBdr>
            </w:div>
          </w:divsChild>
        </w:div>
        <w:div w:id="1469855128">
          <w:marLeft w:val="0"/>
          <w:marRight w:val="0"/>
          <w:marTop w:val="0"/>
          <w:marBottom w:val="0"/>
          <w:divBdr>
            <w:top w:val="none" w:sz="0" w:space="0" w:color="auto"/>
            <w:left w:val="none" w:sz="0" w:space="0" w:color="auto"/>
            <w:bottom w:val="none" w:sz="0" w:space="0" w:color="auto"/>
            <w:right w:val="none" w:sz="0" w:space="0" w:color="auto"/>
          </w:divBdr>
          <w:divsChild>
            <w:div w:id="919631749">
              <w:marLeft w:val="0"/>
              <w:marRight w:val="0"/>
              <w:marTop w:val="0"/>
              <w:marBottom w:val="0"/>
              <w:divBdr>
                <w:top w:val="none" w:sz="0" w:space="0" w:color="auto"/>
                <w:left w:val="none" w:sz="0" w:space="0" w:color="auto"/>
                <w:bottom w:val="none" w:sz="0" w:space="0" w:color="auto"/>
                <w:right w:val="none" w:sz="0" w:space="0" w:color="auto"/>
              </w:divBdr>
            </w:div>
            <w:div w:id="1146554220">
              <w:marLeft w:val="0"/>
              <w:marRight w:val="0"/>
              <w:marTop w:val="0"/>
              <w:marBottom w:val="0"/>
              <w:divBdr>
                <w:top w:val="none" w:sz="0" w:space="0" w:color="auto"/>
                <w:left w:val="none" w:sz="0" w:space="0" w:color="auto"/>
                <w:bottom w:val="none" w:sz="0" w:space="0" w:color="auto"/>
                <w:right w:val="none" w:sz="0" w:space="0" w:color="auto"/>
              </w:divBdr>
            </w:div>
          </w:divsChild>
        </w:div>
        <w:div w:id="1474520062">
          <w:marLeft w:val="0"/>
          <w:marRight w:val="0"/>
          <w:marTop w:val="0"/>
          <w:marBottom w:val="0"/>
          <w:divBdr>
            <w:top w:val="none" w:sz="0" w:space="0" w:color="auto"/>
            <w:left w:val="none" w:sz="0" w:space="0" w:color="auto"/>
            <w:bottom w:val="none" w:sz="0" w:space="0" w:color="auto"/>
            <w:right w:val="none" w:sz="0" w:space="0" w:color="auto"/>
          </w:divBdr>
          <w:divsChild>
            <w:div w:id="691613485">
              <w:marLeft w:val="0"/>
              <w:marRight w:val="0"/>
              <w:marTop w:val="0"/>
              <w:marBottom w:val="0"/>
              <w:divBdr>
                <w:top w:val="none" w:sz="0" w:space="0" w:color="auto"/>
                <w:left w:val="none" w:sz="0" w:space="0" w:color="auto"/>
                <w:bottom w:val="none" w:sz="0" w:space="0" w:color="auto"/>
                <w:right w:val="none" w:sz="0" w:space="0" w:color="auto"/>
              </w:divBdr>
            </w:div>
          </w:divsChild>
        </w:div>
        <w:div w:id="1478495951">
          <w:marLeft w:val="0"/>
          <w:marRight w:val="0"/>
          <w:marTop w:val="0"/>
          <w:marBottom w:val="0"/>
          <w:divBdr>
            <w:top w:val="none" w:sz="0" w:space="0" w:color="auto"/>
            <w:left w:val="none" w:sz="0" w:space="0" w:color="auto"/>
            <w:bottom w:val="none" w:sz="0" w:space="0" w:color="auto"/>
            <w:right w:val="none" w:sz="0" w:space="0" w:color="auto"/>
          </w:divBdr>
          <w:divsChild>
            <w:div w:id="321661747">
              <w:marLeft w:val="0"/>
              <w:marRight w:val="0"/>
              <w:marTop w:val="0"/>
              <w:marBottom w:val="0"/>
              <w:divBdr>
                <w:top w:val="none" w:sz="0" w:space="0" w:color="auto"/>
                <w:left w:val="none" w:sz="0" w:space="0" w:color="auto"/>
                <w:bottom w:val="none" w:sz="0" w:space="0" w:color="auto"/>
                <w:right w:val="none" w:sz="0" w:space="0" w:color="auto"/>
              </w:divBdr>
            </w:div>
          </w:divsChild>
        </w:div>
        <w:div w:id="1494680323">
          <w:marLeft w:val="0"/>
          <w:marRight w:val="0"/>
          <w:marTop w:val="0"/>
          <w:marBottom w:val="0"/>
          <w:divBdr>
            <w:top w:val="none" w:sz="0" w:space="0" w:color="auto"/>
            <w:left w:val="none" w:sz="0" w:space="0" w:color="auto"/>
            <w:bottom w:val="none" w:sz="0" w:space="0" w:color="auto"/>
            <w:right w:val="none" w:sz="0" w:space="0" w:color="auto"/>
          </w:divBdr>
          <w:divsChild>
            <w:div w:id="1253855977">
              <w:marLeft w:val="0"/>
              <w:marRight w:val="0"/>
              <w:marTop w:val="0"/>
              <w:marBottom w:val="0"/>
              <w:divBdr>
                <w:top w:val="none" w:sz="0" w:space="0" w:color="auto"/>
                <w:left w:val="none" w:sz="0" w:space="0" w:color="auto"/>
                <w:bottom w:val="none" w:sz="0" w:space="0" w:color="auto"/>
                <w:right w:val="none" w:sz="0" w:space="0" w:color="auto"/>
              </w:divBdr>
            </w:div>
          </w:divsChild>
        </w:div>
        <w:div w:id="1599219714">
          <w:marLeft w:val="0"/>
          <w:marRight w:val="0"/>
          <w:marTop w:val="0"/>
          <w:marBottom w:val="0"/>
          <w:divBdr>
            <w:top w:val="none" w:sz="0" w:space="0" w:color="auto"/>
            <w:left w:val="none" w:sz="0" w:space="0" w:color="auto"/>
            <w:bottom w:val="none" w:sz="0" w:space="0" w:color="auto"/>
            <w:right w:val="none" w:sz="0" w:space="0" w:color="auto"/>
          </w:divBdr>
          <w:divsChild>
            <w:div w:id="573275778">
              <w:marLeft w:val="0"/>
              <w:marRight w:val="0"/>
              <w:marTop w:val="0"/>
              <w:marBottom w:val="0"/>
              <w:divBdr>
                <w:top w:val="none" w:sz="0" w:space="0" w:color="auto"/>
                <w:left w:val="none" w:sz="0" w:space="0" w:color="auto"/>
                <w:bottom w:val="none" w:sz="0" w:space="0" w:color="auto"/>
                <w:right w:val="none" w:sz="0" w:space="0" w:color="auto"/>
              </w:divBdr>
            </w:div>
            <w:div w:id="1803035132">
              <w:marLeft w:val="0"/>
              <w:marRight w:val="0"/>
              <w:marTop w:val="0"/>
              <w:marBottom w:val="0"/>
              <w:divBdr>
                <w:top w:val="none" w:sz="0" w:space="0" w:color="auto"/>
                <w:left w:val="none" w:sz="0" w:space="0" w:color="auto"/>
                <w:bottom w:val="none" w:sz="0" w:space="0" w:color="auto"/>
                <w:right w:val="none" w:sz="0" w:space="0" w:color="auto"/>
              </w:divBdr>
            </w:div>
          </w:divsChild>
        </w:div>
        <w:div w:id="1699695575">
          <w:marLeft w:val="0"/>
          <w:marRight w:val="0"/>
          <w:marTop w:val="0"/>
          <w:marBottom w:val="0"/>
          <w:divBdr>
            <w:top w:val="none" w:sz="0" w:space="0" w:color="auto"/>
            <w:left w:val="none" w:sz="0" w:space="0" w:color="auto"/>
            <w:bottom w:val="none" w:sz="0" w:space="0" w:color="auto"/>
            <w:right w:val="none" w:sz="0" w:space="0" w:color="auto"/>
          </w:divBdr>
          <w:divsChild>
            <w:div w:id="64228676">
              <w:marLeft w:val="0"/>
              <w:marRight w:val="0"/>
              <w:marTop w:val="0"/>
              <w:marBottom w:val="0"/>
              <w:divBdr>
                <w:top w:val="none" w:sz="0" w:space="0" w:color="auto"/>
                <w:left w:val="none" w:sz="0" w:space="0" w:color="auto"/>
                <w:bottom w:val="none" w:sz="0" w:space="0" w:color="auto"/>
                <w:right w:val="none" w:sz="0" w:space="0" w:color="auto"/>
              </w:divBdr>
            </w:div>
          </w:divsChild>
        </w:div>
        <w:div w:id="1751848531">
          <w:marLeft w:val="0"/>
          <w:marRight w:val="0"/>
          <w:marTop w:val="0"/>
          <w:marBottom w:val="0"/>
          <w:divBdr>
            <w:top w:val="none" w:sz="0" w:space="0" w:color="auto"/>
            <w:left w:val="none" w:sz="0" w:space="0" w:color="auto"/>
            <w:bottom w:val="none" w:sz="0" w:space="0" w:color="auto"/>
            <w:right w:val="none" w:sz="0" w:space="0" w:color="auto"/>
          </w:divBdr>
          <w:divsChild>
            <w:div w:id="624505502">
              <w:marLeft w:val="0"/>
              <w:marRight w:val="0"/>
              <w:marTop w:val="0"/>
              <w:marBottom w:val="0"/>
              <w:divBdr>
                <w:top w:val="none" w:sz="0" w:space="0" w:color="auto"/>
                <w:left w:val="none" w:sz="0" w:space="0" w:color="auto"/>
                <w:bottom w:val="none" w:sz="0" w:space="0" w:color="auto"/>
                <w:right w:val="none" w:sz="0" w:space="0" w:color="auto"/>
              </w:divBdr>
            </w:div>
          </w:divsChild>
        </w:div>
        <w:div w:id="1931422684">
          <w:marLeft w:val="0"/>
          <w:marRight w:val="0"/>
          <w:marTop w:val="0"/>
          <w:marBottom w:val="0"/>
          <w:divBdr>
            <w:top w:val="none" w:sz="0" w:space="0" w:color="auto"/>
            <w:left w:val="none" w:sz="0" w:space="0" w:color="auto"/>
            <w:bottom w:val="none" w:sz="0" w:space="0" w:color="auto"/>
            <w:right w:val="none" w:sz="0" w:space="0" w:color="auto"/>
          </w:divBdr>
          <w:divsChild>
            <w:div w:id="1559781736">
              <w:marLeft w:val="0"/>
              <w:marRight w:val="0"/>
              <w:marTop w:val="0"/>
              <w:marBottom w:val="0"/>
              <w:divBdr>
                <w:top w:val="none" w:sz="0" w:space="0" w:color="auto"/>
                <w:left w:val="none" w:sz="0" w:space="0" w:color="auto"/>
                <w:bottom w:val="none" w:sz="0" w:space="0" w:color="auto"/>
                <w:right w:val="none" w:sz="0" w:space="0" w:color="auto"/>
              </w:divBdr>
            </w:div>
          </w:divsChild>
        </w:div>
        <w:div w:id="1947692491">
          <w:marLeft w:val="0"/>
          <w:marRight w:val="0"/>
          <w:marTop w:val="0"/>
          <w:marBottom w:val="0"/>
          <w:divBdr>
            <w:top w:val="none" w:sz="0" w:space="0" w:color="auto"/>
            <w:left w:val="none" w:sz="0" w:space="0" w:color="auto"/>
            <w:bottom w:val="none" w:sz="0" w:space="0" w:color="auto"/>
            <w:right w:val="none" w:sz="0" w:space="0" w:color="auto"/>
          </w:divBdr>
          <w:divsChild>
            <w:div w:id="560602450">
              <w:marLeft w:val="0"/>
              <w:marRight w:val="0"/>
              <w:marTop w:val="0"/>
              <w:marBottom w:val="0"/>
              <w:divBdr>
                <w:top w:val="none" w:sz="0" w:space="0" w:color="auto"/>
                <w:left w:val="none" w:sz="0" w:space="0" w:color="auto"/>
                <w:bottom w:val="none" w:sz="0" w:space="0" w:color="auto"/>
                <w:right w:val="none" w:sz="0" w:space="0" w:color="auto"/>
              </w:divBdr>
            </w:div>
          </w:divsChild>
        </w:div>
        <w:div w:id="1965647360">
          <w:marLeft w:val="0"/>
          <w:marRight w:val="0"/>
          <w:marTop w:val="0"/>
          <w:marBottom w:val="0"/>
          <w:divBdr>
            <w:top w:val="none" w:sz="0" w:space="0" w:color="auto"/>
            <w:left w:val="none" w:sz="0" w:space="0" w:color="auto"/>
            <w:bottom w:val="none" w:sz="0" w:space="0" w:color="auto"/>
            <w:right w:val="none" w:sz="0" w:space="0" w:color="auto"/>
          </w:divBdr>
          <w:divsChild>
            <w:div w:id="1053385258">
              <w:marLeft w:val="0"/>
              <w:marRight w:val="0"/>
              <w:marTop w:val="0"/>
              <w:marBottom w:val="0"/>
              <w:divBdr>
                <w:top w:val="none" w:sz="0" w:space="0" w:color="auto"/>
                <w:left w:val="none" w:sz="0" w:space="0" w:color="auto"/>
                <w:bottom w:val="none" w:sz="0" w:space="0" w:color="auto"/>
                <w:right w:val="none" w:sz="0" w:space="0" w:color="auto"/>
              </w:divBdr>
            </w:div>
            <w:div w:id="21178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78">
      <w:bodyDiv w:val="1"/>
      <w:marLeft w:val="0"/>
      <w:marRight w:val="0"/>
      <w:marTop w:val="0"/>
      <w:marBottom w:val="0"/>
      <w:divBdr>
        <w:top w:val="none" w:sz="0" w:space="0" w:color="auto"/>
        <w:left w:val="none" w:sz="0" w:space="0" w:color="auto"/>
        <w:bottom w:val="none" w:sz="0" w:space="0" w:color="auto"/>
        <w:right w:val="none" w:sz="0" w:space="0" w:color="auto"/>
      </w:divBdr>
      <w:divsChild>
        <w:div w:id="978649459">
          <w:marLeft w:val="0"/>
          <w:marRight w:val="0"/>
          <w:marTop w:val="0"/>
          <w:marBottom w:val="0"/>
          <w:divBdr>
            <w:top w:val="none" w:sz="0" w:space="0" w:color="auto"/>
            <w:left w:val="none" w:sz="0" w:space="0" w:color="auto"/>
            <w:bottom w:val="none" w:sz="0" w:space="0" w:color="auto"/>
            <w:right w:val="none" w:sz="0" w:space="0" w:color="auto"/>
          </w:divBdr>
        </w:div>
        <w:div w:id="1121848873">
          <w:marLeft w:val="0"/>
          <w:marRight w:val="0"/>
          <w:marTop w:val="0"/>
          <w:marBottom w:val="0"/>
          <w:divBdr>
            <w:top w:val="none" w:sz="0" w:space="0" w:color="auto"/>
            <w:left w:val="none" w:sz="0" w:space="0" w:color="auto"/>
            <w:bottom w:val="none" w:sz="0" w:space="0" w:color="auto"/>
            <w:right w:val="none" w:sz="0" w:space="0" w:color="auto"/>
          </w:divBdr>
        </w:div>
        <w:div w:id="1391539252">
          <w:marLeft w:val="0"/>
          <w:marRight w:val="0"/>
          <w:marTop w:val="0"/>
          <w:marBottom w:val="0"/>
          <w:divBdr>
            <w:top w:val="none" w:sz="0" w:space="0" w:color="auto"/>
            <w:left w:val="none" w:sz="0" w:space="0" w:color="auto"/>
            <w:bottom w:val="none" w:sz="0" w:space="0" w:color="auto"/>
            <w:right w:val="none" w:sz="0" w:space="0" w:color="auto"/>
          </w:divBdr>
        </w:div>
      </w:divsChild>
    </w:div>
    <w:div w:id="635766365">
      <w:bodyDiv w:val="1"/>
      <w:marLeft w:val="0"/>
      <w:marRight w:val="0"/>
      <w:marTop w:val="0"/>
      <w:marBottom w:val="0"/>
      <w:divBdr>
        <w:top w:val="none" w:sz="0" w:space="0" w:color="auto"/>
        <w:left w:val="none" w:sz="0" w:space="0" w:color="auto"/>
        <w:bottom w:val="none" w:sz="0" w:space="0" w:color="auto"/>
        <w:right w:val="none" w:sz="0" w:space="0" w:color="auto"/>
      </w:divBdr>
      <w:divsChild>
        <w:div w:id="455218485">
          <w:marLeft w:val="0"/>
          <w:marRight w:val="0"/>
          <w:marTop w:val="0"/>
          <w:marBottom w:val="0"/>
          <w:divBdr>
            <w:top w:val="none" w:sz="0" w:space="0" w:color="auto"/>
            <w:left w:val="none" w:sz="0" w:space="0" w:color="auto"/>
            <w:bottom w:val="none" w:sz="0" w:space="0" w:color="auto"/>
            <w:right w:val="none" w:sz="0" w:space="0" w:color="auto"/>
          </w:divBdr>
        </w:div>
        <w:div w:id="480733319">
          <w:marLeft w:val="0"/>
          <w:marRight w:val="0"/>
          <w:marTop w:val="0"/>
          <w:marBottom w:val="0"/>
          <w:divBdr>
            <w:top w:val="none" w:sz="0" w:space="0" w:color="auto"/>
            <w:left w:val="none" w:sz="0" w:space="0" w:color="auto"/>
            <w:bottom w:val="none" w:sz="0" w:space="0" w:color="auto"/>
            <w:right w:val="none" w:sz="0" w:space="0" w:color="auto"/>
          </w:divBdr>
        </w:div>
        <w:div w:id="725492195">
          <w:marLeft w:val="0"/>
          <w:marRight w:val="0"/>
          <w:marTop w:val="0"/>
          <w:marBottom w:val="0"/>
          <w:divBdr>
            <w:top w:val="none" w:sz="0" w:space="0" w:color="auto"/>
            <w:left w:val="none" w:sz="0" w:space="0" w:color="auto"/>
            <w:bottom w:val="none" w:sz="0" w:space="0" w:color="auto"/>
            <w:right w:val="none" w:sz="0" w:space="0" w:color="auto"/>
          </w:divBdr>
        </w:div>
      </w:divsChild>
    </w:div>
    <w:div w:id="635911545">
      <w:bodyDiv w:val="1"/>
      <w:marLeft w:val="0"/>
      <w:marRight w:val="0"/>
      <w:marTop w:val="0"/>
      <w:marBottom w:val="0"/>
      <w:divBdr>
        <w:top w:val="none" w:sz="0" w:space="0" w:color="auto"/>
        <w:left w:val="none" w:sz="0" w:space="0" w:color="auto"/>
        <w:bottom w:val="none" w:sz="0" w:space="0" w:color="auto"/>
        <w:right w:val="none" w:sz="0" w:space="0" w:color="auto"/>
      </w:divBdr>
    </w:div>
    <w:div w:id="644747356">
      <w:bodyDiv w:val="1"/>
      <w:marLeft w:val="0"/>
      <w:marRight w:val="0"/>
      <w:marTop w:val="0"/>
      <w:marBottom w:val="0"/>
      <w:divBdr>
        <w:top w:val="none" w:sz="0" w:space="0" w:color="auto"/>
        <w:left w:val="none" w:sz="0" w:space="0" w:color="auto"/>
        <w:bottom w:val="none" w:sz="0" w:space="0" w:color="auto"/>
        <w:right w:val="none" w:sz="0" w:space="0" w:color="auto"/>
      </w:divBdr>
      <w:divsChild>
        <w:div w:id="145754095">
          <w:marLeft w:val="0"/>
          <w:marRight w:val="0"/>
          <w:marTop w:val="0"/>
          <w:marBottom w:val="0"/>
          <w:divBdr>
            <w:top w:val="none" w:sz="0" w:space="0" w:color="auto"/>
            <w:left w:val="none" w:sz="0" w:space="0" w:color="auto"/>
            <w:bottom w:val="none" w:sz="0" w:space="0" w:color="auto"/>
            <w:right w:val="none" w:sz="0" w:space="0" w:color="auto"/>
          </w:divBdr>
          <w:divsChild>
            <w:div w:id="1747875031">
              <w:marLeft w:val="-75"/>
              <w:marRight w:val="0"/>
              <w:marTop w:val="30"/>
              <w:marBottom w:val="30"/>
              <w:divBdr>
                <w:top w:val="none" w:sz="0" w:space="0" w:color="auto"/>
                <w:left w:val="none" w:sz="0" w:space="0" w:color="auto"/>
                <w:bottom w:val="none" w:sz="0" w:space="0" w:color="auto"/>
                <w:right w:val="none" w:sz="0" w:space="0" w:color="auto"/>
              </w:divBdr>
              <w:divsChild>
                <w:div w:id="69232922">
                  <w:marLeft w:val="0"/>
                  <w:marRight w:val="0"/>
                  <w:marTop w:val="0"/>
                  <w:marBottom w:val="0"/>
                  <w:divBdr>
                    <w:top w:val="none" w:sz="0" w:space="0" w:color="auto"/>
                    <w:left w:val="none" w:sz="0" w:space="0" w:color="auto"/>
                    <w:bottom w:val="none" w:sz="0" w:space="0" w:color="auto"/>
                    <w:right w:val="none" w:sz="0" w:space="0" w:color="auto"/>
                  </w:divBdr>
                  <w:divsChild>
                    <w:div w:id="1512834762">
                      <w:marLeft w:val="0"/>
                      <w:marRight w:val="0"/>
                      <w:marTop w:val="0"/>
                      <w:marBottom w:val="0"/>
                      <w:divBdr>
                        <w:top w:val="none" w:sz="0" w:space="0" w:color="auto"/>
                        <w:left w:val="none" w:sz="0" w:space="0" w:color="auto"/>
                        <w:bottom w:val="none" w:sz="0" w:space="0" w:color="auto"/>
                        <w:right w:val="none" w:sz="0" w:space="0" w:color="auto"/>
                      </w:divBdr>
                    </w:div>
                  </w:divsChild>
                </w:div>
                <w:div w:id="340546630">
                  <w:marLeft w:val="0"/>
                  <w:marRight w:val="0"/>
                  <w:marTop w:val="0"/>
                  <w:marBottom w:val="0"/>
                  <w:divBdr>
                    <w:top w:val="none" w:sz="0" w:space="0" w:color="auto"/>
                    <w:left w:val="none" w:sz="0" w:space="0" w:color="auto"/>
                    <w:bottom w:val="none" w:sz="0" w:space="0" w:color="auto"/>
                    <w:right w:val="none" w:sz="0" w:space="0" w:color="auto"/>
                  </w:divBdr>
                  <w:divsChild>
                    <w:div w:id="1953170333">
                      <w:marLeft w:val="0"/>
                      <w:marRight w:val="0"/>
                      <w:marTop w:val="0"/>
                      <w:marBottom w:val="0"/>
                      <w:divBdr>
                        <w:top w:val="none" w:sz="0" w:space="0" w:color="auto"/>
                        <w:left w:val="none" w:sz="0" w:space="0" w:color="auto"/>
                        <w:bottom w:val="none" w:sz="0" w:space="0" w:color="auto"/>
                        <w:right w:val="none" w:sz="0" w:space="0" w:color="auto"/>
                      </w:divBdr>
                    </w:div>
                  </w:divsChild>
                </w:div>
                <w:div w:id="1050957236">
                  <w:marLeft w:val="0"/>
                  <w:marRight w:val="0"/>
                  <w:marTop w:val="0"/>
                  <w:marBottom w:val="0"/>
                  <w:divBdr>
                    <w:top w:val="none" w:sz="0" w:space="0" w:color="auto"/>
                    <w:left w:val="none" w:sz="0" w:space="0" w:color="auto"/>
                    <w:bottom w:val="none" w:sz="0" w:space="0" w:color="auto"/>
                    <w:right w:val="none" w:sz="0" w:space="0" w:color="auto"/>
                  </w:divBdr>
                  <w:divsChild>
                    <w:div w:id="1025132837">
                      <w:marLeft w:val="0"/>
                      <w:marRight w:val="0"/>
                      <w:marTop w:val="0"/>
                      <w:marBottom w:val="0"/>
                      <w:divBdr>
                        <w:top w:val="none" w:sz="0" w:space="0" w:color="auto"/>
                        <w:left w:val="none" w:sz="0" w:space="0" w:color="auto"/>
                        <w:bottom w:val="none" w:sz="0" w:space="0" w:color="auto"/>
                        <w:right w:val="none" w:sz="0" w:space="0" w:color="auto"/>
                      </w:divBdr>
                    </w:div>
                  </w:divsChild>
                </w:div>
                <w:div w:id="1061707080">
                  <w:marLeft w:val="0"/>
                  <w:marRight w:val="0"/>
                  <w:marTop w:val="0"/>
                  <w:marBottom w:val="0"/>
                  <w:divBdr>
                    <w:top w:val="none" w:sz="0" w:space="0" w:color="auto"/>
                    <w:left w:val="none" w:sz="0" w:space="0" w:color="auto"/>
                    <w:bottom w:val="none" w:sz="0" w:space="0" w:color="auto"/>
                    <w:right w:val="none" w:sz="0" w:space="0" w:color="auto"/>
                  </w:divBdr>
                  <w:divsChild>
                    <w:div w:id="1487087180">
                      <w:marLeft w:val="0"/>
                      <w:marRight w:val="0"/>
                      <w:marTop w:val="0"/>
                      <w:marBottom w:val="0"/>
                      <w:divBdr>
                        <w:top w:val="none" w:sz="0" w:space="0" w:color="auto"/>
                        <w:left w:val="none" w:sz="0" w:space="0" w:color="auto"/>
                        <w:bottom w:val="none" w:sz="0" w:space="0" w:color="auto"/>
                        <w:right w:val="none" w:sz="0" w:space="0" w:color="auto"/>
                      </w:divBdr>
                    </w:div>
                  </w:divsChild>
                </w:div>
                <w:div w:id="1205100822">
                  <w:marLeft w:val="0"/>
                  <w:marRight w:val="0"/>
                  <w:marTop w:val="0"/>
                  <w:marBottom w:val="0"/>
                  <w:divBdr>
                    <w:top w:val="none" w:sz="0" w:space="0" w:color="auto"/>
                    <w:left w:val="none" w:sz="0" w:space="0" w:color="auto"/>
                    <w:bottom w:val="none" w:sz="0" w:space="0" w:color="auto"/>
                    <w:right w:val="none" w:sz="0" w:space="0" w:color="auto"/>
                  </w:divBdr>
                  <w:divsChild>
                    <w:div w:id="742148079">
                      <w:marLeft w:val="0"/>
                      <w:marRight w:val="0"/>
                      <w:marTop w:val="0"/>
                      <w:marBottom w:val="0"/>
                      <w:divBdr>
                        <w:top w:val="none" w:sz="0" w:space="0" w:color="auto"/>
                        <w:left w:val="none" w:sz="0" w:space="0" w:color="auto"/>
                        <w:bottom w:val="none" w:sz="0" w:space="0" w:color="auto"/>
                        <w:right w:val="none" w:sz="0" w:space="0" w:color="auto"/>
                      </w:divBdr>
                    </w:div>
                  </w:divsChild>
                </w:div>
                <w:div w:id="1701315850">
                  <w:marLeft w:val="0"/>
                  <w:marRight w:val="0"/>
                  <w:marTop w:val="0"/>
                  <w:marBottom w:val="0"/>
                  <w:divBdr>
                    <w:top w:val="none" w:sz="0" w:space="0" w:color="auto"/>
                    <w:left w:val="none" w:sz="0" w:space="0" w:color="auto"/>
                    <w:bottom w:val="none" w:sz="0" w:space="0" w:color="auto"/>
                    <w:right w:val="none" w:sz="0" w:space="0" w:color="auto"/>
                  </w:divBdr>
                  <w:divsChild>
                    <w:div w:id="147719574">
                      <w:marLeft w:val="0"/>
                      <w:marRight w:val="0"/>
                      <w:marTop w:val="0"/>
                      <w:marBottom w:val="0"/>
                      <w:divBdr>
                        <w:top w:val="none" w:sz="0" w:space="0" w:color="auto"/>
                        <w:left w:val="none" w:sz="0" w:space="0" w:color="auto"/>
                        <w:bottom w:val="none" w:sz="0" w:space="0" w:color="auto"/>
                        <w:right w:val="none" w:sz="0" w:space="0" w:color="auto"/>
                      </w:divBdr>
                    </w:div>
                  </w:divsChild>
                </w:div>
                <w:div w:id="2045448696">
                  <w:marLeft w:val="0"/>
                  <w:marRight w:val="0"/>
                  <w:marTop w:val="0"/>
                  <w:marBottom w:val="0"/>
                  <w:divBdr>
                    <w:top w:val="none" w:sz="0" w:space="0" w:color="auto"/>
                    <w:left w:val="none" w:sz="0" w:space="0" w:color="auto"/>
                    <w:bottom w:val="none" w:sz="0" w:space="0" w:color="auto"/>
                    <w:right w:val="none" w:sz="0" w:space="0" w:color="auto"/>
                  </w:divBdr>
                  <w:divsChild>
                    <w:div w:id="635060962">
                      <w:marLeft w:val="0"/>
                      <w:marRight w:val="0"/>
                      <w:marTop w:val="0"/>
                      <w:marBottom w:val="0"/>
                      <w:divBdr>
                        <w:top w:val="none" w:sz="0" w:space="0" w:color="auto"/>
                        <w:left w:val="none" w:sz="0" w:space="0" w:color="auto"/>
                        <w:bottom w:val="none" w:sz="0" w:space="0" w:color="auto"/>
                        <w:right w:val="none" w:sz="0" w:space="0" w:color="auto"/>
                      </w:divBdr>
                    </w:div>
                  </w:divsChild>
                </w:div>
                <w:div w:id="2050563964">
                  <w:marLeft w:val="0"/>
                  <w:marRight w:val="0"/>
                  <w:marTop w:val="0"/>
                  <w:marBottom w:val="0"/>
                  <w:divBdr>
                    <w:top w:val="none" w:sz="0" w:space="0" w:color="auto"/>
                    <w:left w:val="none" w:sz="0" w:space="0" w:color="auto"/>
                    <w:bottom w:val="none" w:sz="0" w:space="0" w:color="auto"/>
                    <w:right w:val="none" w:sz="0" w:space="0" w:color="auto"/>
                  </w:divBdr>
                  <w:divsChild>
                    <w:div w:id="1740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90895">
          <w:marLeft w:val="0"/>
          <w:marRight w:val="0"/>
          <w:marTop w:val="0"/>
          <w:marBottom w:val="0"/>
          <w:divBdr>
            <w:top w:val="none" w:sz="0" w:space="0" w:color="auto"/>
            <w:left w:val="none" w:sz="0" w:space="0" w:color="auto"/>
            <w:bottom w:val="none" w:sz="0" w:space="0" w:color="auto"/>
            <w:right w:val="none" w:sz="0" w:space="0" w:color="auto"/>
          </w:divBdr>
          <w:divsChild>
            <w:div w:id="59914877">
              <w:marLeft w:val="0"/>
              <w:marRight w:val="0"/>
              <w:marTop w:val="0"/>
              <w:marBottom w:val="0"/>
              <w:divBdr>
                <w:top w:val="none" w:sz="0" w:space="0" w:color="auto"/>
                <w:left w:val="none" w:sz="0" w:space="0" w:color="auto"/>
                <w:bottom w:val="none" w:sz="0" w:space="0" w:color="auto"/>
                <w:right w:val="none" w:sz="0" w:space="0" w:color="auto"/>
              </w:divBdr>
            </w:div>
            <w:div w:id="279802642">
              <w:marLeft w:val="0"/>
              <w:marRight w:val="0"/>
              <w:marTop w:val="0"/>
              <w:marBottom w:val="0"/>
              <w:divBdr>
                <w:top w:val="none" w:sz="0" w:space="0" w:color="auto"/>
                <w:left w:val="none" w:sz="0" w:space="0" w:color="auto"/>
                <w:bottom w:val="none" w:sz="0" w:space="0" w:color="auto"/>
                <w:right w:val="none" w:sz="0" w:space="0" w:color="auto"/>
              </w:divBdr>
            </w:div>
            <w:div w:id="287588397">
              <w:marLeft w:val="0"/>
              <w:marRight w:val="0"/>
              <w:marTop w:val="0"/>
              <w:marBottom w:val="0"/>
              <w:divBdr>
                <w:top w:val="none" w:sz="0" w:space="0" w:color="auto"/>
                <w:left w:val="none" w:sz="0" w:space="0" w:color="auto"/>
                <w:bottom w:val="none" w:sz="0" w:space="0" w:color="auto"/>
                <w:right w:val="none" w:sz="0" w:space="0" w:color="auto"/>
              </w:divBdr>
            </w:div>
            <w:div w:id="493692060">
              <w:marLeft w:val="0"/>
              <w:marRight w:val="0"/>
              <w:marTop w:val="0"/>
              <w:marBottom w:val="0"/>
              <w:divBdr>
                <w:top w:val="none" w:sz="0" w:space="0" w:color="auto"/>
                <w:left w:val="none" w:sz="0" w:space="0" w:color="auto"/>
                <w:bottom w:val="none" w:sz="0" w:space="0" w:color="auto"/>
                <w:right w:val="none" w:sz="0" w:space="0" w:color="auto"/>
              </w:divBdr>
            </w:div>
            <w:div w:id="498694320">
              <w:marLeft w:val="0"/>
              <w:marRight w:val="0"/>
              <w:marTop w:val="0"/>
              <w:marBottom w:val="0"/>
              <w:divBdr>
                <w:top w:val="none" w:sz="0" w:space="0" w:color="auto"/>
                <w:left w:val="none" w:sz="0" w:space="0" w:color="auto"/>
                <w:bottom w:val="none" w:sz="0" w:space="0" w:color="auto"/>
                <w:right w:val="none" w:sz="0" w:space="0" w:color="auto"/>
              </w:divBdr>
            </w:div>
            <w:div w:id="610556790">
              <w:marLeft w:val="0"/>
              <w:marRight w:val="0"/>
              <w:marTop w:val="0"/>
              <w:marBottom w:val="0"/>
              <w:divBdr>
                <w:top w:val="none" w:sz="0" w:space="0" w:color="auto"/>
                <w:left w:val="none" w:sz="0" w:space="0" w:color="auto"/>
                <w:bottom w:val="none" w:sz="0" w:space="0" w:color="auto"/>
                <w:right w:val="none" w:sz="0" w:space="0" w:color="auto"/>
              </w:divBdr>
            </w:div>
            <w:div w:id="689838327">
              <w:marLeft w:val="0"/>
              <w:marRight w:val="0"/>
              <w:marTop w:val="0"/>
              <w:marBottom w:val="0"/>
              <w:divBdr>
                <w:top w:val="none" w:sz="0" w:space="0" w:color="auto"/>
                <w:left w:val="none" w:sz="0" w:space="0" w:color="auto"/>
                <w:bottom w:val="none" w:sz="0" w:space="0" w:color="auto"/>
                <w:right w:val="none" w:sz="0" w:space="0" w:color="auto"/>
              </w:divBdr>
            </w:div>
            <w:div w:id="693262456">
              <w:marLeft w:val="0"/>
              <w:marRight w:val="0"/>
              <w:marTop w:val="0"/>
              <w:marBottom w:val="0"/>
              <w:divBdr>
                <w:top w:val="none" w:sz="0" w:space="0" w:color="auto"/>
                <w:left w:val="none" w:sz="0" w:space="0" w:color="auto"/>
                <w:bottom w:val="none" w:sz="0" w:space="0" w:color="auto"/>
                <w:right w:val="none" w:sz="0" w:space="0" w:color="auto"/>
              </w:divBdr>
            </w:div>
            <w:div w:id="810294153">
              <w:marLeft w:val="0"/>
              <w:marRight w:val="0"/>
              <w:marTop w:val="0"/>
              <w:marBottom w:val="0"/>
              <w:divBdr>
                <w:top w:val="none" w:sz="0" w:space="0" w:color="auto"/>
                <w:left w:val="none" w:sz="0" w:space="0" w:color="auto"/>
                <w:bottom w:val="none" w:sz="0" w:space="0" w:color="auto"/>
                <w:right w:val="none" w:sz="0" w:space="0" w:color="auto"/>
              </w:divBdr>
            </w:div>
            <w:div w:id="811289128">
              <w:marLeft w:val="0"/>
              <w:marRight w:val="0"/>
              <w:marTop w:val="0"/>
              <w:marBottom w:val="0"/>
              <w:divBdr>
                <w:top w:val="none" w:sz="0" w:space="0" w:color="auto"/>
                <w:left w:val="none" w:sz="0" w:space="0" w:color="auto"/>
                <w:bottom w:val="none" w:sz="0" w:space="0" w:color="auto"/>
                <w:right w:val="none" w:sz="0" w:space="0" w:color="auto"/>
              </w:divBdr>
            </w:div>
            <w:div w:id="980615644">
              <w:marLeft w:val="0"/>
              <w:marRight w:val="0"/>
              <w:marTop w:val="0"/>
              <w:marBottom w:val="0"/>
              <w:divBdr>
                <w:top w:val="none" w:sz="0" w:space="0" w:color="auto"/>
                <w:left w:val="none" w:sz="0" w:space="0" w:color="auto"/>
                <w:bottom w:val="none" w:sz="0" w:space="0" w:color="auto"/>
                <w:right w:val="none" w:sz="0" w:space="0" w:color="auto"/>
              </w:divBdr>
            </w:div>
            <w:div w:id="1008368109">
              <w:marLeft w:val="0"/>
              <w:marRight w:val="0"/>
              <w:marTop w:val="0"/>
              <w:marBottom w:val="0"/>
              <w:divBdr>
                <w:top w:val="none" w:sz="0" w:space="0" w:color="auto"/>
                <w:left w:val="none" w:sz="0" w:space="0" w:color="auto"/>
                <w:bottom w:val="none" w:sz="0" w:space="0" w:color="auto"/>
                <w:right w:val="none" w:sz="0" w:space="0" w:color="auto"/>
              </w:divBdr>
            </w:div>
            <w:div w:id="1184978208">
              <w:marLeft w:val="0"/>
              <w:marRight w:val="0"/>
              <w:marTop w:val="0"/>
              <w:marBottom w:val="0"/>
              <w:divBdr>
                <w:top w:val="none" w:sz="0" w:space="0" w:color="auto"/>
                <w:left w:val="none" w:sz="0" w:space="0" w:color="auto"/>
                <w:bottom w:val="none" w:sz="0" w:space="0" w:color="auto"/>
                <w:right w:val="none" w:sz="0" w:space="0" w:color="auto"/>
              </w:divBdr>
            </w:div>
            <w:div w:id="1221088120">
              <w:marLeft w:val="0"/>
              <w:marRight w:val="0"/>
              <w:marTop w:val="0"/>
              <w:marBottom w:val="0"/>
              <w:divBdr>
                <w:top w:val="none" w:sz="0" w:space="0" w:color="auto"/>
                <w:left w:val="none" w:sz="0" w:space="0" w:color="auto"/>
                <w:bottom w:val="none" w:sz="0" w:space="0" w:color="auto"/>
                <w:right w:val="none" w:sz="0" w:space="0" w:color="auto"/>
              </w:divBdr>
            </w:div>
            <w:div w:id="1364330761">
              <w:marLeft w:val="0"/>
              <w:marRight w:val="0"/>
              <w:marTop w:val="0"/>
              <w:marBottom w:val="0"/>
              <w:divBdr>
                <w:top w:val="none" w:sz="0" w:space="0" w:color="auto"/>
                <w:left w:val="none" w:sz="0" w:space="0" w:color="auto"/>
                <w:bottom w:val="none" w:sz="0" w:space="0" w:color="auto"/>
                <w:right w:val="none" w:sz="0" w:space="0" w:color="auto"/>
              </w:divBdr>
            </w:div>
            <w:div w:id="1531992555">
              <w:marLeft w:val="0"/>
              <w:marRight w:val="0"/>
              <w:marTop w:val="0"/>
              <w:marBottom w:val="0"/>
              <w:divBdr>
                <w:top w:val="none" w:sz="0" w:space="0" w:color="auto"/>
                <w:left w:val="none" w:sz="0" w:space="0" w:color="auto"/>
                <w:bottom w:val="none" w:sz="0" w:space="0" w:color="auto"/>
                <w:right w:val="none" w:sz="0" w:space="0" w:color="auto"/>
              </w:divBdr>
            </w:div>
            <w:div w:id="1760323649">
              <w:marLeft w:val="0"/>
              <w:marRight w:val="0"/>
              <w:marTop w:val="0"/>
              <w:marBottom w:val="0"/>
              <w:divBdr>
                <w:top w:val="none" w:sz="0" w:space="0" w:color="auto"/>
                <w:left w:val="none" w:sz="0" w:space="0" w:color="auto"/>
                <w:bottom w:val="none" w:sz="0" w:space="0" w:color="auto"/>
                <w:right w:val="none" w:sz="0" w:space="0" w:color="auto"/>
              </w:divBdr>
            </w:div>
            <w:div w:id="1765882588">
              <w:marLeft w:val="0"/>
              <w:marRight w:val="0"/>
              <w:marTop w:val="0"/>
              <w:marBottom w:val="0"/>
              <w:divBdr>
                <w:top w:val="none" w:sz="0" w:space="0" w:color="auto"/>
                <w:left w:val="none" w:sz="0" w:space="0" w:color="auto"/>
                <w:bottom w:val="none" w:sz="0" w:space="0" w:color="auto"/>
                <w:right w:val="none" w:sz="0" w:space="0" w:color="auto"/>
              </w:divBdr>
            </w:div>
            <w:div w:id="1971128627">
              <w:marLeft w:val="0"/>
              <w:marRight w:val="0"/>
              <w:marTop w:val="0"/>
              <w:marBottom w:val="0"/>
              <w:divBdr>
                <w:top w:val="none" w:sz="0" w:space="0" w:color="auto"/>
                <w:left w:val="none" w:sz="0" w:space="0" w:color="auto"/>
                <w:bottom w:val="none" w:sz="0" w:space="0" w:color="auto"/>
                <w:right w:val="none" w:sz="0" w:space="0" w:color="auto"/>
              </w:divBdr>
            </w:div>
            <w:div w:id="2085642980">
              <w:marLeft w:val="0"/>
              <w:marRight w:val="0"/>
              <w:marTop w:val="0"/>
              <w:marBottom w:val="0"/>
              <w:divBdr>
                <w:top w:val="none" w:sz="0" w:space="0" w:color="auto"/>
                <w:left w:val="none" w:sz="0" w:space="0" w:color="auto"/>
                <w:bottom w:val="none" w:sz="0" w:space="0" w:color="auto"/>
                <w:right w:val="none" w:sz="0" w:space="0" w:color="auto"/>
              </w:divBdr>
            </w:div>
          </w:divsChild>
        </w:div>
        <w:div w:id="1027871747">
          <w:marLeft w:val="0"/>
          <w:marRight w:val="0"/>
          <w:marTop w:val="0"/>
          <w:marBottom w:val="0"/>
          <w:divBdr>
            <w:top w:val="none" w:sz="0" w:space="0" w:color="auto"/>
            <w:left w:val="none" w:sz="0" w:space="0" w:color="auto"/>
            <w:bottom w:val="none" w:sz="0" w:space="0" w:color="auto"/>
            <w:right w:val="none" w:sz="0" w:space="0" w:color="auto"/>
          </w:divBdr>
          <w:divsChild>
            <w:div w:id="1517677">
              <w:marLeft w:val="0"/>
              <w:marRight w:val="0"/>
              <w:marTop w:val="0"/>
              <w:marBottom w:val="0"/>
              <w:divBdr>
                <w:top w:val="none" w:sz="0" w:space="0" w:color="auto"/>
                <w:left w:val="none" w:sz="0" w:space="0" w:color="auto"/>
                <w:bottom w:val="none" w:sz="0" w:space="0" w:color="auto"/>
                <w:right w:val="none" w:sz="0" w:space="0" w:color="auto"/>
              </w:divBdr>
            </w:div>
            <w:div w:id="50732343">
              <w:marLeft w:val="0"/>
              <w:marRight w:val="0"/>
              <w:marTop w:val="0"/>
              <w:marBottom w:val="0"/>
              <w:divBdr>
                <w:top w:val="none" w:sz="0" w:space="0" w:color="auto"/>
                <w:left w:val="none" w:sz="0" w:space="0" w:color="auto"/>
                <w:bottom w:val="none" w:sz="0" w:space="0" w:color="auto"/>
                <w:right w:val="none" w:sz="0" w:space="0" w:color="auto"/>
              </w:divBdr>
            </w:div>
            <w:div w:id="111293998">
              <w:marLeft w:val="0"/>
              <w:marRight w:val="0"/>
              <w:marTop w:val="0"/>
              <w:marBottom w:val="0"/>
              <w:divBdr>
                <w:top w:val="none" w:sz="0" w:space="0" w:color="auto"/>
                <w:left w:val="none" w:sz="0" w:space="0" w:color="auto"/>
                <w:bottom w:val="none" w:sz="0" w:space="0" w:color="auto"/>
                <w:right w:val="none" w:sz="0" w:space="0" w:color="auto"/>
              </w:divBdr>
            </w:div>
            <w:div w:id="224486629">
              <w:marLeft w:val="0"/>
              <w:marRight w:val="0"/>
              <w:marTop w:val="0"/>
              <w:marBottom w:val="0"/>
              <w:divBdr>
                <w:top w:val="none" w:sz="0" w:space="0" w:color="auto"/>
                <w:left w:val="none" w:sz="0" w:space="0" w:color="auto"/>
                <w:bottom w:val="none" w:sz="0" w:space="0" w:color="auto"/>
                <w:right w:val="none" w:sz="0" w:space="0" w:color="auto"/>
              </w:divBdr>
            </w:div>
            <w:div w:id="344941883">
              <w:marLeft w:val="0"/>
              <w:marRight w:val="0"/>
              <w:marTop w:val="0"/>
              <w:marBottom w:val="0"/>
              <w:divBdr>
                <w:top w:val="none" w:sz="0" w:space="0" w:color="auto"/>
                <w:left w:val="none" w:sz="0" w:space="0" w:color="auto"/>
                <w:bottom w:val="none" w:sz="0" w:space="0" w:color="auto"/>
                <w:right w:val="none" w:sz="0" w:space="0" w:color="auto"/>
              </w:divBdr>
            </w:div>
            <w:div w:id="345638097">
              <w:marLeft w:val="0"/>
              <w:marRight w:val="0"/>
              <w:marTop w:val="0"/>
              <w:marBottom w:val="0"/>
              <w:divBdr>
                <w:top w:val="none" w:sz="0" w:space="0" w:color="auto"/>
                <w:left w:val="none" w:sz="0" w:space="0" w:color="auto"/>
                <w:bottom w:val="none" w:sz="0" w:space="0" w:color="auto"/>
                <w:right w:val="none" w:sz="0" w:space="0" w:color="auto"/>
              </w:divBdr>
            </w:div>
            <w:div w:id="364523669">
              <w:marLeft w:val="0"/>
              <w:marRight w:val="0"/>
              <w:marTop w:val="0"/>
              <w:marBottom w:val="0"/>
              <w:divBdr>
                <w:top w:val="none" w:sz="0" w:space="0" w:color="auto"/>
                <w:left w:val="none" w:sz="0" w:space="0" w:color="auto"/>
                <w:bottom w:val="none" w:sz="0" w:space="0" w:color="auto"/>
                <w:right w:val="none" w:sz="0" w:space="0" w:color="auto"/>
              </w:divBdr>
            </w:div>
            <w:div w:id="511147498">
              <w:marLeft w:val="0"/>
              <w:marRight w:val="0"/>
              <w:marTop w:val="0"/>
              <w:marBottom w:val="0"/>
              <w:divBdr>
                <w:top w:val="none" w:sz="0" w:space="0" w:color="auto"/>
                <w:left w:val="none" w:sz="0" w:space="0" w:color="auto"/>
                <w:bottom w:val="none" w:sz="0" w:space="0" w:color="auto"/>
                <w:right w:val="none" w:sz="0" w:space="0" w:color="auto"/>
              </w:divBdr>
            </w:div>
            <w:div w:id="609630759">
              <w:marLeft w:val="0"/>
              <w:marRight w:val="0"/>
              <w:marTop w:val="0"/>
              <w:marBottom w:val="0"/>
              <w:divBdr>
                <w:top w:val="none" w:sz="0" w:space="0" w:color="auto"/>
                <w:left w:val="none" w:sz="0" w:space="0" w:color="auto"/>
                <w:bottom w:val="none" w:sz="0" w:space="0" w:color="auto"/>
                <w:right w:val="none" w:sz="0" w:space="0" w:color="auto"/>
              </w:divBdr>
            </w:div>
            <w:div w:id="884177453">
              <w:marLeft w:val="0"/>
              <w:marRight w:val="0"/>
              <w:marTop w:val="0"/>
              <w:marBottom w:val="0"/>
              <w:divBdr>
                <w:top w:val="none" w:sz="0" w:space="0" w:color="auto"/>
                <w:left w:val="none" w:sz="0" w:space="0" w:color="auto"/>
                <w:bottom w:val="none" w:sz="0" w:space="0" w:color="auto"/>
                <w:right w:val="none" w:sz="0" w:space="0" w:color="auto"/>
              </w:divBdr>
            </w:div>
            <w:div w:id="892541262">
              <w:marLeft w:val="0"/>
              <w:marRight w:val="0"/>
              <w:marTop w:val="0"/>
              <w:marBottom w:val="0"/>
              <w:divBdr>
                <w:top w:val="none" w:sz="0" w:space="0" w:color="auto"/>
                <w:left w:val="none" w:sz="0" w:space="0" w:color="auto"/>
                <w:bottom w:val="none" w:sz="0" w:space="0" w:color="auto"/>
                <w:right w:val="none" w:sz="0" w:space="0" w:color="auto"/>
              </w:divBdr>
            </w:div>
            <w:div w:id="1026951770">
              <w:marLeft w:val="0"/>
              <w:marRight w:val="0"/>
              <w:marTop w:val="0"/>
              <w:marBottom w:val="0"/>
              <w:divBdr>
                <w:top w:val="none" w:sz="0" w:space="0" w:color="auto"/>
                <w:left w:val="none" w:sz="0" w:space="0" w:color="auto"/>
                <w:bottom w:val="none" w:sz="0" w:space="0" w:color="auto"/>
                <w:right w:val="none" w:sz="0" w:space="0" w:color="auto"/>
              </w:divBdr>
            </w:div>
            <w:div w:id="1137142033">
              <w:marLeft w:val="0"/>
              <w:marRight w:val="0"/>
              <w:marTop w:val="0"/>
              <w:marBottom w:val="0"/>
              <w:divBdr>
                <w:top w:val="none" w:sz="0" w:space="0" w:color="auto"/>
                <w:left w:val="none" w:sz="0" w:space="0" w:color="auto"/>
                <w:bottom w:val="none" w:sz="0" w:space="0" w:color="auto"/>
                <w:right w:val="none" w:sz="0" w:space="0" w:color="auto"/>
              </w:divBdr>
            </w:div>
            <w:div w:id="1642729274">
              <w:marLeft w:val="0"/>
              <w:marRight w:val="0"/>
              <w:marTop w:val="0"/>
              <w:marBottom w:val="0"/>
              <w:divBdr>
                <w:top w:val="none" w:sz="0" w:space="0" w:color="auto"/>
                <w:left w:val="none" w:sz="0" w:space="0" w:color="auto"/>
                <w:bottom w:val="none" w:sz="0" w:space="0" w:color="auto"/>
                <w:right w:val="none" w:sz="0" w:space="0" w:color="auto"/>
              </w:divBdr>
            </w:div>
            <w:div w:id="1667173503">
              <w:marLeft w:val="0"/>
              <w:marRight w:val="0"/>
              <w:marTop w:val="0"/>
              <w:marBottom w:val="0"/>
              <w:divBdr>
                <w:top w:val="none" w:sz="0" w:space="0" w:color="auto"/>
                <w:left w:val="none" w:sz="0" w:space="0" w:color="auto"/>
                <w:bottom w:val="none" w:sz="0" w:space="0" w:color="auto"/>
                <w:right w:val="none" w:sz="0" w:space="0" w:color="auto"/>
              </w:divBdr>
            </w:div>
            <w:div w:id="1846899742">
              <w:marLeft w:val="0"/>
              <w:marRight w:val="0"/>
              <w:marTop w:val="0"/>
              <w:marBottom w:val="0"/>
              <w:divBdr>
                <w:top w:val="none" w:sz="0" w:space="0" w:color="auto"/>
                <w:left w:val="none" w:sz="0" w:space="0" w:color="auto"/>
                <w:bottom w:val="none" w:sz="0" w:space="0" w:color="auto"/>
                <w:right w:val="none" w:sz="0" w:space="0" w:color="auto"/>
              </w:divBdr>
            </w:div>
            <w:div w:id="1855538181">
              <w:marLeft w:val="0"/>
              <w:marRight w:val="0"/>
              <w:marTop w:val="0"/>
              <w:marBottom w:val="0"/>
              <w:divBdr>
                <w:top w:val="none" w:sz="0" w:space="0" w:color="auto"/>
                <w:left w:val="none" w:sz="0" w:space="0" w:color="auto"/>
                <w:bottom w:val="none" w:sz="0" w:space="0" w:color="auto"/>
                <w:right w:val="none" w:sz="0" w:space="0" w:color="auto"/>
              </w:divBdr>
            </w:div>
            <w:div w:id="1872648548">
              <w:marLeft w:val="0"/>
              <w:marRight w:val="0"/>
              <w:marTop w:val="0"/>
              <w:marBottom w:val="0"/>
              <w:divBdr>
                <w:top w:val="none" w:sz="0" w:space="0" w:color="auto"/>
                <w:left w:val="none" w:sz="0" w:space="0" w:color="auto"/>
                <w:bottom w:val="none" w:sz="0" w:space="0" w:color="auto"/>
                <w:right w:val="none" w:sz="0" w:space="0" w:color="auto"/>
              </w:divBdr>
            </w:div>
            <w:div w:id="2116435065">
              <w:marLeft w:val="0"/>
              <w:marRight w:val="0"/>
              <w:marTop w:val="0"/>
              <w:marBottom w:val="0"/>
              <w:divBdr>
                <w:top w:val="none" w:sz="0" w:space="0" w:color="auto"/>
                <w:left w:val="none" w:sz="0" w:space="0" w:color="auto"/>
                <w:bottom w:val="none" w:sz="0" w:space="0" w:color="auto"/>
                <w:right w:val="none" w:sz="0" w:space="0" w:color="auto"/>
              </w:divBdr>
            </w:div>
            <w:div w:id="2141072928">
              <w:marLeft w:val="0"/>
              <w:marRight w:val="0"/>
              <w:marTop w:val="0"/>
              <w:marBottom w:val="0"/>
              <w:divBdr>
                <w:top w:val="none" w:sz="0" w:space="0" w:color="auto"/>
                <w:left w:val="none" w:sz="0" w:space="0" w:color="auto"/>
                <w:bottom w:val="none" w:sz="0" w:space="0" w:color="auto"/>
                <w:right w:val="none" w:sz="0" w:space="0" w:color="auto"/>
              </w:divBdr>
            </w:div>
          </w:divsChild>
        </w:div>
        <w:div w:id="1209339271">
          <w:marLeft w:val="0"/>
          <w:marRight w:val="0"/>
          <w:marTop w:val="0"/>
          <w:marBottom w:val="0"/>
          <w:divBdr>
            <w:top w:val="none" w:sz="0" w:space="0" w:color="auto"/>
            <w:left w:val="none" w:sz="0" w:space="0" w:color="auto"/>
            <w:bottom w:val="none" w:sz="0" w:space="0" w:color="auto"/>
            <w:right w:val="none" w:sz="0" w:space="0" w:color="auto"/>
          </w:divBdr>
          <w:divsChild>
            <w:div w:id="95099203">
              <w:marLeft w:val="0"/>
              <w:marRight w:val="0"/>
              <w:marTop w:val="0"/>
              <w:marBottom w:val="0"/>
              <w:divBdr>
                <w:top w:val="none" w:sz="0" w:space="0" w:color="auto"/>
                <w:left w:val="none" w:sz="0" w:space="0" w:color="auto"/>
                <w:bottom w:val="none" w:sz="0" w:space="0" w:color="auto"/>
                <w:right w:val="none" w:sz="0" w:space="0" w:color="auto"/>
              </w:divBdr>
            </w:div>
            <w:div w:id="401223783">
              <w:marLeft w:val="0"/>
              <w:marRight w:val="0"/>
              <w:marTop w:val="0"/>
              <w:marBottom w:val="0"/>
              <w:divBdr>
                <w:top w:val="none" w:sz="0" w:space="0" w:color="auto"/>
                <w:left w:val="none" w:sz="0" w:space="0" w:color="auto"/>
                <w:bottom w:val="none" w:sz="0" w:space="0" w:color="auto"/>
                <w:right w:val="none" w:sz="0" w:space="0" w:color="auto"/>
              </w:divBdr>
            </w:div>
            <w:div w:id="497814744">
              <w:marLeft w:val="0"/>
              <w:marRight w:val="0"/>
              <w:marTop w:val="0"/>
              <w:marBottom w:val="0"/>
              <w:divBdr>
                <w:top w:val="none" w:sz="0" w:space="0" w:color="auto"/>
                <w:left w:val="none" w:sz="0" w:space="0" w:color="auto"/>
                <w:bottom w:val="none" w:sz="0" w:space="0" w:color="auto"/>
                <w:right w:val="none" w:sz="0" w:space="0" w:color="auto"/>
              </w:divBdr>
            </w:div>
            <w:div w:id="588663152">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0"/>
              <w:marBottom w:val="0"/>
              <w:divBdr>
                <w:top w:val="none" w:sz="0" w:space="0" w:color="auto"/>
                <w:left w:val="none" w:sz="0" w:space="0" w:color="auto"/>
                <w:bottom w:val="none" w:sz="0" w:space="0" w:color="auto"/>
                <w:right w:val="none" w:sz="0" w:space="0" w:color="auto"/>
              </w:divBdr>
            </w:div>
            <w:div w:id="798494686">
              <w:marLeft w:val="0"/>
              <w:marRight w:val="0"/>
              <w:marTop w:val="0"/>
              <w:marBottom w:val="0"/>
              <w:divBdr>
                <w:top w:val="none" w:sz="0" w:space="0" w:color="auto"/>
                <w:left w:val="none" w:sz="0" w:space="0" w:color="auto"/>
                <w:bottom w:val="none" w:sz="0" w:space="0" w:color="auto"/>
                <w:right w:val="none" w:sz="0" w:space="0" w:color="auto"/>
              </w:divBdr>
            </w:div>
            <w:div w:id="840780399">
              <w:marLeft w:val="0"/>
              <w:marRight w:val="0"/>
              <w:marTop w:val="0"/>
              <w:marBottom w:val="0"/>
              <w:divBdr>
                <w:top w:val="none" w:sz="0" w:space="0" w:color="auto"/>
                <w:left w:val="none" w:sz="0" w:space="0" w:color="auto"/>
                <w:bottom w:val="none" w:sz="0" w:space="0" w:color="auto"/>
                <w:right w:val="none" w:sz="0" w:space="0" w:color="auto"/>
              </w:divBdr>
            </w:div>
            <w:div w:id="1008411786">
              <w:marLeft w:val="0"/>
              <w:marRight w:val="0"/>
              <w:marTop w:val="0"/>
              <w:marBottom w:val="0"/>
              <w:divBdr>
                <w:top w:val="none" w:sz="0" w:space="0" w:color="auto"/>
                <w:left w:val="none" w:sz="0" w:space="0" w:color="auto"/>
                <w:bottom w:val="none" w:sz="0" w:space="0" w:color="auto"/>
                <w:right w:val="none" w:sz="0" w:space="0" w:color="auto"/>
              </w:divBdr>
            </w:div>
            <w:div w:id="1030454356">
              <w:marLeft w:val="0"/>
              <w:marRight w:val="0"/>
              <w:marTop w:val="0"/>
              <w:marBottom w:val="0"/>
              <w:divBdr>
                <w:top w:val="none" w:sz="0" w:space="0" w:color="auto"/>
                <w:left w:val="none" w:sz="0" w:space="0" w:color="auto"/>
                <w:bottom w:val="none" w:sz="0" w:space="0" w:color="auto"/>
                <w:right w:val="none" w:sz="0" w:space="0" w:color="auto"/>
              </w:divBdr>
            </w:div>
            <w:div w:id="1294215146">
              <w:marLeft w:val="0"/>
              <w:marRight w:val="0"/>
              <w:marTop w:val="0"/>
              <w:marBottom w:val="0"/>
              <w:divBdr>
                <w:top w:val="none" w:sz="0" w:space="0" w:color="auto"/>
                <w:left w:val="none" w:sz="0" w:space="0" w:color="auto"/>
                <w:bottom w:val="none" w:sz="0" w:space="0" w:color="auto"/>
                <w:right w:val="none" w:sz="0" w:space="0" w:color="auto"/>
              </w:divBdr>
            </w:div>
            <w:div w:id="1317147368">
              <w:marLeft w:val="0"/>
              <w:marRight w:val="0"/>
              <w:marTop w:val="0"/>
              <w:marBottom w:val="0"/>
              <w:divBdr>
                <w:top w:val="none" w:sz="0" w:space="0" w:color="auto"/>
                <w:left w:val="none" w:sz="0" w:space="0" w:color="auto"/>
                <w:bottom w:val="none" w:sz="0" w:space="0" w:color="auto"/>
                <w:right w:val="none" w:sz="0" w:space="0" w:color="auto"/>
              </w:divBdr>
            </w:div>
            <w:div w:id="1420784835">
              <w:marLeft w:val="0"/>
              <w:marRight w:val="0"/>
              <w:marTop w:val="0"/>
              <w:marBottom w:val="0"/>
              <w:divBdr>
                <w:top w:val="none" w:sz="0" w:space="0" w:color="auto"/>
                <w:left w:val="none" w:sz="0" w:space="0" w:color="auto"/>
                <w:bottom w:val="none" w:sz="0" w:space="0" w:color="auto"/>
                <w:right w:val="none" w:sz="0" w:space="0" w:color="auto"/>
              </w:divBdr>
            </w:div>
            <w:div w:id="1648432467">
              <w:marLeft w:val="0"/>
              <w:marRight w:val="0"/>
              <w:marTop w:val="0"/>
              <w:marBottom w:val="0"/>
              <w:divBdr>
                <w:top w:val="none" w:sz="0" w:space="0" w:color="auto"/>
                <w:left w:val="none" w:sz="0" w:space="0" w:color="auto"/>
                <w:bottom w:val="none" w:sz="0" w:space="0" w:color="auto"/>
                <w:right w:val="none" w:sz="0" w:space="0" w:color="auto"/>
              </w:divBdr>
            </w:div>
            <w:div w:id="1691683986">
              <w:marLeft w:val="0"/>
              <w:marRight w:val="0"/>
              <w:marTop w:val="0"/>
              <w:marBottom w:val="0"/>
              <w:divBdr>
                <w:top w:val="none" w:sz="0" w:space="0" w:color="auto"/>
                <w:left w:val="none" w:sz="0" w:space="0" w:color="auto"/>
                <w:bottom w:val="none" w:sz="0" w:space="0" w:color="auto"/>
                <w:right w:val="none" w:sz="0" w:space="0" w:color="auto"/>
              </w:divBdr>
            </w:div>
            <w:div w:id="1745447396">
              <w:marLeft w:val="0"/>
              <w:marRight w:val="0"/>
              <w:marTop w:val="0"/>
              <w:marBottom w:val="0"/>
              <w:divBdr>
                <w:top w:val="none" w:sz="0" w:space="0" w:color="auto"/>
                <w:left w:val="none" w:sz="0" w:space="0" w:color="auto"/>
                <w:bottom w:val="none" w:sz="0" w:space="0" w:color="auto"/>
                <w:right w:val="none" w:sz="0" w:space="0" w:color="auto"/>
              </w:divBdr>
            </w:div>
            <w:div w:id="1813673262">
              <w:marLeft w:val="0"/>
              <w:marRight w:val="0"/>
              <w:marTop w:val="0"/>
              <w:marBottom w:val="0"/>
              <w:divBdr>
                <w:top w:val="none" w:sz="0" w:space="0" w:color="auto"/>
                <w:left w:val="none" w:sz="0" w:space="0" w:color="auto"/>
                <w:bottom w:val="none" w:sz="0" w:space="0" w:color="auto"/>
                <w:right w:val="none" w:sz="0" w:space="0" w:color="auto"/>
              </w:divBdr>
            </w:div>
            <w:div w:id="1814444162">
              <w:marLeft w:val="0"/>
              <w:marRight w:val="0"/>
              <w:marTop w:val="0"/>
              <w:marBottom w:val="0"/>
              <w:divBdr>
                <w:top w:val="none" w:sz="0" w:space="0" w:color="auto"/>
                <w:left w:val="none" w:sz="0" w:space="0" w:color="auto"/>
                <w:bottom w:val="none" w:sz="0" w:space="0" w:color="auto"/>
                <w:right w:val="none" w:sz="0" w:space="0" w:color="auto"/>
              </w:divBdr>
            </w:div>
            <w:div w:id="1951887237">
              <w:marLeft w:val="0"/>
              <w:marRight w:val="0"/>
              <w:marTop w:val="0"/>
              <w:marBottom w:val="0"/>
              <w:divBdr>
                <w:top w:val="none" w:sz="0" w:space="0" w:color="auto"/>
                <w:left w:val="none" w:sz="0" w:space="0" w:color="auto"/>
                <w:bottom w:val="none" w:sz="0" w:space="0" w:color="auto"/>
                <w:right w:val="none" w:sz="0" w:space="0" w:color="auto"/>
              </w:divBdr>
            </w:div>
            <w:div w:id="2001931267">
              <w:marLeft w:val="0"/>
              <w:marRight w:val="0"/>
              <w:marTop w:val="0"/>
              <w:marBottom w:val="0"/>
              <w:divBdr>
                <w:top w:val="none" w:sz="0" w:space="0" w:color="auto"/>
                <w:left w:val="none" w:sz="0" w:space="0" w:color="auto"/>
                <w:bottom w:val="none" w:sz="0" w:space="0" w:color="auto"/>
                <w:right w:val="none" w:sz="0" w:space="0" w:color="auto"/>
              </w:divBdr>
            </w:div>
            <w:div w:id="2104255256">
              <w:marLeft w:val="0"/>
              <w:marRight w:val="0"/>
              <w:marTop w:val="0"/>
              <w:marBottom w:val="0"/>
              <w:divBdr>
                <w:top w:val="none" w:sz="0" w:space="0" w:color="auto"/>
                <w:left w:val="none" w:sz="0" w:space="0" w:color="auto"/>
                <w:bottom w:val="none" w:sz="0" w:space="0" w:color="auto"/>
                <w:right w:val="none" w:sz="0" w:space="0" w:color="auto"/>
              </w:divBdr>
            </w:div>
          </w:divsChild>
        </w:div>
        <w:div w:id="2101022131">
          <w:marLeft w:val="0"/>
          <w:marRight w:val="0"/>
          <w:marTop w:val="0"/>
          <w:marBottom w:val="0"/>
          <w:divBdr>
            <w:top w:val="none" w:sz="0" w:space="0" w:color="auto"/>
            <w:left w:val="none" w:sz="0" w:space="0" w:color="auto"/>
            <w:bottom w:val="none" w:sz="0" w:space="0" w:color="auto"/>
            <w:right w:val="none" w:sz="0" w:space="0" w:color="auto"/>
          </w:divBdr>
          <w:divsChild>
            <w:div w:id="166020813">
              <w:marLeft w:val="0"/>
              <w:marRight w:val="0"/>
              <w:marTop w:val="0"/>
              <w:marBottom w:val="0"/>
              <w:divBdr>
                <w:top w:val="none" w:sz="0" w:space="0" w:color="auto"/>
                <w:left w:val="none" w:sz="0" w:space="0" w:color="auto"/>
                <w:bottom w:val="none" w:sz="0" w:space="0" w:color="auto"/>
                <w:right w:val="none" w:sz="0" w:space="0" w:color="auto"/>
              </w:divBdr>
            </w:div>
            <w:div w:id="422535590">
              <w:marLeft w:val="0"/>
              <w:marRight w:val="0"/>
              <w:marTop w:val="0"/>
              <w:marBottom w:val="0"/>
              <w:divBdr>
                <w:top w:val="none" w:sz="0" w:space="0" w:color="auto"/>
                <w:left w:val="none" w:sz="0" w:space="0" w:color="auto"/>
                <w:bottom w:val="none" w:sz="0" w:space="0" w:color="auto"/>
                <w:right w:val="none" w:sz="0" w:space="0" w:color="auto"/>
              </w:divBdr>
            </w:div>
            <w:div w:id="559439539">
              <w:marLeft w:val="0"/>
              <w:marRight w:val="0"/>
              <w:marTop w:val="0"/>
              <w:marBottom w:val="0"/>
              <w:divBdr>
                <w:top w:val="none" w:sz="0" w:space="0" w:color="auto"/>
                <w:left w:val="none" w:sz="0" w:space="0" w:color="auto"/>
                <w:bottom w:val="none" w:sz="0" w:space="0" w:color="auto"/>
                <w:right w:val="none" w:sz="0" w:space="0" w:color="auto"/>
              </w:divBdr>
            </w:div>
            <w:div w:id="570773499">
              <w:marLeft w:val="0"/>
              <w:marRight w:val="0"/>
              <w:marTop w:val="0"/>
              <w:marBottom w:val="0"/>
              <w:divBdr>
                <w:top w:val="none" w:sz="0" w:space="0" w:color="auto"/>
                <w:left w:val="none" w:sz="0" w:space="0" w:color="auto"/>
                <w:bottom w:val="none" w:sz="0" w:space="0" w:color="auto"/>
                <w:right w:val="none" w:sz="0" w:space="0" w:color="auto"/>
              </w:divBdr>
            </w:div>
            <w:div w:id="578487477">
              <w:marLeft w:val="0"/>
              <w:marRight w:val="0"/>
              <w:marTop w:val="0"/>
              <w:marBottom w:val="0"/>
              <w:divBdr>
                <w:top w:val="none" w:sz="0" w:space="0" w:color="auto"/>
                <w:left w:val="none" w:sz="0" w:space="0" w:color="auto"/>
                <w:bottom w:val="none" w:sz="0" w:space="0" w:color="auto"/>
                <w:right w:val="none" w:sz="0" w:space="0" w:color="auto"/>
              </w:divBdr>
            </w:div>
            <w:div w:id="706954819">
              <w:marLeft w:val="0"/>
              <w:marRight w:val="0"/>
              <w:marTop w:val="0"/>
              <w:marBottom w:val="0"/>
              <w:divBdr>
                <w:top w:val="none" w:sz="0" w:space="0" w:color="auto"/>
                <w:left w:val="none" w:sz="0" w:space="0" w:color="auto"/>
                <w:bottom w:val="none" w:sz="0" w:space="0" w:color="auto"/>
                <w:right w:val="none" w:sz="0" w:space="0" w:color="auto"/>
              </w:divBdr>
            </w:div>
            <w:div w:id="921252977">
              <w:marLeft w:val="0"/>
              <w:marRight w:val="0"/>
              <w:marTop w:val="0"/>
              <w:marBottom w:val="0"/>
              <w:divBdr>
                <w:top w:val="none" w:sz="0" w:space="0" w:color="auto"/>
                <w:left w:val="none" w:sz="0" w:space="0" w:color="auto"/>
                <w:bottom w:val="none" w:sz="0" w:space="0" w:color="auto"/>
                <w:right w:val="none" w:sz="0" w:space="0" w:color="auto"/>
              </w:divBdr>
            </w:div>
            <w:div w:id="969893595">
              <w:marLeft w:val="0"/>
              <w:marRight w:val="0"/>
              <w:marTop w:val="0"/>
              <w:marBottom w:val="0"/>
              <w:divBdr>
                <w:top w:val="none" w:sz="0" w:space="0" w:color="auto"/>
                <w:left w:val="none" w:sz="0" w:space="0" w:color="auto"/>
                <w:bottom w:val="none" w:sz="0" w:space="0" w:color="auto"/>
                <w:right w:val="none" w:sz="0" w:space="0" w:color="auto"/>
              </w:divBdr>
            </w:div>
            <w:div w:id="1189216705">
              <w:marLeft w:val="0"/>
              <w:marRight w:val="0"/>
              <w:marTop w:val="0"/>
              <w:marBottom w:val="0"/>
              <w:divBdr>
                <w:top w:val="none" w:sz="0" w:space="0" w:color="auto"/>
                <w:left w:val="none" w:sz="0" w:space="0" w:color="auto"/>
                <w:bottom w:val="none" w:sz="0" w:space="0" w:color="auto"/>
                <w:right w:val="none" w:sz="0" w:space="0" w:color="auto"/>
              </w:divBdr>
            </w:div>
            <w:div w:id="1263301785">
              <w:marLeft w:val="0"/>
              <w:marRight w:val="0"/>
              <w:marTop w:val="0"/>
              <w:marBottom w:val="0"/>
              <w:divBdr>
                <w:top w:val="none" w:sz="0" w:space="0" w:color="auto"/>
                <w:left w:val="none" w:sz="0" w:space="0" w:color="auto"/>
                <w:bottom w:val="none" w:sz="0" w:space="0" w:color="auto"/>
                <w:right w:val="none" w:sz="0" w:space="0" w:color="auto"/>
              </w:divBdr>
            </w:div>
            <w:div w:id="1284338695">
              <w:marLeft w:val="0"/>
              <w:marRight w:val="0"/>
              <w:marTop w:val="0"/>
              <w:marBottom w:val="0"/>
              <w:divBdr>
                <w:top w:val="none" w:sz="0" w:space="0" w:color="auto"/>
                <w:left w:val="none" w:sz="0" w:space="0" w:color="auto"/>
                <w:bottom w:val="none" w:sz="0" w:space="0" w:color="auto"/>
                <w:right w:val="none" w:sz="0" w:space="0" w:color="auto"/>
              </w:divBdr>
            </w:div>
            <w:div w:id="1400135948">
              <w:marLeft w:val="0"/>
              <w:marRight w:val="0"/>
              <w:marTop w:val="0"/>
              <w:marBottom w:val="0"/>
              <w:divBdr>
                <w:top w:val="none" w:sz="0" w:space="0" w:color="auto"/>
                <w:left w:val="none" w:sz="0" w:space="0" w:color="auto"/>
                <w:bottom w:val="none" w:sz="0" w:space="0" w:color="auto"/>
                <w:right w:val="none" w:sz="0" w:space="0" w:color="auto"/>
              </w:divBdr>
            </w:div>
            <w:div w:id="1491797924">
              <w:marLeft w:val="0"/>
              <w:marRight w:val="0"/>
              <w:marTop w:val="0"/>
              <w:marBottom w:val="0"/>
              <w:divBdr>
                <w:top w:val="none" w:sz="0" w:space="0" w:color="auto"/>
                <w:left w:val="none" w:sz="0" w:space="0" w:color="auto"/>
                <w:bottom w:val="none" w:sz="0" w:space="0" w:color="auto"/>
                <w:right w:val="none" w:sz="0" w:space="0" w:color="auto"/>
              </w:divBdr>
            </w:div>
            <w:div w:id="1512405631">
              <w:marLeft w:val="0"/>
              <w:marRight w:val="0"/>
              <w:marTop w:val="0"/>
              <w:marBottom w:val="0"/>
              <w:divBdr>
                <w:top w:val="none" w:sz="0" w:space="0" w:color="auto"/>
                <w:left w:val="none" w:sz="0" w:space="0" w:color="auto"/>
                <w:bottom w:val="none" w:sz="0" w:space="0" w:color="auto"/>
                <w:right w:val="none" w:sz="0" w:space="0" w:color="auto"/>
              </w:divBdr>
            </w:div>
            <w:div w:id="1564179499">
              <w:marLeft w:val="0"/>
              <w:marRight w:val="0"/>
              <w:marTop w:val="0"/>
              <w:marBottom w:val="0"/>
              <w:divBdr>
                <w:top w:val="none" w:sz="0" w:space="0" w:color="auto"/>
                <w:left w:val="none" w:sz="0" w:space="0" w:color="auto"/>
                <w:bottom w:val="none" w:sz="0" w:space="0" w:color="auto"/>
                <w:right w:val="none" w:sz="0" w:space="0" w:color="auto"/>
              </w:divBdr>
            </w:div>
            <w:div w:id="1672445037">
              <w:marLeft w:val="0"/>
              <w:marRight w:val="0"/>
              <w:marTop w:val="0"/>
              <w:marBottom w:val="0"/>
              <w:divBdr>
                <w:top w:val="none" w:sz="0" w:space="0" w:color="auto"/>
                <w:left w:val="none" w:sz="0" w:space="0" w:color="auto"/>
                <w:bottom w:val="none" w:sz="0" w:space="0" w:color="auto"/>
                <w:right w:val="none" w:sz="0" w:space="0" w:color="auto"/>
              </w:divBdr>
            </w:div>
            <w:div w:id="1952667403">
              <w:marLeft w:val="0"/>
              <w:marRight w:val="0"/>
              <w:marTop w:val="0"/>
              <w:marBottom w:val="0"/>
              <w:divBdr>
                <w:top w:val="none" w:sz="0" w:space="0" w:color="auto"/>
                <w:left w:val="none" w:sz="0" w:space="0" w:color="auto"/>
                <w:bottom w:val="none" w:sz="0" w:space="0" w:color="auto"/>
                <w:right w:val="none" w:sz="0" w:space="0" w:color="auto"/>
              </w:divBdr>
            </w:div>
            <w:div w:id="1975864570">
              <w:marLeft w:val="0"/>
              <w:marRight w:val="0"/>
              <w:marTop w:val="0"/>
              <w:marBottom w:val="0"/>
              <w:divBdr>
                <w:top w:val="none" w:sz="0" w:space="0" w:color="auto"/>
                <w:left w:val="none" w:sz="0" w:space="0" w:color="auto"/>
                <w:bottom w:val="none" w:sz="0" w:space="0" w:color="auto"/>
                <w:right w:val="none" w:sz="0" w:space="0" w:color="auto"/>
              </w:divBdr>
            </w:div>
            <w:div w:id="202554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2927">
      <w:bodyDiv w:val="1"/>
      <w:marLeft w:val="0"/>
      <w:marRight w:val="0"/>
      <w:marTop w:val="0"/>
      <w:marBottom w:val="0"/>
      <w:divBdr>
        <w:top w:val="none" w:sz="0" w:space="0" w:color="auto"/>
        <w:left w:val="none" w:sz="0" w:space="0" w:color="auto"/>
        <w:bottom w:val="none" w:sz="0" w:space="0" w:color="auto"/>
        <w:right w:val="none" w:sz="0" w:space="0" w:color="auto"/>
      </w:divBdr>
      <w:divsChild>
        <w:div w:id="55781366">
          <w:marLeft w:val="0"/>
          <w:marRight w:val="0"/>
          <w:marTop w:val="0"/>
          <w:marBottom w:val="0"/>
          <w:divBdr>
            <w:top w:val="none" w:sz="0" w:space="0" w:color="auto"/>
            <w:left w:val="none" w:sz="0" w:space="0" w:color="auto"/>
            <w:bottom w:val="none" w:sz="0" w:space="0" w:color="auto"/>
            <w:right w:val="none" w:sz="0" w:space="0" w:color="auto"/>
          </w:divBdr>
          <w:divsChild>
            <w:div w:id="868641206">
              <w:marLeft w:val="0"/>
              <w:marRight w:val="0"/>
              <w:marTop w:val="0"/>
              <w:marBottom w:val="0"/>
              <w:divBdr>
                <w:top w:val="none" w:sz="0" w:space="0" w:color="auto"/>
                <w:left w:val="none" w:sz="0" w:space="0" w:color="auto"/>
                <w:bottom w:val="none" w:sz="0" w:space="0" w:color="auto"/>
                <w:right w:val="none" w:sz="0" w:space="0" w:color="auto"/>
              </w:divBdr>
            </w:div>
          </w:divsChild>
        </w:div>
        <w:div w:id="165638633">
          <w:marLeft w:val="0"/>
          <w:marRight w:val="0"/>
          <w:marTop w:val="0"/>
          <w:marBottom w:val="0"/>
          <w:divBdr>
            <w:top w:val="none" w:sz="0" w:space="0" w:color="auto"/>
            <w:left w:val="none" w:sz="0" w:space="0" w:color="auto"/>
            <w:bottom w:val="none" w:sz="0" w:space="0" w:color="auto"/>
            <w:right w:val="none" w:sz="0" w:space="0" w:color="auto"/>
          </w:divBdr>
          <w:divsChild>
            <w:div w:id="435489383">
              <w:marLeft w:val="0"/>
              <w:marRight w:val="0"/>
              <w:marTop w:val="0"/>
              <w:marBottom w:val="0"/>
              <w:divBdr>
                <w:top w:val="none" w:sz="0" w:space="0" w:color="auto"/>
                <w:left w:val="none" w:sz="0" w:space="0" w:color="auto"/>
                <w:bottom w:val="none" w:sz="0" w:space="0" w:color="auto"/>
                <w:right w:val="none" w:sz="0" w:space="0" w:color="auto"/>
              </w:divBdr>
            </w:div>
          </w:divsChild>
        </w:div>
        <w:div w:id="296448245">
          <w:marLeft w:val="0"/>
          <w:marRight w:val="0"/>
          <w:marTop w:val="0"/>
          <w:marBottom w:val="0"/>
          <w:divBdr>
            <w:top w:val="none" w:sz="0" w:space="0" w:color="auto"/>
            <w:left w:val="none" w:sz="0" w:space="0" w:color="auto"/>
            <w:bottom w:val="none" w:sz="0" w:space="0" w:color="auto"/>
            <w:right w:val="none" w:sz="0" w:space="0" w:color="auto"/>
          </w:divBdr>
          <w:divsChild>
            <w:div w:id="1279147436">
              <w:marLeft w:val="0"/>
              <w:marRight w:val="0"/>
              <w:marTop w:val="0"/>
              <w:marBottom w:val="0"/>
              <w:divBdr>
                <w:top w:val="none" w:sz="0" w:space="0" w:color="auto"/>
                <w:left w:val="none" w:sz="0" w:space="0" w:color="auto"/>
                <w:bottom w:val="none" w:sz="0" w:space="0" w:color="auto"/>
                <w:right w:val="none" w:sz="0" w:space="0" w:color="auto"/>
              </w:divBdr>
            </w:div>
          </w:divsChild>
        </w:div>
        <w:div w:id="434247835">
          <w:marLeft w:val="0"/>
          <w:marRight w:val="0"/>
          <w:marTop w:val="0"/>
          <w:marBottom w:val="0"/>
          <w:divBdr>
            <w:top w:val="none" w:sz="0" w:space="0" w:color="auto"/>
            <w:left w:val="none" w:sz="0" w:space="0" w:color="auto"/>
            <w:bottom w:val="none" w:sz="0" w:space="0" w:color="auto"/>
            <w:right w:val="none" w:sz="0" w:space="0" w:color="auto"/>
          </w:divBdr>
          <w:divsChild>
            <w:div w:id="882593127">
              <w:marLeft w:val="0"/>
              <w:marRight w:val="0"/>
              <w:marTop w:val="0"/>
              <w:marBottom w:val="0"/>
              <w:divBdr>
                <w:top w:val="none" w:sz="0" w:space="0" w:color="auto"/>
                <w:left w:val="none" w:sz="0" w:space="0" w:color="auto"/>
                <w:bottom w:val="none" w:sz="0" w:space="0" w:color="auto"/>
                <w:right w:val="none" w:sz="0" w:space="0" w:color="auto"/>
              </w:divBdr>
            </w:div>
          </w:divsChild>
        </w:div>
        <w:div w:id="461270137">
          <w:marLeft w:val="0"/>
          <w:marRight w:val="0"/>
          <w:marTop w:val="0"/>
          <w:marBottom w:val="0"/>
          <w:divBdr>
            <w:top w:val="none" w:sz="0" w:space="0" w:color="auto"/>
            <w:left w:val="none" w:sz="0" w:space="0" w:color="auto"/>
            <w:bottom w:val="none" w:sz="0" w:space="0" w:color="auto"/>
            <w:right w:val="none" w:sz="0" w:space="0" w:color="auto"/>
          </w:divBdr>
          <w:divsChild>
            <w:div w:id="638997847">
              <w:marLeft w:val="0"/>
              <w:marRight w:val="0"/>
              <w:marTop w:val="0"/>
              <w:marBottom w:val="0"/>
              <w:divBdr>
                <w:top w:val="none" w:sz="0" w:space="0" w:color="auto"/>
                <w:left w:val="none" w:sz="0" w:space="0" w:color="auto"/>
                <w:bottom w:val="none" w:sz="0" w:space="0" w:color="auto"/>
                <w:right w:val="none" w:sz="0" w:space="0" w:color="auto"/>
              </w:divBdr>
            </w:div>
          </w:divsChild>
        </w:div>
        <w:div w:id="463934581">
          <w:marLeft w:val="0"/>
          <w:marRight w:val="0"/>
          <w:marTop w:val="0"/>
          <w:marBottom w:val="0"/>
          <w:divBdr>
            <w:top w:val="none" w:sz="0" w:space="0" w:color="auto"/>
            <w:left w:val="none" w:sz="0" w:space="0" w:color="auto"/>
            <w:bottom w:val="none" w:sz="0" w:space="0" w:color="auto"/>
            <w:right w:val="none" w:sz="0" w:space="0" w:color="auto"/>
          </w:divBdr>
          <w:divsChild>
            <w:div w:id="1968775988">
              <w:marLeft w:val="0"/>
              <w:marRight w:val="0"/>
              <w:marTop w:val="0"/>
              <w:marBottom w:val="0"/>
              <w:divBdr>
                <w:top w:val="none" w:sz="0" w:space="0" w:color="auto"/>
                <w:left w:val="none" w:sz="0" w:space="0" w:color="auto"/>
                <w:bottom w:val="none" w:sz="0" w:space="0" w:color="auto"/>
                <w:right w:val="none" w:sz="0" w:space="0" w:color="auto"/>
              </w:divBdr>
            </w:div>
          </w:divsChild>
        </w:div>
        <w:div w:id="519708517">
          <w:marLeft w:val="0"/>
          <w:marRight w:val="0"/>
          <w:marTop w:val="0"/>
          <w:marBottom w:val="0"/>
          <w:divBdr>
            <w:top w:val="none" w:sz="0" w:space="0" w:color="auto"/>
            <w:left w:val="none" w:sz="0" w:space="0" w:color="auto"/>
            <w:bottom w:val="none" w:sz="0" w:space="0" w:color="auto"/>
            <w:right w:val="none" w:sz="0" w:space="0" w:color="auto"/>
          </w:divBdr>
          <w:divsChild>
            <w:div w:id="1954625674">
              <w:marLeft w:val="0"/>
              <w:marRight w:val="0"/>
              <w:marTop w:val="0"/>
              <w:marBottom w:val="0"/>
              <w:divBdr>
                <w:top w:val="none" w:sz="0" w:space="0" w:color="auto"/>
                <w:left w:val="none" w:sz="0" w:space="0" w:color="auto"/>
                <w:bottom w:val="none" w:sz="0" w:space="0" w:color="auto"/>
                <w:right w:val="none" w:sz="0" w:space="0" w:color="auto"/>
              </w:divBdr>
            </w:div>
          </w:divsChild>
        </w:div>
        <w:div w:id="553614875">
          <w:marLeft w:val="0"/>
          <w:marRight w:val="0"/>
          <w:marTop w:val="0"/>
          <w:marBottom w:val="0"/>
          <w:divBdr>
            <w:top w:val="none" w:sz="0" w:space="0" w:color="auto"/>
            <w:left w:val="none" w:sz="0" w:space="0" w:color="auto"/>
            <w:bottom w:val="none" w:sz="0" w:space="0" w:color="auto"/>
            <w:right w:val="none" w:sz="0" w:space="0" w:color="auto"/>
          </w:divBdr>
          <w:divsChild>
            <w:div w:id="385184599">
              <w:marLeft w:val="0"/>
              <w:marRight w:val="0"/>
              <w:marTop w:val="0"/>
              <w:marBottom w:val="0"/>
              <w:divBdr>
                <w:top w:val="none" w:sz="0" w:space="0" w:color="auto"/>
                <w:left w:val="none" w:sz="0" w:space="0" w:color="auto"/>
                <w:bottom w:val="none" w:sz="0" w:space="0" w:color="auto"/>
                <w:right w:val="none" w:sz="0" w:space="0" w:color="auto"/>
              </w:divBdr>
            </w:div>
            <w:div w:id="1871989903">
              <w:marLeft w:val="0"/>
              <w:marRight w:val="0"/>
              <w:marTop w:val="0"/>
              <w:marBottom w:val="0"/>
              <w:divBdr>
                <w:top w:val="none" w:sz="0" w:space="0" w:color="auto"/>
                <w:left w:val="none" w:sz="0" w:space="0" w:color="auto"/>
                <w:bottom w:val="none" w:sz="0" w:space="0" w:color="auto"/>
                <w:right w:val="none" w:sz="0" w:space="0" w:color="auto"/>
              </w:divBdr>
            </w:div>
          </w:divsChild>
        </w:div>
        <w:div w:id="753672582">
          <w:marLeft w:val="0"/>
          <w:marRight w:val="0"/>
          <w:marTop w:val="0"/>
          <w:marBottom w:val="0"/>
          <w:divBdr>
            <w:top w:val="none" w:sz="0" w:space="0" w:color="auto"/>
            <w:left w:val="none" w:sz="0" w:space="0" w:color="auto"/>
            <w:bottom w:val="none" w:sz="0" w:space="0" w:color="auto"/>
            <w:right w:val="none" w:sz="0" w:space="0" w:color="auto"/>
          </w:divBdr>
          <w:divsChild>
            <w:div w:id="66734830">
              <w:marLeft w:val="0"/>
              <w:marRight w:val="0"/>
              <w:marTop w:val="0"/>
              <w:marBottom w:val="0"/>
              <w:divBdr>
                <w:top w:val="none" w:sz="0" w:space="0" w:color="auto"/>
                <w:left w:val="none" w:sz="0" w:space="0" w:color="auto"/>
                <w:bottom w:val="none" w:sz="0" w:space="0" w:color="auto"/>
                <w:right w:val="none" w:sz="0" w:space="0" w:color="auto"/>
              </w:divBdr>
            </w:div>
          </w:divsChild>
        </w:div>
        <w:div w:id="764351762">
          <w:marLeft w:val="0"/>
          <w:marRight w:val="0"/>
          <w:marTop w:val="0"/>
          <w:marBottom w:val="0"/>
          <w:divBdr>
            <w:top w:val="none" w:sz="0" w:space="0" w:color="auto"/>
            <w:left w:val="none" w:sz="0" w:space="0" w:color="auto"/>
            <w:bottom w:val="none" w:sz="0" w:space="0" w:color="auto"/>
            <w:right w:val="none" w:sz="0" w:space="0" w:color="auto"/>
          </w:divBdr>
          <w:divsChild>
            <w:div w:id="14700177">
              <w:marLeft w:val="0"/>
              <w:marRight w:val="0"/>
              <w:marTop w:val="0"/>
              <w:marBottom w:val="0"/>
              <w:divBdr>
                <w:top w:val="none" w:sz="0" w:space="0" w:color="auto"/>
                <w:left w:val="none" w:sz="0" w:space="0" w:color="auto"/>
                <w:bottom w:val="none" w:sz="0" w:space="0" w:color="auto"/>
                <w:right w:val="none" w:sz="0" w:space="0" w:color="auto"/>
              </w:divBdr>
            </w:div>
          </w:divsChild>
        </w:div>
        <w:div w:id="799692204">
          <w:marLeft w:val="0"/>
          <w:marRight w:val="0"/>
          <w:marTop w:val="0"/>
          <w:marBottom w:val="0"/>
          <w:divBdr>
            <w:top w:val="none" w:sz="0" w:space="0" w:color="auto"/>
            <w:left w:val="none" w:sz="0" w:space="0" w:color="auto"/>
            <w:bottom w:val="none" w:sz="0" w:space="0" w:color="auto"/>
            <w:right w:val="none" w:sz="0" w:space="0" w:color="auto"/>
          </w:divBdr>
          <w:divsChild>
            <w:div w:id="1630092293">
              <w:marLeft w:val="0"/>
              <w:marRight w:val="0"/>
              <w:marTop w:val="0"/>
              <w:marBottom w:val="0"/>
              <w:divBdr>
                <w:top w:val="none" w:sz="0" w:space="0" w:color="auto"/>
                <w:left w:val="none" w:sz="0" w:space="0" w:color="auto"/>
                <w:bottom w:val="none" w:sz="0" w:space="0" w:color="auto"/>
                <w:right w:val="none" w:sz="0" w:space="0" w:color="auto"/>
              </w:divBdr>
            </w:div>
          </w:divsChild>
        </w:div>
        <w:div w:id="816534881">
          <w:marLeft w:val="0"/>
          <w:marRight w:val="0"/>
          <w:marTop w:val="0"/>
          <w:marBottom w:val="0"/>
          <w:divBdr>
            <w:top w:val="none" w:sz="0" w:space="0" w:color="auto"/>
            <w:left w:val="none" w:sz="0" w:space="0" w:color="auto"/>
            <w:bottom w:val="none" w:sz="0" w:space="0" w:color="auto"/>
            <w:right w:val="none" w:sz="0" w:space="0" w:color="auto"/>
          </w:divBdr>
          <w:divsChild>
            <w:div w:id="410388892">
              <w:marLeft w:val="0"/>
              <w:marRight w:val="0"/>
              <w:marTop w:val="0"/>
              <w:marBottom w:val="0"/>
              <w:divBdr>
                <w:top w:val="none" w:sz="0" w:space="0" w:color="auto"/>
                <w:left w:val="none" w:sz="0" w:space="0" w:color="auto"/>
                <w:bottom w:val="none" w:sz="0" w:space="0" w:color="auto"/>
                <w:right w:val="none" w:sz="0" w:space="0" w:color="auto"/>
              </w:divBdr>
            </w:div>
          </w:divsChild>
        </w:div>
        <w:div w:id="888883579">
          <w:marLeft w:val="0"/>
          <w:marRight w:val="0"/>
          <w:marTop w:val="0"/>
          <w:marBottom w:val="0"/>
          <w:divBdr>
            <w:top w:val="none" w:sz="0" w:space="0" w:color="auto"/>
            <w:left w:val="none" w:sz="0" w:space="0" w:color="auto"/>
            <w:bottom w:val="none" w:sz="0" w:space="0" w:color="auto"/>
            <w:right w:val="none" w:sz="0" w:space="0" w:color="auto"/>
          </w:divBdr>
          <w:divsChild>
            <w:div w:id="1346596189">
              <w:marLeft w:val="0"/>
              <w:marRight w:val="0"/>
              <w:marTop w:val="0"/>
              <w:marBottom w:val="0"/>
              <w:divBdr>
                <w:top w:val="none" w:sz="0" w:space="0" w:color="auto"/>
                <w:left w:val="none" w:sz="0" w:space="0" w:color="auto"/>
                <w:bottom w:val="none" w:sz="0" w:space="0" w:color="auto"/>
                <w:right w:val="none" w:sz="0" w:space="0" w:color="auto"/>
              </w:divBdr>
            </w:div>
          </w:divsChild>
        </w:div>
        <w:div w:id="962416998">
          <w:marLeft w:val="0"/>
          <w:marRight w:val="0"/>
          <w:marTop w:val="0"/>
          <w:marBottom w:val="0"/>
          <w:divBdr>
            <w:top w:val="none" w:sz="0" w:space="0" w:color="auto"/>
            <w:left w:val="none" w:sz="0" w:space="0" w:color="auto"/>
            <w:bottom w:val="none" w:sz="0" w:space="0" w:color="auto"/>
            <w:right w:val="none" w:sz="0" w:space="0" w:color="auto"/>
          </w:divBdr>
          <w:divsChild>
            <w:div w:id="1331638040">
              <w:marLeft w:val="0"/>
              <w:marRight w:val="0"/>
              <w:marTop w:val="0"/>
              <w:marBottom w:val="0"/>
              <w:divBdr>
                <w:top w:val="none" w:sz="0" w:space="0" w:color="auto"/>
                <w:left w:val="none" w:sz="0" w:space="0" w:color="auto"/>
                <w:bottom w:val="none" w:sz="0" w:space="0" w:color="auto"/>
                <w:right w:val="none" w:sz="0" w:space="0" w:color="auto"/>
              </w:divBdr>
            </w:div>
          </w:divsChild>
        </w:div>
        <w:div w:id="999579979">
          <w:marLeft w:val="0"/>
          <w:marRight w:val="0"/>
          <w:marTop w:val="0"/>
          <w:marBottom w:val="0"/>
          <w:divBdr>
            <w:top w:val="none" w:sz="0" w:space="0" w:color="auto"/>
            <w:left w:val="none" w:sz="0" w:space="0" w:color="auto"/>
            <w:bottom w:val="none" w:sz="0" w:space="0" w:color="auto"/>
            <w:right w:val="none" w:sz="0" w:space="0" w:color="auto"/>
          </w:divBdr>
          <w:divsChild>
            <w:div w:id="67388936">
              <w:marLeft w:val="0"/>
              <w:marRight w:val="0"/>
              <w:marTop w:val="0"/>
              <w:marBottom w:val="0"/>
              <w:divBdr>
                <w:top w:val="none" w:sz="0" w:space="0" w:color="auto"/>
                <w:left w:val="none" w:sz="0" w:space="0" w:color="auto"/>
                <w:bottom w:val="none" w:sz="0" w:space="0" w:color="auto"/>
                <w:right w:val="none" w:sz="0" w:space="0" w:color="auto"/>
              </w:divBdr>
            </w:div>
          </w:divsChild>
        </w:div>
        <w:div w:id="1093554729">
          <w:marLeft w:val="0"/>
          <w:marRight w:val="0"/>
          <w:marTop w:val="0"/>
          <w:marBottom w:val="0"/>
          <w:divBdr>
            <w:top w:val="none" w:sz="0" w:space="0" w:color="auto"/>
            <w:left w:val="none" w:sz="0" w:space="0" w:color="auto"/>
            <w:bottom w:val="none" w:sz="0" w:space="0" w:color="auto"/>
            <w:right w:val="none" w:sz="0" w:space="0" w:color="auto"/>
          </w:divBdr>
          <w:divsChild>
            <w:div w:id="967245849">
              <w:marLeft w:val="0"/>
              <w:marRight w:val="0"/>
              <w:marTop w:val="0"/>
              <w:marBottom w:val="0"/>
              <w:divBdr>
                <w:top w:val="none" w:sz="0" w:space="0" w:color="auto"/>
                <w:left w:val="none" w:sz="0" w:space="0" w:color="auto"/>
                <w:bottom w:val="none" w:sz="0" w:space="0" w:color="auto"/>
                <w:right w:val="none" w:sz="0" w:space="0" w:color="auto"/>
              </w:divBdr>
            </w:div>
            <w:div w:id="1835486251">
              <w:marLeft w:val="0"/>
              <w:marRight w:val="0"/>
              <w:marTop w:val="0"/>
              <w:marBottom w:val="0"/>
              <w:divBdr>
                <w:top w:val="none" w:sz="0" w:space="0" w:color="auto"/>
                <w:left w:val="none" w:sz="0" w:space="0" w:color="auto"/>
                <w:bottom w:val="none" w:sz="0" w:space="0" w:color="auto"/>
                <w:right w:val="none" w:sz="0" w:space="0" w:color="auto"/>
              </w:divBdr>
            </w:div>
          </w:divsChild>
        </w:div>
        <w:div w:id="1148472401">
          <w:marLeft w:val="0"/>
          <w:marRight w:val="0"/>
          <w:marTop w:val="0"/>
          <w:marBottom w:val="0"/>
          <w:divBdr>
            <w:top w:val="none" w:sz="0" w:space="0" w:color="auto"/>
            <w:left w:val="none" w:sz="0" w:space="0" w:color="auto"/>
            <w:bottom w:val="none" w:sz="0" w:space="0" w:color="auto"/>
            <w:right w:val="none" w:sz="0" w:space="0" w:color="auto"/>
          </w:divBdr>
          <w:divsChild>
            <w:div w:id="243077653">
              <w:marLeft w:val="0"/>
              <w:marRight w:val="0"/>
              <w:marTop w:val="0"/>
              <w:marBottom w:val="0"/>
              <w:divBdr>
                <w:top w:val="none" w:sz="0" w:space="0" w:color="auto"/>
                <w:left w:val="none" w:sz="0" w:space="0" w:color="auto"/>
                <w:bottom w:val="none" w:sz="0" w:space="0" w:color="auto"/>
                <w:right w:val="none" w:sz="0" w:space="0" w:color="auto"/>
              </w:divBdr>
            </w:div>
          </w:divsChild>
        </w:div>
        <w:div w:id="1232807426">
          <w:marLeft w:val="0"/>
          <w:marRight w:val="0"/>
          <w:marTop w:val="0"/>
          <w:marBottom w:val="0"/>
          <w:divBdr>
            <w:top w:val="none" w:sz="0" w:space="0" w:color="auto"/>
            <w:left w:val="none" w:sz="0" w:space="0" w:color="auto"/>
            <w:bottom w:val="none" w:sz="0" w:space="0" w:color="auto"/>
            <w:right w:val="none" w:sz="0" w:space="0" w:color="auto"/>
          </w:divBdr>
          <w:divsChild>
            <w:div w:id="1290623017">
              <w:marLeft w:val="0"/>
              <w:marRight w:val="0"/>
              <w:marTop w:val="0"/>
              <w:marBottom w:val="0"/>
              <w:divBdr>
                <w:top w:val="none" w:sz="0" w:space="0" w:color="auto"/>
                <w:left w:val="none" w:sz="0" w:space="0" w:color="auto"/>
                <w:bottom w:val="none" w:sz="0" w:space="0" w:color="auto"/>
                <w:right w:val="none" w:sz="0" w:space="0" w:color="auto"/>
              </w:divBdr>
            </w:div>
          </w:divsChild>
        </w:div>
        <w:div w:id="1347902503">
          <w:marLeft w:val="0"/>
          <w:marRight w:val="0"/>
          <w:marTop w:val="0"/>
          <w:marBottom w:val="0"/>
          <w:divBdr>
            <w:top w:val="none" w:sz="0" w:space="0" w:color="auto"/>
            <w:left w:val="none" w:sz="0" w:space="0" w:color="auto"/>
            <w:bottom w:val="none" w:sz="0" w:space="0" w:color="auto"/>
            <w:right w:val="none" w:sz="0" w:space="0" w:color="auto"/>
          </w:divBdr>
          <w:divsChild>
            <w:div w:id="2013145566">
              <w:marLeft w:val="0"/>
              <w:marRight w:val="0"/>
              <w:marTop w:val="0"/>
              <w:marBottom w:val="0"/>
              <w:divBdr>
                <w:top w:val="none" w:sz="0" w:space="0" w:color="auto"/>
                <w:left w:val="none" w:sz="0" w:space="0" w:color="auto"/>
                <w:bottom w:val="none" w:sz="0" w:space="0" w:color="auto"/>
                <w:right w:val="none" w:sz="0" w:space="0" w:color="auto"/>
              </w:divBdr>
            </w:div>
          </w:divsChild>
        </w:div>
        <w:div w:id="1411124961">
          <w:marLeft w:val="0"/>
          <w:marRight w:val="0"/>
          <w:marTop w:val="0"/>
          <w:marBottom w:val="0"/>
          <w:divBdr>
            <w:top w:val="none" w:sz="0" w:space="0" w:color="auto"/>
            <w:left w:val="none" w:sz="0" w:space="0" w:color="auto"/>
            <w:bottom w:val="none" w:sz="0" w:space="0" w:color="auto"/>
            <w:right w:val="none" w:sz="0" w:space="0" w:color="auto"/>
          </w:divBdr>
          <w:divsChild>
            <w:div w:id="1058670758">
              <w:marLeft w:val="0"/>
              <w:marRight w:val="0"/>
              <w:marTop w:val="0"/>
              <w:marBottom w:val="0"/>
              <w:divBdr>
                <w:top w:val="none" w:sz="0" w:space="0" w:color="auto"/>
                <w:left w:val="none" w:sz="0" w:space="0" w:color="auto"/>
                <w:bottom w:val="none" w:sz="0" w:space="0" w:color="auto"/>
                <w:right w:val="none" w:sz="0" w:space="0" w:color="auto"/>
              </w:divBdr>
            </w:div>
          </w:divsChild>
        </w:div>
        <w:div w:id="1460107122">
          <w:marLeft w:val="0"/>
          <w:marRight w:val="0"/>
          <w:marTop w:val="0"/>
          <w:marBottom w:val="0"/>
          <w:divBdr>
            <w:top w:val="none" w:sz="0" w:space="0" w:color="auto"/>
            <w:left w:val="none" w:sz="0" w:space="0" w:color="auto"/>
            <w:bottom w:val="none" w:sz="0" w:space="0" w:color="auto"/>
            <w:right w:val="none" w:sz="0" w:space="0" w:color="auto"/>
          </w:divBdr>
          <w:divsChild>
            <w:div w:id="526523746">
              <w:marLeft w:val="0"/>
              <w:marRight w:val="0"/>
              <w:marTop w:val="0"/>
              <w:marBottom w:val="0"/>
              <w:divBdr>
                <w:top w:val="none" w:sz="0" w:space="0" w:color="auto"/>
                <w:left w:val="none" w:sz="0" w:space="0" w:color="auto"/>
                <w:bottom w:val="none" w:sz="0" w:space="0" w:color="auto"/>
                <w:right w:val="none" w:sz="0" w:space="0" w:color="auto"/>
              </w:divBdr>
            </w:div>
          </w:divsChild>
        </w:div>
        <w:div w:id="1628243016">
          <w:marLeft w:val="0"/>
          <w:marRight w:val="0"/>
          <w:marTop w:val="0"/>
          <w:marBottom w:val="0"/>
          <w:divBdr>
            <w:top w:val="none" w:sz="0" w:space="0" w:color="auto"/>
            <w:left w:val="none" w:sz="0" w:space="0" w:color="auto"/>
            <w:bottom w:val="none" w:sz="0" w:space="0" w:color="auto"/>
            <w:right w:val="none" w:sz="0" w:space="0" w:color="auto"/>
          </w:divBdr>
          <w:divsChild>
            <w:div w:id="1529179420">
              <w:marLeft w:val="0"/>
              <w:marRight w:val="0"/>
              <w:marTop w:val="0"/>
              <w:marBottom w:val="0"/>
              <w:divBdr>
                <w:top w:val="none" w:sz="0" w:space="0" w:color="auto"/>
                <w:left w:val="none" w:sz="0" w:space="0" w:color="auto"/>
                <w:bottom w:val="none" w:sz="0" w:space="0" w:color="auto"/>
                <w:right w:val="none" w:sz="0" w:space="0" w:color="auto"/>
              </w:divBdr>
            </w:div>
          </w:divsChild>
        </w:div>
        <w:div w:id="1743865480">
          <w:marLeft w:val="0"/>
          <w:marRight w:val="0"/>
          <w:marTop w:val="0"/>
          <w:marBottom w:val="0"/>
          <w:divBdr>
            <w:top w:val="none" w:sz="0" w:space="0" w:color="auto"/>
            <w:left w:val="none" w:sz="0" w:space="0" w:color="auto"/>
            <w:bottom w:val="none" w:sz="0" w:space="0" w:color="auto"/>
            <w:right w:val="none" w:sz="0" w:space="0" w:color="auto"/>
          </w:divBdr>
          <w:divsChild>
            <w:div w:id="1240753368">
              <w:marLeft w:val="0"/>
              <w:marRight w:val="0"/>
              <w:marTop w:val="0"/>
              <w:marBottom w:val="0"/>
              <w:divBdr>
                <w:top w:val="none" w:sz="0" w:space="0" w:color="auto"/>
                <w:left w:val="none" w:sz="0" w:space="0" w:color="auto"/>
                <w:bottom w:val="none" w:sz="0" w:space="0" w:color="auto"/>
                <w:right w:val="none" w:sz="0" w:space="0" w:color="auto"/>
              </w:divBdr>
            </w:div>
          </w:divsChild>
        </w:div>
        <w:div w:id="1784421069">
          <w:marLeft w:val="0"/>
          <w:marRight w:val="0"/>
          <w:marTop w:val="0"/>
          <w:marBottom w:val="0"/>
          <w:divBdr>
            <w:top w:val="none" w:sz="0" w:space="0" w:color="auto"/>
            <w:left w:val="none" w:sz="0" w:space="0" w:color="auto"/>
            <w:bottom w:val="none" w:sz="0" w:space="0" w:color="auto"/>
            <w:right w:val="none" w:sz="0" w:space="0" w:color="auto"/>
          </w:divBdr>
          <w:divsChild>
            <w:div w:id="3652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8305">
      <w:bodyDiv w:val="1"/>
      <w:marLeft w:val="0"/>
      <w:marRight w:val="0"/>
      <w:marTop w:val="0"/>
      <w:marBottom w:val="0"/>
      <w:divBdr>
        <w:top w:val="none" w:sz="0" w:space="0" w:color="auto"/>
        <w:left w:val="none" w:sz="0" w:space="0" w:color="auto"/>
        <w:bottom w:val="none" w:sz="0" w:space="0" w:color="auto"/>
        <w:right w:val="none" w:sz="0" w:space="0" w:color="auto"/>
      </w:divBdr>
      <w:divsChild>
        <w:div w:id="21979692">
          <w:marLeft w:val="0"/>
          <w:marRight w:val="0"/>
          <w:marTop w:val="0"/>
          <w:marBottom w:val="0"/>
          <w:divBdr>
            <w:top w:val="none" w:sz="0" w:space="0" w:color="auto"/>
            <w:left w:val="none" w:sz="0" w:space="0" w:color="auto"/>
            <w:bottom w:val="none" w:sz="0" w:space="0" w:color="auto"/>
            <w:right w:val="none" w:sz="0" w:space="0" w:color="auto"/>
          </w:divBdr>
          <w:divsChild>
            <w:div w:id="1053580178">
              <w:marLeft w:val="-75"/>
              <w:marRight w:val="0"/>
              <w:marTop w:val="30"/>
              <w:marBottom w:val="30"/>
              <w:divBdr>
                <w:top w:val="none" w:sz="0" w:space="0" w:color="auto"/>
                <w:left w:val="none" w:sz="0" w:space="0" w:color="auto"/>
                <w:bottom w:val="none" w:sz="0" w:space="0" w:color="auto"/>
                <w:right w:val="none" w:sz="0" w:space="0" w:color="auto"/>
              </w:divBdr>
              <w:divsChild>
                <w:div w:id="1096949343">
                  <w:marLeft w:val="0"/>
                  <w:marRight w:val="0"/>
                  <w:marTop w:val="0"/>
                  <w:marBottom w:val="0"/>
                  <w:divBdr>
                    <w:top w:val="none" w:sz="0" w:space="0" w:color="auto"/>
                    <w:left w:val="none" w:sz="0" w:space="0" w:color="auto"/>
                    <w:bottom w:val="none" w:sz="0" w:space="0" w:color="auto"/>
                    <w:right w:val="none" w:sz="0" w:space="0" w:color="auto"/>
                  </w:divBdr>
                  <w:divsChild>
                    <w:div w:id="191461906">
                      <w:marLeft w:val="0"/>
                      <w:marRight w:val="0"/>
                      <w:marTop w:val="0"/>
                      <w:marBottom w:val="0"/>
                      <w:divBdr>
                        <w:top w:val="none" w:sz="0" w:space="0" w:color="auto"/>
                        <w:left w:val="none" w:sz="0" w:space="0" w:color="auto"/>
                        <w:bottom w:val="none" w:sz="0" w:space="0" w:color="auto"/>
                        <w:right w:val="none" w:sz="0" w:space="0" w:color="auto"/>
                      </w:divBdr>
                    </w:div>
                  </w:divsChild>
                </w:div>
                <w:div w:id="1111243972">
                  <w:marLeft w:val="0"/>
                  <w:marRight w:val="0"/>
                  <w:marTop w:val="0"/>
                  <w:marBottom w:val="0"/>
                  <w:divBdr>
                    <w:top w:val="none" w:sz="0" w:space="0" w:color="auto"/>
                    <w:left w:val="none" w:sz="0" w:space="0" w:color="auto"/>
                    <w:bottom w:val="none" w:sz="0" w:space="0" w:color="auto"/>
                    <w:right w:val="none" w:sz="0" w:space="0" w:color="auto"/>
                  </w:divBdr>
                  <w:divsChild>
                    <w:div w:id="540938069">
                      <w:marLeft w:val="0"/>
                      <w:marRight w:val="0"/>
                      <w:marTop w:val="0"/>
                      <w:marBottom w:val="0"/>
                      <w:divBdr>
                        <w:top w:val="none" w:sz="0" w:space="0" w:color="auto"/>
                        <w:left w:val="none" w:sz="0" w:space="0" w:color="auto"/>
                        <w:bottom w:val="none" w:sz="0" w:space="0" w:color="auto"/>
                        <w:right w:val="none" w:sz="0" w:space="0" w:color="auto"/>
                      </w:divBdr>
                    </w:div>
                  </w:divsChild>
                </w:div>
                <w:div w:id="1255015397">
                  <w:marLeft w:val="0"/>
                  <w:marRight w:val="0"/>
                  <w:marTop w:val="0"/>
                  <w:marBottom w:val="0"/>
                  <w:divBdr>
                    <w:top w:val="none" w:sz="0" w:space="0" w:color="auto"/>
                    <w:left w:val="none" w:sz="0" w:space="0" w:color="auto"/>
                    <w:bottom w:val="none" w:sz="0" w:space="0" w:color="auto"/>
                    <w:right w:val="none" w:sz="0" w:space="0" w:color="auto"/>
                  </w:divBdr>
                  <w:divsChild>
                    <w:div w:id="753403466">
                      <w:marLeft w:val="0"/>
                      <w:marRight w:val="0"/>
                      <w:marTop w:val="0"/>
                      <w:marBottom w:val="0"/>
                      <w:divBdr>
                        <w:top w:val="none" w:sz="0" w:space="0" w:color="auto"/>
                        <w:left w:val="none" w:sz="0" w:space="0" w:color="auto"/>
                        <w:bottom w:val="none" w:sz="0" w:space="0" w:color="auto"/>
                        <w:right w:val="none" w:sz="0" w:space="0" w:color="auto"/>
                      </w:divBdr>
                    </w:div>
                  </w:divsChild>
                </w:div>
                <w:div w:id="1350252376">
                  <w:marLeft w:val="0"/>
                  <w:marRight w:val="0"/>
                  <w:marTop w:val="0"/>
                  <w:marBottom w:val="0"/>
                  <w:divBdr>
                    <w:top w:val="none" w:sz="0" w:space="0" w:color="auto"/>
                    <w:left w:val="none" w:sz="0" w:space="0" w:color="auto"/>
                    <w:bottom w:val="none" w:sz="0" w:space="0" w:color="auto"/>
                    <w:right w:val="none" w:sz="0" w:space="0" w:color="auto"/>
                  </w:divBdr>
                  <w:divsChild>
                    <w:div w:id="884220792">
                      <w:marLeft w:val="0"/>
                      <w:marRight w:val="0"/>
                      <w:marTop w:val="0"/>
                      <w:marBottom w:val="0"/>
                      <w:divBdr>
                        <w:top w:val="none" w:sz="0" w:space="0" w:color="auto"/>
                        <w:left w:val="none" w:sz="0" w:space="0" w:color="auto"/>
                        <w:bottom w:val="none" w:sz="0" w:space="0" w:color="auto"/>
                        <w:right w:val="none" w:sz="0" w:space="0" w:color="auto"/>
                      </w:divBdr>
                    </w:div>
                  </w:divsChild>
                </w:div>
                <w:div w:id="1416971314">
                  <w:marLeft w:val="0"/>
                  <w:marRight w:val="0"/>
                  <w:marTop w:val="0"/>
                  <w:marBottom w:val="0"/>
                  <w:divBdr>
                    <w:top w:val="none" w:sz="0" w:space="0" w:color="auto"/>
                    <w:left w:val="none" w:sz="0" w:space="0" w:color="auto"/>
                    <w:bottom w:val="none" w:sz="0" w:space="0" w:color="auto"/>
                    <w:right w:val="none" w:sz="0" w:space="0" w:color="auto"/>
                  </w:divBdr>
                  <w:divsChild>
                    <w:div w:id="825979998">
                      <w:marLeft w:val="0"/>
                      <w:marRight w:val="0"/>
                      <w:marTop w:val="0"/>
                      <w:marBottom w:val="0"/>
                      <w:divBdr>
                        <w:top w:val="none" w:sz="0" w:space="0" w:color="auto"/>
                        <w:left w:val="none" w:sz="0" w:space="0" w:color="auto"/>
                        <w:bottom w:val="none" w:sz="0" w:space="0" w:color="auto"/>
                        <w:right w:val="none" w:sz="0" w:space="0" w:color="auto"/>
                      </w:divBdr>
                    </w:div>
                  </w:divsChild>
                </w:div>
                <w:div w:id="1803305408">
                  <w:marLeft w:val="0"/>
                  <w:marRight w:val="0"/>
                  <w:marTop w:val="0"/>
                  <w:marBottom w:val="0"/>
                  <w:divBdr>
                    <w:top w:val="none" w:sz="0" w:space="0" w:color="auto"/>
                    <w:left w:val="none" w:sz="0" w:space="0" w:color="auto"/>
                    <w:bottom w:val="none" w:sz="0" w:space="0" w:color="auto"/>
                    <w:right w:val="none" w:sz="0" w:space="0" w:color="auto"/>
                  </w:divBdr>
                  <w:divsChild>
                    <w:div w:id="633215684">
                      <w:marLeft w:val="0"/>
                      <w:marRight w:val="0"/>
                      <w:marTop w:val="0"/>
                      <w:marBottom w:val="0"/>
                      <w:divBdr>
                        <w:top w:val="none" w:sz="0" w:space="0" w:color="auto"/>
                        <w:left w:val="none" w:sz="0" w:space="0" w:color="auto"/>
                        <w:bottom w:val="none" w:sz="0" w:space="0" w:color="auto"/>
                        <w:right w:val="none" w:sz="0" w:space="0" w:color="auto"/>
                      </w:divBdr>
                    </w:div>
                  </w:divsChild>
                </w:div>
                <w:div w:id="1822843478">
                  <w:marLeft w:val="0"/>
                  <w:marRight w:val="0"/>
                  <w:marTop w:val="0"/>
                  <w:marBottom w:val="0"/>
                  <w:divBdr>
                    <w:top w:val="none" w:sz="0" w:space="0" w:color="auto"/>
                    <w:left w:val="none" w:sz="0" w:space="0" w:color="auto"/>
                    <w:bottom w:val="none" w:sz="0" w:space="0" w:color="auto"/>
                    <w:right w:val="none" w:sz="0" w:space="0" w:color="auto"/>
                  </w:divBdr>
                  <w:divsChild>
                    <w:div w:id="1856380656">
                      <w:marLeft w:val="0"/>
                      <w:marRight w:val="0"/>
                      <w:marTop w:val="0"/>
                      <w:marBottom w:val="0"/>
                      <w:divBdr>
                        <w:top w:val="none" w:sz="0" w:space="0" w:color="auto"/>
                        <w:left w:val="none" w:sz="0" w:space="0" w:color="auto"/>
                        <w:bottom w:val="none" w:sz="0" w:space="0" w:color="auto"/>
                        <w:right w:val="none" w:sz="0" w:space="0" w:color="auto"/>
                      </w:divBdr>
                    </w:div>
                  </w:divsChild>
                </w:div>
                <w:div w:id="1982540670">
                  <w:marLeft w:val="0"/>
                  <w:marRight w:val="0"/>
                  <w:marTop w:val="0"/>
                  <w:marBottom w:val="0"/>
                  <w:divBdr>
                    <w:top w:val="none" w:sz="0" w:space="0" w:color="auto"/>
                    <w:left w:val="none" w:sz="0" w:space="0" w:color="auto"/>
                    <w:bottom w:val="none" w:sz="0" w:space="0" w:color="auto"/>
                    <w:right w:val="none" w:sz="0" w:space="0" w:color="auto"/>
                  </w:divBdr>
                  <w:divsChild>
                    <w:div w:id="13042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0978">
          <w:marLeft w:val="0"/>
          <w:marRight w:val="0"/>
          <w:marTop w:val="0"/>
          <w:marBottom w:val="0"/>
          <w:divBdr>
            <w:top w:val="none" w:sz="0" w:space="0" w:color="auto"/>
            <w:left w:val="none" w:sz="0" w:space="0" w:color="auto"/>
            <w:bottom w:val="none" w:sz="0" w:space="0" w:color="auto"/>
            <w:right w:val="none" w:sz="0" w:space="0" w:color="auto"/>
          </w:divBdr>
        </w:div>
        <w:div w:id="222715222">
          <w:marLeft w:val="0"/>
          <w:marRight w:val="0"/>
          <w:marTop w:val="0"/>
          <w:marBottom w:val="0"/>
          <w:divBdr>
            <w:top w:val="none" w:sz="0" w:space="0" w:color="auto"/>
            <w:left w:val="none" w:sz="0" w:space="0" w:color="auto"/>
            <w:bottom w:val="none" w:sz="0" w:space="0" w:color="auto"/>
            <w:right w:val="none" w:sz="0" w:space="0" w:color="auto"/>
          </w:divBdr>
        </w:div>
        <w:div w:id="273366226">
          <w:marLeft w:val="0"/>
          <w:marRight w:val="0"/>
          <w:marTop w:val="0"/>
          <w:marBottom w:val="0"/>
          <w:divBdr>
            <w:top w:val="none" w:sz="0" w:space="0" w:color="auto"/>
            <w:left w:val="none" w:sz="0" w:space="0" w:color="auto"/>
            <w:bottom w:val="none" w:sz="0" w:space="0" w:color="auto"/>
            <w:right w:val="none" w:sz="0" w:space="0" w:color="auto"/>
          </w:divBdr>
        </w:div>
        <w:div w:id="480272734">
          <w:marLeft w:val="0"/>
          <w:marRight w:val="0"/>
          <w:marTop w:val="0"/>
          <w:marBottom w:val="0"/>
          <w:divBdr>
            <w:top w:val="none" w:sz="0" w:space="0" w:color="auto"/>
            <w:left w:val="none" w:sz="0" w:space="0" w:color="auto"/>
            <w:bottom w:val="none" w:sz="0" w:space="0" w:color="auto"/>
            <w:right w:val="none" w:sz="0" w:space="0" w:color="auto"/>
          </w:divBdr>
        </w:div>
        <w:div w:id="629819472">
          <w:marLeft w:val="0"/>
          <w:marRight w:val="0"/>
          <w:marTop w:val="0"/>
          <w:marBottom w:val="0"/>
          <w:divBdr>
            <w:top w:val="none" w:sz="0" w:space="0" w:color="auto"/>
            <w:left w:val="none" w:sz="0" w:space="0" w:color="auto"/>
            <w:bottom w:val="none" w:sz="0" w:space="0" w:color="auto"/>
            <w:right w:val="none" w:sz="0" w:space="0" w:color="auto"/>
          </w:divBdr>
        </w:div>
        <w:div w:id="635184232">
          <w:marLeft w:val="0"/>
          <w:marRight w:val="0"/>
          <w:marTop w:val="0"/>
          <w:marBottom w:val="0"/>
          <w:divBdr>
            <w:top w:val="none" w:sz="0" w:space="0" w:color="auto"/>
            <w:left w:val="none" w:sz="0" w:space="0" w:color="auto"/>
            <w:bottom w:val="none" w:sz="0" w:space="0" w:color="auto"/>
            <w:right w:val="none" w:sz="0" w:space="0" w:color="auto"/>
          </w:divBdr>
        </w:div>
        <w:div w:id="753740637">
          <w:marLeft w:val="0"/>
          <w:marRight w:val="0"/>
          <w:marTop w:val="0"/>
          <w:marBottom w:val="0"/>
          <w:divBdr>
            <w:top w:val="none" w:sz="0" w:space="0" w:color="auto"/>
            <w:left w:val="none" w:sz="0" w:space="0" w:color="auto"/>
            <w:bottom w:val="none" w:sz="0" w:space="0" w:color="auto"/>
            <w:right w:val="none" w:sz="0" w:space="0" w:color="auto"/>
          </w:divBdr>
        </w:div>
        <w:div w:id="832601120">
          <w:marLeft w:val="0"/>
          <w:marRight w:val="0"/>
          <w:marTop w:val="0"/>
          <w:marBottom w:val="0"/>
          <w:divBdr>
            <w:top w:val="none" w:sz="0" w:space="0" w:color="auto"/>
            <w:left w:val="none" w:sz="0" w:space="0" w:color="auto"/>
            <w:bottom w:val="none" w:sz="0" w:space="0" w:color="auto"/>
            <w:right w:val="none" w:sz="0" w:space="0" w:color="auto"/>
          </w:divBdr>
        </w:div>
        <w:div w:id="902715569">
          <w:marLeft w:val="0"/>
          <w:marRight w:val="0"/>
          <w:marTop w:val="0"/>
          <w:marBottom w:val="0"/>
          <w:divBdr>
            <w:top w:val="none" w:sz="0" w:space="0" w:color="auto"/>
            <w:left w:val="none" w:sz="0" w:space="0" w:color="auto"/>
            <w:bottom w:val="none" w:sz="0" w:space="0" w:color="auto"/>
            <w:right w:val="none" w:sz="0" w:space="0" w:color="auto"/>
          </w:divBdr>
        </w:div>
        <w:div w:id="935673247">
          <w:marLeft w:val="0"/>
          <w:marRight w:val="0"/>
          <w:marTop w:val="0"/>
          <w:marBottom w:val="0"/>
          <w:divBdr>
            <w:top w:val="none" w:sz="0" w:space="0" w:color="auto"/>
            <w:left w:val="none" w:sz="0" w:space="0" w:color="auto"/>
            <w:bottom w:val="none" w:sz="0" w:space="0" w:color="auto"/>
            <w:right w:val="none" w:sz="0" w:space="0" w:color="auto"/>
          </w:divBdr>
        </w:div>
        <w:div w:id="936790958">
          <w:marLeft w:val="0"/>
          <w:marRight w:val="0"/>
          <w:marTop w:val="0"/>
          <w:marBottom w:val="0"/>
          <w:divBdr>
            <w:top w:val="none" w:sz="0" w:space="0" w:color="auto"/>
            <w:left w:val="none" w:sz="0" w:space="0" w:color="auto"/>
            <w:bottom w:val="none" w:sz="0" w:space="0" w:color="auto"/>
            <w:right w:val="none" w:sz="0" w:space="0" w:color="auto"/>
          </w:divBdr>
        </w:div>
        <w:div w:id="1030256867">
          <w:marLeft w:val="0"/>
          <w:marRight w:val="0"/>
          <w:marTop w:val="0"/>
          <w:marBottom w:val="0"/>
          <w:divBdr>
            <w:top w:val="none" w:sz="0" w:space="0" w:color="auto"/>
            <w:left w:val="none" w:sz="0" w:space="0" w:color="auto"/>
            <w:bottom w:val="none" w:sz="0" w:space="0" w:color="auto"/>
            <w:right w:val="none" w:sz="0" w:space="0" w:color="auto"/>
          </w:divBdr>
        </w:div>
        <w:div w:id="1172526838">
          <w:marLeft w:val="0"/>
          <w:marRight w:val="0"/>
          <w:marTop w:val="0"/>
          <w:marBottom w:val="0"/>
          <w:divBdr>
            <w:top w:val="none" w:sz="0" w:space="0" w:color="auto"/>
            <w:left w:val="none" w:sz="0" w:space="0" w:color="auto"/>
            <w:bottom w:val="none" w:sz="0" w:space="0" w:color="auto"/>
            <w:right w:val="none" w:sz="0" w:space="0" w:color="auto"/>
          </w:divBdr>
        </w:div>
        <w:div w:id="1308512696">
          <w:marLeft w:val="0"/>
          <w:marRight w:val="0"/>
          <w:marTop w:val="0"/>
          <w:marBottom w:val="0"/>
          <w:divBdr>
            <w:top w:val="none" w:sz="0" w:space="0" w:color="auto"/>
            <w:left w:val="none" w:sz="0" w:space="0" w:color="auto"/>
            <w:bottom w:val="none" w:sz="0" w:space="0" w:color="auto"/>
            <w:right w:val="none" w:sz="0" w:space="0" w:color="auto"/>
          </w:divBdr>
        </w:div>
        <w:div w:id="1418551460">
          <w:marLeft w:val="0"/>
          <w:marRight w:val="0"/>
          <w:marTop w:val="0"/>
          <w:marBottom w:val="0"/>
          <w:divBdr>
            <w:top w:val="none" w:sz="0" w:space="0" w:color="auto"/>
            <w:left w:val="none" w:sz="0" w:space="0" w:color="auto"/>
            <w:bottom w:val="none" w:sz="0" w:space="0" w:color="auto"/>
            <w:right w:val="none" w:sz="0" w:space="0" w:color="auto"/>
          </w:divBdr>
        </w:div>
        <w:div w:id="1598362214">
          <w:marLeft w:val="0"/>
          <w:marRight w:val="0"/>
          <w:marTop w:val="0"/>
          <w:marBottom w:val="0"/>
          <w:divBdr>
            <w:top w:val="none" w:sz="0" w:space="0" w:color="auto"/>
            <w:left w:val="none" w:sz="0" w:space="0" w:color="auto"/>
            <w:bottom w:val="none" w:sz="0" w:space="0" w:color="auto"/>
            <w:right w:val="none" w:sz="0" w:space="0" w:color="auto"/>
          </w:divBdr>
        </w:div>
        <w:div w:id="1678574990">
          <w:marLeft w:val="0"/>
          <w:marRight w:val="0"/>
          <w:marTop w:val="0"/>
          <w:marBottom w:val="0"/>
          <w:divBdr>
            <w:top w:val="none" w:sz="0" w:space="0" w:color="auto"/>
            <w:left w:val="none" w:sz="0" w:space="0" w:color="auto"/>
            <w:bottom w:val="none" w:sz="0" w:space="0" w:color="auto"/>
            <w:right w:val="none" w:sz="0" w:space="0" w:color="auto"/>
          </w:divBdr>
          <w:divsChild>
            <w:div w:id="345987428">
              <w:marLeft w:val="-75"/>
              <w:marRight w:val="0"/>
              <w:marTop w:val="30"/>
              <w:marBottom w:val="30"/>
              <w:divBdr>
                <w:top w:val="none" w:sz="0" w:space="0" w:color="auto"/>
                <w:left w:val="none" w:sz="0" w:space="0" w:color="auto"/>
                <w:bottom w:val="none" w:sz="0" w:space="0" w:color="auto"/>
                <w:right w:val="none" w:sz="0" w:space="0" w:color="auto"/>
              </w:divBdr>
              <w:divsChild>
                <w:div w:id="132794801">
                  <w:marLeft w:val="0"/>
                  <w:marRight w:val="0"/>
                  <w:marTop w:val="0"/>
                  <w:marBottom w:val="0"/>
                  <w:divBdr>
                    <w:top w:val="none" w:sz="0" w:space="0" w:color="auto"/>
                    <w:left w:val="none" w:sz="0" w:space="0" w:color="auto"/>
                    <w:bottom w:val="none" w:sz="0" w:space="0" w:color="auto"/>
                    <w:right w:val="none" w:sz="0" w:space="0" w:color="auto"/>
                  </w:divBdr>
                  <w:divsChild>
                    <w:div w:id="214663147">
                      <w:marLeft w:val="0"/>
                      <w:marRight w:val="0"/>
                      <w:marTop w:val="0"/>
                      <w:marBottom w:val="0"/>
                      <w:divBdr>
                        <w:top w:val="none" w:sz="0" w:space="0" w:color="auto"/>
                        <w:left w:val="none" w:sz="0" w:space="0" w:color="auto"/>
                        <w:bottom w:val="none" w:sz="0" w:space="0" w:color="auto"/>
                        <w:right w:val="none" w:sz="0" w:space="0" w:color="auto"/>
                      </w:divBdr>
                    </w:div>
                  </w:divsChild>
                </w:div>
                <w:div w:id="147091841">
                  <w:marLeft w:val="0"/>
                  <w:marRight w:val="0"/>
                  <w:marTop w:val="0"/>
                  <w:marBottom w:val="0"/>
                  <w:divBdr>
                    <w:top w:val="none" w:sz="0" w:space="0" w:color="auto"/>
                    <w:left w:val="none" w:sz="0" w:space="0" w:color="auto"/>
                    <w:bottom w:val="none" w:sz="0" w:space="0" w:color="auto"/>
                    <w:right w:val="none" w:sz="0" w:space="0" w:color="auto"/>
                  </w:divBdr>
                  <w:divsChild>
                    <w:div w:id="522715680">
                      <w:marLeft w:val="0"/>
                      <w:marRight w:val="0"/>
                      <w:marTop w:val="0"/>
                      <w:marBottom w:val="0"/>
                      <w:divBdr>
                        <w:top w:val="none" w:sz="0" w:space="0" w:color="auto"/>
                        <w:left w:val="none" w:sz="0" w:space="0" w:color="auto"/>
                        <w:bottom w:val="none" w:sz="0" w:space="0" w:color="auto"/>
                        <w:right w:val="none" w:sz="0" w:space="0" w:color="auto"/>
                      </w:divBdr>
                    </w:div>
                  </w:divsChild>
                </w:div>
                <w:div w:id="187569761">
                  <w:marLeft w:val="0"/>
                  <w:marRight w:val="0"/>
                  <w:marTop w:val="0"/>
                  <w:marBottom w:val="0"/>
                  <w:divBdr>
                    <w:top w:val="none" w:sz="0" w:space="0" w:color="auto"/>
                    <w:left w:val="none" w:sz="0" w:space="0" w:color="auto"/>
                    <w:bottom w:val="none" w:sz="0" w:space="0" w:color="auto"/>
                    <w:right w:val="none" w:sz="0" w:space="0" w:color="auto"/>
                  </w:divBdr>
                  <w:divsChild>
                    <w:div w:id="814837801">
                      <w:marLeft w:val="0"/>
                      <w:marRight w:val="0"/>
                      <w:marTop w:val="0"/>
                      <w:marBottom w:val="0"/>
                      <w:divBdr>
                        <w:top w:val="none" w:sz="0" w:space="0" w:color="auto"/>
                        <w:left w:val="none" w:sz="0" w:space="0" w:color="auto"/>
                        <w:bottom w:val="none" w:sz="0" w:space="0" w:color="auto"/>
                        <w:right w:val="none" w:sz="0" w:space="0" w:color="auto"/>
                      </w:divBdr>
                    </w:div>
                    <w:div w:id="2135561621">
                      <w:marLeft w:val="0"/>
                      <w:marRight w:val="0"/>
                      <w:marTop w:val="0"/>
                      <w:marBottom w:val="0"/>
                      <w:divBdr>
                        <w:top w:val="none" w:sz="0" w:space="0" w:color="auto"/>
                        <w:left w:val="none" w:sz="0" w:space="0" w:color="auto"/>
                        <w:bottom w:val="none" w:sz="0" w:space="0" w:color="auto"/>
                        <w:right w:val="none" w:sz="0" w:space="0" w:color="auto"/>
                      </w:divBdr>
                    </w:div>
                  </w:divsChild>
                </w:div>
                <w:div w:id="419718690">
                  <w:marLeft w:val="0"/>
                  <w:marRight w:val="0"/>
                  <w:marTop w:val="0"/>
                  <w:marBottom w:val="0"/>
                  <w:divBdr>
                    <w:top w:val="none" w:sz="0" w:space="0" w:color="auto"/>
                    <w:left w:val="none" w:sz="0" w:space="0" w:color="auto"/>
                    <w:bottom w:val="none" w:sz="0" w:space="0" w:color="auto"/>
                    <w:right w:val="none" w:sz="0" w:space="0" w:color="auto"/>
                  </w:divBdr>
                  <w:divsChild>
                    <w:div w:id="894702581">
                      <w:marLeft w:val="0"/>
                      <w:marRight w:val="0"/>
                      <w:marTop w:val="0"/>
                      <w:marBottom w:val="0"/>
                      <w:divBdr>
                        <w:top w:val="none" w:sz="0" w:space="0" w:color="auto"/>
                        <w:left w:val="none" w:sz="0" w:space="0" w:color="auto"/>
                        <w:bottom w:val="none" w:sz="0" w:space="0" w:color="auto"/>
                        <w:right w:val="none" w:sz="0" w:space="0" w:color="auto"/>
                      </w:divBdr>
                    </w:div>
                  </w:divsChild>
                </w:div>
                <w:div w:id="454372033">
                  <w:marLeft w:val="0"/>
                  <w:marRight w:val="0"/>
                  <w:marTop w:val="0"/>
                  <w:marBottom w:val="0"/>
                  <w:divBdr>
                    <w:top w:val="none" w:sz="0" w:space="0" w:color="auto"/>
                    <w:left w:val="none" w:sz="0" w:space="0" w:color="auto"/>
                    <w:bottom w:val="none" w:sz="0" w:space="0" w:color="auto"/>
                    <w:right w:val="none" w:sz="0" w:space="0" w:color="auto"/>
                  </w:divBdr>
                  <w:divsChild>
                    <w:div w:id="1138032961">
                      <w:marLeft w:val="0"/>
                      <w:marRight w:val="0"/>
                      <w:marTop w:val="0"/>
                      <w:marBottom w:val="0"/>
                      <w:divBdr>
                        <w:top w:val="none" w:sz="0" w:space="0" w:color="auto"/>
                        <w:left w:val="none" w:sz="0" w:space="0" w:color="auto"/>
                        <w:bottom w:val="none" w:sz="0" w:space="0" w:color="auto"/>
                        <w:right w:val="none" w:sz="0" w:space="0" w:color="auto"/>
                      </w:divBdr>
                    </w:div>
                  </w:divsChild>
                </w:div>
                <w:div w:id="510416889">
                  <w:marLeft w:val="0"/>
                  <w:marRight w:val="0"/>
                  <w:marTop w:val="0"/>
                  <w:marBottom w:val="0"/>
                  <w:divBdr>
                    <w:top w:val="none" w:sz="0" w:space="0" w:color="auto"/>
                    <w:left w:val="none" w:sz="0" w:space="0" w:color="auto"/>
                    <w:bottom w:val="none" w:sz="0" w:space="0" w:color="auto"/>
                    <w:right w:val="none" w:sz="0" w:space="0" w:color="auto"/>
                  </w:divBdr>
                  <w:divsChild>
                    <w:div w:id="1687902939">
                      <w:marLeft w:val="0"/>
                      <w:marRight w:val="0"/>
                      <w:marTop w:val="0"/>
                      <w:marBottom w:val="0"/>
                      <w:divBdr>
                        <w:top w:val="none" w:sz="0" w:space="0" w:color="auto"/>
                        <w:left w:val="none" w:sz="0" w:space="0" w:color="auto"/>
                        <w:bottom w:val="none" w:sz="0" w:space="0" w:color="auto"/>
                        <w:right w:val="none" w:sz="0" w:space="0" w:color="auto"/>
                      </w:divBdr>
                    </w:div>
                  </w:divsChild>
                </w:div>
                <w:div w:id="599606237">
                  <w:marLeft w:val="0"/>
                  <w:marRight w:val="0"/>
                  <w:marTop w:val="0"/>
                  <w:marBottom w:val="0"/>
                  <w:divBdr>
                    <w:top w:val="none" w:sz="0" w:space="0" w:color="auto"/>
                    <w:left w:val="none" w:sz="0" w:space="0" w:color="auto"/>
                    <w:bottom w:val="none" w:sz="0" w:space="0" w:color="auto"/>
                    <w:right w:val="none" w:sz="0" w:space="0" w:color="auto"/>
                  </w:divBdr>
                  <w:divsChild>
                    <w:div w:id="467819087">
                      <w:marLeft w:val="0"/>
                      <w:marRight w:val="0"/>
                      <w:marTop w:val="0"/>
                      <w:marBottom w:val="0"/>
                      <w:divBdr>
                        <w:top w:val="none" w:sz="0" w:space="0" w:color="auto"/>
                        <w:left w:val="none" w:sz="0" w:space="0" w:color="auto"/>
                        <w:bottom w:val="none" w:sz="0" w:space="0" w:color="auto"/>
                        <w:right w:val="none" w:sz="0" w:space="0" w:color="auto"/>
                      </w:divBdr>
                    </w:div>
                  </w:divsChild>
                </w:div>
                <w:div w:id="625308638">
                  <w:marLeft w:val="0"/>
                  <w:marRight w:val="0"/>
                  <w:marTop w:val="0"/>
                  <w:marBottom w:val="0"/>
                  <w:divBdr>
                    <w:top w:val="none" w:sz="0" w:space="0" w:color="auto"/>
                    <w:left w:val="none" w:sz="0" w:space="0" w:color="auto"/>
                    <w:bottom w:val="none" w:sz="0" w:space="0" w:color="auto"/>
                    <w:right w:val="none" w:sz="0" w:space="0" w:color="auto"/>
                  </w:divBdr>
                  <w:divsChild>
                    <w:div w:id="682710386">
                      <w:marLeft w:val="0"/>
                      <w:marRight w:val="0"/>
                      <w:marTop w:val="0"/>
                      <w:marBottom w:val="0"/>
                      <w:divBdr>
                        <w:top w:val="none" w:sz="0" w:space="0" w:color="auto"/>
                        <w:left w:val="none" w:sz="0" w:space="0" w:color="auto"/>
                        <w:bottom w:val="none" w:sz="0" w:space="0" w:color="auto"/>
                        <w:right w:val="none" w:sz="0" w:space="0" w:color="auto"/>
                      </w:divBdr>
                    </w:div>
                  </w:divsChild>
                </w:div>
                <w:div w:id="709914673">
                  <w:marLeft w:val="0"/>
                  <w:marRight w:val="0"/>
                  <w:marTop w:val="0"/>
                  <w:marBottom w:val="0"/>
                  <w:divBdr>
                    <w:top w:val="none" w:sz="0" w:space="0" w:color="auto"/>
                    <w:left w:val="none" w:sz="0" w:space="0" w:color="auto"/>
                    <w:bottom w:val="none" w:sz="0" w:space="0" w:color="auto"/>
                    <w:right w:val="none" w:sz="0" w:space="0" w:color="auto"/>
                  </w:divBdr>
                  <w:divsChild>
                    <w:div w:id="2127961298">
                      <w:marLeft w:val="0"/>
                      <w:marRight w:val="0"/>
                      <w:marTop w:val="0"/>
                      <w:marBottom w:val="0"/>
                      <w:divBdr>
                        <w:top w:val="none" w:sz="0" w:space="0" w:color="auto"/>
                        <w:left w:val="none" w:sz="0" w:space="0" w:color="auto"/>
                        <w:bottom w:val="none" w:sz="0" w:space="0" w:color="auto"/>
                        <w:right w:val="none" w:sz="0" w:space="0" w:color="auto"/>
                      </w:divBdr>
                    </w:div>
                  </w:divsChild>
                </w:div>
                <w:div w:id="789278031">
                  <w:marLeft w:val="0"/>
                  <w:marRight w:val="0"/>
                  <w:marTop w:val="0"/>
                  <w:marBottom w:val="0"/>
                  <w:divBdr>
                    <w:top w:val="none" w:sz="0" w:space="0" w:color="auto"/>
                    <w:left w:val="none" w:sz="0" w:space="0" w:color="auto"/>
                    <w:bottom w:val="none" w:sz="0" w:space="0" w:color="auto"/>
                    <w:right w:val="none" w:sz="0" w:space="0" w:color="auto"/>
                  </w:divBdr>
                  <w:divsChild>
                    <w:div w:id="852913014">
                      <w:marLeft w:val="0"/>
                      <w:marRight w:val="0"/>
                      <w:marTop w:val="0"/>
                      <w:marBottom w:val="0"/>
                      <w:divBdr>
                        <w:top w:val="none" w:sz="0" w:space="0" w:color="auto"/>
                        <w:left w:val="none" w:sz="0" w:space="0" w:color="auto"/>
                        <w:bottom w:val="none" w:sz="0" w:space="0" w:color="auto"/>
                        <w:right w:val="none" w:sz="0" w:space="0" w:color="auto"/>
                      </w:divBdr>
                    </w:div>
                  </w:divsChild>
                </w:div>
                <w:div w:id="800391728">
                  <w:marLeft w:val="0"/>
                  <w:marRight w:val="0"/>
                  <w:marTop w:val="0"/>
                  <w:marBottom w:val="0"/>
                  <w:divBdr>
                    <w:top w:val="none" w:sz="0" w:space="0" w:color="auto"/>
                    <w:left w:val="none" w:sz="0" w:space="0" w:color="auto"/>
                    <w:bottom w:val="none" w:sz="0" w:space="0" w:color="auto"/>
                    <w:right w:val="none" w:sz="0" w:space="0" w:color="auto"/>
                  </w:divBdr>
                  <w:divsChild>
                    <w:div w:id="1837109894">
                      <w:marLeft w:val="0"/>
                      <w:marRight w:val="0"/>
                      <w:marTop w:val="0"/>
                      <w:marBottom w:val="0"/>
                      <w:divBdr>
                        <w:top w:val="none" w:sz="0" w:space="0" w:color="auto"/>
                        <w:left w:val="none" w:sz="0" w:space="0" w:color="auto"/>
                        <w:bottom w:val="none" w:sz="0" w:space="0" w:color="auto"/>
                        <w:right w:val="none" w:sz="0" w:space="0" w:color="auto"/>
                      </w:divBdr>
                    </w:div>
                  </w:divsChild>
                </w:div>
                <w:div w:id="875654042">
                  <w:marLeft w:val="0"/>
                  <w:marRight w:val="0"/>
                  <w:marTop w:val="0"/>
                  <w:marBottom w:val="0"/>
                  <w:divBdr>
                    <w:top w:val="none" w:sz="0" w:space="0" w:color="auto"/>
                    <w:left w:val="none" w:sz="0" w:space="0" w:color="auto"/>
                    <w:bottom w:val="none" w:sz="0" w:space="0" w:color="auto"/>
                    <w:right w:val="none" w:sz="0" w:space="0" w:color="auto"/>
                  </w:divBdr>
                  <w:divsChild>
                    <w:div w:id="140465186">
                      <w:marLeft w:val="0"/>
                      <w:marRight w:val="0"/>
                      <w:marTop w:val="0"/>
                      <w:marBottom w:val="0"/>
                      <w:divBdr>
                        <w:top w:val="none" w:sz="0" w:space="0" w:color="auto"/>
                        <w:left w:val="none" w:sz="0" w:space="0" w:color="auto"/>
                        <w:bottom w:val="none" w:sz="0" w:space="0" w:color="auto"/>
                        <w:right w:val="none" w:sz="0" w:space="0" w:color="auto"/>
                      </w:divBdr>
                    </w:div>
                  </w:divsChild>
                </w:div>
                <w:div w:id="960571991">
                  <w:marLeft w:val="0"/>
                  <w:marRight w:val="0"/>
                  <w:marTop w:val="0"/>
                  <w:marBottom w:val="0"/>
                  <w:divBdr>
                    <w:top w:val="none" w:sz="0" w:space="0" w:color="auto"/>
                    <w:left w:val="none" w:sz="0" w:space="0" w:color="auto"/>
                    <w:bottom w:val="none" w:sz="0" w:space="0" w:color="auto"/>
                    <w:right w:val="none" w:sz="0" w:space="0" w:color="auto"/>
                  </w:divBdr>
                  <w:divsChild>
                    <w:div w:id="1024357641">
                      <w:marLeft w:val="0"/>
                      <w:marRight w:val="0"/>
                      <w:marTop w:val="0"/>
                      <w:marBottom w:val="0"/>
                      <w:divBdr>
                        <w:top w:val="none" w:sz="0" w:space="0" w:color="auto"/>
                        <w:left w:val="none" w:sz="0" w:space="0" w:color="auto"/>
                        <w:bottom w:val="none" w:sz="0" w:space="0" w:color="auto"/>
                        <w:right w:val="none" w:sz="0" w:space="0" w:color="auto"/>
                      </w:divBdr>
                    </w:div>
                    <w:div w:id="2110615551">
                      <w:marLeft w:val="0"/>
                      <w:marRight w:val="0"/>
                      <w:marTop w:val="0"/>
                      <w:marBottom w:val="0"/>
                      <w:divBdr>
                        <w:top w:val="none" w:sz="0" w:space="0" w:color="auto"/>
                        <w:left w:val="none" w:sz="0" w:space="0" w:color="auto"/>
                        <w:bottom w:val="none" w:sz="0" w:space="0" w:color="auto"/>
                        <w:right w:val="none" w:sz="0" w:space="0" w:color="auto"/>
                      </w:divBdr>
                    </w:div>
                  </w:divsChild>
                </w:div>
                <w:div w:id="978614982">
                  <w:marLeft w:val="0"/>
                  <w:marRight w:val="0"/>
                  <w:marTop w:val="0"/>
                  <w:marBottom w:val="0"/>
                  <w:divBdr>
                    <w:top w:val="none" w:sz="0" w:space="0" w:color="auto"/>
                    <w:left w:val="none" w:sz="0" w:space="0" w:color="auto"/>
                    <w:bottom w:val="none" w:sz="0" w:space="0" w:color="auto"/>
                    <w:right w:val="none" w:sz="0" w:space="0" w:color="auto"/>
                  </w:divBdr>
                  <w:divsChild>
                    <w:div w:id="1344162306">
                      <w:marLeft w:val="0"/>
                      <w:marRight w:val="0"/>
                      <w:marTop w:val="0"/>
                      <w:marBottom w:val="0"/>
                      <w:divBdr>
                        <w:top w:val="none" w:sz="0" w:space="0" w:color="auto"/>
                        <w:left w:val="none" w:sz="0" w:space="0" w:color="auto"/>
                        <w:bottom w:val="none" w:sz="0" w:space="0" w:color="auto"/>
                        <w:right w:val="none" w:sz="0" w:space="0" w:color="auto"/>
                      </w:divBdr>
                    </w:div>
                  </w:divsChild>
                </w:div>
                <w:div w:id="1052583844">
                  <w:marLeft w:val="0"/>
                  <w:marRight w:val="0"/>
                  <w:marTop w:val="0"/>
                  <w:marBottom w:val="0"/>
                  <w:divBdr>
                    <w:top w:val="none" w:sz="0" w:space="0" w:color="auto"/>
                    <w:left w:val="none" w:sz="0" w:space="0" w:color="auto"/>
                    <w:bottom w:val="none" w:sz="0" w:space="0" w:color="auto"/>
                    <w:right w:val="none" w:sz="0" w:space="0" w:color="auto"/>
                  </w:divBdr>
                  <w:divsChild>
                    <w:div w:id="989794610">
                      <w:marLeft w:val="0"/>
                      <w:marRight w:val="0"/>
                      <w:marTop w:val="0"/>
                      <w:marBottom w:val="0"/>
                      <w:divBdr>
                        <w:top w:val="none" w:sz="0" w:space="0" w:color="auto"/>
                        <w:left w:val="none" w:sz="0" w:space="0" w:color="auto"/>
                        <w:bottom w:val="none" w:sz="0" w:space="0" w:color="auto"/>
                        <w:right w:val="none" w:sz="0" w:space="0" w:color="auto"/>
                      </w:divBdr>
                    </w:div>
                  </w:divsChild>
                </w:div>
                <w:div w:id="1106971069">
                  <w:marLeft w:val="0"/>
                  <w:marRight w:val="0"/>
                  <w:marTop w:val="0"/>
                  <w:marBottom w:val="0"/>
                  <w:divBdr>
                    <w:top w:val="none" w:sz="0" w:space="0" w:color="auto"/>
                    <w:left w:val="none" w:sz="0" w:space="0" w:color="auto"/>
                    <w:bottom w:val="none" w:sz="0" w:space="0" w:color="auto"/>
                    <w:right w:val="none" w:sz="0" w:space="0" w:color="auto"/>
                  </w:divBdr>
                  <w:divsChild>
                    <w:div w:id="67534725">
                      <w:marLeft w:val="0"/>
                      <w:marRight w:val="0"/>
                      <w:marTop w:val="0"/>
                      <w:marBottom w:val="0"/>
                      <w:divBdr>
                        <w:top w:val="none" w:sz="0" w:space="0" w:color="auto"/>
                        <w:left w:val="none" w:sz="0" w:space="0" w:color="auto"/>
                        <w:bottom w:val="none" w:sz="0" w:space="0" w:color="auto"/>
                        <w:right w:val="none" w:sz="0" w:space="0" w:color="auto"/>
                      </w:divBdr>
                    </w:div>
                    <w:div w:id="1694963727">
                      <w:marLeft w:val="0"/>
                      <w:marRight w:val="0"/>
                      <w:marTop w:val="0"/>
                      <w:marBottom w:val="0"/>
                      <w:divBdr>
                        <w:top w:val="none" w:sz="0" w:space="0" w:color="auto"/>
                        <w:left w:val="none" w:sz="0" w:space="0" w:color="auto"/>
                        <w:bottom w:val="none" w:sz="0" w:space="0" w:color="auto"/>
                        <w:right w:val="none" w:sz="0" w:space="0" w:color="auto"/>
                      </w:divBdr>
                    </w:div>
                  </w:divsChild>
                </w:div>
                <w:div w:id="1465006752">
                  <w:marLeft w:val="0"/>
                  <w:marRight w:val="0"/>
                  <w:marTop w:val="0"/>
                  <w:marBottom w:val="0"/>
                  <w:divBdr>
                    <w:top w:val="none" w:sz="0" w:space="0" w:color="auto"/>
                    <w:left w:val="none" w:sz="0" w:space="0" w:color="auto"/>
                    <w:bottom w:val="none" w:sz="0" w:space="0" w:color="auto"/>
                    <w:right w:val="none" w:sz="0" w:space="0" w:color="auto"/>
                  </w:divBdr>
                  <w:divsChild>
                    <w:div w:id="96871522">
                      <w:marLeft w:val="0"/>
                      <w:marRight w:val="0"/>
                      <w:marTop w:val="0"/>
                      <w:marBottom w:val="0"/>
                      <w:divBdr>
                        <w:top w:val="none" w:sz="0" w:space="0" w:color="auto"/>
                        <w:left w:val="none" w:sz="0" w:space="0" w:color="auto"/>
                        <w:bottom w:val="none" w:sz="0" w:space="0" w:color="auto"/>
                        <w:right w:val="none" w:sz="0" w:space="0" w:color="auto"/>
                      </w:divBdr>
                    </w:div>
                  </w:divsChild>
                </w:div>
                <w:div w:id="1466505082">
                  <w:marLeft w:val="0"/>
                  <w:marRight w:val="0"/>
                  <w:marTop w:val="0"/>
                  <w:marBottom w:val="0"/>
                  <w:divBdr>
                    <w:top w:val="none" w:sz="0" w:space="0" w:color="auto"/>
                    <w:left w:val="none" w:sz="0" w:space="0" w:color="auto"/>
                    <w:bottom w:val="none" w:sz="0" w:space="0" w:color="auto"/>
                    <w:right w:val="none" w:sz="0" w:space="0" w:color="auto"/>
                  </w:divBdr>
                  <w:divsChild>
                    <w:div w:id="931090340">
                      <w:marLeft w:val="0"/>
                      <w:marRight w:val="0"/>
                      <w:marTop w:val="0"/>
                      <w:marBottom w:val="0"/>
                      <w:divBdr>
                        <w:top w:val="none" w:sz="0" w:space="0" w:color="auto"/>
                        <w:left w:val="none" w:sz="0" w:space="0" w:color="auto"/>
                        <w:bottom w:val="none" w:sz="0" w:space="0" w:color="auto"/>
                        <w:right w:val="none" w:sz="0" w:space="0" w:color="auto"/>
                      </w:divBdr>
                    </w:div>
                  </w:divsChild>
                </w:div>
                <w:div w:id="1563173413">
                  <w:marLeft w:val="0"/>
                  <w:marRight w:val="0"/>
                  <w:marTop w:val="0"/>
                  <w:marBottom w:val="0"/>
                  <w:divBdr>
                    <w:top w:val="none" w:sz="0" w:space="0" w:color="auto"/>
                    <w:left w:val="none" w:sz="0" w:space="0" w:color="auto"/>
                    <w:bottom w:val="none" w:sz="0" w:space="0" w:color="auto"/>
                    <w:right w:val="none" w:sz="0" w:space="0" w:color="auto"/>
                  </w:divBdr>
                  <w:divsChild>
                    <w:div w:id="59526932">
                      <w:marLeft w:val="0"/>
                      <w:marRight w:val="0"/>
                      <w:marTop w:val="0"/>
                      <w:marBottom w:val="0"/>
                      <w:divBdr>
                        <w:top w:val="none" w:sz="0" w:space="0" w:color="auto"/>
                        <w:left w:val="none" w:sz="0" w:space="0" w:color="auto"/>
                        <w:bottom w:val="none" w:sz="0" w:space="0" w:color="auto"/>
                        <w:right w:val="none" w:sz="0" w:space="0" w:color="auto"/>
                      </w:divBdr>
                    </w:div>
                  </w:divsChild>
                </w:div>
                <w:div w:id="1567492500">
                  <w:marLeft w:val="0"/>
                  <w:marRight w:val="0"/>
                  <w:marTop w:val="0"/>
                  <w:marBottom w:val="0"/>
                  <w:divBdr>
                    <w:top w:val="none" w:sz="0" w:space="0" w:color="auto"/>
                    <w:left w:val="none" w:sz="0" w:space="0" w:color="auto"/>
                    <w:bottom w:val="none" w:sz="0" w:space="0" w:color="auto"/>
                    <w:right w:val="none" w:sz="0" w:space="0" w:color="auto"/>
                  </w:divBdr>
                  <w:divsChild>
                    <w:div w:id="571548723">
                      <w:marLeft w:val="0"/>
                      <w:marRight w:val="0"/>
                      <w:marTop w:val="0"/>
                      <w:marBottom w:val="0"/>
                      <w:divBdr>
                        <w:top w:val="none" w:sz="0" w:space="0" w:color="auto"/>
                        <w:left w:val="none" w:sz="0" w:space="0" w:color="auto"/>
                        <w:bottom w:val="none" w:sz="0" w:space="0" w:color="auto"/>
                        <w:right w:val="none" w:sz="0" w:space="0" w:color="auto"/>
                      </w:divBdr>
                    </w:div>
                  </w:divsChild>
                </w:div>
                <w:div w:id="1701737062">
                  <w:marLeft w:val="0"/>
                  <w:marRight w:val="0"/>
                  <w:marTop w:val="0"/>
                  <w:marBottom w:val="0"/>
                  <w:divBdr>
                    <w:top w:val="none" w:sz="0" w:space="0" w:color="auto"/>
                    <w:left w:val="none" w:sz="0" w:space="0" w:color="auto"/>
                    <w:bottom w:val="none" w:sz="0" w:space="0" w:color="auto"/>
                    <w:right w:val="none" w:sz="0" w:space="0" w:color="auto"/>
                  </w:divBdr>
                  <w:divsChild>
                    <w:div w:id="51005087">
                      <w:marLeft w:val="0"/>
                      <w:marRight w:val="0"/>
                      <w:marTop w:val="0"/>
                      <w:marBottom w:val="0"/>
                      <w:divBdr>
                        <w:top w:val="none" w:sz="0" w:space="0" w:color="auto"/>
                        <w:left w:val="none" w:sz="0" w:space="0" w:color="auto"/>
                        <w:bottom w:val="none" w:sz="0" w:space="0" w:color="auto"/>
                        <w:right w:val="none" w:sz="0" w:space="0" w:color="auto"/>
                      </w:divBdr>
                    </w:div>
                  </w:divsChild>
                </w:div>
                <w:div w:id="1710884202">
                  <w:marLeft w:val="0"/>
                  <w:marRight w:val="0"/>
                  <w:marTop w:val="0"/>
                  <w:marBottom w:val="0"/>
                  <w:divBdr>
                    <w:top w:val="none" w:sz="0" w:space="0" w:color="auto"/>
                    <w:left w:val="none" w:sz="0" w:space="0" w:color="auto"/>
                    <w:bottom w:val="none" w:sz="0" w:space="0" w:color="auto"/>
                    <w:right w:val="none" w:sz="0" w:space="0" w:color="auto"/>
                  </w:divBdr>
                  <w:divsChild>
                    <w:div w:id="921911563">
                      <w:marLeft w:val="0"/>
                      <w:marRight w:val="0"/>
                      <w:marTop w:val="0"/>
                      <w:marBottom w:val="0"/>
                      <w:divBdr>
                        <w:top w:val="none" w:sz="0" w:space="0" w:color="auto"/>
                        <w:left w:val="none" w:sz="0" w:space="0" w:color="auto"/>
                        <w:bottom w:val="none" w:sz="0" w:space="0" w:color="auto"/>
                        <w:right w:val="none" w:sz="0" w:space="0" w:color="auto"/>
                      </w:divBdr>
                    </w:div>
                  </w:divsChild>
                </w:div>
                <w:div w:id="1712732558">
                  <w:marLeft w:val="0"/>
                  <w:marRight w:val="0"/>
                  <w:marTop w:val="0"/>
                  <w:marBottom w:val="0"/>
                  <w:divBdr>
                    <w:top w:val="none" w:sz="0" w:space="0" w:color="auto"/>
                    <w:left w:val="none" w:sz="0" w:space="0" w:color="auto"/>
                    <w:bottom w:val="none" w:sz="0" w:space="0" w:color="auto"/>
                    <w:right w:val="none" w:sz="0" w:space="0" w:color="auto"/>
                  </w:divBdr>
                  <w:divsChild>
                    <w:div w:id="346636242">
                      <w:marLeft w:val="0"/>
                      <w:marRight w:val="0"/>
                      <w:marTop w:val="0"/>
                      <w:marBottom w:val="0"/>
                      <w:divBdr>
                        <w:top w:val="none" w:sz="0" w:space="0" w:color="auto"/>
                        <w:left w:val="none" w:sz="0" w:space="0" w:color="auto"/>
                        <w:bottom w:val="none" w:sz="0" w:space="0" w:color="auto"/>
                        <w:right w:val="none" w:sz="0" w:space="0" w:color="auto"/>
                      </w:divBdr>
                    </w:div>
                  </w:divsChild>
                </w:div>
                <w:div w:id="1853841218">
                  <w:marLeft w:val="0"/>
                  <w:marRight w:val="0"/>
                  <w:marTop w:val="0"/>
                  <w:marBottom w:val="0"/>
                  <w:divBdr>
                    <w:top w:val="none" w:sz="0" w:space="0" w:color="auto"/>
                    <w:left w:val="none" w:sz="0" w:space="0" w:color="auto"/>
                    <w:bottom w:val="none" w:sz="0" w:space="0" w:color="auto"/>
                    <w:right w:val="none" w:sz="0" w:space="0" w:color="auto"/>
                  </w:divBdr>
                  <w:divsChild>
                    <w:div w:id="737899160">
                      <w:marLeft w:val="0"/>
                      <w:marRight w:val="0"/>
                      <w:marTop w:val="0"/>
                      <w:marBottom w:val="0"/>
                      <w:divBdr>
                        <w:top w:val="none" w:sz="0" w:space="0" w:color="auto"/>
                        <w:left w:val="none" w:sz="0" w:space="0" w:color="auto"/>
                        <w:bottom w:val="none" w:sz="0" w:space="0" w:color="auto"/>
                        <w:right w:val="none" w:sz="0" w:space="0" w:color="auto"/>
                      </w:divBdr>
                    </w:div>
                  </w:divsChild>
                </w:div>
                <w:div w:id="1918202484">
                  <w:marLeft w:val="0"/>
                  <w:marRight w:val="0"/>
                  <w:marTop w:val="0"/>
                  <w:marBottom w:val="0"/>
                  <w:divBdr>
                    <w:top w:val="none" w:sz="0" w:space="0" w:color="auto"/>
                    <w:left w:val="none" w:sz="0" w:space="0" w:color="auto"/>
                    <w:bottom w:val="none" w:sz="0" w:space="0" w:color="auto"/>
                    <w:right w:val="none" w:sz="0" w:space="0" w:color="auto"/>
                  </w:divBdr>
                  <w:divsChild>
                    <w:div w:id="363678915">
                      <w:marLeft w:val="0"/>
                      <w:marRight w:val="0"/>
                      <w:marTop w:val="0"/>
                      <w:marBottom w:val="0"/>
                      <w:divBdr>
                        <w:top w:val="none" w:sz="0" w:space="0" w:color="auto"/>
                        <w:left w:val="none" w:sz="0" w:space="0" w:color="auto"/>
                        <w:bottom w:val="none" w:sz="0" w:space="0" w:color="auto"/>
                        <w:right w:val="none" w:sz="0" w:space="0" w:color="auto"/>
                      </w:divBdr>
                    </w:div>
                  </w:divsChild>
                </w:div>
                <w:div w:id="1952779482">
                  <w:marLeft w:val="0"/>
                  <w:marRight w:val="0"/>
                  <w:marTop w:val="0"/>
                  <w:marBottom w:val="0"/>
                  <w:divBdr>
                    <w:top w:val="none" w:sz="0" w:space="0" w:color="auto"/>
                    <w:left w:val="none" w:sz="0" w:space="0" w:color="auto"/>
                    <w:bottom w:val="none" w:sz="0" w:space="0" w:color="auto"/>
                    <w:right w:val="none" w:sz="0" w:space="0" w:color="auto"/>
                  </w:divBdr>
                  <w:divsChild>
                    <w:div w:id="1860848818">
                      <w:marLeft w:val="0"/>
                      <w:marRight w:val="0"/>
                      <w:marTop w:val="0"/>
                      <w:marBottom w:val="0"/>
                      <w:divBdr>
                        <w:top w:val="none" w:sz="0" w:space="0" w:color="auto"/>
                        <w:left w:val="none" w:sz="0" w:space="0" w:color="auto"/>
                        <w:bottom w:val="none" w:sz="0" w:space="0" w:color="auto"/>
                        <w:right w:val="none" w:sz="0" w:space="0" w:color="auto"/>
                      </w:divBdr>
                    </w:div>
                  </w:divsChild>
                </w:div>
                <w:div w:id="2088380549">
                  <w:marLeft w:val="0"/>
                  <w:marRight w:val="0"/>
                  <w:marTop w:val="0"/>
                  <w:marBottom w:val="0"/>
                  <w:divBdr>
                    <w:top w:val="none" w:sz="0" w:space="0" w:color="auto"/>
                    <w:left w:val="none" w:sz="0" w:space="0" w:color="auto"/>
                    <w:bottom w:val="none" w:sz="0" w:space="0" w:color="auto"/>
                    <w:right w:val="none" w:sz="0" w:space="0" w:color="auto"/>
                  </w:divBdr>
                  <w:divsChild>
                    <w:div w:id="1314867675">
                      <w:marLeft w:val="0"/>
                      <w:marRight w:val="0"/>
                      <w:marTop w:val="0"/>
                      <w:marBottom w:val="0"/>
                      <w:divBdr>
                        <w:top w:val="none" w:sz="0" w:space="0" w:color="auto"/>
                        <w:left w:val="none" w:sz="0" w:space="0" w:color="auto"/>
                        <w:bottom w:val="none" w:sz="0" w:space="0" w:color="auto"/>
                        <w:right w:val="none" w:sz="0" w:space="0" w:color="auto"/>
                      </w:divBdr>
                    </w:div>
                  </w:divsChild>
                </w:div>
                <w:div w:id="2088382621">
                  <w:marLeft w:val="0"/>
                  <w:marRight w:val="0"/>
                  <w:marTop w:val="0"/>
                  <w:marBottom w:val="0"/>
                  <w:divBdr>
                    <w:top w:val="none" w:sz="0" w:space="0" w:color="auto"/>
                    <w:left w:val="none" w:sz="0" w:space="0" w:color="auto"/>
                    <w:bottom w:val="none" w:sz="0" w:space="0" w:color="auto"/>
                    <w:right w:val="none" w:sz="0" w:space="0" w:color="auto"/>
                  </w:divBdr>
                  <w:divsChild>
                    <w:div w:id="3643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57912">
          <w:marLeft w:val="0"/>
          <w:marRight w:val="0"/>
          <w:marTop w:val="0"/>
          <w:marBottom w:val="0"/>
          <w:divBdr>
            <w:top w:val="none" w:sz="0" w:space="0" w:color="auto"/>
            <w:left w:val="none" w:sz="0" w:space="0" w:color="auto"/>
            <w:bottom w:val="none" w:sz="0" w:space="0" w:color="auto"/>
            <w:right w:val="none" w:sz="0" w:space="0" w:color="auto"/>
          </w:divBdr>
        </w:div>
        <w:div w:id="1702516549">
          <w:marLeft w:val="0"/>
          <w:marRight w:val="0"/>
          <w:marTop w:val="0"/>
          <w:marBottom w:val="0"/>
          <w:divBdr>
            <w:top w:val="none" w:sz="0" w:space="0" w:color="auto"/>
            <w:left w:val="none" w:sz="0" w:space="0" w:color="auto"/>
            <w:bottom w:val="none" w:sz="0" w:space="0" w:color="auto"/>
            <w:right w:val="none" w:sz="0" w:space="0" w:color="auto"/>
          </w:divBdr>
        </w:div>
        <w:div w:id="1774009806">
          <w:marLeft w:val="0"/>
          <w:marRight w:val="0"/>
          <w:marTop w:val="0"/>
          <w:marBottom w:val="0"/>
          <w:divBdr>
            <w:top w:val="none" w:sz="0" w:space="0" w:color="auto"/>
            <w:left w:val="none" w:sz="0" w:space="0" w:color="auto"/>
            <w:bottom w:val="none" w:sz="0" w:space="0" w:color="auto"/>
            <w:right w:val="none" w:sz="0" w:space="0" w:color="auto"/>
          </w:divBdr>
        </w:div>
        <w:div w:id="1835874296">
          <w:marLeft w:val="0"/>
          <w:marRight w:val="0"/>
          <w:marTop w:val="0"/>
          <w:marBottom w:val="0"/>
          <w:divBdr>
            <w:top w:val="none" w:sz="0" w:space="0" w:color="auto"/>
            <w:left w:val="none" w:sz="0" w:space="0" w:color="auto"/>
            <w:bottom w:val="none" w:sz="0" w:space="0" w:color="auto"/>
            <w:right w:val="none" w:sz="0" w:space="0" w:color="auto"/>
          </w:divBdr>
          <w:divsChild>
            <w:div w:id="73934882">
              <w:marLeft w:val="0"/>
              <w:marRight w:val="0"/>
              <w:marTop w:val="0"/>
              <w:marBottom w:val="0"/>
              <w:divBdr>
                <w:top w:val="none" w:sz="0" w:space="0" w:color="auto"/>
                <w:left w:val="none" w:sz="0" w:space="0" w:color="auto"/>
                <w:bottom w:val="none" w:sz="0" w:space="0" w:color="auto"/>
                <w:right w:val="none" w:sz="0" w:space="0" w:color="auto"/>
              </w:divBdr>
            </w:div>
            <w:div w:id="106782199">
              <w:marLeft w:val="0"/>
              <w:marRight w:val="0"/>
              <w:marTop w:val="0"/>
              <w:marBottom w:val="0"/>
              <w:divBdr>
                <w:top w:val="none" w:sz="0" w:space="0" w:color="auto"/>
                <w:left w:val="none" w:sz="0" w:space="0" w:color="auto"/>
                <w:bottom w:val="none" w:sz="0" w:space="0" w:color="auto"/>
                <w:right w:val="none" w:sz="0" w:space="0" w:color="auto"/>
              </w:divBdr>
            </w:div>
            <w:div w:id="127943226">
              <w:marLeft w:val="0"/>
              <w:marRight w:val="0"/>
              <w:marTop w:val="0"/>
              <w:marBottom w:val="0"/>
              <w:divBdr>
                <w:top w:val="none" w:sz="0" w:space="0" w:color="auto"/>
                <w:left w:val="none" w:sz="0" w:space="0" w:color="auto"/>
                <w:bottom w:val="none" w:sz="0" w:space="0" w:color="auto"/>
                <w:right w:val="none" w:sz="0" w:space="0" w:color="auto"/>
              </w:divBdr>
            </w:div>
            <w:div w:id="282225708">
              <w:marLeft w:val="0"/>
              <w:marRight w:val="0"/>
              <w:marTop w:val="0"/>
              <w:marBottom w:val="0"/>
              <w:divBdr>
                <w:top w:val="none" w:sz="0" w:space="0" w:color="auto"/>
                <w:left w:val="none" w:sz="0" w:space="0" w:color="auto"/>
                <w:bottom w:val="none" w:sz="0" w:space="0" w:color="auto"/>
                <w:right w:val="none" w:sz="0" w:space="0" w:color="auto"/>
              </w:divBdr>
            </w:div>
            <w:div w:id="428934928">
              <w:marLeft w:val="0"/>
              <w:marRight w:val="0"/>
              <w:marTop w:val="0"/>
              <w:marBottom w:val="0"/>
              <w:divBdr>
                <w:top w:val="none" w:sz="0" w:space="0" w:color="auto"/>
                <w:left w:val="none" w:sz="0" w:space="0" w:color="auto"/>
                <w:bottom w:val="none" w:sz="0" w:space="0" w:color="auto"/>
                <w:right w:val="none" w:sz="0" w:space="0" w:color="auto"/>
              </w:divBdr>
            </w:div>
            <w:div w:id="611127790">
              <w:marLeft w:val="0"/>
              <w:marRight w:val="0"/>
              <w:marTop w:val="0"/>
              <w:marBottom w:val="0"/>
              <w:divBdr>
                <w:top w:val="none" w:sz="0" w:space="0" w:color="auto"/>
                <w:left w:val="none" w:sz="0" w:space="0" w:color="auto"/>
                <w:bottom w:val="none" w:sz="0" w:space="0" w:color="auto"/>
                <w:right w:val="none" w:sz="0" w:space="0" w:color="auto"/>
              </w:divBdr>
            </w:div>
            <w:div w:id="616135950">
              <w:marLeft w:val="0"/>
              <w:marRight w:val="0"/>
              <w:marTop w:val="0"/>
              <w:marBottom w:val="0"/>
              <w:divBdr>
                <w:top w:val="none" w:sz="0" w:space="0" w:color="auto"/>
                <w:left w:val="none" w:sz="0" w:space="0" w:color="auto"/>
                <w:bottom w:val="none" w:sz="0" w:space="0" w:color="auto"/>
                <w:right w:val="none" w:sz="0" w:space="0" w:color="auto"/>
              </w:divBdr>
            </w:div>
            <w:div w:id="685716694">
              <w:marLeft w:val="0"/>
              <w:marRight w:val="0"/>
              <w:marTop w:val="0"/>
              <w:marBottom w:val="0"/>
              <w:divBdr>
                <w:top w:val="none" w:sz="0" w:space="0" w:color="auto"/>
                <w:left w:val="none" w:sz="0" w:space="0" w:color="auto"/>
                <w:bottom w:val="none" w:sz="0" w:space="0" w:color="auto"/>
                <w:right w:val="none" w:sz="0" w:space="0" w:color="auto"/>
              </w:divBdr>
            </w:div>
            <w:div w:id="780494855">
              <w:marLeft w:val="0"/>
              <w:marRight w:val="0"/>
              <w:marTop w:val="0"/>
              <w:marBottom w:val="0"/>
              <w:divBdr>
                <w:top w:val="none" w:sz="0" w:space="0" w:color="auto"/>
                <w:left w:val="none" w:sz="0" w:space="0" w:color="auto"/>
                <w:bottom w:val="none" w:sz="0" w:space="0" w:color="auto"/>
                <w:right w:val="none" w:sz="0" w:space="0" w:color="auto"/>
              </w:divBdr>
            </w:div>
            <w:div w:id="973949969">
              <w:marLeft w:val="0"/>
              <w:marRight w:val="0"/>
              <w:marTop w:val="0"/>
              <w:marBottom w:val="0"/>
              <w:divBdr>
                <w:top w:val="none" w:sz="0" w:space="0" w:color="auto"/>
                <w:left w:val="none" w:sz="0" w:space="0" w:color="auto"/>
                <w:bottom w:val="none" w:sz="0" w:space="0" w:color="auto"/>
                <w:right w:val="none" w:sz="0" w:space="0" w:color="auto"/>
              </w:divBdr>
            </w:div>
            <w:div w:id="1173296888">
              <w:marLeft w:val="0"/>
              <w:marRight w:val="0"/>
              <w:marTop w:val="0"/>
              <w:marBottom w:val="0"/>
              <w:divBdr>
                <w:top w:val="none" w:sz="0" w:space="0" w:color="auto"/>
                <w:left w:val="none" w:sz="0" w:space="0" w:color="auto"/>
                <w:bottom w:val="none" w:sz="0" w:space="0" w:color="auto"/>
                <w:right w:val="none" w:sz="0" w:space="0" w:color="auto"/>
              </w:divBdr>
            </w:div>
            <w:div w:id="1217862172">
              <w:marLeft w:val="0"/>
              <w:marRight w:val="0"/>
              <w:marTop w:val="0"/>
              <w:marBottom w:val="0"/>
              <w:divBdr>
                <w:top w:val="none" w:sz="0" w:space="0" w:color="auto"/>
                <w:left w:val="none" w:sz="0" w:space="0" w:color="auto"/>
                <w:bottom w:val="none" w:sz="0" w:space="0" w:color="auto"/>
                <w:right w:val="none" w:sz="0" w:space="0" w:color="auto"/>
              </w:divBdr>
            </w:div>
            <w:div w:id="1279873291">
              <w:marLeft w:val="0"/>
              <w:marRight w:val="0"/>
              <w:marTop w:val="0"/>
              <w:marBottom w:val="0"/>
              <w:divBdr>
                <w:top w:val="none" w:sz="0" w:space="0" w:color="auto"/>
                <w:left w:val="none" w:sz="0" w:space="0" w:color="auto"/>
                <w:bottom w:val="none" w:sz="0" w:space="0" w:color="auto"/>
                <w:right w:val="none" w:sz="0" w:space="0" w:color="auto"/>
              </w:divBdr>
            </w:div>
            <w:div w:id="1473794417">
              <w:marLeft w:val="0"/>
              <w:marRight w:val="0"/>
              <w:marTop w:val="0"/>
              <w:marBottom w:val="0"/>
              <w:divBdr>
                <w:top w:val="none" w:sz="0" w:space="0" w:color="auto"/>
                <w:left w:val="none" w:sz="0" w:space="0" w:color="auto"/>
                <w:bottom w:val="none" w:sz="0" w:space="0" w:color="auto"/>
                <w:right w:val="none" w:sz="0" w:space="0" w:color="auto"/>
              </w:divBdr>
            </w:div>
            <w:div w:id="1517648403">
              <w:marLeft w:val="0"/>
              <w:marRight w:val="0"/>
              <w:marTop w:val="0"/>
              <w:marBottom w:val="0"/>
              <w:divBdr>
                <w:top w:val="none" w:sz="0" w:space="0" w:color="auto"/>
                <w:left w:val="none" w:sz="0" w:space="0" w:color="auto"/>
                <w:bottom w:val="none" w:sz="0" w:space="0" w:color="auto"/>
                <w:right w:val="none" w:sz="0" w:space="0" w:color="auto"/>
              </w:divBdr>
            </w:div>
            <w:div w:id="1568607420">
              <w:marLeft w:val="0"/>
              <w:marRight w:val="0"/>
              <w:marTop w:val="0"/>
              <w:marBottom w:val="0"/>
              <w:divBdr>
                <w:top w:val="none" w:sz="0" w:space="0" w:color="auto"/>
                <w:left w:val="none" w:sz="0" w:space="0" w:color="auto"/>
                <w:bottom w:val="none" w:sz="0" w:space="0" w:color="auto"/>
                <w:right w:val="none" w:sz="0" w:space="0" w:color="auto"/>
              </w:divBdr>
            </w:div>
            <w:div w:id="1631282614">
              <w:marLeft w:val="0"/>
              <w:marRight w:val="0"/>
              <w:marTop w:val="0"/>
              <w:marBottom w:val="0"/>
              <w:divBdr>
                <w:top w:val="none" w:sz="0" w:space="0" w:color="auto"/>
                <w:left w:val="none" w:sz="0" w:space="0" w:color="auto"/>
                <w:bottom w:val="none" w:sz="0" w:space="0" w:color="auto"/>
                <w:right w:val="none" w:sz="0" w:space="0" w:color="auto"/>
              </w:divBdr>
            </w:div>
            <w:div w:id="1785032611">
              <w:marLeft w:val="0"/>
              <w:marRight w:val="0"/>
              <w:marTop w:val="0"/>
              <w:marBottom w:val="0"/>
              <w:divBdr>
                <w:top w:val="none" w:sz="0" w:space="0" w:color="auto"/>
                <w:left w:val="none" w:sz="0" w:space="0" w:color="auto"/>
                <w:bottom w:val="none" w:sz="0" w:space="0" w:color="auto"/>
                <w:right w:val="none" w:sz="0" w:space="0" w:color="auto"/>
              </w:divBdr>
            </w:div>
            <w:div w:id="1816214841">
              <w:marLeft w:val="0"/>
              <w:marRight w:val="0"/>
              <w:marTop w:val="0"/>
              <w:marBottom w:val="0"/>
              <w:divBdr>
                <w:top w:val="none" w:sz="0" w:space="0" w:color="auto"/>
                <w:left w:val="none" w:sz="0" w:space="0" w:color="auto"/>
                <w:bottom w:val="none" w:sz="0" w:space="0" w:color="auto"/>
                <w:right w:val="none" w:sz="0" w:space="0" w:color="auto"/>
              </w:divBdr>
            </w:div>
            <w:div w:id="1817185460">
              <w:marLeft w:val="0"/>
              <w:marRight w:val="0"/>
              <w:marTop w:val="0"/>
              <w:marBottom w:val="0"/>
              <w:divBdr>
                <w:top w:val="none" w:sz="0" w:space="0" w:color="auto"/>
                <w:left w:val="none" w:sz="0" w:space="0" w:color="auto"/>
                <w:bottom w:val="none" w:sz="0" w:space="0" w:color="auto"/>
                <w:right w:val="none" w:sz="0" w:space="0" w:color="auto"/>
              </w:divBdr>
            </w:div>
          </w:divsChild>
        </w:div>
        <w:div w:id="1881042753">
          <w:marLeft w:val="0"/>
          <w:marRight w:val="0"/>
          <w:marTop w:val="0"/>
          <w:marBottom w:val="0"/>
          <w:divBdr>
            <w:top w:val="none" w:sz="0" w:space="0" w:color="auto"/>
            <w:left w:val="none" w:sz="0" w:space="0" w:color="auto"/>
            <w:bottom w:val="none" w:sz="0" w:space="0" w:color="auto"/>
            <w:right w:val="none" w:sz="0" w:space="0" w:color="auto"/>
          </w:divBdr>
        </w:div>
        <w:div w:id="1967851753">
          <w:marLeft w:val="0"/>
          <w:marRight w:val="0"/>
          <w:marTop w:val="0"/>
          <w:marBottom w:val="0"/>
          <w:divBdr>
            <w:top w:val="none" w:sz="0" w:space="0" w:color="auto"/>
            <w:left w:val="none" w:sz="0" w:space="0" w:color="auto"/>
            <w:bottom w:val="none" w:sz="0" w:space="0" w:color="auto"/>
            <w:right w:val="none" w:sz="0" w:space="0" w:color="auto"/>
          </w:divBdr>
        </w:div>
        <w:div w:id="2015765487">
          <w:marLeft w:val="0"/>
          <w:marRight w:val="0"/>
          <w:marTop w:val="0"/>
          <w:marBottom w:val="0"/>
          <w:divBdr>
            <w:top w:val="none" w:sz="0" w:space="0" w:color="auto"/>
            <w:left w:val="none" w:sz="0" w:space="0" w:color="auto"/>
            <w:bottom w:val="none" w:sz="0" w:space="0" w:color="auto"/>
            <w:right w:val="none" w:sz="0" w:space="0" w:color="auto"/>
          </w:divBdr>
          <w:divsChild>
            <w:div w:id="112676676">
              <w:marLeft w:val="0"/>
              <w:marRight w:val="0"/>
              <w:marTop w:val="0"/>
              <w:marBottom w:val="0"/>
              <w:divBdr>
                <w:top w:val="none" w:sz="0" w:space="0" w:color="auto"/>
                <w:left w:val="none" w:sz="0" w:space="0" w:color="auto"/>
                <w:bottom w:val="none" w:sz="0" w:space="0" w:color="auto"/>
                <w:right w:val="none" w:sz="0" w:space="0" w:color="auto"/>
              </w:divBdr>
            </w:div>
            <w:div w:id="223836875">
              <w:marLeft w:val="0"/>
              <w:marRight w:val="0"/>
              <w:marTop w:val="0"/>
              <w:marBottom w:val="0"/>
              <w:divBdr>
                <w:top w:val="none" w:sz="0" w:space="0" w:color="auto"/>
                <w:left w:val="none" w:sz="0" w:space="0" w:color="auto"/>
                <w:bottom w:val="none" w:sz="0" w:space="0" w:color="auto"/>
                <w:right w:val="none" w:sz="0" w:space="0" w:color="auto"/>
              </w:divBdr>
            </w:div>
            <w:div w:id="655652552">
              <w:marLeft w:val="0"/>
              <w:marRight w:val="0"/>
              <w:marTop w:val="0"/>
              <w:marBottom w:val="0"/>
              <w:divBdr>
                <w:top w:val="none" w:sz="0" w:space="0" w:color="auto"/>
                <w:left w:val="none" w:sz="0" w:space="0" w:color="auto"/>
                <w:bottom w:val="none" w:sz="0" w:space="0" w:color="auto"/>
                <w:right w:val="none" w:sz="0" w:space="0" w:color="auto"/>
              </w:divBdr>
            </w:div>
            <w:div w:id="846486697">
              <w:marLeft w:val="0"/>
              <w:marRight w:val="0"/>
              <w:marTop w:val="0"/>
              <w:marBottom w:val="0"/>
              <w:divBdr>
                <w:top w:val="none" w:sz="0" w:space="0" w:color="auto"/>
                <w:left w:val="none" w:sz="0" w:space="0" w:color="auto"/>
                <w:bottom w:val="none" w:sz="0" w:space="0" w:color="auto"/>
                <w:right w:val="none" w:sz="0" w:space="0" w:color="auto"/>
              </w:divBdr>
            </w:div>
            <w:div w:id="1035231884">
              <w:marLeft w:val="0"/>
              <w:marRight w:val="0"/>
              <w:marTop w:val="0"/>
              <w:marBottom w:val="0"/>
              <w:divBdr>
                <w:top w:val="none" w:sz="0" w:space="0" w:color="auto"/>
                <w:left w:val="none" w:sz="0" w:space="0" w:color="auto"/>
                <w:bottom w:val="none" w:sz="0" w:space="0" w:color="auto"/>
                <w:right w:val="none" w:sz="0" w:space="0" w:color="auto"/>
              </w:divBdr>
            </w:div>
            <w:div w:id="1136139211">
              <w:marLeft w:val="0"/>
              <w:marRight w:val="0"/>
              <w:marTop w:val="0"/>
              <w:marBottom w:val="0"/>
              <w:divBdr>
                <w:top w:val="none" w:sz="0" w:space="0" w:color="auto"/>
                <w:left w:val="none" w:sz="0" w:space="0" w:color="auto"/>
                <w:bottom w:val="none" w:sz="0" w:space="0" w:color="auto"/>
                <w:right w:val="none" w:sz="0" w:space="0" w:color="auto"/>
              </w:divBdr>
            </w:div>
            <w:div w:id="1289431073">
              <w:marLeft w:val="0"/>
              <w:marRight w:val="0"/>
              <w:marTop w:val="0"/>
              <w:marBottom w:val="0"/>
              <w:divBdr>
                <w:top w:val="none" w:sz="0" w:space="0" w:color="auto"/>
                <w:left w:val="none" w:sz="0" w:space="0" w:color="auto"/>
                <w:bottom w:val="none" w:sz="0" w:space="0" w:color="auto"/>
                <w:right w:val="none" w:sz="0" w:space="0" w:color="auto"/>
              </w:divBdr>
            </w:div>
            <w:div w:id="1306355399">
              <w:marLeft w:val="0"/>
              <w:marRight w:val="0"/>
              <w:marTop w:val="0"/>
              <w:marBottom w:val="0"/>
              <w:divBdr>
                <w:top w:val="none" w:sz="0" w:space="0" w:color="auto"/>
                <w:left w:val="none" w:sz="0" w:space="0" w:color="auto"/>
                <w:bottom w:val="none" w:sz="0" w:space="0" w:color="auto"/>
                <w:right w:val="none" w:sz="0" w:space="0" w:color="auto"/>
              </w:divBdr>
            </w:div>
            <w:div w:id="1410735828">
              <w:marLeft w:val="0"/>
              <w:marRight w:val="0"/>
              <w:marTop w:val="0"/>
              <w:marBottom w:val="0"/>
              <w:divBdr>
                <w:top w:val="none" w:sz="0" w:space="0" w:color="auto"/>
                <w:left w:val="none" w:sz="0" w:space="0" w:color="auto"/>
                <w:bottom w:val="none" w:sz="0" w:space="0" w:color="auto"/>
                <w:right w:val="none" w:sz="0" w:space="0" w:color="auto"/>
              </w:divBdr>
            </w:div>
            <w:div w:id="1492061729">
              <w:marLeft w:val="0"/>
              <w:marRight w:val="0"/>
              <w:marTop w:val="0"/>
              <w:marBottom w:val="0"/>
              <w:divBdr>
                <w:top w:val="none" w:sz="0" w:space="0" w:color="auto"/>
                <w:left w:val="none" w:sz="0" w:space="0" w:color="auto"/>
                <w:bottom w:val="none" w:sz="0" w:space="0" w:color="auto"/>
                <w:right w:val="none" w:sz="0" w:space="0" w:color="auto"/>
              </w:divBdr>
            </w:div>
            <w:div w:id="1610430781">
              <w:marLeft w:val="0"/>
              <w:marRight w:val="0"/>
              <w:marTop w:val="0"/>
              <w:marBottom w:val="0"/>
              <w:divBdr>
                <w:top w:val="none" w:sz="0" w:space="0" w:color="auto"/>
                <w:left w:val="none" w:sz="0" w:space="0" w:color="auto"/>
                <w:bottom w:val="none" w:sz="0" w:space="0" w:color="auto"/>
                <w:right w:val="none" w:sz="0" w:space="0" w:color="auto"/>
              </w:divBdr>
            </w:div>
            <w:div w:id="1899432960">
              <w:marLeft w:val="0"/>
              <w:marRight w:val="0"/>
              <w:marTop w:val="0"/>
              <w:marBottom w:val="0"/>
              <w:divBdr>
                <w:top w:val="none" w:sz="0" w:space="0" w:color="auto"/>
                <w:left w:val="none" w:sz="0" w:space="0" w:color="auto"/>
                <w:bottom w:val="none" w:sz="0" w:space="0" w:color="auto"/>
                <w:right w:val="none" w:sz="0" w:space="0" w:color="auto"/>
              </w:divBdr>
            </w:div>
            <w:div w:id="2075394942">
              <w:marLeft w:val="0"/>
              <w:marRight w:val="0"/>
              <w:marTop w:val="0"/>
              <w:marBottom w:val="0"/>
              <w:divBdr>
                <w:top w:val="none" w:sz="0" w:space="0" w:color="auto"/>
                <w:left w:val="none" w:sz="0" w:space="0" w:color="auto"/>
                <w:bottom w:val="none" w:sz="0" w:space="0" w:color="auto"/>
                <w:right w:val="none" w:sz="0" w:space="0" w:color="auto"/>
              </w:divBdr>
            </w:div>
            <w:div w:id="2103724279">
              <w:marLeft w:val="0"/>
              <w:marRight w:val="0"/>
              <w:marTop w:val="0"/>
              <w:marBottom w:val="0"/>
              <w:divBdr>
                <w:top w:val="none" w:sz="0" w:space="0" w:color="auto"/>
                <w:left w:val="none" w:sz="0" w:space="0" w:color="auto"/>
                <w:bottom w:val="none" w:sz="0" w:space="0" w:color="auto"/>
                <w:right w:val="none" w:sz="0" w:space="0" w:color="auto"/>
              </w:divBdr>
            </w:div>
          </w:divsChild>
        </w:div>
        <w:div w:id="2021465517">
          <w:marLeft w:val="0"/>
          <w:marRight w:val="0"/>
          <w:marTop w:val="0"/>
          <w:marBottom w:val="0"/>
          <w:divBdr>
            <w:top w:val="none" w:sz="0" w:space="0" w:color="auto"/>
            <w:left w:val="none" w:sz="0" w:space="0" w:color="auto"/>
            <w:bottom w:val="none" w:sz="0" w:space="0" w:color="auto"/>
            <w:right w:val="none" w:sz="0" w:space="0" w:color="auto"/>
          </w:divBdr>
        </w:div>
      </w:divsChild>
    </w:div>
    <w:div w:id="683476649">
      <w:bodyDiv w:val="1"/>
      <w:marLeft w:val="0"/>
      <w:marRight w:val="0"/>
      <w:marTop w:val="0"/>
      <w:marBottom w:val="0"/>
      <w:divBdr>
        <w:top w:val="none" w:sz="0" w:space="0" w:color="auto"/>
        <w:left w:val="none" w:sz="0" w:space="0" w:color="auto"/>
        <w:bottom w:val="none" w:sz="0" w:space="0" w:color="auto"/>
        <w:right w:val="none" w:sz="0" w:space="0" w:color="auto"/>
      </w:divBdr>
      <w:divsChild>
        <w:div w:id="21783808">
          <w:marLeft w:val="0"/>
          <w:marRight w:val="0"/>
          <w:marTop w:val="0"/>
          <w:marBottom w:val="0"/>
          <w:divBdr>
            <w:top w:val="none" w:sz="0" w:space="0" w:color="auto"/>
            <w:left w:val="none" w:sz="0" w:space="0" w:color="auto"/>
            <w:bottom w:val="none" w:sz="0" w:space="0" w:color="auto"/>
            <w:right w:val="none" w:sz="0" w:space="0" w:color="auto"/>
          </w:divBdr>
        </w:div>
        <w:div w:id="89855763">
          <w:marLeft w:val="0"/>
          <w:marRight w:val="0"/>
          <w:marTop w:val="0"/>
          <w:marBottom w:val="0"/>
          <w:divBdr>
            <w:top w:val="none" w:sz="0" w:space="0" w:color="auto"/>
            <w:left w:val="none" w:sz="0" w:space="0" w:color="auto"/>
            <w:bottom w:val="none" w:sz="0" w:space="0" w:color="auto"/>
            <w:right w:val="none" w:sz="0" w:space="0" w:color="auto"/>
          </w:divBdr>
        </w:div>
        <w:div w:id="189923603">
          <w:marLeft w:val="0"/>
          <w:marRight w:val="0"/>
          <w:marTop w:val="0"/>
          <w:marBottom w:val="0"/>
          <w:divBdr>
            <w:top w:val="none" w:sz="0" w:space="0" w:color="auto"/>
            <w:left w:val="none" w:sz="0" w:space="0" w:color="auto"/>
            <w:bottom w:val="none" w:sz="0" w:space="0" w:color="auto"/>
            <w:right w:val="none" w:sz="0" w:space="0" w:color="auto"/>
          </w:divBdr>
        </w:div>
        <w:div w:id="225575956">
          <w:marLeft w:val="0"/>
          <w:marRight w:val="0"/>
          <w:marTop w:val="0"/>
          <w:marBottom w:val="0"/>
          <w:divBdr>
            <w:top w:val="none" w:sz="0" w:space="0" w:color="auto"/>
            <w:left w:val="none" w:sz="0" w:space="0" w:color="auto"/>
            <w:bottom w:val="none" w:sz="0" w:space="0" w:color="auto"/>
            <w:right w:val="none" w:sz="0" w:space="0" w:color="auto"/>
          </w:divBdr>
        </w:div>
        <w:div w:id="266928641">
          <w:marLeft w:val="0"/>
          <w:marRight w:val="0"/>
          <w:marTop w:val="0"/>
          <w:marBottom w:val="0"/>
          <w:divBdr>
            <w:top w:val="none" w:sz="0" w:space="0" w:color="auto"/>
            <w:left w:val="none" w:sz="0" w:space="0" w:color="auto"/>
            <w:bottom w:val="none" w:sz="0" w:space="0" w:color="auto"/>
            <w:right w:val="none" w:sz="0" w:space="0" w:color="auto"/>
          </w:divBdr>
        </w:div>
        <w:div w:id="290869400">
          <w:marLeft w:val="0"/>
          <w:marRight w:val="0"/>
          <w:marTop w:val="0"/>
          <w:marBottom w:val="0"/>
          <w:divBdr>
            <w:top w:val="none" w:sz="0" w:space="0" w:color="auto"/>
            <w:left w:val="none" w:sz="0" w:space="0" w:color="auto"/>
            <w:bottom w:val="none" w:sz="0" w:space="0" w:color="auto"/>
            <w:right w:val="none" w:sz="0" w:space="0" w:color="auto"/>
          </w:divBdr>
        </w:div>
        <w:div w:id="440564415">
          <w:marLeft w:val="0"/>
          <w:marRight w:val="0"/>
          <w:marTop w:val="0"/>
          <w:marBottom w:val="0"/>
          <w:divBdr>
            <w:top w:val="none" w:sz="0" w:space="0" w:color="auto"/>
            <w:left w:val="none" w:sz="0" w:space="0" w:color="auto"/>
            <w:bottom w:val="none" w:sz="0" w:space="0" w:color="auto"/>
            <w:right w:val="none" w:sz="0" w:space="0" w:color="auto"/>
          </w:divBdr>
        </w:div>
        <w:div w:id="537010691">
          <w:marLeft w:val="0"/>
          <w:marRight w:val="0"/>
          <w:marTop w:val="0"/>
          <w:marBottom w:val="0"/>
          <w:divBdr>
            <w:top w:val="none" w:sz="0" w:space="0" w:color="auto"/>
            <w:left w:val="none" w:sz="0" w:space="0" w:color="auto"/>
            <w:bottom w:val="none" w:sz="0" w:space="0" w:color="auto"/>
            <w:right w:val="none" w:sz="0" w:space="0" w:color="auto"/>
          </w:divBdr>
          <w:divsChild>
            <w:div w:id="6641570">
              <w:marLeft w:val="0"/>
              <w:marRight w:val="0"/>
              <w:marTop w:val="0"/>
              <w:marBottom w:val="0"/>
              <w:divBdr>
                <w:top w:val="none" w:sz="0" w:space="0" w:color="auto"/>
                <w:left w:val="none" w:sz="0" w:space="0" w:color="auto"/>
                <w:bottom w:val="none" w:sz="0" w:space="0" w:color="auto"/>
                <w:right w:val="none" w:sz="0" w:space="0" w:color="auto"/>
              </w:divBdr>
            </w:div>
            <w:div w:id="46802545">
              <w:marLeft w:val="0"/>
              <w:marRight w:val="0"/>
              <w:marTop w:val="0"/>
              <w:marBottom w:val="0"/>
              <w:divBdr>
                <w:top w:val="none" w:sz="0" w:space="0" w:color="auto"/>
                <w:left w:val="none" w:sz="0" w:space="0" w:color="auto"/>
                <w:bottom w:val="none" w:sz="0" w:space="0" w:color="auto"/>
                <w:right w:val="none" w:sz="0" w:space="0" w:color="auto"/>
              </w:divBdr>
            </w:div>
            <w:div w:id="113405442">
              <w:marLeft w:val="0"/>
              <w:marRight w:val="0"/>
              <w:marTop w:val="0"/>
              <w:marBottom w:val="0"/>
              <w:divBdr>
                <w:top w:val="none" w:sz="0" w:space="0" w:color="auto"/>
                <w:left w:val="none" w:sz="0" w:space="0" w:color="auto"/>
                <w:bottom w:val="none" w:sz="0" w:space="0" w:color="auto"/>
                <w:right w:val="none" w:sz="0" w:space="0" w:color="auto"/>
              </w:divBdr>
            </w:div>
            <w:div w:id="127358511">
              <w:marLeft w:val="0"/>
              <w:marRight w:val="0"/>
              <w:marTop w:val="0"/>
              <w:marBottom w:val="0"/>
              <w:divBdr>
                <w:top w:val="none" w:sz="0" w:space="0" w:color="auto"/>
                <w:left w:val="none" w:sz="0" w:space="0" w:color="auto"/>
                <w:bottom w:val="none" w:sz="0" w:space="0" w:color="auto"/>
                <w:right w:val="none" w:sz="0" w:space="0" w:color="auto"/>
              </w:divBdr>
            </w:div>
            <w:div w:id="223177617">
              <w:marLeft w:val="0"/>
              <w:marRight w:val="0"/>
              <w:marTop w:val="0"/>
              <w:marBottom w:val="0"/>
              <w:divBdr>
                <w:top w:val="none" w:sz="0" w:space="0" w:color="auto"/>
                <w:left w:val="none" w:sz="0" w:space="0" w:color="auto"/>
                <w:bottom w:val="none" w:sz="0" w:space="0" w:color="auto"/>
                <w:right w:val="none" w:sz="0" w:space="0" w:color="auto"/>
              </w:divBdr>
            </w:div>
            <w:div w:id="265162193">
              <w:marLeft w:val="0"/>
              <w:marRight w:val="0"/>
              <w:marTop w:val="0"/>
              <w:marBottom w:val="0"/>
              <w:divBdr>
                <w:top w:val="none" w:sz="0" w:space="0" w:color="auto"/>
                <w:left w:val="none" w:sz="0" w:space="0" w:color="auto"/>
                <w:bottom w:val="none" w:sz="0" w:space="0" w:color="auto"/>
                <w:right w:val="none" w:sz="0" w:space="0" w:color="auto"/>
              </w:divBdr>
            </w:div>
            <w:div w:id="524438672">
              <w:marLeft w:val="0"/>
              <w:marRight w:val="0"/>
              <w:marTop w:val="0"/>
              <w:marBottom w:val="0"/>
              <w:divBdr>
                <w:top w:val="none" w:sz="0" w:space="0" w:color="auto"/>
                <w:left w:val="none" w:sz="0" w:space="0" w:color="auto"/>
                <w:bottom w:val="none" w:sz="0" w:space="0" w:color="auto"/>
                <w:right w:val="none" w:sz="0" w:space="0" w:color="auto"/>
              </w:divBdr>
            </w:div>
            <w:div w:id="714936431">
              <w:marLeft w:val="0"/>
              <w:marRight w:val="0"/>
              <w:marTop w:val="0"/>
              <w:marBottom w:val="0"/>
              <w:divBdr>
                <w:top w:val="none" w:sz="0" w:space="0" w:color="auto"/>
                <w:left w:val="none" w:sz="0" w:space="0" w:color="auto"/>
                <w:bottom w:val="none" w:sz="0" w:space="0" w:color="auto"/>
                <w:right w:val="none" w:sz="0" w:space="0" w:color="auto"/>
              </w:divBdr>
            </w:div>
            <w:div w:id="904292770">
              <w:marLeft w:val="0"/>
              <w:marRight w:val="0"/>
              <w:marTop w:val="0"/>
              <w:marBottom w:val="0"/>
              <w:divBdr>
                <w:top w:val="none" w:sz="0" w:space="0" w:color="auto"/>
                <w:left w:val="none" w:sz="0" w:space="0" w:color="auto"/>
                <w:bottom w:val="none" w:sz="0" w:space="0" w:color="auto"/>
                <w:right w:val="none" w:sz="0" w:space="0" w:color="auto"/>
              </w:divBdr>
            </w:div>
            <w:div w:id="1082487978">
              <w:marLeft w:val="0"/>
              <w:marRight w:val="0"/>
              <w:marTop w:val="0"/>
              <w:marBottom w:val="0"/>
              <w:divBdr>
                <w:top w:val="none" w:sz="0" w:space="0" w:color="auto"/>
                <w:left w:val="none" w:sz="0" w:space="0" w:color="auto"/>
                <w:bottom w:val="none" w:sz="0" w:space="0" w:color="auto"/>
                <w:right w:val="none" w:sz="0" w:space="0" w:color="auto"/>
              </w:divBdr>
            </w:div>
            <w:div w:id="1248805304">
              <w:marLeft w:val="0"/>
              <w:marRight w:val="0"/>
              <w:marTop w:val="0"/>
              <w:marBottom w:val="0"/>
              <w:divBdr>
                <w:top w:val="none" w:sz="0" w:space="0" w:color="auto"/>
                <w:left w:val="none" w:sz="0" w:space="0" w:color="auto"/>
                <w:bottom w:val="none" w:sz="0" w:space="0" w:color="auto"/>
                <w:right w:val="none" w:sz="0" w:space="0" w:color="auto"/>
              </w:divBdr>
            </w:div>
            <w:div w:id="1296334512">
              <w:marLeft w:val="0"/>
              <w:marRight w:val="0"/>
              <w:marTop w:val="0"/>
              <w:marBottom w:val="0"/>
              <w:divBdr>
                <w:top w:val="none" w:sz="0" w:space="0" w:color="auto"/>
                <w:left w:val="none" w:sz="0" w:space="0" w:color="auto"/>
                <w:bottom w:val="none" w:sz="0" w:space="0" w:color="auto"/>
                <w:right w:val="none" w:sz="0" w:space="0" w:color="auto"/>
              </w:divBdr>
            </w:div>
            <w:div w:id="1311596700">
              <w:marLeft w:val="0"/>
              <w:marRight w:val="0"/>
              <w:marTop w:val="0"/>
              <w:marBottom w:val="0"/>
              <w:divBdr>
                <w:top w:val="none" w:sz="0" w:space="0" w:color="auto"/>
                <w:left w:val="none" w:sz="0" w:space="0" w:color="auto"/>
                <w:bottom w:val="none" w:sz="0" w:space="0" w:color="auto"/>
                <w:right w:val="none" w:sz="0" w:space="0" w:color="auto"/>
              </w:divBdr>
            </w:div>
            <w:div w:id="1319311237">
              <w:marLeft w:val="0"/>
              <w:marRight w:val="0"/>
              <w:marTop w:val="0"/>
              <w:marBottom w:val="0"/>
              <w:divBdr>
                <w:top w:val="none" w:sz="0" w:space="0" w:color="auto"/>
                <w:left w:val="none" w:sz="0" w:space="0" w:color="auto"/>
                <w:bottom w:val="none" w:sz="0" w:space="0" w:color="auto"/>
                <w:right w:val="none" w:sz="0" w:space="0" w:color="auto"/>
              </w:divBdr>
            </w:div>
            <w:div w:id="1324121314">
              <w:marLeft w:val="0"/>
              <w:marRight w:val="0"/>
              <w:marTop w:val="0"/>
              <w:marBottom w:val="0"/>
              <w:divBdr>
                <w:top w:val="none" w:sz="0" w:space="0" w:color="auto"/>
                <w:left w:val="none" w:sz="0" w:space="0" w:color="auto"/>
                <w:bottom w:val="none" w:sz="0" w:space="0" w:color="auto"/>
                <w:right w:val="none" w:sz="0" w:space="0" w:color="auto"/>
              </w:divBdr>
            </w:div>
            <w:div w:id="1419597590">
              <w:marLeft w:val="0"/>
              <w:marRight w:val="0"/>
              <w:marTop w:val="0"/>
              <w:marBottom w:val="0"/>
              <w:divBdr>
                <w:top w:val="none" w:sz="0" w:space="0" w:color="auto"/>
                <w:left w:val="none" w:sz="0" w:space="0" w:color="auto"/>
                <w:bottom w:val="none" w:sz="0" w:space="0" w:color="auto"/>
                <w:right w:val="none" w:sz="0" w:space="0" w:color="auto"/>
              </w:divBdr>
            </w:div>
            <w:div w:id="1484618099">
              <w:marLeft w:val="0"/>
              <w:marRight w:val="0"/>
              <w:marTop w:val="0"/>
              <w:marBottom w:val="0"/>
              <w:divBdr>
                <w:top w:val="none" w:sz="0" w:space="0" w:color="auto"/>
                <w:left w:val="none" w:sz="0" w:space="0" w:color="auto"/>
                <w:bottom w:val="none" w:sz="0" w:space="0" w:color="auto"/>
                <w:right w:val="none" w:sz="0" w:space="0" w:color="auto"/>
              </w:divBdr>
            </w:div>
            <w:div w:id="1584994463">
              <w:marLeft w:val="0"/>
              <w:marRight w:val="0"/>
              <w:marTop w:val="0"/>
              <w:marBottom w:val="0"/>
              <w:divBdr>
                <w:top w:val="none" w:sz="0" w:space="0" w:color="auto"/>
                <w:left w:val="none" w:sz="0" w:space="0" w:color="auto"/>
                <w:bottom w:val="none" w:sz="0" w:space="0" w:color="auto"/>
                <w:right w:val="none" w:sz="0" w:space="0" w:color="auto"/>
              </w:divBdr>
            </w:div>
            <w:div w:id="1901866225">
              <w:marLeft w:val="0"/>
              <w:marRight w:val="0"/>
              <w:marTop w:val="0"/>
              <w:marBottom w:val="0"/>
              <w:divBdr>
                <w:top w:val="none" w:sz="0" w:space="0" w:color="auto"/>
                <w:left w:val="none" w:sz="0" w:space="0" w:color="auto"/>
                <w:bottom w:val="none" w:sz="0" w:space="0" w:color="auto"/>
                <w:right w:val="none" w:sz="0" w:space="0" w:color="auto"/>
              </w:divBdr>
            </w:div>
            <w:div w:id="2001234034">
              <w:marLeft w:val="0"/>
              <w:marRight w:val="0"/>
              <w:marTop w:val="0"/>
              <w:marBottom w:val="0"/>
              <w:divBdr>
                <w:top w:val="none" w:sz="0" w:space="0" w:color="auto"/>
                <w:left w:val="none" w:sz="0" w:space="0" w:color="auto"/>
                <w:bottom w:val="none" w:sz="0" w:space="0" w:color="auto"/>
                <w:right w:val="none" w:sz="0" w:space="0" w:color="auto"/>
              </w:divBdr>
            </w:div>
          </w:divsChild>
        </w:div>
        <w:div w:id="576868257">
          <w:marLeft w:val="0"/>
          <w:marRight w:val="0"/>
          <w:marTop w:val="0"/>
          <w:marBottom w:val="0"/>
          <w:divBdr>
            <w:top w:val="none" w:sz="0" w:space="0" w:color="auto"/>
            <w:left w:val="none" w:sz="0" w:space="0" w:color="auto"/>
            <w:bottom w:val="none" w:sz="0" w:space="0" w:color="auto"/>
            <w:right w:val="none" w:sz="0" w:space="0" w:color="auto"/>
          </w:divBdr>
        </w:div>
        <w:div w:id="594748904">
          <w:marLeft w:val="0"/>
          <w:marRight w:val="0"/>
          <w:marTop w:val="0"/>
          <w:marBottom w:val="0"/>
          <w:divBdr>
            <w:top w:val="none" w:sz="0" w:space="0" w:color="auto"/>
            <w:left w:val="none" w:sz="0" w:space="0" w:color="auto"/>
            <w:bottom w:val="none" w:sz="0" w:space="0" w:color="auto"/>
            <w:right w:val="none" w:sz="0" w:space="0" w:color="auto"/>
          </w:divBdr>
        </w:div>
        <w:div w:id="608243267">
          <w:marLeft w:val="0"/>
          <w:marRight w:val="0"/>
          <w:marTop w:val="0"/>
          <w:marBottom w:val="0"/>
          <w:divBdr>
            <w:top w:val="none" w:sz="0" w:space="0" w:color="auto"/>
            <w:left w:val="none" w:sz="0" w:space="0" w:color="auto"/>
            <w:bottom w:val="none" w:sz="0" w:space="0" w:color="auto"/>
            <w:right w:val="none" w:sz="0" w:space="0" w:color="auto"/>
          </w:divBdr>
        </w:div>
        <w:div w:id="624459434">
          <w:marLeft w:val="0"/>
          <w:marRight w:val="0"/>
          <w:marTop w:val="0"/>
          <w:marBottom w:val="0"/>
          <w:divBdr>
            <w:top w:val="none" w:sz="0" w:space="0" w:color="auto"/>
            <w:left w:val="none" w:sz="0" w:space="0" w:color="auto"/>
            <w:bottom w:val="none" w:sz="0" w:space="0" w:color="auto"/>
            <w:right w:val="none" w:sz="0" w:space="0" w:color="auto"/>
          </w:divBdr>
        </w:div>
        <w:div w:id="667943538">
          <w:marLeft w:val="0"/>
          <w:marRight w:val="0"/>
          <w:marTop w:val="0"/>
          <w:marBottom w:val="0"/>
          <w:divBdr>
            <w:top w:val="none" w:sz="0" w:space="0" w:color="auto"/>
            <w:left w:val="none" w:sz="0" w:space="0" w:color="auto"/>
            <w:bottom w:val="none" w:sz="0" w:space="0" w:color="auto"/>
            <w:right w:val="none" w:sz="0" w:space="0" w:color="auto"/>
          </w:divBdr>
        </w:div>
        <w:div w:id="737632135">
          <w:marLeft w:val="0"/>
          <w:marRight w:val="0"/>
          <w:marTop w:val="0"/>
          <w:marBottom w:val="0"/>
          <w:divBdr>
            <w:top w:val="none" w:sz="0" w:space="0" w:color="auto"/>
            <w:left w:val="none" w:sz="0" w:space="0" w:color="auto"/>
            <w:bottom w:val="none" w:sz="0" w:space="0" w:color="auto"/>
            <w:right w:val="none" w:sz="0" w:space="0" w:color="auto"/>
          </w:divBdr>
        </w:div>
        <w:div w:id="766969222">
          <w:marLeft w:val="0"/>
          <w:marRight w:val="0"/>
          <w:marTop w:val="0"/>
          <w:marBottom w:val="0"/>
          <w:divBdr>
            <w:top w:val="none" w:sz="0" w:space="0" w:color="auto"/>
            <w:left w:val="none" w:sz="0" w:space="0" w:color="auto"/>
            <w:bottom w:val="none" w:sz="0" w:space="0" w:color="auto"/>
            <w:right w:val="none" w:sz="0" w:space="0" w:color="auto"/>
          </w:divBdr>
        </w:div>
        <w:div w:id="808130374">
          <w:marLeft w:val="0"/>
          <w:marRight w:val="0"/>
          <w:marTop w:val="0"/>
          <w:marBottom w:val="0"/>
          <w:divBdr>
            <w:top w:val="none" w:sz="0" w:space="0" w:color="auto"/>
            <w:left w:val="none" w:sz="0" w:space="0" w:color="auto"/>
            <w:bottom w:val="none" w:sz="0" w:space="0" w:color="auto"/>
            <w:right w:val="none" w:sz="0" w:space="0" w:color="auto"/>
          </w:divBdr>
        </w:div>
        <w:div w:id="921139780">
          <w:marLeft w:val="0"/>
          <w:marRight w:val="0"/>
          <w:marTop w:val="0"/>
          <w:marBottom w:val="0"/>
          <w:divBdr>
            <w:top w:val="none" w:sz="0" w:space="0" w:color="auto"/>
            <w:left w:val="none" w:sz="0" w:space="0" w:color="auto"/>
            <w:bottom w:val="none" w:sz="0" w:space="0" w:color="auto"/>
            <w:right w:val="none" w:sz="0" w:space="0" w:color="auto"/>
          </w:divBdr>
        </w:div>
        <w:div w:id="950749532">
          <w:marLeft w:val="0"/>
          <w:marRight w:val="0"/>
          <w:marTop w:val="0"/>
          <w:marBottom w:val="0"/>
          <w:divBdr>
            <w:top w:val="none" w:sz="0" w:space="0" w:color="auto"/>
            <w:left w:val="none" w:sz="0" w:space="0" w:color="auto"/>
            <w:bottom w:val="none" w:sz="0" w:space="0" w:color="auto"/>
            <w:right w:val="none" w:sz="0" w:space="0" w:color="auto"/>
          </w:divBdr>
        </w:div>
        <w:div w:id="976450455">
          <w:marLeft w:val="0"/>
          <w:marRight w:val="0"/>
          <w:marTop w:val="0"/>
          <w:marBottom w:val="0"/>
          <w:divBdr>
            <w:top w:val="none" w:sz="0" w:space="0" w:color="auto"/>
            <w:left w:val="none" w:sz="0" w:space="0" w:color="auto"/>
            <w:bottom w:val="none" w:sz="0" w:space="0" w:color="auto"/>
            <w:right w:val="none" w:sz="0" w:space="0" w:color="auto"/>
          </w:divBdr>
        </w:div>
        <w:div w:id="1003704775">
          <w:marLeft w:val="0"/>
          <w:marRight w:val="0"/>
          <w:marTop w:val="0"/>
          <w:marBottom w:val="0"/>
          <w:divBdr>
            <w:top w:val="none" w:sz="0" w:space="0" w:color="auto"/>
            <w:left w:val="none" w:sz="0" w:space="0" w:color="auto"/>
            <w:bottom w:val="none" w:sz="0" w:space="0" w:color="auto"/>
            <w:right w:val="none" w:sz="0" w:space="0" w:color="auto"/>
          </w:divBdr>
        </w:div>
        <w:div w:id="1112482805">
          <w:marLeft w:val="0"/>
          <w:marRight w:val="0"/>
          <w:marTop w:val="0"/>
          <w:marBottom w:val="0"/>
          <w:divBdr>
            <w:top w:val="none" w:sz="0" w:space="0" w:color="auto"/>
            <w:left w:val="none" w:sz="0" w:space="0" w:color="auto"/>
            <w:bottom w:val="none" w:sz="0" w:space="0" w:color="auto"/>
            <w:right w:val="none" w:sz="0" w:space="0" w:color="auto"/>
          </w:divBdr>
        </w:div>
        <w:div w:id="1228809458">
          <w:marLeft w:val="0"/>
          <w:marRight w:val="0"/>
          <w:marTop w:val="0"/>
          <w:marBottom w:val="0"/>
          <w:divBdr>
            <w:top w:val="none" w:sz="0" w:space="0" w:color="auto"/>
            <w:left w:val="none" w:sz="0" w:space="0" w:color="auto"/>
            <w:bottom w:val="none" w:sz="0" w:space="0" w:color="auto"/>
            <w:right w:val="none" w:sz="0" w:space="0" w:color="auto"/>
          </w:divBdr>
        </w:div>
        <w:div w:id="1252162406">
          <w:marLeft w:val="0"/>
          <w:marRight w:val="0"/>
          <w:marTop w:val="0"/>
          <w:marBottom w:val="0"/>
          <w:divBdr>
            <w:top w:val="none" w:sz="0" w:space="0" w:color="auto"/>
            <w:left w:val="none" w:sz="0" w:space="0" w:color="auto"/>
            <w:bottom w:val="none" w:sz="0" w:space="0" w:color="auto"/>
            <w:right w:val="none" w:sz="0" w:space="0" w:color="auto"/>
          </w:divBdr>
        </w:div>
        <w:div w:id="1313950443">
          <w:marLeft w:val="0"/>
          <w:marRight w:val="0"/>
          <w:marTop w:val="0"/>
          <w:marBottom w:val="0"/>
          <w:divBdr>
            <w:top w:val="none" w:sz="0" w:space="0" w:color="auto"/>
            <w:left w:val="none" w:sz="0" w:space="0" w:color="auto"/>
            <w:bottom w:val="none" w:sz="0" w:space="0" w:color="auto"/>
            <w:right w:val="none" w:sz="0" w:space="0" w:color="auto"/>
          </w:divBdr>
          <w:divsChild>
            <w:div w:id="59986738">
              <w:marLeft w:val="0"/>
              <w:marRight w:val="0"/>
              <w:marTop w:val="0"/>
              <w:marBottom w:val="0"/>
              <w:divBdr>
                <w:top w:val="none" w:sz="0" w:space="0" w:color="auto"/>
                <w:left w:val="none" w:sz="0" w:space="0" w:color="auto"/>
                <w:bottom w:val="none" w:sz="0" w:space="0" w:color="auto"/>
                <w:right w:val="none" w:sz="0" w:space="0" w:color="auto"/>
              </w:divBdr>
            </w:div>
            <w:div w:id="814681664">
              <w:marLeft w:val="0"/>
              <w:marRight w:val="0"/>
              <w:marTop w:val="0"/>
              <w:marBottom w:val="0"/>
              <w:divBdr>
                <w:top w:val="none" w:sz="0" w:space="0" w:color="auto"/>
                <w:left w:val="none" w:sz="0" w:space="0" w:color="auto"/>
                <w:bottom w:val="none" w:sz="0" w:space="0" w:color="auto"/>
                <w:right w:val="none" w:sz="0" w:space="0" w:color="auto"/>
              </w:divBdr>
            </w:div>
            <w:div w:id="820930498">
              <w:marLeft w:val="0"/>
              <w:marRight w:val="0"/>
              <w:marTop w:val="0"/>
              <w:marBottom w:val="0"/>
              <w:divBdr>
                <w:top w:val="none" w:sz="0" w:space="0" w:color="auto"/>
                <w:left w:val="none" w:sz="0" w:space="0" w:color="auto"/>
                <w:bottom w:val="none" w:sz="0" w:space="0" w:color="auto"/>
                <w:right w:val="none" w:sz="0" w:space="0" w:color="auto"/>
              </w:divBdr>
            </w:div>
            <w:div w:id="864565375">
              <w:marLeft w:val="0"/>
              <w:marRight w:val="0"/>
              <w:marTop w:val="0"/>
              <w:marBottom w:val="0"/>
              <w:divBdr>
                <w:top w:val="none" w:sz="0" w:space="0" w:color="auto"/>
                <w:left w:val="none" w:sz="0" w:space="0" w:color="auto"/>
                <w:bottom w:val="none" w:sz="0" w:space="0" w:color="auto"/>
                <w:right w:val="none" w:sz="0" w:space="0" w:color="auto"/>
              </w:divBdr>
            </w:div>
          </w:divsChild>
        </w:div>
        <w:div w:id="1414811460">
          <w:marLeft w:val="0"/>
          <w:marRight w:val="0"/>
          <w:marTop w:val="0"/>
          <w:marBottom w:val="0"/>
          <w:divBdr>
            <w:top w:val="none" w:sz="0" w:space="0" w:color="auto"/>
            <w:left w:val="none" w:sz="0" w:space="0" w:color="auto"/>
            <w:bottom w:val="none" w:sz="0" w:space="0" w:color="auto"/>
            <w:right w:val="none" w:sz="0" w:space="0" w:color="auto"/>
          </w:divBdr>
        </w:div>
        <w:div w:id="1502308439">
          <w:marLeft w:val="0"/>
          <w:marRight w:val="0"/>
          <w:marTop w:val="0"/>
          <w:marBottom w:val="0"/>
          <w:divBdr>
            <w:top w:val="none" w:sz="0" w:space="0" w:color="auto"/>
            <w:left w:val="none" w:sz="0" w:space="0" w:color="auto"/>
            <w:bottom w:val="none" w:sz="0" w:space="0" w:color="auto"/>
            <w:right w:val="none" w:sz="0" w:space="0" w:color="auto"/>
          </w:divBdr>
        </w:div>
        <w:div w:id="1554348130">
          <w:marLeft w:val="0"/>
          <w:marRight w:val="0"/>
          <w:marTop w:val="0"/>
          <w:marBottom w:val="0"/>
          <w:divBdr>
            <w:top w:val="none" w:sz="0" w:space="0" w:color="auto"/>
            <w:left w:val="none" w:sz="0" w:space="0" w:color="auto"/>
            <w:bottom w:val="none" w:sz="0" w:space="0" w:color="auto"/>
            <w:right w:val="none" w:sz="0" w:space="0" w:color="auto"/>
          </w:divBdr>
        </w:div>
        <w:div w:id="1628046744">
          <w:marLeft w:val="0"/>
          <w:marRight w:val="0"/>
          <w:marTop w:val="0"/>
          <w:marBottom w:val="0"/>
          <w:divBdr>
            <w:top w:val="none" w:sz="0" w:space="0" w:color="auto"/>
            <w:left w:val="none" w:sz="0" w:space="0" w:color="auto"/>
            <w:bottom w:val="none" w:sz="0" w:space="0" w:color="auto"/>
            <w:right w:val="none" w:sz="0" w:space="0" w:color="auto"/>
          </w:divBdr>
        </w:div>
        <w:div w:id="1686514274">
          <w:marLeft w:val="0"/>
          <w:marRight w:val="0"/>
          <w:marTop w:val="0"/>
          <w:marBottom w:val="0"/>
          <w:divBdr>
            <w:top w:val="none" w:sz="0" w:space="0" w:color="auto"/>
            <w:left w:val="none" w:sz="0" w:space="0" w:color="auto"/>
            <w:bottom w:val="none" w:sz="0" w:space="0" w:color="auto"/>
            <w:right w:val="none" w:sz="0" w:space="0" w:color="auto"/>
          </w:divBdr>
        </w:div>
        <w:div w:id="1739548737">
          <w:marLeft w:val="0"/>
          <w:marRight w:val="0"/>
          <w:marTop w:val="0"/>
          <w:marBottom w:val="0"/>
          <w:divBdr>
            <w:top w:val="none" w:sz="0" w:space="0" w:color="auto"/>
            <w:left w:val="none" w:sz="0" w:space="0" w:color="auto"/>
            <w:bottom w:val="none" w:sz="0" w:space="0" w:color="auto"/>
            <w:right w:val="none" w:sz="0" w:space="0" w:color="auto"/>
          </w:divBdr>
        </w:div>
        <w:div w:id="1777795115">
          <w:marLeft w:val="0"/>
          <w:marRight w:val="0"/>
          <w:marTop w:val="0"/>
          <w:marBottom w:val="0"/>
          <w:divBdr>
            <w:top w:val="none" w:sz="0" w:space="0" w:color="auto"/>
            <w:left w:val="none" w:sz="0" w:space="0" w:color="auto"/>
            <w:bottom w:val="none" w:sz="0" w:space="0" w:color="auto"/>
            <w:right w:val="none" w:sz="0" w:space="0" w:color="auto"/>
          </w:divBdr>
        </w:div>
        <w:div w:id="1802379764">
          <w:marLeft w:val="0"/>
          <w:marRight w:val="0"/>
          <w:marTop w:val="0"/>
          <w:marBottom w:val="0"/>
          <w:divBdr>
            <w:top w:val="none" w:sz="0" w:space="0" w:color="auto"/>
            <w:left w:val="none" w:sz="0" w:space="0" w:color="auto"/>
            <w:bottom w:val="none" w:sz="0" w:space="0" w:color="auto"/>
            <w:right w:val="none" w:sz="0" w:space="0" w:color="auto"/>
          </w:divBdr>
        </w:div>
        <w:div w:id="1821921085">
          <w:marLeft w:val="0"/>
          <w:marRight w:val="0"/>
          <w:marTop w:val="0"/>
          <w:marBottom w:val="0"/>
          <w:divBdr>
            <w:top w:val="none" w:sz="0" w:space="0" w:color="auto"/>
            <w:left w:val="none" w:sz="0" w:space="0" w:color="auto"/>
            <w:bottom w:val="none" w:sz="0" w:space="0" w:color="auto"/>
            <w:right w:val="none" w:sz="0" w:space="0" w:color="auto"/>
          </w:divBdr>
        </w:div>
        <w:div w:id="1837648402">
          <w:marLeft w:val="0"/>
          <w:marRight w:val="0"/>
          <w:marTop w:val="0"/>
          <w:marBottom w:val="0"/>
          <w:divBdr>
            <w:top w:val="none" w:sz="0" w:space="0" w:color="auto"/>
            <w:left w:val="none" w:sz="0" w:space="0" w:color="auto"/>
            <w:bottom w:val="none" w:sz="0" w:space="0" w:color="auto"/>
            <w:right w:val="none" w:sz="0" w:space="0" w:color="auto"/>
          </w:divBdr>
        </w:div>
        <w:div w:id="1838571176">
          <w:marLeft w:val="0"/>
          <w:marRight w:val="0"/>
          <w:marTop w:val="0"/>
          <w:marBottom w:val="0"/>
          <w:divBdr>
            <w:top w:val="none" w:sz="0" w:space="0" w:color="auto"/>
            <w:left w:val="none" w:sz="0" w:space="0" w:color="auto"/>
            <w:bottom w:val="none" w:sz="0" w:space="0" w:color="auto"/>
            <w:right w:val="none" w:sz="0" w:space="0" w:color="auto"/>
          </w:divBdr>
        </w:div>
        <w:div w:id="1848131873">
          <w:marLeft w:val="0"/>
          <w:marRight w:val="0"/>
          <w:marTop w:val="0"/>
          <w:marBottom w:val="0"/>
          <w:divBdr>
            <w:top w:val="none" w:sz="0" w:space="0" w:color="auto"/>
            <w:left w:val="none" w:sz="0" w:space="0" w:color="auto"/>
            <w:bottom w:val="none" w:sz="0" w:space="0" w:color="auto"/>
            <w:right w:val="none" w:sz="0" w:space="0" w:color="auto"/>
          </w:divBdr>
        </w:div>
        <w:div w:id="1875382033">
          <w:marLeft w:val="0"/>
          <w:marRight w:val="0"/>
          <w:marTop w:val="0"/>
          <w:marBottom w:val="0"/>
          <w:divBdr>
            <w:top w:val="none" w:sz="0" w:space="0" w:color="auto"/>
            <w:left w:val="none" w:sz="0" w:space="0" w:color="auto"/>
            <w:bottom w:val="none" w:sz="0" w:space="0" w:color="auto"/>
            <w:right w:val="none" w:sz="0" w:space="0" w:color="auto"/>
          </w:divBdr>
        </w:div>
        <w:div w:id="1887332381">
          <w:marLeft w:val="0"/>
          <w:marRight w:val="0"/>
          <w:marTop w:val="0"/>
          <w:marBottom w:val="0"/>
          <w:divBdr>
            <w:top w:val="none" w:sz="0" w:space="0" w:color="auto"/>
            <w:left w:val="none" w:sz="0" w:space="0" w:color="auto"/>
            <w:bottom w:val="none" w:sz="0" w:space="0" w:color="auto"/>
            <w:right w:val="none" w:sz="0" w:space="0" w:color="auto"/>
          </w:divBdr>
        </w:div>
        <w:div w:id="1906137544">
          <w:marLeft w:val="0"/>
          <w:marRight w:val="0"/>
          <w:marTop w:val="0"/>
          <w:marBottom w:val="0"/>
          <w:divBdr>
            <w:top w:val="none" w:sz="0" w:space="0" w:color="auto"/>
            <w:left w:val="none" w:sz="0" w:space="0" w:color="auto"/>
            <w:bottom w:val="none" w:sz="0" w:space="0" w:color="auto"/>
            <w:right w:val="none" w:sz="0" w:space="0" w:color="auto"/>
          </w:divBdr>
        </w:div>
        <w:div w:id="1939486950">
          <w:marLeft w:val="0"/>
          <w:marRight w:val="0"/>
          <w:marTop w:val="0"/>
          <w:marBottom w:val="0"/>
          <w:divBdr>
            <w:top w:val="none" w:sz="0" w:space="0" w:color="auto"/>
            <w:left w:val="none" w:sz="0" w:space="0" w:color="auto"/>
            <w:bottom w:val="none" w:sz="0" w:space="0" w:color="auto"/>
            <w:right w:val="none" w:sz="0" w:space="0" w:color="auto"/>
          </w:divBdr>
        </w:div>
        <w:div w:id="1966883792">
          <w:marLeft w:val="0"/>
          <w:marRight w:val="0"/>
          <w:marTop w:val="0"/>
          <w:marBottom w:val="0"/>
          <w:divBdr>
            <w:top w:val="none" w:sz="0" w:space="0" w:color="auto"/>
            <w:left w:val="none" w:sz="0" w:space="0" w:color="auto"/>
            <w:bottom w:val="none" w:sz="0" w:space="0" w:color="auto"/>
            <w:right w:val="none" w:sz="0" w:space="0" w:color="auto"/>
          </w:divBdr>
        </w:div>
        <w:div w:id="2006743573">
          <w:marLeft w:val="0"/>
          <w:marRight w:val="0"/>
          <w:marTop w:val="0"/>
          <w:marBottom w:val="0"/>
          <w:divBdr>
            <w:top w:val="none" w:sz="0" w:space="0" w:color="auto"/>
            <w:left w:val="none" w:sz="0" w:space="0" w:color="auto"/>
            <w:bottom w:val="none" w:sz="0" w:space="0" w:color="auto"/>
            <w:right w:val="none" w:sz="0" w:space="0" w:color="auto"/>
          </w:divBdr>
        </w:div>
      </w:divsChild>
    </w:div>
    <w:div w:id="691883275">
      <w:bodyDiv w:val="1"/>
      <w:marLeft w:val="0"/>
      <w:marRight w:val="0"/>
      <w:marTop w:val="0"/>
      <w:marBottom w:val="0"/>
      <w:divBdr>
        <w:top w:val="none" w:sz="0" w:space="0" w:color="auto"/>
        <w:left w:val="none" w:sz="0" w:space="0" w:color="auto"/>
        <w:bottom w:val="none" w:sz="0" w:space="0" w:color="auto"/>
        <w:right w:val="none" w:sz="0" w:space="0" w:color="auto"/>
      </w:divBdr>
      <w:divsChild>
        <w:div w:id="1275830">
          <w:marLeft w:val="0"/>
          <w:marRight w:val="0"/>
          <w:marTop w:val="0"/>
          <w:marBottom w:val="0"/>
          <w:divBdr>
            <w:top w:val="none" w:sz="0" w:space="0" w:color="auto"/>
            <w:left w:val="none" w:sz="0" w:space="0" w:color="auto"/>
            <w:bottom w:val="none" w:sz="0" w:space="0" w:color="auto"/>
            <w:right w:val="none" w:sz="0" w:space="0" w:color="auto"/>
          </w:divBdr>
          <w:divsChild>
            <w:div w:id="2053647987">
              <w:marLeft w:val="0"/>
              <w:marRight w:val="0"/>
              <w:marTop w:val="0"/>
              <w:marBottom w:val="0"/>
              <w:divBdr>
                <w:top w:val="none" w:sz="0" w:space="0" w:color="auto"/>
                <w:left w:val="none" w:sz="0" w:space="0" w:color="auto"/>
                <w:bottom w:val="none" w:sz="0" w:space="0" w:color="auto"/>
                <w:right w:val="none" w:sz="0" w:space="0" w:color="auto"/>
              </w:divBdr>
            </w:div>
          </w:divsChild>
        </w:div>
        <w:div w:id="5207405">
          <w:marLeft w:val="0"/>
          <w:marRight w:val="0"/>
          <w:marTop w:val="0"/>
          <w:marBottom w:val="0"/>
          <w:divBdr>
            <w:top w:val="none" w:sz="0" w:space="0" w:color="auto"/>
            <w:left w:val="none" w:sz="0" w:space="0" w:color="auto"/>
            <w:bottom w:val="none" w:sz="0" w:space="0" w:color="auto"/>
            <w:right w:val="none" w:sz="0" w:space="0" w:color="auto"/>
          </w:divBdr>
          <w:divsChild>
            <w:div w:id="249780610">
              <w:marLeft w:val="0"/>
              <w:marRight w:val="0"/>
              <w:marTop w:val="0"/>
              <w:marBottom w:val="0"/>
              <w:divBdr>
                <w:top w:val="none" w:sz="0" w:space="0" w:color="auto"/>
                <w:left w:val="none" w:sz="0" w:space="0" w:color="auto"/>
                <w:bottom w:val="none" w:sz="0" w:space="0" w:color="auto"/>
                <w:right w:val="none" w:sz="0" w:space="0" w:color="auto"/>
              </w:divBdr>
            </w:div>
          </w:divsChild>
        </w:div>
        <w:div w:id="17977394">
          <w:marLeft w:val="0"/>
          <w:marRight w:val="0"/>
          <w:marTop w:val="0"/>
          <w:marBottom w:val="0"/>
          <w:divBdr>
            <w:top w:val="none" w:sz="0" w:space="0" w:color="auto"/>
            <w:left w:val="none" w:sz="0" w:space="0" w:color="auto"/>
            <w:bottom w:val="none" w:sz="0" w:space="0" w:color="auto"/>
            <w:right w:val="none" w:sz="0" w:space="0" w:color="auto"/>
          </w:divBdr>
          <w:divsChild>
            <w:div w:id="512115323">
              <w:marLeft w:val="0"/>
              <w:marRight w:val="0"/>
              <w:marTop w:val="0"/>
              <w:marBottom w:val="0"/>
              <w:divBdr>
                <w:top w:val="none" w:sz="0" w:space="0" w:color="auto"/>
                <w:left w:val="none" w:sz="0" w:space="0" w:color="auto"/>
                <w:bottom w:val="none" w:sz="0" w:space="0" w:color="auto"/>
                <w:right w:val="none" w:sz="0" w:space="0" w:color="auto"/>
              </w:divBdr>
            </w:div>
          </w:divsChild>
        </w:div>
        <w:div w:id="18094542">
          <w:marLeft w:val="0"/>
          <w:marRight w:val="0"/>
          <w:marTop w:val="0"/>
          <w:marBottom w:val="0"/>
          <w:divBdr>
            <w:top w:val="none" w:sz="0" w:space="0" w:color="auto"/>
            <w:left w:val="none" w:sz="0" w:space="0" w:color="auto"/>
            <w:bottom w:val="none" w:sz="0" w:space="0" w:color="auto"/>
            <w:right w:val="none" w:sz="0" w:space="0" w:color="auto"/>
          </w:divBdr>
          <w:divsChild>
            <w:div w:id="771512373">
              <w:marLeft w:val="0"/>
              <w:marRight w:val="0"/>
              <w:marTop w:val="0"/>
              <w:marBottom w:val="0"/>
              <w:divBdr>
                <w:top w:val="none" w:sz="0" w:space="0" w:color="auto"/>
                <w:left w:val="none" w:sz="0" w:space="0" w:color="auto"/>
                <w:bottom w:val="none" w:sz="0" w:space="0" w:color="auto"/>
                <w:right w:val="none" w:sz="0" w:space="0" w:color="auto"/>
              </w:divBdr>
            </w:div>
          </w:divsChild>
        </w:div>
        <w:div w:id="20740107">
          <w:marLeft w:val="0"/>
          <w:marRight w:val="0"/>
          <w:marTop w:val="0"/>
          <w:marBottom w:val="0"/>
          <w:divBdr>
            <w:top w:val="none" w:sz="0" w:space="0" w:color="auto"/>
            <w:left w:val="none" w:sz="0" w:space="0" w:color="auto"/>
            <w:bottom w:val="none" w:sz="0" w:space="0" w:color="auto"/>
            <w:right w:val="none" w:sz="0" w:space="0" w:color="auto"/>
          </w:divBdr>
          <w:divsChild>
            <w:div w:id="1745294901">
              <w:marLeft w:val="0"/>
              <w:marRight w:val="0"/>
              <w:marTop w:val="0"/>
              <w:marBottom w:val="0"/>
              <w:divBdr>
                <w:top w:val="none" w:sz="0" w:space="0" w:color="auto"/>
                <w:left w:val="none" w:sz="0" w:space="0" w:color="auto"/>
                <w:bottom w:val="none" w:sz="0" w:space="0" w:color="auto"/>
                <w:right w:val="none" w:sz="0" w:space="0" w:color="auto"/>
              </w:divBdr>
            </w:div>
          </w:divsChild>
        </w:div>
        <w:div w:id="22025988">
          <w:marLeft w:val="0"/>
          <w:marRight w:val="0"/>
          <w:marTop w:val="0"/>
          <w:marBottom w:val="0"/>
          <w:divBdr>
            <w:top w:val="none" w:sz="0" w:space="0" w:color="auto"/>
            <w:left w:val="none" w:sz="0" w:space="0" w:color="auto"/>
            <w:bottom w:val="none" w:sz="0" w:space="0" w:color="auto"/>
            <w:right w:val="none" w:sz="0" w:space="0" w:color="auto"/>
          </w:divBdr>
          <w:divsChild>
            <w:div w:id="1387215209">
              <w:marLeft w:val="0"/>
              <w:marRight w:val="0"/>
              <w:marTop w:val="0"/>
              <w:marBottom w:val="0"/>
              <w:divBdr>
                <w:top w:val="none" w:sz="0" w:space="0" w:color="auto"/>
                <w:left w:val="none" w:sz="0" w:space="0" w:color="auto"/>
                <w:bottom w:val="none" w:sz="0" w:space="0" w:color="auto"/>
                <w:right w:val="none" w:sz="0" w:space="0" w:color="auto"/>
              </w:divBdr>
            </w:div>
          </w:divsChild>
        </w:div>
        <w:div w:id="22754125">
          <w:marLeft w:val="0"/>
          <w:marRight w:val="0"/>
          <w:marTop w:val="0"/>
          <w:marBottom w:val="0"/>
          <w:divBdr>
            <w:top w:val="none" w:sz="0" w:space="0" w:color="auto"/>
            <w:left w:val="none" w:sz="0" w:space="0" w:color="auto"/>
            <w:bottom w:val="none" w:sz="0" w:space="0" w:color="auto"/>
            <w:right w:val="none" w:sz="0" w:space="0" w:color="auto"/>
          </w:divBdr>
          <w:divsChild>
            <w:div w:id="267127425">
              <w:marLeft w:val="0"/>
              <w:marRight w:val="0"/>
              <w:marTop w:val="0"/>
              <w:marBottom w:val="0"/>
              <w:divBdr>
                <w:top w:val="none" w:sz="0" w:space="0" w:color="auto"/>
                <w:left w:val="none" w:sz="0" w:space="0" w:color="auto"/>
                <w:bottom w:val="none" w:sz="0" w:space="0" w:color="auto"/>
                <w:right w:val="none" w:sz="0" w:space="0" w:color="auto"/>
              </w:divBdr>
            </w:div>
          </w:divsChild>
        </w:div>
        <w:div w:id="24213711">
          <w:marLeft w:val="0"/>
          <w:marRight w:val="0"/>
          <w:marTop w:val="0"/>
          <w:marBottom w:val="0"/>
          <w:divBdr>
            <w:top w:val="none" w:sz="0" w:space="0" w:color="auto"/>
            <w:left w:val="none" w:sz="0" w:space="0" w:color="auto"/>
            <w:bottom w:val="none" w:sz="0" w:space="0" w:color="auto"/>
            <w:right w:val="none" w:sz="0" w:space="0" w:color="auto"/>
          </w:divBdr>
          <w:divsChild>
            <w:div w:id="2092770380">
              <w:marLeft w:val="0"/>
              <w:marRight w:val="0"/>
              <w:marTop w:val="0"/>
              <w:marBottom w:val="0"/>
              <w:divBdr>
                <w:top w:val="none" w:sz="0" w:space="0" w:color="auto"/>
                <w:left w:val="none" w:sz="0" w:space="0" w:color="auto"/>
                <w:bottom w:val="none" w:sz="0" w:space="0" w:color="auto"/>
                <w:right w:val="none" w:sz="0" w:space="0" w:color="auto"/>
              </w:divBdr>
            </w:div>
          </w:divsChild>
        </w:div>
        <w:div w:id="33771631">
          <w:marLeft w:val="0"/>
          <w:marRight w:val="0"/>
          <w:marTop w:val="0"/>
          <w:marBottom w:val="0"/>
          <w:divBdr>
            <w:top w:val="none" w:sz="0" w:space="0" w:color="auto"/>
            <w:left w:val="none" w:sz="0" w:space="0" w:color="auto"/>
            <w:bottom w:val="none" w:sz="0" w:space="0" w:color="auto"/>
            <w:right w:val="none" w:sz="0" w:space="0" w:color="auto"/>
          </w:divBdr>
          <w:divsChild>
            <w:div w:id="494999247">
              <w:marLeft w:val="0"/>
              <w:marRight w:val="0"/>
              <w:marTop w:val="0"/>
              <w:marBottom w:val="0"/>
              <w:divBdr>
                <w:top w:val="none" w:sz="0" w:space="0" w:color="auto"/>
                <w:left w:val="none" w:sz="0" w:space="0" w:color="auto"/>
                <w:bottom w:val="none" w:sz="0" w:space="0" w:color="auto"/>
                <w:right w:val="none" w:sz="0" w:space="0" w:color="auto"/>
              </w:divBdr>
            </w:div>
          </w:divsChild>
        </w:div>
        <w:div w:id="41562579">
          <w:marLeft w:val="0"/>
          <w:marRight w:val="0"/>
          <w:marTop w:val="0"/>
          <w:marBottom w:val="0"/>
          <w:divBdr>
            <w:top w:val="none" w:sz="0" w:space="0" w:color="auto"/>
            <w:left w:val="none" w:sz="0" w:space="0" w:color="auto"/>
            <w:bottom w:val="none" w:sz="0" w:space="0" w:color="auto"/>
            <w:right w:val="none" w:sz="0" w:space="0" w:color="auto"/>
          </w:divBdr>
          <w:divsChild>
            <w:div w:id="1932426195">
              <w:marLeft w:val="0"/>
              <w:marRight w:val="0"/>
              <w:marTop w:val="0"/>
              <w:marBottom w:val="0"/>
              <w:divBdr>
                <w:top w:val="none" w:sz="0" w:space="0" w:color="auto"/>
                <w:left w:val="none" w:sz="0" w:space="0" w:color="auto"/>
                <w:bottom w:val="none" w:sz="0" w:space="0" w:color="auto"/>
                <w:right w:val="none" w:sz="0" w:space="0" w:color="auto"/>
              </w:divBdr>
            </w:div>
          </w:divsChild>
        </w:div>
        <w:div w:id="52631152">
          <w:marLeft w:val="0"/>
          <w:marRight w:val="0"/>
          <w:marTop w:val="0"/>
          <w:marBottom w:val="0"/>
          <w:divBdr>
            <w:top w:val="none" w:sz="0" w:space="0" w:color="auto"/>
            <w:left w:val="none" w:sz="0" w:space="0" w:color="auto"/>
            <w:bottom w:val="none" w:sz="0" w:space="0" w:color="auto"/>
            <w:right w:val="none" w:sz="0" w:space="0" w:color="auto"/>
          </w:divBdr>
          <w:divsChild>
            <w:div w:id="498739860">
              <w:marLeft w:val="0"/>
              <w:marRight w:val="0"/>
              <w:marTop w:val="0"/>
              <w:marBottom w:val="0"/>
              <w:divBdr>
                <w:top w:val="none" w:sz="0" w:space="0" w:color="auto"/>
                <w:left w:val="none" w:sz="0" w:space="0" w:color="auto"/>
                <w:bottom w:val="none" w:sz="0" w:space="0" w:color="auto"/>
                <w:right w:val="none" w:sz="0" w:space="0" w:color="auto"/>
              </w:divBdr>
            </w:div>
          </w:divsChild>
        </w:div>
        <w:div w:id="67195178">
          <w:marLeft w:val="0"/>
          <w:marRight w:val="0"/>
          <w:marTop w:val="0"/>
          <w:marBottom w:val="0"/>
          <w:divBdr>
            <w:top w:val="none" w:sz="0" w:space="0" w:color="auto"/>
            <w:left w:val="none" w:sz="0" w:space="0" w:color="auto"/>
            <w:bottom w:val="none" w:sz="0" w:space="0" w:color="auto"/>
            <w:right w:val="none" w:sz="0" w:space="0" w:color="auto"/>
          </w:divBdr>
          <w:divsChild>
            <w:div w:id="584416592">
              <w:marLeft w:val="0"/>
              <w:marRight w:val="0"/>
              <w:marTop w:val="0"/>
              <w:marBottom w:val="0"/>
              <w:divBdr>
                <w:top w:val="none" w:sz="0" w:space="0" w:color="auto"/>
                <w:left w:val="none" w:sz="0" w:space="0" w:color="auto"/>
                <w:bottom w:val="none" w:sz="0" w:space="0" w:color="auto"/>
                <w:right w:val="none" w:sz="0" w:space="0" w:color="auto"/>
              </w:divBdr>
            </w:div>
          </w:divsChild>
        </w:div>
        <w:div w:id="75709140">
          <w:marLeft w:val="0"/>
          <w:marRight w:val="0"/>
          <w:marTop w:val="0"/>
          <w:marBottom w:val="0"/>
          <w:divBdr>
            <w:top w:val="none" w:sz="0" w:space="0" w:color="auto"/>
            <w:left w:val="none" w:sz="0" w:space="0" w:color="auto"/>
            <w:bottom w:val="none" w:sz="0" w:space="0" w:color="auto"/>
            <w:right w:val="none" w:sz="0" w:space="0" w:color="auto"/>
          </w:divBdr>
          <w:divsChild>
            <w:div w:id="1811248456">
              <w:marLeft w:val="0"/>
              <w:marRight w:val="0"/>
              <w:marTop w:val="0"/>
              <w:marBottom w:val="0"/>
              <w:divBdr>
                <w:top w:val="none" w:sz="0" w:space="0" w:color="auto"/>
                <w:left w:val="none" w:sz="0" w:space="0" w:color="auto"/>
                <w:bottom w:val="none" w:sz="0" w:space="0" w:color="auto"/>
                <w:right w:val="none" w:sz="0" w:space="0" w:color="auto"/>
              </w:divBdr>
            </w:div>
          </w:divsChild>
        </w:div>
        <w:div w:id="78868096">
          <w:marLeft w:val="0"/>
          <w:marRight w:val="0"/>
          <w:marTop w:val="0"/>
          <w:marBottom w:val="0"/>
          <w:divBdr>
            <w:top w:val="none" w:sz="0" w:space="0" w:color="auto"/>
            <w:left w:val="none" w:sz="0" w:space="0" w:color="auto"/>
            <w:bottom w:val="none" w:sz="0" w:space="0" w:color="auto"/>
            <w:right w:val="none" w:sz="0" w:space="0" w:color="auto"/>
          </w:divBdr>
          <w:divsChild>
            <w:div w:id="1353603535">
              <w:marLeft w:val="0"/>
              <w:marRight w:val="0"/>
              <w:marTop w:val="0"/>
              <w:marBottom w:val="0"/>
              <w:divBdr>
                <w:top w:val="none" w:sz="0" w:space="0" w:color="auto"/>
                <w:left w:val="none" w:sz="0" w:space="0" w:color="auto"/>
                <w:bottom w:val="none" w:sz="0" w:space="0" w:color="auto"/>
                <w:right w:val="none" w:sz="0" w:space="0" w:color="auto"/>
              </w:divBdr>
            </w:div>
          </w:divsChild>
        </w:div>
        <w:div w:id="85274042">
          <w:marLeft w:val="0"/>
          <w:marRight w:val="0"/>
          <w:marTop w:val="0"/>
          <w:marBottom w:val="0"/>
          <w:divBdr>
            <w:top w:val="none" w:sz="0" w:space="0" w:color="auto"/>
            <w:left w:val="none" w:sz="0" w:space="0" w:color="auto"/>
            <w:bottom w:val="none" w:sz="0" w:space="0" w:color="auto"/>
            <w:right w:val="none" w:sz="0" w:space="0" w:color="auto"/>
          </w:divBdr>
          <w:divsChild>
            <w:div w:id="813762230">
              <w:marLeft w:val="0"/>
              <w:marRight w:val="0"/>
              <w:marTop w:val="0"/>
              <w:marBottom w:val="0"/>
              <w:divBdr>
                <w:top w:val="none" w:sz="0" w:space="0" w:color="auto"/>
                <w:left w:val="none" w:sz="0" w:space="0" w:color="auto"/>
                <w:bottom w:val="none" w:sz="0" w:space="0" w:color="auto"/>
                <w:right w:val="none" w:sz="0" w:space="0" w:color="auto"/>
              </w:divBdr>
            </w:div>
          </w:divsChild>
        </w:div>
        <w:div w:id="92479426">
          <w:marLeft w:val="0"/>
          <w:marRight w:val="0"/>
          <w:marTop w:val="0"/>
          <w:marBottom w:val="0"/>
          <w:divBdr>
            <w:top w:val="none" w:sz="0" w:space="0" w:color="auto"/>
            <w:left w:val="none" w:sz="0" w:space="0" w:color="auto"/>
            <w:bottom w:val="none" w:sz="0" w:space="0" w:color="auto"/>
            <w:right w:val="none" w:sz="0" w:space="0" w:color="auto"/>
          </w:divBdr>
          <w:divsChild>
            <w:div w:id="457721397">
              <w:marLeft w:val="0"/>
              <w:marRight w:val="0"/>
              <w:marTop w:val="0"/>
              <w:marBottom w:val="0"/>
              <w:divBdr>
                <w:top w:val="none" w:sz="0" w:space="0" w:color="auto"/>
                <w:left w:val="none" w:sz="0" w:space="0" w:color="auto"/>
                <w:bottom w:val="none" w:sz="0" w:space="0" w:color="auto"/>
                <w:right w:val="none" w:sz="0" w:space="0" w:color="auto"/>
              </w:divBdr>
            </w:div>
          </w:divsChild>
        </w:div>
        <w:div w:id="110244035">
          <w:marLeft w:val="0"/>
          <w:marRight w:val="0"/>
          <w:marTop w:val="0"/>
          <w:marBottom w:val="0"/>
          <w:divBdr>
            <w:top w:val="none" w:sz="0" w:space="0" w:color="auto"/>
            <w:left w:val="none" w:sz="0" w:space="0" w:color="auto"/>
            <w:bottom w:val="none" w:sz="0" w:space="0" w:color="auto"/>
            <w:right w:val="none" w:sz="0" w:space="0" w:color="auto"/>
          </w:divBdr>
          <w:divsChild>
            <w:div w:id="1894075287">
              <w:marLeft w:val="0"/>
              <w:marRight w:val="0"/>
              <w:marTop w:val="0"/>
              <w:marBottom w:val="0"/>
              <w:divBdr>
                <w:top w:val="none" w:sz="0" w:space="0" w:color="auto"/>
                <w:left w:val="none" w:sz="0" w:space="0" w:color="auto"/>
                <w:bottom w:val="none" w:sz="0" w:space="0" w:color="auto"/>
                <w:right w:val="none" w:sz="0" w:space="0" w:color="auto"/>
              </w:divBdr>
            </w:div>
          </w:divsChild>
        </w:div>
        <w:div w:id="112479870">
          <w:marLeft w:val="0"/>
          <w:marRight w:val="0"/>
          <w:marTop w:val="0"/>
          <w:marBottom w:val="0"/>
          <w:divBdr>
            <w:top w:val="none" w:sz="0" w:space="0" w:color="auto"/>
            <w:left w:val="none" w:sz="0" w:space="0" w:color="auto"/>
            <w:bottom w:val="none" w:sz="0" w:space="0" w:color="auto"/>
            <w:right w:val="none" w:sz="0" w:space="0" w:color="auto"/>
          </w:divBdr>
          <w:divsChild>
            <w:div w:id="308949376">
              <w:marLeft w:val="0"/>
              <w:marRight w:val="0"/>
              <w:marTop w:val="0"/>
              <w:marBottom w:val="0"/>
              <w:divBdr>
                <w:top w:val="none" w:sz="0" w:space="0" w:color="auto"/>
                <w:left w:val="none" w:sz="0" w:space="0" w:color="auto"/>
                <w:bottom w:val="none" w:sz="0" w:space="0" w:color="auto"/>
                <w:right w:val="none" w:sz="0" w:space="0" w:color="auto"/>
              </w:divBdr>
            </w:div>
          </w:divsChild>
        </w:div>
        <w:div w:id="119034226">
          <w:marLeft w:val="0"/>
          <w:marRight w:val="0"/>
          <w:marTop w:val="0"/>
          <w:marBottom w:val="0"/>
          <w:divBdr>
            <w:top w:val="none" w:sz="0" w:space="0" w:color="auto"/>
            <w:left w:val="none" w:sz="0" w:space="0" w:color="auto"/>
            <w:bottom w:val="none" w:sz="0" w:space="0" w:color="auto"/>
            <w:right w:val="none" w:sz="0" w:space="0" w:color="auto"/>
          </w:divBdr>
          <w:divsChild>
            <w:div w:id="1406296211">
              <w:marLeft w:val="0"/>
              <w:marRight w:val="0"/>
              <w:marTop w:val="0"/>
              <w:marBottom w:val="0"/>
              <w:divBdr>
                <w:top w:val="none" w:sz="0" w:space="0" w:color="auto"/>
                <w:left w:val="none" w:sz="0" w:space="0" w:color="auto"/>
                <w:bottom w:val="none" w:sz="0" w:space="0" w:color="auto"/>
                <w:right w:val="none" w:sz="0" w:space="0" w:color="auto"/>
              </w:divBdr>
            </w:div>
          </w:divsChild>
        </w:div>
        <w:div w:id="126120087">
          <w:marLeft w:val="0"/>
          <w:marRight w:val="0"/>
          <w:marTop w:val="0"/>
          <w:marBottom w:val="0"/>
          <w:divBdr>
            <w:top w:val="none" w:sz="0" w:space="0" w:color="auto"/>
            <w:left w:val="none" w:sz="0" w:space="0" w:color="auto"/>
            <w:bottom w:val="none" w:sz="0" w:space="0" w:color="auto"/>
            <w:right w:val="none" w:sz="0" w:space="0" w:color="auto"/>
          </w:divBdr>
          <w:divsChild>
            <w:div w:id="2061780116">
              <w:marLeft w:val="0"/>
              <w:marRight w:val="0"/>
              <w:marTop w:val="0"/>
              <w:marBottom w:val="0"/>
              <w:divBdr>
                <w:top w:val="none" w:sz="0" w:space="0" w:color="auto"/>
                <w:left w:val="none" w:sz="0" w:space="0" w:color="auto"/>
                <w:bottom w:val="none" w:sz="0" w:space="0" w:color="auto"/>
                <w:right w:val="none" w:sz="0" w:space="0" w:color="auto"/>
              </w:divBdr>
            </w:div>
          </w:divsChild>
        </w:div>
        <w:div w:id="127093630">
          <w:marLeft w:val="0"/>
          <w:marRight w:val="0"/>
          <w:marTop w:val="0"/>
          <w:marBottom w:val="0"/>
          <w:divBdr>
            <w:top w:val="none" w:sz="0" w:space="0" w:color="auto"/>
            <w:left w:val="none" w:sz="0" w:space="0" w:color="auto"/>
            <w:bottom w:val="none" w:sz="0" w:space="0" w:color="auto"/>
            <w:right w:val="none" w:sz="0" w:space="0" w:color="auto"/>
          </w:divBdr>
          <w:divsChild>
            <w:div w:id="1344091263">
              <w:marLeft w:val="0"/>
              <w:marRight w:val="0"/>
              <w:marTop w:val="0"/>
              <w:marBottom w:val="0"/>
              <w:divBdr>
                <w:top w:val="none" w:sz="0" w:space="0" w:color="auto"/>
                <w:left w:val="none" w:sz="0" w:space="0" w:color="auto"/>
                <w:bottom w:val="none" w:sz="0" w:space="0" w:color="auto"/>
                <w:right w:val="none" w:sz="0" w:space="0" w:color="auto"/>
              </w:divBdr>
            </w:div>
          </w:divsChild>
        </w:div>
        <w:div w:id="131295865">
          <w:marLeft w:val="0"/>
          <w:marRight w:val="0"/>
          <w:marTop w:val="0"/>
          <w:marBottom w:val="0"/>
          <w:divBdr>
            <w:top w:val="none" w:sz="0" w:space="0" w:color="auto"/>
            <w:left w:val="none" w:sz="0" w:space="0" w:color="auto"/>
            <w:bottom w:val="none" w:sz="0" w:space="0" w:color="auto"/>
            <w:right w:val="none" w:sz="0" w:space="0" w:color="auto"/>
          </w:divBdr>
          <w:divsChild>
            <w:div w:id="1694763963">
              <w:marLeft w:val="0"/>
              <w:marRight w:val="0"/>
              <w:marTop w:val="0"/>
              <w:marBottom w:val="0"/>
              <w:divBdr>
                <w:top w:val="none" w:sz="0" w:space="0" w:color="auto"/>
                <w:left w:val="none" w:sz="0" w:space="0" w:color="auto"/>
                <w:bottom w:val="none" w:sz="0" w:space="0" w:color="auto"/>
                <w:right w:val="none" w:sz="0" w:space="0" w:color="auto"/>
              </w:divBdr>
            </w:div>
          </w:divsChild>
        </w:div>
        <w:div w:id="134030204">
          <w:marLeft w:val="0"/>
          <w:marRight w:val="0"/>
          <w:marTop w:val="0"/>
          <w:marBottom w:val="0"/>
          <w:divBdr>
            <w:top w:val="none" w:sz="0" w:space="0" w:color="auto"/>
            <w:left w:val="none" w:sz="0" w:space="0" w:color="auto"/>
            <w:bottom w:val="none" w:sz="0" w:space="0" w:color="auto"/>
            <w:right w:val="none" w:sz="0" w:space="0" w:color="auto"/>
          </w:divBdr>
          <w:divsChild>
            <w:div w:id="431436440">
              <w:marLeft w:val="0"/>
              <w:marRight w:val="0"/>
              <w:marTop w:val="0"/>
              <w:marBottom w:val="0"/>
              <w:divBdr>
                <w:top w:val="none" w:sz="0" w:space="0" w:color="auto"/>
                <w:left w:val="none" w:sz="0" w:space="0" w:color="auto"/>
                <w:bottom w:val="none" w:sz="0" w:space="0" w:color="auto"/>
                <w:right w:val="none" w:sz="0" w:space="0" w:color="auto"/>
              </w:divBdr>
            </w:div>
          </w:divsChild>
        </w:div>
        <w:div w:id="138498307">
          <w:marLeft w:val="0"/>
          <w:marRight w:val="0"/>
          <w:marTop w:val="0"/>
          <w:marBottom w:val="0"/>
          <w:divBdr>
            <w:top w:val="none" w:sz="0" w:space="0" w:color="auto"/>
            <w:left w:val="none" w:sz="0" w:space="0" w:color="auto"/>
            <w:bottom w:val="none" w:sz="0" w:space="0" w:color="auto"/>
            <w:right w:val="none" w:sz="0" w:space="0" w:color="auto"/>
          </w:divBdr>
          <w:divsChild>
            <w:div w:id="2118871157">
              <w:marLeft w:val="0"/>
              <w:marRight w:val="0"/>
              <w:marTop w:val="0"/>
              <w:marBottom w:val="0"/>
              <w:divBdr>
                <w:top w:val="none" w:sz="0" w:space="0" w:color="auto"/>
                <w:left w:val="none" w:sz="0" w:space="0" w:color="auto"/>
                <w:bottom w:val="none" w:sz="0" w:space="0" w:color="auto"/>
                <w:right w:val="none" w:sz="0" w:space="0" w:color="auto"/>
              </w:divBdr>
            </w:div>
          </w:divsChild>
        </w:div>
        <w:div w:id="144517598">
          <w:marLeft w:val="0"/>
          <w:marRight w:val="0"/>
          <w:marTop w:val="0"/>
          <w:marBottom w:val="0"/>
          <w:divBdr>
            <w:top w:val="none" w:sz="0" w:space="0" w:color="auto"/>
            <w:left w:val="none" w:sz="0" w:space="0" w:color="auto"/>
            <w:bottom w:val="none" w:sz="0" w:space="0" w:color="auto"/>
            <w:right w:val="none" w:sz="0" w:space="0" w:color="auto"/>
          </w:divBdr>
          <w:divsChild>
            <w:div w:id="944267494">
              <w:marLeft w:val="0"/>
              <w:marRight w:val="0"/>
              <w:marTop w:val="0"/>
              <w:marBottom w:val="0"/>
              <w:divBdr>
                <w:top w:val="none" w:sz="0" w:space="0" w:color="auto"/>
                <w:left w:val="none" w:sz="0" w:space="0" w:color="auto"/>
                <w:bottom w:val="none" w:sz="0" w:space="0" w:color="auto"/>
                <w:right w:val="none" w:sz="0" w:space="0" w:color="auto"/>
              </w:divBdr>
            </w:div>
          </w:divsChild>
        </w:div>
        <w:div w:id="149567826">
          <w:marLeft w:val="0"/>
          <w:marRight w:val="0"/>
          <w:marTop w:val="0"/>
          <w:marBottom w:val="0"/>
          <w:divBdr>
            <w:top w:val="none" w:sz="0" w:space="0" w:color="auto"/>
            <w:left w:val="none" w:sz="0" w:space="0" w:color="auto"/>
            <w:bottom w:val="none" w:sz="0" w:space="0" w:color="auto"/>
            <w:right w:val="none" w:sz="0" w:space="0" w:color="auto"/>
          </w:divBdr>
          <w:divsChild>
            <w:div w:id="1798797174">
              <w:marLeft w:val="0"/>
              <w:marRight w:val="0"/>
              <w:marTop w:val="0"/>
              <w:marBottom w:val="0"/>
              <w:divBdr>
                <w:top w:val="none" w:sz="0" w:space="0" w:color="auto"/>
                <w:left w:val="none" w:sz="0" w:space="0" w:color="auto"/>
                <w:bottom w:val="none" w:sz="0" w:space="0" w:color="auto"/>
                <w:right w:val="none" w:sz="0" w:space="0" w:color="auto"/>
              </w:divBdr>
            </w:div>
          </w:divsChild>
        </w:div>
        <w:div w:id="151534597">
          <w:marLeft w:val="0"/>
          <w:marRight w:val="0"/>
          <w:marTop w:val="0"/>
          <w:marBottom w:val="0"/>
          <w:divBdr>
            <w:top w:val="none" w:sz="0" w:space="0" w:color="auto"/>
            <w:left w:val="none" w:sz="0" w:space="0" w:color="auto"/>
            <w:bottom w:val="none" w:sz="0" w:space="0" w:color="auto"/>
            <w:right w:val="none" w:sz="0" w:space="0" w:color="auto"/>
          </w:divBdr>
          <w:divsChild>
            <w:div w:id="1871456175">
              <w:marLeft w:val="0"/>
              <w:marRight w:val="0"/>
              <w:marTop w:val="0"/>
              <w:marBottom w:val="0"/>
              <w:divBdr>
                <w:top w:val="none" w:sz="0" w:space="0" w:color="auto"/>
                <w:left w:val="none" w:sz="0" w:space="0" w:color="auto"/>
                <w:bottom w:val="none" w:sz="0" w:space="0" w:color="auto"/>
                <w:right w:val="none" w:sz="0" w:space="0" w:color="auto"/>
              </w:divBdr>
            </w:div>
          </w:divsChild>
        </w:div>
        <w:div w:id="153185798">
          <w:marLeft w:val="0"/>
          <w:marRight w:val="0"/>
          <w:marTop w:val="0"/>
          <w:marBottom w:val="0"/>
          <w:divBdr>
            <w:top w:val="none" w:sz="0" w:space="0" w:color="auto"/>
            <w:left w:val="none" w:sz="0" w:space="0" w:color="auto"/>
            <w:bottom w:val="none" w:sz="0" w:space="0" w:color="auto"/>
            <w:right w:val="none" w:sz="0" w:space="0" w:color="auto"/>
          </w:divBdr>
          <w:divsChild>
            <w:div w:id="28461271">
              <w:marLeft w:val="0"/>
              <w:marRight w:val="0"/>
              <w:marTop w:val="0"/>
              <w:marBottom w:val="0"/>
              <w:divBdr>
                <w:top w:val="none" w:sz="0" w:space="0" w:color="auto"/>
                <w:left w:val="none" w:sz="0" w:space="0" w:color="auto"/>
                <w:bottom w:val="none" w:sz="0" w:space="0" w:color="auto"/>
                <w:right w:val="none" w:sz="0" w:space="0" w:color="auto"/>
              </w:divBdr>
            </w:div>
          </w:divsChild>
        </w:div>
        <w:div w:id="153956285">
          <w:marLeft w:val="0"/>
          <w:marRight w:val="0"/>
          <w:marTop w:val="0"/>
          <w:marBottom w:val="0"/>
          <w:divBdr>
            <w:top w:val="none" w:sz="0" w:space="0" w:color="auto"/>
            <w:left w:val="none" w:sz="0" w:space="0" w:color="auto"/>
            <w:bottom w:val="none" w:sz="0" w:space="0" w:color="auto"/>
            <w:right w:val="none" w:sz="0" w:space="0" w:color="auto"/>
          </w:divBdr>
          <w:divsChild>
            <w:div w:id="677653918">
              <w:marLeft w:val="0"/>
              <w:marRight w:val="0"/>
              <w:marTop w:val="0"/>
              <w:marBottom w:val="0"/>
              <w:divBdr>
                <w:top w:val="none" w:sz="0" w:space="0" w:color="auto"/>
                <w:left w:val="none" w:sz="0" w:space="0" w:color="auto"/>
                <w:bottom w:val="none" w:sz="0" w:space="0" w:color="auto"/>
                <w:right w:val="none" w:sz="0" w:space="0" w:color="auto"/>
              </w:divBdr>
            </w:div>
          </w:divsChild>
        </w:div>
        <w:div w:id="174006614">
          <w:marLeft w:val="0"/>
          <w:marRight w:val="0"/>
          <w:marTop w:val="0"/>
          <w:marBottom w:val="0"/>
          <w:divBdr>
            <w:top w:val="none" w:sz="0" w:space="0" w:color="auto"/>
            <w:left w:val="none" w:sz="0" w:space="0" w:color="auto"/>
            <w:bottom w:val="none" w:sz="0" w:space="0" w:color="auto"/>
            <w:right w:val="none" w:sz="0" w:space="0" w:color="auto"/>
          </w:divBdr>
          <w:divsChild>
            <w:div w:id="10841856">
              <w:marLeft w:val="0"/>
              <w:marRight w:val="0"/>
              <w:marTop w:val="0"/>
              <w:marBottom w:val="0"/>
              <w:divBdr>
                <w:top w:val="none" w:sz="0" w:space="0" w:color="auto"/>
                <w:left w:val="none" w:sz="0" w:space="0" w:color="auto"/>
                <w:bottom w:val="none" w:sz="0" w:space="0" w:color="auto"/>
                <w:right w:val="none" w:sz="0" w:space="0" w:color="auto"/>
              </w:divBdr>
            </w:div>
          </w:divsChild>
        </w:div>
        <w:div w:id="176189540">
          <w:marLeft w:val="0"/>
          <w:marRight w:val="0"/>
          <w:marTop w:val="0"/>
          <w:marBottom w:val="0"/>
          <w:divBdr>
            <w:top w:val="none" w:sz="0" w:space="0" w:color="auto"/>
            <w:left w:val="none" w:sz="0" w:space="0" w:color="auto"/>
            <w:bottom w:val="none" w:sz="0" w:space="0" w:color="auto"/>
            <w:right w:val="none" w:sz="0" w:space="0" w:color="auto"/>
          </w:divBdr>
          <w:divsChild>
            <w:div w:id="683938093">
              <w:marLeft w:val="0"/>
              <w:marRight w:val="0"/>
              <w:marTop w:val="0"/>
              <w:marBottom w:val="0"/>
              <w:divBdr>
                <w:top w:val="none" w:sz="0" w:space="0" w:color="auto"/>
                <w:left w:val="none" w:sz="0" w:space="0" w:color="auto"/>
                <w:bottom w:val="none" w:sz="0" w:space="0" w:color="auto"/>
                <w:right w:val="none" w:sz="0" w:space="0" w:color="auto"/>
              </w:divBdr>
            </w:div>
          </w:divsChild>
        </w:div>
        <w:div w:id="198979763">
          <w:marLeft w:val="0"/>
          <w:marRight w:val="0"/>
          <w:marTop w:val="0"/>
          <w:marBottom w:val="0"/>
          <w:divBdr>
            <w:top w:val="none" w:sz="0" w:space="0" w:color="auto"/>
            <w:left w:val="none" w:sz="0" w:space="0" w:color="auto"/>
            <w:bottom w:val="none" w:sz="0" w:space="0" w:color="auto"/>
            <w:right w:val="none" w:sz="0" w:space="0" w:color="auto"/>
          </w:divBdr>
          <w:divsChild>
            <w:div w:id="114951505">
              <w:marLeft w:val="0"/>
              <w:marRight w:val="0"/>
              <w:marTop w:val="0"/>
              <w:marBottom w:val="0"/>
              <w:divBdr>
                <w:top w:val="none" w:sz="0" w:space="0" w:color="auto"/>
                <w:left w:val="none" w:sz="0" w:space="0" w:color="auto"/>
                <w:bottom w:val="none" w:sz="0" w:space="0" w:color="auto"/>
                <w:right w:val="none" w:sz="0" w:space="0" w:color="auto"/>
              </w:divBdr>
            </w:div>
          </w:divsChild>
        </w:div>
        <w:div w:id="199049629">
          <w:marLeft w:val="0"/>
          <w:marRight w:val="0"/>
          <w:marTop w:val="0"/>
          <w:marBottom w:val="0"/>
          <w:divBdr>
            <w:top w:val="none" w:sz="0" w:space="0" w:color="auto"/>
            <w:left w:val="none" w:sz="0" w:space="0" w:color="auto"/>
            <w:bottom w:val="none" w:sz="0" w:space="0" w:color="auto"/>
            <w:right w:val="none" w:sz="0" w:space="0" w:color="auto"/>
          </w:divBdr>
          <w:divsChild>
            <w:div w:id="1316297380">
              <w:marLeft w:val="0"/>
              <w:marRight w:val="0"/>
              <w:marTop w:val="0"/>
              <w:marBottom w:val="0"/>
              <w:divBdr>
                <w:top w:val="none" w:sz="0" w:space="0" w:color="auto"/>
                <w:left w:val="none" w:sz="0" w:space="0" w:color="auto"/>
                <w:bottom w:val="none" w:sz="0" w:space="0" w:color="auto"/>
                <w:right w:val="none" w:sz="0" w:space="0" w:color="auto"/>
              </w:divBdr>
            </w:div>
          </w:divsChild>
        </w:div>
        <w:div w:id="201476797">
          <w:marLeft w:val="0"/>
          <w:marRight w:val="0"/>
          <w:marTop w:val="0"/>
          <w:marBottom w:val="0"/>
          <w:divBdr>
            <w:top w:val="none" w:sz="0" w:space="0" w:color="auto"/>
            <w:left w:val="none" w:sz="0" w:space="0" w:color="auto"/>
            <w:bottom w:val="none" w:sz="0" w:space="0" w:color="auto"/>
            <w:right w:val="none" w:sz="0" w:space="0" w:color="auto"/>
          </w:divBdr>
          <w:divsChild>
            <w:div w:id="700786738">
              <w:marLeft w:val="0"/>
              <w:marRight w:val="0"/>
              <w:marTop w:val="0"/>
              <w:marBottom w:val="0"/>
              <w:divBdr>
                <w:top w:val="none" w:sz="0" w:space="0" w:color="auto"/>
                <w:left w:val="none" w:sz="0" w:space="0" w:color="auto"/>
                <w:bottom w:val="none" w:sz="0" w:space="0" w:color="auto"/>
                <w:right w:val="none" w:sz="0" w:space="0" w:color="auto"/>
              </w:divBdr>
            </w:div>
          </w:divsChild>
        </w:div>
        <w:div w:id="204030680">
          <w:marLeft w:val="0"/>
          <w:marRight w:val="0"/>
          <w:marTop w:val="0"/>
          <w:marBottom w:val="0"/>
          <w:divBdr>
            <w:top w:val="none" w:sz="0" w:space="0" w:color="auto"/>
            <w:left w:val="none" w:sz="0" w:space="0" w:color="auto"/>
            <w:bottom w:val="none" w:sz="0" w:space="0" w:color="auto"/>
            <w:right w:val="none" w:sz="0" w:space="0" w:color="auto"/>
          </w:divBdr>
          <w:divsChild>
            <w:div w:id="1715617463">
              <w:marLeft w:val="0"/>
              <w:marRight w:val="0"/>
              <w:marTop w:val="0"/>
              <w:marBottom w:val="0"/>
              <w:divBdr>
                <w:top w:val="none" w:sz="0" w:space="0" w:color="auto"/>
                <w:left w:val="none" w:sz="0" w:space="0" w:color="auto"/>
                <w:bottom w:val="none" w:sz="0" w:space="0" w:color="auto"/>
                <w:right w:val="none" w:sz="0" w:space="0" w:color="auto"/>
              </w:divBdr>
            </w:div>
          </w:divsChild>
        </w:div>
        <w:div w:id="204761707">
          <w:marLeft w:val="0"/>
          <w:marRight w:val="0"/>
          <w:marTop w:val="0"/>
          <w:marBottom w:val="0"/>
          <w:divBdr>
            <w:top w:val="none" w:sz="0" w:space="0" w:color="auto"/>
            <w:left w:val="none" w:sz="0" w:space="0" w:color="auto"/>
            <w:bottom w:val="none" w:sz="0" w:space="0" w:color="auto"/>
            <w:right w:val="none" w:sz="0" w:space="0" w:color="auto"/>
          </w:divBdr>
          <w:divsChild>
            <w:div w:id="13698632">
              <w:marLeft w:val="0"/>
              <w:marRight w:val="0"/>
              <w:marTop w:val="0"/>
              <w:marBottom w:val="0"/>
              <w:divBdr>
                <w:top w:val="none" w:sz="0" w:space="0" w:color="auto"/>
                <w:left w:val="none" w:sz="0" w:space="0" w:color="auto"/>
                <w:bottom w:val="none" w:sz="0" w:space="0" w:color="auto"/>
                <w:right w:val="none" w:sz="0" w:space="0" w:color="auto"/>
              </w:divBdr>
            </w:div>
          </w:divsChild>
        </w:div>
        <w:div w:id="208953498">
          <w:marLeft w:val="0"/>
          <w:marRight w:val="0"/>
          <w:marTop w:val="0"/>
          <w:marBottom w:val="0"/>
          <w:divBdr>
            <w:top w:val="none" w:sz="0" w:space="0" w:color="auto"/>
            <w:left w:val="none" w:sz="0" w:space="0" w:color="auto"/>
            <w:bottom w:val="none" w:sz="0" w:space="0" w:color="auto"/>
            <w:right w:val="none" w:sz="0" w:space="0" w:color="auto"/>
          </w:divBdr>
          <w:divsChild>
            <w:div w:id="2079210137">
              <w:marLeft w:val="0"/>
              <w:marRight w:val="0"/>
              <w:marTop w:val="0"/>
              <w:marBottom w:val="0"/>
              <w:divBdr>
                <w:top w:val="none" w:sz="0" w:space="0" w:color="auto"/>
                <w:left w:val="none" w:sz="0" w:space="0" w:color="auto"/>
                <w:bottom w:val="none" w:sz="0" w:space="0" w:color="auto"/>
                <w:right w:val="none" w:sz="0" w:space="0" w:color="auto"/>
              </w:divBdr>
            </w:div>
          </w:divsChild>
        </w:div>
        <w:div w:id="209802661">
          <w:marLeft w:val="0"/>
          <w:marRight w:val="0"/>
          <w:marTop w:val="0"/>
          <w:marBottom w:val="0"/>
          <w:divBdr>
            <w:top w:val="none" w:sz="0" w:space="0" w:color="auto"/>
            <w:left w:val="none" w:sz="0" w:space="0" w:color="auto"/>
            <w:bottom w:val="none" w:sz="0" w:space="0" w:color="auto"/>
            <w:right w:val="none" w:sz="0" w:space="0" w:color="auto"/>
          </w:divBdr>
          <w:divsChild>
            <w:div w:id="793254263">
              <w:marLeft w:val="0"/>
              <w:marRight w:val="0"/>
              <w:marTop w:val="0"/>
              <w:marBottom w:val="0"/>
              <w:divBdr>
                <w:top w:val="none" w:sz="0" w:space="0" w:color="auto"/>
                <w:left w:val="none" w:sz="0" w:space="0" w:color="auto"/>
                <w:bottom w:val="none" w:sz="0" w:space="0" w:color="auto"/>
                <w:right w:val="none" w:sz="0" w:space="0" w:color="auto"/>
              </w:divBdr>
            </w:div>
          </w:divsChild>
        </w:div>
        <w:div w:id="212625302">
          <w:marLeft w:val="0"/>
          <w:marRight w:val="0"/>
          <w:marTop w:val="0"/>
          <w:marBottom w:val="0"/>
          <w:divBdr>
            <w:top w:val="none" w:sz="0" w:space="0" w:color="auto"/>
            <w:left w:val="none" w:sz="0" w:space="0" w:color="auto"/>
            <w:bottom w:val="none" w:sz="0" w:space="0" w:color="auto"/>
            <w:right w:val="none" w:sz="0" w:space="0" w:color="auto"/>
          </w:divBdr>
          <w:divsChild>
            <w:div w:id="1980841875">
              <w:marLeft w:val="0"/>
              <w:marRight w:val="0"/>
              <w:marTop w:val="0"/>
              <w:marBottom w:val="0"/>
              <w:divBdr>
                <w:top w:val="none" w:sz="0" w:space="0" w:color="auto"/>
                <w:left w:val="none" w:sz="0" w:space="0" w:color="auto"/>
                <w:bottom w:val="none" w:sz="0" w:space="0" w:color="auto"/>
                <w:right w:val="none" w:sz="0" w:space="0" w:color="auto"/>
              </w:divBdr>
            </w:div>
          </w:divsChild>
        </w:div>
        <w:div w:id="217514916">
          <w:marLeft w:val="0"/>
          <w:marRight w:val="0"/>
          <w:marTop w:val="0"/>
          <w:marBottom w:val="0"/>
          <w:divBdr>
            <w:top w:val="none" w:sz="0" w:space="0" w:color="auto"/>
            <w:left w:val="none" w:sz="0" w:space="0" w:color="auto"/>
            <w:bottom w:val="none" w:sz="0" w:space="0" w:color="auto"/>
            <w:right w:val="none" w:sz="0" w:space="0" w:color="auto"/>
          </w:divBdr>
          <w:divsChild>
            <w:div w:id="7416368">
              <w:marLeft w:val="0"/>
              <w:marRight w:val="0"/>
              <w:marTop w:val="0"/>
              <w:marBottom w:val="0"/>
              <w:divBdr>
                <w:top w:val="none" w:sz="0" w:space="0" w:color="auto"/>
                <w:left w:val="none" w:sz="0" w:space="0" w:color="auto"/>
                <w:bottom w:val="none" w:sz="0" w:space="0" w:color="auto"/>
                <w:right w:val="none" w:sz="0" w:space="0" w:color="auto"/>
              </w:divBdr>
            </w:div>
          </w:divsChild>
        </w:div>
        <w:div w:id="233593457">
          <w:marLeft w:val="0"/>
          <w:marRight w:val="0"/>
          <w:marTop w:val="0"/>
          <w:marBottom w:val="0"/>
          <w:divBdr>
            <w:top w:val="none" w:sz="0" w:space="0" w:color="auto"/>
            <w:left w:val="none" w:sz="0" w:space="0" w:color="auto"/>
            <w:bottom w:val="none" w:sz="0" w:space="0" w:color="auto"/>
            <w:right w:val="none" w:sz="0" w:space="0" w:color="auto"/>
          </w:divBdr>
          <w:divsChild>
            <w:div w:id="947813442">
              <w:marLeft w:val="0"/>
              <w:marRight w:val="0"/>
              <w:marTop w:val="0"/>
              <w:marBottom w:val="0"/>
              <w:divBdr>
                <w:top w:val="none" w:sz="0" w:space="0" w:color="auto"/>
                <w:left w:val="none" w:sz="0" w:space="0" w:color="auto"/>
                <w:bottom w:val="none" w:sz="0" w:space="0" w:color="auto"/>
                <w:right w:val="none" w:sz="0" w:space="0" w:color="auto"/>
              </w:divBdr>
            </w:div>
          </w:divsChild>
        </w:div>
        <w:div w:id="243421735">
          <w:marLeft w:val="0"/>
          <w:marRight w:val="0"/>
          <w:marTop w:val="0"/>
          <w:marBottom w:val="0"/>
          <w:divBdr>
            <w:top w:val="none" w:sz="0" w:space="0" w:color="auto"/>
            <w:left w:val="none" w:sz="0" w:space="0" w:color="auto"/>
            <w:bottom w:val="none" w:sz="0" w:space="0" w:color="auto"/>
            <w:right w:val="none" w:sz="0" w:space="0" w:color="auto"/>
          </w:divBdr>
          <w:divsChild>
            <w:div w:id="1186821145">
              <w:marLeft w:val="0"/>
              <w:marRight w:val="0"/>
              <w:marTop w:val="0"/>
              <w:marBottom w:val="0"/>
              <w:divBdr>
                <w:top w:val="none" w:sz="0" w:space="0" w:color="auto"/>
                <w:left w:val="none" w:sz="0" w:space="0" w:color="auto"/>
                <w:bottom w:val="none" w:sz="0" w:space="0" w:color="auto"/>
                <w:right w:val="none" w:sz="0" w:space="0" w:color="auto"/>
              </w:divBdr>
            </w:div>
          </w:divsChild>
        </w:div>
        <w:div w:id="244343094">
          <w:marLeft w:val="0"/>
          <w:marRight w:val="0"/>
          <w:marTop w:val="0"/>
          <w:marBottom w:val="0"/>
          <w:divBdr>
            <w:top w:val="none" w:sz="0" w:space="0" w:color="auto"/>
            <w:left w:val="none" w:sz="0" w:space="0" w:color="auto"/>
            <w:bottom w:val="none" w:sz="0" w:space="0" w:color="auto"/>
            <w:right w:val="none" w:sz="0" w:space="0" w:color="auto"/>
          </w:divBdr>
          <w:divsChild>
            <w:div w:id="825779401">
              <w:marLeft w:val="0"/>
              <w:marRight w:val="0"/>
              <w:marTop w:val="0"/>
              <w:marBottom w:val="0"/>
              <w:divBdr>
                <w:top w:val="none" w:sz="0" w:space="0" w:color="auto"/>
                <w:left w:val="none" w:sz="0" w:space="0" w:color="auto"/>
                <w:bottom w:val="none" w:sz="0" w:space="0" w:color="auto"/>
                <w:right w:val="none" w:sz="0" w:space="0" w:color="auto"/>
              </w:divBdr>
            </w:div>
          </w:divsChild>
        </w:div>
        <w:div w:id="246888600">
          <w:marLeft w:val="0"/>
          <w:marRight w:val="0"/>
          <w:marTop w:val="0"/>
          <w:marBottom w:val="0"/>
          <w:divBdr>
            <w:top w:val="none" w:sz="0" w:space="0" w:color="auto"/>
            <w:left w:val="none" w:sz="0" w:space="0" w:color="auto"/>
            <w:bottom w:val="none" w:sz="0" w:space="0" w:color="auto"/>
            <w:right w:val="none" w:sz="0" w:space="0" w:color="auto"/>
          </w:divBdr>
          <w:divsChild>
            <w:div w:id="1867984466">
              <w:marLeft w:val="0"/>
              <w:marRight w:val="0"/>
              <w:marTop w:val="0"/>
              <w:marBottom w:val="0"/>
              <w:divBdr>
                <w:top w:val="none" w:sz="0" w:space="0" w:color="auto"/>
                <w:left w:val="none" w:sz="0" w:space="0" w:color="auto"/>
                <w:bottom w:val="none" w:sz="0" w:space="0" w:color="auto"/>
                <w:right w:val="none" w:sz="0" w:space="0" w:color="auto"/>
              </w:divBdr>
            </w:div>
          </w:divsChild>
        </w:div>
        <w:div w:id="252280235">
          <w:marLeft w:val="0"/>
          <w:marRight w:val="0"/>
          <w:marTop w:val="0"/>
          <w:marBottom w:val="0"/>
          <w:divBdr>
            <w:top w:val="none" w:sz="0" w:space="0" w:color="auto"/>
            <w:left w:val="none" w:sz="0" w:space="0" w:color="auto"/>
            <w:bottom w:val="none" w:sz="0" w:space="0" w:color="auto"/>
            <w:right w:val="none" w:sz="0" w:space="0" w:color="auto"/>
          </w:divBdr>
          <w:divsChild>
            <w:div w:id="1464539281">
              <w:marLeft w:val="0"/>
              <w:marRight w:val="0"/>
              <w:marTop w:val="0"/>
              <w:marBottom w:val="0"/>
              <w:divBdr>
                <w:top w:val="none" w:sz="0" w:space="0" w:color="auto"/>
                <w:left w:val="none" w:sz="0" w:space="0" w:color="auto"/>
                <w:bottom w:val="none" w:sz="0" w:space="0" w:color="auto"/>
                <w:right w:val="none" w:sz="0" w:space="0" w:color="auto"/>
              </w:divBdr>
            </w:div>
          </w:divsChild>
        </w:div>
        <w:div w:id="253976194">
          <w:marLeft w:val="0"/>
          <w:marRight w:val="0"/>
          <w:marTop w:val="0"/>
          <w:marBottom w:val="0"/>
          <w:divBdr>
            <w:top w:val="none" w:sz="0" w:space="0" w:color="auto"/>
            <w:left w:val="none" w:sz="0" w:space="0" w:color="auto"/>
            <w:bottom w:val="none" w:sz="0" w:space="0" w:color="auto"/>
            <w:right w:val="none" w:sz="0" w:space="0" w:color="auto"/>
          </w:divBdr>
          <w:divsChild>
            <w:div w:id="307903369">
              <w:marLeft w:val="0"/>
              <w:marRight w:val="0"/>
              <w:marTop w:val="0"/>
              <w:marBottom w:val="0"/>
              <w:divBdr>
                <w:top w:val="none" w:sz="0" w:space="0" w:color="auto"/>
                <w:left w:val="none" w:sz="0" w:space="0" w:color="auto"/>
                <w:bottom w:val="none" w:sz="0" w:space="0" w:color="auto"/>
                <w:right w:val="none" w:sz="0" w:space="0" w:color="auto"/>
              </w:divBdr>
            </w:div>
          </w:divsChild>
        </w:div>
        <w:div w:id="269435185">
          <w:marLeft w:val="0"/>
          <w:marRight w:val="0"/>
          <w:marTop w:val="0"/>
          <w:marBottom w:val="0"/>
          <w:divBdr>
            <w:top w:val="none" w:sz="0" w:space="0" w:color="auto"/>
            <w:left w:val="none" w:sz="0" w:space="0" w:color="auto"/>
            <w:bottom w:val="none" w:sz="0" w:space="0" w:color="auto"/>
            <w:right w:val="none" w:sz="0" w:space="0" w:color="auto"/>
          </w:divBdr>
          <w:divsChild>
            <w:div w:id="1600067849">
              <w:marLeft w:val="0"/>
              <w:marRight w:val="0"/>
              <w:marTop w:val="0"/>
              <w:marBottom w:val="0"/>
              <w:divBdr>
                <w:top w:val="none" w:sz="0" w:space="0" w:color="auto"/>
                <w:left w:val="none" w:sz="0" w:space="0" w:color="auto"/>
                <w:bottom w:val="none" w:sz="0" w:space="0" w:color="auto"/>
                <w:right w:val="none" w:sz="0" w:space="0" w:color="auto"/>
              </w:divBdr>
            </w:div>
          </w:divsChild>
        </w:div>
        <w:div w:id="273824622">
          <w:marLeft w:val="0"/>
          <w:marRight w:val="0"/>
          <w:marTop w:val="0"/>
          <w:marBottom w:val="0"/>
          <w:divBdr>
            <w:top w:val="none" w:sz="0" w:space="0" w:color="auto"/>
            <w:left w:val="none" w:sz="0" w:space="0" w:color="auto"/>
            <w:bottom w:val="none" w:sz="0" w:space="0" w:color="auto"/>
            <w:right w:val="none" w:sz="0" w:space="0" w:color="auto"/>
          </w:divBdr>
          <w:divsChild>
            <w:div w:id="1080717520">
              <w:marLeft w:val="0"/>
              <w:marRight w:val="0"/>
              <w:marTop w:val="0"/>
              <w:marBottom w:val="0"/>
              <w:divBdr>
                <w:top w:val="none" w:sz="0" w:space="0" w:color="auto"/>
                <w:left w:val="none" w:sz="0" w:space="0" w:color="auto"/>
                <w:bottom w:val="none" w:sz="0" w:space="0" w:color="auto"/>
                <w:right w:val="none" w:sz="0" w:space="0" w:color="auto"/>
              </w:divBdr>
            </w:div>
          </w:divsChild>
        </w:div>
        <w:div w:id="273874980">
          <w:marLeft w:val="0"/>
          <w:marRight w:val="0"/>
          <w:marTop w:val="0"/>
          <w:marBottom w:val="0"/>
          <w:divBdr>
            <w:top w:val="none" w:sz="0" w:space="0" w:color="auto"/>
            <w:left w:val="none" w:sz="0" w:space="0" w:color="auto"/>
            <w:bottom w:val="none" w:sz="0" w:space="0" w:color="auto"/>
            <w:right w:val="none" w:sz="0" w:space="0" w:color="auto"/>
          </w:divBdr>
          <w:divsChild>
            <w:div w:id="643044874">
              <w:marLeft w:val="0"/>
              <w:marRight w:val="0"/>
              <w:marTop w:val="0"/>
              <w:marBottom w:val="0"/>
              <w:divBdr>
                <w:top w:val="none" w:sz="0" w:space="0" w:color="auto"/>
                <w:left w:val="none" w:sz="0" w:space="0" w:color="auto"/>
                <w:bottom w:val="none" w:sz="0" w:space="0" w:color="auto"/>
                <w:right w:val="none" w:sz="0" w:space="0" w:color="auto"/>
              </w:divBdr>
            </w:div>
          </w:divsChild>
        </w:div>
        <w:div w:id="278339578">
          <w:marLeft w:val="0"/>
          <w:marRight w:val="0"/>
          <w:marTop w:val="0"/>
          <w:marBottom w:val="0"/>
          <w:divBdr>
            <w:top w:val="none" w:sz="0" w:space="0" w:color="auto"/>
            <w:left w:val="none" w:sz="0" w:space="0" w:color="auto"/>
            <w:bottom w:val="none" w:sz="0" w:space="0" w:color="auto"/>
            <w:right w:val="none" w:sz="0" w:space="0" w:color="auto"/>
          </w:divBdr>
          <w:divsChild>
            <w:div w:id="1561214767">
              <w:marLeft w:val="0"/>
              <w:marRight w:val="0"/>
              <w:marTop w:val="0"/>
              <w:marBottom w:val="0"/>
              <w:divBdr>
                <w:top w:val="none" w:sz="0" w:space="0" w:color="auto"/>
                <w:left w:val="none" w:sz="0" w:space="0" w:color="auto"/>
                <w:bottom w:val="none" w:sz="0" w:space="0" w:color="auto"/>
                <w:right w:val="none" w:sz="0" w:space="0" w:color="auto"/>
              </w:divBdr>
            </w:div>
          </w:divsChild>
        </w:div>
        <w:div w:id="280773013">
          <w:marLeft w:val="0"/>
          <w:marRight w:val="0"/>
          <w:marTop w:val="0"/>
          <w:marBottom w:val="0"/>
          <w:divBdr>
            <w:top w:val="none" w:sz="0" w:space="0" w:color="auto"/>
            <w:left w:val="none" w:sz="0" w:space="0" w:color="auto"/>
            <w:bottom w:val="none" w:sz="0" w:space="0" w:color="auto"/>
            <w:right w:val="none" w:sz="0" w:space="0" w:color="auto"/>
          </w:divBdr>
          <w:divsChild>
            <w:div w:id="1740588788">
              <w:marLeft w:val="0"/>
              <w:marRight w:val="0"/>
              <w:marTop w:val="0"/>
              <w:marBottom w:val="0"/>
              <w:divBdr>
                <w:top w:val="none" w:sz="0" w:space="0" w:color="auto"/>
                <w:left w:val="none" w:sz="0" w:space="0" w:color="auto"/>
                <w:bottom w:val="none" w:sz="0" w:space="0" w:color="auto"/>
                <w:right w:val="none" w:sz="0" w:space="0" w:color="auto"/>
              </w:divBdr>
            </w:div>
          </w:divsChild>
        </w:div>
        <w:div w:id="292757846">
          <w:marLeft w:val="0"/>
          <w:marRight w:val="0"/>
          <w:marTop w:val="0"/>
          <w:marBottom w:val="0"/>
          <w:divBdr>
            <w:top w:val="none" w:sz="0" w:space="0" w:color="auto"/>
            <w:left w:val="none" w:sz="0" w:space="0" w:color="auto"/>
            <w:bottom w:val="none" w:sz="0" w:space="0" w:color="auto"/>
            <w:right w:val="none" w:sz="0" w:space="0" w:color="auto"/>
          </w:divBdr>
          <w:divsChild>
            <w:div w:id="797576854">
              <w:marLeft w:val="0"/>
              <w:marRight w:val="0"/>
              <w:marTop w:val="0"/>
              <w:marBottom w:val="0"/>
              <w:divBdr>
                <w:top w:val="none" w:sz="0" w:space="0" w:color="auto"/>
                <w:left w:val="none" w:sz="0" w:space="0" w:color="auto"/>
                <w:bottom w:val="none" w:sz="0" w:space="0" w:color="auto"/>
                <w:right w:val="none" w:sz="0" w:space="0" w:color="auto"/>
              </w:divBdr>
            </w:div>
          </w:divsChild>
        </w:div>
        <w:div w:id="293946237">
          <w:marLeft w:val="0"/>
          <w:marRight w:val="0"/>
          <w:marTop w:val="0"/>
          <w:marBottom w:val="0"/>
          <w:divBdr>
            <w:top w:val="none" w:sz="0" w:space="0" w:color="auto"/>
            <w:left w:val="none" w:sz="0" w:space="0" w:color="auto"/>
            <w:bottom w:val="none" w:sz="0" w:space="0" w:color="auto"/>
            <w:right w:val="none" w:sz="0" w:space="0" w:color="auto"/>
          </w:divBdr>
          <w:divsChild>
            <w:div w:id="116025195">
              <w:marLeft w:val="0"/>
              <w:marRight w:val="0"/>
              <w:marTop w:val="0"/>
              <w:marBottom w:val="0"/>
              <w:divBdr>
                <w:top w:val="none" w:sz="0" w:space="0" w:color="auto"/>
                <w:left w:val="none" w:sz="0" w:space="0" w:color="auto"/>
                <w:bottom w:val="none" w:sz="0" w:space="0" w:color="auto"/>
                <w:right w:val="none" w:sz="0" w:space="0" w:color="auto"/>
              </w:divBdr>
            </w:div>
          </w:divsChild>
        </w:div>
        <w:div w:id="301694112">
          <w:marLeft w:val="0"/>
          <w:marRight w:val="0"/>
          <w:marTop w:val="0"/>
          <w:marBottom w:val="0"/>
          <w:divBdr>
            <w:top w:val="none" w:sz="0" w:space="0" w:color="auto"/>
            <w:left w:val="none" w:sz="0" w:space="0" w:color="auto"/>
            <w:bottom w:val="none" w:sz="0" w:space="0" w:color="auto"/>
            <w:right w:val="none" w:sz="0" w:space="0" w:color="auto"/>
          </w:divBdr>
          <w:divsChild>
            <w:div w:id="225410337">
              <w:marLeft w:val="0"/>
              <w:marRight w:val="0"/>
              <w:marTop w:val="0"/>
              <w:marBottom w:val="0"/>
              <w:divBdr>
                <w:top w:val="none" w:sz="0" w:space="0" w:color="auto"/>
                <w:left w:val="none" w:sz="0" w:space="0" w:color="auto"/>
                <w:bottom w:val="none" w:sz="0" w:space="0" w:color="auto"/>
                <w:right w:val="none" w:sz="0" w:space="0" w:color="auto"/>
              </w:divBdr>
            </w:div>
          </w:divsChild>
        </w:div>
        <w:div w:id="309479490">
          <w:marLeft w:val="0"/>
          <w:marRight w:val="0"/>
          <w:marTop w:val="0"/>
          <w:marBottom w:val="0"/>
          <w:divBdr>
            <w:top w:val="none" w:sz="0" w:space="0" w:color="auto"/>
            <w:left w:val="none" w:sz="0" w:space="0" w:color="auto"/>
            <w:bottom w:val="none" w:sz="0" w:space="0" w:color="auto"/>
            <w:right w:val="none" w:sz="0" w:space="0" w:color="auto"/>
          </w:divBdr>
          <w:divsChild>
            <w:div w:id="1738045886">
              <w:marLeft w:val="0"/>
              <w:marRight w:val="0"/>
              <w:marTop w:val="0"/>
              <w:marBottom w:val="0"/>
              <w:divBdr>
                <w:top w:val="none" w:sz="0" w:space="0" w:color="auto"/>
                <w:left w:val="none" w:sz="0" w:space="0" w:color="auto"/>
                <w:bottom w:val="none" w:sz="0" w:space="0" w:color="auto"/>
                <w:right w:val="none" w:sz="0" w:space="0" w:color="auto"/>
              </w:divBdr>
            </w:div>
          </w:divsChild>
        </w:div>
        <w:div w:id="315501660">
          <w:marLeft w:val="0"/>
          <w:marRight w:val="0"/>
          <w:marTop w:val="0"/>
          <w:marBottom w:val="0"/>
          <w:divBdr>
            <w:top w:val="none" w:sz="0" w:space="0" w:color="auto"/>
            <w:left w:val="none" w:sz="0" w:space="0" w:color="auto"/>
            <w:bottom w:val="none" w:sz="0" w:space="0" w:color="auto"/>
            <w:right w:val="none" w:sz="0" w:space="0" w:color="auto"/>
          </w:divBdr>
          <w:divsChild>
            <w:div w:id="1479690199">
              <w:marLeft w:val="0"/>
              <w:marRight w:val="0"/>
              <w:marTop w:val="0"/>
              <w:marBottom w:val="0"/>
              <w:divBdr>
                <w:top w:val="none" w:sz="0" w:space="0" w:color="auto"/>
                <w:left w:val="none" w:sz="0" w:space="0" w:color="auto"/>
                <w:bottom w:val="none" w:sz="0" w:space="0" w:color="auto"/>
                <w:right w:val="none" w:sz="0" w:space="0" w:color="auto"/>
              </w:divBdr>
            </w:div>
          </w:divsChild>
        </w:div>
        <w:div w:id="319232624">
          <w:marLeft w:val="0"/>
          <w:marRight w:val="0"/>
          <w:marTop w:val="0"/>
          <w:marBottom w:val="0"/>
          <w:divBdr>
            <w:top w:val="none" w:sz="0" w:space="0" w:color="auto"/>
            <w:left w:val="none" w:sz="0" w:space="0" w:color="auto"/>
            <w:bottom w:val="none" w:sz="0" w:space="0" w:color="auto"/>
            <w:right w:val="none" w:sz="0" w:space="0" w:color="auto"/>
          </w:divBdr>
          <w:divsChild>
            <w:div w:id="1398018770">
              <w:marLeft w:val="0"/>
              <w:marRight w:val="0"/>
              <w:marTop w:val="0"/>
              <w:marBottom w:val="0"/>
              <w:divBdr>
                <w:top w:val="none" w:sz="0" w:space="0" w:color="auto"/>
                <w:left w:val="none" w:sz="0" w:space="0" w:color="auto"/>
                <w:bottom w:val="none" w:sz="0" w:space="0" w:color="auto"/>
                <w:right w:val="none" w:sz="0" w:space="0" w:color="auto"/>
              </w:divBdr>
            </w:div>
          </w:divsChild>
        </w:div>
        <w:div w:id="325793082">
          <w:marLeft w:val="0"/>
          <w:marRight w:val="0"/>
          <w:marTop w:val="0"/>
          <w:marBottom w:val="0"/>
          <w:divBdr>
            <w:top w:val="none" w:sz="0" w:space="0" w:color="auto"/>
            <w:left w:val="none" w:sz="0" w:space="0" w:color="auto"/>
            <w:bottom w:val="none" w:sz="0" w:space="0" w:color="auto"/>
            <w:right w:val="none" w:sz="0" w:space="0" w:color="auto"/>
          </w:divBdr>
          <w:divsChild>
            <w:div w:id="475755425">
              <w:marLeft w:val="0"/>
              <w:marRight w:val="0"/>
              <w:marTop w:val="0"/>
              <w:marBottom w:val="0"/>
              <w:divBdr>
                <w:top w:val="none" w:sz="0" w:space="0" w:color="auto"/>
                <w:left w:val="none" w:sz="0" w:space="0" w:color="auto"/>
                <w:bottom w:val="none" w:sz="0" w:space="0" w:color="auto"/>
                <w:right w:val="none" w:sz="0" w:space="0" w:color="auto"/>
              </w:divBdr>
            </w:div>
          </w:divsChild>
        </w:div>
        <w:div w:id="326786001">
          <w:marLeft w:val="0"/>
          <w:marRight w:val="0"/>
          <w:marTop w:val="0"/>
          <w:marBottom w:val="0"/>
          <w:divBdr>
            <w:top w:val="none" w:sz="0" w:space="0" w:color="auto"/>
            <w:left w:val="none" w:sz="0" w:space="0" w:color="auto"/>
            <w:bottom w:val="none" w:sz="0" w:space="0" w:color="auto"/>
            <w:right w:val="none" w:sz="0" w:space="0" w:color="auto"/>
          </w:divBdr>
          <w:divsChild>
            <w:div w:id="1323311407">
              <w:marLeft w:val="0"/>
              <w:marRight w:val="0"/>
              <w:marTop w:val="0"/>
              <w:marBottom w:val="0"/>
              <w:divBdr>
                <w:top w:val="none" w:sz="0" w:space="0" w:color="auto"/>
                <w:left w:val="none" w:sz="0" w:space="0" w:color="auto"/>
                <w:bottom w:val="none" w:sz="0" w:space="0" w:color="auto"/>
                <w:right w:val="none" w:sz="0" w:space="0" w:color="auto"/>
              </w:divBdr>
            </w:div>
          </w:divsChild>
        </w:div>
        <w:div w:id="344089917">
          <w:marLeft w:val="0"/>
          <w:marRight w:val="0"/>
          <w:marTop w:val="0"/>
          <w:marBottom w:val="0"/>
          <w:divBdr>
            <w:top w:val="none" w:sz="0" w:space="0" w:color="auto"/>
            <w:left w:val="none" w:sz="0" w:space="0" w:color="auto"/>
            <w:bottom w:val="none" w:sz="0" w:space="0" w:color="auto"/>
            <w:right w:val="none" w:sz="0" w:space="0" w:color="auto"/>
          </w:divBdr>
          <w:divsChild>
            <w:div w:id="1462646311">
              <w:marLeft w:val="0"/>
              <w:marRight w:val="0"/>
              <w:marTop w:val="0"/>
              <w:marBottom w:val="0"/>
              <w:divBdr>
                <w:top w:val="none" w:sz="0" w:space="0" w:color="auto"/>
                <w:left w:val="none" w:sz="0" w:space="0" w:color="auto"/>
                <w:bottom w:val="none" w:sz="0" w:space="0" w:color="auto"/>
                <w:right w:val="none" w:sz="0" w:space="0" w:color="auto"/>
              </w:divBdr>
            </w:div>
          </w:divsChild>
        </w:div>
        <w:div w:id="356002968">
          <w:marLeft w:val="0"/>
          <w:marRight w:val="0"/>
          <w:marTop w:val="0"/>
          <w:marBottom w:val="0"/>
          <w:divBdr>
            <w:top w:val="none" w:sz="0" w:space="0" w:color="auto"/>
            <w:left w:val="none" w:sz="0" w:space="0" w:color="auto"/>
            <w:bottom w:val="none" w:sz="0" w:space="0" w:color="auto"/>
            <w:right w:val="none" w:sz="0" w:space="0" w:color="auto"/>
          </w:divBdr>
          <w:divsChild>
            <w:div w:id="1571234896">
              <w:marLeft w:val="0"/>
              <w:marRight w:val="0"/>
              <w:marTop w:val="0"/>
              <w:marBottom w:val="0"/>
              <w:divBdr>
                <w:top w:val="none" w:sz="0" w:space="0" w:color="auto"/>
                <w:left w:val="none" w:sz="0" w:space="0" w:color="auto"/>
                <w:bottom w:val="none" w:sz="0" w:space="0" w:color="auto"/>
                <w:right w:val="none" w:sz="0" w:space="0" w:color="auto"/>
              </w:divBdr>
            </w:div>
          </w:divsChild>
        </w:div>
        <w:div w:id="363753433">
          <w:marLeft w:val="0"/>
          <w:marRight w:val="0"/>
          <w:marTop w:val="0"/>
          <w:marBottom w:val="0"/>
          <w:divBdr>
            <w:top w:val="none" w:sz="0" w:space="0" w:color="auto"/>
            <w:left w:val="none" w:sz="0" w:space="0" w:color="auto"/>
            <w:bottom w:val="none" w:sz="0" w:space="0" w:color="auto"/>
            <w:right w:val="none" w:sz="0" w:space="0" w:color="auto"/>
          </w:divBdr>
          <w:divsChild>
            <w:div w:id="1361931082">
              <w:marLeft w:val="0"/>
              <w:marRight w:val="0"/>
              <w:marTop w:val="0"/>
              <w:marBottom w:val="0"/>
              <w:divBdr>
                <w:top w:val="none" w:sz="0" w:space="0" w:color="auto"/>
                <w:left w:val="none" w:sz="0" w:space="0" w:color="auto"/>
                <w:bottom w:val="none" w:sz="0" w:space="0" w:color="auto"/>
                <w:right w:val="none" w:sz="0" w:space="0" w:color="auto"/>
              </w:divBdr>
            </w:div>
          </w:divsChild>
        </w:div>
        <w:div w:id="365562201">
          <w:marLeft w:val="0"/>
          <w:marRight w:val="0"/>
          <w:marTop w:val="0"/>
          <w:marBottom w:val="0"/>
          <w:divBdr>
            <w:top w:val="none" w:sz="0" w:space="0" w:color="auto"/>
            <w:left w:val="none" w:sz="0" w:space="0" w:color="auto"/>
            <w:bottom w:val="none" w:sz="0" w:space="0" w:color="auto"/>
            <w:right w:val="none" w:sz="0" w:space="0" w:color="auto"/>
          </w:divBdr>
          <w:divsChild>
            <w:div w:id="1178616400">
              <w:marLeft w:val="0"/>
              <w:marRight w:val="0"/>
              <w:marTop w:val="0"/>
              <w:marBottom w:val="0"/>
              <w:divBdr>
                <w:top w:val="none" w:sz="0" w:space="0" w:color="auto"/>
                <w:left w:val="none" w:sz="0" w:space="0" w:color="auto"/>
                <w:bottom w:val="none" w:sz="0" w:space="0" w:color="auto"/>
                <w:right w:val="none" w:sz="0" w:space="0" w:color="auto"/>
              </w:divBdr>
            </w:div>
          </w:divsChild>
        </w:div>
        <w:div w:id="370958021">
          <w:marLeft w:val="0"/>
          <w:marRight w:val="0"/>
          <w:marTop w:val="0"/>
          <w:marBottom w:val="0"/>
          <w:divBdr>
            <w:top w:val="none" w:sz="0" w:space="0" w:color="auto"/>
            <w:left w:val="none" w:sz="0" w:space="0" w:color="auto"/>
            <w:bottom w:val="none" w:sz="0" w:space="0" w:color="auto"/>
            <w:right w:val="none" w:sz="0" w:space="0" w:color="auto"/>
          </w:divBdr>
          <w:divsChild>
            <w:div w:id="1606963576">
              <w:marLeft w:val="0"/>
              <w:marRight w:val="0"/>
              <w:marTop w:val="0"/>
              <w:marBottom w:val="0"/>
              <w:divBdr>
                <w:top w:val="none" w:sz="0" w:space="0" w:color="auto"/>
                <w:left w:val="none" w:sz="0" w:space="0" w:color="auto"/>
                <w:bottom w:val="none" w:sz="0" w:space="0" w:color="auto"/>
                <w:right w:val="none" w:sz="0" w:space="0" w:color="auto"/>
              </w:divBdr>
            </w:div>
          </w:divsChild>
        </w:div>
        <w:div w:id="380246749">
          <w:marLeft w:val="0"/>
          <w:marRight w:val="0"/>
          <w:marTop w:val="0"/>
          <w:marBottom w:val="0"/>
          <w:divBdr>
            <w:top w:val="none" w:sz="0" w:space="0" w:color="auto"/>
            <w:left w:val="none" w:sz="0" w:space="0" w:color="auto"/>
            <w:bottom w:val="none" w:sz="0" w:space="0" w:color="auto"/>
            <w:right w:val="none" w:sz="0" w:space="0" w:color="auto"/>
          </w:divBdr>
          <w:divsChild>
            <w:div w:id="843328048">
              <w:marLeft w:val="0"/>
              <w:marRight w:val="0"/>
              <w:marTop w:val="0"/>
              <w:marBottom w:val="0"/>
              <w:divBdr>
                <w:top w:val="none" w:sz="0" w:space="0" w:color="auto"/>
                <w:left w:val="none" w:sz="0" w:space="0" w:color="auto"/>
                <w:bottom w:val="none" w:sz="0" w:space="0" w:color="auto"/>
                <w:right w:val="none" w:sz="0" w:space="0" w:color="auto"/>
              </w:divBdr>
            </w:div>
          </w:divsChild>
        </w:div>
        <w:div w:id="397754920">
          <w:marLeft w:val="0"/>
          <w:marRight w:val="0"/>
          <w:marTop w:val="0"/>
          <w:marBottom w:val="0"/>
          <w:divBdr>
            <w:top w:val="none" w:sz="0" w:space="0" w:color="auto"/>
            <w:left w:val="none" w:sz="0" w:space="0" w:color="auto"/>
            <w:bottom w:val="none" w:sz="0" w:space="0" w:color="auto"/>
            <w:right w:val="none" w:sz="0" w:space="0" w:color="auto"/>
          </w:divBdr>
          <w:divsChild>
            <w:div w:id="1737050274">
              <w:marLeft w:val="0"/>
              <w:marRight w:val="0"/>
              <w:marTop w:val="0"/>
              <w:marBottom w:val="0"/>
              <w:divBdr>
                <w:top w:val="none" w:sz="0" w:space="0" w:color="auto"/>
                <w:left w:val="none" w:sz="0" w:space="0" w:color="auto"/>
                <w:bottom w:val="none" w:sz="0" w:space="0" w:color="auto"/>
                <w:right w:val="none" w:sz="0" w:space="0" w:color="auto"/>
              </w:divBdr>
            </w:div>
          </w:divsChild>
        </w:div>
        <w:div w:id="399063576">
          <w:marLeft w:val="0"/>
          <w:marRight w:val="0"/>
          <w:marTop w:val="0"/>
          <w:marBottom w:val="0"/>
          <w:divBdr>
            <w:top w:val="none" w:sz="0" w:space="0" w:color="auto"/>
            <w:left w:val="none" w:sz="0" w:space="0" w:color="auto"/>
            <w:bottom w:val="none" w:sz="0" w:space="0" w:color="auto"/>
            <w:right w:val="none" w:sz="0" w:space="0" w:color="auto"/>
          </w:divBdr>
          <w:divsChild>
            <w:div w:id="2059350390">
              <w:marLeft w:val="0"/>
              <w:marRight w:val="0"/>
              <w:marTop w:val="0"/>
              <w:marBottom w:val="0"/>
              <w:divBdr>
                <w:top w:val="none" w:sz="0" w:space="0" w:color="auto"/>
                <w:left w:val="none" w:sz="0" w:space="0" w:color="auto"/>
                <w:bottom w:val="none" w:sz="0" w:space="0" w:color="auto"/>
                <w:right w:val="none" w:sz="0" w:space="0" w:color="auto"/>
              </w:divBdr>
            </w:div>
          </w:divsChild>
        </w:div>
        <w:div w:id="407729624">
          <w:marLeft w:val="0"/>
          <w:marRight w:val="0"/>
          <w:marTop w:val="0"/>
          <w:marBottom w:val="0"/>
          <w:divBdr>
            <w:top w:val="none" w:sz="0" w:space="0" w:color="auto"/>
            <w:left w:val="none" w:sz="0" w:space="0" w:color="auto"/>
            <w:bottom w:val="none" w:sz="0" w:space="0" w:color="auto"/>
            <w:right w:val="none" w:sz="0" w:space="0" w:color="auto"/>
          </w:divBdr>
          <w:divsChild>
            <w:div w:id="319433828">
              <w:marLeft w:val="0"/>
              <w:marRight w:val="0"/>
              <w:marTop w:val="0"/>
              <w:marBottom w:val="0"/>
              <w:divBdr>
                <w:top w:val="none" w:sz="0" w:space="0" w:color="auto"/>
                <w:left w:val="none" w:sz="0" w:space="0" w:color="auto"/>
                <w:bottom w:val="none" w:sz="0" w:space="0" w:color="auto"/>
                <w:right w:val="none" w:sz="0" w:space="0" w:color="auto"/>
              </w:divBdr>
            </w:div>
          </w:divsChild>
        </w:div>
        <w:div w:id="411002671">
          <w:marLeft w:val="0"/>
          <w:marRight w:val="0"/>
          <w:marTop w:val="0"/>
          <w:marBottom w:val="0"/>
          <w:divBdr>
            <w:top w:val="none" w:sz="0" w:space="0" w:color="auto"/>
            <w:left w:val="none" w:sz="0" w:space="0" w:color="auto"/>
            <w:bottom w:val="none" w:sz="0" w:space="0" w:color="auto"/>
            <w:right w:val="none" w:sz="0" w:space="0" w:color="auto"/>
          </w:divBdr>
          <w:divsChild>
            <w:div w:id="1486898188">
              <w:marLeft w:val="0"/>
              <w:marRight w:val="0"/>
              <w:marTop w:val="0"/>
              <w:marBottom w:val="0"/>
              <w:divBdr>
                <w:top w:val="none" w:sz="0" w:space="0" w:color="auto"/>
                <w:left w:val="none" w:sz="0" w:space="0" w:color="auto"/>
                <w:bottom w:val="none" w:sz="0" w:space="0" w:color="auto"/>
                <w:right w:val="none" w:sz="0" w:space="0" w:color="auto"/>
              </w:divBdr>
            </w:div>
          </w:divsChild>
        </w:div>
        <w:div w:id="411393087">
          <w:marLeft w:val="0"/>
          <w:marRight w:val="0"/>
          <w:marTop w:val="0"/>
          <w:marBottom w:val="0"/>
          <w:divBdr>
            <w:top w:val="none" w:sz="0" w:space="0" w:color="auto"/>
            <w:left w:val="none" w:sz="0" w:space="0" w:color="auto"/>
            <w:bottom w:val="none" w:sz="0" w:space="0" w:color="auto"/>
            <w:right w:val="none" w:sz="0" w:space="0" w:color="auto"/>
          </w:divBdr>
          <w:divsChild>
            <w:div w:id="959066570">
              <w:marLeft w:val="0"/>
              <w:marRight w:val="0"/>
              <w:marTop w:val="0"/>
              <w:marBottom w:val="0"/>
              <w:divBdr>
                <w:top w:val="none" w:sz="0" w:space="0" w:color="auto"/>
                <w:left w:val="none" w:sz="0" w:space="0" w:color="auto"/>
                <w:bottom w:val="none" w:sz="0" w:space="0" w:color="auto"/>
                <w:right w:val="none" w:sz="0" w:space="0" w:color="auto"/>
              </w:divBdr>
            </w:div>
          </w:divsChild>
        </w:div>
        <w:div w:id="411898536">
          <w:marLeft w:val="0"/>
          <w:marRight w:val="0"/>
          <w:marTop w:val="0"/>
          <w:marBottom w:val="0"/>
          <w:divBdr>
            <w:top w:val="none" w:sz="0" w:space="0" w:color="auto"/>
            <w:left w:val="none" w:sz="0" w:space="0" w:color="auto"/>
            <w:bottom w:val="none" w:sz="0" w:space="0" w:color="auto"/>
            <w:right w:val="none" w:sz="0" w:space="0" w:color="auto"/>
          </w:divBdr>
          <w:divsChild>
            <w:div w:id="1832788688">
              <w:marLeft w:val="0"/>
              <w:marRight w:val="0"/>
              <w:marTop w:val="0"/>
              <w:marBottom w:val="0"/>
              <w:divBdr>
                <w:top w:val="none" w:sz="0" w:space="0" w:color="auto"/>
                <w:left w:val="none" w:sz="0" w:space="0" w:color="auto"/>
                <w:bottom w:val="none" w:sz="0" w:space="0" w:color="auto"/>
                <w:right w:val="none" w:sz="0" w:space="0" w:color="auto"/>
              </w:divBdr>
            </w:div>
          </w:divsChild>
        </w:div>
        <w:div w:id="419715950">
          <w:marLeft w:val="0"/>
          <w:marRight w:val="0"/>
          <w:marTop w:val="0"/>
          <w:marBottom w:val="0"/>
          <w:divBdr>
            <w:top w:val="none" w:sz="0" w:space="0" w:color="auto"/>
            <w:left w:val="none" w:sz="0" w:space="0" w:color="auto"/>
            <w:bottom w:val="none" w:sz="0" w:space="0" w:color="auto"/>
            <w:right w:val="none" w:sz="0" w:space="0" w:color="auto"/>
          </w:divBdr>
          <w:divsChild>
            <w:div w:id="1973293011">
              <w:marLeft w:val="0"/>
              <w:marRight w:val="0"/>
              <w:marTop w:val="0"/>
              <w:marBottom w:val="0"/>
              <w:divBdr>
                <w:top w:val="none" w:sz="0" w:space="0" w:color="auto"/>
                <w:left w:val="none" w:sz="0" w:space="0" w:color="auto"/>
                <w:bottom w:val="none" w:sz="0" w:space="0" w:color="auto"/>
                <w:right w:val="none" w:sz="0" w:space="0" w:color="auto"/>
              </w:divBdr>
            </w:div>
          </w:divsChild>
        </w:div>
        <w:div w:id="423957646">
          <w:marLeft w:val="0"/>
          <w:marRight w:val="0"/>
          <w:marTop w:val="0"/>
          <w:marBottom w:val="0"/>
          <w:divBdr>
            <w:top w:val="none" w:sz="0" w:space="0" w:color="auto"/>
            <w:left w:val="none" w:sz="0" w:space="0" w:color="auto"/>
            <w:bottom w:val="none" w:sz="0" w:space="0" w:color="auto"/>
            <w:right w:val="none" w:sz="0" w:space="0" w:color="auto"/>
          </w:divBdr>
          <w:divsChild>
            <w:div w:id="1980836981">
              <w:marLeft w:val="0"/>
              <w:marRight w:val="0"/>
              <w:marTop w:val="0"/>
              <w:marBottom w:val="0"/>
              <w:divBdr>
                <w:top w:val="none" w:sz="0" w:space="0" w:color="auto"/>
                <w:left w:val="none" w:sz="0" w:space="0" w:color="auto"/>
                <w:bottom w:val="none" w:sz="0" w:space="0" w:color="auto"/>
                <w:right w:val="none" w:sz="0" w:space="0" w:color="auto"/>
              </w:divBdr>
            </w:div>
          </w:divsChild>
        </w:div>
        <w:div w:id="424227369">
          <w:marLeft w:val="0"/>
          <w:marRight w:val="0"/>
          <w:marTop w:val="0"/>
          <w:marBottom w:val="0"/>
          <w:divBdr>
            <w:top w:val="none" w:sz="0" w:space="0" w:color="auto"/>
            <w:left w:val="none" w:sz="0" w:space="0" w:color="auto"/>
            <w:bottom w:val="none" w:sz="0" w:space="0" w:color="auto"/>
            <w:right w:val="none" w:sz="0" w:space="0" w:color="auto"/>
          </w:divBdr>
          <w:divsChild>
            <w:div w:id="778530524">
              <w:marLeft w:val="0"/>
              <w:marRight w:val="0"/>
              <w:marTop w:val="0"/>
              <w:marBottom w:val="0"/>
              <w:divBdr>
                <w:top w:val="none" w:sz="0" w:space="0" w:color="auto"/>
                <w:left w:val="none" w:sz="0" w:space="0" w:color="auto"/>
                <w:bottom w:val="none" w:sz="0" w:space="0" w:color="auto"/>
                <w:right w:val="none" w:sz="0" w:space="0" w:color="auto"/>
              </w:divBdr>
            </w:div>
          </w:divsChild>
        </w:div>
        <w:div w:id="433288126">
          <w:marLeft w:val="0"/>
          <w:marRight w:val="0"/>
          <w:marTop w:val="0"/>
          <w:marBottom w:val="0"/>
          <w:divBdr>
            <w:top w:val="none" w:sz="0" w:space="0" w:color="auto"/>
            <w:left w:val="none" w:sz="0" w:space="0" w:color="auto"/>
            <w:bottom w:val="none" w:sz="0" w:space="0" w:color="auto"/>
            <w:right w:val="none" w:sz="0" w:space="0" w:color="auto"/>
          </w:divBdr>
          <w:divsChild>
            <w:div w:id="1391418685">
              <w:marLeft w:val="0"/>
              <w:marRight w:val="0"/>
              <w:marTop w:val="0"/>
              <w:marBottom w:val="0"/>
              <w:divBdr>
                <w:top w:val="none" w:sz="0" w:space="0" w:color="auto"/>
                <w:left w:val="none" w:sz="0" w:space="0" w:color="auto"/>
                <w:bottom w:val="none" w:sz="0" w:space="0" w:color="auto"/>
                <w:right w:val="none" w:sz="0" w:space="0" w:color="auto"/>
              </w:divBdr>
            </w:div>
          </w:divsChild>
        </w:div>
        <w:div w:id="436339557">
          <w:marLeft w:val="0"/>
          <w:marRight w:val="0"/>
          <w:marTop w:val="0"/>
          <w:marBottom w:val="0"/>
          <w:divBdr>
            <w:top w:val="none" w:sz="0" w:space="0" w:color="auto"/>
            <w:left w:val="none" w:sz="0" w:space="0" w:color="auto"/>
            <w:bottom w:val="none" w:sz="0" w:space="0" w:color="auto"/>
            <w:right w:val="none" w:sz="0" w:space="0" w:color="auto"/>
          </w:divBdr>
          <w:divsChild>
            <w:div w:id="202906089">
              <w:marLeft w:val="0"/>
              <w:marRight w:val="0"/>
              <w:marTop w:val="0"/>
              <w:marBottom w:val="0"/>
              <w:divBdr>
                <w:top w:val="none" w:sz="0" w:space="0" w:color="auto"/>
                <w:left w:val="none" w:sz="0" w:space="0" w:color="auto"/>
                <w:bottom w:val="none" w:sz="0" w:space="0" w:color="auto"/>
                <w:right w:val="none" w:sz="0" w:space="0" w:color="auto"/>
              </w:divBdr>
            </w:div>
          </w:divsChild>
        </w:div>
        <w:div w:id="443813406">
          <w:marLeft w:val="0"/>
          <w:marRight w:val="0"/>
          <w:marTop w:val="0"/>
          <w:marBottom w:val="0"/>
          <w:divBdr>
            <w:top w:val="none" w:sz="0" w:space="0" w:color="auto"/>
            <w:left w:val="none" w:sz="0" w:space="0" w:color="auto"/>
            <w:bottom w:val="none" w:sz="0" w:space="0" w:color="auto"/>
            <w:right w:val="none" w:sz="0" w:space="0" w:color="auto"/>
          </w:divBdr>
          <w:divsChild>
            <w:div w:id="762723803">
              <w:marLeft w:val="0"/>
              <w:marRight w:val="0"/>
              <w:marTop w:val="0"/>
              <w:marBottom w:val="0"/>
              <w:divBdr>
                <w:top w:val="none" w:sz="0" w:space="0" w:color="auto"/>
                <w:left w:val="none" w:sz="0" w:space="0" w:color="auto"/>
                <w:bottom w:val="none" w:sz="0" w:space="0" w:color="auto"/>
                <w:right w:val="none" w:sz="0" w:space="0" w:color="auto"/>
              </w:divBdr>
            </w:div>
          </w:divsChild>
        </w:div>
        <w:div w:id="450364709">
          <w:marLeft w:val="0"/>
          <w:marRight w:val="0"/>
          <w:marTop w:val="0"/>
          <w:marBottom w:val="0"/>
          <w:divBdr>
            <w:top w:val="none" w:sz="0" w:space="0" w:color="auto"/>
            <w:left w:val="none" w:sz="0" w:space="0" w:color="auto"/>
            <w:bottom w:val="none" w:sz="0" w:space="0" w:color="auto"/>
            <w:right w:val="none" w:sz="0" w:space="0" w:color="auto"/>
          </w:divBdr>
          <w:divsChild>
            <w:div w:id="707729520">
              <w:marLeft w:val="0"/>
              <w:marRight w:val="0"/>
              <w:marTop w:val="0"/>
              <w:marBottom w:val="0"/>
              <w:divBdr>
                <w:top w:val="none" w:sz="0" w:space="0" w:color="auto"/>
                <w:left w:val="none" w:sz="0" w:space="0" w:color="auto"/>
                <w:bottom w:val="none" w:sz="0" w:space="0" w:color="auto"/>
                <w:right w:val="none" w:sz="0" w:space="0" w:color="auto"/>
              </w:divBdr>
            </w:div>
          </w:divsChild>
        </w:div>
        <w:div w:id="451873163">
          <w:marLeft w:val="0"/>
          <w:marRight w:val="0"/>
          <w:marTop w:val="0"/>
          <w:marBottom w:val="0"/>
          <w:divBdr>
            <w:top w:val="none" w:sz="0" w:space="0" w:color="auto"/>
            <w:left w:val="none" w:sz="0" w:space="0" w:color="auto"/>
            <w:bottom w:val="none" w:sz="0" w:space="0" w:color="auto"/>
            <w:right w:val="none" w:sz="0" w:space="0" w:color="auto"/>
          </w:divBdr>
          <w:divsChild>
            <w:div w:id="2030791104">
              <w:marLeft w:val="0"/>
              <w:marRight w:val="0"/>
              <w:marTop w:val="0"/>
              <w:marBottom w:val="0"/>
              <w:divBdr>
                <w:top w:val="none" w:sz="0" w:space="0" w:color="auto"/>
                <w:left w:val="none" w:sz="0" w:space="0" w:color="auto"/>
                <w:bottom w:val="none" w:sz="0" w:space="0" w:color="auto"/>
                <w:right w:val="none" w:sz="0" w:space="0" w:color="auto"/>
              </w:divBdr>
            </w:div>
          </w:divsChild>
        </w:div>
        <w:div w:id="453253628">
          <w:marLeft w:val="0"/>
          <w:marRight w:val="0"/>
          <w:marTop w:val="0"/>
          <w:marBottom w:val="0"/>
          <w:divBdr>
            <w:top w:val="none" w:sz="0" w:space="0" w:color="auto"/>
            <w:left w:val="none" w:sz="0" w:space="0" w:color="auto"/>
            <w:bottom w:val="none" w:sz="0" w:space="0" w:color="auto"/>
            <w:right w:val="none" w:sz="0" w:space="0" w:color="auto"/>
          </w:divBdr>
          <w:divsChild>
            <w:div w:id="1463620073">
              <w:marLeft w:val="0"/>
              <w:marRight w:val="0"/>
              <w:marTop w:val="0"/>
              <w:marBottom w:val="0"/>
              <w:divBdr>
                <w:top w:val="none" w:sz="0" w:space="0" w:color="auto"/>
                <w:left w:val="none" w:sz="0" w:space="0" w:color="auto"/>
                <w:bottom w:val="none" w:sz="0" w:space="0" w:color="auto"/>
                <w:right w:val="none" w:sz="0" w:space="0" w:color="auto"/>
              </w:divBdr>
            </w:div>
          </w:divsChild>
        </w:div>
        <w:div w:id="456489976">
          <w:marLeft w:val="0"/>
          <w:marRight w:val="0"/>
          <w:marTop w:val="0"/>
          <w:marBottom w:val="0"/>
          <w:divBdr>
            <w:top w:val="none" w:sz="0" w:space="0" w:color="auto"/>
            <w:left w:val="none" w:sz="0" w:space="0" w:color="auto"/>
            <w:bottom w:val="none" w:sz="0" w:space="0" w:color="auto"/>
            <w:right w:val="none" w:sz="0" w:space="0" w:color="auto"/>
          </w:divBdr>
          <w:divsChild>
            <w:div w:id="395014736">
              <w:marLeft w:val="0"/>
              <w:marRight w:val="0"/>
              <w:marTop w:val="0"/>
              <w:marBottom w:val="0"/>
              <w:divBdr>
                <w:top w:val="none" w:sz="0" w:space="0" w:color="auto"/>
                <w:left w:val="none" w:sz="0" w:space="0" w:color="auto"/>
                <w:bottom w:val="none" w:sz="0" w:space="0" w:color="auto"/>
                <w:right w:val="none" w:sz="0" w:space="0" w:color="auto"/>
              </w:divBdr>
            </w:div>
          </w:divsChild>
        </w:div>
        <w:div w:id="465588763">
          <w:marLeft w:val="0"/>
          <w:marRight w:val="0"/>
          <w:marTop w:val="0"/>
          <w:marBottom w:val="0"/>
          <w:divBdr>
            <w:top w:val="none" w:sz="0" w:space="0" w:color="auto"/>
            <w:left w:val="none" w:sz="0" w:space="0" w:color="auto"/>
            <w:bottom w:val="none" w:sz="0" w:space="0" w:color="auto"/>
            <w:right w:val="none" w:sz="0" w:space="0" w:color="auto"/>
          </w:divBdr>
          <w:divsChild>
            <w:div w:id="2063015055">
              <w:marLeft w:val="0"/>
              <w:marRight w:val="0"/>
              <w:marTop w:val="0"/>
              <w:marBottom w:val="0"/>
              <w:divBdr>
                <w:top w:val="none" w:sz="0" w:space="0" w:color="auto"/>
                <w:left w:val="none" w:sz="0" w:space="0" w:color="auto"/>
                <w:bottom w:val="none" w:sz="0" w:space="0" w:color="auto"/>
                <w:right w:val="none" w:sz="0" w:space="0" w:color="auto"/>
              </w:divBdr>
            </w:div>
          </w:divsChild>
        </w:div>
        <w:div w:id="478495606">
          <w:marLeft w:val="0"/>
          <w:marRight w:val="0"/>
          <w:marTop w:val="0"/>
          <w:marBottom w:val="0"/>
          <w:divBdr>
            <w:top w:val="none" w:sz="0" w:space="0" w:color="auto"/>
            <w:left w:val="none" w:sz="0" w:space="0" w:color="auto"/>
            <w:bottom w:val="none" w:sz="0" w:space="0" w:color="auto"/>
            <w:right w:val="none" w:sz="0" w:space="0" w:color="auto"/>
          </w:divBdr>
          <w:divsChild>
            <w:div w:id="412168600">
              <w:marLeft w:val="0"/>
              <w:marRight w:val="0"/>
              <w:marTop w:val="0"/>
              <w:marBottom w:val="0"/>
              <w:divBdr>
                <w:top w:val="none" w:sz="0" w:space="0" w:color="auto"/>
                <w:left w:val="none" w:sz="0" w:space="0" w:color="auto"/>
                <w:bottom w:val="none" w:sz="0" w:space="0" w:color="auto"/>
                <w:right w:val="none" w:sz="0" w:space="0" w:color="auto"/>
              </w:divBdr>
            </w:div>
          </w:divsChild>
        </w:div>
        <w:div w:id="478617941">
          <w:marLeft w:val="0"/>
          <w:marRight w:val="0"/>
          <w:marTop w:val="0"/>
          <w:marBottom w:val="0"/>
          <w:divBdr>
            <w:top w:val="none" w:sz="0" w:space="0" w:color="auto"/>
            <w:left w:val="none" w:sz="0" w:space="0" w:color="auto"/>
            <w:bottom w:val="none" w:sz="0" w:space="0" w:color="auto"/>
            <w:right w:val="none" w:sz="0" w:space="0" w:color="auto"/>
          </w:divBdr>
          <w:divsChild>
            <w:div w:id="2025327731">
              <w:marLeft w:val="0"/>
              <w:marRight w:val="0"/>
              <w:marTop w:val="0"/>
              <w:marBottom w:val="0"/>
              <w:divBdr>
                <w:top w:val="none" w:sz="0" w:space="0" w:color="auto"/>
                <w:left w:val="none" w:sz="0" w:space="0" w:color="auto"/>
                <w:bottom w:val="none" w:sz="0" w:space="0" w:color="auto"/>
                <w:right w:val="none" w:sz="0" w:space="0" w:color="auto"/>
              </w:divBdr>
            </w:div>
          </w:divsChild>
        </w:div>
        <w:div w:id="493105332">
          <w:marLeft w:val="0"/>
          <w:marRight w:val="0"/>
          <w:marTop w:val="0"/>
          <w:marBottom w:val="0"/>
          <w:divBdr>
            <w:top w:val="none" w:sz="0" w:space="0" w:color="auto"/>
            <w:left w:val="none" w:sz="0" w:space="0" w:color="auto"/>
            <w:bottom w:val="none" w:sz="0" w:space="0" w:color="auto"/>
            <w:right w:val="none" w:sz="0" w:space="0" w:color="auto"/>
          </w:divBdr>
          <w:divsChild>
            <w:div w:id="1399281240">
              <w:marLeft w:val="0"/>
              <w:marRight w:val="0"/>
              <w:marTop w:val="0"/>
              <w:marBottom w:val="0"/>
              <w:divBdr>
                <w:top w:val="none" w:sz="0" w:space="0" w:color="auto"/>
                <w:left w:val="none" w:sz="0" w:space="0" w:color="auto"/>
                <w:bottom w:val="none" w:sz="0" w:space="0" w:color="auto"/>
                <w:right w:val="none" w:sz="0" w:space="0" w:color="auto"/>
              </w:divBdr>
            </w:div>
          </w:divsChild>
        </w:div>
        <w:div w:id="493834810">
          <w:marLeft w:val="0"/>
          <w:marRight w:val="0"/>
          <w:marTop w:val="0"/>
          <w:marBottom w:val="0"/>
          <w:divBdr>
            <w:top w:val="none" w:sz="0" w:space="0" w:color="auto"/>
            <w:left w:val="none" w:sz="0" w:space="0" w:color="auto"/>
            <w:bottom w:val="none" w:sz="0" w:space="0" w:color="auto"/>
            <w:right w:val="none" w:sz="0" w:space="0" w:color="auto"/>
          </w:divBdr>
          <w:divsChild>
            <w:div w:id="1325861866">
              <w:marLeft w:val="0"/>
              <w:marRight w:val="0"/>
              <w:marTop w:val="0"/>
              <w:marBottom w:val="0"/>
              <w:divBdr>
                <w:top w:val="none" w:sz="0" w:space="0" w:color="auto"/>
                <w:left w:val="none" w:sz="0" w:space="0" w:color="auto"/>
                <w:bottom w:val="none" w:sz="0" w:space="0" w:color="auto"/>
                <w:right w:val="none" w:sz="0" w:space="0" w:color="auto"/>
              </w:divBdr>
            </w:div>
          </w:divsChild>
        </w:div>
        <w:div w:id="498546653">
          <w:marLeft w:val="0"/>
          <w:marRight w:val="0"/>
          <w:marTop w:val="0"/>
          <w:marBottom w:val="0"/>
          <w:divBdr>
            <w:top w:val="none" w:sz="0" w:space="0" w:color="auto"/>
            <w:left w:val="none" w:sz="0" w:space="0" w:color="auto"/>
            <w:bottom w:val="none" w:sz="0" w:space="0" w:color="auto"/>
            <w:right w:val="none" w:sz="0" w:space="0" w:color="auto"/>
          </w:divBdr>
          <w:divsChild>
            <w:div w:id="1258245736">
              <w:marLeft w:val="0"/>
              <w:marRight w:val="0"/>
              <w:marTop w:val="0"/>
              <w:marBottom w:val="0"/>
              <w:divBdr>
                <w:top w:val="none" w:sz="0" w:space="0" w:color="auto"/>
                <w:left w:val="none" w:sz="0" w:space="0" w:color="auto"/>
                <w:bottom w:val="none" w:sz="0" w:space="0" w:color="auto"/>
                <w:right w:val="none" w:sz="0" w:space="0" w:color="auto"/>
              </w:divBdr>
            </w:div>
          </w:divsChild>
        </w:div>
        <w:div w:id="504979639">
          <w:marLeft w:val="0"/>
          <w:marRight w:val="0"/>
          <w:marTop w:val="0"/>
          <w:marBottom w:val="0"/>
          <w:divBdr>
            <w:top w:val="none" w:sz="0" w:space="0" w:color="auto"/>
            <w:left w:val="none" w:sz="0" w:space="0" w:color="auto"/>
            <w:bottom w:val="none" w:sz="0" w:space="0" w:color="auto"/>
            <w:right w:val="none" w:sz="0" w:space="0" w:color="auto"/>
          </w:divBdr>
          <w:divsChild>
            <w:div w:id="1509128445">
              <w:marLeft w:val="0"/>
              <w:marRight w:val="0"/>
              <w:marTop w:val="0"/>
              <w:marBottom w:val="0"/>
              <w:divBdr>
                <w:top w:val="none" w:sz="0" w:space="0" w:color="auto"/>
                <w:left w:val="none" w:sz="0" w:space="0" w:color="auto"/>
                <w:bottom w:val="none" w:sz="0" w:space="0" w:color="auto"/>
                <w:right w:val="none" w:sz="0" w:space="0" w:color="auto"/>
              </w:divBdr>
            </w:div>
          </w:divsChild>
        </w:div>
        <w:div w:id="509949004">
          <w:marLeft w:val="0"/>
          <w:marRight w:val="0"/>
          <w:marTop w:val="0"/>
          <w:marBottom w:val="0"/>
          <w:divBdr>
            <w:top w:val="none" w:sz="0" w:space="0" w:color="auto"/>
            <w:left w:val="none" w:sz="0" w:space="0" w:color="auto"/>
            <w:bottom w:val="none" w:sz="0" w:space="0" w:color="auto"/>
            <w:right w:val="none" w:sz="0" w:space="0" w:color="auto"/>
          </w:divBdr>
          <w:divsChild>
            <w:div w:id="152722356">
              <w:marLeft w:val="0"/>
              <w:marRight w:val="0"/>
              <w:marTop w:val="0"/>
              <w:marBottom w:val="0"/>
              <w:divBdr>
                <w:top w:val="none" w:sz="0" w:space="0" w:color="auto"/>
                <w:left w:val="none" w:sz="0" w:space="0" w:color="auto"/>
                <w:bottom w:val="none" w:sz="0" w:space="0" w:color="auto"/>
                <w:right w:val="none" w:sz="0" w:space="0" w:color="auto"/>
              </w:divBdr>
            </w:div>
          </w:divsChild>
        </w:div>
        <w:div w:id="514882593">
          <w:marLeft w:val="0"/>
          <w:marRight w:val="0"/>
          <w:marTop w:val="0"/>
          <w:marBottom w:val="0"/>
          <w:divBdr>
            <w:top w:val="none" w:sz="0" w:space="0" w:color="auto"/>
            <w:left w:val="none" w:sz="0" w:space="0" w:color="auto"/>
            <w:bottom w:val="none" w:sz="0" w:space="0" w:color="auto"/>
            <w:right w:val="none" w:sz="0" w:space="0" w:color="auto"/>
          </w:divBdr>
          <w:divsChild>
            <w:div w:id="1185705048">
              <w:marLeft w:val="0"/>
              <w:marRight w:val="0"/>
              <w:marTop w:val="0"/>
              <w:marBottom w:val="0"/>
              <w:divBdr>
                <w:top w:val="none" w:sz="0" w:space="0" w:color="auto"/>
                <w:left w:val="none" w:sz="0" w:space="0" w:color="auto"/>
                <w:bottom w:val="none" w:sz="0" w:space="0" w:color="auto"/>
                <w:right w:val="none" w:sz="0" w:space="0" w:color="auto"/>
              </w:divBdr>
            </w:div>
          </w:divsChild>
        </w:div>
        <w:div w:id="524827601">
          <w:marLeft w:val="0"/>
          <w:marRight w:val="0"/>
          <w:marTop w:val="0"/>
          <w:marBottom w:val="0"/>
          <w:divBdr>
            <w:top w:val="none" w:sz="0" w:space="0" w:color="auto"/>
            <w:left w:val="none" w:sz="0" w:space="0" w:color="auto"/>
            <w:bottom w:val="none" w:sz="0" w:space="0" w:color="auto"/>
            <w:right w:val="none" w:sz="0" w:space="0" w:color="auto"/>
          </w:divBdr>
          <w:divsChild>
            <w:div w:id="851187080">
              <w:marLeft w:val="0"/>
              <w:marRight w:val="0"/>
              <w:marTop w:val="0"/>
              <w:marBottom w:val="0"/>
              <w:divBdr>
                <w:top w:val="none" w:sz="0" w:space="0" w:color="auto"/>
                <w:left w:val="none" w:sz="0" w:space="0" w:color="auto"/>
                <w:bottom w:val="none" w:sz="0" w:space="0" w:color="auto"/>
                <w:right w:val="none" w:sz="0" w:space="0" w:color="auto"/>
              </w:divBdr>
            </w:div>
          </w:divsChild>
        </w:div>
        <w:div w:id="525799264">
          <w:marLeft w:val="0"/>
          <w:marRight w:val="0"/>
          <w:marTop w:val="0"/>
          <w:marBottom w:val="0"/>
          <w:divBdr>
            <w:top w:val="none" w:sz="0" w:space="0" w:color="auto"/>
            <w:left w:val="none" w:sz="0" w:space="0" w:color="auto"/>
            <w:bottom w:val="none" w:sz="0" w:space="0" w:color="auto"/>
            <w:right w:val="none" w:sz="0" w:space="0" w:color="auto"/>
          </w:divBdr>
          <w:divsChild>
            <w:div w:id="334500636">
              <w:marLeft w:val="0"/>
              <w:marRight w:val="0"/>
              <w:marTop w:val="0"/>
              <w:marBottom w:val="0"/>
              <w:divBdr>
                <w:top w:val="none" w:sz="0" w:space="0" w:color="auto"/>
                <w:left w:val="none" w:sz="0" w:space="0" w:color="auto"/>
                <w:bottom w:val="none" w:sz="0" w:space="0" w:color="auto"/>
                <w:right w:val="none" w:sz="0" w:space="0" w:color="auto"/>
              </w:divBdr>
            </w:div>
          </w:divsChild>
        </w:div>
        <w:div w:id="531378496">
          <w:marLeft w:val="0"/>
          <w:marRight w:val="0"/>
          <w:marTop w:val="0"/>
          <w:marBottom w:val="0"/>
          <w:divBdr>
            <w:top w:val="none" w:sz="0" w:space="0" w:color="auto"/>
            <w:left w:val="none" w:sz="0" w:space="0" w:color="auto"/>
            <w:bottom w:val="none" w:sz="0" w:space="0" w:color="auto"/>
            <w:right w:val="none" w:sz="0" w:space="0" w:color="auto"/>
          </w:divBdr>
          <w:divsChild>
            <w:div w:id="692537980">
              <w:marLeft w:val="0"/>
              <w:marRight w:val="0"/>
              <w:marTop w:val="0"/>
              <w:marBottom w:val="0"/>
              <w:divBdr>
                <w:top w:val="none" w:sz="0" w:space="0" w:color="auto"/>
                <w:left w:val="none" w:sz="0" w:space="0" w:color="auto"/>
                <w:bottom w:val="none" w:sz="0" w:space="0" w:color="auto"/>
                <w:right w:val="none" w:sz="0" w:space="0" w:color="auto"/>
              </w:divBdr>
            </w:div>
          </w:divsChild>
        </w:div>
        <w:div w:id="531722615">
          <w:marLeft w:val="0"/>
          <w:marRight w:val="0"/>
          <w:marTop w:val="0"/>
          <w:marBottom w:val="0"/>
          <w:divBdr>
            <w:top w:val="none" w:sz="0" w:space="0" w:color="auto"/>
            <w:left w:val="none" w:sz="0" w:space="0" w:color="auto"/>
            <w:bottom w:val="none" w:sz="0" w:space="0" w:color="auto"/>
            <w:right w:val="none" w:sz="0" w:space="0" w:color="auto"/>
          </w:divBdr>
          <w:divsChild>
            <w:div w:id="1024282313">
              <w:marLeft w:val="0"/>
              <w:marRight w:val="0"/>
              <w:marTop w:val="0"/>
              <w:marBottom w:val="0"/>
              <w:divBdr>
                <w:top w:val="none" w:sz="0" w:space="0" w:color="auto"/>
                <w:left w:val="none" w:sz="0" w:space="0" w:color="auto"/>
                <w:bottom w:val="none" w:sz="0" w:space="0" w:color="auto"/>
                <w:right w:val="none" w:sz="0" w:space="0" w:color="auto"/>
              </w:divBdr>
            </w:div>
          </w:divsChild>
        </w:div>
        <w:div w:id="534657856">
          <w:marLeft w:val="0"/>
          <w:marRight w:val="0"/>
          <w:marTop w:val="0"/>
          <w:marBottom w:val="0"/>
          <w:divBdr>
            <w:top w:val="none" w:sz="0" w:space="0" w:color="auto"/>
            <w:left w:val="none" w:sz="0" w:space="0" w:color="auto"/>
            <w:bottom w:val="none" w:sz="0" w:space="0" w:color="auto"/>
            <w:right w:val="none" w:sz="0" w:space="0" w:color="auto"/>
          </w:divBdr>
          <w:divsChild>
            <w:div w:id="2093115704">
              <w:marLeft w:val="0"/>
              <w:marRight w:val="0"/>
              <w:marTop w:val="0"/>
              <w:marBottom w:val="0"/>
              <w:divBdr>
                <w:top w:val="none" w:sz="0" w:space="0" w:color="auto"/>
                <w:left w:val="none" w:sz="0" w:space="0" w:color="auto"/>
                <w:bottom w:val="none" w:sz="0" w:space="0" w:color="auto"/>
                <w:right w:val="none" w:sz="0" w:space="0" w:color="auto"/>
              </w:divBdr>
            </w:div>
          </w:divsChild>
        </w:div>
        <w:div w:id="543370316">
          <w:marLeft w:val="0"/>
          <w:marRight w:val="0"/>
          <w:marTop w:val="0"/>
          <w:marBottom w:val="0"/>
          <w:divBdr>
            <w:top w:val="none" w:sz="0" w:space="0" w:color="auto"/>
            <w:left w:val="none" w:sz="0" w:space="0" w:color="auto"/>
            <w:bottom w:val="none" w:sz="0" w:space="0" w:color="auto"/>
            <w:right w:val="none" w:sz="0" w:space="0" w:color="auto"/>
          </w:divBdr>
          <w:divsChild>
            <w:div w:id="739642977">
              <w:marLeft w:val="0"/>
              <w:marRight w:val="0"/>
              <w:marTop w:val="0"/>
              <w:marBottom w:val="0"/>
              <w:divBdr>
                <w:top w:val="none" w:sz="0" w:space="0" w:color="auto"/>
                <w:left w:val="none" w:sz="0" w:space="0" w:color="auto"/>
                <w:bottom w:val="none" w:sz="0" w:space="0" w:color="auto"/>
                <w:right w:val="none" w:sz="0" w:space="0" w:color="auto"/>
              </w:divBdr>
            </w:div>
          </w:divsChild>
        </w:div>
        <w:div w:id="546844921">
          <w:marLeft w:val="0"/>
          <w:marRight w:val="0"/>
          <w:marTop w:val="0"/>
          <w:marBottom w:val="0"/>
          <w:divBdr>
            <w:top w:val="none" w:sz="0" w:space="0" w:color="auto"/>
            <w:left w:val="none" w:sz="0" w:space="0" w:color="auto"/>
            <w:bottom w:val="none" w:sz="0" w:space="0" w:color="auto"/>
            <w:right w:val="none" w:sz="0" w:space="0" w:color="auto"/>
          </w:divBdr>
          <w:divsChild>
            <w:div w:id="438960859">
              <w:marLeft w:val="0"/>
              <w:marRight w:val="0"/>
              <w:marTop w:val="0"/>
              <w:marBottom w:val="0"/>
              <w:divBdr>
                <w:top w:val="none" w:sz="0" w:space="0" w:color="auto"/>
                <w:left w:val="none" w:sz="0" w:space="0" w:color="auto"/>
                <w:bottom w:val="none" w:sz="0" w:space="0" w:color="auto"/>
                <w:right w:val="none" w:sz="0" w:space="0" w:color="auto"/>
              </w:divBdr>
            </w:div>
          </w:divsChild>
        </w:div>
        <w:div w:id="558708543">
          <w:marLeft w:val="0"/>
          <w:marRight w:val="0"/>
          <w:marTop w:val="0"/>
          <w:marBottom w:val="0"/>
          <w:divBdr>
            <w:top w:val="none" w:sz="0" w:space="0" w:color="auto"/>
            <w:left w:val="none" w:sz="0" w:space="0" w:color="auto"/>
            <w:bottom w:val="none" w:sz="0" w:space="0" w:color="auto"/>
            <w:right w:val="none" w:sz="0" w:space="0" w:color="auto"/>
          </w:divBdr>
          <w:divsChild>
            <w:div w:id="669984">
              <w:marLeft w:val="0"/>
              <w:marRight w:val="0"/>
              <w:marTop w:val="0"/>
              <w:marBottom w:val="0"/>
              <w:divBdr>
                <w:top w:val="none" w:sz="0" w:space="0" w:color="auto"/>
                <w:left w:val="none" w:sz="0" w:space="0" w:color="auto"/>
                <w:bottom w:val="none" w:sz="0" w:space="0" w:color="auto"/>
                <w:right w:val="none" w:sz="0" w:space="0" w:color="auto"/>
              </w:divBdr>
            </w:div>
          </w:divsChild>
        </w:div>
        <w:div w:id="568468785">
          <w:marLeft w:val="0"/>
          <w:marRight w:val="0"/>
          <w:marTop w:val="0"/>
          <w:marBottom w:val="0"/>
          <w:divBdr>
            <w:top w:val="none" w:sz="0" w:space="0" w:color="auto"/>
            <w:left w:val="none" w:sz="0" w:space="0" w:color="auto"/>
            <w:bottom w:val="none" w:sz="0" w:space="0" w:color="auto"/>
            <w:right w:val="none" w:sz="0" w:space="0" w:color="auto"/>
          </w:divBdr>
          <w:divsChild>
            <w:div w:id="1348406841">
              <w:marLeft w:val="0"/>
              <w:marRight w:val="0"/>
              <w:marTop w:val="0"/>
              <w:marBottom w:val="0"/>
              <w:divBdr>
                <w:top w:val="none" w:sz="0" w:space="0" w:color="auto"/>
                <w:left w:val="none" w:sz="0" w:space="0" w:color="auto"/>
                <w:bottom w:val="none" w:sz="0" w:space="0" w:color="auto"/>
                <w:right w:val="none" w:sz="0" w:space="0" w:color="auto"/>
              </w:divBdr>
            </w:div>
          </w:divsChild>
        </w:div>
        <w:div w:id="574170829">
          <w:marLeft w:val="0"/>
          <w:marRight w:val="0"/>
          <w:marTop w:val="0"/>
          <w:marBottom w:val="0"/>
          <w:divBdr>
            <w:top w:val="none" w:sz="0" w:space="0" w:color="auto"/>
            <w:left w:val="none" w:sz="0" w:space="0" w:color="auto"/>
            <w:bottom w:val="none" w:sz="0" w:space="0" w:color="auto"/>
            <w:right w:val="none" w:sz="0" w:space="0" w:color="auto"/>
          </w:divBdr>
          <w:divsChild>
            <w:div w:id="1814521644">
              <w:marLeft w:val="0"/>
              <w:marRight w:val="0"/>
              <w:marTop w:val="0"/>
              <w:marBottom w:val="0"/>
              <w:divBdr>
                <w:top w:val="none" w:sz="0" w:space="0" w:color="auto"/>
                <w:left w:val="none" w:sz="0" w:space="0" w:color="auto"/>
                <w:bottom w:val="none" w:sz="0" w:space="0" w:color="auto"/>
                <w:right w:val="none" w:sz="0" w:space="0" w:color="auto"/>
              </w:divBdr>
            </w:div>
          </w:divsChild>
        </w:div>
        <w:div w:id="578443279">
          <w:marLeft w:val="0"/>
          <w:marRight w:val="0"/>
          <w:marTop w:val="0"/>
          <w:marBottom w:val="0"/>
          <w:divBdr>
            <w:top w:val="none" w:sz="0" w:space="0" w:color="auto"/>
            <w:left w:val="none" w:sz="0" w:space="0" w:color="auto"/>
            <w:bottom w:val="none" w:sz="0" w:space="0" w:color="auto"/>
            <w:right w:val="none" w:sz="0" w:space="0" w:color="auto"/>
          </w:divBdr>
          <w:divsChild>
            <w:div w:id="1154838930">
              <w:marLeft w:val="0"/>
              <w:marRight w:val="0"/>
              <w:marTop w:val="0"/>
              <w:marBottom w:val="0"/>
              <w:divBdr>
                <w:top w:val="none" w:sz="0" w:space="0" w:color="auto"/>
                <w:left w:val="none" w:sz="0" w:space="0" w:color="auto"/>
                <w:bottom w:val="none" w:sz="0" w:space="0" w:color="auto"/>
                <w:right w:val="none" w:sz="0" w:space="0" w:color="auto"/>
              </w:divBdr>
            </w:div>
          </w:divsChild>
        </w:div>
        <w:div w:id="583149057">
          <w:marLeft w:val="0"/>
          <w:marRight w:val="0"/>
          <w:marTop w:val="0"/>
          <w:marBottom w:val="0"/>
          <w:divBdr>
            <w:top w:val="none" w:sz="0" w:space="0" w:color="auto"/>
            <w:left w:val="none" w:sz="0" w:space="0" w:color="auto"/>
            <w:bottom w:val="none" w:sz="0" w:space="0" w:color="auto"/>
            <w:right w:val="none" w:sz="0" w:space="0" w:color="auto"/>
          </w:divBdr>
          <w:divsChild>
            <w:div w:id="5794708">
              <w:marLeft w:val="0"/>
              <w:marRight w:val="0"/>
              <w:marTop w:val="0"/>
              <w:marBottom w:val="0"/>
              <w:divBdr>
                <w:top w:val="none" w:sz="0" w:space="0" w:color="auto"/>
                <w:left w:val="none" w:sz="0" w:space="0" w:color="auto"/>
                <w:bottom w:val="none" w:sz="0" w:space="0" w:color="auto"/>
                <w:right w:val="none" w:sz="0" w:space="0" w:color="auto"/>
              </w:divBdr>
            </w:div>
          </w:divsChild>
        </w:div>
        <w:div w:id="590315468">
          <w:marLeft w:val="0"/>
          <w:marRight w:val="0"/>
          <w:marTop w:val="0"/>
          <w:marBottom w:val="0"/>
          <w:divBdr>
            <w:top w:val="none" w:sz="0" w:space="0" w:color="auto"/>
            <w:left w:val="none" w:sz="0" w:space="0" w:color="auto"/>
            <w:bottom w:val="none" w:sz="0" w:space="0" w:color="auto"/>
            <w:right w:val="none" w:sz="0" w:space="0" w:color="auto"/>
          </w:divBdr>
          <w:divsChild>
            <w:div w:id="1339698103">
              <w:marLeft w:val="0"/>
              <w:marRight w:val="0"/>
              <w:marTop w:val="0"/>
              <w:marBottom w:val="0"/>
              <w:divBdr>
                <w:top w:val="none" w:sz="0" w:space="0" w:color="auto"/>
                <w:left w:val="none" w:sz="0" w:space="0" w:color="auto"/>
                <w:bottom w:val="none" w:sz="0" w:space="0" w:color="auto"/>
                <w:right w:val="none" w:sz="0" w:space="0" w:color="auto"/>
              </w:divBdr>
            </w:div>
          </w:divsChild>
        </w:div>
        <w:div w:id="593978629">
          <w:marLeft w:val="0"/>
          <w:marRight w:val="0"/>
          <w:marTop w:val="0"/>
          <w:marBottom w:val="0"/>
          <w:divBdr>
            <w:top w:val="none" w:sz="0" w:space="0" w:color="auto"/>
            <w:left w:val="none" w:sz="0" w:space="0" w:color="auto"/>
            <w:bottom w:val="none" w:sz="0" w:space="0" w:color="auto"/>
            <w:right w:val="none" w:sz="0" w:space="0" w:color="auto"/>
          </w:divBdr>
          <w:divsChild>
            <w:div w:id="1792360657">
              <w:marLeft w:val="0"/>
              <w:marRight w:val="0"/>
              <w:marTop w:val="0"/>
              <w:marBottom w:val="0"/>
              <w:divBdr>
                <w:top w:val="none" w:sz="0" w:space="0" w:color="auto"/>
                <w:left w:val="none" w:sz="0" w:space="0" w:color="auto"/>
                <w:bottom w:val="none" w:sz="0" w:space="0" w:color="auto"/>
                <w:right w:val="none" w:sz="0" w:space="0" w:color="auto"/>
              </w:divBdr>
            </w:div>
          </w:divsChild>
        </w:div>
        <w:div w:id="599223494">
          <w:marLeft w:val="0"/>
          <w:marRight w:val="0"/>
          <w:marTop w:val="0"/>
          <w:marBottom w:val="0"/>
          <w:divBdr>
            <w:top w:val="none" w:sz="0" w:space="0" w:color="auto"/>
            <w:left w:val="none" w:sz="0" w:space="0" w:color="auto"/>
            <w:bottom w:val="none" w:sz="0" w:space="0" w:color="auto"/>
            <w:right w:val="none" w:sz="0" w:space="0" w:color="auto"/>
          </w:divBdr>
          <w:divsChild>
            <w:div w:id="478229418">
              <w:marLeft w:val="0"/>
              <w:marRight w:val="0"/>
              <w:marTop w:val="0"/>
              <w:marBottom w:val="0"/>
              <w:divBdr>
                <w:top w:val="none" w:sz="0" w:space="0" w:color="auto"/>
                <w:left w:val="none" w:sz="0" w:space="0" w:color="auto"/>
                <w:bottom w:val="none" w:sz="0" w:space="0" w:color="auto"/>
                <w:right w:val="none" w:sz="0" w:space="0" w:color="auto"/>
              </w:divBdr>
            </w:div>
          </w:divsChild>
        </w:div>
        <w:div w:id="600070041">
          <w:marLeft w:val="0"/>
          <w:marRight w:val="0"/>
          <w:marTop w:val="0"/>
          <w:marBottom w:val="0"/>
          <w:divBdr>
            <w:top w:val="none" w:sz="0" w:space="0" w:color="auto"/>
            <w:left w:val="none" w:sz="0" w:space="0" w:color="auto"/>
            <w:bottom w:val="none" w:sz="0" w:space="0" w:color="auto"/>
            <w:right w:val="none" w:sz="0" w:space="0" w:color="auto"/>
          </w:divBdr>
          <w:divsChild>
            <w:div w:id="1453210989">
              <w:marLeft w:val="0"/>
              <w:marRight w:val="0"/>
              <w:marTop w:val="0"/>
              <w:marBottom w:val="0"/>
              <w:divBdr>
                <w:top w:val="none" w:sz="0" w:space="0" w:color="auto"/>
                <w:left w:val="none" w:sz="0" w:space="0" w:color="auto"/>
                <w:bottom w:val="none" w:sz="0" w:space="0" w:color="auto"/>
                <w:right w:val="none" w:sz="0" w:space="0" w:color="auto"/>
              </w:divBdr>
            </w:div>
          </w:divsChild>
        </w:div>
        <w:div w:id="600995431">
          <w:marLeft w:val="0"/>
          <w:marRight w:val="0"/>
          <w:marTop w:val="0"/>
          <w:marBottom w:val="0"/>
          <w:divBdr>
            <w:top w:val="none" w:sz="0" w:space="0" w:color="auto"/>
            <w:left w:val="none" w:sz="0" w:space="0" w:color="auto"/>
            <w:bottom w:val="none" w:sz="0" w:space="0" w:color="auto"/>
            <w:right w:val="none" w:sz="0" w:space="0" w:color="auto"/>
          </w:divBdr>
          <w:divsChild>
            <w:div w:id="1977248626">
              <w:marLeft w:val="0"/>
              <w:marRight w:val="0"/>
              <w:marTop w:val="0"/>
              <w:marBottom w:val="0"/>
              <w:divBdr>
                <w:top w:val="none" w:sz="0" w:space="0" w:color="auto"/>
                <w:left w:val="none" w:sz="0" w:space="0" w:color="auto"/>
                <w:bottom w:val="none" w:sz="0" w:space="0" w:color="auto"/>
                <w:right w:val="none" w:sz="0" w:space="0" w:color="auto"/>
              </w:divBdr>
            </w:div>
          </w:divsChild>
        </w:div>
        <w:div w:id="604577846">
          <w:marLeft w:val="0"/>
          <w:marRight w:val="0"/>
          <w:marTop w:val="0"/>
          <w:marBottom w:val="0"/>
          <w:divBdr>
            <w:top w:val="none" w:sz="0" w:space="0" w:color="auto"/>
            <w:left w:val="none" w:sz="0" w:space="0" w:color="auto"/>
            <w:bottom w:val="none" w:sz="0" w:space="0" w:color="auto"/>
            <w:right w:val="none" w:sz="0" w:space="0" w:color="auto"/>
          </w:divBdr>
          <w:divsChild>
            <w:div w:id="903445840">
              <w:marLeft w:val="0"/>
              <w:marRight w:val="0"/>
              <w:marTop w:val="0"/>
              <w:marBottom w:val="0"/>
              <w:divBdr>
                <w:top w:val="none" w:sz="0" w:space="0" w:color="auto"/>
                <w:left w:val="none" w:sz="0" w:space="0" w:color="auto"/>
                <w:bottom w:val="none" w:sz="0" w:space="0" w:color="auto"/>
                <w:right w:val="none" w:sz="0" w:space="0" w:color="auto"/>
              </w:divBdr>
            </w:div>
          </w:divsChild>
        </w:div>
        <w:div w:id="610935445">
          <w:marLeft w:val="0"/>
          <w:marRight w:val="0"/>
          <w:marTop w:val="0"/>
          <w:marBottom w:val="0"/>
          <w:divBdr>
            <w:top w:val="none" w:sz="0" w:space="0" w:color="auto"/>
            <w:left w:val="none" w:sz="0" w:space="0" w:color="auto"/>
            <w:bottom w:val="none" w:sz="0" w:space="0" w:color="auto"/>
            <w:right w:val="none" w:sz="0" w:space="0" w:color="auto"/>
          </w:divBdr>
          <w:divsChild>
            <w:div w:id="866328679">
              <w:marLeft w:val="0"/>
              <w:marRight w:val="0"/>
              <w:marTop w:val="0"/>
              <w:marBottom w:val="0"/>
              <w:divBdr>
                <w:top w:val="none" w:sz="0" w:space="0" w:color="auto"/>
                <w:left w:val="none" w:sz="0" w:space="0" w:color="auto"/>
                <w:bottom w:val="none" w:sz="0" w:space="0" w:color="auto"/>
                <w:right w:val="none" w:sz="0" w:space="0" w:color="auto"/>
              </w:divBdr>
            </w:div>
          </w:divsChild>
        </w:div>
        <w:div w:id="614558717">
          <w:marLeft w:val="0"/>
          <w:marRight w:val="0"/>
          <w:marTop w:val="0"/>
          <w:marBottom w:val="0"/>
          <w:divBdr>
            <w:top w:val="none" w:sz="0" w:space="0" w:color="auto"/>
            <w:left w:val="none" w:sz="0" w:space="0" w:color="auto"/>
            <w:bottom w:val="none" w:sz="0" w:space="0" w:color="auto"/>
            <w:right w:val="none" w:sz="0" w:space="0" w:color="auto"/>
          </w:divBdr>
          <w:divsChild>
            <w:div w:id="731805261">
              <w:marLeft w:val="0"/>
              <w:marRight w:val="0"/>
              <w:marTop w:val="0"/>
              <w:marBottom w:val="0"/>
              <w:divBdr>
                <w:top w:val="none" w:sz="0" w:space="0" w:color="auto"/>
                <w:left w:val="none" w:sz="0" w:space="0" w:color="auto"/>
                <w:bottom w:val="none" w:sz="0" w:space="0" w:color="auto"/>
                <w:right w:val="none" w:sz="0" w:space="0" w:color="auto"/>
              </w:divBdr>
            </w:div>
          </w:divsChild>
        </w:div>
        <w:div w:id="615064145">
          <w:marLeft w:val="0"/>
          <w:marRight w:val="0"/>
          <w:marTop w:val="0"/>
          <w:marBottom w:val="0"/>
          <w:divBdr>
            <w:top w:val="none" w:sz="0" w:space="0" w:color="auto"/>
            <w:left w:val="none" w:sz="0" w:space="0" w:color="auto"/>
            <w:bottom w:val="none" w:sz="0" w:space="0" w:color="auto"/>
            <w:right w:val="none" w:sz="0" w:space="0" w:color="auto"/>
          </w:divBdr>
          <w:divsChild>
            <w:div w:id="706107506">
              <w:marLeft w:val="0"/>
              <w:marRight w:val="0"/>
              <w:marTop w:val="0"/>
              <w:marBottom w:val="0"/>
              <w:divBdr>
                <w:top w:val="none" w:sz="0" w:space="0" w:color="auto"/>
                <w:left w:val="none" w:sz="0" w:space="0" w:color="auto"/>
                <w:bottom w:val="none" w:sz="0" w:space="0" w:color="auto"/>
                <w:right w:val="none" w:sz="0" w:space="0" w:color="auto"/>
              </w:divBdr>
            </w:div>
          </w:divsChild>
        </w:div>
        <w:div w:id="618992508">
          <w:marLeft w:val="0"/>
          <w:marRight w:val="0"/>
          <w:marTop w:val="0"/>
          <w:marBottom w:val="0"/>
          <w:divBdr>
            <w:top w:val="none" w:sz="0" w:space="0" w:color="auto"/>
            <w:left w:val="none" w:sz="0" w:space="0" w:color="auto"/>
            <w:bottom w:val="none" w:sz="0" w:space="0" w:color="auto"/>
            <w:right w:val="none" w:sz="0" w:space="0" w:color="auto"/>
          </w:divBdr>
          <w:divsChild>
            <w:div w:id="537665145">
              <w:marLeft w:val="0"/>
              <w:marRight w:val="0"/>
              <w:marTop w:val="0"/>
              <w:marBottom w:val="0"/>
              <w:divBdr>
                <w:top w:val="none" w:sz="0" w:space="0" w:color="auto"/>
                <w:left w:val="none" w:sz="0" w:space="0" w:color="auto"/>
                <w:bottom w:val="none" w:sz="0" w:space="0" w:color="auto"/>
                <w:right w:val="none" w:sz="0" w:space="0" w:color="auto"/>
              </w:divBdr>
            </w:div>
          </w:divsChild>
        </w:div>
        <w:div w:id="619609490">
          <w:marLeft w:val="0"/>
          <w:marRight w:val="0"/>
          <w:marTop w:val="0"/>
          <w:marBottom w:val="0"/>
          <w:divBdr>
            <w:top w:val="none" w:sz="0" w:space="0" w:color="auto"/>
            <w:left w:val="none" w:sz="0" w:space="0" w:color="auto"/>
            <w:bottom w:val="none" w:sz="0" w:space="0" w:color="auto"/>
            <w:right w:val="none" w:sz="0" w:space="0" w:color="auto"/>
          </w:divBdr>
          <w:divsChild>
            <w:div w:id="557858097">
              <w:marLeft w:val="0"/>
              <w:marRight w:val="0"/>
              <w:marTop w:val="0"/>
              <w:marBottom w:val="0"/>
              <w:divBdr>
                <w:top w:val="none" w:sz="0" w:space="0" w:color="auto"/>
                <w:left w:val="none" w:sz="0" w:space="0" w:color="auto"/>
                <w:bottom w:val="none" w:sz="0" w:space="0" w:color="auto"/>
                <w:right w:val="none" w:sz="0" w:space="0" w:color="auto"/>
              </w:divBdr>
            </w:div>
          </w:divsChild>
        </w:div>
        <w:div w:id="620576645">
          <w:marLeft w:val="0"/>
          <w:marRight w:val="0"/>
          <w:marTop w:val="0"/>
          <w:marBottom w:val="0"/>
          <w:divBdr>
            <w:top w:val="none" w:sz="0" w:space="0" w:color="auto"/>
            <w:left w:val="none" w:sz="0" w:space="0" w:color="auto"/>
            <w:bottom w:val="none" w:sz="0" w:space="0" w:color="auto"/>
            <w:right w:val="none" w:sz="0" w:space="0" w:color="auto"/>
          </w:divBdr>
          <w:divsChild>
            <w:div w:id="30423662">
              <w:marLeft w:val="0"/>
              <w:marRight w:val="0"/>
              <w:marTop w:val="0"/>
              <w:marBottom w:val="0"/>
              <w:divBdr>
                <w:top w:val="none" w:sz="0" w:space="0" w:color="auto"/>
                <w:left w:val="none" w:sz="0" w:space="0" w:color="auto"/>
                <w:bottom w:val="none" w:sz="0" w:space="0" w:color="auto"/>
                <w:right w:val="none" w:sz="0" w:space="0" w:color="auto"/>
              </w:divBdr>
            </w:div>
          </w:divsChild>
        </w:div>
        <w:div w:id="629438047">
          <w:marLeft w:val="0"/>
          <w:marRight w:val="0"/>
          <w:marTop w:val="0"/>
          <w:marBottom w:val="0"/>
          <w:divBdr>
            <w:top w:val="none" w:sz="0" w:space="0" w:color="auto"/>
            <w:left w:val="none" w:sz="0" w:space="0" w:color="auto"/>
            <w:bottom w:val="none" w:sz="0" w:space="0" w:color="auto"/>
            <w:right w:val="none" w:sz="0" w:space="0" w:color="auto"/>
          </w:divBdr>
          <w:divsChild>
            <w:div w:id="949433235">
              <w:marLeft w:val="0"/>
              <w:marRight w:val="0"/>
              <w:marTop w:val="0"/>
              <w:marBottom w:val="0"/>
              <w:divBdr>
                <w:top w:val="none" w:sz="0" w:space="0" w:color="auto"/>
                <w:left w:val="none" w:sz="0" w:space="0" w:color="auto"/>
                <w:bottom w:val="none" w:sz="0" w:space="0" w:color="auto"/>
                <w:right w:val="none" w:sz="0" w:space="0" w:color="auto"/>
              </w:divBdr>
            </w:div>
          </w:divsChild>
        </w:div>
        <w:div w:id="631257039">
          <w:marLeft w:val="0"/>
          <w:marRight w:val="0"/>
          <w:marTop w:val="0"/>
          <w:marBottom w:val="0"/>
          <w:divBdr>
            <w:top w:val="none" w:sz="0" w:space="0" w:color="auto"/>
            <w:left w:val="none" w:sz="0" w:space="0" w:color="auto"/>
            <w:bottom w:val="none" w:sz="0" w:space="0" w:color="auto"/>
            <w:right w:val="none" w:sz="0" w:space="0" w:color="auto"/>
          </w:divBdr>
          <w:divsChild>
            <w:div w:id="523639337">
              <w:marLeft w:val="0"/>
              <w:marRight w:val="0"/>
              <w:marTop w:val="0"/>
              <w:marBottom w:val="0"/>
              <w:divBdr>
                <w:top w:val="none" w:sz="0" w:space="0" w:color="auto"/>
                <w:left w:val="none" w:sz="0" w:space="0" w:color="auto"/>
                <w:bottom w:val="none" w:sz="0" w:space="0" w:color="auto"/>
                <w:right w:val="none" w:sz="0" w:space="0" w:color="auto"/>
              </w:divBdr>
            </w:div>
          </w:divsChild>
        </w:div>
        <w:div w:id="632685389">
          <w:marLeft w:val="0"/>
          <w:marRight w:val="0"/>
          <w:marTop w:val="0"/>
          <w:marBottom w:val="0"/>
          <w:divBdr>
            <w:top w:val="none" w:sz="0" w:space="0" w:color="auto"/>
            <w:left w:val="none" w:sz="0" w:space="0" w:color="auto"/>
            <w:bottom w:val="none" w:sz="0" w:space="0" w:color="auto"/>
            <w:right w:val="none" w:sz="0" w:space="0" w:color="auto"/>
          </w:divBdr>
          <w:divsChild>
            <w:div w:id="105658743">
              <w:marLeft w:val="0"/>
              <w:marRight w:val="0"/>
              <w:marTop w:val="0"/>
              <w:marBottom w:val="0"/>
              <w:divBdr>
                <w:top w:val="none" w:sz="0" w:space="0" w:color="auto"/>
                <w:left w:val="none" w:sz="0" w:space="0" w:color="auto"/>
                <w:bottom w:val="none" w:sz="0" w:space="0" w:color="auto"/>
                <w:right w:val="none" w:sz="0" w:space="0" w:color="auto"/>
              </w:divBdr>
            </w:div>
          </w:divsChild>
        </w:div>
        <w:div w:id="633681066">
          <w:marLeft w:val="0"/>
          <w:marRight w:val="0"/>
          <w:marTop w:val="0"/>
          <w:marBottom w:val="0"/>
          <w:divBdr>
            <w:top w:val="none" w:sz="0" w:space="0" w:color="auto"/>
            <w:left w:val="none" w:sz="0" w:space="0" w:color="auto"/>
            <w:bottom w:val="none" w:sz="0" w:space="0" w:color="auto"/>
            <w:right w:val="none" w:sz="0" w:space="0" w:color="auto"/>
          </w:divBdr>
          <w:divsChild>
            <w:div w:id="361126939">
              <w:marLeft w:val="0"/>
              <w:marRight w:val="0"/>
              <w:marTop w:val="0"/>
              <w:marBottom w:val="0"/>
              <w:divBdr>
                <w:top w:val="none" w:sz="0" w:space="0" w:color="auto"/>
                <w:left w:val="none" w:sz="0" w:space="0" w:color="auto"/>
                <w:bottom w:val="none" w:sz="0" w:space="0" w:color="auto"/>
                <w:right w:val="none" w:sz="0" w:space="0" w:color="auto"/>
              </w:divBdr>
            </w:div>
          </w:divsChild>
        </w:div>
        <w:div w:id="634216445">
          <w:marLeft w:val="0"/>
          <w:marRight w:val="0"/>
          <w:marTop w:val="0"/>
          <w:marBottom w:val="0"/>
          <w:divBdr>
            <w:top w:val="none" w:sz="0" w:space="0" w:color="auto"/>
            <w:left w:val="none" w:sz="0" w:space="0" w:color="auto"/>
            <w:bottom w:val="none" w:sz="0" w:space="0" w:color="auto"/>
            <w:right w:val="none" w:sz="0" w:space="0" w:color="auto"/>
          </w:divBdr>
          <w:divsChild>
            <w:div w:id="835606989">
              <w:marLeft w:val="0"/>
              <w:marRight w:val="0"/>
              <w:marTop w:val="0"/>
              <w:marBottom w:val="0"/>
              <w:divBdr>
                <w:top w:val="none" w:sz="0" w:space="0" w:color="auto"/>
                <w:left w:val="none" w:sz="0" w:space="0" w:color="auto"/>
                <w:bottom w:val="none" w:sz="0" w:space="0" w:color="auto"/>
                <w:right w:val="none" w:sz="0" w:space="0" w:color="auto"/>
              </w:divBdr>
            </w:div>
          </w:divsChild>
        </w:div>
        <w:div w:id="636762045">
          <w:marLeft w:val="0"/>
          <w:marRight w:val="0"/>
          <w:marTop w:val="0"/>
          <w:marBottom w:val="0"/>
          <w:divBdr>
            <w:top w:val="none" w:sz="0" w:space="0" w:color="auto"/>
            <w:left w:val="none" w:sz="0" w:space="0" w:color="auto"/>
            <w:bottom w:val="none" w:sz="0" w:space="0" w:color="auto"/>
            <w:right w:val="none" w:sz="0" w:space="0" w:color="auto"/>
          </w:divBdr>
          <w:divsChild>
            <w:div w:id="214969031">
              <w:marLeft w:val="0"/>
              <w:marRight w:val="0"/>
              <w:marTop w:val="0"/>
              <w:marBottom w:val="0"/>
              <w:divBdr>
                <w:top w:val="none" w:sz="0" w:space="0" w:color="auto"/>
                <w:left w:val="none" w:sz="0" w:space="0" w:color="auto"/>
                <w:bottom w:val="none" w:sz="0" w:space="0" w:color="auto"/>
                <w:right w:val="none" w:sz="0" w:space="0" w:color="auto"/>
              </w:divBdr>
            </w:div>
          </w:divsChild>
        </w:div>
        <w:div w:id="642543046">
          <w:marLeft w:val="0"/>
          <w:marRight w:val="0"/>
          <w:marTop w:val="0"/>
          <w:marBottom w:val="0"/>
          <w:divBdr>
            <w:top w:val="none" w:sz="0" w:space="0" w:color="auto"/>
            <w:left w:val="none" w:sz="0" w:space="0" w:color="auto"/>
            <w:bottom w:val="none" w:sz="0" w:space="0" w:color="auto"/>
            <w:right w:val="none" w:sz="0" w:space="0" w:color="auto"/>
          </w:divBdr>
          <w:divsChild>
            <w:div w:id="553586873">
              <w:marLeft w:val="0"/>
              <w:marRight w:val="0"/>
              <w:marTop w:val="0"/>
              <w:marBottom w:val="0"/>
              <w:divBdr>
                <w:top w:val="none" w:sz="0" w:space="0" w:color="auto"/>
                <w:left w:val="none" w:sz="0" w:space="0" w:color="auto"/>
                <w:bottom w:val="none" w:sz="0" w:space="0" w:color="auto"/>
                <w:right w:val="none" w:sz="0" w:space="0" w:color="auto"/>
              </w:divBdr>
            </w:div>
          </w:divsChild>
        </w:div>
        <w:div w:id="650596162">
          <w:marLeft w:val="0"/>
          <w:marRight w:val="0"/>
          <w:marTop w:val="0"/>
          <w:marBottom w:val="0"/>
          <w:divBdr>
            <w:top w:val="none" w:sz="0" w:space="0" w:color="auto"/>
            <w:left w:val="none" w:sz="0" w:space="0" w:color="auto"/>
            <w:bottom w:val="none" w:sz="0" w:space="0" w:color="auto"/>
            <w:right w:val="none" w:sz="0" w:space="0" w:color="auto"/>
          </w:divBdr>
          <w:divsChild>
            <w:div w:id="1867864838">
              <w:marLeft w:val="0"/>
              <w:marRight w:val="0"/>
              <w:marTop w:val="0"/>
              <w:marBottom w:val="0"/>
              <w:divBdr>
                <w:top w:val="none" w:sz="0" w:space="0" w:color="auto"/>
                <w:left w:val="none" w:sz="0" w:space="0" w:color="auto"/>
                <w:bottom w:val="none" w:sz="0" w:space="0" w:color="auto"/>
                <w:right w:val="none" w:sz="0" w:space="0" w:color="auto"/>
              </w:divBdr>
            </w:div>
          </w:divsChild>
        </w:div>
        <w:div w:id="652490768">
          <w:marLeft w:val="0"/>
          <w:marRight w:val="0"/>
          <w:marTop w:val="0"/>
          <w:marBottom w:val="0"/>
          <w:divBdr>
            <w:top w:val="none" w:sz="0" w:space="0" w:color="auto"/>
            <w:left w:val="none" w:sz="0" w:space="0" w:color="auto"/>
            <w:bottom w:val="none" w:sz="0" w:space="0" w:color="auto"/>
            <w:right w:val="none" w:sz="0" w:space="0" w:color="auto"/>
          </w:divBdr>
          <w:divsChild>
            <w:div w:id="707073377">
              <w:marLeft w:val="0"/>
              <w:marRight w:val="0"/>
              <w:marTop w:val="0"/>
              <w:marBottom w:val="0"/>
              <w:divBdr>
                <w:top w:val="none" w:sz="0" w:space="0" w:color="auto"/>
                <w:left w:val="none" w:sz="0" w:space="0" w:color="auto"/>
                <w:bottom w:val="none" w:sz="0" w:space="0" w:color="auto"/>
                <w:right w:val="none" w:sz="0" w:space="0" w:color="auto"/>
              </w:divBdr>
            </w:div>
          </w:divsChild>
        </w:div>
        <w:div w:id="657658687">
          <w:marLeft w:val="0"/>
          <w:marRight w:val="0"/>
          <w:marTop w:val="0"/>
          <w:marBottom w:val="0"/>
          <w:divBdr>
            <w:top w:val="none" w:sz="0" w:space="0" w:color="auto"/>
            <w:left w:val="none" w:sz="0" w:space="0" w:color="auto"/>
            <w:bottom w:val="none" w:sz="0" w:space="0" w:color="auto"/>
            <w:right w:val="none" w:sz="0" w:space="0" w:color="auto"/>
          </w:divBdr>
          <w:divsChild>
            <w:div w:id="974069920">
              <w:marLeft w:val="0"/>
              <w:marRight w:val="0"/>
              <w:marTop w:val="0"/>
              <w:marBottom w:val="0"/>
              <w:divBdr>
                <w:top w:val="none" w:sz="0" w:space="0" w:color="auto"/>
                <w:left w:val="none" w:sz="0" w:space="0" w:color="auto"/>
                <w:bottom w:val="none" w:sz="0" w:space="0" w:color="auto"/>
                <w:right w:val="none" w:sz="0" w:space="0" w:color="auto"/>
              </w:divBdr>
            </w:div>
          </w:divsChild>
        </w:div>
        <w:div w:id="660234134">
          <w:marLeft w:val="0"/>
          <w:marRight w:val="0"/>
          <w:marTop w:val="0"/>
          <w:marBottom w:val="0"/>
          <w:divBdr>
            <w:top w:val="none" w:sz="0" w:space="0" w:color="auto"/>
            <w:left w:val="none" w:sz="0" w:space="0" w:color="auto"/>
            <w:bottom w:val="none" w:sz="0" w:space="0" w:color="auto"/>
            <w:right w:val="none" w:sz="0" w:space="0" w:color="auto"/>
          </w:divBdr>
          <w:divsChild>
            <w:div w:id="667057609">
              <w:marLeft w:val="0"/>
              <w:marRight w:val="0"/>
              <w:marTop w:val="0"/>
              <w:marBottom w:val="0"/>
              <w:divBdr>
                <w:top w:val="none" w:sz="0" w:space="0" w:color="auto"/>
                <w:left w:val="none" w:sz="0" w:space="0" w:color="auto"/>
                <w:bottom w:val="none" w:sz="0" w:space="0" w:color="auto"/>
                <w:right w:val="none" w:sz="0" w:space="0" w:color="auto"/>
              </w:divBdr>
            </w:div>
          </w:divsChild>
        </w:div>
        <w:div w:id="661929844">
          <w:marLeft w:val="0"/>
          <w:marRight w:val="0"/>
          <w:marTop w:val="0"/>
          <w:marBottom w:val="0"/>
          <w:divBdr>
            <w:top w:val="none" w:sz="0" w:space="0" w:color="auto"/>
            <w:left w:val="none" w:sz="0" w:space="0" w:color="auto"/>
            <w:bottom w:val="none" w:sz="0" w:space="0" w:color="auto"/>
            <w:right w:val="none" w:sz="0" w:space="0" w:color="auto"/>
          </w:divBdr>
          <w:divsChild>
            <w:div w:id="2113160761">
              <w:marLeft w:val="0"/>
              <w:marRight w:val="0"/>
              <w:marTop w:val="0"/>
              <w:marBottom w:val="0"/>
              <w:divBdr>
                <w:top w:val="none" w:sz="0" w:space="0" w:color="auto"/>
                <w:left w:val="none" w:sz="0" w:space="0" w:color="auto"/>
                <w:bottom w:val="none" w:sz="0" w:space="0" w:color="auto"/>
                <w:right w:val="none" w:sz="0" w:space="0" w:color="auto"/>
              </w:divBdr>
            </w:div>
          </w:divsChild>
        </w:div>
        <w:div w:id="669675951">
          <w:marLeft w:val="0"/>
          <w:marRight w:val="0"/>
          <w:marTop w:val="0"/>
          <w:marBottom w:val="0"/>
          <w:divBdr>
            <w:top w:val="none" w:sz="0" w:space="0" w:color="auto"/>
            <w:left w:val="none" w:sz="0" w:space="0" w:color="auto"/>
            <w:bottom w:val="none" w:sz="0" w:space="0" w:color="auto"/>
            <w:right w:val="none" w:sz="0" w:space="0" w:color="auto"/>
          </w:divBdr>
          <w:divsChild>
            <w:div w:id="821577400">
              <w:marLeft w:val="0"/>
              <w:marRight w:val="0"/>
              <w:marTop w:val="0"/>
              <w:marBottom w:val="0"/>
              <w:divBdr>
                <w:top w:val="none" w:sz="0" w:space="0" w:color="auto"/>
                <w:left w:val="none" w:sz="0" w:space="0" w:color="auto"/>
                <w:bottom w:val="none" w:sz="0" w:space="0" w:color="auto"/>
                <w:right w:val="none" w:sz="0" w:space="0" w:color="auto"/>
              </w:divBdr>
            </w:div>
          </w:divsChild>
        </w:div>
        <w:div w:id="670527632">
          <w:marLeft w:val="0"/>
          <w:marRight w:val="0"/>
          <w:marTop w:val="0"/>
          <w:marBottom w:val="0"/>
          <w:divBdr>
            <w:top w:val="none" w:sz="0" w:space="0" w:color="auto"/>
            <w:left w:val="none" w:sz="0" w:space="0" w:color="auto"/>
            <w:bottom w:val="none" w:sz="0" w:space="0" w:color="auto"/>
            <w:right w:val="none" w:sz="0" w:space="0" w:color="auto"/>
          </w:divBdr>
          <w:divsChild>
            <w:div w:id="916204321">
              <w:marLeft w:val="0"/>
              <w:marRight w:val="0"/>
              <w:marTop w:val="0"/>
              <w:marBottom w:val="0"/>
              <w:divBdr>
                <w:top w:val="none" w:sz="0" w:space="0" w:color="auto"/>
                <w:left w:val="none" w:sz="0" w:space="0" w:color="auto"/>
                <w:bottom w:val="none" w:sz="0" w:space="0" w:color="auto"/>
                <w:right w:val="none" w:sz="0" w:space="0" w:color="auto"/>
              </w:divBdr>
            </w:div>
          </w:divsChild>
        </w:div>
        <w:div w:id="691416511">
          <w:marLeft w:val="0"/>
          <w:marRight w:val="0"/>
          <w:marTop w:val="0"/>
          <w:marBottom w:val="0"/>
          <w:divBdr>
            <w:top w:val="none" w:sz="0" w:space="0" w:color="auto"/>
            <w:left w:val="none" w:sz="0" w:space="0" w:color="auto"/>
            <w:bottom w:val="none" w:sz="0" w:space="0" w:color="auto"/>
            <w:right w:val="none" w:sz="0" w:space="0" w:color="auto"/>
          </w:divBdr>
          <w:divsChild>
            <w:div w:id="2106417757">
              <w:marLeft w:val="0"/>
              <w:marRight w:val="0"/>
              <w:marTop w:val="0"/>
              <w:marBottom w:val="0"/>
              <w:divBdr>
                <w:top w:val="none" w:sz="0" w:space="0" w:color="auto"/>
                <w:left w:val="none" w:sz="0" w:space="0" w:color="auto"/>
                <w:bottom w:val="none" w:sz="0" w:space="0" w:color="auto"/>
                <w:right w:val="none" w:sz="0" w:space="0" w:color="auto"/>
              </w:divBdr>
            </w:div>
          </w:divsChild>
        </w:div>
        <w:div w:id="700588444">
          <w:marLeft w:val="0"/>
          <w:marRight w:val="0"/>
          <w:marTop w:val="0"/>
          <w:marBottom w:val="0"/>
          <w:divBdr>
            <w:top w:val="none" w:sz="0" w:space="0" w:color="auto"/>
            <w:left w:val="none" w:sz="0" w:space="0" w:color="auto"/>
            <w:bottom w:val="none" w:sz="0" w:space="0" w:color="auto"/>
            <w:right w:val="none" w:sz="0" w:space="0" w:color="auto"/>
          </w:divBdr>
          <w:divsChild>
            <w:div w:id="600066524">
              <w:marLeft w:val="0"/>
              <w:marRight w:val="0"/>
              <w:marTop w:val="0"/>
              <w:marBottom w:val="0"/>
              <w:divBdr>
                <w:top w:val="none" w:sz="0" w:space="0" w:color="auto"/>
                <w:left w:val="none" w:sz="0" w:space="0" w:color="auto"/>
                <w:bottom w:val="none" w:sz="0" w:space="0" w:color="auto"/>
                <w:right w:val="none" w:sz="0" w:space="0" w:color="auto"/>
              </w:divBdr>
            </w:div>
          </w:divsChild>
        </w:div>
        <w:div w:id="711150969">
          <w:marLeft w:val="0"/>
          <w:marRight w:val="0"/>
          <w:marTop w:val="0"/>
          <w:marBottom w:val="0"/>
          <w:divBdr>
            <w:top w:val="none" w:sz="0" w:space="0" w:color="auto"/>
            <w:left w:val="none" w:sz="0" w:space="0" w:color="auto"/>
            <w:bottom w:val="none" w:sz="0" w:space="0" w:color="auto"/>
            <w:right w:val="none" w:sz="0" w:space="0" w:color="auto"/>
          </w:divBdr>
          <w:divsChild>
            <w:div w:id="2057571">
              <w:marLeft w:val="0"/>
              <w:marRight w:val="0"/>
              <w:marTop w:val="0"/>
              <w:marBottom w:val="0"/>
              <w:divBdr>
                <w:top w:val="none" w:sz="0" w:space="0" w:color="auto"/>
                <w:left w:val="none" w:sz="0" w:space="0" w:color="auto"/>
                <w:bottom w:val="none" w:sz="0" w:space="0" w:color="auto"/>
                <w:right w:val="none" w:sz="0" w:space="0" w:color="auto"/>
              </w:divBdr>
            </w:div>
          </w:divsChild>
        </w:div>
        <w:div w:id="715470883">
          <w:marLeft w:val="0"/>
          <w:marRight w:val="0"/>
          <w:marTop w:val="0"/>
          <w:marBottom w:val="0"/>
          <w:divBdr>
            <w:top w:val="none" w:sz="0" w:space="0" w:color="auto"/>
            <w:left w:val="none" w:sz="0" w:space="0" w:color="auto"/>
            <w:bottom w:val="none" w:sz="0" w:space="0" w:color="auto"/>
            <w:right w:val="none" w:sz="0" w:space="0" w:color="auto"/>
          </w:divBdr>
          <w:divsChild>
            <w:div w:id="1512838980">
              <w:marLeft w:val="0"/>
              <w:marRight w:val="0"/>
              <w:marTop w:val="0"/>
              <w:marBottom w:val="0"/>
              <w:divBdr>
                <w:top w:val="none" w:sz="0" w:space="0" w:color="auto"/>
                <w:left w:val="none" w:sz="0" w:space="0" w:color="auto"/>
                <w:bottom w:val="none" w:sz="0" w:space="0" w:color="auto"/>
                <w:right w:val="none" w:sz="0" w:space="0" w:color="auto"/>
              </w:divBdr>
            </w:div>
          </w:divsChild>
        </w:div>
        <w:div w:id="721052176">
          <w:marLeft w:val="0"/>
          <w:marRight w:val="0"/>
          <w:marTop w:val="0"/>
          <w:marBottom w:val="0"/>
          <w:divBdr>
            <w:top w:val="none" w:sz="0" w:space="0" w:color="auto"/>
            <w:left w:val="none" w:sz="0" w:space="0" w:color="auto"/>
            <w:bottom w:val="none" w:sz="0" w:space="0" w:color="auto"/>
            <w:right w:val="none" w:sz="0" w:space="0" w:color="auto"/>
          </w:divBdr>
          <w:divsChild>
            <w:div w:id="1418594389">
              <w:marLeft w:val="0"/>
              <w:marRight w:val="0"/>
              <w:marTop w:val="0"/>
              <w:marBottom w:val="0"/>
              <w:divBdr>
                <w:top w:val="none" w:sz="0" w:space="0" w:color="auto"/>
                <w:left w:val="none" w:sz="0" w:space="0" w:color="auto"/>
                <w:bottom w:val="none" w:sz="0" w:space="0" w:color="auto"/>
                <w:right w:val="none" w:sz="0" w:space="0" w:color="auto"/>
              </w:divBdr>
            </w:div>
          </w:divsChild>
        </w:div>
        <w:div w:id="721446436">
          <w:marLeft w:val="0"/>
          <w:marRight w:val="0"/>
          <w:marTop w:val="0"/>
          <w:marBottom w:val="0"/>
          <w:divBdr>
            <w:top w:val="none" w:sz="0" w:space="0" w:color="auto"/>
            <w:left w:val="none" w:sz="0" w:space="0" w:color="auto"/>
            <w:bottom w:val="none" w:sz="0" w:space="0" w:color="auto"/>
            <w:right w:val="none" w:sz="0" w:space="0" w:color="auto"/>
          </w:divBdr>
          <w:divsChild>
            <w:div w:id="613098903">
              <w:marLeft w:val="0"/>
              <w:marRight w:val="0"/>
              <w:marTop w:val="0"/>
              <w:marBottom w:val="0"/>
              <w:divBdr>
                <w:top w:val="none" w:sz="0" w:space="0" w:color="auto"/>
                <w:left w:val="none" w:sz="0" w:space="0" w:color="auto"/>
                <w:bottom w:val="none" w:sz="0" w:space="0" w:color="auto"/>
                <w:right w:val="none" w:sz="0" w:space="0" w:color="auto"/>
              </w:divBdr>
            </w:div>
          </w:divsChild>
        </w:div>
        <w:div w:id="722145307">
          <w:marLeft w:val="0"/>
          <w:marRight w:val="0"/>
          <w:marTop w:val="0"/>
          <w:marBottom w:val="0"/>
          <w:divBdr>
            <w:top w:val="none" w:sz="0" w:space="0" w:color="auto"/>
            <w:left w:val="none" w:sz="0" w:space="0" w:color="auto"/>
            <w:bottom w:val="none" w:sz="0" w:space="0" w:color="auto"/>
            <w:right w:val="none" w:sz="0" w:space="0" w:color="auto"/>
          </w:divBdr>
          <w:divsChild>
            <w:div w:id="1270893431">
              <w:marLeft w:val="0"/>
              <w:marRight w:val="0"/>
              <w:marTop w:val="0"/>
              <w:marBottom w:val="0"/>
              <w:divBdr>
                <w:top w:val="none" w:sz="0" w:space="0" w:color="auto"/>
                <w:left w:val="none" w:sz="0" w:space="0" w:color="auto"/>
                <w:bottom w:val="none" w:sz="0" w:space="0" w:color="auto"/>
                <w:right w:val="none" w:sz="0" w:space="0" w:color="auto"/>
              </w:divBdr>
            </w:div>
          </w:divsChild>
        </w:div>
        <w:div w:id="722869919">
          <w:marLeft w:val="0"/>
          <w:marRight w:val="0"/>
          <w:marTop w:val="0"/>
          <w:marBottom w:val="0"/>
          <w:divBdr>
            <w:top w:val="none" w:sz="0" w:space="0" w:color="auto"/>
            <w:left w:val="none" w:sz="0" w:space="0" w:color="auto"/>
            <w:bottom w:val="none" w:sz="0" w:space="0" w:color="auto"/>
            <w:right w:val="none" w:sz="0" w:space="0" w:color="auto"/>
          </w:divBdr>
          <w:divsChild>
            <w:div w:id="180052486">
              <w:marLeft w:val="0"/>
              <w:marRight w:val="0"/>
              <w:marTop w:val="0"/>
              <w:marBottom w:val="0"/>
              <w:divBdr>
                <w:top w:val="none" w:sz="0" w:space="0" w:color="auto"/>
                <w:left w:val="none" w:sz="0" w:space="0" w:color="auto"/>
                <w:bottom w:val="none" w:sz="0" w:space="0" w:color="auto"/>
                <w:right w:val="none" w:sz="0" w:space="0" w:color="auto"/>
              </w:divBdr>
            </w:div>
          </w:divsChild>
        </w:div>
        <w:div w:id="723409131">
          <w:marLeft w:val="0"/>
          <w:marRight w:val="0"/>
          <w:marTop w:val="0"/>
          <w:marBottom w:val="0"/>
          <w:divBdr>
            <w:top w:val="none" w:sz="0" w:space="0" w:color="auto"/>
            <w:left w:val="none" w:sz="0" w:space="0" w:color="auto"/>
            <w:bottom w:val="none" w:sz="0" w:space="0" w:color="auto"/>
            <w:right w:val="none" w:sz="0" w:space="0" w:color="auto"/>
          </w:divBdr>
          <w:divsChild>
            <w:div w:id="319889301">
              <w:marLeft w:val="0"/>
              <w:marRight w:val="0"/>
              <w:marTop w:val="0"/>
              <w:marBottom w:val="0"/>
              <w:divBdr>
                <w:top w:val="none" w:sz="0" w:space="0" w:color="auto"/>
                <w:left w:val="none" w:sz="0" w:space="0" w:color="auto"/>
                <w:bottom w:val="none" w:sz="0" w:space="0" w:color="auto"/>
                <w:right w:val="none" w:sz="0" w:space="0" w:color="auto"/>
              </w:divBdr>
            </w:div>
          </w:divsChild>
        </w:div>
        <w:div w:id="724567602">
          <w:marLeft w:val="0"/>
          <w:marRight w:val="0"/>
          <w:marTop w:val="0"/>
          <w:marBottom w:val="0"/>
          <w:divBdr>
            <w:top w:val="none" w:sz="0" w:space="0" w:color="auto"/>
            <w:left w:val="none" w:sz="0" w:space="0" w:color="auto"/>
            <w:bottom w:val="none" w:sz="0" w:space="0" w:color="auto"/>
            <w:right w:val="none" w:sz="0" w:space="0" w:color="auto"/>
          </w:divBdr>
          <w:divsChild>
            <w:div w:id="979266178">
              <w:marLeft w:val="0"/>
              <w:marRight w:val="0"/>
              <w:marTop w:val="0"/>
              <w:marBottom w:val="0"/>
              <w:divBdr>
                <w:top w:val="none" w:sz="0" w:space="0" w:color="auto"/>
                <w:left w:val="none" w:sz="0" w:space="0" w:color="auto"/>
                <w:bottom w:val="none" w:sz="0" w:space="0" w:color="auto"/>
                <w:right w:val="none" w:sz="0" w:space="0" w:color="auto"/>
              </w:divBdr>
            </w:div>
          </w:divsChild>
        </w:div>
        <w:div w:id="724597729">
          <w:marLeft w:val="0"/>
          <w:marRight w:val="0"/>
          <w:marTop w:val="0"/>
          <w:marBottom w:val="0"/>
          <w:divBdr>
            <w:top w:val="none" w:sz="0" w:space="0" w:color="auto"/>
            <w:left w:val="none" w:sz="0" w:space="0" w:color="auto"/>
            <w:bottom w:val="none" w:sz="0" w:space="0" w:color="auto"/>
            <w:right w:val="none" w:sz="0" w:space="0" w:color="auto"/>
          </w:divBdr>
          <w:divsChild>
            <w:div w:id="1719085480">
              <w:marLeft w:val="0"/>
              <w:marRight w:val="0"/>
              <w:marTop w:val="0"/>
              <w:marBottom w:val="0"/>
              <w:divBdr>
                <w:top w:val="none" w:sz="0" w:space="0" w:color="auto"/>
                <w:left w:val="none" w:sz="0" w:space="0" w:color="auto"/>
                <w:bottom w:val="none" w:sz="0" w:space="0" w:color="auto"/>
                <w:right w:val="none" w:sz="0" w:space="0" w:color="auto"/>
              </w:divBdr>
            </w:div>
          </w:divsChild>
        </w:div>
        <w:div w:id="739912850">
          <w:marLeft w:val="0"/>
          <w:marRight w:val="0"/>
          <w:marTop w:val="0"/>
          <w:marBottom w:val="0"/>
          <w:divBdr>
            <w:top w:val="none" w:sz="0" w:space="0" w:color="auto"/>
            <w:left w:val="none" w:sz="0" w:space="0" w:color="auto"/>
            <w:bottom w:val="none" w:sz="0" w:space="0" w:color="auto"/>
            <w:right w:val="none" w:sz="0" w:space="0" w:color="auto"/>
          </w:divBdr>
          <w:divsChild>
            <w:div w:id="1789087023">
              <w:marLeft w:val="0"/>
              <w:marRight w:val="0"/>
              <w:marTop w:val="0"/>
              <w:marBottom w:val="0"/>
              <w:divBdr>
                <w:top w:val="none" w:sz="0" w:space="0" w:color="auto"/>
                <w:left w:val="none" w:sz="0" w:space="0" w:color="auto"/>
                <w:bottom w:val="none" w:sz="0" w:space="0" w:color="auto"/>
                <w:right w:val="none" w:sz="0" w:space="0" w:color="auto"/>
              </w:divBdr>
            </w:div>
          </w:divsChild>
        </w:div>
        <w:div w:id="740635535">
          <w:marLeft w:val="0"/>
          <w:marRight w:val="0"/>
          <w:marTop w:val="0"/>
          <w:marBottom w:val="0"/>
          <w:divBdr>
            <w:top w:val="none" w:sz="0" w:space="0" w:color="auto"/>
            <w:left w:val="none" w:sz="0" w:space="0" w:color="auto"/>
            <w:bottom w:val="none" w:sz="0" w:space="0" w:color="auto"/>
            <w:right w:val="none" w:sz="0" w:space="0" w:color="auto"/>
          </w:divBdr>
          <w:divsChild>
            <w:div w:id="601884560">
              <w:marLeft w:val="0"/>
              <w:marRight w:val="0"/>
              <w:marTop w:val="0"/>
              <w:marBottom w:val="0"/>
              <w:divBdr>
                <w:top w:val="none" w:sz="0" w:space="0" w:color="auto"/>
                <w:left w:val="none" w:sz="0" w:space="0" w:color="auto"/>
                <w:bottom w:val="none" w:sz="0" w:space="0" w:color="auto"/>
                <w:right w:val="none" w:sz="0" w:space="0" w:color="auto"/>
              </w:divBdr>
            </w:div>
          </w:divsChild>
        </w:div>
        <w:div w:id="751585138">
          <w:marLeft w:val="0"/>
          <w:marRight w:val="0"/>
          <w:marTop w:val="0"/>
          <w:marBottom w:val="0"/>
          <w:divBdr>
            <w:top w:val="none" w:sz="0" w:space="0" w:color="auto"/>
            <w:left w:val="none" w:sz="0" w:space="0" w:color="auto"/>
            <w:bottom w:val="none" w:sz="0" w:space="0" w:color="auto"/>
            <w:right w:val="none" w:sz="0" w:space="0" w:color="auto"/>
          </w:divBdr>
          <w:divsChild>
            <w:div w:id="1305432988">
              <w:marLeft w:val="0"/>
              <w:marRight w:val="0"/>
              <w:marTop w:val="0"/>
              <w:marBottom w:val="0"/>
              <w:divBdr>
                <w:top w:val="none" w:sz="0" w:space="0" w:color="auto"/>
                <w:left w:val="none" w:sz="0" w:space="0" w:color="auto"/>
                <w:bottom w:val="none" w:sz="0" w:space="0" w:color="auto"/>
                <w:right w:val="none" w:sz="0" w:space="0" w:color="auto"/>
              </w:divBdr>
            </w:div>
          </w:divsChild>
        </w:div>
        <w:div w:id="753281859">
          <w:marLeft w:val="0"/>
          <w:marRight w:val="0"/>
          <w:marTop w:val="0"/>
          <w:marBottom w:val="0"/>
          <w:divBdr>
            <w:top w:val="none" w:sz="0" w:space="0" w:color="auto"/>
            <w:left w:val="none" w:sz="0" w:space="0" w:color="auto"/>
            <w:bottom w:val="none" w:sz="0" w:space="0" w:color="auto"/>
            <w:right w:val="none" w:sz="0" w:space="0" w:color="auto"/>
          </w:divBdr>
          <w:divsChild>
            <w:div w:id="513423548">
              <w:marLeft w:val="0"/>
              <w:marRight w:val="0"/>
              <w:marTop w:val="0"/>
              <w:marBottom w:val="0"/>
              <w:divBdr>
                <w:top w:val="none" w:sz="0" w:space="0" w:color="auto"/>
                <w:left w:val="none" w:sz="0" w:space="0" w:color="auto"/>
                <w:bottom w:val="none" w:sz="0" w:space="0" w:color="auto"/>
                <w:right w:val="none" w:sz="0" w:space="0" w:color="auto"/>
              </w:divBdr>
            </w:div>
          </w:divsChild>
        </w:div>
        <w:div w:id="753817285">
          <w:marLeft w:val="0"/>
          <w:marRight w:val="0"/>
          <w:marTop w:val="0"/>
          <w:marBottom w:val="0"/>
          <w:divBdr>
            <w:top w:val="none" w:sz="0" w:space="0" w:color="auto"/>
            <w:left w:val="none" w:sz="0" w:space="0" w:color="auto"/>
            <w:bottom w:val="none" w:sz="0" w:space="0" w:color="auto"/>
            <w:right w:val="none" w:sz="0" w:space="0" w:color="auto"/>
          </w:divBdr>
          <w:divsChild>
            <w:div w:id="837113396">
              <w:marLeft w:val="0"/>
              <w:marRight w:val="0"/>
              <w:marTop w:val="0"/>
              <w:marBottom w:val="0"/>
              <w:divBdr>
                <w:top w:val="none" w:sz="0" w:space="0" w:color="auto"/>
                <w:left w:val="none" w:sz="0" w:space="0" w:color="auto"/>
                <w:bottom w:val="none" w:sz="0" w:space="0" w:color="auto"/>
                <w:right w:val="none" w:sz="0" w:space="0" w:color="auto"/>
              </w:divBdr>
            </w:div>
          </w:divsChild>
        </w:div>
        <w:div w:id="756054223">
          <w:marLeft w:val="0"/>
          <w:marRight w:val="0"/>
          <w:marTop w:val="0"/>
          <w:marBottom w:val="0"/>
          <w:divBdr>
            <w:top w:val="none" w:sz="0" w:space="0" w:color="auto"/>
            <w:left w:val="none" w:sz="0" w:space="0" w:color="auto"/>
            <w:bottom w:val="none" w:sz="0" w:space="0" w:color="auto"/>
            <w:right w:val="none" w:sz="0" w:space="0" w:color="auto"/>
          </w:divBdr>
          <w:divsChild>
            <w:div w:id="321273101">
              <w:marLeft w:val="0"/>
              <w:marRight w:val="0"/>
              <w:marTop w:val="0"/>
              <w:marBottom w:val="0"/>
              <w:divBdr>
                <w:top w:val="none" w:sz="0" w:space="0" w:color="auto"/>
                <w:left w:val="none" w:sz="0" w:space="0" w:color="auto"/>
                <w:bottom w:val="none" w:sz="0" w:space="0" w:color="auto"/>
                <w:right w:val="none" w:sz="0" w:space="0" w:color="auto"/>
              </w:divBdr>
            </w:div>
          </w:divsChild>
        </w:div>
        <w:div w:id="756367515">
          <w:marLeft w:val="0"/>
          <w:marRight w:val="0"/>
          <w:marTop w:val="0"/>
          <w:marBottom w:val="0"/>
          <w:divBdr>
            <w:top w:val="none" w:sz="0" w:space="0" w:color="auto"/>
            <w:left w:val="none" w:sz="0" w:space="0" w:color="auto"/>
            <w:bottom w:val="none" w:sz="0" w:space="0" w:color="auto"/>
            <w:right w:val="none" w:sz="0" w:space="0" w:color="auto"/>
          </w:divBdr>
          <w:divsChild>
            <w:div w:id="689645692">
              <w:marLeft w:val="0"/>
              <w:marRight w:val="0"/>
              <w:marTop w:val="0"/>
              <w:marBottom w:val="0"/>
              <w:divBdr>
                <w:top w:val="none" w:sz="0" w:space="0" w:color="auto"/>
                <w:left w:val="none" w:sz="0" w:space="0" w:color="auto"/>
                <w:bottom w:val="none" w:sz="0" w:space="0" w:color="auto"/>
                <w:right w:val="none" w:sz="0" w:space="0" w:color="auto"/>
              </w:divBdr>
            </w:div>
          </w:divsChild>
        </w:div>
        <w:div w:id="762840827">
          <w:marLeft w:val="0"/>
          <w:marRight w:val="0"/>
          <w:marTop w:val="0"/>
          <w:marBottom w:val="0"/>
          <w:divBdr>
            <w:top w:val="none" w:sz="0" w:space="0" w:color="auto"/>
            <w:left w:val="none" w:sz="0" w:space="0" w:color="auto"/>
            <w:bottom w:val="none" w:sz="0" w:space="0" w:color="auto"/>
            <w:right w:val="none" w:sz="0" w:space="0" w:color="auto"/>
          </w:divBdr>
          <w:divsChild>
            <w:div w:id="1768962450">
              <w:marLeft w:val="0"/>
              <w:marRight w:val="0"/>
              <w:marTop w:val="0"/>
              <w:marBottom w:val="0"/>
              <w:divBdr>
                <w:top w:val="none" w:sz="0" w:space="0" w:color="auto"/>
                <w:left w:val="none" w:sz="0" w:space="0" w:color="auto"/>
                <w:bottom w:val="none" w:sz="0" w:space="0" w:color="auto"/>
                <w:right w:val="none" w:sz="0" w:space="0" w:color="auto"/>
              </w:divBdr>
            </w:div>
          </w:divsChild>
        </w:div>
        <w:div w:id="770323621">
          <w:marLeft w:val="0"/>
          <w:marRight w:val="0"/>
          <w:marTop w:val="0"/>
          <w:marBottom w:val="0"/>
          <w:divBdr>
            <w:top w:val="none" w:sz="0" w:space="0" w:color="auto"/>
            <w:left w:val="none" w:sz="0" w:space="0" w:color="auto"/>
            <w:bottom w:val="none" w:sz="0" w:space="0" w:color="auto"/>
            <w:right w:val="none" w:sz="0" w:space="0" w:color="auto"/>
          </w:divBdr>
          <w:divsChild>
            <w:div w:id="889073515">
              <w:marLeft w:val="0"/>
              <w:marRight w:val="0"/>
              <w:marTop w:val="0"/>
              <w:marBottom w:val="0"/>
              <w:divBdr>
                <w:top w:val="none" w:sz="0" w:space="0" w:color="auto"/>
                <w:left w:val="none" w:sz="0" w:space="0" w:color="auto"/>
                <w:bottom w:val="none" w:sz="0" w:space="0" w:color="auto"/>
                <w:right w:val="none" w:sz="0" w:space="0" w:color="auto"/>
              </w:divBdr>
            </w:div>
          </w:divsChild>
        </w:div>
        <w:div w:id="770929430">
          <w:marLeft w:val="0"/>
          <w:marRight w:val="0"/>
          <w:marTop w:val="0"/>
          <w:marBottom w:val="0"/>
          <w:divBdr>
            <w:top w:val="none" w:sz="0" w:space="0" w:color="auto"/>
            <w:left w:val="none" w:sz="0" w:space="0" w:color="auto"/>
            <w:bottom w:val="none" w:sz="0" w:space="0" w:color="auto"/>
            <w:right w:val="none" w:sz="0" w:space="0" w:color="auto"/>
          </w:divBdr>
          <w:divsChild>
            <w:div w:id="1268537922">
              <w:marLeft w:val="0"/>
              <w:marRight w:val="0"/>
              <w:marTop w:val="0"/>
              <w:marBottom w:val="0"/>
              <w:divBdr>
                <w:top w:val="none" w:sz="0" w:space="0" w:color="auto"/>
                <w:left w:val="none" w:sz="0" w:space="0" w:color="auto"/>
                <w:bottom w:val="none" w:sz="0" w:space="0" w:color="auto"/>
                <w:right w:val="none" w:sz="0" w:space="0" w:color="auto"/>
              </w:divBdr>
            </w:div>
          </w:divsChild>
        </w:div>
        <w:div w:id="773133473">
          <w:marLeft w:val="0"/>
          <w:marRight w:val="0"/>
          <w:marTop w:val="0"/>
          <w:marBottom w:val="0"/>
          <w:divBdr>
            <w:top w:val="none" w:sz="0" w:space="0" w:color="auto"/>
            <w:left w:val="none" w:sz="0" w:space="0" w:color="auto"/>
            <w:bottom w:val="none" w:sz="0" w:space="0" w:color="auto"/>
            <w:right w:val="none" w:sz="0" w:space="0" w:color="auto"/>
          </w:divBdr>
          <w:divsChild>
            <w:div w:id="1718701590">
              <w:marLeft w:val="0"/>
              <w:marRight w:val="0"/>
              <w:marTop w:val="0"/>
              <w:marBottom w:val="0"/>
              <w:divBdr>
                <w:top w:val="none" w:sz="0" w:space="0" w:color="auto"/>
                <w:left w:val="none" w:sz="0" w:space="0" w:color="auto"/>
                <w:bottom w:val="none" w:sz="0" w:space="0" w:color="auto"/>
                <w:right w:val="none" w:sz="0" w:space="0" w:color="auto"/>
              </w:divBdr>
            </w:div>
          </w:divsChild>
        </w:div>
        <w:div w:id="780731513">
          <w:marLeft w:val="0"/>
          <w:marRight w:val="0"/>
          <w:marTop w:val="0"/>
          <w:marBottom w:val="0"/>
          <w:divBdr>
            <w:top w:val="none" w:sz="0" w:space="0" w:color="auto"/>
            <w:left w:val="none" w:sz="0" w:space="0" w:color="auto"/>
            <w:bottom w:val="none" w:sz="0" w:space="0" w:color="auto"/>
            <w:right w:val="none" w:sz="0" w:space="0" w:color="auto"/>
          </w:divBdr>
          <w:divsChild>
            <w:div w:id="1155339643">
              <w:marLeft w:val="0"/>
              <w:marRight w:val="0"/>
              <w:marTop w:val="0"/>
              <w:marBottom w:val="0"/>
              <w:divBdr>
                <w:top w:val="none" w:sz="0" w:space="0" w:color="auto"/>
                <w:left w:val="none" w:sz="0" w:space="0" w:color="auto"/>
                <w:bottom w:val="none" w:sz="0" w:space="0" w:color="auto"/>
                <w:right w:val="none" w:sz="0" w:space="0" w:color="auto"/>
              </w:divBdr>
            </w:div>
          </w:divsChild>
        </w:div>
        <w:div w:id="781877074">
          <w:marLeft w:val="0"/>
          <w:marRight w:val="0"/>
          <w:marTop w:val="0"/>
          <w:marBottom w:val="0"/>
          <w:divBdr>
            <w:top w:val="none" w:sz="0" w:space="0" w:color="auto"/>
            <w:left w:val="none" w:sz="0" w:space="0" w:color="auto"/>
            <w:bottom w:val="none" w:sz="0" w:space="0" w:color="auto"/>
            <w:right w:val="none" w:sz="0" w:space="0" w:color="auto"/>
          </w:divBdr>
          <w:divsChild>
            <w:div w:id="1835224080">
              <w:marLeft w:val="0"/>
              <w:marRight w:val="0"/>
              <w:marTop w:val="0"/>
              <w:marBottom w:val="0"/>
              <w:divBdr>
                <w:top w:val="none" w:sz="0" w:space="0" w:color="auto"/>
                <w:left w:val="none" w:sz="0" w:space="0" w:color="auto"/>
                <w:bottom w:val="none" w:sz="0" w:space="0" w:color="auto"/>
                <w:right w:val="none" w:sz="0" w:space="0" w:color="auto"/>
              </w:divBdr>
            </w:div>
          </w:divsChild>
        </w:div>
        <w:div w:id="782001441">
          <w:marLeft w:val="0"/>
          <w:marRight w:val="0"/>
          <w:marTop w:val="0"/>
          <w:marBottom w:val="0"/>
          <w:divBdr>
            <w:top w:val="none" w:sz="0" w:space="0" w:color="auto"/>
            <w:left w:val="none" w:sz="0" w:space="0" w:color="auto"/>
            <w:bottom w:val="none" w:sz="0" w:space="0" w:color="auto"/>
            <w:right w:val="none" w:sz="0" w:space="0" w:color="auto"/>
          </w:divBdr>
          <w:divsChild>
            <w:div w:id="1925138755">
              <w:marLeft w:val="0"/>
              <w:marRight w:val="0"/>
              <w:marTop w:val="0"/>
              <w:marBottom w:val="0"/>
              <w:divBdr>
                <w:top w:val="none" w:sz="0" w:space="0" w:color="auto"/>
                <w:left w:val="none" w:sz="0" w:space="0" w:color="auto"/>
                <w:bottom w:val="none" w:sz="0" w:space="0" w:color="auto"/>
                <w:right w:val="none" w:sz="0" w:space="0" w:color="auto"/>
              </w:divBdr>
            </w:div>
          </w:divsChild>
        </w:div>
        <w:div w:id="784498036">
          <w:marLeft w:val="0"/>
          <w:marRight w:val="0"/>
          <w:marTop w:val="0"/>
          <w:marBottom w:val="0"/>
          <w:divBdr>
            <w:top w:val="none" w:sz="0" w:space="0" w:color="auto"/>
            <w:left w:val="none" w:sz="0" w:space="0" w:color="auto"/>
            <w:bottom w:val="none" w:sz="0" w:space="0" w:color="auto"/>
            <w:right w:val="none" w:sz="0" w:space="0" w:color="auto"/>
          </w:divBdr>
          <w:divsChild>
            <w:div w:id="696275775">
              <w:marLeft w:val="0"/>
              <w:marRight w:val="0"/>
              <w:marTop w:val="0"/>
              <w:marBottom w:val="0"/>
              <w:divBdr>
                <w:top w:val="none" w:sz="0" w:space="0" w:color="auto"/>
                <w:left w:val="none" w:sz="0" w:space="0" w:color="auto"/>
                <w:bottom w:val="none" w:sz="0" w:space="0" w:color="auto"/>
                <w:right w:val="none" w:sz="0" w:space="0" w:color="auto"/>
              </w:divBdr>
            </w:div>
          </w:divsChild>
        </w:div>
        <w:div w:id="784663582">
          <w:marLeft w:val="0"/>
          <w:marRight w:val="0"/>
          <w:marTop w:val="0"/>
          <w:marBottom w:val="0"/>
          <w:divBdr>
            <w:top w:val="none" w:sz="0" w:space="0" w:color="auto"/>
            <w:left w:val="none" w:sz="0" w:space="0" w:color="auto"/>
            <w:bottom w:val="none" w:sz="0" w:space="0" w:color="auto"/>
            <w:right w:val="none" w:sz="0" w:space="0" w:color="auto"/>
          </w:divBdr>
          <w:divsChild>
            <w:div w:id="1664234237">
              <w:marLeft w:val="0"/>
              <w:marRight w:val="0"/>
              <w:marTop w:val="0"/>
              <w:marBottom w:val="0"/>
              <w:divBdr>
                <w:top w:val="none" w:sz="0" w:space="0" w:color="auto"/>
                <w:left w:val="none" w:sz="0" w:space="0" w:color="auto"/>
                <w:bottom w:val="none" w:sz="0" w:space="0" w:color="auto"/>
                <w:right w:val="none" w:sz="0" w:space="0" w:color="auto"/>
              </w:divBdr>
            </w:div>
          </w:divsChild>
        </w:div>
        <w:div w:id="787703940">
          <w:marLeft w:val="0"/>
          <w:marRight w:val="0"/>
          <w:marTop w:val="0"/>
          <w:marBottom w:val="0"/>
          <w:divBdr>
            <w:top w:val="none" w:sz="0" w:space="0" w:color="auto"/>
            <w:left w:val="none" w:sz="0" w:space="0" w:color="auto"/>
            <w:bottom w:val="none" w:sz="0" w:space="0" w:color="auto"/>
            <w:right w:val="none" w:sz="0" w:space="0" w:color="auto"/>
          </w:divBdr>
          <w:divsChild>
            <w:div w:id="809594095">
              <w:marLeft w:val="0"/>
              <w:marRight w:val="0"/>
              <w:marTop w:val="0"/>
              <w:marBottom w:val="0"/>
              <w:divBdr>
                <w:top w:val="none" w:sz="0" w:space="0" w:color="auto"/>
                <w:left w:val="none" w:sz="0" w:space="0" w:color="auto"/>
                <w:bottom w:val="none" w:sz="0" w:space="0" w:color="auto"/>
                <w:right w:val="none" w:sz="0" w:space="0" w:color="auto"/>
              </w:divBdr>
            </w:div>
          </w:divsChild>
        </w:div>
        <w:div w:id="794443187">
          <w:marLeft w:val="0"/>
          <w:marRight w:val="0"/>
          <w:marTop w:val="0"/>
          <w:marBottom w:val="0"/>
          <w:divBdr>
            <w:top w:val="none" w:sz="0" w:space="0" w:color="auto"/>
            <w:left w:val="none" w:sz="0" w:space="0" w:color="auto"/>
            <w:bottom w:val="none" w:sz="0" w:space="0" w:color="auto"/>
            <w:right w:val="none" w:sz="0" w:space="0" w:color="auto"/>
          </w:divBdr>
          <w:divsChild>
            <w:div w:id="69154984">
              <w:marLeft w:val="0"/>
              <w:marRight w:val="0"/>
              <w:marTop w:val="0"/>
              <w:marBottom w:val="0"/>
              <w:divBdr>
                <w:top w:val="none" w:sz="0" w:space="0" w:color="auto"/>
                <w:left w:val="none" w:sz="0" w:space="0" w:color="auto"/>
                <w:bottom w:val="none" w:sz="0" w:space="0" w:color="auto"/>
                <w:right w:val="none" w:sz="0" w:space="0" w:color="auto"/>
              </w:divBdr>
            </w:div>
          </w:divsChild>
        </w:div>
        <w:div w:id="806245912">
          <w:marLeft w:val="0"/>
          <w:marRight w:val="0"/>
          <w:marTop w:val="0"/>
          <w:marBottom w:val="0"/>
          <w:divBdr>
            <w:top w:val="none" w:sz="0" w:space="0" w:color="auto"/>
            <w:left w:val="none" w:sz="0" w:space="0" w:color="auto"/>
            <w:bottom w:val="none" w:sz="0" w:space="0" w:color="auto"/>
            <w:right w:val="none" w:sz="0" w:space="0" w:color="auto"/>
          </w:divBdr>
          <w:divsChild>
            <w:div w:id="1190532959">
              <w:marLeft w:val="0"/>
              <w:marRight w:val="0"/>
              <w:marTop w:val="0"/>
              <w:marBottom w:val="0"/>
              <w:divBdr>
                <w:top w:val="none" w:sz="0" w:space="0" w:color="auto"/>
                <w:left w:val="none" w:sz="0" w:space="0" w:color="auto"/>
                <w:bottom w:val="none" w:sz="0" w:space="0" w:color="auto"/>
                <w:right w:val="none" w:sz="0" w:space="0" w:color="auto"/>
              </w:divBdr>
            </w:div>
          </w:divsChild>
        </w:div>
        <w:div w:id="830102849">
          <w:marLeft w:val="0"/>
          <w:marRight w:val="0"/>
          <w:marTop w:val="0"/>
          <w:marBottom w:val="0"/>
          <w:divBdr>
            <w:top w:val="none" w:sz="0" w:space="0" w:color="auto"/>
            <w:left w:val="none" w:sz="0" w:space="0" w:color="auto"/>
            <w:bottom w:val="none" w:sz="0" w:space="0" w:color="auto"/>
            <w:right w:val="none" w:sz="0" w:space="0" w:color="auto"/>
          </w:divBdr>
          <w:divsChild>
            <w:div w:id="1720325156">
              <w:marLeft w:val="0"/>
              <w:marRight w:val="0"/>
              <w:marTop w:val="0"/>
              <w:marBottom w:val="0"/>
              <w:divBdr>
                <w:top w:val="none" w:sz="0" w:space="0" w:color="auto"/>
                <w:left w:val="none" w:sz="0" w:space="0" w:color="auto"/>
                <w:bottom w:val="none" w:sz="0" w:space="0" w:color="auto"/>
                <w:right w:val="none" w:sz="0" w:space="0" w:color="auto"/>
              </w:divBdr>
            </w:div>
          </w:divsChild>
        </w:div>
        <w:div w:id="837232639">
          <w:marLeft w:val="0"/>
          <w:marRight w:val="0"/>
          <w:marTop w:val="0"/>
          <w:marBottom w:val="0"/>
          <w:divBdr>
            <w:top w:val="none" w:sz="0" w:space="0" w:color="auto"/>
            <w:left w:val="none" w:sz="0" w:space="0" w:color="auto"/>
            <w:bottom w:val="none" w:sz="0" w:space="0" w:color="auto"/>
            <w:right w:val="none" w:sz="0" w:space="0" w:color="auto"/>
          </w:divBdr>
          <w:divsChild>
            <w:div w:id="328605659">
              <w:marLeft w:val="0"/>
              <w:marRight w:val="0"/>
              <w:marTop w:val="0"/>
              <w:marBottom w:val="0"/>
              <w:divBdr>
                <w:top w:val="none" w:sz="0" w:space="0" w:color="auto"/>
                <w:left w:val="none" w:sz="0" w:space="0" w:color="auto"/>
                <w:bottom w:val="none" w:sz="0" w:space="0" w:color="auto"/>
                <w:right w:val="none" w:sz="0" w:space="0" w:color="auto"/>
              </w:divBdr>
            </w:div>
          </w:divsChild>
        </w:div>
        <w:div w:id="840238110">
          <w:marLeft w:val="0"/>
          <w:marRight w:val="0"/>
          <w:marTop w:val="0"/>
          <w:marBottom w:val="0"/>
          <w:divBdr>
            <w:top w:val="none" w:sz="0" w:space="0" w:color="auto"/>
            <w:left w:val="none" w:sz="0" w:space="0" w:color="auto"/>
            <w:bottom w:val="none" w:sz="0" w:space="0" w:color="auto"/>
            <w:right w:val="none" w:sz="0" w:space="0" w:color="auto"/>
          </w:divBdr>
          <w:divsChild>
            <w:div w:id="1947619758">
              <w:marLeft w:val="0"/>
              <w:marRight w:val="0"/>
              <w:marTop w:val="0"/>
              <w:marBottom w:val="0"/>
              <w:divBdr>
                <w:top w:val="none" w:sz="0" w:space="0" w:color="auto"/>
                <w:left w:val="none" w:sz="0" w:space="0" w:color="auto"/>
                <w:bottom w:val="none" w:sz="0" w:space="0" w:color="auto"/>
                <w:right w:val="none" w:sz="0" w:space="0" w:color="auto"/>
              </w:divBdr>
            </w:div>
          </w:divsChild>
        </w:div>
        <w:div w:id="841050931">
          <w:marLeft w:val="0"/>
          <w:marRight w:val="0"/>
          <w:marTop w:val="0"/>
          <w:marBottom w:val="0"/>
          <w:divBdr>
            <w:top w:val="none" w:sz="0" w:space="0" w:color="auto"/>
            <w:left w:val="none" w:sz="0" w:space="0" w:color="auto"/>
            <w:bottom w:val="none" w:sz="0" w:space="0" w:color="auto"/>
            <w:right w:val="none" w:sz="0" w:space="0" w:color="auto"/>
          </w:divBdr>
          <w:divsChild>
            <w:div w:id="2144033159">
              <w:marLeft w:val="0"/>
              <w:marRight w:val="0"/>
              <w:marTop w:val="0"/>
              <w:marBottom w:val="0"/>
              <w:divBdr>
                <w:top w:val="none" w:sz="0" w:space="0" w:color="auto"/>
                <w:left w:val="none" w:sz="0" w:space="0" w:color="auto"/>
                <w:bottom w:val="none" w:sz="0" w:space="0" w:color="auto"/>
                <w:right w:val="none" w:sz="0" w:space="0" w:color="auto"/>
              </w:divBdr>
            </w:div>
          </w:divsChild>
        </w:div>
        <w:div w:id="843786501">
          <w:marLeft w:val="0"/>
          <w:marRight w:val="0"/>
          <w:marTop w:val="0"/>
          <w:marBottom w:val="0"/>
          <w:divBdr>
            <w:top w:val="none" w:sz="0" w:space="0" w:color="auto"/>
            <w:left w:val="none" w:sz="0" w:space="0" w:color="auto"/>
            <w:bottom w:val="none" w:sz="0" w:space="0" w:color="auto"/>
            <w:right w:val="none" w:sz="0" w:space="0" w:color="auto"/>
          </w:divBdr>
          <w:divsChild>
            <w:div w:id="694692384">
              <w:marLeft w:val="0"/>
              <w:marRight w:val="0"/>
              <w:marTop w:val="0"/>
              <w:marBottom w:val="0"/>
              <w:divBdr>
                <w:top w:val="none" w:sz="0" w:space="0" w:color="auto"/>
                <w:left w:val="none" w:sz="0" w:space="0" w:color="auto"/>
                <w:bottom w:val="none" w:sz="0" w:space="0" w:color="auto"/>
                <w:right w:val="none" w:sz="0" w:space="0" w:color="auto"/>
              </w:divBdr>
            </w:div>
          </w:divsChild>
        </w:div>
        <w:div w:id="845173402">
          <w:marLeft w:val="0"/>
          <w:marRight w:val="0"/>
          <w:marTop w:val="0"/>
          <w:marBottom w:val="0"/>
          <w:divBdr>
            <w:top w:val="none" w:sz="0" w:space="0" w:color="auto"/>
            <w:left w:val="none" w:sz="0" w:space="0" w:color="auto"/>
            <w:bottom w:val="none" w:sz="0" w:space="0" w:color="auto"/>
            <w:right w:val="none" w:sz="0" w:space="0" w:color="auto"/>
          </w:divBdr>
          <w:divsChild>
            <w:div w:id="1573002460">
              <w:marLeft w:val="0"/>
              <w:marRight w:val="0"/>
              <w:marTop w:val="0"/>
              <w:marBottom w:val="0"/>
              <w:divBdr>
                <w:top w:val="none" w:sz="0" w:space="0" w:color="auto"/>
                <w:left w:val="none" w:sz="0" w:space="0" w:color="auto"/>
                <w:bottom w:val="none" w:sz="0" w:space="0" w:color="auto"/>
                <w:right w:val="none" w:sz="0" w:space="0" w:color="auto"/>
              </w:divBdr>
            </w:div>
          </w:divsChild>
        </w:div>
        <w:div w:id="849291361">
          <w:marLeft w:val="0"/>
          <w:marRight w:val="0"/>
          <w:marTop w:val="0"/>
          <w:marBottom w:val="0"/>
          <w:divBdr>
            <w:top w:val="none" w:sz="0" w:space="0" w:color="auto"/>
            <w:left w:val="none" w:sz="0" w:space="0" w:color="auto"/>
            <w:bottom w:val="none" w:sz="0" w:space="0" w:color="auto"/>
            <w:right w:val="none" w:sz="0" w:space="0" w:color="auto"/>
          </w:divBdr>
          <w:divsChild>
            <w:div w:id="1804614801">
              <w:marLeft w:val="0"/>
              <w:marRight w:val="0"/>
              <w:marTop w:val="0"/>
              <w:marBottom w:val="0"/>
              <w:divBdr>
                <w:top w:val="none" w:sz="0" w:space="0" w:color="auto"/>
                <w:left w:val="none" w:sz="0" w:space="0" w:color="auto"/>
                <w:bottom w:val="none" w:sz="0" w:space="0" w:color="auto"/>
                <w:right w:val="none" w:sz="0" w:space="0" w:color="auto"/>
              </w:divBdr>
            </w:div>
          </w:divsChild>
        </w:div>
        <w:div w:id="851803478">
          <w:marLeft w:val="0"/>
          <w:marRight w:val="0"/>
          <w:marTop w:val="0"/>
          <w:marBottom w:val="0"/>
          <w:divBdr>
            <w:top w:val="none" w:sz="0" w:space="0" w:color="auto"/>
            <w:left w:val="none" w:sz="0" w:space="0" w:color="auto"/>
            <w:bottom w:val="none" w:sz="0" w:space="0" w:color="auto"/>
            <w:right w:val="none" w:sz="0" w:space="0" w:color="auto"/>
          </w:divBdr>
          <w:divsChild>
            <w:div w:id="1548175149">
              <w:marLeft w:val="0"/>
              <w:marRight w:val="0"/>
              <w:marTop w:val="0"/>
              <w:marBottom w:val="0"/>
              <w:divBdr>
                <w:top w:val="none" w:sz="0" w:space="0" w:color="auto"/>
                <w:left w:val="none" w:sz="0" w:space="0" w:color="auto"/>
                <w:bottom w:val="none" w:sz="0" w:space="0" w:color="auto"/>
                <w:right w:val="none" w:sz="0" w:space="0" w:color="auto"/>
              </w:divBdr>
            </w:div>
          </w:divsChild>
        </w:div>
        <w:div w:id="853617713">
          <w:marLeft w:val="0"/>
          <w:marRight w:val="0"/>
          <w:marTop w:val="0"/>
          <w:marBottom w:val="0"/>
          <w:divBdr>
            <w:top w:val="none" w:sz="0" w:space="0" w:color="auto"/>
            <w:left w:val="none" w:sz="0" w:space="0" w:color="auto"/>
            <w:bottom w:val="none" w:sz="0" w:space="0" w:color="auto"/>
            <w:right w:val="none" w:sz="0" w:space="0" w:color="auto"/>
          </w:divBdr>
          <w:divsChild>
            <w:div w:id="224949591">
              <w:marLeft w:val="0"/>
              <w:marRight w:val="0"/>
              <w:marTop w:val="0"/>
              <w:marBottom w:val="0"/>
              <w:divBdr>
                <w:top w:val="none" w:sz="0" w:space="0" w:color="auto"/>
                <w:left w:val="none" w:sz="0" w:space="0" w:color="auto"/>
                <w:bottom w:val="none" w:sz="0" w:space="0" w:color="auto"/>
                <w:right w:val="none" w:sz="0" w:space="0" w:color="auto"/>
              </w:divBdr>
            </w:div>
          </w:divsChild>
        </w:div>
        <w:div w:id="863134705">
          <w:marLeft w:val="0"/>
          <w:marRight w:val="0"/>
          <w:marTop w:val="0"/>
          <w:marBottom w:val="0"/>
          <w:divBdr>
            <w:top w:val="none" w:sz="0" w:space="0" w:color="auto"/>
            <w:left w:val="none" w:sz="0" w:space="0" w:color="auto"/>
            <w:bottom w:val="none" w:sz="0" w:space="0" w:color="auto"/>
            <w:right w:val="none" w:sz="0" w:space="0" w:color="auto"/>
          </w:divBdr>
          <w:divsChild>
            <w:div w:id="1242061488">
              <w:marLeft w:val="0"/>
              <w:marRight w:val="0"/>
              <w:marTop w:val="0"/>
              <w:marBottom w:val="0"/>
              <w:divBdr>
                <w:top w:val="none" w:sz="0" w:space="0" w:color="auto"/>
                <w:left w:val="none" w:sz="0" w:space="0" w:color="auto"/>
                <w:bottom w:val="none" w:sz="0" w:space="0" w:color="auto"/>
                <w:right w:val="none" w:sz="0" w:space="0" w:color="auto"/>
              </w:divBdr>
            </w:div>
          </w:divsChild>
        </w:div>
        <w:div w:id="865213560">
          <w:marLeft w:val="0"/>
          <w:marRight w:val="0"/>
          <w:marTop w:val="0"/>
          <w:marBottom w:val="0"/>
          <w:divBdr>
            <w:top w:val="none" w:sz="0" w:space="0" w:color="auto"/>
            <w:left w:val="none" w:sz="0" w:space="0" w:color="auto"/>
            <w:bottom w:val="none" w:sz="0" w:space="0" w:color="auto"/>
            <w:right w:val="none" w:sz="0" w:space="0" w:color="auto"/>
          </w:divBdr>
          <w:divsChild>
            <w:div w:id="61485014">
              <w:marLeft w:val="0"/>
              <w:marRight w:val="0"/>
              <w:marTop w:val="0"/>
              <w:marBottom w:val="0"/>
              <w:divBdr>
                <w:top w:val="none" w:sz="0" w:space="0" w:color="auto"/>
                <w:left w:val="none" w:sz="0" w:space="0" w:color="auto"/>
                <w:bottom w:val="none" w:sz="0" w:space="0" w:color="auto"/>
                <w:right w:val="none" w:sz="0" w:space="0" w:color="auto"/>
              </w:divBdr>
            </w:div>
          </w:divsChild>
        </w:div>
        <w:div w:id="866023299">
          <w:marLeft w:val="0"/>
          <w:marRight w:val="0"/>
          <w:marTop w:val="0"/>
          <w:marBottom w:val="0"/>
          <w:divBdr>
            <w:top w:val="none" w:sz="0" w:space="0" w:color="auto"/>
            <w:left w:val="none" w:sz="0" w:space="0" w:color="auto"/>
            <w:bottom w:val="none" w:sz="0" w:space="0" w:color="auto"/>
            <w:right w:val="none" w:sz="0" w:space="0" w:color="auto"/>
          </w:divBdr>
          <w:divsChild>
            <w:div w:id="622082524">
              <w:marLeft w:val="0"/>
              <w:marRight w:val="0"/>
              <w:marTop w:val="0"/>
              <w:marBottom w:val="0"/>
              <w:divBdr>
                <w:top w:val="none" w:sz="0" w:space="0" w:color="auto"/>
                <w:left w:val="none" w:sz="0" w:space="0" w:color="auto"/>
                <w:bottom w:val="none" w:sz="0" w:space="0" w:color="auto"/>
                <w:right w:val="none" w:sz="0" w:space="0" w:color="auto"/>
              </w:divBdr>
            </w:div>
          </w:divsChild>
        </w:div>
        <w:div w:id="867060695">
          <w:marLeft w:val="0"/>
          <w:marRight w:val="0"/>
          <w:marTop w:val="0"/>
          <w:marBottom w:val="0"/>
          <w:divBdr>
            <w:top w:val="none" w:sz="0" w:space="0" w:color="auto"/>
            <w:left w:val="none" w:sz="0" w:space="0" w:color="auto"/>
            <w:bottom w:val="none" w:sz="0" w:space="0" w:color="auto"/>
            <w:right w:val="none" w:sz="0" w:space="0" w:color="auto"/>
          </w:divBdr>
          <w:divsChild>
            <w:div w:id="1348216189">
              <w:marLeft w:val="0"/>
              <w:marRight w:val="0"/>
              <w:marTop w:val="0"/>
              <w:marBottom w:val="0"/>
              <w:divBdr>
                <w:top w:val="none" w:sz="0" w:space="0" w:color="auto"/>
                <w:left w:val="none" w:sz="0" w:space="0" w:color="auto"/>
                <w:bottom w:val="none" w:sz="0" w:space="0" w:color="auto"/>
                <w:right w:val="none" w:sz="0" w:space="0" w:color="auto"/>
              </w:divBdr>
            </w:div>
          </w:divsChild>
        </w:div>
        <w:div w:id="872689595">
          <w:marLeft w:val="0"/>
          <w:marRight w:val="0"/>
          <w:marTop w:val="0"/>
          <w:marBottom w:val="0"/>
          <w:divBdr>
            <w:top w:val="none" w:sz="0" w:space="0" w:color="auto"/>
            <w:left w:val="none" w:sz="0" w:space="0" w:color="auto"/>
            <w:bottom w:val="none" w:sz="0" w:space="0" w:color="auto"/>
            <w:right w:val="none" w:sz="0" w:space="0" w:color="auto"/>
          </w:divBdr>
          <w:divsChild>
            <w:div w:id="23488374">
              <w:marLeft w:val="0"/>
              <w:marRight w:val="0"/>
              <w:marTop w:val="0"/>
              <w:marBottom w:val="0"/>
              <w:divBdr>
                <w:top w:val="none" w:sz="0" w:space="0" w:color="auto"/>
                <w:left w:val="none" w:sz="0" w:space="0" w:color="auto"/>
                <w:bottom w:val="none" w:sz="0" w:space="0" w:color="auto"/>
                <w:right w:val="none" w:sz="0" w:space="0" w:color="auto"/>
              </w:divBdr>
            </w:div>
          </w:divsChild>
        </w:div>
        <w:div w:id="880365881">
          <w:marLeft w:val="0"/>
          <w:marRight w:val="0"/>
          <w:marTop w:val="0"/>
          <w:marBottom w:val="0"/>
          <w:divBdr>
            <w:top w:val="none" w:sz="0" w:space="0" w:color="auto"/>
            <w:left w:val="none" w:sz="0" w:space="0" w:color="auto"/>
            <w:bottom w:val="none" w:sz="0" w:space="0" w:color="auto"/>
            <w:right w:val="none" w:sz="0" w:space="0" w:color="auto"/>
          </w:divBdr>
          <w:divsChild>
            <w:div w:id="1239367926">
              <w:marLeft w:val="0"/>
              <w:marRight w:val="0"/>
              <w:marTop w:val="0"/>
              <w:marBottom w:val="0"/>
              <w:divBdr>
                <w:top w:val="none" w:sz="0" w:space="0" w:color="auto"/>
                <w:left w:val="none" w:sz="0" w:space="0" w:color="auto"/>
                <w:bottom w:val="none" w:sz="0" w:space="0" w:color="auto"/>
                <w:right w:val="none" w:sz="0" w:space="0" w:color="auto"/>
              </w:divBdr>
            </w:div>
          </w:divsChild>
        </w:div>
        <w:div w:id="882139620">
          <w:marLeft w:val="0"/>
          <w:marRight w:val="0"/>
          <w:marTop w:val="0"/>
          <w:marBottom w:val="0"/>
          <w:divBdr>
            <w:top w:val="none" w:sz="0" w:space="0" w:color="auto"/>
            <w:left w:val="none" w:sz="0" w:space="0" w:color="auto"/>
            <w:bottom w:val="none" w:sz="0" w:space="0" w:color="auto"/>
            <w:right w:val="none" w:sz="0" w:space="0" w:color="auto"/>
          </w:divBdr>
          <w:divsChild>
            <w:div w:id="161312160">
              <w:marLeft w:val="0"/>
              <w:marRight w:val="0"/>
              <w:marTop w:val="0"/>
              <w:marBottom w:val="0"/>
              <w:divBdr>
                <w:top w:val="none" w:sz="0" w:space="0" w:color="auto"/>
                <w:left w:val="none" w:sz="0" w:space="0" w:color="auto"/>
                <w:bottom w:val="none" w:sz="0" w:space="0" w:color="auto"/>
                <w:right w:val="none" w:sz="0" w:space="0" w:color="auto"/>
              </w:divBdr>
            </w:div>
          </w:divsChild>
        </w:div>
        <w:div w:id="884147046">
          <w:marLeft w:val="0"/>
          <w:marRight w:val="0"/>
          <w:marTop w:val="0"/>
          <w:marBottom w:val="0"/>
          <w:divBdr>
            <w:top w:val="none" w:sz="0" w:space="0" w:color="auto"/>
            <w:left w:val="none" w:sz="0" w:space="0" w:color="auto"/>
            <w:bottom w:val="none" w:sz="0" w:space="0" w:color="auto"/>
            <w:right w:val="none" w:sz="0" w:space="0" w:color="auto"/>
          </w:divBdr>
          <w:divsChild>
            <w:div w:id="666052932">
              <w:marLeft w:val="0"/>
              <w:marRight w:val="0"/>
              <w:marTop w:val="0"/>
              <w:marBottom w:val="0"/>
              <w:divBdr>
                <w:top w:val="none" w:sz="0" w:space="0" w:color="auto"/>
                <w:left w:val="none" w:sz="0" w:space="0" w:color="auto"/>
                <w:bottom w:val="none" w:sz="0" w:space="0" w:color="auto"/>
                <w:right w:val="none" w:sz="0" w:space="0" w:color="auto"/>
              </w:divBdr>
            </w:div>
          </w:divsChild>
        </w:div>
        <w:div w:id="886187343">
          <w:marLeft w:val="0"/>
          <w:marRight w:val="0"/>
          <w:marTop w:val="0"/>
          <w:marBottom w:val="0"/>
          <w:divBdr>
            <w:top w:val="none" w:sz="0" w:space="0" w:color="auto"/>
            <w:left w:val="none" w:sz="0" w:space="0" w:color="auto"/>
            <w:bottom w:val="none" w:sz="0" w:space="0" w:color="auto"/>
            <w:right w:val="none" w:sz="0" w:space="0" w:color="auto"/>
          </w:divBdr>
          <w:divsChild>
            <w:div w:id="943654030">
              <w:marLeft w:val="0"/>
              <w:marRight w:val="0"/>
              <w:marTop w:val="0"/>
              <w:marBottom w:val="0"/>
              <w:divBdr>
                <w:top w:val="none" w:sz="0" w:space="0" w:color="auto"/>
                <w:left w:val="none" w:sz="0" w:space="0" w:color="auto"/>
                <w:bottom w:val="none" w:sz="0" w:space="0" w:color="auto"/>
                <w:right w:val="none" w:sz="0" w:space="0" w:color="auto"/>
              </w:divBdr>
            </w:div>
          </w:divsChild>
        </w:div>
        <w:div w:id="887296972">
          <w:marLeft w:val="0"/>
          <w:marRight w:val="0"/>
          <w:marTop w:val="0"/>
          <w:marBottom w:val="0"/>
          <w:divBdr>
            <w:top w:val="none" w:sz="0" w:space="0" w:color="auto"/>
            <w:left w:val="none" w:sz="0" w:space="0" w:color="auto"/>
            <w:bottom w:val="none" w:sz="0" w:space="0" w:color="auto"/>
            <w:right w:val="none" w:sz="0" w:space="0" w:color="auto"/>
          </w:divBdr>
          <w:divsChild>
            <w:div w:id="943879995">
              <w:marLeft w:val="0"/>
              <w:marRight w:val="0"/>
              <w:marTop w:val="0"/>
              <w:marBottom w:val="0"/>
              <w:divBdr>
                <w:top w:val="none" w:sz="0" w:space="0" w:color="auto"/>
                <w:left w:val="none" w:sz="0" w:space="0" w:color="auto"/>
                <w:bottom w:val="none" w:sz="0" w:space="0" w:color="auto"/>
                <w:right w:val="none" w:sz="0" w:space="0" w:color="auto"/>
              </w:divBdr>
            </w:div>
          </w:divsChild>
        </w:div>
        <w:div w:id="889607105">
          <w:marLeft w:val="0"/>
          <w:marRight w:val="0"/>
          <w:marTop w:val="0"/>
          <w:marBottom w:val="0"/>
          <w:divBdr>
            <w:top w:val="none" w:sz="0" w:space="0" w:color="auto"/>
            <w:left w:val="none" w:sz="0" w:space="0" w:color="auto"/>
            <w:bottom w:val="none" w:sz="0" w:space="0" w:color="auto"/>
            <w:right w:val="none" w:sz="0" w:space="0" w:color="auto"/>
          </w:divBdr>
          <w:divsChild>
            <w:div w:id="94325783">
              <w:marLeft w:val="0"/>
              <w:marRight w:val="0"/>
              <w:marTop w:val="0"/>
              <w:marBottom w:val="0"/>
              <w:divBdr>
                <w:top w:val="none" w:sz="0" w:space="0" w:color="auto"/>
                <w:left w:val="none" w:sz="0" w:space="0" w:color="auto"/>
                <w:bottom w:val="none" w:sz="0" w:space="0" w:color="auto"/>
                <w:right w:val="none" w:sz="0" w:space="0" w:color="auto"/>
              </w:divBdr>
            </w:div>
          </w:divsChild>
        </w:div>
        <w:div w:id="890381197">
          <w:marLeft w:val="0"/>
          <w:marRight w:val="0"/>
          <w:marTop w:val="0"/>
          <w:marBottom w:val="0"/>
          <w:divBdr>
            <w:top w:val="none" w:sz="0" w:space="0" w:color="auto"/>
            <w:left w:val="none" w:sz="0" w:space="0" w:color="auto"/>
            <w:bottom w:val="none" w:sz="0" w:space="0" w:color="auto"/>
            <w:right w:val="none" w:sz="0" w:space="0" w:color="auto"/>
          </w:divBdr>
          <w:divsChild>
            <w:div w:id="1854614119">
              <w:marLeft w:val="0"/>
              <w:marRight w:val="0"/>
              <w:marTop w:val="0"/>
              <w:marBottom w:val="0"/>
              <w:divBdr>
                <w:top w:val="none" w:sz="0" w:space="0" w:color="auto"/>
                <w:left w:val="none" w:sz="0" w:space="0" w:color="auto"/>
                <w:bottom w:val="none" w:sz="0" w:space="0" w:color="auto"/>
                <w:right w:val="none" w:sz="0" w:space="0" w:color="auto"/>
              </w:divBdr>
            </w:div>
          </w:divsChild>
        </w:div>
        <w:div w:id="897470589">
          <w:marLeft w:val="0"/>
          <w:marRight w:val="0"/>
          <w:marTop w:val="0"/>
          <w:marBottom w:val="0"/>
          <w:divBdr>
            <w:top w:val="none" w:sz="0" w:space="0" w:color="auto"/>
            <w:left w:val="none" w:sz="0" w:space="0" w:color="auto"/>
            <w:bottom w:val="none" w:sz="0" w:space="0" w:color="auto"/>
            <w:right w:val="none" w:sz="0" w:space="0" w:color="auto"/>
          </w:divBdr>
          <w:divsChild>
            <w:div w:id="2136942269">
              <w:marLeft w:val="0"/>
              <w:marRight w:val="0"/>
              <w:marTop w:val="0"/>
              <w:marBottom w:val="0"/>
              <w:divBdr>
                <w:top w:val="none" w:sz="0" w:space="0" w:color="auto"/>
                <w:left w:val="none" w:sz="0" w:space="0" w:color="auto"/>
                <w:bottom w:val="none" w:sz="0" w:space="0" w:color="auto"/>
                <w:right w:val="none" w:sz="0" w:space="0" w:color="auto"/>
              </w:divBdr>
            </w:div>
          </w:divsChild>
        </w:div>
        <w:div w:id="900676129">
          <w:marLeft w:val="0"/>
          <w:marRight w:val="0"/>
          <w:marTop w:val="0"/>
          <w:marBottom w:val="0"/>
          <w:divBdr>
            <w:top w:val="none" w:sz="0" w:space="0" w:color="auto"/>
            <w:left w:val="none" w:sz="0" w:space="0" w:color="auto"/>
            <w:bottom w:val="none" w:sz="0" w:space="0" w:color="auto"/>
            <w:right w:val="none" w:sz="0" w:space="0" w:color="auto"/>
          </w:divBdr>
          <w:divsChild>
            <w:div w:id="1984583053">
              <w:marLeft w:val="0"/>
              <w:marRight w:val="0"/>
              <w:marTop w:val="0"/>
              <w:marBottom w:val="0"/>
              <w:divBdr>
                <w:top w:val="none" w:sz="0" w:space="0" w:color="auto"/>
                <w:left w:val="none" w:sz="0" w:space="0" w:color="auto"/>
                <w:bottom w:val="none" w:sz="0" w:space="0" w:color="auto"/>
                <w:right w:val="none" w:sz="0" w:space="0" w:color="auto"/>
              </w:divBdr>
            </w:div>
          </w:divsChild>
        </w:div>
        <w:div w:id="901714222">
          <w:marLeft w:val="0"/>
          <w:marRight w:val="0"/>
          <w:marTop w:val="0"/>
          <w:marBottom w:val="0"/>
          <w:divBdr>
            <w:top w:val="none" w:sz="0" w:space="0" w:color="auto"/>
            <w:left w:val="none" w:sz="0" w:space="0" w:color="auto"/>
            <w:bottom w:val="none" w:sz="0" w:space="0" w:color="auto"/>
            <w:right w:val="none" w:sz="0" w:space="0" w:color="auto"/>
          </w:divBdr>
          <w:divsChild>
            <w:div w:id="1609846407">
              <w:marLeft w:val="0"/>
              <w:marRight w:val="0"/>
              <w:marTop w:val="0"/>
              <w:marBottom w:val="0"/>
              <w:divBdr>
                <w:top w:val="none" w:sz="0" w:space="0" w:color="auto"/>
                <w:left w:val="none" w:sz="0" w:space="0" w:color="auto"/>
                <w:bottom w:val="none" w:sz="0" w:space="0" w:color="auto"/>
                <w:right w:val="none" w:sz="0" w:space="0" w:color="auto"/>
              </w:divBdr>
            </w:div>
          </w:divsChild>
        </w:div>
        <w:div w:id="917785007">
          <w:marLeft w:val="0"/>
          <w:marRight w:val="0"/>
          <w:marTop w:val="0"/>
          <w:marBottom w:val="0"/>
          <w:divBdr>
            <w:top w:val="none" w:sz="0" w:space="0" w:color="auto"/>
            <w:left w:val="none" w:sz="0" w:space="0" w:color="auto"/>
            <w:bottom w:val="none" w:sz="0" w:space="0" w:color="auto"/>
            <w:right w:val="none" w:sz="0" w:space="0" w:color="auto"/>
          </w:divBdr>
          <w:divsChild>
            <w:div w:id="459031661">
              <w:marLeft w:val="0"/>
              <w:marRight w:val="0"/>
              <w:marTop w:val="0"/>
              <w:marBottom w:val="0"/>
              <w:divBdr>
                <w:top w:val="none" w:sz="0" w:space="0" w:color="auto"/>
                <w:left w:val="none" w:sz="0" w:space="0" w:color="auto"/>
                <w:bottom w:val="none" w:sz="0" w:space="0" w:color="auto"/>
                <w:right w:val="none" w:sz="0" w:space="0" w:color="auto"/>
              </w:divBdr>
            </w:div>
          </w:divsChild>
        </w:div>
        <w:div w:id="921791756">
          <w:marLeft w:val="0"/>
          <w:marRight w:val="0"/>
          <w:marTop w:val="0"/>
          <w:marBottom w:val="0"/>
          <w:divBdr>
            <w:top w:val="none" w:sz="0" w:space="0" w:color="auto"/>
            <w:left w:val="none" w:sz="0" w:space="0" w:color="auto"/>
            <w:bottom w:val="none" w:sz="0" w:space="0" w:color="auto"/>
            <w:right w:val="none" w:sz="0" w:space="0" w:color="auto"/>
          </w:divBdr>
          <w:divsChild>
            <w:div w:id="1427270315">
              <w:marLeft w:val="0"/>
              <w:marRight w:val="0"/>
              <w:marTop w:val="0"/>
              <w:marBottom w:val="0"/>
              <w:divBdr>
                <w:top w:val="none" w:sz="0" w:space="0" w:color="auto"/>
                <w:left w:val="none" w:sz="0" w:space="0" w:color="auto"/>
                <w:bottom w:val="none" w:sz="0" w:space="0" w:color="auto"/>
                <w:right w:val="none" w:sz="0" w:space="0" w:color="auto"/>
              </w:divBdr>
            </w:div>
          </w:divsChild>
        </w:div>
        <w:div w:id="926183922">
          <w:marLeft w:val="0"/>
          <w:marRight w:val="0"/>
          <w:marTop w:val="0"/>
          <w:marBottom w:val="0"/>
          <w:divBdr>
            <w:top w:val="none" w:sz="0" w:space="0" w:color="auto"/>
            <w:left w:val="none" w:sz="0" w:space="0" w:color="auto"/>
            <w:bottom w:val="none" w:sz="0" w:space="0" w:color="auto"/>
            <w:right w:val="none" w:sz="0" w:space="0" w:color="auto"/>
          </w:divBdr>
          <w:divsChild>
            <w:div w:id="1044453239">
              <w:marLeft w:val="0"/>
              <w:marRight w:val="0"/>
              <w:marTop w:val="0"/>
              <w:marBottom w:val="0"/>
              <w:divBdr>
                <w:top w:val="none" w:sz="0" w:space="0" w:color="auto"/>
                <w:left w:val="none" w:sz="0" w:space="0" w:color="auto"/>
                <w:bottom w:val="none" w:sz="0" w:space="0" w:color="auto"/>
                <w:right w:val="none" w:sz="0" w:space="0" w:color="auto"/>
              </w:divBdr>
            </w:div>
          </w:divsChild>
        </w:div>
        <w:div w:id="930117294">
          <w:marLeft w:val="0"/>
          <w:marRight w:val="0"/>
          <w:marTop w:val="0"/>
          <w:marBottom w:val="0"/>
          <w:divBdr>
            <w:top w:val="none" w:sz="0" w:space="0" w:color="auto"/>
            <w:left w:val="none" w:sz="0" w:space="0" w:color="auto"/>
            <w:bottom w:val="none" w:sz="0" w:space="0" w:color="auto"/>
            <w:right w:val="none" w:sz="0" w:space="0" w:color="auto"/>
          </w:divBdr>
          <w:divsChild>
            <w:div w:id="1807315470">
              <w:marLeft w:val="0"/>
              <w:marRight w:val="0"/>
              <w:marTop w:val="0"/>
              <w:marBottom w:val="0"/>
              <w:divBdr>
                <w:top w:val="none" w:sz="0" w:space="0" w:color="auto"/>
                <w:left w:val="none" w:sz="0" w:space="0" w:color="auto"/>
                <w:bottom w:val="none" w:sz="0" w:space="0" w:color="auto"/>
                <w:right w:val="none" w:sz="0" w:space="0" w:color="auto"/>
              </w:divBdr>
            </w:div>
          </w:divsChild>
        </w:div>
        <w:div w:id="934748869">
          <w:marLeft w:val="0"/>
          <w:marRight w:val="0"/>
          <w:marTop w:val="0"/>
          <w:marBottom w:val="0"/>
          <w:divBdr>
            <w:top w:val="none" w:sz="0" w:space="0" w:color="auto"/>
            <w:left w:val="none" w:sz="0" w:space="0" w:color="auto"/>
            <w:bottom w:val="none" w:sz="0" w:space="0" w:color="auto"/>
            <w:right w:val="none" w:sz="0" w:space="0" w:color="auto"/>
          </w:divBdr>
          <w:divsChild>
            <w:div w:id="390009415">
              <w:marLeft w:val="0"/>
              <w:marRight w:val="0"/>
              <w:marTop w:val="0"/>
              <w:marBottom w:val="0"/>
              <w:divBdr>
                <w:top w:val="none" w:sz="0" w:space="0" w:color="auto"/>
                <w:left w:val="none" w:sz="0" w:space="0" w:color="auto"/>
                <w:bottom w:val="none" w:sz="0" w:space="0" w:color="auto"/>
                <w:right w:val="none" w:sz="0" w:space="0" w:color="auto"/>
              </w:divBdr>
            </w:div>
          </w:divsChild>
        </w:div>
        <w:div w:id="938103064">
          <w:marLeft w:val="0"/>
          <w:marRight w:val="0"/>
          <w:marTop w:val="0"/>
          <w:marBottom w:val="0"/>
          <w:divBdr>
            <w:top w:val="none" w:sz="0" w:space="0" w:color="auto"/>
            <w:left w:val="none" w:sz="0" w:space="0" w:color="auto"/>
            <w:bottom w:val="none" w:sz="0" w:space="0" w:color="auto"/>
            <w:right w:val="none" w:sz="0" w:space="0" w:color="auto"/>
          </w:divBdr>
          <w:divsChild>
            <w:div w:id="1051419183">
              <w:marLeft w:val="0"/>
              <w:marRight w:val="0"/>
              <w:marTop w:val="0"/>
              <w:marBottom w:val="0"/>
              <w:divBdr>
                <w:top w:val="none" w:sz="0" w:space="0" w:color="auto"/>
                <w:left w:val="none" w:sz="0" w:space="0" w:color="auto"/>
                <w:bottom w:val="none" w:sz="0" w:space="0" w:color="auto"/>
                <w:right w:val="none" w:sz="0" w:space="0" w:color="auto"/>
              </w:divBdr>
            </w:div>
          </w:divsChild>
        </w:div>
        <w:div w:id="938488334">
          <w:marLeft w:val="0"/>
          <w:marRight w:val="0"/>
          <w:marTop w:val="0"/>
          <w:marBottom w:val="0"/>
          <w:divBdr>
            <w:top w:val="none" w:sz="0" w:space="0" w:color="auto"/>
            <w:left w:val="none" w:sz="0" w:space="0" w:color="auto"/>
            <w:bottom w:val="none" w:sz="0" w:space="0" w:color="auto"/>
            <w:right w:val="none" w:sz="0" w:space="0" w:color="auto"/>
          </w:divBdr>
          <w:divsChild>
            <w:div w:id="931474376">
              <w:marLeft w:val="0"/>
              <w:marRight w:val="0"/>
              <w:marTop w:val="0"/>
              <w:marBottom w:val="0"/>
              <w:divBdr>
                <w:top w:val="none" w:sz="0" w:space="0" w:color="auto"/>
                <w:left w:val="none" w:sz="0" w:space="0" w:color="auto"/>
                <w:bottom w:val="none" w:sz="0" w:space="0" w:color="auto"/>
                <w:right w:val="none" w:sz="0" w:space="0" w:color="auto"/>
              </w:divBdr>
            </w:div>
          </w:divsChild>
        </w:div>
        <w:div w:id="947810666">
          <w:marLeft w:val="0"/>
          <w:marRight w:val="0"/>
          <w:marTop w:val="0"/>
          <w:marBottom w:val="0"/>
          <w:divBdr>
            <w:top w:val="none" w:sz="0" w:space="0" w:color="auto"/>
            <w:left w:val="none" w:sz="0" w:space="0" w:color="auto"/>
            <w:bottom w:val="none" w:sz="0" w:space="0" w:color="auto"/>
            <w:right w:val="none" w:sz="0" w:space="0" w:color="auto"/>
          </w:divBdr>
          <w:divsChild>
            <w:div w:id="2060786501">
              <w:marLeft w:val="0"/>
              <w:marRight w:val="0"/>
              <w:marTop w:val="0"/>
              <w:marBottom w:val="0"/>
              <w:divBdr>
                <w:top w:val="none" w:sz="0" w:space="0" w:color="auto"/>
                <w:left w:val="none" w:sz="0" w:space="0" w:color="auto"/>
                <w:bottom w:val="none" w:sz="0" w:space="0" w:color="auto"/>
                <w:right w:val="none" w:sz="0" w:space="0" w:color="auto"/>
              </w:divBdr>
            </w:div>
          </w:divsChild>
        </w:div>
        <w:div w:id="954021107">
          <w:marLeft w:val="0"/>
          <w:marRight w:val="0"/>
          <w:marTop w:val="0"/>
          <w:marBottom w:val="0"/>
          <w:divBdr>
            <w:top w:val="none" w:sz="0" w:space="0" w:color="auto"/>
            <w:left w:val="none" w:sz="0" w:space="0" w:color="auto"/>
            <w:bottom w:val="none" w:sz="0" w:space="0" w:color="auto"/>
            <w:right w:val="none" w:sz="0" w:space="0" w:color="auto"/>
          </w:divBdr>
          <w:divsChild>
            <w:div w:id="1776948987">
              <w:marLeft w:val="0"/>
              <w:marRight w:val="0"/>
              <w:marTop w:val="0"/>
              <w:marBottom w:val="0"/>
              <w:divBdr>
                <w:top w:val="none" w:sz="0" w:space="0" w:color="auto"/>
                <w:left w:val="none" w:sz="0" w:space="0" w:color="auto"/>
                <w:bottom w:val="none" w:sz="0" w:space="0" w:color="auto"/>
                <w:right w:val="none" w:sz="0" w:space="0" w:color="auto"/>
              </w:divBdr>
            </w:div>
          </w:divsChild>
        </w:div>
        <w:div w:id="954560405">
          <w:marLeft w:val="0"/>
          <w:marRight w:val="0"/>
          <w:marTop w:val="0"/>
          <w:marBottom w:val="0"/>
          <w:divBdr>
            <w:top w:val="none" w:sz="0" w:space="0" w:color="auto"/>
            <w:left w:val="none" w:sz="0" w:space="0" w:color="auto"/>
            <w:bottom w:val="none" w:sz="0" w:space="0" w:color="auto"/>
            <w:right w:val="none" w:sz="0" w:space="0" w:color="auto"/>
          </w:divBdr>
          <w:divsChild>
            <w:div w:id="1947149496">
              <w:marLeft w:val="0"/>
              <w:marRight w:val="0"/>
              <w:marTop w:val="0"/>
              <w:marBottom w:val="0"/>
              <w:divBdr>
                <w:top w:val="none" w:sz="0" w:space="0" w:color="auto"/>
                <w:left w:val="none" w:sz="0" w:space="0" w:color="auto"/>
                <w:bottom w:val="none" w:sz="0" w:space="0" w:color="auto"/>
                <w:right w:val="none" w:sz="0" w:space="0" w:color="auto"/>
              </w:divBdr>
            </w:div>
          </w:divsChild>
        </w:div>
        <w:div w:id="954672221">
          <w:marLeft w:val="0"/>
          <w:marRight w:val="0"/>
          <w:marTop w:val="0"/>
          <w:marBottom w:val="0"/>
          <w:divBdr>
            <w:top w:val="none" w:sz="0" w:space="0" w:color="auto"/>
            <w:left w:val="none" w:sz="0" w:space="0" w:color="auto"/>
            <w:bottom w:val="none" w:sz="0" w:space="0" w:color="auto"/>
            <w:right w:val="none" w:sz="0" w:space="0" w:color="auto"/>
          </w:divBdr>
          <w:divsChild>
            <w:div w:id="828910847">
              <w:marLeft w:val="0"/>
              <w:marRight w:val="0"/>
              <w:marTop w:val="0"/>
              <w:marBottom w:val="0"/>
              <w:divBdr>
                <w:top w:val="none" w:sz="0" w:space="0" w:color="auto"/>
                <w:left w:val="none" w:sz="0" w:space="0" w:color="auto"/>
                <w:bottom w:val="none" w:sz="0" w:space="0" w:color="auto"/>
                <w:right w:val="none" w:sz="0" w:space="0" w:color="auto"/>
              </w:divBdr>
            </w:div>
          </w:divsChild>
        </w:div>
        <w:div w:id="963192153">
          <w:marLeft w:val="0"/>
          <w:marRight w:val="0"/>
          <w:marTop w:val="0"/>
          <w:marBottom w:val="0"/>
          <w:divBdr>
            <w:top w:val="none" w:sz="0" w:space="0" w:color="auto"/>
            <w:left w:val="none" w:sz="0" w:space="0" w:color="auto"/>
            <w:bottom w:val="none" w:sz="0" w:space="0" w:color="auto"/>
            <w:right w:val="none" w:sz="0" w:space="0" w:color="auto"/>
          </w:divBdr>
          <w:divsChild>
            <w:div w:id="440537758">
              <w:marLeft w:val="0"/>
              <w:marRight w:val="0"/>
              <w:marTop w:val="0"/>
              <w:marBottom w:val="0"/>
              <w:divBdr>
                <w:top w:val="none" w:sz="0" w:space="0" w:color="auto"/>
                <w:left w:val="none" w:sz="0" w:space="0" w:color="auto"/>
                <w:bottom w:val="none" w:sz="0" w:space="0" w:color="auto"/>
                <w:right w:val="none" w:sz="0" w:space="0" w:color="auto"/>
              </w:divBdr>
            </w:div>
          </w:divsChild>
        </w:div>
        <w:div w:id="963315476">
          <w:marLeft w:val="0"/>
          <w:marRight w:val="0"/>
          <w:marTop w:val="0"/>
          <w:marBottom w:val="0"/>
          <w:divBdr>
            <w:top w:val="none" w:sz="0" w:space="0" w:color="auto"/>
            <w:left w:val="none" w:sz="0" w:space="0" w:color="auto"/>
            <w:bottom w:val="none" w:sz="0" w:space="0" w:color="auto"/>
            <w:right w:val="none" w:sz="0" w:space="0" w:color="auto"/>
          </w:divBdr>
          <w:divsChild>
            <w:div w:id="1809782957">
              <w:marLeft w:val="0"/>
              <w:marRight w:val="0"/>
              <w:marTop w:val="0"/>
              <w:marBottom w:val="0"/>
              <w:divBdr>
                <w:top w:val="none" w:sz="0" w:space="0" w:color="auto"/>
                <w:left w:val="none" w:sz="0" w:space="0" w:color="auto"/>
                <w:bottom w:val="none" w:sz="0" w:space="0" w:color="auto"/>
                <w:right w:val="none" w:sz="0" w:space="0" w:color="auto"/>
              </w:divBdr>
            </w:div>
          </w:divsChild>
        </w:div>
        <w:div w:id="969167410">
          <w:marLeft w:val="0"/>
          <w:marRight w:val="0"/>
          <w:marTop w:val="0"/>
          <w:marBottom w:val="0"/>
          <w:divBdr>
            <w:top w:val="none" w:sz="0" w:space="0" w:color="auto"/>
            <w:left w:val="none" w:sz="0" w:space="0" w:color="auto"/>
            <w:bottom w:val="none" w:sz="0" w:space="0" w:color="auto"/>
            <w:right w:val="none" w:sz="0" w:space="0" w:color="auto"/>
          </w:divBdr>
          <w:divsChild>
            <w:div w:id="301010599">
              <w:marLeft w:val="0"/>
              <w:marRight w:val="0"/>
              <w:marTop w:val="0"/>
              <w:marBottom w:val="0"/>
              <w:divBdr>
                <w:top w:val="none" w:sz="0" w:space="0" w:color="auto"/>
                <w:left w:val="none" w:sz="0" w:space="0" w:color="auto"/>
                <w:bottom w:val="none" w:sz="0" w:space="0" w:color="auto"/>
                <w:right w:val="none" w:sz="0" w:space="0" w:color="auto"/>
              </w:divBdr>
            </w:div>
          </w:divsChild>
        </w:div>
        <w:div w:id="973290115">
          <w:marLeft w:val="0"/>
          <w:marRight w:val="0"/>
          <w:marTop w:val="0"/>
          <w:marBottom w:val="0"/>
          <w:divBdr>
            <w:top w:val="none" w:sz="0" w:space="0" w:color="auto"/>
            <w:left w:val="none" w:sz="0" w:space="0" w:color="auto"/>
            <w:bottom w:val="none" w:sz="0" w:space="0" w:color="auto"/>
            <w:right w:val="none" w:sz="0" w:space="0" w:color="auto"/>
          </w:divBdr>
          <w:divsChild>
            <w:div w:id="611547630">
              <w:marLeft w:val="0"/>
              <w:marRight w:val="0"/>
              <w:marTop w:val="0"/>
              <w:marBottom w:val="0"/>
              <w:divBdr>
                <w:top w:val="none" w:sz="0" w:space="0" w:color="auto"/>
                <w:left w:val="none" w:sz="0" w:space="0" w:color="auto"/>
                <w:bottom w:val="none" w:sz="0" w:space="0" w:color="auto"/>
                <w:right w:val="none" w:sz="0" w:space="0" w:color="auto"/>
              </w:divBdr>
            </w:div>
          </w:divsChild>
        </w:div>
        <w:div w:id="975641183">
          <w:marLeft w:val="0"/>
          <w:marRight w:val="0"/>
          <w:marTop w:val="0"/>
          <w:marBottom w:val="0"/>
          <w:divBdr>
            <w:top w:val="none" w:sz="0" w:space="0" w:color="auto"/>
            <w:left w:val="none" w:sz="0" w:space="0" w:color="auto"/>
            <w:bottom w:val="none" w:sz="0" w:space="0" w:color="auto"/>
            <w:right w:val="none" w:sz="0" w:space="0" w:color="auto"/>
          </w:divBdr>
          <w:divsChild>
            <w:div w:id="1347516382">
              <w:marLeft w:val="0"/>
              <w:marRight w:val="0"/>
              <w:marTop w:val="0"/>
              <w:marBottom w:val="0"/>
              <w:divBdr>
                <w:top w:val="none" w:sz="0" w:space="0" w:color="auto"/>
                <w:left w:val="none" w:sz="0" w:space="0" w:color="auto"/>
                <w:bottom w:val="none" w:sz="0" w:space="0" w:color="auto"/>
                <w:right w:val="none" w:sz="0" w:space="0" w:color="auto"/>
              </w:divBdr>
            </w:div>
          </w:divsChild>
        </w:div>
        <w:div w:id="980157254">
          <w:marLeft w:val="0"/>
          <w:marRight w:val="0"/>
          <w:marTop w:val="0"/>
          <w:marBottom w:val="0"/>
          <w:divBdr>
            <w:top w:val="none" w:sz="0" w:space="0" w:color="auto"/>
            <w:left w:val="none" w:sz="0" w:space="0" w:color="auto"/>
            <w:bottom w:val="none" w:sz="0" w:space="0" w:color="auto"/>
            <w:right w:val="none" w:sz="0" w:space="0" w:color="auto"/>
          </w:divBdr>
          <w:divsChild>
            <w:div w:id="486628156">
              <w:marLeft w:val="0"/>
              <w:marRight w:val="0"/>
              <w:marTop w:val="0"/>
              <w:marBottom w:val="0"/>
              <w:divBdr>
                <w:top w:val="none" w:sz="0" w:space="0" w:color="auto"/>
                <w:left w:val="none" w:sz="0" w:space="0" w:color="auto"/>
                <w:bottom w:val="none" w:sz="0" w:space="0" w:color="auto"/>
                <w:right w:val="none" w:sz="0" w:space="0" w:color="auto"/>
              </w:divBdr>
            </w:div>
          </w:divsChild>
        </w:div>
        <w:div w:id="993945966">
          <w:marLeft w:val="0"/>
          <w:marRight w:val="0"/>
          <w:marTop w:val="0"/>
          <w:marBottom w:val="0"/>
          <w:divBdr>
            <w:top w:val="none" w:sz="0" w:space="0" w:color="auto"/>
            <w:left w:val="none" w:sz="0" w:space="0" w:color="auto"/>
            <w:bottom w:val="none" w:sz="0" w:space="0" w:color="auto"/>
            <w:right w:val="none" w:sz="0" w:space="0" w:color="auto"/>
          </w:divBdr>
          <w:divsChild>
            <w:div w:id="1272283060">
              <w:marLeft w:val="0"/>
              <w:marRight w:val="0"/>
              <w:marTop w:val="0"/>
              <w:marBottom w:val="0"/>
              <w:divBdr>
                <w:top w:val="none" w:sz="0" w:space="0" w:color="auto"/>
                <w:left w:val="none" w:sz="0" w:space="0" w:color="auto"/>
                <w:bottom w:val="none" w:sz="0" w:space="0" w:color="auto"/>
                <w:right w:val="none" w:sz="0" w:space="0" w:color="auto"/>
              </w:divBdr>
            </w:div>
          </w:divsChild>
        </w:div>
        <w:div w:id="995064465">
          <w:marLeft w:val="0"/>
          <w:marRight w:val="0"/>
          <w:marTop w:val="0"/>
          <w:marBottom w:val="0"/>
          <w:divBdr>
            <w:top w:val="none" w:sz="0" w:space="0" w:color="auto"/>
            <w:left w:val="none" w:sz="0" w:space="0" w:color="auto"/>
            <w:bottom w:val="none" w:sz="0" w:space="0" w:color="auto"/>
            <w:right w:val="none" w:sz="0" w:space="0" w:color="auto"/>
          </w:divBdr>
          <w:divsChild>
            <w:div w:id="361328125">
              <w:marLeft w:val="0"/>
              <w:marRight w:val="0"/>
              <w:marTop w:val="0"/>
              <w:marBottom w:val="0"/>
              <w:divBdr>
                <w:top w:val="none" w:sz="0" w:space="0" w:color="auto"/>
                <w:left w:val="none" w:sz="0" w:space="0" w:color="auto"/>
                <w:bottom w:val="none" w:sz="0" w:space="0" w:color="auto"/>
                <w:right w:val="none" w:sz="0" w:space="0" w:color="auto"/>
              </w:divBdr>
            </w:div>
          </w:divsChild>
        </w:div>
        <w:div w:id="999653223">
          <w:marLeft w:val="0"/>
          <w:marRight w:val="0"/>
          <w:marTop w:val="0"/>
          <w:marBottom w:val="0"/>
          <w:divBdr>
            <w:top w:val="none" w:sz="0" w:space="0" w:color="auto"/>
            <w:left w:val="none" w:sz="0" w:space="0" w:color="auto"/>
            <w:bottom w:val="none" w:sz="0" w:space="0" w:color="auto"/>
            <w:right w:val="none" w:sz="0" w:space="0" w:color="auto"/>
          </w:divBdr>
          <w:divsChild>
            <w:div w:id="494033301">
              <w:marLeft w:val="0"/>
              <w:marRight w:val="0"/>
              <w:marTop w:val="0"/>
              <w:marBottom w:val="0"/>
              <w:divBdr>
                <w:top w:val="none" w:sz="0" w:space="0" w:color="auto"/>
                <w:left w:val="none" w:sz="0" w:space="0" w:color="auto"/>
                <w:bottom w:val="none" w:sz="0" w:space="0" w:color="auto"/>
                <w:right w:val="none" w:sz="0" w:space="0" w:color="auto"/>
              </w:divBdr>
            </w:div>
          </w:divsChild>
        </w:div>
        <w:div w:id="1021205026">
          <w:marLeft w:val="0"/>
          <w:marRight w:val="0"/>
          <w:marTop w:val="0"/>
          <w:marBottom w:val="0"/>
          <w:divBdr>
            <w:top w:val="none" w:sz="0" w:space="0" w:color="auto"/>
            <w:left w:val="none" w:sz="0" w:space="0" w:color="auto"/>
            <w:bottom w:val="none" w:sz="0" w:space="0" w:color="auto"/>
            <w:right w:val="none" w:sz="0" w:space="0" w:color="auto"/>
          </w:divBdr>
          <w:divsChild>
            <w:div w:id="969439359">
              <w:marLeft w:val="0"/>
              <w:marRight w:val="0"/>
              <w:marTop w:val="0"/>
              <w:marBottom w:val="0"/>
              <w:divBdr>
                <w:top w:val="none" w:sz="0" w:space="0" w:color="auto"/>
                <w:left w:val="none" w:sz="0" w:space="0" w:color="auto"/>
                <w:bottom w:val="none" w:sz="0" w:space="0" w:color="auto"/>
                <w:right w:val="none" w:sz="0" w:space="0" w:color="auto"/>
              </w:divBdr>
            </w:div>
          </w:divsChild>
        </w:div>
        <w:div w:id="1022441752">
          <w:marLeft w:val="0"/>
          <w:marRight w:val="0"/>
          <w:marTop w:val="0"/>
          <w:marBottom w:val="0"/>
          <w:divBdr>
            <w:top w:val="none" w:sz="0" w:space="0" w:color="auto"/>
            <w:left w:val="none" w:sz="0" w:space="0" w:color="auto"/>
            <w:bottom w:val="none" w:sz="0" w:space="0" w:color="auto"/>
            <w:right w:val="none" w:sz="0" w:space="0" w:color="auto"/>
          </w:divBdr>
          <w:divsChild>
            <w:div w:id="1390962286">
              <w:marLeft w:val="0"/>
              <w:marRight w:val="0"/>
              <w:marTop w:val="0"/>
              <w:marBottom w:val="0"/>
              <w:divBdr>
                <w:top w:val="none" w:sz="0" w:space="0" w:color="auto"/>
                <w:left w:val="none" w:sz="0" w:space="0" w:color="auto"/>
                <w:bottom w:val="none" w:sz="0" w:space="0" w:color="auto"/>
                <w:right w:val="none" w:sz="0" w:space="0" w:color="auto"/>
              </w:divBdr>
            </w:div>
          </w:divsChild>
        </w:div>
        <w:div w:id="1025132809">
          <w:marLeft w:val="0"/>
          <w:marRight w:val="0"/>
          <w:marTop w:val="0"/>
          <w:marBottom w:val="0"/>
          <w:divBdr>
            <w:top w:val="none" w:sz="0" w:space="0" w:color="auto"/>
            <w:left w:val="none" w:sz="0" w:space="0" w:color="auto"/>
            <w:bottom w:val="none" w:sz="0" w:space="0" w:color="auto"/>
            <w:right w:val="none" w:sz="0" w:space="0" w:color="auto"/>
          </w:divBdr>
          <w:divsChild>
            <w:div w:id="651836689">
              <w:marLeft w:val="0"/>
              <w:marRight w:val="0"/>
              <w:marTop w:val="0"/>
              <w:marBottom w:val="0"/>
              <w:divBdr>
                <w:top w:val="none" w:sz="0" w:space="0" w:color="auto"/>
                <w:left w:val="none" w:sz="0" w:space="0" w:color="auto"/>
                <w:bottom w:val="none" w:sz="0" w:space="0" w:color="auto"/>
                <w:right w:val="none" w:sz="0" w:space="0" w:color="auto"/>
              </w:divBdr>
            </w:div>
          </w:divsChild>
        </w:div>
        <w:div w:id="1032069404">
          <w:marLeft w:val="0"/>
          <w:marRight w:val="0"/>
          <w:marTop w:val="0"/>
          <w:marBottom w:val="0"/>
          <w:divBdr>
            <w:top w:val="none" w:sz="0" w:space="0" w:color="auto"/>
            <w:left w:val="none" w:sz="0" w:space="0" w:color="auto"/>
            <w:bottom w:val="none" w:sz="0" w:space="0" w:color="auto"/>
            <w:right w:val="none" w:sz="0" w:space="0" w:color="auto"/>
          </w:divBdr>
          <w:divsChild>
            <w:div w:id="1874463453">
              <w:marLeft w:val="0"/>
              <w:marRight w:val="0"/>
              <w:marTop w:val="0"/>
              <w:marBottom w:val="0"/>
              <w:divBdr>
                <w:top w:val="none" w:sz="0" w:space="0" w:color="auto"/>
                <w:left w:val="none" w:sz="0" w:space="0" w:color="auto"/>
                <w:bottom w:val="none" w:sz="0" w:space="0" w:color="auto"/>
                <w:right w:val="none" w:sz="0" w:space="0" w:color="auto"/>
              </w:divBdr>
            </w:div>
          </w:divsChild>
        </w:div>
        <w:div w:id="1032192029">
          <w:marLeft w:val="0"/>
          <w:marRight w:val="0"/>
          <w:marTop w:val="0"/>
          <w:marBottom w:val="0"/>
          <w:divBdr>
            <w:top w:val="none" w:sz="0" w:space="0" w:color="auto"/>
            <w:left w:val="none" w:sz="0" w:space="0" w:color="auto"/>
            <w:bottom w:val="none" w:sz="0" w:space="0" w:color="auto"/>
            <w:right w:val="none" w:sz="0" w:space="0" w:color="auto"/>
          </w:divBdr>
          <w:divsChild>
            <w:div w:id="1144783370">
              <w:marLeft w:val="0"/>
              <w:marRight w:val="0"/>
              <w:marTop w:val="0"/>
              <w:marBottom w:val="0"/>
              <w:divBdr>
                <w:top w:val="none" w:sz="0" w:space="0" w:color="auto"/>
                <w:left w:val="none" w:sz="0" w:space="0" w:color="auto"/>
                <w:bottom w:val="none" w:sz="0" w:space="0" w:color="auto"/>
                <w:right w:val="none" w:sz="0" w:space="0" w:color="auto"/>
              </w:divBdr>
            </w:div>
          </w:divsChild>
        </w:div>
        <w:div w:id="1036780334">
          <w:marLeft w:val="0"/>
          <w:marRight w:val="0"/>
          <w:marTop w:val="0"/>
          <w:marBottom w:val="0"/>
          <w:divBdr>
            <w:top w:val="none" w:sz="0" w:space="0" w:color="auto"/>
            <w:left w:val="none" w:sz="0" w:space="0" w:color="auto"/>
            <w:bottom w:val="none" w:sz="0" w:space="0" w:color="auto"/>
            <w:right w:val="none" w:sz="0" w:space="0" w:color="auto"/>
          </w:divBdr>
          <w:divsChild>
            <w:div w:id="95172954">
              <w:marLeft w:val="0"/>
              <w:marRight w:val="0"/>
              <w:marTop w:val="0"/>
              <w:marBottom w:val="0"/>
              <w:divBdr>
                <w:top w:val="none" w:sz="0" w:space="0" w:color="auto"/>
                <w:left w:val="none" w:sz="0" w:space="0" w:color="auto"/>
                <w:bottom w:val="none" w:sz="0" w:space="0" w:color="auto"/>
                <w:right w:val="none" w:sz="0" w:space="0" w:color="auto"/>
              </w:divBdr>
            </w:div>
          </w:divsChild>
        </w:div>
        <w:div w:id="1039820696">
          <w:marLeft w:val="0"/>
          <w:marRight w:val="0"/>
          <w:marTop w:val="0"/>
          <w:marBottom w:val="0"/>
          <w:divBdr>
            <w:top w:val="none" w:sz="0" w:space="0" w:color="auto"/>
            <w:left w:val="none" w:sz="0" w:space="0" w:color="auto"/>
            <w:bottom w:val="none" w:sz="0" w:space="0" w:color="auto"/>
            <w:right w:val="none" w:sz="0" w:space="0" w:color="auto"/>
          </w:divBdr>
          <w:divsChild>
            <w:div w:id="139466018">
              <w:marLeft w:val="0"/>
              <w:marRight w:val="0"/>
              <w:marTop w:val="0"/>
              <w:marBottom w:val="0"/>
              <w:divBdr>
                <w:top w:val="none" w:sz="0" w:space="0" w:color="auto"/>
                <w:left w:val="none" w:sz="0" w:space="0" w:color="auto"/>
                <w:bottom w:val="none" w:sz="0" w:space="0" w:color="auto"/>
                <w:right w:val="none" w:sz="0" w:space="0" w:color="auto"/>
              </w:divBdr>
            </w:div>
          </w:divsChild>
        </w:div>
        <w:div w:id="1048844817">
          <w:marLeft w:val="0"/>
          <w:marRight w:val="0"/>
          <w:marTop w:val="0"/>
          <w:marBottom w:val="0"/>
          <w:divBdr>
            <w:top w:val="none" w:sz="0" w:space="0" w:color="auto"/>
            <w:left w:val="none" w:sz="0" w:space="0" w:color="auto"/>
            <w:bottom w:val="none" w:sz="0" w:space="0" w:color="auto"/>
            <w:right w:val="none" w:sz="0" w:space="0" w:color="auto"/>
          </w:divBdr>
          <w:divsChild>
            <w:div w:id="528030904">
              <w:marLeft w:val="0"/>
              <w:marRight w:val="0"/>
              <w:marTop w:val="0"/>
              <w:marBottom w:val="0"/>
              <w:divBdr>
                <w:top w:val="none" w:sz="0" w:space="0" w:color="auto"/>
                <w:left w:val="none" w:sz="0" w:space="0" w:color="auto"/>
                <w:bottom w:val="none" w:sz="0" w:space="0" w:color="auto"/>
                <w:right w:val="none" w:sz="0" w:space="0" w:color="auto"/>
              </w:divBdr>
            </w:div>
          </w:divsChild>
        </w:div>
        <w:div w:id="1053389079">
          <w:marLeft w:val="0"/>
          <w:marRight w:val="0"/>
          <w:marTop w:val="0"/>
          <w:marBottom w:val="0"/>
          <w:divBdr>
            <w:top w:val="none" w:sz="0" w:space="0" w:color="auto"/>
            <w:left w:val="none" w:sz="0" w:space="0" w:color="auto"/>
            <w:bottom w:val="none" w:sz="0" w:space="0" w:color="auto"/>
            <w:right w:val="none" w:sz="0" w:space="0" w:color="auto"/>
          </w:divBdr>
          <w:divsChild>
            <w:div w:id="1673874249">
              <w:marLeft w:val="0"/>
              <w:marRight w:val="0"/>
              <w:marTop w:val="0"/>
              <w:marBottom w:val="0"/>
              <w:divBdr>
                <w:top w:val="none" w:sz="0" w:space="0" w:color="auto"/>
                <w:left w:val="none" w:sz="0" w:space="0" w:color="auto"/>
                <w:bottom w:val="none" w:sz="0" w:space="0" w:color="auto"/>
                <w:right w:val="none" w:sz="0" w:space="0" w:color="auto"/>
              </w:divBdr>
            </w:div>
          </w:divsChild>
        </w:div>
        <w:div w:id="1060858232">
          <w:marLeft w:val="0"/>
          <w:marRight w:val="0"/>
          <w:marTop w:val="0"/>
          <w:marBottom w:val="0"/>
          <w:divBdr>
            <w:top w:val="none" w:sz="0" w:space="0" w:color="auto"/>
            <w:left w:val="none" w:sz="0" w:space="0" w:color="auto"/>
            <w:bottom w:val="none" w:sz="0" w:space="0" w:color="auto"/>
            <w:right w:val="none" w:sz="0" w:space="0" w:color="auto"/>
          </w:divBdr>
          <w:divsChild>
            <w:div w:id="1242832069">
              <w:marLeft w:val="0"/>
              <w:marRight w:val="0"/>
              <w:marTop w:val="0"/>
              <w:marBottom w:val="0"/>
              <w:divBdr>
                <w:top w:val="none" w:sz="0" w:space="0" w:color="auto"/>
                <w:left w:val="none" w:sz="0" w:space="0" w:color="auto"/>
                <w:bottom w:val="none" w:sz="0" w:space="0" w:color="auto"/>
                <w:right w:val="none" w:sz="0" w:space="0" w:color="auto"/>
              </w:divBdr>
            </w:div>
          </w:divsChild>
        </w:div>
        <w:div w:id="1066878837">
          <w:marLeft w:val="0"/>
          <w:marRight w:val="0"/>
          <w:marTop w:val="0"/>
          <w:marBottom w:val="0"/>
          <w:divBdr>
            <w:top w:val="none" w:sz="0" w:space="0" w:color="auto"/>
            <w:left w:val="none" w:sz="0" w:space="0" w:color="auto"/>
            <w:bottom w:val="none" w:sz="0" w:space="0" w:color="auto"/>
            <w:right w:val="none" w:sz="0" w:space="0" w:color="auto"/>
          </w:divBdr>
          <w:divsChild>
            <w:div w:id="1619025288">
              <w:marLeft w:val="0"/>
              <w:marRight w:val="0"/>
              <w:marTop w:val="0"/>
              <w:marBottom w:val="0"/>
              <w:divBdr>
                <w:top w:val="none" w:sz="0" w:space="0" w:color="auto"/>
                <w:left w:val="none" w:sz="0" w:space="0" w:color="auto"/>
                <w:bottom w:val="none" w:sz="0" w:space="0" w:color="auto"/>
                <w:right w:val="none" w:sz="0" w:space="0" w:color="auto"/>
              </w:divBdr>
            </w:div>
          </w:divsChild>
        </w:div>
        <w:div w:id="1068653090">
          <w:marLeft w:val="0"/>
          <w:marRight w:val="0"/>
          <w:marTop w:val="0"/>
          <w:marBottom w:val="0"/>
          <w:divBdr>
            <w:top w:val="none" w:sz="0" w:space="0" w:color="auto"/>
            <w:left w:val="none" w:sz="0" w:space="0" w:color="auto"/>
            <w:bottom w:val="none" w:sz="0" w:space="0" w:color="auto"/>
            <w:right w:val="none" w:sz="0" w:space="0" w:color="auto"/>
          </w:divBdr>
          <w:divsChild>
            <w:div w:id="1962297050">
              <w:marLeft w:val="0"/>
              <w:marRight w:val="0"/>
              <w:marTop w:val="0"/>
              <w:marBottom w:val="0"/>
              <w:divBdr>
                <w:top w:val="none" w:sz="0" w:space="0" w:color="auto"/>
                <w:left w:val="none" w:sz="0" w:space="0" w:color="auto"/>
                <w:bottom w:val="none" w:sz="0" w:space="0" w:color="auto"/>
                <w:right w:val="none" w:sz="0" w:space="0" w:color="auto"/>
              </w:divBdr>
            </w:div>
          </w:divsChild>
        </w:div>
        <w:div w:id="1071541339">
          <w:marLeft w:val="0"/>
          <w:marRight w:val="0"/>
          <w:marTop w:val="0"/>
          <w:marBottom w:val="0"/>
          <w:divBdr>
            <w:top w:val="none" w:sz="0" w:space="0" w:color="auto"/>
            <w:left w:val="none" w:sz="0" w:space="0" w:color="auto"/>
            <w:bottom w:val="none" w:sz="0" w:space="0" w:color="auto"/>
            <w:right w:val="none" w:sz="0" w:space="0" w:color="auto"/>
          </w:divBdr>
          <w:divsChild>
            <w:div w:id="247814629">
              <w:marLeft w:val="0"/>
              <w:marRight w:val="0"/>
              <w:marTop w:val="0"/>
              <w:marBottom w:val="0"/>
              <w:divBdr>
                <w:top w:val="none" w:sz="0" w:space="0" w:color="auto"/>
                <w:left w:val="none" w:sz="0" w:space="0" w:color="auto"/>
                <w:bottom w:val="none" w:sz="0" w:space="0" w:color="auto"/>
                <w:right w:val="none" w:sz="0" w:space="0" w:color="auto"/>
              </w:divBdr>
            </w:div>
          </w:divsChild>
        </w:div>
        <w:div w:id="1075513858">
          <w:marLeft w:val="0"/>
          <w:marRight w:val="0"/>
          <w:marTop w:val="0"/>
          <w:marBottom w:val="0"/>
          <w:divBdr>
            <w:top w:val="none" w:sz="0" w:space="0" w:color="auto"/>
            <w:left w:val="none" w:sz="0" w:space="0" w:color="auto"/>
            <w:bottom w:val="none" w:sz="0" w:space="0" w:color="auto"/>
            <w:right w:val="none" w:sz="0" w:space="0" w:color="auto"/>
          </w:divBdr>
          <w:divsChild>
            <w:div w:id="495657921">
              <w:marLeft w:val="0"/>
              <w:marRight w:val="0"/>
              <w:marTop w:val="0"/>
              <w:marBottom w:val="0"/>
              <w:divBdr>
                <w:top w:val="none" w:sz="0" w:space="0" w:color="auto"/>
                <w:left w:val="none" w:sz="0" w:space="0" w:color="auto"/>
                <w:bottom w:val="none" w:sz="0" w:space="0" w:color="auto"/>
                <w:right w:val="none" w:sz="0" w:space="0" w:color="auto"/>
              </w:divBdr>
            </w:div>
          </w:divsChild>
        </w:div>
        <w:div w:id="1087725960">
          <w:marLeft w:val="0"/>
          <w:marRight w:val="0"/>
          <w:marTop w:val="0"/>
          <w:marBottom w:val="0"/>
          <w:divBdr>
            <w:top w:val="none" w:sz="0" w:space="0" w:color="auto"/>
            <w:left w:val="none" w:sz="0" w:space="0" w:color="auto"/>
            <w:bottom w:val="none" w:sz="0" w:space="0" w:color="auto"/>
            <w:right w:val="none" w:sz="0" w:space="0" w:color="auto"/>
          </w:divBdr>
          <w:divsChild>
            <w:div w:id="1116565213">
              <w:marLeft w:val="0"/>
              <w:marRight w:val="0"/>
              <w:marTop w:val="0"/>
              <w:marBottom w:val="0"/>
              <w:divBdr>
                <w:top w:val="none" w:sz="0" w:space="0" w:color="auto"/>
                <w:left w:val="none" w:sz="0" w:space="0" w:color="auto"/>
                <w:bottom w:val="none" w:sz="0" w:space="0" w:color="auto"/>
                <w:right w:val="none" w:sz="0" w:space="0" w:color="auto"/>
              </w:divBdr>
            </w:div>
          </w:divsChild>
        </w:div>
        <w:div w:id="1089352204">
          <w:marLeft w:val="0"/>
          <w:marRight w:val="0"/>
          <w:marTop w:val="0"/>
          <w:marBottom w:val="0"/>
          <w:divBdr>
            <w:top w:val="none" w:sz="0" w:space="0" w:color="auto"/>
            <w:left w:val="none" w:sz="0" w:space="0" w:color="auto"/>
            <w:bottom w:val="none" w:sz="0" w:space="0" w:color="auto"/>
            <w:right w:val="none" w:sz="0" w:space="0" w:color="auto"/>
          </w:divBdr>
          <w:divsChild>
            <w:div w:id="780343876">
              <w:marLeft w:val="0"/>
              <w:marRight w:val="0"/>
              <w:marTop w:val="0"/>
              <w:marBottom w:val="0"/>
              <w:divBdr>
                <w:top w:val="none" w:sz="0" w:space="0" w:color="auto"/>
                <w:left w:val="none" w:sz="0" w:space="0" w:color="auto"/>
                <w:bottom w:val="none" w:sz="0" w:space="0" w:color="auto"/>
                <w:right w:val="none" w:sz="0" w:space="0" w:color="auto"/>
              </w:divBdr>
            </w:div>
          </w:divsChild>
        </w:div>
        <w:div w:id="1090203521">
          <w:marLeft w:val="0"/>
          <w:marRight w:val="0"/>
          <w:marTop w:val="0"/>
          <w:marBottom w:val="0"/>
          <w:divBdr>
            <w:top w:val="none" w:sz="0" w:space="0" w:color="auto"/>
            <w:left w:val="none" w:sz="0" w:space="0" w:color="auto"/>
            <w:bottom w:val="none" w:sz="0" w:space="0" w:color="auto"/>
            <w:right w:val="none" w:sz="0" w:space="0" w:color="auto"/>
          </w:divBdr>
          <w:divsChild>
            <w:div w:id="1490290954">
              <w:marLeft w:val="0"/>
              <w:marRight w:val="0"/>
              <w:marTop w:val="0"/>
              <w:marBottom w:val="0"/>
              <w:divBdr>
                <w:top w:val="none" w:sz="0" w:space="0" w:color="auto"/>
                <w:left w:val="none" w:sz="0" w:space="0" w:color="auto"/>
                <w:bottom w:val="none" w:sz="0" w:space="0" w:color="auto"/>
                <w:right w:val="none" w:sz="0" w:space="0" w:color="auto"/>
              </w:divBdr>
            </w:div>
          </w:divsChild>
        </w:div>
        <w:div w:id="1098528854">
          <w:marLeft w:val="0"/>
          <w:marRight w:val="0"/>
          <w:marTop w:val="0"/>
          <w:marBottom w:val="0"/>
          <w:divBdr>
            <w:top w:val="none" w:sz="0" w:space="0" w:color="auto"/>
            <w:left w:val="none" w:sz="0" w:space="0" w:color="auto"/>
            <w:bottom w:val="none" w:sz="0" w:space="0" w:color="auto"/>
            <w:right w:val="none" w:sz="0" w:space="0" w:color="auto"/>
          </w:divBdr>
          <w:divsChild>
            <w:div w:id="5445805">
              <w:marLeft w:val="0"/>
              <w:marRight w:val="0"/>
              <w:marTop w:val="0"/>
              <w:marBottom w:val="0"/>
              <w:divBdr>
                <w:top w:val="none" w:sz="0" w:space="0" w:color="auto"/>
                <w:left w:val="none" w:sz="0" w:space="0" w:color="auto"/>
                <w:bottom w:val="none" w:sz="0" w:space="0" w:color="auto"/>
                <w:right w:val="none" w:sz="0" w:space="0" w:color="auto"/>
              </w:divBdr>
            </w:div>
          </w:divsChild>
        </w:div>
        <w:div w:id="1103839711">
          <w:marLeft w:val="0"/>
          <w:marRight w:val="0"/>
          <w:marTop w:val="0"/>
          <w:marBottom w:val="0"/>
          <w:divBdr>
            <w:top w:val="none" w:sz="0" w:space="0" w:color="auto"/>
            <w:left w:val="none" w:sz="0" w:space="0" w:color="auto"/>
            <w:bottom w:val="none" w:sz="0" w:space="0" w:color="auto"/>
            <w:right w:val="none" w:sz="0" w:space="0" w:color="auto"/>
          </w:divBdr>
          <w:divsChild>
            <w:div w:id="779497177">
              <w:marLeft w:val="0"/>
              <w:marRight w:val="0"/>
              <w:marTop w:val="0"/>
              <w:marBottom w:val="0"/>
              <w:divBdr>
                <w:top w:val="none" w:sz="0" w:space="0" w:color="auto"/>
                <w:left w:val="none" w:sz="0" w:space="0" w:color="auto"/>
                <w:bottom w:val="none" w:sz="0" w:space="0" w:color="auto"/>
                <w:right w:val="none" w:sz="0" w:space="0" w:color="auto"/>
              </w:divBdr>
            </w:div>
          </w:divsChild>
        </w:div>
        <w:div w:id="1105349036">
          <w:marLeft w:val="0"/>
          <w:marRight w:val="0"/>
          <w:marTop w:val="0"/>
          <w:marBottom w:val="0"/>
          <w:divBdr>
            <w:top w:val="none" w:sz="0" w:space="0" w:color="auto"/>
            <w:left w:val="none" w:sz="0" w:space="0" w:color="auto"/>
            <w:bottom w:val="none" w:sz="0" w:space="0" w:color="auto"/>
            <w:right w:val="none" w:sz="0" w:space="0" w:color="auto"/>
          </w:divBdr>
          <w:divsChild>
            <w:div w:id="121507315">
              <w:marLeft w:val="0"/>
              <w:marRight w:val="0"/>
              <w:marTop w:val="0"/>
              <w:marBottom w:val="0"/>
              <w:divBdr>
                <w:top w:val="none" w:sz="0" w:space="0" w:color="auto"/>
                <w:left w:val="none" w:sz="0" w:space="0" w:color="auto"/>
                <w:bottom w:val="none" w:sz="0" w:space="0" w:color="auto"/>
                <w:right w:val="none" w:sz="0" w:space="0" w:color="auto"/>
              </w:divBdr>
            </w:div>
          </w:divsChild>
        </w:div>
        <w:div w:id="1106194544">
          <w:marLeft w:val="0"/>
          <w:marRight w:val="0"/>
          <w:marTop w:val="0"/>
          <w:marBottom w:val="0"/>
          <w:divBdr>
            <w:top w:val="none" w:sz="0" w:space="0" w:color="auto"/>
            <w:left w:val="none" w:sz="0" w:space="0" w:color="auto"/>
            <w:bottom w:val="none" w:sz="0" w:space="0" w:color="auto"/>
            <w:right w:val="none" w:sz="0" w:space="0" w:color="auto"/>
          </w:divBdr>
          <w:divsChild>
            <w:div w:id="517812563">
              <w:marLeft w:val="0"/>
              <w:marRight w:val="0"/>
              <w:marTop w:val="0"/>
              <w:marBottom w:val="0"/>
              <w:divBdr>
                <w:top w:val="none" w:sz="0" w:space="0" w:color="auto"/>
                <w:left w:val="none" w:sz="0" w:space="0" w:color="auto"/>
                <w:bottom w:val="none" w:sz="0" w:space="0" w:color="auto"/>
                <w:right w:val="none" w:sz="0" w:space="0" w:color="auto"/>
              </w:divBdr>
            </w:div>
          </w:divsChild>
        </w:div>
        <w:div w:id="1110516045">
          <w:marLeft w:val="0"/>
          <w:marRight w:val="0"/>
          <w:marTop w:val="0"/>
          <w:marBottom w:val="0"/>
          <w:divBdr>
            <w:top w:val="none" w:sz="0" w:space="0" w:color="auto"/>
            <w:left w:val="none" w:sz="0" w:space="0" w:color="auto"/>
            <w:bottom w:val="none" w:sz="0" w:space="0" w:color="auto"/>
            <w:right w:val="none" w:sz="0" w:space="0" w:color="auto"/>
          </w:divBdr>
          <w:divsChild>
            <w:div w:id="732315627">
              <w:marLeft w:val="0"/>
              <w:marRight w:val="0"/>
              <w:marTop w:val="0"/>
              <w:marBottom w:val="0"/>
              <w:divBdr>
                <w:top w:val="none" w:sz="0" w:space="0" w:color="auto"/>
                <w:left w:val="none" w:sz="0" w:space="0" w:color="auto"/>
                <w:bottom w:val="none" w:sz="0" w:space="0" w:color="auto"/>
                <w:right w:val="none" w:sz="0" w:space="0" w:color="auto"/>
              </w:divBdr>
            </w:div>
          </w:divsChild>
        </w:div>
        <w:div w:id="1117410251">
          <w:marLeft w:val="0"/>
          <w:marRight w:val="0"/>
          <w:marTop w:val="0"/>
          <w:marBottom w:val="0"/>
          <w:divBdr>
            <w:top w:val="none" w:sz="0" w:space="0" w:color="auto"/>
            <w:left w:val="none" w:sz="0" w:space="0" w:color="auto"/>
            <w:bottom w:val="none" w:sz="0" w:space="0" w:color="auto"/>
            <w:right w:val="none" w:sz="0" w:space="0" w:color="auto"/>
          </w:divBdr>
          <w:divsChild>
            <w:div w:id="1757290099">
              <w:marLeft w:val="0"/>
              <w:marRight w:val="0"/>
              <w:marTop w:val="0"/>
              <w:marBottom w:val="0"/>
              <w:divBdr>
                <w:top w:val="none" w:sz="0" w:space="0" w:color="auto"/>
                <w:left w:val="none" w:sz="0" w:space="0" w:color="auto"/>
                <w:bottom w:val="none" w:sz="0" w:space="0" w:color="auto"/>
                <w:right w:val="none" w:sz="0" w:space="0" w:color="auto"/>
              </w:divBdr>
            </w:div>
          </w:divsChild>
        </w:div>
        <w:div w:id="1118910603">
          <w:marLeft w:val="0"/>
          <w:marRight w:val="0"/>
          <w:marTop w:val="0"/>
          <w:marBottom w:val="0"/>
          <w:divBdr>
            <w:top w:val="none" w:sz="0" w:space="0" w:color="auto"/>
            <w:left w:val="none" w:sz="0" w:space="0" w:color="auto"/>
            <w:bottom w:val="none" w:sz="0" w:space="0" w:color="auto"/>
            <w:right w:val="none" w:sz="0" w:space="0" w:color="auto"/>
          </w:divBdr>
          <w:divsChild>
            <w:div w:id="792361587">
              <w:marLeft w:val="0"/>
              <w:marRight w:val="0"/>
              <w:marTop w:val="0"/>
              <w:marBottom w:val="0"/>
              <w:divBdr>
                <w:top w:val="none" w:sz="0" w:space="0" w:color="auto"/>
                <w:left w:val="none" w:sz="0" w:space="0" w:color="auto"/>
                <w:bottom w:val="none" w:sz="0" w:space="0" w:color="auto"/>
                <w:right w:val="none" w:sz="0" w:space="0" w:color="auto"/>
              </w:divBdr>
            </w:div>
          </w:divsChild>
        </w:div>
        <w:div w:id="1122457280">
          <w:marLeft w:val="0"/>
          <w:marRight w:val="0"/>
          <w:marTop w:val="0"/>
          <w:marBottom w:val="0"/>
          <w:divBdr>
            <w:top w:val="none" w:sz="0" w:space="0" w:color="auto"/>
            <w:left w:val="none" w:sz="0" w:space="0" w:color="auto"/>
            <w:bottom w:val="none" w:sz="0" w:space="0" w:color="auto"/>
            <w:right w:val="none" w:sz="0" w:space="0" w:color="auto"/>
          </w:divBdr>
          <w:divsChild>
            <w:div w:id="462962324">
              <w:marLeft w:val="0"/>
              <w:marRight w:val="0"/>
              <w:marTop w:val="0"/>
              <w:marBottom w:val="0"/>
              <w:divBdr>
                <w:top w:val="none" w:sz="0" w:space="0" w:color="auto"/>
                <w:left w:val="none" w:sz="0" w:space="0" w:color="auto"/>
                <w:bottom w:val="none" w:sz="0" w:space="0" w:color="auto"/>
                <w:right w:val="none" w:sz="0" w:space="0" w:color="auto"/>
              </w:divBdr>
            </w:div>
          </w:divsChild>
        </w:div>
        <w:div w:id="1125462513">
          <w:marLeft w:val="0"/>
          <w:marRight w:val="0"/>
          <w:marTop w:val="0"/>
          <w:marBottom w:val="0"/>
          <w:divBdr>
            <w:top w:val="none" w:sz="0" w:space="0" w:color="auto"/>
            <w:left w:val="none" w:sz="0" w:space="0" w:color="auto"/>
            <w:bottom w:val="none" w:sz="0" w:space="0" w:color="auto"/>
            <w:right w:val="none" w:sz="0" w:space="0" w:color="auto"/>
          </w:divBdr>
          <w:divsChild>
            <w:div w:id="212623118">
              <w:marLeft w:val="0"/>
              <w:marRight w:val="0"/>
              <w:marTop w:val="0"/>
              <w:marBottom w:val="0"/>
              <w:divBdr>
                <w:top w:val="none" w:sz="0" w:space="0" w:color="auto"/>
                <w:left w:val="none" w:sz="0" w:space="0" w:color="auto"/>
                <w:bottom w:val="none" w:sz="0" w:space="0" w:color="auto"/>
                <w:right w:val="none" w:sz="0" w:space="0" w:color="auto"/>
              </w:divBdr>
            </w:div>
          </w:divsChild>
        </w:div>
        <w:div w:id="1132089148">
          <w:marLeft w:val="0"/>
          <w:marRight w:val="0"/>
          <w:marTop w:val="0"/>
          <w:marBottom w:val="0"/>
          <w:divBdr>
            <w:top w:val="none" w:sz="0" w:space="0" w:color="auto"/>
            <w:left w:val="none" w:sz="0" w:space="0" w:color="auto"/>
            <w:bottom w:val="none" w:sz="0" w:space="0" w:color="auto"/>
            <w:right w:val="none" w:sz="0" w:space="0" w:color="auto"/>
          </w:divBdr>
          <w:divsChild>
            <w:div w:id="1512334995">
              <w:marLeft w:val="0"/>
              <w:marRight w:val="0"/>
              <w:marTop w:val="0"/>
              <w:marBottom w:val="0"/>
              <w:divBdr>
                <w:top w:val="none" w:sz="0" w:space="0" w:color="auto"/>
                <w:left w:val="none" w:sz="0" w:space="0" w:color="auto"/>
                <w:bottom w:val="none" w:sz="0" w:space="0" w:color="auto"/>
                <w:right w:val="none" w:sz="0" w:space="0" w:color="auto"/>
              </w:divBdr>
            </w:div>
          </w:divsChild>
        </w:div>
        <w:div w:id="1134450633">
          <w:marLeft w:val="0"/>
          <w:marRight w:val="0"/>
          <w:marTop w:val="0"/>
          <w:marBottom w:val="0"/>
          <w:divBdr>
            <w:top w:val="none" w:sz="0" w:space="0" w:color="auto"/>
            <w:left w:val="none" w:sz="0" w:space="0" w:color="auto"/>
            <w:bottom w:val="none" w:sz="0" w:space="0" w:color="auto"/>
            <w:right w:val="none" w:sz="0" w:space="0" w:color="auto"/>
          </w:divBdr>
          <w:divsChild>
            <w:div w:id="83039338">
              <w:marLeft w:val="0"/>
              <w:marRight w:val="0"/>
              <w:marTop w:val="0"/>
              <w:marBottom w:val="0"/>
              <w:divBdr>
                <w:top w:val="none" w:sz="0" w:space="0" w:color="auto"/>
                <w:left w:val="none" w:sz="0" w:space="0" w:color="auto"/>
                <w:bottom w:val="none" w:sz="0" w:space="0" w:color="auto"/>
                <w:right w:val="none" w:sz="0" w:space="0" w:color="auto"/>
              </w:divBdr>
            </w:div>
          </w:divsChild>
        </w:div>
        <w:div w:id="1145511328">
          <w:marLeft w:val="0"/>
          <w:marRight w:val="0"/>
          <w:marTop w:val="0"/>
          <w:marBottom w:val="0"/>
          <w:divBdr>
            <w:top w:val="none" w:sz="0" w:space="0" w:color="auto"/>
            <w:left w:val="none" w:sz="0" w:space="0" w:color="auto"/>
            <w:bottom w:val="none" w:sz="0" w:space="0" w:color="auto"/>
            <w:right w:val="none" w:sz="0" w:space="0" w:color="auto"/>
          </w:divBdr>
          <w:divsChild>
            <w:div w:id="717822489">
              <w:marLeft w:val="0"/>
              <w:marRight w:val="0"/>
              <w:marTop w:val="0"/>
              <w:marBottom w:val="0"/>
              <w:divBdr>
                <w:top w:val="none" w:sz="0" w:space="0" w:color="auto"/>
                <w:left w:val="none" w:sz="0" w:space="0" w:color="auto"/>
                <w:bottom w:val="none" w:sz="0" w:space="0" w:color="auto"/>
                <w:right w:val="none" w:sz="0" w:space="0" w:color="auto"/>
              </w:divBdr>
            </w:div>
          </w:divsChild>
        </w:div>
        <w:div w:id="1149252527">
          <w:marLeft w:val="0"/>
          <w:marRight w:val="0"/>
          <w:marTop w:val="0"/>
          <w:marBottom w:val="0"/>
          <w:divBdr>
            <w:top w:val="none" w:sz="0" w:space="0" w:color="auto"/>
            <w:left w:val="none" w:sz="0" w:space="0" w:color="auto"/>
            <w:bottom w:val="none" w:sz="0" w:space="0" w:color="auto"/>
            <w:right w:val="none" w:sz="0" w:space="0" w:color="auto"/>
          </w:divBdr>
          <w:divsChild>
            <w:div w:id="257643871">
              <w:marLeft w:val="0"/>
              <w:marRight w:val="0"/>
              <w:marTop w:val="0"/>
              <w:marBottom w:val="0"/>
              <w:divBdr>
                <w:top w:val="none" w:sz="0" w:space="0" w:color="auto"/>
                <w:left w:val="none" w:sz="0" w:space="0" w:color="auto"/>
                <w:bottom w:val="none" w:sz="0" w:space="0" w:color="auto"/>
                <w:right w:val="none" w:sz="0" w:space="0" w:color="auto"/>
              </w:divBdr>
            </w:div>
          </w:divsChild>
        </w:div>
        <w:div w:id="1152059719">
          <w:marLeft w:val="0"/>
          <w:marRight w:val="0"/>
          <w:marTop w:val="0"/>
          <w:marBottom w:val="0"/>
          <w:divBdr>
            <w:top w:val="none" w:sz="0" w:space="0" w:color="auto"/>
            <w:left w:val="none" w:sz="0" w:space="0" w:color="auto"/>
            <w:bottom w:val="none" w:sz="0" w:space="0" w:color="auto"/>
            <w:right w:val="none" w:sz="0" w:space="0" w:color="auto"/>
          </w:divBdr>
          <w:divsChild>
            <w:div w:id="672956203">
              <w:marLeft w:val="0"/>
              <w:marRight w:val="0"/>
              <w:marTop w:val="0"/>
              <w:marBottom w:val="0"/>
              <w:divBdr>
                <w:top w:val="none" w:sz="0" w:space="0" w:color="auto"/>
                <w:left w:val="none" w:sz="0" w:space="0" w:color="auto"/>
                <w:bottom w:val="none" w:sz="0" w:space="0" w:color="auto"/>
                <w:right w:val="none" w:sz="0" w:space="0" w:color="auto"/>
              </w:divBdr>
            </w:div>
          </w:divsChild>
        </w:div>
        <w:div w:id="1161121978">
          <w:marLeft w:val="0"/>
          <w:marRight w:val="0"/>
          <w:marTop w:val="0"/>
          <w:marBottom w:val="0"/>
          <w:divBdr>
            <w:top w:val="none" w:sz="0" w:space="0" w:color="auto"/>
            <w:left w:val="none" w:sz="0" w:space="0" w:color="auto"/>
            <w:bottom w:val="none" w:sz="0" w:space="0" w:color="auto"/>
            <w:right w:val="none" w:sz="0" w:space="0" w:color="auto"/>
          </w:divBdr>
          <w:divsChild>
            <w:div w:id="1751462490">
              <w:marLeft w:val="0"/>
              <w:marRight w:val="0"/>
              <w:marTop w:val="0"/>
              <w:marBottom w:val="0"/>
              <w:divBdr>
                <w:top w:val="none" w:sz="0" w:space="0" w:color="auto"/>
                <w:left w:val="none" w:sz="0" w:space="0" w:color="auto"/>
                <w:bottom w:val="none" w:sz="0" w:space="0" w:color="auto"/>
                <w:right w:val="none" w:sz="0" w:space="0" w:color="auto"/>
              </w:divBdr>
            </w:div>
          </w:divsChild>
        </w:div>
        <w:div w:id="1174371127">
          <w:marLeft w:val="0"/>
          <w:marRight w:val="0"/>
          <w:marTop w:val="0"/>
          <w:marBottom w:val="0"/>
          <w:divBdr>
            <w:top w:val="none" w:sz="0" w:space="0" w:color="auto"/>
            <w:left w:val="none" w:sz="0" w:space="0" w:color="auto"/>
            <w:bottom w:val="none" w:sz="0" w:space="0" w:color="auto"/>
            <w:right w:val="none" w:sz="0" w:space="0" w:color="auto"/>
          </w:divBdr>
          <w:divsChild>
            <w:div w:id="314336942">
              <w:marLeft w:val="0"/>
              <w:marRight w:val="0"/>
              <w:marTop w:val="0"/>
              <w:marBottom w:val="0"/>
              <w:divBdr>
                <w:top w:val="none" w:sz="0" w:space="0" w:color="auto"/>
                <w:left w:val="none" w:sz="0" w:space="0" w:color="auto"/>
                <w:bottom w:val="none" w:sz="0" w:space="0" w:color="auto"/>
                <w:right w:val="none" w:sz="0" w:space="0" w:color="auto"/>
              </w:divBdr>
            </w:div>
          </w:divsChild>
        </w:div>
        <w:div w:id="1183938082">
          <w:marLeft w:val="0"/>
          <w:marRight w:val="0"/>
          <w:marTop w:val="0"/>
          <w:marBottom w:val="0"/>
          <w:divBdr>
            <w:top w:val="none" w:sz="0" w:space="0" w:color="auto"/>
            <w:left w:val="none" w:sz="0" w:space="0" w:color="auto"/>
            <w:bottom w:val="none" w:sz="0" w:space="0" w:color="auto"/>
            <w:right w:val="none" w:sz="0" w:space="0" w:color="auto"/>
          </w:divBdr>
          <w:divsChild>
            <w:div w:id="1222978668">
              <w:marLeft w:val="0"/>
              <w:marRight w:val="0"/>
              <w:marTop w:val="0"/>
              <w:marBottom w:val="0"/>
              <w:divBdr>
                <w:top w:val="none" w:sz="0" w:space="0" w:color="auto"/>
                <w:left w:val="none" w:sz="0" w:space="0" w:color="auto"/>
                <w:bottom w:val="none" w:sz="0" w:space="0" w:color="auto"/>
                <w:right w:val="none" w:sz="0" w:space="0" w:color="auto"/>
              </w:divBdr>
            </w:div>
          </w:divsChild>
        </w:div>
        <w:div w:id="1205168018">
          <w:marLeft w:val="0"/>
          <w:marRight w:val="0"/>
          <w:marTop w:val="0"/>
          <w:marBottom w:val="0"/>
          <w:divBdr>
            <w:top w:val="none" w:sz="0" w:space="0" w:color="auto"/>
            <w:left w:val="none" w:sz="0" w:space="0" w:color="auto"/>
            <w:bottom w:val="none" w:sz="0" w:space="0" w:color="auto"/>
            <w:right w:val="none" w:sz="0" w:space="0" w:color="auto"/>
          </w:divBdr>
          <w:divsChild>
            <w:div w:id="1238436042">
              <w:marLeft w:val="0"/>
              <w:marRight w:val="0"/>
              <w:marTop w:val="0"/>
              <w:marBottom w:val="0"/>
              <w:divBdr>
                <w:top w:val="none" w:sz="0" w:space="0" w:color="auto"/>
                <w:left w:val="none" w:sz="0" w:space="0" w:color="auto"/>
                <w:bottom w:val="none" w:sz="0" w:space="0" w:color="auto"/>
                <w:right w:val="none" w:sz="0" w:space="0" w:color="auto"/>
              </w:divBdr>
            </w:div>
          </w:divsChild>
        </w:div>
        <w:div w:id="1213618078">
          <w:marLeft w:val="0"/>
          <w:marRight w:val="0"/>
          <w:marTop w:val="0"/>
          <w:marBottom w:val="0"/>
          <w:divBdr>
            <w:top w:val="none" w:sz="0" w:space="0" w:color="auto"/>
            <w:left w:val="none" w:sz="0" w:space="0" w:color="auto"/>
            <w:bottom w:val="none" w:sz="0" w:space="0" w:color="auto"/>
            <w:right w:val="none" w:sz="0" w:space="0" w:color="auto"/>
          </w:divBdr>
          <w:divsChild>
            <w:div w:id="945968212">
              <w:marLeft w:val="0"/>
              <w:marRight w:val="0"/>
              <w:marTop w:val="0"/>
              <w:marBottom w:val="0"/>
              <w:divBdr>
                <w:top w:val="none" w:sz="0" w:space="0" w:color="auto"/>
                <w:left w:val="none" w:sz="0" w:space="0" w:color="auto"/>
                <w:bottom w:val="none" w:sz="0" w:space="0" w:color="auto"/>
                <w:right w:val="none" w:sz="0" w:space="0" w:color="auto"/>
              </w:divBdr>
            </w:div>
          </w:divsChild>
        </w:div>
        <w:div w:id="1219321562">
          <w:marLeft w:val="0"/>
          <w:marRight w:val="0"/>
          <w:marTop w:val="0"/>
          <w:marBottom w:val="0"/>
          <w:divBdr>
            <w:top w:val="none" w:sz="0" w:space="0" w:color="auto"/>
            <w:left w:val="none" w:sz="0" w:space="0" w:color="auto"/>
            <w:bottom w:val="none" w:sz="0" w:space="0" w:color="auto"/>
            <w:right w:val="none" w:sz="0" w:space="0" w:color="auto"/>
          </w:divBdr>
          <w:divsChild>
            <w:div w:id="413283737">
              <w:marLeft w:val="0"/>
              <w:marRight w:val="0"/>
              <w:marTop w:val="0"/>
              <w:marBottom w:val="0"/>
              <w:divBdr>
                <w:top w:val="none" w:sz="0" w:space="0" w:color="auto"/>
                <w:left w:val="none" w:sz="0" w:space="0" w:color="auto"/>
                <w:bottom w:val="none" w:sz="0" w:space="0" w:color="auto"/>
                <w:right w:val="none" w:sz="0" w:space="0" w:color="auto"/>
              </w:divBdr>
            </w:div>
          </w:divsChild>
        </w:div>
        <w:div w:id="1221870643">
          <w:marLeft w:val="0"/>
          <w:marRight w:val="0"/>
          <w:marTop w:val="0"/>
          <w:marBottom w:val="0"/>
          <w:divBdr>
            <w:top w:val="none" w:sz="0" w:space="0" w:color="auto"/>
            <w:left w:val="none" w:sz="0" w:space="0" w:color="auto"/>
            <w:bottom w:val="none" w:sz="0" w:space="0" w:color="auto"/>
            <w:right w:val="none" w:sz="0" w:space="0" w:color="auto"/>
          </w:divBdr>
          <w:divsChild>
            <w:div w:id="2085835834">
              <w:marLeft w:val="0"/>
              <w:marRight w:val="0"/>
              <w:marTop w:val="0"/>
              <w:marBottom w:val="0"/>
              <w:divBdr>
                <w:top w:val="none" w:sz="0" w:space="0" w:color="auto"/>
                <w:left w:val="none" w:sz="0" w:space="0" w:color="auto"/>
                <w:bottom w:val="none" w:sz="0" w:space="0" w:color="auto"/>
                <w:right w:val="none" w:sz="0" w:space="0" w:color="auto"/>
              </w:divBdr>
            </w:div>
          </w:divsChild>
        </w:div>
        <w:div w:id="1234007548">
          <w:marLeft w:val="0"/>
          <w:marRight w:val="0"/>
          <w:marTop w:val="0"/>
          <w:marBottom w:val="0"/>
          <w:divBdr>
            <w:top w:val="none" w:sz="0" w:space="0" w:color="auto"/>
            <w:left w:val="none" w:sz="0" w:space="0" w:color="auto"/>
            <w:bottom w:val="none" w:sz="0" w:space="0" w:color="auto"/>
            <w:right w:val="none" w:sz="0" w:space="0" w:color="auto"/>
          </w:divBdr>
          <w:divsChild>
            <w:div w:id="1857842519">
              <w:marLeft w:val="0"/>
              <w:marRight w:val="0"/>
              <w:marTop w:val="0"/>
              <w:marBottom w:val="0"/>
              <w:divBdr>
                <w:top w:val="none" w:sz="0" w:space="0" w:color="auto"/>
                <w:left w:val="none" w:sz="0" w:space="0" w:color="auto"/>
                <w:bottom w:val="none" w:sz="0" w:space="0" w:color="auto"/>
                <w:right w:val="none" w:sz="0" w:space="0" w:color="auto"/>
              </w:divBdr>
            </w:div>
          </w:divsChild>
        </w:div>
        <w:div w:id="1234193801">
          <w:marLeft w:val="0"/>
          <w:marRight w:val="0"/>
          <w:marTop w:val="0"/>
          <w:marBottom w:val="0"/>
          <w:divBdr>
            <w:top w:val="none" w:sz="0" w:space="0" w:color="auto"/>
            <w:left w:val="none" w:sz="0" w:space="0" w:color="auto"/>
            <w:bottom w:val="none" w:sz="0" w:space="0" w:color="auto"/>
            <w:right w:val="none" w:sz="0" w:space="0" w:color="auto"/>
          </w:divBdr>
          <w:divsChild>
            <w:div w:id="404183945">
              <w:marLeft w:val="0"/>
              <w:marRight w:val="0"/>
              <w:marTop w:val="0"/>
              <w:marBottom w:val="0"/>
              <w:divBdr>
                <w:top w:val="none" w:sz="0" w:space="0" w:color="auto"/>
                <w:left w:val="none" w:sz="0" w:space="0" w:color="auto"/>
                <w:bottom w:val="none" w:sz="0" w:space="0" w:color="auto"/>
                <w:right w:val="none" w:sz="0" w:space="0" w:color="auto"/>
              </w:divBdr>
            </w:div>
          </w:divsChild>
        </w:div>
        <w:div w:id="1240670367">
          <w:marLeft w:val="0"/>
          <w:marRight w:val="0"/>
          <w:marTop w:val="0"/>
          <w:marBottom w:val="0"/>
          <w:divBdr>
            <w:top w:val="none" w:sz="0" w:space="0" w:color="auto"/>
            <w:left w:val="none" w:sz="0" w:space="0" w:color="auto"/>
            <w:bottom w:val="none" w:sz="0" w:space="0" w:color="auto"/>
            <w:right w:val="none" w:sz="0" w:space="0" w:color="auto"/>
          </w:divBdr>
          <w:divsChild>
            <w:div w:id="1520704275">
              <w:marLeft w:val="0"/>
              <w:marRight w:val="0"/>
              <w:marTop w:val="0"/>
              <w:marBottom w:val="0"/>
              <w:divBdr>
                <w:top w:val="none" w:sz="0" w:space="0" w:color="auto"/>
                <w:left w:val="none" w:sz="0" w:space="0" w:color="auto"/>
                <w:bottom w:val="none" w:sz="0" w:space="0" w:color="auto"/>
                <w:right w:val="none" w:sz="0" w:space="0" w:color="auto"/>
              </w:divBdr>
            </w:div>
          </w:divsChild>
        </w:div>
        <w:div w:id="1246575202">
          <w:marLeft w:val="0"/>
          <w:marRight w:val="0"/>
          <w:marTop w:val="0"/>
          <w:marBottom w:val="0"/>
          <w:divBdr>
            <w:top w:val="none" w:sz="0" w:space="0" w:color="auto"/>
            <w:left w:val="none" w:sz="0" w:space="0" w:color="auto"/>
            <w:bottom w:val="none" w:sz="0" w:space="0" w:color="auto"/>
            <w:right w:val="none" w:sz="0" w:space="0" w:color="auto"/>
          </w:divBdr>
          <w:divsChild>
            <w:div w:id="1732995708">
              <w:marLeft w:val="0"/>
              <w:marRight w:val="0"/>
              <w:marTop w:val="0"/>
              <w:marBottom w:val="0"/>
              <w:divBdr>
                <w:top w:val="none" w:sz="0" w:space="0" w:color="auto"/>
                <w:left w:val="none" w:sz="0" w:space="0" w:color="auto"/>
                <w:bottom w:val="none" w:sz="0" w:space="0" w:color="auto"/>
                <w:right w:val="none" w:sz="0" w:space="0" w:color="auto"/>
              </w:divBdr>
            </w:div>
          </w:divsChild>
        </w:div>
        <w:div w:id="1247037719">
          <w:marLeft w:val="0"/>
          <w:marRight w:val="0"/>
          <w:marTop w:val="0"/>
          <w:marBottom w:val="0"/>
          <w:divBdr>
            <w:top w:val="none" w:sz="0" w:space="0" w:color="auto"/>
            <w:left w:val="none" w:sz="0" w:space="0" w:color="auto"/>
            <w:bottom w:val="none" w:sz="0" w:space="0" w:color="auto"/>
            <w:right w:val="none" w:sz="0" w:space="0" w:color="auto"/>
          </w:divBdr>
          <w:divsChild>
            <w:div w:id="2057512070">
              <w:marLeft w:val="0"/>
              <w:marRight w:val="0"/>
              <w:marTop w:val="0"/>
              <w:marBottom w:val="0"/>
              <w:divBdr>
                <w:top w:val="none" w:sz="0" w:space="0" w:color="auto"/>
                <w:left w:val="none" w:sz="0" w:space="0" w:color="auto"/>
                <w:bottom w:val="none" w:sz="0" w:space="0" w:color="auto"/>
                <w:right w:val="none" w:sz="0" w:space="0" w:color="auto"/>
              </w:divBdr>
            </w:div>
          </w:divsChild>
        </w:div>
        <w:div w:id="1254432824">
          <w:marLeft w:val="0"/>
          <w:marRight w:val="0"/>
          <w:marTop w:val="0"/>
          <w:marBottom w:val="0"/>
          <w:divBdr>
            <w:top w:val="none" w:sz="0" w:space="0" w:color="auto"/>
            <w:left w:val="none" w:sz="0" w:space="0" w:color="auto"/>
            <w:bottom w:val="none" w:sz="0" w:space="0" w:color="auto"/>
            <w:right w:val="none" w:sz="0" w:space="0" w:color="auto"/>
          </w:divBdr>
          <w:divsChild>
            <w:div w:id="1432357821">
              <w:marLeft w:val="0"/>
              <w:marRight w:val="0"/>
              <w:marTop w:val="0"/>
              <w:marBottom w:val="0"/>
              <w:divBdr>
                <w:top w:val="none" w:sz="0" w:space="0" w:color="auto"/>
                <w:left w:val="none" w:sz="0" w:space="0" w:color="auto"/>
                <w:bottom w:val="none" w:sz="0" w:space="0" w:color="auto"/>
                <w:right w:val="none" w:sz="0" w:space="0" w:color="auto"/>
              </w:divBdr>
            </w:div>
          </w:divsChild>
        </w:div>
        <w:div w:id="1254775774">
          <w:marLeft w:val="0"/>
          <w:marRight w:val="0"/>
          <w:marTop w:val="0"/>
          <w:marBottom w:val="0"/>
          <w:divBdr>
            <w:top w:val="none" w:sz="0" w:space="0" w:color="auto"/>
            <w:left w:val="none" w:sz="0" w:space="0" w:color="auto"/>
            <w:bottom w:val="none" w:sz="0" w:space="0" w:color="auto"/>
            <w:right w:val="none" w:sz="0" w:space="0" w:color="auto"/>
          </w:divBdr>
          <w:divsChild>
            <w:div w:id="329213264">
              <w:marLeft w:val="0"/>
              <w:marRight w:val="0"/>
              <w:marTop w:val="0"/>
              <w:marBottom w:val="0"/>
              <w:divBdr>
                <w:top w:val="none" w:sz="0" w:space="0" w:color="auto"/>
                <w:left w:val="none" w:sz="0" w:space="0" w:color="auto"/>
                <w:bottom w:val="none" w:sz="0" w:space="0" w:color="auto"/>
                <w:right w:val="none" w:sz="0" w:space="0" w:color="auto"/>
              </w:divBdr>
            </w:div>
          </w:divsChild>
        </w:div>
        <w:div w:id="1257203261">
          <w:marLeft w:val="0"/>
          <w:marRight w:val="0"/>
          <w:marTop w:val="0"/>
          <w:marBottom w:val="0"/>
          <w:divBdr>
            <w:top w:val="none" w:sz="0" w:space="0" w:color="auto"/>
            <w:left w:val="none" w:sz="0" w:space="0" w:color="auto"/>
            <w:bottom w:val="none" w:sz="0" w:space="0" w:color="auto"/>
            <w:right w:val="none" w:sz="0" w:space="0" w:color="auto"/>
          </w:divBdr>
          <w:divsChild>
            <w:div w:id="1337998108">
              <w:marLeft w:val="0"/>
              <w:marRight w:val="0"/>
              <w:marTop w:val="0"/>
              <w:marBottom w:val="0"/>
              <w:divBdr>
                <w:top w:val="none" w:sz="0" w:space="0" w:color="auto"/>
                <w:left w:val="none" w:sz="0" w:space="0" w:color="auto"/>
                <w:bottom w:val="none" w:sz="0" w:space="0" w:color="auto"/>
                <w:right w:val="none" w:sz="0" w:space="0" w:color="auto"/>
              </w:divBdr>
            </w:div>
          </w:divsChild>
        </w:div>
        <w:div w:id="1259480885">
          <w:marLeft w:val="0"/>
          <w:marRight w:val="0"/>
          <w:marTop w:val="0"/>
          <w:marBottom w:val="0"/>
          <w:divBdr>
            <w:top w:val="none" w:sz="0" w:space="0" w:color="auto"/>
            <w:left w:val="none" w:sz="0" w:space="0" w:color="auto"/>
            <w:bottom w:val="none" w:sz="0" w:space="0" w:color="auto"/>
            <w:right w:val="none" w:sz="0" w:space="0" w:color="auto"/>
          </w:divBdr>
          <w:divsChild>
            <w:div w:id="2108765763">
              <w:marLeft w:val="0"/>
              <w:marRight w:val="0"/>
              <w:marTop w:val="0"/>
              <w:marBottom w:val="0"/>
              <w:divBdr>
                <w:top w:val="none" w:sz="0" w:space="0" w:color="auto"/>
                <w:left w:val="none" w:sz="0" w:space="0" w:color="auto"/>
                <w:bottom w:val="none" w:sz="0" w:space="0" w:color="auto"/>
                <w:right w:val="none" w:sz="0" w:space="0" w:color="auto"/>
              </w:divBdr>
            </w:div>
          </w:divsChild>
        </w:div>
        <w:div w:id="1266812021">
          <w:marLeft w:val="0"/>
          <w:marRight w:val="0"/>
          <w:marTop w:val="0"/>
          <w:marBottom w:val="0"/>
          <w:divBdr>
            <w:top w:val="none" w:sz="0" w:space="0" w:color="auto"/>
            <w:left w:val="none" w:sz="0" w:space="0" w:color="auto"/>
            <w:bottom w:val="none" w:sz="0" w:space="0" w:color="auto"/>
            <w:right w:val="none" w:sz="0" w:space="0" w:color="auto"/>
          </w:divBdr>
          <w:divsChild>
            <w:div w:id="87164423">
              <w:marLeft w:val="0"/>
              <w:marRight w:val="0"/>
              <w:marTop w:val="0"/>
              <w:marBottom w:val="0"/>
              <w:divBdr>
                <w:top w:val="none" w:sz="0" w:space="0" w:color="auto"/>
                <w:left w:val="none" w:sz="0" w:space="0" w:color="auto"/>
                <w:bottom w:val="none" w:sz="0" w:space="0" w:color="auto"/>
                <w:right w:val="none" w:sz="0" w:space="0" w:color="auto"/>
              </w:divBdr>
            </w:div>
          </w:divsChild>
        </w:div>
        <w:div w:id="1273706970">
          <w:marLeft w:val="0"/>
          <w:marRight w:val="0"/>
          <w:marTop w:val="0"/>
          <w:marBottom w:val="0"/>
          <w:divBdr>
            <w:top w:val="none" w:sz="0" w:space="0" w:color="auto"/>
            <w:left w:val="none" w:sz="0" w:space="0" w:color="auto"/>
            <w:bottom w:val="none" w:sz="0" w:space="0" w:color="auto"/>
            <w:right w:val="none" w:sz="0" w:space="0" w:color="auto"/>
          </w:divBdr>
          <w:divsChild>
            <w:div w:id="821779201">
              <w:marLeft w:val="0"/>
              <w:marRight w:val="0"/>
              <w:marTop w:val="0"/>
              <w:marBottom w:val="0"/>
              <w:divBdr>
                <w:top w:val="none" w:sz="0" w:space="0" w:color="auto"/>
                <w:left w:val="none" w:sz="0" w:space="0" w:color="auto"/>
                <w:bottom w:val="none" w:sz="0" w:space="0" w:color="auto"/>
                <w:right w:val="none" w:sz="0" w:space="0" w:color="auto"/>
              </w:divBdr>
            </w:div>
          </w:divsChild>
        </w:div>
        <w:div w:id="1276985301">
          <w:marLeft w:val="0"/>
          <w:marRight w:val="0"/>
          <w:marTop w:val="0"/>
          <w:marBottom w:val="0"/>
          <w:divBdr>
            <w:top w:val="none" w:sz="0" w:space="0" w:color="auto"/>
            <w:left w:val="none" w:sz="0" w:space="0" w:color="auto"/>
            <w:bottom w:val="none" w:sz="0" w:space="0" w:color="auto"/>
            <w:right w:val="none" w:sz="0" w:space="0" w:color="auto"/>
          </w:divBdr>
          <w:divsChild>
            <w:div w:id="978070710">
              <w:marLeft w:val="0"/>
              <w:marRight w:val="0"/>
              <w:marTop w:val="0"/>
              <w:marBottom w:val="0"/>
              <w:divBdr>
                <w:top w:val="none" w:sz="0" w:space="0" w:color="auto"/>
                <w:left w:val="none" w:sz="0" w:space="0" w:color="auto"/>
                <w:bottom w:val="none" w:sz="0" w:space="0" w:color="auto"/>
                <w:right w:val="none" w:sz="0" w:space="0" w:color="auto"/>
              </w:divBdr>
            </w:div>
          </w:divsChild>
        </w:div>
        <w:div w:id="1296914228">
          <w:marLeft w:val="0"/>
          <w:marRight w:val="0"/>
          <w:marTop w:val="0"/>
          <w:marBottom w:val="0"/>
          <w:divBdr>
            <w:top w:val="none" w:sz="0" w:space="0" w:color="auto"/>
            <w:left w:val="none" w:sz="0" w:space="0" w:color="auto"/>
            <w:bottom w:val="none" w:sz="0" w:space="0" w:color="auto"/>
            <w:right w:val="none" w:sz="0" w:space="0" w:color="auto"/>
          </w:divBdr>
          <w:divsChild>
            <w:div w:id="1182282938">
              <w:marLeft w:val="0"/>
              <w:marRight w:val="0"/>
              <w:marTop w:val="0"/>
              <w:marBottom w:val="0"/>
              <w:divBdr>
                <w:top w:val="none" w:sz="0" w:space="0" w:color="auto"/>
                <w:left w:val="none" w:sz="0" w:space="0" w:color="auto"/>
                <w:bottom w:val="none" w:sz="0" w:space="0" w:color="auto"/>
                <w:right w:val="none" w:sz="0" w:space="0" w:color="auto"/>
              </w:divBdr>
            </w:div>
          </w:divsChild>
        </w:div>
        <w:div w:id="1297491479">
          <w:marLeft w:val="0"/>
          <w:marRight w:val="0"/>
          <w:marTop w:val="0"/>
          <w:marBottom w:val="0"/>
          <w:divBdr>
            <w:top w:val="none" w:sz="0" w:space="0" w:color="auto"/>
            <w:left w:val="none" w:sz="0" w:space="0" w:color="auto"/>
            <w:bottom w:val="none" w:sz="0" w:space="0" w:color="auto"/>
            <w:right w:val="none" w:sz="0" w:space="0" w:color="auto"/>
          </w:divBdr>
          <w:divsChild>
            <w:div w:id="974061933">
              <w:marLeft w:val="0"/>
              <w:marRight w:val="0"/>
              <w:marTop w:val="0"/>
              <w:marBottom w:val="0"/>
              <w:divBdr>
                <w:top w:val="none" w:sz="0" w:space="0" w:color="auto"/>
                <w:left w:val="none" w:sz="0" w:space="0" w:color="auto"/>
                <w:bottom w:val="none" w:sz="0" w:space="0" w:color="auto"/>
                <w:right w:val="none" w:sz="0" w:space="0" w:color="auto"/>
              </w:divBdr>
            </w:div>
          </w:divsChild>
        </w:div>
        <w:div w:id="1299721420">
          <w:marLeft w:val="0"/>
          <w:marRight w:val="0"/>
          <w:marTop w:val="0"/>
          <w:marBottom w:val="0"/>
          <w:divBdr>
            <w:top w:val="none" w:sz="0" w:space="0" w:color="auto"/>
            <w:left w:val="none" w:sz="0" w:space="0" w:color="auto"/>
            <w:bottom w:val="none" w:sz="0" w:space="0" w:color="auto"/>
            <w:right w:val="none" w:sz="0" w:space="0" w:color="auto"/>
          </w:divBdr>
          <w:divsChild>
            <w:div w:id="179197633">
              <w:marLeft w:val="0"/>
              <w:marRight w:val="0"/>
              <w:marTop w:val="0"/>
              <w:marBottom w:val="0"/>
              <w:divBdr>
                <w:top w:val="none" w:sz="0" w:space="0" w:color="auto"/>
                <w:left w:val="none" w:sz="0" w:space="0" w:color="auto"/>
                <w:bottom w:val="none" w:sz="0" w:space="0" w:color="auto"/>
                <w:right w:val="none" w:sz="0" w:space="0" w:color="auto"/>
              </w:divBdr>
            </w:div>
          </w:divsChild>
        </w:div>
        <w:div w:id="1301110503">
          <w:marLeft w:val="0"/>
          <w:marRight w:val="0"/>
          <w:marTop w:val="0"/>
          <w:marBottom w:val="0"/>
          <w:divBdr>
            <w:top w:val="none" w:sz="0" w:space="0" w:color="auto"/>
            <w:left w:val="none" w:sz="0" w:space="0" w:color="auto"/>
            <w:bottom w:val="none" w:sz="0" w:space="0" w:color="auto"/>
            <w:right w:val="none" w:sz="0" w:space="0" w:color="auto"/>
          </w:divBdr>
          <w:divsChild>
            <w:div w:id="477647906">
              <w:marLeft w:val="0"/>
              <w:marRight w:val="0"/>
              <w:marTop w:val="0"/>
              <w:marBottom w:val="0"/>
              <w:divBdr>
                <w:top w:val="none" w:sz="0" w:space="0" w:color="auto"/>
                <w:left w:val="none" w:sz="0" w:space="0" w:color="auto"/>
                <w:bottom w:val="none" w:sz="0" w:space="0" w:color="auto"/>
                <w:right w:val="none" w:sz="0" w:space="0" w:color="auto"/>
              </w:divBdr>
            </w:div>
          </w:divsChild>
        </w:div>
        <w:div w:id="1301495569">
          <w:marLeft w:val="0"/>
          <w:marRight w:val="0"/>
          <w:marTop w:val="0"/>
          <w:marBottom w:val="0"/>
          <w:divBdr>
            <w:top w:val="none" w:sz="0" w:space="0" w:color="auto"/>
            <w:left w:val="none" w:sz="0" w:space="0" w:color="auto"/>
            <w:bottom w:val="none" w:sz="0" w:space="0" w:color="auto"/>
            <w:right w:val="none" w:sz="0" w:space="0" w:color="auto"/>
          </w:divBdr>
          <w:divsChild>
            <w:div w:id="1181746221">
              <w:marLeft w:val="0"/>
              <w:marRight w:val="0"/>
              <w:marTop w:val="0"/>
              <w:marBottom w:val="0"/>
              <w:divBdr>
                <w:top w:val="none" w:sz="0" w:space="0" w:color="auto"/>
                <w:left w:val="none" w:sz="0" w:space="0" w:color="auto"/>
                <w:bottom w:val="none" w:sz="0" w:space="0" w:color="auto"/>
                <w:right w:val="none" w:sz="0" w:space="0" w:color="auto"/>
              </w:divBdr>
            </w:div>
          </w:divsChild>
        </w:div>
        <w:div w:id="1301954606">
          <w:marLeft w:val="0"/>
          <w:marRight w:val="0"/>
          <w:marTop w:val="0"/>
          <w:marBottom w:val="0"/>
          <w:divBdr>
            <w:top w:val="none" w:sz="0" w:space="0" w:color="auto"/>
            <w:left w:val="none" w:sz="0" w:space="0" w:color="auto"/>
            <w:bottom w:val="none" w:sz="0" w:space="0" w:color="auto"/>
            <w:right w:val="none" w:sz="0" w:space="0" w:color="auto"/>
          </w:divBdr>
          <w:divsChild>
            <w:div w:id="644093358">
              <w:marLeft w:val="0"/>
              <w:marRight w:val="0"/>
              <w:marTop w:val="0"/>
              <w:marBottom w:val="0"/>
              <w:divBdr>
                <w:top w:val="none" w:sz="0" w:space="0" w:color="auto"/>
                <w:left w:val="none" w:sz="0" w:space="0" w:color="auto"/>
                <w:bottom w:val="none" w:sz="0" w:space="0" w:color="auto"/>
                <w:right w:val="none" w:sz="0" w:space="0" w:color="auto"/>
              </w:divBdr>
            </w:div>
          </w:divsChild>
        </w:div>
        <w:div w:id="1307391948">
          <w:marLeft w:val="0"/>
          <w:marRight w:val="0"/>
          <w:marTop w:val="0"/>
          <w:marBottom w:val="0"/>
          <w:divBdr>
            <w:top w:val="none" w:sz="0" w:space="0" w:color="auto"/>
            <w:left w:val="none" w:sz="0" w:space="0" w:color="auto"/>
            <w:bottom w:val="none" w:sz="0" w:space="0" w:color="auto"/>
            <w:right w:val="none" w:sz="0" w:space="0" w:color="auto"/>
          </w:divBdr>
          <w:divsChild>
            <w:div w:id="745348130">
              <w:marLeft w:val="0"/>
              <w:marRight w:val="0"/>
              <w:marTop w:val="0"/>
              <w:marBottom w:val="0"/>
              <w:divBdr>
                <w:top w:val="none" w:sz="0" w:space="0" w:color="auto"/>
                <w:left w:val="none" w:sz="0" w:space="0" w:color="auto"/>
                <w:bottom w:val="none" w:sz="0" w:space="0" w:color="auto"/>
                <w:right w:val="none" w:sz="0" w:space="0" w:color="auto"/>
              </w:divBdr>
            </w:div>
          </w:divsChild>
        </w:div>
        <w:div w:id="1307512459">
          <w:marLeft w:val="0"/>
          <w:marRight w:val="0"/>
          <w:marTop w:val="0"/>
          <w:marBottom w:val="0"/>
          <w:divBdr>
            <w:top w:val="none" w:sz="0" w:space="0" w:color="auto"/>
            <w:left w:val="none" w:sz="0" w:space="0" w:color="auto"/>
            <w:bottom w:val="none" w:sz="0" w:space="0" w:color="auto"/>
            <w:right w:val="none" w:sz="0" w:space="0" w:color="auto"/>
          </w:divBdr>
          <w:divsChild>
            <w:div w:id="1893688909">
              <w:marLeft w:val="0"/>
              <w:marRight w:val="0"/>
              <w:marTop w:val="0"/>
              <w:marBottom w:val="0"/>
              <w:divBdr>
                <w:top w:val="none" w:sz="0" w:space="0" w:color="auto"/>
                <w:left w:val="none" w:sz="0" w:space="0" w:color="auto"/>
                <w:bottom w:val="none" w:sz="0" w:space="0" w:color="auto"/>
                <w:right w:val="none" w:sz="0" w:space="0" w:color="auto"/>
              </w:divBdr>
            </w:div>
          </w:divsChild>
        </w:div>
        <w:div w:id="1309555391">
          <w:marLeft w:val="0"/>
          <w:marRight w:val="0"/>
          <w:marTop w:val="0"/>
          <w:marBottom w:val="0"/>
          <w:divBdr>
            <w:top w:val="none" w:sz="0" w:space="0" w:color="auto"/>
            <w:left w:val="none" w:sz="0" w:space="0" w:color="auto"/>
            <w:bottom w:val="none" w:sz="0" w:space="0" w:color="auto"/>
            <w:right w:val="none" w:sz="0" w:space="0" w:color="auto"/>
          </w:divBdr>
          <w:divsChild>
            <w:div w:id="948897798">
              <w:marLeft w:val="0"/>
              <w:marRight w:val="0"/>
              <w:marTop w:val="0"/>
              <w:marBottom w:val="0"/>
              <w:divBdr>
                <w:top w:val="none" w:sz="0" w:space="0" w:color="auto"/>
                <w:left w:val="none" w:sz="0" w:space="0" w:color="auto"/>
                <w:bottom w:val="none" w:sz="0" w:space="0" w:color="auto"/>
                <w:right w:val="none" w:sz="0" w:space="0" w:color="auto"/>
              </w:divBdr>
            </w:div>
          </w:divsChild>
        </w:div>
        <w:div w:id="1320189162">
          <w:marLeft w:val="0"/>
          <w:marRight w:val="0"/>
          <w:marTop w:val="0"/>
          <w:marBottom w:val="0"/>
          <w:divBdr>
            <w:top w:val="none" w:sz="0" w:space="0" w:color="auto"/>
            <w:left w:val="none" w:sz="0" w:space="0" w:color="auto"/>
            <w:bottom w:val="none" w:sz="0" w:space="0" w:color="auto"/>
            <w:right w:val="none" w:sz="0" w:space="0" w:color="auto"/>
          </w:divBdr>
          <w:divsChild>
            <w:div w:id="1125658659">
              <w:marLeft w:val="0"/>
              <w:marRight w:val="0"/>
              <w:marTop w:val="0"/>
              <w:marBottom w:val="0"/>
              <w:divBdr>
                <w:top w:val="none" w:sz="0" w:space="0" w:color="auto"/>
                <w:left w:val="none" w:sz="0" w:space="0" w:color="auto"/>
                <w:bottom w:val="none" w:sz="0" w:space="0" w:color="auto"/>
                <w:right w:val="none" w:sz="0" w:space="0" w:color="auto"/>
              </w:divBdr>
            </w:div>
          </w:divsChild>
        </w:div>
        <w:div w:id="1326006453">
          <w:marLeft w:val="0"/>
          <w:marRight w:val="0"/>
          <w:marTop w:val="0"/>
          <w:marBottom w:val="0"/>
          <w:divBdr>
            <w:top w:val="none" w:sz="0" w:space="0" w:color="auto"/>
            <w:left w:val="none" w:sz="0" w:space="0" w:color="auto"/>
            <w:bottom w:val="none" w:sz="0" w:space="0" w:color="auto"/>
            <w:right w:val="none" w:sz="0" w:space="0" w:color="auto"/>
          </w:divBdr>
          <w:divsChild>
            <w:div w:id="93675225">
              <w:marLeft w:val="0"/>
              <w:marRight w:val="0"/>
              <w:marTop w:val="0"/>
              <w:marBottom w:val="0"/>
              <w:divBdr>
                <w:top w:val="none" w:sz="0" w:space="0" w:color="auto"/>
                <w:left w:val="none" w:sz="0" w:space="0" w:color="auto"/>
                <w:bottom w:val="none" w:sz="0" w:space="0" w:color="auto"/>
                <w:right w:val="none" w:sz="0" w:space="0" w:color="auto"/>
              </w:divBdr>
            </w:div>
          </w:divsChild>
        </w:div>
        <w:div w:id="1326936454">
          <w:marLeft w:val="0"/>
          <w:marRight w:val="0"/>
          <w:marTop w:val="0"/>
          <w:marBottom w:val="0"/>
          <w:divBdr>
            <w:top w:val="none" w:sz="0" w:space="0" w:color="auto"/>
            <w:left w:val="none" w:sz="0" w:space="0" w:color="auto"/>
            <w:bottom w:val="none" w:sz="0" w:space="0" w:color="auto"/>
            <w:right w:val="none" w:sz="0" w:space="0" w:color="auto"/>
          </w:divBdr>
          <w:divsChild>
            <w:div w:id="1350527646">
              <w:marLeft w:val="0"/>
              <w:marRight w:val="0"/>
              <w:marTop w:val="0"/>
              <w:marBottom w:val="0"/>
              <w:divBdr>
                <w:top w:val="none" w:sz="0" w:space="0" w:color="auto"/>
                <w:left w:val="none" w:sz="0" w:space="0" w:color="auto"/>
                <w:bottom w:val="none" w:sz="0" w:space="0" w:color="auto"/>
                <w:right w:val="none" w:sz="0" w:space="0" w:color="auto"/>
              </w:divBdr>
            </w:div>
          </w:divsChild>
        </w:div>
        <w:div w:id="1328364215">
          <w:marLeft w:val="0"/>
          <w:marRight w:val="0"/>
          <w:marTop w:val="0"/>
          <w:marBottom w:val="0"/>
          <w:divBdr>
            <w:top w:val="none" w:sz="0" w:space="0" w:color="auto"/>
            <w:left w:val="none" w:sz="0" w:space="0" w:color="auto"/>
            <w:bottom w:val="none" w:sz="0" w:space="0" w:color="auto"/>
            <w:right w:val="none" w:sz="0" w:space="0" w:color="auto"/>
          </w:divBdr>
          <w:divsChild>
            <w:div w:id="1432312760">
              <w:marLeft w:val="0"/>
              <w:marRight w:val="0"/>
              <w:marTop w:val="0"/>
              <w:marBottom w:val="0"/>
              <w:divBdr>
                <w:top w:val="none" w:sz="0" w:space="0" w:color="auto"/>
                <w:left w:val="none" w:sz="0" w:space="0" w:color="auto"/>
                <w:bottom w:val="none" w:sz="0" w:space="0" w:color="auto"/>
                <w:right w:val="none" w:sz="0" w:space="0" w:color="auto"/>
              </w:divBdr>
            </w:div>
          </w:divsChild>
        </w:div>
        <w:div w:id="1332676674">
          <w:marLeft w:val="0"/>
          <w:marRight w:val="0"/>
          <w:marTop w:val="0"/>
          <w:marBottom w:val="0"/>
          <w:divBdr>
            <w:top w:val="none" w:sz="0" w:space="0" w:color="auto"/>
            <w:left w:val="none" w:sz="0" w:space="0" w:color="auto"/>
            <w:bottom w:val="none" w:sz="0" w:space="0" w:color="auto"/>
            <w:right w:val="none" w:sz="0" w:space="0" w:color="auto"/>
          </w:divBdr>
          <w:divsChild>
            <w:div w:id="1048182906">
              <w:marLeft w:val="0"/>
              <w:marRight w:val="0"/>
              <w:marTop w:val="0"/>
              <w:marBottom w:val="0"/>
              <w:divBdr>
                <w:top w:val="none" w:sz="0" w:space="0" w:color="auto"/>
                <w:left w:val="none" w:sz="0" w:space="0" w:color="auto"/>
                <w:bottom w:val="none" w:sz="0" w:space="0" w:color="auto"/>
                <w:right w:val="none" w:sz="0" w:space="0" w:color="auto"/>
              </w:divBdr>
            </w:div>
          </w:divsChild>
        </w:div>
        <w:div w:id="1340156060">
          <w:marLeft w:val="0"/>
          <w:marRight w:val="0"/>
          <w:marTop w:val="0"/>
          <w:marBottom w:val="0"/>
          <w:divBdr>
            <w:top w:val="none" w:sz="0" w:space="0" w:color="auto"/>
            <w:left w:val="none" w:sz="0" w:space="0" w:color="auto"/>
            <w:bottom w:val="none" w:sz="0" w:space="0" w:color="auto"/>
            <w:right w:val="none" w:sz="0" w:space="0" w:color="auto"/>
          </w:divBdr>
          <w:divsChild>
            <w:div w:id="1829320963">
              <w:marLeft w:val="0"/>
              <w:marRight w:val="0"/>
              <w:marTop w:val="0"/>
              <w:marBottom w:val="0"/>
              <w:divBdr>
                <w:top w:val="none" w:sz="0" w:space="0" w:color="auto"/>
                <w:left w:val="none" w:sz="0" w:space="0" w:color="auto"/>
                <w:bottom w:val="none" w:sz="0" w:space="0" w:color="auto"/>
                <w:right w:val="none" w:sz="0" w:space="0" w:color="auto"/>
              </w:divBdr>
            </w:div>
          </w:divsChild>
        </w:div>
        <w:div w:id="1340501377">
          <w:marLeft w:val="0"/>
          <w:marRight w:val="0"/>
          <w:marTop w:val="0"/>
          <w:marBottom w:val="0"/>
          <w:divBdr>
            <w:top w:val="none" w:sz="0" w:space="0" w:color="auto"/>
            <w:left w:val="none" w:sz="0" w:space="0" w:color="auto"/>
            <w:bottom w:val="none" w:sz="0" w:space="0" w:color="auto"/>
            <w:right w:val="none" w:sz="0" w:space="0" w:color="auto"/>
          </w:divBdr>
          <w:divsChild>
            <w:div w:id="1763642774">
              <w:marLeft w:val="0"/>
              <w:marRight w:val="0"/>
              <w:marTop w:val="0"/>
              <w:marBottom w:val="0"/>
              <w:divBdr>
                <w:top w:val="none" w:sz="0" w:space="0" w:color="auto"/>
                <w:left w:val="none" w:sz="0" w:space="0" w:color="auto"/>
                <w:bottom w:val="none" w:sz="0" w:space="0" w:color="auto"/>
                <w:right w:val="none" w:sz="0" w:space="0" w:color="auto"/>
              </w:divBdr>
            </w:div>
          </w:divsChild>
        </w:div>
        <w:div w:id="1340541965">
          <w:marLeft w:val="0"/>
          <w:marRight w:val="0"/>
          <w:marTop w:val="0"/>
          <w:marBottom w:val="0"/>
          <w:divBdr>
            <w:top w:val="none" w:sz="0" w:space="0" w:color="auto"/>
            <w:left w:val="none" w:sz="0" w:space="0" w:color="auto"/>
            <w:bottom w:val="none" w:sz="0" w:space="0" w:color="auto"/>
            <w:right w:val="none" w:sz="0" w:space="0" w:color="auto"/>
          </w:divBdr>
          <w:divsChild>
            <w:div w:id="1111972409">
              <w:marLeft w:val="0"/>
              <w:marRight w:val="0"/>
              <w:marTop w:val="0"/>
              <w:marBottom w:val="0"/>
              <w:divBdr>
                <w:top w:val="none" w:sz="0" w:space="0" w:color="auto"/>
                <w:left w:val="none" w:sz="0" w:space="0" w:color="auto"/>
                <w:bottom w:val="none" w:sz="0" w:space="0" w:color="auto"/>
                <w:right w:val="none" w:sz="0" w:space="0" w:color="auto"/>
              </w:divBdr>
            </w:div>
          </w:divsChild>
        </w:div>
        <w:div w:id="1341276998">
          <w:marLeft w:val="0"/>
          <w:marRight w:val="0"/>
          <w:marTop w:val="0"/>
          <w:marBottom w:val="0"/>
          <w:divBdr>
            <w:top w:val="none" w:sz="0" w:space="0" w:color="auto"/>
            <w:left w:val="none" w:sz="0" w:space="0" w:color="auto"/>
            <w:bottom w:val="none" w:sz="0" w:space="0" w:color="auto"/>
            <w:right w:val="none" w:sz="0" w:space="0" w:color="auto"/>
          </w:divBdr>
          <w:divsChild>
            <w:div w:id="1399476272">
              <w:marLeft w:val="0"/>
              <w:marRight w:val="0"/>
              <w:marTop w:val="0"/>
              <w:marBottom w:val="0"/>
              <w:divBdr>
                <w:top w:val="none" w:sz="0" w:space="0" w:color="auto"/>
                <w:left w:val="none" w:sz="0" w:space="0" w:color="auto"/>
                <w:bottom w:val="none" w:sz="0" w:space="0" w:color="auto"/>
                <w:right w:val="none" w:sz="0" w:space="0" w:color="auto"/>
              </w:divBdr>
            </w:div>
          </w:divsChild>
        </w:div>
        <w:div w:id="1345017230">
          <w:marLeft w:val="0"/>
          <w:marRight w:val="0"/>
          <w:marTop w:val="0"/>
          <w:marBottom w:val="0"/>
          <w:divBdr>
            <w:top w:val="none" w:sz="0" w:space="0" w:color="auto"/>
            <w:left w:val="none" w:sz="0" w:space="0" w:color="auto"/>
            <w:bottom w:val="none" w:sz="0" w:space="0" w:color="auto"/>
            <w:right w:val="none" w:sz="0" w:space="0" w:color="auto"/>
          </w:divBdr>
          <w:divsChild>
            <w:div w:id="831020451">
              <w:marLeft w:val="0"/>
              <w:marRight w:val="0"/>
              <w:marTop w:val="0"/>
              <w:marBottom w:val="0"/>
              <w:divBdr>
                <w:top w:val="none" w:sz="0" w:space="0" w:color="auto"/>
                <w:left w:val="none" w:sz="0" w:space="0" w:color="auto"/>
                <w:bottom w:val="none" w:sz="0" w:space="0" w:color="auto"/>
                <w:right w:val="none" w:sz="0" w:space="0" w:color="auto"/>
              </w:divBdr>
            </w:div>
          </w:divsChild>
        </w:div>
        <w:div w:id="1348410170">
          <w:marLeft w:val="0"/>
          <w:marRight w:val="0"/>
          <w:marTop w:val="0"/>
          <w:marBottom w:val="0"/>
          <w:divBdr>
            <w:top w:val="none" w:sz="0" w:space="0" w:color="auto"/>
            <w:left w:val="none" w:sz="0" w:space="0" w:color="auto"/>
            <w:bottom w:val="none" w:sz="0" w:space="0" w:color="auto"/>
            <w:right w:val="none" w:sz="0" w:space="0" w:color="auto"/>
          </w:divBdr>
          <w:divsChild>
            <w:div w:id="1937596068">
              <w:marLeft w:val="0"/>
              <w:marRight w:val="0"/>
              <w:marTop w:val="0"/>
              <w:marBottom w:val="0"/>
              <w:divBdr>
                <w:top w:val="none" w:sz="0" w:space="0" w:color="auto"/>
                <w:left w:val="none" w:sz="0" w:space="0" w:color="auto"/>
                <w:bottom w:val="none" w:sz="0" w:space="0" w:color="auto"/>
                <w:right w:val="none" w:sz="0" w:space="0" w:color="auto"/>
              </w:divBdr>
            </w:div>
          </w:divsChild>
        </w:div>
        <w:div w:id="1354110823">
          <w:marLeft w:val="0"/>
          <w:marRight w:val="0"/>
          <w:marTop w:val="0"/>
          <w:marBottom w:val="0"/>
          <w:divBdr>
            <w:top w:val="none" w:sz="0" w:space="0" w:color="auto"/>
            <w:left w:val="none" w:sz="0" w:space="0" w:color="auto"/>
            <w:bottom w:val="none" w:sz="0" w:space="0" w:color="auto"/>
            <w:right w:val="none" w:sz="0" w:space="0" w:color="auto"/>
          </w:divBdr>
          <w:divsChild>
            <w:div w:id="1447194614">
              <w:marLeft w:val="0"/>
              <w:marRight w:val="0"/>
              <w:marTop w:val="0"/>
              <w:marBottom w:val="0"/>
              <w:divBdr>
                <w:top w:val="none" w:sz="0" w:space="0" w:color="auto"/>
                <w:left w:val="none" w:sz="0" w:space="0" w:color="auto"/>
                <w:bottom w:val="none" w:sz="0" w:space="0" w:color="auto"/>
                <w:right w:val="none" w:sz="0" w:space="0" w:color="auto"/>
              </w:divBdr>
            </w:div>
          </w:divsChild>
        </w:div>
        <w:div w:id="1354453437">
          <w:marLeft w:val="0"/>
          <w:marRight w:val="0"/>
          <w:marTop w:val="0"/>
          <w:marBottom w:val="0"/>
          <w:divBdr>
            <w:top w:val="none" w:sz="0" w:space="0" w:color="auto"/>
            <w:left w:val="none" w:sz="0" w:space="0" w:color="auto"/>
            <w:bottom w:val="none" w:sz="0" w:space="0" w:color="auto"/>
            <w:right w:val="none" w:sz="0" w:space="0" w:color="auto"/>
          </w:divBdr>
          <w:divsChild>
            <w:div w:id="1664047779">
              <w:marLeft w:val="0"/>
              <w:marRight w:val="0"/>
              <w:marTop w:val="0"/>
              <w:marBottom w:val="0"/>
              <w:divBdr>
                <w:top w:val="none" w:sz="0" w:space="0" w:color="auto"/>
                <w:left w:val="none" w:sz="0" w:space="0" w:color="auto"/>
                <w:bottom w:val="none" w:sz="0" w:space="0" w:color="auto"/>
                <w:right w:val="none" w:sz="0" w:space="0" w:color="auto"/>
              </w:divBdr>
            </w:div>
          </w:divsChild>
        </w:div>
        <w:div w:id="1362323636">
          <w:marLeft w:val="0"/>
          <w:marRight w:val="0"/>
          <w:marTop w:val="0"/>
          <w:marBottom w:val="0"/>
          <w:divBdr>
            <w:top w:val="none" w:sz="0" w:space="0" w:color="auto"/>
            <w:left w:val="none" w:sz="0" w:space="0" w:color="auto"/>
            <w:bottom w:val="none" w:sz="0" w:space="0" w:color="auto"/>
            <w:right w:val="none" w:sz="0" w:space="0" w:color="auto"/>
          </w:divBdr>
          <w:divsChild>
            <w:div w:id="1369918495">
              <w:marLeft w:val="0"/>
              <w:marRight w:val="0"/>
              <w:marTop w:val="0"/>
              <w:marBottom w:val="0"/>
              <w:divBdr>
                <w:top w:val="none" w:sz="0" w:space="0" w:color="auto"/>
                <w:left w:val="none" w:sz="0" w:space="0" w:color="auto"/>
                <w:bottom w:val="none" w:sz="0" w:space="0" w:color="auto"/>
                <w:right w:val="none" w:sz="0" w:space="0" w:color="auto"/>
              </w:divBdr>
            </w:div>
          </w:divsChild>
        </w:div>
        <w:div w:id="1365255565">
          <w:marLeft w:val="0"/>
          <w:marRight w:val="0"/>
          <w:marTop w:val="0"/>
          <w:marBottom w:val="0"/>
          <w:divBdr>
            <w:top w:val="none" w:sz="0" w:space="0" w:color="auto"/>
            <w:left w:val="none" w:sz="0" w:space="0" w:color="auto"/>
            <w:bottom w:val="none" w:sz="0" w:space="0" w:color="auto"/>
            <w:right w:val="none" w:sz="0" w:space="0" w:color="auto"/>
          </w:divBdr>
          <w:divsChild>
            <w:div w:id="633678316">
              <w:marLeft w:val="0"/>
              <w:marRight w:val="0"/>
              <w:marTop w:val="0"/>
              <w:marBottom w:val="0"/>
              <w:divBdr>
                <w:top w:val="none" w:sz="0" w:space="0" w:color="auto"/>
                <w:left w:val="none" w:sz="0" w:space="0" w:color="auto"/>
                <w:bottom w:val="none" w:sz="0" w:space="0" w:color="auto"/>
                <w:right w:val="none" w:sz="0" w:space="0" w:color="auto"/>
              </w:divBdr>
            </w:div>
          </w:divsChild>
        </w:div>
        <w:div w:id="1383989620">
          <w:marLeft w:val="0"/>
          <w:marRight w:val="0"/>
          <w:marTop w:val="0"/>
          <w:marBottom w:val="0"/>
          <w:divBdr>
            <w:top w:val="none" w:sz="0" w:space="0" w:color="auto"/>
            <w:left w:val="none" w:sz="0" w:space="0" w:color="auto"/>
            <w:bottom w:val="none" w:sz="0" w:space="0" w:color="auto"/>
            <w:right w:val="none" w:sz="0" w:space="0" w:color="auto"/>
          </w:divBdr>
          <w:divsChild>
            <w:div w:id="1957448561">
              <w:marLeft w:val="0"/>
              <w:marRight w:val="0"/>
              <w:marTop w:val="0"/>
              <w:marBottom w:val="0"/>
              <w:divBdr>
                <w:top w:val="none" w:sz="0" w:space="0" w:color="auto"/>
                <w:left w:val="none" w:sz="0" w:space="0" w:color="auto"/>
                <w:bottom w:val="none" w:sz="0" w:space="0" w:color="auto"/>
                <w:right w:val="none" w:sz="0" w:space="0" w:color="auto"/>
              </w:divBdr>
            </w:div>
          </w:divsChild>
        </w:div>
        <w:div w:id="1388795197">
          <w:marLeft w:val="0"/>
          <w:marRight w:val="0"/>
          <w:marTop w:val="0"/>
          <w:marBottom w:val="0"/>
          <w:divBdr>
            <w:top w:val="none" w:sz="0" w:space="0" w:color="auto"/>
            <w:left w:val="none" w:sz="0" w:space="0" w:color="auto"/>
            <w:bottom w:val="none" w:sz="0" w:space="0" w:color="auto"/>
            <w:right w:val="none" w:sz="0" w:space="0" w:color="auto"/>
          </w:divBdr>
          <w:divsChild>
            <w:div w:id="1104887221">
              <w:marLeft w:val="0"/>
              <w:marRight w:val="0"/>
              <w:marTop w:val="0"/>
              <w:marBottom w:val="0"/>
              <w:divBdr>
                <w:top w:val="none" w:sz="0" w:space="0" w:color="auto"/>
                <w:left w:val="none" w:sz="0" w:space="0" w:color="auto"/>
                <w:bottom w:val="none" w:sz="0" w:space="0" w:color="auto"/>
                <w:right w:val="none" w:sz="0" w:space="0" w:color="auto"/>
              </w:divBdr>
            </w:div>
          </w:divsChild>
        </w:div>
        <w:div w:id="1388989347">
          <w:marLeft w:val="0"/>
          <w:marRight w:val="0"/>
          <w:marTop w:val="0"/>
          <w:marBottom w:val="0"/>
          <w:divBdr>
            <w:top w:val="none" w:sz="0" w:space="0" w:color="auto"/>
            <w:left w:val="none" w:sz="0" w:space="0" w:color="auto"/>
            <w:bottom w:val="none" w:sz="0" w:space="0" w:color="auto"/>
            <w:right w:val="none" w:sz="0" w:space="0" w:color="auto"/>
          </w:divBdr>
          <w:divsChild>
            <w:div w:id="244193230">
              <w:marLeft w:val="0"/>
              <w:marRight w:val="0"/>
              <w:marTop w:val="0"/>
              <w:marBottom w:val="0"/>
              <w:divBdr>
                <w:top w:val="none" w:sz="0" w:space="0" w:color="auto"/>
                <w:left w:val="none" w:sz="0" w:space="0" w:color="auto"/>
                <w:bottom w:val="none" w:sz="0" w:space="0" w:color="auto"/>
                <w:right w:val="none" w:sz="0" w:space="0" w:color="auto"/>
              </w:divBdr>
            </w:div>
          </w:divsChild>
        </w:div>
        <w:div w:id="1390231131">
          <w:marLeft w:val="0"/>
          <w:marRight w:val="0"/>
          <w:marTop w:val="0"/>
          <w:marBottom w:val="0"/>
          <w:divBdr>
            <w:top w:val="none" w:sz="0" w:space="0" w:color="auto"/>
            <w:left w:val="none" w:sz="0" w:space="0" w:color="auto"/>
            <w:bottom w:val="none" w:sz="0" w:space="0" w:color="auto"/>
            <w:right w:val="none" w:sz="0" w:space="0" w:color="auto"/>
          </w:divBdr>
          <w:divsChild>
            <w:div w:id="776174496">
              <w:marLeft w:val="0"/>
              <w:marRight w:val="0"/>
              <w:marTop w:val="0"/>
              <w:marBottom w:val="0"/>
              <w:divBdr>
                <w:top w:val="none" w:sz="0" w:space="0" w:color="auto"/>
                <w:left w:val="none" w:sz="0" w:space="0" w:color="auto"/>
                <w:bottom w:val="none" w:sz="0" w:space="0" w:color="auto"/>
                <w:right w:val="none" w:sz="0" w:space="0" w:color="auto"/>
              </w:divBdr>
            </w:div>
          </w:divsChild>
        </w:div>
        <w:div w:id="1412770381">
          <w:marLeft w:val="0"/>
          <w:marRight w:val="0"/>
          <w:marTop w:val="0"/>
          <w:marBottom w:val="0"/>
          <w:divBdr>
            <w:top w:val="none" w:sz="0" w:space="0" w:color="auto"/>
            <w:left w:val="none" w:sz="0" w:space="0" w:color="auto"/>
            <w:bottom w:val="none" w:sz="0" w:space="0" w:color="auto"/>
            <w:right w:val="none" w:sz="0" w:space="0" w:color="auto"/>
          </w:divBdr>
          <w:divsChild>
            <w:div w:id="175964282">
              <w:marLeft w:val="0"/>
              <w:marRight w:val="0"/>
              <w:marTop w:val="0"/>
              <w:marBottom w:val="0"/>
              <w:divBdr>
                <w:top w:val="none" w:sz="0" w:space="0" w:color="auto"/>
                <w:left w:val="none" w:sz="0" w:space="0" w:color="auto"/>
                <w:bottom w:val="none" w:sz="0" w:space="0" w:color="auto"/>
                <w:right w:val="none" w:sz="0" w:space="0" w:color="auto"/>
              </w:divBdr>
            </w:div>
          </w:divsChild>
        </w:div>
        <w:div w:id="1420827050">
          <w:marLeft w:val="0"/>
          <w:marRight w:val="0"/>
          <w:marTop w:val="0"/>
          <w:marBottom w:val="0"/>
          <w:divBdr>
            <w:top w:val="none" w:sz="0" w:space="0" w:color="auto"/>
            <w:left w:val="none" w:sz="0" w:space="0" w:color="auto"/>
            <w:bottom w:val="none" w:sz="0" w:space="0" w:color="auto"/>
            <w:right w:val="none" w:sz="0" w:space="0" w:color="auto"/>
          </w:divBdr>
          <w:divsChild>
            <w:div w:id="1008949123">
              <w:marLeft w:val="0"/>
              <w:marRight w:val="0"/>
              <w:marTop w:val="0"/>
              <w:marBottom w:val="0"/>
              <w:divBdr>
                <w:top w:val="none" w:sz="0" w:space="0" w:color="auto"/>
                <w:left w:val="none" w:sz="0" w:space="0" w:color="auto"/>
                <w:bottom w:val="none" w:sz="0" w:space="0" w:color="auto"/>
                <w:right w:val="none" w:sz="0" w:space="0" w:color="auto"/>
              </w:divBdr>
            </w:div>
          </w:divsChild>
        </w:div>
        <w:div w:id="1434546157">
          <w:marLeft w:val="0"/>
          <w:marRight w:val="0"/>
          <w:marTop w:val="0"/>
          <w:marBottom w:val="0"/>
          <w:divBdr>
            <w:top w:val="none" w:sz="0" w:space="0" w:color="auto"/>
            <w:left w:val="none" w:sz="0" w:space="0" w:color="auto"/>
            <w:bottom w:val="none" w:sz="0" w:space="0" w:color="auto"/>
            <w:right w:val="none" w:sz="0" w:space="0" w:color="auto"/>
          </w:divBdr>
          <w:divsChild>
            <w:div w:id="163979128">
              <w:marLeft w:val="0"/>
              <w:marRight w:val="0"/>
              <w:marTop w:val="0"/>
              <w:marBottom w:val="0"/>
              <w:divBdr>
                <w:top w:val="none" w:sz="0" w:space="0" w:color="auto"/>
                <w:left w:val="none" w:sz="0" w:space="0" w:color="auto"/>
                <w:bottom w:val="none" w:sz="0" w:space="0" w:color="auto"/>
                <w:right w:val="none" w:sz="0" w:space="0" w:color="auto"/>
              </w:divBdr>
            </w:div>
          </w:divsChild>
        </w:div>
        <w:div w:id="1437872870">
          <w:marLeft w:val="0"/>
          <w:marRight w:val="0"/>
          <w:marTop w:val="0"/>
          <w:marBottom w:val="0"/>
          <w:divBdr>
            <w:top w:val="none" w:sz="0" w:space="0" w:color="auto"/>
            <w:left w:val="none" w:sz="0" w:space="0" w:color="auto"/>
            <w:bottom w:val="none" w:sz="0" w:space="0" w:color="auto"/>
            <w:right w:val="none" w:sz="0" w:space="0" w:color="auto"/>
          </w:divBdr>
          <w:divsChild>
            <w:div w:id="1053508635">
              <w:marLeft w:val="0"/>
              <w:marRight w:val="0"/>
              <w:marTop w:val="0"/>
              <w:marBottom w:val="0"/>
              <w:divBdr>
                <w:top w:val="none" w:sz="0" w:space="0" w:color="auto"/>
                <w:left w:val="none" w:sz="0" w:space="0" w:color="auto"/>
                <w:bottom w:val="none" w:sz="0" w:space="0" w:color="auto"/>
                <w:right w:val="none" w:sz="0" w:space="0" w:color="auto"/>
              </w:divBdr>
            </w:div>
          </w:divsChild>
        </w:div>
        <w:div w:id="1440367267">
          <w:marLeft w:val="0"/>
          <w:marRight w:val="0"/>
          <w:marTop w:val="0"/>
          <w:marBottom w:val="0"/>
          <w:divBdr>
            <w:top w:val="none" w:sz="0" w:space="0" w:color="auto"/>
            <w:left w:val="none" w:sz="0" w:space="0" w:color="auto"/>
            <w:bottom w:val="none" w:sz="0" w:space="0" w:color="auto"/>
            <w:right w:val="none" w:sz="0" w:space="0" w:color="auto"/>
          </w:divBdr>
          <w:divsChild>
            <w:div w:id="365908296">
              <w:marLeft w:val="0"/>
              <w:marRight w:val="0"/>
              <w:marTop w:val="0"/>
              <w:marBottom w:val="0"/>
              <w:divBdr>
                <w:top w:val="none" w:sz="0" w:space="0" w:color="auto"/>
                <w:left w:val="none" w:sz="0" w:space="0" w:color="auto"/>
                <w:bottom w:val="none" w:sz="0" w:space="0" w:color="auto"/>
                <w:right w:val="none" w:sz="0" w:space="0" w:color="auto"/>
              </w:divBdr>
            </w:div>
          </w:divsChild>
        </w:div>
        <w:div w:id="1440679091">
          <w:marLeft w:val="0"/>
          <w:marRight w:val="0"/>
          <w:marTop w:val="0"/>
          <w:marBottom w:val="0"/>
          <w:divBdr>
            <w:top w:val="none" w:sz="0" w:space="0" w:color="auto"/>
            <w:left w:val="none" w:sz="0" w:space="0" w:color="auto"/>
            <w:bottom w:val="none" w:sz="0" w:space="0" w:color="auto"/>
            <w:right w:val="none" w:sz="0" w:space="0" w:color="auto"/>
          </w:divBdr>
          <w:divsChild>
            <w:div w:id="796291636">
              <w:marLeft w:val="0"/>
              <w:marRight w:val="0"/>
              <w:marTop w:val="0"/>
              <w:marBottom w:val="0"/>
              <w:divBdr>
                <w:top w:val="none" w:sz="0" w:space="0" w:color="auto"/>
                <w:left w:val="none" w:sz="0" w:space="0" w:color="auto"/>
                <w:bottom w:val="none" w:sz="0" w:space="0" w:color="auto"/>
                <w:right w:val="none" w:sz="0" w:space="0" w:color="auto"/>
              </w:divBdr>
            </w:div>
          </w:divsChild>
        </w:div>
        <w:div w:id="1450274518">
          <w:marLeft w:val="0"/>
          <w:marRight w:val="0"/>
          <w:marTop w:val="0"/>
          <w:marBottom w:val="0"/>
          <w:divBdr>
            <w:top w:val="none" w:sz="0" w:space="0" w:color="auto"/>
            <w:left w:val="none" w:sz="0" w:space="0" w:color="auto"/>
            <w:bottom w:val="none" w:sz="0" w:space="0" w:color="auto"/>
            <w:right w:val="none" w:sz="0" w:space="0" w:color="auto"/>
          </w:divBdr>
          <w:divsChild>
            <w:div w:id="1672365543">
              <w:marLeft w:val="0"/>
              <w:marRight w:val="0"/>
              <w:marTop w:val="0"/>
              <w:marBottom w:val="0"/>
              <w:divBdr>
                <w:top w:val="none" w:sz="0" w:space="0" w:color="auto"/>
                <w:left w:val="none" w:sz="0" w:space="0" w:color="auto"/>
                <w:bottom w:val="none" w:sz="0" w:space="0" w:color="auto"/>
                <w:right w:val="none" w:sz="0" w:space="0" w:color="auto"/>
              </w:divBdr>
            </w:div>
          </w:divsChild>
        </w:div>
        <w:div w:id="1461068025">
          <w:marLeft w:val="0"/>
          <w:marRight w:val="0"/>
          <w:marTop w:val="0"/>
          <w:marBottom w:val="0"/>
          <w:divBdr>
            <w:top w:val="none" w:sz="0" w:space="0" w:color="auto"/>
            <w:left w:val="none" w:sz="0" w:space="0" w:color="auto"/>
            <w:bottom w:val="none" w:sz="0" w:space="0" w:color="auto"/>
            <w:right w:val="none" w:sz="0" w:space="0" w:color="auto"/>
          </w:divBdr>
          <w:divsChild>
            <w:div w:id="1071658450">
              <w:marLeft w:val="0"/>
              <w:marRight w:val="0"/>
              <w:marTop w:val="0"/>
              <w:marBottom w:val="0"/>
              <w:divBdr>
                <w:top w:val="none" w:sz="0" w:space="0" w:color="auto"/>
                <w:left w:val="none" w:sz="0" w:space="0" w:color="auto"/>
                <w:bottom w:val="none" w:sz="0" w:space="0" w:color="auto"/>
                <w:right w:val="none" w:sz="0" w:space="0" w:color="auto"/>
              </w:divBdr>
            </w:div>
          </w:divsChild>
        </w:div>
        <w:div w:id="1465346201">
          <w:marLeft w:val="0"/>
          <w:marRight w:val="0"/>
          <w:marTop w:val="0"/>
          <w:marBottom w:val="0"/>
          <w:divBdr>
            <w:top w:val="none" w:sz="0" w:space="0" w:color="auto"/>
            <w:left w:val="none" w:sz="0" w:space="0" w:color="auto"/>
            <w:bottom w:val="none" w:sz="0" w:space="0" w:color="auto"/>
            <w:right w:val="none" w:sz="0" w:space="0" w:color="auto"/>
          </w:divBdr>
          <w:divsChild>
            <w:div w:id="287055796">
              <w:marLeft w:val="0"/>
              <w:marRight w:val="0"/>
              <w:marTop w:val="0"/>
              <w:marBottom w:val="0"/>
              <w:divBdr>
                <w:top w:val="none" w:sz="0" w:space="0" w:color="auto"/>
                <w:left w:val="none" w:sz="0" w:space="0" w:color="auto"/>
                <w:bottom w:val="none" w:sz="0" w:space="0" w:color="auto"/>
                <w:right w:val="none" w:sz="0" w:space="0" w:color="auto"/>
              </w:divBdr>
            </w:div>
          </w:divsChild>
        </w:div>
        <w:div w:id="1465469530">
          <w:marLeft w:val="0"/>
          <w:marRight w:val="0"/>
          <w:marTop w:val="0"/>
          <w:marBottom w:val="0"/>
          <w:divBdr>
            <w:top w:val="none" w:sz="0" w:space="0" w:color="auto"/>
            <w:left w:val="none" w:sz="0" w:space="0" w:color="auto"/>
            <w:bottom w:val="none" w:sz="0" w:space="0" w:color="auto"/>
            <w:right w:val="none" w:sz="0" w:space="0" w:color="auto"/>
          </w:divBdr>
          <w:divsChild>
            <w:div w:id="410198914">
              <w:marLeft w:val="0"/>
              <w:marRight w:val="0"/>
              <w:marTop w:val="0"/>
              <w:marBottom w:val="0"/>
              <w:divBdr>
                <w:top w:val="none" w:sz="0" w:space="0" w:color="auto"/>
                <w:left w:val="none" w:sz="0" w:space="0" w:color="auto"/>
                <w:bottom w:val="none" w:sz="0" w:space="0" w:color="auto"/>
                <w:right w:val="none" w:sz="0" w:space="0" w:color="auto"/>
              </w:divBdr>
            </w:div>
          </w:divsChild>
        </w:div>
        <w:div w:id="1470243853">
          <w:marLeft w:val="0"/>
          <w:marRight w:val="0"/>
          <w:marTop w:val="0"/>
          <w:marBottom w:val="0"/>
          <w:divBdr>
            <w:top w:val="none" w:sz="0" w:space="0" w:color="auto"/>
            <w:left w:val="none" w:sz="0" w:space="0" w:color="auto"/>
            <w:bottom w:val="none" w:sz="0" w:space="0" w:color="auto"/>
            <w:right w:val="none" w:sz="0" w:space="0" w:color="auto"/>
          </w:divBdr>
          <w:divsChild>
            <w:div w:id="2004510462">
              <w:marLeft w:val="0"/>
              <w:marRight w:val="0"/>
              <w:marTop w:val="0"/>
              <w:marBottom w:val="0"/>
              <w:divBdr>
                <w:top w:val="none" w:sz="0" w:space="0" w:color="auto"/>
                <w:left w:val="none" w:sz="0" w:space="0" w:color="auto"/>
                <w:bottom w:val="none" w:sz="0" w:space="0" w:color="auto"/>
                <w:right w:val="none" w:sz="0" w:space="0" w:color="auto"/>
              </w:divBdr>
            </w:div>
          </w:divsChild>
        </w:div>
        <w:div w:id="1475100641">
          <w:marLeft w:val="0"/>
          <w:marRight w:val="0"/>
          <w:marTop w:val="0"/>
          <w:marBottom w:val="0"/>
          <w:divBdr>
            <w:top w:val="none" w:sz="0" w:space="0" w:color="auto"/>
            <w:left w:val="none" w:sz="0" w:space="0" w:color="auto"/>
            <w:bottom w:val="none" w:sz="0" w:space="0" w:color="auto"/>
            <w:right w:val="none" w:sz="0" w:space="0" w:color="auto"/>
          </w:divBdr>
          <w:divsChild>
            <w:div w:id="255215570">
              <w:marLeft w:val="0"/>
              <w:marRight w:val="0"/>
              <w:marTop w:val="0"/>
              <w:marBottom w:val="0"/>
              <w:divBdr>
                <w:top w:val="none" w:sz="0" w:space="0" w:color="auto"/>
                <w:left w:val="none" w:sz="0" w:space="0" w:color="auto"/>
                <w:bottom w:val="none" w:sz="0" w:space="0" w:color="auto"/>
                <w:right w:val="none" w:sz="0" w:space="0" w:color="auto"/>
              </w:divBdr>
            </w:div>
          </w:divsChild>
        </w:div>
        <w:div w:id="1489664965">
          <w:marLeft w:val="0"/>
          <w:marRight w:val="0"/>
          <w:marTop w:val="0"/>
          <w:marBottom w:val="0"/>
          <w:divBdr>
            <w:top w:val="none" w:sz="0" w:space="0" w:color="auto"/>
            <w:left w:val="none" w:sz="0" w:space="0" w:color="auto"/>
            <w:bottom w:val="none" w:sz="0" w:space="0" w:color="auto"/>
            <w:right w:val="none" w:sz="0" w:space="0" w:color="auto"/>
          </w:divBdr>
          <w:divsChild>
            <w:div w:id="1632401425">
              <w:marLeft w:val="0"/>
              <w:marRight w:val="0"/>
              <w:marTop w:val="0"/>
              <w:marBottom w:val="0"/>
              <w:divBdr>
                <w:top w:val="none" w:sz="0" w:space="0" w:color="auto"/>
                <w:left w:val="none" w:sz="0" w:space="0" w:color="auto"/>
                <w:bottom w:val="none" w:sz="0" w:space="0" w:color="auto"/>
                <w:right w:val="none" w:sz="0" w:space="0" w:color="auto"/>
              </w:divBdr>
            </w:div>
          </w:divsChild>
        </w:div>
        <w:div w:id="1491365311">
          <w:marLeft w:val="0"/>
          <w:marRight w:val="0"/>
          <w:marTop w:val="0"/>
          <w:marBottom w:val="0"/>
          <w:divBdr>
            <w:top w:val="none" w:sz="0" w:space="0" w:color="auto"/>
            <w:left w:val="none" w:sz="0" w:space="0" w:color="auto"/>
            <w:bottom w:val="none" w:sz="0" w:space="0" w:color="auto"/>
            <w:right w:val="none" w:sz="0" w:space="0" w:color="auto"/>
          </w:divBdr>
          <w:divsChild>
            <w:div w:id="1739211246">
              <w:marLeft w:val="0"/>
              <w:marRight w:val="0"/>
              <w:marTop w:val="0"/>
              <w:marBottom w:val="0"/>
              <w:divBdr>
                <w:top w:val="none" w:sz="0" w:space="0" w:color="auto"/>
                <w:left w:val="none" w:sz="0" w:space="0" w:color="auto"/>
                <w:bottom w:val="none" w:sz="0" w:space="0" w:color="auto"/>
                <w:right w:val="none" w:sz="0" w:space="0" w:color="auto"/>
              </w:divBdr>
            </w:div>
          </w:divsChild>
        </w:div>
        <w:div w:id="1496647524">
          <w:marLeft w:val="0"/>
          <w:marRight w:val="0"/>
          <w:marTop w:val="0"/>
          <w:marBottom w:val="0"/>
          <w:divBdr>
            <w:top w:val="none" w:sz="0" w:space="0" w:color="auto"/>
            <w:left w:val="none" w:sz="0" w:space="0" w:color="auto"/>
            <w:bottom w:val="none" w:sz="0" w:space="0" w:color="auto"/>
            <w:right w:val="none" w:sz="0" w:space="0" w:color="auto"/>
          </w:divBdr>
          <w:divsChild>
            <w:div w:id="1678265655">
              <w:marLeft w:val="0"/>
              <w:marRight w:val="0"/>
              <w:marTop w:val="0"/>
              <w:marBottom w:val="0"/>
              <w:divBdr>
                <w:top w:val="none" w:sz="0" w:space="0" w:color="auto"/>
                <w:left w:val="none" w:sz="0" w:space="0" w:color="auto"/>
                <w:bottom w:val="none" w:sz="0" w:space="0" w:color="auto"/>
                <w:right w:val="none" w:sz="0" w:space="0" w:color="auto"/>
              </w:divBdr>
            </w:div>
          </w:divsChild>
        </w:div>
        <w:div w:id="1502047200">
          <w:marLeft w:val="0"/>
          <w:marRight w:val="0"/>
          <w:marTop w:val="0"/>
          <w:marBottom w:val="0"/>
          <w:divBdr>
            <w:top w:val="none" w:sz="0" w:space="0" w:color="auto"/>
            <w:left w:val="none" w:sz="0" w:space="0" w:color="auto"/>
            <w:bottom w:val="none" w:sz="0" w:space="0" w:color="auto"/>
            <w:right w:val="none" w:sz="0" w:space="0" w:color="auto"/>
          </w:divBdr>
          <w:divsChild>
            <w:div w:id="841967122">
              <w:marLeft w:val="0"/>
              <w:marRight w:val="0"/>
              <w:marTop w:val="0"/>
              <w:marBottom w:val="0"/>
              <w:divBdr>
                <w:top w:val="none" w:sz="0" w:space="0" w:color="auto"/>
                <w:left w:val="none" w:sz="0" w:space="0" w:color="auto"/>
                <w:bottom w:val="none" w:sz="0" w:space="0" w:color="auto"/>
                <w:right w:val="none" w:sz="0" w:space="0" w:color="auto"/>
              </w:divBdr>
            </w:div>
          </w:divsChild>
        </w:div>
        <w:div w:id="1523009454">
          <w:marLeft w:val="0"/>
          <w:marRight w:val="0"/>
          <w:marTop w:val="0"/>
          <w:marBottom w:val="0"/>
          <w:divBdr>
            <w:top w:val="none" w:sz="0" w:space="0" w:color="auto"/>
            <w:left w:val="none" w:sz="0" w:space="0" w:color="auto"/>
            <w:bottom w:val="none" w:sz="0" w:space="0" w:color="auto"/>
            <w:right w:val="none" w:sz="0" w:space="0" w:color="auto"/>
          </w:divBdr>
          <w:divsChild>
            <w:div w:id="1061365875">
              <w:marLeft w:val="0"/>
              <w:marRight w:val="0"/>
              <w:marTop w:val="0"/>
              <w:marBottom w:val="0"/>
              <w:divBdr>
                <w:top w:val="none" w:sz="0" w:space="0" w:color="auto"/>
                <w:left w:val="none" w:sz="0" w:space="0" w:color="auto"/>
                <w:bottom w:val="none" w:sz="0" w:space="0" w:color="auto"/>
                <w:right w:val="none" w:sz="0" w:space="0" w:color="auto"/>
              </w:divBdr>
            </w:div>
          </w:divsChild>
        </w:div>
        <w:div w:id="1525703272">
          <w:marLeft w:val="0"/>
          <w:marRight w:val="0"/>
          <w:marTop w:val="0"/>
          <w:marBottom w:val="0"/>
          <w:divBdr>
            <w:top w:val="none" w:sz="0" w:space="0" w:color="auto"/>
            <w:left w:val="none" w:sz="0" w:space="0" w:color="auto"/>
            <w:bottom w:val="none" w:sz="0" w:space="0" w:color="auto"/>
            <w:right w:val="none" w:sz="0" w:space="0" w:color="auto"/>
          </w:divBdr>
          <w:divsChild>
            <w:div w:id="825633067">
              <w:marLeft w:val="0"/>
              <w:marRight w:val="0"/>
              <w:marTop w:val="0"/>
              <w:marBottom w:val="0"/>
              <w:divBdr>
                <w:top w:val="none" w:sz="0" w:space="0" w:color="auto"/>
                <w:left w:val="none" w:sz="0" w:space="0" w:color="auto"/>
                <w:bottom w:val="none" w:sz="0" w:space="0" w:color="auto"/>
                <w:right w:val="none" w:sz="0" w:space="0" w:color="auto"/>
              </w:divBdr>
            </w:div>
          </w:divsChild>
        </w:div>
        <w:div w:id="1529030842">
          <w:marLeft w:val="0"/>
          <w:marRight w:val="0"/>
          <w:marTop w:val="0"/>
          <w:marBottom w:val="0"/>
          <w:divBdr>
            <w:top w:val="none" w:sz="0" w:space="0" w:color="auto"/>
            <w:left w:val="none" w:sz="0" w:space="0" w:color="auto"/>
            <w:bottom w:val="none" w:sz="0" w:space="0" w:color="auto"/>
            <w:right w:val="none" w:sz="0" w:space="0" w:color="auto"/>
          </w:divBdr>
          <w:divsChild>
            <w:div w:id="1148597968">
              <w:marLeft w:val="0"/>
              <w:marRight w:val="0"/>
              <w:marTop w:val="0"/>
              <w:marBottom w:val="0"/>
              <w:divBdr>
                <w:top w:val="none" w:sz="0" w:space="0" w:color="auto"/>
                <w:left w:val="none" w:sz="0" w:space="0" w:color="auto"/>
                <w:bottom w:val="none" w:sz="0" w:space="0" w:color="auto"/>
                <w:right w:val="none" w:sz="0" w:space="0" w:color="auto"/>
              </w:divBdr>
            </w:div>
          </w:divsChild>
        </w:div>
        <w:div w:id="1539586032">
          <w:marLeft w:val="0"/>
          <w:marRight w:val="0"/>
          <w:marTop w:val="0"/>
          <w:marBottom w:val="0"/>
          <w:divBdr>
            <w:top w:val="none" w:sz="0" w:space="0" w:color="auto"/>
            <w:left w:val="none" w:sz="0" w:space="0" w:color="auto"/>
            <w:bottom w:val="none" w:sz="0" w:space="0" w:color="auto"/>
            <w:right w:val="none" w:sz="0" w:space="0" w:color="auto"/>
          </w:divBdr>
          <w:divsChild>
            <w:div w:id="1889145719">
              <w:marLeft w:val="0"/>
              <w:marRight w:val="0"/>
              <w:marTop w:val="0"/>
              <w:marBottom w:val="0"/>
              <w:divBdr>
                <w:top w:val="none" w:sz="0" w:space="0" w:color="auto"/>
                <w:left w:val="none" w:sz="0" w:space="0" w:color="auto"/>
                <w:bottom w:val="none" w:sz="0" w:space="0" w:color="auto"/>
                <w:right w:val="none" w:sz="0" w:space="0" w:color="auto"/>
              </w:divBdr>
            </w:div>
          </w:divsChild>
        </w:div>
        <w:div w:id="1545101713">
          <w:marLeft w:val="0"/>
          <w:marRight w:val="0"/>
          <w:marTop w:val="0"/>
          <w:marBottom w:val="0"/>
          <w:divBdr>
            <w:top w:val="none" w:sz="0" w:space="0" w:color="auto"/>
            <w:left w:val="none" w:sz="0" w:space="0" w:color="auto"/>
            <w:bottom w:val="none" w:sz="0" w:space="0" w:color="auto"/>
            <w:right w:val="none" w:sz="0" w:space="0" w:color="auto"/>
          </w:divBdr>
          <w:divsChild>
            <w:div w:id="1493982757">
              <w:marLeft w:val="0"/>
              <w:marRight w:val="0"/>
              <w:marTop w:val="0"/>
              <w:marBottom w:val="0"/>
              <w:divBdr>
                <w:top w:val="none" w:sz="0" w:space="0" w:color="auto"/>
                <w:left w:val="none" w:sz="0" w:space="0" w:color="auto"/>
                <w:bottom w:val="none" w:sz="0" w:space="0" w:color="auto"/>
                <w:right w:val="none" w:sz="0" w:space="0" w:color="auto"/>
              </w:divBdr>
            </w:div>
          </w:divsChild>
        </w:div>
        <w:div w:id="1554543972">
          <w:marLeft w:val="0"/>
          <w:marRight w:val="0"/>
          <w:marTop w:val="0"/>
          <w:marBottom w:val="0"/>
          <w:divBdr>
            <w:top w:val="none" w:sz="0" w:space="0" w:color="auto"/>
            <w:left w:val="none" w:sz="0" w:space="0" w:color="auto"/>
            <w:bottom w:val="none" w:sz="0" w:space="0" w:color="auto"/>
            <w:right w:val="none" w:sz="0" w:space="0" w:color="auto"/>
          </w:divBdr>
          <w:divsChild>
            <w:div w:id="1948850220">
              <w:marLeft w:val="0"/>
              <w:marRight w:val="0"/>
              <w:marTop w:val="0"/>
              <w:marBottom w:val="0"/>
              <w:divBdr>
                <w:top w:val="none" w:sz="0" w:space="0" w:color="auto"/>
                <w:left w:val="none" w:sz="0" w:space="0" w:color="auto"/>
                <w:bottom w:val="none" w:sz="0" w:space="0" w:color="auto"/>
                <w:right w:val="none" w:sz="0" w:space="0" w:color="auto"/>
              </w:divBdr>
            </w:div>
          </w:divsChild>
        </w:div>
        <w:div w:id="1567644513">
          <w:marLeft w:val="0"/>
          <w:marRight w:val="0"/>
          <w:marTop w:val="0"/>
          <w:marBottom w:val="0"/>
          <w:divBdr>
            <w:top w:val="none" w:sz="0" w:space="0" w:color="auto"/>
            <w:left w:val="none" w:sz="0" w:space="0" w:color="auto"/>
            <w:bottom w:val="none" w:sz="0" w:space="0" w:color="auto"/>
            <w:right w:val="none" w:sz="0" w:space="0" w:color="auto"/>
          </w:divBdr>
          <w:divsChild>
            <w:div w:id="518081197">
              <w:marLeft w:val="0"/>
              <w:marRight w:val="0"/>
              <w:marTop w:val="0"/>
              <w:marBottom w:val="0"/>
              <w:divBdr>
                <w:top w:val="none" w:sz="0" w:space="0" w:color="auto"/>
                <w:left w:val="none" w:sz="0" w:space="0" w:color="auto"/>
                <w:bottom w:val="none" w:sz="0" w:space="0" w:color="auto"/>
                <w:right w:val="none" w:sz="0" w:space="0" w:color="auto"/>
              </w:divBdr>
            </w:div>
          </w:divsChild>
        </w:div>
        <w:div w:id="1568614733">
          <w:marLeft w:val="0"/>
          <w:marRight w:val="0"/>
          <w:marTop w:val="0"/>
          <w:marBottom w:val="0"/>
          <w:divBdr>
            <w:top w:val="none" w:sz="0" w:space="0" w:color="auto"/>
            <w:left w:val="none" w:sz="0" w:space="0" w:color="auto"/>
            <w:bottom w:val="none" w:sz="0" w:space="0" w:color="auto"/>
            <w:right w:val="none" w:sz="0" w:space="0" w:color="auto"/>
          </w:divBdr>
          <w:divsChild>
            <w:div w:id="314575928">
              <w:marLeft w:val="0"/>
              <w:marRight w:val="0"/>
              <w:marTop w:val="0"/>
              <w:marBottom w:val="0"/>
              <w:divBdr>
                <w:top w:val="none" w:sz="0" w:space="0" w:color="auto"/>
                <w:left w:val="none" w:sz="0" w:space="0" w:color="auto"/>
                <w:bottom w:val="none" w:sz="0" w:space="0" w:color="auto"/>
                <w:right w:val="none" w:sz="0" w:space="0" w:color="auto"/>
              </w:divBdr>
            </w:div>
          </w:divsChild>
        </w:div>
        <w:div w:id="1577128001">
          <w:marLeft w:val="0"/>
          <w:marRight w:val="0"/>
          <w:marTop w:val="0"/>
          <w:marBottom w:val="0"/>
          <w:divBdr>
            <w:top w:val="none" w:sz="0" w:space="0" w:color="auto"/>
            <w:left w:val="none" w:sz="0" w:space="0" w:color="auto"/>
            <w:bottom w:val="none" w:sz="0" w:space="0" w:color="auto"/>
            <w:right w:val="none" w:sz="0" w:space="0" w:color="auto"/>
          </w:divBdr>
          <w:divsChild>
            <w:div w:id="2139374396">
              <w:marLeft w:val="0"/>
              <w:marRight w:val="0"/>
              <w:marTop w:val="0"/>
              <w:marBottom w:val="0"/>
              <w:divBdr>
                <w:top w:val="none" w:sz="0" w:space="0" w:color="auto"/>
                <w:left w:val="none" w:sz="0" w:space="0" w:color="auto"/>
                <w:bottom w:val="none" w:sz="0" w:space="0" w:color="auto"/>
                <w:right w:val="none" w:sz="0" w:space="0" w:color="auto"/>
              </w:divBdr>
            </w:div>
          </w:divsChild>
        </w:div>
        <w:div w:id="1583637901">
          <w:marLeft w:val="0"/>
          <w:marRight w:val="0"/>
          <w:marTop w:val="0"/>
          <w:marBottom w:val="0"/>
          <w:divBdr>
            <w:top w:val="none" w:sz="0" w:space="0" w:color="auto"/>
            <w:left w:val="none" w:sz="0" w:space="0" w:color="auto"/>
            <w:bottom w:val="none" w:sz="0" w:space="0" w:color="auto"/>
            <w:right w:val="none" w:sz="0" w:space="0" w:color="auto"/>
          </w:divBdr>
          <w:divsChild>
            <w:div w:id="1571692005">
              <w:marLeft w:val="0"/>
              <w:marRight w:val="0"/>
              <w:marTop w:val="0"/>
              <w:marBottom w:val="0"/>
              <w:divBdr>
                <w:top w:val="none" w:sz="0" w:space="0" w:color="auto"/>
                <w:left w:val="none" w:sz="0" w:space="0" w:color="auto"/>
                <w:bottom w:val="none" w:sz="0" w:space="0" w:color="auto"/>
                <w:right w:val="none" w:sz="0" w:space="0" w:color="auto"/>
              </w:divBdr>
            </w:div>
          </w:divsChild>
        </w:div>
        <w:div w:id="1591504979">
          <w:marLeft w:val="0"/>
          <w:marRight w:val="0"/>
          <w:marTop w:val="0"/>
          <w:marBottom w:val="0"/>
          <w:divBdr>
            <w:top w:val="none" w:sz="0" w:space="0" w:color="auto"/>
            <w:left w:val="none" w:sz="0" w:space="0" w:color="auto"/>
            <w:bottom w:val="none" w:sz="0" w:space="0" w:color="auto"/>
            <w:right w:val="none" w:sz="0" w:space="0" w:color="auto"/>
          </w:divBdr>
          <w:divsChild>
            <w:div w:id="1110930182">
              <w:marLeft w:val="0"/>
              <w:marRight w:val="0"/>
              <w:marTop w:val="0"/>
              <w:marBottom w:val="0"/>
              <w:divBdr>
                <w:top w:val="none" w:sz="0" w:space="0" w:color="auto"/>
                <w:left w:val="none" w:sz="0" w:space="0" w:color="auto"/>
                <w:bottom w:val="none" w:sz="0" w:space="0" w:color="auto"/>
                <w:right w:val="none" w:sz="0" w:space="0" w:color="auto"/>
              </w:divBdr>
            </w:div>
          </w:divsChild>
        </w:div>
        <w:div w:id="1606302882">
          <w:marLeft w:val="0"/>
          <w:marRight w:val="0"/>
          <w:marTop w:val="0"/>
          <w:marBottom w:val="0"/>
          <w:divBdr>
            <w:top w:val="none" w:sz="0" w:space="0" w:color="auto"/>
            <w:left w:val="none" w:sz="0" w:space="0" w:color="auto"/>
            <w:bottom w:val="none" w:sz="0" w:space="0" w:color="auto"/>
            <w:right w:val="none" w:sz="0" w:space="0" w:color="auto"/>
          </w:divBdr>
          <w:divsChild>
            <w:div w:id="2025932437">
              <w:marLeft w:val="0"/>
              <w:marRight w:val="0"/>
              <w:marTop w:val="0"/>
              <w:marBottom w:val="0"/>
              <w:divBdr>
                <w:top w:val="none" w:sz="0" w:space="0" w:color="auto"/>
                <w:left w:val="none" w:sz="0" w:space="0" w:color="auto"/>
                <w:bottom w:val="none" w:sz="0" w:space="0" w:color="auto"/>
                <w:right w:val="none" w:sz="0" w:space="0" w:color="auto"/>
              </w:divBdr>
            </w:div>
          </w:divsChild>
        </w:div>
        <w:div w:id="1607038909">
          <w:marLeft w:val="0"/>
          <w:marRight w:val="0"/>
          <w:marTop w:val="0"/>
          <w:marBottom w:val="0"/>
          <w:divBdr>
            <w:top w:val="none" w:sz="0" w:space="0" w:color="auto"/>
            <w:left w:val="none" w:sz="0" w:space="0" w:color="auto"/>
            <w:bottom w:val="none" w:sz="0" w:space="0" w:color="auto"/>
            <w:right w:val="none" w:sz="0" w:space="0" w:color="auto"/>
          </w:divBdr>
          <w:divsChild>
            <w:div w:id="86539385">
              <w:marLeft w:val="0"/>
              <w:marRight w:val="0"/>
              <w:marTop w:val="0"/>
              <w:marBottom w:val="0"/>
              <w:divBdr>
                <w:top w:val="none" w:sz="0" w:space="0" w:color="auto"/>
                <w:left w:val="none" w:sz="0" w:space="0" w:color="auto"/>
                <w:bottom w:val="none" w:sz="0" w:space="0" w:color="auto"/>
                <w:right w:val="none" w:sz="0" w:space="0" w:color="auto"/>
              </w:divBdr>
            </w:div>
          </w:divsChild>
        </w:div>
        <w:div w:id="1613174312">
          <w:marLeft w:val="0"/>
          <w:marRight w:val="0"/>
          <w:marTop w:val="0"/>
          <w:marBottom w:val="0"/>
          <w:divBdr>
            <w:top w:val="none" w:sz="0" w:space="0" w:color="auto"/>
            <w:left w:val="none" w:sz="0" w:space="0" w:color="auto"/>
            <w:bottom w:val="none" w:sz="0" w:space="0" w:color="auto"/>
            <w:right w:val="none" w:sz="0" w:space="0" w:color="auto"/>
          </w:divBdr>
          <w:divsChild>
            <w:div w:id="1111626779">
              <w:marLeft w:val="0"/>
              <w:marRight w:val="0"/>
              <w:marTop w:val="0"/>
              <w:marBottom w:val="0"/>
              <w:divBdr>
                <w:top w:val="none" w:sz="0" w:space="0" w:color="auto"/>
                <w:left w:val="none" w:sz="0" w:space="0" w:color="auto"/>
                <w:bottom w:val="none" w:sz="0" w:space="0" w:color="auto"/>
                <w:right w:val="none" w:sz="0" w:space="0" w:color="auto"/>
              </w:divBdr>
            </w:div>
          </w:divsChild>
        </w:div>
        <w:div w:id="1620145708">
          <w:marLeft w:val="0"/>
          <w:marRight w:val="0"/>
          <w:marTop w:val="0"/>
          <w:marBottom w:val="0"/>
          <w:divBdr>
            <w:top w:val="none" w:sz="0" w:space="0" w:color="auto"/>
            <w:left w:val="none" w:sz="0" w:space="0" w:color="auto"/>
            <w:bottom w:val="none" w:sz="0" w:space="0" w:color="auto"/>
            <w:right w:val="none" w:sz="0" w:space="0" w:color="auto"/>
          </w:divBdr>
          <w:divsChild>
            <w:div w:id="1936745034">
              <w:marLeft w:val="0"/>
              <w:marRight w:val="0"/>
              <w:marTop w:val="0"/>
              <w:marBottom w:val="0"/>
              <w:divBdr>
                <w:top w:val="none" w:sz="0" w:space="0" w:color="auto"/>
                <w:left w:val="none" w:sz="0" w:space="0" w:color="auto"/>
                <w:bottom w:val="none" w:sz="0" w:space="0" w:color="auto"/>
                <w:right w:val="none" w:sz="0" w:space="0" w:color="auto"/>
              </w:divBdr>
            </w:div>
          </w:divsChild>
        </w:div>
        <w:div w:id="1622034443">
          <w:marLeft w:val="0"/>
          <w:marRight w:val="0"/>
          <w:marTop w:val="0"/>
          <w:marBottom w:val="0"/>
          <w:divBdr>
            <w:top w:val="none" w:sz="0" w:space="0" w:color="auto"/>
            <w:left w:val="none" w:sz="0" w:space="0" w:color="auto"/>
            <w:bottom w:val="none" w:sz="0" w:space="0" w:color="auto"/>
            <w:right w:val="none" w:sz="0" w:space="0" w:color="auto"/>
          </w:divBdr>
          <w:divsChild>
            <w:div w:id="811217559">
              <w:marLeft w:val="0"/>
              <w:marRight w:val="0"/>
              <w:marTop w:val="0"/>
              <w:marBottom w:val="0"/>
              <w:divBdr>
                <w:top w:val="none" w:sz="0" w:space="0" w:color="auto"/>
                <w:left w:val="none" w:sz="0" w:space="0" w:color="auto"/>
                <w:bottom w:val="none" w:sz="0" w:space="0" w:color="auto"/>
                <w:right w:val="none" w:sz="0" w:space="0" w:color="auto"/>
              </w:divBdr>
            </w:div>
          </w:divsChild>
        </w:div>
        <w:div w:id="1625651034">
          <w:marLeft w:val="0"/>
          <w:marRight w:val="0"/>
          <w:marTop w:val="0"/>
          <w:marBottom w:val="0"/>
          <w:divBdr>
            <w:top w:val="none" w:sz="0" w:space="0" w:color="auto"/>
            <w:left w:val="none" w:sz="0" w:space="0" w:color="auto"/>
            <w:bottom w:val="none" w:sz="0" w:space="0" w:color="auto"/>
            <w:right w:val="none" w:sz="0" w:space="0" w:color="auto"/>
          </w:divBdr>
          <w:divsChild>
            <w:div w:id="1900089574">
              <w:marLeft w:val="0"/>
              <w:marRight w:val="0"/>
              <w:marTop w:val="0"/>
              <w:marBottom w:val="0"/>
              <w:divBdr>
                <w:top w:val="none" w:sz="0" w:space="0" w:color="auto"/>
                <w:left w:val="none" w:sz="0" w:space="0" w:color="auto"/>
                <w:bottom w:val="none" w:sz="0" w:space="0" w:color="auto"/>
                <w:right w:val="none" w:sz="0" w:space="0" w:color="auto"/>
              </w:divBdr>
            </w:div>
          </w:divsChild>
        </w:div>
        <w:div w:id="1629165899">
          <w:marLeft w:val="0"/>
          <w:marRight w:val="0"/>
          <w:marTop w:val="0"/>
          <w:marBottom w:val="0"/>
          <w:divBdr>
            <w:top w:val="none" w:sz="0" w:space="0" w:color="auto"/>
            <w:left w:val="none" w:sz="0" w:space="0" w:color="auto"/>
            <w:bottom w:val="none" w:sz="0" w:space="0" w:color="auto"/>
            <w:right w:val="none" w:sz="0" w:space="0" w:color="auto"/>
          </w:divBdr>
          <w:divsChild>
            <w:div w:id="1335693579">
              <w:marLeft w:val="0"/>
              <w:marRight w:val="0"/>
              <w:marTop w:val="0"/>
              <w:marBottom w:val="0"/>
              <w:divBdr>
                <w:top w:val="none" w:sz="0" w:space="0" w:color="auto"/>
                <w:left w:val="none" w:sz="0" w:space="0" w:color="auto"/>
                <w:bottom w:val="none" w:sz="0" w:space="0" w:color="auto"/>
                <w:right w:val="none" w:sz="0" w:space="0" w:color="auto"/>
              </w:divBdr>
            </w:div>
          </w:divsChild>
        </w:div>
        <w:div w:id="1630281841">
          <w:marLeft w:val="0"/>
          <w:marRight w:val="0"/>
          <w:marTop w:val="0"/>
          <w:marBottom w:val="0"/>
          <w:divBdr>
            <w:top w:val="none" w:sz="0" w:space="0" w:color="auto"/>
            <w:left w:val="none" w:sz="0" w:space="0" w:color="auto"/>
            <w:bottom w:val="none" w:sz="0" w:space="0" w:color="auto"/>
            <w:right w:val="none" w:sz="0" w:space="0" w:color="auto"/>
          </w:divBdr>
          <w:divsChild>
            <w:div w:id="1565604914">
              <w:marLeft w:val="0"/>
              <w:marRight w:val="0"/>
              <w:marTop w:val="0"/>
              <w:marBottom w:val="0"/>
              <w:divBdr>
                <w:top w:val="none" w:sz="0" w:space="0" w:color="auto"/>
                <w:left w:val="none" w:sz="0" w:space="0" w:color="auto"/>
                <w:bottom w:val="none" w:sz="0" w:space="0" w:color="auto"/>
                <w:right w:val="none" w:sz="0" w:space="0" w:color="auto"/>
              </w:divBdr>
            </w:div>
          </w:divsChild>
        </w:div>
        <w:div w:id="1638140915">
          <w:marLeft w:val="0"/>
          <w:marRight w:val="0"/>
          <w:marTop w:val="0"/>
          <w:marBottom w:val="0"/>
          <w:divBdr>
            <w:top w:val="none" w:sz="0" w:space="0" w:color="auto"/>
            <w:left w:val="none" w:sz="0" w:space="0" w:color="auto"/>
            <w:bottom w:val="none" w:sz="0" w:space="0" w:color="auto"/>
            <w:right w:val="none" w:sz="0" w:space="0" w:color="auto"/>
          </w:divBdr>
          <w:divsChild>
            <w:div w:id="1184170534">
              <w:marLeft w:val="0"/>
              <w:marRight w:val="0"/>
              <w:marTop w:val="0"/>
              <w:marBottom w:val="0"/>
              <w:divBdr>
                <w:top w:val="none" w:sz="0" w:space="0" w:color="auto"/>
                <w:left w:val="none" w:sz="0" w:space="0" w:color="auto"/>
                <w:bottom w:val="none" w:sz="0" w:space="0" w:color="auto"/>
                <w:right w:val="none" w:sz="0" w:space="0" w:color="auto"/>
              </w:divBdr>
            </w:div>
          </w:divsChild>
        </w:div>
        <w:div w:id="1640959067">
          <w:marLeft w:val="0"/>
          <w:marRight w:val="0"/>
          <w:marTop w:val="0"/>
          <w:marBottom w:val="0"/>
          <w:divBdr>
            <w:top w:val="none" w:sz="0" w:space="0" w:color="auto"/>
            <w:left w:val="none" w:sz="0" w:space="0" w:color="auto"/>
            <w:bottom w:val="none" w:sz="0" w:space="0" w:color="auto"/>
            <w:right w:val="none" w:sz="0" w:space="0" w:color="auto"/>
          </w:divBdr>
          <w:divsChild>
            <w:div w:id="755597177">
              <w:marLeft w:val="0"/>
              <w:marRight w:val="0"/>
              <w:marTop w:val="0"/>
              <w:marBottom w:val="0"/>
              <w:divBdr>
                <w:top w:val="none" w:sz="0" w:space="0" w:color="auto"/>
                <w:left w:val="none" w:sz="0" w:space="0" w:color="auto"/>
                <w:bottom w:val="none" w:sz="0" w:space="0" w:color="auto"/>
                <w:right w:val="none" w:sz="0" w:space="0" w:color="auto"/>
              </w:divBdr>
            </w:div>
          </w:divsChild>
        </w:div>
        <w:div w:id="1661546301">
          <w:marLeft w:val="0"/>
          <w:marRight w:val="0"/>
          <w:marTop w:val="0"/>
          <w:marBottom w:val="0"/>
          <w:divBdr>
            <w:top w:val="none" w:sz="0" w:space="0" w:color="auto"/>
            <w:left w:val="none" w:sz="0" w:space="0" w:color="auto"/>
            <w:bottom w:val="none" w:sz="0" w:space="0" w:color="auto"/>
            <w:right w:val="none" w:sz="0" w:space="0" w:color="auto"/>
          </w:divBdr>
          <w:divsChild>
            <w:div w:id="1128815411">
              <w:marLeft w:val="0"/>
              <w:marRight w:val="0"/>
              <w:marTop w:val="0"/>
              <w:marBottom w:val="0"/>
              <w:divBdr>
                <w:top w:val="none" w:sz="0" w:space="0" w:color="auto"/>
                <w:left w:val="none" w:sz="0" w:space="0" w:color="auto"/>
                <w:bottom w:val="none" w:sz="0" w:space="0" w:color="auto"/>
                <w:right w:val="none" w:sz="0" w:space="0" w:color="auto"/>
              </w:divBdr>
            </w:div>
          </w:divsChild>
        </w:div>
        <w:div w:id="1666863567">
          <w:marLeft w:val="0"/>
          <w:marRight w:val="0"/>
          <w:marTop w:val="0"/>
          <w:marBottom w:val="0"/>
          <w:divBdr>
            <w:top w:val="none" w:sz="0" w:space="0" w:color="auto"/>
            <w:left w:val="none" w:sz="0" w:space="0" w:color="auto"/>
            <w:bottom w:val="none" w:sz="0" w:space="0" w:color="auto"/>
            <w:right w:val="none" w:sz="0" w:space="0" w:color="auto"/>
          </w:divBdr>
          <w:divsChild>
            <w:div w:id="1562600407">
              <w:marLeft w:val="0"/>
              <w:marRight w:val="0"/>
              <w:marTop w:val="0"/>
              <w:marBottom w:val="0"/>
              <w:divBdr>
                <w:top w:val="none" w:sz="0" w:space="0" w:color="auto"/>
                <w:left w:val="none" w:sz="0" w:space="0" w:color="auto"/>
                <w:bottom w:val="none" w:sz="0" w:space="0" w:color="auto"/>
                <w:right w:val="none" w:sz="0" w:space="0" w:color="auto"/>
              </w:divBdr>
            </w:div>
          </w:divsChild>
        </w:div>
        <w:div w:id="1666934241">
          <w:marLeft w:val="0"/>
          <w:marRight w:val="0"/>
          <w:marTop w:val="0"/>
          <w:marBottom w:val="0"/>
          <w:divBdr>
            <w:top w:val="none" w:sz="0" w:space="0" w:color="auto"/>
            <w:left w:val="none" w:sz="0" w:space="0" w:color="auto"/>
            <w:bottom w:val="none" w:sz="0" w:space="0" w:color="auto"/>
            <w:right w:val="none" w:sz="0" w:space="0" w:color="auto"/>
          </w:divBdr>
          <w:divsChild>
            <w:div w:id="147063357">
              <w:marLeft w:val="0"/>
              <w:marRight w:val="0"/>
              <w:marTop w:val="0"/>
              <w:marBottom w:val="0"/>
              <w:divBdr>
                <w:top w:val="none" w:sz="0" w:space="0" w:color="auto"/>
                <w:left w:val="none" w:sz="0" w:space="0" w:color="auto"/>
                <w:bottom w:val="none" w:sz="0" w:space="0" w:color="auto"/>
                <w:right w:val="none" w:sz="0" w:space="0" w:color="auto"/>
              </w:divBdr>
            </w:div>
          </w:divsChild>
        </w:div>
        <w:div w:id="1671255224">
          <w:marLeft w:val="0"/>
          <w:marRight w:val="0"/>
          <w:marTop w:val="0"/>
          <w:marBottom w:val="0"/>
          <w:divBdr>
            <w:top w:val="none" w:sz="0" w:space="0" w:color="auto"/>
            <w:left w:val="none" w:sz="0" w:space="0" w:color="auto"/>
            <w:bottom w:val="none" w:sz="0" w:space="0" w:color="auto"/>
            <w:right w:val="none" w:sz="0" w:space="0" w:color="auto"/>
          </w:divBdr>
          <w:divsChild>
            <w:div w:id="1319922178">
              <w:marLeft w:val="0"/>
              <w:marRight w:val="0"/>
              <w:marTop w:val="0"/>
              <w:marBottom w:val="0"/>
              <w:divBdr>
                <w:top w:val="none" w:sz="0" w:space="0" w:color="auto"/>
                <w:left w:val="none" w:sz="0" w:space="0" w:color="auto"/>
                <w:bottom w:val="none" w:sz="0" w:space="0" w:color="auto"/>
                <w:right w:val="none" w:sz="0" w:space="0" w:color="auto"/>
              </w:divBdr>
            </w:div>
          </w:divsChild>
        </w:div>
        <w:div w:id="1674797736">
          <w:marLeft w:val="0"/>
          <w:marRight w:val="0"/>
          <w:marTop w:val="0"/>
          <w:marBottom w:val="0"/>
          <w:divBdr>
            <w:top w:val="none" w:sz="0" w:space="0" w:color="auto"/>
            <w:left w:val="none" w:sz="0" w:space="0" w:color="auto"/>
            <w:bottom w:val="none" w:sz="0" w:space="0" w:color="auto"/>
            <w:right w:val="none" w:sz="0" w:space="0" w:color="auto"/>
          </w:divBdr>
          <w:divsChild>
            <w:div w:id="1450928101">
              <w:marLeft w:val="0"/>
              <w:marRight w:val="0"/>
              <w:marTop w:val="0"/>
              <w:marBottom w:val="0"/>
              <w:divBdr>
                <w:top w:val="none" w:sz="0" w:space="0" w:color="auto"/>
                <w:left w:val="none" w:sz="0" w:space="0" w:color="auto"/>
                <w:bottom w:val="none" w:sz="0" w:space="0" w:color="auto"/>
                <w:right w:val="none" w:sz="0" w:space="0" w:color="auto"/>
              </w:divBdr>
            </w:div>
          </w:divsChild>
        </w:div>
        <w:div w:id="1679651669">
          <w:marLeft w:val="0"/>
          <w:marRight w:val="0"/>
          <w:marTop w:val="0"/>
          <w:marBottom w:val="0"/>
          <w:divBdr>
            <w:top w:val="none" w:sz="0" w:space="0" w:color="auto"/>
            <w:left w:val="none" w:sz="0" w:space="0" w:color="auto"/>
            <w:bottom w:val="none" w:sz="0" w:space="0" w:color="auto"/>
            <w:right w:val="none" w:sz="0" w:space="0" w:color="auto"/>
          </w:divBdr>
          <w:divsChild>
            <w:div w:id="1056204483">
              <w:marLeft w:val="0"/>
              <w:marRight w:val="0"/>
              <w:marTop w:val="0"/>
              <w:marBottom w:val="0"/>
              <w:divBdr>
                <w:top w:val="none" w:sz="0" w:space="0" w:color="auto"/>
                <w:left w:val="none" w:sz="0" w:space="0" w:color="auto"/>
                <w:bottom w:val="none" w:sz="0" w:space="0" w:color="auto"/>
                <w:right w:val="none" w:sz="0" w:space="0" w:color="auto"/>
              </w:divBdr>
            </w:div>
          </w:divsChild>
        </w:div>
        <w:div w:id="1683581340">
          <w:marLeft w:val="0"/>
          <w:marRight w:val="0"/>
          <w:marTop w:val="0"/>
          <w:marBottom w:val="0"/>
          <w:divBdr>
            <w:top w:val="none" w:sz="0" w:space="0" w:color="auto"/>
            <w:left w:val="none" w:sz="0" w:space="0" w:color="auto"/>
            <w:bottom w:val="none" w:sz="0" w:space="0" w:color="auto"/>
            <w:right w:val="none" w:sz="0" w:space="0" w:color="auto"/>
          </w:divBdr>
          <w:divsChild>
            <w:div w:id="24407657">
              <w:marLeft w:val="0"/>
              <w:marRight w:val="0"/>
              <w:marTop w:val="0"/>
              <w:marBottom w:val="0"/>
              <w:divBdr>
                <w:top w:val="none" w:sz="0" w:space="0" w:color="auto"/>
                <w:left w:val="none" w:sz="0" w:space="0" w:color="auto"/>
                <w:bottom w:val="none" w:sz="0" w:space="0" w:color="auto"/>
                <w:right w:val="none" w:sz="0" w:space="0" w:color="auto"/>
              </w:divBdr>
            </w:div>
          </w:divsChild>
        </w:div>
        <w:div w:id="1684280749">
          <w:marLeft w:val="0"/>
          <w:marRight w:val="0"/>
          <w:marTop w:val="0"/>
          <w:marBottom w:val="0"/>
          <w:divBdr>
            <w:top w:val="none" w:sz="0" w:space="0" w:color="auto"/>
            <w:left w:val="none" w:sz="0" w:space="0" w:color="auto"/>
            <w:bottom w:val="none" w:sz="0" w:space="0" w:color="auto"/>
            <w:right w:val="none" w:sz="0" w:space="0" w:color="auto"/>
          </w:divBdr>
          <w:divsChild>
            <w:div w:id="554778771">
              <w:marLeft w:val="0"/>
              <w:marRight w:val="0"/>
              <w:marTop w:val="0"/>
              <w:marBottom w:val="0"/>
              <w:divBdr>
                <w:top w:val="none" w:sz="0" w:space="0" w:color="auto"/>
                <w:left w:val="none" w:sz="0" w:space="0" w:color="auto"/>
                <w:bottom w:val="none" w:sz="0" w:space="0" w:color="auto"/>
                <w:right w:val="none" w:sz="0" w:space="0" w:color="auto"/>
              </w:divBdr>
            </w:div>
          </w:divsChild>
        </w:div>
        <w:div w:id="1685090020">
          <w:marLeft w:val="0"/>
          <w:marRight w:val="0"/>
          <w:marTop w:val="0"/>
          <w:marBottom w:val="0"/>
          <w:divBdr>
            <w:top w:val="none" w:sz="0" w:space="0" w:color="auto"/>
            <w:left w:val="none" w:sz="0" w:space="0" w:color="auto"/>
            <w:bottom w:val="none" w:sz="0" w:space="0" w:color="auto"/>
            <w:right w:val="none" w:sz="0" w:space="0" w:color="auto"/>
          </w:divBdr>
          <w:divsChild>
            <w:div w:id="443615202">
              <w:marLeft w:val="0"/>
              <w:marRight w:val="0"/>
              <w:marTop w:val="0"/>
              <w:marBottom w:val="0"/>
              <w:divBdr>
                <w:top w:val="none" w:sz="0" w:space="0" w:color="auto"/>
                <w:left w:val="none" w:sz="0" w:space="0" w:color="auto"/>
                <w:bottom w:val="none" w:sz="0" w:space="0" w:color="auto"/>
                <w:right w:val="none" w:sz="0" w:space="0" w:color="auto"/>
              </w:divBdr>
            </w:div>
          </w:divsChild>
        </w:div>
        <w:div w:id="1707945101">
          <w:marLeft w:val="0"/>
          <w:marRight w:val="0"/>
          <w:marTop w:val="0"/>
          <w:marBottom w:val="0"/>
          <w:divBdr>
            <w:top w:val="none" w:sz="0" w:space="0" w:color="auto"/>
            <w:left w:val="none" w:sz="0" w:space="0" w:color="auto"/>
            <w:bottom w:val="none" w:sz="0" w:space="0" w:color="auto"/>
            <w:right w:val="none" w:sz="0" w:space="0" w:color="auto"/>
          </w:divBdr>
          <w:divsChild>
            <w:div w:id="773596078">
              <w:marLeft w:val="0"/>
              <w:marRight w:val="0"/>
              <w:marTop w:val="0"/>
              <w:marBottom w:val="0"/>
              <w:divBdr>
                <w:top w:val="none" w:sz="0" w:space="0" w:color="auto"/>
                <w:left w:val="none" w:sz="0" w:space="0" w:color="auto"/>
                <w:bottom w:val="none" w:sz="0" w:space="0" w:color="auto"/>
                <w:right w:val="none" w:sz="0" w:space="0" w:color="auto"/>
              </w:divBdr>
            </w:div>
          </w:divsChild>
        </w:div>
        <w:div w:id="1719863766">
          <w:marLeft w:val="0"/>
          <w:marRight w:val="0"/>
          <w:marTop w:val="0"/>
          <w:marBottom w:val="0"/>
          <w:divBdr>
            <w:top w:val="none" w:sz="0" w:space="0" w:color="auto"/>
            <w:left w:val="none" w:sz="0" w:space="0" w:color="auto"/>
            <w:bottom w:val="none" w:sz="0" w:space="0" w:color="auto"/>
            <w:right w:val="none" w:sz="0" w:space="0" w:color="auto"/>
          </w:divBdr>
          <w:divsChild>
            <w:div w:id="1227499008">
              <w:marLeft w:val="0"/>
              <w:marRight w:val="0"/>
              <w:marTop w:val="0"/>
              <w:marBottom w:val="0"/>
              <w:divBdr>
                <w:top w:val="none" w:sz="0" w:space="0" w:color="auto"/>
                <w:left w:val="none" w:sz="0" w:space="0" w:color="auto"/>
                <w:bottom w:val="none" w:sz="0" w:space="0" w:color="auto"/>
                <w:right w:val="none" w:sz="0" w:space="0" w:color="auto"/>
              </w:divBdr>
            </w:div>
          </w:divsChild>
        </w:div>
        <w:div w:id="1720010752">
          <w:marLeft w:val="0"/>
          <w:marRight w:val="0"/>
          <w:marTop w:val="0"/>
          <w:marBottom w:val="0"/>
          <w:divBdr>
            <w:top w:val="none" w:sz="0" w:space="0" w:color="auto"/>
            <w:left w:val="none" w:sz="0" w:space="0" w:color="auto"/>
            <w:bottom w:val="none" w:sz="0" w:space="0" w:color="auto"/>
            <w:right w:val="none" w:sz="0" w:space="0" w:color="auto"/>
          </w:divBdr>
          <w:divsChild>
            <w:div w:id="1333873849">
              <w:marLeft w:val="0"/>
              <w:marRight w:val="0"/>
              <w:marTop w:val="0"/>
              <w:marBottom w:val="0"/>
              <w:divBdr>
                <w:top w:val="none" w:sz="0" w:space="0" w:color="auto"/>
                <w:left w:val="none" w:sz="0" w:space="0" w:color="auto"/>
                <w:bottom w:val="none" w:sz="0" w:space="0" w:color="auto"/>
                <w:right w:val="none" w:sz="0" w:space="0" w:color="auto"/>
              </w:divBdr>
            </w:div>
          </w:divsChild>
        </w:div>
        <w:div w:id="1720713562">
          <w:marLeft w:val="0"/>
          <w:marRight w:val="0"/>
          <w:marTop w:val="0"/>
          <w:marBottom w:val="0"/>
          <w:divBdr>
            <w:top w:val="none" w:sz="0" w:space="0" w:color="auto"/>
            <w:left w:val="none" w:sz="0" w:space="0" w:color="auto"/>
            <w:bottom w:val="none" w:sz="0" w:space="0" w:color="auto"/>
            <w:right w:val="none" w:sz="0" w:space="0" w:color="auto"/>
          </w:divBdr>
          <w:divsChild>
            <w:div w:id="1305161330">
              <w:marLeft w:val="0"/>
              <w:marRight w:val="0"/>
              <w:marTop w:val="0"/>
              <w:marBottom w:val="0"/>
              <w:divBdr>
                <w:top w:val="none" w:sz="0" w:space="0" w:color="auto"/>
                <w:left w:val="none" w:sz="0" w:space="0" w:color="auto"/>
                <w:bottom w:val="none" w:sz="0" w:space="0" w:color="auto"/>
                <w:right w:val="none" w:sz="0" w:space="0" w:color="auto"/>
              </w:divBdr>
            </w:div>
          </w:divsChild>
        </w:div>
        <w:div w:id="1722628231">
          <w:marLeft w:val="0"/>
          <w:marRight w:val="0"/>
          <w:marTop w:val="0"/>
          <w:marBottom w:val="0"/>
          <w:divBdr>
            <w:top w:val="none" w:sz="0" w:space="0" w:color="auto"/>
            <w:left w:val="none" w:sz="0" w:space="0" w:color="auto"/>
            <w:bottom w:val="none" w:sz="0" w:space="0" w:color="auto"/>
            <w:right w:val="none" w:sz="0" w:space="0" w:color="auto"/>
          </w:divBdr>
          <w:divsChild>
            <w:div w:id="1492064454">
              <w:marLeft w:val="0"/>
              <w:marRight w:val="0"/>
              <w:marTop w:val="0"/>
              <w:marBottom w:val="0"/>
              <w:divBdr>
                <w:top w:val="none" w:sz="0" w:space="0" w:color="auto"/>
                <w:left w:val="none" w:sz="0" w:space="0" w:color="auto"/>
                <w:bottom w:val="none" w:sz="0" w:space="0" w:color="auto"/>
                <w:right w:val="none" w:sz="0" w:space="0" w:color="auto"/>
              </w:divBdr>
            </w:div>
          </w:divsChild>
        </w:div>
        <w:div w:id="1725064679">
          <w:marLeft w:val="0"/>
          <w:marRight w:val="0"/>
          <w:marTop w:val="0"/>
          <w:marBottom w:val="0"/>
          <w:divBdr>
            <w:top w:val="none" w:sz="0" w:space="0" w:color="auto"/>
            <w:left w:val="none" w:sz="0" w:space="0" w:color="auto"/>
            <w:bottom w:val="none" w:sz="0" w:space="0" w:color="auto"/>
            <w:right w:val="none" w:sz="0" w:space="0" w:color="auto"/>
          </w:divBdr>
          <w:divsChild>
            <w:div w:id="2060205797">
              <w:marLeft w:val="0"/>
              <w:marRight w:val="0"/>
              <w:marTop w:val="0"/>
              <w:marBottom w:val="0"/>
              <w:divBdr>
                <w:top w:val="none" w:sz="0" w:space="0" w:color="auto"/>
                <w:left w:val="none" w:sz="0" w:space="0" w:color="auto"/>
                <w:bottom w:val="none" w:sz="0" w:space="0" w:color="auto"/>
                <w:right w:val="none" w:sz="0" w:space="0" w:color="auto"/>
              </w:divBdr>
            </w:div>
          </w:divsChild>
        </w:div>
        <w:div w:id="1734499763">
          <w:marLeft w:val="0"/>
          <w:marRight w:val="0"/>
          <w:marTop w:val="0"/>
          <w:marBottom w:val="0"/>
          <w:divBdr>
            <w:top w:val="none" w:sz="0" w:space="0" w:color="auto"/>
            <w:left w:val="none" w:sz="0" w:space="0" w:color="auto"/>
            <w:bottom w:val="none" w:sz="0" w:space="0" w:color="auto"/>
            <w:right w:val="none" w:sz="0" w:space="0" w:color="auto"/>
          </w:divBdr>
          <w:divsChild>
            <w:div w:id="262763531">
              <w:marLeft w:val="0"/>
              <w:marRight w:val="0"/>
              <w:marTop w:val="0"/>
              <w:marBottom w:val="0"/>
              <w:divBdr>
                <w:top w:val="none" w:sz="0" w:space="0" w:color="auto"/>
                <w:left w:val="none" w:sz="0" w:space="0" w:color="auto"/>
                <w:bottom w:val="none" w:sz="0" w:space="0" w:color="auto"/>
                <w:right w:val="none" w:sz="0" w:space="0" w:color="auto"/>
              </w:divBdr>
            </w:div>
          </w:divsChild>
        </w:div>
        <w:div w:id="1737241673">
          <w:marLeft w:val="0"/>
          <w:marRight w:val="0"/>
          <w:marTop w:val="0"/>
          <w:marBottom w:val="0"/>
          <w:divBdr>
            <w:top w:val="none" w:sz="0" w:space="0" w:color="auto"/>
            <w:left w:val="none" w:sz="0" w:space="0" w:color="auto"/>
            <w:bottom w:val="none" w:sz="0" w:space="0" w:color="auto"/>
            <w:right w:val="none" w:sz="0" w:space="0" w:color="auto"/>
          </w:divBdr>
          <w:divsChild>
            <w:div w:id="97452308">
              <w:marLeft w:val="0"/>
              <w:marRight w:val="0"/>
              <w:marTop w:val="0"/>
              <w:marBottom w:val="0"/>
              <w:divBdr>
                <w:top w:val="none" w:sz="0" w:space="0" w:color="auto"/>
                <w:left w:val="none" w:sz="0" w:space="0" w:color="auto"/>
                <w:bottom w:val="none" w:sz="0" w:space="0" w:color="auto"/>
                <w:right w:val="none" w:sz="0" w:space="0" w:color="auto"/>
              </w:divBdr>
            </w:div>
          </w:divsChild>
        </w:div>
        <w:div w:id="1743479163">
          <w:marLeft w:val="0"/>
          <w:marRight w:val="0"/>
          <w:marTop w:val="0"/>
          <w:marBottom w:val="0"/>
          <w:divBdr>
            <w:top w:val="none" w:sz="0" w:space="0" w:color="auto"/>
            <w:left w:val="none" w:sz="0" w:space="0" w:color="auto"/>
            <w:bottom w:val="none" w:sz="0" w:space="0" w:color="auto"/>
            <w:right w:val="none" w:sz="0" w:space="0" w:color="auto"/>
          </w:divBdr>
          <w:divsChild>
            <w:div w:id="1900357797">
              <w:marLeft w:val="0"/>
              <w:marRight w:val="0"/>
              <w:marTop w:val="0"/>
              <w:marBottom w:val="0"/>
              <w:divBdr>
                <w:top w:val="none" w:sz="0" w:space="0" w:color="auto"/>
                <w:left w:val="none" w:sz="0" w:space="0" w:color="auto"/>
                <w:bottom w:val="none" w:sz="0" w:space="0" w:color="auto"/>
                <w:right w:val="none" w:sz="0" w:space="0" w:color="auto"/>
              </w:divBdr>
            </w:div>
          </w:divsChild>
        </w:div>
        <w:div w:id="1753500447">
          <w:marLeft w:val="0"/>
          <w:marRight w:val="0"/>
          <w:marTop w:val="0"/>
          <w:marBottom w:val="0"/>
          <w:divBdr>
            <w:top w:val="none" w:sz="0" w:space="0" w:color="auto"/>
            <w:left w:val="none" w:sz="0" w:space="0" w:color="auto"/>
            <w:bottom w:val="none" w:sz="0" w:space="0" w:color="auto"/>
            <w:right w:val="none" w:sz="0" w:space="0" w:color="auto"/>
          </w:divBdr>
          <w:divsChild>
            <w:div w:id="73824184">
              <w:marLeft w:val="0"/>
              <w:marRight w:val="0"/>
              <w:marTop w:val="0"/>
              <w:marBottom w:val="0"/>
              <w:divBdr>
                <w:top w:val="none" w:sz="0" w:space="0" w:color="auto"/>
                <w:left w:val="none" w:sz="0" w:space="0" w:color="auto"/>
                <w:bottom w:val="none" w:sz="0" w:space="0" w:color="auto"/>
                <w:right w:val="none" w:sz="0" w:space="0" w:color="auto"/>
              </w:divBdr>
            </w:div>
          </w:divsChild>
        </w:div>
        <w:div w:id="1753508726">
          <w:marLeft w:val="0"/>
          <w:marRight w:val="0"/>
          <w:marTop w:val="0"/>
          <w:marBottom w:val="0"/>
          <w:divBdr>
            <w:top w:val="none" w:sz="0" w:space="0" w:color="auto"/>
            <w:left w:val="none" w:sz="0" w:space="0" w:color="auto"/>
            <w:bottom w:val="none" w:sz="0" w:space="0" w:color="auto"/>
            <w:right w:val="none" w:sz="0" w:space="0" w:color="auto"/>
          </w:divBdr>
          <w:divsChild>
            <w:div w:id="204293174">
              <w:marLeft w:val="0"/>
              <w:marRight w:val="0"/>
              <w:marTop w:val="0"/>
              <w:marBottom w:val="0"/>
              <w:divBdr>
                <w:top w:val="none" w:sz="0" w:space="0" w:color="auto"/>
                <w:left w:val="none" w:sz="0" w:space="0" w:color="auto"/>
                <w:bottom w:val="none" w:sz="0" w:space="0" w:color="auto"/>
                <w:right w:val="none" w:sz="0" w:space="0" w:color="auto"/>
              </w:divBdr>
            </w:div>
          </w:divsChild>
        </w:div>
        <w:div w:id="1775635168">
          <w:marLeft w:val="0"/>
          <w:marRight w:val="0"/>
          <w:marTop w:val="0"/>
          <w:marBottom w:val="0"/>
          <w:divBdr>
            <w:top w:val="none" w:sz="0" w:space="0" w:color="auto"/>
            <w:left w:val="none" w:sz="0" w:space="0" w:color="auto"/>
            <w:bottom w:val="none" w:sz="0" w:space="0" w:color="auto"/>
            <w:right w:val="none" w:sz="0" w:space="0" w:color="auto"/>
          </w:divBdr>
          <w:divsChild>
            <w:div w:id="1469589770">
              <w:marLeft w:val="0"/>
              <w:marRight w:val="0"/>
              <w:marTop w:val="0"/>
              <w:marBottom w:val="0"/>
              <w:divBdr>
                <w:top w:val="none" w:sz="0" w:space="0" w:color="auto"/>
                <w:left w:val="none" w:sz="0" w:space="0" w:color="auto"/>
                <w:bottom w:val="none" w:sz="0" w:space="0" w:color="auto"/>
                <w:right w:val="none" w:sz="0" w:space="0" w:color="auto"/>
              </w:divBdr>
            </w:div>
          </w:divsChild>
        </w:div>
        <w:div w:id="1778717593">
          <w:marLeft w:val="0"/>
          <w:marRight w:val="0"/>
          <w:marTop w:val="0"/>
          <w:marBottom w:val="0"/>
          <w:divBdr>
            <w:top w:val="none" w:sz="0" w:space="0" w:color="auto"/>
            <w:left w:val="none" w:sz="0" w:space="0" w:color="auto"/>
            <w:bottom w:val="none" w:sz="0" w:space="0" w:color="auto"/>
            <w:right w:val="none" w:sz="0" w:space="0" w:color="auto"/>
          </w:divBdr>
          <w:divsChild>
            <w:div w:id="1626501167">
              <w:marLeft w:val="0"/>
              <w:marRight w:val="0"/>
              <w:marTop w:val="0"/>
              <w:marBottom w:val="0"/>
              <w:divBdr>
                <w:top w:val="none" w:sz="0" w:space="0" w:color="auto"/>
                <w:left w:val="none" w:sz="0" w:space="0" w:color="auto"/>
                <w:bottom w:val="none" w:sz="0" w:space="0" w:color="auto"/>
                <w:right w:val="none" w:sz="0" w:space="0" w:color="auto"/>
              </w:divBdr>
            </w:div>
          </w:divsChild>
        </w:div>
        <w:div w:id="1788041140">
          <w:marLeft w:val="0"/>
          <w:marRight w:val="0"/>
          <w:marTop w:val="0"/>
          <w:marBottom w:val="0"/>
          <w:divBdr>
            <w:top w:val="none" w:sz="0" w:space="0" w:color="auto"/>
            <w:left w:val="none" w:sz="0" w:space="0" w:color="auto"/>
            <w:bottom w:val="none" w:sz="0" w:space="0" w:color="auto"/>
            <w:right w:val="none" w:sz="0" w:space="0" w:color="auto"/>
          </w:divBdr>
          <w:divsChild>
            <w:div w:id="404182371">
              <w:marLeft w:val="0"/>
              <w:marRight w:val="0"/>
              <w:marTop w:val="0"/>
              <w:marBottom w:val="0"/>
              <w:divBdr>
                <w:top w:val="none" w:sz="0" w:space="0" w:color="auto"/>
                <w:left w:val="none" w:sz="0" w:space="0" w:color="auto"/>
                <w:bottom w:val="none" w:sz="0" w:space="0" w:color="auto"/>
                <w:right w:val="none" w:sz="0" w:space="0" w:color="auto"/>
              </w:divBdr>
            </w:div>
          </w:divsChild>
        </w:div>
        <w:div w:id="1791974866">
          <w:marLeft w:val="0"/>
          <w:marRight w:val="0"/>
          <w:marTop w:val="0"/>
          <w:marBottom w:val="0"/>
          <w:divBdr>
            <w:top w:val="none" w:sz="0" w:space="0" w:color="auto"/>
            <w:left w:val="none" w:sz="0" w:space="0" w:color="auto"/>
            <w:bottom w:val="none" w:sz="0" w:space="0" w:color="auto"/>
            <w:right w:val="none" w:sz="0" w:space="0" w:color="auto"/>
          </w:divBdr>
          <w:divsChild>
            <w:div w:id="1831940436">
              <w:marLeft w:val="0"/>
              <w:marRight w:val="0"/>
              <w:marTop w:val="0"/>
              <w:marBottom w:val="0"/>
              <w:divBdr>
                <w:top w:val="none" w:sz="0" w:space="0" w:color="auto"/>
                <w:left w:val="none" w:sz="0" w:space="0" w:color="auto"/>
                <w:bottom w:val="none" w:sz="0" w:space="0" w:color="auto"/>
                <w:right w:val="none" w:sz="0" w:space="0" w:color="auto"/>
              </w:divBdr>
            </w:div>
          </w:divsChild>
        </w:div>
        <w:div w:id="1795516015">
          <w:marLeft w:val="0"/>
          <w:marRight w:val="0"/>
          <w:marTop w:val="0"/>
          <w:marBottom w:val="0"/>
          <w:divBdr>
            <w:top w:val="none" w:sz="0" w:space="0" w:color="auto"/>
            <w:left w:val="none" w:sz="0" w:space="0" w:color="auto"/>
            <w:bottom w:val="none" w:sz="0" w:space="0" w:color="auto"/>
            <w:right w:val="none" w:sz="0" w:space="0" w:color="auto"/>
          </w:divBdr>
          <w:divsChild>
            <w:div w:id="1209103154">
              <w:marLeft w:val="0"/>
              <w:marRight w:val="0"/>
              <w:marTop w:val="0"/>
              <w:marBottom w:val="0"/>
              <w:divBdr>
                <w:top w:val="none" w:sz="0" w:space="0" w:color="auto"/>
                <w:left w:val="none" w:sz="0" w:space="0" w:color="auto"/>
                <w:bottom w:val="none" w:sz="0" w:space="0" w:color="auto"/>
                <w:right w:val="none" w:sz="0" w:space="0" w:color="auto"/>
              </w:divBdr>
            </w:div>
          </w:divsChild>
        </w:div>
        <w:div w:id="1799569227">
          <w:marLeft w:val="0"/>
          <w:marRight w:val="0"/>
          <w:marTop w:val="0"/>
          <w:marBottom w:val="0"/>
          <w:divBdr>
            <w:top w:val="none" w:sz="0" w:space="0" w:color="auto"/>
            <w:left w:val="none" w:sz="0" w:space="0" w:color="auto"/>
            <w:bottom w:val="none" w:sz="0" w:space="0" w:color="auto"/>
            <w:right w:val="none" w:sz="0" w:space="0" w:color="auto"/>
          </w:divBdr>
          <w:divsChild>
            <w:div w:id="1213927044">
              <w:marLeft w:val="0"/>
              <w:marRight w:val="0"/>
              <w:marTop w:val="0"/>
              <w:marBottom w:val="0"/>
              <w:divBdr>
                <w:top w:val="none" w:sz="0" w:space="0" w:color="auto"/>
                <w:left w:val="none" w:sz="0" w:space="0" w:color="auto"/>
                <w:bottom w:val="none" w:sz="0" w:space="0" w:color="auto"/>
                <w:right w:val="none" w:sz="0" w:space="0" w:color="auto"/>
              </w:divBdr>
            </w:div>
          </w:divsChild>
        </w:div>
        <w:div w:id="1799758846">
          <w:marLeft w:val="0"/>
          <w:marRight w:val="0"/>
          <w:marTop w:val="0"/>
          <w:marBottom w:val="0"/>
          <w:divBdr>
            <w:top w:val="none" w:sz="0" w:space="0" w:color="auto"/>
            <w:left w:val="none" w:sz="0" w:space="0" w:color="auto"/>
            <w:bottom w:val="none" w:sz="0" w:space="0" w:color="auto"/>
            <w:right w:val="none" w:sz="0" w:space="0" w:color="auto"/>
          </w:divBdr>
          <w:divsChild>
            <w:div w:id="861435365">
              <w:marLeft w:val="0"/>
              <w:marRight w:val="0"/>
              <w:marTop w:val="0"/>
              <w:marBottom w:val="0"/>
              <w:divBdr>
                <w:top w:val="none" w:sz="0" w:space="0" w:color="auto"/>
                <w:left w:val="none" w:sz="0" w:space="0" w:color="auto"/>
                <w:bottom w:val="none" w:sz="0" w:space="0" w:color="auto"/>
                <w:right w:val="none" w:sz="0" w:space="0" w:color="auto"/>
              </w:divBdr>
            </w:div>
          </w:divsChild>
        </w:div>
        <w:div w:id="1800564094">
          <w:marLeft w:val="0"/>
          <w:marRight w:val="0"/>
          <w:marTop w:val="0"/>
          <w:marBottom w:val="0"/>
          <w:divBdr>
            <w:top w:val="none" w:sz="0" w:space="0" w:color="auto"/>
            <w:left w:val="none" w:sz="0" w:space="0" w:color="auto"/>
            <w:bottom w:val="none" w:sz="0" w:space="0" w:color="auto"/>
            <w:right w:val="none" w:sz="0" w:space="0" w:color="auto"/>
          </w:divBdr>
          <w:divsChild>
            <w:div w:id="429352987">
              <w:marLeft w:val="0"/>
              <w:marRight w:val="0"/>
              <w:marTop w:val="0"/>
              <w:marBottom w:val="0"/>
              <w:divBdr>
                <w:top w:val="none" w:sz="0" w:space="0" w:color="auto"/>
                <w:left w:val="none" w:sz="0" w:space="0" w:color="auto"/>
                <w:bottom w:val="none" w:sz="0" w:space="0" w:color="auto"/>
                <w:right w:val="none" w:sz="0" w:space="0" w:color="auto"/>
              </w:divBdr>
            </w:div>
          </w:divsChild>
        </w:div>
        <w:div w:id="1819346461">
          <w:marLeft w:val="0"/>
          <w:marRight w:val="0"/>
          <w:marTop w:val="0"/>
          <w:marBottom w:val="0"/>
          <w:divBdr>
            <w:top w:val="none" w:sz="0" w:space="0" w:color="auto"/>
            <w:left w:val="none" w:sz="0" w:space="0" w:color="auto"/>
            <w:bottom w:val="none" w:sz="0" w:space="0" w:color="auto"/>
            <w:right w:val="none" w:sz="0" w:space="0" w:color="auto"/>
          </w:divBdr>
          <w:divsChild>
            <w:div w:id="971061014">
              <w:marLeft w:val="0"/>
              <w:marRight w:val="0"/>
              <w:marTop w:val="0"/>
              <w:marBottom w:val="0"/>
              <w:divBdr>
                <w:top w:val="none" w:sz="0" w:space="0" w:color="auto"/>
                <w:left w:val="none" w:sz="0" w:space="0" w:color="auto"/>
                <w:bottom w:val="none" w:sz="0" w:space="0" w:color="auto"/>
                <w:right w:val="none" w:sz="0" w:space="0" w:color="auto"/>
              </w:divBdr>
            </w:div>
          </w:divsChild>
        </w:div>
        <w:div w:id="1819807673">
          <w:marLeft w:val="0"/>
          <w:marRight w:val="0"/>
          <w:marTop w:val="0"/>
          <w:marBottom w:val="0"/>
          <w:divBdr>
            <w:top w:val="none" w:sz="0" w:space="0" w:color="auto"/>
            <w:left w:val="none" w:sz="0" w:space="0" w:color="auto"/>
            <w:bottom w:val="none" w:sz="0" w:space="0" w:color="auto"/>
            <w:right w:val="none" w:sz="0" w:space="0" w:color="auto"/>
          </w:divBdr>
          <w:divsChild>
            <w:div w:id="694231509">
              <w:marLeft w:val="0"/>
              <w:marRight w:val="0"/>
              <w:marTop w:val="0"/>
              <w:marBottom w:val="0"/>
              <w:divBdr>
                <w:top w:val="none" w:sz="0" w:space="0" w:color="auto"/>
                <w:left w:val="none" w:sz="0" w:space="0" w:color="auto"/>
                <w:bottom w:val="none" w:sz="0" w:space="0" w:color="auto"/>
                <w:right w:val="none" w:sz="0" w:space="0" w:color="auto"/>
              </w:divBdr>
            </w:div>
          </w:divsChild>
        </w:div>
        <w:div w:id="1831945679">
          <w:marLeft w:val="0"/>
          <w:marRight w:val="0"/>
          <w:marTop w:val="0"/>
          <w:marBottom w:val="0"/>
          <w:divBdr>
            <w:top w:val="none" w:sz="0" w:space="0" w:color="auto"/>
            <w:left w:val="none" w:sz="0" w:space="0" w:color="auto"/>
            <w:bottom w:val="none" w:sz="0" w:space="0" w:color="auto"/>
            <w:right w:val="none" w:sz="0" w:space="0" w:color="auto"/>
          </w:divBdr>
          <w:divsChild>
            <w:div w:id="1183595807">
              <w:marLeft w:val="0"/>
              <w:marRight w:val="0"/>
              <w:marTop w:val="0"/>
              <w:marBottom w:val="0"/>
              <w:divBdr>
                <w:top w:val="none" w:sz="0" w:space="0" w:color="auto"/>
                <w:left w:val="none" w:sz="0" w:space="0" w:color="auto"/>
                <w:bottom w:val="none" w:sz="0" w:space="0" w:color="auto"/>
                <w:right w:val="none" w:sz="0" w:space="0" w:color="auto"/>
              </w:divBdr>
            </w:div>
          </w:divsChild>
        </w:div>
        <w:div w:id="1839273883">
          <w:marLeft w:val="0"/>
          <w:marRight w:val="0"/>
          <w:marTop w:val="0"/>
          <w:marBottom w:val="0"/>
          <w:divBdr>
            <w:top w:val="none" w:sz="0" w:space="0" w:color="auto"/>
            <w:left w:val="none" w:sz="0" w:space="0" w:color="auto"/>
            <w:bottom w:val="none" w:sz="0" w:space="0" w:color="auto"/>
            <w:right w:val="none" w:sz="0" w:space="0" w:color="auto"/>
          </w:divBdr>
          <w:divsChild>
            <w:div w:id="677539994">
              <w:marLeft w:val="0"/>
              <w:marRight w:val="0"/>
              <w:marTop w:val="0"/>
              <w:marBottom w:val="0"/>
              <w:divBdr>
                <w:top w:val="none" w:sz="0" w:space="0" w:color="auto"/>
                <w:left w:val="none" w:sz="0" w:space="0" w:color="auto"/>
                <w:bottom w:val="none" w:sz="0" w:space="0" w:color="auto"/>
                <w:right w:val="none" w:sz="0" w:space="0" w:color="auto"/>
              </w:divBdr>
            </w:div>
          </w:divsChild>
        </w:div>
        <w:div w:id="1849053259">
          <w:marLeft w:val="0"/>
          <w:marRight w:val="0"/>
          <w:marTop w:val="0"/>
          <w:marBottom w:val="0"/>
          <w:divBdr>
            <w:top w:val="none" w:sz="0" w:space="0" w:color="auto"/>
            <w:left w:val="none" w:sz="0" w:space="0" w:color="auto"/>
            <w:bottom w:val="none" w:sz="0" w:space="0" w:color="auto"/>
            <w:right w:val="none" w:sz="0" w:space="0" w:color="auto"/>
          </w:divBdr>
          <w:divsChild>
            <w:div w:id="2016760547">
              <w:marLeft w:val="0"/>
              <w:marRight w:val="0"/>
              <w:marTop w:val="0"/>
              <w:marBottom w:val="0"/>
              <w:divBdr>
                <w:top w:val="none" w:sz="0" w:space="0" w:color="auto"/>
                <w:left w:val="none" w:sz="0" w:space="0" w:color="auto"/>
                <w:bottom w:val="none" w:sz="0" w:space="0" w:color="auto"/>
                <w:right w:val="none" w:sz="0" w:space="0" w:color="auto"/>
              </w:divBdr>
            </w:div>
          </w:divsChild>
        </w:div>
        <w:div w:id="1852135628">
          <w:marLeft w:val="0"/>
          <w:marRight w:val="0"/>
          <w:marTop w:val="0"/>
          <w:marBottom w:val="0"/>
          <w:divBdr>
            <w:top w:val="none" w:sz="0" w:space="0" w:color="auto"/>
            <w:left w:val="none" w:sz="0" w:space="0" w:color="auto"/>
            <w:bottom w:val="none" w:sz="0" w:space="0" w:color="auto"/>
            <w:right w:val="none" w:sz="0" w:space="0" w:color="auto"/>
          </w:divBdr>
          <w:divsChild>
            <w:div w:id="507333170">
              <w:marLeft w:val="0"/>
              <w:marRight w:val="0"/>
              <w:marTop w:val="0"/>
              <w:marBottom w:val="0"/>
              <w:divBdr>
                <w:top w:val="none" w:sz="0" w:space="0" w:color="auto"/>
                <w:left w:val="none" w:sz="0" w:space="0" w:color="auto"/>
                <w:bottom w:val="none" w:sz="0" w:space="0" w:color="auto"/>
                <w:right w:val="none" w:sz="0" w:space="0" w:color="auto"/>
              </w:divBdr>
            </w:div>
          </w:divsChild>
        </w:div>
        <w:div w:id="1855799193">
          <w:marLeft w:val="0"/>
          <w:marRight w:val="0"/>
          <w:marTop w:val="0"/>
          <w:marBottom w:val="0"/>
          <w:divBdr>
            <w:top w:val="none" w:sz="0" w:space="0" w:color="auto"/>
            <w:left w:val="none" w:sz="0" w:space="0" w:color="auto"/>
            <w:bottom w:val="none" w:sz="0" w:space="0" w:color="auto"/>
            <w:right w:val="none" w:sz="0" w:space="0" w:color="auto"/>
          </w:divBdr>
          <w:divsChild>
            <w:div w:id="1882668299">
              <w:marLeft w:val="0"/>
              <w:marRight w:val="0"/>
              <w:marTop w:val="0"/>
              <w:marBottom w:val="0"/>
              <w:divBdr>
                <w:top w:val="none" w:sz="0" w:space="0" w:color="auto"/>
                <w:left w:val="none" w:sz="0" w:space="0" w:color="auto"/>
                <w:bottom w:val="none" w:sz="0" w:space="0" w:color="auto"/>
                <w:right w:val="none" w:sz="0" w:space="0" w:color="auto"/>
              </w:divBdr>
            </w:div>
          </w:divsChild>
        </w:div>
        <w:div w:id="1883906535">
          <w:marLeft w:val="0"/>
          <w:marRight w:val="0"/>
          <w:marTop w:val="0"/>
          <w:marBottom w:val="0"/>
          <w:divBdr>
            <w:top w:val="none" w:sz="0" w:space="0" w:color="auto"/>
            <w:left w:val="none" w:sz="0" w:space="0" w:color="auto"/>
            <w:bottom w:val="none" w:sz="0" w:space="0" w:color="auto"/>
            <w:right w:val="none" w:sz="0" w:space="0" w:color="auto"/>
          </w:divBdr>
          <w:divsChild>
            <w:div w:id="345400376">
              <w:marLeft w:val="0"/>
              <w:marRight w:val="0"/>
              <w:marTop w:val="0"/>
              <w:marBottom w:val="0"/>
              <w:divBdr>
                <w:top w:val="none" w:sz="0" w:space="0" w:color="auto"/>
                <w:left w:val="none" w:sz="0" w:space="0" w:color="auto"/>
                <w:bottom w:val="none" w:sz="0" w:space="0" w:color="auto"/>
                <w:right w:val="none" w:sz="0" w:space="0" w:color="auto"/>
              </w:divBdr>
            </w:div>
          </w:divsChild>
        </w:div>
        <w:div w:id="1885172630">
          <w:marLeft w:val="0"/>
          <w:marRight w:val="0"/>
          <w:marTop w:val="0"/>
          <w:marBottom w:val="0"/>
          <w:divBdr>
            <w:top w:val="none" w:sz="0" w:space="0" w:color="auto"/>
            <w:left w:val="none" w:sz="0" w:space="0" w:color="auto"/>
            <w:bottom w:val="none" w:sz="0" w:space="0" w:color="auto"/>
            <w:right w:val="none" w:sz="0" w:space="0" w:color="auto"/>
          </w:divBdr>
          <w:divsChild>
            <w:div w:id="130756584">
              <w:marLeft w:val="0"/>
              <w:marRight w:val="0"/>
              <w:marTop w:val="0"/>
              <w:marBottom w:val="0"/>
              <w:divBdr>
                <w:top w:val="none" w:sz="0" w:space="0" w:color="auto"/>
                <w:left w:val="none" w:sz="0" w:space="0" w:color="auto"/>
                <w:bottom w:val="none" w:sz="0" w:space="0" w:color="auto"/>
                <w:right w:val="none" w:sz="0" w:space="0" w:color="auto"/>
              </w:divBdr>
            </w:div>
          </w:divsChild>
        </w:div>
        <w:div w:id="1903826557">
          <w:marLeft w:val="0"/>
          <w:marRight w:val="0"/>
          <w:marTop w:val="0"/>
          <w:marBottom w:val="0"/>
          <w:divBdr>
            <w:top w:val="none" w:sz="0" w:space="0" w:color="auto"/>
            <w:left w:val="none" w:sz="0" w:space="0" w:color="auto"/>
            <w:bottom w:val="none" w:sz="0" w:space="0" w:color="auto"/>
            <w:right w:val="none" w:sz="0" w:space="0" w:color="auto"/>
          </w:divBdr>
          <w:divsChild>
            <w:div w:id="1067386560">
              <w:marLeft w:val="0"/>
              <w:marRight w:val="0"/>
              <w:marTop w:val="0"/>
              <w:marBottom w:val="0"/>
              <w:divBdr>
                <w:top w:val="none" w:sz="0" w:space="0" w:color="auto"/>
                <w:left w:val="none" w:sz="0" w:space="0" w:color="auto"/>
                <w:bottom w:val="none" w:sz="0" w:space="0" w:color="auto"/>
                <w:right w:val="none" w:sz="0" w:space="0" w:color="auto"/>
              </w:divBdr>
            </w:div>
          </w:divsChild>
        </w:div>
        <w:div w:id="1905290386">
          <w:marLeft w:val="0"/>
          <w:marRight w:val="0"/>
          <w:marTop w:val="0"/>
          <w:marBottom w:val="0"/>
          <w:divBdr>
            <w:top w:val="none" w:sz="0" w:space="0" w:color="auto"/>
            <w:left w:val="none" w:sz="0" w:space="0" w:color="auto"/>
            <w:bottom w:val="none" w:sz="0" w:space="0" w:color="auto"/>
            <w:right w:val="none" w:sz="0" w:space="0" w:color="auto"/>
          </w:divBdr>
          <w:divsChild>
            <w:div w:id="1481995782">
              <w:marLeft w:val="0"/>
              <w:marRight w:val="0"/>
              <w:marTop w:val="0"/>
              <w:marBottom w:val="0"/>
              <w:divBdr>
                <w:top w:val="none" w:sz="0" w:space="0" w:color="auto"/>
                <w:left w:val="none" w:sz="0" w:space="0" w:color="auto"/>
                <w:bottom w:val="none" w:sz="0" w:space="0" w:color="auto"/>
                <w:right w:val="none" w:sz="0" w:space="0" w:color="auto"/>
              </w:divBdr>
            </w:div>
          </w:divsChild>
        </w:div>
        <w:div w:id="1921285041">
          <w:marLeft w:val="0"/>
          <w:marRight w:val="0"/>
          <w:marTop w:val="0"/>
          <w:marBottom w:val="0"/>
          <w:divBdr>
            <w:top w:val="none" w:sz="0" w:space="0" w:color="auto"/>
            <w:left w:val="none" w:sz="0" w:space="0" w:color="auto"/>
            <w:bottom w:val="none" w:sz="0" w:space="0" w:color="auto"/>
            <w:right w:val="none" w:sz="0" w:space="0" w:color="auto"/>
          </w:divBdr>
          <w:divsChild>
            <w:div w:id="383406946">
              <w:marLeft w:val="0"/>
              <w:marRight w:val="0"/>
              <w:marTop w:val="0"/>
              <w:marBottom w:val="0"/>
              <w:divBdr>
                <w:top w:val="none" w:sz="0" w:space="0" w:color="auto"/>
                <w:left w:val="none" w:sz="0" w:space="0" w:color="auto"/>
                <w:bottom w:val="none" w:sz="0" w:space="0" w:color="auto"/>
                <w:right w:val="none" w:sz="0" w:space="0" w:color="auto"/>
              </w:divBdr>
            </w:div>
          </w:divsChild>
        </w:div>
        <w:div w:id="1924296947">
          <w:marLeft w:val="0"/>
          <w:marRight w:val="0"/>
          <w:marTop w:val="0"/>
          <w:marBottom w:val="0"/>
          <w:divBdr>
            <w:top w:val="none" w:sz="0" w:space="0" w:color="auto"/>
            <w:left w:val="none" w:sz="0" w:space="0" w:color="auto"/>
            <w:bottom w:val="none" w:sz="0" w:space="0" w:color="auto"/>
            <w:right w:val="none" w:sz="0" w:space="0" w:color="auto"/>
          </w:divBdr>
          <w:divsChild>
            <w:div w:id="75826176">
              <w:marLeft w:val="0"/>
              <w:marRight w:val="0"/>
              <w:marTop w:val="0"/>
              <w:marBottom w:val="0"/>
              <w:divBdr>
                <w:top w:val="none" w:sz="0" w:space="0" w:color="auto"/>
                <w:left w:val="none" w:sz="0" w:space="0" w:color="auto"/>
                <w:bottom w:val="none" w:sz="0" w:space="0" w:color="auto"/>
                <w:right w:val="none" w:sz="0" w:space="0" w:color="auto"/>
              </w:divBdr>
            </w:div>
          </w:divsChild>
        </w:div>
        <w:div w:id="1924954514">
          <w:marLeft w:val="0"/>
          <w:marRight w:val="0"/>
          <w:marTop w:val="0"/>
          <w:marBottom w:val="0"/>
          <w:divBdr>
            <w:top w:val="none" w:sz="0" w:space="0" w:color="auto"/>
            <w:left w:val="none" w:sz="0" w:space="0" w:color="auto"/>
            <w:bottom w:val="none" w:sz="0" w:space="0" w:color="auto"/>
            <w:right w:val="none" w:sz="0" w:space="0" w:color="auto"/>
          </w:divBdr>
          <w:divsChild>
            <w:div w:id="295335400">
              <w:marLeft w:val="0"/>
              <w:marRight w:val="0"/>
              <w:marTop w:val="0"/>
              <w:marBottom w:val="0"/>
              <w:divBdr>
                <w:top w:val="none" w:sz="0" w:space="0" w:color="auto"/>
                <w:left w:val="none" w:sz="0" w:space="0" w:color="auto"/>
                <w:bottom w:val="none" w:sz="0" w:space="0" w:color="auto"/>
                <w:right w:val="none" w:sz="0" w:space="0" w:color="auto"/>
              </w:divBdr>
            </w:div>
          </w:divsChild>
        </w:div>
        <w:div w:id="1932158549">
          <w:marLeft w:val="0"/>
          <w:marRight w:val="0"/>
          <w:marTop w:val="0"/>
          <w:marBottom w:val="0"/>
          <w:divBdr>
            <w:top w:val="none" w:sz="0" w:space="0" w:color="auto"/>
            <w:left w:val="none" w:sz="0" w:space="0" w:color="auto"/>
            <w:bottom w:val="none" w:sz="0" w:space="0" w:color="auto"/>
            <w:right w:val="none" w:sz="0" w:space="0" w:color="auto"/>
          </w:divBdr>
          <w:divsChild>
            <w:div w:id="1571191913">
              <w:marLeft w:val="0"/>
              <w:marRight w:val="0"/>
              <w:marTop w:val="0"/>
              <w:marBottom w:val="0"/>
              <w:divBdr>
                <w:top w:val="none" w:sz="0" w:space="0" w:color="auto"/>
                <w:left w:val="none" w:sz="0" w:space="0" w:color="auto"/>
                <w:bottom w:val="none" w:sz="0" w:space="0" w:color="auto"/>
                <w:right w:val="none" w:sz="0" w:space="0" w:color="auto"/>
              </w:divBdr>
            </w:div>
          </w:divsChild>
        </w:div>
        <w:div w:id="1944916435">
          <w:marLeft w:val="0"/>
          <w:marRight w:val="0"/>
          <w:marTop w:val="0"/>
          <w:marBottom w:val="0"/>
          <w:divBdr>
            <w:top w:val="none" w:sz="0" w:space="0" w:color="auto"/>
            <w:left w:val="none" w:sz="0" w:space="0" w:color="auto"/>
            <w:bottom w:val="none" w:sz="0" w:space="0" w:color="auto"/>
            <w:right w:val="none" w:sz="0" w:space="0" w:color="auto"/>
          </w:divBdr>
          <w:divsChild>
            <w:div w:id="2005891964">
              <w:marLeft w:val="0"/>
              <w:marRight w:val="0"/>
              <w:marTop w:val="0"/>
              <w:marBottom w:val="0"/>
              <w:divBdr>
                <w:top w:val="none" w:sz="0" w:space="0" w:color="auto"/>
                <w:left w:val="none" w:sz="0" w:space="0" w:color="auto"/>
                <w:bottom w:val="none" w:sz="0" w:space="0" w:color="auto"/>
                <w:right w:val="none" w:sz="0" w:space="0" w:color="auto"/>
              </w:divBdr>
            </w:div>
          </w:divsChild>
        </w:div>
        <w:div w:id="1949653346">
          <w:marLeft w:val="0"/>
          <w:marRight w:val="0"/>
          <w:marTop w:val="0"/>
          <w:marBottom w:val="0"/>
          <w:divBdr>
            <w:top w:val="none" w:sz="0" w:space="0" w:color="auto"/>
            <w:left w:val="none" w:sz="0" w:space="0" w:color="auto"/>
            <w:bottom w:val="none" w:sz="0" w:space="0" w:color="auto"/>
            <w:right w:val="none" w:sz="0" w:space="0" w:color="auto"/>
          </w:divBdr>
          <w:divsChild>
            <w:div w:id="2138910142">
              <w:marLeft w:val="0"/>
              <w:marRight w:val="0"/>
              <w:marTop w:val="0"/>
              <w:marBottom w:val="0"/>
              <w:divBdr>
                <w:top w:val="none" w:sz="0" w:space="0" w:color="auto"/>
                <w:left w:val="none" w:sz="0" w:space="0" w:color="auto"/>
                <w:bottom w:val="none" w:sz="0" w:space="0" w:color="auto"/>
                <w:right w:val="none" w:sz="0" w:space="0" w:color="auto"/>
              </w:divBdr>
            </w:div>
          </w:divsChild>
        </w:div>
        <w:div w:id="1955206050">
          <w:marLeft w:val="0"/>
          <w:marRight w:val="0"/>
          <w:marTop w:val="0"/>
          <w:marBottom w:val="0"/>
          <w:divBdr>
            <w:top w:val="none" w:sz="0" w:space="0" w:color="auto"/>
            <w:left w:val="none" w:sz="0" w:space="0" w:color="auto"/>
            <w:bottom w:val="none" w:sz="0" w:space="0" w:color="auto"/>
            <w:right w:val="none" w:sz="0" w:space="0" w:color="auto"/>
          </w:divBdr>
          <w:divsChild>
            <w:div w:id="61220329">
              <w:marLeft w:val="0"/>
              <w:marRight w:val="0"/>
              <w:marTop w:val="0"/>
              <w:marBottom w:val="0"/>
              <w:divBdr>
                <w:top w:val="none" w:sz="0" w:space="0" w:color="auto"/>
                <w:left w:val="none" w:sz="0" w:space="0" w:color="auto"/>
                <w:bottom w:val="none" w:sz="0" w:space="0" w:color="auto"/>
                <w:right w:val="none" w:sz="0" w:space="0" w:color="auto"/>
              </w:divBdr>
            </w:div>
          </w:divsChild>
        </w:div>
        <w:div w:id="1961296025">
          <w:marLeft w:val="0"/>
          <w:marRight w:val="0"/>
          <w:marTop w:val="0"/>
          <w:marBottom w:val="0"/>
          <w:divBdr>
            <w:top w:val="none" w:sz="0" w:space="0" w:color="auto"/>
            <w:left w:val="none" w:sz="0" w:space="0" w:color="auto"/>
            <w:bottom w:val="none" w:sz="0" w:space="0" w:color="auto"/>
            <w:right w:val="none" w:sz="0" w:space="0" w:color="auto"/>
          </w:divBdr>
          <w:divsChild>
            <w:div w:id="182401465">
              <w:marLeft w:val="0"/>
              <w:marRight w:val="0"/>
              <w:marTop w:val="0"/>
              <w:marBottom w:val="0"/>
              <w:divBdr>
                <w:top w:val="none" w:sz="0" w:space="0" w:color="auto"/>
                <w:left w:val="none" w:sz="0" w:space="0" w:color="auto"/>
                <w:bottom w:val="none" w:sz="0" w:space="0" w:color="auto"/>
                <w:right w:val="none" w:sz="0" w:space="0" w:color="auto"/>
              </w:divBdr>
            </w:div>
          </w:divsChild>
        </w:div>
        <w:div w:id="1974098441">
          <w:marLeft w:val="0"/>
          <w:marRight w:val="0"/>
          <w:marTop w:val="0"/>
          <w:marBottom w:val="0"/>
          <w:divBdr>
            <w:top w:val="none" w:sz="0" w:space="0" w:color="auto"/>
            <w:left w:val="none" w:sz="0" w:space="0" w:color="auto"/>
            <w:bottom w:val="none" w:sz="0" w:space="0" w:color="auto"/>
            <w:right w:val="none" w:sz="0" w:space="0" w:color="auto"/>
          </w:divBdr>
          <w:divsChild>
            <w:div w:id="1076974364">
              <w:marLeft w:val="0"/>
              <w:marRight w:val="0"/>
              <w:marTop w:val="0"/>
              <w:marBottom w:val="0"/>
              <w:divBdr>
                <w:top w:val="none" w:sz="0" w:space="0" w:color="auto"/>
                <w:left w:val="none" w:sz="0" w:space="0" w:color="auto"/>
                <w:bottom w:val="none" w:sz="0" w:space="0" w:color="auto"/>
                <w:right w:val="none" w:sz="0" w:space="0" w:color="auto"/>
              </w:divBdr>
            </w:div>
          </w:divsChild>
        </w:div>
        <w:div w:id="1975597642">
          <w:marLeft w:val="0"/>
          <w:marRight w:val="0"/>
          <w:marTop w:val="0"/>
          <w:marBottom w:val="0"/>
          <w:divBdr>
            <w:top w:val="none" w:sz="0" w:space="0" w:color="auto"/>
            <w:left w:val="none" w:sz="0" w:space="0" w:color="auto"/>
            <w:bottom w:val="none" w:sz="0" w:space="0" w:color="auto"/>
            <w:right w:val="none" w:sz="0" w:space="0" w:color="auto"/>
          </w:divBdr>
          <w:divsChild>
            <w:div w:id="1933315853">
              <w:marLeft w:val="0"/>
              <w:marRight w:val="0"/>
              <w:marTop w:val="0"/>
              <w:marBottom w:val="0"/>
              <w:divBdr>
                <w:top w:val="none" w:sz="0" w:space="0" w:color="auto"/>
                <w:left w:val="none" w:sz="0" w:space="0" w:color="auto"/>
                <w:bottom w:val="none" w:sz="0" w:space="0" w:color="auto"/>
                <w:right w:val="none" w:sz="0" w:space="0" w:color="auto"/>
              </w:divBdr>
            </w:div>
          </w:divsChild>
        </w:div>
        <w:div w:id="1977223691">
          <w:marLeft w:val="0"/>
          <w:marRight w:val="0"/>
          <w:marTop w:val="0"/>
          <w:marBottom w:val="0"/>
          <w:divBdr>
            <w:top w:val="none" w:sz="0" w:space="0" w:color="auto"/>
            <w:left w:val="none" w:sz="0" w:space="0" w:color="auto"/>
            <w:bottom w:val="none" w:sz="0" w:space="0" w:color="auto"/>
            <w:right w:val="none" w:sz="0" w:space="0" w:color="auto"/>
          </w:divBdr>
          <w:divsChild>
            <w:div w:id="1892961792">
              <w:marLeft w:val="0"/>
              <w:marRight w:val="0"/>
              <w:marTop w:val="0"/>
              <w:marBottom w:val="0"/>
              <w:divBdr>
                <w:top w:val="none" w:sz="0" w:space="0" w:color="auto"/>
                <w:left w:val="none" w:sz="0" w:space="0" w:color="auto"/>
                <w:bottom w:val="none" w:sz="0" w:space="0" w:color="auto"/>
                <w:right w:val="none" w:sz="0" w:space="0" w:color="auto"/>
              </w:divBdr>
            </w:div>
          </w:divsChild>
        </w:div>
        <w:div w:id="1977562139">
          <w:marLeft w:val="0"/>
          <w:marRight w:val="0"/>
          <w:marTop w:val="0"/>
          <w:marBottom w:val="0"/>
          <w:divBdr>
            <w:top w:val="none" w:sz="0" w:space="0" w:color="auto"/>
            <w:left w:val="none" w:sz="0" w:space="0" w:color="auto"/>
            <w:bottom w:val="none" w:sz="0" w:space="0" w:color="auto"/>
            <w:right w:val="none" w:sz="0" w:space="0" w:color="auto"/>
          </w:divBdr>
          <w:divsChild>
            <w:div w:id="744687656">
              <w:marLeft w:val="0"/>
              <w:marRight w:val="0"/>
              <w:marTop w:val="0"/>
              <w:marBottom w:val="0"/>
              <w:divBdr>
                <w:top w:val="none" w:sz="0" w:space="0" w:color="auto"/>
                <w:left w:val="none" w:sz="0" w:space="0" w:color="auto"/>
                <w:bottom w:val="none" w:sz="0" w:space="0" w:color="auto"/>
                <w:right w:val="none" w:sz="0" w:space="0" w:color="auto"/>
              </w:divBdr>
            </w:div>
          </w:divsChild>
        </w:div>
        <w:div w:id="1990397182">
          <w:marLeft w:val="0"/>
          <w:marRight w:val="0"/>
          <w:marTop w:val="0"/>
          <w:marBottom w:val="0"/>
          <w:divBdr>
            <w:top w:val="none" w:sz="0" w:space="0" w:color="auto"/>
            <w:left w:val="none" w:sz="0" w:space="0" w:color="auto"/>
            <w:bottom w:val="none" w:sz="0" w:space="0" w:color="auto"/>
            <w:right w:val="none" w:sz="0" w:space="0" w:color="auto"/>
          </w:divBdr>
          <w:divsChild>
            <w:div w:id="73360454">
              <w:marLeft w:val="0"/>
              <w:marRight w:val="0"/>
              <w:marTop w:val="0"/>
              <w:marBottom w:val="0"/>
              <w:divBdr>
                <w:top w:val="none" w:sz="0" w:space="0" w:color="auto"/>
                <w:left w:val="none" w:sz="0" w:space="0" w:color="auto"/>
                <w:bottom w:val="none" w:sz="0" w:space="0" w:color="auto"/>
                <w:right w:val="none" w:sz="0" w:space="0" w:color="auto"/>
              </w:divBdr>
            </w:div>
          </w:divsChild>
        </w:div>
        <w:div w:id="1993556705">
          <w:marLeft w:val="0"/>
          <w:marRight w:val="0"/>
          <w:marTop w:val="0"/>
          <w:marBottom w:val="0"/>
          <w:divBdr>
            <w:top w:val="none" w:sz="0" w:space="0" w:color="auto"/>
            <w:left w:val="none" w:sz="0" w:space="0" w:color="auto"/>
            <w:bottom w:val="none" w:sz="0" w:space="0" w:color="auto"/>
            <w:right w:val="none" w:sz="0" w:space="0" w:color="auto"/>
          </w:divBdr>
          <w:divsChild>
            <w:div w:id="675957862">
              <w:marLeft w:val="0"/>
              <w:marRight w:val="0"/>
              <w:marTop w:val="0"/>
              <w:marBottom w:val="0"/>
              <w:divBdr>
                <w:top w:val="none" w:sz="0" w:space="0" w:color="auto"/>
                <w:left w:val="none" w:sz="0" w:space="0" w:color="auto"/>
                <w:bottom w:val="none" w:sz="0" w:space="0" w:color="auto"/>
                <w:right w:val="none" w:sz="0" w:space="0" w:color="auto"/>
              </w:divBdr>
            </w:div>
          </w:divsChild>
        </w:div>
        <w:div w:id="1995060783">
          <w:marLeft w:val="0"/>
          <w:marRight w:val="0"/>
          <w:marTop w:val="0"/>
          <w:marBottom w:val="0"/>
          <w:divBdr>
            <w:top w:val="none" w:sz="0" w:space="0" w:color="auto"/>
            <w:left w:val="none" w:sz="0" w:space="0" w:color="auto"/>
            <w:bottom w:val="none" w:sz="0" w:space="0" w:color="auto"/>
            <w:right w:val="none" w:sz="0" w:space="0" w:color="auto"/>
          </w:divBdr>
          <w:divsChild>
            <w:div w:id="296646567">
              <w:marLeft w:val="0"/>
              <w:marRight w:val="0"/>
              <w:marTop w:val="0"/>
              <w:marBottom w:val="0"/>
              <w:divBdr>
                <w:top w:val="none" w:sz="0" w:space="0" w:color="auto"/>
                <w:left w:val="none" w:sz="0" w:space="0" w:color="auto"/>
                <w:bottom w:val="none" w:sz="0" w:space="0" w:color="auto"/>
                <w:right w:val="none" w:sz="0" w:space="0" w:color="auto"/>
              </w:divBdr>
            </w:div>
          </w:divsChild>
        </w:div>
        <w:div w:id="1996298722">
          <w:marLeft w:val="0"/>
          <w:marRight w:val="0"/>
          <w:marTop w:val="0"/>
          <w:marBottom w:val="0"/>
          <w:divBdr>
            <w:top w:val="none" w:sz="0" w:space="0" w:color="auto"/>
            <w:left w:val="none" w:sz="0" w:space="0" w:color="auto"/>
            <w:bottom w:val="none" w:sz="0" w:space="0" w:color="auto"/>
            <w:right w:val="none" w:sz="0" w:space="0" w:color="auto"/>
          </w:divBdr>
          <w:divsChild>
            <w:div w:id="1052311688">
              <w:marLeft w:val="0"/>
              <w:marRight w:val="0"/>
              <w:marTop w:val="0"/>
              <w:marBottom w:val="0"/>
              <w:divBdr>
                <w:top w:val="none" w:sz="0" w:space="0" w:color="auto"/>
                <w:left w:val="none" w:sz="0" w:space="0" w:color="auto"/>
                <w:bottom w:val="none" w:sz="0" w:space="0" w:color="auto"/>
                <w:right w:val="none" w:sz="0" w:space="0" w:color="auto"/>
              </w:divBdr>
            </w:div>
          </w:divsChild>
        </w:div>
        <w:div w:id="2004117831">
          <w:marLeft w:val="0"/>
          <w:marRight w:val="0"/>
          <w:marTop w:val="0"/>
          <w:marBottom w:val="0"/>
          <w:divBdr>
            <w:top w:val="none" w:sz="0" w:space="0" w:color="auto"/>
            <w:left w:val="none" w:sz="0" w:space="0" w:color="auto"/>
            <w:bottom w:val="none" w:sz="0" w:space="0" w:color="auto"/>
            <w:right w:val="none" w:sz="0" w:space="0" w:color="auto"/>
          </w:divBdr>
          <w:divsChild>
            <w:div w:id="638220480">
              <w:marLeft w:val="0"/>
              <w:marRight w:val="0"/>
              <w:marTop w:val="0"/>
              <w:marBottom w:val="0"/>
              <w:divBdr>
                <w:top w:val="none" w:sz="0" w:space="0" w:color="auto"/>
                <w:left w:val="none" w:sz="0" w:space="0" w:color="auto"/>
                <w:bottom w:val="none" w:sz="0" w:space="0" w:color="auto"/>
                <w:right w:val="none" w:sz="0" w:space="0" w:color="auto"/>
              </w:divBdr>
            </w:div>
          </w:divsChild>
        </w:div>
        <w:div w:id="2007896016">
          <w:marLeft w:val="0"/>
          <w:marRight w:val="0"/>
          <w:marTop w:val="0"/>
          <w:marBottom w:val="0"/>
          <w:divBdr>
            <w:top w:val="none" w:sz="0" w:space="0" w:color="auto"/>
            <w:left w:val="none" w:sz="0" w:space="0" w:color="auto"/>
            <w:bottom w:val="none" w:sz="0" w:space="0" w:color="auto"/>
            <w:right w:val="none" w:sz="0" w:space="0" w:color="auto"/>
          </w:divBdr>
          <w:divsChild>
            <w:div w:id="507450679">
              <w:marLeft w:val="0"/>
              <w:marRight w:val="0"/>
              <w:marTop w:val="0"/>
              <w:marBottom w:val="0"/>
              <w:divBdr>
                <w:top w:val="none" w:sz="0" w:space="0" w:color="auto"/>
                <w:left w:val="none" w:sz="0" w:space="0" w:color="auto"/>
                <w:bottom w:val="none" w:sz="0" w:space="0" w:color="auto"/>
                <w:right w:val="none" w:sz="0" w:space="0" w:color="auto"/>
              </w:divBdr>
            </w:div>
          </w:divsChild>
        </w:div>
        <w:div w:id="2008745977">
          <w:marLeft w:val="0"/>
          <w:marRight w:val="0"/>
          <w:marTop w:val="0"/>
          <w:marBottom w:val="0"/>
          <w:divBdr>
            <w:top w:val="none" w:sz="0" w:space="0" w:color="auto"/>
            <w:left w:val="none" w:sz="0" w:space="0" w:color="auto"/>
            <w:bottom w:val="none" w:sz="0" w:space="0" w:color="auto"/>
            <w:right w:val="none" w:sz="0" w:space="0" w:color="auto"/>
          </w:divBdr>
          <w:divsChild>
            <w:div w:id="1958633365">
              <w:marLeft w:val="0"/>
              <w:marRight w:val="0"/>
              <w:marTop w:val="0"/>
              <w:marBottom w:val="0"/>
              <w:divBdr>
                <w:top w:val="none" w:sz="0" w:space="0" w:color="auto"/>
                <w:left w:val="none" w:sz="0" w:space="0" w:color="auto"/>
                <w:bottom w:val="none" w:sz="0" w:space="0" w:color="auto"/>
                <w:right w:val="none" w:sz="0" w:space="0" w:color="auto"/>
              </w:divBdr>
            </w:div>
          </w:divsChild>
        </w:div>
        <w:div w:id="2022930562">
          <w:marLeft w:val="0"/>
          <w:marRight w:val="0"/>
          <w:marTop w:val="0"/>
          <w:marBottom w:val="0"/>
          <w:divBdr>
            <w:top w:val="none" w:sz="0" w:space="0" w:color="auto"/>
            <w:left w:val="none" w:sz="0" w:space="0" w:color="auto"/>
            <w:bottom w:val="none" w:sz="0" w:space="0" w:color="auto"/>
            <w:right w:val="none" w:sz="0" w:space="0" w:color="auto"/>
          </w:divBdr>
          <w:divsChild>
            <w:div w:id="407656330">
              <w:marLeft w:val="0"/>
              <w:marRight w:val="0"/>
              <w:marTop w:val="0"/>
              <w:marBottom w:val="0"/>
              <w:divBdr>
                <w:top w:val="none" w:sz="0" w:space="0" w:color="auto"/>
                <w:left w:val="none" w:sz="0" w:space="0" w:color="auto"/>
                <w:bottom w:val="none" w:sz="0" w:space="0" w:color="auto"/>
                <w:right w:val="none" w:sz="0" w:space="0" w:color="auto"/>
              </w:divBdr>
            </w:div>
          </w:divsChild>
        </w:div>
        <w:div w:id="2030331867">
          <w:marLeft w:val="0"/>
          <w:marRight w:val="0"/>
          <w:marTop w:val="0"/>
          <w:marBottom w:val="0"/>
          <w:divBdr>
            <w:top w:val="none" w:sz="0" w:space="0" w:color="auto"/>
            <w:left w:val="none" w:sz="0" w:space="0" w:color="auto"/>
            <w:bottom w:val="none" w:sz="0" w:space="0" w:color="auto"/>
            <w:right w:val="none" w:sz="0" w:space="0" w:color="auto"/>
          </w:divBdr>
          <w:divsChild>
            <w:div w:id="1676768097">
              <w:marLeft w:val="0"/>
              <w:marRight w:val="0"/>
              <w:marTop w:val="0"/>
              <w:marBottom w:val="0"/>
              <w:divBdr>
                <w:top w:val="none" w:sz="0" w:space="0" w:color="auto"/>
                <w:left w:val="none" w:sz="0" w:space="0" w:color="auto"/>
                <w:bottom w:val="none" w:sz="0" w:space="0" w:color="auto"/>
                <w:right w:val="none" w:sz="0" w:space="0" w:color="auto"/>
              </w:divBdr>
            </w:div>
          </w:divsChild>
        </w:div>
        <w:div w:id="2031298674">
          <w:marLeft w:val="0"/>
          <w:marRight w:val="0"/>
          <w:marTop w:val="0"/>
          <w:marBottom w:val="0"/>
          <w:divBdr>
            <w:top w:val="none" w:sz="0" w:space="0" w:color="auto"/>
            <w:left w:val="none" w:sz="0" w:space="0" w:color="auto"/>
            <w:bottom w:val="none" w:sz="0" w:space="0" w:color="auto"/>
            <w:right w:val="none" w:sz="0" w:space="0" w:color="auto"/>
          </w:divBdr>
          <w:divsChild>
            <w:div w:id="593630459">
              <w:marLeft w:val="0"/>
              <w:marRight w:val="0"/>
              <w:marTop w:val="0"/>
              <w:marBottom w:val="0"/>
              <w:divBdr>
                <w:top w:val="none" w:sz="0" w:space="0" w:color="auto"/>
                <w:left w:val="none" w:sz="0" w:space="0" w:color="auto"/>
                <w:bottom w:val="none" w:sz="0" w:space="0" w:color="auto"/>
                <w:right w:val="none" w:sz="0" w:space="0" w:color="auto"/>
              </w:divBdr>
            </w:div>
          </w:divsChild>
        </w:div>
        <w:div w:id="2037652246">
          <w:marLeft w:val="0"/>
          <w:marRight w:val="0"/>
          <w:marTop w:val="0"/>
          <w:marBottom w:val="0"/>
          <w:divBdr>
            <w:top w:val="none" w:sz="0" w:space="0" w:color="auto"/>
            <w:left w:val="none" w:sz="0" w:space="0" w:color="auto"/>
            <w:bottom w:val="none" w:sz="0" w:space="0" w:color="auto"/>
            <w:right w:val="none" w:sz="0" w:space="0" w:color="auto"/>
          </w:divBdr>
          <w:divsChild>
            <w:div w:id="29500648">
              <w:marLeft w:val="0"/>
              <w:marRight w:val="0"/>
              <w:marTop w:val="0"/>
              <w:marBottom w:val="0"/>
              <w:divBdr>
                <w:top w:val="none" w:sz="0" w:space="0" w:color="auto"/>
                <w:left w:val="none" w:sz="0" w:space="0" w:color="auto"/>
                <w:bottom w:val="none" w:sz="0" w:space="0" w:color="auto"/>
                <w:right w:val="none" w:sz="0" w:space="0" w:color="auto"/>
              </w:divBdr>
            </w:div>
          </w:divsChild>
        </w:div>
        <w:div w:id="2044552146">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61391643">
          <w:marLeft w:val="0"/>
          <w:marRight w:val="0"/>
          <w:marTop w:val="0"/>
          <w:marBottom w:val="0"/>
          <w:divBdr>
            <w:top w:val="none" w:sz="0" w:space="0" w:color="auto"/>
            <w:left w:val="none" w:sz="0" w:space="0" w:color="auto"/>
            <w:bottom w:val="none" w:sz="0" w:space="0" w:color="auto"/>
            <w:right w:val="none" w:sz="0" w:space="0" w:color="auto"/>
          </w:divBdr>
          <w:divsChild>
            <w:div w:id="520356660">
              <w:marLeft w:val="0"/>
              <w:marRight w:val="0"/>
              <w:marTop w:val="0"/>
              <w:marBottom w:val="0"/>
              <w:divBdr>
                <w:top w:val="none" w:sz="0" w:space="0" w:color="auto"/>
                <w:left w:val="none" w:sz="0" w:space="0" w:color="auto"/>
                <w:bottom w:val="none" w:sz="0" w:space="0" w:color="auto"/>
                <w:right w:val="none" w:sz="0" w:space="0" w:color="auto"/>
              </w:divBdr>
            </w:div>
          </w:divsChild>
        </w:div>
        <w:div w:id="2071417945">
          <w:marLeft w:val="0"/>
          <w:marRight w:val="0"/>
          <w:marTop w:val="0"/>
          <w:marBottom w:val="0"/>
          <w:divBdr>
            <w:top w:val="none" w:sz="0" w:space="0" w:color="auto"/>
            <w:left w:val="none" w:sz="0" w:space="0" w:color="auto"/>
            <w:bottom w:val="none" w:sz="0" w:space="0" w:color="auto"/>
            <w:right w:val="none" w:sz="0" w:space="0" w:color="auto"/>
          </w:divBdr>
          <w:divsChild>
            <w:div w:id="1349209370">
              <w:marLeft w:val="0"/>
              <w:marRight w:val="0"/>
              <w:marTop w:val="0"/>
              <w:marBottom w:val="0"/>
              <w:divBdr>
                <w:top w:val="none" w:sz="0" w:space="0" w:color="auto"/>
                <w:left w:val="none" w:sz="0" w:space="0" w:color="auto"/>
                <w:bottom w:val="none" w:sz="0" w:space="0" w:color="auto"/>
                <w:right w:val="none" w:sz="0" w:space="0" w:color="auto"/>
              </w:divBdr>
            </w:div>
          </w:divsChild>
        </w:div>
        <w:div w:id="2074808445">
          <w:marLeft w:val="0"/>
          <w:marRight w:val="0"/>
          <w:marTop w:val="0"/>
          <w:marBottom w:val="0"/>
          <w:divBdr>
            <w:top w:val="none" w:sz="0" w:space="0" w:color="auto"/>
            <w:left w:val="none" w:sz="0" w:space="0" w:color="auto"/>
            <w:bottom w:val="none" w:sz="0" w:space="0" w:color="auto"/>
            <w:right w:val="none" w:sz="0" w:space="0" w:color="auto"/>
          </w:divBdr>
          <w:divsChild>
            <w:div w:id="1895651701">
              <w:marLeft w:val="0"/>
              <w:marRight w:val="0"/>
              <w:marTop w:val="0"/>
              <w:marBottom w:val="0"/>
              <w:divBdr>
                <w:top w:val="none" w:sz="0" w:space="0" w:color="auto"/>
                <w:left w:val="none" w:sz="0" w:space="0" w:color="auto"/>
                <w:bottom w:val="none" w:sz="0" w:space="0" w:color="auto"/>
                <w:right w:val="none" w:sz="0" w:space="0" w:color="auto"/>
              </w:divBdr>
            </w:div>
          </w:divsChild>
        </w:div>
        <w:div w:id="2076076674">
          <w:marLeft w:val="0"/>
          <w:marRight w:val="0"/>
          <w:marTop w:val="0"/>
          <w:marBottom w:val="0"/>
          <w:divBdr>
            <w:top w:val="none" w:sz="0" w:space="0" w:color="auto"/>
            <w:left w:val="none" w:sz="0" w:space="0" w:color="auto"/>
            <w:bottom w:val="none" w:sz="0" w:space="0" w:color="auto"/>
            <w:right w:val="none" w:sz="0" w:space="0" w:color="auto"/>
          </w:divBdr>
          <w:divsChild>
            <w:div w:id="1556045507">
              <w:marLeft w:val="0"/>
              <w:marRight w:val="0"/>
              <w:marTop w:val="0"/>
              <w:marBottom w:val="0"/>
              <w:divBdr>
                <w:top w:val="none" w:sz="0" w:space="0" w:color="auto"/>
                <w:left w:val="none" w:sz="0" w:space="0" w:color="auto"/>
                <w:bottom w:val="none" w:sz="0" w:space="0" w:color="auto"/>
                <w:right w:val="none" w:sz="0" w:space="0" w:color="auto"/>
              </w:divBdr>
            </w:div>
          </w:divsChild>
        </w:div>
        <w:div w:id="2079131906">
          <w:marLeft w:val="0"/>
          <w:marRight w:val="0"/>
          <w:marTop w:val="0"/>
          <w:marBottom w:val="0"/>
          <w:divBdr>
            <w:top w:val="none" w:sz="0" w:space="0" w:color="auto"/>
            <w:left w:val="none" w:sz="0" w:space="0" w:color="auto"/>
            <w:bottom w:val="none" w:sz="0" w:space="0" w:color="auto"/>
            <w:right w:val="none" w:sz="0" w:space="0" w:color="auto"/>
          </w:divBdr>
          <w:divsChild>
            <w:div w:id="290480275">
              <w:marLeft w:val="0"/>
              <w:marRight w:val="0"/>
              <w:marTop w:val="0"/>
              <w:marBottom w:val="0"/>
              <w:divBdr>
                <w:top w:val="none" w:sz="0" w:space="0" w:color="auto"/>
                <w:left w:val="none" w:sz="0" w:space="0" w:color="auto"/>
                <w:bottom w:val="none" w:sz="0" w:space="0" w:color="auto"/>
                <w:right w:val="none" w:sz="0" w:space="0" w:color="auto"/>
              </w:divBdr>
            </w:div>
          </w:divsChild>
        </w:div>
        <w:div w:id="2090348575">
          <w:marLeft w:val="0"/>
          <w:marRight w:val="0"/>
          <w:marTop w:val="0"/>
          <w:marBottom w:val="0"/>
          <w:divBdr>
            <w:top w:val="none" w:sz="0" w:space="0" w:color="auto"/>
            <w:left w:val="none" w:sz="0" w:space="0" w:color="auto"/>
            <w:bottom w:val="none" w:sz="0" w:space="0" w:color="auto"/>
            <w:right w:val="none" w:sz="0" w:space="0" w:color="auto"/>
          </w:divBdr>
          <w:divsChild>
            <w:div w:id="2033874976">
              <w:marLeft w:val="0"/>
              <w:marRight w:val="0"/>
              <w:marTop w:val="0"/>
              <w:marBottom w:val="0"/>
              <w:divBdr>
                <w:top w:val="none" w:sz="0" w:space="0" w:color="auto"/>
                <w:left w:val="none" w:sz="0" w:space="0" w:color="auto"/>
                <w:bottom w:val="none" w:sz="0" w:space="0" w:color="auto"/>
                <w:right w:val="none" w:sz="0" w:space="0" w:color="auto"/>
              </w:divBdr>
            </w:div>
          </w:divsChild>
        </w:div>
        <w:div w:id="2098207406">
          <w:marLeft w:val="0"/>
          <w:marRight w:val="0"/>
          <w:marTop w:val="0"/>
          <w:marBottom w:val="0"/>
          <w:divBdr>
            <w:top w:val="none" w:sz="0" w:space="0" w:color="auto"/>
            <w:left w:val="none" w:sz="0" w:space="0" w:color="auto"/>
            <w:bottom w:val="none" w:sz="0" w:space="0" w:color="auto"/>
            <w:right w:val="none" w:sz="0" w:space="0" w:color="auto"/>
          </w:divBdr>
          <w:divsChild>
            <w:div w:id="581304366">
              <w:marLeft w:val="0"/>
              <w:marRight w:val="0"/>
              <w:marTop w:val="0"/>
              <w:marBottom w:val="0"/>
              <w:divBdr>
                <w:top w:val="none" w:sz="0" w:space="0" w:color="auto"/>
                <w:left w:val="none" w:sz="0" w:space="0" w:color="auto"/>
                <w:bottom w:val="none" w:sz="0" w:space="0" w:color="auto"/>
                <w:right w:val="none" w:sz="0" w:space="0" w:color="auto"/>
              </w:divBdr>
            </w:div>
          </w:divsChild>
        </w:div>
        <w:div w:id="2100130322">
          <w:marLeft w:val="0"/>
          <w:marRight w:val="0"/>
          <w:marTop w:val="0"/>
          <w:marBottom w:val="0"/>
          <w:divBdr>
            <w:top w:val="none" w:sz="0" w:space="0" w:color="auto"/>
            <w:left w:val="none" w:sz="0" w:space="0" w:color="auto"/>
            <w:bottom w:val="none" w:sz="0" w:space="0" w:color="auto"/>
            <w:right w:val="none" w:sz="0" w:space="0" w:color="auto"/>
          </w:divBdr>
          <w:divsChild>
            <w:div w:id="2077820741">
              <w:marLeft w:val="0"/>
              <w:marRight w:val="0"/>
              <w:marTop w:val="0"/>
              <w:marBottom w:val="0"/>
              <w:divBdr>
                <w:top w:val="none" w:sz="0" w:space="0" w:color="auto"/>
                <w:left w:val="none" w:sz="0" w:space="0" w:color="auto"/>
                <w:bottom w:val="none" w:sz="0" w:space="0" w:color="auto"/>
                <w:right w:val="none" w:sz="0" w:space="0" w:color="auto"/>
              </w:divBdr>
            </w:div>
          </w:divsChild>
        </w:div>
        <w:div w:id="2102409817">
          <w:marLeft w:val="0"/>
          <w:marRight w:val="0"/>
          <w:marTop w:val="0"/>
          <w:marBottom w:val="0"/>
          <w:divBdr>
            <w:top w:val="none" w:sz="0" w:space="0" w:color="auto"/>
            <w:left w:val="none" w:sz="0" w:space="0" w:color="auto"/>
            <w:bottom w:val="none" w:sz="0" w:space="0" w:color="auto"/>
            <w:right w:val="none" w:sz="0" w:space="0" w:color="auto"/>
          </w:divBdr>
          <w:divsChild>
            <w:div w:id="587731242">
              <w:marLeft w:val="0"/>
              <w:marRight w:val="0"/>
              <w:marTop w:val="0"/>
              <w:marBottom w:val="0"/>
              <w:divBdr>
                <w:top w:val="none" w:sz="0" w:space="0" w:color="auto"/>
                <w:left w:val="none" w:sz="0" w:space="0" w:color="auto"/>
                <w:bottom w:val="none" w:sz="0" w:space="0" w:color="auto"/>
                <w:right w:val="none" w:sz="0" w:space="0" w:color="auto"/>
              </w:divBdr>
            </w:div>
          </w:divsChild>
        </w:div>
        <w:div w:id="2110930238">
          <w:marLeft w:val="0"/>
          <w:marRight w:val="0"/>
          <w:marTop w:val="0"/>
          <w:marBottom w:val="0"/>
          <w:divBdr>
            <w:top w:val="none" w:sz="0" w:space="0" w:color="auto"/>
            <w:left w:val="none" w:sz="0" w:space="0" w:color="auto"/>
            <w:bottom w:val="none" w:sz="0" w:space="0" w:color="auto"/>
            <w:right w:val="none" w:sz="0" w:space="0" w:color="auto"/>
          </w:divBdr>
          <w:divsChild>
            <w:div w:id="982924519">
              <w:marLeft w:val="0"/>
              <w:marRight w:val="0"/>
              <w:marTop w:val="0"/>
              <w:marBottom w:val="0"/>
              <w:divBdr>
                <w:top w:val="none" w:sz="0" w:space="0" w:color="auto"/>
                <w:left w:val="none" w:sz="0" w:space="0" w:color="auto"/>
                <w:bottom w:val="none" w:sz="0" w:space="0" w:color="auto"/>
                <w:right w:val="none" w:sz="0" w:space="0" w:color="auto"/>
              </w:divBdr>
            </w:div>
          </w:divsChild>
        </w:div>
        <w:div w:id="2119136379">
          <w:marLeft w:val="0"/>
          <w:marRight w:val="0"/>
          <w:marTop w:val="0"/>
          <w:marBottom w:val="0"/>
          <w:divBdr>
            <w:top w:val="none" w:sz="0" w:space="0" w:color="auto"/>
            <w:left w:val="none" w:sz="0" w:space="0" w:color="auto"/>
            <w:bottom w:val="none" w:sz="0" w:space="0" w:color="auto"/>
            <w:right w:val="none" w:sz="0" w:space="0" w:color="auto"/>
          </w:divBdr>
          <w:divsChild>
            <w:div w:id="451217542">
              <w:marLeft w:val="0"/>
              <w:marRight w:val="0"/>
              <w:marTop w:val="0"/>
              <w:marBottom w:val="0"/>
              <w:divBdr>
                <w:top w:val="none" w:sz="0" w:space="0" w:color="auto"/>
                <w:left w:val="none" w:sz="0" w:space="0" w:color="auto"/>
                <w:bottom w:val="none" w:sz="0" w:space="0" w:color="auto"/>
                <w:right w:val="none" w:sz="0" w:space="0" w:color="auto"/>
              </w:divBdr>
            </w:div>
          </w:divsChild>
        </w:div>
        <w:div w:id="2119637116">
          <w:marLeft w:val="0"/>
          <w:marRight w:val="0"/>
          <w:marTop w:val="0"/>
          <w:marBottom w:val="0"/>
          <w:divBdr>
            <w:top w:val="none" w:sz="0" w:space="0" w:color="auto"/>
            <w:left w:val="none" w:sz="0" w:space="0" w:color="auto"/>
            <w:bottom w:val="none" w:sz="0" w:space="0" w:color="auto"/>
            <w:right w:val="none" w:sz="0" w:space="0" w:color="auto"/>
          </w:divBdr>
          <w:divsChild>
            <w:div w:id="362218556">
              <w:marLeft w:val="0"/>
              <w:marRight w:val="0"/>
              <w:marTop w:val="0"/>
              <w:marBottom w:val="0"/>
              <w:divBdr>
                <w:top w:val="none" w:sz="0" w:space="0" w:color="auto"/>
                <w:left w:val="none" w:sz="0" w:space="0" w:color="auto"/>
                <w:bottom w:val="none" w:sz="0" w:space="0" w:color="auto"/>
                <w:right w:val="none" w:sz="0" w:space="0" w:color="auto"/>
              </w:divBdr>
            </w:div>
          </w:divsChild>
        </w:div>
        <w:div w:id="2125804640">
          <w:marLeft w:val="0"/>
          <w:marRight w:val="0"/>
          <w:marTop w:val="0"/>
          <w:marBottom w:val="0"/>
          <w:divBdr>
            <w:top w:val="none" w:sz="0" w:space="0" w:color="auto"/>
            <w:left w:val="none" w:sz="0" w:space="0" w:color="auto"/>
            <w:bottom w:val="none" w:sz="0" w:space="0" w:color="auto"/>
            <w:right w:val="none" w:sz="0" w:space="0" w:color="auto"/>
          </w:divBdr>
          <w:divsChild>
            <w:div w:id="634796710">
              <w:marLeft w:val="0"/>
              <w:marRight w:val="0"/>
              <w:marTop w:val="0"/>
              <w:marBottom w:val="0"/>
              <w:divBdr>
                <w:top w:val="none" w:sz="0" w:space="0" w:color="auto"/>
                <w:left w:val="none" w:sz="0" w:space="0" w:color="auto"/>
                <w:bottom w:val="none" w:sz="0" w:space="0" w:color="auto"/>
                <w:right w:val="none" w:sz="0" w:space="0" w:color="auto"/>
              </w:divBdr>
            </w:div>
          </w:divsChild>
        </w:div>
        <w:div w:id="2125926116">
          <w:marLeft w:val="0"/>
          <w:marRight w:val="0"/>
          <w:marTop w:val="0"/>
          <w:marBottom w:val="0"/>
          <w:divBdr>
            <w:top w:val="none" w:sz="0" w:space="0" w:color="auto"/>
            <w:left w:val="none" w:sz="0" w:space="0" w:color="auto"/>
            <w:bottom w:val="none" w:sz="0" w:space="0" w:color="auto"/>
            <w:right w:val="none" w:sz="0" w:space="0" w:color="auto"/>
          </w:divBdr>
          <w:divsChild>
            <w:div w:id="1231038840">
              <w:marLeft w:val="0"/>
              <w:marRight w:val="0"/>
              <w:marTop w:val="0"/>
              <w:marBottom w:val="0"/>
              <w:divBdr>
                <w:top w:val="none" w:sz="0" w:space="0" w:color="auto"/>
                <w:left w:val="none" w:sz="0" w:space="0" w:color="auto"/>
                <w:bottom w:val="none" w:sz="0" w:space="0" w:color="auto"/>
                <w:right w:val="none" w:sz="0" w:space="0" w:color="auto"/>
              </w:divBdr>
            </w:div>
          </w:divsChild>
        </w:div>
        <w:div w:id="2127432749">
          <w:marLeft w:val="0"/>
          <w:marRight w:val="0"/>
          <w:marTop w:val="0"/>
          <w:marBottom w:val="0"/>
          <w:divBdr>
            <w:top w:val="none" w:sz="0" w:space="0" w:color="auto"/>
            <w:left w:val="none" w:sz="0" w:space="0" w:color="auto"/>
            <w:bottom w:val="none" w:sz="0" w:space="0" w:color="auto"/>
            <w:right w:val="none" w:sz="0" w:space="0" w:color="auto"/>
          </w:divBdr>
          <w:divsChild>
            <w:div w:id="2077514191">
              <w:marLeft w:val="0"/>
              <w:marRight w:val="0"/>
              <w:marTop w:val="0"/>
              <w:marBottom w:val="0"/>
              <w:divBdr>
                <w:top w:val="none" w:sz="0" w:space="0" w:color="auto"/>
                <w:left w:val="none" w:sz="0" w:space="0" w:color="auto"/>
                <w:bottom w:val="none" w:sz="0" w:space="0" w:color="auto"/>
                <w:right w:val="none" w:sz="0" w:space="0" w:color="auto"/>
              </w:divBdr>
            </w:div>
          </w:divsChild>
        </w:div>
        <w:div w:id="2139489975">
          <w:marLeft w:val="0"/>
          <w:marRight w:val="0"/>
          <w:marTop w:val="0"/>
          <w:marBottom w:val="0"/>
          <w:divBdr>
            <w:top w:val="none" w:sz="0" w:space="0" w:color="auto"/>
            <w:left w:val="none" w:sz="0" w:space="0" w:color="auto"/>
            <w:bottom w:val="none" w:sz="0" w:space="0" w:color="auto"/>
            <w:right w:val="none" w:sz="0" w:space="0" w:color="auto"/>
          </w:divBdr>
          <w:divsChild>
            <w:div w:id="1677610119">
              <w:marLeft w:val="0"/>
              <w:marRight w:val="0"/>
              <w:marTop w:val="0"/>
              <w:marBottom w:val="0"/>
              <w:divBdr>
                <w:top w:val="none" w:sz="0" w:space="0" w:color="auto"/>
                <w:left w:val="none" w:sz="0" w:space="0" w:color="auto"/>
                <w:bottom w:val="none" w:sz="0" w:space="0" w:color="auto"/>
                <w:right w:val="none" w:sz="0" w:space="0" w:color="auto"/>
              </w:divBdr>
            </w:div>
          </w:divsChild>
        </w:div>
        <w:div w:id="2140997005">
          <w:marLeft w:val="0"/>
          <w:marRight w:val="0"/>
          <w:marTop w:val="0"/>
          <w:marBottom w:val="0"/>
          <w:divBdr>
            <w:top w:val="none" w:sz="0" w:space="0" w:color="auto"/>
            <w:left w:val="none" w:sz="0" w:space="0" w:color="auto"/>
            <w:bottom w:val="none" w:sz="0" w:space="0" w:color="auto"/>
            <w:right w:val="none" w:sz="0" w:space="0" w:color="auto"/>
          </w:divBdr>
          <w:divsChild>
            <w:div w:id="413167974">
              <w:marLeft w:val="0"/>
              <w:marRight w:val="0"/>
              <w:marTop w:val="0"/>
              <w:marBottom w:val="0"/>
              <w:divBdr>
                <w:top w:val="none" w:sz="0" w:space="0" w:color="auto"/>
                <w:left w:val="none" w:sz="0" w:space="0" w:color="auto"/>
                <w:bottom w:val="none" w:sz="0" w:space="0" w:color="auto"/>
                <w:right w:val="none" w:sz="0" w:space="0" w:color="auto"/>
              </w:divBdr>
            </w:div>
          </w:divsChild>
        </w:div>
        <w:div w:id="2144763234">
          <w:marLeft w:val="0"/>
          <w:marRight w:val="0"/>
          <w:marTop w:val="0"/>
          <w:marBottom w:val="0"/>
          <w:divBdr>
            <w:top w:val="none" w:sz="0" w:space="0" w:color="auto"/>
            <w:left w:val="none" w:sz="0" w:space="0" w:color="auto"/>
            <w:bottom w:val="none" w:sz="0" w:space="0" w:color="auto"/>
            <w:right w:val="none" w:sz="0" w:space="0" w:color="auto"/>
          </w:divBdr>
          <w:divsChild>
            <w:div w:id="207601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7833">
      <w:bodyDiv w:val="1"/>
      <w:marLeft w:val="0"/>
      <w:marRight w:val="0"/>
      <w:marTop w:val="0"/>
      <w:marBottom w:val="0"/>
      <w:divBdr>
        <w:top w:val="none" w:sz="0" w:space="0" w:color="auto"/>
        <w:left w:val="none" w:sz="0" w:space="0" w:color="auto"/>
        <w:bottom w:val="none" w:sz="0" w:space="0" w:color="auto"/>
        <w:right w:val="none" w:sz="0" w:space="0" w:color="auto"/>
      </w:divBdr>
      <w:divsChild>
        <w:div w:id="388462110">
          <w:marLeft w:val="0"/>
          <w:marRight w:val="0"/>
          <w:marTop w:val="0"/>
          <w:marBottom w:val="0"/>
          <w:divBdr>
            <w:top w:val="none" w:sz="0" w:space="0" w:color="auto"/>
            <w:left w:val="none" w:sz="0" w:space="0" w:color="auto"/>
            <w:bottom w:val="none" w:sz="0" w:space="0" w:color="auto"/>
            <w:right w:val="none" w:sz="0" w:space="0" w:color="auto"/>
          </w:divBdr>
          <w:divsChild>
            <w:div w:id="1869298512">
              <w:marLeft w:val="-75"/>
              <w:marRight w:val="0"/>
              <w:marTop w:val="30"/>
              <w:marBottom w:val="30"/>
              <w:divBdr>
                <w:top w:val="none" w:sz="0" w:space="0" w:color="auto"/>
                <w:left w:val="none" w:sz="0" w:space="0" w:color="auto"/>
                <w:bottom w:val="none" w:sz="0" w:space="0" w:color="auto"/>
                <w:right w:val="none" w:sz="0" w:space="0" w:color="auto"/>
              </w:divBdr>
              <w:divsChild>
                <w:div w:id="76443067">
                  <w:marLeft w:val="0"/>
                  <w:marRight w:val="0"/>
                  <w:marTop w:val="0"/>
                  <w:marBottom w:val="0"/>
                  <w:divBdr>
                    <w:top w:val="none" w:sz="0" w:space="0" w:color="auto"/>
                    <w:left w:val="none" w:sz="0" w:space="0" w:color="auto"/>
                    <w:bottom w:val="none" w:sz="0" w:space="0" w:color="auto"/>
                    <w:right w:val="none" w:sz="0" w:space="0" w:color="auto"/>
                  </w:divBdr>
                  <w:divsChild>
                    <w:div w:id="947473206">
                      <w:marLeft w:val="0"/>
                      <w:marRight w:val="0"/>
                      <w:marTop w:val="0"/>
                      <w:marBottom w:val="0"/>
                      <w:divBdr>
                        <w:top w:val="none" w:sz="0" w:space="0" w:color="auto"/>
                        <w:left w:val="none" w:sz="0" w:space="0" w:color="auto"/>
                        <w:bottom w:val="none" w:sz="0" w:space="0" w:color="auto"/>
                        <w:right w:val="none" w:sz="0" w:space="0" w:color="auto"/>
                      </w:divBdr>
                    </w:div>
                  </w:divsChild>
                </w:div>
                <w:div w:id="334266262">
                  <w:marLeft w:val="0"/>
                  <w:marRight w:val="0"/>
                  <w:marTop w:val="0"/>
                  <w:marBottom w:val="0"/>
                  <w:divBdr>
                    <w:top w:val="none" w:sz="0" w:space="0" w:color="auto"/>
                    <w:left w:val="none" w:sz="0" w:space="0" w:color="auto"/>
                    <w:bottom w:val="none" w:sz="0" w:space="0" w:color="auto"/>
                    <w:right w:val="none" w:sz="0" w:space="0" w:color="auto"/>
                  </w:divBdr>
                  <w:divsChild>
                    <w:div w:id="1958635511">
                      <w:marLeft w:val="0"/>
                      <w:marRight w:val="0"/>
                      <w:marTop w:val="0"/>
                      <w:marBottom w:val="0"/>
                      <w:divBdr>
                        <w:top w:val="none" w:sz="0" w:space="0" w:color="auto"/>
                        <w:left w:val="none" w:sz="0" w:space="0" w:color="auto"/>
                        <w:bottom w:val="none" w:sz="0" w:space="0" w:color="auto"/>
                        <w:right w:val="none" w:sz="0" w:space="0" w:color="auto"/>
                      </w:divBdr>
                    </w:div>
                  </w:divsChild>
                </w:div>
                <w:div w:id="864171292">
                  <w:marLeft w:val="0"/>
                  <w:marRight w:val="0"/>
                  <w:marTop w:val="0"/>
                  <w:marBottom w:val="0"/>
                  <w:divBdr>
                    <w:top w:val="none" w:sz="0" w:space="0" w:color="auto"/>
                    <w:left w:val="none" w:sz="0" w:space="0" w:color="auto"/>
                    <w:bottom w:val="none" w:sz="0" w:space="0" w:color="auto"/>
                    <w:right w:val="none" w:sz="0" w:space="0" w:color="auto"/>
                  </w:divBdr>
                  <w:divsChild>
                    <w:div w:id="1524979132">
                      <w:marLeft w:val="0"/>
                      <w:marRight w:val="0"/>
                      <w:marTop w:val="0"/>
                      <w:marBottom w:val="0"/>
                      <w:divBdr>
                        <w:top w:val="none" w:sz="0" w:space="0" w:color="auto"/>
                        <w:left w:val="none" w:sz="0" w:space="0" w:color="auto"/>
                        <w:bottom w:val="none" w:sz="0" w:space="0" w:color="auto"/>
                        <w:right w:val="none" w:sz="0" w:space="0" w:color="auto"/>
                      </w:divBdr>
                    </w:div>
                  </w:divsChild>
                </w:div>
                <w:div w:id="946159372">
                  <w:marLeft w:val="0"/>
                  <w:marRight w:val="0"/>
                  <w:marTop w:val="0"/>
                  <w:marBottom w:val="0"/>
                  <w:divBdr>
                    <w:top w:val="none" w:sz="0" w:space="0" w:color="auto"/>
                    <w:left w:val="none" w:sz="0" w:space="0" w:color="auto"/>
                    <w:bottom w:val="none" w:sz="0" w:space="0" w:color="auto"/>
                    <w:right w:val="none" w:sz="0" w:space="0" w:color="auto"/>
                  </w:divBdr>
                  <w:divsChild>
                    <w:div w:id="607278171">
                      <w:marLeft w:val="0"/>
                      <w:marRight w:val="0"/>
                      <w:marTop w:val="0"/>
                      <w:marBottom w:val="0"/>
                      <w:divBdr>
                        <w:top w:val="none" w:sz="0" w:space="0" w:color="auto"/>
                        <w:left w:val="none" w:sz="0" w:space="0" w:color="auto"/>
                        <w:bottom w:val="none" w:sz="0" w:space="0" w:color="auto"/>
                        <w:right w:val="none" w:sz="0" w:space="0" w:color="auto"/>
                      </w:divBdr>
                    </w:div>
                  </w:divsChild>
                </w:div>
                <w:div w:id="1292252633">
                  <w:marLeft w:val="0"/>
                  <w:marRight w:val="0"/>
                  <w:marTop w:val="0"/>
                  <w:marBottom w:val="0"/>
                  <w:divBdr>
                    <w:top w:val="none" w:sz="0" w:space="0" w:color="auto"/>
                    <w:left w:val="none" w:sz="0" w:space="0" w:color="auto"/>
                    <w:bottom w:val="none" w:sz="0" w:space="0" w:color="auto"/>
                    <w:right w:val="none" w:sz="0" w:space="0" w:color="auto"/>
                  </w:divBdr>
                  <w:divsChild>
                    <w:div w:id="802505634">
                      <w:marLeft w:val="0"/>
                      <w:marRight w:val="0"/>
                      <w:marTop w:val="0"/>
                      <w:marBottom w:val="0"/>
                      <w:divBdr>
                        <w:top w:val="none" w:sz="0" w:space="0" w:color="auto"/>
                        <w:left w:val="none" w:sz="0" w:space="0" w:color="auto"/>
                        <w:bottom w:val="none" w:sz="0" w:space="0" w:color="auto"/>
                        <w:right w:val="none" w:sz="0" w:space="0" w:color="auto"/>
                      </w:divBdr>
                    </w:div>
                  </w:divsChild>
                </w:div>
                <w:div w:id="1460950647">
                  <w:marLeft w:val="0"/>
                  <w:marRight w:val="0"/>
                  <w:marTop w:val="0"/>
                  <w:marBottom w:val="0"/>
                  <w:divBdr>
                    <w:top w:val="none" w:sz="0" w:space="0" w:color="auto"/>
                    <w:left w:val="none" w:sz="0" w:space="0" w:color="auto"/>
                    <w:bottom w:val="none" w:sz="0" w:space="0" w:color="auto"/>
                    <w:right w:val="none" w:sz="0" w:space="0" w:color="auto"/>
                  </w:divBdr>
                  <w:divsChild>
                    <w:div w:id="1273896454">
                      <w:marLeft w:val="0"/>
                      <w:marRight w:val="0"/>
                      <w:marTop w:val="0"/>
                      <w:marBottom w:val="0"/>
                      <w:divBdr>
                        <w:top w:val="none" w:sz="0" w:space="0" w:color="auto"/>
                        <w:left w:val="none" w:sz="0" w:space="0" w:color="auto"/>
                        <w:bottom w:val="none" w:sz="0" w:space="0" w:color="auto"/>
                        <w:right w:val="none" w:sz="0" w:space="0" w:color="auto"/>
                      </w:divBdr>
                    </w:div>
                  </w:divsChild>
                </w:div>
                <w:div w:id="1491486779">
                  <w:marLeft w:val="0"/>
                  <w:marRight w:val="0"/>
                  <w:marTop w:val="0"/>
                  <w:marBottom w:val="0"/>
                  <w:divBdr>
                    <w:top w:val="none" w:sz="0" w:space="0" w:color="auto"/>
                    <w:left w:val="none" w:sz="0" w:space="0" w:color="auto"/>
                    <w:bottom w:val="none" w:sz="0" w:space="0" w:color="auto"/>
                    <w:right w:val="none" w:sz="0" w:space="0" w:color="auto"/>
                  </w:divBdr>
                  <w:divsChild>
                    <w:div w:id="1306009091">
                      <w:marLeft w:val="0"/>
                      <w:marRight w:val="0"/>
                      <w:marTop w:val="0"/>
                      <w:marBottom w:val="0"/>
                      <w:divBdr>
                        <w:top w:val="none" w:sz="0" w:space="0" w:color="auto"/>
                        <w:left w:val="none" w:sz="0" w:space="0" w:color="auto"/>
                        <w:bottom w:val="none" w:sz="0" w:space="0" w:color="auto"/>
                        <w:right w:val="none" w:sz="0" w:space="0" w:color="auto"/>
                      </w:divBdr>
                    </w:div>
                  </w:divsChild>
                </w:div>
                <w:div w:id="1936741972">
                  <w:marLeft w:val="0"/>
                  <w:marRight w:val="0"/>
                  <w:marTop w:val="0"/>
                  <w:marBottom w:val="0"/>
                  <w:divBdr>
                    <w:top w:val="none" w:sz="0" w:space="0" w:color="auto"/>
                    <w:left w:val="none" w:sz="0" w:space="0" w:color="auto"/>
                    <w:bottom w:val="none" w:sz="0" w:space="0" w:color="auto"/>
                    <w:right w:val="none" w:sz="0" w:space="0" w:color="auto"/>
                  </w:divBdr>
                  <w:divsChild>
                    <w:div w:id="2366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0326">
          <w:marLeft w:val="0"/>
          <w:marRight w:val="0"/>
          <w:marTop w:val="0"/>
          <w:marBottom w:val="0"/>
          <w:divBdr>
            <w:top w:val="none" w:sz="0" w:space="0" w:color="auto"/>
            <w:left w:val="none" w:sz="0" w:space="0" w:color="auto"/>
            <w:bottom w:val="none" w:sz="0" w:space="0" w:color="auto"/>
            <w:right w:val="none" w:sz="0" w:space="0" w:color="auto"/>
          </w:divBdr>
          <w:divsChild>
            <w:div w:id="32269420">
              <w:marLeft w:val="0"/>
              <w:marRight w:val="0"/>
              <w:marTop w:val="0"/>
              <w:marBottom w:val="0"/>
              <w:divBdr>
                <w:top w:val="none" w:sz="0" w:space="0" w:color="auto"/>
                <w:left w:val="none" w:sz="0" w:space="0" w:color="auto"/>
                <w:bottom w:val="none" w:sz="0" w:space="0" w:color="auto"/>
                <w:right w:val="none" w:sz="0" w:space="0" w:color="auto"/>
              </w:divBdr>
            </w:div>
            <w:div w:id="122775398">
              <w:marLeft w:val="0"/>
              <w:marRight w:val="0"/>
              <w:marTop w:val="0"/>
              <w:marBottom w:val="0"/>
              <w:divBdr>
                <w:top w:val="none" w:sz="0" w:space="0" w:color="auto"/>
                <w:left w:val="none" w:sz="0" w:space="0" w:color="auto"/>
                <w:bottom w:val="none" w:sz="0" w:space="0" w:color="auto"/>
                <w:right w:val="none" w:sz="0" w:space="0" w:color="auto"/>
              </w:divBdr>
            </w:div>
            <w:div w:id="124398114">
              <w:marLeft w:val="0"/>
              <w:marRight w:val="0"/>
              <w:marTop w:val="0"/>
              <w:marBottom w:val="0"/>
              <w:divBdr>
                <w:top w:val="none" w:sz="0" w:space="0" w:color="auto"/>
                <w:left w:val="none" w:sz="0" w:space="0" w:color="auto"/>
                <w:bottom w:val="none" w:sz="0" w:space="0" w:color="auto"/>
                <w:right w:val="none" w:sz="0" w:space="0" w:color="auto"/>
              </w:divBdr>
            </w:div>
            <w:div w:id="226500497">
              <w:marLeft w:val="0"/>
              <w:marRight w:val="0"/>
              <w:marTop w:val="0"/>
              <w:marBottom w:val="0"/>
              <w:divBdr>
                <w:top w:val="none" w:sz="0" w:space="0" w:color="auto"/>
                <w:left w:val="none" w:sz="0" w:space="0" w:color="auto"/>
                <w:bottom w:val="none" w:sz="0" w:space="0" w:color="auto"/>
                <w:right w:val="none" w:sz="0" w:space="0" w:color="auto"/>
              </w:divBdr>
            </w:div>
            <w:div w:id="258493744">
              <w:marLeft w:val="0"/>
              <w:marRight w:val="0"/>
              <w:marTop w:val="0"/>
              <w:marBottom w:val="0"/>
              <w:divBdr>
                <w:top w:val="none" w:sz="0" w:space="0" w:color="auto"/>
                <w:left w:val="none" w:sz="0" w:space="0" w:color="auto"/>
                <w:bottom w:val="none" w:sz="0" w:space="0" w:color="auto"/>
                <w:right w:val="none" w:sz="0" w:space="0" w:color="auto"/>
              </w:divBdr>
            </w:div>
            <w:div w:id="502664275">
              <w:marLeft w:val="0"/>
              <w:marRight w:val="0"/>
              <w:marTop w:val="0"/>
              <w:marBottom w:val="0"/>
              <w:divBdr>
                <w:top w:val="none" w:sz="0" w:space="0" w:color="auto"/>
                <w:left w:val="none" w:sz="0" w:space="0" w:color="auto"/>
                <w:bottom w:val="none" w:sz="0" w:space="0" w:color="auto"/>
                <w:right w:val="none" w:sz="0" w:space="0" w:color="auto"/>
              </w:divBdr>
            </w:div>
            <w:div w:id="523909724">
              <w:marLeft w:val="0"/>
              <w:marRight w:val="0"/>
              <w:marTop w:val="0"/>
              <w:marBottom w:val="0"/>
              <w:divBdr>
                <w:top w:val="none" w:sz="0" w:space="0" w:color="auto"/>
                <w:left w:val="none" w:sz="0" w:space="0" w:color="auto"/>
                <w:bottom w:val="none" w:sz="0" w:space="0" w:color="auto"/>
                <w:right w:val="none" w:sz="0" w:space="0" w:color="auto"/>
              </w:divBdr>
            </w:div>
            <w:div w:id="565184394">
              <w:marLeft w:val="0"/>
              <w:marRight w:val="0"/>
              <w:marTop w:val="0"/>
              <w:marBottom w:val="0"/>
              <w:divBdr>
                <w:top w:val="none" w:sz="0" w:space="0" w:color="auto"/>
                <w:left w:val="none" w:sz="0" w:space="0" w:color="auto"/>
                <w:bottom w:val="none" w:sz="0" w:space="0" w:color="auto"/>
                <w:right w:val="none" w:sz="0" w:space="0" w:color="auto"/>
              </w:divBdr>
            </w:div>
            <w:div w:id="598374727">
              <w:marLeft w:val="0"/>
              <w:marRight w:val="0"/>
              <w:marTop w:val="0"/>
              <w:marBottom w:val="0"/>
              <w:divBdr>
                <w:top w:val="none" w:sz="0" w:space="0" w:color="auto"/>
                <w:left w:val="none" w:sz="0" w:space="0" w:color="auto"/>
                <w:bottom w:val="none" w:sz="0" w:space="0" w:color="auto"/>
                <w:right w:val="none" w:sz="0" w:space="0" w:color="auto"/>
              </w:divBdr>
            </w:div>
            <w:div w:id="758911144">
              <w:marLeft w:val="0"/>
              <w:marRight w:val="0"/>
              <w:marTop w:val="0"/>
              <w:marBottom w:val="0"/>
              <w:divBdr>
                <w:top w:val="none" w:sz="0" w:space="0" w:color="auto"/>
                <w:left w:val="none" w:sz="0" w:space="0" w:color="auto"/>
                <w:bottom w:val="none" w:sz="0" w:space="0" w:color="auto"/>
                <w:right w:val="none" w:sz="0" w:space="0" w:color="auto"/>
              </w:divBdr>
            </w:div>
            <w:div w:id="766581487">
              <w:marLeft w:val="0"/>
              <w:marRight w:val="0"/>
              <w:marTop w:val="0"/>
              <w:marBottom w:val="0"/>
              <w:divBdr>
                <w:top w:val="none" w:sz="0" w:space="0" w:color="auto"/>
                <w:left w:val="none" w:sz="0" w:space="0" w:color="auto"/>
                <w:bottom w:val="none" w:sz="0" w:space="0" w:color="auto"/>
                <w:right w:val="none" w:sz="0" w:space="0" w:color="auto"/>
              </w:divBdr>
            </w:div>
            <w:div w:id="985427533">
              <w:marLeft w:val="0"/>
              <w:marRight w:val="0"/>
              <w:marTop w:val="0"/>
              <w:marBottom w:val="0"/>
              <w:divBdr>
                <w:top w:val="none" w:sz="0" w:space="0" w:color="auto"/>
                <w:left w:val="none" w:sz="0" w:space="0" w:color="auto"/>
                <w:bottom w:val="none" w:sz="0" w:space="0" w:color="auto"/>
                <w:right w:val="none" w:sz="0" w:space="0" w:color="auto"/>
              </w:divBdr>
            </w:div>
            <w:div w:id="1045368256">
              <w:marLeft w:val="0"/>
              <w:marRight w:val="0"/>
              <w:marTop w:val="0"/>
              <w:marBottom w:val="0"/>
              <w:divBdr>
                <w:top w:val="none" w:sz="0" w:space="0" w:color="auto"/>
                <w:left w:val="none" w:sz="0" w:space="0" w:color="auto"/>
                <w:bottom w:val="none" w:sz="0" w:space="0" w:color="auto"/>
                <w:right w:val="none" w:sz="0" w:space="0" w:color="auto"/>
              </w:divBdr>
            </w:div>
            <w:div w:id="1075779412">
              <w:marLeft w:val="0"/>
              <w:marRight w:val="0"/>
              <w:marTop w:val="0"/>
              <w:marBottom w:val="0"/>
              <w:divBdr>
                <w:top w:val="none" w:sz="0" w:space="0" w:color="auto"/>
                <w:left w:val="none" w:sz="0" w:space="0" w:color="auto"/>
                <w:bottom w:val="none" w:sz="0" w:space="0" w:color="auto"/>
                <w:right w:val="none" w:sz="0" w:space="0" w:color="auto"/>
              </w:divBdr>
            </w:div>
            <w:div w:id="1095441329">
              <w:marLeft w:val="0"/>
              <w:marRight w:val="0"/>
              <w:marTop w:val="0"/>
              <w:marBottom w:val="0"/>
              <w:divBdr>
                <w:top w:val="none" w:sz="0" w:space="0" w:color="auto"/>
                <w:left w:val="none" w:sz="0" w:space="0" w:color="auto"/>
                <w:bottom w:val="none" w:sz="0" w:space="0" w:color="auto"/>
                <w:right w:val="none" w:sz="0" w:space="0" w:color="auto"/>
              </w:divBdr>
            </w:div>
            <w:div w:id="1113862662">
              <w:marLeft w:val="0"/>
              <w:marRight w:val="0"/>
              <w:marTop w:val="0"/>
              <w:marBottom w:val="0"/>
              <w:divBdr>
                <w:top w:val="none" w:sz="0" w:space="0" w:color="auto"/>
                <w:left w:val="none" w:sz="0" w:space="0" w:color="auto"/>
                <w:bottom w:val="none" w:sz="0" w:space="0" w:color="auto"/>
                <w:right w:val="none" w:sz="0" w:space="0" w:color="auto"/>
              </w:divBdr>
            </w:div>
            <w:div w:id="1279338892">
              <w:marLeft w:val="0"/>
              <w:marRight w:val="0"/>
              <w:marTop w:val="0"/>
              <w:marBottom w:val="0"/>
              <w:divBdr>
                <w:top w:val="none" w:sz="0" w:space="0" w:color="auto"/>
                <w:left w:val="none" w:sz="0" w:space="0" w:color="auto"/>
                <w:bottom w:val="none" w:sz="0" w:space="0" w:color="auto"/>
                <w:right w:val="none" w:sz="0" w:space="0" w:color="auto"/>
              </w:divBdr>
            </w:div>
            <w:div w:id="1572034303">
              <w:marLeft w:val="0"/>
              <w:marRight w:val="0"/>
              <w:marTop w:val="0"/>
              <w:marBottom w:val="0"/>
              <w:divBdr>
                <w:top w:val="none" w:sz="0" w:space="0" w:color="auto"/>
                <w:left w:val="none" w:sz="0" w:space="0" w:color="auto"/>
                <w:bottom w:val="none" w:sz="0" w:space="0" w:color="auto"/>
                <w:right w:val="none" w:sz="0" w:space="0" w:color="auto"/>
              </w:divBdr>
            </w:div>
            <w:div w:id="1817914125">
              <w:marLeft w:val="0"/>
              <w:marRight w:val="0"/>
              <w:marTop w:val="0"/>
              <w:marBottom w:val="0"/>
              <w:divBdr>
                <w:top w:val="none" w:sz="0" w:space="0" w:color="auto"/>
                <w:left w:val="none" w:sz="0" w:space="0" w:color="auto"/>
                <w:bottom w:val="none" w:sz="0" w:space="0" w:color="auto"/>
                <w:right w:val="none" w:sz="0" w:space="0" w:color="auto"/>
              </w:divBdr>
            </w:div>
            <w:div w:id="2090232477">
              <w:marLeft w:val="0"/>
              <w:marRight w:val="0"/>
              <w:marTop w:val="0"/>
              <w:marBottom w:val="0"/>
              <w:divBdr>
                <w:top w:val="none" w:sz="0" w:space="0" w:color="auto"/>
                <w:left w:val="none" w:sz="0" w:space="0" w:color="auto"/>
                <w:bottom w:val="none" w:sz="0" w:space="0" w:color="auto"/>
                <w:right w:val="none" w:sz="0" w:space="0" w:color="auto"/>
              </w:divBdr>
            </w:div>
          </w:divsChild>
        </w:div>
        <w:div w:id="701170578">
          <w:marLeft w:val="0"/>
          <w:marRight w:val="0"/>
          <w:marTop w:val="0"/>
          <w:marBottom w:val="0"/>
          <w:divBdr>
            <w:top w:val="none" w:sz="0" w:space="0" w:color="auto"/>
            <w:left w:val="none" w:sz="0" w:space="0" w:color="auto"/>
            <w:bottom w:val="none" w:sz="0" w:space="0" w:color="auto"/>
            <w:right w:val="none" w:sz="0" w:space="0" w:color="auto"/>
          </w:divBdr>
          <w:divsChild>
            <w:div w:id="131798740">
              <w:marLeft w:val="0"/>
              <w:marRight w:val="0"/>
              <w:marTop w:val="0"/>
              <w:marBottom w:val="0"/>
              <w:divBdr>
                <w:top w:val="none" w:sz="0" w:space="0" w:color="auto"/>
                <w:left w:val="none" w:sz="0" w:space="0" w:color="auto"/>
                <w:bottom w:val="none" w:sz="0" w:space="0" w:color="auto"/>
                <w:right w:val="none" w:sz="0" w:space="0" w:color="auto"/>
              </w:divBdr>
            </w:div>
            <w:div w:id="220869792">
              <w:marLeft w:val="0"/>
              <w:marRight w:val="0"/>
              <w:marTop w:val="0"/>
              <w:marBottom w:val="0"/>
              <w:divBdr>
                <w:top w:val="none" w:sz="0" w:space="0" w:color="auto"/>
                <w:left w:val="none" w:sz="0" w:space="0" w:color="auto"/>
                <w:bottom w:val="none" w:sz="0" w:space="0" w:color="auto"/>
                <w:right w:val="none" w:sz="0" w:space="0" w:color="auto"/>
              </w:divBdr>
            </w:div>
            <w:div w:id="431896696">
              <w:marLeft w:val="0"/>
              <w:marRight w:val="0"/>
              <w:marTop w:val="0"/>
              <w:marBottom w:val="0"/>
              <w:divBdr>
                <w:top w:val="none" w:sz="0" w:space="0" w:color="auto"/>
                <w:left w:val="none" w:sz="0" w:space="0" w:color="auto"/>
                <w:bottom w:val="none" w:sz="0" w:space="0" w:color="auto"/>
                <w:right w:val="none" w:sz="0" w:space="0" w:color="auto"/>
              </w:divBdr>
            </w:div>
            <w:div w:id="670303571">
              <w:marLeft w:val="0"/>
              <w:marRight w:val="0"/>
              <w:marTop w:val="0"/>
              <w:marBottom w:val="0"/>
              <w:divBdr>
                <w:top w:val="none" w:sz="0" w:space="0" w:color="auto"/>
                <w:left w:val="none" w:sz="0" w:space="0" w:color="auto"/>
                <w:bottom w:val="none" w:sz="0" w:space="0" w:color="auto"/>
                <w:right w:val="none" w:sz="0" w:space="0" w:color="auto"/>
              </w:divBdr>
            </w:div>
            <w:div w:id="741414903">
              <w:marLeft w:val="0"/>
              <w:marRight w:val="0"/>
              <w:marTop w:val="0"/>
              <w:marBottom w:val="0"/>
              <w:divBdr>
                <w:top w:val="none" w:sz="0" w:space="0" w:color="auto"/>
                <w:left w:val="none" w:sz="0" w:space="0" w:color="auto"/>
                <w:bottom w:val="none" w:sz="0" w:space="0" w:color="auto"/>
                <w:right w:val="none" w:sz="0" w:space="0" w:color="auto"/>
              </w:divBdr>
            </w:div>
            <w:div w:id="801074638">
              <w:marLeft w:val="0"/>
              <w:marRight w:val="0"/>
              <w:marTop w:val="0"/>
              <w:marBottom w:val="0"/>
              <w:divBdr>
                <w:top w:val="none" w:sz="0" w:space="0" w:color="auto"/>
                <w:left w:val="none" w:sz="0" w:space="0" w:color="auto"/>
                <w:bottom w:val="none" w:sz="0" w:space="0" w:color="auto"/>
                <w:right w:val="none" w:sz="0" w:space="0" w:color="auto"/>
              </w:divBdr>
            </w:div>
            <w:div w:id="845166651">
              <w:marLeft w:val="0"/>
              <w:marRight w:val="0"/>
              <w:marTop w:val="0"/>
              <w:marBottom w:val="0"/>
              <w:divBdr>
                <w:top w:val="none" w:sz="0" w:space="0" w:color="auto"/>
                <w:left w:val="none" w:sz="0" w:space="0" w:color="auto"/>
                <w:bottom w:val="none" w:sz="0" w:space="0" w:color="auto"/>
                <w:right w:val="none" w:sz="0" w:space="0" w:color="auto"/>
              </w:divBdr>
            </w:div>
            <w:div w:id="998313679">
              <w:marLeft w:val="0"/>
              <w:marRight w:val="0"/>
              <w:marTop w:val="0"/>
              <w:marBottom w:val="0"/>
              <w:divBdr>
                <w:top w:val="none" w:sz="0" w:space="0" w:color="auto"/>
                <w:left w:val="none" w:sz="0" w:space="0" w:color="auto"/>
                <w:bottom w:val="none" w:sz="0" w:space="0" w:color="auto"/>
                <w:right w:val="none" w:sz="0" w:space="0" w:color="auto"/>
              </w:divBdr>
            </w:div>
            <w:div w:id="1032682545">
              <w:marLeft w:val="0"/>
              <w:marRight w:val="0"/>
              <w:marTop w:val="0"/>
              <w:marBottom w:val="0"/>
              <w:divBdr>
                <w:top w:val="none" w:sz="0" w:space="0" w:color="auto"/>
                <w:left w:val="none" w:sz="0" w:space="0" w:color="auto"/>
                <w:bottom w:val="none" w:sz="0" w:space="0" w:color="auto"/>
                <w:right w:val="none" w:sz="0" w:space="0" w:color="auto"/>
              </w:divBdr>
            </w:div>
            <w:div w:id="1168669228">
              <w:marLeft w:val="0"/>
              <w:marRight w:val="0"/>
              <w:marTop w:val="0"/>
              <w:marBottom w:val="0"/>
              <w:divBdr>
                <w:top w:val="none" w:sz="0" w:space="0" w:color="auto"/>
                <w:left w:val="none" w:sz="0" w:space="0" w:color="auto"/>
                <w:bottom w:val="none" w:sz="0" w:space="0" w:color="auto"/>
                <w:right w:val="none" w:sz="0" w:space="0" w:color="auto"/>
              </w:divBdr>
            </w:div>
            <w:div w:id="1258636230">
              <w:marLeft w:val="0"/>
              <w:marRight w:val="0"/>
              <w:marTop w:val="0"/>
              <w:marBottom w:val="0"/>
              <w:divBdr>
                <w:top w:val="none" w:sz="0" w:space="0" w:color="auto"/>
                <w:left w:val="none" w:sz="0" w:space="0" w:color="auto"/>
                <w:bottom w:val="none" w:sz="0" w:space="0" w:color="auto"/>
                <w:right w:val="none" w:sz="0" w:space="0" w:color="auto"/>
              </w:divBdr>
            </w:div>
            <w:div w:id="1380939495">
              <w:marLeft w:val="0"/>
              <w:marRight w:val="0"/>
              <w:marTop w:val="0"/>
              <w:marBottom w:val="0"/>
              <w:divBdr>
                <w:top w:val="none" w:sz="0" w:space="0" w:color="auto"/>
                <w:left w:val="none" w:sz="0" w:space="0" w:color="auto"/>
                <w:bottom w:val="none" w:sz="0" w:space="0" w:color="auto"/>
                <w:right w:val="none" w:sz="0" w:space="0" w:color="auto"/>
              </w:divBdr>
            </w:div>
            <w:div w:id="1394694035">
              <w:marLeft w:val="0"/>
              <w:marRight w:val="0"/>
              <w:marTop w:val="0"/>
              <w:marBottom w:val="0"/>
              <w:divBdr>
                <w:top w:val="none" w:sz="0" w:space="0" w:color="auto"/>
                <w:left w:val="none" w:sz="0" w:space="0" w:color="auto"/>
                <w:bottom w:val="none" w:sz="0" w:space="0" w:color="auto"/>
                <w:right w:val="none" w:sz="0" w:space="0" w:color="auto"/>
              </w:divBdr>
            </w:div>
            <w:div w:id="1538397930">
              <w:marLeft w:val="0"/>
              <w:marRight w:val="0"/>
              <w:marTop w:val="0"/>
              <w:marBottom w:val="0"/>
              <w:divBdr>
                <w:top w:val="none" w:sz="0" w:space="0" w:color="auto"/>
                <w:left w:val="none" w:sz="0" w:space="0" w:color="auto"/>
                <w:bottom w:val="none" w:sz="0" w:space="0" w:color="auto"/>
                <w:right w:val="none" w:sz="0" w:space="0" w:color="auto"/>
              </w:divBdr>
            </w:div>
            <w:div w:id="1594969367">
              <w:marLeft w:val="0"/>
              <w:marRight w:val="0"/>
              <w:marTop w:val="0"/>
              <w:marBottom w:val="0"/>
              <w:divBdr>
                <w:top w:val="none" w:sz="0" w:space="0" w:color="auto"/>
                <w:left w:val="none" w:sz="0" w:space="0" w:color="auto"/>
                <w:bottom w:val="none" w:sz="0" w:space="0" w:color="auto"/>
                <w:right w:val="none" w:sz="0" w:space="0" w:color="auto"/>
              </w:divBdr>
            </w:div>
            <w:div w:id="1616062345">
              <w:marLeft w:val="0"/>
              <w:marRight w:val="0"/>
              <w:marTop w:val="0"/>
              <w:marBottom w:val="0"/>
              <w:divBdr>
                <w:top w:val="none" w:sz="0" w:space="0" w:color="auto"/>
                <w:left w:val="none" w:sz="0" w:space="0" w:color="auto"/>
                <w:bottom w:val="none" w:sz="0" w:space="0" w:color="auto"/>
                <w:right w:val="none" w:sz="0" w:space="0" w:color="auto"/>
              </w:divBdr>
            </w:div>
            <w:div w:id="1860850846">
              <w:marLeft w:val="0"/>
              <w:marRight w:val="0"/>
              <w:marTop w:val="0"/>
              <w:marBottom w:val="0"/>
              <w:divBdr>
                <w:top w:val="none" w:sz="0" w:space="0" w:color="auto"/>
                <w:left w:val="none" w:sz="0" w:space="0" w:color="auto"/>
                <w:bottom w:val="none" w:sz="0" w:space="0" w:color="auto"/>
                <w:right w:val="none" w:sz="0" w:space="0" w:color="auto"/>
              </w:divBdr>
            </w:div>
            <w:div w:id="1910964773">
              <w:marLeft w:val="0"/>
              <w:marRight w:val="0"/>
              <w:marTop w:val="0"/>
              <w:marBottom w:val="0"/>
              <w:divBdr>
                <w:top w:val="none" w:sz="0" w:space="0" w:color="auto"/>
                <w:left w:val="none" w:sz="0" w:space="0" w:color="auto"/>
                <w:bottom w:val="none" w:sz="0" w:space="0" w:color="auto"/>
                <w:right w:val="none" w:sz="0" w:space="0" w:color="auto"/>
              </w:divBdr>
            </w:div>
            <w:div w:id="2005165811">
              <w:marLeft w:val="0"/>
              <w:marRight w:val="0"/>
              <w:marTop w:val="0"/>
              <w:marBottom w:val="0"/>
              <w:divBdr>
                <w:top w:val="none" w:sz="0" w:space="0" w:color="auto"/>
                <w:left w:val="none" w:sz="0" w:space="0" w:color="auto"/>
                <w:bottom w:val="none" w:sz="0" w:space="0" w:color="auto"/>
                <w:right w:val="none" w:sz="0" w:space="0" w:color="auto"/>
              </w:divBdr>
            </w:div>
            <w:div w:id="2107380623">
              <w:marLeft w:val="0"/>
              <w:marRight w:val="0"/>
              <w:marTop w:val="0"/>
              <w:marBottom w:val="0"/>
              <w:divBdr>
                <w:top w:val="none" w:sz="0" w:space="0" w:color="auto"/>
                <w:left w:val="none" w:sz="0" w:space="0" w:color="auto"/>
                <w:bottom w:val="none" w:sz="0" w:space="0" w:color="auto"/>
                <w:right w:val="none" w:sz="0" w:space="0" w:color="auto"/>
              </w:divBdr>
            </w:div>
          </w:divsChild>
        </w:div>
        <w:div w:id="916399799">
          <w:marLeft w:val="0"/>
          <w:marRight w:val="0"/>
          <w:marTop w:val="0"/>
          <w:marBottom w:val="0"/>
          <w:divBdr>
            <w:top w:val="none" w:sz="0" w:space="0" w:color="auto"/>
            <w:left w:val="none" w:sz="0" w:space="0" w:color="auto"/>
            <w:bottom w:val="none" w:sz="0" w:space="0" w:color="auto"/>
            <w:right w:val="none" w:sz="0" w:space="0" w:color="auto"/>
          </w:divBdr>
          <w:divsChild>
            <w:div w:id="120347773">
              <w:marLeft w:val="0"/>
              <w:marRight w:val="0"/>
              <w:marTop w:val="0"/>
              <w:marBottom w:val="0"/>
              <w:divBdr>
                <w:top w:val="none" w:sz="0" w:space="0" w:color="auto"/>
                <w:left w:val="none" w:sz="0" w:space="0" w:color="auto"/>
                <w:bottom w:val="none" w:sz="0" w:space="0" w:color="auto"/>
                <w:right w:val="none" w:sz="0" w:space="0" w:color="auto"/>
              </w:divBdr>
            </w:div>
            <w:div w:id="131218401">
              <w:marLeft w:val="0"/>
              <w:marRight w:val="0"/>
              <w:marTop w:val="0"/>
              <w:marBottom w:val="0"/>
              <w:divBdr>
                <w:top w:val="none" w:sz="0" w:space="0" w:color="auto"/>
                <w:left w:val="none" w:sz="0" w:space="0" w:color="auto"/>
                <w:bottom w:val="none" w:sz="0" w:space="0" w:color="auto"/>
                <w:right w:val="none" w:sz="0" w:space="0" w:color="auto"/>
              </w:divBdr>
            </w:div>
            <w:div w:id="137454767">
              <w:marLeft w:val="0"/>
              <w:marRight w:val="0"/>
              <w:marTop w:val="0"/>
              <w:marBottom w:val="0"/>
              <w:divBdr>
                <w:top w:val="none" w:sz="0" w:space="0" w:color="auto"/>
                <w:left w:val="none" w:sz="0" w:space="0" w:color="auto"/>
                <w:bottom w:val="none" w:sz="0" w:space="0" w:color="auto"/>
                <w:right w:val="none" w:sz="0" w:space="0" w:color="auto"/>
              </w:divBdr>
            </w:div>
            <w:div w:id="793014608">
              <w:marLeft w:val="0"/>
              <w:marRight w:val="0"/>
              <w:marTop w:val="0"/>
              <w:marBottom w:val="0"/>
              <w:divBdr>
                <w:top w:val="none" w:sz="0" w:space="0" w:color="auto"/>
                <w:left w:val="none" w:sz="0" w:space="0" w:color="auto"/>
                <w:bottom w:val="none" w:sz="0" w:space="0" w:color="auto"/>
                <w:right w:val="none" w:sz="0" w:space="0" w:color="auto"/>
              </w:divBdr>
            </w:div>
            <w:div w:id="843931958">
              <w:marLeft w:val="0"/>
              <w:marRight w:val="0"/>
              <w:marTop w:val="0"/>
              <w:marBottom w:val="0"/>
              <w:divBdr>
                <w:top w:val="none" w:sz="0" w:space="0" w:color="auto"/>
                <w:left w:val="none" w:sz="0" w:space="0" w:color="auto"/>
                <w:bottom w:val="none" w:sz="0" w:space="0" w:color="auto"/>
                <w:right w:val="none" w:sz="0" w:space="0" w:color="auto"/>
              </w:divBdr>
            </w:div>
            <w:div w:id="945575521">
              <w:marLeft w:val="0"/>
              <w:marRight w:val="0"/>
              <w:marTop w:val="0"/>
              <w:marBottom w:val="0"/>
              <w:divBdr>
                <w:top w:val="none" w:sz="0" w:space="0" w:color="auto"/>
                <w:left w:val="none" w:sz="0" w:space="0" w:color="auto"/>
                <w:bottom w:val="none" w:sz="0" w:space="0" w:color="auto"/>
                <w:right w:val="none" w:sz="0" w:space="0" w:color="auto"/>
              </w:divBdr>
            </w:div>
            <w:div w:id="953555321">
              <w:marLeft w:val="0"/>
              <w:marRight w:val="0"/>
              <w:marTop w:val="0"/>
              <w:marBottom w:val="0"/>
              <w:divBdr>
                <w:top w:val="none" w:sz="0" w:space="0" w:color="auto"/>
                <w:left w:val="none" w:sz="0" w:space="0" w:color="auto"/>
                <w:bottom w:val="none" w:sz="0" w:space="0" w:color="auto"/>
                <w:right w:val="none" w:sz="0" w:space="0" w:color="auto"/>
              </w:divBdr>
            </w:div>
            <w:div w:id="976372502">
              <w:marLeft w:val="0"/>
              <w:marRight w:val="0"/>
              <w:marTop w:val="0"/>
              <w:marBottom w:val="0"/>
              <w:divBdr>
                <w:top w:val="none" w:sz="0" w:space="0" w:color="auto"/>
                <w:left w:val="none" w:sz="0" w:space="0" w:color="auto"/>
                <w:bottom w:val="none" w:sz="0" w:space="0" w:color="auto"/>
                <w:right w:val="none" w:sz="0" w:space="0" w:color="auto"/>
              </w:divBdr>
            </w:div>
            <w:div w:id="1023095854">
              <w:marLeft w:val="0"/>
              <w:marRight w:val="0"/>
              <w:marTop w:val="0"/>
              <w:marBottom w:val="0"/>
              <w:divBdr>
                <w:top w:val="none" w:sz="0" w:space="0" w:color="auto"/>
                <w:left w:val="none" w:sz="0" w:space="0" w:color="auto"/>
                <w:bottom w:val="none" w:sz="0" w:space="0" w:color="auto"/>
                <w:right w:val="none" w:sz="0" w:space="0" w:color="auto"/>
              </w:divBdr>
            </w:div>
            <w:div w:id="1080063200">
              <w:marLeft w:val="0"/>
              <w:marRight w:val="0"/>
              <w:marTop w:val="0"/>
              <w:marBottom w:val="0"/>
              <w:divBdr>
                <w:top w:val="none" w:sz="0" w:space="0" w:color="auto"/>
                <w:left w:val="none" w:sz="0" w:space="0" w:color="auto"/>
                <w:bottom w:val="none" w:sz="0" w:space="0" w:color="auto"/>
                <w:right w:val="none" w:sz="0" w:space="0" w:color="auto"/>
              </w:divBdr>
            </w:div>
            <w:div w:id="1146969044">
              <w:marLeft w:val="0"/>
              <w:marRight w:val="0"/>
              <w:marTop w:val="0"/>
              <w:marBottom w:val="0"/>
              <w:divBdr>
                <w:top w:val="none" w:sz="0" w:space="0" w:color="auto"/>
                <w:left w:val="none" w:sz="0" w:space="0" w:color="auto"/>
                <w:bottom w:val="none" w:sz="0" w:space="0" w:color="auto"/>
                <w:right w:val="none" w:sz="0" w:space="0" w:color="auto"/>
              </w:divBdr>
            </w:div>
            <w:div w:id="1239899385">
              <w:marLeft w:val="0"/>
              <w:marRight w:val="0"/>
              <w:marTop w:val="0"/>
              <w:marBottom w:val="0"/>
              <w:divBdr>
                <w:top w:val="none" w:sz="0" w:space="0" w:color="auto"/>
                <w:left w:val="none" w:sz="0" w:space="0" w:color="auto"/>
                <w:bottom w:val="none" w:sz="0" w:space="0" w:color="auto"/>
                <w:right w:val="none" w:sz="0" w:space="0" w:color="auto"/>
              </w:divBdr>
            </w:div>
            <w:div w:id="1538665169">
              <w:marLeft w:val="0"/>
              <w:marRight w:val="0"/>
              <w:marTop w:val="0"/>
              <w:marBottom w:val="0"/>
              <w:divBdr>
                <w:top w:val="none" w:sz="0" w:space="0" w:color="auto"/>
                <w:left w:val="none" w:sz="0" w:space="0" w:color="auto"/>
                <w:bottom w:val="none" w:sz="0" w:space="0" w:color="auto"/>
                <w:right w:val="none" w:sz="0" w:space="0" w:color="auto"/>
              </w:divBdr>
            </w:div>
            <w:div w:id="1554652624">
              <w:marLeft w:val="0"/>
              <w:marRight w:val="0"/>
              <w:marTop w:val="0"/>
              <w:marBottom w:val="0"/>
              <w:divBdr>
                <w:top w:val="none" w:sz="0" w:space="0" w:color="auto"/>
                <w:left w:val="none" w:sz="0" w:space="0" w:color="auto"/>
                <w:bottom w:val="none" w:sz="0" w:space="0" w:color="auto"/>
                <w:right w:val="none" w:sz="0" w:space="0" w:color="auto"/>
              </w:divBdr>
            </w:div>
            <w:div w:id="1610771170">
              <w:marLeft w:val="0"/>
              <w:marRight w:val="0"/>
              <w:marTop w:val="0"/>
              <w:marBottom w:val="0"/>
              <w:divBdr>
                <w:top w:val="none" w:sz="0" w:space="0" w:color="auto"/>
                <w:left w:val="none" w:sz="0" w:space="0" w:color="auto"/>
                <w:bottom w:val="none" w:sz="0" w:space="0" w:color="auto"/>
                <w:right w:val="none" w:sz="0" w:space="0" w:color="auto"/>
              </w:divBdr>
            </w:div>
            <w:div w:id="1811245405">
              <w:marLeft w:val="0"/>
              <w:marRight w:val="0"/>
              <w:marTop w:val="0"/>
              <w:marBottom w:val="0"/>
              <w:divBdr>
                <w:top w:val="none" w:sz="0" w:space="0" w:color="auto"/>
                <w:left w:val="none" w:sz="0" w:space="0" w:color="auto"/>
                <w:bottom w:val="none" w:sz="0" w:space="0" w:color="auto"/>
                <w:right w:val="none" w:sz="0" w:space="0" w:color="auto"/>
              </w:divBdr>
            </w:div>
            <w:div w:id="1858038708">
              <w:marLeft w:val="0"/>
              <w:marRight w:val="0"/>
              <w:marTop w:val="0"/>
              <w:marBottom w:val="0"/>
              <w:divBdr>
                <w:top w:val="none" w:sz="0" w:space="0" w:color="auto"/>
                <w:left w:val="none" w:sz="0" w:space="0" w:color="auto"/>
                <w:bottom w:val="none" w:sz="0" w:space="0" w:color="auto"/>
                <w:right w:val="none" w:sz="0" w:space="0" w:color="auto"/>
              </w:divBdr>
            </w:div>
            <w:div w:id="2012368197">
              <w:marLeft w:val="0"/>
              <w:marRight w:val="0"/>
              <w:marTop w:val="0"/>
              <w:marBottom w:val="0"/>
              <w:divBdr>
                <w:top w:val="none" w:sz="0" w:space="0" w:color="auto"/>
                <w:left w:val="none" w:sz="0" w:space="0" w:color="auto"/>
                <w:bottom w:val="none" w:sz="0" w:space="0" w:color="auto"/>
                <w:right w:val="none" w:sz="0" w:space="0" w:color="auto"/>
              </w:divBdr>
            </w:div>
            <w:div w:id="2126270664">
              <w:marLeft w:val="0"/>
              <w:marRight w:val="0"/>
              <w:marTop w:val="0"/>
              <w:marBottom w:val="0"/>
              <w:divBdr>
                <w:top w:val="none" w:sz="0" w:space="0" w:color="auto"/>
                <w:left w:val="none" w:sz="0" w:space="0" w:color="auto"/>
                <w:bottom w:val="none" w:sz="0" w:space="0" w:color="auto"/>
                <w:right w:val="none" w:sz="0" w:space="0" w:color="auto"/>
              </w:divBdr>
            </w:div>
          </w:divsChild>
        </w:div>
        <w:div w:id="1721006076">
          <w:marLeft w:val="0"/>
          <w:marRight w:val="0"/>
          <w:marTop w:val="0"/>
          <w:marBottom w:val="0"/>
          <w:divBdr>
            <w:top w:val="none" w:sz="0" w:space="0" w:color="auto"/>
            <w:left w:val="none" w:sz="0" w:space="0" w:color="auto"/>
            <w:bottom w:val="none" w:sz="0" w:space="0" w:color="auto"/>
            <w:right w:val="none" w:sz="0" w:space="0" w:color="auto"/>
          </w:divBdr>
          <w:divsChild>
            <w:div w:id="32510279">
              <w:marLeft w:val="0"/>
              <w:marRight w:val="0"/>
              <w:marTop w:val="0"/>
              <w:marBottom w:val="0"/>
              <w:divBdr>
                <w:top w:val="none" w:sz="0" w:space="0" w:color="auto"/>
                <w:left w:val="none" w:sz="0" w:space="0" w:color="auto"/>
                <w:bottom w:val="none" w:sz="0" w:space="0" w:color="auto"/>
                <w:right w:val="none" w:sz="0" w:space="0" w:color="auto"/>
              </w:divBdr>
            </w:div>
            <w:div w:id="84958593">
              <w:marLeft w:val="0"/>
              <w:marRight w:val="0"/>
              <w:marTop w:val="0"/>
              <w:marBottom w:val="0"/>
              <w:divBdr>
                <w:top w:val="none" w:sz="0" w:space="0" w:color="auto"/>
                <w:left w:val="none" w:sz="0" w:space="0" w:color="auto"/>
                <w:bottom w:val="none" w:sz="0" w:space="0" w:color="auto"/>
                <w:right w:val="none" w:sz="0" w:space="0" w:color="auto"/>
              </w:divBdr>
            </w:div>
            <w:div w:id="114256290">
              <w:marLeft w:val="0"/>
              <w:marRight w:val="0"/>
              <w:marTop w:val="0"/>
              <w:marBottom w:val="0"/>
              <w:divBdr>
                <w:top w:val="none" w:sz="0" w:space="0" w:color="auto"/>
                <w:left w:val="none" w:sz="0" w:space="0" w:color="auto"/>
                <w:bottom w:val="none" w:sz="0" w:space="0" w:color="auto"/>
                <w:right w:val="none" w:sz="0" w:space="0" w:color="auto"/>
              </w:divBdr>
            </w:div>
            <w:div w:id="210768123">
              <w:marLeft w:val="0"/>
              <w:marRight w:val="0"/>
              <w:marTop w:val="0"/>
              <w:marBottom w:val="0"/>
              <w:divBdr>
                <w:top w:val="none" w:sz="0" w:space="0" w:color="auto"/>
                <w:left w:val="none" w:sz="0" w:space="0" w:color="auto"/>
                <w:bottom w:val="none" w:sz="0" w:space="0" w:color="auto"/>
                <w:right w:val="none" w:sz="0" w:space="0" w:color="auto"/>
              </w:divBdr>
            </w:div>
            <w:div w:id="210770427">
              <w:marLeft w:val="0"/>
              <w:marRight w:val="0"/>
              <w:marTop w:val="0"/>
              <w:marBottom w:val="0"/>
              <w:divBdr>
                <w:top w:val="none" w:sz="0" w:space="0" w:color="auto"/>
                <w:left w:val="none" w:sz="0" w:space="0" w:color="auto"/>
                <w:bottom w:val="none" w:sz="0" w:space="0" w:color="auto"/>
                <w:right w:val="none" w:sz="0" w:space="0" w:color="auto"/>
              </w:divBdr>
            </w:div>
            <w:div w:id="227154052">
              <w:marLeft w:val="0"/>
              <w:marRight w:val="0"/>
              <w:marTop w:val="0"/>
              <w:marBottom w:val="0"/>
              <w:divBdr>
                <w:top w:val="none" w:sz="0" w:space="0" w:color="auto"/>
                <w:left w:val="none" w:sz="0" w:space="0" w:color="auto"/>
                <w:bottom w:val="none" w:sz="0" w:space="0" w:color="auto"/>
                <w:right w:val="none" w:sz="0" w:space="0" w:color="auto"/>
              </w:divBdr>
            </w:div>
            <w:div w:id="359016809">
              <w:marLeft w:val="0"/>
              <w:marRight w:val="0"/>
              <w:marTop w:val="0"/>
              <w:marBottom w:val="0"/>
              <w:divBdr>
                <w:top w:val="none" w:sz="0" w:space="0" w:color="auto"/>
                <w:left w:val="none" w:sz="0" w:space="0" w:color="auto"/>
                <w:bottom w:val="none" w:sz="0" w:space="0" w:color="auto"/>
                <w:right w:val="none" w:sz="0" w:space="0" w:color="auto"/>
              </w:divBdr>
            </w:div>
            <w:div w:id="1179849088">
              <w:marLeft w:val="0"/>
              <w:marRight w:val="0"/>
              <w:marTop w:val="0"/>
              <w:marBottom w:val="0"/>
              <w:divBdr>
                <w:top w:val="none" w:sz="0" w:space="0" w:color="auto"/>
                <w:left w:val="none" w:sz="0" w:space="0" w:color="auto"/>
                <w:bottom w:val="none" w:sz="0" w:space="0" w:color="auto"/>
                <w:right w:val="none" w:sz="0" w:space="0" w:color="auto"/>
              </w:divBdr>
            </w:div>
            <w:div w:id="1207568881">
              <w:marLeft w:val="0"/>
              <w:marRight w:val="0"/>
              <w:marTop w:val="0"/>
              <w:marBottom w:val="0"/>
              <w:divBdr>
                <w:top w:val="none" w:sz="0" w:space="0" w:color="auto"/>
                <w:left w:val="none" w:sz="0" w:space="0" w:color="auto"/>
                <w:bottom w:val="none" w:sz="0" w:space="0" w:color="auto"/>
                <w:right w:val="none" w:sz="0" w:space="0" w:color="auto"/>
              </w:divBdr>
            </w:div>
            <w:div w:id="1237128619">
              <w:marLeft w:val="0"/>
              <w:marRight w:val="0"/>
              <w:marTop w:val="0"/>
              <w:marBottom w:val="0"/>
              <w:divBdr>
                <w:top w:val="none" w:sz="0" w:space="0" w:color="auto"/>
                <w:left w:val="none" w:sz="0" w:space="0" w:color="auto"/>
                <w:bottom w:val="none" w:sz="0" w:space="0" w:color="auto"/>
                <w:right w:val="none" w:sz="0" w:space="0" w:color="auto"/>
              </w:divBdr>
            </w:div>
            <w:div w:id="1310207591">
              <w:marLeft w:val="0"/>
              <w:marRight w:val="0"/>
              <w:marTop w:val="0"/>
              <w:marBottom w:val="0"/>
              <w:divBdr>
                <w:top w:val="none" w:sz="0" w:space="0" w:color="auto"/>
                <w:left w:val="none" w:sz="0" w:space="0" w:color="auto"/>
                <w:bottom w:val="none" w:sz="0" w:space="0" w:color="auto"/>
                <w:right w:val="none" w:sz="0" w:space="0" w:color="auto"/>
              </w:divBdr>
            </w:div>
            <w:div w:id="1374380108">
              <w:marLeft w:val="0"/>
              <w:marRight w:val="0"/>
              <w:marTop w:val="0"/>
              <w:marBottom w:val="0"/>
              <w:divBdr>
                <w:top w:val="none" w:sz="0" w:space="0" w:color="auto"/>
                <w:left w:val="none" w:sz="0" w:space="0" w:color="auto"/>
                <w:bottom w:val="none" w:sz="0" w:space="0" w:color="auto"/>
                <w:right w:val="none" w:sz="0" w:space="0" w:color="auto"/>
              </w:divBdr>
            </w:div>
            <w:div w:id="1385956205">
              <w:marLeft w:val="0"/>
              <w:marRight w:val="0"/>
              <w:marTop w:val="0"/>
              <w:marBottom w:val="0"/>
              <w:divBdr>
                <w:top w:val="none" w:sz="0" w:space="0" w:color="auto"/>
                <w:left w:val="none" w:sz="0" w:space="0" w:color="auto"/>
                <w:bottom w:val="none" w:sz="0" w:space="0" w:color="auto"/>
                <w:right w:val="none" w:sz="0" w:space="0" w:color="auto"/>
              </w:divBdr>
            </w:div>
            <w:div w:id="1421022547">
              <w:marLeft w:val="0"/>
              <w:marRight w:val="0"/>
              <w:marTop w:val="0"/>
              <w:marBottom w:val="0"/>
              <w:divBdr>
                <w:top w:val="none" w:sz="0" w:space="0" w:color="auto"/>
                <w:left w:val="none" w:sz="0" w:space="0" w:color="auto"/>
                <w:bottom w:val="none" w:sz="0" w:space="0" w:color="auto"/>
                <w:right w:val="none" w:sz="0" w:space="0" w:color="auto"/>
              </w:divBdr>
            </w:div>
            <w:div w:id="1746029058">
              <w:marLeft w:val="0"/>
              <w:marRight w:val="0"/>
              <w:marTop w:val="0"/>
              <w:marBottom w:val="0"/>
              <w:divBdr>
                <w:top w:val="none" w:sz="0" w:space="0" w:color="auto"/>
                <w:left w:val="none" w:sz="0" w:space="0" w:color="auto"/>
                <w:bottom w:val="none" w:sz="0" w:space="0" w:color="auto"/>
                <w:right w:val="none" w:sz="0" w:space="0" w:color="auto"/>
              </w:divBdr>
            </w:div>
            <w:div w:id="1763258141">
              <w:marLeft w:val="0"/>
              <w:marRight w:val="0"/>
              <w:marTop w:val="0"/>
              <w:marBottom w:val="0"/>
              <w:divBdr>
                <w:top w:val="none" w:sz="0" w:space="0" w:color="auto"/>
                <w:left w:val="none" w:sz="0" w:space="0" w:color="auto"/>
                <w:bottom w:val="none" w:sz="0" w:space="0" w:color="auto"/>
                <w:right w:val="none" w:sz="0" w:space="0" w:color="auto"/>
              </w:divBdr>
            </w:div>
            <w:div w:id="1763404998">
              <w:marLeft w:val="0"/>
              <w:marRight w:val="0"/>
              <w:marTop w:val="0"/>
              <w:marBottom w:val="0"/>
              <w:divBdr>
                <w:top w:val="none" w:sz="0" w:space="0" w:color="auto"/>
                <w:left w:val="none" w:sz="0" w:space="0" w:color="auto"/>
                <w:bottom w:val="none" w:sz="0" w:space="0" w:color="auto"/>
                <w:right w:val="none" w:sz="0" w:space="0" w:color="auto"/>
              </w:divBdr>
            </w:div>
            <w:div w:id="1930890429">
              <w:marLeft w:val="0"/>
              <w:marRight w:val="0"/>
              <w:marTop w:val="0"/>
              <w:marBottom w:val="0"/>
              <w:divBdr>
                <w:top w:val="none" w:sz="0" w:space="0" w:color="auto"/>
                <w:left w:val="none" w:sz="0" w:space="0" w:color="auto"/>
                <w:bottom w:val="none" w:sz="0" w:space="0" w:color="auto"/>
                <w:right w:val="none" w:sz="0" w:space="0" w:color="auto"/>
              </w:divBdr>
            </w:div>
            <w:div w:id="1945841121">
              <w:marLeft w:val="0"/>
              <w:marRight w:val="0"/>
              <w:marTop w:val="0"/>
              <w:marBottom w:val="0"/>
              <w:divBdr>
                <w:top w:val="none" w:sz="0" w:space="0" w:color="auto"/>
                <w:left w:val="none" w:sz="0" w:space="0" w:color="auto"/>
                <w:bottom w:val="none" w:sz="0" w:space="0" w:color="auto"/>
                <w:right w:val="none" w:sz="0" w:space="0" w:color="auto"/>
              </w:divBdr>
            </w:div>
            <w:div w:id="20832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7909">
      <w:bodyDiv w:val="1"/>
      <w:marLeft w:val="0"/>
      <w:marRight w:val="0"/>
      <w:marTop w:val="0"/>
      <w:marBottom w:val="0"/>
      <w:divBdr>
        <w:top w:val="none" w:sz="0" w:space="0" w:color="auto"/>
        <w:left w:val="none" w:sz="0" w:space="0" w:color="auto"/>
        <w:bottom w:val="none" w:sz="0" w:space="0" w:color="auto"/>
        <w:right w:val="none" w:sz="0" w:space="0" w:color="auto"/>
      </w:divBdr>
      <w:divsChild>
        <w:div w:id="73669050">
          <w:marLeft w:val="0"/>
          <w:marRight w:val="0"/>
          <w:marTop w:val="0"/>
          <w:marBottom w:val="0"/>
          <w:divBdr>
            <w:top w:val="none" w:sz="0" w:space="0" w:color="auto"/>
            <w:left w:val="none" w:sz="0" w:space="0" w:color="auto"/>
            <w:bottom w:val="none" w:sz="0" w:space="0" w:color="auto"/>
            <w:right w:val="none" w:sz="0" w:space="0" w:color="auto"/>
          </w:divBdr>
          <w:divsChild>
            <w:div w:id="1035888083">
              <w:marLeft w:val="0"/>
              <w:marRight w:val="0"/>
              <w:marTop w:val="0"/>
              <w:marBottom w:val="0"/>
              <w:divBdr>
                <w:top w:val="none" w:sz="0" w:space="0" w:color="auto"/>
                <w:left w:val="none" w:sz="0" w:space="0" w:color="auto"/>
                <w:bottom w:val="none" w:sz="0" w:space="0" w:color="auto"/>
                <w:right w:val="none" w:sz="0" w:space="0" w:color="auto"/>
              </w:divBdr>
            </w:div>
          </w:divsChild>
        </w:div>
        <w:div w:id="108210549">
          <w:marLeft w:val="0"/>
          <w:marRight w:val="0"/>
          <w:marTop w:val="0"/>
          <w:marBottom w:val="0"/>
          <w:divBdr>
            <w:top w:val="none" w:sz="0" w:space="0" w:color="auto"/>
            <w:left w:val="none" w:sz="0" w:space="0" w:color="auto"/>
            <w:bottom w:val="none" w:sz="0" w:space="0" w:color="auto"/>
            <w:right w:val="none" w:sz="0" w:space="0" w:color="auto"/>
          </w:divBdr>
          <w:divsChild>
            <w:div w:id="366486147">
              <w:marLeft w:val="0"/>
              <w:marRight w:val="0"/>
              <w:marTop w:val="0"/>
              <w:marBottom w:val="0"/>
              <w:divBdr>
                <w:top w:val="none" w:sz="0" w:space="0" w:color="auto"/>
                <w:left w:val="none" w:sz="0" w:space="0" w:color="auto"/>
                <w:bottom w:val="none" w:sz="0" w:space="0" w:color="auto"/>
                <w:right w:val="none" w:sz="0" w:space="0" w:color="auto"/>
              </w:divBdr>
            </w:div>
          </w:divsChild>
        </w:div>
        <w:div w:id="278952129">
          <w:marLeft w:val="0"/>
          <w:marRight w:val="0"/>
          <w:marTop w:val="0"/>
          <w:marBottom w:val="0"/>
          <w:divBdr>
            <w:top w:val="none" w:sz="0" w:space="0" w:color="auto"/>
            <w:left w:val="none" w:sz="0" w:space="0" w:color="auto"/>
            <w:bottom w:val="none" w:sz="0" w:space="0" w:color="auto"/>
            <w:right w:val="none" w:sz="0" w:space="0" w:color="auto"/>
          </w:divBdr>
          <w:divsChild>
            <w:div w:id="635525086">
              <w:marLeft w:val="0"/>
              <w:marRight w:val="0"/>
              <w:marTop w:val="0"/>
              <w:marBottom w:val="0"/>
              <w:divBdr>
                <w:top w:val="none" w:sz="0" w:space="0" w:color="auto"/>
                <w:left w:val="none" w:sz="0" w:space="0" w:color="auto"/>
                <w:bottom w:val="none" w:sz="0" w:space="0" w:color="auto"/>
                <w:right w:val="none" w:sz="0" w:space="0" w:color="auto"/>
              </w:divBdr>
            </w:div>
          </w:divsChild>
        </w:div>
        <w:div w:id="284234357">
          <w:marLeft w:val="0"/>
          <w:marRight w:val="0"/>
          <w:marTop w:val="0"/>
          <w:marBottom w:val="0"/>
          <w:divBdr>
            <w:top w:val="none" w:sz="0" w:space="0" w:color="auto"/>
            <w:left w:val="none" w:sz="0" w:space="0" w:color="auto"/>
            <w:bottom w:val="none" w:sz="0" w:space="0" w:color="auto"/>
            <w:right w:val="none" w:sz="0" w:space="0" w:color="auto"/>
          </w:divBdr>
          <w:divsChild>
            <w:div w:id="600920891">
              <w:marLeft w:val="0"/>
              <w:marRight w:val="0"/>
              <w:marTop w:val="0"/>
              <w:marBottom w:val="0"/>
              <w:divBdr>
                <w:top w:val="none" w:sz="0" w:space="0" w:color="auto"/>
                <w:left w:val="none" w:sz="0" w:space="0" w:color="auto"/>
                <w:bottom w:val="none" w:sz="0" w:space="0" w:color="auto"/>
                <w:right w:val="none" w:sz="0" w:space="0" w:color="auto"/>
              </w:divBdr>
            </w:div>
          </w:divsChild>
        </w:div>
        <w:div w:id="306471733">
          <w:marLeft w:val="0"/>
          <w:marRight w:val="0"/>
          <w:marTop w:val="0"/>
          <w:marBottom w:val="0"/>
          <w:divBdr>
            <w:top w:val="none" w:sz="0" w:space="0" w:color="auto"/>
            <w:left w:val="none" w:sz="0" w:space="0" w:color="auto"/>
            <w:bottom w:val="none" w:sz="0" w:space="0" w:color="auto"/>
            <w:right w:val="none" w:sz="0" w:space="0" w:color="auto"/>
          </w:divBdr>
          <w:divsChild>
            <w:div w:id="873689356">
              <w:marLeft w:val="0"/>
              <w:marRight w:val="0"/>
              <w:marTop w:val="0"/>
              <w:marBottom w:val="0"/>
              <w:divBdr>
                <w:top w:val="none" w:sz="0" w:space="0" w:color="auto"/>
                <w:left w:val="none" w:sz="0" w:space="0" w:color="auto"/>
                <w:bottom w:val="none" w:sz="0" w:space="0" w:color="auto"/>
                <w:right w:val="none" w:sz="0" w:space="0" w:color="auto"/>
              </w:divBdr>
            </w:div>
          </w:divsChild>
        </w:div>
        <w:div w:id="317271097">
          <w:marLeft w:val="0"/>
          <w:marRight w:val="0"/>
          <w:marTop w:val="0"/>
          <w:marBottom w:val="0"/>
          <w:divBdr>
            <w:top w:val="none" w:sz="0" w:space="0" w:color="auto"/>
            <w:left w:val="none" w:sz="0" w:space="0" w:color="auto"/>
            <w:bottom w:val="none" w:sz="0" w:space="0" w:color="auto"/>
            <w:right w:val="none" w:sz="0" w:space="0" w:color="auto"/>
          </w:divBdr>
          <w:divsChild>
            <w:div w:id="228075927">
              <w:marLeft w:val="0"/>
              <w:marRight w:val="0"/>
              <w:marTop w:val="0"/>
              <w:marBottom w:val="0"/>
              <w:divBdr>
                <w:top w:val="none" w:sz="0" w:space="0" w:color="auto"/>
                <w:left w:val="none" w:sz="0" w:space="0" w:color="auto"/>
                <w:bottom w:val="none" w:sz="0" w:space="0" w:color="auto"/>
                <w:right w:val="none" w:sz="0" w:space="0" w:color="auto"/>
              </w:divBdr>
            </w:div>
          </w:divsChild>
        </w:div>
        <w:div w:id="324749352">
          <w:marLeft w:val="0"/>
          <w:marRight w:val="0"/>
          <w:marTop w:val="0"/>
          <w:marBottom w:val="0"/>
          <w:divBdr>
            <w:top w:val="none" w:sz="0" w:space="0" w:color="auto"/>
            <w:left w:val="none" w:sz="0" w:space="0" w:color="auto"/>
            <w:bottom w:val="none" w:sz="0" w:space="0" w:color="auto"/>
            <w:right w:val="none" w:sz="0" w:space="0" w:color="auto"/>
          </w:divBdr>
          <w:divsChild>
            <w:div w:id="1465124278">
              <w:marLeft w:val="0"/>
              <w:marRight w:val="0"/>
              <w:marTop w:val="0"/>
              <w:marBottom w:val="0"/>
              <w:divBdr>
                <w:top w:val="none" w:sz="0" w:space="0" w:color="auto"/>
                <w:left w:val="none" w:sz="0" w:space="0" w:color="auto"/>
                <w:bottom w:val="none" w:sz="0" w:space="0" w:color="auto"/>
                <w:right w:val="none" w:sz="0" w:space="0" w:color="auto"/>
              </w:divBdr>
            </w:div>
          </w:divsChild>
        </w:div>
        <w:div w:id="349989681">
          <w:marLeft w:val="0"/>
          <w:marRight w:val="0"/>
          <w:marTop w:val="0"/>
          <w:marBottom w:val="0"/>
          <w:divBdr>
            <w:top w:val="none" w:sz="0" w:space="0" w:color="auto"/>
            <w:left w:val="none" w:sz="0" w:space="0" w:color="auto"/>
            <w:bottom w:val="none" w:sz="0" w:space="0" w:color="auto"/>
            <w:right w:val="none" w:sz="0" w:space="0" w:color="auto"/>
          </w:divBdr>
          <w:divsChild>
            <w:div w:id="40836345">
              <w:marLeft w:val="0"/>
              <w:marRight w:val="0"/>
              <w:marTop w:val="0"/>
              <w:marBottom w:val="0"/>
              <w:divBdr>
                <w:top w:val="none" w:sz="0" w:space="0" w:color="auto"/>
                <w:left w:val="none" w:sz="0" w:space="0" w:color="auto"/>
                <w:bottom w:val="none" w:sz="0" w:space="0" w:color="auto"/>
                <w:right w:val="none" w:sz="0" w:space="0" w:color="auto"/>
              </w:divBdr>
            </w:div>
          </w:divsChild>
        </w:div>
        <w:div w:id="475880800">
          <w:marLeft w:val="0"/>
          <w:marRight w:val="0"/>
          <w:marTop w:val="0"/>
          <w:marBottom w:val="0"/>
          <w:divBdr>
            <w:top w:val="none" w:sz="0" w:space="0" w:color="auto"/>
            <w:left w:val="none" w:sz="0" w:space="0" w:color="auto"/>
            <w:bottom w:val="none" w:sz="0" w:space="0" w:color="auto"/>
            <w:right w:val="none" w:sz="0" w:space="0" w:color="auto"/>
          </w:divBdr>
          <w:divsChild>
            <w:div w:id="1402867684">
              <w:marLeft w:val="0"/>
              <w:marRight w:val="0"/>
              <w:marTop w:val="0"/>
              <w:marBottom w:val="0"/>
              <w:divBdr>
                <w:top w:val="none" w:sz="0" w:space="0" w:color="auto"/>
                <w:left w:val="none" w:sz="0" w:space="0" w:color="auto"/>
                <w:bottom w:val="none" w:sz="0" w:space="0" w:color="auto"/>
                <w:right w:val="none" w:sz="0" w:space="0" w:color="auto"/>
              </w:divBdr>
            </w:div>
          </w:divsChild>
        </w:div>
        <w:div w:id="602230597">
          <w:marLeft w:val="0"/>
          <w:marRight w:val="0"/>
          <w:marTop w:val="0"/>
          <w:marBottom w:val="0"/>
          <w:divBdr>
            <w:top w:val="none" w:sz="0" w:space="0" w:color="auto"/>
            <w:left w:val="none" w:sz="0" w:space="0" w:color="auto"/>
            <w:bottom w:val="none" w:sz="0" w:space="0" w:color="auto"/>
            <w:right w:val="none" w:sz="0" w:space="0" w:color="auto"/>
          </w:divBdr>
          <w:divsChild>
            <w:div w:id="1313676928">
              <w:marLeft w:val="0"/>
              <w:marRight w:val="0"/>
              <w:marTop w:val="0"/>
              <w:marBottom w:val="0"/>
              <w:divBdr>
                <w:top w:val="none" w:sz="0" w:space="0" w:color="auto"/>
                <w:left w:val="none" w:sz="0" w:space="0" w:color="auto"/>
                <w:bottom w:val="none" w:sz="0" w:space="0" w:color="auto"/>
                <w:right w:val="none" w:sz="0" w:space="0" w:color="auto"/>
              </w:divBdr>
            </w:div>
          </w:divsChild>
        </w:div>
        <w:div w:id="605118416">
          <w:marLeft w:val="0"/>
          <w:marRight w:val="0"/>
          <w:marTop w:val="0"/>
          <w:marBottom w:val="0"/>
          <w:divBdr>
            <w:top w:val="none" w:sz="0" w:space="0" w:color="auto"/>
            <w:left w:val="none" w:sz="0" w:space="0" w:color="auto"/>
            <w:bottom w:val="none" w:sz="0" w:space="0" w:color="auto"/>
            <w:right w:val="none" w:sz="0" w:space="0" w:color="auto"/>
          </w:divBdr>
          <w:divsChild>
            <w:div w:id="692194693">
              <w:marLeft w:val="0"/>
              <w:marRight w:val="0"/>
              <w:marTop w:val="0"/>
              <w:marBottom w:val="0"/>
              <w:divBdr>
                <w:top w:val="none" w:sz="0" w:space="0" w:color="auto"/>
                <w:left w:val="none" w:sz="0" w:space="0" w:color="auto"/>
                <w:bottom w:val="none" w:sz="0" w:space="0" w:color="auto"/>
                <w:right w:val="none" w:sz="0" w:space="0" w:color="auto"/>
              </w:divBdr>
            </w:div>
          </w:divsChild>
        </w:div>
        <w:div w:id="623854841">
          <w:marLeft w:val="0"/>
          <w:marRight w:val="0"/>
          <w:marTop w:val="0"/>
          <w:marBottom w:val="0"/>
          <w:divBdr>
            <w:top w:val="none" w:sz="0" w:space="0" w:color="auto"/>
            <w:left w:val="none" w:sz="0" w:space="0" w:color="auto"/>
            <w:bottom w:val="none" w:sz="0" w:space="0" w:color="auto"/>
            <w:right w:val="none" w:sz="0" w:space="0" w:color="auto"/>
          </w:divBdr>
          <w:divsChild>
            <w:div w:id="1066800127">
              <w:marLeft w:val="0"/>
              <w:marRight w:val="0"/>
              <w:marTop w:val="0"/>
              <w:marBottom w:val="0"/>
              <w:divBdr>
                <w:top w:val="none" w:sz="0" w:space="0" w:color="auto"/>
                <w:left w:val="none" w:sz="0" w:space="0" w:color="auto"/>
                <w:bottom w:val="none" w:sz="0" w:space="0" w:color="auto"/>
                <w:right w:val="none" w:sz="0" w:space="0" w:color="auto"/>
              </w:divBdr>
            </w:div>
          </w:divsChild>
        </w:div>
        <w:div w:id="669675259">
          <w:marLeft w:val="0"/>
          <w:marRight w:val="0"/>
          <w:marTop w:val="0"/>
          <w:marBottom w:val="0"/>
          <w:divBdr>
            <w:top w:val="none" w:sz="0" w:space="0" w:color="auto"/>
            <w:left w:val="none" w:sz="0" w:space="0" w:color="auto"/>
            <w:bottom w:val="none" w:sz="0" w:space="0" w:color="auto"/>
            <w:right w:val="none" w:sz="0" w:space="0" w:color="auto"/>
          </w:divBdr>
          <w:divsChild>
            <w:div w:id="552696304">
              <w:marLeft w:val="0"/>
              <w:marRight w:val="0"/>
              <w:marTop w:val="0"/>
              <w:marBottom w:val="0"/>
              <w:divBdr>
                <w:top w:val="none" w:sz="0" w:space="0" w:color="auto"/>
                <w:left w:val="none" w:sz="0" w:space="0" w:color="auto"/>
                <w:bottom w:val="none" w:sz="0" w:space="0" w:color="auto"/>
                <w:right w:val="none" w:sz="0" w:space="0" w:color="auto"/>
              </w:divBdr>
            </w:div>
          </w:divsChild>
        </w:div>
        <w:div w:id="707334909">
          <w:marLeft w:val="0"/>
          <w:marRight w:val="0"/>
          <w:marTop w:val="0"/>
          <w:marBottom w:val="0"/>
          <w:divBdr>
            <w:top w:val="none" w:sz="0" w:space="0" w:color="auto"/>
            <w:left w:val="none" w:sz="0" w:space="0" w:color="auto"/>
            <w:bottom w:val="none" w:sz="0" w:space="0" w:color="auto"/>
            <w:right w:val="none" w:sz="0" w:space="0" w:color="auto"/>
          </w:divBdr>
          <w:divsChild>
            <w:div w:id="225261903">
              <w:marLeft w:val="0"/>
              <w:marRight w:val="0"/>
              <w:marTop w:val="0"/>
              <w:marBottom w:val="0"/>
              <w:divBdr>
                <w:top w:val="none" w:sz="0" w:space="0" w:color="auto"/>
                <w:left w:val="none" w:sz="0" w:space="0" w:color="auto"/>
                <w:bottom w:val="none" w:sz="0" w:space="0" w:color="auto"/>
                <w:right w:val="none" w:sz="0" w:space="0" w:color="auto"/>
              </w:divBdr>
            </w:div>
          </w:divsChild>
        </w:div>
        <w:div w:id="709066286">
          <w:marLeft w:val="0"/>
          <w:marRight w:val="0"/>
          <w:marTop w:val="0"/>
          <w:marBottom w:val="0"/>
          <w:divBdr>
            <w:top w:val="none" w:sz="0" w:space="0" w:color="auto"/>
            <w:left w:val="none" w:sz="0" w:space="0" w:color="auto"/>
            <w:bottom w:val="none" w:sz="0" w:space="0" w:color="auto"/>
            <w:right w:val="none" w:sz="0" w:space="0" w:color="auto"/>
          </w:divBdr>
          <w:divsChild>
            <w:div w:id="887447923">
              <w:marLeft w:val="0"/>
              <w:marRight w:val="0"/>
              <w:marTop w:val="0"/>
              <w:marBottom w:val="0"/>
              <w:divBdr>
                <w:top w:val="none" w:sz="0" w:space="0" w:color="auto"/>
                <w:left w:val="none" w:sz="0" w:space="0" w:color="auto"/>
                <w:bottom w:val="none" w:sz="0" w:space="0" w:color="auto"/>
                <w:right w:val="none" w:sz="0" w:space="0" w:color="auto"/>
              </w:divBdr>
            </w:div>
          </w:divsChild>
        </w:div>
        <w:div w:id="794375768">
          <w:marLeft w:val="0"/>
          <w:marRight w:val="0"/>
          <w:marTop w:val="0"/>
          <w:marBottom w:val="0"/>
          <w:divBdr>
            <w:top w:val="none" w:sz="0" w:space="0" w:color="auto"/>
            <w:left w:val="none" w:sz="0" w:space="0" w:color="auto"/>
            <w:bottom w:val="none" w:sz="0" w:space="0" w:color="auto"/>
            <w:right w:val="none" w:sz="0" w:space="0" w:color="auto"/>
          </w:divBdr>
          <w:divsChild>
            <w:div w:id="330910263">
              <w:marLeft w:val="0"/>
              <w:marRight w:val="0"/>
              <w:marTop w:val="0"/>
              <w:marBottom w:val="0"/>
              <w:divBdr>
                <w:top w:val="none" w:sz="0" w:space="0" w:color="auto"/>
                <w:left w:val="none" w:sz="0" w:space="0" w:color="auto"/>
                <w:bottom w:val="none" w:sz="0" w:space="0" w:color="auto"/>
                <w:right w:val="none" w:sz="0" w:space="0" w:color="auto"/>
              </w:divBdr>
            </w:div>
          </w:divsChild>
        </w:div>
        <w:div w:id="835196406">
          <w:marLeft w:val="0"/>
          <w:marRight w:val="0"/>
          <w:marTop w:val="0"/>
          <w:marBottom w:val="0"/>
          <w:divBdr>
            <w:top w:val="none" w:sz="0" w:space="0" w:color="auto"/>
            <w:left w:val="none" w:sz="0" w:space="0" w:color="auto"/>
            <w:bottom w:val="none" w:sz="0" w:space="0" w:color="auto"/>
            <w:right w:val="none" w:sz="0" w:space="0" w:color="auto"/>
          </w:divBdr>
          <w:divsChild>
            <w:div w:id="1041780843">
              <w:marLeft w:val="0"/>
              <w:marRight w:val="0"/>
              <w:marTop w:val="0"/>
              <w:marBottom w:val="0"/>
              <w:divBdr>
                <w:top w:val="none" w:sz="0" w:space="0" w:color="auto"/>
                <w:left w:val="none" w:sz="0" w:space="0" w:color="auto"/>
                <w:bottom w:val="none" w:sz="0" w:space="0" w:color="auto"/>
                <w:right w:val="none" w:sz="0" w:space="0" w:color="auto"/>
              </w:divBdr>
            </w:div>
          </w:divsChild>
        </w:div>
        <w:div w:id="958417000">
          <w:marLeft w:val="0"/>
          <w:marRight w:val="0"/>
          <w:marTop w:val="0"/>
          <w:marBottom w:val="0"/>
          <w:divBdr>
            <w:top w:val="none" w:sz="0" w:space="0" w:color="auto"/>
            <w:left w:val="none" w:sz="0" w:space="0" w:color="auto"/>
            <w:bottom w:val="none" w:sz="0" w:space="0" w:color="auto"/>
            <w:right w:val="none" w:sz="0" w:space="0" w:color="auto"/>
          </w:divBdr>
          <w:divsChild>
            <w:div w:id="1645233332">
              <w:marLeft w:val="0"/>
              <w:marRight w:val="0"/>
              <w:marTop w:val="0"/>
              <w:marBottom w:val="0"/>
              <w:divBdr>
                <w:top w:val="none" w:sz="0" w:space="0" w:color="auto"/>
                <w:left w:val="none" w:sz="0" w:space="0" w:color="auto"/>
                <w:bottom w:val="none" w:sz="0" w:space="0" w:color="auto"/>
                <w:right w:val="none" w:sz="0" w:space="0" w:color="auto"/>
              </w:divBdr>
            </w:div>
          </w:divsChild>
        </w:div>
        <w:div w:id="976572508">
          <w:marLeft w:val="0"/>
          <w:marRight w:val="0"/>
          <w:marTop w:val="0"/>
          <w:marBottom w:val="0"/>
          <w:divBdr>
            <w:top w:val="none" w:sz="0" w:space="0" w:color="auto"/>
            <w:left w:val="none" w:sz="0" w:space="0" w:color="auto"/>
            <w:bottom w:val="none" w:sz="0" w:space="0" w:color="auto"/>
            <w:right w:val="none" w:sz="0" w:space="0" w:color="auto"/>
          </w:divBdr>
          <w:divsChild>
            <w:div w:id="2008898254">
              <w:marLeft w:val="0"/>
              <w:marRight w:val="0"/>
              <w:marTop w:val="0"/>
              <w:marBottom w:val="0"/>
              <w:divBdr>
                <w:top w:val="none" w:sz="0" w:space="0" w:color="auto"/>
                <w:left w:val="none" w:sz="0" w:space="0" w:color="auto"/>
                <w:bottom w:val="none" w:sz="0" w:space="0" w:color="auto"/>
                <w:right w:val="none" w:sz="0" w:space="0" w:color="auto"/>
              </w:divBdr>
            </w:div>
          </w:divsChild>
        </w:div>
        <w:div w:id="989678418">
          <w:marLeft w:val="0"/>
          <w:marRight w:val="0"/>
          <w:marTop w:val="0"/>
          <w:marBottom w:val="0"/>
          <w:divBdr>
            <w:top w:val="none" w:sz="0" w:space="0" w:color="auto"/>
            <w:left w:val="none" w:sz="0" w:space="0" w:color="auto"/>
            <w:bottom w:val="none" w:sz="0" w:space="0" w:color="auto"/>
            <w:right w:val="none" w:sz="0" w:space="0" w:color="auto"/>
          </w:divBdr>
          <w:divsChild>
            <w:div w:id="101148684">
              <w:marLeft w:val="0"/>
              <w:marRight w:val="0"/>
              <w:marTop w:val="0"/>
              <w:marBottom w:val="0"/>
              <w:divBdr>
                <w:top w:val="none" w:sz="0" w:space="0" w:color="auto"/>
                <w:left w:val="none" w:sz="0" w:space="0" w:color="auto"/>
                <w:bottom w:val="none" w:sz="0" w:space="0" w:color="auto"/>
                <w:right w:val="none" w:sz="0" w:space="0" w:color="auto"/>
              </w:divBdr>
            </w:div>
          </w:divsChild>
        </w:div>
        <w:div w:id="992949048">
          <w:marLeft w:val="0"/>
          <w:marRight w:val="0"/>
          <w:marTop w:val="0"/>
          <w:marBottom w:val="0"/>
          <w:divBdr>
            <w:top w:val="none" w:sz="0" w:space="0" w:color="auto"/>
            <w:left w:val="none" w:sz="0" w:space="0" w:color="auto"/>
            <w:bottom w:val="none" w:sz="0" w:space="0" w:color="auto"/>
            <w:right w:val="none" w:sz="0" w:space="0" w:color="auto"/>
          </w:divBdr>
          <w:divsChild>
            <w:div w:id="1535076988">
              <w:marLeft w:val="0"/>
              <w:marRight w:val="0"/>
              <w:marTop w:val="0"/>
              <w:marBottom w:val="0"/>
              <w:divBdr>
                <w:top w:val="none" w:sz="0" w:space="0" w:color="auto"/>
                <w:left w:val="none" w:sz="0" w:space="0" w:color="auto"/>
                <w:bottom w:val="none" w:sz="0" w:space="0" w:color="auto"/>
                <w:right w:val="none" w:sz="0" w:space="0" w:color="auto"/>
              </w:divBdr>
            </w:div>
          </w:divsChild>
        </w:div>
        <w:div w:id="1261910829">
          <w:marLeft w:val="0"/>
          <w:marRight w:val="0"/>
          <w:marTop w:val="0"/>
          <w:marBottom w:val="0"/>
          <w:divBdr>
            <w:top w:val="none" w:sz="0" w:space="0" w:color="auto"/>
            <w:left w:val="none" w:sz="0" w:space="0" w:color="auto"/>
            <w:bottom w:val="none" w:sz="0" w:space="0" w:color="auto"/>
            <w:right w:val="none" w:sz="0" w:space="0" w:color="auto"/>
          </w:divBdr>
          <w:divsChild>
            <w:div w:id="920795832">
              <w:marLeft w:val="0"/>
              <w:marRight w:val="0"/>
              <w:marTop w:val="0"/>
              <w:marBottom w:val="0"/>
              <w:divBdr>
                <w:top w:val="none" w:sz="0" w:space="0" w:color="auto"/>
                <w:left w:val="none" w:sz="0" w:space="0" w:color="auto"/>
                <w:bottom w:val="none" w:sz="0" w:space="0" w:color="auto"/>
                <w:right w:val="none" w:sz="0" w:space="0" w:color="auto"/>
              </w:divBdr>
            </w:div>
          </w:divsChild>
        </w:div>
        <w:div w:id="1313752841">
          <w:marLeft w:val="0"/>
          <w:marRight w:val="0"/>
          <w:marTop w:val="0"/>
          <w:marBottom w:val="0"/>
          <w:divBdr>
            <w:top w:val="none" w:sz="0" w:space="0" w:color="auto"/>
            <w:left w:val="none" w:sz="0" w:space="0" w:color="auto"/>
            <w:bottom w:val="none" w:sz="0" w:space="0" w:color="auto"/>
            <w:right w:val="none" w:sz="0" w:space="0" w:color="auto"/>
          </w:divBdr>
          <w:divsChild>
            <w:div w:id="704450156">
              <w:marLeft w:val="0"/>
              <w:marRight w:val="0"/>
              <w:marTop w:val="0"/>
              <w:marBottom w:val="0"/>
              <w:divBdr>
                <w:top w:val="none" w:sz="0" w:space="0" w:color="auto"/>
                <w:left w:val="none" w:sz="0" w:space="0" w:color="auto"/>
                <w:bottom w:val="none" w:sz="0" w:space="0" w:color="auto"/>
                <w:right w:val="none" w:sz="0" w:space="0" w:color="auto"/>
              </w:divBdr>
            </w:div>
          </w:divsChild>
        </w:div>
        <w:div w:id="1419911961">
          <w:marLeft w:val="0"/>
          <w:marRight w:val="0"/>
          <w:marTop w:val="0"/>
          <w:marBottom w:val="0"/>
          <w:divBdr>
            <w:top w:val="none" w:sz="0" w:space="0" w:color="auto"/>
            <w:left w:val="none" w:sz="0" w:space="0" w:color="auto"/>
            <w:bottom w:val="none" w:sz="0" w:space="0" w:color="auto"/>
            <w:right w:val="none" w:sz="0" w:space="0" w:color="auto"/>
          </w:divBdr>
          <w:divsChild>
            <w:div w:id="1395739028">
              <w:marLeft w:val="0"/>
              <w:marRight w:val="0"/>
              <w:marTop w:val="0"/>
              <w:marBottom w:val="0"/>
              <w:divBdr>
                <w:top w:val="none" w:sz="0" w:space="0" w:color="auto"/>
                <w:left w:val="none" w:sz="0" w:space="0" w:color="auto"/>
                <w:bottom w:val="none" w:sz="0" w:space="0" w:color="auto"/>
                <w:right w:val="none" w:sz="0" w:space="0" w:color="auto"/>
              </w:divBdr>
            </w:div>
          </w:divsChild>
        </w:div>
        <w:div w:id="1441877811">
          <w:marLeft w:val="0"/>
          <w:marRight w:val="0"/>
          <w:marTop w:val="0"/>
          <w:marBottom w:val="0"/>
          <w:divBdr>
            <w:top w:val="none" w:sz="0" w:space="0" w:color="auto"/>
            <w:left w:val="none" w:sz="0" w:space="0" w:color="auto"/>
            <w:bottom w:val="none" w:sz="0" w:space="0" w:color="auto"/>
            <w:right w:val="none" w:sz="0" w:space="0" w:color="auto"/>
          </w:divBdr>
          <w:divsChild>
            <w:div w:id="1868911734">
              <w:marLeft w:val="0"/>
              <w:marRight w:val="0"/>
              <w:marTop w:val="0"/>
              <w:marBottom w:val="0"/>
              <w:divBdr>
                <w:top w:val="none" w:sz="0" w:space="0" w:color="auto"/>
                <w:left w:val="none" w:sz="0" w:space="0" w:color="auto"/>
                <w:bottom w:val="none" w:sz="0" w:space="0" w:color="auto"/>
                <w:right w:val="none" w:sz="0" w:space="0" w:color="auto"/>
              </w:divBdr>
            </w:div>
          </w:divsChild>
        </w:div>
        <w:div w:id="1454207437">
          <w:marLeft w:val="0"/>
          <w:marRight w:val="0"/>
          <w:marTop w:val="0"/>
          <w:marBottom w:val="0"/>
          <w:divBdr>
            <w:top w:val="none" w:sz="0" w:space="0" w:color="auto"/>
            <w:left w:val="none" w:sz="0" w:space="0" w:color="auto"/>
            <w:bottom w:val="none" w:sz="0" w:space="0" w:color="auto"/>
            <w:right w:val="none" w:sz="0" w:space="0" w:color="auto"/>
          </w:divBdr>
          <w:divsChild>
            <w:div w:id="878320110">
              <w:marLeft w:val="0"/>
              <w:marRight w:val="0"/>
              <w:marTop w:val="0"/>
              <w:marBottom w:val="0"/>
              <w:divBdr>
                <w:top w:val="none" w:sz="0" w:space="0" w:color="auto"/>
                <w:left w:val="none" w:sz="0" w:space="0" w:color="auto"/>
                <w:bottom w:val="none" w:sz="0" w:space="0" w:color="auto"/>
                <w:right w:val="none" w:sz="0" w:space="0" w:color="auto"/>
              </w:divBdr>
            </w:div>
          </w:divsChild>
        </w:div>
        <w:div w:id="1482387346">
          <w:marLeft w:val="0"/>
          <w:marRight w:val="0"/>
          <w:marTop w:val="0"/>
          <w:marBottom w:val="0"/>
          <w:divBdr>
            <w:top w:val="none" w:sz="0" w:space="0" w:color="auto"/>
            <w:left w:val="none" w:sz="0" w:space="0" w:color="auto"/>
            <w:bottom w:val="none" w:sz="0" w:space="0" w:color="auto"/>
            <w:right w:val="none" w:sz="0" w:space="0" w:color="auto"/>
          </w:divBdr>
          <w:divsChild>
            <w:div w:id="863178618">
              <w:marLeft w:val="0"/>
              <w:marRight w:val="0"/>
              <w:marTop w:val="0"/>
              <w:marBottom w:val="0"/>
              <w:divBdr>
                <w:top w:val="none" w:sz="0" w:space="0" w:color="auto"/>
                <w:left w:val="none" w:sz="0" w:space="0" w:color="auto"/>
                <w:bottom w:val="none" w:sz="0" w:space="0" w:color="auto"/>
                <w:right w:val="none" w:sz="0" w:space="0" w:color="auto"/>
              </w:divBdr>
            </w:div>
          </w:divsChild>
        </w:div>
        <w:div w:id="1569421700">
          <w:marLeft w:val="0"/>
          <w:marRight w:val="0"/>
          <w:marTop w:val="0"/>
          <w:marBottom w:val="0"/>
          <w:divBdr>
            <w:top w:val="none" w:sz="0" w:space="0" w:color="auto"/>
            <w:left w:val="none" w:sz="0" w:space="0" w:color="auto"/>
            <w:bottom w:val="none" w:sz="0" w:space="0" w:color="auto"/>
            <w:right w:val="none" w:sz="0" w:space="0" w:color="auto"/>
          </w:divBdr>
          <w:divsChild>
            <w:div w:id="1791508463">
              <w:marLeft w:val="0"/>
              <w:marRight w:val="0"/>
              <w:marTop w:val="0"/>
              <w:marBottom w:val="0"/>
              <w:divBdr>
                <w:top w:val="none" w:sz="0" w:space="0" w:color="auto"/>
                <w:left w:val="none" w:sz="0" w:space="0" w:color="auto"/>
                <w:bottom w:val="none" w:sz="0" w:space="0" w:color="auto"/>
                <w:right w:val="none" w:sz="0" w:space="0" w:color="auto"/>
              </w:divBdr>
            </w:div>
          </w:divsChild>
        </w:div>
        <w:div w:id="1576083371">
          <w:marLeft w:val="0"/>
          <w:marRight w:val="0"/>
          <w:marTop w:val="0"/>
          <w:marBottom w:val="0"/>
          <w:divBdr>
            <w:top w:val="none" w:sz="0" w:space="0" w:color="auto"/>
            <w:left w:val="none" w:sz="0" w:space="0" w:color="auto"/>
            <w:bottom w:val="none" w:sz="0" w:space="0" w:color="auto"/>
            <w:right w:val="none" w:sz="0" w:space="0" w:color="auto"/>
          </w:divBdr>
          <w:divsChild>
            <w:div w:id="1167554124">
              <w:marLeft w:val="0"/>
              <w:marRight w:val="0"/>
              <w:marTop w:val="0"/>
              <w:marBottom w:val="0"/>
              <w:divBdr>
                <w:top w:val="none" w:sz="0" w:space="0" w:color="auto"/>
                <w:left w:val="none" w:sz="0" w:space="0" w:color="auto"/>
                <w:bottom w:val="none" w:sz="0" w:space="0" w:color="auto"/>
                <w:right w:val="none" w:sz="0" w:space="0" w:color="auto"/>
              </w:divBdr>
            </w:div>
          </w:divsChild>
        </w:div>
        <w:div w:id="1580213611">
          <w:marLeft w:val="0"/>
          <w:marRight w:val="0"/>
          <w:marTop w:val="0"/>
          <w:marBottom w:val="0"/>
          <w:divBdr>
            <w:top w:val="none" w:sz="0" w:space="0" w:color="auto"/>
            <w:left w:val="none" w:sz="0" w:space="0" w:color="auto"/>
            <w:bottom w:val="none" w:sz="0" w:space="0" w:color="auto"/>
            <w:right w:val="none" w:sz="0" w:space="0" w:color="auto"/>
          </w:divBdr>
          <w:divsChild>
            <w:div w:id="1698969052">
              <w:marLeft w:val="0"/>
              <w:marRight w:val="0"/>
              <w:marTop w:val="0"/>
              <w:marBottom w:val="0"/>
              <w:divBdr>
                <w:top w:val="none" w:sz="0" w:space="0" w:color="auto"/>
                <w:left w:val="none" w:sz="0" w:space="0" w:color="auto"/>
                <w:bottom w:val="none" w:sz="0" w:space="0" w:color="auto"/>
                <w:right w:val="none" w:sz="0" w:space="0" w:color="auto"/>
              </w:divBdr>
            </w:div>
          </w:divsChild>
        </w:div>
        <w:div w:id="1602881334">
          <w:marLeft w:val="0"/>
          <w:marRight w:val="0"/>
          <w:marTop w:val="0"/>
          <w:marBottom w:val="0"/>
          <w:divBdr>
            <w:top w:val="none" w:sz="0" w:space="0" w:color="auto"/>
            <w:left w:val="none" w:sz="0" w:space="0" w:color="auto"/>
            <w:bottom w:val="none" w:sz="0" w:space="0" w:color="auto"/>
            <w:right w:val="none" w:sz="0" w:space="0" w:color="auto"/>
          </w:divBdr>
          <w:divsChild>
            <w:div w:id="1846943328">
              <w:marLeft w:val="0"/>
              <w:marRight w:val="0"/>
              <w:marTop w:val="0"/>
              <w:marBottom w:val="0"/>
              <w:divBdr>
                <w:top w:val="none" w:sz="0" w:space="0" w:color="auto"/>
                <w:left w:val="none" w:sz="0" w:space="0" w:color="auto"/>
                <w:bottom w:val="none" w:sz="0" w:space="0" w:color="auto"/>
                <w:right w:val="none" w:sz="0" w:space="0" w:color="auto"/>
              </w:divBdr>
            </w:div>
          </w:divsChild>
        </w:div>
        <w:div w:id="1614820571">
          <w:marLeft w:val="0"/>
          <w:marRight w:val="0"/>
          <w:marTop w:val="0"/>
          <w:marBottom w:val="0"/>
          <w:divBdr>
            <w:top w:val="none" w:sz="0" w:space="0" w:color="auto"/>
            <w:left w:val="none" w:sz="0" w:space="0" w:color="auto"/>
            <w:bottom w:val="none" w:sz="0" w:space="0" w:color="auto"/>
            <w:right w:val="none" w:sz="0" w:space="0" w:color="auto"/>
          </w:divBdr>
          <w:divsChild>
            <w:div w:id="1865246900">
              <w:marLeft w:val="0"/>
              <w:marRight w:val="0"/>
              <w:marTop w:val="0"/>
              <w:marBottom w:val="0"/>
              <w:divBdr>
                <w:top w:val="none" w:sz="0" w:space="0" w:color="auto"/>
                <w:left w:val="none" w:sz="0" w:space="0" w:color="auto"/>
                <w:bottom w:val="none" w:sz="0" w:space="0" w:color="auto"/>
                <w:right w:val="none" w:sz="0" w:space="0" w:color="auto"/>
              </w:divBdr>
            </w:div>
          </w:divsChild>
        </w:div>
        <w:div w:id="1752581372">
          <w:marLeft w:val="0"/>
          <w:marRight w:val="0"/>
          <w:marTop w:val="0"/>
          <w:marBottom w:val="0"/>
          <w:divBdr>
            <w:top w:val="none" w:sz="0" w:space="0" w:color="auto"/>
            <w:left w:val="none" w:sz="0" w:space="0" w:color="auto"/>
            <w:bottom w:val="none" w:sz="0" w:space="0" w:color="auto"/>
            <w:right w:val="none" w:sz="0" w:space="0" w:color="auto"/>
          </w:divBdr>
          <w:divsChild>
            <w:div w:id="1811939828">
              <w:marLeft w:val="0"/>
              <w:marRight w:val="0"/>
              <w:marTop w:val="0"/>
              <w:marBottom w:val="0"/>
              <w:divBdr>
                <w:top w:val="none" w:sz="0" w:space="0" w:color="auto"/>
                <w:left w:val="none" w:sz="0" w:space="0" w:color="auto"/>
                <w:bottom w:val="none" w:sz="0" w:space="0" w:color="auto"/>
                <w:right w:val="none" w:sz="0" w:space="0" w:color="auto"/>
              </w:divBdr>
            </w:div>
          </w:divsChild>
        </w:div>
        <w:div w:id="1763601046">
          <w:marLeft w:val="0"/>
          <w:marRight w:val="0"/>
          <w:marTop w:val="0"/>
          <w:marBottom w:val="0"/>
          <w:divBdr>
            <w:top w:val="none" w:sz="0" w:space="0" w:color="auto"/>
            <w:left w:val="none" w:sz="0" w:space="0" w:color="auto"/>
            <w:bottom w:val="none" w:sz="0" w:space="0" w:color="auto"/>
            <w:right w:val="none" w:sz="0" w:space="0" w:color="auto"/>
          </w:divBdr>
          <w:divsChild>
            <w:div w:id="573442345">
              <w:marLeft w:val="0"/>
              <w:marRight w:val="0"/>
              <w:marTop w:val="0"/>
              <w:marBottom w:val="0"/>
              <w:divBdr>
                <w:top w:val="none" w:sz="0" w:space="0" w:color="auto"/>
                <w:left w:val="none" w:sz="0" w:space="0" w:color="auto"/>
                <w:bottom w:val="none" w:sz="0" w:space="0" w:color="auto"/>
                <w:right w:val="none" w:sz="0" w:space="0" w:color="auto"/>
              </w:divBdr>
            </w:div>
          </w:divsChild>
        </w:div>
        <w:div w:id="1801802889">
          <w:marLeft w:val="0"/>
          <w:marRight w:val="0"/>
          <w:marTop w:val="0"/>
          <w:marBottom w:val="0"/>
          <w:divBdr>
            <w:top w:val="none" w:sz="0" w:space="0" w:color="auto"/>
            <w:left w:val="none" w:sz="0" w:space="0" w:color="auto"/>
            <w:bottom w:val="none" w:sz="0" w:space="0" w:color="auto"/>
            <w:right w:val="none" w:sz="0" w:space="0" w:color="auto"/>
          </w:divBdr>
          <w:divsChild>
            <w:div w:id="328557237">
              <w:marLeft w:val="0"/>
              <w:marRight w:val="0"/>
              <w:marTop w:val="0"/>
              <w:marBottom w:val="0"/>
              <w:divBdr>
                <w:top w:val="none" w:sz="0" w:space="0" w:color="auto"/>
                <w:left w:val="none" w:sz="0" w:space="0" w:color="auto"/>
                <w:bottom w:val="none" w:sz="0" w:space="0" w:color="auto"/>
                <w:right w:val="none" w:sz="0" w:space="0" w:color="auto"/>
              </w:divBdr>
            </w:div>
          </w:divsChild>
        </w:div>
        <w:div w:id="1845852393">
          <w:marLeft w:val="0"/>
          <w:marRight w:val="0"/>
          <w:marTop w:val="0"/>
          <w:marBottom w:val="0"/>
          <w:divBdr>
            <w:top w:val="none" w:sz="0" w:space="0" w:color="auto"/>
            <w:left w:val="none" w:sz="0" w:space="0" w:color="auto"/>
            <w:bottom w:val="none" w:sz="0" w:space="0" w:color="auto"/>
            <w:right w:val="none" w:sz="0" w:space="0" w:color="auto"/>
          </w:divBdr>
          <w:divsChild>
            <w:div w:id="67263747">
              <w:marLeft w:val="0"/>
              <w:marRight w:val="0"/>
              <w:marTop w:val="0"/>
              <w:marBottom w:val="0"/>
              <w:divBdr>
                <w:top w:val="none" w:sz="0" w:space="0" w:color="auto"/>
                <w:left w:val="none" w:sz="0" w:space="0" w:color="auto"/>
                <w:bottom w:val="none" w:sz="0" w:space="0" w:color="auto"/>
                <w:right w:val="none" w:sz="0" w:space="0" w:color="auto"/>
              </w:divBdr>
            </w:div>
          </w:divsChild>
        </w:div>
        <w:div w:id="1865366238">
          <w:marLeft w:val="0"/>
          <w:marRight w:val="0"/>
          <w:marTop w:val="0"/>
          <w:marBottom w:val="0"/>
          <w:divBdr>
            <w:top w:val="none" w:sz="0" w:space="0" w:color="auto"/>
            <w:left w:val="none" w:sz="0" w:space="0" w:color="auto"/>
            <w:bottom w:val="none" w:sz="0" w:space="0" w:color="auto"/>
            <w:right w:val="none" w:sz="0" w:space="0" w:color="auto"/>
          </w:divBdr>
          <w:divsChild>
            <w:div w:id="979379532">
              <w:marLeft w:val="0"/>
              <w:marRight w:val="0"/>
              <w:marTop w:val="0"/>
              <w:marBottom w:val="0"/>
              <w:divBdr>
                <w:top w:val="none" w:sz="0" w:space="0" w:color="auto"/>
                <w:left w:val="none" w:sz="0" w:space="0" w:color="auto"/>
                <w:bottom w:val="none" w:sz="0" w:space="0" w:color="auto"/>
                <w:right w:val="none" w:sz="0" w:space="0" w:color="auto"/>
              </w:divBdr>
            </w:div>
          </w:divsChild>
        </w:div>
        <w:div w:id="1937402443">
          <w:marLeft w:val="0"/>
          <w:marRight w:val="0"/>
          <w:marTop w:val="0"/>
          <w:marBottom w:val="0"/>
          <w:divBdr>
            <w:top w:val="none" w:sz="0" w:space="0" w:color="auto"/>
            <w:left w:val="none" w:sz="0" w:space="0" w:color="auto"/>
            <w:bottom w:val="none" w:sz="0" w:space="0" w:color="auto"/>
            <w:right w:val="none" w:sz="0" w:space="0" w:color="auto"/>
          </w:divBdr>
          <w:divsChild>
            <w:div w:id="200672920">
              <w:marLeft w:val="0"/>
              <w:marRight w:val="0"/>
              <w:marTop w:val="0"/>
              <w:marBottom w:val="0"/>
              <w:divBdr>
                <w:top w:val="none" w:sz="0" w:space="0" w:color="auto"/>
                <w:left w:val="none" w:sz="0" w:space="0" w:color="auto"/>
                <w:bottom w:val="none" w:sz="0" w:space="0" w:color="auto"/>
                <w:right w:val="none" w:sz="0" w:space="0" w:color="auto"/>
              </w:divBdr>
            </w:div>
          </w:divsChild>
        </w:div>
        <w:div w:id="1949434827">
          <w:marLeft w:val="0"/>
          <w:marRight w:val="0"/>
          <w:marTop w:val="0"/>
          <w:marBottom w:val="0"/>
          <w:divBdr>
            <w:top w:val="none" w:sz="0" w:space="0" w:color="auto"/>
            <w:left w:val="none" w:sz="0" w:space="0" w:color="auto"/>
            <w:bottom w:val="none" w:sz="0" w:space="0" w:color="auto"/>
            <w:right w:val="none" w:sz="0" w:space="0" w:color="auto"/>
          </w:divBdr>
          <w:divsChild>
            <w:div w:id="1465586912">
              <w:marLeft w:val="0"/>
              <w:marRight w:val="0"/>
              <w:marTop w:val="0"/>
              <w:marBottom w:val="0"/>
              <w:divBdr>
                <w:top w:val="none" w:sz="0" w:space="0" w:color="auto"/>
                <w:left w:val="none" w:sz="0" w:space="0" w:color="auto"/>
                <w:bottom w:val="none" w:sz="0" w:space="0" w:color="auto"/>
                <w:right w:val="none" w:sz="0" w:space="0" w:color="auto"/>
              </w:divBdr>
            </w:div>
          </w:divsChild>
        </w:div>
        <w:div w:id="2021619603">
          <w:marLeft w:val="0"/>
          <w:marRight w:val="0"/>
          <w:marTop w:val="0"/>
          <w:marBottom w:val="0"/>
          <w:divBdr>
            <w:top w:val="none" w:sz="0" w:space="0" w:color="auto"/>
            <w:left w:val="none" w:sz="0" w:space="0" w:color="auto"/>
            <w:bottom w:val="none" w:sz="0" w:space="0" w:color="auto"/>
            <w:right w:val="none" w:sz="0" w:space="0" w:color="auto"/>
          </w:divBdr>
          <w:divsChild>
            <w:div w:id="1255700078">
              <w:marLeft w:val="0"/>
              <w:marRight w:val="0"/>
              <w:marTop w:val="0"/>
              <w:marBottom w:val="0"/>
              <w:divBdr>
                <w:top w:val="none" w:sz="0" w:space="0" w:color="auto"/>
                <w:left w:val="none" w:sz="0" w:space="0" w:color="auto"/>
                <w:bottom w:val="none" w:sz="0" w:space="0" w:color="auto"/>
                <w:right w:val="none" w:sz="0" w:space="0" w:color="auto"/>
              </w:divBdr>
            </w:div>
          </w:divsChild>
        </w:div>
        <w:div w:id="2041588681">
          <w:marLeft w:val="0"/>
          <w:marRight w:val="0"/>
          <w:marTop w:val="0"/>
          <w:marBottom w:val="0"/>
          <w:divBdr>
            <w:top w:val="none" w:sz="0" w:space="0" w:color="auto"/>
            <w:left w:val="none" w:sz="0" w:space="0" w:color="auto"/>
            <w:bottom w:val="none" w:sz="0" w:space="0" w:color="auto"/>
            <w:right w:val="none" w:sz="0" w:space="0" w:color="auto"/>
          </w:divBdr>
          <w:divsChild>
            <w:div w:id="2143843546">
              <w:marLeft w:val="0"/>
              <w:marRight w:val="0"/>
              <w:marTop w:val="0"/>
              <w:marBottom w:val="0"/>
              <w:divBdr>
                <w:top w:val="none" w:sz="0" w:space="0" w:color="auto"/>
                <w:left w:val="none" w:sz="0" w:space="0" w:color="auto"/>
                <w:bottom w:val="none" w:sz="0" w:space="0" w:color="auto"/>
                <w:right w:val="none" w:sz="0" w:space="0" w:color="auto"/>
              </w:divBdr>
            </w:div>
          </w:divsChild>
        </w:div>
        <w:div w:id="2142646160">
          <w:marLeft w:val="0"/>
          <w:marRight w:val="0"/>
          <w:marTop w:val="0"/>
          <w:marBottom w:val="0"/>
          <w:divBdr>
            <w:top w:val="none" w:sz="0" w:space="0" w:color="auto"/>
            <w:left w:val="none" w:sz="0" w:space="0" w:color="auto"/>
            <w:bottom w:val="none" w:sz="0" w:space="0" w:color="auto"/>
            <w:right w:val="none" w:sz="0" w:space="0" w:color="auto"/>
          </w:divBdr>
          <w:divsChild>
            <w:div w:id="5552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49172">
      <w:bodyDiv w:val="1"/>
      <w:marLeft w:val="0"/>
      <w:marRight w:val="0"/>
      <w:marTop w:val="0"/>
      <w:marBottom w:val="0"/>
      <w:divBdr>
        <w:top w:val="none" w:sz="0" w:space="0" w:color="auto"/>
        <w:left w:val="none" w:sz="0" w:space="0" w:color="auto"/>
        <w:bottom w:val="none" w:sz="0" w:space="0" w:color="auto"/>
        <w:right w:val="none" w:sz="0" w:space="0" w:color="auto"/>
      </w:divBdr>
      <w:divsChild>
        <w:div w:id="1713725">
          <w:marLeft w:val="0"/>
          <w:marRight w:val="0"/>
          <w:marTop w:val="0"/>
          <w:marBottom w:val="0"/>
          <w:divBdr>
            <w:top w:val="none" w:sz="0" w:space="0" w:color="auto"/>
            <w:left w:val="none" w:sz="0" w:space="0" w:color="auto"/>
            <w:bottom w:val="none" w:sz="0" w:space="0" w:color="auto"/>
            <w:right w:val="none" w:sz="0" w:space="0" w:color="auto"/>
          </w:divBdr>
        </w:div>
        <w:div w:id="12418288">
          <w:marLeft w:val="0"/>
          <w:marRight w:val="0"/>
          <w:marTop w:val="0"/>
          <w:marBottom w:val="0"/>
          <w:divBdr>
            <w:top w:val="none" w:sz="0" w:space="0" w:color="auto"/>
            <w:left w:val="none" w:sz="0" w:space="0" w:color="auto"/>
            <w:bottom w:val="none" w:sz="0" w:space="0" w:color="auto"/>
            <w:right w:val="none" w:sz="0" w:space="0" w:color="auto"/>
          </w:divBdr>
        </w:div>
        <w:div w:id="53285892">
          <w:marLeft w:val="0"/>
          <w:marRight w:val="0"/>
          <w:marTop w:val="0"/>
          <w:marBottom w:val="0"/>
          <w:divBdr>
            <w:top w:val="none" w:sz="0" w:space="0" w:color="auto"/>
            <w:left w:val="none" w:sz="0" w:space="0" w:color="auto"/>
            <w:bottom w:val="none" w:sz="0" w:space="0" w:color="auto"/>
            <w:right w:val="none" w:sz="0" w:space="0" w:color="auto"/>
          </w:divBdr>
        </w:div>
        <w:div w:id="74016254">
          <w:marLeft w:val="0"/>
          <w:marRight w:val="0"/>
          <w:marTop w:val="0"/>
          <w:marBottom w:val="0"/>
          <w:divBdr>
            <w:top w:val="none" w:sz="0" w:space="0" w:color="auto"/>
            <w:left w:val="none" w:sz="0" w:space="0" w:color="auto"/>
            <w:bottom w:val="none" w:sz="0" w:space="0" w:color="auto"/>
            <w:right w:val="none" w:sz="0" w:space="0" w:color="auto"/>
          </w:divBdr>
        </w:div>
        <w:div w:id="125391184">
          <w:marLeft w:val="0"/>
          <w:marRight w:val="0"/>
          <w:marTop w:val="0"/>
          <w:marBottom w:val="0"/>
          <w:divBdr>
            <w:top w:val="none" w:sz="0" w:space="0" w:color="auto"/>
            <w:left w:val="none" w:sz="0" w:space="0" w:color="auto"/>
            <w:bottom w:val="none" w:sz="0" w:space="0" w:color="auto"/>
            <w:right w:val="none" w:sz="0" w:space="0" w:color="auto"/>
          </w:divBdr>
        </w:div>
        <w:div w:id="131141794">
          <w:marLeft w:val="0"/>
          <w:marRight w:val="0"/>
          <w:marTop w:val="0"/>
          <w:marBottom w:val="0"/>
          <w:divBdr>
            <w:top w:val="none" w:sz="0" w:space="0" w:color="auto"/>
            <w:left w:val="none" w:sz="0" w:space="0" w:color="auto"/>
            <w:bottom w:val="none" w:sz="0" w:space="0" w:color="auto"/>
            <w:right w:val="none" w:sz="0" w:space="0" w:color="auto"/>
          </w:divBdr>
        </w:div>
        <w:div w:id="133447379">
          <w:marLeft w:val="0"/>
          <w:marRight w:val="0"/>
          <w:marTop w:val="0"/>
          <w:marBottom w:val="0"/>
          <w:divBdr>
            <w:top w:val="none" w:sz="0" w:space="0" w:color="auto"/>
            <w:left w:val="none" w:sz="0" w:space="0" w:color="auto"/>
            <w:bottom w:val="none" w:sz="0" w:space="0" w:color="auto"/>
            <w:right w:val="none" w:sz="0" w:space="0" w:color="auto"/>
          </w:divBdr>
        </w:div>
        <w:div w:id="157891587">
          <w:marLeft w:val="0"/>
          <w:marRight w:val="0"/>
          <w:marTop w:val="0"/>
          <w:marBottom w:val="0"/>
          <w:divBdr>
            <w:top w:val="none" w:sz="0" w:space="0" w:color="auto"/>
            <w:left w:val="none" w:sz="0" w:space="0" w:color="auto"/>
            <w:bottom w:val="none" w:sz="0" w:space="0" w:color="auto"/>
            <w:right w:val="none" w:sz="0" w:space="0" w:color="auto"/>
          </w:divBdr>
        </w:div>
        <w:div w:id="159271369">
          <w:marLeft w:val="0"/>
          <w:marRight w:val="0"/>
          <w:marTop w:val="0"/>
          <w:marBottom w:val="0"/>
          <w:divBdr>
            <w:top w:val="none" w:sz="0" w:space="0" w:color="auto"/>
            <w:left w:val="none" w:sz="0" w:space="0" w:color="auto"/>
            <w:bottom w:val="none" w:sz="0" w:space="0" w:color="auto"/>
            <w:right w:val="none" w:sz="0" w:space="0" w:color="auto"/>
          </w:divBdr>
        </w:div>
        <w:div w:id="186675274">
          <w:marLeft w:val="0"/>
          <w:marRight w:val="0"/>
          <w:marTop w:val="0"/>
          <w:marBottom w:val="0"/>
          <w:divBdr>
            <w:top w:val="none" w:sz="0" w:space="0" w:color="auto"/>
            <w:left w:val="none" w:sz="0" w:space="0" w:color="auto"/>
            <w:bottom w:val="none" w:sz="0" w:space="0" w:color="auto"/>
            <w:right w:val="none" w:sz="0" w:space="0" w:color="auto"/>
          </w:divBdr>
        </w:div>
        <w:div w:id="193469028">
          <w:marLeft w:val="0"/>
          <w:marRight w:val="0"/>
          <w:marTop w:val="0"/>
          <w:marBottom w:val="0"/>
          <w:divBdr>
            <w:top w:val="none" w:sz="0" w:space="0" w:color="auto"/>
            <w:left w:val="none" w:sz="0" w:space="0" w:color="auto"/>
            <w:bottom w:val="none" w:sz="0" w:space="0" w:color="auto"/>
            <w:right w:val="none" w:sz="0" w:space="0" w:color="auto"/>
          </w:divBdr>
          <w:divsChild>
            <w:div w:id="5639628">
              <w:marLeft w:val="0"/>
              <w:marRight w:val="0"/>
              <w:marTop w:val="0"/>
              <w:marBottom w:val="0"/>
              <w:divBdr>
                <w:top w:val="none" w:sz="0" w:space="0" w:color="auto"/>
                <w:left w:val="none" w:sz="0" w:space="0" w:color="auto"/>
                <w:bottom w:val="none" w:sz="0" w:space="0" w:color="auto"/>
                <w:right w:val="none" w:sz="0" w:space="0" w:color="auto"/>
              </w:divBdr>
            </w:div>
            <w:div w:id="99762395">
              <w:marLeft w:val="0"/>
              <w:marRight w:val="0"/>
              <w:marTop w:val="0"/>
              <w:marBottom w:val="0"/>
              <w:divBdr>
                <w:top w:val="none" w:sz="0" w:space="0" w:color="auto"/>
                <w:left w:val="none" w:sz="0" w:space="0" w:color="auto"/>
                <w:bottom w:val="none" w:sz="0" w:space="0" w:color="auto"/>
                <w:right w:val="none" w:sz="0" w:space="0" w:color="auto"/>
              </w:divBdr>
            </w:div>
            <w:div w:id="135999100">
              <w:marLeft w:val="0"/>
              <w:marRight w:val="0"/>
              <w:marTop w:val="0"/>
              <w:marBottom w:val="0"/>
              <w:divBdr>
                <w:top w:val="none" w:sz="0" w:space="0" w:color="auto"/>
                <w:left w:val="none" w:sz="0" w:space="0" w:color="auto"/>
                <w:bottom w:val="none" w:sz="0" w:space="0" w:color="auto"/>
                <w:right w:val="none" w:sz="0" w:space="0" w:color="auto"/>
              </w:divBdr>
            </w:div>
            <w:div w:id="561604533">
              <w:marLeft w:val="0"/>
              <w:marRight w:val="0"/>
              <w:marTop w:val="0"/>
              <w:marBottom w:val="0"/>
              <w:divBdr>
                <w:top w:val="none" w:sz="0" w:space="0" w:color="auto"/>
                <w:left w:val="none" w:sz="0" w:space="0" w:color="auto"/>
                <w:bottom w:val="none" w:sz="0" w:space="0" w:color="auto"/>
                <w:right w:val="none" w:sz="0" w:space="0" w:color="auto"/>
              </w:divBdr>
            </w:div>
            <w:div w:id="582682871">
              <w:marLeft w:val="0"/>
              <w:marRight w:val="0"/>
              <w:marTop w:val="0"/>
              <w:marBottom w:val="0"/>
              <w:divBdr>
                <w:top w:val="none" w:sz="0" w:space="0" w:color="auto"/>
                <w:left w:val="none" w:sz="0" w:space="0" w:color="auto"/>
                <w:bottom w:val="none" w:sz="0" w:space="0" w:color="auto"/>
                <w:right w:val="none" w:sz="0" w:space="0" w:color="auto"/>
              </w:divBdr>
            </w:div>
            <w:div w:id="596452323">
              <w:marLeft w:val="0"/>
              <w:marRight w:val="0"/>
              <w:marTop w:val="0"/>
              <w:marBottom w:val="0"/>
              <w:divBdr>
                <w:top w:val="none" w:sz="0" w:space="0" w:color="auto"/>
                <w:left w:val="none" w:sz="0" w:space="0" w:color="auto"/>
                <w:bottom w:val="none" w:sz="0" w:space="0" w:color="auto"/>
                <w:right w:val="none" w:sz="0" w:space="0" w:color="auto"/>
              </w:divBdr>
            </w:div>
            <w:div w:id="601492504">
              <w:marLeft w:val="0"/>
              <w:marRight w:val="0"/>
              <w:marTop w:val="0"/>
              <w:marBottom w:val="0"/>
              <w:divBdr>
                <w:top w:val="none" w:sz="0" w:space="0" w:color="auto"/>
                <w:left w:val="none" w:sz="0" w:space="0" w:color="auto"/>
                <w:bottom w:val="none" w:sz="0" w:space="0" w:color="auto"/>
                <w:right w:val="none" w:sz="0" w:space="0" w:color="auto"/>
              </w:divBdr>
            </w:div>
            <w:div w:id="665746956">
              <w:marLeft w:val="0"/>
              <w:marRight w:val="0"/>
              <w:marTop w:val="0"/>
              <w:marBottom w:val="0"/>
              <w:divBdr>
                <w:top w:val="none" w:sz="0" w:space="0" w:color="auto"/>
                <w:left w:val="none" w:sz="0" w:space="0" w:color="auto"/>
                <w:bottom w:val="none" w:sz="0" w:space="0" w:color="auto"/>
                <w:right w:val="none" w:sz="0" w:space="0" w:color="auto"/>
              </w:divBdr>
            </w:div>
            <w:div w:id="1003238489">
              <w:marLeft w:val="0"/>
              <w:marRight w:val="0"/>
              <w:marTop w:val="0"/>
              <w:marBottom w:val="0"/>
              <w:divBdr>
                <w:top w:val="none" w:sz="0" w:space="0" w:color="auto"/>
                <w:left w:val="none" w:sz="0" w:space="0" w:color="auto"/>
                <w:bottom w:val="none" w:sz="0" w:space="0" w:color="auto"/>
                <w:right w:val="none" w:sz="0" w:space="0" w:color="auto"/>
              </w:divBdr>
            </w:div>
            <w:div w:id="1027757998">
              <w:marLeft w:val="0"/>
              <w:marRight w:val="0"/>
              <w:marTop w:val="0"/>
              <w:marBottom w:val="0"/>
              <w:divBdr>
                <w:top w:val="none" w:sz="0" w:space="0" w:color="auto"/>
                <w:left w:val="none" w:sz="0" w:space="0" w:color="auto"/>
                <w:bottom w:val="none" w:sz="0" w:space="0" w:color="auto"/>
                <w:right w:val="none" w:sz="0" w:space="0" w:color="auto"/>
              </w:divBdr>
            </w:div>
            <w:div w:id="1035692727">
              <w:marLeft w:val="0"/>
              <w:marRight w:val="0"/>
              <w:marTop w:val="0"/>
              <w:marBottom w:val="0"/>
              <w:divBdr>
                <w:top w:val="none" w:sz="0" w:space="0" w:color="auto"/>
                <w:left w:val="none" w:sz="0" w:space="0" w:color="auto"/>
                <w:bottom w:val="none" w:sz="0" w:space="0" w:color="auto"/>
                <w:right w:val="none" w:sz="0" w:space="0" w:color="auto"/>
              </w:divBdr>
            </w:div>
            <w:div w:id="1141001626">
              <w:marLeft w:val="0"/>
              <w:marRight w:val="0"/>
              <w:marTop w:val="0"/>
              <w:marBottom w:val="0"/>
              <w:divBdr>
                <w:top w:val="none" w:sz="0" w:space="0" w:color="auto"/>
                <w:left w:val="none" w:sz="0" w:space="0" w:color="auto"/>
                <w:bottom w:val="none" w:sz="0" w:space="0" w:color="auto"/>
                <w:right w:val="none" w:sz="0" w:space="0" w:color="auto"/>
              </w:divBdr>
            </w:div>
            <w:div w:id="1201094377">
              <w:marLeft w:val="0"/>
              <w:marRight w:val="0"/>
              <w:marTop w:val="0"/>
              <w:marBottom w:val="0"/>
              <w:divBdr>
                <w:top w:val="none" w:sz="0" w:space="0" w:color="auto"/>
                <w:left w:val="none" w:sz="0" w:space="0" w:color="auto"/>
                <w:bottom w:val="none" w:sz="0" w:space="0" w:color="auto"/>
                <w:right w:val="none" w:sz="0" w:space="0" w:color="auto"/>
              </w:divBdr>
            </w:div>
            <w:div w:id="1390883683">
              <w:marLeft w:val="0"/>
              <w:marRight w:val="0"/>
              <w:marTop w:val="0"/>
              <w:marBottom w:val="0"/>
              <w:divBdr>
                <w:top w:val="none" w:sz="0" w:space="0" w:color="auto"/>
                <w:left w:val="none" w:sz="0" w:space="0" w:color="auto"/>
                <w:bottom w:val="none" w:sz="0" w:space="0" w:color="auto"/>
                <w:right w:val="none" w:sz="0" w:space="0" w:color="auto"/>
              </w:divBdr>
            </w:div>
            <w:div w:id="1466966381">
              <w:marLeft w:val="0"/>
              <w:marRight w:val="0"/>
              <w:marTop w:val="0"/>
              <w:marBottom w:val="0"/>
              <w:divBdr>
                <w:top w:val="none" w:sz="0" w:space="0" w:color="auto"/>
                <w:left w:val="none" w:sz="0" w:space="0" w:color="auto"/>
                <w:bottom w:val="none" w:sz="0" w:space="0" w:color="auto"/>
                <w:right w:val="none" w:sz="0" w:space="0" w:color="auto"/>
              </w:divBdr>
            </w:div>
            <w:div w:id="1754816345">
              <w:marLeft w:val="0"/>
              <w:marRight w:val="0"/>
              <w:marTop w:val="0"/>
              <w:marBottom w:val="0"/>
              <w:divBdr>
                <w:top w:val="none" w:sz="0" w:space="0" w:color="auto"/>
                <w:left w:val="none" w:sz="0" w:space="0" w:color="auto"/>
                <w:bottom w:val="none" w:sz="0" w:space="0" w:color="auto"/>
                <w:right w:val="none" w:sz="0" w:space="0" w:color="auto"/>
              </w:divBdr>
            </w:div>
            <w:div w:id="1847552813">
              <w:marLeft w:val="0"/>
              <w:marRight w:val="0"/>
              <w:marTop w:val="0"/>
              <w:marBottom w:val="0"/>
              <w:divBdr>
                <w:top w:val="none" w:sz="0" w:space="0" w:color="auto"/>
                <w:left w:val="none" w:sz="0" w:space="0" w:color="auto"/>
                <w:bottom w:val="none" w:sz="0" w:space="0" w:color="auto"/>
                <w:right w:val="none" w:sz="0" w:space="0" w:color="auto"/>
              </w:divBdr>
            </w:div>
            <w:div w:id="1886719167">
              <w:marLeft w:val="0"/>
              <w:marRight w:val="0"/>
              <w:marTop w:val="0"/>
              <w:marBottom w:val="0"/>
              <w:divBdr>
                <w:top w:val="none" w:sz="0" w:space="0" w:color="auto"/>
                <w:left w:val="none" w:sz="0" w:space="0" w:color="auto"/>
                <w:bottom w:val="none" w:sz="0" w:space="0" w:color="auto"/>
                <w:right w:val="none" w:sz="0" w:space="0" w:color="auto"/>
              </w:divBdr>
            </w:div>
            <w:div w:id="2011517595">
              <w:marLeft w:val="0"/>
              <w:marRight w:val="0"/>
              <w:marTop w:val="0"/>
              <w:marBottom w:val="0"/>
              <w:divBdr>
                <w:top w:val="none" w:sz="0" w:space="0" w:color="auto"/>
                <w:left w:val="none" w:sz="0" w:space="0" w:color="auto"/>
                <w:bottom w:val="none" w:sz="0" w:space="0" w:color="auto"/>
                <w:right w:val="none" w:sz="0" w:space="0" w:color="auto"/>
              </w:divBdr>
            </w:div>
            <w:div w:id="2097625377">
              <w:marLeft w:val="0"/>
              <w:marRight w:val="0"/>
              <w:marTop w:val="0"/>
              <w:marBottom w:val="0"/>
              <w:divBdr>
                <w:top w:val="none" w:sz="0" w:space="0" w:color="auto"/>
                <w:left w:val="none" w:sz="0" w:space="0" w:color="auto"/>
                <w:bottom w:val="none" w:sz="0" w:space="0" w:color="auto"/>
                <w:right w:val="none" w:sz="0" w:space="0" w:color="auto"/>
              </w:divBdr>
            </w:div>
          </w:divsChild>
        </w:div>
        <w:div w:id="213737337">
          <w:marLeft w:val="0"/>
          <w:marRight w:val="0"/>
          <w:marTop w:val="0"/>
          <w:marBottom w:val="0"/>
          <w:divBdr>
            <w:top w:val="none" w:sz="0" w:space="0" w:color="auto"/>
            <w:left w:val="none" w:sz="0" w:space="0" w:color="auto"/>
            <w:bottom w:val="none" w:sz="0" w:space="0" w:color="auto"/>
            <w:right w:val="none" w:sz="0" w:space="0" w:color="auto"/>
          </w:divBdr>
        </w:div>
        <w:div w:id="243800416">
          <w:marLeft w:val="0"/>
          <w:marRight w:val="0"/>
          <w:marTop w:val="0"/>
          <w:marBottom w:val="0"/>
          <w:divBdr>
            <w:top w:val="none" w:sz="0" w:space="0" w:color="auto"/>
            <w:left w:val="none" w:sz="0" w:space="0" w:color="auto"/>
            <w:bottom w:val="none" w:sz="0" w:space="0" w:color="auto"/>
            <w:right w:val="none" w:sz="0" w:space="0" w:color="auto"/>
          </w:divBdr>
        </w:div>
        <w:div w:id="268046800">
          <w:marLeft w:val="0"/>
          <w:marRight w:val="0"/>
          <w:marTop w:val="0"/>
          <w:marBottom w:val="0"/>
          <w:divBdr>
            <w:top w:val="none" w:sz="0" w:space="0" w:color="auto"/>
            <w:left w:val="none" w:sz="0" w:space="0" w:color="auto"/>
            <w:bottom w:val="none" w:sz="0" w:space="0" w:color="auto"/>
            <w:right w:val="none" w:sz="0" w:space="0" w:color="auto"/>
          </w:divBdr>
        </w:div>
        <w:div w:id="278100506">
          <w:marLeft w:val="0"/>
          <w:marRight w:val="0"/>
          <w:marTop w:val="0"/>
          <w:marBottom w:val="0"/>
          <w:divBdr>
            <w:top w:val="none" w:sz="0" w:space="0" w:color="auto"/>
            <w:left w:val="none" w:sz="0" w:space="0" w:color="auto"/>
            <w:bottom w:val="none" w:sz="0" w:space="0" w:color="auto"/>
            <w:right w:val="none" w:sz="0" w:space="0" w:color="auto"/>
          </w:divBdr>
        </w:div>
        <w:div w:id="279842513">
          <w:marLeft w:val="0"/>
          <w:marRight w:val="0"/>
          <w:marTop w:val="0"/>
          <w:marBottom w:val="0"/>
          <w:divBdr>
            <w:top w:val="none" w:sz="0" w:space="0" w:color="auto"/>
            <w:left w:val="none" w:sz="0" w:space="0" w:color="auto"/>
            <w:bottom w:val="none" w:sz="0" w:space="0" w:color="auto"/>
            <w:right w:val="none" w:sz="0" w:space="0" w:color="auto"/>
          </w:divBdr>
        </w:div>
        <w:div w:id="306473584">
          <w:marLeft w:val="0"/>
          <w:marRight w:val="0"/>
          <w:marTop w:val="0"/>
          <w:marBottom w:val="0"/>
          <w:divBdr>
            <w:top w:val="none" w:sz="0" w:space="0" w:color="auto"/>
            <w:left w:val="none" w:sz="0" w:space="0" w:color="auto"/>
            <w:bottom w:val="none" w:sz="0" w:space="0" w:color="auto"/>
            <w:right w:val="none" w:sz="0" w:space="0" w:color="auto"/>
          </w:divBdr>
          <w:divsChild>
            <w:div w:id="5254936">
              <w:marLeft w:val="0"/>
              <w:marRight w:val="0"/>
              <w:marTop w:val="0"/>
              <w:marBottom w:val="0"/>
              <w:divBdr>
                <w:top w:val="none" w:sz="0" w:space="0" w:color="auto"/>
                <w:left w:val="none" w:sz="0" w:space="0" w:color="auto"/>
                <w:bottom w:val="none" w:sz="0" w:space="0" w:color="auto"/>
                <w:right w:val="none" w:sz="0" w:space="0" w:color="auto"/>
              </w:divBdr>
            </w:div>
            <w:div w:id="19017778">
              <w:marLeft w:val="0"/>
              <w:marRight w:val="0"/>
              <w:marTop w:val="0"/>
              <w:marBottom w:val="0"/>
              <w:divBdr>
                <w:top w:val="none" w:sz="0" w:space="0" w:color="auto"/>
                <w:left w:val="none" w:sz="0" w:space="0" w:color="auto"/>
                <w:bottom w:val="none" w:sz="0" w:space="0" w:color="auto"/>
                <w:right w:val="none" w:sz="0" w:space="0" w:color="auto"/>
              </w:divBdr>
            </w:div>
            <w:div w:id="184756625">
              <w:marLeft w:val="0"/>
              <w:marRight w:val="0"/>
              <w:marTop w:val="0"/>
              <w:marBottom w:val="0"/>
              <w:divBdr>
                <w:top w:val="none" w:sz="0" w:space="0" w:color="auto"/>
                <w:left w:val="none" w:sz="0" w:space="0" w:color="auto"/>
                <w:bottom w:val="none" w:sz="0" w:space="0" w:color="auto"/>
                <w:right w:val="none" w:sz="0" w:space="0" w:color="auto"/>
              </w:divBdr>
            </w:div>
            <w:div w:id="277755904">
              <w:marLeft w:val="0"/>
              <w:marRight w:val="0"/>
              <w:marTop w:val="0"/>
              <w:marBottom w:val="0"/>
              <w:divBdr>
                <w:top w:val="none" w:sz="0" w:space="0" w:color="auto"/>
                <w:left w:val="none" w:sz="0" w:space="0" w:color="auto"/>
                <w:bottom w:val="none" w:sz="0" w:space="0" w:color="auto"/>
                <w:right w:val="none" w:sz="0" w:space="0" w:color="auto"/>
              </w:divBdr>
            </w:div>
            <w:div w:id="449203634">
              <w:marLeft w:val="0"/>
              <w:marRight w:val="0"/>
              <w:marTop w:val="0"/>
              <w:marBottom w:val="0"/>
              <w:divBdr>
                <w:top w:val="none" w:sz="0" w:space="0" w:color="auto"/>
                <w:left w:val="none" w:sz="0" w:space="0" w:color="auto"/>
                <w:bottom w:val="none" w:sz="0" w:space="0" w:color="auto"/>
                <w:right w:val="none" w:sz="0" w:space="0" w:color="auto"/>
              </w:divBdr>
            </w:div>
            <w:div w:id="461114701">
              <w:marLeft w:val="0"/>
              <w:marRight w:val="0"/>
              <w:marTop w:val="0"/>
              <w:marBottom w:val="0"/>
              <w:divBdr>
                <w:top w:val="none" w:sz="0" w:space="0" w:color="auto"/>
                <w:left w:val="none" w:sz="0" w:space="0" w:color="auto"/>
                <w:bottom w:val="none" w:sz="0" w:space="0" w:color="auto"/>
                <w:right w:val="none" w:sz="0" w:space="0" w:color="auto"/>
              </w:divBdr>
            </w:div>
            <w:div w:id="560025349">
              <w:marLeft w:val="0"/>
              <w:marRight w:val="0"/>
              <w:marTop w:val="0"/>
              <w:marBottom w:val="0"/>
              <w:divBdr>
                <w:top w:val="none" w:sz="0" w:space="0" w:color="auto"/>
                <w:left w:val="none" w:sz="0" w:space="0" w:color="auto"/>
                <w:bottom w:val="none" w:sz="0" w:space="0" w:color="auto"/>
                <w:right w:val="none" w:sz="0" w:space="0" w:color="auto"/>
              </w:divBdr>
            </w:div>
            <w:div w:id="800195240">
              <w:marLeft w:val="0"/>
              <w:marRight w:val="0"/>
              <w:marTop w:val="0"/>
              <w:marBottom w:val="0"/>
              <w:divBdr>
                <w:top w:val="none" w:sz="0" w:space="0" w:color="auto"/>
                <w:left w:val="none" w:sz="0" w:space="0" w:color="auto"/>
                <w:bottom w:val="none" w:sz="0" w:space="0" w:color="auto"/>
                <w:right w:val="none" w:sz="0" w:space="0" w:color="auto"/>
              </w:divBdr>
            </w:div>
            <w:div w:id="813378371">
              <w:marLeft w:val="0"/>
              <w:marRight w:val="0"/>
              <w:marTop w:val="0"/>
              <w:marBottom w:val="0"/>
              <w:divBdr>
                <w:top w:val="none" w:sz="0" w:space="0" w:color="auto"/>
                <w:left w:val="none" w:sz="0" w:space="0" w:color="auto"/>
                <w:bottom w:val="none" w:sz="0" w:space="0" w:color="auto"/>
                <w:right w:val="none" w:sz="0" w:space="0" w:color="auto"/>
              </w:divBdr>
            </w:div>
            <w:div w:id="1119834822">
              <w:marLeft w:val="0"/>
              <w:marRight w:val="0"/>
              <w:marTop w:val="0"/>
              <w:marBottom w:val="0"/>
              <w:divBdr>
                <w:top w:val="none" w:sz="0" w:space="0" w:color="auto"/>
                <w:left w:val="none" w:sz="0" w:space="0" w:color="auto"/>
                <w:bottom w:val="none" w:sz="0" w:space="0" w:color="auto"/>
                <w:right w:val="none" w:sz="0" w:space="0" w:color="auto"/>
              </w:divBdr>
            </w:div>
            <w:div w:id="1163740030">
              <w:marLeft w:val="0"/>
              <w:marRight w:val="0"/>
              <w:marTop w:val="0"/>
              <w:marBottom w:val="0"/>
              <w:divBdr>
                <w:top w:val="none" w:sz="0" w:space="0" w:color="auto"/>
                <w:left w:val="none" w:sz="0" w:space="0" w:color="auto"/>
                <w:bottom w:val="none" w:sz="0" w:space="0" w:color="auto"/>
                <w:right w:val="none" w:sz="0" w:space="0" w:color="auto"/>
              </w:divBdr>
            </w:div>
            <w:div w:id="1376394579">
              <w:marLeft w:val="0"/>
              <w:marRight w:val="0"/>
              <w:marTop w:val="0"/>
              <w:marBottom w:val="0"/>
              <w:divBdr>
                <w:top w:val="none" w:sz="0" w:space="0" w:color="auto"/>
                <w:left w:val="none" w:sz="0" w:space="0" w:color="auto"/>
                <w:bottom w:val="none" w:sz="0" w:space="0" w:color="auto"/>
                <w:right w:val="none" w:sz="0" w:space="0" w:color="auto"/>
              </w:divBdr>
            </w:div>
            <w:div w:id="1425689745">
              <w:marLeft w:val="0"/>
              <w:marRight w:val="0"/>
              <w:marTop w:val="0"/>
              <w:marBottom w:val="0"/>
              <w:divBdr>
                <w:top w:val="none" w:sz="0" w:space="0" w:color="auto"/>
                <w:left w:val="none" w:sz="0" w:space="0" w:color="auto"/>
                <w:bottom w:val="none" w:sz="0" w:space="0" w:color="auto"/>
                <w:right w:val="none" w:sz="0" w:space="0" w:color="auto"/>
              </w:divBdr>
            </w:div>
            <w:div w:id="1702972842">
              <w:marLeft w:val="0"/>
              <w:marRight w:val="0"/>
              <w:marTop w:val="0"/>
              <w:marBottom w:val="0"/>
              <w:divBdr>
                <w:top w:val="none" w:sz="0" w:space="0" w:color="auto"/>
                <w:left w:val="none" w:sz="0" w:space="0" w:color="auto"/>
                <w:bottom w:val="none" w:sz="0" w:space="0" w:color="auto"/>
                <w:right w:val="none" w:sz="0" w:space="0" w:color="auto"/>
              </w:divBdr>
            </w:div>
            <w:div w:id="1783917205">
              <w:marLeft w:val="0"/>
              <w:marRight w:val="0"/>
              <w:marTop w:val="0"/>
              <w:marBottom w:val="0"/>
              <w:divBdr>
                <w:top w:val="none" w:sz="0" w:space="0" w:color="auto"/>
                <w:left w:val="none" w:sz="0" w:space="0" w:color="auto"/>
                <w:bottom w:val="none" w:sz="0" w:space="0" w:color="auto"/>
                <w:right w:val="none" w:sz="0" w:space="0" w:color="auto"/>
              </w:divBdr>
            </w:div>
            <w:div w:id="1857309035">
              <w:marLeft w:val="0"/>
              <w:marRight w:val="0"/>
              <w:marTop w:val="0"/>
              <w:marBottom w:val="0"/>
              <w:divBdr>
                <w:top w:val="none" w:sz="0" w:space="0" w:color="auto"/>
                <w:left w:val="none" w:sz="0" w:space="0" w:color="auto"/>
                <w:bottom w:val="none" w:sz="0" w:space="0" w:color="auto"/>
                <w:right w:val="none" w:sz="0" w:space="0" w:color="auto"/>
              </w:divBdr>
            </w:div>
            <w:div w:id="1955287983">
              <w:marLeft w:val="0"/>
              <w:marRight w:val="0"/>
              <w:marTop w:val="0"/>
              <w:marBottom w:val="0"/>
              <w:divBdr>
                <w:top w:val="none" w:sz="0" w:space="0" w:color="auto"/>
                <w:left w:val="none" w:sz="0" w:space="0" w:color="auto"/>
                <w:bottom w:val="none" w:sz="0" w:space="0" w:color="auto"/>
                <w:right w:val="none" w:sz="0" w:space="0" w:color="auto"/>
              </w:divBdr>
            </w:div>
            <w:div w:id="1958177609">
              <w:marLeft w:val="0"/>
              <w:marRight w:val="0"/>
              <w:marTop w:val="0"/>
              <w:marBottom w:val="0"/>
              <w:divBdr>
                <w:top w:val="none" w:sz="0" w:space="0" w:color="auto"/>
                <w:left w:val="none" w:sz="0" w:space="0" w:color="auto"/>
                <w:bottom w:val="none" w:sz="0" w:space="0" w:color="auto"/>
                <w:right w:val="none" w:sz="0" w:space="0" w:color="auto"/>
              </w:divBdr>
            </w:div>
            <w:div w:id="2010012692">
              <w:marLeft w:val="0"/>
              <w:marRight w:val="0"/>
              <w:marTop w:val="0"/>
              <w:marBottom w:val="0"/>
              <w:divBdr>
                <w:top w:val="none" w:sz="0" w:space="0" w:color="auto"/>
                <w:left w:val="none" w:sz="0" w:space="0" w:color="auto"/>
                <w:bottom w:val="none" w:sz="0" w:space="0" w:color="auto"/>
                <w:right w:val="none" w:sz="0" w:space="0" w:color="auto"/>
              </w:divBdr>
            </w:div>
            <w:div w:id="2093890580">
              <w:marLeft w:val="0"/>
              <w:marRight w:val="0"/>
              <w:marTop w:val="0"/>
              <w:marBottom w:val="0"/>
              <w:divBdr>
                <w:top w:val="none" w:sz="0" w:space="0" w:color="auto"/>
                <w:left w:val="none" w:sz="0" w:space="0" w:color="auto"/>
                <w:bottom w:val="none" w:sz="0" w:space="0" w:color="auto"/>
                <w:right w:val="none" w:sz="0" w:space="0" w:color="auto"/>
              </w:divBdr>
            </w:div>
          </w:divsChild>
        </w:div>
        <w:div w:id="311451973">
          <w:marLeft w:val="0"/>
          <w:marRight w:val="0"/>
          <w:marTop w:val="0"/>
          <w:marBottom w:val="0"/>
          <w:divBdr>
            <w:top w:val="none" w:sz="0" w:space="0" w:color="auto"/>
            <w:left w:val="none" w:sz="0" w:space="0" w:color="auto"/>
            <w:bottom w:val="none" w:sz="0" w:space="0" w:color="auto"/>
            <w:right w:val="none" w:sz="0" w:space="0" w:color="auto"/>
          </w:divBdr>
        </w:div>
        <w:div w:id="327564915">
          <w:marLeft w:val="0"/>
          <w:marRight w:val="0"/>
          <w:marTop w:val="0"/>
          <w:marBottom w:val="0"/>
          <w:divBdr>
            <w:top w:val="none" w:sz="0" w:space="0" w:color="auto"/>
            <w:left w:val="none" w:sz="0" w:space="0" w:color="auto"/>
            <w:bottom w:val="none" w:sz="0" w:space="0" w:color="auto"/>
            <w:right w:val="none" w:sz="0" w:space="0" w:color="auto"/>
          </w:divBdr>
          <w:divsChild>
            <w:div w:id="95053965">
              <w:marLeft w:val="0"/>
              <w:marRight w:val="0"/>
              <w:marTop w:val="0"/>
              <w:marBottom w:val="0"/>
              <w:divBdr>
                <w:top w:val="none" w:sz="0" w:space="0" w:color="auto"/>
                <w:left w:val="none" w:sz="0" w:space="0" w:color="auto"/>
                <w:bottom w:val="none" w:sz="0" w:space="0" w:color="auto"/>
                <w:right w:val="none" w:sz="0" w:space="0" w:color="auto"/>
              </w:divBdr>
            </w:div>
            <w:div w:id="136916544">
              <w:marLeft w:val="0"/>
              <w:marRight w:val="0"/>
              <w:marTop w:val="0"/>
              <w:marBottom w:val="0"/>
              <w:divBdr>
                <w:top w:val="none" w:sz="0" w:space="0" w:color="auto"/>
                <w:left w:val="none" w:sz="0" w:space="0" w:color="auto"/>
                <w:bottom w:val="none" w:sz="0" w:space="0" w:color="auto"/>
                <w:right w:val="none" w:sz="0" w:space="0" w:color="auto"/>
              </w:divBdr>
            </w:div>
            <w:div w:id="284699771">
              <w:marLeft w:val="0"/>
              <w:marRight w:val="0"/>
              <w:marTop w:val="0"/>
              <w:marBottom w:val="0"/>
              <w:divBdr>
                <w:top w:val="none" w:sz="0" w:space="0" w:color="auto"/>
                <w:left w:val="none" w:sz="0" w:space="0" w:color="auto"/>
                <w:bottom w:val="none" w:sz="0" w:space="0" w:color="auto"/>
                <w:right w:val="none" w:sz="0" w:space="0" w:color="auto"/>
              </w:divBdr>
            </w:div>
            <w:div w:id="475071558">
              <w:marLeft w:val="0"/>
              <w:marRight w:val="0"/>
              <w:marTop w:val="0"/>
              <w:marBottom w:val="0"/>
              <w:divBdr>
                <w:top w:val="none" w:sz="0" w:space="0" w:color="auto"/>
                <w:left w:val="none" w:sz="0" w:space="0" w:color="auto"/>
                <w:bottom w:val="none" w:sz="0" w:space="0" w:color="auto"/>
                <w:right w:val="none" w:sz="0" w:space="0" w:color="auto"/>
              </w:divBdr>
            </w:div>
            <w:div w:id="756941409">
              <w:marLeft w:val="0"/>
              <w:marRight w:val="0"/>
              <w:marTop w:val="0"/>
              <w:marBottom w:val="0"/>
              <w:divBdr>
                <w:top w:val="none" w:sz="0" w:space="0" w:color="auto"/>
                <w:left w:val="none" w:sz="0" w:space="0" w:color="auto"/>
                <w:bottom w:val="none" w:sz="0" w:space="0" w:color="auto"/>
                <w:right w:val="none" w:sz="0" w:space="0" w:color="auto"/>
              </w:divBdr>
            </w:div>
            <w:div w:id="1244878027">
              <w:marLeft w:val="0"/>
              <w:marRight w:val="0"/>
              <w:marTop w:val="0"/>
              <w:marBottom w:val="0"/>
              <w:divBdr>
                <w:top w:val="none" w:sz="0" w:space="0" w:color="auto"/>
                <w:left w:val="none" w:sz="0" w:space="0" w:color="auto"/>
                <w:bottom w:val="none" w:sz="0" w:space="0" w:color="auto"/>
                <w:right w:val="none" w:sz="0" w:space="0" w:color="auto"/>
              </w:divBdr>
            </w:div>
            <w:div w:id="1279987108">
              <w:marLeft w:val="0"/>
              <w:marRight w:val="0"/>
              <w:marTop w:val="0"/>
              <w:marBottom w:val="0"/>
              <w:divBdr>
                <w:top w:val="none" w:sz="0" w:space="0" w:color="auto"/>
                <w:left w:val="none" w:sz="0" w:space="0" w:color="auto"/>
                <w:bottom w:val="none" w:sz="0" w:space="0" w:color="auto"/>
                <w:right w:val="none" w:sz="0" w:space="0" w:color="auto"/>
              </w:divBdr>
            </w:div>
            <w:div w:id="1288050897">
              <w:marLeft w:val="0"/>
              <w:marRight w:val="0"/>
              <w:marTop w:val="0"/>
              <w:marBottom w:val="0"/>
              <w:divBdr>
                <w:top w:val="none" w:sz="0" w:space="0" w:color="auto"/>
                <w:left w:val="none" w:sz="0" w:space="0" w:color="auto"/>
                <w:bottom w:val="none" w:sz="0" w:space="0" w:color="auto"/>
                <w:right w:val="none" w:sz="0" w:space="0" w:color="auto"/>
              </w:divBdr>
            </w:div>
            <w:div w:id="1721129299">
              <w:marLeft w:val="0"/>
              <w:marRight w:val="0"/>
              <w:marTop w:val="0"/>
              <w:marBottom w:val="0"/>
              <w:divBdr>
                <w:top w:val="none" w:sz="0" w:space="0" w:color="auto"/>
                <w:left w:val="none" w:sz="0" w:space="0" w:color="auto"/>
                <w:bottom w:val="none" w:sz="0" w:space="0" w:color="auto"/>
                <w:right w:val="none" w:sz="0" w:space="0" w:color="auto"/>
              </w:divBdr>
            </w:div>
            <w:div w:id="1777405742">
              <w:marLeft w:val="0"/>
              <w:marRight w:val="0"/>
              <w:marTop w:val="0"/>
              <w:marBottom w:val="0"/>
              <w:divBdr>
                <w:top w:val="none" w:sz="0" w:space="0" w:color="auto"/>
                <w:left w:val="none" w:sz="0" w:space="0" w:color="auto"/>
                <w:bottom w:val="none" w:sz="0" w:space="0" w:color="auto"/>
                <w:right w:val="none" w:sz="0" w:space="0" w:color="auto"/>
              </w:divBdr>
            </w:div>
            <w:div w:id="1940209942">
              <w:marLeft w:val="0"/>
              <w:marRight w:val="0"/>
              <w:marTop w:val="0"/>
              <w:marBottom w:val="0"/>
              <w:divBdr>
                <w:top w:val="none" w:sz="0" w:space="0" w:color="auto"/>
                <w:left w:val="none" w:sz="0" w:space="0" w:color="auto"/>
                <w:bottom w:val="none" w:sz="0" w:space="0" w:color="auto"/>
                <w:right w:val="none" w:sz="0" w:space="0" w:color="auto"/>
              </w:divBdr>
            </w:div>
            <w:div w:id="1971204768">
              <w:marLeft w:val="0"/>
              <w:marRight w:val="0"/>
              <w:marTop w:val="0"/>
              <w:marBottom w:val="0"/>
              <w:divBdr>
                <w:top w:val="none" w:sz="0" w:space="0" w:color="auto"/>
                <w:left w:val="none" w:sz="0" w:space="0" w:color="auto"/>
                <w:bottom w:val="none" w:sz="0" w:space="0" w:color="auto"/>
                <w:right w:val="none" w:sz="0" w:space="0" w:color="auto"/>
              </w:divBdr>
            </w:div>
            <w:div w:id="2038002707">
              <w:marLeft w:val="0"/>
              <w:marRight w:val="0"/>
              <w:marTop w:val="0"/>
              <w:marBottom w:val="0"/>
              <w:divBdr>
                <w:top w:val="none" w:sz="0" w:space="0" w:color="auto"/>
                <w:left w:val="none" w:sz="0" w:space="0" w:color="auto"/>
                <w:bottom w:val="none" w:sz="0" w:space="0" w:color="auto"/>
                <w:right w:val="none" w:sz="0" w:space="0" w:color="auto"/>
              </w:divBdr>
            </w:div>
            <w:div w:id="2040736398">
              <w:marLeft w:val="0"/>
              <w:marRight w:val="0"/>
              <w:marTop w:val="0"/>
              <w:marBottom w:val="0"/>
              <w:divBdr>
                <w:top w:val="none" w:sz="0" w:space="0" w:color="auto"/>
                <w:left w:val="none" w:sz="0" w:space="0" w:color="auto"/>
                <w:bottom w:val="none" w:sz="0" w:space="0" w:color="auto"/>
                <w:right w:val="none" w:sz="0" w:space="0" w:color="auto"/>
              </w:divBdr>
            </w:div>
            <w:div w:id="2111926596">
              <w:marLeft w:val="0"/>
              <w:marRight w:val="0"/>
              <w:marTop w:val="0"/>
              <w:marBottom w:val="0"/>
              <w:divBdr>
                <w:top w:val="none" w:sz="0" w:space="0" w:color="auto"/>
                <w:left w:val="none" w:sz="0" w:space="0" w:color="auto"/>
                <w:bottom w:val="none" w:sz="0" w:space="0" w:color="auto"/>
                <w:right w:val="none" w:sz="0" w:space="0" w:color="auto"/>
              </w:divBdr>
            </w:div>
          </w:divsChild>
        </w:div>
        <w:div w:id="367490785">
          <w:marLeft w:val="0"/>
          <w:marRight w:val="0"/>
          <w:marTop w:val="0"/>
          <w:marBottom w:val="0"/>
          <w:divBdr>
            <w:top w:val="none" w:sz="0" w:space="0" w:color="auto"/>
            <w:left w:val="none" w:sz="0" w:space="0" w:color="auto"/>
            <w:bottom w:val="none" w:sz="0" w:space="0" w:color="auto"/>
            <w:right w:val="none" w:sz="0" w:space="0" w:color="auto"/>
          </w:divBdr>
        </w:div>
        <w:div w:id="381252113">
          <w:marLeft w:val="0"/>
          <w:marRight w:val="0"/>
          <w:marTop w:val="0"/>
          <w:marBottom w:val="0"/>
          <w:divBdr>
            <w:top w:val="none" w:sz="0" w:space="0" w:color="auto"/>
            <w:left w:val="none" w:sz="0" w:space="0" w:color="auto"/>
            <w:bottom w:val="none" w:sz="0" w:space="0" w:color="auto"/>
            <w:right w:val="none" w:sz="0" w:space="0" w:color="auto"/>
          </w:divBdr>
        </w:div>
        <w:div w:id="390737027">
          <w:marLeft w:val="0"/>
          <w:marRight w:val="0"/>
          <w:marTop w:val="0"/>
          <w:marBottom w:val="0"/>
          <w:divBdr>
            <w:top w:val="none" w:sz="0" w:space="0" w:color="auto"/>
            <w:left w:val="none" w:sz="0" w:space="0" w:color="auto"/>
            <w:bottom w:val="none" w:sz="0" w:space="0" w:color="auto"/>
            <w:right w:val="none" w:sz="0" w:space="0" w:color="auto"/>
          </w:divBdr>
          <w:divsChild>
            <w:div w:id="148834326">
              <w:marLeft w:val="0"/>
              <w:marRight w:val="0"/>
              <w:marTop w:val="0"/>
              <w:marBottom w:val="0"/>
              <w:divBdr>
                <w:top w:val="none" w:sz="0" w:space="0" w:color="auto"/>
                <w:left w:val="none" w:sz="0" w:space="0" w:color="auto"/>
                <w:bottom w:val="none" w:sz="0" w:space="0" w:color="auto"/>
                <w:right w:val="none" w:sz="0" w:space="0" w:color="auto"/>
              </w:divBdr>
            </w:div>
            <w:div w:id="154033692">
              <w:marLeft w:val="0"/>
              <w:marRight w:val="0"/>
              <w:marTop w:val="0"/>
              <w:marBottom w:val="0"/>
              <w:divBdr>
                <w:top w:val="none" w:sz="0" w:space="0" w:color="auto"/>
                <w:left w:val="none" w:sz="0" w:space="0" w:color="auto"/>
                <w:bottom w:val="none" w:sz="0" w:space="0" w:color="auto"/>
                <w:right w:val="none" w:sz="0" w:space="0" w:color="auto"/>
              </w:divBdr>
            </w:div>
            <w:div w:id="211774624">
              <w:marLeft w:val="0"/>
              <w:marRight w:val="0"/>
              <w:marTop w:val="0"/>
              <w:marBottom w:val="0"/>
              <w:divBdr>
                <w:top w:val="none" w:sz="0" w:space="0" w:color="auto"/>
                <w:left w:val="none" w:sz="0" w:space="0" w:color="auto"/>
                <w:bottom w:val="none" w:sz="0" w:space="0" w:color="auto"/>
                <w:right w:val="none" w:sz="0" w:space="0" w:color="auto"/>
              </w:divBdr>
            </w:div>
            <w:div w:id="541408841">
              <w:marLeft w:val="0"/>
              <w:marRight w:val="0"/>
              <w:marTop w:val="0"/>
              <w:marBottom w:val="0"/>
              <w:divBdr>
                <w:top w:val="none" w:sz="0" w:space="0" w:color="auto"/>
                <w:left w:val="none" w:sz="0" w:space="0" w:color="auto"/>
                <w:bottom w:val="none" w:sz="0" w:space="0" w:color="auto"/>
                <w:right w:val="none" w:sz="0" w:space="0" w:color="auto"/>
              </w:divBdr>
            </w:div>
            <w:div w:id="579481370">
              <w:marLeft w:val="0"/>
              <w:marRight w:val="0"/>
              <w:marTop w:val="0"/>
              <w:marBottom w:val="0"/>
              <w:divBdr>
                <w:top w:val="none" w:sz="0" w:space="0" w:color="auto"/>
                <w:left w:val="none" w:sz="0" w:space="0" w:color="auto"/>
                <w:bottom w:val="none" w:sz="0" w:space="0" w:color="auto"/>
                <w:right w:val="none" w:sz="0" w:space="0" w:color="auto"/>
              </w:divBdr>
            </w:div>
            <w:div w:id="684131957">
              <w:marLeft w:val="0"/>
              <w:marRight w:val="0"/>
              <w:marTop w:val="0"/>
              <w:marBottom w:val="0"/>
              <w:divBdr>
                <w:top w:val="none" w:sz="0" w:space="0" w:color="auto"/>
                <w:left w:val="none" w:sz="0" w:space="0" w:color="auto"/>
                <w:bottom w:val="none" w:sz="0" w:space="0" w:color="auto"/>
                <w:right w:val="none" w:sz="0" w:space="0" w:color="auto"/>
              </w:divBdr>
            </w:div>
            <w:div w:id="699162381">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
            <w:div w:id="770011303">
              <w:marLeft w:val="0"/>
              <w:marRight w:val="0"/>
              <w:marTop w:val="0"/>
              <w:marBottom w:val="0"/>
              <w:divBdr>
                <w:top w:val="none" w:sz="0" w:space="0" w:color="auto"/>
                <w:left w:val="none" w:sz="0" w:space="0" w:color="auto"/>
                <w:bottom w:val="none" w:sz="0" w:space="0" w:color="auto"/>
                <w:right w:val="none" w:sz="0" w:space="0" w:color="auto"/>
              </w:divBdr>
            </w:div>
            <w:div w:id="833450867">
              <w:marLeft w:val="0"/>
              <w:marRight w:val="0"/>
              <w:marTop w:val="0"/>
              <w:marBottom w:val="0"/>
              <w:divBdr>
                <w:top w:val="none" w:sz="0" w:space="0" w:color="auto"/>
                <w:left w:val="none" w:sz="0" w:space="0" w:color="auto"/>
                <w:bottom w:val="none" w:sz="0" w:space="0" w:color="auto"/>
                <w:right w:val="none" w:sz="0" w:space="0" w:color="auto"/>
              </w:divBdr>
            </w:div>
            <w:div w:id="1295331952">
              <w:marLeft w:val="0"/>
              <w:marRight w:val="0"/>
              <w:marTop w:val="0"/>
              <w:marBottom w:val="0"/>
              <w:divBdr>
                <w:top w:val="none" w:sz="0" w:space="0" w:color="auto"/>
                <w:left w:val="none" w:sz="0" w:space="0" w:color="auto"/>
                <w:bottom w:val="none" w:sz="0" w:space="0" w:color="auto"/>
                <w:right w:val="none" w:sz="0" w:space="0" w:color="auto"/>
              </w:divBdr>
            </w:div>
            <w:div w:id="1315333661">
              <w:marLeft w:val="0"/>
              <w:marRight w:val="0"/>
              <w:marTop w:val="0"/>
              <w:marBottom w:val="0"/>
              <w:divBdr>
                <w:top w:val="none" w:sz="0" w:space="0" w:color="auto"/>
                <w:left w:val="none" w:sz="0" w:space="0" w:color="auto"/>
                <w:bottom w:val="none" w:sz="0" w:space="0" w:color="auto"/>
                <w:right w:val="none" w:sz="0" w:space="0" w:color="auto"/>
              </w:divBdr>
            </w:div>
            <w:div w:id="1444768557">
              <w:marLeft w:val="0"/>
              <w:marRight w:val="0"/>
              <w:marTop w:val="0"/>
              <w:marBottom w:val="0"/>
              <w:divBdr>
                <w:top w:val="none" w:sz="0" w:space="0" w:color="auto"/>
                <w:left w:val="none" w:sz="0" w:space="0" w:color="auto"/>
                <w:bottom w:val="none" w:sz="0" w:space="0" w:color="auto"/>
                <w:right w:val="none" w:sz="0" w:space="0" w:color="auto"/>
              </w:divBdr>
            </w:div>
            <w:div w:id="1544560498">
              <w:marLeft w:val="0"/>
              <w:marRight w:val="0"/>
              <w:marTop w:val="0"/>
              <w:marBottom w:val="0"/>
              <w:divBdr>
                <w:top w:val="none" w:sz="0" w:space="0" w:color="auto"/>
                <w:left w:val="none" w:sz="0" w:space="0" w:color="auto"/>
                <w:bottom w:val="none" w:sz="0" w:space="0" w:color="auto"/>
                <w:right w:val="none" w:sz="0" w:space="0" w:color="auto"/>
              </w:divBdr>
            </w:div>
            <w:div w:id="1560168559">
              <w:marLeft w:val="0"/>
              <w:marRight w:val="0"/>
              <w:marTop w:val="0"/>
              <w:marBottom w:val="0"/>
              <w:divBdr>
                <w:top w:val="none" w:sz="0" w:space="0" w:color="auto"/>
                <w:left w:val="none" w:sz="0" w:space="0" w:color="auto"/>
                <w:bottom w:val="none" w:sz="0" w:space="0" w:color="auto"/>
                <w:right w:val="none" w:sz="0" w:space="0" w:color="auto"/>
              </w:divBdr>
            </w:div>
            <w:div w:id="1625845021">
              <w:marLeft w:val="0"/>
              <w:marRight w:val="0"/>
              <w:marTop w:val="0"/>
              <w:marBottom w:val="0"/>
              <w:divBdr>
                <w:top w:val="none" w:sz="0" w:space="0" w:color="auto"/>
                <w:left w:val="none" w:sz="0" w:space="0" w:color="auto"/>
                <w:bottom w:val="none" w:sz="0" w:space="0" w:color="auto"/>
                <w:right w:val="none" w:sz="0" w:space="0" w:color="auto"/>
              </w:divBdr>
            </w:div>
            <w:div w:id="1902519389">
              <w:marLeft w:val="0"/>
              <w:marRight w:val="0"/>
              <w:marTop w:val="0"/>
              <w:marBottom w:val="0"/>
              <w:divBdr>
                <w:top w:val="none" w:sz="0" w:space="0" w:color="auto"/>
                <w:left w:val="none" w:sz="0" w:space="0" w:color="auto"/>
                <w:bottom w:val="none" w:sz="0" w:space="0" w:color="auto"/>
                <w:right w:val="none" w:sz="0" w:space="0" w:color="auto"/>
              </w:divBdr>
            </w:div>
            <w:div w:id="1924071751">
              <w:marLeft w:val="0"/>
              <w:marRight w:val="0"/>
              <w:marTop w:val="0"/>
              <w:marBottom w:val="0"/>
              <w:divBdr>
                <w:top w:val="none" w:sz="0" w:space="0" w:color="auto"/>
                <w:left w:val="none" w:sz="0" w:space="0" w:color="auto"/>
                <w:bottom w:val="none" w:sz="0" w:space="0" w:color="auto"/>
                <w:right w:val="none" w:sz="0" w:space="0" w:color="auto"/>
              </w:divBdr>
            </w:div>
            <w:div w:id="2088305726">
              <w:marLeft w:val="0"/>
              <w:marRight w:val="0"/>
              <w:marTop w:val="0"/>
              <w:marBottom w:val="0"/>
              <w:divBdr>
                <w:top w:val="none" w:sz="0" w:space="0" w:color="auto"/>
                <w:left w:val="none" w:sz="0" w:space="0" w:color="auto"/>
                <w:bottom w:val="none" w:sz="0" w:space="0" w:color="auto"/>
                <w:right w:val="none" w:sz="0" w:space="0" w:color="auto"/>
              </w:divBdr>
            </w:div>
            <w:div w:id="2109884585">
              <w:marLeft w:val="0"/>
              <w:marRight w:val="0"/>
              <w:marTop w:val="0"/>
              <w:marBottom w:val="0"/>
              <w:divBdr>
                <w:top w:val="none" w:sz="0" w:space="0" w:color="auto"/>
                <w:left w:val="none" w:sz="0" w:space="0" w:color="auto"/>
                <w:bottom w:val="none" w:sz="0" w:space="0" w:color="auto"/>
                <w:right w:val="none" w:sz="0" w:space="0" w:color="auto"/>
              </w:divBdr>
            </w:div>
          </w:divsChild>
        </w:div>
        <w:div w:id="397175026">
          <w:marLeft w:val="0"/>
          <w:marRight w:val="0"/>
          <w:marTop w:val="0"/>
          <w:marBottom w:val="0"/>
          <w:divBdr>
            <w:top w:val="none" w:sz="0" w:space="0" w:color="auto"/>
            <w:left w:val="none" w:sz="0" w:space="0" w:color="auto"/>
            <w:bottom w:val="none" w:sz="0" w:space="0" w:color="auto"/>
            <w:right w:val="none" w:sz="0" w:space="0" w:color="auto"/>
          </w:divBdr>
        </w:div>
        <w:div w:id="423303621">
          <w:marLeft w:val="0"/>
          <w:marRight w:val="0"/>
          <w:marTop w:val="0"/>
          <w:marBottom w:val="0"/>
          <w:divBdr>
            <w:top w:val="none" w:sz="0" w:space="0" w:color="auto"/>
            <w:left w:val="none" w:sz="0" w:space="0" w:color="auto"/>
            <w:bottom w:val="none" w:sz="0" w:space="0" w:color="auto"/>
            <w:right w:val="none" w:sz="0" w:space="0" w:color="auto"/>
          </w:divBdr>
        </w:div>
        <w:div w:id="475997246">
          <w:marLeft w:val="0"/>
          <w:marRight w:val="0"/>
          <w:marTop w:val="0"/>
          <w:marBottom w:val="0"/>
          <w:divBdr>
            <w:top w:val="none" w:sz="0" w:space="0" w:color="auto"/>
            <w:left w:val="none" w:sz="0" w:space="0" w:color="auto"/>
            <w:bottom w:val="none" w:sz="0" w:space="0" w:color="auto"/>
            <w:right w:val="none" w:sz="0" w:space="0" w:color="auto"/>
          </w:divBdr>
        </w:div>
        <w:div w:id="479269973">
          <w:marLeft w:val="0"/>
          <w:marRight w:val="0"/>
          <w:marTop w:val="0"/>
          <w:marBottom w:val="0"/>
          <w:divBdr>
            <w:top w:val="none" w:sz="0" w:space="0" w:color="auto"/>
            <w:left w:val="none" w:sz="0" w:space="0" w:color="auto"/>
            <w:bottom w:val="none" w:sz="0" w:space="0" w:color="auto"/>
            <w:right w:val="none" w:sz="0" w:space="0" w:color="auto"/>
          </w:divBdr>
        </w:div>
        <w:div w:id="506798369">
          <w:marLeft w:val="0"/>
          <w:marRight w:val="0"/>
          <w:marTop w:val="0"/>
          <w:marBottom w:val="0"/>
          <w:divBdr>
            <w:top w:val="none" w:sz="0" w:space="0" w:color="auto"/>
            <w:left w:val="none" w:sz="0" w:space="0" w:color="auto"/>
            <w:bottom w:val="none" w:sz="0" w:space="0" w:color="auto"/>
            <w:right w:val="none" w:sz="0" w:space="0" w:color="auto"/>
          </w:divBdr>
          <w:divsChild>
            <w:div w:id="127356802">
              <w:marLeft w:val="0"/>
              <w:marRight w:val="0"/>
              <w:marTop w:val="0"/>
              <w:marBottom w:val="0"/>
              <w:divBdr>
                <w:top w:val="none" w:sz="0" w:space="0" w:color="auto"/>
                <w:left w:val="none" w:sz="0" w:space="0" w:color="auto"/>
                <w:bottom w:val="none" w:sz="0" w:space="0" w:color="auto"/>
                <w:right w:val="none" w:sz="0" w:space="0" w:color="auto"/>
              </w:divBdr>
            </w:div>
            <w:div w:id="172885110">
              <w:marLeft w:val="0"/>
              <w:marRight w:val="0"/>
              <w:marTop w:val="0"/>
              <w:marBottom w:val="0"/>
              <w:divBdr>
                <w:top w:val="none" w:sz="0" w:space="0" w:color="auto"/>
                <w:left w:val="none" w:sz="0" w:space="0" w:color="auto"/>
                <w:bottom w:val="none" w:sz="0" w:space="0" w:color="auto"/>
                <w:right w:val="none" w:sz="0" w:space="0" w:color="auto"/>
              </w:divBdr>
            </w:div>
            <w:div w:id="353507636">
              <w:marLeft w:val="0"/>
              <w:marRight w:val="0"/>
              <w:marTop w:val="0"/>
              <w:marBottom w:val="0"/>
              <w:divBdr>
                <w:top w:val="none" w:sz="0" w:space="0" w:color="auto"/>
                <w:left w:val="none" w:sz="0" w:space="0" w:color="auto"/>
                <w:bottom w:val="none" w:sz="0" w:space="0" w:color="auto"/>
                <w:right w:val="none" w:sz="0" w:space="0" w:color="auto"/>
              </w:divBdr>
            </w:div>
            <w:div w:id="561060050">
              <w:marLeft w:val="0"/>
              <w:marRight w:val="0"/>
              <w:marTop w:val="0"/>
              <w:marBottom w:val="0"/>
              <w:divBdr>
                <w:top w:val="none" w:sz="0" w:space="0" w:color="auto"/>
                <w:left w:val="none" w:sz="0" w:space="0" w:color="auto"/>
                <w:bottom w:val="none" w:sz="0" w:space="0" w:color="auto"/>
                <w:right w:val="none" w:sz="0" w:space="0" w:color="auto"/>
              </w:divBdr>
            </w:div>
            <w:div w:id="745304907">
              <w:marLeft w:val="0"/>
              <w:marRight w:val="0"/>
              <w:marTop w:val="0"/>
              <w:marBottom w:val="0"/>
              <w:divBdr>
                <w:top w:val="none" w:sz="0" w:space="0" w:color="auto"/>
                <w:left w:val="none" w:sz="0" w:space="0" w:color="auto"/>
                <w:bottom w:val="none" w:sz="0" w:space="0" w:color="auto"/>
                <w:right w:val="none" w:sz="0" w:space="0" w:color="auto"/>
              </w:divBdr>
            </w:div>
            <w:div w:id="776022273">
              <w:marLeft w:val="0"/>
              <w:marRight w:val="0"/>
              <w:marTop w:val="0"/>
              <w:marBottom w:val="0"/>
              <w:divBdr>
                <w:top w:val="none" w:sz="0" w:space="0" w:color="auto"/>
                <w:left w:val="none" w:sz="0" w:space="0" w:color="auto"/>
                <w:bottom w:val="none" w:sz="0" w:space="0" w:color="auto"/>
                <w:right w:val="none" w:sz="0" w:space="0" w:color="auto"/>
              </w:divBdr>
            </w:div>
            <w:div w:id="814957220">
              <w:marLeft w:val="0"/>
              <w:marRight w:val="0"/>
              <w:marTop w:val="0"/>
              <w:marBottom w:val="0"/>
              <w:divBdr>
                <w:top w:val="none" w:sz="0" w:space="0" w:color="auto"/>
                <w:left w:val="none" w:sz="0" w:space="0" w:color="auto"/>
                <w:bottom w:val="none" w:sz="0" w:space="0" w:color="auto"/>
                <w:right w:val="none" w:sz="0" w:space="0" w:color="auto"/>
              </w:divBdr>
            </w:div>
            <w:div w:id="859775785">
              <w:marLeft w:val="0"/>
              <w:marRight w:val="0"/>
              <w:marTop w:val="0"/>
              <w:marBottom w:val="0"/>
              <w:divBdr>
                <w:top w:val="none" w:sz="0" w:space="0" w:color="auto"/>
                <w:left w:val="none" w:sz="0" w:space="0" w:color="auto"/>
                <w:bottom w:val="none" w:sz="0" w:space="0" w:color="auto"/>
                <w:right w:val="none" w:sz="0" w:space="0" w:color="auto"/>
              </w:divBdr>
            </w:div>
            <w:div w:id="883101553">
              <w:marLeft w:val="0"/>
              <w:marRight w:val="0"/>
              <w:marTop w:val="0"/>
              <w:marBottom w:val="0"/>
              <w:divBdr>
                <w:top w:val="none" w:sz="0" w:space="0" w:color="auto"/>
                <w:left w:val="none" w:sz="0" w:space="0" w:color="auto"/>
                <w:bottom w:val="none" w:sz="0" w:space="0" w:color="auto"/>
                <w:right w:val="none" w:sz="0" w:space="0" w:color="auto"/>
              </w:divBdr>
            </w:div>
            <w:div w:id="1041133664">
              <w:marLeft w:val="0"/>
              <w:marRight w:val="0"/>
              <w:marTop w:val="0"/>
              <w:marBottom w:val="0"/>
              <w:divBdr>
                <w:top w:val="none" w:sz="0" w:space="0" w:color="auto"/>
                <w:left w:val="none" w:sz="0" w:space="0" w:color="auto"/>
                <w:bottom w:val="none" w:sz="0" w:space="0" w:color="auto"/>
                <w:right w:val="none" w:sz="0" w:space="0" w:color="auto"/>
              </w:divBdr>
            </w:div>
            <w:div w:id="1074738232">
              <w:marLeft w:val="0"/>
              <w:marRight w:val="0"/>
              <w:marTop w:val="0"/>
              <w:marBottom w:val="0"/>
              <w:divBdr>
                <w:top w:val="none" w:sz="0" w:space="0" w:color="auto"/>
                <w:left w:val="none" w:sz="0" w:space="0" w:color="auto"/>
                <w:bottom w:val="none" w:sz="0" w:space="0" w:color="auto"/>
                <w:right w:val="none" w:sz="0" w:space="0" w:color="auto"/>
              </w:divBdr>
            </w:div>
            <w:div w:id="1462764501">
              <w:marLeft w:val="0"/>
              <w:marRight w:val="0"/>
              <w:marTop w:val="0"/>
              <w:marBottom w:val="0"/>
              <w:divBdr>
                <w:top w:val="none" w:sz="0" w:space="0" w:color="auto"/>
                <w:left w:val="none" w:sz="0" w:space="0" w:color="auto"/>
                <w:bottom w:val="none" w:sz="0" w:space="0" w:color="auto"/>
                <w:right w:val="none" w:sz="0" w:space="0" w:color="auto"/>
              </w:divBdr>
            </w:div>
            <w:div w:id="1496066322">
              <w:marLeft w:val="0"/>
              <w:marRight w:val="0"/>
              <w:marTop w:val="0"/>
              <w:marBottom w:val="0"/>
              <w:divBdr>
                <w:top w:val="none" w:sz="0" w:space="0" w:color="auto"/>
                <w:left w:val="none" w:sz="0" w:space="0" w:color="auto"/>
                <w:bottom w:val="none" w:sz="0" w:space="0" w:color="auto"/>
                <w:right w:val="none" w:sz="0" w:space="0" w:color="auto"/>
              </w:divBdr>
            </w:div>
            <w:div w:id="1593850727">
              <w:marLeft w:val="0"/>
              <w:marRight w:val="0"/>
              <w:marTop w:val="0"/>
              <w:marBottom w:val="0"/>
              <w:divBdr>
                <w:top w:val="none" w:sz="0" w:space="0" w:color="auto"/>
                <w:left w:val="none" w:sz="0" w:space="0" w:color="auto"/>
                <w:bottom w:val="none" w:sz="0" w:space="0" w:color="auto"/>
                <w:right w:val="none" w:sz="0" w:space="0" w:color="auto"/>
              </w:divBdr>
            </w:div>
            <w:div w:id="1825193559">
              <w:marLeft w:val="0"/>
              <w:marRight w:val="0"/>
              <w:marTop w:val="0"/>
              <w:marBottom w:val="0"/>
              <w:divBdr>
                <w:top w:val="none" w:sz="0" w:space="0" w:color="auto"/>
                <w:left w:val="none" w:sz="0" w:space="0" w:color="auto"/>
                <w:bottom w:val="none" w:sz="0" w:space="0" w:color="auto"/>
                <w:right w:val="none" w:sz="0" w:space="0" w:color="auto"/>
              </w:divBdr>
            </w:div>
            <w:div w:id="1825780697">
              <w:marLeft w:val="0"/>
              <w:marRight w:val="0"/>
              <w:marTop w:val="0"/>
              <w:marBottom w:val="0"/>
              <w:divBdr>
                <w:top w:val="none" w:sz="0" w:space="0" w:color="auto"/>
                <w:left w:val="none" w:sz="0" w:space="0" w:color="auto"/>
                <w:bottom w:val="none" w:sz="0" w:space="0" w:color="auto"/>
                <w:right w:val="none" w:sz="0" w:space="0" w:color="auto"/>
              </w:divBdr>
            </w:div>
            <w:div w:id="1895042444">
              <w:marLeft w:val="0"/>
              <w:marRight w:val="0"/>
              <w:marTop w:val="0"/>
              <w:marBottom w:val="0"/>
              <w:divBdr>
                <w:top w:val="none" w:sz="0" w:space="0" w:color="auto"/>
                <w:left w:val="none" w:sz="0" w:space="0" w:color="auto"/>
                <w:bottom w:val="none" w:sz="0" w:space="0" w:color="auto"/>
                <w:right w:val="none" w:sz="0" w:space="0" w:color="auto"/>
              </w:divBdr>
            </w:div>
            <w:div w:id="1924530527">
              <w:marLeft w:val="0"/>
              <w:marRight w:val="0"/>
              <w:marTop w:val="0"/>
              <w:marBottom w:val="0"/>
              <w:divBdr>
                <w:top w:val="none" w:sz="0" w:space="0" w:color="auto"/>
                <w:left w:val="none" w:sz="0" w:space="0" w:color="auto"/>
                <w:bottom w:val="none" w:sz="0" w:space="0" w:color="auto"/>
                <w:right w:val="none" w:sz="0" w:space="0" w:color="auto"/>
              </w:divBdr>
            </w:div>
            <w:div w:id="2063552632">
              <w:marLeft w:val="0"/>
              <w:marRight w:val="0"/>
              <w:marTop w:val="0"/>
              <w:marBottom w:val="0"/>
              <w:divBdr>
                <w:top w:val="none" w:sz="0" w:space="0" w:color="auto"/>
                <w:left w:val="none" w:sz="0" w:space="0" w:color="auto"/>
                <w:bottom w:val="none" w:sz="0" w:space="0" w:color="auto"/>
                <w:right w:val="none" w:sz="0" w:space="0" w:color="auto"/>
              </w:divBdr>
            </w:div>
            <w:div w:id="2135634520">
              <w:marLeft w:val="0"/>
              <w:marRight w:val="0"/>
              <w:marTop w:val="0"/>
              <w:marBottom w:val="0"/>
              <w:divBdr>
                <w:top w:val="none" w:sz="0" w:space="0" w:color="auto"/>
                <w:left w:val="none" w:sz="0" w:space="0" w:color="auto"/>
                <w:bottom w:val="none" w:sz="0" w:space="0" w:color="auto"/>
                <w:right w:val="none" w:sz="0" w:space="0" w:color="auto"/>
              </w:divBdr>
            </w:div>
          </w:divsChild>
        </w:div>
        <w:div w:id="519854168">
          <w:marLeft w:val="0"/>
          <w:marRight w:val="0"/>
          <w:marTop w:val="0"/>
          <w:marBottom w:val="0"/>
          <w:divBdr>
            <w:top w:val="none" w:sz="0" w:space="0" w:color="auto"/>
            <w:left w:val="none" w:sz="0" w:space="0" w:color="auto"/>
            <w:bottom w:val="none" w:sz="0" w:space="0" w:color="auto"/>
            <w:right w:val="none" w:sz="0" w:space="0" w:color="auto"/>
          </w:divBdr>
          <w:divsChild>
            <w:div w:id="315653258">
              <w:marLeft w:val="0"/>
              <w:marRight w:val="0"/>
              <w:marTop w:val="0"/>
              <w:marBottom w:val="0"/>
              <w:divBdr>
                <w:top w:val="none" w:sz="0" w:space="0" w:color="auto"/>
                <w:left w:val="none" w:sz="0" w:space="0" w:color="auto"/>
                <w:bottom w:val="none" w:sz="0" w:space="0" w:color="auto"/>
                <w:right w:val="none" w:sz="0" w:space="0" w:color="auto"/>
              </w:divBdr>
            </w:div>
            <w:div w:id="426343880">
              <w:marLeft w:val="0"/>
              <w:marRight w:val="0"/>
              <w:marTop w:val="0"/>
              <w:marBottom w:val="0"/>
              <w:divBdr>
                <w:top w:val="none" w:sz="0" w:space="0" w:color="auto"/>
                <w:left w:val="none" w:sz="0" w:space="0" w:color="auto"/>
                <w:bottom w:val="none" w:sz="0" w:space="0" w:color="auto"/>
                <w:right w:val="none" w:sz="0" w:space="0" w:color="auto"/>
              </w:divBdr>
            </w:div>
            <w:div w:id="429933772">
              <w:marLeft w:val="0"/>
              <w:marRight w:val="0"/>
              <w:marTop w:val="0"/>
              <w:marBottom w:val="0"/>
              <w:divBdr>
                <w:top w:val="none" w:sz="0" w:space="0" w:color="auto"/>
                <w:left w:val="none" w:sz="0" w:space="0" w:color="auto"/>
                <w:bottom w:val="none" w:sz="0" w:space="0" w:color="auto"/>
                <w:right w:val="none" w:sz="0" w:space="0" w:color="auto"/>
              </w:divBdr>
            </w:div>
            <w:div w:id="864053650">
              <w:marLeft w:val="0"/>
              <w:marRight w:val="0"/>
              <w:marTop w:val="0"/>
              <w:marBottom w:val="0"/>
              <w:divBdr>
                <w:top w:val="none" w:sz="0" w:space="0" w:color="auto"/>
                <w:left w:val="none" w:sz="0" w:space="0" w:color="auto"/>
                <w:bottom w:val="none" w:sz="0" w:space="0" w:color="auto"/>
                <w:right w:val="none" w:sz="0" w:space="0" w:color="auto"/>
              </w:divBdr>
            </w:div>
            <w:div w:id="915093634">
              <w:marLeft w:val="0"/>
              <w:marRight w:val="0"/>
              <w:marTop w:val="0"/>
              <w:marBottom w:val="0"/>
              <w:divBdr>
                <w:top w:val="none" w:sz="0" w:space="0" w:color="auto"/>
                <w:left w:val="none" w:sz="0" w:space="0" w:color="auto"/>
                <w:bottom w:val="none" w:sz="0" w:space="0" w:color="auto"/>
                <w:right w:val="none" w:sz="0" w:space="0" w:color="auto"/>
              </w:divBdr>
            </w:div>
            <w:div w:id="959149762">
              <w:marLeft w:val="0"/>
              <w:marRight w:val="0"/>
              <w:marTop w:val="0"/>
              <w:marBottom w:val="0"/>
              <w:divBdr>
                <w:top w:val="none" w:sz="0" w:space="0" w:color="auto"/>
                <w:left w:val="none" w:sz="0" w:space="0" w:color="auto"/>
                <w:bottom w:val="none" w:sz="0" w:space="0" w:color="auto"/>
                <w:right w:val="none" w:sz="0" w:space="0" w:color="auto"/>
              </w:divBdr>
            </w:div>
            <w:div w:id="968166205">
              <w:marLeft w:val="0"/>
              <w:marRight w:val="0"/>
              <w:marTop w:val="0"/>
              <w:marBottom w:val="0"/>
              <w:divBdr>
                <w:top w:val="none" w:sz="0" w:space="0" w:color="auto"/>
                <w:left w:val="none" w:sz="0" w:space="0" w:color="auto"/>
                <w:bottom w:val="none" w:sz="0" w:space="0" w:color="auto"/>
                <w:right w:val="none" w:sz="0" w:space="0" w:color="auto"/>
              </w:divBdr>
            </w:div>
            <w:div w:id="999819398">
              <w:marLeft w:val="0"/>
              <w:marRight w:val="0"/>
              <w:marTop w:val="0"/>
              <w:marBottom w:val="0"/>
              <w:divBdr>
                <w:top w:val="none" w:sz="0" w:space="0" w:color="auto"/>
                <w:left w:val="none" w:sz="0" w:space="0" w:color="auto"/>
                <w:bottom w:val="none" w:sz="0" w:space="0" w:color="auto"/>
                <w:right w:val="none" w:sz="0" w:space="0" w:color="auto"/>
              </w:divBdr>
            </w:div>
            <w:div w:id="1018774837">
              <w:marLeft w:val="0"/>
              <w:marRight w:val="0"/>
              <w:marTop w:val="0"/>
              <w:marBottom w:val="0"/>
              <w:divBdr>
                <w:top w:val="none" w:sz="0" w:space="0" w:color="auto"/>
                <w:left w:val="none" w:sz="0" w:space="0" w:color="auto"/>
                <w:bottom w:val="none" w:sz="0" w:space="0" w:color="auto"/>
                <w:right w:val="none" w:sz="0" w:space="0" w:color="auto"/>
              </w:divBdr>
            </w:div>
            <w:div w:id="1212576619">
              <w:marLeft w:val="0"/>
              <w:marRight w:val="0"/>
              <w:marTop w:val="0"/>
              <w:marBottom w:val="0"/>
              <w:divBdr>
                <w:top w:val="none" w:sz="0" w:space="0" w:color="auto"/>
                <w:left w:val="none" w:sz="0" w:space="0" w:color="auto"/>
                <w:bottom w:val="none" w:sz="0" w:space="0" w:color="auto"/>
                <w:right w:val="none" w:sz="0" w:space="0" w:color="auto"/>
              </w:divBdr>
            </w:div>
            <w:div w:id="1233419805">
              <w:marLeft w:val="0"/>
              <w:marRight w:val="0"/>
              <w:marTop w:val="0"/>
              <w:marBottom w:val="0"/>
              <w:divBdr>
                <w:top w:val="none" w:sz="0" w:space="0" w:color="auto"/>
                <w:left w:val="none" w:sz="0" w:space="0" w:color="auto"/>
                <w:bottom w:val="none" w:sz="0" w:space="0" w:color="auto"/>
                <w:right w:val="none" w:sz="0" w:space="0" w:color="auto"/>
              </w:divBdr>
            </w:div>
            <w:div w:id="1270963833">
              <w:marLeft w:val="0"/>
              <w:marRight w:val="0"/>
              <w:marTop w:val="0"/>
              <w:marBottom w:val="0"/>
              <w:divBdr>
                <w:top w:val="none" w:sz="0" w:space="0" w:color="auto"/>
                <w:left w:val="none" w:sz="0" w:space="0" w:color="auto"/>
                <w:bottom w:val="none" w:sz="0" w:space="0" w:color="auto"/>
                <w:right w:val="none" w:sz="0" w:space="0" w:color="auto"/>
              </w:divBdr>
            </w:div>
            <w:div w:id="1493839907">
              <w:marLeft w:val="0"/>
              <w:marRight w:val="0"/>
              <w:marTop w:val="0"/>
              <w:marBottom w:val="0"/>
              <w:divBdr>
                <w:top w:val="none" w:sz="0" w:space="0" w:color="auto"/>
                <w:left w:val="none" w:sz="0" w:space="0" w:color="auto"/>
                <w:bottom w:val="none" w:sz="0" w:space="0" w:color="auto"/>
                <w:right w:val="none" w:sz="0" w:space="0" w:color="auto"/>
              </w:divBdr>
            </w:div>
            <w:div w:id="1674608345">
              <w:marLeft w:val="0"/>
              <w:marRight w:val="0"/>
              <w:marTop w:val="0"/>
              <w:marBottom w:val="0"/>
              <w:divBdr>
                <w:top w:val="none" w:sz="0" w:space="0" w:color="auto"/>
                <w:left w:val="none" w:sz="0" w:space="0" w:color="auto"/>
                <w:bottom w:val="none" w:sz="0" w:space="0" w:color="auto"/>
                <w:right w:val="none" w:sz="0" w:space="0" w:color="auto"/>
              </w:divBdr>
            </w:div>
            <w:div w:id="1770927801">
              <w:marLeft w:val="0"/>
              <w:marRight w:val="0"/>
              <w:marTop w:val="0"/>
              <w:marBottom w:val="0"/>
              <w:divBdr>
                <w:top w:val="none" w:sz="0" w:space="0" w:color="auto"/>
                <w:left w:val="none" w:sz="0" w:space="0" w:color="auto"/>
                <w:bottom w:val="none" w:sz="0" w:space="0" w:color="auto"/>
                <w:right w:val="none" w:sz="0" w:space="0" w:color="auto"/>
              </w:divBdr>
            </w:div>
            <w:div w:id="1773427431">
              <w:marLeft w:val="0"/>
              <w:marRight w:val="0"/>
              <w:marTop w:val="0"/>
              <w:marBottom w:val="0"/>
              <w:divBdr>
                <w:top w:val="none" w:sz="0" w:space="0" w:color="auto"/>
                <w:left w:val="none" w:sz="0" w:space="0" w:color="auto"/>
                <w:bottom w:val="none" w:sz="0" w:space="0" w:color="auto"/>
                <w:right w:val="none" w:sz="0" w:space="0" w:color="auto"/>
              </w:divBdr>
            </w:div>
            <w:div w:id="1845852940">
              <w:marLeft w:val="0"/>
              <w:marRight w:val="0"/>
              <w:marTop w:val="0"/>
              <w:marBottom w:val="0"/>
              <w:divBdr>
                <w:top w:val="none" w:sz="0" w:space="0" w:color="auto"/>
                <w:left w:val="none" w:sz="0" w:space="0" w:color="auto"/>
                <w:bottom w:val="none" w:sz="0" w:space="0" w:color="auto"/>
                <w:right w:val="none" w:sz="0" w:space="0" w:color="auto"/>
              </w:divBdr>
            </w:div>
            <w:div w:id="1951273983">
              <w:marLeft w:val="0"/>
              <w:marRight w:val="0"/>
              <w:marTop w:val="0"/>
              <w:marBottom w:val="0"/>
              <w:divBdr>
                <w:top w:val="none" w:sz="0" w:space="0" w:color="auto"/>
                <w:left w:val="none" w:sz="0" w:space="0" w:color="auto"/>
                <w:bottom w:val="none" w:sz="0" w:space="0" w:color="auto"/>
                <w:right w:val="none" w:sz="0" w:space="0" w:color="auto"/>
              </w:divBdr>
            </w:div>
            <w:div w:id="1975333297">
              <w:marLeft w:val="0"/>
              <w:marRight w:val="0"/>
              <w:marTop w:val="0"/>
              <w:marBottom w:val="0"/>
              <w:divBdr>
                <w:top w:val="none" w:sz="0" w:space="0" w:color="auto"/>
                <w:left w:val="none" w:sz="0" w:space="0" w:color="auto"/>
                <w:bottom w:val="none" w:sz="0" w:space="0" w:color="auto"/>
                <w:right w:val="none" w:sz="0" w:space="0" w:color="auto"/>
              </w:divBdr>
            </w:div>
            <w:div w:id="2066290158">
              <w:marLeft w:val="0"/>
              <w:marRight w:val="0"/>
              <w:marTop w:val="0"/>
              <w:marBottom w:val="0"/>
              <w:divBdr>
                <w:top w:val="none" w:sz="0" w:space="0" w:color="auto"/>
                <w:left w:val="none" w:sz="0" w:space="0" w:color="auto"/>
                <w:bottom w:val="none" w:sz="0" w:space="0" w:color="auto"/>
                <w:right w:val="none" w:sz="0" w:space="0" w:color="auto"/>
              </w:divBdr>
            </w:div>
          </w:divsChild>
        </w:div>
        <w:div w:id="585962747">
          <w:marLeft w:val="0"/>
          <w:marRight w:val="0"/>
          <w:marTop w:val="0"/>
          <w:marBottom w:val="0"/>
          <w:divBdr>
            <w:top w:val="none" w:sz="0" w:space="0" w:color="auto"/>
            <w:left w:val="none" w:sz="0" w:space="0" w:color="auto"/>
            <w:bottom w:val="none" w:sz="0" w:space="0" w:color="auto"/>
            <w:right w:val="none" w:sz="0" w:space="0" w:color="auto"/>
          </w:divBdr>
        </w:div>
        <w:div w:id="586695101">
          <w:marLeft w:val="0"/>
          <w:marRight w:val="0"/>
          <w:marTop w:val="0"/>
          <w:marBottom w:val="0"/>
          <w:divBdr>
            <w:top w:val="none" w:sz="0" w:space="0" w:color="auto"/>
            <w:left w:val="none" w:sz="0" w:space="0" w:color="auto"/>
            <w:bottom w:val="none" w:sz="0" w:space="0" w:color="auto"/>
            <w:right w:val="none" w:sz="0" w:space="0" w:color="auto"/>
          </w:divBdr>
        </w:div>
        <w:div w:id="601762631">
          <w:marLeft w:val="0"/>
          <w:marRight w:val="0"/>
          <w:marTop w:val="0"/>
          <w:marBottom w:val="0"/>
          <w:divBdr>
            <w:top w:val="none" w:sz="0" w:space="0" w:color="auto"/>
            <w:left w:val="none" w:sz="0" w:space="0" w:color="auto"/>
            <w:bottom w:val="none" w:sz="0" w:space="0" w:color="auto"/>
            <w:right w:val="none" w:sz="0" w:space="0" w:color="auto"/>
          </w:divBdr>
        </w:div>
        <w:div w:id="624384912">
          <w:marLeft w:val="0"/>
          <w:marRight w:val="0"/>
          <w:marTop w:val="0"/>
          <w:marBottom w:val="0"/>
          <w:divBdr>
            <w:top w:val="none" w:sz="0" w:space="0" w:color="auto"/>
            <w:left w:val="none" w:sz="0" w:space="0" w:color="auto"/>
            <w:bottom w:val="none" w:sz="0" w:space="0" w:color="auto"/>
            <w:right w:val="none" w:sz="0" w:space="0" w:color="auto"/>
          </w:divBdr>
        </w:div>
        <w:div w:id="674497179">
          <w:marLeft w:val="0"/>
          <w:marRight w:val="0"/>
          <w:marTop w:val="0"/>
          <w:marBottom w:val="0"/>
          <w:divBdr>
            <w:top w:val="none" w:sz="0" w:space="0" w:color="auto"/>
            <w:left w:val="none" w:sz="0" w:space="0" w:color="auto"/>
            <w:bottom w:val="none" w:sz="0" w:space="0" w:color="auto"/>
            <w:right w:val="none" w:sz="0" w:space="0" w:color="auto"/>
          </w:divBdr>
          <w:divsChild>
            <w:div w:id="60176650">
              <w:marLeft w:val="0"/>
              <w:marRight w:val="0"/>
              <w:marTop w:val="0"/>
              <w:marBottom w:val="0"/>
              <w:divBdr>
                <w:top w:val="none" w:sz="0" w:space="0" w:color="auto"/>
                <w:left w:val="none" w:sz="0" w:space="0" w:color="auto"/>
                <w:bottom w:val="none" w:sz="0" w:space="0" w:color="auto"/>
                <w:right w:val="none" w:sz="0" w:space="0" w:color="auto"/>
              </w:divBdr>
            </w:div>
            <w:div w:id="425883452">
              <w:marLeft w:val="0"/>
              <w:marRight w:val="0"/>
              <w:marTop w:val="0"/>
              <w:marBottom w:val="0"/>
              <w:divBdr>
                <w:top w:val="none" w:sz="0" w:space="0" w:color="auto"/>
                <w:left w:val="none" w:sz="0" w:space="0" w:color="auto"/>
                <w:bottom w:val="none" w:sz="0" w:space="0" w:color="auto"/>
                <w:right w:val="none" w:sz="0" w:space="0" w:color="auto"/>
              </w:divBdr>
            </w:div>
            <w:div w:id="656420606">
              <w:marLeft w:val="0"/>
              <w:marRight w:val="0"/>
              <w:marTop w:val="0"/>
              <w:marBottom w:val="0"/>
              <w:divBdr>
                <w:top w:val="none" w:sz="0" w:space="0" w:color="auto"/>
                <w:left w:val="none" w:sz="0" w:space="0" w:color="auto"/>
                <w:bottom w:val="none" w:sz="0" w:space="0" w:color="auto"/>
                <w:right w:val="none" w:sz="0" w:space="0" w:color="auto"/>
              </w:divBdr>
            </w:div>
            <w:div w:id="721639034">
              <w:marLeft w:val="0"/>
              <w:marRight w:val="0"/>
              <w:marTop w:val="0"/>
              <w:marBottom w:val="0"/>
              <w:divBdr>
                <w:top w:val="none" w:sz="0" w:space="0" w:color="auto"/>
                <w:left w:val="none" w:sz="0" w:space="0" w:color="auto"/>
                <w:bottom w:val="none" w:sz="0" w:space="0" w:color="auto"/>
                <w:right w:val="none" w:sz="0" w:space="0" w:color="auto"/>
              </w:divBdr>
            </w:div>
            <w:div w:id="808130806">
              <w:marLeft w:val="0"/>
              <w:marRight w:val="0"/>
              <w:marTop w:val="0"/>
              <w:marBottom w:val="0"/>
              <w:divBdr>
                <w:top w:val="none" w:sz="0" w:space="0" w:color="auto"/>
                <w:left w:val="none" w:sz="0" w:space="0" w:color="auto"/>
                <w:bottom w:val="none" w:sz="0" w:space="0" w:color="auto"/>
                <w:right w:val="none" w:sz="0" w:space="0" w:color="auto"/>
              </w:divBdr>
            </w:div>
            <w:div w:id="825245225">
              <w:marLeft w:val="0"/>
              <w:marRight w:val="0"/>
              <w:marTop w:val="0"/>
              <w:marBottom w:val="0"/>
              <w:divBdr>
                <w:top w:val="none" w:sz="0" w:space="0" w:color="auto"/>
                <w:left w:val="none" w:sz="0" w:space="0" w:color="auto"/>
                <w:bottom w:val="none" w:sz="0" w:space="0" w:color="auto"/>
                <w:right w:val="none" w:sz="0" w:space="0" w:color="auto"/>
              </w:divBdr>
            </w:div>
            <w:div w:id="1179543410">
              <w:marLeft w:val="0"/>
              <w:marRight w:val="0"/>
              <w:marTop w:val="0"/>
              <w:marBottom w:val="0"/>
              <w:divBdr>
                <w:top w:val="none" w:sz="0" w:space="0" w:color="auto"/>
                <w:left w:val="none" w:sz="0" w:space="0" w:color="auto"/>
                <w:bottom w:val="none" w:sz="0" w:space="0" w:color="auto"/>
                <w:right w:val="none" w:sz="0" w:space="0" w:color="auto"/>
              </w:divBdr>
            </w:div>
            <w:div w:id="1242712279">
              <w:marLeft w:val="0"/>
              <w:marRight w:val="0"/>
              <w:marTop w:val="0"/>
              <w:marBottom w:val="0"/>
              <w:divBdr>
                <w:top w:val="none" w:sz="0" w:space="0" w:color="auto"/>
                <w:left w:val="none" w:sz="0" w:space="0" w:color="auto"/>
                <w:bottom w:val="none" w:sz="0" w:space="0" w:color="auto"/>
                <w:right w:val="none" w:sz="0" w:space="0" w:color="auto"/>
              </w:divBdr>
            </w:div>
            <w:div w:id="1486630156">
              <w:marLeft w:val="0"/>
              <w:marRight w:val="0"/>
              <w:marTop w:val="0"/>
              <w:marBottom w:val="0"/>
              <w:divBdr>
                <w:top w:val="none" w:sz="0" w:space="0" w:color="auto"/>
                <w:left w:val="none" w:sz="0" w:space="0" w:color="auto"/>
                <w:bottom w:val="none" w:sz="0" w:space="0" w:color="auto"/>
                <w:right w:val="none" w:sz="0" w:space="0" w:color="auto"/>
              </w:divBdr>
            </w:div>
            <w:div w:id="1501458703">
              <w:marLeft w:val="0"/>
              <w:marRight w:val="0"/>
              <w:marTop w:val="0"/>
              <w:marBottom w:val="0"/>
              <w:divBdr>
                <w:top w:val="none" w:sz="0" w:space="0" w:color="auto"/>
                <w:left w:val="none" w:sz="0" w:space="0" w:color="auto"/>
                <w:bottom w:val="none" w:sz="0" w:space="0" w:color="auto"/>
                <w:right w:val="none" w:sz="0" w:space="0" w:color="auto"/>
              </w:divBdr>
            </w:div>
            <w:div w:id="1533498133">
              <w:marLeft w:val="0"/>
              <w:marRight w:val="0"/>
              <w:marTop w:val="0"/>
              <w:marBottom w:val="0"/>
              <w:divBdr>
                <w:top w:val="none" w:sz="0" w:space="0" w:color="auto"/>
                <w:left w:val="none" w:sz="0" w:space="0" w:color="auto"/>
                <w:bottom w:val="none" w:sz="0" w:space="0" w:color="auto"/>
                <w:right w:val="none" w:sz="0" w:space="0" w:color="auto"/>
              </w:divBdr>
            </w:div>
            <w:div w:id="1533609013">
              <w:marLeft w:val="0"/>
              <w:marRight w:val="0"/>
              <w:marTop w:val="0"/>
              <w:marBottom w:val="0"/>
              <w:divBdr>
                <w:top w:val="none" w:sz="0" w:space="0" w:color="auto"/>
                <w:left w:val="none" w:sz="0" w:space="0" w:color="auto"/>
                <w:bottom w:val="none" w:sz="0" w:space="0" w:color="auto"/>
                <w:right w:val="none" w:sz="0" w:space="0" w:color="auto"/>
              </w:divBdr>
            </w:div>
            <w:div w:id="1586299219">
              <w:marLeft w:val="0"/>
              <w:marRight w:val="0"/>
              <w:marTop w:val="0"/>
              <w:marBottom w:val="0"/>
              <w:divBdr>
                <w:top w:val="none" w:sz="0" w:space="0" w:color="auto"/>
                <w:left w:val="none" w:sz="0" w:space="0" w:color="auto"/>
                <w:bottom w:val="none" w:sz="0" w:space="0" w:color="auto"/>
                <w:right w:val="none" w:sz="0" w:space="0" w:color="auto"/>
              </w:divBdr>
            </w:div>
            <w:div w:id="1599554742">
              <w:marLeft w:val="0"/>
              <w:marRight w:val="0"/>
              <w:marTop w:val="0"/>
              <w:marBottom w:val="0"/>
              <w:divBdr>
                <w:top w:val="none" w:sz="0" w:space="0" w:color="auto"/>
                <w:left w:val="none" w:sz="0" w:space="0" w:color="auto"/>
                <w:bottom w:val="none" w:sz="0" w:space="0" w:color="auto"/>
                <w:right w:val="none" w:sz="0" w:space="0" w:color="auto"/>
              </w:divBdr>
            </w:div>
            <w:div w:id="1704204971">
              <w:marLeft w:val="0"/>
              <w:marRight w:val="0"/>
              <w:marTop w:val="0"/>
              <w:marBottom w:val="0"/>
              <w:divBdr>
                <w:top w:val="none" w:sz="0" w:space="0" w:color="auto"/>
                <w:left w:val="none" w:sz="0" w:space="0" w:color="auto"/>
                <w:bottom w:val="none" w:sz="0" w:space="0" w:color="auto"/>
                <w:right w:val="none" w:sz="0" w:space="0" w:color="auto"/>
              </w:divBdr>
            </w:div>
            <w:div w:id="1728139808">
              <w:marLeft w:val="0"/>
              <w:marRight w:val="0"/>
              <w:marTop w:val="0"/>
              <w:marBottom w:val="0"/>
              <w:divBdr>
                <w:top w:val="none" w:sz="0" w:space="0" w:color="auto"/>
                <w:left w:val="none" w:sz="0" w:space="0" w:color="auto"/>
                <w:bottom w:val="none" w:sz="0" w:space="0" w:color="auto"/>
                <w:right w:val="none" w:sz="0" w:space="0" w:color="auto"/>
              </w:divBdr>
            </w:div>
            <w:div w:id="1799840681">
              <w:marLeft w:val="0"/>
              <w:marRight w:val="0"/>
              <w:marTop w:val="0"/>
              <w:marBottom w:val="0"/>
              <w:divBdr>
                <w:top w:val="none" w:sz="0" w:space="0" w:color="auto"/>
                <w:left w:val="none" w:sz="0" w:space="0" w:color="auto"/>
                <w:bottom w:val="none" w:sz="0" w:space="0" w:color="auto"/>
                <w:right w:val="none" w:sz="0" w:space="0" w:color="auto"/>
              </w:divBdr>
            </w:div>
            <w:div w:id="1954053131">
              <w:marLeft w:val="0"/>
              <w:marRight w:val="0"/>
              <w:marTop w:val="0"/>
              <w:marBottom w:val="0"/>
              <w:divBdr>
                <w:top w:val="none" w:sz="0" w:space="0" w:color="auto"/>
                <w:left w:val="none" w:sz="0" w:space="0" w:color="auto"/>
                <w:bottom w:val="none" w:sz="0" w:space="0" w:color="auto"/>
                <w:right w:val="none" w:sz="0" w:space="0" w:color="auto"/>
              </w:divBdr>
            </w:div>
            <w:div w:id="1996176186">
              <w:marLeft w:val="0"/>
              <w:marRight w:val="0"/>
              <w:marTop w:val="0"/>
              <w:marBottom w:val="0"/>
              <w:divBdr>
                <w:top w:val="none" w:sz="0" w:space="0" w:color="auto"/>
                <w:left w:val="none" w:sz="0" w:space="0" w:color="auto"/>
                <w:bottom w:val="none" w:sz="0" w:space="0" w:color="auto"/>
                <w:right w:val="none" w:sz="0" w:space="0" w:color="auto"/>
              </w:divBdr>
            </w:div>
            <w:div w:id="2030594558">
              <w:marLeft w:val="0"/>
              <w:marRight w:val="0"/>
              <w:marTop w:val="0"/>
              <w:marBottom w:val="0"/>
              <w:divBdr>
                <w:top w:val="none" w:sz="0" w:space="0" w:color="auto"/>
                <w:left w:val="none" w:sz="0" w:space="0" w:color="auto"/>
                <w:bottom w:val="none" w:sz="0" w:space="0" w:color="auto"/>
                <w:right w:val="none" w:sz="0" w:space="0" w:color="auto"/>
              </w:divBdr>
            </w:div>
          </w:divsChild>
        </w:div>
        <w:div w:id="693073247">
          <w:marLeft w:val="0"/>
          <w:marRight w:val="0"/>
          <w:marTop w:val="0"/>
          <w:marBottom w:val="0"/>
          <w:divBdr>
            <w:top w:val="none" w:sz="0" w:space="0" w:color="auto"/>
            <w:left w:val="none" w:sz="0" w:space="0" w:color="auto"/>
            <w:bottom w:val="none" w:sz="0" w:space="0" w:color="auto"/>
            <w:right w:val="none" w:sz="0" w:space="0" w:color="auto"/>
          </w:divBdr>
          <w:divsChild>
            <w:div w:id="96102970">
              <w:marLeft w:val="0"/>
              <w:marRight w:val="0"/>
              <w:marTop w:val="0"/>
              <w:marBottom w:val="0"/>
              <w:divBdr>
                <w:top w:val="none" w:sz="0" w:space="0" w:color="auto"/>
                <w:left w:val="none" w:sz="0" w:space="0" w:color="auto"/>
                <w:bottom w:val="none" w:sz="0" w:space="0" w:color="auto"/>
                <w:right w:val="none" w:sz="0" w:space="0" w:color="auto"/>
              </w:divBdr>
            </w:div>
            <w:div w:id="167521274">
              <w:marLeft w:val="0"/>
              <w:marRight w:val="0"/>
              <w:marTop w:val="0"/>
              <w:marBottom w:val="0"/>
              <w:divBdr>
                <w:top w:val="none" w:sz="0" w:space="0" w:color="auto"/>
                <w:left w:val="none" w:sz="0" w:space="0" w:color="auto"/>
                <w:bottom w:val="none" w:sz="0" w:space="0" w:color="auto"/>
                <w:right w:val="none" w:sz="0" w:space="0" w:color="auto"/>
              </w:divBdr>
            </w:div>
            <w:div w:id="260918942">
              <w:marLeft w:val="0"/>
              <w:marRight w:val="0"/>
              <w:marTop w:val="0"/>
              <w:marBottom w:val="0"/>
              <w:divBdr>
                <w:top w:val="none" w:sz="0" w:space="0" w:color="auto"/>
                <w:left w:val="none" w:sz="0" w:space="0" w:color="auto"/>
                <w:bottom w:val="none" w:sz="0" w:space="0" w:color="auto"/>
                <w:right w:val="none" w:sz="0" w:space="0" w:color="auto"/>
              </w:divBdr>
            </w:div>
            <w:div w:id="295575585">
              <w:marLeft w:val="0"/>
              <w:marRight w:val="0"/>
              <w:marTop w:val="0"/>
              <w:marBottom w:val="0"/>
              <w:divBdr>
                <w:top w:val="none" w:sz="0" w:space="0" w:color="auto"/>
                <w:left w:val="none" w:sz="0" w:space="0" w:color="auto"/>
                <w:bottom w:val="none" w:sz="0" w:space="0" w:color="auto"/>
                <w:right w:val="none" w:sz="0" w:space="0" w:color="auto"/>
              </w:divBdr>
            </w:div>
            <w:div w:id="439109247">
              <w:marLeft w:val="0"/>
              <w:marRight w:val="0"/>
              <w:marTop w:val="0"/>
              <w:marBottom w:val="0"/>
              <w:divBdr>
                <w:top w:val="none" w:sz="0" w:space="0" w:color="auto"/>
                <w:left w:val="none" w:sz="0" w:space="0" w:color="auto"/>
                <w:bottom w:val="none" w:sz="0" w:space="0" w:color="auto"/>
                <w:right w:val="none" w:sz="0" w:space="0" w:color="auto"/>
              </w:divBdr>
            </w:div>
            <w:div w:id="485512645">
              <w:marLeft w:val="0"/>
              <w:marRight w:val="0"/>
              <w:marTop w:val="0"/>
              <w:marBottom w:val="0"/>
              <w:divBdr>
                <w:top w:val="none" w:sz="0" w:space="0" w:color="auto"/>
                <w:left w:val="none" w:sz="0" w:space="0" w:color="auto"/>
                <w:bottom w:val="none" w:sz="0" w:space="0" w:color="auto"/>
                <w:right w:val="none" w:sz="0" w:space="0" w:color="auto"/>
              </w:divBdr>
            </w:div>
            <w:div w:id="580915719">
              <w:marLeft w:val="0"/>
              <w:marRight w:val="0"/>
              <w:marTop w:val="0"/>
              <w:marBottom w:val="0"/>
              <w:divBdr>
                <w:top w:val="none" w:sz="0" w:space="0" w:color="auto"/>
                <w:left w:val="none" w:sz="0" w:space="0" w:color="auto"/>
                <w:bottom w:val="none" w:sz="0" w:space="0" w:color="auto"/>
                <w:right w:val="none" w:sz="0" w:space="0" w:color="auto"/>
              </w:divBdr>
            </w:div>
            <w:div w:id="618269297">
              <w:marLeft w:val="0"/>
              <w:marRight w:val="0"/>
              <w:marTop w:val="0"/>
              <w:marBottom w:val="0"/>
              <w:divBdr>
                <w:top w:val="none" w:sz="0" w:space="0" w:color="auto"/>
                <w:left w:val="none" w:sz="0" w:space="0" w:color="auto"/>
                <w:bottom w:val="none" w:sz="0" w:space="0" w:color="auto"/>
                <w:right w:val="none" w:sz="0" w:space="0" w:color="auto"/>
              </w:divBdr>
            </w:div>
            <w:div w:id="829251777">
              <w:marLeft w:val="0"/>
              <w:marRight w:val="0"/>
              <w:marTop w:val="0"/>
              <w:marBottom w:val="0"/>
              <w:divBdr>
                <w:top w:val="none" w:sz="0" w:space="0" w:color="auto"/>
                <w:left w:val="none" w:sz="0" w:space="0" w:color="auto"/>
                <w:bottom w:val="none" w:sz="0" w:space="0" w:color="auto"/>
                <w:right w:val="none" w:sz="0" w:space="0" w:color="auto"/>
              </w:divBdr>
            </w:div>
            <w:div w:id="911353626">
              <w:marLeft w:val="0"/>
              <w:marRight w:val="0"/>
              <w:marTop w:val="0"/>
              <w:marBottom w:val="0"/>
              <w:divBdr>
                <w:top w:val="none" w:sz="0" w:space="0" w:color="auto"/>
                <w:left w:val="none" w:sz="0" w:space="0" w:color="auto"/>
                <w:bottom w:val="none" w:sz="0" w:space="0" w:color="auto"/>
                <w:right w:val="none" w:sz="0" w:space="0" w:color="auto"/>
              </w:divBdr>
            </w:div>
            <w:div w:id="1022710284">
              <w:marLeft w:val="0"/>
              <w:marRight w:val="0"/>
              <w:marTop w:val="0"/>
              <w:marBottom w:val="0"/>
              <w:divBdr>
                <w:top w:val="none" w:sz="0" w:space="0" w:color="auto"/>
                <w:left w:val="none" w:sz="0" w:space="0" w:color="auto"/>
                <w:bottom w:val="none" w:sz="0" w:space="0" w:color="auto"/>
                <w:right w:val="none" w:sz="0" w:space="0" w:color="auto"/>
              </w:divBdr>
            </w:div>
            <w:div w:id="1078480129">
              <w:marLeft w:val="0"/>
              <w:marRight w:val="0"/>
              <w:marTop w:val="0"/>
              <w:marBottom w:val="0"/>
              <w:divBdr>
                <w:top w:val="none" w:sz="0" w:space="0" w:color="auto"/>
                <w:left w:val="none" w:sz="0" w:space="0" w:color="auto"/>
                <w:bottom w:val="none" w:sz="0" w:space="0" w:color="auto"/>
                <w:right w:val="none" w:sz="0" w:space="0" w:color="auto"/>
              </w:divBdr>
            </w:div>
            <w:div w:id="1119880996">
              <w:marLeft w:val="0"/>
              <w:marRight w:val="0"/>
              <w:marTop w:val="0"/>
              <w:marBottom w:val="0"/>
              <w:divBdr>
                <w:top w:val="none" w:sz="0" w:space="0" w:color="auto"/>
                <w:left w:val="none" w:sz="0" w:space="0" w:color="auto"/>
                <w:bottom w:val="none" w:sz="0" w:space="0" w:color="auto"/>
                <w:right w:val="none" w:sz="0" w:space="0" w:color="auto"/>
              </w:divBdr>
            </w:div>
            <w:div w:id="1326055993">
              <w:marLeft w:val="0"/>
              <w:marRight w:val="0"/>
              <w:marTop w:val="0"/>
              <w:marBottom w:val="0"/>
              <w:divBdr>
                <w:top w:val="none" w:sz="0" w:space="0" w:color="auto"/>
                <w:left w:val="none" w:sz="0" w:space="0" w:color="auto"/>
                <w:bottom w:val="none" w:sz="0" w:space="0" w:color="auto"/>
                <w:right w:val="none" w:sz="0" w:space="0" w:color="auto"/>
              </w:divBdr>
            </w:div>
            <w:div w:id="1483689987">
              <w:marLeft w:val="0"/>
              <w:marRight w:val="0"/>
              <w:marTop w:val="0"/>
              <w:marBottom w:val="0"/>
              <w:divBdr>
                <w:top w:val="none" w:sz="0" w:space="0" w:color="auto"/>
                <w:left w:val="none" w:sz="0" w:space="0" w:color="auto"/>
                <w:bottom w:val="none" w:sz="0" w:space="0" w:color="auto"/>
                <w:right w:val="none" w:sz="0" w:space="0" w:color="auto"/>
              </w:divBdr>
            </w:div>
            <w:div w:id="1736859557">
              <w:marLeft w:val="0"/>
              <w:marRight w:val="0"/>
              <w:marTop w:val="0"/>
              <w:marBottom w:val="0"/>
              <w:divBdr>
                <w:top w:val="none" w:sz="0" w:space="0" w:color="auto"/>
                <w:left w:val="none" w:sz="0" w:space="0" w:color="auto"/>
                <w:bottom w:val="none" w:sz="0" w:space="0" w:color="auto"/>
                <w:right w:val="none" w:sz="0" w:space="0" w:color="auto"/>
              </w:divBdr>
            </w:div>
            <w:div w:id="1771663856">
              <w:marLeft w:val="0"/>
              <w:marRight w:val="0"/>
              <w:marTop w:val="0"/>
              <w:marBottom w:val="0"/>
              <w:divBdr>
                <w:top w:val="none" w:sz="0" w:space="0" w:color="auto"/>
                <w:left w:val="none" w:sz="0" w:space="0" w:color="auto"/>
                <w:bottom w:val="none" w:sz="0" w:space="0" w:color="auto"/>
                <w:right w:val="none" w:sz="0" w:space="0" w:color="auto"/>
              </w:divBdr>
            </w:div>
            <w:div w:id="1791432198">
              <w:marLeft w:val="0"/>
              <w:marRight w:val="0"/>
              <w:marTop w:val="0"/>
              <w:marBottom w:val="0"/>
              <w:divBdr>
                <w:top w:val="none" w:sz="0" w:space="0" w:color="auto"/>
                <w:left w:val="none" w:sz="0" w:space="0" w:color="auto"/>
                <w:bottom w:val="none" w:sz="0" w:space="0" w:color="auto"/>
                <w:right w:val="none" w:sz="0" w:space="0" w:color="auto"/>
              </w:divBdr>
            </w:div>
            <w:div w:id="1831747406">
              <w:marLeft w:val="0"/>
              <w:marRight w:val="0"/>
              <w:marTop w:val="0"/>
              <w:marBottom w:val="0"/>
              <w:divBdr>
                <w:top w:val="none" w:sz="0" w:space="0" w:color="auto"/>
                <w:left w:val="none" w:sz="0" w:space="0" w:color="auto"/>
                <w:bottom w:val="none" w:sz="0" w:space="0" w:color="auto"/>
                <w:right w:val="none" w:sz="0" w:space="0" w:color="auto"/>
              </w:divBdr>
            </w:div>
            <w:div w:id="2139062119">
              <w:marLeft w:val="0"/>
              <w:marRight w:val="0"/>
              <w:marTop w:val="0"/>
              <w:marBottom w:val="0"/>
              <w:divBdr>
                <w:top w:val="none" w:sz="0" w:space="0" w:color="auto"/>
                <w:left w:val="none" w:sz="0" w:space="0" w:color="auto"/>
                <w:bottom w:val="none" w:sz="0" w:space="0" w:color="auto"/>
                <w:right w:val="none" w:sz="0" w:space="0" w:color="auto"/>
              </w:divBdr>
            </w:div>
          </w:divsChild>
        </w:div>
        <w:div w:id="695622079">
          <w:marLeft w:val="0"/>
          <w:marRight w:val="0"/>
          <w:marTop w:val="0"/>
          <w:marBottom w:val="0"/>
          <w:divBdr>
            <w:top w:val="none" w:sz="0" w:space="0" w:color="auto"/>
            <w:left w:val="none" w:sz="0" w:space="0" w:color="auto"/>
            <w:bottom w:val="none" w:sz="0" w:space="0" w:color="auto"/>
            <w:right w:val="none" w:sz="0" w:space="0" w:color="auto"/>
          </w:divBdr>
          <w:divsChild>
            <w:div w:id="5404289">
              <w:marLeft w:val="0"/>
              <w:marRight w:val="0"/>
              <w:marTop w:val="0"/>
              <w:marBottom w:val="0"/>
              <w:divBdr>
                <w:top w:val="none" w:sz="0" w:space="0" w:color="auto"/>
                <w:left w:val="none" w:sz="0" w:space="0" w:color="auto"/>
                <w:bottom w:val="none" w:sz="0" w:space="0" w:color="auto"/>
                <w:right w:val="none" w:sz="0" w:space="0" w:color="auto"/>
              </w:divBdr>
            </w:div>
            <w:div w:id="256211853">
              <w:marLeft w:val="0"/>
              <w:marRight w:val="0"/>
              <w:marTop w:val="0"/>
              <w:marBottom w:val="0"/>
              <w:divBdr>
                <w:top w:val="none" w:sz="0" w:space="0" w:color="auto"/>
                <w:left w:val="none" w:sz="0" w:space="0" w:color="auto"/>
                <w:bottom w:val="none" w:sz="0" w:space="0" w:color="auto"/>
                <w:right w:val="none" w:sz="0" w:space="0" w:color="auto"/>
              </w:divBdr>
            </w:div>
            <w:div w:id="622462224">
              <w:marLeft w:val="0"/>
              <w:marRight w:val="0"/>
              <w:marTop w:val="0"/>
              <w:marBottom w:val="0"/>
              <w:divBdr>
                <w:top w:val="none" w:sz="0" w:space="0" w:color="auto"/>
                <w:left w:val="none" w:sz="0" w:space="0" w:color="auto"/>
                <w:bottom w:val="none" w:sz="0" w:space="0" w:color="auto"/>
                <w:right w:val="none" w:sz="0" w:space="0" w:color="auto"/>
              </w:divBdr>
            </w:div>
            <w:div w:id="801659694">
              <w:marLeft w:val="0"/>
              <w:marRight w:val="0"/>
              <w:marTop w:val="0"/>
              <w:marBottom w:val="0"/>
              <w:divBdr>
                <w:top w:val="none" w:sz="0" w:space="0" w:color="auto"/>
                <w:left w:val="none" w:sz="0" w:space="0" w:color="auto"/>
                <w:bottom w:val="none" w:sz="0" w:space="0" w:color="auto"/>
                <w:right w:val="none" w:sz="0" w:space="0" w:color="auto"/>
              </w:divBdr>
            </w:div>
            <w:div w:id="887449700">
              <w:marLeft w:val="0"/>
              <w:marRight w:val="0"/>
              <w:marTop w:val="0"/>
              <w:marBottom w:val="0"/>
              <w:divBdr>
                <w:top w:val="none" w:sz="0" w:space="0" w:color="auto"/>
                <w:left w:val="none" w:sz="0" w:space="0" w:color="auto"/>
                <w:bottom w:val="none" w:sz="0" w:space="0" w:color="auto"/>
                <w:right w:val="none" w:sz="0" w:space="0" w:color="auto"/>
              </w:divBdr>
            </w:div>
            <w:div w:id="1078406623">
              <w:marLeft w:val="0"/>
              <w:marRight w:val="0"/>
              <w:marTop w:val="0"/>
              <w:marBottom w:val="0"/>
              <w:divBdr>
                <w:top w:val="none" w:sz="0" w:space="0" w:color="auto"/>
                <w:left w:val="none" w:sz="0" w:space="0" w:color="auto"/>
                <w:bottom w:val="none" w:sz="0" w:space="0" w:color="auto"/>
                <w:right w:val="none" w:sz="0" w:space="0" w:color="auto"/>
              </w:divBdr>
            </w:div>
            <w:div w:id="1198930825">
              <w:marLeft w:val="0"/>
              <w:marRight w:val="0"/>
              <w:marTop w:val="0"/>
              <w:marBottom w:val="0"/>
              <w:divBdr>
                <w:top w:val="none" w:sz="0" w:space="0" w:color="auto"/>
                <w:left w:val="none" w:sz="0" w:space="0" w:color="auto"/>
                <w:bottom w:val="none" w:sz="0" w:space="0" w:color="auto"/>
                <w:right w:val="none" w:sz="0" w:space="0" w:color="auto"/>
              </w:divBdr>
            </w:div>
            <w:div w:id="1261911073">
              <w:marLeft w:val="0"/>
              <w:marRight w:val="0"/>
              <w:marTop w:val="0"/>
              <w:marBottom w:val="0"/>
              <w:divBdr>
                <w:top w:val="none" w:sz="0" w:space="0" w:color="auto"/>
                <w:left w:val="none" w:sz="0" w:space="0" w:color="auto"/>
                <w:bottom w:val="none" w:sz="0" w:space="0" w:color="auto"/>
                <w:right w:val="none" w:sz="0" w:space="0" w:color="auto"/>
              </w:divBdr>
            </w:div>
            <w:div w:id="1330477073">
              <w:marLeft w:val="0"/>
              <w:marRight w:val="0"/>
              <w:marTop w:val="0"/>
              <w:marBottom w:val="0"/>
              <w:divBdr>
                <w:top w:val="none" w:sz="0" w:space="0" w:color="auto"/>
                <w:left w:val="none" w:sz="0" w:space="0" w:color="auto"/>
                <w:bottom w:val="none" w:sz="0" w:space="0" w:color="auto"/>
                <w:right w:val="none" w:sz="0" w:space="0" w:color="auto"/>
              </w:divBdr>
            </w:div>
            <w:div w:id="1344623670">
              <w:marLeft w:val="0"/>
              <w:marRight w:val="0"/>
              <w:marTop w:val="0"/>
              <w:marBottom w:val="0"/>
              <w:divBdr>
                <w:top w:val="none" w:sz="0" w:space="0" w:color="auto"/>
                <w:left w:val="none" w:sz="0" w:space="0" w:color="auto"/>
                <w:bottom w:val="none" w:sz="0" w:space="0" w:color="auto"/>
                <w:right w:val="none" w:sz="0" w:space="0" w:color="auto"/>
              </w:divBdr>
            </w:div>
            <w:div w:id="1485391588">
              <w:marLeft w:val="0"/>
              <w:marRight w:val="0"/>
              <w:marTop w:val="0"/>
              <w:marBottom w:val="0"/>
              <w:divBdr>
                <w:top w:val="none" w:sz="0" w:space="0" w:color="auto"/>
                <w:left w:val="none" w:sz="0" w:space="0" w:color="auto"/>
                <w:bottom w:val="none" w:sz="0" w:space="0" w:color="auto"/>
                <w:right w:val="none" w:sz="0" w:space="0" w:color="auto"/>
              </w:divBdr>
            </w:div>
            <w:div w:id="1556545770">
              <w:marLeft w:val="0"/>
              <w:marRight w:val="0"/>
              <w:marTop w:val="0"/>
              <w:marBottom w:val="0"/>
              <w:divBdr>
                <w:top w:val="none" w:sz="0" w:space="0" w:color="auto"/>
                <w:left w:val="none" w:sz="0" w:space="0" w:color="auto"/>
                <w:bottom w:val="none" w:sz="0" w:space="0" w:color="auto"/>
                <w:right w:val="none" w:sz="0" w:space="0" w:color="auto"/>
              </w:divBdr>
            </w:div>
            <w:div w:id="1567956295">
              <w:marLeft w:val="0"/>
              <w:marRight w:val="0"/>
              <w:marTop w:val="0"/>
              <w:marBottom w:val="0"/>
              <w:divBdr>
                <w:top w:val="none" w:sz="0" w:space="0" w:color="auto"/>
                <w:left w:val="none" w:sz="0" w:space="0" w:color="auto"/>
                <w:bottom w:val="none" w:sz="0" w:space="0" w:color="auto"/>
                <w:right w:val="none" w:sz="0" w:space="0" w:color="auto"/>
              </w:divBdr>
            </w:div>
            <w:div w:id="1632789627">
              <w:marLeft w:val="0"/>
              <w:marRight w:val="0"/>
              <w:marTop w:val="0"/>
              <w:marBottom w:val="0"/>
              <w:divBdr>
                <w:top w:val="none" w:sz="0" w:space="0" w:color="auto"/>
                <w:left w:val="none" w:sz="0" w:space="0" w:color="auto"/>
                <w:bottom w:val="none" w:sz="0" w:space="0" w:color="auto"/>
                <w:right w:val="none" w:sz="0" w:space="0" w:color="auto"/>
              </w:divBdr>
            </w:div>
            <w:div w:id="1654797567">
              <w:marLeft w:val="0"/>
              <w:marRight w:val="0"/>
              <w:marTop w:val="0"/>
              <w:marBottom w:val="0"/>
              <w:divBdr>
                <w:top w:val="none" w:sz="0" w:space="0" w:color="auto"/>
                <w:left w:val="none" w:sz="0" w:space="0" w:color="auto"/>
                <w:bottom w:val="none" w:sz="0" w:space="0" w:color="auto"/>
                <w:right w:val="none" w:sz="0" w:space="0" w:color="auto"/>
              </w:divBdr>
            </w:div>
            <w:div w:id="1878080413">
              <w:marLeft w:val="0"/>
              <w:marRight w:val="0"/>
              <w:marTop w:val="0"/>
              <w:marBottom w:val="0"/>
              <w:divBdr>
                <w:top w:val="none" w:sz="0" w:space="0" w:color="auto"/>
                <w:left w:val="none" w:sz="0" w:space="0" w:color="auto"/>
                <w:bottom w:val="none" w:sz="0" w:space="0" w:color="auto"/>
                <w:right w:val="none" w:sz="0" w:space="0" w:color="auto"/>
              </w:divBdr>
            </w:div>
            <w:div w:id="1922789535">
              <w:marLeft w:val="0"/>
              <w:marRight w:val="0"/>
              <w:marTop w:val="0"/>
              <w:marBottom w:val="0"/>
              <w:divBdr>
                <w:top w:val="none" w:sz="0" w:space="0" w:color="auto"/>
                <w:left w:val="none" w:sz="0" w:space="0" w:color="auto"/>
                <w:bottom w:val="none" w:sz="0" w:space="0" w:color="auto"/>
                <w:right w:val="none" w:sz="0" w:space="0" w:color="auto"/>
              </w:divBdr>
            </w:div>
            <w:div w:id="1946692732">
              <w:marLeft w:val="0"/>
              <w:marRight w:val="0"/>
              <w:marTop w:val="0"/>
              <w:marBottom w:val="0"/>
              <w:divBdr>
                <w:top w:val="none" w:sz="0" w:space="0" w:color="auto"/>
                <w:left w:val="none" w:sz="0" w:space="0" w:color="auto"/>
                <w:bottom w:val="none" w:sz="0" w:space="0" w:color="auto"/>
                <w:right w:val="none" w:sz="0" w:space="0" w:color="auto"/>
              </w:divBdr>
            </w:div>
            <w:div w:id="1952081032">
              <w:marLeft w:val="0"/>
              <w:marRight w:val="0"/>
              <w:marTop w:val="0"/>
              <w:marBottom w:val="0"/>
              <w:divBdr>
                <w:top w:val="none" w:sz="0" w:space="0" w:color="auto"/>
                <w:left w:val="none" w:sz="0" w:space="0" w:color="auto"/>
                <w:bottom w:val="none" w:sz="0" w:space="0" w:color="auto"/>
                <w:right w:val="none" w:sz="0" w:space="0" w:color="auto"/>
              </w:divBdr>
            </w:div>
            <w:div w:id="1985116902">
              <w:marLeft w:val="0"/>
              <w:marRight w:val="0"/>
              <w:marTop w:val="0"/>
              <w:marBottom w:val="0"/>
              <w:divBdr>
                <w:top w:val="none" w:sz="0" w:space="0" w:color="auto"/>
                <w:left w:val="none" w:sz="0" w:space="0" w:color="auto"/>
                <w:bottom w:val="none" w:sz="0" w:space="0" w:color="auto"/>
                <w:right w:val="none" w:sz="0" w:space="0" w:color="auto"/>
              </w:divBdr>
            </w:div>
          </w:divsChild>
        </w:div>
        <w:div w:id="708921914">
          <w:marLeft w:val="0"/>
          <w:marRight w:val="0"/>
          <w:marTop w:val="0"/>
          <w:marBottom w:val="0"/>
          <w:divBdr>
            <w:top w:val="none" w:sz="0" w:space="0" w:color="auto"/>
            <w:left w:val="none" w:sz="0" w:space="0" w:color="auto"/>
            <w:bottom w:val="none" w:sz="0" w:space="0" w:color="auto"/>
            <w:right w:val="none" w:sz="0" w:space="0" w:color="auto"/>
          </w:divBdr>
        </w:div>
        <w:div w:id="729809055">
          <w:marLeft w:val="0"/>
          <w:marRight w:val="0"/>
          <w:marTop w:val="0"/>
          <w:marBottom w:val="0"/>
          <w:divBdr>
            <w:top w:val="none" w:sz="0" w:space="0" w:color="auto"/>
            <w:left w:val="none" w:sz="0" w:space="0" w:color="auto"/>
            <w:bottom w:val="none" w:sz="0" w:space="0" w:color="auto"/>
            <w:right w:val="none" w:sz="0" w:space="0" w:color="auto"/>
          </w:divBdr>
        </w:div>
        <w:div w:id="729884423">
          <w:marLeft w:val="0"/>
          <w:marRight w:val="0"/>
          <w:marTop w:val="0"/>
          <w:marBottom w:val="0"/>
          <w:divBdr>
            <w:top w:val="none" w:sz="0" w:space="0" w:color="auto"/>
            <w:left w:val="none" w:sz="0" w:space="0" w:color="auto"/>
            <w:bottom w:val="none" w:sz="0" w:space="0" w:color="auto"/>
            <w:right w:val="none" w:sz="0" w:space="0" w:color="auto"/>
          </w:divBdr>
        </w:div>
        <w:div w:id="735668637">
          <w:marLeft w:val="0"/>
          <w:marRight w:val="0"/>
          <w:marTop w:val="0"/>
          <w:marBottom w:val="0"/>
          <w:divBdr>
            <w:top w:val="none" w:sz="0" w:space="0" w:color="auto"/>
            <w:left w:val="none" w:sz="0" w:space="0" w:color="auto"/>
            <w:bottom w:val="none" w:sz="0" w:space="0" w:color="auto"/>
            <w:right w:val="none" w:sz="0" w:space="0" w:color="auto"/>
          </w:divBdr>
          <w:divsChild>
            <w:div w:id="14235609">
              <w:marLeft w:val="0"/>
              <w:marRight w:val="0"/>
              <w:marTop w:val="0"/>
              <w:marBottom w:val="0"/>
              <w:divBdr>
                <w:top w:val="none" w:sz="0" w:space="0" w:color="auto"/>
                <w:left w:val="none" w:sz="0" w:space="0" w:color="auto"/>
                <w:bottom w:val="none" w:sz="0" w:space="0" w:color="auto"/>
                <w:right w:val="none" w:sz="0" w:space="0" w:color="auto"/>
              </w:divBdr>
            </w:div>
            <w:div w:id="252278295">
              <w:marLeft w:val="0"/>
              <w:marRight w:val="0"/>
              <w:marTop w:val="0"/>
              <w:marBottom w:val="0"/>
              <w:divBdr>
                <w:top w:val="none" w:sz="0" w:space="0" w:color="auto"/>
                <w:left w:val="none" w:sz="0" w:space="0" w:color="auto"/>
                <w:bottom w:val="none" w:sz="0" w:space="0" w:color="auto"/>
                <w:right w:val="none" w:sz="0" w:space="0" w:color="auto"/>
              </w:divBdr>
            </w:div>
            <w:div w:id="301927816">
              <w:marLeft w:val="0"/>
              <w:marRight w:val="0"/>
              <w:marTop w:val="0"/>
              <w:marBottom w:val="0"/>
              <w:divBdr>
                <w:top w:val="none" w:sz="0" w:space="0" w:color="auto"/>
                <w:left w:val="none" w:sz="0" w:space="0" w:color="auto"/>
                <w:bottom w:val="none" w:sz="0" w:space="0" w:color="auto"/>
                <w:right w:val="none" w:sz="0" w:space="0" w:color="auto"/>
              </w:divBdr>
            </w:div>
            <w:div w:id="359016825">
              <w:marLeft w:val="0"/>
              <w:marRight w:val="0"/>
              <w:marTop w:val="0"/>
              <w:marBottom w:val="0"/>
              <w:divBdr>
                <w:top w:val="none" w:sz="0" w:space="0" w:color="auto"/>
                <w:left w:val="none" w:sz="0" w:space="0" w:color="auto"/>
                <w:bottom w:val="none" w:sz="0" w:space="0" w:color="auto"/>
                <w:right w:val="none" w:sz="0" w:space="0" w:color="auto"/>
              </w:divBdr>
            </w:div>
            <w:div w:id="372971082">
              <w:marLeft w:val="0"/>
              <w:marRight w:val="0"/>
              <w:marTop w:val="0"/>
              <w:marBottom w:val="0"/>
              <w:divBdr>
                <w:top w:val="none" w:sz="0" w:space="0" w:color="auto"/>
                <w:left w:val="none" w:sz="0" w:space="0" w:color="auto"/>
                <w:bottom w:val="none" w:sz="0" w:space="0" w:color="auto"/>
                <w:right w:val="none" w:sz="0" w:space="0" w:color="auto"/>
              </w:divBdr>
            </w:div>
            <w:div w:id="561643622">
              <w:marLeft w:val="0"/>
              <w:marRight w:val="0"/>
              <w:marTop w:val="0"/>
              <w:marBottom w:val="0"/>
              <w:divBdr>
                <w:top w:val="none" w:sz="0" w:space="0" w:color="auto"/>
                <w:left w:val="none" w:sz="0" w:space="0" w:color="auto"/>
                <w:bottom w:val="none" w:sz="0" w:space="0" w:color="auto"/>
                <w:right w:val="none" w:sz="0" w:space="0" w:color="auto"/>
              </w:divBdr>
            </w:div>
            <w:div w:id="710499324">
              <w:marLeft w:val="0"/>
              <w:marRight w:val="0"/>
              <w:marTop w:val="0"/>
              <w:marBottom w:val="0"/>
              <w:divBdr>
                <w:top w:val="none" w:sz="0" w:space="0" w:color="auto"/>
                <w:left w:val="none" w:sz="0" w:space="0" w:color="auto"/>
                <w:bottom w:val="none" w:sz="0" w:space="0" w:color="auto"/>
                <w:right w:val="none" w:sz="0" w:space="0" w:color="auto"/>
              </w:divBdr>
            </w:div>
            <w:div w:id="745146306">
              <w:marLeft w:val="0"/>
              <w:marRight w:val="0"/>
              <w:marTop w:val="0"/>
              <w:marBottom w:val="0"/>
              <w:divBdr>
                <w:top w:val="none" w:sz="0" w:space="0" w:color="auto"/>
                <w:left w:val="none" w:sz="0" w:space="0" w:color="auto"/>
                <w:bottom w:val="none" w:sz="0" w:space="0" w:color="auto"/>
                <w:right w:val="none" w:sz="0" w:space="0" w:color="auto"/>
              </w:divBdr>
            </w:div>
            <w:div w:id="803084481">
              <w:marLeft w:val="0"/>
              <w:marRight w:val="0"/>
              <w:marTop w:val="0"/>
              <w:marBottom w:val="0"/>
              <w:divBdr>
                <w:top w:val="none" w:sz="0" w:space="0" w:color="auto"/>
                <w:left w:val="none" w:sz="0" w:space="0" w:color="auto"/>
                <w:bottom w:val="none" w:sz="0" w:space="0" w:color="auto"/>
                <w:right w:val="none" w:sz="0" w:space="0" w:color="auto"/>
              </w:divBdr>
            </w:div>
            <w:div w:id="921068331">
              <w:marLeft w:val="0"/>
              <w:marRight w:val="0"/>
              <w:marTop w:val="0"/>
              <w:marBottom w:val="0"/>
              <w:divBdr>
                <w:top w:val="none" w:sz="0" w:space="0" w:color="auto"/>
                <w:left w:val="none" w:sz="0" w:space="0" w:color="auto"/>
                <w:bottom w:val="none" w:sz="0" w:space="0" w:color="auto"/>
                <w:right w:val="none" w:sz="0" w:space="0" w:color="auto"/>
              </w:divBdr>
            </w:div>
            <w:div w:id="1093554012">
              <w:marLeft w:val="0"/>
              <w:marRight w:val="0"/>
              <w:marTop w:val="0"/>
              <w:marBottom w:val="0"/>
              <w:divBdr>
                <w:top w:val="none" w:sz="0" w:space="0" w:color="auto"/>
                <w:left w:val="none" w:sz="0" w:space="0" w:color="auto"/>
                <w:bottom w:val="none" w:sz="0" w:space="0" w:color="auto"/>
                <w:right w:val="none" w:sz="0" w:space="0" w:color="auto"/>
              </w:divBdr>
            </w:div>
            <w:div w:id="1290089360">
              <w:marLeft w:val="0"/>
              <w:marRight w:val="0"/>
              <w:marTop w:val="0"/>
              <w:marBottom w:val="0"/>
              <w:divBdr>
                <w:top w:val="none" w:sz="0" w:space="0" w:color="auto"/>
                <w:left w:val="none" w:sz="0" w:space="0" w:color="auto"/>
                <w:bottom w:val="none" w:sz="0" w:space="0" w:color="auto"/>
                <w:right w:val="none" w:sz="0" w:space="0" w:color="auto"/>
              </w:divBdr>
            </w:div>
            <w:div w:id="1379862910">
              <w:marLeft w:val="0"/>
              <w:marRight w:val="0"/>
              <w:marTop w:val="0"/>
              <w:marBottom w:val="0"/>
              <w:divBdr>
                <w:top w:val="none" w:sz="0" w:space="0" w:color="auto"/>
                <w:left w:val="none" w:sz="0" w:space="0" w:color="auto"/>
                <w:bottom w:val="none" w:sz="0" w:space="0" w:color="auto"/>
                <w:right w:val="none" w:sz="0" w:space="0" w:color="auto"/>
              </w:divBdr>
            </w:div>
            <w:div w:id="1395813139">
              <w:marLeft w:val="0"/>
              <w:marRight w:val="0"/>
              <w:marTop w:val="0"/>
              <w:marBottom w:val="0"/>
              <w:divBdr>
                <w:top w:val="none" w:sz="0" w:space="0" w:color="auto"/>
                <w:left w:val="none" w:sz="0" w:space="0" w:color="auto"/>
                <w:bottom w:val="none" w:sz="0" w:space="0" w:color="auto"/>
                <w:right w:val="none" w:sz="0" w:space="0" w:color="auto"/>
              </w:divBdr>
            </w:div>
            <w:div w:id="1401369944">
              <w:marLeft w:val="0"/>
              <w:marRight w:val="0"/>
              <w:marTop w:val="0"/>
              <w:marBottom w:val="0"/>
              <w:divBdr>
                <w:top w:val="none" w:sz="0" w:space="0" w:color="auto"/>
                <w:left w:val="none" w:sz="0" w:space="0" w:color="auto"/>
                <w:bottom w:val="none" w:sz="0" w:space="0" w:color="auto"/>
                <w:right w:val="none" w:sz="0" w:space="0" w:color="auto"/>
              </w:divBdr>
            </w:div>
            <w:div w:id="1575167099">
              <w:marLeft w:val="0"/>
              <w:marRight w:val="0"/>
              <w:marTop w:val="0"/>
              <w:marBottom w:val="0"/>
              <w:divBdr>
                <w:top w:val="none" w:sz="0" w:space="0" w:color="auto"/>
                <w:left w:val="none" w:sz="0" w:space="0" w:color="auto"/>
                <w:bottom w:val="none" w:sz="0" w:space="0" w:color="auto"/>
                <w:right w:val="none" w:sz="0" w:space="0" w:color="auto"/>
              </w:divBdr>
            </w:div>
            <w:div w:id="1590388714">
              <w:marLeft w:val="0"/>
              <w:marRight w:val="0"/>
              <w:marTop w:val="0"/>
              <w:marBottom w:val="0"/>
              <w:divBdr>
                <w:top w:val="none" w:sz="0" w:space="0" w:color="auto"/>
                <w:left w:val="none" w:sz="0" w:space="0" w:color="auto"/>
                <w:bottom w:val="none" w:sz="0" w:space="0" w:color="auto"/>
                <w:right w:val="none" w:sz="0" w:space="0" w:color="auto"/>
              </w:divBdr>
            </w:div>
            <w:div w:id="1725830583">
              <w:marLeft w:val="0"/>
              <w:marRight w:val="0"/>
              <w:marTop w:val="0"/>
              <w:marBottom w:val="0"/>
              <w:divBdr>
                <w:top w:val="none" w:sz="0" w:space="0" w:color="auto"/>
                <w:left w:val="none" w:sz="0" w:space="0" w:color="auto"/>
                <w:bottom w:val="none" w:sz="0" w:space="0" w:color="auto"/>
                <w:right w:val="none" w:sz="0" w:space="0" w:color="auto"/>
              </w:divBdr>
            </w:div>
            <w:div w:id="1780025293">
              <w:marLeft w:val="0"/>
              <w:marRight w:val="0"/>
              <w:marTop w:val="0"/>
              <w:marBottom w:val="0"/>
              <w:divBdr>
                <w:top w:val="none" w:sz="0" w:space="0" w:color="auto"/>
                <w:left w:val="none" w:sz="0" w:space="0" w:color="auto"/>
                <w:bottom w:val="none" w:sz="0" w:space="0" w:color="auto"/>
                <w:right w:val="none" w:sz="0" w:space="0" w:color="auto"/>
              </w:divBdr>
            </w:div>
            <w:div w:id="2018575164">
              <w:marLeft w:val="0"/>
              <w:marRight w:val="0"/>
              <w:marTop w:val="0"/>
              <w:marBottom w:val="0"/>
              <w:divBdr>
                <w:top w:val="none" w:sz="0" w:space="0" w:color="auto"/>
                <w:left w:val="none" w:sz="0" w:space="0" w:color="auto"/>
                <w:bottom w:val="none" w:sz="0" w:space="0" w:color="auto"/>
                <w:right w:val="none" w:sz="0" w:space="0" w:color="auto"/>
              </w:divBdr>
            </w:div>
          </w:divsChild>
        </w:div>
        <w:div w:id="780874872">
          <w:marLeft w:val="0"/>
          <w:marRight w:val="0"/>
          <w:marTop w:val="0"/>
          <w:marBottom w:val="0"/>
          <w:divBdr>
            <w:top w:val="none" w:sz="0" w:space="0" w:color="auto"/>
            <w:left w:val="none" w:sz="0" w:space="0" w:color="auto"/>
            <w:bottom w:val="none" w:sz="0" w:space="0" w:color="auto"/>
            <w:right w:val="none" w:sz="0" w:space="0" w:color="auto"/>
          </w:divBdr>
        </w:div>
        <w:div w:id="803542824">
          <w:marLeft w:val="0"/>
          <w:marRight w:val="0"/>
          <w:marTop w:val="0"/>
          <w:marBottom w:val="0"/>
          <w:divBdr>
            <w:top w:val="none" w:sz="0" w:space="0" w:color="auto"/>
            <w:left w:val="none" w:sz="0" w:space="0" w:color="auto"/>
            <w:bottom w:val="none" w:sz="0" w:space="0" w:color="auto"/>
            <w:right w:val="none" w:sz="0" w:space="0" w:color="auto"/>
          </w:divBdr>
        </w:div>
        <w:div w:id="818696573">
          <w:marLeft w:val="0"/>
          <w:marRight w:val="0"/>
          <w:marTop w:val="0"/>
          <w:marBottom w:val="0"/>
          <w:divBdr>
            <w:top w:val="none" w:sz="0" w:space="0" w:color="auto"/>
            <w:left w:val="none" w:sz="0" w:space="0" w:color="auto"/>
            <w:bottom w:val="none" w:sz="0" w:space="0" w:color="auto"/>
            <w:right w:val="none" w:sz="0" w:space="0" w:color="auto"/>
          </w:divBdr>
        </w:div>
        <w:div w:id="846822732">
          <w:marLeft w:val="0"/>
          <w:marRight w:val="0"/>
          <w:marTop w:val="0"/>
          <w:marBottom w:val="0"/>
          <w:divBdr>
            <w:top w:val="none" w:sz="0" w:space="0" w:color="auto"/>
            <w:left w:val="none" w:sz="0" w:space="0" w:color="auto"/>
            <w:bottom w:val="none" w:sz="0" w:space="0" w:color="auto"/>
            <w:right w:val="none" w:sz="0" w:space="0" w:color="auto"/>
          </w:divBdr>
        </w:div>
        <w:div w:id="855731513">
          <w:marLeft w:val="0"/>
          <w:marRight w:val="0"/>
          <w:marTop w:val="0"/>
          <w:marBottom w:val="0"/>
          <w:divBdr>
            <w:top w:val="none" w:sz="0" w:space="0" w:color="auto"/>
            <w:left w:val="none" w:sz="0" w:space="0" w:color="auto"/>
            <w:bottom w:val="none" w:sz="0" w:space="0" w:color="auto"/>
            <w:right w:val="none" w:sz="0" w:space="0" w:color="auto"/>
          </w:divBdr>
        </w:div>
        <w:div w:id="860164899">
          <w:marLeft w:val="0"/>
          <w:marRight w:val="0"/>
          <w:marTop w:val="0"/>
          <w:marBottom w:val="0"/>
          <w:divBdr>
            <w:top w:val="none" w:sz="0" w:space="0" w:color="auto"/>
            <w:left w:val="none" w:sz="0" w:space="0" w:color="auto"/>
            <w:bottom w:val="none" w:sz="0" w:space="0" w:color="auto"/>
            <w:right w:val="none" w:sz="0" w:space="0" w:color="auto"/>
          </w:divBdr>
        </w:div>
        <w:div w:id="871646738">
          <w:marLeft w:val="0"/>
          <w:marRight w:val="0"/>
          <w:marTop w:val="0"/>
          <w:marBottom w:val="0"/>
          <w:divBdr>
            <w:top w:val="none" w:sz="0" w:space="0" w:color="auto"/>
            <w:left w:val="none" w:sz="0" w:space="0" w:color="auto"/>
            <w:bottom w:val="none" w:sz="0" w:space="0" w:color="auto"/>
            <w:right w:val="none" w:sz="0" w:space="0" w:color="auto"/>
          </w:divBdr>
        </w:div>
        <w:div w:id="880557263">
          <w:marLeft w:val="0"/>
          <w:marRight w:val="0"/>
          <w:marTop w:val="0"/>
          <w:marBottom w:val="0"/>
          <w:divBdr>
            <w:top w:val="none" w:sz="0" w:space="0" w:color="auto"/>
            <w:left w:val="none" w:sz="0" w:space="0" w:color="auto"/>
            <w:bottom w:val="none" w:sz="0" w:space="0" w:color="auto"/>
            <w:right w:val="none" w:sz="0" w:space="0" w:color="auto"/>
          </w:divBdr>
          <w:divsChild>
            <w:div w:id="286745802">
              <w:marLeft w:val="0"/>
              <w:marRight w:val="0"/>
              <w:marTop w:val="0"/>
              <w:marBottom w:val="0"/>
              <w:divBdr>
                <w:top w:val="none" w:sz="0" w:space="0" w:color="auto"/>
                <w:left w:val="none" w:sz="0" w:space="0" w:color="auto"/>
                <w:bottom w:val="none" w:sz="0" w:space="0" w:color="auto"/>
                <w:right w:val="none" w:sz="0" w:space="0" w:color="auto"/>
              </w:divBdr>
            </w:div>
            <w:div w:id="380785806">
              <w:marLeft w:val="0"/>
              <w:marRight w:val="0"/>
              <w:marTop w:val="0"/>
              <w:marBottom w:val="0"/>
              <w:divBdr>
                <w:top w:val="none" w:sz="0" w:space="0" w:color="auto"/>
                <w:left w:val="none" w:sz="0" w:space="0" w:color="auto"/>
                <w:bottom w:val="none" w:sz="0" w:space="0" w:color="auto"/>
                <w:right w:val="none" w:sz="0" w:space="0" w:color="auto"/>
              </w:divBdr>
            </w:div>
            <w:div w:id="517550277">
              <w:marLeft w:val="0"/>
              <w:marRight w:val="0"/>
              <w:marTop w:val="0"/>
              <w:marBottom w:val="0"/>
              <w:divBdr>
                <w:top w:val="none" w:sz="0" w:space="0" w:color="auto"/>
                <w:left w:val="none" w:sz="0" w:space="0" w:color="auto"/>
                <w:bottom w:val="none" w:sz="0" w:space="0" w:color="auto"/>
                <w:right w:val="none" w:sz="0" w:space="0" w:color="auto"/>
              </w:divBdr>
            </w:div>
            <w:div w:id="531963721">
              <w:marLeft w:val="0"/>
              <w:marRight w:val="0"/>
              <w:marTop w:val="0"/>
              <w:marBottom w:val="0"/>
              <w:divBdr>
                <w:top w:val="none" w:sz="0" w:space="0" w:color="auto"/>
                <w:left w:val="none" w:sz="0" w:space="0" w:color="auto"/>
                <w:bottom w:val="none" w:sz="0" w:space="0" w:color="auto"/>
                <w:right w:val="none" w:sz="0" w:space="0" w:color="auto"/>
              </w:divBdr>
            </w:div>
            <w:div w:id="705300191">
              <w:marLeft w:val="0"/>
              <w:marRight w:val="0"/>
              <w:marTop w:val="0"/>
              <w:marBottom w:val="0"/>
              <w:divBdr>
                <w:top w:val="none" w:sz="0" w:space="0" w:color="auto"/>
                <w:left w:val="none" w:sz="0" w:space="0" w:color="auto"/>
                <w:bottom w:val="none" w:sz="0" w:space="0" w:color="auto"/>
                <w:right w:val="none" w:sz="0" w:space="0" w:color="auto"/>
              </w:divBdr>
            </w:div>
            <w:div w:id="793449997">
              <w:marLeft w:val="0"/>
              <w:marRight w:val="0"/>
              <w:marTop w:val="0"/>
              <w:marBottom w:val="0"/>
              <w:divBdr>
                <w:top w:val="none" w:sz="0" w:space="0" w:color="auto"/>
                <w:left w:val="none" w:sz="0" w:space="0" w:color="auto"/>
                <w:bottom w:val="none" w:sz="0" w:space="0" w:color="auto"/>
                <w:right w:val="none" w:sz="0" w:space="0" w:color="auto"/>
              </w:divBdr>
            </w:div>
            <w:div w:id="954288371">
              <w:marLeft w:val="0"/>
              <w:marRight w:val="0"/>
              <w:marTop w:val="0"/>
              <w:marBottom w:val="0"/>
              <w:divBdr>
                <w:top w:val="none" w:sz="0" w:space="0" w:color="auto"/>
                <w:left w:val="none" w:sz="0" w:space="0" w:color="auto"/>
                <w:bottom w:val="none" w:sz="0" w:space="0" w:color="auto"/>
                <w:right w:val="none" w:sz="0" w:space="0" w:color="auto"/>
              </w:divBdr>
            </w:div>
            <w:div w:id="1471437601">
              <w:marLeft w:val="0"/>
              <w:marRight w:val="0"/>
              <w:marTop w:val="0"/>
              <w:marBottom w:val="0"/>
              <w:divBdr>
                <w:top w:val="none" w:sz="0" w:space="0" w:color="auto"/>
                <w:left w:val="none" w:sz="0" w:space="0" w:color="auto"/>
                <w:bottom w:val="none" w:sz="0" w:space="0" w:color="auto"/>
                <w:right w:val="none" w:sz="0" w:space="0" w:color="auto"/>
              </w:divBdr>
            </w:div>
            <w:div w:id="1510489662">
              <w:marLeft w:val="0"/>
              <w:marRight w:val="0"/>
              <w:marTop w:val="0"/>
              <w:marBottom w:val="0"/>
              <w:divBdr>
                <w:top w:val="none" w:sz="0" w:space="0" w:color="auto"/>
                <w:left w:val="none" w:sz="0" w:space="0" w:color="auto"/>
                <w:bottom w:val="none" w:sz="0" w:space="0" w:color="auto"/>
                <w:right w:val="none" w:sz="0" w:space="0" w:color="auto"/>
              </w:divBdr>
            </w:div>
            <w:div w:id="1520697470">
              <w:marLeft w:val="0"/>
              <w:marRight w:val="0"/>
              <w:marTop w:val="0"/>
              <w:marBottom w:val="0"/>
              <w:divBdr>
                <w:top w:val="none" w:sz="0" w:space="0" w:color="auto"/>
                <w:left w:val="none" w:sz="0" w:space="0" w:color="auto"/>
                <w:bottom w:val="none" w:sz="0" w:space="0" w:color="auto"/>
                <w:right w:val="none" w:sz="0" w:space="0" w:color="auto"/>
              </w:divBdr>
            </w:div>
            <w:div w:id="1532306567">
              <w:marLeft w:val="0"/>
              <w:marRight w:val="0"/>
              <w:marTop w:val="0"/>
              <w:marBottom w:val="0"/>
              <w:divBdr>
                <w:top w:val="none" w:sz="0" w:space="0" w:color="auto"/>
                <w:left w:val="none" w:sz="0" w:space="0" w:color="auto"/>
                <w:bottom w:val="none" w:sz="0" w:space="0" w:color="auto"/>
                <w:right w:val="none" w:sz="0" w:space="0" w:color="auto"/>
              </w:divBdr>
            </w:div>
            <w:div w:id="1589777975">
              <w:marLeft w:val="0"/>
              <w:marRight w:val="0"/>
              <w:marTop w:val="0"/>
              <w:marBottom w:val="0"/>
              <w:divBdr>
                <w:top w:val="none" w:sz="0" w:space="0" w:color="auto"/>
                <w:left w:val="none" w:sz="0" w:space="0" w:color="auto"/>
                <w:bottom w:val="none" w:sz="0" w:space="0" w:color="auto"/>
                <w:right w:val="none" w:sz="0" w:space="0" w:color="auto"/>
              </w:divBdr>
            </w:div>
            <w:div w:id="1593275723">
              <w:marLeft w:val="0"/>
              <w:marRight w:val="0"/>
              <w:marTop w:val="0"/>
              <w:marBottom w:val="0"/>
              <w:divBdr>
                <w:top w:val="none" w:sz="0" w:space="0" w:color="auto"/>
                <w:left w:val="none" w:sz="0" w:space="0" w:color="auto"/>
                <w:bottom w:val="none" w:sz="0" w:space="0" w:color="auto"/>
                <w:right w:val="none" w:sz="0" w:space="0" w:color="auto"/>
              </w:divBdr>
            </w:div>
            <w:div w:id="1626157773">
              <w:marLeft w:val="0"/>
              <w:marRight w:val="0"/>
              <w:marTop w:val="0"/>
              <w:marBottom w:val="0"/>
              <w:divBdr>
                <w:top w:val="none" w:sz="0" w:space="0" w:color="auto"/>
                <w:left w:val="none" w:sz="0" w:space="0" w:color="auto"/>
                <w:bottom w:val="none" w:sz="0" w:space="0" w:color="auto"/>
                <w:right w:val="none" w:sz="0" w:space="0" w:color="auto"/>
              </w:divBdr>
            </w:div>
            <w:div w:id="1699744661">
              <w:marLeft w:val="0"/>
              <w:marRight w:val="0"/>
              <w:marTop w:val="0"/>
              <w:marBottom w:val="0"/>
              <w:divBdr>
                <w:top w:val="none" w:sz="0" w:space="0" w:color="auto"/>
                <w:left w:val="none" w:sz="0" w:space="0" w:color="auto"/>
                <w:bottom w:val="none" w:sz="0" w:space="0" w:color="auto"/>
                <w:right w:val="none" w:sz="0" w:space="0" w:color="auto"/>
              </w:divBdr>
            </w:div>
            <w:div w:id="1780642448">
              <w:marLeft w:val="0"/>
              <w:marRight w:val="0"/>
              <w:marTop w:val="0"/>
              <w:marBottom w:val="0"/>
              <w:divBdr>
                <w:top w:val="none" w:sz="0" w:space="0" w:color="auto"/>
                <w:left w:val="none" w:sz="0" w:space="0" w:color="auto"/>
                <w:bottom w:val="none" w:sz="0" w:space="0" w:color="auto"/>
                <w:right w:val="none" w:sz="0" w:space="0" w:color="auto"/>
              </w:divBdr>
            </w:div>
            <w:div w:id="1839685136">
              <w:marLeft w:val="0"/>
              <w:marRight w:val="0"/>
              <w:marTop w:val="0"/>
              <w:marBottom w:val="0"/>
              <w:divBdr>
                <w:top w:val="none" w:sz="0" w:space="0" w:color="auto"/>
                <w:left w:val="none" w:sz="0" w:space="0" w:color="auto"/>
                <w:bottom w:val="none" w:sz="0" w:space="0" w:color="auto"/>
                <w:right w:val="none" w:sz="0" w:space="0" w:color="auto"/>
              </w:divBdr>
            </w:div>
            <w:div w:id="1841844722">
              <w:marLeft w:val="0"/>
              <w:marRight w:val="0"/>
              <w:marTop w:val="0"/>
              <w:marBottom w:val="0"/>
              <w:divBdr>
                <w:top w:val="none" w:sz="0" w:space="0" w:color="auto"/>
                <w:left w:val="none" w:sz="0" w:space="0" w:color="auto"/>
                <w:bottom w:val="none" w:sz="0" w:space="0" w:color="auto"/>
                <w:right w:val="none" w:sz="0" w:space="0" w:color="auto"/>
              </w:divBdr>
            </w:div>
            <w:div w:id="1890997228">
              <w:marLeft w:val="0"/>
              <w:marRight w:val="0"/>
              <w:marTop w:val="0"/>
              <w:marBottom w:val="0"/>
              <w:divBdr>
                <w:top w:val="none" w:sz="0" w:space="0" w:color="auto"/>
                <w:left w:val="none" w:sz="0" w:space="0" w:color="auto"/>
                <w:bottom w:val="none" w:sz="0" w:space="0" w:color="auto"/>
                <w:right w:val="none" w:sz="0" w:space="0" w:color="auto"/>
              </w:divBdr>
            </w:div>
            <w:div w:id="2058890290">
              <w:marLeft w:val="0"/>
              <w:marRight w:val="0"/>
              <w:marTop w:val="0"/>
              <w:marBottom w:val="0"/>
              <w:divBdr>
                <w:top w:val="none" w:sz="0" w:space="0" w:color="auto"/>
                <w:left w:val="none" w:sz="0" w:space="0" w:color="auto"/>
                <w:bottom w:val="none" w:sz="0" w:space="0" w:color="auto"/>
                <w:right w:val="none" w:sz="0" w:space="0" w:color="auto"/>
              </w:divBdr>
            </w:div>
          </w:divsChild>
        </w:div>
        <w:div w:id="881593160">
          <w:marLeft w:val="0"/>
          <w:marRight w:val="0"/>
          <w:marTop w:val="0"/>
          <w:marBottom w:val="0"/>
          <w:divBdr>
            <w:top w:val="none" w:sz="0" w:space="0" w:color="auto"/>
            <w:left w:val="none" w:sz="0" w:space="0" w:color="auto"/>
            <w:bottom w:val="none" w:sz="0" w:space="0" w:color="auto"/>
            <w:right w:val="none" w:sz="0" w:space="0" w:color="auto"/>
          </w:divBdr>
        </w:div>
        <w:div w:id="894700226">
          <w:marLeft w:val="0"/>
          <w:marRight w:val="0"/>
          <w:marTop w:val="0"/>
          <w:marBottom w:val="0"/>
          <w:divBdr>
            <w:top w:val="none" w:sz="0" w:space="0" w:color="auto"/>
            <w:left w:val="none" w:sz="0" w:space="0" w:color="auto"/>
            <w:bottom w:val="none" w:sz="0" w:space="0" w:color="auto"/>
            <w:right w:val="none" w:sz="0" w:space="0" w:color="auto"/>
          </w:divBdr>
          <w:divsChild>
            <w:div w:id="166605025">
              <w:marLeft w:val="0"/>
              <w:marRight w:val="0"/>
              <w:marTop w:val="0"/>
              <w:marBottom w:val="0"/>
              <w:divBdr>
                <w:top w:val="none" w:sz="0" w:space="0" w:color="auto"/>
                <w:left w:val="none" w:sz="0" w:space="0" w:color="auto"/>
                <w:bottom w:val="none" w:sz="0" w:space="0" w:color="auto"/>
                <w:right w:val="none" w:sz="0" w:space="0" w:color="auto"/>
              </w:divBdr>
            </w:div>
            <w:div w:id="256448394">
              <w:marLeft w:val="0"/>
              <w:marRight w:val="0"/>
              <w:marTop w:val="0"/>
              <w:marBottom w:val="0"/>
              <w:divBdr>
                <w:top w:val="none" w:sz="0" w:space="0" w:color="auto"/>
                <w:left w:val="none" w:sz="0" w:space="0" w:color="auto"/>
                <w:bottom w:val="none" w:sz="0" w:space="0" w:color="auto"/>
                <w:right w:val="none" w:sz="0" w:space="0" w:color="auto"/>
              </w:divBdr>
            </w:div>
            <w:div w:id="264853488">
              <w:marLeft w:val="0"/>
              <w:marRight w:val="0"/>
              <w:marTop w:val="0"/>
              <w:marBottom w:val="0"/>
              <w:divBdr>
                <w:top w:val="none" w:sz="0" w:space="0" w:color="auto"/>
                <w:left w:val="none" w:sz="0" w:space="0" w:color="auto"/>
                <w:bottom w:val="none" w:sz="0" w:space="0" w:color="auto"/>
                <w:right w:val="none" w:sz="0" w:space="0" w:color="auto"/>
              </w:divBdr>
            </w:div>
            <w:div w:id="550119065">
              <w:marLeft w:val="0"/>
              <w:marRight w:val="0"/>
              <w:marTop w:val="0"/>
              <w:marBottom w:val="0"/>
              <w:divBdr>
                <w:top w:val="none" w:sz="0" w:space="0" w:color="auto"/>
                <w:left w:val="none" w:sz="0" w:space="0" w:color="auto"/>
                <w:bottom w:val="none" w:sz="0" w:space="0" w:color="auto"/>
                <w:right w:val="none" w:sz="0" w:space="0" w:color="auto"/>
              </w:divBdr>
            </w:div>
            <w:div w:id="653488531">
              <w:marLeft w:val="0"/>
              <w:marRight w:val="0"/>
              <w:marTop w:val="0"/>
              <w:marBottom w:val="0"/>
              <w:divBdr>
                <w:top w:val="none" w:sz="0" w:space="0" w:color="auto"/>
                <w:left w:val="none" w:sz="0" w:space="0" w:color="auto"/>
                <w:bottom w:val="none" w:sz="0" w:space="0" w:color="auto"/>
                <w:right w:val="none" w:sz="0" w:space="0" w:color="auto"/>
              </w:divBdr>
            </w:div>
            <w:div w:id="694690732">
              <w:marLeft w:val="0"/>
              <w:marRight w:val="0"/>
              <w:marTop w:val="0"/>
              <w:marBottom w:val="0"/>
              <w:divBdr>
                <w:top w:val="none" w:sz="0" w:space="0" w:color="auto"/>
                <w:left w:val="none" w:sz="0" w:space="0" w:color="auto"/>
                <w:bottom w:val="none" w:sz="0" w:space="0" w:color="auto"/>
                <w:right w:val="none" w:sz="0" w:space="0" w:color="auto"/>
              </w:divBdr>
            </w:div>
            <w:div w:id="892348626">
              <w:marLeft w:val="0"/>
              <w:marRight w:val="0"/>
              <w:marTop w:val="0"/>
              <w:marBottom w:val="0"/>
              <w:divBdr>
                <w:top w:val="none" w:sz="0" w:space="0" w:color="auto"/>
                <w:left w:val="none" w:sz="0" w:space="0" w:color="auto"/>
                <w:bottom w:val="none" w:sz="0" w:space="0" w:color="auto"/>
                <w:right w:val="none" w:sz="0" w:space="0" w:color="auto"/>
              </w:divBdr>
            </w:div>
            <w:div w:id="1141773663">
              <w:marLeft w:val="0"/>
              <w:marRight w:val="0"/>
              <w:marTop w:val="0"/>
              <w:marBottom w:val="0"/>
              <w:divBdr>
                <w:top w:val="none" w:sz="0" w:space="0" w:color="auto"/>
                <w:left w:val="none" w:sz="0" w:space="0" w:color="auto"/>
                <w:bottom w:val="none" w:sz="0" w:space="0" w:color="auto"/>
                <w:right w:val="none" w:sz="0" w:space="0" w:color="auto"/>
              </w:divBdr>
            </w:div>
            <w:div w:id="1145854854">
              <w:marLeft w:val="0"/>
              <w:marRight w:val="0"/>
              <w:marTop w:val="0"/>
              <w:marBottom w:val="0"/>
              <w:divBdr>
                <w:top w:val="none" w:sz="0" w:space="0" w:color="auto"/>
                <w:left w:val="none" w:sz="0" w:space="0" w:color="auto"/>
                <w:bottom w:val="none" w:sz="0" w:space="0" w:color="auto"/>
                <w:right w:val="none" w:sz="0" w:space="0" w:color="auto"/>
              </w:divBdr>
            </w:div>
            <w:div w:id="1156263823">
              <w:marLeft w:val="0"/>
              <w:marRight w:val="0"/>
              <w:marTop w:val="0"/>
              <w:marBottom w:val="0"/>
              <w:divBdr>
                <w:top w:val="none" w:sz="0" w:space="0" w:color="auto"/>
                <w:left w:val="none" w:sz="0" w:space="0" w:color="auto"/>
                <w:bottom w:val="none" w:sz="0" w:space="0" w:color="auto"/>
                <w:right w:val="none" w:sz="0" w:space="0" w:color="auto"/>
              </w:divBdr>
            </w:div>
            <w:div w:id="1232039125">
              <w:marLeft w:val="0"/>
              <w:marRight w:val="0"/>
              <w:marTop w:val="0"/>
              <w:marBottom w:val="0"/>
              <w:divBdr>
                <w:top w:val="none" w:sz="0" w:space="0" w:color="auto"/>
                <w:left w:val="none" w:sz="0" w:space="0" w:color="auto"/>
                <w:bottom w:val="none" w:sz="0" w:space="0" w:color="auto"/>
                <w:right w:val="none" w:sz="0" w:space="0" w:color="auto"/>
              </w:divBdr>
            </w:div>
            <w:div w:id="1234050955">
              <w:marLeft w:val="0"/>
              <w:marRight w:val="0"/>
              <w:marTop w:val="0"/>
              <w:marBottom w:val="0"/>
              <w:divBdr>
                <w:top w:val="none" w:sz="0" w:space="0" w:color="auto"/>
                <w:left w:val="none" w:sz="0" w:space="0" w:color="auto"/>
                <w:bottom w:val="none" w:sz="0" w:space="0" w:color="auto"/>
                <w:right w:val="none" w:sz="0" w:space="0" w:color="auto"/>
              </w:divBdr>
            </w:div>
            <w:div w:id="1365327940">
              <w:marLeft w:val="0"/>
              <w:marRight w:val="0"/>
              <w:marTop w:val="0"/>
              <w:marBottom w:val="0"/>
              <w:divBdr>
                <w:top w:val="none" w:sz="0" w:space="0" w:color="auto"/>
                <w:left w:val="none" w:sz="0" w:space="0" w:color="auto"/>
                <w:bottom w:val="none" w:sz="0" w:space="0" w:color="auto"/>
                <w:right w:val="none" w:sz="0" w:space="0" w:color="auto"/>
              </w:divBdr>
            </w:div>
            <w:div w:id="1366373442">
              <w:marLeft w:val="0"/>
              <w:marRight w:val="0"/>
              <w:marTop w:val="0"/>
              <w:marBottom w:val="0"/>
              <w:divBdr>
                <w:top w:val="none" w:sz="0" w:space="0" w:color="auto"/>
                <w:left w:val="none" w:sz="0" w:space="0" w:color="auto"/>
                <w:bottom w:val="none" w:sz="0" w:space="0" w:color="auto"/>
                <w:right w:val="none" w:sz="0" w:space="0" w:color="auto"/>
              </w:divBdr>
            </w:div>
            <w:div w:id="1396389850">
              <w:marLeft w:val="0"/>
              <w:marRight w:val="0"/>
              <w:marTop w:val="0"/>
              <w:marBottom w:val="0"/>
              <w:divBdr>
                <w:top w:val="none" w:sz="0" w:space="0" w:color="auto"/>
                <w:left w:val="none" w:sz="0" w:space="0" w:color="auto"/>
                <w:bottom w:val="none" w:sz="0" w:space="0" w:color="auto"/>
                <w:right w:val="none" w:sz="0" w:space="0" w:color="auto"/>
              </w:divBdr>
            </w:div>
            <w:div w:id="1441729124">
              <w:marLeft w:val="0"/>
              <w:marRight w:val="0"/>
              <w:marTop w:val="0"/>
              <w:marBottom w:val="0"/>
              <w:divBdr>
                <w:top w:val="none" w:sz="0" w:space="0" w:color="auto"/>
                <w:left w:val="none" w:sz="0" w:space="0" w:color="auto"/>
                <w:bottom w:val="none" w:sz="0" w:space="0" w:color="auto"/>
                <w:right w:val="none" w:sz="0" w:space="0" w:color="auto"/>
              </w:divBdr>
            </w:div>
            <w:div w:id="1652949366">
              <w:marLeft w:val="0"/>
              <w:marRight w:val="0"/>
              <w:marTop w:val="0"/>
              <w:marBottom w:val="0"/>
              <w:divBdr>
                <w:top w:val="none" w:sz="0" w:space="0" w:color="auto"/>
                <w:left w:val="none" w:sz="0" w:space="0" w:color="auto"/>
                <w:bottom w:val="none" w:sz="0" w:space="0" w:color="auto"/>
                <w:right w:val="none" w:sz="0" w:space="0" w:color="auto"/>
              </w:divBdr>
            </w:div>
            <w:div w:id="1815876562">
              <w:marLeft w:val="0"/>
              <w:marRight w:val="0"/>
              <w:marTop w:val="0"/>
              <w:marBottom w:val="0"/>
              <w:divBdr>
                <w:top w:val="none" w:sz="0" w:space="0" w:color="auto"/>
                <w:left w:val="none" w:sz="0" w:space="0" w:color="auto"/>
                <w:bottom w:val="none" w:sz="0" w:space="0" w:color="auto"/>
                <w:right w:val="none" w:sz="0" w:space="0" w:color="auto"/>
              </w:divBdr>
            </w:div>
            <w:div w:id="1988319329">
              <w:marLeft w:val="0"/>
              <w:marRight w:val="0"/>
              <w:marTop w:val="0"/>
              <w:marBottom w:val="0"/>
              <w:divBdr>
                <w:top w:val="none" w:sz="0" w:space="0" w:color="auto"/>
                <w:left w:val="none" w:sz="0" w:space="0" w:color="auto"/>
                <w:bottom w:val="none" w:sz="0" w:space="0" w:color="auto"/>
                <w:right w:val="none" w:sz="0" w:space="0" w:color="auto"/>
              </w:divBdr>
            </w:div>
            <w:div w:id="2146316066">
              <w:marLeft w:val="0"/>
              <w:marRight w:val="0"/>
              <w:marTop w:val="0"/>
              <w:marBottom w:val="0"/>
              <w:divBdr>
                <w:top w:val="none" w:sz="0" w:space="0" w:color="auto"/>
                <w:left w:val="none" w:sz="0" w:space="0" w:color="auto"/>
                <w:bottom w:val="none" w:sz="0" w:space="0" w:color="auto"/>
                <w:right w:val="none" w:sz="0" w:space="0" w:color="auto"/>
              </w:divBdr>
            </w:div>
          </w:divsChild>
        </w:div>
        <w:div w:id="946816015">
          <w:marLeft w:val="0"/>
          <w:marRight w:val="0"/>
          <w:marTop w:val="0"/>
          <w:marBottom w:val="0"/>
          <w:divBdr>
            <w:top w:val="none" w:sz="0" w:space="0" w:color="auto"/>
            <w:left w:val="none" w:sz="0" w:space="0" w:color="auto"/>
            <w:bottom w:val="none" w:sz="0" w:space="0" w:color="auto"/>
            <w:right w:val="none" w:sz="0" w:space="0" w:color="auto"/>
          </w:divBdr>
        </w:div>
        <w:div w:id="946817106">
          <w:marLeft w:val="0"/>
          <w:marRight w:val="0"/>
          <w:marTop w:val="0"/>
          <w:marBottom w:val="0"/>
          <w:divBdr>
            <w:top w:val="none" w:sz="0" w:space="0" w:color="auto"/>
            <w:left w:val="none" w:sz="0" w:space="0" w:color="auto"/>
            <w:bottom w:val="none" w:sz="0" w:space="0" w:color="auto"/>
            <w:right w:val="none" w:sz="0" w:space="0" w:color="auto"/>
          </w:divBdr>
        </w:div>
        <w:div w:id="974143477">
          <w:marLeft w:val="0"/>
          <w:marRight w:val="0"/>
          <w:marTop w:val="0"/>
          <w:marBottom w:val="0"/>
          <w:divBdr>
            <w:top w:val="none" w:sz="0" w:space="0" w:color="auto"/>
            <w:left w:val="none" w:sz="0" w:space="0" w:color="auto"/>
            <w:bottom w:val="none" w:sz="0" w:space="0" w:color="auto"/>
            <w:right w:val="none" w:sz="0" w:space="0" w:color="auto"/>
          </w:divBdr>
        </w:div>
        <w:div w:id="986055817">
          <w:marLeft w:val="0"/>
          <w:marRight w:val="0"/>
          <w:marTop w:val="0"/>
          <w:marBottom w:val="0"/>
          <w:divBdr>
            <w:top w:val="none" w:sz="0" w:space="0" w:color="auto"/>
            <w:left w:val="none" w:sz="0" w:space="0" w:color="auto"/>
            <w:bottom w:val="none" w:sz="0" w:space="0" w:color="auto"/>
            <w:right w:val="none" w:sz="0" w:space="0" w:color="auto"/>
          </w:divBdr>
        </w:div>
        <w:div w:id="987902982">
          <w:marLeft w:val="0"/>
          <w:marRight w:val="0"/>
          <w:marTop w:val="0"/>
          <w:marBottom w:val="0"/>
          <w:divBdr>
            <w:top w:val="none" w:sz="0" w:space="0" w:color="auto"/>
            <w:left w:val="none" w:sz="0" w:space="0" w:color="auto"/>
            <w:bottom w:val="none" w:sz="0" w:space="0" w:color="auto"/>
            <w:right w:val="none" w:sz="0" w:space="0" w:color="auto"/>
          </w:divBdr>
        </w:div>
        <w:div w:id="990907808">
          <w:marLeft w:val="0"/>
          <w:marRight w:val="0"/>
          <w:marTop w:val="0"/>
          <w:marBottom w:val="0"/>
          <w:divBdr>
            <w:top w:val="none" w:sz="0" w:space="0" w:color="auto"/>
            <w:left w:val="none" w:sz="0" w:space="0" w:color="auto"/>
            <w:bottom w:val="none" w:sz="0" w:space="0" w:color="auto"/>
            <w:right w:val="none" w:sz="0" w:space="0" w:color="auto"/>
          </w:divBdr>
          <w:divsChild>
            <w:div w:id="31661520">
              <w:marLeft w:val="0"/>
              <w:marRight w:val="0"/>
              <w:marTop w:val="0"/>
              <w:marBottom w:val="0"/>
              <w:divBdr>
                <w:top w:val="none" w:sz="0" w:space="0" w:color="auto"/>
                <w:left w:val="none" w:sz="0" w:space="0" w:color="auto"/>
                <w:bottom w:val="none" w:sz="0" w:space="0" w:color="auto"/>
                <w:right w:val="none" w:sz="0" w:space="0" w:color="auto"/>
              </w:divBdr>
            </w:div>
            <w:div w:id="41179805">
              <w:marLeft w:val="0"/>
              <w:marRight w:val="0"/>
              <w:marTop w:val="0"/>
              <w:marBottom w:val="0"/>
              <w:divBdr>
                <w:top w:val="none" w:sz="0" w:space="0" w:color="auto"/>
                <w:left w:val="none" w:sz="0" w:space="0" w:color="auto"/>
                <w:bottom w:val="none" w:sz="0" w:space="0" w:color="auto"/>
                <w:right w:val="none" w:sz="0" w:space="0" w:color="auto"/>
              </w:divBdr>
            </w:div>
            <w:div w:id="352613709">
              <w:marLeft w:val="0"/>
              <w:marRight w:val="0"/>
              <w:marTop w:val="0"/>
              <w:marBottom w:val="0"/>
              <w:divBdr>
                <w:top w:val="none" w:sz="0" w:space="0" w:color="auto"/>
                <w:left w:val="none" w:sz="0" w:space="0" w:color="auto"/>
                <w:bottom w:val="none" w:sz="0" w:space="0" w:color="auto"/>
                <w:right w:val="none" w:sz="0" w:space="0" w:color="auto"/>
              </w:divBdr>
            </w:div>
            <w:div w:id="352658663">
              <w:marLeft w:val="0"/>
              <w:marRight w:val="0"/>
              <w:marTop w:val="0"/>
              <w:marBottom w:val="0"/>
              <w:divBdr>
                <w:top w:val="none" w:sz="0" w:space="0" w:color="auto"/>
                <w:left w:val="none" w:sz="0" w:space="0" w:color="auto"/>
                <w:bottom w:val="none" w:sz="0" w:space="0" w:color="auto"/>
                <w:right w:val="none" w:sz="0" w:space="0" w:color="auto"/>
              </w:divBdr>
            </w:div>
            <w:div w:id="538781308">
              <w:marLeft w:val="0"/>
              <w:marRight w:val="0"/>
              <w:marTop w:val="0"/>
              <w:marBottom w:val="0"/>
              <w:divBdr>
                <w:top w:val="none" w:sz="0" w:space="0" w:color="auto"/>
                <w:left w:val="none" w:sz="0" w:space="0" w:color="auto"/>
                <w:bottom w:val="none" w:sz="0" w:space="0" w:color="auto"/>
                <w:right w:val="none" w:sz="0" w:space="0" w:color="auto"/>
              </w:divBdr>
            </w:div>
            <w:div w:id="615714916">
              <w:marLeft w:val="0"/>
              <w:marRight w:val="0"/>
              <w:marTop w:val="0"/>
              <w:marBottom w:val="0"/>
              <w:divBdr>
                <w:top w:val="none" w:sz="0" w:space="0" w:color="auto"/>
                <w:left w:val="none" w:sz="0" w:space="0" w:color="auto"/>
                <w:bottom w:val="none" w:sz="0" w:space="0" w:color="auto"/>
                <w:right w:val="none" w:sz="0" w:space="0" w:color="auto"/>
              </w:divBdr>
            </w:div>
            <w:div w:id="757410648">
              <w:marLeft w:val="0"/>
              <w:marRight w:val="0"/>
              <w:marTop w:val="0"/>
              <w:marBottom w:val="0"/>
              <w:divBdr>
                <w:top w:val="none" w:sz="0" w:space="0" w:color="auto"/>
                <w:left w:val="none" w:sz="0" w:space="0" w:color="auto"/>
                <w:bottom w:val="none" w:sz="0" w:space="0" w:color="auto"/>
                <w:right w:val="none" w:sz="0" w:space="0" w:color="auto"/>
              </w:divBdr>
            </w:div>
            <w:div w:id="884564120">
              <w:marLeft w:val="0"/>
              <w:marRight w:val="0"/>
              <w:marTop w:val="0"/>
              <w:marBottom w:val="0"/>
              <w:divBdr>
                <w:top w:val="none" w:sz="0" w:space="0" w:color="auto"/>
                <w:left w:val="none" w:sz="0" w:space="0" w:color="auto"/>
                <w:bottom w:val="none" w:sz="0" w:space="0" w:color="auto"/>
                <w:right w:val="none" w:sz="0" w:space="0" w:color="auto"/>
              </w:divBdr>
            </w:div>
            <w:div w:id="1047602359">
              <w:marLeft w:val="0"/>
              <w:marRight w:val="0"/>
              <w:marTop w:val="0"/>
              <w:marBottom w:val="0"/>
              <w:divBdr>
                <w:top w:val="none" w:sz="0" w:space="0" w:color="auto"/>
                <w:left w:val="none" w:sz="0" w:space="0" w:color="auto"/>
                <w:bottom w:val="none" w:sz="0" w:space="0" w:color="auto"/>
                <w:right w:val="none" w:sz="0" w:space="0" w:color="auto"/>
              </w:divBdr>
            </w:div>
            <w:div w:id="1148059990">
              <w:marLeft w:val="0"/>
              <w:marRight w:val="0"/>
              <w:marTop w:val="0"/>
              <w:marBottom w:val="0"/>
              <w:divBdr>
                <w:top w:val="none" w:sz="0" w:space="0" w:color="auto"/>
                <w:left w:val="none" w:sz="0" w:space="0" w:color="auto"/>
                <w:bottom w:val="none" w:sz="0" w:space="0" w:color="auto"/>
                <w:right w:val="none" w:sz="0" w:space="0" w:color="auto"/>
              </w:divBdr>
            </w:div>
            <w:div w:id="1206064058">
              <w:marLeft w:val="0"/>
              <w:marRight w:val="0"/>
              <w:marTop w:val="0"/>
              <w:marBottom w:val="0"/>
              <w:divBdr>
                <w:top w:val="none" w:sz="0" w:space="0" w:color="auto"/>
                <w:left w:val="none" w:sz="0" w:space="0" w:color="auto"/>
                <w:bottom w:val="none" w:sz="0" w:space="0" w:color="auto"/>
                <w:right w:val="none" w:sz="0" w:space="0" w:color="auto"/>
              </w:divBdr>
            </w:div>
            <w:div w:id="1227568117">
              <w:marLeft w:val="0"/>
              <w:marRight w:val="0"/>
              <w:marTop w:val="0"/>
              <w:marBottom w:val="0"/>
              <w:divBdr>
                <w:top w:val="none" w:sz="0" w:space="0" w:color="auto"/>
                <w:left w:val="none" w:sz="0" w:space="0" w:color="auto"/>
                <w:bottom w:val="none" w:sz="0" w:space="0" w:color="auto"/>
                <w:right w:val="none" w:sz="0" w:space="0" w:color="auto"/>
              </w:divBdr>
            </w:div>
            <w:div w:id="1412503979">
              <w:marLeft w:val="0"/>
              <w:marRight w:val="0"/>
              <w:marTop w:val="0"/>
              <w:marBottom w:val="0"/>
              <w:divBdr>
                <w:top w:val="none" w:sz="0" w:space="0" w:color="auto"/>
                <w:left w:val="none" w:sz="0" w:space="0" w:color="auto"/>
                <w:bottom w:val="none" w:sz="0" w:space="0" w:color="auto"/>
                <w:right w:val="none" w:sz="0" w:space="0" w:color="auto"/>
              </w:divBdr>
            </w:div>
            <w:div w:id="1415472496">
              <w:marLeft w:val="0"/>
              <w:marRight w:val="0"/>
              <w:marTop w:val="0"/>
              <w:marBottom w:val="0"/>
              <w:divBdr>
                <w:top w:val="none" w:sz="0" w:space="0" w:color="auto"/>
                <w:left w:val="none" w:sz="0" w:space="0" w:color="auto"/>
                <w:bottom w:val="none" w:sz="0" w:space="0" w:color="auto"/>
                <w:right w:val="none" w:sz="0" w:space="0" w:color="auto"/>
              </w:divBdr>
            </w:div>
            <w:div w:id="1522011393">
              <w:marLeft w:val="0"/>
              <w:marRight w:val="0"/>
              <w:marTop w:val="0"/>
              <w:marBottom w:val="0"/>
              <w:divBdr>
                <w:top w:val="none" w:sz="0" w:space="0" w:color="auto"/>
                <w:left w:val="none" w:sz="0" w:space="0" w:color="auto"/>
                <w:bottom w:val="none" w:sz="0" w:space="0" w:color="auto"/>
                <w:right w:val="none" w:sz="0" w:space="0" w:color="auto"/>
              </w:divBdr>
            </w:div>
            <w:div w:id="1562594196">
              <w:marLeft w:val="0"/>
              <w:marRight w:val="0"/>
              <w:marTop w:val="0"/>
              <w:marBottom w:val="0"/>
              <w:divBdr>
                <w:top w:val="none" w:sz="0" w:space="0" w:color="auto"/>
                <w:left w:val="none" w:sz="0" w:space="0" w:color="auto"/>
                <w:bottom w:val="none" w:sz="0" w:space="0" w:color="auto"/>
                <w:right w:val="none" w:sz="0" w:space="0" w:color="auto"/>
              </w:divBdr>
            </w:div>
            <w:div w:id="1691183114">
              <w:marLeft w:val="0"/>
              <w:marRight w:val="0"/>
              <w:marTop w:val="0"/>
              <w:marBottom w:val="0"/>
              <w:divBdr>
                <w:top w:val="none" w:sz="0" w:space="0" w:color="auto"/>
                <w:left w:val="none" w:sz="0" w:space="0" w:color="auto"/>
                <w:bottom w:val="none" w:sz="0" w:space="0" w:color="auto"/>
                <w:right w:val="none" w:sz="0" w:space="0" w:color="auto"/>
              </w:divBdr>
            </w:div>
            <w:div w:id="1972318054">
              <w:marLeft w:val="0"/>
              <w:marRight w:val="0"/>
              <w:marTop w:val="0"/>
              <w:marBottom w:val="0"/>
              <w:divBdr>
                <w:top w:val="none" w:sz="0" w:space="0" w:color="auto"/>
                <w:left w:val="none" w:sz="0" w:space="0" w:color="auto"/>
                <w:bottom w:val="none" w:sz="0" w:space="0" w:color="auto"/>
                <w:right w:val="none" w:sz="0" w:space="0" w:color="auto"/>
              </w:divBdr>
            </w:div>
            <w:div w:id="1995257283">
              <w:marLeft w:val="0"/>
              <w:marRight w:val="0"/>
              <w:marTop w:val="0"/>
              <w:marBottom w:val="0"/>
              <w:divBdr>
                <w:top w:val="none" w:sz="0" w:space="0" w:color="auto"/>
                <w:left w:val="none" w:sz="0" w:space="0" w:color="auto"/>
                <w:bottom w:val="none" w:sz="0" w:space="0" w:color="auto"/>
                <w:right w:val="none" w:sz="0" w:space="0" w:color="auto"/>
              </w:divBdr>
            </w:div>
            <w:div w:id="2146041867">
              <w:marLeft w:val="0"/>
              <w:marRight w:val="0"/>
              <w:marTop w:val="0"/>
              <w:marBottom w:val="0"/>
              <w:divBdr>
                <w:top w:val="none" w:sz="0" w:space="0" w:color="auto"/>
                <w:left w:val="none" w:sz="0" w:space="0" w:color="auto"/>
                <w:bottom w:val="none" w:sz="0" w:space="0" w:color="auto"/>
                <w:right w:val="none" w:sz="0" w:space="0" w:color="auto"/>
              </w:divBdr>
            </w:div>
          </w:divsChild>
        </w:div>
        <w:div w:id="1002048121">
          <w:marLeft w:val="0"/>
          <w:marRight w:val="0"/>
          <w:marTop w:val="0"/>
          <w:marBottom w:val="0"/>
          <w:divBdr>
            <w:top w:val="none" w:sz="0" w:space="0" w:color="auto"/>
            <w:left w:val="none" w:sz="0" w:space="0" w:color="auto"/>
            <w:bottom w:val="none" w:sz="0" w:space="0" w:color="auto"/>
            <w:right w:val="none" w:sz="0" w:space="0" w:color="auto"/>
          </w:divBdr>
        </w:div>
        <w:div w:id="1008210705">
          <w:marLeft w:val="0"/>
          <w:marRight w:val="0"/>
          <w:marTop w:val="0"/>
          <w:marBottom w:val="0"/>
          <w:divBdr>
            <w:top w:val="none" w:sz="0" w:space="0" w:color="auto"/>
            <w:left w:val="none" w:sz="0" w:space="0" w:color="auto"/>
            <w:bottom w:val="none" w:sz="0" w:space="0" w:color="auto"/>
            <w:right w:val="none" w:sz="0" w:space="0" w:color="auto"/>
          </w:divBdr>
        </w:div>
        <w:div w:id="1012220488">
          <w:marLeft w:val="0"/>
          <w:marRight w:val="0"/>
          <w:marTop w:val="0"/>
          <w:marBottom w:val="0"/>
          <w:divBdr>
            <w:top w:val="none" w:sz="0" w:space="0" w:color="auto"/>
            <w:left w:val="none" w:sz="0" w:space="0" w:color="auto"/>
            <w:bottom w:val="none" w:sz="0" w:space="0" w:color="auto"/>
            <w:right w:val="none" w:sz="0" w:space="0" w:color="auto"/>
          </w:divBdr>
        </w:div>
        <w:div w:id="1015619783">
          <w:marLeft w:val="0"/>
          <w:marRight w:val="0"/>
          <w:marTop w:val="0"/>
          <w:marBottom w:val="0"/>
          <w:divBdr>
            <w:top w:val="none" w:sz="0" w:space="0" w:color="auto"/>
            <w:left w:val="none" w:sz="0" w:space="0" w:color="auto"/>
            <w:bottom w:val="none" w:sz="0" w:space="0" w:color="auto"/>
            <w:right w:val="none" w:sz="0" w:space="0" w:color="auto"/>
          </w:divBdr>
          <w:divsChild>
            <w:div w:id="99567480">
              <w:marLeft w:val="0"/>
              <w:marRight w:val="0"/>
              <w:marTop w:val="0"/>
              <w:marBottom w:val="0"/>
              <w:divBdr>
                <w:top w:val="none" w:sz="0" w:space="0" w:color="auto"/>
                <w:left w:val="none" w:sz="0" w:space="0" w:color="auto"/>
                <w:bottom w:val="none" w:sz="0" w:space="0" w:color="auto"/>
                <w:right w:val="none" w:sz="0" w:space="0" w:color="auto"/>
              </w:divBdr>
            </w:div>
            <w:div w:id="132870767">
              <w:marLeft w:val="0"/>
              <w:marRight w:val="0"/>
              <w:marTop w:val="0"/>
              <w:marBottom w:val="0"/>
              <w:divBdr>
                <w:top w:val="none" w:sz="0" w:space="0" w:color="auto"/>
                <w:left w:val="none" w:sz="0" w:space="0" w:color="auto"/>
                <w:bottom w:val="none" w:sz="0" w:space="0" w:color="auto"/>
                <w:right w:val="none" w:sz="0" w:space="0" w:color="auto"/>
              </w:divBdr>
            </w:div>
            <w:div w:id="138958011">
              <w:marLeft w:val="0"/>
              <w:marRight w:val="0"/>
              <w:marTop w:val="0"/>
              <w:marBottom w:val="0"/>
              <w:divBdr>
                <w:top w:val="none" w:sz="0" w:space="0" w:color="auto"/>
                <w:left w:val="none" w:sz="0" w:space="0" w:color="auto"/>
                <w:bottom w:val="none" w:sz="0" w:space="0" w:color="auto"/>
                <w:right w:val="none" w:sz="0" w:space="0" w:color="auto"/>
              </w:divBdr>
            </w:div>
            <w:div w:id="208151545">
              <w:marLeft w:val="0"/>
              <w:marRight w:val="0"/>
              <w:marTop w:val="0"/>
              <w:marBottom w:val="0"/>
              <w:divBdr>
                <w:top w:val="none" w:sz="0" w:space="0" w:color="auto"/>
                <w:left w:val="none" w:sz="0" w:space="0" w:color="auto"/>
                <w:bottom w:val="none" w:sz="0" w:space="0" w:color="auto"/>
                <w:right w:val="none" w:sz="0" w:space="0" w:color="auto"/>
              </w:divBdr>
            </w:div>
            <w:div w:id="355237827">
              <w:marLeft w:val="0"/>
              <w:marRight w:val="0"/>
              <w:marTop w:val="0"/>
              <w:marBottom w:val="0"/>
              <w:divBdr>
                <w:top w:val="none" w:sz="0" w:space="0" w:color="auto"/>
                <w:left w:val="none" w:sz="0" w:space="0" w:color="auto"/>
                <w:bottom w:val="none" w:sz="0" w:space="0" w:color="auto"/>
                <w:right w:val="none" w:sz="0" w:space="0" w:color="auto"/>
              </w:divBdr>
            </w:div>
            <w:div w:id="386077928">
              <w:marLeft w:val="0"/>
              <w:marRight w:val="0"/>
              <w:marTop w:val="0"/>
              <w:marBottom w:val="0"/>
              <w:divBdr>
                <w:top w:val="none" w:sz="0" w:space="0" w:color="auto"/>
                <w:left w:val="none" w:sz="0" w:space="0" w:color="auto"/>
                <w:bottom w:val="none" w:sz="0" w:space="0" w:color="auto"/>
                <w:right w:val="none" w:sz="0" w:space="0" w:color="auto"/>
              </w:divBdr>
            </w:div>
            <w:div w:id="402947820">
              <w:marLeft w:val="0"/>
              <w:marRight w:val="0"/>
              <w:marTop w:val="0"/>
              <w:marBottom w:val="0"/>
              <w:divBdr>
                <w:top w:val="none" w:sz="0" w:space="0" w:color="auto"/>
                <w:left w:val="none" w:sz="0" w:space="0" w:color="auto"/>
                <w:bottom w:val="none" w:sz="0" w:space="0" w:color="auto"/>
                <w:right w:val="none" w:sz="0" w:space="0" w:color="auto"/>
              </w:divBdr>
            </w:div>
            <w:div w:id="520779520">
              <w:marLeft w:val="0"/>
              <w:marRight w:val="0"/>
              <w:marTop w:val="0"/>
              <w:marBottom w:val="0"/>
              <w:divBdr>
                <w:top w:val="none" w:sz="0" w:space="0" w:color="auto"/>
                <w:left w:val="none" w:sz="0" w:space="0" w:color="auto"/>
                <w:bottom w:val="none" w:sz="0" w:space="0" w:color="auto"/>
                <w:right w:val="none" w:sz="0" w:space="0" w:color="auto"/>
              </w:divBdr>
            </w:div>
            <w:div w:id="582644937">
              <w:marLeft w:val="0"/>
              <w:marRight w:val="0"/>
              <w:marTop w:val="0"/>
              <w:marBottom w:val="0"/>
              <w:divBdr>
                <w:top w:val="none" w:sz="0" w:space="0" w:color="auto"/>
                <w:left w:val="none" w:sz="0" w:space="0" w:color="auto"/>
                <w:bottom w:val="none" w:sz="0" w:space="0" w:color="auto"/>
                <w:right w:val="none" w:sz="0" w:space="0" w:color="auto"/>
              </w:divBdr>
            </w:div>
            <w:div w:id="684792984">
              <w:marLeft w:val="0"/>
              <w:marRight w:val="0"/>
              <w:marTop w:val="0"/>
              <w:marBottom w:val="0"/>
              <w:divBdr>
                <w:top w:val="none" w:sz="0" w:space="0" w:color="auto"/>
                <w:left w:val="none" w:sz="0" w:space="0" w:color="auto"/>
                <w:bottom w:val="none" w:sz="0" w:space="0" w:color="auto"/>
                <w:right w:val="none" w:sz="0" w:space="0" w:color="auto"/>
              </w:divBdr>
            </w:div>
            <w:div w:id="830871193">
              <w:marLeft w:val="0"/>
              <w:marRight w:val="0"/>
              <w:marTop w:val="0"/>
              <w:marBottom w:val="0"/>
              <w:divBdr>
                <w:top w:val="none" w:sz="0" w:space="0" w:color="auto"/>
                <w:left w:val="none" w:sz="0" w:space="0" w:color="auto"/>
                <w:bottom w:val="none" w:sz="0" w:space="0" w:color="auto"/>
                <w:right w:val="none" w:sz="0" w:space="0" w:color="auto"/>
              </w:divBdr>
            </w:div>
            <w:div w:id="838693196">
              <w:marLeft w:val="0"/>
              <w:marRight w:val="0"/>
              <w:marTop w:val="0"/>
              <w:marBottom w:val="0"/>
              <w:divBdr>
                <w:top w:val="none" w:sz="0" w:space="0" w:color="auto"/>
                <w:left w:val="none" w:sz="0" w:space="0" w:color="auto"/>
                <w:bottom w:val="none" w:sz="0" w:space="0" w:color="auto"/>
                <w:right w:val="none" w:sz="0" w:space="0" w:color="auto"/>
              </w:divBdr>
            </w:div>
            <w:div w:id="889805815">
              <w:marLeft w:val="0"/>
              <w:marRight w:val="0"/>
              <w:marTop w:val="0"/>
              <w:marBottom w:val="0"/>
              <w:divBdr>
                <w:top w:val="none" w:sz="0" w:space="0" w:color="auto"/>
                <w:left w:val="none" w:sz="0" w:space="0" w:color="auto"/>
                <w:bottom w:val="none" w:sz="0" w:space="0" w:color="auto"/>
                <w:right w:val="none" w:sz="0" w:space="0" w:color="auto"/>
              </w:divBdr>
            </w:div>
            <w:div w:id="1377042482">
              <w:marLeft w:val="0"/>
              <w:marRight w:val="0"/>
              <w:marTop w:val="0"/>
              <w:marBottom w:val="0"/>
              <w:divBdr>
                <w:top w:val="none" w:sz="0" w:space="0" w:color="auto"/>
                <w:left w:val="none" w:sz="0" w:space="0" w:color="auto"/>
                <w:bottom w:val="none" w:sz="0" w:space="0" w:color="auto"/>
                <w:right w:val="none" w:sz="0" w:space="0" w:color="auto"/>
              </w:divBdr>
            </w:div>
            <w:div w:id="1381973573">
              <w:marLeft w:val="0"/>
              <w:marRight w:val="0"/>
              <w:marTop w:val="0"/>
              <w:marBottom w:val="0"/>
              <w:divBdr>
                <w:top w:val="none" w:sz="0" w:space="0" w:color="auto"/>
                <w:left w:val="none" w:sz="0" w:space="0" w:color="auto"/>
                <w:bottom w:val="none" w:sz="0" w:space="0" w:color="auto"/>
                <w:right w:val="none" w:sz="0" w:space="0" w:color="auto"/>
              </w:divBdr>
            </w:div>
            <w:div w:id="1419904409">
              <w:marLeft w:val="0"/>
              <w:marRight w:val="0"/>
              <w:marTop w:val="0"/>
              <w:marBottom w:val="0"/>
              <w:divBdr>
                <w:top w:val="none" w:sz="0" w:space="0" w:color="auto"/>
                <w:left w:val="none" w:sz="0" w:space="0" w:color="auto"/>
                <w:bottom w:val="none" w:sz="0" w:space="0" w:color="auto"/>
                <w:right w:val="none" w:sz="0" w:space="0" w:color="auto"/>
              </w:divBdr>
            </w:div>
            <w:div w:id="1459909805">
              <w:marLeft w:val="0"/>
              <w:marRight w:val="0"/>
              <w:marTop w:val="0"/>
              <w:marBottom w:val="0"/>
              <w:divBdr>
                <w:top w:val="none" w:sz="0" w:space="0" w:color="auto"/>
                <w:left w:val="none" w:sz="0" w:space="0" w:color="auto"/>
                <w:bottom w:val="none" w:sz="0" w:space="0" w:color="auto"/>
                <w:right w:val="none" w:sz="0" w:space="0" w:color="auto"/>
              </w:divBdr>
            </w:div>
            <w:div w:id="1803187672">
              <w:marLeft w:val="0"/>
              <w:marRight w:val="0"/>
              <w:marTop w:val="0"/>
              <w:marBottom w:val="0"/>
              <w:divBdr>
                <w:top w:val="none" w:sz="0" w:space="0" w:color="auto"/>
                <w:left w:val="none" w:sz="0" w:space="0" w:color="auto"/>
                <w:bottom w:val="none" w:sz="0" w:space="0" w:color="auto"/>
                <w:right w:val="none" w:sz="0" w:space="0" w:color="auto"/>
              </w:divBdr>
            </w:div>
            <w:div w:id="1944998128">
              <w:marLeft w:val="0"/>
              <w:marRight w:val="0"/>
              <w:marTop w:val="0"/>
              <w:marBottom w:val="0"/>
              <w:divBdr>
                <w:top w:val="none" w:sz="0" w:space="0" w:color="auto"/>
                <w:left w:val="none" w:sz="0" w:space="0" w:color="auto"/>
                <w:bottom w:val="none" w:sz="0" w:space="0" w:color="auto"/>
                <w:right w:val="none" w:sz="0" w:space="0" w:color="auto"/>
              </w:divBdr>
            </w:div>
            <w:div w:id="2047681038">
              <w:marLeft w:val="0"/>
              <w:marRight w:val="0"/>
              <w:marTop w:val="0"/>
              <w:marBottom w:val="0"/>
              <w:divBdr>
                <w:top w:val="none" w:sz="0" w:space="0" w:color="auto"/>
                <w:left w:val="none" w:sz="0" w:space="0" w:color="auto"/>
                <w:bottom w:val="none" w:sz="0" w:space="0" w:color="auto"/>
                <w:right w:val="none" w:sz="0" w:space="0" w:color="auto"/>
              </w:divBdr>
            </w:div>
          </w:divsChild>
        </w:div>
        <w:div w:id="1018308351">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 w:id="286357940">
              <w:marLeft w:val="0"/>
              <w:marRight w:val="0"/>
              <w:marTop w:val="0"/>
              <w:marBottom w:val="0"/>
              <w:divBdr>
                <w:top w:val="none" w:sz="0" w:space="0" w:color="auto"/>
                <w:left w:val="none" w:sz="0" w:space="0" w:color="auto"/>
                <w:bottom w:val="none" w:sz="0" w:space="0" w:color="auto"/>
                <w:right w:val="none" w:sz="0" w:space="0" w:color="auto"/>
              </w:divBdr>
            </w:div>
            <w:div w:id="425540470">
              <w:marLeft w:val="0"/>
              <w:marRight w:val="0"/>
              <w:marTop w:val="0"/>
              <w:marBottom w:val="0"/>
              <w:divBdr>
                <w:top w:val="none" w:sz="0" w:space="0" w:color="auto"/>
                <w:left w:val="none" w:sz="0" w:space="0" w:color="auto"/>
                <w:bottom w:val="none" w:sz="0" w:space="0" w:color="auto"/>
                <w:right w:val="none" w:sz="0" w:space="0" w:color="auto"/>
              </w:divBdr>
            </w:div>
            <w:div w:id="468939523">
              <w:marLeft w:val="0"/>
              <w:marRight w:val="0"/>
              <w:marTop w:val="0"/>
              <w:marBottom w:val="0"/>
              <w:divBdr>
                <w:top w:val="none" w:sz="0" w:space="0" w:color="auto"/>
                <w:left w:val="none" w:sz="0" w:space="0" w:color="auto"/>
                <w:bottom w:val="none" w:sz="0" w:space="0" w:color="auto"/>
                <w:right w:val="none" w:sz="0" w:space="0" w:color="auto"/>
              </w:divBdr>
            </w:div>
            <w:div w:id="500435584">
              <w:marLeft w:val="0"/>
              <w:marRight w:val="0"/>
              <w:marTop w:val="0"/>
              <w:marBottom w:val="0"/>
              <w:divBdr>
                <w:top w:val="none" w:sz="0" w:space="0" w:color="auto"/>
                <w:left w:val="none" w:sz="0" w:space="0" w:color="auto"/>
                <w:bottom w:val="none" w:sz="0" w:space="0" w:color="auto"/>
                <w:right w:val="none" w:sz="0" w:space="0" w:color="auto"/>
              </w:divBdr>
            </w:div>
            <w:div w:id="611665786">
              <w:marLeft w:val="0"/>
              <w:marRight w:val="0"/>
              <w:marTop w:val="0"/>
              <w:marBottom w:val="0"/>
              <w:divBdr>
                <w:top w:val="none" w:sz="0" w:space="0" w:color="auto"/>
                <w:left w:val="none" w:sz="0" w:space="0" w:color="auto"/>
                <w:bottom w:val="none" w:sz="0" w:space="0" w:color="auto"/>
                <w:right w:val="none" w:sz="0" w:space="0" w:color="auto"/>
              </w:divBdr>
            </w:div>
            <w:div w:id="654266134">
              <w:marLeft w:val="0"/>
              <w:marRight w:val="0"/>
              <w:marTop w:val="0"/>
              <w:marBottom w:val="0"/>
              <w:divBdr>
                <w:top w:val="none" w:sz="0" w:space="0" w:color="auto"/>
                <w:left w:val="none" w:sz="0" w:space="0" w:color="auto"/>
                <w:bottom w:val="none" w:sz="0" w:space="0" w:color="auto"/>
                <w:right w:val="none" w:sz="0" w:space="0" w:color="auto"/>
              </w:divBdr>
            </w:div>
            <w:div w:id="773746093">
              <w:marLeft w:val="0"/>
              <w:marRight w:val="0"/>
              <w:marTop w:val="0"/>
              <w:marBottom w:val="0"/>
              <w:divBdr>
                <w:top w:val="none" w:sz="0" w:space="0" w:color="auto"/>
                <w:left w:val="none" w:sz="0" w:space="0" w:color="auto"/>
                <w:bottom w:val="none" w:sz="0" w:space="0" w:color="auto"/>
                <w:right w:val="none" w:sz="0" w:space="0" w:color="auto"/>
              </w:divBdr>
            </w:div>
            <w:div w:id="786049234">
              <w:marLeft w:val="0"/>
              <w:marRight w:val="0"/>
              <w:marTop w:val="0"/>
              <w:marBottom w:val="0"/>
              <w:divBdr>
                <w:top w:val="none" w:sz="0" w:space="0" w:color="auto"/>
                <w:left w:val="none" w:sz="0" w:space="0" w:color="auto"/>
                <w:bottom w:val="none" w:sz="0" w:space="0" w:color="auto"/>
                <w:right w:val="none" w:sz="0" w:space="0" w:color="auto"/>
              </w:divBdr>
            </w:div>
            <w:div w:id="1086422800">
              <w:marLeft w:val="0"/>
              <w:marRight w:val="0"/>
              <w:marTop w:val="0"/>
              <w:marBottom w:val="0"/>
              <w:divBdr>
                <w:top w:val="none" w:sz="0" w:space="0" w:color="auto"/>
                <w:left w:val="none" w:sz="0" w:space="0" w:color="auto"/>
                <w:bottom w:val="none" w:sz="0" w:space="0" w:color="auto"/>
                <w:right w:val="none" w:sz="0" w:space="0" w:color="auto"/>
              </w:divBdr>
            </w:div>
            <w:div w:id="1205674749">
              <w:marLeft w:val="0"/>
              <w:marRight w:val="0"/>
              <w:marTop w:val="0"/>
              <w:marBottom w:val="0"/>
              <w:divBdr>
                <w:top w:val="none" w:sz="0" w:space="0" w:color="auto"/>
                <w:left w:val="none" w:sz="0" w:space="0" w:color="auto"/>
                <w:bottom w:val="none" w:sz="0" w:space="0" w:color="auto"/>
                <w:right w:val="none" w:sz="0" w:space="0" w:color="auto"/>
              </w:divBdr>
            </w:div>
            <w:div w:id="1352875408">
              <w:marLeft w:val="0"/>
              <w:marRight w:val="0"/>
              <w:marTop w:val="0"/>
              <w:marBottom w:val="0"/>
              <w:divBdr>
                <w:top w:val="none" w:sz="0" w:space="0" w:color="auto"/>
                <w:left w:val="none" w:sz="0" w:space="0" w:color="auto"/>
                <w:bottom w:val="none" w:sz="0" w:space="0" w:color="auto"/>
                <w:right w:val="none" w:sz="0" w:space="0" w:color="auto"/>
              </w:divBdr>
            </w:div>
            <w:div w:id="1416560888">
              <w:marLeft w:val="0"/>
              <w:marRight w:val="0"/>
              <w:marTop w:val="0"/>
              <w:marBottom w:val="0"/>
              <w:divBdr>
                <w:top w:val="none" w:sz="0" w:space="0" w:color="auto"/>
                <w:left w:val="none" w:sz="0" w:space="0" w:color="auto"/>
                <w:bottom w:val="none" w:sz="0" w:space="0" w:color="auto"/>
                <w:right w:val="none" w:sz="0" w:space="0" w:color="auto"/>
              </w:divBdr>
            </w:div>
            <w:div w:id="1474519716">
              <w:marLeft w:val="0"/>
              <w:marRight w:val="0"/>
              <w:marTop w:val="0"/>
              <w:marBottom w:val="0"/>
              <w:divBdr>
                <w:top w:val="none" w:sz="0" w:space="0" w:color="auto"/>
                <w:left w:val="none" w:sz="0" w:space="0" w:color="auto"/>
                <w:bottom w:val="none" w:sz="0" w:space="0" w:color="auto"/>
                <w:right w:val="none" w:sz="0" w:space="0" w:color="auto"/>
              </w:divBdr>
            </w:div>
            <w:div w:id="1527711578">
              <w:marLeft w:val="0"/>
              <w:marRight w:val="0"/>
              <w:marTop w:val="0"/>
              <w:marBottom w:val="0"/>
              <w:divBdr>
                <w:top w:val="none" w:sz="0" w:space="0" w:color="auto"/>
                <w:left w:val="none" w:sz="0" w:space="0" w:color="auto"/>
                <w:bottom w:val="none" w:sz="0" w:space="0" w:color="auto"/>
                <w:right w:val="none" w:sz="0" w:space="0" w:color="auto"/>
              </w:divBdr>
            </w:div>
            <w:div w:id="1567646481">
              <w:marLeft w:val="0"/>
              <w:marRight w:val="0"/>
              <w:marTop w:val="0"/>
              <w:marBottom w:val="0"/>
              <w:divBdr>
                <w:top w:val="none" w:sz="0" w:space="0" w:color="auto"/>
                <w:left w:val="none" w:sz="0" w:space="0" w:color="auto"/>
                <w:bottom w:val="none" w:sz="0" w:space="0" w:color="auto"/>
                <w:right w:val="none" w:sz="0" w:space="0" w:color="auto"/>
              </w:divBdr>
            </w:div>
            <w:div w:id="1572276179">
              <w:marLeft w:val="0"/>
              <w:marRight w:val="0"/>
              <w:marTop w:val="0"/>
              <w:marBottom w:val="0"/>
              <w:divBdr>
                <w:top w:val="none" w:sz="0" w:space="0" w:color="auto"/>
                <w:left w:val="none" w:sz="0" w:space="0" w:color="auto"/>
                <w:bottom w:val="none" w:sz="0" w:space="0" w:color="auto"/>
                <w:right w:val="none" w:sz="0" w:space="0" w:color="auto"/>
              </w:divBdr>
            </w:div>
            <w:div w:id="1711607072">
              <w:marLeft w:val="0"/>
              <w:marRight w:val="0"/>
              <w:marTop w:val="0"/>
              <w:marBottom w:val="0"/>
              <w:divBdr>
                <w:top w:val="none" w:sz="0" w:space="0" w:color="auto"/>
                <w:left w:val="none" w:sz="0" w:space="0" w:color="auto"/>
                <w:bottom w:val="none" w:sz="0" w:space="0" w:color="auto"/>
                <w:right w:val="none" w:sz="0" w:space="0" w:color="auto"/>
              </w:divBdr>
            </w:div>
            <w:div w:id="1864632735">
              <w:marLeft w:val="0"/>
              <w:marRight w:val="0"/>
              <w:marTop w:val="0"/>
              <w:marBottom w:val="0"/>
              <w:divBdr>
                <w:top w:val="none" w:sz="0" w:space="0" w:color="auto"/>
                <w:left w:val="none" w:sz="0" w:space="0" w:color="auto"/>
                <w:bottom w:val="none" w:sz="0" w:space="0" w:color="auto"/>
                <w:right w:val="none" w:sz="0" w:space="0" w:color="auto"/>
              </w:divBdr>
            </w:div>
            <w:div w:id="1940598204">
              <w:marLeft w:val="0"/>
              <w:marRight w:val="0"/>
              <w:marTop w:val="0"/>
              <w:marBottom w:val="0"/>
              <w:divBdr>
                <w:top w:val="none" w:sz="0" w:space="0" w:color="auto"/>
                <w:left w:val="none" w:sz="0" w:space="0" w:color="auto"/>
                <w:bottom w:val="none" w:sz="0" w:space="0" w:color="auto"/>
                <w:right w:val="none" w:sz="0" w:space="0" w:color="auto"/>
              </w:divBdr>
            </w:div>
          </w:divsChild>
        </w:div>
        <w:div w:id="1026759170">
          <w:marLeft w:val="0"/>
          <w:marRight w:val="0"/>
          <w:marTop w:val="0"/>
          <w:marBottom w:val="0"/>
          <w:divBdr>
            <w:top w:val="none" w:sz="0" w:space="0" w:color="auto"/>
            <w:left w:val="none" w:sz="0" w:space="0" w:color="auto"/>
            <w:bottom w:val="none" w:sz="0" w:space="0" w:color="auto"/>
            <w:right w:val="none" w:sz="0" w:space="0" w:color="auto"/>
          </w:divBdr>
          <w:divsChild>
            <w:div w:id="17006367">
              <w:marLeft w:val="0"/>
              <w:marRight w:val="0"/>
              <w:marTop w:val="0"/>
              <w:marBottom w:val="0"/>
              <w:divBdr>
                <w:top w:val="none" w:sz="0" w:space="0" w:color="auto"/>
                <w:left w:val="none" w:sz="0" w:space="0" w:color="auto"/>
                <w:bottom w:val="none" w:sz="0" w:space="0" w:color="auto"/>
                <w:right w:val="none" w:sz="0" w:space="0" w:color="auto"/>
              </w:divBdr>
            </w:div>
            <w:div w:id="234051506">
              <w:marLeft w:val="0"/>
              <w:marRight w:val="0"/>
              <w:marTop w:val="0"/>
              <w:marBottom w:val="0"/>
              <w:divBdr>
                <w:top w:val="none" w:sz="0" w:space="0" w:color="auto"/>
                <w:left w:val="none" w:sz="0" w:space="0" w:color="auto"/>
                <w:bottom w:val="none" w:sz="0" w:space="0" w:color="auto"/>
                <w:right w:val="none" w:sz="0" w:space="0" w:color="auto"/>
              </w:divBdr>
            </w:div>
            <w:div w:id="312565264">
              <w:marLeft w:val="0"/>
              <w:marRight w:val="0"/>
              <w:marTop w:val="0"/>
              <w:marBottom w:val="0"/>
              <w:divBdr>
                <w:top w:val="none" w:sz="0" w:space="0" w:color="auto"/>
                <w:left w:val="none" w:sz="0" w:space="0" w:color="auto"/>
                <w:bottom w:val="none" w:sz="0" w:space="0" w:color="auto"/>
                <w:right w:val="none" w:sz="0" w:space="0" w:color="auto"/>
              </w:divBdr>
            </w:div>
            <w:div w:id="485516048">
              <w:marLeft w:val="0"/>
              <w:marRight w:val="0"/>
              <w:marTop w:val="0"/>
              <w:marBottom w:val="0"/>
              <w:divBdr>
                <w:top w:val="none" w:sz="0" w:space="0" w:color="auto"/>
                <w:left w:val="none" w:sz="0" w:space="0" w:color="auto"/>
                <w:bottom w:val="none" w:sz="0" w:space="0" w:color="auto"/>
                <w:right w:val="none" w:sz="0" w:space="0" w:color="auto"/>
              </w:divBdr>
            </w:div>
            <w:div w:id="588078399">
              <w:marLeft w:val="0"/>
              <w:marRight w:val="0"/>
              <w:marTop w:val="0"/>
              <w:marBottom w:val="0"/>
              <w:divBdr>
                <w:top w:val="none" w:sz="0" w:space="0" w:color="auto"/>
                <w:left w:val="none" w:sz="0" w:space="0" w:color="auto"/>
                <w:bottom w:val="none" w:sz="0" w:space="0" w:color="auto"/>
                <w:right w:val="none" w:sz="0" w:space="0" w:color="auto"/>
              </w:divBdr>
            </w:div>
            <w:div w:id="702555106">
              <w:marLeft w:val="0"/>
              <w:marRight w:val="0"/>
              <w:marTop w:val="0"/>
              <w:marBottom w:val="0"/>
              <w:divBdr>
                <w:top w:val="none" w:sz="0" w:space="0" w:color="auto"/>
                <w:left w:val="none" w:sz="0" w:space="0" w:color="auto"/>
                <w:bottom w:val="none" w:sz="0" w:space="0" w:color="auto"/>
                <w:right w:val="none" w:sz="0" w:space="0" w:color="auto"/>
              </w:divBdr>
            </w:div>
            <w:div w:id="828520814">
              <w:marLeft w:val="0"/>
              <w:marRight w:val="0"/>
              <w:marTop w:val="0"/>
              <w:marBottom w:val="0"/>
              <w:divBdr>
                <w:top w:val="none" w:sz="0" w:space="0" w:color="auto"/>
                <w:left w:val="none" w:sz="0" w:space="0" w:color="auto"/>
                <w:bottom w:val="none" w:sz="0" w:space="0" w:color="auto"/>
                <w:right w:val="none" w:sz="0" w:space="0" w:color="auto"/>
              </w:divBdr>
            </w:div>
            <w:div w:id="924723397">
              <w:marLeft w:val="0"/>
              <w:marRight w:val="0"/>
              <w:marTop w:val="0"/>
              <w:marBottom w:val="0"/>
              <w:divBdr>
                <w:top w:val="none" w:sz="0" w:space="0" w:color="auto"/>
                <w:left w:val="none" w:sz="0" w:space="0" w:color="auto"/>
                <w:bottom w:val="none" w:sz="0" w:space="0" w:color="auto"/>
                <w:right w:val="none" w:sz="0" w:space="0" w:color="auto"/>
              </w:divBdr>
            </w:div>
            <w:div w:id="944576137">
              <w:marLeft w:val="0"/>
              <w:marRight w:val="0"/>
              <w:marTop w:val="0"/>
              <w:marBottom w:val="0"/>
              <w:divBdr>
                <w:top w:val="none" w:sz="0" w:space="0" w:color="auto"/>
                <w:left w:val="none" w:sz="0" w:space="0" w:color="auto"/>
                <w:bottom w:val="none" w:sz="0" w:space="0" w:color="auto"/>
                <w:right w:val="none" w:sz="0" w:space="0" w:color="auto"/>
              </w:divBdr>
            </w:div>
            <w:div w:id="1038701690">
              <w:marLeft w:val="0"/>
              <w:marRight w:val="0"/>
              <w:marTop w:val="0"/>
              <w:marBottom w:val="0"/>
              <w:divBdr>
                <w:top w:val="none" w:sz="0" w:space="0" w:color="auto"/>
                <w:left w:val="none" w:sz="0" w:space="0" w:color="auto"/>
                <w:bottom w:val="none" w:sz="0" w:space="0" w:color="auto"/>
                <w:right w:val="none" w:sz="0" w:space="0" w:color="auto"/>
              </w:divBdr>
            </w:div>
            <w:div w:id="1150561096">
              <w:marLeft w:val="0"/>
              <w:marRight w:val="0"/>
              <w:marTop w:val="0"/>
              <w:marBottom w:val="0"/>
              <w:divBdr>
                <w:top w:val="none" w:sz="0" w:space="0" w:color="auto"/>
                <w:left w:val="none" w:sz="0" w:space="0" w:color="auto"/>
                <w:bottom w:val="none" w:sz="0" w:space="0" w:color="auto"/>
                <w:right w:val="none" w:sz="0" w:space="0" w:color="auto"/>
              </w:divBdr>
            </w:div>
            <w:div w:id="1359043106">
              <w:marLeft w:val="0"/>
              <w:marRight w:val="0"/>
              <w:marTop w:val="0"/>
              <w:marBottom w:val="0"/>
              <w:divBdr>
                <w:top w:val="none" w:sz="0" w:space="0" w:color="auto"/>
                <w:left w:val="none" w:sz="0" w:space="0" w:color="auto"/>
                <w:bottom w:val="none" w:sz="0" w:space="0" w:color="auto"/>
                <w:right w:val="none" w:sz="0" w:space="0" w:color="auto"/>
              </w:divBdr>
            </w:div>
            <w:div w:id="1775903725">
              <w:marLeft w:val="0"/>
              <w:marRight w:val="0"/>
              <w:marTop w:val="0"/>
              <w:marBottom w:val="0"/>
              <w:divBdr>
                <w:top w:val="none" w:sz="0" w:space="0" w:color="auto"/>
                <w:left w:val="none" w:sz="0" w:space="0" w:color="auto"/>
                <w:bottom w:val="none" w:sz="0" w:space="0" w:color="auto"/>
                <w:right w:val="none" w:sz="0" w:space="0" w:color="auto"/>
              </w:divBdr>
            </w:div>
            <w:div w:id="1802379691">
              <w:marLeft w:val="0"/>
              <w:marRight w:val="0"/>
              <w:marTop w:val="0"/>
              <w:marBottom w:val="0"/>
              <w:divBdr>
                <w:top w:val="none" w:sz="0" w:space="0" w:color="auto"/>
                <w:left w:val="none" w:sz="0" w:space="0" w:color="auto"/>
                <w:bottom w:val="none" w:sz="0" w:space="0" w:color="auto"/>
                <w:right w:val="none" w:sz="0" w:space="0" w:color="auto"/>
              </w:divBdr>
            </w:div>
            <w:div w:id="1836913010">
              <w:marLeft w:val="0"/>
              <w:marRight w:val="0"/>
              <w:marTop w:val="0"/>
              <w:marBottom w:val="0"/>
              <w:divBdr>
                <w:top w:val="none" w:sz="0" w:space="0" w:color="auto"/>
                <w:left w:val="none" w:sz="0" w:space="0" w:color="auto"/>
                <w:bottom w:val="none" w:sz="0" w:space="0" w:color="auto"/>
                <w:right w:val="none" w:sz="0" w:space="0" w:color="auto"/>
              </w:divBdr>
            </w:div>
            <w:div w:id="1861429584">
              <w:marLeft w:val="0"/>
              <w:marRight w:val="0"/>
              <w:marTop w:val="0"/>
              <w:marBottom w:val="0"/>
              <w:divBdr>
                <w:top w:val="none" w:sz="0" w:space="0" w:color="auto"/>
                <w:left w:val="none" w:sz="0" w:space="0" w:color="auto"/>
                <w:bottom w:val="none" w:sz="0" w:space="0" w:color="auto"/>
                <w:right w:val="none" w:sz="0" w:space="0" w:color="auto"/>
              </w:divBdr>
            </w:div>
            <w:div w:id="1883714258">
              <w:marLeft w:val="0"/>
              <w:marRight w:val="0"/>
              <w:marTop w:val="0"/>
              <w:marBottom w:val="0"/>
              <w:divBdr>
                <w:top w:val="none" w:sz="0" w:space="0" w:color="auto"/>
                <w:left w:val="none" w:sz="0" w:space="0" w:color="auto"/>
                <w:bottom w:val="none" w:sz="0" w:space="0" w:color="auto"/>
                <w:right w:val="none" w:sz="0" w:space="0" w:color="auto"/>
              </w:divBdr>
            </w:div>
            <w:div w:id="2008435356">
              <w:marLeft w:val="0"/>
              <w:marRight w:val="0"/>
              <w:marTop w:val="0"/>
              <w:marBottom w:val="0"/>
              <w:divBdr>
                <w:top w:val="none" w:sz="0" w:space="0" w:color="auto"/>
                <w:left w:val="none" w:sz="0" w:space="0" w:color="auto"/>
                <w:bottom w:val="none" w:sz="0" w:space="0" w:color="auto"/>
                <w:right w:val="none" w:sz="0" w:space="0" w:color="auto"/>
              </w:divBdr>
            </w:div>
            <w:div w:id="2068608779">
              <w:marLeft w:val="0"/>
              <w:marRight w:val="0"/>
              <w:marTop w:val="0"/>
              <w:marBottom w:val="0"/>
              <w:divBdr>
                <w:top w:val="none" w:sz="0" w:space="0" w:color="auto"/>
                <w:left w:val="none" w:sz="0" w:space="0" w:color="auto"/>
                <w:bottom w:val="none" w:sz="0" w:space="0" w:color="auto"/>
                <w:right w:val="none" w:sz="0" w:space="0" w:color="auto"/>
              </w:divBdr>
            </w:div>
          </w:divsChild>
        </w:div>
        <w:div w:id="1056662060">
          <w:marLeft w:val="0"/>
          <w:marRight w:val="0"/>
          <w:marTop w:val="0"/>
          <w:marBottom w:val="0"/>
          <w:divBdr>
            <w:top w:val="none" w:sz="0" w:space="0" w:color="auto"/>
            <w:left w:val="none" w:sz="0" w:space="0" w:color="auto"/>
            <w:bottom w:val="none" w:sz="0" w:space="0" w:color="auto"/>
            <w:right w:val="none" w:sz="0" w:space="0" w:color="auto"/>
          </w:divBdr>
        </w:div>
        <w:div w:id="1067068041">
          <w:marLeft w:val="0"/>
          <w:marRight w:val="0"/>
          <w:marTop w:val="0"/>
          <w:marBottom w:val="0"/>
          <w:divBdr>
            <w:top w:val="none" w:sz="0" w:space="0" w:color="auto"/>
            <w:left w:val="none" w:sz="0" w:space="0" w:color="auto"/>
            <w:bottom w:val="none" w:sz="0" w:space="0" w:color="auto"/>
            <w:right w:val="none" w:sz="0" w:space="0" w:color="auto"/>
          </w:divBdr>
        </w:div>
        <w:div w:id="1077240864">
          <w:marLeft w:val="0"/>
          <w:marRight w:val="0"/>
          <w:marTop w:val="0"/>
          <w:marBottom w:val="0"/>
          <w:divBdr>
            <w:top w:val="none" w:sz="0" w:space="0" w:color="auto"/>
            <w:left w:val="none" w:sz="0" w:space="0" w:color="auto"/>
            <w:bottom w:val="none" w:sz="0" w:space="0" w:color="auto"/>
            <w:right w:val="none" w:sz="0" w:space="0" w:color="auto"/>
          </w:divBdr>
        </w:div>
        <w:div w:id="1092555635">
          <w:marLeft w:val="0"/>
          <w:marRight w:val="0"/>
          <w:marTop w:val="0"/>
          <w:marBottom w:val="0"/>
          <w:divBdr>
            <w:top w:val="none" w:sz="0" w:space="0" w:color="auto"/>
            <w:left w:val="none" w:sz="0" w:space="0" w:color="auto"/>
            <w:bottom w:val="none" w:sz="0" w:space="0" w:color="auto"/>
            <w:right w:val="none" w:sz="0" w:space="0" w:color="auto"/>
          </w:divBdr>
          <w:divsChild>
            <w:div w:id="97258065">
              <w:marLeft w:val="0"/>
              <w:marRight w:val="0"/>
              <w:marTop w:val="0"/>
              <w:marBottom w:val="0"/>
              <w:divBdr>
                <w:top w:val="none" w:sz="0" w:space="0" w:color="auto"/>
                <w:left w:val="none" w:sz="0" w:space="0" w:color="auto"/>
                <w:bottom w:val="none" w:sz="0" w:space="0" w:color="auto"/>
                <w:right w:val="none" w:sz="0" w:space="0" w:color="auto"/>
              </w:divBdr>
            </w:div>
            <w:div w:id="189221677">
              <w:marLeft w:val="0"/>
              <w:marRight w:val="0"/>
              <w:marTop w:val="0"/>
              <w:marBottom w:val="0"/>
              <w:divBdr>
                <w:top w:val="none" w:sz="0" w:space="0" w:color="auto"/>
                <w:left w:val="none" w:sz="0" w:space="0" w:color="auto"/>
                <w:bottom w:val="none" w:sz="0" w:space="0" w:color="auto"/>
                <w:right w:val="none" w:sz="0" w:space="0" w:color="auto"/>
              </w:divBdr>
            </w:div>
            <w:div w:id="541594555">
              <w:marLeft w:val="0"/>
              <w:marRight w:val="0"/>
              <w:marTop w:val="0"/>
              <w:marBottom w:val="0"/>
              <w:divBdr>
                <w:top w:val="none" w:sz="0" w:space="0" w:color="auto"/>
                <w:left w:val="none" w:sz="0" w:space="0" w:color="auto"/>
                <w:bottom w:val="none" w:sz="0" w:space="0" w:color="auto"/>
                <w:right w:val="none" w:sz="0" w:space="0" w:color="auto"/>
              </w:divBdr>
            </w:div>
            <w:div w:id="658921626">
              <w:marLeft w:val="0"/>
              <w:marRight w:val="0"/>
              <w:marTop w:val="0"/>
              <w:marBottom w:val="0"/>
              <w:divBdr>
                <w:top w:val="none" w:sz="0" w:space="0" w:color="auto"/>
                <w:left w:val="none" w:sz="0" w:space="0" w:color="auto"/>
                <w:bottom w:val="none" w:sz="0" w:space="0" w:color="auto"/>
                <w:right w:val="none" w:sz="0" w:space="0" w:color="auto"/>
              </w:divBdr>
            </w:div>
            <w:div w:id="661348390">
              <w:marLeft w:val="0"/>
              <w:marRight w:val="0"/>
              <w:marTop w:val="0"/>
              <w:marBottom w:val="0"/>
              <w:divBdr>
                <w:top w:val="none" w:sz="0" w:space="0" w:color="auto"/>
                <w:left w:val="none" w:sz="0" w:space="0" w:color="auto"/>
                <w:bottom w:val="none" w:sz="0" w:space="0" w:color="auto"/>
                <w:right w:val="none" w:sz="0" w:space="0" w:color="auto"/>
              </w:divBdr>
            </w:div>
            <w:div w:id="770708787">
              <w:marLeft w:val="0"/>
              <w:marRight w:val="0"/>
              <w:marTop w:val="0"/>
              <w:marBottom w:val="0"/>
              <w:divBdr>
                <w:top w:val="none" w:sz="0" w:space="0" w:color="auto"/>
                <w:left w:val="none" w:sz="0" w:space="0" w:color="auto"/>
                <w:bottom w:val="none" w:sz="0" w:space="0" w:color="auto"/>
                <w:right w:val="none" w:sz="0" w:space="0" w:color="auto"/>
              </w:divBdr>
            </w:div>
            <w:div w:id="1007293552">
              <w:marLeft w:val="0"/>
              <w:marRight w:val="0"/>
              <w:marTop w:val="0"/>
              <w:marBottom w:val="0"/>
              <w:divBdr>
                <w:top w:val="none" w:sz="0" w:space="0" w:color="auto"/>
                <w:left w:val="none" w:sz="0" w:space="0" w:color="auto"/>
                <w:bottom w:val="none" w:sz="0" w:space="0" w:color="auto"/>
                <w:right w:val="none" w:sz="0" w:space="0" w:color="auto"/>
              </w:divBdr>
            </w:div>
            <w:div w:id="1103112633">
              <w:marLeft w:val="0"/>
              <w:marRight w:val="0"/>
              <w:marTop w:val="0"/>
              <w:marBottom w:val="0"/>
              <w:divBdr>
                <w:top w:val="none" w:sz="0" w:space="0" w:color="auto"/>
                <w:left w:val="none" w:sz="0" w:space="0" w:color="auto"/>
                <w:bottom w:val="none" w:sz="0" w:space="0" w:color="auto"/>
                <w:right w:val="none" w:sz="0" w:space="0" w:color="auto"/>
              </w:divBdr>
            </w:div>
            <w:div w:id="1105886709">
              <w:marLeft w:val="0"/>
              <w:marRight w:val="0"/>
              <w:marTop w:val="0"/>
              <w:marBottom w:val="0"/>
              <w:divBdr>
                <w:top w:val="none" w:sz="0" w:space="0" w:color="auto"/>
                <w:left w:val="none" w:sz="0" w:space="0" w:color="auto"/>
                <w:bottom w:val="none" w:sz="0" w:space="0" w:color="auto"/>
                <w:right w:val="none" w:sz="0" w:space="0" w:color="auto"/>
              </w:divBdr>
            </w:div>
            <w:div w:id="1155411426">
              <w:marLeft w:val="0"/>
              <w:marRight w:val="0"/>
              <w:marTop w:val="0"/>
              <w:marBottom w:val="0"/>
              <w:divBdr>
                <w:top w:val="none" w:sz="0" w:space="0" w:color="auto"/>
                <w:left w:val="none" w:sz="0" w:space="0" w:color="auto"/>
                <w:bottom w:val="none" w:sz="0" w:space="0" w:color="auto"/>
                <w:right w:val="none" w:sz="0" w:space="0" w:color="auto"/>
              </w:divBdr>
            </w:div>
            <w:div w:id="1208444827">
              <w:marLeft w:val="0"/>
              <w:marRight w:val="0"/>
              <w:marTop w:val="0"/>
              <w:marBottom w:val="0"/>
              <w:divBdr>
                <w:top w:val="none" w:sz="0" w:space="0" w:color="auto"/>
                <w:left w:val="none" w:sz="0" w:space="0" w:color="auto"/>
                <w:bottom w:val="none" w:sz="0" w:space="0" w:color="auto"/>
                <w:right w:val="none" w:sz="0" w:space="0" w:color="auto"/>
              </w:divBdr>
            </w:div>
            <w:div w:id="1239705097">
              <w:marLeft w:val="0"/>
              <w:marRight w:val="0"/>
              <w:marTop w:val="0"/>
              <w:marBottom w:val="0"/>
              <w:divBdr>
                <w:top w:val="none" w:sz="0" w:space="0" w:color="auto"/>
                <w:left w:val="none" w:sz="0" w:space="0" w:color="auto"/>
                <w:bottom w:val="none" w:sz="0" w:space="0" w:color="auto"/>
                <w:right w:val="none" w:sz="0" w:space="0" w:color="auto"/>
              </w:divBdr>
            </w:div>
            <w:div w:id="1302611764">
              <w:marLeft w:val="0"/>
              <w:marRight w:val="0"/>
              <w:marTop w:val="0"/>
              <w:marBottom w:val="0"/>
              <w:divBdr>
                <w:top w:val="none" w:sz="0" w:space="0" w:color="auto"/>
                <w:left w:val="none" w:sz="0" w:space="0" w:color="auto"/>
                <w:bottom w:val="none" w:sz="0" w:space="0" w:color="auto"/>
                <w:right w:val="none" w:sz="0" w:space="0" w:color="auto"/>
              </w:divBdr>
            </w:div>
            <w:div w:id="1390957518">
              <w:marLeft w:val="0"/>
              <w:marRight w:val="0"/>
              <w:marTop w:val="0"/>
              <w:marBottom w:val="0"/>
              <w:divBdr>
                <w:top w:val="none" w:sz="0" w:space="0" w:color="auto"/>
                <w:left w:val="none" w:sz="0" w:space="0" w:color="auto"/>
                <w:bottom w:val="none" w:sz="0" w:space="0" w:color="auto"/>
                <w:right w:val="none" w:sz="0" w:space="0" w:color="auto"/>
              </w:divBdr>
            </w:div>
            <w:div w:id="1407410193">
              <w:marLeft w:val="0"/>
              <w:marRight w:val="0"/>
              <w:marTop w:val="0"/>
              <w:marBottom w:val="0"/>
              <w:divBdr>
                <w:top w:val="none" w:sz="0" w:space="0" w:color="auto"/>
                <w:left w:val="none" w:sz="0" w:space="0" w:color="auto"/>
                <w:bottom w:val="none" w:sz="0" w:space="0" w:color="auto"/>
                <w:right w:val="none" w:sz="0" w:space="0" w:color="auto"/>
              </w:divBdr>
            </w:div>
            <w:div w:id="1695377604">
              <w:marLeft w:val="0"/>
              <w:marRight w:val="0"/>
              <w:marTop w:val="0"/>
              <w:marBottom w:val="0"/>
              <w:divBdr>
                <w:top w:val="none" w:sz="0" w:space="0" w:color="auto"/>
                <w:left w:val="none" w:sz="0" w:space="0" w:color="auto"/>
                <w:bottom w:val="none" w:sz="0" w:space="0" w:color="auto"/>
                <w:right w:val="none" w:sz="0" w:space="0" w:color="auto"/>
              </w:divBdr>
            </w:div>
            <w:div w:id="1822576237">
              <w:marLeft w:val="0"/>
              <w:marRight w:val="0"/>
              <w:marTop w:val="0"/>
              <w:marBottom w:val="0"/>
              <w:divBdr>
                <w:top w:val="none" w:sz="0" w:space="0" w:color="auto"/>
                <w:left w:val="none" w:sz="0" w:space="0" w:color="auto"/>
                <w:bottom w:val="none" w:sz="0" w:space="0" w:color="auto"/>
                <w:right w:val="none" w:sz="0" w:space="0" w:color="auto"/>
              </w:divBdr>
            </w:div>
            <w:div w:id="1933975936">
              <w:marLeft w:val="0"/>
              <w:marRight w:val="0"/>
              <w:marTop w:val="0"/>
              <w:marBottom w:val="0"/>
              <w:divBdr>
                <w:top w:val="none" w:sz="0" w:space="0" w:color="auto"/>
                <w:left w:val="none" w:sz="0" w:space="0" w:color="auto"/>
                <w:bottom w:val="none" w:sz="0" w:space="0" w:color="auto"/>
                <w:right w:val="none" w:sz="0" w:space="0" w:color="auto"/>
              </w:divBdr>
            </w:div>
            <w:div w:id="2040661429">
              <w:marLeft w:val="0"/>
              <w:marRight w:val="0"/>
              <w:marTop w:val="0"/>
              <w:marBottom w:val="0"/>
              <w:divBdr>
                <w:top w:val="none" w:sz="0" w:space="0" w:color="auto"/>
                <w:left w:val="none" w:sz="0" w:space="0" w:color="auto"/>
                <w:bottom w:val="none" w:sz="0" w:space="0" w:color="auto"/>
                <w:right w:val="none" w:sz="0" w:space="0" w:color="auto"/>
              </w:divBdr>
            </w:div>
          </w:divsChild>
        </w:div>
        <w:div w:id="1097748086">
          <w:marLeft w:val="0"/>
          <w:marRight w:val="0"/>
          <w:marTop w:val="0"/>
          <w:marBottom w:val="0"/>
          <w:divBdr>
            <w:top w:val="none" w:sz="0" w:space="0" w:color="auto"/>
            <w:left w:val="none" w:sz="0" w:space="0" w:color="auto"/>
            <w:bottom w:val="none" w:sz="0" w:space="0" w:color="auto"/>
            <w:right w:val="none" w:sz="0" w:space="0" w:color="auto"/>
          </w:divBdr>
        </w:div>
        <w:div w:id="1107313915">
          <w:marLeft w:val="0"/>
          <w:marRight w:val="0"/>
          <w:marTop w:val="0"/>
          <w:marBottom w:val="0"/>
          <w:divBdr>
            <w:top w:val="none" w:sz="0" w:space="0" w:color="auto"/>
            <w:left w:val="none" w:sz="0" w:space="0" w:color="auto"/>
            <w:bottom w:val="none" w:sz="0" w:space="0" w:color="auto"/>
            <w:right w:val="none" w:sz="0" w:space="0" w:color="auto"/>
          </w:divBdr>
        </w:div>
        <w:div w:id="1130977323">
          <w:marLeft w:val="0"/>
          <w:marRight w:val="0"/>
          <w:marTop w:val="0"/>
          <w:marBottom w:val="0"/>
          <w:divBdr>
            <w:top w:val="none" w:sz="0" w:space="0" w:color="auto"/>
            <w:left w:val="none" w:sz="0" w:space="0" w:color="auto"/>
            <w:bottom w:val="none" w:sz="0" w:space="0" w:color="auto"/>
            <w:right w:val="none" w:sz="0" w:space="0" w:color="auto"/>
          </w:divBdr>
        </w:div>
        <w:div w:id="1178424744">
          <w:marLeft w:val="0"/>
          <w:marRight w:val="0"/>
          <w:marTop w:val="0"/>
          <w:marBottom w:val="0"/>
          <w:divBdr>
            <w:top w:val="none" w:sz="0" w:space="0" w:color="auto"/>
            <w:left w:val="none" w:sz="0" w:space="0" w:color="auto"/>
            <w:bottom w:val="none" w:sz="0" w:space="0" w:color="auto"/>
            <w:right w:val="none" w:sz="0" w:space="0" w:color="auto"/>
          </w:divBdr>
        </w:div>
        <w:div w:id="1197081204">
          <w:marLeft w:val="0"/>
          <w:marRight w:val="0"/>
          <w:marTop w:val="0"/>
          <w:marBottom w:val="0"/>
          <w:divBdr>
            <w:top w:val="none" w:sz="0" w:space="0" w:color="auto"/>
            <w:left w:val="none" w:sz="0" w:space="0" w:color="auto"/>
            <w:bottom w:val="none" w:sz="0" w:space="0" w:color="auto"/>
            <w:right w:val="none" w:sz="0" w:space="0" w:color="auto"/>
          </w:divBdr>
        </w:div>
        <w:div w:id="1252354579">
          <w:marLeft w:val="0"/>
          <w:marRight w:val="0"/>
          <w:marTop w:val="0"/>
          <w:marBottom w:val="0"/>
          <w:divBdr>
            <w:top w:val="none" w:sz="0" w:space="0" w:color="auto"/>
            <w:left w:val="none" w:sz="0" w:space="0" w:color="auto"/>
            <w:bottom w:val="none" w:sz="0" w:space="0" w:color="auto"/>
            <w:right w:val="none" w:sz="0" w:space="0" w:color="auto"/>
          </w:divBdr>
        </w:div>
        <w:div w:id="1252740798">
          <w:marLeft w:val="0"/>
          <w:marRight w:val="0"/>
          <w:marTop w:val="0"/>
          <w:marBottom w:val="0"/>
          <w:divBdr>
            <w:top w:val="none" w:sz="0" w:space="0" w:color="auto"/>
            <w:left w:val="none" w:sz="0" w:space="0" w:color="auto"/>
            <w:bottom w:val="none" w:sz="0" w:space="0" w:color="auto"/>
            <w:right w:val="none" w:sz="0" w:space="0" w:color="auto"/>
          </w:divBdr>
        </w:div>
        <w:div w:id="1257598579">
          <w:marLeft w:val="0"/>
          <w:marRight w:val="0"/>
          <w:marTop w:val="0"/>
          <w:marBottom w:val="0"/>
          <w:divBdr>
            <w:top w:val="none" w:sz="0" w:space="0" w:color="auto"/>
            <w:left w:val="none" w:sz="0" w:space="0" w:color="auto"/>
            <w:bottom w:val="none" w:sz="0" w:space="0" w:color="auto"/>
            <w:right w:val="none" w:sz="0" w:space="0" w:color="auto"/>
          </w:divBdr>
        </w:div>
        <w:div w:id="1277056126">
          <w:marLeft w:val="0"/>
          <w:marRight w:val="0"/>
          <w:marTop w:val="0"/>
          <w:marBottom w:val="0"/>
          <w:divBdr>
            <w:top w:val="none" w:sz="0" w:space="0" w:color="auto"/>
            <w:left w:val="none" w:sz="0" w:space="0" w:color="auto"/>
            <w:bottom w:val="none" w:sz="0" w:space="0" w:color="auto"/>
            <w:right w:val="none" w:sz="0" w:space="0" w:color="auto"/>
          </w:divBdr>
          <w:divsChild>
            <w:div w:id="145167434">
              <w:marLeft w:val="0"/>
              <w:marRight w:val="0"/>
              <w:marTop w:val="0"/>
              <w:marBottom w:val="0"/>
              <w:divBdr>
                <w:top w:val="none" w:sz="0" w:space="0" w:color="auto"/>
                <w:left w:val="none" w:sz="0" w:space="0" w:color="auto"/>
                <w:bottom w:val="none" w:sz="0" w:space="0" w:color="auto"/>
                <w:right w:val="none" w:sz="0" w:space="0" w:color="auto"/>
              </w:divBdr>
            </w:div>
            <w:div w:id="166989580">
              <w:marLeft w:val="0"/>
              <w:marRight w:val="0"/>
              <w:marTop w:val="0"/>
              <w:marBottom w:val="0"/>
              <w:divBdr>
                <w:top w:val="none" w:sz="0" w:space="0" w:color="auto"/>
                <w:left w:val="none" w:sz="0" w:space="0" w:color="auto"/>
                <w:bottom w:val="none" w:sz="0" w:space="0" w:color="auto"/>
                <w:right w:val="none" w:sz="0" w:space="0" w:color="auto"/>
              </w:divBdr>
            </w:div>
            <w:div w:id="193813951">
              <w:marLeft w:val="0"/>
              <w:marRight w:val="0"/>
              <w:marTop w:val="0"/>
              <w:marBottom w:val="0"/>
              <w:divBdr>
                <w:top w:val="none" w:sz="0" w:space="0" w:color="auto"/>
                <w:left w:val="none" w:sz="0" w:space="0" w:color="auto"/>
                <w:bottom w:val="none" w:sz="0" w:space="0" w:color="auto"/>
                <w:right w:val="none" w:sz="0" w:space="0" w:color="auto"/>
              </w:divBdr>
            </w:div>
            <w:div w:id="197939078">
              <w:marLeft w:val="0"/>
              <w:marRight w:val="0"/>
              <w:marTop w:val="0"/>
              <w:marBottom w:val="0"/>
              <w:divBdr>
                <w:top w:val="none" w:sz="0" w:space="0" w:color="auto"/>
                <w:left w:val="none" w:sz="0" w:space="0" w:color="auto"/>
                <w:bottom w:val="none" w:sz="0" w:space="0" w:color="auto"/>
                <w:right w:val="none" w:sz="0" w:space="0" w:color="auto"/>
              </w:divBdr>
            </w:div>
            <w:div w:id="344594813">
              <w:marLeft w:val="0"/>
              <w:marRight w:val="0"/>
              <w:marTop w:val="0"/>
              <w:marBottom w:val="0"/>
              <w:divBdr>
                <w:top w:val="none" w:sz="0" w:space="0" w:color="auto"/>
                <w:left w:val="none" w:sz="0" w:space="0" w:color="auto"/>
                <w:bottom w:val="none" w:sz="0" w:space="0" w:color="auto"/>
                <w:right w:val="none" w:sz="0" w:space="0" w:color="auto"/>
              </w:divBdr>
            </w:div>
            <w:div w:id="531262345">
              <w:marLeft w:val="0"/>
              <w:marRight w:val="0"/>
              <w:marTop w:val="0"/>
              <w:marBottom w:val="0"/>
              <w:divBdr>
                <w:top w:val="none" w:sz="0" w:space="0" w:color="auto"/>
                <w:left w:val="none" w:sz="0" w:space="0" w:color="auto"/>
                <w:bottom w:val="none" w:sz="0" w:space="0" w:color="auto"/>
                <w:right w:val="none" w:sz="0" w:space="0" w:color="auto"/>
              </w:divBdr>
            </w:div>
            <w:div w:id="563758395">
              <w:marLeft w:val="0"/>
              <w:marRight w:val="0"/>
              <w:marTop w:val="0"/>
              <w:marBottom w:val="0"/>
              <w:divBdr>
                <w:top w:val="none" w:sz="0" w:space="0" w:color="auto"/>
                <w:left w:val="none" w:sz="0" w:space="0" w:color="auto"/>
                <w:bottom w:val="none" w:sz="0" w:space="0" w:color="auto"/>
                <w:right w:val="none" w:sz="0" w:space="0" w:color="auto"/>
              </w:divBdr>
            </w:div>
            <w:div w:id="576327259">
              <w:marLeft w:val="0"/>
              <w:marRight w:val="0"/>
              <w:marTop w:val="0"/>
              <w:marBottom w:val="0"/>
              <w:divBdr>
                <w:top w:val="none" w:sz="0" w:space="0" w:color="auto"/>
                <w:left w:val="none" w:sz="0" w:space="0" w:color="auto"/>
                <w:bottom w:val="none" w:sz="0" w:space="0" w:color="auto"/>
                <w:right w:val="none" w:sz="0" w:space="0" w:color="auto"/>
              </w:divBdr>
            </w:div>
            <w:div w:id="811022449">
              <w:marLeft w:val="0"/>
              <w:marRight w:val="0"/>
              <w:marTop w:val="0"/>
              <w:marBottom w:val="0"/>
              <w:divBdr>
                <w:top w:val="none" w:sz="0" w:space="0" w:color="auto"/>
                <w:left w:val="none" w:sz="0" w:space="0" w:color="auto"/>
                <w:bottom w:val="none" w:sz="0" w:space="0" w:color="auto"/>
                <w:right w:val="none" w:sz="0" w:space="0" w:color="auto"/>
              </w:divBdr>
            </w:div>
            <w:div w:id="904031773">
              <w:marLeft w:val="0"/>
              <w:marRight w:val="0"/>
              <w:marTop w:val="0"/>
              <w:marBottom w:val="0"/>
              <w:divBdr>
                <w:top w:val="none" w:sz="0" w:space="0" w:color="auto"/>
                <w:left w:val="none" w:sz="0" w:space="0" w:color="auto"/>
                <w:bottom w:val="none" w:sz="0" w:space="0" w:color="auto"/>
                <w:right w:val="none" w:sz="0" w:space="0" w:color="auto"/>
              </w:divBdr>
            </w:div>
            <w:div w:id="911813153">
              <w:marLeft w:val="0"/>
              <w:marRight w:val="0"/>
              <w:marTop w:val="0"/>
              <w:marBottom w:val="0"/>
              <w:divBdr>
                <w:top w:val="none" w:sz="0" w:space="0" w:color="auto"/>
                <w:left w:val="none" w:sz="0" w:space="0" w:color="auto"/>
                <w:bottom w:val="none" w:sz="0" w:space="0" w:color="auto"/>
                <w:right w:val="none" w:sz="0" w:space="0" w:color="auto"/>
              </w:divBdr>
            </w:div>
            <w:div w:id="928198742">
              <w:marLeft w:val="0"/>
              <w:marRight w:val="0"/>
              <w:marTop w:val="0"/>
              <w:marBottom w:val="0"/>
              <w:divBdr>
                <w:top w:val="none" w:sz="0" w:space="0" w:color="auto"/>
                <w:left w:val="none" w:sz="0" w:space="0" w:color="auto"/>
                <w:bottom w:val="none" w:sz="0" w:space="0" w:color="auto"/>
                <w:right w:val="none" w:sz="0" w:space="0" w:color="auto"/>
              </w:divBdr>
            </w:div>
            <w:div w:id="1303727967">
              <w:marLeft w:val="0"/>
              <w:marRight w:val="0"/>
              <w:marTop w:val="0"/>
              <w:marBottom w:val="0"/>
              <w:divBdr>
                <w:top w:val="none" w:sz="0" w:space="0" w:color="auto"/>
                <w:left w:val="none" w:sz="0" w:space="0" w:color="auto"/>
                <w:bottom w:val="none" w:sz="0" w:space="0" w:color="auto"/>
                <w:right w:val="none" w:sz="0" w:space="0" w:color="auto"/>
              </w:divBdr>
            </w:div>
            <w:div w:id="1342320611">
              <w:marLeft w:val="0"/>
              <w:marRight w:val="0"/>
              <w:marTop w:val="0"/>
              <w:marBottom w:val="0"/>
              <w:divBdr>
                <w:top w:val="none" w:sz="0" w:space="0" w:color="auto"/>
                <w:left w:val="none" w:sz="0" w:space="0" w:color="auto"/>
                <w:bottom w:val="none" w:sz="0" w:space="0" w:color="auto"/>
                <w:right w:val="none" w:sz="0" w:space="0" w:color="auto"/>
              </w:divBdr>
            </w:div>
            <w:div w:id="1445423803">
              <w:marLeft w:val="0"/>
              <w:marRight w:val="0"/>
              <w:marTop w:val="0"/>
              <w:marBottom w:val="0"/>
              <w:divBdr>
                <w:top w:val="none" w:sz="0" w:space="0" w:color="auto"/>
                <w:left w:val="none" w:sz="0" w:space="0" w:color="auto"/>
                <w:bottom w:val="none" w:sz="0" w:space="0" w:color="auto"/>
                <w:right w:val="none" w:sz="0" w:space="0" w:color="auto"/>
              </w:divBdr>
            </w:div>
            <w:div w:id="1526208907">
              <w:marLeft w:val="0"/>
              <w:marRight w:val="0"/>
              <w:marTop w:val="0"/>
              <w:marBottom w:val="0"/>
              <w:divBdr>
                <w:top w:val="none" w:sz="0" w:space="0" w:color="auto"/>
                <w:left w:val="none" w:sz="0" w:space="0" w:color="auto"/>
                <w:bottom w:val="none" w:sz="0" w:space="0" w:color="auto"/>
                <w:right w:val="none" w:sz="0" w:space="0" w:color="auto"/>
              </w:divBdr>
            </w:div>
            <w:div w:id="1623917599">
              <w:marLeft w:val="0"/>
              <w:marRight w:val="0"/>
              <w:marTop w:val="0"/>
              <w:marBottom w:val="0"/>
              <w:divBdr>
                <w:top w:val="none" w:sz="0" w:space="0" w:color="auto"/>
                <w:left w:val="none" w:sz="0" w:space="0" w:color="auto"/>
                <w:bottom w:val="none" w:sz="0" w:space="0" w:color="auto"/>
                <w:right w:val="none" w:sz="0" w:space="0" w:color="auto"/>
              </w:divBdr>
            </w:div>
            <w:div w:id="1773628592">
              <w:marLeft w:val="0"/>
              <w:marRight w:val="0"/>
              <w:marTop w:val="0"/>
              <w:marBottom w:val="0"/>
              <w:divBdr>
                <w:top w:val="none" w:sz="0" w:space="0" w:color="auto"/>
                <w:left w:val="none" w:sz="0" w:space="0" w:color="auto"/>
                <w:bottom w:val="none" w:sz="0" w:space="0" w:color="auto"/>
                <w:right w:val="none" w:sz="0" w:space="0" w:color="auto"/>
              </w:divBdr>
            </w:div>
            <w:div w:id="1774469820">
              <w:marLeft w:val="0"/>
              <w:marRight w:val="0"/>
              <w:marTop w:val="0"/>
              <w:marBottom w:val="0"/>
              <w:divBdr>
                <w:top w:val="none" w:sz="0" w:space="0" w:color="auto"/>
                <w:left w:val="none" w:sz="0" w:space="0" w:color="auto"/>
                <w:bottom w:val="none" w:sz="0" w:space="0" w:color="auto"/>
                <w:right w:val="none" w:sz="0" w:space="0" w:color="auto"/>
              </w:divBdr>
            </w:div>
            <w:div w:id="2122265179">
              <w:marLeft w:val="0"/>
              <w:marRight w:val="0"/>
              <w:marTop w:val="0"/>
              <w:marBottom w:val="0"/>
              <w:divBdr>
                <w:top w:val="none" w:sz="0" w:space="0" w:color="auto"/>
                <w:left w:val="none" w:sz="0" w:space="0" w:color="auto"/>
                <w:bottom w:val="none" w:sz="0" w:space="0" w:color="auto"/>
                <w:right w:val="none" w:sz="0" w:space="0" w:color="auto"/>
              </w:divBdr>
            </w:div>
          </w:divsChild>
        </w:div>
        <w:div w:id="1294091521">
          <w:marLeft w:val="0"/>
          <w:marRight w:val="0"/>
          <w:marTop w:val="0"/>
          <w:marBottom w:val="0"/>
          <w:divBdr>
            <w:top w:val="none" w:sz="0" w:space="0" w:color="auto"/>
            <w:left w:val="none" w:sz="0" w:space="0" w:color="auto"/>
            <w:bottom w:val="none" w:sz="0" w:space="0" w:color="auto"/>
            <w:right w:val="none" w:sz="0" w:space="0" w:color="auto"/>
          </w:divBdr>
        </w:div>
        <w:div w:id="1309478254">
          <w:marLeft w:val="0"/>
          <w:marRight w:val="0"/>
          <w:marTop w:val="0"/>
          <w:marBottom w:val="0"/>
          <w:divBdr>
            <w:top w:val="none" w:sz="0" w:space="0" w:color="auto"/>
            <w:left w:val="none" w:sz="0" w:space="0" w:color="auto"/>
            <w:bottom w:val="none" w:sz="0" w:space="0" w:color="auto"/>
            <w:right w:val="none" w:sz="0" w:space="0" w:color="auto"/>
          </w:divBdr>
        </w:div>
        <w:div w:id="1336568530">
          <w:marLeft w:val="0"/>
          <w:marRight w:val="0"/>
          <w:marTop w:val="0"/>
          <w:marBottom w:val="0"/>
          <w:divBdr>
            <w:top w:val="none" w:sz="0" w:space="0" w:color="auto"/>
            <w:left w:val="none" w:sz="0" w:space="0" w:color="auto"/>
            <w:bottom w:val="none" w:sz="0" w:space="0" w:color="auto"/>
            <w:right w:val="none" w:sz="0" w:space="0" w:color="auto"/>
          </w:divBdr>
        </w:div>
        <w:div w:id="1347517668">
          <w:marLeft w:val="0"/>
          <w:marRight w:val="0"/>
          <w:marTop w:val="0"/>
          <w:marBottom w:val="0"/>
          <w:divBdr>
            <w:top w:val="none" w:sz="0" w:space="0" w:color="auto"/>
            <w:left w:val="none" w:sz="0" w:space="0" w:color="auto"/>
            <w:bottom w:val="none" w:sz="0" w:space="0" w:color="auto"/>
            <w:right w:val="none" w:sz="0" w:space="0" w:color="auto"/>
          </w:divBdr>
        </w:div>
        <w:div w:id="1377511966">
          <w:marLeft w:val="0"/>
          <w:marRight w:val="0"/>
          <w:marTop w:val="0"/>
          <w:marBottom w:val="0"/>
          <w:divBdr>
            <w:top w:val="none" w:sz="0" w:space="0" w:color="auto"/>
            <w:left w:val="none" w:sz="0" w:space="0" w:color="auto"/>
            <w:bottom w:val="none" w:sz="0" w:space="0" w:color="auto"/>
            <w:right w:val="none" w:sz="0" w:space="0" w:color="auto"/>
          </w:divBdr>
          <w:divsChild>
            <w:div w:id="936207983">
              <w:marLeft w:val="-75"/>
              <w:marRight w:val="0"/>
              <w:marTop w:val="30"/>
              <w:marBottom w:val="30"/>
              <w:divBdr>
                <w:top w:val="none" w:sz="0" w:space="0" w:color="auto"/>
                <w:left w:val="none" w:sz="0" w:space="0" w:color="auto"/>
                <w:bottom w:val="none" w:sz="0" w:space="0" w:color="auto"/>
                <w:right w:val="none" w:sz="0" w:space="0" w:color="auto"/>
              </w:divBdr>
              <w:divsChild>
                <w:div w:id="29570700">
                  <w:marLeft w:val="0"/>
                  <w:marRight w:val="0"/>
                  <w:marTop w:val="0"/>
                  <w:marBottom w:val="0"/>
                  <w:divBdr>
                    <w:top w:val="none" w:sz="0" w:space="0" w:color="auto"/>
                    <w:left w:val="none" w:sz="0" w:space="0" w:color="auto"/>
                    <w:bottom w:val="none" w:sz="0" w:space="0" w:color="auto"/>
                    <w:right w:val="none" w:sz="0" w:space="0" w:color="auto"/>
                  </w:divBdr>
                  <w:divsChild>
                    <w:div w:id="1504780327">
                      <w:marLeft w:val="0"/>
                      <w:marRight w:val="0"/>
                      <w:marTop w:val="0"/>
                      <w:marBottom w:val="0"/>
                      <w:divBdr>
                        <w:top w:val="none" w:sz="0" w:space="0" w:color="auto"/>
                        <w:left w:val="none" w:sz="0" w:space="0" w:color="auto"/>
                        <w:bottom w:val="none" w:sz="0" w:space="0" w:color="auto"/>
                        <w:right w:val="none" w:sz="0" w:space="0" w:color="auto"/>
                      </w:divBdr>
                    </w:div>
                  </w:divsChild>
                </w:div>
                <w:div w:id="165025049">
                  <w:marLeft w:val="0"/>
                  <w:marRight w:val="0"/>
                  <w:marTop w:val="0"/>
                  <w:marBottom w:val="0"/>
                  <w:divBdr>
                    <w:top w:val="none" w:sz="0" w:space="0" w:color="auto"/>
                    <w:left w:val="none" w:sz="0" w:space="0" w:color="auto"/>
                    <w:bottom w:val="none" w:sz="0" w:space="0" w:color="auto"/>
                    <w:right w:val="none" w:sz="0" w:space="0" w:color="auto"/>
                  </w:divBdr>
                  <w:divsChild>
                    <w:div w:id="1988240150">
                      <w:marLeft w:val="0"/>
                      <w:marRight w:val="0"/>
                      <w:marTop w:val="0"/>
                      <w:marBottom w:val="0"/>
                      <w:divBdr>
                        <w:top w:val="none" w:sz="0" w:space="0" w:color="auto"/>
                        <w:left w:val="none" w:sz="0" w:space="0" w:color="auto"/>
                        <w:bottom w:val="none" w:sz="0" w:space="0" w:color="auto"/>
                        <w:right w:val="none" w:sz="0" w:space="0" w:color="auto"/>
                      </w:divBdr>
                    </w:div>
                  </w:divsChild>
                </w:div>
                <w:div w:id="385223693">
                  <w:marLeft w:val="0"/>
                  <w:marRight w:val="0"/>
                  <w:marTop w:val="0"/>
                  <w:marBottom w:val="0"/>
                  <w:divBdr>
                    <w:top w:val="none" w:sz="0" w:space="0" w:color="auto"/>
                    <w:left w:val="none" w:sz="0" w:space="0" w:color="auto"/>
                    <w:bottom w:val="none" w:sz="0" w:space="0" w:color="auto"/>
                    <w:right w:val="none" w:sz="0" w:space="0" w:color="auto"/>
                  </w:divBdr>
                  <w:divsChild>
                    <w:div w:id="628363723">
                      <w:marLeft w:val="0"/>
                      <w:marRight w:val="0"/>
                      <w:marTop w:val="0"/>
                      <w:marBottom w:val="0"/>
                      <w:divBdr>
                        <w:top w:val="none" w:sz="0" w:space="0" w:color="auto"/>
                        <w:left w:val="none" w:sz="0" w:space="0" w:color="auto"/>
                        <w:bottom w:val="none" w:sz="0" w:space="0" w:color="auto"/>
                        <w:right w:val="none" w:sz="0" w:space="0" w:color="auto"/>
                      </w:divBdr>
                    </w:div>
                  </w:divsChild>
                </w:div>
                <w:div w:id="432097380">
                  <w:marLeft w:val="0"/>
                  <w:marRight w:val="0"/>
                  <w:marTop w:val="0"/>
                  <w:marBottom w:val="0"/>
                  <w:divBdr>
                    <w:top w:val="none" w:sz="0" w:space="0" w:color="auto"/>
                    <w:left w:val="none" w:sz="0" w:space="0" w:color="auto"/>
                    <w:bottom w:val="none" w:sz="0" w:space="0" w:color="auto"/>
                    <w:right w:val="none" w:sz="0" w:space="0" w:color="auto"/>
                  </w:divBdr>
                  <w:divsChild>
                    <w:div w:id="2004625932">
                      <w:marLeft w:val="0"/>
                      <w:marRight w:val="0"/>
                      <w:marTop w:val="0"/>
                      <w:marBottom w:val="0"/>
                      <w:divBdr>
                        <w:top w:val="none" w:sz="0" w:space="0" w:color="auto"/>
                        <w:left w:val="none" w:sz="0" w:space="0" w:color="auto"/>
                        <w:bottom w:val="none" w:sz="0" w:space="0" w:color="auto"/>
                        <w:right w:val="none" w:sz="0" w:space="0" w:color="auto"/>
                      </w:divBdr>
                    </w:div>
                  </w:divsChild>
                </w:div>
                <w:div w:id="449662855">
                  <w:marLeft w:val="0"/>
                  <w:marRight w:val="0"/>
                  <w:marTop w:val="0"/>
                  <w:marBottom w:val="0"/>
                  <w:divBdr>
                    <w:top w:val="none" w:sz="0" w:space="0" w:color="auto"/>
                    <w:left w:val="none" w:sz="0" w:space="0" w:color="auto"/>
                    <w:bottom w:val="none" w:sz="0" w:space="0" w:color="auto"/>
                    <w:right w:val="none" w:sz="0" w:space="0" w:color="auto"/>
                  </w:divBdr>
                  <w:divsChild>
                    <w:div w:id="1799833636">
                      <w:marLeft w:val="0"/>
                      <w:marRight w:val="0"/>
                      <w:marTop w:val="0"/>
                      <w:marBottom w:val="0"/>
                      <w:divBdr>
                        <w:top w:val="none" w:sz="0" w:space="0" w:color="auto"/>
                        <w:left w:val="none" w:sz="0" w:space="0" w:color="auto"/>
                        <w:bottom w:val="none" w:sz="0" w:space="0" w:color="auto"/>
                        <w:right w:val="none" w:sz="0" w:space="0" w:color="auto"/>
                      </w:divBdr>
                    </w:div>
                  </w:divsChild>
                </w:div>
                <w:div w:id="678194744">
                  <w:marLeft w:val="0"/>
                  <w:marRight w:val="0"/>
                  <w:marTop w:val="0"/>
                  <w:marBottom w:val="0"/>
                  <w:divBdr>
                    <w:top w:val="none" w:sz="0" w:space="0" w:color="auto"/>
                    <w:left w:val="none" w:sz="0" w:space="0" w:color="auto"/>
                    <w:bottom w:val="none" w:sz="0" w:space="0" w:color="auto"/>
                    <w:right w:val="none" w:sz="0" w:space="0" w:color="auto"/>
                  </w:divBdr>
                  <w:divsChild>
                    <w:div w:id="1582375859">
                      <w:marLeft w:val="0"/>
                      <w:marRight w:val="0"/>
                      <w:marTop w:val="0"/>
                      <w:marBottom w:val="0"/>
                      <w:divBdr>
                        <w:top w:val="none" w:sz="0" w:space="0" w:color="auto"/>
                        <w:left w:val="none" w:sz="0" w:space="0" w:color="auto"/>
                        <w:bottom w:val="none" w:sz="0" w:space="0" w:color="auto"/>
                        <w:right w:val="none" w:sz="0" w:space="0" w:color="auto"/>
                      </w:divBdr>
                    </w:div>
                  </w:divsChild>
                </w:div>
                <w:div w:id="865219255">
                  <w:marLeft w:val="0"/>
                  <w:marRight w:val="0"/>
                  <w:marTop w:val="0"/>
                  <w:marBottom w:val="0"/>
                  <w:divBdr>
                    <w:top w:val="none" w:sz="0" w:space="0" w:color="auto"/>
                    <w:left w:val="none" w:sz="0" w:space="0" w:color="auto"/>
                    <w:bottom w:val="none" w:sz="0" w:space="0" w:color="auto"/>
                    <w:right w:val="none" w:sz="0" w:space="0" w:color="auto"/>
                  </w:divBdr>
                  <w:divsChild>
                    <w:div w:id="1078022631">
                      <w:marLeft w:val="0"/>
                      <w:marRight w:val="0"/>
                      <w:marTop w:val="0"/>
                      <w:marBottom w:val="0"/>
                      <w:divBdr>
                        <w:top w:val="none" w:sz="0" w:space="0" w:color="auto"/>
                        <w:left w:val="none" w:sz="0" w:space="0" w:color="auto"/>
                        <w:bottom w:val="none" w:sz="0" w:space="0" w:color="auto"/>
                        <w:right w:val="none" w:sz="0" w:space="0" w:color="auto"/>
                      </w:divBdr>
                    </w:div>
                  </w:divsChild>
                </w:div>
                <w:div w:id="876235418">
                  <w:marLeft w:val="0"/>
                  <w:marRight w:val="0"/>
                  <w:marTop w:val="0"/>
                  <w:marBottom w:val="0"/>
                  <w:divBdr>
                    <w:top w:val="none" w:sz="0" w:space="0" w:color="auto"/>
                    <w:left w:val="none" w:sz="0" w:space="0" w:color="auto"/>
                    <w:bottom w:val="none" w:sz="0" w:space="0" w:color="auto"/>
                    <w:right w:val="none" w:sz="0" w:space="0" w:color="auto"/>
                  </w:divBdr>
                  <w:divsChild>
                    <w:div w:id="507990900">
                      <w:marLeft w:val="0"/>
                      <w:marRight w:val="0"/>
                      <w:marTop w:val="0"/>
                      <w:marBottom w:val="0"/>
                      <w:divBdr>
                        <w:top w:val="none" w:sz="0" w:space="0" w:color="auto"/>
                        <w:left w:val="none" w:sz="0" w:space="0" w:color="auto"/>
                        <w:bottom w:val="none" w:sz="0" w:space="0" w:color="auto"/>
                        <w:right w:val="none" w:sz="0" w:space="0" w:color="auto"/>
                      </w:divBdr>
                    </w:div>
                  </w:divsChild>
                </w:div>
                <w:div w:id="902831264">
                  <w:marLeft w:val="0"/>
                  <w:marRight w:val="0"/>
                  <w:marTop w:val="0"/>
                  <w:marBottom w:val="0"/>
                  <w:divBdr>
                    <w:top w:val="none" w:sz="0" w:space="0" w:color="auto"/>
                    <w:left w:val="none" w:sz="0" w:space="0" w:color="auto"/>
                    <w:bottom w:val="none" w:sz="0" w:space="0" w:color="auto"/>
                    <w:right w:val="none" w:sz="0" w:space="0" w:color="auto"/>
                  </w:divBdr>
                  <w:divsChild>
                    <w:div w:id="1178041544">
                      <w:marLeft w:val="0"/>
                      <w:marRight w:val="0"/>
                      <w:marTop w:val="0"/>
                      <w:marBottom w:val="0"/>
                      <w:divBdr>
                        <w:top w:val="none" w:sz="0" w:space="0" w:color="auto"/>
                        <w:left w:val="none" w:sz="0" w:space="0" w:color="auto"/>
                        <w:bottom w:val="none" w:sz="0" w:space="0" w:color="auto"/>
                        <w:right w:val="none" w:sz="0" w:space="0" w:color="auto"/>
                      </w:divBdr>
                    </w:div>
                  </w:divsChild>
                </w:div>
                <w:div w:id="920915371">
                  <w:marLeft w:val="0"/>
                  <w:marRight w:val="0"/>
                  <w:marTop w:val="0"/>
                  <w:marBottom w:val="0"/>
                  <w:divBdr>
                    <w:top w:val="none" w:sz="0" w:space="0" w:color="auto"/>
                    <w:left w:val="none" w:sz="0" w:space="0" w:color="auto"/>
                    <w:bottom w:val="none" w:sz="0" w:space="0" w:color="auto"/>
                    <w:right w:val="none" w:sz="0" w:space="0" w:color="auto"/>
                  </w:divBdr>
                  <w:divsChild>
                    <w:div w:id="1100100753">
                      <w:marLeft w:val="0"/>
                      <w:marRight w:val="0"/>
                      <w:marTop w:val="0"/>
                      <w:marBottom w:val="0"/>
                      <w:divBdr>
                        <w:top w:val="none" w:sz="0" w:space="0" w:color="auto"/>
                        <w:left w:val="none" w:sz="0" w:space="0" w:color="auto"/>
                        <w:bottom w:val="none" w:sz="0" w:space="0" w:color="auto"/>
                        <w:right w:val="none" w:sz="0" w:space="0" w:color="auto"/>
                      </w:divBdr>
                    </w:div>
                  </w:divsChild>
                </w:div>
                <w:div w:id="927277993">
                  <w:marLeft w:val="0"/>
                  <w:marRight w:val="0"/>
                  <w:marTop w:val="0"/>
                  <w:marBottom w:val="0"/>
                  <w:divBdr>
                    <w:top w:val="none" w:sz="0" w:space="0" w:color="auto"/>
                    <w:left w:val="none" w:sz="0" w:space="0" w:color="auto"/>
                    <w:bottom w:val="none" w:sz="0" w:space="0" w:color="auto"/>
                    <w:right w:val="none" w:sz="0" w:space="0" w:color="auto"/>
                  </w:divBdr>
                  <w:divsChild>
                    <w:div w:id="319116726">
                      <w:marLeft w:val="0"/>
                      <w:marRight w:val="0"/>
                      <w:marTop w:val="0"/>
                      <w:marBottom w:val="0"/>
                      <w:divBdr>
                        <w:top w:val="none" w:sz="0" w:space="0" w:color="auto"/>
                        <w:left w:val="none" w:sz="0" w:space="0" w:color="auto"/>
                        <w:bottom w:val="none" w:sz="0" w:space="0" w:color="auto"/>
                        <w:right w:val="none" w:sz="0" w:space="0" w:color="auto"/>
                      </w:divBdr>
                    </w:div>
                  </w:divsChild>
                </w:div>
                <w:div w:id="1059134276">
                  <w:marLeft w:val="0"/>
                  <w:marRight w:val="0"/>
                  <w:marTop w:val="0"/>
                  <w:marBottom w:val="0"/>
                  <w:divBdr>
                    <w:top w:val="none" w:sz="0" w:space="0" w:color="auto"/>
                    <w:left w:val="none" w:sz="0" w:space="0" w:color="auto"/>
                    <w:bottom w:val="none" w:sz="0" w:space="0" w:color="auto"/>
                    <w:right w:val="none" w:sz="0" w:space="0" w:color="auto"/>
                  </w:divBdr>
                  <w:divsChild>
                    <w:div w:id="1412237674">
                      <w:marLeft w:val="0"/>
                      <w:marRight w:val="0"/>
                      <w:marTop w:val="0"/>
                      <w:marBottom w:val="0"/>
                      <w:divBdr>
                        <w:top w:val="none" w:sz="0" w:space="0" w:color="auto"/>
                        <w:left w:val="none" w:sz="0" w:space="0" w:color="auto"/>
                        <w:bottom w:val="none" w:sz="0" w:space="0" w:color="auto"/>
                        <w:right w:val="none" w:sz="0" w:space="0" w:color="auto"/>
                      </w:divBdr>
                    </w:div>
                  </w:divsChild>
                </w:div>
                <w:div w:id="1133867620">
                  <w:marLeft w:val="0"/>
                  <w:marRight w:val="0"/>
                  <w:marTop w:val="0"/>
                  <w:marBottom w:val="0"/>
                  <w:divBdr>
                    <w:top w:val="none" w:sz="0" w:space="0" w:color="auto"/>
                    <w:left w:val="none" w:sz="0" w:space="0" w:color="auto"/>
                    <w:bottom w:val="none" w:sz="0" w:space="0" w:color="auto"/>
                    <w:right w:val="none" w:sz="0" w:space="0" w:color="auto"/>
                  </w:divBdr>
                  <w:divsChild>
                    <w:div w:id="1608149885">
                      <w:marLeft w:val="0"/>
                      <w:marRight w:val="0"/>
                      <w:marTop w:val="0"/>
                      <w:marBottom w:val="0"/>
                      <w:divBdr>
                        <w:top w:val="none" w:sz="0" w:space="0" w:color="auto"/>
                        <w:left w:val="none" w:sz="0" w:space="0" w:color="auto"/>
                        <w:bottom w:val="none" w:sz="0" w:space="0" w:color="auto"/>
                        <w:right w:val="none" w:sz="0" w:space="0" w:color="auto"/>
                      </w:divBdr>
                    </w:div>
                  </w:divsChild>
                </w:div>
                <w:div w:id="1351906904">
                  <w:marLeft w:val="0"/>
                  <w:marRight w:val="0"/>
                  <w:marTop w:val="0"/>
                  <w:marBottom w:val="0"/>
                  <w:divBdr>
                    <w:top w:val="none" w:sz="0" w:space="0" w:color="auto"/>
                    <w:left w:val="none" w:sz="0" w:space="0" w:color="auto"/>
                    <w:bottom w:val="none" w:sz="0" w:space="0" w:color="auto"/>
                    <w:right w:val="none" w:sz="0" w:space="0" w:color="auto"/>
                  </w:divBdr>
                  <w:divsChild>
                    <w:div w:id="39674302">
                      <w:marLeft w:val="0"/>
                      <w:marRight w:val="0"/>
                      <w:marTop w:val="0"/>
                      <w:marBottom w:val="0"/>
                      <w:divBdr>
                        <w:top w:val="none" w:sz="0" w:space="0" w:color="auto"/>
                        <w:left w:val="none" w:sz="0" w:space="0" w:color="auto"/>
                        <w:bottom w:val="none" w:sz="0" w:space="0" w:color="auto"/>
                        <w:right w:val="none" w:sz="0" w:space="0" w:color="auto"/>
                      </w:divBdr>
                    </w:div>
                  </w:divsChild>
                </w:div>
                <w:div w:id="1368481044">
                  <w:marLeft w:val="0"/>
                  <w:marRight w:val="0"/>
                  <w:marTop w:val="0"/>
                  <w:marBottom w:val="0"/>
                  <w:divBdr>
                    <w:top w:val="none" w:sz="0" w:space="0" w:color="auto"/>
                    <w:left w:val="none" w:sz="0" w:space="0" w:color="auto"/>
                    <w:bottom w:val="none" w:sz="0" w:space="0" w:color="auto"/>
                    <w:right w:val="none" w:sz="0" w:space="0" w:color="auto"/>
                  </w:divBdr>
                  <w:divsChild>
                    <w:div w:id="98991879">
                      <w:marLeft w:val="0"/>
                      <w:marRight w:val="0"/>
                      <w:marTop w:val="0"/>
                      <w:marBottom w:val="0"/>
                      <w:divBdr>
                        <w:top w:val="none" w:sz="0" w:space="0" w:color="auto"/>
                        <w:left w:val="none" w:sz="0" w:space="0" w:color="auto"/>
                        <w:bottom w:val="none" w:sz="0" w:space="0" w:color="auto"/>
                        <w:right w:val="none" w:sz="0" w:space="0" w:color="auto"/>
                      </w:divBdr>
                    </w:div>
                  </w:divsChild>
                </w:div>
                <w:div w:id="1386023135">
                  <w:marLeft w:val="0"/>
                  <w:marRight w:val="0"/>
                  <w:marTop w:val="0"/>
                  <w:marBottom w:val="0"/>
                  <w:divBdr>
                    <w:top w:val="none" w:sz="0" w:space="0" w:color="auto"/>
                    <w:left w:val="none" w:sz="0" w:space="0" w:color="auto"/>
                    <w:bottom w:val="none" w:sz="0" w:space="0" w:color="auto"/>
                    <w:right w:val="none" w:sz="0" w:space="0" w:color="auto"/>
                  </w:divBdr>
                  <w:divsChild>
                    <w:div w:id="601568665">
                      <w:marLeft w:val="0"/>
                      <w:marRight w:val="0"/>
                      <w:marTop w:val="0"/>
                      <w:marBottom w:val="0"/>
                      <w:divBdr>
                        <w:top w:val="none" w:sz="0" w:space="0" w:color="auto"/>
                        <w:left w:val="none" w:sz="0" w:space="0" w:color="auto"/>
                        <w:bottom w:val="none" w:sz="0" w:space="0" w:color="auto"/>
                        <w:right w:val="none" w:sz="0" w:space="0" w:color="auto"/>
                      </w:divBdr>
                    </w:div>
                  </w:divsChild>
                </w:div>
                <w:div w:id="1419132818">
                  <w:marLeft w:val="0"/>
                  <w:marRight w:val="0"/>
                  <w:marTop w:val="0"/>
                  <w:marBottom w:val="0"/>
                  <w:divBdr>
                    <w:top w:val="none" w:sz="0" w:space="0" w:color="auto"/>
                    <w:left w:val="none" w:sz="0" w:space="0" w:color="auto"/>
                    <w:bottom w:val="none" w:sz="0" w:space="0" w:color="auto"/>
                    <w:right w:val="none" w:sz="0" w:space="0" w:color="auto"/>
                  </w:divBdr>
                  <w:divsChild>
                    <w:div w:id="1859540480">
                      <w:marLeft w:val="0"/>
                      <w:marRight w:val="0"/>
                      <w:marTop w:val="0"/>
                      <w:marBottom w:val="0"/>
                      <w:divBdr>
                        <w:top w:val="none" w:sz="0" w:space="0" w:color="auto"/>
                        <w:left w:val="none" w:sz="0" w:space="0" w:color="auto"/>
                        <w:bottom w:val="none" w:sz="0" w:space="0" w:color="auto"/>
                        <w:right w:val="none" w:sz="0" w:space="0" w:color="auto"/>
                      </w:divBdr>
                    </w:div>
                  </w:divsChild>
                </w:div>
                <w:div w:id="1476874599">
                  <w:marLeft w:val="0"/>
                  <w:marRight w:val="0"/>
                  <w:marTop w:val="0"/>
                  <w:marBottom w:val="0"/>
                  <w:divBdr>
                    <w:top w:val="none" w:sz="0" w:space="0" w:color="auto"/>
                    <w:left w:val="none" w:sz="0" w:space="0" w:color="auto"/>
                    <w:bottom w:val="none" w:sz="0" w:space="0" w:color="auto"/>
                    <w:right w:val="none" w:sz="0" w:space="0" w:color="auto"/>
                  </w:divBdr>
                  <w:divsChild>
                    <w:div w:id="929200335">
                      <w:marLeft w:val="0"/>
                      <w:marRight w:val="0"/>
                      <w:marTop w:val="0"/>
                      <w:marBottom w:val="0"/>
                      <w:divBdr>
                        <w:top w:val="none" w:sz="0" w:space="0" w:color="auto"/>
                        <w:left w:val="none" w:sz="0" w:space="0" w:color="auto"/>
                        <w:bottom w:val="none" w:sz="0" w:space="0" w:color="auto"/>
                        <w:right w:val="none" w:sz="0" w:space="0" w:color="auto"/>
                      </w:divBdr>
                    </w:div>
                  </w:divsChild>
                </w:div>
                <w:div w:id="1492059806">
                  <w:marLeft w:val="0"/>
                  <w:marRight w:val="0"/>
                  <w:marTop w:val="0"/>
                  <w:marBottom w:val="0"/>
                  <w:divBdr>
                    <w:top w:val="none" w:sz="0" w:space="0" w:color="auto"/>
                    <w:left w:val="none" w:sz="0" w:space="0" w:color="auto"/>
                    <w:bottom w:val="none" w:sz="0" w:space="0" w:color="auto"/>
                    <w:right w:val="none" w:sz="0" w:space="0" w:color="auto"/>
                  </w:divBdr>
                  <w:divsChild>
                    <w:div w:id="2129035222">
                      <w:marLeft w:val="0"/>
                      <w:marRight w:val="0"/>
                      <w:marTop w:val="0"/>
                      <w:marBottom w:val="0"/>
                      <w:divBdr>
                        <w:top w:val="none" w:sz="0" w:space="0" w:color="auto"/>
                        <w:left w:val="none" w:sz="0" w:space="0" w:color="auto"/>
                        <w:bottom w:val="none" w:sz="0" w:space="0" w:color="auto"/>
                        <w:right w:val="none" w:sz="0" w:space="0" w:color="auto"/>
                      </w:divBdr>
                    </w:div>
                  </w:divsChild>
                </w:div>
                <w:div w:id="1723165344">
                  <w:marLeft w:val="0"/>
                  <w:marRight w:val="0"/>
                  <w:marTop w:val="0"/>
                  <w:marBottom w:val="0"/>
                  <w:divBdr>
                    <w:top w:val="none" w:sz="0" w:space="0" w:color="auto"/>
                    <w:left w:val="none" w:sz="0" w:space="0" w:color="auto"/>
                    <w:bottom w:val="none" w:sz="0" w:space="0" w:color="auto"/>
                    <w:right w:val="none" w:sz="0" w:space="0" w:color="auto"/>
                  </w:divBdr>
                  <w:divsChild>
                    <w:div w:id="747776939">
                      <w:marLeft w:val="0"/>
                      <w:marRight w:val="0"/>
                      <w:marTop w:val="0"/>
                      <w:marBottom w:val="0"/>
                      <w:divBdr>
                        <w:top w:val="none" w:sz="0" w:space="0" w:color="auto"/>
                        <w:left w:val="none" w:sz="0" w:space="0" w:color="auto"/>
                        <w:bottom w:val="none" w:sz="0" w:space="0" w:color="auto"/>
                        <w:right w:val="none" w:sz="0" w:space="0" w:color="auto"/>
                      </w:divBdr>
                    </w:div>
                  </w:divsChild>
                </w:div>
                <w:div w:id="1785689875">
                  <w:marLeft w:val="0"/>
                  <w:marRight w:val="0"/>
                  <w:marTop w:val="0"/>
                  <w:marBottom w:val="0"/>
                  <w:divBdr>
                    <w:top w:val="none" w:sz="0" w:space="0" w:color="auto"/>
                    <w:left w:val="none" w:sz="0" w:space="0" w:color="auto"/>
                    <w:bottom w:val="none" w:sz="0" w:space="0" w:color="auto"/>
                    <w:right w:val="none" w:sz="0" w:space="0" w:color="auto"/>
                  </w:divBdr>
                  <w:divsChild>
                    <w:div w:id="1894272395">
                      <w:marLeft w:val="0"/>
                      <w:marRight w:val="0"/>
                      <w:marTop w:val="0"/>
                      <w:marBottom w:val="0"/>
                      <w:divBdr>
                        <w:top w:val="none" w:sz="0" w:space="0" w:color="auto"/>
                        <w:left w:val="none" w:sz="0" w:space="0" w:color="auto"/>
                        <w:bottom w:val="none" w:sz="0" w:space="0" w:color="auto"/>
                        <w:right w:val="none" w:sz="0" w:space="0" w:color="auto"/>
                      </w:divBdr>
                    </w:div>
                  </w:divsChild>
                </w:div>
                <w:div w:id="1835099772">
                  <w:marLeft w:val="0"/>
                  <w:marRight w:val="0"/>
                  <w:marTop w:val="0"/>
                  <w:marBottom w:val="0"/>
                  <w:divBdr>
                    <w:top w:val="none" w:sz="0" w:space="0" w:color="auto"/>
                    <w:left w:val="none" w:sz="0" w:space="0" w:color="auto"/>
                    <w:bottom w:val="none" w:sz="0" w:space="0" w:color="auto"/>
                    <w:right w:val="none" w:sz="0" w:space="0" w:color="auto"/>
                  </w:divBdr>
                  <w:divsChild>
                    <w:div w:id="463885421">
                      <w:marLeft w:val="0"/>
                      <w:marRight w:val="0"/>
                      <w:marTop w:val="0"/>
                      <w:marBottom w:val="0"/>
                      <w:divBdr>
                        <w:top w:val="none" w:sz="0" w:space="0" w:color="auto"/>
                        <w:left w:val="none" w:sz="0" w:space="0" w:color="auto"/>
                        <w:bottom w:val="none" w:sz="0" w:space="0" w:color="auto"/>
                        <w:right w:val="none" w:sz="0" w:space="0" w:color="auto"/>
                      </w:divBdr>
                    </w:div>
                  </w:divsChild>
                </w:div>
                <w:div w:id="1921064474">
                  <w:marLeft w:val="0"/>
                  <w:marRight w:val="0"/>
                  <w:marTop w:val="0"/>
                  <w:marBottom w:val="0"/>
                  <w:divBdr>
                    <w:top w:val="none" w:sz="0" w:space="0" w:color="auto"/>
                    <w:left w:val="none" w:sz="0" w:space="0" w:color="auto"/>
                    <w:bottom w:val="none" w:sz="0" w:space="0" w:color="auto"/>
                    <w:right w:val="none" w:sz="0" w:space="0" w:color="auto"/>
                  </w:divBdr>
                  <w:divsChild>
                    <w:div w:id="1167746542">
                      <w:marLeft w:val="0"/>
                      <w:marRight w:val="0"/>
                      <w:marTop w:val="0"/>
                      <w:marBottom w:val="0"/>
                      <w:divBdr>
                        <w:top w:val="none" w:sz="0" w:space="0" w:color="auto"/>
                        <w:left w:val="none" w:sz="0" w:space="0" w:color="auto"/>
                        <w:bottom w:val="none" w:sz="0" w:space="0" w:color="auto"/>
                        <w:right w:val="none" w:sz="0" w:space="0" w:color="auto"/>
                      </w:divBdr>
                    </w:div>
                  </w:divsChild>
                </w:div>
                <w:div w:id="2001733945">
                  <w:marLeft w:val="0"/>
                  <w:marRight w:val="0"/>
                  <w:marTop w:val="0"/>
                  <w:marBottom w:val="0"/>
                  <w:divBdr>
                    <w:top w:val="none" w:sz="0" w:space="0" w:color="auto"/>
                    <w:left w:val="none" w:sz="0" w:space="0" w:color="auto"/>
                    <w:bottom w:val="none" w:sz="0" w:space="0" w:color="auto"/>
                    <w:right w:val="none" w:sz="0" w:space="0" w:color="auto"/>
                  </w:divBdr>
                  <w:divsChild>
                    <w:div w:id="14858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6148">
          <w:marLeft w:val="0"/>
          <w:marRight w:val="0"/>
          <w:marTop w:val="0"/>
          <w:marBottom w:val="0"/>
          <w:divBdr>
            <w:top w:val="none" w:sz="0" w:space="0" w:color="auto"/>
            <w:left w:val="none" w:sz="0" w:space="0" w:color="auto"/>
            <w:bottom w:val="none" w:sz="0" w:space="0" w:color="auto"/>
            <w:right w:val="none" w:sz="0" w:space="0" w:color="auto"/>
          </w:divBdr>
          <w:divsChild>
            <w:div w:id="256210086">
              <w:marLeft w:val="0"/>
              <w:marRight w:val="0"/>
              <w:marTop w:val="0"/>
              <w:marBottom w:val="0"/>
              <w:divBdr>
                <w:top w:val="none" w:sz="0" w:space="0" w:color="auto"/>
                <w:left w:val="none" w:sz="0" w:space="0" w:color="auto"/>
                <w:bottom w:val="none" w:sz="0" w:space="0" w:color="auto"/>
                <w:right w:val="none" w:sz="0" w:space="0" w:color="auto"/>
              </w:divBdr>
            </w:div>
            <w:div w:id="356004589">
              <w:marLeft w:val="0"/>
              <w:marRight w:val="0"/>
              <w:marTop w:val="0"/>
              <w:marBottom w:val="0"/>
              <w:divBdr>
                <w:top w:val="none" w:sz="0" w:space="0" w:color="auto"/>
                <w:left w:val="none" w:sz="0" w:space="0" w:color="auto"/>
                <w:bottom w:val="none" w:sz="0" w:space="0" w:color="auto"/>
                <w:right w:val="none" w:sz="0" w:space="0" w:color="auto"/>
              </w:divBdr>
            </w:div>
            <w:div w:id="410658147">
              <w:marLeft w:val="0"/>
              <w:marRight w:val="0"/>
              <w:marTop w:val="0"/>
              <w:marBottom w:val="0"/>
              <w:divBdr>
                <w:top w:val="none" w:sz="0" w:space="0" w:color="auto"/>
                <w:left w:val="none" w:sz="0" w:space="0" w:color="auto"/>
                <w:bottom w:val="none" w:sz="0" w:space="0" w:color="auto"/>
                <w:right w:val="none" w:sz="0" w:space="0" w:color="auto"/>
              </w:divBdr>
            </w:div>
            <w:div w:id="501090042">
              <w:marLeft w:val="0"/>
              <w:marRight w:val="0"/>
              <w:marTop w:val="0"/>
              <w:marBottom w:val="0"/>
              <w:divBdr>
                <w:top w:val="none" w:sz="0" w:space="0" w:color="auto"/>
                <w:left w:val="none" w:sz="0" w:space="0" w:color="auto"/>
                <w:bottom w:val="none" w:sz="0" w:space="0" w:color="auto"/>
                <w:right w:val="none" w:sz="0" w:space="0" w:color="auto"/>
              </w:divBdr>
            </w:div>
            <w:div w:id="572202522">
              <w:marLeft w:val="0"/>
              <w:marRight w:val="0"/>
              <w:marTop w:val="0"/>
              <w:marBottom w:val="0"/>
              <w:divBdr>
                <w:top w:val="none" w:sz="0" w:space="0" w:color="auto"/>
                <w:left w:val="none" w:sz="0" w:space="0" w:color="auto"/>
                <w:bottom w:val="none" w:sz="0" w:space="0" w:color="auto"/>
                <w:right w:val="none" w:sz="0" w:space="0" w:color="auto"/>
              </w:divBdr>
            </w:div>
            <w:div w:id="705716149">
              <w:marLeft w:val="0"/>
              <w:marRight w:val="0"/>
              <w:marTop w:val="0"/>
              <w:marBottom w:val="0"/>
              <w:divBdr>
                <w:top w:val="none" w:sz="0" w:space="0" w:color="auto"/>
                <w:left w:val="none" w:sz="0" w:space="0" w:color="auto"/>
                <w:bottom w:val="none" w:sz="0" w:space="0" w:color="auto"/>
                <w:right w:val="none" w:sz="0" w:space="0" w:color="auto"/>
              </w:divBdr>
            </w:div>
            <w:div w:id="711074357">
              <w:marLeft w:val="0"/>
              <w:marRight w:val="0"/>
              <w:marTop w:val="0"/>
              <w:marBottom w:val="0"/>
              <w:divBdr>
                <w:top w:val="none" w:sz="0" w:space="0" w:color="auto"/>
                <w:left w:val="none" w:sz="0" w:space="0" w:color="auto"/>
                <w:bottom w:val="none" w:sz="0" w:space="0" w:color="auto"/>
                <w:right w:val="none" w:sz="0" w:space="0" w:color="auto"/>
              </w:divBdr>
            </w:div>
            <w:div w:id="962072925">
              <w:marLeft w:val="0"/>
              <w:marRight w:val="0"/>
              <w:marTop w:val="0"/>
              <w:marBottom w:val="0"/>
              <w:divBdr>
                <w:top w:val="none" w:sz="0" w:space="0" w:color="auto"/>
                <w:left w:val="none" w:sz="0" w:space="0" w:color="auto"/>
                <w:bottom w:val="none" w:sz="0" w:space="0" w:color="auto"/>
                <w:right w:val="none" w:sz="0" w:space="0" w:color="auto"/>
              </w:divBdr>
            </w:div>
            <w:div w:id="991179138">
              <w:marLeft w:val="0"/>
              <w:marRight w:val="0"/>
              <w:marTop w:val="0"/>
              <w:marBottom w:val="0"/>
              <w:divBdr>
                <w:top w:val="none" w:sz="0" w:space="0" w:color="auto"/>
                <w:left w:val="none" w:sz="0" w:space="0" w:color="auto"/>
                <w:bottom w:val="none" w:sz="0" w:space="0" w:color="auto"/>
                <w:right w:val="none" w:sz="0" w:space="0" w:color="auto"/>
              </w:divBdr>
            </w:div>
            <w:div w:id="1080369285">
              <w:marLeft w:val="0"/>
              <w:marRight w:val="0"/>
              <w:marTop w:val="0"/>
              <w:marBottom w:val="0"/>
              <w:divBdr>
                <w:top w:val="none" w:sz="0" w:space="0" w:color="auto"/>
                <w:left w:val="none" w:sz="0" w:space="0" w:color="auto"/>
                <w:bottom w:val="none" w:sz="0" w:space="0" w:color="auto"/>
                <w:right w:val="none" w:sz="0" w:space="0" w:color="auto"/>
              </w:divBdr>
            </w:div>
            <w:div w:id="1121220193">
              <w:marLeft w:val="0"/>
              <w:marRight w:val="0"/>
              <w:marTop w:val="0"/>
              <w:marBottom w:val="0"/>
              <w:divBdr>
                <w:top w:val="none" w:sz="0" w:space="0" w:color="auto"/>
                <w:left w:val="none" w:sz="0" w:space="0" w:color="auto"/>
                <w:bottom w:val="none" w:sz="0" w:space="0" w:color="auto"/>
                <w:right w:val="none" w:sz="0" w:space="0" w:color="auto"/>
              </w:divBdr>
            </w:div>
            <w:div w:id="1288585385">
              <w:marLeft w:val="0"/>
              <w:marRight w:val="0"/>
              <w:marTop w:val="0"/>
              <w:marBottom w:val="0"/>
              <w:divBdr>
                <w:top w:val="none" w:sz="0" w:space="0" w:color="auto"/>
                <w:left w:val="none" w:sz="0" w:space="0" w:color="auto"/>
                <w:bottom w:val="none" w:sz="0" w:space="0" w:color="auto"/>
                <w:right w:val="none" w:sz="0" w:space="0" w:color="auto"/>
              </w:divBdr>
            </w:div>
            <w:div w:id="1326980700">
              <w:marLeft w:val="0"/>
              <w:marRight w:val="0"/>
              <w:marTop w:val="0"/>
              <w:marBottom w:val="0"/>
              <w:divBdr>
                <w:top w:val="none" w:sz="0" w:space="0" w:color="auto"/>
                <w:left w:val="none" w:sz="0" w:space="0" w:color="auto"/>
                <w:bottom w:val="none" w:sz="0" w:space="0" w:color="auto"/>
                <w:right w:val="none" w:sz="0" w:space="0" w:color="auto"/>
              </w:divBdr>
            </w:div>
            <w:div w:id="1409420529">
              <w:marLeft w:val="0"/>
              <w:marRight w:val="0"/>
              <w:marTop w:val="0"/>
              <w:marBottom w:val="0"/>
              <w:divBdr>
                <w:top w:val="none" w:sz="0" w:space="0" w:color="auto"/>
                <w:left w:val="none" w:sz="0" w:space="0" w:color="auto"/>
                <w:bottom w:val="none" w:sz="0" w:space="0" w:color="auto"/>
                <w:right w:val="none" w:sz="0" w:space="0" w:color="auto"/>
              </w:divBdr>
            </w:div>
            <w:div w:id="1571303855">
              <w:marLeft w:val="0"/>
              <w:marRight w:val="0"/>
              <w:marTop w:val="0"/>
              <w:marBottom w:val="0"/>
              <w:divBdr>
                <w:top w:val="none" w:sz="0" w:space="0" w:color="auto"/>
                <w:left w:val="none" w:sz="0" w:space="0" w:color="auto"/>
                <w:bottom w:val="none" w:sz="0" w:space="0" w:color="auto"/>
                <w:right w:val="none" w:sz="0" w:space="0" w:color="auto"/>
              </w:divBdr>
            </w:div>
            <w:div w:id="1675690022">
              <w:marLeft w:val="0"/>
              <w:marRight w:val="0"/>
              <w:marTop w:val="0"/>
              <w:marBottom w:val="0"/>
              <w:divBdr>
                <w:top w:val="none" w:sz="0" w:space="0" w:color="auto"/>
                <w:left w:val="none" w:sz="0" w:space="0" w:color="auto"/>
                <w:bottom w:val="none" w:sz="0" w:space="0" w:color="auto"/>
                <w:right w:val="none" w:sz="0" w:space="0" w:color="auto"/>
              </w:divBdr>
            </w:div>
            <w:div w:id="1723751823">
              <w:marLeft w:val="0"/>
              <w:marRight w:val="0"/>
              <w:marTop w:val="0"/>
              <w:marBottom w:val="0"/>
              <w:divBdr>
                <w:top w:val="none" w:sz="0" w:space="0" w:color="auto"/>
                <w:left w:val="none" w:sz="0" w:space="0" w:color="auto"/>
                <w:bottom w:val="none" w:sz="0" w:space="0" w:color="auto"/>
                <w:right w:val="none" w:sz="0" w:space="0" w:color="auto"/>
              </w:divBdr>
            </w:div>
            <w:div w:id="1744990126">
              <w:marLeft w:val="0"/>
              <w:marRight w:val="0"/>
              <w:marTop w:val="0"/>
              <w:marBottom w:val="0"/>
              <w:divBdr>
                <w:top w:val="none" w:sz="0" w:space="0" w:color="auto"/>
                <w:left w:val="none" w:sz="0" w:space="0" w:color="auto"/>
                <w:bottom w:val="none" w:sz="0" w:space="0" w:color="auto"/>
                <w:right w:val="none" w:sz="0" w:space="0" w:color="auto"/>
              </w:divBdr>
            </w:div>
            <w:div w:id="1772049389">
              <w:marLeft w:val="0"/>
              <w:marRight w:val="0"/>
              <w:marTop w:val="0"/>
              <w:marBottom w:val="0"/>
              <w:divBdr>
                <w:top w:val="none" w:sz="0" w:space="0" w:color="auto"/>
                <w:left w:val="none" w:sz="0" w:space="0" w:color="auto"/>
                <w:bottom w:val="none" w:sz="0" w:space="0" w:color="auto"/>
                <w:right w:val="none" w:sz="0" w:space="0" w:color="auto"/>
              </w:divBdr>
            </w:div>
            <w:div w:id="1970815086">
              <w:marLeft w:val="0"/>
              <w:marRight w:val="0"/>
              <w:marTop w:val="0"/>
              <w:marBottom w:val="0"/>
              <w:divBdr>
                <w:top w:val="none" w:sz="0" w:space="0" w:color="auto"/>
                <w:left w:val="none" w:sz="0" w:space="0" w:color="auto"/>
                <w:bottom w:val="none" w:sz="0" w:space="0" w:color="auto"/>
                <w:right w:val="none" w:sz="0" w:space="0" w:color="auto"/>
              </w:divBdr>
            </w:div>
          </w:divsChild>
        </w:div>
        <w:div w:id="1435634212">
          <w:marLeft w:val="0"/>
          <w:marRight w:val="0"/>
          <w:marTop w:val="0"/>
          <w:marBottom w:val="0"/>
          <w:divBdr>
            <w:top w:val="none" w:sz="0" w:space="0" w:color="auto"/>
            <w:left w:val="none" w:sz="0" w:space="0" w:color="auto"/>
            <w:bottom w:val="none" w:sz="0" w:space="0" w:color="auto"/>
            <w:right w:val="none" w:sz="0" w:space="0" w:color="auto"/>
          </w:divBdr>
        </w:div>
        <w:div w:id="1438284120">
          <w:marLeft w:val="0"/>
          <w:marRight w:val="0"/>
          <w:marTop w:val="0"/>
          <w:marBottom w:val="0"/>
          <w:divBdr>
            <w:top w:val="none" w:sz="0" w:space="0" w:color="auto"/>
            <w:left w:val="none" w:sz="0" w:space="0" w:color="auto"/>
            <w:bottom w:val="none" w:sz="0" w:space="0" w:color="auto"/>
            <w:right w:val="none" w:sz="0" w:space="0" w:color="auto"/>
          </w:divBdr>
        </w:div>
        <w:div w:id="1443499577">
          <w:marLeft w:val="0"/>
          <w:marRight w:val="0"/>
          <w:marTop w:val="0"/>
          <w:marBottom w:val="0"/>
          <w:divBdr>
            <w:top w:val="none" w:sz="0" w:space="0" w:color="auto"/>
            <w:left w:val="none" w:sz="0" w:space="0" w:color="auto"/>
            <w:bottom w:val="none" w:sz="0" w:space="0" w:color="auto"/>
            <w:right w:val="none" w:sz="0" w:space="0" w:color="auto"/>
          </w:divBdr>
        </w:div>
        <w:div w:id="1474904782">
          <w:marLeft w:val="0"/>
          <w:marRight w:val="0"/>
          <w:marTop w:val="0"/>
          <w:marBottom w:val="0"/>
          <w:divBdr>
            <w:top w:val="none" w:sz="0" w:space="0" w:color="auto"/>
            <w:left w:val="none" w:sz="0" w:space="0" w:color="auto"/>
            <w:bottom w:val="none" w:sz="0" w:space="0" w:color="auto"/>
            <w:right w:val="none" w:sz="0" w:space="0" w:color="auto"/>
          </w:divBdr>
        </w:div>
        <w:div w:id="1479834061">
          <w:marLeft w:val="0"/>
          <w:marRight w:val="0"/>
          <w:marTop w:val="0"/>
          <w:marBottom w:val="0"/>
          <w:divBdr>
            <w:top w:val="none" w:sz="0" w:space="0" w:color="auto"/>
            <w:left w:val="none" w:sz="0" w:space="0" w:color="auto"/>
            <w:bottom w:val="none" w:sz="0" w:space="0" w:color="auto"/>
            <w:right w:val="none" w:sz="0" w:space="0" w:color="auto"/>
          </w:divBdr>
          <w:divsChild>
            <w:div w:id="25717556">
              <w:marLeft w:val="0"/>
              <w:marRight w:val="0"/>
              <w:marTop w:val="0"/>
              <w:marBottom w:val="0"/>
              <w:divBdr>
                <w:top w:val="none" w:sz="0" w:space="0" w:color="auto"/>
                <w:left w:val="none" w:sz="0" w:space="0" w:color="auto"/>
                <w:bottom w:val="none" w:sz="0" w:space="0" w:color="auto"/>
                <w:right w:val="none" w:sz="0" w:space="0" w:color="auto"/>
              </w:divBdr>
            </w:div>
            <w:div w:id="134421799">
              <w:marLeft w:val="0"/>
              <w:marRight w:val="0"/>
              <w:marTop w:val="0"/>
              <w:marBottom w:val="0"/>
              <w:divBdr>
                <w:top w:val="none" w:sz="0" w:space="0" w:color="auto"/>
                <w:left w:val="none" w:sz="0" w:space="0" w:color="auto"/>
                <w:bottom w:val="none" w:sz="0" w:space="0" w:color="auto"/>
                <w:right w:val="none" w:sz="0" w:space="0" w:color="auto"/>
              </w:divBdr>
            </w:div>
            <w:div w:id="256982952">
              <w:marLeft w:val="0"/>
              <w:marRight w:val="0"/>
              <w:marTop w:val="0"/>
              <w:marBottom w:val="0"/>
              <w:divBdr>
                <w:top w:val="none" w:sz="0" w:space="0" w:color="auto"/>
                <w:left w:val="none" w:sz="0" w:space="0" w:color="auto"/>
                <w:bottom w:val="none" w:sz="0" w:space="0" w:color="auto"/>
                <w:right w:val="none" w:sz="0" w:space="0" w:color="auto"/>
              </w:divBdr>
            </w:div>
            <w:div w:id="258683051">
              <w:marLeft w:val="0"/>
              <w:marRight w:val="0"/>
              <w:marTop w:val="0"/>
              <w:marBottom w:val="0"/>
              <w:divBdr>
                <w:top w:val="none" w:sz="0" w:space="0" w:color="auto"/>
                <w:left w:val="none" w:sz="0" w:space="0" w:color="auto"/>
                <w:bottom w:val="none" w:sz="0" w:space="0" w:color="auto"/>
                <w:right w:val="none" w:sz="0" w:space="0" w:color="auto"/>
              </w:divBdr>
            </w:div>
            <w:div w:id="292559174">
              <w:marLeft w:val="0"/>
              <w:marRight w:val="0"/>
              <w:marTop w:val="0"/>
              <w:marBottom w:val="0"/>
              <w:divBdr>
                <w:top w:val="none" w:sz="0" w:space="0" w:color="auto"/>
                <w:left w:val="none" w:sz="0" w:space="0" w:color="auto"/>
                <w:bottom w:val="none" w:sz="0" w:space="0" w:color="auto"/>
                <w:right w:val="none" w:sz="0" w:space="0" w:color="auto"/>
              </w:divBdr>
            </w:div>
            <w:div w:id="449125489">
              <w:marLeft w:val="0"/>
              <w:marRight w:val="0"/>
              <w:marTop w:val="0"/>
              <w:marBottom w:val="0"/>
              <w:divBdr>
                <w:top w:val="none" w:sz="0" w:space="0" w:color="auto"/>
                <w:left w:val="none" w:sz="0" w:space="0" w:color="auto"/>
                <w:bottom w:val="none" w:sz="0" w:space="0" w:color="auto"/>
                <w:right w:val="none" w:sz="0" w:space="0" w:color="auto"/>
              </w:divBdr>
            </w:div>
            <w:div w:id="487208540">
              <w:marLeft w:val="0"/>
              <w:marRight w:val="0"/>
              <w:marTop w:val="0"/>
              <w:marBottom w:val="0"/>
              <w:divBdr>
                <w:top w:val="none" w:sz="0" w:space="0" w:color="auto"/>
                <w:left w:val="none" w:sz="0" w:space="0" w:color="auto"/>
                <w:bottom w:val="none" w:sz="0" w:space="0" w:color="auto"/>
                <w:right w:val="none" w:sz="0" w:space="0" w:color="auto"/>
              </w:divBdr>
            </w:div>
            <w:div w:id="493447979">
              <w:marLeft w:val="0"/>
              <w:marRight w:val="0"/>
              <w:marTop w:val="0"/>
              <w:marBottom w:val="0"/>
              <w:divBdr>
                <w:top w:val="none" w:sz="0" w:space="0" w:color="auto"/>
                <w:left w:val="none" w:sz="0" w:space="0" w:color="auto"/>
                <w:bottom w:val="none" w:sz="0" w:space="0" w:color="auto"/>
                <w:right w:val="none" w:sz="0" w:space="0" w:color="auto"/>
              </w:divBdr>
            </w:div>
            <w:div w:id="535242803">
              <w:marLeft w:val="0"/>
              <w:marRight w:val="0"/>
              <w:marTop w:val="0"/>
              <w:marBottom w:val="0"/>
              <w:divBdr>
                <w:top w:val="none" w:sz="0" w:space="0" w:color="auto"/>
                <w:left w:val="none" w:sz="0" w:space="0" w:color="auto"/>
                <w:bottom w:val="none" w:sz="0" w:space="0" w:color="auto"/>
                <w:right w:val="none" w:sz="0" w:space="0" w:color="auto"/>
              </w:divBdr>
            </w:div>
            <w:div w:id="653609022">
              <w:marLeft w:val="0"/>
              <w:marRight w:val="0"/>
              <w:marTop w:val="0"/>
              <w:marBottom w:val="0"/>
              <w:divBdr>
                <w:top w:val="none" w:sz="0" w:space="0" w:color="auto"/>
                <w:left w:val="none" w:sz="0" w:space="0" w:color="auto"/>
                <w:bottom w:val="none" w:sz="0" w:space="0" w:color="auto"/>
                <w:right w:val="none" w:sz="0" w:space="0" w:color="auto"/>
              </w:divBdr>
            </w:div>
            <w:div w:id="657075110">
              <w:marLeft w:val="0"/>
              <w:marRight w:val="0"/>
              <w:marTop w:val="0"/>
              <w:marBottom w:val="0"/>
              <w:divBdr>
                <w:top w:val="none" w:sz="0" w:space="0" w:color="auto"/>
                <w:left w:val="none" w:sz="0" w:space="0" w:color="auto"/>
                <w:bottom w:val="none" w:sz="0" w:space="0" w:color="auto"/>
                <w:right w:val="none" w:sz="0" w:space="0" w:color="auto"/>
              </w:divBdr>
            </w:div>
            <w:div w:id="708797874">
              <w:marLeft w:val="0"/>
              <w:marRight w:val="0"/>
              <w:marTop w:val="0"/>
              <w:marBottom w:val="0"/>
              <w:divBdr>
                <w:top w:val="none" w:sz="0" w:space="0" w:color="auto"/>
                <w:left w:val="none" w:sz="0" w:space="0" w:color="auto"/>
                <w:bottom w:val="none" w:sz="0" w:space="0" w:color="auto"/>
                <w:right w:val="none" w:sz="0" w:space="0" w:color="auto"/>
              </w:divBdr>
            </w:div>
            <w:div w:id="806437717">
              <w:marLeft w:val="0"/>
              <w:marRight w:val="0"/>
              <w:marTop w:val="0"/>
              <w:marBottom w:val="0"/>
              <w:divBdr>
                <w:top w:val="none" w:sz="0" w:space="0" w:color="auto"/>
                <w:left w:val="none" w:sz="0" w:space="0" w:color="auto"/>
                <w:bottom w:val="none" w:sz="0" w:space="0" w:color="auto"/>
                <w:right w:val="none" w:sz="0" w:space="0" w:color="auto"/>
              </w:divBdr>
            </w:div>
            <w:div w:id="839270607">
              <w:marLeft w:val="0"/>
              <w:marRight w:val="0"/>
              <w:marTop w:val="0"/>
              <w:marBottom w:val="0"/>
              <w:divBdr>
                <w:top w:val="none" w:sz="0" w:space="0" w:color="auto"/>
                <w:left w:val="none" w:sz="0" w:space="0" w:color="auto"/>
                <w:bottom w:val="none" w:sz="0" w:space="0" w:color="auto"/>
                <w:right w:val="none" w:sz="0" w:space="0" w:color="auto"/>
              </w:divBdr>
            </w:div>
            <w:div w:id="1255282797">
              <w:marLeft w:val="0"/>
              <w:marRight w:val="0"/>
              <w:marTop w:val="0"/>
              <w:marBottom w:val="0"/>
              <w:divBdr>
                <w:top w:val="none" w:sz="0" w:space="0" w:color="auto"/>
                <w:left w:val="none" w:sz="0" w:space="0" w:color="auto"/>
                <w:bottom w:val="none" w:sz="0" w:space="0" w:color="auto"/>
                <w:right w:val="none" w:sz="0" w:space="0" w:color="auto"/>
              </w:divBdr>
            </w:div>
            <w:div w:id="1689679017">
              <w:marLeft w:val="0"/>
              <w:marRight w:val="0"/>
              <w:marTop w:val="0"/>
              <w:marBottom w:val="0"/>
              <w:divBdr>
                <w:top w:val="none" w:sz="0" w:space="0" w:color="auto"/>
                <w:left w:val="none" w:sz="0" w:space="0" w:color="auto"/>
                <w:bottom w:val="none" w:sz="0" w:space="0" w:color="auto"/>
                <w:right w:val="none" w:sz="0" w:space="0" w:color="auto"/>
              </w:divBdr>
            </w:div>
            <w:div w:id="1697343647">
              <w:marLeft w:val="0"/>
              <w:marRight w:val="0"/>
              <w:marTop w:val="0"/>
              <w:marBottom w:val="0"/>
              <w:divBdr>
                <w:top w:val="none" w:sz="0" w:space="0" w:color="auto"/>
                <w:left w:val="none" w:sz="0" w:space="0" w:color="auto"/>
                <w:bottom w:val="none" w:sz="0" w:space="0" w:color="auto"/>
                <w:right w:val="none" w:sz="0" w:space="0" w:color="auto"/>
              </w:divBdr>
            </w:div>
            <w:div w:id="1806772630">
              <w:marLeft w:val="0"/>
              <w:marRight w:val="0"/>
              <w:marTop w:val="0"/>
              <w:marBottom w:val="0"/>
              <w:divBdr>
                <w:top w:val="none" w:sz="0" w:space="0" w:color="auto"/>
                <w:left w:val="none" w:sz="0" w:space="0" w:color="auto"/>
                <w:bottom w:val="none" w:sz="0" w:space="0" w:color="auto"/>
                <w:right w:val="none" w:sz="0" w:space="0" w:color="auto"/>
              </w:divBdr>
            </w:div>
            <w:div w:id="1993563485">
              <w:marLeft w:val="0"/>
              <w:marRight w:val="0"/>
              <w:marTop w:val="0"/>
              <w:marBottom w:val="0"/>
              <w:divBdr>
                <w:top w:val="none" w:sz="0" w:space="0" w:color="auto"/>
                <w:left w:val="none" w:sz="0" w:space="0" w:color="auto"/>
                <w:bottom w:val="none" w:sz="0" w:space="0" w:color="auto"/>
                <w:right w:val="none" w:sz="0" w:space="0" w:color="auto"/>
              </w:divBdr>
            </w:div>
            <w:div w:id="2067605929">
              <w:marLeft w:val="0"/>
              <w:marRight w:val="0"/>
              <w:marTop w:val="0"/>
              <w:marBottom w:val="0"/>
              <w:divBdr>
                <w:top w:val="none" w:sz="0" w:space="0" w:color="auto"/>
                <w:left w:val="none" w:sz="0" w:space="0" w:color="auto"/>
                <w:bottom w:val="none" w:sz="0" w:space="0" w:color="auto"/>
                <w:right w:val="none" w:sz="0" w:space="0" w:color="auto"/>
              </w:divBdr>
            </w:div>
          </w:divsChild>
        </w:div>
        <w:div w:id="1482383399">
          <w:marLeft w:val="0"/>
          <w:marRight w:val="0"/>
          <w:marTop w:val="0"/>
          <w:marBottom w:val="0"/>
          <w:divBdr>
            <w:top w:val="none" w:sz="0" w:space="0" w:color="auto"/>
            <w:left w:val="none" w:sz="0" w:space="0" w:color="auto"/>
            <w:bottom w:val="none" w:sz="0" w:space="0" w:color="auto"/>
            <w:right w:val="none" w:sz="0" w:space="0" w:color="auto"/>
          </w:divBdr>
        </w:div>
        <w:div w:id="1489788019">
          <w:marLeft w:val="0"/>
          <w:marRight w:val="0"/>
          <w:marTop w:val="0"/>
          <w:marBottom w:val="0"/>
          <w:divBdr>
            <w:top w:val="none" w:sz="0" w:space="0" w:color="auto"/>
            <w:left w:val="none" w:sz="0" w:space="0" w:color="auto"/>
            <w:bottom w:val="none" w:sz="0" w:space="0" w:color="auto"/>
            <w:right w:val="none" w:sz="0" w:space="0" w:color="auto"/>
          </w:divBdr>
        </w:div>
        <w:div w:id="1497648343">
          <w:marLeft w:val="0"/>
          <w:marRight w:val="0"/>
          <w:marTop w:val="0"/>
          <w:marBottom w:val="0"/>
          <w:divBdr>
            <w:top w:val="none" w:sz="0" w:space="0" w:color="auto"/>
            <w:left w:val="none" w:sz="0" w:space="0" w:color="auto"/>
            <w:bottom w:val="none" w:sz="0" w:space="0" w:color="auto"/>
            <w:right w:val="none" w:sz="0" w:space="0" w:color="auto"/>
          </w:divBdr>
        </w:div>
        <w:div w:id="1498808693">
          <w:marLeft w:val="0"/>
          <w:marRight w:val="0"/>
          <w:marTop w:val="0"/>
          <w:marBottom w:val="0"/>
          <w:divBdr>
            <w:top w:val="none" w:sz="0" w:space="0" w:color="auto"/>
            <w:left w:val="none" w:sz="0" w:space="0" w:color="auto"/>
            <w:bottom w:val="none" w:sz="0" w:space="0" w:color="auto"/>
            <w:right w:val="none" w:sz="0" w:space="0" w:color="auto"/>
          </w:divBdr>
        </w:div>
        <w:div w:id="1513059681">
          <w:marLeft w:val="0"/>
          <w:marRight w:val="0"/>
          <w:marTop w:val="0"/>
          <w:marBottom w:val="0"/>
          <w:divBdr>
            <w:top w:val="none" w:sz="0" w:space="0" w:color="auto"/>
            <w:left w:val="none" w:sz="0" w:space="0" w:color="auto"/>
            <w:bottom w:val="none" w:sz="0" w:space="0" w:color="auto"/>
            <w:right w:val="none" w:sz="0" w:space="0" w:color="auto"/>
          </w:divBdr>
          <w:divsChild>
            <w:div w:id="61101248">
              <w:marLeft w:val="0"/>
              <w:marRight w:val="0"/>
              <w:marTop w:val="0"/>
              <w:marBottom w:val="0"/>
              <w:divBdr>
                <w:top w:val="none" w:sz="0" w:space="0" w:color="auto"/>
                <w:left w:val="none" w:sz="0" w:space="0" w:color="auto"/>
                <w:bottom w:val="none" w:sz="0" w:space="0" w:color="auto"/>
                <w:right w:val="none" w:sz="0" w:space="0" w:color="auto"/>
              </w:divBdr>
            </w:div>
            <w:div w:id="475416776">
              <w:marLeft w:val="0"/>
              <w:marRight w:val="0"/>
              <w:marTop w:val="0"/>
              <w:marBottom w:val="0"/>
              <w:divBdr>
                <w:top w:val="none" w:sz="0" w:space="0" w:color="auto"/>
                <w:left w:val="none" w:sz="0" w:space="0" w:color="auto"/>
                <w:bottom w:val="none" w:sz="0" w:space="0" w:color="auto"/>
                <w:right w:val="none" w:sz="0" w:space="0" w:color="auto"/>
              </w:divBdr>
            </w:div>
            <w:div w:id="1206795615">
              <w:marLeft w:val="0"/>
              <w:marRight w:val="0"/>
              <w:marTop w:val="0"/>
              <w:marBottom w:val="0"/>
              <w:divBdr>
                <w:top w:val="none" w:sz="0" w:space="0" w:color="auto"/>
                <w:left w:val="none" w:sz="0" w:space="0" w:color="auto"/>
                <w:bottom w:val="none" w:sz="0" w:space="0" w:color="auto"/>
                <w:right w:val="none" w:sz="0" w:space="0" w:color="auto"/>
              </w:divBdr>
            </w:div>
            <w:div w:id="1672483915">
              <w:marLeft w:val="0"/>
              <w:marRight w:val="0"/>
              <w:marTop w:val="0"/>
              <w:marBottom w:val="0"/>
              <w:divBdr>
                <w:top w:val="none" w:sz="0" w:space="0" w:color="auto"/>
                <w:left w:val="none" w:sz="0" w:space="0" w:color="auto"/>
                <w:bottom w:val="none" w:sz="0" w:space="0" w:color="auto"/>
                <w:right w:val="none" w:sz="0" w:space="0" w:color="auto"/>
              </w:divBdr>
            </w:div>
            <w:div w:id="1988850283">
              <w:marLeft w:val="0"/>
              <w:marRight w:val="0"/>
              <w:marTop w:val="0"/>
              <w:marBottom w:val="0"/>
              <w:divBdr>
                <w:top w:val="none" w:sz="0" w:space="0" w:color="auto"/>
                <w:left w:val="none" w:sz="0" w:space="0" w:color="auto"/>
                <w:bottom w:val="none" w:sz="0" w:space="0" w:color="auto"/>
                <w:right w:val="none" w:sz="0" w:space="0" w:color="auto"/>
              </w:divBdr>
            </w:div>
          </w:divsChild>
        </w:div>
        <w:div w:id="1535576309">
          <w:marLeft w:val="0"/>
          <w:marRight w:val="0"/>
          <w:marTop w:val="0"/>
          <w:marBottom w:val="0"/>
          <w:divBdr>
            <w:top w:val="none" w:sz="0" w:space="0" w:color="auto"/>
            <w:left w:val="none" w:sz="0" w:space="0" w:color="auto"/>
            <w:bottom w:val="none" w:sz="0" w:space="0" w:color="auto"/>
            <w:right w:val="none" w:sz="0" w:space="0" w:color="auto"/>
          </w:divBdr>
        </w:div>
        <w:div w:id="1536582457">
          <w:marLeft w:val="0"/>
          <w:marRight w:val="0"/>
          <w:marTop w:val="0"/>
          <w:marBottom w:val="0"/>
          <w:divBdr>
            <w:top w:val="none" w:sz="0" w:space="0" w:color="auto"/>
            <w:left w:val="none" w:sz="0" w:space="0" w:color="auto"/>
            <w:bottom w:val="none" w:sz="0" w:space="0" w:color="auto"/>
            <w:right w:val="none" w:sz="0" w:space="0" w:color="auto"/>
          </w:divBdr>
        </w:div>
        <w:div w:id="1548567711">
          <w:marLeft w:val="0"/>
          <w:marRight w:val="0"/>
          <w:marTop w:val="0"/>
          <w:marBottom w:val="0"/>
          <w:divBdr>
            <w:top w:val="none" w:sz="0" w:space="0" w:color="auto"/>
            <w:left w:val="none" w:sz="0" w:space="0" w:color="auto"/>
            <w:bottom w:val="none" w:sz="0" w:space="0" w:color="auto"/>
            <w:right w:val="none" w:sz="0" w:space="0" w:color="auto"/>
          </w:divBdr>
          <w:divsChild>
            <w:div w:id="144863917">
              <w:marLeft w:val="0"/>
              <w:marRight w:val="0"/>
              <w:marTop w:val="0"/>
              <w:marBottom w:val="0"/>
              <w:divBdr>
                <w:top w:val="none" w:sz="0" w:space="0" w:color="auto"/>
                <w:left w:val="none" w:sz="0" w:space="0" w:color="auto"/>
                <w:bottom w:val="none" w:sz="0" w:space="0" w:color="auto"/>
                <w:right w:val="none" w:sz="0" w:space="0" w:color="auto"/>
              </w:divBdr>
            </w:div>
            <w:div w:id="148328037">
              <w:marLeft w:val="0"/>
              <w:marRight w:val="0"/>
              <w:marTop w:val="0"/>
              <w:marBottom w:val="0"/>
              <w:divBdr>
                <w:top w:val="none" w:sz="0" w:space="0" w:color="auto"/>
                <w:left w:val="none" w:sz="0" w:space="0" w:color="auto"/>
                <w:bottom w:val="none" w:sz="0" w:space="0" w:color="auto"/>
                <w:right w:val="none" w:sz="0" w:space="0" w:color="auto"/>
              </w:divBdr>
            </w:div>
            <w:div w:id="215749349">
              <w:marLeft w:val="0"/>
              <w:marRight w:val="0"/>
              <w:marTop w:val="0"/>
              <w:marBottom w:val="0"/>
              <w:divBdr>
                <w:top w:val="none" w:sz="0" w:space="0" w:color="auto"/>
                <w:left w:val="none" w:sz="0" w:space="0" w:color="auto"/>
                <w:bottom w:val="none" w:sz="0" w:space="0" w:color="auto"/>
                <w:right w:val="none" w:sz="0" w:space="0" w:color="auto"/>
              </w:divBdr>
            </w:div>
            <w:div w:id="229510476">
              <w:marLeft w:val="0"/>
              <w:marRight w:val="0"/>
              <w:marTop w:val="0"/>
              <w:marBottom w:val="0"/>
              <w:divBdr>
                <w:top w:val="none" w:sz="0" w:space="0" w:color="auto"/>
                <w:left w:val="none" w:sz="0" w:space="0" w:color="auto"/>
                <w:bottom w:val="none" w:sz="0" w:space="0" w:color="auto"/>
                <w:right w:val="none" w:sz="0" w:space="0" w:color="auto"/>
              </w:divBdr>
            </w:div>
            <w:div w:id="322204064">
              <w:marLeft w:val="0"/>
              <w:marRight w:val="0"/>
              <w:marTop w:val="0"/>
              <w:marBottom w:val="0"/>
              <w:divBdr>
                <w:top w:val="none" w:sz="0" w:space="0" w:color="auto"/>
                <w:left w:val="none" w:sz="0" w:space="0" w:color="auto"/>
                <w:bottom w:val="none" w:sz="0" w:space="0" w:color="auto"/>
                <w:right w:val="none" w:sz="0" w:space="0" w:color="auto"/>
              </w:divBdr>
            </w:div>
            <w:div w:id="428238393">
              <w:marLeft w:val="0"/>
              <w:marRight w:val="0"/>
              <w:marTop w:val="0"/>
              <w:marBottom w:val="0"/>
              <w:divBdr>
                <w:top w:val="none" w:sz="0" w:space="0" w:color="auto"/>
                <w:left w:val="none" w:sz="0" w:space="0" w:color="auto"/>
                <w:bottom w:val="none" w:sz="0" w:space="0" w:color="auto"/>
                <w:right w:val="none" w:sz="0" w:space="0" w:color="auto"/>
              </w:divBdr>
            </w:div>
            <w:div w:id="475682051">
              <w:marLeft w:val="0"/>
              <w:marRight w:val="0"/>
              <w:marTop w:val="0"/>
              <w:marBottom w:val="0"/>
              <w:divBdr>
                <w:top w:val="none" w:sz="0" w:space="0" w:color="auto"/>
                <w:left w:val="none" w:sz="0" w:space="0" w:color="auto"/>
                <w:bottom w:val="none" w:sz="0" w:space="0" w:color="auto"/>
                <w:right w:val="none" w:sz="0" w:space="0" w:color="auto"/>
              </w:divBdr>
            </w:div>
            <w:div w:id="621620037">
              <w:marLeft w:val="0"/>
              <w:marRight w:val="0"/>
              <w:marTop w:val="0"/>
              <w:marBottom w:val="0"/>
              <w:divBdr>
                <w:top w:val="none" w:sz="0" w:space="0" w:color="auto"/>
                <w:left w:val="none" w:sz="0" w:space="0" w:color="auto"/>
                <w:bottom w:val="none" w:sz="0" w:space="0" w:color="auto"/>
                <w:right w:val="none" w:sz="0" w:space="0" w:color="auto"/>
              </w:divBdr>
            </w:div>
            <w:div w:id="643312437">
              <w:marLeft w:val="0"/>
              <w:marRight w:val="0"/>
              <w:marTop w:val="0"/>
              <w:marBottom w:val="0"/>
              <w:divBdr>
                <w:top w:val="none" w:sz="0" w:space="0" w:color="auto"/>
                <w:left w:val="none" w:sz="0" w:space="0" w:color="auto"/>
                <w:bottom w:val="none" w:sz="0" w:space="0" w:color="auto"/>
                <w:right w:val="none" w:sz="0" w:space="0" w:color="auto"/>
              </w:divBdr>
            </w:div>
            <w:div w:id="673723801">
              <w:marLeft w:val="0"/>
              <w:marRight w:val="0"/>
              <w:marTop w:val="0"/>
              <w:marBottom w:val="0"/>
              <w:divBdr>
                <w:top w:val="none" w:sz="0" w:space="0" w:color="auto"/>
                <w:left w:val="none" w:sz="0" w:space="0" w:color="auto"/>
                <w:bottom w:val="none" w:sz="0" w:space="0" w:color="auto"/>
                <w:right w:val="none" w:sz="0" w:space="0" w:color="auto"/>
              </w:divBdr>
            </w:div>
            <w:div w:id="718743003">
              <w:marLeft w:val="0"/>
              <w:marRight w:val="0"/>
              <w:marTop w:val="0"/>
              <w:marBottom w:val="0"/>
              <w:divBdr>
                <w:top w:val="none" w:sz="0" w:space="0" w:color="auto"/>
                <w:left w:val="none" w:sz="0" w:space="0" w:color="auto"/>
                <w:bottom w:val="none" w:sz="0" w:space="0" w:color="auto"/>
                <w:right w:val="none" w:sz="0" w:space="0" w:color="auto"/>
              </w:divBdr>
            </w:div>
            <w:div w:id="856699430">
              <w:marLeft w:val="0"/>
              <w:marRight w:val="0"/>
              <w:marTop w:val="0"/>
              <w:marBottom w:val="0"/>
              <w:divBdr>
                <w:top w:val="none" w:sz="0" w:space="0" w:color="auto"/>
                <w:left w:val="none" w:sz="0" w:space="0" w:color="auto"/>
                <w:bottom w:val="none" w:sz="0" w:space="0" w:color="auto"/>
                <w:right w:val="none" w:sz="0" w:space="0" w:color="auto"/>
              </w:divBdr>
            </w:div>
            <w:div w:id="878709908">
              <w:marLeft w:val="0"/>
              <w:marRight w:val="0"/>
              <w:marTop w:val="0"/>
              <w:marBottom w:val="0"/>
              <w:divBdr>
                <w:top w:val="none" w:sz="0" w:space="0" w:color="auto"/>
                <w:left w:val="none" w:sz="0" w:space="0" w:color="auto"/>
                <w:bottom w:val="none" w:sz="0" w:space="0" w:color="auto"/>
                <w:right w:val="none" w:sz="0" w:space="0" w:color="auto"/>
              </w:divBdr>
            </w:div>
            <w:div w:id="1131753446">
              <w:marLeft w:val="0"/>
              <w:marRight w:val="0"/>
              <w:marTop w:val="0"/>
              <w:marBottom w:val="0"/>
              <w:divBdr>
                <w:top w:val="none" w:sz="0" w:space="0" w:color="auto"/>
                <w:left w:val="none" w:sz="0" w:space="0" w:color="auto"/>
                <w:bottom w:val="none" w:sz="0" w:space="0" w:color="auto"/>
                <w:right w:val="none" w:sz="0" w:space="0" w:color="auto"/>
              </w:divBdr>
            </w:div>
            <w:div w:id="1367177231">
              <w:marLeft w:val="0"/>
              <w:marRight w:val="0"/>
              <w:marTop w:val="0"/>
              <w:marBottom w:val="0"/>
              <w:divBdr>
                <w:top w:val="none" w:sz="0" w:space="0" w:color="auto"/>
                <w:left w:val="none" w:sz="0" w:space="0" w:color="auto"/>
                <w:bottom w:val="none" w:sz="0" w:space="0" w:color="auto"/>
                <w:right w:val="none" w:sz="0" w:space="0" w:color="auto"/>
              </w:divBdr>
            </w:div>
            <w:div w:id="1507939309">
              <w:marLeft w:val="0"/>
              <w:marRight w:val="0"/>
              <w:marTop w:val="0"/>
              <w:marBottom w:val="0"/>
              <w:divBdr>
                <w:top w:val="none" w:sz="0" w:space="0" w:color="auto"/>
                <w:left w:val="none" w:sz="0" w:space="0" w:color="auto"/>
                <w:bottom w:val="none" w:sz="0" w:space="0" w:color="auto"/>
                <w:right w:val="none" w:sz="0" w:space="0" w:color="auto"/>
              </w:divBdr>
            </w:div>
            <w:div w:id="1567912282">
              <w:marLeft w:val="0"/>
              <w:marRight w:val="0"/>
              <w:marTop w:val="0"/>
              <w:marBottom w:val="0"/>
              <w:divBdr>
                <w:top w:val="none" w:sz="0" w:space="0" w:color="auto"/>
                <w:left w:val="none" w:sz="0" w:space="0" w:color="auto"/>
                <w:bottom w:val="none" w:sz="0" w:space="0" w:color="auto"/>
                <w:right w:val="none" w:sz="0" w:space="0" w:color="auto"/>
              </w:divBdr>
            </w:div>
            <w:div w:id="1877036613">
              <w:marLeft w:val="0"/>
              <w:marRight w:val="0"/>
              <w:marTop w:val="0"/>
              <w:marBottom w:val="0"/>
              <w:divBdr>
                <w:top w:val="none" w:sz="0" w:space="0" w:color="auto"/>
                <w:left w:val="none" w:sz="0" w:space="0" w:color="auto"/>
                <w:bottom w:val="none" w:sz="0" w:space="0" w:color="auto"/>
                <w:right w:val="none" w:sz="0" w:space="0" w:color="auto"/>
              </w:divBdr>
            </w:div>
            <w:div w:id="2119252222">
              <w:marLeft w:val="0"/>
              <w:marRight w:val="0"/>
              <w:marTop w:val="0"/>
              <w:marBottom w:val="0"/>
              <w:divBdr>
                <w:top w:val="none" w:sz="0" w:space="0" w:color="auto"/>
                <w:left w:val="none" w:sz="0" w:space="0" w:color="auto"/>
                <w:bottom w:val="none" w:sz="0" w:space="0" w:color="auto"/>
                <w:right w:val="none" w:sz="0" w:space="0" w:color="auto"/>
              </w:divBdr>
            </w:div>
            <w:div w:id="2141879379">
              <w:marLeft w:val="0"/>
              <w:marRight w:val="0"/>
              <w:marTop w:val="0"/>
              <w:marBottom w:val="0"/>
              <w:divBdr>
                <w:top w:val="none" w:sz="0" w:space="0" w:color="auto"/>
                <w:left w:val="none" w:sz="0" w:space="0" w:color="auto"/>
                <w:bottom w:val="none" w:sz="0" w:space="0" w:color="auto"/>
                <w:right w:val="none" w:sz="0" w:space="0" w:color="auto"/>
              </w:divBdr>
            </w:div>
          </w:divsChild>
        </w:div>
        <w:div w:id="1550072352">
          <w:marLeft w:val="0"/>
          <w:marRight w:val="0"/>
          <w:marTop w:val="0"/>
          <w:marBottom w:val="0"/>
          <w:divBdr>
            <w:top w:val="none" w:sz="0" w:space="0" w:color="auto"/>
            <w:left w:val="none" w:sz="0" w:space="0" w:color="auto"/>
            <w:bottom w:val="none" w:sz="0" w:space="0" w:color="auto"/>
            <w:right w:val="none" w:sz="0" w:space="0" w:color="auto"/>
          </w:divBdr>
        </w:div>
        <w:div w:id="1579628188">
          <w:marLeft w:val="0"/>
          <w:marRight w:val="0"/>
          <w:marTop w:val="0"/>
          <w:marBottom w:val="0"/>
          <w:divBdr>
            <w:top w:val="none" w:sz="0" w:space="0" w:color="auto"/>
            <w:left w:val="none" w:sz="0" w:space="0" w:color="auto"/>
            <w:bottom w:val="none" w:sz="0" w:space="0" w:color="auto"/>
            <w:right w:val="none" w:sz="0" w:space="0" w:color="auto"/>
          </w:divBdr>
        </w:div>
        <w:div w:id="1616130768">
          <w:marLeft w:val="0"/>
          <w:marRight w:val="0"/>
          <w:marTop w:val="0"/>
          <w:marBottom w:val="0"/>
          <w:divBdr>
            <w:top w:val="none" w:sz="0" w:space="0" w:color="auto"/>
            <w:left w:val="none" w:sz="0" w:space="0" w:color="auto"/>
            <w:bottom w:val="none" w:sz="0" w:space="0" w:color="auto"/>
            <w:right w:val="none" w:sz="0" w:space="0" w:color="auto"/>
          </w:divBdr>
        </w:div>
        <w:div w:id="1630166988">
          <w:marLeft w:val="0"/>
          <w:marRight w:val="0"/>
          <w:marTop w:val="0"/>
          <w:marBottom w:val="0"/>
          <w:divBdr>
            <w:top w:val="none" w:sz="0" w:space="0" w:color="auto"/>
            <w:left w:val="none" w:sz="0" w:space="0" w:color="auto"/>
            <w:bottom w:val="none" w:sz="0" w:space="0" w:color="auto"/>
            <w:right w:val="none" w:sz="0" w:space="0" w:color="auto"/>
          </w:divBdr>
        </w:div>
        <w:div w:id="1649358291">
          <w:marLeft w:val="0"/>
          <w:marRight w:val="0"/>
          <w:marTop w:val="0"/>
          <w:marBottom w:val="0"/>
          <w:divBdr>
            <w:top w:val="none" w:sz="0" w:space="0" w:color="auto"/>
            <w:left w:val="none" w:sz="0" w:space="0" w:color="auto"/>
            <w:bottom w:val="none" w:sz="0" w:space="0" w:color="auto"/>
            <w:right w:val="none" w:sz="0" w:space="0" w:color="auto"/>
          </w:divBdr>
        </w:div>
        <w:div w:id="1649434086">
          <w:marLeft w:val="0"/>
          <w:marRight w:val="0"/>
          <w:marTop w:val="0"/>
          <w:marBottom w:val="0"/>
          <w:divBdr>
            <w:top w:val="none" w:sz="0" w:space="0" w:color="auto"/>
            <w:left w:val="none" w:sz="0" w:space="0" w:color="auto"/>
            <w:bottom w:val="none" w:sz="0" w:space="0" w:color="auto"/>
            <w:right w:val="none" w:sz="0" w:space="0" w:color="auto"/>
          </w:divBdr>
        </w:div>
        <w:div w:id="1662732026">
          <w:marLeft w:val="0"/>
          <w:marRight w:val="0"/>
          <w:marTop w:val="0"/>
          <w:marBottom w:val="0"/>
          <w:divBdr>
            <w:top w:val="none" w:sz="0" w:space="0" w:color="auto"/>
            <w:left w:val="none" w:sz="0" w:space="0" w:color="auto"/>
            <w:bottom w:val="none" w:sz="0" w:space="0" w:color="auto"/>
            <w:right w:val="none" w:sz="0" w:space="0" w:color="auto"/>
          </w:divBdr>
        </w:div>
        <w:div w:id="1663195804">
          <w:marLeft w:val="0"/>
          <w:marRight w:val="0"/>
          <w:marTop w:val="0"/>
          <w:marBottom w:val="0"/>
          <w:divBdr>
            <w:top w:val="none" w:sz="0" w:space="0" w:color="auto"/>
            <w:left w:val="none" w:sz="0" w:space="0" w:color="auto"/>
            <w:bottom w:val="none" w:sz="0" w:space="0" w:color="auto"/>
            <w:right w:val="none" w:sz="0" w:space="0" w:color="auto"/>
          </w:divBdr>
        </w:div>
        <w:div w:id="1671788900">
          <w:marLeft w:val="0"/>
          <w:marRight w:val="0"/>
          <w:marTop w:val="0"/>
          <w:marBottom w:val="0"/>
          <w:divBdr>
            <w:top w:val="none" w:sz="0" w:space="0" w:color="auto"/>
            <w:left w:val="none" w:sz="0" w:space="0" w:color="auto"/>
            <w:bottom w:val="none" w:sz="0" w:space="0" w:color="auto"/>
            <w:right w:val="none" w:sz="0" w:space="0" w:color="auto"/>
          </w:divBdr>
        </w:div>
        <w:div w:id="1699742014">
          <w:marLeft w:val="0"/>
          <w:marRight w:val="0"/>
          <w:marTop w:val="0"/>
          <w:marBottom w:val="0"/>
          <w:divBdr>
            <w:top w:val="none" w:sz="0" w:space="0" w:color="auto"/>
            <w:left w:val="none" w:sz="0" w:space="0" w:color="auto"/>
            <w:bottom w:val="none" w:sz="0" w:space="0" w:color="auto"/>
            <w:right w:val="none" w:sz="0" w:space="0" w:color="auto"/>
          </w:divBdr>
          <w:divsChild>
            <w:div w:id="74471967">
              <w:marLeft w:val="0"/>
              <w:marRight w:val="0"/>
              <w:marTop w:val="0"/>
              <w:marBottom w:val="0"/>
              <w:divBdr>
                <w:top w:val="none" w:sz="0" w:space="0" w:color="auto"/>
                <w:left w:val="none" w:sz="0" w:space="0" w:color="auto"/>
                <w:bottom w:val="none" w:sz="0" w:space="0" w:color="auto"/>
                <w:right w:val="none" w:sz="0" w:space="0" w:color="auto"/>
              </w:divBdr>
            </w:div>
            <w:div w:id="154615228">
              <w:marLeft w:val="0"/>
              <w:marRight w:val="0"/>
              <w:marTop w:val="0"/>
              <w:marBottom w:val="0"/>
              <w:divBdr>
                <w:top w:val="none" w:sz="0" w:space="0" w:color="auto"/>
                <w:left w:val="none" w:sz="0" w:space="0" w:color="auto"/>
                <w:bottom w:val="none" w:sz="0" w:space="0" w:color="auto"/>
                <w:right w:val="none" w:sz="0" w:space="0" w:color="auto"/>
              </w:divBdr>
            </w:div>
            <w:div w:id="212696777">
              <w:marLeft w:val="0"/>
              <w:marRight w:val="0"/>
              <w:marTop w:val="0"/>
              <w:marBottom w:val="0"/>
              <w:divBdr>
                <w:top w:val="none" w:sz="0" w:space="0" w:color="auto"/>
                <w:left w:val="none" w:sz="0" w:space="0" w:color="auto"/>
                <w:bottom w:val="none" w:sz="0" w:space="0" w:color="auto"/>
                <w:right w:val="none" w:sz="0" w:space="0" w:color="auto"/>
              </w:divBdr>
            </w:div>
            <w:div w:id="263078708">
              <w:marLeft w:val="0"/>
              <w:marRight w:val="0"/>
              <w:marTop w:val="0"/>
              <w:marBottom w:val="0"/>
              <w:divBdr>
                <w:top w:val="none" w:sz="0" w:space="0" w:color="auto"/>
                <w:left w:val="none" w:sz="0" w:space="0" w:color="auto"/>
                <w:bottom w:val="none" w:sz="0" w:space="0" w:color="auto"/>
                <w:right w:val="none" w:sz="0" w:space="0" w:color="auto"/>
              </w:divBdr>
            </w:div>
            <w:div w:id="670836545">
              <w:marLeft w:val="0"/>
              <w:marRight w:val="0"/>
              <w:marTop w:val="0"/>
              <w:marBottom w:val="0"/>
              <w:divBdr>
                <w:top w:val="none" w:sz="0" w:space="0" w:color="auto"/>
                <w:left w:val="none" w:sz="0" w:space="0" w:color="auto"/>
                <w:bottom w:val="none" w:sz="0" w:space="0" w:color="auto"/>
                <w:right w:val="none" w:sz="0" w:space="0" w:color="auto"/>
              </w:divBdr>
            </w:div>
            <w:div w:id="735514345">
              <w:marLeft w:val="0"/>
              <w:marRight w:val="0"/>
              <w:marTop w:val="0"/>
              <w:marBottom w:val="0"/>
              <w:divBdr>
                <w:top w:val="none" w:sz="0" w:space="0" w:color="auto"/>
                <w:left w:val="none" w:sz="0" w:space="0" w:color="auto"/>
                <w:bottom w:val="none" w:sz="0" w:space="0" w:color="auto"/>
                <w:right w:val="none" w:sz="0" w:space="0" w:color="auto"/>
              </w:divBdr>
            </w:div>
            <w:div w:id="786967356">
              <w:marLeft w:val="0"/>
              <w:marRight w:val="0"/>
              <w:marTop w:val="0"/>
              <w:marBottom w:val="0"/>
              <w:divBdr>
                <w:top w:val="none" w:sz="0" w:space="0" w:color="auto"/>
                <w:left w:val="none" w:sz="0" w:space="0" w:color="auto"/>
                <w:bottom w:val="none" w:sz="0" w:space="0" w:color="auto"/>
                <w:right w:val="none" w:sz="0" w:space="0" w:color="auto"/>
              </w:divBdr>
            </w:div>
            <w:div w:id="867451708">
              <w:marLeft w:val="0"/>
              <w:marRight w:val="0"/>
              <w:marTop w:val="0"/>
              <w:marBottom w:val="0"/>
              <w:divBdr>
                <w:top w:val="none" w:sz="0" w:space="0" w:color="auto"/>
                <w:left w:val="none" w:sz="0" w:space="0" w:color="auto"/>
                <w:bottom w:val="none" w:sz="0" w:space="0" w:color="auto"/>
                <w:right w:val="none" w:sz="0" w:space="0" w:color="auto"/>
              </w:divBdr>
            </w:div>
            <w:div w:id="1084109477">
              <w:marLeft w:val="0"/>
              <w:marRight w:val="0"/>
              <w:marTop w:val="0"/>
              <w:marBottom w:val="0"/>
              <w:divBdr>
                <w:top w:val="none" w:sz="0" w:space="0" w:color="auto"/>
                <w:left w:val="none" w:sz="0" w:space="0" w:color="auto"/>
                <w:bottom w:val="none" w:sz="0" w:space="0" w:color="auto"/>
                <w:right w:val="none" w:sz="0" w:space="0" w:color="auto"/>
              </w:divBdr>
            </w:div>
            <w:div w:id="1100176632">
              <w:marLeft w:val="0"/>
              <w:marRight w:val="0"/>
              <w:marTop w:val="0"/>
              <w:marBottom w:val="0"/>
              <w:divBdr>
                <w:top w:val="none" w:sz="0" w:space="0" w:color="auto"/>
                <w:left w:val="none" w:sz="0" w:space="0" w:color="auto"/>
                <w:bottom w:val="none" w:sz="0" w:space="0" w:color="auto"/>
                <w:right w:val="none" w:sz="0" w:space="0" w:color="auto"/>
              </w:divBdr>
            </w:div>
            <w:div w:id="1100487291">
              <w:marLeft w:val="0"/>
              <w:marRight w:val="0"/>
              <w:marTop w:val="0"/>
              <w:marBottom w:val="0"/>
              <w:divBdr>
                <w:top w:val="none" w:sz="0" w:space="0" w:color="auto"/>
                <w:left w:val="none" w:sz="0" w:space="0" w:color="auto"/>
                <w:bottom w:val="none" w:sz="0" w:space="0" w:color="auto"/>
                <w:right w:val="none" w:sz="0" w:space="0" w:color="auto"/>
              </w:divBdr>
            </w:div>
            <w:div w:id="1102189714">
              <w:marLeft w:val="0"/>
              <w:marRight w:val="0"/>
              <w:marTop w:val="0"/>
              <w:marBottom w:val="0"/>
              <w:divBdr>
                <w:top w:val="none" w:sz="0" w:space="0" w:color="auto"/>
                <w:left w:val="none" w:sz="0" w:space="0" w:color="auto"/>
                <w:bottom w:val="none" w:sz="0" w:space="0" w:color="auto"/>
                <w:right w:val="none" w:sz="0" w:space="0" w:color="auto"/>
              </w:divBdr>
            </w:div>
            <w:div w:id="1107891654">
              <w:marLeft w:val="0"/>
              <w:marRight w:val="0"/>
              <w:marTop w:val="0"/>
              <w:marBottom w:val="0"/>
              <w:divBdr>
                <w:top w:val="none" w:sz="0" w:space="0" w:color="auto"/>
                <w:left w:val="none" w:sz="0" w:space="0" w:color="auto"/>
                <w:bottom w:val="none" w:sz="0" w:space="0" w:color="auto"/>
                <w:right w:val="none" w:sz="0" w:space="0" w:color="auto"/>
              </w:divBdr>
            </w:div>
            <w:div w:id="1130517903">
              <w:marLeft w:val="0"/>
              <w:marRight w:val="0"/>
              <w:marTop w:val="0"/>
              <w:marBottom w:val="0"/>
              <w:divBdr>
                <w:top w:val="none" w:sz="0" w:space="0" w:color="auto"/>
                <w:left w:val="none" w:sz="0" w:space="0" w:color="auto"/>
                <w:bottom w:val="none" w:sz="0" w:space="0" w:color="auto"/>
                <w:right w:val="none" w:sz="0" w:space="0" w:color="auto"/>
              </w:divBdr>
            </w:div>
            <w:div w:id="1350835751">
              <w:marLeft w:val="0"/>
              <w:marRight w:val="0"/>
              <w:marTop w:val="0"/>
              <w:marBottom w:val="0"/>
              <w:divBdr>
                <w:top w:val="none" w:sz="0" w:space="0" w:color="auto"/>
                <w:left w:val="none" w:sz="0" w:space="0" w:color="auto"/>
                <w:bottom w:val="none" w:sz="0" w:space="0" w:color="auto"/>
                <w:right w:val="none" w:sz="0" w:space="0" w:color="auto"/>
              </w:divBdr>
            </w:div>
            <w:div w:id="1608926509">
              <w:marLeft w:val="0"/>
              <w:marRight w:val="0"/>
              <w:marTop w:val="0"/>
              <w:marBottom w:val="0"/>
              <w:divBdr>
                <w:top w:val="none" w:sz="0" w:space="0" w:color="auto"/>
                <w:left w:val="none" w:sz="0" w:space="0" w:color="auto"/>
                <w:bottom w:val="none" w:sz="0" w:space="0" w:color="auto"/>
                <w:right w:val="none" w:sz="0" w:space="0" w:color="auto"/>
              </w:divBdr>
            </w:div>
            <w:div w:id="1888298145">
              <w:marLeft w:val="0"/>
              <w:marRight w:val="0"/>
              <w:marTop w:val="0"/>
              <w:marBottom w:val="0"/>
              <w:divBdr>
                <w:top w:val="none" w:sz="0" w:space="0" w:color="auto"/>
                <w:left w:val="none" w:sz="0" w:space="0" w:color="auto"/>
                <w:bottom w:val="none" w:sz="0" w:space="0" w:color="auto"/>
                <w:right w:val="none" w:sz="0" w:space="0" w:color="auto"/>
              </w:divBdr>
            </w:div>
            <w:div w:id="1960452904">
              <w:marLeft w:val="0"/>
              <w:marRight w:val="0"/>
              <w:marTop w:val="0"/>
              <w:marBottom w:val="0"/>
              <w:divBdr>
                <w:top w:val="none" w:sz="0" w:space="0" w:color="auto"/>
                <w:left w:val="none" w:sz="0" w:space="0" w:color="auto"/>
                <w:bottom w:val="none" w:sz="0" w:space="0" w:color="auto"/>
                <w:right w:val="none" w:sz="0" w:space="0" w:color="auto"/>
              </w:divBdr>
            </w:div>
            <w:div w:id="2067995435">
              <w:marLeft w:val="0"/>
              <w:marRight w:val="0"/>
              <w:marTop w:val="0"/>
              <w:marBottom w:val="0"/>
              <w:divBdr>
                <w:top w:val="none" w:sz="0" w:space="0" w:color="auto"/>
                <w:left w:val="none" w:sz="0" w:space="0" w:color="auto"/>
                <w:bottom w:val="none" w:sz="0" w:space="0" w:color="auto"/>
                <w:right w:val="none" w:sz="0" w:space="0" w:color="auto"/>
              </w:divBdr>
            </w:div>
            <w:div w:id="2132354167">
              <w:marLeft w:val="0"/>
              <w:marRight w:val="0"/>
              <w:marTop w:val="0"/>
              <w:marBottom w:val="0"/>
              <w:divBdr>
                <w:top w:val="none" w:sz="0" w:space="0" w:color="auto"/>
                <w:left w:val="none" w:sz="0" w:space="0" w:color="auto"/>
                <w:bottom w:val="none" w:sz="0" w:space="0" w:color="auto"/>
                <w:right w:val="none" w:sz="0" w:space="0" w:color="auto"/>
              </w:divBdr>
            </w:div>
          </w:divsChild>
        </w:div>
        <w:div w:id="1705013249">
          <w:marLeft w:val="0"/>
          <w:marRight w:val="0"/>
          <w:marTop w:val="0"/>
          <w:marBottom w:val="0"/>
          <w:divBdr>
            <w:top w:val="none" w:sz="0" w:space="0" w:color="auto"/>
            <w:left w:val="none" w:sz="0" w:space="0" w:color="auto"/>
            <w:bottom w:val="none" w:sz="0" w:space="0" w:color="auto"/>
            <w:right w:val="none" w:sz="0" w:space="0" w:color="auto"/>
          </w:divBdr>
        </w:div>
        <w:div w:id="1724057048">
          <w:marLeft w:val="0"/>
          <w:marRight w:val="0"/>
          <w:marTop w:val="0"/>
          <w:marBottom w:val="0"/>
          <w:divBdr>
            <w:top w:val="none" w:sz="0" w:space="0" w:color="auto"/>
            <w:left w:val="none" w:sz="0" w:space="0" w:color="auto"/>
            <w:bottom w:val="none" w:sz="0" w:space="0" w:color="auto"/>
            <w:right w:val="none" w:sz="0" w:space="0" w:color="auto"/>
          </w:divBdr>
        </w:div>
        <w:div w:id="1732731140">
          <w:marLeft w:val="0"/>
          <w:marRight w:val="0"/>
          <w:marTop w:val="0"/>
          <w:marBottom w:val="0"/>
          <w:divBdr>
            <w:top w:val="none" w:sz="0" w:space="0" w:color="auto"/>
            <w:left w:val="none" w:sz="0" w:space="0" w:color="auto"/>
            <w:bottom w:val="none" w:sz="0" w:space="0" w:color="auto"/>
            <w:right w:val="none" w:sz="0" w:space="0" w:color="auto"/>
          </w:divBdr>
        </w:div>
        <w:div w:id="1748918377">
          <w:marLeft w:val="0"/>
          <w:marRight w:val="0"/>
          <w:marTop w:val="0"/>
          <w:marBottom w:val="0"/>
          <w:divBdr>
            <w:top w:val="none" w:sz="0" w:space="0" w:color="auto"/>
            <w:left w:val="none" w:sz="0" w:space="0" w:color="auto"/>
            <w:bottom w:val="none" w:sz="0" w:space="0" w:color="auto"/>
            <w:right w:val="none" w:sz="0" w:space="0" w:color="auto"/>
          </w:divBdr>
        </w:div>
        <w:div w:id="1755198683">
          <w:marLeft w:val="0"/>
          <w:marRight w:val="0"/>
          <w:marTop w:val="0"/>
          <w:marBottom w:val="0"/>
          <w:divBdr>
            <w:top w:val="none" w:sz="0" w:space="0" w:color="auto"/>
            <w:left w:val="none" w:sz="0" w:space="0" w:color="auto"/>
            <w:bottom w:val="none" w:sz="0" w:space="0" w:color="auto"/>
            <w:right w:val="none" w:sz="0" w:space="0" w:color="auto"/>
          </w:divBdr>
          <w:divsChild>
            <w:div w:id="19013886">
              <w:marLeft w:val="0"/>
              <w:marRight w:val="0"/>
              <w:marTop w:val="0"/>
              <w:marBottom w:val="0"/>
              <w:divBdr>
                <w:top w:val="none" w:sz="0" w:space="0" w:color="auto"/>
                <w:left w:val="none" w:sz="0" w:space="0" w:color="auto"/>
                <w:bottom w:val="none" w:sz="0" w:space="0" w:color="auto"/>
                <w:right w:val="none" w:sz="0" w:space="0" w:color="auto"/>
              </w:divBdr>
            </w:div>
            <w:div w:id="307980390">
              <w:marLeft w:val="0"/>
              <w:marRight w:val="0"/>
              <w:marTop w:val="0"/>
              <w:marBottom w:val="0"/>
              <w:divBdr>
                <w:top w:val="none" w:sz="0" w:space="0" w:color="auto"/>
                <w:left w:val="none" w:sz="0" w:space="0" w:color="auto"/>
                <w:bottom w:val="none" w:sz="0" w:space="0" w:color="auto"/>
                <w:right w:val="none" w:sz="0" w:space="0" w:color="auto"/>
              </w:divBdr>
            </w:div>
            <w:div w:id="761528348">
              <w:marLeft w:val="0"/>
              <w:marRight w:val="0"/>
              <w:marTop w:val="0"/>
              <w:marBottom w:val="0"/>
              <w:divBdr>
                <w:top w:val="none" w:sz="0" w:space="0" w:color="auto"/>
                <w:left w:val="none" w:sz="0" w:space="0" w:color="auto"/>
                <w:bottom w:val="none" w:sz="0" w:space="0" w:color="auto"/>
                <w:right w:val="none" w:sz="0" w:space="0" w:color="auto"/>
              </w:divBdr>
            </w:div>
            <w:div w:id="764613380">
              <w:marLeft w:val="0"/>
              <w:marRight w:val="0"/>
              <w:marTop w:val="0"/>
              <w:marBottom w:val="0"/>
              <w:divBdr>
                <w:top w:val="none" w:sz="0" w:space="0" w:color="auto"/>
                <w:left w:val="none" w:sz="0" w:space="0" w:color="auto"/>
                <w:bottom w:val="none" w:sz="0" w:space="0" w:color="auto"/>
                <w:right w:val="none" w:sz="0" w:space="0" w:color="auto"/>
              </w:divBdr>
            </w:div>
            <w:div w:id="785928989">
              <w:marLeft w:val="0"/>
              <w:marRight w:val="0"/>
              <w:marTop w:val="0"/>
              <w:marBottom w:val="0"/>
              <w:divBdr>
                <w:top w:val="none" w:sz="0" w:space="0" w:color="auto"/>
                <w:left w:val="none" w:sz="0" w:space="0" w:color="auto"/>
                <w:bottom w:val="none" w:sz="0" w:space="0" w:color="auto"/>
                <w:right w:val="none" w:sz="0" w:space="0" w:color="auto"/>
              </w:divBdr>
            </w:div>
            <w:div w:id="876545234">
              <w:marLeft w:val="0"/>
              <w:marRight w:val="0"/>
              <w:marTop w:val="0"/>
              <w:marBottom w:val="0"/>
              <w:divBdr>
                <w:top w:val="none" w:sz="0" w:space="0" w:color="auto"/>
                <w:left w:val="none" w:sz="0" w:space="0" w:color="auto"/>
                <w:bottom w:val="none" w:sz="0" w:space="0" w:color="auto"/>
                <w:right w:val="none" w:sz="0" w:space="0" w:color="auto"/>
              </w:divBdr>
            </w:div>
            <w:div w:id="924846658">
              <w:marLeft w:val="0"/>
              <w:marRight w:val="0"/>
              <w:marTop w:val="0"/>
              <w:marBottom w:val="0"/>
              <w:divBdr>
                <w:top w:val="none" w:sz="0" w:space="0" w:color="auto"/>
                <w:left w:val="none" w:sz="0" w:space="0" w:color="auto"/>
                <w:bottom w:val="none" w:sz="0" w:space="0" w:color="auto"/>
                <w:right w:val="none" w:sz="0" w:space="0" w:color="auto"/>
              </w:divBdr>
            </w:div>
            <w:div w:id="926883269">
              <w:marLeft w:val="0"/>
              <w:marRight w:val="0"/>
              <w:marTop w:val="0"/>
              <w:marBottom w:val="0"/>
              <w:divBdr>
                <w:top w:val="none" w:sz="0" w:space="0" w:color="auto"/>
                <w:left w:val="none" w:sz="0" w:space="0" w:color="auto"/>
                <w:bottom w:val="none" w:sz="0" w:space="0" w:color="auto"/>
                <w:right w:val="none" w:sz="0" w:space="0" w:color="auto"/>
              </w:divBdr>
            </w:div>
            <w:div w:id="989285171">
              <w:marLeft w:val="0"/>
              <w:marRight w:val="0"/>
              <w:marTop w:val="0"/>
              <w:marBottom w:val="0"/>
              <w:divBdr>
                <w:top w:val="none" w:sz="0" w:space="0" w:color="auto"/>
                <w:left w:val="none" w:sz="0" w:space="0" w:color="auto"/>
                <w:bottom w:val="none" w:sz="0" w:space="0" w:color="auto"/>
                <w:right w:val="none" w:sz="0" w:space="0" w:color="auto"/>
              </w:divBdr>
            </w:div>
            <w:div w:id="990325847">
              <w:marLeft w:val="0"/>
              <w:marRight w:val="0"/>
              <w:marTop w:val="0"/>
              <w:marBottom w:val="0"/>
              <w:divBdr>
                <w:top w:val="none" w:sz="0" w:space="0" w:color="auto"/>
                <w:left w:val="none" w:sz="0" w:space="0" w:color="auto"/>
                <w:bottom w:val="none" w:sz="0" w:space="0" w:color="auto"/>
                <w:right w:val="none" w:sz="0" w:space="0" w:color="auto"/>
              </w:divBdr>
            </w:div>
            <w:div w:id="1135292145">
              <w:marLeft w:val="0"/>
              <w:marRight w:val="0"/>
              <w:marTop w:val="0"/>
              <w:marBottom w:val="0"/>
              <w:divBdr>
                <w:top w:val="none" w:sz="0" w:space="0" w:color="auto"/>
                <w:left w:val="none" w:sz="0" w:space="0" w:color="auto"/>
                <w:bottom w:val="none" w:sz="0" w:space="0" w:color="auto"/>
                <w:right w:val="none" w:sz="0" w:space="0" w:color="auto"/>
              </w:divBdr>
            </w:div>
            <w:div w:id="1200893714">
              <w:marLeft w:val="0"/>
              <w:marRight w:val="0"/>
              <w:marTop w:val="0"/>
              <w:marBottom w:val="0"/>
              <w:divBdr>
                <w:top w:val="none" w:sz="0" w:space="0" w:color="auto"/>
                <w:left w:val="none" w:sz="0" w:space="0" w:color="auto"/>
                <w:bottom w:val="none" w:sz="0" w:space="0" w:color="auto"/>
                <w:right w:val="none" w:sz="0" w:space="0" w:color="auto"/>
              </w:divBdr>
            </w:div>
            <w:div w:id="1259364202">
              <w:marLeft w:val="0"/>
              <w:marRight w:val="0"/>
              <w:marTop w:val="0"/>
              <w:marBottom w:val="0"/>
              <w:divBdr>
                <w:top w:val="none" w:sz="0" w:space="0" w:color="auto"/>
                <w:left w:val="none" w:sz="0" w:space="0" w:color="auto"/>
                <w:bottom w:val="none" w:sz="0" w:space="0" w:color="auto"/>
                <w:right w:val="none" w:sz="0" w:space="0" w:color="auto"/>
              </w:divBdr>
            </w:div>
            <w:div w:id="1308634016">
              <w:marLeft w:val="0"/>
              <w:marRight w:val="0"/>
              <w:marTop w:val="0"/>
              <w:marBottom w:val="0"/>
              <w:divBdr>
                <w:top w:val="none" w:sz="0" w:space="0" w:color="auto"/>
                <w:left w:val="none" w:sz="0" w:space="0" w:color="auto"/>
                <w:bottom w:val="none" w:sz="0" w:space="0" w:color="auto"/>
                <w:right w:val="none" w:sz="0" w:space="0" w:color="auto"/>
              </w:divBdr>
            </w:div>
            <w:div w:id="1385526913">
              <w:marLeft w:val="0"/>
              <w:marRight w:val="0"/>
              <w:marTop w:val="0"/>
              <w:marBottom w:val="0"/>
              <w:divBdr>
                <w:top w:val="none" w:sz="0" w:space="0" w:color="auto"/>
                <w:left w:val="none" w:sz="0" w:space="0" w:color="auto"/>
                <w:bottom w:val="none" w:sz="0" w:space="0" w:color="auto"/>
                <w:right w:val="none" w:sz="0" w:space="0" w:color="auto"/>
              </w:divBdr>
            </w:div>
            <w:div w:id="1434933960">
              <w:marLeft w:val="0"/>
              <w:marRight w:val="0"/>
              <w:marTop w:val="0"/>
              <w:marBottom w:val="0"/>
              <w:divBdr>
                <w:top w:val="none" w:sz="0" w:space="0" w:color="auto"/>
                <w:left w:val="none" w:sz="0" w:space="0" w:color="auto"/>
                <w:bottom w:val="none" w:sz="0" w:space="0" w:color="auto"/>
                <w:right w:val="none" w:sz="0" w:space="0" w:color="auto"/>
              </w:divBdr>
            </w:div>
            <w:div w:id="1592666566">
              <w:marLeft w:val="0"/>
              <w:marRight w:val="0"/>
              <w:marTop w:val="0"/>
              <w:marBottom w:val="0"/>
              <w:divBdr>
                <w:top w:val="none" w:sz="0" w:space="0" w:color="auto"/>
                <w:left w:val="none" w:sz="0" w:space="0" w:color="auto"/>
                <w:bottom w:val="none" w:sz="0" w:space="0" w:color="auto"/>
                <w:right w:val="none" w:sz="0" w:space="0" w:color="auto"/>
              </w:divBdr>
            </w:div>
            <w:div w:id="1849371589">
              <w:marLeft w:val="0"/>
              <w:marRight w:val="0"/>
              <w:marTop w:val="0"/>
              <w:marBottom w:val="0"/>
              <w:divBdr>
                <w:top w:val="none" w:sz="0" w:space="0" w:color="auto"/>
                <w:left w:val="none" w:sz="0" w:space="0" w:color="auto"/>
                <w:bottom w:val="none" w:sz="0" w:space="0" w:color="auto"/>
                <w:right w:val="none" w:sz="0" w:space="0" w:color="auto"/>
              </w:divBdr>
            </w:div>
            <w:div w:id="2039312214">
              <w:marLeft w:val="0"/>
              <w:marRight w:val="0"/>
              <w:marTop w:val="0"/>
              <w:marBottom w:val="0"/>
              <w:divBdr>
                <w:top w:val="none" w:sz="0" w:space="0" w:color="auto"/>
                <w:left w:val="none" w:sz="0" w:space="0" w:color="auto"/>
                <w:bottom w:val="none" w:sz="0" w:space="0" w:color="auto"/>
                <w:right w:val="none" w:sz="0" w:space="0" w:color="auto"/>
              </w:divBdr>
            </w:div>
            <w:div w:id="2063629122">
              <w:marLeft w:val="0"/>
              <w:marRight w:val="0"/>
              <w:marTop w:val="0"/>
              <w:marBottom w:val="0"/>
              <w:divBdr>
                <w:top w:val="none" w:sz="0" w:space="0" w:color="auto"/>
                <w:left w:val="none" w:sz="0" w:space="0" w:color="auto"/>
                <w:bottom w:val="none" w:sz="0" w:space="0" w:color="auto"/>
                <w:right w:val="none" w:sz="0" w:space="0" w:color="auto"/>
              </w:divBdr>
            </w:div>
          </w:divsChild>
        </w:div>
        <w:div w:id="1760560644">
          <w:marLeft w:val="0"/>
          <w:marRight w:val="0"/>
          <w:marTop w:val="0"/>
          <w:marBottom w:val="0"/>
          <w:divBdr>
            <w:top w:val="none" w:sz="0" w:space="0" w:color="auto"/>
            <w:left w:val="none" w:sz="0" w:space="0" w:color="auto"/>
            <w:bottom w:val="none" w:sz="0" w:space="0" w:color="auto"/>
            <w:right w:val="none" w:sz="0" w:space="0" w:color="auto"/>
          </w:divBdr>
        </w:div>
        <w:div w:id="1790009482">
          <w:marLeft w:val="0"/>
          <w:marRight w:val="0"/>
          <w:marTop w:val="0"/>
          <w:marBottom w:val="0"/>
          <w:divBdr>
            <w:top w:val="none" w:sz="0" w:space="0" w:color="auto"/>
            <w:left w:val="none" w:sz="0" w:space="0" w:color="auto"/>
            <w:bottom w:val="none" w:sz="0" w:space="0" w:color="auto"/>
            <w:right w:val="none" w:sz="0" w:space="0" w:color="auto"/>
          </w:divBdr>
        </w:div>
        <w:div w:id="1804343099">
          <w:marLeft w:val="0"/>
          <w:marRight w:val="0"/>
          <w:marTop w:val="0"/>
          <w:marBottom w:val="0"/>
          <w:divBdr>
            <w:top w:val="none" w:sz="0" w:space="0" w:color="auto"/>
            <w:left w:val="none" w:sz="0" w:space="0" w:color="auto"/>
            <w:bottom w:val="none" w:sz="0" w:space="0" w:color="auto"/>
            <w:right w:val="none" w:sz="0" w:space="0" w:color="auto"/>
          </w:divBdr>
        </w:div>
        <w:div w:id="1817185263">
          <w:marLeft w:val="0"/>
          <w:marRight w:val="0"/>
          <w:marTop w:val="0"/>
          <w:marBottom w:val="0"/>
          <w:divBdr>
            <w:top w:val="none" w:sz="0" w:space="0" w:color="auto"/>
            <w:left w:val="none" w:sz="0" w:space="0" w:color="auto"/>
            <w:bottom w:val="none" w:sz="0" w:space="0" w:color="auto"/>
            <w:right w:val="none" w:sz="0" w:space="0" w:color="auto"/>
          </w:divBdr>
        </w:div>
        <w:div w:id="1877236787">
          <w:marLeft w:val="0"/>
          <w:marRight w:val="0"/>
          <w:marTop w:val="0"/>
          <w:marBottom w:val="0"/>
          <w:divBdr>
            <w:top w:val="none" w:sz="0" w:space="0" w:color="auto"/>
            <w:left w:val="none" w:sz="0" w:space="0" w:color="auto"/>
            <w:bottom w:val="none" w:sz="0" w:space="0" w:color="auto"/>
            <w:right w:val="none" w:sz="0" w:space="0" w:color="auto"/>
          </w:divBdr>
        </w:div>
        <w:div w:id="1897426563">
          <w:marLeft w:val="0"/>
          <w:marRight w:val="0"/>
          <w:marTop w:val="0"/>
          <w:marBottom w:val="0"/>
          <w:divBdr>
            <w:top w:val="none" w:sz="0" w:space="0" w:color="auto"/>
            <w:left w:val="none" w:sz="0" w:space="0" w:color="auto"/>
            <w:bottom w:val="none" w:sz="0" w:space="0" w:color="auto"/>
            <w:right w:val="none" w:sz="0" w:space="0" w:color="auto"/>
          </w:divBdr>
        </w:div>
        <w:div w:id="1919822560">
          <w:marLeft w:val="0"/>
          <w:marRight w:val="0"/>
          <w:marTop w:val="0"/>
          <w:marBottom w:val="0"/>
          <w:divBdr>
            <w:top w:val="none" w:sz="0" w:space="0" w:color="auto"/>
            <w:left w:val="none" w:sz="0" w:space="0" w:color="auto"/>
            <w:bottom w:val="none" w:sz="0" w:space="0" w:color="auto"/>
            <w:right w:val="none" w:sz="0" w:space="0" w:color="auto"/>
          </w:divBdr>
        </w:div>
        <w:div w:id="1926260287">
          <w:marLeft w:val="0"/>
          <w:marRight w:val="0"/>
          <w:marTop w:val="0"/>
          <w:marBottom w:val="0"/>
          <w:divBdr>
            <w:top w:val="none" w:sz="0" w:space="0" w:color="auto"/>
            <w:left w:val="none" w:sz="0" w:space="0" w:color="auto"/>
            <w:bottom w:val="none" w:sz="0" w:space="0" w:color="auto"/>
            <w:right w:val="none" w:sz="0" w:space="0" w:color="auto"/>
          </w:divBdr>
        </w:div>
        <w:div w:id="1931698371">
          <w:marLeft w:val="0"/>
          <w:marRight w:val="0"/>
          <w:marTop w:val="0"/>
          <w:marBottom w:val="0"/>
          <w:divBdr>
            <w:top w:val="none" w:sz="0" w:space="0" w:color="auto"/>
            <w:left w:val="none" w:sz="0" w:space="0" w:color="auto"/>
            <w:bottom w:val="none" w:sz="0" w:space="0" w:color="auto"/>
            <w:right w:val="none" w:sz="0" w:space="0" w:color="auto"/>
          </w:divBdr>
          <w:divsChild>
            <w:div w:id="767235607">
              <w:marLeft w:val="-75"/>
              <w:marRight w:val="0"/>
              <w:marTop w:val="30"/>
              <w:marBottom w:val="30"/>
              <w:divBdr>
                <w:top w:val="none" w:sz="0" w:space="0" w:color="auto"/>
                <w:left w:val="none" w:sz="0" w:space="0" w:color="auto"/>
                <w:bottom w:val="none" w:sz="0" w:space="0" w:color="auto"/>
                <w:right w:val="none" w:sz="0" w:space="0" w:color="auto"/>
              </w:divBdr>
              <w:divsChild>
                <w:div w:id="12390750">
                  <w:marLeft w:val="0"/>
                  <w:marRight w:val="0"/>
                  <w:marTop w:val="0"/>
                  <w:marBottom w:val="0"/>
                  <w:divBdr>
                    <w:top w:val="none" w:sz="0" w:space="0" w:color="auto"/>
                    <w:left w:val="none" w:sz="0" w:space="0" w:color="auto"/>
                    <w:bottom w:val="none" w:sz="0" w:space="0" w:color="auto"/>
                    <w:right w:val="none" w:sz="0" w:space="0" w:color="auto"/>
                  </w:divBdr>
                  <w:divsChild>
                    <w:div w:id="1485119837">
                      <w:marLeft w:val="0"/>
                      <w:marRight w:val="0"/>
                      <w:marTop w:val="0"/>
                      <w:marBottom w:val="0"/>
                      <w:divBdr>
                        <w:top w:val="none" w:sz="0" w:space="0" w:color="auto"/>
                        <w:left w:val="none" w:sz="0" w:space="0" w:color="auto"/>
                        <w:bottom w:val="none" w:sz="0" w:space="0" w:color="auto"/>
                        <w:right w:val="none" w:sz="0" w:space="0" w:color="auto"/>
                      </w:divBdr>
                    </w:div>
                  </w:divsChild>
                </w:div>
                <w:div w:id="17856082">
                  <w:marLeft w:val="0"/>
                  <w:marRight w:val="0"/>
                  <w:marTop w:val="0"/>
                  <w:marBottom w:val="0"/>
                  <w:divBdr>
                    <w:top w:val="none" w:sz="0" w:space="0" w:color="auto"/>
                    <w:left w:val="none" w:sz="0" w:space="0" w:color="auto"/>
                    <w:bottom w:val="none" w:sz="0" w:space="0" w:color="auto"/>
                    <w:right w:val="none" w:sz="0" w:space="0" w:color="auto"/>
                  </w:divBdr>
                  <w:divsChild>
                    <w:div w:id="1106971108">
                      <w:marLeft w:val="0"/>
                      <w:marRight w:val="0"/>
                      <w:marTop w:val="0"/>
                      <w:marBottom w:val="0"/>
                      <w:divBdr>
                        <w:top w:val="none" w:sz="0" w:space="0" w:color="auto"/>
                        <w:left w:val="none" w:sz="0" w:space="0" w:color="auto"/>
                        <w:bottom w:val="none" w:sz="0" w:space="0" w:color="auto"/>
                        <w:right w:val="none" w:sz="0" w:space="0" w:color="auto"/>
                      </w:divBdr>
                    </w:div>
                  </w:divsChild>
                </w:div>
                <w:div w:id="39132720">
                  <w:marLeft w:val="0"/>
                  <w:marRight w:val="0"/>
                  <w:marTop w:val="0"/>
                  <w:marBottom w:val="0"/>
                  <w:divBdr>
                    <w:top w:val="none" w:sz="0" w:space="0" w:color="auto"/>
                    <w:left w:val="none" w:sz="0" w:space="0" w:color="auto"/>
                    <w:bottom w:val="none" w:sz="0" w:space="0" w:color="auto"/>
                    <w:right w:val="none" w:sz="0" w:space="0" w:color="auto"/>
                  </w:divBdr>
                  <w:divsChild>
                    <w:div w:id="1107894181">
                      <w:marLeft w:val="0"/>
                      <w:marRight w:val="0"/>
                      <w:marTop w:val="0"/>
                      <w:marBottom w:val="0"/>
                      <w:divBdr>
                        <w:top w:val="none" w:sz="0" w:space="0" w:color="auto"/>
                        <w:left w:val="none" w:sz="0" w:space="0" w:color="auto"/>
                        <w:bottom w:val="none" w:sz="0" w:space="0" w:color="auto"/>
                        <w:right w:val="none" w:sz="0" w:space="0" w:color="auto"/>
                      </w:divBdr>
                    </w:div>
                  </w:divsChild>
                </w:div>
                <w:div w:id="110980385">
                  <w:marLeft w:val="0"/>
                  <w:marRight w:val="0"/>
                  <w:marTop w:val="0"/>
                  <w:marBottom w:val="0"/>
                  <w:divBdr>
                    <w:top w:val="none" w:sz="0" w:space="0" w:color="auto"/>
                    <w:left w:val="none" w:sz="0" w:space="0" w:color="auto"/>
                    <w:bottom w:val="none" w:sz="0" w:space="0" w:color="auto"/>
                    <w:right w:val="none" w:sz="0" w:space="0" w:color="auto"/>
                  </w:divBdr>
                  <w:divsChild>
                    <w:div w:id="986977368">
                      <w:marLeft w:val="0"/>
                      <w:marRight w:val="0"/>
                      <w:marTop w:val="0"/>
                      <w:marBottom w:val="0"/>
                      <w:divBdr>
                        <w:top w:val="none" w:sz="0" w:space="0" w:color="auto"/>
                        <w:left w:val="none" w:sz="0" w:space="0" w:color="auto"/>
                        <w:bottom w:val="none" w:sz="0" w:space="0" w:color="auto"/>
                        <w:right w:val="none" w:sz="0" w:space="0" w:color="auto"/>
                      </w:divBdr>
                    </w:div>
                  </w:divsChild>
                </w:div>
                <w:div w:id="112673272">
                  <w:marLeft w:val="0"/>
                  <w:marRight w:val="0"/>
                  <w:marTop w:val="0"/>
                  <w:marBottom w:val="0"/>
                  <w:divBdr>
                    <w:top w:val="none" w:sz="0" w:space="0" w:color="auto"/>
                    <w:left w:val="none" w:sz="0" w:space="0" w:color="auto"/>
                    <w:bottom w:val="none" w:sz="0" w:space="0" w:color="auto"/>
                    <w:right w:val="none" w:sz="0" w:space="0" w:color="auto"/>
                  </w:divBdr>
                  <w:divsChild>
                    <w:div w:id="1484154297">
                      <w:marLeft w:val="0"/>
                      <w:marRight w:val="0"/>
                      <w:marTop w:val="0"/>
                      <w:marBottom w:val="0"/>
                      <w:divBdr>
                        <w:top w:val="none" w:sz="0" w:space="0" w:color="auto"/>
                        <w:left w:val="none" w:sz="0" w:space="0" w:color="auto"/>
                        <w:bottom w:val="none" w:sz="0" w:space="0" w:color="auto"/>
                        <w:right w:val="none" w:sz="0" w:space="0" w:color="auto"/>
                      </w:divBdr>
                    </w:div>
                  </w:divsChild>
                </w:div>
                <w:div w:id="135951289">
                  <w:marLeft w:val="0"/>
                  <w:marRight w:val="0"/>
                  <w:marTop w:val="0"/>
                  <w:marBottom w:val="0"/>
                  <w:divBdr>
                    <w:top w:val="none" w:sz="0" w:space="0" w:color="auto"/>
                    <w:left w:val="none" w:sz="0" w:space="0" w:color="auto"/>
                    <w:bottom w:val="none" w:sz="0" w:space="0" w:color="auto"/>
                    <w:right w:val="none" w:sz="0" w:space="0" w:color="auto"/>
                  </w:divBdr>
                  <w:divsChild>
                    <w:div w:id="546573176">
                      <w:marLeft w:val="0"/>
                      <w:marRight w:val="0"/>
                      <w:marTop w:val="0"/>
                      <w:marBottom w:val="0"/>
                      <w:divBdr>
                        <w:top w:val="none" w:sz="0" w:space="0" w:color="auto"/>
                        <w:left w:val="none" w:sz="0" w:space="0" w:color="auto"/>
                        <w:bottom w:val="none" w:sz="0" w:space="0" w:color="auto"/>
                        <w:right w:val="none" w:sz="0" w:space="0" w:color="auto"/>
                      </w:divBdr>
                    </w:div>
                  </w:divsChild>
                </w:div>
                <w:div w:id="182943107">
                  <w:marLeft w:val="0"/>
                  <w:marRight w:val="0"/>
                  <w:marTop w:val="0"/>
                  <w:marBottom w:val="0"/>
                  <w:divBdr>
                    <w:top w:val="none" w:sz="0" w:space="0" w:color="auto"/>
                    <w:left w:val="none" w:sz="0" w:space="0" w:color="auto"/>
                    <w:bottom w:val="none" w:sz="0" w:space="0" w:color="auto"/>
                    <w:right w:val="none" w:sz="0" w:space="0" w:color="auto"/>
                  </w:divBdr>
                  <w:divsChild>
                    <w:div w:id="609243065">
                      <w:marLeft w:val="0"/>
                      <w:marRight w:val="0"/>
                      <w:marTop w:val="0"/>
                      <w:marBottom w:val="0"/>
                      <w:divBdr>
                        <w:top w:val="none" w:sz="0" w:space="0" w:color="auto"/>
                        <w:left w:val="none" w:sz="0" w:space="0" w:color="auto"/>
                        <w:bottom w:val="none" w:sz="0" w:space="0" w:color="auto"/>
                        <w:right w:val="none" w:sz="0" w:space="0" w:color="auto"/>
                      </w:divBdr>
                    </w:div>
                  </w:divsChild>
                </w:div>
                <w:div w:id="228737481">
                  <w:marLeft w:val="0"/>
                  <w:marRight w:val="0"/>
                  <w:marTop w:val="0"/>
                  <w:marBottom w:val="0"/>
                  <w:divBdr>
                    <w:top w:val="none" w:sz="0" w:space="0" w:color="auto"/>
                    <w:left w:val="none" w:sz="0" w:space="0" w:color="auto"/>
                    <w:bottom w:val="none" w:sz="0" w:space="0" w:color="auto"/>
                    <w:right w:val="none" w:sz="0" w:space="0" w:color="auto"/>
                  </w:divBdr>
                  <w:divsChild>
                    <w:div w:id="1322000570">
                      <w:marLeft w:val="0"/>
                      <w:marRight w:val="0"/>
                      <w:marTop w:val="0"/>
                      <w:marBottom w:val="0"/>
                      <w:divBdr>
                        <w:top w:val="none" w:sz="0" w:space="0" w:color="auto"/>
                        <w:left w:val="none" w:sz="0" w:space="0" w:color="auto"/>
                        <w:bottom w:val="none" w:sz="0" w:space="0" w:color="auto"/>
                        <w:right w:val="none" w:sz="0" w:space="0" w:color="auto"/>
                      </w:divBdr>
                    </w:div>
                  </w:divsChild>
                </w:div>
                <w:div w:id="256255854">
                  <w:marLeft w:val="0"/>
                  <w:marRight w:val="0"/>
                  <w:marTop w:val="0"/>
                  <w:marBottom w:val="0"/>
                  <w:divBdr>
                    <w:top w:val="none" w:sz="0" w:space="0" w:color="auto"/>
                    <w:left w:val="none" w:sz="0" w:space="0" w:color="auto"/>
                    <w:bottom w:val="none" w:sz="0" w:space="0" w:color="auto"/>
                    <w:right w:val="none" w:sz="0" w:space="0" w:color="auto"/>
                  </w:divBdr>
                  <w:divsChild>
                    <w:div w:id="2027708450">
                      <w:marLeft w:val="0"/>
                      <w:marRight w:val="0"/>
                      <w:marTop w:val="0"/>
                      <w:marBottom w:val="0"/>
                      <w:divBdr>
                        <w:top w:val="none" w:sz="0" w:space="0" w:color="auto"/>
                        <w:left w:val="none" w:sz="0" w:space="0" w:color="auto"/>
                        <w:bottom w:val="none" w:sz="0" w:space="0" w:color="auto"/>
                        <w:right w:val="none" w:sz="0" w:space="0" w:color="auto"/>
                      </w:divBdr>
                    </w:div>
                  </w:divsChild>
                </w:div>
                <w:div w:id="295916549">
                  <w:marLeft w:val="0"/>
                  <w:marRight w:val="0"/>
                  <w:marTop w:val="0"/>
                  <w:marBottom w:val="0"/>
                  <w:divBdr>
                    <w:top w:val="none" w:sz="0" w:space="0" w:color="auto"/>
                    <w:left w:val="none" w:sz="0" w:space="0" w:color="auto"/>
                    <w:bottom w:val="none" w:sz="0" w:space="0" w:color="auto"/>
                    <w:right w:val="none" w:sz="0" w:space="0" w:color="auto"/>
                  </w:divBdr>
                  <w:divsChild>
                    <w:div w:id="1848473388">
                      <w:marLeft w:val="0"/>
                      <w:marRight w:val="0"/>
                      <w:marTop w:val="0"/>
                      <w:marBottom w:val="0"/>
                      <w:divBdr>
                        <w:top w:val="none" w:sz="0" w:space="0" w:color="auto"/>
                        <w:left w:val="none" w:sz="0" w:space="0" w:color="auto"/>
                        <w:bottom w:val="none" w:sz="0" w:space="0" w:color="auto"/>
                        <w:right w:val="none" w:sz="0" w:space="0" w:color="auto"/>
                      </w:divBdr>
                    </w:div>
                  </w:divsChild>
                </w:div>
                <w:div w:id="317853678">
                  <w:marLeft w:val="0"/>
                  <w:marRight w:val="0"/>
                  <w:marTop w:val="0"/>
                  <w:marBottom w:val="0"/>
                  <w:divBdr>
                    <w:top w:val="none" w:sz="0" w:space="0" w:color="auto"/>
                    <w:left w:val="none" w:sz="0" w:space="0" w:color="auto"/>
                    <w:bottom w:val="none" w:sz="0" w:space="0" w:color="auto"/>
                    <w:right w:val="none" w:sz="0" w:space="0" w:color="auto"/>
                  </w:divBdr>
                  <w:divsChild>
                    <w:div w:id="1894853806">
                      <w:marLeft w:val="0"/>
                      <w:marRight w:val="0"/>
                      <w:marTop w:val="0"/>
                      <w:marBottom w:val="0"/>
                      <w:divBdr>
                        <w:top w:val="none" w:sz="0" w:space="0" w:color="auto"/>
                        <w:left w:val="none" w:sz="0" w:space="0" w:color="auto"/>
                        <w:bottom w:val="none" w:sz="0" w:space="0" w:color="auto"/>
                        <w:right w:val="none" w:sz="0" w:space="0" w:color="auto"/>
                      </w:divBdr>
                    </w:div>
                  </w:divsChild>
                </w:div>
                <w:div w:id="387611989">
                  <w:marLeft w:val="0"/>
                  <w:marRight w:val="0"/>
                  <w:marTop w:val="0"/>
                  <w:marBottom w:val="0"/>
                  <w:divBdr>
                    <w:top w:val="none" w:sz="0" w:space="0" w:color="auto"/>
                    <w:left w:val="none" w:sz="0" w:space="0" w:color="auto"/>
                    <w:bottom w:val="none" w:sz="0" w:space="0" w:color="auto"/>
                    <w:right w:val="none" w:sz="0" w:space="0" w:color="auto"/>
                  </w:divBdr>
                  <w:divsChild>
                    <w:div w:id="1509757810">
                      <w:marLeft w:val="0"/>
                      <w:marRight w:val="0"/>
                      <w:marTop w:val="0"/>
                      <w:marBottom w:val="0"/>
                      <w:divBdr>
                        <w:top w:val="none" w:sz="0" w:space="0" w:color="auto"/>
                        <w:left w:val="none" w:sz="0" w:space="0" w:color="auto"/>
                        <w:bottom w:val="none" w:sz="0" w:space="0" w:color="auto"/>
                        <w:right w:val="none" w:sz="0" w:space="0" w:color="auto"/>
                      </w:divBdr>
                    </w:div>
                  </w:divsChild>
                </w:div>
                <w:div w:id="395976012">
                  <w:marLeft w:val="0"/>
                  <w:marRight w:val="0"/>
                  <w:marTop w:val="0"/>
                  <w:marBottom w:val="0"/>
                  <w:divBdr>
                    <w:top w:val="none" w:sz="0" w:space="0" w:color="auto"/>
                    <w:left w:val="none" w:sz="0" w:space="0" w:color="auto"/>
                    <w:bottom w:val="none" w:sz="0" w:space="0" w:color="auto"/>
                    <w:right w:val="none" w:sz="0" w:space="0" w:color="auto"/>
                  </w:divBdr>
                  <w:divsChild>
                    <w:div w:id="156919772">
                      <w:marLeft w:val="0"/>
                      <w:marRight w:val="0"/>
                      <w:marTop w:val="0"/>
                      <w:marBottom w:val="0"/>
                      <w:divBdr>
                        <w:top w:val="none" w:sz="0" w:space="0" w:color="auto"/>
                        <w:left w:val="none" w:sz="0" w:space="0" w:color="auto"/>
                        <w:bottom w:val="none" w:sz="0" w:space="0" w:color="auto"/>
                        <w:right w:val="none" w:sz="0" w:space="0" w:color="auto"/>
                      </w:divBdr>
                    </w:div>
                  </w:divsChild>
                </w:div>
                <w:div w:id="402921135">
                  <w:marLeft w:val="0"/>
                  <w:marRight w:val="0"/>
                  <w:marTop w:val="0"/>
                  <w:marBottom w:val="0"/>
                  <w:divBdr>
                    <w:top w:val="none" w:sz="0" w:space="0" w:color="auto"/>
                    <w:left w:val="none" w:sz="0" w:space="0" w:color="auto"/>
                    <w:bottom w:val="none" w:sz="0" w:space="0" w:color="auto"/>
                    <w:right w:val="none" w:sz="0" w:space="0" w:color="auto"/>
                  </w:divBdr>
                  <w:divsChild>
                    <w:div w:id="2063402272">
                      <w:marLeft w:val="0"/>
                      <w:marRight w:val="0"/>
                      <w:marTop w:val="0"/>
                      <w:marBottom w:val="0"/>
                      <w:divBdr>
                        <w:top w:val="none" w:sz="0" w:space="0" w:color="auto"/>
                        <w:left w:val="none" w:sz="0" w:space="0" w:color="auto"/>
                        <w:bottom w:val="none" w:sz="0" w:space="0" w:color="auto"/>
                        <w:right w:val="none" w:sz="0" w:space="0" w:color="auto"/>
                      </w:divBdr>
                    </w:div>
                  </w:divsChild>
                </w:div>
                <w:div w:id="412051789">
                  <w:marLeft w:val="0"/>
                  <w:marRight w:val="0"/>
                  <w:marTop w:val="0"/>
                  <w:marBottom w:val="0"/>
                  <w:divBdr>
                    <w:top w:val="none" w:sz="0" w:space="0" w:color="auto"/>
                    <w:left w:val="none" w:sz="0" w:space="0" w:color="auto"/>
                    <w:bottom w:val="none" w:sz="0" w:space="0" w:color="auto"/>
                    <w:right w:val="none" w:sz="0" w:space="0" w:color="auto"/>
                  </w:divBdr>
                  <w:divsChild>
                    <w:div w:id="921455218">
                      <w:marLeft w:val="0"/>
                      <w:marRight w:val="0"/>
                      <w:marTop w:val="0"/>
                      <w:marBottom w:val="0"/>
                      <w:divBdr>
                        <w:top w:val="none" w:sz="0" w:space="0" w:color="auto"/>
                        <w:left w:val="none" w:sz="0" w:space="0" w:color="auto"/>
                        <w:bottom w:val="none" w:sz="0" w:space="0" w:color="auto"/>
                        <w:right w:val="none" w:sz="0" w:space="0" w:color="auto"/>
                      </w:divBdr>
                    </w:div>
                  </w:divsChild>
                </w:div>
                <w:div w:id="428352603">
                  <w:marLeft w:val="0"/>
                  <w:marRight w:val="0"/>
                  <w:marTop w:val="0"/>
                  <w:marBottom w:val="0"/>
                  <w:divBdr>
                    <w:top w:val="none" w:sz="0" w:space="0" w:color="auto"/>
                    <w:left w:val="none" w:sz="0" w:space="0" w:color="auto"/>
                    <w:bottom w:val="none" w:sz="0" w:space="0" w:color="auto"/>
                    <w:right w:val="none" w:sz="0" w:space="0" w:color="auto"/>
                  </w:divBdr>
                  <w:divsChild>
                    <w:div w:id="799033033">
                      <w:marLeft w:val="0"/>
                      <w:marRight w:val="0"/>
                      <w:marTop w:val="0"/>
                      <w:marBottom w:val="0"/>
                      <w:divBdr>
                        <w:top w:val="none" w:sz="0" w:space="0" w:color="auto"/>
                        <w:left w:val="none" w:sz="0" w:space="0" w:color="auto"/>
                        <w:bottom w:val="none" w:sz="0" w:space="0" w:color="auto"/>
                        <w:right w:val="none" w:sz="0" w:space="0" w:color="auto"/>
                      </w:divBdr>
                    </w:div>
                  </w:divsChild>
                </w:div>
                <w:div w:id="430668108">
                  <w:marLeft w:val="0"/>
                  <w:marRight w:val="0"/>
                  <w:marTop w:val="0"/>
                  <w:marBottom w:val="0"/>
                  <w:divBdr>
                    <w:top w:val="none" w:sz="0" w:space="0" w:color="auto"/>
                    <w:left w:val="none" w:sz="0" w:space="0" w:color="auto"/>
                    <w:bottom w:val="none" w:sz="0" w:space="0" w:color="auto"/>
                    <w:right w:val="none" w:sz="0" w:space="0" w:color="auto"/>
                  </w:divBdr>
                  <w:divsChild>
                    <w:div w:id="2121340720">
                      <w:marLeft w:val="0"/>
                      <w:marRight w:val="0"/>
                      <w:marTop w:val="0"/>
                      <w:marBottom w:val="0"/>
                      <w:divBdr>
                        <w:top w:val="none" w:sz="0" w:space="0" w:color="auto"/>
                        <w:left w:val="none" w:sz="0" w:space="0" w:color="auto"/>
                        <w:bottom w:val="none" w:sz="0" w:space="0" w:color="auto"/>
                        <w:right w:val="none" w:sz="0" w:space="0" w:color="auto"/>
                      </w:divBdr>
                    </w:div>
                  </w:divsChild>
                </w:div>
                <w:div w:id="439842447">
                  <w:marLeft w:val="0"/>
                  <w:marRight w:val="0"/>
                  <w:marTop w:val="0"/>
                  <w:marBottom w:val="0"/>
                  <w:divBdr>
                    <w:top w:val="none" w:sz="0" w:space="0" w:color="auto"/>
                    <w:left w:val="none" w:sz="0" w:space="0" w:color="auto"/>
                    <w:bottom w:val="none" w:sz="0" w:space="0" w:color="auto"/>
                    <w:right w:val="none" w:sz="0" w:space="0" w:color="auto"/>
                  </w:divBdr>
                  <w:divsChild>
                    <w:div w:id="1494373359">
                      <w:marLeft w:val="0"/>
                      <w:marRight w:val="0"/>
                      <w:marTop w:val="0"/>
                      <w:marBottom w:val="0"/>
                      <w:divBdr>
                        <w:top w:val="none" w:sz="0" w:space="0" w:color="auto"/>
                        <w:left w:val="none" w:sz="0" w:space="0" w:color="auto"/>
                        <w:bottom w:val="none" w:sz="0" w:space="0" w:color="auto"/>
                        <w:right w:val="none" w:sz="0" w:space="0" w:color="auto"/>
                      </w:divBdr>
                    </w:div>
                  </w:divsChild>
                </w:div>
                <w:div w:id="440341646">
                  <w:marLeft w:val="0"/>
                  <w:marRight w:val="0"/>
                  <w:marTop w:val="0"/>
                  <w:marBottom w:val="0"/>
                  <w:divBdr>
                    <w:top w:val="none" w:sz="0" w:space="0" w:color="auto"/>
                    <w:left w:val="none" w:sz="0" w:space="0" w:color="auto"/>
                    <w:bottom w:val="none" w:sz="0" w:space="0" w:color="auto"/>
                    <w:right w:val="none" w:sz="0" w:space="0" w:color="auto"/>
                  </w:divBdr>
                  <w:divsChild>
                    <w:div w:id="1709841814">
                      <w:marLeft w:val="0"/>
                      <w:marRight w:val="0"/>
                      <w:marTop w:val="0"/>
                      <w:marBottom w:val="0"/>
                      <w:divBdr>
                        <w:top w:val="none" w:sz="0" w:space="0" w:color="auto"/>
                        <w:left w:val="none" w:sz="0" w:space="0" w:color="auto"/>
                        <w:bottom w:val="none" w:sz="0" w:space="0" w:color="auto"/>
                        <w:right w:val="none" w:sz="0" w:space="0" w:color="auto"/>
                      </w:divBdr>
                    </w:div>
                  </w:divsChild>
                </w:div>
                <w:div w:id="456804298">
                  <w:marLeft w:val="0"/>
                  <w:marRight w:val="0"/>
                  <w:marTop w:val="0"/>
                  <w:marBottom w:val="0"/>
                  <w:divBdr>
                    <w:top w:val="none" w:sz="0" w:space="0" w:color="auto"/>
                    <w:left w:val="none" w:sz="0" w:space="0" w:color="auto"/>
                    <w:bottom w:val="none" w:sz="0" w:space="0" w:color="auto"/>
                    <w:right w:val="none" w:sz="0" w:space="0" w:color="auto"/>
                  </w:divBdr>
                  <w:divsChild>
                    <w:div w:id="901019463">
                      <w:marLeft w:val="0"/>
                      <w:marRight w:val="0"/>
                      <w:marTop w:val="0"/>
                      <w:marBottom w:val="0"/>
                      <w:divBdr>
                        <w:top w:val="none" w:sz="0" w:space="0" w:color="auto"/>
                        <w:left w:val="none" w:sz="0" w:space="0" w:color="auto"/>
                        <w:bottom w:val="none" w:sz="0" w:space="0" w:color="auto"/>
                        <w:right w:val="none" w:sz="0" w:space="0" w:color="auto"/>
                      </w:divBdr>
                    </w:div>
                  </w:divsChild>
                </w:div>
                <w:div w:id="459149146">
                  <w:marLeft w:val="0"/>
                  <w:marRight w:val="0"/>
                  <w:marTop w:val="0"/>
                  <w:marBottom w:val="0"/>
                  <w:divBdr>
                    <w:top w:val="none" w:sz="0" w:space="0" w:color="auto"/>
                    <w:left w:val="none" w:sz="0" w:space="0" w:color="auto"/>
                    <w:bottom w:val="none" w:sz="0" w:space="0" w:color="auto"/>
                    <w:right w:val="none" w:sz="0" w:space="0" w:color="auto"/>
                  </w:divBdr>
                  <w:divsChild>
                    <w:div w:id="726415084">
                      <w:marLeft w:val="0"/>
                      <w:marRight w:val="0"/>
                      <w:marTop w:val="0"/>
                      <w:marBottom w:val="0"/>
                      <w:divBdr>
                        <w:top w:val="none" w:sz="0" w:space="0" w:color="auto"/>
                        <w:left w:val="none" w:sz="0" w:space="0" w:color="auto"/>
                        <w:bottom w:val="none" w:sz="0" w:space="0" w:color="auto"/>
                        <w:right w:val="none" w:sz="0" w:space="0" w:color="auto"/>
                      </w:divBdr>
                    </w:div>
                  </w:divsChild>
                </w:div>
                <w:div w:id="471488818">
                  <w:marLeft w:val="0"/>
                  <w:marRight w:val="0"/>
                  <w:marTop w:val="0"/>
                  <w:marBottom w:val="0"/>
                  <w:divBdr>
                    <w:top w:val="none" w:sz="0" w:space="0" w:color="auto"/>
                    <w:left w:val="none" w:sz="0" w:space="0" w:color="auto"/>
                    <w:bottom w:val="none" w:sz="0" w:space="0" w:color="auto"/>
                    <w:right w:val="none" w:sz="0" w:space="0" w:color="auto"/>
                  </w:divBdr>
                  <w:divsChild>
                    <w:div w:id="685718286">
                      <w:marLeft w:val="0"/>
                      <w:marRight w:val="0"/>
                      <w:marTop w:val="0"/>
                      <w:marBottom w:val="0"/>
                      <w:divBdr>
                        <w:top w:val="none" w:sz="0" w:space="0" w:color="auto"/>
                        <w:left w:val="none" w:sz="0" w:space="0" w:color="auto"/>
                        <w:bottom w:val="none" w:sz="0" w:space="0" w:color="auto"/>
                        <w:right w:val="none" w:sz="0" w:space="0" w:color="auto"/>
                      </w:divBdr>
                    </w:div>
                  </w:divsChild>
                </w:div>
                <w:div w:id="474416683">
                  <w:marLeft w:val="0"/>
                  <w:marRight w:val="0"/>
                  <w:marTop w:val="0"/>
                  <w:marBottom w:val="0"/>
                  <w:divBdr>
                    <w:top w:val="none" w:sz="0" w:space="0" w:color="auto"/>
                    <w:left w:val="none" w:sz="0" w:space="0" w:color="auto"/>
                    <w:bottom w:val="none" w:sz="0" w:space="0" w:color="auto"/>
                    <w:right w:val="none" w:sz="0" w:space="0" w:color="auto"/>
                  </w:divBdr>
                  <w:divsChild>
                    <w:div w:id="2014450490">
                      <w:marLeft w:val="0"/>
                      <w:marRight w:val="0"/>
                      <w:marTop w:val="0"/>
                      <w:marBottom w:val="0"/>
                      <w:divBdr>
                        <w:top w:val="none" w:sz="0" w:space="0" w:color="auto"/>
                        <w:left w:val="none" w:sz="0" w:space="0" w:color="auto"/>
                        <w:bottom w:val="none" w:sz="0" w:space="0" w:color="auto"/>
                        <w:right w:val="none" w:sz="0" w:space="0" w:color="auto"/>
                      </w:divBdr>
                    </w:div>
                  </w:divsChild>
                </w:div>
                <w:div w:id="480007167">
                  <w:marLeft w:val="0"/>
                  <w:marRight w:val="0"/>
                  <w:marTop w:val="0"/>
                  <w:marBottom w:val="0"/>
                  <w:divBdr>
                    <w:top w:val="none" w:sz="0" w:space="0" w:color="auto"/>
                    <w:left w:val="none" w:sz="0" w:space="0" w:color="auto"/>
                    <w:bottom w:val="none" w:sz="0" w:space="0" w:color="auto"/>
                    <w:right w:val="none" w:sz="0" w:space="0" w:color="auto"/>
                  </w:divBdr>
                  <w:divsChild>
                    <w:div w:id="134682223">
                      <w:marLeft w:val="0"/>
                      <w:marRight w:val="0"/>
                      <w:marTop w:val="0"/>
                      <w:marBottom w:val="0"/>
                      <w:divBdr>
                        <w:top w:val="none" w:sz="0" w:space="0" w:color="auto"/>
                        <w:left w:val="none" w:sz="0" w:space="0" w:color="auto"/>
                        <w:bottom w:val="none" w:sz="0" w:space="0" w:color="auto"/>
                        <w:right w:val="none" w:sz="0" w:space="0" w:color="auto"/>
                      </w:divBdr>
                    </w:div>
                  </w:divsChild>
                </w:div>
                <w:div w:id="495995396">
                  <w:marLeft w:val="0"/>
                  <w:marRight w:val="0"/>
                  <w:marTop w:val="0"/>
                  <w:marBottom w:val="0"/>
                  <w:divBdr>
                    <w:top w:val="none" w:sz="0" w:space="0" w:color="auto"/>
                    <w:left w:val="none" w:sz="0" w:space="0" w:color="auto"/>
                    <w:bottom w:val="none" w:sz="0" w:space="0" w:color="auto"/>
                    <w:right w:val="none" w:sz="0" w:space="0" w:color="auto"/>
                  </w:divBdr>
                  <w:divsChild>
                    <w:div w:id="53361916">
                      <w:marLeft w:val="0"/>
                      <w:marRight w:val="0"/>
                      <w:marTop w:val="0"/>
                      <w:marBottom w:val="0"/>
                      <w:divBdr>
                        <w:top w:val="none" w:sz="0" w:space="0" w:color="auto"/>
                        <w:left w:val="none" w:sz="0" w:space="0" w:color="auto"/>
                        <w:bottom w:val="none" w:sz="0" w:space="0" w:color="auto"/>
                        <w:right w:val="none" w:sz="0" w:space="0" w:color="auto"/>
                      </w:divBdr>
                    </w:div>
                  </w:divsChild>
                </w:div>
                <w:div w:id="500972349">
                  <w:marLeft w:val="0"/>
                  <w:marRight w:val="0"/>
                  <w:marTop w:val="0"/>
                  <w:marBottom w:val="0"/>
                  <w:divBdr>
                    <w:top w:val="none" w:sz="0" w:space="0" w:color="auto"/>
                    <w:left w:val="none" w:sz="0" w:space="0" w:color="auto"/>
                    <w:bottom w:val="none" w:sz="0" w:space="0" w:color="auto"/>
                    <w:right w:val="none" w:sz="0" w:space="0" w:color="auto"/>
                  </w:divBdr>
                  <w:divsChild>
                    <w:div w:id="292638870">
                      <w:marLeft w:val="0"/>
                      <w:marRight w:val="0"/>
                      <w:marTop w:val="0"/>
                      <w:marBottom w:val="0"/>
                      <w:divBdr>
                        <w:top w:val="none" w:sz="0" w:space="0" w:color="auto"/>
                        <w:left w:val="none" w:sz="0" w:space="0" w:color="auto"/>
                        <w:bottom w:val="none" w:sz="0" w:space="0" w:color="auto"/>
                        <w:right w:val="none" w:sz="0" w:space="0" w:color="auto"/>
                      </w:divBdr>
                    </w:div>
                  </w:divsChild>
                </w:div>
                <w:div w:id="511067057">
                  <w:marLeft w:val="0"/>
                  <w:marRight w:val="0"/>
                  <w:marTop w:val="0"/>
                  <w:marBottom w:val="0"/>
                  <w:divBdr>
                    <w:top w:val="none" w:sz="0" w:space="0" w:color="auto"/>
                    <w:left w:val="none" w:sz="0" w:space="0" w:color="auto"/>
                    <w:bottom w:val="none" w:sz="0" w:space="0" w:color="auto"/>
                    <w:right w:val="none" w:sz="0" w:space="0" w:color="auto"/>
                  </w:divBdr>
                  <w:divsChild>
                    <w:div w:id="307394773">
                      <w:marLeft w:val="0"/>
                      <w:marRight w:val="0"/>
                      <w:marTop w:val="0"/>
                      <w:marBottom w:val="0"/>
                      <w:divBdr>
                        <w:top w:val="none" w:sz="0" w:space="0" w:color="auto"/>
                        <w:left w:val="none" w:sz="0" w:space="0" w:color="auto"/>
                        <w:bottom w:val="none" w:sz="0" w:space="0" w:color="auto"/>
                        <w:right w:val="none" w:sz="0" w:space="0" w:color="auto"/>
                      </w:divBdr>
                    </w:div>
                  </w:divsChild>
                </w:div>
                <w:div w:id="511574701">
                  <w:marLeft w:val="0"/>
                  <w:marRight w:val="0"/>
                  <w:marTop w:val="0"/>
                  <w:marBottom w:val="0"/>
                  <w:divBdr>
                    <w:top w:val="none" w:sz="0" w:space="0" w:color="auto"/>
                    <w:left w:val="none" w:sz="0" w:space="0" w:color="auto"/>
                    <w:bottom w:val="none" w:sz="0" w:space="0" w:color="auto"/>
                    <w:right w:val="none" w:sz="0" w:space="0" w:color="auto"/>
                  </w:divBdr>
                  <w:divsChild>
                    <w:div w:id="1726558859">
                      <w:marLeft w:val="0"/>
                      <w:marRight w:val="0"/>
                      <w:marTop w:val="0"/>
                      <w:marBottom w:val="0"/>
                      <w:divBdr>
                        <w:top w:val="none" w:sz="0" w:space="0" w:color="auto"/>
                        <w:left w:val="none" w:sz="0" w:space="0" w:color="auto"/>
                        <w:bottom w:val="none" w:sz="0" w:space="0" w:color="auto"/>
                        <w:right w:val="none" w:sz="0" w:space="0" w:color="auto"/>
                      </w:divBdr>
                    </w:div>
                  </w:divsChild>
                </w:div>
                <w:div w:id="533230044">
                  <w:marLeft w:val="0"/>
                  <w:marRight w:val="0"/>
                  <w:marTop w:val="0"/>
                  <w:marBottom w:val="0"/>
                  <w:divBdr>
                    <w:top w:val="none" w:sz="0" w:space="0" w:color="auto"/>
                    <w:left w:val="none" w:sz="0" w:space="0" w:color="auto"/>
                    <w:bottom w:val="none" w:sz="0" w:space="0" w:color="auto"/>
                    <w:right w:val="none" w:sz="0" w:space="0" w:color="auto"/>
                  </w:divBdr>
                  <w:divsChild>
                    <w:div w:id="1199244519">
                      <w:marLeft w:val="0"/>
                      <w:marRight w:val="0"/>
                      <w:marTop w:val="0"/>
                      <w:marBottom w:val="0"/>
                      <w:divBdr>
                        <w:top w:val="none" w:sz="0" w:space="0" w:color="auto"/>
                        <w:left w:val="none" w:sz="0" w:space="0" w:color="auto"/>
                        <w:bottom w:val="none" w:sz="0" w:space="0" w:color="auto"/>
                        <w:right w:val="none" w:sz="0" w:space="0" w:color="auto"/>
                      </w:divBdr>
                    </w:div>
                  </w:divsChild>
                </w:div>
                <w:div w:id="551845850">
                  <w:marLeft w:val="0"/>
                  <w:marRight w:val="0"/>
                  <w:marTop w:val="0"/>
                  <w:marBottom w:val="0"/>
                  <w:divBdr>
                    <w:top w:val="none" w:sz="0" w:space="0" w:color="auto"/>
                    <w:left w:val="none" w:sz="0" w:space="0" w:color="auto"/>
                    <w:bottom w:val="none" w:sz="0" w:space="0" w:color="auto"/>
                    <w:right w:val="none" w:sz="0" w:space="0" w:color="auto"/>
                  </w:divBdr>
                  <w:divsChild>
                    <w:div w:id="1376078247">
                      <w:marLeft w:val="0"/>
                      <w:marRight w:val="0"/>
                      <w:marTop w:val="0"/>
                      <w:marBottom w:val="0"/>
                      <w:divBdr>
                        <w:top w:val="none" w:sz="0" w:space="0" w:color="auto"/>
                        <w:left w:val="none" w:sz="0" w:space="0" w:color="auto"/>
                        <w:bottom w:val="none" w:sz="0" w:space="0" w:color="auto"/>
                        <w:right w:val="none" w:sz="0" w:space="0" w:color="auto"/>
                      </w:divBdr>
                    </w:div>
                  </w:divsChild>
                </w:div>
                <w:div w:id="572398690">
                  <w:marLeft w:val="0"/>
                  <w:marRight w:val="0"/>
                  <w:marTop w:val="0"/>
                  <w:marBottom w:val="0"/>
                  <w:divBdr>
                    <w:top w:val="none" w:sz="0" w:space="0" w:color="auto"/>
                    <w:left w:val="none" w:sz="0" w:space="0" w:color="auto"/>
                    <w:bottom w:val="none" w:sz="0" w:space="0" w:color="auto"/>
                    <w:right w:val="none" w:sz="0" w:space="0" w:color="auto"/>
                  </w:divBdr>
                  <w:divsChild>
                    <w:div w:id="2058385601">
                      <w:marLeft w:val="0"/>
                      <w:marRight w:val="0"/>
                      <w:marTop w:val="0"/>
                      <w:marBottom w:val="0"/>
                      <w:divBdr>
                        <w:top w:val="none" w:sz="0" w:space="0" w:color="auto"/>
                        <w:left w:val="none" w:sz="0" w:space="0" w:color="auto"/>
                        <w:bottom w:val="none" w:sz="0" w:space="0" w:color="auto"/>
                        <w:right w:val="none" w:sz="0" w:space="0" w:color="auto"/>
                      </w:divBdr>
                    </w:div>
                  </w:divsChild>
                </w:div>
                <w:div w:id="610942549">
                  <w:marLeft w:val="0"/>
                  <w:marRight w:val="0"/>
                  <w:marTop w:val="0"/>
                  <w:marBottom w:val="0"/>
                  <w:divBdr>
                    <w:top w:val="none" w:sz="0" w:space="0" w:color="auto"/>
                    <w:left w:val="none" w:sz="0" w:space="0" w:color="auto"/>
                    <w:bottom w:val="none" w:sz="0" w:space="0" w:color="auto"/>
                    <w:right w:val="none" w:sz="0" w:space="0" w:color="auto"/>
                  </w:divBdr>
                  <w:divsChild>
                    <w:div w:id="1330714870">
                      <w:marLeft w:val="0"/>
                      <w:marRight w:val="0"/>
                      <w:marTop w:val="0"/>
                      <w:marBottom w:val="0"/>
                      <w:divBdr>
                        <w:top w:val="none" w:sz="0" w:space="0" w:color="auto"/>
                        <w:left w:val="none" w:sz="0" w:space="0" w:color="auto"/>
                        <w:bottom w:val="none" w:sz="0" w:space="0" w:color="auto"/>
                        <w:right w:val="none" w:sz="0" w:space="0" w:color="auto"/>
                      </w:divBdr>
                    </w:div>
                  </w:divsChild>
                </w:div>
                <w:div w:id="614292327">
                  <w:marLeft w:val="0"/>
                  <w:marRight w:val="0"/>
                  <w:marTop w:val="0"/>
                  <w:marBottom w:val="0"/>
                  <w:divBdr>
                    <w:top w:val="none" w:sz="0" w:space="0" w:color="auto"/>
                    <w:left w:val="none" w:sz="0" w:space="0" w:color="auto"/>
                    <w:bottom w:val="none" w:sz="0" w:space="0" w:color="auto"/>
                    <w:right w:val="none" w:sz="0" w:space="0" w:color="auto"/>
                  </w:divBdr>
                  <w:divsChild>
                    <w:div w:id="733505541">
                      <w:marLeft w:val="0"/>
                      <w:marRight w:val="0"/>
                      <w:marTop w:val="0"/>
                      <w:marBottom w:val="0"/>
                      <w:divBdr>
                        <w:top w:val="none" w:sz="0" w:space="0" w:color="auto"/>
                        <w:left w:val="none" w:sz="0" w:space="0" w:color="auto"/>
                        <w:bottom w:val="none" w:sz="0" w:space="0" w:color="auto"/>
                        <w:right w:val="none" w:sz="0" w:space="0" w:color="auto"/>
                      </w:divBdr>
                    </w:div>
                  </w:divsChild>
                </w:div>
                <w:div w:id="639532684">
                  <w:marLeft w:val="0"/>
                  <w:marRight w:val="0"/>
                  <w:marTop w:val="0"/>
                  <w:marBottom w:val="0"/>
                  <w:divBdr>
                    <w:top w:val="none" w:sz="0" w:space="0" w:color="auto"/>
                    <w:left w:val="none" w:sz="0" w:space="0" w:color="auto"/>
                    <w:bottom w:val="none" w:sz="0" w:space="0" w:color="auto"/>
                    <w:right w:val="none" w:sz="0" w:space="0" w:color="auto"/>
                  </w:divBdr>
                  <w:divsChild>
                    <w:div w:id="1022439772">
                      <w:marLeft w:val="0"/>
                      <w:marRight w:val="0"/>
                      <w:marTop w:val="0"/>
                      <w:marBottom w:val="0"/>
                      <w:divBdr>
                        <w:top w:val="none" w:sz="0" w:space="0" w:color="auto"/>
                        <w:left w:val="none" w:sz="0" w:space="0" w:color="auto"/>
                        <w:bottom w:val="none" w:sz="0" w:space="0" w:color="auto"/>
                        <w:right w:val="none" w:sz="0" w:space="0" w:color="auto"/>
                      </w:divBdr>
                    </w:div>
                  </w:divsChild>
                </w:div>
                <w:div w:id="646475914">
                  <w:marLeft w:val="0"/>
                  <w:marRight w:val="0"/>
                  <w:marTop w:val="0"/>
                  <w:marBottom w:val="0"/>
                  <w:divBdr>
                    <w:top w:val="none" w:sz="0" w:space="0" w:color="auto"/>
                    <w:left w:val="none" w:sz="0" w:space="0" w:color="auto"/>
                    <w:bottom w:val="none" w:sz="0" w:space="0" w:color="auto"/>
                    <w:right w:val="none" w:sz="0" w:space="0" w:color="auto"/>
                  </w:divBdr>
                  <w:divsChild>
                    <w:div w:id="684404613">
                      <w:marLeft w:val="0"/>
                      <w:marRight w:val="0"/>
                      <w:marTop w:val="0"/>
                      <w:marBottom w:val="0"/>
                      <w:divBdr>
                        <w:top w:val="none" w:sz="0" w:space="0" w:color="auto"/>
                        <w:left w:val="none" w:sz="0" w:space="0" w:color="auto"/>
                        <w:bottom w:val="none" w:sz="0" w:space="0" w:color="auto"/>
                        <w:right w:val="none" w:sz="0" w:space="0" w:color="auto"/>
                      </w:divBdr>
                    </w:div>
                  </w:divsChild>
                </w:div>
                <w:div w:id="665129115">
                  <w:marLeft w:val="0"/>
                  <w:marRight w:val="0"/>
                  <w:marTop w:val="0"/>
                  <w:marBottom w:val="0"/>
                  <w:divBdr>
                    <w:top w:val="none" w:sz="0" w:space="0" w:color="auto"/>
                    <w:left w:val="none" w:sz="0" w:space="0" w:color="auto"/>
                    <w:bottom w:val="none" w:sz="0" w:space="0" w:color="auto"/>
                    <w:right w:val="none" w:sz="0" w:space="0" w:color="auto"/>
                  </w:divBdr>
                  <w:divsChild>
                    <w:div w:id="1735270763">
                      <w:marLeft w:val="0"/>
                      <w:marRight w:val="0"/>
                      <w:marTop w:val="0"/>
                      <w:marBottom w:val="0"/>
                      <w:divBdr>
                        <w:top w:val="none" w:sz="0" w:space="0" w:color="auto"/>
                        <w:left w:val="none" w:sz="0" w:space="0" w:color="auto"/>
                        <w:bottom w:val="none" w:sz="0" w:space="0" w:color="auto"/>
                        <w:right w:val="none" w:sz="0" w:space="0" w:color="auto"/>
                      </w:divBdr>
                    </w:div>
                  </w:divsChild>
                </w:div>
                <w:div w:id="666326599">
                  <w:marLeft w:val="0"/>
                  <w:marRight w:val="0"/>
                  <w:marTop w:val="0"/>
                  <w:marBottom w:val="0"/>
                  <w:divBdr>
                    <w:top w:val="none" w:sz="0" w:space="0" w:color="auto"/>
                    <w:left w:val="none" w:sz="0" w:space="0" w:color="auto"/>
                    <w:bottom w:val="none" w:sz="0" w:space="0" w:color="auto"/>
                    <w:right w:val="none" w:sz="0" w:space="0" w:color="auto"/>
                  </w:divBdr>
                  <w:divsChild>
                    <w:div w:id="207495578">
                      <w:marLeft w:val="0"/>
                      <w:marRight w:val="0"/>
                      <w:marTop w:val="0"/>
                      <w:marBottom w:val="0"/>
                      <w:divBdr>
                        <w:top w:val="none" w:sz="0" w:space="0" w:color="auto"/>
                        <w:left w:val="none" w:sz="0" w:space="0" w:color="auto"/>
                        <w:bottom w:val="none" w:sz="0" w:space="0" w:color="auto"/>
                        <w:right w:val="none" w:sz="0" w:space="0" w:color="auto"/>
                      </w:divBdr>
                    </w:div>
                  </w:divsChild>
                </w:div>
                <w:div w:id="682786569">
                  <w:marLeft w:val="0"/>
                  <w:marRight w:val="0"/>
                  <w:marTop w:val="0"/>
                  <w:marBottom w:val="0"/>
                  <w:divBdr>
                    <w:top w:val="none" w:sz="0" w:space="0" w:color="auto"/>
                    <w:left w:val="none" w:sz="0" w:space="0" w:color="auto"/>
                    <w:bottom w:val="none" w:sz="0" w:space="0" w:color="auto"/>
                    <w:right w:val="none" w:sz="0" w:space="0" w:color="auto"/>
                  </w:divBdr>
                  <w:divsChild>
                    <w:div w:id="786318101">
                      <w:marLeft w:val="0"/>
                      <w:marRight w:val="0"/>
                      <w:marTop w:val="0"/>
                      <w:marBottom w:val="0"/>
                      <w:divBdr>
                        <w:top w:val="none" w:sz="0" w:space="0" w:color="auto"/>
                        <w:left w:val="none" w:sz="0" w:space="0" w:color="auto"/>
                        <w:bottom w:val="none" w:sz="0" w:space="0" w:color="auto"/>
                        <w:right w:val="none" w:sz="0" w:space="0" w:color="auto"/>
                      </w:divBdr>
                    </w:div>
                  </w:divsChild>
                </w:div>
                <w:div w:id="687562530">
                  <w:marLeft w:val="0"/>
                  <w:marRight w:val="0"/>
                  <w:marTop w:val="0"/>
                  <w:marBottom w:val="0"/>
                  <w:divBdr>
                    <w:top w:val="none" w:sz="0" w:space="0" w:color="auto"/>
                    <w:left w:val="none" w:sz="0" w:space="0" w:color="auto"/>
                    <w:bottom w:val="none" w:sz="0" w:space="0" w:color="auto"/>
                    <w:right w:val="none" w:sz="0" w:space="0" w:color="auto"/>
                  </w:divBdr>
                  <w:divsChild>
                    <w:div w:id="695692567">
                      <w:marLeft w:val="0"/>
                      <w:marRight w:val="0"/>
                      <w:marTop w:val="0"/>
                      <w:marBottom w:val="0"/>
                      <w:divBdr>
                        <w:top w:val="none" w:sz="0" w:space="0" w:color="auto"/>
                        <w:left w:val="none" w:sz="0" w:space="0" w:color="auto"/>
                        <w:bottom w:val="none" w:sz="0" w:space="0" w:color="auto"/>
                        <w:right w:val="none" w:sz="0" w:space="0" w:color="auto"/>
                      </w:divBdr>
                    </w:div>
                  </w:divsChild>
                </w:div>
                <w:div w:id="694188352">
                  <w:marLeft w:val="0"/>
                  <w:marRight w:val="0"/>
                  <w:marTop w:val="0"/>
                  <w:marBottom w:val="0"/>
                  <w:divBdr>
                    <w:top w:val="none" w:sz="0" w:space="0" w:color="auto"/>
                    <w:left w:val="none" w:sz="0" w:space="0" w:color="auto"/>
                    <w:bottom w:val="none" w:sz="0" w:space="0" w:color="auto"/>
                    <w:right w:val="none" w:sz="0" w:space="0" w:color="auto"/>
                  </w:divBdr>
                  <w:divsChild>
                    <w:div w:id="864949541">
                      <w:marLeft w:val="0"/>
                      <w:marRight w:val="0"/>
                      <w:marTop w:val="0"/>
                      <w:marBottom w:val="0"/>
                      <w:divBdr>
                        <w:top w:val="none" w:sz="0" w:space="0" w:color="auto"/>
                        <w:left w:val="none" w:sz="0" w:space="0" w:color="auto"/>
                        <w:bottom w:val="none" w:sz="0" w:space="0" w:color="auto"/>
                        <w:right w:val="none" w:sz="0" w:space="0" w:color="auto"/>
                      </w:divBdr>
                    </w:div>
                  </w:divsChild>
                </w:div>
                <w:div w:id="742990467">
                  <w:marLeft w:val="0"/>
                  <w:marRight w:val="0"/>
                  <w:marTop w:val="0"/>
                  <w:marBottom w:val="0"/>
                  <w:divBdr>
                    <w:top w:val="none" w:sz="0" w:space="0" w:color="auto"/>
                    <w:left w:val="none" w:sz="0" w:space="0" w:color="auto"/>
                    <w:bottom w:val="none" w:sz="0" w:space="0" w:color="auto"/>
                    <w:right w:val="none" w:sz="0" w:space="0" w:color="auto"/>
                  </w:divBdr>
                  <w:divsChild>
                    <w:div w:id="1823307802">
                      <w:marLeft w:val="0"/>
                      <w:marRight w:val="0"/>
                      <w:marTop w:val="0"/>
                      <w:marBottom w:val="0"/>
                      <w:divBdr>
                        <w:top w:val="none" w:sz="0" w:space="0" w:color="auto"/>
                        <w:left w:val="none" w:sz="0" w:space="0" w:color="auto"/>
                        <w:bottom w:val="none" w:sz="0" w:space="0" w:color="auto"/>
                        <w:right w:val="none" w:sz="0" w:space="0" w:color="auto"/>
                      </w:divBdr>
                    </w:div>
                  </w:divsChild>
                </w:div>
                <w:div w:id="765660999">
                  <w:marLeft w:val="0"/>
                  <w:marRight w:val="0"/>
                  <w:marTop w:val="0"/>
                  <w:marBottom w:val="0"/>
                  <w:divBdr>
                    <w:top w:val="none" w:sz="0" w:space="0" w:color="auto"/>
                    <w:left w:val="none" w:sz="0" w:space="0" w:color="auto"/>
                    <w:bottom w:val="none" w:sz="0" w:space="0" w:color="auto"/>
                    <w:right w:val="none" w:sz="0" w:space="0" w:color="auto"/>
                  </w:divBdr>
                  <w:divsChild>
                    <w:div w:id="1239292414">
                      <w:marLeft w:val="0"/>
                      <w:marRight w:val="0"/>
                      <w:marTop w:val="0"/>
                      <w:marBottom w:val="0"/>
                      <w:divBdr>
                        <w:top w:val="none" w:sz="0" w:space="0" w:color="auto"/>
                        <w:left w:val="none" w:sz="0" w:space="0" w:color="auto"/>
                        <w:bottom w:val="none" w:sz="0" w:space="0" w:color="auto"/>
                        <w:right w:val="none" w:sz="0" w:space="0" w:color="auto"/>
                      </w:divBdr>
                    </w:div>
                  </w:divsChild>
                </w:div>
                <w:div w:id="790435311">
                  <w:marLeft w:val="0"/>
                  <w:marRight w:val="0"/>
                  <w:marTop w:val="0"/>
                  <w:marBottom w:val="0"/>
                  <w:divBdr>
                    <w:top w:val="none" w:sz="0" w:space="0" w:color="auto"/>
                    <w:left w:val="none" w:sz="0" w:space="0" w:color="auto"/>
                    <w:bottom w:val="none" w:sz="0" w:space="0" w:color="auto"/>
                    <w:right w:val="none" w:sz="0" w:space="0" w:color="auto"/>
                  </w:divBdr>
                  <w:divsChild>
                    <w:div w:id="103693774">
                      <w:marLeft w:val="0"/>
                      <w:marRight w:val="0"/>
                      <w:marTop w:val="0"/>
                      <w:marBottom w:val="0"/>
                      <w:divBdr>
                        <w:top w:val="none" w:sz="0" w:space="0" w:color="auto"/>
                        <w:left w:val="none" w:sz="0" w:space="0" w:color="auto"/>
                        <w:bottom w:val="none" w:sz="0" w:space="0" w:color="auto"/>
                        <w:right w:val="none" w:sz="0" w:space="0" w:color="auto"/>
                      </w:divBdr>
                    </w:div>
                  </w:divsChild>
                </w:div>
                <w:div w:id="794711678">
                  <w:marLeft w:val="0"/>
                  <w:marRight w:val="0"/>
                  <w:marTop w:val="0"/>
                  <w:marBottom w:val="0"/>
                  <w:divBdr>
                    <w:top w:val="none" w:sz="0" w:space="0" w:color="auto"/>
                    <w:left w:val="none" w:sz="0" w:space="0" w:color="auto"/>
                    <w:bottom w:val="none" w:sz="0" w:space="0" w:color="auto"/>
                    <w:right w:val="none" w:sz="0" w:space="0" w:color="auto"/>
                  </w:divBdr>
                  <w:divsChild>
                    <w:div w:id="125591810">
                      <w:marLeft w:val="0"/>
                      <w:marRight w:val="0"/>
                      <w:marTop w:val="0"/>
                      <w:marBottom w:val="0"/>
                      <w:divBdr>
                        <w:top w:val="none" w:sz="0" w:space="0" w:color="auto"/>
                        <w:left w:val="none" w:sz="0" w:space="0" w:color="auto"/>
                        <w:bottom w:val="none" w:sz="0" w:space="0" w:color="auto"/>
                        <w:right w:val="none" w:sz="0" w:space="0" w:color="auto"/>
                      </w:divBdr>
                    </w:div>
                  </w:divsChild>
                </w:div>
                <w:div w:id="798231246">
                  <w:marLeft w:val="0"/>
                  <w:marRight w:val="0"/>
                  <w:marTop w:val="0"/>
                  <w:marBottom w:val="0"/>
                  <w:divBdr>
                    <w:top w:val="none" w:sz="0" w:space="0" w:color="auto"/>
                    <w:left w:val="none" w:sz="0" w:space="0" w:color="auto"/>
                    <w:bottom w:val="none" w:sz="0" w:space="0" w:color="auto"/>
                    <w:right w:val="none" w:sz="0" w:space="0" w:color="auto"/>
                  </w:divBdr>
                  <w:divsChild>
                    <w:div w:id="1337197359">
                      <w:marLeft w:val="0"/>
                      <w:marRight w:val="0"/>
                      <w:marTop w:val="0"/>
                      <w:marBottom w:val="0"/>
                      <w:divBdr>
                        <w:top w:val="none" w:sz="0" w:space="0" w:color="auto"/>
                        <w:left w:val="none" w:sz="0" w:space="0" w:color="auto"/>
                        <w:bottom w:val="none" w:sz="0" w:space="0" w:color="auto"/>
                        <w:right w:val="none" w:sz="0" w:space="0" w:color="auto"/>
                      </w:divBdr>
                    </w:div>
                  </w:divsChild>
                </w:div>
                <w:div w:id="835461230">
                  <w:marLeft w:val="0"/>
                  <w:marRight w:val="0"/>
                  <w:marTop w:val="0"/>
                  <w:marBottom w:val="0"/>
                  <w:divBdr>
                    <w:top w:val="none" w:sz="0" w:space="0" w:color="auto"/>
                    <w:left w:val="none" w:sz="0" w:space="0" w:color="auto"/>
                    <w:bottom w:val="none" w:sz="0" w:space="0" w:color="auto"/>
                    <w:right w:val="none" w:sz="0" w:space="0" w:color="auto"/>
                  </w:divBdr>
                  <w:divsChild>
                    <w:div w:id="88427496">
                      <w:marLeft w:val="0"/>
                      <w:marRight w:val="0"/>
                      <w:marTop w:val="0"/>
                      <w:marBottom w:val="0"/>
                      <w:divBdr>
                        <w:top w:val="none" w:sz="0" w:space="0" w:color="auto"/>
                        <w:left w:val="none" w:sz="0" w:space="0" w:color="auto"/>
                        <w:bottom w:val="none" w:sz="0" w:space="0" w:color="auto"/>
                        <w:right w:val="none" w:sz="0" w:space="0" w:color="auto"/>
                      </w:divBdr>
                    </w:div>
                  </w:divsChild>
                </w:div>
                <w:div w:id="868489728">
                  <w:marLeft w:val="0"/>
                  <w:marRight w:val="0"/>
                  <w:marTop w:val="0"/>
                  <w:marBottom w:val="0"/>
                  <w:divBdr>
                    <w:top w:val="none" w:sz="0" w:space="0" w:color="auto"/>
                    <w:left w:val="none" w:sz="0" w:space="0" w:color="auto"/>
                    <w:bottom w:val="none" w:sz="0" w:space="0" w:color="auto"/>
                    <w:right w:val="none" w:sz="0" w:space="0" w:color="auto"/>
                  </w:divBdr>
                  <w:divsChild>
                    <w:div w:id="747192699">
                      <w:marLeft w:val="0"/>
                      <w:marRight w:val="0"/>
                      <w:marTop w:val="0"/>
                      <w:marBottom w:val="0"/>
                      <w:divBdr>
                        <w:top w:val="none" w:sz="0" w:space="0" w:color="auto"/>
                        <w:left w:val="none" w:sz="0" w:space="0" w:color="auto"/>
                        <w:bottom w:val="none" w:sz="0" w:space="0" w:color="auto"/>
                        <w:right w:val="none" w:sz="0" w:space="0" w:color="auto"/>
                      </w:divBdr>
                    </w:div>
                  </w:divsChild>
                </w:div>
                <w:div w:id="916980401">
                  <w:marLeft w:val="0"/>
                  <w:marRight w:val="0"/>
                  <w:marTop w:val="0"/>
                  <w:marBottom w:val="0"/>
                  <w:divBdr>
                    <w:top w:val="none" w:sz="0" w:space="0" w:color="auto"/>
                    <w:left w:val="none" w:sz="0" w:space="0" w:color="auto"/>
                    <w:bottom w:val="none" w:sz="0" w:space="0" w:color="auto"/>
                    <w:right w:val="none" w:sz="0" w:space="0" w:color="auto"/>
                  </w:divBdr>
                  <w:divsChild>
                    <w:div w:id="523248574">
                      <w:marLeft w:val="0"/>
                      <w:marRight w:val="0"/>
                      <w:marTop w:val="0"/>
                      <w:marBottom w:val="0"/>
                      <w:divBdr>
                        <w:top w:val="none" w:sz="0" w:space="0" w:color="auto"/>
                        <w:left w:val="none" w:sz="0" w:space="0" w:color="auto"/>
                        <w:bottom w:val="none" w:sz="0" w:space="0" w:color="auto"/>
                        <w:right w:val="none" w:sz="0" w:space="0" w:color="auto"/>
                      </w:divBdr>
                    </w:div>
                  </w:divsChild>
                </w:div>
                <w:div w:id="941035448">
                  <w:marLeft w:val="0"/>
                  <w:marRight w:val="0"/>
                  <w:marTop w:val="0"/>
                  <w:marBottom w:val="0"/>
                  <w:divBdr>
                    <w:top w:val="none" w:sz="0" w:space="0" w:color="auto"/>
                    <w:left w:val="none" w:sz="0" w:space="0" w:color="auto"/>
                    <w:bottom w:val="none" w:sz="0" w:space="0" w:color="auto"/>
                    <w:right w:val="none" w:sz="0" w:space="0" w:color="auto"/>
                  </w:divBdr>
                  <w:divsChild>
                    <w:div w:id="1631276579">
                      <w:marLeft w:val="0"/>
                      <w:marRight w:val="0"/>
                      <w:marTop w:val="0"/>
                      <w:marBottom w:val="0"/>
                      <w:divBdr>
                        <w:top w:val="none" w:sz="0" w:space="0" w:color="auto"/>
                        <w:left w:val="none" w:sz="0" w:space="0" w:color="auto"/>
                        <w:bottom w:val="none" w:sz="0" w:space="0" w:color="auto"/>
                        <w:right w:val="none" w:sz="0" w:space="0" w:color="auto"/>
                      </w:divBdr>
                    </w:div>
                  </w:divsChild>
                </w:div>
                <w:div w:id="951590178">
                  <w:marLeft w:val="0"/>
                  <w:marRight w:val="0"/>
                  <w:marTop w:val="0"/>
                  <w:marBottom w:val="0"/>
                  <w:divBdr>
                    <w:top w:val="none" w:sz="0" w:space="0" w:color="auto"/>
                    <w:left w:val="none" w:sz="0" w:space="0" w:color="auto"/>
                    <w:bottom w:val="none" w:sz="0" w:space="0" w:color="auto"/>
                    <w:right w:val="none" w:sz="0" w:space="0" w:color="auto"/>
                  </w:divBdr>
                  <w:divsChild>
                    <w:div w:id="894048860">
                      <w:marLeft w:val="0"/>
                      <w:marRight w:val="0"/>
                      <w:marTop w:val="0"/>
                      <w:marBottom w:val="0"/>
                      <w:divBdr>
                        <w:top w:val="none" w:sz="0" w:space="0" w:color="auto"/>
                        <w:left w:val="none" w:sz="0" w:space="0" w:color="auto"/>
                        <w:bottom w:val="none" w:sz="0" w:space="0" w:color="auto"/>
                        <w:right w:val="none" w:sz="0" w:space="0" w:color="auto"/>
                      </w:divBdr>
                    </w:div>
                  </w:divsChild>
                </w:div>
                <w:div w:id="967205481">
                  <w:marLeft w:val="0"/>
                  <w:marRight w:val="0"/>
                  <w:marTop w:val="0"/>
                  <w:marBottom w:val="0"/>
                  <w:divBdr>
                    <w:top w:val="none" w:sz="0" w:space="0" w:color="auto"/>
                    <w:left w:val="none" w:sz="0" w:space="0" w:color="auto"/>
                    <w:bottom w:val="none" w:sz="0" w:space="0" w:color="auto"/>
                    <w:right w:val="none" w:sz="0" w:space="0" w:color="auto"/>
                  </w:divBdr>
                  <w:divsChild>
                    <w:div w:id="9912212">
                      <w:marLeft w:val="0"/>
                      <w:marRight w:val="0"/>
                      <w:marTop w:val="0"/>
                      <w:marBottom w:val="0"/>
                      <w:divBdr>
                        <w:top w:val="none" w:sz="0" w:space="0" w:color="auto"/>
                        <w:left w:val="none" w:sz="0" w:space="0" w:color="auto"/>
                        <w:bottom w:val="none" w:sz="0" w:space="0" w:color="auto"/>
                        <w:right w:val="none" w:sz="0" w:space="0" w:color="auto"/>
                      </w:divBdr>
                    </w:div>
                  </w:divsChild>
                </w:div>
                <w:div w:id="987125476">
                  <w:marLeft w:val="0"/>
                  <w:marRight w:val="0"/>
                  <w:marTop w:val="0"/>
                  <w:marBottom w:val="0"/>
                  <w:divBdr>
                    <w:top w:val="none" w:sz="0" w:space="0" w:color="auto"/>
                    <w:left w:val="none" w:sz="0" w:space="0" w:color="auto"/>
                    <w:bottom w:val="none" w:sz="0" w:space="0" w:color="auto"/>
                    <w:right w:val="none" w:sz="0" w:space="0" w:color="auto"/>
                  </w:divBdr>
                  <w:divsChild>
                    <w:div w:id="252012499">
                      <w:marLeft w:val="0"/>
                      <w:marRight w:val="0"/>
                      <w:marTop w:val="0"/>
                      <w:marBottom w:val="0"/>
                      <w:divBdr>
                        <w:top w:val="none" w:sz="0" w:space="0" w:color="auto"/>
                        <w:left w:val="none" w:sz="0" w:space="0" w:color="auto"/>
                        <w:bottom w:val="none" w:sz="0" w:space="0" w:color="auto"/>
                        <w:right w:val="none" w:sz="0" w:space="0" w:color="auto"/>
                      </w:divBdr>
                    </w:div>
                  </w:divsChild>
                </w:div>
                <w:div w:id="991833288">
                  <w:marLeft w:val="0"/>
                  <w:marRight w:val="0"/>
                  <w:marTop w:val="0"/>
                  <w:marBottom w:val="0"/>
                  <w:divBdr>
                    <w:top w:val="none" w:sz="0" w:space="0" w:color="auto"/>
                    <w:left w:val="none" w:sz="0" w:space="0" w:color="auto"/>
                    <w:bottom w:val="none" w:sz="0" w:space="0" w:color="auto"/>
                    <w:right w:val="none" w:sz="0" w:space="0" w:color="auto"/>
                  </w:divBdr>
                  <w:divsChild>
                    <w:div w:id="110632853">
                      <w:marLeft w:val="0"/>
                      <w:marRight w:val="0"/>
                      <w:marTop w:val="0"/>
                      <w:marBottom w:val="0"/>
                      <w:divBdr>
                        <w:top w:val="none" w:sz="0" w:space="0" w:color="auto"/>
                        <w:left w:val="none" w:sz="0" w:space="0" w:color="auto"/>
                        <w:bottom w:val="none" w:sz="0" w:space="0" w:color="auto"/>
                        <w:right w:val="none" w:sz="0" w:space="0" w:color="auto"/>
                      </w:divBdr>
                    </w:div>
                  </w:divsChild>
                </w:div>
                <w:div w:id="1003436474">
                  <w:marLeft w:val="0"/>
                  <w:marRight w:val="0"/>
                  <w:marTop w:val="0"/>
                  <w:marBottom w:val="0"/>
                  <w:divBdr>
                    <w:top w:val="none" w:sz="0" w:space="0" w:color="auto"/>
                    <w:left w:val="none" w:sz="0" w:space="0" w:color="auto"/>
                    <w:bottom w:val="none" w:sz="0" w:space="0" w:color="auto"/>
                    <w:right w:val="none" w:sz="0" w:space="0" w:color="auto"/>
                  </w:divBdr>
                  <w:divsChild>
                    <w:div w:id="1257054562">
                      <w:marLeft w:val="0"/>
                      <w:marRight w:val="0"/>
                      <w:marTop w:val="0"/>
                      <w:marBottom w:val="0"/>
                      <w:divBdr>
                        <w:top w:val="none" w:sz="0" w:space="0" w:color="auto"/>
                        <w:left w:val="none" w:sz="0" w:space="0" w:color="auto"/>
                        <w:bottom w:val="none" w:sz="0" w:space="0" w:color="auto"/>
                        <w:right w:val="none" w:sz="0" w:space="0" w:color="auto"/>
                      </w:divBdr>
                    </w:div>
                  </w:divsChild>
                </w:div>
                <w:div w:id="1012801707">
                  <w:marLeft w:val="0"/>
                  <w:marRight w:val="0"/>
                  <w:marTop w:val="0"/>
                  <w:marBottom w:val="0"/>
                  <w:divBdr>
                    <w:top w:val="none" w:sz="0" w:space="0" w:color="auto"/>
                    <w:left w:val="none" w:sz="0" w:space="0" w:color="auto"/>
                    <w:bottom w:val="none" w:sz="0" w:space="0" w:color="auto"/>
                    <w:right w:val="none" w:sz="0" w:space="0" w:color="auto"/>
                  </w:divBdr>
                  <w:divsChild>
                    <w:div w:id="1918591151">
                      <w:marLeft w:val="0"/>
                      <w:marRight w:val="0"/>
                      <w:marTop w:val="0"/>
                      <w:marBottom w:val="0"/>
                      <w:divBdr>
                        <w:top w:val="none" w:sz="0" w:space="0" w:color="auto"/>
                        <w:left w:val="none" w:sz="0" w:space="0" w:color="auto"/>
                        <w:bottom w:val="none" w:sz="0" w:space="0" w:color="auto"/>
                        <w:right w:val="none" w:sz="0" w:space="0" w:color="auto"/>
                      </w:divBdr>
                    </w:div>
                  </w:divsChild>
                </w:div>
                <w:div w:id="1032344011">
                  <w:marLeft w:val="0"/>
                  <w:marRight w:val="0"/>
                  <w:marTop w:val="0"/>
                  <w:marBottom w:val="0"/>
                  <w:divBdr>
                    <w:top w:val="none" w:sz="0" w:space="0" w:color="auto"/>
                    <w:left w:val="none" w:sz="0" w:space="0" w:color="auto"/>
                    <w:bottom w:val="none" w:sz="0" w:space="0" w:color="auto"/>
                    <w:right w:val="none" w:sz="0" w:space="0" w:color="auto"/>
                  </w:divBdr>
                  <w:divsChild>
                    <w:div w:id="1870753698">
                      <w:marLeft w:val="0"/>
                      <w:marRight w:val="0"/>
                      <w:marTop w:val="0"/>
                      <w:marBottom w:val="0"/>
                      <w:divBdr>
                        <w:top w:val="none" w:sz="0" w:space="0" w:color="auto"/>
                        <w:left w:val="none" w:sz="0" w:space="0" w:color="auto"/>
                        <w:bottom w:val="none" w:sz="0" w:space="0" w:color="auto"/>
                        <w:right w:val="none" w:sz="0" w:space="0" w:color="auto"/>
                      </w:divBdr>
                    </w:div>
                  </w:divsChild>
                </w:div>
                <w:div w:id="1062099660">
                  <w:marLeft w:val="0"/>
                  <w:marRight w:val="0"/>
                  <w:marTop w:val="0"/>
                  <w:marBottom w:val="0"/>
                  <w:divBdr>
                    <w:top w:val="none" w:sz="0" w:space="0" w:color="auto"/>
                    <w:left w:val="none" w:sz="0" w:space="0" w:color="auto"/>
                    <w:bottom w:val="none" w:sz="0" w:space="0" w:color="auto"/>
                    <w:right w:val="none" w:sz="0" w:space="0" w:color="auto"/>
                  </w:divBdr>
                  <w:divsChild>
                    <w:div w:id="269895473">
                      <w:marLeft w:val="0"/>
                      <w:marRight w:val="0"/>
                      <w:marTop w:val="0"/>
                      <w:marBottom w:val="0"/>
                      <w:divBdr>
                        <w:top w:val="none" w:sz="0" w:space="0" w:color="auto"/>
                        <w:left w:val="none" w:sz="0" w:space="0" w:color="auto"/>
                        <w:bottom w:val="none" w:sz="0" w:space="0" w:color="auto"/>
                        <w:right w:val="none" w:sz="0" w:space="0" w:color="auto"/>
                      </w:divBdr>
                    </w:div>
                  </w:divsChild>
                </w:div>
                <w:div w:id="1062605823">
                  <w:marLeft w:val="0"/>
                  <w:marRight w:val="0"/>
                  <w:marTop w:val="0"/>
                  <w:marBottom w:val="0"/>
                  <w:divBdr>
                    <w:top w:val="none" w:sz="0" w:space="0" w:color="auto"/>
                    <w:left w:val="none" w:sz="0" w:space="0" w:color="auto"/>
                    <w:bottom w:val="none" w:sz="0" w:space="0" w:color="auto"/>
                    <w:right w:val="none" w:sz="0" w:space="0" w:color="auto"/>
                  </w:divBdr>
                  <w:divsChild>
                    <w:div w:id="836000883">
                      <w:marLeft w:val="0"/>
                      <w:marRight w:val="0"/>
                      <w:marTop w:val="0"/>
                      <w:marBottom w:val="0"/>
                      <w:divBdr>
                        <w:top w:val="none" w:sz="0" w:space="0" w:color="auto"/>
                        <w:left w:val="none" w:sz="0" w:space="0" w:color="auto"/>
                        <w:bottom w:val="none" w:sz="0" w:space="0" w:color="auto"/>
                        <w:right w:val="none" w:sz="0" w:space="0" w:color="auto"/>
                      </w:divBdr>
                    </w:div>
                  </w:divsChild>
                </w:div>
                <w:div w:id="1078016711">
                  <w:marLeft w:val="0"/>
                  <w:marRight w:val="0"/>
                  <w:marTop w:val="0"/>
                  <w:marBottom w:val="0"/>
                  <w:divBdr>
                    <w:top w:val="none" w:sz="0" w:space="0" w:color="auto"/>
                    <w:left w:val="none" w:sz="0" w:space="0" w:color="auto"/>
                    <w:bottom w:val="none" w:sz="0" w:space="0" w:color="auto"/>
                    <w:right w:val="none" w:sz="0" w:space="0" w:color="auto"/>
                  </w:divBdr>
                  <w:divsChild>
                    <w:div w:id="989594893">
                      <w:marLeft w:val="0"/>
                      <w:marRight w:val="0"/>
                      <w:marTop w:val="0"/>
                      <w:marBottom w:val="0"/>
                      <w:divBdr>
                        <w:top w:val="none" w:sz="0" w:space="0" w:color="auto"/>
                        <w:left w:val="none" w:sz="0" w:space="0" w:color="auto"/>
                        <w:bottom w:val="none" w:sz="0" w:space="0" w:color="auto"/>
                        <w:right w:val="none" w:sz="0" w:space="0" w:color="auto"/>
                      </w:divBdr>
                    </w:div>
                  </w:divsChild>
                </w:div>
                <w:div w:id="1078092633">
                  <w:marLeft w:val="0"/>
                  <w:marRight w:val="0"/>
                  <w:marTop w:val="0"/>
                  <w:marBottom w:val="0"/>
                  <w:divBdr>
                    <w:top w:val="none" w:sz="0" w:space="0" w:color="auto"/>
                    <w:left w:val="none" w:sz="0" w:space="0" w:color="auto"/>
                    <w:bottom w:val="none" w:sz="0" w:space="0" w:color="auto"/>
                    <w:right w:val="none" w:sz="0" w:space="0" w:color="auto"/>
                  </w:divBdr>
                  <w:divsChild>
                    <w:div w:id="1010373245">
                      <w:marLeft w:val="0"/>
                      <w:marRight w:val="0"/>
                      <w:marTop w:val="0"/>
                      <w:marBottom w:val="0"/>
                      <w:divBdr>
                        <w:top w:val="none" w:sz="0" w:space="0" w:color="auto"/>
                        <w:left w:val="none" w:sz="0" w:space="0" w:color="auto"/>
                        <w:bottom w:val="none" w:sz="0" w:space="0" w:color="auto"/>
                        <w:right w:val="none" w:sz="0" w:space="0" w:color="auto"/>
                      </w:divBdr>
                    </w:div>
                  </w:divsChild>
                </w:div>
                <w:div w:id="1093865899">
                  <w:marLeft w:val="0"/>
                  <w:marRight w:val="0"/>
                  <w:marTop w:val="0"/>
                  <w:marBottom w:val="0"/>
                  <w:divBdr>
                    <w:top w:val="none" w:sz="0" w:space="0" w:color="auto"/>
                    <w:left w:val="none" w:sz="0" w:space="0" w:color="auto"/>
                    <w:bottom w:val="none" w:sz="0" w:space="0" w:color="auto"/>
                    <w:right w:val="none" w:sz="0" w:space="0" w:color="auto"/>
                  </w:divBdr>
                  <w:divsChild>
                    <w:div w:id="1159468899">
                      <w:marLeft w:val="0"/>
                      <w:marRight w:val="0"/>
                      <w:marTop w:val="0"/>
                      <w:marBottom w:val="0"/>
                      <w:divBdr>
                        <w:top w:val="none" w:sz="0" w:space="0" w:color="auto"/>
                        <w:left w:val="none" w:sz="0" w:space="0" w:color="auto"/>
                        <w:bottom w:val="none" w:sz="0" w:space="0" w:color="auto"/>
                        <w:right w:val="none" w:sz="0" w:space="0" w:color="auto"/>
                      </w:divBdr>
                    </w:div>
                  </w:divsChild>
                </w:div>
                <w:div w:id="1116677995">
                  <w:marLeft w:val="0"/>
                  <w:marRight w:val="0"/>
                  <w:marTop w:val="0"/>
                  <w:marBottom w:val="0"/>
                  <w:divBdr>
                    <w:top w:val="none" w:sz="0" w:space="0" w:color="auto"/>
                    <w:left w:val="none" w:sz="0" w:space="0" w:color="auto"/>
                    <w:bottom w:val="none" w:sz="0" w:space="0" w:color="auto"/>
                    <w:right w:val="none" w:sz="0" w:space="0" w:color="auto"/>
                  </w:divBdr>
                  <w:divsChild>
                    <w:div w:id="954479831">
                      <w:marLeft w:val="0"/>
                      <w:marRight w:val="0"/>
                      <w:marTop w:val="0"/>
                      <w:marBottom w:val="0"/>
                      <w:divBdr>
                        <w:top w:val="none" w:sz="0" w:space="0" w:color="auto"/>
                        <w:left w:val="none" w:sz="0" w:space="0" w:color="auto"/>
                        <w:bottom w:val="none" w:sz="0" w:space="0" w:color="auto"/>
                        <w:right w:val="none" w:sz="0" w:space="0" w:color="auto"/>
                      </w:divBdr>
                    </w:div>
                  </w:divsChild>
                </w:div>
                <w:div w:id="1129934614">
                  <w:marLeft w:val="0"/>
                  <w:marRight w:val="0"/>
                  <w:marTop w:val="0"/>
                  <w:marBottom w:val="0"/>
                  <w:divBdr>
                    <w:top w:val="none" w:sz="0" w:space="0" w:color="auto"/>
                    <w:left w:val="none" w:sz="0" w:space="0" w:color="auto"/>
                    <w:bottom w:val="none" w:sz="0" w:space="0" w:color="auto"/>
                    <w:right w:val="none" w:sz="0" w:space="0" w:color="auto"/>
                  </w:divBdr>
                  <w:divsChild>
                    <w:div w:id="673805552">
                      <w:marLeft w:val="0"/>
                      <w:marRight w:val="0"/>
                      <w:marTop w:val="0"/>
                      <w:marBottom w:val="0"/>
                      <w:divBdr>
                        <w:top w:val="none" w:sz="0" w:space="0" w:color="auto"/>
                        <w:left w:val="none" w:sz="0" w:space="0" w:color="auto"/>
                        <w:bottom w:val="none" w:sz="0" w:space="0" w:color="auto"/>
                        <w:right w:val="none" w:sz="0" w:space="0" w:color="auto"/>
                      </w:divBdr>
                    </w:div>
                  </w:divsChild>
                </w:div>
                <w:div w:id="1187059015">
                  <w:marLeft w:val="0"/>
                  <w:marRight w:val="0"/>
                  <w:marTop w:val="0"/>
                  <w:marBottom w:val="0"/>
                  <w:divBdr>
                    <w:top w:val="none" w:sz="0" w:space="0" w:color="auto"/>
                    <w:left w:val="none" w:sz="0" w:space="0" w:color="auto"/>
                    <w:bottom w:val="none" w:sz="0" w:space="0" w:color="auto"/>
                    <w:right w:val="none" w:sz="0" w:space="0" w:color="auto"/>
                  </w:divBdr>
                  <w:divsChild>
                    <w:div w:id="657460600">
                      <w:marLeft w:val="0"/>
                      <w:marRight w:val="0"/>
                      <w:marTop w:val="0"/>
                      <w:marBottom w:val="0"/>
                      <w:divBdr>
                        <w:top w:val="none" w:sz="0" w:space="0" w:color="auto"/>
                        <w:left w:val="none" w:sz="0" w:space="0" w:color="auto"/>
                        <w:bottom w:val="none" w:sz="0" w:space="0" w:color="auto"/>
                        <w:right w:val="none" w:sz="0" w:space="0" w:color="auto"/>
                      </w:divBdr>
                    </w:div>
                  </w:divsChild>
                </w:div>
                <w:div w:id="1215697841">
                  <w:marLeft w:val="0"/>
                  <w:marRight w:val="0"/>
                  <w:marTop w:val="0"/>
                  <w:marBottom w:val="0"/>
                  <w:divBdr>
                    <w:top w:val="none" w:sz="0" w:space="0" w:color="auto"/>
                    <w:left w:val="none" w:sz="0" w:space="0" w:color="auto"/>
                    <w:bottom w:val="none" w:sz="0" w:space="0" w:color="auto"/>
                    <w:right w:val="none" w:sz="0" w:space="0" w:color="auto"/>
                  </w:divBdr>
                  <w:divsChild>
                    <w:div w:id="663971202">
                      <w:marLeft w:val="0"/>
                      <w:marRight w:val="0"/>
                      <w:marTop w:val="0"/>
                      <w:marBottom w:val="0"/>
                      <w:divBdr>
                        <w:top w:val="none" w:sz="0" w:space="0" w:color="auto"/>
                        <w:left w:val="none" w:sz="0" w:space="0" w:color="auto"/>
                        <w:bottom w:val="none" w:sz="0" w:space="0" w:color="auto"/>
                        <w:right w:val="none" w:sz="0" w:space="0" w:color="auto"/>
                      </w:divBdr>
                    </w:div>
                  </w:divsChild>
                </w:div>
                <w:div w:id="1242327002">
                  <w:marLeft w:val="0"/>
                  <w:marRight w:val="0"/>
                  <w:marTop w:val="0"/>
                  <w:marBottom w:val="0"/>
                  <w:divBdr>
                    <w:top w:val="none" w:sz="0" w:space="0" w:color="auto"/>
                    <w:left w:val="none" w:sz="0" w:space="0" w:color="auto"/>
                    <w:bottom w:val="none" w:sz="0" w:space="0" w:color="auto"/>
                    <w:right w:val="none" w:sz="0" w:space="0" w:color="auto"/>
                  </w:divBdr>
                  <w:divsChild>
                    <w:div w:id="291525366">
                      <w:marLeft w:val="0"/>
                      <w:marRight w:val="0"/>
                      <w:marTop w:val="0"/>
                      <w:marBottom w:val="0"/>
                      <w:divBdr>
                        <w:top w:val="none" w:sz="0" w:space="0" w:color="auto"/>
                        <w:left w:val="none" w:sz="0" w:space="0" w:color="auto"/>
                        <w:bottom w:val="none" w:sz="0" w:space="0" w:color="auto"/>
                        <w:right w:val="none" w:sz="0" w:space="0" w:color="auto"/>
                      </w:divBdr>
                    </w:div>
                  </w:divsChild>
                </w:div>
                <w:div w:id="1245141935">
                  <w:marLeft w:val="0"/>
                  <w:marRight w:val="0"/>
                  <w:marTop w:val="0"/>
                  <w:marBottom w:val="0"/>
                  <w:divBdr>
                    <w:top w:val="none" w:sz="0" w:space="0" w:color="auto"/>
                    <w:left w:val="none" w:sz="0" w:space="0" w:color="auto"/>
                    <w:bottom w:val="none" w:sz="0" w:space="0" w:color="auto"/>
                    <w:right w:val="none" w:sz="0" w:space="0" w:color="auto"/>
                  </w:divBdr>
                  <w:divsChild>
                    <w:div w:id="993605648">
                      <w:marLeft w:val="0"/>
                      <w:marRight w:val="0"/>
                      <w:marTop w:val="0"/>
                      <w:marBottom w:val="0"/>
                      <w:divBdr>
                        <w:top w:val="none" w:sz="0" w:space="0" w:color="auto"/>
                        <w:left w:val="none" w:sz="0" w:space="0" w:color="auto"/>
                        <w:bottom w:val="none" w:sz="0" w:space="0" w:color="auto"/>
                        <w:right w:val="none" w:sz="0" w:space="0" w:color="auto"/>
                      </w:divBdr>
                    </w:div>
                  </w:divsChild>
                </w:div>
                <w:div w:id="1254777281">
                  <w:marLeft w:val="0"/>
                  <w:marRight w:val="0"/>
                  <w:marTop w:val="0"/>
                  <w:marBottom w:val="0"/>
                  <w:divBdr>
                    <w:top w:val="none" w:sz="0" w:space="0" w:color="auto"/>
                    <w:left w:val="none" w:sz="0" w:space="0" w:color="auto"/>
                    <w:bottom w:val="none" w:sz="0" w:space="0" w:color="auto"/>
                    <w:right w:val="none" w:sz="0" w:space="0" w:color="auto"/>
                  </w:divBdr>
                  <w:divsChild>
                    <w:div w:id="7949232">
                      <w:marLeft w:val="0"/>
                      <w:marRight w:val="0"/>
                      <w:marTop w:val="0"/>
                      <w:marBottom w:val="0"/>
                      <w:divBdr>
                        <w:top w:val="none" w:sz="0" w:space="0" w:color="auto"/>
                        <w:left w:val="none" w:sz="0" w:space="0" w:color="auto"/>
                        <w:bottom w:val="none" w:sz="0" w:space="0" w:color="auto"/>
                        <w:right w:val="none" w:sz="0" w:space="0" w:color="auto"/>
                      </w:divBdr>
                    </w:div>
                  </w:divsChild>
                </w:div>
                <w:div w:id="1276448904">
                  <w:marLeft w:val="0"/>
                  <w:marRight w:val="0"/>
                  <w:marTop w:val="0"/>
                  <w:marBottom w:val="0"/>
                  <w:divBdr>
                    <w:top w:val="none" w:sz="0" w:space="0" w:color="auto"/>
                    <w:left w:val="none" w:sz="0" w:space="0" w:color="auto"/>
                    <w:bottom w:val="none" w:sz="0" w:space="0" w:color="auto"/>
                    <w:right w:val="none" w:sz="0" w:space="0" w:color="auto"/>
                  </w:divBdr>
                  <w:divsChild>
                    <w:div w:id="2023237326">
                      <w:marLeft w:val="0"/>
                      <w:marRight w:val="0"/>
                      <w:marTop w:val="0"/>
                      <w:marBottom w:val="0"/>
                      <w:divBdr>
                        <w:top w:val="none" w:sz="0" w:space="0" w:color="auto"/>
                        <w:left w:val="none" w:sz="0" w:space="0" w:color="auto"/>
                        <w:bottom w:val="none" w:sz="0" w:space="0" w:color="auto"/>
                        <w:right w:val="none" w:sz="0" w:space="0" w:color="auto"/>
                      </w:divBdr>
                    </w:div>
                  </w:divsChild>
                </w:div>
                <w:div w:id="1276982387">
                  <w:marLeft w:val="0"/>
                  <w:marRight w:val="0"/>
                  <w:marTop w:val="0"/>
                  <w:marBottom w:val="0"/>
                  <w:divBdr>
                    <w:top w:val="none" w:sz="0" w:space="0" w:color="auto"/>
                    <w:left w:val="none" w:sz="0" w:space="0" w:color="auto"/>
                    <w:bottom w:val="none" w:sz="0" w:space="0" w:color="auto"/>
                    <w:right w:val="none" w:sz="0" w:space="0" w:color="auto"/>
                  </w:divBdr>
                  <w:divsChild>
                    <w:div w:id="1591770336">
                      <w:marLeft w:val="0"/>
                      <w:marRight w:val="0"/>
                      <w:marTop w:val="0"/>
                      <w:marBottom w:val="0"/>
                      <w:divBdr>
                        <w:top w:val="none" w:sz="0" w:space="0" w:color="auto"/>
                        <w:left w:val="none" w:sz="0" w:space="0" w:color="auto"/>
                        <w:bottom w:val="none" w:sz="0" w:space="0" w:color="auto"/>
                        <w:right w:val="none" w:sz="0" w:space="0" w:color="auto"/>
                      </w:divBdr>
                    </w:div>
                  </w:divsChild>
                </w:div>
                <w:div w:id="1285847510">
                  <w:marLeft w:val="0"/>
                  <w:marRight w:val="0"/>
                  <w:marTop w:val="0"/>
                  <w:marBottom w:val="0"/>
                  <w:divBdr>
                    <w:top w:val="none" w:sz="0" w:space="0" w:color="auto"/>
                    <w:left w:val="none" w:sz="0" w:space="0" w:color="auto"/>
                    <w:bottom w:val="none" w:sz="0" w:space="0" w:color="auto"/>
                    <w:right w:val="none" w:sz="0" w:space="0" w:color="auto"/>
                  </w:divBdr>
                  <w:divsChild>
                    <w:div w:id="1341809936">
                      <w:marLeft w:val="0"/>
                      <w:marRight w:val="0"/>
                      <w:marTop w:val="0"/>
                      <w:marBottom w:val="0"/>
                      <w:divBdr>
                        <w:top w:val="none" w:sz="0" w:space="0" w:color="auto"/>
                        <w:left w:val="none" w:sz="0" w:space="0" w:color="auto"/>
                        <w:bottom w:val="none" w:sz="0" w:space="0" w:color="auto"/>
                        <w:right w:val="none" w:sz="0" w:space="0" w:color="auto"/>
                      </w:divBdr>
                    </w:div>
                  </w:divsChild>
                </w:div>
                <w:div w:id="1287934598">
                  <w:marLeft w:val="0"/>
                  <w:marRight w:val="0"/>
                  <w:marTop w:val="0"/>
                  <w:marBottom w:val="0"/>
                  <w:divBdr>
                    <w:top w:val="none" w:sz="0" w:space="0" w:color="auto"/>
                    <w:left w:val="none" w:sz="0" w:space="0" w:color="auto"/>
                    <w:bottom w:val="none" w:sz="0" w:space="0" w:color="auto"/>
                    <w:right w:val="none" w:sz="0" w:space="0" w:color="auto"/>
                  </w:divBdr>
                  <w:divsChild>
                    <w:div w:id="236289662">
                      <w:marLeft w:val="0"/>
                      <w:marRight w:val="0"/>
                      <w:marTop w:val="0"/>
                      <w:marBottom w:val="0"/>
                      <w:divBdr>
                        <w:top w:val="none" w:sz="0" w:space="0" w:color="auto"/>
                        <w:left w:val="none" w:sz="0" w:space="0" w:color="auto"/>
                        <w:bottom w:val="none" w:sz="0" w:space="0" w:color="auto"/>
                        <w:right w:val="none" w:sz="0" w:space="0" w:color="auto"/>
                      </w:divBdr>
                    </w:div>
                  </w:divsChild>
                </w:div>
                <w:div w:id="1298989534">
                  <w:marLeft w:val="0"/>
                  <w:marRight w:val="0"/>
                  <w:marTop w:val="0"/>
                  <w:marBottom w:val="0"/>
                  <w:divBdr>
                    <w:top w:val="none" w:sz="0" w:space="0" w:color="auto"/>
                    <w:left w:val="none" w:sz="0" w:space="0" w:color="auto"/>
                    <w:bottom w:val="none" w:sz="0" w:space="0" w:color="auto"/>
                    <w:right w:val="none" w:sz="0" w:space="0" w:color="auto"/>
                  </w:divBdr>
                  <w:divsChild>
                    <w:div w:id="1107656194">
                      <w:marLeft w:val="0"/>
                      <w:marRight w:val="0"/>
                      <w:marTop w:val="0"/>
                      <w:marBottom w:val="0"/>
                      <w:divBdr>
                        <w:top w:val="none" w:sz="0" w:space="0" w:color="auto"/>
                        <w:left w:val="none" w:sz="0" w:space="0" w:color="auto"/>
                        <w:bottom w:val="none" w:sz="0" w:space="0" w:color="auto"/>
                        <w:right w:val="none" w:sz="0" w:space="0" w:color="auto"/>
                      </w:divBdr>
                    </w:div>
                  </w:divsChild>
                </w:div>
                <w:div w:id="1308242337">
                  <w:marLeft w:val="0"/>
                  <w:marRight w:val="0"/>
                  <w:marTop w:val="0"/>
                  <w:marBottom w:val="0"/>
                  <w:divBdr>
                    <w:top w:val="none" w:sz="0" w:space="0" w:color="auto"/>
                    <w:left w:val="none" w:sz="0" w:space="0" w:color="auto"/>
                    <w:bottom w:val="none" w:sz="0" w:space="0" w:color="auto"/>
                    <w:right w:val="none" w:sz="0" w:space="0" w:color="auto"/>
                  </w:divBdr>
                  <w:divsChild>
                    <w:div w:id="1510948337">
                      <w:marLeft w:val="0"/>
                      <w:marRight w:val="0"/>
                      <w:marTop w:val="0"/>
                      <w:marBottom w:val="0"/>
                      <w:divBdr>
                        <w:top w:val="none" w:sz="0" w:space="0" w:color="auto"/>
                        <w:left w:val="none" w:sz="0" w:space="0" w:color="auto"/>
                        <w:bottom w:val="none" w:sz="0" w:space="0" w:color="auto"/>
                        <w:right w:val="none" w:sz="0" w:space="0" w:color="auto"/>
                      </w:divBdr>
                    </w:div>
                  </w:divsChild>
                </w:div>
                <w:div w:id="1321806610">
                  <w:marLeft w:val="0"/>
                  <w:marRight w:val="0"/>
                  <w:marTop w:val="0"/>
                  <w:marBottom w:val="0"/>
                  <w:divBdr>
                    <w:top w:val="none" w:sz="0" w:space="0" w:color="auto"/>
                    <w:left w:val="none" w:sz="0" w:space="0" w:color="auto"/>
                    <w:bottom w:val="none" w:sz="0" w:space="0" w:color="auto"/>
                    <w:right w:val="none" w:sz="0" w:space="0" w:color="auto"/>
                  </w:divBdr>
                  <w:divsChild>
                    <w:div w:id="1845433160">
                      <w:marLeft w:val="0"/>
                      <w:marRight w:val="0"/>
                      <w:marTop w:val="0"/>
                      <w:marBottom w:val="0"/>
                      <w:divBdr>
                        <w:top w:val="none" w:sz="0" w:space="0" w:color="auto"/>
                        <w:left w:val="none" w:sz="0" w:space="0" w:color="auto"/>
                        <w:bottom w:val="none" w:sz="0" w:space="0" w:color="auto"/>
                        <w:right w:val="none" w:sz="0" w:space="0" w:color="auto"/>
                      </w:divBdr>
                    </w:div>
                  </w:divsChild>
                </w:div>
                <w:div w:id="1322394171">
                  <w:marLeft w:val="0"/>
                  <w:marRight w:val="0"/>
                  <w:marTop w:val="0"/>
                  <w:marBottom w:val="0"/>
                  <w:divBdr>
                    <w:top w:val="none" w:sz="0" w:space="0" w:color="auto"/>
                    <w:left w:val="none" w:sz="0" w:space="0" w:color="auto"/>
                    <w:bottom w:val="none" w:sz="0" w:space="0" w:color="auto"/>
                    <w:right w:val="none" w:sz="0" w:space="0" w:color="auto"/>
                  </w:divBdr>
                  <w:divsChild>
                    <w:div w:id="986737620">
                      <w:marLeft w:val="0"/>
                      <w:marRight w:val="0"/>
                      <w:marTop w:val="0"/>
                      <w:marBottom w:val="0"/>
                      <w:divBdr>
                        <w:top w:val="none" w:sz="0" w:space="0" w:color="auto"/>
                        <w:left w:val="none" w:sz="0" w:space="0" w:color="auto"/>
                        <w:bottom w:val="none" w:sz="0" w:space="0" w:color="auto"/>
                        <w:right w:val="none" w:sz="0" w:space="0" w:color="auto"/>
                      </w:divBdr>
                    </w:div>
                  </w:divsChild>
                </w:div>
                <w:div w:id="1359697653">
                  <w:marLeft w:val="0"/>
                  <w:marRight w:val="0"/>
                  <w:marTop w:val="0"/>
                  <w:marBottom w:val="0"/>
                  <w:divBdr>
                    <w:top w:val="none" w:sz="0" w:space="0" w:color="auto"/>
                    <w:left w:val="none" w:sz="0" w:space="0" w:color="auto"/>
                    <w:bottom w:val="none" w:sz="0" w:space="0" w:color="auto"/>
                    <w:right w:val="none" w:sz="0" w:space="0" w:color="auto"/>
                  </w:divBdr>
                  <w:divsChild>
                    <w:div w:id="1731532443">
                      <w:marLeft w:val="0"/>
                      <w:marRight w:val="0"/>
                      <w:marTop w:val="0"/>
                      <w:marBottom w:val="0"/>
                      <w:divBdr>
                        <w:top w:val="none" w:sz="0" w:space="0" w:color="auto"/>
                        <w:left w:val="none" w:sz="0" w:space="0" w:color="auto"/>
                        <w:bottom w:val="none" w:sz="0" w:space="0" w:color="auto"/>
                        <w:right w:val="none" w:sz="0" w:space="0" w:color="auto"/>
                      </w:divBdr>
                    </w:div>
                  </w:divsChild>
                </w:div>
                <w:div w:id="1380712590">
                  <w:marLeft w:val="0"/>
                  <w:marRight w:val="0"/>
                  <w:marTop w:val="0"/>
                  <w:marBottom w:val="0"/>
                  <w:divBdr>
                    <w:top w:val="none" w:sz="0" w:space="0" w:color="auto"/>
                    <w:left w:val="none" w:sz="0" w:space="0" w:color="auto"/>
                    <w:bottom w:val="none" w:sz="0" w:space="0" w:color="auto"/>
                    <w:right w:val="none" w:sz="0" w:space="0" w:color="auto"/>
                  </w:divBdr>
                  <w:divsChild>
                    <w:div w:id="1938633246">
                      <w:marLeft w:val="0"/>
                      <w:marRight w:val="0"/>
                      <w:marTop w:val="0"/>
                      <w:marBottom w:val="0"/>
                      <w:divBdr>
                        <w:top w:val="none" w:sz="0" w:space="0" w:color="auto"/>
                        <w:left w:val="none" w:sz="0" w:space="0" w:color="auto"/>
                        <w:bottom w:val="none" w:sz="0" w:space="0" w:color="auto"/>
                        <w:right w:val="none" w:sz="0" w:space="0" w:color="auto"/>
                      </w:divBdr>
                    </w:div>
                  </w:divsChild>
                </w:div>
                <w:div w:id="1421442495">
                  <w:marLeft w:val="0"/>
                  <w:marRight w:val="0"/>
                  <w:marTop w:val="0"/>
                  <w:marBottom w:val="0"/>
                  <w:divBdr>
                    <w:top w:val="none" w:sz="0" w:space="0" w:color="auto"/>
                    <w:left w:val="none" w:sz="0" w:space="0" w:color="auto"/>
                    <w:bottom w:val="none" w:sz="0" w:space="0" w:color="auto"/>
                    <w:right w:val="none" w:sz="0" w:space="0" w:color="auto"/>
                  </w:divBdr>
                  <w:divsChild>
                    <w:div w:id="1375235459">
                      <w:marLeft w:val="0"/>
                      <w:marRight w:val="0"/>
                      <w:marTop w:val="0"/>
                      <w:marBottom w:val="0"/>
                      <w:divBdr>
                        <w:top w:val="none" w:sz="0" w:space="0" w:color="auto"/>
                        <w:left w:val="none" w:sz="0" w:space="0" w:color="auto"/>
                        <w:bottom w:val="none" w:sz="0" w:space="0" w:color="auto"/>
                        <w:right w:val="none" w:sz="0" w:space="0" w:color="auto"/>
                      </w:divBdr>
                    </w:div>
                  </w:divsChild>
                </w:div>
                <w:div w:id="1422795684">
                  <w:marLeft w:val="0"/>
                  <w:marRight w:val="0"/>
                  <w:marTop w:val="0"/>
                  <w:marBottom w:val="0"/>
                  <w:divBdr>
                    <w:top w:val="none" w:sz="0" w:space="0" w:color="auto"/>
                    <w:left w:val="none" w:sz="0" w:space="0" w:color="auto"/>
                    <w:bottom w:val="none" w:sz="0" w:space="0" w:color="auto"/>
                    <w:right w:val="none" w:sz="0" w:space="0" w:color="auto"/>
                  </w:divBdr>
                  <w:divsChild>
                    <w:div w:id="1919166692">
                      <w:marLeft w:val="0"/>
                      <w:marRight w:val="0"/>
                      <w:marTop w:val="0"/>
                      <w:marBottom w:val="0"/>
                      <w:divBdr>
                        <w:top w:val="none" w:sz="0" w:space="0" w:color="auto"/>
                        <w:left w:val="none" w:sz="0" w:space="0" w:color="auto"/>
                        <w:bottom w:val="none" w:sz="0" w:space="0" w:color="auto"/>
                        <w:right w:val="none" w:sz="0" w:space="0" w:color="auto"/>
                      </w:divBdr>
                    </w:div>
                  </w:divsChild>
                </w:div>
                <w:div w:id="1424838696">
                  <w:marLeft w:val="0"/>
                  <w:marRight w:val="0"/>
                  <w:marTop w:val="0"/>
                  <w:marBottom w:val="0"/>
                  <w:divBdr>
                    <w:top w:val="none" w:sz="0" w:space="0" w:color="auto"/>
                    <w:left w:val="none" w:sz="0" w:space="0" w:color="auto"/>
                    <w:bottom w:val="none" w:sz="0" w:space="0" w:color="auto"/>
                    <w:right w:val="none" w:sz="0" w:space="0" w:color="auto"/>
                  </w:divBdr>
                  <w:divsChild>
                    <w:div w:id="1541016225">
                      <w:marLeft w:val="0"/>
                      <w:marRight w:val="0"/>
                      <w:marTop w:val="0"/>
                      <w:marBottom w:val="0"/>
                      <w:divBdr>
                        <w:top w:val="none" w:sz="0" w:space="0" w:color="auto"/>
                        <w:left w:val="none" w:sz="0" w:space="0" w:color="auto"/>
                        <w:bottom w:val="none" w:sz="0" w:space="0" w:color="auto"/>
                        <w:right w:val="none" w:sz="0" w:space="0" w:color="auto"/>
                      </w:divBdr>
                    </w:div>
                  </w:divsChild>
                </w:div>
                <w:div w:id="1462457808">
                  <w:marLeft w:val="0"/>
                  <w:marRight w:val="0"/>
                  <w:marTop w:val="0"/>
                  <w:marBottom w:val="0"/>
                  <w:divBdr>
                    <w:top w:val="none" w:sz="0" w:space="0" w:color="auto"/>
                    <w:left w:val="none" w:sz="0" w:space="0" w:color="auto"/>
                    <w:bottom w:val="none" w:sz="0" w:space="0" w:color="auto"/>
                    <w:right w:val="none" w:sz="0" w:space="0" w:color="auto"/>
                  </w:divBdr>
                  <w:divsChild>
                    <w:div w:id="1003826602">
                      <w:marLeft w:val="0"/>
                      <w:marRight w:val="0"/>
                      <w:marTop w:val="0"/>
                      <w:marBottom w:val="0"/>
                      <w:divBdr>
                        <w:top w:val="none" w:sz="0" w:space="0" w:color="auto"/>
                        <w:left w:val="none" w:sz="0" w:space="0" w:color="auto"/>
                        <w:bottom w:val="none" w:sz="0" w:space="0" w:color="auto"/>
                        <w:right w:val="none" w:sz="0" w:space="0" w:color="auto"/>
                      </w:divBdr>
                    </w:div>
                  </w:divsChild>
                </w:div>
                <w:div w:id="1499005034">
                  <w:marLeft w:val="0"/>
                  <w:marRight w:val="0"/>
                  <w:marTop w:val="0"/>
                  <w:marBottom w:val="0"/>
                  <w:divBdr>
                    <w:top w:val="none" w:sz="0" w:space="0" w:color="auto"/>
                    <w:left w:val="none" w:sz="0" w:space="0" w:color="auto"/>
                    <w:bottom w:val="none" w:sz="0" w:space="0" w:color="auto"/>
                    <w:right w:val="none" w:sz="0" w:space="0" w:color="auto"/>
                  </w:divBdr>
                  <w:divsChild>
                    <w:div w:id="419253192">
                      <w:marLeft w:val="0"/>
                      <w:marRight w:val="0"/>
                      <w:marTop w:val="0"/>
                      <w:marBottom w:val="0"/>
                      <w:divBdr>
                        <w:top w:val="none" w:sz="0" w:space="0" w:color="auto"/>
                        <w:left w:val="none" w:sz="0" w:space="0" w:color="auto"/>
                        <w:bottom w:val="none" w:sz="0" w:space="0" w:color="auto"/>
                        <w:right w:val="none" w:sz="0" w:space="0" w:color="auto"/>
                      </w:divBdr>
                    </w:div>
                  </w:divsChild>
                </w:div>
                <w:div w:id="1506549502">
                  <w:marLeft w:val="0"/>
                  <w:marRight w:val="0"/>
                  <w:marTop w:val="0"/>
                  <w:marBottom w:val="0"/>
                  <w:divBdr>
                    <w:top w:val="none" w:sz="0" w:space="0" w:color="auto"/>
                    <w:left w:val="none" w:sz="0" w:space="0" w:color="auto"/>
                    <w:bottom w:val="none" w:sz="0" w:space="0" w:color="auto"/>
                    <w:right w:val="none" w:sz="0" w:space="0" w:color="auto"/>
                  </w:divBdr>
                  <w:divsChild>
                    <w:div w:id="1429426007">
                      <w:marLeft w:val="0"/>
                      <w:marRight w:val="0"/>
                      <w:marTop w:val="0"/>
                      <w:marBottom w:val="0"/>
                      <w:divBdr>
                        <w:top w:val="none" w:sz="0" w:space="0" w:color="auto"/>
                        <w:left w:val="none" w:sz="0" w:space="0" w:color="auto"/>
                        <w:bottom w:val="none" w:sz="0" w:space="0" w:color="auto"/>
                        <w:right w:val="none" w:sz="0" w:space="0" w:color="auto"/>
                      </w:divBdr>
                    </w:div>
                  </w:divsChild>
                </w:div>
                <w:div w:id="1531532172">
                  <w:marLeft w:val="0"/>
                  <w:marRight w:val="0"/>
                  <w:marTop w:val="0"/>
                  <w:marBottom w:val="0"/>
                  <w:divBdr>
                    <w:top w:val="none" w:sz="0" w:space="0" w:color="auto"/>
                    <w:left w:val="none" w:sz="0" w:space="0" w:color="auto"/>
                    <w:bottom w:val="none" w:sz="0" w:space="0" w:color="auto"/>
                    <w:right w:val="none" w:sz="0" w:space="0" w:color="auto"/>
                  </w:divBdr>
                  <w:divsChild>
                    <w:div w:id="824510063">
                      <w:marLeft w:val="0"/>
                      <w:marRight w:val="0"/>
                      <w:marTop w:val="0"/>
                      <w:marBottom w:val="0"/>
                      <w:divBdr>
                        <w:top w:val="none" w:sz="0" w:space="0" w:color="auto"/>
                        <w:left w:val="none" w:sz="0" w:space="0" w:color="auto"/>
                        <w:bottom w:val="none" w:sz="0" w:space="0" w:color="auto"/>
                        <w:right w:val="none" w:sz="0" w:space="0" w:color="auto"/>
                      </w:divBdr>
                    </w:div>
                  </w:divsChild>
                </w:div>
                <w:div w:id="1535800573">
                  <w:marLeft w:val="0"/>
                  <w:marRight w:val="0"/>
                  <w:marTop w:val="0"/>
                  <w:marBottom w:val="0"/>
                  <w:divBdr>
                    <w:top w:val="none" w:sz="0" w:space="0" w:color="auto"/>
                    <w:left w:val="none" w:sz="0" w:space="0" w:color="auto"/>
                    <w:bottom w:val="none" w:sz="0" w:space="0" w:color="auto"/>
                    <w:right w:val="none" w:sz="0" w:space="0" w:color="auto"/>
                  </w:divBdr>
                  <w:divsChild>
                    <w:div w:id="835536793">
                      <w:marLeft w:val="0"/>
                      <w:marRight w:val="0"/>
                      <w:marTop w:val="0"/>
                      <w:marBottom w:val="0"/>
                      <w:divBdr>
                        <w:top w:val="none" w:sz="0" w:space="0" w:color="auto"/>
                        <w:left w:val="none" w:sz="0" w:space="0" w:color="auto"/>
                        <w:bottom w:val="none" w:sz="0" w:space="0" w:color="auto"/>
                        <w:right w:val="none" w:sz="0" w:space="0" w:color="auto"/>
                      </w:divBdr>
                    </w:div>
                  </w:divsChild>
                </w:div>
                <w:div w:id="1547134749">
                  <w:marLeft w:val="0"/>
                  <w:marRight w:val="0"/>
                  <w:marTop w:val="0"/>
                  <w:marBottom w:val="0"/>
                  <w:divBdr>
                    <w:top w:val="none" w:sz="0" w:space="0" w:color="auto"/>
                    <w:left w:val="none" w:sz="0" w:space="0" w:color="auto"/>
                    <w:bottom w:val="none" w:sz="0" w:space="0" w:color="auto"/>
                    <w:right w:val="none" w:sz="0" w:space="0" w:color="auto"/>
                  </w:divBdr>
                  <w:divsChild>
                    <w:div w:id="541793665">
                      <w:marLeft w:val="0"/>
                      <w:marRight w:val="0"/>
                      <w:marTop w:val="0"/>
                      <w:marBottom w:val="0"/>
                      <w:divBdr>
                        <w:top w:val="none" w:sz="0" w:space="0" w:color="auto"/>
                        <w:left w:val="none" w:sz="0" w:space="0" w:color="auto"/>
                        <w:bottom w:val="none" w:sz="0" w:space="0" w:color="auto"/>
                        <w:right w:val="none" w:sz="0" w:space="0" w:color="auto"/>
                      </w:divBdr>
                    </w:div>
                  </w:divsChild>
                </w:div>
                <w:div w:id="1655178340">
                  <w:marLeft w:val="0"/>
                  <w:marRight w:val="0"/>
                  <w:marTop w:val="0"/>
                  <w:marBottom w:val="0"/>
                  <w:divBdr>
                    <w:top w:val="none" w:sz="0" w:space="0" w:color="auto"/>
                    <w:left w:val="none" w:sz="0" w:space="0" w:color="auto"/>
                    <w:bottom w:val="none" w:sz="0" w:space="0" w:color="auto"/>
                    <w:right w:val="none" w:sz="0" w:space="0" w:color="auto"/>
                  </w:divBdr>
                  <w:divsChild>
                    <w:div w:id="1527788804">
                      <w:marLeft w:val="0"/>
                      <w:marRight w:val="0"/>
                      <w:marTop w:val="0"/>
                      <w:marBottom w:val="0"/>
                      <w:divBdr>
                        <w:top w:val="none" w:sz="0" w:space="0" w:color="auto"/>
                        <w:left w:val="none" w:sz="0" w:space="0" w:color="auto"/>
                        <w:bottom w:val="none" w:sz="0" w:space="0" w:color="auto"/>
                        <w:right w:val="none" w:sz="0" w:space="0" w:color="auto"/>
                      </w:divBdr>
                    </w:div>
                  </w:divsChild>
                </w:div>
                <w:div w:id="1797334552">
                  <w:marLeft w:val="0"/>
                  <w:marRight w:val="0"/>
                  <w:marTop w:val="0"/>
                  <w:marBottom w:val="0"/>
                  <w:divBdr>
                    <w:top w:val="none" w:sz="0" w:space="0" w:color="auto"/>
                    <w:left w:val="none" w:sz="0" w:space="0" w:color="auto"/>
                    <w:bottom w:val="none" w:sz="0" w:space="0" w:color="auto"/>
                    <w:right w:val="none" w:sz="0" w:space="0" w:color="auto"/>
                  </w:divBdr>
                  <w:divsChild>
                    <w:div w:id="1874997347">
                      <w:marLeft w:val="0"/>
                      <w:marRight w:val="0"/>
                      <w:marTop w:val="0"/>
                      <w:marBottom w:val="0"/>
                      <w:divBdr>
                        <w:top w:val="none" w:sz="0" w:space="0" w:color="auto"/>
                        <w:left w:val="none" w:sz="0" w:space="0" w:color="auto"/>
                        <w:bottom w:val="none" w:sz="0" w:space="0" w:color="auto"/>
                        <w:right w:val="none" w:sz="0" w:space="0" w:color="auto"/>
                      </w:divBdr>
                    </w:div>
                  </w:divsChild>
                </w:div>
                <w:div w:id="1823739526">
                  <w:marLeft w:val="0"/>
                  <w:marRight w:val="0"/>
                  <w:marTop w:val="0"/>
                  <w:marBottom w:val="0"/>
                  <w:divBdr>
                    <w:top w:val="none" w:sz="0" w:space="0" w:color="auto"/>
                    <w:left w:val="none" w:sz="0" w:space="0" w:color="auto"/>
                    <w:bottom w:val="none" w:sz="0" w:space="0" w:color="auto"/>
                    <w:right w:val="none" w:sz="0" w:space="0" w:color="auto"/>
                  </w:divBdr>
                  <w:divsChild>
                    <w:div w:id="697968022">
                      <w:marLeft w:val="0"/>
                      <w:marRight w:val="0"/>
                      <w:marTop w:val="0"/>
                      <w:marBottom w:val="0"/>
                      <w:divBdr>
                        <w:top w:val="none" w:sz="0" w:space="0" w:color="auto"/>
                        <w:left w:val="none" w:sz="0" w:space="0" w:color="auto"/>
                        <w:bottom w:val="none" w:sz="0" w:space="0" w:color="auto"/>
                        <w:right w:val="none" w:sz="0" w:space="0" w:color="auto"/>
                      </w:divBdr>
                    </w:div>
                  </w:divsChild>
                </w:div>
                <w:div w:id="1845626807">
                  <w:marLeft w:val="0"/>
                  <w:marRight w:val="0"/>
                  <w:marTop w:val="0"/>
                  <w:marBottom w:val="0"/>
                  <w:divBdr>
                    <w:top w:val="none" w:sz="0" w:space="0" w:color="auto"/>
                    <w:left w:val="none" w:sz="0" w:space="0" w:color="auto"/>
                    <w:bottom w:val="none" w:sz="0" w:space="0" w:color="auto"/>
                    <w:right w:val="none" w:sz="0" w:space="0" w:color="auto"/>
                  </w:divBdr>
                  <w:divsChild>
                    <w:div w:id="1659574690">
                      <w:marLeft w:val="0"/>
                      <w:marRight w:val="0"/>
                      <w:marTop w:val="0"/>
                      <w:marBottom w:val="0"/>
                      <w:divBdr>
                        <w:top w:val="none" w:sz="0" w:space="0" w:color="auto"/>
                        <w:left w:val="none" w:sz="0" w:space="0" w:color="auto"/>
                        <w:bottom w:val="none" w:sz="0" w:space="0" w:color="auto"/>
                        <w:right w:val="none" w:sz="0" w:space="0" w:color="auto"/>
                      </w:divBdr>
                    </w:div>
                  </w:divsChild>
                </w:div>
                <w:div w:id="1890337033">
                  <w:marLeft w:val="0"/>
                  <w:marRight w:val="0"/>
                  <w:marTop w:val="0"/>
                  <w:marBottom w:val="0"/>
                  <w:divBdr>
                    <w:top w:val="none" w:sz="0" w:space="0" w:color="auto"/>
                    <w:left w:val="none" w:sz="0" w:space="0" w:color="auto"/>
                    <w:bottom w:val="none" w:sz="0" w:space="0" w:color="auto"/>
                    <w:right w:val="none" w:sz="0" w:space="0" w:color="auto"/>
                  </w:divBdr>
                  <w:divsChild>
                    <w:div w:id="153298806">
                      <w:marLeft w:val="0"/>
                      <w:marRight w:val="0"/>
                      <w:marTop w:val="0"/>
                      <w:marBottom w:val="0"/>
                      <w:divBdr>
                        <w:top w:val="none" w:sz="0" w:space="0" w:color="auto"/>
                        <w:left w:val="none" w:sz="0" w:space="0" w:color="auto"/>
                        <w:bottom w:val="none" w:sz="0" w:space="0" w:color="auto"/>
                        <w:right w:val="none" w:sz="0" w:space="0" w:color="auto"/>
                      </w:divBdr>
                    </w:div>
                  </w:divsChild>
                </w:div>
                <w:div w:id="1906602083">
                  <w:marLeft w:val="0"/>
                  <w:marRight w:val="0"/>
                  <w:marTop w:val="0"/>
                  <w:marBottom w:val="0"/>
                  <w:divBdr>
                    <w:top w:val="none" w:sz="0" w:space="0" w:color="auto"/>
                    <w:left w:val="none" w:sz="0" w:space="0" w:color="auto"/>
                    <w:bottom w:val="none" w:sz="0" w:space="0" w:color="auto"/>
                    <w:right w:val="none" w:sz="0" w:space="0" w:color="auto"/>
                  </w:divBdr>
                  <w:divsChild>
                    <w:div w:id="1946885365">
                      <w:marLeft w:val="0"/>
                      <w:marRight w:val="0"/>
                      <w:marTop w:val="0"/>
                      <w:marBottom w:val="0"/>
                      <w:divBdr>
                        <w:top w:val="none" w:sz="0" w:space="0" w:color="auto"/>
                        <w:left w:val="none" w:sz="0" w:space="0" w:color="auto"/>
                        <w:bottom w:val="none" w:sz="0" w:space="0" w:color="auto"/>
                        <w:right w:val="none" w:sz="0" w:space="0" w:color="auto"/>
                      </w:divBdr>
                    </w:div>
                  </w:divsChild>
                </w:div>
                <w:div w:id="1929655419">
                  <w:marLeft w:val="0"/>
                  <w:marRight w:val="0"/>
                  <w:marTop w:val="0"/>
                  <w:marBottom w:val="0"/>
                  <w:divBdr>
                    <w:top w:val="none" w:sz="0" w:space="0" w:color="auto"/>
                    <w:left w:val="none" w:sz="0" w:space="0" w:color="auto"/>
                    <w:bottom w:val="none" w:sz="0" w:space="0" w:color="auto"/>
                    <w:right w:val="none" w:sz="0" w:space="0" w:color="auto"/>
                  </w:divBdr>
                  <w:divsChild>
                    <w:div w:id="544223215">
                      <w:marLeft w:val="0"/>
                      <w:marRight w:val="0"/>
                      <w:marTop w:val="0"/>
                      <w:marBottom w:val="0"/>
                      <w:divBdr>
                        <w:top w:val="none" w:sz="0" w:space="0" w:color="auto"/>
                        <w:left w:val="none" w:sz="0" w:space="0" w:color="auto"/>
                        <w:bottom w:val="none" w:sz="0" w:space="0" w:color="auto"/>
                        <w:right w:val="none" w:sz="0" w:space="0" w:color="auto"/>
                      </w:divBdr>
                    </w:div>
                  </w:divsChild>
                </w:div>
                <w:div w:id="1930649987">
                  <w:marLeft w:val="0"/>
                  <w:marRight w:val="0"/>
                  <w:marTop w:val="0"/>
                  <w:marBottom w:val="0"/>
                  <w:divBdr>
                    <w:top w:val="none" w:sz="0" w:space="0" w:color="auto"/>
                    <w:left w:val="none" w:sz="0" w:space="0" w:color="auto"/>
                    <w:bottom w:val="none" w:sz="0" w:space="0" w:color="auto"/>
                    <w:right w:val="none" w:sz="0" w:space="0" w:color="auto"/>
                  </w:divBdr>
                  <w:divsChild>
                    <w:div w:id="1035930110">
                      <w:marLeft w:val="0"/>
                      <w:marRight w:val="0"/>
                      <w:marTop w:val="0"/>
                      <w:marBottom w:val="0"/>
                      <w:divBdr>
                        <w:top w:val="none" w:sz="0" w:space="0" w:color="auto"/>
                        <w:left w:val="none" w:sz="0" w:space="0" w:color="auto"/>
                        <w:bottom w:val="none" w:sz="0" w:space="0" w:color="auto"/>
                        <w:right w:val="none" w:sz="0" w:space="0" w:color="auto"/>
                      </w:divBdr>
                    </w:div>
                  </w:divsChild>
                </w:div>
                <w:div w:id="1973167311">
                  <w:marLeft w:val="0"/>
                  <w:marRight w:val="0"/>
                  <w:marTop w:val="0"/>
                  <w:marBottom w:val="0"/>
                  <w:divBdr>
                    <w:top w:val="none" w:sz="0" w:space="0" w:color="auto"/>
                    <w:left w:val="none" w:sz="0" w:space="0" w:color="auto"/>
                    <w:bottom w:val="none" w:sz="0" w:space="0" w:color="auto"/>
                    <w:right w:val="none" w:sz="0" w:space="0" w:color="auto"/>
                  </w:divBdr>
                  <w:divsChild>
                    <w:div w:id="1628659825">
                      <w:marLeft w:val="0"/>
                      <w:marRight w:val="0"/>
                      <w:marTop w:val="0"/>
                      <w:marBottom w:val="0"/>
                      <w:divBdr>
                        <w:top w:val="none" w:sz="0" w:space="0" w:color="auto"/>
                        <w:left w:val="none" w:sz="0" w:space="0" w:color="auto"/>
                        <w:bottom w:val="none" w:sz="0" w:space="0" w:color="auto"/>
                        <w:right w:val="none" w:sz="0" w:space="0" w:color="auto"/>
                      </w:divBdr>
                    </w:div>
                  </w:divsChild>
                </w:div>
                <w:div w:id="1978221381">
                  <w:marLeft w:val="0"/>
                  <w:marRight w:val="0"/>
                  <w:marTop w:val="0"/>
                  <w:marBottom w:val="0"/>
                  <w:divBdr>
                    <w:top w:val="none" w:sz="0" w:space="0" w:color="auto"/>
                    <w:left w:val="none" w:sz="0" w:space="0" w:color="auto"/>
                    <w:bottom w:val="none" w:sz="0" w:space="0" w:color="auto"/>
                    <w:right w:val="none" w:sz="0" w:space="0" w:color="auto"/>
                  </w:divBdr>
                  <w:divsChild>
                    <w:div w:id="224608417">
                      <w:marLeft w:val="0"/>
                      <w:marRight w:val="0"/>
                      <w:marTop w:val="0"/>
                      <w:marBottom w:val="0"/>
                      <w:divBdr>
                        <w:top w:val="none" w:sz="0" w:space="0" w:color="auto"/>
                        <w:left w:val="none" w:sz="0" w:space="0" w:color="auto"/>
                        <w:bottom w:val="none" w:sz="0" w:space="0" w:color="auto"/>
                        <w:right w:val="none" w:sz="0" w:space="0" w:color="auto"/>
                      </w:divBdr>
                    </w:div>
                  </w:divsChild>
                </w:div>
                <w:div w:id="1991059289">
                  <w:marLeft w:val="0"/>
                  <w:marRight w:val="0"/>
                  <w:marTop w:val="0"/>
                  <w:marBottom w:val="0"/>
                  <w:divBdr>
                    <w:top w:val="none" w:sz="0" w:space="0" w:color="auto"/>
                    <w:left w:val="none" w:sz="0" w:space="0" w:color="auto"/>
                    <w:bottom w:val="none" w:sz="0" w:space="0" w:color="auto"/>
                    <w:right w:val="none" w:sz="0" w:space="0" w:color="auto"/>
                  </w:divBdr>
                  <w:divsChild>
                    <w:div w:id="538124433">
                      <w:marLeft w:val="0"/>
                      <w:marRight w:val="0"/>
                      <w:marTop w:val="0"/>
                      <w:marBottom w:val="0"/>
                      <w:divBdr>
                        <w:top w:val="none" w:sz="0" w:space="0" w:color="auto"/>
                        <w:left w:val="none" w:sz="0" w:space="0" w:color="auto"/>
                        <w:bottom w:val="none" w:sz="0" w:space="0" w:color="auto"/>
                        <w:right w:val="none" w:sz="0" w:space="0" w:color="auto"/>
                      </w:divBdr>
                    </w:div>
                  </w:divsChild>
                </w:div>
                <w:div w:id="2008291621">
                  <w:marLeft w:val="0"/>
                  <w:marRight w:val="0"/>
                  <w:marTop w:val="0"/>
                  <w:marBottom w:val="0"/>
                  <w:divBdr>
                    <w:top w:val="none" w:sz="0" w:space="0" w:color="auto"/>
                    <w:left w:val="none" w:sz="0" w:space="0" w:color="auto"/>
                    <w:bottom w:val="none" w:sz="0" w:space="0" w:color="auto"/>
                    <w:right w:val="none" w:sz="0" w:space="0" w:color="auto"/>
                  </w:divBdr>
                  <w:divsChild>
                    <w:div w:id="1443766624">
                      <w:marLeft w:val="0"/>
                      <w:marRight w:val="0"/>
                      <w:marTop w:val="0"/>
                      <w:marBottom w:val="0"/>
                      <w:divBdr>
                        <w:top w:val="none" w:sz="0" w:space="0" w:color="auto"/>
                        <w:left w:val="none" w:sz="0" w:space="0" w:color="auto"/>
                        <w:bottom w:val="none" w:sz="0" w:space="0" w:color="auto"/>
                        <w:right w:val="none" w:sz="0" w:space="0" w:color="auto"/>
                      </w:divBdr>
                    </w:div>
                  </w:divsChild>
                </w:div>
                <w:div w:id="2016104084">
                  <w:marLeft w:val="0"/>
                  <w:marRight w:val="0"/>
                  <w:marTop w:val="0"/>
                  <w:marBottom w:val="0"/>
                  <w:divBdr>
                    <w:top w:val="none" w:sz="0" w:space="0" w:color="auto"/>
                    <w:left w:val="none" w:sz="0" w:space="0" w:color="auto"/>
                    <w:bottom w:val="none" w:sz="0" w:space="0" w:color="auto"/>
                    <w:right w:val="none" w:sz="0" w:space="0" w:color="auto"/>
                  </w:divBdr>
                  <w:divsChild>
                    <w:div w:id="60106291">
                      <w:marLeft w:val="0"/>
                      <w:marRight w:val="0"/>
                      <w:marTop w:val="0"/>
                      <w:marBottom w:val="0"/>
                      <w:divBdr>
                        <w:top w:val="none" w:sz="0" w:space="0" w:color="auto"/>
                        <w:left w:val="none" w:sz="0" w:space="0" w:color="auto"/>
                        <w:bottom w:val="none" w:sz="0" w:space="0" w:color="auto"/>
                        <w:right w:val="none" w:sz="0" w:space="0" w:color="auto"/>
                      </w:divBdr>
                    </w:div>
                  </w:divsChild>
                </w:div>
                <w:div w:id="2026402455">
                  <w:marLeft w:val="0"/>
                  <w:marRight w:val="0"/>
                  <w:marTop w:val="0"/>
                  <w:marBottom w:val="0"/>
                  <w:divBdr>
                    <w:top w:val="none" w:sz="0" w:space="0" w:color="auto"/>
                    <w:left w:val="none" w:sz="0" w:space="0" w:color="auto"/>
                    <w:bottom w:val="none" w:sz="0" w:space="0" w:color="auto"/>
                    <w:right w:val="none" w:sz="0" w:space="0" w:color="auto"/>
                  </w:divBdr>
                  <w:divsChild>
                    <w:div w:id="1723670243">
                      <w:marLeft w:val="0"/>
                      <w:marRight w:val="0"/>
                      <w:marTop w:val="0"/>
                      <w:marBottom w:val="0"/>
                      <w:divBdr>
                        <w:top w:val="none" w:sz="0" w:space="0" w:color="auto"/>
                        <w:left w:val="none" w:sz="0" w:space="0" w:color="auto"/>
                        <w:bottom w:val="none" w:sz="0" w:space="0" w:color="auto"/>
                        <w:right w:val="none" w:sz="0" w:space="0" w:color="auto"/>
                      </w:divBdr>
                    </w:div>
                  </w:divsChild>
                </w:div>
                <w:div w:id="2029914275">
                  <w:marLeft w:val="0"/>
                  <w:marRight w:val="0"/>
                  <w:marTop w:val="0"/>
                  <w:marBottom w:val="0"/>
                  <w:divBdr>
                    <w:top w:val="none" w:sz="0" w:space="0" w:color="auto"/>
                    <w:left w:val="none" w:sz="0" w:space="0" w:color="auto"/>
                    <w:bottom w:val="none" w:sz="0" w:space="0" w:color="auto"/>
                    <w:right w:val="none" w:sz="0" w:space="0" w:color="auto"/>
                  </w:divBdr>
                  <w:divsChild>
                    <w:div w:id="1111122460">
                      <w:marLeft w:val="0"/>
                      <w:marRight w:val="0"/>
                      <w:marTop w:val="0"/>
                      <w:marBottom w:val="0"/>
                      <w:divBdr>
                        <w:top w:val="none" w:sz="0" w:space="0" w:color="auto"/>
                        <w:left w:val="none" w:sz="0" w:space="0" w:color="auto"/>
                        <w:bottom w:val="none" w:sz="0" w:space="0" w:color="auto"/>
                        <w:right w:val="none" w:sz="0" w:space="0" w:color="auto"/>
                      </w:divBdr>
                    </w:div>
                  </w:divsChild>
                </w:div>
                <w:div w:id="2034266533">
                  <w:marLeft w:val="0"/>
                  <w:marRight w:val="0"/>
                  <w:marTop w:val="0"/>
                  <w:marBottom w:val="0"/>
                  <w:divBdr>
                    <w:top w:val="none" w:sz="0" w:space="0" w:color="auto"/>
                    <w:left w:val="none" w:sz="0" w:space="0" w:color="auto"/>
                    <w:bottom w:val="none" w:sz="0" w:space="0" w:color="auto"/>
                    <w:right w:val="none" w:sz="0" w:space="0" w:color="auto"/>
                  </w:divBdr>
                  <w:divsChild>
                    <w:div w:id="727074791">
                      <w:marLeft w:val="0"/>
                      <w:marRight w:val="0"/>
                      <w:marTop w:val="0"/>
                      <w:marBottom w:val="0"/>
                      <w:divBdr>
                        <w:top w:val="none" w:sz="0" w:space="0" w:color="auto"/>
                        <w:left w:val="none" w:sz="0" w:space="0" w:color="auto"/>
                        <w:bottom w:val="none" w:sz="0" w:space="0" w:color="auto"/>
                        <w:right w:val="none" w:sz="0" w:space="0" w:color="auto"/>
                      </w:divBdr>
                    </w:div>
                  </w:divsChild>
                </w:div>
                <w:div w:id="2038845859">
                  <w:marLeft w:val="0"/>
                  <w:marRight w:val="0"/>
                  <w:marTop w:val="0"/>
                  <w:marBottom w:val="0"/>
                  <w:divBdr>
                    <w:top w:val="none" w:sz="0" w:space="0" w:color="auto"/>
                    <w:left w:val="none" w:sz="0" w:space="0" w:color="auto"/>
                    <w:bottom w:val="none" w:sz="0" w:space="0" w:color="auto"/>
                    <w:right w:val="none" w:sz="0" w:space="0" w:color="auto"/>
                  </w:divBdr>
                  <w:divsChild>
                    <w:div w:id="2146577534">
                      <w:marLeft w:val="0"/>
                      <w:marRight w:val="0"/>
                      <w:marTop w:val="0"/>
                      <w:marBottom w:val="0"/>
                      <w:divBdr>
                        <w:top w:val="none" w:sz="0" w:space="0" w:color="auto"/>
                        <w:left w:val="none" w:sz="0" w:space="0" w:color="auto"/>
                        <w:bottom w:val="none" w:sz="0" w:space="0" w:color="auto"/>
                        <w:right w:val="none" w:sz="0" w:space="0" w:color="auto"/>
                      </w:divBdr>
                    </w:div>
                  </w:divsChild>
                </w:div>
                <w:div w:id="2064910635">
                  <w:marLeft w:val="0"/>
                  <w:marRight w:val="0"/>
                  <w:marTop w:val="0"/>
                  <w:marBottom w:val="0"/>
                  <w:divBdr>
                    <w:top w:val="none" w:sz="0" w:space="0" w:color="auto"/>
                    <w:left w:val="none" w:sz="0" w:space="0" w:color="auto"/>
                    <w:bottom w:val="none" w:sz="0" w:space="0" w:color="auto"/>
                    <w:right w:val="none" w:sz="0" w:space="0" w:color="auto"/>
                  </w:divBdr>
                  <w:divsChild>
                    <w:div w:id="1341740281">
                      <w:marLeft w:val="0"/>
                      <w:marRight w:val="0"/>
                      <w:marTop w:val="0"/>
                      <w:marBottom w:val="0"/>
                      <w:divBdr>
                        <w:top w:val="none" w:sz="0" w:space="0" w:color="auto"/>
                        <w:left w:val="none" w:sz="0" w:space="0" w:color="auto"/>
                        <w:bottom w:val="none" w:sz="0" w:space="0" w:color="auto"/>
                        <w:right w:val="none" w:sz="0" w:space="0" w:color="auto"/>
                      </w:divBdr>
                    </w:div>
                  </w:divsChild>
                </w:div>
                <w:div w:id="2090152604">
                  <w:marLeft w:val="0"/>
                  <w:marRight w:val="0"/>
                  <w:marTop w:val="0"/>
                  <w:marBottom w:val="0"/>
                  <w:divBdr>
                    <w:top w:val="none" w:sz="0" w:space="0" w:color="auto"/>
                    <w:left w:val="none" w:sz="0" w:space="0" w:color="auto"/>
                    <w:bottom w:val="none" w:sz="0" w:space="0" w:color="auto"/>
                    <w:right w:val="none" w:sz="0" w:space="0" w:color="auto"/>
                  </w:divBdr>
                  <w:divsChild>
                    <w:div w:id="1326472725">
                      <w:marLeft w:val="0"/>
                      <w:marRight w:val="0"/>
                      <w:marTop w:val="0"/>
                      <w:marBottom w:val="0"/>
                      <w:divBdr>
                        <w:top w:val="none" w:sz="0" w:space="0" w:color="auto"/>
                        <w:left w:val="none" w:sz="0" w:space="0" w:color="auto"/>
                        <w:bottom w:val="none" w:sz="0" w:space="0" w:color="auto"/>
                        <w:right w:val="none" w:sz="0" w:space="0" w:color="auto"/>
                      </w:divBdr>
                    </w:div>
                  </w:divsChild>
                </w:div>
                <w:div w:id="2102674392">
                  <w:marLeft w:val="0"/>
                  <w:marRight w:val="0"/>
                  <w:marTop w:val="0"/>
                  <w:marBottom w:val="0"/>
                  <w:divBdr>
                    <w:top w:val="none" w:sz="0" w:space="0" w:color="auto"/>
                    <w:left w:val="none" w:sz="0" w:space="0" w:color="auto"/>
                    <w:bottom w:val="none" w:sz="0" w:space="0" w:color="auto"/>
                    <w:right w:val="none" w:sz="0" w:space="0" w:color="auto"/>
                  </w:divBdr>
                  <w:divsChild>
                    <w:div w:id="316157525">
                      <w:marLeft w:val="0"/>
                      <w:marRight w:val="0"/>
                      <w:marTop w:val="0"/>
                      <w:marBottom w:val="0"/>
                      <w:divBdr>
                        <w:top w:val="none" w:sz="0" w:space="0" w:color="auto"/>
                        <w:left w:val="none" w:sz="0" w:space="0" w:color="auto"/>
                        <w:bottom w:val="none" w:sz="0" w:space="0" w:color="auto"/>
                        <w:right w:val="none" w:sz="0" w:space="0" w:color="auto"/>
                      </w:divBdr>
                    </w:div>
                  </w:divsChild>
                </w:div>
                <w:div w:id="2112777306">
                  <w:marLeft w:val="0"/>
                  <w:marRight w:val="0"/>
                  <w:marTop w:val="0"/>
                  <w:marBottom w:val="0"/>
                  <w:divBdr>
                    <w:top w:val="none" w:sz="0" w:space="0" w:color="auto"/>
                    <w:left w:val="none" w:sz="0" w:space="0" w:color="auto"/>
                    <w:bottom w:val="none" w:sz="0" w:space="0" w:color="auto"/>
                    <w:right w:val="none" w:sz="0" w:space="0" w:color="auto"/>
                  </w:divBdr>
                  <w:divsChild>
                    <w:div w:id="848637508">
                      <w:marLeft w:val="0"/>
                      <w:marRight w:val="0"/>
                      <w:marTop w:val="0"/>
                      <w:marBottom w:val="0"/>
                      <w:divBdr>
                        <w:top w:val="none" w:sz="0" w:space="0" w:color="auto"/>
                        <w:left w:val="none" w:sz="0" w:space="0" w:color="auto"/>
                        <w:bottom w:val="none" w:sz="0" w:space="0" w:color="auto"/>
                        <w:right w:val="none" w:sz="0" w:space="0" w:color="auto"/>
                      </w:divBdr>
                    </w:div>
                  </w:divsChild>
                </w:div>
                <w:div w:id="2143384562">
                  <w:marLeft w:val="0"/>
                  <w:marRight w:val="0"/>
                  <w:marTop w:val="0"/>
                  <w:marBottom w:val="0"/>
                  <w:divBdr>
                    <w:top w:val="none" w:sz="0" w:space="0" w:color="auto"/>
                    <w:left w:val="none" w:sz="0" w:space="0" w:color="auto"/>
                    <w:bottom w:val="none" w:sz="0" w:space="0" w:color="auto"/>
                    <w:right w:val="none" w:sz="0" w:space="0" w:color="auto"/>
                  </w:divBdr>
                  <w:divsChild>
                    <w:div w:id="924343756">
                      <w:marLeft w:val="0"/>
                      <w:marRight w:val="0"/>
                      <w:marTop w:val="0"/>
                      <w:marBottom w:val="0"/>
                      <w:divBdr>
                        <w:top w:val="none" w:sz="0" w:space="0" w:color="auto"/>
                        <w:left w:val="none" w:sz="0" w:space="0" w:color="auto"/>
                        <w:bottom w:val="none" w:sz="0" w:space="0" w:color="auto"/>
                        <w:right w:val="none" w:sz="0" w:space="0" w:color="auto"/>
                      </w:divBdr>
                    </w:div>
                  </w:divsChild>
                </w:div>
                <w:div w:id="2144542144">
                  <w:marLeft w:val="0"/>
                  <w:marRight w:val="0"/>
                  <w:marTop w:val="0"/>
                  <w:marBottom w:val="0"/>
                  <w:divBdr>
                    <w:top w:val="none" w:sz="0" w:space="0" w:color="auto"/>
                    <w:left w:val="none" w:sz="0" w:space="0" w:color="auto"/>
                    <w:bottom w:val="none" w:sz="0" w:space="0" w:color="auto"/>
                    <w:right w:val="none" w:sz="0" w:space="0" w:color="auto"/>
                  </w:divBdr>
                  <w:divsChild>
                    <w:div w:id="18370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91681">
          <w:marLeft w:val="0"/>
          <w:marRight w:val="0"/>
          <w:marTop w:val="0"/>
          <w:marBottom w:val="0"/>
          <w:divBdr>
            <w:top w:val="none" w:sz="0" w:space="0" w:color="auto"/>
            <w:left w:val="none" w:sz="0" w:space="0" w:color="auto"/>
            <w:bottom w:val="none" w:sz="0" w:space="0" w:color="auto"/>
            <w:right w:val="none" w:sz="0" w:space="0" w:color="auto"/>
          </w:divBdr>
          <w:divsChild>
            <w:div w:id="254174957">
              <w:marLeft w:val="0"/>
              <w:marRight w:val="0"/>
              <w:marTop w:val="0"/>
              <w:marBottom w:val="0"/>
              <w:divBdr>
                <w:top w:val="none" w:sz="0" w:space="0" w:color="auto"/>
                <w:left w:val="none" w:sz="0" w:space="0" w:color="auto"/>
                <w:bottom w:val="none" w:sz="0" w:space="0" w:color="auto"/>
                <w:right w:val="none" w:sz="0" w:space="0" w:color="auto"/>
              </w:divBdr>
            </w:div>
            <w:div w:id="266356439">
              <w:marLeft w:val="0"/>
              <w:marRight w:val="0"/>
              <w:marTop w:val="0"/>
              <w:marBottom w:val="0"/>
              <w:divBdr>
                <w:top w:val="none" w:sz="0" w:space="0" w:color="auto"/>
                <w:left w:val="none" w:sz="0" w:space="0" w:color="auto"/>
                <w:bottom w:val="none" w:sz="0" w:space="0" w:color="auto"/>
                <w:right w:val="none" w:sz="0" w:space="0" w:color="auto"/>
              </w:divBdr>
            </w:div>
            <w:div w:id="273907609">
              <w:marLeft w:val="0"/>
              <w:marRight w:val="0"/>
              <w:marTop w:val="0"/>
              <w:marBottom w:val="0"/>
              <w:divBdr>
                <w:top w:val="none" w:sz="0" w:space="0" w:color="auto"/>
                <w:left w:val="none" w:sz="0" w:space="0" w:color="auto"/>
                <w:bottom w:val="none" w:sz="0" w:space="0" w:color="auto"/>
                <w:right w:val="none" w:sz="0" w:space="0" w:color="auto"/>
              </w:divBdr>
            </w:div>
            <w:div w:id="280185313">
              <w:marLeft w:val="0"/>
              <w:marRight w:val="0"/>
              <w:marTop w:val="0"/>
              <w:marBottom w:val="0"/>
              <w:divBdr>
                <w:top w:val="none" w:sz="0" w:space="0" w:color="auto"/>
                <w:left w:val="none" w:sz="0" w:space="0" w:color="auto"/>
                <w:bottom w:val="none" w:sz="0" w:space="0" w:color="auto"/>
                <w:right w:val="none" w:sz="0" w:space="0" w:color="auto"/>
              </w:divBdr>
            </w:div>
            <w:div w:id="311760948">
              <w:marLeft w:val="0"/>
              <w:marRight w:val="0"/>
              <w:marTop w:val="0"/>
              <w:marBottom w:val="0"/>
              <w:divBdr>
                <w:top w:val="none" w:sz="0" w:space="0" w:color="auto"/>
                <w:left w:val="none" w:sz="0" w:space="0" w:color="auto"/>
                <w:bottom w:val="none" w:sz="0" w:space="0" w:color="auto"/>
                <w:right w:val="none" w:sz="0" w:space="0" w:color="auto"/>
              </w:divBdr>
            </w:div>
            <w:div w:id="352732021">
              <w:marLeft w:val="0"/>
              <w:marRight w:val="0"/>
              <w:marTop w:val="0"/>
              <w:marBottom w:val="0"/>
              <w:divBdr>
                <w:top w:val="none" w:sz="0" w:space="0" w:color="auto"/>
                <w:left w:val="none" w:sz="0" w:space="0" w:color="auto"/>
                <w:bottom w:val="none" w:sz="0" w:space="0" w:color="auto"/>
                <w:right w:val="none" w:sz="0" w:space="0" w:color="auto"/>
              </w:divBdr>
            </w:div>
            <w:div w:id="469515521">
              <w:marLeft w:val="0"/>
              <w:marRight w:val="0"/>
              <w:marTop w:val="0"/>
              <w:marBottom w:val="0"/>
              <w:divBdr>
                <w:top w:val="none" w:sz="0" w:space="0" w:color="auto"/>
                <w:left w:val="none" w:sz="0" w:space="0" w:color="auto"/>
                <w:bottom w:val="none" w:sz="0" w:space="0" w:color="auto"/>
                <w:right w:val="none" w:sz="0" w:space="0" w:color="auto"/>
              </w:divBdr>
            </w:div>
            <w:div w:id="471558532">
              <w:marLeft w:val="0"/>
              <w:marRight w:val="0"/>
              <w:marTop w:val="0"/>
              <w:marBottom w:val="0"/>
              <w:divBdr>
                <w:top w:val="none" w:sz="0" w:space="0" w:color="auto"/>
                <w:left w:val="none" w:sz="0" w:space="0" w:color="auto"/>
                <w:bottom w:val="none" w:sz="0" w:space="0" w:color="auto"/>
                <w:right w:val="none" w:sz="0" w:space="0" w:color="auto"/>
              </w:divBdr>
            </w:div>
            <w:div w:id="474875681">
              <w:marLeft w:val="0"/>
              <w:marRight w:val="0"/>
              <w:marTop w:val="0"/>
              <w:marBottom w:val="0"/>
              <w:divBdr>
                <w:top w:val="none" w:sz="0" w:space="0" w:color="auto"/>
                <w:left w:val="none" w:sz="0" w:space="0" w:color="auto"/>
                <w:bottom w:val="none" w:sz="0" w:space="0" w:color="auto"/>
                <w:right w:val="none" w:sz="0" w:space="0" w:color="auto"/>
              </w:divBdr>
            </w:div>
            <w:div w:id="484007325">
              <w:marLeft w:val="0"/>
              <w:marRight w:val="0"/>
              <w:marTop w:val="0"/>
              <w:marBottom w:val="0"/>
              <w:divBdr>
                <w:top w:val="none" w:sz="0" w:space="0" w:color="auto"/>
                <w:left w:val="none" w:sz="0" w:space="0" w:color="auto"/>
                <w:bottom w:val="none" w:sz="0" w:space="0" w:color="auto"/>
                <w:right w:val="none" w:sz="0" w:space="0" w:color="auto"/>
              </w:divBdr>
            </w:div>
            <w:div w:id="583220152">
              <w:marLeft w:val="0"/>
              <w:marRight w:val="0"/>
              <w:marTop w:val="0"/>
              <w:marBottom w:val="0"/>
              <w:divBdr>
                <w:top w:val="none" w:sz="0" w:space="0" w:color="auto"/>
                <w:left w:val="none" w:sz="0" w:space="0" w:color="auto"/>
                <w:bottom w:val="none" w:sz="0" w:space="0" w:color="auto"/>
                <w:right w:val="none" w:sz="0" w:space="0" w:color="auto"/>
              </w:divBdr>
            </w:div>
            <w:div w:id="842554838">
              <w:marLeft w:val="0"/>
              <w:marRight w:val="0"/>
              <w:marTop w:val="0"/>
              <w:marBottom w:val="0"/>
              <w:divBdr>
                <w:top w:val="none" w:sz="0" w:space="0" w:color="auto"/>
                <w:left w:val="none" w:sz="0" w:space="0" w:color="auto"/>
                <w:bottom w:val="none" w:sz="0" w:space="0" w:color="auto"/>
                <w:right w:val="none" w:sz="0" w:space="0" w:color="auto"/>
              </w:divBdr>
            </w:div>
            <w:div w:id="844057282">
              <w:marLeft w:val="0"/>
              <w:marRight w:val="0"/>
              <w:marTop w:val="0"/>
              <w:marBottom w:val="0"/>
              <w:divBdr>
                <w:top w:val="none" w:sz="0" w:space="0" w:color="auto"/>
                <w:left w:val="none" w:sz="0" w:space="0" w:color="auto"/>
                <w:bottom w:val="none" w:sz="0" w:space="0" w:color="auto"/>
                <w:right w:val="none" w:sz="0" w:space="0" w:color="auto"/>
              </w:divBdr>
            </w:div>
            <w:div w:id="855073547">
              <w:marLeft w:val="0"/>
              <w:marRight w:val="0"/>
              <w:marTop w:val="0"/>
              <w:marBottom w:val="0"/>
              <w:divBdr>
                <w:top w:val="none" w:sz="0" w:space="0" w:color="auto"/>
                <w:left w:val="none" w:sz="0" w:space="0" w:color="auto"/>
                <w:bottom w:val="none" w:sz="0" w:space="0" w:color="auto"/>
                <w:right w:val="none" w:sz="0" w:space="0" w:color="auto"/>
              </w:divBdr>
            </w:div>
            <w:div w:id="1278752718">
              <w:marLeft w:val="0"/>
              <w:marRight w:val="0"/>
              <w:marTop w:val="0"/>
              <w:marBottom w:val="0"/>
              <w:divBdr>
                <w:top w:val="none" w:sz="0" w:space="0" w:color="auto"/>
                <w:left w:val="none" w:sz="0" w:space="0" w:color="auto"/>
                <w:bottom w:val="none" w:sz="0" w:space="0" w:color="auto"/>
                <w:right w:val="none" w:sz="0" w:space="0" w:color="auto"/>
              </w:divBdr>
            </w:div>
            <w:div w:id="1515730314">
              <w:marLeft w:val="0"/>
              <w:marRight w:val="0"/>
              <w:marTop w:val="0"/>
              <w:marBottom w:val="0"/>
              <w:divBdr>
                <w:top w:val="none" w:sz="0" w:space="0" w:color="auto"/>
                <w:left w:val="none" w:sz="0" w:space="0" w:color="auto"/>
                <w:bottom w:val="none" w:sz="0" w:space="0" w:color="auto"/>
                <w:right w:val="none" w:sz="0" w:space="0" w:color="auto"/>
              </w:divBdr>
            </w:div>
            <w:div w:id="1585259256">
              <w:marLeft w:val="0"/>
              <w:marRight w:val="0"/>
              <w:marTop w:val="0"/>
              <w:marBottom w:val="0"/>
              <w:divBdr>
                <w:top w:val="none" w:sz="0" w:space="0" w:color="auto"/>
                <w:left w:val="none" w:sz="0" w:space="0" w:color="auto"/>
                <w:bottom w:val="none" w:sz="0" w:space="0" w:color="auto"/>
                <w:right w:val="none" w:sz="0" w:space="0" w:color="auto"/>
              </w:divBdr>
            </w:div>
            <w:div w:id="1636596618">
              <w:marLeft w:val="0"/>
              <w:marRight w:val="0"/>
              <w:marTop w:val="0"/>
              <w:marBottom w:val="0"/>
              <w:divBdr>
                <w:top w:val="none" w:sz="0" w:space="0" w:color="auto"/>
                <w:left w:val="none" w:sz="0" w:space="0" w:color="auto"/>
                <w:bottom w:val="none" w:sz="0" w:space="0" w:color="auto"/>
                <w:right w:val="none" w:sz="0" w:space="0" w:color="auto"/>
              </w:divBdr>
            </w:div>
            <w:div w:id="1813785629">
              <w:marLeft w:val="0"/>
              <w:marRight w:val="0"/>
              <w:marTop w:val="0"/>
              <w:marBottom w:val="0"/>
              <w:divBdr>
                <w:top w:val="none" w:sz="0" w:space="0" w:color="auto"/>
                <w:left w:val="none" w:sz="0" w:space="0" w:color="auto"/>
                <w:bottom w:val="none" w:sz="0" w:space="0" w:color="auto"/>
                <w:right w:val="none" w:sz="0" w:space="0" w:color="auto"/>
              </w:divBdr>
            </w:div>
            <w:div w:id="1950160351">
              <w:marLeft w:val="0"/>
              <w:marRight w:val="0"/>
              <w:marTop w:val="0"/>
              <w:marBottom w:val="0"/>
              <w:divBdr>
                <w:top w:val="none" w:sz="0" w:space="0" w:color="auto"/>
                <w:left w:val="none" w:sz="0" w:space="0" w:color="auto"/>
                <w:bottom w:val="none" w:sz="0" w:space="0" w:color="auto"/>
                <w:right w:val="none" w:sz="0" w:space="0" w:color="auto"/>
              </w:divBdr>
            </w:div>
          </w:divsChild>
        </w:div>
        <w:div w:id="1960531138">
          <w:marLeft w:val="0"/>
          <w:marRight w:val="0"/>
          <w:marTop w:val="0"/>
          <w:marBottom w:val="0"/>
          <w:divBdr>
            <w:top w:val="none" w:sz="0" w:space="0" w:color="auto"/>
            <w:left w:val="none" w:sz="0" w:space="0" w:color="auto"/>
            <w:bottom w:val="none" w:sz="0" w:space="0" w:color="auto"/>
            <w:right w:val="none" w:sz="0" w:space="0" w:color="auto"/>
          </w:divBdr>
        </w:div>
        <w:div w:id="1977107044">
          <w:marLeft w:val="0"/>
          <w:marRight w:val="0"/>
          <w:marTop w:val="0"/>
          <w:marBottom w:val="0"/>
          <w:divBdr>
            <w:top w:val="none" w:sz="0" w:space="0" w:color="auto"/>
            <w:left w:val="none" w:sz="0" w:space="0" w:color="auto"/>
            <w:bottom w:val="none" w:sz="0" w:space="0" w:color="auto"/>
            <w:right w:val="none" w:sz="0" w:space="0" w:color="auto"/>
          </w:divBdr>
        </w:div>
        <w:div w:id="1998144604">
          <w:marLeft w:val="0"/>
          <w:marRight w:val="0"/>
          <w:marTop w:val="0"/>
          <w:marBottom w:val="0"/>
          <w:divBdr>
            <w:top w:val="none" w:sz="0" w:space="0" w:color="auto"/>
            <w:left w:val="none" w:sz="0" w:space="0" w:color="auto"/>
            <w:bottom w:val="none" w:sz="0" w:space="0" w:color="auto"/>
            <w:right w:val="none" w:sz="0" w:space="0" w:color="auto"/>
          </w:divBdr>
        </w:div>
        <w:div w:id="2025353863">
          <w:marLeft w:val="0"/>
          <w:marRight w:val="0"/>
          <w:marTop w:val="0"/>
          <w:marBottom w:val="0"/>
          <w:divBdr>
            <w:top w:val="none" w:sz="0" w:space="0" w:color="auto"/>
            <w:left w:val="none" w:sz="0" w:space="0" w:color="auto"/>
            <w:bottom w:val="none" w:sz="0" w:space="0" w:color="auto"/>
            <w:right w:val="none" w:sz="0" w:space="0" w:color="auto"/>
          </w:divBdr>
        </w:div>
        <w:div w:id="2049913409">
          <w:marLeft w:val="0"/>
          <w:marRight w:val="0"/>
          <w:marTop w:val="0"/>
          <w:marBottom w:val="0"/>
          <w:divBdr>
            <w:top w:val="none" w:sz="0" w:space="0" w:color="auto"/>
            <w:left w:val="none" w:sz="0" w:space="0" w:color="auto"/>
            <w:bottom w:val="none" w:sz="0" w:space="0" w:color="auto"/>
            <w:right w:val="none" w:sz="0" w:space="0" w:color="auto"/>
          </w:divBdr>
        </w:div>
        <w:div w:id="2077121124">
          <w:marLeft w:val="0"/>
          <w:marRight w:val="0"/>
          <w:marTop w:val="0"/>
          <w:marBottom w:val="0"/>
          <w:divBdr>
            <w:top w:val="none" w:sz="0" w:space="0" w:color="auto"/>
            <w:left w:val="none" w:sz="0" w:space="0" w:color="auto"/>
            <w:bottom w:val="none" w:sz="0" w:space="0" w:color="auto"/>
            <w:right w:val="none" w:sz="0" w:space="0" w:color="auto"/>
          </w:divBdr>
        </w:div>
        <w:div w:id="2092968934">
          <w:marLeft w:val="0"/>
          <w:marRight w:val="0"/>
          <w:marTop w:val="0"/>
          <w:marBottom w:val="0"/>
          <w:divBdr>
            <w:top w:val="none" w:sz="0" w:space="0" w:color="auto"/>
            <w:left w:val="none" w:sz="0" w:space="0" w:color="auto"/>
            <w:bottom w:val="none" w:sz="0" w:space="0" w:color="auto"/>
            <w:right w:val="none" w:sz="0" w:space="0" w:color="auto"/>
          </w:divBdr>
        </w:div>
        <w:div w:id="2111772981">
          <w:marLeft w:val="0"/>
          <w:marRight w:val="0"/>
          <w:marTop w:val="0"/>
          <w:marBottom w:val="0"/>
          <w:divBdr>
            <w:top w:val="none" w:sz="0" w:space="0" w:color="auto"/>
            <w:left w:val="none" w:sz="0" w:space="0" w:color="auto"/>
            <w:bottom w:val="none" w:sz="0" w:space="0" w:color="auto"/>
            <w:right w:val="none" w:sz="0" w:space="0" w:color="auto"/>
          </w:divBdr>
        </w:div>
        <w:div w:id="2117557208">
          <w:marLeft w:val="0"/>
          <w:marRight w:val="0"/>
          <w:marTop w:val="0"/>
          <w:marBottom w:val="0"/>
          <w:divBdr>
            <w:top w:val="none" w:sz="0" w:space="0" w:color="auto"/>
            <w:left w:val="none" w:sz="0" w:space="0" w:color="auto"/>
            <w:bottom w:val="none" w:sz="0" w:space="0" w:color="auto"/>
            <w:right w:val="none" w:sz="0" w:space="0" w:color="auto"/>
          </w:divBdr>
          <w:divsChild>
            <w:div w:id="22094753">
              <w:marLeft w:val="0"/>
              <w:marRight w:val="0"/>
              <w:marTop w:val="0"/>
              <w:marBottom w:val="0"/>
              <w:divBdr>
                <w:top w:val="none" w:sz="0" w:space="0" w:color="auto"/>
                <w:left w:val="none" w:sz="0" w:space="0" w:color="auto"/>
                <w:bottom w:val="none" w:sz="0" w:space="0" w:color="auto"/>
                <w:right w:val="none" w:sz="0" w:space="0" w:color="auto"/>
              </w:divBdr>
            </w:div>
            <w:div w:id="88742178">
              <w:marLeft w:val="0"/>
              <w:marRight w:val="0"/>
              <w:marTop w:val="0"/>
              <w:marBottom w:val="0"/>
              <w:divBdr>
                <w:top w:val="none" w:sz="0" w:space="0" w:color="auto"/>
                <w:left w:val="none" w:sz="0" w:space="0" w:color="auto"/>
                <w:bottom w:val="none" w:sz="0" w:space="0" w:color="auto"/>
                <w:right w:val="none" w:sz="0" w:space="0" w:color="auto"/>
              </w:divBdr>
            </w:div>
            <w:div w:id="541600176">
              <w:marLeft w:val="0"/>
              <w:marRight w:val="0"/>
              <w:marTop w:val="0"/>
              <w:marBottom w:val="0"/>
              <w:divBdr>
                <w:top w:val="none" w:sz="0" w:space="0" w:color="auto"/>
                <w:left w:val="none" w:sz="0" w:space="0" w:color="auto"/>
                <w:bottom w:val="none" w:sz="0" w:space="0" w:color="auto"/>
                <w:right w:val="none" w:sz="0" w:space="0" w:color="auto"/>
              </w:divBdr>
            </w:div>
            <w:div w:id="595986289">
              <w:marLeft w:val="0"/>
              <w:marRight w:val="0"/>
              <w:marTop w:val="0"/>
              <w:marBottom w:val="0"/>
              <w:divBdr>
                <w:top w:val="none" w:sz="0" w:space="0" w:color="auto"/>
                <w:left w:val="none" w:sz="0" w:space="0" w:color="auto"/>
                <w:bottom w:val="none" w:sz="0" w:space="0" w:color="auto"/>
                <w:right w:val="none" w:sz="0" w:space="0" w:color="auto"/>
              </w:divBdr>
            </w:div>
            <w:div w:id="607465236">
              <w:marLeft w:val="0"/>
              <w:marRight w:val="0"/>
              <w:marTop w:val="0"/>
              <w:marBottom w:val="0"/>
              <w:divBdr>
                <w:top w:val="none" w:sz="0" w:space="0" w:color="auto"/>
                <w:left w:val="none" w:sz="0" w:space="0" w:color="auto"/>
                <w:bottom w:val="none" w:sz="0" w:space="0" w:color="auto"/>
                <w:right w:val="none" w:sz="0" w:space="0" w:color="auto"/>
              </w:divBdr>
            </w:div>
            <w:div w:id="705299484">
              <w:marLeft w:val="0"/>
              <w:marRight w:val="0"/>
              <w:marTop w:val="0"/>
              <w:marBottom w:val="0"/>
              <w:divBdr>
                <w:top w:val="none" w:sz="0" w:space="0" w:color="auto"/>
                <w:left w:val="none" w:sz="0" w:space="0" w:color="auto"/>
                <w:bottom w:val="none" w:sz="0" w:space="0" w:color="auto"/>
                <w:right w:val="none" w:sz="0" w:space="0" w:color="auto"/>
              </w:divBdr>
            </w:div>
            <w:div w:id="875580528">
              <w:marLeft w:val="0"/>
              <w:marRight w:val="0"/>
              <w:marTop w:val="0"/>
              <w:marBottom w:val="0"/>
              <w:divBdr>
                <w:top w:val="none" w:sz="0" w:space="0" w:color="auto"/>
                <w:left w:val="none" w:sz="0" w:space="0" w:color="auto"/>
                <w:bottom w:val="none" w:sz="0" w:space="0" w:color="auto"/>
                <w:right w:val="none" w:sz="0" w:space="0" w:color="auto"/>
              </w:divBdr>
            </w:div>
            <w:div w:id="1021199033">
              <w:marLeft w:val="0"/>
              <w:marRight w:val="0"/>
              <w:marTop w:val="0"/>
              <w:marBottom w:val="0"/>
              <w:divBdr>
                <w:top w:val="none" w:sz="0" w:space="0" w:color="auto"/>
                <w:left w:val="none" w:sz="0" w:space="0" w:color="auto"/>
                <w:bottom w:val="none" w:sz="0" w:space="0" w:color="auto"/>
                <w:right w:val="none" w:sz="0" w:space="0" w:color="auto"/>
              </w:divBdr>
            </w:div>
            <w:div w:id="1046104189">
              <w:marLeft w:val="0"/>
              <w:marRight w:val="0"/>
              <w:marTop w:val="0"/>
              <w:marBottom w:val="0"/>
              <w:divBdr>
                <w:top w:val="none" w:sz="0" w:space="0" w:color="auto"/>
                <w:left w:val="none" w:sz="0" w:space="0" w:color="auto"/>
                <w:bottom w:val="none" w:sz="0" w:space="0" w:color="auto"/>
                <w:right w:val="none" w:sz="0" w:space="0" w:color="auto"/>
              </w:divBdr>
            </w:div>
            <w:div w:id="1169827714">
              <w:marLeft w:val="0"/>
              <w:marRight w:val="0"/>
              <w:marTop w:val="0"/>
              <w:marBottom w:val="0"/>
              <w:divBdr>
                <w:top w:val="none" w:sz="0" w:space="0" w:color="auto"/>
                <w:left w:val="none" w:sz="0" w:space="0" w:color="auto"/>
                <w:bottom w:val="none" w:sz="0" w:space="0" w:color="auto"/>
                <w:right w:val="none" w:sz="0" w:space="0" w:color="auto"/>
              </w:divBdr>
            </w:div>
            <w:div w:id="1171410325">
              <w:marLeft w:val="0"/>
              <w:marRight w:val="0"/>
              <w:marTop w:val="0"/>
              <w:marBottom w:val="0"/>
              <w:divBdr>
                <w:top w:val="none" w:sz="0" w:space="0" w:color="auto"/>
                <w:left w:val="none" w:sz="0" w:space="0" w:color="auto"/>
                <w:bottom w:val="none" w:sz="0" w:space="0" w:color="auto"/>
                <w:right w:val="none" w:sz="0" w:space="0" w:color="auto"/>
              </w:divBdr>
            </w:div>
            <w:div w:id="1176457001">
              <w:marLeft w:val="0"/>
              <w:marRight w:val="0"/>
              <w:marTop w:val="0"/>
              <w:marBottom w:val="0"/>
              <w:divBdr>
                <w:top w:val="none" w:sz="0" w:space="0" w:color="auto"/>
                <w:left w:val="none" w:sz="0" w:space="0" w:color="auto"/>
                <w:bottom w:val="none" w:sz="0" w:space="0" w:color="auto"/>
                <w:right w:val="none" w:sz="0" w:space="0" w:color="auto"/>
              </w:divBdr>
            </w:div>
            <w:div w:id="1475567346">
              <w:marLeft w:val="0"/>
              <w:marRight w:val="0"/>
              <w:marTop w:val="0"/>
              <w:marBottom w:val="0"/>
              <w:divBdr>
                <w:top w:val="none" w:sz="0" w:space="0" w:color="auto"/>
                <w:left w:val="none" w:sz="0" w:space="0" w:color="auto"/>
                <w:bottom w:val="none" w:sz="0" w:space="0" w:color="auto"/>
                <w:right w:val="none" w:sz="0" w:space="0" w:color="auto"/>
              </w:divBdr>
            </w:div>
            <w:div w:id="1641350406">
              <w:marLeft w:val="0"/>
              <w:marRight w:val="0"/>
              <w:marTop w:val="0"/>
              <w:marBottom w:val="0"/>
              <w:divBdr>
                <w:top w:val="none" w:sz="0" w:space="0" w:color="auto"/>
                <w:left w:val="none" w:sz="0" w:space="0" w:color="auto"/>
                <w:bottom w:val="none" w:sz="0" w:space="0" w:color="auto"/>
                <w:right w:val="none" w:sz="0" w:space="0" w:color="auto"/>
              </w:divBdr>
            </w:div>
            <w:div w:id="1808890989">
              <w:marLeft w:val="0"/>
              <w:marRight w:val="0"/>
              <w:marTop w:val="0"/>
              <w:marBottom w:val="0"/>
              <w:divBdr>
                <w:top w:val="none" w:sz="0" w:space="0" w:color="auto"/>
                <w:left w:val="none" w:sz="0" w:space="0" w:color="auto"/>
                <w:bottom w:val="none" w:sz="0" w:space="0" w:color="auto"/>
                <w:right w:val="none" w:sz="0" w:space="0" w:color="auto"/>
              </w:divBdr>
            </w:div>
            <w:div w:id="1869296751">
              <w:marLeft w:val="0"/>
              <w:marRight w:val="0"/>
              <w:marTop w:val="0"/>
              <w:marBottom w:val="0"/>
              <w:divBdr>
                <w:top w:val="none" w:sz="0" w:space="0" w:color="auto"/>
                <w:left w:val="none" w:sz="0" w:space="0" w:color="auto"/>
                <w:bottom w:val="none" w:sz="0" w:space="0" w:color="auto"/>
                <w:right w:val="none" w:sz="0" w:space="0" w:color="auto"/>
              </w:divBdr>
            </w:div>
            <w:div w:id="1902865118">
              <w:marLeft w:val="0"/>
              <w:marRight w:val="0"/>
              <w:marTop w:val="0"/>
              <w:marBottom w:val="0"/>
              <w:divBdr>
                <w:top w:val="none" w:sz="0" w:space="0" w:color="auto"/>
                <w:left w:val="none" w:sz="0" w:space="0" w:color="auto"/>
                <w:bottom w:val="none" w:sz="0" w:space="0" w:color="auto"/>
                <w:right w:val="none" w:sz="0" w:space="0" w:color="auto"/>
              </w:divBdr>
            </w:div>
            <w:div w:id="1906573395">
              <w:marLeft w:val="0"/>
              <w:marRight w:val="0"/>
              <w:marTop w:val="0"/>
              <w:marBottom w:val="0"/>
              <w:divBdr>
                <w:top w:val="none" w:sz="0" w:space="0" w:color="auto"/>
                <w:left w:val="none" w:sz="0" w:space="0" w:color="auto"/>
                <w:bottom w:val="none" w:sz="0" w:space="0" w:color="auto"/>
                <w:right w:val="none" w:sz="0" w:space="0" w:color="auto"/>
              </w:divBdr>
            </w:div>
            <w:div w:id="1934974407">
              <w:marLeft w:val="0"/>
              <w:marRight w:val="0"/>
              <w:marTop w:val="0"/>
              <w:marBottom w:val="0"/>
              <w:divBdr>
                <w:top w:val="none" w:sz="0" w:space="0" w:color="auto"/>
                <w:left w:val="none" w:sz="0" w:space="0" w:color="auto"/>
                <w:bottom w:val="none" w:sz="0" w:space="0" w:color="auto"/>
                <w:right w:val="none" w:sz="0" w:space="0" w:color="auto"/>
              </w:divBdr>
            </w:div>
            <w:div w:id="2003043157">
              <w:marLeft w:val="0"/>
              <w:marRight w:val="0"/>
              <w:marTop w:val="0"/>
              <w:marBottom w:val="0"/>
              <w:divBdr>
                <w:top w:val="none" w:sz="0" w:space="0" w:color="auto"/>
                <w:left w:val="none" w:sz="0" w:space="0" w:color="auto"/>
                <w:bottom w:val="none" w:sz="0" w:space="0" w:color="auto"/>
                <w:right w:val="none" w:sz="0" w:space="0" w:color="auto"/>
              </w:divBdr>
            </w:div>
          </w:divsChild>
        </w:div>
        <w:div w:id="2122261145">
          <w:marLeft w:val="0"/>
          <w:marRight w:val="0"/>
          <w:marTop w:val="0"/>
          <w:marBottom w:val="0"/>
          <w:divBdr>
            <w:top w:val="none" w:sz="0" w:space="0" w:color="auto"/>
            <w:left w:val="none" w:sz="0" w:space="0" w:color="auto"/>
            <w:bottom w:val="none" w:sz="0" w:space="0" w:color="auto"/>
            <w:right w:val="none" w:sz="0" w:space="0" w:color="auto"/>
          </w:divBdr>
        </w:div>
        <w:div w:id="2127920058">
          <w:marLeft w:val="0"/>
          <w:marRight w:val="0"/>
          <w:marTop w:val="0"/>
          <w:marBottom w:val="0"/>
          <w:divBdr>
            <w:top w:val="none" w:sz="0" w:space="0" w:color="auto"/>
            <w:left w:val="none" w:sz="0" w:space="0" w:color="auto"/>
            <w:bottom w:val="none" w:sz="0" w:space="0" w:color="auto"/>
            <w:right w:val="none" w:sz="0" w:space="0" w:color="auto"/>
          </w:divBdr>
          <w:divsChild>
            <w:div w:id="181549592">
              <w:marLeft w:val="0"/>
              <w:marRight w:val="0"/>
              <w:marTop w:val="0"/>
              <w:marBottom w:val="0"/>
              <w:divBdr>
                <w:top w:val="none" w:sz="0" w:space="0" w:color="auto"/>
                <w:left w:val="none" w:sz="0" w:space="0" w:color="auto"/>
                <w:bottom w:val="none" w:sz="0" w:space="0" w:color="auto"/>
                <w:right w:val="none" w:sz="0" w:space="0" w:color="auto"/>
              </w:divBdr>
            </w:div>
            <w:div w:id="282926491">
              <w:marLeft w:val="0"/>
              <w:marRight w:val="0"/>
              <w:marTop w:val="0"/>
              <w:marBottom w:val="0"/>
              <w:divBdr>
                <w:top w:val="none" w:sz="0" w:space="0" w:color="auto"/>
                <w:left w:val="none" w:sz="0" w:space="0" w:color="auto"/>
                <w:bottom w:val="none" w:sz="0" w:space="0" w:color="auto"/>
                <w:right w:val="none" w:sz="0" w:space="0" w:color="auto"/>
              </w:divBdr>
            </w:div>
            <w:div w:id="297077779">
              <w:marLeft w:val="0"/>
              <w:marRight w:val="0"/>
              <w:marTop w:val="0"/>
              <w:marBottom w:val="0"/>
              <w:divBdr>
                <w:top w:val="none" w:sz="0" w:space="0" w:color="auto"/>
                <w:left w:val="none" w:sz="0" w:space="0" w:color="auto"/>
                <w:bottom w:val="none" w:sz="0" w:space="0" w:color="auto"/>
                <w:right w:val="none" w:sz="0" w:space="0" w:color="auto"/>
              </w:divBdr>
            </w:div>
            <w:div w:id="454638814">
              <w:marLeft w:val="0"/>
              <w:marRight w:val="0"/>
              <w:marTop w:val="0"/>
              <w:marBottom w:val="0"/>
              <w:divBdr>
                <w:top w:val="none" w:sz="0" w:space="0" w:color="auto"/>
                <w:left w:val="none" w:sz="0" w:space="0" w:color="auto"/>
                <w:bottom w:val="none" w:sz="0" w:space="0" w:color="auto"/>
                <w:right w:val="none" w:sz="0" w:space="0" w:color="auto"/>
              </w:divBdr>
            </w:div>
            <w:div w:id="536433708">
              <w:marLeft w:val="0"/>
              <w:marRight w:val="0"/>
              <w:marTop w:val="0"/>
              <w:marBottom w:val="0"/>
              <w:divBdr>
                <w:top w:val="none" w:sz="0" w:space="0" w:color="auto"/>
                <w:left w:val="none" w:sz="0" w:space="0" w:color="auto"/>
                <w:bottom w:val="none" w:sz="0" w:space="0" w:color="auto"/>
                <w:right w:val="none" w:sz="0" w:space="0" w:color="auto"/>
              </w:divBdr>
            </w:div>
            <w:div w:id="649869677">
              <w:marLeft w:val="0"/>
              <w:marRight w:val="0"/>
              <w:marTop w:val="0"/>
              <w:marBottom w:val="0"/>
              <w:divBdr>
                <w:top w:val="none" w:sz="0" w:space="0" w:color="auto"/>
                <w:left w:val="none" w:sz="0" w:space="0" w:color="auto"/>
                <w:bottom w:val="none" w:sz="0" w:space="0" w:color="auto"/>
                <w:right w:val="none" w:sz="0" w:space="0" w:color="auto"/>
              </w:divBdr>
            </w:div>
            <w:div w:id="838083105">
              <w:marLeft w:val="0"/>
              <w:marRight w:val="0"/>
              <w:marTop w:val="0"/>
              <w:marBottom w:val="0"/>
              <w:divBdr>
                <w:top w:val="none" w:sz="0" w:space="0" w:color="auto"/>
                <w:left w:val="none" w:sz="0" w:space="0" w:color="auto"/>
                <w:bottom w:val="none" w:sz="0" w:space="0" w:color="auto"/>
                <w:right w:val="none" w:sz="0" w:space="0" w:color="auto"/>
              </w:divBdr>
            </w:div>
            <w:div w:id="952133705">
              <w:marLeft w:val="0"/>
              <w:marRight w:val="0"/>
              <w:marTop w:val="0"/>
              <w:marBottom w:val="0"/>
              <w:divBdr>
                <w:top w:val="none" w:sz="0" w:space="0" w:color="auto"/>
                <w:left w:val="none" w:sz="0" w:space="0" w:color="auto"/>
                <w:bottom w:val="none" w:sz="0" w:space="0" w:color="auto"/>
                <w:right w:val="none" w:sz="0" w:space="0" w:color="auto"/>
              </w:divBdr>
            </w:div>
            <w:div w:id="1008943685">
              <w:marLeft w:val="0"/>
              <w:marRight w:val="0"/>
              <w:marTop w:val="0"/>
              <w:marBottom w:val="0"/>
              <w:divBdr>
                <w:top w:val="none" w:sz="0" w:space="0" w:color="auto"/>
                <w:left w:val="none" w:sz="0" w:space="0" w:color="auto"/>
                <w:bottom w:val="none" w:sz="0" w:space="0" w:color="auto"/>
                <w:right w:val="none" w:sz="0" w:space="0" w:color="auto"/>
              </w:divBdr>
            </w:div>
            <w:div w:id="1194223436">
              <w:marLeft w:val="0"/>
              <w:marRight w:val="0"/>
              <w:marTop w:val="0"/>
              <w:marBottom w:val="0"/>
              <w:divBdr>
                <w:top w:val="none" w:sz="0" w:space="0" w:color="auto"/>
                <w:left w:val="none" w:sz="0" w:space="0" w:color="auto"/>
                <w:bottom w:val="none" w:sz="0" w:space="0" w:color="auto"/>
                <w:right w:val="none" w:sz="0" w:space="0" w:color="auto"/>
              </w:divBdr>
            </w:div>
            <w:div w:id="1228227434">
              <w:marLeft w:val="0"/>
              <w:marRight w:val="0"/>
              <w:marTop w:val="0"/>
              <w:marBottom w:val="0"/>
              <w:divBdr>
                <w:top w:val="none" w:sz="0" w:space="0" w:color="auto"/>
                <w:left w:val="none" w:sz="0" w:space="0" w:color="auto"/>
                <w:bottom w:val="none" w:sz="0" w:space="0" w:color="auto"/>
                <w:right w:val="none" w:sz="0" w:space="0" w:color="auto"/>
              </w:divBdr>
            </w:div>
            <w:div w:id="1343750216">
              <w:marLeft w:val="0"/>
              <w:marRight w:val="0"/>
              <w:marTop w:val="0"/>
              <w:marBottom w:val="0"/>
              <w:divBdr>
                <w:top w:val="none" w:sz="0" w:space="0" w:color="auto"/>
                <w:left w:val="none" w:sz="0" w:space="0" w:color="auto"/>
                <w:bottom w:val="none" w:sz="0" w:space="0" w:color="auto"/>
                <w:right w:val="none" w:sz="0" w:space="0" w:color="auto"/>
              </w:divBdr>
            </w:div>
            <w:div w:id="1416902344">
              <w:marLeft w:val="0"/>
              <w:marRight w:val="0"/>
              <w:marTop w:val="0"/>
              <w:marBottom w:val="0"/>
              <w:divBdr>
                <w:top w:val="none" w:sz="0" w:space="0" w:color="auto"/>
                <w:left w:val="none" w:sz="0" w:space="0" w:color="auto"/>
                <w:bottom w:val="none" w:sz="0" w:space="0" w:color="auto"/>
                <w:right w:val="none" w:sz="0" w:space="0" w:color="auto"/>
              </w:divBdr>
            </w:div>
            <w:div w:id="1428886759">
              <w:marLeft w:val="0"/>
              <w:marRight w:val="0"/>
              <w:marTop w:val="0"/>
              <w:marBottom w:val="0"/>
              <w:divBdr>
                <w:top w:val="none" w:sz="0" w:space="0" w:color="auto"/>
                <w:left w:val="none" w:sz="0" w:space="0" w:color="auto"/>
                <w:bottom w:val="none" w:sz="0" w:space="0" w:color="auto"/>
                <w:right w:val="none" w:sz="0" w:space="0" w:color="auto"/>
              </w:divBdr>
            </w:div>
            <w:div w:id="1498232631">
              <w:marLeft w:val="0"/>
              <w:marRight w:val="0"/>
              <w:marTop w:val="0"/>
              <w:marBottom w:val="0"/>
              <w:divBdr>
                <w:top w:val="none" w:sz="0" w:space="0" w:color="auto"/>
                <w:left w:val="none" w:sz="0" w:space="0" w:color="auto"/>
                <w:bottom w:val="none" w:sz="0" w:space="0" w:color="auto"/>
                <w:right w:val="none" w:sz="0" w:space="0" w:color="auto"/>
              </w:divBdr>
            </w:div>
            <w:div w:id="1624799193">
              <w:marLeft w:val="0"/>
              <w:marRight w:val="0"/>
              <w:marTop w:val="0"/>
              <w:marBottom w:val="0"/>
              <w:divBdr>
                <w:top w:val="none" w:sz="0" w:space="0" w:color="auto"/>
                <w:left w:val="none" w:sz="0" w:space="0" w:color="auto"/>
                <w:bottom w:val="none" w:sz="0" w:space="0" w:color="auto"/>
                <w:right w:val="none" w:sz="0" w:space="0" w:color="auto"/>
              </w:divBdr>
            </w:div>
            <w:div w:id="1691687493">
              <w:marLeft w:val="0"/>
              <w:marRight w:val="0"/>
              <w:marTop w:val="0"/>
              <w:marBottom w:val="0"/>
              <w:divBdr>
                <w:top w:val="none" w:sz="0" w:space="0" w:color="auto"/>
                <w:left w:val="none" w:sz="0" w:space="0" w:color="auto"/>
                <w:bottom w:val="none" w:sz="0" w:space="0" w:color="auto"/>
                <w:right w:val="none" w:sz="0" w:space="0" w:color="auto"/>
              </w:divBdr>
            </w:div>
            <w:div w:id="1725444011">
              <w:marLeft w:val="0"/>
              <w:marRight w:val="0"/>
              <w:marTop w:val="0"/>
              <w:marBottom w:val="0"/>
              <w:divBdr>
                <w:top w:val="none" w:sz="0" w:space="0" w:color="auto"/>
                <w:left w:val="none" w:sz="0" w:space="0" w:color="auto"/>
                <w:bottom w:val="none" w:sz="0" w:space="0" w:color="auto"/>
                <w:right w:val="none" w:sz="0" w:space="0" w:color="auto"/>
              </w:divBdr>
            </w:div>
            <w:div w:id="1905531217">
              <w:marLeft w:val="0"/>
              <w:marRight w:val="0"/>
              <w:marTop w:val="0"/>
              <w:marBottom w:val="0"/>
              <w:divBdr>
                <w:top w:val="none" w:sz="0" w:space="0" w:color="auto"/>
                <w:left w:val="none" w:sz="0" w:space="0" w:color="auto"/>
                <w:bottom w:val="none" w:sz="0" w:space="0" w:color="auto"/>
                <w:right w:val="none" w:sz="0" w:space="0" w:color="auto"/>
              </w:divBdr>
            </w:div>
            <w:div w:id="1965647538">
              <w:marLeft w:val="0"/>
              <w:marRight w:val="0"/>
              <w:marTop w:val="0"/>
              <w:marBottom w:val="0"/>
              <w:divBdr>
                <w:top w:val="none" w:sz="0" w:space="0" w:color="auto"/>
                <w:left w:val="none" w:sz="0" w:space="0" w:color="auto"/>
                <w:bottom w:val="none" w:sz="0" w:space="0" w:color="auto"/>
                <w:right w:val="none" w:sz="0" w:space="0" w:color="auto"/>
              </w:divBdr>
            </w:div>
          </w:divsChild>
        </w:div>
        <w:div w:id="2134670808">
          <w:marLeft w:val="0"/>
          <w:marRight w:val="0"/>
          <w:marTop w:val="0"/>
          <w:marBottom w:val="0"/>
          <w:divBdr>
            <w:top w:val="none" w:sz="0" w:space="0" w:color="auto"/>
            <w:left w:val="none" w:sz="0" w:space="0" w:color="auto"/>
            <w:bottom w:val="none" w:sz="0" w:space="0" w:color="auto"/>
            <w:right w:val="none" w:sz="0" w:space="0" w:color="auto"/>
          </w:divBdr>
          <w:divsChild>
            <w:div w:id="86849942">
              <w:marLeft w:val="0"/>
              <w:marRight w:val="0"/>
              <w:marTop w:val="0"/>
              <w:marBottom w:val="0"/>
              <w:divBdr>
                <w:top w:val="none" w:sz="0" w:space="0" w:color="auto"/>
                <w:left w:val="none" w:sz="0" w:space="0" w:color="auto"/>
                <w:bottom w:val="none" w:sz="0" w:space="0" w:color="auto"/>
                <w:right w:val="none" w:sz="0" w:space="0" w:color="auto"/>
              </w:divBdr>
            </w:div>
            <w:div w:id="271859869">
              <w:marLeft w:val="0"/>
              <w:marRight w:val="0"/>
              <w:marTop w:val="0"/>
              <w:marBottom w:val="0"/>
              <w:divBdr>
                <w:top w:val="none" w:sz="0" w:space="0" w:color="auto"/>
                <w:left w:val="none" w:sz="0" w:space="0" w:color="auto"/>
                <w:bottom w:val="none" w:sz="0" w:space="0" w:color="auto"/>
                <w:right w:val="none" w:sz="0" w:space="0" w:color="auto"/>
              </w:divBdr>
            </w:div>
            <w:div w:id="399796337">
              <w:marLeft w:val="0"/>
              <w:marRight w:val="0"/>
              <w:marTop w:val="0"/>
              <w:marBottom w:val="0"/>
              <w:divBdr>
                <w:top w:val="none" w:sz="0" w:space="0" w:color="auto"/>
                <w:left w:val="none" w:sz="0" w:space="0" w:color="auto"/>
                <w:bottom w:val="none" w:sz="0" w:space="0" w:color="auto"/>
                <w:right w:val="none" w:sz="0" w:space="0" w:color="auto"/>
              </w:divBdr>
            </w:div>
            <w:div w:id="558564702">
              <w:marLeft w:val="0"/>
              <w:marRight w:val="0"/>
              <w:marTop w:val="0"/>
              <w:marBottom w:val="0"/>
              <w:divBdr>
                <w:top w:val="none" w:sz="0" w:space="0" w:color="auto"/>
                <w:left w:val="none" w:sz="0" w:space="0" w:color="auto"/>
                <w:bottom w:val="none" w:sz="0" w:space="0" w:color="auto"/>
                <w:right w:val="none" w:sz="0" w:space="0" w:color="auto"/>
              </w:divBdr>
            </w:div>
            <w:div w:id="704840021">
              <w:marLeft w:val="0"/>
              <w:marRight w:val="0"/>
              <w:marTop w:val="0"/>
              <w:marBottom w:val="0"/>
              <w:divBdr>
                <w:top w:val="none" w:sz="0" w:space="0" w:color="auto"/>
                <w:left w:val="none" w:sz="0" w:space="0" w:color="auto"/>
                <w:bottom w:val="none" w:sz="0" w:space="0" w:color="auto"/>
                <w:right w:val="none" w:sz="0" w:space="0" w:color="auto"/>
              </w:divBdr>
            </w:div>
            <w:div w:id="766928000">
              <w:marLeft w:val="0"/>
              <w:marRight w:val="0"/>
              <w:marTop w:val="0"/>
              <w:marBottom w:val="0"/>
              <w:divBdr>
                <w:top w:val="none" w:sz="0" w:space="0" w:color="auto"/>
                <w:left w:val="none" w:sz="0" w:space="0" w:color="auto"/>
                <w:bottom w:val="none" w:sz="0" w:space="0" w:color="auto"/>
                <w:right w:val="none" w:sz="0" w:space="0" w:color="auto"/>
              </w:divBdr>
            </w:div>
            <w:div w:id="1041905890">
              <w:marLeft w:val="0"/>
              <w:marRight w:val="0"/>
              <w:marTop w:val="0"/>
              <w:marBottom w:val="0"/>
              <w:divBdr>
                <w:top w:val="none" w:sz="0" w:space="0" w:color="auto"/>
                <w:left w:val="none" w:sz="0" w:space="0" w:color="auto"/>
                <w:bottom w:val="none" w:sz="0" w:space="0" w:color="auto"/>
                <w:right w:val="none" w:sz="0" w:space="0" w:color="auto"/>
              </w:divBdr>
            </w:div>
            <w:div w:id="1066761083">
              <w:marLeft w:val="0"/>
              <w:marRight w:val="0"/>
              <w:marTop w:val="0"/>
              <w:marBottom w:val="0"/>
              <w:divBdr>
                <w:top w:val="none" w:sz="0" w:space="0" w:color="auto"/>
                <w:left w:val="none" w:sz="0" w:space="0" w:color="auto"/>
                <w:bottom w:val="none" w:sz="0" w:space="0" w:color="auto"/>
                <w:right w:val="none" w:sz="0" w:space="0" w:color="auto"/>
              </w:divBdr>
            </w:div>
            <w:div w:id="1358191966">
              <w:marLeft w:val="0"/>
              <w:marRight w:val="0"/>
              <w:marTop w:val="0"/>
              <w:marBottom w:val="0"/>
              <w:divBdr>
                <w:top w:val="none" w:sz="0" w:space="0" w:color="auto"/>
                <w:left w:val="none" w:sz="0" w:space="0" w:color="auto"/>
                <w:bottom w:val="none" w:sz="0" w:space="0" w:color="auto"/>
                <w:right w:val="none" w:sz="0" w:space="0" w:color="auto"/>
              </w:divBdr>
            </w:div>
            <w:div w:id="1359312807">
              <w:marLeft w:val="0"/>
              <w:marRight w:val="0"/>
              <w:marTop w:val="0"/>
              <w:marBottom w:val="0"/>
              <w:divBdr>
                <w:top w:val="none" w:sz="0" w:space="0" w:color="auto"/>
                <w:left w:val="none" w:sz="0" w:space="0" w:color="auto"/>
                <w:bottom w:val="none" w:sz="0" w:space="0" w:color="auto"/>
                <w:right w:val="none" w:sz="0" w:space="0" w:color="auto"/>
              </w:divBdr>
            </w:div>
            <w:div w:id="1411271535">
              <w:marLeft w:val="0"/>
              <w:marRight w:val="0"/>
              <w:marTop w:val="0"/>
              <w:marBottom w:val="0"/>
              <w:divBdr>
                <w:top w:val="none" w:sz="0" w:space="0" w:color="auto"/>
                <w:left w:val="none" w:sz="0" w:space="0" w:color="auto"/>
                <w:bottom w:val="none" w:sz="0" w:space="0" w:color="auto"/>
                <w:right w:val="none" w:sz="0" w:space="0" w:color="auto"/>
              </w:divBdr>
            </w:div>
            <w:div w:id="1536582661">
              <w:marLeft w:val="0"/>
              <w:marRight w:val="0"/>
              <w:marTop w:val="0"/>
              <w:marBottom w:val="0"/>
              <w:divBdr>
                <w:top w:val="none" w:sz="0" w:space="0" w:color="auto"/>
                <w:left w:val="none" w:sz="0" w:space="0" w:color="auto"/>
                <w:bottom w:val="none" w:sz="0" w:space="0" w:color="auto"/>
                <w:right w:val="none" w:sz="0" w:space="0" w:color="auto"/>
              </w:divBdr>
            </w:div>
            <w:div w:id="1538353597">
              <w:marLeft w:val="0"/>
              <w:marRight w:val="0"/>
              <w:marTop w:val="0"/>
              <w:marBottom w:val="0"/>
              <w:divBdr>
                <w:top w:val="none" w:sz="0" w:space="0" w:color="auto"/>
                <w:left w:val="none" w:sz="0" w:space="0" w:color="auto"/>
                <w:bottom w:val="none" w:sz="0" w:space="0" w:color="auto"/>
                <w:right w:val="none" w:sz="0" w:space="0" w:color="auto"/>
              </w:divBdr>
            </w:div>
            <w:div w:id="1859269716">
              <w:marLeft w:val="0"/>
              <w:marRight w:val="0"/>
              <w:marTop w:val="0"/>
              <w:marBottom w:val="0"/>
              <w:divBdr>
                <w:top w:val="none" w:sz="0" w:space="0" w:color="auto"/>
                <w:left w:val="none" w:sz="0" w:space="0" w:color="auto"/>
                <w:bottom w:val="none" w:sz="0" w:space="0" w:color="auto"/>
                <w:right w:val="none" w:sz="0" w:space="0" w:color="auto"/>
              </w:divBdr>
            </w:div>
            <w:div w:id="1860121161">
              <w:marLeft w:val="0"/>
              <w:marRight w:val="0"/>
              <w:marTop w:val="0"/>
              <w:marBottom w:val="0"/>
              <w:divBdr>
                <w:top w:val="none" w:sz="0" w:space="0" w:color="auto"/>
                <w:left w:val="none" w:sz="0" w:space="0" w:color="auto"/>
                <w:bottom w:val="none" w:sz="0" w:space="0" w:color="auto"/>
                <w:right w:val="none" w:sz="0" w:space="0" w:color="auto"/>
              </w:divBdr>
            </w:div>
            <w:div w:id="1900245995">
              <w:marLeft w:val="0"/>
              <w:marRight w:val="0"/>
              <w:marTop w:val="0"/>
              <w:marBottom w:val="0"/>
              <w:divBdr>
                <w:top w:val="none" w:sz="0" w:space="0" w:color="auto"/>
                <w:left w:val="none" w:sz="0" w:space="0" w:color="auto"/>
                <w:bottom w:val="none" w:sz="0" w:space="0" w:color="auto"/>
                <w:right w:val="none" w:sz="0" w:space="0" w:color="auto"/>
              </w:divBdr>
            </w:div>
            <w:div w:id="1937521591">
              <w:marLeft w:val="0"/>
              <w:marRight w:val="0"/>
              <w:marTop w:val="0"/>
              <w:marBottom w:val="0"/>
              <w:divBdr>
                <w:top w:val="none" w:sz="0" w:space="0" w:color="auto"/>
                <w:left w:val="none" w:sz="0" w:space="0" w:color="auto"/>
                <w:bottom w:val="none" w:sz="0" w:space="0" w:color="auto"/>
                <w:right w:val="none" w:sz="0" w:space="0" w:color="auto"/>
              </w:divBdr>
            </w:div>
            <w:div w:id="2019967243">
              <w:marLeft w:val="0"/>
              <w:marRight w:val="0"/>
              <w:marTop w:val="0"/>
              <w:marBottom w:val="0"/>
              <w:divBdr>
                <w:top w:val="none" w:sz="0" w:space="0" w:color="auto"/>
                <w:left w:val="none" w:sz="0" w:space="0" w:color="auto"/>
                <w:bottom w:val="none" w:sz="0" w:space="0" w:color="auto"/>
                <w:right w:val="none" w:sz="0" w:space="0" w:color="auto"/>
              </w:divBdr>
            </w:div>
            <w:div w:id="2076052103">
              <w:marLeft w:val="0"/>
              <w:marRight w:val="0"/>
              <w:marTop w:val="0"/>
              <w:marBottom w:val="0"/>
              <w:divBdr>
                <w:top w:val="none" w:sz="0" w:space="0" w:color="auto"/>
                <w:left w:val="none" w:sz="0" w:space="0" w:color="auto"/>
                <w:bottom w:val="none" w:sz="0" w:space="0" w:color="auto"/>
                <w:right w:val="none" w:sz="0" w:space="0" w:color="auto"/>
              </w:divBdr>
            </w:div>
            <w:div w:id="21174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5742">
      <w:bodyDiv w:val="1"/>
      <w:marLeft w:val="0"/>
      <w:marRight w:val="0"/>
      <w:marTop w:val="0"/>
      <w:marBottom w:val="0"/>
      <w:divBdr>
        <w:top w:val="none" w:sz="0" w:space="0" w:color="auto"/>
        <w:left w:val="none" w:sz="0" w:space="0" w:color="auto"/>
        <w:bottom w:val="none" w:sz="0" w:space="0" w:color="auto"/>
        <w:right w:val="none" w:sz="0" w:space="0" w:color="auto"/>
      </w:divBdr>
      <w:divsChild>
        <w:div w:id="98837433">
          <w:marLeft w:val="0"/>
          <w:marRight w:val="0"/>
          <w:marTop w:val="0"/>
          <w:marBottom w:val="0"/>
          <w:divBdr>
            <w:top w:val="none" w:sz="0" w:space="0" w:color="auto"/>
            <w:left w:val="none" w:sz="0" w:space="0" w:color="auto"/>
            <w:bottom w:val="none" w:sz="0" w:space="0" w:color="auto"/>
            <w:right w:val="none" w:sz="0" w:space="0" w:color="auto"/>
          </w:divBdr>
        </w:div>
        <w:div w:id="103696353">
          <w:marLeft w:val="0"/>
          <w:marRight w:val="0"/>
          <w:marTop w:val="0"/>
          <w:marBottom w:val="0"/>
          <w:divBdr>
            <w:top w:val="none" w:sz="0" w:space="0" w:color="auto"/>
            <w:left w:val="none" w:sz="0" w:space="0" w:color="auto"/>
            <w:bottom w:val="none" w:sz="0" w:space="0" w:color="auto"/>
            <w:right w:val="none" w:sz="0" w:space="0" w:color="auto"/>
          </w:divBdr>
        </w:div>
        <w:div w:id="115612702">
          <w:marLeft w:val="0"/>
          <w:marRight w:val="0"/>
          <w:marTop w:val="0"/>
          <w:marBottom w:val="0"/>
          <w:divBdr>
            <w:top w:val="none" w:sz="0" w:space="0" w:color="auto"/>
            <w:left w:val="none" w:sz="0" w:space="0" w:color="auto"/>
            <w:bottom w:val="none" w:sz="0" w:space="0" w:color="auto"/>
            <w:right w:val="none" w:sz="0" w:space="0" w:color="auto"/>
          </w:divBdr>
          <w:divsChild>
            <w:div w:id="6947940">
              <w:marLeft w:val="0"/>
              <w:marRight w:val="0"/>
              <w:marTop w:val="0"/>
              <w:marBottom w:val="0"/>
              <w:divBdr>
                <w:top w:val="none" w:sz="0" w:space="0" w:color="auto"/>
                <w:left w:val="none" w:sz="0" w:space="0" w:color="auto"/>
                <w:bottom w:val="none" w:sz="0" w:space="0" w:color="auto"/>
                <w:right w:val="none" w:sz="0" w:space="0" w:color="auto"/>
              </w:divBdr>
            </w:div>
            <w:div w:id="13775126">
              <w:marLeft w:val="0"/>
              <w:marRight w:val="0"/>
              <w:marTop w:val="0"/>
              <w:marBottom w:val="0"/>
              <w:divBdr>
                <w:top w:val="none" w:sz="0" w:space="0" w:color="auto"/>
                <w:left w:val="none" w:sz="0" w:space="0" w:color="auto"/>
                <w:bottom w:val="none" w:sz="0" w:space="0" w:color="auto"/>
                <w:right w:val="none" w:sz="0" w:space="0" w:color="auto"/>
              </w:divBdr>
            </w:div>
            <w:div w:id="126624877">
              <w:marLeft w:val="0"/>
              <w:marRight w:val="0"/>
              <w:marTop w:val="0"/>
              <w:marBottom w:val="0"/>
              <w:divBdr>
                <w:top w:val="none" w:sz="0" w:space="0" w:color="auto"/>
                <w:left w:val="none" w:sz="0" w:space="0" w:color="auto"/>
                <w:bottom w:val="none" w:sz="0" w:space="0" w:color="auto"/>
                <w:right w:val="none" w:sz="0" w:space="0" w:color="auto"/>
              </w:divBdr>
            </w:div>
            <w:div w:id="189613099">
              <w:marLeft w:val="0"/>
              <w:marRight w:val="0"/>
              <w:marTop w:val="0"/>
              <w:marBottom w:val="0"/>
              <w:divBdr>
                <w:top w:val="none" w:sz="0" w:space="0" w:color="auto"/>
                <w:left w:val="none" w:sz="0" w:space="0" w:color="auto"/>
                <w:bottom w:val="none" w:sz="0" w:space="0" w:color="auto"/>
                <w:right w:val="none" w:sz="0" w:space="0" w:color="auto"/>
              </w:divBdr>
            </w:div>
            <w:div w:id="229342988">
              <w:marLeft w:val="0"/>
              <w:marRight w:val="0"/>
              <w:marTop w:val="0"/>
              <w:marBottom w:val="0"/>
              <w:divBdr>
                <w:top w:val="none" w:sz="0" w:space="0" w:color="auto"/>
                <w:left w:val="none" w:sz="0" w:space="0" w:color="auto"/>
                <w:bottom w:val="none" w:sz="0" w:space="0" w:color="auto"/>
                <w:right w:val="none" w:sz="0" w:space="0" w:color="auto"/>
              </w:divBdr>
            </w:div>
            <w:div w:id="430247838">
              <w:marLeft w:val="0"/>
              <w:marRight w:val="0"/>
              <w:marTop w:val="0"/>
              <w:marBottom w:val="0"/>
              <w:divBdr>
                <w:top w:val="none" w:sz="0" w:space="0" w:color="auto"/>
                <w:left w:val="none" w:sz="0" w:space="0" w:color="auto"/>
                <w:bottom w:val="none" w:sz="0" w:space="0" w:color="auto"/>
                <w:right w:val="none" w:sz="0" w:space="0" w:color="auto"/>
              </w:divBdr>
            </w:div>
            <w:div w:id="435489241">
              <w:marLeft w:val="0"/>
              <w:marRight w:val="0"/>
              <w:marTop w:val="0"/>
              <w:marBottom w:val="0"/>
              <w:divBdr>
                <w:top w:val="none" w:sz="0" w:space="0" w:color="auto"/>
                <w:left w:val="none" w:sz="0" w:space="0" w:color="auto"/>
                <w:bottom w:val="none" w:sz="0" w:space="0" w:color="auto"/>
                <w:right w:val="none" w:sz="0" w:space="0" w:color="auto"/>
              </w:divBdr>
            </w:div>
            <w:div w:id="549652151">
              <w:marLeft w:val="0"/>
              <w:marRight w:val="0"/>
              <w:marTop w:val="0"/>
              <w:marBottom w:val="0"/>
              <w:divBdr>
                <w:top w:val="none" w:sz="0" w:space="0" w:color="auto"/>
                <w:left w:val="none" w:sz="0" w:space="0" w:color="auto"/>
                <w:bottom w:val="none" w:sz="0" w:space="0" w:color="auto"/>
                <w:right w:val="none" w:sz="0" w:space="0" w:color="auto"/>
              </w:divBdr>
            </w:div>
            <w:div w:id="619800756">
              <w:marLeft w:val="0"/>
              <w:marRight w:val="0"/>
              <w:marTop w:val="0"/>
              <w:marBottom w:val="0"/>
              <w:divBdr>
                <w:top w:val="none" w:sz="0" w:space="0" w:color="auto"/>
                <w:left w:val="none" w:sz="0" w:space="0" w:color="auto"/>
                <w:bottom w:val="none" w:sz="0" w:space="0" w:color="auto"/>
                <w:right w:val="none" w:sz="0" w:space="0" w:color="auto"/>
              </w:divBdr>
            </w:div>
            <w:div w:id="846673482">
              <w:marLeft w:val="0"/>
              <w:marRight w:val="0"/>
              <w:marTop w:val="0"/>
              <w:marBottom w:val="0"/>
              <w:divBdr>
                <w:top w:val="none" w:sz="0" w:space="0" w:color="auto"/>
                <w:left w:val="none" w:sz="0" w:space="0" w:color="auto"/>
                <w:bottom w:val="none" w:sz="0" w:space="0" w:color="auto"/>
                <w:right w:val="none" w:sz="0" w:space="0" w:color="auto"/>
              </w:divBdr>
            </w:div>
            <w:div w:id="862472110">
              <w:marLeft w:val="0"/>
              <w:marRight w:val="0"/>
              <w:marTop w:val="0"/>
              <w:marBottom w:val="0"/>
              <w:divBdr>
                <w:top w:val="none" w:sz="0" w:space="0" w:color="auto"/>
                <w:left w:val="none" w:sz="0" w:space="0" w:color="auto"/>
                <w:bottom w:val="none" w:sz="0" w:space="0" w:color="auto"/>
                <w:right w:val="none" w:sz="0" w:space="0" w:color="auto"/>
              </w:divBdr>
            </w:div>
            <w:div w:id="909657158">
              <w:marLeft w:val="0"/>
              <w:marRight w:val="0"/>
              <w:marTop w:val="0"/>
              <w:marBottom w:val="0"/>
              <w:divBdr>
                <w:top w:val="none" w:sz="0" w:space="0" w:color="auto"/>
                <w:left w:val="none" w:sz="0" w:space="0" w:color="auto"/>
                <w:bottom w:val="none" w:sz="0" w:space="0" w:color="auto"/>
                <w:right w:val="none" w:sz="0" w:space="0" w:color="auto"/>
              </w:divBdr>
            </w:div>
            <w:div w:id="1024554059">
              <w:marLeft w:val="0"/>
              <w:marRight w:val="0"/>
              <w:marTop w:val="0"/>
              <w:marBottom w:val="0"/>
              <w:divBdr>
                <w:top w:val="none" w:sz="0" w:space="0" w:color="auto"/>
                <w:left w:val="none" w:sz="0" w:space="0" w:color="auto"/>
                <w:bottom w:val="none" w:sz="0" w:space="0" w:color="auto"/>
                <w:right w:val="none" w:sz="0" w:space="0" w:color="auto"/>
              </w:divBdr>
            </w:div>
            <w:div w:id="1359894698">
              <w:marLeft w:val="0"/>
              <w:marRight w:val="0"/>
              <w:marTop w:val="0"/>
              <w:marBottom w:val="0"/>
              <w:divBdr>
                <w:top w:val="none" w:sz="0" w:space="0" w:color="auto"/>
                <w:left w:val="none" w:sz="0" w:space="0" w:color="auto"/>
                <w:bottom w:val="none" w:sz="0" w:space="0" w:color="auto"/>
                <w:right w:val="none" w:sz="0" w:space="0" w:color="auto"/>
              </w:divBdr>
            </w:div>
            <w:div w:id="1378704475">
              <w:marLeft w:val="0"/>
              <w:marRight w:val="0"/>
              <w:marTop w:val="0"/>
              <w:marBottom w:val="0"/>
              <w:divBdr>
                <w:top w:val="none" w:sz="0" w:space="0" w:color="auto"/>
                <w:left w:val="none" w:sz="0" w:space="0" w:color="auto"/>
                <w:bottom w:val="none" w:sz="0" w:space="0" w:color="auto"/>
                <w:right w:val="none" w:sz="0" w:space="0" w:color="auto"/>
              </w:divBdr>
            </w:div>
            <w:div w:id="1512836096">
              <w:marLeft w:val="0"/>
              <w:marRight w:val="0"/>
              <w:marTop w:val="0"/>
              <w:marBottom w:val="0"/>
              <w:divBdr>
                <w:top w:val="none" w:sz="0" w:space="0" w:color="auto"/>
                <w:left w:val="none" w:sz="0" w:space="0" w:color="auto"/>
                <w:bottom w:val="none" w:sz="0" w:space="0" w:color="auto"/>
                <w:right w:val="none" w:sz="0" w:space="0" w:color="auto"/>
              </w:divBdr>
            </w:div>
            <w:div w:id="1588882677">
              <w:marLeft w:val="0"/>
              <w:marRight w:val="0"/>
              <w:marTop w:val="0"/>
              <w:marBottom w:val="0"/>
              <w:divBdr>
                <w:top w:val="none" w:sz="0" w:space="0" w:color="auto"/>
                <w:left w:val="none" w:sz="0" w:space="0" w:color="auto"/>
                <w:bottom w:val="none" w:sz="0" w:space="0" w:color="auto"/>
                <w:right w:val="none" w:sz="0" w:space="0" w:color="auto"/>
              </w:divBdr>
            </w:div>
            <w:div w:id="1738896586">
              <w:marLeft w:val="0"/>
              <w:marRight w:val="0"/>
              <w:marTop w:val="0"/>
              <w:marBottom w:val="0"/>
              <w:divBdr>
                <w:top w:val="none" w:sz="0" w:space="0" w:color="auto"/>
                <w:left w:val="none" w:sz="0" w:space="0" w:color="auto"/>
                <w:bottom w:val="none" w:sz="0" w:space="0" w:color="auto"/>
                <w:right w:val="none" w:sz="0" w:space="0" w:color="auto"/>
              </w:divBdr>
            </w:div>
            <w:div w:id="1930769442">
              <w:marLeft w:val="0"/>
              <w:marRight w:val="0"/>
              <w:marTop w:val="0"/>
              <w:marBottom w:val="0"/>
              <w:divBdr>
                <w:top w:val="none" w:sz="0" w:space="0" w:color="auto"/>
                <w:left w:val="none" w:sz="0" w:space="0" w:color="auto"/>
                <w:bottom w:val="none" w:sz="0" w:space="0" w:color="auto"/>
                <w:right w:val="none" w:sz="0" w:space="0" w:color="auto"/>
              </w:divBdr>
            </w:div>
            <w:div w:id="1933657413">
              <w:marLeft w:val="0"/>
              <w:marRight w:val="0"/>
              <w:marTop w:val="0"/>
              <w:marBottom w:val="0"/>
              <w:divBdr>
                <w:top w:val="none" w:sz="0" w:space="0" w:color="auto"/>
                <w:left w:val="none" w:sz="0" w:space="0" w:color="auto"/>
                <w:bottom w:val="none" w:sz="0" w:space="0" w:color="auto"/>
                <w:right w:val="none" w:sz="0" w:space="0" w:color="auto"/>
              </w:divBdr>
            </w:div>
          </w:divsChild>
        </w:div>
        <w:div w:id="127476512">
          <w:marLeft w:val="0"/>
          <w:marRight w:val="0"/>
          <w:marTop w:val="0"/>
          <w:marBottom w:val="0"/>
          <w:divBdr>
            <w:top w:val="none" w:sz="0" w:space="0" w:color="auto"/>
            <w:left w:val="none" w:sz="0" w:space="0" w:color="auto"/>
            <w:bottom w:val="none" w:sz="0" w:space="0" w:color="auto"/>
            <w:right w:val="none" w:sz="0" w:space="0" w:color="auto"/>
          </w:divBdr>
        </w:div>
        <w:div w:id="141317898">
          <w:marLeft w:val="0"/>
          <w:marRight w:val="0"/>
          <w:marTop w:val="0"/>
          <w:marBottom w:val="0"/>
          <w:divBdr>
            <w:top w:val="none" w:sz="0" w:space="0" w:color="auto"/>
            <w:left w:val="none" w:sz="0" w:space="0" w:color="auto"/>
            <w:bottom w:val="none" w:sz="0" w:space="0" w:color="auto"/>
            <w:right w:val="none" w:sz="0" w:space="0" w:color="auto"/>
          </w:divBdr>
          <w:divsChild>
            <w:div w:id="44333492">
              <w:marLeft w:val="0"/>
              <w:marRight w:val="0"/>
              <w:marTop w:val="0"/>
              <w:marBottom w:val="0"/>
              <w:divBdr>
                <w:top w:val="none" w:sz="0" w:space="0" w:color="auto"/>
                <w:left w:val="none" w:sz="0" w:space="0" w:color="auto"/>
                <w:bottom w:val="none" w:sz="0" w:space="0" w:color="auto"/>
                <w:right w:val="none" w:sz="0" w:space="0" w:color="auto"/>
              </w:divBdr>
            </w:div>
            <w:div w:id="289407416">
              <w:marLeft w:val="0"/>
              <w:marRight w:val="0"/>
              <w:marTop w:val="0"/>
              <w:marBottom w:val="0"/>
              <w:divBdr>
                <w:top w:val="none" w:sz="0" w:space="0" w:color="auto"/>
                <w:left w:val="none" w:sz="0" w:space="0" w:color="auto"/>
                <w:bottom w:val="none" w:sz="0" w:space="0" w:color="auto"/>
                <w:right w:val="none" w:sz="0" w:space="0" w:color="auto"/>
              </w:divBdr>
            </w:div>
            <w:div w:id="433667300">
              <w:marLeft w:val="0"/>
              <w:marRight w:val="0"/>
              <w:marTop w:val="0"/>
              <w:marBottom w:val="0"/>
              <w:divBdr>
                <w:top w:val="none" w:sz="0" w:space="0" w:color="auto"/>
                <w:left w:val="none" w:sz="0" w:space="0" w:color="auto"/>
                <w:bottom w:val="none" w:sz="0" w:space="0" w:color="auto"/>
                <w:right w:val="none" w:sz="0" w:space="0" w:color="auto"/>
              </w:divBdr>
            </w:div>
            <w:div w:id="436291265">
              <w:marLeft w:val="0"/>
              <w:marRight w:val="0"/>
              <w:marTop w:val="0"/>
              <w:marBottom w:val="0"/>
              <w:divBdr>
                <w:top w:val="none" w:sz="0" w:space="0" w:color="auto"/>
                <w:left w:val="none" w:sz="0" w:space="0" w:color="auto"/>
                <w:bottom w:val="none" w:sz="0" w:space="0" w:color="auto"/>
                <w:right w:val="none" w:sz="0" w:space="0" w:color="auto"/>
              </w:divBdr>
            </w:div>
            <w:div w:id="459692561">
              <w:marLeft w:val="0"/>
              <w:marRight w:val="0"/>
              <w:marTop w:val="0"/>
              <w:marBottom w:val="0"/>
              <w:divBdr>
                <w:top w:val="none" w:sz="0" w:space="0" w:color="auto"/>
                <w:left w:val="none" w:sz="0" w:space="0" w:color="auto"/>
                <w:bottom w:val="none" w:sz="0" w:space="0" w:color="auto"/>
                <w:right w:val="none" w:sz="0" w:space="0" w:color="auto"/>
              </w:divBdr>
            </w:div>
            <w:div w:id="556861480">
              <w:marLeft w:val="0"/>
              <w:marRight w:val="0"/>
              <w:marTop w:val="0"/>
              <w:marBottom w:val="0"/>
              <w:divBdr>
                <w:top w:val="none" w:sz="0" w:space="0" w:color="auto"/>
                <w:left w:val="none" w:sz="0" w:space="0" w:color="auto"/>
                <w:bottom w:val="none" w:sz="0" w:space="0" w:color="auto"/>
                <w:right w:val="none" w:sz="0" w:space="0" w:color="auto"/>
              </w:divBdr>
            </w:div>
            <w:div w:id="942567478">
              <w:marLeft w:val="0"/>
              <w:marRight w:val="0"/>
              <w:marTop w:val="0"/>
              <w:marBottom w:val="0"/>
              <w:divBdr>
                <w:top w:val="none" w:sz="0" w:space="0" w:color="auto"/>
                <w:left w:val="none" w:sz="0" w:space="0" w:color="auto"/>
                <w:bottom w:val="none" w:sz="0" w:space="0" w:color="auto"/>
                <w:right w:val="none" w:sz="0" w:space="0" w:color="auto"/>
              </w:divBdr>
            </w:div>
            <w:div w:id="1020661106">
              <w:marLeft w:val="0"/>
              <w:marRight w:val="0"/>
              <w:marTop w:val="0"/>
              <w:marBottom w:val="0"/>
              <w:divBdr>
                <w:top w:val="none" w:sz="0" w:space="0" w:color="auto"/>
                <w:left w:val="none" w:sz="0" w:space="0" w:color="auto"/>
                <w:bottom w:val="none" w:sz="0" w:space="0" w:color="auto"/>
                <w:right w:val="none" w:sz="0" w:space="0" w:color="auto"/>
              </w:divBdr>
            </w:div>
            <w:div w:id="1183590832">
              <w:marLeft w:val="0"/>
              <w:marRight w:val="0"/>
              <w:marTop w:val="0"/>
              <w:marBottom w:val="0"/>
              <w:divBdr>
                <w:top w:val="none" w:sz="0" w:space="0" w:color="auto"/>
                <w:left w:val="none" w:sz="0" w:space="0" w:color="auto"/>
                <w:bottom w:val="none" w:sz="0" w:space="0" w:color="auto"/>
                <w:right w:val="none" w:sz="0" w:space="0" w:color="auto"/>
              </w:divBdr>
            </w:div>
            <w:div w:id="1562056111">
              <w:marLeft w:val="0"/>
              <w:marRight w:val="0"/>
              <w:marTop w:val="0"/>
              <w:marBottom w:val="0"/>
              <w:divBdr>
                <w:top w:val="none" w:sz="0" w:space="0" w:color="auto"/>
                <w:left w:val="none" w:sz="0" w:space="0" w:color="auto"/>
                <w:bottom w:val="none" w:sz="0" w:space="0" w:color="auto"/>
                <w:right w:val="none" w:sz="0" w:space="0" w:color="auto"/>
              </w:divBdr>
            </w:div>
            <w:div w:id="1657294130">
              <w:marLeft w:val="0"/>
              <w:marRight w:val="0"/>
              <w:marTop w:val="0"/>
              <w:marBottom w:val="0"/>
              <w:divBdr>
                <w:top w:val="none" w:sz="0" w:space="0" w:color="auto"/>
                <w:left w:val="none" w:sz="0" w:space="0" w:color="auto"/>
                <w:bottom w:val="none" w:sz="0" w:space="0" w:color="auto"/>
                <w:right w:val="none" w:sz="0" w:space="0" w:color="auto"/>
              </w:divBdr>
            </w:div>
            <w:div w:id="1686637320">
              <w:marLeft w:val="0"/>
              <w:marRight w:val="0"/>
              <w:marTop w:val="0"/>
              <w:marBottom w:val="0"/>
              <w:divBdr>
                <w:top w:val="none" w:sz="0" w:space="0" w:color="auto"/>
                <w:left w:val="none" w:sz="0" w:space="0" w:color="auto"/>
                <w:bottom w:val="none" w:sz="0" w:space="0" w:color="auto"/>
                <w:right w:val="none" w:sz="0" w:space="0" w:color="auto"/>
              </w:divBdr>
            </w:div>
            <w:div w:id="1763798307">
              <w:marLeft w:val="0"/>
              <w:marRight w:val="0"/>
              <w:marTop w:val="0"/>
              <w:marBottom w:val="0"/>
              <w:divBdr>
                <w:top w:val="none" w:sz="0" w:space="0" w:color="auto"/>
                <w:left w:val="none" w:sz="0" w:space="0" w:color="auto"/>
                <w:bottom w:val="none" w:sz="0" w:space="0" w:color="auto"/>
                <w:right w:val="none" w:sz="0" w:space="0" w:color="auto"/>
              </w:divBdr>
            </w:div>
            <w:div w:id="1790011316">
              <w:marLeft w:val="0"/>
              <w:marRight w:val="0"/>
              <w:marTop w:val="0"/>
              <w:marBottom w:val="0"/>
              <w:divBdr>
                <w:top w:val="none" w:sz="0" w:space="0" w:color="auto"/>
                <w:left w:val="none" w:sz="0" w:space="0" w:color="auto"/>
                <w:bottom w:val="none" w:sz="0" w:space="0" w:color="auto"/>
                <w:right w:val="none" w:sz="0" w:space="0" w:color="auto"/>
              </w:divBdr>
            </w:div>
            <w:div w:id="1811053503">
              <w:marLeft w:val="0"/>
              <w:marRight w:val="0"/>
              <w:marTop w:val="0"/>
              <w:marBottom w:val="0"/>
              <w:divBdr>
                <w:top w:val="none" w:sz="0" w:space="0" w:color="auto"/>
                <w:left w:val="none" w:sz="0" w:space="0" w:color="auto"/>
                <w:bottom w:val="none" w:sz="0" w:space="0" w:color="auto"/>
                <w:right w:val="none" w:sz="0" w:space="0" w:color="auto"/>
              </w:divBdr>
            </w:div>
            <w:div w:id="1847554379">
              <w:marLeft w:val="0"/>
              <w:marRight w:val="0"/>
              <w:marTop w:val="0"/>
              <w:marBottom w:val="0"/>
              <w:divBdr>
                <w:top w:val="none" w:sz="0" w:space="0" w:color="auto"/>
                <w:left w:val="none" w:sz="0" w:space="0" w:color="auto"/>
                <w:bottom w:val="none" w:sz="0" w:space="0" w:color="auto"/>
                <w:right w:val="none" w:sz="0" w:space="0" w:color="auto"/>
              </w:divBdr>
            </w:div>
            <w:div w:id="1947738113">
              <w:marLeft w:val="0"/>
              <w:marRight w:val="0"/>
              <w:marTop w:val="0"/>
              <w:marBottom w:val="0"/>
              <w:divBdr>
                <w:top w:val="none" w:sz="0" w:space="0" w:color="auto"/>
                <w:left w:val="none" w:sz="0" w:space="0" w:color="auto"/>
                <w:bottom w:val="none" w:sz="0" w:space="0" w:color="auto"/>
                <w:right w:val="none" w:sz="0" w:space="0" w:color="auto"/>
              </w:divBdr>
            </w:div>
            <w:div w:id="1993874511">
              <w:marLeft w:val="0"/>
              <w:marRight w:val="0"/>
              <w:marTop w:val="0"/>
              <w:marBottom w:val="0"/>
              <w:divBdr>
                <w:top w:val="none" w:sz="0" w:space="0" w:color="auto"/>
                <w:left w:val="none" w:sz="0" w:space="0" w:color="auto"/>
                <w:bottom w:val="none" w:sz="0" w:space="0" w:color="auto"/>
                <w:right w:val="none" w:sz="0" w:space="0" w:color="auto"/>
              </w:divBdr>
            </w:div>
            <w:div w:id="2010981739">
              <w:marLeft w:val="0"/>
              <w:marRight w:val="0"/>
              <w:marTop w:val="0"/>
              <w:marBottom w:val="0"/>
              <w:divBdr>
                <w:top w:val="none" w:sz="0" w:space="0" w:color="auto"/>
                <w:left w:val="none" w:sz="0" w:space="0" w:color="auto"/>
                <w:bottom w:val="none" w:sz="0" w:space="0" w:color="auto"/>
                <w:right w:val="none" w:sz="0" w:space="0" w:color="auto"/>
              </w:divBdr>
            </w:div>
            <w:div w:id="2095664651">
              <w:marLeft w:val="0"/>
              <w:marRight w:val="0"/>
              <w:marTop w:val="0"/>
              <w:marBottom w:val="0"/>
              <w:divBdr>
                <w:top w:val="none" w:sz="0" w:space="0" w:color="auto"/>
                <w:left w:val="none" w:sz="0" w:space="0" w:color="auto"/>
                <w:bottom w:val="none" w:sz="0" w:space="0" w:color="auto"/>
                <w:right w:val="none" w:sz="0" w:space="0" w:color="auto"/>
              </w:divBdr>
            </w:div>
          </w:divsChild>
        </w:div>
        <w:div w:id="181483352">
          <w:marLeft w:val="0"/>
          <w:marRight w:val="0"/>
          <w:marTop w:val="0"/>
          <w:marBottom w:val="0"/>
          <w:divBdr>
            <w:top w:val="none" w:sz="0" w:space="0" w:color="auto"/>
            <w:left w:val="none" w:sz="0" w:space="0" w:color="auto"/>
            <w:bottom w:val="none" w:sz="0" w:space="0" w:color="auto"/>
            <w:right w:val="none" w:sz="0" w:space="0" w:color="auto"/>
          </w:divBdr>
        </w:div>
        <w:div w:id="192573105">
          <w:marLeft w:val="0"/>
          <w:marRight w:val="0"/>
          <w:marTop w:val="0"/>
          <w:marBottom w:val="0"/>
          <w:divBdr>
            <w:top w:val="none" w:sz="0" w:space="0" w:color="auto"/>
            <w:left w:val="none" w:sz="0" w:space="0" w:color="auto"/>
            <w:bottom w:val="none" w:sz="0" w:space="0" w:color="auto"/>
            <w:right w:val="none" w:sz="0" w:space="0" w:color="auto"/>
          </w:divBdr>
        </w:div>
        <w:div w:id="241523544">
          <w:marLeft w:val="0"/>
          <w:marRight w:val="0"/>
          <w:marTop w:val="0"/>
          <w:marBottom w:val="0"/>
          <w:divBdr>
            <w:top w:val="none" w:sz="0" w:space="0" w:color="auto"/>
            <w:left w:val="none" w:sz="0" w:space="0" w:color="auto"/>
            <w:bottom w:val="none" w:sz="0" w:space="0" w:color="auto"/>
            <w:right w:val="none" w:sz="0" w:space="0" w:color="auto"/>
          </w:divBdr>
        </w:div>
        <w:div w:id="259265750">
          <w:marLeft w:val="0"/>
          <w:marRight w:val="0"/>
          <w:marTop w:val="0"/>
          <w:marBottom w:val="0"/>
          <w:divBdr>
            <w:top w:val="none" w:sz="0" w:space="0" w:color="auto"/>
            <w:left w:val="none" w:sz="0" w:space="0" w:color="auto"/>
            <w:bottom w:val="none" w:sz="0" w:space="0" w:color="auto"/>
            <w:right w:val="none" w:sz="0" w:space="0" w:color="auto"/>
          </w:divBdr>
        </w:div>
        <w:div w:id="274363263">
          <w:marLeft w:val="0"/>
          <w:marRight w:val="0"/>
          <w:marTop w:val="0"/>
          <w:marBottom w:val="0"/>
          <w:divBdr>
            <w:top w:val="none" w:sz="0" w:space="0" w:color="auto"/>
            <w:left w:val="none" w:sz="0" w:space="0" w:color="auto"/>
            <w:bottom w:val="none" w:sz="0" w:space="0" w:color="auto"/>
            <w:right w:val="none" w:sz="0" w:space="0" w:color="auto"/>
          </w:divBdr>
        </w:div>
        <w:div w:id="276717379">
          <w:marLeft w:val="0"/>
          <w:marRight w:val="0"/>
          <w:marTop w:val="0"/>
          <w:marBottom w:val="0"/>
          <w:divBdr>
            <w:top w:val="none" w:sz="0" w:space="0" w:color="auto"/>
            <w:left w:val="none" w:sz="0" w:space="0" w:color="auto"/>
            <w:bottom w:val="none" w:sz="0" w:space="0" w:color="auto"/>
            <w:right w:val="none" w:sz="0" w:space="0" w:color="auto"/>
          </w:divBdr>
        </w:div>
        <w:div w:id="310864780">
          <w:marLeft w:val="0"/>
          <w:marRight w:val="0"/>
          <w:marTop w:val="0"/>
          <w:marBottom w:val="0"/>
          <w:divBdr>
            <w:top w:val="none" w:sz="0" w:space="0" w:color="auto"/>
            <w:left w:val="none" w:sz="0" w:space="0" w:color="auto"/>
            <w:bottom w:val="none" w:sz="0" w:space="0" w:color="auto"/>
            <w:right w:val="none" w:sz="0" w:space="0" w:color="auto"/>
          </w:divBdr>
        </w:div>
        <w:div w:id="341472506">
          <w:marLeft w:val="0"/>
          <w:marRight w:val="0"/>
          <w:marTop w:val="0"/>
          <w:marBottom w:val="0"/>
          <w:divBdr>
            <w:top w:val="none" w:sz="0" w:space="0" w:color="auto"/>
            <w:left w:val="none" w:sz="0" w:space="0" w:color="auto"/>
            <w:bottom w:val="none" w:sz="0" w:space="0" w:color="auto"/>
            <w:right w:val="none" w:sz="0" w:space="0" w:color="auto"/>
          </w:divBdr>
        </w:div>
        <w:div w:id="360206041">
          <w:marLeft w:val="0"/>
          <w:marRight w:val="0"/>
          <w:marTop w:val="0"/>
          <w:marBottom w:val="0"/>
          <w:divBdr>
            <w:top w:val="none" w:sz="0" w:space="0" w:color="auto"/>
            <w:left w:val="none" w:sz="0" w:space="0" w:color="auto"/>
            <w:bottom w:val="none" w:sz="0" w:space="0" w:color="auto"/>
            <w:right w:val="none" w:sz="0" w:space="0" w:color="auto"/>
          </w:divBdr>
        </w:div>
        <w:div w:id="366032598">
          <w:marLeft w:val="0"/>
          <w:marRight w:val="0"/>
          <w:marTop w:val="0"/>
          <w:marBottom w:val="0"/>
          <w:divBdr>
            <w:top w:val="none" w:sz="0" w:space="0" w:color="auto"/>
            <w:left w:val="none" w:sz="0" w:space="0" w:color="auto"/>
            <w:bottom w:val="none" w:sz="0" w:space="0" w:color="auto"/>
            <w:right w:val="none" w:sz="0" w:space="0" w:color="auto"/>
          </w:divBdr>
        </w:div>
        <w:div w:id="410734211">
          <w:marLeft w:val="0"/>
          <w:marRight w:val="0"/>
          <w:marTop w:val="0"/>
          <w:marBottom w:val="0"/>
          <w:divBdr>
            <w:top w:val="none" w:sz="0" w:space="0" w:color="auto"/>
            <w:left w:val="none" w:sz="0" w:space="0" w:color="auto"/>
            <w:bottom w:val="none" w:sz="0" w:space="0" w:color="auto"/>
            <w:right w:val="none" w:sz="0" w:space="0" w:color="auto"/>
          </w:divBdr>
        </w:div>
        <w:div w:id="413086934">
          <w:marLeft w:val="0"/>
          <w:marRight w:val="0"/>
          <w:marTop w:val="0"/>
          <w:marBottom w:val="0"/>
          <w:divBdr>
            <w:top w:val="none" w:sz="0" w:space="0" w:color="auto"/>
            <w:left w:val="none" w:sz="0" w:space="0" w:color="auto"/>
            <w:bottom w:val="none" w:sz="0" w:space="0" w:color="auto"/>
            <w:right w:val="none" w:sz="0" w:space="0" w:color="auto"/>
          </w:divBdr>
        </w:div>
        <w:div w:id="445538348">
          <w:marLeft w:val="0"/>
          <w:marRight w:val="0"/>
          <w:marTop w:val="0"/>
          <w:marBottom w:val="0"/>
          <w:divBdr>
            <w:top w:val="none" w:sz="0" w:space="0" w:color="auto"/>
            <w:left w:val="none" w:sz="0" w:space="0" w:color="auto"/>
            <w:bottom w:val="none" w:sz="0" w:space="0" w:color="auto"/>
            <w:right w:val="none" w:sz="0" w:space="0" w:color="auto"/>
          </w:divBdr>
        </w:div>
        <w:div w:id="450905242">
          <w:marLeft w:val="0"/>
          <w:marRight w:val="0"/>
          <w:marTop w:val="0"/>
          <w:marBottom w:val="0"/>
          <w:divBdr>
            <w:top w:val="none" w:sz="0" w:space="0" w:color="auto"/>
            <w:left w:val="none" w:sz="0" w:space="0" w:color="auto"/>
            <w:bottom w:val="none" w:sz="0" w:space="0" w:color="auto"/>
            <w:right w:val="none" w:sz="0" w:space="0" w:color="auto"/>
          </w:divBdr>
          <w:divsChild>
            <w:div w:id="589777202">
              <w:marLeft w:val="-75"/>
              <w:marRight w:val="0"/>
              <w:marTop w:val="30"/>
              <w:marBottom w:val="30"/>
              <w:divBdr>
                <w:top w:val="none" w:sz="0" w:space="0" w:color="auto"/>
                <w:left w:val="none" w:sz="0" w:space="0" w:color="auto"/>
                <w:bottom w:val="none" w:sz="0" w:space="0" w:color="auto"/>
                <w:right w:val="none" w:sz="0" w:space="0" w:color="auto"/>
              </w:divBdr>
              <w:divsChild>
                <w:div w:id="9180970">
                  <w:marLeft w:val="0"/>
                  <w:marRight w:val="0"/>
                  <w:marTop w:val="0"/>
                  <w:marBottom w:val="0"/>
                  <w:divBdr>
                    <w:top w:val="none" w:sz="0" w:space="0" w:color="auto"/>
                    <w:left w:val="none" w:sz="0" w:space="0" w:color="auto"/>
                    <w:bottom w:val="none" w:sz="0" w:space="0" w:color="auto"/>
                    <w:right w:val="none" w:sz="0" w:space="0" w:color="auto"/>
                  </w:divBdr>
                  <w:divsChild>
                    <w:div w:id="886725205">
                      <w:marLeft w:val="0"/>
                      <w:marRight w:val="0"/>
                      <w:marTop w:val="0"/>
                      <w:marBottom w:val="0"/>
                      <w:divBdr>
                        <w:top w:val="none" w:sz="0" w:space="0" w:color="auto"/>
                        <w:left w:val="none" w:sz="0" w:space="0" w:color="auto"/>
                        <w:bottom w:val="none" w:sz="0" w:space="0" w:color="auto"/>
                        <w:right w:val="none" w:sz="0" w:space="0" w:color="auto"/>
                      </w:divBdr>
                    </w:div>
                  </w:divsChild>
                </w:div>
                <w:div w:id="23748147">
                  <w:marLeft w:val="0"/>
                  <w:marRight w:val="0"/>
                  <w:marTop w:val="0"/>
                  <w:marBottom w:val="0"/>
                  <w:divBdr>
                    <w:top w:val="none" w:sz="0" w:space="0" w:color="auto"/>
                    <w:left w:val="none" w:sz="0" w:space="0" w:color="auto"/>
                    <w:bottom w:val="none" w:sz="0" w:space="0" w:color="auto"/>
                    <w:right w:val="none" w:sz="0" w:space="0" w:color="auto"/>
                  </w:divBdr>
                  <w:divsChild>
                    <w:div w:id="895048143">
                      <w:marLeft w:val="0"/>
                      <w:marRight w:val="0"/>
                      <w:marTop w:val="0"/>
                      <w:marBottom w:val="0"/>
                      <w:divBdr>
                        <w:top w:val="none" w:sz="0" w:space="0" w:color="auto"/>
                        <w:left w:val="none" w:sz="0" w:space="0" w:color="auto"/>
                        <w:bottom w:val="none" w:sz="0" w:space="0" w:color="auto"/>
                        <w:right w:val="none" w:sz="0" w:space="0" w:color="auto"/>
                      </w:divBdr>
                    </w:div>
                  </w:divsChild>
                </w:div>
                <w:div w:id="53237080">
                  <w:marLeft w:val="0"/>
                  <w:marRight w:val="0"/>
                  <w:marTop w:val="0"/>
                  <w:marBottom w:val="0"/>
                  <w:divBdr>
                    <w:top w:val="none" w:sz="0" w:space="0" w:color="auto"/>
                    <w:left w:val="none" w:sz="0" w:space="0" w:color="auto"/>
                    <w:bottom w:val="none" w:sz="0" w:space="0" w:color="auto"/>
                    <w:right w:val="none" w:sz="0" w:space="0" w:color="auto"/>
                  </w:divBdr>
                  <w:divsChild>
                    <w:div w:id="1676878737">
                      <w:marLeft w:val="0"/>
                      <w:marRight w:val="0"/>
                      <w:marTop w:val="0"/>
                      <w:marBottom w:val="0"/>
                      <w:divBdr>
                        <w:top w:val="none" w:sz="0" w:space="0" w:color="auto"/>
                        <w:left w:val="none" w:sz="0" w:space="0" w:color="auto"/>
                        <w:bottom w:val="none" w:sz="0" w:space="0" w:color="auto"/>
                        <w:right w:val="none" w:sz="0" w:space="0" w:color="auto"/>
                      </w:divBdr>
                    </w:div>
                  </w:divsChild>
                </w:div>
                <w:div w:id="75521633">
                  <w:marLeft w:val="0"/>
                  <w:marRight w:val="0"/>
                  <w:marTop w:val="0"/>
                  <w:marBottom w:val="0"/>
                  <w:divBdr>
                    <w:top w:val="none" w:sz="0" w:space="0" w:color="auto"/>
                    <w:left w:val="none" w:sz="0" w:space="0" w:color="auto"/>
                    <w:bottom w:val="none" w:sz="0" w:space="0" w:color="auto"/>
                    <w:right w:val="none" w:sz="0" w:space="0" w:color="auto"/>
                  </w:divBdr>
                  <w:divsChild>
                    <w:div w:id="2043705556">
                      <w:marLeft w:val="0"/>
                      <w:marRight w:val="0"/>
                      <w:marTop w:val="0"/>
                      <w:marBottom w:val="0"/>
                      <w:divBdr>
                        <w:top w:val="none" w:sz="0" w:space="0" w:color="auto"/>
                        <w:left w:val="none" w:sz="0" w:space="0" w:color="auto"/>
                        <w:bottom w:val="none" w:sz="0" w:space="0" w:color="auto"/>
                        <w:right w:val="none" w:sz="0" w:space="0" w:color="auto"/>
                      </w:divBdr>
                    </w:div>
                  </w:divsChild>
                </w:div>
                <w:div w:id="114834495">
                  <w:marLeft w:val="0"/>
                  <w:marRight w:val="0"/>
                  <w:marTop w:val="0"/>
                  <w:marBottom w:val="0"/>
                  <w:divBdr>
                    <w:top w:val="none" w:sz="0" w:space="0" w:color="auto"/>
                    <w:left w:val="none" w:sz="0" w:space="0" w:color="auto"/>
                    <w:bottom w:val="none" w:sz="0" w:space="0" w:color="auto"/>
                    <w:right w:val="none" w:sz="0" w:space="0" w:color="auto"/>
                  </w:divBdr>
                  <w:divsChild>
                    <w:div w:id="278607866">
                      <w:marLeft w:val="0"/>
                      <w:marRight w:val="0"/>
                      <w:marTop w:val="0"/>
                      <w:marBottom w:val="0"/>
                      <w:divBdr>
                        <w:top w:val="none" w:sz="0" w:space="0" w:color="auto"/>
                        <w:left w:val="none" w:sz="0" w:space="0" w:color="auto"/>
                        <w:bottom w:val="none" w:sz="0" w:space="0" w:color="auto"/>
                        <w:right w:val="none" w:sz="0" w:space="0" w:color="auto"/>
                      </w:divBdr>
                    </w:div>
                  </w:divsChild>
                </w:div>
                <w:div w:id="139350134">
                  <w:marLeft w:val="0"/>
                  <w:marRight w:val="0"/>
                  <w:marTop w:val="0"/>
                  <w:marBottom w:val="0"/>
                  <w:divBdr>
                    <w:top w:val="none" w:sz="0" w:space="0" w:color="auto"/>
                    <w:left w:val="none" w:sz="0" w:space="0" w:color="auto"/>
                    <w:bottom w:val="none" w:sz="0" w:space="0" w:color="auto"/>
                    <w:right w:val="none" w:sz="0" w:space="0" w:color="auto"/>
                  </w:divBdr>
                  <w:divsChild>
                    <w:div w:id="2061518516">
                      <w:marLeft w:val="0"/>
                      <w:marRight w:val="0"/>
                      <w:marTop w:val="0"/>
                      <w:marBottom w:val="0"/>
                      <w:divBdr>
                        <w:top w:val="none" w:sz="0" w:space="0" w:color="auto"/>
                        <w:left w:val="none" w:sz="0" w:space="0" w:color="auto"/>
                        <w:bottom w:val="none" w:sz="0" w:space="0" w:color="auto"/>
                        <w:right w:val="none" w:sz="0" w:space="0" w:color="auto"/>
                      </w:divBdr>
                    </w:div>
                  </w:divsChild>
                </w:div>
                <w:div w:id="220481055">
                  <w:marLeft w:val="0"/>
                  <w:marRight w:val="0"/>
                  <w:marTop w:val="0"/>
                  <w:marBottom w:val="0"/>
                  <w:divBdr>
                    <w:top w:val="none" w:sz="0" w:space="0" w:color="auto"/>
                    <w:left w:val="none" w:sz="0" w:space="0" w:color="auto"/>
                    <w:bottom w:val="none" w:sz="0" w:space="0" w:color="auto"/>
                    <w:right w:val="none" w:sz="0" w:space="0" w:color="auto"/>
                  </w:divBdr>
                  <w:divsChild>
                    <w:div w:id="255090768">
                      <w:marLeft w:val="0"/>
                      <w:marRight w:val="0"/>
                      <w:marTop w:val="0"/>
                      <w:marBottom w:val="0"/>
                      <w:divBdr>
                        <w:top w:val="none" w:sz="0" w:space="0" w:color="auto"/>
                        <w:left w:val="none" w:sz="0" w:space="0" w:color="auto"/>
                        <w:bottom w:val="none" w:sz="0" w:space="0" w:color="auto"/>
                        <w:right w:val="none" w:sz="0" w:space="0" w:color="auto"/>
                      </w:divBdr>
                    </w:div>
                  </w:divsChild>
                </w:div>
                <w:div w:id="230818108">
                  <w:marLeft w:val="0"/>
                  <w:marRight w:val="0"/>
                  <w:marTop w:val="0"/>
                  <w:marBottom w:val="0"/>
                  <w:divBdr>
                    <w:top w:val="none" w:sz="0" w:space="0" w:color="auto"/>
                    <w:left w:val="none" w:sz="0" w:space="0" w:color="auto"/>
                    <w:bottom w:val="none" w:sz="0" w:space="0" w:color="auto"/>
                    <w:right w:val="none" w:sz="0" w:space="0" w:color="auto"/>
                  </w:divBdr>
                  <w:divsChild>
                    <w:div w:id="1058407191">
                      <w:marLeft w:val="0"/>
                      <w:marRight w:val="0"/>
                      <w:marTop w:val="0"/>
                      <w:marBottom w:val="0"/>
                      <w:divBdr>
                        <w:top w:val="none" w:sz="0" w:space="0" w:color="auto"/>
                        <w:left w:val="none" w:sz="0" w:space="0" w:color="auto"/>
                        <w:bottom w:val="none" w:sz="0" w:space="0" w:color="auto"/>
                        <w:right w:val="none" w:sz="0" w:space="0" w:color="auto"/>
                      </w:divBdr>
                    </w:div>
                  </w:divsChild>
                </w:div>
                <w:div w:id="232980813">
                  <w:marLeft w:val="0"/>
                  <w:marRight w:val="0"/>
                  <w:marTop w:val="0"/>
                  <w:marBottom w:val="0"/>
                  <w:divBdr>
                    <w:top w:val="none" w:sz="0" w:space="0" w:color="auto"/>
                    <w:left w:val="none" w:sz="0" w:space="0" w:color="auto"/>
                    <w:bottom w:val="none" w:sz="0" w:space="0" w:color="auto"/>
                    <w:right w:val="none" w:sz="0" w:space="0" w:color="auto"/>
                  </w:divBdr>
                  <w:divsChild>
                    <w:div w:id="662851993">
                      <w:marLeft w:val="0"/>
                      <w:marRight w:val="0"/>
                      <w:marTop w:val="0"/>
                      <w:marBottom w:val="0"/>
                      <w:divBdr>
                        <w:top w:val="none" w:sz="0" w:space="0" w:color="auto"/>
                        <w:left w:val="none" w:sz="0" w:space="0" w:color="auto"/>
                        <w:bottom w:val="none" w:sz="0" w:space="0" w:color="auto"/>
                        <w:right w:val="none" w:sz="0" w:space="0" w:color="auto"/>
                      </w:divBdr>
                    </w:div>
                  </w:divsChild>
                </w:div>
                <w:div w:id="253322970">
                  <w:marLeft w:val="0"/>
                  <w:marRight w:val="0"/>
                  <w:marTop w:val="0"/>
                  <w:marBottom w:val="0"/>
                  <w:divBdr>
                    <w:top w:val="none" w:sz="0" w:space="0" w:color="auto"/>
                    <w:left w:val="none" w:sz="0" w:space="0" w:color="auto"/>
                    <w:bottom w:val="none" w:sz="0" w:space="0" w:color="auto"/>
                    <w:right w:val="none" w:sz="0" w:space="0" w:color="auto"/>
                  </w:divBdr>
                  <w:divsChild>
                    <w:div w:id="1874537435">
                      <w:marLeft w:val="0"/>
                      <w:marRight w:val="0"/>
                      <w:marTop w:val="0"/>
                      <w:marBottom w:val="0"/>
                      <w:divBdr>
                        <w:top w:val="none" w:sz="0" w:space="0" w:color="auto"/>
                        <w:left w:val="none" w:sz="0" w:space="0" w:color="auto"/>
                        <w:bottom w:val="none" w:sz="0" w:space="0" w:color="auto"/>
                        <w:right w:val="none" w:sz="0" w:space="0" w:color="auto"/>
                      </w:divBdr>
                    </w:div>
                  </w:divsChild>
                </w:div>
                <w:div w:id="296569405">
                  <w:marLeft w:val="0"/>
                  <w:marRight w:val="0"/>
                  <w:marTop w:val="0"/>
                  <w:marBottom w:val="0"/>
                  <w:divBdr>
                    <w:top w:val="none" w:sz="0" w:space="0" w:color="auto"/>
                    <w:left w:val="none" w:sz="0" w:space="0" w:color="auto"/>
                    <w:bottom w:val="none" w:sz="0" w:space="0" w:color="auto"/>
                    <w:right w:val="none" w:sz="0" w:space="0" w:color="auto"/>
                  </w:divBdr>
                  <w:divsChild>
                    <w:div w:id="1165362657">
                      <w:marLeft w:val="0"/>
                      <w:marRight w:val="0"/>
                      <w:marTop w:val="0"/>
                      <w:marBottom w:val="0"/>
                      <w:divBdr>
                        <w:top w:val="none" w:sz="0" w:space="0" w:color="auto"/>
                        <w:left w:val="none" w:sz="0" w:space="0" w:color="auto"/>
                        <w:bottom w:val="none" w:sz="0" w:space="0" w:color="auto"/>
                        <w:right w:val="none" w:sz="0" w:space="0" w:color="auto"/>
                      </w:divBdr>
                    </w:div>
                  </w:divsChild>
                </w:div>
                <w:div w:id="300379653">
                  <w:marLeft w:val="0"/>
                  <w:marRight w:val="0"/>
                  <w:marTop w:val="0"/>
                  <w:marBottom w:val="0"/>
                  <w:divBdr>
                    <w:top w:val="none" w:sz="0" w:space="0" w:color="auto"/>
                    <w:left w:val="none" w:sz="0" w:space="0" w:color="auto"/>
                    <w:bottom w:val="none" w:sz="0" w:space="0" w:color="auto"/>
                    <w:right w:val="none" w:sz="0" w:space="0" w:color="auto"/>
                  </w:divBdr>
                  <w:divsChild>
                    <w:div w:id="1144158043">
                      <w:marLeft w:val="0"/>
                      <w:marRight w:val="0"/>
                      <w:marTop w:val="0"/>
                      <w:marBottom w:val="0"/>
                      <w:divBdr>
                        <w:top w:val="none" w:sz="0" w:space="0" w:color="auto"/>
                        <w:left w:val="none" w:sz="0" w:space="0" w:color="auto"/>
                        <w:bottom w:val="none" w:sz="0" w:space="0" w:color="auto"/>
                        <w:right w:val="none" w:sz="0" w:space="0" w:color="auto"/>
                      </w:divBdr>
                    </w:div>
                  </w:divsChild>
                </w:div>
                <w:div w:id="359203430">
                  <w:marLeft w:val="0"/>
                  <w:marRight w:val="0"/>
                  <w:marTop w:val="0"/>
                  <w:marBottom w:val="0"/>
                  <w:divBdr>
                    <w:top w:val="none" w:sz="0" w:space="0" w:color="auto"/>
                    <w:left w:val="none" w:sz="0" w:space="0" w:color="auto"/>
                    <w:bottom w:val="none" w:sz="0" w:space="0" w:color="auto"/>
                    <w:right w:val="none" w:sz="0" w:space="0" w:color="auto"/>
                  </w:divBdr>
                  <w:divsChild>
                    <w:div w:id="1637951154">
                      <w:marLeft w:val="0"/>
                      <w:marRight w:val="0"/>
                      <w:marTop w:val="0"/>
                      <w:marBottom w:val="0"/>
                      <w:divBdr>
                        <w:top w:val="none" w:sz="0" w:space="0" w:color="auto"/>
                        <w:left w:val="none" w:sz="0" w:space="0" w:color="auto"/>
                        <w:bottom w:val="none" w:sz="0" w:space="0" w:color="auto"/>
                        <w:right w:val="none" w:sz="0" w:space="0" w:color="auto"/>
                      </w:divBdr>
                    </w:div>
                  </w:divsChild>
                </w:div>
                <w:div w:id="405306238">
                  <w:marLeft w:val="0"/>
                  <w:marRight w:val="0"/>
                  <w:marTop w:val="0"/>
                  <w:marBottom w:val="0"/>
                  <w:divBdr>
                    <w:top w:val="none" w:sz="0" w:space="0" w:color="auto"/>
                    <w:left w:val="none" w:sz="0" w:space="0" w:color="auto"/>
                    <w:bottom w:val="none" w:sz="0" w:space="0" w:color="auto"/>
                    <w:right w:val="none" w:sz="0" w:space="0" w:color="auto"/>
                  </w:divBdr>
                  <w:divsChild>
                    <w:div w:id="363213141">
                      <w:marLeft w:val="0"/>
                      <w:marRight w:val="0"/>
                      <w:marTop w:val="0"/>
                      <w:marBottom w:val="0"/>
                      <w:divBdr>
                        <w:top w:val="none" w:sz="0" w:space="0" w:color="auto"/>
                        <w:left w:val="none" w:sz="0" w:space="0" w:color="auto"/>
                        <w:bottom w:val="none" w:sz="0" w:space="0" w:color="auto"/>
                        <w:right w:val="none" w:sz="0" w:space="0" w:color="auto"/>
                      </w:divBdr>
                    </w:div>
                  </w:divsChild>
                </w:div>
                <w:div w:id="420681222">
                  <w:marLeft w:val="0"/>
                  <w:marRight w:val="0"/>
                  <w:marTop w:val="0"/>
                  <w:marBottom w:val="0"/>
                  <w:divBdr>
                    <w:top w:val="none" w:sz="0" w:space="0" w:color="auto"/>
                    <w:left w:val="none" w:sz="0" w:space="0" w:color="auto"/>
                    <w:bottom w:val="none" w:sz="0" w:space="0" w:color="auto"/>
                    <w:right w:val="none" w:sz="0" w:space="0" w:color="auto"/>
                  </w:divBdr>
                  <w:divsChild>
                    <w:div w:id="360672761">
                      <w:marLeft w:val="0"/>
                      <w:marRight w:val="0"/>
                      <w:marTop w:val="0"/>
                      <w:marBottom w:val="0"/>
                      <w:divBdr>
                        <w:top w:val="none" w:sz="0" w:space="0" w:color="auto"/>
                        <w:left w:val="none" w:sz="0" w:space="0" w:color="auto"/>
                        <w:bottom w:val="none" w:sz="0" w:space="0" w:color="auto"/>
                        <w:right w:val="none" w:sz="0" w:space="0" w:color="auto"/>
                      </w:divBdr>
                    </w:div>
                  </w:divsChild>
                </w:div>
                <w:div w:id="447310584">
                  <w:marLeft w:val="0"/>
                  <w:marRight w:val="0"/>
                  <w:marTop w:val="0"/>
                  <w:marBottom w:val="0"/>
                  <w:divBdr>
                    <w:top w:val="none" w:sz="0" w:space="0" w:color="auto"/>
                    <w:left w:val="none" w:sz="0" w:space="0" w:color="auto"/>
                    <w:bottom w:val="none" w:sz="0" w:space="0" w:color="auto"/>
                    <w:right w:val="none" w:sz="0" w:space="0" w:color="auto"/>
                  </w:divBdr>
                  <w:divsChild>
                    <w:div w:id="827138031">
                      <w:marLeft w:val="0"/>
                      <w:marRight w:val="0"/>
                      <w:marTop w:val="0"/>
                      <w:marBottom w:val="0"/>
                      <w:divBdr>
                        <w:top w:val="none" w:sz="0" w:space="0" w:color="auto"/>
                        <w:left w:val="none" w:sz="0" w:space="0" w:color="auto"/>
                        <w:bottom w:val="none" w:sz="0" w:space="0" w:color="auto"/>
                        <w:right w:val="none" w:sz="0" w:space="0" w:color="auto"/>
                      </w:divBdr>
                    </w:div>
                  </w:divsChild>
                </w:div>
                <w:div w:id="501361041">
                  <w:marLeft w:val="0"/>
                  <w:marRight w:val="0"/>
                  <w:marTop w:val="0"/>
                  <w:marBottom w:val="0"/>
                  <w:divBdr>
                    <w:top w:val="none" w:sz="0" w:space="0" w:color="auto"/>
                    <w:left w:val="none" w:sz="0" w:space="0" w:color="auto"/>
                    <w:bottom w:val="none" w:sz="0" w:space="0" w:color="auto"/>
                    <w:right w:val="none" w:sz="0" w:space="0" w:color="auto"/>
                  </w:divBdr>
                  <w:divsChild>
                    <w:div w:id="1434545190">
                      <w:marLeft w:val="0"/>
                      <w:marRight w:val="0"/>
                      <w:marTop w:val="0"/>
                      <w:marBottom w:val="0"/>
                      <w:divBdr>
                        <w:top w:val="none" w:sz="0" w:space="0" w:color="auto"/>
                        <w:left w:val="none" w:sz="0" w:space="0" w:color="auto"/>
                        <w:bottom w:val="none" w:sz="0" w:space="0" w:color="auto"/>
                        <w:right w:val="none" w:sz="0" w:space="0" w:color="auto"/>
                      </w:divBdr>
                    </w:div>
                  </w:divsChild>
                </w:div>
                <w:div w:id="503665952">
                  <w:marLeft w:val="0"/>
                  <w:marRight w:val="0"/>
                  <w:marTop w:val="0"/>
                  <w:marBottom w:val="0"/>
                  <w:divBdr>
                    <w:top w:val="none" w:sz="0" w:space="0" w:color="auto"/>
                    <w:left w:val="none" w:sz="0" w:space="0" w:color="auto"/>
                    <w:bottom w:val="none" w:sz="0" w:space="0" w:color="auto"/>
                    <w:right w:val="none" w:sz="0" w:space="0" w:color="auto"/>
                  </w:divBdr>
                  <w:divsChild>
                    <w:div w:id="443379487">
                      <w:marLeft w:val="0"/>
                      <w:marRight w:val="0"/>
                      <w:marTop w:val="0"/>
                      <w:marBottom w:val="0"/>
                      <w:divBdr>
                        <w:top w:val="none" w:sz="0" w:space="0" w:color="auto"/>
                        <w:left w:val="none" w:sz="0" w:space="0" w:color="auto"/>
                        <w:bottom w:val="none" w:sz="0" w:space="0" w:color="auto"/>
                        <w:right w:val="none" w:sz="0" w:space="0" w:color="auto"/>
                      </w:divBdr>
                    </w:div>
                  </w:divsChild>
                </w:div>
                <w:div w:id="529227023">
                  <w:marLeft w:val="0"/>
                  <w:marRight w:val="0"/>
                  <w:marTop w:val="0"/>
                  <w:marBottom w:val="0"/>
                  <w:divBdr>
                    <w:top w:val="none" w:sz="0" w:space="0" w:color="auto"/>
                    <w:left w:val="none" w:sz="0" w:space="0" w:color="auto"/>
                    <w:bottom w:val="none" w:sz="0" w:space="0" w:color="auto"/>
                    <w:right w:val="none" w:sz="0" w:space="0" w:color="auto"/>
                  </w:divBdr>
                  <w:divsChild>
                    <w:div w:id="1646548105">
                      <w:marLeft w:val="0"/>
                      <w:marRight w:val="0"/>
                      <w:marTop w:val="0"/>
                      <w:marBottom w:val="0"/>
                      <w:divBdr>
                        <w:top w:val="none" w:sz="0" w:space="0" w:color="auto"/>
                        <w:left w:val="none" w:sz="0" w:space="0" w:color="auto"/>
                        <w:bottom w:val="none" w:sz="0" w:space="0" w:color="auto"/>
                        <w:right w:val="none" w:sz="0" w:space="0" w:color="auto"/>
                      </w:divBdr>
                    </w:div>
                  </w:divsChild>
                </w:div>
                <w:div w:id="576208826">
                  <w:marLeft w:val="0"/>
                  <w:marRight w:val="0"/>
                  <w:marTop w:val="0"/>
                  <w:marBottom w:val="0"/>
                  <w:divBdr>
                    <w:top w:val="none" w:sz="0" w:space="0" w:color="auto"/>
                    <w:left w:val="none" w:sz="0" w:space="0" w:color="auto"/>
                    <w:bottom w:val="none" w:sz="0" w:space="0" w:color="auto"/>
                    <w:right w:val="none" w:sz="0" w:space="0" w:color="auto"/>
                  </w:divBdr>
                  <w:divsChild>
                    <w:div w:id="881097274">
                      <w:marLeft w:val="0"/>
                      <w:marRight w:val="0"/>
                      <w:marTop w:val="0"/>
                      <w:marBottom w:val="0"/>
                      <w:divBdr>
                        <w:top w:val="none" w:sz="0" w:space="0" w:color="auto"/>
                        <w:left w:val="none" w:sz="0" w:space="0" w:color="auto"/>
                        <w:bottom w:val="none" w:sz="0" w:space="0" w:color="auto"/>
                        <w:right w:val="none" w:sz="0" w:space="0" w:color="auto"/>
                      </w:divBdr>
                    </w:div>
                  </w:divsChild>
                </w:div>
                <w:div w:id="582181434">
                  <w:marLeft w:val="0"/>
                  <w:marRight w:val="0"/>
                  <w:marTop w:val="0"/>
                  <w:marBottom w:val="0"/>
                  <w:divBdr>
                    <w:top w:val="none" w:sz="0" w:space="0" w:color="auto"/>
                    <w:left w:val="none" w:sz="0" w:space="0" w:color="auto"/>
                    <w:bottom w:val="none" w:sz="0" w:space="0" w:color="auto"/>
                    <w:right w:val="none" w:sz="0" w:space="0" w:color="auto"/>
                  </w:divBdr>
                  <w:divsChild>
                    <w:div w:id="1885485494">
                      <w:marLeft w:val="0"/>
                      <w:marRight w:val="0"/>
                      <w:marTop w:val="0"/>
                      <w:marBottom w:val="0"/>
                      <w:divBdr>
                        <w:top w:val="none" w:sz="0" w:space="0" w:color="auto"/>
                        <w:left w:val="none" w:sz="0" w:space="0" w:color="auto"/>
                        <w:bottom w:val="none" w:sz="0" w:space="0" w:color="auto"/>
                        <w:right w:val="none" w:sz="0" w:space="0" w:color="auto"/>
                      </w:divBdr>
                    </w:div>
                  </w:divsChild>
                </w:div>
                <w:div w:id="682055425">
                  <w:marLeft w:val="0"/>
                  <w:marRight w:val="0"/>
                  <w:marTop w:val="0"/>
                  <w:marBottom w:val="0"/>
                  <w:divBdr>
                    <w:top w:val="none" w:sz="0" w:space="0" w:color="auto"/>
                    <w:left w:val="none" w:sz="0" w:space="0" w:color="auto"/>
                    <w:bottom w:val="none" w:sz="0" w:space="0" w:color="auto"/>
                    <w:right w:val="none" w:sz="0" w:space="0" w:color="auto"/>
                  </w:divBdr>
                  <w:divsChild>
                    <w:div w:id="997659116">
                      <w:marLeft w:val="0"/>
                      <w:marRight w:val="0"/>
                      <w:marTop w:val="0"/>
                      <w:marBottom w:val="0"/>
                      <w:divBdr>
                        <w:top w:val="none" w:sz="0" w:space="0" w:color="auto"/>
                        <w:left w:val="none" w:sz="0" w:space="0" w:color="auto"/>
                        <w:bottom w:val="none" w:sz="0" w:space="0" w:color="auto"/>
                        <w:right w:val="none" w:sz="0" w:space="0" w:color="auto"/>
                      </w:divBdr>
                    </w:div>
                  </w:divsChild>
                </w:div>
                <w:div w:id="749429479">
                  <w:marLeft w:val="0"/>
                  <w:marRight w:val="0"/>
                  <w:marTop w:val="0"/>
                  <w:marBottom w:val="0"/>
                  <w:divBdr>
                    <w:top w:val="none" w:sz="0" w:space="0" w:color="auto"/>
                    <w:left w:val="none" w:sz="0" w:space="0" w:color="auto"/>
                    <w:bottom w:val="none" w:sz="0" w:space="0" w:color="auto"/>
                    <w:right w:val="none" w:sz="0" w:space="0" w:color="auto"/>
                  </w:divBdr>
                  <w:divsChild>
                    <w:div w:id="456148855">
                      <w:marLeft w:val="0"/>
                      <w:marRight w:val="0"/>
                      <w:marTop w:val="0"/>
                      <w:marBottom w:val="0"/>
                      <w:divBdr>
                        <w:top w:val="none" w:sz="0" w:space="0" w:color="auto"/>
                        <w:left w:val="none" w:sz="0" w:space="0" w:color="auto"/>
                        <w:bottom w:val="none" w:sz="0" w:space="0" w:color="auto"/>
                        <w:right w:val="none" w:sz="0" w:space="0" w:color="auto"/>
                      </w:divBdr>
                    </w:div>
                  </w:divsChild>
                </w:div>
                <w:div w:id="920412784">
                  <w:marLeft w:val="0"/>
                  <w:marRight w:val="0"/>
                  <w:marTop w:val="0"/>
                  <w:marBottom w:val="0"/>
                  <w:divBdr>
                    <w:top w:val="none" w:sz="0" w:space="0" w:color="auto"/>
                    <w:left w:val="none" w:sz="0" w:space="0" w:color="auto"/>
                    <w:bottom w:val="none" w:sz="0" w:space="0" w:color="auto"/>
                    <w:right w:val="none" w:sz="0" w:space="0" w:color="auto"/>
                  </w:divBdr>
                  <w:divsChild>
                    <w:div w:id="103814864">
                      <w:marLeft w:val="0"/>
                      <w:marRight w:val="0"/>
                      <w:marTop w:val="0"/>
                      <w:marBottom w:val="0"/>
                      <w:divBdr>
                        <w:top w:val="none" w:sz="0" w:space="0" w:color="auto"/>
                        <w:left w:val="none" w:sz="0" w:space="0" w:color="auto"/>
                        <w:bottom w:val="none" w:sz="0" w:space="0" w:color="auto"/>
                        <w:right w:val="none" w:sz="0" w:space="0" w:color="auto"/>
                      </w:divBdr>
                    </w:div>
                  </w:divsChild>
                </w:div>
                <w:div w:id="970096639">
                  <w:marLeft w:val="0"/>
                  <w:marRight w:val="0"/>
                  <w:marTop w:val="0"/>
                  <w:marBottom w:val="0"/>
                  <w:divBdr>
                    <w:top w:val="none" w:sz="0" w:space="0" w:color="auto"/>
                    <w:left w:val="none" w:sz="0" w:space="0" w:color="auto"/>
                    <w:bottom w:val="none" w:sz="0" w:space="0" w:color="auto"/>
                    <w:right w:val="none" w:sz="0" w:space="0" w:color="auto"/>
                  </w:divBdr>
                  <w:divsChild>
                    <w:div w:id="1109935280">
                      <w:marLeft w:val="0"/>
                      <w:marRight w:val="0"/>
                      <w:marTop w:val="0"/>
                      <w:marBottom w:val="0"/>
                      <w:divBdr>
                        <w:top w:val="none" w:sz="0" w:space="0" w:color="auto"/>
                        <w:left w:val="none" w:sz="0" w:space="0" w:color="auto"/>
                        <w:bottom w:val="none" w:sz="0" w:space="0" w:color="auto"/>
                        <w:right w:val="none" w:sz="0" w:space="0" w:color="auto"/>
                      </w:divBdr>
                    </w:div>
                  </w:divsChild>
                </w:div>
                <w:div w:id="971861001">
                  <w:marLeft w:val="0"/>
                  <w:marRight w:val="0"/>
                  <w:marTop w:val="0"/>
                  <w:marBottom w:val="0"/>
                  <w:divBdr>
                    <w:top w:val="none" w:sz="0" w:space="0" w:color="auto"/>
                    <w:left w:val="none" w:sz="0" w:space="0" w:color="auto"/>
                    <w:bottom w:val="none" w:sz="0" w:space="0" w:color="auto"/>
                    <w:right w:val="none" w:sz="0" w:space="0" w:color="auto"/>
                  </w:divBdr>
                  <w:divsChild>
                    <w:div w:id="1139155154">
                      <w:marLeft w:val="0"/>
                      <w:marRight w:val="0"/>
                      <w:marTop w:val="0"/>
                      <w:marBottom w:val="0"/>
                      <w:divBdr>
                        <w:top w:val="none" w:sz="0" w:space="0" w:color="auto"/>
                        <w:left w:val="none" w:sz="0" w:space="0" w:color="auto"/>
                        <w:bottom w:val="none" w:sz="0" w:space="0" w:color="auto"/>
                        <w:right w:val="none" w:sz="0" w:space="0" w:color="auto"/>
                      </w:divBdr>
                    </w:div>
                  </w:divsChild>
                </w:div>
                <w:div w:id="975330042">
                  <w:marLeft w:val="0"/>
                  <w:marRight w:val="0"/>
                  <w:marTop w:val="0"/>
                  <w:marBottom w:val="0"/>
                  <w:divBdr>
                    <w:top w:val="none" w:sz="0" w:space="0" w:color="auto"/>
                    <w:left w:val="none" w:sz="0" w:space="0" w:color="auto"/>
                    <w:bottom w:val="none" w:sz="0" w:space="0" w:color="auto"/>
                    <w:right w:val="none" w:sz="0" w:space="0" w:color="auto"/>
                  </w:divBdr>
                  <w:divsChild>
                    <w:div w:id="1621640495">
                      <w:marLeft w:val="0"/>
                      <w:marRight w:val="0"/>
                      <w:marTop w:val="0"/>
                      <w:marBottom w:val="0"/>
                      <w:divBdr>
                        <w:top w:val="none" w:sz="0" w:space="0" w:color="auto"/>
                        <w:left w:val="none" w:sz="0" w:space="0" w:color="auto"/>
                        <w:bottom w:val="none" w:sz="0" w:space="0" w:color="auto"/>
                        <w:right w:val="none" w:sz="0" w:space="0" w:color="auto"/>
                      </w:divBdr>
                    </w:div>
                  </w:divsChild>
                </w:div>
                <w:div w:id="984967360">
                  <w:marLeft w:val="0"/>
                  <w:marRight w:val="0"/>
                  <w:marTop w:val="0"/>
                  <w:marBottom w:val="0"/>
                  <w:divBdr>
                    <w:top w:val="none" w:sz="0" w:space="0" w:color="auto"/>
                    <w:left w:val="none" w:sz="0" w:space="0" w:color="auto"/>
                    <w:bottom w:val="none" w:sz="0" w:space="0" w:color="auto"/>
                    <w:right w:val="none" w:sz="0" w:space="0" w:color="auto"/>
                  </w:divBdr>
                  <w:divsChild>
                    <w:div w:id="1286695585">
                      <w:marLeft w:val="0"/>
                      <w:marRight w:val="0"/>
                      <w:marTop w:val="0"/>
                      <w:marBottom w:val="0"/>
                      <w:divBdr>
                        <w:top w:val="none" w:sz="0" w:space="0" w:color="auto"/>
                        <w:left w:val="none" w:sz="0" w:space="0" w:color="auto"/>
                        <w:bottom w:val="none" w:sz="0" w:space="0" w:color="auto"/>
                        <w:right w:val="none" w:sz="0" w:space="0" w:color="auto"/>
                      </w:divBdr>
                    </w:div>
                  </w:divsChild>
                </w:div>
                <w:div w:id="1032347046">
                  <w:marLeft w:val="0"/>
                  <w:marRight w:val="0"/>
                  <w:marTop w:val="0"/>
                  <w:marBottom w:val="0"/>
                  <w:divBdr>
                    <w:top w:val="none" w:sz="0" w:space="0" w:color="auto"/>
                    <w:left w:val="none" w:sz="0" w:space="0" w:color="auto"/>
                    <w:bottom w:val="none" w:sz="0" w:space="0" w:color="auto"/>
                    <w:right w:val="none" w:sz="0" w:space="0" w:color="auto"/>
                  </w:divBdr>
                  <w:divsChild>
                    <w:div w:id="1465731295">
                      <w:marLeft w:val="0"/>
                      <w:marRight w:val="0"/>
                      <w:marTop w:val="0"/>
                      <w:marBottom w:val="0"/>
                      <w:divBdr>
                        <w:top w:val="none" w:sz="0" w:space="0" w:color="auto"/>
                        <w:left w:val="none" w:sz="0" w:space="0" w:color="auto"/>
                        <w:bottom w:val="none" w:sz="0" w:space="0" w:color="auto"/>
                        <w:right w:val="none" w:sz="0" w:space="0" w:color="auto"/>
                      </w:divBdr>
                    </w:div>
                  </w:divsChild>
                </w:div>
                <w:div w:id="1059475888">
                  <w:marLeft w:val="0"/>
                  <w:marRight w:val="0"/>
                  <w:marTop w:val="0"/>
                  <w:marBottom w:val="0"/>
                  <w:divBdr>
                    <w:top w:val="none" w:sz="0" w:space="0" w:color="auto"/>
                    <w:left w:val="none" w:sz="0" w:space="0" w:color="auto"/>
                    <w:bottom w:val="none" w:sz="0" w:space="0" w:color="auto"/>
                    <w:right w:val="none" w:sz="0" w:space="0" w:color="auto"/>
                  </w:divBdr>
                  <w:divsChild>
                    <w:div w:id="1754668749">
                      <w:marLeft w:val="0"/>
                      <w:marRight w:val="0"/>
                      <w:marTop w:val="0"/>
                      <w:marBottom w:val="0"/>
                      <w:divBdr>
                        <w:top w:val="none" w:sz="0" w:space="0" w:color="auto"/>
                        <w:left w:val="none" w:sz="0" w:space="0" w:color="auto"/>
                        <w:bottom w:val="none" w:sz="0" w:space="0" w:color="auto"/>
                        <w:right w:val="none" w:sz="0" w:space="0" w:color="auto"/>
                      </w:divBdr>
                    </w:div>
                  </w:divsChild>
                </w:div>
                <w:div w:id="1091707627">
                  <w:marLeft w:val="0"/>
                  <w:marRight w:val="0"/>
                  <w:marTop w:val="0"/>
                  <w:marBottom w:val="0"/>
                  <w:divBdr>
                    <w:top w:val="none" w:sz="0" w:space="0" w:color="auto"/>
                    <w:left w:val="none" w:sz="0" w:space="0" w:color="auto"/>
                    <w:bottom w:val="none" w:sz="0" w:space="0" w:color="auto"/>
                    <w:right w:val="none" w:sz="0" w:space="0" w:color="auto"/>
                  </w:divBdr>
                  <w:divsChild>
                    <w:div w:id="1826160708">
                      <w:marLeft w:val="0"/>
                      <w:marRight w:val="0"/>
                      <w:marTop w:val="0"/>
                      <w:marBottom w:val="0"/>
                      <w:divBdr>
                        <w:top w:val="none" w:sz="0" w:space="0" w:color="auto"/>
                        <w:left w:val="none" w:sz="0" w:space="0" w:color="auto"/>
                        <w:bottom w:val="none" w:sz="0" w:space="0" w:color="auto"/>
                        <w:right w:val="none" w:sz="0" w:space="0" w:color="auto"/>
                      </w:divBdr>
                    </w:div>
                  </w:divsChild>
                </w:div>
                <w:div w:id="1094132749">
                  <w:marLeft w:val="0"/>
                  <w:marRight w:val="0"/>
                  <w:marTop w:val="0"/>
                  <w:marBottom w:val="0"/>
                  <w:divBdr>
                    <w:top w:val="none" w:sz="0" w:space="0" w:color="auto"/>
                    <w:left w:val="none" w:sz="0" w:space="0" w:color="auto"/>
                    <w:bottom w:val="none" w:sz="0" w:space="0" w:color="auto"/>
                    <w:right w:val="none" w:sz="0" w:space="0" w:color="auto"/>
                  </w:divBdr>
                  <w:divsChild>
                    <w:div w:id="1571889036">
                      <w:marLeft w:val="0"/>
                      <w:marRight w:val="0"/>
                      <w:marTop w:val="0"/>
                      <w:marBottom w:val="0"/>
                      <w:divBdr>
                        <w:top w:val="none" w:sz="0" w:space="0" w:color="auto"/>
                        <w:left w:val="none" w:sz="0" w:space="0" w:color="auto"/>
                        <w:bottom w:val="none" w:sz="0" w:space="0" w:color="auto"/>
                        <w:right w:val="none" w:sz="0" w:space="0" w:color="auto"/>
                      </w:divBdr>
                    </w:div>
                  </w:divsChild>
                </w:div>
                <w:div w:id="1137794887">
                  <w:marLeft w:val="0"/>
                  <w:marRight w:val="0"/>
                  <w:marTop w:val="0"/>
                  <w:marBottom w:val="0"/>
                  <w:divBdr>
                    <w:top w:val="none" w:sz="0" w:space="0" w:color="auto"/>
                    <w:left w:val="none" w:sz="0" w:space="0" w:color="auto"/>
                    <w:bottom w:val="none" w:sz="0" w:space="0" w:color="auto"/>
                    <w:right w:val="none" w:sz="0" w:space="0" w:color="auto"/>
                  </w:divBdr>
                  <w:divsChild>
                    <w:div w:id="676927104">
                      <w:marLeft w:val="0"/>
                      <w:marRight w:val="0"/>
                      <w:marTop w:val="0"/>
                      <w:marBottom w:val="0"/>
                      <w:divBdr>
                        <w:top w:val="none" w:sz="0" w:space="0" w:color="auto"/>
                        <w:left w:val="none" w:sz="0" w:space="0" w:color="auto"/>
                        <w:bottom w:val="none" w:sz="0" w:space="0" w:color="auto"/>
                        <w:right w:val="none" w:sz="0" w:space="0" w:color="auto"/>
                      </w:divBdr>
                    </w:div>
                  </w:divsChild>
                </w:div>
                <w:div w:id="1157845475">
                  <w:marLeft w:val="0"/>
                  <w:marRight w:val="0"/>
                  <w:marTop w:val="0"/>
                  <w:marBottom w:val="0"/>
                  <w:divBdr>
                    <w:top w:val="none" w:sz="0" w:space="0" w:color="auto"/>
                    <w:left w:val="none" w:sz="0" w:space="0" w:color="auto"/>
                    <w:bottom w:val="none" w:sz="0" w:space="0" w:color="auto"/>
                    <w:right w:val="none" w:sz="0" w:space="0" w:color="auto"/>
                  </w:divBdr>
                  <w:divsChild>
                    <w:div w:id="1524175688">
                      <w:marLeft w:val="0"/>
                      <w:marRight w:val="0"/>
                      <w:marTop w:val="0"/>
                      <w:marBottom w:val="0"/>
                      <w:divBdr>
                        <w:top w:val="none" w:sz="0" w:space="0" w:color="auto"/>
                        <w:left w:val="none" w:sz="0" w:space="0" w:color="auto"/>
                        <w:bottom w:val="none" w:sz="0" w:space="0" w:color="auto"/>
                        <w:right w:val="none" w:sz="0" w:space="0" w:color="auto"/>
                      </w:divBdr>
                    </w:div>
                  </w:divsChild>
                </w:div>
                <w:div w:id="1193231013">
                  <w:marLeft w:val="0"/>
                  <w:marRight w:val="0"/>
                  <w:marTop w:val="0"/>
                  <w:marBottom w:val="0"/>
                  <w:divBdr>
                    <w:top w:val="none" w:sz="0" w:space="0" w:color="auto"/>
                    <w:left w:val="none" w:sz="0" w:space="0" w:color="auto"/>
                    <w:bottom w:val="none" w:sz="0" w:space="0" w:color="auto"/>
                    <w:right w:val="none" w:sz="0" w:space="0" w:color="auto"/>
                  </w:divBdr>
                  <w:divsChild>
                    <w:div w:id="1564756735">
                      <w:marLeft w:val="0"/>
                      <w:marRight w:val="0"/>
                      <w:marTop w:val="0"/>
                      <w:marBottom w:val="0"/>
                      <w:divBdr>
                        <w:top w:val="none" w:sz="0" w:space="0" w:color="auto"/>
                        <w:left w:val="none" w:sz="0" w:space="0" w:color="auto"/>
                        <w:bottom w:val="none" w:sz="0" w:space="0" w:color="auto"/>
                        <w:right w:val="none" w:sz="0" w:space="0" w:color="auto"/>
                      </w:divBdr>
                    </w:div>
                  </w:divsChild>
                </w:div>
                <w:div w:id="1229076484">
                  <w:marLeft w:val="0"/>
                  <w:marRight w:val="0"/>
                  <w:marTop w:val="0"/>
                  <w:marBottom w:val="0"/>
                  <w:divBdr>
                    <w:top w:val="none" w:sz="0" w:space="0" w:color="auto"/>
                    <w:left w:val="none" w:sz="0" w:space="0" w:color="auto"/>
                    <w:bottom w:val="none" w:sz="0" w:space="0" w:color="auto"/>
                    <w:right w:val="none" w:sz="0" w:space="0" w:color="auto"/>
                  </w:divBdr>
                  <w:divsChild>
                    <w:div w:id="613248430">
                      <w:marLeft w:val="0"/>
                      <w:marRight w:val="0"/>
                      <w:marTop w:val="0"/>
                      <w:marBottom w:val="0"/>
                      <w:divBdr>
                        <w:top w:val="none" w:sz="0" w:space="0" w:color="auto"/>
                        <w:left w:val="none" w:sz="0" w:space="0" w:color="auto"/>
                        <w:bottom w:val="none" w:sz="0" w:space="0" w:color="auto"/>
                        <w:right w:val="none" w:sz="0" w:space="0" w:color="auto"/>
                      </w:divBdr>
                    </w:div>
                  </w:divsChild>
                </w:div>
                <w:div w:id="1239827684">
                  <w:marLeft w:val="0"/>
                  <w:marRight w:val="0"/>
                  <w:marTop w:val="0"/>
                  <w:marBottom w:val="0"/>
                  <w:divBdr>
                    <w:top w:val="none" w:sz="0" w:space="0" w:color="auto"/>
                    <w:left w:val="none" w:sz="0" w:space="0" w:color="auto"/>
                    <w:bottom w:val="none" w:sz="0" w:space="0" w:color="auto"/>
                    <w:right w:val="none" w:sz="0" w:space="0" w:color="auto"/>
                  </w:divBdr>
                  <w:divsChild>
                    <w:div w:id="1591279841">
                      <w:marLeft w:val="0"/>
                      <w:marRight w:val="0"/>
                      <w:marTop w:val="0"/>
                      <w:marBottom w:val="0"/>
                      <w:divBdr>
                        <w:top w:val="none" w:sz="0" w:space="0" w:color="auto"/>
                        <w:left w:val="none" w:sz="0" w:space="0" w:color="auto"/>
                        <w:bottom w:val="none" w:sz="0" w:space="0" w:color="auto"/>
                        <w:right w:val="none" w:sz="0" w:space="0" w:color="auto"/>
                      </w:divBdr>
                    </w:div>
                  </w:divsChild>
                </w:div>
                <w:div w:id="1245532535">
                  <w:marLeft w:val="0"/>
                  <w:marRight w:val="0"/>
                  <w:marTop w:val="0"/>
                  <w:marBottom w:val="0"/>
                  <w:divBdr>
                    <w:top w:val="none" w:sz="0" w:space="0" w:color="auto"/>
                    <w:left w:val="none" w:sz="0" w:space="0" w:color="auto"/>
                    <w:bottom w:val="none" w:sz="0" w:space="0" w:color="auto"/>
                    <w:right w:val="none" w:sz="0" w:space="0" w:color="auto"/>
                  </w:divBdr>
                  <w:divsChild>
                    <w:div w:id="1885173513">
                      <w:marLeft w:val="0"/>
                      <w:marRight w:val="0"/>
                      <w:marTop w:val="0"/>
                      <w:marBottom w:val="0"/>
                      <w:divBdr>
                        <w:top w:val="none" w:sz="0" w:space="0" w:color="auto"/>
                        <w:left w:val="none" w:sz="0" w:space="0" w:color="auto"/>
                        <w:bottom w:val="none" w:sz="0" w:space="0" w:color="auto"/>
                        <w:right w:val="none" w:sz="0" w:space="0" w:color="auto"/>
                      </w:divBdr>
                    </w:div>
                  </w:divsChild>
                </w:div>
                <w:div w:id="1247615366">
                  <w:marLeft w:val="0"/>
                  <w:marRight w:val="0"/>
                  <w:marTop w:val="0"/>
                  <w:marBottom w:val="0"/>
                  <w:divBdr>
                    <w:top w:val="none" w:sz="0" w:space="0" w:color="auto"/>
                    <w:left w:val="none" w:sz="0" w:space="0" w:color="auto"/>
                    <w:bottom w:val="none" w:sz="0" w:space="0" w:color="auto"/>
                    <w:right w:val="none" w:sz="0" w:space="0" w:color="auto"/>
                  </w:divBdr>
                  <w:divsChild>
                    <w:div w:id="81801712">
                      <w:marLeft w:val="0"/>
                      <w:marRight w:val="0"/>
                      <w:marTop w:val="0"/>
                      <w:marBottom w:val="0"/>
                      <w:divBdr>
                        <w:top w:val="none" w:sz="0" w:space="0" w:color="auto"/>
                        <w:left w:val="none" w:sz="0" w:space="0" w:color="auto"/>
                        <w:bottom w:val="none" w:sz="0" w:space="0" w:color="auto"/>
                        <w:right w:val="none" w:sz="0" w:space="0" w:color="auto"/>
                      </w:divBdr>
                    </w:div>
                  </w:divsChild>
                </w:div>
                <w:div w:id="1275601580">
                  <w:marLeft w:val="0"/>
                  <w:marRight w:val="0"/>
                  <w:marTop w:val="0"/>
                  <w:marBottom w:val="0"/>
                  <w:divBdr>
                    <w:top w:val="none" w:sz="0" w:space="0" w:color="auto"/>
                    <w:left w:val="none" w:sz="0" w:space="0" w:color="auto"/>
                    <w:bottom w:val="none" w:sz="0" w:space="0" w:color="auto"/>
                    <w:right w:val="none" w:sz="0" w:space="0" w:color="auto"/>
                  </w:divBdr>
                  <w:divsChild>
                    <w:div w:id="858392011">
                      <w:marLeft w:val="0"/>
                      <w:marRight w:val="0"/>
                      <w:marTop w:val="0"/>
                      <w:marBottom w:val="0"/>
                      <w:divBdr>
                        <w:top w:val="none" w:sz="0" w:space="0" w:color="auto"/>
                        <w:left w:val="none" w:sz="0" w:space="0" w:color="auto"/>
                        <w:bottom w:val="none" w:sz="0" w:space="0" w:color="auto"/>
                        <w:right w:val="none" w:sz="0" w:space="0" w:color="auto"/>
                      </w:divBdr>
                    </w:div>
                  </w:divsChild>
                </w:div>
                <w:div w:id="1349600057">
                  <w:marLeft w:val="0"/>
                  <w:marRight w:val="0"/>
                  <w:marTop w:val="0"/>
                  <w:marBottom w:val="0"/>
                  <w:divBdr>
                    <w:top w:val="none" w:sz="0" w:space="0" w:color="auto"/>
                    <w:left w:val="none" w:sz="0" w:space="0" w:color="auto"/>
                    <w:bottom w:val="none" w:sz="0" w:space="0" w:color="auto"/>
                    <w:right w:val="none" w:sz="0" w:space="0" w:color="auto"/>
                  </w:divBdr>
                  <w:divsChild>
                    <w:div w:id="1516187650">
                      <w:marLeft w:val="0"/>
                      <w:marRight w:val="0"/>
                      <w:marTop w:val="0"/>
                      <w:marBottom w:val="0"/>
                      <w:divBdr>
                        <w:top w:val="none" w:sz="0" w:space="0" w:color="auto"/>
                        <w:left w:val="none" w:sz="0" w:space="0" w:color="auto"/>
                        <w:bottom w:val="none" w:sz="0" w:space="0" w:color="auto"/>
                        <w:right w:val="none" w:sz="0" w:space="0" w:color="auto"/>
                      </w:divBdr>
                    </w:div>
                  </w:divsChild>
                </w:div>
                <w:div w:id="1351029819">
                  <w:marLeft w:val="0"/>
                  <w:marRight w:val="0"/>
                  <w:marTop w:val="0"/>
                  <w:marBottom w:val="0"/>
                  <w:divBdr>
                    <w:top w:val="none" w:sz="0" w:space="0" w:color="auto"/>
                    <w:left w:val="none" w:sz="0" w:space="0" w:color="auto"/>
                    <w:bottom w:val="none" w:sz="0" w:space="0" w:color="auto"/>
                    <w:right w:val="none" w:sz="0" w:space="0" w:color="auto"/>
                  </w:divBdr>
                  <w:divsChild>
                    <w:div w:id="1956449480">
                      <w:marLeft w:val="0"/>
                      <w:marRight w:val="0"/>
                      <w:marTop w:val="0"/>
                      <w:marBottom w:val="0"/>
                      <w:divBdr>
                        <w:top w:val="none" w:sz="0" w:space="0" w:color="auto"/>
                        <w:left w:val="none" w:sz="0" w:space="0" w:color="auto"/>
                        <w:bottom w:val="none" w:sz="0" w:space="0" w:color="auto"/>
                        <w:right w:val="none" w:sz="0" w:space="0" w:color="auto"/>
                      </w:divBdr>
                    </w:div>
                  </w:divsChild>
                </w:div>
                <w:div w:id="1420563731">
                  <w:marLeft w:val="0"/>
                  <w:marRight w:val="0"/>
                  <w:marTop w:val="0"/>
                  <w:marBottom w:val="0"/>
                  <w:divBdr>
                    <w:top w:val="none" w:sz="0" w:space="0" w:color="auto"/>
                    <w:left w:val="none" w:sz="0" w:space="0" w:color="auto"/>
                    <w:bottom w:val="none" w:sz="0" w:space="0" w:color="auto"/>
                    <w:right w:val="none" w:sz="0" w:space="0" w:color="auto"/>
                  </w:divBdr>
                  <w:divsChild>
                    <w:div w:id="1637291939">
                      <w:marLeft w:val="0"/>
                      <w:marRight w:val="0"/>
                      <w:marTop w:val="0"/>
                      <w:marBottom w:val="0"/>
                      <w:divBdr>
                        <w:top w:val="none" w:sz="0" w:space="0" w:color="auto"/>
                        <w:left w:val="none" w:sz="0" w:space="0" w:color="auto"/>
                        <w:bottom w:val="none" w:sz="0" w:space="0" w:color="auto"/>
                        <w:right w:val="none" w:sz="0" w:space="0" w:color="auto"/>
                      </w:divBdr>
                    </w:div>
                  </w:divsChild>
                </w:div>
                <w:div w:id="1434738429">
                  <w:marLeft w:val="0"/>
                  <w:marRight w:val="0"/>
                  <w:marTop w:val="0"/>
                  <w:marBottom w:val="0"/>
                  <w:divBdr>
                    <w:top w:val="none" w:sz="0" w:space="0" w:color="auto"/>
                    <w:left w:val="none" w:sz="0" w:space="0" w:color="auto"/>
                    <w:bottom w:val="none" w:sz="0" w:space="0" w:color="auto"/>
                    <w:right w:val="none" w:sz="0" w:space="0" w:color="auto"/>
                  </w:divBdr>
                  <w:divsChild>
                    <w:div w:id="2006594482">
                      <w:marLeft w:val="0"/>
                      <w:marRight w:val="0"/>
                      <w:marTop w:val="0"/>
                      <w:marBottom w:val="0"/>
                      <w:divBdr>
                        <w:top w:val="none" w:sz="0" w:space="0" w:color="auto"/>
                        <w:left w:val="none" w:sz="0" w:space="0" w:color="auto"/>
                        <w:bottom w:val="none" w:sz="0" w:space="0" w:color="auto"/>
                        <w:right w:val="none" w:sz="0" w:space="0" w:color="auto"/>
                      </w:divBdr>
                    </w:div>
                  </w:divsChild>
                </w:div>
                <w:div w:id="1437749903">
                  <w:marLeft w:val="0"/>
                  <w:marRight w:val="0"/>
                  <w:marTop w:val="0"/>
                  <w:marBottom w:val="0"/>
                  <w:divBdr>
                    <w:top w:val="none" w:sz="0" w:space="0" w:color="auto"/>
                    <w:left w:val="none" w:sz="0" w:space="0" w:color="auto"/>
                    <w:bottom w:val="none" w:sz="0" w:space="0" w:color="auto"/>
                    <w:right w:val="none" w:sz="0" w:space="0" w:color="auto"/>
                  </w:divBdr>
                  <w:divsChild>
                    <w:div w:id="843785698">
                      <w:marLeft w:val="0"/>
                      <w:marRight w:val="0"/>
                      <w:marTop w:val="0"/>
                      <w:marBottom w:val="0"/>
                      <w:divBdr>
                        <w:top w:val="none" w:sz="0" w:space="0" w:color="auto"/>
                        <w:left w:val="none" w:sz="0" w:space="0" w:color="auto"/>
                        <w:bottom w:val="none" w:sz="0" w:space="0" w:color="auto"/>
                        <w:right w:val="none" w:sz="0" w:space="0" w:color="auto"/>
                      </w:divBdr>
                    </w:div>
                  </w:divsChild>
                </w:div>
                <w:div w:id="1467776190">
                  <w:marLeft w:val="0"/>
                  <w:marRight w:val="0"/>
                  <w:marTop w:val="0"/>
                  <w:marBottom w:val="0"/>
                  <w:divBdr>
                    <w:top w:val="none" w:sz="0" w:space="0" w:color="auto"/>
                    <w:left w:val="none" w:sz="0" w:space="0" w:color="auto"/>
                    <w:bottom w:val="none" w:sz="0" w:space="0" w:color="auto"/>
                    <w:right w:val="none" w:sz="0" w:space="0" w:color="auto"/>
                  </w:divBdr>
                  <w:divsChild>
                    <w:div w:id="1762295606">
                      <w:marLeft w:val="0"/>
                      <w:marRight w:val="0"/>
                      <w:marTop w:val="0"/>
                      <w:marBottom w:val="0"/>
                      <w:divBdr>
                        <w:top w:val="none" w:sz="0" w:space="0" w:color="auto"/>
                        <w:left w:val="none" w:sz="0" w:space="0" w:color="auto"/>
                        <w:bottom w:val="none" w:sz="0" w:space="0" w:color="auto"/>
                        <w:right w:val="none" w:sz="0" w:space="0" w:color="auto"/>
                      </w:divBdr>
                    </w:div>
                  </w:divsChild>
                </w:div>
                <w:div w:id="1498693912">
                  <w:marLeft w:val="0"/>
                  <w:marRight w:val="0"/>
                  <w:marTop w:val="0"/>
                  <w:marBottom w:val="0"/>
                  <w:divBdr>
                    <w:top w:val="none" w:sz="0" w:space="0" w:color="auto"/>
                    <w:left w:val="none" w:sz="0" w:space="0" w:color="auto"/>
                    <w:bottom w:val="none" w:sz="0" w:space="0" w:color="auto"/>
                    <w:right w:val="none" w:sz="0" w:space="0" w:color="auto"/>
                  </w:divBdr>
                  <w:divsChild>
                    <w:div w:id="619994718">
                      <w:marLeft w:val="0"/>
                      <w:marRight w:val="0"/>
                      <w:marTop w:val="0"/>
                      <w:marBottom w:val="0"/>
                      <w:divBdr>
                        <w:top w:val="none" w:sz="0" w:space="0" w:color="auto"/>
                        <w:left w:val="none" w:sz="0" w:space="0" w:color="auto"/>
                        <w:bottom w:val="none" w:sz="0" w:space="0" w:color="auto"/>
                        <w:right w:val="none" w:sz="0" w:space="0" w:color="auto"/>
                      </w:divBdr>
                    </w:div>
                  </w:divsChild>
                </w:div>
                <w:div w:id="1509977046">
                  <w:marLeft w:val="0"/>
                  <w:marRight w:val="0"/>
                  <w:marTop w:val="0"/>
                  <w:marBottom w:val="0"/>
                  <w:divBdr>
                    <w:top w:val="none" w:sz="0" w:space="0" w:color="auto"/>
                    <w:left w:val="none" w:sz="0" w:space="0" w:color="auto"/>
                    <w:bottom w:val="none" w:sz="0" w:space="0" w:color="auto"/>
                    <w:right w:val="none" w:sz="0" w:space="0" w:color="auto"/>
                  </w:divBdr>
                  <w:divsChild>
                    <w:div w:id="1434938007">
                      <w:marLeft w:val="0"/>
                      <w:marRight w:val="0"/>
                      <w:marTop w:val="0"/>
                      <w:marBottom w:val="0"/>
                      <w:divBdr>
                        <w:top w:val="none" w:sz="0" w:space="0" w:color="auto"/>
                        <w:left w:val="none" w:sz="0" w:space="0" w:color="auto"/>
                        <w:bottom w:val="none" w:sz="0" w:space="0" w:color="auto"/>
                        <w:right w:val="none" w:sz="0" w:space="0" w:color="auto"/>
                      </w:divBdr>
                    </w:div>
                  </w:divsChild>
                </w:div>
                <w:div w:id="1530223033">
                  <w:marLeft w:val="0"/>
                  <w:marRight w:val="0"/>
                  <w:marTop w:val="0"/>
                  <w:marBottom w:val="0"/>
                  <w:divBdr>
                    <w:top w:val="none" w:sz="0" w:space="0" w:color="auto"/>
                    <w:left w:val="none" w:sz="0" w:space="0" w:color="auto"/>
                    <w:bottom w:val="none" w:sz="0" w:space="0" w:color="auto"/>
                    <w:right w:val="none" w:sz="0" w:space="0" w:color="auto"/>
                  </w:divBdr>
                  <w:divsChild>
                    <w:div w:id="1926374618">
                      <w:marLeft w:val="0"/>
                      <w:marRight w:val="0"/>
                      <w:marTop w:val="0"/>
                      <w:marBottom w:val="0"/>
                      <w:divBdr>
                        <w:top w:val="none" w:sz="0" w:space="0" w:color="auto"/>
                        <w:left w:val="none" w:sz="0" w:space="0" w:color="auto"/>
                        <w:bottom w:val="none" w:sz="0" w:space="0" w:color="auto"/>
                        <w:right w:val="none" w:sz="0" w:space="0" w:color="auto"/>
                      </w:divBdr>
                    </w:div>
                  </w:divsChild>
                </w:div>
                <w:div w:id="1547982929">
                  <w:marLeft w:val="0"/>
                  <w:marRight w:val="0"/>
                  <w:marTop w:val="0"/>
                  <w:marBottom w:val="0"/>
                  <w:divBdr>
                    <w:top w:val="none" w:sz="0" w:space="0" w:color="auto"/>
                    <w:left w:val="none" w:sz="0" w:space="0" w:color="auto"/>
                    <w:bottom w:val="none" w:sz="0" w:space="0" w:color="auto"/>
                    <w:right w:val="none" w:sz="0" w:space="0" w:color="auto"/>
                  </w:divBdr>
                  <w:divsChild>
                    <w:div w:id="139542455">
                      <w:marLeft w:val="0"/>
                      <w:marRight w:val="0"/>
                      <w:marTop w:val="0"/>
                      <w:marBottom w:val="0"/>
                      <w:divBdr>
                        <w:top w:val="none" w:sz="0" w:space="0" w:color="auto"/>
                        <w:left w:val="none" w:sz="0" w:space="0" w:color="auto"/>
                        <w:bottom w:val="none" w:sz="0" w:space="0" w:color="auto"/>
                        <w:right w:val="none" w:sz="0" w:space="0" w:color="auto"/>
                      </w:divBdr>
                    </w:div>
                  </w:divsChild>
                </w:div>
                <w:div w:id="1552763859">
                  <w:marLeft w:val="0"/>
                  <w:marRight w:val="0"/>
                  <w:marTop w:val="0"/>
                  <w:marBottom w:val="0"/>
                  <w:divBdr>
                    <w:top w:val="none" w:sz="0" w:space="0" w:color="auto"/>
                    <w:left w:val="none" w:sz="0" w:space="0" w:color="auto"/>
                    <w:bottom w:val="none" w:sz="0" w:space="0" w:color="auto"/>
                    <w:right w:val="none" w:sz="0" w:space="0" w:color="auto"/>
                  </w:divBdr>
                  <w:divsChild>
                    <w:div w:id="387534542">
                      <w:marLeft w:val="0"/>
                      <w:marRight w:val="0"/>
                      <w:marTop w:val="0"/>
                      <w:marBottom w:val="0"/>
                      <w:divBdr>
                        <w:top w:val="none" w:sz="0" w:space="0" w:color="auto"/>
                        <w:left w:val="none" w:sz="0" w:space="0" w:color="auto"/>
                        <w:bottom w:val="none" w:sz="0" w:space="0" w:color="auto"/>
                        <w:right w:val="none" w:sz="0" w:space="0" w:color="auto"/>
                      </w:divBdr>
                    </w:div>
                  </w:divsChild>
                </w:div>
                <w:div w:id="1558590057">
                  <w:marLeft w:val="0"/>
                  <w:marRight w:val="0"/>
                  <w:marTop w:val="0"/>
                  <w:marBottom w:val="0"/>
                  <w:divBdr>
                    <w:top w:val="none" w:sz="0" w:space="0" w:color="auto"/>
                    <w:left w:val="none" w:sz="0" w:space="0" w:color="auto"/>
                    <w:bottom w:val="none" w:sz="0" w:space="0" w:color="auto"/>
                    <w:right w:val="none" w:sz="0" w:space="0" w:color="auto"/>
                  </w:divBdr>
                  <w:divsChild>
                    <w:div w:id="1186792581">
                      <w:marLeft w:val="0"/>
                      <w:marRight w:val="0"/>
                      <w:marTop w:val="0"/>
                      <w:marBottom w:val="0"/>
                      <w:divBdr>
                        <w:top w:val="none" w:sz="0" w:space="0" w:color="auto"/>
                        <w:left w:val="none" w:sz="0" w:space="0" w:color="auto"/>
                        <w:bottom w:val="none" w:sz="0" w:space="0" w:color="auto"/>
                        <w:right w:val="none" w:sz="0" w:space="0" w:color="auto"/>
                      </w:divBdr>
                    </w:div>
                  </w:divsChild>
                </w:div>
                <w:div w:id="1561744288">
                  <w:marLeft w:val="0"/>
                  <w:marRight w:val="0"/>
                  <w:marTop w:val="0"/>
                  <w:marBottom w:val="0"/>
                  <w:divBdr>
                    <w:top w:val="none" w:sz="0" w:space="0" w:color="auto"/>
                    <w:left w:val="none" w:sz="0" w:space="0" w:color="auto"/>
                    <w:bottom w:val="none" w:sz="0" w:space="0" w:color="auto"/>
                    <w:right w:val="none" w:sz="0" w:space="0" w:color="auto"/>
                  </w:divBdr>
                  <w:divsChild>
                    <w:div w:id="1471363078">
                      <w:marLeft w:val="0"/>
                      <w:marRight w:val="0"/>
                      <w:marTop w:val="0"/>
                      <w:marBottom w:val="0"/>
                      <w:divBdr>
                        <w:top w:val="none" w:sz="0" w:space="0" w:color="auto"/>
                        <w:left w:val="none" w:sz="0" w:space="0" w:color="auto"/>
                        <w:bottom w:val="none" w:sz="0" w:space="0" w:color="auto"/>
                        <w:right w:val="none" w:sz="0" w:space="0" w:color="auto"/>
                      </w:divBdr>
                    </w:div>
                  </w:divsChild>
                </w:div>
                <w:div w:id="1588079787">
                  <w:marLeft w:val="0"/>
                  <w:marRight w:val="0"/>
                  <w:marTop w:val="0"/>
                  <w:marBottom w:val="0"/>
                  <w:divBdr>
                    <w:top w:val="none" w:sz="0" w:space="0" w:color="auto"/>
                    <w:left w:val="none" w:sz="0" w:space="0" w:color="auto"/>
                    <w:bottom w:val="none" w:sz="0" w:space="0" w:color="auto"/>
                    <w:right w:val="none" w:sz="0" w:space="0" w:color="auto"/>
                  </w:divBdr>
                  <w:divsChild>
                    <w:div w:id="1279409429">
                      <w:marLeft w:val="0"/>
                      <w:marRight w:val="0"/>
                      <w:marTop w:val="0"/>
                      <w:marBottom w:val="0"/>
                      <w:divBdr>
                        <w:top w:val="none" w:sz="0" w:space="0" w:color="auto"/>
                        <w:left w:val="none" w:sz="0" w:space="0" w:color="auto"/>
                        <w:bottom w:val="none" w:sz="0" w:space="0" w:color="auto"/>
                        <w:right w:val="none" w:sz="0" w:space="0" w:color="auto"/>
                      </w:divBdr>
                    </w:div>
                  </w:divsChild>
                </w:div>
                <w:div w:id="1618677397">
                  <w:marLeft w:val="0"/>
                  <w:marRight w:val="0"/>
                  <w:marTop w:val="0"/>
                  <w:marBottom w:val="0"/>
                  <w:divBdr>
                    <w:top w:val="none" w:sz="0" w:space="0" w:color="auto"/>
                    <w:left w:val="none" w:sz="0" w:space="0" w:color="auto"/>
                    <w:bottom w:val="none" w:sz="0" w:space="0" w:color="auto"/>
                    <w:right w:val="none" w:sz="0" w:space="0" w:color="auto"/>
                  </w:divBdr>
                  <w:divsChild>
                    <w:div w:id="1475558210">
                      <w:marLeft w:val="0"/>
                      <w:marRight w:val="0"/>
                      <w:marTop w:val="0"/>
                      <w:marBottom w:val="0"/>
                      <w:divBdr>
                        <w:top w:val="none" w:sz="0" w:space="0" w:color="auto"/>
                        <w:left w:val="none" w:sz="0" w:space="0" w:color="auto"/>
                        <w:bottom w:val="none" w:sz="0" w:space="0" w:color="auto"/>
                        <w:right w:val="none" w:sz="0" w:space="0" w:color="auto"/>
                      </w:divBdr>
                    </w:div>
                  </w:divsChild>
                </w:div>
                <w:div w:id="1622492025">
                  <w:marLeft w:val="0"/>
                  <w:marRight w:val="0"/>
                  <w:marTop w:val="0"/>
                  <w:marBottom w:val="0"/>
                  <w:divBdr>
                    <w:top w:val="none" w:sz="0" w:space="0" w:color="auto"/>
                    <w:left w:val="none" w:sz="0" w:space="0" w:color="auto"/>
                    <w:bottom w:val="none" w:sz="0" w:space="0" w:color="auto"/>
                    <w:right w:val="none" w:sz="0" w:space="0" w:color="auto"/>
                  </w:divBdr>
                  <w:divsChild>
                    <w:div w:id="1121338932">
                      <w:marLeft w:val="0"/>
                      <w:marRight w:val="0"/>
                      <w:marTop w:val="0"/>
                      <w:marBottom w:val="0"/>
                      <w:divBdr>
                        <w:top w:val="none" w:sz="0" w:space="0" w:color="auto"/>
                        <w:left w:val="none" w:sz="0" w:space="0" w:color="auto"/>
                        <w:bottom w:val="none" w:sz="0" w:space="0" w:color="auto"/>
                        <w:right w:val="none" w:sz="0" w:space="0" w:color="auto"/>
                      </w:divBdr>
                    </w:div>
                  </w:divsChild>
                </w:div>
                <w:div w:id="1707289272">
                  <w:marLeft w:val="0"/>
                  <w:marRight w:val="0"/>
                  <w:marTop w:val="0"/>
                  <w:marBottom w:val="0"/>
                  <w:divBdr>
                    <w:top w:val="none" w:sz="0" w:space="0" w:color="auto"/>
                    <w:left w:val="none" w:sz="0" w:space="0" w:color="auto"/>
                    <w:bottom w:val="none" w:sz="0" w:space="0" w:color="auto"/>
                    <w:right w:val="none" w:sz="0" w:space="0" w:color="auto"/>
                  </w:divBdr>
                  <w:divsChild>
                    <w:div w:id="1291476334">
                      <w:marLeft w:val="0"/>
                      <w:marRight w:val="0"/>
                      <w:marTop w:val="0"/>
                      <w:marBottom w:val="0"/>
                      <w:divBdr>
                        <w:top w:val="none" w:sz="0" w:space="0" w:color="auto"/>
                        <w:left w:val="none" w:sz="0" w:space="0" w:color="auto"/>
                        <w:bottom w:val="none" w:sz="0" w:space="0" w:color="auto"/>
                        <w:right w:val="none" w:sz="0" w:space="0" w:color="auto"/>
                      </w:divBdr>
                    </w:div>
                  </w:divsChild>
                </w:div>
                <w:div w:id="1811315157">
                  <w:marLeft w:val="0"/>
                  <w:marRight w:val="0"/>
                  <w:marTop w:val="0"/>
                  <w:marBottom w:val="0"/>
                  <w:divBdr>
                    <w:top w:val="none" w:sz="0" w:space="0" w:color="auto"/>
                    <w:left w:val="none" w:sz="0" w:space="0" w:color="auto"/>
                    <w:bottom w:val="none" w:sz="0" w:space="0" w:color="auto"/>
                    <w:right w:val="none" w:sz="0" w:space="0" w:color="auto"/>
                  </w:divBdr>
                  <w:divsChild>
                    <w:div w:id="1480614364">
                      <w:marLeft w:val="0"/>
                      <w:marRight w:val="0"/>
                      <w:marTop w:val="0"/>
                      <w:marBottom w:val="0"/>
                      <w:divBdr>
                        <w:top w:val="none" w:sz="0" w:space="0" w:color="auto"/>
                        <w:left w:val="none" w:sz="0" w:space="0" w:color="auto"/>
                        <w:bottom w:val="none" w:sz="0" w:space="0" w:color="auto"/>
                        <w:right w:val="none" w:sz="0" w:space="0" w:color="auto"/>
                      </w:divBdr>
                    </w:div>
                  </w:divsChild>
                </w:div>
                <w:div w:id="1818452725">
                  <w:marLeft w:val="0"/>
                  <w:marRight w:val="0"/>
                  <w:marTop w:val="0"/>
                  <w:marBottom w:val="0"/>
                  <w:divBdr>
                    <w:top w:val="none" w:sz="0" w:space="0" w:color="auto"/>
                    <w:left w:val="none" w:sz="0" w:space="0" w:color="auto"/>
                    <w:bottom w:val="none" w:sz="0" w:space="0" w:color="auto"/>
                    <w:right w:val="none" w:sz="0" w:space="0" w:color="auto"/>
                  </w:divBdr>
                  <w:divsChild>
                    <w:div w:id="123155202">
                      <w:marLeft w:val="0"/>
                      <w:marRight w:val="0"/>
                      <w:marTop w:val="0"/>
                      <w:marBottom w:val="0"/>
                      <w:divBdr>
                        <w:top w:val="none" w:sz="0" w:space="0" w:color="auto"/>
                        <w:left w:val="none" w:sz="0" w:space="0" w:color="auto"/>
                        <w:bottom w:val="none" w:sz="0" w:space="0" w:color="auto"/>
                        <w:right w:val="none" w:sz="0" w:space="0" w:color="auto"/>
                      </w:divBdr>
                    </w:div>
                  </w:divsChild>
                </w:div>
                <w:div w:id="1838184015">
                  <w:marLeft w:val="0"/>
                  <w:marRight w:val="0"/>
                  <w:marTop w:val="0"/>
                  <w:marBottom w:val="0"/>
                  <w:divBdr>
                    <w:top w:val="none" w:sz="0" w:space="0" w:color="auto"/>
                    <w:left w:val="none" w:sz="0" w:space="0" w:color="auto"/>
                    <w:bottom w:val="none" w:sz="0" w:space="0" w:color="auto"/>
                    <w:right w:val="none" w:sz="0" w:space="0" w:color="auto"/>
                  </w:divBdr>
                  <w:divsChild>
                    <w:div w:id="1828594583">
                      <w:marLeft w:val="0"/>
                      <w:marRight w:val="0"/>
                      <w:marTop w:val="0"/>
                      <w:marBottom w:val="0"/>
                      <w:divBdr>
                        <w:top w:val="none" w:sz="0" w:space="0" w:color="auto"/>
                        <w:left w:val="none" w:sz="0" w:space="0" w:color="auto"/>
                        <w:bottom w:val="none" w:sz="0" w:space="0" w:color="auto"/>
                        <w:right w:val="none" w:sz="0" w:space="0" w:color="auto"/>
                      </w:divBdr>
                    </w:div>
                  </w:divsChild>
                </w:div>
                <w:div w:id="1875145938">
                  <w:marLeft w:val="0"/>
                  <w:marRight w:val="0"/>
                  <w:marTop w:val="0"/>
                  <w:marBottom w:val="0"/>
                  <w:divBdr>
                    <w:top w:val="none" w:sz="0" w:space="0" w:color="auto"/>
                    <w:left w:val="none" w:sz="0" w:space="0" w:color="auto"/>
                    <w:bottom w:val="none" w:sz="0" w:space="0" w:color="auto"/>
                    <w:right w:val="none" w:sz="0" w:space="0" w:color="auto"/>
                  </w:divBdr>
                  <w:divsChild>
                    <w:div w:id="1382553708">
                      <w:marLeft w:val="0"/>
                      <w:marRight w:val="0"/>
                      <w:marTop w:val="0"/>
                      <w:marBottom w:val="0"/>
                      <w:divBdr>
                        <w:top w:val="none" w:sz="0" w:space="0" w:color="auto"/>
                        <w:left w:val="none" w:sz="0" w:space="0" w:color="auto"/>
                        <w:bottom w:val="none" w:sz="0" w:space="0" w:color="auto"/>
                        <w:right w:val="none" w:sz="0" w:space="0" w:color="auto"/>
                      </w:divBdr>
                    </w:div>
                  </w:divsChild>
                </w:div>
                <w:div w:id="1900436335">
                  <w:marLeft w:val="0"/>
                  <w:marRight w:val="0"/>
                  <w:marTop w:val="0"/>
                  <w:marBottom w:val="0"/>
                  <w:divBdr>
                    <w:top w:val="none" w:sz="0" w:space="0" w:color="auto"/>
                    <w:left w:val="none" w:sz="0" w:space="0" w:color="auto"/>
                    <w:bottom w:val="none" w:sz="0" w:space="0" w:color="auto"/>
                    <w:right w:val="none" w:sz="0" w:space="0" w:color="auto"/>
                  </w:divBdr>
                  <w:divsChild>
                    <w:div w:id="1504737248">
                      <w:marLeft w:val="0"/>
                      <w:marRight w:val="0"/>
                      <w:marTop w:val="0"/>
                      <w:marBottom w:val="0"/>
                      <w:divBdr>
                        <w:top w:val="none" w:sz="0" w:space="0" w:color="auto"/>
                        <w:left w:val="none" w:sz="0" w:space="0" w:color="auto"/>
                        <w:bottom w:val="none" w:sz="0" w:space="0" w:color="auto"/>
                        <w:right w:val="none" w:sz="0" w:space="0" w:color="auto"/>
                      </w:divBdr>
                    </w:div>
                  </w:divsChild>
                </w:div>
                <w:div w:id="1928347251">
                  <w:marLeft w:val="0"/>
                  <w:marRight w:val="0"/>
                  <w:marTop w:val="0"/>
                  <w:marBottom w:val="0"/>
                  <w:divBdr>
                    <w:top w:val="none" w:sz="0" w:space="0" w:color="auto"/>
                    <w:left w:val="none" w:sz="0" w:space="0" w:color="auto"/>
                    <w:bottom w:val="none" w:sz="0" w:space="0" w:color="auto"/>
                    <w:right w:val="none" w:sz="0" w:space="0" w:color="auto"/>
                  </w:divBdr>
                  <w:divsChild>
                    <w:div w:id="1739353415">
                      <w:marLeft w:val="0"/>
                      <w:marRight w:val="0"/>
                      <w:marTop w:val="0"/>
                      <w:marBottom w:val="0"/>
                      <w:divBdr>
                        <w:top w:val="none" w:sz="0" w:space="0" w:color="auto"/>
                        <w:left w:val="none" w:sz="0" w:space="0" w:color="auto"/>
                        <w:bottom w:val="none" w:sz="0" w:space="0" w:color="auto"/>
                        <w:right w:val="none" w:sz="0" w:space="0" w:color="auto"/>
                      </w:divBdr>
                    </w:div>
                  </w:divsChild>
                </w:div>
                <w:div w:id="1971324430">
                  <w:marLeft w:val="0"/>
                  <w:marRight w:val="0"/>
                  <w:marTop w:val="0"/>
                  <w:marBottom w:val="0"/>
                  <w:divBdr>
                    <w:top w:val="none" w:sz="0" w:space="0" w:color="auto"/>
                    <w:left w:val="none" w:sz="0" w:space="0" w:color="auto"/>
                    <w:bottom w:val="none" w:sz="0" w:space="0" w:color="auto"/>
                    <w:right w:val="none" w:sz="0" w:space="0" w:color="auto"/>
                  </w:divBdr>
                  <w:divsChild>
                    <w:div w:id="163398497">
                      <w:marLeft w:val="0"/>
                      <w:marRight w:val="0"/>
                      <w:marTop w:val="0"/>
                      <w:marBottom w:val="0"/>
                      <w:divBdr>
                        <w:top w:val="none" w:sz="0" w:space="0" w:color="auto"/>
                        <w:left w:val="none" w:sz="0" w:space="0" w:color="auto"/>
                        <w:bottom w:val="none" w:sz="0" w:space="0" w:color="auto"/>
                        <w:right w:val="none" w:sz="0" w:space="0" w:color="auto"/>
                      </w:divBdr>
                    </w:div>
                  </w:divsChild>
                </w:div>
                <w:div w:id="1978953405">
                  <w:marLeft w:val="0"/>
                  <w:marRight w:val="0"/>
                  <w:marTop w:val="0"/>
                  <w:marBottom w:val="0"/>
                  <w:divBdr>
                    <w:top w:val="none" w:sz="0" w:space="0" w:color="auto"/>
                    <w:left w:val="none" w:sz="0" w:space="0" w:color="auto"/>
                    <w:bottom w:val="none" w:sz="0" w:space="0" w:color="auto"/>
                    <w:right w:val="none" w:sz="0" w:space="0" w:color="auto"/>
                  </w:divBdr>
                  <w:divsChild>
                    <w:div w:id="1888376104">
                      <w:marLeft w:val="0"/>
                      <w:marRight w:val="0"/>
                      <w:marTop w:val="0"/>
                      <w:marBottom w:val="0"/>
                      <w:divBdr>
                        <w:top w:val="none" w:sz="0" w:space="0" w:color="auto"/>
                        <w:left w:val="none" w:sz="0" w:space="0" w:color="auto"/>
                        <w:bottom w:val="none" w:sz="0" w:space="0" w:color="auto"/>
                        <w:right w:val="none" w:sz="0" w:space="0" w:color="auto"/>
                      </w:divBdr>
                    </w:div>
                  </w:divsChild>
                </w:div>
                <w:div w:id="1981956353">
                  <w:marLeft w:val="0"/>
                  <w:marRight w:val="0"/>
                  <w:marTop w:val="0"/>
                  <w:marBottom w:val="0"/>
                  <w:divBdr>
                    <w:top w:val="none" w:sz="0" w:space="0" w:color="auto"/>
                    <w:left w:val="none" w:sz="0" w:space="0" w:color="auto"/>
                    <w:bottom w:val="none" w:sz="0" w:space="0" w:color="auto"/>
                    <w:right w:val="none" w:sz="0" w:space="0" w:color="auto"/>
                  </w:divBdr>
                  <w:divsChild>
                    <w:div w:id="66686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05310">
          <w:marLeft w:val="0"/>
          <w:marRight w:val="0"/>
          <w:marTop w:val="0"/>
          <w:marBottom w:val="0"/>
          <w:divBdr>
            <w:top w:val="none" w:sz="0" w:space="0" w:color="auto"/>
            <w:left w:val="none" w:sz="0" w:space="0" w:color="auto"/>
            <w:bottom w:val="none" w:sz="0" w:space="0" w:color="auto"/>
            <w:right w:val="none" w:sz="0" w:space="0" w:color="auto"/>
          </w:divBdr>
        </w:div>
        <w:div w:id="757676560">
          <w:marLeft w:val="0"/>
          <w:marRight w:val="0"/>
          <w:marTop w:val="0"/>
          <w:marBottom w:val="0"/>
          <w:divBdr>
            <w:top w:val="none" w:sz="0" w:space="0" w:color="auto"/>
            <w:left w:val="none" w:sz="0" w:space="0" w:color="auto"/>
            <w:bottom w:val="none" w:sz="0" w:space="0" w:color="auto"/>
            <w:right w:val="none" w:sz="0" w:space="0" w:color="auto"/>
          </w:divBdr>
        </w:div>
        <w:div w:id="800804641">
          <w:marLeft w:val="0"/>
          <w:marRight w:val="0"/>
          <w:marTop w:val="0"/>
          <w:marBottom w:val="0"/>
          <w:divBdr>
            <w:top w:val="none" w:sz="0" w:space="0" w:color="auto"/>
            <w:left w:val="none" w:sz="0" w:space="0" w:color="auto"/>
            <w:bottom w:val="none" w:sz="0" w:space="0" w:color="auto"/>
            <w:right w:val="none" w:sz="0" w:space="0" w:color="auto"/>
          </w:divBdr>
        </w:div>
        <w:div w:id="810288363">
          <w:marLeft w:val="0"/>
          <w:marRight w:val="0"/>
          <w:marTop w:val="0"/>
          <w:marBottom w:val="0"/>
          <w:divBdr>
            <w:top w:val="none" w:sz="0" w:space="0" w:color="auto"/>
            <w:left w:val="none" w:sz="0" w:space="0" w:color="auto"/>
            <w:bottom w:val="none" w:sz="0" w:space="0" w:color="auto"/>
            <w:right w:val="none" w:sz="0" w:space="0" w:color="auto"/>
          </w:divBdr>
        </w:div>
        <w:div w:id="830366477">
          <w:marLeft w:val="0"/>
          <w:marRight w:val="0"/>
          <w:marTop w:val="0"/>
          <w:marBottom w:val="0"/>
          <w:divBdr>
            <w:top w:val="none" w:sz="0" w:space="0" w:color="auto"/>
            <w:left w:val="none" w:sz="0" w:space="0" w:color="auto"/>
            <w:bottom w:val="none" w:sz="0" w:space="0" w:color="auto"/>
            <w:right w:val="none" w:sz="0" w:space="0" w:color="auto"/>
          </w:divBdr>
        </w:div>
        <w:div w:id="842546416">
          <w:marLeft w:val="0"/>
          <w:marRight w:val="0"/>
          <w:marTop w:val="0"/>
          <w:marBottom w:val="0"/>
          <w:divBdr>
            <w:top w:val="none" w:sz="0" w:space="0" w:color="auto"/>
            <w:left w:val="none" w:sz="0" w:space="0" w:color="auto"/>
            <w:bottom w:val="none" w:sz="0" w:space="0" w:color="auto"/>
            <w:right w:val="none" w:sz="0" w:space="0" w:color="auto"/>
          </w:divBdr>
        </w:div>
        <w:div w:id="856652066">
          <w:marLeft w:val="0"/>
          <w:marRight w:val="0"/>
          <w:marTop w:val="0"/>
          <w:marBottom w:val="0"/>
          <w:divBdr>
            <w:top w:val="none" w:sz="0" w:space="0" w:color="auto"/>
            <w:left w:val="none" w:sz="0" w:space="0" w:color="auto"/>
            <w:bottom w:val="none" w:sz="0" w:space="0" w:color="auto"/>
            <w:right w:val="none" w:sz="0" w:space="0" w:color="auto"/>
          </w:divBdr>
        </w:div>
        <w:div w:id="875701393">
          <w:marLeft w:val="0"/>
          <w:marRight w:val="0"/>
          <w:marTop w:val="0"/>
          <w:marBottom w:val="0"/>
          <w:divBdr>
            <w:top w:val="none" w:sz="0" w:space="0" w:color="auto"/>
            <w:left w:val="none" w:sz="0" w:space="0" w:color="auto"/>
            <w:bottom w:val="none" w:sz="0" w:space="0" w:color="auto"/>
            <w:right w:val="none" w:sz="0" w:space="0" w:color="auto"/>
          </w:divBdr>
        </w:div>
        <w:div w:id="885021549">
          <w:marLeft w:val="0"/>
          <w:marRight w:val="0"/>
          <w:marTop w:val="0"/>
          <w:marBottom w:val="0"/>
          <w:divBdr>
            <w:top w:val="none" w:sz="0" w:space="0" w:color="auto"/>
            <w:left w:val="none" w:sz="0" w:space="0" w:color="auto"/>
            <w:bottom w:val="none" w:sz="0" w:space="0" w:color="auto"/>
            <w:right w:val="none" w:sz="0" w:space="0" w:color="auto"/>
          </w:divBdr>
        </w:div>
        <w:div w:id="888960500">
          <w:marLeft w:val="0"/>
          <w:marRight w:val="0"/>
          <w:marTop w:val="0"/>
          <w:marBottom w:val="0"/>
          <w:divBdr>
            <w:top w:val="none" w:sz="0" w:space="0" w:color="auto"/>
            <w:left w:val="none" w:sz="0" w:space="0" w:color="auto"/>
            <w:bottom w:val="none" w:sz="0" w:space="0" w:color="auto"/>
            <w:right w:val="none" w:sz="0" w:space="0" w:color="auto"/>
          </w:divBdr>
        </w:div>
        <w:div w:id="917599704">
          <w:marLeft w:val="0"/>
          <w:marRight w:val="0"/>
          <w:marTop w:val="0"/>
          <w:marBottom w:val="0"/>
          <w:divBdr>
            <w:top w:val="none" w:sz="0" w:space="0" w:color="auto"/>
            <w:left w:val="none" w:sz="0" w:space="0" w:color="auto"/>
            <w:bottom w:val="none" w:sz="0" w:space="0" w:color="auto"/>
            <w:right w:val="none" w:sz="0" w:space="0" w:color="auto"/>
          </w:divBdr>
        </w:div>
        <w:div w:id="951865700">
          <w:marLeft w:val="0"/>
          <w:marRight w:val="0"/>
          <w:marTop w:val="0"/>
          <w:marBottom w:val="0"/>
          <w:divBdr>
            <w:top w:val="none" w:sz="0" w:space="0" w:color="auto"/>
            <w:left w:val="none" w:sz="0" w:space="0" w:color="auto"/>
            <w:bottom w:val="none" w:sz="0" w:space="0" w:color="auto"/>
            <w:right w:val="none" w:sz="0" w:space="0" w:color="auto"/>
          </w:divBdr>
        </w:div>
        <w:div w:id="971785939">
          <w:marLeft w:val="0"/>
          <w:marRight w:val="0"/>
          <w:marTop w:val="0"/>
          <w:marBottom w:val="0"/>
          <w:divBdr>
            <w:top w:val="none" w:sz="0" w:space="0" w:color="auto"/>
            <w:left w:val="none" w:sz="0" w:space="0" w:color="auto"/>
            <w:bottom w:val="none" w:sz="0" w:space="0" w:color="auto"/>
            <w:right w:val="none" w:sz="0" w:space="0" w:color="auto"/>
          </w:divBdr>
          <w:divsChild>
            <w:div w:id="271665722">
              <w:marLeft w:val="0"/>
              <w:marRight w:val="0"/>
              <w:marTop w:val="0"/>
              <w:marBottom w:val="0"/>
              <w:divBdr>
                <w:top w:val="none" w:sz="0" w:space="0" w:color="auto"/>
                <w:left w:val="none" w:sz="0" w:space="0" w:color="auto"/>
                <w:bottom w:val="none" w:sz="0" w:space="0" w:color="auto"/>
                <w:right w:val="none" w:sz="0" w:space="0" w:color="auto"/>
              </w:divBdr>
            </w:div>
            <w:div w:id="633943832">
              <w:marLeft w:val="0"/>
              <w:marRight w:val="0"/>
              <w:marTop w:val="0"/>
              <w:marBottom w:val="0"/>
              <w:divBdr>
                <w:top w:val="none" w:sz="0" w:space="0" w:color="auto"/>
                <w:left w:val="none" w:sz="0" w:space="0" w:color="auto"/>
                <w:bottom w:val="none" w:sz="0" w:space="0" w:color="auto"/>
                <w:right w:val="none" w:sz="0" w:space="0" w:color="auto"/>
              </w:divBdr>
            </w:div>
            <w:div w:id="791171647">
              <w:marLeft w:val="0"/>
              <w:marRight w:val="0"/>
              <w:marTop w:val="0"/>
              <w:marBottom w:val="0"/>
              <w:divBdr>
                <w:top w:val="none" w:sz="0" w:space="0" w:color="auto"/>
                <w:left w:val="none" w:sz="0" w:space="0" w:color="auto"/>
                <w:bottom w:val="none" w:sz="0" w:space="0" w:color="auto"/>
                <w:right w:val="none" w:sz="0" w:space="0" w:color="auto"/>
              </w:divBdr>
            </w:div>
            <w:div w:id="1229265178">
              <w:marLeft w:val="0"/>
              <w:marRight w:val="0"/>
              <w:marTop w:val="0"/>
              <w:marBottom w:val="0"/>
              <w:divBdr>
                <w:top w:val="none" w:sz="0" w:space="0" w:color="auto"/>
                <w:left w:val="none" w:sz="0" w:space="0" w:color="auto"/>
                <w:bottom w:val="none" w:sz="0" w:space="0" w:color="auto"/>
                <w:right w:val="none" w:sz="0" w:space="0" w:color="auto"/>
              </w:divBdr>
            </w:div>
            <w:div w:id="1343170773">
              <w:marLeft w:val="0"/>
              <w:marRight w:val="0"/>
              <w:marTop w:val="0"/>
              <w:marBottom w:val="0"/>
              <w:divBdr>
                <w:top w:val="none" w:sz="0" w:space="0" w:color="auto"/>
                <w:left w:val="none" w:sz="0" w:space="0" w:color="auto"/>
                <w:bottom w:val="none" w:sz="0" w:space="0" w:color="auto"/>
                <w:right w:val="none" w:sz="0" w:space="0" w:color="auto"/>
              </w:divBdr>
            </w:div>
            <w:div w:id="2082174857">
              <w:marLeft w:val="0"/>
              <w:marRight w:val="0"/>
              <w:marTop w:val="0"/>
              <w:marBottom w:val="0"/>
              <w:divBdr>
                <w:top w:val="none" w:sz="0" w:space="0" w:color="auto"/>
                <w:left w:val="none" w:sz="0" w:space="0" w:color="auto"/>
                <w:bottom w:val="none" w:sz="0" w:space="0" w:color="auto"/>
                <w:right w:val="none" w:sz="0" w:space="0" w:color="auto"/>
              </w:divBdr>
            </w:div>
          </w:divsChild>
        </w:div>
        <w:div w:id="987395869">
          <w:marLeft w:val="0"/>
          <w:marRight w:val="0"/>
          <w:marTop w:val="0"/>
          <w:marBottom w:val="0"/>
          <w:divBdr>
            <w:top w:val="none" w:sz="0" w:space="0" w:color="auto"/>
            <w:left w:val="none" w:sz="0" w:space="0" w:color="auto"/>
            <w:bottom w:val="none" w:sz="0" w:space="0" w:color="auto"/>
            <w:right w:val="none" w:sz="0" w:space="0" w:color="auto"/>
          </w:divBdr>
        </w:div>
        <w:div w:id="1053314756">
          <w:marLeft w:val="0"/>
          <w:marRight w:val="0"/>
          <w:marTop w:val="0"/>
          <w:marBottom w:val="0"/>
          <w:divBdr>
            <w:top w:val="none" w:sz="0" w:space="0" w:color="auto"/>
            <w:left w:val="none" w:sz="0" w:space="0" w:color="auto"/>
            <w:bottom w:val="none" w:sz="0" w:space="0" w:color="auto"/>
            <w:right w:val="none" w:sz="0" w:space="0" w:color="auto"/>
          </w:divBdr>
        </w:div>
        <w:div w:id="1069764172">
          <w:marLeft w:val="0"/>
          <w:marRight w:val="0"/>
          <w:marTop w:val="0"/>
          <w:marBottom w:val="0"/>
          <w:divBdr>
            <w:top w:val="none" w:sz="0" w:space="0" w:color="auto"/>
            <w:left w:val="none" w:sz="0" w:space="0" w:color="auto"/>
            <w:bottom w:val="none" w:sz="0" w:space="0" w:color="auto"/>
            <w:right w:val="none" w:sz="0" w:space="0" w:color="auto"/>
          </w:divBdr>
        </w:div>
        <w:div w:id="1118372815">
          <w:marLeft w:val="0"/>
          <w:marRight w:val="0"/>
          <w:marTop w:val="0"/>
          <w:marBottom w:val="0"/>
          <w:divBdr>
            <w:top w:val="none" w:sz="0" w:space="0" w:color="auto"/>
            <w:left w:val="none" w:sz="0" w:space="0" w:color="auto"/>
            <w:bottom w:val="none" w:sz="0" w:space="0" w:color="auto"/>
            <w:right w:val="none" w:sz="0" w:space="0" w:color="auto"/>
          </w:divBdr>
        </w:div>
        <w:div w:id="1125657746">
          <w:marLeft w:val="0"/>
          <w:marRight w:val="0"/>
          <w:marTop w:val="0"/>
          <w:marBottom w:val="0"/>
          <w:divBdr>
            <w:top w:val="none" w:sz="0" w:space="0" w:color="auto"/>
            <w:left w:val="none" w:sz="0" w:space="0" w:color="auto"/>
            <w:bottom w:val="none" w:sz="0" w:space="0" w:color="auto"/>
            <w:right w:val="none" w:sz="0" w:space="0" w:color="auto"/>
          </w:divBdr>
        </w:div>
        <w:div w:id="1141927432">
          <w:marLeft w:val="0"/>
          <w:marRight w:val="0"/>
          <w:marTop w:val="0"/>
          <w:marBottom w:val="0"/>
          <w:divBdr>
            <w:top w:val="none" w:sz="0" w:space="0" w:color="auto"/>
            <w:left w:val="none" w:sz="0" w:space="0" w:color="auto"/>
            <w:bottom w:val="none" w:sz="0" w:space="0" w:color="auto"/>
            <w:right w:val="none" w:sz="0" w:space="0" w:color="auto"/>
          </w:divBdr>
        </w:div>
        <w:div w:id="1197474881">
          <w:marLeft w:val="0"/>
          <w:marRight w:val="0"/>
          <w:marTop w:val="0"/>
          <w:marBottom w:val="0"/>
          <w:divBdr>
            <w:top w:val="none" w:sz="0" w:space="0" w:color="auto"/>
            <w:left w:val="none" w:sz="0" w:space="0" w:color="auto"/>
            <w:bottom w:val="none" w:sz="0" w:space="0" w:color="auto"/>
            <w:right w:val="none" w:sz="0" w:space="0" w:color="auto"/>
          </w:divBdr>
        </w:div>
        <w:div w:id="1224637644">
          <w:marLeft w:val="0"/>
          <w:marRight w:val="0"/>
          <w:marTop w:val="0"/>
          <w:marBottom w:val="0"/>
          <w:divBdr>
            <w:top w:val="none" w:sz="0" w:space="0" w:color="auto"/>
            <w:left w:val="none" w:sz="0" w:space="0" w:color="auto"/>
            <w:bottom w:val="none" w:sz="0" w:space="0" w:color="auto"/>
            <w:right w:val="none" w:sz="0" w:space="0" w:color="auto"/>
          </w:divBdr>
          <w:divsChild>
            <w:div w:id="44718875">
              <w:marLeft w:val="0"/>
              <w:marRight w:val="0"/>
              <w:marTop w:val="0"/>
              <w:marBottom w:val="0"/>
              <w:divBdr>
                <w:top w:val="none" w:sz="0" w:space="0" w:color="auto"/>
                <w:left w:val="none" w:sz="0" w:space="0" w:color="auto"/>
                <w:bottom w:val="none" w:sz="0" w:space="0" w:color="auto"/>
                <w:right w:val="none" w:sz="0" w:space="0" w:color="auto"/>
              </w:divBdr>
            </w:div>
            <w:div w:id="184442558">
              <w:marLeft w:val="0"/>
              <w:marRight w:val="0"/>
              <w:marTop w:val="0"/>
              <w:marBottom w:val="0"/>
              <w:divBdr>
                <w:top w:val="none" w:sz="0" w:space="0" w:color="auto"/>
                <w:left w:val="none" w:sz="0" w:space="0" w:color="auto"/>
                <w:bottom w:val="none" w:sz="0" w:space="0" w:color="auto"/>
                <w:right w:val="none" w:sz="0" w:space="0" w:color="auto"/>
              </w:divBdr>
            </w:div>
            <w:div w:id="269122683">
              <w:marLeft w:val="0"/>
              <w:marRight w:val="0"/>
              <w:marTop w:val="0"/>
              <w:marBottom w:val="0"/>
              <w:divBdr>
                <w:top w:val="none" w:sz="0" w:space="0" w:color="auto"/>
                <w:left w:val="none" w:sz="0" w:space="0" w:color="auto"/>
                <w:bottom w:val="none" w:sz="0" w:space="0" w:color="auto"/>
                <w:right w:val="none" w:sz="0" w:space="0" w:color="auto"/>
              </w:divBdr>
            </w:div>
            <w:div w:id="474026632">
              <w:marLeft w:val="0"/>
              <w:marRight w:val="0"/>
              <w:marTop w:val="0"/>
              <w:marBottom w:val="0"/>
              <w:divBdr>
                <w:top w:val="none" w:sz="0" w:space="0" w:color="auto"/>
                <w:left w:val="none" w:sz="0" w:space="0" w:color="auto"/>
                <w:bottom w:val="none" w:sz="0" w:space="0" w:color="auto"/>
                <w:right w:val="none" w:sz="0" w:space="0" w:color="auto"/>
              </w:divBdr>
            </w:div>
            <w:div w:id="498693760">
              <w:marLeft w:val="0"/>
              <w:marRight w:val="0"/>
              <w:marTop w:val="0"/>
              <w:marBottom w:val="0"/>
              <w:divBdr>
                <w:top w:val="none" w:sz="0" w:space="0" w:color="auto"/>
                <w:left w:val="none" w:sz="0" w:space="0" w:color="auto"/>
                <w:bottom w:val="none" w:sz="0" w:space="0" w:color="auto"/>
                <w:right w:val="none" w:sz="0" w:space="0" w:color="auto"/>
              </w:divBdr>
            </w:div>
            <w:div w:id="604389768">
              <w:marLeft w:val="0"/>
              <w:marRight w:val="0"/>
              <w:marTop w:val="0"/>
              <w:marBottom w:val="0"/>
              <w:divBdr>
                <w:top w:val="none" w:sz="0" w:space="0" w:color="auto"/>
                <w:left w:val="none" w:sz="0" w:space="0" w:color="auto"/>
                <w:bottom w:val="none" w:sz="0" w:space="0" w:color="auto"/>
                <w:right w:val="none" w:sz="0" w:space="0" w:color="auto"/>
              </w:divBdr>
            </w:div>
            <w:div w:id="637342401">
              <w:marLeft w:val="0"/>
              <w:marRight w:val="0"/>
              <w:marTop w:val="0"/>
              <w:marBottom w:val="0"/>
              <w:divBdr>
                <w:top w:val="none" w:sz="0" w:space="0" w:color="auto"/>
                <w:left w:val="none" w:sz="0" w:space="0" w:color="auto"/>
                <w:bottom w:val="none" w:sz="0" w:space="0" w:color="auto"/>
                <w:right w:val="none" w:sz="0" w:space="0" w:color="auto"/>
              </w:divBdr>
            </w:div>
            <w:div w:id="705564125">
              <w:marLeft w:val="0"/>
              <w:marRight w:val="0"/>
              <w:marTop w:val="0"/>
              <w:marBottom w:val="0"/>
              <w:divBdr>
                <w:top w:val="none" w:sz="0" w:space="0" w:color="auto"/>
                <w:left w:val="none" w:sz="0" w:space="0" w:color="auto"/>
                <w:bottom w:val="none" w:sz="0" w:space="0" w:color="auto"/>
                <w:right w:val="none" w:sz="0" w:space="0" w:color="auto"/>
              </w:divBdr>
            </w:div>
            <w:div w:id="898827603">
              <w:marLeft w:val="0"/>
              <w:marRight w:val="0"/>
              <w:marTop w:val="0"/>
              <w:marBottom w:val="0"/>
              <w:divBdr>
                <w:top w:val="none" w:sz="0" w:space="0" w:color="auto"/>
                <w:left w:val="none" w:sz="0" w:space="0" w:color="auto"/>
                <w:bottom w:val="none" w:sz="0" w:space="0" w:color="auto"/>
                <w:right w:val="none" w:sz="0" w:space="0" w:color="auto"/>
              </w:divBdr>
            </w:div>
            <w:div w:id="911087411">
              <w:marLeft w:val="0"/>
              <w:marRight w:val="0"/>
              <w:marTop w:val="0"/>
              <w:marBottom w:val="0"/>
              <w:divBdr>
                <w:top w:val="none" w:sz="0" w:space="0" w:color="auto"/>
                <w:left w:val="none" w:sz="0" w:space="0" w:color="auto"/>
                <w:bottom w:val="none" w:sz="0" w:space="0" w:color="auto"/>
                <w:right w:val="none" w:sz="0" w:space="0" w:color="auto"/>
              </w:divBdr>
            </w:div>
            <w:div w:id="1004358719">
              <w:marLeft w:val="0"/>
              <w:marRight w:val="0"/>
              <w:marTop w:val="0"/>
              <w:marBottom w:val="0"/>
              <w:divBdr>
                <w:top w:val="none" w:sz="0" w:space="0" w:color="auto"/>
                <w:left w:val="none" w:sz="0" w:space="0" w:color="auto"/>
                <w:bottom w:val="none" w:sz="0" w:space="0" w:color="auto"/>
                <w:right w:val="none" w:sz="0" w:space="0" w:color="auto"/>
              </w:divBdr>
            </w:div>
            <w:div w:id="1167358016">
              <w:marLeft w:val="0"/>
              <w:marRight w:val="0"/>
              <w:marTop w:val="0"/>
              <w:marBottom w:val="0"/>
              <w:divBdr>
                <w:top w:val="none" w:sz="0" w:space="0" w:color="auto"/>
                <w:left w:val="none" w:sz="0" w:space="0" w:color="auto"/>
                <w:bottom w:val="none" w:sz="0" w:space="0" w:color="auto"/>
                <w:right w:val="none" w:sz="0" w:space="0" w:color="auto"/>
              </w:divBdr>
            </w:div>
            <w:div w:id="1173105579">
              <w:marLeft w:val="0"/>
              <w:marRight w:val="0"/>
              <w:marTop w:val="0"/>
              <w:marBottom w:val="0"/>
              <w:divBdr>
                <w:top w:val="none" w:sz="0" w:space="0" w:color="auto"/>
                <w:left w:val="none" w:sz="0" w:space="0" w:color="auto"/>
                <w:bottom w:val="none" w:sz="0" w:space="0" w:color="auto"/>
                <w:right w:val="none" w:sz="0" w:space="0" w:color="auto"/>
              </w:divBdr>
            </w:div>
            <w:div w:id="1186402730">
              <w:marLeft w:val="0"/>
              <w:marRight w:val="0"/>
              <w:marTop w:val="0"/>
              <w:marBottom w:val="0"/>
              <w:divBdr>
                <w:top w:val="none" w:sz="0" w:space="0" w:color="auto"/>
                <w:left w:val="none" w:sz="0" w:space="0" w:color="auto"/>
                <w:bottom w:val="none" w:sz="0" w:space="0" w:color="auto"/>
                <w:right w:val="none" w:sz="0" w:space="0" w:color="auto"/>
              </w:divBdr>
            </w:div>
            <w:div w:id="1463964447">
              <w:marLeft w:val="0"/>
              <w:marRight w:val="0"/>
              <w:marTop w:val="0"/>
              <w:marBottom w:val="0"/>
              <w:divBdr>
                <w:top w:val="none" w:sz="0" w:space="0" w:color="auto"/>
                <w:left w:val="none" w:sz="0" w:space="0" w:color="auto"/>
                <w:bottom w:val="none" w:sz="0" w:space="0" w:color="auto"/>
                <w:right w:val="none" w:sz="0" w:space="0" w:color="auto"/>
              </w:divBdr>
            </w:div>
            <w:div w:id="1472865811">
              <w:marLeft w:val="0"/>
              <w:marRight w:val="0"/>
              <w:marTop w:val="0"/>
              <w:marBottom w:val="0"/>
              <w:divBdr>
                <w:top w:val="none" w:sz="0" w:space="0" w:color="auto"/>
                <w:left w:val="none" w:sz="0" w:space="0" w:color="auto"/>
                <w:bottom w:val="none" w:sz="0" w:space="0" w:color="auto"/>
                <w:right w:val="none" w:sz="0" w:space="0" w:color="auto"/>
              </w:divBdr>
            </w:div>
            <w:div w:id="1494178516">
              <w:marLeft w:val="0"/>
              <w:marRight w:val="0"/>
              <w:marTop w:val="0"/>
              <w:marBottom w:val="0"/>
              <w:divBdr>
                <w:top w:val="none" w:sz="0" w:space="0" w:color="auto"/>
                <w:left w:val="none" w:sz="0" w:space="0" w:color="auto"/>
                <w:bottom w:val="none" w:sz="0" w:space="0" w:color="auto"/>
                <w:right w:val="none" w:sz="0" w:space="0" w:color="auto"/>
              </w:divBdr>
            </w:div>
            <w:div w:id="1636912324">
              <w:marLeft w:val="0"/>
              <w:marRight w:val="0"/>
              <w:marTop w:val="0"/>
              <w:marBottom w:val="0"/>
              <w:divBdr>
                <w:top w:val="none" w:sz="0" w:space="0" w:color="auto"/>
                <w:left w:val="none" w:sz="0" w:space="0" w:color="auto"/>
                <w:bottom w:val="none" w:sz="0" w:space="0" w:color="auto"/>
                <w:right w:val="none" w:sz="0" w:space="0" w:color="auto"/>
              </w:divBdr>
            </w:div>
            <w:div w:id="1857842673">
              <w:marLeft w:val="0"/>
              <w:marRight w:val="0"/>
              <w:marTop w:val="0"/>
              <w:marBottom w:val="0"/>
              <w:divBdr>
                <w:top w:val="none" w:sz="0" w:space="0" w:color="auto"/>
                <w:left w:val="none" w:sz="0" w:space="0" w:color="auto"/>
                <w:bottom w:val="none" w:sz="0" w:space="0" w:color="auto"/>
                <w:right w:val="none" w:sz="0" w:space="0" w:color="auto"/>
              </w:divBdr>
            </w:div>
            <w:div w:id="1892383325">
              <w:marLeft w:val="0"/>
              <w:marRight w:val="0"/>
              <w:marTop w:val="0"/>
              <w:marBottom w:val="0"/>
              <w:divBdr>
                <w:top w:val="none" w:sz="0" w:space="0" w:color="auto"/>
                <w:left w:val="none" w:sz="0" w:space="0" w:color="auto"/>
                <w:bottom w:val="none" w:sz="0" w:space="0" w:color="auto"/>
                <w:right w:val="none" w:sz="0" w:space="0" w:color="auto"/>
              </w:divBdr>
            </w:div>
          </w:divsChild>
        </w:div>
        <w:div w:id="1260675632">
          <w:marLeft w:val="0"/>
          <w:marRight w:val="0"/>
          <w:marTop w:val="0"/>
          <w:marBottom w:val="0"/>
          <w:divBdr>
            <w:top w:val="none" w:sz="0" w:space="0" w:color="auto"/>
            <w:left w:val="none" w:sz="0" w:space="0" w:color="auto"/>
            <w:bottom w:val="none" w:sz="0" w:space="0" w:color="auto"/>
            <w:right w:val="none" w:sz="0" w:space="0" w:color="auto"/>
          </w:divBdr>
        </w:div>
        <w:div w:id="1269585266">
          <w:marLeft w:val="0"/>
          <w:marRight w:val="0"/>
          <w:marTop w:val="0"/>
          <w:marBottom w:val="0"/>
          <w:divBdr>
            <w:top w:val="none" w:sz="0" w:space="0" w:color="auto"/>
            <w:left w:val="none" w:sz="0" w:space="0" w:color="auto"/>
            <w:bottom w:val="none" w:sz="0" w:space="0" w:color="auto"/>
            <w:right w:val="none" w:sz="0" w:space="0" w:color="auto"/>
          </w:divBdr>
        </w:div>
        <w:div w:id="1276793325">
          <w:marLeft w:val="0"/>
          <w:marRight w:val="0"/>
          <w:marTop w:val="0"/>
          <w:marBottom w:val="0"/>
          <w:divBdr>
            <w:top w:val="none" w:sz="0" w:space="0" w:color="auto"/>
            <w:left w:val="none" w:sz="0" w:space="0" w:color="auto"/>
            <w:bottom w:val="none" w:sz="0" w:space="0" w:color="auto"/>
            <w:right w:val="none" w:sz="0" w:space="0" w:color="auto"/>
          </w:divBdr>
        </w:div>
        <w:div w:id="1291744310">
          <w:marLeft w:val="0"/>
          <w:marRight w:val="0"/>
          <w:marTop w:val="0"/>
          <w:marBottom w:val="0"/>
          <w:divBdr>
            <w:top w:val="none" w:sz="0" w:space="0" w:color="auto"/>
            <w:left w:val="none" w:sz="0" w:space="0" w:color="auto"/>
            <w:bottom w:val="none" w:sz="0" w:space="0" w:color="auto"/>
            <w:right w:val="none" w:sz="0" w:space="0" w:color="auto"/>
          </w:divBdr>
        </w:div>
        <w:div w:id="1296788721">
          <w:marLeft w:val="0"/>
          <w:marRight w:val="0"/>
          <w:marTop w:val="0"/>
          <w:marBottom w:val="0"/>
          <w:divBdr>
            <w:top w:val="none" w:sz="0" w:space="0" w:color="auto"/>
            <w:left w:val="none" w:sz="0" w:space="0" w:color="auto"/>
            <w:bottom w:val="none" w:sz="0" w:space="0" w:color="auto"/>
            <w:right w:val="none" w:sz="0" w:space="0" w:color="auto"/>
          </w:divBdr>
        </w:div>
        <w:div w:id="1307050682">
          <w:marLeft w:val="0"/>
          <w:marRight w:val="0"/>
          <w:marTop w:val="0"/>
          <w:marBottom w:val="0"/>
          <w:divBdr>
            <w:top w:val="none" w:sz="0" w:space="0" w:color="auto"/>
            <w:left w:val="none" w:sz="0" w:space="0" w:color="auto"/>
            <w:bottom w:val="none" w:sz="0" w:space="0" w:color="auto"/>
            <w:right w:val="none" w:sz="0" w:space="0" w:color="auto"/>
          </w:divBdr>
        </w:div>
        <w:div w:id="1345353039">
          <w:marLeft w:val="0"/>
          <w:marRight w:val="0"/>
          <w:marTop w:val="0"/>
          <w:marBottom w:val="0"/>
          <w:divBdr>
            <w:top w:val="none" w:sz="0" w:space="0" w:color="auto"/>
            <w:left w:val="none" w:sz="0" w:space="0" w:color="auto"/>
            <w:bottom w:val="none" w:sz="0" w:space="0" w:color="auto"/>
            <w:right w:val="none" w:sz="0" w:space="0" w:color="auto"/>
          </w:divBdr>
        </w:div>
        <w:div w:id="1434783953">
          <w:marLeft w:val="0"/>
          <w:marRight w:val="0"/>
          <w:marTop w:val="0"/>
          <w:marBottom w:val="0"/>
          <w:divBdr>
            <w:top w:val="none" w:sz="0" w:space="0" w:color="auto"/>
            <w:left w:val="none" w:sz="0" w:space="0" w:color="auto"/>
            <w:bottom w:val="none" w:sz="0" w:space="0" w:color="auto"/>
            <w:right w:val="none" w:sz="0" w:space="0" w:color="auto"/>
          </w:divBdr>
        </w:div>
        <w:div w:id="1543860044">
          <w:marLeft w:val="0"/>
          <w:marRight w:val="0"/>
          <w:marTop w:val="0"/>
          <w:marBottom w:val="0"/>
          <w:divBdr>
            <w:top w:val="none" w:sz="0" w:space="0" w:color="auto"/>
            <w:left w:val="none" w:sz="0" w:space="0" w:color="auto"/>
            <w:bottom w:val="none" w:sz="0" w:space="0" w:color="auto"/>
            <w:right w:val="none" w:sz="0" w:space="0" w:color="auto"/>
          </w:divBdr>
        </w:div>
        <w:div w:id="1594389565">
          <w:marLeft w:val="0"/>
          <w:marRight w:val="0"/>
          <w:marTop w:val="0"/>
          <w:marBottom w:val="0"/>
          <w:divBdr>
            <w:top w:val="none" w:sz="0" w:space="0" w:color="auto"/>
            <w:left w:val="none" w:sz="0" w:space="0" w:color="auto"/>
            <w:bottom w:val="none" w:sz="0" w:space="0" w:color="auto"/>
            <w:right w:val="none" w:sz="0" w:space="0" w:color="auto"/>
          </w:divBdr>
        </w:div>
        <w:div w:id="1662082487">
          <w:marLeft w:val="0"/>
          <w:marRight w:val="0"/>
          <w:marTop w:val="0"/>
          <w:marBottom w:val="0"/>
          <w:divBdr>
            <w:top w:val="none" w:sz="0" w:space="0" w:color="auto"/>
            <w:left w:val="none" w:sz="0" w:space="0" w:color="auto"/>
            <w:bottom w:val="none" w:sz="0" w:space="0" w:color="auto"/>
            <w:right w:val="none" w:sz="0" w:space="0" w:color="auto"/>
          </w:divBdr>
        </w:div>
        <w:div w:id="1783115029">
          <w:marLeft w:val="0"/>
          <w:marRight w:val="0"/>
          <w:marTop w:val="0"/>
          <w:marBottom w:val="0"/>
          <w:divBdr>
            <w:top w:val="none" w:sz="0" w:space="0" w:color="auto"/>
            <w:left w:val="none" w:sz="0" w:space="0" w:color="auto"/>
            <w:bottom w:val="none" w:sz="0" w:space="0" w:color="auto"/>
            <w:right w:val="none" w:sz="0" w:space="0" w:color="auto"/>
          </w:divBdr>
        </w:div>
        <w:div w:id="1852521661">
          <w:marLeft w:val="0"/>
          <w:marRight w:val="0"/>
          <w:marTop w:val="0"/>
          <w:marBottom w:val="0"/>
          <w:divBdr>
            <w:top w:val="none" w:sz="0" w:space="0" w:color="auto"/>
            <w:left w:val="none" w:sz="0" w:space="0" w:color="auto"/>
            <w:bottom w:val="none" w:sz="0" w:space="0" w:color="auto"/>
            <w:right w:val="none" w:sz="0" w:space="0" w:color="auto"/>
          </w:divBdr>
        </w:div>
        <w:div w:id="1856841374">
          <w:marLeft w:val="0"/>
          <w:marRight w:val="0"/>
          <w:marTop w:val="0"/>
          <w:marBottom w:val="0"/>
          <w:divBdr>
            <w:top w:val="none" w:sz="0" w:space="0" w:color="auto"/>
            <w:left w:val="none" w:sz="0" w:space="0" w:color="auto"/>
            <w:bottom w:val="none" w:sz="0" w:space="0" w:color="auto"/>
            <w:right w:val="none" w:sz="0" w:space="0" w:color="auto"/>
          </w:divBdr>
        </w:div>
        <w:div w:id="1867251954">
          <w:marLeft w:val="0"/>
          <w:marRight w:val="0"/>
          <w:marTop w:val="0"/>
          <w:marBottom w:val="0"/>
          <w:divBdr>
            <w:top w:val="none" w:sz="0" w:space="0" w:color="auto"/>
            <w:left w:val="none" w:sz="0" w:space="0" w:color="auto"/>
            <w:bottom w:val="none" w:sz="0" w:space="0" w:color="auto"/>
            <w:right w:val="none" w:sz="0" w:space="0" w:color="auto"/>
          </w:divBdr>
        </w:div>
        <w:div w:id="1874532804">
          <w:marLeft w:val="0"/>
          <w:marRight w:val="0"/>
          <w:marTop w:val="0"/>
          <w:marBottom w:val="0"/>
          <w:divBdr>
            <w:top w:val="none" w:sz="0" w:space="0" w:color="auto"/>
            <w:left w:val="none" w:sz="0" w:space="0" w:color="auto"/>
            <w:bottom w:val="none" w:sz="0" w:space="0" w:color="auto"/>
            <w:right w:val="none" w:sz="0" w:space="0" w:color="auto"/>
          </w:divBdr>
        </w:div>
        <w:div w:id="1914391721">
          <w:marLeft w:val="0"/>
          <w:marRight w:val="0"/>
          <w:marTop w:val="0"/>
          <w:marBottom w:val="0"/>
          <w:divBdr>
            <w:top w:val="none" w:sz="0" w:space="0" w:color="auto"/>
            <w:left w:val="none" w:sz="0" w:space="0" w:color="auto"/>
            <w:bottom w:val="none" w:sz="0" w:space="0" w:color="auto"/>
            <w:right w:val="none" w:sz="0" w:space="0" w:color="auto"/>
          </w:divBdr>
        </w:div>
        <w:div w:id="1941522956">
          <w:marLeft w:val="0"/>
          <w:marRight w:val="0"/>
          <w:marTop w:val="0"/>
          <w:marBottom w:val="0"/>
          <w:divBdr>
            <w:top w:val="none" w:sz="0" w:space="0" w:color="auto"/>
            <w:left w:val="none" w:sz="0" w:space="0" w:color="auto"/>
            <w:bottom w:val="none" w:sz="0" w:space="0" w:color="auto"/>
            <w:right w:val="none" w:sz="0" w:space="0" w:color="auto"/>
          </w:divBdr>
        </w:div>
        <w:div w:id="1946381539">
          <w:marLeft w:val="0"/>
          <w:marRight w:val="0"/>
          <w:marTop w:val="0"/>
          <w:marBottom w:val="0"/>
          <w:divBdr>
            <w:top w:val="none" w:sz="0" w:space="0" w:color="auto"/>
            <w:left w:val="none" w:sz="0" w:space="0" w:color="auto"/>
            <w:bottom w:val="none" w:sz="0" w:space="0" w:color="auto"/>
            <w:right w:val="none" w:sz="0" w:space="0" w:color="auto"/>
          </w:divBdr>
        </w:div>
        <w:div w:id="1984001634">
          <w:marLeft w:val="0"/>
          <w:marRight w:val="0"/>
          <w:marTop w:val="0"/>
          <w:marBottom w:val="0"/>
          <w:divBdr>
            <w:top w:val="none" w:sz="0" w:space="0" w:color="auto"/>
            <w:left w:val="none" w:sz="0" w:space="0" w:color="auto"/>
            <w:bottom w:val="none" w:sz="0" w:space="0" w:color="auto"/>
            <w:right w:val="none" w:sz="0" w:space="0" w:color="auto"/>
          </w:divBdr>
        </w:div>
        <w:div w:id="2013219262">
          <w:marLeft w:val="0"/>
          <w:marRight w:val="0"/>
          <w:marTop w:val="0"/>
          <w:marBottom w:val="0"/>
          <w:divBdr>
            <w:top w:val="none" w:sz="0" w:space="0" w:color="auto"/>
            <w:left w:val="none" w:sz="0" w:space="0" w:color="auto"/>
            <w:bottom w:val="none" w:sz="0" w:space="0" w:color="auto"/>
            <w:right w:val="none" w:sz="0" w:space="0" w:color="auto"/>
          </w:divBdr>
        </w:div>
        <w:div w:id="2016414150">
          <w:marLeft w:val="0"/>
          <w:marRight w:val="0"/>
          <w:marTop w:val="0"/>
          <w:marBottom w:val="0"/>
          <w:divBdr>
            <w:top w:val="none" w:sz="0" w:space="0" w:color="auto"/>
            <w:left w:val="none" w:sz="0" w:space="0" w:color="auto"/>
            <w:bottom w:val="none" w:sz="0" w:space="0" w:color="auto"/>
            <w:right w:val="none" w:sz="0" w:space="0" w:color="auto"/>
          </w:divBdr>
        </w:div>
        <w:div w:id="2089839997">
          <w:marLeft w:val="0"/>
          <w:marRight w:val="0"/>
          <w:marTop w:val="0"/>
          <w:marBottom w:val="0"/>
          <w:divBdr>
            <w:top w:val="none" w:sz="0" w:space="0" w:color="auto"/>
            <w:left w:val="none" w:sz="0" w:space="0" w:color="auto"/>
            <w:bottom w:val="none" w:sz="0" w:space="0" w:color="auto"/>
            <w:right w:val="none" w:sz="0" w:space="0" w:color="auto"/>
          </w:divBdr>
        </w:div>
        <w:div w:id="2100834830">
          <w:marLeft w:val="0"/>
          <w:marRight w:val="0"/>
          <w:marTop w:val="0"/>
          <w:marBottom w:val="0"/>
          <w:divBdr>
            <w:top w:val="none" w:sz="0" w:space="0" w:color="auto"/>
            <w:left w:val="none" w:sz="0" w:space="0" w:color="auto"/>
            <w:bottom w:val="none" w:sz="0" w:space="0" w:color="auto"/>
            <w:right w:val="none" w:sz="0" w:space="0" w:color="auto"/>
          </w:divBdr>
        </w:div>
        <w:div w:id="2102406392">
          <w:marLeft w:val="0"/>
          <w:marRight w:val="0"/>
          <w:marTop w:val="0"/>
          <w:marBottom w:val="0"/>
          <w:divBdr>
            <w:top w:val="none" w:sz="0" w:space="0" w:color="auto"/>
            <w:left w:val="none" w:sz="0" w:space="0" w:color="auto"/>
            <w:bottom w:val="none" w:sz="0" w:space="0" w:color="auto"/>
            <w:right w:val="none" w:sz="0" w:space="0" w:color="auto"/>
          </w:divBdr>
        </w:div>
      </w:divsChild>
    </w:div>
    <w:div w:id="755438759">
      <w:bodyDiv w:val="1"/>
      <w:marLeft w:val="0"/>
      <w:marRight w:val="0"/>
      <w:marTop w:val="0"/>
      <w:marBottom w:val="0"/>
      <w:divBdr>
        <w:top w:val="none" w:sz="0" w:space="0" w:color="auto"/>
        <w:left w:val="none" w:sz="0" w:space="0" w:color="auto"/>
        <w:bottom w:val="none" w:sz="0" w:space="0" w:color="auto"/>
        <w:right w:val="none" w:sz="0" w:space="0" w:color="auto"/>
      </w:divBdr>
      <w:divsChild>
        <w:div w:id="29503707">
          <w:marLeft w:val="0"/>
          <w:marRight w:val="0"/>
          <w:marTop w:val="0"/>
          <w:marBottom w:val="0"/>
          <w:divBdr>
            <w:top w:val="none" w:sz="0" w:space="0" w:color="auto"/>
            <w:left w:val="none" w:sz="0" w:space="0" w:color="auto"/>
            <w:bottom w:val="none" w:sz="0" w:space="0" w:color="auto"/>
            <w:right w:val="none" w:sz="0" w:space="0" w:color="auto"/>
          </w:divBdr>
        </w:div>
        <w:div w:id="32387605">
          <w:marLeft w:val="0"/>
          <w:marRight w:val="0"/>
          <w:marTop w:val="0"/>
          <w:marBottom w:val="0"/>
          <w:divBdr>
            <w:top w:val="none" w:sz="0" w:space="0" w:color="auto"/>
            <w:left w:val="none" w:sz="0" w:space="0" w:color="auto"/>
            <w:bottom w:val="none" w:sz="0" w:space="0" w:color="auto"/>
            <w:right w:val="none" w:sz="0" w:space="0" w:color="auto"/>
          </w:divBdr>
        </w:div>
        <w:div w:id="82991687">
          <w:marLeft w:val="0"/>
          <w:marRight w:val="0"/>
          <w:marTop w:val="0"/>
          <w:marBottom w:val="0"/>
          <w:divBdr>
            <w:top w:val="none" w:sz="0" w:space="0" w:color="auto"/>
            <w:left w:val="none" w:sz="0" w:space="0" w:color="auto"/>
            <w:bottom w:val="none" w:sz="0" w:space="0" w:color="auto"/>
            <w:right w:val="none" w:sz="0" w:space="0" w:color="auto"/>
          </w:divBdr>
        </w:div>
        <w:div w:id="86312196">
          <w:marLeft w:val="0"/>
          <w:marRight w:val="0"/>
          <w:marTop w:val="0"/>
          <w:marBottom w:val="0"/>
          <w:divBdr>
            <w:top w:val="none" w:sz="0" w:space="0" w:color="auto"/>
            <w:left w:val="none" w:sz="0" w:space="0" w:color="auto"/>
            <w:bottom w:val="none" w:sz="0" w:space="0" w:color="auto"/>
            <w:right w:val="none" w:sz="0" w:space="0" w:color="auto"/>
          </w:divBdr>
        </w:div>
        <w:div w:id="171453899">
          <w:marLeft w:val="0"/>
          <w:marRight w:val="0"/>
          <w:marTop w:val="0"/>
          <w:marBottom w:val="0"/>
          <w:divBdr>
            <w:top w:val="none" w:sz="0" w:space="0" w:color="auto"/>
            <w:left w:val="none" w:sz="0" w:space="0" w:color="auto"/>
            <w:bottom w:val="none" w:sz="0" w:space="0" w:color="auto"/>
            <w:right w:val="none" w:sz="0" w:space="0" w:color="auto"/>
          </w:divBdr>
        </w:div>
        <w:div w:id="265625753">
          <w:marLeft w:val="0"/>
          <w:marRight w:val="0"/>
          <w:marTop w:val="0"/>
          <w:marBottom w:val="0"/>
          <w:divBdr>
            <w:top w:val="none" w:sz="0" w:space="0" w:color="auto"/>
            <w:left w:val="none" w:sz="0" w:space="0" w:color="auto"/>
            <w:bottom w:val="none" w:sz="0" w:space="0" w:color="auto"/>
            <w:right w:val="none" w:sz="0" w:space="0" w:color="auto"/>
          </w:divBdr>
        </w:div>
        <w:div w:id="289745334">
          <w:marLeft w:val="0"/>
          <w:marRight w:val="0"/>
          <w:marTop w:val="0"/>
          <w:marBottom w:val="0"/>
          <w:divBdr>
            <w:top w:val="none" w:sz="0" w:space="0" w:color="auto"/>
            <w:left w:val="none" w:sz="0" w:space="0" w:color="auto"/>
            <w:bottom w:val="none" w:sz="0" w:space="0" w:color="auto"/>
            <w:right w:val="none" w:sz="0" w:space="0" w:color="auto"/>
          </w:divBdr>
        </w:div>
        <w:div w:id="437454065">
          <w:marLeft w:val="0"/>
          <w:marRight w:val="0"/>
          <w:marTop w:val="0"/>
          <w:marBottom w:val="0"/>
          <w:divBdr>
            <w:top w:val="none" w:sz="0" w:space="0" w:color="auto"/>
            <w:left w:val="none" w:sz="0" w:space="0" w:color="auto"/>
            <w:bottom w:val="none" w:sz="0" w:space="0" w:color="auto"/>
            <w:right w:val="none" w:sz="0" w:space="0" w:color="auto"/>
          </w:divBdr>
          <w:divsChild>
            <w:div w:id="472648642">
              <w:marLeft w:val="0"/>
              <w:marRight w:val="0"/>
              <w:marTop w:val="0"/>
              <w:marBottom w:val="0"/>
              <w:divBdr>
                <w:top w:val="none" w:sz="0" w:space="0" w:color="auto"/>
                <w:left w:val="none" w:sz="0" w:space="0" w:color="auto"/>
                <w:bottom w:val="none" w:sz="0" w:space="0" w:color="auto"/>
                <w:right w:val="none" w:sz="0" w:space="0" w:color="auto"/>
              </w:divBdr>
            </w:div>
            <w:div w:id="756513588">
              <w:marLeft w:val="0"/>
              <w:marRight w:val="0"/>
              <w:marTop w:val="0"/>
              <w:marBottom w:val="0"/>
              <w:divBdr>
                <w:top w:val="none" w:sz="0" w:space="0" w:color="auto"/>
                <w:left w:val="none" w:sz="0" w:space="0" w:color="auto"/>
                <w:bottom w:val="none" w:sz="0" w:space="0" w:color="auto"/>
                <w:right w:val="none" w:sz="0" w:space="0" w:color="auto"/>
              </w:divBdr>
            </w:div>
            <w:div w:id="1215310056">
              <w:marLeft w:val="0"/>
              <w:marRight w:val="0"/>
              <w:marTop w:val="0"/>
              <w:marBottom w:val="0"/>
              <w:divBdr>
                <w:top w:val="none" w:sz="0" w:space="0" w:color="auto"/>
                <w:left w:val="none" w:sz="0" w:space="0" w:color="auto"/>
                <w:bottom w:val="none" w:sz="0" w:space="0" w:color="auto"/>
                <w:right w:val="none" w:sz="0" w:space="0" w:color="auto"/>
              </w:divBdr>
            </w:div>
            <w:div w:id="1613900583">
              <w:marLeft w:val="0"/>
              <w:marRight w:val="0"/>
              <w:marTop w:val="0"/>
              <w:marBottom w:val="0"/>
              <w:divBdr>
                <w:top w:val="none" w:sz="0" w:space="0" w:color="auto"/>
                <w:left w:val="none" w:sz="0" w:space="0" w:color="auto"/>
                <w:bottom w:val="none" w:sz="0" w:space="0" w:color="auto"/>
                <w:right w:val="none" w:sz="0" w:space="0" w:color="auto"/>
              </w:divBdr>
            </w:div>
          </w:divsChild>
        </w:div>
        <w:div w:id="497228621">
          <w:marLeft w:val="0"/>
          <w:marRight w:val="0"/>
          <w:marTop w:val="0"/>
          <w:marBottom w:val="0"/>
          <w:divBdr>
            <w:top w:val="none" w:sz="0" w:space="0" w:color="auto"/>
            <w:left w:val="none" w:sz="0" w:space="0" w:color="auto"/>
            <w:bottom w:val="none" w:sz="0" w:space="0" w:color="auto"/>
            <w:right w:val="none" w:sz="0" w:space="0" w:color="auto"/>
          </w:divBdr>
        </w:div>
        <w:div w:id="663168447">
          <w:marLeft w:val="0"/>
          <w:marRight w:val="0"/>
          <w:marTop w:val="0"/>
          <w:marBottom w:val="0"/>
          <w:divBdr>
            <w:top w:val="none" w:sz="0" w:space="0" w:color="auto"/>
            <w:left w:val="none" w:sz="0" w:space="0" w:color="auto"/>
            <w:bottom w:val="none" w:sz="0" w:space="0" w:color="auto"/>
            <w:right w:val="none" w:sz="0" w:space="0" w:color="auto"/>
          </w:divBdr>
        </w:div>
        <w:div w:id="674577026">
          <w:marLeft w:val="0"/>
          <w:marRight w:val="0"/>
          <w:marTop w:val="0"/>
          <w:marBottom w:val="0"/>
          <w:divBdr>
            <w:top w:val="none" w:sz="0" w:space="0" w:color="auto"/>
            <w:left w:val="none" w:sz="0" w:space="0" w:color="auto"/>
            <w:bottom w:val="none" w:sz="0" w:space="0" w:color="auto"/>
            <w:right w:val="none" w:sz="0" w:space="0" w:color="auto"/>
          </w:divBdr>
        </w:div>
        <w:div w:id="698625045">
          <w:marLeft w:val="0"/>
          <w:marRight w:val="0"/>
          <w:marTop w:val="0"/>
          <w:marBottom w:val="0"/>
          <w:divBdr>
            <w:top w:val="none" w:sz="0" w:space="0" w:color="auto"/>
            <w:left w:val="none" w:sz="0" w:space="0" w:color="auto"/>
            <w:bottom w:val="none" w:sz="0" w:space="0" w:color="auto"/>
            <w:right w:val="none" w:sz="0" w:space="0" w:color="auto"/>
          </w:divBdr>
        </w:div>
        <w:div w:id="848520698">
          <w:marLeft w:val="0"/>
          <w:marRight w:val="0"/>
          <w:marTop w:val="0"/>
          <w:marBottom w:val="0"/>
          <w:divBdr>
            <w:top w:val="none" w:sz="0" w:space="0" w:color="auto"/>
            <w:left w:val="none" w:sz="0" w:space="0" w:color="auto"/>
            <w:bottom w:val="none" w:sz="0" w:space="0" w:color="auto"/>
            <w:right w:val="none" w:sz="0" w:space="0" w:color="auto"/>
          </w:divBdr>
        </w:div>
        <w:div w:id="869489355">
          <w:marLeft w:val="0"/>
          <w:marRight w:val="0"/>
          <w:marTop w:val="0"/>
          <w:marBottom w:val="0"/>
          <w:divBdr>
            <w:top w:val="none" w:sz="0" w:space="0" w:color="auto"/>
            <w:left w:val="none" w:sz="0" w:space="0" w:color="auto"/>
            <w:bottom w:val="none" w:sz="0" w:space="0" w:color="auto"/>
            <w:right w:val="none" w:sz="0" w:space="0" w:color="auto"/>
          </w:divBdr>
        </w:div>
        <w:div w:id="887453794">
          <w:marLeft w:val="0"/>
          <w:marRight w:val="0"/>
          <w:marTop w:val="0"/>
          <w:marBottom w:val="0"/>
          <w:divBdr>
            <w:top w:val="none" w:sz="0" w:space="0" w:color="auto"/>
            <w:left w:val="none" w:sz="0" w:space="0" w:color="auto"/>
            <w:bottom w:val="none" w:sz="0" w:space="0" w:color="auto"/>
            <w:right w:val="none" w:sz="0" w:space="0" w:color="auto"/>
          </w:divBdr>
        </w:div>
        <w:div w:id="933629444">
          <w:marLeft w:val="0"/>
          <w:marRight w:val="0"/>
          <w:marTop w:val="0"/>
          <w:marBottom w:val="0"/>
          <w:divBdr>
            <w:top w:val="none" w:sz="0" w:space="0" w:color="auto"/>
            <w:left w:val="none" w:sz="0" w:space="0" w:color="auto"/>
            <w:bottom w:val="none" w:sz="0" w:space="0" w:color="auto"/>
            <w:right w:val="none" w:sz="0" w:space="0" w:color="auto"/>
          </w:divBdr>
        </w:div>
        <w:div w:id="986662005">
          <w:marLeft w:val="0"/>
          <w:marRight w:val="0"/>
          <w:marTop w:val="0"/>
          <w:marBottom w:val="0"/>
          <w:divBdr>
            <w:top w:val="none" w:sz="0" w:space="0" w:color="auto"/>
            <w:left w:val="none" w:sz="0" w:space="0" w:color="auto"/>
            <w:bottom w:val="none" w:sz="0" w:space="0" w:color="auto"/>
            <w:right w:val="none" w:sz="0" w:space="0" w:color="auto"/>
          </w:divBdr>
        </w:div>
        <w:div w:id="989602751">
          <w:marLeft w:val="0"/>
          <w:marRight w:val="0"/>
          <w:marTop w:val="0"/>
          <w:marBottom w:val="0"/>
          <w:divBdr>
            <w:top w:val="none" w:sz="0" w:space="0" w:color="auto"/>
            <w:left w:val="none" w:sz="0" w:space="0" w:color="auto"/>
            <w:bottom w:val="none" w:sz="0" w:space="0" w:color="auto"/>
            <w:right w:val="none" w:sz="0" w:space="0" w:color="auto"/>
          </w:divBdr>
        </w:div>
        <w:div w:id="1112751613">
          <w:marLeft w:val="0"/>
          <w:marRight w:val="0"/>
          <w:marTop w:val="0"/>
          <w:marBottom w:val="0"/>
          <w:divBdr>
            <w:top w:val="none" w:sz="0" w:space="0" w:color="auto"/>
            <w:left w:val="none" w:sz="0" w:space="0" w:color="auto"/>
            <w:bottom w:val="none" w:sz="0" w:space="0" w:color="auto"/>
            <w:right w:val="none" w:sz="0" w:space="0" w:color="auto"/>
          </w:divBdr>
        </w:div>
        <w:div w:id="1128671301">
          <w:marLeft w:val="0"/>
          <w:marRight w:val="0"/>
          <w:marTop w:val="0"/>
          <w:marBottom w:val="0"/>
          <w:divBdr>
            <w:top w:val="none" w:sz="0" w:space="0" w:color="auto"/>
            <w:left w:val="none" w:sz="0" w:space="0" w:color="auto"/>
            <w:bottom w:val="none" w:sz="0" w:space="0" w:color="auto"/>
            <w:right w:val="none" w:sz="0" w:space="0" w:color="auto"/>
          </w:divBdr>
        </w:div>
        <w:div w:id="1185362801">
          <w:marLeft w:val="0"/>
          <w:marRight w:val="0"/>
          <w:marTop w:val="0"/>
          <w:marBottom w:val="0"/>
          <w:divBdr>
            <w:top w:val="none" w:sz="0" w:space="0" w:color="auto"/>
            <w:left w:val="none" w:sz="0" w:space="0" w:color="auto"/>
            <w:bottom w:val="none" w:sz="0" w:space="0" w:color="auto"/>
            <w:right w:val="none" w:sz="0" w:space="0" w:color="auto"/>
          </w:divBdr>
          <w:divsChild>
            <w:div w:id="35743570">
              <w:marLeft w:val="0"/>
              <w:marRight w:val="0"/>
              <w:marTop w:val="0"/>
              <w:marBottom w:val="0"/>
              <w:divBdr>
                <w:top w:val="none" w:sz="0" w:space="0" w:color="auto"/>
                <w:left w:val="none" w:sz="0" w:space="0" w:color="auto"/>
                <w:bottom w:val="none" w:sz="0" w:space="0" w:color="auto"/>
                <w:right w:val="none" w:sz="0" w:space="0" w:color="auto"/>
              </w:divBdr>
            </w:div>
            <w:div w:id="65228957">
              <w:marLeft w:val="0"/>
              <w:marRight w:val="0"/>
              <w:marTop w:val="0"/>
              <w:marBottom w:val="0"/>
              <w:divBdr>
                <w:top w:val="none" w:sz="0" w:space="0" w:color="auto"/>
                <w:left w:val="none" w:sz="0" w:space="0" w:color="auto"/>
                <w:bottom w:val="none" w:sz="0" w:space="0" w:color="auto"/>
                <w:right w:val="none" w:sz="0" w:space="0" w:color="auto"/>
              </w:divBdr>
            </w:div>
            <w:div w:id="82185391">
              <w:marLeft w:val="0"/>
              <w:marRight w:val="0"/>
              <w:marTop w:val="0"/>
              <w:marBottom w:val="0"/>
              <w:divBdr>
                <w:top w:val="none" w:sz="0" w:space="0" w:color="auto"/>
                <w:left w:val="none" w:sz="0" w:space="0" w:color="auto"/>
                <w:bottom w:val="none" w:sz="0" w:space="0" w:color="auto"/>
                <w:right w:val="none" w:sz="0" w:space="0" w:color="auto"/>
              </w:divBdr>
            </w:div>
            <w:div w:id="178741195">
              <w:marLeft w:val="0"/>
              <w:marRight w:val="0"/>
              <w:marTop w:val="0"/>
              <w:marBottom w:val="0"/>
              <w:divBdr>
                <w:top w:val="none" w:sz="0" w:space="0" w:color="auto"/>
                <w:left w:val="none" w:sz="0" w:space="0" w:color="auto"/>
                <w:bottom w:val="none" w:sz="0" w:space="0" w:color="auto"/>
                <w:right w:val="none" w:sz="0" w:space="0" w:color="auto"/>
              </w:divBdr>
            </w:div>
            <w:div w:id="201134430">
              <w:marLeft w:val="0"/>
              <w:marRight w:val="0"/>
              <w:marTop w:val="0"/>
              <w:marBottom w:val="0"/>
              <w:divBdr>
                <w:top w:val="none" w:sz="0" w:space="0" w:color="auto"/>
                <w:left w:val="none" w:sz="0" w:space="0" w:color="auto"/>
                <w:bottom w:val="none" w:sz="0" w:space="0" w:color="auto"/>
                <w:right w:val="none" w:sz="0" w:space="0" w:color="auto"/>
              </w:divBdr>
            </w:div>
            <w:div w:id="328412328">
              <w:marLeft w:val="0"/>
              <w:marRight w:val="0"/>
              <w:marTop w:val="0"/>
              <w:marBottom w:val="0"/>
              <w:divBdr>
                <w:top w:val="none" w:sz="0" w:space="0" w:color="auto"/>
                <w:left w:val="none" w:sz="0" w:space="0" w:color="auto"/>
                <w:bottom w:val="none" w:sz="0" w:space="0" w:color="auto"/>
                <w:right w:val="none" w:sz="0" w:space="0" w:color="auto"/>
              </w:divBdr>
            </w:div>
            <w:div w:id="351415516">
              <w:marLeft w:val="0"/>
              <w:marRight w:val="0"/>
              <w:marTop w:val="0"/>
              <w:marBottom w:val="0"/>
              <w:divBdr>
                <w:top w:val="none" w:sz="0" w:space="0" w:color="auto"/>
                <w:left w:val="none" w:sz="0" w:space="0" w:color="auto"/>
                <w:bottom w:val="none" w:sz="0" w:space="0" w:color="auto"/>
                <w:right w:val="none" w:sz="0" w:space="0" w:color="auto"/>
              </w:divBdr>
            </w:div>
            <w:div w:id="365107897">
              <w:marLeft w:val="0"/>
              <w:marRight w:val="0"/>
              <w:marTop w:val="0"/>
              <w:marBottom w:val="0"/>
              <w:divBdr>
                <w:top w:val="none" w:sz="0" w:space="0" w:color="auto"/>
                <w:left w:val="none" w:sz="0" w:space="0" w:color="auto"/>
                <w:bottom w:val="none" w:sz="0" w:space="0" w:color="auto"/>
                <w:right w:val="none" w:sz="0" w:space="0" w:color="auto"/>
              </w:divBdr>
            </w:div>
            <w:div w:id="413087895">
              <w:marLeft w:val="0"/>
              <w:marRight w:val="0"/>
              <w:marTop w:val="0"/>
              <w:marBottom w:val="0"/>
              <w:divBdr>
                <w:top w:val="none" w:sz="0" w:space="0" w:color="auto"/>
                <w:left w:val="none" w:sz="0" w:space="0" w:color="auto"/>
                <w:bottom w:val="none" w:sz="0" w:space="0" w:color="auto"/>
                <w:right w:val="none" w:sz="0" w:space="0" w:color="auto"/>
              </w:divBdr>
            </w:div>
            <w:div w:id="566965246">
              <w:marLeft w:val="0"/>
              <w:marRight w:val="0"/>
              <w:marTop w:val="0"/>
              <w:marBottom w:val="0"/>
              <w:divBdr>
                <w:top w:val="none" w:sz="0" w:space="0" w:color="auto"/>
                <w:left w:val="none" w:sz="0" w:space="0" w:color="auto"/>
                <w:bottom w:val="none" w:sz="0" w:space="0" w:color="auto"/>
                <w:right w:val="none" w:sz="0" w:space="0" w:color="auto"/>
              </w:divBdr>
            </w:div>
            <w:div w:id="608317243">
              <w:marLeft w:val="0"/>
              <w:marRight w:val="0"/>
              <w:marTop w:val="0"/>
              <w:marBottom w:val="0"/>
              <w:divBdr>
                <w:top w:val="none" w:sz="0" w:space="0" w:color="auto"/>
                <w:left w:val="none" w:sz="0" w:space="0" w:color="auto"/>
                <w:bottom w:val="none" w:sz="0" w:space="0" w:color="auto"/>
                <w:right w:val="none" w:sz="0" w:space="0" w:color="auto"/>
              </w:divBdr>
            </w:div>
            <w:div w:id="714741645">
              <w:marLeft w:val="0"/>
              <w:marRight w:val="0"/>
              <w:marTop w:val="0"/>
              <w:marBottom w:val="0"/>
              <w:divBdr>
                <w:top w:val="none" w:sz="0" w:space="0" w:color="auto"/>
                <w:left w:val="none" w:sz="0" w:space="0" w:color="auto"/>
                <w:bottom w:val="none" w:sz="0" w:space="0" w:color="auto"/>
                <w:right w:val="none" w:sz="0" w:space="0" w:color="auto"/>
              </w:divBdr>
            </w:div>
            <w:div w:id="881599173">
              <w:marLeft w:val="0"/>
              <w:marRight w:val="0"/>
              <w:marTop w:val="0"/>
              <w:marBottom w:val="0"/>
              <w:divBdr>
                <w:top w:val="none" w:sz="0" w:space="0" w:color="auto"/>
                <w:left w:val="none" w:sz="0" w:space="0" w:color="auto"/>
                <w:bottom w:val="none" w:sz="0" w:space="0" w:color="auto"/>
                <w:right w:val="none" w:sz="0" w:space="0" w:color="auto"/>
              </w:divBdr>
            </w:div>
            <w:div w:id="897011025">
              <w:marLeft w:val="0"/>
              <w:marRight w:val="0"/>
              <w:marTop w:val="0"/>
              <w:marBottom w:val="0"/>
              <w:divBdr>
                <w:top w:val="none" w:sz="0" w:space="0" w:color="auto"/>
                <w:left w:val="none" w:sz="0" w:space="0" w:color="auto"/>
                <w:bottom w:val="none" w:sz="0" w:space="0" w:color="auto"/>
                <w:right w:val="none" w:sz="0" w:space="0" w:color="auto"/>
              </w:divBdr>
            </w:div>
            <w:div w:id="1102068638">
              <w:marLeft w:val="0"/>
              <w:marRight w:val="0"/>
              <w:marTop w:val="0"/>
              <w:marBottom w:val="0"/>
              <w:divBdr>
                <w:top w:val="none" w:sz="0" w:space="0" w:color="auto"/>
                <w:left w:val="none" w:sz="0" w:space="0" w:color="auto"/>
                <w:bottom w:val="none" w:sz="0" w:space="0" w:color="auto"/>
                <w:right w:val="none" w:sz="0" w:space="0" w:color="auto"/>
              </w:divBdr>
            </w:div>
            <w:div w:id="1141582798">
              <w:marLeft w:val="0"/>
              <w:marRight w:val="0"/>
              <w:marTop w:val="0"/>
              <w:marBottom w:val="0"/>
              <w:divBdr>
                <w:top w:val="none" w:sz="0" w:space="0" w:color="auto"/>
                <w:left w:val="none" w:sz="0" w:space="0" w:color="auto"/>
                <w:bottom w:val="none" w:sz="0" w:space="0" w:color="auto"/>
                <w:right w:val="none" w:sz="0" w:space="0" w:color="auto"/>
              </w:divBdr>
            </w:div>
            <w:div w:id="1211071897">
              <w:marLeft w:val="0"/>
              <w:marRight w:val="0"/>
              <w:marTop w:val="0"/>
              <w:marBottom w:val="0"/>
              <w:divBdr>
                <w:top w:val="none" w:sz="0" w:space="0" w:color="auto"/>
                <w:left w:val="none" w:sz="0" w:space="0" w:color="auto"/>
                <w:bottom w:val="none" w:sz="0" w:space="0" w:color="auto"/>
                <w:right w:val="none" w:sz="0" w:space="0" w:color="auto"/>
              </w:divBdr>
            </w:div>
            <w:div w:id="1215506906">
              <w:marLeft w:val="0"/>
              <w:marRight w:val="0"/>
              <w:marTop w:val="0"/>
              <w:marBottom w:val="0"/>
              <w:divBdr>
                <w:top w:val="none" w:sz="0" w:space="0" w:color="auto"/>
                <w:left w:val="none" w:sz="0" w:space="0" w:color="auto"/>
                <w:bottom w:val="none" w:sz="0" w:space="0" w:color="auto"/>
                <w:right w:val="none" w:sz="0" w:space="0" w:color="auto"/>
              </w:divBdr>
            </w:div>
            <w:div w:id="1234199828">
              <w:marLeft w:val="0"/>
              <w:marRight w:val="0"/>
              <w:marTop w:val="0"/>
              <w:marBottom w:val="0"/>
              <w:divBdr>
                <w:top w:val="none" w:sz="0" w:space="0" w:color="auto"/>
                <w:left w:val="none" w:sz="0" w:space="0" w:color="auto"/>
                <w:bottom w:val="none" w:sz="0" w:space="0" w:color="auto"/>
                <w:right w:val="none" w:sz="0" w:space="0" w:color="auto"/>
              </w:divBdr>
            </w:div>
            <w:div w:id="1957902619">
              <w:marLeft w:val="0"/>
              <w:marRight w:val="0"/>
              <w:marTop w:val="0"/>
              <w:marBottom w:val="0"/>
              <w:divBdr>
                <w:top w:val="none" w:sz="0" w:space="0" w:color="auto"/>
                <w:left w:val="none" w:sz="0" w:space="0" w:color="auto"/>
                <w:bottom w:val="none" w:sz="0" w:space="0" w:color="auto"/>
                <w:right w:val="none" w:sz="0" w:space="0" w:color="auto"/>
              </w:divBdr>
            </w:div>
          </w:divsChild>
        </w:div>
        <w:div w:id="1190988457">
          <w:marLeft w:val="0"/>
          <w:marRight w:val="0"/>
          <w:marTop w:val="0"/>
          <w:marBottom w:val="0"/>
          <w:divBdr>
            <w:top w:val="none" w:sz="0" w:space="0" w:color="auto"/>
            <w:left w:val="none" w:sz="0" w:space="0" w:color="auto"/>
            <w:bottom w:val="none" w:sz="0" w:space="0" w:color="auto"/>
            <w:right w:val="none" w:sz="0" w:space="0" w:color="auto"/>
          </w:divBdr>
        </w:div>
        <w:div w:id="1196430190">
          <w:marLeft w:val="0"/>
          <w:marRight w:val="0"/>
          <w:marTop w:val="0"/>
          <w:marBottom w:val="0"/>
          <w:divBdr>
            <w:top w:val="none" w:sz="0" w:space="0" w:color="auto"/>
            <w:left w:val="none" w:sz="0" w:space="0" w:color="auto"/>
            <w:bottom w:val="none" w:sz="0" w:space="0" w:color="auto"/>
            <w:right w:val="none" w:sz="0" w:space="0" w:color="auto"/>
          </w:divBdr>
        </w:div>
        <w:div w:id="1229540070">
          <w:marLeft w:val="0"/>
          <w:marRight w:val="0"/>
          <w:marTop w:val="0"/>
          <w:marBottom w:val="0"/>
          <w:divBdr>
            <w:top w:val="none" w:sz="0" w:space="0" w:color="auto"/>
            <w:left w:val="none" w:sz="0" w:space="0" w:color="auto"/>
            <w:bottom w:val="none" w:sz="0" w:space="0" w:color="auto"/>
            <w:right w:val="none" w:sz="0" w:space="0" w:color="auto"/>
          </w:divBdr>
        </w:div>
        <w:div w:id="1244143130">
          <w:marLeft w:val="0"/>
          <w:marRight w:val="0"/>
          <w:marTop w:val="0"/>
          <w:marBottom w:val="0"/>
          <w:divBdr>
            <w:top w:val="none" w:sz="0" w:space="0" w:color="auto"/>
            <w:left w:val="none" w:sz="0" w:space="0" w:color="auto"/>
            <w:bottom w:val="none" w:sz="0" w:space="0" w:color="auto"/>
            <w:right w:val="none" w:sz="0" w:space="0" w:color="auto"/>
          </w:divBdr>
        </w:div>
        <w:div w:id="1348485680">
          <w:marLeft w:val="0"/>
          <w:marRight w:val="0"/>
          <w:marTop w:val="0"/>
          <w:marBottom w:val="0"/>
          <w:divBdr>
            <w:top w:val="none" w:sz="0" w:space="0" w:color="auto"/>
            <w:left w:val="none" w:sz="0" w:space="0" w:color="auto"/>
            <w:bottom w:val="none" w:sz="0" w:space="0" w:color="auto"/>
            <w:right w:val="none" w:sz="0" w:space="0" w:color="auto"/>
          </w:divBdr>
        </w:div>
        <w:div w:id="1371304730">
          <w:marLeft w:val="0"/>
          <w:marRight w:val="0"/>
          <w:marTop w:val="0"/>
          <w:marBottom w:val="0"/>
          <w:divBdr>
            <w:top w:val="none" w:sz="0" w:space="0" w:color="auto"/>
            <w:left w:val="none" w:sz="0" w:space="0" w:color="auto"/>
            <w:bottom w:val="none" w:sz="0" w:space="0" w:color="auto"/>
            <w:right w:val="none" w:sz="0" w:space="0" w:color="auto"/>
          </w:divBdr>
        </w:div>
        <w:div w:id="1380783311">
          <w:marLeft w:val="0"/>
          <w:marRight w:val="0"/>
          <w:marTop w:val="0"/>
          <w:marBottom w:val="0"/>
          <w:divBdr>
            <w:top w:val="none" w:sz="0" w:space="0" w:color="auto"/>
            <w:left w:val="none" w:sz="0" w:space="0" w:color="auto"/>
            <w:bottom w:val="none" w:sz="0" w:space="0" w:color="auto"/>
            <w:right w:val="none" w:sz="0" w:space="0" w:color="auto"/>
          </w:divBdr>
        </w:div>
        <w:div w:id="1404062370">
          <w:marLeft w:val="0"/>
          <w:marRight w:val="0"/>
          <w:marTop w:val="0"/>
          <w:marBottom w:val="0"/>
          <w:divBdr>
            <w:top w:val="none" w:sz="0" w:space="0" w:color="auto"/>
            <w:left w:val="none" w:sz="0" w:space="0" w:color="auto"/>
            <w:bottom w:val="none" w:sz="0" w:space="0" w:color="auto"/>
            <w:right w:val="none" w:sz="0" w:space="0" w:color="auto"/>
          </w:divBdr>
        </w:div>
        <w:div w:id="1463232119">
          <w:marLeft w:val="0"/>
          <w:marRight w:val="0"/>
          <w:marTop w:val="0"/>
          <w:marBottom w:val="0"/>
          <w:divBdr>
            <w:top w:val="none" w:sz="0" w:space="0" w:color="auto"/>
            <w:left w:val="none" w:sz="0" w:space="0" w:color="auto"/>
            <w:bottom w:val="none" w:sz="0" w:space="0" w:color="auto"/>
            <w:right w:val="none" w:sz="0" w:space="0" w:color="auto"/>
          </w:divBdr>
        </w:div>
        <w:div w:id="1513183124">
          <w:marLeft w:val="0"/>
          <w:marRight w:val="0"/>
          <w:marTop w:val="0"/>
          <w:marBottom w:val="0"/>
          <w:divBdr>
            <w:top w:val="none" w:sz="0" w:space="0" w:color="auto"/>
            <w:left w:val="none" w:sz="0" w:space="0" w:color="auto"/>
            <w:bottom w:val="none" w:sz="0" w:space="0" w:color="auto"/>
            <w:right w:val="none" w:sz="0" w:space="0" w:color="auto"/>
          </w:divBdr>
        </w:div>
        <w:div w:id="1552884076">
          <w:marLeft w:val="0"/>
          <w:marRight w:val="0"/>
          <w:marTop w:val="0"/>
          <w:marBottom w:val="0"/>
          <w:divBdr>
            <w:top w:val="none" w:sz="0" w:space="0" w:color="auto"/>
            <w:left w:val="none" w:sz="0" w:space="0" w:color="auto"/>
            <w:bottom w:val="none" w:sz="0" w:space="0" w:color="auto"/>
            <w:right w:val="none" w:sz="0" w:space="0" w:color="auto"/>
          </w:divBdr>
        </w:div>
        <w:div w:id="1634024513">
          <w:marLeft w:val="0"/>
          <w:marRight w:val="0"/>
          <w:marTop w:val="0"/>
          <w:marBottom w:val="0"/>
          <w:divBdr>
            <w:top w:val="none" w:sz="0" w:space="0" w:color="auto"/>
            <w:left w:val="none" w:sz="0" w:space="0" w:color="auto"/>
            <w:bottom w:val="none" w:sz="0" w:space="0" w:color="auto"/>
            <w:right w:val="none" w:sz="0" w:space="0" w:color="auto"/>
          </w:divBdr>
        </w:div>
        <w:div w:id="1682924729">
          <w:marLeft w:val="0"/>
          <w:marRight w:val="0"/>
          <w:marTop w:val="0"/>
          <w:marBottom w:val="0"/>
          <w:divBdr>
            <w:top w:val="none" w:sz="0" w:space="0" w:color="auto"/>
            <w:left w:val="none" w:sz="0" w:space="0" w:color="auto"/>
            <w:bottom w:val="none" w:sz="0" w:space="0" w:color="auto"/>
            <w:right w:val="none" w:sz="0" w:space="0" w:color="auto"/>
          </w:divBdr>
        </w:div>
        <w:div w:id="1834644339">
          <w:marLeft w:val="0"/>
          <w:marRight w:val="0"/>
          <w:marTop w:val="0"/>
          <w:marBottom w:val="0"/>
          <w:divBdr>
            <w:top w:val="none" w:sz="0" w:space="0" w:color="auto"/>
            <w:left w:val="none" w:sz="0" w:space="0" w:color="auto"/>
            <w:bottom w:val="none" w:sz="0" w:space="0" w:color="auto"/>
            <w:right w:val="none" w:sz="0" w:space="0" w:color="auto"/>
          </w:divBdr>
        </w:div>
        <w:div w:id="1851217304">
          <w:marLeft w:val="0"/>
          <w:marRight w:val="0"/>
          <w:marTop w:val="0"/>
          <w:marBottom w:val="0"/>
          <w:divBdr>
            <w:top w:val="none" w:sz="0" w:space="0" w:color="auto"/>
            <w:left w:val="none" w:sz="0" w:space="0" w:color="auto"/>
            <w:bottom w:val="none" w:sz="0" w:space="0" w:color="auto"/>
            <w:right w:val="none" w:sz="0" w:space="0" w:color="auto"/>
          </w:divBdr>
        </w:div>
        <w:div w:id="1866283422">
          <w:marLeft w:val="0"/>
          <w:marRight w:val="0"/>
          <w:marTop w:val="0"/>
          <w:marBottom w:val="0"/>
          <w:divBdr>
            <w:top w:val="none" w:sz="0" w:space="0" w:color="auto"/>
            <w:left w:val="none" w:sz="0" w:space="0" w:color="auto"/>
            <w:bottom w:val="none" w:sz="0" w:space="0" w:color="auto"/>
            <w:right w:val="none" w:sz="0" w:space="0" w:color="auto"/>
          </w:divBdr>
        </w:div>
        <w:div w:id="1882088885">
          <w:marLeft w:val="0"/>
          <w:marRight w:val="0"/>
          <w:marTop w:val="0"/>
          <w:marBottom w:val="0"/>
          <w:divBdr>
            <w:top w:val="none" w:sz="0" w:space="0" w:color="auto"/>
            <w:left w:val="none" w:sz="0" w:space="0" w:color="auto"/>
            <w:bottom w:val="none" w:sz="0" w:space="0" w:color="auto"/>
            <w:right w:val="none" w:sz="0" w:space="0" w:color="auto"/>
          </w:divBdr>
        </w:div>
        <w:div w:id="1891988225">
          <w:marLeft w:val="0"/>
          <w:marRight w:val="0"/>
          <w:marTop w:val="0"/>
          <w:marBottom w:val="0"/>
          <w:divBdr>
            <w:top w:val="none" w:sz="0" w:space="0" w:color="auto"/>
            <w:left w:val="none" w:sz="0" w:space="0" w:color="auto"/>
            <w:bottom w:val="none" w:sz="0" w:space="0" w:color="auto"/>
            <w:right w:val="none" w:sz="0" w:space="0" w:color="auto"/>
          </w:divBdr>
        </w:div>
        <w:div w:id="1900482317">
          <w:marLeft w:val="0"/>
          <w:marRight w:val="0"/>
          <w:marTop w:val="0"/>
          <w:marBottom w:val="0"/>
          <w:divBdr>
            <w:top w:val="none" w:sz="0" w:space="0" w:color="auto"/>
            <w:left w:val="none" w:sz="0" w:space="0" w:color="auto"/>
            <w:bottom w:val="none" w:sz="0" w:space="0" w:color="auto"/>
            <w:right w:val="none" w:sz="0" w:space="0" w:color="auto"/>
          </w:divBdr>
        </w:div>
        <w:div w:id="1947344317">
          <w:marLeft w:val="0"/>
          <w:marRight w:val="0"/>
          <w:marTop w:val="0"/>
          <w:marBottom w:val="0"/>
          <w:divBdr>
            <w:top w:val="none" w:sz="0" w:space="0" w:color="auto"/>
            <w:left w:val="none" w:sz="0" w:space="0" w:color="auto"/>
            <w:bottom w:val="none" w:sz="0" w:space="0" w:color="auto"/>
            <w:right w:val="none" w:sz="0" w:space="0" w:color="auto"/>
          </w:divBdr>
        </w:div>
        <w:div w:id="2004358081">
          <w:marLeft w:val="0"/>
          <w:marRight w:val="0"/>
          <w:marTop w:val="0"/>
          <w:marBottom w:val="0"/>
          <w:divBdr>
            <w:top w:val="none" w:sz="0" w:space="0" w:color="auto"/>
            <w:left w:val="none" w:sz="0" w:space="0" w:color="auto"/>
            <w:bottom w:val="none" w:sz="0" w:space="0" w:color="auto"/>
            <w:right w:val="none" w:sz="0" w:space="0" w:color="auto"/>
          </w:divBdr>
        </w:div>
      </w:divsChild>
    </w:div>
    <w:div w:id="757095520">
      <w:bodyDiv w:val="1"/>
      <w:marLeft w:val="0"/>
      <w:marRight w:val="0"/>
      <w:marTop w:val="0"/>
      <w:marBottom w:val="0"/>
      <w:divBdr>
        <w:top w:val="none" w:sz="0" w:space="0" w:color="auto"/>
        <w:left w:val="none" w:sz="0" w:space="0" w:color="auto"/>
        <w:bottom w:val="none" w:sz="0" w:space="0" w:color="auto"/>
        <w:right w:val="none" w:sz="0" w:space="0" w:color="auto"/>
      </w:divBdr>
      <w:divsChild>
        <w:div w:id="33509515">
          <w:marLeft w:val="0"/>
          <w:marRight w:val="0"/>
          <w:marTop w:val="0"/>
          <w:marBottom w:val="0"/>
          <w:divBdr>
            <w:top w:val="none" w:sz="0" w:space="0" w:color="auto"/>
            <w:left w:val="none" w:sz="0" w:space="0" w:color="auto"/>
            <w:bottom w:val="none" w:sz="0" w:space="0" w:color="auto"/>
            <w:right w:val="none" w:sz="0" w:space="0" w:color="auto"/>
          </w:divBdr>
        </w:div>
        <w:div w:id="47191373">
          <w:marLeft w:val="0"/>
          <w:marRight w:val="0"/>
          <w:marTop w:val="0"/>
          <w:marBottom w:val="0"/>
          <w:divBdr>
            <w:top w:val="none" w:sz="0" w:space="0" w:color="auto"/>
            <w:left w:val="none" w:sz="0" w:space="0" w:color="auto"/>
            <w:bottom w:val="none" w:sz="0" w:space="0" w:color="auto"/>
            <w:right w:val="none" w:sz="0" w:space="0" w:color="auto"/>
          </w:divBdr>
        </w:div>
        <w:div w:id="48842674">
          <w:marLeft w:val="0"/>
          <w:marRight w:val="0"/>
          <w:marTop w:val="0"/>
          <w:marBottom w:val="0"/>
          <w:divBdr>
            <w:top w:val="none" w:sz="0" w:space="0" w:color="auto"/>
            <w:left w:val="none" w:sz="0" w:space="0" w:color="auto"/>
            <w:bottom w:val="none" w:sz="0" w:space="0" w:color="auto"/>
            <w:right w:val="none" w:sz="0" w:space="0" w:color="auto"/>
          </w:divBdr>
        </w:div>
        <w:div w:id="52000625">
          <w:marLeft w:val="0"/>
          <w:marRight w:val="0"/>
          <w:marTop w:val="0"/>
          <w:marBottom w:val="0"/>
          <w:divBdr>
            <w:top w:val="none" w:sz="0" w:space="0" w:color="auto"/>
            <w:left w:val="none" w:sz="0" w:space="0" w:color="auto"/>
            <w:bottom w:val="none" w:sz="0" w:space="0" w:color="auto"/>
            <w:right w:val="none" w:sz="0" w:space="0" w:color="auto"/>
          </w:divBdr>
        </w:div>
        <w:div w:id="125049434">
          <w:marLeft w:val="0"/>
          <w:marRight w:val="0"/>
          <w:marTop w:val="0"/>
          <w:marBottom w:val="0"/>
          <w:divBdr>
            <w:top w:val="none" w:sz="0" w:space="0" w:color="auto"/>
            <w:left w:val="none" w:sz="0" w:space="0" w:color="auto"/>
            <w:bottom w:val="none" w:sz="0" w:space="0" w:color="auto"/>
            <w:right w:val="none" w:sz="0" w:space="0" w:color="auto"/>
          </w:divBdr>
        </w:div>
        <w:div w:id="167136594">
          <w:marLeft w:val="0"/>
          <w:marRight w:val="0"/>
          <w:marTop w:val="0"/>
          <w:marBottom w:val="0"/>
          <w:divBdr>
            <w:top w:val="none" w:sz="0" w:space="0" w:color="auto"/>
            <w:left w:val="none" w:sz="0" w:space="0" w:color="auto"/>
            <w:bottom w:val="none" w:sz="0" w:space="0" w:color="auto"/>
            <w:right w:val="none" w:sz="0" w:space="0" w:color="auto"/>
          </w:divBdr>
        </w:div>
        <w:div w:id="200440298">
          <w:marLeft w:val="0"/>
          <w:marRight w:val="0"/>
          <w:marTop w:val="0"/>
          <w:marBottom w:val="0"/>
          <w:divBdr>
            <w:top w:val="none" w:sz="0" w:space="0" w:color="auto"/>
            <w:left w:val="none" w:sz="0" w:space="0" w:color="auto"/>
            <w:bottom w:val="none" w:sz="0" w:space="0" w:color="auto"/>
            <w:right w:val="none" w:sz="0" w:space="0" w:color="auto"/>
          </w:divBdr>
        </w:div>
        <w:div w:id="201551695">
          <w:marLeft w:val="0"/>
          <w:marRight w:val="0"/>
          <w:marTop w:val="0"/>
          <w:marBottom w:val="0"/>
          <w:divBdr>
            <w:top w:val="none" w:sz="0" w:space="0" w:color="auto"/>
            <w:left w:val="none" w:sz="0" w:space="0" w:color="auto"/>
            <w:bottom w:val="none" w:sz="0" w:space="0" w:color="auto"/>
            <w:right w:val="none" w:sz="0" w:space="0" w:color="auto"/>
          </w:divBdr>
        </w:div>
        <w:div w:id="226378655">
          <w:marLeft w:val="0"/>
          <w:marRight w:val="0"/>
          <w:marTop w:val="0"/>
          <w:marBottom w:val="0"/>
          <w:divBdr>
            <w:top w:val="none" w:sz="0" w:space="0" w:color="auto"/>
            <w:left w:val="none" w:sz="0" w:space="0" w:color="auto"/>
            <w:bottom w:val="none" w:sz="0" w:space="0" w:color="auto"/>
            <w:right w:val="none" w:sz="0" w:space="0" w:color="auto"/>
          </w:divBdr>
        </w:div>
        <w:div w:id="233398767">
          <w:marLeft w:val="0"/>
          <w:marRight w:val="0"/>
          <w:marTop w:val="0"/>
          <w:marBottom w:val="0"/>
          <w:divBdr>
            <w:top w:val="none" w:sz="0" w:space="0" w:color="auto"/>
            <w:left w:val="none" w:sz="0" w:space="0" w:color="auto"/>
            <w:bottom w:val="none" w:sz="0" w:space="0" w:color="auto"/>
            <w:right w:val="none" w:sz="0" w:space="0" w:color="auto"/>
          </w:divBdr>
        </w:div>
        <w:div w:id="294144630">
          <w:marLeft w:val="0"/>
          <w:marRight w:val="0"/>
          <w:marTop w:val="0"/>
          <w:marBottom w:val="0"/>
          <w:divBdr>
            <w:top w:val="none" w:sz="0" w:space="0" w:color="auto"/>
            <w:left w:val="none" w:sz="0" w:space="0" w:color="auto"/>
            <w:bottom w:val="none" w:sz="0" w:space="0" w:color="auto"/>
            <w:right w:val="none" w:sz="0" w:space="0" w:color="auto"/>
          </w:divBdr>
        </w:div>
        <w:div w:id="307057774">
          <w:marLeft w:val="0"/>
          <w:marRight w:val="0"/>
          <w:marTop w:val="0"/>
          <w:marBottom w:val="0"/>
          <w:divBdr>
            <w:top w:val="none" w:sz="0" w:space="0" w:color="auto"/>
            <w:left w:val="none" w:sz="0" w:space="0" w:color="auto"/>
            <w:bottom w:val="none" w:sz="0" w:space="0" w:color="auto"/>
            <w:right w:val="none" w:sz="0" w:space="0" w:color="auto"/>
          </w:divBdr>
        </w:div>
        <w:div w:id="321543131">
          <w:marLeft w:val="0"/>
          <w:marRight w:val="0"/>
          <w:marTop w:val="0"/>
          <w:marBottom w:val="0"/>
          <w:divBdr>
            <w:top w:val="none" w:sz="0" w:space="0" w:color="auto"/>
            <w:left w:val="none" w:sz="0" w:space="0" w:color="auto"/>
            <w:bottom w:val="none" w:sz="0" w:space="0" w:color="auto"/>
            <w:right w:val="none" w:sz="0" w:space="0" w:color="auto"/>
          </w:divBdr>
        </w:div>
        <w:div w:id="392969891">
          <w:marLeft w:val="0"/>
          <w:marRight w:val="0"/>
          <w:marTop w:val="0"/>
          <w:marBottom w:val="0"/>
          <w:divBdr>
            <w:top w:val="none" w:sz="0" w:space="0" w:color="auto"/>
            <w:left w:val="none" w:sz="0" w:space="0" w:color="auto"/>
            <w:bottom w:val="none" w:sz="0" w:space="0" w:color="auto"/>
            <w:right w:val="none" w:sz="0" w:space="0" w:color="auto"/>
          </w:divBdr>
        </w:div>
        <w:div w:id="435249911">
          <w:marLeft w:val="0"/>
          <w:marRight w:val="0"/>
          <w:marTop w:val="0"/>
          <w:marBottom w:val="0"/>
          <w:divBdr>
            <w:top w:val="none" w:sz="0" w:space="0" w:color="auto"/>
            <w:left w:val="none" w:sz="0" w:space="0" w:color="auto"/>
            <w:bottom w:val="none" w:sz="0" w:space="0" w:color="auto"/>
            <w:right w:val="none" w:sz="0" w:space="0" w:color="auto"/>
          </w:divBdr>
        </w:div>
        <w:div w:id="440027225">
          <w:marLeft w:val="0"/>
          <w:marRight w:val="0"/>
          <w:marTop w:val="0"/>
          <w:marBottom w:val="0"/>
          <w:divBdr>
            <w:top w:val="none" w:sz="0" w:space="0" w:color="auto"/>
            <w:left w:val="none" w:sz="0" w:space="0" w:color="auto"/>
            <w:bottom w:val="none" w:sz="0" w:space="0" w:color="auto"/>
            <w:right w:val="none" w:sz="0" w:space="0" w:color="auto"/>
          </w:divBdr>
        </w:div>
        <w:div w:id="447819769">
          <w:marLeft w:val="0"/>
          <w:marRight w:val="0"/>
          <w:marTop w:val="0"/>
          <w:marBottom w:val="0"/>
          <w:divBdr>
            <w:top w:val="none" w:sz="0" w:space="0" w:color="auto"/>
            <w:left w:val="none" w:sz="0" w:space="0" w:color="auto"/>
            <w:bottom w:val="none" w:sz="0" w:space="0" w:color="auto"/>
            <w:right w:val="none" w:sz="0" w:space="0" w:color="auto"/>
          </w:divBdr>
        </w:div>
        <w:div w:id="456533414">
          <w:marLeft w:val="0"/>
          <w:marRight w:val="0"/>
          <w:marTop w:val="0"/>
          <w:marBottom w:val="0"/>
          <w:divBdr>
            <w:top w:val="none" w:sz="0" w:space="0" w:color="auto"/>
            <w:left w:val="none" w:sz="0" w:space="0" w:color="auto"/>
            <w:bottom w:val="none" w:sz="0" w:space="0" w:color="auto"/>
            <w:right w:val="none" w:sz="0" w:space="0" w:color="auto"/>
          </w:divBdr>
        </w:div>
        <w:div w:id="472337651">
          <w:marLeft w:val="0"/>
          <w:marRight w:val="0"/>
          <w:marTop w:val="0"/>
          <w:marBottom w:val="0"/>
          <w:divBdr>
            <w:top w:val="none" w:sz="0" w:space="0" w:color="auto"/>
            <w:left w:val="none" w:sz="0" w:space="0" w:color="auto"/>
            <w:bottom w:val="none" w:sz="0" w:space="0" w:color="auto"/>
            <w:right w:val="none" w:sz="0" w:space="0" w:color="auto"/>
          </w:divBdr>
        </w:div>
        <w:div w:id="475728848">
          <w:marLeft w:val="0"/>
          <w:marRight w:val="0"/>
          <w:marTop w:val="0"/>
          <w:marBottom w:val="0"/>
          <w:divBdr>
            <w:top w:val="none" w:sz="0" w:space="0" w:color="auto"/>
            <w:left w:val="none" w:sz="0" w:space="0" w:color="auto"/>
            <w:bottom w:val="none" w:sz="0" w:space="0" w:color="auto"/>
            <w:right w:val="none" w:sz="0" w:space="0" w:color="auto"/>
          </w:divBdr>
        </w:div>
        <w:div w:id="481240873">
          <w:marLeft w:val="0"/>
          <w:marRight w:val="0"/>
          <w:marTop w:val="0"/>
          <w:marBottom w:val="0"/>
          <w:divBdr>
            <w:top w:val="none" w:sz="0" w:space="0" w:color="auto"/>
            <w:left w:val="none" w:sz="0" w:space="0" w:color="auto"/>
            <w:bottom w:val="none" w:sz="0" w:space="0" w:color="auto"/>
            <w:right w:val="none" w:sz="0" w:space="0" w:color="auto"/>
          </w:divBdr>
        </w:div>
        <w:div w:id="532957983">
          <w:marLeft w:val="0"/>
          <w:marRight w:val="0"/>
          <w:marTop w:val="0"/>
          <w:marBottom w:val="0"/>
          <w:divBdr>
            <w:top w:val="none" w:sz="0" w:space="0" w:color="auto"/>
            <w:left w:val="none" w:sz="0" w:space="0" w:color="auto"/>
            <w:bottom w:val="none" w:sz="0" w:space="0" w:color="auto"/>
            <w:right w:val="none" w:sz="0" w:space="0" w:color="auto"/>
          </w:divBdr>
        </w:div>
        <w:div w:id="621612311">
          <w:marLeft w:val="0"/>
          <w:marRight w:val="0"/>
          <w:marTop w:val="0"/>
          <w:marBottom w:val="0"/>
          <w:divBdr>
            <w:top w:val="none" w:sz="0" w:space="0" w:color="auto"/>
            <w:left w:val="none" w:sz="0" w:space="0" w:color="auto"/>
            <w:bottom w:val="none" w:sz="0" w:space="0" w:color="auto"/>
            <w:right w:val="none" w:sz="0" w:space="0" w:color="auto"/>
          </w:divBdr>
        </w:div>
        <w:div w:id="642201664">
          <w:marLeft w:val="0"/>
          <w:marRight w:val="0"/>
          <w:marTop w:val="0"/>
          <w:marBottom w:val="0"/>
          <w:divBdr>
            <w:top w:val="none" w:sz="0" w:space="0" w:color="auto"/>
            <w:left w:val="none" w:sz="0" w:space="0" w:color="auto"/>
            <w:bottom w:val="none" w:sz="0" w:space="0" w:color="auto"/>
            <w:right w:val="none" w:sz="0" w:space="0" w:color="auto"/>
          </w:divBdr>
        </w:div>
        <w:div w:id="703868255">
          <w:marLeft w:val="0"/>
          <w:marRight w:val="0"/>
          <w:marTop w:val="0"/>
          <w:marBottom w:val="0"/>
          <w:divBdr>
            <w:top w:val="none" w:sz="0" w:space="0" w:color="auto"/>
            <w:left w:val="none" w:sz="0" w:space="0" w:color="auto"/>
            <w:bottom w:val="none" w:sz="0" w:space="0" w:color="auto"/>
            <w:right w:val="none" w:sz="0" w:space="0" w:color="auto"/>
          </w:divBdr>
        </w:div>
        <w:div w:id="741173686">
          <w:marLeft w:val="0"/>
          <w:marRight w:val="0"/>
          <w:marTop w:val="0"/>
          <w:marBottom w:val="0"/>
          <w:divBdr>
            <w:top w:val="none" w:sz="0" w:space="0" w:color="auto"/>
            <w:left w:val="none" w:sz="0" w:space="0" w:color="auto"/>
            <w:bottom w:val="none" w:sz="0" w:space="0" w:color="auto"/>
            <w:right w:val="none" w:sz="0" w:space="0" w:color="auto"/>
          </w:divBdr>
        </w:div>
        <w:div w:id="745347029">
          <w:marLeft w:val="0"/>
          <w:marRight w:val="0"/>
          <w:marTop w:val="0"/>
          <w:marBottom w:val="0"/>
          <w:divBdr>
            <w:top w:val="none" w:sz="0" w:space="0" w:color="auto"/>
            <w:left w:val="none" w:sz="0" w:space="0" w:color="auto"/>
            <w:bottom w:val="none" w:sz="0" w:space="0" w:color="auto"/>
            <w:right w:val="none" w:sz="0" w:space="0" w:color="auto"/>
          </w:divBdr>
        </w:div>
        <w:div w:id="811826583">
          <w:marLeft w:val="0"/>
          <w:marRight w:val="0"/>
          <w:marTop w:val="0"/>
          <w:marBottom w:val="0"/>
          <w:divBdr>
            <w:top w:val="none" w:sz="0" w:space="0" w:color="auto"/>
            <w:left w:val="none" w:sz="0" w:space="0" w:color="auto"/>
            <w:bottom w:val="none" w:sz="0" w:space="0" w:color="auto"/>
            <w:right w:val="none" w:sz="0" w:space="0" w:color="auto"/>
          </w:divBdr>
        </w:div>
        <w:div w:id="853687129">
          <w:marLeft w:val="0"/>
          <w:marRight w:val="0"/>
          <w:marTop w:val="0"/>
          <w:marBottom w:val="0"/>
          <w:divBdr>
            <w:top w:val="none" w:sz="0" w:space="0" w:color="auto"/>
            <w:left w:val="none" w:sz="0" w:space="0" w:color="auto"/>
            <w:bottom w:val="none" w:sz="0" w:space="0" w:color="auto"/>
            <w:right w:val="none" w:sz="0" w:space="0" w:color="auto"/>
          </w:divBdr>
        </w:div>
        <w:div w:id="853809805">
          <w:marLeft w:val="0"/>
          <w:marRight w:val="0"/>
          <w:marTop w:val="0"/>
          <w:marBottom w:val="0"/>
          <w:divBdr>
            <w:top w:val="none" w:sz="0" w:space="0" w:color="auto"/>
            <w:left w:val="none" w:sz="0" w:space="0" w:color="auto"/>
            <w:bottom w:val="none" w:sz="0" w:space="0" w:color="auto"/>
            <w:right w:val="none" w:sz="0" w:space="0" w:color="auto"/>
          </w:divBdr>
        </w:div>
        <w:div w:id="856964140">
          <w:marLeft w:val="0"/>
          <w:marRight w:val="0"/>
          <w:marTop w:val="0"/>
          <w:marBottom w:val="0"/>
          <w:divBdr>
            <w:top w:val="none" w:sz="0" w:space="0" w:color="auto"/>
            <w:left w:val="none" w:sz="0" w:space="0" w:color="auto"/>
            <w:bottom w:val="none" w:sz="0" w:space="0" w:color="auto"/>
            <w:right w:val="none" w:sz="0" w:space="0" w:color="auto"/>
          </w:divBdr>
        </w:div>
        <w:div w:id="902059431">
          <w:marLeft w:val="0"/>
          <w:marRight w:val="0"/>
          <w:marTop w:val="0"/>
          <w:marBottom w:val="0"/>
          <w:divBdr>
            <w:top w:val="none" w:sz="0" w:space="0" w:color="auto"/>
            <w:left w:val="none" w:sz="0" w:space="0" w:color="auto"/>
            <w:bottom w:val="none" w:sz="0" w:space="0" w:color="auto"/>
            <w:right w:val="none" w:sz="0" w:space="0" w:color="auto"/>
          </w:divBdr>
        </w:div>
        <w:div w:id="910890385">
          <w:marLeft w:val="0"/>
          <w:marRight w:val="0"/>
          <w:marTop w:val="0"/>
          <w:marBottom w:val="0"/>
          <w:divBdr>
            <w:top w:val="none" w:sz="0" w:space="0" w:color="auto"/>
            <w:left w:val="none" w:sz="0" w:space="0" w:color="auto"/>
            <w:bottom w:val="none" w:sz="0" w:space="0" w:color="auto"/>
            <w:right w:val="none" w:sz="0" w:space="0" w:color="auto"/>
          </w:divBdr>
        </w:div>
        <w:div w:id="925069970">
          <w:marLeft w:val="0"/>
          <w:marRight w:val="0"/>
          <w:marTop w:val="0"/>
          <w:marBottom w:val="0"/>
          <w:divBdr>
            <w:top w:val="none" w:sz="0" w:space="0" w:color="auto"/>
            <w:left w:val="none" w:sz="0" w:space="0" w:color="auto"/>
            <w:bottom w:val="none" w:sz="0" w:space="0" w:color="auto"/>
            <w:right w:val="none" w:sz="0" w:space="0" w:color="auto"/>
          </w:divBdr>
        </w:div>
        <w:div w:id="925848739">
          <w:marLeft w:val="0"/>
          <w:marRight w:val="0"/>
          <w:marTop w:val="0"/>
          <w:marBottom w:val="0"/>
          <w:divBdr>
            <w:top w:val="none" w:sz="0" w:space="0" w:color="auto"/>
            <w:left w:val="none" w:sz="0" w:space="0" w:color="auto"/>
            <w:bottom w:val="none" w:sz="0" w:space="0" w:color="auto"/>
            <w:right w:val="none" w:sz="0" w:space="0" w:color="auto"/>
          </w:divBdr>
        </w:div>
        <w:div w:id="941184400">
          <w:marLeft w:val="0"/>
          <w:marRight w:val="0"/>
          <w:marTop w:val="0"/>
          <w:marBottom w:val="0"/>
          <w:divBdr>
            <w:top w:val="none" w:sz="0" w:space="0" w:color="auto"/>
            <w:left w:val="none" w:sz="0" w:space="0" w:color="auto"/>
            <w:bottom w:val="none" w:sz="0" w:space="0" w:color="auto"/>
            <w:right w:val="none" w:sz="0" w:space="0" w:color="auto"/>
          </w:divBdr>
        </w:div>
        <w:div w:id="1166899302">
          <w:marLeft w:val="0"/>
          <w:marRight w:val="0"/>
          <w:marTop w:val="0"/>
          <w:marBottom w:val="0"/>
          <w:divBdr>
            <w:top w:val="none" w:sz="0" w:space="0" w:color="auto"/>
            <w:left w:val="none" w:sz="0" w:space="0" w:color="auto"/>
            <w:bottom w:val="none" w:sz="0" w:space="0" w:color="auto"/>
            <w:right w:val="none" w:sz="0" w:space="0" w:color="auto"/>
          </w:divBdr>
          <w:divsChild>
            <w:div w:id="194733885">
              <w:marLeft w:val="0"/>
              <w:marRight w:val="0"/>
              <w:marTop w:val="0"/>
              <w:marBottom w:val="0"/>
              <w:divBdr>
                <w:top w:val="none" w:sz="0" w:space="0" w:color="auto"/>
                <w:left w:val="none" w:sz="0" w:space="0" w:color="auto"/>
                <w:bottom w:val="none" w:sz="0" w:space="0" w:color="auto"/>
                <w:right w:val="none" w:sz="0" w:space="0" w:color="auto"/>
              </w:divBdr>
            </w:div>
            <w:div w:id="291137505">
              <w:marLeft w:val="0"/>
              <w:marRight w:val="0"/>
              <w:marTop w:val="0"/>
              <w:marBottom w:val="0"/>
              <w:divBdr>
                <w:top w:val="none" w:sz="0" w:space="0" w:color="auto"/>
                <w:left w:val="none" w:sz="0" w:space="0" w:color="auto"/>
                <w:bottom w:val="none" w:sz="0" w:space="0" w:color="auto"/>
                <w:right w:val="none" w:sz="0" w:space="0" w:color="auto"/>
              </w:divBdr>
            </w:div>
            <w:div w:id="324666794">
              <w:marLeft w:val="0"/>
              <w:marRight w:val="0"/>
              <w:marTop w:val="0"/>
              <w:marBottom w:val="0"/>
              <w:divBdr>
                <w:top w:val="none" w:sz="0" w:space="0" w:color="auto"/>
                <w:left w:val="none" w:sz="0" w:space="0" w:color="auto"/>
                <w:bottom w:val="none" w:sz="0" w:space="0" w:color="auto"/>
                <w:right w:val="none" w:sz="0" w:space="0" w:color="auto"/>
              </w:divBdr>
            </w:div>
            <w:div w:id="404570035">
              <w:marLeft w:val="0"/>
              <w:marRight w:val="0"/>
              <w:marTop w:val="0"/>
              <w:marBottom w:val="0"/>
              <w:divBdr>
                <w:top w:val="none" w:sz="0" w:space="0" w:color="auto"/>
                <w:left w:val="none" w:sz="0" w:space="0" w:color="auto"/>
                <w:bottom w:val="none" w:sz="0" w:space="0" w:color="auto"/>
                <w:right w:val="none" w:sz="0" w:space="0" w:color="auto"/>
              </w:divBdr>
            </w:div>
            <w:div w:id="541752739">
              <w:marLeft w:val="0"/>
              <w:marRight w:val="0"/>
              <w:marTop w:val="0"/>
              <w:marBottom w:val="0"/>
              <w:divBdr>
                <w:top w:val="none" w:sz="0" w:space="0" w:color="auto"/>
                <w:left w:val="none" w:sz="0" w:space="0" w:color="auto"/>
                <w:bottom w:val="none" w:sz="0" w:space="0" w:color="auto"/>
                <w:right w:val="none" w:sz="0" w:space="0" w:color="auto"/>
              </w:divBdr>
            </w:div>
            <w:div w:id="631328774">
              <w:marLeft w:val="0"/>
              <w:marRight w:val="0"/>
              <w:marTop w:val="0"/>
              <w:marBottom w:val="0"/>
              <w:divBdr>
                <w:top w:val="none" w:sz="0" w:space="0" w:color="auto"/>
                <w:left w:val="none" w:sz="0" w:space="0" w:color="auto"/>
                <w:bottom w:val="none" w:sz="0" w:space="0" w:color="auto"/>
                <w:right w:val="none" w:sz="0" w:space="0" w:color="auto"/>
              </w:divBdr>
            </w:div>
            <w:div w:id="659429038">
              <w:marLeft w:val="0"/>
              <w:marRight w:val="0"/>
              <w:marTop w:val="0"/>
              <w:marBottom w:val="0"/>
              <w:divBdr>
                <w:top w:val="none" w:sz="0" w:space="0" w:color="auto"/>
                <w:left w:val="none" w:sz="0" w:space="0" w:color="auto"/>
                <w:bottom w:val="none" w:sz="0" w:space="0" w:color="auto"/>
                <w:right w:val="none" w:sz="0" w:space="0" w:color="auto"/>
              </w:divBdr>
            </w:div>
            <w:div w:id="839543249">
              <w:marLeft w:val="0"/>
              <w:marRight w:val="0"/>
              <w:marTop w:val="0"/>
              <w:marBottom w:val="0"/>
              <w:divBdr>
                <w:top w:val="none" w:sz="0" w:space="0" w:color="auto"/>
                <w:left w:val="none" w:sz="0" w:space="0" w:color="auto"/>
                <w:bottom w:val="none" w:sz="0" w:space="0" w:color="auto"/>
                <w:right w:val="none" w:sz="0" w:space="0" w:color="auto"/>
              </w:divBdr>
            </w:div>
            <w:div w:id="911738222">
              <w:marLeft w:val="0"/>
              <w:marRight w:val="0"/>
              <w:marTop w:val="0"/>
              <w:marBottom w:val="0"/>
              <w:divBdr>
                <w:top w:val="none" w:sz="0" w:space="0" w:color="auto"/>
                <w:left w:val="none" w:sz="0" w:space="0" w:color="auto"/>
                <w:bottom w:val="none" w:sz="0" w:space="0" w:color="auto"/>
                <w:right w:val="none" w:sz="0" w:space="0" w:color="auto"/>
              </w:divBdr>
            </w:div>
            <w:div w:id="947204600">
              <w:marLeft w:val="0"/>
              <w:marRight w:val="0"/>
              <w:marTop w:val="0"/>
              <w:marBottom w:val="0"/>
              <w:divBdr>
                <w:top w:val="none" w:sz="0" w:space="0" w:color="auto"/>
                <w:left w:val="none" w:sz="0" w:space="0" w:color="auto"/>
                <w:bottom w:val="none" w:sz="0" w:space="0" w:color="auto"/>
                <w:right w:val="none" w:sz="0" w:space="0" w:color="auto"/>
              </w:divBdr>
            </w:div>
            <w:div w:id="1029452623">
              <w:marLeft w:val="0"/>
              <w:marRight w:val="0"/>
              <w:marTop w:val="0"/>
              <w:marBottom w:val="0"/>
              <w:divBdr>
                <w:top w:val="none" w:sz="0" w:space="0" w:color="auto"/>
                <w:left w:val="none" w:sz="0" w:space="0" w:color="auto"/>
                <w:bottom w:val="none" w:sz="0" w:space="0" w:color="auto"/>
                <w:right w:val="none" w:sz="0" w:space="0" w:color="auto"/>
              </w:divBdr>
            </w:div>
            <w:div w:id="1031611958">
              <w:marLeft w:val="0"/>
              <w:marRight w:val="0"/>
              <w:marTop w:val="0"/>
              <w:marBottom w:val="0"/>
              <w:divBdr>
                <w:top w:val="none" w:sz="0" w:space="0" w:color="auto"/>
                <w:left w:val="none" w:sz="0" w:space="0" w:color="auto"/>
                <w:bottom w:val="none" w:sz="0" w:space="0" w:color="auto"/>
                <w:right w:val="none" w:sz="0" w:space="0" w:color="auto"/>
              </w:divBdr>
            </w:div>
            <w:div w:id="1065564342">
              <w:marLeft w:val="0"/>
              <w:marRight w:val="0"/>
              <w:marTop w:val="0"/>
              <w:marBottom w:val="0"/>
              <w:divBdr>
                <w:top w:val="none" w:sz="0" w:space="0" w:color="auto"/>
                <w:left w:val="none" w:sz="0" w:space="0" w:color="auto"/>
                <w:bottom w:val="none" w:sz="0" w:space="0" w:color="auto"/>
                <w:right w:val="none" w:sz="0" w:space="0" w:color="auto"/>
              </w:divBdr>
            </w:div>
            <w:div w:id="1203711924">
              <w:marLeft w:val="0"/>
              <w:marRight w:val="0"/>
              <w:marTop w:val="0"/>
              <w:marBottom w:val="0"/>
              <w:divBdr>
                <w:top w:val="none" w:sz="0" w:space="0" w:color="auto"/>
                <w:left w:val="none" w:sz="0" w:space="0" w:color="auto"/>
                <w:bottom w:val="none" w:sz="0" w:space="0" w:color="auto"/>
                <w:right w:val="none" w:sz="0" w:space="0" w:color="auto"/>
              </w:divBdr>
            </w:div>
            <w:div w:id="1294871383">
              <w:marLeft w:val="0"/>
              <w:marRight w:val="0"/>
              <w:marTop w:val="0"/>
              <w:marBottom w:val="0"/>
              <w:divBdr>
                <w:top w:val="none" w:sz="0" w:space="0" w:color="auto"/>
                <w:left w:val="none" w:sz="0" w:space="0" w:color="auto"/>
                <w:bottom w:val="none" w:sz="0" w:space="0" w:color="auto"/>
                <w:right w:val="none" w:sz="0" w:space="0" w:color="auto"/>
              </w:divBdr>
            </w:div>
            <w:div w:id="1346592571">
              <w:marLeft w:val="0"/>
              <w:marRight w:val="0"/>
              <w:marTop w:val="0"/>
              <w:marBottom w:val="0"/>
              <w:divBdr>
                <w:top w:val="none" w:sz="0" w:space="0" w:color="auto"/>
                <w:left w:val="none" w:sz="0" w:space="0" w:color="auto"/>
                <w:bottom w:val="none" w:sz="0" w:space="0" w:color="auto"/>
                <w:right w:val="none" w:sz="0" w:space="0" w:color="auto"/>
              </w:divBdr>
            </w:div>
            <w:div w:id="1391030648">
              <w:marLeft w:val="0"/>
              <w:marRight w:val="0"/>
              <w:marTop w:val="0"/>
              <w:marBottom w:val="0"/>
              <w:divBdr>
                <w:top w:val="none" w:sz="0" w:space="0" w:color="auto"/>
                <w:left w:val="none" w:sz="0" w:space="0" w:color="auto"/>
                <w:bottom w:val="none" w:sz="0" w:space="0" w:color="auto"/>
                <w:right w:val="none" w:sz="0" w:space="0" w:color="auto"/>
              </w:divBdr>
            </w:div>
            <w:div w:id="1610697984">
              <w:marLeft w:val="0"/>
              <w:marRight w:val="0"/>
              <w:marTop w:val="0"/>
              <w:marBottom w:val="0"/>
              <w:divBdr>
                <w:top w:val="none" w:sz="0" w:space="0" w:color="auto"/>
                <w:left w:val="none" w:sz="0" w:space="0" w:color="auto"/>
                <w:bottom w:val="none" w:sz="0" w:space="0" w:color="auto"/>
                <w:right w:val="none" w:sz="0" w:space="0" w:color="auto"/>
              </w:divBdr>
            </w:div>
            <w:div w:id="1731493248">
              <w:marLeft w:val="0"/>
              <w:marRight w:val="0"/>
              <w:marTop w:val="0"/>
              <w:marBottom w:val="0"/>
              <w:divBdr>
                <w:top w:val="none" w:sz="0" w:space="0" w:color="auto"/>
                <w:left w:val="none" w:sz="0" w:space="0" w:color="auto"/>
                <w:bottom w:val="none" w:sz="0" w:space="0" w:color="auto"/>
                <w:right w:val="none" w:sz="0" w:space="0" w:color="auto"/>
              </w:divBdr>
            </w:div>
            <w:div w:id="1970503157">
              <w:marLeft w:val="0"/>
              <w:marRight w:val="0"/>
              <w:marTop w:val="0"/>
              <w:marBottom w:val="0"/>
              <w:divBdr>
                <w:top w:val="none" w:sz="0" w:space="0" w:color="auto"/>
                <w:left w:val="none" w:sz="0" w:space="0" w:color="auto"/>
                <w:bottom w:val="none" w:sz="0" w:space="0" w:color="auto"/>
                <w:right w:val="none" w:sz="0" w:space="0" w:color="auto"/>
              </w:divBdr>
            </w:div>
          </w:divsChild>
        </w:div>
        <w:div w:id="1178809667">
          <w:marLeft w:val="0"/>
          <w:marRight w:val="0"/>
          <w:marTop w:val="0"/>
          <w:marBottom w:val="0"/>
          <w:divBdr>
            <w:top w:val="none" w:sz="0" w:space="0" w:color="auto"/>
            <w:left w:val="none" w:sz="0" w:space="0" w:color="auto"/>
            <w:bottom w:val="none" w:sz="0" w:space="0" w:color="auto"/>
            <w:right w:val="none" w:sz="0" w:space="0" w:color="auto"/>
          </w:divBdr>
          <w:divsChild>
            <w:div w:id="1323969384">
              <w:marLeft w:val="-75"/>
              <w:marRight w:val="0"/>
              <w:marTop w:val="30"/>
              <w:marBottom w:val="30"/>
              <w:divBdr>
                <w:top w:val="none" w:sz="0" w:space="0" w:color="auto"/>
                <w:left w:val="none" w:sz="0" w:space="0" w:color="auto"/>
                <w:bottom w:val="none" w:sz="0" w:space="0" w:color="auto"/>
                <w:right w:val="none" w:sz="0" w:space="0" w:color="auto"/>
              </w:divBdr>
              <w:divsChild>
                <w:div w:id="9113691">
                  <w:marLeft w:val="0"/>
                  <w:marRight w:val="0"/>
                  <w:marTop w:val="0"/>
                  <w:marBottom w:val="0"/>
                  <w:divBdr>
                    <w:top w:val="none" w:sz="0" w:space="0" w:color="auto"/>
                    <w:left w:val="none" w:sz="0" w:space="0" w:color="auto"/>
                    <w:bottom w:val="none" w:sz="0" w:space="0" w:color="auto"/>
                    <w:right w:val="none" w:sz="0" w:space="0" w:color="auto"/>
                  </w:divBdr>
                  <w:divsChild>
                    <w:div w:id="1232623185">
                      <w:marLeft w:val="0"/>
                      <w:marRight w:val="0"/>
                      <w:marTop w:val="0"/>
                      <w:marBottom w:val="0"/>
                      <w:divBdr>
                        <w:top w:val="none" w:sz="0" w:space="0" w:color="auto"/>
                        <w:left w:val="none" w:sz="0" w:space="0" w:color="auto"/>
                        <w:bottom w:val="none" w:sz="0" w:space="0" w:color="auto"/>
                        <w:right w:val="none" w:sz="0" w:space="0" w:color="auto"/>
                      </w:divBdr>
                    </w:div>
                  </w:divsChild>
                </w:div>
                <w:div w:id="65347975">
                  <w:marLeft w:val="0"/>
                  <w:marRight w:val="0"/>
                  <w:marTop w:val="0"/>
                  <w:marBottom w:val="0"/>
                  <w:divBdr>
                    <w:top w:val="none" w:sz="0" w:space="0" w:color="auto"/>
                    <w:left w:val="none" w:sz="0" w:space="0" w:color="auto"/>
                    <w:bottom w:val="none" w:sz="0" w:space="0" w:color="auto"/>
                    <w:right w:val="none" w:sz="0" w:space="0" w:color="auto"/>
                  </w:divBdr>
                  <w:divsChild>
                    <w:div w:id="605621262">
                      <w:marLeft w:val="0"/>
                      <w:marRight w:val="0"/>
                      <w:marTop w:val="0"/>
                      <w:marBottom w:val="0"/>
                      <w:divBdr>
                        <w:top w:val="none" w:sz="0" w:space="0" w:color="auto"/>
                        <w:left w:val="none" w:sz="0" w:space="0" w:color="auto"/>
                        <w:bottom w:val="none" w:sz="0" w:space="0" w:color="auto"/>
                        <w:right w:val="none" w:sz="0" w:space="0" w:color="auto"/>
                      </w:divBdr>
                    </w:div>
                  </w:divsChild>
                </w:div>
                <w:div w:id="72316272">
                  <w:marLeft w:val="0"/>
                  <w:marRight w:val="0"/>
                  <w:marTop w:val="0"/>
                  <w:marBottom w:val="0"/>
                  <w:divBdr>
                    <w:top w:val="none" w:sz="0" w:space="0" w:color="auto"/>
                    <w:left w:val="none" w:sz="0" w:space="0" w:color="auto"/>
                    <w:bottom w:val="none" w:sz="0" w:space="0" w:color="auto"/>
                    <w:right w:val="none" w:sz="0" w:space="0" w:color="auto"/>
                  </w:divBdr>
                  <w:divsChild>
                    <w:div w:id="977681569">
                      <w:marLeft w:val="0"/>
                      <w:marRight w:val="0"/>
                      <w:marTop w:val="0"/>
                      <w:marBottom w:val="0"/>
                      <w:divBdr>
                        <w:top w:val="none" w:sz="0" w:space="0" w:color="auto"/>
                        <w:left w:val="none" w:sz="0" w:space="0" w:color="auto"/>
                        <w:bottom w:val="none" w:sz="0" w:space="0" w:color="auto"/>
                        <w:right w:val="none" w:sz="0" w:space="0" w:color="auto"/>
                      </w:divBdr>
                    </w:div>
                  </w:divsChild>
                </w:div>
                <w:div w:id="90325728">
                  <w:marLeft w:val="0"/>
                  <w:marRight w:val="0"/>
                  <w:marTop w:val="0"/>
                  <w:marBottom w:val="0"/>
                  <w:divBdr>
                    <w:top w:val="none" w:sz="0" w:space="0" w:color="auto"/>
                    <w:left w:val="none" w:sz="0" w:space="0" w:color="auto"/>
                    <w:bottom w:val="none" w:sz="0" w:space="0" w:color="auto"/>
                    <w:right w:val="none" w:sz="0" w:space="0" w:color="auto"/>
                  </w:divBdr>
                  <w:divsChild>
                    <w:div w:id="401147534">
                      <w:marLeft w:val="0"/>
                      <w:marRight w:val="0"/>
                      <w:marTop w:val="0"/>
                      <w:marBottom w:val="0"/>
                      <w:divBdr>
                        <w:top w:val="none" w:sz="0" w:space="0" w:color="auto"/>
                        <w:left w:val="none" w:sz="0" w:space="0" w:color="auto"/>
                        <w:bottom w:val="none" w:sz="0" w:space="0" w:color="auto"/>
                        <w:right w:val="none" w:sz="0" w:space="0" w:color="auto"/>
                      </w:divBdr>
                    </w:div>
                  </w:divsChild>
                </w:div>
                <w:div w:id="116341082">
                  <w:marLeft w:val="0"/>
                  <w:marRight w:val="0"/>
                  <w:marTop w:val="0"/>
                  <w:marBottom w:val="0"/>
                  <w:divBdr>
                    <w:top w:val="none" w:sz="0" w:space="0" w:color="auto"/>
                    <w:left w:val="none" w:sz="0" w:space="0" w:color="auto"/>
                    <w:bottom w:val="none" w:sz="0" w:space="0" w:color="auto"/>
                    <w:right w:val="none" w:sz="0" w:space="0" w:color="auto"/>
                  </w:divBdr>
                  <w:divsChild>
                    <w:div w:id="1052195337">
                      <w:marLeft w:val="0"/>
                      <w:marRight w:val="0"/>
                      <w:marTop w:val="0"/>
                      <w:marBottom w:val="0"/>
                      <w:divBdr>
                        <w:top w:val="none" w:sz="0" w:space="0" w:color="auto"/>
                        <w:left w:val="none" w:sz="0" w:space="0" w:color="auto"/>
                        <w:bottom w:val="none" w:sz="0" w:space="0" w:color="auto"/>
                        <w:right w:val="none" w:sz="0" w:space="0" w:color="auto"/>
                      </w:divBdr>
                    </w:div>
                  </w:divsChild>
                </w:div>
                <w:div w:id="146366431">
                  <w:marLeft w:val="0"/>
                  <w:marRight w:val="0"/>
                  <w:marTop w:val="0"/>
                  <w:marBottom w:val="0"/>
                  <w:divBdr>
                    <w:top w:val="none" w:sz="0" w:space="0" w:color="auto"/>
                    <w:left w:val="none" w:sz="0" w:space="0" w:color="auto"/>
                    <w:bottom w:val="none" w:sz="0" w:space="0" w:color="auto"/>
                    <w:right w:val="none" w:sz="0" w:space="0" w:color="auto"/>
                  </w:divBdr>
                  <w:divsChild>
                    <w:div w:id="1399283292">
                      <w:marLeft w:val="0"/>
                      <w:marRight w:val="0"/>
                      <w:marTop w:val="0"/>
                      <w:marBottom w:val="0"/>
                      <w:divBdr>
                        <w:top w:val="none" w:sz="0" w:space="0" w:color="auto"/>
                        <w:left w:val="none" w:sz="0" w:space="0" w:color="auto"/>
                        <w:bottom w:val="none" w:sz="0" w:space="0" w:color="auto"/>
                        <w:right w:val="none" w:sz="0" w:space="0" w:color="auto"/>
                      </w:divBdr>
                    </w:div>
                  </w:divsChild>
                </w:div>
                <w:div w:id="226915054">
                  <w:marLeft w:val="0"/>
                  <w:marRight w:val="0"/>
                  <w:marTop w:val="0"/>
                  <w:marBottom w:val="0"/>
                  <w:divBdr>
                    <w:top w:val="none" w:sz="0" w:space="0" w:color="auto"/>
                    <w:left w:val="none" w:sz="0" w:space="0" w:color="auto"/>
                    <w:bottom w:val="none" w:sz="0" w:space="0" w:color="auto"/>
                    <w:right w:val="none" w:sz="0" w:space="0" w:color="auto"/>
                  </w:divBdr>
                  <w:divsChild>
                    <w:div w:id="2142765360">
                      <w:marLeft w:val="0"/>
                      <w:marRight w:val="0"/>
                      <w:marTop w:val="0"/>
                      <w:marBottom w:val="0"/>
                      <w:divBdr>
                        <w:top w:val="none" w:sz="0" w:space="0" w:color="auto"/>
                        <w:left w:val="none" w:sz="0" w:space="0" w:color="auto"/>
                        <w:bottom w:val="none" w:sz="0" w:space="0" w:color="auto"/>
                        <w:right w:val="none" w:sz="0" w:space="0" w:color="auto"/>
                      </w:divBdr>
                    </w:div>
                  </w:divsChild>
                </w:div>
                <w:div w:id="234359246">
                  <w:marLeft w:val="0"/>
                  <w:marRight w:val="0"/>
                  <w:marTop w:val="0"/>
                  <w:marBottom w:val="0"/>
                  <w:divBdr>
                    <w:top w:val="none" w:sz="0" w:space="0" w:color="auto"/>
                    <w:left w:val="none" w:sz="0" w:space="0" w:color="auto"/>
                    <w:bottom w:val="none" w:sz="0" w:space="0" w:color="auto"/>
                    <w:right w:val="none" w:sz="0" w:space="0" w:color="auto"/>
                  </w:divBdr>
                  <w:divsChild>
                    <w:div w:id="1725564402">
                      <w:marLeft w:val="0"/>
                      <w:marRight w:val="0"/>
                      <w:marTop w:val="0"/>
                      <w:marBottom w:val="0"/>
                      <w:divBdr>
                        <w:top w:val="none" w:sz="0" w:space="0" w:color="auto"/>
                        <w:left w:val="none" w:sz="0" w:space="0" w:color="auto"/>
                        <w:bottom w:val="none" w:sz="0" w:space="0" w:color="auto"/>
                        <w:right w:val="none" w:sz="0" w:space="0" w:color="auto"/>
                      </w:divBdr>
                    </w:div>
                  </w:divsChild>
                </w:div>
                <w:div w:id="256914055">
                  <w:marLeft w:val="0"/>
                  <w:marRight w:val="0"/>
                  <w:marTop w:val="0"/>
                  <w:marBottom w:val="0"/>
                  <w:divBdr>
                    <w:top w:val="none" w:sz="0" w:space="0" w:color="auto"/>
                    <w:left w:val="none" w:sz="0" w:space="0" w:color="auto"/>
                    <w:bottom w:val="none" w:sz="0" w:space="0" w:color="auto"/>
                    <w:right w:val="none" w:sz="0" w:space="0" w:color="auto"/>
                  </w:divBdr>
                  <w:divsChild>
                    <w:div w:id="1326275027">
                      <w:marLeft w:val="0"/>
                      <w:marRight w:val="0"/>
                      <w:marTop w:val="0"/>
                      <w:marBottom w:val="0"/>
                      <w:divBdr>
                        <w:top w:val="none" w:sz="0" w:space="0" w:color="auto"/>
                        <w:left w:val="none" w:sz="0" w:space="0" w:color="auto"/>
                        <w:bottom w:val="none" w:sz="0" w:space="0" w:color="auto"/>
                        <w:right w:val="none" w:sz="0" w:space="0" w:color="auto"/>
                      </w:divBdr>
                    </w:div>
                  </w:divsChild>
                </w:div>
                <w:div w:id="267468400">
                  <w:marLeft w:val="0"/>
                  <w:marRight w:val="0"/>
                  <w:marTop w:val="0"/>
                  <w:marBottom w:val="0"/>
                  <w:divBdr>
                    <w:top w:val="none" w:sz="0" w:space="0" w:color="auto"/>
                    <w:left w:val="none" w:sz="0" w:space="0" w:color="auto"/>
                    <w:bottom w:val="none" w:sz="0" w:space="0" w:color="auto"/>
                    <w:right w:val="none" w:sz="0" w:space="0" w:color="auto"/>
                  </w:divBdr>
                  <w:divsChild>
                    <w:div w:id="644313610">
                      <w:marLeft w:val="0"/>
                      <w:marRight w:val="0"/>
                      <w:marTop w:val="0"/>
                      <w:marBottom w:val="0"/>
                      <w:divBdr>
                        <w:top w:val="none" w:sz="0" w:space="0" w:color="auto"/>
                        <w:left w:val="none" w:sz="0" w:space="0" w:color="auto"/>
                        <w:bottom w:val="none" w:sz="0" w:space="0" w:color="auto"/>
                        <w:right w:val="none" w:sz="0" w:space="0" w:color="auto"/>
                      </w:divBdr>
                    </w:div>
                  </w:divsChild>
                </w:div>
                <w:div w:id="270672018">
                  <w:marLeft w:val="0"/>
                  <w:marRight w:val="0"/>
                  <w:marTop w:val="0"/>
                  <w:marBottom w:val="0"/>
                  <w:divBdr>
                    <w:top w:val="none" w:sz="0" w:space="0" w:color="auto"/>
                    <w:left w:val="none" w:sz="0" w:space="0" w:color="auto"/>
                    <w:bottom w:val="none" w:sz="0" w:space="0" w:color="auto"/>
                    <w:right w:val="none" w:sz="0" w:space="0" w:color="auto"/>
                  </w:divBdr>
                  <w:divsChild>
                    <w:div w:id="1966429594">
                      <w:marLeft w:val="0"/>
                      <w:marRight w:val="0"/>
                      <w:marTop w:val="0"/>
                      <w:marBottom w:val="0"/>
                      <w:divBdr>
                        <w:top w:val="none" w:sz="0" w:space="0" w:color="auto"/>
                        <w:left w:val="none" w:sz="0" w:space="0" w:color="auto"/>
                        <w:bottom w:val="none" w:sz="0" w:space="0" w:color="auto"/>
                        <w:right w:val="none" w:sz="0" w:space="0" w:color="auto"/>
                      </w:divBdr>
                    </w:div>
                  </w:divsChild>
                </w:div>
                <w:div w:id="307906472">
                  <w:marLeft w:val="0"/>
                  <w:marRight w:val="0"/>
                  <w:marTop w:val="0"/>
                  <w:marBottom w:val="0"/>
                  <w:divBdr>
                    <w:top w:val="none" w:sz="0" w:space="0" w:color="auto"/>
                    <w:left w:val="none" w:sz="0" w:space="0" w:color="auto"/>
                    <w:bottom w:val="none" w:sz="0" w:space="0" w:color="auto"/>
                    <w:right w:val="none" w:sz="0" w:space="0" w:color="auto"/>
                  </w:divBdr>
                  <w:divsChild>
                    <w:div w:id="644089503">
                      <w:marLeft w:val="0"/>
                      <w:marRight w:val="0"/>
                      <w:marTop w:val="0"/>
                      <w:marBottom w:val="0"/>
                      <w:divBdr>
                        <w:top w:val="none" w:sz="0" w:space="0" w:color="auto"/>
                        <w:left w:val="none" w:sz="0" w:space="0" w:color="auto"/>
                        <w:bottom w:val="none" w:sz="0" w:space="0" w:color="auto"/>
                        <w:right w:val="none" w:sz="0" w:space="0" w:color="auto"/>
                      </w:divBdr>
                    </w:div>
                  </w:divsChild>
                </w:div>
                <w:div w:id="321281990">
                  <w:marLeft w:val="0"/>
                  <w:marRight w:val="0"/>
                  <w:marTop w:val="0"/>
                  <w:marBottom w:val="0"/>
                  <w:divBdr>
                    <w:top w:val="none" w:sz="0" w:space="0" w:color="auto"/>
                    <w:left w:val="none" w:sz="0" w:space="0" w:color="auto"/>
                    <w:bottom w:val="none" w:sz="0" w:space="0" w:color="auto"/>
                    <w:right w:val="none" w:sz="0" w:space="0" w:color="auto"/>
                  </w:divBdr>
                  <w:divsChild>
                    <w:div w:id="1589270208">
                      <w:marLeft w:val="0"/>
                      <w:marRight w:val="0"/>
                      <w:marTop w:val="0"/>
                      <w:marBottom w:val="0"/>
                      <w:divBdr>
                        <w:top w:val="none" w:sz="0" w:space="0" w:color="auto"/>
                        <w:left w:val="none" w:sz="0" w:space="0" w:color="auto"/>
                        <w:bottom w:val="none" w:sz="0" w:space="0" w:color="auto"/>
                        <w:right w:val="none" w:sz="0" w:space="0" w:color="auto"/>
                      </w:divBdr>
                    </w:div>
                  </w:divsChild>
                </w:div>
                <w:div w:id="327631734">
                  <w:marLeft w:val="0"/>
                  <w:marRight w:val="0"/>
                  <w:marTop w:val="0"/>
                  <w:marBottom w:val="0"/>
                  <w:divBdr>
                    <w:top w:val="none" w:sz="0" w:space="0" w:color="auto"/>
                    <w:left w:val="none" w:sz="0" w:space="0" w:color="auto"/>
                    <w:bottom w:val="none" w:sz="0" w:space="0" w:color="auto"/>
                    <w:right w:val="none" w:sz="0" w:space="0" w:color="auto"/>
                  </w:divBdr>
                  <w:divsChild>
                    <w:div w:id="1577086627">
                      <w:marLeft w:val="0"/>
                      <w:marRight w:val="0"/>
                      <w:marTop w:val="0"/>
                      <w:marBottom w:val="0"/>
                      <w:divBdr>
                        <w:top w:val="none" w:sz="0" w:space="0" w:color="auto"/>
                        <w:left w:val="none" w:sz="0" w:space="0" w:color="auto"/>
                        <w:bottom w:val="none" w:sz="0" w:space="0" w:color="auto"/>
                        <w:right w:val="none" w:sz="0" w:space="0" w:color="auto"/>
                      </w:divBdr>
                    </w:div>
                  </w:divsChild>
                </w:div>
                <w:div w:id="358552421">
                  <w:marLeft w:val="0"/>
                  <w:marRight w:val="0"/>
                  <w:marTop w:val="0"/>
                  <w:marBottom w:val="0"/>
                  <w:divBdr>
                    <w:top w:val="none" w:sz="0" w:space="0" w:color="auto"/>
                    <w:left w:val="none" w:sz="0" w:space="0" w:color="auto"/>
                    <w:bottom w:val="none" w:sz="0" w:space="0" w:color="auto"/>
                    <w:right w:val="none" w:sz="0" w:space="0" w:color="auto"/>
                  </w:divBdr>
                  <w:divsChild>
                    <w:div w:id="1742436037">
                      <w:marLeft w:val="0"/>
                      <w:marRight w:val="0"/>
                      <w:marTop w:val="0"/>
                      <w:marBottom w:val="0"/>
                      <w:divBdr>
                        <w:top w:val="none" w:sz="0" w:space="0" w:color="auto"/>
                        <w:left w:val="none" w:sz="0" w:space="0" w:color="auto"/>
                        <w:bottom w:val="none" w:sz="0" w:space="0" w:color="auto"/>
                        <w:right w:val="none" w:sz="0" w:space="0" w:color="auto"/>
                      </w:divBdr>
                    </w:div>
                  </w:divsChild>
                </w:div>
                <w:div w:id="403374384">
                  <w:marLeft w:val="0"/>
                  <w:marRight w:val="0"/>
                  <w:marTop w:val="0"/>
                  <w:marBottom w:val="0"/>
                  <w:divBdr>
                    <w:top w:val="none" w:sz="0" w:space="0" w:color="auto"/>
                    <w:left w:val="none" w:sz="0" w:space="0" w:color="auto"/>
                    <w:bottom w:val="none" w:sz="0" w:space="0" w:color="auto"/>
                    <w:right w:val="none" w:sz="0" w:space="0" w:color="auto"/>
                  </w:divBdr>
                  <w:divsChild>
                    <w:div w:id="1982347278">
                      <w:marLeft w:val="0"/>
                      <w:marRight w:val="0"/>
                      <w:marTop w:val="0"/>
                      <w:marBottom w:val="0"/>
                      <w:divBdr>
                        <w:top w:val="none" w:sz="0" w:space="0" w:color="auto"/>
                        <w:left w:val="none" w:sz="0" w:space="0" w:color="auto"/>
                        <w:bottom w:val="none" w:sz="0" w:space="0" w:color="auto"/>
                        <w:right w:val="none" w:sz="0" w:space="0" w:color="auto"/>
                      </w:divBdr>
                    </w:div>
                  </w:divsChild>
                </w:div>
                <w:div w:id="403381727">
                  <w:marLeft w:val="0"/>
                  <w:marRight w:val="0"/>
                  <w:marTop w:val="0"/>
                  <w:marBottom w:val="0"/>
                  <w:divBdr>
                    <w:top w:val="none" w:sz="0" w:space="0" w:color="auto"/>
                    <w:left w:val="none" w:sz="0" w:space="0" w:color="auto"/>
                    <w:bottom w:val="none" w:sz="0" w:space="0" w:color="auto"/>
                    <w:right w:val="none" w:sz="0" w:space="0" w:color="auto"/>
                  </w:divBdr>
                  <w:divsChild>
                    <w:div w:id="781149679">
                      <w:marLeft w:val="0"/>
                      <w:marRight w:val="0"/>
                      <w:marTop w:val="0"/>
                      <w:marBottom w:val="0"/>
                      <w:divBdr>
                        <w:top w:val="none" w:sz="0" w:space="0" w:color="auto"/>
                        <w:left w:val="none" w:sz="0" w:space="0" w:color="auto"/>
                        <w:bottom w:val="none" w:sz="0" w:space="0" w:color="auto"/>
                        <w:right w:val="none" w:sz="0" w:space="0" w:color="auto"/>
                      </w:divBdr>
                    </w:div>
                  </w:divsChild>
                </w:div>
                <w:div w:id="403642977">
                  <w:marLeft w:val="0"/>
                  <w:marRight w:val="0"/>
                  <w:marTop w:val="0"/>
                  <w:marBottom w:val="0"/>
                  <w:divBdr>
                    <w:top w:val="none" w:sz="0" w:space="0" w:color="auto"/>
                    <w:left w:val="none" w:sz="0" w:space="0" w:color="auto"/>
                    <w:bottom w:val="none" w:sz="0" w:space="0" w:color="auto"/>
                    <w:right w:val="none" w:sz="0" w:space="0" w:color="auto"/>
                  </w:divBdr>
                  <w:divsChild>
                    <w:div w:id="619533208">
                      <w:marLeft w:val="0"/>
                      <w:marRight w:val="0"/>
                      <w:marTop w:val="0"/>
                      <w:marBottom w:val="0"/>
                      <w:divBdr>
                        <w:top w:val="none" w:sz="0" w:space="0" w:color="auto"/>
                        <w:left w:val="none" w:sz="0" w:space="0" w:color="auto"/>
                        <w:bottom w:val="none" w:sz="0" w:space="0" w:color="auto"/>
                        <w:right w:val="none" w:sz="0" w:space="0" w:color="auto"/>
                      </w:divBdr>
                    </w:div>
                  </w:divsChild>
                </w:div>
                <w:div w:id="404835902">
                  <w:marLeft w:val="0"/>
                  <w:marRight w:val="0"/>
                  <w:marTop w:val="0"/>
                  <w:marBottom w:val="0"/>
                  <w:divBdr>
                    <w:top w:val="none" w:sz="0" w:space="0" w:color="auto"/>
                    <w:left w:val="none" w:sz="0" w:space="0" w:color="auto"/>
                    <w:bottom w:val="none" w:sz="0" w:space="0" w:color="auto"/>
                    <w:right w:val="none" w:sz="0" w:space="0" w:color="auto"/>
                  </w:divBdr>
                  <w:divsChild>
                    <w:div w:id="1582833483">
                      <w:marLeft w:val="0"/>
                      <w:marRight w:val="0"/>
                      <w:marTop w:val="0"/>
                      <w:marBottom w:val="0"/>
                      <w:divBdr>
                        <w:top w:val="none" w:sz="0" w:space="0" w:color="auto"/>
                        <w:left w:val="none" w:sz="0" w:space="0" w:color="auto"/>
                        <w:bottom w:val="none" w:sz="0" w:space="0" w:color="auto"/>
                        <w:right w:val="none" w:sz="0" w:space="0" w:color="auto"/>
                      </w:divBdr>
                    </w:div>
                  </w:divsChild>
                </w:div>
                <w:div w:id="453642962">
                  <w:marLeft w:val="0"/>
                  <w:marRight w:val="0"/>
                  <w:marTop w:val="0"/>
                  <w:marBottom w:val="0"/>
                  <w:divBdr>
                    <w:top w:val="none" w:sz="0" w:space="0" w:color="auto"/>
                    <w:left w:val="none" w:sz="0" w:space="0" w:color="auto"/>
                    <w:bottom w:val="none" w:sz="0" w:space="0" w:color="auto"/>
                    <w:right w:val="none" w:sz="0" w:space="0" w:color="auto"/>
                  </w:divBdr>
                  <w:divsChild>
                    <w:div w:id="154616420">
                      <w:marLeft w:val="0"/>
                      <w:marRight w:val="0"/>
                      <w:marTop w:val="0"/>
                      <w:marBottom w:val="0"/>
                      <w:divBdr>
                        <w:top w:val="none" w:sz="0" w:space="0" w:color="auto"/>
                        <w:left w:val="none" w:sz="0" w:space="0" w:color="auto"/>
                        <w:bottom w:val="none" w:sz="0" w:space="0" w:color="auto"/>
                        <w:right w:val="none" w:sz="0" w:space="0" w:color="auto"/>
                      </w:divBdr>
                    </w:div>
                  </w:divsChild>
                </w:div>
                <w:div w:id="504974197">
                  <w:marLeft w:val="0"/>
                  <w:marRight w:val="0"/>
                  <w:marTop w:val="0"/>
                  <w:marBottom w:val="0"/>
                  <w:divBdr>
                    <w:top w:val="none" w:sz="0" w:space="0" w:color="auto"/>
                    <w:left w:val="none" w:sz="0" w:space="0" w:color="auto"/>
                    <w:bottom w:val="none" w:sz="0" w:space="0" w:color="auto"/>
                    <w:right w:val="none" w:sz="0" w:space="0" w:color="auto"/>
                  </w:divBdr>
                  <w:divsChild>
                    <w:div w:id="1856529679">
                      <w:marLeft w:val="0"/>
                      <w:marRight w:val="0"/>
                      <w:marTop w:val="0"/>
                      <w:marBottom w:val="0"/>
                      <w:divBdr>
                        <w:top w:val="none" w:sz="0" w:space="0" w:color="auto"/>
                        <w:left w:val="none" w:sz="0" w:space="0" w:color="auto"/>
                        <w:bottom w:val="none" w:sz="0" w:space="0" w:color="auto"/>
                        <w:right w:val="none" w:sz="0" w:space="0" w:color="auto"/>
                      </w:divBdr>
                    </w:div>
                  </w:divsChild>
                </w:div>
                <w:div w:id="580414504">
                  <w:marLeft w:val="0"/>
                  <w:marRight w:val="0"/>
                  <w:marTop w:val="0"/>
                  <w:marBottom w:val="0"/>
                  <w:divBdr>
                    <w:top w:val="none" w:sz="0" w:space="0" w:color="auto"/>
                    <w:left w:val="none" w:sz="0" w:space="0" w:color="auto"/>
                    <w:bottom w:val="none" w:sz="0" w:space="0" w:color="auto"/>
                    <w:right w:val="none" w:sz="0" w:space="0" w:color="auto"/>
                  </w:divBdr>
                  <w:divsChild>
                    <w:div w:id="400981425">
                      <w:marLeft w:val="0"/>
                      <w:marRight w:val="0"/>
                      <w:marTop w:val="0"/>
                      <w:marBottom w:val="0"/>
                      <w:divBdr>
                        <w:top w:val="none" w:sz="0" w:space="0" w:color="auto"/>
                        <w:left w:val="none" w:sz="0" w:space="0" w:color="auto"/>
                        <w:bottom w:val="none" w:sz="0" w:space="0" w:color="auto"/>
                        <w:right w:val="none" w:sz="0" w:space="0" w:color="auto"/>
                      </w:divBdr>
                    </w:div>
                  </w:divsChild>
                </w:div>
                <w:div w:id="659626532">
                  <w:marLeft w:val="0"/>
                  <w:marRight w:val="0"/>
                  <w:marTop w:val="0"/>
                  <w:marBottom w:val="0"/>
                  <w:divBdr>
                    <w:top w:val="none" w:sz="0" w:space="0" w:color="auto"/>
                    <w:left w:val="none" w:sz="0" w:space="0" w:color="auto"/>
                    <w:bottom w:val="none" w:sz="0" w:space="0" w:color="auto"/>
                    <w:right w:val="none" w:sz="0" w:space="0" w:color="auto"/>
                  </w:divBdr>
                  <w:divsChild>
                    <w:div w:id="559948697">
                      <w:marLeft w:val="0"/>
                      <w:marRight w:val="0"/>
                      <w:marTop w:val="0"/>
                      <w:marBottom w:val="0"/>
                      <w:divBdr>
                        <w:top w:val="none" w:sz="0" w:space="0" w:color="auto"/>
                        <w:left w:val="none" w:sz="0" w:space="0" w:color="auto"/>
                        <w:bottom w:val="none" w:sz="0" w:space="0" w:color="auto"/>
                        <w:right w:val="none" w:sz="0" w:space="0" w:color="auto"/>
                      </w:divBdr>
                    </w:div>
                  </w:divsChild>
                </w:div>
                <w:div w:id="712847086">
                  <w:marLeft w:val="0"/>
                  <w:marRight w:val="0"/>
                  <w:marTop w:val="0"/>
                  <w:marBottom w:val="0"/>
                  <w:divBdr>
                    <w:top w:val="none" w:sz="0" w:space="0" w:color="auto"/>
                    <w:left w:val="none" w:sz="0" w:space="0" w:color="auto"/>
                    <w:bottom w:val="none" w:sz="0" w:space="0" w:color="auto"/>
                    <w:right w:val="none" w:sz="0" w:space="0" w:color="auto"/>
                  </w:divBdr>
                  <w:divsChild>
                    <w:div w:id="865757222">
                      <w:marLeft w:val="0"/>
                      <w:marRight w:val="0"/>
                      <w:marTop w:val="0"/>
                      <w:marBottom w:val="0"/>
                      <w:divBdr>
                        <w:top w:val="none" w:sz="0" w:space="0" w:color="auto"/>
                        <w:left w:val="none" w:sz="0" w:space="0" w:color="auto"/>
                        <w:bottom w:val="none" w:sz="0" w:space="0" w:color="auto"/>
                        <w:right w:val="none" w:sz="0" w:space="0" w:color="auto"/>
                      </w:divBdr>
                    </w:div>
                  </w:divsChild>
                </w:div>
                <w:div w:id="715591272">
                  <w:marLeft w:val="0"/>
                  <w:marRight w:val="0"/>
                  <w:marTop w:val="0"/>
                  <w:marBottom w:val="0"/>
                  <w:divBdr>
                    <w:top w:val="none" w:sz="0" w:space="0" w:color="auto"/>
                    <w:left w:val="none" w:sz="0" w:space="0" w:color="auto"/>
                    <w:bottom w:val="none" w:sz="0" w:space="0" w:color="auto"/>
                    <w:right w:val="none" w:sz="0" w:space="0" w:color="auto"/>
                  </w:divBdr>
                  <w:divsChild>
                    <w:div w:id="36590202">
                      <w:marLeft w:val="0"/>
                      <w:marRight w:val="0"/>
                      <w:marTop w:val="0"/>
                      <w:marBottom w:val="0"/>
                      <w:divBdr>
                        <w:top w:val="none" w:sz="0" w:space="0" w:color="auto"/>
                        <w:left w:val="none" w:sz="0" w:space="0" w:color="auto"/>
                        <w:bottom w:val="none" w:sz="0" w:space="0" w:color="auto"/>
                        <w:right w:val="none" w:sz="0" w:space="0" w:color="auto"/>
                      </w:divBdr>
                    </w:div>
                  </w:divsChild>
                </w:div>
                <w:div w:id="739640330">
                  <w:marLeft w:val="0"/>
                  <w:marRight w:val="0"/>
                  <w:marTop w:val="0"/>
                  <w:marBottom w:val="0"/>
                  <w:divBdr>
                    <w:top w:val="none" w:sz="0" w:space="0" w:color="auto"/>
                    <w:left w:val="none" w:sz="0" w:space="0" w:color="auto"/>
                    <w:bottom w:val="none" w:sz="0" w:space="0" w:color="auto"/>
                    <w:right w:val="none" w:sz="0" w:space="0" w:color="auto"/>
                  </w:divBdr>
                  <w:divsChild>
                    <w:div w:id="826362956">
                      <w:marLeft w:val="0"/>
                      <w:marRight w:val="0"/>
                      <w:marTop w:val="0"/>
                      <w:marBottom w:val="0"/>
                      <w:divBdr>
                        <w:top w:val="none" w:sz="0" w:space="0" w:color="auto"/>
                        <w:left w:val="none" w:sz="0" w:space="0" w:color="auto"/>
                        <w:bottom w:val="none" w:sz="0" w:space="0" w:color="auto"/>
                        <w:right w:val="none" w:sz="0" w:space="0" w:color="auto"/>
                      </w:divBdr>
                    </w:div>
                  </w:divsChild>
                </w:div>
                <w:div w:id="787627185">
                  <w:marLeft w:val="0"/>
                  <w:marRight w:val="0"/>
                  <w:marTop w:val="0"/>
                  <w:marBottom w:val="0"/>
                  <w:divBdr>
                    <w:top w:val="none" w:sz="0" w:space="0" w:color="auto"/>
                    <w:left w:val="none" w:sz="0" w:space="0" w:color="auto"/>
                    <w:bottom w:val="none" w:sz="0" w:space="0" w:color="auto"/>
                    <w:right w:val="none" w:sz="0" w:space="0" w:color="auto"/>
                  </w:divBdr>
                  <w:divsChild>
                    <w:div w:id="1255237090">
                      <w:marLeft w:val="0"/>
                      <w:marRight w:val="0"/>
                      <w:marTop w:val="0"/>
                      <w:marBottom w:val="0"/>
                      <w:divBdr>
                        <w:top w:val="none" w:sz="0" w:space="0" w:color="auto"/>
                        <w:left w:val="none" w:sz="0" w:space="0" w:color="auto"/>
                        <w:bottom w:val="none" w:sz="0" w:space="0" w:color="auto"/>
                        <w:right w:val="none" w:sz="0" w:space="0" w:color="auto"/>
                      </w:divBdr>
                    </w:div>
                  </w:divsChild>
                </w:div>
                <w:div w:id="811142659">
                  <w:marLeft w:val="0"/>
                  <w:marRight w:val="0"/>
                  <w:marTop w:val="0"/>
                  <w:marBottom w:val="0"/>
                  <w:divBdr>
                    <w:top w:val="none" w:sz="0" w:space="0" w:color="auto"/>
                    <w:left w:val="none" w:sz="0" w:space="0" w:color="auto"/>
                    <w:bottom w:val="none" w:sz="0" w:space="0" w:color="auto"/>
                    <w:right w:val="none" w:sz="0" w:space="0" w:color="auto"/>
                  </w:divBdr>
                  <w:divsChild>
                    <w:div w:id="310595197">
                      <w:marLeft w:val="0"/>
                      <w:marRight w:val="0"/>
                      <w:marTop w:val="0"/>
                      <w:marBottom w:val="0"/>
                      <w:divBdr>
                        <w:top w:val="none" w:sz="0" w:space="0" w:color="auto"/>
                        <w:left w:val="none" w:sz="0" w:space="0" w:color="auto"/>
                        <w:bottom w:val="none" w:sz="0" w:space="0" w:color="auto"/>
                        <w:right w:val="none" w:sz="0" w:space="0" w:color="auto"/>
                      </w:divBdr>
                    </w:div>
                  </w:divsChild>
                </w:div>
                <w:div w:id="845680280">
                  <w:marLeft w:val="0"/>
                  <w:marRight w:val="0"/>
                  <w:marTop w:val="0"/>
                  <w:marBottom w:val="0"/>
                  <w:divBdr>
                    <w:top w:val="none" w:sz="0" w:space="0" w:color="auto"/>
                    <w:left w:val="none" w:sz="0" w:space="0" w:color="auto"/>
                    <w:bottom w:val="none" w:sz="0" w:space="0" w:color="auto"/>
                    <w:right w:val="none" w:sz="0" w:space="0" w:color="auto"/>
                  </w:divBdr>
                  <w:divsChild>
                    <w:div w:id="318265795">
                      <w:marLeft w:val="0"/>
                      <w:marRight w:val="0"/>
                      <w:marTop w:val="0"/>
                      <w:marBottom w:val="0"/>
                      <w:divBdr>
                        <w:top w:val="none" w:sz="0" w:space="0" w:color="auto"/>
                        <w:left w:val="none" w:sz="0" w:space="0" w:color="auto"/>
                        <w:bottom w:val="none" w:sz="0" w:space="0" w:color="auto"/>
                        <w:right w:val="none" w:sz="0" w:space="0" w:color="auto"/>
                      </w:divBdr>
                    </w:div>
                  </w:divsChild>
                </w:div>
                <w:div w:id="868377336">
                  <w:marLeft w:val="0"/>
                  <w:marRight w:val="0"/>
                  <w:marTop w:val="0"/>
                  <w:marBottom w:val="0"/>
                  <w:divBdr>
                    <w:top w:val="none" w:sz="0" w:space="0" w:color="auto"/>
                    <w:left w:val="none" w:sz="0" w:space="0" w:color="auto"/>
                    <w:bottom w:val="none" w:sz="0" w:space="0" w:color="auto"/>
                    <w:right w:val="none" w:sz="0" w:space="0" w:color="auto"/>
                  </w:divBdr>
                  <w:divsChild>
                    <w:div w:id="464087572">
                      <w:marLeft w:val="0"/>
                      <w:marRight w:val="0"/>
                      <w:marTop w:val="0"/>
                      <w:marBottom w:val="0"/>
                      <w:divBdr>
                        <w:top w:val="none" w:sz="0" w:space="0" w:color="auto"/>
                        <w:left w:val="none" w:sz="0" w:space="0" w:color="auto"/>
                        <w:bottom w:val="none" w:sz="0" w:space="0" w:color="auto"/>
                        <w:right w:val="none" w:sz="0" w:space="0" w:color="auto"/>
                      </w:divBdr>
                    </w:div>
                  </w:divsChild>
                </w:div>
                <w:div w:id="912394524">
                  <w:marLeft w:val="0"/>
                  <w:marRight w:val="0"/>
                  <w:marTop w:val="0"/>
                  <w:marBottom w:val="0"/>
                  <w:divBdr>
                    <w:top w:val="none" w:sz="0" w:space="0" w:color="auto"/>
                    <w:left w:val="none" w:sz="0" w:space="0" w:color="auto"/>
                    <w:bottom w:val="none" w:sz="0" w:space="0" w:color="auto"/>
                    <w:right w:val="none" w:sz="0" w:space="0" w:color="auto"/>
                  </w:divBdr>
                  <w:divsChild>
                    <w:div w:id="1713647697">
                      <w:marLeft w:val="0"/>
                      <w:marRight w:val="0"/>
                      <w:marTop w:val="0"/>
                      <w:marBottom w:val="0"/>
                      <w:divBdr>
                        <w:top w:val="none" w:sz="0" w:space="0" w:color="auto"/>
                        <w:left w:val="none" w:sz="0" w:space="0" w:color="auto"/>
                        <w:bottom w:val="none" w:sz="0" w:space="0" w:color="auto"/>
                        <w:right w:val="none" w:sz="0" w:space="0" w:color="auto"/>
                      </w:divBdr>
                    </w:div>
                  </w:divsChild>
                </w:div>
                <w:div w:id="927540713">
                  <w:marLeft w:val="0"/>
                  <w:marRight w:val="0"/>
                  <w:marTop w:val="0"/>
                  <w:marBottom w:val="0"/>
                  <w:divBdr>
                    <w:top w:val="none" w:sz="0" w:space="0" w:color="auto"/>
                    <w:left w:val="none" w:sz="0" w:space="0" w:color="auto"/>
                    <w:bottom w:val="none" w:sz="0" w:space="0" w:color="auto"/>
                    <w:right w:val="none" w:sz="0" w:space="0" w:color="auto"/>
                  </w:divBdr>
                  <w:divsChild>
                    <w:div w:id="1736664856">
                      <w:marLeft w:val="0"/>
                      <w:marRight w:val="0"/>
                      <w:marTop w:val="0"/>
                      <w:marBottom w:val="0"/>
                      <w:divBdr>
                        <w:top w:val="none" w:sz="0" w:space="0" w:color="auto"/>
                        <w:left w:val="none" w:sz="0" w:space="0" w:color="auto"/>
                        <w:bottom w:val="none" w:sz="0" w:space="0" w:color="auto"/>
                        <w:right w:val="none" w:sz="0" w:space="0" w:color="auto"/>
                      </w:divBdr>
                    </w:div>
                  </w:divsChild>
                </w:div>
                <w:div w:id="935942839">
                  <w:marLeft w:val="0"/>
                  <w:marRight w:val="0"/>
                  <w:marTop w:val="0"/>
                  <w:marBottom w:val="0"/>
                  <w:divBdr>
                    <w:top w:val="none" w:sz="0" w:space="0" w:color="auto"/>
                    <w:left w:val="none" w:sz="0" w:space="0" w:color="auto"/>
                    <w:bottom w:val="none" w:sz="0" w:space="0" w:color="auto"/>
                    <w:right w:val="none" w:sz="0" w:space="0" w:color="auto"/>
                  </w:divBdr>
                  <w:divsChild>
                    <w:div w:id="622544649">
                      <w:marLeft w:val="0"/>
                      <w:marRight w:val="0"/>
                      <w:marTop w:val="0"/>
                      <w:marBottom w:val="0"/>
                      <w:divBdr>
                        <w:top w:val="none" w:sz="0" w:space="0" w:color="auto"/>
                        <w:left w:val="none" w:sz="0" w:space="0" w:color="auto"/>
                        <w:bottom w:val="none" w:sz="0" w:space="0" w:color="auto"/>
                        <w:right w:val="none" w:sz="0" w:space="0" w:color="auto"/>
                      </w:divBdr>
                    </w:div>
                  </w:divsChild>
                </w:div>
                <w:div w:id="952325894">
                  <w:marLeft w:val="0"/>
                  <w:marRight w:val="0"/>
                  <w:marTop w:val="0"/>
                  <w:marBottom w:val="0"/>
                  <w:divBdr>
                    <w:top w:val="none" w:sz="0" w:space="0" w:color="auto"/>
                    <w:left w:val="none" w:sz="0" w:space="0" w:color="auto"/>
                    <w:bottom w:val="none" w:sz="0" w:space="0" w:color="auto"/>
                    <w:right w:val="none" w:sz="0" w:space="0" w:color="auto"/>
                  </w:divBdr>
                  <w:divsChild>
                    <w:div w:id="301352946">
                      <w:marLeft w:val="0"/>
                      <w:marRight w:val="0"/>
                      <w:marTop w:val="0"/>
                      <w:marBottom w:val="0"/>
                      <w:divBdr>
                        <w:top w:val="none" w:sz="0" w:space="0" w:color="auto"/>
                        <w:left w:val="none" w:sz="0" w:space="0" w:color="auto"/>
                        <w:bottom w:val="none" w:sz="0" w:space="0" w:color="auto"/>
                        <w:right w:val="none" w:sz="0" w:space="0" w:color="auto"/>
                      </w:divBdr>
                    </w:div>
                  </w:divsChild>
                </w:div>
                <w:div w:id="953174815">
                  <w:marLeft w:val="0"/>
                  <w:marRight w:val="0"/>
                  <w:marTop w:val="0"/>
                  <w:marBottom w:val="0"/>
                  <w:divBdr>
                    <w:top w:val="none" w:sz="0" w:space="0" w:color="auto"/>
                    <w:left w:val="none" w:sz="0" w:space="0" w:color="auto"/>
                    <w:bottom w:val="none" w:sz="0" w:space="0" w:color="auto"/>
                    <w:right w:val="none" w:sz="0" w:space="0" w:color="auto"/>
                  </w:divBdr>
                  <w:divsChild>
                    <w:div w:id="61832913">
                      <w:marLeft w:val="0"/>
                      <w:marRight w:val="0"/>
                      <w:marTop w:val="0"/>
                      <w:marBottom w:val="0"/>
                      <w:divBdr>
                        <w:top w:val="none" w:sz="0" w:space="0" w:color="auto"/>
                        <w:left w:val="none" w:sz="0" w:space="0" w:color="auto"/>
                        <w:bottom w:val="none" w:sz="0" w:space="0" w:color="auto"/>
                        <w:right w:val="none" w:sz="0" w:space="0" w:color="auto"/>
                      </w:divBdr>
                    </w:div>
                  </w:divsChild>
                </w:div>
                <w:div w:id="989484942">
                  <w:marLeft w:val="0"/>
                  <w:marRight w:val="0"/>
                  <w:marTop w:val="0"/>
                  <w:marBottom w:val="0"/>
                  <w:divBdr>
                    <w:top w:val="none" w:sz="0" w:space="0" w:color="auto"/>
                    <w:left w:val="none" w:sz="0" w:space="0" w:color="auto"/>
                    <w:bottom w:val="none" w:sz="0" w:space="0" w:color="auto"/>
                    <w:right w:val="none" w:sz="0" w:space="0" w:color="auto"/>
                  </w:divBdr>
                  <w:divsChild>
                    <w:div w:id="780540287">
                      <w:marLeft w:val="0"/>
                      <w:marRight w:val="0"/>
                      <w:marTop w:val="0"/>
                      <w:marBottom w:val="0"/>
                      <w:divBdr>
                        <w:top w:val="none" w:sz="0" w:space="0" w:color="auto"/>
                        <w:left w:val="none" w:sz="0" w:space="0" w:color="auto"/>
                        <w:bottom w:val="none" w:sz="0" w:space="0" w:color="auto"/>
                        <w:right w:val="none" w:sz="0" w:space="0" w:color="auto"/>
                      </w:divBdr>
                    </w:div>
                  </w:divsChild>
                </w:div>
                <w:div w:id="1040471835">
                  <w:marLeft w:val="0"/>
                  <w:marRight w:val="0"/>
                  <w:marTop w:val="0"/>
                  <w:marBottom w:val="0"/>
                  <w:divBdr>
                    <w:top w:val="none" w:sz="0" w:space="0" w:color="auto"/>
                    <w:left w:val="none" w:sz="0" w:space="0" w:color="auto"/>
                    <w:bottom w:val="none" w:sz="0" w:space="0" w:color="auto"/>
                    <w:right w:val="none" w:sz="0" w:space="0" w:color="auto"/>
                  </w:divBdr>
                  <w:divsChild>
                    <w:div w:id="1958099180">
                      <w:marLeft w:val="0"/>
                      <w:marRight w:val="0"/>
                      <w:marTop w:val="0"/>
                      <w:marBottom w:val="0"/>
                      <w:divBdr>
                        <w:top w:val="none" w:sz="0" w:space="0" w:color="auto"/>
                        <w:left w:val="none" w:sz="0" w:space="0" w:color="auto"/>
                        <w:bottom w:val="none" w:sz="0" w:space="0" w:color="auto"/>
                        <w:right w:val="none" w:sz="0" w:space="0" w:color="auto"/>
                      </w:divBdr>
                    </w:div>
                  </w:divsChild>
                </w:div>
                <w:div w:id="1075081778">
                  <w:marLeft w:val="0"/>
                  <w:marRight w:val="0"/>
                  <w:marTop w:val="0"/>
                  <w:marBottom w:val="0"/>
                  <w:divBdr>
                    <w:top w:val="none" w:sz="0" w:space="0" w:color="auto"/>
                    <w:left w:val="none" w:sz="0" w:space="0" w:color="auto"/>
                    <w:bottom w:val="none" w:sz="0" w:space="0" w:color="auto"/>
                    <w:right w:val="none" w:sz="0" w:space="0" w:color="auto"/>
                  </w:divBdr>
                  <w:divsChild>
                    <w:div w:id="1483963422">
                      <w:marLeft w:val="0"/>
                      <w:marRight w:val="0"/>
                      <w:marTop w:val="0"/>
                      <w:marBottom w:val="0"/>
                      <w:divBdr>
                        <w:top w:val="none" w:sz="0" w:space="0" w:color="auto"/>
                        <w:left w:val="none" w:sz="0" w:space="0" w:color="auto"/>
                        <w:bottom w:val="none" w:sz="0" w:space="0" w:color="auto"/>
                        <w:right w:val="none" w:sz="0" w:space="0" w:color="auto"/>
                      </w:divBdr>
                    </w:div>
                  </w:divsChild>
                </w:div>
                <w:div w:id="1101098963">
                  <w:marLeft w:val="0"/>
                  <w:marRight w:val="0"/>
                  <w:marTop w:val="0"/>
                  <w:marBottom w:val="0"/>
                  <w:divBdr>
                    <w:top w:val="none" w:sz="0" w:space="0" w:color="auto"/>
                    <w:left w:val="none" w:sz="0" w:space="0" w:color="auto"/>
                    <w:bottom w:val="none" w:sz="0" w:space="0" w:color="auto"/>
                    <w:right w:val="none" w:sz="0" w:space="0" w:color="auto"/>
                  </w:divBdr>
                  <w:divsChild>
                    <w:div w:id="236324686">
                      <w:marLeft w:val="0"/>
                      <w:marRight w:val="0"/>
                      <w:marTop w:val="0"/>
                      <w:marBottom w:val="0"/>
                      <w:divBdr>
                        <w:top w:val="none" w:sz="0" w:space="0" w:color="auto"/>
                        <w:left w:val="none" w:sz="0" w:space="0" w:color="auto"/>
                        <w:bottom w:val="none" w:sz="0" w:space="0" w:color="auto"/>
                        <w:right w:val="none" w:sz="0" w:space="0" w:color="auto"/>
                      </w:divBdr>
                    </w:div>
                  </w:divsChild>
                </w:div>
                <w:div w:id="1205293392">
                  <w:marLeft w:val="0"/>
                  <w:marRight w:val="0"/>
                  <w:marTop w:val="0"/>
                  <w:marBottom w:val="0"/>
                  <w:divBdr>
                    <w:top w:val="none" w:sz="0" w:space="0" w:color="auto"/>
                    <w:left w:val="none" w:sz="0" w:space="0" w:color="auto"/>
                    <w:bottom w:val="none" w:sz="0" w:space="0" w:color="auto"/>
                    <w:right w:val="none" w:sz="0" w:space="0" w:color="auto"/>
                  </w:divBdr>
                  <w:divsChild>
                    <w:div w:id="1153908275">
                      <w:marLeft w:val="0"/>
                      <w:marRight w:val="0"/>
                      <w:marTop w:val="0"/>
                      <w:marBottom w:val="0"/>
                      <w:divBdr>
                        <w:top w:val="none" w:sz="0" w:space="0" w:color="auto"/>
                        <w:left w:val="none" w:sz="0" w:space="0" w:color="auto"/>
                        <w:bottom w:val="none" w:sz="0" w:space="0" w:color="auto"/>
                        <w:right w:val="none" w:sz="0" w:space="0" w:color="auto"/>
                      </w:divBdr>
                    </w:div>
                  </w:divsChild>
                </w:div>
                <w:div w:id="1221794586">
                  <w:marLeft w:val="0"/>
                  <w:marRight w:val="0"/>
                  <w:marTop w:val="0"/>
                  <w:marBottom w:val="0"/>
                  <w:divBdr>
                    <w:top w:val="none" w:sz="0" w:space="0" w:color="auto"/>
                    <w:left w:val="none" w:sz="0" w:space="0" w:color="auto"/>
                    <w:bottom w:val="none" w:sz="0" w:space="0" w:color="auto"/>
                    <w:right w:val="none" w:sz="0" w:space="0" w:color="auto"/>
                  </w:divBdr>
                  <w:divsChild>
                    <w:div w:id="1826358087">
                      <w:marLeft w:val="0"/>
                      <w:marRight w:val="0"/>
                      <w:marTop w:val="0"/>
                      <w:marBottom w:val="0"/>
                      <w:divBdr>
                        <w:top w:val="none" w:sz="0" w:space="0" w:color="auto"/>
                        <w:left w:val="none" w:sz="0" w:space="0" w:color="auto"/>
                        <w:bottom w:val="none" w:sz="0" w:space="0" w:color="auto"/>
                        <w:right w:val="none" w:sz="0" w:space="0" w:color="auto"/>
                      </w:divBdr>
                    </w:div>
                  </w:divsChild>
                </w:div>
                <w:div w:id="1237862700">
                  <w:marLeft w:val="0"/>
                  <w:marRight w:val="0"/>
                  <w:marTop w:val="0"/>
                  <w:marBottom w:val="0"/>
                  <w:divBdr>
                    <w:top w:val="none" w:sz="0" w:space="0" w:color="auto"/>
                    <w:left w:val="none" w:sz="0" w:space="0" w:color="auto"/>
                    <w:bottom w:val="none" w:sz="0" w:space="0" w:color="auto"/>
                    <w:right w:val="none" w:sz="0" w:space="0" w:color="auto"/>
                  </w:divBdr>
                  <w:divsChild>
                    <w:div w:id="1523855021">
                      <w:marLeft w:val="0"/>
                      <w:marRight w:val="0"/>
                      <w:marTop w:val="0"/>
                      <w:marBottom w:val="0"/>
                      <w:divBdr>
                        <w:top w:val="none" w:sz="0" w:space="0" w:color="auto"/>
                        <w:left w:val="none" w:sz="0" w:space="0" w:color="auto"/>
                        <w:bottom w:val="none" w:sz="0" w:space="0" w:color="auto"/>
                        <w:right w:val="none" w:sz="0" w:space="0" w:color="auto"/>
                      </w:divBdr>
                    </w:div>
                  </w:divsChild>
                </w:div>
                <w:div w:id="1244994954">
                  <w:marLeft w:val="0"/>
                  <w:marRight w:val="0"/>
                  <w:marTop w:val="0"/>
                  <w:marBottom w:val="0"/>
                  <w:divBdr>
                    <w:top w:val="none" w:sz="0" w:space="0" w:color="auto"/>
                    <w:left w:val="none" w:sz="0" w:space="0" w:color="auto"/>
                    <w:bottom w:val="none" w:sz="0" w:space="0" w:color="auto"/>
                    <w:right w:val="none" w:sz="0" w:space="0" w:color="auto"/>
                  </w:divBdr>
                  <w:divsChild>
                    <w:div w:id="1506629313">
                      <w:marLeft w:val="0"/>
                      <w:marRight w:val="0"/>
                      <w:marTop w:val="0"/>
                      <w:marBottom w:val="0"/>
                      <w:divBdr>
                        <w:top w:val="none" w:sz="0" w:space="0" w:color="auto"/>
                        <w:left w:val="none" w:sz="0" w:space="0" w:color="auto"/>
                        <w:bottom w:val="none" w:sz="0" w:space="0" w:color="auto"/>
                        <w:right w:val="none" w:sz="0" w:space="0" w:color="auto"/>
                      </w:divBdr>
                    </w:div>
                  </w:divsChild>
                </w:div>
                <w:div w:id="1289320136">
                  <w:marLeft w:val="0"/>
                  <w:marRight w:val="0"/>
                  <w:marTop w:val="0"/>
                  <w:marBottom w:val="0"/>
                  <w:divBdr>
                    <w:top w:val="none" w:sz="0" w:space="0" w:color="auto"/>
                    <w:left w:val="none" w:sz="0" w:space="0" w:color="auto"/>
                    <w:bottom w:val="none" w:sz="0" w:space="0" w:color="auto"/>
                    <w:right w:val="none" w:sz="0" w:space="0" w:color="auto"/>
                  </w:divBdr>
                  <w:divsChild>
                    <w:div w:id="1725639888">
                      <w:marLeft w:val="0"/>
                      <w:marRight w:val="0"/>
                      <w:marTop w:val="0"/>
                      <w:marBottom w:val="0"/>
                      <w:divBdr>
                        <w:top w:val="none" w:sz="0" w:space="0" w:color="auto"/>
                        <w:left w:val="none" w:sz="0" w:space="0" w:color="auto"/>
                        <w:bottom w:val="none" w:sz="0" w:space="0" w:color="auto"/>
                        <w:right w:val="none" w:sz="0" w:space="0" w:color="auto"/>
                      </w:divBdr>
                    </w:div>
                  </w:divsChild>
                </w:div>
                <w:div w:id="1336956938">
                  <w:marLeft w:val="0"/>
                  <w:marRight w:val="0"/>
                  <w:marTop w:val="0"/>
                  <w:marBottom w:val="0"/>
                  <w:divBdr>
                    <w:top w:val="none" w:sz="0" w:space="0" w:color="auto"/>
                    <w:left w:val="none" w:sz="0" w:space="0" w:color="auto"/>
                    <w:bottom w:val="none" w:sz="0" w:space="0" w:color="auto"/>
                    <w:right w:val="none" w:sz="0" w:space="0" w:color="auto"/>
                  </w:divBdr>
                  <w:divsChild>
                    <w:div w:id="1928804361">
                      <w:marLeft w:val="0"/>
                      <w:marRight w:val="0"/>
                      <w:marTop w:val="0"/>
                      <w:marBottom w:val="0"/>
                      <w:divBdr>
                        <w:top w:val="none" w:sz="0" w:space="0" w:color="auto"/>
                        <w:left w:val="none" w:sz="0" w:space="0" w:color="auto"/>
                        <w:bottom w:val="none" w:sz="0" w:space="0" w:color="auto"/>
                        <w:right w:val="none" w:sz="0" w:space="0" w:color="auto"/>
                      </w:divBdr>
                    </w:div>
                  </w:divsChild>
                </w:div>
                <w:div w:id="1391921207">
                  <w:marLeft w:val="0"/>
                  <w:marRight w:val="0"/>
                  <w:marTop w:val="0"/>
                  <w:marBottom w:val="0"/>
                  <w:divBdr>
                    <w:top w:val="none" w:sz="0" w:space="0" w:color="auto"/>
                    <w:left w:val="none" w:sz="0" w:space="0" w:color="auto"/>
                    <w:bottom w:val="none" w:sz="0" w:space="0" w:color="auto"/>
                    <w:right w:val="none" w:sz="0" w:space="0" w:color="auto"/>
                  </w:divBdr>
                  <w:divsChild>
                    <w:div w:id="1853379141">
                      <w:marLeft w:val="0"/>
                      <w:marRight w:val="0"/>
                      <w:marTop w:val="0"/>
                      <w:marBottom w:val="0"/>
                      <w:divBdr>
                        <w:top w:val="none" w:sz="0" w:space="0" w:color="auto"/>
                        <w:left w:val="none" w:sz="0" w:space="0" w:color="auto"/>
                        <w:bottom w:val="none" w:sz="0" w:space="0" w:color="auto"/>
                        <w:right w:val="none" w:sz="0" w:space="0" w:color="auto"/>
                      </w:divBdr>
                    </w:div>
                  </w:divsChild>
                </w:div>
                <w:div w:id="1409498432">
                  <w:marLeft w:val="0"/>
                  <w:marRight w:val="0"/>
                  <w:marTop w:val="0"/>
                  <w:marBottom w:val="0"/>
                  <w:divBdr>
                    <w:top w:val="none" w:sz="0" w:space="0" w:color="auto"/>
                    <w:left w:val="none" w:sz="0" w:space="0" w:color="auto"/>
                    <w:bottom w:val="none" w:sz="0" w:space="0" w:color="auto"/>
                    <w:right w:val="none" w:sz="0" w:space="0" w:color="auto"/>
                  </w:divBdr>
                  <w:divsChild>
                    <w:div w:id="2006930427">
                      <w:marLeft w:val="0"/>
                      <w:marRight w:val="0"/>
                      <w:marTop w:val="0"/>
                      <w:marBottom w:val="0"/>
                      <w:divBdr>
                        <w:top w:val="none" w:sz="0" w:space="0" w:color="auto"/>
                        <w:left w:val="none" w:sz="0" w:space="0" w:color="auto"/>
                        <w:bottom w:val="none" w:sz="0" w:space="0" w:color="auto"/>
                        <w:right w:val="none" w:sz="0" w:space="0" w:color="auto"/>
                      </w:divBdr>
                    </w:div>
                  </w:divsChild>
                </w:div>
                <w:div w:id="1442724992">
                  <w:marLeft w:val="0"/>
                  <w:marRight w:val="0"/>
                  <w:marTop w:val="0"/>
                  <w:marBottom w:val="0"/>
                  <w:divBdr>
                    <w:top w:val="none" w:sz="0" w:space="0" w:color="auto"/>
                    <w:left w:val="none" w:sz="0" w:space="0" w:color="auto"/>
                    <w:bottom w:val="none" w:sz="0" w:space="0" w:color="auto"/>
                    <w:right w:val="none" w:sz="0" w:space="0" w:color="auto"/>
                  </w:divBdr>
                  <w:divsChild>
                    <w:div w:id="834344126">
                      <w:marLeft w:val="0"/>
                      <w:marRight w:val="0"/>
                      <w:marTop w:val="0"/>
                      <w:marBottom w:val="0"/>
                      <w:divBdr>
                        <w:top w:val="none" w:sz="0" w:space="0" w:color="auto"/>
                        <w:left w:val="none" w:sz="0" w:space="0" w:color="auto"/>
                        <w:bottom w:val="none" w:sz="0" w:space="0" w:color="auto"/>
                        <w:right w:val="none" w:sz="0" w:space="0" w:color="auto"/>
                      </w:divBdr>
                    </w:div>
                  </w:divsChild>
                </w:div>
                <w:div w:id="1485929360">
                  <w:marLeft w:val="0"/>
                  <w:marRight w:val="0"/>
                  <w:marTop w:val="0"/>
                  <w:marBottom w:val="0"/>
                  <w:divBdr>
                    <w:top w:val="none" w:sz="0" w:space="0" w:color="auto"/>
                    <w:left w:val="none" w:sz="0" w:space="0" w:color="auto"/>
                    <w:bottom w:val="none" w:sz="0" w:space="0" w:color="auto"/>
                    <w:right w:val="none" w:sz="0" w:space="0" w:color="auto"/>
                  </w:divBdr>
                  <w:divsChild>
                    <w:div w:id="66341412">
                      <w:marLeft w:val="0"/>
                      <w:marRight w:val="0"/>
                      <w:marTop w:val="0"/>
                      <w:marBottom w:val="0"/>
                      <w:divBdr>
                        <w:top w:val="none" w:sz="0" w:space="0" w:color="auto"/>
                        <w:left w:val="none" w:sz="0" w:space="0" w:color="auto"/>
                        <w:bottom w:val="none" w:sz="0" w:space="0" w:color="auto"/>
                        <w:right w:val="none" w:sz="0" w:space="0" w:color="auto"/>
                      </w:divBdr>
                    </w:div>
                  </w:divsChild>
                </w:div>
                <w:div w:id="1494486145">
                  <w:marLeft w:val="0"/>
                  <w:marRight w:val="0"/>
                  <w:marTop w:val="0"/>
                  <w:marBottom w:val="0"/>
                  <w:divBdr>
                    <w:top w:val="none" w:sz="0" w:space="0" w:color="auto"/>
                    <w:left w:val="none" w:sz="0" w:space="0" w:color="auto"/>
                    <w:bottom w:val="none" w:sz="0" w:space="0" w:color="auto"/>
                    <w:right w:val="none" w:sz="0" w:space="0" w:color="auto"/>
                  </w:divBdr>
                  <w:divsChild>
                    <w:div w:id="579216392">
                      <w:marLeft w:val="0"/>
                      <w:marRight w:val="0"/>
                      <w:marTop w:val="0"/>
                      <w:marBottom w:val="0"/>
                      <w:divBdr>
                        <w:top w:val="none" w:sz="0" w:space="0" w:color="auto"/>
                        <w:left w:val="none" w:sz="0" w:space="0" w:color="auto"/>
                        <w:bottom w:val="none" w:sz="0" w:space="0" w:color="auto"/>
                        <w:right w:val="none" w:sz="0" w:space="0" w:color="auto"/>
                      </w:divBdr>
                    </w:div>
                  </w:divsChild>
                </w:div>
                <w:div w:id="1548492431">
                  <w:marLeft w:val="0"/>
                  <w:marRight w:val="0"/>
                  <w:marTop w:val="0"/>
                  <w:marBottom w:val="0"/>
                  <w:divBdr>
                    <w:top w:val="none" w:sz="0" w:space="0" w:color="auto"/>
                    <w:left w:val="none" w:sz="0" w:space="0" w:color="auto"/>
                    <w:bottom w:val="none" w:sz="0" w:space="0" w:color="auto"/>
                    <w:right w:val="none" w:sz="0" w:space="0" w:color="auto"/>
                  </w:divBdr>
                  <w:divsChild>
                    <w:div w:id="1199512560">
                      <w:marLeft w:val="0"/>
                      <w:marRight w:val="0"/>
                      <w:marTop w:val="0"/>
                      <w:marBottom w:val="0"/>
                      <w:divBdr>
                        <w:top w:val="none" w:sz="0" w:space="0" w:color="auto"/>
                        <w:left w:val="none" w:sz="0" w:space="0" w:color="auto"/>
                        <w:bottom w:val="none" w:sz="0" w:space="0" w:color="auto"/>
                        <w:right w:val="none" w:sz="0" w:space="0" w:color="auto"/>
                      </w:divBdr>
                    </w:div>
                  </w:divsChild>
                </w:div>
                <w:div w:id="1602373326">
                  <w:marLeft w:val="0"/>
                  <w:marRight w:val="0"/>
                  <w:marTop w:val="0"/>
                  <w:marBottom w:val="0"/>
                  <w:divBdr>
                    <w:top w:val="none" w:sz="0" w:space="0" w:color="auto"/>
                    <w:left w:val="none" w:sz="0" w:space="0" w:color="auto"/>
                    <w:bottom w:val="none" w:sz="0" w:space="0" w:color="auto"/>
                    <w:right w:val="none" w:sz="0" w:space="0" w:color="auto"/>
                  </w:divBdr>
                  <w:divsChild>
                    <w:div w:id="943532508">
                      <w:marLeft w:val="0"/>
                      <w:marRight w:val="0"/>
                      <w:marTop w:val="0"/>
                      <w:marBottom w:val="0"/>
                      <w:divBdr>
                        <w:top w:val="none" w:sz="0" w:space="0" w:color="auto"/>
                        <w:left w:val="none" w:sz="0" w:space="0" w:color="auto"/>
                        <w:bottom w:val="none" w:sz="0" w:space="0" w:color="auto"/>
                        <w:right w:val="none" w:sz="0" w:space="0" w:color="auto"/>
                      </w:divBdr>
                    </w:div>
                  </w:divsChild>
                </w:div>
                <w:div w:id="1703898558">
                  <w:marLeft w:val="0"/>
                  <w:marRight w:val="0"/>
                  <w:marTop w:val="0"/>
                  <w:marBottom w:val="0"/>
                  <w:divBdr>
                    <w:top w:val="none" w:sz="0" w:space="0" w:color="auto"/>
                    <w:left w:val="none" w:sz="0" w:space="0" w:color="auto"/>
                    <w:bottom w:val="none" w:sz="0" w:space="0" w:color="auto"/>
                    <w:right w:val="none" w:sz="0" w:space="0" w:color="auto"/>
                  </w:divBdr>
                  <w:divsChild>
                    <w:div w:id="1801070290">
                      <w:marLeft w:val="0"/>
                      <w:marRight w:val="0"/>
                      <w:marTop w:val="0"/>
                      <w:marBottom w:val="0"/>
                      <w:divBdr>
                        <w:top w:val="none" w:sz="0" w:space="0" w:color="auto"/>
                        <w:left w:val="none" w:sz="0" w:space="0" w:color="auto"/>
                        <w:bottom w:val="none" w:sz="0" w:space="0" w:color="auto"/>
                        <w:right w:val="none" w:sz="0" w:space="0" w:color="auto"/>
                      </w:divBdr>
                    </w:div>
                  </w:divsChild>
                </w:div>
                <w:div w:id="1704742935">
                  <w:marLeft w:val="0"/>
                  <w:marRight w:val="0"/>
                  <w:marTop w:val="0"/>
                  <w:marBottom w:val="0"/>
                  <w:divBdr>
                    <w:top w:val="none" w:sz="0" w:space="0" w:color="auto"/>
                    <w:left w:val="none" w:sz="0" w:space="0" w:color="auto"/>
                    <w:bottom w:val="none" w:sz="0" w:space="0" w:color="auto"/>
                    <w:right w:val="none" w:sz="0" w:space="0" w:color="auto"/>
                  </w:divBdr>
                  <w:divsChild>
                    <w:div w:id="1421562621">
                      <w:marLeft w:val="0"/>
                      <w:marRight w:val="0"/>
                      <w:marTop w:val="0"/>
                      <w:marBottom w:val="0"/>
                      <w:divBdr>
                        <w:top w:val="none" w:sz="0" w:space="0" w:color="auto"/>
                        <w:left w:val="none" w:sz="0" w:space="0" w:color="auto"/>
                        <w:bottom w:val="none" w:sz="0" w:space="0" w:color="auto"/>
                        <w:right w:val="none" w:sz="0" w:space="0" w:color="auto"/>
                      </w:divBdr>
                    </w:div>
                  </w:divsChild>
                </w:div>
                <w:div w:id="1709793527">
                  <w:marLeft w:val="0"/>
                  <w:marRight w:val="0"/>
                  <w:marTop w:val="0"/>
                  <w:marBottom w:val="0"/>
                  <w:divBdr>
                    <w:top w:val="none" w:sz="0" w:space="0" w:color="auto"/>
                    <w:left w:val="none" w:sz="0" w:space="0" w:color="auto"/>
                    <w:bottom w:val="none" w:sz="0" w:space="0" w:color="auto"/>
                    <w:right w:val="none" w:sz="0" w:space="0" w:color="auto"/>
                  </w:divBdr>
                  <w:divsChild>
                    <w:div w:id="674070273">
                      <w:marLeft w:val="0"/>
                      <w:marRight w:val="0"/>
                      <w:marTop w:val="0"/>
                      <w:marBottom w:val="0"/>
                      <w:divBdr>
                        <w:top w:val="none" w:sz="0" w:space="0" w:color="auto"/>
                        <w:left w:val="none" w:sz="0" w:space="0" w:color="auto"/>
                        <w:bottom w:val="none" w:sz="0" w:space="0" w:color="auto"/>
                        <w:right w:val="none" w:sz="0" w:space="0" w:color="auto"/>
                      </w:divBdr>
                    </w:div>
                  </w:divsChild>
                </w:div>
                <w:div w:id="1720980185">
                  <w:marLeft w:val="0"/>
                  <w:marRight w:val="0"/>
                  <w:marTop w:val="0"/>
                  <w:marBottom w:val="0"/>
                  <w:divBdr>
                    <w:top w:val="none" w:sz="0" w:space="0" w:color="auto"/>
                    <w:left w:val="none" w:sz="0" w:space="0" w:color="auto"/>
                    <w:bottom w:val="none" w:sz="0" w:space="0" w:color="auto"/>
                    <w:right w:val="none" w:sz="0" w:space="0" w:color="auto"/>
                  </w:divBdr>
                  <w:divsChild>
                    <w:div w:id="847796790">
                      <w:marLeft w:val="0"/>
                      <w:marRight w:val="0"/>
                      <w:marTop w:val="0"/>
                      <w:marBottom w:val="0"/>
                      <w:divBdr>
                        <w:top w:val="none" w:sz="0" w:space="0" w:color="auto"/>
                        <w:left w:val="none" w:sz="0" w:space="0" w:color="auto"/>
                        <w:bottom w:val="none" w:sz="0" w:space="0" w:color="auto"/>
                        <w:right w:val="none" w:sz="0" w:space="0" w:color="auto"/>
                      </w:divBdr>
                    </w:div>
                  </w:divsChild>
                </w:div>
                <w:div w:id="1866937784">
                  <w:marLeft w:val="0"/>
                  <w:marRight w:val="0"/>
                  <w:marTop w:val="0"/>
                  <w:marBottom w:val="0"/>
                  <w:divBdr>
                    <w:top w:val="none" w:sz="0" w:space="0" w:color="auto"/>
                    <w:left w:val="none" w:sz="0" w:space="0" w:color="auto"/>
                    <w:bottom w:val="none" w:sz="0" w:space="0" w:color="auto"/>
                    <w:right w:val="none" w:sz="0" w:space="0" w:color="auto"/>
                  </w:divBdr>
                  <w:divsChild>
                    <w:div w:id="457257773">
                      <w:marLeft w:val="0"/>
                      <w:marRight w:val="0"/>
                      <w:marTop w:val="0"/>
                      <w:marBottom w:val="0"/>
                      <w:divBdr>
                        <w:top w:val="none" w:sz="0" w:space="0" w:color="auto"/>
                        <w:left w:val="none" w:sz="0" w:space="0" w:color="auto"/>
                        <w:bottom w:val="none" w:sz="0" w:space="0" w:color="auto"/>
                        <w:right w:val="none" w:sz="0" w:space="0" w:color="auto"/>
                      </w:divBdr>
                    </w:div>
                  </w:divsChild>
                </w:div>
                <w:div w:id="1893808242">
                  <w:marLeft w:val="0"/>
                  <w:marRight w:val="0"/>
                  <w:marTop w:val="0"/>
                  <w:marBottom w:val="0"/>
                  <w:divBdr>
                    <w:top w:val="none" w:sz="0" w:space="0" w:color="auto"/>
                    <w:left w:val="none" w:sz="0" w:space="0" w:color="auto"/>
                    <w:bottom w:val="none" w:sz="0" w:space="0" w:color="auto"/>
                    <w:right w:val="none" w:sz="0" w:space="0" w:color="auto"/>
                  </w:divBdr>
                  <w:divsChild>
                    <w:div w:id="381245926">
                      <w:marLeft w:val="0"/>
                      <w:marRight w:val="0"/>
                      <w:marTop w:val="0"/>
                      <w:marBottom w:val="0"/>
                      <w:divBdr>
                        <w:top w:val="none" w:sz="0" w:space="0" w:color="auto"/>
                        <w:left w:val="none" w:sz="0" w:space="0" w:color="auto"/>
                        <w:bottom w:val="none" w:sz="0" w:space="0" w:color="auto"/>
                        <w:right w:val="none" w:sz="0" w:space="0" w:color="auto"/>
                      </w:divBdr>
                    </w:div>
                  </w:divsChild>
                </w:div>
                <w:div w:id="1913738138">
                  <w:marLeft w:val="0"/>
                  <w:marRight w:val="0"/>
                  <w:marTop w:val="0"/>
                  <w:marBottom w:val="0"/>
                  <w:divBdr>
                    <w:top w:val="none" w:sz="0" w:space="0" w:color="auto"/>
                    <w:left w:val="none" w:sz="0" w:space="0" w:color="auto"/>
                    <w:bottom w:val="none" w:sz="0" w:space="0" w:color="auto"/>
                    <w:right w:val="none" w:sz="0" w:space="0" w:color="auto"/>
                  </w:divBdr>
                  <w:divsChild>
                    <w:div w:id="1284071587">
                      <w:marLeft w:val="0"/>
                      <w:marRight w:val="0"/>
                      <w:marTop w:val="0"/>
                      <w:marBottom w:val="0"/>
                      <w:divBdr>
                        <w:top w:val="none" w:sz="0" w:space="0" w:color="auto"/>
                        <w:left w:val="none" w:sz="0" w:space="0" w:color="auto"/>
                        <w:bottom w:val="none" w:sz="0" w:space="0" w:color="auto"/>
                        <w:right w:val="none" w:sz="0" w:space="0" w:color="auto"/>
                      </w:divBdr>
                    </w:div>
                  </w:divsChild>
                </w:div>
                <w:div w:id="1958943823">
                  <w:marLeft w:val="0"/>
                  <w:marRight w:val="0"/>
                  <w:marTop w:val="0"/>
                  <w:marBottom w:val="0"/>
                  <w:divBdr>
                    <w:top w:val="none" w:sz="0" w:space="0" w:color="auto"/>
                    <w:left w:val="none" w:sz="0" w:space="0" w:color="auto"/>
                    <w:bottom w:val="none" w:sz="0" w:space="0" w:color="auto"/>
                    <w:right w:val="none" w:sz="0" w:space="0" w:color="auto"/>
                  </w:divBdr>
                  <w:divsChild>
                    <w:div w:id="900094058">
                      <w:marLeft w:val="0"/>
                      <w:marRight w:val="0"/>
                      <w:marTop w:val="0"/>
                      <w:marBottom w:val="0"/>
                      <w:divBdr>
                        <w:top w:val="none" w:sz="0" w:space="0" w:color="auto"/>
                        <w:left w:val="none" w:sz="0" w:space="0" w:color="auto"/>
                        <w:bottom w:val="none" w:sz="0" w:space="0" w:color="auto"/>
                        <w:right w:val="none" w:sz="0" w:space="0" w:color="auto"/>
                      </w:divBdr>
                    </w:div>
                  </w:divsChild>
                </w:div>
                <w:div w:id="1965187053">
                  <w:marLeft w:val="0"/>
                  <w:marRight w:val="0"/>
                  <w:marTop w:val="0"/>
                  <w:marBottom w:val="0"/>
                  <w:divBdr>
                    <w:top w:val="none" w:sz="0" w:space="0" w:color="auto"/>
                    <w:left w:val="none" w:sz="0" w:space="0" w:color="auto"/>
                    <w:bottom w:val="none" w:sz="0" w:space="0" w:color="auto"/>
                    <w:right w:val="none" w:sz="0" w:space="0" w:color="auto"/>
                  </w:divBdr>
                  <w:divsChild>
                    <w:div w:id="1659310865">
                      <w:marLeft w:val="0"/>
                      <w:marRight w:val="0"/>
                      <w:marTop w:val="0"/>
                      <w:marBottom w:val="0"/>
                      <w:divBdr>
                        <w:top w:val="none" w:sz="0" w:space="0" w:color="auto"/>
                        <w:left w:val="none" w:sz="0" w:space="0" w:color="auto"/>
                        <w:bottom w:val="none" w:sz="0" w:space="0" w:color="auto"/>
                        <w:right w:val="none" w:sz="0" w:space="0" w:color="auto"/>
                      </w:divBdr>
                    </w:div>
                  </w:divsChild>
                </w:div>
                <w:div w:id="2001999148">
                  <w:marLeft w:val="0"/>
                  <w:marRight w:val="0"/>
                  <w:marTop w:val="0"/>
                  <w:marBottom w:val="0"/>
                  <w:divBdr>
                    <w:top w:val="none" w:sz="0" w:space="0" w:color="auto"/>
                    <w:left w:val="none" w:sz="0" w:space="0" w:color="auto"/>
                    <w:bottom w:val="none" w:sz="0" w:space="0" w:color="auto"/>
                    <w:right w:val="none" w:sz="0" w:space="0" w:color="auto"/>
                  </w:divBdr>
                  <w:divsChild>
                    <w:div w:id="604851448">
                      <w:marLeft w:val="0"/>
                      <w:marRight w:val="0"/>
                      <w:marTop w:val="0"/>
                      <w:marBottom w:val="0"/>
                      <w:divBdr>
                        <w:top w:val="none" w:sz="0" w:space="0" w:color="auto"/>
                        <w:left w:val="none" w:sz="0" w:space="0" w:color="auto"/>
                        <w:bottom w:val="none" w:sz="0" w:space="0" w:color="auto"/>
                        <w:right w:val="none" w:sz="0" w:space="0" w:color="auto"/>
                      </w:divBdr>
                    </w:div>
                  </w:divsChild>
                </w:div>
                <w:div w:id="2024550688">
                  <w:marLeft w:val="0"/>
                  <w:marRight w:val="0"/>
                  <w:marTop w:val="0"/>
                  <w:marBottom w:val="0"/>
                  <w:divBdr>
                    <w:top w:val="none" w:sz="0" w:space="0" w:color="auto"/>
                    <w:left w:val="none" w:sz="0" w:space="0" w:color="auto"/>
                    <w:bottom w:val="none" w:sz="0" w:space="0" w:color="auto"/>
                    <w:right w:val="none" w:sz="0" w:space="0" w:color="auto"/>
                  </w:divBdr>
                  <w:divsChild>
                    <w:div w:id="1087504537">
                      <w:marLeft w:val="0"/>
                      <w:marRight w:val="0"/>
                      <w:marTop w:val="0"/>
                      <w:marBottom w:val="0"/>
                      <w:divBdr>
                        <w:top w:val="none" w:sz="0" w:space="0" w:color="auto"/>
                        <w:left w:val="none" w:sz="0" w:space="0" w:color="auto"/>
                        <w:bottom w:val="none" w:sz="0" w:space="0" w:color="auto"/>
                        <w:right w:val="none" w:sz="0" w:space="0" w:color="auto"/>
                      </w:divBdr>
                    </w:div>
                  </w:divsChild>
                </w:div>
                <w:div w:id="2057508183">
                  <w:marLeft w:val="0"/>
                  <w:marRight w:val="0"/>
                  <w:marTop w:val="0"/>
                  <w:marBottom w:val="0"/>
                  <w:divBdr>
                    <w:top w:val="none" w:sz="0" w:space="0" w:color="auto"/>
                    <w:left w:val="none" w:sz="0" w:space="0" w:color="auto"/>
                    <w:bottom w:val="none" w:sz="0" w:space="0" w:color="auto"/>
                    <w:right w:val="none" w:sz="0" w:space="0" w:color="auto"/>
                  </w:divBdr>
                  <w:divsChild>
                    <w:div w:id="1972979130">
                      <w:marLeft w:val="0"/>
                      <w:marRight w:val="0"/>
                      <w:marTop w:val="0"/>
                      <w:marBottom w:val="0"/>
                      <w:divBdr>
                        <w:top w:val="none" w:sz="0" w:space="0" w:color="auto"/>
                        <w:left w:val="none" w:sz="0" w:space="0" w:color="auto"/>
                        <w:bottom w:val="none" w:sz="0" w:space="0" w:color="auto"/>
                        <w:right w:val="none" w:sz="0" w:space="0" w:color="auto"/>
                      </w:divBdr>
                    </w:div>
                  </w:divsChild>
                </w:div>
                <w:div w:id="2106993623">
                  <w:marLeft w:val="0"/>
                  <w:marRight w:val="0"/>
                  <w:marTop w:val="0"/>
                  <w:marBottom w:val="0"/>
                  <w:divBdr>
                    <w:top w:val="none" w:sz="0" w:space="0" w:color="auto"/>
                    <w:left w:val="none" w:sz="0" w:space="0" w:color="auto"/>
                    <w:bottom w:val="none" w:sz="0" w:space="0" w:color="auto"/>
                    <w:right w:val="none" w:sz="0" w:space="0" w:color="auto"/>
                  </w:divBdr>
                  <w:divsChild>
                    <w:div w:id="217595902">
                      <w:marLeft w:val="0"/>
                      <w:marRight w:val="0"/>
                      <w:marTop w:val="0"/>
                      <w:marBottom w:val="0"/>
                      <w:divBdr>
                        <w:top w:val="none" w:sz="0" w:space="0" w:color="auto"/>
                        <w:left w:val="none" w:sz="0" w:space="0" w:color="auto"/>
                        <w:bottom w:val="none" w:sz="0" w:space="0" w:color="auto"/>
                        <w:right w:val="none" w:sz="0" w:space="0" w:color="auto"/>
                      </w:divBdr>
                    </w:div>
                  </w:divsChild>
                </w:div>
                <w:div w:id="2121025590">
                  <w:marLeft w:val="0"/>
                  <w:marRight w:val="0"/>
                  <w:marTop w:val="0"/>
                  <w:marBottom w:val="0"/>
                  <w:divBdr>
                    <w:top w:val="none" w:sz="0" w:space="0" w:color="auto"/>
                    <w:left w:val="none" w:sz="0" w:space="0" w:color="auto"/>
                    <w:bottom w:val="none" w:sz="0" w:space="0" w:color="auto"/>
                    <w:right w:val="none" w:sz="0" w:space="0" w:color="auto"/>
                  </w:divBdr>
                  <w:divsChild>
                    <w:div w:id="19253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6855">
          <w:marLeft w:val="0"/>
          <w:marRight w:val="0"/>
          <w:marTop w:val="0"/>
          <w:marBottom w:val="0"/>
          <w:divBdr>
            <w:top w:val="none" w:sz="0" w:space="0" w:color="auto"/>
            <w:left w:val="none" w:sz="0" w:space="0" w:color="auto"/>
            <w:bottom w:val="none" w:sz="0" w:space="0" w:color="auto"/>
            <w:right w:val="none" w:sz="0" w:space="0" w:color="auto"/>
          </w:divBdr>
        </w:div>
        <w:div w:id="1187016122">
          <w:marLeft w:val="0"/>
          <w:marRight w:val="0"/>
          <w:marTop w:val="0"/>
          <w:marBottom w:val="0"/>
          <w:divBdr>
            <w:top w:val="none" w:sz="0" w:space="0" w:color="auto"/>
            <w:left w:val="none" w:sz="0" w:space="0" w:color="auto"/>
            <w:bottom w:val="none" w:sz="0" w:space="0" w:color="auto"/>
            <w:right w:val="none" w:sz="0" w:space="0" w:color="auto"/>
          </w:divBdr>
        </w:div>
        <w:div w:id="1328635857">
          <w:marLeft w:val="0"/>
          <w:marRight w:val="0"/>
          <w:marTop w:val="0"/>
          <w:marBottom w:val="0"/>
          <w:divBdr>
            <w:top w:val="none" w:sz="0" w:space="0" w:color="auto"/>
            <w:left w:val="none" w:sz="0" w:space="0" w:color="auto"/>
            <w:bottom w:val="none" w:sz="0" w:space="0" w:color="auto"/>
            <w:right w:val="none" w:sz="0" w:space="0" w:color="auto"/>
          </w:divBdr>
        </w:div>
        <w:div w:id="1351948173">
          <w:marLeft w:val="0"/>
          <w:marRight w:val="0"/>
          <w:marTop w:val="0"/>
          <w:marBottom w:val="0"/>
          <w:divBdr>
            <w:top w:val="none" w:sz="0" w:space="0" w:color="auto"/>
            <w:left w:val="none" w:sz="0" w:space="0" w:color="auto"/>
            <w:bottom w:val="none" w:sz="0" w:space="0" w:color="auto"/>
            <w:right w:val="none" w:sz="0" w:space="0" w:color="auto"/>
          </w:divBdr>
        </w:div>
        <w:div w:id="1370568915">
          <w:marLeft w:val="0"/>
          <w:marRight w:val="0"/>
          <w:marTop w:val="0"/>
          <w:marBottom w:val="0"/>
          <w:divBdr>
            <w:top w:val="none" w:sz="0" w:space="0" w:color="auto"/>
            <w:left w:val="none" w:sz="0" w:space="0" w:color="auto"/>
            <w:bottom w:val="none" w:sz="0" w:space="0" w:color="auto"/>
            <w:right w:val="none" w:sz="0" w:space="0" w:color="auto"/>
          </w:divBdr>
        </w:div>
        <w:div w:id="1389913894">
          <w:marLeft w:val="0"/>
          <w:marRight w:val="0"/>
          <w:marTop w:val="0"/>
          <w:marBottom w:val="0"/>
          <w:divBdr>
            <w:top w:val="none" w:sz="0" w:space="0" w:color="auto"/>
            <w:left w:val="none" w:sz="0" w:space="0" w:color="auto"/>
            <w:bottom w:val="none" w:sz="0" w:space="0" w:color="auto"/>
            <w:right w:val="none" w:sz="0" w:space="0" w:color="auto"/>
          </w:divBdr>
        </w:div>
        <w:div w:id="1447391148">
          <w:marLeft w:val="0"/>
          <w:marRight w:val="0"/>
          <w:marTop w:val="0"/>
          <w:marBottom w:val="0"/>
          <w:divBdr>
            <w:top w:val="none" w:sz="0" w:space="0" w:color="auto"/>
            <w:left w:val="none" w:sz="0" w:space="0" w:color="auto"/>
            <w:bottom w:val="none" w:sz="0" w:space="0" w:color="auto"/>
            <w:right w:val="none" w:sz="0" w:space="0" w:color="auto"/>
          </w:divBdr>
        </w:div>
        <w:div w:id="1507211354">
          <w:marLeft w:val="0"/>
          <w:marRight w:val="0"/>
          <w:marTop w:val="0"/>
          <w:marBottom w:val="0"/>
          <w:divBdr>
            <w:top w:val="none" w:sz="0" w:space="0" w:color="auto"/>
            <w:left w:val="none" w:sz="0" w:space="0" w:color="auto"/>
            <w:bottom w:val="none" w:sz="0" w:space="0" w:color="auto"/>
            <w:right w:val="none" w:sz="0" w:space="0" w:color="auto"/>
          </w:divBdr>
        </w:div>
        <w:div w:id="1528253725">
          <w:marLeft w:val="0"/>
          <w:marRight w:val="0"/>
          <w:marTop w:val="0"/>
          <w:marBottom w:val="0"/>
          <w:divBdr>
            <w:top w:val="none" w:sz="0" w:space="0" w:color="auto"/>
            <w:left w:val="none" w:sz="0" w:space="0" w:color="auto"/>
            <w:bottom w:val="none" w:sz="0" w:space="0" w:color="auto"/>
            <w:right w:val="none" w:sz="0" w:space="0" w:color="auto"/>
          </w:divBdr>
        </w:div>
        <w:div w:id="1540313051">
          <w:marLeft w:val="0"/>
          <w:marRight w:val="0"/>
          <w:marTop w:val="0"/>
          <w:marBottom w:val="0"/>
          <w:divBdr>
            <w:top w:val="none" w:sz="0" w:space="0" w:color="auto"/>
            <w:left w:val="none" w:sz="0" w:space="0" w:color="auto"/>
            <w:bottom w:val="none" w:sz="0" w:space="0" w:color="auto"/>
            <w:right w:val="none" w:sz="0" w:space="0" w:color="auto"/>
          </w:divBdr>
        </w:div>
        <w:div w:id="1641303609">
          <w:marLeft w:val="0"/>
          <w:marRight w:val="0"/>
          <w:marTop w:val="0"/>
          <w:marBottom w:val="0"/>
          <w:divBdr>
            <w:top w:val="none" w:sz="0" w:space="0" w:color="auto"/>
            <w:left w:val="none" w:sz="0" w:space="0" w:color="auto"/>
            <w:bottom w:val="none" w:sz="0" w:space="0" w:color="auto"/>
            <w:right w:val="none" w:sz="0" w:space="0" w:color="auto"/>
          </w:divBdr>
        </w:div>
        <w:div w:id="1753041659">
          <w:marLeft w:val="0"/>
          <w:marRight w:val="0"/>
          <w:marTop w:val="0"/>
          <w:marBottom w:val="0"/>
          <w:divBdr>
            <w:top w:val="none" w:sz="0" w:space="0" w:color="auto"/>
            <w:left w:val="none" w:sz="0" w:space="0" w:color="auto"/>
            <w:bottom w:val="none" w:sz="0" w:space="0" w:color="auto"/>
            <w:right w:val="none" w:sz="0" w:space="0" w:color="auto"/>
          </w:divBdr>
        </w:div>
        <w:div w:id="1774282175">
          <w:marLeft w:val="0"/>
          <w:marRight w:val="0"/>
          <w:marTop w:val="0"/>
          <w:marBottom w:val="0"/>
          <w:divBdr>
            <w:top w:val="none" w:sz="0" w:space="0" w:color="auto"/>
            <w:left w:val="none" w:sz="0" w:space="0" w:color="auto"/>
            <w:bottom w:val="none" w:sz="0" w:space="0" w:color="auto"/>
            <w:right w:val="none" w:sz="0" w:space="0" w:color="auto"/>
          </w:divBdr>
        </w:div>
        <w:div w:id="1786342827">
          <w:marLeft w:val="0"/>
          <w:marRight w:val="0"/>
          <w:marTop w:val="0"/>
          <w:marBottom w:val="0"/>
          <w:divBdr>
            <w:top w:val="none" w:sz="0" w:space="0" w:color="auto"/>
            <w:left w:val="none" w:sz="0" w:space="0" w:color="auto"/>
            <w:bottom w:val="none" w:sz="0" w:space="0" w:color="auto"/>
            <w:right w:val="none" w:sz="0" w:space="0" w:color="auto"/>
          </w:divBdr>
        </w:div>
        <w:div w:id="1796488727">
          <w:marLeft w:val="0"/>
          <w:marRight w:val="0"/>
          <w:marTop w:val="0"/>
          <w:marBottom w:val="0"/>
          <w:divBdr>
            <w:top w:val="none" w:sz="0" w:space="0" w:color="auto"/>
            <w:left w:val="none" w:sz="0" w:space="0" w:color="auto"/>
            <w:bottom w:val="none" w:sz="0" w:space="0" w:color="auto"/>
            <w:right w:val="none" w:sz="0" w:space="0" w:color="auto"/>
          </w:divBdr>
        </w:div>
        <w:div w:id="1828352235">
          <w:marLeft w:val="0"/>
          <w:marRight w:val="0"/>
          <w:marTop w:val="0"/>
          <w:marBottom w:val="0"/>
          <w:divBdr>
            <w:top w:val="none" w:sz="0" w:space="0" w:color="auto"/>
            <w:left w:val="none" w:sz="0" w:space="0" w:color="auto"/>
            <w:bottom w:val="none" w:sz="0" w:space="0" w:color="auto"/>
            <w:right w:val="none" w:sz="0" w:space="0" w:color="auto"/>
          </w:divBdr>
          <w:divsChild>
            <w:div w:id="71783859">
              <w:marLeft w:val="0"/>
              <w:marRight w:val="0"/>
              <w:marTop w:val="0"/>
              <w:marBottom w:val="0"/>
              <w:divBdr>
                <w:top w:val="none" w:sz="0" w:space="0" w:color="auto"/>
                <w:left w:val="none" w:sz="0" w:space="0" w:color="auto"/>
                <w:bottom w:val="none" w:sz="0" w:space="0" w:color="auto"/>
                <w:right w:val="none" w:sz="0" w:space="0" w:color="auto"/>
              </w:divBdr>
            </w:div>
            <w:div w:id="170031455">
              <w:marLeft w:val="0"/>
              <w:marRight w:val="0"/>
              <w:marTop w:val="0"/>
              <w:marBottom w:val="0"/>
              <w:divBdr>
                <w:top w:val="none" w:sz="0" w:space="0" w:color="auto"/>
                <w:left w:val="none" w:sz="0" w:space="0" w:color="auto"/>
                <w:bottom w:val="none" w:sz="0" w:space="0" w:color="auto"/>
                <w:right w:val="none" w:sz="0" w:space="0" w:color="auto"/>
              </w:divBdr>
            </w:div>
            <w:div w:id="239994551">
              <w:marLeft w:val="0"/>
              <w:marRight w:val="0"/>
              <w:marTop w:val="0"/>
              <w:marBottom w:val="0"/>
              <w:divBdr>
                <w:top w:val="none" w:sz="0" w:space="0" w:color="auto"/>
                <w:left w:val="none" w:sz="0" w:space="0" w:color="auto"/>
                <w:bottom w:val="none" w:sz="0" w:space="0" w:color="auto"/>
                <w:right w:val="none" w:sz="0" w:space="0" w:color="auto"/>
              </w:divBdr>
            </w:div>
            <w:div w:id="489685626">
              <w:marLeft w:val="0"/>
              <w:marRight w:val="0"/>
              <w:marTop w:val="0"/>
              <w:marBottom w:val="0"/>
              <w:divBdr>
                <w:top w:val="none" w:sz="0" w:space="0" w:color="auto"/>
                <w:left w:val="none" w:sz="0" w:space="0" w:color="auto"/>
                <w:bottom w:val="none" w:sz="0" w:space="0" w:color="auto"/>
                <w:right w:val="none" w:sz="0" w:space="0" w:color="auto"/>
              </w:divBdr>
            </w:div>
            <w:div w:id="595945778">
              <w:marLeft w:val="0"/>
              <w:marRight w:val="0"/>
              <w:marTop w:val="0"/>
              <w:marBottom w:val="0"/>
              <w:divBdr>
                <w:top w:val="none" w:sz="0" w:space="0" w:color="auto"/>
                <w:left w:val="none" w:sz="0" w:space="0" w:color="auto"/>
                <w:bottom w:val="none" w:sz="0" w:space="0" w:color="auto"/>
                <w:right w:val="none" w:sz="0" w:space="0" w:color="auto"/>
              </w:divBdr>
            </w:div>
            <w:div w:id="769087532">
              <w:marLeft w:val="0"/>
              <w:marRight w:val="0"/>
              <w:marTop w:val="0"/>
              <w:marBottom w:val="0"/>
              <w:divBdr>
                <w:top w:val="none" w:sz="0" w:space="0" w:color="auto"/>
                <w:left w:val="none" w:sz="0" w:space="0" w:color="auto"/>
                <w:bottom w:val="none" w:sz="0" w:space="0" w:color="auto"/>
                <w:right w:val="none" w:sz="0" w:space="0" w:color="auto"/>
              </w:divBdr>
            </w:div>
            <w:div w:id="769280750">
              <w:marLeft w:val="0"/>
              <w:marRight w:val="0"/>
              <w:marTop w:val="0"/>
              <w:marBottom w:val="0"/>
              <w:divBdr>
                <w:top w:val="none" w:sz="0" w:space="0" w:color="auto"/>
                <w:left w:val="none" w:sz="0" w:space="0" w:color="auto"/>
                <w:bottom w:val="none" w:sz="0" w:space="0" w:color="auto"/>
                <w:right w:val="none" w:sz="0" w:space="0" w:color="auto"/>
              </w:divBdr>
            </w:div>
            <w:div w:id="883367254">
              <w:marLeft w:val="0"/>
              <w:marRight w:val="0"/>
              <w:marTop w:val="0"/>
              <w:marBottom w:val="0"/>
              <w:divBdr>
                <w:top w:val="none" w:sz="0" w:space="0" w:color="auto"/>
                <w:left w:val="none" w:sz="0" w:space="0" w:color="auto"/>
                <w:bottom w:val="none" w:sz="0" w:space="0" w:color="auto"/>
                <w:right w:val="none" w:sz="0" w:space="0" w:color="auto"/>
              </w:divBdr>
            </w:div>
            <w:div w:id="895821146">
              <w:marLeft w:val="0"/>
              <w:marRight w:val="0"/>
              <w:marTop w:val="0"/>
              <w:marBottom w:val="0"/>
              <w:divBdr>
                <w:top w:val="none" w:sz="0" w:space="0" w:color="auto"/>
                <w:left w:val="none" w:sz="0" w:space="0" w:color="auto"/>
                <w:bottom w:val="none" w:sz="0" w:space="0" w:color="auto"/>
                <w:right w:val="none" w:sz="0" w:space="0" w:color="auto"/>
              </w:divBdr>
            </w:div>
            <w:div w:id="1187790355">
              <w:marLeft w:val="0"/>
              <w:marRight w:val="0"/>
              <w:marTop w:val="0"/>
              <w:marBottom w:val="0"/>
              <w:divBdr>
                <w:top w:val="none" w:sz="0" w:space="0" w:color="auto"/>
                <w:left w:val="none" w:sz="0" w:space="0" w:color="auto"/>
                <w:bottom w:val="none" w:sz="0" w:space="0" w:color="auto"/>
                <w:right w:val="none" w:sz="0" w:space="0" w:color="auto"/>
              </w:divBdr>
            </w:div>
            <w:div w:id="1491409240">
              <w:marLeft w:val="0"/>
              <w:marRight w:val="0"/>
              <w:marTop w:val="0"/>
              <w:marBottom w:val="0"/>
              <w:divBdr>
                <w:top w:val="none" w:sz="0" w:space="0" w:color="auto"/>
                <w:left w:val="none" w:sz="0" w:space="0" w:color="auto"/>
                <w:bottom w:val="none" w:sz="0" w:space="0" w:color="auto"/>
                <w:right w:val="none" w:sz="0" w:space="0" w:color="auto"/>
              </w:divBdr>
            </w:div>
            <w:div w:id="1616642838">
              <w:marLeft w:val="0"/>
              <w:marRight w:val="0"/>
              <w:marTop w:val="0"/>
              <w:marBottom w:val="0"/>
              <w:divBdr>
                <w:top w:val="none" w:sz="0" w:space="0" w:color="auto"/>
                <w:left w:val="none" w:sz="0" w:space="0" w:color="auto"/>
                <w:bottom w:val="none" w:sz="0" w:space="0" w:color="auto"/>
                <w:right w:val="none" w:sz="0" w:space="0" w:color="auto"/>
              </w:divBdr>
            </w:div>
            <w:div w:id="1655060702">
              <w:marLeft w:val="0"/>
              <w:marRight w:val="0"/>
              <w:marTop w:val="0"/>
              <w:marBottom w:val="0"/>
              <w:divBdr>
                <w:top w:val="none" w:sz="0" w:space="0" w:color="auto"/>
                <w:left w:val="none" w:sz="0" w:space="0" w:color="auto"/>
                <w:bottom w:val="none" w:sz="0" w:space="0" w:color="auto"/>
                <w:right w:val="none" w:sz="0" w:space="0" w:color="auto"/>
              </w:divBdr>
            </w:div>
            <w:div w:id="1761870574">
              <w:marLeft w:val="0"/>
              <w:marRight w:val="0"/>
              <w:marTop w:val="0"/>
              <w:marBottom w:val="0"/>
              <w:divBdr>
                <w:top w:val="none" w:sz="0" w:space="0" w:color="auto"/>
                <w:left w:val="none" w:sz="0" w:space="0" w:color="auto"/>
                <w:bottom w:val="none" w:sz="0" w:space="0" w:color="auto"/>
                <w:right w:val="none" w:sz="0" w:space="0" w:color="auto"/>
              </w:divBdr>
            </w:div>
            <w:div w:id="1849825586">
              <w:marLeft w:val="0"/>
              <w:marRight w:val="0"/>
              <w:marTop w:val="0"/>
              <w:marBottom w:val="0"/>
              <w:divBdr>
                <w:top w:val="none" w:sz="0" w:space="0" w:color="auto"/>
                <w:left w:val="none" w:sz="0" w:space="0" w:color="auto"/>
                <w:bottom w:val="none" w:sz="0" w:space="0" w:color="auto"/>
                <w:right w:val="none" w:sz="0" w:space="0" w:color="auto"/>
              </w:divBdr>
            </w:div>
            <w:div w:id="1988439413">
              <w:marLeft w:val="0"/>
              <w:marRight w:val="0"/>
              <w:marTop w:val="0"/>
              <w:marBottom w:val="0"/>
              <w:divBdr>
                <w:top w:val="none" w:sz="0" w:space="0" w:color="auto"/>
                <w:left w:val="none" w:sz="0" w:space="0" w:color="auto"/>
                <w:bottom w:val="none" w:sz="0" w:space="0" w:color="auto"/>
                <w:right w:val="none" w:sz="0" w:space="0" w:color="auto"/>
              </w:divBdr>
            </w:div>
            <w:div w:id="2012827983">
              <w:marLeft w:val="0"/>
              <w:marRight w:val="0"/>
              <w:marTop w:val="0"/>
              <w:marBottom w:val="0"/>
              <w:divBdr>
                <w:top w:val="none" w:sz="0" w:space="0" w:color="auto"/>
                <w:left w:val="none" w:sz="0" w:space="0" w:color="auto"/>
                <w:bottom w:val="none" w:sz="0" w:space="0" w:color="auto"/>
                <w:right w:val="none" w:sz="0" w:space="0" w:color="auto"/>
              </w:divBdr>
            </w:div>
            <w:div w:id="2079286536">
              <w:marLeft w:val="0"/>
              <w:marRight w:val="0"/>
              <w:marTop w:val="0"/>
              <w:marBottom w:val="0"/>
              <w:divBdr>
                <w:top w:val="none" w:sz="0" w:space="0" w:color="auto"/>
                <w:left w:val="none" w:sz="0" w:space="0" w:color="auto"/>
                <w:bottom w:val="none" w:sz="0" w:space="0" w:color="auto"/>
                <w:right w:val="none" w:sz="0" w:space="0" w:color="auto"/>
              </w:divBdr>
            </w:div>
            <w:div w:id="2094430639">
              <w:marLeft w:val="0"/>
              <w:marRight w:val="0"/>
              <w:marTop w:val="0"/>
              <w:marBottom w:val="0"/>
              <w:divBdr>
                <w:top w:val="none" w:sz="0" w:space="0" w:color="auto"/>
                <w:left w:val="none" w:sz="0" w:space="0" w:color="auto"/>
                <w:bottom w:val="none" w:sz="0" w:space="0" w:color="auto"/>
                <w:right w:val="none" w:sz="0" w:space="0" w:color="auto"/>
              </w:divBdr>
            </w:div>
            <w:div w:id="2115056478">
              <w:marLeft w:val="0"/>
              <w:marRight w:val="0"/>
              <w:marTop w:val="0"/>
              <w:marBottom w:val="0"/>
              <w:divBdr>
                <w:top w:val="none" w:sz="0" w:space="0" w:color="auto"/>
                <w:left w:val="none" w:sz="0" w:space="0" w:color="auto"/>
                <w:bottom w:val="none" w:sz="0" w:space="0" w:color="auto"/>
                <w:right w:val="none" w:sz="0" w:space="0" w:color="auto"/>
              </w:divBdr>
            </w:div>
          </w:divsChild>
        </w:div>
        <w:div w:id="1836452682">
          <w:marLeft w:val="0"/>
          <w:marRight w:val="0"/>
          <w:marTop w:val="0"/>
          <w:marBottom w:val="0"/>
          <w:divBdr>
            <w:top w:val="none" w:sz="0" w:space="0" w:color="auto"/>
            <w:left w:val="none" w:sz="0" w:space="0" w:color="auto"/>
            <w:bottom w:val="none" w:sz="0" w:space="0" w:color="auto"/>
            <w:right w:val="none" w:sz="0" w:space="0" w:color="auto"/>
          </w:divBdr>
          <w:divsChild>
            <w:div w:id="405154744">
              <w:marLeft w:val="0"/>
              <w:marRight w:val="0"/>
              <w:marTop w:val="0"/>
              <w:marBottom w:val="0"/>
              <w:divBdr>
                <w:top w:val="none" w:sz="0" w:space="0" w:color="auto"/>
                <w:left w:val="none" w:sz="0" w:space="0" w:color="auto"/>
                <w:bottom w:val="none" w:sz="0" w:space="0" w:color="auto"/>
                <w:right w:val="none" w:sz="0" w:space="0" w:color="auto"/>
              </w:divBdr>
            </w:div>
            <w:div w:id="709500687">
              <w:marLeft w:val="0"/>
              <w:marRight w:val="0"/>
              <w:marTop w:val="0"/>
              <w:marBottom w:val="0"/>
              <w:divBdr>
                <w:top w:val="none" w:sz="0" w:space="0" w:color="auto"/>
                <w:left w:val="none" w:sz="0" w:space="0" w:color="auto"/>
                <w:bottom w:val="none" w:sz="0" w:space="0" w:color="auto"/>
                <w:right w:val="none" w:sz="0" w:space="0" w:color="auto"/>
              </w:divBdr>
            </w:div>
            <w:div w:id="936213002">
              <w:marLeft w:val="0"/>
              <w:marRight w:val="0"/>
              <w:marTop w:val="0"/>
              <w:marBottom w:val="0"/>
              <w:divBdr>
                <w:top w:val="none" w:sz="0" w:space="0" w:color="auto"/>
                <w:left w:val="none" w:sz="0" w:space="0" w:color="auto"/>
                <w:bottom w:val="none" w:sz="0" w:space="0" w:color="auto"/>
                <w:right w:val="none" w:sz="0" w:space="0" w:color="auto"/>
              </w:divBdr>
            </w:div>
            <w:div w:id="1308784299">
              <w:marLeft w:val="0"/>
              <w:marRight w:val="0"/>
              <w:marTop w:val="0"/>
              <w:marBottom w:val="0"/>
              <w:divBdr>
                <w:top w:val="none" w:sz="0" w:space="0" w:color="auto"/>
                <w:left w:val="none" w:sz="0" w:space="0" w:color="auto"/>
                <w:bottom w:val="none" w:sz="0" w:space="0" w:color="auto"/>
                <w:right w:val="none" w:sz="0" w:space="0" w:color="auto"/>
              </w:divBdr>
            </w:div>
            <w:div w:id="1676687211">
              <w:marLeft w:val="0"/>
              <w:marRight w:val="0"/>
              <w:marTop w:val="0"/>
              <w:marBottom w:val="0"/>
              <w:divBdr>
                <w:top w:val="none" w:sz="0" w:space="0" w:color="auto"/>
                <w:left w:val="none" w:sz="0" w:space="0" w:color="auto"/>
                <w:bottom w:val="none" w:sz="0" w:space="0" w:color="auto"/>
                <w:right w:val="none" w:sz="0" w:space="0" w:color="auto"/>
              </w:divBdr>
            </w:div>
            <w:div w:id="1922980126">
              <w:marLeft w:val="0"/>
              <w:marRight w:val="0"/>
              <w:marTop w:val="0"/>
              <w:marBottom w:val="0"/>
              <w:divBdr>
                <w:top w:val="none" w:sz="0" w:space="0" w:color="auto"/>
                <w:left w:val="none" w:sz="0" w:space="0" w:color="auto"/>
                <w:bottom w:val="none" w:sz="0" w:space="0" w:color="auto"/>
                <w:right w:val="none" w:sz="0" w:space="0" w:color="auto"/>
              </w:divBdr>
            </w:div>
          </w:divsChild>
        </w:div>
        <w:div w:id="1847748687">
          <w:marLeft w:val="0"/>
          <w:marRight w:val="0"/>
          <w:marTop w:val="0"/>
          <w:marBottom w:val="0"/>
          <w:divBdr>
            <w:top w:val="none" w:sz="0" w:space="0" w:color="auto"/>
            <w:left w:val="none" w:sz="0" w:space="0" w:color="auto"/>
            <w:bottom w:val="none" w:sz="0" w:space="0" w:color="auto"/>
            <w:right w:val="none" w:sz="0" w:space="0" w:color="auto"/>
          </w:divBdr>
        </w:div>
        <w:div w:id="1857499960">
          <w:marLeft w:val="0"/>
          <w:marRight w:val="0"/>
          <w:marTop w:val="0"/>
          <w:marBottom w:val="0"/>
          <w:divBdr>
            <w:top w:val="none" w:sz="0" w:space="0" w:color="auto"/>
            <w:left w:val="none" w:sz="0" w:space="0" w:color="auto"/>
            <w:bottom w:val="none" w:sz="0" w:space="0" w:color="auto"/>
            <w:right w:val="none" w:sz="0" w:space="0" w:color="auto"/>
          </w:divBdr>
        </w:div>
        <w:div w:id="1922833365">
          <w:marLeft w:val="0"/>
          <w:marRight w:val="0"/>
          <w:marTop w:val="0"/>
          <w:marBottom w:val="0"/>
          <w:divBdr>
            <w:top w:val="none" w:sz="0" w:space="0" w:color="auto"/>
            <w:left w:val="none" w:sz="0" w:space="0" w:color="auto"/>
            <w:bottom w:val="none" w:sz="0" w:space="0" w:color="auto"/>
            <w:right w:val="none" w:sz="0" w:space="0" w:color="auto"/>
          </w:divBdr>
          <w:divsChild>
            <w:div w:id="76482459">
              <w:marLeft w:val="0"/>
              <w:marRight w:val="0"/>
              <w:marTop w:val="0"/>
              <w:marBottom w:val="0"/>
              <w:divBdr>
                <w:top w:val="none" w:sz="0" w:space="0" w:color="auto"/>
                <w:left w:val="none" w:sz="0" w:space="0" w:color="auto"/>
                <w:bottom w:val="none" w:sz="0" w:space="0" w:color="auto"/>
                <w:right w:val="none" w:sz="0" w:space="0" w:color="auto"/>
              </w:divBdr>
            </w:div>
            <w:div w:id="97023907">
              <w:marLeft w:val="0"/>
              <w:marRight w:val="0"/>
              <w:marTop w:val="0"/>
              <w:marBottom w:val="0"/>
              <w:divBdr>
                <w:top w:val="none" w:sz="0" w:space="0" w:color="auto"/>
                <w:left w:val="none" w:sz="0" w:space="0" w:color="auto"/>
                <w:bottom w:val="none" w:sz="0" w:space="0" w:color="auto"/>
                <w:right w:val="none" w:sz="0" w:space="0" w:color="auto"/>
              </w:divBdr>
            </w:div>
            <w:div w:id="178396195">
              <w:marLeft w:val="0"/>
              <w:marRight w:val="0"/>
              <w:marTop w:val="0"/>
              <w:marBottom w:val="0"/>
              <w:divBdr>
                <w:top w:val="none" w:sz="0" w:space="0" w:color="auto"/>
                <w:left w:val="none" w:sz="0" w:space="0" w:color="auto"/>
                <w:bottom w:val="none" w:sz="0" w:space="0" w:color="auto"/>
                <w:right w:val="none" w:sz="0" w:space="0" w:color="auto"/>
              </w:divBdr>
            </w:div>
            <w:div w:id="199830414">
              <w:marLeft w:val="0"/>
              <w:marRight w:val="0"/>
              <w:marTop w:val="0"/>
              <w:marBottom w:val="0"/>
              <w:divBdr>
                <w:top w:val="none" w:sz="0" w:space="0" w:color="auto"/>
                <w:left w:val="none" w:sz="0" w:space="0" w:color="auto"/>
                <w:bottom w:val="none" w:sz="0" w:space="0" w:color="auto"/>
                <w:right w:val="none" w:sz="0" w:space="0" w:color="auto"/>
              </w:divBdr>
            </w:div>
            <w:div w:id="314605259">
              <w:marLeft w:val="0"/>
              <w:marRight w:val="0"/>
              <w:marTop w:val="0"/>
              <w:marBottom w:val="0"/>
              <w:divBdr>
                <w:top w:val="none" w:sz="0" w:space="0" w:color="auto"/>
                <w:left w:val="none" w:sz="0" w:space="0" w:color="auto"/>
                <w:bottom w:val="none" w:sz="0" w:space="0" w:color="auto"/>
                <w:right w:val="none" w:sz="0" w:space="0" w:color="auto"/>
              </w:divBdr>
            </w:div>
            <w:div w:id="533810286">
              <w:marLeft w:val="0"/>
              <w:marRight w:val="0"/>
              <w:marTop w:val="0"/>
              <w:marBottom w:val="0"/>
              <w:divBdr>
                <w:top w:val="none" w:sz="0" w:space="0" w:color="auto"/>
                <w:left w:val="none" w:sz="0" w:space="0" w:color="auto"/>
                <w:bottom w:val="none" w:sz="0" w:space="0" w:color="auto"/>
                <w:right w:val="none" w:sz="0" w:space="0" w:color="auto"/>
              </w:divBdr>
            </w:div>
            <w:div w:id="714767961">
              <w:marLeft w:val="0"/>
              <w:marRight w:val="0"/>
              <w:marTop w:val="0"/>
              <w:marBottom w:val="0"/>
              <w:divBdr>
                <w:top w:val="none" w:sz="0" w:space="0" w:color="auto"/>
                <w:left w:val="none" w:sz="0" w:space="0" w:color="auto"/>
                <w:bottom w:val="none" w:sz="0" w:space="0" w:color="auto"/>
                <w:right w:val="none" w:sz="0" w:space="0" w:color="auto"/>
              </w:divBdr>
            </w:div>
            <w:div w:id="740710267">
              <w:marLeft w:val="0"/>
              <w:marRight w:val="0"/>
              <w:marTop w:val="0"/>
              <w:marBottom w:val="0"/>
              <w:divBdr>
                <w:top w:val="none" w:sz="0" w:space="0" w:color="auto"/>
                <w:left w:val="none" w:sz="0" w:space="0" w:color="auto"/>
                <w:bottom w:val="none" w:sz="0" w:space="0" w:color="auto"/>
                <w:right w:val="none" w:sz="0" w:space="0" w:color="auto"/>
              </w:divBdr>
            </w:div>
            <w:div w:id="751049268">
              <w:marLeft w:val="0"/>
              <w:marRight w:val="0"/>
              <w:marTop w:val="0"/>
              <w:marBottom w:val="0"/>
              <w:divBdr>
                <w:top w:val="none" w:sz="0" w:space="0" w:color="auto"/>
                <w:left w:val="none" w:sz="0" w:space="0" w:color="auto"/>
                <w:bottom w:val="none" w:sz="0" w:space="0" w:color="auto"/>
                <w:right w:val="none" w:sz="0" w:space="0" w:color="auto"/>
              </w:divBdr>
            </w:div>
            <w:div w:id="831599211">
              <w:marLeft w:val="0"/>
              <w:marRight w:val="0"/>
              <w:marTop w:val="0"/>
              <w:marBottom w:val="0"/>
              <w:divBdr>
                <w:top w:val="none" w:sz="0" w:space="0" w:color="auto"/>
                <w:left w:val="none" w:sz="0" w:space="0" w:color="auto"/>
                <w:bottom w:val="none" w:sz="0" w:space="0" w:color="auto"/>
                <w:right w:val="none" w:sz="0" w:space="0" w:color="auto"/>
              </w:divBdr>
            </w:div>
            <w:div w:id="962153363">
              <w:marLeft w:val="0"/>
              <w:marRight w:val="0"/>
              <w:marTop w:val="0"/>
              <w:marBottom w:val="0"/>
              <w:divBdr>
                <w:top w:val="none" w:sz="0" w:space="0" w:color="auto"/>
                <w:left w:val="none" w:sz="0" w:space="0" w:color="auto"/>
                <w:bottom w:val="none" w:sz="0" w:space="0" w:color="auto"/>
                <w:right w:val="none" w:sz="0" w:space="0" w:color="auto"/>
              </w:divBdr>
            </w:div>
            <w:div w:id="1025138830">
              <w:marLeft w:val="0"/>
              <w:marRight w:val="0"/>
              <w:marTop w:val="0"/>
              <w:marBottom w:val="0"/>
              <w:divBdr>
                <w:top w:val="none" w:sz="0" w:space="0" w:color="auto"/>
                <w:left w:val="none" w:sz="0" w:space="0" w:color="auto"/>
                <w:bottom w:val="none" w:sz="0" w:space="0" w:color="auto"/>
                <w:right w:val="none" w:sz="0" w:space="0" w:color="auto"/>
              </w:divBdr>
            </w:div>
            <w:div w:id="1395621658">
              <w:marLeft w:val="0"/>
              <w:marRight w:val="0"/>
              <w:marTop w:val="0"/>
              <w:marBottom w:val="0"/>
              <w:divBdr>
                <w:top w:val="none" w:sz="0" w:space="0" w:color="auto"/>
                <w:left w:val="none" w:sz="0" w:space="0" w:color="auto"/>
                <w:bottom w:val="none" w:sz="0" w:space="0" w:color="auto"/>
                <w:right w:val="none" w:sz="0" w:space="0" w:color="auto"/>
              </w:divBdr>
            </w:div>
            <w:div w:id="1491602029">
              <w:marLeft w:val="0"/>
              <w:marRight w:val="0"/>
              <w:marTop w:val="0"/>
              <w:marBottom w:val="0"/>
              <w:divBdr>
                <w:top w:val="none" w:sz="0" w:space="0" w:color="auto"/>
                <w:left w:val="none" w:sz="0" w:space="0" w:color="auto"/>
                <w:bottom w:val="none" w:sz="0" w:space="0" w:color="auto"/>
                <w:right w:val="none" w:sz="0" w:space="0" w:color="auto"/>
              </w:divBdr>
            </w:div>
            <w:div w:id="1511679728">
              <w:marLeft w:val="0"/>
              <w:marRight w:val="0"/>
              <w:marTop w:val="0"/>
              <w:marBottom w:val="0"/>
              <w:divBdr>
                <w:top w:val="none" w:sz="0" w:space="0" w:color="auto"/>
                <w:left w:val="none" w:sz="0" w:space="0" w:color="auto"/>
                <w:bottom w:val="none" w:sz="0" w:space="0" w:color="auto"/>
                <w:right w:val="none" w:sz="0" w:space="0" w:color="auto"/>
              </w:divBdr>
            </w:div>
            <w:div w:id="1557546266">
              <w:marLeft w:val="0"/>
              <w:marRight w:val="0"/>
              <w:marTop w:val="0"/>
              <w:marBottom w:val="0"/>
              <w:divBdr>
                <w:top w:val="none" w:sz="0" w:space="0" w:color="auto"/>
                <w:left w:val="none" w:sz="0" w:space="0" w:color="auto"/>
                <w:bottom w:val="none" w:sz="0" w:space="0" w:color="auto"/>
                <w:right w:val="none" w:sz="0" w:space="0" w:color="auto"/>
              </w:divBdr>
            </w:div>
            <w:div w:id="1797137305">
              <w:marLeft w:val="0"/>
              <w:marRight w:val="0"/>
              <w:marTop w:val="0"/>
              <w:marBottom w:val="0"/>
              <w:divBdr>
                <w:top w:val="none" w:sz="0" w:space="0" w:color="auto"/>
                <w:left w:val="none" w:sz="0" w:space="0" w:color="auto"/>
                <w:bottom w:val="none" w:sz="0" w:space="0" w:color="auto"/>
                <w:right w:val="none" w:sz="0" w:space="0" w:color="auto"/>
              </w:divBdr>
            </w:div>
            <w:div w:id="1869175691">
              <w:marLeft w:val="0"/>
              <w:marRight w:val="0"/>
              <w:marTop w:val="0"/>
              <w:marBottom w:val="0"/>
              <w:divBdr>
                <w:top w:val="none" w:sz="0" w:space="0" w:color="auto"/>
                <w:left w:val="none" w:sz="0" w:space="0" w:color="auto"/>
                <w:bottom w:val="none" w:sz="0" w:space="0" w:color="auto"/>
                <w:right w:val="none" w:sz="0" w:space="0" w:color="auto"/>
              </w:divBdr>
            </w:div>
            <w:div w:id="1871842246">
              <w:marLeft w:val="0"/>
              <w:marRight w:val="0"/>
              <w:marTop w:val="0"/>
              <w:marBottom w:val="0"/>
              <w:divBdr>
                <w:top w:val="none" w:sz="0" w:space="0" w:color="auto"/>
                <w:left w:val="none" w:sz="0" w:space="0" w:color="auto"/>
                <w:bottom w:val="none" w:sz="0" w:space="0" w:color="auto"/>
                <w:right w:val="none" w:sz="0" w:space="0" w:color="auto"/>
              </w:divBdr>
            </w:div>
            <w:div w:id="2070302656">
              <w:marLeft w:val="0"/>
              <w:marRight w:val="0"/>
              <w:marTop w:val="0"/>
              <w:marBottom w:val="0"/>
              <w:divBdr>
                <w:top w:val="none" w:sz="0" w:space="0" w:color="auto"/>
                <w:left w:val="none" w:sz="0" w:space="0" w:color="auto"/>
                <w:bottom w:val="none" w:sz="0" w:space="0" w:color="auto"/>
                <w:right w:val="none" w:sz="0" w:space="0" w:color="auto"/>
              </w:divBdr>
            </w:div>
          </w:divsChild>
        </w:div>
        <w:div w:id="1940521727">
          <w:marLeft w:val="0"/>
          <w:marRight w:val="0"/>
          <w:marTop w:val="0"/>
          <w:marBottom w:val="0"/>
          <w:divBdr>
            <w:top w:val="none" w:sz="0" w:space="0" w:color="auto"/>
            <w:left w:val="none" w:sz="0" w:space="0" w:color="auto"/>
            <w:bottom w:val="none" w:sz="0" w:space="0" w:color="auto"/>
            <w:right w:val="none" w:sz="0" w:space="0" w:color="auto"/>
          </w:divBdr>
        </w:div>
        <w:div w:id="1945843377">
          <w:marLeft w:val="0"/>
          <w:marRight w:val="0"/>
          <w:marTop w:val="0"/>
          <w:marBottom w:val="0"/>
          <w:divBdr>
            <w:top w:val="none" w:sz="0" w:space="0" w:color="auto"/>
            <w:left w:val="none" w:sz="0" w:space="0" w:color="auto"/>
            <w:bottom w:val="none" w:sz="0" w:space="0" w:color="auto"/>
            <w:right w:val="none" w:sz="0" w:space="0" w:color="auto"/>
          </w:divBdr>
        </w:div>
        <w:div w:id="1949777550">
          <w:marLeft w:val="0"/>
          <w:marRight w:val="0"/>
          <w:marTop w:val="0"/>
          <w:marBottom w:val="0"/>
          <w:divBdr>
            <w:top w:val="none" w:sz="0" w:space="0" w:color="auto"/>
            <w:left w:val="none" w:sz="0" w:space="0" w:color="auto"/>
            <w:bottom w:val="none" w:sz="0" w:space="0" w:color="auto"/>
            <w:right w:val="none" w:sz="0" w:space="0" w:color="auto"/>
          </w:divBdr>
        </w:div>
        <w:div w:id="1962415841">
          <w:marLeft w:val="0"/>
          <w:marRight w:val="0"/>
          <w:marTop w:val="0"/>
          <w:marBottom w:val="0"/>
          <w:divBdr>
            <w:top w:val="none" w:sz="0" w:space="0" w:color="auto"/>
            <w:left w:val="none" w:sz="0" w:space="0" w:color="auto"/>
            <w:bottom w:val="none" w:sz="0" w:space="0" w:color="auto"/>
            <w:right w:val="none" w:sz="0" w:space="0" w:color="auto"/>
          </w:divBdr>
        </w:div>
        <w:div w:id="2017002465">
          <w:marLeft w:val="0"/>
          <w:marRight w:val="0"/>
          <w:marTop w:val="0"/>
          <w:marBottom w:val="0"/>
          <w:divBdr>
            <w:top w:val="none" w:sz="0" w:space="0" w:color="auto"/>
            <w:left w:val="none" w:sz="0" w:space="0" w:color="auto"/>
            <w:bottom w:val="none" w:sz="0" w:space="0" w:color="auto"/>
            <w:right w:val="none" w:sz="0" w:space="0" w:color="auto"/>
          </w:divBdr>
        </w:div>
        <w:div w:id="2066247745">
          <w:marLeft w:val="0"/>
          <w:marRight w:val="0"/>
          <w:marTop w:val="0"/>
          <w:marBottom w:val="0"/>
          <w:divBdr>
            <w:top w:val="none" w:sz="0" w:space="0" w:color="auto"/>
            <w:left w:val="none" w:sz="0" w:space="0" w:color="auto"/>
            <w:bottom w:val="none" w:sz="0" w:space="0" w:color="auto"/>
            <w:right w:val="none" w:sz="0" w:space="0" w:color="auto"/>
          </w:divBdr>
        </w:div>
        <w:div w:id="2095711111">
          <w:marLeft w:val="0"/>
          <w:marRight w:val="0"/>
          <w:marTop w:val="0"/>
          <w:marBottom w:val="0"/>
          <w:divBdr>
            <w:top w:val="none" w:sz="0" w:space="0" w:color="auto"/>
            <w:left w:val="none" w:sz="0" w:space="0" w:color="auto"/>
            <w:bottom w:val="none" w:sz="0" w:space="0" w:color="auto"/>
            <w:right w:val="none" w:sz="0" w:space="0" w:color="auto"/>
          </w:divBdr>
        </w:div>
      </w:divsChild>
    </w:div>
    <w:div w:id="762915308">
      <w:bodyDiv w:val="1"/>
      <w:marLeft w:val="0"/>
      <w:marRight w:val="0"/>
      <w:marTop w:val="0"/>
      <w:marBottom w:val="0"/>
      <w:divBdr>
        <w:top w:val="none" w:sz="0" w:space="0" w:color="auto"/>
        <w:left w:val="none" w:sz="0" w:space="0" w:color="auto"/>
        <w:bottom w:val="none" w:sz="0" w:space="0" w:color="auto"/>
        <w:right w:val="none" w:sz="0" w:space="0" w:color="auto"/>
      </w:divBdr>
      <w:divsChild>
        <w:div w:id="12077686">
          <w:marLeft w:val="0"/>
          <w:marRight w:val="0"/>
          <w:marTop w:val="0"/>
          <w:marBottom w:val="0"/>
          <w:divBdr>
            <w:top w:val="none" w:sz="0" w:space="0" w:color="auto"/>
            <w:left w:val="none" w:sz="0" w:space="0" w:color="auto"/>
            <w:bottom w:val="none" w:sz="0" w:space="0" w:color="auto"/>
            <w:right w:val="none" w:sz="0" w:space="0" w:color="auto"/>
          </w:divBdr>
        </w:div>
        <w:div w:id="58019701">
          <w:marLeft w:val="0"/>
          <w:marRight w:val="0"/>
          <w:marTop w:val="0"/>
          <w:marBottom w:val="0"/>
          <w:divBdr>
            <w:top w:val="none" w:sz="0" w:space="0" w:color="auto"/>
            <w:left w:val="none" w:sz="0" w:space="0" w:color="auto"/>
            <w:bottom w:val="none" w:sz="0" w:space="0" w:color="auto"/>
            <w:right w:val="none" w:sz="0" w:space="0" w:color="auto"/>
          </w:divBdr>
        </w:div>
        <w:div w:id="79105664">
          <w:marLeft w:val="0"/>
          <w:marRight w:val="0"/>
          <w:marTop w:val="0"/>
          <w:marBottom w:val="0"/>
          <w:divBdr>
            <w:top w:val="none" w:sz="0" w:space="0" w:color="auto"/>
            <w:left w:val="none" w:sz="0" w:space="0" w:color="auto"/>
            <w:bottom w:val="none" w:sz="0" w:space="0" w:color="auto"/>
            <w:right w:val="none" w:sz="0" w:space="0" w:color="auto"/>
          </w:divBdr>
        </w:div>
        <w:div w:id="117114196">
          <w:marLeft w:val="0"/>
          <w:marRight w:val="0"/>
          <w:marTop w:val="0"/>
          <w:marBottom w:val="0"/>
          <w:divBdr>
            <w:top w:val="none" w:sz="0" w:space="0" w:color="auto"/>
            <w:left w:val="none" w:sz="0" w:space="0" w:color="auto"/>
            <w:bottom w:val="none" w:sz="0" w:space="0" w:color="auto"/>
            <w:right w:val="none" w:sz="0" w:space="0" w:color="auto"/>
          </w:divBdr>
        </w:div>
        <w:div w:id="165944381">
          <w:marLeft w:val="0"/>
          <w:marRight w:val="0"/>
          <w:marTop w:val="0"/>
          <w:marBottom w:val="0"/>
          <w:divBdr>
            <w:top w:val="none" w:sz="0" w:space="0" w:color="auto"/>
            <w:left w:val="none" w:sz="0" w:space="0" w:color="auto"/>
            <w:bottom w:val="none" w:sz="0" w:space="0" w:color="auto"/>
            <w:right w:val="none" w:sz="0" w:space="0" w:color="auto"/>
          </w:divBdr>
        </w:div>
        <w:div w:id="172385128">
          <w:marLeft w:val="0"/>
          <w:marRight w:val="0"/>
          <w:marTop w:val="0"/>
          <w:marBottom w:val="0"/>
          <w:divBdr>
            <w:top w:val="none" w:sz="0" w:space="0" w:color="auto"/>
            <w:left w:val="none" w:sz="0" w:space="0" w:color="auto"/>
            <w:bottom w:val="none" w:sz="0" w:space="0" w:color="auto"/>
            <w:right w:val="none" w:sz="0" w:space="0" w:color="auto"/>
          </w:divBdr>
        </w:div>
        <w:div w:id="279069761">
          <w:marLeft w:val="0"/>
          <w:marRight w:val="0"/>
          <w:marTop w:val="0"/>
          <w:marBottom w:val="0"/>
          <w:divBdr>
            <w:top w:val="none" w:sz="0" w:space="0" w:color="auto"/>
            <w:left w:val="none" w:sz="0" w:space="0" w:color="auto"/>
            <w:bottom w:val="none" w:sz="0" w:space="0" w:color="auto"/>
            <w:right w:val="none" w:sz="0" w:space="0" w:color="auto"/>
          </w:divBdr>
          <w:divsChild>
            <w:div w:id="540216591">
              <w:marLeft w:val="-75"/>
              <w:marRight w:val="0"/>
              <w:marTop w:val="30"/>
              <w:marBottom w:val="30"/>
              <w:divBdr>
                <w:top w:val="none" w:sz="0" w:space="0" w:color="auto"/>
                <w:left w:val="none" w:sz="0" w:space="0" w:color="auto"/>
                <w:bottom w:val="none" w:sz="0" w:space="0" w:color="auto"/>
                <w:right w:val="none" w:sz="0" w:space="0" w:color="auto"/>
              </w:divBdr>
              <w:divsChild>
                <w:div w:id="82653638">
                  <w:marLeft w:val="0"/>
                  <w:marRight w:val="0"/>
                  <w:marTop w:val="0"/>
                  <w:marBottom w:val="0"/>
                  <w:divBdr>
                    <w:top w:val="none" w:sz="0" w:space="0" w:color="auto"/>
                    <w:left w:val="none" w:sz="0" w:space="0" w:color="auto"/>
                    <w:bottom w:val="none" w:sz="0" w:space="0" w:color="auto"/>
                    <w:right w:val="none" w:sz="0" w:space="0" w:color="auto"/>
                  </w:divBdr>
                  <w:divsChild>
                    <w:div w:id="712577822">
                      <w:marLeft w:val="0"/>
                      <w:marRight w:val="0"/>
                      <w:marTop w:val="0"/>
                      <w:marBottom w:val="0"/>
                      <w:divBdr>
                        <w:top w:val="none" w:sz="0" w:space="0" w:color="auto"/>
                        <w:left w:val="none" w:sz="0" w:space="0" w:color="auto"/>
                        <w:bottom w:val="none" w:sz="0" w:space="0" w:color="auto"/>
                        <w:right w:val="none" w:sz="0" w:space="0" w:color="auto"/>
                      </w:divBdr>
                    </w:div>
                    <w:div w:id="1905799829">
                      <w:marLeft w:val="0"/>
                      <w:marRight w:val="0"/>
                      <w:marTop w:val="0"/>
                      <w:marBottom w:val="0"/>
                      <w:divBdr>
                        <w:top w:val="none" w:sz="0" w:space="0" w:color="auto"/>
                        <w:left w:val="none" w:sz="0" w:space="0" w:color="auto"/>
                        <w:bottom w:val="none" w:sz="0" w:space="0" w:color="auto"/>
                        <w:right w:val="none" w:sz="0" w:space="0" w:color="auto"/>
                      </w:divBdr>
                    </w:div>
                  </w:divsChild>
                </w:div>
                <w:div w:id="434863649">
                  <w:marLeft w:val="0"/>
                  <w:marRight w:val="0"/>
                  <w:marTop w:val="0"/>
                  <w:marBottom w:val="0"/>
                  <w:divBdr>
                    <w:top w:val="none" w:sz="0" w:space="0" w:color="auto"/>
                    <w:left w:val="none" w:sz="0" w:space="0" w:color="auto"/>
                    <w:bottom w:val="none" w:sz="0" w:space="0" w:color="auto"/>
                    <w:right w:val="none" w:sz="0" w:space="0" w:color="auto"/>
                  </w:divBdr>
                  <w:divsChild>
                    <w:div w:id="348532086">
                      <w:marLeft w:val="0"/>
                      <w:marRight w:val="0"/>
                      <w:marTop w:val="0"/>
                      <w:marBottom w:val="0"/>
                      <w:divBdr>
                        <w:top w:val="none" w:sz="0" w:space="0" w:color="auto"/>
                        <w:left w:val="none" w:sz="0" w:space="0" w:color="auto"/>
                        <w:bottom w:val="none" w:sz="0" w:space="0" w:color="auto"/>
                        <w:right w:val="none" w:sz="0" w:space="0" w:color="auto"/>
                      </w:divBdr>
                    </w:div>
                    <w:div w:id="543644172">
                      <w:marLeft w:val="0"/>
                      <w:marRight w:val="0"/>
                      <w:marTop w:val="0"/>
                      <w:marBottom w:val="0"/>
                      <w:divBdr>
                        <w:top w:val="none" w:sz="0" w:space="0" w:color="auto"/>
                        <w:left w:val="none" w:sz="0" w:space="0" w:color="auto"/>
                        <w:bottom w:val="none" w:sz="0" w:space="0" w:color="auto"/>
                        <w:right w:val="none" w:sz="0" w:space="0" w:color="auto"/>
                      </w:divBdr>
                    </w:div>
                  </w:divsChild>
                </w:div>
                <w:div w:id="451706665">
                  <w:marLeft w:val="0"/>
                  <w:marRight w:val="0"/>
                  <w:marTop w:val="0"/>
                  <w:marBottom w:val="0"/>
                  <w:divBdr>
                    <w:top w:val="none" w:sz="0" w:space="0" w:color="auto"/>
                    <w:left w:val="none" w:sz="0" w:space="0" w:color="auto"/>
                    <w:bottom w:val="none" w:sz="0" w:space="0" w:color="auto"/>
                    <w:right w:val="none" w:sz="0" w:space="0" w:color="auto"/>
                  </w:divBdr>
                  <w:divsChild>
                    <w:div w:id="1710110050">
                      <w:marLeft w:val="0"/>
                      <w:marRight w:val="0"/>
                      <w:marTop w:val="0"/>
                      <w:marBottom w:val="0"/>
                      <w:divBdr>
                        <w:top w:val="none" w:sz="0" w:space="0" w:color="auto"/>
                        <w:left w:val="none" w:sz="0" w:space="0" w:color="auto"/>
                        <w:bottom w:val="none" w:sz="0" w:space="0" w:color="auto"/>
                        <w:right w:val="none" w:sz="0" w:space="0" w:color="auto"/>
                      </w:divBdr>
                    </w:div>
                  </w:divsChild>
                </w:div>
                <w:div w:id="605770033">
                  <w:marLeft w:val="0"/>
                  <w:marRight w:val="0"/>
                  <w:marTop w:val="0"/>
                  <w:marBottom w:val="0"/>
                  <w:divBdr>
                    <w:top w:val="none" w:sz="0" w:space="0" w:color="auto"/>
                    <w:left w:val="none" w:sz="0" w:space="0" w:color="auto"/>
                    <w:bottom w:val="none" w:sz="0" w:space="0" w:color="auto"/>
                    <w:right w:val="none" w:sz="0" w:space="0" w:color="auto"/>
                  </w:divBdr>
                  <w:divsChild>
                    <w:div w:id="114715203">
                      <w:marLeft w:val="0"/>
                      <w:marRight w:val="0"/>
                      <w:marTop w:val="0"/>
                      <w:marBottom w:val="0"/>
                      <w:divBdr>
                        <w:top w:val="none" w:sz="0" w:space="0" w:color="auto"/>
                        <w:left w:val="none" w:sz="0" w:space="0" w:color="auto"/>
                        <w:bottom w:val="none" w:sz="0" w:space="0" w:color="auto"/>
                        <w:right w:val="none" w:sz="0" w:space="0" w:color="auto"/>
                      </w:divBdr>
                    </w:div>
                    <w:div w:id="1144464638">
                      <w:marLeft w:val="0"/>
                      <w:marRight w:val="0"/>
                      <w:marTop w:val="0"/>
                      <w:marBottom w:val="0"/>
                      <w:divBdr>
                        <w:top w:val="none" w:sz="0" w:space="0" w:color="auto"/>
                        <w:left w:val="none" w:sz="0" w:space="0" w:color="auto"/>
                        <w:bottom w:val="none" w:sz="0" w:space="0" w:color="auto"/>
                        <w:right w:val="none" w:sz="0" w:space="0" w:color="auto"/>
                      </w:divBdr>
                    </w:div>
                  </w:divsChild>
                </w:div>
                <w:div w:id="827597183">
                  <w:marLeft w:val="0"/>
                  <w:marRight w:val="0"/>
                  <w:marTop w:val="0"/>
                  <w:marBottom w:val="0"/>
                  <w:divBdr>
                    <w:top w:val="none" w:sz="0" w:space="0" w:color="auto"/>
                    <w:left w:val="none" w:sz="0" w:space="0" w:color="auto"/>
                    <w:bottom w:val="none" w:sz="0" w:space="0" w:color="auto"/>
                    <w:right w:val="none" w:sz="0" w:space="0" w:color="auto"/>
                  </w:divBdr>
                  <w:divsChild>
                    <w:div w:id="95251561">
                      <w:marLeft w:val="0"/>
                      <w:marRight w:val="0"/>
                      <w:marTop w:val="0"/>
                      <w:marBottom w:val="0"/>
                      <w:divBdr>
                        <w:top w:val="none" w:sz="0" w:space="0" w:color="auto"/>
                        <w:left w:val="none" w:sz="0" w:space="0" w:color="auto"/>
                        <w:bottom w:val="none" w:sz="0" w:space="0" w:color="auto"/>
                        <w:right w:val="none" w:sz="0" w:space="0" w:color="auto"/>
                      </w:divBdr>
                    </w:div>
                  </w:divsChild>
                </w:div>
                <w:div w:id="889074981">
                  <w:marLeft w:val="0"/>
                  <w:marRight w:val="0"/>
                  <w:marTop w:val="0"/>
                  <w:marBottom w:val="0"/>
                  <w:divBdr>
                    <w:top w:val="none" w:sz="0" w:space="0" w:color="auto"/>
                    <w:left w:val="none" w:sz="0" w:space="0" w:color="auto"/>
                    <w:bottom w:val="none" w:sz="0" w:space="0" w:color="auto"/>
                    <w:right w:val="none" w:sz="0" w:space="0" w:color="auto"/>
                  </w:divBdr>
                  <w:divsChild>
                    <w:div w:id="469906387">
                      <w:marLeft w:val="0"/>
                      <w:marRight w:val="0"/>
                      <w:marTop w:val="0"/>
                      <w:marBottom w:val="0"/>
                      <w:divBdr>
                        <w:top w:val="none" w:sz="0" w:space="0" w:color="auto"/>
                        <w:left w:val="none" w:sz="0" w:space="0" w:color="auto"/>
                        <w:bottom w:val="none" w:sz="0" w:space="0" w:color="auto"/>
                        <w:right w:val="none" w:sz="0" w:space="0" w:color="auto"/>
                      </w:divBdr>
                    </w:div>
                    <w:div w:id="657997230">
                      <w:marLeft w:val="0"/>
                      <w:marRight w:val="0"/>
                      <w:marTop w:val="0"/>
                      <w:marBottom w:val="0"/>
                      <w:divBdr>
                        <w:top w:val="none" w:sz="0" w:space="0" w:color="auto"/>
                        <w:left w:val="none" w:sz="0" w:space="0" w:color="auto"/>
                        <w:bottom w:val="none" w:sz="0" w:space="0" w:color="auto"/>
                        <w:right w:val="none" w:sz="0" w:space="0" w:color="auto"/>
                      </w:divBdr>
                    </w:div>
                    <w:div w:id="716898904">
                      <w:marLeft w:val="0"/>
                      <w:marRight w:val="0"/>
                      <w:marTop w:val="0"/>
                      <w:marBottom w:val="0"/>
                      <w:divBdr>
                        <w:top w:val="none" w:sz="0" w:space="0" w:color="auto"/>
                        <w:left w:val="none" w:sz="0" w:space="0" w:color="auto"/>
                        <w:bottom w:val="none" w:sz="0" w:space="0" w:color="auto"/>
                        <w:right w:val="none" w:sz="0" w:space="0" w:color="auto"/>
                      </w:divBdr>
                    </w:div>
                    <w:div w:id="747189439">
                      <w:marLeft w:val="0"/>
                      <w:marRight w:val="0"/>
                      <w:marTop w:val="0"/>
                      <w:marBottom w:val="0"/>
                      <w:divBdr>
                        <w:top w:val="none" w:sz="0" w:space="0" w:color="auto"/>
                        <w:left w:val="none" w:sz="0" w:space="0" w:color="auto"/>
                        <w:bottom w:val="none" w:sz="0" w:space="0" w:color="auto"/>
                        <w:right w:val="none" w:sz="0" w:space="0" w:color="auto"/>
                      </w:divBdr>
                    </w:div>
                    <w:div w:id="763572065">
                      <w:marLeft w:val="0"/>
                      <w:marRight w:val="0"/>
                      <w:marTop w:val="0"/>
                      <w:marBottom w:val="0"/>
                      <w:divBdr>
                        <w:top w:val="none" w:sz="0" w:space="0" w:color="auto"/>
                        <w:left w:val="none" w:sz="0" w:space="0" w:color="auto"/>
                        <w:bottom w:val="none" w:sz="0" w:space="0" w:color="auto"/>
                        <w:right w:val="none" w:sz="0" w:space="0" w:color="auto"/>
                      </w:divBdr>
                    </w:div>
                    <w:div w:id="865866604">
                      <w:marLeft w:val="0"/>
                      <w:marRight w:val="0"/>
                      <w:marTop w:val="0"/>
                      <w:marBottom w:val="0"/>
                      <w:divBdr>
                        <w:top w:val="none" w:sz="0" w:space="0" w:color="auto"/>
                        <w:left w:val="none" w:sz="0" w:space="0" w:color="auto"/>
                        <w:bottom w:val="none" w:sz="0" w:space="0" w:color="auto"/>
                        <w:right w:val="none" w:sz="0" w:space="0" w:color="auto"/>
                      </w:divBdr>
                    </w:div>
                    <w:div w:id="1078139687">
                      <w:marLeft w:val="0"/>
                      <w:marRight w:val="0"/>
                      <w:marTop w:val="0"/>
                      <w:marBottom w:val="0"/>
                      <w:divBdr>
                        <w:top w:val="none" w:sz="0" w:space="0" w:color="auto"/>
                        <w:left w:val="none" w:sz="0" w:space="0" w:color="auto"/>
                        <w:bottom w:val="none" w:sz="0" w:space="0" w:color="auto"/>
                        <w:right w:val="none" w:sz="0" w:space="0" w:color="auto"/>
                      </w:divBdr>
                    </w:div>
                    <w:div w:id="1079139342">
                      <w:marLeft w:val="0"/>
                      <w:marRight w:val="0"/>
                      <w:marTop w:val="0"/>
                      <w:marBottom w:val="0"/>
                      <w:divBdr>
                        <w:top w:val="none" w:sz="0" w:space="0" w:color="auto"/>
                        <w:left w:val="none" w:sz="0" w:space="0" w:color="auto"/>
                        <w:bottom w:val="none" w:sz="0" w:space="0" w:color="auto"/>
                        <w:right w:val="none" w:sz="0" w:space="0" w:color="auto"/>
                      </w:divBdr>
                    </w:div>
                    <w:div w:id="1377046218">
                      <w:marLeft w:val="0"/>
                      <w:marRight w:val="0"/>
                      <w:marTop w:val="0"/>
                      <w:marBottom w:val="0"/>
                      <w:divBdr>
                        <w:top w:val="none" w:sz="0" w:space="0" w:color="auto"/>
                        <w:left w:val="none" w:sz="0" w:space="0" w:color="auto"/>
                        <w:bottom w:val="none" w:sz="0" w:space="0" w:color="auto"/>
                        <w:right w:val="none" w:sz="0" w:space="0" w:color="auto"/>
                      </w:divBdr>
                    </w:div>
                    <w:div w:id="1486780504">
                      <w:marLeft w:val="0"/>
                      <w:marRight w:val="0"/>
                      <w:marTop w:val="0"/>
                      <w:marBottom w:val="0"/>
                      <w:divBdr>
                        <w:top w:val="none" w:sz="0" w:space="0" w:color="auto"/>
                        <w:left w:val="none" w:sz="0" w:space="0" w:color="auto"/>
                        <w:bottom w:val="none" w:sz="0" w:space="0" w:color="auto"/>
                        <w:right w:val="none" w:sz="0" w:space="0" w:color="auto"/>
                      </w:divBdr>
                    </w:div>
                    <w:div w:id="1496262023">
                      <w:marLeft w:val="0"/>
                      <w:marRight w:val="0"/>
                      <w:marTop w:val="0"/>
                      <w:marBottom w:val="0"/>
                      <w:divBdr>
                        <w:top w:val="none" w:sz="0" w:space="0" w:color="auto"/>
                        <w:left w:val="none" w:sz="0" w:space="0" w:color="auto"/>
                        <w:bottom w:val="none" w:sz="0" w:space="0" w:color="auto"/>
                        <w:right w:val="none" w:sz="0" w:space="0" w:color="auto"/>
                      </w:divBdr>
                    </w:div>
                    <w:div w:id="1587836731">
                      <w:marLeft w:val="0"/>
                      <w:marRight w:val="0"/>
                      <w:marTop w:val="0"/>
                      <w:marBottom w:val="0"/>
                      <w:divBdr>
                        <w:top w:val="none" w:sz="0" w:space="0" w:color="auto"/>
                        <w:left w:val="none" w:sz="0" w:space="0" w:color="auto"/>
                        <w:bottom w:val="none" w:sz="0" w:space="0" w:color="auto"/>
                        <w:right w:val="none" w:sz="0" w:space="0" w:color="auto"/>
                      </w:divBdr>
                    </w:div>
                    <w:div w:id="1622032735">
                      <w:marLeft w:val="0"/>
                      <w:marRight w:val="0"/>
                      <w:marTop w:val="0"/>
                      <w:marBottom w:val="0"/>
                      <w:divBdr>
                        <w:top w:val="none" w:sz="0" w:space="0" w:color="auto"/>
                        <w:left w:val="none" w:sz="0" w:space="0" w:color="auto"/>
                        <w:bottom w:val="none" w:sz="0" w:space="0" w:color="auto"/>
                        <w:right w:val="none" w:sz="0" w:space="0" w:color="auto"/>
                      </w:divBdr>
                    </w:div>
                    <w:div w:id="1793283309">
                      <w:marLeft w:val="0"/>
                      <w:marRight w:val="0"/>
                      <w:marTop w:val="0"/>
                      <w:marBottom w:val="0"/>
                      <w:divBdr>
                        <w:top w:val="none" w:sz="0" w:space="0" w:color="auto"/>
                        <w:left w:val="none" w:sz="0" w:space="0" w:color="auto"/>
                        <w:bottom w:val="none" w:sz="0" w:space="0" w:color="auto"/>
                        <w:right w:val="none" w:sz="0" w:space="0" w:color="auto"/>
                      </w:divBdr>
                    </w:div>
                    <w:div w:id="1979993012">
                      <w:marLeft w:val="0"/>
                      <w:marRight w:val="0"/>
                      <w:marTop w:val="0"/>
                      <w:marBottom w:val="0"/>
                      <w:divBdr>
                        <w:top w:val="none" w:sz="0" w:space="0" w:color="auto"/>
                        <w:left w:val="none" w:sz="0" w:space="0" w:color="auto"/>
                        <w:bottom w:val="none" w:sz="0" w:space="0" w:color="auto"/>
                        <w:right w:val="none" w:sz="0" w:space="0" w:color="auto"/>
                      </w:divBdr>
                    </w:div>
                  </w:divsChild>
                </w:div>
                <w:div w:id="1185554112">
                  <w:marLeft w:val="0"/>
                  <w:marRight w:val="0"/>
                  <w:marTop w:val="0"/>
                  <w:marBottom w:val="0"/>
                  <w:divBdr>
                    <w:top w:val="none" w:sz="0" w:space="0" w:color="auto"/>
                    <w:left w:val="none" w:sz="0" w:space="0" w:color="auto"/>
                    <w:bottom w:val="none" w:sz="0" w:space="0" w:color="auto"/>
                    <w:right w:val="none" w:sz="0" w:space="0" w:color="auto"/>
                  </w:divBdr>
                  <w:divsChild>
                    <w:div w:id="776367444">
                      <w:marLeft w:val="0"/>
                      <w:marRight w:val="0"/>
                      <w:marTop w:val="0"/>
                      <w:marBottom w:val="0"/>
                      <w:divBdr>
                        <w:top w:val="none" w:sz="0" w:space="0" w:color="auto"/>
                        <w:left w:val="none" w:sz="0" w:space="0" w:color="auto"/>
                        <w:bottom w:val="none" w:sz="0" w:space="0" w:color="auto"/>
                        <w:right w:val="none" w:sz="0" w:space="0" w:color="auto"/>
                      </w:divBdr>
                    </w:div>
                  </w:divsChild>
                </w:div>
                <w:div w:id="1563516538">
                  <w:marLeft w:val="0"/>
                  <w:marRight w:val="0"/>
                  <w:marTop w:val="0"/>
                  <w:marBottom w:val="0"/>
                  <w:divBdr>
                    <w:top w:val="none" w:sz="0" w:space="0" w:color="auto"/>
                    <w:left w:val="none" w:sz="0" w:space="0" w:color="auto"/>
                    <w:bottom w:val="none" w:sz="0" w:space="0" w:color="auto"/>
                    <w:right w:val="none" w:sz="0" w:space="0" w:color="auto"/>
                  </w:divBdr>
                  <w:divsChild>
                    <w:div w:id="601298206">
                      <w:marLeft w:val="0"/>
                      <w:marRight w:val="0"/>
                      <w:marTop w:val="0"/>
                      <w:marBottom w:val="0"/>
                      <w:divBdr>
                        <w:top w:val="none" w:sz="0" w:space="0" w:color="auto"/>
                        <w:left w:val="none" w:sz="0" w:space="0" w:color="auto"/>
                        <w:bottom w:val="none" w:sz="0" w:space="0" w:color="auto"/>
                        <w:right w:val="none" w:sz="0" w:space="0" w:color="auto"/>
                      </w:divBdr>
                    </w:div>
                    <w:div w:id="1020207470">
                      <w:marLeft w:val="0"/>
                      <w:marRight w:val="0"/>
                      <w:marTop w:val="0"/>
                      <w:marBottom w:val="0"/>
                      <w:divBdr>
                        <w:top w:val="none" w:sz="0" w:space="0" w:color="auto"/>
                        <w:left w:val="none" w:sz="0" w:space="0" w:color="auto"/>
                        <w:bottom w:val="none" w:sz="0" w:space="0" w:color="auto"/>
                        <w:right w:val="none" w:sz="0" w:space="0" w:color="auto"/>
                      </w:divBdr>
                    </w:div>
                    <w:div w:id="1107650900">
                      <w:marLeft w:val="0"/>
                      <w:marRight w:val="0"/>
                      <w:marTop w:val="0"/>
                      <w:marBottom w:val="0"/>
                      <w:divBdr>
                        <w:top w:val="none" w:sz="0" w:space="0" w:color="auto"/>
                        <w:left w:val="none" w:sz="0" w:space="0" w:color="auto"/>
                        <w:bottom w:val="none" w:sz="0" w:space="0" w:color="auto"/>
                        <w:right w:val="none" w:sz="0" w:space="0" w:color="auto"/>
                      </w:divBdr>
                    </w:div>
                    <w:div w:id="1551262961">
                      <w:marLeft w:val="0"/>
                      <w:marRight w:val="0"/>
                      <w:marTop w:val="0"/>
                      <w:marBottom w:val="0"/>
                      <w:divBdr>
                        <w:top w:val="none" w:sz="0" w:space="0" w:color="auto"/>
                        <w:left w:val="none" w:sz="0" w:space="0" w:color="auto"/>
                        <w:bottom w:val="none" w:sz="0" w:space="0" w:color="auto"/>
                        <w:right w:val="none" w:sz="0" w:space="0" w:color="auto"/>
                      </w:divBdr>
                    </w:div>
                    <w:div w:id="1893494711">
                      <w:marLeft w:val="0"/>
                      <w:marRight w:val="0"/>
                      <w:marTop w:val="0"/>
                      <w:marBottom w:val="0"/>
                      <w:divBdr>
                        <w:top w:val="none" w:sz="0" w:space="0" w:color="auto"/>
                        <w:left w:val="none" w:sz="0" w:space="0" w:color="auto"/>
                        <w:bottom w:val="none" w:sz="0" w:space="0" w:color="auto"/>
                        <w:right w:val="none" w:sz="0" w:space="0" w:color="auto"/>
                      </w:divBdr>
                    </w:div>
                    <w:div w:id="2014339715">
                      <w:marLeft w:val="0"/>
                      <w:marRight w:val="0"/>
                      <w:marTop w:val="0"/>
                      <w:marBottom w:val="0"/>
                      <w:divBdr>
                        <w:top w:val="none" w:sz="0" w:space="0" w:color="auto"/>
                        <w:left w:val="none" w:sz="0" w:space="0" w:color="auto"/>
                        <w:bottom w:val="none" w:sz="0" w:space="0" w:color="auto"/>
                        <w:right w:val="none" w:sz="0" w:space="0" w:color="auto"/>
                      </w:divBdr>
                    </w:div>
                  </w:divsChild>
                </w:div>
                <w:div w:id="1591770634">
                  <w:marLeft w:val="0"/>
                  <w:marRight w:val="0"/>
                  <w:marTop w:val="0"/>
                  <w:marBottom w:val="0"/>
                  <w:divBdr>
                    <w:top w:val="none" w:sz="0" w:space="0" w:color="auto"/>
                    <w:left w:val="none" w:sz="0" w:space="0" w:color="auto"/>
                    <w:bottom w:val="none" w:sz="0" w:space="0" w:color="auto"/>
                    <w:right w:val="none" w:sz="0" w:space="0" w:color="auto"/>
                  </w:divBdr>
                  <w:divsChild>
                    <w:div w:id="744297899">
                      <w:marLeft w:val="0"/>
                      <w:marRight w:val="0"/>
                      <w:marTop w:val="0"/>
                      <w:marBottom w:val="0"/>
                      <w:divBdr>
                        <w:top w:val="none" w:sz="0" w:space="0" w:color="auto"/>
                        <w:left w:val="none" w:sz="0" w:space="0" w:color="auto"/>
                        <w:bottom w:val="none" w:sz="0" w:space="0" w:color="auto"/>
                        <w:right w:val="none" w:sz="0" w:space="0" w:color="auto"/>
                      </w:divBdr>
                    </w:div>
                  </w:divsChild>
                </w:div>
                <w:div w:id="1606228389">
                  <w:marLeft w:val="0"/>
                  <w:marRight w:val="0"/>
                  <w:marTop w:val="0"/>
                  <w:marBottom w:val="0"/>
                  <w:divBdr>
                    <w:top w:val="none" w:sz="0" w:space="0" w:color="auto"/>
                    <w:left w:val="none" w:sz="0" w:space="0" w:color="auto"/>
                    <w:bottom w:val="none" w:sz="0" w:space="0" w:color="auto"/>
                    <w:right w:val="none" w:sz="0" w:space="0" w:color="auto"/>
                  </w:divBdr>
                  <w:divsChild>
                    <w:div w:id="357243741">
                      <w:marLeft w:val="0"/>
                      <w:marRight w:val="0"/>
                      <w:marTop w:val="0"/>
                      <w:marBottom w:val="0"/>
                      <w:divBdr>
                        <w:top w:val="none" w:sz="0" w:space="0" w:color="auto"/>
                        <w:left w:val="none" w:sz="0" w:space="0" w:color="auto"/>
                        <w:bottom w:val="none" w:sz="0" w:space="0" w:color="auto"/>
                        <w:right w:val="none" w:sz="0" w:space="0" w:color="auto"/>
                      </w:divBdr>
                    </w:div>
                    <w:div w:id="799420753">
                      <w:marLeft w:val="0"/>
                      <w:marRight w:val="0"/>
                      <w:marTop w:val="0"/>
                      <w:marBottom w:val="0"/>
                      <w:divBdr>
                        <w:top w:val="none" w:sz="0" w:space="0" w:color="auto"/>
                        <w:left w:val="none" w:sz="0" w:space="0" w:color="auto"/>
                        <w:bottom w:val="none" w:sz="0" w:space="0" w:color="auto"/>
                        <w:right w:val="none" w:sz="0" w:space="0" w:color="auto"/>
                      </w:divBdr>
                    </w:div>
                  </w:divsChild>
                </w:div>
                <w:div w:id="1650131809">
                  <w:marLeft w:val="0"/>
                  <w:marRight w:val="0"/>
                  <w:marTop w:val="0"/>
                  <w:marBottom w:val="0"/>
                  <w:divBdr>
                    <w:top w:val="none" w:sz="0" w:space="0" w:color="auto"/>
                    <w:left w:val="none" w:sz="0" w:space="0" w:color="auto"/>
                    <w:bottom w:val="none" w:sz="0" w:space="0" w:color="auto"/>
                    <w:right w:val="none" w:sz="0" w:space="0" w:color="auto"/>
                  </w:divBdr>
                  <w:divsChild>
                    <w:div w:id="518129494">
                      <w:marLeft w:val="0"/>
                      <w:marRight w:val="0"/>
                      <w:marTop w:val="0"/>
                      <w:marBottom w:val="0"/>
                      <w:divBdr>
                        <w:top w:val="none" w:sz="0" w:space="0" w:color="auto"/>
                        <w:left w:val="none" w:sz="0" w:space="0" w:color="auto"/>
                        <w:bottom w:val="none" w:sz="0" w:space="0" w:color="auto"/>
                        <w:right w:val="none" w:sz="0" w:space="0" w:color="auto"/>
                      </w:divBdr>
                    </w:div>
                    <w:div w:id="1980766696">
                      <w:marLeft w:val="0"/>
                      <w:marRight w:val="0"/>
                      <w:marTop w:val="0"/>
                      <w:marBottom w:val="0"/>
                      <w:divBdr>
                        <w:top w:val="none" w:sz="0" w:space="0" w:color="auto"/>
                        <w:left w:val="none" w:sz="0" w:space="0" w:color="auto"/>
                        <w:bottom w:val="none" w:sz="0" w:space="0" w:color="auto"/>
                        <w:right w:val="none" w:sz="0" w:space="0" w:color="auto"/>
                      </w:divBdr>
                    </w:div>
                  </w:divsChild>
                </w:div>
                <w:div w:id="1854687121">
                  <w:marLeft w:val="0"/>
                  <w:marRight w:val="0"/>
                  <w:marTop w:val="0"/>
                  <w:marBottom w:val="0"/>
                  <w:divBdr>
                    <w:top w:val="none" w:sz="0" w:space="0" w:color="auto"/>
                    <w:left w:val="none" w:sz="0" w:space="0" w:color="auto"/>
                    <w:bottom w:val="none" w:sz="0" w:space="0" w:color="auto"/>
                    <w:right w:val="none" w:sz="0" w:space="0" w:color="auto"/>
                  </w:divBdr>
                  <w:divsChild>
                    <w:div w:id="307978028">
                      <w:marLeft w:val="0"/>
                      <w:marRight w:val="0"/>
                      <w:marTop w:val="0"/>
                      <w:marBottom w:val="0"/>
                      <w:divBdr>
                        <w:top w:val="none" w:sz="0" w:space="0" w:color="auto"/>
                        <w:left w:val="none" w:sz="0" w:space="0" w:color="auto"/>
                        <w:bottom w:val="none" w:sz="0" w:space="0" w:color="auto"/>
                        <w:right w:val="none" w:sz="0" w:space="0" w:color="auto"/>
                      </w:divBdr>
                    </w:div>
                    <w:div w:id="346561658">
                      <w:marLeft w:val="0"/>
                      <w:marRight w:val="0"/>
                      <w:marTop w:val="0"/>
                      <w:marBottom w:val="0"/>
                      <w:divBdr>
                        <w:top w:val="none" w:sz="0" w:space="0" w:color="auto"/>
                        <w:left w:val="none" w:sz="0" w:space="0" w:color="auto"/>
                        <w:bottom w:val="none" w:sz="0" w:space="0" w:color="auto"/>
                        <w:right w:val="none" w:sz="0" w:space="0" w:color="auto"/>
                      </w:divBdr>
                    </w:div>
                    <w:div w:id="1012608428">
                      <w:marLeft w:val="0"/>
                      <w:marRight w:val="0"/>
                      <w:marTop w:val="0"/>
                      <w:marBottom w:val="0"/>
                      <w:divBdr>
                        <w:top w:val="none" w:sz="0" w:space="0" w:color="auto"/>
                        <w:left w:val="none" w:sz="0" w:space="0" w:color="auto"/>
                        <w:bottom w:val="none" w:sz="0" w:space="0" w:color="auto"/>
                        <w:right w:val="none" w:sz="0" w:space="0" w:color="auto"/>
                      </w:divBdr>
                    </w:div>
                    <w:div w:id="1208836759">
                      <w:marLeft w:val="0"/>
                      <w:marRight w:val="0"/>
                      <w:marTop w:val="0"/>
                      <w:marBottom w:val="0"/>
                      <w:divBdr>
                        <w:top w:val="none" w:sz="0" w:space="0" w:color="auto"/>
                        <w:left w:val="none" w:sz="0" w:space="0" w:color="auto"/>
                        <w:bottom w:val="none" w:sz="0" w:space="0" w:color="auto"/>
                        <w:right w:val="none" w:sz="0" w:space="0" w:color="auto"/>
                      </w:divBdr>
                    </w:div>
                    <w:div w:id="1700424995">
                      <w:marLeft w:val="0"/>
                      <w:marRight w:val="0"/>
                      <w:marTop w:val="0"/>
                      <w:marBottom w:val="0"/>
                      <w:divBdr>
                        <w:top w:val="none" w:sz="0" w:space="0" w:color="auto"/>
                        <w:left w:val="none" w:sz="0" w:space="0" w:color="auto"/>
                        <w:bottom w:val="none" w:sz="0" w:space="0" w:color="auto"/>
                        <w:right w:val="none" w:sz="0" w:space="0" w:color="auto"/>
                      </w:divBdr>
                    </w:div>
                    <w:div w:id="1805392978">
                      <w:marLeft w:val="0"/>
                      <w:marRight w:val="0"/>
                      <w:marTop w:val="0"/>
                      <w:marBottom w:val="0"/>
                      <w:divBdr>
                        <w:top w:val="none" w:sz="0" w:space="0" w:color="auto"/>
                        <w:left w:val="none" w:sz="0" w:space="0" w:color="auto"/>
                        <w:bottom w:val="none" w:sz="0" w:space="0" w:color="auto"/>
                        <w:right w:val="none" w:sz="0" w:space="0" w:color="auto"/>
                      </w:divBdr>
                    </w:div>
                  </w:divsChild>
                </w:div>
                <w:div w:id="2014843291">
                  <w:marLeft w:val="0"/>
                  <w:marRight w:val="0"/>
                  <w:marTop w:val="0"/>
                  <w:marBottom w:val="0"/>
                  <w:divBdr>
                    <w:top w:val="none" w:sz="0" w:space="0" w:color="auto"/>
                    <w:left w:val="none" w:sz="0" w:space="0" w:color="auto"/>
                    <w:bottom w:val="none" w:sz="0" w:space="0" w:color="auto"/>
                    <w:right w:val="none" w:sz="0" w:space="0" w:color="auto"/>
                  </w:divBdr>
                  <w:divsChild>
                    <w:div w:id="108595412">
                      <w:marLeft w:val="0"/>
                      <w:marRight w:val="0"/>
                      <w:marTop w:val="0"/>
                      <w:marBottom w:val="0"/>
                      <w:divBdr>
                        <w:top w:val="none" w:sz="0" w:space="0" w:color="auto"/>
                        <w:left w:val="none" w:sz="0" w:space="0" w:color="auto"/>
                        <w:bottom w:val="none" w:sz="0" w:space="0" w:color="auto"/>
                        <w:right w:val="none" w:sz="0" w:space="0" w:color="auto"/>
                      </w:divBdr>
                    </w:div>
                    <w:div w:id="757406305">
                      <w:marLeft w:val="0"/>
                      <w:marRight w:val="0"/>
                      <w:marTop w:val="0"/>
                      <w:marBottom w:val="0"/>
                      <w:divBdr>
                        <w:top w:val="none" w:sz="0" w:space="0" w:color="auto"/>
                        <w:left w:val="none" w:sz="0" w:space="0" w:color="auto"/>
                        <w:bottom w:val="none" w:sz="0" w:space="0" w:color="auto"/>
                        <w:right w:val="none" w:sz="0" w:space="0" w:color="auto"/>
                      </w:divBdr>
                    </w:div>
                  </w:divsChild>
                </w:div>
                <w:div w:id="2053652229">
                  <w:marLeft w:val="0"/>
                  <w:marRight w:val="0"/>
                  <w:marTop w:val="0"/>
                  <w:marBottom w:val="0"/>
                  <w:divBdr>
                    <w:top w:val="none" w:sz="0" w:space="0" w:color="auto"/>
                    <w:left w:val="none" w:sz="0" w:space="0" w:color="auto"/>
                    <w:bottom w:val="none" w:sz="0" w:space="0" w:color="auto"/>
                    <w:right w:val="none" w:sz="0" w:space="0" w:color="auto"/>
                  </w:divBdr>
                  <w:divsChild>
                    <w:div w:id="1777870133">
                      <w:marLeft w:val="0"/>
                      <w:marRight w:val="0"/>
                      <w:marTop w:val="0"/>
                      <w:marBottom w:val="0"/>
                      <w:divBdr>
                        <w:top w:val="none" w:sz="0" w:space="0" w:color="auto"/>
                        <w:left w:val="none" w:sz="0" w:space="0" w:color="auto"/>
                        <w:bottom w:val="none" w:sz="0" w:space="0" w:color="auto"/>
                        <w:right w:val="none" w:sz="0" w:space="0" w:color="auto"/>
                      </w:divBdr>
                    </w:div>
                  </w:divsChild>
                </w:div>
                <w:div w:id="2089957520">
                  <w:marLeft w:val="0"/>
                  <w:marRight w:val="0"/>
                  <w:marTop w:val="0"/>
                  <w:marBottom w:val="0"/>
                  <w:divBdr>
                    <w:top w:val="none" w:sz="0" w:space="0" w:color="auto"/>
                    <w:left w:val="none" w:sz="0" w:space="0" w:color="auto"/>
                    <w:bottom w:val="none" w:sz="0" w:space="0" w:color="auto"/>
                    <w:right w:val="none" w:sz="0" w:space="0" w:color="auto"/>
                  </w:divBdr>
                  <w:divsChild>
                    <w:div w:id="316347160">
                      <w:marLeft w:val="0"/>
                      <w:marRight w:val="0"/>
                      <w:marTop w:val="0"/>
                      <w:marBottom w:val="0"/>
                      <w:divBdr>
                        <w:top w:val="none" w:sz="0" w:space="0" w:color="auto"/>
                        <w:left w:val="none" w:sz="0" w:space="0" w:color="auto"/>
                        <w:bottom w:val="none" w:sz="0" w:space="0" w:color="auto"/>
                        <w:right w:val="none" w:sz="0" w:space="0" w:color="auto"/>
                      </w:divBdr>
                    </w:div>
                    <w:div w:id="354968954">
                      <w:marLeft w:val="0"/>
                      <w:marRight w:val="0"/>
                      <w:marTop w:val="0"/>
                      <w:marBottom w:val="0"/>
                      <w:divBdr>
                        <w:top w:val="none" w:sz="0" w:space="0" w:color="auto"/>
                        <w:left w:val="none" w:sz="0" w:space="0" w:color="auto"/>
                        <w:bottom w:val="none" w:sz="0" w:space="0" w:color="auto"/>
                        <w:right w:val="none" w:sz="0" w:space="0" w:color="auto"/>
                      </w:divBdr>
                    </w:div>
                    <w:div w:id="393087264">
                      <w:marLeft w:val="0"/>
                      <w:marRight w:val="0"/>
                      <w:marTop w:val="0"/>
                      <w:marBottom w:val="0"/>
                      <w:divBdr>
                        <w:top w:val="none" w:sz="0" w:space="0" w:color="auto"/>
                        <w:left w:val="none" w:sz="0" w:space="0" w:color="auto"/>
                        <w:bottom w:val="none" w:sz="0" w:space="0" w:color="auto"/>
                        <w:right w:val="none" w:sz="0" w:space="0" w:color="auto"/>
                      </w:divBdr>
                    </w:div>
                    <w:div w:id="682587725">
                      <w:marLeft w:val="0"/>
                      <w:marRight w:val="0"/>
                      <w:marTop w:val="0"/>
                      <w:marBottom w:val="0"/>
                      <w:divBdr>
                        <w:top w:val="none" w:sz="0" w:space="0" w:color="auto"/>
                        <w:left w:val="none" w:sz="0" w:space="0" w:color="auto"/>
                        <w:bottom w:val="none" w:sz="0" w:space="0" w:color="auto"/>
                        <w:right w:val="none" w:sz="0" w:space="0" w:color="auto"/>
                      </w:divBdr>
                    </w:div>
                    <w:div w:id="715853364">
                      <w:marLeft w:val="0"/>
                      <w:marRight w:val="0"/>
                      <w:marTop w:val="0"/>
                      <w:marBottom w:val="0"/>
                      <w:divBdr>
                        <w:top w:val="none" w:sz="0" w:space="0" w:color="auto"/>
                        <w:left w:val="none" w:sz="0" w:space="0" w:color="auto"/>
                        <w:bottom w:val="none" w:sz="0" w:space="0" w:color="auto"/>
                        <w:right w:val="none" w:sz="0" w:space="0" w:color="auto"/>
                      </w:divBdr>
                    </w:div>
                    <w:div w:id="815679297">
                      <w:marLeft w:val="0"/>
                      <w:marRight w:val="0"/>
                      <w:marTop w:val="0"/>
                      <w:marBottom w:val="0"/>
                      <w:divBdr>
                        <w:top w:val="none" w:sz="0" w:space="0" w:color="auto"/>
                        <w:left w:val="none" w:sz="0" w:space="0" w:color="auto"/>
                        <w:bottom w:val="none" w:sz="0" w:space="0" w:color="auto"/>
                        <w:right w:val="none" w:sz="0" w:space="0" w:color="auto"/>
                      </w:divBdr>
                    </w:div>
                    <w:div w:id="905145272">
                      <w:marLeft w:val="0"/>
                      <w:marRight w:val="0"/>
                      <w:marTop w:val="0"/>
                      <w:marBottom w:val="0"/>
                      <w:divBdr>
                        <w:top w:val="none" w:sz="0" w:space="0" w:color="auto"/>
                        <w:left w:val="none" w:sz="0" w:space="0" w:color="auto"/>
                        <w:bottom w:val="none" w:sz="0" w:space="0" w:color="auto"/>
                        <w:right w:val="none" w:sz="0" w:space="0" w:color="auto"/>
                      </w:divBdr>
                    </w:div>
                    <w:div w:id="1337146647">
                      <w:marLeft w:val="0"/>
                      <w:marRight w:val="0"/>
                      <w:marTop w:val="0"/>
                      <w:marBottom w:val="0"/>
                      <w:divBdr>
                        <w:top w:val="none" w:sz="0" w:space="0" w:color="auto"/>
                        <w:left w:val="none" w:sz="0" w:space="0" w:color="auto"/>
                        <w:bottom w:val="none" w:sz="0" w:space="0" w:color="auto"/>
                        <w:right w:val="none" w:sz="0" w:space="0" w:color="auto"/>
                      </w:divBdr>
                    </w:div>
                    <w:div w:id="1345673891">
                      <w:marLeft w:val="0"/>
                      <w:marRight w:val="0"/>
                      <w:marTop w:val="0"/>
                      <w:marBottom w:val="0"/>
                      <w:divBdr>
                        <w:top w:val="none" w:sz="0" w:space="0" w:color="auto"/>
                        <w:left w:val="none" w:sz="0" w:space="0" w:color="auto"/>
                        <w:bottom w:val="none" w:sz="0" w:space="0" w:color="auto"/>
                        <w:right w:val="none" w:sz="0" w:space="0" w:color="auto"/>
                      </w:divBdr>
                    </w:div>
                    <w:div w:id="1615012576">
                      <w:marLeft w:val="0"/>
                      <w:marRight w:val="0"/>
                      <w:marTop w:val="0"/>
                      <w:marBottom w:val="0"/>
                      <w:divBdr>
                        <w:top w:val="none" w:sz="0" w:space="0" w:color="auto"/>
                        <w:left w:val="none" w:sz="0" w:space="0" w:color="auto"/>
                        <w:bottom w:val="none" w:sz="0" w:space="0" w:color="auto"/>
                        <w:right w:val="none" w:sz="0" w:space="0" w:color="auto"/>
                      </w:divBdr>
                    </w:div>
                    <w:div w:id="1915161319">
                      <w:marLeft w:val="0"/>
                      <w:marRight w:val="0"/>
                      <w:marTop w:val="0"/>
                      <w:marBottom w:val="0"/>
                      <w:divBdr>
                        <w:top w:val="none" w:sz="0" w:space="0" w:color="auto"/>
                        <w:left w:val="none" w:sz="0" w:space="0" w:color="auto"/>
                        <w:bottom w:val="none" w:sz="0" w:space="0" w:color="auto"/>
                        <w:right w:val="none" w:sz="0" w:space="0" w:color="auto"/>
                      </w:divBdr>
                    </w:div>
                    <w:div w:id="1974751486">
                      <w:marLeft w:val="0"/>
                      <w:marRight w:val="0"/>
                      <w:marTop w:val="0"/>
                      <w:marBottom w:val="0"/>
                      <w:divBdr>
                        <w:top w:val="none" w:sz="0" w:space="0" w:color="auto"/>
                        <w:left w:val="none" w:sz="0" w:space="0" w:color="auto"/>
                        <w:bottom w:val="none" w:sz="0" w:space="0" w:color="auto"/>
                        <w:right w:val="none" w:sz="0" w:space="0" w:color="auto"/>
                      </w:divBdr>
                    </w:div>
                    <w:div w:id="201209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30375">
          <w:marLeft w:val="0"/>
          <w:marRight w:val="0"/>
          <w:marTop w:val="0"/>
          <w:marBottom w:val="0"/>
          <w:divBdr>
            <w:top w:val="none" w:sz="0" w:space="0" w:color="auto"/>
            <w:left w:val="none" w:sz="0" w:space="0" w:color="auto"/>
            <w:bottom w:val="none" w:sz="0" w:space="0" w:color="auto"/>
            <w:right w:val="none" w:sz="0" w:space="0" w:color="auto"/>
          </w:divBdr>
        </w:div>
        <w:div w:id="289944215">
          <w:marLeft w:val="0"/>
          <w:marRight w:val="0"/>
          <w:marTop w:val="0"/>
          <w:marBottom w:val="0"/>
          <w:divBdr>
            <w:top w:val="none" w:sz="0" w:space="0" w:color="auto"/>
            <w:left w:val="none" w:sz="0" w:space="0" w:color="auto"/>
            <w:bottom w:val="none" w:sz="0" w:space="0" w:color="auto"/>
            <w:right w:val="none" w:sz="0" w:space="0" w:color="auto"/>
          </w:divBdr>
          <w:divsChild>
            <w:div w:id="102117611">
              <w:marLeft w:val="0"/>
              <w:marRight w:val="0"/>
              <w:marTop w:val="0"/>
              <w:marBottom w:val="0"/>
              <w:divBdr>
                <w:top w:val="none" w:sz="0" w:space="0" w:color="auto"/>
                <w:left w:val="none" w:sz="0" w:space="0" w:color="auto"/>
                <w:bottom w:val="none" w:sz="0" w:space="0" w:color="auto"/>
                <w:right w:val="none" w:sz="0" w:space="0" w:color="auto"/>
              </w:divBdr>
            </w:div>
            <w:div w:id="195779087">
              <w:marLeft w:val="0"/>
              <w:marRight w:val="0"/>
              <w:marTop w:val="0"/>
              <w:marBottom w:val="0"/>
              <w:divBdr>
                <w:top w:val="none" w:sz="0" w:space="0" w:color="auto"/>
                <w:left w:val="none" w:sz="0" w:space="0" w:color="auto"/>
                <w:bottom w:val="none" w:sz="0" w:space="0" w:color="auto"/>
                <w:right w:val="none" w:sz="0" w:space="0" w:color="auto"/>
              </w:divBdr>
            </w:div>
            <w:div w:id="331879438">
              <w:marLeft w:val="0"/>
              <w:marRight w:val="0"/>
              <w:marTop w:val="0"/>
              <w:marBottom w:val="0"/>
              <w:divBdr>
                <w:top w:val="none" w:sz="0" w:space="0" w:color="auto"/>
                <w:left w:val="none" w:sz="0" w:space="0" w:color="auto"/>
                <w:bottom w:val="none" w:sz="0" w:space="0" w:color="auto"/>
                <w:right w:val="none" w:sz="0" w:space="0" w:color="auto"/>
              </w:divBdr>
            </w:div>
            <w:div w:id="354040756">
              <w:marLeft w:val="0"/>
              <w:marRight w:val="0"/>
              <w:marTop w:val="0"/>
              <w:marBottom w:val="0"/>
              <w:divBdr>
                <w:top w:val="none" w:sz="0" w:space="0" w:color="auto"/>
                <w:left w:val="none" w:sz="0" w:space="0" w:color="auto"/>
                <w:bottom w:val="none" w:sz="0" w:space="0" w:color="auto"/>
                <w:right w:val="none" w:sz="0" w:space="0" w:color="auto"/>
              </w:divBdr>
            </w:div>
            <w:div w:id="484711839">
              <w:marLeft w:val="0"/>
              <w:marRight w:val="0"/>
              <w:marTop w:val="0"/>
              <w:marBottom w:val="0"/>
              <w:divBdr>
                <w:top w:val="none" w:sz="0" w:space="0" w:color="auto"/>
                <w:left w:val="none" w:sz="0" w:space="0" w:color="auto"/>
                <w:bottom w:val="none" w:sz="0" w:space="0" w:color="auto"/>
                <w:right w:val="none" w:sz="0" w:space="0" w:color="auto"/>
              </w:divBdr>
            </w:div>
            <w:div w:id="558521092">
              <w:marLeft w:val="0"/>
              <w:marRight w:val="0"/>
              <w:marTop w:val="0"/>
              <w:marBottom w:val="0"/>
              <w:divBdr>
                <w:top w:val="none" w:sz="0" w:space="0" w:color="auto"/>
                <w:left w:val="none" w:sz="0" w:space="0" w:color="auto"/>
                <w:bottom w:val="none" w:sz="0" w:space="0" w:color="auto"/>
                <w:right w:val="none" w:sz="0" w:space="0" w:color="auto"/>
              </w:divBdr>
            </w:div>
            <w:div w:id="916792688">
              <w:marLeft w:val="0"/>
              <w:marRight w:val="0"/>
              <w:marTop w:val="0"/>
              <w:marBottom w:val="0"/>
              <w:divBdr>
                <w:top w:val="none" w:sz="0" w:space="0" w:color="auto"/>
                <w:left w:val="none" w:sz="0" w:space="0" w:color="auto"/>
                <w:bottom w:val="none" w:sz="0" w:space="0" w:color="auto"/>
                <w:right w:val="none" w:sz="0" w:space="0" w:color="auto"/>
              </w:divBdr>
            </w:div>
            <w:div w:id="1032997277">
              <w:marLeft w:val="0"/>
              <w:marRight w:val="0"/>
              <w:marTop w:val="0"/>
              <w:marBottom w:val="0"/>
              <w:divBdr>
                <w:top w:val="none" w:sz="0" w:space="0" w:color="auto"/>
                <w:left w:val="none" w:sz="0" w:space="0" w:color="auto"/>
                <w:bottom w:val="none" w:sz="0" w:space="0" w:color="auto"/>
                <w:right w:val="none" w:sz="0" w:space="0" w:color="auto"/>
              </w:divBdr>
            </w:div>
            <w:div w:id="1093548154">
              <w:marLeft w:val="0"/>
              <w:marRight w:val="0"/>
              <w:marTop w:val="0"/>
              <w:marBottom w:val="0"/>
              <w:divBdr>
                <w:top w:val="none" w:sz="0" w:space="0" w:color="auto"/>
                <w:left w:val="none" w:sz="0" w:space="0" w:color="auto"/>
                <w:bottom w:val="none" w:sz="0" w:space="0" w:color="auto"/>
                <w:right w:val="none" w:sz="0" w:space="0" w:color="auto"/>
              </w:divBdr>
            </w:div>
            <w:div w:id="1406683690">
              <w:marLeft w:val="0"/>
              <w:marRight w:val="0"/>
              <w:marTop w:val="0"/>
              <w:marBottom w:val="0"/>
              <w:divBdr>
                <w:top w:val="none" w:sz="0" w:space="0" w:color="auto"/>
                <w:left w:val="none" w:sz="0" w:space="0" w:color="auto"/>
                <w:bottom w:val="none" w:sz="0" w:space="0" w:color="auto"/>
                <w:right w:val="none" w:sz="0" w:space="0" w:color="auto"/>
              </w:divBdr>
            </w:div>
            <w:div w:id="1536693410">
              <w:marLeft w:val="0"/>
              <w:marRight w:val="0"/>
              <w:marTop w:val="0"/>
              <w:marBottom w:val="0"/>
              <w:divBdr>
                <w:top w:val="none" w:sz="0" w:space="0" w:color="auto"/>
                <w:left w:val="none" w:sz="0" w:space="0" w:color="auto"/>
                <w:bottom w:val="none" w:sz="0" w:space="0" w:color="auto"/>
                <w:right w:val="none" w:sz="0" w:space="0" w:color="auto"/>
              </w:divBdr>
            </w:div>
            <w:div w:id="1562672423">
              <w:marLeft w:val="0"/>
              <w:marRight w:val="0"/>
              <w:marTop w:val="0"/>
              <w:marBottom w:val="0"/>
              <w:divBdr>
                <w:top w:val="none" w:sz="0" w:space="0" w:color="auto"/>
                <w:left w:val="none" w:sz="0" w:space="0" w:color="auto"/>
                <w:bottom w:val="none" w:sz="0" w:space="0" w:color="auto"/>
                <w:right w:val="none" w:sz="0" w:space="0" w:color="auto"/>
              </w:divBdr>
            </w:div>
            <w:div w:id="1577544814">
              <w:marLeft w:val="0"/>
              <w:marRight w:val="0"/>
              <w:marTop w:val="0"/>
              <w:marBottom w:val="0"/>
              <w:divBdr>
                <w:top w:val="none" w:sz="0" w:space="0" w:color="auto"/>
                <w:left w:val="none" w:sz="0" w:space="0" w:color="auto"/>
                <w:bottom w:val="none" w:sz="0" w:space="0" w:color="auto"/>
                <w:right w:val="none" w:sz="0" w:space="0" w:color="auto"/>
              </w:divBdr>
            </w:div>
            <w:div w:id="1652102833">
              <w:marLeft w:val="0"/>
              <w:marRight w:val="0"/>
              <w:marTop w:val="0"/>
              <w:marBottom w:val="0"/>
              <w:divBdr>
                <w:top w:val="none" w:sz="0" w:space="0" w:color="auto"/>
                <w:left w:val="none" w:sz="0" w:space="0" w:color="auto"/>
                <w:bottom w:val="none" w:sz="0" w:space="0" w:color="auto"/>
                <w:right w:val="none" w:sz="0" w:space="0" w:color="auto"/>
              </w:divBdr>
            </w:div>
            <w:div w:id="1666663596">
              <w:marLeft w:val="0"/>
              <w:marRight w:val="0"/>
              <w:marTop w:val="0"/>
              <w:marBottom w:val="0"/>
              <w:divBdr>
                <w:top w:val="none" w:sz="0" w:space="0" w:color="auto"/>
                <w:left w:val="none" w:sz="0" w:space="0" w:color="auto"/>
                <w:bottom w:val="none" w:sz="0" w:space="0" w:color="auto"/>
                <w:right w:val="none" w:sz="0" w:space="0" w:color="auto"/>
              </w:divBdr>
            </w:div>
            <w:div w:id="1808624470">
              <w:marLeft w:val="0"/>
              <w:marRight w:val="0"/>
              <w:marTop w:val="0"/>
              <w:marBottom w:val="0"/>
              <w:divBdr>
                <w:top w:val="none" w:sz="0" w:space="0" w:color="auto"/>
                <w:left w:val="none" w:sz="0" w:space="0" w:color="auto"/>
                <w:bottom w:val="none" w:sz="0" w:space="0" w:color="auto"/>
                <w:right w:val="none" w:sz="0" w:space="0" w:color="auto"/>
              </w:divBdr>
            </w:div>
            <w:div w:id="1844468396">
              <w:marLeft w:val="0"/>
              <w:marRight w:val="0"/>
              <w:marTop w:val="0"/>
              <w:marBottom w:val="0"/>
              <w:divBdr>
                <w:top w:val="none" w:sz="0" w:space="0" w:color="auto"/>
                <w:left w:val="none" w:sz="0" w:space="0" w:color="auto"/>
                <w:bottom w:val="none" w:sz="0" w:space="0" w:color="auto"/>
                <w:right w:val="none" w:sz="0" w:space="0" w:color="auto"/>
              </w:divBdr>
            </w:div>
            <w:div w:id="1905410370">
              <w:marLeft w:val="0"/>
              <w:marRight w:val="0"/>
              <w:marTop w:val="0"/>
              <w:marBottom w:val="0"/>
              <w:divBdr>
                <w:top w:val="none" w:sz="0" w:space="0" w:color="auto"/>
                <w:left w:val="none" w:sz="0" w:space="0" w:color="auto"/>
                <w:bottom w:val="none" w:sz="0" w:space="0" w:color="auto"/>
                <w:right w:val="none" w:sz="0" w:space="0" w:color="auto"/>
              </w:divBdr>
            </w:div>
            <w:div w:id="1926650524">
              <w:marLeft w:val="0"/>
              <w:marRight w:val="0"/>
              <w:marTop w:val="0"/>
              <w:marBottom w:val="0"/>
              <w:divBdr>
                <w:top w:val="none" w:sz="0" w:space="0" w:color="auto"/>
                <w:left w:val="none" w:sz="0" w:space="0" w:color="auto"/>
                <w:bottom w:val="none" w:sz="0" w:space="0" w:color="auto"/>
                <w:right w:val="none" w:sz="0" w:space="0" w:color="auto"/>
              </w:divBdr>
            </w:div>
            <w:div w:id="2104522327">
              <w:marLeft w:val="0"/>
              <w:marRight w:val="0"/>
              <w:marTop w:val="0"/>
              <w:marBottom w:val="0"/>
              <w:divBdr>
                <w:top w:val="none" w:sz="0" w:space="0" w:color="auto"/>
                <w:left w:val="none" w:sz="0" w:space="0" w:color="auto"/>
                <w:bottom w:val="none" w:sz="0" w:space="0" w:color="auto"/>
                <w:right w:val="none" w:sz="0" w:space="0" w:color="auto"/>
              </w:divBdr>
            </w:div>
          </w:divsChild>
        </w:div>
        <w:div w:id="420026304">
          <w:marLeft w:val="0"/>
          <w:marRight w:val="0"/>
          <w:marTop w:val="0"/>
          <w:marBottom w:val="0"/>
          <w:divBdr>
            <w:top w:val="none" w:sz="0" w:space="0" w:color="auto"/>
            <w:left w:val="none" w:sz="0" w:space="0" w:color="auto"/>
            <w:bottom w:val="none" w:sz="0" w:space="0" w:color="auto"/>
            <w:right w:val="none" w:sz="0" w:space="0" w:color="auto"/>
          </w:divBdr>
        </w:div>
        <w:div w:id="499278313">
          <w:marLeft w:val="0"/>
          <w:marRight w:val="0"/>
          <w:marTop w:val="0"/>
          <w:marBottom w:val="0"/>
          <w:divBdr>
            <w:top w:val="none" w:sz="0" w:space="0" w:color="auto"/>
            <w:left w:val="none" w:sz="0" w:space="0" w:color="auto"/>
            <w:bottom w:val="none" w:sz="0" w:space="0" w:color="auto"/>
            <w:right w:val="none" w:sz="0" w:space="0" w:color="auto"/>
          </w:divBdr>
        </w:div>
        <w:div w:id="524294175">
          <w:marLeft w:val="0"/>
          <w:marRight w:val="0"/>
          <w:marTop w:val="0"/>
          <w:marBottom w:val="0"/>
          <w:divBdr>
            <w:top w:val="none" w:sz="0" w:space="0" w:color="auto"/>
            <w:left w:val="none" w:sz="0" w:space="0" w:color="auto"/>
            <w:bottom w:val="none" w:sz="0" w:space="0" w:color="auto"/>
            <w:right w:val="none" w:sz="0" w:space="0" w:color="auto"/>
          </w:divBdr>
        </w:div>
        <w:div w:id="552275937">
          <w:marLeft w:val="0"/>
          <w:marRight w:val="0"/>
          <w:marTop w:val="0"/>
          <w:marBottom w:val="0"/>
          <w:divBdr>
            <w:top w:val="none" w:sz="0" w:space="0" w:color="auto"/>
            <w:left w:val="none" w:sz="0" w:space="0" w:color="auto"/>
            <w:bottom w:val="none" w:sz="0" w:space="0" w:color="auto"/>
            <w:right w:val="none" w:sz="0" w:space="0" w:color="auto"/>
          </w:divBdr>
        </w:div>
        <w:div w:id="596519920">
          <w:marLeft w:val="0"/>
          <w:marRight w:val="0"/>
          <w:marTop w:val="0"/>
          <w:marBottom w:val="0"/>
          <w:divBdr>
            <w:top w:val="none" w:sz="0" w:space="0" w:color="auto"/>
            <w:left w:val="none" w:sz="0" w:space="0" w:color="auto"/>
            <w:bottom w:val="none" w:sz="0" w:space="0" w:color="auto"/>
            <w:right w:val="none" w:sz="0" w:space="0" w:color="auto"/>
          </w:divBdr>
          <w:divsChild>
            <w:div w:id="167334836">
              <w:marLeft w:val="0"/>
              <w:marRight w:val="0"/>
              <w:marTop w:val="0"/>
              <w:marBottom w:val="0"/>
              <w:divBdr>
                <w:top w:val="none" w:sz="0" w:space="0" w:color="auto"/>
                <w:left w:val="none" w:sz="0" w:space="0" w:color="auto"/>
                <w:bottom w:val="none" w:sz="0" w:space="0" w:color="auto"/>
                <w:right w:val="none" w:sz="0" w:space="0" w:color="auto"/>
              </w:divBdr>
            </w:div>
            <w:div w:id="191965238">
              <w:marLeft w:val="0"/>
              <w:marRight w:val="0"/>
              <w:marTop w:val="0"/>
              <w:marBottom w:val="0"/>
              <w:divBdr>
                <w:top w:val="none" w:sz="0" w:space="0" w:color="auto"/>
                <w:left w:val="none" w:sz="0" w:space="0" w:color="auto"/>
                <w:bottom w:val="none" w:sz="0" w:space="0" w:color="auto"/>
                <w:right w:val="none" w:sz="0" w:space="0" w:color="auto"/>
              </w:divBdr>
            </w:div>
            <w:div w:id="263927218">
              <w:marLeft w:val="0"/>
              <w:marRight w:val="0"/>
              <w:marTop w:val="0"/>
              <w:marBottom w:val="0"/>
              <w:divBdr>
                <w:top w:val="none" w:sz="0" w:space="0" w:color="auto"/>
                <w:left w:val="none" w:sz="0" w:space="0" w:color="auto"/>
                <w:bottom w:val="none" w:sz="0" w:space="0" w:color="auto"/>
                <w:right w:val="none" w:sz="0" w:space="0" w:color="auto"/>
              </w:divBdr>
            </w:div>
            <w:div w:id="436878004">
              <w:marLeft w:val="0"/>
              <w:marRight w:val="0"/>
              <w:marTop w:val="0"/>
              <w:marBottom w:val="0"/>
              <w:divBdr>
                <w:top w:val="none" w:sz="0" w:space="0" w:color="auto"/>
                <w:left w:val="none" w:sz="0" w:space="0" w:color="auto"/>
                <w:bottom w:val="none" w:sz="0" w:space="0" w:color="auto"/>
                <w:right w:val="none" w:sz="0" w:space="0" w:color="auto"/>
              </w:divBdr>
            </w:div>
            <w:div w:id="441727870">
              <w:marLeft w:val="0"/>
              <w:marRight w:val="0"/>
              <w:marTop w:val="0"/>
              <w:marBottom w:val="0"/>
              <w:divBdr>
                <w:top w:val="none" w:sz="0" w:space="0" w:color="auto"/>
                <w:left w:val="none" w:sz="0" w:space="0" w:color="auto"/>
                <w:bottom w:val="none" w:sz="0" w:space="0" w:color="auto"/>
                <w:right w:val="none" w:sz="0" w:space="0" w:color="auto"/>
              </w:divBdr>
            </w:div>
            <w:div w:id="683241275">
              <w:marLeft w:val="0"/>
              <w:marRight w:val="0"/>
              <w:marTop w:val="0"/>
              <w:marBottom w:val="0"/>
              <w:divBdr>
                <w:top w:val="none" w:sz="0" w:space="0" w:color="auto"/>
                <w:left w:val="none" w:sz="0" w:space="0" w:color="auto"/>
                <w:bottom w:val="none" w:sz="0" w:space="0" w:color="auto"/>
                <w:right w:val="none" w:sz="0" w:space="0" w:color="auto"/>
              </w:divBdr>
            </w:div>
            <w:div w:id="700790101">
              <w:marLeft w:val="0"/>
              <w:marRight w:val="0"/>
              <w:marTop w:val="0"/>
              <w:marBottom w:val="0"/>
              <w:divBdr>
                <w:top w:val="none" w:sz="0" w:space="0" w:color="auto"/>
                <w:left w:val="none" w:sz="0" w:space="0" w:color="auto"/>
                <w:bottom w:val="none" w:sz="0" w:space="0" w:color="auto"/>
                <w:right w:val="none" w:sz="0" w:space="0" w:color="auto"/>
              </w:divBdr>
            </w:div>
            <w:div w:id="988286740">
              <w:marLeft w:val="0"/>
              <w:marRight w:val="0"/>
              <w:marTop w:val="0"/>
              <w:marBottom w:val="0"/>
              <w:divBdr>
                <w:top w:val="none" w:sz="0" w:space="0" w:color="auto"/>
                <w:left w:val="none" w:sz="0" w:space="0" w:color="auto"/>
                <w:bottom w:val="none" w:sz="0" w:space="0" w:color="auto"/>
                <w:right w:val="none" w:sz="0" w:space="0" w:color="auto"/>
              </w:divBdr>
            </w:div>
            <w:div w:id="1222013846">
              <w:marLeft w:val="0"/>
              <w:marRight w:val="0"/>
              <w:marTop w:val="0"/>
              <w:marBottom w:val="0"/>
              <w:divBdr>
                <w:top w:val="none" w:sz="0" w:space="0" w:color="auto"/>
                <w:left w:val="none" w:sz="0" w:space="0" w:color="auto"/>
                <w:bottom w:val="none" w:sz="0" w:space="0" w:color="auto"/>
                <w:right w:val="none" w:sz="0" w:space="0" w:color="auto"/>
              </w:divBdr>
            </w:div>
            <w:div w:id="1277904608">
              <w:marLeft w:val="0"/>
              <w:marRight w:val="0"/>
              <w:marTop w:val="0"/>
              <w:marBottom w:val="0"/>
              <w:divBdr>
                <w:top w:val="none" w:sz="0" w:space="0" w:color="auto"/>
                <w:left w:val="none" w:sz="0" w:space="0" w:color="auto"/>
                <w:bottom w:val="none" w:sz="0" w:space="0" w:color="auto"/>
                <w:right w:val="none" w:sz="0" w:space="0" w:color="auto"/>
              </w:divBdr>
            </w:div>
            <w:div w:id="1526560917">
              <w:marLeft w:val="0"/>
              <w:marRight w:val="0"/>
              <w:marTop w:val="0"/>
              <w:marBottom w:val="0"/>
              <w:divBdr>
                <w:top w:val="none" w:sz="0" w:space="0" w:color="auto"/>
                <w:left w:val="none" w:sz="0" w:space="0" w:color="auto"/>
                <w:bottom w:val="none" w:sz="0" w:space="0" w:color="auto"/>
                <w:right w:val="none" w:sz="0" w:space="0" w:color="auto"/>
              </w:divBdr>
            </w:div>
            <w:div w:id="1592396622">
              <w:marLeft w:val="0"/>
              <w:marRight w:val="0"/>
              <w:marTop w:val="0"/>
              <w:marBottom w:val="0"/>
              <w:divBdr>
                <w:top w:val="none" w:sz="0" w:space="0" w:color="auto"/>
                <w:left w:val="none" w:sz="0" w:space="0" w:color="auto"/>
                <w:bottom w:val="none" w:sz="0" w:space="0" w:color="auto"/>
                <w:right w:val="none" w:sz="0" w:space="0" w:color="auto"/>
              </w:divBdr>
            </w:div>
            <w:div w:id="1692947971">
              <w:marLeft w:val="0"/>
              <w:marRight w:val="0"/>
              <w:marTop w:val="0"/>
              <w:marBottom w:val="0"/>
              <w:divBdr>
                <w:top w:val="none" w:sz="0" w:space="0" w:color="auto"/>
                <w:left w:val="none" w:sz="0" w:space="0" w:color="auto"/>
                <w:bottom w:val="none" w:sz="0" w:space="0" w:color="auto"/>
                <w:right w:val="none" w:sz="0" w:space="0" w:color="auto"/>
              </w:divBdr>
            </w:div>
            <w:div w:id="1762409323">
              <w:marLeft w:val="0"/>
              <w:marRight w:val="0"/>
              <w:marTop w:val="0"/>
              <w:marBottom w:val="0"/>
              <w:divBdr>
                <w:top w:val="none" w:sz="0" w:space="0" w:color="auto"/>
                <w:left w:val="none" w:sz="0" w:space="0" w:color="auto"/>
                <w:bottom w:val="none" w:sz="0" w:space="0" w:color="auto"/>
                <w:right w:val="none" w:sz="0" w:space="0" w:color="auto"/>
              </w:divBdr>
            </w:div>
            <w:div w:id="1841509015">
              <w:marLeft w:val="0"/>
              <w:marRight w:val="0"/>
              <w:marTop w:val="0"/>
              <w:marBottom w:val="0"/>
              <w:divBdr>
                <w:top w:val="none" w:sz="0" w:space="0" w:color="auto"/>
                <w:left w:val="none" w:sz="0" w:space="0" w:color="auto"/>
                <w:bottom w:val="none" w:sz="0" w:space="0" w:color="auto"/>
                <w:right w:val="none" w:sz="0" w:space="0" w:color="auto"/>
              </w:divBdr>
            </w:div>
            <w:div w:id="1924072687">
              <w:marLeft w:val="0"/>
              <w:marRight w:val="0"/>
              <w:marTop w:val="0"/>
              <w:marBottom w:val="0"/>
              <w:divBdr>
                <w:top w:val="none" w:sz="0" w:space="0" w:color="auto"/>
                <w:left w:val="none" w:sz="0" w:space="0" w:color="auto"/>
                <w:bottom w:val="none" w:sz="0" w:space="0" w:color="auto"/>
                <w:right w:val="none" w:sz="0" w:space="0" w:color="auto"/>
              </w:divBdr>
            </w:div>
            <w:div w:id="2012945732">
              <w:marLeft w:val="0"/>
              <w:marRight w:val="0"/>
              <w:marTop w:val="0"/>
              <w:marBottom w:val="0"/>
              <w:divBdr>
                <w:top w:val="none" w:sz="0" w:space="0" w:color="auto"/>
                <w:left w:val="none" w:sz="0" w:space="0" w:color="auto"/>
                <w:bottom w:val="none" w:sz="0" w:space="0" w:color="auto"/>
                <w:right w:val="none" w:sz="0" w:space="0" w:color="auto"/>
              </w:divBdr>
            </w:div>
            <w:div w:id="2035037620">
              <w:marLeft w:val="0"/>
              <w:marRight w:val="0"/>
              <w:marTop w:val="0"/>
              <w:marBottom w:val="0"/>
              <w:divBdr>
                <w:top w:val="none" w:sz="0" w:space="0" w:color="auto"/>
                <w:left w:val="none" w:sz="0" w:space="0" w:color="auto"/>
                <w:bottom w:val="none" w:sz="0" w:space="0" w:color="auto"/>
                <w:right w:val="none" w:sz="0" w:space="0" w:color="auto"/>
              </w:divBdr>
            </w:div>
            <w:div w:id="2035643542">
              <w:marLeft w:val="0"/>
              <w:marRight w:val="0"/>
              <w:marTop w:val="0"/>
              <w:marBottom w:val="0"/>
              <w:divBdr>
                <w:top w:val="none" w:sz="0" w:space="0" w:color="auto"/>
                <w:left w:val="none" w:sz="0" w:space="0" w:color="auto"/>
                <w:bottom w:val="none" w:sz="0" w:space="0" w:color="auto"/>
                <w:right w:val="none" w:sz="0" w:space="0" w:color="auto"/>
              </w:divBdr>
            </w:div>
            <w:div w:id="2130052741">
              <w:marLeft w:val="0"/>
              <w:marRight w:val="0"/>
              <w:marTop w:val="0"/>
              <w:marBottom w:val="0"/>
              <w:divBdr>
                <w:top w:val="none" w:sz="0" w:space="0" w:color="auto"/>
                <w:left w:val="none" w:sz="0" w:space="0" w:color="auto"/>
                <w:bottom w:val="none" w:sz="0" w:space="0" w:color="auto"/>
                <w:right w:val="none" w:sz="0" w:space="0" w:color="auto"/>
              </w:divBdr>
            </w:div>
          </w:divsChild>
        </w:div>
        <w:div w:id="627200548">
          <w:marLeft w:val="0"/>
          <w:marRight w:val="0"/>
          <w:marTop w:val="0"/>
          <w:marBottom w:val="0"/>
          <w:divBdr>
            <w:top w:val="none" w:sz="0" w:space="0" w:color="auto"/>
            <w:left w:val="none" w:sz="0" w:space="0" w:color="auto"/>
            <w:bottom w:val="none" w:sz="0" w:space="0" w:color="auto"/>
            <w:right w:val="none" w:sz="0" w:space="0" w:color="auto"/>
          </w:divBdr>
        </w:div>
        <w:div w:id="640310519">
          <w:marLeft w:val="0"/>
          <w:marRight w:val="0"/>
          <w:marTop w:val="0"/>
          <w:marBottom w:val="0"/>
          <w:divBdr>
            <w:top w:val="none" w:sz="0" w:space="0" w:color="auto"/>
            <w:left w:val="none" w:sz="0" w:space="0" w:color="auto"/>
            <w:bottom w:val="none" w:sz="0" w:space="0" w:color="auto"/>
            <w:right w:val="none" w:sz="0" w:space="0" w:color="auto"/>
          </w:divBdr>
        </w:div>
        <w:div w:id="650599925">
          <w:marLeft w:val="0"/>
          <w:marRight w:val="0"/>
          <w:marTop w:val="0"/>
          <w:marBottom w:val="0"/>
          <w:divBdr>
            <w:top w:val="none" w:sz="0" w:space="0" w:color="auto"/>
            <w:left w:val="none" w:sz="0" w:space="0" w:color="auto"/>
            <w:bottom w:val="none" w:sz="0" w:space="0" w:color="auto"/>
            <w:right w:val="none" w:sz="0" w:space="0" w:color="auto"/>
          </w:divBdr>
        </w:div>
        <w:div w:id="672879710">
          <w:marLeft w:val="0"/>
          <w:marRight w:val="0"/>
          <w:marTop w:val="0"/>
          <w:marBottom w:val="0"/>
          <w:divBdr>
            <w:top w:val="none" w:sz="0" w:space="0" w:color="auto"/>
            <w:left w:val="none" w:sz="0" w:space="0" w:color="auto"/>
            <w:bottom w:val="none" w:sz="0" w:space="0" w:color="auto"/>
            <w:right w:val="none" w:sz="0" w:space="0" w:color="auto"/>
          </w:divBdr>
        </w:div>
        <w:div w:id="698622581">
          <w:marLeft w:val="0"/>
          <w:marRight w:val="0"/>
          <w:marTop w:val="0"/>
          <w:marBottom w:val="0"/>
          <w:divBdr>
            <w:top w:val="none" w:sz="0" w:space="0" w:color="auto"/>
            <w:left w:val="none" w:sz="0" w:space="0" w:color="auto"/>
            <w:bottom w:val="none" w:sz="0" w:space="0" w:color="auto"/>
            <w:right w:val="none" w:sz="0" w:space="0" w:color="auto"/>
          </w:divBdr>
        </w:div>
        <w:div w:id="761797464">
          <w:marLeft w:val="0"/>
          <w:marRight w:val="0"/>
          <w:marTop w:val="0"/>
          <w:marBottom w:val="0"/>
          <w:divBdr>
            <w:top w:val="none" w:sz="0" w:space="0" w:color="auto"/>
            <w:left w:val="none" w:sz="0" w:space="0" w:color="auto"/>
            <w:bottom w:val="none" w:sz="0" w:space="0" w:color="auto"/>
            <w:right w:val="none" w:sz="0" w:space="0" w:color="auto"/>
          </w:divBdr>
        </w:div>
        <w:div w:id="764307009">
          <w:marLeft w:val="0"/>
          <w:marRight w:val="0"/>
          <w:marTop w:val="0"/>
          <w:marBottom w:val="0"/>
          <w:divBdr>
            <w:top w:val="none" w:sz="0" w:space="0" w:color="auto"/>
            <w:left w:val="none" w:sz="0" w:space="0" w:color="auto"/>
            <w:bottom w:val="none" w:sz="0" w:space="0" w:color="auto"/>
            <w:right w:val="none" w:sz="0" w:space="0" w:color="auto"/>
          </w:divBdr>
        </w:div>
        <w:div w:id="809401878">
          <w:marLeft w:val="0"/>
          <w:marRight w:val="0"/>
          <w:marTop w:val="0"/>
          <w:marBottom w:val="0"/>
          <w:divBdr>
            <w:top w:val="none" w:sz="0" w:space="0" w:color="auto"/>
            <w:left w:val="none" w:sz="0" w:space="0" w:color="auto"/>
            <w:bottom w:val="none" w:sz="0" w:space="0" w:color="auto"/>
            <w:right w:val="none" w:sz="0" w:space="0" w:color="auto"/>
          </w:divBdr>
        </w:div>
        <w:div w:id="878981165">
          <w:marLeft w:val="0"/>
          <w:marRight w:val="0"/>
          <w:marTop w:val="0"/>
          <w:marBottom w:val="0"/>
          <w:divBdr>
            <w:top w:val="none" w:sz="0" w:space="0" w:color="auto"/>
            <w:left w:val="none" w:sz="0" w:space="0" w:color="auto"/>
            <w:bottom w:val="none" w:sz="0" w:space="0" w:color="auto"/>
            <w:right w:val="none" w:sz="0" w:space="0" w:color="auto"/>
          </w:divBdr>
        </w:div>
        <w:div w:id="885608203">
          <w:marLeft w:val="0"/>
          <w:marRight w:val="0"/>
          <w:marTop w:val="0"/>
          <w:marBottom w:val="0"/>
          <w:divBdr>
            <w:top w:val="none" w:sz="0" w:space="0" w:color="auto"/>
            <w:left w:val="none" w:sz="0" w:space="0" w:color="auto"/>
            <w:bottom w:val="none" w:sz="0" w:space="0" w:color="auto"/>
            <w:right w:val="none" w:sz="0" w:space="0" w:color="auto"/>
          </w:divBdr>
        </w:div>
        <w:div w:id="996346646">
          <w:marLeft w:val="0"/>
          <w:marRight w:val="0"/>
          <w:marTop w:val="0"/>
          <w:marBottom w:val="0"/>
          <w:divBdr>
            <w:top w:val="none" w:sz="0" w:space="0" w:color="auto"/>
            <w:left w:val="none" w:sz="0" w:space="0" w:color="auto"/>
            <w:bottom w:val="none" w:sz="0" w:space="0" w:color="auto"/>
            <w:right w:val="none" w:sz="0" w:space="0" w:color="auto"/>
          </w:divBdr>
        </w:div>
        <w:div w:id="1003630201">
          <w:marLeft w:val="0"/>
          <w:marRight w:val="0"/>
          <w:marTop w:val="0"/>
          <w:marBottom w:val="0"/>
          <w:divBdr>
            <w:top w:val="none" w:sz="0" w:space="0" w:color="auto"/>
            <w:left w:val="none" w:sz="0" w:space="0" w:color="auto"/>
            <w:bottom w:val="none" w:sz="0" w:space="0" w:color="auto"/>
            <w:right w:val="none" w:sz="0" w:space="0" w:color="auto"/>
          </w:divBdr>
        </w:div>
        <w:div w:id="1083146202">
          <w:marLeft w:val="0"/>
          <w:marRight w:val="0"/>
          <w:marTop w:val="0"/>
          <w:marBottom w:val="0"/>
          <w:divBdr>
            <w:top w:val="none" w:sz="0" w:space="0" w:color="auto"/>
            <w:left w:val="none" w:sz="0" w:space="0" w:color="auto"/>
            <w:bottom w:val="none" w:sz="0" w:space="0" w:color="auto"/>
            <w:right w:val="none" w:sz="0" w:space="0" w:color="auto"/>
          </w:divBdr>
        </w:div>
        <w:div w:id="1142574976">
          <w:marLeft w:val="0"/>
          <w:marRight w:val="0"/>
          <w:marTop w:val="0"/>
          <w:marBottom w:val="0"/>
          <w:divBdr>
            <w:top w:val="none" w:sz="0" w:space="0" w:color="auto"/>
            <w:left w:val="none" w:sz="0" w:space="0" w:color="auto"/>
            <w:bottom w:val="none" w:sz="0" w:space="0" w:color="auto"/>
            <w:right w:val="none" w:sz="0" w:space="0" w:color="auto"/>
          </w:divBdr>
        </w:div>
        <w:div w:id="1299724716">
          <w:marLeft w:val="0"/>
          <w:marRight w:val="0"/>
          <w:marTop w:val="0"/>
          <w:marBottom w:val="0"/>
          <w:divBdr>
            <w:top w:val="none" w:sz="0" w:space="0" w:color="auto"/>
            <w:left w:val="none" w:sz="0" w:space="0" w:color="auto"/>
            <w:bottom w:val="none" w:sz="0" w:space="0" w:color="auto"/>
            <w:right w:val="none" w:sz="0" w:space="0" w:color="auto"/>
          </w:divBdr>
        </w:div>
        <w:div w:id="1338923505">
          <w:marLeft w:val="0"/>
          <w:marRight w:val="0"/>
          <w:marTop w:val="0"/>
          <w:marBottom w:val="0"/>
          <w:divBdr>
            <w:top w:val="none" w:sz="0" w:space="0" w:color="auto"/>
            <w:left w:val="none" w:sz="0" w:space="0" w:color="auto"/>
            <w:bottom w:val="none" w:sz="0" w:space="0" w:color="auto"/>
            <w:right w:val="none" w:sz="0" w:space="0" w:color="auto"/>
          </w:divBdr>
        </w:div>
        <w:div w:id="1341081050">
          <w:marLeft w:val="0"/>
          <w:marRight w:val="0"/>
          <w:marTop w:val="0"/>
          <w:marBottom w:val="0"/>
          <w:divBdr>
            <w:top w:val="none" w:sz="0" w:space="0" w:color="auto"/>
            <w:left w:val="none" w:sz="0" w:space="0" w:color="auto"/>
            <w:bottom w:val="none" w:sz="0" w:space="0" w:color="auto"/>
            <w:right w:val="none" w:sz="0" w:space="0" w:color="auto"/>
          </w:divBdr>
        </w:div>
        <w:div w:id="1407344060">
          <w:marLeft w:val="0"/>
          <w:marRight w:val="0"/>
          <w:marTop w:val="0"/>
          <w:marBottom w:val="0"/>
          <w:divBdr>
            <w:top w:val="none" w:sz="0" w:space="0" w:color="auto"/>
            <w:left w:val="none" w:sz="0" w:space="0" w:color="auto"/>
            <w:bottom w:val="none" w:sz="0" w:space="0" w:color="auto"/>
            <w:right w:val="none" w:sz="0" w:space="0" w:color="auto"/>
          </w:divBdr>
        </w:div>
        <w:div w:id="1484812314">
          <w:marLeft w:val="0"/>
          <w:marRight w:val="0"/>
          <w:marTop w:val="0"/>
          <w:marBottom w:val="0"/>
          <w:divBdr>
            <w:top w:val="none" w:sz="0" w:space="0" w:color="auto"/>
            <w:left w:val="none" w:sz="0" w:space="0" w:color="auto"/>
            <w:bottom w:val="none" w:sz="0" w:space="0" w:color="auto"/>
            <w:right w:val="none" w:sz="0" w:space="0" w:color="auto"/>
          </w:divBdr>
        </w:div>
        <w:div w:id="1534002570">
          <w:marLeft w:val="0"/>
          <w:marRight w:val="0"/>
          <w:marTop w:val="0"/>
          <w:marBottom w:val="0"/>
          <w:divBdr>
            <w:top w:val="none" w:sz="0" w:space="0" w:color="auto"/>
            <w:left w:val="none" w:sz="0" w:space="0" w:color="auto"/>
            <w:bottom w:val="none" w:sz="0" w:space="0" w:color="auto"/>
            <w:right w:val="none" w:sz="0" w:space="0" w:color="auto"/>
          </w:divBdr>
        </w:div>
        <w:div w:id="1551107974">
          <w:marLeft w:val="0"/>
          <w:marRight w:val="0"/>
          <w:marTop w:val="0"/>
          <w:marBottom w:val="0"/>
          <w:divBdr>
            <w:top w:val="none" w:sz="0" w:space="0" w:color="auto"/>
            <w:left w:val="none" w:sz="0" w:space="0" w:color="auto"/>
            <w:bottom w:val="none" w:sz="0" w:space="0" w:color="auto"/>
            <w:right w:val="none" w:sz="0" w:space="0" w:color="auto"/>
          </w:divBdr>
        </w:div>
        <w:div w:id="1556431275">
          <w:marLeft w:val="0"/>
          <w:marRight w:val="0"/>
          <w:marTop w:val="0"/>
          <w:marBottom w:val="0"/>
          <w:divBdr>
            <w:top w:val="none" w:sz="0" w:space="0" w:color="auto"/>
            <w:left w:val="none" w:sz="0" w:space="0" w:color="auto"/>
            <w:bottom w:val="none" w:sz="0" w:space="0" w:color="auto"/>
            <w:right w:val="none" w:sz="0" w:space="0" w:color="auto"/>
          </w:divBdr>
        </w:div>
        <w:div w:id="1576159530">
          <w:marLeft w:val="0"/>
          <w:marRight w:val="0"/>
          <w:marTop w:val="0"/>
          <w:marBottom w:val="0"/>
          <w:divBdr>
            <w:top w:val="none" w:sz="0" w:space="0" w:color="auto"/>
            <w:left w:val="none" w:sz="0" w:space="0" w:color="auto"/>
            <w:bottom w:val="none" w:sz="0" w:space="0" w:color="auto"/>
            <w:right w:val="none" w:sz="0" w:space="0" w:color="auto"/>
          </w:divBdr>
        </w:div>
        <w:div w:id="1587808564">
          <w:marLeft w:val="0"/>
          <w:marRight w:val="0"/>
          <w:marTop w:val="0"/>
          <w:marBottom w:val="0"/>
          <w:divBdr>
            <w:top w:val="none" w:sz="0" w:space="0" w:color="auto"/>
            <w:left w:val="none" w:sz="0" w:space="0" w:color="auto"/>
            <w:bottom w:val="none" w:sz="0" w:space="0" w:color="auto"/>
            <w:right w:val="none" w:sz="0" w:space="0" w:color="auto"/>
          </w:divBdr>
        </w:div>
        <w:div w:id="1596284329">
          <w:marLeft w:val="0"/>
          <w:marRight w:val="0"/>
          <w:marTop w:val="0"/>
          <w:marBottom w:val="0"/>
          <w:divBdr>
            <w:top w:val="none" w:sz="0" w:space="0" w:color="auto"/>
            <w:left w:val="none" w:sz="0" w:space="0" w:color="auto"/>
            <w:bottom w:val="none" w:sz="0" w:space="0" w:color="auto"/>
            <w:right w:val="none" w:sz="0" w:space="0" w:color="auto"/>
          </w:divBdr>
        </w:div>
        <w:div w:id="1625500277">
          <w:marLeft w:val="0"/>
          <w:marRight w:val="0"/>
          <w:marTop w:val="0"/>
          <w:marBottom w:val="0"/>
          <w:divBdr>
            <w:top w:val="none" w:sz="0" w:space="0" w:color="auto"/>
            <w:left w:val="none" w:sz="0" w:space="0" w:color="auto"/>
            <w:bottom w:val="none" w:sz="0" w:space="0" w:color="auto"/>
            <w:right w:val="none" w:sz="0" w:space="0" w:color="auto"/>
          </w:divBdr>
        </w:div>
        <w:div w:id="1635988034">
          <w:marLeft w:val="0"/>
          <w:marRight w:val="0"/>
          <w:marTop w:val="0"/>
          <w:marBottom w:val="0"/>
          <w:divBdr>
            <w:top w:val="none" w:sz="0" w:space="0" w:color="auto"/>
            <w:left w:val="none" w:sz="0" w:space="0" w:color="auto"/>
            <w:bottom w:val="none" w:sz="0" w:space="0" w:color="auto"/>
            <w:right w:val="none" w:sz="0" w:space="0" w:color="auto"/>
          </w:divBdr>
        </w:div>
        <w:div w:id="1646202229">
          <w:marLeft w:val="0"/>
          <w:marRight w:val="0"/>
          <w:marTop w:val="0"/>
          <w:marBottom w:val="0"/>
          <w:divBdr>
            <w:top w:val="none" w:sz="0" w:space="0" w:color="auto"/>
            <w:left w:val="none" w:sz="0" w:space="0" w:color="auto"/>
            <w:bottom w:val="none" w:sz="0" w:space="0" w:color="auto"/>
            <w:right w:val="none" w:sz="0" w:space="0" w:color="auto"/>
          </w:divBdr>
        </w:div>
        <w:div w:id="1668243225">
          <w:marLeft w:val="0"/>
          <w:marRight w:val="0"/>
          <w:marTop w:val="0"/>
          <w:marBottom w:val="0"/>
          <w:divBdr>
            <w:top w:val="none" w:sz="0" w:space="0" w:color="auto"/>
            <w:left w:val="none" w:sz="0" w:space="0" w:color="auto"/>
            <w:bottom w:val="none" w:sz="0" w:space="0" w:color="auto"/>
            <w:right w:val="none" w:sz="0" w:space="0" w:color="auto"/>
          </w:divBdr>
        </w:div>
        <w:div w:id="1713728734">
          <w:marLeft w:val="0"/>
          <w:marRight w:val="0"/>
          <w:marTop w:val="0"/>
          <w:marBottom w:val="0"/>
          <w:divBdr>
            <w:top w:val="none" w:sz="0" w:space="0" w:color="auto"/>
            <w:left w:val="none" w:sz="0" w:space="0" w:color="auto"/>
            <w:bottom w:val="none" w:sz="0" w:space="0" w:color="auto"/>
            <w:right w:val="none" w:sz="0" w:space="0" w:color="auto"/>
          </w:divBdr>
        </w:div>
        <w:div w:id="1731461917">
          <w:marLeft w:val="0"/>
          <w:marRight w:val="0"/>
          <w:marTop w:val="0"/>
          <w:marBottom w:val="0"/>
          <w:divBdr>
            <w:top w:val="none" w:sz="0" w:space="0" w:color="auto"/>
            <w:left w:val="none" w:sz="0" w:space="0" w:color="auto"/>
            <w:bottom w:val="none" w:sz="0" w:space="0" w:color="auto"/>
            <w:right w:val="none" w:sz="0" w:space="0" w:color="auto"/>
          </w:divBdr>
        </w:div>
        <w:div w:id="1774980380">
          <w:marLeft w:val="0"/>
          <w:marRight w:val="0"/>
          <w:marTop w:val="0"/>
          <w:marBottom w:val="0"/>
          <w:divBdr>
            <w:top w:val="none" w:sz="0" w:space="0" w:color="auto"/>
            <w:left w:val="none" w:sz="0" w:space="0" w:color="auto"/>
            <w:bottom w:val="none" w:sz="0" w:space="0" w:color="auto"/>
            <w:right w:val="none" w:sz="0" w:space="0" w:color="auto"/>
          </w:divBdr>
        </w:div>
        <w:div w:id="1785617367">
          <w:marLeft w:val="0"/>
          <w:marRight w:val="0"/>
          <w:marTop w:val="0"/>
          <w:marBottom w:val="0"/>
          <w:divBdr>
            <w:top w:val="none" w:sz="0" w:space="0" w:color="auto"/>
            <w:left w:val="none" w:sz="0" w:space="0" w:color="auto"/>
            <w:bottom w:val="none" w:sz="0" w:space="0" w:color="auto"/>
            <w:right w:val="none" w:sz="0" w:space="0" w:color="auto"/>
          </w:divBdr>
        </w:div>
        <w:div w:id="1827671141">
          <w:marLeft w:val="0"/>
          <w:marRight w:val="0"/>
          <w:marTop w:val="0"/>
          <w:marBottom w:val="0"/>
          <w:divBdr>
            <w:top w:val="none" w:sz="0" w:space="0" w:color="auto"/>
            <w:left w:val="none" w:sz="0" w:space="0" w:color="auto"/>
            <w:bottom w:val="none" w:sz="0" w:space="0" w:color="auto"/>
            <w:right w:val="none" w:sz="0" w:space="0" w:color="auto"/>
          </w:divBdr>
          <w:divsChild>
            <w:div w:id="1603343688">
              <w:marLeft w:val="-75"/>
              <w:marRight w:val="0"/>
              <w:marTop w:val="30"/>
              <w:marBottom w:val="30"/>
              <w:divBdr>
                <w:top w:val="none" w:sz="0" w:space="0" w:color="auto"/>
                <w:left w:val="none" w:sz="0" w:space="0" w:color="auto"/>
                <w:bottom w:val="none" w:sz="0" w:space="0" w:color="auto"/>
                <w:right w:val="none" w:sz="0" w:space="0" w:color="auto"/>
              </w:divBdr>
              <w:divsChild>
                <w:div w:id="16394686">
                  <w:marLeft w:val="0"/>
                  <w:marRight w:val="0"/>
                  <w:marTop w:val="0"/>
                  <w:marBottom w:val="0"/>
                  <w:divBdr>
                    <w:top w:val="none" w:sz="0" w:space="0" w:color="auto"/>
                    <w:left w:val="none" w:sz="0" w:space="0" w:color="auto"/>
                    <w:bottom w:val="none" w:sz="0" w:space="0" w:color="auto"/>
                    <w:right w:val="none" w:sz="0" w:space="0" w:color="auto"/>
                  </w:divBdr>
                  <w:divsChild>
                    <w:div w:id="1598558649">
                      <w:marLeft w:val="0"/>
                      <w:marRight w:val="0"/>
                      <w:marTop w:val="0"/>
                      <w:marBottom w:val="0"/>
                      <w:divBdr>
                        <w:top w:val="none" w:sz="0" w:space="0" w:color="auto"/>
                        <w:left w:val="none" w:sz="0" w:space="0" w:color="auto"/>
                        <w:bottom w:val="none" w:sz="0" w:space="0" w:color="auto"/>
                        <w:right w:val="none" w:sz="0" w:space="0" w:color="auto"/>
                      </w:divBdr>
                    </w:div>
                  </w:divsChild>
                </w:div>
                <w:div w:id="92016597">
                  <w:marLeft w:val="0"/>
                  <w:marRight w:val="0"/>
                  <w:marTop w:val="0"/>
                  <w:marBottom w:val="0"/>
                  <w:divBdr>
                    <w:top w:val="none" w:sz="0" w:space="0" w:color="auto"/>
                    <w:left w:val="none" w:sz="0" w:space="0" w:color="auto"/>
                    <w:bottom w:val="none" w:sz="0" w:space="0" w:color="auto"/>
                    <w:right w:val="none" w:sz="0" w:space="0" w:color="auto"/>
                  </w:divBdr>
                  <w:divsChild>
                    <w:div w:id="1926911389">
                      <w:marLeft w:val="0"/>
                      <w:marRight w:val="0"/>
                      <w:marTop w:val="0"/>
                      <w:marBottom w:val="0"/>
                      <w:divBdr>
                        <w:top w:val="none" w:sz="0" w:space="0" w:color="auto"/>
                        <w:left w:val="none" w:sz="0" w:space="0" w:color="auto"/>
                        <w:bottom w:val="none" w:sz="0" w:space="0" w:color="auto"/>
                        <w:right w:val="none" w:sz="0" w:space="0" w:color="auto"/>
                      </w:divBdr>
                    </w:div>
                  </w:divsChild>
                </w:div>
                <w:div w:id="92169344">
                  <w:marLeft w:val="0"/>
                  <w:marRight w:val="0"/>
                  <w:marTop w:val="0"/>
                  <w:marBottom w:val="0"/>
                  <w:divBdr>
                    <w:top w:val="none" w:sz="0" w:space="0" w:color="auto"/>
                    <w:left w:val="none" w:sz="0" w:space="0" w:color="auto"/>
                    <w:bottom w:val="none" w:sz="0" w:space="0" w:color="auto"/>
                    <w:right w:val="none" w:sz="0" w:space="0" w:color="auto"/>
                  </w:divBdr>
                  <w:divsChild>
                    <w:div w:id="812067439">
                      <w:marLeft w:val="0"/>
                      <w:marRight w:val="0"/>
                      <w:marTop w:val="0"/>
                      <w:marBottom w:val="0"/>
                      <w:divBdr>
                        <w:top w:val="none" w:sz="0" w:space="0" w:color="auto"/>
                        <w:left w:val="none" w:sz="0" w:space="0" w:color="auto"/>
                        <w:bottom w:val="none" w:sz="0" w:space="0" w:color="auto"/>
                        <w:right w:val="none" w:sz="0" w:space="0" w:color="auto"/>
                      </w:divBdr>
                    </w:div>
                  </w:divsChild>
                </w:div>
                <w:div w:id="106003372">
                  <w:marLeft w:val="0"/>
                  <w:marRight w:val="0"/>
                  <w:marTop w:val="0"/>
                  <w:marBottom w:val="0"/>
                  <w:divBdr>
                    <w:top w:val="none" w:sz="0" w:space="0" w:color="auto"/>
                    <w:left w:val="none" w:sz="0" w:space="0" w:color="auto"/>
                    <w:bottom w:val="none" w:sz="0" w:space="0" w:color="auto"/>
                    <w:right w:val="none" w:sz="0" w:space="0" w:color="auto"/>
                  </w:divBdr>
                  <w:divsChild>
                    <w:div w:id="1398475406">
                      <w:marLeft w:val="0"/>
                      <w:marRight w:val="0"/>
                      <w:marTop w:val="0"/>
                      <w:marBottom w:val="0"/>
                      <w:divBdr>
                        <w:top w:val="none" w:sz="0" w:space="0" w:color="auto"/>
                        <w:left w:val="none" w:sz="0" w:space="0" w:color="auto"/>
                        <w:bottom w:val="none" w:sz="0" w:space="0" w:color="auto"/>
                        <w:right w:val="none" w:sz="0" w:space="0" w:color="auto"/>
                      </w:divBdr>
                    </w:div>
                  </w:divsChild>
                </w:div>
                <w:div w:id="107703688">
                  <w:marLeft w:val="0"/>
                  <w:marRight w:val="0"/>
                  <w:marTop w:val="0"/>
                  <w:marBottom w:val="0"/>
                  <w:divBdr>
                    <w:top w:val="none" w:sz="0" w:space="0" w:color="auto"/>
                    <w:left w:val="none" w:sz="0" w:space="0" w:color="auto"/>
                    <w:bottom w:val="none" w:sz="0" w:space="0" w:color="auto"/>
                    <w:right w:val="none" w:sz="0" w:space="0" w:color="auto"/>
                  </w:divBdr>
                  <w:divsChild>
                    <w:div w:id="291789333">
                      <w:marLeft w:val="0"/>
                      <w:marRight w:val="0"/>
                      <w:marTop w:val="0"/>
                      <w:marBottom w:val="0"/>
                      <w:divBdr>
                        <w:top w:val="none" w:sz="0" w:space="0" w:color="auto"/>
                        <w:left w:val="none" w:sz="0" w:space="0" w:color="auto"/>
                        <w:bottom w:val="none" w:sz="0" w:space="0" w:color="auto"/>
                        <w:right w:val="none" w:sz="0" w:space="0" w:color="auto"/>
                      </w:divBdr>
                    </w:div>
                  </w:divsChild>
                </w:div>
                <w:div w:id="129783309">
                  <w:marLeft w:val="0"/>
                  <w:marRight w:val="0"/>
                  <w:marTop w:val="0"/>
                  <w:marBottom w:val="0"/>
                  <w:divBdr>
                    <w:top w:val="none" w:sz="0" w:space="0" w:color="auto"/>
                    <w:left w:val="none" w:sz="0" w:space="0" w:color="auto"/>
                    <w:bottom w:val="none" w:sz="0" w:space="0" w:color="auto"/>
                    <w:right w:val="none" w:sz="0" w:space="0" w:color="auto"/>
                  </w:divBdr>
                  <w:divsChild>
                    <w:div w:id="788814541">
                      <w:marLeft w:val="0"/>
                      <w:marRight w:val="0"/>
                      <w:marTop w:val="0"/>
                      <w:marBottom w:val="0"/>
                      <w:divBdr>
                        <w:top w:val="none" w:sz="0" w:space="0" w:color="auto"/>
                        <w:left w:val="none" w:sz="0" w:space="0" w:color="auto"/>
                        <w:bottom w:val="none" w:sz="0" w:space="0" w:color="auto"/>
                        <w:right w:val="none" w:sz="0" w:space="0" w:color="auto"/>
                      </w:divBdr>
                    </w:div>
                  </w:divsChild>
                </w:div>
                <w:div w:id="160317393">
                  <w:marLeft w:val="0"/>
                  <w:marRight w:val="0"/>
                  <w:marTop w:val="0"/>
                  <w:marBottom w:val="0"/>
                  <w:divBdr>
                    <w:top w:val="none" w:sz="0" w:space="0" w:color="auto"/>
                    <w:left w:val="none" w:sz="0" w:space="0" w:color="auto"/>
                    <w:bottom w:val="none" w:sz="0" w:space="0" w:color="auto"/>
                    <w:right w:val="none" w:sz="0" w:space="0" w:color="auto"/>
                  </w:divBdr>
                  <w:divsChild>
                    <w:div w:id="296034677">
                      <w:marLeft w:val="0"/>
                      <w:marRight w:val="0"/>
                      <w:marTop w:val="0"/>
                      <w:marBottom w:val="0"/>
                      <w:divBdr>
                        <w:top w:val="none" w:sz="0" w:space="0" w:color="auto"/>
                        <w:left w:val="none" w:sz="0" w:space="0" w:color="auto"/>
                        <w:bottom w:val="none" w:sz="0" w:space="0" w:color="auto"/>
                        <w:right w:val="none" w:sz="0" w:space="0" w:color="auto"/>
                      </w:divBdr>
                    </w:div>
                  </w:divsChild>
                </w:div>
                <w:div w:id="174655166">
                  <w:marLeft w:val="0"/>
                  <w:marRight w:val="0"/>
                  <w:marTop w:val="0"/>
                  <w:marBottom w:val="0"/>
                  <w:divBdr>
                    <w:top w:val="none" w:sz="0" w:space="0" w:color="auto"/>
                    <w:left w:val="none" w:sz="0" w:space="0" w:color="auto"/>
                    <w:bottom w:val="none" w:sz="0" w:space="0" w:color="auto"/>
                    <w:right w:val="none" w:sz="0" w:space="0" w:color="auto"/>
                  </w:divBdr>
                  <w:divsChild>
                    <w:div w:id="798953533">
                      <w:marLeft w:val="0"/>
                      <w:marRight w:val="0"/>
                      <w:marTop w:val="0"/>
                      <w:marBottom w:val="0"/>
                      <w:divBdr>
                        <w:top w:val="none" w:sz="0" w:space="0" w:color="auto"/>
                        <w:left w:val="none" w:sz="0" w:space="0" w:color="auto"/>
                        <w:bottom w:val="none" w:sz="0" w:space="0" w:color="auto"/>
                        <w:right w:val="none" w:sz="0" w:space="0" w:color="auto"/>
                      </w:divBdr>
                    </w:div>
                  </w:divsChild>
                </w:div>
                <w:div w:id="199367455">
                  <w:marLeft w:val="0"/>
                  <w:marRight w:val="0"/>
                  <w:marTop w:val="0"/>
                  <w:marBottom w:val="0"/>
                  <w:divBdr>
                    <w:top w:val="none" w:sz="0" w:space="0" w:color="auto"/>
                    <w:left w:val="none" w:sz="0" w:space="0" w:color="auto"/>
                    <w:bottom w:val="none" w:sz="0" w:space="0" w:color="auto"/>
                    <w:right w:val="none" w:sz="0" w:space="0" w:color="auto"/>
                  </w:divBdr>
                  <w:divsChild>
                    <w:div w:id="533733619">
                      <w:marLeft w:val="0"/>
                      <w:marRight w:val="0"/>
                      <w:marTop w:val="0"/>
                      <w:marBottom w:val="0"/>
                      <w:divBdr>
                        <w:top w:val="none" w:sz="0" w:space="0" w:color="auto"/>
                        <w:left w:val="none" w:sz="0" w:space="0" w:color="auto"/>
                        <w:bottom w:val="none" w:sz="0" w:space="0" w:color="auto"/>
                        <w:right w:val="none" w:sz="0" w:space="0" w:color="auto"/>
                      </w:divBdr>
                    </w:div>
                  </w:divsChild>
                </w:div>
                <w:div w:id="228269999">
                  <w:marLeft w:val="0"/>
                  <w:marRight w:val="0"/>
                  <w:marTop w:val="0"/>
                  <w:marBottom w:val="0"/>
                  <w:divBdr>
                    <w:top w:val="none" w:sz="0" w:space="0" w:color="auto"/>
                    <w:left w:val="none" w:sz="0" w:space="0" w:color="auto"/>
                    <w:bottom w:val="none" w:sz="0" w:space="0" w:color="auto"/>
                    <w:right w:val="none" w:sz="0" w:space="0" w:color="auto"/>
                  </w:divBdr>
                  <w:divsChild>
                    <w:div w:id="2081976625">
                      <w:marLeft w:val="0"/>
                      <w:marRight w:val="0"/>
                      <w:marTop w:val="0"/>
                      <w:marBottom w:val="0"/>
                      <w:divBdr>
                        <w:top w:val="none" w:sz="0" w:space="0" w:color="auto"/>
                        <w:left w:val="none" w:sz="0" w:space="0" w:color="auto"/>
                        <w:bottom w:val="none" w:sz="0" w:space="0" w:color="auto"/>
                        <w:right w:val="none" w:sz="0" w:space="0" w:color="auto"/>
                      </w:divBdr>
                    </w:div>
                  </w:divsChild>
                </w:div>
                <w:div w:id="231046010">
                  <w:marLeft w:val="0"/>
                  <w:marRight w:val="0"/>
                  <w:marTop w:val="0"/>
                  <w:marBottom w:val="0"/>
                  <w:divBdr>
                    <w:top w:val="none" w:sz="0" w:space="0" w:color="auto"/>
                    <w:left w:val="none" w:sz="0" w:space="0" w:color="auto"/>
                    <w:bottom w:val="none" w:sz="0" w:space="0" w:color="auto"/>
                    <w:right w:val="none" w:sz="0" w:space="0" w:color="auto"/>
                  </w:divBdr>
                  <w:divsChild>
                    <w:div w:id="1856924149">
                      <w:marLeft w:val="0"/>
                      <w:marRight w:val="0"/>
                      <w:marTop w:val="0"/>
                      <w:marBottom w:val="0"/>
                      <w:divBdr>
                        <w:top w:val="none" w:sz="0" w:space="0" w:color="auto"/>
                        <w:left w:val="none" w:sz="0" w:space="0" w:color="auto"/>
                        <w:bottom w:val="none" w:sz="0" w:space="0" w:color="auto"/>
                        <w:right w:val="none" w:sz="0" w:space="0" w:color="auto"/>
                      </w:divBdr>
                    </w:div>
                  </w:divsChild>
                </w:div>
                <w:div w:id="242761132">
                  <w:marLeft w:val="0"/>
                  <w:marRight w:val="0"/>
                  <w:marTop w:val="0"/>
                  <w:marBottom w:val="0"/>
                  <w:divBdr>
                    <w:top w:val="none" w:sz="0" w:space="0" w:color="auto"/>
                    <w:left w:val="none" w:sz="0" w:space="0" w:color="auto"/>
                    <w:bottom w:val="none" w:sz="0" w:space="0" w:color="auto"/>
                    <w:right w:val="none" w:sz="0" w:space="0" w:color="auto"/>
                  </w:divBdr>
                  <w:divsChild>
                    <w:div w:id="1119301235">
                      <w:marLeft w:val="0"/>
                      <w:marRight w:val="0"/>
                      <w:marTop w:val="0"/>
                      <w:marBottom w:val="0"/>
                      <w:divBdr>
                        <w:top w:val="none" w:sz="0" w:space="0" w:color="auto"/>
                        <w:left w:val="none" w:sz="0" w:space="0" w:color="auto"/>
                        <w:bottom w:val="none" w:sz="0" w:space="0" w:color="auto"/>
                        <w:right w:val="none" w:sz="0" w:space="0" w:color="auto"/>
                      </w:divBdr>
                    </w:div>
                  </w:divsChild>
                </w:div>
                <w:div w:id="349574963">
                  <w:marLeft w:val="0"/>
                  <w:marRight w:val="0"/>
                  <w:marTop w:val="0"/>
                  <w:marBottom w:val="0"/>
                  <w:divBdr>
                    <w:top w:val="none" w:sz="0" w:space="0" w:color="auto"/>
                    <w:left w:val="none" w:sz="0" w:space="0" w:color="auto"/>
                    <w:bottom w:val="none" w:sz="0" w:space="0" w:color="auto"/>
                    <w:right w:val="none" w:sz="0" w:space="0" w:color="auto"/>
                  </w:divBdr>
                  <w:divsChild>
                    <w:div w:id="1808090047">
                      <w:marLeft w:val="0"/>
                      <w:marRight w:val="0"/>
                      <w:marTop w:val="0"/>
                      <w:marBottom w:val="0"/>
                      <w:divBdr>
                        <w:top w:val="none" w:sz="0" w:space="0" w:color="auto"/>
                        <w:left w:val="none" w:sz="0" w:space="0" w:color="auto"/>
                        <w:bottom w:val="none" w:sz="0" w:space="0" w:color="auto"/>
                        <w:right w:val="none" w:sz="0" w:space="0" w:color="auto"/>
                      </w:divBdr>
                    </w:div>
                  </w:divsChild>
                </w:div>
                <w:div w:id="440807603">
                  <w:marLeft w:val="0"/>
                  <w:marRight w:val="0"/>
                  <w:marTop w:val="0"/>
                  <w:marBottom w:val="0"/>
                  <w:divBdr>
                    <w:top w:val="none" w:sz="0" w:space="0" w:color="auto"/>
                    <w:left w:val="none" w:sz="0" w:space="0" w:color="auto"/>
                    <w:bottom w:val="none" w:sz="0" w:space="0" w:color="auto"/>
                    <w:right w:val="none" w:sz="0" w:space="0" w:color="auto"/>
                  </w:divBdr>
                  <w:divsChild>
                    <w:div w:id="1898394048">
                      <w:marLeft w:val="0"/>
                      <w:marRight w:val="0"/>
                      <w:marTop w:val="0"/>
                      <w:marBottom w:val="0"/>
                      <w:divBdr>
                        <w:top w:val="none" w:sz="0" w:space="0" w:color="auto"/>
                        <w:left w:val="none" w:sz="0" w:space="0" w:color="auto"/>
                        <w:bottom w:val="none" w:sz="0" w:space="0" w:color="auto"/>
                        <w:right w:val="none" w:sz="0" w:space="0" w:color="auto"/>
                      </w:divBdr>
                    </w:div>
                  </w:divsChild>
                </w:div>
                <w:div w:id="559101401">
                  <w:marLeft w:val="0"/>
                  <w:marRight w:val="0"/>
                  <w:marTop w:val="0"/>
                  <w:marBottom w:val="0"/>
                  <w:divBdr>
                    <w:top w:val="none" w:sz="0" w:space="0" w:color="auto"/>
                    <w:left w:val="none" w:sz="0" w:space="0" w:color="auto"/>
                    <w:bottom w:val="none" w:sz="0" w:space="0" w:color="auto"/>
                    <w:right w:val="none" w:sz="0" w:space="0" w:color="auto"/>
                  </w:divBdr>
                  <w:divsChild>
                    <w:div w:id="297296043">
                      <w:marLeft w:val="0"/>
                      <w:marRight w:val="0"/>
                      <w:marTop w:val="0"/>
                      <w:marBottom w:val="0"/>
                      <w:divBdr>
                        <w:top w:val="none" w:sz="0" w:space="0" w:color="auto"/>
                        <w:left w:val="none" w:sz="0" w:space="0" w:color="auto"/>
                        <w:bottom w:val="none" w:sz="0" w:space="0" w:color="auto"/>
                        <w:right w:val="none" w:sz="0" w:space="0" w:color="auto"/>
                      </w:divBdr>
                    </w:div>
                  </w:divsChild>
                </w:div>
                <w:div w:id="739253214">
                  <w:marLeft w:val="0"/>
                  <w:marRight w:val="0"/>
                  <w:marTop w:val="0"/>
                  <w:marBottom w:val="0"/>
                  <w:divBdr>
                    <w:top w:val="none" w:sz="0" w:space="0" w:color="auto"/>
                    <w:left w:val="none" w:sz="0" w:space="0" w:color="auto"/>
                    <w:bottom w:val="none" w:sz="0" w:space="0" w:color="auto"/>
                    <w:right w:val="none" w:sz="0" w:space="0" w:color="auto"/>
                  </w:divBdr>
                  <w:divsChild>
                    <w:div w:id="1604801119">
                      <w:marLeft w:val="0"/>
                      <w:marRight w:val="0"/>
                      <w:marTop w:val="0"/>
                      <w:marBottom w:val="0"/>
                      <w:divBdr>
                        <w:top w:val="none" w:sz="0" w:space="0" w:color="auto"/>
                        <w:left w:val="none" w:sz="0" w:space="0" w:color="auto"/>
                        <w:bottom w:val="none" w:sz="0" w:space="0" w:color="auto"/>
                        <w:right w:val="none" w:sz="0" w:space="0" w:color="auto"/>
                      </w:divBdr>
                    </w:div>
                  </w:divsChild>
                </w:div>
                <w:div w:id="797600790">
                  <w:marLeft w:val="0"/>
                  <w:marRight w:val="0"/>
                  <w:marTop w:val="0"/>
                  <w:marBottom w:val="0"/>
                  <w:divBdr>
                    <w:top w:val="none" w:sz="0" w:space="0" w:color="auto"/>
                    <w:left w:val="none" w:sz="0" w:space="0" w:color="auto"/>
                    <w:bottom w:val="none" w:sz="0" w:space="0" w:color="auto"/>
                    <w:right w:val="none" w:sz="0" w:space="0" w:color="auto"/>
                  </w:divBdr>
                  <w:divsChild>
                    <w:div w:id="1666667407">
                      <w:marLeft w:val="0"/>
                      <w:marRight w:val="0"/>
                      <w:marTop w:val="0"/>
                      <w:marBottom w:val="0"/>
                      <w:divBdr>
                        <w:top w:val="none" w:sz="0" w:space="0" w:color="auto"/>
                        <w:left w:val="none" w:sz="0" w:space="0" w:color="auto"/>
                        <w:bottom w:val="none" w:sz="0" w:space="0" w:color="auto"/>
                        <w:right w:val="none" w:sz="0" w:space="0" w:color="auto"/>
                      </w:divBdr>
                    </w:div>
                  </w:divsChild>
                </w:div>
                <w:div w:id="855316017">
                  <w:marLeft w:val="0"/>
                  <w:marRight w:val="0"/>
                  <w:marTop w:val="0"/>
                  <w:marBottom w:val="0"/>
                  <w:divBdr>
                    <w:top w:val="none" w:sz="0" w:space="0" w:color="auto"/>
                    <w:left w:val="none" w:sz="0" w:space="0" w:color="auto"/>
                    <w:bottom w:val="none" w:sz="0" w:space="0" w:color="auto"/>
                    <w:right w:val="none" w:sz="0" w:space="0" w:color="auto"/>
                  </w:divBdr>
                  <w:divsChild>
                    <w:div w:id="287856304">
                      <w:marLeft w:val="0"/>
                      <w:marRight w:val="0"/>
                      <w:marTop w:val="0"/>
                      <w:marBottom w:val="0"/>
                      <w:divBdr>
                        <w:top w:val="none" w:sz="0" w:space="0" w:color="auto"/>
                        <w:left w:val="none" w:sz="0" w:space="0" w:color="auto"/>
                        <w:bottom w:val="none" w:sz="0" w:space="0" w:color="auto"/>
                        <w:right w:val="none" w:sz="0" w:space="0" w:color="auto"/>
                      </w:divBdr>
                    </w:div>
                  </w:divsChild>
                </w:div>
                <w:div w:id="861360213">
                  <w:marLeft w:val="0"/>
                  <w:marRight w:val="0"/>
                  <w:marTop w:val="0"/>
                  <w:marBottom w:val="0"/>
                  <w:divBdr>
                    <w:top w:val="none" w:sz="0" w:space="0" w:color="auto"/>
                    <w:left w:val="none" w:sz="0" w:space="0" w:color="auto"/>
                    <w:bottom w:val="none" w:sz="0" w:space="0" w:color="auto"/>
                    <w:right w:val="none" w:sz="0" w:space="0" w:color="auto"/>
                  </w:divBdr>
                  <w:divsChild>
                    <w:div w:id="1668362825">
                      <w:marLeft w:val="0"/>
                      <w:marRight w:val="0"/>
                      <w:marTop w:val="0"/>
                      <w:marBottom w:val="0"/>
                      <w:divBdr>
                        <w:top w:val="none" w:sz="0" w:space="0" w:color="auto"/>
                        <w:left w:val="none" w:sz="0" w:space="0" w:color="auto"/>
                        <w:bottom w:val="none" w:sz="0" w:space="0" w:color="auto"/>
                        <w:right w:val="none" w:sz="0" w:space="0" w:color="auto"/>
                      </w:divBdr>
                    </w:div>
                  </w:divsChild>
                </w:div>
                <w:div w:id="930040670">
                  <w:marLeft w:val="0"/>
                  <w:marRight w:val="0"/>
                  <w:marTop w:val="0"/>
                  <w:marBottom w:val="0"/>
                  <w:divBdr>
                    <w:top w:val="none" w:sz="0" w:space="0" w:color="auto"/>
                    <w:left w:val="none" w:sz="0" w:space="0" w:color="auto"/>
                    <w:bottom w:val="none" w:sz="0" w:space="0" w:color="auto"/>
                    <w:right w:val="none" w:sz="0" w:space="0" w:color="auto"/>
                  </w:divBdr>
                  <w:divsChild>
                    <w:div w:id="2140371905">
                      <w:marLeft w:val="0"/>
                      <w:marRight w:val="0"/>
                      <w:marTop w:val="0"/>
                      <w:marBottom w:val="0"/>
                      <w:divBdr>
                        <w:top w:val="none" w:sz="0" w:space="0" w:color="auto"/>
                        <w:left w:val="none" w:sz="0" w:space="0" w:color="auto"/>
                        <w:bottom w:val="none" w:sz="0" w:space="0" w:color="auto"/>
                        <w:right w:val="none" w:sz="0" w:space="0" w:color="auto"/>
                      </w:divBdr>
                    </w:div>
                  </w:divsChild>
                </w:div>
                <w:div w:id="1007368849">
                  <w:marLeft w:val="0"/>
                  <w:marRight w:val="0"/>
                  <w:marTop w:val="0"/>
                  <w:marBottom w:val="0"/>
                  <w:divBdr>
                    <w:top w:val="none" w:sz="0" w:space="0" w:color="auto"/>
                    <w:left w:val="none" w:sz="0" w:space="0" w:color="auto"/>
                    <w:bottom w:val="none" w:sz="0" w:space="0" w:color="auto"/>
                    <w:right w:val="none" w:sz="0" w:space="0" w:color="auto"/>
                  </w:divBdr>
                  <w:divsChild>
                    <w:div w:id="654644734">
                      <w:marLeft w:val="0"/>
                      <w:marRight w:val="0"/>
                      <w:marTop w:val="0"/>
                      <w:marBottom w:val="0"/>
                      <w:divBdr>
                        <w:top w:val="none" w:sz="0" w:space="0" w:color="auto"/>
                        <w:left w:val="none" w:sz="0" w:space="0" w:color="auto"/>
                        <w:bottom w:val="none" w:sz="0" w:space="0" w:color="auto"/>
                        <w:right w:val="none" w:sz="0" w:space="0" w:color="auto"/>
                      </w:divBdr>
                    </w:div>
                  </w:divsChild>
                </w:div>
                <w:div w:id="1314020905">
                  <w:marLeft w:val="0"/>
                  <w:marRight w:val="0"/>
                  <w:marTop w:val="0"/>
                  <w:marBottom w:val="0"/>
                  <w:divBdr>
                    <w:top w:val="none" w:sz="0" w:space="0" w:color="auto"/>
                    <w:left w:val="none" w:sz="0" w:space="0" w:color="auto"/>
                    <w:bottom w:val="none" w:sz="0" w:space="0" w:color="auto"/>
                    <w:right w:val="none" w:sz="0" w:space="0" w:color="auto"/>
                  </w:divBdr>
                  <w:divsChild>
                    <w:div w:id="1111172311">
                      <w:marLeft w:val="0"/>
                      <w:marRight w:val="0"/>
                      <w:marTop w:val="0"/>
                      <w:marBottom w:val="0"/>
                      <w:divBdr>
                        <w:top w:val="none" w:sz="0" w:space="0" w:color="auto"/>
                        <w:left w:val="none" w:sz="0" w:space="0" w:color="auto"/>
                        <w:bottom w:val="none" w:sz="0" w:space="0" w:color="auto"/>
                        <w:right w:val="none" w:sz="0" w:space="0" w:color="auto"/>
                      </w:divBdr>
                    </w:div>
                  </w:divsChild>
                </w:div>
                <w:div w:id="1328746870">
                  <w:marLeft w:val="0"/>
                  <w:marRight w:val="0"/>
                  <w:marTop w:val="0"/>
                  <w:marBottom w:val="0"/>
                  <w:divBdr>
                    <w:top w:val="none" w:sz="0" w:space="0" w:color="auto"/>
                    <w:left w:val="none" w:sz="0" w:space="0" w:color="auto"/>
                    <w:bottom w:val="none" w:sz="0" w:space="0" w:color="auto"/>
                    <w:right w:val="none" w:sz="0" w:space="0" w:color="auto"/>
                  </w:divBdr>
                  <w:divsChild>
                    <w:div w:id="1461069995">
                      <w:marLeft w:val="0"/>
                      <w:marRight w:val="0"/>
                      <w:marTop w:val="0"/>
                      <w:marBottom w:val="0"/>
                      <w:divBdr>
                        <w:top w:val="none" w:sz="0" w:space="0" w:color="auto"/>
                        <w:left w:val="none" w:sz="0" w:space="0" w:color="auto"/>
                        <w:bottom w:val="none" w:sz="0" w:space="0" w:color="auto"/>
                        <w:right w:val="none" w:sz="0" w:space="0" w:color="auto"/>
                      </w:divBdr>
                    </w:div>
                  </w:divsChild>
                </w:div>
                <w:div w:id="1414626894">
                  <w:marLeft w:val="0"/>
                  <w:marRight w:val="0"/>
                  <w:marTop w:val="0"/>
                  <w:marBottom w:val="0"/>
                  <w:divBdr>
                    <w:top w:val="none" w:sz="0" w:space="0" w:color="auto"/>
                    <w:left w:val="none" w:sz="0" w:space="0" w:color="auto"/>
                    <w:bottom w:val="none" w:sz="0" w:space="0" w:color="auto"/>
                    <w:right w:val="none" w:sz="0" w:space="0" w:color="auto"/>
                  </w:divBdr>
                  <w:divsChild>
                    <w:div w:id="1670979658">
                      <w:marLeft w:val="0"/>
                      <w:marRight w:val="0"/>
                      <w:marTop w:val="0"/>
                      <w:marBottom w:val="0"/>
                      <w:divBdr>
                        <w:top w:val="none" w:sz="0" w:space="0" w:color="auto"/>
                        <w:left w:val="none" w:sz="0" w:space="0" w:color="auto"/>
                        <w:bottom w:val="none" w:sz="0" w:space="0" w:color="auto"/>
                        <w:right w:val="none" w:sz="0" w:space="0" w:color="auto"/>
                      </w:divBdr>
                    </w:div>
                  </w:divsChild>
                </w:div>
                <w:div w:id="1445079349">
                  <w:marLeft w:val="0"/>
                  <w:marRight w:val="0"/>
                  <w:marTop w:val="0"/>
                  <w:marBottom w:val="0"/>
                  <w:divBdr>
                    <w:top w:val="none" w:sz="0" w:space="0" w:color="auto"/>
                    <w:left w:val="none" w:sz="0" w:space="0" w:color="auto"/>
                    <w:bottom w:val="none" w:sz="0" w:space="0" w:color="auto"/>
                    <w:right w:val="none" w:sz="0" w:space="0" w:color="auto"/>
                  </w:divBdr>
                  <w:divsChild>
                    <w:div w:id="44069571">
                      <w:marLeft w:val="0"/>
                      <w:marRight w:val="0"/>
                      <w:marTop w:val="0"/>
                      <w:marBottom w:val="0"/>
                      <w:divBdr>
                        <w:top w:val="none" w:sz="0" w:space="0" w:color="auto"/>
                        <w:left w:val="none" w:sz="0" w:space="0" w:color="auto"/>
                        <w:bottom w:val="none" w:sz="0" w:space="0" w:color="auto"/>
                        <w:right w:val="none" w:sz="0" w:space="0" w:color="auto"/>
                      </w:divBdr>
                    </w:div>
                  </w:divsChild>
                </w:div>
                <w:div w:id="1463419655">
                  <w:marLeft w:val="0"/>
                  <w:marRight w:val="0"/>
                  <w:marTop w:val="0"/>
                  <w:marBottom w:val="0"/>
                  <w:divBdr>
                    <w:top w:val="none" w:sz="0" w:space="0" w:color="auto"/>
                    <w:left w:val="none" w:sz="0" w:space="0" w:color="auto"/>
                    <w:bottom w:val="none" w:sz="0" w:space="0" w:color="auto"/>
                    <w:right w:val="none" w:sz="0" w:space="0" w:color="auto"/>
                  </w:divBdr>
                  <w:divsChild>
                    <w:div w:id="1172259053">
                      <w:marLeft w:val="0"/>
                      <w:marRight w:val="0"/>
                      <w:marTop w:val="0"/>
                      <w:marBottom w:val="0"/>
                      <w:divBdr>
                        <w:top w:val="none" w:sz="0" w:space="0" w:color="auto"/>
                        <w:left w:val="none" w:sz="0" w:space="0" w:color="auto"/>
                        <w:bottom w:val="none" w:sz="0" w:space="0" w:color="auto"/>
                        <w:right w:val="none" w:sz="0" w:space="0" w:color="auto"/>
                      </w:divBdr>
                    </w:div>
                  </w:divsChild>
                </w:div>
                <w:div w:id="1489327178">
                  <w:marLeft w:val="0"/>
                  <w:marRight w:val="0"/>
                  <w:marTop w:val="0"/>
                  <w:marBottom w:val="0"/>
                  <w:divBdr>
                    <w:top w:val="none" w:sz="0" w:space="0" w:color="auto"/>
                    <w:left w:val="none" w:sz="0" w:space="0" w:color="auto"/>
                    <w:bottom w:val="none" w:sz="0" w:space="0" w:color="auto"/>
                    <w:right w:val="none" w:sz="0" w:space="0" w:color="auto"/>
                  </w:divBdr>
                  <w:divsChild>
                    <w:div w:id="1203594553">
                      <w:marLeft w:val="0"/>
                      <w:marRight w:val="0"/>
                      <w:marTop w:val="0"/>
                      <w:marBottom w:val="0"/>
                      <w:divBdr>
                        <w:top w:val="none" w:sz="0" w:space="0" w:color="auto"/>
                        <w:left w:val="none" w:sz="0" w:space="0" w:color="auto"/>
                        <w:bottom w:val="none" w:sz="0" w:space="0" w:color="auto"/>
                        <w:right w:val="none" w:sz="0" w:space="0" w:color="auto"/>
                      </w:divBdr>
                    </w:div>
                  </w:divsChild>
                </w:div>
                <w:div w:id="1580944284">
                  <w:marLeft w:val="0"/>
                  <w:marRight w:val="0"/>
                  <w:marTop w:val="0"/>
                  <w:marBottom w:val="0"/>
                  <w:divBdr>
                    <w:top w:val="none" w:sz="0" w:space="0" w:color="auto"/>
                    <w:left w:val="none" w:sz="0" w:space="0" w:color="auto"/>
                    <w:bottom w:val="none" w:sz="0" w:space="0" w:color="auto"/>
                    <w:right w:val="none" w:sz="0" w:space="0" w:color="auto"/>
                  </w:divBdr>
                  <w:divsChild>
                    <w:div w:id="1372876173">
                      <w:marLeft w:val="0"/>
                      <w:marRight w:val="0"/>
                      <w:marTop w:val="0"/>
                      <w:marBottom w:val="0"/>
                      <w:divBdr>
                        <w:top w:val="none" w:sz="0" w:space="0" w:color="auto"/>
                        <w:left w:val="none" w:sz="0" w:space="0" w:color="auto"/>
                        <w:bottom w:val="none" w:sz="0" w:space="0" w:color="auto"/>
                        <w:right w:val="none" w:sz="0" w:space="0" w:color="auto"/>
                      </w:divBdr>
                    </w:div>
                  </w:divsChild>
                </w:div>
                <w:div w:id="1600017650">
                  <w:marLeft w:val="0"/>
                  <w:marRight w:val="0"/>
                  <w:marTop w:val="0"/>
                  <w:marBottom w:val="0"/>
                  <w:divBdr>
                    <w:top w:val="none" w:sz="0" w:space="0" w:color="auto"/>
                    <w:left w:val="none" w:sz="0" w:space="0" w:color="auto"/>
                    <w:bottom w:val="none" w:sz="0" w:space="0" w:color="auto"/>
                    <w:right w:val="none" w:sz="0" w:space="0" w:color="auto"/>
                  </w:divBdr>
                  <w:divsChild>
                    <w:div w:id="1347176108">
                      <w:marLeft w:val="0"/>
                      <w:marRight w:val="0"/>
                      <w:marTop w:val="0"/>
                      <w:marBottom w:val="0"/>
                      <w:divBdr>
                        <w:top w:val="none" w:sz="0" w:space="0" w:color="auto"/>
                        <w:left w:val="none" w:sz="0" w:space="0" w:color="auto"/>
                        <w:bottom w:val="none" w:sz="0" w:space="0" w:color="auto"/>
                        <w:right w:val="none" w:sz="0" w:space="0" w:color="auto"/>
                      </w:divBdr>
                    </w:div>
                  </w:divsChild>
                </w:div>
                <w:div w:id="1683241021">
                  <w:marLeft w:val="0"/>
                  <w:marRight w:val="0"/>
                  <w:marTop w:val="0"/>
                  <w:marBottom w:val="0"/>
                  <w:divBdr>
                    <w:top w:val="none" w:sz="0" w:space="0" w:color="auto"/>
                    <w:left w:val="none" w:sz="0" w:space="0" w:color="auto"/>
                    <w:bottom w:val="none" w:sz="0" w:space="0" w:color="auto"/>
                    <w:right w:val="none" w:sz="0" w:space="0" w:color="auto"/>
                  </w:divBdr>
                  <w:divsChild>
                    <w:div w:id="302544797">
                      <w:marLeft w:val="0"/>
                      <w:marRight w:val="0"/>
                      <w:marTop w:val="0"/>
                      <w:marBottom w:val="0"/>
                      <w:divBdr>
                        <w:top w:val="none" w:sz="0" w:space="0" w:color="auto"/>
                        <w:left w:val="none" w:sz="0" w:space="0" w:color="auto"/>
                        <w:bottom w:val="none" w:sz="0" w:space="0" w:color="auto"/>
                        <w:right w:val="none" w:sz="0" w:space="0" w:color="auto"/>
                      </w:divBdr>
                    </w:div>
                  </w:divsChild>
                </w:div>
                <w:div w:id="1758793772">
                  <w:marLeft w:val="0"/>
                  <w:marRight w:val="0"/>
                  <w:marTop w:val="0"/>
                  <w:marBottom w:val="0"/>
                  <w:divBdr>
                    <w:top w:val="none" w:sz="0" w:space="0" w:color="auto"/>
                    <w:left w:val="none" w:sz="0" w:space="0" w:color="auto"/>
                    <w:bottom w:val="none" w:sz="0" w:space="0" w:color="auto"/>
                    <w:right w:val="none" w:sz="0" w:space="0" w:color="auto"/>
                  </w:divBdr>
                  <w:divsChild>
                    <w:div w:id="1676105320">
                      <w:marLeft w:val="0"/>
                      <w:marRight w:val="0"/>
                      <w:marTop w:val="0"/>
                      <w:marBottom w:val="0"/>
                      <w:divBdr>
                        <w:top w:val="none" w:sz="0" w:space="0" w:color="auto"/>
                        <w:left w:val="none" w:sz="0" w:space="0" w:color="auto"/>
                        <w:bottom w:val="none" w:sz="0" w:space="0" w:color="auto"/>
                        <w:right w:val="none" w:sz="0" w:space="0" w:color="auto"/>
                      </w:divBdr>
                    </w:div>
                  </w:divsChild>
                </w:div>
                <w:div w:id="1791900271">
                  <w:marLeft w:val="0"/>
                  <w:marRight w:val="0"/>
                  <w:marTop w:val="0"/>
                  <w:marBottom w:val="0"/>
                  <w:divBdr>
                    <w:top w:val="none" w:sz="0" w:space="0" w:color="auto"/>
                    <w:left w:val="none" w:sz="0" w:space="0" w:color="auto"/>
                    <w:bottom w:val="none" w:sz="0" w:space="0" w:color="auto"/>
                    <w:right w:val="none" w:sz="0" w:space="0" w:color="auto"/>
                  </w:divBdr>
                  <w:divsChild>
                    <w:div w:id="1929726200">
                      <w:marLeft w:val="0"/>
                      <w:marRight w:val="0"/>
                      <w:marTop w:val="0"/>
                      <w:marBottom w:val="0"/>
                      <w:divBdr>
                        <w:top w:val="none" w:sz="0" w:space="0" w:color="auto"/>
                        <w:left w:val="none" w:sz="0" w:space="0" w:color="auto"/>
                        <w:bottom w:val="none" w:sz="0" w:space="0" w:color="auto"/>
                        <w:right w:val="none" w:sz="0" w:space="0" w:color="auto"/>
                      </w:divBdr>
                    </w:div>
                  </w:divsChild>
                </w:div>
                <w:div w:id="1879735406">
                  <w:marLeft w:val="0"/>
                  <w:marRight w:val="0"/>
                  <w:marTop w:val="0"/>
                  <w:marBottom w:val="0"/>
                  <w:divBdr>
                    <w:top w:val="none" w:sz="0" w:space="0" w:color="auto"/>
                    <w:left w:val="none" w:sz="0" w:space="0" w:color="auto"/>
                    <w:bottom w:val="none" w:sz="0" w:space="0" w:color="auto"/>
                    <w:right w:val="none" w:sz="0" w:space="0" w:color="auto"/>
                  </w:divBdr>
                  <w:divsChild>
                    <w:div w:id="1031806591">
                      <w:marLeft w:val="0"/>
                      <w:marRight w:val="0"/>
                      <w:marTop w:val="0"/>
                      <w:marBottom w:val="0"/>
                      <w:divBdr>
                        <w:top w:val="none" w:sz="0" w:space="0" w:color="auto"/>
                        <w:left w:val="none" w:sz="0" w:space="0" w:color="auto"/>
                        <w:bottom w:val="none" w:sz="0" w:space="0" w:color="auto"/>
                        <w:right w:val="none" w:sz="0" w:space="0" w:color="auto"/>
                      </w:divBdr>
                    </w:div>
                  </w:divsChild>
                </w:div>
                <w:div w:id="1880320824">
                  <w:marLeft w:val="0"/>
                  <w:marRight w:val="0"/>
                  <w:marTop w:val="0"/>
                  <w:marBottom w:val="0"/>
                  <w:divBdr>
                    <w:top w:val="none" w:sz="0" w:space="0" w:color="auto"/>
                    <w:left w:val="none" w:sz="0" w:space="0" w:color="auto"/>
                    <w:bottom w:val="none" w:sz="0" w:space="0" w:color="auto"/>
                    <w:right w:val="none" w:sz="0" w:space="0" w:color="auto"/>
                  </w:divBdr>
                  <w:divsChild>
                    <w:div w:id="1700400405">
                      <w:marLeft w:val="0"/>
                      <w:marRight w:val="0"/>
                      <w:marTop w:val="0"/>
                      <w:marBottom w:val="0"/>
                      <w:divBdr>
                        <w:top w:val="none" w:sz="0" w:space="0" w:color="auto"/>
                        <w:left w:val="none" w:sz="0" w:space="0" w:color="auto"/>
                        <w:bottom w:val="none" w:sz="0" w:space="0" w:color="auto"/>
                        <w:right w:val="none" w:sz="0" w:space="0" w:color="auto"/>
                      </w:divBdr>
                    </w:div>
                  </w:divsChild>
                </w:div>
                <w:div w:id="1914006901">
                  <w:marLeft w:val="0"/>
                  <w:marRight w:val="0"/>
                  <w:marTop w:val="0"/>
                  <w:marBottom w:val="0"/>
                  <w:divBdr>
                    <w:top w:val="none" w:sz="0" w:space="0" w:color="auto"/>
                    <w:left w:val="none" w:sz="0" w:space="0" w:color="auto"/>
                    <w:bottom w:val="none" w:sz="0" w:space="0" w:color="auto"/>
                    <w:right w:val="none" w:sz="0" w:space="0" w:color="auto"/>
                  </w:divBdr>
                  <w:divsChild>
                    <w:div w:id="1909337481">
                      <w:marLeft w:val="0"/>
                      <w:marRight w:val="0"/>
                      <w:marTop w:val="0"/>
                      <w:marBottom w:val="0"/>
                      <w:divBdr>
                        <w:top w:val="none" w:sz="0" w:space="0" w:color="auto"/>
                        <w:left w:val="none" w:sz="0" w:space="0" w:color="auto"/>
                        <w:bottom w:val="none" w:sz="0" w:space="0" w:color="auto"/>
                        <w:right w:val="none" w:sz="0" w:space="0" w:color="auto"/>
                      </w:divBdr>
                    </w:div>
                  </w:divsChild>
                </w:div>
                <w:div w:id="1968588246">
                  <w:marLeft w:val="0"/>
                  <w:marRight w:val="0"/>
                  <w:marTop w:val="0"/>
                  <w:marBottom w:val="0"/>
                  <w:divBdr>
                    <w:top w:val="none" w:sz="0" w:space="0" w:color="auto"/>
                    <w:left w:val="none" w:sz="0" w:space="0" w:color="auto"/>
                    <w:bottom w:val="none" w:sz="0" w:space="0" w:color="auto"/>
                    <w:right w:val="none" w:sz="0" w:space="0" w:color="auto"/>
                  </w:divBdr>
                  <w:divsChild>
                    <w:div w:id="1988823644">
                      <w:marLeft w:val="0"/>
                      <w:marRight w:val="0"/>
                      <w:marTop w:val="0"/>
                      <w:marBottom w:val="0"/>
                      <w:divBdr>
                        <w:top w:val="none" w:sz="0" w:space="0" w:color="auto"/>
                        <w:left w:val="none" w:sz="0" w:space="0" w:color="auto"/>
                        <w:bottom w:val="none" w:sz="0" w:space="0" w:color="auto"/>
                        <w:right w:val="none" w:sz="0" w:space="0" w:color="auto"/>
                      </w:divBdr>
                    </w:div>
                  </w:divsChild>
                </w:div>
                <w:div w:id="1984389249">
                  <w:marLeft w:val="0"/>
                  <w:marRight w:val="0"/>
                  <w:marTop w:val="0"/>
                  <w:marBottom w:val="0"/>
                  <w:divBdr>
                    <w:top w:val="none" w:sz="0" w:space="0" w:color="auto"/>
                    <w:left w:val="none" w:sz="0" w:space="0" w:color="auto"/>
                    <w:bottom w:val="none" w:sz="0" w:space="0" w:color="auto"/>
                    <w:right w:val="none" w:sz="0" w:space="0" w:color="auto"/>
                  </w:divBdr>
                  <w:divsChild>
                    <w:div w:id="741178983">
                      <w:marLeft w:val="0"/>
                      <w:marRight w:val="0"/>
                      <w:marTop w:val="0"/>
                      <w:marBottom w:val="0"/>
                      <w:divBdr>
                        <w:top w:val="none" w:sz="0" w:space="0" w:color="auto"/>
                        <w:left w:val="none" w:sz="0" w:space="0" w:color="auto"/>
                        <w:bottom w:val="none" w:sz="0" w:space="0" w:color="auto"/>
                        <w:right w:val="none" w:sz="0" w:space="0" w:color="auto"/>
                      </w:divBdr>
                    </w:div>
                  </w:divsChild>
                </w:div>
                <w:div w:id="1998918688">
                  <w:marLeft w:val="0"/>
                  <w:marRight w:val="0"/>
                  <w:marTop w:val="0"/>
                  <w:marBottom w:val="0"/>
                  <w:divBdr>
                    <w:top w:val="none" w:sz="0" w:space="0" w:color="auto"/>
                    <w:left w:val="none" w:sz="0" w:space="0" w:color="auto"/>
                    <w:bottom w:val="none" w:sz="0" w:space="0" w:color="auto"/>
                    <w:right w:val="none" w:sz="0" w:space="0" w:color="auto"/>
                  </w:divBdr>
                  <w:divsChild>
                    <w:div w:id="1109548215">
                      <w:marLeft w:val="0"/>
                      <w:marRight w:val="0"/>
                      <w:marTop w:val="0"/>
                      <w:marBottom w:val="0"/>
                      <w:divBdr>
                        <w:top w:val="none" w:sz="0" w:space="0" w:color="auto"/>
                        <w:left w:val="none" w:sz="0" w:space="0" w:color="auto"/>
                        <w:bottom w:val="none" w:sz="0" w:space="0" w:color="auto"/>
                        <w:right w:val="none" w:sz="0" w:space="0" w:color="auto"/>
                      </w:divBdr>
                    </w:div>
                  </w:divsChild>
                </w:div>
                <w:div w:id="2006396040">
                  <w:marLeft w:val="0"/>
                  <w:marRight w:val="0"/>
                  <w:marTop w:val="0"/>
                  <w:marBottom w:val="0"/>
                  <w:divBdr>
                    <w:top w:val="none" w:sz="0" w:space="0" w:color="auto"/>
                    <w:left w:val="none" w:sz="0" w:space="0" w:color="auto"/>
                    <w:bottom w:val="none" w:sz="0" w:space="0" w:color="auto"/>
                    <w:right w:val="none" w:sz="0" w:space="0" w:color="auto"/>
                  </w:divBdr>
                  <w:divsChild>
                    <w:div w:id="761070976">
                      <w:marLeft w:val="0"/>
                      <w:marRight w:val="0"/>
                      <w:marTop w:val="0"/>
                      <w:marBottom w:val="0"/>
                      <w:divBdr>
                        <w:top w:val="none" w:sz="0" w:space="0" w:color="auto"/>
                        <w:left w:val="none" w:sz="0" w:space="0" w:color="auto"/>
                        <w:bottom w:val="none" w:sz="0" w:space="0" w:color="auto"/>
                        <w:right w:val="none" w:sz="0" w:space="0" w:color="auto"/>
                      </w:divBdr>
                    </w:div>
                  </w:divsChild>
                </w:div>
                <w:div w:id="2068992775">
                  <w:marLeft w:val="0"/>
                  <w:marRight w:val="0"/>
                  <w:marTop w:val="0"/>
                  <w:marBottom w:val="0"/>
                  <w:divBdr>
                    <w:top w:val="none" w:sz="0" w:space="0" w:color="auto"/>
                    <w:left w:val="none" w:sz="0" w:space="0" w:color="auto"/>
                    <w:bottom w:val="none" w:sz="0" w:space="0" w:color="auto"/>
                    <w:right w:val="none" w:sz="0" w:space="0" w:color="auto"/>
                  </w:divBdr>
                  <w:divsChild>
                    <w:div w:id="5828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7570">
          <w:marLeft w:val="0"/>
          <w:marRight w:val="0"/>
          <w:marTop w:val="0"/>
          <w:marBottom w:val="0"/>
          <w:divBdr>
            <w:top w:val="none" w:sz="0" w:space="0" w:color="auto"/>
            <w:left w:val="none" w:sz="0" w:space="0" w:color="auto"/>
            <w:bottom w:val="none" w:sz="0" w:space="0" w:color="auto"/>
            <w:right w:val="none" w:sz="0" w:space="0" w:color="auto"/>
          </w:divBdr>
        </w:div>
        <w:div w:id="1865290018">
          <w:marLeft w:val="0"/>
          <w:marRight w:val="0"/>
          <w:marTop w:val="0"/>
          <w:marBottom w:val="0"/>
          <w:divBdr>
            <w:top w:val="none" w:sz="0" w:space="0" w:color="auto"/>
            <w:left w:val="none" w:sz="0" w:space="0" w:color="auto"/>
            <w:bottom w:val="none" w:sz="0" w:space="0" w:color="auto"/>
            <w:right w:val="none" w:sz="0" w:space="0" w:color="auto"/>
          </w:divBdr>
          <w:divsChild>
            <w:div w:id="238637987">
              <w:marLeft w:val="0"/>
              <w:marRight w:val="0"/>
              <w:marTop w:val="0"/>
              <w:marBottom w:val="0"/>
              <w:divBdr>
                <w:top w:val="none" w:sz="0" w:space="0" w:color="auto"/>
                <w:left w:val="none" w:sz="0" w:space="0" w:color="auto"/>
                <w:bottom w:val="none" w:sz="0" w:space="0" w:color="auto"/>
                <w:right w:val="none" w:sz="0" w:space="0" w:color="auto"/>
              </w:divBdr>
            </w:div>
            <w:div w:id="240409646">
              <w:marLeft w:val="0"/>
              <w:marRight w:val="0"/>
              <w:marTop w:val="0"/>
              <w:marBottom w:val="0"/>
              <w:divBdr>
                <w:top w:val="none" w:sz="0" w:space="0" w:color="auto"/>
                <w:left w:val="none" w:sz="0" w:space="0" w:color="auto"/>
                <w:bottom w:val="none" w:sz="0" w:space="0" w:color="auto"/>
                <w:right w:val="none" w:sz="0" w:space="0" w:color="auto"/>
              </w:divBdr>
            </w:div>
            <w:div w:id="398480634">
              <w:marLeft w:val="0"/>
              <w:marRight w:val="0"/>
              <w:marTop w:val="0"/>
              <w:marBottom w:val="0"/>
              <w:divBdr>
                <w:top w:val="none" w:sz="0" w:space="0" w:color="auto"/>
                <w:left w:val="none" w:sz="0" w:space="0" w:color="auto"/>
                <w:bottom w:val="none" w:sz="0" w:space="0" w:color="auto"/>
                <w:right w:val="none" w:sz="0" w:space="0" w:color="auto"/>
              </w:divBdr>
            </w:div>
            <w:div w:id="1186213753">
              <w:marLeft w:val="0"/>
              <w:marRight w:val="0"/>
              <w:marTop w:val="0"/>
              <w:marBottom w:val="0"/>
              <w:divBdr>
                <w:top w:val="none" w:sz="0" w:space="0" w:color="auto"/>
                <w:left w:val="none" w:sz="0" w:space="0" w:color="auto"/>
                <w:bottom w:val="none" w:sz="0" w:space="0" w:color="auto"/>
                <w:right w:val="none" w:sz="0" w:space="0" w:color="auto"/>
              </w:divBdr>
            </w:div>
            <w:div w:id="1209219656">
              <w:marLeft w:val="0"/>
              <w:marRight w:val="0"/>
              <w:marTop w:val="0"/>
              <w:marBottom w:val="0"/>
              <w:divBdr>
                <w:top w:val="none" w:sz="0" w:space="0" w:color="auto"/>
                <w:left w:val="none" w:sz="0" w:space="0" w:color="auto"/>
                <w:bottom w:val="none" w:sz="0" w:space="0" w:color="auto"/>
                <w:right w:val="none" w:sz="0" w:space="0" w:color="auto"/>
              </w:divBdr>
            </w:div>
            <w:div w:id="1281915916">
              <w:marLeft w:val="0"/>
              <w:marRight w:val="0"/>
              <w:marTop w:val="0"/>
              <w:marBottom w:val="0"/>
              <w:divBdr>
                <w:top w:val="none" w:sz="0" w:space="0" w:color="auto"/>
                <w:left w:val="none" w:sz="0" w:space="0" w:color="auto"/>
                <w:bottom w:val="none" w:sz="0" w:space="0" w:color="auto"/>
                <w:right w:val="none" w:sz="0" w:space="0" w:color="auto"/>
              </w:divBdr>
            </w:div>
            <w:div w:id="1360397739">
              <w:marLeft w:val="0"/>
              <w:marRight w:val="0"/>
              <w:marTop w:val="0"/>
              <w:marBottom w:val="0"/>
              <w:divBdr>
                <w:top w:val="none" w:sz="0" w:space="0" w:color="auto"/>
                <w:left w:val="none" w:sz="0" w:space="0" w:color="auto"/>
                <w:bottom w:val="none" w:sz="0" w:space="0" w:color="auto"/>
                <w:right w:val="none" w:sz="0" w:space="0" w:color="auto"/>
              </w:divBdr>
            </w:div>
            <w:div w:id="1362315020">
              <w:marLeft w:val="0"/>
              <w:marRight w:val="0"/>
              <w:marTop w:val="0"/>
              <w:marBottom w:val="0"/>
              <w:divBdr>
                <w:top w:val="none" w:sz="0" w:space="0" w:color="auto"/>
                <w:left w:val="none" w:sz="0" w:space="0" w:color="auto"/>
                <w:bottom w:val="none" w:sz="0" w:space="0" w:color="auto"/>
                <w:right w:val="none" w:sz="0" w:space="0" w:color="auto"/>
              </w:divBdr>
            </w:div>
            <w:div w:id="1367414668">
              <w:marLeft w:val="0"/>
              <w:marRight w:val="0"/>
              <w:marTop w:val="0"/>
              <w:marBottom w:val="0"/>
              <w:divBdr>
                <w:top w:val="none" w:sz="0" w:space="0" w:color="auto"/>
                <w:left w:val="none" w:sz="0" w:space="0" w:color="auto"/>
                <w:bottom w:val="none" w:sz="0" w:space="0" w:color="auto"/>
                <w:right w:val="none" w:sz="0" w:space="0" w:color="auto"/>
              </w:divBdr>
            </w:div>
            <w:div w:id="1426148136">
              <w:marLeft w:val="0"/>
              <w:marRight w:val="0"/>
              <w:marTop w:val="0"/>
              <w:marBottom w:val="0"/>
              <w:divBdr>
                <w:top w:val="none" w:sz="0" w:space="0" w:color="auto"/>
                <w:left w:val="none" w:sz="0" w:space="0" w:color="auto"/>
                <w:bottom w:val="none" w:sz="0" w:space="0" w:color="auto"/>
                <w:right w:val="none" w:sz="0" w:space="0" w:color="auto"/>
              </w:divBdr>
            </w:div>
            <w:div w:id="1577128192">
              <w:marLeft w:val="0"/>
              <w:marRight w:val="0"/>
              <w:marTop w:val="0"/>
              <w:marBottom w:val="0"/>
              <w:divBdr>
                <w:top w:val="none" w:sz="0" w:space="0" w:color="auto"/>
                <w:left w:val="none" w:sz="0" w:space="0" w:color="auto"/>
                <w:bottom w:val="none" w:sz="0" w:space="0" w:color="auto"/>
                <w:right w:val="none" w:sz="0" w:space="0" w:color="auto"/>
              </w:divBdr>
            </w:div>
            <w:div w:id="1583374438">
              <w:marLeft w:val="0"/>
              <w:marRight w:val="0"/>
              <w:marTop w:val="0"/>
              <w:marBottom w:val="0"/>
              <w:divBdr>
                <w:top w:val="none" w:sz="0" w:space="0" w:color="auto"/>
                <w:left w:val="none" w:sz="0" w:space="0" w:color="auto"/>
                <w:bottom w:val="none" w:sz="0" w:space="0" w:color="auto"/>
                <w:right w:val="none" w:sz="0" w:space="0" w:color="auto"/>
              </w:divBdr>
            </w:div>
            <w:div w:id="1629706058">
              <w:marLeft w:val="0"/>
              <w:marRight w:val="0"/>
              <w:marTop w:val="0"/>
              <w:marBottom w:val="0"/>
              <w:divBdr>
                <w:top w:val="none" w:sz="0" w:space="0" w:color="auto"/>
                <w:left w:val="none" w:sz="0" w:space="0" w:color="auto"/>
                <w:bottom w:val="none" w:sz="0" w:space="0" w:color="auto"/>
                <w:right w:val="none" w:sz="0" w:space="0" w:color="auto"/>
              </w:divBdr>
            </w:div>
            <w:div w:id="1664820689">
              <w:marLeft w:val="0"/>
              <w:marRight w:val="0"/>
              <w:marTop w:val="0"/>
              <w:marBottom w:val="0"/>
              <w:divBdr>
                <w:top w:val="none" w:sz="0" w:space="0" w:color="auto"/>
                <w:left w:val="none" w:sz="0" w:space="0" w:color="auto"/>
                <w:bottom w:val="none" w:sz="0" w:space="0" w:color="auto"/>
                <w:right w:val="none" w:sz="0" w:space="0" w:color="auto"/>
              </w:divBdr>
            </w:div>
            <w:div w:id="1699576040">
              <w:marLeft w:val="0"/>
              <w:marRight w:val="0"/>
              <w:marTop w:val="0"/>
              <w:marBottom w:val="0"/>
              <w:divBdr>
                <w:top w:val="none" w:sz="0" w:space="0" w:color="auto"/>
                <w:left w:val="none" w:sz="0" w:space="0" w:color="auto"/>
                <w:bottom w:val="none" w:sz="0" w:space="0" w:color="auto"/>
                <w:right w:val="none" w:sz="0" w:space="0" w:color="auto"/>
              </w:divBdr>
            </w:div>
            <w:div w:id="1935283168">
              <w:marLeft w:val="0"/>
              <w:marRight w:val="0"/>
              <w:marTop w:val="0"/>
              <w:marBottom w:val="0"/>
              <w:divBdr>
                <w:top w:val="none" w:sz="0" w:space="0" w:color="auto"/>
                <w:left w:val="none" w:sz="0" w:space="0" w:color="auto"/>
                <w:bottom w:val="none" w:sz="0" w:space="0" w:color="auto"/>
                <w:right w:val="none" w:sz="0" w:space="0" w:color="auto"/>
              </w:divBdr>
            </w:div>
            <w:div w:id="1996955316">
              <w:marLeft w:val="0"/>
              <w:marRight w:val="0"/>
              <w:marTop w:val="0"/>
              <w:marBottom w:val="0"/>
              <w:divBdr>
                <w:top w:val="none" w:sz="0" w:space="0" w:color="auto"/>
                <w:left w:val="none" w:sz="0" w:space="0" w:color="auto"/>
                <w:bottom w:val="none" w:sz="0" w:space="0" w:color="auto"/>
                <w:right w:val="none" w:sz="0" w:space="0" w:color="auto"/>
              </w:divBdr>
            </w:div>
            <w:div w:id="2021810577">
              <w:marLeft w:val="0"/>
              <w:marRight w:val="0"/>
              <w:marTop w:val="0"/>
              <w:marBottom w:val="0"/>
              <w:divBdr>
                <w:top w:val="none" w:sz="0" w:space="0" w:color="auto"/>
                <w:left w:val="none" w:sz="0" w:space="0" w:color="auto"/>
                <w:bottom w:val="none" w:sz="0" w:space="0" w:color="auto"/>
                <w:right w:val="none" w:sz="0" w:space="0" w:color="auto"/>
              </w:divBdr>
            </w:div>
            <w:div w:id="2091540158">
              <w:marLeft w:val="0"/>
              <w:marRight w:val="0"/>
              <w:marTop w:val="0"/>
              <w:marBottom w:val="0"/>
              <w:divBdr>
                <w:top w:val="none" w:sz="0" w:space="0" w:color="auto"/>
                <w:left w:val="none" w:sz="0" w:space="0" w:color="auto"/>
                <w:bottom w:val="none" w:sz="0" w:space="0" w:color="auto"/>
                <w:right w:val="none" w:sz="0" w:space="0" w:color="auto"/>
              </w:divBdr>
            </w:div>
            <w:div w:id="2114854913">
              <w:marLeft w:val="0"/>
              <w:marRight w:val="0"/>
              <w:marTop w:val="0"/>
              <w:marBottom w:val="0"/>
              <w:divBdr>
                <w:top w:val="none" w:sz="0" w:space="0" w:color="auto"/>
                <w:left w:val="none" w:sz="0" w:space="0" w:color="auto"/>
                <w:bottom w:val="none" w:sz="0" w:space="0" w:color="auto"/>
                <w:right w:val="none" w:sz="0" w:space="0" w:color="auto"/>
              </w:divBdr>
            </w:div>
          </w:divsChild>
        </w:div>
        <w:div w:id="1876581786">
          <w:marLeft w:val="0"/>
          <w:marRight w:val="0"/>
          <w:marTop w:val="0"/>
          <w:marBottom w:val="0"/>
          <w:divBdr>
            <w:top w:val="none" w:sz="0" w:space="0" w:color="auto"/>
            <w:left w:val="none" w:sz="0" w:space="0" w:color="auto"/>
            <w:bottom w:val="none" w:sz="0" w:space="0" w:color="auto"/>
            <w:right w:val="none" w:sz="0" w:space="0" w:color="auto"/>
          </w:divBdr>
        </w:div>
        <w:div w:id="1913008360">
          <w:marLeft w:val="0"/>
          <w:marRight w:val="0"/>
          <w:marTop w:val="0"/>
          <w:marBottom w:val="0"/>
          <w:divBdr>
            <w:top w:val="none" w:sz="0" w:space="0" w:color="auto"/>
            <w:left w:val="none" w:sz="0" w:space="0" w:color="auto"/>
            <w:bottom w:val="none" w:sz="0" w:space="0" w:color="auto"/>
            <w:right w:val="none" w:sz="0" w:space="0" w:color="auto"/>
          </w:divBdr>
        </w:div>
        <w:div w:id="1952931135">
          <w:marLeft w:val="0"/>
          <w:marRight w:val="0"/>
          <w:marTop w:val="0"/>
          <w:marBottom w:val="0"/>
          <w:divBdr>
            <w:top w:val="none" w:sz="0" w:space="0" w:color="auto"/>
            <w:left w:val="none" w:sz="0" w:space="0" w:color="auto"/>
            <w:bottom w:val="none" w:sz="0" w:space="0" w:color="auto"/>
            <w:right w:val="none" w:sz="0" w:space="0" w:color="auto"/>
          </w:divBdr>
        </w:div>
        <w:div w:id="2130589068">
          <w:marLeft w:val="0"/>
          <w:marRight w:val="0"/>
          <w:marTop w:val="0"/>
          <w:marBottom w:val="0"/>
          <w:divBdr>
            <w:top w:val="none" w:sz="0" w:space="0" w:color="auto"/>
            <w:left w:val="none" w:sz="0" w:space="0" w:color="auto"/>
            <w:bottom w:val="none" w:sz="0" w:space="0" w:color="auto"/>
            <w:right w:val="none" w:sz="0" w:space="0" w:color="auto"/>
          </w:divBdr>
        </w:div>
      </w:divsChild>
    </w:div>
    <w:div w:id="793527430">
      <w:bodyDiv w:val="1"/>
      <w:marLeft w:val="0"/>
      <w:marRight w:val="0"/>
      <w:marTop w:val="0"/>
      <w:marBottom w:val="0"/>
      <w:divBdr>
        <w:top w:val="none" w:sz="0" w:space="0" w:color="auto"/>
        <w:left w:val="none" w:sz="0" w:space="0" w:color="auto"/>
        <w:bottom w:val="none" w:sz="0" w:space="0" w:color="auto"/>
        <w:right w:val="none" w:sz="0" w:space="0" w:color="auto"/>
      </w:divBdr>
      <w:divsChild>
        <w:div w:id="252206644">
          <w:marLeft w:val="0"/>
          <w:marRight w:val="0"/>
          <w:marTop w:val="0"/>
          <w:marBottom w:val="0"/>
          <w:divBdr>
            <w:top w:val="none" w:sz="0" w:space="0" w:color="auto"/>
            <w:left w:val="none" w:sz="0" w:space="0" w:color="auto"/>
            <w:bottom w:val="none" w:sz="0" w:space="0" w:color="auto"/>
            <w:right w:val="none" w:sz="0" w:space="0" w:color="auto"/>
          </w:divBdr>
          <w:divsChild>
            <w:div w:id="704015812">
              <w:marLeft w:val="0"/>
              <w:marRight w:val="0"/>
              <w:marTop w:val="0"/>
              <w:marBottom w:val="0"/>
              <w:divBdr>
                <w:top w:val="none" w:sz="0" w:space="0" w:color="auto"/>
                <w:left w:val="none" w:sz="0" w:space="0" w:color="auto"/>
                <w:bottom w:val="none" w:sz="0" w:space="0" w:color="auto"/>
                <w:right w:val="none" w:sz="0" w:space="0" w:color="auto"/>
              </w:divBdr>
            </w:div>
          </w:divsChild>
        </w:div>
        <w:div w:id="311563473">
          <w:marLeft w:val="0"/>
          <w:marRight w:val="0"/>
          <w:marTop w:val="0"/>
          <w:marBottom w:val="0"/>
          <w:divBdr>
            <w:top w:val="none" w:sz="0" w:space="0" w:color="auto"/>
            <w:left w:val="none" w:sz="0" w:space="0" w:color="auto"/>
            <w:bottom w:val="none" w:sz="0" w:space="0" w:color="auto"/>
            <w:right w:val="none" w:sz="0" w:space="0" w:color="auto"/>
          </w:divBdr>
          <w:divsChild>
            <w:div w:id="715472607">
              <w:marLeft w:val="0"/>
              <w:marRight w:val="0"/>
              <w:marTop w:val="0"/>
              <w:marBottom w:val="0"/>
              <w:divBdr>
                <w:top w:val="none" w:sz="0" w:space="0" w:color="auto"/>
                <w:left w:val="none" w:sz="0" w:space="0" w:color="auto"/>
                <w:bottom w:val="none" w:sz="0" w:space="0" w:color="auto"/>
                <w:right w:val="none" w:sz="0" w:space="0" w:color="auto"/>
              </w:divBdr>
            </w:div>
          </w:divsChild>
        </w:div>
        <w:div w:id="350690872">
          <w:marLeft w:val="0"/>
          <w:marRight w:val="0"/>
          <w:marTop w:val="0"/>
          <w:marBottom w:val="0"/>
          <w:divBdr>
            <w:top w:val="none" w:sz="0" w:space="0" w:color="auto"/>
            <w:left w:val="none" w:sz="0" w:space="0" w:color="auto"/>
            <w:bottom w:val="none" w:sz="0" w:space="0" w:color="auto"/>
            <w:right w:val="none" w:sz="0" w:space="0" w:color="auto"/>
          </w:divBdr>
          <w:divsChild>
            <w:div w:id="1606421292">
              <w:marLeft w:val="0"/>
              <w:marRight w:val="0"/>
              <w:marTop w:val="0"/>
              <w:marBottom w:val="0"/>
              <w:divBdr>
                <w:top w:val="none" w:sz="0" w:space="0" w:color="auto"/>
                <w:left w:val="none" w:sz="0" w:space="0" w:color="auto"/>
                <w:bottom w:val="none" w:sz="0" w:space="0" w:color="auto"/>
                <w:right w:val="none" w:sz="0" w:space="0" w:color="auto"/>
              </w:divBdr>
            </w:div>
          </w:divsChild>
        </w:div>
        <w:div w:id="525169393">
          <w:marLeft w:val="0"/>
          <w:marRight w:val="0"/>
          <w:marTop w:val="0"/>
          <w:marBottom w:val="0"/>
          <w:divBdr>
            <w:top w:val="none" w:sz="0" w:space="0" w:color="auto"/>
            <w:left w:val="none" w:sz="0" w:space="0" w:color="auto"/>
            <w:bottom w:val="none" w:sz="0" w:space="0" w:color="auto"/>
            <w:right w:val="none" w:sz="0" w:space="0" w:color="auto"/>
          </w:divBdr>
          <w:divsChild>
            <w:div w:id="1052814">
              <w:marLeft w:val="0"/>
              <w:marRight w:val="0"/>
              <w:marTop w:val="0"/>
              <w:marBottom w:val="0"/>
              <w:divBdr>
                <w:top w:val="none" w:sz="0" w:space="0" w:color="auto"/>
                <w:left w:val="none" w:sz="0" w:space="0" w:color="auto"/>
                <w:bottom w:val="none" w:sz="0" w:space="0" w:color="auto"/>
                <w:right w:val="none" w:sz="0" w:space="0" w:color="auto"/>
              </w:divBdr>
            </w:div>
          </w:divsChild>
        </w:div>
        <w:div w:id="563367926">
          <w:marLeft w:val="0"/>
          <w:marRight w:val="0"/>
          <w:marTop w:val="0"/>
          <w:marBottom w:val="0"/>
          <w:divBdr>
            <w:top w:val="none" w:sz="0" w:space="0" w:color="auto"/>
            <w:left w:val="none" w:sz="0" w:space="0" w:color="auto"/>
            <w:bottom w:val="none" w:sz="0" w:space="0" w:color="auto"/>
            <w:right w:val="none" w:sz="0" w:space="0" w:color="auto"/>
          </w:divBdr>
          <w:divsChild>
            <w:div w:id="1256094196">
              <w:marLeft w:val="0"/>
              <w:marRight w:val="0"/>
              <w:marTop w:val="0"/>
              <w:marBottom w:val="0"/>
              <w:divBdr>
                <w:top w:val="none" w:sz="0" w:space="0" w:color="auto"/>
                <w:left w:val="none" w:sz="0" w:space="0" w:color="auto"/>
                <w:bottom w:val="none" w:sz="0" w:space="0" w:color="auto"/>
                <w:right w:val="none" w:sz="0" w:space="0" w:color="auto"/>
              </w:divBdr>
            </w:div>
          </w:divsChild>
        </w:div>
        <w:div w:id="573399105">
          <w:marLeft w:val="0"/>
          <w:marRight w:val="0"/>
          <w:marTop w:val="0"/>
          <w:marBottom w:val="0"/>
          <w:divBdr>
            <w:top w:val="none" w:sz="0" w:space="0" w:color="auto"/>
            <w:left w:val="none" w:sz="0" w:space="0" w:color="auto"/>
            <w:bottom w:val="none" w:sz="0" w:space="0" w:color="auto"/>
            <w:right w:val="none" w:sz="0" w:space="0" w:color="auto"/>
          </w:divBdr>
          <w:divsChild>
            <w:div w:id="276372756">
              <w:marLeft w:val="0"/>
              <w:marRight w:val="0"/>
              <w:marTop w:val="0"/>
              <w:marBottom w:val="0"/>
              <w:divBdr>
                <w:top w:val="none" w:sz="0" w:space="0" w:color="auto"/>
                <w:left w:val="none" w:sz="0" w:space="0" w:color="auto"/>
                <w:bottom w:val="none" w:sz="0" w:space="0" w:color="auto"/>
                <w:right w:val="none" w:sz="0" w:space="0" w:color="auto"/>
              </w:divBdr>
            </w:div>
            <w:div w:id="938948068">
              <w:marLeft w:val="0"/>
              <w:marRight w:val="0"/>
              <w:marTop w:val="0"/>
              <w:marBottom w:val="0"/>
              <w:divBdr>
                <w:top w:val="none" w:sz="0" w:space="0" w:color="auto"/>
                <w:left w:val="none" w:sz="0" w:space="0" w:color="auto"/>
                <w:bottom w:val="none" w:sz="0" w:space="0" w:color="auto"/>
                <w:right w:val="none" w:sz="0" w:space="0" w:color="auto"/>
              </w:divBdr>
            </w:div>
          </w:divsChild>
        </w:div>
        <w:div w:id="725185482">
          <w:marLeft w:val="0"/>
          <w:marRight w:val="0"/>
          <w:marTop w:val="0"/>
          <w:marBottom w:val="0"/>
          <w:divBdr>
            <w:top w:val="none" w:sz="0" w:space="0" w:color="auto"/>
            <w:left w:val="none" w:sz="0" w:space="0" w:color="auto"/>
            <w:bottom w:val="none" w:sz="0" w:space="0" w:color="auto"/>
            <w:right w:val="none" w:sz="0" w:space="0" w:color="auto"/>
          </w:divBdr>
          <w:divsChild>
            <w:div w:id="554976288">
              <w:marLeft w:val="0"/>
              <w:marRight w:val="0"/>
              <w:marTop w:val="0"/>
              <w:marBottom w:val="0"/>
              <w:divBdr>
                <w:top w:val="none" w:sz="0" w:space="0" w:color="auto"/>
                <w:left w:val="none" w:sz="0" w:space="0" w:color="auto"/>
                <w:bottom w:val="none" w:sz="0" w:space="0" w:color="auto"/>
                <w:right w:val="none" w:sz="0" w:space="0" w:color="auto"/>
              </w:divBdr>
            </w:div>
          </w:divsChild>
        </w:div>
        <w:div w:id="827752173">
          <w:marLeft w:val="0"/>
          <w:marRight w:val="0"/>
          <w:marTop w:val="0"/>
          <w:marBottom w:val="0"/>
          <w:divBdr>
            <w:top w:val="none" w:sz="0" w:space="0" w:color="auto"/>
            <w:left w:val="none" w:sz="0" w:space="0" w:color="auto"/>
            <w:bottom w:val="none" w:sz="0" w:space="0" w:color="auto"/>
            <w:right w:val="none" w:sz="0" w:space="0" w:color="auto"/>
          </w:divBdr>
          <w:divsChild>
            <w:div w:id="336539209">
              <w:marLeft w:val="0"/>
              <w:marRight w:val="0"/>
              <w:marTop w:val="0"/>
              <w:marBottom w:val="0"/>
              <w:divBdr>
                <w:top w:val="none" w:sz="0" w:space="0" w:color="auto"/>
                <w:left w:val="none" w:sz="0" w:space="0" w:color="auto"/>
                <w:bottom w:val="none" w:sz="0" w:space="0" w:color="auto"/>
                <w:right w:val="none" w:sz="0" w:space="0" w:color="auto"/>
              </w:divBdr>
            </w:div>
          </w:divsChild>
        </w:div>
        <w:div w:id="921140552">
          <w:marLeft w:val="0"/>
          <w:marRight w:val="0"/>
          <w:marTop w:val="0"/>
          <w:marBottom w:val="0"/>
          <w:divBdr>
            <w:top w:val="none" w:sz="0" w:space="0" w:color="auto"/>
            <w:left w:val="none" w:sz="0" w:space="0" w:color="auto"/>
            <w:bottom w:val="none" w:sz="0" w:space="0" w:color="auto"/>
            <w:right w:val="none" w:sz="0" w:space="0" w:color="auto"/>
          </w:divBdr>
          <w:divsChild>
            <w:div w:id="1168179758">
              <w:marLeft w:val="0"/>
              <w:marRight w:val="0"/>
              <w:marTop w:val="0"/>
              <w:marBottom w:val="0"/>
              <w:divBdr>
                <w:top w:val="none" w:sz="0" w:space="0" w:color="auto"/>
                <w:left w:val="none" w:sz="0" w:space="0" w:color="auto"/>
                <w:bottom w:val="none" w:sz="0" w:space="0" w:color="auto"/>
                <w:right w:val="none" w:sz="0" w:space="0" w:color="auto"/>
              </w:divBdr>
            </w:div>
          </w:divsChild>
        </w:div>
        <w:div w:id="986862001">
          <w:marLeft w:val="0"/>
          <w:marRight w:val="0"/>
          <w:marTop w:val="0"/>
          <w:marBottom w:val="0"/>
          <w:divBdr>
            <w:top w:val="none" w:sz="0" w:space="0" w:color="auto"/>
            <w:left w:val="none" w:sz="0" w:space="0" w:color="auto"/>
            <w:bottom w:val="none" w:sz="0" w:space="0" w:color="auto"/>
            <w:right w:val="none" w:sz="0" w:space="0" w:color="auto"/>
          </w:divBdr>
          <w:divsChild>
            <w:div w:id="182978155">
              <w:marLeft w:val="0"/>
              <w:marRight w:val="0"/>
              <w:marTop w:val="0"/>
              <w:marBottom w:val="0"/>
              <w:divBdr>
                <w:top w:val="none" w:sz="0" w:space="0" w:color="auto"/>
                <w:left w:val="none" w:sz="0" w:space="0" w:color="auto"/>
                <w:bottom w:val="none" w:sz="0" w:space="0" w:color="auto"/>
                <w:right w:val="none" w:sz="0" w:space="0" w:color="auto"/>
              </w:divBdr>
            </w:div>
          </w:divsChild>
        </w:div>
        <w:div w:id="1094938333">
          <w:marLeft w:val="0"/>
          <w:marRight w:val="0"/>
          <w:marTop w:val="0"/>
          <w:marBottom w:val="0"/>
          <w:divBdr>
            <w:top w:val="none" w:sz="0" w:space="0" w:color="auto"/>
            <w:left w:val="none" w:sz="0" w:space="0" w:color="auto"/>
            <w:bottom w:val="none" w:sz="0" w:space="0" w:color="auto"/>
            <w:right w:val="none" w:sz="0" w:space="0" w:color="auto"/>
          </w:divBdr>
          <w:divsChild>
            <w:div w:id="765925159">
              <w:marLeft w:val="0"/>
              <w:marRight w:val="0"/>
              <w:marTop w:val="0"/>
              <w:marBottom w:val="0"/>
              <w:divBdr>
                <w:top w:val="none" w:sz="0" w:space="0" w:color="auto"/>
                <w:left w:val="none" w:sz="0" w:space="0" w:color="auto"/>
                <w:bottom w:val="none" w:sz="0" w:space="0" w:color="auto"/>
                <w:right w:val="none" w:sz="0" w:space="0" w:color="auto"/>
              </w:divBdr>
            </w:div>
            <w:div w:id="1251541717">
              <w:marLeft w:val="0"/>
              <w:marRight w:val="0"/>
              <w:marTop w:val="0"/>
              <w:marBottom w:val="0"/>
              <w:divBdr>
                <w:top w:val="none" w:sz="0" w:space="0" w:color="auto"/>
                <w:left w:val="none" w:sz="0" w:space="0" w:color="auto"/>
                <w:bottom w:val="none" w:sz="0" w:space="0" w:color="auto"/>
                <w:right w:val="none" w:sz="0" w:space="0" w:color="auto"/>
              </w:divBdr>
            </w:div>
          </w:divsChild>
        </w:div>
        <w:div w:id="1161388873">
          <w:marLeft w:val="0"/>
          <w:marRight w:val="0"/>
          <w:marTop w:val="0"/>
          <w:marBottom w:val="0"/>
          <w:divBdr>
            <w:top w:val="none" w:sz="0" w:space="0" w:color="auto"/>
            <w:left w:val="none" w:sz="0" w:space="0" w:color="auto"/>
            <w:bottom w:val="none" w:sz="0" w:space="0" w:color="auto"/>
            <w:right w:val="none" w:sz="0" w:space="0" w:color="auto"/>
          </w:divBdr>
          <w:divsChild>
            <w:div w:id="1355618608">
              <w:marLeft w:val="0"/>
              <w:marRight w:val="0"/>
              <w:marTop w:val="0"/>
              <w:marBottom w:val="0"/>
              <w:divBdr>
                <w:top w:val="none" w:sz="0" w:space="0" w:color="auto"/>
                <w:left w:val="none" w:sz="0" w:space="0" w:color="auto"/>
                <w:bottom w:val="none" w:sz="0" w:space="0" w:color="auto"/>
                <w:right w:val="none" w:sz="0" w:space="0" w:color="auto"/>
              </w:divBdr>
            </w:div>
          </w:divsChild>
        </w:div>
        <w:div w:id="1177500109">
          <w:marLeft w:val="0"/>
          <w:marRight w:val="0"/>
          <w:marTop w:val="0"/>
          <w:marBottom w:val="0"/>
          <w:divBdr>
            <w:top w:val="none" w:sz="0" w:space="0" w:color="auto"/>
            <w:left w:val="none" w:sz="0" w:space="0" w:color="auto"/>
            <w:bottom w:val="none" w:sz="0" w:space="0" w:color="auto"/>
            <w:right w:val="none" w:sz="0" w:space="0" w:color="auto"/>
          </w:divBdr>
          <w:divsChild>
            <w:div w:id="63454681">
              <w:marLeft w:val="0"/>
              <w:marRight w:val="0"/>
              <w:marTop w:val="0"/>
              <w:marBottom w:val="0"/>
              <w:divBdr>
                <w:top w:val="none" w:sz="0" w:space="0" w:color="auto"/>
                <w:left w:val="none" w:sz="0" w:space="0" w:color="auto"/>
                <w:bottom w:val="none" w:sz="0" w:space="0" w:color="auto"/>
                <w:right w:val="none" w:sz="0" w:space="0" w:color="auto"/>
              </w:divBdr>
            </w:div>
          </w:divsChild>
        </w:div>
        <w:div w:id="1236477129">
          <w:marLeft w:val="0"/>
          <w:marRight w:val="0"/>
          <w:marTop w:val="0"/>
          <w:marBottom w:val="0"/>
          <w:divBdr>
            <w:top w:val="none" w:sz="0" w:space="0" w:color="auto"/>
            <w:left w:val="none" w:sz="0" w:space="0" w:color="auto"/>
            <w:bottom w:val="none" w:sz="0" w:space="0" w:color="auto"/>
            <w:right w:val="none" w:sz="0" w:space="0" w:color="auto"/>
          </w:divBdr>
          <w:divsChild>
            <w:div w:id="757555235">
              <w:marLeft w:val="0"/>
              <w:marRight w:val="0"/>
              <w:marTop w:val="0"/>
              <w:marBottom w:val="0"/>
              <w:divBdr>
                <w:top w:val="none" w:sz="0" w:space="0" w:color="auto"/>
                <w:left w:val="none" w:sz="0" w:space="0" w:color="auto"/>
                <w:bottom w:val="none" w:sz="0" w:space="0" w:color="auto"/>
                <w:right w:val="none" w:sz="0" w:space="0" w:color="auto"/>
              </w:divBdr>
            </w:div>
          </w:divsChild>
        </w:div>
        <w:div w:id="1256674032">
          <w:marLeft w:val="0"/>
          <w:marRight w:val="0"/>
          <w:marTop w:val="0"/>
          <w:marBottom w:val="0"/>
          <w:divBdr>
            <w:top w:val="none" w:sz="0" w:space="0" w:color="auto"/>
            <w:left w:val="none" w:sz="0" w:space="0" w:color="auto"/>
            <w:bottom w:val="none" w:sz="0" w:space="0" w:color="auto"/>
            <w:right w:val="none" w:sz="0" w:space="0" w:color="auto"/>
          </w:divBdr>
          <w:divsChild>
            <w:div w:id="1957254108">
              <w:marLeft w:val="0"/>
              <w:marRight w:val="0"/>
              <w:marTop w:val="0"/>
              <w:marBottom w:val="0"/>
              <w:divBdr>
                <w:top w:val="none" w:sz="0" w:space="0" w:color="auto"/>
                <w:left w:val="none" w:sz="0" w:space="0" w:color="auto"/>
                <w:bottom w:val="none" w:sz="0" w:space="0" w:color="auto"/>
                <w:right w:val="none" w:sz="0" w:space="0" w:color="auto"/>
              </w:divBdr>
            </w:div>
            <w:div w:id="2013485876">
              <w:marLeft w:val="0"/>
              <w:marRight w:val="0"/>
              <w:marTop w:val="0"/>
              <w:marBottom w:val="0"/>
              <w:divBdr>
                <w:top w:val="none" w:sz="0" w:space="0" w:color="auto"/>
                <w:left w:val="none" w:sz="0" w:space="0" w:color="auto"/>
                <w:bottom w:val="none" w:sz="0" w:space="0" w:color="auto"/>
                <w:right w:val="none" w:sz="0" w:space="0" w:color="auto"/>
              </w:divBdr>
            </w:div>
          </w:divsChild>
        </w:div>
        <w:div w:id="1329140656">
          <w:marLeft w:val="0"/>
          <w:marRight w:val="0"/>
          <w:marTop w:val="0"/>
          <w:marBottom w:val="0"/>
          <w:divBdr>
            <w:top w:val="none" w:sz="0" w:space="0" w:color="auto"/>
            <w:left w:val="none" w:sz="0" w:space="0" w:color="auto"/>
            <w:bottom w:val="none" w:sz="0" w:space="0" w:color="auto"/>
            <w:right w:val="none" w:sz="0" w:space="0" w:color="auto"/>
          </w:divBdr>
          <w:divsChild>
            <w:div w:id="355733077">
              <w:marLeft w:val="0"/>
              <w:marRight w:val="0"/>
              <w:marTop w:val="0"/>
              <w:marBottom w:val="0"/>
              <w:divBdr>
                <w:top w:val="none" w:sz="0" w:space="0" w:color="auto"/>
                <w:left w:val="none" w:sz="0" w:space="0" w:color="auto"/>
                <w:bottom w:val="none" w:sz="0" w:space="0" w:color="auto"/>
                <w:right w:val="none" w:sz="0" w:space="0" w:color="auto"/>
              </w:divBdr>
            </w:div>
          </w:divsChild>
        </w:div>
        <w:div w:id="1344895302">
          <w:marLeft w:val="0"/>
          <w:marRight w:val="0"/>
          <w:marTop w:val="0"/>
          <w:marBottom w:val="0"/>
          <w:divBdr>
            <w:top w:val="none" w:sz="0" w:space="0" w:color="auto"/>
            <w:left w:val="none" w:sz="0" w:space="0" w:color="auto"/>
            <w:bottom w:val="none" w:sz="0" w:space="0" w:color="auto"/>
            <w:right w:val="none" w:sz="0" w:space="0" w:color="auto"/>
          </w:divBdr>
          <w:divsChild>
            <w:div w:id="1953585110">
              <w:marLeft w:val="0"/>
              <w:marRight w:val="0"/>
              <w:marTop w:val="0"/>
              <w:marBottom w:val="0"/>
              <w:divBdr>
                <w:top w:val="none" w:sz="0" w:space="0" w:color="auto"/>
                <w:left w:val="none" w:sz="0" w:space="0" w:color="auto"/>
                <w:bottom w:val="none" w:sz="0" w:space="0" w:color="auto"/>
                <w:right w:val="none" w:sz="0" w:space="0" w:color="auto"/>
              </w:divBdr>
            </w:div>
          </w:divsChild>
        </w:div>
        <w:div w:id="1372610825">
          <w:marLeft w:val="0"/>
          <w:marRight w:val="0"/>
          <w:marTop w:val="0"/>
          <w:marBottom w:val="0"/>
          <w:divBdr>
            <w:top w:val="none" w:sz="0" w:space="0" w:color="auto"/>
            <w:left w:val="none" w:sz="0" w:space="0" w:color="auto"/>
            <w:bottom w:val="none" w:sz="0" w:space="0" w:color="auto"/>
            <w:right w:val="none" w:sz="0" w:space="0" w:color="auto"/>
          </w:divBdr>
          <w:divsChild>
            <w:div w:id="697464202">
              <w:marLeft w:val="0"/>
              <w:marRight w:val="0"/>
              <w:marTop w:val="0"/>
              <w:marBottom w:val="0"/>
              <w:divBdr>
                <w:top w:val="none" w:sz="0" w:space="0" w:color="auto"/>
                <w:left w:val="none" w:sz="0" w:space="0" w:color="auto"/>
                <w:bottom w:val="none" w:sz="0" w:space="0" w:color="auto"/>
                <w:right w:val="none" w:sz="0" w:space="0" w:color="auto"/>
              </w:divBdr>
            </w:div>
          </w:divsChild>
        </w:div>
        <w:div w:id="1677418409">
          <w:marLeft w:val="0"/>
          <w:marRight w:val="0"/>
          <w:marTop w:val="0"/>
          <w:marBottom w:val="0"/>
          <w:divBdr>
            <w:top w:val="none" w:sz="0" w:space="0" w:color="auto"/>
            <w:left w:val="none" w:sz="0" w:space="0" w:color="auto"/>
            <w:bottom w:val="none" w:sz="0" w:space="0" w:color="auto"/>
            <w:right w:val="none" w:sz="0" w:space="0" w:color="auto"/>
          </w:divBdr>
          <w:divsChild>
            <w:div w:id="1772701206">
              <w:marLeft w:val="0"/>
              <w:marRight w:val="0"/>
              <w:marTop w:val="0"/>
              <w:marBottom w:val="0"/>
              <w:divBdr>
                <w:top w:val="none" w:sz="0" w:space="0" w:color="auto"/>
                <w:left w:val="none" w:sz="0" w:space="0" w:color="auto"/>
                <w:bottom w:val="none" w:sz="0" w:space="0" w:color="auto"/>
                <w:right w:val="none" w:sz="0" w:space="0" w:color="auto"/>
              </w:divBdr>
            </w:div>
          </w:divsChild>
        </w:div>
        <w:div w:id="1783762767">
          <w:marLeft w:val="0"/>
          <w:marRight w:val="0"/>
          <w:marTop w:val="0"/>
          <w:marBottom w:val="0"/>
          <w:divBdr>
            <w:top w:val="none" w:sz="0" w:space="0" w:color="auto"/>
            <w:left w:val="none" w:sz="0" w:space="0" w:color="auto"/>
            <w:bottom w:val="none" w:sz="0" w:space="0" w:color="auto"/>
            <w:right w:val="none" w:sz="0" w:space="0" w:color="auto"/>
          </w:divBdr>
          <w:divsChild>
            <w:div w:id="129592507">
              <w:marLeft w:val="0"/>
              <w:marRight w:val="0"/>
              <w:marTop w:val="0"/>
              <w:marBottom w:val="0"/>
              <w:divBdr>
                <w:top w:val="none" w:sz="0" w:space="0" w:color="auto"/>
                <w:left w:val="none" w:sz="0" w:space="0" w:color="auto"/>
                <w:bottom w:val="none" w:sz="0" w:space="0" w:color="auto"/>
                <w:right w:val="none" w:sz="0" w:space="0" w:color="auto"/>
              </w:divBdr>
            </w:div>
          </w:divsChild>
        </w:div>
        <w:div w:id="1786189582">
          <w:marLeft w:val="0"/>
          <w:marRight w:val="0"/>
          <w:marTop w:val="0"/>
          <w:marBottom w:val="0"/>
          <w:divBdr>
            <w:top w:val="none" w:sz="0" w:space="0" w:color="auto"/>
            <w:left w:val="none" w:sz="0" w:space="0" w:color="auto"/>
            <w:bottom w:val="none" w:sz="0" w:space="0" w:color="auto"/>
            <w:right w:val="none" w:sz="0" w:space="0" w:color="auto"/>
          </w:divBdr>
          <w:divsChild>
            <w:div w:id="646015239">
              <w:marLeft w:val="0"/>
              <w:marRight w:val="0"/>
              <w:marTop w:val="0"/>
              <w:marBottom w:val="0"/>
              <w:divBdr>
                <w:top w:val="none" w:sz="0" w:space="0" w:color="auto"/>
                <w:left w:val="none" w:sz="0" w:space="0" w:color="auto"/>
                <w:bottom w:val="none" w:sz="0" w:space="0" w:color="auto"/>
                <w:right w:val="none" w:sz="0" w:space="0" w:color="auto"/>
              </w:divBdr>
            </w:div>
          </w:divsChild>
        </w:div>
        <w:div w:id="1840383007">
          <w:marLeft w:val="0"/>
          <w:marRight w:val="0"/>
          <w:marTop w:val="0"/>
          <w:marBottom w:val="0"/>
          <w:divBdr>
            <w:top w:val="none" w:sz="0" w:space="0" w:color="auto"/>
            <w:left w:val="none" w:sz="0" w:space="0" w:color="auto"/>
            <w:bottom w:val="none" w:sz="0" w:space="0" w:color="auto"/>
            <w:right w:val="none" w:sz="0" w:space="0" w:color="auto"/>
          </w:divBdr>
          <w:divsChild>
            <w:div w:id="203644674">
              <w:marLeft w:val="0"/>
              <w:marRight w:val="0"/>
              <w:marTop w:val="0"/>
              <w:marBottom w:val="0"/>
              <w:divBdr>
                <w:top w:val="none" w:sz="0" w:space="0" w:color="auto"/>
                <w:left w:val="none" w:sz="0" w:space="0" w:color="auto"/>
                <w:bottom w:val="none" w:sz="0" w:space="0" w:color="auto"/>
                <w:right w:val="none" w:sz="0" w:space="0" w:color="auto"/>
              </w:divBdr>
            </w:div>
            <w:div w:id="1356805941">
              <w:marLeft w:val="0"/>
              <w:marRight w:val="0"/>
              <w:marTop w:val="0"/>
              <w:marBottom w:val="0"/>
              <w:divBdr>
                <w:top w:val="none" w:sz="0" w:space="0" w:color="auto"/>
                <w:left w:val="none" w:sz="0" w:space="0" w:color="auto"/>
                <w:bottom w:val="none" w:sz="0" w:space="0" w:color="auto"/>
                <w:right w:val="none" w:sz="0" w:space="0" w:color="auto"/>
              </w:divBdr>
            </w:div>
          </w:divsChild>
        </w:div>
        <w:div w:id="1913349790">
          <w:marLeft w:val="0"/>
          <w:marRight w:val="0"/>
          <w:marTop w:val="0"/>
          <w:marBottom w:val="0"/>
          <w:divBdr>
            <w:top w:val="none" w:sz="0" w:space="0" w:color="auto"/>
            <w:left w:val="none" w:sz="0" w:space="0" w:color="auto"/>
            <w:bottom w:val="none" w:sz="0" w:space="0" w:color="auto"/>
            <w:right w:val="none" w:sz="0" w:space="0" w:color="auto"/>
          </w:divBdr>
          <w:divsChild>
            <w:div w:id="580994426">
              <w:marLeft w:val="0"/>
              <w:marRight w:val="0"/>
              <w:marTop w:val="0"/>
              <w:marBottom w:val="0"/>
              <w:divBdr>
                <w:top w:val="none" w:sz="0" w:space="0" w:color="auto"/>
                <w:left w:val="none" w:sz="0" w:space="0" w:color="auto"/>
                <w:bottom w:val="none" w:sz="0" w:space="0" w:color="auto"/>
                <w:right w:val="none" w:sz="0" w:space="0" w:color="auto"/>
              </w:divBdr>
            </w:div>
          </w:divsChild>
        </w:div>
        <w:div w:id="2063214097">
          <w:marLeft w:val="0"/>
          <w:marRight w:val="0"/>
          <w:marTop w:val="0"/>
          <w:marBottom w:val="0"/>
          <w:divBdr>
            <w:top w:val="none" w:sz="0" w:space="0" w:color="auto"/>
            <w:left w:val="none" w:sz="0" w:space="0" w:color="auto"/>
            <w:bottom w:val="none" w:sz="0" w:space="0" w:color="auto"/>
            <w:right w:val="none" w:sz="0" w:space="0" w:color="auto"/>
          </w:divBdr>
          <w:divsChild>
            <w:div w:id="3884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49858">
      <w:bodyDiv w:val="1"/>
      <w:marLeft w:val="0"/>
      <w:marRight w:val="0"/>
      <w:marTop w:val="0"/>
      <w:marBottom w:val="0"/>
      <w:divBdr>
        <w:top w:val="none" w:sz="0" w:space="0" w:color="auto"/>
        <w:left w:val="none" w:sz="0" w:space="0" w:color="auto"/>
        <w:bottom w:val="none" w:sz="0" w:space="0" w:color="auto"/>
        <w:right w:val="none" w:sz="0" w:space="0" w:color="auto"/>
      </w:divBdr>
      <w:divsChild>
        <w:div w:id="285085371">
          <w:marLeft w:val="0"/>
          <w:marRight w:val="0"/>
          <w:marTop w:val="0"/>
          <w:marBottom w:val="0"/>
          <w:divBdr>
            <w:top w:val="none" w:sz="0" w:space="0" w:color="auto"/>
            <w:left w:val="none" w:sz="0" w:space="0" w:color="auto"/>
            <w:bottom w:val="none" w:sz="0" w:space="0" w:color="auto"/>
            <w:right w:val="none" w:sz="0" w:space="0" w:color="auto"/>
          </w:divBdr>
          <w:divsChild>
            <w:div w:id="129829770">
              <w:marLeft w:val="0"/>
              <w:marRight w:val="0"/>
              <w:marTop w:val="0"/>
              <w:marBottom w:val="0"/>
              <w:divBdr>
                <w:top w:val="none" w:sz="0" w:space="0" w:color="auto"/>
                <w:left w:val="none" w:sz="0" w:space="0" w:color="auto"/>
                <w:bottom w:val="none" w:sz="0" w:space="0" w:color="auto"/>
                <w:right w:val="none" w:sz="0" w:space="0" w:color="auto"/>
              </w:divBdr>
            </w:div>
            <w:div w:id="272171378">
              <w:marLeft w:val="0"/>
              <w:marRight w:val="0"/>
              <w:marTop w:val="0"/>
              <w:marBottom w:val="0"/>
              <w:divBdr>
                <w:top w:val="none" w:sz="0" w:space="0" w:color="auto"/>
                <w:left w:val="none" w:sz="0" w:space="0" w:color="auto"/>
                <w:bottom w:val="none" w:sz="0" w:space="0" w:color="auto"/>
                <w:right w:val="none" w:sz="0" w:space="0" w:color="auto"/>
              </w:divBdr>
            </w:div>
            <w:div w:id="339891640">
              <w:marLeft w:val="0"/>
              <w:marRight w:val="0"/>
              <w:marTop w:val="0"/>
              <w:marBottom w:val="0"/>
              <w:divBdr>
                <w:top w:val="none" w:sz="0" w:space="0" w:color="auto"/>
                <w:left w:val="none" w:sz="0" w:space="0" w:color="auto"/>
                <w:bottom w:val="none" w:sz="0" w:space="0" w:color="auto"/>
                <w:right w:val="none" w:sz="0" w:space="0" w:color="auto"/>
              </w:divBdr>
            </w:div>
            <w:div w:id="790978191">
              <w:marLeft w:val="0"/>
              <w:marRight w:val="0"/>
              <w:marTop w:val="0"/>
              <w:marBottom w:val="0"/>
              <w:divBdr>
                <w:top w:val="none" w:sz="0" w:space="0" w:color="auto"/>
                <w:left w:val="none" w:sz="0" w:space="0" w:color="auto"/>
                <w:bottom w:val="none" w:sz="0" w:space="0" w:color="auto"/>
                <w:right w:val="none" w:sz="0" w:space="0" w:color="auto"/>
              </w:divBdr>
            </w:div>
            <w:div w:id="1041394406">
              <w:marLeft w:val="0"/>
              <w:marRight w:val="0"/>
              <w:marTop w:val="0"/>
              <w:marBottom w:val="0"/>
              <w:divBdr>
                <w:top w:val="none" w:sz="0" w:space="0" w:color="auto"/>
                <w:left w:val="none" w:sz="0" w:space="0" w:color="auto"/>
                <w:bottom w:val="none" w:sz="0" w:space="0" w:color="auto"/>
                <w:right w:val="none" w:sz="0" w:space="0" w:color="auto"/>
              </w:divBdr>
            </w:div>
            <w:div w:id="1112482579">
              <w:marLeft w:val="0"/>
              <w:marRight w:val="0"/>
              <w:marTop w:val="0"/>
              <w:marBottom w:val="0"/>
              <w:divBdr>
                <w:top w:val="none" w:sz="0" w:space="0" w:color="auto"/>
                <w:left w:val="none" w:sz="0" w:space="0" w:color="auto"/>
                <w:bottom w:val="none" w:sz="0" w:space="0" w:color="auto"/>
                <w:right w:val="none" w:sz="0" w:space="0" w:color="auto"/>
              </w:divBdr>
            </w:div>
            <w:div w:id="1152480610">
              <w:marLeft w:val="0"/>
              <w:marRight w:val="0"/>
              <w:marTop w:val="0"/>
              <w:marBottom w:val="0"/>
              <w:divBdr>
                <w:top w:val="none" w:sz="0" w:space="0" w:color="auto"/>
                <w:left w:val="none" w:sz="0" w:space="0" w:color="auto"/>
                <w:bottom w:val="none" w:sz="0" w:space="0" w:color="auto"/>
                <w:right w:val="none" w:sz="0" w:space="0" w:color="auto"/>
              </w:divBdr>
            </w:div>
            <w:div w:id="1174882464">
              <w:marLeft w:val="0"/>
              <w:marRight w:val="0"/>
              <w:marTop w:val="0"/>
              <w:marBottom w:val="0"/>
              <w:divBdr>
                <w:top w:val="none" w:sz="0" w:space="0" w:color="auto"/>
                <w:left w:val="none" w:sz="0" w:space="0" w:color="auto"/>
                <w:bottom w:val="none" w:sz="0" w:space="0" w:color="auto"/>
                <w:right w:val="none" w:sz="0" w:space="0" w:color="auto"/>
              </w:divBdr>
            </w:div>
            <w:div w:id="1216236897">
              <w:marLeft w:val="0"/>
              <w:marRight w:val="0"/>
              <w:marTop w:val="0"/>
              <w:marBottom w:val="0"/>
              <w:divBdr>
                <w:top w:val="none" w:sz="0" w:space="0" w:color="auto"/>
                <w:left w:val="none" w:sz="0" w:space="0" w:color="auto"/>
                <w:bottom w:val="none" w:sz="0" w:space="0" w:color="auto"/>
                <w:right w:val="none" w:sz="0" w:space="0" w:color="auto"/>
              </w:divBdr>
            </w:div>
            <w:div w:id="1282952813">
              <w:marLeft w:val="0"/>
              <w:marRight w:val="0"/>
              <w:marTop w:val="0"/>
              <w:marBottom w:val="0"/>
              <w:divBdr>
                <w:top w:val="none" w:sz="0" w:space="0" w:color="auto"/>
                <w:left w:val="none" w:sz="0" w:space="0" w:color="auto"/>
                <w:bottom w:val="none" w:sz="0" w:space="0" w:color="auto"/>
                <w:right w:val="none" w:sz="0" w:space="0" w:color="auto"/>
              </w:divBdr>
            </w:div>
            <w:div w:id="1874922225">
              <w:marLeft w:val="0"/>
              <w:marRight w:val="0"/>
              <w:marTop w:val="0"/>
              <w:marBottom w:val="0"/>
              <w:divBdr>
                <w:top w:val="none" w:sz="0" w:space="0" w:color="auto"/>
                <w:left w:val="none" w:sz="0" w:space="0" w:color="auto"/>
                <w:bottom w:val="none" w:sz="0" w:space="0" w:color="auto"/>
                <w:right w:val="none" w:sz="0" w:space="0" w:color="auto"/>
              </w:divBdr>
            </w:div>
            <w:div w:id="1932471100">
              <w:marLeft w:val="0"/>
              <w:marRight w:val="0"/>
              <w:marTop w:val="0"/>
              <w:marBottom w:val="0"/>
              <w:divBdr>
                <w:top w:val="none" w:sz="0" w:space="0" w:color="auto"/>
                <w:left w:val="none" w:sz="0" w:space="0" w:color="auto"/>
                <w:bottom w:val="none" w:sz="0" w:space="0" w:color="auto"/>
                <w:right w:val="none" w:sz="0" w:space="0" w:color="auto"/>
              </w:divBdr>
            </w:div>
            <w:div w:id="1952852940">
              <w:marLeft w:val="0"/>
              <w:marRight w:val="0"/>
              <w:marTop w:val="0"/>
              <w:marBottom w:val="0"/>
              <w:divBdr>
                <w:top w:val="none" w:sz="0" w:space="0" w:color="auto"/>
                <w:left w:val="none" w:sz="0" w:space="0" w:color="auto"/>
                <w:bottom w:val="none" w:sz="0" w:space="0" w:color="auto"/>
                <w:right w:val="none" w:sz="0" w:space="0" w:color="auto"/>
              </w:divBdr>
            </w:div>
            <w:div w:id="2108429180">
              <w:marLeft w:val="0"/>
              <w:marRight w:val="0"/>
              <w:marTop w:val="0"/>
              <w:marBottom w:val="0"/>
              <w:divBdr>
                <w:top w:val="none" w:sz="0" w:space="0" w:color="auto"/>
                <w:left w:val="none" w:sz="0" w:space="0" w:color="auto"/>
                <w:bottom w:val="none" w:sz="0" w:space="0" w:color="auto"/>
                <w:right w:val="none" w:sz="0" w:space="0" w:color="auto"/>
              </w:divBdr>
            </w:div>
            <w:div w:id="2127848081">
              <w:marLeft w:val="0"/>
              <w:marRight w:val="0"/>
              <w:marTop w:val="0"/>
              <w:marBottom w:val="0"/>
              <w:divBdr>
                <w:top w:val="none" w:sz="0" w:space="0" w:color="auto"/>
                <w:left w:val="none" w:sz="0" w:space="0" w:color="auto"/>
                <w:bottom w:val="none" w:sz="0" w:space="0" w:color="auto"/>
                <w:right w:val="none" w:sz="0" w:space="0" w:color="auto"/>
              </w:divBdr>
            </w:div>
          </w:divsChild>
        </w:div>
        <w:div w:id="496650432">
          <w:marLeft w:val="0"/>
          <w:marRight w:val="0"/>
          <w:marTop w:val="0"/>
          <w:marBottom w:val="0"/>
          <w:divBdr>
            <w:top w:val="none" w:sz="0" w:space="0" w:color="auto"/>
            <w:left w:val="none" w:sz="0" w:space="0" w:color="auto"/>
            <w:bottom w:val="none" w:sz="0" w:space="0" w:color="auto"/>
            <w:right w:val="none" w:sz="0" w:space="0" w:color="auto"/>
          </w:divBdr>
          <w:divsChild>
            <w:div w:id="13502729">
              <w:marLeft w:val="0"/>
              <w:marRight w:val="0"/>
              <w:marTop w:val="0"/>
              <w:marBottom w:val="0"/>
              <w:divBdr>
                <w:top w:val="none" w:sz="0" w:space="0" w:color="auto"/>
                <w:left w:val="none" w:sz="0" w:space="0" w:color="auto"/>
                <w:bottom w:val="none" w:sz="0" w:space="0" w:color="auto"/>
                <w:right w:val="none" w:sz="0" w:space="0" w:color="auto"/>
              </w:divBdr>
            </w:div>
            <w:div w:id="104466388">
              <w:marLeft w:val="0"/>
              <w:marRight w:val="0"/>
              <w:marTop w:val="0"/>
              <w:marBottom w:val="0"/>
              <w:divBdr>
                <w:top w:val="none" w:sz="0" w:space="0" w:color="auto"/>
                <w:left w:val="none" w:sz="0" w:space="0" w:color="auto"/>
                <w:bottom w:val="none" w:sz="0" w:space="0" w:color="auto"/>
                <w:right w:val="none" w:sz="0" w:space="0" w:color="auto"/>
              </w:divBdr>
            </w:div>
            <w:div w:id="143358630">
              <w:marLeft w:val="0"/>
              <w:marRight w:val="0"/>
              <w:marTop w:val="0"/>
              <w:marBottom w:val="0"/>
              <w:divBdr>
                <w:top w:val="none" w:sz="0" w:space="0" w:color="auto"/>
                <w:left w:val="none" w:sz="0" w:space="0" w:color="auto"/>
                <w:bottom w:val="none" w:sz="0" w:space="0" w:color="auto"/>
                <w:right w:val="none" w:sz="0" w:space="0" w:color="auto"/>
              </w:divBdr>
            </w:div>
            <w:div w:id="433593226">
              <w:marLeft w:val="0"/>
              <w:marRight w:val="0"/>
              <w:marTop w:val="0"/>
              <w:marBottom w:val="0"/>
              <w:divBdr>
                <w:top w:val="none" w:sz="0" w:space="0" w:color="auto"/>
                <w:left w:val="none" w:sz="0" w:space="0" w:color="auto"/>
                <w:bottom w:val="none" w:sz="0" w:space="0" w:color="auto"/>
                <w:right w:val="none" w:sz="0" w:space="0" w:color="auto"/>
              </w:divBdr>
            </w:div>
            <w:div w:id="477184291">
              <w:marLeft w:val="0"/>
              <w:marRight w:val="0"/>
              <w:marTop w:val="0"/>
              <w:marBottom w:val="0"/>
              <w:divBdr>
                <w:top w:val="none" w:sz="0" w:space="0" w:color="auto"/>
                <w:left w:val="none" w:sz="0" w:space="0" w:color="auto"/>
                <w:bottom w:val="none" w:sz="0" w:space="0" w:color="auto"/>
                <w:right w:val="none" w:sz="0" w:space="0" w:color="auto"/>
              </w:divBdr>
            </w:div>
            <w:div w:id="510148588">
              <w:marLeft w:val="0"/>
              <w:marRight w:val="0"/>
              <w:marTop w:val="0"/>
              <w:marBottom w:val="0"/>
              <w:divBdr>
                <w:top w:val="none" w:sz="0" w:space="0" w:color="auto"/>
                <w:left w:val="none" w:sz="0" w:space="0" w:color="auto"/>
                <w:bottom w:val="none" w:sz="0" w:space="0" w:color="auto"/>
                <w:right w:val="none" w:sz="0" w:space="0" w:color="auto"/>
              </w:divBdr>
            </w:div>
            <w:div w:id="750390545">
              <w:marLeft w:val="0"/>
              <w:marRight w:val="0"/>
              <w:marTop w:val="0"/>
              <w:marBottom w:val="0"/>
              <w:divBdr>
                <w:top w:val="none" w:sz="0" w:space="0" w:color="auto"/>
                <w:left w:val="none" w:sz="0" w:space="0" w:color="auto"/>
                <w:bottom w:val="none" w:sz="0" w:space="0" w:color="auto"/>
                <w:right w:val="none" w:sz="0" w:space="0" w:color="auto"/>
              </w:divBdr>
            </w:div>
            <w:div w:id="918445095">
              <w:marLeft w:val="0"/>
              <w:marRight w:val="0"/>
              <w:marTop w:val="0"/>
              <w:marBottom w:val="0"/>
              <w:divBdr>
                <w:top w:val="none" w:sz="0" w:space="0" w:color="auto"/>
                <w:left w:val="none" w:sz="0" w:space="0" w:color="auto"/>
                <w:bottom w:val="none" w:sz="0" w:space="0" w:color="auto"/>
                <w:right w:val="none" w:sz="0" w:space="0" w:color="auto"/>
              </w:divBdr>
            </w:div>
            <w:div w:id="989362933">
              <w:marLeft w:val="0"/>
              <w:marRight w:val="0"/>
              <w:marTop w:val="0"/>
              <w:marBottom w:val="0"/>
              <w:divBdr>
                <w:top w:val="none" w:sz="0" w:space="0" w:color="auto"/>
                <w:left w:val="none" w:sz="0" w:space="0" w:color="auto"/>
                <w:bottom w:val="none" w:sz="0" w:space="0" w:color="auto"/>
                <w:right w:val="none" w:sz="0" w:space="0" w:color="auto"/>
              </w:divBdr>
            </w:div>
            <w:div w:id="1120297703">
              <w:marLeft w:val="0"/>
              <w:marRight w:val="0"/>
              <w:marTop w:val="0"/>
              <w:marBottom w:val="0"/>
              <w:divBdr>
                <w:top w:val="none" w:sz="0" w:space="0" w:color="auto"/>
                <w:left w:val="none" w:sz="0" w:space="0" w:color="auto"/>
                <w:bottom w:val="none" w:sz="0" w:space="0" w:color="auto"/>
                <w:right w:val="none" w:sz="0" w:space="0" w:color="auto"/>
              </w:divBdr>
            </w:div>
            <w:div w:id="1250232555">
              <w:marLeft w:val="0"/>
              <w:marRight w:val="0"/>
              <w:marTop w:val="0"/>
              <w:marBottom w:val="0"/>
              <w:divBdr>
                <w:top w:val="none" w:sz="0" w:space="0" w:color="auto"/>
                <w:left w:val="none" w:sz="0" w:space="0" w:color="auto"/>
                <w:bottom w:val="none" w:sz="0" w:space="0" w:color="auto"/>
                <w:right w:val="none" w:sz="0" w:space="0" w:color="auto"/>
              </w:divBdr>
            </w:div>
            <w:div w:id="1273173621">
              <w:marLeft w:val="0"/>
              <w:marRight w:val="0"/>
              <w:marTop w:val="0"/>
              <w:marBottom w:val="0"/>
              <w:divBdr>
                <w:top w:val="none" w:sz="0" w:space="0" w:color="auto"/>
                <w:left w:val="none" w:sz="0" w:space="0" w:color="auto"/>
                <w:bottom w:val="none" w:sz="0" w:space="0" w:color="auto"/>
                <w:right w:val="none" w:sz="0" w:space="0" w:color="auto"/>
              </w:divBdr>
            </w:div>
            <w:div w:id="1324701707">
              <w:marLeft w:val="0"/>
              <w:marRight w:val="0"/>
              <w:marTop w:val="0"/>
              <w:marBottom w:val="0"/>
              <w:divBdr>
                <w:top w:val="none" w:sz="0" w:space="0" w:color="auto"/>
                <w:left w:val="none" w:sz="0" w:space="0" w:color="auto"/>
                <w:bottom w:val="none" w:sz="0" w:space="0" w:color="auto"/>
                <w:right w:val="none" w:sz="0" w:space="0" w:color="auto"/>
              </w:divBdr>
            </w:div>
            <w:div w:id="1619264079">
              <w:marLeft w:val="0"/>
              <w:marRight w:val="0"/>
              <w:marTop w:val="0"/>
              <w:marBottom w:val="0"/>
              <w:divBdr>
                <w:top w:val="none" w:sz="0" w:space="0" w:color="auto"/>
                <w:left w:val="none" w:sz="0" w:space="0" w:color="auto"/>
                <w:bottom w:val="none" w:sz="0" w:space="0" w:color="auto"/>
                <w:right w:val="none" w:sz="0" w:space="0" w:color="auto"/>
              </w:divBdr>
            </w:div>
            <w:div w:id="1718433358">
              <w:marLeft w:val="0"/>
              <w:marRight w:val="0"/>
              <w:marTop w:val="0"/>
              <w:marBottom w:val="0"/>
              <w:divBdr>
                <w:top w:val="none" w:sz="0" w:space="0" w:color="auto"/>
                <w:left w:val="none" w:sz="0" w:space="0" w:color="auto"/>
                <w:bottom w:val="none" w:sz="0" w:space="0" w:color="auto"/>
                <w:right w:val="none" w:sz="0" w:space="0" w:color="auto"/>
              </w:divBdr>
            </w:div>
            <w:div w:id="1720742636">
              <w:marLeft w:val="0"/>
              <w:marRight w:val="0"/>
              <w:marTop w:val="0"/>
              <w:marBottom w:val="0"/>
              <w:divBdr>
                <w:top w:val="none" w:sz="0" w:space="0" w:color="auto"/>
                <w:left w:val="none" w:sz="0" w:space="0" w:color="auto"/>
                <w:bottom w:val="none" w:sz="0" w:space="0" w:color="auto"/>
                <w:right w:val="none" w:sz="0" w:space="0" w:color="auto"/>
              </w:divBdr>
            </w:div>
            <w:div w:id="1745100253">
              <w:marLeft w:val="0"/>
              <w:marRight w:val="0"/>
              <w:marTop w:val="0"/>
              <w:marBottom w:val="0"/>
              <w:divBdr>
                <w:top w:val="none" w:sz="0" w:space="0" w:color="auto"/>
                <w:left w:val="none" w:sz="0" w:space="0" w:color="auto"/>
                <w:bottom w:val="none" w:sz="0" w:space="0" w:color="auto"/>
                <w:right w:val="none" w:sz="0" w:space="0" w:color="auto"/>
              </w:divBdr>
            </w:div>
            <w:div w:id="1876191860">
              <w:marLeft w:val="0"/>
              <w:marRight w:val="0"/>
              <w:marTop w:val="0"/>
              <w:marBottom w:val="0"/>
              <w:divBdr>
                <w:top w:val="none" w:sz="0" w:space="0" w:color="auto"/>
                <w:left w:val="none" w:sz="0" w:space="0" w:color="auto"/>
                <w:bottom w:val="none" w:sz="0" w:space="0" w:color="auto"/>
                <w:right w:val="none" w:sz="0" w:space="0" w:color="auto"/>
              </w:divBdr>
            </w:div>
            <w:div w:id="1902206358">
              <w:marLeft w:val="0"/>
              <w:marRight w:val="0"/>
              <w:marTop w:val="0"/>
              <w:marBottom w:val="0"/>
              <w:divBdr>
                <w:top w:val="none" w:sz="0" w:space="0" w:color="auto"/>
                <w:left w:val="none" w:sz="0" w:space="0" w:color="auto"/>
                <w:bottom w:val="none" w:sz="0" w:space="0" w:color="auto"/>
                <w:right w:val="none" w:sz="0" w:space="0" w:color="auto"/>
              </w:divBdr>
            </w:div>
            <w:div w:id="1981570181">
              <w:marLeft w:val="0"/>
              <w:marRight w:val="0"/>
              <w:marTop w:val="0"/>
              <w:marBottom w:val="0"/>
              <w:divBdr>
                <w:top w:val="none" w:sz="0" w:space="0" w:color="auto"/>
                <w:left w:val="none" w:sz="0" w:space="0" w:color="auto"/>
                <w:bottom w:val="none" w:sz="0" w:space="0" w:color="auto"/>
                <w:right w:val="none" w:sz="0" w:space="0" w:color="auto"/>
              </w:divBdr>
            </w:div>
          </w:divsChild>
        </w:div>
        <w:div w:id="716391248">
          <w:marLeft w:val="0"/>
          <w:marRight w:val="0"/>
          <w:marTop w:val="0"/>
          <w:marBottom w:val="0"/>
          <w:divBdr>
            <w:top w:val="none" w:sz="0" w:space="0" w:color="auto"/>
            <w:left w:val="none" w:sz="0" w:space="0" w:color="auto"/>
            <w:bottom w:val="none" w:sz="0" w:space="0" w:color="auto"/>
            <w:right w:val="none" w:sz="0" w:space="0" w:color="auto"/>
          </w:divBdr>
          <w:divsChild>
            <w:div w:id="675378969">
              <w:marLeft w:val="-75"/>
              <w:marRight w:val="0"/>
              <w:marTop w:val="30"/>
              <w:marBottom w:val="30"/>
              <w:divBdr>
                <w:top w:val="none" w:sz="0" w:space="0" w:color="auto"/>
                <w:left w:val="none" w:sz="0" w:space="0" w:color="auto"/>
                <w:bottom w:val="none" w:sz="0" w:space="0" w:color="auto"/>
                <w:right w:val="none" w:sz="0" w:space="0" w:color="auto"/>
              </w:divBdr>
              <w:divsChild>
                <w:div w:id="3360262">
                  <w:marLeft w:val="0"/>
                  <w:marRight w:val="0"/>
                  <w:marTop w:val="0"/>
                  <w:marBottom w:val="0"/>
                  <w:divBdr>
                    <w:top w:val="none" w:sz="0" w:space="0" w:color="auto"/>
                    <w:left w:val="none" w:sz="0" w:space="0" w:color="auto"/>
                    <w:bottom w:val="none" w:sz="0" w:space="0" w:color="auto"/>
                    <w:right w:val="none" w:sz="0" w:space="0" w:color="auto"/>
                  </w:divBdr>
                  <w:divsChild>
                    <w:div w:id="693310629">
                      <w:marLeft w:val="0"/>
                      <w:marRight w:val="0"/>
                      <w:marTop w:val="0"/>
                      <w:marBottom w:val="0"/>
                      <w:divBdr>
                        <w:top w:val="none" w:sz="0" w:space="0" w:color="auto"/>
                        <w:left w:val="none" w:sz="0" w:space="0" w:color="auto"/>
                        <w:bottom w:val="none" w:sz="0" w:space="0" w:color="auto"/>
                        <w:right w:val="none" w:sz="0" w:space="0" w:color="auto"/>
                      </w:divBdr>
                    </w:div>
                  </w:divsChild>
                </w:div>
                <w:div w:id="33580780">
                  <w:marLeft w:val="0"/>
                  <w:marRight w:val="0"/>
                  <w:marTop w:val="0"/>
                  <w:marBottom w:val="0"/>
                  <w:divBdr>
                    <w:top w:val="none" w:sz="0" w:space="0" w:color="auto"/>
                    <w:left w:val="none" w:sz="0" w:space="0" w:color="auto"/>
                    <w:bottom w:val="none" w:sz="0" w:space="0" w:color="auto"/>
                    <w:right w:val="none" w:sz="0" w:space="0" w:color="auto"/>
                  </w:divBdr>
                  <w:divsChild>
                    <w:div w:id="1786465168">
                      <w:marLeft w:val="0"/>
                      <w:marRight w:val="0"/>
                      <w:marTop w:val="0"/>
                      <w:marBottom w:val="0"/>
                      <w:divBdr>
                        <w:top w:val="none" w:sz="0" w:space="0" w:color="auto"/>
                        <w:left w:val="none" w:sz="0" w:space="0" w:color="auto"/>
                        <w:bottom w:val="none" w:sz="0" w:space="0" w:color="auto"/>
                        <w:right w:val="none" w:sz="0" w:space="0" w:color="auto"/>
                      </w:divBdr>
                    </w:div>
                  </w:divsChild>
                </w:div>
                <w:div w:id="39983757">
                  <w:marLeft w:val="0"/>
                  <w:marRight w:val="0"/>
                  <w:marTop w:val="0"/>
                  <w:marBottom w:val="0"/>
                  <w:divBdr>
                    <w:top w:val="none" w:sz="0" w:space="0" w:color="auto"/>
                    <w:left w:val="none" w:sz="0" w:space="0" w:color="auto"/>
                    <w:bottom w:val="none" w:sz="0" w:space="0" w:color="auto"/>
                    <w:right w:val="none" w:sz="0" w:space="0" w:color="auto"/>
                  </w:divBdr>
                  <w:divsChild>
                    <w:div w:id="2079089978">
                      <w:marLeft w:val="0"/>
                      <w:marRight w:val="0"/>
                      <w:marTop w:val="0"/>
                      <w:marBottom w:val="0"/>
                      <w:divBdr>
                        <w:top w:val="none" w:sz="0" w:space="0" w:color="auto"/>
                        <w:left w:val="none" w:sz="0" w:space="0" w:color="auto"/>
                        <w:bottom w:val="none" w:sz="0" w:space="0" w:color="auto"/>
                        <w:right w:val="none" w:sz="0" w:space="0" w:color="auto"/>
                      </w:divBdr>
                    </w:div>
                  </w:divsChild>
                </w:div>
                <w:div w:id="98069582">
                  <w:marLeft w:val="0"/>
                  <w:marRight w:val="0"/>
                  <w:marTop w:val="0"/>
                  <w:marBottom w:val="0"/>
                  <w:divBdr>
                    <w:top w:val="none" w:sz="0" w:space="0" w:color="auto"/>
                    <w:left w:val="none" w:sz="0" w:space="0" w:color="auto"/>
                    <w:bottom w:val="none" w:sz="0" w:space="0" w:color="auto"/>
                    <w:right w:val="none" w:sz="0" w:space="0" w:color="auto"/>
                  </w:divBdr>
                  <w:divsChild>
                    <w:div w:id="783234732">
                      <w:marLeft w:val="0"/>
                      <w:marRight w:val="0"/>
                      <w:marTop w:val="0"/>
                      <w:marBottom w:val="0"/>
                      <w:divBdr>
                        <w:top w:val="none" w:sz="0" w:space="0" w:color="auto"/>
                        <w:left w:val="none" w:sz="0" w:space="0" w:color="auto"/>
                        <w:bottom w:val="none" w:sz="0" w:space="0" w:color="auto"/>
                        <w:right w:val="none" w:sz="0" w:space="0" w:color="auto"/>
                      </w:divBdr>
                    </w:div>
                  </w:divsChild>
                </w:div>
                <w:div w:id="112408931">
                  <w:marLeft w:val="0"/>
                  <w:marRight w:val="0"/>
                  <w:marTop w:val="0"/>
                  <w:marBottom w:val="0"/>
                  <w:divBdr>
                    <w:top w:val="none" w:sz="0" w:space="0" w:color="auto"/>
                    <w:left w:val="none" w:sz="0" w:space="0" w:color="auto"/>
                    <w:bottom w:val="none" w:sz="0" w:space="0" w:color="auto"/>
                    <w:right w:val="none" w:sz="0" w:space="0" w:color="auto"/>
                  </w:divBdr>
                  <w:divsChild>
                    <w:div w:id="78017618">
                      <w:marLeft w:val="0"/>
                      <w:marRight w:val="0"/>
                      <w:marTop w:val="0"/>
                      <w:marBottom w:val="0"/>
                      <w:divBdr>
                        <w:top w:val="none" w:sz="0" w:space="0" w:color="auto"/>
                        <w:left w:val="none" w:sz="0" w:space="0" w:color="auto"/>
                        <w:bottom w:val="none" w:sz="0" w:space="0" w:color="auto"/>
                        <w:right w:val="none" w:sz="0" w:space="0" w:color="auto"/>
                      </w:divBdr>
                    </w:div>
                  </w:divsChild>
                </w:div>
                <w:div w:id="137721761">
                  <w:marLeft w:val="0"/>
                  <w:marRight w:val="0"/>
                  <w:marTop w:val="0"/>
                  <w:marBottom w:val="0"/>
                  <w:divBdr>
                    <w:top w:val="none" w:sz="0" w:space="0" w:color="auto"/>
                    <w:left w:val="none" w:sz="0" w:space="0" w:color="auto"/>
                    <w:bottom w:val="none" w:sz="0" w:space="0" w:color="auto"/>
                    <w:right w:val="none" w:sz="0" w:space="0" w:color="auto"/>
                  </w:divBdr>
                  <w:divsChild>
                    <w:div w:id="68189132">
                      <w:marLeft w:val="0"/>
                      <w:marRight w:val="0"/>
                      <w:marTop w:val="0"/>
                      <w:marBottom w:val="0"/>
                      <w:divBdr>
                        <w:top w:val="none" w:sz="0" w:space="0" w:color="auto"/>
                        <w:left w:val="none" w:sz="0" w:space="0" w:color="auto"/>
                        <w:bottom w:val="none" w:sz="0" w:space="0" w:color="auto"/>
                        <w:right w:val="none" w:sz="0" w:space="0" w:color="auto"/>
                      </w:divBdr>
                    </w:div>
                    <w:div w:id="1728457187">
                      <w:marLeft w:val="0"/>
                      <w:marRight w:val="0"/>
                      <w:marTop w:val="0"/>
                      <w:marBottom w:val="0"/>
                      <w:divBdr>
                        <w:top w:val="none" w:sz="0" w:space="0" w:color="auto"/>
                        <w:left w:val="none" w:sz="0" w:space="0" w:color="auto"/>
                        <w:bottom w:val="none" w:sz="0" w:space="0" w:color="auto"/>
                        <w:right w:val="none" w:sz="0" w:space="0" w:color="auto"/>
                      </w:divBdr>
                    </w:div>
                  </w:divsChild>
                </w:div>
                <w:div w:id="159390269">
                  <w:marLeft w:val="0"/>
                  <w:marRight w:val="0"/>
                  <w:marTop w:val="0"/>
                  <w:marBottom w:val="0"/>
                  <w:divBdr>
                    <w:top w:val="none" w:sz="0" w:space="0" w:color="auto"/>
                    <w:left w:val="none" w:sz="0" w:space="0" w:color="auto"/>
                    <w:bottom w:val="none" w:sz="0" w:space="0" w:color="auto"/>
                    <w:right w:val="none" w:sz="0" w:space="0" w:color="auto"/>
                  </w:divBdr>
                  <w:divsChild>
                    <w:div w:id="1400249513">
                      <w:marLeft w:val="0"/>
                      <w:marRight w:val="0"/>
                      <w:marTop w:val="0"/>
                      <w:marBottom w:val="0"/>
                      <w:divBdr>
                        <w:top w:val="none" w:sz="0" w:space="0" w:color="auto"/>
                        <w:left w:val="none" w:sz="0" w:space="0" w:color="auto"/>
                        <w:bottom w:val="none" w:sz="0" w:space="0" w:color="auto"/>
                        <w:right w:val="none" w:sz="0" w:space="0" w:color="auto"/>
                      </w:divBdr>
                    </w:div>
                  </w:divsChild>
                </w:div>
                <w:div w:id="183136899">
                  <w:marLeft w:val="0"/>
                  <w:marRight w:val="0"/>
                  <w:marTop w:val="0"/>
                  <w:marBottom w:val="0"/>
                  <w:divBdr>
                    <w:top w:val="none" w:sz="0" w:space="0" w:color="auto"/>
                    <w:left w:val="none" w:sz="0" w:space="0" w:color="auto"/>
                    <w:bottom w:val="none" w:sz="0" w:space="0" w:color="auto"/>
                    <w:right w:val="none" w:sz="0" w:space="0" w:color="auto"/>
                  </w:divBdr>
                  <w:divsChild>
                    <w:div w:id="1740597309">
                      <w:marLeft w:val="0"/>
                      <w:marRight w:val="0"/>
                      <w:marTop w:val="0"/>
                      <w:marBottom w:val="0"/>
                      <w:divBdr>
                        <w:top w:val="none" w:sz="0" w:space="0" w:color="auto"/>
                        <w:left w:val="none" w:sz="0" w:space="0" w:color="auto"/>
                        <w:bottom w:val="none" w:sz="0" w:space="0" w:color="auto"/>
                        <w:right w:val="none" w:sz="0" w:space="0" w:color="auto"/>
                      </w:divBdr>
                    </w:div>
                  </w:divsChild>
                </w:div>
                <w:div w:id="186528924">
                  <w:marLeft w:val="0"/>
                  <w:marRight w:val="0"/>
                  <w:marTop w:val="0"/>
                  <w:marBottom w:val="0"/>
                  <w:divBdr>
                    <w:top w:val="none" w:sz="0" w:space="0" w:color="auto"/>
                    <w:left w:val="none" w:sz="0" w:space="0" w:color="auto"/>
                    <w:bottom w:val="none" w:sz="0" w:space="0" w:color="auto"/>
                    <w:right w:val="none" w:sz="0" w:space="0" w:color="auto"/>
                  </w:divBdr>
                  <w:divsChild>
                    <w:div w:id="705521605">
                      <w:marLeft w:val="0"/>
                      <w:marRight w:val="0"/>
                      <w:marTop w:val="0"/>
                      <w:marBottom w:val="0"/>
                      <w:divBdr>
                        <w:top w:val="none" w:sz="0" w:space="0" w:color="auto"/>
                        <w:left w:val="none" w:sz="0" w:space="0" w:color="auto"/>
                        <w:bottom w:val="none" w:sz="0" w:space="0" w:color="auto"/>
                        <w:right w:val="none" w:sz="0" w:space="0" w:color="auto"/>
                      </w:divBdr>
                    </w:div>
                  </w:divsChild>
                </w:div>
                <w:div w:id="250050627">
                  <w:marLeft w:val="0"/>
                  <w:marRight w:val="0"/>
                  <w:marTop w:val="0"/>
                  <w:marBottom w:val="0"/>
                  <w:divBdr>
                    <w:top w:val="none" w:sz="0" w:space="0" w:color="auto"/>
                    <w:left w:val="none" w:sz="0" w:space="0" w:color="auto"/>
                    <w:bottom w:val="none" w:sz="0" w:space="0" w:color="auto"/>
                    <w:right w:val="none" w:sz="0" w:space="0" w:color="auto"/>
                  </w:divBdr>
                  <w:divsChild>
                    <w:div w:id="845438009">
                      <w:marLeft w:val="0"/>
                      <w:marRight w:val="0"/>
                      <w:marTop w:val="0"/>
                      <w:marBottom w:val="0"/>
                      <w:divBdr>
                        <w:top w:val="none" w:sz="0" w:space="0" w:color="auto"/>
                        <w:left w:val="none" w:sz="0" w:space="0" w:color="auto"/>
                        <w:bottom w:val="none" w:sz="0" w:space="0" w:color="auto"/>
                        <w:right w:val="none" w:sz="0" w:space="0" w:color="auto"/>
                      </w:divBdr>
                    </w:div>
                  </w:divsChild>
                </w:div>
                <w:div w:id="331371467">
                  <w:marLeft w:val="0"/>
                  <w:marRight w:val="0"/>
                  <w:marTop w:val="0"/>
                  <w:marBottom w:val="0"/>
                  <w:divBdr>
                    <w:top w:val="none" w:sz="0" w:space="0" w:color="auto"/>
                    <w:left w:val="none" w:sz="0" w:space="0" w:color="auto"/>
                    <w:bottom w:val="none" w:sz="0" w:space="0" w:color="auto"/>
                    <w:right w:val="none" w:sz="0" w:space="0" w:color="auto"/>
                  </w:divBdr>
                  <w:divsChild>
                    <w:div w:id="800152529">
                      <w:marLeft w:val="0"/>
                      <w:marRight w:val="0"/>
                      <w:marTop w:val="0"/>
                      <w:marBottom w:val="0"/>
                      <w:divBdr>
                        <w:top w:val="none" w:sz="0" w:space="0" w:color="auto"/>
                        <w:left w:val="none" w:sz="0" w:space="0" w:color="auto"/>
                        <w:bottom w:val="none" w:sz="0" w:space="0" w:color="auto"/>
                        <w:right w:val="none" w:sz="0" w:space="0" w:color="auto"/>
                      </w:divBdr>
                    </w:div>
                  </w:divsChild>
                </w:div>
                <w:div w:id="382338358">
                  <w:marLeft w:val="0"/>
                  <w:marRight w:val="0"/>
                  <w:marTop w:val="0"/>
                  <w:marBottom w:val="0"/>
                  <w:divBdr>
                    <w:top w:val="none" w:sz="0" w:space="0" w:color="auto"/>
                    <w:left w:val="none" w:sz="0" w:space="0" w:color="auto"/>
                    <w:bottom w:val="none" w:sz="0" w:space="0" w:color="auto"/>
                    <w:right w:val="none" w:sz="0" w:space="0" w:color="auto"/>
                  </w:divBdr>
                  <w:divsChild>
                    <w:div w:id="114644338">
                      <w:marLeft w:val="0"/>
                      <w:marRight w:val="0"/>
                      <w:marTop w:val="0"/>
                      <w:marBottom w:val="0"/>
                      <w:divBdr>
                        <w:top w:val="none" w:sz="0" w:space="0" w:color="auto"/>
                        <w:left w:val="none" w:sz="0" w:space="0" w:color="auto"/>
                        <w:bottom w:val="none" w:sz="0" w:space="0" w:color="auto"/>
                        <w:right w:val="none" w:sz="0" w:space="0" w:color="auto"/>
                      </w:divBdr>
                    </w:div>
                  </w:divsChild>
                </w:div>
                <w:div w:id="399593893">
                  <w:marLeft w:val="0"/>
                  <w:marRight w:val="0"/>
                  <w:marTop w:val="0"/>
                  <w:marBottom w:val="0"/>
                  <w:divBdr>
                    <w:top w:val="none" w:sz="0" w:space="0" w:color="auto"/>
                    <w:left w:val="none" w:sz="0" w:space="0" w:color="auto"/>
                    <w:bottom w:val="none" w:sz="0" w:space="0" w:color="auto"/>
                    <w:right w:val="none" w:sz="0" w:space="0" w:color="auto"/>
                  </w:divBdr>
                  <w:divsChild>
                    <w:div w:id="200673121">
                      <w:marLeft w:val="0"/>
                      <w:marRight w:val="0"/>
                      <w:marTop w:val="0"/>
                      <w:marBottom w:val="0"/>
                      <w:divBdr>
                        <w:top w:val="none" w:sz="0" w:space="0" w:color="auto"/>
                        <w:left w:val="none" w:sz="0" w:space="0" w:color="auto"/>
                        <w:bottom w:val="none" w:sz="0" w:space="0" w:color="auto"/>
                        <w:right w:val="none" w:sz="0" w:space="0" w:color="auto"/>
                      </w:divBdr>
                    </w:div>
                  </w:divsChild>
                </w:div>
                <w:div w:id="425004738">
                  <w:marLeft w:val="0"/>
                  <w:marRight w:val="0"/>
                  <w:marTop w:val="0"/>
                  <w:marBottom w:val="0"/>
                  <w:divBdr>
                    <w:top w:val="none" w:sz="0" w:space="0" w:color="auto"/>
                    <w:left w:val="none" w:sz="0" w:space="0" w:color="auto"/>
                    <w:bottom w:val="none" w:sz="0" w:space="0" w:color="auto"/>
                    <w:right w:val="none" w:sz="0" w:space="0" w:color="auto"/>
                  </w:divBdr>
                  <w:divsChild>
                    <w:div w:id="1278679499">
                      <w:marLeft w:val="0"/>
                      <w:marRight w:val="0"/>
                      <w:marTop w:val="0"/>
                      <w:marBottom w:val="0"/>
                      <w:divBdr>
                        <w:top w:val="none" w:sz="0" w:space="0" w:color="auto"/>
                        <w:left w:val="none" w:sz="0" w:space="0" w:color="auto"/>
                        <w:bottom w:val="none" w:sz="0" w:space="0" w:color="auto"/>
                        <w:right w:val="none" w:sz="0" w:space="0" w:color="auto"/>
                      </w:divBdr>
                    </w:div>
                  </w:divsChild>
                </w:div>
                <w:div w:id="432285316">
                  <w:marLeft w:val="0"/>
                  <w:marRight w:val="0"/>
                  <w:marTop w:val="0"/>
                  <w:marBottom w:val="0"/>
                  <w:divBdr>
                    <w:top w:val="none" w:sz="0" w:space="0" w:color="auto"/>
                    <w:left w:val="none" w:sz="0" w:space="0" w:color="auto"/>
                    <w:bottom w:val="none" w:sz="0" w:space="0" w:color="auto"/>
                    <w:right w:val="none" w:sz="0" w:space="0" w:color="auto"/>
                  </w:divBdr>
                  <w:divsChild>
                    <w:div w:id="464855143">
                      <w:marLeft w:val="0"/>
                      <w:marRight w:val="0"/>
                      <w:marTop w:val="0"/>
                      <w:marBottom w:val="0"/>
                      <w:divBdr>
                        <w:top w:val="none" w:sz="0" w:space="0" w:color="auto"/>
                        <w:left w:val="none" w:sz="0" w:space="0" w:color="auto"/>
                        <w:bottom w:val="none" w:sz="0" w:space="0" w:color="auto"/>
                        <w:right w:val="none" w:sz="0" w:space="0" w:color="auto"/>
                      </w:divBdr>
                    </w:div>
                  </w:divsChild>
                </w:div>
                <w:div w:id="507332717">
                  <w:marLeft w:val="0"/>
                  <w:marRight w:val="0"/>
                  <w:marTop w:val="0"/>
                  <w:marBottom w:val="0"/>
                  <w:divBdr>
                    <w:top w:val="none" w:sz="0" w:space="0" w:color="auto"/>
                    <w:left w:val="none" w:sz="0" w:space="0" w:color="auto"/>
                    <w:bottom w:val="none" w:sz="0" w:space="0" w:color="auto"/>
                    <w:right w:val="none" w:sz="0" w:space="0" w:color="auto"/>
                  </w:divBdr>
                  <w:divsChild>
                    <w:div w:id="1273131160">
                      <w:marLeft w:val="0"/>
                      <w:marRight w:val="0"/>
                      <w:marTop w:val="0"/>
                      <w:marBottom w:val="0"/>
                      <w:divBdr>
                        <w:top w:val="none" w:sz="0" w:space="0" w:color="auto"/>
                        <w:left w:val="none" w:sz="0" w:space="0" w:color="auto"/>
                        <w:bottom w:val="none" w:sz="0" w:space="0" w:color="auto"/>
                        <w:right w:val="none" w:sz="0" w:space="0" w:color="auto"/>
                      </w:divBdr>
                    </w:div>
                  </w:divsChild>
                </w:div>
                <w:div w:id="514541033">
                  <w:marLeft w:val="0"/>
                  <w:marRight w:val="0"/>
                  <w:marTop w:val="0"/>
                  <w:marBottom w:val="0"/>
                  <w:divBdr>
                    <w:top w:val="none" w:sz="0" w:space="0" w:color="auto"/>
                    <w:left w:val="none" w:sz="0" w:space="0" w:color="auto"/>
                    <w:bottom w:val="none" w:sz="0" w:space="0" w:color="auto"/>
                    <w:right w:val="none" w:sz="0" w:space="0" w:color="auto"/>
                  </w:divBdr>
                  <w:divsChild>
                    <w:div w:id="1560632761">
                      <w:marLeft w:val="0"/>
                      <w:marRight w:val="0"/>
                      <w:marTop w:val="0"/>
                      <w:marBottom w:val="0"/>
                      <w:divBdr>
                        <w:top w:val="none" w:sz="0" w:space="0" w:color="auto"/>
                        <w:left w:val="none" w:sz="0" w:space="0" w:color="auto"/>
                        <w:bottom w:val="none" w:sz="0" w:space="0" w:color="auto"/>
                        <w:right w:val="none" w:sz="0" w:space="0" w:color="auto"/>
                      </w:divBdr>
                    </w:div>
                  </w:divsChild>
                </w:div>
                <w:div w:id="536086475">
                  <w:marLeft w:val="0"/>
                  <w:marRight w:val="0"/>
                  <w:marTop w:val="0"/>
                  <w:marBottom w:val="0"/>
                  <w:divBdr>
                    <w:top w:val="none" w:sz="0" w:space="0" w:color="auto"/>
                    <w:left w:val="none" w:sz="0" w:space="0" w:color="auto"/>
                    <w:bottom w:val="none" w:sz="0" w:space="0" w:color="auto"/>
                    <w:right w:val="none" w:sz="0" w:space="0" w:color="auto"/>
                  </w:divBdr>
                  <w:divsChild>
                    <w:div w:id="1923249488">
                      <w:marLeft w:val="0"/>
                      <w:marRight w:val="0"/>
                      <w:marTop w:val="0"/>
                      <w:marBottom w:val="0"/>
                      <w:divBdr>
                        <w:top w:val="none" w:sz="0" w:space="0" w:color="auto"/>
                        <w:left w:val="none" w:sz="0" w:space="0" w:color="auto"/>
                        <w:bottom w:val="none" w:sz="0" w:space="0" w:color="auto"/>
                        <w:right w:val="none" w:sz="0" w:space="0" w:color="auto"/>
                      </w:divBdr>
                    </w:div>
                  </w:divsChild>
                </w:div>
                <w:div w:id="543373510">
                  <w:marLeft w:val="0"/>
                  <w:marRight w:val="0"/>
                  <w:marTop w:val="0"/>
                  <w:marBottom w:val="0"/>
                  <w:divBdr>
                    <w:top w:val="none" w:sz="0" w:space="0" w:color="auto"/>
                    <w:left w:val="none" w:sz="0" w:space="0" w:color="auto"/>
                    <w:bottom w:val="none" w:sz="0" w:space="0" w:color="auto"/>
                    <w:right w:val="none" w:sz="0" w:space="0" w:color="auto"/>
                  </w:divBdr>
                  <w:divsChild>
                    <w:div w:id="1945070574">
                      <w:marLeft w:val="0"/>
                      <w:marRight w:val="0"/>
                      <w:marTop w:val="0"/>
                      <w:marBottom w:val="0"/>
                      <w:divBdr>
                        <w:top w:val="none" w:sz="0" w:space="0" w:color="auto"/>
                        <w:left w:val="none" w:sz="0" w:space="0" w:color="auto"/>
                        <w:bottom w:val="none" w:sz="0" w:space="0" w:color="auto"/>
                        <w:right w:val="none" w:sz="0" w:space="0" w:color="auto"/>
                      </w:divBdr>
                    </w:div>
                  </w:divsChild>
                </w:div>
                <w:div w:id="547453316">
                  <w:marLeft w:val="0"/>
                  <w:marRight w:val="0"/>
                  <w:marTop w:val="0"/>
                  <w:marBottom w:val="0"/>
                  <w:divBdr>
                    <w:top w:val="none" w:sz="0" w:space="0" w:color="auto"/>
                    <w:left w:val="none" w:sz="0" w:space="0" w:color="auto"/>
                    <w:bottom w:val="none" w:sz="0" w:space="0" w:color="auto"/>
                    <w:right w:val="none" w:sz="0" w:space="0" w:color="auto"/>
                  </w:divBdr>
                  <w:divsChild>
                    <w:div w:id="1972518253">
                      <w:marLeft w:val="0"/>
                      <w:marRight w:val="0"/>
                      <w:marTop w:val="0"/>
                      <w:marBottom w:val="0"/>
                      <w:divBdr>
                        <w:top w:val="none" w:sz="0" w:space="0" w:color="auto"/>
                        <w:left w:val="none" w:sz="0" w:space="0" w:color="auto"/>
                        <w:bottom w:val="none" w:sz="0" w:space="0" w:color="auto"/>
                        <w:right w:val="none" w:sz="0" w:space="0" w:color="auto"/>
                      </w:divBdr>
                    </w:div>
                  </w:divsChild>
                </w:div>
                <w:div w:id="549000726">
                  <w:marLeft w:val="0"/>
                  <w:marRight w:val="0"/>
                  <w:marTop w:val="0"/>
                  <w:marBottom w:val="0"/>
                  <w:divBdr>
                    <w:top w:val="none" w:sz="0" w:space="0" w:color="auto"/>
                    <w:left w:val="none" w:sz="0" w:space="0" w:color="auto"/>
                    <w:bottom w:val="none" w:sz="0" w:space="0" w:color="auto"/>
                    <w:right w:val="none" w:sz="0" w:space="0" w:color="auto"/>
                  </w:divBdr>
                  <w:divsChild>
                    <w:div w:id="147986665">
                      <w:marLeft w:val="0"/>
                      <w:marRight w:val="0"/>
                      <w:marTop w:val="0"/>
                      <w:marBottom w:val="0"/>
                      <w:divBdr>
                        <w:top w:val="none" w:sz="0" w:space="0" w:color="auto"/>
                        <w:left w:val="none" w:sz="0" w:space="0" w:color="auto"/>
                        <w:bottom w:val="none" w:sz="0" w:space="0" w:color="auto"/>
                        <w:right w:val="none" w:sz="0" w:space="0" w:color="auto"/>
                      </w:divBdr>
                    </w:div>
                  </w:divsChild>
                </w:div>
                <w:div w:id="557134358">
                  <w:marLeft w:val="0"/>
                  <w:marRight w:val="0"/>
                  <w:marTop w:val="0"/>
                  <w:marBottom w:val="0"/>
                  <w:divBdr>
                    <w:top w:val="none" w:sz="0" w:space="0" w:color="auto"/>
                    <w:left w:val="none" w:sz="0" w:space="0" w:color="auto"/>
                    <w:bottom w:val="none" w:sz="0" w:space="0" w:color="auto"/>
                    <w:right w:val="none" w:sz="0" w:space="0" w:color="auto"/>
                  </w:divBdr>
                  <w:divsChild>
                    <w:div w:id="1683555292">
                      <w:marLeft w:val="0"/>
                      <w:marRight w:val="0"/>
                      <w:marTop w:val="0"/>
                      <w:marBottom w:val="0"/>
                      <w:divBdr>
                        <w:top w:val="none" w:sz="0" w:space="0" w:color="auto"/>
                        <w:left w:val="none" w:sz="0" w:space="0" w:color="auto"/>
                        <w:bottom w:val="none" w:sz="0" w:space="0" w:color="auto"/>
                        <w:right w:val="none" w:sz="0" w:space="0" w:color="auto"/>
                      </w:divBdr>
                    </w:div>
                  </w:divsChild>
                </w:div>
                <w:div w:id="600573427">
                  <w:marLeft w:val="0"/>
                  <w:marRight w:val="0"/>
                  <w:marTop w:val="0"/>
                  <w:marBottom w:val="0"/>
                  <w:divBdr>
                    <w:top w:val="none" w:sz="0" w:space="0" w:color="auto"/>
                    <w:left w:val="none" w:sz="0" w:space="0" w:color="auto"/>
                    <w:bottom w:val="none" w:sz="0" w:space="0" w:color="auto"/>
                    <w:right w:val="none" w:sz="0" w:space="0" w:color="auto"/>
                  </w:divBdr>
                  <w:divsChild>
                    <w:div w:id="1453209805">
                      <w:marLeft w:val="0"/>
                      <w:marRight w:val="0"/>
                      <w:marTop w:val="0"/>
                      <w:marBottom w:val="0"/>
                      <w:divBdr>
                        <w:top w:val="none" w:sz="0" w:space="0" w:color="auto"/>
                        <w:left w:val="none" w:sz="0" w:space="0" w:color="auto"/>
                        <w:bottom w:val="none" w:sz="0" w:space="0" w:color="auto"/>
                        <w:right w:val="none" w:sz="0" w:space="0" w:color="auto"/>
                      </w:divBdr>
                    </w:div>
                    <w:div w:id="1758214360">
                      <w:marLeft w:val="0"/>
                      <w:marRight w:val="0"/>
                      <w:marTop w:val="0"/>
                      <w:marBottom w:val="0"/>
                      <w:divBdr>
                        <w:top w:val="none" w:sz="0" w:space="0" w:color="auto"/>
                        <w:left w:val="none" w:sz="0" w:space="0" w:color="auto"/>
                        <w:bottom w:val="none" w:sz="0" w:space="0" w:color="auto"/>
                        <w:right w:val="none" w:sz="0" w:space="0" w:color="auto"/>
                      </w:divBdr>
                    </w:div>
                  </w:divsChild>
                </w:div>
                <w:div w:id="625627498">
                  <w:marLeft w:val="0"/>
                  <w:marRight w:val="0"/>
                  <w:marTop w:val="0"/>
                  <w:marBottom w:val="0"/>
                  <w:divBdr>
                    <w:top w:val="none" w:sz="0" w:space="0" w:color="auto"/>
                    <w:left w:val="none" w:sz="0" w:space="0" w:color="auto"/>
                    <w:bottom w:val="none" w:sz="0" w:space="0" w:color="auto"/>
                    <w:right w:val="none" w:sz="0" w:space="0" w:color="auto"/>
                  </w:divBdr>
                  <w:divsChild>
                    <w:div w:id="1579368183">
                      <w:marLeft w:val="0"/>
                      <w:marRight w:val="0"/>
                      <w:marTop w:val="0"/>
                      <w:marBottom w:val="0"/>
                      <w:divBdr>
                        <w:top w:val="none" w:sz="0" w:space="0" w:color="auto"/>
                        <w:left w:val="none" w:sz="0" w:space="0" w:color="auto"/>
                        <w:bottom w:val="none" w:sz="0" w:space="0" w:color="auto"/>
                        <w:right w:val="none" w:sz="0" w:space="0" w:color="auto"/>
                      </w:divBdr>
                    </w:div>
                  </w:divsChild>
                </w:div>
                <w:div w:id="626934784">
                  <w:marLeft w:val="0"/>
                  <w:marRight w:val="0"/>
                  <w:marTop w:val="0"/>
                  <w:marBottom w:val="0"/>
                  <w:divBdr>
                    <w:top w:val="none" w:sz="0" w:space="0" w:color="auto"/>
                    <w:left w:val="none" w:sz="0" w:space="0" w:color="auto"/>
                    <w:bottom w:val="none" w:sz="0" w:space="0" w:color="auto"/>
                    <w:right w:val="none" w:sz="0" w:space="0" w:color="auto"/>
                  </w:divBdr>
                  <w:divsChild>
                    <w:div w:id="1227181356">
                      <w:marLeft w:val="0"/>
                      <w:marRight w:val="0"/>
                      <w:marTop w:val="0"/>
                      <w:marBottom w:val="0"/>
                      <w:divBdr>
                        <w:top w:val="none" w:sz="0" w:space="0" w:color="auto"/>
                        <w:left w:val="none" w:sz="0" w:space="0" w:color="auto"/>
                        <w:bottom w:val="none" w:sz="0" w:space="0" w:color="auto"/>
                        <w:right w:val="none" w:sz="0" w:space="0" w:color="auto"/>
                      </w:divBdr>
                    </w:div>
                  </w:divsChild>
                </w:div>
                <w:div w:id="629283497">
                  <w:marLeft w:val="0"/>
                  <w:marRight w:val="0"/>
                  <w:marTop w:val="0"/>
                  <w:marBottom w:val="0"/>
                  <w:divBdr>
                    <w:top w:val="none" w:sz="0" w:space="0" w:color="auto"/>
                    <w:left w:val="none" w:sz="0" w:space="0" w:color="auto"/>
                    <w:bottom w:val="none" w:sz="0" w:space="0" w:color="auto"/>
                    <w:right w:val="none" w:sz="0" w:space="0" w:color="auto"/>
                  </w:divBdr>
                  <w:divsChild>
                    <w:div w:id="269237723">
                      <w:marLeft w:val="0"/>
                      <w:marRight w:val="0"/>
                      <w:marTop w:val="0"/>
                      <w:marBottom w:val="0"/>
                      <w:divBdr>
                        <w:top w:val="none" w:sz="0" w:space="0" w:color="auto"/>
                        <w:left w:val="none" w:sz="0" w:space="0" w:color="auto"/>
                        <w:bottom w:val="none" w:sz="0" w:space="0" w:color="auto"/>
                        <w:right w:val="none" w:sz="0" w:space="0" w:color="auto"/>
                      </w:divBdr>
                    </w:div>
                  </w:divsChild>
                </w:div>
                <w:div w:id="631250195">
                  <w:marLeft w:val="0"/>
                  <w:marRight w:val="0"/>
                  <w:marTop w:val="0"/>
                  <w:marBottom w:val="0"/>
                  <w:divBdr>
                    <w:top w:val="none" w:sz="0" w:space="0" w:color="auto"/>
                    <w:left w:val="none" w:sz="0" w:space="0" w:color="auto"/>
                    <w:bottom w:val="none" w:sz="0" w:space="0" w:color="auto"/>
                    <w:right w:val="none" w:sz="0" w:space="0" w:color="auto"/>
                  </w:divBdr>
                  <w:divsChild>
                    <w:div w:id="137915217">
                      <w:marLeft w:val="0"/>
                      <w:marRight w:val="0"/>
                      <w:marTop w:val="0"/>
                      <w:marBottom w:val="0"/>
                      <w:divBdr>
                        <w:top w:val="none" w:sz="0" w:space="0" w:color="auto"/>
                        <w:left w:val="none" w:sz="0" w:space="0" w:color="auto"/>
                        <w:bottom w:val="none" w:sz="0" w:space="0" w:color="auto"/>
                        <w:right w:val="none" w:sz="0" w:space="0" w:color="auto"/>
                      </w:divBdr>
                    </w:div>
                  </w:divsChild>
                </w:div>
                <w:div w:id="633144756">
                  <w:marLeft w:val="0"/>
                  <w:marRight w:val="0"/>
                  <w:marTop w:val="0"/>
                  <w:marBottom w:val="0"/>
                  <w:divBdr>
                    <w:top w:val="none" w:sz="0" w:space="0" w:color="auto"/>
                    <w:left w:val="none" w:sz="0" w:space="0" w:color="auto"/>
                    <w:bottom w:val="none" w:sz="0" w:space="0" w:color="auto"/>
                    <w:right w:val="none" w:sz="0" w:space="0" w:color="auto"/>
                  </w:divBdr>
                  <w:divsChild>
                    <w:div w:id="1305814393">
                      <w:marLeft w:val="0"/>
                      <w:marRight w:val="0"/>
                      <w:marTop w:val="0"/>
                      <w:marBottom w:val="0"/>
                      <w:divBdr>
                        <w:top w:val="none" w:sz="0" w:space="0" w:color="auto"/>
                        <w:left w:val="none" w:sz="0" w:space="0" w:color="auto"/>
                        <w:bottom w:val="none" w:sz="0" w:space="0" w:color="auto"/>
                        <w:right w:val="none" w:sz="0" w:space="0" w:color="auto"/>
                      </w:divBdr>
                    </w:div>
                  </w:divsChild>
                </w:div>
                <w:div w:id="633952297">
                  <w:marLeft w:val="0"/>
                  <w:marRight w:val="0"/>
                  <w:marTop w:val="0"/>
                  <w:marBottom w:val="0"/>
                  <w:divBdr>
                    <w:top w:val="none" w:sz="0" w:space="0" w:color="auto"/>
                    <w:left w:val="none" w:sz="0" w:space="0" w:color="auto"/>
                    <w:bottom w:val="none" w:sz="0" w:space="0" w:color="auto"/>
                    <w:right w:val="none" w:sz="0" w:space="0" w:color="auto"/>
                  </w:divBdr>
                  <w:divsChild>
                    <w:div w:id="1813716138">
                      <w:marLeft w:val="0"/>
                      <w:marRight w:val="0"/>
                      <w:marTop w:val="0"/>
                      <w:marBottom w:val="0"/>
                      <w:divBdr>
                        <w:top w:val="none" w:sz="0" w:space="0" w:color="auto"/>
                        <w:left w:val="none" w:sz="0" w:space="0" w:color="auto"/>
                        <w:bottom w:val="none" w:sz="0" w:space="0" w:color="auto"/>
                        <w:right w:val="none" w:sz="0" w:space="0" w:color="auto"/>
                      </w:divBdr>
                    </w:div>
                  </w:divsChild>
                </w:div>
                <w:div w:id="635263811">
                  <w:marLeft w:val="0"/>
                  <w:marRight w:val="0"/>
                  <w:marTop w:val="0"/>
                  <w:marBottom w:val="0"/>
                  <w:divBdr>
                    <w:top w:val="none" w:sz="0" w:space="0" w:color="auto"/>
                    <w:left w:val="none" w:sz="0" w:space="0" w:color="auto"/>
                    <w:bottom w:val="none" w:sz="0" w:space="0" w:color="auto"/>
                    <w:right w:val="none" w:sz="0" w:space="0" w:color="auto"/>
                  </w:divBdr>
                  <w:divsChild>
                    <w:div w:id="2039964239">
                      <w:marLeft w:val="0"/>
                      <w:marRight w:val="0"/>
                      <w:marTop w:val="0"/>
                      <w:marBottom w:val="0"/>
                      <w:divBdr>
                        <w:top w:val="none" w:sz="0" w:space="0" w:color="auto"/>
                        <w:left w:val="none" w:sz="0" w:space="0" w:color="auto"/>
                        <w:bottom w:val="none" w:sz="0" w:space="0" w:color="auto"/>
                        <w:right w:val="none" w:sz="0" w:space="0" w:color="auto"/>
                      </w:divBdr>
                    </w:div>
                  </w:divsChild>
                </w:div>
                <w:div w:id="650673632">
                  <w:marLeft w:val="0"/>
                  <w:marRight w:val="0"/>
                  <w:marTop w:val="0"/>
                  <w:marBottom w:val="0"/>
                  <w:divBdr>
                    <w:top w:val="none" w:sz="0" w:space="0" w:color="auto"/>
                    <w:left w:val="none" w:sz="0" w:space="0" w:color="auto"/>
                    <w:bottom w:val="none" w:sz="0" w:space="0" w:color="auto"/>
                    <w:right w:val="none" w:sz="0" w:space="0" w:color="auto"/>
                  </w:divBdr>
                  <w:divsChild>
                    <w:div w:id="355346883">
                      <w:marLeft w:val="0"/>
                      <w:marRight w:val="0"/>
                      <w:marTop w:val="0"/>
                      <w:marBottom w:val="0"/>
                      <w:divBdr>
                        <w:top w:val="none" w:sz="0" w:space="0" w:color="auto"/>
                        <w:left w:val="none" w:sz="0" w:space="0" w:color="auto"/>
                        <w:bottom w:val="none" w:sz="0" w:space="0" w:color="auto"/>
                        <w:right w:val="none" w:sz="0" w:space="0" w:color="auto"/>
                      </w:divBdr>
                    </w:div>
                  </w:divsChild>
                </w:div>
                <w:div w:id="666252092">
                  <w:marLeft w:val="0"/>
                  <w:marRight w:val="0"/>
                  <w:marTop w:val="0"/>
                  <w:marBottom w:val="0"/>
                  <w:divBdr>
                    <w:top w:val="none" w:sz="0" w:space="0" w:color="auto"/>
                    <w:left w:val="none" w:sz="0" w:space="0" w:color="auto"/>
                    <w:bottom w:val="none" w:sz="0" w:space="0" w:color="auto"/>
                    <w:right w:val="none" w:sz="0" w:space="0" w:color="auto"/>
                  </w:divBdr>
                  <w:divsChild>
                    <w:div w:id="633751558">
                      <w:marLeft w:val="0"/>
                      <w:marRight w:val="0"/>
                      <w:marTop w:val="0"/>
                      <w:marBottom w:val="0"/>
                      <w:divBdr>
                        <w:top w:val="none" w:sz="0" w:space="0" w:color="auto"/>
                        <w:left w:val="none" w:sz="0" w:space="0" w:color="auto"/>
                        <w:bottom w:val="none" w:sz="0" w:space="0" w:color="auto"/>
                        <w:right w:val="none" w:sz="0" w:space="0" w:color="auto"/>
                      </w:divBdr>
                    </w:div>
                  </w:divsChild>
                </w:div>
                <w:div w:id="699360391">
                  <w:marLeft w:val="0"/>
                  <w:marRight w:val="0"/>
                  <w:marTop w:val="0"/>
                  <w:marBottom w:val="0"/>
                  <w:divBdr>
                    <w:top w:val="none" w:sz="0" w:space="0" w:color="auto"/>
                    <w:left w:val="none" w:sz="0" w:space="0" w:color="auto"/>
                    <w:bottom w:val="none" w:sz="0" w:space="0" w:color="auto"/>
                    <w:right w:val="none" w:sz="0" w:space="0" w:color="auto"/>
                  </w:divBdr>
                  <w:divsChild>
                    <w:div w:id="1424574703">
                      <w:marLeft w:val="0"/>
                      <w:marRight w:val="0"/>
                      <w:marTop w:val="0"/>
                      <w:marBottom w:val="0"/>
                      <w:divBdr>
                        <w:top w:val="none" w:sz="0" w:space="0" w:color="auto"/>
                        <w:left w:val="none" w:sz="0" w:space="0" w:color="auto"/>
                        <w:bottom w:val="none" w:sz="0" w:space="0" w:color="auto"/>
                        <w:right w:val="none" w:sz="0" w:space="0" w:color="auto"/>
                      </w:divBdr>
                    </w:div>
                  </w:divsChild>
                </w:div>
                <w:div w:id="707149838">
                  <w:marLeft w:val="0"/>
                  <w:marRight w:val="0"/>
                  <w:marTop w:val="0"/>
                  <w:marBottom w:val="0"/>
                  <w:divBdr>
                    <w:top w:val="none" w:sz="0" w:space="0" w:color="auto"/>
                    <w:left w:val="none" w:sz="0" w:space="0" w:color="auto"/>
                    <w:bottom w:val="none" w:sz="0" w:space="0" w:color="auto"/>
                    <w:right w:val="none" w:sz="0" w:space="0" w:color="auto"/>
                  </w:divBdr>
                  <w:divsChild>
                    <w:div w:id="182211868">
                      <w:marLeft w:val="0"/>
                      <w:marRight w:val="0"/>
                      <w:marTop w:val="0"/>
                      <w:marBottom w:val="0"/>
                      <w:divBdr>
                        <w:top w:val="none" w:sz="0" w:space="0" w:color="auto"/>
                        <w:left w:val="none" w:sz="0" w:space="0" w:color="auto"/>
                        <w:bottom w:val="none" w:sz="0" w:space="0" w:color="auto"/>
                        <w:right w:val="none" w:sz="0" w:space="0" w:color="auto"/>
                      </w:divBdr>
                    </w:div>
                  </w:divsChild>
                </w:div>
                <w:div w:id="751782463">
                  <w:marLeft w:val="0"/>
                  <w:marRight w:val="0"/>
                  <w:marTop w:val="0"/>
                  <w:marBottom w:val="0"/>
                  <w:divBdr>
                    <w:top w:val="none" w:sz="0" w:space="0" w:color="auto"/>
                    <w:left w:val="none" w:sz="0" w:space="0" w:color="auto"/>
                    <w:bottom w:val="none" w:sz="0" w:space="0" w:color="auto"/>
                    <w:right w:val="none" w:sz="0" w:space="0" w:color="auto"/>
                  </w:divBdr>
                  <w:divsChild>
                    <w:div w:id="411007733">
                      <w:marLeft w:val="0"/>
                      <w:marRight w:val="0"/>
                      <w:marTop w:val="0"/>
                      <w:marBottom w:val="0"/>
                      <w:divBdr>
                        <w:top w:val="none" w:sz="0" w:space="0" w:color="auto"/>
                        <w:left w:val="none" w:sz="0" w:space="0" w:color="auto"/>
                        <w:bottom w:val="none" w:sz="0" w:space="0" w:color="auto"/>
                        <w:right w:val="none" w:sz="0" w:space="0" w:color="auto"/>
                      </w:divBdr>
                    </w:div>
                  </w:divsChild>
                </w:div>
                <w:div w:id="767887343">
                  <w:marLeft w:val="0"/>
                  <w:marRight w:val="0"/>
                  <w:marTop w:val="0"/>
                  <w:marBottom w:val="0"/>
                  <w:divBdr>
                    <w:top w:val="none" w:sz="0" w:space="0" w:color="auto"/>
                    <w:left w:val="none" w:sz="0" w:space="0" w:color="auto"/>
                    <w:bottom w:val="none" w:sz="0" w:space="0" w:color="auto"/>
                    <w:right w:val="none" w:sz="0" w:space="0" w:color="auto"/>
                  </w:divBdr>
                  <w:divsChild>
                    <w:div w:id="821430187">
                      <w:marLeft w:val="0"/>
                      <w:marRight w:val="0"/>
                      <w:marTop w:val="0"/>
                      <w:marBottom w:val="0"/>
                      <w:divBdr>
                        <w:top w:val="none" w:sz="0" w:space="0" w:color="auto"/>
                        <w:left w:val="none" w:sz="0" w:space="0" w:color="auto"/>
                        <w:bottom w:val="none" w:sz="0" w:space="0" w:color="auto"/>
                        <w:right w:val="none" w:sz="0" w:space="0" w:color="auto"/>
                      </w:divBdr>
                    </w:div>
                  </w:divsChild>
                </w:div>
                <w:div w:id="842549976">
                  <w:marLeft w:val="0"/>
                  <w:marRight w:val="0"/>
                  <w:marTop w:val="0"/>
                  <w:marBottom w:val="0"/>
                  <w:divBdr>
                    <w:top w:val="none" w:sz="0" w:space="0" w:color="auto"/>
                    <w:left w:val="none" w:sz="0" w:space="0" w:color="auto"/>
                    <w:bottom w:val="none" w:sz="0" w:space="0" w:color="auto"/>
                    <w:right w:val="none" w:sz="0" w:space="0" w:color="auto"/>
                  </w:divBdr>
                  <w:divsChild>
                    <w:div w:id="176236698">
                      <w:marLeft w:val="0"/>
                      <w:marRight w:val="0"/>
                      <w:marTop w:val="0"/>
                      <w:marBottom w:val="0"/>
                      <w:divBdr>
                        <w:top w:val="none" w:sz="0" w:space="0" w:color="auto"/>
                        <w:left w:val="none" w:sz="0" w:space="0" w:color="auto"/>
                        <w:bottom w:val="none" w:sz="0" w:space="0" w:color="auto"/>
                        <w:right w:val="none" w:sz="0" w:space="0" w:color="auto"/>
                      </w:divBdr>
                    </w:div>
                  </w:divsChild>
                </w:div>
                <w:div w:id="858469322">
                  <w:marLeft w:val="0"/>
                  <w:marRight w:val="0"/>
                  <w:marTop w:val="0"/>
                  <w:marBottom w:val="0"/>
                  <w:divBdr>
                    <w:top w:val="none" w:sz="0" w:space="0" w:color="auto"/>
                    <w:left w:val="none" w:sz="0" w:space="0" w:color="auto"/>
                    <w:bottom w:val="none" w:sz="0" w:space="0" w:color="auto"/>
                    <w:right w:val="none" w:sz="0" w:space="0" w:color="auto"/>
                  </w:divBdr>
                  <w:divsChild>
                    <w:div w:id="2116517191">
                      <w:marLeft w:val="0"/>
                      <w:marRight w:val="0"/>
                      <w:marTop w:val="0"/>
                      <w:marBottom w:val="0"/>
                      <w:divBdr>
                        <w:top w:val="none" w:sz="0" w:space="0" w:color="auto"/>
                        <w:left w:val="none" w:sz="0" w:space="0" w:color="auto"/>
                        <w:bottom w:val="none" w:sz="0" w:space="0" w:color="auto"/>
                        <w:right w:val="none" w:sz="0" w:space="0" w:color="auto"/>
                      </w:divBdr>
                    </w:div>
                  </w:divsChild>
                </w:div>
                <w:div w:id="871235734">
                  <w:marLeft w:val="0"/>
                  <w:marRight w:val="0"/>
                  <w:marTop w:val="0"/>
                  <w:marBottom w:val="0"/>
                  <w:divBdr>
                    <w:top w:val="none" w:sz="0" w:space="0" w:color="auto"/>
                    <w:left w:val="none" w:sz="0" w:space="0" w:color="auto"/>
                    <w:bottom w:val="none" w:sz="0" w:space="0" w:color="auto"/>
                    <w:right w:val="none" w:sz="0" w:space="0" w:color="auto"/>
                  </w:divBdr>
                  <w:divsChild>
                    <w:div w:id="924221290">
                      <w:marLeft w:val="0"/>
                      <w:marRight w:val="0"/>
                      <w:marTop w:val="0"/>
                      <w:marBottom w:val="0"/>
                      <w:divBdr>
                        <w:top w:val="none" w:sz="0" w:space="0" w:color="auto"/>
                        <w:left w:val="none" w:sz="0" w:space="0" w:color="auto"/>
                        <w:bottom w:val="none" w:sz="0" w:space="0" w:color="auto"/>
                        <w:right w:val="none" w:sz="0" w:space="0" w:color="auto"/>
                      </w:divBdr>
                    </w:div>
                  </w:divsChild>
                </w:div>
                <w:div w:id="885141276">
                  <w:marLeft w:val="0"/>
                  <w:marRight w:val="0"/>
                  <w:marTop w:val="0"/>
                  <w:marBottom w:val="0"/>
                  <w:divBdr>
                    <w:top w:val="none" w:sz="0" w:space="0" w:color="auto"/>
                    <w:left w:val="none" w:sz="0" w:space="0" w:color="auto"/>
                    <w:bottom w:val="none" w:sz="0" w:space="0" w:color="auto"/>
                    <w:right w:val="none" w:sz="0" w:space="0" w:color="auto"/>
                  </w:divBdr>
                  <w:divsChild>
                    <w:div w:id="835419006">
                      <w:marLeft w:val="0"/>
                      <w:marRight w:val="0"/>
                      <w:marTop w:val="0"/>
                      <w:marBottom w:val="0"/>
                      <w:divBdr>
                        <w:top w:val="none" w:sz="0" w:space="0" w:color="auto"/>
                        <w:left w:val="none" w:sz="0" w:space="0" w:color="auto"/>
                        <w:bottom w:val="none" w:sz="0" w:space="0" w:color="auto"/>
                        <w:right w:val="none" w:sz="0" w:space="0" w:color="auto"/>
                      </w:divBdr>
                    </w:div>
                    <w:div w:id="986318239">
                      <w:marLeft w:val="0"/>
                      <w:marRight w:val="0"/>
                      <w:marTop w:val="0"/>
                      <w:marBottom w:val="0"/>
                      <w:divBdr>
                        <w:top w:val="none" w:sz="0" w:space="0" w:color="auto"/>
                        <w:left w:val="none" w:sz="0" w:space="0" w:color="auto"/>
                        <w:bottom w:val="none" w:sz="0" w:space="0" w:color="auto"/>
                        <w:right w:val="none" w:sz="0" w:space="0" w:color="auto"/>
                      </w:divBdr>
                    </w:div>
                  </w:divsChild>
                </w:div>
                <w:div w:id="886843964">
                  <w:marLeft w:val="0"/>
                  <w:marRight w:val="0"/>
                  <w:marTop w:val="0"/>
                  <w:marBottom w:val="0"/>
                  <w:divBdr>
                    <w:top w:val="none" w:sz="0" w:space="0" w:color="auto"/>
                    <w:left w:val="none" w:sz="0" w:space="0" w:color="auto"/>
                    <w:bottom w:val="none" w:sz="0" w:space="0" w:color="auto"/>
                    <w:right w:val="none" w:sz="0" w:space="0" w:color="auto"/>
                  </w:divBdr>
                  <w:divsChild>
                    <w:div w:id="383868419">
                      <w:marLeft w:val="0"/>
                      <w:marRight w:val="0"/>
                      <w:marTop w:val="0"/>
                      <w:marBottom w:val="0"/>
                      <w:divBdr>
                        <w:top w:val="none" w:sz="0" w:space="0" w:color="auto"/>
                        <w:left w:val="none" w:sz="0" w:space="0" w:color="auto"/>
                        <w:bottom w:val="none" w:sz="0" w:space="0" w:color="auto"/>
                        <w:right w:val="none" w:sz="0" w:space="0" w:color="auto"/>
                      </w:divBdr>
                    </w:div>
                  </w:divsChild>
                </w:div>
                <w:div w:id="991837743">
                  <w:marLeft w:val="0"/>
                  <w:marRight w:val="0"/>
                  <w:marTop w:val="0"/>
                  <w:marBottom w:val="0"/>
                  <w:divBdr>
                    <w:top w:val="none" w:sz="0" w:space="0" w:color="auto"/>
                    <w:left w:val="none" w:sz="0" w:space="0" w:color="auto"/>
                    <w:bottom w:val="none" w:sz="0" w:space="0" w:color="auto"/>
                    <w:right w:val="none" w:sz="0" w:space="0" w:color="auto"/>
                  </w:divBdr>
                  <w:divsChild>
                    <w:div w:id="561604003">
                      <w:marLeft w:val="0"/>
                      <w:marRight w:val="0"/>
                      <w:marTop w:val="0"/>
                      <w:marBottom w:val="0"/>
                      <w:divBdr>
                        <w:top w:val="none" w:sz="0" w:space="0" w:color="auto"/>
                        <w:left w:val="none" w:sz="0" w:space="0" w:color="auto"/>
                        <w:bottom w:val="none" w:sz="0" w:space="0" w:color="auto"/>
                        <w:right w:val="none" w:sz="0" w:space="0" w:color="auto"/>
                      </w:divBdr>
                    </w:div>
                  </w:divsChild>
                </w:div>
                <w:div w:id="1106776074">
                  <w:marLeft w:val="0"/>
                  <w:marRight w:val="0"/>
                  <w:marTop w:val="0"/>
                  <w:marBottom w:val="0"/>
                  <w:divBdr>
                    <w:top w:val="none" w:sz="0" w:space="0" w:color="auto"/>
                    <w:left w:val="none" w:sz="0" w:space="0" w:color="auto"/>
                    <w:bottom w:val="none" w:sz="0" w:space="0" w:color="auto"/>
                    <w:right w:val="none" w:sz="0" w:space="0" w:color="auto"/>
                  </w:divBdr>
                  <w:divsChild>
                    <w:div w:id="1406150307">
                      <w:marLeft w:val="0"/>
                      <w:marRight w:val="0"/>
                      <w:marTop w:val="0"/>
                      <w:marBottom w:val="0"/>
                      <w:divBdr>
                        <w:top w:val="none" w:sz="0" w:space="0" w:color="auto"/>
                        <w:left w:val="none" w:sz="0" w:space="0" w:color="auto"/>
                        <w:bottom w:val="none" w:sz="0" w:space="0" w:color="auto"/>
                        <w:right w:val="none" w:sz="0" w:space="0" w:color="auto"/>
                      </w:divBdr>
                    </w:div>
                  </w:divsChild>
                </w:div>
                <w:div w:id="1108086657">
                  <w:marLeft w:val="0"/>
                  <w:marRight w:val="0"/>
                  <w:marTop w:val="0"/>
                  <w:marBottom w:val="0"/>
                  <w:divBdr>
                    <w:top w:val="none" w:sz="0" w:space="0" w:color="auto"/>
                    <w:left w:val="none" w:sz="0" w:space="0" w:color="auto"/>
                    <w:bottom w:val="none" w:sz="0" w:space="0" w:color="auto"/>
                    <w:right w:val="none" w:sz="0" w:space="0" w:color="auto"/>
                  </w:divBdr>
                  <w:divsChild>
                    <w:div w:id="932976847">
                      <w:marLeft w:val="0"/>
                      <w:marRight w:val="0"/>
                      <w:marTop w:val="0"/>
                      <w:marBottom w:val="0"/>
                      <w:divBdr>
                        <w:top w:val="none" w:sz="0" w:space="0" w:color="auto"/>
                        <w:left w:val="none" w:sz="0" w:space="0" w:color="auto"/>
                        <w:bottom w:val="none" w:sz="0" w:space="0" w:color="auto"/>
                        <w:right w:val="none" w:sz="0" w:space="0" w:color="auto"/>
                      </w:divBdr>
                    </w:div>
                  </w:divsChild>
                </w:div>
                <w:div w:id="1126654699">
                  <w:marLeft w:val="0"/>
                  <w:marRight w:val="0"/>
                  <w:marTop w:val="0"/>
                  <w:marBottom w:val="0"/>
                  <w:divBdr>
                    <w:top w:val="none" w:sz="0" w:space="0" w:color="auto"/>
                    <w:left w:val="none" w:sz="0" w:space="0" w:color="auto"/>
                    <w:bottom w:val="none" w:sz="0" w:space="0" w:color="auto"/>
                    <w:right w:val="none" w:sz="0" w:space="0" w:color="auto"/>
                  </w:divBdr>
                  <w:divsChild>
                    <w:div w:id="1114985112">
                      <w:marLeft w:val="0"/>
                      <w:marRight w:val="0"/>
                      <w:marTop w:val="0"/>
                      <w:marBottom w:val="0"/>
                      <w:divBdr>
                        <w:top w:val="none" w:sz="0" w:space="0" w:color="auto"/>
                        <w:left w:val="none" w:sz="0" w:space="0" w:color="auto"/>
                        <w:bottom w:val="none" w:sz="0" w:space="0" w:color="auto"/>
                        <w:right w:val="none" w:sz="0" w:space="0" w:color="auto"/>
                      </w:divBdr>
                    </w:div>
                  </w:divsChild>
                </w:div>
                <w:div w:id="1137188155">
                  <w:marLeft w:val="0"/>
                  <w:marRight w:val="0"/>
                  <w:marTop w:val="0"/>
                  <w:marBottom w:val="0"/>
                  <w:divBdr>
                    <w:top w:val="none" w:sz="0" w:space="0" w:color="auto"/>
                    <w:left w:val="none" w:sz="0" w:space="0" w:color="auto"/>
                    <w:bottom w:val="none" w:sz="0" w:space="0" w:color="auto"/>
                    <w:right w:val="none" w:sz="0" w:space="0" w:color="auto"/>
                  </w:divBdr>
                  <w:divsChild>
                    <w:div w:id="1959682637">
                      <w:marLeft w:val="0"/>
                      <w:marRight w:val="0"/>
                      <w:marTop w:val="0"/>
                      <w:marBottom w:val="0"/>
                      <w:divBdr>
                        <w:top w:val="none" w:sz="0" w:space="0" w:color="auto"/>
                        <w:left w:val="none" w:sz="0" w:space="0" w:color="auto"/>
                        <w:bottom w:val="none" w:sz="0" w:space="0" w:color="auto"/>
                        <w:right w:val="none" w:sz="0" w:space="0" w:color="auto"/>
                      </w:divBdr>
                    </w:div>
                  </w:divsChild>
                </w:div>
                <w:div w:id="1154377160">
                  <w:marLeft w:val="0"/>
                  <w:marRight w:val="0"/>
                  <w:marTop w:val="0"/>
                  <w:marBottom w:val="0"/>
                  <w:divBdr>
                    <w:top w:val="none" w:sz="0" w:space="0" w:color="auto"/>
                    <w:left w:val="none" w:sz="0" w:space="0" w:color="auto"/>
                    <w:bottom w:val="none" w:sz="0" w:space="0" w:color="auto"/>
                    <w:right w:val="none" w:sz="0" w:space="0" w:color="auto"/>
                  </w:divBdr>
                  <w:divsChild>
                    <w:div w:id="1015232471">
                      <w:marLeft w:val="0"/>
                      <w:marRight w:val="0"/>
                      <w:marTop w:val="0"/>
                      <w:marBottom w:val="0"/>
                      <w:divBdr>
                        <w:top w:val="none" w:sz="0" w:space="0" w:color="auto"/>
                        <w:left w:val="none" w:sz="0" w:space="0" w:color="auto"/>
                        <w:bottom w:val="none" w:sz="0" w:space="0" w:color="auto"/>
                        <w:right w:val="none" w:sz="0" w:space="0" w:color="auto"/>
                      </w:divBdr>
                    </w:div>
                  </w:divsChild>
                </w:div>
                <w:div w:id="1171800586">
                  <w:marLeft w:val="0"/>
                  <w:marRight w:val="0"/>
                  <w:marTop w:val="0"/>
                  <w:marBottom w:val="0"/>
                  <w:divBdr>
                    <w:top w:val="none" w:sz="0" w:space="0" w:color="auto"/>
                    <w:left w:val="none" w:sz="0" w:space="0" w:color="auto"/>
                    <w:bottom w:val="none" w:sz="0" w:space="0" w:color="auto"/>
                    <w:right w:val="none" w:sz="0" w:space="0" w:color="auto"/>
                  </w:divBdr>
                  <w:divsChild>
                    <w:div w:id="1265725983">
                      <w:marLeft w:val="0"/>
                      <w:marRight w:val="0"/>
                      <w:marTop w:val="0"/>
                      <w:marBottom w:val="0"/>
                      <w:divBdr>
                        <w:top w:val="none" w:sz="0" w:space="0" w:color="auto"/>
                        <w:left w:val="none" w:sz="0" w:space="0" w:color="auto"/>
                        <w:bottom w:val="none" w:sz="0" w:space="0" w:color="auto"/>
                        <w:right w:val="none" w:sz="0" w:space="0" w:color="auto"/>
                      </w:divBdr>
                    </w:div>
                  </w:divsChild>
                </w:div>
                <w:div w:id="1234506949">
                  <w:marLeft w:val="0"/>
                  <w:marRight w:val="0"/>
                  <w:marTop w:val="0"/>
                  <w:marBottom w:val="0"/>
                  <w:divBdr>
                    <w:top w:val="none" w:sz="0" w:space="0" w:color="auto"/>
                    <w:left w:val="none" w:sz="0" w:space="0" w:color="auto"/>
                    <w:bottom w:val="none" w:sz="0" w:space="0" w:color="auto"/>
                    <w:right w:val="none" w:sz="0" w:space="0" w:color="auto"/>
                  </w:divBdr>
                  <w:divsChild>
                    <w:div w:id="2057704818">
                      <w:marLeft w:val="0"/>
                      <w:marRight w:val="0"/>
                      <w:marTop w:val="0"/>
                      <w:marBottom w:val="0"/>
                      <w:divBdr>
                        <w:top w:val="none" w:sz="0" w:space="0" w:color="auto"/>
                        <w:left w:val="none" w:sz="0" w:space="0" w:color="auto"/>
                        <w:bottom w:val="none" w:sz="0" w:space="0" w:color="auto"/>
                        <w:right w:val="none" w:sz="0" w:space="0" w:color="auto"/>
                      </w:divBdr>
                    </w:div>
                  </w:divsChild>
                </w:div>
                <w:div w:id="1247953908">
                  <w:marLeft w:val="0"/>
                  <w:marRight w:val="0"/>
                  <w:marTop w:val="0"/>
                  <w:marBottom w:val="0"/>
                  <w:divBdr>
                    <w:top w:val="none" w:sz="0" w:space="0" w:color="auto"/>
                    <w:left w:val="none" w:sz="0" w:space="0" w:color="auto"/>
                    <w:bottom w:val="none" w:sz="0" w:space="0" w:color="auto"/>
                    <w:right w:val="none" w:sz="0" w:space="0" w:color="auto"/>
                  </w:divBdr>
                  <w:divsChild>
                    <w:div w:id="882518701">
                      <w:marLeft w:val="0"/>
                      <w:marRight w:val="0"/>
                      <w:marTop w:val="0"/>
                      <w:marBottom w:val="0"/>
                      <w:divBdr>
                        <w:top w:val="none" w:sz="0" w:space="0" w:color="auto"/>
                        <w:left w:val="none" w:sz="0" w:space="0" w:color="auto"/>
                        <w:bottom w:val="none" w:sz="0" w:space="0" w:color="auto"/>
                        <w:right w:val="none" w:sz="0" w:space="0" w:color="auto"/>
                      </w:divBdr>
                    </w:div>
                  </w:divsChild>
                </w:div>
                <w:div w:id="1272082443">
                  <w:marLeft w:val="0"/>
                  <w:marRight w:val="0"/>
                  <w:marTop w:val="0"/>
                  <w:marBottom w:val="0"/>
                  <w:divBdr>
                    <w:top w:val="none" w:sz="0" w:space="0" w:color="auto"/>
                    <w:left w:val="none" w:sz="0" w:space="0" w:color="auto"/>
                    <w:bottom w:val="none" w:sz="0" w:space="0" w:color="auto"/>
                    <w:right w:val="none" w:sz="0" w:space="0" w:color="auto"/>
                  </w:divBdr>
                  <w:divsChild>
                    <w:div w:id="1796287193">
                      <w:marLeft w:val="0"/>
                      <w:marRight w:val="0"/>
                      <w:marTop w:val="0"/>
                      <w:marBottom w:val="0"/>
                      <w:divBdr>
                        <w:top w:val="none" w:sz="0" w:space="0" w:color="auto"/>
                        <w:left w:val="none" w:sz="0" w:space="0" w:color="auto"/>
                        <w:bottom w:val="none" w:sz="0" w:space="0" w:color="auto"/>
                        <w:right w:val="none" w:sz="0" w:space="0" w:color="auto"/>
                      </w:divBdr>
                    </w:div>
                  </w:divsChild>
                </w:div>
                <w:div w:id="1280182881">
                  <w:marLeft w:val="0"/>
                  <w:marRight w:val="0"/>
                  <w:marTop w:val="0"/>
                  <w:marBottom w:val="0"/>
                  <w:divBdr>
                    <w:top w:val="none" w:sz="0" w:space="0" w:color="auto"/>
                    <w:left w:val="none" w:sz="0" w:space="0" w:color="auto"/>
                    <w:bottom w:val="none" w:sz="0" w:space="0" w:color="auto"/>
                    <w:right w:val="none" w:sz="0" w:space="0" w:color="auto"/>
                  </w:divBdr>
                  <w:divsChild>
                    <w:div w:id="1002665297">
                      <w:marLeft w:val="0"/>
                      <w:marRight w:val="0"/>
                      <w:marTop w:val="0"/>
                      <w:marBottom w:val="0"/>
                      <w:divBdr>
                        <w:top w:val="none" w:sz="0" w:space="0" w:color="auto"/>
                        <w:left w:val="none" w:sz="0" w:space="0" w:color="auto"/>
                        <w:bottom w:val="none" w:sz="0" w:space="0" w:color="auto"/>
                        <w:right w:val="none" w:sz="0" w:space="0" w:color="auto"/>
                      </w:divBdr>
                    </w:div>
                  </w:divsChild>
                </w:div>
                <w:div w:id="1287547018">
                  <w:marLeft w:val="0"/>
                  <w:marRight w:val="0"/>
                  <w:marTop w:val="0"/>
                  <w:marBottom w:val="0"/>
                  <w:divBdr>
                    <w:top w:val="none" w:sz="0" w:space="0" w:color="auto"/>
                    <w:left w:val="none" w:sz="0" w:space="0" w:color="auto"/>
                    <w:bottom w:val="none" w:sz="0" w:space="0" w:color="auto"/>
                    <w:right w:val="none" w:sz="0" w:space="0" w:color="auto"/>
                  </w:divBdr>
                  <w:divsChild>
                    <w:div w:id="1176572731">
                      <w:marLeft w:val="0"/>
                      <w:marRight w:val="0"/>
                      <w:marTop w:val="0"/>
                      <w:marBottom w:val="0"/>
                      <w:divBdr>
                        <w:top w:val="none" w:sz="0" w:space="0" w:color="auto"/>
                        <w:left w:val="none" w:sz="0" w:space="0" w:color="auto"/>
                        <w:bottom w:val="none" w:sz="0" w:space="0" w:color="auto"/>
                        <w:right w:val="none" w:sz="0" w:space="0" w:color="auto"/>
                      </w:divBdr>
                    </w:div>
                  </w:divsChild>
                </w:div>
                <w:div w:id="1386300312">
                  <w:marLeft w:val="0"/>
                  <w:marRight w:val="0"/>
                  <w:marTop w:val="0"/>
                  <w:marBottom w:val="0"/>
                  <w:divBdr>
                    <w:top w:val="none" w:sz="0" w:space="0" w:color="auto"/>
                    <w:left w:val="none" w:sz="0" w:space="0" w:color="auto"/>
                    <w:bottom w:val="none" w:sz="0" w:space="0" w:color="auto"/>
                    <w:right w:val="none" w:sz="0" w:space="0" w:color="auto"/>
                  </w:divBdr>
                  <w:divsChild>
                    <w:div w:id="1799761628">
                      <w:marLeft w:val="0"/>
                      <w:marRight w:val="0"/>
                      <w:marTop w:val="0"/>
                      <w:marBottom w:val="0"/>
                      <w:divBdr>
                        <w:top w:val="none" w:sz="0" w:space="0" w:color="auto"/>
                        <w:left w:val="none" w:sz="0" w:space="0" w:color="auto"/>
                        <w:bottom w:val="none" w:sz="0" w:space="0" w:color="auto"/>
                        <w:right w:val="none" w:sz="0" w:space="0" w:color="auto"/>
                      </w:divBdr>
                    </w:div>
                  </w:divsChild>
                </w:div>
                <w:div w:id="1394544479">
                  <w:marLeft w:val="0"/>
                  <w:marRight w:val="0"/>
                  <w:marTop w:val="0"/>
                  <w:marBottom w:val="0"/>
                  <w:divBdr>
                    <w:top w:val="none" w:sz="0" w:space="0" w:color="auto"/>
                    <w:left w:val="none" w:sz="0" w:space="0" w:color="auto"/>
                    <w:bottom w:val="none" w:sz="0" w:space="0" w:color="auto"/>
                    <w:right w:val="none" w:sz="0" w:space="0" w:color="auto"/>
                  </w:divBdr>
                  <w:divsChild>
                    <w:div w:id="1163088560">
                      <w:marLeft w:val="0"/>
                      <w:marRight w:val="0"/>
                      <w:marTop w:val="0"/>
                      <w:marBottom w:val="0"/>
                      <w:divBdr>
                        <w:top w:val="none" w:sz="0" w:space="0" w:color="auto"/>
                        <w:left w:val="none" w:sz="0" w:space="0" w:color="auto"/>
                        <w:bottom w:val="none" w:sz="0" w:space="0" w:color="auto"/>
                        <w:right w:val="none" w:sz="0" w:space="0" w:color="auto"/>
                      </w:divBdr>
                    </w:div>
                  </w:divsChild>
                </w:div>
                <w:div w:id="1420131894">
                  <w:marLeft w:val="0"/>
                  <w:marRight w:val="0"/>
                  <w:marTop w:val="0"/>
                  <w:marBottom w:val="0"/>
                  <w:divBdr>
                    <w:top w:val="none" w:sz="0" w:space="0" w:color="auto"/>
                    <w:left w:val="none" w:sz="0" w:space="0" w:color="auto"/>
                    <w:bottom w:val="none" w:sz="0" w:space="0" w:color="auto"/>
                    <w:right w:val="none" w:sz="0" w:space="0" w:color="auto"/>
                  </w:divBdr>
                  <w:divsChild>
                    <w:div w:id="1064137294">
                      <w:marLeft w:val="0"/>
                      <w:marRight w:val="0"/>
                      <w:marTop w:val="0"/>
                      <w:marBottom w:val="0"/>
                      <w:divBdr>
                        <w:top w:val="none" w:sz="0" w:space="0" w:color="auto"/>
                        <w:left w:val="none" w:sz="0" w:space="0" w:color="auto"/>
                        <w:bottom w:val="none" w:sz="0" w:space="0" w:color="auto"/>
                        <w:right w:val="none" w:sz="0" w:space="0" w:color="auto"/>
                      </w:divBdr>
                    </w:div>
                  </w:divsChild>
                </w:div>
                <w:div w:id="1441413864">
                  <w:marLeft w:val="0"/>
                  <w:marRight w:val="0"/>
                  <w:marTop w:val="0"/>
                  <w:marBottom w:val="0"/>
                  <w:divBdr>
                    <w:top w:val="none" w:sz="0" w:space="0" w:color="auto"/>
                    <w:left w:val="none" w:sz="0" w:space="0" w:color="auto"/>
                    <w:bottom w:val="none" w:sz="0" w:space="0" w:color="auto"/>
                    <w:right w:val="none" w:sz="0" w:space="0" w:color="auto"/>
                  </w:divBdr>
                  <w:divsChild>
                    <w:div w:id="1647586056">
                      <w:marLeft w:val="0"/>
                      <w:marRight w:val="0"/>
                      <w:marTop w:val="0"/>
                      <w:marBottom w:val="0"/>
                      <w:divBdr>
                        <w:top w:val="none" w:sz="0" w:space="0" w:color="auto"/>
                        <w:left w:val="none" w:sz="0" w:space="0" w:color="auto"/>
                        <w:bottom w:val="none" w:sz="0" w:space="0" w:color="auto"/>
                        <w:right w:val="none" w:sz="0" w:space="0" w:color="auto"/>
                      </w:divBdr>
                    </w:div>
                  </w:divsChild>
                </w:div>
                <w:div w:id="1595935546">
                  <w:marLeft w:val="0"/>
                  <w:marRight w:val="0"/>
                  <w:marTop w:val="0"/>
                  <w:marBottom w:val="0"/>
                  <w:divBdr>
                    <w:top w:val="none" w:sz="0" w:space="0" w:color="auto"/>
                    <w:left w:val="none" w:sz="0" w:space="0" w:color="auto"/>
                    <w:bottom w:val="none" w:sz="0" w:space="0" w:color="auto"/>
                    <w:right w:val="none" w:sz="0" w:space="0" w:color="auto"/>
                  </w:divBdr>
                  <w:divsChild>
                    <w:div w:id="338510368">
                      <w:marLeft w:val="0"/>
                      <w:marRight w:val="0"/>
                      <w:marTop w:val="0"/>
                      <w:marBottom w:val="0"/>
                      <w:divBdr>
                        <w:top w:val="none" w:sz="0" w:space="0" w:color="auto"/>
                        <w:left w:val="none" w:sz="0" w:space="0" w:color="auto"/>
                        <w:bottom w:val="none" w:sz="0" w:space="0" w:color="auto"/>
                        <w:right w:val="none" w:sz="0" w:space="0" w:color="auto"/>
                      </w:divBdr>
                    </w:div>
                  </w:divsChild>
                </w:div>
                <w:div w:id="1604456590">
                  <w:marLeft w:val="0"/>
                  <w:marRight w:val="0"/>
                  <w:marTop w:val="0"/>
                  <w:marBottom w:val="0"/>
                  <w:divBdr>
                    <w:top w:val="none" w:sz="0" w:space="0" w:color="auto"/>
                    <w:left w:val="none" w:sz="0" w:space="0" w:color="auto"/>
                    <w:bottom w:val="none" w:sz="0" w:space="0" w:color="auto"/>
                    <w:right w:val="none" w:sz="0" w:space="0" w:color="auto"/>
                  </w:divBdr>
                  <w:divsChild>
                    <w:div w:id="1924102825">
                      <w:marLeft w:val="0"/>
                      <w:marRight w:val="0"/>
                      <w:marTop w:val="0"/>
                      <w:marBottom w:val="0"/>
                      <w:divBdr>
                        <w:top w:val="none" w:sz="0" w:space="0" w:color="auto"/>
                        <w:left w:val="none" w:sz="0" w:space="0" w:color="auto"/>
                        <w:bottom w:val="none" w:sz="0" w:space="0" w:color="auto"/>
                        <w:right w:val="none" w:sz="0" w:space="0" w:color="auto"/>
                      </w:divBdr>
                    </w:div>
                  </w:divsChild>
                </w:div>
                <w:div w:id="1670012563">
                  <w:marLeft w:val="0"/>
                  <w:marRight w:val="0"/>
                  <w:marTop w:val="0"/>
                  <w:marBottom w:val="0"/>
                  <w:divBdr>
                    <w:top w:val="none" w:sz="0" w:space="0" w:color="auto"/>
                    <w:left w:val="none" w:sz="0" w:space="0" w:color="auto"/>
                    <w:bottom w:val="none" w:sz="0" w:space="0" w:color="auto"/>
                    <w:right w:val="none" w:sz="0" w:space="0" w:color="auto"/>
                  </w:divBdr>
                  <w:divsChild>
                    <w:div w:id="1642267144">
                      <w:marLeft w:val="0"/>
                      <w:marRight w:val="0"/>
                      <w:marTop w:val="0"/>
                      <w:marBottom w:val="0"/>
                      <w:divBdr>
                        <w:top w:val="none" w:sz="0" w:space="0" w:color="auto"/>
                        <w:left w:val="none" w:sz="0" w:space="0" w:color="auto"/>
                        <w:bottom w:val="none" w:sz="0" w:space="0" w:color="auto"/>
                        <w:right w:val="none" w:sz="0" w:space="0" w:color="auto"/>
                      </w:divBdr>
                    </w:div>
                  </w:divsChild>
                </w:div>
                <w:div w:id="1737170430">
                  <w:marLeft w:val="0"/>
                  <w:marRight w:val="0"/>
                  <w:marTop w:val="0"/>
                  <w:marBottom w:val="0"/>
                  <w:divBdr>
                    <w:top w:val="none" w:sz="0" w:space="0" w:color="auto"/>
                    <w:left w:val="none" w:sz="0" w:space="0" w:color="auto"/>
                    <w:bottom w:val="none" w:sz="0" w:space="0" w:color="auto"/>
                    <w:right w:val="none" w:sz="0" w:space="0" w:color="auto"/>
                  </w:divBdr>
                  <w:divsChild>
                    <w:div w:id="461651184">
                      <w:marLeft w:val="0"/>
                      <w:marRight w:val="0"/>
                      <w:marTop w:val="0"/>
                      <w:marBottom w:val="0"/>
                      <w:divBdr>
                        <w:top w:val="none" w:sz="0" w:space="0" w:color="auto"/>
                        <w:left w:val="none" w:sz="0" w:space="0" w:color="auto"/>
                        <w:bottom w:val="none" w:sz="0" w:space="0" w:color="auto"/>
                        <w:right w:val="none" w:sz="0" w:space="0" w:color="auto"/>
                      </w:divBdr>
                    </w:div>
                  </w:divsChild>
                </w:div>
                <w:div w:id="1788816541">
                  <w:marLeft w:val="0"/>
                  <w:marRight w:val="0"/>
                  <w:marTop w:val="0"/>
                  <w:marBottom w:val="0"/>
                  <w:divBdr>
                    <w:top w:val="none" w:sz="0" w:space="0" w:color="auto"/>
                    <w:left w:val="none" w:sz="0" w:space="0" w:color="auto"/>
                    <w:bottom w:val="none" w:sz="0" w:space="0" w:color="auto"/>
                    <w:right w:val="none" w:sz="0" w:space="0" w:color="auto"/>
                  </w:divBdr>
                  <w:divsChild>
                    <w:div w:id="152066454">
                      <w:marLeft w:val="0"/>
                      <w:marRight w:val="0"/>
                      <w:marTop w:val="0"/>
                      <w:marBottom w:val="0"/>
                      <w:divBdr>
                        <w:top w:val="none" w:sz="0" w:space="0" w:color="auto"/>
                        <w:left w:val="none" w:sz="0" w:space="0" w:color="auto"/>
                        <w:bottom w:val="none" w:sz="0" w:space="0" w:color="auto"/>
                        <w:right w:val="none" w:sz="0" w:space="0" w:color="auto"/>
                      </w:divBdr>
                    </w:div>
                  </w:divsChild>
                </w:div>
                <w:div w:id="1790974119">
                  <w:marLeft w:val="0"/>
                  <w:marRight w:val="0"/>
                  <w:marTop w:val="0"/>
                  <w:marBottom w:val="0"/>
                  <w:divBdr>
                    <w:top w:val="none" w:sz="0" w:space="0" w:color="auto"/>
                    <w:left w:val="none" w:sz="0" w:space="0" w:color="auto"/>
                    <w:bottom w:val="none" w:sz="0" w:space="0" w:color="auto"/>
                    <w:right w:val="none" w:sz="0" w:space="0" w:color="auto"/>
                  </w:divBdr>
                  <w:divsChild>
                    <w:div w:id="820003190">
                      <w:marLeft w:val="0"/>
                      <w:marRight w:val="0"/>
                      <w:marTop w:val="0"/>
                      <w:marBottom w:val="0"/>
                      <w:divBdr>
                        <w:top w:val="none" w:sz="0" w:space="0" w:color="auto"/>
                        <w:left w:val="none" w:sz="0" w:space="0" w:color="auto"/>
                        <w:bottom w:val="none" w:sz="0" w:space="0" w:color="auto"/>
                        <w:right w:val="none" w:sz="0" w:space="0" w:color="auto"/>
                      </w:divBdr>
                    </w:div>
                  </w:divsChild>
                </w:div>
                <w:div w:id="1802262350">
                  <w:marLeft w:val="0"/>
                  <w:marRight w:val="0"/>
                  <w:marTop w:val="0"/>
                  <w:marBottom w:val="0"/>
                  <w:divBdr>
                    <w:top w:val="none" w:sz="0" w:space="0" w:color="auto"/>
                    <w:left w:val="none" w:sz="0" w:space="0" w:color="auto"/>
                    <w:bottom w:val="none" w:sz="0" w:space="0" w:color="auto"/>
                    <w:right w:val="none" w:sz="0" w:space="0" w:color="auto"/>
                  </w:divBdr>
                  <w:divsChild>
                    <w:div w:id="258411183">
                      <w:marLeft w:val="0"/>
                      <w:marRight w:val="0"/>
                      <w:marTop w:val="0"/>
                      <w:marBottom w:val="0"/>
                      <w:divBdr>
                        <w:top w:val="none" w:sz="0" w:space="0" w:color="auto"/>
                        <w:left w:val="none" w:sz="0" w:space="0" w:color="auto"/>
                        <w:bottom w:val="none" w:sz="0" w:space="0" w:color="auto"/>
                        <w:right w:val="none" w:sz="0" w:space="0" w:color="auto"/>
                      </w:divBdr>
                    </w:div>
                  </w:divsChild>
                </w:div>
                <w:div w:id="1806199129">
                  <w:marLeft w:val="0"/>
                  <w:marRight w:val="0"/>
                  <w:marTop w:val="0"/>
                  <w:marBottom w:val="0"/>
                  <w:divBdr>
                    <w:top w:val="none" w:sz="0" w:space="0" w:color="auto"/>
                    <w:left w:val="none" w:sz="0" w:space="0" w:color="auto"/>
                    <w:bottom w:val="none" w:sz="0" w:space="0" w:color="auto"/>
                    <w:right w:val="none" w:sz="0" w:space="0" w:color="auto"/>
                  </w:divBdr>
                  <w:divsChild>
                    <w:div w:id="516701051">
                      <w:marLeft w:val="0"/>
                      <w:marRight w:val="0"/>
                      <w:marTop w:val="0"/>
                      <w:marBottom w:val="0"/>
                      <w:divBdr>
                        <w:top w:val="none" w:sz="0" w:space="0" w:color="auto"/>
                        <w:left w:val="none" w:sz="0" w:space="0" w:color="auto"/>
                        <w:bottom w:val="none" w:sz="0" w:space="0" w:color="auto"/>
                        <w:right w:val="none" w:sz="0" w:space="0" w:color="auto"/>
                      </w:divBdr>
                    </w:div>
                  </w:divsChild>
                </w:div>
                <w:div w:id="1814907937">
                  <w:marLeft w:val="0"/>
                  <w:marRight w:val="0"/>
                  <w:marTop w:val="0"/>
                  <w:marBottom w:val="0"/>
                  <w:divBdr>
                    <w:top w:val="none" w:sz="0" w:space="0" w:color="auto"/>
                    <w:left w:val="none" w:sz="0" w:space="0" w:color="auto"/>
                    <w:bottom w:val="none" w:sz="0" w:space="0" w:color="auto"/>
                    <w:right w:val="none" w:sz="0" w:space="0" w:color="auto"/>
                  </w:divBdr>
                  <w:divsChild>
                    <w:div w:id="1273123358">
                      <w:marLeft w:val="0"/>
                      <w:marRight w:val="0"/>
                      <w:marTop w:val="0"/>
                      <w:marBottom w:val="0"/>
                      <w:divBdr>
                        <w:top w:val="none" w:sz="0" w:space="0" w:color="auto"/>
                        <w:left w:val="none" w:sz="0" w:space="0" w:color="auto"/>
                        <w:bottom w:val="none" w:sz="0" w:space="0" w:color="auto"/>
                        <w:right w:val="none" w:sz="0" w:space="0" w:color="auto"/>
                      </w:divBdr>
                    </w:div>
                  </w:divsChild>
                </w:div>
                <w:div w:id="1819958999">
                  <w:marLeft w:val="0"/>
                  <w:marRight w:val="0"/>
                  <w:marTop w:val="0"/>
                  <w:marBottom w:val="0"/>
                  <w:divBdr>
                    <w:top w:val="none" w:sz="0" w:space="0" w:color="auto"/>
                    <w:left w:val="none" w:sz="0" w:space="0" w:color="auto"/>
                    <w:bottom w:val="none" w:sz="0" w:space="0" w:color="auto"/>
                    <w:right w:val="none" w:sz="0" w:space="0" w:color="auto"/>
                  </w:divBdr>
                  <w:divsChild>
                    <w:div w:id="882715170">
                      <w:marLeft w:val="0"/>
                      <w:marRight w:val="0"/>
                      <w:marTop w:val="0"/>
                      <w:marBottom w:val="0"/>
                      <w:divBdr>
                        <w:top w:val="none" w:sz="0" w:space="0" w:color="auto"/>
                        <w:left w:val="none" w:sz="0" w:space="0" w:color="auto"/>
                        <w:bottom w:val="none" w:sz="0" w:space="0" w:color="auto"/>
                        <w:right w:val="none" w:sz="0" w:space="0" w:color="auto"/>
                      </w:divBdr>
                    </w:div>
                  </w:divsChild>
                </w:div>
                <w:div w:id="1824203263">
                  <w:marLeft w:val="0"/>
                  <w:marRight w:val="0"/>
                  <w:marTop w:val="0"/>
                  <w:marBottom w:val="0"/>
                  <w:divBdr>
                    <w:top w:val="none" w:sz="0" w:space="0" w:color="auto"/>
                    <w:left w:val="none" w:sz="0" w:space="0" w:color="auto"/>
                    <w:bottom w:val="none" w:sz="0" w:space="0" w:color="auto"/>
                    <w:right w:val="none" w:sz="0" w:space="0" w:color="auto"/>
                  </w:divBdr>
                  <w:divsChild>
                    <w:div w:id="465051199">
                      <w:marLeft w:val="0"/>
                      <w:marRight w:val="0"/>
                      <w:marTop w:val="0"/>
                      <w:marBottom w:val="0"/>
                      <w:divBdr>
                        <w:top w:val="none" w:sz="0" w:space="0" w:color="auto"/>
                        <w:left w:val="none" w:sz="0" w:space="0" w:color="auto"/>
                        <w:bottom w:val="none" w:sz="0" w:space="0" w:color="auto"/>
                        <w:right w:val="none" w:sz="0" w:space="0" w:color="auto"/>
                      </w:divBdr>
                    </w:div>
                  </w:divsChild>
                </w:div>
                <w:div w:id="1834445501">
                  <w:marLeft w:val="0"/>
                  <w:marRight w:val="0"/>
                  <w:marTop w:val="0"/>
                  <w:marBottom w:val="0"/>
                  <w:divBdr>
                    <w:top w:val="none" w:sz="0" w:space="0" w:color="auto"/>
                    <w:left w:val="none" w:sz="0" w:space="0" w:color="auto"/>
                    <w:bottom w:val="none" w:sz="0" w:space="0" w:color="auto"/>
                    <w:right w:val="none" w:sz="0" w:space="0" w:color="auto"/>
                  </w:divBdr>
                  <w:divsChild>
                    <w:div w:id="1332442934">
                      <w:marLeft w:val="0"/>
                      <w:marRight w:val="0"/>
                      <w:marTop w:val="0"/>
                      <w:marBottom w:val="0"/>
                      <w:divBdr>
                        <w:top w:val="none" w:sz="0" w:space="0" w:color="auto"/>
                        <w:left w:val="none" w:sz="0" w:space="0" w:color="auto"/>
                        <w:bottom w:val="none" w:sz="0" w:space="0" w:color="auto"/>
                        <w:right w:val="none" w:sz="0" w:space="0" w:color="auto"/>
                      </w:divBdr>
                    </w:div>
                  </w:divsChild>
                </w:div>
                <w:div w:id="1891529995">
                  <w:marLeft w:val="0"/>
                  <w:marRight w:val="0"/>
                  <w:marTop w:val="0"/>
                  <w:marBottom w:val="0"/>
                  <w:divBdr>
                    <w:top w:val="none" w:sz="0" w:space="0" w:color="auto"/>
                    <w:left w:val="none" w:sz="0" w:space="0" w:color="auto"/>
                    <w:bottom w:val="none" w:sz="0" w:space="0" w:color="auto"/>
                    <w:right w:val="none" w:sz="0" w:space="0" w:color="auto"/>
                  </w:divBdr>
                  <w:divsChild>
                    <w:div w:id="1659769797">
                      <w:marLeft w:val="0"/>
                      <w:marRight w:val="0"/>
                      <w:marTop w:val="0"/>
                      <w:marBottom w:val="0"/>
                      <w:divBdr>
                        <w:top w:val="none" w:sz="0" w:space="0" w:color="auto"/>
                        <w:left w:val="none" w:sz="0" w:space="0" w:color="auto"/>
                        <w:bottom w:val="none" w:sz="0" w:space="0" w:color="auto"/>
                        <w:right w:val="none" w:sz="0" w:space="0" w:color="auto"/>
                      </w:divBdr>
                    </w:div>
                  </w:divsChild>
                </w:div>
                <w:div w:id="1906530465">
                  <w:marLeft w:val="0"/>
                  <w:marRight w:val="0"/>
                  <w:marTop w:val="0"/>
                  <w:marBottom w:val="0"/>
                  <w:divBdr>
                    <w:top w:val="none" w:sz="0" w:space="0" w:color="auto"/>
                    <w:left w:val="none" w:sz="0" w:space="0" w:color="auto"/>
                    <w:bottom w:val="none" w:sz="0" w:space="0" w:color="auto"/>
                    <w:right w:val="none" w:sz="0" w:space="0" w:color="auto"/>
                  </w:divBdr>
                  <w:divsChild>
                    <w:div w:id="1076051278">
                      <w:marLeft w:val="0"/>
                      <w:marRight w:val="0"/>
                      <w:marTop w:val="0"/>
                      <w:marBottom w:val="0"/>
                      <w:divBdr>
                        <w:top w:val="none" w:sz="0" w:space="0" w:color="auto"/>
                        <w:left w:val="none" w:sz="0" w:space="0" w:color="auto"/>
                        <w:bottom w:val="none" w:sz="0" w:space="0" w:color="auto"/>
                        <w:right w:val="none" w:sz="0" w:space="0" w:color="auto"/>
                      </w:divBdr>
                    </w:div>
                  </w:divsChild>
                </w:div>
                <w:div w:id="1914850619">
                  <w:marLeft w:val="0"/>
                  <w:marRight w:val="0"/>
                  <w:marTop w:val="0"/>
                  <w:marBottom w:val="0"/>
                  <w:divBdr>
                    <w:top w:val="none" w:sz="0" w:space="0" w:color="auto"/>
                    <w:left w:val="none" w:sz="0" w:space="0" w:color="auto"/>
                    <w:bottom w:val="none" w:sz="0" w:space="0" w:color="auto"/>
                    <w:right w:val="none" w:sz="0" w:space="0" w:color="auto"/>
                  </w:divBdr>
                  <w:divsChild>
                    <w:div w:id="957368161">
                      <w:marLeft w:val="0"/>
                      <w:marRight w:val="0"/>
                      <w:marTop w:val="0"/>
                      <w:marBottom w:val="0"/>
                      <w:divBdr>
                        <w:top w:val="none" w:sz="0" w:space="0" w:color="auto"/>
                        <w:left w:val="none" w:sz="0" w:space="0" w:color="auto"/>
                        <w:bottom w:val="none" w:sz="0" w:space="0" w:color="auto"/>
                        <w:right w:val="none" w:sz="0" w:space="0" w:color="auto"/>
                      </w:divBdr>
                    </w:div>
                  </w:divsChild>
                </w:div>
                <w:div w:id="1917469842">
                  <w:marLeft w:val="0"/>
                  <w:marRight w:val="0"/>
                  <w:marTop w:val="0"/>
                  <w:marBottom w:val="0"/>
                  <w:divBdr>
                    <w:top w:val="none" w:sz="0" w:space="0" w:color="auto"/>
                    <w:left w:val="none" w:sz="0" w:space="0" w:color="auto"/>
                    <w:bottom w:val="none" w:sz="0" w:space="0" w:color="auto"/>
                    <w:right w:val="none" w:sz="0" w:space="0" w:color="auto"/>
                  </w:divBdr>
                  <w:divsChild>
                    <w:div w:id="964505252">
                      <w:marLeft w:val="0"/>
                      <w:marRight w:val="0"/>
                      <w:marTop w:val="0"/>
                      <w:marBottom w:val="0"/>
                      <w:divBdr>
                        <w:top w:val="none" w:sz="0" w:space="0" w:color="auto"/>
                        <w:left w:val="none" w:sz="0" w:space="0" w:color="auto"/>
                        <w:bottom w:val="none" w:sz="0" w:space="0" w:color="auto"/>
                        <w:right w:val="none" w:sz="0" w:space="0" w:color="auto"/>
                      </w:divBdr>
                    </w:div>
                  </w:divsChild>
                </w:div>
                <w:div w:id="1976720094">
                  <w:marLeft w:val="0"/>
                  <w:marRight w:val="0"/>
                  <w:marTop w:val="0"/>
                  <w:marBottom w:val="0"/>
                  <w:divBdr>
                    <w:top w:val="none" w:sz="0" w:space="0" w:color="auto"/>
                    <w:left w:val="none" w:sz="0" w:space="0" w:color="auto"/>
                    <w:bottom w:val="none" w:sz="0" w:space="0" w:color="auto"/>
                    <w:right w:val="none" w:sz="0" w:space="0" w:color="auto"/>
                  </w:divBdr>
                  <w:divsChild>
                    <w:div w:id="715353729">
                      <w:marLeft w:val="0"/>
                      <w:marRight w:val="0"/>
                      <w:marTop w:val="0"/>
                      <w:marBottom w:val="0"/>
                      <w:divBdr>
                        <w:top w:val="none" w:sz="0" w:space="0" w:color="auto"/>
                        <w:left w:val="none" w:sz="0" w:space="0" w:color="auto"/>
                        <w:bottom w:val="none" w:sz="0" w:space="0" w:color="auto"/>
                        <w:right w:val="none" w:sz="0" w:space="0" w:color="auto"/>
                      </w:divBdr>
                    </w:div>
                  </w:divsChild>
                </w:div>
                <w:div w:id="1981644512">
                  <w:marLeft w:val="0"/>
                  <w:marRight w:val="0"/>
                  <w:marTop w:val="0"/>
                  <w:marBottom w:val="0"/>
                  <w:divBdr>
                    <w:top w:val="none" w:sz="0" w:space="0" w:color="auto"/>
                    <w:left w:val="none" w:sz="0" w:space="0" w:color="auto"/>
                    <w:bottom w:val="none" w:sz="0" w:space="0" w:color="auto"/>
                    <w:right w:val="none" w:sz="0" w:space="0" w:color="auto"/>
                  </w:divBdr>
                  <w:divsChild>
                    <w:div w:id="2023360125">
                      <w:marLeft w:val="0"/>
                      <w:marRight w:val="0"/>
                      <w:marTop w:val="0"/>
                      <w:marBottom w:val="0"/>
                      <w:divBdr>
                        <w:top w:val="none" w:sz="0" w:space="0" w:color="auto"/>
                        <w:left w:val="none" w:sz="0" w:space="0" w:color="auto"/>
                        <w:bottom w:val="none" w:sz="0" w:space="0" w:color="auto"/>
                        <w:right w:val="none" w:sz="0" w:space="0" w:color="auto"/>
                      </w:divBdr>
                    </w:div>
                  </w:divsChild>
                </w:div>
                <w:div w:id="2003000373">
                  <w:marLeft w:val="0"/>
                  <w:marRight w:val="0"/>
                  <w:marTop w:val="0"/>
                  <w:marBottom w:val="0"/>
                  <w:divBdr>
                    <w:top w:val="none" w:sz="0" w:space="0" w:color="auto"/>
                    <w:left w:val="none" w:sz="0" w:space="0" w:color="auto"/>
                    <w:bottom w:val="none" w:sz="0" w:space="0" w:color="auto"/>
                    <w:right w:val="none" w:sz="0" w:space="0" w:color="auto"/>
                  </w:divBdr>
                  <w:divsChild>
                    <w:div w:id="342515982">
                      <w:marLeft w:val="0"/>
                      <w:marRight w:val="0"/>
                      <w:marTop w:val="0"/>
                      <w:marBottom w:val="0"/>
                      <w:divBdr>
                        <w:top w:val="none" w:sz="0" w:space="0" w:color="auto"/>
                        <w:left w:val="none" w:sz="0" w:space="0" w:color="auto"/>
                        <w:bottom w:val="none" w:sz="0" w:space="0" w:color="auto"/>
                        <w:right w:val="none" w:sz="0" w:space="0" w:color="auto"/>
                      </w:divBdr>
                    </w:div>
                  </w:divsChild>
                </w:div>
                <w:div w:id="2020279328">
                  <w:marLeft w:val="0"/>
                  <w:marRight w:val="0"/>
                  <w:marTop w:val="0"/>
                  <w:marBottom w:val="0"/>
                  <w:divBdr>
                    <w:top w:val="none" w:sz="0" w:space="0" w:color="auto"/>
                    <w:left w:val="none" w:sz="0" w:space="0" w:color="auto"/>
                    <w:bottom w:val="none" w:sz="0" w:space="0" w:color="auto"/>
                    <w:right w:val="none" w:sz="0" w:space="0" w:color="auto"/>
                  </w:divBdr>
                  <w:divsChild>
                    <w:div w:id="1660039932">
                      <w:marLeft w:val="0"/>
                      <w:marRight w:val="0"/>
                      <w:marTop w:val="0"/>
                      <w:marBottom w:val="0"/>
                      <w:divBdr>
                        <w:top w:val="none" w:sz="0" w:space="0" w:color="auto"/>
                        <w:left w:val="none" w:sz="0" w:space="0" w:color="auto"/>
                        <w:bottom w:val="none" w:sz="0" w:space="0" w:color="auto"/>
                        <w:right w:val="none" w:sz="0" w:space="0" w:color="auto"/>
                      </w:divBdr>
                    </w:div>
                  </w:divsChild>
                </w:div>
                <w:div w:id="2028940462">
                  <w:marLeft w:val="0"/>
                  <w:marRight w:val="0"/>
                  <w:marTop w:val="0"/>
                  <w:marBottom w:val="0"/>
                  <w:divBdr>
                    <w:top w:val="none" w:sz="0" w:space="0" w:color="auto"/>
                    <w:left w:val="none" w:sz="0" w:space="0" w:color="auto"/>
                    <w:bottom w:val="none" w:sz="0" w:space="0" w:color="auto"/>
                    <w:right w:val="none" w:sz="0" w:space="0" w:color="auto"/>
                  </w:divBdr>
                  <w:divsChild>
                    <w:div w:id="694620855">
                      <w:marLeft w:val="0"/>
                      <w:marRight w:val="0"/>
                      <w:marTop w:val="0"/>
                      <w:marBottom w:val="0"/>
                      <w:divBdr>
                        <w:top w:val="none" w:sz="0" w:space="0" w:color="auto"/>
                        <w:left w:val="none" w:sz="0" w:space="0" w:color="auto"/>
                        <w:bottom w:val="none" w:sz="0" w:space="0" w:color="auto"/>
                        <w:right w:val="none" w:sz="0" w:space="0" w:color="auto"/>
                      </w:divBdr>
                    </w:div>
                  </w:divsChild>
                </w:div>
                <w:div w:id="2029212117">
                  <w:marLeft w:val="0"/>
                  <w:marRight w:val="0"/>
                  <w:marTop w:val="0"/>
                  <w:marBottom w:val="0"/>
                  <w:divBdr>
                    <w:top w:val="none" w:sz="0" w:space="0" w:color="auto"/>
                    <w:left w:val="none" w:sz="0" w:space="0" w:color="auto"/>
                    <w:bottom w:val="none" w:sz="0" w:space="0" w:color="auto"/>
                    <w:right w:val="none" w:sz="0" w:space="0" w:color="auto"/>
                  </w:divBdr>
                  <w:divsChild>
                    <w:div w:id="1271620571">
                      <w:marLeft w:val="0"/>
                      <w:marRight w:val="0"/>
                      <w:marTop w:val="0"/>
                      <w:marBottom w:val="0"/>
                      <w:divBdr>
                        <w:top w:val="none" w:sz="0" w:space="0" w:color="auto"/>
                        <w:left w:val="none" w:sz="0" w:space="0" w:color="auto"/>
                        <w:bottom w:val="none" w:sz="0" w:space="0" w:color="auto"/>
                        <w:right w:val="none" w:sz="0" w:space="0" w:color="auto"/>
                      </w:divBdr>
                    </w:div>
                  </w:divsChild>
                </w:div>
                <w:div w:id="2054112754">
                  <w:marLeft w:val="0"/>
                  <w:marRight w:val="0"/>
                  <w:marTop w:val="0"/>
                  <w:marBottom w:val="0"/>
                  <w:divBdr>
                    <w:top w:val="none" w:sz="0" w:space="0" w:color="auto"/>
                    <w:left w:val="none" w:sz="0" w:space="0" w:color="auto"/>
                    <w:bottom w:val="none" w:sz="0" w:space="0" w:color="auto"/>
                    <w:right w:val="none" w:sz="0" w:space="0" w:color="auto"/>
                  </w:divBdr>
                  <w:divsChild>
                    <w:div w:id="1374690022">
                      <w:marLeft w:val="0"/>
                      <w:marRight w:val="0"/>
                      <w:marTop w:val="0"/>
                      <w:marBottom w:val="0"/>
                      <w:divBdr>
                        <w:top w:val="none" w:sz="0" w:space="0" w:color="auto"/>
                        <w:left w:val="none" w:sz="0" w:space="0" w:color="auto"/>
                        <w:bottom w:val="none" w:sz="0" w:space="0" w:color="auto"/>
                        <w:right w:val="none" w:sz="0" w:space="0" w:color="auto"/>
                      </w:divBdr>
                    </w:div>
                  </w:divsChild>
                </w:div>
                <w:div w:id="2123844749">
                  <w:marLeft w:val="0"/>
                  <w:marRight w:val="0"/>
                  <w:marTop w:val="0"/>
                  <w:marBottom w:val="0"/>
                  <w:divBdr>
                    <w:top w:val="none" w:sz="0" w:space="0" w:color="auto"/>
                    <w:left w:val="none" w:sz="0" w:space="0" w:color="auto"/>
                    <w:bottom w:val="none" w:sz="0" w:space="0" w:color="auto"/>
                    <w:right w:val="none" w:sz="0" w:space="0" w:color="auto"/>
                  </w:divBdr>
                  <w:divsChild>
                    <w:div w:id="20239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49733">
          <w:marLeft w:val="0"/>
          <w:marRight w:val="0"/>
          <w:marTop w:val="0"/>
          <w:marBottom w:val="0"/>
          <w:divBdr>
            <w:top w:val="none" w:sz="0" w:space="0" w:color="auto"/>
            <w:left w:val="none" w:sz="0" w:space="0" w:color="auto"/>
            <w:bottom w:val="none" w:sz="0" w:space="0" w:color="auto"/>
            <w:right w:val="none" w:sz="0" w:space="0" w:color="auto"/>
          </w:divBdr>
          <w:divsChild>
            <w:div w:id="122315172">
              <w:marLeft w:val="0"/>
              <w:marRight w:val="0"/>
              <w:marTop w:val="0"/>
              <w:marBottom w:val="0"/>
              <w:divBdr>
                <w:top w:val="none" w:sz="0" w:space="0" w:color="auto"/>
                <w:left w:val="none" w:sz="0" w:space="0" w:color="auto"/>
                <w:bottom w:val="none" w:sz="0" w:space="0" w:color="auto"/>
                <w:right w:val="none" w:sz="0" w:space="0" w:color="auto"/>
              </w:divBdr>
            </w:div>
            <w:div w:id="438569700">
              <w:marLeft w:val="0"/>
              <w:marRight w:val="0"/>
              <w:marTop w:val="0"/>
              <w:marBottom w:val="0"/>
              <w:divBdr>
                <w:top w:val="none" w:sz="0" w:space="0" w:color="auto"/>
                <w:left w:val="none" w:sz="0" w:space="0" w:color="auto"/>
                <w:bottom w:val="none" w:sz="0" w:space="0" w:color="auto"/>
                <w:right w:val="none" w:sz="0" w:space="0" w:color="auto"/>
              </w:divBdr>
            </w:div>
            <w:div w:id="587429221">
              <w:marLeft w:val="0"/>
              <w:marRight w:val="0"/>
              <w:marTop w:val="0"/>
              <w:marBottom w:val="0"/>
              <w:divBdr>
                <w:top w:val="none" w:sz="0" w:space="0" w:color="auto"/>
                <w:left w:val="none" w:sz="0" w:space="0" w:color="auto"/>
                <w:bottom w:val="none" w:sz="0" w:space="0" w:color="auto"/>
                <w:right w:val="none" w:sz="0" w:space="0" w:color="auto"/>
              </w:divBdr>
            </w:div>
            <w:div w:id="727188901">
              <w:marLeft w:val="0"/>
              <w:marRight w:val="0"/>
              <w:marTop w:val="0"/>
              <w:marBottom w:val="0"/>
              <w:divBdr>
                <w:top w:val="none" w:sz="0" w:space="0" w:color="auto"/>
                <w:left w:val="none" w:sz="0" w:space="0" w:color="auto"/>
                <w:bottom w:val="none" w:sz="0" w:space="0" w:color="auto"/>
                <w:right w:val="none" w:sz="0" w:space="0" w:color="auto"/>
              </w:divBdr>
            </w:div>
            <w:div w:id="766775175">
              <w:marLeft w:val="0"/>
              <w:marRight w:val="0"/>
              <w:marTop w:val="0"/>
              <w:marBottom w:val="0"/>
              <w:divBdr>
                <w:top w:val="none" w:sz="0" w:space="0" w:color="auto"/>
                <w:left w:val="none" w:sz="0" w:space="0" w:color="auto"/>
                <w:bottom w:val="none" w:sz="0" w:space="0" w:color="auto"/>
                <w:right w:val="none" w:sz="0" w:space="0" w:color="auto"/>
              </w:divBdr>
            </w:div>
            <w:div w:id="836652521">
              <w:marLeft w:val="0"/>
              <w:marRight w:val="0"/>
              <w:marTop w:val="0"/>
              <w:marBottom w:val="0"/>
              <w:divBdr>
                <w:top w:val="none" w:sz="0" w:space="0" w:color="auto"/>
                <w:left w:val="none" w:sz="0" w:space="0" w:color="auto"/>
                <w:bottom w:val="none" w:sz="0" w:space="0" w:color="auto"/>
                <w:right w:val="none" w:sz="0" w:space="0" w:color="auto"/>
              </w:divBdr>
            </w:div>
            <w:div w:id="1034693293">
              <w:marLeft w:val="0"/>
              <w:marRight w:val="0"/>
              <w:marTop w:val="0"/>
              <w:marBottom w:val="0"/>
              <w:divBdr>
                <w:top w:val="none" w:sz="0" w:space="0" w:color="auto"/>
                <w:left w:val="none" w:sz="0" w:space="0" w:color="auto"/>
                <w:bottom w:val="none" w:sz="0" w:space="0" w:color="auto"/>
                <w:right w:val="none" w:sz="0" w:space="0" w:color="auto"/>
              </w:divBdr>
            </w:div>
            <w:div w:id="1034967696">
              <w:marLeft w:val="0"/>
              <w:marRight w:val="0"/>
              <w:marTop w:val="0"/>
              <w:marBottom w:val="0"/>
              <w:divBdr>
                <w:top w:val="none" w:sz="0" w:space="0" w:color="auto"/>
                <w:left w:val="none" w:sz="0" w:space="0" w:color="auto"/>
                <w:bottom w:val="none" w:sz="0" w:space="0" w:color="auto"/>
                <w:right w:val="none" w:sz="0" w:space="0" w:color="auto"/>
              </w:divBdr>
            </w:div>
            <w:div w:id="1044449006">
              <w:marLeft w:val="0"/>
              <w:marRight w:val="0"/>
              <w:marTop w:val="0"/>
              <w:marBottom w:val="0"/>
              <w:divBdr>
                <w:top w:val="none" w:sz="0" w:space="0" w:color="auto"/>
                <w:left w:val="none" w:sz="0" w:space="0" w:color="auto"/>
                <w:bottom w:val="none" w:sz="0" w:space="0" w:color="auto"/>
                <w:right w:val="none" w:sz="0" w:space="0" w:color="auto"/>
              </w:divBdr>
            </w:div>
            <w:div w:id="1050882475">
              <w:marLeft w:val="0"/>
              <w:marRight w:val="0"/>
              <w:marTop w:val="0"/>
              <w:marBottom w:val="0"/>
              <w:divBdr>
                <w:top w:val="none" w:sz="0" w:space="0" w:color="auto"/>
                <w:left w:val="none" w:sz="0" w:space="0" w:color="auto"/>
                <w:bottom w:val="none" w:sz="0" w:space="0" w:color="auto"/>
                <w:right w:val="none" w:sz="0" w:space="0" w:color="auto"/>
              </w:divBdr>
            </w:div>
            <w:div w:id="1165510485">
              <w:marLeft w:val="0"/>
              <w:marRight w:val="0"/>
              <w:marTop w:val="0"/>
              <w:marBottom w:val="0"/>
              <w:divBdr>
                <w:top w:val="none" w:sz="0" w:space="0" w:color="auto"/>
                <w:left w:val="none" w:sz="0" w:space="0" w:color="auto"/>
                <w:bottom w:val="none" w:sz="0" w:space="0" w:color="auto"/>
                <w:right w:val="none" w:sz="0" w:space="0" w:color="auto"/>
              </w:divBdr>
            </w:div>
            <w:div w:id="1354727137">
              <w:marLeft w:val="0"/>
              <w:marRight w:val="0"/>
              <w:marTop w:val="0"/>
              <w:marBottom w:val="0"/>
              <w:divBdr>
                <w:top w:val="none" w:sz="0" w:space="0" w:color="auto"/>
                <w:left w:val="none" w:sz="0" w:space="0" w:color="auto"/>
                <w:bottom w:val="none" w:sz="0" w:space="0" w:color="auto"/>
                <w:right w:val="none" w:sz="0" w:space="0" w:color="auto"/>
              </w:divBdr>
            </w:div>
            <w:div w:id="1536044767">
              <w:marLeft w:val="0"/>
              <w:marRight w:val="0"/>
              <w:marTop w:val="0"/>
              <w:marBottom w:val="0"/>
              <w:divBdr>
                <w:top w:val="none" w:sz="0" w:space="0" w:color="auto"/>
                <w:left w:val="none" w:sz="0" w:space="0" w:color="auto"/>
                <w:bottom w:val="none" w:sz="0" w:space="0" w:color="auto"/>
                <w:right w:val="none" w:sz="0" w:space="0" w:color="auto"/>
              </w:divBdr>
            </w:div>
            <w:div w:id="1557469967">
              <w:marLeft w:val="0"/>
              <w:marRight w:val="0"/>
              <w:marTop w:val="0"/>
              <w:marBottom w:val="0"/>
              <w:divBdr>
                <w:top w:val="none" w:sz="0" w:space="0" w:color="auto"/>
                <w:left w:val="none" w:sz="0" w:space="0" w:color="auto"/>
                <w:bottom w:val="none" w:sz="0" w:space="0" w:color="auto"/>
                <w:right w:val="none" w:sz="0" w:space="0" w:color="auto"/>
              </w:divBdr>
            </w:div>
            <w:div w:id="1618028155">
              <w:marLeft w:val="0"/>
              <w:marRight w:val="0"/>
              <w:marTop w:val="0"/>
              <w:marBottom w:val="0"/>
              <w:divBdr>
                <w:top w:val="none" w:sz="0" w:space="0" w:color="auto"/>
                <w:left w:val="none" w:sz="0" w:space="0" w:color="auto"/>
                <w:bottom w:val="none" w:sz="0" w:space="0" w:color="auto"/>
                <w:right w:val="none" w:sz="0" w:space="0" w:color="auto"/>
              </w:divBdr>
            </w:div>
            <w:div w:id="1629508443">
              <w:marLeft w:val="0"/>
              <w:marRight w:val="0"/>
              <w:marTop w:val="0"/>
              <w:marBottom w:val="0"/>
              <w:divBdr>
                <w:top w:val="none" w:sz="0" w:space="0" w:color="auto"/>
                <w:left w:val="none" w:sz="0" w:space="0" w:color="auto"/>
                <w:bottom w:val="none" w:sz="0" w:space="0" w:color="auto"/>
                <w:right w:val="none" w:sz="0" w:space="0" w:color="auto"/>
              </w:divBdr>
            </w:div>
            <w:div w:id="1740861258">
              <w:marLeft w:val="0"/>
              <w:marRight w:val="0"/>
              <w:marTop w:val="0"/>
              <w:marBottom w:val="0"/>
              <w:divBdr>
                <w:top w:val="none" w:sz="0" w:space="0" w:color="auto"/>
                <w:left w:val="none" w:sz="0" w:space="0" w:color="auto"/>
                <w:bottom w:val="none" w:sz="0" w:space="0" w:color="auto"/>
                <w:right w:val="none" w:sz="0" w:space="0" w:color="auto"/>
              </w:divBdr>
            </w:div>
            <w:div w:id="1957517710">
              <w:marLeft w:val="0"/>
              <w:marRight w:val="0"/>
              <w:marTop w:val="0"/>
              <w:marBottom w:val="0"/>
              <w:divBdr>
                <w:top w:val="none" w:sz="0" w:space="0" w:color="auto"/>
                <w:left w:val="none" w:sz="0" w:space="0" w:color="auto"/>
                <w:bottom w:val="none" w:sz="0" w:space="0" w:color="auto"/>
                <w:right w:val="none" w:sz="0" w:space="0" w:color="auto"/>
              </w:divBdr>
            </w:div>
            <w:div w:id="2000693462">
              <w:marLeft w:val="0"/>
              <w:marRight w:val="0"/>
              <w:marTop w:val="0"/>
              <w:marBottom w:val="0"/>
              <w:divBdr>
                <w:top w:val="none" w:sz="0" w:space="0" w:color="auto"/>
                <w:left w:val="none" w:sz="0" w:space="0" w:color="auto"/>
                <w:bottom w:val="none" w:sz="0" w:space="0" w:color="auto"/>
                <w:right w:val="none" w:sz="0" w:space="0" w:color="auto"/>
              </w:divBdr>
            </w:div>
            <w:div w:id="2088308675">
              <w:marLeft w:val="0"/>
              <w:marRight w:val="0"/>
              <w:marTop w:val="0"/>
              <w:marBottom w:val="0"/>
              <w:divBdr>
                <w:top w:val="none" w:sz="0" w:space="0" w:color="auto"/>
                <w:left w:val="none" w:sz="0" w:space="0" w:color="auto"/>
                <w:bottom w:val="none" w:sz="0" w:space="0" w:color="auto"/>
                <w:right w:val="none" w:sz="0" w:space="0" w:color="auto"/>
              </w:divBdr>
            </w:div>
          </w:divsChild>
        </w:div>
        <w:div w:id="1257129860">
          <w:marLeft w:val="0"/>
          <w:marRight w:val="0"/>
          <w:marTop w:val="0"/>
          <w:marBottom w:val="0"/>
          <w:divBdr>
            <w:top w:val="none" w:sz="0" w:space="0" w:color="auto"/>
            <w:left w:val="none" w:sz="0" w:space="0" w:color="auto"/>
            <w:bottom w:val="none" w:sz="0" w:space="0" w:color="auto"/>
            <w:right w:val="none" w:sz="0" w:space="0" w:color="auto"/>
          </w:divBdr>
          <w:divsChild>
            <w:div w:id="292517798">
              <w:marLeft w:val="0"/>
              <w:marRight w:val="0"/>
              <w:marTop w:val="0"/>
              <w:marBottom w:val="0"/>
              <w:divBdr>
                <w:top w:val="none" w:sz="0" w:space="0" w:color="auto"/>
                <w:left w:val="none" w:sz="0" w:space="0" w:color="auto"/>
                <w:bottom w:val="none" w:sz="0" w:space="0" w:color="auto"/>
                <w:right w:val="none" w:sz="0" w:space="0" w:color="auto"/>
              </w:divBdr>
            </w:div>
            <w:div w:id="322317060">
              <w:marLeft w:val="0"/>
              <w:marRight w:val="0"/>
              <w:marTop w:val="0"/>
              <w:marBottom w:val="0"/>
              <w:divBdr>
                <w:top w:val="none" w:sz="0" w:space="0" w:color="auto"/>
                <w:left w:val="none" w:sz="0" w:space="0" w:color="auto"/>
                <w:bottom w:val="none" w:sz="0" w:space="0" w:color="auto"/>
                <w:right w:val="none" w:sz="0" w:space="0" w:color="auto"/>
              </w:divBdr>
            </w:div>
            <w:div w:id="351226044">
              <w:marLeft w:val="0"/>
              <w:marRight w:val="0"/>
              <w:marTop w:val="0"/>
              <w:marBottom w:val="0"/>
              <w:divBdr>
                <w:top w:val="none" w:sz="0" w:space="0" w:color="auto"/>
                <w:left w:val="none" w:sz="0" w:space="0" w:color="auto"/>
                <w:bottom w:val="none" w:sz="0" w:space="0" w:color="auto"/>
                <w:right w:val="none" w:sz="0" w:space="0" w:color="auto"/>
              </w:divBdr>
            </w:div>
            <w:div w:id="516575195">
              <w:marLeft w:val="0"/>
              <w:marRight w:val="0"/>
              <w:marTop w:val="0"/>
              <w:marBottom w:val="0"/>
              <w:divBdr>
                <w:top w:val="none" w:sz="0" w:space="0" w:color="auto"/>
                <w:left w:val="none" w:sz="0" w:space="0" w:color="auto"/>
                <w:bottom w:val="none" w:sz="0" w:space="0" w:color="auto"/>
                <w:right w:val="none" w:sz="0" w:space="0" w:color="auto"/>
              </w:divBdr>
            </w:div>
            <w:div w:id="703212291">
              <w:marLeft w:val="0"/>
              <w:marRight w:val="0"/>
              <w:marTop w:val="0"/>
              <w:marBottom w:val="0"/>
              <w:divBdr>
                <w:top w:val="none" w:sz="0" w:space="0" w:color="auto"/>
                <w:left w:val="none" w:sz="0" w:space="0" w:color="auto"/>
                <w:bottom w:val="none" w:sz="0" w:space="0" w:color="auto"/>
                <w:right w:val="none" w:sz="0" w:space="0" w:color="auto"/>
              </w:divBdr>
            </w:div>
            <w:div w:id="902788844">
              <w:marLeft w:val="0"/>
              <w:marRight w:val="0"/>
              <w:marTop w:val="0"/>
              <w:marBottom w:val="0"/>
              <w:divBdr>
                <w:top w:val="none" w:sz="0" w:space="0" w:color="auto"/>
                <w:left w:val="none" w:sz="0" w:space="0" w:color="auto"/>
                <w:bottom w:val="none" w:sz="0" w:space="0" w:color="auto"/>
                <w:right w:val="none" w:sz="0" w:space="0" w:color="auto"/>
              </w:divBdr>
            </w:div>
            <w:div w:id="909004838">
              <w:marLeft w:val="0"/>
              <w:marRight w:val="0"/>
              <w:marTop w:val="0"/>
              <w:marBottom w:val="0"/>
              <w:divBdr>
                <w:top w:val="none" w:sz="0" w:space="0" w:color="auto"/>
                <w:left w:val="none" w:sz="0" w:space="0" w:color="auto"/>
                <w:bottom w:val="none" w:sz="0" w:space="0" w:color="auto"/>
                <w:right w:val="none" w:sz="0" w:space="0" w:color="auto"/>
              </w:divBdr>
            </w:div>
            <w:div w:id="929773933">
              <w:marLeft w:val="0"/>
              <w:marRight w:val="0"/>
              <w:marTop w:val="0"/>
              <w:marBottom w:val="0"/>
              <w:divBdr>
                <w:top w:val="none" w:sz="0" w:space="0" w:color="auto"/>
                <w:left w:val="none" w:sz="0" w:space="0" w:color="auto"/>
                <w:bottom w:val="none" w:sz="0" w:space="0" w:color="auto"/>
                <w:right w:val="none" w:sz="0" w:space="0" w:color="auto"/>
              </w:divBdr>
            </w:div>
            <w:div w:id="933319488">
              <w:marLeft w:val="0"/>
              <w:marRight w:val="0"/>
              <w:marTop w:val="0"/>
              <w:marBottom w:val="0"/>
              <w:divBdr>
                <w:top w:val="none" w:sz="0" w:space="0" w:color="auto"/>
                <w:left w:val="none" w:sz="0" w:space="0" w:color="auto"/>
                <w:bottom w:val="none" w:sz="0" w:space="0" w:color="auto"/>
                <w:right w:val="none" w:sz="0" w:space="0" w:color="auto"/>
              </w:divBdr>
            </w:div>
            <w:div w:id="1235698943">
              <w:marLeft w:val="0"/>
              <w:marRight w:val="0"/>
              <w:marTop w:val="0"/>
              <w:marBottom w:val="0"/>
              <w:divBdr>
                <w:top w:val="none" w:sz="0" w:space="0" w:color="auto"/>
                <w:left w:val="none" w:sz="0" w:space="0" w:color="auto"/>
                <w:bottom w:val="none" w:sz="0" w:space="0" w:color="auto"/>
                <w:right w:val="none" w:sz="0" w:space="0" w:color="auto"/>
              </w:divBdr>
            </w:div>
            <w:div w:id="1431856284">
              <w:marLeft w:val="0"/>
              <w:marRight w:val="0"/>
              <w:marTop w:val="0"/>
              <w:marBottom w:val="0"/>
              <w:divBdr>
                <w:top w:val="none" w:sz="0" w:space="0" w:color="auto"/>
                <w:left w:val="none" w:sz="0" w:space="0" w:color="auto"/>
                <w:bottom w:val="none" w:sz="0" w:space="0" w:color="auto"/>
                <w:right w:val="none" w:sz="0" w:space="0" w:color="auto"/>
              </w:divBdr>
            </w:div>
            <w:div w:id="1483620987">
              <w:marLeft w:val="0"/>
              <w:marRight w:val="0"/>
              <w:marTop w:val="0"/>
              <w:marBottom w:val="0"/>
              <w:divBdr>
                <w:top w:val="none" w:sz="0" w:space="0" w:color="auto"/>
                <w:left w:val="none" w:sz="0" w:space="0" w:color="auto"/>
                <w:bottom w:val="none" w:sz="0" w:space="0" w:color="auto"/>
                <w:right w:val="none" w:sz="0" w:space="0" w:color="auto"/>
              </w:divBdr>
            </w:div>
            <w:div w:id="1555921739">
              <w:marLeft w:val="0"/>
              <w:marRight w:val="0"/>
              <w:marTop w:val="0"/>
              <w:marBottom w:val="0"/>
              <w:divBdr>
                <w:top w:val="none" w:sz="0" w:space="0" w:color="auto"/>
                <w:left w:val="none" w:sz="0" w:space="0" w:color="auto"/>
                <w:bottom w:val="none" w:sz="0" w:space="0" w:color="auto"/>
                <w:right w:val="none" w:sz="0" w:space="0" w:color="auto"/>
              </w:divBdr>
            </w:div>
            <w:div w:id="1602950673">
              <w:marLeft w:val="0"/>
              <w:marRight w:val="0"/>
              <w:marTop w:val="0"/>
              <w:marBottom w:val="0"/>
              <w:divBdr>
                <w:top w:val="none" w:sz="0" w:space="0" w:color="auto"/>
                <w:left w:val="none" w:sz="0" w:space="0" w:color="auto"/>
                <w:bottom w:val="none" w:sz="0" w:space="0" w:color="auto"/>
                <w:right w:val="none" w:sz="0" w:space="0" w:color="auto"/>
              </w:divBdr>
            </w:div>
            <w:div w:id="1628850572">
              <w:marLeft w:val="0"/>
              <w:marRight w:val="0"/>
              <w:marTop w:val="0"/>
              <w:marBottom w:val="0"/>
              <w:divBdr>
                <w:top w:val="none" w:sz="0" w:space="0" w:color="auto"/>
                <w:left w:val="none" w:sz="0" w:space="0" w:color="auto"/>
                <w:bottom w:val="none" w:sz="0" w:space="0" w:color="auto"/>
                <w:right w:val="none" w:sz="0" w:space="0" w:color="auto"/>
              </w:divBdr>
            </w:div>
            <w:div w:id="1902133531">
              <w:marLeft w:val="0"/>
              <w:marRight w:val="0"/>
              <w:marTop w:val="0"/>
              <w:marBottom w:val="0"/>
              <w:divBdr>
                <w:top w:val="none" w:sz="0" w:space="0" w:color="auto"/>
                <w:left w:val="none" w:sz="0" w:space="0" w:color="auto"/>
                <w:bottom w:val="none" w:sz="0" w:space="0" w:color="auto"/>
                <w:right w:val="none" w:sz="0" w:space="0" w:color="auto"/>
              </w:divBdr>
            </w:div>
            <w:div w:id="1939755044">
              <w:marLeft w:val="0"/>
              <w:marRight w:val="0"/>
              <w:marTop w:val="0"/>
              <w:marBottom w:val="0"/>
              <w:divBdr>
                <w:top w:val="none" w:sz="0" w:space="0" w:color="auto"/>
                <w:left w:val="none" w:sz="0" w:space="0" w:color="auto"/>
                <w:bottom w:val="none" w:sz="0" w:space="0" w:color="auto"/>
                <w:right w:val="none" w:sz="0" w:space="0" w:color="auto"/>
              </w:divBdr>
            </w:div>
          </w:divsChild>
        </w:div>
        <w:div w:id="1612401072">
          <w:marLeft w:val="0"/>
          <w:marRight w:val="0"/>
          <w:marTop w:val="0"/>
          <w:marBottom w:val="0"/>
          <w:divBdr>
            <w:top w:val="none" w:sz="0" w:space="0" w:color="auto"/>
            <w:left w:val="none" w:sz="0" w:space="0" w:color="auto"/>
            <w:bottom w:val="none" w:sz="0" w:space="0" w:color="auto"/>
            <w:right w:val="none" w:sz="0" w:space="0" w:color="auto"/>
          </w:divBdr>
          <w:divsChild>
            <w:div w:id="292056984">
              <w:marLeft w:val="0"/>
              <w:marRight w:val="0"/>
              <w:marTop w:val="0"/>
              <w:marBottom w:val="0"/>
              <w:divBdr>
                <w:top w:val="none" w:sz="0" w:space="0" w:color="auto"/>
                <w:left w:val="none" w:sz="0" w:space="0" w:color="auto"/>
                <w:bottom w:val="none" w:sz="0" w:space="0" w:color="auto"/>
                <w:right w:val="none" w:sz="0" w:space="0" w:color="auto"/>
              </w:divBdr>
            </w:div>
            <w:div w:id="345138322">
              <w:marLeft w:val="0"/>
              <w:marRight w:val="0"/>
              <w:marTop w:val="0"/>
              <w:marBottom w:val="0"/>
              <w:divBdr>
                <w:top w:val="none" w:sz="0" w:space="0" w:color="auto"/>
                <w:left w:val="none" w:sz="0" w:space="0" w:color="auto"/>
                <w:bottom w:val="none" w:sz="0" w:space="0" w:color="auto"/>
                <w:right w:val="none" w:sz="0" w:space="0" w:color="auto"/>
              </w:divBdr>
            </w:div>
            <w:div w:id="488057414">
              <w:marLeft w:val="0"/>
              <w:marRight w:val="0"/>
              <w:marTop w:val="0"/>
              <w:marBottom w:val="0"/>
              <w:divBdr>
                <w:top w:val="none" w:sz="0" w:space="0" w:color="auto"/>
                <w:left w:val="none" w:sz="0" w:space="0" w:color="auto"/>
                <w:bottom w:val="none" w:sz="0" w:space="0" w:color="auto"/>
                <w:right w:val="none" w:sz="0" w:space="0" w:color="auto"/>
              </w:divBdr>
            </w:div>
            <w:div w:id="571082485">
              <w:marLeft w:val="0"/>
              <w:marRight w:val="0"/>
              <w:marTop w:val="0"/>
              <w:marBottom w:val="0"/>
              <w:divBdr>
                <w:top w:val="none" w:sz="0" w:space="0" w:color="auto"/>
                <w:left w:val="none" w:sz="0" w:space="0" w:color="auto"/>
                <w:bottom w:val="none" w:sz="0" w:space="0" w:color="auto"/>
                <w:right w:val="none" w:sz="0" w:space="0" w:color="auto"/>
              </w:divBdr>
            </w:div>
            <w:div w:id="607204150">
              <w:marLeft w:val="0"/>
              <w:marRight w:val="0"/>
              <w:marTop w:val="0"/>
              <w:marBottom w:val="0"/>
              <w:divBdr>
                <w:top w:val="none" w:sz="0" w:space="0" w:color="auto"/>
                <w:left w:val="none" w:sz="0" w:space="0" w:color="auto"/>
                <w:bottom w:val="none" w:sz="0" w:space="0" w:color="auto"/>
                <w:right w:val="none" w:sz="0" w:space="0" w:color="auto"/>
              </w:divBdr>
            </w:div>
            <w:div w:id="705980918">
              <w:marLeft w:val="0"/>
              <w:marRight w:val="0"/>
              <w:marTop w:val="0"/>
              <w:marBottom w:val="0"/>
              <w:divBdr>
                <w:top w:val="none" w:sz="0" w:space="0" w:color="auto"/>
                <w:left w:val="none" w:sz="0" w:space="0" w:color="auto"/>
                <w:bottom w:val="none" w:sz="0" w:space="0" w:color="auto"/>
                <w:right w:val="none" w:sz="0" w:space="0" w:color="auto"/>
              </w:divBdr>
            </w:div>
            <w:div w:id="734159386">
              <w:marLeft w:val="0"/>
              <w:marRight w:val="0"/>
              <w:marTop w:val="0"/>
              <w:marBottom w:val="0"/>
              <w:divBdr>
                <w:top w:val="none" w:sz="0" w:space="0" w:color="auto"/>
                <w:left w:val="none" w:sz="0" w:space="0" w:color="auto"/>
                <w:bottom w:val="none" w:sz="0" w:space="0" w:color="auto"/>
                <w:right w:val="none" w:sz="0" w:space="0" w:color="auto"/>
              </w:divBdr>
            </w:div>
            <w:div w:id="1042284601">
              <w:marLeft w:val="0"/>
              <w:marRight w:val="0"/>
              <w:marTop w:val="0"/>
              <w:marBottom w:val="0"/>
              <w:divBdr>
                <w:top w:val="none" w:sz="0" w:space="0" w:color="auto"/>
                <w:left w:val="none" w:sz="0" w:space="0" w:color="auto"/>
                <w:bottom w:val="none" w:sz="0" w:space="0" w:color="auto"/>
                <w:right w:val="none" w:sz="0" w:space="0" w:color="auto"/>
              </w:divBdr>
            </w:div>
            <w:div w:id="1112478584">
              <w:marLeft w:val="0"/>
              <w:marRight w:val="0"/>
              <w:marTop w:val="0"/>
              <w:marBottom w:val="0"/>
              <w:divBdr>
                <w:top w:val="none" w:sz="0" w:space="0" w:color="auto"/>
                <w:left w:val="none" w:sz="0" w:space="0" w:color="auto"/>
                <w:bottom w:val="none" w:sz="0" w:space="0" w:color="auto"/>
                <w:right w:val="none" w:sz="0" w:space="0" w:color="auto"/>
              </w:divBdr>
            </w:div>
            <w:div w:id="1187208754">
              <w:marLeft w:val="0"/>
              <w:marRight w:val="0"/>
              <w:marTop w:val="0"/>
              <w:marBottom w:val="0"/>
              <w:divBdr>
                <w:top w:val="none" w:sz="0" w:space="0" w:color="auto"/>
                <w:left w:val="none" w:sz="0" w:space="0" w:color="auto"/>
                <w:bottom w:val="none" w:sz="0" w:space="0" w:color="auto"/>
                <w:right w:val="none" w:sz="0" w:space="0" w:color="auto"/>
              </w:divBdr>
            </w:div>
            <w:div w:id="1351369645">
              <w:marLeft w:val="0"/>
              <w:marRight w:val="0"/>
              <w:marTop w:val="0"/>
              <w:marBottom w:val="0"/>
              <w:divBdr>
                <w:top w:val="none" w:sz="0" w:space="0" w:color="auto"/>
                <w:left w:val="none" w:sz="0" w:space="0" w:color="auto"/>
                <w:bottom w:val="none" w:sz="0" w:space="0" w:color="auto"/>
                <w:right w:val="none" w:sz="0" w:space="0" w:color="auto"/>
              </w:divBdr>
            </w:div>
            <w:div w:id="1505171835">
              <w:marLeft w:val="0"/>
              <w:marRight w:val="0"/>
              <w:marTop w:val="0"/>
              <w:marBottom w:val="0"/>
              <w:divBdr>
                <w:top w:val="none" w:sz="0" w:space="0" w:color="auto"/>
                <w:left w:val="none" w:sz="0" w:space="0" w:color="auto"/>
                <w:bottom w:val="none" w:sz="0" w:space="0" w:color="auto"/>
                <w:right w:val="none" w:sz="0" w:space="0" w:color="auto"/>
              </w:divBdr>
            </w:div>
            <w:div w:id="1510412528">
              <w:marLeft w:val="0"/>
              <w:marRight w:val="0"/>
              <w:marTop w:val="0"/>
              <w:marBottom w:val="0"/>
              <w:divBdr>
                <w:top w:val="none" w:sz="0" w:space="0" w:color="auto"/>
                <w:left w:val="none" w:sz="0" w:space="0" w:color="auto"/>
                <w:bottom w:val="none" w:sz="0" w:space="0" w:color="auto"/>
                <w:right w:val="none" w:sz="0" w:space="0" w:color="auto"/>
              </w:divBdr>
            </w:div>
            <w:div w:id="1745565057">
              <w:marLeft w:val="0"/>
              <w:marRight w:val="0"/>
              <w:marTop w:val="0"/>
              <w:marBottom w:val="0"/>
              <w:divBdr>
                <w:top w:val="none" w:sz="0" w:space="0" w:color="auto"/>
                <w:left w:val="none" w:sz="0" w:space="0" w:color="auto"/>
                <w:bottom w:val="none" w:sz="0" w:space="0" w:color="auto"/>
                <w:right w:val="none" w:sz="0" w:space="0" w:color="auto"/>
              </w:divBdr>
            </w:div>
            <w:div w:id="1749955699">
              <w:marLeft w:val="0"/>
              <w:marRight w:val="0"/>
              <w:marTop w:val="0"/>
              <w:marBottom w:val="0"/>
              <w:divBdr>
                <w:top w:val="none" w:sz="0" w:space="0" w:color="auto"/>
                <w:left w:val="none" w:sz="0" w:space="0" w:color="auto"/>
                <w:bottom w:val="none" w:sz="0" w:space="0" w:color="auto"/>
                <w:right w:val="none" w:sz="0" w:space="0" w:color="auto"/>
              </w:divBdr>
            </w:div>
            <w:div w:id="1837063950">
              <w:marLeft w:val="0"/>
              <w:marRight w:val="0"/>
              <w:marTop w:val="0"/>
              <w:marBottom w:val="0"/>
              <w:divBdr>
                <w:top w:val="none" w:sz="0" w:space="0" w:color="auto"/>
                <w:left w:val="none" w:sz="0" w:space="0" w:color="auto"/>
                <w:bottom w:val="none" w:sz="0" w:space="0" w:color="auto"/>
                <w:right w:val="none" w:sz="0" w:space="0" w:color="auto"/>
              </w:divBdr>
            </w:div>
            <w:div w:id="1935674362">
              <w:marLeft w:val="0"/>
              <w:marRight w:val="0"/>
              <w:marTop w:val="0"/>
              <w:marBottom w:val="0"/>
              <w:divBdr>
                <w:top w:val="none" w:sz="0" w:space="0" w:color="auto"/>
                <w:left w:val="none" w:sz="0" w:space="0" w:color="auto"/>
                <w:bottom w:val="none" w:sz="0" w:space="0" w:color="auto"/>
                <w:right w:val="none" w:sz="0" w:space="0" w:color="auto"/>
              </w:divBdr>
            </w:div>
            <w:div w:id="1995865286">
              <w:marLeft w:val="0"/>
              <w:marRight w:val="0"/>
              <w:marTop w:val="0"/>
              <w:marBottom w:val="0"/>
              <w:divBdr>
                <w:top w:val="none" w:sz="0" w:space="0" w:color="auto"/>
                <w:left w:val="none" w:sz="0" w:space="0" w:color="auto"/>
                <w:bottom w:val="none" w:sz="0" w:space="0" w:color="auto"/>
                <w:right w:val="none" w:sz="0" w:space="0" w:color="auto"/>
              </w:divBdr>
            </w:div>
            <w:div w:id="2001957535">
              <w:marLeft w:val="0"/>
              <w:marRight w:val="0"/>
              <w:marTop w:val="0"/>
              <w:marBottom w:val="0"/>
              <w:divBdr>
                <w:top w:val="none" w:sz="0" w:space="0" w:color="auto"/>
                <w:left w:val="none" w:sz="0" w:space="0" w:color="auto"/>
                <w:bottom w:val="none" w:sz="0" w:space="0" w:color="auto"/>
                <w:right w:val="none" w:sz="0" w:space="0" w:color="auto"/>
              </w:divBdr>
            </w:div>
            <w:div w:id="2061900125">
              <w:marLeft w:val="0"/>
              <w:marRight w:val="0"/>
              <w:marTop w:val="0"/>
              <w:marBottom w:val="0"/>
              <w:divBdr>
                <w:top w:val="none" w:sz="0" w:space="0" w:color="auto"/>
                <w:left w:val="none" w:sz="0" w:space="0" w:color="auto"/>
                <w:bottom w:val="none" w:sz="0" w:space="0" w:color="auto"/>
                <w:right w:val="none" w:sz="0" w:space="0" w:color="auto"/>
              </w:divBdr>
            </w:div>
          </w:divsChild>
        </w:div>
        <w:div w:id="1948928604">
          <w:marLeft w:val="0"/>
          <w:marRight w:val="0"/>
          <w:marTop w:val="0"/>
          <w:marBottom w:val="0"/>
          <w:divBdr>
            <w:top w:val="none" w:sz="0" w:space="0" w:color="auto"/>
            <w:left w:val="none" w:sz="0" w:space="0" w:color="auto"/>
            <w:bottom w:val="none" w:sz="0" w:space="0" w:color="auto"/>
            <w:right w:val="none" w:sz="0" w:space="0" w:color="auto"/>
          </w:divBdr>
          <w:divsChild>
            <w:div w:id="38172280">
              <w:marLeft w:val="0"/>
              <w:marRight w:val="0"/>
              <w:marTop w:val="0"/>
              <w:marBottom w:val="0"/>
              <w:divBdr>
                <w:top w:val="none" w:sz="0" w:space="0" w:color="auto"/>
                <w:left w:val="none" w:sz="0" w:space="0" w:color="auto"/>
                <w:bottom w:val="none" w:sz="0" w:space="0" w:color="auto"/>
                <w:right w:val="none" w:sz="0" w:space="0" w:color="auto"/>
              </w:divBdr>
            </w:div>
            <w:div w:id="109593787">
              <w:marLeft w:val="0"/>
              <w:marRight w:val="0"/>
              <w:marTop w:val="0"/>
              <w:marBottom w:val="0"/>
              <w:divBdr>
                <w:top w:val="none" w:sz="0" w:space="0" w:color="auto"/>
                <w:left w:val="none" w:sz="0" w:space="0" w:color="auto"/>
                <w:bottom w:val="none" w:sz="0" w:space="0" w:color="auto"/>
                <w:right w:val="none" w:sz="0" w:space="0" w:color="auto"/>
              </w:divBdr>
            </w:div>
            <w:div w:id="263194607">
              <w:marLeft w:val="0"/>
              <w:marRight w:val="0"/>
              <w:marTop w:val="0"/>
              <w:marBottom w:val="0"/>
              <w:divBdr>
                <w:top w:val="none" w:sz="0" w:space="0" w:color="auto"/>
                <w:left w:val="none" w:sz="0" w:space="0" w:color="auto"/>
                <w:bottom w:val="none" w:sz="0" w:space="0" w:color="auto"/>
                <w:right w:val="none" w:sz="0" w:space="0" w:color="auto"/>
              </w:divBdr>
            </w:div>
            <w:div w:id="476990523">
              <w:marLeft w:val="0"/>
              <w:marRight w:val="0"/>
              <w:marTop w:val="0"/>
              <w:marBottom w:val="0"/>
              <w:divBdr>
                <w:top w:val="none" w:sz="0" w:space="0" w:color="auto"/>
                <w:left w:val="none" w:sz="0" w:space="0" w:color="auto"/>
                <w:bottom w:val="none" w:sz="0" w:space="0" w:color="auto"/>
                <w:right w:val="none" w:sz="0" w:space="0" w:color="auto"/>
              </w:divBdr>
            </w:div>
            <w:div w:id="618146697">
              <w:marLeft w:val="0"/>
              <w:marRight w:val="0"/>
              <w:marTop w:val="0"/>
              <w:marBottom w:val="0"/>
              <w:divBdr>
                <w:top w:val="none" w:sz="0" w:space="0" w:color="auto"/>
                <w:left w:val="none" w:sz="0" w:space="0" w:color="auto"/>
                <w:bottom w:val="none" w:sz="0" w:space="0" w:color="auto"/>
                <w:right w:val="none" w:sz="0" w:space="0" w:color="auto"/>
              </w:divBdr>
            </w:div>
            <w:div w:id="701056317">
              <w:marLeft w:val="0"/>
              <w:marRight w:val="0"/>
              <w:marTop w:val="0"/>
              <w:marBottom w:val="0"/>
              <w:divBdr>
                <w:top w:val="none" w:sz="0" w:space="0" w:color="auto"/>
                <w:left w:val="none" w:sz="0" w:space="0" w:color="auto"/>
                <w:bottom w:val="none" w:sz="0" w:space="0" w:color="auto"/>
                <w:right w:val="none" w:sz="0" w:space="0" w:color="auto"/>
              </w:divBdr>
            </w:div>
            <w:div w:id="805319288">
              <w:marLeft w:val="0"/>
              <w:marRight w:val="0"/>
              <w:marTop w:val="0"/>
              <w:marBottom w:val="0"/>
              <w:divBdr>
                <w:top w:val="none" w:sz="0" w:space="0" w:color="auto"/>
                <w:left w:val="none" w:sz="0" w:space="0" w:color="auto"/>
                <w:bottom w:val="none" w:sz="0" w:space="0" w:color="auto"/>
                <w:right w:val="none" w:sz="0" w:space="0" w:color="auto"/>
              </w:divBdr>
            </w:div>
            <w:div w:id="882638870">
              <w:marLeft w:val="0"/>
              <w:marRight w:val="0"/>
              <w:marTop w:val="0"/>
              <w:marBottom w:val="0"/>
              <w:divBdr>
                <w:top w:val="none" w:sz="0" w:space="0" w:color="auto"/>
                <w:left w:val="none" w:sz="0" w:space="0" w:color="auto"/>
                <w:bottom w:val="none" w:sz="0" w:space="0" w:color="auto"/>
                <w:right w:val="none" w:sz="0" w:space="0" w:color="auto"/>
              </w:divBdr>
            </w:div>
            <w:div w:id="904876466">
              <w:marLeft w:val="0"/>
              <w:marRight w:val="0"/>
              <w:marTop w:val="0"/>
              <w:marBottom w:val="0"/>
              <w:divBdr>
                <w:top w:val="none" w:sz="0" w:space="0" w:color="auto"/>
                <w:left w:val="none" w:sz="0" w:space="0" w:color="auto"/>
                <w:bottom w:val="none" w:sz="0" w:space="0" w:color="auto"/>
                <w:right w:val="none" w:sz="0" w:space="0" w:color="auto"/>
              </w:divBdr>
            </w:div>
            <w:div w:id="967779250">
              <w:marLeft w:val="0"/>
              <w:marRight w:val="0"/>
              <w:marTop w:val="0"/>
              <w:marBottom w:val="0"/>
              <w:divBdr>
                <w:top w:val="none" w:sz="0" w:space="0" w:color="auto"/>
                <w:left w:val="none" w:sz="0" w:space="0" w:color="auto"/>
                <w:bottom w:val="none" w:sz="0" w:space="0" w:color="auto"/>
                <w:right w:val="none" w:sz="0" w:space="0" w:color="auto"/>
              </w:divBdr>
            </w:div>
            <w:div w:id="1281255877">
              <w:marLeft w:val="0"/>
              <w:marRight w:val="0"/>
              <w:marTop w:val="0"/>
              <w:marBottom w:val="0"/>
              <w:divBdr>
                <w:top w:val="none" w:sz="0" w:space="0" w:color="auto"/>
                <w:left w:val="none" w:sz="0" w:space="0" w:color="auto"/>
                <w:bottom w:val="none" w:sz="0" w:space="0" w:color="auto"/>
                <w:right w:val="none" w:sz="0" w:space="0" w:color="auto"/>
              </w:divBdr>
            </w:div>
            <w:div w:id="1303538708">
              <w:marLeft w:val="0"/>
              <w:marRight w:val="0"/>
              <w:marTop w:val="0"/>
              <w:marBottom w:val="0"/>
              <w:divBdr>
                <w:top w:val="none" w:sz="0" w:space="0" w:color="auto"/>
                <w:left w:val="none" w:sz="0" w:space="0" w:color="auto"/>
                <w:bottom w:val="none" w:sz="0" w:space="0" w:color="auto"/>
                <w:right w:val="none" w:sz="0" w:space="0" w:color="auto"/>
              </w:divBdr>
            </w:div>
            <w:div w:id="1463578673">
              <w:marLeft w:val="0"/>
              <w:marRight w:val="0"/>
              <w:marTop w:val="0"/>
              <w:marBottom w:val="0"/>
              <w:divBdr>
                <w:top w:val="none" w:sz="0" w:space="0" w:color="auto"/>
                <w:left w:val="none" w:sz="0" w:space="0" w:color="auto"/>
                <w:bottom w:val="none" w:sz="0" w:space="0" w:color="auto"/>
                <w:right w:val="none" w:sz="0" w:space="0" w:color="auto"/>
              </w:divBdr>
            </w:div>
            <w:div w:id="1603880348">
              <w:marLeft w:val="0"/>
              <w:marRight w:val="0"/>
              <w:marTop w:val="0"/>
              <w:marBottom w:val="0"/>
              <w:divBdr>
                <w:top w:val="none" w:sz="0" w:space="0" w:color="auto"/>
                <w:left w:val="none" w:sz="0" w:space="0" w:color="auto"/>
                <w:bottom w:val="none" w:sz="0" w:space="0" w:color="auto"/>
                <w:right w:val="none" w:sz="0" w:space="0" w:color="auto"/>
              </w:divBdr>
            </w:div>
            <w:div w:id="1619795328">
              <w:marLeft w:val="0"/>
              <w:marRight w:val="0"/>
              <w:marTop w:val="0"/>
              <w:marBottom w:val="0"/>
              <w:divBdr>
                <w:top w:val="none" w:sz="0" w:space="0" w:color="auto"/>
                <w:left w:val="none" w:sz="0" w:space="0" w:color="auto"/>
                <w:bottom w:val="none" w:sz="0" w:space="0" w:color="auto"/>
                <w:right w:val="none" w:sz="0" w:space="0" w:color="auto"/>
              </w:divBdr>
            </w:div>
            <w:div w:id="1688869333">
              <w:marLeft w:val="0"/>
              <w:marRight w:val="0"/>
              <w:marTop w:val="0"/>
              <w:marBottom w:val="0"/>
              <w:divBdr>
                <w:top w:val="none" w:sz="0" w:space="0" w:color="auto"/>
                <w:left w:val="none" w:sz="0" w:space="0" w:color="auto"/>
                <w:bottom w:val="none" w:sz="0" w:space="0" w:color="auto"/>
                <w:right w:val="none" w:sz="0" w:space="0" w:color="auto"/>
              </w:divBdr>
            </w:div>
            <w:div w:id="1729498299">
              <w:marLeft w:val="0"/>
              <w:marRight w:val="0"/>
              <w:marTop w:val="0"/>
              <w:marBottom w:val="0"/>
              <w:divBdr>
                <w:top w:val="none" w:sz="0" w:space="0" w:color="auto"/>
                <w:left w:val="none" w:sz="0" w:space="0" w:color="auto"/>
                <w:bottom w:val="none" w:sz="0" w:space="0" w:color="auto"/>
                <w:right w:val="none" w:sz="0" w:space="0" w:color="auto"/>
              </w:divBdr>
            </w:div>
            <w:div w:id="1805852794">
              <w:marLeft w:val="0"/>
              <w:marRight w:val="0"/>
              <w:marTop w:val="0"/>
              <w:marBottom w:val="0"/>
              <w:divBdr>
                <w:top w:val="none" w:sz="0" w:space="0" w:color="auto"/>
                <w:left w:val="none" w:sz="0" w:space="0" w:color="auto"/>
                <w:bottom w:val="none" w:sz="0" w:space="0" w:color="auto"/>
                <w:right w:val="none" w:sz="0" w:space="0" w:color="auto"/>
              </w:divBdr>
            </w:div>
            <w:div w:id="1838612677">
              <w:marLeft w:val="0"/>
              <w:marRight w:val="0"/>
              <w:marTop w:val="0"/>
              <w:marBottom w:val="0"/>
              <w:divBdr>
                <w:top w:val="none" w:sz="0" w:space="0" w:color="auto"/>
                <w:left w:val="none" w:sz="0" w:space="0" w:color="auto"/>
                <w:bottom w:val="none" w:sz="0" w:space="0" w:color="auto"/>
                <w:right w:val="none" w:sz="0" w:space="0" w:color="auto"/>
              </w:divBdr>
            </w:div>
            <w:div w:id="1947424673">
              <w:marLeft w:val="0"/>
              <w:marRight w:val="0"/>
              <w:marTop w:val="0"/>
              <w:marBottom w:val="0"/>
              <w:divBdr>
                <w:top w:val="none" w:sz="0" w:space="0" w:color="auto"/>
                <w:left w:val="none" w:sz="0" w:space="0" w:color="auto"/>
                <w:bottom w:val="none" w:sz="0" w:space="0" w:color="auto"/>
                <w:right w:val="none" w:sz="0" w:space="0" w:color="auto"/>
              </w:divBdr>
            </w:div>
          </w:divsChild>
        </w:div>
        <w:div w:id="2030834789">
          <w:marLeft w:val="0"/>
          <w:marRight w:val="0"/>
          <w:marTop w:val="0"/>
          <w:marBottom w:val="0"/>
          <w:divBdr>
            <w:top w:val="none" w:sz="0" w:space="0" w:color="auto"/>
            <w:left w:val="none" w:sz="0" w:space="0" w:color="auto"/>
            <w:bottom w:val="none" w:sz="0" w:space="0" w:color="auto"/>
            <w:right w:val="none" w:sz="0" w:space="0" w:color="auto"/>
          </w:divBdr>
          <w:divsChild>
            <w:div w:id="107428591">
              <w:marLeft w:val="0"/>
              <w:marRight w:val="0"/>
              <w:marTop w:val="0"/>
              <w:marBottom w:val="0"/>
              <w:divBdr>
                <w:top w:val="none" w:sz="0" w:space="0" w:color="auto"/>
                <w:left w:val="none" w:sz="0" w:space="0" w:color="auto"/>
                <w:bottom w:val="none" w:sz="0" w:space="0" w:color="auto"/>
                <w:right w:val="none" w:sz="0" w:space="0" w:color="auto"/>
              </w:divBdr>
            </w:div>
            <w:div w:id="216010991">
              <w:marLeft w:val="0"/>
              <w:marRight w:val="0"/>
              <w:marTop w:val="0"/>
              <w:marBottom w:val="0"/>
              <w:divBdr>
                <w:top w:val="none" w:sz="0" w:space="0" w:color="auto"/>
                <w:left w:val="none" w:sz="0" w:space="0" w:color="auto"/>
                <w:bottom w:val="none" w:sz="0" w:space="0" w:color="auto"/>
                <w:right w:val="none" w:sz="0" w:space="0" w:color="auto"/>
              </w:divBdr>
            </w:div>
            <w:div w:id="341277717">
              <w:marLeft w:val="0"/>
              <w:marRight w:val="0"/>
              <w:marTop w:val="0"/>
              <w:marBottom w:val="0"/>
              <w:divBdr>
                <w:top w:val="none" w:sz="0" w:space="0" w:color="auto"/>
                <w:left w:val="none" w:sz="0" w:space="0" w:color="auto"/>
                <w:bottom w:val="none" w:sz="0" w:space="0" w:color="auto"/>
                <w:right w:val="none" w:sz="0" w:space="0" w:color="auto"/>
              </w:divBdr>
            </w:div>
            <w:div w:id="442381743">
              <w:marLeft w:val="0"/>
              <w:marRight w:val="0"/>
              <w:marTop w:val="0"/>
              <w:marBottom w:val="0"/>
              <w:divBdr>
                <w:top w:val="none" w:sz="0" w:space="0" w:color="auto"/>
                <w:left w:val="none" w:sz="0" w:space="0" w:color="auto"/>
                <w:bottom w:val="none" w:sz="0" w:space="0" w:color="auto"/>
                <w:right w:val="none" w:sz="0" w:space="0" w:color="auto"/>
              </w:divBdr>
            </w:div>
            <w:div w:id="469634253">
              <w:marLeft w:val="0"/>
              <w:marRight w:val="0"/>
              <w:marTop w:val="0"/>
              <w:marBottom w:val="0"/>
              <w:divBdr>
                <w:top w:val="none" w:sz="0" w:space="0" w:color="auto"/>
                <w:left w:val="none" w:sz="0" w:space="0" w:color="auto"/>
                <w:bottom w:val="none" w:sz="0" w:space="0" w:color="auto"/>
                <w:right w:val="none" w:sz="0" w:space="0" w:color="auto"/>
              </w:divBdr>
            </w:div>
            <w:div w:id="489323404">
              <w:marLeft w:val="0"/>
              <w:marRight w:val="0"/>
              <w:marTop w:val="0"/>
              <w:marBottom w:val="0"/>
              <w:divBdr>
                <w:top w:val="none" w:sz="0" w:space="0" w:color="auto"/>
                <w:left w:val="none" w:sz="0" w:space="0" w:color="auto"/>
                <w:bottom w:val="none" w:sz="0" w:space="0" w:color="auto"/>
                <w:right w:val="none" w:sz="0" w:space="0" w:color="auto"/>
              </w:divBdr>
            </w:div>
            <w:div w:id="495851301">
              <w:marLeft w:val="0"/>
              <w:marRight w:val="0"/>
              <w:marTop w:val="0"/>
              <w:marBottom w:val="0"/>
              <w:divBdr>
                <w:top w:val="none" w:sz="0" w:space="0" w:color="auto"/>
                <w:left w:val="none" w:sz="0" w:space="0" w:color="auto"/>
                <w:bottom w:val="none" w:sz="0" w:space="0" w:color="auto"/>
                <w:right w:val="none" w:sz="0" w:space="0" w:color="auto"/>
              </w:divBdr>
            </w:div>
            <w:div w:id="882324405">
              <w:marLeft w:val="0"/>
              <w:marRight w:val="0"/>
              <w:marTop w:val="0"/>
              <w:marBottom w:val="0"/>
              <w:divBdr>
                <w:top w:val="none" w:sz="0" w:space="0" w:color="auto"/>
                <w:left w:val="none" w:sz="0" w:space="0" w:color="auto"/>
                <w:bottom w:val="none" w:sz="0" w:space="0" w:color="auto"/>
                <w:right w:val="none" w:sz="0" w:space="0" w:color="auto"/>
              </w:divBdr>
            </w:div>
            <w:div w:id="893930816">
              <w:marLeft w:val="0"/>
              <w:marRight w:val="0"/>
              <w:marTop w:val="0"/>
              <w:marBottom w:val="0"/>
              <w:divBdr>
                <w:top w:val="none" w:sz="0" w:space="0" w:color="auto"/>
                <w:left w:val="none" w:sz="0" w:space="0" w:color="auto"/>
                <w:bottom w:val="none" w:sz="0" w:space="0" w:color="auto"/>
                <w:right w:val="none" w:sz="0" w:space="0" w:color="auto"/>
              </w:divBdr>
            </w:div>
            <w:div w:id="1078746899">
              <w:marLeft w:val="0"/>
              <w:marRight w:val="0"/>
              <w:marTop w:val="0"/>
              <w:marBottom w:val="0"/>
              <w:divBdr>
                <w:top w:val="none" w:sz="0" w:space="0" w:color="auto"/>
                <w:left w:val="none" w:sz="0" w:space="0" w:color="auto"/>
                <w:bottom w:val="none" w:sz="0" w:space="0" w:color="auto"/>
                <w:right w:val="none" w:sz="0" w:space="0" w:color="auto"/>
              </w:divBdr>
            </w:div>
            <w:div w:id="1178810402">
              <w:marLeft w:val="0"/>
              <w:marRight w:val="0"/>
              <w:marTop w:val="0"/>
              <w:marBottom w:val="0"/>
              <w:divBdr>
                <w:top w:val="none" w:sz="0" w:space="0" w:color="auto"/>
                <w:left w:val="none" w:sz="0" w:space="0" w:color="auto"/>
                <w:bottom w:val="none" w:sz="0" w:space="0" w:color="auto"/>
                <w:right w:val="none" w:sz="0" w:space="0" w:color="auto"/>
              </w:divBdr>
            </w:div>
            <w:div w:id="1269653364">
              <w:marLeft w:val="0"/>
              <w:marRight w:val="0"/>
              <w:marTop w:val="0"/>
              <w:marBottom w:val="0"/>
              <w:divBdr>
                <w:top w:val="none" w:sz="0" w:space="0" w:color="auto"/>
                <w:left w:val="none" w:sz="0" w:space="0" w:color="auto"/>
                <w:bottom w:val="none" w:sz="0" w:space="0" w:color="auto"/>
                <w:right w:val="none" w:sz="0" w:space="0" w:color="auto"/>
              </w:divBdr>
            </w:div>
            <w:div w:id="1372917873">
              <w:marLeft w:val="0"/>
              <w:marRight w:val="0"/>
              <w:marTop w:val="0"/>
              <w:marBottom w:val="0"/>
              <w:divBdr>
                <w:top w:val="none" w:sz="0" w:space="0" w:color="auto"/>
                <w:left w:val="none" w:sz="0" w:space="0" w:color="auto"/>
                <w:bottom w:val="none" w:sz="0" w:space="0" w:color="auto"/>
                <w:right w:val="none" w:sz="0" w:space="0" w:color="auto"/>
              </w:divBdr>
            </w:div>
            <w:div w:id="1512330411">
              <w:marLeft w:val="0"/>
              <w:marRight w:val="0"/>
              <w:marTop w:val="0"/>
              <w:marBottom w:val="0"/>
              <w:divBdr>
                <w:top w:val="none" w:sz="0" w:space="0" w:color="auto"/>
                <w:left w:val="none" w:sz="0" w:space="0" w:color="auto"/>
                <w:bottom w:val="none" w:sz="0" w:space="0" w:color="auto"/>
                <w:right w:val="none" w:sz="0" w:space="0" w:color="auto"/>
              </w:divBdr>
            </w:div>
            <w:div w:id="1741950579">
              <w:marLeft w:val="0"/>
              <w:marRight w:val="0"/>
              <w:marTop w:val="0"/>
              <w:marBottom w:val="0"/>
              <w:divBdr>
                <w:top w:val="none" w:sz="0" w:space="0" w:color="auto"/>
                <w:left w:val="none" w:sz="0" w:space="0" w:color="auto"/>
                <w:bottom w:val="none" w:sz="0" w:space="0" w:color="auto"/>
                <w:right w:val="none" w:sz="0" w:space="0" w:color="auto"/>
              </w:divBdr>
            </w:div>
            <w:div w:id="1913544302">
              <w:marLeft w:val="0"/>
              <w:marRight w:val="0"/>
              <w:marTop w:val="0"/>
              <w:marBottom w:val="0"/>
              <w:divBdr>
                <w:top w:val="none" w:sz="0" w:space="0" w:color="auto"/>
                <w:left w:val="none" w:sz="0" w:space="0" w:color="auto"/>
                <w:bottom w:val="none" w:sz="0" w:space="0" w:color="auto"/>
                <w:right w:val="none" w:sz="0" w:space="0" w:color="auto"/>
              </w:divBdr>
            </w:div>
            <w:div w:id="1987663409">
              <w:marLeft w:val="0"/>
              <w:marRight w:val="0"/>
              <w:marTop w:val="0"/>
              <w:marBottom w:val="0"/>
              <w:divBdr>
                <w:top w:val="none" w:sz="0" w:space="0" w:color="auto"/>
                <w:left w:val="none" w:sz="0" w:space="0" w:color="auto"/>
                <w:bottom w:val="none" w:sz="0" w:space="0" w:color="auto"/>
                <w:right w:val="none" w:sz="0" w:space="0" w:color="auto"/>
              </w:divBdr>
            </w:div>
            <w:div w:id="1991977697">
              <w:marLeft w:val="0"/>
              <w:marRight w:val="0"/>
              <w:marTop w:val="0"/>
              <w:marBottom w:val="0"/>
              <w:divBdr>
                <w:top w:val="none" w:sz="0" w:space="0" w:color="auto"/>
                <w:left w:val="none" w:sz="0" w:space="0" w:color="auto"/>
                <w:bottom w:val="none" w:sz="0" w:space="0" w:color="auto"/>
                <w:right w:val="none" w:sz="0" w:space="0" w:color="auto"/>
              </w:divBdr>
            </w:div>
            <w:div w:id="2014261592">
              <w:marLeft w:val="0"/>
              <w:marRight w:val="0"/>
              <w:marTop w:val="0"/>
              <w:marBottom w:val="0"/>
              <w:divBdr>
                <w:top w:val="none" w:sz="0" w:space="0" w:color="auto"/>
                <w:left w:val="none" w:sz="0" w:space="0" w:color="auto"/>
                <w:bottom w:val="none" w:sz="0" w:space="0" w:color="auto"/>
                <w:right w:val="none" w:sz="0" w:space="0" w:color="auto"/>
              </w:divBdr>
            </w:div>
            <w:div w:id="21230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2381">
      <w:bodyDiv w:val="1"/>
      <w:marLeft w:val="0"/>
      <w:marRight w:val="0"/>
      <w:marTop w:val="0"/>
      <w:marBottom w:val="0"/>
      <w:divBdr>
        <w:top w:val="none" w:sz="0" w:space="0" w:color="auto"/>
        <w:left w:val="none" w:sz="0" w:space="0" w:color="auto"/>
        <w:bottom w:val="none" w:sz="0" w:space="0" w:color="auto"/>
        <w:right w:val="none" w:sz="0" w:space="0" w:color="auto"/>
      </w:divBdr>
    </w:div>
    <w:div w:id="856189733">
      <w:bodyDiv w:val="1"/>
      <w:marLeft w:val="0"/>
      <w:marRight w:val="0"/>
      <w:marTop w:val="0"/>
      <w:marBottom w:val="0"/>
      <w:divBdr>
        <w:top w:val="none" w:sz="0" w:space="0" w:color="auto"/>
        <w:left w:val="none" w:sz="0" w:space="0" w:color="auto"/>
        <w:bottom w:val="none" w:sz="0" w:space="0" w:color="auto"/>
        <w:right w:val="none" w:sz="0" w:space="0" w:color="auto"/>
      </w:divBdr>
      <w:divsChild>
        <w:div w:id="56898429">
          <w:marLeft w:val="0"/>
          <w:marRight w:val="0"/>
          <w:marTop w:val="0"/>
          <w:marBottom w:val="0"/>
          <w:divBdr>
            <w:top w:val="none" w:sz="0" w:space="0" w:color="auto"/>
            <w:left w:val="none" w:sz="0" w:space="0" w:color="auto"/>
            <w:bottom w:val="none" w:sz="0" w:space="0" w:color="auto"/>
            <w:right w:val="none" w:sz="0" w:space="0" w:color="auto"/>
          </w:divBdr>
          <w:divsChild>
            <w:div w:id="446388580">
              <w:marLeft w:val="0"/>
              <w:marRight w:val="0"/>
              <w:marTop w:val="0"/>
              <w:marBottom w:val="0"/>
              <w:divBdr>
                <w:top w:val="none" w:sz="0" w:space="0" w:color="auto"/>
                <w:left w:val="none" w:sz="0" w:space="0" w:color="auto"/>
                <w:bottom w:val="none" w:sz="0" w:space="0" w:color="auto"/>
                <w:right w:val="none" w:sz="0" w:space="0" w:color="auto"/>
              </w:divBdr>
            </w:div>
            <w:div w:id="1590112650">
              <w:marLeft w:val="0"/>
              <w:marRight w:val="0"/>
              <w:marTop w:val="0"/>
              <w:marBottom w:val="0"/>
              <w:divBdr>
                <w:top w:val="none" w:sz="0" w:space="0" w:color="auto"/>
                <w:left w:val="none" w:sz="0" w:space="0" w:color="auto"/>
                <w:bottom w:val="none" w:sz="0" w:space="0" w:color="auto"/>
                <w:right w:val="none" w:sz="0" w:space="0" w:color="auto"/>
              </w:divBdr>
            </w:div>
          </w:divsChild>
        </w:div>
        <w:div w:id="64686419">
          <w:marLeft w:val="0"/>
          <w:marRight w:val="0"/>
          <w:marTop w:val="0"/>
          <w:marBottom w:val="0"/>
          <w:divBdr>
            <w:top w:val="none" w:sz="0" w:space="0" w:color="auto"/>
            <w:left w:val="none" w:sz="0" w:space="0" w:color="auto"/>
            <w:bottom w:val="none" w:sz="0" w:space="0" w:color="auto"/>
            <w:right w:val="none" w:sz="0" w:space="0" w:color="auto"/>
          </w:divBdr>
          <w:divsChild>
            <w:div w:id="653147317">
              <w:marLeft w:val="0"/>
              <w:marRight w:val="0"/>
              <w:marTop w:val="0"/>
              <w:marBottom w:val="0"/>
              <w:divBdr>
                <w:top w:val="none" w:sz="0" w:space="0" w:color="auto"/>
                <w:left w:val="none" w:sz="0" w:space="0" w:color="auto"/>
                <w:bottom w:val="none" w:sz="0" w:space="0" w:color="auto"/>
                <w:right w:val="none" w:sz="0" w:space="0" w:color="auto"/>
              </w:divBdr>
            </w:div>
            <w:div w:id="1541091796">
              <w:marLeft w:val="0"/>
              <w:marRight w:val="0"/>
              <w:marTop w:val="0"/>
              <w:marBottom w:val="0"/>
              <w:divBdr>
                <w:top w:val="none" w:sz="0" w:space="0" w:color="auto"/>
                <w:left w:val="none" w:sz="0" w:space="0" w:color="auto"/>
                <w:bottom w:val="none" w:sz="0" w:space="0" w:color="auto"/>
                <w:right w:val="none" w:sz="0" w:space="0" w:color="auto"/>
              </w:divBdr>
            </w:div>
          </w:divsChild>
        </w:div>
        <w:div w:id="265694089">
          <w:marLeft w:val="0"/>
          <w:marRight w:val="0"/>
          <w:marTop w:val="0"/>
          <w:marBottom w:val="0"/>
          <w:divBdr>
            <w:top w:val="none" w:sz="0" w:space="0" w:color="auto"/>
            <w:left w:val="none" w:sz="0" w:space="0" w:color="auto"/>
            <w:bottom w:val="none" w:sz="0" w:space="0" w:color="auto"/>
            <w:right w:val="none" w:sz="0" w:space="0" w:color="auto"/>
          </w:divBdr>
          <w:divsChild>
            <w:div w:id="1253664095">
              <w:marLeft w:val="0"/>
              <w:marRight w:val="0"/>
              <w:marTop w:val="0"/>
              <w:marBottom w:val="0"/>
              <w:divBdr>
                <w:top w:val="none" w:sz="0" w:space="0" w:color="auto"/>
                <w:left w:val="none" w:sz="0" w:space="0" w:color="auto"/>
                <w:bottom w:val="none" w:sz="0" w:space="0" w:color="auto"/>
                <w:right w:val="none" w:sz="0" w:space="0" w:color="auto"/>
              </w:divBdr>
            </w:div>
          </w:divsChild>
        </w:div>
        <w:div w:id="272788729">
          <w:marLeft w:val="0"/>
          <w:marRight w:val="0"/>
          <w:marTop w:val="0"/>
          <w:marBottom w:val="0"/>
          <w:divBdr>
            <w:top w:val="none" w:sz="0" w:space="0" w:color="auto"/>
            <w:left w:val="none" w:sz="0" w:space="0" w:color="auto"/>
            <w:bottom w:val="none" w:sz="0" w:space="0" w:color="auto"/>
            <w:right w:val="none" w:sz="0" w:space="0" w:color="auto"/>
          </w:divBdr>
          <w:divsChild>
            <w:div w:id="1234512769">
              <w:marLeft w:val="0"/>
              <w:marRight w:val="0"/>
              <w:marTop w:val="0"/>
              <w:marBottom w:val="0"/>
              <w:divBdr>
                <w:top w:val="none" w:sz="0" w:space="0" w:color="auto"/>
                <w:left w:val="none" w:sz="0" w:space="0" w:color="auto"/>
                <w:bottom w:val="none" w:sz="0" w:space="0" w:color="auto"/>
                <w:right w:val="none" w:sz="0" w:space="0" w:color="auto"/>
              </w:divBdr>
            </w:div>
          </w:divsChild>
        </w:div>
        <w:div w:id="324237958">
          <w:marLeft w:val="0"/>
          <w:marRight w:val="0"/>
          <w:marTop w:val="0"/>
          <w:marBottom w:val="0"/>
          <w:divBdr>
            <w:top w:val="none" w:sz="0" w:space="0" w:color="auto"/>
            <w:left w:val="none" w:sz="0" w:space="0" w:color="auto"/>
            <w:bottom w:val="none" w:sz="0" w:space="0" w:color="auto"/>
            <w:right w:val="none" w:sz="0" w:space="0" w:color="auto"/>
          </w:divBdr>
          <w:divsChild>
            <w:div w:id="526648311">
              <w:marLeft w:val="0"/>
              <w:marRight w:val="0"/>
              <w:marTop w:val="0"/>
              <w:marBottom w:val="0"/>
              <w:divBdr>
                <w:top w:val="none" w:sz="0" w:space="0" w:color="auto"/>
                <w:left w:val="none" w:sz="0" w:space="0" w:color="auto"/>
                <w:bottom w:val="none" w:sz="0" w:space="0" w:color="auto"/>
                <w:right w:val="none" w:sz="0" w:space="0" w:color="auto"/>
              </w:divBdr>
            </w:div>
          </w:divsChild>
        </w:div>
        <w:div w:id="406533217">
          <w:marLeft w:val="0"/>
          <w:marRight w:val="0"/>
          <w:marTop w:val="0"/>
          <w:marBottom w:val="0"/>
          <w:divBdr>
            <w:top w:val="none" w:sz="0" w:space="0" w:color="auto"/>
            <w:left w:val="none" w:sz="0" w:space="0" w:color="auto"/>
            <w:bottom w:val="none" w:sz="0" w:space="0" w:color="auto"/>
            <w:right w:val="none" w:sz="0" w:space="0" w:color="auto"/>
          </w:divBdr>
          <w:divsChild>
            <w:div w:id="320936876">
              <w:marLeft w:val="0"/>
              <w:marRight w:val="0"/>
              <w:marTop w:val="0"/>
              <w:marBottom w:val="0"/>
              <w:divBdr>
                <w:top w:val="none" w:sz="0" w:space="0" w:color="auto"/>
                <w:left w:val="none" w:sz="0" w:space="0" w:color="auto"/>
                <w:bottom w:val="none" w:sz="0" w:space="0" w:color="auto"/>
                <w:right w:val="none" w:sz="0" w:space="0" w:color="auto"/>
              </w:divBdr>
            </w:div>
          </w:divsChild>
        </w:div>
        <w:div w:id="536895623">
          <w:marLeft w:val="0"/>
          <w:marRight w:val="0"/>
          <w:marTop w:val="0"/>
          <w:marBottom w:val="0"/>
          <w:divBdr>
            <w:top w:val="none" w:sz="0" w:space="0" w:color="auto"/>
            <w:left w:val="none" w:sz="0" w:space="0" w:color="auto"/>
            <w:bottom w:val="none" w:sz="0" w:space="0" w:color="auto"/>
            <w:right w:val="none" w:sz="0" w:space="0" w:color="auto"/>
          </w:divBdr>
          <w:divsChild>
            <w:div w:id="741834738">
              <w:marLeft w:val="0"/>
              <w:marRight w:val="0"/>
              <w:marTop w:val="0"/>
              <w:marBottom w:val="0"/>
              <w:divBdr>
                <w:top w:val="none" w:sz="0" w:space="0" w:color="auto"/>
                <w:left w:val="none" w:sz="0" w:space="0" w:color="auto"/>
                <w:bottom w:val="none" w:sz="0" w:space="0" w:color="auto"/>
                <w:right w:val="none" w:sz="0" w:space="0" w:color="auto"/>
              </w:divBdr>
            </w:div>
          </w:divsChild>
        </w:div>
        <w:div w:id="704912669">
          <w:marLeft w:val="0"/>
          <w:marRight w:val="0"/>
          <w:marTop w:val="0"/>
          <w:marBottom w:val="0"/>
          <w:divBdr>
            <w:top w:val="none" w:sz="0" w:space="0" w:color="auto"/>
            <w:left w:val="none" w:sz="0" w:space="0" w:color="auto"/>
            <w:bottom w:val="none" w:sz="0" w:space="0" w:color="auto"/>
            <w:right w:val="none" w:sz="0" w:space="0" w:color="auto"/>
          </w:divBdr>
          <w:divsChild>
            <w:div w:id="1204828166">
              <w:marLeft w:val="0"/>
              <w:marRight w:val="0"/>
              <w:marTop w:val="0"/>
              <w:marBottom w:val="0"/>
              <w:divBdr>
                <w:top w:val="none" w:sz="0" w:space="0" w:color="auto"/>
                <w:left w:val="none" w:sz="0" w:space="0" w:color="auto"/>
                <w:bottom w:val="none" w:sz="0" w:space="0" w:color="auto"/>
                <w:right w:val="none" w:sz="0" w:space="0" w:color="auto"/>
              </w:divBdr>
            </w:div>
            <w:div w:id="1389494623">
              <w:marLeft w:val="0"/>
              <w:marRight w:val="0"/>
              <w:marTop w:val="0"/>
              <w:marBottom w:val="0"/>
              <w:divBdr>
                <w:top w:val="none" w:sz="0" w:space="0" w:color="auto"/>
                <w:left w:val="none" w:sz="0" w:space="0" w:color="auto"/>
                <w:bottom w:val="none" w:sz="0" w:space="0" w:color="auto"/>
                <w:right w:val="none" w:sz="0" w:space="0" w:color="auto"/>
              </w:divBdr>
            </w:div>
          </w:divsChild>
        </w:div>
        <w:div w:id="707798270">
          <w:marLeft w:val="0"/>
          <w:marRight w:val="0"/>
          <w:marTop w:val="0"/>
          <w:marBottom w:val="0"/>
          <w:divBdr>
            <w:top w:val="none" w:sz="0" w:space="0" w:color="auto"/>
            <w:left w:val="none" w:sz="0" w:space="0" w:color="auto"/>
            <w:bottom w:val="none" w:sz="0" w:space="0" w:color="auto"/>
            <w:right w:val="none" w:sz="0" w:space="0" w:color="auto"/>
          </w:divBdr>
          <w:divsChild>
            <w:div w:id="696196219">
              <w:marLeft w:val="0"/>
              <w:marRight w:val="0"/>
              <w:marTop w:val="0"/>
              <w:marBottom w:val="0"/>
              <w:divBdr>
                <w:top w:val="none" w:sz="0" w:space="0" w:color="auto"/>
                <w:left w:val="none" w:sz="0" w:space="0" w:color="auto"/>
                <w:bottom w:val="none" w:sz="0" w:space="0" w:color="auto"/>
                <w:right w:val="none" w:sz="0" w:space="0" w:color="auto"/>
              </w:divBdr>
            </w:div>
            <w:div w:id="1028335383">
              <w:marLeft w:val="0"/>
              <w:marRight w:val="0"/>
              <w:marTop w:val="0"/>
              <w:marBottom w:val="0"/>
              <w:divBdr>
                <w:top w:val="none" w:sz="0" w:space="0" w:color="auto"/>
                <w:left w:val="none" w:sz="0" w:space="0" w:color="auto"/>
                <w:bottom w:val="none" w:sz="0" w:space="0" w:color="auto"/>
                <w:right w:val="none" w:sz="0" w:space="0" w:color="auto"/>
              </w:divBdr>
            </w:div>
          </w:divsChild>
        </w:div>
        <w:div w:id="720130475">
          <w:marLeft w:val="0"/>
          <w:marRight w:val="0"/>
          <w:marTop w:val="0"/>
          <w:marBottom w:val="0"/>
          <w:divBdr>
            <w:top w:val="none" w:sz="0" w:space="0" w:color="auto"/>
            <w:left w:val="none" w:sz="0" w:space="0" w:color="auto"/>
            <w:bottom w:val="none" w:sz="0" w:space="0" w:color="auto"/>
            <w:right w:val="none" w:sz="0" w:space="0" w:color="auto"/>
          </w:divBdr>
          <w:divsChild>
            <w:div w:id="565338431">
              <w:marLeft w:val="0"/>
              <w:marRight w:val="0"/>
              <w:marTop w:val="0"/>
              <w:marBottom w:val="0"/>
              <w:divBdr>
                <w:top w:val="none" w:sz="0" w:space="0" w:color="auto"/>
                <w:left w:val="none" w:sz="0" w:space="0" w:color="auto"/>
                <w:bottom w:val="none" w:sz="0" w:space="0" w:color="auto"/>
                <w:right w:val="none" w:sz="0" w:space="0" w:color="auto"/>
              </w:divBdr>
            </w:div>
            <w:div w:id="1423643494">
              <w:marLeft w:val="0"/>
              <w:marRight w:val="0"/>
              <w:marTop w:val="0"/>
              <w:marBottom w:val="0"/>
              <w:divBdr>
                <w:top w:val="none" w:sz="0" w:space="0" w:color="auto"/>
                <w:left w:val="none" w:sz="0" w:space="0" w:color="auto"/>
                <w:bottom w:val="none" w:sz="0" w:space="0" w:color="auto"/>
                <w:right w:val="none" w:sz="0" w:space="0" w:color="auto"/>
              </w:divBdr>
            </w:div>
          </w:divsChild>
        </w:div>
        <w:div w:id="758402243">
          <w:marLeft w:val="0"/>
          <w:marRight w:val="0"/>
          <w:marTop w:val="0"/>
          <w:marBottom w:val="0"/>
          <w:divBdr>
            <w:top w:val="none" w:sz="0" w:space="0" w:color="auto"/>
            <w:left w:val="none" w:sz="0" w:space="0" w:color="auto"/>
            <w:bottom w:val="none" w:sz="0" w:space="0" w:color="auto"/>
            <w:right w:val="none" w:sz="0" w:space="0" w:color="auto"/>
          </w:divBdr>
          <w:divsChild>
            <w:div w:id="1923224688">
              <w:marLeft w:val="0"/>
              <w:marRight w:val="0"/>
              <w:marTop w:val="0"/>
              <w:marBottom w:val="0"/>
              <w:divBdr>
                <w:top w:val="none" w:sz="0" w:space="0" w:color="auto"/>
                <w:left w:val="none" w:sz="0" w:space="0" w:color="auto"/>
                <w:bottom w:val="none" w:sz="0" w:space="0" w:color="auto"/>
                <w:right w:val="none" w:sz="0" w:space="0" w:color="auto"/>
              </w:divBdr>
            </w:div>
          </w:divsChild>
        </w:div>
        <w:div w:id="876969456">
          <w:marLeft w:val="0"/>
          <w:marRight w:val="0"/>
          <w:marTop w:val="0"/>
          <w:marBottom w:val="0"/>
          <w:divBdr>
            <w:top w:val="none" w:sz="0" w:space="0" w:color="auto"/>
            <w:left w:val="none" w:sz="0" w:space="0" w:color="auto"/>
            <w:bottom w:val="none" w:sz="0" w:space="0" w:color="auto"/>
            <w:right w:val="none" w:sz="0" w:space="0" w:color="auto"/>
          </w:divBdr>
          <w:divsChild>
            <w:div w:id="5063589">
              <w:marLeft w:val="0"/>
              <w:marRight w:val="0"/>
              <w:marTop w:val="0"/>
              <w:marBottom w:val="0"/>
              <w:divBdr>
                <w:top w:val="none" w:sz="0" w:space="0" w:color="auto"/>
                <w:left w:val="none" w:sz="0" w:space="0" w:color="auto"/>
                <w:bottom w:val="none" w:sz="0" w:space="0" w:color="auto"/>
                <w:right w:val="none" w:sz="0" w:space="0" w:color="auto"/>
              </w:divBdr>
            </w:div>
            <w:div w:id="182675690">
              <w:marLeft w:val="0"/>
              <w:marRight w:val="0"/>
              <w:marTop w:val="0"/>
              <w:marBottom w:val="0"/>
              <w:divBdr>
                <w:top w:val="none" w:sz="0" w:space="0" w:color="auto"/>
                <w:left w:val="none" w:sz="0" w:space="0" w:color="auto"/>
                <w:bottom w:val="none" w:sz="0" w:space="0" w:color="auto"/>
                <w:right w:val="none" w:sz="0" w:space="0" w:color="auto"/>
              </w:divBdr>
            </w:div>
          </w:divsChild>
        </w:div>
        <w:div w:id="904100073">
          <w:marLeft w:val="0"/>
          <w:marRight w:val="0"/>
          <w:marTop w:val="0"/>
          <w:marBottom w:val="0"/>
          <w:divBdr>
            <w:top w:val="none" w:sz="0" w:space="0" w:color="auto"/>
            <w:left w:val="none" w:sz="0" w:space="0" w:color="auto"/>
            <w:bottom w:val="none" w:sz="0" w:space="0" w:color="auto"/>
            <w:right w:val="none" w:sz="0" w:space="0" w:color="auto"/>
          </w:divBdr>
          <w:divsChild>
            <w:div w:id="216598916">
              <w:marLeft w:val="0"/>
              <w:marRight w:val="0"/>
              <w:marTop w:val="0"/>
              <w:marBottom w:val="0"/>
              <w:divBdr>
                <w:top w:val="none" w:sz="0" w:space="0" w:color="auto"/>
                <w:left w:val="none" w:sz="0" w:space="0" w:color="auto"/>
                <w:bottom w:val="none" w:sz="0" w:space="0" w:color="auto"/>
                <w:right w:val="none" w:sz="0" w:space="0" w:color="auto"/>
              </w:divBdr>
            </w:div>
            <w:div w:id="227808566">
              <w:marLeft w:val="0"/>
              <w:marRight w:val="0"/>
              <w:marTop w:val="0"/>
              <w:marBottom w:val="0"/>
              <w:divBdr>
                <w:top w:val="none" w:sz="0" w:space="0" w:color="auto"/>
                <w:left w:val="none" w:sz="0" w:space="0" w:color="auto"/>
                <w:bottom w:val="none" w:sz="0" w:space="0" w:color="auto"/>
                <w:right w:val="none" w:sz="0" w:space="0" w:color="auto"/>
              </w:divBdr>
            </w:div>
          </w:divsChild>
        </w:div>
        <w:div w:id="989753720">
          <w:marLeft w:val="0"/>
          <w:marRight w:val="0"/>
          <w:marTop w:val="0"/>
          <w:marBottom w:val="0"/>
          <w:divBdr>
            <w:top w:val="none" w:sz="0" w:space="0" w:color="auto"/>
            <w:left w:val="none" w:sz="0" w:space="0" w:color="auto"/>
            <w:bottom w:val="none" w:sz="0" w:space="0" w:color="auto"/>
            <w:right w:val="none" w:sz="0" w:space="0" w:color="auto"/>
          </w:divBdr>
          <w:divsChild>
            <w:div w:id="221211320">
              <w:marLeft w:val="0"/>
              <w:marRight w:val="0"/>
              <w:marTop w:val="0"/>
              <w:marBottom w:val="0"/>
              <w:divBdr>
                <w:top w:val="none" w:sz="0" w:space="0" w:color="auto"/>
                <w:left w:val="none" w:sz="0" w:space="0" w:color="auto"/>
                <w:bottom w:val="none" w:sz="0" w:space="0" w:color="auto"/>
                <w:right w:val="none" w:sz="0" w:space="0" w:color="auto"/>
              </w:divBdr>
            </w:div>
            <w:div w:id="241648778">
              <w:marLeft w:val="0"/>
              <w:marRight w:val="0"/>
              <w:marTop w:val="0"/>
              <w:marBottom w:val="0"/>
              <w:divBdr>
                <w:top w:val="none" w:sz="0" w:space="0" w:color="auto"/>
                <w:left w:val="none" w:sz="0" w:space="0" w:color="auto"/>
                <w:bottom w:val="none" w:sz="0" w:space="0" w:color="auto"/>
                <w:right w:val="none" w:sz="0" w:space="0" w:color="auto"/>
              </w:divBdr>
            </w:div>
          </w:divsChild>
        </w:div>
        <w:div w:id="1020620577">
          <w:marLeft w:val="0"/>
          <w:marRight w:val="0"/>
          <w:marTop w:val="0"/>
          <w:marBottom w:val="0"/>
          <w:divBdr>
            <w:top w:val="none" w:sz="0" w:space="0" w:color="auto"/>
            <w:left w:val="none" w:sz="0" w:space="0" w:color="auto"/>
            <w:bottom w:val="none" w:sz="0" w:space="0" w:color="auto"/>
            <w:right w:val="none" w:sz="0" w:space="0" w:color="auto"/>
          </w:divBdr>
          <w:divsChild>
            <w:div w:id="631328004">
              <w:marLeft w:val="0"/>
              <w:marRight w:val="0"/>
              <w:marTop w:val="0"/>
              <w:marBottom w:val="0"/>
              <w:divBdr>
                <w:top w:val="none" w:sz="0" w:space="0" w:color="auto"/>
                <w:left w:val="none" w:sz="0" w:space="0" w:color="auto"/>
                <w:bottom w:val="none" w:sz="0" w:space="0" w:color="auto"/>
                <w:right w:val="none" w:sz="0" w:space="0" w:color="auto"/>
              </w:divBdr>
            </w:div>
          </w:divsChild>
        </w:div>
        <w:div w:id="1204514259">
          <w:marLeft w:val="0"/>
          <w:marRight w:val="0"/>
          <w:marTop w:val="0"/>
          <w:marBottom w:val="0"/>
          <w:divBdr>
            <w:top w:val="none" w:sz="0" w:space="0" w:color="auto"/>
            <w:left w:val="none" w:sz="0" w:space="0" w:color="auto"/>
            <w:bottom w:val="none" w:sz="0" w:space="0" w:color="auto"/>
            <w:right w:val="none" w:sz="0" w:space="0" w:color="auto"/>
          </w:divBdr>
          <w:divsChild>
            <w:div w:id="1735857332">
              <w:marLeft w:val="0"/>
              <w:marRight w:val="0"/>
              <w:marTop w:val="0"/>
              <w:marBottom w:val="0"/>
              <w:divBdr>
                <w:top w:val="none" w:sz="0" w:space="0" w:color="auto"/>
                <w:left w:val="none" w:sz="0" w:space="0" w:color="auto"/>
                <w:bottom w:val="none" w:sz="0" w:space="0" w:color="auto"/>
                <w:right w:val="none" w:sz="0" w:space="0" w:color="auto"/>
              </w:divBdr>
            </w:div>
          </w:divsChild>
        </w:div>
        <w:div w:id="1222212983">
          <w:marLeft w:val="0"/>
          <w:marRight w:val="0"/>
          <w:marTop w:val="0"/>
          <w:marBottom w:val="0"/>
          <w:divBdr>
            <w:top w:val="none" w:sz="0" w:space="0" w:color="auto"/>
            <w:left w:val="none" w:sz="0" w:space="0" w:color="auto"/>
            <w:bottom w:val="none" w:sz="0" w:space="0" w:color="auto"/>
            <w:right w:val="none" w:sz="0" w:space="0" w:color="auto"/>
          </w:divBdr>
          <w:divsChild>
            <w:div w:id="560989113">
              <w:marLeft w:val="0"/>
              <w:marRight w:val="0"/>
              <w:marTop w:val="0"/>
              <w:marBottom w:val="0"/>
              <w:divBdr>
                <w:top w:val="none" w:sz="0" w:space="0" w:color="auto"/>
                <w:left w:val="none" w:sz="0" w:space="0" w:color="auto"/>
                <w:bottom w:val="none" w:sz="0" w:space="0" w:color="auto"/>
                <w:right w:val="none" w:sz="0" w:space="0" w:color="auto"/>
              </w:divBdr>
            </w:div>
            <w:div w:id="587732974">
              <w:marLeft w:val="0"/>
              <w:marRight w:val="0"/>
              <w:marTop w:val="0"/>
              <w:marBottom w:val="0"/>
              <w:divBdr>
                <w:top w:val="none" w:sz="0" w:space="0" w:color="auto"/>
                <w:left w:val="none" w:sz="0" w:space="0" w:color="auto"/>
                <w:bottom w:val="none" w:sz="0" w:space="0" w:color="auto"/>
                <w:right w:val="none" w:sz="0" w:space="0" w:color="auto"/>
              </w:divBdr>
            </w:div>
          </w:divsChild>
        </w:div>
        <w:div w:id="1345858344">
          <w:marLeft w:val="0"/>
          <w:marRight w:val="0"/>
          <w:marTop w:val="0"/>
          <w:marBottom w:val="0"/>
          <w:divBdr>
            <w:top w:val="none" w:sz="0" w:space="0" w:color="auto"/>
            <w:left w:val="none" w:sz="0" w:space="0" w:color="auto"/>
            <w:bottom w:val="none" w:sz="0" w:space="0" w:color="auto"/>
            <w:right w:val="none" w:sz="0" w:space="0" w:color="auto"/>
          </w:divBdr>
          <w:divsChild>
            <w:div w:id="50617192">
              <w:marLeft w:val="0"/>
              <w:marRight w:val="0"/>
              <w:marTop w:val="0"/>
              <w:marBottom w:val="0"/>
              <w:divBdr>
                <w:top w:val="none" w:sz="0" w:space="0" w:color="auto"/>
                <w:left w:val="none" w:sz="0" w:space="0" w:color="auto"/>
                <w:bottom w:val="none" w:sz="0" w:space="0" w:color="auto"/>
                <w:right w:val="none" w:sz="0" w:space="0" w:color="auto"/>
              </w:divBdr>
            </w:div>
          </w:divsChild>
        </w:div>
        <w:div w:id="1465927060">
          <w:marLeft w:val="0"/>
          <w:marRight w:val="0"/>
          <w:marTop w:val="0"/>
          <w:marBottom w:val="0"/>
          <w:divBdr>
            <w:top w:val="none" w:sz="0" w:space="0" w:color="auto"/>
            <w:left w:val="none" w:sz="0" w:space="0" w:color="auto"/>
            <w:bottom w:val="none" w:sz="0" w:space="0" w:color="auto"/>
            <w:right w:val="none" w:sz="0" w:space="0" w:color="auto"/>
          </w:divBdr>
          <w:divsChild>
            <w:div w:id="816259994">
              <w:marLeft w:val="0"/>
              <w:marRight w:val="0"/>
              <w:marTop w:val="0"/>
              <w:marBottom w:val="0"/>
              <w:divBdr>
                <w:top w:val="none" w:sz="0" w:space="0" w:color="auto"/>
                <w:left w:val="none" w:sz="0" w:space="0" w:color="auto"/>
                <w:bottom w:val="none" w:sz="0" w:space="0" w:color="auto"/>
                <w:right w:val="none" w:sz="0" w:space="0" w:color="auto"/>
              </w:divBdr>
            </w:div>
          </w:divsChild>
        </w:div>
        <w:div w:id="1529828188">
          <w:marLeft w:val="0"/>
          <w:marRight w:val="0"/>
          <w:marTop w:val="0"/>
          <w:marBottom w:val="0"/>
          <w:divBdr>
            <w:top w:val="none" w:sz="0" w:space="0" w:color="auto"/>
            <w:left w:val="none" w:sz="0" w:space="0" w:color="auto"/>
            <w:bottom w:val="none" w:sz="0" w:space="0" w:color="auto"/>
            <w:right w:val="none" w:sz="0" w:space="0" w:color="auto"/>
          </w:divBdr>
          <w:divsChild>
            <w:div w:id="1817918214">
              <w:marLeft w:val="0"/>
              <w:marRight w:val="0"/>
              <w:marTop w:val="0"/>
              <w:marBottom w:val="0"/>
              <w:divBdr>
                <w:top w:val="none" w:sz="0" w:space="0" w:color="auto"/>
                <w:left w:val="none" w:sz="0" w:space="0" w:color="auto"/>
                <w:bottom w:val="none" w:sz="0" w:space="0" w:color="auto"/>
                <w:right w:val="none" w:sz="0" w:space="0" w:color="auto"/>
              </w:divBdr>
            </w:div>
            <w:div w:id="1854607283">
              <w:marLeft w:val="0"/>
              <w:marRight w:val="0"/>
              <w:marTop w:val="0"/>
              <w:marBottom w:val="0"/>
              <w:divBdr>
                <w:top w:val="none" w:sz="0" w:space="0" w:color="auto"/>
                <w:left w:val="none" w:sz="0" w:space="0" w:color="auto"/>
                <w:bottom w:val="none" w:sz="0" w:space="0" w:color="auto"/>
                <w:right w:val="none" w:sz="0" w:space="0" w:color="auto"/>
              </w:divBdr>
            </w:div>
          </w:divsChild>
        </w:div>
        <w:div w:id="1578789023">
          <w:marLeft w:val="0"/>
          <w:marRight w:val="0"/>
          <w:marTop w:val="0"/>
          <w:marBottom w:val="0"/>
          <w:divBdr>
            <w:top w:val="none" w:sz="0" w:space="0" w:color="auto"/>
            <w:left w:val="none" w:sz="0" w:space="0" w:color="auto"/>
            <w:bottom w:val="none" w:sz="0" w:space="0" w:color="auto"/>
            <w:right w:val="none" w:sz="0" w:space="0" w:color="auto"/>
          </w:divBdr>
          <w:divsChild>
            <w:div w:id="63769333">
              <w:marLeft w:val="0"/>
              <w:marRight w:val="0"/>
              <w:marTop w:val="0"/>
              <w:marBottom w:val="0"/>
              <w:divBdr>
                <w:top w:val="none" w:sz="0" w:space="0" w:color="auto"/>
                <w:left w:val="none" w:sz="0" w:space="0" w:color="auto"/>
                <w:bottom w:val="none" w:sz="0" w:space="0" w:color="auto"/>
                <w:right w:val="none" w:sz="0" w:space="0" w:color="auto"/>
              </w:divBdr>
            </w:div>
          </w:divsChild>
        </w:div>
        <w:div w:id="1614898711">
          <w:marLeft w:val="0"/>
          <w:marRight w:val="0"/>
          <w:marTop w:val="0"/>
          <w:marBottom w:val="0"/>
          <w:divBdr>
            <w:top w:val="none" w:sz="0" w:space="0" w:color="auto"/>
            <w:left w:val="none" w:sz="0" w:space="0" w:color="auto"/>
            <w:bottom w:val="none" w:sz="0" w:space="0" w:color="auto"/>
            <w:right w:val="none" w:sz="0" w:space="0" w:color="auto"/>
          </w:divBdr>
          <w:divsChild>
            <w:div w:id="826703276">
              <w:marLeft w:val="0"/>
              <w:marRight w:val="0"/>
              <w:marTop w:val="0"/>
              <w:marBottom w:val="0"/>
              <w:divBdr>
                <w:top w:val="none" w:sz="0" w:space="0" w:color="auto"/>
                <w:left w:val="none" w:sz="0" w:space="0" w:color="auto"/>
                <w:bottom w:val="none" w:sz="0" w:space="0" w:color="auto"/>
                <w:right w:val="none" w:sz="0" w:space="0" w:color="auto"/>
              </w:divBdr>
            </w:div>
            <w:div w:id="1268273230">
              <w:marLeft w:val="0"/>
              <w:marRight w:val="0"/>
              <w:marTop w:val="0"/>
              <w:marBottom w:val="0"/>
              <w:divBdr>
                <w:top w:val="none" w:sz="0" w:space="0" w:color="auto"/>
                <w:left w:val="none" w:sz="0" w:space="0" w:color="auto"/>
                <w:bottom w:val="none" w:sz="0" w:space="0" w:color="auto"/>
                <w:right w:val="none" w:sz="0" w:space="0" w:color="auto"/>
              </w:divBdr>
            </w:div>
          </w:divsChild>
        </w:div>
        <w:div w:id="1653174851">
          <w:marLeft w:val="0"/>
          <w:marRight w:val="0"/>
          <w:marTop w:val="0"/>
          <w:marBottom w:val="0"/>
          <w:divBdr>
            <w:top w:val="none" w:sz="0" w:space="0" w:color="auto"/>
            <w:left w:val="none" w:sz="0" w:space="0" w:color="auto"/>
            <w:bottom w:val="none" w:sz="0" w:space="0" w:color="auto"/>
            <w:right w:val="none" w:sz="0" w:space="0" w:color="auto"/>
          </w:divBdr>
          <w:divsChild>
            <w:div w:id="1763646909">
              <w:marLeft w:val="0"/>
              <w:marRight w:val="0"/>
              <w:marTop w:val="0"/>
              <w:marBottom w:val="0"/>
              <w:divBdr>
                <w:top w:val="none" w:sz="0" w:space="0" w:color="auto"/>
                <w:left w:val="none" w:sz="0" w:space="0" w:color="auto"/>
                <w:bottom w:val="none" w:sz="0" w:space="0" w:color="auto"/>
                <w:right w:val="none" w:sz="0" w:space="0" w:color="auto"/>
              </w:divBdr>
            </w:div>
          </w:divsChild>
        </w:div>
        <w:div w:id="1694989057">
          <w:marLeft w:val="0"/>
          <w:marRight w:val="0"/>
          <w:marTop w:val="0"/>
          <w:marBottom w:val="0"/>
          <w:divBdr>
            <w:top w:val="none" w:sz="0" w:space="0" w:color="auto"/>
            <w:left w:val="none" w:sz="0" w:space="0" w:color="auto"/>
            <w:bottom w:val="none" w:sz="0" w:space="0" w:color="auto"/>
            <w:right w:val="none" w:sz="0" w:space="0" w:color="auto"/>
          </w:divBdr>
          <w:divsChild>
            <w:div w:id="237638386">
              <w:marLeft w:val="0"/>
              <w:marRight w:val="0"/>
              <w:marTop w:val="0"/>
              <w:marBottom w:val="0"/>
              <w:divBdr>
                <w:top w:val="none" w:sz="0" w:space="0" w:color="auto"/>
                <w:left w:val="none" w:sz="0" w:space="0" w:color="auto"/>
                <w:bottom w:val="none" w:sz="0" w:space="0" w:color="auto"/>
                <w:right w:val="none" w:sz="0" w:space="0" w:color="auto"/>
              </w:divBdr>
            </w:div>
          </w:divsChild>
        </w:div>
        <w:div w:id="1918399660">
          <w:marLeft w:val="0"/>
          <w:marRight w:val="0"/>
          <w:marTop w:val="0"/>
          <w:marBottom w:val="0"/>
          <w:divBdr>
            <w:top w:val="none" w:sz="0" w:space="0" w:color="auto"/>
            <w:left w:val="none" w:sz="0" w:space="0" w:color="auto"/>
            <w:bottom w:val="none" w:sz="0" w:space="0" w:color="auto"/>
            <w:right w:val="none" w:sz="0" w:space="0" w:color="auto"/>
          </w:divBdr>
          <w:divsChild>
            <w:div w:id="863053439">
              <w:marLeft w:val="0"/>
              <w:marRight w:val="0"/>
              <w:marTop w:val="0"/>
              <w:marBottom w:val="0"/>
              <w:divBdr>
                <w:top w:val="none" w:sz="0" w:space="0" w:color="auto"/>
                <w:left w:val="none" w:sz="0" w:space="0" w:color="auto"/>
                <w:bottom w:val="none" w:sz="0" w:space="0" w:color="auto"/>
                <w:right w:val="none" w:sz="0" w:space="0" w:color="auto"/>
              </w:divBdr>
            </w:div>
          </w:divsChild>
        </w:div>
        <w:div w:id="1946572383">
          <w:marLeft w:val="0"/>
          <w:marRight w:val="0"/>
          <w:marTop w:val="0"/>
          <w:marBottom w:val="0"/>
          <w:divBdr>
            <w:top w:val="none" w:sz="0" w:space="0" w:color="auto"/>
            <w:left w:val="none" w:sz="0" w:space="0" w:color="auto"/>
            <w:bottom w:val="none" w:sz="0" w:space="0" w:color="auto"/>
            <w:right w:val="none" w:sz="0" w:space="0" w:color="auto"/>
          </w:divBdr>
          <w:divsChild>
            <w:div w:id="1079910834">
              <w:marLeft w:val="0"/>
              <w:marRight w:val="0"/>
              <w:marTop w:val="0"/>
              <w:marBottom w:val="0"/>
              <w:divBdr>
                <w:top w:val="none" w:sz="0" w:space="0" w:color="auto"/>
                <w:left w:val="none" w:sz="0" w:space="0" w:color="auto"/>
                <w:bottom w:val="none" w:sz="0" w:space="0" w:color="auto"/>
                <w:right w:val="none" w:sz="0" w:space="0" w:color="auto"/>
              </w:divBdr>
            </w:div>
            <w:div w:id="1199008642">
              <w:marLeft w:val="0"/>
              <w:marRight w:val="0"/>
              <w:marTop w:val="0"/>
              <w:marBottom w:val="0"/>
              <w:divBdr>
                <w:top w:val="none" w:sz="0" w:space="0" w:color="auto"/>
                <w:left w:val="none" w:sz="0" w:space="0" w:color="auto"/>
                <w:bottom w:val="none" w:sz="0" w:space="0" w:color="auto"/>
                <w:right w:val="none" w:sz="0" w:space="0" w:color="auto"/>
              </w:divBdr>
            </w:div>
          </w:divsChild>
        </w:div>
        <w:div w:id="1947880383">
          <w:marLeft w:val="0"/>
          <w:marRight w:val="0"/>
          <w:marTop w:val="0"/>
          <w:marBottom w:val="0"/>
          <w:divBdr>
            <w:top w:val="none" w:sz="0" w:space="0" w:color="auto"/>
            <w:left w:val="none" w:sz="0" w:space="0" w:color="auto"/>
            <w:bottom w:val="none" w:sz="0" w:space="0" w:color="auto"/>
            <w:right w:val="none" w:sz="0" w:space="0" w:color="auto"/>
          </w:divBdr>
          <w:divsChild>
            <w:div w:id="15161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47172">
      <w:bodyDiv w:val="1"/>
      <w:marLeft w:val="0"/>
      <w:marRight w:val="0"/>
      <w:marTop w:val="0"/>
      <w:marBottom w:val="0"/>
      <w:divBdr>
        <w:top w:val="none" w:sz="0" w:space="0" w:color="auto"/>
        <w:left w:val="none" w:sz="0" w:space="0" w:color="auto"/>
        <w:bottom w:val="none" w:sz="0" w:space="0" w:color="auto"/>
        <w:right w:val="none" w:sz="0" w:space="0" w:color="auto"/>
      </w:divBdr>
      <w:divsChild>
        <w:div w:id="73019418">
          <w:marLeft w:val="0"/>
          <w:marRight w:val="0"/>
          <w:marTop w:val="0"/>
          <w:marBottom w:val="0"/>
          <w:divBdr>
            <w:top w:val="none" w:sz="0" w:space="0" w:color="auto"/>
            <w:left w:val="none" w:sz="0" w:space="0" w:color="auto"/>
            <w:bottom w:val="none" w:sz="0" w:space="0" w:color="auto"/>
            <w:right w:val="none" w:sz="0" w:space="0" w:color="auto"/>
          </w:divBdr>
          <w:divsChild>
            <w:div w:id="2103916034">
              <w:marLeft w:val="0"/>
              <w:marRight w:val="0"/>
              <w:marTop w:val="0"/>
              <w:marBottom w:val="0"/>
              <w:divBdr>
                <w:top w:val="none" w:sz="0" w:space="0" w:color="auto"/>
                <w:left w:val="none" w:sz="0" w:space="0" w:color="auto"/>
                <w:bottom w:val="none" w:sz="0" w:space="0" w:color="auto"/>
                <w:right w:val="none" w:sz="0" w:space="0" w:color="auto"/>
              </w:divBdr>
            </w:div>
          </w:divsChild>
        </w:div>
        <w:div w:id="83840142">
          <w:marLeft w:val="0"/>
          <w:marRight w:val="0"/>
          <w:marTop w:val="0"/>
          <w:marBottom w:val="0"/>
          <w:divBdr>
            <w:top w:val="none" w:sz="0" w:space="0" w:color="auto"/>
            <w:left w:val="none" w:sz="0" w:space="0" w:color="auto"/>
            <w:bottom w:val="none" w:sz="0" w:space="0" w:color="auto"/>
            <w:right w:val="none" w:sz="0" w:space="0" w:color="auto"/>
          </w:divBdr>
          <w:divsChild>
            <w:div w:id="1864435019">
              <w:marLeft w:val="0"/>
              <w:marRight w:val="0"/>
              <w:marTop w:val="0"/>
              <w:marBottom w:val="0"/>
              <w:divBdr>
                <w:top w:val="none" w:sz="0" w:space="0" w:color="auto"/>
                <w:left w:val="none" w:sz="0" w:space="0" w:color="auto"/>
                <w:bottom w:val="none" w:sz="0" w:space="0" w:color="auto"/>
                <w:right w:val="none" w:sz="0" w:space="0" w:color="auto"/>
              </w:divBdr>
            </w:div>
          </w:divsChild>
        </w:div>
        <w:div w:id="88551062">
          <w:marLeft w:val="0"/>
          <w:marRight w:val="0"/>
          <w:marTop w:val="0"/>
          <w:marBottom w:val="0"/>
          <w:divBdr>
            <w:top w:val="none" w:sz="0" w:space="0" w:color="auto"/>
            <w:left w:val="none" w:sz="0" w:space="0" w:color="auto"/>
            <w:bottom w:val="none" w:sz="0" w:space="0" w:color="auto"/>
            <w:right w:val="none" w:sz="0" w:space="0" w:color="auto"/>
          </w:divBdr>
          <w:divsChild>
            <w:div w:id="630020849">
              <w:marLeft w:val="0"/>
              <w:marRight w:val="0"/>
              <w:marTop w:val="0"/>
              <w:marBottom w:val="0"/>
              <w:divBdr>
                <w:top w:val="none" w:sz="0" w:space="0" w:color="auto"/>
                <w:left w:val="none" w:sz="0" w:space="0" w:color="auto"/>
                <w:bottom w:val="none" w:sz="0" w:space="0" w:color="auto"/>
                <w:right w:val="none" w:sz="0" w:space="0" w:color="auto"/>
              </w:divBdr>
            </w:div>
          </w:divsChild>
        </w:div>
        <w:div w:id="186213395">
          <w:marLeft w:val="0"/>
          <w:marRight w:val="0"/>
          <w:marTop w:val="0"/>
          <w:marBottom w:val="0"/>
          <w:divBdr>
            <w:top w:val="none" w:sz="0" w:space="0" w:color="auto"/>
            <w:left w:val="none" w:sz="0" w:space="0" w:color="auto"/>
            <w:bottom w:val="none" w:sz="0" w:space="0" w:color="auto"/>
            <w:right w:val="none" w:sz="0" w:space="0" w:color="auto"/>
          </w:divBdr>
          <w:divsChild>
            <w:div w:id="453060407">
              <w:marLeft w:val="0"/>
              <w:marRight w:val="0"/>
              <w:marTop w:val="0"/>
              <w:marBottom w:val="0"/>
              <w:divBdr>
                <w:top w:val="none" w:sz="0" w:space="0" w:color="auto"/>
                <w:left w:val="none" w:sz="0" w:space="0" w:color="auto"/>
                <w:bottom w:val="none" w:sz="0" w:space="0" w:color="auto"/>
                <w:right w:val="none" w:sz="0" w:space="0" w:color="auto"/>
              </w:divBdr>
            </w:div>
          </w:divsChild>
        </w:div>
        <w:div w:id="338509839">
          <w:marLeft w:val="0"/>
          <w:marRight w:val="0"/>
          <w:marTop w:val="0"/>
          <w:marBottom w:val="0"/>
          <w:divBdr>
            <w:top w:val="none" w:sz="0" w:space="0" w:color="auto"/>
            <w:left w:val="none" w:sz="0" w:space="0" w:color="auto"/>
            <w:bottom w:val="none" w:sz="0" w:space="0" w:color="auto"/>
            <w:right w:val="none" w:sz="0" w:space="0" w:color="auto"/>
          </w:divBdr>
          <w:divsChild>
            <w:div w:id="1592884400">
              <w:marLeft w:val="0"/>
              <w:marRight w:val="0"/>
              <w:marTop w:val="0"/>
              <w:marBottom w:val="0"/>
              <w:divBdr>
                <w:top w:val="none" w:sz="0" w:space="0" w:color="auto"/>
                <w:left w:val="none" w:sz="0" w:space="0" w:color="auto"/>
                <w:bottom w:val="none" w:sz="0" w:space="0" w:color="auto"/>
                <w:right w:val="none" w:sz="0" w:space="0" w:color="auto"/>
              </w:divBdr>
            </w:div>
          </w:divsChild>
        </w:div>
        <w:div w:id="387648813">
          <w:marLeft w:val="0"/>
          <w:marRight w:val="0"/>
          <w:marTop w:val="0"/>
          <w:marBottom w:val="0"/>
          <w:divBdr>
            <w:top w:val="none" w:sz="0" w:space="0" w:color="auto"/>
            <w:left w:val="none" w:sz="0" w:space="0" w:color="auto"/>
            <w:bottom w:val="none" w:sz="0" w:space="0" w:color="auto"/>
            <w:right w:val="none" w:sz="0" w:space="0" w:color="auto"/>
          </w:divBdr>
          <w:divsChild>
            <w:div w:id="1557861241">
              <w:marLeft w:val="0"/>
              <w:marRight w:val="0"/>
              <w:marTop w:val="0"/>
              <w:marBottom w:val="0"/>
              <w:divBdr>
                <w:top w:val="none" w:sz="0" w:space="0" w:color="auto"/>
                <w:left w:val="none" w:sz="0" w:space="0" w:color="auto"/>
                <w:bottom w:val="none" w:sz="0" w:space="0" w:color="auto"/>
                <w:right w:val="none" w:sz="0" w:space="0" w:color="auto"/>
              </w:divBdr>
            </w:div>
          </w:divsChild>
        </w:div>
        <w:div w:id="423038265">
          <w:marLeft w:val="0"/>
          <w:marRight w:val="0"/>
          <w:marTop w:val="0"/>
          <w:marBottom w:val="0"/>
          <w:divBdr>
            <w:top w:val="none" w:sz="0" w:space="0" w:color="auto"/>
            <w:left w:val="none" w:sz="0" w:space="0" w:color="auto"/>
            <w:bottom w:val="none" w:sz="0" w:space="0" w:color="auto"/>
            <w:right w:val="none" w:sz="0" w:space="0" w:color="auto"/>
          </w:divBdr>
          <w:divsChild>
            <w:div w:id="1826896787">
              <w:marLeft w:val="0"/>
              <w:marRight w:val="0"/>
              <w:marTop w:val="0"/>
              <w:marBottom w:val="0"/>
              <w:divBdr>
                <w:top w:val="none" w:sz="0" w:space="0" w:color="auto"/>
                <w:left w:val="none" w:sz="0" w:space="0" w:color="auto"/>
                <w:bottom w:val="none" w:sz="0" w:space="0" w:color="auto"/>
                <w:right w:val="none" w:sz="0" w:space="0" w:color="auto"/>
              </w:divBdr>
            </w:div>
          </w:divsChild>
        </w:div>
        <w:div w:id="553585327">
          <w:marLeft w:val="0"/>
          <w:marRight w:val="0"/>
          <w:marTop w:val="0"/>
          <w:marBottom w:val="0"/>
          <w:divBdr>
            <w:top w:val="none" w:sz="0" w:space="0" w:color="auto"/>
            <w:left w:val="none" w:sz="0" w:space="0" w:color="auto"/>
            <w:bottom w:val="none" w:sz="0" w:space="0" w:color="auto"/>
            <w:right w:val="none" w:sz="0" w:space="0" w:color="auto"/>
          </w:divBdr>
          <w:divsChild>
            <w:div w:id="747926013">
              <w:marLeft w:val="0"/>
              <w:marRight w:val="0"/>
              <w:marTop w:val="0"/>
              <w:marBottom w:val="0"/>
              <w:divBdr>
                <w:top w:val="none" w:sz="0" w:space="0" w:color="auto"/>
                <w:left w:val="none" w:sz="0" w:space="0" w:color="auto"/>
                <w:bottom w:val="none" w:sz="0" w:space="0" w:color="auto"/>
                <w:right w:val="none" w:sz="0" w:space="0" w:color="auto"/>
              </w:divBdr>
            </w:div>
          </w:divsChild>
        </w:div>
        <w:div w:id="601184800">
          <w:marLeft w:val="0"/>
          <w:marRight w:val="0"/>
          <w:marTop w:val="0"/>
          <w:marBottom w:val="0"/>
          <w:divBdr>
            <w:top w:val="none" w:sz="0" w:space="0" w:color="auto"/>
            <w:left w:val="none" w:sz="0" w:space="0" w:color="auto"/>
            <w:bottom w:val="none" w:sz="0" w:space="0" w:color="auto"/>
            <w:right w:val="none" w:sz="0" w:space="0" w:color="auto"/>
          </w:divBdr>
          <w:divsChild>
            <w:div w:id="1865095077">
              <w:marLeft w:val="0"/>
              <w:marRight w:val="0"/>
              <w:marTop w:val="0"/>
              <w:marBottom w:val="0"/>
              <w:divBdr>
                <w:top w:val="none" w:sz="0" w:space="0" w:color="auto"/>
                <w:left w:val="none" w:sz="0" w:space="0" w:color="auto"/>
                <w:bottom w:val="none" w:sz="0" w:space="0" w:color="auto"/>
                <w:right w:val="none" w:sz="0" w:space="0" w:color="auto"/>
              </w:divBdr>
            </w:div>
          </w:divsChild>
        </w:div>
        <w:div w:id="664940343">
          <w:marLeft w:val="0"/>
          <w:marRight w:val="0"/>
          <w:marTop w:val="0"/>
          <w:marBottom w:val="0"/>
          <w:divBdr>
            <w:top w:val="none" w:sz="0" w:space="0" w:color="auto"/>
            <w:left w:val="none" w:sz="0" w:space="0" w:color="auto"/>
            <w:bottom w:val="none" w:sz="0" w:space="0" w:color="auto"/>
            <w:right w:val="none" w:sz="0" w:space="0" w:color="auto"/>
          </w:divBdr>
          <w:divsChild>
            <w:div w:id="1288463591">
              <w:marLeft w:val="0"/>
              <w:marRight w:val="0"/>
              <w:marTop w:val="0"/>
              <w:marBottom w:val="0"/>
              <w:divBdr>
                <w:top w:val="none" w:sz="0" w:space="0" w:color="auto"/>
                <w:left w:val="none" w:sz="0" w:space="0" w:color="auto"/>
                <w:bottom w:val="none" w:sz="0" w:space="0" w:color="auto"/>
                <w:right w:val="none" w:sz="0" w:space="0" w:color="auto"/>
              </w:divBdr>
            </w:div>
          </w:divsChild>
        </w:div>
        <w:div w:id="902641738">
          <w:marLeft w:val="0"/>
          <w:marRight w:val="0"/>
          <w:marTop w:val="0"/>
          <w:marBottom w:val="0"/>
          <w:divBdr>
            <w:top w:val="none" w:sz="0" w:space="0" w:color="auto"/>
            <w:left w:val="none" w:sz="0" w:space="0" w:color="auto"/>
            <w:bottom w:val="none" w:sz="0" w:space="0" w:color="auto"/>
            <w:right w:val="none" w:sz="0" w:space="0" w:color="auto"/>
          </w:divBdr>
          <w:divsChild>
            <w:div w:id="314382352">
              <w:marLeft w:val="0"/>
              <w:marRight w:val="0"/>
              <w:marTop w:val="0"/>
              <w:marBottom w:val="0"/>
              <w:divBdr>
                <w:top w:val="none" w:sz="0" w:space="0" w:color="auto"/>
                <w:left w:val="none" w:sz="0" w:space="0" w:color="auto"/>
                <w:bottom w:val="none" w:sz="0" w:space="0" w:color="auto"/>
                <w:right w:val="none" w:sz="0" w:space="0" w:color="auto"/>
              </w:divBdr>
            </w:div>
          </w:divsChild>
        </w:div>
        <w:div w:id="1222788794">
          <w:marLeft w:val="0"/>
          <w:marRight w:val="0"/>
          <w:marTop w:val="0"/>
          <w:marBottom w:val="0"/>
          <w:divBdr>
            <w:top w:val="none" w:sz="0" w:space="0" w:color="auto"/>
            <w:left w:val="none" w:sz="0" w:space="0" w:color="auto"/>
            <w:bottom w:val="none" w:sz="0" w:space="0" w:color="auto"/>
            <w:right w:val="none" w:sz="0" w:space="0" w:color="auto"/>
          </w:divBdr>
          <w:divsChild>
            <w:div w:id="270866339">
              <w:marLeft w:val="0"/>
              <w:marRight w:val="0"/>
              <w:marTop w:val="0"/>
              <w:marBottom w:val="0"/>
              <w:divBdr>
                <w:top w:val="none" w:sz="0" w:space="0" w:color="auto"/>
                <w:left w:val="none" w:sz="0" w:space="0" w:color="auto"/>
                <w:bottom w:val="none" w:sz="0" w:space="0" w:color="auto"/>
                <w:right w:val="none" w:sz="0" w:space="0" w:color="auto"/>
              </w:divBdr>
            </w:div>
          </w:divsChild>
        </w:div>
        <w:div w:id="1457289353">
          <w:marLeft w:val="0"/>
          <w:marRight w:val="0"/>
          <w:marTop w:val="0"/>
          <w:marBottom w:val="0"/>
          <w:divBdr>
            <w:top w:val="none" w:sz="0" w:space="0" w:color="auto"/>
            <w:left w:val="none" w:sz="0" w:space="0" w:color="auto"/>
            <w:bottom w:val="none" w:sz="0" w:space="0" w:color="auto"/>
            <w:right w:val="none" w:sz="0" w:space="0" w:color="auto"/>
          </w:divBdr>
          <w:divsChild>
            <w:div w:id="585455771">
              <w:marLeft w:val="0"/>
              <w:marRight w:val="0"/>
              <w:marTop w:val="0"/>
              <w:marBottom w:val="0"/>
              <w:divBdr>
                <w:top w:val="none" w:sz="0" w:space="0" w:color="auto"/>
                <w:left w:val="none" w:sz="0" w:space="0" w:color="auto"/>
                <w:bottom w:val="none" w:sz="0" w:space="0" w:color="auto"/>
                <w:right w:val="none" w:sz="0" w:space="0" w:color="auto"/>
              </w:divBdr>
            </w:div>
          </w:divsChild>
        </w:div>
        <w:div w:id="1522283527">
          <w:marLeft w:val="0"/>
          <w:marRight w:val="0"/>
          <w:marTop w:val="0"/>
          <w:marBottom w:val="0"/>
          <w:divBdr>
            <w:top w:val="none" w:sz="0" w:space="0" w:color="auto"/>
            <w:left w:val="none" w:sz="0" w:space="0" w:color="auto"/>
            <w:bottom w:val="none" w:sz="0" w:space="0" w:color="auto"/>
            <w:right w:val="none" w:sz="0" w:space="0" w:color="auto"/>
          </w:divBdr>
          <w:divsChild>
            <w:div w:id="282616207">
              <w:marLeft w:val="0"/>
              <w:marRight w:val="0"/>
              <w:marTop w:val="0"/>
              <w:marBottom w:val="0"/>
              <w:divBdr>
                <w:top w:val="none" w:sz="0" w:space="0" w:color="auto"/>
                <w:left w:val="none" w:sz="0" w:space="0" w:color="auto"/>
                <w:bottom w:val="none" w:sz="0" w:space="0" w:color="auto"/>
                <w:right w:val="none" w:sz="0" w:space="0" w:color="auto"/>
              </w:divBdr>
            </w:div>
          </w:divsChild>
        </w:div>
        <w:div w:id="1596207523">
          <w:marLeft w:val="0"/>
          <w:marRight w:val="0"/>
          <w:marTop w:val="0"/>
          <w:marBottom w:val="0"/>
          <w:divBdr>
            <w:top w:val="none" w:sz="0" w:space="0" w:color="auto"/>
            <w:left w:val="none" w:sz="0" w:space="0" w:color="auto"/>
            <w:bottom w:val="none" w:sz="0" w:space="0" w:color="auto"/>
            <w:right w:val="none" w:sz="0" w:space="0" w:color="auto"/>
          </w:divBdr>
          <w:divsChild>
            <w:div w:id="285087348">
              <w:marLeft w:val="0"/>
              <w:marRight w:val="0"/>
              <w:marTop w:val="0"/>
              <w:marBottom w:val="0"/>
              <w:divBdr>
                <w:top w:val="none" w:sz="0" w:space="0" w:color="auto"/>
                <w:left w:val="none" w:sz="0" w:space="0" w:color="auto"/>
                <w:bottom w:val="none" w:sz="0" w:space="0" w:color="auto"/>
                <w:right w:val="none" w:sz="0" w:space="0" w:color="auto"/>
              </w:divBdr>
            </w:div>
          </w:divsChild>
        </w:div>
        <w:div w:id="1610624811">
          <w:marLeft w:val="0"/>
          <w:marRight w:val="0"/>
          <w:marTop w:val="0"/>
          <w:marBottom w:val="0"/>
          <w:divBdr>
            <w:top w:val="none" w:sz="0" w:space="0" w:color="auto"/>
            <w:left w:val="none" w:sz="0" w:space="0" w:color="auto"/>
            <w:bottom w:val="none" w:sz="0" w:space="0" w:color="auto"/>
            <w:right w:val="none" w:sz="0" w:space="0" w:color="auto"/>
          </w:divBdr>
          <w:divsChild>
            <w:div w:id="322781424">
              <w:marLeft w:val="0"/>
              <w:marRight w:val="0"/>
              <w:marTop w:val="0"/>
              <w:marBottom w:val="0"/>
              <w:divBdr>
                <w:top w:val="none" w:sz="0" w:space="0" w:color="auto"/>
                <w:left w:val="none" w:sz="0" w:space="0" w:color="auto"/>
                <w:bottom w:val="none" w:sz="0" w:space="0" w:color="auto"/>
                <w:right w:val="none" w:sz="0" w:space="0" w:color="auto"/>
              </w:divBdr>
            </w:div>
          </w:divsChild>
        </w:div>
        <w:div w:id="1614555345">
          <w:marLeft w:val="0"/>
          <w:marRight w:val="0"/>
          <w:marTop w:val="0"/>
          <w:marBottom w:val="0"/>
          <w:divBdr>
            <w:top w:val="none" w:sz="0" w:space="0" w:color="auto"/>
            <w:left w:val="none" w:sz="0" w:space="0" w:color="auto"/>
            <w:bottom w:val="none" w:sz="0" w:space="0" w:color="auto"/>
            <w:right w:val="none" w:sz="0" w:space="0" w:color="auto"/>
          </w:divBdr>
          <w:divsChild>
            <w:div w:id="1522863110">
              <w:marLeft w:val="0"/>
              <w:marRight w:val="0"/>
              <w:marTop w:val="0"/>
              <w:marBottom w:val="0"/>
              <w:divBdr>
                <w:top w:val="none" w:sz="0" w:space="0" w:color="auto"/>
                <w:left w:val="none" w:sz="0" w:space="0" w:color="auto"/>
                <w:bottom w:val="none" w:sz="0" w:space="0" w:color="auto"/>
                <w:right w:val="none" w:sz="0" w:space="0" w:color="auto"/>
              </w:divBdr>
            </w:div>
          </w:divsChild>
        </w:div>
        <w:div w:id="1619214083">
          <w:marLeft w:val="0"/>
          <w:marRight w:val="0"/>
          <w:marTop w:val="0"/>
          <w:marBottom w:val="0"/>
          <w:divBdr>
            <w:top w:val="none" w:sz="0" w:space="0" w:color="auto"/>
            <w:left w:val="none" w:sz="0" w:space="0" w:color="auto"/>
            <w:bottom w:val="none" w:sz="0" w:space="0" w:color="auto"/>
            <w:right w:val="none" w:sz="0" w:space="0" w:color="auto"/>
          </w:divBdr>
          <w:divsChild>
            <w:div w:id="1368943699">
              <w:marLeft w:val="0"/>
              <w:marRight w:val="0"/>
              <w:marTop w:val="0"/>
              <w:marBottom w:val="0"/>
              <w:divBdr>
                <w:top w:val="none" w:sz="0" w:space="0" w:color="auto"/>
                <w:left w:val="none" w:sz="0" w:space="0" w:color="auto"/>
                <w:bottom w:val="none" w:sz="0" w:space="0" w:color="auto"/>
                <w:right w:val="none" w:sz="0" w:space="0" w:color="auto"/>
              </w:divBdr>
            </w:div>
          </w:divsChild>
        </w:div>
        <w:div w:id="1709991844">
          <w:marLeft w:val="0"/>
          <w:marRight w:val="0"/>
          <w:marTop w:val="0"/>
          <w:marBottom w:val="0"/>
          <w:divBdr>
            <w:top w:val="none" w:sz="0" w:space="0" w:color="auto"/>
            <w:left w:val="none" w:sz="0" w:space="0" w:color="auto"/>
            <w:bottom w:val="none" w:sz="0" w:space="0" w:color="auto"/>
            <w:right w:val="none" w:sz="0" w:space="0" w:color="auto"/>
          </w:divBdr>
          <w:divsChild>
            <w:div w:id="1290282626">
              <w:marLeft w:val="0"/>
              <w:marRight w:val="0"/>
              <w:marTop w:val="0"/>
              <w:marBottom w:val="0"/>
              <w:divBdr>
                <w:top w:val="none" w:sz="0" w:space="0" w:color="auto"/>
                <w:left w:val="none" w:sz="0" w:space="0" w:color="auto"/>
                <w:bottom w:val="none" w:sz="0" w:space="0" w:color="auto"/>
                <w:right w:val="none" w:sz="0" w:space="0" w:color="auto"/>
              </w:divBdr>
            </w:div>
          </w:divsChild>
        </w:div>
        <w:div w:id="1777018551">
          <w:marLeft w:val="0"/>
          <w:marRight w:val="0"/>
          <w:marTop w:val="0"/>
          <w:marBottom w:val="0"/>
          <w:divBdr>
            <w:top w:val="none" w:sz="0" w:space="0" w:color="auto"/>
            <w:left w:val="none" w:sz="0" w:space="0" w:color="auto"/>
            <w:bottom w:val="none" w:sz="0" w:space="0" w:color="auto"/>
            <w:right w:val="none" w:sz="0" w:space="0" w:color="auto"/>
          </w:divBdr>
          <w:divsChild>
            <w:div w:id="1364747974">
              <w:marLeft w:val="0"/>
              <w:marRight w:val="0"/>
              <w:marTop w:val="0"/>
              <w:marBottom w:val="0"/>
              <w:divBdr>
                <w:top w:val="none" w:sz="0" w:space="0" w:color="auto"/>
                <w:left w:val="none" w:sz="0" w:space="0" w:color="auto"/>
                <w:bottom w:val="none" w:sz="0" w:space="0" w:color="auto"/>
                <w:right w:val="none" w:sz="0" w:space="0" w:color="auto"/>
              </w:divBdr>
            </w:div>
          </w:divsChild>
        </w:div>
        <w:div w:id="1843202392">
          <w:marLeft w:val="0"/>
          <w:marRight w:val="0"/>
          <w:marTop w:val="0"/>
          <w:marBottom w:val="0"/>
          <w:divBdr>
            <w:top w:val="none" w:sz="0" w:space="0" w:color="auto"/>
            <w:left w:val="none" w:sz="0" w:space="0" w:color="auto"/>
            <w:bottom w:val="none" w:sz="0" w:space="0" w:color="auto"/>
            <w:right w:val="none" w:sz="0" w:space="0" w:color="auto"/>
          </w:divBdr>
          <w:divsChild>
            <w:div w:id="284390848">
              <w:marLeft w:val="0"/>
              <w:marRight w:val="0"/>
              <w:marTop w:val="0"/>
              <w:marBottom w:val="0"/>
              <w:divBdr>
                <w:top w:val="none" w:sz="0" w:space="0" w:color="auto"/>
                <w:left w:val="none" w:sz="0" w:space="0" w:color="auto"/>
                <w:bottom w:val="none" w:sz="0" w:space="0" w:color="auto"/>
                <w:right w:val="none" w:sz="0" w:space="0" w:color="auto"/>
              </w:divBdr>
            </w:div>
          </w:divsChild>
        </w:div>
        <w:div w:id="2076586729">
          <w:marLeft w:val="0"/>
          <w:marRight w:val="0"/>
          <w:marTop w:val="0"/>
          <w:marBottom w:val="0"/>
          <w:divBdr>
            <w:top w:val="none" w:sz="0" w:space="0" w:color="auto"/>
            <w:left w:val="none" w:sz="0" w:space="0" w:color="auto"/>
            <w:bottom w:val="none" w:sz="0" w:space="0" w:color="auto"/>
            <w:right w:val="none" w:sz="0" w:space="0" w:color="auto"/>
          </w:divBdr>
          <w:divsChild>
            <w:div w:id="124086067">
              <w:marLeft w:val="0"/>
              <w:marRight w:val="0"/>
              <w:marTop w:val="0"/>
              <w:marBottom w:val="0"/>
              <w:divBdr>
                <w:top w:val="none" w:sz="0" w:space="0" w:color="auto"/>
                <w:left w:val="none" w:sz="0" w:space="0" w:color="auto"/>
                <w:bottom w:val="none" w:sz="0" w:space="0" w:color="auto"/>
                <w:right w:val="none" w:sz="0" w:space="0" w:color="auto"/>
              </w:divBdr>
            </w:div>
            <w:div w:id="1075393633">
              <w:marLeft w:val="0"/>
              <w:marRight w:val="0"/>
              <w:marTop w:val="0"/>
              <w:marBottom w:val="0"/>
              <w:divBdr>
                <w:top w:val="none" w:sz="0" w:space="0" w:color="auto"/>
                <w:left w:val="none" w:sz="0" w:space="0" w:color="auto"/>
                <w:bottom w:val="none" w:sz="0" w:space="0" w:color="auto"/>
                <w:right w:val="none" w:sz="0" w:space="0" w:color="auto"/>
              </w:divBdr>
            </w:div>
          </w:divsChild>
        </w:div>
        <w:div w:id="2090231062">
          <w:marLeft w:val="0"/>
          <w:marRight w:val="0"/>
          <w:marTop w:val="0"/>
          <w:marBottom w:val="0"/>
          <w:divBdr>
            <w:top w:val="none" w:sz="0" w:space="0" w:color="auto"/>
            <w:left w:val="none" w:sz="0" w:space="0" w:color="auto"/>
            <w:bottom w:val="none" w:sz="0" w:space="0" w:color="auto"/>
            <w:right w:val="none" w:sz="0" w:space="0" w:color="auto"/>
          </w:divBdr>
          <w:divsChild>
            <w:div w:id="1797210100">
              <w:marLeft w:val="0"/>
              <w:marRight w:val="0"/>
              <w:marTop w:val="0"/>
              <w:marBottom w:val="0"/>
              <w:divBdr>
                <w:top w:val="none" w:sz="0" w:space="0" w:color="auto"/>
                <w:left w:val="none" w:sz="0" w:space="0" w:color="auto"/>
                <w:bottom w:val="none" w:sz="0" w:space="0" w:color="auto"/>
                <w:right w:val="none" w:sz="0" w:space="0" w:color="auto"/>
              </w:divBdr>
            </w:div>
          </w:divsChild>
        </w:div>
        <w:div w:id="2146656093">
          <w:marLeft w:val="0"/>
          <w:marRight w:val="0"/>
          <w:marTop w:val="0"/>
          <w:marBottom w:val="0"/>
          <w:divBdr>
            <w:top w:val="none" w:sz="0" w:space="0" w:color="auto"/>
            <w:left w:val="none" w:sz="0" w:space="0" w:color="auto"/>
            <w:bottom w:val="none" w:sz="0" w:space="0" w:color="auto"/>
            <w:right w:val="none" w:sz="0" w:space="0" w:color="auto"/>
          </w:divBdr>
          <w:divsChild>
            <w:div w:id="971982753">
              <w:marLeft w:val="0"/>
              <w:marRight w:val="0"/>
              <w:marTop w:val="0"/>
              <w:marBottom w:val="0"/>
              <w:divBdr>
                <w:top w:val="none" w:sz="0" w:space="0" w:color="auto"/>
                <w:left w:val="none" w:sz="0" w:space="0" w:color="auto"/>
                <w:bottom w:val="none" w:sz="0" w:space="0" w:color="auto"/>
                <w:right w:val="none" w:sz="0" w:space="0" w:color="auto"/>
              </w:divBdr>
            </w:div>
            <w:div w:id="20161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067391">
      <w:bodyDiv w:val="1"/>
      <w:marLeft w:val="0"/>
      <w:marRight w:val="0"/>
      <w:marTop w:val="0"/>
      <w:marBottom w:val="0"/>
      <w:divBdr>
        <w:top w:val="none" w:sz="0" w:space="0" w:color="auto"/>
        <w:left w:val="none" w:sz="0" w:space="0" w:color="auto"/>
        <w:bottom w:val="none" w:sz="0" w:space="0" w:color="auto"/>
        <w:right w:val="none" w:sz="0" w:space="0" w:color="auto"/>
      </w:divBdr>
      <w:divsChild>
        <w:div w:id="151337409">
          <w:marLeft w:val="0"/>
          <w:marRight w:val="0"/>
          <w:marTop w:val="0"/>
          <w:marBottom w:val="0"/>
          <w:divBdr>
            <w:top w:val="none" w:sz="0" w:space="0" w:color="auto"/>
            <w:left w:val="none" w:sz="0" w:space="0" w:color="auto"/>
            <w:bottom w:val="none" w:sz="0" w:space="0" w:color="auto"/>
            <w:right w:val="none" w:sz="0" w:space="0" w:color="auto"/>
          </w:divBdr>
        </w:div>
        <w:div w:id="170998879">
          <w:marLeft w:val="0"/>
          <w:marRight w:val="0"/>
          <w:marTop w:val="0"/>
          <w:marBottom w:val="0"/>
          <w:divBdr>
            <w:top w:val="none" w:sz="0" w:space="0" w:color="auto"/>
            <w:left w:val="none" w:sz="0" w:space="0" w:color="auto"/>
            <w:bottom w:val="none" w:sz="0" w:space="0" w:color="auto"/>
            <w:right w:val="none" w:sz="0" w:space="0" w:color="auto"/>
          </w:divBdr>
        </w:div>
        <w:div w:id="239222214">
          <w:marLeft w:val="0"/>
          <w:marRight w:val="0"/>
          <w:marTop w:val="0"/>
          <w:marBottom w:val="0"/>
          <w:divBdr>
            <w:top w:val="none" w:sz="0" w:space="0" w:color="auto"/>
            <w:left w:val="none" w:sz="0" w:space="0" w:color="auto"/>
            <w:bottom w:val="none" w:sz="0" w:space="0" w:color="auto"/>
            <w:right w:val="none" w:sz="0" w:space="0" w:color="auto"/>
          </w:divBdr>
        </w:div>
        <w:div w:id="460344604">
          <w:marLeft w:val="0"/>
          <w:marRight w:val="0"/>
          <w:marTop w:val="0"/>
          <w:marBottom w:val="0"/>
          <w:divBdr>
            <w:top w:val="none" w:sz="0" w:space="0" w:color="auto"/>
            <w:left w:val="none" w:sz="0" w:space="0" w:color="auto"/>
            <w:bottom w:val="none" w:sz="0" w:space="0" w:color="auto"/>
            <w:right w:val="none" w:sz="0" w:space="0" w:color="auto"/>
          </w:divBdr>
        </w:div>
        <w:div w:id="572004657">
          <w:marLeft w:val="0"/>
          <w:marRight w:val="0"/>
          <w:marTop w:val="0"/>
          <w:marBottom w:val="0"/>
          <w:divBdr>
            <w:top w:val="none" w:sz="0" w:space="0" w:color="auto"/>
            <w:left w:val="none" w:sz="0" w:space="0" w:color="auto"/>
            <w:bottom w:val="none" w:sz="0" w:space="0" w:color="auto"/>
            <w:right w:val="none" w:sz="0" w:space="0" w:color="auto"/>
          </w:divBdr>
        </w:div>
        <w:div w:id="574122309">
          <w:marLeft w:val="0"/>
          <w:marRight w:val="0"/>
          <w:marTop w:val="0"/>
          <w:marBottom w:val="0"/>
          <w:divBdr>
            <w:top w:val="none" w:sz="0" w:space="0" w:color="auto"/>
            <w:left w:val="none" w:sz="0" w:space="0" w:color="auto"/>
            <w:bottom w:val="none" w:sz="0" w:space="0" w:color="auto"/>
            <w:right w:val="none" w:sz="0" w:space="0" w:color="auto"/>
          </w:divBdr>
        </w:div>
        <w:div w:id="620964847">
          <w:marLeft w:val="0"/>
          <w:marRight w:val="0"/>
          <w:marTop w:val="0"/>
          <w:marBottom w:val="0"/>
          <w:divBdr>
            <w:top w:val="none" w:sz="0" w:space="0" w:color="auto"/>
            <w:left w:val="none" w:sz="0" w:space="0" w:color="auto"/>
            <w:bottom w:val="none" w:sz="0" w:space="0" w:color="auto"/>
            <w:right w:val="none" w:sz="0" w:space="0" w:color="auto"/>
          </w:divBdr>
        </w:div>
        <w:div w:id="653803338">
          <w:marLeft w:val="0"/>
          <w:marRight w:val="0"/>
          <w:marTop w:val="0"/>
          <w:marBottom w:val="0"/>
          <w:divBdr>
            <w:top w:val="none" w:sz="0" w:space="0" w:color="auto"/>
            <w:left w:val="none" w:sz="0" w:space="0" w:color="auto"/>
            <w:bottom w:val="none" w:sz="0" w:space="0" w:color="auto"/>
            <w:right w:val="none" w:sz="0" w:space="0" w:color="auto"/>
          </w:divBdr>
        </w:div>
        <w:div w:id="690033429">
          <w:marLeft w:val="0"/>
          <w:marRight w:val="0"/>
          <w:marTop w:val="0"/>
          <w:marBottom w:val="0"/>
          <w:divBdr>
            <w:top w:val="none" w:sz="0" w:space="0" w:color="auto"/>
            <w:left w:val="none" w:sz="0" w:space="0" w:color="auto"/>
            <w:bottom w:val="none" w:sz="0" w:space="0" w:color="auto"/>
            <w:right w:val="none" w:sz="0" w:space="0" w:color="auto"/>
          </w:divBdr>
          <w:divsChild>
            <w:div w:id="5712302">
              <w:marLeft w:val="0"/>
              <w:marRight w:val="0"/>
              <w:marTop w:val="0"/>
              <w:marBottom w:val="0"/>
              <w:divBdr>
                <w:top w:val="none" w:sz="0" w:space="0" w:color="auto"/>
                <w:left w:val="none" w:sz="0" w:space="0" w:color="auto"/>
                <w:bottom w:val="none" w:sz="0" w:space="0" w:color="auto"/>
                <w:right w:val="none" w:sz="0" w:space="0" w:color="auto"/>
              </w:divBdr>
            </w:div>
            <w:div w:id="70125046">
              <w:marLeft w:val="0"/>
              <w:marRight w:val="0"/>
              <w:marTop w:val="0"/>
              <w:marBottom w:val="0"/>
              <w:divBdr>
                <w:top w:val="none" w:sz="0" w:space="0" w:color="auto"/>
                <w:left w:val="none" w:sz="0" w:space="0" w:color="auto"/>
                <w:bottom w:val="none" w:sz="0" w:space="0" w:color="auto"/>
                <w:right w:val="none" w:sz="0" w:space="0" w:color="auto"/>
              </w:divBdr>
            </w:div>
            <w:div w:id="128059880">
              <w:marLeft w:val="0"/>
              <w:marRight w:val="0"/>
              <w:marTop w:val="0"/>
              <w:marBottom w:val="0"/>
              <w:divBdr>
                <w:top w:val="none" w:sz="0" w:space="0" w:color="auto"/>
                <w:left w:val="none" w:sz="0" w:space="0" w:color="auto"/>
                <w:bottom w:val="none" w:sz="0" w:space="0" w:color="auto"/>
                <w:right w:val="none" w:sz="0" w:space="0" w:color="auto"/>
              </w:divBdr>
            </w:div>
            <w:div w:id="195389147">
              <w:marLeft w:val="0"/>
              <w:marRight w:val="0"/>
              <w:marTop w:val="0"/>
              <w:marBottom w:val="0"/>
              <w:divBdr>
                <w:top w:val="none" w:sz="0" w:space="0" w:color="auto"/>
                <w:left w:val="none" w:sz="0" w:space="0" w:color="auto"/>
                <w:bottom w:val="none" w:sz="0" w:space="0" w:color="auto"/>
                <w:right w:val="none" w:sz="0" w:space="0" w:color="auto"/>
              </w:divBdr>
            </w:div>
            <w:div w:id="246497550">
              <w:marLeft w:val="0"/>
              <w:marRight w:val="0"/>
              <w:marTop w:val="0"/>
              <w:marBottom w:val="0"/>
              <w:divBdr>
                <w:top w:val="none" w:sz="0" w:space="0" w:color="auto"/>
                <w:left w:val="none" w:sz="0" w:space="0" w:color="auto"/>
                <w:bottom w:val="none" w:sz="0" w:space="0" w:color="auto"/>
                <w:right w:val="none" w:sz="0" w:space="0" w:color="auto"/>
              </w:divBdr>
            </w:div>
            <w:div w:id="304312756">
              <w:marLeft w:val="0"/>
              <w:marRight w:val="0"/>
              <w:marTop w:val="0"/>
              <w:marBottom w:val="0"/>
              <w:divBdr>
                <w:top w:val="none" w:sz="0" w:space="0" w:color="auto"/>
                <w:left w:val="none" w:sz="0" w:space="0" w:color="auto"/>
                <w:bottom w:val="none" w:sz="0" w:space="0" w:color="auto"/>
                <w:right w:val="none" w:sz="0" w:space="0" w:color="auto"/>
              </w:divBdr>
            </w:div>
            <w:div w:id="305284674">
              <w:marLeft w:val="0"/>
              <w:marRight w:val="0"/>
              <w:marTop w:val="0"/>
              <w:marBottom w:val="0"/>
              <w:divBdr>
                <w:top w:val="none" w:sz="0" w:space="0" w:color="auto"/>
                <w:left w:val="none" w:sz="0" w:space="0" w:color="auto"/>
                <w:bottom w:val="none" w:sz="0" w:space="0" w:color="auto"/>
                <w:right w:val="none" w:sz="0" w:space="0" w:color="auto"/>
              </w:divBdr>
            </w:div>
            <w:div w:id="437682058">
              <w:marLeft w:val="0"/>
              <w:marRight w:val="0"/>
              <w:marTop w:val="0"/>
              <w:marBottom w:val="0"/>
              <w:divBdr>
                <w:top w:val="none" w:sz="0" w:space="0" w:color="auto"/>
                <w:left w:val="none" w:sz="0" w:space="0" w:color="auto"/>
                <w:bottom w:val="none" w:sz="0" w:space="0" w:color="auto"/>
                <w:right w:val="none" w:sz="0" w:space="0" w:color="auto"/>
              </w:divBdr>
            </w:div>
            <w:div w:id="528615109">
              <w:marLeft w:val="0"/>
              <w:marRight w:val="0"/>
              <w:marTop w:val="0"/>
              <w:marBottom w:val="0"/>
              <w:divBdr>
                <w:top w:val="none" w:sz="0" w:space="0" w:color="auto"/>
                <w:left w:val="none" w:sz="0" w:space="0" w:color="auto"/>
                <w:bottom w:val="none" w:sz="0" w:space="0" w:color="auto"/>
                <w:right w:val="none" w:sz="0" w:space="0" w:color="auto"/>
              </w:divBdr>
            </w:div>
            <w:div w:id="580408663">
              <w:marLeft w:val="0"/>
              <w:marRight w:val="0"/>
              <w:marTop w:val="0"/>
              <w:marBottom w:val="0"/>
              <w:divBdr>
                <w:top w:val="none" w:sz="0" w:space="0" w:color="auto"/>
                <w:left w:val="none" w:sz="0" w:space="0" w:color="auto"/>
                <w:bottom w:val="none" w:sz="0" w:space="0" w:color="auto"/>
                <w:right w:val="none" w:sz="0" w:space="0" w:color="auto"/>
              </w:divBdr>
            </w:div>
            <w:div w:id="820537192">
              <w:marLeft w:val="0"/>
              <w:marRight w:val="0"/>
              <w:marTop w:val="0"/>
              <w:marBottom w:val="0"/>
              <w:divBdr>
                <w:top w:val="none" w:sz="0" w:space="0" w:color="auto"/>
                <w:left w:val="none" w:sz="0" w:space="0" w:color="auto"/>
                <w:bottom w:val="none" w:sz="0" w:space="0" w:color="auto"/>
                <w:right w:val="none" w:sz="0" w:space="0" w:color="auto"/>
              </w:divBdr>
            </w:div>
            <w:div w:id="1527789532">
              <w:marLeft w:val="0"/>
              <w:marRight w:val="0"/>
              <w:marTop w:val="0"/>
              <w:marBottom w:val="0"/>
              <w:divBdr>
                <w:top w:val="none" w:sz="0" w:space="0" w:color="auto"/>
                <w:left w:val="none" w:sz="0" w:space="0" w:color="auto"/>
                <w:bottom w:val="none" w:sz="0" w:space="0" w:color="auto"/>
                <w:right w:val="none" w:sz="0" w:space="0" w:color="auto"/>
              </w:divBdr>
            </w:div>
            <w:div w:id="1576427434">
              <w:marLeft w:val="0"/>
              <w:marRight w:val="0"/>
              <w:marTop w:val="0"/>
              <w:marBottom w:val="0"/>
              <w:divBdr>
                <w:top w:val="none" w:sz="0" w:space="0" w:color="auto"/>
                <w:left w:val="none" w:sz="0" w:space="0" w:color="auto"/>
                <w:bottom w:val="none" w:sz="0" w:space="0" w:color="auto"/>
                <w:right w:val="none" w:sz="0" w:space="0" w:color="auto"/>
              </w:divBdr>
            </w:div>
            <w:div w:id="1593969468">
              <w:marLeft w:val="0"/>
              <w:marRight w:val="0"/>
              <w:marTop w:val="0"/>
              <w:marBottom w:val="0"/>
              <w:divBdr>
                <w:top w:val="none" w:sz="0" w:space="0" w:color="auto"/>
                <w:left w:val="none" w:sz="0" w:space="0" w:color="auto"/>
                <w:bottom w:val="none" w:sz="0" w:space="0" w:color="auto"/>
                <w:right w:val="none" w:sz="0" w:space="0" w:color="auto"/>
              </w:divBdr>
            </w:div>
            <w:div w:id="1617635952">
              <w:marLeft w:val="0"/>
              <w:marRight w:val="0"/>
              <w:marTop w:val="0"/>
              <w:marBottom w:val="0"/>
              <w:divBdr>
                <w:top w:val="none" w:sz="0" w:space="0" w:color="auto"/>
                <w:left w:val="none" w:sz="0" w:space="0" w:color="auto"/>
                <w:bottom w:val="none" w:sz="0" w:space="0" w:color="auto"/>
                <w:right w:val="none" w:sz="0" w:space="0" w:color="auto"/>
              </w:divBdr>
            </w:div>
            <w:div w:id="1640264537">
              <w:marLeft w:val="0"/>
              <w:marRight w:val="0"/>
              <w:marTop w:val="0"/>
              <w:marBottom w:val="0"/>
              <w:divBdr>
                <w:top w:val="none" w:sz="0" w:space="0" w:color="auto"/>
                <w:left w:val="none" w:sz="0" w:space="0" w:color="auto"/>
                <w:bottom w:val="none" w:sz="0" w:space="0" w:color="auto"/>
                <w:right w:val="none" w:sz="0" w:space="0" w:color="auto"/>
              </w:divBdr>
            </w:div>
            <w:div w:id="1946963781">
              <w:marLeft w:val="0"/>
              <w:marRight w:val="0"/>
              <w:marTop w:val="0"/>
              <w:marBottom w:val="0"/>
              <w:divBdr>
                <w:top w:val="none" w:sz="0" w:space="0" w:color="auto"/>
                <w:left w:val="none" w:sz="0" w:space="0" w:color="auto"/>
                <w:bottom w:val="none" w:sz="0" w:space="0" w:color="auto"/>
                <w:right w:val="none" w:sz="0" w:space="0" w:color="auto"/>
              </w:divBdr>
            </w:div>
            <w:div w:id="2051105226">
              <w:marLeft w:val="0"/>
              <w:marRight w:val="0"/>
              <w:marTop w:val="0"/>
              <w:marBottom w:val="0"/>
              <w:divBdr>
                <w:top w:val="none" w:sz="0" w:space="0" w:color="auto"/>
                <w:left w:val="none" w:sz="0" w:space="0" w:color="auto"/>
                <w:bottom w:val="none" w:sz="0" w:space="0" w:color="auto"/>
                <w:right w:val="none" w:sz="0" w:space="0" w:color="auto"/>
              </w:divBdr>
            </w:div>
            <w:div w:id="2111974152">
              <w:marLeft w:val="0"/>
              <w:marRight w:val="0"/>
              <w:marTop w:val="0"/>
              <w:marBottom w:val="0"/>
              <w:divBdr>
                <w:top w:val="none" w:sz="0" w:space="0" w:color="auto"/>
                <w:left w:val="none" w:sz="0" w:space="0" w:color="auto"/>
                <w:bottom w:val="none" w:sz="0" w:space="0" w:color="auto"/>
                <w:right w:val="none" w:sz="0" w:space="0" w:color="auto"/>
              </w:divBdr>
            </w:div>
            <w:div w:id="2123498018">
              <w:marLeft w:val="0"/>
              <w:marRight w:val="0"/>
              <w:marTop w:val="0"/>
              <w:marBottom w:val="0"/>
              <w:divBdr>
                <w:top w:val="none" w:sz="0" w:space="0" w:color="auto"/>
                <w:left w:val="none" w:sz="0" w:space="0" w:color="auto"/>
                <w:bottom w:val="none" w:sz="0" w:space="0" w:color="auto"/>
                <w:right w:val="none" w:sz="0" w:space="0" w:color="auto"/>
              </w:divBdr>
            </w:div>
          </w:divsChild>
        </w:div>
        <w:div w:id="736173380">
          <w:marLeft w:val="0"/>
          <w:marRight w:val="0"/>
          <w:marTop w:val="0"/>
          <w:marBottom w:val="0"/>
          <w:divBdr>
            <w:top w:val="none" w:sz="0" w:space="0" w:color="auto"/>
            <w:left w:val="none" w:sz="0" w:space="0" w:color="auto"/>
            <w:bottom w:val="none" w:sz="0" w:space="0" w:color="auto"/>
            <w:right w:val="none" w:sz="0" w:space="0" w:color="auto"/>
          </w:divBdr>
        </w:div>
        <w:div w:id="794055998">
          <w:marLeft w:val="0"/>
          <w:marRight w:val="0"/>
          <w:marTop w:val="0"/>
          <w:marBottom w:val="0"/>
          <w:divBdr>
            <w:top w:val="none" w:sz="0" w:space="0" w:color="auto"/>
            <w:left w:val="none" w:sz="0" w:space="0" w:color="auto"/>
            <w:bottom w:val="none" w:sz="0" w:space="0" w:color="auto"/>
            <w:right w:val="none" w:sz="0" w:space="0" w:color="auto"/>
          </w:divBdr>
        </w:div>
        <w:div w:id="843712825">
          <w:marLeft w:val="0"/>
          <w:marRight w:val="0"/>
          <w:marTop w:val="0"/>
          <w:marBottom w:val="0"/>
          <w:divBdr>
            <w:top w:val="none" w:sz="0" w:space="0" w:color="auto"/>
            <w:left w:val="none" w:sz="0" w:space="0" w:color="auto"/>
            <w:bottom w:val="none" w:sz="0" w:space="0" w:color="auto"/>
            <w:right w:val="none" w:sz="0" w:space="0" w:color="auto"/>
          </w:divBdr>
        </w:div>
        <w:div w:id="880551170">
          <w:marLeft w:val="0"/>
          <w:marRight w:val="0"/>
          <w:marTop w:val="0"/>
          <w:marBottom w:val="0"/>
          <w:divBdr>
            <w:top w:val="none" w:sz="0" w:space="0" w:color="auto"/>
            <w:left w:val="none" w:sz="0" w:space="0" w:color="auto"/>
            <w:bottom w:val="none" w:sz="0" w:space="0" w:color="auto"/>
            <w:right w:val="none" w:sz="0" w:space="0" w:color="auto"/>
          </w:divBdr>
        </w:div>
        <w:div w:id="919289849">
          <w:marLeft w:val="0"/>
          <w:marRight w:val="0"/>
          <w:marTop w:val="0"/>
          <w:marBottom w:val="0"/>
          <w:divBdr>
            <w:top w:val="none" w:sz="0" w:space="0" w:color="auto"/>
            <w:left w:val="none" w:sz="0" w:space="0" w:color="auto"/>
            <w:bottom w:val="none" w:sz="0" w:space="0" w:color="auto"/>
            <w:right w:val="none" w:sz="0" w:space="0" w:color="auto"/>
          </w:divBdr>
        </w:div>
        <w:div w:id="931857563">
          <w:marLeft w:val="0"/>
          <w:marRight w:val="0"/>
          <w:marTop w:val="0"/>
          <w:marBottom w:val="0"/>
          <w:divBdr>
            <w:top w:val="none" w:sz="0" w:space="0" w:color="auto"/>
            <w:left w:val="none" w:sz="0" w:space="0" w:color="auto"/>
            <w:bottom w:val="none" w:sz="0" w:space="0" w:color="auto"/>
            <w:right w:val="none" w:sz="0" w:space="0" w:color="auto"/>
          </w:divBdr>
        </w:div>
        <w:div w:id="1024939014">
          <w:marLeft w:val="0"/>
          <w:marRight w:val="0"/>
          <w:marTop w:val="0"/>
          <w:marBottom w:val="0"/>
          <w:divBdr>
            <w:top w:val="none" w:sz="0" w:space="0" w:color="auto"/>
            <w:left w:val="none" w:sz="0" w:space="0" w:color="auto"/>
            <w:bottom w:val="none" w:sz="0" w:space="0" w:color="auto"/>
            <w:right w:val="none" w:sz="0" w:space="0" w:color="auto"/>
          </w:divBdr>
        </w:div>
        <w:div w:id="1043361793">
          <w:marLeft w:val="0"/>
          <w:marRight w:val="0"/>
          <w:marTop w:val="0"/>
          <w:marBottom w:val="0"/>
          <w:divBdr>
            <w:top w:val="none" w:sz="0" w:space="0" w:color="auto"/>
            <w:left w:val="none" w:sz="0" w:space="0" w:color="auto"/>
            <w:bottom w:val="none" w:sz="0" w:space="0" w:color="auto"/>
            <w:right w:val="none" w:sz="0" w:space="0" w:color="auto"/>
          </w:divBdr>
        </w:div>
        <w:div w:id="1063329423">
          <w:marLeft w:val="0"/>
          <w:marRight w:val="0"/>
          <w:marTop w:val="0"/>
          <w:marBottom w:val="0"/>
          <w:divBdr>
            <w:top w:val="none" w:sz="0" w:space="0" w:color="auto"/>
            <w:left w:val="none" w:sz="0" w:space="0" w:color="auto"/>
            <w:bottom w:val="none" w:sz="0" w:space="0" w:color="auto"/>
            <w:right w:val="none" w:sz="0" w:space="0" w:color="auto"/>
          </w:divBdr>
        </w:div>
        <w:div w:id="1191068826">
          <w:marLeft w:val="0"/>
          <w:marRight w:val="0"/>
          <w:marTop w:val="0"/>
          <w:marBottom w:val="0"/>
          <w:divBdr>
            <w:top w:val="none" w:sz="0" w:space="0" w:color="auto"/>
            <w:left w:val="none" w:sz="0" w:space="0" w:color="auto"/>
            <w:bottom w:val="none" w:sz="0" w:space="0" w:color="auto"/>
            <w:right w:val="none" w:sz="0" w:space="0" w:color="auto"/>
          </w:divBdr>
        </w:div>
        <w:div w:id="1198857207">
          <w:marLeft w:val="0"/>
          <w:marRight w:val="0"/>
          <w:marTop w:val="0"/>
          <w:marBottom w:val="0"/>
          <w:divBdr>
            <w:top w:val="none" w:sz="0" w:space="0" w:color="auto"/>
            <w:left w:val="none" w:sz="0" w:space="0" w:color="auto"/>
            <w:bottom w:val="none" w:sz="0" w:space="0" w:color="auto"/>
            <w:right w:val="none" w:sz="0" w:space="0" w:color="auto"/>
          </w:divBdr>
        </w:div>
        <w:div w:id="1229534633">
          <w:marLeft w:val="0"/>
          <w:marRight w:val="0"/>
          <w:marTop w:val="0"/>
          <w:marBottom w:val="0"/>
          <w:divBdr>
            <w:top w:val="none" w:sz="0" w:space="0" w:color="auto"/>
            <w:left w:val="none" w:sz="0" w:space="0" w:color="auto"/>
            <w:bottom w:val="none" w:sz="0" w:space="0" w:color="auto"/>
            <w:right w:val="none" w:sz="0" w:space="0" w:color="auto"/>
          </w:divBdr>
        </w:div>
        <w:div w:id="1237672448">
          <w:marLeft w:val="0"/>
          <w:marRight w:val="0"/>
          <w:marTop w:val="0"/>
          <w:marBottom w:val="0"/>
          <w:divBdr>
            <w:top w:val="none" w:sz="0" w:space="0" w:color="auto"/>
            <w:left w:val="none" w:sz="0" w:space="0" w:color="auto"/>
            <w:bottom w:val="none" w:sz="0" w:space="0" w:color="auto"/>
            <w:right w:val="none" w:sz="0" w:space="0" w:color="auto"/>
          </w:divBdr>
        </w:div>
        <w:div w:id="1242065250">
          <w:marLeft w:val="0"/>
          <w:marRight w:val="0"/>
          <w:marTop w:val="0"/>
          <w:marBottom w:val="0"/>
          <w:divBdr>
            <w:top w:val="none" w:sz="0" w:space="0" w:color="auto"/>
            <w:left w:val="none" w:sz="0" w:space="0" w:color="auto"/>
            <w:bottom w:val="none" w:sz="0" w:space="0" w:color="auto"/>
            <w:right w:val="none" w:sz="0" w:space="0" w:color="auto"/>
          </w:divBdr>
        </w:div>
        <w:div w:id="1280798518">
          <w:marLeft w:val="0"/>
          <w:marRight w:val="0"/>
          <w:marTop w:val="0"/>
          <w:marBottom w:val="0"/>
          <w:divBdr>
            <w:top w:val="none" w:sz="0" w:space="0" w:color="auto"/>
            <w:left w:val="none" w:sz="0" w:space="0" w:color="auto"/>
            <w:bottom w:val="none" w:sz="0" w:space="0" w:color="auto"/>
            <w:right w:val="none" w:sz="0" w:space="0" w:color="auto"/>
          </w:divBdr>
        </w:div>
        <w:div w:id="1293898779">
          <w:marLeft w:val="0"/>
          <w:marRight w:val="0"/>
          <w:marTop w:val="0"/>
          <w:marBottom w:val="0"/>
          <w:divBdr>
            <w:top w:val="none" w:sz="0" w:space="0" w:color="auto"/>
            <w:left w:val="none" w:sz="0" w:space="0" w:color="auto"/>
            <w:bottom w:val="none" w:sz="0" w:space="0" w:color="auto"/>
            <w:right w:val="none" w:sz="0" w:space="0" w:color="auto"/>
          </w:divBdr>
        </w:div>
        <w:div w:id="1378361374">
          <w:marLeft w:val="0"/>
          <w:marRight w:val="0"/>
          <w:marTop w:val="0"/>
          <w:marBottom w:val="0"/>
          <w:divBdr>
            <w:top w:val="none" w:sz="0" w:space="0" w:color="auto"/>
            <w:left w:val="none" w:sz="0" w:space="0" w:color="auto"/>
            <w:bottom w:val="none" w:sz="0" w:space="0" w:color="auto"/>
            <w:right w:val="none" w:sz="0" w:space="0" w:color="auto"/>
          </w:divBdr>
          <w:divsChild>
            <w:div w:id="77751418">
              <w:marLeft w:val="0"/>
              <w:marRight w:val="0"/>
              <w:marTop w:val="0"/>
              <w:marBottom w:val="0"/>
              <w:divBdr>
                <w:top w:val="none" w:sz="0" w:space="0" w:color="auto"/>
                <w:left w:val="none" w:sz="0" w:space="0" w:color="auto"/>
                <w:bottom w:val="none" w:sz="0" w:space="0" w:color="auto"/>
                <w:right w:val="none" w:sz="0" w:space="0" w:color="auto"/>
              </w:divBdr>
            </w:div>
            <w:div w:id="337268282">
              <w:marLeft w:val="0"/>
              <w:marRight w:val="0"/>
              <w:marTop w:val="0"/>
              <w:marBottom w:val="0"/>
              <w:divBdr>
                <w:top w:val="none" w:sz="0" w:space="0" w:color="auto"/>
                <w:left w:val="none" w:sz="0" w:space="0" w:color="auto"/>
                <w:bottom w:val="none" w:sz="0" w:space="0" w:color="auto"/>
                <w:right w:val="none" w:sz="0" w:space="0" w:color="auto"/>
              </w:divBdr>
            </w:div>
            <w:div w:id="426657251">
              <w:marLeft w:val="0"/>
              <w:marRight w:val="0"/>
              <w:marTop w:val="0"/>
              <w:marBottom w:val="0"/>
              <w:divBdr>
                <w:top w:val="none" w:sz="0" w:space="0" w:color="auto"/>
                <w:left w:val="none" w:sz="0" w:space="0" w:color="auto"/>
                <w:bottom w:val="none" w:sz="0" w:space="0" w:color="auto"/>
                <w:right w:val="none" w:sz="0" w:space="0" w:color="auto"/>
              </w:divBdr>
            </w:div>
            <w:div w:id="797189588">
              <w:marLeft w:val="0"/>
              <w:marRight w:val="0"/>
              <w:marTop w:val="0"/>
              <w:marBottom w:val="0"/>
              <w:divBdr>
                <w:top w:val="none" w:sz="0" w:space="0" w:color="auto"/>
                <w:left w:val="none" w:sz="0" w:space="0" w:color="auto"/>
                <w:bottom w:val="none" w:sz="0" w:space="0" w:color="auto"/>
                <w:right w:val="none" w:sz="0" w:space="0" w:color="auto"/>
              </w:divBdr>
            </w:div>
            <w:div w:id="838614028">
              <w:marLeft w:val="0"/>
              <w:marRight w:val="0"/>
              <w:marTop w:val="0"/>
              <w:marBottom w:val="0"/>
              <w:divBdr>
                <w:top w:val="none" w:sz="0" w:space="0" w:color="auto"/>
                <w:left w:val="none" w:sz="0" w:space="0" w:color="auto"/>
                <w:bottom w:val="none" w:sz="0" w:space="0" w:color="auto"/>
                <w:right w:val="none" w:sz="0" w:space="0" w:color="auto"/>
              </w:divBdr>
            </w:div>
            <w:div w:id="1312448437">
              <w:marLeft w:val="0"/>
              <w:marRight w:val="0"/>
              <w:marTop w:val="0"/>
              <w:marBottom w:val="0"/>
              <w:divBdr>
                <w:top w:val="none" w:sz="0" w:space="0" w:color="auto"/>
                <w:left w:val="none" w:sz="0" w:space="0" w:color="auto"/>
                <w:bottom w:val="none" w:sz="0" w:space="0" w:color="auto"/>
                <w:right w:val="none" w:sz="0" w:space="0" w:color="auto"/>
              </w:divBdr>
            </w:div>
            <w:div w:id="1368530346">
              <w:marLeft w:val="0"/>
              <w:marRight w:val="0"/>
              <w:marTop w:val="0"/>
              <w:marBottom w:val="0"/>
              <w:divBdr>
                <w:top w:val="none" w:sz="0" w:space="0" w:color="auto"/>
                <w:left w:val="none" w:sz="0" w:space="0" w:color="auto"/>
                <w:bottom w:val="none" w:sz="0" w:space="0" w:color="auto"/>
                <w:right w:val="none" w:sz="0" w:space="0" w:color="auto"/>
              </w:divBdr>
            </w:div>
            <w:div w:id="1371956121">
              <w:marLeft w:val="0"/>
              <w:marRight w:val="0"/>
              <w:marTop w:val="0"/>
              <w:marBottom w:val="0"/>
              <w:divBdr>
                <w:top w:val="none" w:sz="0" w:space="0" w:color="auto"/>
                <w:left w:val="none" w:sz="0" w:space="0" w:color="auto"/>
                <w:bottom w:val="none" w:sz="0" w:space="0" w:color="auto"/>
                <w:right w:val="none" w:sz="0" w:space="0" w:color="auto"/>
              </w:divBdr>
            </w:div>
            <w:div w:id="1485858145">
              <w:marLeft w:val="0"/>
              <w:marRight w:val="0"/>
              <w:marTop w:val="0"/>
              <w:marBottom w:val="0"/>
              <w:divBdr>
                <w:top w:val="none" w:sz="0" w:space="0" w:color="auto"/>
                <w:left w:val="none" w:sz="0" w:space="0" w:color="auto"/>
                <w:bottom w:val="none" w:sz="0" w:space="0" w:color="auto"/>
                <w:right w:val="none" w:sz="0" w:space="0" w:color="auto"/>
              </w:divBdr>
            </w:div>
            <w:div w:id="1486892074">
              <w:marLeft w:val="0"/>
              <w:marRight w:val="0"/>
              <w:marTop w:val="0"/>
              <w:marBottom w:val="0"/>
              <w:divBdr>
                <w:top w:val="none" w:sz="0" w:space="0" w:color="auto"/>
                <w:left w:val="none" w:sz="0" w:space="0" w:color="auto"/>
                <w:bottom w:val="none" w:sz="0" w:space="0" w:color="auto"/>
                <w:right w:val="none" w:sz="0" w:space="0" w:color="auto"/>
              </w:divBdr>
            </w:div>
            <w:div w:id="1812823474">
              <w:marLeft w:val="0"/>
              <w:marRight w:val="0"/>
              <w:marTop w:val="0"/>
              <w:marBottom w:val="0"/>
              <w:divBdr>
                <w:top w:val="none" w:sz="0" w:space="0" w:color="auto"/>
                <w:left w:val="none" w:sz="0" w:space="0" w:color="auto"/>
                <w:bottom w:val="none" w:sz="0" w:space="0" w:color="auto"/>
                <w:right w:val="none" w:sz="0" w:space="0" w:color="auto"/>
              </w:divBdr>
            </w:div>
            <w:div w:id="1836147050">
              <w:marLeft w:val="0"/>
              <w:marRight w:val="0"/>
              <w:marTop w:val="0"/>
              <w:marBottom w:val="0"/>
              <w:divBdr>
                <w:top w:val="none" w:sz="0" w:space="0" w:color="auto"/>
                <w:left w:val="none" w:sz="0" w:space="0" w:color="auto"/>
                <w:bottom w:val="none" w:sz="0" w:space="0" w:color="auto"/>
                <w:right w:val="none" w:sz="0" w:space="0" w:color="auto"/>
              </w:divBdr>
            </w:div>
          </w:divsChild>
        </w:div>
        <w:div w:id="1389642874">
          <w:marLeft w:val="0"/>
          <w:marRight w:val="0"/>
          <w:marTop w:val="0"/>
          <w:marBottom w:val="0"/>
          <w:divBdr>
            <w:top w:val="none" w:sz="0" w:space="0" w:color="auto"/>
            <w:left w:val="none" w:sz="0" w:space="0" w:color="auto"/>
            <w:bottom w:val="none" w:sz="0" w:space="0" w:color="auto"/>
            <w:right w:val="none" w:sz="0" w:space="0" w:color="auto"/>
          </w:divBdr>
          <w:divsChild>
            <w:div w:id="38751180">
              <w:marLeft w:val="0"/>
              <w:marRight w:val="0"/>
              <w:marTop w:val="0"/>
              <w:marBottom w:val="0"/>
              <w:divBdr>
                <w:top w:val="none" w:sz="0" w:space="0" w:color="auto"/>
                <w:left w:val="none" w:sz="0" w:space="0" w:color="auto"/>
                <w:bottom w:val="none" w:sz="0" w:space="0" w:color="auto"/>
                <w:right w:val="none" w:sz="0" w:space="0" w:color="auto"/>
              </w:divBdr>
            </w:div>
            <w:div w:id="118500915">
              <w:marLeft w:val="0"/>
              <w:marRight w:val="0"/>
              <w:marTop w:val="0"/>
              <w:marBottom w:val="0"/>
              <w:divBdr>
                <w:top w:val="none" w:sz="0" w:space="0" w:color="auto"/>
                <w:left w:val="none" w:sz="0" w:space="0" w:color="auto"/>
                <w:bottom w:val="none" w:sz="0" w:space="0" w:color="auto"/>
                <w:right w:val="none" w:sz="0" w:space="0" w:color="auto"/>
              </w:divBdr>
            </w:div>
            <w:div w:id="135152837">
              <w:marLeft w:val="0"/>
              <w:marRight w:val="0"/>
              <w:marTop w:val="0"/>
              <w:marBottom w:val="0"/>
              <w:divBdr>
                <w:top w:val="none" w:sz="0" w:space="0" w:color="auto"/>
                <w:left w:val="none" w:sz="0" w:space="0" w:color="auto"/>
                <w:bottom w:val="none" w:sz="0" w:space="0" w:color="auto"/>
                <w:right w:val="none" w:sz="0" w:space="0" w:color="auto"/>
              </w:divBdr>
            </w:div>
            <w:div w:id="148442903">
              <w:marLeft w:val="0"/>
              <w:marRight w:val="0"/>
              <w:marTop w:val="0"/>
              <w:marBottom w:val="0"/>
              <w:divBdr>
                <w:top w:val="none" w:sz="0" w:space="0" w:color="auto"/>
                <w:left w:val="none" w:sz="0" w:space="0" w:color="auto"/>
                <w:bottom w:val="none" w:sz="0" w:space="0" w:color="auto"/>
                <w:right w:val="none" w:sz="0" w:space="0" w:color="auto"/>
              </w:divBdr>
            </w:div>
            <w:div w:id="208958908">
              <w:marLeft w:val="0"/>
              <w:marRight w:val="0"/>
              <w:marTop w:val="0"/>
              <w:marBottom w:val="0"/>
              <w:divBdr>
                <w:top w:val="none" w:sz="0" w:space="0" w:color="auto"/>
                <w:left w:val="none" w:sz="0" w:space="0" w:color="auto"/>
                <w:bottom w:val="none" w:sz="0" w:space="0" w:color="auto"/>
                <w:right w:val="none" w:sz="0" w:space="0" w:color="auto"/>
              </w:divBdr>
            </w:div>
            <w:div w:id="279652044">
              <w:marLeft w:val="0"/>
              <w:marRight w:val="0"/>
              <w:marTop w:val="0"/>
              <w:marBottom w:val="0"/>
              <w:divBdr>
                <w:top w:val="none" w:sz="0" w:space="0" w:color="auto"/>
                <w:left w:val="none" w:sz="0" w:space="0" w:color="auto"/>
                <w:bottom w:val="none" w:sz="0" w:space="0" w:color="auto"/>
                <w:right w:val="none" w:sz="0" w:space="0" w:color="auto"/>
              </w:divBdr>
            </w:div>
            <w:div w:id="298809245">
              <w:marLeft w:val="0"/>
              <w:marRight w:val="0"/>
              <w:marTop w:val="0"/>
              <w:marBottom w:val="0"/>
              <w:divBdr>
                <w:top w:val="none" w:sz="0" w:space="0" w:color="auto"/>
                <w:left w:val="none" w:sz="0" w:space="0" w:color="auto"/>
                <w:bottom w:val="none" w:sz="0" w:space="0" w:color="auto"/>
                <w:right w:val="none" w:sz="0" w:space="0" w:color="auto"/>
              </w:divBdr>
            </w:div>
            <w:div w:id="405609119">
              <w:marLeft w:val="0"/>
              <w:marRight w:val="0"/>
              <w:marTop w:val="0"/>
              <w:marBottom w:val="0"/>
              <w:divBdr>
                <w:top w:val="none" w:sz="0" w:space="0" w:color="auto"/>
                <w:left w:val="none" w:sz="0" w:space="0" w:color="auto"/>
                <w:bottom w:val="none" w:sz="0" w:space="0" w:color="auto"/>
                <w:right w:val="none" w:sz="0" w:space="0" w:color="auto"/>
              </w:divBdr>
            </w:div>
            <w:div w:id="450977185">
              <w:marLeft w:val="0"/>
              <w:marRight w:val="0"/>
              <w:marTop w:val="0"/>
              <w:marBottom w:val="0"/>
              <w:divBdr>
                <w:top w:val="none" w:sz="0" w:space="0" w:color="auto"/>
                <w:left w:val="none" w:sz="0" w:space="0" w:color="auto"/>
                <w:bottom w:val="none" w:sz="0" w:space="0" w:color="auto"/>
                <w:right w:val="none" w:sz="0" w:space="0" w:color="auto"/>
              </w:divBdr>
            </w:div>
            <w:div w:id="726951842">
              <w:marLeft w:val="0"/>
              <w:marRight w:val="0"/>
              <w:marTop w:val="0"/>
              <w:marBottom w:val="0"/>
              <w:divBdr>
                <w:top w:val="none" w:sz="0" w:space="0" w:color="auto"/>
                <w:left w:val="none" w:sz="0" w:space="0" w:color="auto"/>
                <w:bottom w:val="none" w:sz="0" w:space="0" w:color="auto"/>
                <w:right w:val="none" w:sz="0" w:space="0" w:color="auto"/>
              </w:divBdr>
            </w:div>
            <w:div w:id="988245711">
              <w:marLeft w:val="0"/>
              <w:marRight w:val="0"/>
              <w:marTop w:val="0"/>
              <w:marBottom w:val="0"/>
              <w:divBdr>
                <w:top w:val="none" w:sz="0" w:space="0" w:color="auto"/>
                <w:left w:val="none" w:sz="0" w:space="0" w:color="auto"/>
                <w:bottom w:val="none" w:sz="0" w:space="0" w:color="auto"/>
                <w:right w:val="none" w:sz="0" w:space="0" w:color="auto"/>
              </w:divBdr>
            </w:div>
            <w:div w:id="1051808564">
              <w:marLeft w:val="0"/>
              <w:marRight w:val="0"/>
              <w:marTop w:val="0"/>
              <w:marBottom w:val="0"/>
              <w:divBdr>
                <w:top w:val="none" w:sz="0" w:space="0" w:color="auto"/>
                <w:left w:val="none" w:sz="0" w:space="0" w:color="auto"/>
                <w:bottom w:val="none" w:sz="0" w:space="0" w:color="auto"/>
                <w:right w:val="none" w:sz="0" w:space="0" w:color="auto"/>
              </w:divBdr>
            </w:div>
            <w:div w:id="1129543940">
              <w:marLeft w:val="0"/>
              <w:marRight w:val="0"/>
              <w:marTop w:val="0"/>
              <w:marBottom w:val="0"/>
              <w:divBdr>
                <w:top w:val="none" w:sz="0" w:space="0" w:color="auto"/>
                <w:left w:val="none" w:sz="0" w:space="0" w:color="auto"/>
                <w:bottom w:val="none" w:sz="0" w:space="0" w:color="auto"/>
                <w:right w:val="none" w:sz="0" w:space="0" w:color="auto"/>
              </w:divBdr>
            </w:div>
            <w:div w:id="1140876480">
              <w:marLeft w:val="0"/>
              <w:marRight w:val="0"/>
              <w:marTop w:val="0"/>
              <w:marBottom w:val="0"/>
              <w:divBdr>
                <w:top w:val="none" w:sz="0" w:space="0" w:color="auto"/>
                <w:left w:val="none" w:sz="0" w:space="0" w:color="auto"/>
                <w:bottom w:val="none" w:sz="0" w:space="0" w:color="auto"/>
                <w:right w:val="none" w:sz="0" w:space="0" w:color="auto"/>
              </w:divBdr>
            </w:div>
            <w:div w:id="1197162939">
              <w:marLeft w:val="0"/>
              <w:marRight w:val="0"/>
              <w:marTop w:val="0"/>
              <w:marBottom w:val="0"/>
              <w:divBdr>
                <w:top w:val="none" w:sz="0" w:space="0" w:color="auto"/>
                <w:left w:val="none" w:sz="0" w:space="0" w:color="auto"/>
                <w:bottom w:val="none" w:sz="0" w:space="0" w:color="auto"/>
                <w:right w:val="none" w:sz="0" w:space="0" w:color="auto"/>
              </w:divBdr>
            </w:div>
            <w:div w:id="1301838419">
              <w:marLeft w:val="0"/>
              <w:marRight w:val="0"/>
              <w:marTop w:val="0"/>
              <w:marBottom w:val="0"/>
              <w:divBdr>
                <w:top w:val="none" w:sz="0" w:space="0" w:color="auto"/>
                <w:left w:val="none" w:sz="0" w:space="0" w:color="auto"/>
                <w:bottom w:val="none" w:sz="0" w:space="0" w:color="auto"/>
                <w:right w:val="none" w:sz="0" w:space="0" w:color="auto"/>
              </w:divBdr>
            </w:div>
            <w:div w:id="1305505195">
              <w:marLeft w:val="0"/>
              <w:marRight w:val="0"/>
              <w:marTop w:val="0"/>
              <w:marBottom w:val="0"/>
              <w:divBdr>
                <w:top w:val="none" w:sz="0" w:space="0" w:color="auto"/>
                <w:left w:val="none" w:sz="0" w:space="0" w:color="auto"/>
                <w:bottom w:val="none" w:sz="0" w:space="0" w:color="auto"/>
                <w:right w:val="none" w:sz="0" w:space="0" w:color="auto"/>
              </w:divBdr>
            </w:div>
            <w:div w:id="1579822536">
              <w:marLeft w:val="0"/>
              <w:marRight w:val="0"/>
              <w:marTop w:val="0"/>
              <w:marBottom w:val="0"/>
              <w:divBdr>
                <w:top w:val="none" w:sz="0" w:space="0" w:color="auto"/>
                <w:left w:val="none" w:sz="0" w:space="0" w:color="auto"/>
                <w:bottom w:val="none" w:sz="0" w:space="0" w:color="auto"/>
                <w:right w:val="none" w:sz="0" w:space="0" w:color="auto"/>
              </w:divBdr>
            </w:div>
            <w:div w:id="1704356583">
              <w:marLeft w:val="0"/>
              <w:marRight w:val="0"/>
              <w:marTop w:val="0"/>
              <w:marBottom w:val="0"/>
              <w:divBdr>
                <w:top w:val="none" w:sz="0" w:space="0" w:color="auto"/>
                <w:left w:val="none" w:sz="0" w:space="0" w:color="auto"/>
                <w:bottom w:val="none" w:sz="0" w:space="0" w:color="auto"/>
                <w:right w:val="none" w:sz="0" w:space="0" w:color="auto"/>
              </w:divBdr>
            </w:div>
            <w:div w:id="1779565720">
              <w:marLeft w:val="0"/>
              <w:marRight w:val="0"/>
              <w:marTop w:val="0"/>
              <w:marBottom w:val="0"/>
              <w:divBdr>
                <w:top w:val="none" w:sz="0" w:space="0" w:color="auto"/>
                <w:left w:val="none" w:sz="0" w:space="0" w:color="auto"/>
                <w:bottom w:val="none" w:sz="0" w:space="0" w:color="auto"/>
                <w:right w:val="none" w:sz="0" w:space="0" w:color="auto"/>
              </w:divBdr>
            </w:div>
          </w:divsChild>
        </w:div>
        <w:div w:id="1530528470">
          <w:marLeft w:val="0"/>
          <w:marRight w:val="0"/>
          <w:marTop w:val="0"/>
          <w:marBottom w:val="0"/>
          <w:divBdr>
            <w:top w:val="none" w:sz="0" w:space="0" w:color="auto"/>
            <w:left w:val="none" w:sz="0" w:space="0" w:color="auto"/>
            <w:bottom w:val="none" w:sz="0" w:space="0" w:color="auto"/>
            <w:right w:val="none" w:sz="0" w:space="0" w:color="auto"/>
          </w:divBdr>
        </w:div>
        <w:div w:id="1532955213">
          <w:marLeft w:val="0"/>
          <w:marRight w:val="0"/>
          <w:marTop w:val="0"/>
          <w:marBottom w:val="0"/>
          <w:divBdr>
            <w:top w:val="none" w:sz="0" w:space="0" w:color="auto"/>
            <w:left w:val="none" w:sz="0" w:space="0" w:color="auto"/>
            <w:bottom w:val="none" w:sz="0" w:space="0" w:color="auto"/>
            <w:right w:val="none" w:sz="0" w:space="0" w:color="auto"/>
          </w:divBdr>
        </w:div>
        <w:div w:id="1579443278">
          <w:marLeft w:val="0"/>
          <w:marRight w:val="0"/>
          <w:marTop w:val="0"/>
          <w:marBottom w:val="0"/>
          <w:divBdr>
            <w:top w:val="none" w:sz="0" w:space="0" w:color="auto"/>
            <w:left w:val="none" w:sz="0" w:space="0" w:color="auto"/>
            <w:bottom w:val="none" w:sz="0" w:space="0" w:color="auto"/>
            <w:right w:val="none" w:sz="0" w:space="0" w:color="auto"/>
          </w:divBdr>
        </w:div>
        <w:div w:id="1674144945">
          <w:marLeft w:val="0"/>
          <w:marRight w:val="0"/>
          <w:marTop w:val="0"/>
          <w:marBottom w:val="0"/>
          <w:divBdr>
            <w:top w:val="none" w:sz="0" w:space="0" w:color="auto"/>
            <w:left w:val="none" w:sz="0" w:space="0" w:color="auto"/>
            <w:bottom w:val="none" w:sz="0" w:space="0" w:color="auto"/>
            <w:right w:val="none" w:sz="0" w:space="0" w:color="auto"/>
          </w:divBdr>
        </w:div>
        <w:div w:id="1677077745">
          <w:marLeft w:val="0"/>
          <w:marRight w:val="0"/>
          <w:marTop w:val="0"/>
          <w:marBottom w:val="0"/>
          <w:divBdr>
            <w:top w:val="none" w:sz="0" w:space="0" w:color="auto"/>
            <w:left w:val="none" w:sz="0" w:space="0" w:color="auto"/>
            <w:bottom w:val="none" w:sz="0" w:space="0" w:color="auto"/>
            <w:right w:val="none" w:sz="0" w:space="0" w:color="auto"/>
          </w:divBdr>
        </w:div>
        <w:div w:id="1736464188">
          <w:marLeft w:val="0"/>
          <w:marRight w:val="0"/>
          <w:marTop w:val="0"/>
          <w:marBottom w:val="0"/>
          <w:divBdr>
            <w:top w:val="none" w:sz="0" w:space="0" w:color="auto"/>
            <w:left w:val="none" w:sz="0" w:space="0" w:color="auto"/>
            <w:bottom w:val="none" w:sz="0" w:space="0" w:color="auto"/>
            <w:right w:val="none" w:sz="0" w:space="0" w:color="auto"/>
          </w:divBdr>
        </w:div>
        <w:div w:id="1758205668">
          <w:marLeft w:val="0"/>
          <w:marRight w:val="0"/>
          <w:marTop w:val="0"/>
          <w:marBottom w:val="0"/>
          <w:divBdr>
            <w:top w:val="none" w:sz="0" w:space="0" w:color="auto"/>
            <w:left w:val="none" w:sz="0" w:space="0" w:color="auto"/>
            <w:bottom w:val="none" w:sz="0" w:space="0" w:color="auto"/>
            <w:right w:val="none" w:sz="0" w:space="0" w:color="auto"/>
          </w:divBdr>
        </w:div>
        <w:div w:id="1799640506">
          <w:marLeft w:val="0"/>
          <w:marRight w:val="0"/>
          <w:marTop w:val="0"/>
          <w:marBottom w:val="0"/>
          <w:divBdr>
            <w:top w:val="none" w:sz="0" w:space="0" w:color="auto"/>
            <w:left w:val="none" w:sz="0" w:space="0" w:color="auto"/>
            <w:bottom w:val="none" w:sz="0" w:space="0" w:color="auto"/>
            <w:right w:val="none" w:sz="0" w:space="0" w:color="auto"/>
          </w:divBdr>
        </w:div>
        <w:div w:id="1879704457">
          <w:marLeft w:val="0"/>
          <w:marRight w:val="0"/>
          <w:marTop w:val="0"/>
          <w:marBottom w:val="0"/>
          <w:divBdr>
            <w:top w:val="none" w:sz="0" w:space="0" w:color="auto"/>
            <w:left w:val="none" w:sz="0" w:space="0" w:color="auto"/>
            <w:bottom w:val="none" w:sz="0" w:space="0" w:color="auto"/>
            <w:right w:val="none" w:sz="0" w:space="0" w:color="auto"/>
          </w:divBdr>
        </w:div>
        <w:div w:id="1910965615">
          <w:marLeft w:val="0"/>
          <w:marRight w:val="0"/>
          <w:marTop w:val="0"/>
          <w:marBottom w:val="0"/>
          <w:divBdr>
            <w:top w:val="none" w:sz="0" w:space="0" w:color="auto"/>
            <w:left w:val="none" w:sz="0" w:space="0" w:color="auto"/>
            <w:bottom w:val="none" w:sz="0" w:space="0" w:color="auto"/>
            <w:right w:val="none" w:sz="0" w:space="0" w:color="auto"/>
          </w:divBdr>
        </w:div>
        <w:div w:id="1976635786">
          <w:marLeft w:val="0"/>
          <w:marRight w:val="0"/>
          <w:marTop w:val="0"/>
          <w:marBottom w:val="0"/>
          <w:divBdr>
            <w:top w:val="none" w:sz="0" w:space="0" w:color="auto"/>
            <w:left w:val="none" w:sz="0" w:space="0" w:color="auto"/>
            <w:bottom w:val="none" w:sz="0" w:space="0" w:color="auto"/>
            <w:right w:val="none" w:sz="0" w:space="0" w:color="auto"/>
          </w:divBdr>
        </w:div>
        <w:div w:id="2019035492">
          <w:marLeft w:val="0"/>
          <w:marRight w:val="0"/>
          <w:marTop w:val="0"/>
          <w:marBottom w:val="0"/>
          <w:divBdr>
            <w:top w:val="none" w:sz="0" w:space="0" w:color="auto"/>
            <w:left w:val="none" w:sz="0" w:space="0" w:color="auto"/>
            <w:bottom w:val="none" w:sz="0" w:space="0" w:color="auto"/>
            <w:right w:val="none" w:sz="0" w:space="0" w:color="auto"/>
          </w:divBdr>
        </w:div>
        <w:div w:id="2065332628">
          <w:marLeft w:val="0"/>
          <w:marRight w:val="0"/>
          <w:marTop w:val="0"/>
          <w:marBottom w:val="0"/>
          <w:divBdr>
            <w:top w:val="none" w:sz="0" w:space="0" w:color="auto"/>
            <w:left w:val="none" w:sz="0" w:space="0" w:color="auto"/>
            <w:bottom w:val="none" w:sz="0" w:space="0" w:color="auto"/>
            <w:right w:val="none" w:sz="0" w:space="0" w:color="auto"/>
          </w:divBdr>
        </w:div>
        <w:div w:id="2070107911">
          <w:marLeft w:val="0"/>
          <w:marRight w:val="0"/>
          <w:marTop w:val="0"/>
          <w:marBottom w:val="0"/>
          <w:divBdr>
            <w:top w:val="none" w:sz="0" w:space="0" w:color="auto"/>
            <w:left w:val="none" w:sz="0" w:space="0" w:color="auto"/>
            <w:bottom w:val="none" w:sz="0" w:space="0" w:color="auto"/>
            <w:right w:val="none" w:sz="0" w:space="0" w:color="auto"/>
          </w:divBdr>
        </w:div>
      </w:divsChild>
    </w:div>
    <w:div w:id="872882226">
      <w:bodyDiv w:val="1"/>
      <w:marLeft w:val="0"/>
      <w:marRight w:val="0"/>
      <w:marTop w:val="0"/>
      <w:marBottom w:val="0"/>
      <w:divBdr>
        <w:top w:val="none" w:sz="0" w:space="0" w:color="auto"/>
        <w:left w:val="none" w:sz="0" w:space="0" w:color="auto"/>
        <w:bottom w:val="none" w:sz="0" w:space="0" w:color="auto"/>
        <w:right w:val="none" w:sz="0" w:space="0" w:color="auto"/>
      </w:divBdr>
      <w:divsChild>
        <w:div w:id="298993997">
          <w:marLeft w:val="0"/>
          <w:marRight w:val="0"/>
          <w:marTop w:val="0"/>
          <w:marBottom w:val="0"/>
          <w:divBdr>
            <w:top w:val="none" w:sz="0" w:space="0" w:color="auto"/>
            <w:left w:val="none" w:sz="0" w:space="0" w:color="auto"/>
            <w:bottom w:val="none" w:sz="0" w:space="0" w:color="auto"/>
            <w:right w:val="none" w:sz="0" w:space="0" w:color="auto"/>
          </w:divBdr>
          <w:divsChild>
            <w:div w:id="84813409">
              <w:marLeft w:val="0"/>
              <w:marRight w:val="0"/>
              <w:marTop w:val="0"/>
              <w:marBottom w:val="0"/>
              <w:divBdr>
                <w:top w:val="none" w:sz="0" w:space="0" w:color="auto"/>
                <w:left w:val="none" w:sz="0" w:space="0" w:color="auto"/>
                <w:bottom w:val="none" w:sz="0" w:space="0" w:color="auto"/>
                <w:right w:val="none" w:sz="0" w:space="0" w:color="auto"/>
              </w:divBdr>
            </w:div>
            <w:div w:id="168448343">
              <w:marLeft w:val="0"/>
              <w:marRight w:val="0"/>
              <w:marTop w:val="0"/>
              <w:marBottom w:val="0"/>
              <w:divBdr>
                <w:top w:val="none" w:sz="0" w:space="0" w:color="auto"/>
                <w:left w:val="none" w:sz="0" w:space="0" w:color="auto"/>
                <w:bottom w:val="none" w:sz="0" w:space="0" w:color="auto"/>
                <w:right w:val="none" w:sz="0" w:space="0" w:color="auto"/>
              </w:divBdr>
            </w:div>
            <w:div w:id="634140454">
              <w:marLeft w:val="0"/>
              <w:marRight w:val="0"/>
              <w:marTop w:val="0"/>
              <w:marBottom w:val="0"/>
              <w:divBdr>
                <w:top w:val="none" w:sz="0" w:space="0" w:color="auto"/>
                <w:left w:val="none" w:sz="0" w:space="0" w:color="auto"/>
                <w:bottom w:val="none" w:sz="0" w:space="0" w:color="auto"/>
                <w:right w:val="none" w:sz="0" w:space="0" w:color="auto"/>
              </w:divBdr>
            </w:div>
            <w:div w:id="970787467">
              <w:marLeft w:val="0"/>
              <w:marRight w:val="0"/>
              <w:marTop w:val="0"/>
              <w:marBottom w:val="0"/>
              <w:divBdr>
                <w:top w:val="none" w:sz="0" w:space="0" w:color="auto"/>
                <w:left w:val="none" w:sz="0" w:space="0" w:color="auto"/>
                <w:bottom w:val="none" w:sz="0" w:space="0" w:color="auto"/>
                <w:right w:val="none" w:sz="0" w:space="0" w:color="auto"/>
              </w:divBdr>
            </w:div>
            <w:div w:id="1077822171">
              <w:marLeft w:val="0"/>
              <w:marRight w:val="0"/>
              <w:marTop w:val="0"/>
              <w:marBottom w:val="0"/>
              <w:divBdr>
                <w:top w:val="none" w:sz="0" w:space="0" w:color="auto"/>
                <w:left w:val="none" w:sz="0" w:space="0" w:color="auto"/>
                <w:bottom w:val="none" w:sz="0" w:space="0" w:color="auto"/>
                <w:right w:val="none" w:sz="0" w:space="0" w:color="auto"/>
              </w:divBdr>
            </w:div>
            <w:div w:id="1629823826">
              <w:marLeft w:val="0"/>
              <w:marRight w:val="0"/>
              <w:marTop w:val="0"/>
              <w:marBottom w:val="0"/>
              <w:divBdr>
                <w:top w:val="none" w:sz="0" w:space="0" w:color="auto"/>
                <w:left w:val="none" w:sz="0" w:space="0" w:color="auto"/>
                <w:bottom w:val="none" w:sz="0" w:space="0" w:color="auto"/>
                <w:right w:val="none" w:sz="0" w:space="0" w:color="auto"/>
              </w:divBdr>
            </w:div>
            <w:div w:id="1647665111">
              <w:marLeft w:val="0"/>
              <w:marRight w:val="0"/>
              <w:marTop w:val="0"/>
              <w:marBottom w:val="0"/>
              <w:divBdr>
                <w:top w:val="none" w:sz="0" w:space="0" w:color="auto"/>
                <w:left w:val="none" w:sz="0" w:space="0" w:color="auto"/>
                <w:bottom w:val="none" w:sz="0" w:space="0" w:color="auto"/>
                <w:right w:val="none" w:sz="0" w:space="0" w:color="auto"/>
              </w:divBdr>
            </w:div>
            <w:div w:id="1684628250">
              <w:marLeft w:val="0"/>
              <w:marRight w:val="0"/>
              <w:marTop w:val="0"/>
              <w:marBottom w:val="0"/>
              <w:divBdr>
                <w:top w:val="none" w:sz="0" w:space="0" w:color="auto"/>
                <w:left w:val="none" w:sz="0" w:space="0" w:color="auto"/>
                <w:bottom w:val="none" w:sz="0" w:space="0" w:color="auto"/>
                <w:right w:val="none" w:sz="0" w:space="0" w:color="auto"/>
              </w:divBdr>
            </w:div>
            <w:div w:id="1829007360">
              <w:marLeft w:val="0"/>
              <w:marRight w:val="0"/>
              <w:marTop w:val="0"/>
              <w:marBottom w:val="0"/>
              <w:divBdr>
                <w:top w:val="none" w:sz="0" w:space="0" w:color="auto"/>
                <w:left w:val="none" w:sz="0" w:space="0" w:color="auto"/>
                <w:bottom w:val="none" w:sz="0" w:space="0" w:color="auto"/>
                <w:right w:val="none" w:sz="0" w:space="0" w:color="auto"/>
              </w:divBdr>
            </w:div>
          </w:divsChild>
        </w:div>
        <w:div w:id="390079097">
          <w:marLeft w:val="0"/>
          <w:marRight w:val="0"/>
          <w:marTop w:val="0"/>
          <w:marBottom w:val="0"/>
          <w:divBdr>
            <w:top w:val="none" w:sz="0" w:space="0" w:color="auto"/>
            <w:left w:val="none" w:sz="0" w:space="0" w:color="auto"/>
            <w:bottom w:val="none" w:sz="0" w:space="0" w:color="auto"/>
            <w:right w:val="none" w:sz="0" w:space="0" w:color="auto"/>
          </w:divBdr>
          <w:divsChild>
            <w:div w:id="128986566">
              <w:marLeft w:val="0"/>
              <w:marRight w:val="0"/>
              <w:marTop w:val="0"/>
              <w:marBottom w:val="0"/>
              <w:divBdr>
                <w:top w:val="none" w:sz="0" w:space="0" w:color="auto"/>
                <w:left w:val="none" w:sz="0" w:space="0" w:color="auto"/>
                <w:bottom w:val="none" w:sz="0" w:space="0" w:color="auto"/>
                <w:right w:val="none" w:sz="0" w:space="0" w:color="auto"/>
              </w:divBdr>
            </w:div>
            <w:div w:id="330792750">
              <w:marLeft w:val="0"/>
              <w:marRight w:val="0"/>
              <w:marTop w:val="0"/>
              <w:marBottom w:val="0"/>
              <w:divBdr>
                <w:top w:val="none" w:sz="0" w:space="0" w:color="auto"/>
                <w:left w:val="none" w:sz="0" w:space="0" w:color="auto"/>
                <w:bottom w:val="none" w:sz="0" w:space="0" w:color="auto"/>
                <w:right w:val="none" w:sz="0" w:space="0" w:color="auto"/>
              </w:divBdr>
            </w:div>
            <w:div w:id="559828812">
              <w:marLeft w:val="0"/>
              <w:marRight w:val="0"/>
              <w:marTop w:val="0"/>
              <w:marBottom w:val="0"/>
              <w:divBdr>
                <w:top w:val="none" w:sz="0" w:space="0" w:color="auto"/>
                <w:left w:val="none" w:sz="0" w:space="0" w:color="auto"/>
                <w:bottom w:val="none" w:sz="0" w:space="0" w:color="auto"/>
                <w:right w:val="none" w:sz="0" w:space="0" w:color="auto"/>
              </w:divBdr>
            </w:div>
            <w:div w:id="627515118">
              <w:marLeft w:val="0"/>
              <w:marRight w:val="0"/>
              <w:marTop w:val="0"/>
              <w:marBottom w:val="0"/>
              <w:divBdr>
                <w:top w:val="none" w:sz="0" w:space="0" w:color="auto"/>
                <w:left w:val="none" w:sz="0" w:space="0" w:color="auto"/>
                <w:bottom w:val="none" w:sz="0" w:space="0" w:color="auto"/>
                <w:right w:val="none" w:sz="0" w:space="0" w:color="auto"/>
              </w:divBdr>
            </w:div>
            <w:div w:id="643313339">
              <w:marLeft w:val="0"/>
              <w:marRight w:val="0"/>
              <w:marTop w:val="0"/>
              <w:marBottom w:val="0"/>
              <w:divBdr>
                <w:top w:val="none" w:sz="0" w:space="0" w:color="auto"/>
                <w:left w:val="none" w:sz="0" w:space="0" w:color="auto"/>
                <w:bottom w:val="none" w:sz="0" w:space="0" w:color="auto"/>
                <w:right w:val="none" w:sz="0" w:space="0" w:color="auto"/>
              </w:divBdr>
            </w:div>
            <w:div w:id="683557749">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822427707">
              <w:marLeft w:val="0"/>
              <w:marRight w:val="0"/>
              <w:marTop w:val="0"/>
              <w:marBottom w:val="0"/>
              <w:divBdr>
                <w:top w:val="none" w:sz="0" w:space="0" w:color="auto"/>
                <w:left w:val="none" w:sz="0" w:space="0" w:color="auto"/>
                <w:bottom w:val="none" w:sz="0" w:space="0" w:color="auto"/>
                <w:right w:val="none" w:sz="0" w:space="0" w:color="auto"/>
              </w:divBdr>
            </w:div>
            <w:div w:id="840436413">
              <w:marLeft w:val="0"/>
              <w:marRight w:val="0"/>
              <w:marTop w:val="0"/>
              <w:marBottom w:val="0"/>
              <w:divBdr>
                <w:top w:val="none" w:sz="0" w:space="0" w:color="auto"/>
                <w:left w:val="none" w:sz="0" w:space="0" w:color="auto"/>
                <w:bottom w:val="none" w:sz="0" w:space="0" w:color="auto"/>
                <w:right w:val="none" w:sz="0" w:space="0" w:color="auto"/>
              </w:divBdr>
            </w:div>
            <w:div w:id="1163350579">
              <w:marLeft w:val="0"/>
              <w:marRight w:val="0"/>
              <w:marTop w:val="0"/>
              <w:marBottom w:val="0"/>
              <w:divBdr>
                <w:top w:val="none" w:sz="0" w:space="0" w:color="auto"/>
                <w:left w:val="none" w:sz="0" w:space="0" w:color="auto"/>
                <w:bottom w:val="none" w:sz="0" w:space="0" w:color="auto"/>
                <w:right w:val="none" w:sz="0" w:space="0" w:color="auto"/>
              </w:divBdr>
            </w:div>
            <w:div w:id="1199857048">
              <w:marLeft w:val="0"/>
              <w:marRight w:val="0"/>
              <w:marTop w:val="0"/>
              <w:marBottom w:val="0"/>
              <w:divBdr>
                <w:top w:val="none" w:sz="0" w:space="0" w:color="auto"/>
                <w:left w:val="none" w:sz="0" w:space="0" w:color="auto"/>
                <w:bottom w:val="none" w:sz="0" w:space="0" w:color="auto"/>
                <w:right w:val="none" w:sz="0" w:space="0" w:color="auto"/>
              </w:divBdr>
            </w:div>
            <w:div w:id="1272592839">
              <w:marLeft w:val="0"/>
              <w:marRight w:val="0"/>
              <w:marTop w:val="0"/>
              <w:marBottom w:val="0"/>
              <w:divBdr>
                <w:top w:val="none" w:sz="0" w:space="0" w:color="auto"/>
                <w:left w:val="none" w:sz="0" w:space="0" w:color="auto"/>
                <w:bottom w:val="none" w:sz="0" w:space="0" w:color="auto"/>
                <w:right w:val="none" w:sz="0" w:space="0" w:color="auto"/>
              </w:divBdr>
            </w:div>
            <w:div w:id="1403792719">
              <w:marLeft w:val="0"/>
              <w:marRight w:val="0"/>
              <w:marTop w:val="0"/>
              <w:marBottom w:val="0"/>
              <w:divBdr>
                <w:top w:val="none" w:sz="0" w:space="0" w:color="auto"/>
                <w:left w:val="none" w:sz="0" w:space="0" w:color="auto"/>
                <w:bottom w:val="none" w:sz="0" w:space="0" w:color="auto"/>
                <w:right w:val="none" w:sz="0" w:space="0" w:color="auto"/>
              </w:divBdr>
            </w:div>
            <w:div w:id="1462653674">
              <w:marLeft w:val="0"/>
              <w:marRight w:val="0"/>
              <w:marTop w:val="0"/>
              <w:marBottom w:val="0"/>
              <w:divBdr>
                <w:top w:val="none" w:sz="0" w:space="0" w:color="auto"/>
                <w:left w:val="none" w:sz="0" w:space="0" w:color="auto"/>
                <w:bottom w:val="none" w:sz="0" w:space="0" w:color="auto"/>
                <w:right w:val="none" w:sz="0" w:space="0" w:color="auto"/>
              </w:divBdr>
            </w:div>
            <w:div w:id="1544442955">
              <w:marLeft w:val="0"/>
              <w:marRight w:val="0"/>
              <w:marTop w:val="0"/>
              <w:marBottom w:val="0"/>
              <w:divBdr>
                <w:top w:val="none" w:sz="0" w:space="0" w:color="auto"/>
                <w:left w:val="none" w:sz="0" w:space="0" w:color="auto"/>
                <w:bottom w:val="none" w:sz="0" w:space="0" w:color="auto"/>
                <w:right w:val="none" w:sz="0" w:space="0" w:color="auto"/>
              </w:divBdr>
            </w:div>
            <w:div w:id="1910311943">
              <w:marLeft w:val="0"/>
              <w:marRight w:val="0"/>
              <w:marTop w:val="0"/>
              <w:marBottom w:val="0"/>
              <w:divBdr>
                <w:top w:val="none" w:sz="0" w:space="0" w:color="auto"/>
                <w:left w:val="none" w:sz="0" w:space="0" w:color="auto"/>
                <w:bottom w:val="none" w:sz="0" w:space="0" w:color="auto"/>
                <w:right w:val="none" w:sz="0" w:space="0" w:color="auto"/>
              </w:divBdr>
            </w:div>
            <w:div w:id="1975136879">
              <w:marLeft w:val="0"/>
              <w:marRight w:val="0"/>
              <w:marTop w:val="0"/>
              <w:marBottom w:val="0"/>
              <w:divBdr>
                <w:top w:val="none" w:sz="0" w:space="0" w:color="auto"/>
                <w:left w:val="none" w:sz="0" w:space="0" w:color="auto"/>
                <w:bottom w:val="none" w:sz="0" w:space="0" w:color="auto"/>
                <w:right w:val="none" w:sz="0" w:space="0" w:color="auto"/>
              </w:divBdr>
            </w:div>
            <w:div w:id="2041009130">
              <w:marLeft w:val="0"/>
              <w:marRight w:val="0"/>
              <w:marTop w:val="0"/>
              <w:marBottom w:val="0"/>
              <w:divBdr>
                <w:top w:val="none" w:sz="0" w:space="0" w:color="auto"/>
                <w:left w:val="none" w:sz="0" w:space="0" w:color="auto"/>
                <w:bottom w:val="none" w:sz="0" w:space="0" w:color="auto"/>
                <w:right w:val="none" w:sz="0" w:space="0" w:color="auto"/>
              </w:divBdr>
            </w:div>
            <w:div w:id="2059165916">
              <w:marLeft w:val="0"/>
              <w:marRight w:val="0"/>
              <w:marTop w:val="0"/>
              <w:marBottom w:val="0"/>
              <w:divBdr>
                <w:top w:val="none" w:sz="0" w:space="0" w:color="auto"/>
                <w:left w:val="none" w:sz="0" w:space="0" w:color="auto"/>
                <w:bottom w:val="none" w:sz="0" w:space="0" w:color="auto"/>
                <w:right w:val="none" w:sz="0" w:space="0" w:color="auto"/>
              </w:divBdr>
            </w:div>
            <w:div w:id="2096782328">
              <w:marLeft w:val="0"/>
              <w:marRight w:val="0"/>
              <w:marTop w:val="0"/>
              <w:marBottom w:val="0"/>
              <w:divBdr>
                <w:top w:val="none" w:sz="0" w:space="0" w:color="auto"/>
                <w:left w:val="none" w:sz="0" w:space="0" w:color="auto"/>
                <w:bottom w:val="none" w:sz="0" w:space="0" w:color="auto"/>
                <w:right w:val="none" w:sz="0" w:space="0" w:color="auto"/>
              </w:divBdr>
            </w:div>
          </w:divsChild>
        </w:div>
        <w:div w:id="784882705">
          <w:marLeft w:val="0"/>
          <w:marRight w:val="0"/>
          <w:marTop w:val="0"/>
          <w:marBottom w:val="0"/>
          <w:divBdr>
            <w:top w:val="none" w:sz="0" w:space="0" w:color="auto"/>
            <w:left w:val="none" w:sz="0" w:space="0" w:color="auto"/>
            <w:bottom w:val="none" w:sz="0" w:space="0" w:color="auto"/>
            <w:right w:val="none" w:sz="0" w:space="0" w:color="auto"/>
          </w:divBdr>
          <w:divsChild>
            <w:div w:id="42756204">
              <w:marLeft w:val="0"/>
              <w:marRight w:val="0"/>
              <w:marTop w:val="0"/>
              <w:marBottom w:val="0"/>
              <w:divBdr>
                <w:top w:val="none" w:sz="0" w:space="0" w:color="auto"/>
                <w:left w:val="none" w:sz="0" w:space="0" w:color="auto"/>
                <w:bottom w:val="none" w:sz="0" w:space="0" w:color="auto"/>
                <w:right w:val="none" w:sz="0" w:space="0" w:color="auto"/>
              </w:divBdr>
            </w:div>
            <w:div w:id="162821771">
              <w:marLeft w:val="0"/>
              <w:marRight w:val="0"/>
              <w:marTop w:val="0"/>
              <w:marBottom w:val="0"/>
              <w:divBdr>
                <w:top w:val="none" w:sz="0" w:space="0" w:color="auto"/>
                <w:left w:val="none" w:sz="0" w:space="0" w:color="auto"/>
                <w:bottom w:val="none" w:sz="0" w:space="0" w:color="auto"/>
                <w:right w:val="none" w:sz="0" w:space="0" w:color="auto"/>
              </w:divBdr>
            </w:div>
            <w:div w:id="236214977">
              <w:marLeft w:val="0"/>
              <w:marRight w:val="0"/>
              <w:marTop w:val="0"/>
              <w:marBottom w:val="0"/>
              <w:divBdr>
                <w:top w:val="none" w:sz="0" w:space="0" w:color="auto"/>
                <w:left w:val="none" w:sz="0" w:space="0" w:color="auto"/>
                <w:bottom w:val="none" w:sz="0" w:space="0" w:color="auto"/>
                <w:right w:val="none" w:sz="0" w:space="0" w:color="auto"/>
              </w:divBdr>
            </w:div>
            <w:div w:id="307172195">
              <w:marLeft w:val="0"/>
              <w:marRight w:val="0"/>
              <w:marTop w:val="0"/>
              <w:marBottom w:val="0"/>
              <w:divBdr>
                <w:top w:val="none" w:sz="0" w:space="0" w:color="auto"/>
                <w:left w:val="none" w:sz="0" w:space="0" w:color="auto"/>
                <w:bottom w:val="none" w:sz="0" w:space="0" w:color="auto"/>
                <w:right w:val="none" w:sz="0" w:space="0" w:color="auto"/>
              </w:divBdr>
            </w:div>
            <w:div w:id="614797934">
              <w:marLeft w:val="0"/>
              <w:marRight w:val="0"/>
              <w:marTop w:val="0"/>
              <w:marBottom w:val="0"/>
              <w:divBdr>
                <w:top w:val="none" w:sz="0" w:space="0" w:color="auto"/>
                <w:left w:val="none" w:sz="0" w:space="0" w:color="auto"/>
                <w:bottom w:val="none" w:sz="0" w:space="0" w:color="auto"/>
                <w:right w:val="none" w:sz="0" w:space="0" w:color="auto"/>
              </w:divBdr>
            </w:div>
            <w:div w:id="750666313">
              <w:marLeft w:val="0"/>
              <w:marRight w:val="0"/>
              <w:marTop w:val="0"/>
              <w:marBottom w:val="0"/>
              <w:divBdr>
                <w:top w:val="none" w:sz="0" w:space="0" w:color="auto"/>
                <w:left w:val="none" w:sz="0" w:space="0" w:color="auto"/>
                <w:bottom w:val="none" w:sz="0" w:space="0" w:color="auto"/>
                <w:right w:val="none" w:sz="0" w:space="0" w:color="auto"/>
              </w:divBdr>
            </w:div>
            <w:div w:id="847328437">
              <w:marLeft w:val="0"/>
              <w:marRight w:val="0"/>
              <w:marTop w:val="0"/>
              <w:marBottom w:val="0"/>
              <w:divBdr>
                <w:top w:val="none" w:sz="0" w:space="0" w:color="auto"/>
                <w:left w:val="none" w:sz="0" w:space="0" w:color="auto"/>
                <w:bottom w:val="none" w:sz="0" w:space="0" w:color="auto"/>
                <w:right w:val="none" w:sz="0" w:space="0" w:color="auto"/>
              </w:divBdr>
            </w:div>
            <w:div w:id="871721921">
              <w:marLeft w:val="0"/>
              <w:marRight w:val="0"/>
              <w:marTop w:val="0"/>
              <w:marBottom w:val="0"/>
              <w:divBdr>
                <w:top w:val="none" w:sz="0" w:space="0" w:color="auto"/>
                <w:left w:val="none" w:sz="0" w:space="0" w:color="auto"/>
                <w:bottom w:val="none" w:sz="0" w:space="0" w:color="auto"/>
                <w:right w:val="none" w:sz="0" w:space="0" w:color="auto"/>
              </w:divBdr>
            </w:div>
            <w:div w:id="1018577834">
              <w:marLeft w:val="0"/>
              <w:marRight w:val="0"/>
              <w:marTop w:val="0"/>
              <w:marBottom w:val="0"/>
              <w:divBdr>
                <w:top w:val="none" w:sz="0" w:space="0" w:color="auto"/>
                <w:left w:val="none" w:sz="0" w:space="0" w:color="auto"/>
                <w:bottom w:val="none" w:sz="0" w:space="0" w:color="auto"/>
                <w:right w:val="none" w:sz="0" w:space="0" w:color="auto"/>
              </w:divBdr>
            </w:div>
            <w:div w:id="1162895908">
              <w:marLeft w:val="0"/>
              <w:marRight w:val="0"/>
              <w:marTop w:val="0"/>
              <w:marBottom w:val="0"/>
              <w:divBdr>
                <w:top w:val="none" w:sz="0" w:space="0" w:color="auto"/>
                <w:left w:val="none" w:sz="0" w:space="0" w:color="auto"/>
                <w:bottom w:val="none" w:sz="0" w:space="0" w:color="auto"/>
                <w:right w:val="none" w:sz="0" w:space="0" w:color="auto"/>
              </w:divBdr>
            </w:div>
            <w:div w:id="1189952809">
              <w:marLeft w:val="0"/>
              <w:marRight w:val="0"/>
              <w:marTop w:val="0"/>
              <w:marBottom w:val="0"/>
              <w:divBdr>
                <w:top w:val="none" w:sz="0" w:space="0" w:color="auto"/>
                <w:left w:val="none" w:sz="0" w:space="0" w:color="auto"/>
                <w:bottom w:val="none" w:sz="0" w:space="0" w:color="auto"/>
                <w:right w:val="none" w:sz="0" w:space="0" w:color="auto"/>
              </w:divBdr>
            </w:div>
            <w:div w:id="1203134280">
              <w:marLeft w:val="0"/>
              <w:marRight w:val="0"/>
              <w:marTop w:val="0"/>
              <w:marBottom w:val="0"/>
              <w:divBdr>
                <w:top w:val="none" w:sz="0" w:space="0" w:color="auto"/>
                <w:left w:val="none" w:sz="0" w:space="0" w:color="auto"/>
                <w:bottom w:val="none" w:sz="0" w:space="0" w:color="auto"/>
                <w:right w:val="none" w:sz="0" w:space="0" w:color="auto"/>
              </w:divBdr>
            </w:div>
            <w:div w:id="1396707432">
              <w:marLeft w:val="0"/>
              <w:marRight w:val="0"/>
              <w:marTop w:val="0"/>
              <w:marBottom w:val="0"/>
              <w:divBdr>
                <w:top w:val="none" w:sz="0" w:space="0" w:color="auto"/>
                <w:left w:val="none" w:sz="0" w:space="0" w:color="auto"/>
                <w:bottom w:val="none" w:sz="0" w:space="0" w:color="auto"/>
                <w:right w:val="none" w:sz="0" w:space="0" w:color="auto"/>
              </w:divBdr>
            </w:div>
            <w:div w:id="1444574189">
              <w:marLeft w:val="0"/>
              <w:marRight w:val="0"/>
              <w:marTop w:val="0"/>
              <w:marBottom w:val="0"/>
              <w:divBdr>
                <w:top w:val="none" w:sz="0" w:space="0" w:color="auto"/>
                <w:left w:val="none" w:sz="0" w:space="0" w:color="auto"/>
                <w:bottom w:val="none" w:sz="0" w:space="0" w:color="auto"/>
                <w:right w:val="none" w:sz="0" w:space="0" w:color="auto"/>
              </w:divBdr>
            </w:div>
            <w:div w:id="1664433335">
              <w:marLeft w:val="0"/>
              <w:marRight w:val="0"/>
              <w:marTop w:val="0"/>
              <w:marBottom w:val="0"/>
              <w:divBdr>
                <w:top w:val="none" w:sz="0" w:space="0" w:color="auto"/>
                <w:left w:val="none" w:sz="0" w:space="0" w:color="auto"/>
                <w:bottom w:val="none" w:sz="0" w:space="0" w:color="auto"/>
                <w:right w:val="none" w:sz="0" w:space="0" w:color="auto"/>
              </w:divBdr>
            </w:div>
            <w:div w:id="1713924131">
              <w:marLeft w:val="0"/>
              <w:marRight w:val="0"/>
              <w:marTop w:val="0"/>
              <w:marBottom w:val="0"/>
              <w:divBdr>
                <w:top w:val="none" w:sz="0" w:space="0" w:color="auto"/>
                <w:left w:val="none" w:sz="0" w:space="0" w:color="auto"/>
                <w:bottom w:val="none" w:sz="0" w:space="0" w:color="auto"/>
                <w:right w:val="none" w:sz="0" w:space="0" w:color="auto"/>
              </w:divBdr>
            </w:div>
            <w:div w:id="1726368892">
              <w:marLeft w:val="0"/>
              <w:marRight w:val="0"/>
              <w:marTop w:val="0"/>
              <w:marBottom w:val="0"/>
              <w:divBdr>
                <w:top w:val="none" w:sz="0" w:space="0" w:color="auto"/>
                <w:left w:val="none" w:sz="0" w:space="0" w:color="auto"/>
                <w:bottom w:val="none" w:sz="0" w:space="0" w:color="auto"/>
                <w:right w:val="none" w:sz="0" w:space="0" w:color="auto"/>
              </w:divBdr>
            </w:div>
            <w:div w:id="1746417527">
              <w:marLeft w:val="0"/>
              <w:marRight w:val="0"/>
              <w:marTop w:val="0"/>
              <w:marBottom w:val="0"/>
              <w:divBdr>
                <w:top w:val="none" w:sz="0" w:space="0" w:color="auto"/>
                <w:left w:val="none" w:sz="0" w:space="0" w:color="auto"/>
                <w:bottom w:val="none" w:sz="0" w:space="0" w:color="auto"/>
                <w:right w:val="none" w:sz="0" w:space="0" w:color="auto"/>
              </w:divBdr>
            </w:div>
            <w:div w:id="1810398846">
              <w:marLeft w:val="0"/>
              <w:marRight w:val="0"/>
              <w:marTop w:val="0"/>
              <w:marBottom w:val="0"/>
              <w:divBdr>
                <w:top w:val="none" w:sz="0" w:space="0" w:color="auto"/>
                <w:left w:val="none" w:sz="0" w:space="0" w:color="auto"/>
                <w:bottom w:val="none" w:sz="0" w:space="0" w:color="auto"/>
                <w:right w:val="none" w:sz="0" w:space="0" w:color="auto"/>
              </w:divBdr>
            </w:div>
            <w:div w:id="1979063857">
              <w:marLeft w:val="0"/>
              <w:marRight w:val="0"/>
              <w:marTop w:val="0"/>
              <w:marBottom w:val="0"/>
              <w:divBdr>
                <w:top w:val="none" w:sz="0" w:space="0" w:color="auto"/>
                <w:left w:val="none" w:sz="0" w:space="0" w:color="auto"/>
                <w:bottom w:val="none" w:sz="0" w:space="0" w:color="auto"/>
                <w:right w:val="none" w:sz="0" w:space="0" w:color="auto"/>
              </w:divBdr>
            </w:div>
          </w:divsChild>
        </w:div>
        <w:div w:id="1207915950">
          <w:marLeft w:val="0"/>
          <w:marRight w:val="0"/>
          <w:marTop w:val="0"/>
          <w:marBottom w:val="0"/>
          <w:divBdr>
            <w:top w:val="none" w:sz="0" w:space="0" w:color="auto"/>
            <w:left w:val="none" w:sz="0" w:space="0" w:color="auto"/>
            <w:bottom w:val="none" w:sz="0" w:space="0" w:color="auto"/>
            <w:right w:val="none" w:sz="0" w:space="0" w:color="auto"/>
          </w:divBdr>
          <w:divsChild>
            <w:div w:id="10575515">
              <w:marLeft w:val="0"/>
              <w:marRight w:val="0"/>
              <w:marTop w:val="0"/>
              <w:marBottom w:val="0"/>
              <w:divBdr>
                <w:top w:val="none" w:sz="0" w:space="0" w:color="auto"/>
                <w:left w:val="none" w:sz="0" w:space="0" w:color="auto"/>
                <w:bottom w:val="none" w:sz="0" w:space="0" w:color="auto"/>
                <w:right w:val="none" w:sz="0" w:space="0" w:color="auto"/>
              </w:divBdr>
            </w:div>
            <w:div w:id="122962758">
              <w:marLeft w:val="0"/>
              <w:marRight w:val="0"/>
              <w:marTop w:val="0"/>
              <w:marBottom w:val="0"/>
              <w:divBdr>
                <w:top w:val="none" w:sz="0" w:space="0" w:color="auto"/>
                <w:left w:val="none" w:sz="0" w:space="0" w:color="auto"/>
                <w:bottom w:val="none" w:sz="0" w:space="0" w:color="auto"/>
                <w:right w:val="none" w:sz="0" w:space="0" w:color="auto"/>
              </w:divBdr>
            </w:div>
            <w:div w:id="159009513">
              <w:marLeft w:val="0"/>
              <w:marRight w:val="0"/>
              <w:marTop w:val="0"/>
              <w:marBottom w:val="0"/>
              <w:divBdr>
                <w:top w:val="none" w:sz="0" w:space="0" w:color="auto"/>
                <w:left w:val="none" w:sz="0" w:space="0" w:color="auto"/>
                <w:bottom w:val="none" w:sz="0" w:space="0" w:color="auto"/>
                <w:right w:val="none" w:sz="0" w:space="0" w:color="auto"/>
              </w:divBdr>
            </w:div>
            <w:div w:id="200552233">
              <w:marLeft w:val="0"/>
              <w:marRight w:val="0"/>
              <w:marTop w:val="0"/>
              <w:marBottom w:val="0"/>
              <w:divBdr>
                <w:top w:val="none" w:sz="0" w:space="0" w:color="auto"/>
                <w:left w:val="none" w:sz="0" w:space="0" w:color="auto"/>
                <w:bottom w:val="none" w:sz="0" w:space="0" w:color="auto"/>
                <w:right w:val="none" w:sz="0" w:space="0" w:color="auto"/>
              </w:divBdr>
            </w:div>
            <w:div w:id="295262375">
              <w:marLeft w:val="0"/>
              <w:marRight w:val="0"/>
              <w:marTop w:val="0"/>
              <w:marBottom w:val="0"/>
              <w:divBdr>
                <w:top w:val="none" w:sz="0" w:space="0" w:color="auto"/>
                <w:left w:val="none" w:sz="0" w:space="0" w:color="auto"/>
                <w:bottom w:val="none" w:sz="0" w:space="0" w:color="auto"/>
                <w:right w:val="none" w:sz="0" w:space="0" w:color="auto"/>
              </w:divBdr>
            </w:div>
            <w:div w:id="687290701">
              <w:marLeft w:val="0"/>
              <w:marRight w:val="0"/>
              <w:marTop w:val="0"/>
              <w:marBottom w:val="0"/>
              <w:divBdr>
                <w:top w:val="none" w:sz="0" w:space="0" w:color="auto"/>
                <w:left w:val="none" w:sz="0" w:space="0" w:color="auto"/>
                <w:bottom w:val="none" w:sz="0" w:space="0" w:color="auto"/>
                <w:right w:val="none" w:sz="0" w:space="0" w:color="auto"/>
              </w:divBdr>
            </w:div>
            <w:div w:id="941033485">
              <w:marLeft w:val="0"/>
              <w:marRight w:val="0"/>
              <w:marTop w:val="0"/>
              <w:marBottom w:val="0"/>
              <w:divBdr>
                <w:top w:val="none" w:sz="0" w:space="0" w:color="auto"/>
                <w:left w:val="none" w:sz="0" w:space="0" w:color="auto"/>
                <w:bottom w:val="none" w:sz="0" w:space="0" w:color="auto"/>
                <w:right w:val="none" w:sz="0" w:space="0" w:color="auto"/>
              </w:divBdr>
            </w:div>
            <w:div w:id="979386496">
              <w:marLeft w:val="0"/>
              <w:marRight w:val="0"/>
              <w:marTop w:val="0"/>
              <w:marBottom w:val="0"/>
              <w:divBdr>
                <w:top w:val="none" w:sz="0" w:space="0" w:color="auto"/>
                <w:left w:val="none" w:sz="0" w:space="0" w:color="auto"/>
                <w:bottom w:val="none" w:sz="0" w:space="0" w:color="auto"/>
                <w:right w:val="none" w:sz="0" w:space="0" w:color="auto"/>
              </w:divBdr>
            </w:div>
            <w:div w:id="1022826587">
              <w:marLeft w:val="0"/>
              <w:marRight w:val="0"/>
              <w:marTop w:val="0"/>
              <w:marBottom w:val="0"/>
              <w:divBdr>
                <w:top w:val="none" w:sz="0" w:space="0" w:color="auto"/>
                <w:left w:val="none" w:sz="0" w:space="0" w:color="auto"/>
                <w:bottom w:val="none" w:sz="0" w:space="0" w:color="auto"/>
                <w:right w:val="none" w:sz="0" w:space="0" w:color="auto"/>
              </w:divBdr>
            </w:div>
            <w:div w:id="1022903660">
              <w:marLeft w:val="0"/>
              <w:marRight w:val="0"/>
              <w:marTop w:val="0"/>
              <w:marBottom w:val="0"/>
              <w:divBdr>
                <w:top w:val="none" w:sz="0" w:space="0" w:color="auto"/>
                <w:left w:val="none" w:sz="0" w:space="0" w:color="auto"/>
                <w:bottom w:val="none" w:sz="0" w:space="0" w:color="auto"/>
                <w:right w:val="none" w:sz="0" w:space="0" w:color="auto"/>
              </w:divBdr>
            </w:div>
            <w:div w:id="1051154432">
              <w:marLeft w:val="0"/>
              <w:marRight w:val="0"/>
              <w:marTop w:val="0"/>
              <w:marBottom w:val="0"/>
              <w:divBdr>
                <w:top w:val="none" w:sz="0" w:space="0" w:color="auto"/>
                <w:left w:val="none" w:sz="0" w:space="0" w:color="auto"/>
                <w:bottom w:val="none" w:sz="0" w:space="0" w:color="auto"/>
                <w:right w:val="none" w:sz="0" w:space="0" w:color="auto"/>
              </w:divBdr>
            </w:div>
            <w:div w:id="1350446779">
              <w:marLeft w:val="0"/>
              <w:marRight w:val="0"/>
              <w:marTop w:val="0"/>
              <w:marBottom w:val="0"/>
              <w:divBdr>
                <w:top w:val="none" w:sz="0" w:space="0" w:color="auto"/>
                <w:left w:val="none" w:sz="0" w:space="0" w:color="auto"/>
                <w:bottom w:val="none" w:sz="0" w:space="0" w:color="auto"/>
                <w:right w:val="none" w:sz="0" w:space="0" w:color="auto"/>
              </w:divBdr>
            </w:div>
            <w:div w:id="1525094652">
              <w:marLeft w:val="0"/>
              <w:marRight w:val="0"/>
              <w:marTop w:val="0"/>
              <w:marBottom w:val="0"/>
              <w:divBdr>
                <w:top w:val="none" w:sz="0" w:space="0" w:color="auto"/>
                <w:left w:val="none" w:sz="0" w:space="0" w:color="auto"/>
                <w:bottom w:val="none" w:sz="0" w:space="0" w:color="auto"/>
                <w:right w:val="none" w:sz="0" w:space="0" w:color="auto"/>
              </w:divBdr>
            </w:div>
            <w:div w:id="1547448535">
              <w:marLeft w:val="0"/>
              <w:marRight w:val="0"/>
              <w:marTop w:val="0"/>
              <w:marBottom w:val="0"/>
              <w:divBdr>
                <w:top w:val="none" w:sz="0" w:space="0" w:color="auto"/>
                <w:left w:val="none" w:sz="0" w:space="0" w:color="auto"/>
                <w:bottom w:val="none" w:sz="0" w:space="0" w:color="auto"/>
                <w:right w:val="none" w:sz="0" w:space="0" w:color="auto"/>
              </w:divBdr>
            </w:div>
            <w:div w:id="1673684855">
              <w:marLeft w:val="0"/>
              <w:marRight w:val="0"/>
              <w:marTop w:val="0"/>
              <w:marBottom w:val="0"/>
              <w:divBdr>
                <w:top w:val="none" w:sz="0" w:space="0" w:color="auto"/>
                <w:left w:val="none" w:sz="0" w:space="0" w:color="auto"/>
                <w:bottom w:val="none" w:sz="0" w:space="0" w:color="auto"/>
                <w:right w:val="none" w:sz="0" w:space="0" w:color="auto"/>
              </w:divBdr>
            </w:div>
            <w:div w:id="1713772834">
              <w:marLeft w:val="0"/>
              <w:marRight w:val="0"/>
              <w:marTop w:val="0"/>
              <w:marBottom w:val="0"/>
              <w:divBdr>
                <w:top w:val="none" w:sz="0" w:space="0" w:color="auto"/>
                <w:left w:val="none" w:sz="0" w:space="0" w:color="auto"/>
                <w:bottom w:val="none" w:sz="0" w:space="0" w:color="auto"/>
                <w:right w:val="none" w:sz="0" w:space="0" w:color="auto"/>
              </w:divBdr>
            </w:div>
            <w:div w:id="1780029203">
              <w:marLeft w:val="0"/>
              <w:marRight w:val="0"/>
              <w:marTop w:val="0"/>
              <w:marBottom w:val="0"/>
              <w:divBdr>
                <w:top w:val="none" w:sz="0" w:space="0" w:color="auto"/>
                <w:left w:val="none" w:sz="0" w:space="0" w:color="auto"/>
                <w:bottom w:val="none" w:sz="0" w:space="0" w:color="auto"/>
                <w:right w:val="none" w:sz="0" w:space="0" w:color="auto"/>
              </w:divBdr>
            </w:div>
            <w:div w:id="1819493832">
              <w:marLeft w:val="0"/>
              <w:marRight w:val="0"/>
              <w:marTop w:val="0"/>
              <w:marBottom w:val="0"/>
              <w:divBdr>
                <w:top w:val="none" w:sz="0" w:space="0" w:color="auto"/>
                <w:left w:val="none" w:sz="0" w:space="0" w:color="auto"/>
                <w:bottom w:val="none" w:sz="0" w:space="0" w:color="auto"/>
                <w:right w:val="none" w:sz="0" w:space="0" w:color="auto"/>
              </w:divBdr>
            </w:div>
            <w:div w:id="1901793655">
              <w:marLeft w:val="0"/>
              <w:marRight w:val="0"/>
              <w:marTop w:val="0"/>
              <w:marBottom w:val="0"/>
              <w:divBdr>
                <w:top w:val="none" w:sz="0" w:space="0" w:color="auto"/>
                <w:left w:val="none" w:sz="0" w:space="0" w:color="auto"/>
                <w:bottom w:val="none" w:sz="0" w:space="0" w:color="auto"/>
                <w:right w:val="none" w:sz="0" w:space="0" w:color="auto"/>
              </w:divBdr>
            </w:div>
            <w:div w:id="1973825289">
              <w:marLeft w:val="0"/>
              <w:marRight w:val="0"/>
              <w:marTop w:val="0"/>
              <w:marBottom w:val="0"/>
              <w:divBdr>
                <w:top w:val="none" w:sz="0" w:space="0" w:color="auto"/>
                <w:left w:val="none" w:sz="0" w:space="0" w:color="auto"/>
                <w:bottom w:val="none" w:sz="0" w:space="0" w:color="auto"/>
                <w:right w:val="none" w:sz="0" w:space="0" w:color="auto"/>
              </w:divBdr>
            </w:div>
          </w:divsChild>
        </w:div>
        <w:div w:id="1269699470">
          <w:marLeft w:val="0"/>
          <w:marRight w:val="0"/>
          <w:marTop w:val="0"/>
          <w:marBottom w:val="0"/>
          <w:divBdr>
            <w:top w:val="none" w:sz="0" w:space="0" w:color="auto"/>
            <w:left w:val="none" w:sz="0" w:space="0" w:color="auto"/>
            <w:bottom w:val="none" w:sz="0" w:space="0" w:color="auto"/>
            <w:right w:val="none" w:sz="0" w:space="0" w:color="auto"/>
          </w:divBdr>
          <w:divsChild>
            <w:div w:id="118187484">
              <w:marLeft w:val="0"/>
              <w:marRight w:val="0"/>
              <w:marTop w:val="0"/>
              <w:marBottom w:val="0"/>
              <w:divBdr>
                <w:top w:val="none" w:sz="0" w:space="0" w:color="auto"/>
                <w:left w:val="none" w:sz="0" w:space="0" w:color="auto"/>
                <w:bottom w:val="none" w:sz="0" w:space="0" w:color="auto"/>
                <w:right w:val="none" w:sz="0" w:space="0" w:color="auto"/>
              </w:divBdr>
            </w:div>
            <w:div w:id="307248726">
              <w:marLeft w:val="0"/>
              <w:marRight w:val="0"/>
              <w:marTop w:val="0"/>
              <w:marBottom w:val="0"/>
              <w:divBdr>
                <w:top w:val="none" w:sz="0" w:space="0" w:color="auto"/>
                <w:left w:val="none" w:sz="0" w:space="0" w:color="auto"/>
                <w:bottom w:val="none" w:sz="0" w:space="0" w:color="auto"/>
                <w:right w:val="none" w:sz="0" w:space="0" w:color="auto"/>
              </w:divBdr>
            </w:div>
            <w:div w:id="319164658">
              <w:marLeft w:val="0"/>
              <w:marRight w:val="0"/>
              <w:marTop w:val="0"/>
              <w:marBottom w:val="0"/>
              <w:divBdr>
                <w:top w:val="none" w:sz="0" w:space="0" w:color="auto"/>
                <w:left w:val="none" w:sz="0" w:space="0" w:color="auto"/>
                <w:bottom w:val="none" w:sz="0" w:space="0" w:color="auto"/>
                <w:right w:val="none" w:sz="0" w:space="0" w:color="auto"/>
              </w:divBdr>
            </w:div>
            <w:div w:id="351608826">
              <w:marLeft w:val="0"/>
              <w:marRight w:val="0"/>
              <w:marTop w:val="0"/>
              <w:marBottom w:val="0"/>
              <w:divBdr>
                <w:top w:val="none" w:sz="0" w:space="0" w:color="auto"/>
                <w:left w:val="none" w:sz="0" w:space="0" w:color="auto"/>
                <w:bottom w:val="none" w:sz="0" w:space="0" w:color="auto"/>
                <w:right w:val="none" w:sz="0" w:space="0" w:color="auto"/>
              </w:divBdr>
            </w:div>
            <w:div w:id="366377596">
              <w:marLeft w:val="0"/>
              <w:marRight w:val="0"/>
              <w:marTop w:val="0"/>
              <w:marBottom w:val="0"/>
              <w:divBdr>
                <w:top w:val="none" w:sz="0" w:space="0" w:color="auto"/>
                <w:left w:val="none" w:sz="0" w:space="0" w:color="auto"/>
                <w:bottom w:val="none" w:sz="0" w:space="0" w:color="auto"/>
                <w:right w:val="none" w:sz="0" w:space="0" w:color="auto"/>
              </w:divBdr>
            </w:div>
            <w:div w:id="447967894">
              <w:marLeft w:val="0"/>
              <w:marRight w:val="0"/>
              <w:marTop w:val="0"/>
              <w:marBottom w:val="0"/>
              <w:divBdr>
                <w:top w:val="none" w:sz="0" w:space="0" w:color="auto"/>
                <w:left w:val="none" w:sz="0" w:space="0" w:color="auto"/>
                <w:bottom w:val="none" w:sz="0" w:space="0" w:color="auto"/>
                <w:right w:val="none" w:sz="0" w:space="0" w:color="auto"/>
              </w:divBdr>
            </w:div>
            <w:div w:id="558367353">
              <w:marLeft w:val="0"/>
              <w:marRight w:val="0"/>
              <w:marTop w:val="0"/>
              <w:marBottom w:val="0"/>
              <w:divBdr>
                <w:top w:val="none" w:sz="0" w:space="0" w:color="auto"/>
                <w:left w:val="none" w:sz="0" w:space="0" w:color="auto"/>
                <w:bottom w:val="none" w:sz="0" w:space="0" w:color="auto"/>
                <w:right w:val="none" w:sz="0" w:space="0" w:color="auto"/>
              </w:divBdr>
            </w:div>
            <w:div w:id="781220224">
              <w:marLeft w:val="0"/>
              <w:marRight w:val="0"/>
              <w:marTop w:val="0"/>
              <w:marBottom w:val="0"/>
              <w:divBdr>
                <w:top w:val="none" w:sz="0" w:space="0" w:color="auto"/>
                <w:left w:val="none" w:sz="0" w:space="0" w:color="auto"/>
                <w:bottom w:val="none" w:sz="0" w:space="0" w:color="auto"/>
                <w:right w:val="none" w:sz="0" w:space="0" w:color="auto"/>
              </w:divBdr>
            </w:div>
            <w:div w:id="812720921">
              <w:marLeft w:val="0"/>
              <w:marRight w:val="0"/>
              <w:marTop w:val="0"/>
              <w:marBottom w:val="0"/>
              <w:divBdr>
                <w:top w:val="none" w:sz="0" w:space="0" w:color="auto"/>
                <w:left w:val="none" w:sz="0" w:space="0" w:color="auto"/>
                <w:bottom w:val="none" w:sz="0" w:space="0" w:color="auto"/>
                <w:right w:val="none" w:sz="0" w:space="0" w:color="auto"/>
              </w:divBdr>
            </w:div>
            <w:div w:id="854425162">
              <w:marLeft w:val="0"/>
              <w:marRight w:val="0"/>
              <w:marTop w:val="0"/>
              <w:marBottom w:val="0"/>
              <w:divBdr>
                <w:top w:val="none" w:sz="0" w:space="0" w:color="auto"/>
                <w:left w:val="none" w:sz="0" w:space="0" w:color="auto"/>
                <w:bottom w:val="none" w:sz="0" w:space="0" w:color="auto"/>
                <w:right w:val="none" w:sz="0" w:space="0" w:color="auto"/>
              </w:divBdr>
            </w:div>
            <w:div w:id="1131440051">
              <w:marLeft w:val="0"/>
              <w:marRight w:val="0"/>
              <w:marTop w:val="0"/>
              <w:marBottom w:val="0"/>
              <w:divBdr>
                <w:top w:val="none" w:sz="0" w:space="0" w:color="auto"/>
                <w:left w:val="none" w:sz="0" w:space="0" w:color="auto"/>
                <w:bottom w:val="none" w:sz="0" w:space="0" w:color="auto"/>
                <w:right w:val="none" w:sz="0" w:space="0" w:color="auto"/>
              </w:divBdr>
            </w:div>
            <w:div w:id="1198081024">
              <w:marLeft w:val="0"/>
              <w:marRight w:val="0"/>
              <w:marTop w:val="0"/>
              <w:marBottom w:val="0"/>
              <w:divBdr>
                <w:top w:val="none" w:sz="0" w:space="0" w:color="auto"/>
                <w:left w:val="none" w:sz="0" w:space="0" w:color="auto"/>
                <w:bottom w:val="none" w:sz="0" w:space="0" w:color="auto"/>
                <w:right w:val="none" w:sz="0" w:space="0" w:color="auto"/>
              </w:divBdr>
            </w:div>
            <w:div w:id="1295914947">
              <w:marLeft w:val="0"/>
              <w:marRight w:val="0"/>
              <w:marTop w:val="0"/>
              <w:marBottom w:val="0"/>
              <w:divBdr>
                <w:top w:val="none" w:sz="0" w:space="0" w:color="auto"/>
                <w:left w:val="none" w:sz="0" w:space="0" w:color="auto"/>
                <w:bottom w:val="none" w:sz="0" w:space="0" w:color="auto"/>
                <w:right w:val="none" w:sz="0" w:space="0" w:color="auto"/>
              </w:divBdr>
            </w:div>
            <w:div w:id="1360620686">
              <w:marLeft w:val="0"/>
              <w:marRight w:val="0"/>
              <w:marTop w:val="0"/>
              <w:marBottom w:val="0"/>
              <w:divBdr>
                <w:top w:val="none" w:sz="0" w:space="0" w:color="auto"/>
                <w:left w:val="none" w:sz="0" w:space="0" w:color="auto"/>
                <w:bottom w:val="none" w:sz="0" w:space="0" w:color="auto"/>
                <w:right w:val="none" w:sz="0" w:space="0" w:color="auto"/>
              </w:divBdr>
            </w:div>
            <w:div w:id="1417362321">
              <w:marLeft w:val="0"/>
              <w:marRight w:val="0"/>
              <w:marTop w:val="0"/>
              <w:marBottom w:val="0"/>
              <w:divBdr>
                <w:top w:val="none" w:sz="0" w:space="0" w:color="auto"/>
                <w:left w:val="none" w:sz="0" w:space="0" w:color="auto"/>
                <w:bottom w:val="none" w:sz="0" w:space="0" w:color="auto"/>
                <w:right w:val="none" w:sz="0" w:space="0" w:color="auto"/>
              </w:divBdr>
            </w:div>
            <w:div w:id="1446542657">
              <w:marLeft w:val="0"/>
              <w:marRight w:val="0"/>
              <w:marTop w:val="0"/>
              <w:marBottom w:val="0"/>
              <w:divBdr>
                <w:top w:val="none" w:sz="0" w:space="0" w:color="auto"/>
                <w:left w:val="none" w:sz="0" w:space="0" w:color="auto"/>
                <w:bottom w:val="none" w:sz="0" w:space="0" w:color="auto"/>
                <w:right w:val="none" w:sz="0" w:space="0" w:color="auto"/>
              </w:divBdr>
            </w:div>
            <w:div w:id="1566641093">
              <w:marLeft w:val="0"/>
              <w:marRight w:val="0"/>
              <w:marTop w:val="0"/>
              <w:marBottom w:val="0"/>
              <w:divBdr>
                <w:top w:val="none" w:sz="0" w:space="0" w:color="auto"/>
                <w:left w:val="none" w:sz="0" w:space="0" w:color="auto"/>
                <w:bottom w:val="none" w:sz="0" w:space="0" w:color="auto"/>
                <w:right w:val="none" w:sz="0" w:space="0" w:color="auto"/>
              </w:divBdr>
            </w:div>
            <w:div w:id="1683508937">
              <w:marLeft w:val="0"/>
              <w:marRight w:val="0"/>
              <w:marTop w:val="0"/>
              <w:marBottom w:val="0"/>
              <w:divBdr>
                <w:top w:val="none" w:sz="0" w:space="0" w:color="auto"/>
                <w:left w:val="none" w:sz="0" w:space="0" w:color="auto"/>
                <w:bottom w:val="none" w:sz="0" w:space="0" w:color="auto"/>
                <w:right w:val="none" w:sz="0" w:space="0" w:color="auto"/>
              </w:divBdr>
            </w:div>
            <w:div w:id="1823697431">
              <w:marLeft w:val="0"/>
              <w:marRight w:val="0"/>
              <w:marTop w:val="0"/>
              <w:marBottom w:val="0"/>
              <w:divBdr>
                <w:top w:val="none" w:sz="0" w:space="0" w:color="auto"/>
                <w:left w:val="none" w:sz="0" w:space="0" w:color="auto"/>
                <w:bottom w:val="none" w:sz="0" w:space="0" w:color="auto"/>
                <w:right w:val="none" w:sz="0" w:space="0" w:color="auto"/>
              </w:divBdr>
            </w:div>
            <w:div w:id="1938294887">
              <w:marLeft w:val="0"/>
              <w:marRight w:val="0"/>
              <w:marTop w:val="0"/>
              <w:marBottom w:val="0"/>
              <w:divBdr>
                <w:top w:val="none" w:sz="0" w:space="0" w:color="auto"/>
                <w:left w:val="none" w:sz="0" w:space="0" w:color="auto"/>
                <w:bottom w:val="none" w:sz="0" w:space="0" w:color="auto"/>
                <w:right w:val="none" w:sz="0" w:space="0" w:color="auto"/>
              </w:divBdr>
            </w:div>
          </w:divsChild>
        </w:div>
        <w:div w:id="1335573820">
          <w:marLeft w:val="0"/>
          <w:marRight w:val="0"/>
          <w:marTop w:val="0"/>
          <w:marBottom w:val="0"/>
          <w:divBdr>
            <w:top w:val="none" w:sz="0" w:space="0" w:color="auto"/>
            <w:left w:val="none" w:sz="0" w:space="0" w:color="auto"/>
            <w:bottom w:val="none" w:sz="0" w:space="0" w:color="auto"/>
            <w:right w:val="none" w:sz="0" w:space="0" w:color="auto"/>
          </w:divBdr>
          <w:divsChild>
            <w:div w:id="239214769">
              <w:marLeft w:val="0"/>
              <w:marRight w:val="0"/>
              <w:marTop w:val="0"/>
              <w:marBottom w:val="0"/>
              <w:divBdr>
                <w:top w:val="none" w:sz="0" w:space="0" w:color="auto"/>
                <w:left w:val="none" w:sz="0" w:space="0" w:color="auto"/>
                <w:bottom w:val="none" w:sz="0" w:space="0" w:color="auto"/>
                <w:right w:val="none" w:sz="0" w:space="0" w:color="auto"/>
              </w:divBdr>
            </w:div>
            <w:div w:id="538514530">
              <w:marLeft w:val="0"/>
              <w:marRight w:val="0"/>
              <w:marTop w:val="0"/>
              <w:marBottom w:val="0"/>
              <w:divBdr>
                <w:top w:val="none" w:sz="0" w:space="0" w:color="auto"/>
                <w:left w:val="none" w:sz="0" w:space="0" w:color="auto"/>
                <w:bottom w:val="none" w:sz="0" w:space="0" w:color="auto"/>
                <w:right w:val="none" w:sz="0" w:space="0" w:color="auto"/>
              </w:divBdr>
            </w:div>
            <w:div w:id="603535405">
              <w:marLeft w:val="0"/>
              <w:marRight w:val="0"/>
              <w:marTop w:val="0"/>
              <w:marBottom w:val="0"/>
              <w:divBdr>
                <w:top w:val="none" w:sz="0" w:space="0" w:color="auto"/>
                <w:left w:val="none" w:sz="0" w:space="0" w:color="auto"/>
                <w:bottom w:val="none" w:sz="0" w:space="0" w:color="auto"/>
                <w:right w:val="none" w:sz="0" w:space="0" w:color="auto"/>
              </w:divBdr>
            </w:div>
            <w:div w:id="776293416">
              <w:marLeft w:val="0"/>
              <w:marRight w:val="0"/>
              <w:marTop w:val="0"/>
              <w:marBottom w:val="0"/>
              <w:divBdr>
                <w:top w:val="none" w:sz="0" w:space="0" w:color="auto"/>
                <w:left w:val="none" w:sz="0" w:space="0" w:color="auto"/>
                <w:bottom w:val="none" w:sz="0" w:space="0" w:color="auto"/>
                <w:right w:val="none" w:sz="0" w:space="0" w:color="auto"/>
              </w:divBdr>
            </w:div>
            <w:div w:id="779838013">
              <w:marLeft w:val="0"/>
              <w:marRight w:val="0"/>
              <w:marTop w:val="0"/>
              <w:marBottom w:val="0"/>
              <w:divBdr>
                <w:top w:val="none" w:sz="0" w:space="0" w:color="auto"/>
                <w:left w:val="none" w:sz="0" w:space="0" w:color="auto"/>
                <w:bottom w:val="none" w:sz="0" w:space="0" w:color="auto"/>
                <w:right w:val="none" w:sz="0" w:space="0" w:color="auto"/>
              </w:divBdr>
            </w:div>
            <w:div w:id="899485923">
              <w:marLeft w:val="0"/>
              <w:marRight w:val="0"/>
              <w:marTop w:val="0"/>
              <w:marBottom w:val="0"/>
              <w:divBdr>
                <w:top w:val="none" w:sz="0" w:space="0" w:color="auto"/>
                <w:left w:val="none" w:sz="0" w:space="0" w:color="auto"/>
                <w:bottom w:val="none" w:sz="0" w:space="0" w:color="auto"/>
                <w:right w:val="none" w:sz="0" w:space="0" w:color="auto"/>
              </w:divBdr>
            </w:div>
            <w:div w:id="1036009945">
              <w:marLeft w:val="0"/>
              <w:marRight w:val="0"/>
              <w:marTop w:val="0"/>
              <w:marBottom w:val="0"/>
              <w:divBdr>
                <w:top w:val="none" w:sz="0" w:space="0" w:color="auto"/>
                <w:left w:val="none" w:sz="0" w:space="0" w:color="auto"/>
                <w:bottom w:val="none" w:sz="0" w:space="0" w:color="auto"/>
                <w:right w:val="none" w:sz="0" w:space="0" w:color="auto"/>
              </w:divBdr>
            </w:div>
            <w:div w:id="1090010120">
              <w:marLeft w:val="0"/>
              <w:marRight w:val="0"/>
              <w:marTop w:val="0"/>
              <w:marBottom w:val="0"/>
              <w:divBdr>
                <w:top w:val="none" w:sz="0" w:space="0" w:color="auto"/>
                <w:left w:val="none" w:sz="0" w:space="0" w:color="auto"/>
                <w:bottom w:val="none" w:sz="0" w:space="0" w:color="auto"/>
                <w:right w:val="none" w:sz="0" w:space="0" w:color="auto"/>
              </w:divBdr>
            </w:div>
            <w:div w:id="1847329961">
              <w:marLeft w:val="0"/>
              <w:marRight w:val="0"/>
              <w:marTop w:val="0"/>
              <w:marBottom w:val="0"/>
              <w:divBdr>
                <w:top w:val="none" w:sz="0" w:space="0" w:color="auto"/>
                <w:left w:val="none" w:sz="0" w:space="0" w:color="auto"/>
                <w:bottom w:val="none" w:sz="0" w:space="0" w:color="auto"/>
                <w:right w:val="none" w:sz="0" w:space="0" w:color="auto"/>
              </w:divBdr>
            </w:div>
            <w:div w:id="2097708445">
              <w:marLeft w:val="0"/>
              <w:marRight w:val="0"/>
              <w:marTop w:val="0"/>
              <w:marBottom w:val="0"/>
              <w:divBdr>
                <w:top w:val="none" w:sz="0" w:space="0" w:color="auto"/>
                <w:left w:val="none" w:sz="0" w:space="0" w:color="auto"/>
                <w:bottom w:val="none" w:sz="0" w:space="0" w:color="auto"/>
                <w:right w:val="none" w:sz="0" w:space="0" w:color="auto"/>
              </w:divBdr>
            </w:div>
          </w:divsChild>
        </w:div>
        <w:div w:id="2023780150">
          <w:marLeft w:val="0"/>
          <w:marRight w:val="0"/>
          <w:marTop w:val="0"/>
          <w:marBottom w:val="0"/>
          <w:divBdr>
            <w:top w:val="none" w:sz="0" w:space="0" w:color="auto"/>
            <w:left w:val="none" w:sz="0" w:space="0" w:color="auto"/>
            <w:bottom w:val="none" w:sz="0" w:space="0" w:color="auto"/>
            <w:right w:val="none" w:sz="0" w:space="0" w:color="auto"/>
          </w:divBdr>
          <w:divsChild>
            <w:div w:id="1083330752">
              <w:marLeft w:val="-75"/>
              <w:marRight w:val="0"/>
              <w:marTop w:val="30"/>
              <w:marBottom w:val="30"/>
              <w:divBdr>
                <w:top w:val="none" w:sz="0" w:space="0" w:color="auto"/>
                <w:left w:val="none" w:sz="0" w:space="0" w:color="auto"/>
                <w:bottom w:val="none" w:sz="0" w:space="0" w:color="auto"/>
                <w:right w:val="none" w:sz="0" w:space="0" w:color="auto"/>
              </w:divBdr>
              <w:divsChild>
                <w:div w:id="36660999">
                  <w:marLeft w:val="0"/>
                  <w:marRight w:val="0"/>
                  <w:marTop w:val="0"/>
                  <w:marBottom w:val="0"/>
                  <w:divBdr>
                    <w:top w:val="none" w:sz="0" w:space="0" w:color="auto"/>
                    <w:left w:val="none" w:sz="0" w:space="0" w:color="auto"/>
                    <w:bottom w:val="none" w:sz="0" w:space="0" w:color="auto"/>
                    <w:right w:val="none" w:sz="0" w:space="0" w:color="auto"/>
                  </w:divBdr>
                  <w:divsChild>
                    <w:div w:id="495800863">
                      <w:marLeft w:val="0"/>
                      <w:marRight w:val="0"/>
                      <w:marTop w:val="0"/>
                      <w:marBottom w:val="0"/>
                      <w:divBdr>
                        <w:top w:val="none" w:sz="0" w:space="0" w:color="auto"/>
                        <w:left w:val="none" w:sz="0" w:space="0" w:color="auto"/>
                        <w:bottom w:val="none" w:sz="0" w:space="0" w:color="auto"/>
                        <w:right w:val="none" w:sz="0" w:space="0" w:color="auto"/>
                      </w:divBdr>
                    </w:div>
                  </w:divsChild>
                </w:div>
                <w:div w:id="141894964">
                  <w:marLeft w:val="0"/>
                  <w:marRight w:val="0"/>
                  <w:marTop w:val="0"/>
                  <w:marBottom w:val="0"/>
                  <w:divBdr>
                    <w:top w:val="none" w:sz="0" w:space="0" w:color="auto"/>
                    <w:left w:val="none" w:sz="0" w:space="0" w:color="auto"/>
                    <w:bottom w:val="none" w:sz="0" w:space="0" w:color="auto"/>
                    <w:right w:val="none" w:sz="0" w:space="0" w:color="auto"/>
                  </w:divBdr>
                  <w:divsChild>
                    <w:div w:id="449056122">
                      <w:marLeft w:val="0"/>
                      <w:marRight w:val="0"/>
                      <w:marTop w:val="0"/>
                      <w:marBottom w:val="0"/>
                      <w:divBdr>
                        <w:top w:val="none" w:sz="0" w:space="0" w:color="auto"/>
                        <w:left w:val="none" w:sz="0" w:space="0" w:color="auto"/>
                        <w:bottom w:val="none" w:sz="0" w:space="0" w:color="auto"/>
                        <w:right w:val="none" w:sz="0" w:space="0" w:color="auto"/>
                      </w:divBdr>
                    </w:div>
                  </w:divsChild>
                </w:div>
                <w:div w:id="363795411">
                  <w:marLeft w:val="0"/>
                  <w:marRight w:val="0"/>
                  <w:marTop w:val="0"/>
                  <w:marBottom w:val="0"/>
                  <w:divBdr>
                    <w:top w:val="none" w:sz="0" w:space="0" w:color="auto"/>
                    <w:left w:val="none" w:sz="0" w:space="0" w:color="auto"/>
                    <w:bottom w:val="none" w:sz="0" w:space="0" w:color="auto"/>
                    <w:right w:val="none" w:sz="0" w:space="0" w:color="auto"/>
                  </w:divBdr>
                  <w:divsChild>
                    <w:div w:id="1700084951">
                      <w:marLeft w:val="0"/>
                      <w:marRight w:val="0"/>
                      <w:marTop w:val="0"/>
                      <w:marBottom w:val="0"/>
                      <w:divBdr>
                        <w:top w:val="none" w:sz="0" w:space="0" w:color="auto"/>
                        <w:left w:val="none" w:sz="0" w:space="0" w:color="auto"/>
                        <w:bottom w:val="none" w:sz="0" w:space="0" w:color="auto"/>
                        <w:right w:val="none" w:sz="0" w:space="0" w:color="auto"/>
                      </w:divBdr>
                    </w:div>
                  </w:divsChild>
                </w:div>
                <w:div w:id="559022928">
                  <w:marLeft w:val="0"/>
                  <w:marRight w:val="0"/>
                  <w:marTop w:val="0"/>
                  <w:marBottom w:val="0"/>
                  <w:divBdr>
                    <w:top w:val="none" w:sz="0" w:space="0" w:color="auto"/>
                    <w:left w:val="none" w:sz="0" w:space="0" w:color="auto"/>
                    <w:bottom w:val="none" w:sz="0" w:space="0" w:color="auto"/>
                    <w:right w:val="none" w:sz="0" w:space="0" w:color="auto"/>
                  </w:divBdr>
                  <w:divsChild>
                    <w:div w:id="1317226745">
                      <w:marLeft w:val="0"/>
                      <w:marRight w:val="0"/>
                      <w:marTop w:val="0"/>
                      <w:marBottom w:val="0"/>
                      <w:divBdr>
                        <w:top w:val="none" w:sz="0" w:space="0" w:color="auto"/>
                        <w:left w:val="none" w:sz="0" w:space="0" w:color="auto"/>
                        <w:bottom w:val="none" w:sz="0" w:space="0" w:color="auto"/>
                        <w:right w:val="none" w:sz="0" w:space="0" w:color="auto"/>
                      </w:divBdr>
                    </w:div>
                  </w:divsChild>
                </w:div>
                <w:div w:id="610742801">
                  <w:marLeft w:val="0"/>
                  <w:marRight w:val="0"/>
                  <w:marTop w:val="0"/>
                  <w:marBottom w:val="0"/>
                  <w:divBdr>
                    <w:top w:val="none" w:sz="0" w:space="0" w:color="auto"/>
                    <w:left w:val="none" w:sz="0" w:space="0" w:color="auto"/>
                    <w:bottom w:val="none" w:sz="0" w:space="0" w:color="auto"/>
                    <w:right w:val="none" w:sz="0" w:space="0" w:color="auto"/>
                  </w:divBdr>
                  <w:divsChild>
                    <w:div w:id="1431585904">
                      <w:marLeft w:val="0"/>
                      <w:marRight w:val="0"/>
                      <w:marTop w:val="0"/>
                      <w:marBottom w:val="0"/>
                      <w:divBdr>
                        <w:top w:val="none" w:sz="0" w:space="0" w:color="auto"/>
                        <w:left w:val="none" w:sz="0" w:space="0" w:color="auto"/>
                        <w:bottom w:val="none" w:sz="0" w:space="0" w:color="auto"/>
                        <w:right w:val="none" w:sz="0" w:space="0" w:color="auto"/>
                      </w:divBdr>
                    </w:div>
                  </w:divsChild>
                </w:div>
                <w:div w:id="723021004">
                  <w:marLeft w:val="0"/>
                  <w:marRight w:val="0"/>
                  <w:marTop w:val="0"/>
                  <w:marBottom w:val="0"/>
                  <w:divBdr>
                    <w:top w:val="none" w:sz="0" w:space="0" w:color="auto"/>
                    <w:left w:val="none" w:sz="0" w:space="0" w:color="auto"/>
                    <w:bottom w:val="none" w:sz="0" w:space="0" w:color="auto"/>
                    <w:right w:val="none" w:sz="0" w:space="0" w:color="auto"/>
                  </w:divBdr>
                  <w:divsChild>
                    <w:div w:id="386296053">
                      <w:marLeft w:val="0"/>
                      <w:marRight w:val="0"/>
                      <w:marTop w:val="0"/>
                      <w:marBottom w:val="0"/>
                      <w:divBdr>
                        <w:top w:val="none" w:sz="0" w:space="0" w:color="auto"/>
                        <w:left w:val="none" w:sz="0" w:space="0" w:color="auto"/>
                        <w:bottom w:val="none" w:sz="0" w:space="0" w:color="auto"/>
                        <w:right w:val="none" w:sz="0" w:space="0" w:color="auto"/>
                      </w:divBdr>
                    </w:div>
                  </w:divsChild>
                </w:div>
                <w:div w:id="766850522">
                  <w:marLeft w:val="0"/>
                  <w:marRight w:val="0"/>
                  <w:marTop w:val="0"/>
                  <w:marBottom w:val="0"/>
                  <w:divBdr>
                    <w:top w:val="none" w:sz="0" w:space="0" w:color="auto"/>
                    <w:left w:val="none" w:sz="0" w:space="0" w:color="auto"/>
                    <w:bottom w:val="none" w:sz="0" w:space="0" w:color="auto"/>
                    <w:right w:val="none" w:sz="0" w:space="0" w:color="auto"/>
                  </w:divBdr>
                  <w:divsChild>
                    <w:div w:id="380138125">
                      <w:marLeft w:val="0"/>
                      <w:marRight w:val="0"/>
                      <w:marTop w:val="0"/>
                      <w:marBottom w:val="0"/>
                      <w:divBdr>
                        <w:top w:val="none" w:sz="0" w:space="0" w:color="auto"/>
                        <w:left w:val="none" w:sz="0" w:space="0" w:color="auto"/>
                        <w:bottom w:val="none" w:sz="0" w:space="0" w:color="auto"/>
                        <w:right w:val="none" w:sz="0" w:space="0" w:color="auto"/>
                      </w:divBdr>
                    </w:div>
                  </w:divsChild>
                </w:div>
                <w:div w:id="779302745">
                  <w:marLeft w:val="0"/>
                  <w:marRight w:val="0"/>
                  <w:marTop w:val="0"/>
                  <w:marBottom w:val="0"/>
                  <w:divBdr>
                    <w:top w:val="none" w:sz="0" w:space="0" w:color="auto"/>
                    <w:left w:val="none" w:sz="0" w:space="0" w:color="auto"/>
                    <w:bottom w:val="none" w:sz="0" w:space="0" w:color="auto"/>
                    <w:right w:val="none" w:sz="0" w:space="0" w:color="auto"/>
                  </w:divBdr>
                  <w:divsChild>
                    <w:div w:id="129446363">
                      <w:marLeft w:val="0"/>
                      <w:marRight w:val="0"/>
                      <w:marTop w:val="0"/>
                      <w:marBottom w:val="0"/>
                      <w:divBdr>
                        <w:top w:val="none" w:sz="0" w:space="0" w:color="auto"/>
                        <w:left w:val="none" w:sz="0" w:space="0" w:color="auto"/>
                        <w:bottom w:val="none" w:sz="0" w:space="0" w:color="auto"/>
                        <w:right w:val="none" w:sz="0" w:space="0" w:color="auto"/>
                      </w:divBdr>
                    </w:div>
                  </w:divsChild>
                </w:div>
                <w:div w:id="830293063">
                  <w:marLeft w:val="0"/>
                  <w:marRight w:val="0"/>
                  <w:marTop w:val="0"/>
                  <w:marBottom w:val="0"/>
                  <w:divBdr>
                    <w:top w:val="none" w:sz="0" w:space="0" w:color="auto"/>
                    <w:left w:val="none" w:sz="0" w:space="0" w:color="auto"/>
                    <w:bottom w:val="none" w:sz="0" w:space="0" w:color="auto"/>
                    <w:right w:val="none" w:sz="0" w:space="0" w:color="auto"/>
                  </w:divBdr>
                  <w:divsChild>
                    <w:div w:id="1496996835">
                      <w:marLeft w:val="0"/>
                      <w:marRight w:val="0"/>
                      <w:marTop w:val="0"/>
                      <w:marBottom w:val="0"/>
                      <w:divBdr>
                        <w:top w:val="none" w:sz="0" w:space="0" w:color="auto"/>
                        <w:left w:val="none" w:sz="0" w:space="0" w:color="auto"/>
                        <w:bottom w:val="none" w:sz="0" w:space="0" w:color="auto"/>
                        <w:right w:val="none" w:sz="0" w:space="0" w:color="auto"/>
                      </w:divBdr>
                    </w:div>
                  </w:divsChild>
                </w:div>
                <w:div w:id="830801572">
                  <w:marLeft w:val="0"/>
                  <w:marRight w:val="0"/>
                  <w:marTop w:val="0"/>
                  <w:marBottom w:val="0"/>
                  <w:divBdr>
                    <w:top w:val="none" w:sz="0" w:space="0" w:color="auto"/>
                    <w:left w:val="none" w:sz="0" w:space="0" w:color="auto"/>
                    <w:bottom w:val="none" w:sz="0" w:space="0" w:color="auto"/>
                    <w:right w:val="none" w:sz="0" w:space="0" w:color="auto"/>
                  </w:divBdr>
                  <w:divsChild>
                    <w:div w:id="470026469">
                      <w:marLeft w:val="0"/>
                      <w:marRight w:val="0"/>
                      <w:marTop w:val="0"/>
                      <w:marBottom w:val="0"/>
                      <w:divBdr>
                        <w:top w:val="none" w:sz="0" w:space="0" w:color="auto"/>
                        <w:left w:val="none" w:sz="0" w:space="0" w:color="auto"/>
                        <w:bottom w:val="none" w:sz="0" w:space="0" w:color="auto"/>
                        <w:right w:val="none" w:sz="0" w:space="0" w:color="auto"/>
                      </w:divBdr>
                    </w:div>
                  </w:divsChild>
                </w:div>
                <w:div w:id="840437366">
                  <w:marLeft w:val="0"/>
                  <w:marRight w:val="0"/>
                  <w:marTop w:val="0"/>
                  <w:marBottom w:val="0"/>
                  <w:divBdr>
                    <w:top w:val="none" w:sz="0" w:space="0" w:color="auto"/>
                    <w:left w:val="none" w:sz="0" w:space="0" w:color="auto"/>
                    <w:bottom w:val="none" w:sz="0" w:space="0" w:color="auto"/>
                    <w:right w:val="none" w:sz="0" w:space="0" w:color="auto"/>
                  </w:divBdr>
                  <w:divsChild>
                    <w:div w:id="1433932512">
                      <w:marLeft w:val="0"/>
                      <w:marRight w:val="0"/>
                      <w:marTop w:val="0"/>
                      <w:marBottom w:val="0"/>
                      <w:divBdr>
                        <w:top w:val="none" w:sz="0" w:space="0" w:color="auto"/>
                        <w:left w:val="none" w:sz="0" w:space="0" w:color="auto"/>
                        <w:bottom w:val="none" w:sz="0" w:space="0" w:color="auto"/>
                        <w:right w:val="none" w:sz="0" w:space="0" w:color="auto"/>
                      </w:divBdr>
                    </w:div>
                  </w:divsChild>
                </w:div>
                <w:div w:id="864245436">
                  <w:marLeft w:val="0"/>
                  <w:marRight w:val="0"/>
                  <w:marTop w:val="0"/>
                  <w:marBottom w:val="0"/>
                  <w:divBdr>
                    <w:top w:val="none" w:sz="0" w:space="0" w:color="auto"/>
                    <w:left w:val="none" w:sz="0" w:space="0" w:color="auto"/>
                    <w:bottom w:val="none" w:sz="0" w:space="0" w:color="auto"/>
                    <w:right w:val="none" w:sz="0" w:space="0" w:color="auto"/>
                  </w:divBdr>
                  <w:divsChild>
                    <w:div w:id="507721153">
                      <w:marLeft w:val="0"/>
                      <w:marRight w:val="0"/>
                      <w:marTop w:val="0"/>
                      <w:marBottom w:val="0"/>
                      <w:divBdr>
                        <w:top w:val="none" w:sz="0" w:space="0" w:color="auto"/>
                        <w:left w:val="none" w:sz="0" w:space="0" w:color="auto"/>
                        <w:bottom w:val="none" w:sz="0" w:space="0" w:color="auto"/>
                        <w:right w:val="none" w:sz="0" w:space="0" w:color="auto"/>
                      </w:divBdr>
                    </w:div>
                  </w:divsChild>
                </w:div>
                <w:div w:id="889340831">
                  <w:marLeft w:val="0"/>
                  <w:marRight w:val="0"/>
                  <w:marTop w:val="0"/>
                  <w:marBottom w:val="0"/>
                  <w:divBdr>
                    <w:top w:val="none" w:sz="0" w:space="0" w:color="auto"/>
                    <w:left w:val="none" w:sz="0" w:space="0" w:color="auto"/>
                    <w:bottom w:val="none" w:sz="0" w:space="0" w:color="auto"/>
                    <w:right w:val="none" w:sz="0" w:space="0" w:color="auto"/>
                  </w:divBdr>
                  <w:divsChild>
                    <w:div w:id="250509081">
                      <w:marLeft w:val="0"/>
                      <w:marRight w:val="0"/>
                      <w:marTop w:val="0"/>
                      <w:marBottom w:val="0"/>
                      <w:divBdr>
                        <w:top w:val="none" w:sz="0" w:space="0" w:color="auto"/>
                        <w:left w:val="none" w:sz="0" w:space="0" w:color="auto"/>
                        <w:bottom w:val="none" w:sz="0" w:space="0" w:color="auto"/>
                        <w:right w:val="none" w:sz="0" w:space="0" w:color="auto"/>
                      </w:divBdr>
                    </w:div>
                    <w:div w:id="1642032630">
                      <w:marLeft w:val="0"/>
                      <w:marRight w:val="0"/>
                      <w:marTop w:val="0"/>
                      <w:marBottom w:val="0"/>
                      <w:divBdr>
                        <w:top w:val="none" w:sz="0" w:space="0" w:color="auto"/>
                        <w:left w:val="none" w:sz="0" w:space="0" w:color="auto"/>
                        <w:bottom w:val="none" w:sz="0" w:space="0" w:color="auto"/>
                        <w:right w:val="none" w:sz="0" w:space="0" w:color="auto"/>
                      </w:divBdr>
                    </w:div>
                  </w:divsChild>
                </w:div>
                <w:div w:id="904603876">
                  <w:marLeft w:val="0"/>
                  <w:marRight w:val="0"/>
                  <w:marTop w:val="0"/>
                  <w:marBottom w:val="0"/>
                  <w:divBdr>
                    <w:top w:val="none" w:sz="0" w:space="0" w:color="auto"/>
                    <w:left w:val="none" w:sz="0" w:space="0" w:color="auto"/>
                    <w:bottom w:val="none" w:sz="0" w:space="0" w:color="auto"/>
                    <w:right w:val="none" w:sz="0" w:space="0" w:color="auto"/>
                  </w:divBdr>
                  <w:divsChild>
                    <w:div w:id="1434396022">
                      <w:marLeft w:val="0"/>
                      <w:marRight w:val="0"/>
                      <w:marTop w:val="0"/>
                      <w:marBottom w:val="0"/>
                      <w:divBdr>
                        <w:top w:val="none" w:sz="0" w:space="0" w:color="auto"/>
                        <w:left w:val="none" w:sz="0" w:space="0" w:color="auto"/>
                        <w:bottom w:val="none" w:sz="0" w:space="0" w:color="auto"/>
                        <w:right w:val="none" w:sz="0" w:space="0" w:color="auto"/>
                      </w:divBdr>
                    </w:div>
                  </w:divsChild>
                </w:div>
                <w:div w:id="936207771">
                  <w:marLeft w:val="0"/>
                  <w:marRight w:val="0"/>
                  <w:marTop w:val="0"/>
                  <w:marBottom w:val="0"/>
                  <w:divBdr>
                    <w:top w:val="none" w:sz="0" w:space="0" w:color="auto"/>
                    <w:left w:val="none" w:sz="0" w:space="0" w:color="auto"/>
                    <w:bottom w:val="none" w:sz="0" w:space="0" w:color="auto"/>
                    <w:right w:val="none" w:sz="0" w:space="0" w:color="auto"/>
                  </w:divBdr>
                  <w:divsChild>
                    <w:div w:id="1975017016">
                      <w:marLeft w:val="0"/>
                      <w:marRight w:val="0"/>
                      <w:marTop w:val="0"/>
                      <w:marBottom w:val="0"/>
                      <w:divBdr>
                        <w:top w:val="none" w:sz="0" w:space="0" w:color="auto"/>
                        <w:left w:val="none" w:sz="0" w:space="0" w:color="auto"/>
                        <w:bottom w:val="none" w:sz="0" w:space="0" w:color="auto"/>
                        <w:right w:val="none" w:sz="0" w:space="0" w:color="auto"/>
                      </w:divBdr>
                    </w:div>
                  </w:divsChild>
                </w:div>
                <w:div w:id="1355768653">
                  <w:marLeft w:val="0"/>
                  <w:marRight w:val="0"/>
                  <w:marTop w:val="0"/>
                  <w:marBottom w:val="0"/>
                  <w:divBdr>
                    <w:top w:val="none" w:sz="0" w:space="0" w:color="auto"/>
                    <w:left w:val="none" w:sz="0" w:space="0" w:color="auto"/>
                    <w:bottom w:val="none" w:sz="0" w:space="0" w:color="auto"/>
                    <w:right w:val="none" w:sz="0" w:space="0" w:color="auto"/>
                  </w:divBdr>
                  <w:divsChild>
                    <w:div w:id="777531941">
                      <w:marLeft w:val="0"/>
                      <w:marRight w:val="0"/>
                      <w:marTop w:val="0"/>
                      <w:marBottom w:val="0"/>
                      <w:divBdr>
                        <w:top w:val="none" w:sz="0" w:space="0" w:color="auto"/>
                        <w:left w:val="none" w:sz="0" w:space="0" w:color="auto"/>
                        <w:bottom w:val="none" w:sz="0" w:space="0" w:color="auto"/>
                        <w:right w:val="none" w:sz="0" w:space="0" w:color="auto"/>
                      </w:divBdr>
                    </w:div>
                    <w:div w:id="9622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3061">
          <w:marLeft w:val="0"/>
          <w:marRight w:val="0"/>
          <w:marTop w:val="0"/>
          <w:marBottom w:val="0"/>
          <w:divBdr>
            <w:top w:val="none" w:sz="0" w:space="0" w:color="auto"/>
            <w:left w:val="none" w:sz="0" w:space="0" w:color="auto"/>
            <w:bottom w:val="none" w:sz="0" w:space="0" w:color="auto"/>
            <w:right w:val="none" w:sz="0" w:space="0" w:color="auto"/>
          </w:divBdr>
          <w:divsChild>
            <w:div w:id="6644139">
              <w:marLeft w:val="0"/>
              <w:marRight w:val="0"/>
              <w:marTop w:val="0"/>
              <w:marBottom w:val="0"/>
              <w:divBdr>
                <w:top w:val="none" w:sz="0" w:space="0" w:color="auto"/>
                <w:left w:val="none" w:sz="0" w:space="0" w:color="auto"/>
                <w:bottom w:val="none" w:sz="0" w:space="0" w:color="auto"/>
                <w:right w:val="none" w:sz="0" w:space="0" w:color="auto"/>
              </w:divBdr>
            </w:div>
            <w:div w:id="213542772">
              <w:marLeft w:val="0"/>
              <w:marRight w:val="0"/>
              <w:marTop w:val="0"/>
              <w:marBottom w:val="0"/>
              <w:divBdr>
                <w:top w:val="none" w:sz="0" w:space="0" w:color="auto"/>
                <w:left w:val="none" w:sz="0" w:space="0" w:color="auto"/>
                <w:bottom w:val="none" w:sz="0" w:space="0" w:color="auto"/>
                <w:right w:val="none" w:sz="0" w:space="0" w:color="auto"/>
              </w:divBdr>
            </w:div>
            <w:div w:id="234585218">
              <w:marLeft w:val="0"/>
              <w:marRight w:val="0"/>
              <w:marTop w:val="0"/>
              <w:marBottom w:val="0"/>
              <w:divBdr>
                <w:top w:val="none" w:sz="0" w:space="0" w:color="auto"/>
                <w:left w:val="none" w:sz="0" w:space="0" w:color="auto"/>
                <w:bottom w:val="none" w:sz="0" w:space="0" w:color="auto"/>
                <w:right w:val="none" w:sz="0" w:space="0" w:color="auto"/>
              </w:divBdr>
            </w:div>
            <w:div w:id="384183570">
              <w:marLeft w:val="0"/>
              <w:marRight w:val="0"/>
              <w:marTop w:val="0"/>
              <w:marBottom w:val="0"/>
              <w:divBdr>
                <w:top w:val="none" w:sz="0" w:space="0" w:color="auto"/>
                <w:left w:val="none" w:sz="0" w:space="0" w:color="auto"/>
                <w:bottom w:val="none" w:sz="0" w:space="0" w:color="auto"/>
                <w:right w:val="none" w:sz="0" w:space="0" w:color="auto"/>
              </w:divBdr>
            </w:div>
            <w:div w:id="577247389">
              <w:marLeft w:val="0"/>
              <w:marRight w:val="0"/>
              <w:marTop w:val="0"/>
              <w:marBottom w:val="0"/>
              <w:divBdr>
                <w:top w:val="none" w:sz="0" w:space="0" w:color="auto"/>
                <w:left w:val="none" w:sz="0" w:space="0" w:color="auto"/>
                <w:bottom w:val="none" w:sz="0" w:space="0" w:color="auto"/>
                <w:right w:val="none" w:sz="0" w:space="0" w:color="auto"/>
              </w:divBdr>
            </w:div>
            <w:div w:id="704335591">
              <w:marLeft w:val="0"/>
              <w:marRight w:val="0"/>
              <w:marTop w:val="0"/>
              <w:marBottom w:val="0"/>
              <w:divBdr>
                <w:top w:val="none" w:sz="0" w:space="0" w:color="auto"/>
                <w:left w:val="none" w:sz="0" w:space="0" w:color="auto"/>
                <w:bottom w:val="none" w:sz="0" w:space="0" w:color="auto"/>
                <w:right w:val="none" w:sz="0" w:space="0" w:color="auto"/>
              </w:divBdr>
            </w:div>
            <w:div w:id="750928604">
              <w:marLeft w:val="0"/>
              <w:marRight w:val="0"/>
              <w:marTop w:val="0"/>
              <w:marBottom w:val="0"/>
              <w:divBdr>
                <w:top w:val="none" w:sz="0" w:space="0" w:color="auto"/>
                <w:left w:val="none" w:sz="0" w:space="0" w:color="auto"/>
                <w:bottom w:val="none" w:sz="0" w:space="0" w:color="auto"/>
                <w:right w:val="none" w:sz="0" w:space="0" w:color="auto"/>
              </w:divBdr>
            </w:div>
            <w:div w:id="754208822">
              <w:marLeft w:val="0"/>
              <w:marRight w:val="0"/>
              <w:marTop w:val="0"/>
              <w:marBottom w:val="0"/>
              <w:divBdr>
                <w:top w:val="none" w:sz="0" w:space="0" w:color="auto"/>
                <w:left w:val="none" w:sz="0" w:space="0" w:color="auto"/>
                <w:bottom w:val="none" w:sz="0" w:space="0" w:color="auto"/>
                <w:right w:val="none" w:sz="0" w:space="0" w:color="auto"/>
              </w:divBdr>
            </w:div>
            <w:div w:id="769817974">
              <w:marLeft w:val="0"/>
              <w:marRight w:val="0"/>
              <w:marTop w:val="0"/>
              <w:marBottom w:val="0"/>
              <w:divBdr>
                <w:top w:val="none" w:sz="0" w:space="0" w:color="auto"/>
                <w:left w:val="none" w:sz="0" w:space="0" w:color="auto"/>
                <w:bottom w:val="none" w:sz="0" w:space="0" w:color="auto"/>
                <w:right w:val="none" w:sz="0" w:space="0" w:color="auto"/>
              </w:divBdr>
            </w:div>
            <w:div w:id="890462025">
              <w:marLeft w:val="0"/>
              <w:marRight w:val="0"/>
              <w:marTop w:val="0"/>
              <w:marBottom w:val="0"/>
              <w:divBdr>
                <w:top w:val="none" w:sz="0" w:space="0" w:color="auto"/>
                <w:left w:val="none" w:sz="0" w:space="0" w:color="auto"/>
                <w:bottom w:val="none" w:sz="0" w:space="0" w:color="auto"/>
                <w:right w:val="none" w:sz="0" w:space="0" w:color="auto"/>
              </w:divBdr>
            </w:div>
            <w:div w:id="994185273">
              <w:marLeft w:val="0"/>
              <w:marRight w:val="0"/>
              <w:marTop w:val="0"/>
              <w:marBottom w:val="0"/>
              <w:divBdr>
                <w:top w:val="none" w:sz="0" w:space="0" w:color="auto"/>
                <w:left w:val="none" w:sz="0" w:space="0" w:color="auto"/>
                <w:bottom w:val="none" w:sz="0" w:space="0" w:color="auto"/>
                <w:right w:val="none" w:sz="0" w:space="0" w:color="auto"/>
              </w:divBdr>
            </w:div>
            <w:div w:id="1037505051">
              <w:marLeft w:val="0"/>
              <w:marRight w:val="0"/>
              <w:marTop w:val="0"/>
              <w:marBottom w:val="0"/>
              <w:divBdr>
                <w:top w:val="none" w:sz="0" w:space="0" w:color="auto"/>
                <w:left w:val="none" w:sz="0" w:space="0" w:color="auto"/>
                <w:bottom w:val="none" w:sz="0" w:space="0" w:color="auto"/>
                <w:right w:val="none" w:sz="0" w:space="0" w:color="auto"/>
              </w:divBdr>
            </w:div>
            <w:div w:id="1169521242">
              <w:marLeft w:val="0"/>
              <w:marRight w:val="0"/>
              <w:marTop w:val="0"/>
              <w:marBottom w:val="0"/>
              <w:divBdr>
                <w:top w:val="none" w:sz="0" w:space="0" w:color="auto"/>
                <w:left w:val="none" w:sz="0" w:space="0" w:color="auto"/>
                <w:bottom w:val="none" w:sz="0" w:space="0" w:color="auto"/>
                <w:right w:val="none" w:sz="0" w:space="0" w:color="auto"/>
              </w:divBdr>
            </w:div>
            <w:div w:id="1269317918">
              <w:marLeft w:val="0"/>
              <w:marRight w:val="0"/>
              <w:marTop w:val="0"/>
              <w:marBottom w:val="0"/>
              <w:divBdr>
                <w:top w:val="none" w:sz="0" w:space="0" w:color="auto"/>
                <w:left w:val="none" w:sz="0" w:space="0" w:color="auto"/>
                <w:bottom w:val="none" w:sz="0" w:space="0" w:color="auto"/>
                <w:right w:val="none" w:sz="0" w:space="0" w:color="auto"/>
              </w:divBdr>
            </w:div>
            <w:div w:id="1715153948">
              <w:marLeft w:val="0"/>
              <w:marRight w:val="0"/>
              <w:marTop w:val="0"/>
              <w:marBottom w:val="0"/>
              <w:divBdr>
                <w:top w:val="none" w:sz="0" w:space="0" w:color="auto"/>
                <w:left w:val="none" w:sz="0" w:space="0" w:color="auto"/>
                <w:bottom w:val="none" w:sz="0" w:space="0" w:color="auto"/>
                <w:right w:val="none" w:sz="0" w:space="0" w:color="auto"/>
              </w:divBdr>
            </w:div>
            <w:div w:id="1734353601">
              <w:marLeft w:val="0"/>
              <w:marRight w:val="0"/>
              <w:marTop w:val="0"/>
              <w:marBottom w:val="0"/>
              <w:divBdr>
                <w:top w:val="none" w:sz="0" w:space="0" w:color="auto"/>
                <w:left w:val="none" w:sz="0" w:space="0" w:color="auto"/>
                <w:bottom w:val="none" w:sz="0" w:space="0" w:color="auto"/>
                <w:right w:val="none" w:sz="0" w:space="0" w:color="auto"/>
              </w:divBdr>
            </w:div>
            <w:div w:id="1776049782">
              <w:marLeft w:val="0"/>
              <w:marRight w:val="0"/>
              <w:marTop w:val="0"/>
              <w:marBottom w:val="0"/>
              <w:divBdr>
                <w:top w:val="none" w:sz="0" w:space="0" w:color="auto"/>
                <w:left w:val="none" w:sz="0" w:space="0" w:color="auto"/>
                <w:bottom w:val="none" w:sz="0" w:space="0" w:color="auto"/>
                <w:right w:val="none" w:sz="0" w:space="0" w:color="auto"/>
              </w:divBdr>
            </w:div>
            <w:div w:id="1880120260">
              <w:marLeft w:val="0"/>
              <w:marRight w:val="0"/>
              <w:marTop w:val="0"/>
              <w:marBottom w:val="0"/>
              <w:divBdr>
                <w:top w:val="none" w:sz="0" w:space="0" w:color="auto"/>
                <w:left w:val="none" w:sz="0" w:space="0" w:color="auto"/>
                <w:bottom w:val="none" w:sz="0" w:space="0" w:color="auto"/>
                <w:right w:val="none" w:sz="0" w:space="0" w:color="auto"/>
              </w:divBdr>
            </w:div>
            <w:div w:id="2030060541">
              <w:marLeft w:val="0"/>
              <w:marRight w:val="0"/>
              <w:marTop w:val="0"/>
              <w:marBottom w:val="0"/>
              <w:divBdr>
                <w:top w:val="none" w:sz="0" w:space="0" w:color="auto"/>
                <w:left w:val="none" w:sz="0" w:space="0" w:color="auto"/>
                <w:bottom w:val="none" w:sz="0" w:space="0" w:color="auto"/>
                <w:right w:val="none" w:sz="0" w:space="0" w:color="auto"/>
              </w:divBdr>
            </w:div>
            <w:div w:id="20408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6410">
      <w:bodyDiv w:val="1"/>
      <w:marLeft w:val="0"/>
      <w:marRight w:val="0"/>
      <w:marTop w:val="0"/>
      <w:marBottom w:val="0"/>
      <w:divBdr>
        <w:top w:val="none" w:sz="0" w:space="0" w:color="auto"/>
        <w:left w:val="none" w:sz="0" w:space="0" w:color="auto"/>
        <w:bottom w:val="none" w:sz="0" w:space="0" w:color="auto"/>
        <w:right w:val="none" w:sz="0" w:space="0" w:color="auto"/>
      </w:divBdr>
      <w:divsChild>
        <w:div w:id="9258490">
          <w:marLeft w:val="0"/>
          <w:marRight w:val="0"/>
          <w:marTop w:val="0"/>
          <w:marBottom w:val="0"/>
          <w:divBdr>
            <w:top w:val="none" w:sz="0" w:space="0" w:color="auto"/>
            <w:left w:val="none" w:sz="0" w:space="0" w:color="auto"/>
            <w:bottom w:val="none" w:sz="0" w:space="0" w:color="auto"/>
            <w:right w:val="none" w:sz="0" w:space="0" w:color="auto"/>
          </w:divBdr>
        </w:div>
        <w:div w:id="169564368">
          <w:marLeft w:val="0"/>
          <w:marRight w:val="0"/>
          <w:marTop w:val="0"/>
          <w:marBottom w:val="0"/>
          <w:divBdr>
            <w:top w:val="none" w:sz="0" w:space="0" w:color="auto"/>
            <w:left w:val="none" w:sz="0" w:space="0" w:color="auto"/>
            <w:bottom w:val="none" w:sz="0" w:space="0" w:color="auto"/>
            <w:right w:val="none" w:sz="0" w:space="0" w:color="auto"/>
          </w:divBdr>
        </w:div>
        <w:div w:id="184177869">
          <w:marLeft w:val="0"/>
          <w:marRight w:val="0"/>
          <w:marTop w:val="0"/>
          <w:marBottom w:val="0"/>
          <w:divBdr>
            <w:top w:val="none" w:sz="0" w:space="0" w:color="auto"/>
            <w:left w:val="none" w:sz="0" w:space="0" w:color="auto"/>
            <w:bottom w:val="none" w:sz="0" w:space="0" w:color="auto"/>
            <w:right w:val="none" w:sz="0" w:space="0" w:color="auto"/>
          </w:divBdr>
        </w:div>
        <w:div w:id="218398069">
          <w:marLeft w:val="0"/>
          <w:marRight w:val="0"/>
          <w:marTop w:val="0"/>
          <w:marBottom w:val="0"/>
          <w:divBdr>
            <w:top w:val="none" w:sz="0" w:space="0" w:color="auto"/>
            <w:left w:val="none" w:sz="0" w:space="0" w:color="auto"/>
            <w:bottom w:val="none" w:sz="0" w:space="0" w:color="auto"/>
            <w:right w:val="none" w:sz="0" w:space="0" w:color="auto"/>
          </w:divBdr>
        </w:div>
        <w:div w:id="240065397">
          <w:marLeft w:val="0"/>
          <w:marRight w:val="0"/>
          <w:marTop w:val="0"/>
          <w:marBottom w:val="0"/>
          <w:divBdr>
            <w:top w:val="none" w:sz="0" w:space="0" w:color="auto"/>
            <w:left w:val="none" w:sz="0" w:space="0" w:color="auto"/>
            <w:bottom w:val="none" w:sz="0" w:space="0" w:color="auto"/>
            <w:right w:val="none" w:sz="0" w:space="0" w:color="auto"/>
          </w:divBdr>
        </w:div>
        <w:div w:id="324095806">
          <w:marLeft w:val="0"/>
          <w:marRight w:val="0"/>
          <w:marTop w:val="0"/>
          <w:marBottom w:val="0"/>
          <w:divBdr>
            <w:top w:val="none" w:sz="0" w:space="0" w:color="auto"/>
            <w:left w:val="none" w:sz="0" w:space="0" w:color="auto"/>
            <w:bottom w:val="none" w:sz="0" w:space="0" w:color="auto"/>
            <w:right w:val="none" w:sz="0" w:space="0" w:color="auto"/>
          </w:divBdr>
        </w:div>
        <w:div w:id="370303510">
          <w:marLeft w:val="0"/>
          <w:marRight w:val="0"/>
          <w:marTop w:val="0"/>
          <w:marBottom w:val="0"/>
          <w:divBdr>
            <w:top w:val="none" w:sz="0" w:space="0" w:color="auto"/>
            <w:left w:val="none" w:sz="0" w:space="0" w:color="auto"/>
            <w:bottom w:val="none" w:sz="0" w:space="0" w:color="auto"/>
            <w:right w:val="none" w:sz="0" w:space="0" w:color="auto"/>
          </w:divBdr>
        </w:div>
        <w:div w:id="436292389">
          <w:marLeft w:val="0"/>
          <w:marRight w:val="0"/>
          <w:marTop w:val="0"/>
          <w:marBottom w:val="0"/>
          <w:divBdr>
            <w:top w:val="none" w:sz="0" w:space="0" w:color="auto"/>
            <w:left w:val="none" w:sz="0" w:space="0" w:color="auto"/>
            <w:bottom w:val="none" w:sz="0" w:space="0" w:color="auto"/>
            <w:right w:val="none" w:sz="0" w:space="0" w:color="auto"/>
          </w:divBdr>
        </w:div>
        <w:div w:id="465778177">
          <w:marLeft w:val="0"/>
          <w:marRight w:val="0"/>
          <w:marTop w:val="0"/>
          <w:marBottom w:val="0"/>
          <w:divBdr>
            <w:top w:val="none" w:sz="0" w:space="0" w:color="auto"/>
            <w:left w:val="none" w:sz="0" w:space="0" w:color="auto"/>
            <w:bottom w:val="none" w:sz="0" w:space="0" w:color="auto"/>
            <w:right w:val="none" w:sz="0" w:space="0" w:color="auto"/>
          </w:divBdr>
        </w:div>
        <w:div w:id="489295217">
          <w:marLeft w:val="0"/>
          <w:marRight w:val="0"/>
          <w:marTop w:val="0"/>
          <w:marBottom w:val="0"/>
          <w:divBdr>
            <w:top w:val="none" w:sz="0" w:space="0" w:color="auto"/>
            <w:left w:val="none" w:sz="0" w:space="0" w:color="auto"/>
            <w:bottom w:val="none" w:sz="0" w:space="0" w:color="auto"/>
            <w:right w:val="none" w:sz="0" w:space="0" w:color="auto"/>
          </w:divBdr>
          <w:divsChild>
            <w:div w:id="37973753">
              <w:marLeft w:val="0"/>
              <w:marRight w:val="0"/>
              <w:marTop w:val="0"/>
              <w:marBottom w:val="0"/>
              <w:divBdr>
                <w:top w:val="none" w:sz="0" w:space="0" w:color="auto"/>
                <w:left w:val="none" w:sz="0" w:space="0" w:color="auto"/>
                <w:bottom w:val="none" w:sz="0" w:space="0" w:color="auto"/>
                <w:right w:val="none" w:sz="0" w:space="0" w:color="auto"/>
              </w:divBdr>
            </w:div>
            <w:div w:id="186404977">
              <w:marLeft w:val="0"/>
              <w:marRight w:val="0"/>
              <w:marTop w:val="0"/>
              <w:marBottom w:val="0"/>
              <w:divBdr>
                <w:top w:val="none" w:sz="0" w:space="0" w:color="auto"/>
                <w:left w:val="none" w:sz="0" w:space="0" w:color="auto"/>
                <w:bottom w:val="none" w:sz="0" w:space="0" w:color="auto"/>
                <w:right w:val="none" w:sz="0" w:space="0" w:color="auto"/>
              </w:divBdr>
            </w:div>
            <w:div w:id="190606151">
              <w:marLeft w:val="0"/>
              <w:marRight w:val="0"/>
              <w:marTop w:val="0"/>
              <w:marBottom w:val="0"/>
              <w:divBdr>
                <w:top w:val="none" w:sz="0" w:space="0" w:color="auto"/>
                <w:left w:val="none" w:sz="0" w:space="0" w:color="auto"/>
                <w:bottom w:val="none" w:sz="0" w:space="0" w:color="auto"/>
                <w:right w:val="none" w:sz="0" w:space="0" w:color="auto"/>
              </w:divBdr>
            </w:div>
            <w:div w:id="326061632">
              <w:marLeft w:val="0"/>
              <w:marRight w:val="0"/>
              <w:marTop w:val="0"/>
              <w:marBottom w:val="0"/>
              <w:divBdr>
                <w:top w:val="none" w:sz="0" w:space="0" w:color="auto"/>
                <w:left w:val="none" w:sz="0" w:space="0" w:color="auto"/>
                <w:bottom w:val="none" w:sz="0" w:space="0" w:color="auto"/>
                <w:right w:val="none" w:sz="0" w:space="0" w:color="auto"/>
              </w:divBdr>
            </w:div>
            <w:div w:id="426536832">
              <w:marLeft w:val="0"/>
              <w:marRight w:val="0"/>
              <w:marTop w:val="0"/>
              <w:marBottom w:val="0"/>
              <w:divBdr>
                <w:top w:val="none" w:sz="0" w:space="0" w:color="auto"/>
                <w:left w:val="none" w:sz="0" w:space="0" w:color="auto"/>
                <w:bottom w:val="none" w:sz="0" w:space="0" w:color="auto"/>
                <w:right w:val="none" w:sz="0" w:space="0" w:color="auto"/>
              </w:divBdr>
            </w:div>
            <w:div w:id="618413112">
              <w:marLeft w:val="0"/>
              <w:marRight w:val="0"/>
              <w:marTop w:val="0"/>
              <w:marBottom w:val="0"/>
              <w:divBdr>
                <w:top w:val="none" w:sz="0" w:space="0" w:color="auto"/>
                <w:left w:val="none" w:sz="0" w:space="0" w:color="auto"/>
                <w:bottom w:val="none" w:sz="0" w:space="0" w:color="auto"/>
                <w:right w:val="none" w:sz="0" w:space="0" w:color="auto"/>
              </w:divBdr>
            </w:div>
            <w:div w:id="687757900">
              <w:marLeft w:val="0"/>
              <w:marRight w:val="0"/>
              <w:marTop w:val="0"/>
              <w:marBottom w:val="0"/>
              <w:divBdr>
                <w:top w:val="none" w:sz="0" w:space="0" w:color="auto"/>
                <w:left w:val="none" w:sz="0" w:space="0" w:color="auto"/>
                <w:bottom w:val="none" w:sz="0" w:space="0" w:color="auto"/>
                <w:right w:val="none" w:sz="0" w:space="0" w:color="auto"/>
              </w:divBdr>
            </w:div>
            <w:div w:id="779882330">
              <w:marLeft w:val="0"/>
              <w:marRight w:val="0"/>
              <w:marTop w:val="0"/>
              <w:marBottom w:val="0"/>
              <w:divBdr>
                <w:top w:val="none" w:sz="0" w:space="0" w:color="auto"/>
                <w:left w:val="none" w:sz="0" w:space="0" w:color="auto"/>
                <w:bottom w:val="none" w:sz="0" w:space="0" w:color="auto"/>
                <w:right w:val="none" w:sz="0" w:space="0" w:color="auto"/>
              </w:divBdr>
            </w:div>
            <w:div w:id="827982900">
              <w:marLeft w:val="0"/>
              <w:marRight w:val="0"/>
              <w:marTop w:val="0"/>
              <w:marBottom w:val="0"/>
              <w:divBdr>
                <w:top w:val="none" w:sz="0" w:space="0" w:color="auto"/>
                <w:left w:val="none" w:sz="0" w:space="0" w:color="auto"/>
                <w:bottom w:val="none" w:sz="0" w:space="0" w:color="auto"/>
                <w:right w:val="none" w:sz="0" w:space="0" w:color="auto"/>
              </w:divBdr>
            </w:div>
            <w:div w:id="923147196">
              <w:marLeft w:val="0"/>
              <w:marRight w:val="0"/>
              <w:marTop w:val="0"/>
              <w:marBottom w:val="0"/>
              <w:divBdr>
                <w:top w:val="none" w:sz="0" w:space="0" w:color="auto"/>
                <w:left w:val="none" w:sz="0" w:space="0" w:color="auto"/>
                <w:bottom w:val="none" w:sz="0" w:space="0" w:color="auto"/>
                <w:right w:val="none" w:sz="0" w:space="0" w:color="auto"/>
              </w:divBdr>
            </w:div>
            <w:div w:id="942879954">
              <w:marLeft w:val="0"/>
              <w:marRight w:val="0"/>
              <w:marTop w:val="0"/>
              <w:marBottom w:val="0"/>
              <w:divBdr>
                <w:top w:val="none" w:sz="0" w:space="0" w:color="auto"/>
                <w:left w:val="none" w:sz="0" w:space="0" w:color="auto"/>
                <w:bottom w:val="none" w:sz="0" w:space="0" w:color="auto"/>
                <w:right w:val="none" w:sz="0" w:space="0" w:color="auto"/>
              </w:divBdr>
            </w:div>
            <w:div w:id="947860072">
              <w:marLeft w:val="0"/>
              <w:marRight w:val="0"/>
              <w:marTop w:val="0"/>
              <w:marBottom w:val="0"/>
              <w:divBdr>
                <w:top w:val="none" w:sz="0" w:space="0" w:color="auto"/>
                <w:left w:val="none" w:sz="0" w:space="0" w:color="auto"/>
                <w:bottom w:val="none" w:sz="0" w:space="0" w:color="auto"/>
                <w:right w:val="none" w:sz="0" w:space="0" w:color="auto"/>
              </w:divBdr>
            </w:div>
            <w:div w:id="1021006081">
              <w:marLeft w:val="0"/>
              <w:marRight w:val="0"/>
              <w:marTop w:val="0"/>
              <w:marBottom w:val="0"/>
              <w:divBdr>
                <w:top w:val="none" w:sz="0" w:space="0" w:color="auto"/>
                <w:left w:val="none" w:sz="0" w:space="0" w:color="auto"/>
                <w:bottom w:val="none" w:sz="0" w:space="0" w:color="auto"/>
                <w:right w:val="none" w:sz="0" w:space="0" w:color="auto"/>
              </w:divBdr>
            </w:div>
            <w:div w:id="1176921493">
              <w:marLeft w:val="0"/>
              <w:marRight w:val="0"/>
              <w:marTop w:val="0"/>
              <w:marBottom w:val="0"/>
              <w:divBdr>
                <w:top w:val="none" w:sz="0" w:space="0" w:color="auto"/>
                <w:left w:val="none" w:sz="0" w:space="0" w:color="auto"/>
                <w:bottom w:val="none" w:sz="0" w:space="0" w:color="auto"/>
                <w:right w:val="none" w:sz="0" w:space="0" w:color="auto"/>
              </w:divBdr>
            </w:div>
            <w:div w:id="1238204229">
              <w:marLeft w:val="0"/>
              <w:marRight w:val="0"/>
              <w:marTop w:val="0"/>
              <w:marBottom w:val="0"/>
              <w:divBdr>
                <w:top w:val="none" w:sz="0" w:space="0" w:color="auto"/>
                <w:left w:val="none" w:sz="0" w:space="0" w:color="auto"/>
                <w:bottom w:val="none" w:sz="0" w:space="0" w:color="auto"/>
                <w:right w:val="none" w:sz="0" w:space="0" w:color="auto"/>
              </w:divBdr>
            </w:div>
            <w:div w:id="1516385840">
              <w:marLeft w:val="0"/>
              <w:marRight w:val="0"/>
              <w:marTop w:val="0"/>
              <w:marBottom w:val="0"/>
              <w:divBdr>
                <w:top w:val="none" w:sz="0" w:space="0" w:color="auto"/>
                <w:left w:val="none" w:sz="0" w:space="0" w:color="auto"/>
                <w:bottom w:val="none" w:sz="0" w:space="0" w:color="auto"/>
                <w:right w:val="none" w:sz="0" w:space="0" w:color="auto"/>
              </w:divBdr>
            </w:div>
            <w:div w:id="1663509856">
              <w:marLeft w:val="0"/>
              <w:marRight w:val="0"/>
              <w:marTop w:val="0"/>
              <w:marBottom w:val="0"/>
              <w:divBdr>
                <w:top w:val="none" w:sz="0" w:space="0" w:color="auto"/>
                <w:left w:val="none" w:sz="0" w:space="0" w:color="auto"/>
                <w:bottom w:val="none" w:sz="0" w:space="0" w:color="auto"/>
                <w:right w:val="none" w:sz="0" w:space="0" w:color="auto"/>
              </w:divBdr>
            </w:div>
            <w:div w:id="1669216189">
              <w:marLeft w:val="0"/>
              <w:marRight w:val="0"/>
              <w:marTop w:val="0"/>
              <w:marBottom w:val="0"/>
              <w:divBdr>
                <w:top w:val="none" w:sz="0" w:space="0" w:color="auto"/>
                <w:left w:val="none" w:sz="0" w:space="0" w:color="auto"/>
                <w:bottom w:val="none" w:sz="0" w:space="0" w:color="auto"/>
                <w:right w:val="none" w:sz="0" w:space="0" w:color="auto"/>
              </w:divBdr>
            </w:div>
            <w:div w:id="1742409623">
              <w:marLeft w:val="0"/>
              <w:marRight w:val="0"/>
              <w:marTop w:val="0"/>
              <w:marBottom w:val="0"/>
              <w:divBdr>
                <w:top w:val="none" w:sz="0" w:space="0" w:color="auto"/>
                <w:left w:val="none" w:sz="0" w:space="0" w:color="auto"/>
                <w:bottom w:val="none" w:sz="0" w:space="0" w:color="auto"/>
                <w:right w:val="none" w:sz="0" w:space="0" w:color="auto"/>
              </w:divBdr>
            </w:div>
            <w:div w:id="1950812345">
              <w:marLeft w:val="0"/>
              <w:marRight w:val="0"/>
              <w:marTop w:val="0"/>
              <w:marBottom w:val="0"/>
              <w:divBdr>
                <w:top w:val="none" w:sz="0" w:space="0" w:color="auto"/>
                <w:left w:val="none" w:sz="0" w:space="0" w:color="auto"/>
                <w:bottom w:val="none" w:sz="0" w:space="0" w:color="auto"/>
                <w:right w:val="none" w:sz="0" w:space="0" w:color="auto"/>
              </w:divBdr>
            </w:div>
          </w:divsChild>
        </w:div>
        <w:div w:id="758871901">
          <w:marLeft w:val="0"/>
          <w:marRight w:val="0"/>
          <w:marTop w:val="0"/>
          <w:marBottom w:val="0"/>
          <w:divBdr>
            <w:top w:val="none" w:sz="0" w:space="0" w:color="auto"/>
            <w:left w:val="none" w:sz="0" w:space="0" w:color="auto"/>
            <w:bottom w:val="none" w:sz="0" w:space="0" w:color="auto"/>
            <w:right w:val="none" w:sz="0" w:space="0" w:color="auto"/>
          </w:divBdr>
        </w:div>
        <w:div w:id="767426919">
          <w:marLeft w:val="0"/>
          <w:marRight w:val="0"/>
          <w:marTop w:val="0"/>
          <w:marBottom w:val="0"/>
          <w:divBdr>
            <w:top w:val="none" w:sz="0" w:space="0" w:color="auto"/>
            <w:left w:val="none" w:sz="0" w:space="0" w:color="auto"/>
            <w:bottom w:val="none" w:sz="0" w:space="0" w:color="auto"/>
            <w:right w:val="none" w:sz="0" w:space="0" w:color="auto"/>
          </w:divBdr>
        </w:div>
        <w:div w:id="814882750">
          <w:marLeft w:val="0"/>
          <w:marRight w:val="0"/>
          <w:marTop w:val="0"/>
          <w:marBottom w:val="0"/>
          <w:divBdr>
            <w:top w:val="none" w:sz="0" w:space="0" w:color="auto"/>
            <w:left w:val="none" w:sz="0" w:space="0" w:color="auto"/>
            <w:bottom w:val="none" w:sz="0" w:space="0" w:color="auto"/>
            <w:right w:val="none" w:sz="0" w:space="0" w:color="auto"/>
          </w:divBdr>
        </w:div>
        <w:div w:id="843516986">
          <w:marLeft w:val="0"/>
          <w:marRight w:val="0"/>
          <w:marTop w:val="0"/>
          <w:marBottom w:val="0"/>
          <w:divBdr>
            <w:top w:val="none" w:sz="0" w:space="0" w:color="auto"/>
            <w:left w:val="none" w:sz="0" w:space="0" w:color="auto"/>
            <w:bottom w:val="none" w:sz="0" w:space="0" w:color="auto"/>
            <w:right w:val="none" w:sz="0" w:space="0" w:color="auto"/>
          </w:divBdr>
        </w:div>
        <w:div w:id="908148846">
          <w:marLeft w:val="0"/>
          <w:marRight w:val="0"/>
          <w:marTop w:val="0"/>
          <w:marBottom w:val="0"/>
          <w:divBdr>
            <w:top w:val="none" w:sz="0" w:space="0" w:color="auto"/>
            <w:left w:val="none" w:sz="0" w:space="0" w:color="auto"/>
            <w:bottom w:val="none" w:sz="0" w:space="0" w:color="auto"/>
            <w:right w:val="none" w:sz="0" w:space="0" w:color="auto"/>
          </w:divBdr>
        </w:div>
        <w:div w:id="1100106841">
          <w:marLeft w:val="0"/>
          <w:marRight w:val="0"/>
          <w:marTop w:val="0"/>
          <w:marBottom w:val="0"/>
          <w:divBdr>
            <w:top w:val="none" w:sz="0" w:space="0" w:color="auto"/>
            <w:left w:val="none" w:sz="0" w:space="0" w:color="auto"/>
            <w:bottom w:val="none" w:sz="0" w:space="0" w:color="auto"/>
            <w:right w:val="none" w:sz="0" w:space="0" w:color="auto"/>
          </w:divBdr>
        </w:div>
        <w:div w:id="1111314474">
          <w:marLeft w:val="0"/>
          <w:marRight w:val="0"/>
          <w:marTop w:val="0"/>
          <w:marBottom w:val="0"/>
          <w:divBdr>
            <w:top w:val="none" w:sz="0" w:space="0" w:color="auto"/>
            <w:left w:val="none" w:sz="0" w:space="0" w:color="auto"/>
            <w:bottom w:val="none" w:sz="0" w:space="0" w:color="auto"/>
            <w:right w:val="none" w:sz="0" w:space="0" w:color="auto"/>
          </w:divBdr>
        </w:div>
        <w:div w:id="1146240514">
          <w:marLeft w:val="0"/>
          <w:marRight w:val="0"/>
          <w:marTop w:val="0"/>
          <w:marBottom w:val="0"/>
          <w:divBdr>
            <w:top w:val="none" w:sz="0" w:space="0" w:color="auto"/>
            <w:left w:val="none" w:sz="0" w:space="0" w:color="auto"/>
            <w:bottom w:val="none" w:sz="0" w:space="0" w:color="auto"/>
            <w:right w:val="none" w:sz="0" w:space="0" w:color="auto"/>
          </w:divBdr>
        </w:div>
        <w:div w:id="1169448076">
          <w:marLeft w:val="0"/>
          <w:marRight w:val="0"/>
          <w:marTop w:val="0"/>
          <w:marBottom w:val="0"/>
          <w:divBdr>
            <w:top w:val="none" w:sz="0" w:space="0" w:color="auto"/>
            <w:left w:val="none" w:sz="0" w:space="0" w:color="auto"/>
            <w:bottom w:val="none" w:sz="0" w:space="0" w:color="auto"/>
            <w:right w:val="none" w:sz="0" w:space="0" w:color="auto"/>
          </w:divBdr>
        </w:div>
        <w:div w:id="1172598197">
          <w:marLeft w:val="0"/>
          <w:marRight w:val="0"/>
          <w:marTop w:val="0"/>
          <w:marBottom w:val="0"/>
          <w:divBdr>
            <w:top w:val="none" w:sz="0" w:space="0" w:color="auto"/>
            <w:left w:val="none" w:sz="0" w:space="0" w:color="auto"/>
            <w:bottom w:val="none" w:sz="0" w:space="0" w:color="auto"/>
            <w:right w:val="none" w:sz="0" w:space="0" w:color="auto"/>
          </w:divBdr>
        </w:div>
        <w:div w:id="1183977718">
          <w:marLeft w:val="0"/>
          <w:marRight w:val="0"/>
          <w:marTop w:val="0"/>
          <w:marBottom w:val="0"/>
          <w:divBdr>
            <w:top w:val="none" w:sz="0" w:space="0" w:color="auto"/>
            <w:left w:val="none" w:sz="0" w:space="0" w:color="auto"/>
            <w:bottom w:val="none" w:sz="0" w:space="0" w:color="auto"/>
            <w:right w:val="none" w:sz="0" w:space="0" w:color="auto"/>
          </w:divBdr>
        </w:div>
        <w:div w:id="1246844520">
          <w:marLeft w:val="0"/>
          <w:marRight w:val="0"/>
          <w:marTop w:val="0"/>
          <w:marBottom w:val="0"/>
          <w:divBdr>
            <w:top w:val="none" w:sz="0" w:space="0" w:color="auto"/>
            <w:left w:val="none" w:sz="0" w:space="0" w:color="auto"/>
            <w:bottom w:val="none" w:sz="0" w:space="0" w:color="auto"/>
            <w:right w:val="none" w:sz="0" w:space="0" w:color="auto"/>
          </w:divBdr>
        </w:div>
        <w:div w:id="1256816459">
          <w:marLeft w:val="0"/>
          <w:marRight w:val="0"/>
          <w:marTop w:val="0"/>
          <w:marBottom w:val="0"/>
          <w:divBdr>
            <w:top w:val="none" w:sz="0" w:space="0" w:color="auto"/>
            <w:left w:val="none" w:sz="0" w:space="0" w:color="auto"/>
            <w:bottom w:val="none" w:sz="0" w:space="0" w:color="auto"/>
            <w:right w:val="none" w:sz="0" w:space="0" w:color="auto"/>
          </w:divBdr>
        </w:div>
        <w:div w:id="1339575807">
          <w:marLeft w:val="0"/>
          <w:marRight w:val="0"/>
          <w:marTop w:val="0"/>
          <w:marBottom w:val="0"/>
          <w:divBdr>
            <w:top w:val="none" w:sz="0" w:space="0" w:color="auto"/>
            <w:left w:val="none" w:sz="0" w:space="0" w:color="auto"/>
            <w:bottom w:val="none" w:sz="0" w:space="0" w:color="auto"/>
            <w:right w:val="none" w:sz="0" w:space="0" w:color="auto"/>
          </w:divBdr>
        </w:div>
        <w:div w:id="1388144276">
          <w:marLeft w:val="0"/>
          <w:marRight w:val="0"/>
          <w:marTop w:val="0"/>
          <w:marBottom w:val="0"/>
          <w:divBdr>
            <w:top w:val="none" w:sz="0" w:space="0" w:color="auto"/>
            <w:left w:val="none" w:sz="0" w:space="0" w:color="auto"/>
            <w:bottom w:val="none" w:sz="0" w:space="0" w:color="auto"/>
            <w:right w:val="none" w:sz="0" w:space="0" w:color="auto"/>
          </w:divBdr>
        </w:div>
        <w:div w:id="1393192696">
          <w:marLeft w:val="0"/>
          <w:marRight w:val="0"/>
          <w:marTop w:val="0"/>
          <w:marBottom w:val="0"/>
          <w:divBdr>
            <w:top w:val="none" w:sz="0" w:space="0" w:color="auto"/>
            <w:left w:val="none" w:sz="0" w:space="0" w:color="auto"/>
            <w:bottom w:val="none" w:sz="0" w:space="0" w:color="auto"/>
            <w:right w:val="none" w:sz="0" w:space="0" w:color="auto"/>
          </w:divBdr>
        </w:div>
        <w:div w:id="1409112559">
          <w:marLeft w:val="0"/>
          <w:marRight w:val="0"/>
          <w:marTop w:val="0"/>
          <w:marBottom w:val="0"/>
          <w:divBdr>
            <w:top w:val="none" w:sz="0" w:space="0" w:color="auto"/>
            <w:left w:val="none" w:sz="0" w:space="0" w:color="auto"/>
            <w:bottom w:val="none" w:sz="0" w:space="0" w:color="auto"/>
            <w:right w:val="none" w:sz="0" w:space="0" w:color="auto"/>
          </w:divBdr>
        </w:div>
        <w:div w:id="1439787806">
          <w:marLeft w:val="0"/>
          <w:marRight w:val="0"/>
          <w:marTop w:val="0"/>
          <w:marBottom w:val="0"/>
          <w:divBdr>
            <w:top w:val="none" w:sz="0" w:space="0" w:color="auto"/>
            <w:left w:val="none" w:sz="0" w:space="0" w:color="auto"/>
            <w:bottom w:val="none" w:sz="0" w:space="0" w:color="auto"/>
            <w:right w:val="none" w:sz="0" w:space="0" w:color="auto"/>
          </w:divBdr>
        </w:div>
        <w:div w:id="1472014798">
          <w:marLeft w:val="0"/>
          <w:marRight w:val="0"/>
          <w:marTop w:val="0"/>
          <w:marBottom w:val="0"/>
          <w:divBdr>
            <w:top w:val="none" w:sz="0" w:space="0" w:color="auto"/>
            <w:left w:val="none" w:sz="0" w:space="0" w:color="auto"/>
            <w:bottom w:val="none" w:sz="0" w:space="0" w:color="auto"/>
            <w:right w:val="none" w:sz="0" w:space="0" w:color="auto"/>
          </w:divBdr>
        </w:div>
        <w:div w:id="1484662381">
          <w:marLeft w:val="0"/>
          <w:marRight w:val="0"/>
          <w:marTop w:val="0"/>
          <w:marBottom w:val="0"/>
          <w:divBdr>
            <w:top w:val="none" w:sz="0" w:space="0" w:color="auto"/>
            <w:left w:val="none" w:sz="0" w:space="0" w:color="auto"/>
            <w:bottom w:val="none" w:sz="0" w:space="0" w:color="auto"/>
            <w:right w:val="none" w:sz="0" w:space="0" w:color="auto"/>
          </w:divBdr>
        </w:div>
        <w:div w:id="1488783919">
          <w:marLeft w:val="0"/>
          <w:marRight w:val="0"/>
          <w:marTop w:val="0"/>
          <w:marBottom w:val="0"/>
          <w:divBdr>
            <w:top w:val="none" w:sz="0" w:space="0" w:color="auto"/>
            <w:left w:val="none" w:sz="0" w:space="0" w:color="auto"/>
            <w:bottom w:val="none" w:sz="0" w:space="0" w:color="auto"/>
            <w:right w:val="none" w:sz="0" w:space="0" w:color="auto"/>
          </w:divBdr>
        </w:div>
        <w:div w:id="1529025202">
          <w:marLeft w:val="0"/>
          <w:marRight w:val="0"/>
          <w:marTop w:val="0"/>
          <w:marBottom w:val="0"/>
          <w:divBdr>
            <w:top w:val="none" w:sz="0" w:space="0" w:color="auto"/>
            <w:left w:val="none" w:sz="0" w:space="0" w:color="auto"/>
            <w:bottom w:val="none" w:sz="0" w:space="0" w:color="auto"/>
            <w:right w:val="none" w:sz="0" w:space="0" w:color="auto"/>
          </w:divBdr>
          <w:divsChild>
            <w:div w:id="138233720">
              <w:marLeft w:val="0"/>
              <w:marRight w:val="0"/>
              <w:marTop w:val="0"/>
              <w:marBottom w:val="0"/>
              <w:divBdr>
                <w:top w:val="none" w:sz="0" w:space="0" w:color="auto"/>
                <w:left w:val="none" w:sz="0" w:space="0" w:color="auto"/>
                <w:bottom w:val="none" w:sz="0" w:space="0" w:color="auto"/>
                <w:right w:val="none" w:sz="0" w:space="0" w:color="auto"/>
              </w:divBdr>
            </w:div>
            <w:div w:id="293488440">
              <w:marLeft w:val="0"/>
              <w:marRight w:val="0"/>
              <w:marTop w:val="0"/>
              <w:marBottom w:val="0"/>
              <w:divBdr>
                <w:top w:val="none" w:sz="0" w:space="0" w:color="auto"/>
                <w:left w:val="none" w:sz="0" w:space="0" w:color="auto"/>
                <w:bottom w:val="none" w:sz="0" w:space="0" w:color="auto"/>
                <w:right w:val="none" w:sz="0" w:space="0" w:color="auto"/>
              </w:divBdr>
            </w:div>
            <w:div w:id="562716771">
              <w:marLeft w:val="0"/>
              <w:marRight w:val="0"/>
              <w:marTop w:val="0"/>
              <w:marBottom w:val="0"/>
              <w:divBdr>
                <w:top w:val="none" w:sz="0" w:space="0" w:color="auto"/>
                <w:left w:val="none" w:sz="0" w:space="0" w:color="auto"/>
                <w:bottom w:val="none" w:sz="0" w:space="0" w:color="auto"/>
                <w:right w:val="none" w:sz="0" w:space="0" w:color="auto"/>
              </w:divBdr>
            </w:div>
            <w:div w:id="666372271">
              <w:marLeft w:val="0"/>
              <w:marRight w:val="0"/>
              <w:marTop w:val="0"/>
              <w:marBottom w:val="0"/>
              <w:divBdr>
                <w:top w:val="none" w:sz="0" w:space="0" w:color="auto"/>
                <w:left w:val="none" w:sz="0" w:space="0" w:color="auto"/>
                <w:bottom w:val="none" w:sz="0" w:space="0" w:color="auto"/>
                <w:right w:val="none" w:sz="0" w:space="0" w:color="auto"/>
              </w:divBdr>
            </w:div>
            <w:div w:id="666448044">
              <w:marLeft w:val="0"/>
              <w:marRight w:val="0"/>
              <w:marTop w:val="0"/>
              <w:marBottom w:val="0"/>
              <w:divBdr>
                <w:top w:val="none" w:sz="0" w:space="0" w:color="auto"/>
                <w:left w:val="none" w:sz="0" w:space="0" w:color="auto"/>
                <w:bottom w:val="none" w:sz="0" w:space="0" w:color="auto"/>
                <w:right w:val="none" w:sz="0" w:space="0" w:color="auto"/>
              </w:divBdr>
            </w:div>
            <w:div w:id="693265576">
              <w:marLeft w:val="0"/>
              <w:marRight w:val="0"/>
              <w:marTop w:val="0"/>
              <w:marBottom w:val="0"/>
              <w:divBdr>
                <w:top w:val="none" w:sz="0" w:space="0" w:color="auto"/>
                <w:left w:val="none" w:sz="0" w:space="0" w:color="auto"/>
                <w:bottom w:val="none" w:sz="0" w:space="0" w:color="auto"/>
                <w:right w:val="none" w:sz="0" w:space="0" w:color="auto"/>
              </w:divBdr>
            </w:div>
            <w:div w:id="769619189">
              <w:marLeft w:val="0"/>
              <w:marRight w:val="0"/>
              <w:marTop w:val="0"/>
              <w:marBottom w:val="0"/>
              <w:divBdr>
                <w:top w:val="none" w:sz="0" w:space="0" w:color="auto"/>
                <w:left w:val="none" w:sz="0" w:space="0" w:color="auto"/>
                <w:bottom w:val="none" w:sz="0" w:space="0" w:color="auto"/>
                <w:right w:val="none" w:sz="0" w:space="0" w:color="auto"/>
              </w:divBdr>
            </w:div>
            <w:div w:id="851844220">
              <w:marLeft w:val="0"/>
              <w:marRight w:val="0"/>
              <w:marTop w:val="0"/>
              <w:marBottom w:val="0"/>
              <w:divBdr>
                <w:top w:val="none" w:sz="0" w:space="0" w:color="auto"/>
                <w:left w:val="none" w:sz="0" w:space="0" w:color="auto"/>
                <w:bottom w:val="none" w:sz="0" w:space="0" w:color="auto"/>
                <w:right w:val="none" w:sz="0" w:space="0" w:color="auto"/>
              </w:divBdr>
            </w:div>
            <w:div w:id="1191410604">
              <w:marLeft w:val="0"/>
              <w:marRight w:val="0"/>
              <w:marTop w:val="0"/>
              <w:marBottom w:val="0"/>
              <w:divBdr>
                <w:top w:val="none" w:sz="0" w:space="0" w:color="auto"/>
                <w:left w:val="none" w:sz="0" w:space="0" w:color="auto"/>
                <w:bottom w:val="none" w:sz="0" w:space="0" w:color="auto"/>
                <w:right w:val="none" w:sz="0" w:space="0" w:color="auto"/>
              </w:divBdr>
            </w:div>
            <w:div w:id="1206453482">
              <w:marLeft w:val="0"/>
              <w:marRight w:val="0"/>
              <w:marTop w:val="0"/>
              <w:marBottom w:val="0"/>
              <w:divBdr>
                <w:top w:val="none" w:sz="0" w:space="0" w:color="auto"/>
                <w:left w:val="none" w:sz="0" w:space="0" w:color="auto"/>
                <w:bottom w:val="none" w:sz="0" w:space="0" w:color="auto"/>
                <w:right w:val="none" w:sz="0" w:space="0" w:color="auto"/>
              </w:divBdr>
            </w:div>
            <w:div w:id="1262179719">
              <w:marLeft w:val="0"/>
              <w:marRight w:val="0"/>
              <w:marTop w:val="0"/>
              <w:marBottom w:val="0"/>
              <w:divBdr>
                <w:top w:val="none" w:sz="0" w:space="0" w:color="auto"/>
                <w:left w:val="none" w:sz="0" w:space="0" w:color="auto"/>
                <w:bottom w:val="none" w:sz="0" w:space="0" w:color="auto"/>
                <w:right w:val="none" w:sz="0" w:space="0" w:color="auto"/>
              </w:divBdr>
            </w:div>
            <w:div w:id="1280186510">
              <w:marLeft w:val="0"/>
              <w:marRight w:val="0"/>
              <w:marTop w:val="0"/>
              <w:marBottom w:val="0"/>
              <w:divBdr>
                <w:top w:val="none" w:sz="0" w:space="0" w:color="auto"/>
                <w:left w:val="none" w:sz="0" w:space="0" w:color="auto"/>
                <w:bottom w:val="none" w:sz="0" w:space="0" w:color="auto"/>
                <w:right w:val="none" w:sz="0" w:space="0" w:color="auto"/>
              </w:divBdr>
            </w:div>
            <w:div w:id="1322582332">
              <w:marLeft w:val="0"/>
              <w:marRight w:val="0"/>
              <w:marTop w:val="0"/>
              <w:marBottom w:val="0"/>
              <w:divBdr>
                <w:top w:val="none" w:sz="0" w:space="0" w:color="auto"/>
                <w:left w:val="none" w:sz="0" w:space="0" w:color="auto"/>
                <w:bottom w:val="none" w:sz="0" w:space="0" w:color="auto"/>
                <w:right w:val="none" w:sz="0" w:space="0" w:color="auto"/>
              </w:divBdr>
            </w:div>
            <w:div w:id="1402364065">
              <w:marLeft w:val="0"/>
              <w:marRight w:val="0"/>
              <w:marTop w:val="0"/>
              <w:marBottom w:val="0"/>
              <w:divBdr>
                <w:top w:val="none" w:sz="0" w:space="0" w:color="auto"/>
                <w:left w:val="none" w:sz="0" w:space="0" w:color="auto"/>
                <w:bottom w:val="none" w:sz="0" w:space="0" w:color="auto"/>
                <w:right w:val="none" w:sz="0" w:space="0" w:color="auto"/>
              </w:divBdr>
            </w:div>
            <w:div w:id="1440369831">
              <w:marLeft w:val="0"/>
              <w:marRight w:val="0"/>
              <w:marTop w:val="0"/>
              <w:marBottom w:val="0"/>
              <w:divBdr>
                <w:top w:val="none" w:sz="0" w:space="0" w:color="auto"/>
                <w:left w:val="none" w:sz="0" w:space="0" w:color="auto"/>
                <w:bottom w:val="none" w:sz="0" w:space="0" w:color="auto"/>
                <w:right w:val="none" w:sz="0" w:space="0" w:color="auto"/>
              </w:divBdr>
            </w:div>
            <w:div w:id="1866020480">
              <w:marLeft w:val="0"/>
              <w:marRight w:val="0"/>
              <w:marTop w:val="0"/>
              <w:marBottom w:val="0"/>
              <w:divBdr>
                <w:top w:val="none" w:sz="0" w:space="0" w:color="auto"/>
                <w:left w:val="none" w:sz="0" w:space="0" w:color="auto"/>
                <w:bottom w:val="none" w:sz="0" w:space="0" w:color="auto"/>
                <w:right w:val="none" w:sz="0" w:space="0" w:color="auto"/>
              </w:divBdr>
            </w:div>
            <w:div w:id="1900283055">
              <w:marLeft w:val="0"/>
              <w:marRight w:val="0"/>
              <w:marTop w:val="0"/>
              <w:marBottom w:val="0"/>
              <w:divBdr>
                <w:top w:val="none" w:sz="0" w:space="0" w:color="auto"/>
                <w:left w:val="none" w:sz="0" w:space="0" w:color="auto"/>
                <w:bottom w:val="none" w:sz="0" w:space="0" w:color="auto"/>
                <w:right w:val="none" w:sz="0" w:space="0" w:color="auto"/>
              </w:divBdr>
            </w:div>
            <w:div w:id="1905486622">
              <w:marLeft w:val="0"/>
              <w:marRight w:val="0"/>
              <w:marTop w:val="0"/>
              <w:marBottom w:val="0"/>
              <w:divBdr>
                <w:top w:val="none" w:sz="0" w:space="0" w:color="auto"/>
                <w:left w:val="none" w:sz="0" w:space="0" w:color="auto"/>
                <w:bottom w:val="none" w:sz="0" w:space="0" w:color="auto"/>
                <w:right w:val="none" w:sz="0" w:space="0" w:color="auto"/>
              </w:divBdr>
            </w:div>
            <w:div w:id="1978144578">
              <w:marLeft w:val="0"/>
              <w:marRight w:val="0"/>
              <w:marTop w:val="0"/>
              <w:marBottom w:val="0"/>
              <w:divBdr>
                <w:top w:val="none" w:sz="0" w:space="0" w:color="auto"/>
                <w:left w:val="none" w:sz="0" w:space="0" w:color="auto"/>
                <w:bottom w:val="none" w:sz="0" w:space="0" w:color="auto"/>
                <w:right w:val="none" w:sz="0" w:space="0" w:color="auto"/>
              </w:divBdr>
            </w:div>
            <w:div w:id="2094735992">
              <w:marLeft w:val="0"/>
              <w:marRight w:val="0"/>
              <w:marTop w:val="0"/>
              <w:marBottom w:val="0"/>
              <w:divBdr>
                <w:top w:val="none" w:sz="0" w:space="0" w:color="auto"/>
                <w:left w:val="none" w:sz="0" w:space="0" w:color="auto"/>
                <w:bottom w:val="none" w:sz="0" w:space="0" w:color="auto"/>
                <w:right w:val="none" w:sz="0" w:space="0" w:color="auto"/>
              </w:divBdr>
            </w:div>
          </w:divsChild>
        </w:div>
        <w:div w:id="1539469678">
          <w:marLeft w:val="0"/>
          <w:marRight w:val="0"/>
          <w:marTop w:val="0"/>
          <w:marBottom w:val="0"/>
          <w:divBdr>
            <w:top w:val="none" w:sz="0" w:space="0" w:color="auto"/>
            <w:left w:val="none" w:sz="0" w:space="0" w:color="auto"/>
            <w:bottom w:val="none" w:sz="0" w:space="0" w:color="auto"/>
            <w:right w:val="none" w:sz="0" w:space="0" w:color="auto"/>
          </w:divBdr>
        </w:div>
        <w:div w:id="1607083343">
          <w:marLeft w:val="0"/>
          <w:marRight w:val="0"/>
          <w:marTop w:val="0"/>
          <w:marBottom w:val="0"/>
          <w:divBdr>
            <w:top w:val="none" w:sz="0" w:space="0" w:color="auto"/>
            <w:left w:val="none" w:sz="0" w:space="0" w:color="auto"/>
            <w:bottom w:val="none" w:sz="0" w:space="0" w:color="auto"/>
            <w:right w:val="none" w:sz="0" w:space="0" w:color="auto"/>
          </w:divBdr>
        </w:div>
        <w:div w:id="1726833819">
          <w:marLeft w:val="0"/>
          <w:marRight w:val="0"/>
          <w:marTop w:val="0"/>
          <w:marBottom w:val="0"/>
          <w:divBdr>
            <w:top w:val="none" w:sz="0" w:space="0" w:color="auto"/>
            <w:left w:val="none" w:sz="0" w:space="0" w:color="auto"/>
            <w:bottom w:val="none" w:sz="0" w:space="0" w:color="auto"/>
            <w:right w:val="none" w:sz="0" w:space="0" w:color="auto"/>
          </w:divBdr>
          <w:divsChild>
            <w:div w:id="68504879">
              <w:marLeft w:val="0"/>
              <w:marRight w:val="0"/>
              <w:marTop w:val="0"/>
              <w:marBottom w:val="0"/>
              <w:divBdr>
                <w:top w:val="none" w:sz="0" w:space="0" w:color="auto"/>
                <w:left w:val="none" w:sz="0" w:space="0" w:color="auto"/>
                <w:bottom w:val="none" w:sz="0" w:space="0" w:color="auto"/>
                <w:right w:val="none" w:sz="0" w:space="0" w:color="auto"/>
              </w:divBdr>
            </w:div>
            <w:div w:id="70860412">
              <w:marLeft w:val="0"/>
              <w:marRight w:val="0"/>
              <w:marTop w:val="0"/>
              <w:marBottom w:val="0"/>
              <w:divBdr>
                <w:top w:val="none" w:sz="0" w:space="0" w:color="auto"/>
                <w:left w:val="none" w:sz="0" w:space="0" w:color="auto"/>
                <w:bottom w:val="none" w:sz="0" w:space="0" w:color="auto"/>
                <w:right w:val="none" w:sz="0" w:space="0" w:color="auto"/>
              </w:divBdr>
            </w:div>
            <w:div w:id="473840026">
              <w:marLeft w:val="0"/>
              <w:marRight w:val="0"/>
              <w:marTop w:val="0"/>
              <w:marBottom w:val="0"/>
              <w:divBdr>
                <w:top w:val="none" w:sz="0" w:space="0" w:color="auto"/>
                <w:left w:val="none" w:sz="0" w:space="0" w:color="auto"/>
                <w:bottom w:val="none" w:sz="0" w:space="0" w:color="auto"/>
                <w:right w:val="none" w:sz="0" w:space="0" w:color="auto"/>
              </w:divBdr>
            </w:div>
            <w:div w:id="738985279">
              <w:marLeft w:val="0"/>
              <w:marRight w:val="0"/>
              <w:marTop w:val="0"/>
              <w:marBottom w:val="0"/>
              <w:divBdr>
                <w:top w:val="none" w:sz="0" w:space="0" w:color="auto"/>
                <w:left w:val="none" w:sz="0" w:space="0" w:color="auto"/>
                <w:bottom w:val="none" w:sz="0" w:space="0" w:color="auto"/>
                <w:right w:val="none" w:sz="0" w:space="0" w:color="auto"/>
              </w:divBdr>
            </w:div>
            <w:div w:id="864176505">
              <w:marLeft w:val="0"/>
              <w:marRight w:val="0"/>
              <w:marTop w:val="0"/>
              <w:marBottom w:val="0"/>
              <w:divBdr>
                <w:top w:val="none" w:sz="0" w:space="0" w:color="auto"/>
                <w:left w:val="none" w:sz="0" w:space="0" w:color="auto"/>
                <w:bottom w:val="none" w:sz="0" w:space="0" w:color="auto"/>
                <w:right w:val="none" w:sz="0" w:space="0" w:color="auto"/>
              </w:divBdr>
            </w:div>
            <w:div w:id="1076245664">
              <w:marLeft w:val="0"/>
              <w:marRight w:val="0"/>
              <w:marTop w:val="0"/>
              <w:marBottom w:val="0"/>
              <w:divBdr>
                <w:top w:val="none" w:sz="0" w:space="0" w:color="auto"/>
                <w:left w:val="none" w:sz="0" w:space="0" w:color="auto"/>
                <w:bottom w:val="none" w:sz="0" w:space="0" w:color="auto"/>
                <w:right w:val="none" w:sz="0" w:space="0" w:color="auto"/>
              </w:divBdr>
            </w:div>
            <w:div w:id="1191646013">
              <w:marLeft w:val="0"/>
              <w:marRight w:val="0"/>
              <w:marTop w:val="0"/>
              <w:marBottom w:val="0"/>
              <w:divBdr>
                <w:top w:val="none" w:sz="0" w:space="0" w:color="auto"/>
                <w:left w:val="none" w:sz="0" w:space="0" w:color="auto"/>
                <w:bottom w:val="none" w:sz="0" w:space="0" w:color="auto"/>
                <w:right w:val="none" w:sz="0" w:space="0" w:color="auto"/>
              </w:divBdr>
            </w:div>
            <w:div w:id="1242983905">
              <w:marLeft w:val="0"/>
              <w:marRight w:val="0"/>
              <w:marTop w:val="0"/>
              <w:marBottom w:val="0"/>
              <w:divBdr>
                <w:top w:val="none" w:sz="0" w:space="0" w:color="auto"/>
                <w:left w:val="none" w:sz="0" w:space="0" w:color="auto"/>
                <w:bottom w:val="none" w:sz="0" w:space="0" w:color="auto"/>
                <w:right w:val="none" w:sz="0" w:space="0" w:color="auto"/>
              </w:divBdr>
            </w:div>
            <w:div w:id="1331061162">
              <w:marLeft w:val="0"/>
              <w:marRight w:val="0"/>
              <w:marTop w:val="0"/>
              <w:marBottom w:val="0"/>
              <w:divBdr>
                <w:top w:val="none" w:sz="0" w:space="0" w:color="auto"/>
                <w:left w:val="none" w:sz="0" w:space="0" w:color="auto"/>
                <w:bottom w:val="none" w:sz="0" w:space="0" w:color="auto"/>
                <w:right w:val="none" w:sz="0" w:space="0" w:color="auto"/>
              </w:divBdr>
            </w:div>
            <w:div w:id="1447575211">
              <w:marLeft w:val="0"/>
              <w:marRight w:val="0"/>
              <w:marTop w:val="0"/>
              <w:marBottom w:val="0"/>
              <w:divBdr>
                <w:top w:val="none" w:sz="0" w:space="0" w:color="auto"/>
                <w:left w:val="none" w:sz="0" w:space="0" w:color="auto"/>
                <w:bottom w:val="none" w:sz="0" w:space="0" w:color="auto"/>
                <w:right w:val="none" w:sz="0" w:space="0" w:color="auto"/>
              </w:divBdr>
            </w:div>
            <w:div w:id="1550191559">
              <w:marLeft w:val="0"/>
              <w:marRight w:val="0"/>
              <w:marTop w:val="0"/>
              <w:marBottom w:val="0"/>
              <w:divBdr>
                <w:top w:val="none" w:sz="0" w:space="0" w:color="auto"/>
                <w:left w:val="none" w:sz="0" w:space="0" w:color="auto"/>
                <w:bottom w:val="none" w:sz="0" w:space="0" w:color="auto"/>
                <w:right w:val="none" w:sz="0" w:space="0" w:color="auto"/>
              </w:divBdr>
            </w:div>
            <w:div w:id="1810660433">
              <w:marLeft w:val="0"/>
              <w:marRight w:val="0"/>
              <w:marTop w:val="0"/>
              <w:marBottom w:val="0"/>
              <w:divBdr>
                <w:top w:val="none" w:sz="0" w:space="0" w:color="auto"/>
                <w:left w:val="none" w:sz="0" w:space="0" w:color="auto"/>
                <w:bottom w:val="none" w:sz="0" w:space="0" w:color="auto"/>
                <w:right w:val="none" w:sz="0" w:space="0" w:color="auto"/>
              </w:divBdr>
            </w:div>
          </w:divsChild>
        </w:div>
        <w:div w:id="1730497479">
          <w:marLeft w:val="0"/>
          <w:marRight w:val="0"/>
          <w:marTop w:val="0"/>
          <w:marBottom w:val="0"/>
          <w:divBdr>
            <w:top w:val="none" w:sz="0" w:space="0" w:color="auto"/>
            <w:left w:val="none" w:sz="0" w:space="0" w:color="auto"/>
            <w:bottom w:val="none" w:sz="0" w:space="0" w:color="auto"/>
            <w:right w:val="none" w:sz="0" w:space="0" w:color="auto"/>
          </w:divBdr>
        </w:div>
        <w:div w:id="1768843523">
          <w:marLeft w:val="0"/>
          <w:marRight w:val="0"/>
          <w:marTop w:val="0"/>
          <w:marBottom w:val="0"/>
          <w:divBdr>
            <w:top w:val="none" w:sz="0" w:space="0" w:color="auto"/>
            <w:left w:val="none" w:sz="0" w:space="0" w:color="auto"/>
            <w:bottom w:val="none" w:sz="0" w:space="0" w:color="auto"/>
            <w:right w:val="none" w:sz="0" w:space="0" w:color="auto"/>
          </w:divBdr>
        </w:div>
        <w:div w:id="1833833938">
          <w:marLeft w:val="0"/>
          <w:marRight w:val="0"/>
          <w:marTop w:val="0"/>
          <w:marBottom w:val="0"/>
          <w:divBdr>
            <w:top w:val="none" w:sz="0" w:space="0" w:color="auto"/>
            <w:left w:val="none" w:sz="0" w:space="0" w:color="auto"/>
            <w:bottom w:val="none" w:sz="0" w:space="0" w:color="auto"/>
            <w:right w:val="none" w:sz="0" w:space="0" w:color="auto"/>
          </w:divBdr>
        </w:div>
        <w:div w:id="1927617611">
          <w:marLeft w:val="0"/>
          <w:marRight w:val="0"/>
          <w:marTop w:val="0"/>
          <w:marBottom w:val="0"/>
          <w:divBdr>
            <w:top w:val="none" w:sz="0" w:space="0" w:color="auto"/>
            <w:left w:val="none" w:sz="0" w:space="0" w:color="auto"/>
            <w:bottom w:val="none" w:sz="0" w:space="0" w:color="auto"/>
            <w:right w:val="none" w:sz="0" w:space="0" w:color="auto"/>
          </w:divBdr>
        </w:div>
        <w:div w:id="1955213332">
          <w:marLeft w:val="0"/>
          <w:marRight w:val="0"/>
          <w:marTop w:val="0"/>
          <w:marBottom w:val="0"/>
          <w:divBdr>
            <w:top w:val="none" w:sz="0" w:space="0" w:color="auto"/>
            <w:left w:val="none" w:sz="0" w:space="0" w:color="auto"/>
            <w:bottom w:val="none" w:sz="0" w:space="0" w:color="auto"/>
            <w:right w:val="none" w:sz="0" w:space="0" w:color="auto"/>
          </w:divBdr>
        </w:div>
        <w:div w:id="2118669439">
          <w:marLeft w:val="0"/>
          <w:marRight w:val="0"/>
          <w:marTop w:val="0"/>
          <w:marBottom w:val="0"/>
          <w:divBdr>
            <w:top w:val="none" w:sz="0" w:space="0" w:color="auto"/>
            <w:left w:val="none" w:sz="0" w:space="0" w:color="auto"/>
            <w:bottom w:val="none" w:sz="0" w:space="0" w:color="auto"/>
            <w:right w:val="none" w:sz="0" w:space="0" w:color="auto"/>
          </w:divBdr>
        </w:div>
      </w:divsChild>
    </w:div>
    <w:div w:id="981426815">
      <w:bodyDiv w:val="1"/>
      <w:marLeft w:val="0"/>
      <w:marRight w:val="0"/>
      <w:marTop w:val="0"/>
      <w:marBottom w:val="0"/>
      <w:divBdr>
        <w:top w:val="none" w:sz="0" w:space="0" w:color="auto"/>
        <w:left w:val="none" w:sz="0" w:space="0" w:color="auto"/>
        <w:bottom w:val="none" w:sz="0" w:space="0" w:color="auto"/>
        <w:right w:val="none" w:sz="0" w:space="0" w:color="auto"/>
      </w:divBdr>
      <w:divsChild>
        <w:div w:id="31809345">
          <w:marLeft w:val="0"/>
          <w:marRight w:val="0"/>
          <w:marTop w:val="0"/>
          <w:marBottom w:val="0"/>
          <w:divBdr>
            <w:top w:val="none" w:sz="0" w:space="0" w:color="auto"/>
            <w:left w:val="none" w:sz="0" w:space="0" w:color="auto"/>
            <w:bottom w:val="none" w:sz="0" w:space="0" w:color="auto"/>
            <w:right w:val="none" w:sz="0" w:space="0" w:color="auto"/>
          </w:divBdr>
          <w:divsChild>
            <w:div w:id="1393426792">
              <w:marLeft w:val="0"/>
              <w:marRight w:val="0"/>
              <w:marTop w:val="0"/>
              <w:marBottom w:val="0"/>
              <w:divBdr>
                <w:top w:val="none" w:sz="0" w:space="0" w:color="auto"/>
                <w:left w:val="none" w:sz="0" w:space="0" w:color="auto"/>
                <w:bottom w:val="none" w:sz="0" w:space="0" w:color="auto"/>
                <w:right w:val="none" w:sz="0" w:space="0" w:color="auto"/>
              </w:divBdr>
            </w:div>
          </w:divsChild>
        </w:div>
        <w:div w:id="46074810">
          <w:marLeft w:val="0"/>
          <w:marRight w:val="0"/>
          <w:marTop w:val="0"/>
          <w:marBottom w:val="0"/>
          <w:divBdr>
            <w:top w:val="none" w:sz="0" w:space="0" w:color="auto"/>
            <w:left w:val="none" w:sz="0" w:space="0" w:color="auto"/>
            <w:bottom w:val="none" w:sz="0" w:space="0" w:color="auto"/>
            <w:right w:val="none" w:sz="0" w:space="0" w:color="auto"/>
          </w:divBdr>
          <w:divsChild>
            <w:div w:id="926034834">
              <w:marLeft w:val="0"/>
              <w:marRight w:val="0"/>
              <w:marTop w:val="0"/>
              <w:marBottom w:val="0"/>
              <w:divBdr>
                <w:top w:val="none" w:sz="0" w:space="0" w:color="auto"/>
                <w:left w:val="none" w:sz="0" w:space="0" w:color="auto"/>
                <w:bottom w:val="none" w:sz="0" w:space="0" w:color="auto"/>
                <w:right w:val="none" w:sz="0" w:space="0" w:color="auto"/>
              </w:divBdr>
            </w:div>
          </w:divsChild>
        </w:div>
        <w:div w:id="48722945">
          <w:marLeft w:val="0"/>
          <w:marRight w:val="0"/>
          <w:marTop w:val="0"/>
          <w:marBottom w:val="0"/>
          <w:divBdr>
            <w:top w:val="none" w:sz="0" w:space="0" w:color="auto"/>
            <w:left w:val="none" w:sz="0" w:space="0" w:color="auto"/>
            <w:bottom w:val="none" w:sz="0" w:space="0" w:color="auto"/>
            <w:right w:val="none" w:sz="0" w:space="0" w:color="auto"/>
          </w:divBdr>
          <w:divsChild>
            <w:div w:id="262811104">
              <w:marLeft w:val="0"/>
              <w:marRight w:val="0"/>
              <w:marTop w:val="0"/>
              <w:marBottom w:val="0"/>
              <w:divBdr>
                <w:top w:val="none" w:sz="0" w:space="0" w:color="auto"/>
                <w:left w:val="none" w:sz="0" w:space="0" w:color="auto"/>
                <w:bottom w:val="none" w:sz="0" w:space="0" w:color="auto"/>
                <w:right w:val="none" w:sz="0" w:space="0" w:color="auto"/>
              </w:divBdr>
            </w:div>
          </w:divsChild>
        </w:div>
        <w:div w:id="51733046">
          <w:marLeft w:val="0"/>
          <w:marRight w:val="0"/>
          <w:marTop w:val="0"/>
          <w:marBottom w:val="0"/>
          <w:divBdr>
            <w:top w:val="none" w:sz="0" w:space="0" w:color="auto"/>
            <w:left w:val="none" w:sz="0" w:space="0" w:color="auto"/>
            <w:bottom w:val="none" w:sz="0" w:space="0" w:color="auto"/>
            <w:right w:val="none" w:sz="0" w:space="0" w:color="auto"/>
          </w:divBdr>
          <w:divsChild>
            <w:div w:id="360934391">
              <w:marLeft w:val="0"/>
              <w:marRight w:val="0"/>
              <w:marTop w:val="0"/>
              <w:marBottom w:val="0"/>
              <w:divBdr>
                <w:top w:val="none" w:sz="0" w:space="0" w:color="auto"/>
                <w:left w:val="none" w:sz="0" w:space="0" w:color="auto"/>
                <w:bottom w:val="none" w:sz="0" w:space="0" w:color="auto"/>
                <w:right w:val="none" w:sz="0" w:space="0" w:color="auto"/>
              </w:divBdr>
            </w:div>
          </w:divsChild>
        </w:div>
        <w:div w:id="210651813">
          <w:marLeft w:val="0"/>
          <w:marRight w:val="0"/>
          <w:marTop w:val="0"/>
          <w:marBottom w:val="0"/>
          <w:divBdr>
            <w:top w:val="none" w:sz="0" w:space="0" w:color="auto"/>
            <w:left w:val="none" w:sz="0" w:space="0" w:color="auto"/>
            <w:bottom w:val="none" w:sz="0" w:space="0" w:color="auto"/>
            <w:right w:val="none" w:sz="0" w:space="0" w:color="auto"/>
          </w:divBdr>
          <w:divsChild>
            <w:div w:id="1148593198">
              <w:marLeft w:val="0"/>
              <w:marRight w:val="0"/>
              <w:marTop w:val="0"/>
              <w:marBottom w:val="0"/>
              <w:divBdr>
                <w:top w:val="none" w:sz="0" w:space="0" w:color="auto"/>
                <w:left w:val="none" w:sz="0" w:space="0" w:color="auto"/>
                <w:bottom w:val="none" w:sz="0" w:space="0" w:color="auto"/>
                <w:right w:val="none" w:sz="0" w:space="0" w:color="auto"/>
              </w:divBdr>
            </w:div>
          </w:divsChild>
        </w:div>
        <w:div w:id="313679768">
          <w:marLeft w:val="0"/>
          <w:marRight w:val="0"/>
          <w:marTop w:val="0"/>
          <w:marBottom w:val="0"/>
          <w:divBdr>
            <w:top w:val="none" w:sz="0" w:space="0" w:color="auto"/>
            <w:left w:val="none" w:sz="0" w:space="0" w:color="auto"/>
            <w:bottom w:val="none" w:sz="0" w:space="0" w:color="auto"/>
            <w:right w:val="none" w:sz="0" w:space="0" w:color="auto"/>
          </w:divBdr>
          <w:divsChild>
            <w:div w:id="1117523936">
              <w:marLeft w:val="0"/>
              <w:marRight w:val="0"/>
              <w:marTop w:val="0"/>
              <w:marBottom w:val="0"/>
              <w:divBdr>
                <w:top w:val="none" w:sz="0" w:space="0" w:color="auto"/>
                <w:left w:val="none" w:sz="0" w:space="0" w:color="auto"/>
                <w:bottom w:val="none" w:sz="0" w:space="0" w:color="auto"/>
                <w:right w:val="none" w:sz="0" w:space="0" w:color="auto"/>
              </w:divBdr>
            </w:div>
          </w:divsChild>
        </w:div>
        <w:div w:id="339353613">
          <w:marLeft w:val="0"/>
          <w:marRight w:val="0"/>
          <w:marTop w:val="0"/>
          <w:marBottom w:val="0"/>
          <w:divBdr>
            <w:top w:val="none" w:sz="0" w:space="0" w:color="auto"/>
            <w:left w:val="none" w:sz="0" w:space="0" w:color="auto"/>
            <w:bottom w:val="none" w:sz="0" w:space="0" w:color="auto"/>
            <w:right w:val="none" w:sz="0" w:space="0" w:color="auto"/>
          </w:divBdr>
          <w:divsChild>
            <w:div w:id="1868978947">
              <w:marLeft w:val="0"/>
              <w:marRight w:val="0"/>
              <w:marTop w:val="0"/>
              <w:marBottom w:val="0"/>
              <w:divBdr>
                <w:top w:val="none" w:sz="0" w:space="0" w:color="auto"/>
                <w:left w:val="none" w:sz="0" w:space="0" w:color="auto"/>
                <w:bottom w:val="none" w:sz="0" w:space="0" w:color="auto"/>
                <w:right w:val="none" w:sz="0" w:space="0" w:color="auto"/>
              </w:divBdr>
            </w:div>
          </w:divsChild>
        </w:div>
        <w:div w:id="370691976">
          <w:marLeft w:val="0"/>
          <w:marRight w:val="0"/>
          <w:marTop w:val="0"/>
          <w:marBottom w:val="0"/>
          <w:divBdr>
            <w:top w:val="none" w:sz="0" w:space="0" w:color="auto"/>
            <w:left w:val="none" w:sz="0" w:space="0" w:color="auto"/>
            <w:bottom w:val="none" w:sz="0" w:space="0" w:color="auto"/>
            <w:right w:val="none" w:sz="0" w:space="0" w:color="auto"/>
          </w:divBdr>
          <w:divsChild>
            <w:div w:id="1858882816">
              <w:marLeft w:val="0"/>
              <w:marRight w:val="0"/>
              <w:marTop w:val="0"/>
              <w:marBottom w:val="0"/>
              <w:divBdr>
                <w:top w:val="none" w:sz="0" w:space="0" w:color="auto"/>
                <w:left w:val="none" w:sz="0" w:space="0" w:color="auto"/>
                <w:bottom w:val="none" w:sz="0" w:space="0" w:color="auto"/>
                <w:right w:val="none" w:sz="0" w:space="0" w:color="auto"/>
              </w:divBdr>
            </w:div>
          </w:divsChild>
        </w:div>
        <w:div w:id="469443940">
          <w:marLeft w:val="0"/>
          <w:marRight w:val="0"/>
          <w:marTop w:val="0"/>
          <w:marBottom w:val="0"/>
          <w:divBdr>
            <w:top w:val="none" w:sz="0" w:space="0" w:color="auto"/>
            <w:left w:val="none" w:sz="0" w:space="0" w:color="auto"/>
            <w:bottom w:val="none" w:sz="0" w:space="0" w:color="auto"/>
            <w:right w:val="none" w:sz="0" w:space="0" w:color="auto"/>
          </w:divBdr>
          <w:divsChild>
            <w:div w:id="1423792282">
              <w:marLeft w:val="0"/>
              <w:marRight w:val="0"/>
              <w:marTop w:val="0"/>
              <w:marBottom w:val="0"/>
              <w:divBdr>
                <w:top w:val="none" w:sz="0" w:space="0" w:color="auto"/>
                <w:left w:val="none" w:sz="0" w:space="0" w:color="auto"/>
                <w:bottom w:val="none" w:sz="0" w:space="0" w:color="auto"/>
                <w:right w:val="none" w:sz="0" w:space="0" w:color="auto"/>
              </w:divBdr>
            </w:div>
          </w:divsChild>
        </w:div>
        <w:div w:id="548153972">
          <w:marLeft w:val="0"/>
          <w:marRight w:val="0"/>
          <w:marTop w:val="0"/>
          <w:marBottom w:val="0"/>
          <w:divBdr>
            <w:top w:val="none" w:sz="0" w:space="0" w:color="auto"/>
            <w:left w:val="none" w:sz="0" w:space="0" w:color="auto"/>
            <w:bottom w:val="none" w:sz="0" w:space="0" w:color="auto"/>
            <w:right w:val="none" w:sz="0" w:space="0" w:color="auto"/>
          </w:divBdr>
          <w:divsChild>
            <w:div w:id="1774083600">
              <w:marLeft w:val="0"/>
              <w:marRight w:val="0"/>
              <w:marTop w:val="0"/>
              <w:marBottom w:val="0"/>
              <w:divBdr>
                <w:top w:val="none" w:sz="0" w:space="0" w:color="auto"/>
                <w:left w:val="none" w:sz="0" w:space="0" w:color="auto"/>
                <w:bottom w:val="none" w:sz="0" w:space="0" w:color="auto"/>
                <w:right w:val="none" w:sz="0" w:space="0" w:color="auto"/>
              </w:divBdr>
            </w:div>
          </w:divsChild>
        </w:div>
        <w:div w:id="692457440">
          <w:marLeft w:val="0"/>
          <w:marRight w:val="0"/>
          <w:marTop w:val="0"/>
          <w:marBottom w:val="0"/>
          <w:divBdr>
            <w:top w:val="none" w:sz="0" w:space="0" w:color="auto"/>
            <w:left w:val="none" w:sz="0" w:space="0" w:color="auto"/>
            <w:bottom w:val="none" w:sz="0" w:space="0" w:color="auto"/>
            <w:right w:val="none" w:sz="0" w:space="0" w:color="auto"/>
          </w:divBdr>
          <w:divsChild>
            <w:div w:id="1084762252">
              <w:marLeft w:val="0"/>
              <w:marRight w:val="0"/>
              <w:marTop w:val="0"/>
              <w:marBottom w:val="0"/>
              <w:divBdr>
                <w:top w:val="none" w:sz="0" w:space="0" w:color="auto"/>
                <w:left w:val="none" w:sz="0" w:space="0" w:color="auto"/>
                <w:bottom w:val="none" w:sz="0" w:space="0" w:color="auto"/>
                <w:right w:val="none" w:sz="0" w:space="0" w:color="auto"/>
              </w:divBdr>
            </w:div>
          </w:divsChild>
        </w:div>
        <w:div w:id="768618352">
          <w:marLeft w:val="0"/>
          <w:marRight w:val="0"/>
          <w:marTop w:val="0"/>
          <w:marBottom w:val="0"/>
          <w:divBdr>
            <w:top w:val="none" w:sz="0" w:space="0" w:color="auto"/>
            <w:left w:val="none" w:sz="0" w:space="0" w:color="auto"/>
            <w:bottom w:val="none" w:sz="0" w:space="0" w:color="auto"/>
            <w:right w:val="none" w:sz="0" w:space="0" w:color="auto"/>
          </w:divBdr>
          <w:divsChild>
            <w:div w:id="1729374312">
              <w:marLeft w:val="0"/>
              <w:marRight w:val="0"/>
              <w:marTop w:val="0"/>
              <w:marBottom w:val="0"/>
              <w:divBdr>
                <w:top w:val="none" w:sz="0" w:space="0" w:color="auto"/>
                <w:left w:val="none" w:sz="0" w:space="0" w:color="auto"/>
                <w:bottom w:val="none" w:sz="0" w:space="0" w:color="auto"/>
                <w:right w:val="none" w:sz="0" w:space="0" w:color="auto"/>
              </w:divBdr>
            </w:div>
          </w:divsChild>
        </w:div>
        <w:div w:id="804543137">
          <w:marLeft w:val="0"/>
          <w:marRight w:val="0"/>
          <w:marTop w:val="0"/>
          <w:marBottom w:val="0"/>
          <w:divBdr>
            <w:top w:val="none" w:sz="0" w:space="0" w:color="auto"/>
            <w:left w:val="none" w:sz="0" w:space="0" w:color="auto"/>
            <w:bottom w:val="none" w:sz="0" w:space="0" w:color="auto"/>
            <w:right w:val="none" w:sz="0" w:space="0" w:color="auto"/>
          </w:divBdr>
          <w:divsChild>
            <w:div w:id="1797718204">
              <w:marLeft w:val="0"/>
              <w:marRight w:val="0"/>
              <w:marTop w:val="0"/>
              <w:marBottom w:val="0"/>
              <w:divBdr>
                <w:top w:val="none" w:sz="0" w:space="0" w:color="auto"/>
                <w:left w:val="none" w:sz="0" w:space="0" w:color="auto"/>
                <w:bottom w:val="none" w:sz="0" w:space="0" w:color="auto"/>
                <w:right w:val="none" w:sz="0" w:space="0" w:color="auto"/>
              </w:divBdr>
            </w:div>
          </w:divsChild>
        </w:div>
        <w:div w:id="878707290">
          <w:marLeft w:val="0"/>
          <w:marRight w:val="0"/>
          <w:marTop w:val="0"/>
          <w:marBottom w:val="0"/>
          <w:divBdr>
            <w:top w:val="none" w:sz="0" w:space="0" w:color="auto"/>
            <w:left w:val="none" w:sz="0" w:space="0" w:color="auto"/>
            <w:bottom w:val="none" w:sz="0" w:space="0" w:color="auto"/>
            <w:right w:val="none" w:sz="0" w:space="0" w:color="auto"/>
          </w:divBdr>
          <w:divsChild>
            <w:div w:id="1204632882">
              <w:marLeft w:val="0"/>
              <w:marRight w:val="0"/>
              <w:marTop w:val="0"/>
              <w:marBottom w:val="0"/>
              <w:divBdr>
                <w:top w:val="none" w:sz="0" w:space="0" w:color="auto"/>
                <w:left w:val="none" w:sz="0" w:space="0" w:color="auto"/>
                <w:bottom w:val="none" w:sz="0" w:space="0" w:color="auto"/>
                <w:right w:val="none" w:sz="0" w:space="0" w:color="auto"/>
              </w:divBdr>
            </w:div>
          </w:divsChild>
        </w:div>
        <w:div w:id="905990899">
          <w:marLeft w:val="0"/>
          <w:marRight w:val="0"/>
          <w:marTop w:val="0"/>
          <w:marBottom w:val="0"/>
          <w:divBdr>
            <w:top w:val="none" w:sz="0" w:space="0" w:color="auto"/>
            <w:left w:val="none" w:sz="0" w:space="0" w:color="auto"/>
            <w:bottom w:val="none" w:sz="0" w:space="0" w:color="auto"/>
            <w:right w:val="none" w:sz="0" w:space="0" w:color="auto"/>
          </w:divBdr>
          <w:divsChild>
            <w:div w:id="993332633">
              <w:marLeft w:val="0"/>
              <w:marRight w:val="0"/>
              <w:marTop w:val="0"/>
              <w:marBottom w:val="0"/>
              <w:divBdr>
                <w:top w:val="none" w:sz="0" w:space="0" w:color="auto"/>
                <w:left w:val="none" w:sz="0" w:space="0" w:color="auto"/>
                <w:bottom w:val="none" w:sz="0" w:space="0" w:color="auto"/>
                <w:right w:val="none" w:sz="0" w:space="0" w:color="auto"/>
              </w:divBdr>
            </w:div>
          </w:divsChild>
        </w:div>
        <w:div w:id="949363537">
          <w:marLeft w:val="0"/>
          <w:marRight w:val="0"/>
          <w:marTop w:val="0"/>
          <w:marBottom w:val="0"/>
          <w:divBdr>
            <w:top w:val="none" w:sz="0" w:space="0" w:color="auto"/>
            <w:left w:val="none" w:sz="0" w:space="0" w:color="auto"/>
            <w:bottom w:val="none" w:sz="0" w:space="0" w:color="auto"/>
            <w:right w:val="none" w:sz="0" w:space="0" w:color="auto"/>
          </w:divBdr>
          <w:divsChild>
            <w:div w:id="324745518">
              <w:marLeft w:val="0"/>
              <w:marRight w:val="0"/>
              <w:marTop w:val="0"/>
              <w:marBottom w:val="0"/>
              <w:divBdr>
                <w:top w:val="none" w:sz="0" w:space="0" w:color="auto"/>
                <w:left w:val="none" w:sz="0" w:space="0" w:color="auto"/>
                <w:bottom w:val="none" w:sz="0" w:space="0" w:color="auto"/>
                <w:right w:val="none" w:sz="0" w:space="0" w:color="auto"/>
              </w:divBdr>
            </w:div>
          </w:divsChild>
        </w:div>
        <w:div w:id="1046175277">
          <w:marLeft w:val="0"/>
          <w:marRight w:val="0"/>
          <w:marTop w:val="0"/>
          <w:marBottom w:val="0"/>
          <w:divBdr>
            <w:top w:val="none" w:sz="0" w:space="0" w:color="auto"/>
            <w:left w:val="none" w:sz="0" w:space="0" w:color="auto"/>
            <w:bottom w:val="none" w:sz="0" w:space="0" w:color="auto"/>
            <w:right w:val="none" w:sz="0" w:space="0" w:color="auto"/>
          </w:divBdr>
          <w:divsChild>
            <w:div w:id="867572629">
              <w:marLeft w:val="0"/>
              <w:marRight w:val="0"/>
              <w:marTop w:val="0"/>
              <w:marBottom w:val="0"/>
              <w:divBdr>
                <w:top w:val="none" w:sz="0" w:space="0" w:color="auto"/>
                <w:left w:val="none" w:sz="0" w:space="0" w:color="auto"/>
                <w:bottom w:val="none" w:sz="0" w:space="0" w:color="auto"/>
                <w:right w:val="none" w:sz="0" w:space="0" w:color="auto"/>
              </w:divBdr>
            </w:div>
          </w:divsChild>
        </w:div>
        <w:div w:id="1101989423">
          <w:marLeft w:val="0"/>
          <w:marRight w:val="0"/>
          <w:marTop w:val="0"/>
          <w:marBottom w:val="0"/>
          <w:divBdr>
            <w:top w:val="none" w:sz="0" w:space="0" w:color="auto"/>
            <w:left w:val="none" w:sz="0" w:space="0" w:color="auto"/>
            <w:bottom w:val="none" w:sz="0" w:space="0" w:color="auto"/>
            <w:right w:val="none" w:sz="0" w:space="0" w:color="auto"/>
          </w:divBdr>
          <w:divsChild>
            <w:div w:id="306663154">
              <w:marLeft w:val="0"/>
              <w:marRight w:val="0"/>
              <w:marTop w:val="0"/>
              <w:marBottom w:val="0"/>
              <w:divBdr>
                <w:top w:val="none" w:sz="0" w:space="0" w:color="auto"/>
                <w:left w:val="none" w:sz="0" w:space="0" w:color="auto"/>
                <w:bottom w:val="none" w:sz="0" w:space="0" w:color="auto"/>
                <w:right w:val="none" w:sz="0" w:space="0" w:color="auto"/>
              </w:divBdr>
            </w:div>
          </w:divsChild>
        </w:div>
        <w:div w:id="1144078024">
          <w:marLeft w:val="0"/>
          <w:marRight w:val="0"/>
          <w:marTop w:val="0"/>
          <w:marBottom w:val="0"/>
          <w:divBdr>
            <w:top w:val="none" w:sz="0" w:space="0" w:color="auto"/>
            <w:left w:val="none" w:sz="0" w:space="0" w:color="auto"/>
            <w:bottom w:val="none" w:sz="0" w:space="0" w:color="auto"/>
            <w:right w:val="none" w:sz="0" w:space="0" w:color="auto"/>
          </w:divBdr>
          <w:divsChild>
            <w:div w:id="40519386">
              <w:marLeft w:val="0"/>
              <w:marRight w:val="0"/>
              <w:marTop w:val="0"/>
              <w:marBottom w:val="0"/>
              <w:divBdr>
                <w:top w:val="none" w:sz="0" w:space="0" w:color="auto"/>
                <w:left w:val="none" w:sz="0" w:space="0" w:color="auto"/>
                <w:bottom w:val="none" w:sz="0" w:space="0" w:color="auto"/>
                <w:right w:val="none" w:sz="0" w:space="0" w:color="auto"/>
              </w:divBdr>
            </w:div>
          </w:divsChild>
        </w:div>
        <w:div w:id="1165050812">
          <w:marLeft w:val="0"/>
          <w:marRight w:val="0"/>
          <w:marTop w:val="0"/>
          <w:marBottom w:val="0"/>
          <w:divBdr>
            <w:top w:val="none" w:sz="0" w:space="0" w:color="auto"/>
            <w:left w:val="none" w:sz="0" w:space="0" w:color="auto"/>
            <w:bottom w:val="none" w:sz="0" w:space="0" w:color="auto"/>
            <w:right w:val="none" w:sz="0" w:space="0" w:color="auto"/>
          </w:divBdr>
          <w:divsChild>
            <w:div w:id="1944914996">
              <w:marLeft w:val="0"/>
              <w:marRight w:val="0"/>
              <w:marTop w:val="0"/>
              <w:marBottom w:val="0"/>
              <w:divBdr>
                <w:top w:val="none" w:sz="0" w:space="0" w:color="auto"/>
                <w:left w:val="none" w:sz="0" w:space="0" w:color="auto"/>
                <w:bottom w:val="none" w:sz="0" w:space="0" w:color="auto"/>
                <w:right w:val="none" w:sz="0" w:space="0" w:color="auto"/>
              </w:divBdr>
            </w:div>
          </w:divsChild>
        </w:div>
        <w:div w:id="1173910798">
          <w:marLeft w:val="0"/>
          <w:marRight w:val="0"/>
          <w:marTop w:val="0"/>
          <w:marBottom w:val="0"/>
          <w:divBdr>
            <w:top w:val="none" w:sz="0" w:space="0" w:color="auto"/>
            <w:left w:val="none" w:sz="0" w:space="0" w:color="auto"/>
            <w:bottom w:val="none" w:sz="0" w:space="0" w:color="auto"/>
            <w:right w:val="none" w:sz="0" w:space="0" w:color="auto"/>
          </w:divBdr>
          <w:divsChild>
            <w:div w:id="536746221">
              <w:marLeft w:val="0"/>
              <w:marRight w:val="0"/>
              <w:marTop w:val="0"/>
              <w:marBottom w:val="0"/>
              <w:divBdr>
                <w:top w:val="none" w:sz="0" w:space="0" w:color="auto"/>
                <w:left w:val="none" w:sz="0" w:space="0" w:color="auto"/>
                <w:bottom w:val="none" w:sz="0" w:space="0" w:color="auto"/>
                <w:right w:val="none" w:sz="0" w:space="0" w:color="auto"/>
              </w:divBdr>
            </w:div>
          </w:divsChild>
        </w:div>
        <w:div w:id="1202092978">
          <w:marLeft w:val="0"/>
          <w:marRight w:val="0"/>
          <w:marTop w:val="0"/>
          <w:marBottom w:val="0"/>
          <w:divBdr>
            <w:top w:val="none" w:sz="0" w:space="0" w:color="auto"/>
            <w:left w:val="none" w:sz="0" w:space="0" w:color="auto"/>
            <w:bottom w:val="none" w:sz="0" w:space="0" w:color="auto"/>
            <w:right w:val="none" w:sz="0" w:space="0" w:color="auto"/>
          </w:divBdr>
          <w:divsChild>
            <w:div w:id="1007442992">
              <w:marLeft w:val="0"/>
              <w:marRight w:val="0"/>
              <w:marTop w:val="0"/>
              <w:marBottom w:val="0"/>
              <w:divBdr>
                <w:top w:val="none" w:sz="0" w:space="0" w:color="auto"/>
                <w:left w:val="none" w:sz="0" w:space="0" w:color="auto"/>
                <w:bottom w:val="none" w:sz="0" w:space="0" w:color="auto"/>
                <w:right w:val="none" w:sz="0" w:space="0" w:color="auto"/>
              </w:divBdr>
            </w:div>
          </w:divsChild>
        </w:div>
        <w:div w:id="1202212363">
          <w:marLeft w:val="0"/>
          <w:marRight w:val="0"/>
          <w:marTop w:val="0"/>
          <w:marBottom w:val="0"/>
          <w:divBdr>
            <w:top w:val="none" w:sz="0" w:space="0" w:color="auto"/>
            <w:left w:val="none" w:sz="0" w:space="0" w:color="auto"/>
            <w:bottom w:val="none" w:sz="0" w:space="0" w:color="auto"/>
            <w:right w:val="none" w:sz="0" w:space="0" w:color="auto"/>
          </w:divBdr>
          <w:divsChild>
            <w:div w:id="668875048">
              <w:marLeft w:val="0"/>
              <w:marRight w:val="0"/>
              <w:marTop w:val="0"/>
              <w:marBottom w:val="0"/>
              <w:divBdr>
                <w:top w:val="none" w:sz="0" w:space="0" w:color="auto"/>
                <w:left w:val="none" w:sz="0" w:space="0" w:color="auto"/>
                <w:bottom w:val="none" w:sz="0" w:space="0" w:color="auto"/>
                <w:right w:val="none" w:sz="0" w:space="0" w:color="auto"/>
              </w:divBdr>
            </w:div>
          </w:divsChild>
        </w:div>
        <w:div w:id="1238243887">
          <w:marLeft w:val="0"/>
          <w:marRight w:val="0"/>
          <w:marTop w:val="0"/>
          <w:marBottom w:val="0"/>
          <w:divBdr>
            <w:top w:val="none" w:sz="0" w:space="0" w:color="auto"/>
            <w:left w:val="none" w:sz="0" w:space="0" w:color="auto"/>
            <w:bottom w:val="none" w:sz="0" w:space="0" w:color="auto"/>
            <w:right w:val="none" w:sz="0" w:space="0" w:color="auto"/>
          </w:divBdr>
          <w:divsChild>
            <w:div w:id="506486469">
              <w:marLeft w:val="0"/>
              <w:marRight w:val="0"/>
              <w:marTop w:val="0"/>
              <w:marBottom w:val="0"/>
              <w:divBdr>
                <w:top w:val="none" w:sz="0" w:space="0" w:color="auto"/>
                <w:left w:val="none" w:sz="0" w:space="0" w:color="auto"/>
                <w:bottom w:val="none" w:sz="0" w:space="0" w:color="auto"/>
                <w:right w:val="none" w:sz="0" w:space="0" w:color="auto"/>
              </w:divBdr>
            </w:div>
          </w:divsChild>
        </w:div>
        <w:div w:id="1278214859">
          <w:marLeft w:val="0"/>
          <w:marRight w:val="0"/>
          <w:marTop w:val="0"/>
          <w:marBottom w:val="0"/>
          <w:divBdr>
            <w:top w:val="none" w:sz="0" w:space="0" w:color="auto"/>
            <w:left w:val="none" w:sz="0" w:space="0" w:color="auto"/>
            <w:bottom w:val="none" w:sz="0" w:space="0" w:color="auto"/>
            <w:right w:val="none" w:sz="0" w:space="0" w:color="auto"/>
          </w:divBdr>
          <w:divsChild>
            <w:div w:id="514466957">
              <w:marLeft w:val="0"/>
              <w:marRight w:val="0"/>
              <w:marTop w:val="0"/>
              <w:marBottom w:val="0"/>
              <w:divBdr>
                <w:top w:val="none" w:sz="0" w:space="0" w:color="auto"/>
                <w:left w:val="none" w:sz="0" w:space="0" w:color="auto"/>
                <w:bottom w:val="none" w:sz="0" w:space="0" w:color="auto"/>
                <w:right w:val="none" w:sz="0" w:space="0" w:color="auto"/>
              </w:divBdr>
            </w:div>
          </w:divsChild>
        </w:div>
        <w:div w:id="1316840120">
          <w:marLeft w:val="0"/>
          <w:marRight w:val="0"/>
          <w:marTop w:val="0"/>
          <w:marBottom w:val="0"/>
          <w:divBdr>
            <w:top w:val="none" w:sz="0" w:space="0" w:color="auto"/>
            <w:left w:val="none" w:sz="0" w:space="0" w:color="auto"/>
            <w:bottom w:val="none" w:sz="0" w:space="0" w:color="auto"/>
            <w:right w:val="none" w:sz="0" w:space="0" w:color="auto"/>
          </w:divBdr>
          <w:divsChild>
            <w:div w:id="1896817455">
              <w:marLeft w:val="0"/>
              <w:marRight w:val="0"/>
              <w:marTop w:val="0"/>
              <w:marBottom w:val="0"/>
              <w:divBdr>
                <w:top w:val="none" w:sz="0" w:space="0" w:color="auto"/>
                <w:left w:val="none" w:sz="0" w:space="0" w:color="auto"/>
                <w:bottom w:val="none" w:sz="0" w:space="0" w:color="auto"/>
                <w:right w:val="none" w:sz="0" w:space="0" w:color="auto"/>
              </w:divBdr>
            </w:div>
          </w:divsChild>
        </w:div>
        <w:div w:id="1461877832">
          <w:marLeft w:val="0"/>
          <w:marRight w:val="0"/>
          <w:marTop w:val="0"/>
          <w:marBottom w:val="0"/>
          <w:divBdr>
            <w:top w:val="none" w:sz="0" w:space="0" w:color="auto"/>
            <w:left w:val="none" w:sz="0" w:space="0" w:color="auto"/>
            <w:bottom w:val="none" w:sz="0" w:space="0" w:color="auto"/>
            <w:right w:val="none" w:sz="0" w:space="0" w:color="auto"/>
          </w:divBdr>
          <w:divsChild>
            <w:div w:id="601183127">
              <w:marLeft w:val="0"/>
              <w:marRight w:val="0"/>
              <w:marTop w:val="0"/>
              <w:marBottom w:val="0"/>
              <w:divBdr>
                <w:top w:val="none" w:sz="0" w:space="0" w:color="auto"/>
                <w:left w:val="none" w:sz="0" w:space="0" w:color="auto"/>
                <w:bottom w:val="none" w:sz="0" w:space="0" w:color="auto"/>
                <w:right w:val="none" w:sz="0" w:space="0" w:color="auto"/>
              </w:divBdr>
            </w:div>
          </w:divsChild>
        </w:div>
        <w:div w:id="1468275338">
          <w:marLeft w:val="0"/>
          <w:marRight w:val="0"/>
          <w:marTop w:val="0"/>
          <w:marBottom w:val="0"/>
          <w:divBdr>
            <w:top w:val="none" w:sz="0" w:space="0" w:color="auto"/>
            <w:left w:val="none" w:sz="0" w:space="0" w:color="auto"/>
            <w:bottom w:val="none" w:sz="0" w:space="0" w:color="auto"/>
            <w:right w:val="none" w:sz="0" w:space="0" w:color="auto"/>
          </w:divBdr>
          <w:divsChild>
            <w:div w:id="1466511402">
              <w:marLeft w:val="0"/>
              <w:marRight w:val="0"/>
              <w:marTop w:val="0"/>
              <w:marBottom w:val="0"/>
              <w:divBdr>
                <w:top w:val="none" w:sz="0" w:space="0" w:color="auto"/>
                <w:left w:val="none" w:sz="0" w:space="0" w:color="auto"/>
                <w:bottom w:val="none" w:sz="0" w:space="0" w:color="auto"/>
                <w:right w:val="none" w:sz="0" w:space="0" w:color="auto"/>
              </w:divBdr>
            </w:div>
          </w:divsChild>
        </w:div>
        <w:div w:id="1583564768">
          <w:marLeft w:val="0"/>
          <w:marRight w:val="0"/>
          <w:marTop w:val="0"/>
          <w:marBottom w:val="0"/>
          <w:divBdr>
            <w:top w:val="none" w:sz="0" w:space="0" w:color="auto"/>
            <w:left w:val="none" w:sz="0" w:space="0" w:color="auto"/>
            <w:bottom w:val="none" w:sz="0" w:space="0" w:color="auto"/>
            <w:right w:val="none" w:sz="0" w:space="0" w:color="auto"/>
          </w:divBdr>
          <w:divsChild>
            <w:div w:id="1584605883">
              <w:marLeft w:val="0"/>
              <w:marRight w:val="0"/>
              <w:marTop w:val="0"/>
              <w:marBottom w:val="0"/>
              <w:divBdr>
                <w:top w:val="none" w:sz="0" w:space="0" w:color="auto"/>
                <w:left w:val="none" w:sz="0" w:space="0" w:color="auto"/>
                <w:bottom w:val="none" w:sz="0" w:space="0" w:color="auto"/>
                <w:right w:val="none" w:sz="0" w:space="0" w:color="auto"/>
              </w:divBdr>
            </w:div>
          </w:divsChild>
        </w:div>
        <w:div w:id="1622373020">
          <w:marLeft w:val="0"/>
          <w:marRight w:val="0"/>
          <w:marTop w:val="0"/>
          <w:marBottom w:val="0"/>
          <w:divBdr>
            <w:top w:val="none" w:sz="0" w:space="0" w:color="auto"/>
            <w:left w:val="none" w:sz="0" w:space="0" w:color="auto"/>
            <w:bottom w:val="none" w:sz="0" w:space="0" w:color="auto"/>
            <w:right w:val="none" w:sz="0" w:space="0" w:color="auto"/>
          </w:divBdr>
          <w:divsChild>
            <w:div w:id="682634619">
              <w:marLeft w:val="0"/>
              <w:marRight w:val="0"/>
              <w:marTop w:val="0"/>
              <w:marBottom w:val="0"/>
              <w:divBdr>
                <w:top w:val="none" w:sz="0" w:space="0" w:color="auto"/>
                <w:left w:val="none" w:sz="0" w:space="0" w:color="auto"/>
                <w:bottom w:val="none" w:sz="0" w:space="0" w:color="auto"/>
                <w:right w:val="none" w:sz="0" w:space="0" w:color="auto"/>
              </w:divBdr>
            </w:div>
          </w:divsChild>
        </w:div>
        <w:div w:id="1832796479">
          <w:marLeft w:val="0"/>
          <w:marRight w:val="0"/>
          <w:marTop w:val="0"/>
          <w:marBottom w:val="0"/>
          <w:divBdr>
            <w:top w:val="none" w:sz="0" w:space="0" w:color="auto"/>
            <w:left w:val="none" w:sz="0" w:space="0" w:color="auto"/>
            <w:bottom w:val="none" w:sz="0" w:space="0" w:color="auto"/>
            <w:right w:val="none" w:sz="0" w:space="0" w:color="auto"/>
          </w:divBdr>
          <w:divsChild>
            <w:div w:id="195848933">
              <w:marLeft w:val="0"/>
              <w:marRight w:val="0"/>
              <w:marTop w:val="0"/>
              <w:marBottom w:val="0"/>
              <w:divBdr>
                <w:top w:val="none" w:sz="0" w:space="0" w:color="auto"/>
                <w:left w:val="none" w:sz="0" w:space="0" w:color="auto"/>
                <w:bottom w:val="none" w:sz="0" w:space="0" w:color="auto"/>
                <w:right w:val="none" w:sz="0" w:space="0" w:color="auto"/>
              </w:divBdr>
            </w:div>
          </w:divsChild>
        </w:div>
        <w:div w:id="1838154081">
          <w:marLeft w:val="0"/>
          <w:marRight w:val="0"/>
          <w:marTop w:val="0"/>
          <w:marBottom w:val="0"/>
          <w:divBdr>
            <w:top w:val="none" w:sz="0" w:space="0" w:color="auto"/>
            <w:left w:val="none" w:sz="0" w:space="0" w:color="auto"/>
            <w:bottom w:val="none" w:sz="0" w:space="0" w:color="auto"/>
            <w:right w:val="none" w:sz="0" w:space="0" w:color="auto"/>
          </w:divBdr>
          <w:divsChild>
            <w:div w:id="703137575">
              <w:marLeft w:val="0"/>
              <w:marRight w:val="0"/>
              <w:marTop w:val="0"/>
              <w:marBottom w:val="0"/>
              <w:divBdr>
                <w:top w:val="none" w:sz="0" w:space="0" w:color="auto"/>
                <w:left w:val="none" w:sz="0" w:space="0" w:color="auto"/>
                <w:bottom w:val="none" w:sz="0" w:space="0" w:color="auto"/>
                <w:right w:val="none" w:sz="0" w:space="0" w:color="auto"/>
              </w:divBdr>
            </w:div>
          </w:divsChild>
        </w:div>
        <w:div w:id="1868834240">
          <w:marLeft w:val="0"/>
          <w:marRight w:val="0"/>
          <w:marTop w:val="0"/>
          <w:marBottom w:val="0"/>
          <w:divBdr>
            <w:top w:val="none" w:sz="0" w:space="0" w:color="auto"/>
            <w:left w:val="none" w:sz="0" w:space="0" w:color="auto"/>
            <w:bottom w:val="none" w:sz="0" w:space="0" w:color="auto"/>
            <w:right w:val="none" w:sz="0" w:space="0" w:color="auto"/>
          </w:divBdr>
          <w:divsChild>
            <w:div w:id="971593053">
              <w:marLeft w:val="0"/>
              <w:marRight w:val="0"/>
              <w:marTop w:val="0"/>
              <w:marBottom w:val="0"/>
              <w:divBdr>
                <w:top w:val="none" w:sz="0" w:space="0" w:color="auto"/>
                <w:left w:val="none" w:sz="0" w:space="0" w:color="auto"/>
                <w:bottom w:val="none" w:sz="0" w:space="0" w:color="auto"/>
                <w:right w:val="none" w:sz="0" w:space="0" w:color="auto"/>
              </w:divBdr>
            </w:div>
          </w:divsChild>
        </w:div>
        <w:div w:id="1888569723">
          <w:marLeft w:val="0"/>
          <w:marRight w:val="0"/>
          <w:marTop w:val="0"/>
          <w:marBottom w:val="0"/>
          <w:divBdr>
            <w:top w:val="none" w:sz="0" w:space="0" w:color="auto"/>
            <w:left w:val="none" w:sz="0" w:space="0" w:color="auto"/>
            <w:bottom w:val="none" w:sz="0" w:space="0" w:color="auto"/>
            <w:right w:val="none" w:sz="0" w:space="0" w:color="auto"/>
          </w:divBdr>
          <w:divsChild>
            <w:div w:id="1190871358">
              <w:marLeft w:val="0"/>
              <w:marRight w:val="0"/>
              <w:marTop w:val="0"/>
              <w:marBottom w:val="0"/>
              <w:divBdr>
                <w:top w:val="none" w:sz="0" w:space="0" w:color="auto"/>
                <w:left w:val="none" w:sz="0" w:space="0" w:color="auto"/>
                <w:bottom w:val="none" w:sz="0" w:space="0" w:color="auto"/>
                <w:right w:val="none" w:sz="0" w:space="0" w:color="auto"/>
              </w:divBdr>
            </w:div>
          </w:divsChild>
        </w:div>
        <w:div w:id="1962568628">
          <w:marLeft w:val="0"/>
          <w:marRight w:val="0"/>
          <w:marTop w:val="0"/>
          <w:marBottom w:val="0"/>
          <w:divBdr>
            <w:top w:val="none" w:sz="0" w:space="0" w:color="auto"/>
            <w:left w:val="none" w:sz="0" w:space="0" w:color="auto"/>
            <w:bottom w:val="none" w:sz="0" w:space="0" w:color="auto"/>
            <w:right w:val="none" w:sz="0" w:space="0" w:color="auto"/>
          </w:divBdr>
          <w:divsChild>
            <w:div w:id="1785467451">
              <w:marLeft w:val="0"/>
              <w:marRight w:val="0"/>
              <w:marTop w:val="0"/>
              <w:marBottom w:val="0"/>
              <w:divBdr>
                <w:top w:val="none" w:sz="0" w:space="0" w:color="auto"/>
                <w:left w:val="none" w:sz="0" w:space="0" w:color="auto"/>
                <w:bottom w:val="none" w:sz="0" w:space="0" w:color="auto"/>
                <w:right w:val="none" w:sz="0" w:space="0" w:color="auto"/>
              </w:divBdr>
            </w:div>
          </w:divsChild>
        </w:div>
        <w:div w:id="1976063257">
          <w:marLeft w:val="0"/>
          <w:marRight w:val="0"/>
          <w:marTop w:val="0"/>
          <w:marBottom w:val="0"/>
          <w:divBdr>
            <w:top w:val="none" w:sz="0" w:space="0" w:color="auto"/>
            <w:left w:val="none" w:sz="0" w:space="0" w:color="auto"/>
            <w:bottom w:val="none" w:sz="0" w:space="0" w:color="auto"/>
            <w:right w:val="none" w:sz="0" w:space="0" w:color="auto"/>
          </w:divBdr>
          <w:divsChild>
            <w:div w:id="483086775">
              <w:marLeft w:val="0"/>
              <w:marRight w:val="0"/>
              <w:marTop w:val="0"/>
              <w:marBottom w:val="0"/>
              <w:divBdr>
                <w:top w:val="none" w:sz="0" w:space="0" w:color="auto"/>
                <w:left w:val="none" w:sz="0" w:space="0" w:color="auto"/>
                <w:bottom w:val="none" w:sz="0" w:space="0" w:color="auto"/>
                <w:right w:val="none" w:sz="0" w:space="0" w:color="auto"/>
              </w:divBdr>
            </w:div>
          </w:divsChild>
        </w:div>
        <w:div w:id="2016371432">
          <w:marLeft w:val="0"/>
          <w:marRight w:val="0"/>
          <w:marTop w:val="0"/>
          <w:marBottom w:val="0"/>
          <w:divBdr>
            <w:top w:val="none" w:sz="0" w:space="0" w:color="auto"/>
            <w:left w:val="none" w:sz="0" w:space="0" w:color="auto"/>
            <w:bottom w:val="none" w:sz="0" w:space="0" w:color="auto"/>
            <w:right w:val="none" w:sz="0" w:space="0" w:color="auto"/>
          </w:divBdr>
          <w:divsChild>
            <w:div w:id="74714149">
              <w:marLeft w:val="0"/>
              <w:marRight w:val="0"/>
              <w:marTop w:val="0"/>
              <w:marBottom w:val="0"/>
              <w:divBdr>
                <w:top w:val="none" w:sz="0" w:space="0" w:color="auto"/>
                <w:left w:val="none" w:sz="0" w:space="0" w:color="auto"/>
                <w:bottom w:val="none" w:sz="0" w:space="0" w:color="auto"/>
                <w:right w:val="none" w:sz="0" w:space="0" w:color="auto"/>
              </w:divBdr>
            </w:div>
          </w:divsChild>
        </w:div>
        <w:div w:id="2057121349">
          <w:marLeft w:val="0"/>
          <w:marRight w:val="0"/>
          <w:marTop w:val="0"/>
          <w:marBottom w:val="0"/>
          <w:divBdr>
            <w:top w:val="none" w:sz="0" w:space="0" w:color="auto"/>
            <w:left w:val="none" w:sz="0" w:space="0" w:color="auto"/>
            <w:bottom w:val="none" w:sz="0" w:space="0" w:color="auto"/>
            <w:right w:val="none" w:sz="0" w:space="0" w:color="auto"/>
          </w:divBdr>
          <w:divsChild>
            <w:div w:id="1682663301">
              <w:marLeft w:val="0"/>
              <w:marRight w:val="0"/>
              <w:marTop w:val="0"/>
              <w:marBottom w:val="0"/>
              <w:divBdr>
                <w:top w:val="none" w:sz="0" w:space="0" w:color="auto"/>
                <w:left w:val="none" w:sz="0" w:space="0" w:color="auto"/>
                <w:bottom w:val="none" w:sz="0" w:space="0" w:color="auto"/>
                <w:right w:val="none" w:sz="0" w:space="0" w:color="auto"/>
              </w:divBdr>
            </w:div>
          </w:divsChild>
        </w:div>
        <w:div w:id="2074234944">
          <w:marLeft w:val="0"/>
          <w:marRight w:val="0"/>
          <w:marTop w:val="0"/>
          <w:marBottom w:val="0"/>
          <w:divBdr>
            <w:top w:val="none" w:sz="0" w:space="0" w:color="auto"/>
            <w:left w:val="none" w:sz="0" w:space="0" w:color="auto"/>
            <w:bottom w:val="none" w:sz="0" w:space="0" w:color="auto"/>
            <w:right w:val="none" w:sz="0" w:space="0" w:color="auto"/>
          </w:divBdr>
          <w:divsChild>
            <w:div w:id="1306205549">
              <w:marLeft w:val="0"/>
              <w:marRight w:val="0"/>
              <w:marTop w:val="0"/>
              <w:marBottom w:val="0"/>
              <w:divBdr>
                <w:top w:val="none" w:sz="0" w:space="0" w:color="auto"/>
                <w:left w:val="none" w:sz="0" w:space="0" w:color="auto"/>
                <w:bottom w:val="none" w:sz="0" w:space="0" w:color="auto"/>
                <w:right w:val="none" w:sz="0" w:space="0" w:color="auto"/>
              </w:divBdr>
            </w:div>
          </w:divsChild>
        </w:div>
        <w:div w:id="2075197570">
          <w:marLeft w:val="0"/>
          <w:marRight w:val="0"/>
          <w:marTop w:val="0"/>
          <w:marBottom w:val="0"/>
          <w:divBdr>
            <w:top w:val="none" w:sz="0" w:space="0" w:color="auto"/>
            <w:left w:val="none" w:sz="0" w:space="0" w:color="auto"/>
            <w:bottom w:val="none" w:sz="0" w:space="0" w:color="auto"/>
            <w:right w:val="none" w:sz="0" w:space="0" w:color="auto"/>
          </w:divBdr>
          <w:divsChild>
            <w:div w:id="407459632">
              <w:marLeft w:val="0"/>
              <w:marRight w:val="0"/>
              <w:marTop w:val="0"/>
              <w:marBottom w:val="0"/>
              <w:divBdr>
                <w:top w:val="none" w:sz="0" w:space="0" w:color="auto"/>
                <w:left w:val="none" w:sz="0" w:space="0" w:color="auto"/>
                <w:bottom w:val="none" w:sz="0" w:space="0" w:color="auto"/>
                <w:right w:val="none" w:sz="0" w:space="0" w:color="auto"/>
              </w:divBdr>
            </w:div>
          </w:divsChild>
        </w:div>
        <w:div w:id="2096169553">
          <w:marLeft w:val="0"/>
          <w:marRight w:val="0"/>
          <w:marTop w:val="0"/>
          <w:marBottom w:val="0"/>
          <w:divBdr>
            <w:top w:val="none" w:sz="0" w:space="0" w:color="auto"/>
            <w:left w:val="none" w:sz="0" w:space="0" w:color="auto"/>
            <w:bottom w:val="none" w:sz="0" w:space="0" w:color="auto"/>
            <w:right w:val="none" w:sz="0" w:space="0" w:color="auto"/>
          </w:divBdr>
          <w:divsChild>
            <w:div w:id="955407850">
              <w:marLeft w:val="0"/>
              <w:marRight w:val="0"/>
              <w:marTop w:val="0"/>
              <w:marBottom w:val="0"/>
              <w:divBdr>
                <w:top w:val="none" w:sz="0" w:space="0" w:color="auto"/>
                <w:left w:val="none" w:sz="0" w:space="0" w:color="auto"/>
                <w:bottom w:val="none" w:sz="0" w:space="0" w:color="auto"/>
                <w:right w:val="none" w:sz="0" w:space="0" w:color="auto"/>
              </w:divBdr>
            </w:div>
          </w:divsChild>
        </w:div>
        <w:div w:id="2140298115">
          <w:marLeft w:val="0"/>
          <w:marRight w:val="0"/>
          <w:marTop w:val="0"/>
          <w:marBottom w:val="0"/>
          <w:divBdr>
            <w:top w:val="none" w:sz="0" w:space="0" w:color="auto"/>
            <w:left w:val="none" w:sz="0" w:space="0" w:color="auto"/>
            <w:bottom w:val="none" w:sz="0" w:space="0" w:color="auto"/>
            <w:right w:val="none" w:sz="0" w:space="0" w:color="auto"/>
          </w:divBdr>
          <w:divsChild>
            <w:div w:id="20518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833897">
      <w:bodyDiv w:val="1"/>
      <w:marLeft w:val="0"/>
      <w:marRight w:val="0"/>
      <w:marTop w:val="0"/>
      <w:marBottom w:val="0"/>
      <w:divBdr>
        <w:top w:val="none" w:sz="0" w:space="0" w:color="auto"/>
        <w:left w:val="none" w:sz="0" w:space="0" w:color="auto"/>
        <w:bottom w:val="none" w:sz="0" w:space="0" w:color="auto"/>
        <w:right w:val="none" w:sz="0" w:space="0" w:color="auto"/>
      </w:divBdr>
      <w:divsChild>
        <w:div w:id="119229878">
          <w:marLeft w:val="0"/>
          <w:marRight w:val="0"/>
          <w:marTop w:val="0"/>
          <w:marBottom w:val="0"/>
          <w:divBdr>
            <w:top w:val="none" w:sz="0" w:space="0" w:color="auto"/>
            <w:left w:val="none" w:sz="0" w:space="0" w:color="auto"/>
            <w:bottom w:val="none" w:sz="0" w:space="0" w:color="auto"/>
            <w:right w:val="none" w:sz="0" w:space="0" w:color="auto"/>
          </w:divBdr>
        </w:div>
        <w:div w:id="374232786">
          <w:marLeft w:val="0"/>
          <w:marRight w:val="0"/>
          <w:marTop w:val="0"/>
          <w:marBottom w:val="0"/>
          <w:divBdr>
            <w:top w:val="none" w:sz="0" w:space="0" w:color="auto"/>
            <w:left w:val="none" w:sz="0" w:space="0" w:color="auto"/>
            <w:bottom w:val="none" w:sz="0" w:space="0" w:color="auto"/>
            <w:right w:val="none" w:sz="0" w:space="0" w:color="auto"/>
          </w:divBdr>
        </w:div>
        <w:div w:id="412052778">
          <w:marLeft w:val="0"/>
          <w:marRight w:val="0"/>
          <w:marTop w:val="0"/>
          <w:marBottom w:val="0"/>
          <w:divBdr>
            <w:top w:val="none" w:sz="0" w:space="0" w:color="auto"/>
            <w:left w:val="none" w:sz="0" w:space="0" w:color="auto"/>
            <w:bottom w:val="none" w:sz="0" w:space="0" w:color="auto"/>
            <w:right w:val="none" w:sz="0" w:space="0" w:color="auto"/>
          </w:divBdr>
        </w:div>
        <w:div w:id="1412432346">
          <w:marLeft w:val="0"/>
          <w:marRight w:val="0"/>
          <w:marTop w:val="0"/>
          <w:marBottom w:val="0"/>
          <w:divBdr>
            <w:top w:val="none" w:sz="0" w:space="0" w:color="auto"/>
            <w:left w:val="none" w:sz="0" w:space="0" w:color="auto"/>
            <w:bottom w:val="none" w:sz="0" w:space="0" w:color="auto"/>
            <w:right w:val="none" w:sz="0" w:space="0" w:color="auto"/>
          </w:divBdr>
        </w:div>
        <w:div w:id="1709060231">
          <w:marLeft w:val="0"/>
          <w:marRight w:val="0"/>
          <w:marTop w:val="0"/>
          <w:marBottom w:val="0"/>
          <w:divBdr>
            <w:top w:val="none" w:sz="0" w:space="0" w:color="auto"/>
            <w:left w:val="none" w:sz="0" w:space="0" w:color="auto"/>
            <w:bottom w:val="none" w:sz="0" w:space="0" w:color="auto"/>
            <w:right w:val="none" w:sz="0" w:space="0" w:color="auto"/>
          </w:divBdr>
        </w:div>
      </w:divsChild>
    </w:div>
    <w:div w:id="1017538923">
      <w:bodyDiv w:val="1"/>
      <w:marLeft w:val="0"/>
      <w:marRight w:val="0"/>
      <w:marTop w:val="0"/>
      <w:marBottom w:val="0"/>
      <w:divBdr>
        <w:top w:val="none" w:sz="0" w:space="0" w:color="auto"/>
        <w:left w:val="none" w:sz="0" w:space="0" w:color="auto"/>
        <w:bottom w:val="none" w:sz="0" w:space="0" w:color="auto"/>
        <w:right w:val="none" w:sz="0" w:space="0" w:color="auto"/>
      </w:divBdr>
    </w:div>
    <w:div w:id="1020007574">
      <w:bodyDiv w:val="1"/>
      <w:marLeft w:val="0"/>
      <w:marRight w:val="0"/>
      <w:marTop w:val="0"/>
      <w:marBottom w:val="0"/>
      <w:divBdr>
        <w:top w:val="none" w:sz="0" w:space="0" w:color="auto"/>
        <w:left w:val="none" w:sz="0" w:space="0" w:color="auto"/>
        <w:bottom w:val="none" w:sz="0" w:space="0" w:color="auto"/>
        <w:right w:val="none" w:sz="0" w:space="0" w:color="auto"/>
      </w:divBdr>
      <w:divsChild>
        <w:div w:id="249630089">
          <w:marLeft w:val="0"/>
          <w:marRight w:val="0"/>
          <w:marTop w:val="0"/>
          <w:marBottom w:val="0"/>
          <w:divBdr>
            <w:top w:val="none" w:sz="0" w:space="0" w:color="auto"/>
            <w:left w:val="none" w:sz="0" w:space="0" w:color="auto"/>
            <w:bottom w:val="none" w:sz="0" w:space="0" w:color="auto"/>
            <w:right w:val="none" w:sz="0" w:space="0" w:color="auto"/>
          </w:divBdr>
        </w:div>
        <w:div w:id="326716112">
          <w:marLeft w:val="0"/>
          <w:marRight w:val="0"/>
          <w:marTop w:val="0"/>
          <w:marBottom w:val="0"/>
          <w:divBdr>
            <w:top w:val="none" w:sz="0" w:space="0" w:color="auto"/>
            <w:left w:val="none" w:sz="0" w:space="0" w:color="auto"/>
            <w:bottom w:val="none" w:sz="0" w:space="0" w:color="auto"/>
            <w:right w:val="none" w:sz="0" w:space="0" w:color="auto"/>
          </w:divBdr>
        </w:div>
        <w:div w:id="453134355">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315837737">
              <w:marLeft w:val="0"/>
              <w:marRight w:val="0"/>
              <w:marTop w:val="0"/>
              <w:marBottom w:val="0"/>
              <w:divBdr>
                <w:top w:val="none" w:sz="0" w:space="0" w:color="auto"/>
                <w:left w:val="none" w:sz="0" w:space="0" w:color="auto"/>
                <w:bottom w:val="none" w:sz="0" w:space="0" w:color="auto"/>
                <w:right w:val="none" w:sz="0" w:space="0" w:color="auto"/>
              </w:divBdr>
            </w:div>
            <w:div w:id="595747437">
              <w:marLeft w:val="0"/>
              <w:marRight w:val="0"/>
              <w:marTop w:val="0"/>
              <w:marBottom w:val="0"/>
              <w:divBdr>
                <w:top w:val="none" w:sz="0" w:space="0" w:color="auto"/>
                <w:left w:val="none" w:sz="0" w:space="0" w:color="auto"/>
                <w:bottom w:val="none" w:sz="0" w:space="0" w:color="auto"/>
                <w:right w:val="none" w:sz="0" w:space="0" w:color="auto"/>
              </w:divBdr>
            </w:div>
            <w:div w:id="1908032527">
              <w:marLeft w:val="0"/>
              <w:marRight w:val="0"/>
              <w:marTop w:val="0"/>
              <w:marBottom w:val="0"/>
              <w:divBdr>
                <w:top w:val="none" w:sz="0" w:space="0" w:color="auto"/>
                <w:left w:val="none" w:sz="0" w:space="0" w:color="auto"/>
                <w:bottom w:val="none" w:sz="0" w:space="0" w:color="auto"/>
                <w:right w:val="none" w:sz="0" w:space="0" w:color="auto"/>
              </w:divBdr>
            </w:div>
            <w:div w:id="1979458354">
              <w:marLeft w:val="0"/>
              <w:marRight w:val="0"/>
              <w:marTop w:val="0"/>
              <w:marBottom w:val="0"/>
              <w:divBdr>
                <w:top w:val="none" w:sz="0" w:space="0" w:color="auto"/>
                <w:left w:val="none" w:sz="0" w:space="0" w:color="auto"/>
                <w:bottom w:val="none" w:sz="0" w:space="0" w:color="auto"/>
                <w:right w:val="none" w:sz="0" w:space="0" w:color="auto"/>
              </w:divBdr>
            </w:div>
          </w:divsChild>
        </w:div>
        <w:div w:id="487862407">
          <w:marLeft w:val="0"/>
          <w:marRight w:val="0"/>
          <w:marTop w:val="0"/>
          <w:marBottom w:val="0"/>
          <w:divBdr>
            <w:top w:val="none" w:sz="0" w:space="0" w:color="auto"/>
            <w:left w:val="none" w:sz="0" w:space="0" w:color="auto"/>
            <w:bottom w:val="none" w:sz="0" w:space="0" w:color="auto"/>
            <w:right w:val="none" w:sz="0" w:space="0" w:color="auto"/>
          </w:divBdr>
        </w:div>
        <w:div w:id="720175691">
          <w:marLeft w:val="0"/>
          <w:marRight w:val="0"/>
          <w:marTop w:val="0"/>
          <w:marBottom w:val="0"/>
          <w:divBdr>
            <w:top w:val="none" w:sz="0" w:space="0" w:color="auto"/>
            <w:left w:val="none" w:sz="0" w:space="0" w:color="auto"/>
            <w:bottom w:val="none" w:sz="0" w:space="0" w:color="auto"/>
            <w:right w:val="none" w:sz="0" w:space="0" w:color="auto"/>
          </w:divBdr>
          <w:divsChild>
            <w:div w:id="185410954">
              <w:marLeft w:val="0"/>
              <w:marRight w:val="0"/>
              <w:marTop w:val="0"/>
              <w:marBottom w:val="0"/>
              <w:divBdr>
                <w:top w:val="none" w:sz="0" w:space="0" w:color="auto"/>
                <w:left w:val="none" w:sz="0" w:space="0" w:color="auto"/>
                <w:bottom w:val="none" w:sz="0" w:space="0" w:color="auto"/>
                <w:right w:val="none" w:sz="0" w:space="0" w:color="auto"/>
              </w:divBdr>
            </w:div>
            <w:div w:id="578179972">
              <w:marLeft w:val="0"/>
              <w:marRight w:val="0"/>
              <w:marTop w:val="0"/>
              <w:marBottom w:val="0"/>
              <w:divBdr>
                <w:top w:val="none" w:sz="0" w:space="0" w:color="auto"/>
                <w:left w:val="none" w:sz="0" w:space="0" w:color="auto"/>
                <w:bottom w:val="none" w:sz="0" w:space="0" w:color="auto"/>
                <w:right w:val="none" w:sz="0" w:space="0" w:color="auto"/>
              </w:divBdr>
            </w:div>
            <w:div w:id="708575413">
              <w:marLeft w:val="0"/>
              <w:marRight w:val="0"/>
              <w:marTop w:val="0"/>
              <w:marBottom w:val="0"/>
              <w:divBdr>
                <w:top w:val="none" w:sz="0" w:space="0" w:color="auto"/>
                <w:left w:val="none" w:sz="0" w:space="0" w:color="auto"/>
                <w:bottom w:val="none" w:sz="0" w:space="0" w:color="auto"/>
                <w:right w:val="none" w:sz="0" w:space="0" w:color="auto"/>
              </w:divBdr>
            </w:div>
            <w:div w:id="780225098">
              <w:marLeft w:val="0"/>
              <w:marRight w:val="0"/>
              <w:marTop w:val="0"/>
              <w:marBottom w:val="0"/>
              <w:divBdr>
                <w:top w:val="none" w:sz="0" w:space="0" w:color="auto"/>
                <w:left w:val="none" w:sz="0" w:space="0" w:color="auto"/>
                <w:bottom w:val="none" w:sz="0" w:space="0" w:color="auto"/>
                <w:right w:val="none" w:sz="0" w:space="0" w:color="auto"/>
              </w:divBdr>
            </w:div>
            <w:div w:id="800155817">
              <w:marLeft w:val="0"/>
              <w:marRight w:val="0"/>
              <w:marTop w:val="0"/>
              <w:marBottom w:val="0"/>
              <w:divBdr>
                <w:top w:val="none" w:sz="0" w:space="0" w:color="auto"/>
                <w:left w:val="none" w:sz="0" w:space="0" w:color="auto"/>
                <w:bottom w:val="none" w:sz="0" w:space="0" w:color="auto"/>
                <w:right w:val="none" w:sz="0" w:space="0" w:color="auto"/>
              </w:divBdr>
            </w:div>
            <w:div w:id="879434949">
              <w:marLeft w:val="0"/>
              <w:marRight w:val="0"/>
              <w:marTop w:val="0"/>
              <w:marBottom w:val="0"/>
              <w:divBdr>
                <w:top w:val="none" w:sz="0" w:space="0" w:color="auto"/>
                <w:left w:val="none" w:sz="0" w:space="0" w:color="auto"/>
                <w:bottom w:val="none" w:sz="0" w:space="0" w:color="auto"/>
                <w:right w:val="none" w:sz="0" w:space="0" w:color="auto"/>
              </w:divBdr>
            </w:div>
            <w:div w:id="911547780">
              <w:marLeft w:val="0"/>
              <w:marRight w:val="0"/>
              <w:marTop w:val="0"/>
              <w:marBottom w:val="0"/>
              <w:divBdr>
                <w:top w:val="none" w:sz="0" w:space="0" w:color="auto"/>
                <w:left w:val="none" w:sz="0" w:space="0" w:color="auto"/>
                <w:bottom w:val="none" w:sz="0" w:space="0" w:color="auto"/>
                <w:right w:val="none" w:sz="0" w:space="0" w:color="auto"/>
              </w:divBdr>
            </w:div>
            <w:div w:id="1011840034">
              <w:marLeft w:val="0"/>
              <w:marRight w:val="0"/>
              <w:marTop w:val="0"/>
              <w:marBottom w:val="0"/>
              <w:divBdr>
                <w:top w:val="none" w:sz="0" w:space="0" w:color="auto"/>
                <w:left w:val="none" w:sz="0" w:space="0" w:color="auto"/>
                <w:bottom w:val="none" w:sz="0" w:space="0" w:color="auto"/>
                <w:right w:val="none" w:sz="0" w:space="0" w:color="auto"/>
              </w:divBdr>
            </w:div>
            <w:div w:id="1122770156">
              <w:marLeft w:val="0"/>
              <w:marRight w:val="0"/>
              <w:marTop w:val="0"/>
              <w:marBottom w:val="0"/>
              <w:divBdr>
                <w:top w:val="none" w:sz="0" w:space="0" w:color="auto"/>
                <w:left w:val="none" w:sz="0" w:space="0" w:color="auto"/>
                <w:bottom w:val="none" w:sz="0" w:space="0" w:color="auto"/>
                <w:right w:val="none" w:sz="0" w:space="0" w:color="auto"/>
              </w:divBdr>
            </w:div>
            <w:div w:id="1210412304">
              <w:marLeft w:val="0"/>
              <w:marRight w:val="0"/>
              <w:marTop w:val="0"/>
              <w:marBottom w:val="0"/>
              <w:divBdr>
                <w:top w:val="none" w:sz="0" w:space="0" w:color="auto"/>
                <w:left w:val="none" w:sz="0" w:space="0" w:color="auto"/>
                <w:bottom w:val="none" w:sz="0" w:space="0" w:color="auto"/>
                <w:right w:val="none" w:sz="0" w:space="0" w:color="auto"/>
              </w:divBdr>
            </w:div>
            <w:div w:id="1337423225">
              <w:marLeft w:val="0"/>
              <w:marRight w:val="0"/>
              <w:marTop w:val="0"/>
              <w:marBottom w:val="0"/>
              <w:divBdr>
                <w:top w:val="none" w:sz="0" w:space="0" w:color="auto"/>
                <w:left w:val="none" w:sz="0" w:space="0" w:color="auto"/>
                <w:bottom w:val="none" w:sz="0" w:space="0" w:color="auto"/>
                <w:right w:val="none" w:sz="0" w:space="0" w:color="auto"/>
              </w:divBdr>
            </w:div>
            <w:div w:id="1503735352">
              <w:marLeft w:val="0"/>
              <w:marRight w:val="0"/>
              <w:marTop w:val="0"/>
              <w:marBottom w:val="0"/>
              <w:divBdr>
                <w:top w:val="none" w:sz="0" w:space="0" w:color="auto"/>
                <w:left w:val="none" w:sz="0" w:space="0" w:color="auto"/>
                <w:bottom w:val="none" w:sz="0" w:space="0" w:color="auto"/>
                <w:right w:val="none" w:sz="0" w:space="0" w:color="auto"/>
              </w:divBdr>
            </w:div>
            <w:div w:id="1530725463">
              <w:marLeft w:val="0"/>
              <w:marRight w:val="0"/>
              <w:marTop w:val="0"/>
              <w:marBottom w:val="0"/>
              <w:divBdr>
                <w:top w:val="none" w:sz="0" w:space="0" w:color="auto"/>
                <w:left w:val="none" w:sz="0" w:space="0" w:color="auto"/>
                <w:bottom w:val="none" w:sz="0" w:space="0" w:color="auto"/>
                <w:right w:val="none" w:sz="0" w:space="0" w:color="auto"/>
              </w:divBdr>
            </w:div>
            <w:div w:id="1544975689">
              <w:marLeft w:val="0"/>
              <w:marRight w:val="0"/>
              <w:marTop w:val="0"/>
              <w:marBottom w:val="0"/>
              <w:divBdr>
                <w:top w:val="none" w:sz="0" w:space="0" w:color="auto"/>
                <w:left w:val="none" w:sz="0" w:space="0" w:color="auto"/>
                <w:bottom w:val="none" w:sz="0" w:space="0" w:color="auto"/>
                <w:right w:val="none" w:sz="0" w:space="0" w:color="auto"/>
              </w:divBdr>
            </w:div>
            <w:div w:id="1645623908">
              <w:marLeft w:val="0"/>
              <w:marRight w:val="0"/>
              <w:marTop w:val="0"/>
              <w:marBottom w:val="0"/>
              <w:divBdr>
                <w:top w:val="none" w:sz="0" w:space="0" w:color="auto"/>
                <w:left w:val="none" w:sz="0" w:space="0" w:color="auto"/>
                <w:bottom w:val="none" w:sz="0" w:space="0" w:color="auto"/>
                <w:right w:val="none" w:sz="0" w:space="0" w:color="auto"/>
              </w:divBdr>
            </w:div>
            <w:div w:id="1726368923">
              <w:marLeft w:val="0"/>
              <w:marRight w:val="0"/>
              <w:marTop w:val="0"/>
              <w:marBottom w:val="0"/>
              <w:divBdr>
                <w:top w:val="none" w:sz="0" w:space="0" w:color="auto"/>
                <w:left w:val="none" w:sz="0" w:space="0" w:color="auto"/>
                <w:bottom w:val="none" w:sz="0" w:space="0" w:color="auto"/>
                <w:right w:val="none" w:sz="0" w:space="0" w:color="auto"/>
              </w:divBdr>
            </w:div>
            <w:div w:id="1779371532">
              <w:marLeft w:val="0"/>
              <w:marRight w:val="0"/>
              <w:marTop w:val="0"/>
              <w:marBottom w:val="0"/>
              <w:divBdr>
                <w:top w:val="none" w:sz="0" w:space="0" w:color="auto"/>
                <w:left w:val="none" w:sz="0" w:space="0" w:color="auto"/>
                <w:bottom w:val="none" w:sz="0" w:space="0" w:color="auto"/>
                <w:right w:val="none" w:sz="0" w:space="0" w:color="auto"/>
              </w:divBdr>
            </w:div>
            <w:div w:id="1796949462">
              <w:marLeft w:val="0"/>
              <w:marRight w:val="0"/>
              <w:marTop w:val="0"/>
              <w:marBottom w:val="0"/>
              <w:divBdr>
                <w:top w:val="none" w:sz="0" w:space="0" w:color="auto"/>
                <w:left w:val="none" w:sz="0" w:space="0" w:color="auto"/>
                <w:bottom w:val="none" w:sz="0" w:space="0" w:color="auto"/>
                <w:right w:val="none" w:sz="0" w:space="0" w:color="auto"/>
              </w:divBdr>
            </w:div>
            <w:div w:id="1927036174">
              <w:marLeft w:val="0"/>
              <w:marRight w:val="0"/>
              <w:marTop w:val="0"/>
              <w:marBottom w:val="0"/>
              <w:divBdr>
                <w:top w:val="none" w:sz="0" w:space="0" w:color="auto"/>
                <w:left w:val="none" w:sz="0" w:space="0" w:color="auto"/>
                <w:bottom w:val="none" w:sz="0" w:space="0" w:color="auto"/>
                <w:right w:val="none" w:sz="0" w:space="0" w:color="auto"/>
              </w:divBdr>
            </w:div>
            <w:div w:id="2036543256">
              <w:marLeft w:val="0"/>
              <w:marRight w:val="0"/>
              <w:marTop w:val="0"/>
              <w:marBottom w:val="0"/>
              <w:divBdr>
                <w:top w:val="none" w:sz="0" w:space="0" w:color="auto"/>
                <w:left w:val="none" w:sz="0" w:space="0" w:color="auto"/>
                <w:bottom w:val="none" w:sz="0" w:space="0" w:color="auto"/>
                <w:right w:val="none" w:sz="0" w:space="0" w:color="auto"/>
              </w:divBdr>
            </w:div>
          </w:divsChild>
        </w:div>
        <w:div w:id="1033505092">
          <w:marLeft w:val="0"/>
          <w:marRight w:val="0"/>
          <w:marTop w:val="0"/>
          <w:marBottom w:val="0"/>
          <w:divBdr>
            <w:top w:val="none" w:sz="0" w:space="0" w:color="auto"/>
            <w:left w:val="none" w:sz="0" w:space="0" w:color="auto"/>
            <w:bottom w:val="none" w:sz="0" w:space="0" w:color="auto"/>
            <w:right w:val="none" w:sz="0" w:space="0" w:color="auto"/>
          </w:divBdr>
        </w:div>
        <w:div w:id="1264652569">
          <w:marLeft w:val="0"/>
          <w:marRight w:val="0"/>
          <w:marTop w:val="0"/>
          <w:marBottom w:val="0"/>
          <w:divBdr>
            <w:top w:val="none" w:sz="0" w:space="0" w:color="auto"/>
            <w:left w:val="none" w:sz="0" w:space="0" w:color="auto"/>
            <w:bottom w:val="none" w:sz="0" w:space="0" w:color="auto"/>
            <w:right w:val="none" w:sz="0" w:space="0" w:color="auto"/>
          </w:divBdr>
          <w:divsChild>
            <w:div w:id="19360246">
              <w:marLeft w:val="0"/>
              <w:marRight w:val="0"/>
              <w:marTop w:val="0"/>
              <w:marBottom w:val="0"/>
              <w:divBdr>
                <w:top w:val="none" w:sz="0" w:space="0" w:color="auto"/>
                <w:left w:val="none" w:sz="0" w:space="0" w:color="auto"/>
                <w:bottom w:val="none" w:sz="0" w:space="0" w:color="auto"/>
                <w:right w:val="none" w:sz="0" w:space="0" w:color="auto"/>
              </w:divBdr>
            </w:div>
            <w:div w:id="167452085">
              <w:marLeft w:val="0"/>
              <w:marRight w:val="0"/>
              <w:marTop w:val="0"/>
              <w:marBottom w:val="0"/>
              <w:divBdr>
                <w:top w:val="none" w:sz="0" w:space="0" w:color="auto"/>
                <w:left w:val="none" w:sz="0" w:space="0" w:color="auto"/>
                <w:bottom w:val="none" w:sz="0" w:space="0" w:color="auto"/>
                <w:right w:val="none" w:sz="0" w:space="0" w:color="auto"/>
              </w:divBdr>
            </w:div>
            <w:div w:id="310670724">
              <w:marLeft w:val="0"/>
              <w:marRight w:val="0"/>
              <w:marTop w:val="0"/>
              <w:marBottom w:val="0"/>
              <w:divBdr>
                <w:top w:val="none" w:sz="0" w:space="0" w:color="auto"/>
                <w:left w:val="none" w:sz="0" w:space="0" w:color="auto"/>
                <w:bottom w:val="none" w:sz="0" w:space="0" w:color="auto"/>
                <w:right w:val="none" w:sz="0" w:space="0" w:color="auto"/>
              </w:divBdr>
            </w:div>
            <w:div w:id="599342025">
              <w:marLeft w:val="0"/>
              <w:marRight w:val="0"/>
              <w:marTop w:val="0"/>
              <w:marBottom w:val="0"/>
              <w:divBdr>
                <w:top w:val="none" w:sz="0" w:space="0" w:color="auto"/>
                <w:left w:val="none" w:sz="0" w:space="0" w:color="auto"/>
                <w:bottom w:val="none" w:sz="0" w:space="0" w:color="auto"/>
                <w:right w:val="none" w:sz="0" w:space="0" w:color="auto"/>
              </w:divBdr>
            </w:div>
            <w:div w:id="640694845">
              <w:marLeft w:val="0"/>
              <w:marRight w:val="0"/>
              <w:marTop w:val="0"/>
              <w:marBottom w:val="0"/>
              <w:divBdr>
                <w:top w:val="none" w:sz="0" w:space="0" w:color="auto"/>
                <w:left w:val="none" w:sz="0" w:space="0" w:color="auto"/>
                <w:bottom w:val="none" w:sz="0" w:space="0" w:color="auto"/>
                <w:right w:val="none" w:sz="0" w:space="0" w:color="auto"/>
              </w:divBdr>
            </w:div>
            <w:div w:id="1215847469">
              <w:marLeft w:val="0"/>
              <w:marRight w:val="0"/>
              <w:marTop w:val="0"/>
              <w:marBottom w:val="0"/>
              <w:divBdr>
                <w:top w:val="none" w:sz="0" w:space="0" w:color="auto"/>
                <w:left w:val="none" w:sz="0" w:space="0" w:color="auto"/>
                <w:bottom w:val="none" w:sz="0" w:space="0" w:color="auto"/>
                <w:right w:val="none" w:sz="0" w:space="0" w:color="auto"/>
              </w:divBdr>
            </w:div>
            <w:div w:id="1503353130">
              <w:marLeft w:val="0"/>
              <w:marRight w:val="0"/>
              <w:marTop w:val="0"/>
              <w:marBottom w:val="0"/>
              <w:divBdr>
                <w:top w:val="none" w:sz="0" w:space="0" w:color="auto"/>
                <w:left w:val="none" w:sz="0" w:space="0" w:color="auto"/>
                <w:bottom w:val="none" w:sz="0" w:space="0" w:color="auto"/>
                <w:right w:val="none" w:sz="0" w:space="0" w:color="auto"/>
              </w:divBdr>
            </w:div>
            <w:div w:id="1782917460">
              <w:marLeft w:val="0"/>
              <w:marRight w:val="0"/>
              <w:marTop w:val="0"/>
              <w:marBottom w:val="0"/>
              <w:divBdr>
                <w:top w:val="none" w:sz="0" w:space="0" w:color="auto"/>
                <w:left w:val="none" w:sz="0" w:space="0" w:color="auto"/>
                <w:bottom w:val="none" w:sz="0" w:space="0" w:color="auto"/>
                <w:right w:val="none" w:sz="0" w:space="0" w:color="auto"/>
              </w:divBdr>
            </w:div>
            <w:div w:id="1950552487">
              <w:marLeft w:val="0"/>
              <w:marRight w:val="0"/>
              <w:marTop w:val="0"/>
              <w:marBottom w:val="0"/>
              <w:divBdr>
                <w:top w:val="none" w:sz="0" w:space="0" w:color="auto"/>
                <w:left w:val="none" w:sz="0" w:space="0" w:color="auto"/>
                <w:bottom w:val="none" w:sz="0" w:space="0" w:color="auto"/>
                <w:right w:val="none" w:sz="0" w:space="0" w:color="auto"/>
              </w:divBdr>
            </w:div>
            <w:div w:id="1980568192">
              <w:marLeft w:val="0"/>
              <w:marRight w:val="0"/>
              <w:marTop w:val="0"/>
              <w:marBottom w:val="0"/>
              <w:divBdr>
                <w:top w:val="none" w:sz="0" w:space="0" w:color="auto"/>
                <w:left w:val="none" w:sz="0" w:space="0" w:color="auto"/>
                <w:bottom w:val="none" w:sz="0" w:space="0" w:color="auto"/>
                <w:right w:val="none" w:sz="0" w:space="0" w:color="auto"/>
              </w:divBdr>
            </w:div>
            <w:div w:id="2106419107">
              <w:marLeft w:val="0"/>
              <w:marRight w:val="0"/>
              <w:marTop w:val="0"/>
              <w:marBottom w:val="0"/>
              <w:divBdr>
                <w:top w:val="none" w:sz="0" w:space="0" w:color="auto"/>
                <w:left w:val="none" w:sz="0" w:space="0" w:color="auto"/>
                <w:bottom w:val="none" w:sz="0" w:space="0" w:color="auto"/>
                <w:right w:val="none" w:sz="0" w:space="0" w:color="auto"/>
              </w:divBdr>
            </w:div>
          </w:divsChild>
        </w:div>
        <w:div w:id="1621298744">
          <w:marLeft w:val="0"/>
          <w:marRight w:val="0"/>
          <w:marTop w:val="0"/>
          <w:marBottom w:val="0"/>
          <w:divBdr>
            <w:top w:val="none" w:sz="0" w:space="0" w:color="auto"/>
            <w:left w:val="none" w:sz="0" w:space="0" w:color="auto"/>
            <w:bottom w:val="none" w:sz="0" w:space="0" w:color="auto"/>
            <w:right w:val="none" w:sz="0" w:space="0" w:color="auto"/>
          </w:divBdr>
          <w:divsChild>
            <w:div w:id="57825163">
              <w:marLeft w:val="0"/>
              <w:marRight w:val="0"/>
              <w:marTop w:val="0"/>
              <w:marBottom w:val="0"/>
              <w:divBdr>
                <w:top w:val="none" w:sz="0" w:space="0" w:color="auto"/>
                <w:left w:val="none" w:sz="0" w:space="0" w:color="auto"/>
                <w:bottom w:val="none" w:sz="0" w:space="0" w:color="auto"/>
                <w:right w:val="none" w:sz="0" w:space="0" w:color="auto"/>
              </w:divBdr>
            </w:div>
            <w:div w:id="126630348">
              <w:marLeft w:val="0"/>
              <w:marRight w:val="0"/>
              <w:marTop w:val="0"/>
              <w:marBottom w:val="0"/>
              <w:divBdr>
                <w:top w:val="none" w:sz="0" w:space="0" w:color="auto"/>
                <w:left w:val="none" w:sz="0" w:space="0" w:color="auto"/>
                <w:bottom w:val="none" w:sz="0" w:space="0" w:color="auto"/>
                <w:right w:val="none" w:sz="0" w:space="0" w:color="auto"/>
              </w:divBdr>
            </w:div>
            <w:div w:id="321397007">
              <w:marLeft w:val="0"/>
              <w:marRight w:val="0"/>
              <w:marTop w:val="0"/>
              <w:marBottom w:val="0"/>
              <w:divBdr>
                <w:top w:val="none" w:sz="0" w:space="0" w:color="auto"/>
                <w:left w:val="none" w:sz="0" w:space="0" w:color="auto"/>
                <w:bottom w:val="none" w:sz="0" w:space="0" w:color="auto"/>
                <w:right w:val="none" w:sz="0" w:space="0" w:color="auto"/>
              </w:divBdr>
            </w:div>
            <w:div w:id="534543979">
              <w:marLeft w:val="0"/>
              <w:marRight w:val="0"/>
              <w:marTop w:val="0"/>
              <w:marBottom w:val="0"/>
              <w:divBdr>
                <w:top w:val="none" w:sz="0" w:space="0" w:color="auto"/>
                <w:left w:val="none" w:sz="0" w:space="0" w:color="auto"/>
                <w:bottom w:val="none" w:sz="0" w:space="0" w:color="auto"/>
                <w:right w:val="none" w:sz="0" w:space="0" w:color="auto"/>
              </w:divBdr>
            </w:div>
            <w:div w:id="574559466">
              <w:marLeft w:val="0"/>
              <w:marRight w:val="0"/>
              <w:marTop w:val="0"/>
              <w:marBottom w:val="0"/>
              <w:divBdr>
                <w:top w:val="none" w:sz="0" w:space="0" w:color="auto"/>
                <w:left w:val="none" w:sz="0" w:space="0" w:color="auto"/>
                <w:bottom w:val="none" w:sz="0" w:space="0" w:color="auto"/>
                <w:right w:val="none" w:sz="0" w:space="0" w:color="auto"/>
              </w:divBdr>
            </w:div>
            <w:div w:id="595481641">
              <w:marLeft w:val="0"/>
              <w:marRight w:val="0"/>
              <w:marTop w:val="0"/>
              <w:marBottom w:val="0"/>
              <w:divBdr>
                <w:top w:val="none" w:sz="0" w:space="0" w:color="auto"/>
                <w:left w:val="none" w:sz="0" w:space="0" w:color="auto"/>
                <w:bottom w:val="none" w:sz="0" w:space="0" w:color="auto"/>
                <w:right w:val="none" w:sz="0" w:space="0" w:color="auto"/>
              </w:divBdr>
            </w:div>
            <w:div w:id="686297897">
              <w:marLeft w:val="0"/>
              <w:marRight w:val="0"/>
              <w:marTop w:val="0"/>
              <w:marBottom w:val="0"/>
              <w:divBdr>
                <w:top w:val="none" w:sz="0" w:space="0" w:color="auto"/>
                <w:left w:val="none" w:sz="0" w:space="0" w:color="auto"/>
                <w:bottom w:val="none" w:sz="0" w:space="0" w:color="auto"/>
                <w:right w:val="none" w:sz="0" w:space="0" w:color="auto"/>
              </w:divBdr>
            </w:div>
            <w:div w:id="789981476">
              <w:marLeft w:val="0"/>
              <w:marRight w:val="0"/>
              <w:marTop w:val="0"/>
              <w:marBottom w:val="0"/>
              <w:divBdr>
                <w:top w:val="none" w:sz="0" w:space="0" w:color="auto"/>
                <w:left w:val="none" w:sz="0" w:space="0" w:color="auto"/>
                <w:bottom w:val="none" w:sz="0" w:space="0" w:color="auto"/>
                <w:right w:val="none" w:sz="0" w:space="0" w:color="auto"/>
              </w:divBdr>
            </w:div>
            <w:div w:id="898705706">
              <w:marLeft w:val="0"/>
              <w:marRight w:val="0"/>
              <w:marTop w:val="0"/>
              <w:marBottom w:val="0"/>
              <w:divBdr>
                <w:top w:val="none" w:sz="0" w:space="0" w:color="auto"/>
                <w:left w:val="none" w:sz="0" w:space="0" w:color="auto"/>
                <w:bottom w:val="none" w:sz="0" w:space="0" w:color="auto"/>
                <w:right w:val="none" w:sz="0" w:space="0" w:color="auto"/>
              </w:divBdr>
            </w:div>
            <w:div w:id="1222910523">
              <w:marLeft w:val="0"/>
              <w:marRight w:val="0"/>
              <w:marTop w:val="0"/>
              <w:marBottom w:val="0"/>
              <w:divBdr>
                <w:top w:val="none" w:sz="0" w:space="0" w:color="auto"/>
                <w:left w:val="none" w:sz="0" w:space="0" w:color="auto"/>
                <w:bottom w:val="none" w:sz="0" w:space="0" w:color="auto"/>
                <w:right w:val="none" w:sz="0" w:space="0" w:color="auto"/>
              </w:divBdr>
            </w:div>
            <w:div w:id="1236013018">
              <w:marLeft w:val="0"/>
              <w:marRight w:val="0"/>
              <w:marTop w:val="0"/>
              <w:marBottom w:val="0"/>
              <w:divBdr>
                <w:top w:val="none" w:sz="0" w:space="0" w:color="auto"/>
                <w:left w:val="none" w:sz="0" w:space="0" w:color="auto"/>
                <w:bottom w:val="none" w:sz="0" w:space="0" w:color="auto"/>
                <w:right w:val="none" w:sz="0" w:space="0" w:color="auto"/>
              </w:divBdr>
            </w:div>
            <w:div w:id="1323658183">
              <w:marLeft w:val="0"/>
              <w:marRight w:val="0"/>
              <w:marTop w:val="0"/>
              <w:marBottom w:val="0"/>
              <w:divBdr>
                <w:top w:val="none" w:sz="0" w:space="0" w:color="auto"/>
                <w:left w:val="none" w:sz="0" w:space="0" w:color="auto"/>
                <w:bottom w:val="none" w:sz="0" w:space="0" w:color="auto"/>
                <w:right w:val="none" w:sz="0" w:space="0" w:color="auto"/>
              </w:divBdr>
            </w:div>
            <w:div w:id="1385787852">
              <w:marLeft w:val="0"/>
              <w:marRight w:val="0"/>
              <w:marTop w:val="0"/>
              <w:marBottom w:val="0"/>
              <w:divBdr>
                <w:top w:val="none" w:sz="0" w:space="0" w:color="auto"/>
                <w:left w:val="none" w:sz="0" w:space="0" w:color="auto"/>
                <w:bottom w:val="none" w:sz="0" w:space="0" w:color="auto"/>
                <w:right w:val="none" w:sz="0" w:space="0" w:color="auto"/>
              </w:divBdr>
            </w:div>
            <w:div w:id="1408842118">
              <w:marLeft w:val="0"/>
              <w:marRight w:val="0"/>
              <w:marTop w:val="0"/>
              <w:marBottom w:val="0"/>
              <w:divBdr>
                <w:top w:val="none" w:sz="0" w:space="0" w:color="auto"/>
                <w:left w:val="none" w:sz="0" w:space="0" w:color="auto"/>
                <w:bottom w:val="none" w:sz="0" w:space="0" w:color="auto"/>
                <w:right w:val="none" w:sz="0" w:space="0" w:color="auto"/>
              </w:divBdr>
            </w:div>
            <w:div w:id="1570916605">
              <w:marLeft w:val="0"/>
              <w:marRight w:val="0"/>
              <w:marTop w:val="0"/>
              <w:marBottom w:val="0"/>
              <w:divBdr>
                <w:top w:val="none" w:sz="0" w:space="0" w:color="auto"/>
                <w:left w:val="none" w:sz="0" w:space="0" w:color="auto"/>
                <w:bottom w:val="none" w:sz="0" w:space="0" w:color="auto"/>
                <w:right w:val="none" w:sz="0" w:space="0" w:color="auto"/>
              </w:divBdr>
            </w:div>
            <w:div w:id="1690066786">
              <w:marLeft w:val="0"/>
              <w:marRight w:val="0"/>
              <w:marTop w:val="0"/>
              <w:marBottom w:val="0"/>
              <w:divBdr>
                <w:top w:val="none" w:sz="0" w:space="0" w:color="auto"/>
                <w:left w:val="none" w:sz="0" w:space="0" w:color="auto"/>
                <w:bottom w:val="none" w:sz="0" w:space="0" w:color="auto"/>
                <w:right w:val="none" w:sz="0" w:space="0" w:color="auto"/>
              </w:divBdr>
            </w:div>
            <w:div w:id="1709065906">
              <w:marLeft w:val="0"/>
              <w:marRight w:val="0"/>
              <w:marTop w:val="0"/>
              <w:marBottom w:val="0"/>
              <w:divBdr>
                <w:top w:val="none" w:sz="0" w:space="0" w:color="auto"/>
                <w:left w:val="none" w:sz="0" w:space="0" w:color="auto"/>
                <w:bottom w:val="none" w:sz="0" w:space="0" w:color="auto"/>
                <w:right w:val="none" w:sz="0" w:space="0" w:color="auto"/>
              </w:divBdr>
            </w:div>
            <w:div w:id="1750537892">
              <w:marLeft w:val="0"/>
              <w:marRight w:val="0"/>
              <w:marTop w:val="0"/>
              <w:marBottom w:val="0"/>
              <w:divBdr>
                <w:top w:val="none" w:sz="0" w:space="0" w:color="auto"/>
                <w:left w:val="none" w:sz="0" w:space="0" w:color="auto"/>
                <w:bottom w:val="none" w:sz="0" w:space="0" w:color="auto"/>
                <w:right w:val="none" w:sz="0" w:space="0" w:color="auto"/>
              </w:divBdr>
            </w:div>
            <w:div w:id="2085175976">
              <w:marLeft w:val="0"/>
              <w:marRight w:val="0"/>
              <w:marTop w:val="0"/>
              <w:marBottom w:val="0"/>
              <w:divBdr>
                <w:top w:val="none" w:sz="0" w:space="0" w:color="auto"/>
                <w:left w:val="none" w:sz="0" w:space="0" w:color="auto"/>
                <w:bottom w:val="none" w:sz="0" w:space="0" w:color="auto"/>
                <w:right w:val="none" w:sz="0" w:space="0" w:color="auto"/>
              </w:divBdr>
            </w:div>
          </w:divsChild>
        </w:div>
        <w:div w:id="1785881270">
          <w:marLeft w:val="0"/>
          <w:marRight w:val="0"/>
          <w:marTop w:val="0"/>
          <w:marBottom w:val="0"/>
          <w:divBdr>
            <w:top w:val="none" w:sz="0" w:space="0" w:color="auto"/>
            <w:left w:val="none" w:sz="0" w:space="0" w:color="auto"/>
            <w:bottom w:val="none" w:sz="0" w:space="0" w:color="auto"/>
            <w:right w:val="none" w:sz="0" w:space="0" w:color="auto"/>
          </w:divBdr>
          <w:divsChild>
            <w:div w:id="89547904">
              <w:marLeft w:val="0"/>
              <w:marRight w:val="0"/>
              <w:marTop w:val="0"/>
              <w:marBottom w:val="0"/>
              <w:divBdr>
                <w:top w:val="none" w:sz="0" w:space="0" w:color="auto"/>
                <w:left w:val="none" w:sz="0" w:space="0" w:color="auto"/>
                <w:bottom w:val="none" w:sz="0" w:space="0" w:color="auto"/>
                <w:right w:val="none" w:sz="0" w:space="0" w:color="auto"/>
              </w:divBdr>
            </w:div>
            <w:div w:id="104545674">
              <w:marLeft w:val="0"/>
              <w:marRight w:val="0"/>
              <w:marTop w:val="0"/>
              <w:marBottom w:val="0"/>
              <w:divBdr>
                <w:top w:val="none" w:sz="0" w:space="0" w:color="auto"/>
                <w:left w:val="none" w:sz="0" w:space="0" w:color="auto"/>
                <w:bottom w:val="none" w:sz="0" w:space="0" w:color="auto"/>
                <w:right w:val="none" w:sz="0" w:space="0" w:color="auto"/>
              </w:divBdr>
            </w:div>
            <w:div w:id="132791414">
              <w:marLeft w:val="0"/>
              <w:marRight w:val="0"/>
              <w:marTop w:val="0"/>
              <w:marBottom w:val="0"/>
              <w:divBdr>
                <w:top w:val="none" w:sz="0" w:space="0" w:color="auto"/>
                <w:left w:val="none" w:sz="0" w:space="0" w:color="auto"/>
                <w:bottom w:val="none" w:sz="0" w:space="0" w:color="auto"/>
                <w:right w:val="none" w:sz="0" w:space="0" w:color="auto"/>
              </w:divBdr>
            </w:div>
            <w:div w:id="232742080">
              <w:marLeft w:val="0"/>
              <w:marRight w:val="0"/>
              <w:marTop w:val="0"/>
              <w:marBottom w:val="0"/>
              <w:divBdr>
                <w:top w:val="none" w:sz="0" w:space="0" w:color="auto"/>
                <w:left w:val="none" w:sz="0" w:space="0" w:color="auto"/>
                <w:bottom w:val="none" w:sz="0" w:space="0" w:color="auto"/>
                <w:right w:val="none" w:sz="0" w:space="0" w:color="auto"/>
              </w:divBdr>
            </w:div>
            <w:div w:id="236791572">
              <w:marLeft w:val="0"/>
              <w:marRight w:val="0"/>
              <w:marTop w:val="0"/>
              <w:marBottom w:val="0"/>
              <w:divBdr>
                <w:top w:val="none" w:sz="0" w:space="0" w:color="auto"/>
                <w:left w:val="none" w:sz="0" w:space="0" w:color="auto"/>
                <w:bottom w:val="none" w:sz="0" w:space="0" w:color="auto"/>
                <w:right w:val="none" w:sz="0" w:space="0" w:color="auto"/>
              </w:divBdr>
            </w:div>
            <w:div w:id="709304047">
              <w:marLeft w:val="0"/>
              <w:marRight w:val="0"/>
              <w:marTop w:val="0"/>
              <w:marBottom w:val="0"/>
              <w:divBdr>
                <w:top w:val="none" w:sz="0" w:space="0" w:color="auto"/>
                <w:left w:val="none" w:sz="0" w:space="0" w:color="auto"/>
                <w:bottom w:val="none" w:sz="0" w:space="0" w:color="auto"/>
                <w:right w:val="none" w:sz="0" w:space="0" w:color="auto"/>
              </w:divBdr>
            </w:div>
            <w:div w:id="1035156133">
              <w:marLeft w:val="0"/>
              <w:marRight w:val="0"/>
              <w:marTop w:val="0"/>
              <w:marBottom w:val="0"/>
              <w:divBdr>
                <w:top w:val="none" w:sz="0" w:space="0" w:color="auto"/>
                <w:left w:val="none" w:sz="0" w:space="0" w:color="auto"/>
                <w:bottom w:val="none" w:sz="0" w:space="0" w:color="auto"/>
                <w:right w:val="none" w:sz="0" w:space="0" w:color="auto"/>
              </w:divBdr>
            </w:div>
            <w:div w:id="1538271068">
              <w:marLeft w:val="0"/>
              <w:marRight w:val="0"/>
              <w:marTop w:val="0"/>
              <w:marBottom w:val="0"/>
              <w:divBdr>
                <w:top w:val="none" w:sz="0" w:space="0" w:color="auto"/>
                <w:left w:val="none" w:sz="0" w:space="0" w:color="auto"/>
                <w:bottom w:val="none" w:sz="0" w:space="0" w:color="auto"/>
                <w:right w:val="none" w:sz="0" w:space="0" w:color="auto"/>
              </w:divBdr>
            </w:div>
            <w:div w:id="1559198094">
              <w:marLeft w:val="0"/>
              <w:marRight w:val="0"/>
              <w:marTop w:val="0"/>
              <w:marBottom w:val="0"/>
              <w:divBdr>
                <w:top w:val="none" w:sz="0" w:space="0" w:color="auto"/>
                <w:left w:val="none" w:sz="0" w:space="0" w:color="auto"/>
                <w:bottom w:val="none" w:sz="0" w:space="0" w:color="auto"/>
                <w:right w:val="none" w:sz="0" w:space="0" w:color="auto"/>
              </w:divBdr>
            </w:div>
            <w:div w:id="1573545231">
              <w:marLeft w:val="0"/>
              <w:marRight w:val="0"/>
              <w:marTop w:val="0"/>
              <w:marBottom w:val="0"/>
              <w:divBdr>
                <w:top w:val="none" w:sz="0" w:space="0" w:color="auto"/>
                <w:left w:val="none" w:sz="0" w:space="0" w:color="auto"/>
                <w:bottom w:val="none" w:sz="0" w:space="0" w:color="auto"/>
                <w:right w:val="none" w:sz="0" w:space="0" w:color="auto"/>
              </w:divBdr>
            </w:div>
            <w:div w:id="1775710790">
              <w:marLeft w:val="0"/>
              <w:marRight w:val="0"/>
              <w:marTop w:val="0"/>
              <w:marBottom w:val="0"/>
              <w:divBdr>
                <w:top w:val="none" w:sz="0" w:space="0" w:color="auto"/>
                <w:left w:val="none" w:sz="0" w:space="0" w:color="auto"/>
                <w:bottom w:val="none" w:sz="0" w:space="0" w:color="auto"/>
                <w:right w:val="none" w:sz="0" w:space="0" w:color="auto"/>
              </w:divBdr>
            </w:div>
            <w:div w:id="1797217902">
              <w:marLeft w:val="0"/>
              <w:marRight w:val="0"/>
              <w:marTop w:val="0"/>
              <w:marBottom w:val="0"/>
              <w:divBdr>
                <w:top w:val="none" w:sz="0" w:space="0" w:color="auto"/>
                <w:left w:val="none" w:sz="0" w:space="0" w:color="auto"/>
                <w:bottom w:val="none" w:sz="0" w:space="0" w:color="auto"/>
                <w:right w:val="none" w:sz="0" w:space="0" w:color="auto"/>
              </w:divBdr>
            </w:div>
          </w:divsChild>
        </w:div>
        <w:div w:id="2086487028">
          <w:marLeft w:val="0"/>
          <w:marRight w:val="0"/>
          <w:marTop w:val="0"/>
          <w:marBottom w:val="0"/>
          <w:divBdr>
            <w:top w:val="none" w:sz="0" w:space="0" w:color="auto"/>
            <w:left w:val="none" w:sz="0" w:space="0" w:color="auto"/>
            <w:bottom w:val="none" w:sz="0" w:space="0" w:color="auto"/>
            <w:right w:val="none" w:sz="0" w:space="0" w:color="auto"/>
          </w:divBdr>
          <w:divsChild>
            <w:div w:id="39788000">
              <w:marLeft w:val="0"/>
              <w:marRight w:val="0"/>
              <w:marTop w:val="0"/>
              <w:marBottom w:val="0"/>
              <w:divBdr>
                <w:top w:val="none" w:sz="0" w:space="0" w:color="auto"/>
                <w:left w:val="none" w:sz="0" w:space="0" w:color="auto"/>
                <w:bottom w:val="none" w:sz="0" w:space="0" w:color="auto"/>
                <w:right w:val="none" w:sz="0" w:space="0" w:color="auto"/>
              </w:divBdr>
            </w:div>
            <w:div w:id="52700633">
              <w:marLeft w:val="0"/>
              <w:marRight w:val="0"/>
              <w:marTop w:val="0"/>
              <w:marBottom w:val="0"/>
              <w:divBdr>
                <w:top w:val="none" w:sz="0" w:space="0" w:color="auto"/>
                <w:left w:val="none" w:sz="0" w:space="0" w:color="auto"/>
                <w:bottom w:val="none" w:sz="0" w:space="0" w:color="auto"/>
                <w:right w:val="none" w:sz="0" w:space="0" w:color="auto"/>
              </w:divBdr>
            </w:div>
            <w:div w:id="118382681">
              <w:marLeft w:val="0"/>
              <w:marRight w:val="0"/>
              <w:marTop w:val="0"/>
              <w:marBottom w:val="0"/>
              <w:divBdr>
                <w:top w:val="none" w:sz="0" w:space="0" w:color="auto"/>
                <w:left w:val="none" w:sz="0" w:space="0" w:color="auto"/>
                <w:bottom w:val="none" w:sz="0" w:space="0" w:color="auto"/>
                <w:right w:val="none" w:sz="0" w:space="0" w:color="auto"/>
              </w:divBdr>
            </w:div>
            <w:div w:id="154762723">
              <w:marLeft w:val="0"/>
              <w:marRight w:val="0"/>
              <w:marTop w:val="0"/>
              <w:marBottom w:val="0"/>
              <w:divBdr>
                <w:top w:val="none" w:sz="0" w:space="0" w:color="auto"/>
                <w:left w:val="none" w:sz="0" w:space="0" w:color="auto"/>
                <w:bottom w:val="none" w:sz="0" w:space="0" w:color="auto"/>
                <w:right w:val="none" w:sz="0" w:space="0" w:color="auto"/>
              </w:divBdr>
            </w:div>
            <w:div w:id="265619260">
              <w:marLeft w:val="0"/>
              <w:marRight w:val="0"/>
              <w:marTop w:val="0"/>
              <w:marBottom w:val="0"/>
              <w:divBdr>
                <w:top w:val="none" w:sz="0" w:space="0" w:color="auto"/>
                <w:left w:val="none" w:sz="0" w:space="0" w:color="auto"/>
                <w:bottom w:val="none" w:sz="0" w:space="0" w:color="auto"/>
                <w:right w:val="none" w:sz="0" w:space="0" w:color="auto"/>
              </w:divBdr>
            </w:div>
            <w:div w:id="266238208">
              <w:marLeft w:val="0"/>
              <w:marRight w:val="0"/>
              <w:marTop w:val="0"/>
              <w:marBottom w:val="0"/>
              <w:divBdr>
                <w:top w:val="none" w:sz="0" w:space="0" w:color="auto"/>
                <w:left w:val="none" w:sz="0" w:space="0" w:color="auto"/>
                <w:bottom w:val="none" w:sz="0" w:space="0" w:color="auto"/>
                <w:right w:val="none" w:sz="0" w:space="0" w:color="auto"/>
              </w:divBdr>
            </w:div>
            <w:div w:id="277108095">
              <w:marLeft w:val="0"/>
              <w:marRight w:val="0"/>
              <w:marTop w:val="0"/>
              <w:marBottom w:val="0"/>
              <w:divBdr>
                <w:top w:val="none" w:sz="0" w:space="0" w:color="auto"/>
                <w:left w:val="none" w:sz="0" w:space="0" w:color="auto"/>
                <w:bottom w:val="none" w:sz="0" w:space="0" w:color="auto"/>
                <w:right w:val="none" w:sz="0" w:space="0" w:color="auto"/>
              </w:divBdr>
            </w:div>
            <w:div w:id="362288797">
              <w:marLeft w:val="0"/>
              <w:marRight w:val="0"/>
              <w:marTop w:val="0"/>
              <w:marBottom w:val="0"/>
              <w:divBdr>
                <w:top w:val="none" w:sz="0" w:space="0" w:color="auto"/>
                <w:left w:val="none" w:sz="0" w:space="0" w:color="auto"/>
                <w:bottom w:val="none" w:sz="0" w:space="0" w:color="auto"/>
                <w:right w:val="none" w:sz="0" w:space="0" w:color="auto"/>
              </w:divBdr>
            </w:div>
            <w:div w:id="466164071">
              <w:marLeft w:val="0"/>
              <w:marRight w:val="0"/>
              <w:marTop w:val="0"/>
              <w:marBottom w:val="0"/>
              <w:divBdr>
                <w:top w:val="none" w:sz="0" w:space="0" w:color="auto"/>
                <w:left w:val="none" w:sz="0" w:space="0" w:color="auto"/>
                <w:bottom w:val="none" w:sz="0" w:space="0" w:color="auto"/>
                <w:right w:val="none" w:sz="0" w:space="0" w:color="auto"/>
              </w:divBdr>
            </w:div>
            <w:div w:id="549532561">
              <w:marLeft w:val="0"/>
              <w:marRight w:val="0"/>
              <w:marTop w:val="0"/>
              <w:marBottom w:val="0"/>
              <w:divBdr>
                <w:top w:val="none" w:sz="0" w:space="0" w:color="auto"/>
                <w:left w:val="none" w:sz="0" w:space="0" w:color="auto"/>
                <w:bottom w:val="none" w:sz="0" w:space="0" w:color="auto"/>
                <w:right w:val="none" w:sz="0" w:space="0" w:color="auto"/>
              </w:divBdr>
            </w:div>
            <w:div w:id="549654409">
              <w:marLeft w:val="0"/>
              <w:marRight w:val="0"/>
              <w:marTop w:val="0"/>
              <w:marBottom w:val="0"/>
              <w:divBdr>
                <w:top w:val="none" w:sz="0" w:space="0" w:color="auto"/>
                <w:left w:val="none" w:sz="0" w:space="0" w:color="auto"/>
                <w:bottom w:val="none" w:sz="0" w:space="0" w:color="auto"/>
                <w:right w:val="none" w:sz="0" w:space="0" w:color="auto"/>
              </w:divBdr>
            </w:div>
            <w:div w:id="744255196">
              <w:marLeft w:val="0"/>
              <w:marRight w:val="0"/>
              <w:marTop w:val="0"/>
              <w:marBottom w:val="0"/>
              <w:divBdr>
                <w:top w:val="none" w:sz="0" w:space="0" w:color="auto"/>
                <w:left w:val="none" w:sz="0" w:space="0" w:color="auto"/>
                <w:bottom w:val="none" w:sz="0" w:space="0" w:color="auto"/>
                <w:right w:val="none" w:sz="0" w:space="0" w:color="auto"/>
              </w:divBdr>
            </w:div>
            <w:div w:id="787087734">
              <w:marLeft w:val="0"/>
              <w:marRight w:val="0"/>
              <w:marTop w:val="0"/>
              <w:marBottom w:val="0"/>
              <w:divBdr>
                <w:top w:val="none" w:sz="0" w:space="0" w:color="auto"/>
                <w:left w:val="none" w:sz="0" w:space="0" w:color="auto"/>
                <w:bottom w:val="none" w:sz="0" w:space="0" w:color="auto"/>
                <w:right w:val="none" w:sz="0" w:space="0" w:color="auto"/>
              </w:divBdr>
            </w:div>
            <w:div w:id="800266506">
              <w:marLeft w:val="0"/>
              <w:marRight w:val="0"/>
              <w:marTop w:val="0"/>
              <w:marBottom w:val="0"/>
              <w:divBdr>
                <w:top w:val="none" w:sz="0" w:space="0" w:color="auto"/>
                <w:left w:val="none" w:sz="0" w:space="0" w:color="auto"/>
                <w:bottom w:val="none" w:sz="0" w:space="0" w:color="auto"/>
                <w:right w:val="none" w:sz="0" w:space="0" w:color="auto"/>
              </w:divBdr>
            </w:div>
            <w:div w:id="1029985277">
              <w:marLeft w:val="0"/>
              <w:marRight w:val="0"/>
              <w:marTop w:val="0"/>
              <w:marBottom w:val="0"/>
              <w:divBdr>
                <w:top w:val="none" w:sz="0" w:space="0" w:color="auto"/>
                <w:left w:val="none" w:sz="0" w:space="0" w:color="auto"/>
                <w:bottom w:val="none" w:sz="0" w:space="0" w:color="auto"/>
                <w:right w:val="none" w:sz="0" w:space="0" w:color="auto"/>
              </w:divBdr>
            </w:div>
            <w:div w:id="1277566880">
              <w:marLeft w:val="0"/>
              <w:marRight w:val="0"/>
              <w:marTop w:val="0"/>
              <w:marBottom w:val="0"/>
              <w:divBdr>
                <w:top w:val="none" w:sz="0" w:space="0" w:color="auto"/>
                <w:left w:val="none" w:sz="0" w:space="0" w:color="auto"/>
                <w:bottom w:val="none" w:sz="0" w:space="0" w:color="auto"/>
                <w:right w:val="none" w:sz="0" w:space="0" w:color="auto"/>
              </w:divBdr>
            </w:div>
            <w:div w:id="1437945045">
              <w:marLeft w:val="0"/>
              <w:marRight w:val="0"/>
              <w:marTop w:val="0"/>
              <w:marBottom w:val="0"/>
              <w:divBdr>
                <w:top w:val="none" w:sz="0" w:space="0" w:color="auto"/>
                <w:left w:val="none" w:sz="0" w:space="0" w:color="auto"/>
                <w:bottom w:val="none" w:sz="0" w:space="0" w:color="auto"/>
                <w:right w:val="none" w:sz="0" w:space="0" w:color="auto"/>
              </w:divBdr>
            </w:div>
            <w:div w:id="1478109649">
              <w:marLeft w:val="0"/>
              <w:marRight w:val="0"/>
              <w:marTop w:val="0"/>
              <w:marBottom w:val="0"/>
              <w:divBdr>
                <w:top w:val="none" w:sz="0" w:space="0" w:color="auto"/>
                <w:left w:val="none" w:sz="0" w:space="0" w:color="auto"/>
                <w:bottom w:val="none" w:sz="0" w:space="0" w:color="auto"/>
                <w:right w:val="none" w:sz="0" w:space="0" w:color="auto"/>
              </w:divBdr>
            </w:div>
            <w:div w:id="1481267828">
              <w:marLeft w:val="0"/>
              <w:marRight w:val="0"/>
              <w:marTop w:val="0"/>
              <w:marBottom w:val="0"/>
              <w:divBdr>
                <w:top w:val="none" w:sz="0" w:space="0" w:color="auto"/>
                <w:left w:val="none" w:sz="0" w:space="0" w:color="auto"/>
                <w:bottom w:val="none" w:sz="0" w:space="0" w:color="auto"/>
                <w:right w:val="none" w:sz="0" w:space="0" w:color="auto"/>
              </w:divBdr>
            </w:div>
            <w:div w:id="20421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5969">
      <w:bodyDiv w:val="1"/>
      <w:marLeft w:val="0"/>
      <w:marRight w:val="0"/>
      <w:marTop w:val="0"/>
      <w:marBottom w:val="0"/>
      <w:divBdr>
        <w:top w:val="none" w:sz="0" w:space="0" w:color="auto"/>
        <w:left w:val="none" w:sz="0" w:space="0" w:color="auto"/>
        <w:bottom w:val="none" w:sz="0" w:space="0" w:color="auto"/>
        <w:right w:val="none" w:sz="0" w:space="0" w:color="auto"/>
      </w:divBdr>
    </w:div>
    <w:div w:id="1058895151">
      <w:bodyDiv w:val="1"/>
      <w:marLeft w:val="0"/>
      <w:marRight w:val="0"/>
      <w:marTop w:val="0"/>
      <w:marBottom w:val="0"/>
      <w:divBdr>
        <w:top w:val="none" w:sz="0" w:space="0" w:color="auto"/>
        <w:left w:val="none" w:sz="0" w:space="0" w:color="auto"/>
        <w:bottom w:val="none" w:sz="0" w:space="0" w:color="auto"/>
        <w:right w:val="none" w:sz="0" w:space="0" w:color="auto"/>
      </w:divBdr>
      <w:divsChild>
        <w:div w:id="207766913">
          <w:marLeft w:val="0"/>
          <w:marRight w:val="0"/>
          <w:marTop w:val="0"/>
          <w:marBottom w:val="0"/>
          <w:divBdr>
            <w:top w:val="none" w:sz="0" w:space="0" w:color="auto"/>
            <w:left w:val="none" w:sz="0" w:space="0" w:color="auto"/>
            <w:bottom w:val="none" w:sz="0" w:space="0" w:color="auto"/>
            <w:right w:val="none" w:sz="0" w:space="0" w:color="auto"/>
          </w:divBdr>
          <w:divsChild>
            <w:div w:id="1879775321">
              <w:marLeft w:val="0"/>
              <w:marRight w:val="0"/>
              <w:marTop w:val="0"/>
              <w:marBottom w:val="0"/>
              <w:divBdr>
                <w:top w:val="none" w:sz="0" w:space="0" w:color="auto"/>
                <w:left w:val="none" w:sz="0" w:space="0" w:color="auto"/>
                <w:bottom w:val="none" w:sz="0" w:space="0" w:color="auto"/>
                <w:right w:val="none" w:sz="0" w:space="0" w:color="auto"/>
              </w:divBdr>
            </w:div>
          </w:divsChild>
        </w:div>
        <w:div w:id="558976578">
          <w:marLeft w:val="0"/>
          <w:marRight w:val="0"/>
          <w:marTop w:val="0"/>
          <w:marBottom w:val="0"/>
          <w:divBdr>
            <w:top w:val="none" w:sz="0" w:space="0" w:color="auto"/>
            <w:left w:val="none" w:sz="0" w:space="0" w:color="auto"/>
            <w:bottom w:val="none" w:sz="0" w:space="0" w:color="auto"/>
            <w:right w:val="none" w:sz="0" w:space="0" w:color="auto"/>
          </w:divBdr>
          <w:divsChild>
            <w:div w:id="36247589">
              <w:marLeft w:val="0"/>
              <w:marRight w:val="0"/>
              <w:marTop w:val="0"/>
              <w:marBottom w:val="0"/>
              <w:divBdr>
                <w:top w:val="none" w:sz="0" w:space="0" w:color="auto"/>
                <w:left w:val="none" w:sz="0" w:space="0" w:color="auto"/>
                <w:bottom w:val="none" w:sz="0" w:space="0" w:color="auto"/>
                <w:right w:val="none" w:sz="0" w:space="0" w:color="auto"/>
              </w:divBdr>
            </w:div>
            <w:div w:id="1107775624">
              <w:marLeft w:val="0"/>
              <w:marRight w:val="0"/>
              <w:marTop w:val="0"/>
              <w:marBottom w:val="0"/>
              <w:divBdr>
                <w:top w:val="none" w:sz="0" w:space="0" w:color="auto"/>
                <w:left w:val="none" w:sz="0" w:space="0" w:color="auto"/>
                <w:bottom w:val="none" w:sz="0" w:space="0" w:color="auto"/>
                <w:right w:val="none" w:sz="0" w:space="0" w:color="auto"/>
              </w:divBdr>
            </w:div>
          </w:divsChild>
        </w:div>
        <w:div w:id="587467091">
          <w:marLeft w:val="0"/>
          <w:marRight w:val="0"/>
          <w:marTop w:val="0"/>
          <w:marBottom w:val="0"/>
          <w:divBdr>
            <w:top w:val="none" w:sz="0" w:space="0" w:color="auto"/>
            <w:left w:val="none" w:sz="0" w:space="0" w:color="auto"/>
            <w:bottom w:val="none" w:sz="0" w:space="0" w:color="auto"/>
            <w:right w:val="none" w:sz="0" w:space="0" w:color="auto"/>
          </w:divBdr>
          <w:divsChild>
            <w:div w:id="1258708432">
              <w:marLeft w:val="0"/>
              <w:marRight w:val="0"/>
              <w:marTop w:val="0"/>
              <w:marBottom w:val="0"/>
              <w:divBdr>
                <w:top w:val="none" w:sz="0" w:space="0" w:color="auto"/>
                <w:left w:val="none" w:sz="0" w:space="0" w:color="auto"/>
                <w:bottom w:val="none" w:sz="0" w:space="0" w:color="auto"/>
                <w:right w:val="none" w:sz="0" w:space="0" w:color="auto"/>
              </w:divBdr>
            </w:div>
          </w:divsChild>
        </w:div>
        <w:div w:id="697663278">
          <w:marLeft w:val="0"/>
          <w:marRight w:val="0"/>
          <w:marTop w:val="0"/>
          <w:marBottom w:val="0"/>
          <w:divBdr>
            <w:top w:val="none" w:sz="0" w:space="0" w:color="auto"/>
            <w:left w:val="none" w:sz="0" w:space="0" w:color="auto"/>
            <w:bottom w:val="none" w:sz="0" w:space="0" w:color="auto"/>
            <w:right w:val="none" w:sz="0" w:space="0" w:color="auto"/>
          </w:divBdr>
          <w:divsChild>
            <w:div w:id="1889367603">
              <w:marLeft w:val="0"/>
              <w:marRight w:val="0"/>
              <w:marTop w:val="0"/>
              <w:marBottom w:val="0"/>
              <w:divBdr>
                <w:top w:val="none" w:sz="0" w:space="0" w:color="auto"/>
                <w:left w:val="none" w:sz="0" w:space="0" w:color="auto"/>
                <w:bottom w:val="none" w:sz="0" w:space="0" w:color="auto"/>
                <w:right w:val="none" w:sz="0" w:space="0" w:color="auto"/>
              </w:divBdr>
            </w:div>
          </w:divsChild>
        </w:div>
        <w:div w:id="814178438">
          <w:marLeft w:val="0"/>
          <w:marRight w:val="0"/>
          <w:marTop w:val="0"/>
          <w:marBottom w:val="0"/>
          <w:divBdr>
            <w:top w:val="none" w:sz="0" w:space="0" w:color="auto"/>
            <w:left w:val="none" w:sz="0" w:space="0" w:color="auto"/>
            <w:bottom w:val="none" w:sz="0" w:space="0" w:color="auto"/>
            <w:right w:val="none" w:sz="0" w:space="0" w:color="auto"/>
          </w:divBdr>
          <w:divsChild>
            <w:div w:id="1295868673">
              <w:marLeft w:val="0"/>
              <w:marRight w:val="0"/>
              <w:marTop w:val="0"/>
              <w:marBottom w:val="0"/>
              <w:divBdr>
                <w:top w:val="none" w:sz="0" w:space="0" w:color="auto"/>
                <w:left w:val="none" w:sz="0" w:space="0" w:color="auto"/>
                <w:bottom w:val="none" w:sz="0" w:space="0" w:color="auto"/>
                <w:right w:val="none" w:sz="0" w:space="0" w:color="auto"/>
              </w:divBdr>
            </w:div>
          </w:divsChild>
        </w:div>
        <w:div w:id="824399405">
          <w:marLeft w:val="0"/>
          <w:marRight w:val="0"/>
          <w:marTop w:val="0"/>
          <w:marBottom w:val="0"/>
          <w:divBdr>
            <w:top w:val="none" w:sz="0" w:space="0" w:color="auto"/>
            <w:left w:val="none" w:sz="0" w:space="0" w:color="auto"/>
            <w:bottom w:val="none" w:sz="0" w:space="0" w:color="auto"/>
            <w:right w:val="none" w:sz="0" w:space="0" w:color="auto"/>
          </w:divBdr>
          <w:divsChild>
            <w:div w:id="143395265">
              <w:marLeft w:val="0"/>
              <w:marRight w:val="0"/>
              <w:marTop w:val="0"/>
              <w:marBottom w:val="0"/>
              <w:divBdr>
                <w:top w:val="none" w:sz="0" w:space="0" w:color="auto"/>
                <w:left w:val="none" w:sz="0" w:space="0" w:color="auto"/>
                <w:bottom w:val="none" w:sz="0" w:space="0" w:color="auto"/>
                <w:right w:val="none" w:sz="0" w:space="0" w:color="auto"/>
              </w:divBdr>
            </w:div>
            <w:div w:id="1640917580">
              <w:marLeft w:val="0"/>
              <w:marRight w:val="0"/>
              <w:marTop w:val="0"/>
              <w:marBottom w:val="0"/>
              <w:divBdr>
                <w:top w:val="none" w:sz="0" w:space="0" w:color="auto"/>
                <w:left w:val="none" w:sz="0" w:space="0" w:color="auto"/>
                <w:bottom w:val="none" w:sz="0" w:space="0" w:color="auto"/>
                <w:right w:val="none" w:sz="0" w:space="0" w:color="auto"/>
              </w:divBdr>
            </w:div>
          </w:divsChild>
        </w:div>
        <w:div w:id="900824573">
          <w:marLeft w:val="0"/>
          <w:marRight w:val="0"/>
          <w:marTop w:val="0"/>
          <w:marBottom w:val="0"/>
          <w:divBdr>
            <w:top w:val="none" w:sz="0" w:space="0" w:color="auto"/>
            <w:left w:val="none" w:sz="0" w:space="0" w:color="auto"/>
            <w:bottom w:val="none" w:sz="0" w:space="0" w:color="auto"/>
            <w:right w:val="none" w:sz="0" w:space="0" w:color="auto"/>
          </w:divBdr>
          <w:divsChild>
            <w:div w:id="1543204860">
              <w:marLeft w:val="0"/>
              <w:marRight w:val="0"/>
              <w:marTop w:val="0"/>
              <w:marBottom w:val="0"/>
              <w:divBdr>
                <w:top w:val="none" w:sz="0" w:space="0" w:color="auto"/>
                <w:left w:val="none" w:sz="0" w:space="0" w:color="auto"/>
                <w:bottom w:val="none" w:sz="0" w:space="0" w:color="auto"/>
                <w:right w:val="none" w:sz="0" w:space="0" w:color="auto"/>
              </w:divBdr>
            </w:div>
          </w:divsChild>
        </w:div>
        <w:div w:id="1127163162">
          <w:marLeft w:val="0"/>
          <w:marRight w:val="0"/>
          <w:marTop w:val="0"/>
          <w:marBottom w:val="0"/>
          <w:divBdr>
            <w:top w:val="none" w:sz="0" w:space="0" w:color="auto"/>
            <w:left w:val="none" w:sz="0" w:space="0" w:color="auto"/>
            <w:bottom w:val="none" w:sz="0" w:space="0" w:color="auto"/>
            <w:right w:val="none" w:sz="0" w:space="0" w:color="auto"/>
          </w:divBdr>
          <w:divsChild>
            <w:div w:id="196545647">
              <w:marLeft w:val="0"/>
              <w:marRight w:val="0"/>
              <w:marTop w:val="0"/>
              <w:marBottom w:val="0"/>
              <w:divBdr>
                <w:top w:val="none" w:sz="0" w:space="0" w:color="auto"/>
                <w:left w:val="none" w:sz="0" w:space="0" w:color="auto"/>
                <w:bottom w:val="none" w:sz="0" w:space="0" w:color="auto"/>
                <w:right w:val="none" w:sz="0" w:space="0" w:color="auto"/>
              </w:divBdr>
            </w:div>
            <w:div w:id="830754730">
              <w:marLeft w:val="0"/>
              <w:marRight w:val="0"/>
              <w:marTop w:val="0"/>
              <w:marBottom w:val="0"/>
              <w:divBdr>
                <w:top w:val="none" w:sz="0" w:space="0" w:color="auto"/>
                <w:left w:val="none" w:sz="0" w:space="0" w:color="auto"/>
                <w:bottom w:val="none" w:sz="0" w:space="0" w:color="auto"/>
                <w:right w:val="none" w:sz="0" w:space="0" w:color="auto"/>
              </w:divBdr>
            </w:div>
            <w:div w:id="897203331">
              <w:marLeft w:val="0"/>
              <w:marRight w:val="0"/>
              <w:marTop w:val="0"/>
              <w:marBottom w:val="0"/>
              <w:divBdr>
                <w:top w:val="none" w:sz="0" w:space="0" w:color="auto"/>
                <w:left w:val="none" w:sz="0" w:space="0" w:color="auto"/>
                <w:bottom w:val="none" w:sz="0" w:space="0" w:color="auto"/>
                <w:right w:val="none" w:sz="0" w:space="0" w:color="auto"/>
              </w:divBdr>
            </w:div>
            <w:div w:id="935482327">
              <w:marLeft w:val="0"/>
              <w:marRight w:val="0"/>
              <w:marTop w:val="0"/>
              <w:marBottom w:val="0"/>
              <w:divBdr>
                <w:top w:val="none" w:sz="0" w:space="0" w:color="auto"/>
                <w:left w:val="none" w:sz="0" w:space="0" w:color="auto"/>
                <w:bottom w:val="none" w:sz="0" w:space="0" w:color="auto"/>
                <w:right w:val="none" w:sz="0" w:space="0" w:color="auto"/>
              </w:divBdr>
            </w:div>
            <w:div w:id="1156727661">
              <w:marLeft w:val="0"/>
              <w:marRight w:val="0"/>
              <w:marTop w:val="0"/>
              <w:marBottom w:val="0"/>
              <w:divBdr>
                <w:top w:val="none" w:sz="0" w:space="0" w:color="auto"/>
                <w:left w:val="none" w:sz="0" w:space="0" w:color="auto"/>
                <w:bottom w:val="none" w:sz="0" w:space="0" w:color="auto"/>
                <w:right w:val="none" w:sz="0" w:space="0" w:color="auto"/>
              </w:divBdr>
            </w:div>
            <w:div w:id="1266695020">
              <w:marLeft w:val="0"/>
              <w:marRight w:val="0"/>
              <w:marTop w:val="0"/>
              <w:marBottom w:val="0"/>
              <w:divBdr>
                <w:top w:val="none" w:sz="0" w:space="0" w:color="auto"/>
                <w:left w:val="none" w:sz="0" w:space="0" w:color="auto"/>
                <w:bottom w:val="none" w:sz="0" w:space="0" w:color="auto"/>
                <w:right w:val="none" w:sz="0" w:space="0" w:color="auto"/>
              </w:divBdr>
            </w:div>
            <w:div w:id="1323773937">
              <w:marLeft w:val="0"/>
              <w:marRight w:val="0"/>
              <w:marTop w:val="0"/>
              <w:marBottom w:val="0"/>
              <w:divBdr>
                <w:top w:val="none" w:sz="0" w:space="0" w:color="auto"/>
                <w:left w:val="none" w:sz="0" w:space="0" w:color="auto"/>
                <w:bottom w:val="none" w:sz="0" w:space="0" w:color="auto"/>
                <w:right w:val="none" w:sz="0" w:space="0" w:color="auto"/>
              </w:divBdr>
            </w:div>
            <w:div w:id="1409423057">
              <w:marLeft w:val="0"/>
              <w:marRight w:val="0"/>
              <w:marTop w:val="0"/>
              <w:marBottom w:val="0"/>
              <w:divBdr>
                <w:top w:val="none" w:sz="0" w:space="0" w:color="auto"/>
                <w:left w:val="none" w:sz="0" w:space="0" w:color="auto"/>
                <w:bottom w:val="none" w:sz="0" w:space="0" w:color="auto"/>
                <w:right w:val="none" w:sz="0" w:space="0" w:color="auto"/>
              </w:divBdr>
            </w:div>
            <w:div w:id="1528568849">
              <w:marLeft w:val="0"/>
              <w:marRight w:val="0"/>
              <w:marTop w:val="0"/>
              <w:marBottom w:val="0"/>
              <w:divBdr>
                <w:top w:val="none" w:sz="0" w:space="0" w:color="auto"/>
                <w:left w:val="none" w:sz="0" w:space="0" w:color="auto"/>
                <w:bottom w:val="none" w:sz="0" w:space="0" w:color="auto"/>
                <w:right w:val="none" w:sz="0" w:space="0" w:color="auto"/>
              </w:divBdr>
            </w:div>
            <w:div w:id="1643845417">
              <w:marLeft w:val="0"/>
              <w:marRight w:val="0"/>
              <w:marTop w:val="0"/>
              <w:marBottom w:val="0"/>
              <w:divBdr>
                <w:top w:val="none" w:sz="0" w:space="0" w:color="auto"/>
                <w:left w:val="none" w:sz="0" w:space="0" w:color="auto"/>
                <w:bottom w:val="none" w:sz="0" w:space="0" w:color="auto"/>
                <w:right w:val="none" w:sz="0" w:space="0" w:color="auto"/>
              </w:divBdr>
            </w:div>
            <w:div w:id="2077698647">
              <w:marLeft w:val="0"/>
              <w:marRight w:val="0"/>
              <w:marTop w:val="0"/>
              <w:marBottom w:val="0"/>
              <w:divBdr>
                <w:top w:val="none" w:sz="0" w:space="0" w:color="auto"/>
                <w:left w:val="none" w:sz="0" w:space="0" w:color="auto"/>
                <w:bottom w:val="none" w:sz="0" w:space="0" w:color="auto"/>
                <w:right w:val="none" w:sz="0" w:space="0" w:color="auto"/>
              </w:divBdr>
            </w:div>
            <w:div w:id="2092465886">
              <w:marLeft w:val="0"/>
              <w:marRight w:val="0"/>
              <w:marTop w:val="0"/>
              <w:marBottom w:val="0"/>
              <w:divBdr>
                <w:top w:val="none" w:sz="0" w:space="0" w:color="auto"/>
                <w:left w:val="none" w:sz="0" w:space="0" w:color="auto"/>
                <w:bottom w:val="none" w:sz="0" w:space="0" w:color="auto"/>
                <w:right w:val="none" w:sz="0" w:space="0" w:color="auto"/>
              </w:divBdr>
            </w:div>
            <w:div w:id="2110806599">
              <w:marLeft w:val="0"/>
              <w:marRight w:val="0"/>
              <w:marTop w:val="0"/>
              <w:marBottom w:val="0"/>
              <w:divBdr>
                <w:top w:val="none" w:sz="0" w:space="0" w:color="auto"/>
                <w:left w:val="none" w:sz="0" w:space="0" w:color="auto"/>
                <w:bottom w:val="none" w:sz="0" w:space="0" w:color="auto"/>
                <w:right w:val="none" w:sz="0" w:space="0" w:color="auto"/>
              </w:divBdr>
            </w:div>
            <w:div w:id="2119908032">
              <w:marLeft w:val="0"/>
              <w:marRight w:val="0"/>
              <w:marTop w:val="0"/>
              <w:marBottom w:val="0"/>
              <w:divBdr>
                <w:top w:val="none" w:sz="0" w:space="0" w:color="auto"/>
                <w:left w:val="none" w:sz="0" w:space="0" w:color="auto"/>
                <w:bottom w:val="none" w:sz="0" w:space="0" w:color="auto"/>
                <w:right w:val="none" w:sz="0" w:space="0" w:color="auto"/>
              </w:divBdr>
            </w:div>
            <w:div w:id="2135249334">
              <w:marLeft w:val="0"/>
              <w:marRight w:val="0"/>
              <w:marTop w:val="0"/>
              <w:marBottom w:val="0"/>
              <w:divBdr>
                <w:top w:val="none" w:sz="0" w:space="0" w:color="auto"/>
                <w:left w:val="none" w:sz="0" w:space="0" w:color="auto"/>
                <w:bottom w:val="none" w:sz="0" w:space="0" w:color="auto"/>
                <w:right w:val="none" w:sz="0" w:space="0" w:color="auto"/>
              </w:divBdr>
            </w:div>
          </w:divsChild>
        </w:div>
        <w:div w:id="1508012472">
          <w:marLeft w:val="0"/>
          <w:marRight w:val="0"/>
          <w:marTop w:val="0"/>
          <w:marBottom w:val="0"/>
          <w:divBdr>
            <w:top w:val="none" w:sz="0" w:space="0" w:color="auto"/>
            <w:left w:val="none" w:sz="0" w:space="0" w:color="auto"/>
            <w:bottom w:val="none" w:sz="0" w:space="0" w:color="auto"/>
            <w:right w:val="none" w:sz="0" w:space="0" w:color="auto"/>
          </w:divBdr>
          <w:divsChild>
            <w:div w:id="1030378227">
              <w:marLeft w:val="0"/>
              <w:marRight w:val="0"/>
              <w:marTop w:val="0"/>
              <w:marBottom w:val="0"/>
              <w:divBdr>
                <w:top w:val="none" w:sz="0" w:space="0" w:color="auto"/>
                <w:left w:val="none" w:sz="0" w:space="0" w:color="auto"/>
                <w:bottom w:val="none" w:sz="0" w:space="0" w:color="auto"/>
                <w:right w:val="none" w:sz="0" w:space="0" w:color="auto"/>
              </w:divBdr>
            </w:div>
          </w:divsChild>
        </w:div>
        <w:div w:id="1539506276">
          <w:marLeft w:val="0"/>
          <w:marRight w:val="0"/>
          <w:marTop w:val="0"/>
          <w:marBottom w:val="0"/>
          <w:divBdr>
            <w:top w:val="none" w:sz="0" w:space="0" w:color="auto"/>
            <w:left w:val="none" w:sz="0" w:space="0" w:color="auto"/>
            <w:bottom w:val="none" w:sz="0" w:space="0" w:color="auto"/>
            <w:right w:val="none" w:sz="0" w:space="0" w:color="auto"/>
          </w:divBdr>
          <w:divsChild>
            <w:div w:id="24405452">
              <w:marLeft w:val="0"/>
              <w:marRight w:val="0"/>
              <w:marTop w:val="0"/>
              <w:marBottom w:val="0"/>
              <w:divBdr>
                <w:top w:val="none" w:sz="0" w:space="0" w:color="auto"/>
                <w:left w:val="none" w:sz="0" w:space="0" w:color="auto"/>
                <w:bottom w:val="none" w:sz="0" w:space="0" w:color="auto"/>
                <w:right w:val="none" w:sz="0" w:space="0" w:color="auto"/>
              </w:divBdr>
            </w:div>
            <w:div w:id="892960386">
              <w:marLeft w:val="0"/>
              <w:marRight w:val="0"/>
              <w:marTop w:val="0"/>
              <w:marBottom w:val="0"/>
              <w:divBdr>
                <w:top w:val="none" w:sz="0" w:space="0" w:color="auto"/>
                <w:left w:val="none" w:sz="0" w:space="0" w:color="auto"/>
                <w:bottom w:val="none" w:sz="0" w:space="0" w:color="auto"/>
                <w:right w:val="none" w:sz="0" w:space="0" w:color="auto"/>
              </w:divBdr>
            </w:div>
            <w:div w:id="1925213815">
              <w:marLeft w:val="0"/>
              <w:marRight w:val="0"/>
              <w:marTop w:val="0"/>
              <w:marBottom w:val="0"/>
              <w:divBdr>
                <w:top w:val="none" w:sz="0" w:space="0" w:color="auto"/>
                <w:left w:val="none" w:sz="0" w:space="0" w:color="auto"/>
                <w:bottom w:val="none" w:sz="0" w:space="0" w:color="auto"/>
                <w:right w:val="none" w:sz="0" w:space="0" w:color="auto"/>
              </w:divBdr>
            </w:div>
            <w:div w:id="1928464610">
              <w:marLeft w:val="0"/>
              <w:marRight w:val="0"/>
              <w:marTop w:val="0"/>
              <w:marBottom w:val="0"/>
              <w:divBdr>
                <w:top w:val="none" w:sz="0" w:space="0" w:color="auto"/>
                <w:left w:val="none" w:sz="0" w:space="0" w:color="auto"/>
                <w:bottom w:val="none" w:sz="0" w:space="0" w:color="auto"/>
                <w:right w:val="none" w:sz="0" w:space="0" w:color="auto"/>
              </w:divBdr>
            </w:div>
            <w:div w:id="2000117249">
              <w:marLeft w:val="0"/>
              <w:marRight w:val="0"/>
              <w:marTop w:val="0"/>
              <w:marBottom w:val="0"/>
              <w:divBdr>
                <w:top w:val="none" w:sz="0" w:space="0" w:color="auto"/>
                <w:left w:val="none" w:sz="0" w:space="0" w:color="auto"/>
                <w:bottom w:val="none" w:sz="0" w:space="0" w:color="auto"/>
                <w:right w:val="none" w:sz="0" w:space="0" w:color="auto"/>
              </w:divBdr>
            </w:div>
            <w:div w:id="2062634983">
              <w:marLeft w:val="0"/>
              <w:marRight w:val="0"/>
              <w:marTop w:val="0"/>
              <w:marBottom w:val="0"/>
              <w:divBdr>
                <w:top w:val="none" w:sz="0" w:space="0" w:color="auto"/>
                <w:left w:val="none" w:sz="0" w:space="0" w:color="auto"/>
                <w:bottom w:val="none" w:sz="0" w:space="0" w:color="auto"/>
                <w:right w:val="none" w:sz="0" w:space="0" w:color="auto"/>
              </w:divBdr>
            </w:div>
            <w:div w:id="2147040839">
              <w:marLeft w:val="0"/>
              <w:marRight w:val="0"/>
              <w:marTop w:val="0"/>
              <w:marBottom w:val="0"/>
              <w:divBdr>
                <w:top w:val="none" w:sz="0" w:space="0" w:color="auto"/>
                <w:left w:val="none" w:sz="0" w:space="0" w:color="auto"/>
                <w:bottom w:val="none" w:sz="0" w:space="0" w:color="auto"/>
                <w:right w:val="none" w:sz="0" w:space="0" w:color="auto"/>
              </w:divBdr>
            </w:div>
          </w:divsChild>
        </w:div>
        <w:div w:id="1667855010">
          <w:marLeft w:val="0"/>
          <w:marRight w:val="0"/>
          <w:marTop w:val="0"/>
          <w:marBottom w:val="0"/>
          <w:divBdr>
            <w:top w:val="none" w:sz="0" w:space="0" w:color="auto"/>
            <w:left w:val="none" w:sz="0" w:space="0" w:color="auto"/>
            <w:bottom w:val="none" w:sz="0" w:space="0" w:color="auto"/>
            <w:right w:val="none" w:sz="0" w:space="0" w:color="auto"/>
          </w:divBdr>
          <w:divsChild>
            <w:div w:id="172885188">
              <w:marLeft w:val="0"/>
              <w:marRight w:val="0"/>
              <w:marTop w:val="0"/>
              <w:marBottom w:val="0"/>
              <w:divBdr>
                <w:top w:val="none" w:sz="0" w:space="0" w:color="auto"/>
                <w:left w:val="none" w:sz="0" w:space="0" w:color="auto"/>
                <w:bottom w:val="none" w:sz="0" w:space="0" w:color="auto"/>
                <w:right w:val="none" w:sz="0" w:space="0" w:color="auto"/>
              </w:divBdr>
            </w:div>
          </w:divsChild>
        </w:div>
        <w:div w:id="1679694068">
          <w:marLeft w:val="0"/>
          <w:marRight w:val="0"/>
          <w:marTop w:val="0"/>
          <w:marBottom w:val="0"/>
          <w:divBdr>
            <w:top w:val="none" w:sz="0" w:space="0" w:color="auto"/>
            <w:left w:val="none" w:sz="0" w:space="0" w:color="auto"/>
            <w:bottom w:val="none" w:sz="0" w:space="0" w:color="auto"/>
            <w:right w:val="none" w:sz="0" w:space="0" w:color="auto"/>
          </w:divBdr>
          <w:divsChild>
            <w:div w:id="1543902165">
              <w:marLeft w:val="0"/>
              <w:marRight w:val="0"/>
              <w:marTop w:val="0"/>
              <w:marBottom w:val="0"/>
              <w:divBdr>
                <w:top w:val="none" w:sz="0" w:space="0" w:color="auto"/>
                <w:left w:val="none" w:sz="0" w:space="0" w:color="auto"/>
                <w:bottom w:val="none" w:sz="0" w:space="0" w:color="auto"/>
                <w:right w:val="none" w:sz="0" w:space="0" w:color="auto"/>
              </w:divBdr>
            </w:div>
          </w:divsChild>
        </w:div>
        <w:div w:id="1699893859">
          <w:marLeft w:val="0"/>
          <w:marRight w:val="0"/>
          <w:marTop w:val="0"/>
          <w:marBottom w:val="0"/>
          <w:divBdr>
            <w:top w:val="none" w:sz="0" w:space="0" w:color="auto"/>
            <w:left w:val="none" w:sz="0" w:space="0" w:color="auto"/>
            <w:bottom w:val="none" w:sz="0" w:space="0" w:color="auto"/>
            <w:right w:val="none" w:sz="0" w:space="0" w:color="auto"/>
          </w:divBdr>
          <w:divsChild>
            <w:div w:id="710374536">
              <w:marLeft w:val="0"/>
              <w:marRight w:val="0"/>
              <w:marTop w:val="0"/>
              <w:marBottom w:val="0"/>
              <w:divBdr>
                <w:top w:val="none" w:sz="0" w:space="0" w:color="auto"/>
                <w:left w:val="none" w:sz="0" w:space="0" w:color="auto"/>
                <w:bottom w:val="none" w:sz="0" w:space="0" w:color="auto"/>
                <w:right w:val="none" w:sz="0" w:space="0" w:color="auto"/>
              </w:divBdr>
            </w:div>
            <w:div w:id="986980166">
              <w:marLeft w:val="0"/>
              <w:marRight w:val="0"/>
              <w:marTop w:val="0"/>
              <w:marBottom w:val="0"/>
              <w:divBdr>
                <w:top w:val="none" w:sz="0" w:space="0" w:color="auto"/>
                <w:left w:val="none" w:sz="0" w:space="0" w:color="auto"/>
                <w:bottom w:val="none" w:sz="0" w:space="0" w:color="auto"/>
                <w:right w:val="none" w:sz="0" w:space="0" w:color="auto"/>
              </w:divBdr>
            </w:div>
            <w:div w:id="1081609151">
              <w:marLeft w:val="0"/>
              <w:marRight w:val="0"/>
              <w:marTop w:val="0"/>
              <w:marBottom w:val="0"/>
              <w:divBdr>
                <w:top w:val="none" w:sz="0" w:space="0" w:color="auto"/>
                <w:left w:val="none" w:sz="0" w:space="0" w:color="auto"/>
                <w:bottom w:val="none" w:sz="0" w:space="0" w:color="auto"/>
                <w:right w:val="none" w:sz="0" w:space="0" w:color="auto"/>
              </w:divBdr>
            </w:div>
            <w:div w:id="1082146976">
              <w:marLeft w:val="0"/>
              <w:marRight w:val="0"/>
              <w:marTop w:val="0"/>
              <w:marBottom w:val="0"/>
              <w:divBdr>
                <w:top w:val="none" w:sz="0" w:space="0" w:color="auto"/>
                <w:left w:val="none" w:sz="0" w:space="0" w:color="auto"/>
                <w:bottom w:val="none" w:sz="0" w:space="0" w:color="auto"/>
                <w:right w:val="none" w:sz="0" w:space="0" w:color="auto"/>
              </w:divBdr>
            </w:div>
          </w:divsChild>
        </w:div>
        <w:div w:id="1927225219">
          <w:marLeft w:val="0"/>
          <w:marRight w:val="0"/>
          <w:marTop w:val="0"/>
          <w:marBottom w:val="0"/>
          <w:divBdr>
            <w:top w:val="none" w:sz="0" w:space="0" w:color="auto"/>
            <w:left w:val="none" w:sz="0" w:space="0" w:color="auto"/>
            <w:bottom w:val="none" w:sz="0" w:space="0" w:color="auto"/>
            <w:right w:val="none" w:sz="0" w:space="0" w:color="auto"/>
          </w:divBdr>
          <w:divsChild>
            <w:div w:id="1296059794">
              <w:marLeft w:val="0"/>
              <w:marRight w:val="0"/>
              <w:marTop w:val="0"/>
              <w:marBottom w:val="0"/>
              <w:divBdr>
                <w:top w:val="none" w:sz="0" w:space="0" w:color="auto"/>
                <w:left w:val="none" w:sz="0" w:space="0" w:color="auto"/>
                <w:bottom w:val="none" w:sz="0" w:space="0" w:color="auto"/>
                <w:right w:val="none" w:sz="0" w:space="0" w:color="auto"/>
              </w:divBdr>
            </w:div>
            <w:div w:id="1717895253">
              <w:marLeft w:val="0"/>
              <w:marRight w:val="0"/>
              <w:marTop w:val="0"/>
              <w:marBottom w:val="0"/>
              <w:divBdr>
                <w:top w:val="none" w:sz="0" w:space="0" w:color="auto"/>
                <w:left w:val="none" w:sz="0" w:space="0" w:color="auto"/>
                <w:bottom w:val="none" w:sz="0" w:space="0" w:color="auto"/>
                <w:right w:val="none" w:sz="0" w:space="0" w:color="auto"/>
              </w:divBdr>
            </w:div>
          </w:divsChild>
        </w:div>
        <w:div w:id="1962496935">
          <w:marLeft w:val="0"/>
          <w:marRight w:val="0"/>
          <w:marTop w:val="0"/>
          <w:marBottom w:val="0"/>
          <w:divBdr>
            <w:top w:val="none" w:sz="0" w:space="0" w:color="auto"/>
            <w:left w:val="none" w:sz="0" w:space="0" w:color="auto"/>
            <w:bottom w:val="none" w:sz="0" w:space="0" w:color="auto"/>
            <w:right w:val="none" w:sz="0" w:space="0" w:color="auto"/>
          </w:divBdr>
          <w:divsChild>
            <w:div w:id="1566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24128">
      <w:bodyDiv w:val="1"/>
      <w:marLeft w:val="0"/>
      <w:marRight w:val="0"/>
      <w:marTop w:val="0"/>
      <w:marBottom w:val="0"/>
      <w:divBdr>
        <w:top w:val="none" w:sz="0" w:space="0" w:color="auto"/>
        <w:left w:val="none" w:sz="0" w:space="0" w:color="auto"/>
        <w:bottom w:val="none" w:sz="0" w:space="0" w:color="auto"/>
        <w:right w:val="none" w:sz="0" w:space="0" w:color="auto"/>
      </w:divBdr>
      <w:divsChild>
        <w:div w:id="244655985">
          <w:marLeft w:val="0"/>
          <w:marRight w:val="0"/>
          <w:marTop w:val="0"/>
          <w:marBottom w:val="0"/>
          <w:divBdr>
            <w:top w:val="none" w:sz="0" w:space="0" w:color="auto"/>
            <w:left w:val="none" w:sz="0" w:space="0" w:color="auto"/>
            <w:bottom w:val="none" w:sz="0" w:space="0" w:color="auto"/>
            <w:right w:val="none" w:sz="0" w:space="0" w:color="auto"/>
          </w:divBdr>
          <w:divsChild>
            <w:div w:id="154880262">
              <w:marLeft w:val="0"/>
              <w:marRight w:val="0"/>
              <w:marTop w:val="0"/>
              <w:marBottom w:val="0"/>
              <w:divBdr>
                <w:top w:val="none" w:sz="0" w:space="0" w:color="auto"/>
                <w:left w:val="none" w:sz="0" w:space="0" w:color="auto"/>
                <w:bottom w:val="none" w:sz="0" w:space="0" w:color="auto"/>
                <w:right w:val="none" w:sz="0" w:space="0" w:color="auto"/>
              </w:divBdr>
            </w:div>
          </w:divsChild>
        </w:div>
        <w:div w:id="348721072">
          <w:marLeft w:val="0"/>
          <w:marRight w:val="0"/>
          <w:marTop w:val="0"/>
          <w:marBottom w:val="0"/>
          <w:divBdr>
            <w:top w:val="none" w:sz="0" w:space="0" w:color="auto"/>
            <w:left w:val="none" w:sz="0" w:space="0" w:color="auto"/>
            <w:bottom w:val="none" w:sz="0" w:space="0" w:color="auto"/>
            <w:right w:val="none" w:sz="0" w:space="0" w:color="auto"/>
          </w:divBdr>
          <w:divsChild>
            <w:div w:id="500512986">
              <w:marLeft w:val="0"/>
              <w:marRight w:val="0"/>
              <w:marTop w:val="0"/>
              <w:marBottom w:val="0"/>
              <w:divBdr>
                <w:top w:val="none" w:sz="0" w:space="0" w:color="auto"/>
                <w:left w:val="none" w:sz="0" w:space="0" w:color="auto"/>
                <w:bottom w:val="none" w:sz="0" w:space="0" w:color="auto"/>
                <w:right w:val="none" w:sz="0" w:space="0" w:color="auto"/>
              </w:divBdr>
            </w:div>
          </w:divsChild>
        </w:div>
        <w:div w:id="495269093">
          <w:marLeft w:val="0"/>
          <w:marRight w:val="0"/>
          <w:marTop w:val="0"/>
          <w:marBottom w:val="0"/>
          <w:divBdr>
            <w:top w:val="none" w:sz="0" w:space="0" w:color="auto"/>
            <w:left w:val="none" w:sz="0" w:space="0" w:color="auto"/>
            <w:bottom w:val="none" w:sz="0" w:space="0" w:color="auto"/>
            <w:right w:val="none" w:sz="0" w:space="0" w:color="auto"/>
          </w:divBdr>
          <w:divsChild>
            <w:div w:id="1029842197">
              <w:marLeft w:val="0"/>
              <w:marRight w:val="0"/>
              <w:marTop w:val="0"/>
              <w:marBottom w:val="0"/>
              <w:divBdr>
                <w:top w:val="none" w:sz="0" w:space="0" w:color="auto"/>
                <w:left w:val="none" w:sz="0" w:space="0" w:color="auto"/>
                <w:bottom w:val="none" w:sz="0" w:space="0" w:color="auto"/>
                <w:right w:val="none" w:sz="0" w:space="0" w:color="auto"/>
              </w:divBdr>
            </w:div>
          </w:divsChild>
        </w:div>
        <w:div w:id="651178072">
          <w:marLeft w:val="0"/>
          <w:marRight w:val="0"/>
          <w:marTop w:val="0"/>
          <w:marBottom w:val="0"/>
          <w:divBdr>
            <w:top w:val="none" w:sz="0" w:space="0" w:color="auto"/>
            <w:left w:val="none" w:sz="0" w:space="0" w:color="auto"/>
            <w:bottom w:val="none" w:sz="0" w:space="0" w:color="auto"/>
            <w:right w:val="none" w:sz="0" w:space="0" w:color="auto"/>
          </w:divBdr>
          <w:divsChild>
            <w:div w:id="1596674431">
              <w:marLeft w:val="0"/>
              <w:marRight w:val="0"/>
              <w:marTop w:val="0"/>
              <w:marBottom w:val="0"/>
              <w:divBdr>
                <w:top w:val="none" w:sz="0" w:space="0" w:color="auto"/>
                <w:left w:val="none" w:sz="0" w:space="0" w:color="auto"/>
                <w:bottom w:val="none" w:sz="0" w:space="0" w:color="auto"/>
                <w:right w:val="none" w:sz="0" w:space="0" w:color="auto"/>
              </w:divBdr>
            </w:div>
          </w:divsChild>
        </w:div>
        <w:div w:id="852107899">
          <w:marLeft w:val="0"/>
          <w:marRight w:val="0"/>
          <w:marTop w:val="0"/>
          <w:marBottom w:val="0"/>
          <w:divBdr>
            <w:top w:val="none" w:sz="0" w:space="0" w:color="auto"/>
            <w:left w:val="none" w:sz="0" w:space="0" w:color="auto"/>
            <w:bottom w:val="none" w:sz="0" w:space="0" w:color="auto"/>
            <w:right w:val="none" w:sz="0" w:space="0" w:color="auto"/>
          </w:divBdr>
          <w:divsChild>
            <w:div w:id="1963419146">
              <w:marLeft w:val="0"/>
              <w:marRight w:val="0"/>
              <w:marTop w:val="0"/>
              <w:marBottom w:val="0"/>
              <w:divBdr>
                <w:top w:val="none" w:sz="0" w:space="0" w:color="auto"/>
                <w:left w:val="none" w:sz="0" w:space="0" w:color="auto"/>
                <w:bottom w:val="none" w:sz="0" w:space="0" w:color="auto"/>
                <w:right w:val="none" w:sz="0" w:space="0" w:color="auto"/>
              </w:divBdr>
            </w:div>
          </w:divsChild>
        </w:div>
        <w:div w:id="867370448">
          <w:marLeft w:val="0"/>
          <w:marRight w:val="0"/>
          <w:marTop w:val="0"/>
          <w:marBottom w:val="0"/>
          <w:divBdr>
            <w:top w:val="none" w:sz="0" w:space="0" w:color="auto"/>
            <w:left w:val="none" w:sz="0" w:space="0" w:color="auto"/>
            <w:bottom w:val="none" w:sz="0" w:space="0" w:color="auto"/>
            <w:right w:val="none" w:sz="0" w:space="0" w:color="auto"/>
          </w:divBdr>
          <w:divsChild>
            <w:div w:id="362369034">
              <w:marLeft w:val="0"/>
              <w:marRight w:val="0"/>
              <w:marTop w:val="0"/>
              <w:marBottom w:val="0"/>
              <w:divBdr>
                <w:top w:val="none" w:sz="0" w:space="0" w:color="auto"/>
                <w:left w:val="none" w:sz="0" w:space="0" w:color="auto"/>
                <w:bottom w:val="none" w:sz="0" w:space="0" w:color="auto"/>
                <w:right w:val="none" w:sz="0" w:space="0" w:color="auto"/>
              </w:divBdr>
            </w:div>
          </w:divsChild>
        </w:div>
        <w:div w:id="998310180">
          <w:marLeft w:val="0"/>
          <w:marRight w:val="0"/>
          <w:marTop w:val="0"/>
          <w:marBottom w:val="0"/>
          <w:divBdr>
            <w:top w:val="none" w:sz="0" w:space="0" w:color="auto"/>
            <w:left w:val="none" w:sz="0" w:space="0" w:color="auto"/>
            <w:bottom w:val="none" w:sz="0" w:space="0" w:color="auto"/>
            <w:right w:val="none" w:sz="0" w:space="0" w:color="auto"/>
          </w:divBdr>
          <w:divsChild>
            <w:div w:id="430200546">
              <w:marLeft w:val="0"/>
              <w:marRight w:val="0"/>
              <w:marTop w:val="0"/>
              <w:marBottom w:val="0"/>
              <w:divBdr>
                <w:top w:val="none" w:sz="0" w:space="0" w:color="auto"/>
                <w:left w:val="none" w:sz="0" w:space="0" w:color="auto"/>
                <w:bottom w:val="none" w:sz="0" w:space="0" w:color="auto"/>
                <w:right w:val="none" w:sz="0" w:space="0" w:color="auto"/>
              </w:divBdr>
            </w:div>
            <w:div w:id="1111123236">
              <w:marLeft w:val="0"/>
              <w:marRight w:val="0"/>
              <w:marTop w:val="0"/>
              <w:marBottom w:val="0"/>
              <w:divBdr>
                <w:top w:val="none" w:sz="0" w:space="0" w:color="auto"/>
                <w:left w:val="none" w:sz="0" w:space="0" w:color="auto"/>
                <w:bottom w:val="none" w:sz="0" w:space="0" w:color="auto"/>
                <w:right w:val="none" w:sz="0" w:space="0" w:color="auto"/>
              </w:divBdr>
            </w:div>
          </w:divsChild>
        </w:div>
        <w:div w:id="1009409015">
          <w:marLeft w:val="0"/>
          <w:marRight w:val="0"/>
          <w:marTop w:val="0"/>
          <w:marBottom w:val="0"/>
          <w:divBdr>
            <w:top w:val="none" w:sz="0" w:space="0" w:color="auto"/>
            <w:left w:val="none" w:sz="0" w:space="0" w:color="auto"/>
            <w:bottom w:val="none" w:sz="0" w:space="0" w:color="auto"/>
            <w:right w:val="none" w:sz="0" w:space="0" w:color="auto"/>
          </w:divBdr>
          <w:divsChild>
            <w:div w:id="1155418579">
              <w:marLeft w:val="0"/>
              <w:marRight w:val="0"/>
              <w:marTop w:val="0"/>
              <w:marBottom w:val="0"/>
              <w:divBdr>
                <w:top w:val="none" w:sz="0" w:space="0" w:color="auto"/>
                <w:left w:val="none" w:sz="0" w:space="0" w:color="auto"/>
                <w:bottom w:val="none" w:sz="0" w:space="0" w:color="auto"/>
                <w:right w:val="none" w:sz="0" w:space="0" w:color="auto"/>
              </w:divBdr>
            </w:div>
            <w:div w:id="1491827108">
              <w:marLeft w:val="0"/>
              <w:marRight w:val="0"/>
              <w:marTop w:val="0"/>
              <w:marBottom w:val="0"/>
              <w:divBdr>
                <w:top w:val="none" w:sz="0" w:space="0" w:color="auto"/>
                <w:left w:val="none" w:sz="0" w:space="0" w:color="auto"/>
                <w:bottom w:val="none" w:sz="0" w:space="0" w:color="auto"/>
                <w:right w:val="none" w:sz="0" w:space="0" w:color="auto"/>
              </w:divBdr>
            </w:div>
          </w:divsChild>
        </w:div>
        <w:div w:id="1146821437">
          <w:marLeft w:val="0"/>
          <w:marRight w:val="0"/>
          <w:marTop w:val="0"/>
          <w:marBottom w:val="0"/>
          <w:divBdr>
            <w:top w:val="none" w:sz="0" w:space="0" w:color="auto"/>
            <w:left w:val="none" w:sz="0" w:space="0" w:color="auto"/>
            <w:bottom w:val="none" w:sz="0" w:space="0" w:color="auto"/>
            <w:right w:val="none" w:sz="0" w:space="0" w:color="auto"/>
          </w:divBdr>
          <w:divsChild>
            <w:div w:id="389547460">
              <w:marLeft w:val="0"/>
              <w:marRight w:val="0"/>
              <w:marTop w:val="0"/>
              <w:marBottom w:val="0"/>
              <w:divBdr>
                <w:top w:val="none" w:sz="0" w:space="0" w:color="auto"/>
                <w:left w:val="none" w:sz="0" w:space="0" w:color="auto"/>
                <w:bottom w:val="none" w:sz="0" w:space="0" w:color="auto"/>
                <w:right w:val="none" w:sz="0" w:space="0" w:color="auto"/>
              </w:divBdr>
            </w:div>
            <w:div w:id="1988774688">
              <w:marLeft w:val="0"/>
              <w:marRight w:val="0"/>
              <w:marTop w:val="0"/>
              <w:marBottom w:val="0"/>
              <w:divBdr>
                <w:top w:val="none" w:sz="0" w:space="0" w:color="auto"/>
                <w:left w:val="none" w:sz="0" w:space="0" w:color="auto"/>
                <w:bottom w:val="none" w:sz="0" w:space="0" w:color="auto"/>
                <w:right w:val="none" w:sz="0" w:space="0" w:color="auto"/>
              </w:divBdr>
            </w:div>
          </w:divsChild>
        </w:div>
        <w:div w:id="1206216945">
          <w:marLeft w:val="0"/>
          <w:marRight w:val="0"/>
          <w:marTop w:val="0"/>
          <w:marBottom w:val="0"/>
          <w:divBdr>
            <w:top w:val="none" w:sz="0" w:space="0" w:color="auto"/>
            <w:left w:val="none" w:sz="0" w:space="0" w:color="auto"/>
            <w:bottom w:val="none" w:sz="0" w:space="0" w:color="auto"/>
            <w:right w:val="none" w:sz="0" w:space="0" w:color="auto"/>
          </w:divBdr>
          <w:divsChild>
            <w:div w:id="936062177">
              <w:marLeft w:val="0"/>
              <w:marRight w:val="0"/>
              <w:marTop w:val="0"/>
              <w:marBottom w:val="0"/>
              <w:divBdr>
                <w:top w:val="none" w:sz="0" w:space="0" w:color="auto"/>
                <w:left w:val="none" w:sz="0" w:space="0" w:color="auto"/>
                <w:bottom w:val="none" w:sz="0" w:space="0" w:color="auto"/>
                <w:right w:val="none" w:sz="0" w:space="0" w:color="auto"/>
              </w:divBdr>
            </w:div>
          </w:divsChild>
        </w:div>
        <w:div w:id="1215849710">
          <w:marLeft w:val="0"/>
          <w:marRight w:val="0"/>
          <w:marTop w:val="0"/>
          <w:marBottom w:val="0"/>
          <w:divBdr>
            <w:top w:val="none" w:sz="0" w:space="0" w:color="auto"/>
            <w:left w:val="none" w:sz="0" w:space="0" w:color="auto"/>
            <w:bottom w:val="none" w:sz="0" w:space="0" w:color="auto"/>
            <w:right w:val="none" w:sz="0" w:space="0" w:color="auto"/>
          </w:divBdr>
          <w:divsChild>
            <w:div w:id="1429812400">
              <w:marLeft w:val="0"/>
              <w:marRight w:val="0"/>
              <w:marTop w:val="0"/>
              <w:marBottom w:val="0"/>
              <w:divBdr>
                <w:top w:val="none" w:sz="0" w:space="0" w:color="auto"/>
                <w:left w:val="none" w:sz="0" w:space="0" w:color="auto"/>
                <w:bottom w:val="none" w:sz="0" w:space="0" w:color="auto"/>
                <w:right w:val="none" w:sz="0" w:space="0" w:color="auto"/>
              </w:divBdr>
            </w:div>
            <w:div w:id="1496993216">
              <w:marLeft w:val="0"/>
              <w:marRight w:val="0"/>
              <w:marTop w:val="0"/>
              <w:marBottom w:val="0"/>
              <w:divBdr>
                <w:top w:val="none" w:sz="0" w:space="0" w:color="auto"/>
                <w:left w:val="none" w:sz="0" w:space="0" w:color="auto"/>
                <w:bottom w:val="none" w:sz="0" w:space="0" w:color="auto"/>
                <w:right w:val="none" w:sz="0" w:space="0" w:color="auto"/>
              </w:divBdr>
            </w:div>
          </w:divsChild>
        </w:div>
        <w:div w:id="1252667138">
          <w:marLeft w:val="0"/>
          <w:marRight w:val="0"/>
          <w:marTop w:val="0"/>
          <w:marBottom w:val="0"/>
          <w:divBdr>
            <w:top w:val="none" w:sz="0" w:space="0" w:color="auto"/>
            <w:left w:val="none" w:sz="0" w:space="0" w:color="auto"/>
            <w:bottom w:val="none" w:sz="0" w:space="0" w:color="auto"/>
            <w:right w:val="none" w:sz="0" w:space="0" w:color="auto"/>
          </w:divBdr>
          <w:divsChild>
            <w:div w:id="176504001">
              <w:marLeft w:val="0"/>
              <w:marRight w:val="0"/>
              <w:marTop w:val="0"/>
              <w:marBottom w:val="0"/>
              <w:divBdr>
                <w:top w:val="none" w:sz="0" w:space="0" w:color="auto"/>
                <w:left w:val="none" w:sz="0" w:space="0" w:color="auto"/>
                <w:bottom w:val="none" w:sz="0" w:space="0" w:color="auto"/>
                <w:right w:val="none" w:sz="0" w:space="0" w:color="auto"/>
              </w:divBdr>
            </w:div>
          </w:divsChild>
        </w:div>
        <w:div w:id="1368069671">
          <w:marLeft w:val="0"/>
          <w:marRight w:val="0"/>
          <w:marTop w:val="0"/>
          <w:marBottom w:val="0"/>
          <w:divBdr>
            <w:top w:val="none" w:sz="0" w:space="0" w:color="auto"/>
            <w:left w:val="none" w:sz="0" w:space="0" w:color="auto"/>
            <w:bottom w:val="none" w:sz="0" w:space="0" w:color="auto"/>
            <w:right w:val="none" w:sz="0" w:space="0" w:color="auto"/>
          </w:divBdr>
          <w:divsChild>
            <w:div w:id="1058431035">
              <w:marLeft w:val="0"/>
              <w:marRight w:val="0"/>
              <w:marTop w:val="0"/>
              <w:marBottom w:val="0"/>
              <w:divBdr>
                <w:top w:val="none" w:sz="0" w:space="0" w:color="auto"/>
                <w:left w:val="none" w:sz="0" w:space="0" w:color="auto"/>
                <w:bottom w:val="none" w:sz="0" w:space="0" w:color="auto"/>
                <w:right w:val="none" w:sz="0" w:space="0" w:color="auto"/>
              </w:divBdr>
            </w:div>
            <w:div w:id="1452630375">
              <w:marLeft w:val="0"/>
              <w:marRight w:val="0"/>
              <w:marTop w:val="0"/>
              <w:marBottom w:val="0"/>
              <w:divBdr>
                <w:top w:val="none" w:sz="0" w:space="0" w:color="auto"/>
                <w:left w:val="none" w:sz="0" w:space="0" w:color="auto"/>
                <w:bottom w:val="none" w:sz="0" w:space="0" w:color="auto"/>
                <w:right w:val="none" w:sz="0" w:space="0" w:color="auto"/>
              </w:divBdr>
            </w:div>
          </w:divsChild>
        </w:div>
        <w:div w:id="1411267926">
          <w:marLeft w:val="0"/>
          <w:marRight w:val="0"/>
          <w:marTop w:val="0"/>
          <w:marBottom w:val="0"/>
          <w:divBdr>
            <w:top w:val="none" w:sz="0" w:space="0" w:color="auto"/>
            <w:left w:val="none" w:sz="0" w:space="0" w:color="auto"/>
            <w:bottom w:val="none" w:sz="0" w:space="0" w:color="auto"/>
            <w:right w:val="none" w:sz="0" w:space="0" w:color="auto"/>
          </w:divBdr>
          <w:divsChild>
            <w:div w:id="1586457092">
              <w:marLeft w:val="0"/>
              <w:marRight w:val="0"/>
              <w:marTop w:val="0"/>
              <w:marBottom w:val="0"/>
              <w:divBdr>
                <w:top w:val="none" w:sz="0" w:space="0" w:color="auto"/>
                <w:left w:val="none" w:sz="0" w:space="0" w:color="auto"/>
                <w:bottom w:val="none" w:sz="0" w:space="0" w:color="auto"/>
                <w:right w:val="none" w:sz="0" w:space="0" w:color="auto"/>
              </w:divBdr>
            </w:div>
          </w:divsChild>
        </w:div>
        <w:div w:id="1444838916">
          <w:marLeft w:val="0"/>
          <w:marRight w:val="0"/>
          <w:marTop w:val="0"/>
          <w:marBottom w:val="0"/>
          <w:divBdr>
            <w:top w:val="none" w:sz="0" w:space="0" w:color="auto"/>
            <w:left w:val="none" w:sz="0" w:space="0" w:color="auto"/>
            <w:bottom w:val="none" w:sz="0" w:space="0" w:color="auto"/>
            <w:right w:val="none" w:sz="0" w:space="0" w:color="auto"/>
          </w:divBdr>
          <w:divsChild>
            <w:div w:id="1100684792">
              <w:marLeft w:val="0"/>
              <w:marRight w:val="0"/>
              <w:marTop w:val="0"/>
              <w:marBottom w:val="0"/>
              <w:divBdr>
                <w:top w:val="none" w:sz="0" w:space="0" w:color="auto"/>
                <w:left w:val="none" w:sz="0" w:space="0" w:color="auto"/>
                <w:bottom w:val="none" w:sz="0" w:space="0" w:color="auto"/>
                <w:right w:val="none" w:sz="0" w:space="0" w:color="auto"/>
              </w:divBdr>
            </w:div>
          </w:divsChild>
        </w:div>
        <w:div w:id="1481459160">
          <w:marLeft w:val="0"/>
          <w:marRight w:val="0"/>
          <w:marTop w:val="0"/>
          <w:marBottom w:val="0"/>
          <w:divBdr>
            <w:top w:val="none" w:sz="0" w:space="0" w:color="auto"/>
            <w:left w:val="none" w:sz="0" w:space="0" w:color="auto"/>
            <w:bottom w:val="none" w:sz="0" w:space="0" w:color="auto"/>
            <w:right w:val="none" w:sz="0" w:space="0" w:color="auto"/>
          </w:divBdr>
          <w:divsChild>
            <w:div w:id="1650550303">
              <w:marLeft w:val="0"/>
              <w:marRight w:val="0"/>
              <w:marTop w:val="0"/>
              <w:marBottom w:val="0"/>
              <w:divBdr>
                <w:top w:val="none" w:sz="0" w:space="0" w:color="auto"/>
                <w:left w:val="none" w:sz="0" w:space="0" w:color="auto"/>
                <w:bottom w:val="none" w:sz="0" w:space="0" w:color="auto"/>
                <w:right w:val="none" w:sz="0" w:space="0" w:color="auto"/>
              </w:divBdr>
            </w:div>
          </w:divsChild>
        </w:div>
        <w:div w:id="1483933601">
          <w:marLeft w:val="0"/>
          <w:marRight w:val="0"/>
          <w:marTop w:val="0"/>
          <w:marBottom w:val="0"/>
          <w:divBdr>
            <w:top w:val="none" w:sz="0" w:space="0" w:color="auto"/>
            <w:left w:val="none" w:sz="0" w:space="0" w:color="auto"/>
            <w:bottom w:val="none" w:sz="0" w:space="0" w:color="auto"/>
            <w:right w:val="none" w:sz="0" w:space="0" w:color="auto"/>
          </w:divBdr>
          <w:divsChild>
            <w:div w:id="1970893931">
              <w:marLeft w:val="0"/>
              <w:marRight w:val="0"/>
              <w:marTop w:val="0"/>
              <w:marBottom w:val="0"/>
              <w:divBdr>
                <w:top w:val="none" w:sz="0" w:space="0" w:color="auto"/>
                <w:left w:val="none" w:sz="0" w:space="0" w:color="auto"/>
                <w:bottom w:val="none" w:sz="0" w:space="0" w:color="auto"/>
                <w:right w:val="none" w:sz="0" w:space="0" w:color="auto"/>
              </w:divBdr>
            </w:div>
          </w:divsChild>
        </w:div>
        <w:div w:id="1653946875">
          <w:marLeft w:val="0"/>
          <w:marRight w:val="0"/>
          <w:marTop w:val="0"/>
          <w:marBottom w:val="0"/>
          <w:divBdr>
            <w:top w:val="none" w:sz="0" w:space="0" w:color="auto"/>
            <w:left w:val="none" w:sz="0" w:space="0" w:color="auto"/>
            <w:bottom w:val="none" w:sz="0" w:space="0" w:color="auto"/>
            <w:right w:val="none" w:sz="0" w:space="0" w:color="auto"/>
          </w:divBdr>
          <w:divsChild>
            <w:div w:id="1318150634">
              <w:marLeft w:val="0"/>
              <w:marRight w:val="0"/>
              <w:marTop w:val="0"/>
              <w:marBottom w:val="0"/>
              <w:divBdr>
                <w:top w:val="none" w:sz="0" w:space="0" w:color="auto"/>
                <w:left w:val="none" w:sz="0" w:space="0" w:color="auto"/>
                <w:bottom w:val="none" w:sz="0" w:space="0" w:color="auto"/>
                <w:right w:val="none" w:sz="0" w:space="0" w:color="auto"/>
              </w:divBdr>
            </w:div>
          </w:divsChild>
        </w:div>
        <w:div w:id="1794248794">
          <w:marLeft w:val="0"/>
          <w:marRight w:val="0"/>
          <w:marTop w:val="0"/>
          <w:marBottom w:val="0"/>
          <w:divBdr>
            <w:top w:val="none" w:sz="0" w:space="0" w:color="auto"/>
            <w:left w:val="none" w:sz="0" w:space="0" w:color="auto"/>
            <w:bottom w:val="none" w:sz="0" w:space="0" w:color="auto"/>
            <w:right w:val="none" w:sz="0" w:space="0" w:color="auto"/>
          </w:divBdr>
          <w:divsChild>
            <w:div w:id="1499494568">
              <w:marLeft w:val="0"/>
              <w:marRight w:val="0"/>
              <w:marTop w:val="0"/>
              <w:marBottom w:val="0"/>
              <w:divBdr>
                <w:top w:val="none" w:sz="0" w:space="0" w:color="auto"/>
                <w:left w:val="none" w:sz="0" w:space="0" w:color="auto"/>
                <w:bottom w:val="none" w:sz="0" w:space="0" w:color="auto"/>
                <w:right w:val="none" w:sz="0" w:space="0" w:color="auto"/>
              </w:divBdr>
            </w:div>
          </w:divsChild>
        </w:div>
        <w:div w:id="1795713250">
          <w:marLeft w:val="0"/>
          <w:marRight w:val="0"/>
          <w:marTop w:val="0"/>
          <w:marBottom w:val="0"/>
          <w:divBdr>
            <w:top w:val="none" w:sz="0" w:space="0" w:color="auto"/>
            <w:left w:val="none" w:sz="0" w:space="0" w:color="auto"/>
            <w:bottom w:val="none" w:sz="0" w:space="0" w:color="auto"/>
            <w:right w:val="none" w:sz="0" w:space="0" w:color="auto"/>
          </w:divBdr>
          <w:divsChild>
            <w:div w:id="604340079">
              <w:marLeft w:val="0"/>
              <w:marRight w:val="0"/>
              <w:marTop w:val="0"/>
              <w:marBottom w:val="0"/>
              <w:divBdr>
                <w:top w:val="none" w:sz="0" w:space="0" w:color="auto"/>
                <w:left w:val="none" w:sz="0" w:space="0" w:color="auto"/>
                <w:bottom w:val="none" w:sz="0" w:space="0" w:color="auto"/>
                <w:right w:val="none" w:sz="0" w:space="0" w:color="auto"/>
              </w:divBdr>
            </w:div>
          </w:divsChild>
        </w:div>
        <w:div w:id="1870333638">
          <w:marLeft w:val="0"/>
          <w:marRight w:val="0"/>
          <w:marTop w:val="0"/>
          <w:marBottom w:val="0"/>
          <w:divBdr>
            <w:top w:val="none" w:sz="0" w:space="0" w:color="auto"/>
            <w:left w:val="none" w:sz="0" w:space="0" w:color="auto"/>
            <w:bottom w:val="none" w:sz="0" w:space="0" w:color="auto"/>
            <w:right w:val="none" w:sz="0" w:space="0" w:color="auto"/>
          </w:divBdr>
          <w:divsChild>
            <w:div w:id="241643406">
              <w:marLeft w:val="0"/>
              <w:marRight w:val="0"/>
              <w:marTop w:val="0"/>
              <w:marBottom w:val="0"/>
              <w:divBdr>
                <w:top w:val="none" w:sz="0" w:space="0" w:color="auto"/>
                <w:left w:val="none" w:sz="0" w:space="0" w:color="auto"/>
                <w:bottom w:val="none" w:sz="0" w:space="0" w:color="auto"/>
                <w:right w:val="none" w:sz="0" w:space="0" w:color="auto"/>
              </w:divBdr>
            </w:div>
          </w:divsChild>
        </w:div>
        <w:div w:id="2060666751">
          <w:marLeft w:val="0"/>
          <w:marRight w:val="0"/>
          <w:marTop w:val="0"/>
          <w:marBottom w:val="0"/>
          <w:divBdr>
            <w:top w:val="none" w:sz="0" w:space="0" w:color="auto"/>
            <w:left w:val="none" w:sz="0" w:space="0" w:color="auto"/>
            <w:bottom w:val="none" w:sz="0" w:space="0" w:color="auto"/>
            <w:right w:val="none" w:sz="0" w:space="0" w:color="auto"/>
          </w:divBdr>
          <w:divsChild>
            <w:div w:id="437916793">
              <w:marLeft w:val="0"/>
              <w:marRight w:val="0"/>
              <w:marTop w:val="0"/>
              <w:marBottom w:val="0"/>
              <w:divBdr>
                <w:top w:val="none" w:sz="0" w:space="0" w:color="auto"/>
                <w:left w:val="none" w:sz="0" w:space="0" w:color="auto"/>
                <w:bottom w:val="none" w:sz="0" w:space="0" w:color="auto"/>
                <w:right w:val="none" w:sz="0" w:space="0" w:color="auto"/>
              </w:divBdr>
            </w:div>
          </w:divsChild>
        </w:div>
        <w:div w:id="2103181873">
          <w:marLeft w:val="0"/>
          <w:marRight w:val="0"/>
          <w:marTop w:val="0"/>
          <w:marBottom w:val="0"/>
          <w:divBdr>
            <w:top w:val="none" w:sz="0" w:space="0" w:color="auto"/>
            <w:left w:val="none" w:sz="0" w:space="0" w:color="auto"/>
            <w:bottom w:val="none" w:sz="0" w:space="0" w:color="auto"/>
            <w:right w:val="none" w:sz="0" w:space="0" w:color="auto"/>
          </w:divBdr>
          <w:divsChild>
            <w:div w:id="1638340596">
              <w:marLeft w:val="0"/>
              <w:marRight w:val="0"/>
              <w:marTop w:val="0"/>
              <w:marBottom w:val="0"/>
              <w:divBdr>
                <w:top w:val="none" w:sz="0" w:space="0" w:color="auto"/>
                <w:left w:val="none" w:sz="0" w:space="0" w:color="auto"/>
                <w:bottom w:val="none" w:sz="0" w:space="0" w:color="auto"/>
                <w:right w:val="none" w:sz="0" w:space="0" w:color="auto"/>
              </w:divBdr>
            </w:div>
          </w:divsChild>
        </w:div>
        <w:div w:id="2137137810">
          <w:marLeft w:val="0"/>
          <w:marRight w:val="0"/>
          <w:marTop w:val="0"/>
          <w:marBottom w:val="0"/>
          <w:divBdr>
            <w:top w:val="none" w:sz="0" w:space="0" w:color="auto"/>
            <w:left w:val="none" w:sz="0" w:space="0" w:color="auto"/>
            <w:bottom w:val="none" w:sz="0" w:space="0" w:color="auto"/>
            <w:right w:val="none" w:sz="0" w:space="0" w:color="auto"/>
          </w:divBdr>
          <w:divsChild>
            <w:div w:id="420370698">
              <w:marLeft w:val="0"/>
              <w:marRight w:val="0"/>
              <w:marTop w:val="0"/>
              <w:marBottom w:val="0"/>
              <w:divBdr>
                <w:top w:val="none" w:sz="0" w:space="0" w:color="auto"/>
                <w:left w:val="none" w:sz="0" w:space="0" w:color="auto"/>
                <w:bottom w:val="none" w:sz="0" w:space="0" w:color="auto"/>
                <w:right w:val="none" w:sz="0" w:space="0" w:color="auto"/>
              </w:divBdr>
            </w:div>
            <w:div w:id="77490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6152">
      <w:bodyDiv w:val="1"/>
      <w:marLeft w:val="0"/>
      <w:marRight w:val="0"/>
      <w:marTop w:val="0"/>
      <w:marBottom w:val="0"/>
      <w:divBdr>
        <w:top w:val="none" w:sz="0" w:space="0" w:color="auto"/>
        <w:left w:val="none" w:sz="0" w:space="0" w:color="auto"/>
        <w:bottom w:val="none" w:sz="0" w:space="0" w:color="auto"/>
        <w:right w:val="none" w:sz="0" w:space="0" w:color="auto"/>
      </w:divBdr>
      <w:divsChild>
        <w:div w:id="20860011">
          <w:marLeft w:val="0"/>
          <w:marRight w:val="0"/>
          <w:marTop w:val="0"/>
          <w:marBottom w:val="0"/>
          <w:divBdr>
            <w:top w:val="none" w:sz="0" w:space="0" w:color="auto"/>
            <w:left w:val="none" w:sz="0" w:space="0" w:color="auto"/>
            <w:bottom w:val="none" w:sz="0" w:space="0" w:color="auto"/>
            <w:right w:val="none" w:sz="0" w:space="0" w:color="auto"/>
          </w:divBdr>
        </w:div>
        <w:div w:id="420876661">
          <w:marLeft w:val="0"/>
          <w:marRight w:val="0"/>
          <w:marTop w:val="0"/>
          <w:marBottom w:val="0"/>
          <w:divBdr>
            <w:top w:val="none" w:sz="0" w:space="0" w:color="auto"/>
            <w:left w:val="none" w:sz="0" w:space="0" w:color="auto"/>
            <w:bottom w:val="none" w:sz="0" w:space="0" w:color="auto"/>
            <w:right w:val="none" w:sz="0" w:space="0" w:color="auto"/>
          </w:divBdr>
        </w:div>
        <w:div w:id="823468188">
          <w:marLeft w:val="0"/>
          <w:marRight w:val="0"/>
          <w:marTop w:val="0"/>
          <w:marBottom w:val="0"/>
          <w:divBdr>
            <w:top w:val="none" w:sz="0" w:space="0" w:color="auto"/>
            <w:left w:val="none" w:sz="0" w:space="0" w:color="auto"/>
            <w:bottom w:val="none" w:sz="0" w:space="0" w:color="auto"/>
            <w:right w:val="none" w:sz="0" w:space="0" w:color="auto"/>
          </w:divBdr>
        </w:div>
        <w:div w:id="914702196">
          <w:marLeft w:val="0"/>
          <w:marRight w:val="0"/>
          <w:marTop w:val="0"/>
          <w:marBottom w:val="0"/>
          <w:divBdr>
            <w:top w:val="none" w:sz="0" w:space="0" w:color="auto"/>
            <w:left w:val="none" w:sz="0" w:space="0" w:color="auto"/>
            <w:bottom w:val="none" w:sz="0" w:space="0" w:color="auto"/>
            <w:right w:val="none" w:sz="0" w:space="0" w:color="auto"/>
          </w:divBdr>
        </w:div>
        <w:div w:id="1396931252">
          <w:marLeft w:val="0"/>
          <w:marRight w:val="0"/>
          <w:marTop w:val="0"/>
          <w:marBottom w:val="0"/>
          <w:divBdr>
            <w:top w:val="none" w:sz="0" w:space="0" w:color="auto"/>
            <w:left w:val="none" w:sz="0" w:space="0" w:color="auto"/>
            <w:bottom w:val="none" w:sz="0" w:space="0" w:color="auto"/>
            <w:right w:val="none" w:sz="0" w:space="0" w:color="auto"/>
          </w:divBdr>
        </w:div>
      </w:divsChild>
    </w:div>
    <w:div w:id="1072581225">
      <w:bodyDiv w:val="1"/>
      <w:marLeft w:val="0"/>
      <w:marRight w:val="0"/>
      <w:marTop w:val="0"/>
      <w:marBottom w:val="0"/>
      <w:divBdr>
        <w:top w:val="none" w:sz="0" w:space="0" w:color="auto"/>
        <w:left w:val="none" w:sz="0" w:space="0" w:color="auto"/>
        <w:bottom w:val="none" w:sz="0" w:space="0" w:color="auto"/>
        <w:right w:val="none" w:sz="0" w:space="0" w:color="auto"/>
      </w:divBdr>
      <w:divsChild>
        <w:div w:id="77678238">
          <w:marLeft w:val="0"/>
          <w:marRight w:val="0"/>
          <w:marTop w:val="0"/>
          <w:marBottom w:val="0"/>
          <w:divBdr>
            <w:top w:val="none" w:sz="0" w:space="0" w:color="auto"/>
            <w:left w:val="none" w:sz="0" w:space="0" w:color="auto"/>
            <w:bottom w:val="none" w:sz="0" w:space="0" w:color="auto"/>
            <w:right w:val="none" w:sz="0" w:space="0" w:color="auto"/>
          </w:divBdr>
        </w:div>
        <w:div w:id="97142962">
          <w:marLeft w:val="0"/>
          <w:marRight w:val="0"/>
          <w:marTop w:val="0"/>
          <w:marBottom w:val="0"/>
          <w:divBdr>
            <w:top w:val="none" w:sz="0" w:space="0" w:color="auto"/>
            <w:left w:val="none" w:sz="0" w:space="0" w:color="auto"/>
            <w:bottom w:val="none" w:sz="0" w:space="0" w:color="auto"/>
            <w:right w:val="none" w:sz="0" w:space="0" w:color="auto"/>
          </w:divBdr>
        </w:div>
        <w:div w:id="99574527">
          <w:marLeft w:val="0"/>
          <w:marRight w:val="0"/>
          <w:marTop w:val="0"/>
          <w:marBottom w:val="0"/>
          <w:divBdr>
            <w:top w:val="none" w:sz="0" w:space="0" w:color="auto"/>
            <w:left w:val="none" w:sz="0" w:space="0" w:color="auto"/>
            <w:bottom w:val="none" w:sz="0" w:space="0" w:color="auto"/>
            <w:right w:val="none" w:sz="0" w:space="0" w:color="auto"/>
          </w:divBdr>
        </w:div>
        <w:div w:id="130487516">
          <w:marLeft w:val="0"/>
          <w:marRight w:val="0"/>
          <w:marTop w:val="0"/>
          <w:marBottom w:val="0"/>
          <w:divBdr>
            <w:top w:val="none" w:sz="0" w:space="0" w:color="auto"/>
            <w:left w:val="none" w:sz="0" w:space="0" w:color="auto"/>
            <w:bottom w:val="none" w:sz="0" w:space="0" w:color="auto"/>
            <w:right w:val="none" w:sz="0" w:space="0" w:color="auto"/>
          </w:divBdr>
        </w:div>
        <w:div w:id="168368860">
          <w:marLeft w:val="0"/>
          <w:marRight w:val="0"/>
          <w:marTop w:val="0"/>
          <w:marBottom w:val="0"/>
          <w:divBdr>
            <w:top w:val="none" w:sz="0" w:space="0" w:color="auto"/>
            <w:left w:val="none" w:sz="0" w:space="0" w:color="auto"/>
            <w:bottom w:val="none" w:sz="0" w:space="0" w:color="auto"/>
            <w:right w:val="none" w:sz="0" w:space="0" w:color="auto"/>
          </w:divBdr>
        </w:div>
        <w:div w:id="216016431">
          <w:marLeft w:val="0"/>
          <w:marRight w:val="0"/>
          <w:marTop w:val="0"/>
          <w:marBottom w:val="0"/>
          <w:divBdr>
            <w:top w:val="none" w:sz="0" w:space="0" w:color="auto"/>
            <w:left w:val="none" w:sz="0" w:space="0" w:color="auto"/>
            <w:bottom w:val="none" w:sz="0" w:space="0" w:color="auto"/>
            <w:right w:val="none" w:sz="0" w:space="0" w:color="auto"/>
          </w:divBdr>
        </w:div>
        <w:div w:id="230316132">
          <w:marLeft w:val="0"/>
          <w:marRight w:val="0"/>
          <w:marTop w:val="0"/>
          <w:marBottom w:val="0"/>
          <w:divBdr>
            <w:top w:val="none" w:sz="0" w:space="0" w:color="auto"/>
            <w:left w:val="none" w:sz="0" w:space="0" w:color="auto"/>
            <w:bottom w:val="none" w:sz="0" w:space="0" w:color="auto"/>
            <w:right w:val="none" w:sz="0" w:space="0" w:color="auto"/>
          </w:divBdr>
          <w:divsChild>
            <w:div w:id="163475446">
              <w:marLeft w:val="0"/>
              <w:marRight w:val="0"/>
              <w:marTop w:val="0"/>
              <w:marBottom w:val="0"/>
              <w:divBdr>
                <w:top w:val="none" w:sz="0" w:space="0" w:color="auto"/>
                <w:left w:val="none" w:sz="0" w:space="0" w:color="auto"/>
                <w:bottom w:val="none" w:sz="0" w:space="0" w:color="auto"/>
                <w:right w:val="none" w:sz="0" w:space="0" w:color="auto"/>
              </w:divBdr>
            </w:div>
            <w:div w:id="327758017">
              <w:marLeft w:val="0"/>
              <w:marRight w:val="0"/>
              <w:marTop w:val="0"/>
              <w:marBottom w:val="0"/>
              <w:divBdr>
                <w:top w:val="none" w:sz="0" w:space="0" w:color="auto"/>
                <w:left w:val="none" w:sz="0" w:space="0" w:color="auto"/>
                <w:bottom w:val="none" w:sz="0" w:space="0" w:color="auto"/>
                <w:right w:val="none" w:sz="0" w:space="0" w:color="auto"/>
              </w:divBdr>
            </w:div>
            <w:div w:id="448209428">
              <w:marLeft w:val="0"/>
              <w:marRight w:val="0"/>
              <w:marTop w:val="0"/>
              <w:marBottom w:val="0"/>
              <w:divBdr>
                <w:top w:val="none" w:sz="0" w:space="0" w:color="auto"/>
                <w:left w:val="none" w:sz="0" w:space="0" w:color="auto"/>
                <w:bottom w:val="none" w:sz="0" w:space="0" w:color="auto"/>
                <w:right w:val="none" w:sz="0" w:space="0" w:color="auto"/>
              </w:divBdr>
            </w:div>
            <w:div w:id="611204081">
              <w:marLeft w:val="0"/>
              <w:marRight w:val="0"/>
              <w:marTop w:val="0"/>
              <w:marBottom w:val="0"/>
              <w:divBdr>
                <w:top w:val="none" w:sz="0" w:space="0" w:color="auto"/>
                <w:left w:val="none" w:sz="0" w:space="0" w:color="auto"/>
                <w:bottom w:val="none" w:sz="0" w:space="0" w:color="auto"/>
                <w:right w:val="none" w:sz="0" w:space="0" w:color="auto"/>
              </w:divBdr>
            </w:div>
            <w:div w:id="613050703">
              <w:marLeft w:val="0"/>
              <w:marRight w:val="0"/>
              <w:marTop w:val="0"/>
              <w:marBottom w:val="0"/>
              <w:divBdr>
                <w:top w:val="none" w:sz="0" w:space="0" w:color="auto"/>
                <w:left w:val="none" w:sz="0" w:space="0" w:color="auto"/>
                <w:bottom w:val="none" w:sz="0" w:space="0" w:color="auto"/>
                <w:right w:val="none" w:sz="0" w:space="0" w:color="auto"/>
              </w:divBdr>
            </w:div>
            <w:div w:id="694622321">
              <w:marLeft w:val="0"/>
              <w:marRight w:val="0"/>
              <w:marTop w:val="0"/>
              <w:marBottom w:val="0"/>
              <w:divBdr>
                <w:top w:val="none" w:sz="0" w:space="0" w:color="auto"/>
                <w:left w:val="none" w:sz="0" w:space="0" w:color="auto"/>
                <w:bottom w:val="none" w:sz="0" w:space="0" w:color="auto"/>
                <w:right w:val="none" w:sz="0" w:space="0" w:color="auto"/>
              </w:divBdr>
            </w:div>
            <w:div w:id="782923720">
              <w:marLeft w:val="0"/>
              <w:marRight w:val="0"/>
              <w:marTop w:val="0"/>
              <w:marBottom w:val="0"/>
              <w:divBdr>
                <w:top w:val="none" w:sz="0" w:space="0" w:color="auto"/>
                <w:left w:val="none" w:sz="0" w:space="0" w:color="auto"/>
                <w:bottom w:val="none" w:sz="0" w:space="0" w:color="auto"/>
                <w:right w:val="none" w:sz="0" w:space="0" w:color="auto"/>
              </w:divBdr>
            </w:div>
            <w:div w:id="800539824">
              <w:marLeft w:val="0"/>
              <w:marRight w:val="0"/>
              <w:marTop w:val="0"/>
              <w:marBottom w:val="0"/>
              <w:divBdr>
                <w:top w:val="none" w:sz="0" w:space="0" w:color="auto"/>
                <w:left w:val="none" w:sz="0" w:space="0" w:color="auto"/>
                <w:bottom w:val="none" w:sz="0" w:space="0" w:color="auto"/>
                <w:right w:val="none" w:sz="0" w:space="0" w:color="auto"/>
              </w:divBdr>
            </w:div>
            <w:div w:id="814444292">
              <w:marLeft w:val="0"/>
              <w:marRight w:val="0"/>
              <w:marTop w:val="0"/>
              <w:marBottom w:val="0"/>
              <w:divBdr>
                <w:top w:val="none" w:sz="0" w:space="0" w:color="auto"/>
                <w:left w:val="none" w:sz="0" w:space="0" w:color="auto"/>
                <w:bottom w:val="none" w:sz="0" w:space="0" w:color="auto"/>
                <w:right w:val="none" w:sz="0" w:space="0" w:color="auto"/>
              </w:divBdr>
            </w:div>
            <w:div w:id="922761338">
              <w:marLeft w:val="0"/>
              <w:marRight w:val="0"/>
              <w:marTop w:val="0"/>
              <w:marBottom w:val="0"/>
              <w:divBdr>
                <w:top w:val="none" w:sz="0" w:space="0" w:color="auto"/>
                <w:left w:val="none" w:sz="0" w:space="0" w:color="auto"/>
                <w:bottom w:val="none" w:sz="0" w:space="0" w:color="auto"/>
                <w:right w:val="none" w:sz="0" w:space="0" w:color="auto"/>
              </w:divBdr>
            </w:div>
            <w:div w:id="1025399661">
              <w:marLeft w:val="0"/>
              <w:marRight w:val="0"/>
              <w:marTop w:val="0"/>
              <w:marBottom w:val="0"/>
              <w:divBdr>
                <w:top w:val="none" w:sz="0" w:space="0" w:color="auto"/>
                <w:left w:val="none" w:sz="0" w:space="0" w:color="auto"/>
                <w:bottom w:val="none" w:sz="0" w:space="0" w:color="auto"/>
                <w:right w:val="none" w:sz="0" w:space="0" w:color="auto"/>
              </w:divBdr>
            </w:div>
            <w:div w:id="1128158188">
              <w:marLeft w:val="0"/>
              <w:marRight w:val="0"/>
              <w:marTop w:val="0"/>
              <w:marBottom w:val="0"/>
              <w:divBdr>
                <w:top w:val="none" w:sz="0" w:space="0" w:color="auto"/>
                <w:left w:val="none" w:sz="0" w:space="0" w:color="auto"/>
                <w:bottom w:val="none" w:sz="0" w:space="0" w:color="auto"/>
                <w:right w:val="none" w:sz="0" w:space="0" w:color="auto"/>
              </w:divBdr>
            </w:div>
            <w:div w:id="1256405913">
              <w:marLeft w:val="0"/>
              <w:marRight w:val="0"/>
              <w:marTop w:val="0"/>
              <w:marBottom w:val="0"/>
              <w:divBdr>
                <w:top w:val="none" w:sz="0" w:space="0" w:color="auto"/>
                <w:left w:val="none" w:sz="0" w:space="0" w:color="auto"/>
                <w:bottom w:val="none" w:sz="0" w:space="0" w:color="auto"/>
                <w:right w:val="none" w:sz="0" w:space="0" w:color="auto"/>
              </w:divBdr>
            </w:div>
            <w:div w:id="1363898870">
              <w:marLeft w:val="0"/>
              <w:marRight w:val="0"/>
              <w:marTop w:val="0"/>
              <w:marBottom w:val="0"/>
              <w:divBdr>
                <w:top w:val="none" w:sz="0" w:space="0" w:color="auto"/>
                <w:left w:val="none" w:sz="0" w:space="0" w:color="auto"/>
                <w:bottom w:val="none" w:sz="0" w:space="0" w:color="auto"/>
                <w:right w:val="none" w:sz="0" w:space="0" w:color="auto"/>
              </w:divBdr>
            </w:div>
            <w:div w:id="1484810802">
              <w:marLeft w:val="0"/>
              <w:marRight w:val="0"/>
              <w:marTop w:val="0"/>
              <w:marBottom w:val="0"/>
              <w:divBdr>
                <w:top w:val="none" w:sz="0" w:space="0" w:color="auto"/>
                <w:left w:val="none" w:sz="0" w:space="0" w:color="auto"/>
                <w:bottom w:val="none" w:sz="0" w:space="0" w:color="auto"/>
                <w:right w:val="none" w:sz="0" w:space="0" w:color="auto"/>
              </w:divBdr>
            </w:div>
            <w:div w:id="1511026678">
              <w:marLeft w:val="0"/>
              <w:marRight w:val="0"/>
              <w:marTop w:val="0"/>
              <w:marBottom w:val="0"/>
              <w:divBdr>
                <w:top w:val="none" w:sz="0" w:space="0" w:color="auto"/>
                <w:left w:val="none" w:sz="0" w:space="0" w:color="auto"/>
                <w:bottom w:val="none" w:sz="0" w:space="0" w:color="auto"/>
                <w:right w:val="none" w:sz="0" w:space="0" w:color="auto"/>
              </w:divBdr>
            </w:div>
            <w:div w:id="1520045212">
              <w:marLeft w:val="0"/>
              <w:marRight w:val="0"/>
              <w:marTop w:val="0"/>
              <w:marBottom w:val="0"/>
              <w:divBdr>
                <w:top w:val="none" w:sz="0" w:space="0" w:color="auto"/>
                <w:left w:val="none" w:sz="0" w:space="0" w:color="auto"/>
                <w:bottom w:val="none" w:sz="0" w:space="0" w:color="auto"/>
                <w:right w:val="none" w:sz="0" w:space="0" w:color="auto"/>
              </w:divBdr>
            </w:div>
            <w:div w:id="1891384242">
              <w:marLeft w:val="0"/>
              <w:marRight w:val="0"/>
              <w:marTop w:val="0"/>
              <w:marBottom w:val="0"/>
              <w:divBdr>
                <w:top w:val="none" w:sz="0" w:space="0" w:color="auto"/>
                <w:left w:val="none" w:sz="0" w:space="0" w:color="auto"/>
                <w:bottom w:val="none" w:sz="0" w:space="0" w:color="auto"/>
                <w:right w:val="none" w:sz="0" w:space="0" w:color="auto"/>
              </w:divBdr>
            </w:div>
            <w:div w:id="2092118002">
              <w:marLeft w:val="0"/>
              <w:marRight w:val="0"/>
              <w:marTop w:val="0"/>
              <w:marBottom w:val="0"/>
              <w:divBdr>
                <w:top w:val="none" w:sz="0" w:space="0" w:color="auto"/>
                <w:left w:val="none" w:sz="0" w:space="0" w:color="auto"/>
                <w:bottom w:val="none" w:sz="0" w:space="0" w:color="auto"/>
                <w:right w:val="none" w:sz="0" w:space="0" w:color="auto"/>
              </w:divBdr>
            </w:div>
            <w:div w:id="2138721716">
              <w:marLeft w:val="0"/>
              <w:marRight w:val="0"/>
              <w:marTop w:val="0"/>
              <w:marBottom w:val="0"/>
              <w:divBdr>
                <w:top w:val="none" w:sz="0" w:space="0" w:color="auto"/>
                <w:left w:val="none" w:sz="0" w:space="0" w:color="auto"/>
                <w:bottom w:val="none" w:sz="0" w:space="0" w:color="auto"/>
                <w:right w:val="none" w:sz="0" w:space="0" w:color="auto"/>
              </w:divBdr>
            </w:div>
          </w:divsChild>
        </w:div>
        <w:div w:id="236861560">
          <w:marLeft w:val="0"/>
          <w:marRight w:val="0"/>
          <w:marTop w:val="0"/>
          <w:marBottom w:val="0"/>
          <w:divBdr>
            <w:top w:val="none" w:sz="0" w:space="0" w:color="auto"/>
            <w:left w:val="none" w:sz="0" w:space="0" w:color="auto"/>
            <w:bottom w:val="none" w:sz="0" w:space="0" w:color="auto"/>
            <w:right w:val="none" w:sz="0" w:space="0" w:color="auto"/>
          </w:divBdr>
        </w:div>
        <w:div w:id="253587998">
          <w:marLeft w:val="0"/>
          <w:marRight w:val="0"/>
          <w:marTop w:val="0"/>
          <w:marBottom w:val="0"/>
          <w:divBdr>
            <w:top w:val="none" w:sz="0" w:space="0" w:color="auto"/>
            <w:left w:val="none" w:sz="0" w:space="0" w:color="auto"/>
            <w:bottom w:val="none" w:sz="0" w:space="0" w:color="auto"/>
            <w:right w:val="none" w:sz="0" w:space="0" w:color="auto"/>
          </w:divBdr>
        </w:div>
        <w:div w:id="264729188">
          <w:marLeft w:val="0"/>
          <w:marRight w:val="0"/>
          <w:marTop w:val="0"/>
          <w:marBottom w:val="0"/>
          <w:divBdr>
            <w:top w:val="none" w:sz="0" w:space="0" w:color="auto"/>
            <w:left w:val="none" w:sz="0" w:space="0" w:color="auto"/>
            <w:bottom w:val="none" w:sz="0" w:space="0" w:color="auto"/>
            <w:right w:val="none" w:sz="0" w:space="0" w:color="auto"/>
          </w:divBdr>
          <w:divsChild>
            <w:div w:id="63378566">
              <w:marLeft w:val="0"/>
              <w:marRight w:val="0"/>
              <w:marTop w:val="0"/>
              <w:marBottom w:val="0"/>
              <w:divBdr>
                <w:top w:val="none" w:sz="0" w:space="0" w:color="auto"/>
                <w:left w:val="none" w:sz="0" w:space="0" w:color="auto"/>
                <w:bottom w:val="none" w:sz="0" w:space="0" w:color="auto"/>
                <w:right w:val="none" w:sz="0" w:space="0" w:color="auto"/>
              </w:divBdr>
            </w:div>
            <w:div w:id="112749909">
              <w:marLeft w:val="0"/>
              <w:marRight w:val="0"/>
              <w:marTop w:val="0"/>
              <w:marBottom w:val="0"/>
              <w:divBdr>
                <w:top w:val="none" w:sz="0" w:space="0" w:color="auto"/>
                <w:left w:val="none" w:sz="0" w:space="0" w:color="auto"/>
                <w:bottom w:val="none" w:sz="0" w:space="0" w:color="auto"/>
                <w:right w:val="none" w:sz="0" w:space="0" w:color="auto"/>
              </w:divBdr>
            </w:div>
            <w:div w:id="28180986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492449644">
              <w:marLeft w:val="0"/>
              <w:marRight w:val="0"/>
              <w:marTop w:val="0"/>
              <w:marBottom w:val="0"/>
              <w:divBdr>
                <w:top w:val="none" w:sz="0" w:space="0" w:color="auto"/>
                <w:left w:val="none" w:sz="0" w:space="0" w:color="auto"/>
                <w:bottom w:val="none" w:sz="0" w:space="0" w:color="auto"/>
                <w:right w:val="none" w:sz="0" w:space="0" w:color="auto"/>
              </w:divBdr>
            </w:div>
            <w:div w:id="541358876">
              <w:marLeft w:val="0"/>
              <w:marRight w:val="0"/>
              <w:marTop w:val="0"/>
              <w:marBottom w:val="0"/>
              <w:divBdr>
                <w:top w:val="none" w:sz="0" w:space="0" w:color="auto"/>
                <w:left w:val="none" w:sz="0" w:space="0" w:color="auto"/>
                <w:bottom w:val="none" w:sz="0" w:space="0" w:color="auto"/>
                <w:right w:val="none" w:sz="0" w:space="0" w:color="auto"/>
              </w:divBdr>
            </w:div>
            <w:div w:id="545915704">
              <w:marLeft w:val="0"/>
              <w:marRight w:val="0"/>
              <w:marTop w:val="0"/>
              <w:marBottom w:val="0"/>
              <w:divBdr>
                <w:top w:val="none" w:sz="0" w:space="0" w:color="auto"/>
                <w:left w:val="none" w:sz="0" w:space="0" w:color="auto"/>
                <w:bottom w:val="none" w:sz="0" w:space="0" w:color="auto"/>
                <w:right w:val="none" w:sz="0" w:space="0" w:color="auto"/>
              </w:divBdr>
            </w:div>
            <w:div w:id="883639408">
              <w:marLeft w:val="0"/>
              <w:marRight w:val="0"/>
              <w:marTop w:val="0"/>
              <w:marBottom w:val="0"/>
              <w:divBdr>
                <w:top w:val="none" w:sz="0" w:space="0" w:color="auto"/>
                <w:left w:val="none" w:sz="0" w:space="0" w:color="auto"/>
                <w:bottom w:val="none" w:sz="0" w:space="0" w:color="auto"/>
                <w:right w:val="none" w:sz="0" w:space="0" w:color="auto"/>
              </w:divBdr>
            </w:div>
            <w:div w:id="1001931776">
              <w:marLeft w:val="0"/>
              <w:marRight w:val="0"/>
              <w:marTop w:val="0"/>
              <w:marBottom w:val="0"/>
              <w:divBdr>
                <w:top w:val="none" w:sz="0" w:space="0" w:color="auto"/>
                <w:left w:val="none" w:sz="0" w:space="0" w:color="auto"/>
                <w:bottom w:val="none" w:sz="0" w:space="0" w:color="auto"/>
                <w:right w:val="none" w:sz="0" w:space="0" w:color="auto"/>
              </w:divBdr>
            </w:div>
            <w:div w:id="1029989257">
              <w:marLeft w:val="0"/>
              <w:marRight w:val="0"/>
              <w:marTop w:val="0"/>
              <w:marBottom w:val="0"/>
              <w:divBdr>
                <w:top w:val="none" w:sz="0" w:space="0" w:color="auto"/>
                <w:left w:val="none" w:sz="0" w:space="0" w:color="auto"/>
                <w:bottom w:val="none" w:sz="0" w:space="0" w:color="auto"/>
                <w:right w:val="none" w:sz="0" w:space="0" w:color="auto"/>
              </w:divBdr>
            </w:div>
            <w:div w:id="1035499379">
              <w:marLeft w:val="0"/>
              <w:marRight w:val="0"/>
              <w:marTop w:val="0"/>
              <w:marBottom w:val="0"/>
              <w:divBdr>
                <w:top w:val="none" w:sz="0" w:space="0" w:color="auto"/>
                <w:left w:val="none" w:sz="0" w:space="0" w:color="auto"/>
                <w:bottom w:val="none" w:sz="0" w:space="0" w:color="auto"/>
                <w:right w:val="none" w:sz="0" w:space="0" w:color="auto"/>
              </w:divBdr>
            </w:div>
            <w:div w:id="1115908901">
              <w:marLeft w:val="0"/>
              <w:marRight w:val="0"/>
              <w:marTop w:val="0"/>
              <w:marBottom w:val="0"/>
              <w:divBdr>
                <w:top w:val="none" w:sz="0" w:space="0" w:color="auto"/>
                <w:left w:val="none" w:sz="0" w:space="0" w:color="auto"/>
                <w:bottom w:val="none" w:sz="0" w:space="0" w:color="auto"/>
                <w:right w:val="none" w:sz="0" w:space="0" w:color="auto"/>
              </w:divBdr>
            </w:div>
            <w:div w:id="1476482058">
              <w:marLeft w:val="0"/>
              <w:marRight w:val="0"/>
              <w:marTop w:val="0"/>
              <w:marBottom w:val="0"/>
              <w:divBdr>
                <w:top w:val="none" w:sz="0" w:space="0" w:color="auto"/>
                <w:left w:val="none" w:sz="0" w:space="0" w:color="auto"/>
                <w:bottom w:val="none" w:sz="0" w:space="0" w:color="auto"/>
                <w:right w:val="none" w:sz="0" w:space="0" w:color="auto"/>
              </w:divBdr>
            </w:div>
            <w:div w:id="1608737175">
              <w:marLeft w:val="0"/>
              <w:marRight w:val="0"/>
              <w:marTop w:val="0"/>
              <w:marBottom w:val="0"/>
              <w:divBdr>
                <w:top w:val="none" w:sz="0" w:space="0" w:color="auto"/>
                <w:left w:val="none" w:sz="0" w:space="0" w:color="auto"/>
                <w:bottom w:val="none" w:sz="0" w:space="0" w:color="auto"/>
                <w:right w:val="none" w:sz="0" w:space="0" w:color="auto"/>
              </w:divBdr>
            </w:div>
            <w:div w:id="1609897980">
              <w:marLeft w:val="0"/>
              <w:marRight w:val="0"/>
              <w:marTop w:val="0"/>
              <w:marBottom w:val="0"/>
              <w:divBdr>
                <w:top w:val="none" w:sz="0" w:space="0" w:color="auto"/>
                <w:left w:val="none" w:sz="0" w:space="0" w:color="auto"/>
                <w:bottom w:val="none" w:sz="0" w:space="0" w:color="auto"/>
                <w:right w:val="none" w:sz="0" w:space="0" w:color="auto"/>
              </w:divBdr>
            </w:div>
            <w:div w:id="1725595624">
              <w:marLeft w:val="0"/>
              <w:marRight w:val="0"/>
              <w:marTop w:val="0"/>
              <w:marBottom w:val="0"/>
              <w:divBdr>
                <w:top w:val="none" w:sz="0" w:space="0" w:color="auto"/>
                <w:left w:val="none" w:sz="0" w:space="0" w:color="auto"/>
                <w:bottom w:val="none" w:sz="0" w:space="0" w:color="auto"/>
                <w:right w:val="none" w:sz="0" w:space="0" w:color="auto"/>
              </w:divBdr>
            </w:div>
            <w:div w:id="1789162744">
              <w:marLeft w:val="0"/>
              <w:marRight w:val="0"/>
              <w:marTop w:val="0"/>
              <w:marBottom w:val="0"/>
              <w:divBdr>
                <w:top w:val="none" w:sz="0" w:space="0" w:color="auto"/>
                <w:left w:val="none" w:sz="0" w:space="0" w:color="auto"/>
                <w:bottom w:val="none" w:sz="0" w:space="0" w:color="auto"/>
                <w:right w:val="none" w:sz="0" w:space="0" w:color="auto"/>
              </w:divBdr>
            </w:div>
            <w:div w:id="1995063205">
              <w:marLeft w:val="0"/>
              <w:marRight w:val="0"/>
              <w:marTop w:val="0"/>
              <w:marBottom w:val="0"/>
              <w:divBdr>
                <w:top w:val="none" w:sz="0" w:space="0" w:color="auto"/>
                <w:left w:val="none" w:sz="0" w:space="0" w:color="auto"/>
                <w:bottom w:val="none" w:sz="0" w:space="0" w:color="auto"/>
                <w:right w:val="none" w:sz="0" w:space="0" w:color="auto"/>
              </w:divBdr>
            </w:div>
            <w:div w:id="2008827705">
              <w:marLeft w:val="0"/>
              <w:marRight w:val="0"/>
              <w:marTop w:val="0"/>
              <w:marBottom w:val="0"/>
              <w:divBdr>
                <w:top w:val="none" w:sz="0" w:space="0" w:color="auto"/>
                <w:left w:val="none" w:sz="0" w:space="0" w:color="auto"/>
                <w:bottom w:val="none" w:sz="0" w:space="0" w:color="auto"/>
                <w:right w:val="none" w:sz="0" w:space="0" w:color="auto"/>
              </w:divBdr>
            </w:div>
            <w:div w:id="2100439461">
              <w:marLeft w:val="0"/>
              <w:marRight w:val="0"/>
              <w:marTop w:val="0"/>
              <w:marBottom w:val="0"/>
              <w:divBdr>
                <w:top w:val="none" w:sz="0" w:space="0" w:color="auto"/>
                <w:left w:val="none" w:sz="0" w:space="0" w:color="auto"/>
                <w:bottom w:val="none" w:sz="0" w:space="0" w:color="auto"/>
                <w:right w:val="none" w:sz="0" w:space="0" w:color="auto"/>
              </w:divBdr>
            </w:div>
          </w:divsChild>
        </w:div>
        <w:div w:id="299652668">
          <w:marLeft w:val="0"/>
          <w:marRight w:val="0"/>
          <w:marTop w:val="0"/>
          <w:marBottom w:val="0"/>
          <w:divBdr>
            <w:top w:val="none" w:sz="0" w:space="0" w:color="auto"/>
            <w:left w:val="none" w:sz="0" w:space="0" w:color="auto"/>
            <w:bottom w:val="none" w:sz="0" w:space="0" w:color="auto"/>
            <w:right w:val="none" w:sz="0" w:space="0" w:color="auto"/>
          </w:divBdr>
          <w:divsChild>
            <w:div w:id="1615476433">
              <w:marLeft w:val="-75"/>
              <w:marRight w:val="0"/>
              <w:marTop w:val="30"/>
              <w:marBottom w:val="30"/>
              <w:divBdr>
                <w:top w:val="none" w:sz="0" w:space="0" w:color="auto"/>
                <w:left w:val="none" w:sz="0" w:space="0" w:color="auto"/>
                <w:bottom w:val="none" w:sz="0" w:space="0" w:color="auto"/>
                <w:right w:val="none" w:sz="0" w:space="0" w:color="auto"/>
              </w:divBdr>
              <w:divsChild>
                <w:div w:id="96365896">
                  <w:marLeft w:val="0"/>
                  <w:marRight w:val="0"/>
                  <w:marTop w:val="0"/>
                  <w:marBottom w:val="0"/>
                  <w:divBdr>
                    <w:top w:val="none" w:sz="0" w:space="0" w:color="auto"/>
                    <w:left w:val="none" w:sz="0" w:space="0" w:color="auto"/>
                    <w:bottom w:val="none" w:sz="0" w:space="0" w:color="auto"/>
                    <w:right w:val="none" w:sz="0" w:space="0" w:color="auto"/>
                  </w:divBdr>
                  <w:divsChild>
                    <w:div w:id="1447654054">
                      <w:marLeft w:val="0"/>
                      <w:marRight w:val="0"/>
                      <w:marTop w:val="0"/>
                      <w:marBottom w:val="0"/>
                      <w:divBdr>
                        <w:top w:val="none" w:sz="0" w:space="0" w:color="auto"/>
                        <w:left w:val="none" w:sz="0" w:space="0" w:color="auto"/>
                        <w:bottom w:val="none" w:sz="0" w:space="0" w:color="auto"/>
                        <w:right w:val="none" w:sz="0" w:space="0" w:color="auto"/>
                      </w:divBdr>
                    </w:div>
                    <w:div w:id="1801148668">
                      <w:marLeft w:val="0"/>
                      <w:marRight w:val="0"/>
                      <w:marTop w:val="0"/>
                      <w:marBottom w:val="0"/>
                      <w:divBdr>
                        <w:top w:val="none" w:sz="0" w:space="0" w:color="auto"/>
                        <w:left w:val="none" w:sz="0" w:space="0" w:color="auto"/>
                        <w:bottom w:val="none" w:sz="0" w:space="0" w:color="auto"/>
                        <w:right w:val="none" w:sz="0" w:space="0" w:color="auto"/>
                      </w:divBdr>
                    </w:div>
                  </w:divsChild>
                </w:div>
                <w:div w:id="201602413">
                  <w:marLeft w:val="0"/>
                  <w:marRight w:val="0"/>
                  <w:marTop w:val="0"/>
                  <w:marBottom w:val="0"/>
                  <w:divBdr>
                    <w:top w:val="none" w:sz="0" w:space="0" w:color="auto"/>
                    <w:left w:val="none" w:sz="0" w:space="0" w:color="auto"/>
                    <w:bottom w:val="none" w:sz="0" w:space="0" w:color="auto"/>
                    <w:right w:val="none" w:sz="0" w:space="0" w:color="auto"/>
                  </w:divBdr>
                  <w:divsChild>
                    <w:div w:id="219244952">
                      <w:marLeft w:val="0"/>
                      <w:marRight w:val="0"/>
                      <w:marTop w:val="0"/>
                      <w:marBottom w:val="0"/>
                      <w:divBdr>
                        <w:top w:val="none" w:sz="0" w:space="0" w:color="auto"/>
                        <w:left w:val="none" w:sz="0" w:space="0" w:color="auto"/>
                        <w:bottom w:val="none" w:sz="0" w:space="0" w:color="auto"/>
                        <w:right w:val="none" w:sz="0" w:space="0" w:color="auto"/>
                      </w:divBdr>
                    </w:div>
                  </w:divsChild>
                </w:div>
                <w:div w:id="216207611">
                  <w:marLeft w:val="0"/>
                  <w:marRight w:val="0"/>
                  <w:marTop w:val="0"/>
                  <w:marBottom w:val="0"/>
                  <w:divBdr>
                    <w:top w:val="none" w:sz="0" w:space="0" w:color="auto"/>
                    <w:left w:val="none" w:sz="0" w:space="0" w:color="auto"/>
                    <w:bottom w:val="none" w:sz="0" w:space="0" w:color="auto"/>
                    <w:right w:val="none" w:sz="0" w:space="0" w:color="auto"/>
                  </w:divBdr>
                  <w:divsChild>
                    <w:div w:id="1444029806">
                      <w:marLeft w:val="0"/>
                      <w:marRight w:val="0"/>
                      <w:marTop w:val="0"/>
                      <w:marBottom w:val="0"/>
                      <w:divBdr>
                        <w:top w:val="none" w:sz="0" w:space="0" w:color="auto"/>
                        <w:left w:val="none" w:sz="0" w:space="0" w:color="auto"/>
                        <w:bottom w:val="none" w:sz="0" w:space="0" w:color="auto"/>
                        <w:right w:val="none" w:sz="0" w:space="0" w:color="auto"/>
                      </w:divBdr>
                    </w:div>
                    <w:div w:id="1574659361">
                      <w:marLeft w:val="0"/>
                      <w:marRight w:val="0"/>
                      <w:marTop w:val="0"/>
                      <w:marBottom w:val="0"/>
                      <w:divBdr>
                        <w:top w:val="none" w:sz="0" w:space="0" w:color="auto"/>
                        <w:left w:val="none" w:sz="0" w:space="0" w:color="auto"/>
                        <w:bottom w:val="none" w:sz="0" w:space="0" w:color="auto"/>
                        <w:right w:val="none" w:sz="0" w:space="0" w:color="auto"/>
                      </w:divBdr>
                    </w:div>
                  </w:divsChild>
                </w:div>
                <w:div w:id="265966596">
                  <w:marLeft w:val="0"/>
                  <w:marRight w:val="0"/>
                  <w:marTop w:val="0"/>
                  <w:marBottom w:val="0"/>
                  <w:divBdr>
                    <w:top w:val="none" w:sz="0" w:space="0" w:color="auto"/>
                    <w:left w:val="none" w:sz="0" w:space="0" w:color="auto"/>
                    <w:bottom w:val="none" w:sz="0" w:space="0" w:color="auto"/>
                    <w:right w:val="none" w:sz="0" w:space="0" w:color="auto"/>
                  </w:divBdr>
                  <w:divsChild>
                    <w:div w:id="676999672">
                      <w:marLeft w:val="0"/>
                      <w:marRight w:val="0"/>
                      <w:marTop w:val="0"/>
                      <w:marBottom w:val="0"/>
                      <w:divBdr>
                        <w:top w:val="none" w:sz="0" w:space="0" w:color="auto"/>
                        <w:left w:val="none" w:sz="0" w:space="0" w:color="auto"/>
                        <w:bottom w:val="none" w:sz="0" w:space="0" w:color="auto"/>
                        <w:right w:val="none" w:sz="0" w:space="0" w:color="auto"/>
                      </w:divBdr>
                    </w:div>
                  </w:divsChild>
                </w:div>
                <w:div w:id="274800469">
                  <w:marLeft w:val="0"/>
                  <w:marRight w:val="0"/>
                  <w:marTop w:val="0"/>
                  <w:marBottom w:val="0"/>
                  <w:divBdr>
                    <w:top w:val="none" w:sz="0" w:space="0" w:color="auto"/>
                    <w:left w:val="none" w:sz="0" w:space="0" w:color="auto"/>
                    <w:bottom w:val="none" w:sz="0" w:space="0" w:color="auto"/>
                    <w:right w:val="none" w:sz="0" w:space="0" w:color="auto"/>
                  </w:divBdr>
                  <w:divsChild>
                    <w:div w:id="1529099942">
                      <w:marLeft w:val="0"/>
                      <w:marRight w:val="0"/>
                      <w:marTop w:val="0"/>
                      <w:marBottom w:val="0"/>
                      <w:divBdr>
                        <w:top w:val="none" w:sz="0" w:space="0" w:color="auto"/>
                        <w:left w:val="none" w:sz="0" w:space="0" w:color="auto"/>
                        <w:bottom w:val="none" w:sz="0" w:space="0" w:color="auto"/>
                        <w:right w:val="none" w:sz="0" w:space="0" w:color="auto"/>
                      </w:divBdr>
                    </w:div>
                  </w:divsChild>
                </w:div>
                <w:div w:id="287006376">
                  <w:marLeft w:val="0"/>
                  <w:marRight w:val="0"/>
                  <w:marTop w:val="0"/>
                  <w:marBottom w:val="0"/>
                  <w:divBdr>
                    <w:top w:val="none" w:sz="0" w:space="0" w:color="auto"/>
                    <w:left w:val="none" w:sz="0" w:space="0" w:color="auto"/>
                    <w:bottom w:val="none" w:sz="0" w:space="0" w:color="auto"/>
                    <w:right w:val="none" w:sz="0" w:space="0" w:color="auto"/>
                  </w:divBdr>
                  <w:divsChild>
                    <w:div w:id="205797307">
                      <w:marLeft w:val="0"/>
                      <w:marRight w:val="0"/>
                      <w:marTop w:val="0"/>
                      <w:marBottom w:val="0"/>
                      <w:divBdr>
                        <w:top w:val="none" w:sz="0" w:space="0" w:color="auto"/>
                        <w:left w:val="none" w:sz="0" w:space="0" w:color="auto"/>
                        <w:bottom w:val="none" w:sz="0" w:space="0" w:color="auto"/>
                        <w:right w:val="none" w:sz="0" w:space="0" w:color="auto"/>
                      </w:divBdr>
                    </w:div>
                    <w:div w:id="1870490842">
                      <w:marLeft w:val="0"/>
                      <w:marRight w:val="0"/>
                      <w:marTop w:val="0"/>
                      <w:marBottom w:val="0"/>
                      <w:divBdr>
                        <w:top w:val="none" w:sz="0" w:space="0" w:color="auto"/>
                        <w:left w:val="none" w:sz="0" w:space="0" w:color="auto"/>
                        <w:bottom w:val="none" w:sz="0" w:space="0" w:color="auto"/>
                        <w:right w:val="none" w:sz="0" w:space="0" w:color="auto"/>
                      </w:divBdr>
                    </w:div>
                  </w:divsChild>
                </w:div>
                <w:div w:id="299655713">
                  <w:marLeft w:val="0"/>
                  <w:marRight w:val="0"/>
                  <w:marTop w:val="0"/>
                  <w:marBottom w:val="0"/>
                  <w:divBdr>
                    <w:top w:val="none" w:sz="0" w:space="0" w:color="auto"/>
                    <w:left w:val="none" w:sz="0" w:space="0" w:color="auto"/>
                    <w:bottom w:val="none" w:sz="0" w:space="0" w:color="auto"/>
                    <w:right w:val="none" w:sz="0" w:space="0" w:color="auto"/>
                  </w:divBdr>
                  <w:divsChild>
                    <w:div w:id="1951888803">
                      <w:marLeft w:val="0"/>
                      <w:marRight w:val="0"/>
                      <w:marTop w:val="0"/>
                      <w:marBottom w:val="0"/>
                      <w:divBdr>
                        <w:top w:val="none" w:sz="0" w:space="0" w:color="auto"/>
                        <w:left w:val="none" w:sz="0" w:space="0" w:color="auto"/>
                        <w:bottom w:val="none" w:sz="0" w:space="0" w:color="auto"/>
                        <w:right w:val="none" w:sz="0" w:space="0" w:color="auto"/>
                      </w:divBdr>
                    </w:div>
                  </w:divsChild>
                </w:div>
                <w:div w:id="352806637">
                  <w:marLeft w:val="0"/>
                  <w:marRight w:val="0"/>
                  <w:marTop w:val="0"/>
                  <w:marBottom w:val="0"/>
                  <w:divBdr>
                    <w:top w:val="none" w:sz="0" w:space="0" w:color="auto"/>
                    <w:left w:val="none" w:sz="0" w:space="0" w:color="auto"/>
                    <w:bottom w:val="none" w:sz="0" w:space="0" w:color="auto"/>
                    <w:right w:val="none" w:sz="0" w:space="0" w:color="auto"/>
                  </w:divBdr>
                  <w:divsChild>
                    <w:div w:id="582035863">
                      <w:marLeft w:val="0"/>
                      <w:marRight w:val="0"/>
                      <w:marTop w:val="0"/>
                      <w:marBottom w:val="0"/>
                      <w:divBdr>
                        <w:top w:val="none" w:sz="0" w:space="0" w:color="auto"/>
                        <w:left w:val="none" w:sz="0" w:space="0" w:color="auto"/>
                        <w:bottom w:val="none" w:sz="0" w:space="0" w:color="auto"/>
                        <w:right w:val="none" w:sz="0" w:space="0" w:color="auto"/>
                      </w:divBdr>
                    </w:div>
                  </w:divsChild>
                </w:div>
                <w:div w:id="416823563">
                  <w:marLeft w:val="0"/>
                  <w:marRight w:val="0"/>
                  <w:marTop w:val="0"/>
                  <w:marBottom w:val="0"/>
                  <w:divBdr>
                    <w:top w:val="none" w:sz="0" w:space="0" w:color="auto"/>
                    <w:left w:val="none" w:sz="0" w:space="0" w:color="auto"/>
                    <w:bottom w:val="none" w:sz="0" w:space="0" w:color="auto"/>
                    <w:right w:val="none" w:sz="0" w:space="0" w:color="auto"/>
                  </w:divBdr>
                  <w:divsChild>
                    <w:div w:id="414595427">
                      <w:marLeft w:val="0"/>
                      <w:marRight w:val="0"/>
                      <w:marTop w:val="0"/>
                      <w:marBottom w:val="0"/>
                      <w:divBdr>
                        <w:top w:val="none" w:sz="0" w:space="0" w:color="auto"/>
                        <w:left w:val="none" w:sz="0" w:space="0" w:color="auto"/>
                        <w:bottom w:val="none" w:sz="0" w:space="0" w:color="auto"/>
                        <w:right w:val="none" w:sz="0" w:space="0" w:color="auto"/>
                      </w:divBdr>
                    </w:div>
                  </w:divsChild>
                </w:div>
                <w:div w:id="536042983">
                  <w:marLeft w:val="0"/>
                  <w:marRight w:val="0"/>
                  <w:marTop w:val="0"/>
                  <w:marBottom w:val="0"/>
                  <w:divBdr>
                    <w:top w:val="none" w:sz="0" w:space="0" w:color="auto"/>
                    <w:left w:val="none" w:sz="0" w:space="0" w:color="auto"/>
                    <w:bottom w:val="none" w:sz="0" w:space="0" w:color="auto"/>
                    <w:right w:val="none" w:sz="0" w:space="0" w:color="auto"/>
                  </w:divBdr>
                  <w:divsChild>
                    <w:div w:id="463347718">
                      <w:marLeft w:val="0"/>
                      <w:marRight w:val="0"/>
                      <w:marTop w:val="0"/>
                      <w:marBottom w:val="0"/>
                      <w:divBdr>
                        <w:top w:val="none" w:sz="0" w:space="0" w:color="auto"/>
                        <w:left w:val="none" w:sz="0" w:space="0" w:color="auto"/>
                        <w:bottom w:val="none" w:sz="0" w:space="0" w:color="auto"/>
                        <w:right w:val="none" w:sz="0" w:space="0" w:color="auto"/>
                      </w:divBdr>
                    </w:div>
                    <w:div w:id="611133320">
                      <w:marLeft w:val="0"/>
                      <w:marRight w:val="0"/>
                      <w:marTop w:val="0"/>
                      <w:marBottom w:val="0"/>
                      <w:divBdr>
                        <w:top w:val="none" w:sz="0" w:space="0" w:color="auto"/>
                        <w:left w:val="none" w:sz="0" w:space="0" w:color="auto"/>
                        <w:bottom w:val="none" w:sz="0" w:space="0" w:color="auto"/>
                        <w:right w:val="none" w:sz="0" w:space="0" w:color="auto"/>
                      </w:divBdr>
                    </w:div>
                  </w:divsChild>
                </w:div>
                <w:div w:id="585382089">
                  <w:marLeft w:val="0"/>
                  <w:marRight w:val="0"/>
                  <w:marTop w:val="0"/>
                  <w:marBottom w:val="0"/>
                  <w:divBdr>
                    <w:top w:val="none" w:sz="0" w:space="0" w:color="auto"/>
                    <w:left w:val="none" w:sz="0" w:space="0" w:color="auto"/>
                    <w:bottom w:val="none" w:sz="0" w:space="0" w:color="auto"/>
                    <w:right w:val="none" w:sz="0" w:space="0" w:color="auto"/>
                  </w:divBdr>
                  <w:divsChild>
                    <w:div w:id="277686879">
                      <w:marLeft w:val="0"/>
                      <w:marRight w:val="0"/>
                      <w:marTop w:val="0"/>
                      <w:marBottom w:val="0"/>
                      <w:divBdr>
                        <w:top w:val="none" w:sz="0" w:space="0" w:color="auto"/>
                        <w:left w:val="none" w:sz="0" w:space="0" w:color="auto"/>
                        <w:bottom w:val="none" w:sz="0" w:space="0" w:color="auto"/>
                        <w:right w:val="none" w:sz="0" w:space="0" w:color="auto"/>
                      </w:divBdr>
                    </w:div>
                  </w:divsChild>
                </w:div>
                <w:div w:id="727344848">
                  <w:marLeft w:val="0"/>
                  <w:marRight w:val="0"/>
                  <w:marTop w:val="0"/>
                  <w:marBottom w:val="0"/>
                  <w:divBdr>
                    <w:top w:val="none" w:sz="0" w:space="0" w:color="auto"/>
                    <w:left w:val="none" w:sz="0" w:space="0" w:color="auto"/>
                    <w:bottom w:val="none" w:sz="0" w:space="0" w:color="auto"/>
                    <w:right w:val="none" w:sz="0" w:space="0" w:color="auto"/>
                  </w:divBdr>
                  <w:divsChild>
                    <w:div w:id="1211989292">
                      <w:marLeft w:val="0"/>
                      <w:marRight w:val="0"/>
                      <w:marTop w:val="0"/>
                      <w:marBottom w:val="0"/>
                      <w:divBdr>
                        <w:top w:val="none" w:sz="0" w:space="0" w:color="auto"/>
                        <w:left w:val="none" w:sz="0" w:space="0" w:color="auto"/>
                        <w:bottom w:val="none" w:sz="0" w:space="0" w:color="auto"/>
                        <w:right w:val="none" w:sz="0" w:space="0" w:color="auto"/>
                      </w:divBdr>
                    </w:div>
                  </w:divsChild>
                </w:div>
                <w:div w:id="893930928">
                  <w:marLeft w:val="0"/>
                  <w:marRight w:val="0"/>
                  <w:marTop w:val="0"/>
                  <w:marBottom w:val="0"/>
                  <w:divBdr>
                    <w:top w:val="none" w:sz="0" w:space="0" w:color="auto"/>
                    <w:left w:val="none" w:sz="0" w:space="0" w:color="auto"/>
                    <w:bottom w:val="none" w:sz="0" w:space="0" w:color="auto"/>
                    <w:right w:val="none" w:sz="0" w:space="0" w:color="auto"/>
                  </w:divBdr>
                  <w:divsChild>
                    <w:div w:id="898980785">
                      <w:marLeft w:val="0"/>
                      <w:marRight w:val="0"/>
                      <w:marTop w:val="0"/>
                      <w:marBottom w:val="0"/>
                      <w:divBdr>
                        <w:top w:val="none" w:sz="0" w:space="0" w:color="auto"/>
                        <w:left w:val="none" w:sz="0" w:space="0" w:color="auto"/>
                        <w:bottom w:val="none" w:sz="0" w:space="0" w:color="auto"/>
                        <w:right w:val="none" w:sz="0" w:space="0" w:color="auto"/>
                      </w:divBdr>
                    </w:div>
                  </w:divsChild>
                </w:div>
                <w:div w:id="901408371">
                  <w:marLeft w:val="0"/>
                  <w:marRight w:val="0"/>
                  <w:marTop w:val="0"/>
                  <w:marBottom w:val="0"/>
                  <w:divBdr>
                    <w:top w:val="none" w:sz="0" w:space="0" w:color="auto"/>
                    <w:left w:val="none" w:sz="0" w:space="0" w:color="auto"/>
                    <w:bottom w:val="none" w:sz="0" w:space="0" w:color="auto"/>
                    <w:right w:val="none" w:sz="0" w:space="0" w:color="auto"/>
                  </w:divBdr>
                  <w:divsChild>
                    <w:div w:id="2072847140">
                      <w:marLeft w:val="0"/>
                      <w:marRight w:val="0"/>
                      <w:marTop w:val="0"/>
                      <w:marBottom w:val="0"/>
                      <w:divBdr>
                        <w:top w:val="none" w:sz="0" w:space="0" w:color="auto"/>
                        <w:left w:val="none" w:sz="0" w:space="0" w:color="auto"/>
                        <w:bottom w:val="none" w:sz="0" w:space="0" w:color="auto"/>
                        <w:right w:val="none" w:sz="0" w:space="0" w:color="auto"/>
                      </w:divBdr>
                    </w:div>
                  </w:divsChild>
                </w:div>
                <w:div w:id="1042248178">
                  <w:marLeft w:val="0"/>
                  <w:marRight w:val="0"/>
                  <w:marTop w:val="0"/>
                  <w:marBottom w:val="0"/>
                  <w:divBdr>
                    <w:top w:val="none" w:sz="0" w:space="0" w:color="auto"/>
                    <w:left w:val="none" w:sz="0" w:space="0" w:color="auto"/>
                    <w:bottom w:val="none" w:sz="0" w:space="0" w:color="auto"/>
                    <w:right w:val="none" w:sz="0" w:space="0" w:color="auto"/>
                  </w:divBdr>
                  <w:divsChild>
                    <w:div w:id="1807970667">
                      <w:marLeft w:val="0"/>
                      <w:marRight w:val="0"/>
                      <w:marTop w:val="0"/>
                      <w:marBottom w:val="0"/>
                      <w:divBdr>
                        <w:top w:val="none" w:sz="0" w:space="0" w:color="auto"/>
                        <w:left w:val="none" w:sz="0" w:space="0" w:color="auto"/>
                        <w:bottom w:val="none" w:sz="0" w:space="0" w:color="auto"/>
                        <w:right w:val="none" w:sz="0" w:space="0" w:color="auto"/>
                      </w:divBdr>
                    </w:div>
                  </w:divsChild>
                </w:div>
                <w:div w:id="1043823922">
                  <w:marLeft w:val="0"/>
                  <w:marRight w:val="0"/>
                  <w:marTop w:val="0"/>
                  <w:marBottom w:val="0"/>
                  <w:divBdr>
                    <w:top w:val="none" w:sz="0" w:space="0" w:color="auto"/>
                    <w:left w:val="none" w:sz="0" w:space="0" w:color="auto"/>
                    <w:bottom w:val="none" w:sz="0" w:space="0" w:color="auto"/>
                    <w:right w:val="none" w:sz="0" w:space="0" w:color="auto"/>
                  </w:divBdr>
                  <w:divsChild>
                    <w:div w:id="406389888">
                      <w:marLeft w:val="0"/>
                      <w:marRight w:val="0"/>
                      <w:marTop w:val="0"/>
                      <w:marBottom w:val="0"/>
                      <w:divBdr>
                        <w:top w:val="none" w:sz="0" w:space="0" w:color="auto"/>
                        <w:left w:val="none" w:sz="0" w:space="0" w:color="auto"/>
                        <w:bottom w:val="none" w:sz="0" w:space="0" w:color="auto"/>
                        <w:right w:val="none" w:sz="0" w:space="0" w:color="auto"/>
                      </w:divBdr>
                    </w:div>
                  </w:divsChild>
                </w:div>
                <w:div w:id="1057782684">
                  <w:marLeft w:val="0"/>
                  <w:marRight w:val="0"/>
                  <w:marTop w:val="0"/>
                  <w:marBottom w:val="0"/>
                  <w:divBdr>
                    <w:top w:val="none" w:sz="0" w:space="0" w:color="auto"/>
                    <w:left w:val="none" w:sz="0" w:space="0" w:color="auto"/>
                    <w:bottom w:val="none" w:sz="0" w:space="0" w:color="auto"/>
                    <w:right w:val="none" w:sz="0" w:space="0" w:color="auto"/>
                  </w:divBdr>
                  <w:divsChild>
                    <w:div w:id="2025936233">
                      <w:marLeft w:val="0"/>
                      <w:marRight w:val="0"/>
                      <w:marTop w:val="0"/>
                      <w:marBottom w:val="0"/>
                      <w:divBdr>
                        <w:top w:val="none" w:sz="0" w:space="0" w:color="auto"/>
                        <w:left w:val="none" w:sz="0" w:space="0" w:color="auto"/>
                        <w:bottom w:val="none" w:sz="0" w:space="0" w:color="auto"/>
                        <w:right w:val="none" w:sz="0" w:space="0" w:color="auto"/>
                      </w:divBdr>
                    </w:div>
                  </w:divsChild>
                </w:div>
                <w:div w:id="1190293097">
                  <w:marLeft w:val="0"/>
                  <w:marRight w:val="0"/>
                  <w:marTop w:val="0"/>
                  <w:marBottom w:val="0"/>
                  <w:divBdr>
                    <w:top w:val="none" w:sz="0" w:space="0" w:color="auto"/>
                    <w:left w:val="none" w:sz="0" w:space="0" w:color="auto"/>
                    <w:bottom w:val="none" w:sz="0" w:space="0" w:color="auto"/>
                    <w:right w:val="none" w:sz="0" w:space="0" w:color="auto"/>
                  </w:divBdr>
                  <w:divsChild>
                    <w:div w:id="1779368191">
                      <w:marLeft w:val="0"/>
                      <w:marRight w:val="0"/>
                      <w:marTop w:val="0"/>
                      <w:marBottom w:val="0"/>
                      <w:divBdr>
                        <w:top w:val="none" w:sz="0" w:space="0" w:color="auto"/>
                        <w:left w:val="none" w:sz="0" w:space="0" w:color="auto"/>
                        <w:bottom w:val="none" w:sz="0" w:space="0" w:color="auto"/>
                        <w:right w:val="none" w:sz="0" w:space="0" w:color="auto"/>
                      </w:divBdr>
                    </w:div>
                  </w:divsChild>
                </w:div>
                <w:div w:id="1191803572">
                  <w:marLeft w:val="0"/>
                  <w:marRight w:val="0"/>
                  <w:marTop w:val="0"/>
                  <w:marBottom w:val="0"/>
                  <w:divBdr>
                    <w:top w:val="none" w:sz="0" w:space="0" w:color="auto"/>
                    <w:left w:val="none" w:sz="0" w:space="0" w:color="auto"/>
                    <w:bottom w:val="none" w:sz="0" w:space="0" w:color="auto"/>
                    <w:right w:val="none" w:sz="0" w:space="0" w:color="auto"/>
                  </w:divBdr>
                  <w:divsChild>
                    <w:div w:id="1082947784">
                      <w:marLeft w:val="0"/>
                      <w:marRight w:val="0"/>
                      <w:marTop w:val="0"/>
                      <w:marBottom w:val="0"/>
                      <w:divBdr>
                        <w:top w:val="none" w:sz="0" w:space="0" w:color="auto"/>
                        <w:left w:val="none" w:sz="0" w:space="0" w:color="auto"/>
                        <w:bottom w:val="none" w:sz="0" w:space="0" w:color="auto"/>
                        <w:right w:val="none" w:sz="0" w:space="0" w:color="auto"/>
                      </w:divBdr>
                    </w:div>
                    <w:div w:id="1942755528">
                      <w:marLeft w:val="0"/>
                      <w:marRight w:val="0"/>
                      <w:marTop w:val="0"/>
                      <w:marBottom w:val="0"/>
                      <w:divBdr>
                        <w:top w:val="none" w:sz="0" w:space="0" w:color="auto"/>
                        <w:left w:val="none" w:sz="0" w:space="0" w:color="auto"/>
                        <w:bottom w:val="none" w:sz="0" w:space="0" w:color="auto"/>
                        <w:right w:val="none" w:sz="0" w:space="0" w:color="auto"/>
                      </w:divBdr>
                    </w:div>
                  </w:divsChild>
                </w:div>
                <w:div w:id="1209420133">
                  <w:marLeft w:val="0"/>
                  <w:marRight w:val="0"/>
                  <w:marTop w:val="0"/>
                  <w:marBottom w:val="0"/>
                  <w:divBdr>
                    <w:top w:val="none" w:sz="0" w:space="0" w:color="auto"/>
                    <w:left w:val="none" w:sz="0" w:space="0" w:color="auto"/>
                    <w:bottom w:val="none" w:sz="0" w:space="0" w:color="auto"/>
                    <w:right w:val="none" w:sz="0" w:space="0" w:color="auto"/>
                  </w:divBdr>
                  <w:divsChild>
                    <w:div w:id="932855727">
                      <w:marLeft w:val="0"/>
                      <w:marRight w:val="0"/>
                      <w:marTop w:val="0"/>
                      <w:marBottom w:val="0"/>
                      <w:divBdr>
                        <w:top w:val="none" w:sz="0" w:space="0" w:color="auto"/>
                        <w:left w:val="none" w:sz="0" w:space="0" w:color="auto"/>
                        <w:bottom w:val="none" w:sz="0" w:space="0" w:color="auto"/>
                        <w:right w:val="none" w:sz="0" w:space="0" w:color="auto"/>
                      </w:divBdr>
                    </w:div>
                  </w:divsChild>
                </w:div>
                <w:div w:id="1220901213">
                  <w:marLeft w:val="0"/>
                  <w:marRight w:val="0"/>
                  <w:marTop w:val="0"/>
                  <w:marBottom w:val="0"/>
                  <w:divBdr>
                    <w:top w:val="none" w:sz="0" w:space="0" w:color="auto"/>
                    <w:left w:val="none" w:sz="0" w:space="0" w:color="auto"/>
                    <w:bottom w:val="none" w:sz="0" w:space="0" w:color="auto"/>
                    <w:right w:val="none" w:sz="0" w:space="0" w:color="auto"/>
                  </w:divBdr>
                  <w:divsChild>
                    <w:div w:id="1345788211">
                      <w:marLeft w:val="0"/>
                      <w:marRight w:val="0"/>
                      <w:marTop w:val="0"/>
                      <w:marBottom w:val="0"/>
                      <w:divBdr>
                        <w:top w:val="none" w:sz="0" w:space="0" w:color="auto"/>
                        <w:left w:val="none" w:sz="0" w:space="0" w:color="auto"/>
                        <w:bottom w:val="none" w:sz="0" w:space="0" w:color="auto"/>
                        <w:right w:val="none" w:sz="0" w:space="0" w:color="auto"/>
                      </w:divBdr>
                    </w:div>
                  </w:divsChild>
                </w:div>
                <w:div w:id="1277984498">
                  <w:marLeft w:val="0"/>
                  <w:marRight w:val="0"/>
                  <w:marTop w:val="0"/>
                  <w:marBottom w:val="0"/>
                  <w:divBdr>
                    <w:top w:val="none" w:sz="0" w:space="0" w:color="auto"/>
                    <w:left w:val="none" w:sz="0" w:space="0" w:color="auto"/>
                    <w:bottom w:val="none" w:sz="0" w:space="0" w:color="auto"/>
                    <w:right w:val="none" w:sz="0" w:space="0" w:color="auto"/>
                  </w:divBdr>
                  <w:divsChild>
                    <w:div w:id="1643923103">
                      <w:marLeft w:val="0"/>
                      <w:marRight w:val="0"/>
                      <w:marTop w:val="0"/>
                      <w:marBottom w:val="0"/>
                      <w:divBdr>
                        <w:top w:val="none" w:sz="0" w:space="0" w:color="auto"/>
                        <w:left w:val="none" w:sz="0" w:space="0" w:color="auto"/>
                        <w:bottom w:val="none" w:sz="0" w:space="0" w:color="auto"/>
                        <w:right w:val="none" w:sz="0" w:space="0" w:color="auto"/>
                      </w:divBdr>
                    </w:div>
                  </w:divsChild>
                </w:div>
                <w:div w:id="1285843545">
                  <w:marLeft w:val="0"/>
                  <w:marRight w:val="0"/>
                  <w:marTop w:val="0"/>
                  <w:marBottom w:val="0"/>
                  <w:divBdr>
                    <w:top w:val="none" w:sz="0" w:space="0" w:color="auto"/>
                    <w:left w:val="none" w:sz="0" w:space="0" w:color="auto"/>
                    <w:bottom w:val="none" w:sz="0" w:space="0" w:color="auto"/>
                    <w:right w:val="none" w:sz="0" w:space="0" w:color="auto"/>
                  </w:divBdr>
                  <w:divsChild>
                    <w:div w:id="2140687537">
                      <w:marLeft w:val="0"/>
                      <w:marRight w:val="0"/>
                      <w:marTop w:val="0"/>
                      <w:marBottom w:val="0"/>
                      <w:divBdr>
                        <w:top w:val="none" w:sz="0" w:space="0" w:color="auto"/>
                        <w:left w:val="none" w:sz="0" w:space="0" w:color="auto"/>
                        <w:bottom w:val="none" w:sz="0" w:space="0" w:color="auto"/>
                        <w:right w:val="none" w:sz="0" w:space="0" w:color="auto"/>
                      </w:divBdr>
                    </w:div>
                  </w:divsChild>
                </w:div>
                <w:div w:id="1311322565">
                  <w:marLeft w:val="0"/>
                  <w:marRight w:val="0"/>
                  <w:marTop w:val="0"/>
                  <w:marBottom w:val="0"/>
                  <w:divBdr>
                    <w:top w:val="none" w:sz="0" w:space="0" w:color="auto"/>
                    <w:left w:val="none" w:sz="0" w:space="0" w:color="auto"/>
                    <w:bottom w:val="none" w:sz="0" w:space="0" w:color="auto"/>
                    <w:right w:val="none" w:sz="0" w:space="0" w:color="auto"/>
                  </w:divBdr>
                  <w:divsChild>
                    <w:div w:id="1700009877">
                      <w:marLeft w:val="0"/>
                      <w:marRight w:val="0"/>
                      <w:marTop w:val="0"/>
                      <w:marBottom w:val="0"/>
                      <w:divBdr>
                        <w:top w:val="none" w:sz="0" w:space="0" w:color="auto"/>
                        <w:left w:val="none" w:sz="0" w:space="0" w:color="auto"/>
                        <w:bottom w:val="none" w:sz="0" w:space="0" w:color="auto"/>
                        <w:right w:val="none" w:sz="0" w:space="0" w:color="auto"/>
                      </w:divBdr>
                    </w:div>
                  </w:divsChild>
                </w:div>
                <w:div w:id="1324577956">
                  <w:marLeft w:val="0"/>
                  <w:marRight w:val="0"/>
                  <w:marTop w:val="0"/>
                  <w:marBottom w:val="0"/>
                  <w:divBdr>
                    <w:top w:val="none" w:sz="0" w:space="0" w:color="auto"/>
                    <w:left w:val="none" w:sz="0" w:space="0" w:color="auto"/>
                    <w:bottom w:val="none" w:sz="0" w:space="0" w:color="auto"/>
                    <w:right w:val="none" w:sz="0" w:space="0" w:color="auto"/>
                  </w:divBdr>
                  <w:divsChild>
                    <w:div w:id="1275943227">
                      <w:marLeft w:val="0"/>
                      <w:marRight w:val="0"/>
                      <w:marTop w:val="0"/>
                      <w:marBottom w:val="0"/>
                      <w:divBdr>
                        <w:top w:val="none" w:sz="0" w:space="0" w:color="auto"/>
                        <w:left w:val="none" w:sz="0" w:space="0" w:color="auto"/>
                        <w:bottom w:val="none" w:sz="0" w:space="0" w:color="auto"/>
                        <w:right w:val="none" w:sz="0" w:space="0" w:color="auto"/>
                      </w:divBdr>
                    </w:div>
                  </w:divsChild>
                </w:div>
                <w:div w:id="1428847751">
                  <w:marLeft w:val="0"/>
                  <w:marRight w:val="0"/>
                  <w:marTop w:val="0"/>
                  <w:marBottom w:val="0"/>
                  <w:divBdr>
                    <w:top w:val="none" w:sz="0" w:space="0" w:color="auto"/>
                    <w:left w:val="none" w:sz="0" w:space="0" w:color="auto"/>
                    <w:bottom w:val="none" w:sz="0" w:space="0" w:color="auto"/>
                    <w:right w:val="none" w:sz="0" w:space="0" w:color="auto"/>
                  </w:divBdr>
                  <w:divsChild>
                    <w:div w:id="287663277">
                      <w:marLeft w:val="0"/>
                      <w:marRight w:val="0"/>
                      <w:marTop w:val="0"/>
                      <w:marBottom w:val="0"/>
                      <w:divBdr>
                        <w:top w:val="none" w:sz="0" w:space="0" w:color="auto"/>
                        <w:left w:val="none" w:sz="0" w:space="0" w:color="auto"/>
                        <w:bottom w:val="none" w:sz="0" w:space="0" w:color="auto"/>
                        <w:right w:val="none" w:sz="0" w:space="0" w:color="auto"/>
                      </w:divBdr>
                    </w:div>
                  </w:divsChild>
                </w:div>
                <w:div w:id="1677730864">
                  <w:marLeft w:val="0"/>
                  <w:marRight w:val="0"/>
                  <w:marTop w:val="0"/>
                  <w:marBottom w:val="0"/>
                  <w:divBdr>
                    <w:top w:val="none" w:sz="0" w:space="0" w:color="auto"/>
                    <w:left w:val="none" w:sz="0" w:space="0" w:color="auto"/>
                    <w:bottom w:val="none" w:sz="0" w:space="0" w:color="auto"/>
                    <w:right w:val="none" w:sz="0" w:space="0" w:color="auto"/>
                  </w:divBdr>
                  <w:divsChild>
                    <w:div w:id="1799447571">
                      <w:marLeft w:val="0"/>
                      <w:marRight w:val="0"/>
                      <w:marTop w:val="0"/>
                      <w:marBottom w:val="0"/>
                      <w:divBdr>
                        <w:top w:val="none" w:sz="0" w:space="0" w:color="auto"/>
                        <w:left w:val="none" w:sz="0" w:space="0" w:color="auto"/>
                        <w:bottom w:val="none" w:sz="0" w:space="0" w:color="auto"/>
                        <w:right w:val="none" w:sz="0" w:space="0" w:color="auto"/>
                      </w:divBdr>
                    </w:div>
                  </w:divsChild>
                </w:div>
                <w:div w:id="1691445211">
                  <w:marLeft w:val="0"/>
                  <w:marRight w:val="0"/>
                  <w:marTop w:val="0"/>
                  <w:marBottom w:val="0"/>
                  <w:divBdr>
                    <w:top w:val="none" w:sz="0" w:space="0" w:color="auto"/>
                    <w:left w:val="none" w:sz="0" w:space="0" w:color="auto"/>
                    <w:bottom w:val="none" w:sz="0" w:space="0" w:color="auto"/>
                    <w:right w:val="none" w:sz="0" w:space="0" w:color="auto"/>
                  </w:divBdr>
                  <w:divsChild>
                    <w:div w:id="719020358">
                      <w:marLeft w:val="0"/>
                      <w:marRight w:val="0"/>
                      <w:marTop w:val="0"/>
                      <w:marBottom w:val="0"/>
                      <w:divBdr>
                        <w:top w:val="none" w:sz="0" w:space="0" w:color="auto"/>
                        <w:left w:val="none" w:sz="0" w:space="0" w:color="auto"/>
                        <w:bottom w:val="none" w:sz="0" w:space="0" w:color="auto"/>
                        <w:right w:val="none" w:sz="0" w:space="0" w:color="auto"/>
                      </w:divBdr>
                    </w:div>
                  </w:divsChild>
                </w:div>
                <w:div w:id="1696081231">
                  <w:marLeft w:val="0"/>
                  <w:marRight w:val="0"/>
                  <w:marTop w:val="0"/>
                  <w:marBottom w:val="0"/>
                  <w:divBdr>
                    <w:top w:val="none" w:sz="0" w:space="0" w:color="auto"/>
                    <w:left w:val="none" w:sz="0" w:space="0" w:color="auto"/>
                    <w:bottom w:val="none" w:sz="0" w:space="0" w:color="auto"/>
                    <w:right w:val="none" w:sz="0" w:space="0" w:color="auto"/>
                  </w:divBdr>
                  <w:divsChild>
                    <w:div w:id="1305621624">
                      <w:marLeft w:val="0"/>
                      <w:marRight w:val="0"/>
                      <w:marTop w:val="0"/>
                      <w:marBottom w:val="0"/>
                      <w:divBdr>
                        <w:top w:val="none" w:sz="0" w:space="0" w:color="auto"/>
                        <w:left w:val="none" w:sz="0" w:space="0" w:color="auto"/>
                        <w:bottom w:val="none" w:sz="0" w:space="0" w:color="auto"/>
                        <w:right w:val="none" w:sz="0" w:space="0" w:color="auto"/>
                      </w:divBdr>
                    </w:div>
                  </w:divsChild>
                </w:div>
                <w:div w:id="1749426106">
                  <w:marLeft w:val="0"/>
                  <w:marRight w:val="0"/>
                  <w:marTop w:val="0"/>
                  <w:marBottom w:val="0"/>
                  <w:divBdr>
                    <w:top w:val="none" w:sz="0" w:space="0" w:color="auto"/>
                    <w:left w:val="none" w:sz="0" w:space="0" w:color="auto"/>
                    <w:bottom w:val="none" w:sz="0" w:space="0" w:color="auto"/>
                    <w:right w:val="none" w:sz="0" w:space="0" w:color="auto"/>
                  </w:divBdr>
                  <w:divsChild>
                    <w:div w:id="828057749">
                      <w:marLeft w:val="0"/>
                      <w:marRight w:val="0"/>
                      <w:marTop w:val="0"/>
                      <w:marBottom w:val="0"/>
                      <w:divBdr>
                        <w:top w:val="none" w:sz="0" w:space="0" w:color="auto"/>
                        <w:left w:val="none" w:sz="0" w:space="0" w:color="auto"/>
                        <w:bottom w:val="none" w:sz="0" w:space="0" w:color="auto"/>
                        <w:right w:val="none" w:sz="0" w:space="0" w:color="auto"/>
                      </w:divBdr>
                    </w:div>
                  </w:divsChild>
                </w:div>
                <w:div w:id="1837648391">
                  <w:marLeft w:val="0"/>
                  <w:marRight w:val="0"/>
                  <w:marTop w:val="0"/>
                  <w:marBottom w:val="0"/>
                  <w:divBdr>
                    <w:top w:val="none" w:sz="0" w:space="0" w:color="auto"/>
                    <w:left w:val="none" w:sz="0" w:space="0" w:color="auto"/>
                    <w:bottom w:val="none" w:sz="0" w:space="0" w:color="auto"/>
                    <w:right w:val="none" w:sz="0" w:space="0" w:color="auto"/>
                  </w:divBdr>
                  <w:divsChild>
                    <w:div w:id="104035656">
                      <w:marLeft w:val="0"/>
                      <w:marRight w:val="0"/>
                      <w:marTop w:val="0"/>
                      <w:marBottom w:val="0"/>
                      <w:divBdr>
                        <w:top w:val="none" w:sz="0" w:space="0" w:color="auto"/>
                        <w:left w:val="none" w:sz="0" w:space="0" w:color="auto"/>
                        <w:bottom w:val="none" w:sz="0" w:space="0" w:color="auto"/>
                        <w:right w:val="none" w:sz="0" w:space="0" w:color="auto"/>
                      </w:divBdr>
                    </w:div>
                  </w:divsChild>
                </w:div>
                <w:div w:id="1917739212">
                  <w:marLeft w:val="0"/>
                  <w:marRight w:val="0"/>
                  <w:marTop w:val="0"/>
                  <w:marBottom w:val="0"/>
                  <w:divBdr>
                    <w:top w:val="none" w:sz="0" w:space="0" w:color="auto"/>
                    <w:left w:val="none" w:sz="0" w:space="0" w:color="auto"/>
                    <w:bottom w:val="none" w:sz="0" w:space="0" w:color="auto"/>
                    <w:right w:val="none" w:sz="0" w:space="0" w:color="auto"/>
                  </w:divBdr>
                  <w:divsChild>
                    <w:div w:id="911085168">
                      <w:marLeft w:val="0"/>
                      <w:marRight w:val="0"/>
                      <w:marTop w:val="0"/>
                      <w:marBottom w:val="0"/>
                      <w:divBdr>
                        <w:top w:val="none" w:sz="0" w:space="0" w:color="auto"/>
                        <w:left w:val="none" w:sz="0" w:space="0" w:color="auto"/>
                        <w:bottom w:val="none" w:sz="0" w:space="0" w:color="auto"/>
                        <w:right w:val="none" w:sz="0" w:space="0" w:color="auto"/>
                      </w:divBdr>
                    </w:div>
                  </w:divsChild>
                </w:div>
                <w:div w:id="1971981055">
                  <w:marLeft w:val="0"/>
                  <w:marRight w:val="0"/>
                  <w:marTop w:val="0"/>
                  <w:marBottom w:val="0"/>
                  <w:divBdr>
                    <w:top w:val="none" w:sz="0" w:space="0" w:color="auto"/>
                    <w:left w:val="none" w:sz="0" w:space="0" w:color="auto"/>
                    <w:bottom w:val="none" w:sz="0" w:space="0" w:color="auto"/>
                    <w:right w:val="none" w:sz="0" w:space="0" w:color="auto"/>
                  </w:divBdr>
                  <w:divsChild>
                    <w:div w:id="577713485">
                      <w:marLeft w:val="0"/>
                      <w:marRight w:val="0"/>
                      <w:marTop w:val="0"/>
                      <w:marBottom w:val="0"/>
                      <w:divBdr>
                        <w:top w:val="none" w:sz="0" w:space="0" w:color="auto"/>
                        <w:left w:val="none" w:sz="0" w:space="0" w:color="auto"/>
                        <w:bottom w:val="none" w:sz="0" w:space="0" w:color="auto"/>
                        <w:right w:val="none" w:sz="0" w:space="0" w:color="auto"/>
                      </w:divBdr>
                    </w:div>
                  </w:divsChild>
                </w:div>
                <w:div w:id="2062754179">
                  <w:marLeft w:val="0"/>
                  <w:marRight w:val="0"/>
                  <w:marTop w:val="0"/>
                  <w:marBottom w:val="0"/>
                  <w:divBdr>
                    <w:top w:val="none" w:sz="0" w:space="0" w:color="auto"/>
                    <w:left w:val="none" w:sz="0" w:space="0" w:color="auto"/>
                    <w:bottom w:val="none" w:sz="0" w:space="0" w:color="auto"/>
                    <w:right w:val="none" w:sz="0" w:space="0" w:color="auto"/>
                  </w:divBdr>
                  <w:divsChild>
                    <w:div w:id="1592616780">
                      <w:marLeft w:val="0"/>
                      <w:marRight w:val="0"/>
                      <w:marTop w:val="0"/>
                      <w:marBottom w:val="0"/>
                      <w:divBdr>
                        <w:top w:val="none" w:sz="0" w:space="0" w:color="auto"/>
                        <w:left w:val="none" w:sz="0" w:space="0" w:color="auto"/>
                        <w:bottom w:val="none" w:sz="0" w:space="0" w:color="auto"/>
                        <w:right w:val="none" w:sz="0" w:space="0" w:color="auto"/>
                      </w:divBdr>
                    </w:div>
                  </w:divsChild>
                </w:div>
                <w:div w:id="2128620692">
                  <w:marLeft w:val="0"/>
                  <w:marRight w:val="0"/>
                  <w:marTop w:val="0"/>
                  <w:marBottom w:val="0"/>
                  <w:divBdr>
                    <w:top w:val="none" w:sz="0" w:space="0" w:color="auto"/>
                    <w:left w:val="none" w:sz="0" w:space="0" w:color="auto"/>
                    <w:bottom w:val="none" w:sz="0" w:space="0" w:color="auto"/>
                    <w:right w:val="none" w:sz="0" w:space="0" w:color="auto"/>
                  </w:divBdr>
                  <w:divsChild>
                    <w:div w:id="1149395384">
                      <w:marLeft w:val="0"/>
                      <w:marRight w:val="0"/>
                      <w:marTop w:val="0"/>
                      <w:marBottom w:val="0"/>
                      <w:divBdr>
                        <w:top w:val="none" w:sz="0" w:space="0" w:color="auto"/>
                        <w:left w:val="none" w:sz="0" w:space="0" w:color="auto"/>
                        <w:bottom w:val="none" w:sz="0" w:space="0" w:color="auto"/>
                        <w:right w:val="none" w:sz="0" w:space="0" w:color="auto"/>
                      </w:divBdr>
                    </w:div>
                  </w:divsChild>
                </w:div>
                <w:div w:id="2128691270">
                  <w:marLeft w:val="0"/>
                  <w:marRight w:val="0"/>
                  <w:marTop w:val="0"/>
                  <w:marBottom w:val="0"/>
                  <w:divBdr>
                    <w:top w:val="none" w:sz="0" w:space="0" w:color="auto"/>
                    <w:left w:val="none" w:sz="0" w:space="0" w:color="auto"/>
                    <w:bottom w:val="none" w:sz="0" w:space="0" w:color="auto"/>
                    <w:right w:val="none" w:sz="0" w:space="0" w:color="auto"/>
                  </w:divBdr>
                  <w:divsChild>
                    <w:div w:id="178854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23">
          <w:marLeft w:val="0"/>
          <w:marRight w:val="0"/>
          <w:marTop w:val="0"/>
          <w:marBottom w:val="0"/>
          <w:divBdr>
            <w:top w:val="none" w:sz="0" w:space="0" w:color="auto"/>
            <w:left w:val="none" w:sz="0" w:space="0" w:color="auto"/>
            <w:bottom w:val="none" w:sz="0" w:space="0" w:color="auto"/>
            <w:right w:val="none" w:sz="0" w:space="0" w:color="auto"/>
          </w:divBdr>
        </w:div>
        <w:div w:id="346561719">
          <w:marLeft w:val="0"/>
          <w:marRight w:val="0"/>
          <w:marTop w:val="0"/>
          <w:marBottom w:val="0"/>
          <w:divBdr>
            <w:top w:val="none" w:sz="0" w:space="0" w:color="auto"/>
            <w:left w:val="none" w:sz="0" w:space="0" w:color="auto"/>
            <w:bottom w:val="none" w:sz="0" w:space="0" w:color="auto"/>
            <w:right w:val="none" w:sz="0" w:space="0" w:color="auto"/>
          </w:divBdr>
        </w:div>
        <w:div w:id="355467775">
          <w:marLeft w:val="0"/>
          <w:marRight w:val="0"/>
          <w:marTop w:val="0"/>
          <w:marBottom w:val="0"/>
          <w:divBdr>
            <w:top w:val="none" w:sz="0" w:space="0" w:color="auto"/>
            <w:left w:val="none" w:sz="0" w:space="0" w:color="auto"/>
            <w:bottom w:val="none" w:sz="0" w:space="0" w:color="auto"/>
            <w:right w:val="none" w:sz="0" w:space="0" w:color="auto"/>
          </w:divBdr>
        </w:div>
        <w:div w:id="362900130">
          <w:marLeft w:val="0"/>
          <w:marRight w:val="0"/>
          <w:marTop w:val="0"/>
          <w:marBottom w:val="0"/>
          <w:divBdr>
            <w:top w:val="none" w:sz="0" w:space="0" w:color="auto"/>
            <w:left w:val="none" w:sz="0" w:space="0" w:color="auto"/>
            <w:bottom w:val="none" w:sz="0" w:space="0" w:color="auto"/>
            <w:right w:val="none" w:sz="0" w:space="0" w:color="auto"/>
          </w:divBdr>
          <w:divsChild>
            <w:div w:id="259147713">
              <w:marLeft w:val="0"/>
              <w:marRight w:val="0"/>
              <w:marTop w:val="0"/>
              <w:marBottom w:val="0"/>
              <w:divBdr>
                <w:top w:val="none" w:sz="0" w:space="0" w:color="auto"/>
                <w:left w:val="none" w:sz="0" w:space="0" w:color="auto"/>
                <w:bottom w:val="none" w:sz="0" w:space="0" w:color="auto"/>
                <w:right w:val="none" w:sz="0" w:space="0" w:color="auto"/>
              </w:divBdr>
            </w:div>
            <w:div w:id="385032839">
              <w:marLeft w:val="0"/>
              <w:marRight w:val="0"/>
              <w:marTop w:val="0"/>
              <w:marBottom w:val="0"/>
              <w:divBdr>
                <w:top w:val="none" w:sz="0" w:space="0" w:color="auto"/>
                <w:left w:val="none" w:sz="0" w:space="0" w:color="auto"/>
                <w:bottom w:val="none" w:sz="0" w:space="0" w:color="auto"/>
                <w:right w:val="none" w:sz="0" w:space="0" w:color="auto"/>
              </w:divBdr>
            </w:div>
            <w:div w:id="599918283">
              <w:marLeft w:val="0"/>
              <w:marRight w:val="0"/>
              <w:marTop w:val="0"/>
              <w:marBottom w:val="0"/>
              <w:divBdr>
                <w:top w:val="none" w:sz="0" w:space="0" w:color="auto"/>
                <w:left w:val="none" w:sz="0" w:space="0" w:color="auto"/>
                <w:bottom w:val="none" w:sz="0" w:space="0" w:color="auto"/>
                <w:right w:val="none" w:sz="0" w:space="0" w:color="auto"/>
              </w:divBdr>
            </w:div>
            <w:div w:id="653724578">
              <w:marLeft w:val="0"/>
              <w:marRight w:val="0"/>
              <w:marTop w:val="0"/>
              <w:marBottom w:val="0"/>
              <w:divBdr>
                <w:top w:val="none" w:sz="0" w:space="0" w:color="auto"/>
                <w:left w:val="none" w:sz="0" w:space="0" w:color="auto"/>
                <w:bottom w:val="none" w:sz="0" w:space="0" w:color="auto"/>
                <w:right w:val="none" w:sz="0" w:space="0" w:color="auto"/>
              </w:divBdr>
            </w:div>
            <w:div w:id="721175712">
              <w:marLeft w:val="0"/>
              <w:marRight w:val="0"/>
              <w:marTop w:val="0"/>
              <w:marBottom w:val="0"/>
              <w:divBdr>
                <w:top w:val="none" w:sz="0" w:space="0" w:color="auto"/>
                <w:left w:val="none" w:sz="0" w:space="0" w:color="auto"/>
                <w:bottom w:val="none" w:sz="0" w:space="0" w:color="auto"/>
                <w:right w:val="none" w:sz="0" w:space="0" w:color="auto"/>
              </w:divBdr>
            </w:div>
            <w:div w:id="886457308">
              <w:marLeft w:val="0"/>
              <w:marRight w:val="0"/>
              <w:marTop w:val="0"/>
              <w:marBottom w:val="0"/>
              <w:divBdr>
                <w:top w:val="none" w:sz="0" w:space="0" w:color="auto"/>
                <w:left w:val="none" w:sz="0" w:space="0" w:color="auto"/>
                <w:bottom w:val="none" w:sz="0" w:space="0" w:color="auto"/>
                <w:right w:val="none" w:sz="0" w:space="0" w:color="auto"/>
              </w:divBdr>
            </w:div>
            <w:div w:id="923608238">
              <w:marLeft w:val="0"/>
              <w:marRight w:val="0"/>
              <w:marTop w:val="0"/>
              <w:marBottom w:val="0"/>
              <w:divBdr>
                <w:top w:val="none" w:sz="0" w:space="0" w:color="auto"/>
                <w:left w:val="none" w:sz="0" w:space="0" w:color="auto"/>
                <w:bottom w:val="none" w:sz="0" w:space="0" w:color="auto"/>
                <w:right w:val="none" w:sz="0" w:space="0" w:color="auto"/>
              </w:divBdr>
            </w:div>
            <w:div w:id="1191379851">
              <w:marLeft w:val="0"/>
              <w:marRight w:val="0"/>
              <w:marTop w:val="0"/>
              <w:marBottom w:val="0"/>
              <w:divBdr>
                <w:top w:val="none" w:sz="0" w:space="0" w:color="auto"/>
                <w:left w:val="none" w:sz="0" w:space="0" w:color="auto"/>
                <w:bottom w:val="none" w:sz="0" w:space="0" w:color="auto"/>
                <w:right w:val="none" w:sz="0" w:space="0" w:color="auto"/>
              </w:divBdr>
            </w:div>
            <w:div w:id="1335569661">
              <w:marLeft w:val="0"/>
              <w:marRight w:val="0"/>
              <w:marTop w:val="0"/>
              <w:marBottom w:val="0"/>
              <w:divBdr>
                <w:top w:val="none" w:sz="0" w:space="0" w:color="auto"/>
                <w:left w:val="none" w:sz="0" w:space="0" w:color="auto"/>
                <w:bottom w:val="none" w:sz="0" w:space="0" w:color="auto"/>
                <w:right w:val="none" w:sz="0" w:space="0" w:color="auto"/>
              </w:divBdr>
            </w:div>
            <w:div w:id="1367830261">
              <w:marLeft w:val="0"/>
              <w:marRight w:val="0"/>
              <w:marTop w:val="0"/>
              <w:marBottom w:val="0"/>
              <w:divBdr>
                <w:top w:val="none" w:sz="0" w:space="0" w:color="auto"/>
                <w:left w:val="none" w:sz="0" w:space="0" w:color="auto"/>
                <w:bottom w:val="none" w:sz="0" w:space="0" w:color="auto"/>
                <w:right w:val="none" w:sz="0" w:space="0" w:color="auto"/>
              </w:divBdr>
            </w:div>
            <w:div w:id="1407457559">
              <w:marLeft w:val="0"/>
              <w:marRight w:val="0"/>
              <w:marTop w:val="0"/>
              <w:marBottom w:val="0"/>
              <w:divBdr>
                <w:top w:val="none" w:sz="0" w:space="0" w:color="auto"/>
                <w:left w:val="none" w:sz="0" w:space="0" w:color="auto"/>
                <w:bottom w:val="none" w:sz="0" w:space="0" w:color="auto"/>
                <w:right w:val="none" w:sz="0" w:space="0" w:color="auto"/>
              </w:divBdr>
            </w:div>
            <w:div w:id="1418332540">
              <w:marLeft w:val="0"/>
              <w:marRight w:val="0"/>
              <w:marTop w:val="0"/>
              <w:marBottom w:val="0"/>
              <w:divBdr>
                <w:top w:val="none" w:sz="0" w:space="0" w:color="auto"/>
                <w:left w:val="none" w:sz="0" w:space="0" w:color="auto"/>
                <w:bottom w:val="none" w:sz="0" w:space="0" w:color="auto"/>
                <w:right w:val="none" w:sz="0" w:space="0" w:color="auto"/>
              </w:divBdr>
            </w:div>
            <w:div w:id="1515194514">
              <w:marLeft w:val="0"/>
              <w:marRight w:val="0"/>
              <w:marTop w:val="0"/>
              <w:marBottom w:val="0"/>
              <w:divBdr>
                <w:top w:val="none" w:sz="0" w:space="0" w:color="auto"/>
                <w:left w:val="none" w:sz="0" w:space="0" w:color="auto"/>
                <w:bottom w:val="none" w:sz="0" w:space="0" w:color="auto"/>
                <w:right w:val="none" w:sz="0" w:space="0" w:color="auto"/>
              </w:divBdr>
            </w:div>
            <w:div w:id="1536312906">
              <w:marLeft w:val="0"/>
              <w:marRight w:val="0"/>
              <w:marTop w:val="0"/>
              <w:marBottom w:val="0"/>
              <w:divBdr>
                <w:top w:val="none" w:sz="0" w:space="0" w:color="auto"/>
                <w:left w:val="none" w:sz="0" w:space="0" w:color="auto"/>
                <w:bottom w:val="none" w:sz="0" w:space="0" w:color="auto"/>
                <w:right w:val="none" w:sz="0" w:space="0" w:color="auto"/>
              </w:divBdr>
            </w:div>
            <w:div w:id="1551185322">
              <w:marLeft w:val="0"/>
              <w:marRight w:val="0"/>
              <w:marTop w:val="0"/>
              <w:marBottom w:val="0"/>
              <w:divBdr>
                <w:top w:val="none" w:sz="0" w:space="0" w:color="auto"/>
                <w:left w:val="none" w:sz="0" w:space="0" w:color="auto"/>
                <w:bottom w:val="none" w:sz="0" w:space="0" w:color="auto"/>
                <w:right w:val="none" w:sz="0" w:space="0" w:color="auto"/>
              </w:divBdr>
            </w:div>
            <w:div w:id="1603881533">
              <w:marLeft w:val="0"/>
              <w:marRight w:val="0"/>
              <w:marTop w:val="0"/>
              <w:marBottom w:val="0"/>
              <w:divBdr>
                <w:top w:val="none" w:sz="0" w:space="0" w:color="auto"/>
                <w:left w:val="none" w:sz="0" w:space="0" w:color="auto"/>
                <w:bottom w:val="none" w:sz="0" w:space="0" w:color="auto"/>
                <w:right w:val="none" w:sz="0" w:space="0" w:color="auto"/>
              </w:divBdr>
            </w:div>
            <w:div w:id="1617833318">
              <w:marLeft w:val="0"/>
              <w:marRight w:val="0"/>
              <w:marTop w:val="0"/>
              <w:marBottom w:val="0"/>
              <w:divBdr>
                <w:top w:val="none" w:sz="0" w:space="0" w:color="auto"/>
                <w:left w:val="none" w:sz="0" w:space="0" w:color="auto"/>
                <w:bottom w:val="none" w:sz="0" w:space="0" w:color="auto"/>
                <w:right w:val="none" w:sz="0" w:space="0" w:color="auto"/>
              </w:divBdr>
            </w:div>
            <w:div w:id="1978145386">
              <w:marLeft w:val="0"/>
              <w:marRight w:val="0"/>
              <w:marTop w:val="0"/>
              <w:marBottom w:val="0"/>
              <w:divBdr>
                <w:top w:val="none" w:sz="0" w:space="0" w:color="auto"/>
                <w:left w:val="none" w:sz="0" w:space="0" w:color="auto"/>
                <w:bottom w:val="none" w:sz="0" w:space="0" w:color="auto"/>
                <w:right w:val="none" w:sz="0" w:space="0" w:color="auto"/>
              </w:divBdr>
            </w:div>
            <w:div w:id="2009945781">
              <w:marLeft w:val="0"/>
              <w:marRight w:val="0"/>
              <w:marTop w:val="0"/>
              <w:marBottom w:val="0"/>
              <w:divBdr>
                <w:top w:val="none" w:sz="0" w:space="0" w:color="auto"/>
                <w:left w:val="none" w:sz="0" w:space="0" w:color="auto"/>
                <w:bottom w:val="none" w:sz="0" w:space="0" w:color="auto"/>
                <w:right w:val="none" w:sz="0" w:space="0" w:color="auto"/>
              </w:divBdr>
            </w:div>
            <w:div w:id="2116705943">
              <w:marLeft w:val="0"/>
              <w:marRight w:val="0"/>
              <w:marTop w:val="0"/>
              <w:marBottom w:val="0"/>
              <w:divBdr>
                <w:top w:val="none" w:sz="0" w:space="0" w:color="auto"/>
                <w:left w:val="none" w:sz="0" w:space="0" w:color="auto"/>
                <w:bottom w:val="none" w:sz="0" w:space="0" w:color="auto"/>
                <w:right w:val="none" w:sz="0" w:space="0" w:color="auto"/>
              </w:divBdr>
            </w:div>
          </w:divsChild>
        </w:div>
        <w:div w:id="405803411">
          <w:marLeft w:val="0"/>
          <w:marRight w:val="0"/>
          <w:marTop w:val="0"/>
          <w:marBottom w:val="0"/>
          <w:divBdr>
            <w:top w:val="none" w:sz="0" w:space="0" w:color="auto"/>
            <w:left w:val="none" w:sz="0" w:space="0" w:color="auto"/>
            <w:bottom w:val="none" w:sz="0" w:space="0" w:color="auto"/>
            <w:right w:val="none" w:sz="0" w:space="0" w:color="auto"/>
          </w:divBdr>
        </w:div>
        <w:div w:id="418257070">
          <w:marLeft w:val="0"/>
          <w:marRight w:val="0"/>
          <w:marTop w:val="0"/>
          <w:marBottom w:val="0"/>
          <w:divBdr>
            <w:top w:val="none" w:sz="0" w:space="0" w:color="auto"/>
            <w:left w:val="none" w:sz="0" w:space="0" w:color="auto"/>
            <w:bottom w:val="none" w:sz="0" w:space="0" w:color="auto"/>
            <w:right w:val="none" w:sz="0" w:space="0" w:color="auto"/>
          </w:divBdr>
          <w:divsChild>
            <w:div w:id="1722242855">
              <w:marLeft w:val="-75"/>
              <w:marRight w:val="0"/>
              <w:marTop w:val="30"/>
              <w:marBottom w:val="30"/>
              <w:divBdr>
                <w:top w:val="none" w:sz="0" w:space="0" w:color="auto"/>
                <w:left w:val="none" w:sz="0" w:space="0" w:color="auto"/>
                <w:bottom w:val="none" w:sz="0" w:space="0" w:color="auto"/>
                <w:right w:val="none" w:sz="0" w:space="0" w:color="auto"/>
              </w:divBdr>
              <w:divsChild>
                <w:div w:id="5638389">
                  <w:marLeft w:val="0"/>
                  <w:marRight w:val="0"/>
                  <w:marTop w:val="0"/>
                  <w:marBottom w:val="0"/>
                  <w:divBdr>
                    <w:top w:val="none" w:sz="0" w:space="0" w:color="auto"/>
                    <w:left w:val="none" w:sz="0" w:space="0" w:color="auto"/>
                    <w:bottom w:val="none" w:sz="0" w:space="0" w:color="auto"/>
                    <w:right w:val="none" w:sz="0" w:space="0" w:color="auto"/>
                  </w:divBdr>
                  <w:divsChild>
                    <w:div w:id="1758139196">
                      <w:marLeft w:val="0"/>
                      <w:marRight w:val="0"/>
                      <w:marTop w:val="0"/>
                      <w:marBottom w:val="0"/>
                      <w:divBdr>
                        <w:top w:val="none" w:sz="0" w:space="0" w:color="auto"/>
                        <w:left w:val="none" w:sz="0" w:space="0" w:color="auto"/>
                        <w:bottom w:val="none" w:sz="0" w:space="0" w:color="auto"/>
                        <w:right w:val="none" w:sz="0" w:space="0" w:color="auto"/>
                      </w:divBdr>
                    </w:div>
                  </w:divsChild>
                </w:div>
                <w:div w:id="130444538">
                  <w:marLeft w:val="0"/>
                  <w:marRight w:val="0"/>
                  <w:marTop w:val="0"/>
                  <w:marBottom w:val="0"/>
                  <w:divBdr>
                    <w:top w:val="none" w:sz="0" w:space="0" w:color="auto"/>
                    <w:left w:val="none" w:sz="0" w:space="0" w:color="auto"/>
                    <w:bottom w:val="none" w:sz="0" w:space="0" w:color="auto"/>
                    <w:right w:val="none" w:sz="0" w:space="0" w:color="auto"/>
                  </w:divBdr>
                  <w:divsChild>
                    <w:div w:id="2018999135">
                      <w:marLeft w:val="0"/>
                      <w:marRight w:val="0"/>
                      <w:marTop w:val="0"/>
                      <w:marBottom w:val="0"/>
                      <w:divBdr>
                        <w:top w:val="none" w:sz="0" w:space="0" w:color="auto"/>
                        <w:left w:val="none" w:sz="0" w:space="0" w:color="auto"/>
                        <w:bottom w:val="none" w:sz="0" w:space="0" w:color="auto"/>
                        <w:right w:val="none" w:sz="0" w:space="0" w:color="auto"/>
                      </w:divBdr>
                    </w:div>
                  </w:divsChild>
                </w:div>
                <w:div w:id="132334222">
                  <w:marLeft w:val="0"/>
                  <w:marRight w:val="0"/>
                  <w:marTop w:val="0"/>
                  <w:marBottom w:val="0"/>
                  <w:divBdr>
                    <w:top w:val="none" w:sz="0" w:space="0" w:color="auto"/>
                    <w:left w:val="none" w:sz="0" w:space="0" w:color="auto"/>
                    <w:bottom w:val="none" w:sz="0" w:space="0" w:color="auto"/>
                    <w:right w:val="none" w:sz="0" w:space="0" w:color="auto"/>
                  </w:divBdr>
                  <w:divsChild>
                    <w:div w:id="1917595091">
                      <w:marLeft w:val="0"/>
                      <w:marRight w:val="0"/>
                      <w:marTop w:val="0"/>
                      <w:marBottom w:val="0"/>
                      <w:divBdr>
                        <w:top w:val="none" w:sz="0" w:space="0" w:color="auto"/>
                        <w:left w:val="none" w:sz="0" w:space="0" w:color="auto"/>
                        <w:bottom w:val="none" w:sz="0" w:space="0" w:color="auto"/>
                        <w:right w:val="none" w:sz="0" w:space="0" w:color="auto"/>
                      </w:divBdr>
                    </w:div>
                  </w:divsChild>
                </w:div>
                <w:div w:id="192305416">
                  <w:marLeft w:val="0"/>
                  <w:marRight w:val="0"/>
                  <w:marTop w:val="0"/>
                  <w:marBottom w:val="0"/>
                  <w:divBdr>
                    <w:top w:val="none" w:sz="0" w:space="0" w:color="auto"/>
                    <w:left w:val="none" w:sz="0" w:space="0" w:color="auto"/>
                    <w:bottom w:val="none" w:sz="0" w:space="0" w:color="auto"/>
                    <w:right w:val="none" w:sz="0" w:space="0" w:color="auto"/>
                  </w:divBdr>
                  <w:divsChild>
                    <w:div w:id="362285911">
                      <w:marLeft w:val="0"/>
                      <w:marRight w:val="0"/>
                      <w:marTop w:val="0"/>
                      <w:marBottom w:val="0"/>
                      <w:divBdr>
                        <w:top w:val="none" w:sz="0" w:space="0" w:color="auto"/>
                        <w:left w:val="none" w:sz="0" w:space="0" w:color="auto"/>
                        <w:bottom w:val="none" w:sz="0" w:space="0" w:color="auto"/>
                        <w:right w:val="none" w:sz="0" w:space="0" w:color="auto"/>
                      </w:divBdr>
                    </w:div>
                  </w:divsChild>
                </w:div>
                <w:div w:id="244458691">
                  <w:marLeft w:val="0"/>
                  <w:marRight w:val="0"/>
                  <w:marTop w:val="0"/>
                  <w:marBottom w:val="0"/>
                  <w:divBdr>
                    <w:top w:val="none" w:sz="0" w:space="0" w:color="auto"/>
                    <w:left w:val="none" w:sz="0" w:space="0" w:color="auto"/>
                    <w:bottom w:val="none" w:sz="0" w:space="0" w:color="auto"/>
                    <w:right w:val="none" w:sz="0" w:space="0" w:color="auto"/>
                  </w:divBdr>
                  <w:divsChild>
                    <w:div w:id="738214727">
                      <w:marLeft w:val="0"/>
                      <w:marRight w:val="0"/>
                      <w:marTop w:val="0"/>
                      <w:marBottom w:val="0"/>
                      <w:divBdr>
                        <w:top w:val="none" w:sz="0" w:space="0" w:color="auto"/>
                        <w:left w:val="none" w:sz="0" w:space="0" w:color="auto"/>
                        <w:bottom w:val="none" w:sz="0" w:space="0" w:color="auto"/>
                        <w:right w:val="none" w:sz="0" w:space="0" w:color="auto"/>
                      </w:divBdr>
                    </w:div>
                  </w:divsChild>
                </w:div>
                <w:div w:id="337119117">
                  <w:marLeft w:val="0"/>
                  <w:marRight w:val="0"/>
                  <w:marTop w:val="0"/>
                  <w:marBottom w:val="0"/>
                  <w:divBdr>
                    <w:top w:val="none" w:sz="0" w:space="0" w:color="auto"/>
                    <w:left w:val="none" w:sz="0" w:space="0" w:color="auto"/>
                    <w:bottom w:val="none" w:sz="0" w:space="0" w:color="auto"/>
                    <w:right w:val="none" w:sz="0" w:space="0" w:color="auto"/>
                  </w:divBdr>
                  <w:divsChild>
                    <w:div w:id="163054249">
                      <w:marLeft w:val="0"/>
                      <w:marRight w:val="0"/>
                      <w:marTop w:val="0"/>
                      <w:marBottom w:val="0"/>
                      <w:divBdr>
                        <w:top w:val="none" w:sz="0" w:space="0" w:color="auto"/>
                        <w:left w:val="none" w:sz="0" w:space="0" w:color="auto"/>
                        <w:bottom w:val="none" w:sz="0" w:space="0" w:color="auto"/>
                        <w:right w:val="none" w:sz="0" w:space="0" w:color="auto"/>
                      </w:divBdr>
                    </w:div>
                  </w:divsChild>
                </w:div>
                <w:div w:id="343358166">
                  <w:marLeft w:val="0"/>
                  <w:marRight w:val="0"/>
                  <w:marTop w:val="0"/>
                  <w:marBottom w:val="0"/>
                  <w:divBdr>
                    <w:top w:val="none" w:sz="0" w:space="0" w:color="auto"/>
                    <w:left w:val="none" w:sz="0" w:space="0" w:color="auto"/>
                    <w:bottom w:val="none" w:sz="0" w:space="0" w:color="auto"/>
                    <w:right w:val="none" w:sz="0" w:space="0" w:color="auto"/>
                  </w:divBdr>
                  <w:divsChild>
                    <w:div w:id="1389383105">
                      <w:marLeft w:val="0"/>
                      <w:marRight w:val="0"/>
                      <w:marTop w:val="0"/>
                      <w:marBottom w:val="0"/>
                      <w:divBdr>
                        <w:top w:val="none" w:sz="0" w:space="0" w:color="auto"/>
                        <w:left w:val="none" w:sz="0" w:space="0" w:color="auto"/>
                        <w:bottom w:val="none" w:sz="0" w:space="0" w:color="auto"/>
                        <w:right w:val="none" w:sz="0" w:space="0" w:color="auto"/>
                      </w:divBdr>
                    </w:div>
                  </w:divsChild>
                </w:div>
                <w:div w:id="354964762">
                  <w:marLeft w:val="0"/>
                  <w:marRight w:val="0"/>
                  <w:marTop w:val="0"/>
                  <w:marBottom w:val="0"/>
                  <w:divBdr>
                    <w:top w:val="none" w:sz="0" w:space="0" w:color="auto"/>
                    <w:left w:val="none" w:sz="0" w:space="0" w:color="auto"/>
                    <w:bottom w:val="none" w:sz="0" w:space="0" w:color="auto"/>
                    <w:right w:val="none" w:sz="0" w:space="0" w:color="auto"/>
                  </w:divBdr>
                  <w:divsChild>
                    <w:div w:id="1243031675">
                      <w:marLeft w:val="0"/>
                      <w:marRight w:val="0"/>
                      <w:marTop w:val="0"/>
                      <w:marBottom w:val="0"/>
                      <w:divBdr>
                        <w:top w:val="none" w:sz="0" w:space="0" w:color="auto"/>
                        <w:left w:val="none" w:sz="0" w:space="0" w:color="auto"/>
                        <w:bottom w:val="none" w:sz="0" w:space="0" w:color="auto"/>
                        <w:right w:val="none" w:sz="0" w:space="0" w:color="auto"/>
                      </w:divBdr>
                    </w:div>
                  </w:divsChild>
                </w:div>
                <w:div w:id="484472408">
                  <w:marLeft w:val="0"/>
                  <w:marRight w:val="0"/>
                  <w:marTop w:val="0"/>
                  <w:marBottom w:val="0"/>
                  <w:divBdr>
                    <w:top w:val="none" w:sz="0" w:space="0" w:color="auto"/>
                    <w:left w:val="none" w:sz="0" w:space="0" w:color="auto"/>
                    <w:bottom w:val="none" w:sz="0" w:space="0" w:color="auto"/>
                    <w:right w:val="none" w:sz="0" w:space="0" w:color="auto"/>
                  </w:divBdr>
                  <w:divsChild>
                    <w:div w:id="735011267">
                      <w:marLeft w:val="0"/>
                      <w:marRight w:val="0"/>
                      <w:marTop w:val="0"/>
                      <w:marBottom w:val="0"/>
                      <w:divBdr>
                        <w:top w:val="none" w:sz="0" w:space="0" w:color="auto"/>
                        <w:left w:val="none" w:sz="0" w:space="0" w:color="auto"/>
                        <w:bottom w:val="none" w:sz="0" w:space="0" w:color="auto"/>
                        <w:right w:val="none" w:sz="0" w:space="0" w:color="auto"/>
                      </w:divBdr>
                    </w:div>
                  </w:divsChild>
                </w:div>
                <w:div w:id="489060556">
                  <w:marLeft w:val="0"/>
                  <w:marRight w:val="0"/>
                  <w:marTop w:val="0"/>
                  <w:marBottom w:val="0"/>
                  <w:divBdr>
                    <w:top w:val="none" w:sz="0" w:space="0" w:color="auto"/>
                    <w:left w:val="none" w:sz="0" w:space="0" w:color="auto"/>
                    <w:bottom w:val="none" w:sz="0" w:space="0" w:color="auto"/>
                    <w:right w:val="none" w:sz="0" w:space="0" w:color="auto"/>
                  </w:divBdr>
                  <w:divsChild>
                    <w:div w:id="1898778332">
                      <w:marLeft w:val="0"/>
                      <w:marRight w:val="0"/>
                      <w:marTop w:val="0"/>
                      <w:marBottom w:val="0"/>
                      <w:divBdr>
                        <w:top w:val="none" w:sz="0" w:space="0" w:color="auto"/>
                        <w:left w:val="none" w:sz="0" w:space="0" w:color="auto"/>
                        <w:bottom w:val="none" w:sz="0" w:space="0" w:color="auto"/>
                        <w:right w:val="none" w:sz="0" w:space="0" w:color="auto"/>
                      </w:divBdr>
                    </w:div>
                  </w:divsChild>
                </w:div>
                <w:div w:id="560598240">
                  <w:marLeft w:val="0"/>
                  <w:marRight w:val="0"/>
                  <w:marTop w:val="0"/>
                  <w:marBottom w:val="0"/>
                  <w:divBdr>
                    <w:top w:val="none" w:sz="0" w:space="0" w:color="auto"/>
                    <w:left w:val="none" w:sz="0" w:space="0" w:color="auto"/>
                    <w:bottom w:val="none" w:sz="0" w:space="0" w:color="auto"/>
                    <w:right w:val="none" w:sz="0" w:space="0" w:color="auto"/>
                  </w:divBdr>
                  <w:divsChild>
                    <w:div w:id="1755127988">
                      <w:marLeft w:val="0"/>
                      <w:marRight w:val="0"/>
                      <w:marTop w:val="0"/>
                      <w:marBottom w:val="0"/>
                      <w:divBdr>
                        <w:top w:val="none" w:sz="0" w:space="0" w:color="auto"/>
                        <w:left w:val="none" w:sz="0" w:space="0" w:color="auto"/>
                        <w:bottom w:val="none" w:sz="0" w:space="0" w:color="auto"/>
                        <w:right w:val="none" w:sz="0" w:space="0" w:color="auto"/>
                      </w:divBdr>
                    </w:div>
                  </w:divsChild>
                </w:div>
                <w:div w:id="644505575">
                  <w:marLeft w:val="0"/>
                  <w:marRight w:val="0"/>
                  <w:marTop w:val="0"/>
                  <w:marBottom w:val="0"/>
                  <w:divBdr>
                    <w:top w:val="none" w:sz="0" w:space="0" w:color="auto"/>
                    <w:left w:val="none" w:sz="0" w:space="0" w:color="auto"/>
                    <w:bottom w:val="none" w:sz="0" w:space="0" w:color="auto"/>
                    <w:right w:val="none" w:sz="0" w:space="0" w:color="auto"/>
                  </w:divBdr>
                  <w:divsChild>
                    <w:div w:id="500201882">
                      <w:marLeft w:val="0"/>
                      <w:marRight w:val="0"/>
                      <w:marTop w:val="0"/>
                      <w:marBottom w:val="0"/>
                      <w:divBdr>
                        <w:top w:val="none" w:sz="0" w:space="0" w:color="auto"/>
                        <w:left w:val="none" w:sz="0" w:space="0" w:color="auto"/>
                        <w:bottom w:val="none" w:sz="0" w:space="0" w:color="auto"/>
                        <w:right w:val="none" w:sz="0" w:space="0" w:color="auto"/>
                      </w:divBdr>
                    </w:div>
                  </w:divsChild>
                </w:div>
                <w:div w:id="784231672">
                  <w:marLeft w:val="0"/>
                  <w:marRight w:val="0"/>
                  <w:marTop w:val="0"/>
                  <w:marBottom w:val="0"/>
                  <w:divBdr>
                    <w:top w:val="none" w:sz="0" w:space="0" w:color="auto"/>
                    <w:left w:val="none" w:sz="0" w:space="0" w:color="auto"/>
                    <w:bottom w:val="none" w:sz="0" w:space="0" w:color="auto"/>
                    <w:right w:val="none" w:sz="0" w:space="0" w:color="auto"/>
                  </w:divBdr>
                  <w:divsChild>
                    <w:div w:id="381946992">
                      <w:marLeft w:val="0"/>
                      <w:marRight w:val="0"/>
                      <w:marTop w:val="0"/>
                      <w:marBottom w:val="0"/>
                      <w:divBdr>
                        <w:top w:val="none" w:sz="0" w:space="0" w:color="auto"/>
                        <w:left w:val="none" w:sz="0" w:space="0" w:color="auto"/>
                        <w:bottom w:val="none" w:sz="0" w:space="0" w:color="auto"/>
                        <w:right w:val="none" w:sz="0" w:space="0" w:color="auto"/>
                      </w:divBdr>
                    </w:div>
                  </w:divsChild>
                </w:div>
                <w:div w:id="795296750">
                  <w:marLeft w:val="0"/>
                  <w:marRight w:val="0"/>
                  <w:marTop w:val="0"/>
                  <w:marBottom w:val="0"/>
                  <w:divBdr>
                    <w:top w:val="none" w:sz="0" w:space="0" w:color="auto"/>
                    <w:left w:val="none" w:sz="0" w:space="0" w:color="auto"/>
                    <w:bottom w:val="none" w:sz="0" w:space="0" w:color="auto"/>
                    <w:right w:val="none" w:sz="0" w:space="0" w:color="auto"/>
                  </w:divBdr>
                  <w:divsChild>
                    <w:div w:id="1514609287">
                      <w:marLeft w:val="0"/>
                      <w:marRight w:val="0"/>
                      <w:marTop w:val="0"/>
                      <w:marBottom w:val="0"/>
                      <w:divBdr>
                        <w:top w:val="none" w:sz="0" w:space="0" w:color="auto"/>
                        <w:left w:val="none" w:sz="0" w:space="0" w:color="auto"/>
                        <w:bottom w:val="none" w:sz="0" w:space="0" w:color="auto"/>
                        <w:right w:val="none" w:sz="0" w:space="0" w:color="auto"/>
                      </w:divBdr>
                    </w:div>
                  </w:divsChild>
                </w:div>
                <w:div w:id="808328655">
                  <w:marLeft w:val="0"/>
                  <w:marRight w:val="0"/>
                  <w:marTop w:val="0"/>
                  <w:marBottom w:val="0"/>
                  <w:divBdr>
                    <w:top w:val="none" w:sz="0" w:space="0" w:color="auto"/>
                    <w:left w:val="none" w:sz="0" w:space="0" w:color="auto"/>
                    <w:bottom w:val="none" w:sz="0" w:space="0" w:color="auto"/>
                    <w:right w:val="none" w:sz="0" w:space="0" w:color="auto"/>
                  </w:divBdr>
                  <w:divsChild>
                    <w:div w:id="503278704">
                      <w:marLeft w:val="0"/>
                      <w:marRight w:val="0"/>
                      <w:marTop w:val="0"/>
                      <w:marBottom w:val="0"/>
                      <w:divBdr>
                        <w:top w:val="none" w:sz="0" w:space="0" w:color="auto"/>
                        <w:left w:val="none" w:sz="0" w:space="0" w:color="auto"/>
                        <w:bottom w:val="none" w:sz="0" w:space="0" w:color="auto"/>
                        <w:right w:val="none" w:sz="0" w:space="0" w:color="auto"/>
                      </w:divBdr>
                    </w:div>
                  </w:divsChild>
                </w:div>
                <w:div w:id="824124299">
                  <w:marLeft w:val="0"/>
                  <w:marRight w:val="0"/>
                  <w:marTop w:val="0"/>
                  <w:marBottom w:val="0"/>
                  <w:divBdr>
                    <w:top w:val="none" w:sz="0" w:space="0" w:color="auto"/>
                    <w:left w:val="none" w:sz="0" w:space="0" w:color="auto"/>
                    <w:bottom w:val="none" w:sz="0" w:space="0" w:color="auto"/>
                    <w:right w:val="none" w:sz="0" w:space="0" w:color="auto"/>
                  </w:divBdr>
                  <w:divsChild>
                    <w:div w:id="103888280">
                      <w:marLeft w:val="0"/>
                      <w:marRight w:val="0"/>
                      <w:marTop w:val="0"/>
                      <w:marBottom w:val="0"/>
                      <w:divBdr>
                        <w:top w:val="none" w:sz="0" w:space="0" w:color="auto"/>
                        <w:left w:val="none" w:sz="0" w:space="0" w:color="auto"/>
                        <w:bottom w:val="none" w:sz="0" w:space="0" w:color="auto"/>
                        <w:right w:val="none" w:sz="0" w:space="0" w:color="auto"/>
                      </w:divBdr>
                    </w:div>
                  </w:divsChild>
                </w:div>
                <w:div w:id="837502096">
                  <w:marLeft w:val="0"/>
                  <w:marRight w:val="0"/>
                  <w:marTop w:val="0"/>
                  <w:marBottom w:val="0"/>
                  <w:divBdr>
                    <w:top w:val="none" w:sz="0" w:space="0" w:color="auto"/>
                    <w:left w:val="none" w:sz="0" w:space="0" w:color="auto"/>
                    <w:bottom w:val="none" w:sz="0" w:space="0" w:color="auto"/>
                    <w:right w:val="none" w:sz="0" w:space="0" w:color="auto"/>
                  </w:divBdr>
                  <w:divsChild>
                    <w:div w:id="1275792776">
                      <w:marLeft w:val="0"/>
                      <w:marRight w:val="0"/>
                      <w:marTop w:val="0"/>
                      <w:marBottom w:val="0"/>
                      <w:divBdr>
                        <w:top w:val="none" w:sz="0" w:space="0" w:color="auto"/>
                        <w:left w:val="none" w:sz="0" w:space="0" w:color="auto"/>
                        <w:bottom w:val="none" w:sz="0" w:space="0" w:color="auto"/>
                        <w:right w:val="none" w:sz="0" w:space="0" w:color="auto"/>
                      </w:divBdr>
                    </w:div>
                  </w:divsChild>
                </w:div>
                <w:div w:id="872769016">
                  <w:marLeft w:val="0"/>
                  <w:marRight w:val="0"/>
                  <w:marTop w:val="0"/>
                  <w:marBottom w:val="0"/>
                  <w:divBdr>
                    <w:top w:val="none" w:sz="0" w:space="0" w:color="auto"/>
                    <w:left w:val="none" w:sz="0" w:space="0" w:color="auto"/>
                    <w:bottom w:val="none" w:sz="0" w:space="0" w:color="auto"/>
                    <w:right w:val="none" w:sz="0" w:space="0" w:color="auto"/>
                  </w:divBdr>
                  <w:divsChild>
                    <w:div w:id="635985614">
                      <w:marLeft w:val="0"/>
                      <w:marRight w:val="0"/>
                      <w:marTop w:val="0"/>
                      <w:marBottom w:val="0"/>
                      <w:divBdr>
                        <w:top w:val="none" w:sz="0" w:space="0" w:color="auto"/>
                        <w:left w:val="none" w:sz="0" w:space="0" w:color="auto"/>
                        <w:bottom w:val="none" w:sz="0" w:space="0" w:color="auto"/>
                        <w:right w:val="none" w:sz="0" w:space="0" w:color="auto"/>
                      </w:divBdr>
                    </w:div>
                  </w:divsChild>
                </w:div>
                <w:div w:id="913585749">
                  <w:marLeft w:val="0"/>
                  <w:marRight w:val="0"/>
                  <w:marTop w:val="0"/>
                  <w:marBottom w:val="0"/>
                  <w:divBdr>
                    <w:top w:val="none" w:sz="0" w:space="0" w:color="auto"/>
                    <w:left w:val="none" w:sz="0" w:space="0" w:color="auto"/>
                    <w:bottom w:val="none" w:sz="0" w:space="0" w:color="auto"/>
                    <w:right w:val="none" w:sz="0" w:space="0" w:color="auto"/>
                  </w:divBdr>
                  <w:divsChild>
                    <w:div w:id="2146001404">
                      <w:marLeft w:val="0"/>
                      <w:marRight w:val="0"/>
                      <w:marTop w:val="0"/>
                      <w:marBottom w:val="0"/>
                      <w:divBdr>
                        <w:top w:val="none" w:sz="0" w:space="0" w:color="auto"/>
                        <w:left w:val="none" w:sz="0" w:space="0" w:color="auto"/>
                        <w:bottom w:val="none" w:sz="0" w:space="0" w:color="auto"/>
                        <w:right w:val="none" w:sz="0" w:space="0" w:color="auto"/>
                      </w:divBdr>
                    </w:div>
                  </w:divsChild>
                </w:div>
                <w:div w:id="962199556">
                  <w:marLeft w:val="0"/>
                  <w:marRight w:val="0"/>
                  <w:marTop w:val="0"/>
                  <w:marBottom w:val="0"/>
                  <w:divBdr>
                    <w:top w:val="none" w:sz="0" w:space="0" w:color="auto"/>
                    <w:left w:val="none" w:sz="0" w:space="0" w:color="auto"/>
                    <w:bottom w:val="none" w:sz="0" w:space="0" w:color="auto"/>
                    <w:right w:val="none" w:sz="0" w:space="0" w:color="auto"/>
                  </w:divBdr>
                  <w:divsChild>
                    <w:div w:id="505562498">
                      <w:marLeft w:val="0"/>
                      <w:marRight w:val="0"/>
                      <w:marTop w:val="0"/>
                      <w:marBottom w:val="0"/>
                      <w:divBdr>
                        <w:top w:val="none" w:sz="0" w:space="0" w:color="auto"/>
                        <w:left w:val="none" w:sz="0" w:space="0" w:color="auto"/>
                        <w:bottom w:val="none" w:sz="0" w:space="0" w:color="auto"/>
                        <w:right w:val="none" w:sz="0" w:space="0" w:color="auto"/>
                      </w:divBdr>
                    </w:div>
                  </w:divsChild>
                </w:div>
                <w:div w:id="998726096">
                  <w:marLeft w:val="0"/>
                  <w:marRight w:val="0"/>
                  <w:marTop w:val="0"/>
                  <w:marBottom w:val="0"/>
                  <w:divBdr>
                    <w:top w:val="none" w:sz="0" w:space="0" w:color="auto"/>
                    <w:left w:val="none" w:sz="0" w:space="0" w:color="auto"/>
                    <w:bottom w:val="none" w:sz="0" w:space="0" w:color="auto"/>
                    <w:right w:val="none" w:sz="0" w:space="0" w:color="auto"/>
                  </w:divBdr>
                  <w:divsChild>
                    <w:div w:id="1833832154">
                      <w:marLeft w:val="0"/>
                      <w:marRight w:val="0"/>
                      <w:marTop w:val="0"/>
                      <w:marBottom w:val="0"/>
                      <w:divBdr>
                        <w:top w:val="none" w:sz="0" w:space="0" w:color="auto"/>
                        <w:left w:val="none" w:sz="0" w:space="0" w:color="auto"/>
                        <w:bottom w:val="none" w:sz="0" w:space="0" w:color="auto"/>
                        <w:right w:val="none" w:sz="0" w:space="0" w:color="auto"/>
                      </w:divBdr>
                    </w:div>
                  </w:divsChild>
                </w:div>
                <w:div w:id="1022047699">
                  <w:marLeft w:val="0"/>
                  <w:marRight w:val="0"/>
                  <w:marTop w:val="0"/>
                  <w:marBottom w:val="0"/>
                  <w:divBdr>
                    <w:top w:val="none" w:sz="0" w:space="0" w:color="auto"/>
                    <w:left w:val="none" w:sz="0" w:space="0" w:color="auto"/>
                    <w:bottom w:val="none" w:sz="0" w:space="0" w:color="auto"/>
                    <w:right w:val="none" w:sz="0" w:space="0" w:color="auto"/>
                  </w:divBdr>
                  <w:divsChild>
                    <w:div w:id="468942745">
                      <w:marLeft w:val="0"/>
                      <w:marRight w:val="0"/>
                      <w:marTop w:val="0"/>
                      <w:marBottom w:val="0"/>
                      <w:divBdr>
                        <w:top w:val="none" w:sz="0" w:space="0" w:color="auto"/>
                        <w:left w:val="none" w:sz="0" w:space="0" w:color="auto"/>
                        <w:bottom w:val="none" w:sz="0" w:space="0" w:color="auto"/>
                        <w:right w:val="none" w:sz="0" w:space="0" w:color="auto"/>
                      </w:divBdr>
                    </w:div>
                  </w:divsChild>
                </w:div>
                <w:div w:id="1137915810">
                  <w:marLeft w:val="0"/>
                  <w:marRight w:val="0"/>
                  <w:marTop w:val="0"/>
                  <w:marBottom w:val="0"/>
                  <w:divBdr>
                    <w:top w:val="none" w:sz="0" w:space="0" w:color="auto"/>
                    <w:left w:val="none" w:sz="0" w:space="0" w:color="auto"/>
                    <w:bottom w:val="none" w:sz="0" w:space="0" w:color="auto"/>
                    <w:right w:val="none" w:sz="0" w:space="0" w:color="auto"/>
                  </w:divBdr>
                  <w:divsChild>
                    <w:div w:id="1846944375">
                      <w:marLeft w:val="0"/>
                      <w:marRight w:val="0"/>
                      <w:marTop w:val="0"/>
                      <w:marBottom w:val="0"/>
                      <w:divBdr>
                        <w:top w:val="none" w:sz="0" w:space="0" w:color="auto"/>
                        <w:left w:val="none" w:sz="0" w:space="0" w:color="auto"/>
                        <w:bottom w:val="none" w:sz="0" w:space="0" w:color="auto"/>
                        <w:right w:val="none" w:sz="0" w:space="0" w:color="auto"/>
                      </w:divBdr>
                    </w:div>
                  </w:divsChild>
                </w:div>
                <w:div w:id="1194806158">
                  <w:marLeft w:val="0"/>
                  <w:marRight w:val="0"/>
                  <w:marTop w:val="0"/>
                  <w:marBottom w:val="0"/>
                  <w:divBdr>
                    <w:top w:val="none" w:sz="0" w:space="0" w:color="auto"/>
                    <w:left w:val="none" w:sz="0" w:space="0" w:color="auto"/>
                    <w:bottom w:val="none" w:sz="0" w:space="0" w:color="auto"/>
                    <w:right w:val="none" w:sz="0" w:space="0" w:color="auto"/>
                  </w:divBdr>
                  <w:divsChild>
                    <w:div w:id="1444612462">
                      <w:marLeft w:val="0"/>
                      <w:marRight w:val="0"/>
                      <w:marTop w:val="0"/>
                      <w:marBottom w:val="0"/>
                      <w:divBdr>
                        <w:top w:val="none" w:sz="0" w:space="0" w:color="auto"/>
                        <w:left w:val="none" w:sz="0" w:space="0" w:color="auto"/>
                        <w:bottom w:val="none" w:sz="0" w:space="0" w:color="auto"/>
                        <w:right w:val="none" w:sz="0" w:space="0" w:color="auto"/>
                      </w:divBdr>
                    </w:div>
                  </w:divsChild>
                </w:div>
                <w:div w:id="1451126158">
                  <w:marLeft w:val="0"/>
                  <w:marRight w:val="0"/>
                  <w:marTop w:val="0"/>
                  <w:marBottom w:val="0"/>
                  <w:divBdr>
                    <w:top w:val="none" w:sz="0" w:space="0" w:color="auto"/>
                    <w:left w:val="none" w:sz="0" w:space="0" w:color="auto"/>
                    <w:bottom w:val="none" w:sz="0" w:space="0" w:color="auto"/>
                    <w:right w:val="none" w:sz="0" w:space="0" w:color="auto"/>
                  </w:divBdr>
                  <w:divsChild>
                    <w:div w:id="421218738">
                      <w:marLeft w:val="0"/>
                      <w:marRight w:val="0"/>
                      <w:marTop w:val="0"/>
                      <w:marBottom w:val="0"/>
                      <w:divBdr>
                        <w:top w:val="none" w:sz="0" w:space="0" w:color="auto"/>
                        <w:left w:val="none" w:sz="0" w:space="0" w:color="auto"/>
                        <w:bottom w:val="none" w:sz="0" w:space="0" w:color="auto"/>
                        <w:right w:val="none" w:sz="0" w:space="0" w:color="auto"/>
                      </w:divBdr>
                    </w:div>
                  </w:divsChild>
                </w:div>
                <w:div w:id="1471559753">
                  <w:marLeft w:val="0"/>
                  <w:marRight w:val="0"/>
                  <w:marTop w:val="0"/>
                  <w:marBottom w:val="0"/>
                  <w:divBdr>
                    <w:top w:val="none" w:sz="0" w:space="0" w:color="auto"/>
                    <w:left w:val="none" w:sz="0" w:space="0" w:color="auto"/>
                    <w:bottom w:val="none" w:sz="0" w:space="0" w:color="auto"/>
                    <w:right w:val="none" w:sz="0" w:space="0" w:color="auto"/>
                  </w:divBdr>
                  <w:divsChild>
                    <w:div w:id="1704213484">
                      <w:marLeft w:val="0"/>
                      <w:marRight w:val="0"/>
                      <w:marTop w:val="0"/>
                      <w:marBottom w:val="0"/>
                      <w:divBdr>
                        <w:top w:val="none" w:sz="0" w:space="0" w:color="auto"/>
                        <w:left w:val="none" w:sz="0" w:space="0" w:color="auto"/>
                        <w:bottom w:val="none" w:sz="0" w:space="0" w:color="auto"/>
                        <w:right w:val="none" w:sz="0" w:space="0" w:color="auto"/>
                      </w:divBdr>
                    </w:div>
                  </w:divsChild>
                </w:div>
                <w:div w:id="1473478461">
                  <w:marLeft w:val="0"/>
                  <w:marRight w:val="0"/>
                  <w:marTop w:val="0"/>
                  <w:marBottom w:val="0"/>
                  <w:divBdr>
                    <w:top w:val="none" w:sz="0" w:space="0" w:color="auto"/>
                    <w:left w:val="none" w:sz="0" w:space="0" w:color="auto"/>
                    <w:bottom w:val="none" w:sz="0" w:space="0" w:color="auto"/>
                    <w:right w:val="none" w:sz="0" w:space="0" w:color="auto"/>
                  </w:divBdr>
                  <w:divsChild>
                    <w:div w:id="1912496043">
                      <w:marLeft w:val="0"/>
                      <w:marRight w:val="0"/>
                      <w:marTop w:val="0"/>
                      <w:marBottom w:val="0"/>
                      <w:divBdr>
                        <w:top w:val="none" w:sz="0" w:space="0" w:color="auto"/>
                        <w:left w:val="none" w:sz="0" w:space="0" w:color="auto"/>
                        <w:bottom w:val="none" w:sz="0" w:space="0" w:color="auto"/>
                        <w:right w:val="none" w:sz="0" w:space="0" w:color="auto"/>
                      </w:divBdr>
                    </w:div>
                  </w:divsChild>
                </w:div>
                <w:div w:id="1551503394">
                  <w:marLeft w:val="0"/>
                  <w:marRight w:val="0"/>
                  <w:marTop w:val="0"/>
                  <w:marBottom w:val="0"/>
                  <w:divBdr>
                    <w:top w:val="none" w:sz="0" w:space="0" w:color="auto"/>
                    <w:left w:val="none" w:sz="0" w:space="0" w:color="auto"/>
                    <w:bottom w:val="none" w:sz="0" w:space="0" w:color="auto"/>
                    <w:right w:val="none" w:sz="0" w:space="0" w:color="auto"/>
                  </w:divBdr>
                  <w:divsChild>
                    <w:div w:id="857423338">
                      <w:marLeft w:val="0"/>
                      <w:marRight w:val="0"/>
                      <w:marTop w:val="0"/>
                      <w:marBottom w:val="0"/>
                      <w:divBdr>
                        <w:top w:val="none" w:sz="0" w:space="0" w:color="auto"/>
                        <w:left w:val="none" w:sz="0" w:space="0" w:color="auto"/>
                        <w:bottom w:val="none" w:sz="0" w:space="0" w:color="auto"/>
                        <w:right w:val="none" w:sz="0" w:space="0" w:color="auto"/>
                      </w:divBdr>
                    </w:div>
                  </w:divsChild>
                </w:div>
                <w:div w:id="1616593054">
                  <w:marLeft w:val="0"/>
                  <w:marRight w:val="0"/>
                  <w:marTop w:val="0"/>
                  <w:marBottom w:val="0"/>
                  <w:divBdr>
                    <w:top w:val="none" w:sz="0" w:space="0" w:color="auto"/>
                    <w:left w:val="none" w:sz="0" w:space="0" w:color="auto"/>
                    <w:bottom w:val="none" w:sz="0" w:space="0" w:color="auto"/>
                    <w:right w:val="none" w:sz="0" w:space="0" w:color="auto"/>
                  </w:divBdr>
                  <w:divsChild>
                    <w:div w:id="559705198">
                      <w:marLeft w:val="0"/>
                      <w:marRight w:val="0"/>
                      <w:marTop w:val="0"/>
                      <w:marBottom w:val="0"/>
                      <w:divBdr>
                        <w:top w:val="none" w:sz="0" w:space="0" w:color="auto"/>
                        <w:left w:val="none" w:sz="0" w:space="0" w:color="auto"/>
                        <w:bottom w:val="none" w:sz="0" w:space="0" w:color="auto"/>
                        <w:right w:val="none" w:sz="0" w:space="0" w:color="auto"/>
                      </w:divBdr>
                    </w:div>
                  </w:divsChild>
                </w:div>
                <w:div w:id="1692293734">
                  <w:marLeft w:val="0"/>
                  <w:marRight w:val="0"/>
                  <w:marTop w:val="0"/>
                  <w:marBottom w:val="0"/>
                  <w:divBdr>
                    <w:top w:val="none" w:sz="0" w:space="0" w:color="auto"/>
                    <w:left w:val="none" w:sz="0" w:space="0" w:color="auto"/>
                    <w:bottom w:val="none" w:sz="0" w:space="0" w:color="auto"/>
                    <w:right w:val="none" w:sz="0" w:space="0" w:color="auto"/>
                  </w:divBdr>
                  <w:divsChild>
                    <w:div w:id="42992853">
                      <w:marLeft w:val="0"/>
                      <w:marRight w:val="0"/>
                      <w:marTop w:val="0"/>
                      <w:marBottom w:val="0"/>
                      <w:divBdr>
                        <w:top w:val="none" w:sz="0" w:space="0" w:color="auto"/>
                        <w:left w:val="none" w:sz="0" w:space="0" w:color="auto"/>
                        <w:bottom w:val="none" w:sz="0" w:space="0" w:color="auto"/>
                        <w:right w:val="none" w:sz="0" w:space="0" w:color="auto"/>
                      </w:divBdr>
                    </w:div>
                  </w:divsChild>
                </w:div>
                <w:div w:id="1771462640">
                  <w:marLeft w:val="0"/>
                  <w:marRight w:val="0"/>
                  <w:marTop w:val="0"/>
                  <w:marBottom w:val="0"/>
                  <w:divBdr>
                    <w:top w:val="none" w:sz="0" w:space="0" w:color="auto"/>
                    <w:left w:val="none" w:sz="0" w:space="0" w:color="auto"/>
                    <w:bottom w:val="none" w:sz="0" w:space="0" w:color="auto"/>
                    <w:right w:val="none" w:sz="0" w:space="0" w:color="auto"/>
                  </w:divBdr>
                  <w:divsChild>
                    <w:div w:id="877930448">
                      <w:marLeft w:val="0"/>
                      <w:marRight w:val="0"/>
                      <w:marTop w:val="0"/>
                      <w:marBottom w:val="0"/>
                      <w:divBdr>
                        <w:top w:val="none" w:sz="0" w:space="0" w:color="auto"/>
                        <w:left w:val="none" w:sz="0" w:space="0" w:color="auto"/>
                        <w:bottom w:val="none" w:sz="0" w:space="0" w:color="auto"/>
                        <w:right w:val="none" w:sz="0" w:space="0" w:color="auto"/>
                      </w:divBdr>
                    </w:div>
                  </w:divsChild>
                </w:div>
                <w:div w:id="1806778545">
                  <w:marLeft w:val="0"/>
                  <w:marRight w:val="0"/>
                  <w:marTop w:val="0"/>
                  <w:marBottom w:val="0"/>
                  <w:divBdr>
                    <w:top w:val="none" w:sz="0" w:space="0" w:color="auto"/>
                    <w:left w:val="none" w:sz="0" w:space="0" w:color="auto"/>
                    <w:bottom w:val="none" w:sz="0" w:space="0" w:color="auto"/>
                    <w:right w:val="none" w:sz="0" w:space="0" w:color="auto"/>
                  </w:divBdr>
                  <w:divsChild>
                    <w:div w:id="1172187659">
                      <w:marLeft w:val="0"/>
                      <w:marRight w:val="0"/>
                      <w:marTop w:val="0"/>
                      <w:marBottom w:val="0"/>
                      <w:divBdr>
                        <w:top w:val="none" w:sz="0" w:space="0" w:color="auto"/>
                        <w:left w:val="none" w:sz="0" w:space="0" w:color="auto"/>
                        <w:bottom w:val="none" w:sz="0" w:space="0" w:color="auto"/>
                        <w:right w:val="none" w:sz="0" w:space="0" w:color="auto"/>
                      </w:divBdr>
                    </w:div>
                  </w:divsChild>
                </w:div>
                <w:div w:id="1871525132">
                  <w:marLeft w:val="0"/>
                  <w:marRight w:val="0"/>
                  <w:marTop w:val="0"/>
                  <w:marBottom w:val="0"/>
                  <w:divBdr>
                    <w:top w:val="none" w:sz="0" w:space="0" w:color="auto"/>
                    <w:left w:val="none" w:sz="0" w:space="0" w:color="auto"/>
                    <w:bottom w:val="none" w:sz="0" w:space="0" w:color="auto"/>
                    <w:right w:val="none" w:sz="0" w:space="0" w:color="auto"/>
                  </w:divBdr>
                  <w:divsChild>
                    <w:div w:id="1717317381">
                      <w:marLeft w:val="0"/>
                      <w:marRight w:val="0"/>
                      <w:marTop w:val="0"/>
                      <w:marBottom w:val="0"/>
                      <w:divBdr>
                        <w:top w:val="none" w:sz="0" w:space="0" w:color="auto"/>
                        <w:left w:val="none" w:sz="0" w:space="0" w:color="auto"/>
                        <w:bottom w:val="none" w:sz="0" w:space="0" w:color="auto"/>
                        <w:right w:val="none" w:sz="0" w:space="0" w:color="auto"/>
                      </w:divBdr>
                    </w:div>
                  </w:divsChild>
                </w:div>
                <w:div w:id="1924871459">
                  <w:marLeft w:val="0"/>
                  <w:marRight w:val="0"/>
                  <w:marTop w:val="0"/>
                  <w:marBottom w:val="0"/>
                  <w:divBdr>
                    <w:top w:val="none" w:sz="0" w:space="0" w:color="auto"/>
                    <w:left w:val="none" w:sz="0" w:space="0" w:color="auto"/>
                    <w:bottom w:val="none" w:sz="0" w:space="0" w:color="auto"/>
                    <w:right w:val="none" w:sz="0" w:space="0" w:color="auto"/>
                  </w:divBdr>
                  <w:divsChild>
                    <w:div w:id="1527450107">
                      <w:marLeft w:val="0"/>
                      <w:marRight w:val="0"/>
                      <w:marTop w:val="0"/>
                      <w:marBottom w:val="0"/>
                      <w:divBdr>
                        <w:top w:val="none" w:sz="0" w:space="0" w:color="auto"/>
                        <w:left w:val="none" w:sz="0" w:space="0" w:color="auto"/>
                        <w:bottom w:val="none" w:sz="0" w:space="0" w:color="auto"/>
                        <w:right w:val="none" w:sz="0" w:space="0" w:color="auto"/>
                      </w:divBdr>
                    </w:div>
                  </w:divsChild>
                </w:div>
                <w:div w:id="1952398226">
                  <w:marLeft w:val="0"/>
                  <w:marRight w:val="0"/>
                  <w:marTop w:val="0"/>
                  <w:marBottom w:val="0"/>
                  <w:divBdr>
                    <w:top w:val="none" w:sz="0" w:space="0" w:color="auto"/>
                    <w:left w:val="none" w:sz="0" w:space="0" w:color="auto"/>
                    <w:bottom w:val="none" w:sz="0" w:space="0" w:color="auto"/>
                    <w:right w:val="none" w:sz="0" w:space="0" w:color="auto"/>
                  </w:divBdr>
                  <w:divsChild>
                    <w:div w:id="315692020">
                      <w:marLeft w:val="0"/>
                      <w:marRight w:val="0"/>
                      <w:marTop w:val="0"/>
                      <w:marBottom w:val="0"/>
                      <w:divBdr>
                        <w:top w:val="none" w:sz="0" w:space="0" w:color="auto"/>
                        <w:left w:val="none" w:sz="0" w:space="0" w:color="auto"/>
                        <w:bottom w:val="none" w:sz="0" w:space="0" w:color="auto"/>
                        <w:right w:val="none" w:sz="0" w:space="0" w:color="auto"/>
                      </w:divBdr>
                    </w:div>
                  </w:divsChild>
                </w:div>
                <w:div w:id="2004777027">
                  <w:marLeft w:val="0"/>
                  <w:marRight w:val="0"/>
                  <w:marTop w:val="0"/>
                  <w:marBottom w:val="0"/>
                  <w:divBdr>
                    <w:top w:val="none" w:sz="0" w:space="0" w:color="auto"/>
                    <w:left w:val="none" w:sz="0" w:space="0" w:color="auto"/>
                    <w:bottom w:val="none" w:sz="0" w:space="0" w:color="auto"/>
                    <w:right w:val="none" w:sz="0" w:space="0" w:color="auto"/>
                  </w:divBdr>
                  <w:divsChild>
                    <w:div w:id="3779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2371">
          <w:marLeft w:val="0"/>
          <w:marRight w:val="0"/>
          <w:marTop w:val="0"/>
          <w:marBottom w:val="0"/>
          <w:divBdr>
            <w:top w:val="none" w:sz="0" w:space="0" w:color="auto"/>
            <w:left w:val="none" w:sz="0" w:space="0" w:color="auto"/>
            <w:bottom w:val="none" w:sz="0" w:space="0" w:color="auto"/>
            <w:right w:val="none" w:sz="0" w:space="0" w:color="auto"/>
          </w:divBdr>
        </w:div>
        <w:div w:id="485052183">
          <w:marLeft w:val="0"/>
          <w:marRight w:val="0"/>
          <w:marTop w:val="0"/>
          <w:marBottom w:val="0"/>
          <w:divBdr>
            <w:top w:val="none" w:sz="0" w:space="0" w:color="auto"/>
            <w:left w:val="none" w:sz="0" w:space="0" w:color="auto"/>
            <w:bottom w:val="none" w:sz="0" w:space="0" w:color="auto"/>
            <w:right w:val="none" w:sz="0" w:space="0" w:color="auto"/>
          </w:divBdr>
          <w:divsChild>
            <w:div w:id="819690525">
              <w:marLeft w:val="-75"/>
              <w:marRight w:val="0"/>
              <w:marTop w:val="30"/>
              <w:marBottom w:val="30"/>
              <w:divBdr>
                <w:top w:val="none" w:sz="0" w:space="0" w:color="auto"/>
                <w:left w:val="none" w:sz="0" w:space="0" w:color="auto"/>
                <w:bottom w:val="none" w:sz="0" w:space="0" w:color="auto"/>
                <w:right w:val="none" w:sz="0" w:space="0" w:color="auto"/>
              </w:divBdr>
              <w:divsChild>
                <w:div w:id="3362787">
                  <w:marLeft w:val="0"/>
                  <w:marRight w:val="0"/>
                  <w:marTop w:val="0"/>
                  <w:marBottom w:val="0"/>
                  <w:divBdr>
                    <w:top w:val="none" w:sz="0" w:space="0" w:color="auto"/>
                    <w:left w:val="none" w:sz="0" w:space="0" w:color="auto"/>
                    <w:bottom w:val="none" w:sz="0" w:space="0" w:color="auto"/>
                    <w:right w:val="none" w:sz="0" w:space="0" w:color="auto"/>
                  </w:divBdr>
                  <w:divsChild>
                    <w:div w:id="1682512461">
                      <w:marLeft w:val="0"/>
                      <w:marRight w:val="0"/>
                      <w:marTop w:val="0"/>
                      <w:marBottom w:val="0"/>
                      <w:divBdr>
                        <w:top w:val="none" w:sz="0" w:space="0" w:color="auto"/>
                        <w:left w:val="none" w:sz="0" w:space="0" w:color="auto"/>
                        <w:bottom w:val="none" w:sz="0" w:space="0" w:color="auto"/>
                        <w:right w:val="none" w:sz="0" w:space="0" w:color="auto"/>
                      </w:divBdr>
                    </w:div>
                  </w:divsChild>
                </w:div>
                <w:div w:id="19281619">
                  <w:marLeft w:val="0"/>
                  <w:marRight w:val="0"/>
                  <w:marTop w:val="0"/>
                  <w:marBottom w:val="0"/>
                  <w:divBdr>
                    <w:top w:val="none" w:sz="0" w:space="0" w:color="auto"/>
                    <w:left w:val="none" w:sz="0" w:space="0" w:color="auto"/>
                    <w:bottom w:val="none" w:sz="0" w:space="0" w:color="auto"/>
                    <w:right w:val="none" w:sz="0" w:space="0" w:color="auto"/>
                  </w:divBdr>
                  <w:divsChild>
                    <w:div w:id="1574124101">
                      <w:marLeft w:val="0"/>
                      <w:marRight w:val="0"/>
                      <w:marTop w:val="0"/>
                      <w:marBottom w:val="0"/>
                      <w:divBdr>
                        <w:top w:val="none" w:sz="0" w:space="0" w:color="auto"/>
                        <w:left w:val="none" w:sz="0" w:space="0" w:color="auto"/>
                        <w:bottom w:val="none" w:sz="0" w:space="0" w:color="auto"/>
                        <w:right w:val="none" w:sz="0" w:space="0" w:color="auto"/>
                      </w:divBdr>
                    </w:div>
                  </w:divsChild>
                </w:div>
                <w:div w:id="21831760">
                  <w:marLeft w:val="0"/>
                  <w:marRight w:val="0"/>
                  <w:marTop w:val="0"/>
                  <w:marBottom w:val="0"/>
                  <w:divBdr>
                    <w:top w:val="none" w:sz="0" w:space="0" w:color="auto"/>
                    <w:left w:val="none" w:sz="0" w:space="0" w:color="auto"/>
                    <w:bottom w:val="none" w:sz="0" w:space="0" w:color="auto"/>
                    <w:right w:val="none" w:sz="0" w:space="0" w:color="auto"/>
                  </w:divBdr>
                  <w:divsChild>
                    <w:div w:id="1744450844">
                      <w:marLeft w:val="0"/>
                      <w:marRight w:val="0"/>
                      <w:marTop w:val="0"/>
                      <w:marBottom w:val="0"/>
                      <w:divBdr>
                        <w:top w:val="none" w:sz="0" w:space="0" w:color="auto"/>
                        <w:left w:val="none" w:sz="0" w:space="0" w:color="auto"/>
                        <w:bottom w:val="none" w:sz="0" w:space="0" w:color="auto"/>
                        <w:right w:val="none" w:sz="0" w:space="0" w:color="auto"/>
                      </w:divBdr>
                    </w:div>
                  </w:divsChild>
                </w:div>
                <w:div w:id="28343434">
                  <w:marLeft w:val="0"/>
                  <w:marRight w:val="0"/>
                  <w:marTop w:val="0"/>
                  <w:marBottom w:val="0"/>
                  <w:divBdr>
                    <w:top w:val="none" w:sz="0" w:space="0" w:color="auto"/>
                    <w:left w:val="none" w:sz="0" w:space="0" w:color="auto"/>
                    <w:bottom w:val="none" w:sz="0" w:space="0" w:color="auto"/>
                    <w:right w:val="none" w:sz="0" w:space="0" w:color="auto"/>
                  </w:divBdr>
                  <w:divsChild>
                    <w:div w:id="1882009286">
                      <w:marLeft w:val="0"/>
                      <w:marRight w:val="0"/>
                      <w:marTop w:val="0"/>
                      <w:marBottom w:val="0"/>
                      <w:divBdr>
                        <w:top w:val="none" w:sz="0" w:space="0" w:color="auto"/>
                        <w:left w:val="none" w:sz="0" w:space="0" w:color="auto"/>
                        <w:bottom w:val="none" w:sz="0" w:space="0" w:color="auto"/>
                        <w:right w:val="none" w:sz="0" w:space="0" w:color="auto"/>
                      </w:divBdr>
                    </w:div>
                  </w:divsChild>
                </w:div>
                <w:div w:id="36245754">
                  <w:marLeft w:val="0"/>
                  <w:marRight w:val="0"/>
                  <w:marTop w:val="0"/>
                  <w:marBottom w:val="0"/>
                  <w:divBdr>
                    <w:top w:val="none" w:sz="0" w:space="0" w:color="auto"/>
                    <w:left w:val="none" w:sz="0" w:space="0" w:color="auto"/>
                    <w:bottom w:val="none" w:sz="0" w:space="0" w:color="auto"/>
                    <w:right w:val="none" w:sz="0" w:space="0" w:color="auto"/>
                  </w:divBdr>
                  <w:divsChild>
                    <w:div w:id="2128430145">
                      <w:marLeft w:val="0"/>
                      <w:marRight w:val="0"/>
                      <w:marTop w:val="0"/>
                      <w:marBottom w:val="0"/>
                      <w:divBdr>
                        <w:top w:val="none" w:sz="0" w:space="0" w:color="auto"/>
                        <w:left w:val="none" w:sz="0" w:space="0" w:color="auto"/>
                        <w:bottom w:val="none" w:sz="0" w:space="0" w:color="auto"/>
                        <w:right w:val="none" w:sz="0" w:space="0" w:color="auto"/>
                      </w:divBdr>
                    </w:div>
                  </w:divsChild>
                </w:div>
                <w:div w:id="38021480">
                  <w:marLeft w:val="0"/>
                  <w:marRight w:val="0"/>
                  <w:marTop w:val="0"/>
                  <w:marBottom w:val="0"/>
                  <w:divBdr>
                    <w:top w:val="none" w:sz="0" w:space="0" w:color="auto"/>
                    <w:left w:val="none" w:sz="0" w:space="0" w:color="auto"/>
                    <w:bottom w:val="none" w:sz="0" w:space="0" w:color="auto"/>
                    <w:right w:val="none" w:sz="0" w:space="0" w:color="auto"/>
                  </w:divBdr>
                  <w:divsChild>
                    <w:div w:id="833881562">
                      <w:marLeft w:val="0"/>
                      <w:marRight w:val="0"/>
                      <w:marTop w:val="0"/>
                      <w:marBottom w:val="0"/>
                      <w:divBdr>
                        <w:top w:val="none" w:sz="0" w:space="0" w:color="auto"/>
                        <w:left w:val="none" w:sz="0" w:space="0" w:color="auto"/>
                        <w:bottom w:val="none" w:sz="0" w:space="0" w:color="auto"/>
                        <w:right w:val="none" w:sz="0" w:space="0" w:color="auto"/>
                      </w:divBdr>
                    </w:div>
                  </w:divsChild>
                </w:div>
                <w:div w:id="44914104">
                  <w:marLeft w:val="0"/>
                  <w:marRight w:val="0"/>
                  <w:marTop w:val="0"/>
                  <w:marBottom w:val="0"/>
                  <w:divBdr>
                    <w:top w:val="none" w:sz="0" w:space="0" w:color="auto"/>
                    <w:left w:val="none" w:sz="0" w:space="0" w:color="auto"/>
                    <w:bottom w:val="none" w:sz="0" w:space="0" w:color="auto"/>
                    <w:right w:val="none" w:sz="0" w:space="0" w:color="auto"/>
                  </w:divBdr>
                  <w:divsChild>
                    <w:div w:id="228344703">
                      <w:marLeft w:val="0"/>
                      <w:marRight w:val="0"/>
                      <w:marTop w:val="0"/>
                      <w:marBottom w:val="0"/>
                      <w:divBdr>
                        <w:top w:val="none" w:sz="0" w:space="0" w:color="auto"/>
                        <w:left w:val="none" w:sz="0" w:space="0" w:color="auto"/>
                        <w:bottom w:val="none" w:sz="0" w:space="0" w:color="auto"/>
                        <w:right w:val="none" w:sz="0" w:space="0" w:color="auto"/>
                      </w:divBdr>
                    </w:div>
                  </w:divsChild>
                </w:div>
                <w:div w:id="65298912">
                  <w:marLeft w:val="0"/>
                  <w:marRight w:val="0"/>
                  <w:marTop w:val="0"/>
                  <w:marBottom w:val="0"/>
                  <w:divBdr>
                    <w:top w:val="none" w:sz="0" w:space="0" w:color="auto"/>
                    <w:left w:val="none" w:sz="0" w:space="0" w:color="auto"/>
                    <w:bottom w:val="none" w:sz="0" w:space="0" w:color="auto"/>
                    <w:right w:val="none" w:sz="0" w:space="0" w:color="auto"/>
                  </w:divBdr>
                  <w:divsChild>
                    <w:div w:id="1324502852">
                      <w:marLeft w:val="0"/>
                      <w:marRight w:val="0"/>
                      <w:marTop w:val="0"/>
                      <w:marBottom w:val="0"/>
                      <w:divBdr>
                        <w:top w:val="none" w:sz="0" w:space="0" w:color="auto"/>
                        <w:left w:val="none" w:sz="0" w:space="0" w:color="auto"/>
                        <w:bottom w:val="none" w:sz="0" w:space="0" w:color="auto"/>
                        <w:right w:val="none" w:sz="0" w:space="0" w:color="auto"/>
                      </w:divBdr>
                    </w:div>
                  </w:divsChild>
                </w:div>
                <w:div w:id="66005085">
                  <w:marLeft w:val="0"/>
                  <w:marRight w:val="0"/>
                  <w:marTop w:val="0"/>
                  <w:marBottom w:val="0"/>
                  <w:divBdr>
                    <w:top w:val="none" w:sz="0" w:space="0" w:color="auto"/>
                    <w:left w:val="none" w:sz="0" w:space="0" w:color="auto"/>
                    <w:bottom w:val="none" w:sz="0" w:space="0" w:color="auto"/>
                    <w:right w:val="none" w:sz="0" w:space="0" w:color="auto"/>
                  </w:divBdr>
                  <w:divsChild>
                    <w:div w:id="1526558898">
                      <w:marLeft w:val="0"/>
                      <w:marRight w:val="0"/>
                      <w:marTop w:val="0"/>
                      <w:marBottom w:val="0"/>
                      <w:divBdr>
                        <w:top w:val="none" w:sz="0" w:space="0" w:color="auto"/>
                        <w:left w:val="none" w:sz="0" w:space="0" w:color="auto"/>
                        <w:bottom w:val="none" w:sz="0" w:space="0" w:color="auto"/>
                        <w:right w:val="none" w:sz="0" w:space="0" w:color="auto"/>
                      </w:divBdr>
                    </w:div>
                  </w:divsChild>
                </w:div>
                <w:div w:id="87386459">
                  <w:marLeft w:val="0"/>
                  <w:marRight w:val="0"/>
                  <w:marTop w:val="0"/>
                  <w:marBottom w:val="0"/>
                  <w:divBdr>
                    <w:top w:val="none" w:sz="0" w:space="0" w:color="auto"/>
                    <w:left w:val="none" w:sz="0" w:space="0" w:color="auto"/>
                    <w:bottom w:val="none" w:sz="0" w:space="0" w:color="auto"/>
                    <w:right w:val="none" w:sz="0" w:space="0" w:color="auto"/>
                  </w:divBdr>
                  <w:divsChild>
                    <w:div w:id="488910161">
                      <w:marLeft w:val="0"/>
                      <w:marRight w:val="0"/>
                      <w:marTop w:val="0"/>
                      <w:marBottom w:val="0"/>
                      <w:divBdr>
                        <w:top w:val="none" w:sz="0" w:space="0" w:color="auto"/>
                        <w:left w:val="none" w:sz="0" w:space="0" w:color="auto"/>
                        <w:bottom w:val="none" w:sz="0" w:space="0" w:color="auto"/>
                        <w:right w:val="none" w:sz="0" w:space="0" w:color="auto"/>
                      </w:divBdr>
                    </w:div>
                  </w:divsChild>
                </w:div>
                <w:div w:id="106582755">
                  <w:marLeft w:val="0"/>
                  <w:marRight w:val="0"/>
                  <w:marTop w:val="0"/>
                  <w:marBottom w:val="0"/>
                  <w:divBdr>
                    <w:top w:val="none" w:sz="0" w:space="0" w:color="auto"/>
                    <w:left w:val="none" w:sz="0" w:space="0" w:color="auto"/>
                    <w:bottom w:val="none" w:sz="0" w:space="0" w:color="auto"/>
                    <w:right w:val="none" w:sz="0" w:space="0" w:color="auto"/>
                  </w:divBdr>
                  <w:divsChild>
                    <w:div w:id="1081415705">
                      <w:marLeft w:val="0"/>
                      <w:marRight w:val="0"/>
                      <w:marTop w:val="0"/>
                      <w:marBottom w:val="0"/>
                      <w:divBdr>
                        <w:top w:val="none" w:sz="0" w:space="0" w:color="auto"/>
                        <w:left w:val="none" w:sz="0" w:space="0" w:color="auto"/>
                        <w:bottom w:val="none" w:sz="0" w:space="0" w:color="auto"/>
                        <w:right w:val="none" w:sz="0" w:space="0" w:color="auto"/>
                      </w:divBdr>
                    </w:div>
                  </w:divsChild>
                </w:div>
                <w:div w:id="113987456">
                  <w:marLeft w:val="0"/>
                  <w:marRight w:val="0"/>
                  <w:marTop w:val="0"/>
                  <w:marBottom w:val="0"/>
                  <w:divBdr>
                    <w:top w:val="none" w:sz="0" w:space="0" w:color="auto"/>
                    <w:left w:val="none" w:sz="0" w:space="0" w:color="auto"/>
                    <w:bottom w:val="none" w:sz="0" w:space="0" w:color="auto"/>
                    <w:right w:val="none" w:sz="0" w:space="0" w:color="auto"/>
                  </w:divBdr>
                  <w:divsChild>
                    <w:div w:id="1239553502">
                      <w:marLeft w:val="0"/>
                      <w:marRight w:val="0"/>
                      <w:marTop w:val="0"/>
                      <w:marBottom w:val="0"/>
                      <w:divBdr>
                        <w:top w:val="none" w:sz="0" w:space="0" w:color="auto"/>
                        <w:left w:val="none" w:sz="0" w:space="0" w:color="auto"/>
                        <w:bottom w:val="none" w:sz="0" w:space="0" w:color="auto"/>
                        <w:right w:val="none" w:sz="0" w:space="0" w:color="auto"/>
                      </w:divBdr>
                    </w:div>
                  </w:divsChild>
                </w:div>
                <w:div w:id="119303469">
                  <w:marLeft w:val="0"/>
                  <w:marRight w:val="0"/>
                  <w:marTop w:val="0"/>
                  <w:marBottom w:val="0"/>
                  <w:divBdr>
                    <w:top w:val="none" w:sz="0" w:space="0" w:color="auto"/>
                    <w:left w:val="none" w:sz="0" w:space="0" w:color="auto"/>
                    <w:bottom w:val="none" w:sz="0" w:space="0" w:color="auto"/>
                    <w:right w:val="none" w:sz="0" w:space="0" w:color="auto"/>
                  </w:divBdr>
                  <w:divsChild>
                    <w:div w:id="1407344440">
                      <w:marLeft w:val="0"/>
                      <w:marRight w:val="0"/>
                      <w:marTop w:val="0"/>
                      <w:marBottom w:val="0"/>
                      <w:divBdr>
                        <w:top w:val="none" w:sz="0" w:space="0" w:color="auto"/>
                        <w:left w:val="none" w:sz="0" w:space="0" w:color="auto"/>
                        <w:bottom w:val="none" w:sz="0" w:space="0" w:color="auto"/>
                        <w:right w:val="none" w:sz="0" w:space="0" w:color="auto"/>
                      </w:divBdr>
                    </w:div>
                  </w:divsChild>
                </w:div>
                <w:div w:id="153225468">
                  <w:marLeft w:val="0"/>
                  <w:marRight w:val="0"/>
                  <w:marTop w:val="0"/>
                  <w:marBottom w:val="0"/>
                  <w:divBdr>
                    <w:top w:val="none" w:sz="0" w:space="0" w:color="auto"/>
                    <w:left w:val="none" w:sz="0" w:space="0" w:color="auto"/>
                    <w:bottom w:val="none" w:sz="0" w:space="0" w:color="auto"/>
                    <w:right w:val="none" w:sz="0" w:space="0" w:color="auto"/>
                  </w:divBdr>
                  <w:divsChild>
                    <w:div w:id="1791433590">
                      <w:marLeft w:val="0"/>
                      <w:marRight w:val="0"/>
                      <w:marTop w:val="0"/>
                      <w:marBottom w:val="0"/>
                      <w:divBdr>
                        <w:top w:val="none" w:sz="0" w:space="0" w:color="auto"/>
                        <w:left w:val="none" w:sz="0" w:space="0" w:color="auto"/>
                        <w:bottom w:val="none" w:sz="0" w:space="0" w:color="auto"/>
                        <w:right w:val="none" w:sz="0" w:space="0" w:color="auto"/>
                      </w:divBdr>
                    </w:div>
                  </w:divsChild>
                </w:div>
                <w:div w:id="156578680">
                  <w:marLeft w:val="0"/>
                  <w:marRight w:val="0"/>
                  <w:marTop w:val="0"/>
                  <w:marBottom w:val="0"/>
                  <w:divBdr>
                    <w:top w:val="none" w:sz="0" w:space="0" w:color="auto"/>
                    <w:left w:val="none" w:sz="0" w:space="0" w:color="auto"/>
                    <w:bottom w:val="none" w:sz="0" w:space="0" w:color="auto"/>
                    <w:right w:val="none" w:sz="0" w:space="0" w:color="auto"/>
                  </w:divBdr>
                  <w:divsChild>
                    <w:div w:id="1998652560">
                      <w:marLeft w:val="0"/>
                      <w:marRight w:val="0"/>
                      <w:marTop w:val="0"/>
                      <w:marBottom w:val="0"/>
                      <w:divBdr>
                        <w:top w:val="none" w:sz="0" w:space="0" w:color="auto"/>
                        <w:left w:val="none" w:sz="0" w:space="0" w:color="auto"/>
                        <w:bottom w:val="none" w:sz="0" w:space="0" w:color="auto"/>
                        <w:right w:val="none" w:sz="0" w:space="0" w:color="auto"/>
                      </w:divBdr>
                    </w:div>
                  </w:divsChild>
                </w:div>
                <w:div w:id="184444075">
                  <w:marLeft w:val="0"/>
                  <w:marRight w:val="0"/>
                  <w:marTop w:val="0"/>
                  <w:marBottom w:val="0"/>
                  <w:divBdr>
                    <w:top w:val="none" w:sz="0" w:space="0" w:color="auto"/>
                    <w:left w:val="none" w:sz="0" w:space="0" w:color="auto"/>
                    <w:bottom w:val="none" w:sz="0" w:space="0" w:color="auto"/>
                    <w:right w:val="none" w:sz="0" w:space="0" w:color="auto"/>
                  </w:divBdr>
                  <w:divsChild>
                    <w:div w:id="848521590">
                      <w:marLeft w:val="0"/>
                      <w:marRight w:val="0"/>
                      <w:marTop w:val="0"/>
                      <w:marBottom w:val="0"/>
                      <w:divBdr>
                        <w:top w:val="none" w:sz="0" w:space="0" w:color="auto"/>
                        <w:left w:val="none" w:sz="0" w:space="0" w:color="auto"/>
                        <w:bottom w:val="none" w:sz="0" w:space="0" w:color="auto"/>
                        <w:right w:val="none" w:sz="0" w:space="0" w:color="auto"/>
                      </w:divBdr>
                    </w:div>
                  </w:divsChild>
                </w:div>
                <w:div w:id="200483177">
                  <w:marLeft w:val="0"/>
                  <w:marRight w:val="0"/>
                  <w:marTop w:val="0"/>
                  <w:marBottom w:val="0"/>
                  <w:divBdr>
                    <w:top w:val="none" w:sz="0" w:space="0" w:color="auto"/>
                    <w:left w:val="none" w:sz="0" w:space="0" w:color="auto"/>
                    <w:bottom w:val="none" w:sz="0" w:space="0" w:color="auto"/>
                    <w:right w:val="none" w:sz="0" w:space="0" w:color="auto"/>
                  </w:divBdr>
                  <w:divsChild>
                    <w:div w:id="1351252387">
                      <w:marLeft w:val="0"/>
                      <w:marRight w:val="0"/>
                      <w:marTop w:val="0"/>
                      <w:marBottom w:val="0"/>
                      <w:divBdr>
                        <w:top w:val="none" w:sz="0" w:space="0" w:color="auto"/>
                        <w:left w:val="none" w:sz="0" w:space="0" w:color="auto"/>
                        <w:bottom w:val="none" w:sz="0" w:space="0" w:color="auto"/>
                        <w:right w:val="none" w:sz="0" w:space="0" w:color="auto"/>
                      </w:divBdr>
                    </w:div>
                  </w:divsChild>
                </w:div>
                <w:div w:id="201284124">
                  <w:marLeft w:val="0"/>
                  <w:marRight w:val="0"/>
                  <w:marTop w:val="0"/>
                  <w:marBottom w:val="0"/>
                  <w:divBdr>
                    <w:top w:val="none" w:sz="0" w:space="0" w:color="auto"/>
                    <w:left w:val="none" w:sz="0" w:space="0" w:color="auto"/>
                    <w:bottom w:val="none" w:sz="0" w:space="0" w:color="auto"/>
                    <w:right w:val="none" w:sz="0" w:space="0" w:color="auto"/>
                  </w:divBdr>
                  <w:divsChild>
                    <w:div w:id="823813444">
                      <w:marLeft w:val="0"/>
                      <w:marRight w:val="0"/>
                      <w:marTop w:val="0"/>
                      <w:marBottom w:val="0"/>
                      <w:divBdr>
                        <w:top w:val="none" w:sz="0" w:space="0" w:color="auto"/>
                        <w:left w:val="none" w:sz="0" w:space="0" w:color="auto"/>
                        <w:bottom w:val="none" w:sz="0" w:space="0" w:color="auto"/>
                        <w:right w:val="none" w:sz="0" w:space="0" w:color="auto"/>
                      </w:divBdr>
                    </w:div>
                  </w:divsChild>
                </w:div>
                <w:div w:id="229006058">
                  <w:marLeft w:val="0"/>
                  <w:marRight w:val="0"/>
                  <w:marTop w:val="0"/>
                  <w:marBottom w:val="0"/>
                  <w:divBdr>
                    <w:top w:val="none" w:sz="0" w:space="0" w:color="auto"/>
                    <w:left w:val="none" w:sz="0" w:space="0" w:color="auto"/>
                    <w:bottom w:val="none" w:sz="0" w:space="0" w:color="auto"/>
                    <w:right w:val="none" w:sz="0" w:space="0" w:color="auto"/>
                  </w:divBdr>
                  <w:divsChild>
                    <w:div w:id="2097624832">
                      <w:marLeft w:val="0"/>
                      <w:marRight w:val="0"/>
                      <w:marTop w:val="0"/>
                      <w:marBottom w:val="0"/>
                      <w:divBdr>
                        <w:top w:val="none" w:sz="0" w:space="0" w:color="auto"/>
                        <w:left w:val="none" w:sz="0" w:space="0" w:color="auto"/>
                        <w:bottom w:val="none" w:sz="0" w:space="0" w:color="auto"/>
                        <w:right w:val="none" w:sz="0" w:space="0" w:color="auto"/>
                      </w:divBdr>
                    </w:div>
                  </w:divsChild>
                </w:div>
                <w:div w:id="245503229">
                  <w:marLeft w:val="0"/>
                  <w:marRight w:val="0"/>
                  <w:marTop w:val="0"/>
                  <w:marBottom w:val="0"/>
                  <w:divBdr>
                    <w:top w:val="none" w:sz="0" w:space="0" w:color="auto"/>
                    <w:left w:val="none" w:sz="0" w:space="0" w:color="auto"/>
                    <w:bottom w:val="none" w:sz="0" w:space="0" w:color="auto"/>
                    <w:right w:val="none" w:sz="0" w:space="0" w:color="auto"/>
                  </w:divBdr>
                  <w:divsChild>
                    <w:div w:id="561330674">
                      <w:marLeft w:val="0"/>
                      <w:marRight w:val="0"/>
                      <w:marTop w:val="0"/>
                      <w:marBottom w:val="0"/>
                      <w:divBdr>
                        <w:top w:val="none" w:sz="0" w:space="0" w:color="auto"/>
                        <w:left w:val="none" w:sz="0" w:space="0" w:color="auto"/>
                        <w:bottom w:val="none" w:sz="0" w:space="0" w:color="auto"/>
                        <w:right w:val="none" w:sz="0" w:space="0" w:color="auto"/>
                      </w:divBdr>
                    </w:div>
                  </w:divsChild>
                </w:div>
                <w:div w:id="266501043">
                  <w:marLeft w:val="0"/>
                  <w:marRight w:val="0"/>
                  <w:marTop w:val="0"/>
                  <w:marBottom w:val="0"/>
                  <w:divBdr>
                    <w:top w:val="none" w:sz="0" w:space="0" w:color="auto"/>
                    <w:left w:val="none" w:sz="0" w:space="0" w:color="auto"/>
                    <w:bottom w:val="none" w:sz="0" w:space="0" w:color="auto"/>
                    <w:right w:val="none" w:sz="0" w:space="0" w:color="auto"/>
                  </w:divBdr>
                  <w:divsChild>
                    <w:div w:id="875386576">
                      <w:marLeft w:val="0"/>
                      <w:marRight w:val="0"/>
                      <w:marTop w:val="0"/>
                      <w:marBottom w:val="0"/>
                      <w:divBdr>
                        <w:top w:val="none" w:sz="0" w:space="0" w:color="auto"/>
                        <w:left w:val="none" w:sz="0" w:space="0" w:color="auto"/>
                        <w:bottom w:val="none" w:sz="0" w:space="0" w:color="auto"/>
                        <w:right w:val="none" w:sz="0" w:space="0" w:color="auto"/>
                      </w:divBdr>
                    </w:div>
                  </w:divsChild>
                </w:div>
                <w:div w:id="282616962">
                  <w:marLeft w:val="0"/>
                  <w:marRight w:val="0"/>
                  <w:marTop w:val="0"/>
                  <w:marBottom w:val="0"/>
                  <w:divBdr>
                    <w:top w:val="none" w:sz="0" w:space="0" w:color="auto"/>
                    <w:left w:val="none" w:sz="0" w:space="0" w:color="auto"/>
                    <w:bottom w:val="none" w:sz="0" w:space="0" w:color="auto"/>
                    <w:right w:val="none" w:sz="0" w:space="0" w:color="auto"/>
                  </w:divBdr>
                  <w:divsChild>
                    <w:div w:id="1374040128">
                      <w:marLeft w:val="0"/>
                      <w:marRight w:val="0"/>
                      <w:marTop w:val="0"/>
                      <w:marBottom w:val="0"/>
                      <w:divBdr>
                        <w:top w:val="none" w:sz="0" w:space="0" w:color="auto"/>
                        <w:left w:val="none" w:sz="0" w:space="0" w:color="auto"/>
                        <w:bottom w:val="none" w:sz="0" w:space="0" w:color="auto"/>
                        <w:right w:val="none" w:sz="0" w:space="0" w:color="auto"/>
                      </w:divBdr>
                    </w:div>
                  </w:divsChild>
                </w:div>
                <w:div w:id="301887390">
                  <w:marLeft w:val="0"/>
                  <w:marRight w:val="0"/>
                  <w:marTop w:val="0"/>
                  <w:marBottom w:val="0"/>
                  <w:divBdr>
                    <w:top w:val="none" w:sz="0" w:space="0" w:color="auto"/>
                    <w:left w:val="none" w:sz="0" w:space="0" w:color="auto"/>
                    <w:bottom w:val="none" w:sz="0" w:space="0" w:color="auto"/>
                    <w:right w:val="none" w:sz="0" w:space="0" w:color="auto"/>
                  </w:divBdr>
                  <w:divsChild>
                    <w:div w:id="1138499153">
                      <w:marLeft w:val="0"/>
                      <w:marRight w:val="0"/>
                      <w:marTop w:val="0"/>
                      <w:marBottom w:val="0"/>
                      <w:divBdr>
                        <w:top w:val="none" w:sz="0" w:space="0" w:color="auto"/>
                        <w:left w:val="none" w:sz="0" w:space="0" w:color="auto"/>
                        <w:bottom w:val="none" w:sz="0" w:space="0" w:color="auto"/>
                        <w:right w:val="none" w:sz="0" w:space="0" w:color="auto"/>
                      </w:divBdr>
                    </w:div>
                  </w:divsChild>
                </w:div>
                <w:div w:id="317854978">
                  <w:marLeft w:val="0"/>
                  <w:marRight w:val="0"/>
                  <w:marTop w:val="0"/>
                  <w:marBottom w:val="0"/>
                  <w:divBdr>
                    <w:top w:val="none" w:sz="0" w:space="0" w:color="auto"/>
                    <w:left w:val="none" w:sz="0" w:space="0" w:color="auto"/>
                    <w:bottom w:val="none" w:sz="0" w:space="0" w:color="auto"/>
                    <w:right w:val="none" w:sz="0" w:space="0" w:color="auto"/>
                  </w:divBdr>
                  <w:divsChild>
                    <w:div w:id="349071164">
                      <w:marLeft w:val="0"/>
                      <w:marRight w:val="0"/>
                      <w:marTop w:val="0"/>
                      <w:marBottom w:val="0"/>
                      <w:divBdr>
                        <w:top w:val="none" w:sz="0" w:space="0" w:color="auto"/>
                        <w:left w:val="none" w:sz="0" w:space="0" w:color="auto"/>
                        <w:bottom w:val="none" w:sz="0" w:space="0" w:color="auto"/>
                        <w:right w:val="none" w:sz="0" w:space="0" w:color="auto"/>
                      </w:divBdr>
                    </w:div>
                  </w:divsChild>
                </w:div>
                <w:div w:id="323051606">
                  <w:marLeft w:val="0"/>
                  <w:marRight w:val="0"/>
                  <w:marTop w:val="0"/>
                  <w:marBottom w:val="0"/>
                  <w:divBdr>
                    <w:top w:val="none" w:sz="0" w:space="0" w:color="auto"/>
                    <w:left w:val="none" w:sz="0" w:space="0" w:color="auto"/>
                    <w:bottom w:val="none" w:sz="0" w:space="0" w:color="auto"/>
                    <w:right w:val="none" w:sz="0" w:space="0" w:color="auto"/>
                  </w:divBdr>
                  <w:divsChild>
                    <w:div w:id="1225752275">
                      <w:marLeft w:val="0"/>
                      <w:marRight w:val="0"/>
                      <w:marTop w:val="0"/>
                      <w:marBottom w:val="0"/>
                      <w:divBdr>
                        <w:top w:val="none" w:sz="0" w:space="0" w:color="auto"/>
                        <w:left w:val="none" w:sz="0" w:space="0" w:color="auto"/>
                        <w:bottom w:val="none" w:sz="0" w:space="0" w:color="auto"/>
                        <w:right w:val="none" w:sz="0" w:space="0" w:color="auto"/>
                      </w:divBdr>
                    </w:div>
                  </w:divsChild>
                </w:div>
                <w:div w:id="336270180">
                  <w:marLeft w:val="0"/>
                  <w:marRight w:val="0"/>
                  <w:marTop w:val="0"/>
                  <w:marBottom w:val="0"/>
                  <w:divBdr>
                    <w:top w:val="none" w:sz="0" w:space="0" w:color="auto"/>
                    <w:left w:val="none" w:sz="0" w:space="0" w:color="auto"/>
                    <w:bottom w:val="none" w:sz="0" w:space="0" w:color="auto"/>
                    <w:right w:val="none" w:sz="0" w:space="0" w:color="auto"/>
                  </w:divBdr>
                  <w:divsChild>
                    <w:div w:id="1109281274">
                      <w:marLeft w:val="0"/>
                      <w:marRight w:val="0"/>
                      <w:marTop w:val="0"/>
                      <w:marBottom w:val="0"/>
                      <w:divBdr>
                        <w:top w:val="none" w:sz="0" w:space="0" w:color="auto"/>
                        <w:left w:val="none" w:sz="0" w:space="0" w:color="auto"/>
                        <w:bottom w:val="none" w:sz="0" w:space="0" w:color="auto"/>
                        <w:right w:val="none" w:sz="0" w:space="0" w:color="auto"/>
                      </w:divBdr>
                    </w:div>
                  </w:divsChild>
                </w:div>
                <w:div w:id="379523861">
                  <w:marLeft w:val="0"/>
                  <w:marRight w:val="0"/>
                  <w:marTop w:val="0"/>
                  <w:marBottom w:val="0"/>
                  <w:divBdr>
                    <w:top w:val="none" w:sz="0" w:space="0" w:color="auto"/>
                    <w:left w:val="none" w:sz="0" w:space="0" w:color="auto"/>
                    <w:bottom w:val="none" w:sz="0" w:space="0" w:color="auto"/>
                    <w:right w:val="none" w:sz="0" w:space="0" w:color="auto"/>
                  </w:divBdr>
                  <w:divsChild>
                    <w:div w:id="1621456865">
                      <w:marLeft w:val="0"/>
                      <w:marRight w:val="0"/>
                      <w:marTop w:val="0"/>
                      <w:marBottom w:val="0"/>
                      <w:divBdr>
                        <w:top w:val="none" w:sz="0" w:space="0" w:color="auto"/>
                        <w:left w:val="none" w:sz="0" w:space="0" w:color="auto"/>
                        <w:bottom w:val="none" w:sz="0" w:space="0" w:color="auto"/>
                        <w:right w:val="none" w:sz="0" w:space="0" w:color="auto"/>
                      </w:divBdr>
                    </w:div>
                  </w:divsChild>
                </w:div>
                <w:div w:id="415640486">
                  <w:marLeft w:val="0"/>
                  <w:marRight w:val="0"/>
                  <w:marTop w:val="0"/>
                  <w:marBottom w:val="0"/>
                  <w:divBdr>
                    <w:top w:val="none" w:sz="0" w:space="0" w:color="auto"/>
                    <w:left w:val="none" w:sz="0" w:space="0" w:color="auto"/>
                    <w:bottom w:val="none" w:sz="0" w:space="0" w:color="auto"/>
                    <w:right w:val="none" w:sz="0" w:space="0" w:color="auto"/>
                  </w:divBdr>
                  <w:divsChild>
                    <w:div w:id="1183394162">
                      <w:marLeft w:val="0"/>
                      <w:marRight w:val="0"/>
                      <w:marTop w:val="0"/>
                      <w:marBottom w:val="0"/>
                      <w:divBdr>
                        <w:top w:val="none" w:sz="0" w:space="0" w:color="auto"/>
                        <w:left w:val="none" w:sz="0" w:space="0" w:color="auto"/>
                        <w:bottom w:val="none" w:sz="0" w:space="0" w:color="auto"/>
                        <w:right w:val="none" w:sz="0" w:space="0" w:color="auto"/>
                      </w:divBdr>
                    </w:div>
                  </w:divsChild>
                </w:div>
                <w:div w:id="422994725">
                  <w:marLeft w:val="0"/>
                  <w:marRight w:val="0"/>
                  <w:marTop w:val="0"/>
                  <w:marBottom w:val="0"/>
                  <w:divBdr>
                    <w:top w:val="none" w:sz="0" w:space="0" w:color="auto"/>
                    <w:left w:val="none" w:sz="0" w:space="0" w:color="auto"/>
                    <w:bottom w:val="none" w:sz="0" w:space="0" w:color="auto"/>
                    <w:right w:val="none" w:sz="0" w:space="0" w:color="auto"/>
                  </w:divBdr>
                  <w:divsChild>
                    <w:div w:id="1927297876">
                      <w:marLeft w:val="0"/>
                      <w:marRight w:val="0"/>
                      <w:marTop w:val="0"/>
                      <w:marBottom w:val="0"/>
                      <w:divBdr>
                        <w:top w:val="none" w:sz="0" w:space="0" w:color="auto"/>
                        <w:left w:val="none" w:sz="0" w:space="0" w:color="auto"/>
                        <w:bottom w:val="none" w:sz="0" w:space="0" w:color="auto"/>
                        <w:right w:val="none" w:sz="0" w:space="0" w:color="auto"/>
                      </w:divBdr>
                    </w:div>
                  </w:divsChild>
                </w:div>
                <w:div w:id="428963661">
                  <w:marLeft w:val="0"/>
                  <w:marRight w:val="0"/>
                  <w:marTop w:val="0"/>
                  <w:marBottom w:val="0"/>
                  <w:divBdr>
                    <w:top w:val="none" w:sz="0" w:space="0" w:color="auto"/>
                    <w:left w:val="none" w:sz="0" w:space="0" w:color="auto"/>
                    <w:bottom w:val="none" w:sz="0" w:space="0" w:color="auto"/>
                    <w:right w:val="none" w:sz="0" w:space="0" w:color="auto"/>
                  </w:divBdr>
                  <w:divsChild>
                    <w:div w:id="1694450863">
                      <w:marLeft w:val="0"/>
                      <w:marRight w:val="0"/>
                      <w:marTop w:val="0"/>
                      <w:marBottom w:val="0"/>
                      <w:divBdr>
                        <w:top w:val="none" w:sz="0" w:space="0" w:color="auto"/>
                        <w:left w:val="none" w:sz="0" w:space="0" w:color="auto"/>
                        <w:bottom w:val="none" w:sz="0" w:space="0" w:color="auto"/>
                        <w:right w:val="none" w:sz="0" w:space="0" w:color="auto"/>
                      </w:divBdr>
                    </w:div>
                  </w:divsChild>
                </w:div>
                <w:div w:id="466706984">
                  <w:marLeft w:val="0"/>
                  <w:marRight w:val="0"/>
                  <w:marTop w:val="0"/>
                  <w:marBottom w:val="0"/>
                  <w:divBdr>
                    <w:top w:val="none" w:sz="0" w:space="0" w:color="auto"/>
                    <w:left w:val="none" w:sz="0" w:space="0" w:color="auto"/>
                    <w:bottom w:val="none" w:sz="0" w:space="0" w:color="auto"/>
                    <w:right w:val="none" w:sz="0" w:space="0" w:color="auto"/>
                  </w:divBdr>
                  <w:divsChild>
                    <w:div w:id="256643874">
                      <w:marLeft w:val="0"/>
                      <w:marRight w:val="0"/>
                      <w:marTop w:val="0"/>
                      <w:marBottom w:val="0"/>
                      <w:divBdr>
                        <w:top w:val="none" w:sz="0" w:space="0" w:color="auto"/>
                        <w:left w:val="none" w:sz="0" w:space="0" w:color="auto"/>
                        <w:bottom w:val="none" w:sz="0" w:space="0" w:color="auto"/>
                        <w:right w:val="none" w:sz="0" w:space="0" w:color="auto"/>
                      </w:divBdr>
                    </w:div>
                  </w:divsChild>
                </w:div>
                <w:div w:id="532379501">
                  <w:marLeft w:val="0"/>
                  <w:marRight w:val="0"/>
                  <w:marTop w:val="0"/>
                  <w:marBottom w:val="0"/>
                  <w:divBdr>
                    <w:top w:val="none" w:sz="0" w:space="0" w:color="auto"/>
                    <w:left w:val="none" w:sz="0" w:space="0" w:color="auto"/>
                    <w:bottom w:val="none" w:sz="0" w:space="0" w:color="auto"/>
                    <w:right w:val="none" w:sz="0" w:space="0" w:color="auto"/>
                  </w:divBdr>
                  <w:divsChild>
                    <w:div w:id="408695452">
                      <w:marLeft w:val="0"/>
                      <w:marRight w:val="0"/>
                      <w:marTop w:val="0"/>
                      <w:marBottom w:val="0"/>
                      <w:divBdr>
                        <w:top w:val="none" w:sz="0" w:space="0" w:color="auto"/>
                        <w:left w:val="none" w:sz="0" w:space="0" w:color="auto"/>
                        <w:bottom w:val="none" w:sz="0" w:space="0" w:color="auto"/>
                        <w:right w:val="none" w:sz="0" w:space="0" w:color="auto"/>
                      </w:divBdr>
                    </w:div>
                  </w:divsChild>
                </w:div>
                <w:div w:id="589856368">
                  <w:marLeft w:val="0"/>
                  <w:marRight w:val="0"/>
                  <w:marTop w:val="0"/>
                  <w:marBottom w:val="0"/>
                  <w:divBdr>
                    <w:top w:val="none" w:sz="0" w:space="0" w:color="auto"/>
                    <w:left w:val="none" w:sz="0" w:space="0" w:color="auto"/>
                    <w:bottom w:val="none" w:sz="0" w:space="0" w:color="auto"/>
                    <w:right w:val="none" w:sz="0" w:space="0" w:color="auto"/>
                  </w:divBdr>
                  <w:divsChild>
                    <w:div w:id="76902539">
                      <w:marLeft w:val="0"/>
                      <w:marRight w:val="0"/>
                      <w:marTop w:val="0"/>
                      <w:marBottom w:val="0"/>
                      <w:divBdr>
                        <w:top w:val="none" w:sz="0" w:space="0" w:color="auto"/>
                        <w:left w:val="none" w:sz="0" w:space="0" w:color="auto"/>
                        <w:bottom w:val="none" w:sz="0" w:space="0" w:color="auto"/>
                        <w:right w:val="none" w:sz="0" w:space="0" w:color="auto"/>
                      </w:divBdr>
                    </w:div>
                  </w:divsChild>
                </w:div>
                <w:div w:id="614559697">
                  <w:marLeft w:val="0"/>
                  <w:marRight w:val="0"/>
                  <w:marTop w:val="0"/>
                  <w:marBottom w:val="0"/>
                  <w:divBdr>
                    <w:top w:val="none" w:sz="0" w:space="0" w:color="auto"/>
                    <w:left w:val="none" w:sz="0" w:space="0" w:color="auto"/>
                    <w:bottom w:val="none" w:sz="0" w:space="0" w:color="auto"/>
                    <w:right w:val="none" w:sz="0" w:space="0" w:color="auto"/>
                  </w:divBdr>
                  <w:divsChild>
                    <w:div w:id="168377459">
                      <w:marLeft w:val="0"/>
                      <w:marRight w:val="0"/>
                      <w:marTop w:val="0"/>
                      <w:marBottom w:val="0"/>
                      <w:divBdr>
                        <w:top w:val="none" w:sz="0" w:space="0" w:color="auto"/>
                        <w:left w:val="none" w:sz="0" w:space="0" w:color="auto"/>
                        <w:bottom w:val="none" w:sz="0" w:space="0" w:color="auto"/>
                        <w:right w:val="none" w:sz="0" w:space="0" w:color="auto"/>
                      </w:divBdr>
                    </w:div>
                    <w:div w:id="1053390766">
                      <w:marLeft w:val="0"/>
                      <w:marRight w:val="0"/>
                      <w:marTop w:val="0"/>
                      <w:marBottom w:val="0"/>
                      <w:divBdr>
                        <w:top w:val="none" w:sz="0" w:space="0" w:color="auto"/>
                        <w:left w:val="none" w:sz="0" w:space="0" w:color="auto"/>
                        <w:bottom w:val="none" w:sz="0" w:space="0" w:color="auto"/>
                        <w:right w:val="none" w:sz="0" w:space="0" w:color="auto"/>
                      </w:divBdr>
                    </w:div>
                  </w:divsChild>
                </w:div>
                <w:div w:id="704252930">
                  <w:marLeft w:val="0"/>
                  <w:marRight w:val="0"/>
                  <w:marTop w:val="0"/>
                  <w:marBottom w:val="0"/>
                  <w:divBdr>
                    <w:top w:val="none" w:sz="0" w:space="0" w:color="auto"/>
                    <w:left w:val="none" w:sz="0" w:space="0" w:color="auto"/>
                    <w:bottom w:val="none" w:sz="0" w:space="0" w:color="auto"/>
                    <w:right w:val="none" w:sz="0" w:space="0" w:color="auto"/>
                  </w:divBdr>
                  <w:divsChild>
                    <w:div w:id="1303392287">
                      <w:marLeft w:val="0"/>
                      <w:marRight w:val="0"/>
                      <w:marTop w:val="0"/>
                      <w:marBottom w:val="0"/>
                      <w:divBdr>
                        <w:top w:val="none" w:sz="0" w:space="0" w:color="auto"/>
                        <w:left w:val="none" w:sz="0" w:space="0" w:color="auto"/>
                        <w:bottom w:val="none" w:sz="0" w:space="0" w:color="auto"/>
                        <w:right w:val="none" w:sz="0" w:space="0" w:color="auto"/>
                      </w:divBdr>
                    </w:div>
                  </w:divsChild>
                </w:div>
                <w:div w:id="799809244">
                  <w:marLeft w:val="0"/>
                  <w:marRight w:val="0"/>
                  <w:marTop w:val="0"/>
                  <w:marBottom w:val="0"/>
                  <w:divBdr>
                    <w:top w:val="none" w:sz="0" w:space="0" w:color="auto"/>
                    <w:left w:val="none" w:sz="0" w:space="0" w:color="auto"/>
                    <w:bottom w:val="none" w:sz="0" w:space="0" w:color="auto"/>
                    <w:right w:val="none" w:sz="0" w:space="0" w:color="auto"/>
                  </w:divBdr>
                  <w:divsChild>
                    <w:div w:id="2075541323">
                      <w:marLeft w:val="0"/>
                      <w:marRight w:val="0"/>
                      <w:marTop w:val="0"/>
                      <w:marBottom w:val="0"/>
                      <w:divBdr>
                        <w:top w:val="none" w:sz="0" w:space="0" w:color="auto"/>
                        <w:left w:val="none" w:sz="0" w:space="0" w:color="auto"/>
                        <w:bottom w:val="none" w:sz="0" w:space="0" w:color="auto"/>
                        <w:right w:val="none" w:sz="0" w:space="0" w:color="auto"/>
                      </w:divBdr>
                    </w:div>
                  </w:divsChild>
                </w:div>
                <w:div w:id="812137557">
                  <w:marLeft w:val="0"/>
                  <w:marRight w:val="0"/>
                  <w:marTop w:val="0"/>
                  <w:marBottom w:val="0"/>
                  <w:divBdr>
                    <w:top w:val="none" w:sz="0" w:space="0" w:color="auto"/>
                    <w:left w:val="none" w:sz="0" w:space="0" w:color="auto"/>
                    <w:bottom w:val="none" w:sz="0" w:space="0" w:color="auto"/>
                    <w:right w:val="none" w:sz="0" w:space="0" w:color="auto"/>
                  </w:divBdr>
                  <w:divsChild>
                    <w:div w:id="524710337">
                      <w:marLeft w:val="0"/>
                      <w:marRight w:val="0"/>
                      <w:marTop w:val="0"/>
                      <w:marBottom w:val="0"/>
                      <w:divBdr>
                        <w:top w:val="none" w:sz="0" w:space="0" w:color="auto"/>
                        <w:left w:val="none" w:sz="0" w:space="0" w:color="auto"/>
                        <w:bottom w:val="none" w:sz="0" w:space="0" w:color="auto"/>
                        <w:right w:val="none" w:sz="0" w:space="0" w:color="auto"/>
                      </w:divBdr>
                    </w:div>
                  </w:divsChild>
                </w:div>
                <w:div w:id="828132929">
                  <w:marLeft w:val="0"/>
                  <w:marRight w:val="0"/>
                  <w:marTop w:val="0"/>
                  <w:marBottom w:val="0"/>
                  <w:divBdr>
                    <w:top w:val="none" w:sz="0" w:space="0" w:color="auto"/>
                    <w:left w:val="none" w:sz="0" w:space="0" w:color="auto"/>
                    <w:bottom w:val="none" w:sz="0" w:space="0" w:color="auto"/>
                    <w:right w:val="none" w:sz="0" w:space="0" w:color="auto"/>
                  </w:divBdr>
                  <w:divsChild>
                    <w:div w:id="665287520">
                      <w:marLeft w:val="0"/>
                      <w:marRight w:val="0"/>
                      <w:marTop w:val="0"/>
                      <w:marBottom w:val="0"/>
                      <w:divBdr>
                        <w:top w:val="none" w:sz="0" w:space="0" w:color="auto"/>
                        <w:left w:val="none" w:sz="0" w:space="0" w:color="auto"/>
                        <w:bottom w:val="none" w:sz="0" w:space="0" w:color="auto"/>
                        <w:right w:val="none" w:sz="0" w:space="0" w:color="auto"/>
                      </w:divBdr>
                    </w:div>
                  </w:divsChild>
                </w:div>
                <w:div w:id="861938144">
                  <w:marLeft w:val="0"/>
                  <w:marRight w:val="0"/>
                  <w:marTop w:val="0"/>
                  <w:marBottom w:val="0"/>
                  <w:divBdr>
                    <w:top w:val="none" w:sz="0" w:space="0" w:color="auto"/>
                    <w:left w:val="none" w:sz="0" w:space="0" w:color="auto"/>
                    <w:bottom w:val="none" w:sz="0" w:space="0" w:color="auto"/>
                    <w:right w:val="none" w:sz="0" w:space="0" w:color="auto"/>
                  </w:divBdr>
                  <w:divsChild>
                    <w:div w:id="94398779">
                      <w:marLeft w:val="0"/>
                      <w:marRight w:val="0"/>
                      <w:marTop w:val="0"/>
                      <w:marBottom w:val="0"/>
                      <w:divBdr>
                        <w:top w:val="none" w:sz="0" w:space="0" w:color="auto"/>
                        <w:left w:val="none" w:sz="0" w:space="0" w:color="auto"/>
                        <w:bottom w:val="none" w:sz="0" w:space="0" w:color="auto"/>
                        <w:right w:val="none" w:sz="0" w:space="0" w:color="auto"/>
                      </w:divBdr>
                    </w:div>
                  </w:divsChild>
                </w:div>
                <w:div w:id="874192606">
                  <w:marLeft w:val="0"/>
                  <w:marRight w:val="0"/>
                  <w:marTop w:val="0"/>
                  <w:marBottom w:val="0"/>
                  <w:divBdr>
                    <w:top w:val="none" w:sz="0" w:space="0" w:color="auto"/>
                    <w:left w:val="none" w:sz="0" w:space="0" w:color="auto"/>
                    <w:bottom w:val="none" w:sz="0" w:space="0" w:color="auto"/>
                    <w:right w:val="none" w:sz="0" w:space="0" w:color="auto"/>
                  </w:divBdr>
                  <w:divsChild>
                    <w:div w:id="485361129">
                      <w:marLeft w:val="0"/>
                      <w:marRight w:val="0"/>
                      <w:marTop w:val="0"/>
                      <w:marBottom w:val="0"/>
                      <w:divBdr>
                        <w:top w:val="none" w:sz="0" w:space="0" w:color="auto"/>
                        <w:left w:val="none" w:sz="0" w:space="0" w:color="auto"/>
                        <w:bottom w:val="none" w:sz="0" w:space="0" w:color="auto"/>
                        <w:right w:val="none" w:sz="0" w:space="0" w:color="auto"/>
                      </w:divBdr>
                    </w:div>
                  </w:divsChild>
                </w:div>
                <w:div w:id="925499547">
                  <w:marLeft w:val="0"/>
                  <w:marRight w:val="0"/>
                  <w:marTop w:val="0"/>
                  <w:marBottom w:val="0"/>
                  <w:divBdr>
                    <w:top w:val="none" w:sz="0" w:space="0" w:color="auto"/>
                    <w:left w:val="none" w:sz="0" w:space="0" w:color="auto"/>
                    <w:bottom w:val="none" w:sz="0" w:space="0" w:color="auto"/>
                    <w:right w:val="none" w:sz="0" w:space="0" w:color="auto"/>
                  </w:divBdr>
                  <w:divsChild>
                    <w:div w:id="1603487036">
                      <w:marLeft w:val="0"/>
                      <w:marRight w:val="0"/>
                      <w:marTop w:val="0"/>
                      <w:marBottom w:val="0"/>
                      <w:divBdr>
                        <w:top w:val="none" w:sz="0" w:space="0" w:color="auto"/>
                        <w:left w:val="none" w:sz="0" w:space="0" w:color="auto"/>
                        <w:bottom w:val="none" w:sz="0" w:space="0" w:color="auto"/>
                        <w:right w:val="none" w:sz="0" w:space="0" w:color="auto"/>
                      </w:divBdr>
                    </w:div>
                  </w:divsChild>
                </w:div>
                <w:div w:id="976033458">
                  <w:marLeft w:val="0"/>
                  <w:marRight w:val="0"/>
                  <w:marTop w:val="0"/>
                  <w:marBottom w:val="0"/>
                  <w:divBdr>
                    <w:top w:val="none" w:sz="0" w:space="0" w:color="auto"/>
                    <w:left w:val="none" w:sz="0" w:space="0" w:color="auto"/>
                    <w:bottom w:val="none" w:sz="0" w:space="0" w:color="auto"/>
                    <w:right w:val="none" w:sz="0" w:space="0" w:color="auto"/>
                  </w:divBdr>
                  <w:divsChild>
                    <w:div w:id="1855219911">
                      <w:marLeft w:val="0"/>
                      <w:marRight w:val="0"/>
                      <w:marTop w:val="0"/>
                      <w:marBottom w:val="0"/>
                      <w:divBdr>
                        <w:top w:val="none" w:sz="0" w:space="0" w:color="auto"/>
                        <w:left w:val="none" w:sz="0" w:space="0" w:color="auto"/>
                        <w:bottom w:val="none" w:sz="0" w:space="0" w:color="auto"/>
                        <w:right w:val="none" w:sz="0" w:space="0" w:color="auto"/>
                      </w:divBdr>
                    </w:div>
                  </w:divsChild>
                </w:div>
                <w:div w:id="978846312">
                  <w:marLeft w:val="0"/>
                  <w:marRight w:val="0"/>
                  <w:marTop w:val="0"/>
                  <w:marBottom w:val="0"/>
                  <w:divBdr>
                    <w:top w:val="none" w:sz="0" w:space="0" w:color="auto"/>
                    <w:left w:val="none" w:sz="0" w:space="0" w:color="auto"/>
                    <w:bottom w:val="none" w:sz="0" w:space="0" w:color="auto"/>
                    <w:right w:val="none" w:sz="0" w:space="0" w:color="auto"/>
                  </w:divBdr>
                  <w:divsChild>
                    <w:div w:id="1043289542">
                      <w:marLeft w:val="0"/>
                      <w:marRight w:val="0"/>
                      <w:marTop w:val="0"/>
                      <w:marBottom w:val="0"/>
                      <w:divBdr>
                        <w:top w:val="none" w:sz="0" w:space="0" w:color="auto"/>
                        <w:left w:val="none" w:sz="0" w:space="0" w:color="auto"/>
                        <w:bottom w:val="none" w:sz="0" w:space="0" w:color="auto"/>
                        <w:right w:val="none" w:sz="0" w:space="0" w:color="auto"/>
                      </w:divBdr>
                    </w:div>
                  </w:divsChild>
                </w:div>
                <w:div w:id="993530914">
                  <w:marLeft w:val="0"/>
                  <w:marRight w:val="0"/>
                  <w:marTop w:val="0"/>
                  <w:marBottom w:val="0"/>
                  <w:divBdr>
                    <w:top w:val="none" w:sz="0" w:space="0" w:color="auto"/>
                    <w:left w:val="none" w:sz="0" w:space="0" w:color="auto"/>
                    <w:bottom w:val="none" w:sz="0" w:space="0" w:color="auto"/>
                    <w:right w:val="none" w:sz="0" w:space="0" w:color="auto"/>
                  </w:divBdr>
                  <w:divsChild>
                    <w:div w:id="638193526">
                      <w:marLeft w:val="0"/>
                      <w:marRight w:val="0"/>
                      <w:marTop w:val="0"/>
                      <w:marBottom w:val="0"/>
                      <w:divBdr>
                        <w:top w:val="none" w:sz="0" w:space="0" w:color="auto"/>
                        <w:left w:val="none" w:sz="0" w:space="0" w:color="auto"/>
                        <w:bottom w:val="none" w:sz="0" w:space="0" w:color="auto"/>
                        <w:right w:val="none" w:sz="0" w:space="0" w:color="auto"/>
                      </w:divBdr>
                    </w:div>
                  </w:divsChild>
                </w:div>
                <w:div w:id="999188114">
                  <w:marLeft w:val="0"/>
                  <w:marRight w:val="0"/>
                  <w:marTop w:val="0"/>
                  <w:marBottom w:val="0"/>
                  <w:divBdr>
                    <w:top w:val="none" w:sz="0" w:space="0" w:color="auto"/>
                    <w:left w:val="none" w:sz="0" w:space="0" w:color="auto"/>
                    <w:bottom w:val="none" w:sz="0" w:space="0" w:color="auto"/>
                    <w:right w:val="none" w:sz="0" w:space="0" w:color="auto"/>
                  </w:divBdr>
                  <w:divsChild>
                    <w:div w:id="718360249">
                      <w:marLeft w:val="0"/>
                      <w:marRight w:val="0"/>
                      <w:marTop w:val="0"/>
                      <w:marBottom w:val="0"/>
                      <w:divBdr>
                        <w:top w:val="none" w:sz="0" w:space="0" w:color="auto"/>
                        <w:left w:val="none" w:sz="0" w:space="0" w:color="auto"/>
                        <w:bottom w:val="none" w:sz="0" w:space="0" w:color="auto"/>
                        <w:right w:val="none" w:sz="0" w:space="0" w:color="auto"/>
                      </w:divBdr>
                    </w:div>
                  </w:divsChild>
                </w:div>
                <w:div w:id="1007638494">
                  <w:marLeft w:val="0"/>
                  <w:marRight w:val="0"/>
                  <w:marTop w:val="0"/>
                  <w:marBottom w:val="0"/>
                  <w:divBdr>
                    <w:top w:val="none" w:sz="0" w:space="0" w:color="auto"/>
                    <w:left w:val="none" w:sz="0" w:space="0" w:color="auto"/>
                    <w:bottom w:val="none" w:sz="0" w:space="0" w:color="auto"/>
                    <w:right w:val="none" w:sz="0" w:space="0" w:color="auto"/>
                  </w:divBdr>
                  <w:divsChild>
                    <w:div w:id="1649167207">
                      <w:marLeft w:val="0"/>
                      <w:marRight w:val="0"/>
                      <w:marTop w:val="0"/>
                      <w:marBottom w:val="0"/>
                      <w:divBdr>
                        <w:top w:val="none" w:sz="0" w:space="0" w:color="auto"/>
                        <w:left w:val="none" w:sz="0" w:space="0" w:color="auto"/>
                        <w:bottom w:val="none" w:sz="0" w:space="0" w:color="auto"/>
                        <w:right w:val="none" w:sz="0" w:space="0" w:color="auto"/>
                      </w:divBdr>
                    </w:div>
                  </w:divsChild>
                </w:div>
                <w:div w:id="1026910750">
                  <w:marLeft w:val="0"/>
                  <w:marRight w:val="0"/>
                  <w:marTop w:val="0"/>
                  <w:marBottom w:val="0"/>
                  <w:divBdr>
                    <w:top w:val="none" w:sz="0" w:space="0" w:color="auto"/>
                    <w:left w:val="none" w:sz="0" w:space="0" w:color="auto"/>
                    <w:bottom w:val="none" w:sz="0" w:space="0" w:color="auto"/>
                    <w:right w:val="none" w:sz="0" w:space="0" w:color="auto"/>
                  </w:divBdr>
                  <w:divsChild>
                    <w:div w:id="634916626">
                      <w:marLeft w:val="0"/>
                      <w:marRight w:val="0"/>
                      <w:marTop w:val="0"/>
                      <w:marBottom w:val="0"/>
                      <w:divBdr>
                        <w:top w:val="none" w:sz="0" w:space="0" w:color="auto"/>
                        <w:left w:val="none" w:sz="0" w:space="0" w:color="auto"/>
                        <w:bottom w:val="none" w:sz="0" w:space="0" w:color="auto"/>
                        <w:right w:val="none" w:sz="0" w:space="0" w:color="auto"/>
                      </w:divBdr>
                    </w:div>
                  </w:divsChild>
                </w:div>
                <w:div w:id="1029571298">
                  <w:marLeft w:val="0"/>
                  <w:marRight w:val="0"/>
                  <w:marTop w:val="0"/>
                  <w:marBottom w:val="0"/>
                  <w:divBdr>
                    <w:top w:val="none" w:sz="0" w:space="0" w:color="auto"/>
                    <w:left w:val="none" w:sz="0" w:space="0" w:color="auto"/>
                    <w:bottom w:val="none" w:sz="0" w:space="0" w:color="auto"/>
                    <w:right w:val="none" w:sz="0" w:space="0" w:color="auto"/>
                  </w:divBdr>
                  <w:divsChild>
                    <w:div w:id="1769302482">
                      <w:marLeft w:val="0"/>
                      <w:marRight w:val="0"/>
                      <w:marTop w:val="0"/>
                      <w:marBottom w:val="0"/>
                      <w:divBdr>
                        <w:top w:val="none" w:sz="0" w:space="0" w:color="auto"/>
                        <w:left w:val="none" w:sz="0" w:space="0" w:color="auto"/>
                        <w:bottom w:val="none" w:sz="0" w:space="0" w:color="auto"/>
                        <w:right w:val="none" w:sz="0" w:space="0" w:color="auto"/>
                      </w:divBdr>
                    </w:div>
                  </w:divsChild>
                </w:div>
                <w:div w:id="1051265964">
                  <w:marLeft w:val="0"/>
                  <w:marRight w:val="0"/>
                  <w:marTop w:val="0"/>
                  <w:marBottom w:val="0"/>
                  <w:divBdr>
                    <w:top w:val="none" w:sz="0" w:space="0" w:color="auto"/>
                    <w:left w:val="none" w:sz="0" w:space="0" w:color="auto"/>
                    <w:bottom w:val="none" w:sz="0" w:space="0" w:color="auto"/>
                    <w:right w:val="none" w:sz="0" w:space="0" w:color="auto"/>
                  </w:divBdr>
                  <w:divsChild>
                    <w:div w:id="1086658423">
                      <w:marLeft w:val="0"/>
                      <w:marRight w:val="0"/>
                      <w:marTop w:val="0"/>
                      <w:marBottom w:val="0"/>
                      <w:divBdr>
                        <w:top w:val="none" w:sz="0" w:space="0" w:color="auto"/>
                        <w:left w:val="none" w:sz="0" w:space="0" w:color="auto"/>
                        <w:bottom w:val="none" w:sz="0" w:space="0" w:color="auto"/>
                        <w:right w:val="none" w:sz="0" w:space="0" w:color="auto"/>
                      </w:divBdr>
                    </w:div>
                  </w:divsChild>
                </w:div>
                <w:div w:id="1053893450">
                  <w:marLeft w:val="0"/>
                  <w:marRight w:val="0"/>
                  <w:marTop w:val="0"/>
                  <w:marBottom w:val="0"/>
                  <w:divBdr>
                    <w:top w:val="none" w:sz="0" w:space="0" w:color="auto"/>
                    <w:left w:val="none" w:sz="0" w:space="0" w:color="auto"/>
                    <w:bottom w:val="none" w:sz="0" w:space="0" w:color="auto"/>
                    <w:right w:val="none" w:sz="0" w:space="0" w:color="auto"/>
                  </w:divBdr>
                  <w:divsChild>
                    <w:div w:id="1617979181">
                      <w:marLeft w:val="0"/>
                      <w:marRight w:val="0"/>
                      <w:marTop w:val="0"/>
                      <w:marBottom w:val="0"/>
                      <w:divBdr>
                        <w:top w:val="none" w:sz="0" w:space="0" w:color="auto"/>
                        <w:left w:val="none" w:sz="0" w:space="0" w:color="auto"/>
                        <w:bottom w:val="none" w:sz="0" w:space="0" w:color="auto"/>
                        <w:right w:val="none" w:sz="0" w:space="0" w:color="auto"/>
                      </w:divBdr>
                    </w:div>
                  </w:divsChild>
                </w:div>
                <w:div w:id="1057437012">
                  <w:marLeft w:val="0"/>
                  <w:marRight w:val="0"/>
                  <w:marTop w:val="0"/>
                  <w:marBottom w:val="0"/>
                  <w:divBdr>
                    <w:top w:val="none" w:sz="0" w:space="0" w:color="auto"/>
                    <w:left w:val="none" w:sz="0" w:space="0" w:color="auto"/>
                    <w:bottom w:val="none" w:sz="0" w:space="0" w:color="auto"/>
                    <w:right w:val="none" w:sz="0" w:space="0" w:color="auto"/>
                  </w:divBdr>
                  <w:divsChild>
                    <w:div w:id="1000424044">
                      <w:marLeft w:val="0"/>
                      <w:marRight w:val="0"/>
                      <w:marTop w:val="0"/>
                      <w:marBottom w:val="0"/>
                      <w:divBdr>
                        <w:top w:val="none" w:sz="0" w:space="0" w:color="auto"/>
                        <w:left w:val="none" w:sz="0" w:space="0" w:color="auto"/>
                        <w:bottom w:val="none" w:sz="0" w:space="0" w:color="auto"/>
                        <w:right w:val="none" w:sz="0" w:space="0" w:color="auto"/>
                      </w:divBdr>
                    </w:div>
                  </w:divsChild>
                </w:div>
                <w:div w:id="1071735847">
                  <w:marLeft w:val="0"/>
                  <w:marRight w:val="0"/>
                  <w:marTop w:val="0"/>
                  <w:marBottom w:val="0"/>
                  <w:divBdr>
                    <w:top w:val="none" w:sz="0" w:space="0" w:color="auto"/>
                    <w:left w:val="none" w:sz="0" w:space="0" w:color="auto"/>
                    <w:bottom w:val="none" w:sz="0" w:space="0" w:color="auto"/>
                    <w:right w:val="none" w:sz="0" w:space="0" w:color="auto"/>
                  </w:divBdr>
                  <w:divsChild>
                    <w:div w:id="1696148545">
                      <w:marLeft w:val="0"/>
                      <w:marRight w:val="0"/>
                      <w:marTop w:val="0"/>
                      <w:marBottom w:val="0"/>
                      <w:divBdr>
                        <w:top w:val="none" w:sz="0" w:space="0" w:color="auto"/>
                        <w:left w:val="none" w:sz="0" w:space="0" w:color="auto"/>
                        <w:bottom w:val="none" w:sz="0" w:space="0" w:color="auto"/>
                        <w:right w:val="none" w:sz="0" w:space="0" w:color="auto"/>
                      </w:divBdr>
                    </w:div>
                  </w:divsChild>
                </w:div>
                <w:div w:id="1091901060">
                  <w:marLeft w:val="0"/>
                  <w:marRight w:val="0"/>
                  <w:marTop w:val="0"/>
                  <w:marBottom w:val="0"/>
                  <w:divBdr>
                    <w:top w:val="none" w:sz="0" w:space="0" w:color="auto"/>
                    <w:left w:val="none" w:sz="0" w:space="0" w:color="auto"/>
                    <w:bottom w:val="none" w:sz="0" w:space="0" w:color="auto"/>
                    <w:right w:val="none" w:sz="0" w:space="0" w:color="auto"/>
                  </w:divBdr>
                  <w:divsChild>
                    <w:div w:id="1258517821">
                      <w:marLeft w:val="0"/>
                      <w:marRight w:val="0"/>
                      <w:marTop w:val="0"/>
                      <w:marBottom w:val="0"/>
                      <w:divBdr>
                        <w:top w:val="none" w:sz="0" w:space="0" w:color="auto"/>
                        <w:left w:val="none" w:sz="0" w:space="0" w:color="auto"/>
                        <w:bottom w:val="none" w:sz="0" w:space="0" w:color="auto"/>
                        <w:right w:val="none" w:sz="0" w:space="0" w:color="auto"/>
                      </w:divBdr>
                    </w:div>
                  </w:divsChild>
                </w:div>
                <w:div w:id="1115564553">
                  <w:marLeft w:val="0"/>
                  <w:marRight w:val="0"/>
                  <w:marTop w:val="0"/>
                  <w:marBottom w:val="0"/>
                  <w:divBdr>
                    <w:top w:val="none" w:sz="0" w:space="0" w:color="auto"/>
                    <w:left w:val="none" w:sz="0" w:space="0" w:color="auto"/>
                    <w:bottom w:val="none" w:sz="0" w:space="0" w:color="auto"/>
                    <w:right w:val="none" w:sz="0" w:space="0" w:color="auto"/>
                  </w:divBdr>
                  <w:divsChild>
                    <w:div w:id="1045637435">
                      <w:marLeft w:val="0"/>
                      <w:marRight w:val="0"/>
                      <w:marTop w:val="0"/>
                      <w:marBottom w:val="0"/>
                      <w:divBdr>
                        <w:top w:val="none" w:sz="0" w:space="0" w:color="auto"/>
                        <w:left w:val="none" w:sz="0" w:space="0" w:color="auto"/>
                        <w:bottom w:val="none" w:sz="0" w:space="0" w:color="auto"/>
                        <w:right w:val="none" w:sz="0" w:space="0" w:color="auto"/>
                      </w:divBdr>
                    </w:div>
                  </w:divsChild>
                </w:div>
                <w:div w:id="1130903800">
                  <w:marLeft w:val="0"/>
                  <w:marRight w:val="0"/>
                  <w:marTop w:val="0"/>
                  <w:marBottom w:val="0"/>
                  <w:divBdr>
                    <w:top w:val="none" w:sz="0" w:space="0" w:color="auto"/>
                    <w:left w:val="none" w:sz="0" w:space="0" w:color="auto"/>
                    <w:bottom w:val="none" w:sz="0" w:space="0" w:color="auto"/>
                    <w:right w:val="none" w:sz="0" w:space="0" w:color="auto"/>
                  </w:divBdr>
                  <w:divsChild>
                    <w:div w:id="1053506296">
                      <w:marLeft w:val="0"/>
                      <w:marRight w:val="0"/>
                      <w:marTop w:val="0"/>
                      <w:marBottom w:val="0"/>
                      <w:divBdr>
                        <w:top w:val="none" w:sz="0" w:space="0" w:color="auto"/>
                        <w:left w:val="none" w:sz="0" w:space="0" w:color="auto"/>
                        <w:bottom w:val="none" w:sz="0" w:space="0" w:color="auto"/>
                        <w:right w:val="none" w:sz="0" w:space="0" w:color="auto"/>
                      </w:divBdr>
                    </w:div>
                  </w:divsChild>
                </w:div>
                <w:div w:id="1141769181">
                  <w:marLeft w:val="0"/>
                  <w:marRight w:val="0"/>
                  <w:marTop w:val="0"/>
                  <w:marBottom w:val="0"/>
                  <w:divBdr>
                    <w:top w:val="none" w:sz="0" w:space="0" w:color="auto"/>
                    <w:left w:val="none" w:sz="0" w:space="0" w:color="auto"/>
                    <w:bottom w:val="none" w:sz="0" w:space="0" w:color="auto"/>
                    <w:right w:val="none" w:sz="0" w:space="0" w:color="auto"/>
                  </w:divBdr>
                  <w:divsChild>
                    <w:div w:id="1861313381">
                      <w:marLeft w:val="0"/>
                      <w:marRight w:val="0"/>
                      <w:marTop w:val="0"/>
                      <w:marBottom w:val="0"/>
                      <w:divBdr>
                        <w:top w:val="none" w:sz="0" w:space="0" w:color="auto"/>
                        <w:left w:val="none" w:sz="0" w:space="0" w:color="auto"/>
                        <w:bottom w:val="none" w:sz="0" w:space="0" w:color="auto"/>
                        <w:right w:val="none" w:sz="0" w:space="0" w:color="auto"/>
                      </w:divBdr>
                    </w:div>
                  </w:divsChild>
                </w:div>
                <w:div w:id="1183591061">
                  <w:marLeft w:val="0"/>
                  <w:marRight w:val="0"/>
                  <w:marTop w:val="0"/>
                  <w:marBottom w:val="0"/>
                  <w:divBdr>
                    <w:top w:val="none" w:sz="0" w:space="0" w:color="auto"/>
                    <w:left w:val="none" w:sz="0" w:space="0" w:color="auto"/>
                    <w:bottom w:val="none" w:sz="0" w:space="0" w:color="auto"/>
                    <w:right w:val="none" w:sz="0" w:space="0" w:color="auto"/>
                  </w:divBdr>
                  <w:divsChild>
                    <w:div w:id="1521814901">
                      <w:marLeft w:val="0"/>
                      <w:marRight w:val="0"/>
                      <w:marTop w:val="0"/>
                      <w:marBottom w:val="0"/>
                      <w:divBdr>
                        <w:top w:val="none" w:sz="0" w:space="0" w:color="auto"/>
                        <w:left w:val="none" w:sz="0" w:space="0" w:color="auto"/>
                        <w:bottom w:val="none" w:sz="0" w:space="0" w:color="auto"/>
                        <w:right w:val="none" w:sz="0" w:space="0" w:color="auto"/>
                      </w:divBdr>
                    </w:div>
                  </w:divsChild>
                </w:div>
                <w:div w:id="1189831896">
                  <w:marLeft w:val="0"/>
                  <w:marRight w:val="0"/>
                  <w:marTop w:val="0"/>
                  <w:marBottom w:val="0"/>
                  <w:divBdr>
                    <w:top w:val="none" w:sz="0" w:space="0" w:color="auto"/>
                    <w:left w:val="none" w:sz="0" w:space="0" w:color="auto"/>
                    <w:bottom w:val="none" w:sz="0" w:space="0" w:color="auto"/>
                    <w:right w:val="none" w:sz="0" w:space="0" w:color="auto"/>
                  </w:divBdr>
                  <w:divsChild>
                    <w:div w:id="165756237">
                      <w:marLeft w:val="0"/>
                      <w:marRight w:val="0"/>
                      <w:marTop w:val="0"/>
                      <w:marBottom w:val="0"/>
                      <w:divBdr>
                        <w:top w:val="none" w:sz="0" w:space="0" w:color="auto"/>
                        <w:left w:val="none" w:sz="0" w:space="0" w:color="auto"/>
                        <w:bottom w:val="none" w:sz="0" w:space="0" w:color="auto"/>
                        <w:right w:val="none" w:sz="0" w:space="0" w:color="auto"/>
                      </w:divBdr>
                    </w:div>
                  </w:divsChild>
                </w:div>
                <w:div w:id="1225413686">
                  <w:marLeft w:val="0"/>
                  <w:marRight w:val="0"/>
                  <w:marTop w:val="0"/>
                  <w:marBottom w:val="0"/>
                  <w:divBdr>
                    <w:top w:val="none" w:sz="0" w:space="0" w:color="auto"/>
                    <w:left w:val="none" w:sz="0" w:space="0" w:color="auto"/>
                    <w:bottom w:val="none" w:sz="0" w:space="0" w:color="auto"/>
                    <w:right w:val="none" w:sz="0" w:space="0" w:color="auto"/>
                  </w:divBdr>
                  <w:divsChild>
                    <w:div w:id="1850874720">
                      <w:marLeft w:val="0"/>
                      <w:marRight w:val="0"/>
                      <w:marTop w:val="0"/>
                      <w:marBottom w:val="0"/>
                      <w:divBdr>
                        <w:top w:val="none" w:sz="0" w:space="0" w:color="auto"/>
                        <w:left w:val="none" w:sz="0" w:space="0" w:color="auto"/>
                        <w:bottom w:val="none" w:sz="0" w:space="0" w:color="auto"/>
                        <w:right w:val="none" w:sz="0" w:space="0" w:color="auto"/>
                      </w:divBdr>
                    </w:div>
                  </w:divsChild>
                </w:div>
                <w:div w:id="1229807732">
                  <w:marLeft w:val="0"/>
                  <w:marRight w:val="0"/>
                  <w:marTop w:val="0"/>
                  <w:marBottom w:val="0"/>
                  <w:divBdr>
                    <w:top w:val="none" w:sz="0" w:space="0" w:color="auto"/>
                    <w:left w:val="none" w:sz="0" w:space="0" w:color="auto"/>
                    <w:bottom w:val="none" w:sz="0" w:space="0" w:color="auto"/>
                    <w:right w:val="none" w:sz="0" w:space="0" w:color="auto"/>
                  </w:divBdr>
                  <w:divsChild>
                    <w:div w:id="1794397689">
                      <w:marLeft w:val="0"/>
                      <w:marRight w:val="0"/>
                      <w:marTop w:val="0"/>
                      <w:marBottom w:val="0"/>
                      <w:divBdr>
                        <w:top w:val="none" w:sz="0" w:space="0" w:color="auto"/>
                        <w:left w:val="none" w:sz="0" w:space="0" w:color="auto"/>
                        <w:bottom w:val="none" w:sz="0" w:space="0" w:color="auto"/>
                        <w:right w:val="none" w:sz="0" w:space="0" w:color="auto"/>
                      </w:divBdr>
                    </w:div>
                  </w:divsChild>
                </w:div>
                <w:div w:id="1264799713">
                  <w:marLeft w:val="0"/>
                  <w:marRight w:val="0"/>
                  <w:marTop w:val="0"/>
                  <w:marBottom w:val="0"/>
                  <w:divBdr>
                    <w:top w:val="none" w:sz="0" w:space="0" w:color="auto"/>
                    <w:left w:val="none" w:sz="0" w:space="0" w:color="auto"/>
                    <w:bottom w:val="none" w:sz="0" w:space="0" w:color="auto"/>
                    <w:right w:val="none" w:sz="0" w:space="0" w:color="auto"/>
                  </w:divBdr>
                  <w:divsChild>
                    <w:div w:id="582029111">
                      <w:marLeft w:val="0"/>
                      <w:marRight w:val="0"/>
                      <w:marTop w:val="0"/>
                      <w:marBottom w:val="0"/>
                      <w:divBdr>
                        <w:top w:val="none" w:sz="0" w:space="0" w:color="auto"/>
                        <w:left w:val="none" w:sz="0" w:space="0" w:color="auto"/>
                        <w:bottom w:val="none" w:sz="0" w:space="0" w:color="auto"/>
                        <w:right w:val="none" w:sz="0" w:space="0" w:color="auto"/>
                      </w:divBdr>
                    </w:div>
                  </w:divsChild>
                </w:div>
                <w:div w:id="1281451845">
                  <w:marLeft w:val="0"/>
                  <w:marRight w:val="0"/>
                  <w:marTop w:val="0"/>
                  <w:marBottom w:val="0"/>
                  <w:divBdr>
                    <w:top w:val="none" w:sz="0" w:space="0" w:color="auto"/>
                    <w:left w:val="none" w:sz="0" w:space="0" w:color="auto"/>
                    <w:bottom w:val="none" w:sz="0" w:space="0" w:color="auto"/>
                    <w:right w:val="none" w:sz="0" w:space="0" w:color="auto"/>
                  </w:divBdr>
                  <w:divsChild>
                    <w:div w:id="1338269805">
                      <w:marLeft w:val="0"/>
                      <w:marRight w:val="0"/>
                      <w:marTop w:val="0"/>
                      <w:marBottom w:val="0"/>
                      <w:divBdr>
                        <w:top w:val="none" w:sz="0" w:space="0" w:color="auto"/>
                        <w:left w:val="none" w:sz="0" w:space="0" w:color="auto"/>
                        <w:bottom w:val="none" w:sz="0" w:space="0" w:color="auto"/>
                        <w:right w:val="none" w:sz="0" w:space="0" w:color="auto"/>
                      </w:divBdr>
                    </w:div>
                  </w:divsChild>
                </w:div>
                <w:div w:id="1288125401">
                  <w:marLeft w:val="0"/>
                  <w:marRight w:val="0"/>
                  <w:marTop w:val="0"/>
                  <w:marBottom w:val="0"/>
                  <w:divBdr>
                    <w:top w:val="none" w:sz="0" w:space="0" w:color="auto"/>
                    <w:left w:val="none" w:sz="0" w:space="0" w:color="auto"/>
                    <w:bottom w:val="none" w:sz="0" w:space="0" w:color="auto"/>
                    <w:right w:val="none" w:sz="0" w:space="0" w:color="auto"/>
                  </w:divBdr>
                  <w:divsChild>
                    <w:div w:id="935943553">
                      <w:marLeft w:val="0"/>
                      <w:marRight w:val="0"/>
                      <w:marTop w:val="0"/>
                      <w:marBottom w:val="0"/>
                      <w:divBdr>
                        <w:top w:val="none" w:sz="0" w:space="0" w:color="auto"/>
                        <w:left w:val="none" w:sz="0" w:space="0" w:color="auto"/>
                        <w:bottom w:val="none" w:sz="0" w:space="0" w:color="auto"/>
                        <w:right w:val="none" w:sz="0" w:space="0" w:color="auto"/>
                      </w:divBdr>
                    </w:div>
                  </w:divsChild>
                </w:div>
                <w:div w:id="1290164416">
                  <w:marLeft w:val="0"/>
                  <w:marRight w:val="0"/>
                  <w:marTop w:val="0"/>
                  <w:marBottom w:val="0"/>
                  <w:divBdr>
                    <w:top w:val="none" w:sz="0" w:space="0" w:color="auto"/>
                    <w:left w:val="none" w:sz="0" w:space="0" w:color="auto"/>
                    <w:bottom w:val="none" w:sz="0" w:space="0" w:color="auto"/>
                    <w:right w:val="none" w:sz="0" w:space="0" w:color="auto"/>
                  </w:divBdr>
                  <w:divsChild>
                    <w:div w:id="2034764052">
                      <w:marLeft w:val="0"/>
                      <w:marRight w:val="0"/>
                      <w:marTop w:val="0"/>
                      <w:marBottom w:val="0"/>
                      <w:divBdr>
                        <w:top w:val="none" w:sz="0" w:space="0" w:color="auto"/>
                        <w:left w:val="none" w:sz="0" w:space="0" w:color="auto"/>
                        <w:bottom w:val="none" w:sz="0" w:space="0" w:color="auto"/>
                        <w:right w:val="none" w:sz="0" w:space="0" w:color="auto"/>
                      </w:divBdr>
                    </w:div>
                  </w:divsChild>
                </w:div>
                <w:div w:id="1317806029">
                  <w:marLeft w:val="0"/>
                  <w:marRight w:val="0"/>
                  <w:marTop w:val="0"/>
                  <w:marBottom w:val="0"/>
                  <w:divBdr>
                    <w:top w:val="none" w:sz="0" w:space="0" w:color="auto"/>
                    <w:left w:val="none" w:sz="0" w:space="0" w:color="auto"/>
                    <w:bottom w:val="none" w:sz="0" w:space="0" w:color="auto"/>
                    <w:right w:val="none" w:sz="0" w:space="0" w:color="auto"/>
                  </w:divBdr>
                  <w:divsChild>
                    <w:div w:id="606695284">
                      <w:marLeft w:val="0"/>
                      <w:marRight w:val="0"/>
                      <w:marTop w:val="0"/>
                      <w:marBottom w:val="0"/>
                      <w:divBdr>
                        <w:top w:val="none" w:sz="0" w:space="0" w:color="auto"/>
                        <w:left w:val="none" w:sz="0" w:space="0" w:color="auto"/>
                        <w:bottom w:val="none" w:sz="0" w:space="0" w:color="auto"/>
                        <w:right w:val="none" w:sz="0" w:space="0" w:color="auto"/>
                      </w:divBdr>
                    </w:div>
                  </w:divsChild>
                </w:div>
                <w:div w:id="1360349840">
                  <w:marLeft w:val="0"/>
                  <w:marRight w:val="0"/>
                  <w:marTop w:val="0"/>
                  <w:marBottom w:val="0"/>
                  <w:divBdr>
                    <w:top w:val="none" w:sz="0" w:space="0" w:color="auto"/>
                    <w:left w:val="none" w:sz="0" w:space="0" w:color="auto"/>
                    <w:bottom w:val="none" w:sz="0" w:space="0" w:color="auto"/>
                    <w:right w:val="none" w:sz="0" w:space="0" w:color="auto"/>
                  </w:divBdr>
                  <w:divsChild>
                    <w:div w:id="999312908">
                      <w:marLeft w:val="0"/>
                      <w:marRight w:val="0"/>
                      <w:marTop w:val="0"/>
                      <w:marBottom w:val="0"/>
                      <w:divBdr>
                        <w:top w:val="none" w:sz="0" w:space="0" w:color="auto"/>
                        <w:left w:val="none" w:sz="0" w:space="0" w:color="auto"/>
                        <w:bottom w:val="none" w:sz="0" w:space="0" w:color="auto"/>
                        <w:right w:val="none" w:sz="0" w:space="0" w:color="auto"/>
                      </w:divBdr>
                    </w:div>
                  </w:divsChild>
                </w:div>
                <w:div w:id="1385789152">
                  <w:marLeft w:val="0"/>
                  <w:marRight w:val="0"/>
                  <w:marTop w:val="0"/>
                  <w:marBottom w:val="0"/>
                  <w:divBdr>
                    <w:top w:val="none" w:sz="0" w:space="0" w:color="auto"/>
                    <w:left w:val="none" w:sz="0" w:space="0" w:color="auto"/>
                    <w:bottom w:val="none" w:sz="0" w:space="0" w:color="auto"/>
                    <w:right w:val="none" w:sz="0" w:space="0" w:color="auto"/>
                  </w:divBdr>
                  <w:divsChild>
                    <w:div w:id="2136363496">
                      <w:marLeft w:val="0"/>
                      <w:marRight w:val="0"/>
                      <w:marTop w:val="0"/>
                      <w:marBottom w:val="0"/>
                      <w:divBdr>
                        <w:top w:val="none" w:sz="0" w:space="0" w:color="auto"/>
                        <w:left w:val="none" w:sz="0" w:space="0" w:color="auto"/>
                        <w:bottom w:val="none" w:sz="0" w:space="0" w:color="auto"/>
                        <w:right w:val="none" w:sz="0" w:space="0" w:color="auto"/>
                      </w:divBdr>
                    </w:div>
                  </w:divsChild>
                </w:div>
                <w:div w:id="1487552695">
                  <w:marLeft w:val="0"/>
                  <w:marRight w:val="0"/>
                  <w:marTop w:val="0"/>
                  <w:marBottom w:val="0"/>
                  <w:divBdr>
                    <w:top w:val="none" w:sz="0" w:space="0" w:color="auto"/>
                    <w:left w:val="none" w:sz="0" w:space="0" w:color="auto"/>
                    <w:bottom w:val="none" w:sz="0" w:space="0" w:color="auto"/>
                    <w:right w:val="none" w:sz="0" w:space="0" w:color="auto"/>
                  </w:divBdr>
                  <w:divsChild>
                    <w:div w:id="1664238189">
                      <w:marLeft w:val="0"/>
                      <w:marRight w:val="0"/>
                      <w:marTop w:val="0"/>
                      <w:marBottom w:val="0"/>
                      <w:divBdr>
                        <w:top w:val="none" w:sz="0" w:space="0" w:color="auto"/>
                        <w:left w:val="none" w:sz="0" w:space="0" w:color="auto"/>
                        <w:bottom w:val="none" w:sz="0" w:space="0" w:color="auto"/>
                        <w:right w:val="none" w:sz="0" w:space="0" w:color="auto"/>
                      </w:divBdr>
                    </w:div>
                  </w:divsChild>
                </w:div>
                <w:div w:id="1521771555">
                  <w:marLeft w:val="0"/>
                  <w:marRight w:val="0"/>
                  <w:marTop w:val="0"/>
                  <w:marBottom w:val="0"/>
                  <w:divBdr>
                    <w:top w:val="none" w:sz="0" w:space="0" w:color="auto"/>
                    <w:left w:val="none" w:sz="0" w:space="0" w:color="auto"/>
                    <w:bottom w:val="none" w:sz="0" w:space="0" w:color="auto"/>
                    <w:right w:val="none" w:sz="0" w:space="0" w:color="auto"/>
                  </w:divBdr>
                  <w:divsChild>
                    <w:div w:id="692264000">
                      <w:marLeft w:val="0"/>
                      <w:marRight w:val="0"/>
                      <w:marTop w:val="0"/>
                      <w:marBottom w:val="0"/>
                      <w:divBdr>
                        <w:top w:val="none" w:sz="0" w:space="0" w:color="auto"/>
                        <w:left w:val="none" w:sz="0" w:space="0" w:color="auto"/>
                        <w:bottom w:val="none" w:sz="0" w:space="0" w:color="auto"/>
                        <w:right w:val="none" w:sz="0" w:space="0" w:color="auto"/>
                      </w:divBdr>
                    </w:div>
                  </w:divsChild>
                </w:div>
                <w:div w:id="1547906737">
                  <w:marLeft w:val="0"/>
                  <w:marRight w:val="0"/>
                  <w:marTop w:val="0"/>
                  <w:marBottom w:val="0"/>
                  <w:divBdr>
                    <w:top w:val="none" w:sz="0" w:space="0" w:color="auto"/>
                    <w:left w:val="none" w:sz="0" w:space="0" w:color="auto"/>
                    <w:bottom w:val="none" w:sz="0" w:space="0" w:color="auto"/>
                    <w:right w:val="none" w:sz="0" w:space="0" w:color="auto"/>
                  </w:divBdr>
                  <w:divsChild>
                    <w:div w:id="340202743">
                      <w:marLeft w:val="0"/>
                      <w:marRight w:val="0"/>
                      <w:marTop w:val="0"/>
                      <w:marBottom w:val="0"/>
                      <w:divBdr>
                        <w:top w:val="none" w:sz="0" w:space="0" w:color="auto"/>
                        <w:left w:val="none" w:sz="0" w:space="0" w:color="auto"/>
                        <w:bottom w:val="none" w:sz="0" w:space="0" w:color="auto"/>
                        <w:right w:val="none" w:sz="0" w:space="0" w:color="auto"/>
                      </w:divBdr>
                    </w:div>
                  </w:divsChild>
                </w:div>
                <w:div w:id="1671827738">
                  <w:marLeft w:val="0"/>
                  <w:marRight w:val="0"/>
                  <w:marTop w:val="0"/>
                  <w:marBottom w:val="0"/>
                  <w:divBdr>
                    <w:top w:val="none" w:sz="0" w:space="0" w:color="auto"/>
                    <w:left w:val="none" w:sz="0" w:space="0" w:color="auto"/>
                    <w:bottom w:val="none" w:sz="0" w:space="0" w:color="auto"/>
                    <w:right w:val="none" w:sz="0" w:space="0" w:color="auto"/>
                  </w:divBdr>
                  <w:divsChild>
                    <w:div w:id="864444972">
                      <w:marLeft w:val="0"/>
                      <w:marRight w:val="0"/>
                      <w:marTop w:val="0"/>
                      <w:marBottom w:val="0"/>
                      <w:divBdr>
                        <w:top w:val="none" w:sz="0" w:space="0" w:color="auto"/>
                        <w:left w:val="none" w:sz="0" w:space="0" w:color="auto"/>
                        <w:bottom w:val="none" w:sz="0" w:space="0" w:color="auto"/>
                        <w:right w:val="none" w:sz="0" w:space="0" w:color="auto"/>
                      </w:divBdr>
                    </w:div>
                  </w:divsChild>
                </w:div>
                <w:div w:id="1685933173">
                  <w:marLeft w:val="0"/>
                  <w:marRight w:val="0"/>
                  <w:marTop w:val="0"/>
                  <w:marBottom w:val="0"/>
                  <w:divBdr>
                    <w:top w:val="none" w:sz="0" w:space="0" w:color="auto"/>
                    <w:left w:val="none" w:sz="0" w:space="0" w:color="auto"/>
                    <w:bottom w:val="none" w:sz="0" w:space="0" w:color="auto"/>
                    <w:right w:val="none" w:sz="0" w:space="0" w:color="auto"/>
                  </w:divBdr>
                  <w:divsChild>
                    <w:div w:id="607933565">
                      <w:marLeft w:val="0"/>
                      <w:marRight w:val="0"/>
                      <w:marTop w:val="0"/>
                      <w:marBottom w:val="0"/>
                      <w:divBdr>
                        <w:top w:val="none" w:sz="0" w:space="0" w:color="auto"/>
                        <w:left w:val="none" w:sz="0" w:space="0" w:color="auto"/>
                        <w:bottom w:val="none" w:sz="0" w:space="0" w:color="auto"/>
                        <w:right w:val="none" w:sz="0" w:space="0" w:color="auto"/>
                      </w:divBdr>
                    </w:div>
                  </w:divsChild>
                </w:div>
                <w:div w:id="1726223653">
                  <w:marLeft w:val="0"/>
                  <w:marRight w:val="0"/>
                  <w:marTop w:val="0"/>
                  <w:marBottom w:val="0"/>
                  <w:divBdr>
                    <w:top w:val="none" w:sz="0" w:space="0" w:color="auto"/>
                    <w:left w:val="none" w:sz="0" w:space="0" w:color="auto"/>
                    <w:bottom w:val="none" w:sz="0" w:space="0" w:color="auto"/>
                    <w:right w:val="none" w:sz="0" w:space="0" w:color="auto"/>
                  </w:divBdr>
                  <w:divsChild>
                    <w:div w:id="2042894871">
                      <w:marLeft w:val="0"/>
                      <w:marRight w:val="0"/>
                      <w:marTop w:val="0"/>
                      <w:marBottom w:val="0"/>
                      <w:divBdr>
                        <w:top w:val="none" w:sz="0" w:space="0" w:color="auto"/>
                        <w:left w:val="none" w:sz="0" w:space="0" w:color="auto"/>
                        <w:bottom w:val="none" w:sz="0" w:space="0" w:color="auto"/>
                        <w:right w:val="none" w:sz="0" w:space="0" w:color="auto"/>
                      </w:divBdr>
                    </w:div>
                  </w:divsChild>
                </w:div>
                <w:div w:id="1754547411">
                  <w:marLeft w:val="0"/>
                  <w:marRight w:val="0"/>
                  <w:marTop w:val="0"/>
                  <w:marBottom w:val="0"/>
                  <w:divBdr>
                    <w:top w:val="none" w:sz="0" w:space="0" w:color="auto"/>
                    <w:left w:val="none" w:sz="0" w:space="0" w:color="auto"/>
                    <w:bottom w:val="none" w:sz="0" w:space="0" w:color="auto"/>
                    <w:right w:val="none" w:sz="0" w:space="0" w:color="auto"/>
                  </w:divBdr>
                  <w:divsChild>
                    <w:div w:id="74476017">
                      <w:marLeft w:val="0"/>
                      <w:marRight w:val="0"/>
                      <w:marTop w:val="0"/>
                      <w:marBottom w:val="0"/>
                      <w:divBdr>
                        <w:top w:val="none" w:sz="0" w:space="0" w:color="auto"/>
                        <w:left w:val="none" w:sz="0" w:space="0" w:color="auto"/>
                        <w:bottom w:val="none" w:sz="0" w:space="0" w:color="auto"/>
                        <w:right w:val="none" w:sz="0" w:space="0" w:color="auto"/>
                      </w:divBdr>
                    </w:div>
                  </w:divsChild>
                </w:div>
                <w:div w:id="1757898258">
                  <w:marLeft w:val="0"/>
                  <w:marRight w:val="0"/>
                  <w:marTop w:val="0"/>
                  <w:marBottom w:val="0"/>
                  <w:divBdr>
                    <w:top w:val="none" w:sz="0" w:space="0" w:color="auto"/>
                    <w:left w:val="none" w:sz="0" w:space="0" w:color="auto"/>
                    <w:bottom w:val="none" w:sz="0" w:space="0" w:color="auto"/>
                    <w:right w:val="none" w:sz="0" w:space="0" w:color="auto"/>
                  </w:divBdr>
                  <w:divsChild>
                    <w:div w:id="830221698">
                      <w:marLeft w:val="0"/>
                      <w:marRight w:val="0"/>
                      <w:marTop w:val="0"/>
                      <w:marBottom w:val="0"/>
                      <w:divBdr>
                        <w:top w:val="none" w:sz="0" w:space="0" w:color="auto"/>
                        <w:left w:val="none" w:sz="0" w:space="0" w:color="auto"/>
                        <w:bottom w:val="none" w:sz="0" w:space="0" w:color="auto"/>
                        <w:right w:val="none" w:sz="0" w:space="0" w:color="auto"/>
                      </w:divBdr>
                    </w:div>
                  </w:divsChild>
                </w:div>
                <w:div w:id="1779175315">
                  <w:marLeft w:val="0"/>
                  <w:marRight w:val="0"/>
                  <w:marTop w:val="0"/>
                  <w:marBottom w:val="0"/>
                  <w:divBdr>
                    <w:top w:val="none" w:sz="0" w:space="0" w:color="auto"/>
                    <w:left w:val="none" w:sz="0" w:space="0" w:color="auto"/>
                    <w:bottom w:val="none" w:sz="0" w:space="0" w:color="auto"/>
                    <w:right w:val="none" w:sz="0" w:space="0" w:color="auto"/>
                  </w:divBdr>
                  <w:divsChild>
                    <w:div w:id="730271794">
                      <w:marLeft w:val="0"/>
                      <w:marRight w:val="0"/>
                      <w:marTop w:val="0"/>
                      <w:marBottom w:val="0"/>
                      <w:divBdr>
                        <w:top w:val="none" w:sz="0" w:space="0" w:color="auto"/>
                        <w:left w:val="none" w:sz="0" w:space="0" w:color="auto"/>
                        <w:bottom w:val="none" w:sz="0" w:space="0" w:color="auto"/>
                        <w:right w:val="none" w:sz="0" w:space="0" w:color="auto"/>
                      </w:divBdr>
                    </w:div>
                  </w:divsChild>
                </w:div>
                <w:div w:id="1805613006">
                  <w:marLeft w:val="0"/>
                  <w:marRight w:val="0"/>
                  <w:marTop w:val="0"/>
                  <w:marBottom w:val="0"/>
                  <w:divBdr>
                    <w:top w:val="none" w:sz="0" w:space="0" w:color="auto"/>
                    <w:left w:val="none" w:sz="0" w:space="0" w:color="auto"/>
                    <w:bottom w:val="none" w:sz="0" w:space="0" w:color="auto"/>
                    <w:right w:val="none" w:sz="0" w:space="0" w:color="auto"/>
                  </w:divBdr>
                  <w:divsChild>
                    <w:div w:id="1452553189">
                      <w:marLeft w:val="0"/>
                      <w:marRight w:val="0"/>
                      <w:marTop w:val="0"/>
                      <w:marBottom w:val="0"/>
                      <w:divBdr>
                        <w:top w:val="none" w:sz="0" w:space="0" w:color="auto"/>
                        <w:left w:val="none" w:sz="0" w:space="0" w:color="auto"/>
                        <w:bottom w:val="none" w:sz="0" w:space="0" w:color="auto"/>
                        <w:right w:val="none" w:sz="0" w:space="0" w:color="auto"/>
                      </w:divBdr>
                    </w:div>
                  </w:divsChild>
                </w:div>
                <w:div w:id="1867207068">
                  <w:marLeft w:val="0"/>
                  <w:marRight w:val="0"/>
                  <w:marTop w:val="0"/>
                  <w:marBottom w:val="0"/>
                  <w:divBdr>
                    <w:top w:val="none" w:sz="0" w:space="0" w:color="auto"/>
                    <w:left w:val="none" w:sz="0" w:space="0" w:color="auto"/>
                    <w:bottom w:val="none" w:sz="0" w:space="0" w:color="auto"/>
                    <w:right w:val="none" w:sz="0" w:space="0" w:color="auto"/>
                  </w:divBdr>
                  <w:divsChild>
                    <w:div w:id="1276326945">
                      <w:marLeft w:val="0"/>
                      <w:marRight w:val="0"/>
                      <w:marTop w:val="0"/>
                      <w:marBottom w:val="0"/>
                      <w:divBdr>
                        <w:top w:val="none" w:sz="0" w:space="0" w:color="auto"/>
                        <w:left w:val="none" w:sz="0" w:space="0" w:color="auto"/>
                        <w:bottom w:val="none" w:sz="0" w:space="0" w:color="auto"/>
                        <w:right w:val="none" w:sz="0" w:space="0" w:color="auto"/>
                      </w:divBdr>
                    </w:div>
                  </w:divsChild>
                </w:div>
                <w:div w:id="1879194009">
                  <w:marLeft w:val="0"/>
                  <w:marRight w:val="0"/>
                  <w:marTop w:val="0"/>
                  <w:marBottom w:val="0"/>
                  <w:divBdr>
                    <w:top w:val="none" w:sz="0" w:space="0" w:color="auto"/>
                    <w:left w:val="none" w:sz="0" w:space="0" w:color="auto"/>
                    <w:bottom w:val="none" w:sz="0" w:space="0" w:color="auto"/>
                    <w:right w:val="none" w:sz="0" w:space="0" w:color="auto"/>
                  </w:divBdr>
                  <w:divsChild>
                    <w:div w:id="204753111">
                      <w:marLeft w:val="0"/>
                      <w:marRight w:val="0"/>
                      <w:marTop w:val="0"/>
                      <w:marBottom w:val="0"/>
                      <w:divBdr>
                        <w:top w:val="none" w:sz="0" w:space="0" w:color="auto"/>
                        <w:left w:val="none" w:sz="0" w:space="0" w:color="auto"/>
                        <w:bottom w:val="none" w:sz="0" w:space="0" w:color="auto"/>
                        <w:right w:val="none" w:sz="0" w:space="0" w:color="auto"/>
                      </w:divBdr>
                    </w:div>
                  </w:divsChild>
                </w:div>
                <w:div w:id="1913000672">
                  <w:marLeft w:val="0"/>
                  <w:marRight w:val="0"/>
                  <w:marTop w:val="0"/>
                  <w:marBottom w:val="0"/>
                  <w:divBdr>
                    <w:top w:val="none" w:sz="0" w:space="0" w:color="auto"/>
                    <w:left w:val="none" w:sz="0" w:space="0" w:color="auto"/>
                    <w:bottom w:val="none" w:sz="0" w:space="0" w:color="auto"/>
                    <w:right w:val="none" w:sz="0" w:space="0" w:color="auto"/>
                  </w:divBdr>
                  <w:divsChild>
                    <w:div w:id="1461416407">
                      <w:marLeft w:val="0"/>
                      <w:marRight w:val="0"/>
                      <w:marTop w:val="0"/>
                      <w:marBottom w:val="0"/>
                      <w:divBdr>
                        <w:top w:val="none" w:sz="0" w:space="0" w:color="auto"/>
                        <w:left w:val="none" w:sz="0" w:space="0" w:color="auto"/>
                        <w:bottom w:val="none" w:sz="0" w:space="0" w:color="auto"/>
                        <w:right w:val="none" w:sz="0" w:space="0" w:color="auto"/>
                      </w:divBdr>
                    </w:div>
                  </w:divsChild>
                </w:div>
                <w:div w:id="1984657138">
                  <w:marLeft w:val="0"/>
                  <w:marRight w:val="0"/>
                  <w:marTop w:val="0"/>
                  <w:marBottom w:val="0"/>
                  <w:divBdr>
                    <w:top w:val="none" w:sz="0" w:space="0" w:color="auto"/>
                    <w:left w:val="none" w:sz="0" w:space="0" w:color="auto"/>
                    <w:bottom w:val="none" w:sz="0" w:space="0" w:color="auto"/>
                    <w:right w:val="none" w:sz="0" w:space="0" w:color="auto"/>
                  </w:divBdr>
                  <w:divsChild>
                    <w:div w:id="595216866">
                      <w:marLeft w:val="0"/>
                      <w:marRight w:val="0"/>
                      <w:marTop w:val="0"/>
                      <w:marBottom w:val="0"/>
                      <w:divBdr>
                        <w:top w:val="none" w:sz="0" w:space="0" w:color="auto"/>
                        <w:left w:val="none" w:sz="0" w:space="0" w:color="auto"/>
                        <w:bottom w:val="none" w:sz="0" w:space="0" w:color="auto"/>
                        <w:right w:val="none" w:sz="0" w:space="0" w:color="auto"/>
                      </w:divBdr>
                    </w:div>
                  </w:divsChild>
                </w:div>
                <w:div w:id="1986809482">
                  <w:marLeft w:val="0"/>
                  <w:marRight w:val="0"/>
                  <w:marTop w:val="0"/>
                  <w:marBottom w:val="0"/>
                  <w:divBdr>
                    <w:top w:val="none" w:sz="0" w:space="0" w:color="auto"/>
                    <w:left w:val="none" w:sz="0" w:space="0" w:color="auto"/>
                    <w:bottom w:val="none" w:sz="0" w:space="0" w:color="auto"/>
                    <w:right w:val="none" w:sz="0" w:space="0" w:color="auto"/>
                  </w:divBdr>
                  <w:divsChild>
                    <w:div w:id="677199089">
                      <w:marLeft w:val="0"/>
                      <w:marRight w:val="0"/>
                      <w:marTop w:val="0"/>
                      <w:marBottom w:val="0"/>
                      <w:divBdr>
                        <w:top w:val="none" w:sz="0" w:space="0" w:color="auto"/>
                        <w:left w:val="none" w:sz="0" w:space="0" w:color="auto"/>
                        <w:bottom w:val="none" w:sz="0" w:space="0" w:color="auto"/>
                        <w:right w:val="none" w:sz="0" w:space="0" w:color="auto"/>
                      </w:divBdr>
                    </w:div>
                  </w:divsChild>
                </w:div>
                <w:div w:id="1995181212">
                  <w:marLeft w:val="0"/>
                  <w:marRight w:val="0"/>
                  <w:marTop w:val="0"/>
                  <w:marBottom w:val="0"/>
                  <w:divBdr>
                    <w:top w:val="none" w:sz="0" w:space="0" w:color="auto"/>
                    <w:left w:val="none" w:sz="0" w:space="0" w:color="auto"/>
                    <w:bottom w:val="none" w:sz="0" w:space="0" w:color="auto"/>
                    <w:right w:val="none" w:sz="0" w:space="0" w:color="auto"/>
                  </w:divBdr>
                  <w:divsChild>
                    <w:div w:id="145977498">
                      <w:marLeft w:val="0"/>
                      <w:marRight w:val="0"/>
                      <w:marTop w:val="0"/>
                      <w:marBottom w:val="0"/>
                      <w:divBdr>
                        <w:top w:val="none" w:sz="0" w:space="0" w:color="auto"/>
                        <w:left w:val="none" w:sz="0" w:space="0" w:color="auto"/>
                        <w:bottom w:val="none" w:sz="0" w:space="0" w:color="auto"/>
                        <w:right w:val="none" w:sz="0" w:space="0" w:color="auto"/>
                      </w:divBdr>
                    </w:div>
                  </w:divsChild>
                </w:div>
                <w:div w:id="2051301064">
                  <w:marLeft w:val="0"/>
                  <w:marRight w:val="0"/>
                  <w:marTop w:val="0"/>
                  <w:marBottom w:val="0"/>
                  <w:divBdr>
                    <w:top w:val="none" w:sz="0" w:space="0" w:color="auto"/>
                    <w:left w:val="none" w:sz="0" w:space="0" w:color="auto"/>
                    <w:bottom w:val="none" w:sz="0" w:space="0" w:color="auto"/>
                    <w:right w:val="none" w:sz="0" w:space="0" w:color="auto"/>
                  </w:divBdr>
                  <w:divsChild>
                    <w:div w:id="806822234">
                      <w:marLeft w:val="0"/>
                      <w:marRight w:val="0"/>
                      <w:marTop w:val="0"/>
                      <w:marBottom w:val="0"/>
                      <w:divBdr>
                        <w:top w:val="none" w:sz="0" w:space="0" w:color="auto"/>
                        <w:left w:val="none" w:sz="0" w:space="0" w:color="auto"/>
                        <w:bottom w:val="none" w:sz="0" w:space="0" w:color="auto"/>
                        <w:right w:val="none" w:sz="0" w:space="0" w:color="auto"/>
                      </w:divBdr>
                    </w:div>
                  </w:divsChild>
                </w:div>
                <w:div w:id="2058897609">
                  <w:marLeft w:val="0"/>
                  <w:marRight w:val="0"/>
                  <w:marTop w:val="0"/>
                  <w:marBottom w:val="0"/>
                  <w:divBdr>
                    <w:top w:val="none" w:sz="0" w:space="0" w:color="auto"/>
                    <w:left w:val="none" w:sz="0" w:space="0" w:color="auto"/>
                    <w:bottom w:val="none" w:sz="0" w:space="0" w:color="auto"/>
                    <w:right w:val="none" w:sz="0" w:space="0" w:color="auto"/>
                  </w:divBdr>
                  <w:divsChild>
                    <w:div w:id="1333531926">
                      <w:marLeft w:val="0"/>
                      <w:marRight w:val="0"/>
                      <w:marTop w:val="0"/>
                      <w:marBottom w:val="0"/>
                      <w:divBdr>
                        <w:top w:val="none" w:sz="0" w:space="0" w:color="auto"/>
                        <w:left w:val="none" w:sz="0" w:space="0" w:color="auto"/>
                        <w:bottom w:val="none" w:sz="0" w:space="0" w:color="auto"/>
                        <w:right w:val="none" w:sz="0" w:space="0" w:color="auto"/>
                      </w:divBdr>
                    </w:div>
                  </w:divsChild>
                </w:div>
                <w:div w:id="2097820885">
                  <w:marLeft w:val="0"/>
                  <w:marRight w:val="0"/>
                  <w:marTop w:val="0"/>
                  <w:marBottom w:val="0"/>
                  <w:divBdr>
                    <w:top w:val="none" w:sz="0" w:space="0" w:color="auto"/>
                    <w:left w:val="none" w:sz="0" w:space="0" w:color="auto"/>
                    <w:bottom w:val="none" w:sz="0" w:space="0" w:color="auto"/>
                    <w:right w:val="none" w:sz="0" w:space="0" w:color="auto"/>
                  </w:divBdr>
                  <w:divsChild>
                    <w:div w:id="1121874772">
                      <w:marLeft w:val="0"/>
                      <w:marRight w:val="0"/>
                      <w:marTop w:val="0"/>
                      <w:marBottom w:val="0"/>
                      <w:divBdr>
                        <w:top w:val="none" w:sz="0" w:space="0" w:color="auto"/>
                        <w:left w:val="none" w:sz="0" w:space="0" w:color="auto"/>
                        <w:bottom w:val="none" w:sz="0" w:space="0" w:color="auto"/>
                        <w:right w:val="none" w:sz="0" w:space="0" w:color="auto"/>
                      </w:divBdr>
                    </w:div>
                  </w:divsChild>
                </w:div>
                <w:div w:id="2100369808">
                  <w:marLeft w:val="0"/>
                  <w:marRight w:val="0"/>
                  <w:marTop w:val="0"/>
                  <w:marBottom w:val="0"/>
                  <w:divBdr>
                    <w:top w:val="none" w:sz="0" w:space="0" w:color="auto"/>
                    <w:left w:val="none" w:sz="0" w:space="0" w:color="auto"/>
                    <w:bottom w:val="none" w:sz="0" w:space="0" w:color="auto"/>
                    <w:right w:val="none" w:sz="0" w:space="0" w:color="auto"/>
                  </w:divBdr>
                  <w:divsChild>
                    <w:div w:id="667825516">
                      <w:marLeft w:val="0"/>
                      <w:marRight w:val="0"/>
                      <w:marTop w:val="0"/>
                      <w:marBottom w:val="0"/>
                      <w:divBdr>
                        <w:top w:val="none" w:sz="0" w:space="0" w:color="auto"/>
                        <w:left w:val="none" w:sz="0" w:space="0" w:color="auto"/>
                        <w:bottom w:val="none" w:sz="0" w:space="0" w:color="auto"/>
                        <w:right w:val="none" w:sz="0" w:space="0" w:color="auto"/>
                      </w:divBdr>
                    </w:div>
                  </w:divsChild>
                </w:div>
                <w:div w:id="2118137666">
                  <w:marLeft w:val="0"/>
                  <w:marRight w:val="0"/>
                  <w:marTop w:val="0"/>
                  <w:marBottom w:val="0"/>
                  <w:divBdr>
                    <w:top w:val="none" w:sz="0" w:space="0" w:color="auto"/>
                    <w:left w:val="none" w:sz="0" w:space="0" w:color="auto"/>
                    <w:bottom w:val="none" w:sz="0" w:space="0" w:color="auto"/>
                    <w:right w:val="none" w:sz="0" w:space="0" w:color="auto"/>
                  </w:divBdr>
                  <w:divsChild>
                    <w:div w:id="21216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150195">
          <w:marLeft w:val="0"/>
          <w:marRight w:val="0"/>
          <w:marTop w:val="0"/>
          <w:marBottom w:val="0"/>
          <w:divBdr>
            <w:top w:val="none" w:sz="0" w:space="0" w:color="auto"/>
            <w:left w:val="none" w:sz="0" w:space="0" w:color="auto"/>
            <w:bottom w:val="none" w:sz="0" w:space="0" w:color="auto"/>
            <w:right w:val="none" w:sz="0" w:space="0" w:color="auto"/>
          </w:divBdr>
        </w:div>
        <w:div w:id="502207431">
          <w:marLeft w:val="0"/>
          <w:marRight w:val="0"/>
          <w:marTop w:val="0"/>
          <w:marBottom w:val="0"/>
          <w:divBdr>
            <w:top w:val="none" w:sz="0" w:space="0" w:color="auto"/>
            <w:left w:val="none" w:sz="0" w:space="0" w:color="auto"/>
            <w:bottom w:val="none" w:sz="0" w:space="0" w:color="auto"/>
            <w:right w:val="none" w:sz="0" w:space="0" w:color="auto"/>
          </w:divBdr>
        </w:div>
        <w:div w:id="543712799">
          <w:marLeft w:val="0"/>
          <w:marRight w:val="0"/>
          <w:marTop w:val="0"/>
          <w:marBottom w:val="0"/>
          <w:divBdr>
            <w:top w:val="none" w:sz="0" w:space="0" w:color="auto"/>
            <w:left w:val="none" w:sz="0" w:space="0" w:color="auto"/>
            <w:bottom w:val="none" w:sz="0" w:space="0" w:color="auto"/>
            <w:right w:val="none" w:sz="0" w:space="0" w:color="auto"/>
          </w:divBdr>
        </w:div>
        <w:div w:id="544147454">
          <w:marLeft w:val="0"/>
          <w:marRight w:val="0"/>
          <w:marTop w:val="0"/>
          <w:marBottom w:val="0"/>
          <w:divBdr>
            <w:top w:val="none" w:sz="0" w:space="0" w:color="auto"/>
            <w:left w:val="none" w:sz="0" w:space="0" w:color="auto"/>
            <w:bottom w:val="none" w:sz="0" w:space="0" w:color="auto"/>
            <w:right w:val="none" w:sz="0" w:space="0" w:color="auto"/>
          </w:divBdr>
        </w:div>
        <w:div w:id="547961034">
          <w:marLeft w:val="0"/>
          <w:marRight w:val="0"/>
          <w:marTop w:val="0"/>
          <w:marBottom w:val="0"/>
          <w:divBdr>
            <w:top w:val="none" w:sz="0" w:space="0" w:color="auto"/>
            <w:left w:val="none" w:sz="0" w:space="0" w:color="auto"/>
            <w:bottom w:val="none" w:sz="0" w:space="0" w:color="auto"/>
            <w:right w:val="none" w:sz="0" w:space="0" w:color="auto"/>
          </w:divBdr>
        </w:div>
        <w:div w:id="588857262">
          <w:marLeft w:val="0"/>
          <w:marRight w:val="0"/>
          <w:marTop w:val="0"/>
          <w:marBottom w:val="0"/>
          <w:divBdr>
            <w:top w:val="none" w:sz="0" w:space="0" w:color="auto"/>
            <w:left w:val="none" w:sz="0" w:space="0" w:color="auto"/>
            <w:bottom w:val="none" w:sz="0" w:space="0" w:color="auto"/>
            <w:right w:val="none" w:sz="0" w:space="0" w:color="auto"/>
          </w:divBdr>
        </w:div>
        <w:div w:id="627205735">
          <w:marLeft w:val="0"/>
          <w:marRight w:val="0"/>
          <w:marTop w:val="0"/>
          <w:marBottom w:val="0"/>
          <w:divBdr>
            <w:top w:val="none" w:sz="0" w:space="0" w:color="auto"/>
            <w:left w:val="none" w:sz="0" w:space="0" w:color="auto"/>
            <w:bottom w:val="none" w:sz="0" w:space="0" w:color="auto"/>
            <w:right w:val="none" w:sz="0" w:space="0" w:color="auto"/>
          </w:divBdr>
        </w:div>
        <w:div w:id="634945306">
          <w:marLeft w:val="0"/>
          <w:marRight w:val="0"/>
          <w:marTop w:val="0"/>
          <w:marBottom w:val="0"/>
          <w:divBdr>
            <w:top w:val="none" w:sz="0" w:space="0" w:color="auto"/>
            <w:left w:val="none" w:sz="0" w:space="0" w:color="auto"/>
            <w:bottom w:val="none" w:sz="0" w:space="0" w:color="auto"/>
            <w:right w:val="none" w:sz="0" w:space="0" w:color="auto"/>
          </w:divBdr>
        </w:div>
        <w:div w:id="676807965">
          <w:marLeft w:val="0"/>
          <w:marRight w:val="0"/>
          <w:marTop w:val="0"/>
          <w:marBottom w:val="0"/>
          <w:divBdr>
            <w:top w:val="none" w:sz="0" w:space="0" w:color="auto"/>
            <w:left w:val="none" w:sz="0" w:space="0" w:color="auto"/>
            <w:bottom w:val="none" w:sz="0" w:space="0" w:color="auto"/>
            <w:right w:val="none" w:sz="0" w:space="0" w:color="auto"/>
          </w:divBdr>
        </w:div>
        <w:div w:id="693963979">
          <w:marLeft w:val="0"/>
          <w:marRight w:val="0"/>
          <w:marTop w:val="0"/>
          <w:marBottom w:val="0"/>
          <w:divBdr>
            <w:top w:val="none" w:sz="0" w:space="0" w:color="auto"/>
            <w:left w:val="none" w:sz="0" w:space="0" w:color="auto"/>
            <w:bottom w:val="none" w:sz="0" w:space="0" w:color="auto"/>
            <w:right w:val="none" w:sz="0" w:space="0" w:color="auto"/>
          </w:divBdr>
        </w:div>
        <w:div w:id="708653160">
          <w:marLeft w:val="0"/>
          <w:marRight w:val="0"/>
          <w:marTop w:val="0"/>
          <w:marBottom w:val="0"/>
          <w:divBdr>
            <w:top w:val="none" w:sz="0" w:space="0" w:color="auto"/>
            <w:left w:val="none" w:sz="0" w:space="0" w:color="auto"/>
            <w:bottom w:val="none" w:sz="0" w:space="0" w:color="auto"/>
            <w:right w:val="none" w:sz="0" w:space="0" w:color="auto"/>
          </w:divBdr>
        </w:div>
        <w:div w:id="733743086">
          <w:marLeft w:val="0"/>
          <w:marRight w:val="0"/>
          <w:marTop w:val="0"/>
          <w:marBottom w:val="0"/>
          <w:divBdr>
            <w:top w:val="none" w:sz="0" w:space="0" w:color="auto"/>
            <w:left w:val="none" w:sz="0" w:space="0" w:color="auto"/>
            <w:bottom w:val="none" w:sz="0" w:space="0" w:color="auto"/>
            <w:right w:val="none" w:sz="0" w:space="0" w:color="auto"/>
          </w:divBdr>
        </w:div>
        <w:div w:id="766968239">
          <w:marLeft w:val="0"/>
          <w:marRight w:val="0"/>
          <w:marTop w:val="0"/>
          <w:marBottom w:val="0"/>
          <w:divBdr>
            <w:top w:val="none" w:sz="0" w:space="0" w:color="auto"/>
            <w:left w:val="none" w:sz="0" w:space="0" w:color="auto"/>
            <w:bottom w:val="none" w:sz="0" w:space="0" w:color="auto"/>
            <w:right w:val="none" w:sz="0" w:space="0" w:color="auto"/>
          </w:divBdr>
        </w:div>
        <w:div w:id="801311320">
          <w:marLeft w:val="0"/>
          <w:marRight w:val="0"/>
          <w:marTop w:val="0"/>
          <w:marBottom w:val="0"/>
          <w:divBdr>
            <w:top w:val="none" w:sz="0" w:space="0" w:color="auto"/>
            <w:left w:val="none" w:sz="0" w:space="0" w:color="auto"/>
            <w:bottom w:val="none" w:sz="0" w:space="0" w:color="auto"/>
            <w:right w:val="none" w:sz="0" w:space="0" w:color="auto"/>
          </w:divBdr>
        </w:div>
        <w:div w:id="827478302">
          <w:marLeft w:val="0"/>
          <w:marRight w:val="0"/>
          <w:marTop w:val="0"/>
          <w:marBottom w:val="0"/>
          <w:divBdr>
            <w:top w:val="none" w:sz="0" w:space="0" w:color="auto"/>
            <w:left w:val="none" w:sz="0" w:space="0" w:color="auto"/>
            <w:bottom w:val="none" w:sz="0" w:space="0" w:color="auto"/>
            <w:right w:val="none" w:sz="0" w:space="0" w:color="auto"/>
          </w:divBdr>
          <w:divsChild>
            <w:div w:id="81683224">
              <w:marLeft w:val="0"/>
              <w:marRight w:val="0"/>
              <w:marTop w:val="0"/>
              <w:marBottom w:val="0"/>
              <w:divBdr>
                <w:top w:val="none" w:sz="0" w:space="0" w:color="auto"/>
                <w:left w:val="none" w:sz="0" w:space="0" w:color="auto"/>
                <w:bottom w:val="none" w:sz="0" w:space="0" w:color="auto"/>
                <w:right w:val="none" w:sz="0" w:space="0" w:color="auto"/>
              </w:divBdr>
            </w:div>
            <w:div w:id="468665497">
              <w:marLeft w:val="0"/>
              <w:marRight w:val="0"/>
              <w:marTop w:val="0"/>
              <w:marBottom w:val="0"/>
              <w:divBdr>
                <w:top w:val="none" w:sz="0" w:space="0" w:color="auto"/>
                <w:left w:val="none" w:sz="0" w:space="0" w:color="auto"/>
                <w:bottom w:val="none" w:sz="0" w:space="0" w:color="auto"/>
                <w:right w:val="none" w:sz="0" w:space="0" w:color="auto"/>
              </w:divBdr>
            </w:div>
            <w:div w:id="765002010">
              <w:marLeft w:val="0"/>
              <w:marRight w:val="0"/>
              <w:marTop w:val="0"/>
              <w:marBottom w:val="0"/>
              <w:divBdr>
                <w:top w:val="none" w:sz="0" w:space="0" w:color="auto"/>
                <w:left w:val="none" w:sz="0" w:space="0" w:color="auto"/>
                <w:bottom w:val="none" w:sz="0" w:space="0" w:color="auto"/>
                <w:right w:val="none" w:sz="0" w:space="0" w:color="auto"/>
              </w:divBdr>
            </w:div>
            <w:div w:id="877931731">
              <w:marLeft w:val="0"/>
              <w:marRight w:val="0"/>
              <w:marTop w:val="0"/>
              <w:marBottom w:val="0"/>
              <w:divBdr>
                <w:top w:val="none" w:sz="0" w:space="0" w:color="auto"/>
                <w:left w:val="none" w:sz="0" w:space="0" w:color="auto"/>
                <w:bottom w:val="none" w:sz="0" w:space="0" w:color="auto"/>
                <w:right w:val="none" w:sz="0" w:space="0" w:color="auto"/>
              </w:divBdr>
            </w:div>
            <w:div w:id="900824001">
              <w:marLeft w:val="0"/>
              <w:marRight w:val="0"/>
              <w:marTop w:val="0"/>
              <w:marBottom w:val="0"/>
              <w:divBdr>
                <w:top w:val="none" w:sz="0" w:space="0" w:color="auto"/>
                <w:left w:val="none" w:sz="0" w:space="0" w:color="auto"/>
                <w:bottom w:val="none" w:sz="0" w:space="0" w:color="auto"/>
                <w:right w:val="none" w:sz="0" w:space="0" w:color="auto"/>
              </w:divBdr>
            </w:div>
            <w:div w:id="986133059">
              <w:marLeft w:val="0"/>
              <w:marRight w:val="0"/>
              <w:marTop w:val="0"/>
              <w:marBottom w:val="0"/>
              <w:divBdr>
                <w:top w:val="none" w:sz="0" w:space="0" w:color="auto"/>
                <w:left w:val="none" w:sz="0" w:space="0" w:color="auto"/>
                <w:bottom w:val="none" w:sz="0" w:space="0" w:color="auto"/>
                <w:right w:val="none" w:sz="0" w:space="0" w:color="auto"/>
              </w:divBdr>
            </w:div>
            <w:div w:id="1060833062">
              <w:marLeft w:val="0"/>
              <w:marRight w:val="0"/>
              <w:marTop w:val="0"/>
              <w:marBottom w:val="0"/>
              <w:divBdr>
                <w:top w:val="none" w:sz="0" w:space="0" w:color="auto"/>
                <w:left w:val="none" w:sz="0" w:space="0" w:color="auto"/>
                <w:bottom w:val="none" w:sz="0" w:space="0" w:color="auto"/>
                <w:right w:val="none" w:sz="0" w:space="0" w:color="auto"/>
              </w:divBdr>
            </w:div>
            <w:div w:id="1139612135">
              <w:marLeft w:val="0"/>
              <w:marRight w:val="0"/>
              <w:marTop w:val="0"/>
              <w:marBottom w:val="0"/>
              <w:divBdr>
                <w:top w:val="none" w:sz="0" w:space="0" w:color="auto"/>
                <w:left w:val="none" w:sz="0" w:space="0" w:color="auto"/>
                <w:bottom w:val="none" w:sz="0" w:space="0" w:color="auto"/>
                <w:right w:val="none" w:sz="0" w:space="0" w:color="auto"/>
              </w:divBdr>
            </w:div>
            <w:div w:id="1164783079">
              <w:marLeft w:val="0"/>
              <w:marRight w:val="0"/>
              <w:marTop w:val="0"/>
              <w:marBottom w:val="0"/>
              <w:divBdr>
                <w:top w:val="none" w:sz="0" w:space="0" w:color="auto"/>
                <w:left w:val="none" w:sz="0" w:space="0" w:color="auto"/>
                <w:bottom w:val="none" w:sz="0" w:space="0" w:color="auto"/>
                <w:right w:val="none" w:sz="0" w:space="0" w:color="auto"/>
              </w:divBdr>
            </w:div>
            <w:div w:id="1255556957">
              <w:marLeft w:val="0"/>
              <w:marRight w:val="0"/>
              <w:marTop w:val="0"/>
              <w:marBottom w:val="0"/>
              <w:divBdr>
                <w:top w:val="none" w:sz="0" w:space="0" w:color="auto"/>
                <w:left w:val="none" w:sz="0" w:space="0" w:color="auto"/>
                <w:bottom w:val="none" w:sz="0" w:space="0" w:color="auto"/>
                <w:right w:val="none" w:sz="0" w:space="0" w:color="auto"/>
              </w:divBdr>
            </w:div>
            <w:div w:id="1298485842">
              <w:marLeft w:val="0"/>
              <w:marRight w:val="0"/>
              <w:marTop w:val="0"/>
              <w:marBottom w:val="0"/>
              <w:divBdr>
                <w:top w:val="none" w:sz="0" w:space="0" w:color="auto"/>
                <w:left w:val="none" w:sz="0" w:space="0" w:color="auto"/>
                <w:bottom w:val="none" w:sz="0" w:space="0" w:color="auto"/>
                <w:right w:val="none" w:sz="0" w:space="0" w:color="auto"/>
              </w:divBdr>
            </w:div>
            <w:div w:id="1467502930">
              <w:marLeft w:val="0"/>
              <w:marRight w:val="0"/>
              <w:marTop w:val="0"/>
              <w:marBottom w:val="0"/>
              <w:divBdr>
                <w:top w:val="none" w:sz="0" w:space="0" w:color="auto"/>
                <w:left w:val="none" w:sz="0" w:space="0" w:color="auto"/>
                <w:bottom w:val="none" w:sz="0" w:space="0" w:color="auto"/>
                <w:right w:val="none" w:sz="0" w:space="0" w:color="auto"/>
              </w:divBdr>
            </w:div>
            <w:div w:id="1492871087">
              <w:marLeft w:val="0"/>
              <w:marRight w:val="0"/>
              <w:marTop w:val="0"/>
              <w:marBottom w:val="0"/>
              <w:divBdr>
                <w:top w:val="none" w:sz="0" w:space="0" w:color="auto"/>
                <w:left w:val="none" w:sz="0" w:space="0" w:color="auto"/>
                <w:bottom w:val="none" w:sz="0" w:space="0" w:color="auto"/>
                <w:right w:val="none" w:sz="0" w:space="0" w:color="auto"/>
              </w:divBdr>
            </w:div>
            <w:div w:id="1680884021">
              <w:marLeft w:val="0"/>
              <w:marRight w:val="0"/>
              <w:marTop w:val="0"/>
              <w:marBottom w:val="0"/>
              <w:divBdr>
                <w:top w:val="none" w:sz="0" w:space="0" w:color="auto"/>
                <w:left w:val="none" w:sz="0" w:space="0" w:color="auto"/>
                <w:bottom w:val="none" w:sz="0" w:space="0" w:color="auto"/>
                <w:right w:val="none" w:sz="0" w:space="0" w:color="auto"/>
              </w:divBdr>
            </w:div>
            <w:div w:id="1966157115">
              <w:marLeft w:val="0"/>
              <w:marRight w:val="0"/>
              <w:marTop w:val="0"/>
              <w:marBottom w:val="0"/>
              <w:divBdr>
                <w:top w:val="none" w:sz="0" w:space="0" w:color="auto"/>
                <w:left w:val="none" w:sz="0" w:space="0" w:color="auto"/>
                <w:bottom w:val="none" w:sz="0" w:space="0" w:color="auto"/>
                <w:right w:val="none" w:sz="0" w:space="0" w:color="auto"/>
              </w:divBdr>
            </w:div>
          </w:divsChild>
        </w:div>
        <w:div w:id="958419661">
          <w:marLeft w:val="0"/>
          <w:marRight w:val="0"/>
          <w:marTop w:val="0"/>
          <w:marBottom w:val="0"/>
          <w:divBdr>
            <w:top w:val="none" w:sz="0" w:space="0" w:color="auto"/>
            <w:left w:val="none" w:sz="0" w:space="0" w:color="auto"/>
            <w:bottom w:val="none" w:sz="0" w:space="0" w:color="auto"/>
            <w:right w:val="none" w:sz="0" w:space="0" w:color="auto"/>
          </w:divBdr>
        </w:div>
        <w:div w:id="959339643">
          <w:marLeft w:val="0"/>
          <w:marRight w:val="0"/>
          <w:marTop w:val="0"/>
          <w:marBottom w:val="0"/>
          <w:divBdr>
            <w:top w:val="none" w:sz="0" w:space="0" w:color="auto"/>
            <w:left w:val="none" w:sz="0" w:space="0" w:color="auto"/>
            <w:bottom w:val="none" w:sz="0" w:space="0" w:color="auto"/>
            <w:right w:val="none" w:sz="0" w:space="0" w:color="auto"/>
          </w:divBdr>
        </w:div>
        <w:div w:id="985090049">
          <w:marLeft w:val="0"/>
          <w:marRight w:val="0"/>
          <w:marTop w:val="0"/>
          <w:marBottom w:val="0"/>
          <w:divBdr>
            <w:top w:val="none" w:sz="0" w:space="0" w:color="auto"/>
            <w:left w:val="none" w:sz="0" w:space="0" w:color="auto"/>
            <w:bottom w:val="none" w:sz="0" w:space="0" w:color="auto"/>
            <w:right w:val="none" w:sz="0" w:space="0" w:color="auto"/>
          </w:divBdr>
        </w:div>
        <w:div w:id="1036349074">
          <w:marLeft w:val="0"/>
          <w:marRight w:val="0"/>
          <w:marTop w:val="0"/>
          <w:marBottom w:val="0"/>
          <w:divBdr>
            <w:top w:val="none" w:sz="0" w:space="0" w:color="auto"/>
            <w:left w:val="none" w:sz="0" w:space="0" w:color="auto"/>
            <w:bottom w:val="none" w:sz="0" w:space="0" w:color="auto"/>
            <w:right w:val="none" w:sz="0" w:space="0" w:color="auto"/>
          </w:divBdr>
        </w:div>
        <w:div w:id="1041856698">
          <w:marLeft w:val="0"/>
          <w:marRight w:val="0"/>
          <w:marTop w:val="0"/>
          <w:marBottom w:val="0"/>
          <w:divBdr>
            <w:top w:val="none" w:sz="0" w:space="0" w:color="auto"/>
            <w:left w:val="none" w:sz="0" w:space="0" w:color="auto"/>
            <w:bottom w:val="none" w:sz="0" w:space="0" w:color="auto"/>
            <w:right w:val="none" w:sz="0" w:space="0" w:color="auto"/>
          </w:divBdr>
          <w:divsChild>
            <w:div w:id="141125181">
              <w:marLeft w:val="0"/>
              <w:marRight w:val="0"/>
              <w:marTop w:val="0"/>
              <w:marBottom w:val="0"/>
              <w:divBdr>
                <w:top w:val="none" w:sz="0" w:space="0" w:color="auto"/>
                <w:left w:val="none" w:sz="0" w:space="0" w:color="auto"/>
                <w:bottom w:val="none" w:sz="0" w:space="0" w:color="auto"/>
                <w:right w:val="none" w:sz="0" w:space="0" w:color="auto"/>
              </w:divBdr>
            </w:div>
            <w:div w:id="422801325">
              <w:marLeft w:val="0"/>
              <w:marRight w:val="0"/>
              <w:marTop w:val="0"/>
              <w:marBottom w:val="0"/>
              <w:divBdr>
                <w:top w:val="none" w:sz="0" w:space="0" w:color="auto"/>
                <w:left w:val="none" w:sz="0" w:space="0" w:color="auto"/>
                <w:bottom w:val="none" w:sz="0" w:space="0" w:color="auto"/>
                <w:right w:val="none" w:sz="0" w:space="0" w:color="auto"/>
              </w:divBdr>
            </w:div>
            <w:div w:id="505826607">
              <w:marLeft w:val="0"/>
              <w:marRight w:val="0"/>
              <w:marTop w:val="0"/>
              <w:marBottom w:val="0"/>
              <w:divBdr>
                <w:top w:val="none" w:sz="0" w:space="0" w:color="auto"/>
                <w:left w:val="none" w:sz="0" w:space="0" w:color="auto"/>
                <w:bottom w:val="none" w:sz="0" w:space="0" w:color="auto"/>
                <w:right w:val="none" w:sz="0" w:space="0" w:color="auto"/>
              </w:divBdr>
            </w:div>
            <w:div w:id="606423715">
              <w:marLeft w:val="0"/>
              <w:marRight w:val="0"/>
              <w:marTop w:val="0"/>
              <w:marBottom w:val="0"/>
              <w:divBdr>
                <w:top w:val="none" w:sz="0" w:space="0" w:color="auto"/>
                <w:left w:val="none" w:sz="0" w:space="0" w:color="auto"/>
                <w:bottom w:val="none" w:sz="0" w:space="0" w:color="auto"/>
                <w:right w:val="none" w:sz="0" w:space="0" w:color="auto"/>
              </w:divBdr>
            </w:div>
            <w:div w:id="706292963">
              <w:marLeft w:val="0"/>
              <w:marRight w:val="0"/>
              <w:marTop w:val="0"/>
              <w:marBottom w:val="0"/>
              <w:divBdr>
                <w:top w:val="none" w:sz="0" w:space="0" w:color="auto"/>
                <w:left w:val="none" w:sz="0" w:space="0" w:color="auto"/>
                <w:bottom w:val="none" w:sz="0" w:space="0" w:color="auto"/>
                <w:right w:val="none" w:sz="0" w:space="0" w:color="auto"/>
              </w:divBdr>
            </w:div>
            <w:div w:id="773859991">
              <w:marLeft w:val="0"/>
              <w:marRight w:val="0"/>
              <w:marTop w:val="0"/>
              <w:marBottom w:val="0"/>
              <w:divBdr>
                <w:top w:val="none" w:sz="0" w:space="0" w:color="auto"/>
                <w:left w:val="none" w:sz="0" w:space="0" w:color="auto"/>
                <w:bottom w:val="none" w:sz="0" w:space="0" w:color="auto"/>
                <w:right w:val="none" w:sz="0" w:space="0" w:color="auto"/>
              </w:divBdr>
            </w:div>
            <w:div w:id="883370892">
              <w:marLeft w:val="0"/>
              <w:marRight w:val="0"/>
              <w:marTop w:val="0"/>
              <w:marBottom w:val="0"/>
              <w:divBdr>
                <w:top w:val="none" w:sz="0" w:space="0" w:color="auto"/>
                <w:left w:val="none" w:sz="0" w:space="0" w:color="auto"/>
                <w:bottom w:val="none" w:sz="0" w:space="0" w:color="auto"/>
                <w:right w:val="none" w:sz="0" w:space="0" w:color="auto"/>
              </w:divBdr>
            </w:div>
            <w:div w:id="1022703968">
              <w:marLeft w:val="0"/>
              <w:marRight w:val="0"/>
              <w:marTop w:val="0"/>
              <w:marBottom w:val="0"/>
              <w:divBdr>
                <w:top w:val="none" w:sz="0" w:space="0" w:color="auto"/>
                <w:left w:val="none" w:sz="0" w:space="0" w:color="auto"/>
                <w:bottom w:val="none" w:sz="0" w:space="0" w:color="auto"/>
                <w:right w:val="none" w:sz="0" w:space="0" w:color="auto"/>
              </w:divBdr>
            </w:div>
            <w:div w:id="1076586951">
              <w:marLeft w:val="0"/>
              <w:marRight w:val="0"/>
              <w:marTop w:val="0"/>
              <w:marBottom w:val="0"/>
              <w:divBdr>
                <w:top w:val="none" w:sz="0" w:space="0" w:color="auto"/>
                <w:left w:val="none" w:sz="0" w:space="0" w:color="auto"/>
                <w:bottom w:val="none" w:sz="0" w:space="0" w:color="auto"/>
                <w:right w:val="none" w:sz="0" w:space="0" w:color="auto"/>
              </w:divBdr>
            </w:div>
            <w:div w:id="1286692447">
              <w:marLeft w:val="0"/>
              <w:marRight w:val="0"/>
              <w:marTop w:val="0"/>
              <w:marBottom w:val="0"/>
              <w:divBdr>
                <w:top w:val="none" w:sz="0" w:space="0" w:color="auto"/>
                <w:left w:val="none" w:sz="0" w:space="0" w:color="auto"/>
                <w:bottom w:val="none" w:sz="0" w:space="0" w:color="auto"/>
                <w:right w:val="none" w:sz="0" w:space="0" w:color="auto"/>
              </w:divBdr>
            </w:div>
            <w:div w:id="1289045192">
              <w:marLeft w:val="0"/>
              <w:marRight w:val="0"/>
              <w:marTop w:val="0"/>
              <w:marBottom w:val="0"/>
              <w:divBdr>
                <w:top w:val="none" w:sz="0" w:space="0" w:color="auto"/>
                <w:left w:val="none" w:sz="0" w:space="0" w:color="auto"/>
                <w:bottom w:val="none" w:sz="0" w:space="0" w:color="auto"/>
                <w:right w:val="none" w:sz="0" w:space="0" w:color="auto"/>
              </w:divBdr>
            </w:div>
            <w:div w:id="1297640363">
              <w:marLeft w:val="0"/>
              <w:marRight w:val="0"/>
              <w:marTop w:val="0"/>
              <w:marBottom w:val="0"/>
              <w:divBdr>
                <w:top w:val="none" w:sz="0" w:space="0" w:color="auto"/>
                <w:left w:val="none" w:sz="0" w:space="0" w:color="auto"/>
                <w:bottom w:val="none" w:sz="0" w:space="0" w:color="auto"/>
                <w:right w:val="none" w:sz="0" w:space="0" w:color="auto"/>
              </w:divBdr>
            </w:div>
            <w:div w:id="1354840197">
              <w:marLeft w:val="0"/>
              <w:marRight w:val="0"/>
              <w:marTop w:val="0"/>
              <w:marBottom w:val="0"/>
              <w:divBdr>
                <w:top w:val="none" w:sz="0" w:space="0" w:color="auto"/>
                <w:left w:val="none" w:sz="0" w:space="0" w:color="auto"/>
                <w:bottom w:val="none" w:sz="0" w:space="0" w:color="auto"/>
                <w:right w:val="none" w:sz="0" w:space="0" w:color="auto"/>
              </w:divBdr>
            </w:div>
            <w:div w:id="1386182459">
              <w:marLeft w:val="0"/>
              <w:marRight w:val="0"/>
              <w:marTop w:val="0"/>
              <w:marBottom w:val="0"/>
              <w:divBdr>
                <w:top w:val="none" w:sz="0" w:space="0" w:color="auto"/>
                <w:left w:val="none" w:sz="0" w:space="0" w:color="auto"/>
                <w:bottom w:val="none" w:sz="0" w:space="0" w:color="auto"/>
                <w:right w:val="none" w:sz="0" w:space="0" w:color="auto"/>
              </w:divBdr>
            </w:div>
            <w:div w:id="1715234108">
              <w:marLeft w:val="0"/>
              <w:marRight w:val="0"/>
              <w:marTop w:val="0"/>
              <w:marBottom w:val="0"/>
              <w:divBdr>
                <w:top w:val="none" w:sz="0" w:space="0" w:color="auto"/>
                <w:left w:val="none" w:sz="0" w:space="0" w:color="auto"/>
                <w:bottom w:val="none" w:sz="0" w:space="0" w:color="auto"/>
                <w:right w:val="none" w:sz="0" w:space="0" w:color="auto"/>
              </w:divBdr>
            </w:div>
            <w:div w:id="1786926453">
              <w:marLeft w:val="0"/>
              <w:marRight w:val="0"/>
              <w:marTop w:val="0"/>
              <w:marBottom w:val="0"/>
              <w:divBdr>
                <w:top w:val="none" w:sz="0" w:space="0" w:color="auto"/>
                <w:left w:val="none" w:sz="0" w:space="0" w:color="auto"/>
                <w:bottom w:val="none" w:sz="0" w:space="0" w:color="auto"/>
                <w:right w:val="none" w:sz="0" w:space="0" w:color="auto"/>
              </w:divBdr>
            </w:div>
            <w:div w:id="1800146949">
              <w:marLeft w:val="0"/>
              <w:marRight w:val="0"/>
              <w:marTop w:val="0"/>
              <w:marBottom w:val="0"/>
              <w:divBdr>
                <w:top w:val="none" w:sz="0" w:space="0" w:color="auto"/>
                <w:left w:val="none" w:sz="0" w:space="0" w:color="auto"/>
                <w:bottom w:val="none" w:sz="0" w:space="0" w:color="auto"/>
                <w:right w:val="none" w:sz="0" w:space="0" w:color="auto"/>
              </w:divBdr>
            </w:div>
            <w:div w:id="1879855976">
              <w:marLeft w:val="0"/>
              <w:marRight w:val="0"/>
              <w:marTop w:val="0"/>
              <w:marBottom w:val="0"/>
              <w:divBdr>
                <w:top w:val="none" w:sz="0" w:space="0" w:color="auto"/>
                <w:left w:val="none" w:sz="0" w:space="0" w:color="auto"/>
                <w:bottom w:val="none" w:sz="0" w:space="0" w:color="auto"/>
                <w:right w:val="none" w:sz="0" w:space="0" w:color="auto"/>
              </w:divBdr>
            </w:div>
            <w:div w:id="1937514694">
              <w:marLeft w:val="0"/>
              <w:marRight w:val="0"/>
              <w:marTop w:val="0"/>
              <w:marBottom w:val="0"/>
              <w:divBdr>
                <w:top w:val="none" w:sz="0" w:space="0" w:color="auto"/>
                <w:left w:val="none" w:sz="0" w:space="0" w:color="auto"/>
                <w:bottom w:val="none" w:sz="0" w:space="0" w:color="auto"/>
                <w:right w:val="none" w:sz="0" w:space="0" w:color="auto"/>
              </w:divBdr>
            </w:div>
            <w:div w:id="1950315953">
              <w:marLeft w:val="0"/>
              <w:marRight w:val="0"/>
              <w:marTop w:val="0"/>
              <w:marBottom w:val="0"/>
              <w:divBdr>
                <w:top w:val="none" w:sz="0" w:space="0" w:color="auto"/>
                <w:left w:val="none" w:sz="0" w:space="0" w:color="auto"/>
                <w:bottom w:val="none" w:sz="0" w:space="0" w:color="auto"/>
                <w:right w:val="none" w:sz="0" w:space="0" w:color="auto"/>
              </w:divBdr>
            </w:div>
          </w:divsChild>
        </w:div>
        <w:div w:id="1075785353">
          <w:marLeft w:val="0"/>
          <w:marRight w:val="0"/>
          <w:marTop w:val="0"/>
          <w:marBottom w:val="0"/>
          <w:divBdr>
            <w:top w:val="none" w:sz="0" w:space="0" w:color="auto"/>
            <w:left w:val="none" w:sz="0" w:space="0" w:color="auto"/>
            <w:bottom w:val="none" w:sz="0" w:space="0" w:color="auto"/>
            <w:right w:val="none" w:sz="0" w:space="0" w:color="auto"/>
          </w:divBdr>
        </w:div>
        <w:div w:id="1105467557">
          <w:marLeft w:val="0"/>
          <w:marRight w:val="0"/>
          <w:marTop w:val="0"/>
          <w:marBottom w:val="0"/>
          <w:divBdr>
            <w:top w:val="none" w:sz="0" w:space="0" w:color="auto"/>
            <w:left w:val="none" w:sz="0" w:space="0" w:color="auto"/>
            <w:bottom w:val="none" w:sz="0" w:space="0" w:color="auto"/>
            <w:right w:val="none" w:sz="0" w:space="0" w:color="auto"/>
          </w:divBdr>
          <w:divsChild>
            <w:div w:id="100416370">
              <w:marLeft w:val="0"/>
              <w:marRight w:val="0"/>
              <w:marTop w:val="0"/>
              <w:marBottom w:val="0"/>
              <w:divBdr>
                <w:top w:val="none" w:sz="0" w:space="0" w:color="auto"/>
                <w:left w:val="none" w:sz="0" w:space="0" w:color="auto"/>
                <w:bottom w:val="none" w:sz="0" w:space="0" w:color="auto"/>
                <w:right w:val="none" w:sz="0" w:space="0" w:color="auto"/>
              </w:divBdr>
            </w:div>
            <w:div w:id="170410641">
              <w:marLeft w:val="0"/>
              <w:marRight w:val="0"/>
              <w:marTop w:val="0"/>
              <w:marBottom w:val="0"/>
              <w:divBdr>
                <w:top w:val="none" w:sz="0" w:space="0" w:color="auto"/>
                <w:left w:val="none" w:sz="0" w:space="0" w:color="auto"/>
                <w:bottom w:val="none" w:sz="0" w:space="0" w:color="auto"/>
                <w:right w:val="none" w:sz="0" w:space="0" w:color="auto"/>
              </w:divBdr>
            </w:div>
            <w:div w:id="480998006">
              <w:marLeft w:val="0"/>
              <w:marRight w:val="0"/>
              <w:marTop w:val="0"/>
              <w:marBottom w:val="0"/>
              <w:divBdr>
                <w:top w:val="none" w:sz="0" w:space="0" w:color="auto"/>
                <w:left w:val="none" w:sz="0" w:space="0" w:color="auto"/>
                <w:bottom w:val="none" w:sz="0" w:space="0" w:color="auto"/>
                <w:right w:val="none" w:sz="0" w:space="0" w:color="auto"/>
              </w:divBdr>
            </w:div>
            <w:div w:id="663894478">
              <w:marLeft w:val="0"/>
              <w:marRight w:val="0"/>
              <w:marTop w:val="0"/>
              <w:marBottom w:val="0"/>
              <w:divBdr>
                <w:top w:val="none" w:sz="0" w:space="0" w:color="auto"/>
                <w:left w:val="none" w:sz="0" w:space="0" w:color="auto"/>
                <w:bottom w:val="none" w:sz="0" w:space="0" w:color="auto"/>
                <w:right w:val="none" w:sz="0" w:space="0" w:color="auto"/>
              </w:divBdr>
            </w:div>
            <w:div w:id="786394230">
              <w:marLeft w:val="0"/>
              <w:marRight w:val="0"/>
              <w:marTop w:val="0"/>
              <w:marBottom w:val="0"/>
              <w:divBdr>
                <w:top w:val="none" w:sz="0" w:space="0" w:color="auto"/>
                <w:left w:val="none" w:sz="0" w:space="0" w:color="auto"/>
                <w:bottom w:val="none" w:sz="0" w:space="0" w:color="auto"/>
                <w:right w:val="none" w:sz="0" w:space="0" w:color="auto"/>
              </w:divBdr>
            </w:div>
            <w:div w:id="844857071">
              <w:marLeft w:val="0"/>
              <w:marRight w:val="0"/>
              <w:marTop w:val="0"/>
              <w:marBottom w:val="0"/>
              <w:divBdr>
                <w:top w:val="none" w:sz="0" w:space="0" w:color="auto"/>
                <w:left w:val="none" w:sz="0" w:space="0" w:color="auto"/>
                <w:bottom w:val="none" w:sz="0" w:space="0" w:color="auto"/>
                <w:right w:val="none" w:sz="0" w:space="0" w:color="auto"/>
              </w:divBdr>
            </w:div>
            <w:div w:id="934558667">
              <w:marLeft w:val="0"/>
              <w:marRight w:val="0"/>
              <w:marTop w:val="0"/>
              <w:marBottom w:val="0"/>
              <w:divBdr>
                <w:top w:val="none" w:sz="0" w:space="0" w:color="auto"/>
                <w:left w:val="none" w:sz="0" w:space="0" w:color="auto"/>
                <w:bottom w:val="none" w:sz="0" w:space="0" w:color="auto"/>
                <w:right w:val="none" w:sz="0" w:space="0" w:color="auto"/>
              </w:divBdr>
            </w:div>
            <w:div w:id="976834570">
              <w:marLeft w:val="0"/>
              <w:marRight w:val="0"/>
              <w:marTop w:val="0"/>
              <w:marBottom w:val="0"/>
              <w:divBdr>
                <w:top w:val="none" w:sz="0" w:space="0" w:color="auto"/>
                <w:left w:val="none" w:sz="0" w:space="0" w:color="auto"/>
                <w:bottom w:val="none" w:sz="0" w:space="0" w:color="auto"/>
                <w:right w:val="none" w:sz="0" w:space="0" w:color="auto"/>
              </w:divBdr>
            </w:div>
            <w:div w:id="1224754607">
              <w:marLeft w:val="0"/>
              <w:marRight w:val="0"/>
              <w:marTop w:val="0"/>
              <w:marBottom w:val="0"/>
              <w:divBdr>
                <w:top w:val="none" w:sz="0" w:space="0" w:color="auto"/>
                <w:left w:val="none" w:sz="0" w:space="0" w:color="auto"/>
                <w:bottom w:val="none" w:sz="0" w:space="0" w:color="auto"/>
                <w:right w:val="none" w:sz="0" w:space="0" w:color="auto"/>
              </w:divBdr>
            </w:div>
            <w:div w:id="1318073906">
              <w:marLeft w:val="0"/>
              <w:marRight w:val="0"/>
              <w:marTop w:val="0"/>
              <w:marBottom w:val="0"/>
              <w:divBdr>
                <w:top w:val="none" w:sz="0" w:space="0" w:color="auto"/>
                <w:left w:val="none" w:sz="0" w:space="0" w:color="auto"/>
                <w:bottom w:val="none" w:sz="0" w:space="0" w:color="auto"/>
                <w:right w:val="none" w:sz="0" w:space="0" w:color="auto"/>
              </w:divBdr>
            </w:div>
            <w:div w:id="1475374343">
              <w:marLeft w:val="0"/>
              <w:marRight w:val="0"/>
              <w:marTop w:val="0"/>
              <w:marBottom w:val="0"/>
              <w:divBdr>
                <w:top w:val="none" w:sz="0" w:space="0" w:color="auto"/>
                <w:left w:val="none" w:sz="0" w:space="0" w:color="auto"/>
                <w:bottom w:val="none" w:sz="0" w:space="0" w:color="auto"/>
                <w:right w:val="none" w:sz="0" w:space="0" w:color="auto"/>
              </w:divBdr>
            </w:div>
            <w:div w:id="1482233289">
              <w:marLeft w:val="0"/>
              <w:marRight w:val="0"/>
              <w:marTop w:val="0"/>
              <w:marBottom w:val="0"/>
              <w:divBdr>
                <w:top w:val="none" w:sz="0" w:space="0" w:color="auto"/>
                <w:left w:val="none" w:sz="0" w:space="0" w:color="auto"/>
                <w:bottom w:val="none" w:sz="0" w:space="0" w:color="auto"/>
                <w:right w:val="none" w:sz="0" w:space="0" w:color="auto"/>
              </w:divBdr>
            </w:div>
            <w:div w:id="1535340318">
              <w:marLeft w:val="0"/>
              <w:marRight w:val="0"/>
              <w:marTop w:val="0"/>
              <w:marBottom w:val="0"/>
              <w:divBdr>
                <w:top w:val="none" w:sz="0" w:space="0" w:color="auto"/>
                <w:left w:val="none" w:sz="0" w:space="0" w:color="auto"/>
                <w:bottom w:val="none" w:sz="0" w:space="0" w:color="auto"/>
                <w:right w:val="none" w:sz="0" w:space="0" w:color="auto"/>
              </w:divBdr>
            </w:div>
            <w:div w:id="1575814803">
              <w:marLeft w:val="0"/>
              <w:marRight w:val="0"/>
              <w:marTop w:val="0"/>
              <w:marBottom w:val="0"/>
              <w:divBdr>
                <w:top w:val="none" w:sz="0" w:space="0" w:color="auto"/>
                <w:left w:val="none" w:sz="0" w:space="0" w:color="auto"/>
                <w:bottom w:val="none" w:sz="0" w:space="0" w:color="auto"/>
                <w:right w:val="none" w:sz="0" w:space="0" w:color="auto"/>
              </w:divBdr>
            </w:div>
            <w:div w:id="1599218650">
              <w:marLeft w:val="0"/>
              <w:marRight w:val="0"/>
              <w:marTop w:val="0"/>
              <w:marBottom w:val="0"/>
              <w:divBdr>
                <w:top w:val="none" w:sz="0" w:space="0" w:color="auto"/>
                <w:left w:val="none" w:sz="0" w:space="0" w:color="auto"/>
                <w:bottom w:val="none" w:sz="0" w:space="0" w:color="auto"/>
                <w:right w:val="none" w:sz="0" w:space="0" w:color="auto"/>
              </w:divBdr>
            </w:div>
            <w:div w:id="1975524943">
              <w:marLeft w:val="0"/>
              <w:marRight w:val="0"/>
              <w:marTop w:val="0"/>
              <w:marBottom w:val="0"/>
              <w:divBdr>
                <w:top w:val="none" w:sz="0" w:space="0" w:color="auto"/>
                <w:left w:val="none" w:sz="0" w:space="0" w:color="auto"/>
                <w:bottom w:val="none" w:sz="0" w:space="0" w:color="auto"/>
                <w:right w:val="none" w:sz="0" w:space="0" w:color="auto"/>
              </w:divBdr>
            </w:div>
            <w:div w:id="1988431259">
              <w:marLeft w:val="0"/>
              <w:marRight w:val="0"/>
              <w:marTop w:val="0"/>
              <w:marBottom w:val="0"/>
              <w:divBdr>
                <w:top w:val="none" w:sz="0" w:space="0" w:color="auto"/>
                <w:left w:val="none" w:sz="0" w:space="0" w:color="auto"/>
                <w:bottom w:val="none" w:sz="0" w:space="0" w:color="auto"/>
                <w:right w:val="none" w:sz="0" w:space="0" w:color="auto"/>
              </w:divBdr>
            </w:div>
            <w:div w:id="1996300303">
              <w:marLeft w:val="0"/>
              <w:marRight w:val="0"/>
              <w:marTop w:val="0"/>
              <w:marBottom w:val="0"/>
              <w:divBdr>
                <w:top w:val="none" w:sz="0" w:space="0" w:color="auto"/>
                <w:left w:val="none" w:sz="0" w:space="0" w:color="auto"/>
                <w:bottom w:val="none" w:sz="0" w:space="0" w:color="auto"/>
                <w:right w:val="none" w:sz="0" w:space="0" w:color="auto"/>
              </w:divBdr>
            </w:div>
            <w:div w:id="2071658568">
              <w:marLeft w:val="0"/>
              <w:marRight w:val="0"/>
              <w:marTop w:val="0"/>
              <w:marBottom w:val="0"/>
              <w:divBdr>
                <w:top w:val="none" w:sz="0" w:space="0" w:color="auto"/>
                <w:left w:val="none" w:sz="0" w:space="0" w:color="auto"/>
                <w:bottom w:val="none" w:sz="0" w:space="0" w:color="auto"/>
                <w:right w:val="none" w:sz="0" w:space="0" w:color="auto"/>
              </w:divBdr>
            </w:div>
            <w:div w:id="2126730299">
              <w:marLeft w:val="0"/>
              <w:marRight w:val="0"/>
              <w:marTop w:val="0"/>
              <w:marBottom w:val="0"/>
              <w:divBdr>
                <w:top w:val="none" w:sz="0" w:space="0" w:color="auto"/>
                <w:left w:val="none" w:sz="0" w:space="0" w:color="auto"/>
                <w:bottom w:val="none" w:sz="0" w:space="0" w:color="auto"/>
                <w:right w:val="none" w:sz="0" w:space="0" w:color="auto"/>
              </w:divBdr>
            </w:div>
          </w:divsChild>
        </w:div>
        <w:div w:id="1198005389">
          <w:marLeft w:val="0"/>
          <w:marRight w:val="0"/>
          <w:marTop w:val="0"/>
          <w:marBottom w:val="0"/>
          <w:divBdr>
            <w:top w:val="none" w:sz="0" w:space="0" w:color="auto"/>
            <w:left w:val="none" w:sz="0" w:space="0" w:color="auto"/>
            <w:bottom w:val="none" w:sz="0" w:space="0" w:color="auto"/>
            <w:right w:val="none" w:sz="0" w:space="0" w:color="auto"/>
          </w:divBdr>
        </w:div>
        <w:div w:id="1198617194">
          <w:marLeft w:val="0"/>
          <w:marRight w:val="0"/>
          <w:marTop w:val="0"/>
          <w:marBottom w:val="0"/>
          <w:divBdr>
            <w:top w:val="none" w:sz="0" w:space="0" w:color="auto"/>
            <w:left w:val="none" w:sz="0" w:space="0" w:color="auto"/>
            <w:bottom w:val="none" w:sz="0" w:space="0" w:color="auto"/>
            <w:right w:val="none" w:sz="0" w:space="0" w:color="auto"/>
          </w:divBdr>
        </w:div>
        <w:div w:id="1202941530">
          <w:marLeft w:val="0"/>
          <w:marRight w:val="0"/>
          <w:marTop w:val="0"/>
          <w:marBottom w:val="0"/>
          <w:divBdr>
            <w:top w:val="none" w:sz="0" w:space="0" w:color="auto"/>
            <w:left w:val="none" w:sz="0" w:space="0" w:color="auto"/>
            <w:bottom w:val="none" w:sz="0" w:space="0" w:color="auto"/>
            <w:right w:val="none" w:sz="0" w:space="0" w:color="auto"/>
          </w:divBdr>
        </w:div>
        <w:div w:id="1297881801">
          <w:marLeft w:val="0"/>
          <w:marRight w:val="0"/>
          <w:marTop w:val="0"/>
          <w:marBottom w:val="0"/>
          <w:divBdr>
            <w:top w:val="none" w:sz="0" w:space="0" w:color="auto"/>
            <w:left w:val="none" w:sz="0" w:space="0" w:color="auto"/>
            <w:bottom w:val="none" w:sz="0" w:space="0" w:color="auto"/>
            <w:right w:val="none" w:sz="0" w:space="0" w:color="auto"/>
          </w:divBdr>
          <w:divsChild>
            <w:div w:id="46102448">
              <w:marLeft w:val="0"/>
              <w:marRight w:val="0"/>
              <w:marTop w:val="0"/>
              <w:marBottom w:val="0"/>
              <w:divBdr>
                <w:top w:val="none" w:sz="0" w:space="0" w:color="auto"/>
                <w:left w:val="none" w:sz="0" w:space="0" w:color="auto"/>
                <w:bottom w:val="none" w:sz="0" w:space="0" w:color="auto"/>
                <w:right w:val="none" w:sz="0" w:space="0" w:color="auto"/>
              </w:divBdr>
            </w:div>
            <w:div w:id="154809997">
              <w:marLeft w:val="0"/>
              <w:marRight w:val="0"/>
              <w:marTop w:val="0"/>
              <w:marBottom w:val="0"/>
              <w:divBdr>
                <w:top w:val="none" w:sz="0" w:space="0" w:color="auto"/>
                <w:left w:val="none" w:sz="0" w:space="0" w:color="auto"/>
                <w:bottom w:val="none" w:sz="0" w:space="0" w:color="auto"/>
                <w:right w:val="none" w:sz="0" w:space="0" w:color="auto"/>
              </w:divBdr>
            </w:div>
            <w:div w:id="362218385">
              <w:marLeft w:val="0"/>
              <w:marRight w:val="0"/>
              <w:marTop w:val="0"/>
              <w:marBottom w:val="0"/>
              <w:divBdr>
                <w:top w:val="none" w:sz="0" w:space="0" w:color="auto"/>
                <w:left w:val="none" w:sz="0" w:space="0" w:color="auto"/>
                <w:bottom w:val="none" w:sz="0" w:space="0" w:color="auto"/>
                <w:right w:val="none" w:sz="0" w:space="0" w:color="auto"/>
              </w:divBdr>
            </w:div>
            <w:div w:id="452789100">
              <w:marLeft w:val="0"/>
              <w:marRight w:val="0"/>
              <w:marTop w:val="0"/>
              <w:marBottom w:val="0"/>
              <w:divBdr>
                <w:top w:val="none" w:sz="0" w:space="0" w:color="auto"/>
                <w:left w:val="none" w:sz="0" w:space="0" w:color="auto"/>
                <w:bottom w:val="none" w:sz="0" w:space="0" w:color="auto"/>
                <w:right w:val="none" w:sz="0" w:space="0" w:color="auto"/>
              </w:divBdr>
            </w:div>
            <w:div w:id="457839560">
              <w:marLeft w:val="0"/>
              <w:marRight w:val="0"/>
              <w:marTop w:val="0"/>
              <w:marBottom w:val="0"/>
              <w:divBdr>
                <w:top w:val="none" w:sz="0" w:space="0" w:color="auto"/>
                <w:left w:val="none" w:sz="0" w:space="0" w:color="auto"/>
                <w:bottom w:val="none" w:sz="0" w:space="0" w:color="auto"/>
                <w:right w:val="none" w:sz="0" w:space="0" w:color="auto"/>
              </w:divBdr>
            </w:div>
            <w:div w:id="655766657">
              <w:marLeft w:val="0"/>
              <w:marRight w:val="0"/>
              <w:marTop w:val="0"/>
              <w:marBottom w:val="0"/>
              <w:divBdr>
                <w:top w:val="none" w:sz="0" w:space="0" w:color="auto"/>
                <w:left w:val="none" w:sz="0" w:space="0" w:color="auto"/>
                <w:bottom w:val="none" w:sz="0" w:space="0" w:color="auto"/>
                <w:right w:val="none" w:sz="0" w:space="0" w:color="auto"/>
              </w:divBdr>
            </w:div>
            <w:div w:id="729422407">
              <w:marLeft w:val="0"/>
              <w:marRight w:val="0"/>
              <w:marTop w:val="0"/>
              <w:marBottom w:val="0"/>
              <w:divBdr>
                <w:top w:val="none" w:sz="0" w:space="0" w:color="auto"/>
                <w:left w:val="none" w:sz="0" w:space="0" w:color="auto"/>
                <w:bottom w:val="none" w:sz="0" w:space="0" w:color="auto"/>
                <w:right w:val="none" w:sz="0" w:space="0" w:color="auto"/>
              </w:divBdr>
            </w:div>
            <w:div w:id="755438565">
              <w:marLeft w:val="0"/>
              <w:marRight w:val="0"/>
              <w:marTop w:val="0"/>
              <w:marBottom w:val="0"/>
              <w:divBdr>
                <w:top w:val="none" w:sz="0" w:space="0" w:color="auto"/>
                <w:left w:val="none" w:sz="0" w:space="0" w:color="auto"/>
                <w:bottom w:val="none" w:sz="0" w:space="0" w:color="auto"/>
                <w:right w:val="none" w:sz="0" w:space="0" w:color="auto"/>
              </w:divBdr>
            </w:div>
            <w:div w:id="882864153">
              <w:marLeft w:val="0"/>
              <w:marRight w:val="0"/>
              <w:marTop w:val="0"/>
              <w:marBottom w:val="0"/>
              <w:divBdr>
                <w:top w:val="none" w:sz="0" w:space="0" w:color="auto"/>
                <w:left w:val="none" w:sz="0" w:space="0" w:color="auto"/>
                <w:bottom w:val="none" w:sz="0" w:space="0" w:color="auto"/>
                <w:right w:val="none" w:sz="0" w:space="0" w:color="auto"/>
              </w:divBdr>
            </w:div>
            <w:div w:id="884484740">
              <w:marLeft w:val="0"/>
              <w:marRight w:val="0"/>
              <w:marTop w:val="0"/>
              <w:marBottom w:val="0"/>
              <w:divBdr>
                <w:top w:val="none" w:sz="0" w:space="0" w:color="auto"/>
                <w:left w:val="none" w:sz="0" w:space="0" w:color="auto"/>
                <w:bottom w:val="none" w:sz="0" w:space="0" w:color="auto"/>
                <w:right w:val="none" w:sz="0" w:space="0" w:color="auto"/>
              </w:divBdr>
            </w:div>
            <w:div w:id="1076705009">
              <w:marLeft w:val="0"/>
              <w:marRight w:val="0"/>
              <w:marTop w:val="0"/>
              <w:marBottom w:val="0"/>
              <w:divBdr>
                <w:top w:val="none" w:sz="0" w:space="0" w:color="auto"/>
                <w:left w:val="none" w:sz="0" w:space="0" w:color="auto"/>
                <w:bottom w:val="none" w:sz="0" w:space="0" w:color="auto"/>
                <w:right w:val="none" w:sz="0" w:space="0" w:color="auto"/>
              </w:divBdr>
            </w:div>
            <w:div w:id="1333678570">
              <w:marLeft w:val="0"/>
              <w:marRight w:val="0"/>
              <w:marTop w:val="0"/>
              <w:marBottom w:val="0"/>
              <w:divBdr>
                <w:top w:val="none" w:sz="0" w:space="0" w:color="auto"/>
                <w:left w:val="none" w:sz="0" w:space="0" w:color="auto"/>
                <w:bottom w:val="none" w:sz="0" w:space="0" w:color="auto"/>
                <w:right w:val="none" w:sz="0" w:space="0" w:color="auto"/>
              </w:divBdr>
            </w:div>
            <w:div w:id="1527211782">
              <w:marLeft w:val="0"/>
              <w:marRight w:val="0"/>
              <w:marTop w:val="0"/>
              <w:marBottom w:val="0"/>
              <w:divBdr>
                <w:top w:val="none" w:sz="0" w:space="0" w:color="auto"/>
                <w:left w:val="none" w:sz="0" w:space="0" w:color="auto"/>
                <w:bottom w:val="none" w:sz="0" w:space="0" w:color="auto"/>
                <w:right w:val="none" w:sz="0" w:space="0" w:color="auto"/>
              </w:divBdr>
            </w:div>
            <w:div w:id="1605650364">
              <w:marLeft w:val="0"/>
              <w:marRight w:val="0"/>
              <w:marTop w:val="0"/>
              <w:marBottom w:val="0"/>
              <w:divBdr>
                <w:top w:val="none" w:sz="0" w:space="0" w:color="auto"/>
                <w:left w:val="none" w:sz="0" w:space="0" w:color="auto"/>
                <w:bottom w:val="none" w:sz="0" w:space="0" w:color="auto"/>
                <w:right w:val="none" w:sz="0" w:space="0" w:color="auto"/>
              </w:divBdr>
            </w:div>
            <w:div w:id="1686514532">
              <w:marLeft w:val="0"/>
              <w:marRight w:val="0"/>
              <w:marTop w:val="0"/>
              <w:marBottom w:val="0"/>
              <w:divBdr>
                <w:top w:val="none" w:sz="0" w:space="0" w:color="auto"/>
                <w:left w:val="none" w:sz="0" w:space="0" w:color="auto"/>
                <w:bottom w:val="none" w:sz="0" w:space="0" w:color="auto"/>
                <w:right w:val="none" w:sz="0" w:space="0" w:color="auto"/>
              </w:divBdr>
            </w:div>
            <w:div w:id="1693146298">
              <w:marLeft w:val="0"/>
              <w:marRight w:val="0"/>
              <w:marTop w:val="0"/>
              <w:marBottom w:val="0"/>
              <w:divBdr>
                <w:top w:val="none" w:sz="0" w:space="0" w:color="auto"/>
                <w:left w:val="none" w:sz="0" w:space="0" w:color="auto"/>
                <w:bottom w:val="none" w:sz="0" w:space="0" w:color="auto"/>
                <w:right w:val="none" w:sz="0" w:space="0" w:color="auto"/>
              </w:divBdr>
            </w:div>
            <w:div w:id="1714840530">
              <w:marLeft w:val="0"/>
              <w:marRight w:val="0"/>
              <w:marTop w:val="0"/>
              <w:marBottom w:val="0"/>
              <w:divBdr>
                <w:top w:val="none" w:sz="0" w:space="0" w:color="auto"/>
                <w:left w:val="none" w:sz="0" w:space="0" w:color="auto"/>
                <w:bottom w:val="none" w:sz="0" w:space="0" w:color="auto"/>
                <w:right w:val="none" w:sz="0" w:space="0" w:color="auto"/>
              </w:divBdr>
            </w:div>
            <w:div w:id="1810584902">
              <w:marLeft w:val="0"/>
              <w:marRight w:val="0"/>
              <w:marTop w:val="0"/>
              <w:marBottom w:val="0"/>
              <w:divBdr>
                <w:top w:val="none" w:sz="0" w:space="0" w:color="auto"/>
                <w:left w:val="none" w:sz="0" w:space="0" w:color="auto"/>
                <w:bottom w:val="none" w:sz="0" w:space="0" w:color="auto"/>
                <w:right w:val="none" w:sz="0" w:space="0" w:color="auto"/>
              </w:divBdr>
            </w:div>
            <w:div w:id="1815946337">
              <w:marLeft w:val="0"/>
              <w:marRight w:val="0"/>
              <w:marTop w:val="0"/>
              <w:marBottom w:val="0"/>
              <w:divBdr>
                <w:top w:val="none" w:sz="0" w:space="0" w:color="auto"/>
                <w:left w:val="none" w:sz="0" w:space="0" w:color="auto"/>
                <w:bottom w:val="none" w:sz="0" w:space="0" w:color="auto"/>
                <w:right w:val="none" w:sz="0" w:space="0" w:color="auto"/>
              </w:divBdr>
            </w:div>
            <w:div w:id="2077168490">
              <w:marLeft w:val="0"/>
              <w:marRight w:val="0"/>
              <w:marTop w:val="0"/>
              <w:marBottom w:val="0"/>
              <w:divBdr>
                <w:top w:val="none" w:sz="0" w:space="0" w:color="auto"/>
                <w:left w:val="none" w:sz="0" w:space="0" w:color="auto"/>
                <w:bottom w:val="none" w:sz="0" w:space="0" w:color="auto"/>
                <w:right w:val="none" w:sz="0" w:space="0" w:color="auto"/>
              </w:divBdr>
            </w:div>
          </w:divsChild>
        </w:div>
        <w:div w:id="1309290061">
          <w:marLeft w:val="0"/>
          <w:marRight w:val="0"/>
          <w:marTop w:val="0"/>
          <w:marBottom w:val="0"/>
          <w:divBdr>
            <w:top w:val="none" w:sz="0" w:space="0" w:color="auto"/>
            <w:left w:val="none" w:sz="0" w:space="0" w:color="auto"/>
            <w:bottom w:val="none" w:sz="0" w:space="0" w:color="auto"/>
            <w:right w:val="none" w:sz="0" w:space="0" w:color="auto"/>
          </w:divBdr>
        </w:div>
        <w:div w:id="1330595492">
          <w:marLeft w:val="0"/>
          <w:marRight w:val="0"/>
          <w:marTop w:val="0"/>
          <w:marBottom w:val="0"/>
          <w:divBdr>
            <w:top w:val="none" w:sz="0" w:space="0" w:color="auto"/>
            <w:left w:val="none" w:sz="0" w:space="0" w:color="auto"/>
            <w:bottom w:val="none" w:sz="0" w:space="0" w:color="auto"/>
            <w:right w:val="none" w:sz="0" w:space="0" w:color="auto"/>
          </w:divBdr>
          <w:divsChild>
            <w:div w:id="77601972">
              <w:marLeft w:val="0"/>
              <w:marRight w:val="0"/>
              <w:marTop w:val="0"/>
              <w:marBottom w:val="0"/>
              <w:divBdr>
                <w:top w:val="none" w:sz="0" w:space="0" w:color="auto"/>
                <w:left w:val="none" w:sz="0" w:space="0" w:color="auto"/>
                <w:bottom w:val="none" w:sz="0" w:space="0" w:color="auto"/>
                <w:right w:val="none" w:sz="0" w:space="0" w:color="auto"/>
              </w:divBdr>
            </w:div>
            <w:div w:id="197668926">
              <w:marLeft w:val="0"/>
              <w:marRight w:val="0"/>
              <w:marTop w:val="0"/>
              <w:marBottom w:val="0"/>
              <w:divBdr>
                <w:top w:val="none" w:sz="0" w:space="0" w:color="auto"/>
                <w:left w:val="none" w:sz="0" w:space="0" w:color="auto"/>
                <w:bottom w:val="none" w:sz="0" w:space="0" w:color="auto"/>
                <w:right w:val="none" w:sz="0" w:space="0" w:color="auto"/>
              </w:divBdr>
            </w:div>
            <w:div w:id="203490484">
              <w:marLeft w:val="0"/>
              <w:marRight w:val="0"/>
              <w:marTop w:val="0"/>
              <w:marBottom w:val="0"/>
              <w:divBdr>
                <w:top w:val="none" w:sz="0" w:space="0" w:color="auto"/>
                <w:left w:val="none" w:sz="0" w:space="0" w:color="auto"/>
                <w:bottom w:val="none" w:sz="0" w:space="0" w:color="auto"/>
                <w:right w:val="none" w:sz="0" w:space="0" w:color="auto"/>
              </w:divBdr>
            </w:div>
            <w:div w:id="286010441">
              <w:marLeft w:val="0"/>
              <w:marRight w:val="0"/>
              <w:marTop w:val="0"/>
              <w:marBottom w:val="0"/>
              <w:divBdr>
                <w:top w:val="none" w:sz="0" w:space="0" w:color="auto"/>
                <w:left w:val="none" w:sz="0" w:space="0" w:color="auto"/>
                <w:bottom w:val="none" w:sz="0" w:space="0" w:color="auto"/>
                <w:right w:val="none" w:sz="0" w:space="0" w:color="auto"/>
              </w:divBdr>
            </w:div>
            <w:div w:id="349071133">
              <w:marLeft w:val="0"/>
              <w:marRight w:val="0"/>
              <w:marTop w:val="0"/>
              <w:marBottom w:val="0"/>
              <w:divBdr>
                <w:top w:val="none" w:sz="0" w:space="0" w:color="auto"/>
                <w:left w:val="none" w:sz="0" w:space="0" w:color="auto"/>
                <w:bottom w:val="none" w:sz="0" w:space="0" w:color="auto"/>
                <w:right w:val="none" w:sz="0" w:space="0" w:color="auto"/>
              </w:divBdr>
            </w:div>
            <w:div w:id="586423542">
              <w:marLeft w:val="0"/>
              <w:marRight w:val="0"/>
              <w:marTop w:val="0"/>
              <w:marBottom w:val="0"/>
              <w:divBdr>
                <w:top w:val="none" w:sz="0" w:space="0" w:color="auto"/>
                <w:left w:val="none" w:sz="0" w:space="0" w:color="auto"/>
                <w:bottom w:val="none" w:sz="0" w:space="0" w:color="auto"/>
                <w:right w:val="none" w:sz="0" w:space="0" w:color="auto"/>
              </w:divBdr>
            </w:div>
            <w:div w:id="1019891995">
              <w:marLeft w:val="0"/>
              <w:marRight w:val="0"/>
              <w:marTop w:val="0"/>
              <w:marBottom w:val="0"/>
              <w:divBdr>
                <w:top w:val="none" w:sz="0" w:space="0" w:color="auto"/>
                <w:left w:val="none" w:sz="0" w:space="0" w:color="auto"/>
                <w:bottom w:val="none" w:sz="0" w:space="0" w:color="auto"/>
                <w:right w:val="none" w:sz="0" w:space="0" w:color="auto"/>
              </w:divBdr>
            </w:div>
            <w:div w:id="1126393129">
              <w:marLeft w:val="0"/>
              <w:marRight w:val="0"/>
              <w:marTop w:val="0"/>
              <w:marBottom w:val="0"/>
              <w:divBdr>
                <w:top w:val="none" w:sz="0" w:space="0" w:color="auto"/>
                <w:left w:val="none" w:sz="0" w:space="0" w:color="auto"/>
                <w:bottom w:val="none" w:sz="0" w:space="0" w:color="auto"/>
                <w:right w:val="none" w:sz="0" w:space="0" w:color="auto"/>
              </w:divBdr>
            </w:div>
            <w:div w:id="1129400237">
              <w:marLeft w:val="0"/>
              <w:marRight w:val="0"/>
              <w:marTop w:val="0"/>
              <w:marBottom w:val="0"/>
              <w:divBdr>
                <w:top w:val="none" w:sz="0" w:space="0" w:color="auto"/>
                <w:left w:val="none" w:sz="0" w:space="0" w:color="auto"/>
                <w:bottom w:val="none" w:sz="0" w:space="0" w:color="auto"/>
                <w:right w:val="none" w:sz="0" w:space="0" w:color="auto"/>
              </w:divBdr>
            </w:div>
            <w:div w:id="1211112479">
              <w:marLeft w:val="0"/>
              <w:marRight w:val="0"/>
              <w:marTop w:val="0"/>
              <w:marBottom w:val="0"/>
              <w:divBdr>
                <w:top w:val="none" w:sz="0" w:space="0" w:color="auto"/>
                <w:left w:val="none" w:sz="0" w:space="0" w:color="auto"/>
                <w:bottom w:val="none" w:sz="0" w:space="0" w:color="auto"/>
                <w:right w:val="none" w:sz="0" w:space="0" w:color="auto"/>
              </w:divBdr>
            </w:div>
            <w:div w:id="1420641381">
              <w:marLeft w:val="0"/>
              <w:marRight w:val="0"/>
              <w:marTop w:val="0"/>
              <w:marBottom w:val="0"/>
              <w:divBdr>
                <w:top w:val="none" w:sz="0" w:space="0" w:color="auto"/>
                <w:left w:val="none" w:sz="0" w:space="0" w:color="auto"/>
                <w:bottom w:val="none" w:sz="0" w:space="0" w:color="auto"/>
                <w:right w:val="none" w:sz="0" w:space="0" w:color="auto"/>
              </w:divBdr>
            </w:div>
            <w:div w:id="1573931912">
              <w:marLeft w:val="0"/>
              <w:marRight w:val="0"/>
              <w:marTop w:val="0"/>
              <w:marBottom w:val="0"/>
              <w:divBdr>
                <w:top w:val="none" w:sz="0" w:space="0" w:color="auto"/>
                <w:left w:val="none" w:sz="0" w:space="0" w:color="auto"/>
                <w:bottom w:val="none" w:sz="0" w:space="0" w:color="auto"/>
                <w:right w:val="none" w:sz="0" w:space="0" w:color="auto"/>
              </w:divBdr>
            </w:div>
            <w:div w:id="1892879298">
              <w:marLeft w:val="0"/>
              <w:marRight w:val="0"/>
              <w:marTop w:val="0"/>
              <w:marBottom w:val="0"/>
              <w:divBdr>
                <w:top w:val="none" w:sz="0" w:space="0" w:color="auto"/>
                <w:left w:val="none" w:sz="0" w:space="0" w:color="auto"/>
                <w:bottom w:val="none" w:sz="0" w:space="0" w:color="auto"/>
                <w:right w:val="none" w:sz="0" w:space="0" w:color="auto"/>
              </w:divBdr>
            </w:div>
            <w:div w:id="1898471090">
              <w:marLeft w:val="0"/>
              <w:marRight w:val="0"/>
              <w:marTop w:val="0"/>
              <w:marBottom w:val="0"/>
              <w:divBdr>
                <w:top w:val="none" w:sz="0" w:space="0" w:color="auto"/>
                <w:left w:val="none" w:sz="0" w:space="0" w:color="auto"/>
                <w:bottom w:val="none" w:sz="0" w:space="0" w:color="auto"/>
                <w:right w:val="none" w:sz="0" w:space="0" w:color="auto"/>
              </w:divBdr>
            </w:div>
            <w:div w:id="2102141141">
              <w:marLeft w:val="0"/>
              <w:marRight w:val="0"/>
              <w:marTop w:val="0"/>
              <w:marBottom w:val="0"/>
              <w:divBdr>
                <w:top w:val="none" w:sz="0" w:space="0" w:color="auto"/>
                <w:left w:val="none" w:sz="0" w:space="0" w:color="auto"/>
                <w:bottom w:val="none" w:sz="0" w:space="0" w:color="auto"/>
                <w:right w:val="none" w:sz="0" w:space="0" w:color="auto"/>
              </w:divBdr>
            </w:div>
            <w:div w:id="2108646448">
              <w:marLeft w:val="0"/>
              <w:marRight w:val="0"/>
              <w:marTop w:val="0"/>
              <w:marBottom w:val="0"/>
              <w:divBdr>
                <w:top w:val="none" w:sz="0" w:space="0" w:color="auto"/>
                <w:left w:val="none" w:sz="0" w:space="0" w:color="auto"/>
                <w:bottom w:val="none" w:sz="0" w:space="0" w:color="auto"/>
                <w:right w:val="none" w:sz="0" w:space="0" w:color="auto"/>
              </w:divBdr>
            </w:div>
          </w:divsChild>
        </w:div>
        <w:div w:id="1363751053">
          <w:marLeft w:val="0"/>
          <w:marRight w:val="0"/>
          <w:marTop w:val="0"/>
          <w:marBottom w:val="0"/>
          <w:divBdr>
            <w:top w:val="none" w:sz="0" w:space="0" w:color="auto"/>
            <w:left w:val="none" w:sz="0" w:space="0" w:color="auto"/>
            <w:bottom w:val="none" w:sz="0" w:space="0" w:color="auto"/>
            <w:right w:val="none" w:sz="0" w:space="0" w:color="auto"/>
          </w:divBdr>
          <w:divsChild>
            <w:div w:id="103497287">
              <w:marLeft w:val="-75"/>
              <w:marRight w:val="0"/>
              <w:marTop w:val="30"/>
              <w:marBottom w:val="30"/>
              <w:divBdr>
                <w:top w:val="none" w:sz="0" w:space="0" w:color="auto"/>
                <w:left w:val="none" w:sz="0" w:space="0" w:color="auto"/>
                <w:bottom w:val="none" w:sz="0" w:space="0" w:color="auto"/>
                <w:right w:val="none" w:sz="0" w:space="0" w:color="auto"/>
              </w:divBdr>
              <w:divsChild>
                <w:div w:id="50347189">
                  <w:marLeft w:val="0"/>
                  <w:marRight w:val="0"/>
                  <w:marTop w:val="0"/>
                  <w:marBottom w:val="0"/>
                  <w:divBdr>
                    <w:top w:val="none" w:sz="0" w:space="0" w:color="auto"/>
                    <w:left w:val="none" w:sz="0" w:space="0" w:color="auto"/>
                    <w:bottom w:val="none" w:sz="0" w:space="0" w:color="auto"/>
                    <w:right w:val="none" w:sz="0" w:space="0" w:color="auto"/>
                  </w:divBdr>
                  <w:divsChild>
                    <w:div w:id="1689873275">
                      <w:marLeft w:val="0"/>
                      <w:marRight w:val="0"/>
                      <w:marTop w:val="0"/>
                      <w:marBottom w:val="0"/>
                      <w:divBdr>
                        <w:top w:val="none" w:sz="0" w:space="0" w:color="auto"/>
                        <w:left w:val="none" w:sz="0" w:space="0" w:color="auto"/>
                        <w:bottom w:val="none" w:sz="0" w:space="0" w:color="auto"/>
                        <w:right w:val="none" w:sz="0" w:space="0" w:color="auto"/>
                      </w:divBdr>
                    </w:div>
                  </w:divsChild>
                </w:div>
                <w:div w:id="67312214">
                  <w:marLeft w:val="0"/>
                  <w:marRight w:val="0"/>
                  <w:marTop w:val="0"/>
                  <w:marBottom w:val="0"/>
                  <w:divBdr>
                    <w:top w:val="none" w:sz="0" w:space="0" w:color="auto"/>
                    <w:left w:val="none" w:sz="0" w:space="0" w:color="auto"/>
                    <w:bottom w:val="none" w:sz="0" w:space="0" w:color="auto"/>
                    <w:right w:val="none" w:sz="0" w:space="0" w:color="auto"/>
                  </w:divBdr>
                  <w:divsChild>
                    <w:div w:id="1225142312">
                      <w:marLeft w:val="0"/>
                      <w:marRight w:val="0"/>
                      <w:marTop w:val="0"/>
                      <w:marBottom w:val="0"/>
                      <w:divBdr>
                        <w:top w:val="none" w:sz="0" w:space="0" w:color="auto"/>
                        <w:left w:val="none" w:sz="0" w:space="0" w:color="auto"/>
                        <w:bottom w:val="none" w:sz="0" w:space="0" w:color="auto"/>
                        <w:right w:val="none" w:sz="0" w:space="0" w:color="auto"/>
                      </w:divBdr>
                    </w:div>
                  </w:divsChild>
                </w:div>
                <w:div w:id="100684465">
                  <w:marLeft w:val="0"/>
                  <w:marRight w:val="0"/>
                  <w:marTop w:val="0"/>
                  <w:marBottom w:val="0"/>
                  <w:divBdr>
                    <w:top w:val="none" w:sz="0" w:space="0" w:color="auto"/>
                    <w:left w:val="none" w:sz="0" w:space="0" w:color="auto"/>
                    <w:bottom w:val="none" w:sz="0" w:space="0" w:color="auto"/>
                    <w:right w:val="none" w:sz="0" w:space="0" w:color="auto"/>
                  </w:divBdr>
                  <w:divsChild>
                    <w:div w:id="1180968883">
                      <w:marLeft w:val="0"/>
                      <w:marRight w:val="0"/>
                      <w:marTop w:val="0"/>
                      <w:marBottom w:val="0"/>
                      <w:divBdr>
                        <w:top w:val="none" w:sz="0" w:space="0" w:color="auto"/>
                        <w:left w:val="none" w:sz="0" w:space="0" w:color="auto"/>
                        <w:bottom w:val="none" w:sz="0" w:space="0" w:color="auto"/>
                        <w:right w:val="none" w:sz="0" w:space="0" w:color="auto"/>
                      </w:divBdr>
                    </w:div>
                  </w:divsChild>
                </w:div>
                <w:div w:id="185944919">
                  <w:marLeft w:val="0"/>
                  <w:marRight w:val="0"/>
                  <w:marTop w:val="0"/>
                  <w:marBottom w:val="0"/>
                  <w:divBdr>
                    <w:top w:val="none" w:sz="0" w:space="0" w:color="auto"/>
                    <w:left w:val="none" w:sz="0" w:space="0" w:color="auto"/>
                    <w:bottom w:val="none" w:sz="0" w:space="0" w:color="auto"/>
                    <w:right w:val="none" w:sz="0" w:space="0" w:color="auto"/>
                  </w:divBdr>
                  <w:divsChild>
                    <w:div w:id="84111184">
                      <w:marLeft w:val="0"/>
                      <w:marRight w:val="0"/>
                      <w:marTop w:val="0"/>
                      <w:marBottom w:val="0"/>
                      <w:divBdr>
                        <w:top w:val="none" w:sz="0" w:space="0" w:color="auto"/>
                        <w:left w:val="none" w:sz="0" w:space="0" w:color="auto"/>
                        <w:bottom w:val="none" w:sz="0" w:space="0" w:color="auto"/>
                        <w:right w:val="none" w:sz="0" w:space="0" w:color="auto"/>
                      </w:divBdr>
                    </w:div>
                  </w:divsChild>
                </w:div>
                <w:div w:id="203491033">
                  <w:marLeft w:val="0"/>
                  <w:marRight w:val="0"/>
                  <w:marTop w:val="0"/>
                  <w:marBottom w:val="0"/>
                  <w:divBdr>
                    <w:top w:val="none" w:sz="0" w:space="0" w:color="auto"/>
                    <w:left w:val="none" w:sz="0" w:space="0" w:color="auto"/>
                    <w:bottom w:val="none" w:sz="0" w:space="0" w:color="auto"/>
                    <w:right w:val="none" w:sz="0" w:space="0" w:color="auto"/>
                  </w:divBdr>
                  <w:divsChild>
                    <w:div w:id="2046982646">
                      <w:marLeft w:val="0"/>
                      <w:marRight w:val="0"/>
                      <w:marTop w:val="0"/>
                      <w:marBottom w:val="0"/>
                      <w:divBdr>
                        <w:top w:val="none" w:sz="0" w:space="0" w:color="auto"/>
                        <w:left w:val="none" w:sz="0" w:space="0" w:color="auto"/>
                        <w:bottom w:val="none" w:sz="0" w:space="0" w:color="auto"/>
                        <w:right w:val="none" w:sz="0" w:space="0" w:color="auto"/>
                      </w:divBdr>
                    </w:div>
                  </w:divsChild>
                </w:div>
                <w:div w:id="209995799">
                  <w:marLeft w:val="0"/>
                  <w:marRight w:val="0"/>
                  <w:marTop w:val="0"/>
                  <w:marBottom w:val="0"/>
                  <w:divBdr>
                    <w:top w:val="none" w:sz="0" w:space="0" w:color="auto"/>
                    <w:left w:val="none" w:sz="0" w:space="0" w:color="auto"/>
                    <w:bottom w:val="none" w:sz="0" w:space="0" w:color="auto"/>
                    <w:right w:val="none" w:sz="0" w:space="0" w:color="auto"/>
                  </w:divBdr>
                  <w:divsChild>
                    <w:div w:id="1050300772">
                      <w:marLeft w:val="0"/>
                      <w:marRight w:val="0"/>
                      <w:marTop w:val="0"/>
                      <w:marBottom w:val="0"/>
                      <w:divBdr>
                        <w:top w:val="none" w:sz="0" w:space="0" w:color="auto"/>
                        <w:left w:val="none" w:sz="0" w:space="0" w:color="auto"/>
                        <w:bottom w:val="none" w:sz="0" w:space="0" w:color="auto"/>
                        <w:right w:val="none" w:sz="0" w:space="0" w:color="auto"/>
                      </w:divBdr>
                    </w:div>
                  </w:divsChild>
                </w:div>
                <w:div w:id="264656613">
                  <w:marLeft w:val="0"/>
                  <w:marRight w:val="0"/>
                  <w:marTop w:val="0"/>
                  <w:marBottom w:val="0"/>
                  <w:divBdr>
                    <w:top w:val="none" w:sz="0" w:space="0" w:color="auto"/>
                    <w:left w:val="none" w:sz="0" w:space="0" w:color="auto"/>
                    <w:bottom w:val="none" w:sz="0" w:space="0" w:color="auto"/>
                    <w:right w:val="none" w:sz="0" w:space="0" w:color="auto"/>
                  </w:divBdr>
                  <w:divsChild>
                    <w:div w:id="75715664">
                      <w:marLeft w:val="0"/>
                      <w:marRight w:val="0"/>
                      <w:marTop w:val="0"/>
                      <w:marBottom w:val="0"/>
                      <w:divBdr>
                        <w:top w:val="none" w:sz="0" w:space="0" w:color="auto"/>
                        <w:left w:val="none" w:sz="0" w:space="0" w:color="auto"/>
                        <w:bottom w:val="none" w:sz="0" w:space="0" w:color="auto"/>
                        <w:right w:val="none" w:sz="0" w:space="0" w:color="auto"/>
                      </w:divBdr>
                    </w:div>
                  </w:divsChild>
                </w:div>
                <w:div w:id="274287231">
                  <w:marLeft w:val="0"/>
                  <w:marRight w:val="0"/>
                  <w:marTop w:val="0"/>
                  <w:marBottom w:val="0"/>
                  <w:divBdr>
                    <w:top w:val="none" w:sz="0" w:space="0" w:color="auto"/>
                    <w:left w:val="none" w:sz="0" w:space="0" w:color="auto"/>
                    <w:bottom w:val="none" w:sz="0" w:space="0" w:color="auto"/>
                    <w:right w:val="none" w:sz="0" w:space="0" w:color="auto"/>
                  </w:divBdr>
                  <w:divsChild>
                    <w:div w:id="1271233748">
                      <w:marLeft w:val="0"/>
                      <w:marRight w:val="0"/>
                      <w:marTop w:val="0"/>
                      <w:marBottom w:val="0"/>
                      <w:divBdr>
                        <w:top w:val="none" w:sz="0" w:space="0" w:color="auto"/>
                        <w:left w:val="none" w:sz="0" w:space="0" w:color="auto"/>
                        <w:bottom w:val="none" w:sz="0" w:space="0" w:color="auto"/>
                        <w:right w:val="none" w:sz="0" w:space="0" w:color="auto"/>
                      </w:divBdr>
                    </w:div>
                  </w:divsChild>
                </w:div>
                <w:div w:id="293751916">
                  <w:marLeft w:val="0"/>
                  <w:marRight w:val="0"/>
                  <w:marTop w:val="0"/>
                  <w:marBottom w:val="0"/>
                  <w:divBdr>
                    <w:top w:val="none" w:sz="0" w:space="0" w:color="auto"/>
                    <w:left w:val="none" w:sz="0" w:space="0" w:color="auto"/>
                    <w:bottom w:val="none" w:sz="0" w:space="0" w:color="auto"/>
                    <w:right w:val="none" w:sz="0" w:space="0" w:color="auto"/>
                  </w:divBdr>
                  <w:divsChild>
                    <w:div w:id="1810129010">
                      <w:marLeft w:val="0"/>
                      <w:marRight w:val="0"/>
                      <w:marTop w:val="0"/>
                      <w:marBottom w:val="0"/>
                      <w:divBdr>
                        <w:top w:val="none" w:sz="0" w:space="0" w:color="auto"/>
                        <w:left w:val="none" w:sz="0" w:space="0" w:color="auto"/>
                        <w:bottom w:val="none" w:sz="0" w:space="0" w:color="auto"/>
                        <w:right w:val="none" w:sz="0" w:space="0" w:color="auto"/>
                      </w:divBdr>
                    </w:div>
                  </w:divsChild>
                </w:div>
                <w:div w:id="327946852">
                  <w:marLeft w:val="0"/>
                  <w:marRight w:val="0"/>
                  <w:marTop w:val="0"/>
                  <w:marBottom w:val="0"/>
                  <w:divBdr>
                    <w:top w:val="none" w:sz="0" w:space="0" w:color="auto"/>
                    <w:left w:val="none" w:sz="0" w:space="0" w:color="auto"/>
                    <w:bottom w:val="none" w:sz="0" w:space="0" w:color="auto"/>
                    <w:right w:val="none" w:sz="0" w:space="0" w:color="auto"/>
                  </w:divBdr>
                  <w:divsChild>
                    <w:div w:id="515120824">
                      <w:marLeft w:val="0"/>
                      <w:marRight w:val="0"/>
                      <w:marTop w:val="0"/>
                      <w:marBottom w:val="0"/>
                      <w:divBdr>
                        <w:top w:val="none" w:sz="0" w:space="0" w:color="auto"/>
                        <w:left w:val="none" w:sz="0" w:space="0" w:color="auto"/>
                        <w:bottom w:val="none" w:sz="0" w:space="0" w:color="auto"/>
                        <w:right w:val="none" w:sz="0" w:space="0" w:color="auto"/>
                      </w:divBdr>
                    </w:div>
                  </w:divsChild>
                </w:div>
                <w:div w:id="388918953">
                  <w:marLeft w:val="0"/>
                  <w:marRight w:val="0"/>
                  <w:marTop w:val="0"/>
                  <w:marBottom w:val="0"/>
                  <w:divBdr>
                    <w:top w:val="none" w:sz="0" w:space="0" w:color="auto"/>
                    <w:left w:val="none" w:sz="0" w:space="0" w:color="auto"/>
                    <w:bottom w:val="none" w:sz="0" w:space="0" w:color="auto"/>
                    <w:right w:val="none" w:sz="0" w:space="0" w:color="auto"/>
                  </w:divBdr>
                  <w:divsChild>
                    <w:div w:id="659044213">
                      <w:marLeft w:val="0"/>
                      <w:marRight w:val="0"/>
                      <w:marTop w:val="0"/>
                      <w:marBottom w:val="0"/>
                      <w:divBdr>
                        <w:top w:val="none" w:sz="0" w:space="0" w:color="auto"/>
                        <w:left w:val="none" w:sz="0" w:space="0" w:color="auto"/>
                        <w:bottom w:val="none" w:sz="0" w:space="0" w:color="auto"/>
                        <w:right w:val="none" w:sz="0" w:space="0" w:color="auto"/>
                      </w:divBdr>
                    </w:div>
                  </w:divsChild>
                </w:div>
                <w:div w:id="400031773">
                  <w:marLeft w:val="0"/>
                  <w:marRight w:val="0"/>
                  <w:marTop w:val="0"/>
                  <w:marBottom w:val="0"/>
                  <w:divBdr>
                    <w:top w:val="none" w:sz="0" w:space="0" w:color="auto"/>
                    <w:left w:val="none" w:sz="0" w:space="0" w:color="auto"/>
                    <w:bottom w:val="none" w:sz="0" w:space="0" w:color="auto"/>
                    <w:right w:val="none" w:sz="0" w:space="0" w:color="auto"/>
                  </w:divBdr>
                  <w:divsChild>
                    <w:div w:id="1917474346">
                      <w:marLeft w:val="0"/>
                      <w:marRight w:val="0"/>
                      <w:marTop w:val="0"/>
                      <w:marBottom w:val="0"/>
                      <w:divBdr>
                        <w:top w:val="none" w:sz="0" w:space="0" w:color="auto"/>
                        <w:left w:val="none" w:sz="0" w:space="0" w:color="auto"/>
                        <w:bottom w:val="none" w:sz="0" w:space="0" w:color="auto"/>
                        <w:right w:val="none" w:sz="0" w:space="0" w:color="auto"/>
                      </w:divBdr>
                    </w:div>
                  </w:divsChild>
                </w:div>
                <w:div w:id="406003010">
                  <w:marLeft w:val="0"/>
                  <w:marRight w:val="0"/>
                  <w:marTop w:val="0"/>
                  <w:marBottom w:val="0"/>
                  <w:divBdr>
                    <w:top w:val="none" w:sz="0" w:space="0" w:color="auto"/>
                    <w:left w:val="none" w:sz="0" w:space="0" w:color="auto"/>
                    <w:bottom w:val="none" w:sz="0" w:space="0" w:color="auto"/>
                    <w:right w:val="none" w:sz="0" w:space="0" w:color="auto"/>
                  </w:divBdr>
                  <w:divsChild>
                    <w:div w:id="1821457910">
                      <w:marLeft w:val="0"/>
                      <w:marRight w:val="0"/>
                      <w:marTop w:val="0"/>
                      <w:marBottom w:val="0"/>
                      <w:divBdr>
                        <w:top w:val="none" w:sz="0" w:space="0" w:color="auto"/>
                        <w:left w:val="none" w:sz="0" w:space="0" w:color="auto"/>
                        <w:bottom w:val="none" w:sz="0" w:space="0" w:color="auto"/>
                        <w:right w:val="none" w:sz="0" w:space="0" w:color="auto"/>
                      </w:divBdr>
                    </w:div>
                  </w:divsChild>
                </w:div>
                <w:div w:id="408771938">
                  <w:marLeft w:val="0"/>
                  <w:marRight w:val="0"/>
                  <w:marTop w:val="0"/>
                  <w:marBottom w:val="0"/>
                  <w:divBdr>
                    <w:top w:val="none" w:sz="0" w:space="0" w:color="auto"/>
                    <w:left w:val="none" w:sz="0" w:space="0" w:color="auto"/>
                    <w:bottom w:val="none" w:sz="0" w:space="0" w:color="auto"/>
                    <w:right w:val="none" w:sz="0" w:space="0" w:color="auto"/>
                  </w:divBdr>
                  <w:divsChild>
                    <w:div w:id="2008942983">
                      <w:marLeft w:val="0"/>
                      <w:marRight w:val="0"/>
                      <w:marTop w:val="0"/>
                      <w:marBottom w:val="0"/>
                      <w:divBdr>
                        <w:top w:val="none" w:sz="0" w:space="0" w:color="auto"/>
                        <w:left w:val="none" w:sz="0" w:space="0" w:color="auto"/>
                        <w:bottom w:val="none" w:sz="0" w:space="0" w:color="auto"/>
                        <w:right w:val="none" w:sz="0" w:space="0" w:color="auto"/>
                      </w:divBdr>
                    </w:div>
                  </w:divsChild>
                </w:div>
                <w:div w:id="411507039">
                  <w:marLeft w:val="0"/>
                  <w:marRight w:val="0"/>
                  <w:marTop w:val="0"/>
                  <w:marBottom w:val="0"/>
                  <w:divBdr>
                    <w:top w:val="none" w:sz="0" w:space="0" w:color="auto"/>
                    <w:left w:val="none" w:sz="0" w:space="0" w:color="auto"/>
                    <w:bottom w:val="none" w:sz="0" w:space="0" w:color="auto"/>
                    <w:right w:val="none" w:sz="0" w:space="0" w:color="auto"/>
                  </w:divBdr>
                  <w:divsChild>
                    <w:div w:id="395130501">
                      <w:marLeft w:val="0"/>
                      <w:marRight w:val="0"/>
                      <w:marTop w:val="0"/>
                      <w:marBottom w:val="0"/>
                      <w:divBdr>
                        <w:top w:val="none" w:sz="0" w:space="0" w:color="auto"/>
                        <w:left w:val="none" w:sz="0" w:space="0" w:color="auto"/>
                        <w:bottom w:val="none" w:sz="0" w:space="0" w:color="auto"/>
                        <w:right w:val="none" w:sz="0" w:space="0" w:color="auto"/>
                      </w:divBdr>
                    </w:div>
                  </w:divsChild>
                </w:div>
                <w:div w:id="428089817">
                  <w:marLeft w:val="0"/>
                  <w:marRight w:val="0"/>
                  <w:marTop w:val="0"/>
                  <w:marBottom w:val="0"/>
                  <w:divBdr>
                    <w:top w:val="none" w:sz="0" w:space="0" w:color="auto"/>
                    <w:left w:val="none" w:sz="0" w:space="0" w:color="auto"/>
                    <w:bottom w:val="none" w:sz="0" w:space="0" w:color="auto"/>
                    <w:right w:val="none" w:sz="0" w:space="0" w:color="auto"/>
                  </w:divBdr>
                  <w:divsChild>
                    <w:div w:id="1812164450">
                      <w:marLeft w:val="0"/>
                      <w:marRight w:val="0"/>
                      <w:marTop w:val="0"/>
                      <w:marBottom w:val="0"/>
                      <w:divBdr>
                        <w:top w:val="none" w:sz="0" w:space="0" w:color="auto"/>
                        <w:left w:val="none" w:sz="0" w:space="0" w:color="auto"/>
                        <w:bottom w:val="none" w:sz="0" w:space="0" w:color="auto"/>
                        <w:right w:val="none" w:sz="0" w:space="0" w:color="auto"/>
                      </w:divBdr>
                    </w:div>
                  </w:divsChild>
                </w:div>
                <w:div w:id="561911711">
                  <w:marLeft w:val="0"/>
                  <w:marRight w:val="0"/>
                  <w:marTop w:val="0"/>
                  <w:marBottom w:val="0"/>
                  <w:divBdr>
                    <w:top w:val="none" w:sz="0" w:space="0" w:color="auto"/>
                    <w:left w:val="none" w:sz="0" w:space="0" w:color="auto"/>
                    <w:bottom w:val="none" w:sz="0" w:space="0" w:color="auto"/>
                    <w:right w:val="none" w:sz="0" w:space="0" w:color="auto"/>
                  </w:divBdr>
                  <w:divsChild>
                    <w:div w:id="1012876654">
                      <w:marLeft w:val="0"/>
                      <w:marRight w:val="0"/>
                      <w:marTop w:val="0"/>
                      <w:marBottom w:val="0"/>
                      <w:divBdr>
                        <w:top w:val="none" w:sz="0" w:space="0" w:color="auto"/>
                        <w:left w:val="none" w:sz="0" w:space="0" w:color="auto"/>
                        <w:bottom w:val="none" w:sz="0" w:space="0" w:color="auto"/>
                        <w:right w:val="none" w:sz="0" w:space="0" w:color="auto"/>
                      </w:divBdr>
                    </w:div>
                  </w:divsChild>
                </w:div>
                <w:div w:id="570041412">
                  <w:marLeft w:val="0"/>
                  <w:marRight w:val="0"/>
                  <w:marTop w:val="0"/>
                  <w:marBottom w:val="0"/>
                  <w:divBdr>
                    <w:top w:val="none" w:sz="0" w:space="0" w:color="auto"/>
                    <w:left w:val="none" w:sz="0" w:space="0" w:color="auto"/>
                    <w:bottom w:val="none" w:sz="0" w:space="0" w:color="auto"/>
                    <w:right w:val="none" w:sz="0" w:space="0" w:color="auto"/>
                  </w:divBdr>
                  <w:divsChild>
                    <w:div w:id="655500395">
                      <w:marLeft w:val="0"/>
                      <w:marRight w:val="0"/>
                      <w:marTop w:val="0"/>
                      <w:marBottom w:val="0"/>
                      <w:divBdr>
                        <w:top w:val="none" w:sz="0" w:space="0" w:color="auto"/>
                        <w:left w:val="none" w:sz="0" w:space="0" w:color="auto"/>
                        <w:bottom w:val="none" w:sz="0" w:space="0" w:color="auto"/>
                        <w:right w:val="none" w:sz="0" w:space="0" w:color="auto"/>
                      </w:divBdr>
                    </w:div>
                  </w:divsChild>
                </w:div>
                <w:div w:id="769200878">
                  <w:marLeft w:val="0"/>
                  <w:marRight w:val="0"/>
                  <w:marTop w:val="0"/>
                  <w:marBottom w:val="0"/>
                  <w:divBdr>
                    <w:top w:val="none" w:sz="0" w:space="0" w:color="auto"/>
                    <w:left w:val="none" w:sz="0" w:space="0" w:color="auto"/>
                    <w:bottom w:val="none" w:sz="0" w:space="0" w:color="auto"/>
                    <w:right w:val="none" w:sz="0" w:space="0" w:color="auto"/>
                  </w:divBdr>
                  <w:divsChild>
                    <w:div w:id="927275671">
                      <w:marLeft w:val="0"/>
                      <w:marRight w:val="0"/>
                      <w:marTop w:val="0"/>
                      <w:marBottom w:val="0"/>
                      <w:divBdr>
                        <w:top w:val="none" w:sz="0" w:space="0" w:color="auto"/>
                        <w:left w:val="none" w:sz="0" w:space="0" w:color="auto"/>
                        <w:bottom w:val="none" w:sz="0" w:space="0" w:color="auto"/>
                        <w:right w:val="none" w:sz="0" w:space="0" w:color="auto"/>
                      </w:divBdr>
                    </w:div>
                  </w:divsChild>
                </w:div>
                <w:div w:id="782266680">
                  <w:marLeft w:val="0"/>
                  <w:marRight w:val="0"/>
                  <w:marTop w:val="0"/>
                  <w:marBottom w:val="0"/>
                  <w:divBdr>
                    <w:top w:val="none" w:sz="0" w:space="0" w:color="auto"/>
                    <w:left w:val="none" w:sz="0" w:space="0" w:color="auto"/>
                    <w:bottom w:val="none" w:sz="0" w:space="0" w:color="auto"/>
                    <w:right w:val="none" w:sz="0" w:space="0" w:color="auto"/>
                  </w:divBdr>
                  <w:divsChild>
                    <w:div w:id="2084328375">
                      <w:marLeft w:val="0"/>
                      <w:marRight w:val="0"/>
                      <w:marTop w:val="0"/>
                      <w:marBottom w:val="0"/>
                      <w:divBdr>
                        <w:top w:val="none" w:sz="0" w:space="0" w:color="auto"/>
                        <w:left w:val="none" w:sz="0" w:space="0" w:color="auto"/>
                        <w:bottom w:val="none" w:sz="0" w:space="0" w:color="auto"/>
                        <w:right w:val="none" w:sz="0" w:space="0" w:color="auto"/>
                      </w:divBdr>
                    </w:div>
                  </w:divsChild>
                </w:div>
                <w:div w:id="783158602">
                  <w:marLeft w:val="0"/>
                  <w:marRight w:val="0"/>
                  <w:marTop w:val="0"/>
                  <w:marBottom w:val="0"/>
                  <w:divBdr>
                    <w:top w:val="none" w:sz="0" w:space="0" w:color="auto"/>
                    <w:left w:val="none" w:sz="0" w:space="0" w:color="auto"/>
                    <w:bottom w:val="none" w:sz="0" w:space="0" w:color="auto"/>
                    <w:right w:val="none" w:sz="0" w:space="0" w:color="auto"/>
                  </w:divBdr>
                  <w:divsChild>
                    <w:div w:id="1751081935">
                      <w:marLeft w:val="0"/>
                      <w:marRight w:val="0"/>
                      <w:marTop w:val="0"/>
                      <w:marBottom w:val="0"/>
                      <w:divBdr>
                        <w:top w:val="none" w:sz="0" w:space="0" w:color="auto"/>
                        <w:left w:val="none" w:sz="0" w:space="0" w:color="auto"/>
                        <w:bottom w:val="none" w:sz="0" w:space="0" w:color="auto"/>
                        <w:right w:val="none" w:sz="0" w:space="0" w:color="auto"/>
                      </w:divBdr>
                    </w:div>
                  </w:divsChild>
                </w:div>
                <w:div w:id="885603618">
                  <w:marLeft w:val="0"/>
                  <w:marRight w:val="0"/>
                  <w:marTop w:val="0"/>
                  <w:marBottom w:val="0"/>
                  <w:divBdr>
                    <w:top w:val="none" w:sz="0" w:space="0" w:color="auto"/>
                    <w:left w:val="none" w:sz="0" w:space="0" w:color="auto"/>
                    <w:bottom w:val="none" w:sz="0" w:space="0" w:color="auto"/>
                    <w:right w:val="none" w:sz="0" w:space="0" w:color="auto"/>
                  </w:divBdr>
                  <w:divsChild>
                    <w:div w:id="1105199205">
                      <w:marLeft w:val="0"/>
                      <w:marRight w:val="0"/>
                      <w:marTop w:val="0"/>
                      <w:marBottom w:val="0"/>
                      <w:divBdr>
                        <w:top w:val="none" w:sz="0" w:space="0" w:color="auto"/>
                        <w:left w:val="none" w:sz="0" w:space="0" w:color="auto"/>
                        <w:bottom w:val="none" w:sz="0" w:space="0" w:color="auto"/>
                        <w:right w:val="none" w:sz="0" w:space="0" w:color="auto"/>
                      </w:divBdr>
                    </w:div>
                  </w:divsChild>
                </w:div>
                <w:div w:id="951131244">
                  <w:marLeft w:val="0"/>
                  <w:marRight w:val="0"/>
                  <w:marTop w:val="0"/>
                  <w:marBottom w:val="0"/>
                  <w:divBdr>
                    <w:top w:val="none" w:sz="0" w:space="0" w:color="auto"/>
                    <w:left w:val="none" w:sz="0" w:space="0" w:color="auto"/>
                    <w:bottom w:val="none" w:sz="0" w:space="0" w:color="auto"/>
                    <w:right w:val="none" w:sz="0" w:space="0" w:color="auto"/>
                  </w:divBdr>
                  <w:divsChild>
                    <w:div w:id="654725884">
                      <w:marLeft w:val="0"/>
                      <w:marRight w:val="0"/>
                      <w:marTop w:val="0"/>
                      <w:marBottom w:val="0"/>
                      <w:divBdr>
                        <w:top w:val="none" w:sz="0" w:space="0" w:color="auto"/>
                        <w:left w:val="none" w:sz="0" w:space="0" w:color="auto"/>
                        <w:bottom w:val="none" w:sz="0" w:space="0" w:color="auto"/>
                        <w:right w:val="none" w:sz="0" w:space="0" w:color="auto"/>
                      </w:divBdr>
                    </w:div>
                  </w:divsChild>
                </w:div>
                <w:div w:id="951132287">
                  <w:marLeft w:val="0"/>
                  <w:marRight w:val="0"/>
                  <w:marTop w:val="0"/>
                  <w:marBottom w:val="0"/>
                  <w:divBdr>
                    <w:top w:val="none" w:sz="0" w:space="0" w:color="auto"/>
                    <w:left w:val="none" w:sz="0" w:space="0" w:color="auto"/>
                    <w:bottom w:val="none" w:sz="0" w:space="0" w:color="auto"/>
                    <w:right w:val="none" w:sz="0" w:space="0" w:color="auto"/>
                  </w:divBdr>
                  <w:divsChild>
                    <w:div w:id="857499707">
                      <w:marLeft w:val="0"/>
                      <w:marRight w:val="0"/>
                      <w:marTop w:val="0"/>
                      <w:marBottom w:val="0"/>
                      <w:divBdr>
                        <w:top w:val="none" w:sz="0" w:space="0" w:color="auto"/>
                        <w:left w:val="none" w:sz="0" w:space="0" w:color="auto"/>
                        <w:bottom w:val="none" w:sz="0" w:space="0" w:color="auto"/>
                        <w:right w:val="none" w:sz="0" w:space="0" w:color="auto"/>
                      </w:divBdr>
                    </w:div>
                  </w:divsChild>
                </w:div>
                <w:div w:id="1074932257">
                  <w:marLeft w:val="0"/>
                  <w:marRight w:val="0"/>
                  <w:marTop w:val="0"/>
                  <w:marBottom w:val="0"/>
                  <w:divBdr>
                    <w:top w:val="none" w:sz="0" w:space="0" w:color="auto"/>
                    <w:left w:val="none" w:sz="0" w:space="0" w:color="auto"/>
                    <w:bottom w:val="none" w:sz="0" w:space="0" w:color="auto"/>
                    <w:right w:val="none" w:sz="0" w:space="0" w:color="auto"/>
                  </w:divBdr>
                  <w:divsChild>
                    <w:div w:id="1626351830">
                      <w:marLeft w:val="0"/>
                      <w:marRight w:val="0"/>
                      <w:marTop w:val="0"/>
                      <w:marBottom w:val="0"/>
                      <w:divBdr>
                        <w:top w:val="none" w:sz="0" w:space="0" w:color="auto"/>
                        <w:left w:val="none" w:sz="0" w:space="0" w:color="auto"/>
                        <w:bottom w:val="none" w:sz="0" w:space="0" w:color="auto"/>
                        <w:right w:val="none" w:sz="0" w:space="0" w:color="auto"/>
                      </w:divBdr>
                    </w:div>
                  </w:divsChild>
                </w:div>
                <w:div w:id="1106314335">
                  <w:marLeft w:val="0"/>
                  <w:marRight w:val="0"/>
                  <w:marTop w:val="0"/>
                  <w:marBottom w:val="0"/>
                  <w:divBdr>
                    <w:top w:val="none" w:sz="0" w:space="0" w:color="auto"/>
                    <w:left w:val="none" w:sz="0" w:space="0" w:color="auto"/>
                    <w:bottom w:val="none" w:sz="0" w:space="0" w:color="auto"/>
                    <w:right w:val="none" w:sz="0" w:space="0" w:color="auto"/>
                  </w:divBdr>
                  <w:divsChild>
                    <w:div w:id="1618684619">
                      <w:marLeft w:val="0"/>
                      <w:marRight w:val="0"/>
                      <w:marTop w:val="0"/>
                      <w:marBottom w:val="0"/>
                      <w:divBdr>
                        <w:top w:val="none" w:sz="0" w:space="0" w:color="auto"/>
                        <w:left w:val="none" w:sz="0" w:space="0" w:color="auto"/>
                        <w:bottom w:val="none" w:sz="0" w:space="0" w:color="auto"/>
                        <w:right w:val="none" w:sz="0" w:space="0" w:color="auto"/>
                      </w:divBdr>
                    </w:div>
                  </w:divsChild>
                </w:div>
                <w:div w:id="1145659975">
                  <w:marLeft w:val="0"/>
                  <w:marRight w:val="0"/>
                  <w:marTop w:val="0"/>
                  <w:marBottom w:val="0"/>
                  <w:divBdr>
                    <w:top w:val="none" w:sz="0" w:space="0" w:color="auto"/>
                    <w:left w:val="none" w:sz="0" w:space="0" w:color="auto"/>
                    <w:bottom w:val="none" w:sz="0" w:space="0" w:color="auto"/>
                    <w:right w:val="none" w:sz="0" w:space="0" w:color="auto"/>
                  </w:divBdr>
                  <w:divsChild>
                    <w:div w:id="1776091932">
                      <w:marLeft w:val="0"/>
                      <w:marRight w:val="0"/>
                      <w:marTop w:val="0"/>
                      <w:marBottom w:val="0"/>
                      <w:divBdr>
                        <w:top w:val="none" w:sz="0" w:space="0" w:color="auto"/>
                        <w:left w:val="none" w:sz="0" w:space="0" w:color="auto"/>
                        <w:bottom w:val="none" w:sz="0" w:space="0" w:color="auto"/>
                        <w:right w:val="none" w:sz="0" w:space="0" w:color="auto"/>
                      </w:divBdr>
                    </w:div>
                  </w:divsChild>
                </w:div>
                <w:div w:id="1164928553">
                  <w:marLeft w:val="0"/>
                  <w:marRight w:val="0"/>
                  <w:marTop w:val="0"/>
                  <w:marBottom w:val="0"/>
                  <w:divBdr>
                    <w:top w:val="none" w:sz="0" w:space="0" w:color="auto"/>
                    <w:left w:val="none" w:sz="0" w:space="0" w:color="auto"/>
                    <w:bottom w:val="none" w:sz="0" w:space="0" w:color="auto"/>
                    <w:right w:val="none" w:sz="0" w:space="0" w:color="auto"/>
                  </w:divBdr>
                  <w:divsChild>
                    <w:div w:id="148862072">
                      <w:marLeft w:val="0"/>
                      <w:marRight w:val="0"/>
                      <w:marTop w:val="0"/>
                      <w:marBottom w:val="0"/>
                      <w:divBdr>
                        <w:top w:val="none" w:sz="0" w:space="0" w:color="auto"/>
                        <w:left w:val="none" w:sz="0" w:space="0" w:color="auto"/>
                        <w:bottom w:val="none" w:sz="0" w:space="0" w:color="auto"/>
                        <w:right w:val="none" w:sz="0" w:space="0" w:color="auto"/>
                      </w:divBdr>
                    </w:div>
                  </w:divsChild>
                </w:div>
                <w:div w:id="1166675689">
                  <w:marLeft w:val="0"/>
                  <w:marRight w:val="0"/>
                  <w:marTop w:val="0"/>
                  <w:marBottom w:val="0"/>
                  <w:divBdr>
                    <w:top w:val="none" w:sz="0" w:space="0" w:color="auto"/>
                    <w:left w:val="none" w:sz="0" w:space="0" w:color="auto"/>
                    <w:bottom w:val="none" w:sz="0" w:space="0" w:color="auto"/>
                    <w:right w:val="none" w:sz="0" w:space="0" w:color="auto"/>
                  </w:divBdr>
                  <w:divsChild>
                    <w:div w:id="108477769">
                      <w:marLeft w:val="0"/>
                      <w:marRight w:val="0"/>
                      <w:marTop w:val="0"/>
                      <w:marBottom w:val="0"/>
                      <w:divBdr>
                        <w:top w:val="none" w:sz="0" w:space="0" w:color="auto"/>
                        <w:left w:val="none" w:sz="0" w:space="0" w:color="auto"/>
                        <w:bottom w:val="none" w:sz="0" w:space="0" w:color="auto"/>
                        <w:right w:val="none" w:sz="0" w:space="0" w:color="auto"/>
                      </w:divBdr>
                    </w:div>
                  </w:divsChild>
                </w:div>
                <w:div w:id="1270547819">
                  <w:marLeft w:val="0"/>
                  <w:marRight w:val="0"/>
                  <w:marTop w:val="0"/>
                  <w:marBottom w:val="0"/>
                  <w:divBdr>
                    <w:top w:val="none" w:sz="0" w:space="0" w:color="auto"/>
                    <w:left w:val="none" w:sz="0" w:space="0" w:color="auto"/>
                    <w:bottom w:val="none" w:sz="0" w:space="0" w:color="auto"/>
                    <w:right w:val="none" w:sz="0" w:space="0" w:color="auto"/>
                  </w:divBdr>
                  <w:divsChild>
                    <w:div w:id="419328520">
                      <w:marLeft w:val="0"/>
                      <w:marRight w:val="0"/>
                      <w:marTop w:val="0"/>
                      <w:marBottom w:val="0"/>
                      <w:divBdr>
                        <w:top w:val="none" w:sz="0" w:space="0" w:color="auto"/>
                        <w:left w:val="none" w:sz="0" w:space="0" w:color="auto"/>
                        <w:bottom w:val="none" w:sz="0" w:space="0" w:color="auto"/>
                        <w:right w:val="none" w:sz="0" w:space="0" w:color="auto"/>
                      </w:divBdr>
                    </w:div>
                  </w:divsChild>
                </w:div>
                <w:div w:id="1348020357">
                  <w:marLeft w:val="0"/>
                  <w:marRight w:val="0"/>
                  <w:marTop w:val="0"/>
                  <w:marBottom w:val="0"/>
                  <w:divBdr>
                    <w:top w:val="none" w:sz="0" w:space="0" w:color="auto"/>
                    <w:left w:val="none" w:sz="0" w:space="0" w:color="auto"/>
                    <w:bottom w:val="none" w:sz="0" w:space="0" w:color="auto"/>
                    <w:right w:val="none" w:sz="0" w:space="0" w:color="auto"/>
                  </w:divBdr>
                  <w:divsChild>
                    <w:div w:id="619806030">
                      <w:marLeft w:val="0"/>
                      <w:marRight w:val="0"/>
                      <w:marTop w:val="0"/>
                      <w:marBottom w:val="0"/>
                      <w:divBdr>
                        <w:top w:val="none" w:sz="0" w:space="0" w:color="auto"/>
                        <w:left w:val="none" w:sz="0" w:space="0" w:color="auto"/>
                        <w:bottom w:val="none" w:sz="0" w:space="0" w:color="auto"/>
                        <w:right w:val="none" w:sz="0" w:space="0" w:color="auto"/>
                      </w:divBdr>
                    </w:div>
                  </w:divsChild>
                </w:div>
                <w:div w:id="1353342533">
                  <w:marLeft w:val="0"/>
                  <w:marRight w:val="0"/>
                  <w:marTop w:val="0"/>
                  <w:marBottom w:val="0"/>
                  <w:divBdr>
                    <w:top w:val="none" w:sz="0" w:space="0" w:color="auto"/>
                    <w:left w:val="none" w:sz="0" w:space="0" w:color="auto"/>
                    <w:bottom w:val="none" w:sz="0" w:space="0" w:color="auto"/>
                    <w:right w:val="none" w:sz="0" w:space="0" w:color="auto"/>
                  </w:divBdr>
                  <w:divsChild>
                    <w:div w:id="2073430315">
                      <w:marLeft w:val="0"/>
                      <w:marRight w:val="0"/>
                      <w:marTop w:val="0"/>
                      <w:marBottom w:val="0"/>
                      <w:divBdr>
                        <w:top w:val="none" w:sz="0" w:space="0" w:color="auto"/>
                        <w:left w:val="none" w:sz="0" w:space="0" w:color="auto"/>
                        <w:bottom w:val="none" w:sz="0" w:space="0" w:color="auto"/>
                        <w:right w:val="none" w:sz="0" w:space="0" w:color="auto"/>
                      </w:divBdr>
                    </w:div>
                  </w:divsChild>
                </w:div>
                <w:div w:id="1483541287">
                  <w:marLeft w:val="0"/>
                  <w:marRight w:val="0"/>
                  <w:marTop w:val="0"/>
                  <w:marBottom w:val="0"/>
                  <w:divBdr>
                    <w:top w:val="none" w:sz="0" w:space="0" w:color="auto"/>
                    <w:left w:val="none" w:sz="0" w:space="0" w:color="auto"/>
                    <w:bottom w:val="none" w:sz="0" w:space="0" w:color="auto"/>
                    <w:right w:val="none" w:sz="0" w:space="0" w:color="auto"/>
                  </w:divBdr>
                  <w:divsChild>
                    <w:div w:id="1615400409">
                      <w:marLeft w:val="0"/>
                      <w:marRight w:val="0"/>
                      <w:marTop w:val="0"/>
                      <w:marBottom w:val="0"/>
                      <w:divBdr>
                        <w:top w:val="none" w:sz="0" w:space="0" w:color="auto"/>
                        <w:left w:val="none" w:sz="0" w:space="0" w:color="auto"/>
                        <w:bottom w:val="none" w:sz="0" w:space="0" w:color="auto"/>
                        <w:right w:val="none" w:sz="0" w:space="0" w:color="auto"/>
                      </w:divBdr>
                    </w:div>
                  </w:divsChild>
                </w:div>
                <w:div w:id="1525903657">
                  <w:marLeft w:val="0"/>
                  <w:marRight w:val="0"/>
                  <w:marTop w:val="0"/>
                  <w:marBottom w:val="0"/>
                  <w:divBdr>
                    <w:top w:val="none" w:sz="0" w:space="0" w:color="auto"/>
                    <w:left w:val="none" w:sz="0" w:space="0" w:color="auto"/>
                    <w:bottom w:val="none" w:sz="0" w:space="0" w:color="auto"/>
                    <w:right w:val="none" w:sz="0" w:space="0" w:color="auto"/>
                  </w:divBdr>
                  <w:divsChild>
                    <w:div w:id="1576552425">
                      <w:marLeft w:val="0"/>
                      <w:marRight w:val="0"/>
                      <w:marTop w:val="0"/>
                      <w:marBottom w:val="0"/>
                      <w:divBdr>
                        <w:top w:val="none" w:sz="0" w:space="0" w:color="auto"/>
                        <w:left w:val="none" w:sz="0" w:space="0" w:color="auto"/>
                        <w:bottom w:val="none" w:sz="0" w:space="0" w:color="auto"/>
                        <w:right w:val="none" w:sz="0" w:space="0" w:color="auto"/>
                      </w:divBdr>
                    </w:div>
                  </w:divsChild>
                </w:div>
                <w:div w:id="1553272799">
                  <w:marLeft w:val="0"/>
                  <w:marRight w:val="0"/>
                  <w:marTop w:val="0"/>
                  <w:marBottom w:val="0"/>
                  <w:divBdr>
                    <w:top w:val="none" w:sz="0" w:space="0" w:color="auto"/>
                    <w:left w:val="none" w:sz="0" w:space="0" w:color="auto"/>
                    <w:bottom w:val="none" w:sz="0" w:space="0" w:color="auto"/>
                    <w:right w:val="none" w:sz="0" w:space="0" w:color="auto"/>
                  </w:divBdr>
                  <w:divsChild>
                    <w:div w:id="1714840128">
                      <w:marLeft w:val="0"/>
                      <w:marRight w:val="0"/>
                      <w:marTop w:val="0"/>
                      <w:marBottom w:val="0"/>
                      <w:divBdr>
                        <w:top w:val="none" w:sz="0" w:space="0" w:color="auto"/>
                        <w:left w:val="none" w:sz="0" w:space="0" w:color="auto"/>
                        <w:bottom w:val="none" w:sz="0" w:space="0" w:color="auto"/>
                        <w:right w:val="none" w:sz="0" w:space="0" w:color="auto"/>
                      </w:divBdr>
                    </w:div>
                  </w:divsChild>
                </w:div>
                <w:div w:id="1618826421">
                  <w:marLeft w:val="0"/>
                  <w:marRight w:val="0"/>
                  <w:marTop w:val="0"/>
                  <w:marBottom w:val="0"/>
                  <w:divBdr>
                    <w:top w:val="none" w:sz="0" w:space="0" w:color="auto"/>
                    <w:left w:val="none" w:sz="0" w:space="0" w:color="auto"/>
                    <w:bottom w:val="none" w:sz="0" w:space="0" w:color="auto"/>
                    <w:right w:val="none" w:sz="0" w:space="0" w:color="auto"/>
                  </w:divBdr>
                  <w:divsChild>
                    <w:div w:id="646863884">
                      <w:marLeft w:val="0"/>
                      <w:marRight w:val="0"/>
                      <w:marTop w:val="0"/>
                      <w:marBottom w:val="0"/>
                      <w:divBdr>
                        <w:top w:val="none" w:sz="0" w:space="0" w:color="auto"/>
                        <w:left w:val="none" w:sz="0" w:space="0" w:color="auto"/>
                        <w:bottom w:val="none" w:sz="0" w:space="0" w:color="auto"/>
                        <w:right w:val="none" w:sz="0" w:space="0" w:color="auto"/>
                      </w:divBdr>
                    </w:div>
                  </w:divsChild>
                </w:div>
                <w:div w:id="1623488425">
                  <w:marLeft w:val="0"/>
                  <w:marRight w:val="0"/>
                  <w:marTop w:val="0"/>
                  <w:marBottom w:val="0"/>
                  <w:divBdr>
                    <w:top w:val="none" w:sz="0" w:space="0" w:color="auto"/>
                    <w:left w:val="none" w:sz="0" w:space="0" w:color="auto"/>
                    <w:bottom w:val="none" w:sz="0" w:space="0" w:color="auto"/>
                    <w:right w:val="none" w:sz="0" w:space="0" w:color="auto"/>
                  </w:divBdr>
                  <w:divsChild>
                    <w:div w:id="121272684">
                      <w:marLeft w:val="0"/>
                      <w:marRight w:val="0"/>
                      <w:marTop w:val="0"/>
                      <w:marBottom w:val="0"/>
                      <w:divBdr>
                        <w:top w:val="none" w:sz="0" w:space="0" w:color="auto"/>
                        <w:left w:val="none" w:sz="0" w:space="0" w:color="auto"/>
                        <w:bottom w:val="none" w:sz="0" w:space="0" w:color="auto"/>
                        <w:right w:val="none" w:sz="0" w:space="0" w:color="auto"/>
                      </w:divBdr>
                    </w:div>
                  </w:divsChild>
                </w:div>
                <w:div w:id="1625424585">
                  <w:marLeft w:val="0"/>
                  <w:marRight w:val="0"/>
                  <w:marTop w:val="0"/>
                  <w:marBottom w:val="0"/>
                  <w:divBdr>
                    <w:top w:val="none" w:sz="0" w:space="0" w:color="auto"/>
                    <w:left w:val="none" w:sz="0" w:space="0" w:color="auto"/>
                    <w:bottom w:val="none" w:sz="0" w:space="0" w:color="auto"/>
                    <w:right w:val="none" w:sz="0" w:space="0" w:color="auto"/>
                  </w:divBdr>
                  <w:divsChild>
                    <w:div w:id="1844933939">
                      <w:marLeft w:val="0"/>
                      <w:marRight w:val="0"/>
                      <w:marTop w:val="0"/>
                      <w:marBottom w:val="0"/>
                      <w:divBdr>
                        <w:top w:val="none" w:sz="0" w:space="0" w:color="auto"/>
                        <w:left w:val="none" w:sz="0" w:space="0" w:color="auto"/>
                        <w:bottom w:val="none" w:sz="0" w:space="0" w:color="auto"/>
                        <w:right w:val="none" w:sz="0" w:space="0" w:color="auto"/>
                      </w:divBdr>
                    </w:div>
                  </w:divsChild>
                </w:div>
                <w:div w:id="1632442348">
                  <w:marLeft w:val="0"/>
                  <w:marRight w:val="0"/>
                  <w:marTop w:val="0"/>
                  <w:marBottom w:val="0"/>
                  <w:divBdr>
                    <w:top w:val="none" w:sz="0" w:space="0" w:color="auto"/>
                    <w:left w:val="none" w:sz="0" w:space="0" w:color="auto"/>
                    <w:bottom w:val="none" w:sz="0" w:space="0" w:color="auto"/>
                    <w:right w:val="none" w:sz="0" w:space="0" w:color="auto"/>
                  </w:divBdr>
                  <w:divsChild>
                    <w:div w:id="1304584682">
                      <w:marLeft w:val="0"/>
                      <w:marRight w:val="0"/>
                      <w:marTop w:val="0"/>
                      <w:marBottom w:val="0"/>
                      <w:divBdr>
                        <w:top w:val="none" w:sz="0" w:space="0" w:color="auto"/>
                        <w:left w:val="none" w:sz="0" w:space="0" w:color="auto"/>
                        <w:bottom w:val="none" w:sz="0" w:space="0" w:color="auto"/>
                        <w:right w:val="none" w:sz="0" w:space="0" w:color="auto"/>
                      </w:divBdr>
                    </w:div>
                  </w:divsChild>
                </w:div>
                <w:div w:id="1735272057">
                  <w:marLeft w:val="0"/>
                  <w:marRight w:val="0"/>
                  <w:marTop w:val="0"/>
                  <w:marBottom w:val="0"/>
                  <w:divBdr>
                    <w:top w:val="none" w:sz="0" w:space="0" w:color="auto"/>
                    <w:left w:val="none" w:sz="0" w:space="0" w:color="auto"/>
                    <w:bottom w:val="none" w:sz="0" w:space="0" w:color="auto"/>
                    <w:right w:val="none" w:sz="0" w:space="0" w:color="auto"/>
                  </w:divBdr>
                  <w:divsChild>
                    <w:div w:id="1631278999">
                      <w:marLeft w:val="0"/>
                      <w:marRight w:val="0"/>
                      <w:marTop w:val="0"/>
                      <w:marBottom w:val="0"/>
                      <w:divBdr>
                        <w:top w:val="none" w:sz="0" w:space="0" w:color="auto"/>
                        <w:left w:val="none" w:sz="0" w:space="0" w:color="auto"/>
                        <w:bottom w:val="none" w:sz="0" w:space="0" w:color="auto"/>
                        <w:right w:val="none" w:sz="0" w:space="0" w:color="auto"/>
                      </w:divBdr>
                    </w:div>
                  </w:divsChild>
                </w:div>
                <w:div w:id="1778938329">
                  <w:marLeft w:val="0"/>
                  <w:marRight w:val="0"/>
                  <w:marTop w:val="0"/>
                  <w:marBottom w:val="0"/>
                  <w:divBdr>
                    <w:top w:val="none" w:sz="0" w:space="0" w:color="auto"/>
                    <w:left w:val="none" w:sz="0" w:space="0" w:color="auto"/>
                    <w:bottom w:val="none" w:sz="0" w:space="0" w:color="auto"/>
                    <w:right w:val="none" w:sz="0" w:space="0" w:color="auto"/>
                  </w:divBdr>
                  <w:divsChild>
                    <w:div w:id="787091870">
                      <w:marLeft w:val="0"/>
                      <w:marRight w:val="0"/>
                      <w:marTop w:val="0"/>
                      <w:marBottom w:val="0"/>
                      <w:divBdr>
                        <w:top w:val="none" w:sz="0" w:space="0" w:color="auto"/>
                        <w:left w:val="none" w:sz="0" w:space="0" w:color="auto"/>
                        <w:bottom w:val="none" w:sz="0" w:space="0" w:color="auto"/>
                        <w:right w:val="none" w:sz="0" w:space="0" w:color="auto"/>
                      </w:divBdr>
                    </w:div>
                  </w:divsChild>
                </w:div>
                <w:div w:id="1786070751">
                  <w:marLeft w:val="0"/>
                  <w:marRight w:val="0"/>
                  <w:marTop w:val="0"/>
                  <w:marBottom w:val="0"/>
                  <w:divBdr>
                    <w:top w:val="none" w:sz="0" w:space="0" w:color="auto"/>
                    <w:left w:val="none" w:sz="0" w:space="0" w:color="auto"/>
                    <w:bottom w:val="none" w:sz="0" w:space="0" w:color="auto"/>
                    <w:right w:val="none" w:sz="0" w:space="0" w:color="auto"/>
                  </w:divBdr>
                  <w:divsChild>
                    <w:div w:id="1676565893">
                      <w:marLeft w:val="0"/>
                      <w:marRight w:val="0"/>
                      <w:marTop w:val="0"/>
                      <w:marBottom w:val="0"/>
                      <w:divBdr>
                        <w:top w:val="none" w:sz="0" w:space="0" w:color="auto"/>
                        <w:left w:val="none" w:sz="0" w:space="0" w:color="auto"/>
                        <w:bottom w:val="none" w:sz="0" w:space="0" w:color="auto"/>
                        <w:right w:val="none" w:sz="0" w:space="0" w:color="auto"/>
                      </w:divBdr>
                    </w:div>
                  </w:divsChild>
                </w:div>
                <w:div w:id="1819609906">
                  <w:marLeft w:val="0"/>
                  <w:marRight w:val="0"/>
                  <w:marTop w:val="0"/>
                  <w:marBottom w:val="0"/>
                  <w:divBdr>
                    <w:top w:val="none" w:sz="0" w:space="0" w:color="auto"/>
                    <w:left w:val="none" w:sz="0" w:space="0" w:color="auto"/>
                    <w:bottom w:val="none" w:sz="0" w:space="0" w:color="auto"/>
                    <w:right w:val="none" w:sz="0" w:space="0" w:color="auto"/>
                  </w:divBdr>
                  <w:divsChild>
                    <w:div w:id="1952935753">
                      <w:marLeft w:val="0"/>
                      <w:marRight w:val="0"/>
                      <w:marTop w:val="0"/>
                      <w:marBottom w:val="0"/>
                      <w:divBdr>
                        <w:top w:val="none" w:sz="0" w:space="0" w:color="auto"/>
                        <w:left w:val="none" w:sz="0" w:space="0" w:color="auto"/>
                        <w:bottom w:val="none" w:sz="0" w:space="0" w:color="auto"/>
                        <w:right w:val="none" w:sz="0" w:space="0" w:color="auto"/>
                      </w:divBdr>
                    </w:div>
                  </w:divsChild>
                </w:div>
                <w:div w:id="1862471611">
                  <w:marLeft w:val="0"/>
                  <w:marRight w:val="0"/>
                  <w:marTop w:val="0"/>
                  <w:marBottom w:val="0"/>
                  <w:divBdr>
                    <w:top w:val="none" w:sz="0" w:space="0" w:color="auto"/>
                    <w:left w:val="none" w:sz="0" w:space="0" w:color="auto"/>
                    <w:bottom w:val="none" w:sz="0" w:space="0" w:color="auto"/>
                    <w:right w:val="none" w:sz="0" w:space="0" w:color="auto"/>
                  </w:divBdr>
                  <w:divsChild>
                    <w:div w:id="1618872650">
                      <w:marLeft w:val="0"/>
                      <w:marRight w:val="0"/>
                      <w:marTop w:val="0"/>
                      <w:marBottom w:val="0"/>
                      <w:divBdr>
                        <w:top w:val="none" w:sz="0" w:space="0" w:color="auto"/>
                        <w:left w:val="none" w:sz="0" w:space="0" w:color="auto"/>
                        <w:bottom w:val="none" w:sz="0" w:space="0" w:color="auto"/>
                        <w:right w:val="none" w:sz="0" w:space="0" w:color="auto"/>
                      </w:divBdr>
                    </w:div>
                  </w:divsChild>
                </w:div>
                <w:div w:id="1899701758">
                  <w:marLeft w:val="0"/>
                  <w:marRight w:val="0"/>
                  <w:marTop w:val="0"/>
                  <w:marBottom w:val="0"/>
                  <w:divBdr>
                    <w:top w:val="none" w:sz="0" w:space="0" w:color="auto"/>
                    <w:left w:val="none" w:sz="0" w:space="0" w:color="auto"/>
                    <w:bottom w:val="none" w:sz="0" w:space="0" w:color="auto"/>
                    <w:right w:val="none" w:sz="0" w:space="0" w:color="auto"/>
                  </w:divBdr>
                  <w:divsChild>
                    <w:div w:id="1100025610">
                      <w:marLeft w:val="0"/>
                      <w:marRight w:val="0"/>
                      <w:marTop w:val="0"/>
                      <w:marBottom w:val="0"/>
                      <w:divBdr>
                        <w:top w:val="none" w:sz="0" w:space="0" w:color="auto"/>
                        <w:left w:val="none" w:sz="0" w:space="0" w:color="auto"/>
                        <w:bottom w:val="none" w:sz="0" w:space="0" w:color="auto"/>
                        <w:right w:val="none" w:sz="0" w:space="0" w:color="auto"/>
                      </w:divBdr>
                    </w:div>
                  </w:divsChild>
                </w:div>
                <w:div w:id="1944458653">
                  <w:marLeft w:val="0"/>
                  <w:marRight w:val="0"/>
                  <w:marTop w:val="0"/>
                  <w:marBottom w:val="0"/>
                  <w:divBdr>
                    <w:top w:val="none" w:sz="0" w:space="0" w:color="auto"/>
                    <w:left w:val="none" w:sz="0" w:space="0" w:color="auto"/>
                    <w:bottom w:val="none" w:sz="0" w:space="0" w:color="auto"/>
                    <w:right w:val="none" w:sz="0" w:space="0" w:color="auto"/>
                  </w:divBdr>
                  <w:divsChild>
                    <w:div w:id="1633443930">
                      <w:marLeft w:val="0"/>
                      <w:marRight w:val="0"/>
                      <w:marTop w:val="0"/>
                      <w:marBottom w:val="0"/>
                      <w:divBdr>
                        <w:top w:val="none" w:sz="0" w:space="0" w:color="auto"/>
                        <w:left w:val="none" w:sz="0" w:space="0" w:color="auto"/>
                        <w:bottom w:val="none" w:sz="0" w:space="0" w:color="auto"/>
                        <w:right w:val="none" w:sz="0" w:space="0" w:color="auto"/>
                      </w:divBdr>
                    </w:div>
                  </w:divsChild>
                </w:div>
                <w:div w:id="2011712924">
                  <w:marLeft w:val="0"/>
                  <w:marRight w:val="0"/>
                  <w:marTop w:val="0"/>
                  <w:marBottom w:val="0"/>
                  <w:divBdr>
                    <w:top w:val="none" w:sz="0" w:space="0" w:color="auto"/>
                    <w:left w:val="none" w:sz="0" w:space="0" w:color="auto"/>
                    <w:bottom w:val="none" w:sz="0" w:space="0" w:color="auto"/>
                    <w:right w:val="none" w:sz="0" w:space="0" w:color="auto"/>
                  </w:divBdr>
                  <w:divsChild>
                    <w:div w:id="1762526858">
                      <w:marLeft w:val="0"/>
                      <w:marRight w:val="0"/>
                      <w:marTop w:val="0"/>
                      <w:marBottom w:val="0"/>
                      <w:divBdr>
                        <w:top w:val="none" w:sz="0" w:space="0" w:color="auto"/>
                        <w:left w:val="none" w:sz="0" w:space="0" w:color="auto"/>
                        <w:bottom w:val="none" w:sz="0" w:space="0" w:color="auto"/>
                        <w:right w:val="none" w:sz="0" w:space="0" w:color="auto"/>
                      </w:divBdr>
                    </w:div>
                  </w:divsChild>
                </w:div>
                <w:div w:id="2034765834">
                  <w:marLeft w:val="0"/>
                  <w:marRight w:val="0"/>
                  <w:marTop w:val="0"/>
                  <w:marBottom w:val="0"/>
                  <w:divBdr>
                    <w:top w:val="none" w:sz="0" w:space="0" w:color="auto"/>
                    <w:left w:val="none" w:sz="0" w:space="0" w:color="auto"/>
                    <w:bottom w:val="none" w:sz="0" w:space="0" w:color="auto"/>
                    <w:right w:val="none" w:sz="0" w:space="0" w:color="auto"/>
                  </w:divBdr>
                  <w:divsChild>
                    <w:div w:id="1259098121">
                      <w:marLeft w:val="0"/>
                      <w:marRight w:val="0"/>
                      <w:marTop w:val="0"/>
                      <w:marBottom w:val="0"/>
                      <w:divBdr>
                        <w:top w:val="none" w:sz="0" w:space="0" w:color="auto"/>
                        <w:left w:val="none" w:sz="0" w:space="0" w:color="auto"/>
                        <w:bottom w:val="none" w:sz="0" w:space="0" w:color="auto"/>
                        <w:right w:val="none" w:sz="0" w:space="0" w:color="auto"/>
                      </w:divBdr>
                    </w:div>
                  </w:divsChild>
                </w:div>
                <w:div w:id="2037657423">
                  <w:marLeft w:val="0"/>
                  <w:marRight w:val="0"/>
                  <w:marTop w:val="0"/>
                  <w:marBottom w:val="0"/>
                  <w:divBdr>
                    <w:top w:val="none" w:sz="0" w:space="0" w:color="auto"/>
                    <w:left w:val="none" w:sz="0" w:space="0" w:color="auto"/>
                    <w:bottom w:val="none" w:sz="0" w:space="0" w:color="auto"/>
                    <w:right w:val="none" w:sz="0" w:space="0" w:color="auto"/>
                  </w:divBdr>
                  <w:divsChild>
                    <w:div w:id="1159423233">
                      <w:marLeft w:val="0"/>
                      <w:marRight w:val="0"/>
                      <w:marTop w:val="0"/>
                      <w:marBottom w:val="0"/>
                      <w:divBdr>
                        <w:top w:val="none" w:sz="0" w:space="0" w:color="auto"/>
                        <w:left w:val="none" w:sz="0" w:space="0" w:color="auto"/>
                        <w:bottom w:val="none" w:sz="0" w:space="0" w:color="auto"/>
                        <w:right w:val="none" w:sz="0" w:space="0" w:color="auto"/>
                      </w:divBdr>
                    </w:div>
                  </w:divsChild>
                </w:div>
                <w:div w:id="2037850684">
                  <w:marLeft w:val="0"/>
                  <w:marRight w:val="0"/>
                  <w:marTop w:val="0"/>
                  <w:marBottom w:val="0"/>
                  <w:divBdr>
                    <w:top w:val="none" w:sz="0" w:space="0" w:color="auto"/>
                    <w:left w:val="none" w:sz="0" w:space="0" w:color="auto"/>
                    <w:bottom w:val="none" w:sz="0" w:space="0" w:color="auto"/>
                    <w:right w:val="none" w:sz="0" w:space="0" w:color="auto"/>
                  </w:divBdr>
                  <w:divsChild>
                    <w:div w:id="201140927">
                      <w:marLeft w:val="0"/>
                      <w:marRight w:val="0"/>
                      <w:marTop w:val="0"/>
                      <w:marBottom w:val="0"/>
                      <w:divBdr>
                        <w:top w:val="none" w:sz="0" w:space="0" w:color="auto"/>
                        <w:left w:val="none" w:sz="0" w:space="0" w:color="auto"/>
                        <w:bottom w:val="none" w:sz="0" w:space="0" w:color="auto"/>
                        <w:right w:val="none" w:sz="0" w:space="0" w:color="auto"/>
                      </w:divBdr>
                    </w:div>
                  </w:divsChild>
                </w:div>
                <w:div w:id="2077320563">
                  <w:marLeft w:val="0"/>
                  <w:marRight w:val="0"/>
                  <w:marTop w:val="0"/>
                  <w:marBottom w:val="0"/>
                  <w:divBdr>
                    <w:top w:val="none" w:sz="0" w:space="0" w:color="auto"/>
                    <w:left w:val="none" w:sz="0" w:space="0" w:color="auto"/>
                    <w:bottom w:val="none" w:sz="0" w:space="0" w:color="auto"/>
                    <w:right w:val="none" w:sz="0" w:space="0" w:color="auto"/>
                  </w:divBdr>
                  <w:divsChild>
                    <w:div w:id="1788500224">
                      <w:marLeft w:val="0"/>
                      <w:marRight w:val="0"/>
                      <w:marTop w:val="0"/>
                      <w:marBottom w:val="0"/>
                      <w:divBdr>
                        <w:top w:val="none" w:sz="0" w:space="0" w:color="auto"/>
                        <w:left w:val="none" w:sz="0" w:space="0" w:color="auto"/>
                        <w:bottom w:val="none" w:sz="0" w:space="0" w:color="auto"/>
                        <w:right w:val="none" w:sz="0" w:space="0" w:color="auto"/>
                      </w:divBdr>
                    </w:div>
                  </w:divsChild>
                </w:div>
                <w:div w:id="2092769315">
                  <w:marLeft w:val="0"/>
                  <w:marRight w:val="0"/>
                  <w:marTop w:val="0"/>
                  <w:marBottom w:val="0"/>
                  <w:divBdr>
                    <w:top w:val="none" w:sz="0" w:space="0" w:color="auto"/>
                    <w:left w:val="none" w:sz="0" w:space="0" w:color="auto"/>
                    <w:bottom w:val="none" w:sz="0" w:space="0" w:color="auto"/>
                    <w:right w:val="none" w:sz="0" w:space="0" w:color="auto"/>
                  </w:divBdr>
                  <w:divsChild>
                    <w:div w:id="1039160346">
                      <w:marLeft w:val="0"/>
                      <w:marRight w:val="0"/>
                      <w:marTop w:val="0"/>
                      <w:marBottom w:val="0"/>
                      <w:divBdr>
                        <w:top w:val="none" w:sz="0" w:space="0" w:color="auto"/>
                        <w:left w:val="none" w:sz="0" w:space="0" w:color="auto"/>
                        <w:bottom w:val="none" w:sz="0" w:space="0" w:color="auto"/>
                        <w:right w:val="none" w:sz="0" w:space="0" w:color="auto"/>
                      </w:divBdr>
                    </w:div>
                  </w:divsChild>
                </w:div>
                <w:div w:id="2116512458">
                  <w:marLeft w:val="0"/>
                  <w:marRight w:val="0"/>
                  <w:marTop w:val="0"/>
                  <w:marBottom w:val="0"/>
                  <w:divBdr>
                    <w:top w:val="none" w:sz="0" w:space="0" w:color="auto"/>
                    <w:left w:val="none" w:sz="0" w:space="0" w:color="auto"/>
                    <w:bottom w:val="none" w:sz="0" w:space="0" w:color="auto"/>
                    <w:right w:val="none" w:sz="0" w:space="0" w:color="auto"/>
                  </w:divBdr>
                  <w:divsChild>
                    <w:div w:id="1781297246">
                      <w:marLeft w:val="0"/>
                      <w:marRight w:val="0"/>
                      <w:marTop w:val="0"/>
                      <w:marBottom w:val="0"/>
                      <w:divBdr>
                        <w:top w:val="none" w:sz="0" w:space="0" w:color="auto"/>
                        <w:left w:val="none" w:sz="0" w:space="0" w:color="auto"/>
                        <w:bottom w:val="none" w:sz="0" w:space="0" w:color="auto"/>
                        <w:right w:val="none" w:sz="0" w:space="0" w:color="auto"/>
                      </w:divBdr>
                    </w:div>
                  </w:divsChild>
                </w:div>
                <w:div w:id="2137019520">
                  <w:marLeft w:val="0"/>
                  <w:marRight w:val="0"/>
                  <w:marTop w:val="0"/>
                  <w:marBottom w:val="0"/>
                  <w:divBdr>
                    <w:top w:val="none" w:sz="0" w:space="0" w:color="auto"/>
                    <w:left w:val="none" w:sz="0" w:space="0" w:color="auto"/>
                    <w:bottom w:val="none" w:sz="0" w:space="0" w:color="auto"/>
                    <w:right w:val="none" w:sz="0" w:space="0" w:color="auto"/>
                  </w:divBdr>
                  <w:divsChild>
                    <w:div w:id="1131169780">
                      <w:marLeft w:val="0"/>
                      <w:marRight w:val="0"/>
                      <w:marTop w:val="0"/>
                      <w:marBottom w:val="0"/>
                      <w:divBdr>
                        <w:top w:val="none" w:sz="0" w:space="0" w:color="auto"/>
                        <w:left w:val="none" w:sz="0" w:space="0" w:color="auto"/>
                        <w:bottom w:val="none" w:sz="0" w:space="0" w:color="auto"/>
                        <w:right w:val="none" w:sz="0" w:space="0" w:color="auto"/>
                      </w:divBdr>
                    </w:div>
                  </w:divsChild>
                </w:div>
                <w:div w:id="2139949185">
                  <w:marLeft w:val="0"/>
                  <w:marRight w:val="0"/>
                  <w:marTop w:val="0"/>
                  <w:marBottom w:val="0"/>
                  <w:divBdr>
                    <w:top w:val="none" w:sz="0" w:space="0" w:color="auto"/>
                    <w:left w:val="none" w:sz="0" w:space="0" w:color="auto"/>
                    <w:bottom w:val="none" w:sz="0" w:space="0" w:color="auto"/>
                    <w:right w:val="none" w:sz="0" w:space="0" w:color="auto"/>
                  </w:divBdr>
                  <w:divsChild>
                    <w:div w:id="1381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873004">
          <w:marLeft w:val="0"/>
          <w:marRight w:val="0"/>
          <w:marTop w:val="0"/>
          <w:marBottom w:val="0"/>
          <w:divBdr>
            <w:top w:val="none" w:sz="0" w:space="0" w:color="auto"/>
            <w:left w:val="none" w:sz="0" w:space="0" w:color="auto"/>
            <w:bottom w:val="none" w:sz="0" w:space="0" w:color="auto"/>
            <w:right w:val="none" w:sz="0" w:space="0" w:color="auto"/>
          </w:divBdr>
        </w:div>
        <w:div w:id="1394234822">
          <w:marLeft w:val="0"/>
          <w:marRight w:val="0"/>
          <w:marTop w:val="0"/>
          <w:marBottom w:val="0"/>
          <w:divBdr>
            <w:top w:val="none" w:sz="0" w:space="0" w:color="auto"/>
            <w:left w:val="none" w:sz="0" w:space="0" w:color="auto"/>
            <w:bottom w:val="none" w:sz="0" w:space="0" w:color="auto"/>
            <w:right w:val="none" w:sz="0" w:space="0" w:color="auto"/>
          </w:divBdr>
        </w:div>
        <w:div w:id="1399404382">
          <w:marLeft w:val="0"/>
          <w:marRight w:val="0"/>
          <w:marTop w:val="0"/>
          <w:marBottom w:val="0"/>
          <w:divBdr>
            <w:top w:val="none" w:sz="0" w:space="0" w:color="auto"/>
            <w:left w:val="none" w:sz="0" w:space="0" w:color="auto"/>
            <w:bottom w:val="none" w:sz="0" w:space="0" w:color="auto"/>
            <w:right w:val="none" w:sz="0" w:space="0" w:color="auto"/>
          </w:divBdr>
          <w:divsChild>
            <w:div w:id="163859995">
              <w:marLeft w:val="0"/>
              <w:marRight w:val="0"/>
              <w:marTop w:val="0"/>
              <w:marBottom w:val="0"/>
              <w:divBdr>
                <w:top w:val="none" w:sz="0" w:space="0" w:color="auto"/>
                <w:left w:val="none" w:sz="0" w:space="0" w:color="auto"/>
                <w:bottom w:val="none" w:sz="0" w:space="0" w:color="auto"/>
                <w:right w:val="none" w:sz="0" w:space="0" w:color="auto"/>
              </w:divBdr>
            </w:div>
            <w:div w:id="376856418">
              <w:marLeft w:val="0"/>
              <w:marRight w:val="0"/>
              <w:marTop w:val="0"/>
              <w:marBottom w:val="0"/>
              <w:divBdr>
                <w:top w:val="none" w:sz="0" w:space="0" w:color="auto"/>
                <w:left w:val="none" w:sz="0" w:space="0" w:color="auto"/>
                <w:bottom w:val="none" w:sz="0" w:space="0" w:color="auto"/>
                <w:right w:val="none" w:sz="0" w:space="0" w:color="auto"/>
              </w:divBdr>
            </w:div>
            <w:div w:id="384373198">
              <w:marLeft w:val="0"/>
              <w:marRight w:val="0"/>
              <w:marTop w:val="0"/>
              <w:marBottom w:val="0"/>
              <w:divBdr>
                <w:top w:val="none" w:sz="0" w:space="0" w:color="auto"/>
                <w:left w:val="none" w:sz="0" w:space="0" w:color="auto"/>
                <w:bottom w:val="none" w:sz="0" w:space="0" w:color="auto"/>
                <w:right w:val="none" w:sz="0" w:space="0" w:color="auto"/>
              </w:divBdr>
            </w:div>
            <w:div w:id="385685017">
              <w:marLeft w:val="0"/>
              <w:marRight w:val="0"/>
              <w:marTop w:val="0"/>
              <w:marBottom w:val="0"/>
              <w:divBdr>
                <w:top w:val="none" w:sz="0" w:space="0" w:color="auto"/>
                <w:left w:val="none" w:sz="0" w:space="0" w:color="auto"/>
                <w:bottom w:val="none" w:sz="0" w:space="0" w:color="auto"/>
                <w:right w:val="none" w:sz="0" w:space="0" w:color="auto"/>
              </w:divBdr>
            </w:div>
            <w:div w:id="510022888">
              <w:marLeft w:val="0"/>
              <w:marRight w:val="0"/>
              <w:marTop w:val="0"/>
              <w:marBottom w:val="0"/>
              <w:divBdr>
                <w:top w:val="none" w:sz="0" w:space="0" w:color="auto"/>
                <w:left w:val="none" w:sz="0" w:space="0" w:color="auto"/>
                <w:bottom w:val="none" w:sz="0" w:space="0" w:color="auto"/>
                <w:right w:val="none" w:sz="0" w:space="0" w:color="auto"/>
              </w:divBdr>
            </w:div>
            <w:div w:id="693113393">
              <w:marLeft w:val="0"/>
              <w:marRight w:val="0"/>
              <w:marTop w:val="0"/>
              <w:marBottom w:val="0"/>
              <w:divBdr>
                <w:top w:val="none" w:sz="0" w:space="0" w:color="auto"/>
                <w:left w:val="none" w:sz="0" w:space="0" w:color="auto"/>
                <w:bottom w:val="none" w:sz="0" w:space="0" w:color="auto"/>
                <w:right w:val="none" w:sz="0" w:space="0" w:color="auto"/>
              </w:divBdr>
            </w:div>
            <w:div w:id="829833648">
              <w:marLeft w:val="0"/>
              <w:marRight w:val="0"/>
              <w:marTop w:val="0"/>
              <w:marBottom w:val="0"/>
              <w:divBdr>
                <w:top w:val="none" w:sz="0" w:space="0" w:color="auto"/>
                <w:left w:val="none" w:sz="0" w:space="0" w:color="auto"/>
                <w:bottom w:val="none" w:sz="0" w:space="0" w:color="auto"/>
                <w:right w:val="none" w:sz="0" w:space="0" w:color="auto"/>
              </w:divBdr>
            </w:div>
            <w:div w:id="839856827">
              <w:marLeft w:val="0"/>
              <w:marRight w:val="0"/>
              <w:marTop w:val="0"/>
              <w:marBottom w:val="0"/>
              <w:divBdr>
                <w:top w:val="none" w:sz="0" w:space="0" w:color="auto"/>
                <w:left w:val="none" w:sz="0" w:space="0" w:color="auto"/>
                <w:bottom w:val="none" w:sz="0" w:space="0" w:color="auto"/>
                <w:right w:val="none" w:sz="0" w:space="0" w:color="auto"/>
              </w:divBdr>
            </w:div>
            <w:div w:id="1120031150">
              <w:marLeft w:val="0"/>
              <w:marRight w:val="0"/>
              <w:marTop w:val="0"/>
              <w:marBottom w:val="0"/>
              <w:divBdr>
                <w:top w:val="none" w:sz="0" w:space="0" w:color="auto"/>
                <w:left w:val="none" w:sz="0" w:space="0" w:color="auto"/>
                <w:bottom w:val="none" w:sz="0" w:space="0" w:color="auto"/>
                <w:right w:val="none" w:sz="0" w:space="0" w:color="auto"/>
              </w:divBdr>
            </w:div>
            <w:div w:id="1258249785">
              <w:marLeft w:val="0"/>
              <w:marRight w:val="0"/>
              <w:marTop w:val="0"/>
              <w:marBottom w:val="0"/>
              <w:divBdr>
                <w:top w:val="none" w:sz="0" w:space="0" w:color="auto"/>
                <w:left w:val="none" w:sz="0" w:space="0" w:color="auto"/>
                <w:bottom w:val="none" w:sz="0" w:space="0" w:color="auto"/>
                <w:right w:val="none" w:sz="0" w:space="0" w:color="auto"/>
              </w:divBdr>
            </w:div>
            <w:div w:id="1314220417">
              <w:marLeft w:val="0"/>
              <w:marRight w:val="0"/>
              <w:marTop w:val="0"/>
              <w:marBottom w:val="0"/>
              <w:divBdr>
                <w:top w:val="none" w:sz="0" w:space="0" w:color="auto"/>
                <w:left w:val="none" w:sz="0" w:space="0" w:color="auto"/>
                <w:bottom w:val="none" w:sz="0" w:space="0" w:color="auto"/>
                <w:right w:val="none" w:sz="0" w:space="0" w:color="auto"/>
              </w:divBdr>
            </w:div>
            <w:div w:id="1486893532">
              <w:marLeft w:val="0"/>
              <w:marRight w:val="0"/>
              <w:marTop w:val="0"/>
              <w:marBottom w:val="0"/>
              <w:divBdr>
                <w:top w:val="none" w:sz="0" w:space="0" w:color="auto"/>
                <w:left w:val="none" w:sz="0" w:space="0" w:color="auto"/>
                <w:bottom w:val="none" w:sz="0" w:space="0" w:color="auto"/>
                <w:right w:val="none" w:sz="0" w:space="0" w:color="auto"/>
              </w:divBdr>
            </w:div>
            <w:div w:id="1518345211">
              <w:marLeft w:val="0"/>
              <w:marRight w:val="0"/>
              <w:marTop w:val="0"/>
              <w:marBottom w:val="0"/>
              <w:divBdr>
                <w:top w:val="none" w:sz="0" w:space="0" w:color="auto"/>
                <w:left w:val="none" w:sz="0" w:space="0" w:color="auto"/>
                <w:bottom w:val="none" w:sz="0" w:space="0" w:color="auto"/>
                <w:right w:val="none" w:sz="0" w:space="0" w:color="auto"/>
              </w:divBdr>
            </w:div>
            <w:div w:id="1527328518">
              <w:marLeft w:val="0"/>
              <w:marRight w:val="0"/>
              <w:marTop w:val="0"/>
              <w:marBottom w:val="0"/>
              <w:divBdr>
                <w:top w:val="none" w:sz="0" w:space="0" w:color="auto"/>
                <w:left w:val="none" w:sz="0" w:space="0" w:color="auto"/>
                <w:bottom w:val="none" w:sz="0" w:space="0" w:color="auto"/>
                <w:right w:val="none" w:sz="0" w:space="0" w:color="auto"/>
              </w:divBdr>
            </w:div>
            <w:div w:id="1571883216">
              <w:marLeft w:val="0"/>
              <w:marRight w:val="0"/>
              <w:marTop w:val="0"/>
              <w:marBottom w:val="0"/>
              <w:divBdr>
                <w:top w:val="none" w:sz="0" w:space="0" w:color="auto"/>
                <w:left w:val="none" w:sz="0" w:space="0" w:color="auto"/>
                <w:bottom w:val="none" w:sz="0" w:space="0" w:color="auto"/>
                <w:right w:val="none" w:sz="0" w:space="0" w:color="auto"/>
              </w:divBdr>
            </w:div>
            <w:div w:id="1592617950">
              <w:marLeft w:val="0"/>
              <w:marRight w:val="0"/>
              <w:marTop w:val="0"/>
              <w:marBottom w:val="0"/>
              <w:divBdr>
                <w:top w:val="none" w:sz="0" w:space="0" w:color="auto"/>
                <w:left w:val="none" w:sz="0" w:space="0" w:color="auto"/>
                <w:bottom w:val="none" w:sz="0" w:space="0" w:color="auto"/>
                <w:right w:val="none" w:sz="0" w:space="0" w:color="auto"/>
              </w:divBdr>
            </w:div>
            <w:div w:id="1797869653">
              <w:marLeft w:val="0"/>
              <w:marRight w:val="0"/>
              <w:marTop w:val="0"/>
              <w:marBottom w:val="0"/>
              <w:divBdr>
                <w:top w:val="none" w:sz="0" w:space="0" w:color="auto"/>
                <w:left w:val="none" w:sz="0" w:space="0" w:color="auto"/>
                <w:bottom w:val="none" w:sz="0" w:space="0" w:color="auto"/>
                <w:right w:val="none" w:sz="0" w:space="0" w:color="auto"/>
              </w:divBdr>
            </w:div>
            <w:div w:id="1850026753">
              <w:marLeft w:val="0"/>
              <w:marRight w:val="0"/>
              <w:marTop w:val="0"/>
              <w:marBottom w:val="0"/>
              <w:divBdr>
                <w:top w:val="none" w:sz="0" w:space="0" w:color="auto"/>
                <w:left w:val="none" w:sz="0" w:space="0" w:color="auto"/>
                <w:bottom w:val="none" w:sz="0" w:space="0" w:color="auto"/>
                <w:right w:val="none" w:sz="0" w:space="0" w:color="auto"/>
              </w:divBdr>
            </w:div>
            <w:div w:id="1958831229">
              <w:marLeft w:val="0"/>
              <w:marRight w:val="0"/>
              <w:marTop w:val="0"/>
              <w:marBottom w:val="0"/>
              <w:divBdr>
                <w:top w:val="none" w:sz="0" w:space="0" w:color="auto"/>
                <w:left w:val="none" w:sz="0" w:space="0" w:color="auto"/>
                <w:bottom w:val="none" w:sz="0" w:space="0" w:color="auto"/>
                <w:right w:val="none" w:sz="0" w:space="0" w:color="auto"/>
              </w:divBdr>
            </w:div>
            <w:div w:id="2113695867">
              <w:marLeft w:val="0"/>
              <w:marRight w:val="0"/>
              <w:marTop w:val="0"/>
              <w:marBottom w:val="0"/>
              <w:divBdr>
                <w:top w:val="none" w:sz="0" w:space="0" w:color="auto"/>
                <w:left w:val="none" w:sz="0" w:space="0" w:color="auto"/>
                <w:bottom w:val="none" w:sz="0" w:space="0" w:color="auto"/>
                <w:right w:val="none" w:sz="0" w:space="0" w:color="auto"/>
              </w:divBdr>
            </w:div>
          </w:divsChild>
        </w:div>
        <w:div w:id="1412852270">
          <w:marLeft w:val="0"/>
          <w:marRight w:val="0"/>
          <w:marTop w:val="0"/>
          <w:marBottom w:val="0"/>
          <w:divBdr>
            <w:top w:val="none" w:sz="0" w:space="0" w:color="auto"/>
            <w:left w:val="none" w:sz="0" w:space="0" w:color="auto"/>
            <w:bottom w:val="none" w:sz="0" w:space="0" w:color="auto"/>
            <w:right w:val="none" w:sz="0" w:space="0" w:color="auto"/>
          </w:divBdr>
        </w:div>
        <w:div w:id="1414350171">
          <w:marLeft w:val="0"/>
          <w:marRight w:val="0"/>
          <w:marTop w:val="0"/>
          <w:marBottom w:val="0"/>
          <w:divBdr>
            <w:top w:val="none" w:sz="0" w:space="0" w:color="auto"/>
            <w:left w:val="none" w:sz="0" w:space="0" w:color="auto"/>
            <w:bottom w:val="none" w:sz="0" w:space="0" w:color="auto"/>
            <w:right w:val="none" w:sz="0" w:space="0" w:color="auto"/>
          </w:divBdr>
        </w:div>
        <w:div w:id="1417019660">
          <w:marLeft w:val="0"/>
          <w:marRight w:val="0"/>
          <w:marTop w:val="0"/>
          <w:marBottom w:val="0"/>
          <w:divBdr>
            <w:top w:val="none" w:sz="0" w:space="0" w:color="auto"/>
            <w:left w:val="none" w:sz="0" w:space="0" w:color="auto"/>
            <w:bottom w:val="none" w:sz="0" w:space="0" w:color="auto"/>
            <w:right w:val="none" w:sz="0" w:space="0" w:color="auto"/>
          </w:divBdr>
        </w:div>
        <w:div w:id="1432551603">
          <w:marLeft w:val="0"/>
          <w:marRight w:val="0"/>
          <w:marTop w:val="0"/>
          <w:marBottom w:val="0"/>
          <w:divBdr>
            <w:top w:val="none" w:sz="0" w:space="0" w:color="auto"/>
            <w:left w:val="none" w:sz="0" w:space="0" w:color="auto"/>
            <w:bottom w:val="none" w:sz="0" w:space="0" w:color="auto"/>
            <w:right w:val="none" w:sz="0" w:space="0" w:color="auto"/>
          </w:divBdr>
        </w:div>
        <w:div w:id="1468620111">
          <w:marLeft w:val="0"/>
          <w:marRight w:val="0"/>
          <w:marTop w:val="0"/>
          <w:marBottom w:val="0"/>
          <w:divBdr>
            <w:top w:val="none" w:sz="0" w:space="0" w:color="auto"/>
            <w:left w:val="none" w:sz="0" w:space="0" w:color="auto"/>
            <w:bottom w:val="none" w:sz="0" w:space="0" w:color="auto"/>
            <w:right w:val="none" w:sz="0" w:space="0" w:color="auto"/>
          </w:divBdr>
        </w:div>
        <w:div w:id="1477606965">
          <w:marLeft w:val="0"/>
          <w:marRight w:val="0"/>
          <w:marTop w:val="0"/>
          <w:marBottom w:val="0"/>
          <w:divBdr>
            <w:top w:val="none" w:sz="0" w:space="0" w:color="auto"/>
            <w:left w:val="none" w:sz="0" w:space="0" w:color="auto"/>
            <w:bottom w:val="none" w:sz="0" w:space="0" w:color="auto"/>
            <w:right w:val="none" w:sz="0" w:space="0" w:color="auto"/>
          </w:divBdr>
          <w:divsChild>
            <w:div w:id="124471379">
              <w:marLeft w:val="0"/>
              <w:marRight w:val="0"/>
              <w:marTop w:val="0"/>
              <w:marBottom w:val="0"/>
              <w:divBdr>
                <w:top w:val="none" w:sz="0" w:space="0" w:color="auto"/>
                <w:left w:val="none" w:sz="0" w:space="0" w:color="auto"/>
                <w:bottom w:val="none" w:sz="0" w:space="0" w:color="auto"/>
                <w:right w:val="none" w:sz="0" w:space="0" w:color="auto"/>
              </w:divBdr>
            </w:div>
            <w:div w:id="195001909">
              <w:marLeft w:val="0"/>
              <w:marRight w:val="0"/>
              <w:marTop w:val="0"/>
              <w:marBottom w:val="0"/>
              <w:divBdr>
                <w:top w:val="none" w:sz="0" w:space="0" w:color="auto"/>
                <w:left w:val="none" w:sz="0" w:space="0" w:color="auto"/>
                <w:bottom w:val="none" w:sz="0" w:space="0" w:color="auto"/>
                <w:right w:val="none" w:sz="0" w:space="0" w:color="auto"/>
              </w:divBdr>
            </w:div>
            <w:div w:id="441650276">
              <w:marLeft w:val="0"/>
              <w:marRight w:val="0"/>
              <w:marTop w:val="0"/>
              <w:marBottom w:val="0"/>
              <w:divBdr>
                <w:top w:val="none" w:sz="0" w:space="0" w:color="auto"/>
                <w:left w:val="none" w:sz="0" w:space="0" w:color="auto"/>
                <w:bottom w:val="none" w:sz="0" w:space="0" w:color="auto"/>
                <w:right w:val="none" w:sz="0" w:space="0" w:color="auto"/>
              </w:divBdr>
            </w:div>
            <w:div w:id="485584843">
              <w:marLeft w:val="0"/>
              <w:marRight w:val="0"/>
              <w:marTop w:val="0"/>
              <w:marBottom w:val="0"/>
              <w:divBdr>
                <w:top w:val="none" w:sz="0" w:space="0" w:color="auto"/>
                <w:left w:val="none" w:sz="0" w:space="0" w:color="auto"/>
                <w:bottom w:val="none" w:sz="0" w:space="0" w:color="auto"/>
                <w:right w:val="none" w:sz="0" w:space="0" w:color="auto"/>
              </w:divBdr>
            </w:div>
            <w:div w:id="559557212">
              <w:marLeft w:val="0"/>
              <w:marRight w:val="0"/>
              <w:marTop w:val="0"/>
              <w:marBottom w:val="0"/>
              <w:divBdr>
                <w:top w:val="none" w:sz="0" w:space="0" w:color="auto"/>
                <w:left w:val="none" w:sz="0" w:space="0" w:color="auto"/>
                <w:bottom w:val="none" w:sz="0" w:space="0" w:color="auto"/>
                <w:right w:val="none" w:sz="0" w:space="0" w:color="auto"/>
              </w:divBdr>
            </w:div>
            <w:div w:id="753821873">
              <w:marLeft w:val="0"/>
              <w:marRight w:val="0"/>
              <w:marTop w:val="0"/>
              <w:marBottom w:val="0"/>
              <w:divBdr>
                <w:top w:val="none" w:sz="0" w:space="0" w:color="auto"/>
                <w:left w:val="none" w:sz="0" w:space="0" w:color="auto"/>
                <w:bottom w:val="none" w:sz="0" w:space="0" w:color="auto"/>
                <w:right w:val="none" w:sz="0" w:space="0" w:color="auto"/>
              </w:divBdr>
            </w:div>
            <w:div w:id="777330231">
              <w:marLeft w:val="0"/>
              <w:marRight w:val="0"/>
              <w:marTop w:val="0"/>
              <w:marBottom w:val="0"/>
              <w:divBdr>
                <w:top w:val="none" w:sz="0" w:space="0" w:color="auto"/>
                <w:left w:val="none" w:sz="0" w:space="0" w:color="auto"/>
                <w:bottom w:val="none" w:sz="0" w:space="0" w:color="auto"/>
                <w:right w:val="none" w:sz="0" w:space="0" w:color="auto"/>
              </w:divBdr>
            </w:div>
            <w:div w:id="993947117">
              <w:marLeft w:val="0"/>
              <w:marRight w:val="0"/>
              <w:marTop w:val="0"/>
              <w:marBottom w:val="0"/>
              <w:divBdr>
                <w:top w:val="none" w:sz="0" w:space="0" w:color="auto"/>
                <w:left w:val="none" w:sz="0" w:space="0" w:color="auto"/>
                <w:bottom w:val="none" w:sz="0" w:space="0" w:color="auto"/>
                <w:right w:val="none" w:sz="0" w:space="0" w:color="auto"/>
              </w:divBdr>
            </w:div>
            <w:div w:id="1054545666">
              <w:marLeft w:val="0"/>
              <w:marRight w:val="0"/>
              <w:marTop w:val="0"/>
              <w:marBottom w:val="0"/>
              <w:divBdr>
                <w:top w:val="none" w:sz="0" w:space="0" w:color="auto"/>
                <w:left w:val="none" w:sz="0" w:space="0" w:color="auto"/>
                <w:bottom w:val="none" w:sz="0" w:space="0" w:color="auto"/>
                <w:right w:val="none" w:sz="0" w:space="0" w:color="auto"/>
              </w:divBdr>
            </w:div>
            <w:div w:id="1181697179">
              <w:marLeft w:val="0"/>
              <w:marRight w:val="0"/>
              <w:marTop w:val="0"/>
              <w:marBottom w:val="0"/>
              <w:divBdr>
                <w:top w:val="none" w:sz="0" w:space="0" w:color="auto"/>
                <w:left w:val="none" w:sz="0" w:space="0" w:color="auto"/>
                <w:bottom w:val="none" w:sz="0" w:space="0" w:color="auto"/>
                <w:right w:val="none" w:sz="0" w:space="0" w:color="auto"/>
              </w:divBdr>
            </w:div>
            <w:div w:id="1311860485">
              <w:marLeft w:val="0"/>
              <w:marRight w:val="0"/>
              <w:marTop w:val="0"/>
              <w:marBottom w:val="0"/>
              <w:divBdr>
                <w:top w:val="none" w:sz="0" w:space="0" w:color="auto"/>
                <w:left w:val="none" w:sz="0" w:space="0" w:color="auto"/>
                <w:bottom w:val="none" w:sz="0" w:space="0" w:color="auto"/>
                <w:right w:val="none" w:sz="0" w:space="0" w:color="auto"/>
              </w:divBdr>
            </w:div>
            <w:div w:id="1322808664">
              <w:marLeft w:val="0"/>
              <w:marRight w:val="0"/>
              <w:marTop w:val="0"/>
              <w:marBottom w:val="0"/>
              <w:divBdr>
                <w:top w:val="none" w:sz="0" w:space="0" w:color="auto"/>
                <w:left w:val="none" w:sz="0" w:space="0" w:color="auto"/>
                <w:bottom w:val="none" w:sz="0" w:space="0" w:color="auto"/>
                <w:right w:val="none" w:sz="0" w:space="0" w:color="auto"/>
              </w:divBdr>
            </w:div>
            <w:div w:id="1470903335">
              <w:marLeft w:val="0"/>
              <w:marRight w:val="0"/>
              <w:marTop w:val="0"/>
              <w:marBottom w:val="0"/>
              <w:divBdr>
                <w:top w:val="none" w:sz="0" w:space="0" w:color="auto"/>
                <w:left w:val="none" w:sz="0" w:space="0" w:color="auto"/>
                <w:bottom w:val="none" w:sz="0" w:space="0" w:color="auto"/>
                <w:right w:val="none" w:sz="0" w:space="0" w:color="auto"/>
              </w:divBdr>
            </w:div>
            <w:div w:id="1559122801">
              <w:marLeft w:val="0"/>
              <w:marRight w:val="0"/>
              <w:marTop w:val="0"/>
              <w:marBottom w:val="0"/>
              <w:divBdr>
                <w:top w:val="none" w:sz="0" w:space="0" w:color="auto"/>
                <w:left w:val="none" w:sz="0" w:space="0" w:color="auto"/>
                <w:bottom w:val="none" w:sz="0" w:space="0" w:color="auto"/>
                <w:right w:val="none" w:sz="0" w:space="0" w:color="auto"/>
              </w:divBdr>
            </w:div>
            <w:div w:id="1756320589">
              <w:marLeft w:val="0"/>
              <w:marRight w:val="0"/>
              <w:marTop w:val="0"/>
              <w:marBottom w:val="0"/>
              <w:divBdr>
                <w:top w:val="none" w:sz="0" w:space="0" w:color="auto"/>
                <w:left w:val="none" w:sz="0" w:space="0" w:color="auto"/>
                <w:bottom w:val="none" w:sz="0" w:space="0" w:color="auto"/>
                <w:right w:val="none" w:sz="0" w:space="0" w:color="auto"/>
              </w:divBdr>
            </w:div>
            <w:div w:id="1819492052">
              <w:marLeft w:val="0"/>
              <w:marRight w:val="0"/>
              <w:marTop w:val="0"/>
              <w:marBottom w:val="0"/>
              <w:divBdr>
                <w:top w:val="none" w:sz="0" w:space="0" w:color="auto"/>
                <w:left w:val="none" w:sz="0" w:space="0" w:color="auto"/>
                <w:bottom w:val="none" w:sz="0" w:space="0" w:color="auto"/>
                <w:right w:val="none" w:sz="0" w:space="0" w:color="auto"/>
              </w:divBdr>
            </w:div>
            <w:div w:id="1907032557">
              <w:marLeft w:val="0"/>
              <w:marRight w:val="0"/>
              <w:marTop w:val="0"/>
              <w:marBottom w:val="0"/>
              <w:divBdr>
                <w:top w:val="none" w:sz="0" w:space="0" w:color="auto"/>
                <w:left w:val="none" w:sz="0" w:space="0" w:color="auto"/>
                <w:bottom w:val="none" w:sz="0" w:space="0" w:color="auto"/>
                <w:right w:val="none" w:sz="0" w:space="0" w:color="auto"/>
              </w:divBdr>
            </w:div>
            <w:div w:id="1983802725">
              <w:marLeft w:val="0"/>
              <w:marRight w:val="0"/>
              <w:marTop w:val="0"/>
              <w:marBottom w:val="0"/>
              <w:divBdr>
                <w:top w:val="none" w:sz="0" w:space="0" w:color="auto"/>
                <w:left w:val="none" w:sz="0" w:space="0" w:color="auto"/>
                <w:bottom w:val="none" w:sz="0" w:space="0" w:color="auto"/>
                <w:right w:val="none" w:sz="0" w:space="0" w:color="auto"/>
              </w:divBdr>
            </w:div>
            <w:div w:id="2032145119">
              <w:marLeft w:val="0"/>
              <w:marRight w:val="0"/>
              <w:marTop w:val="0"/>
              <w:marBottom w:val="0"/>
              <w:divBdr>
                <w:top w:val="none" w:sz="0" w:space="0" w:color="auto"/>
                <w:left w:val="none" w:sz="0" w:space="0" w:color="auto"/>
                <w:bottom w:val="none" w:sz="0" w:space="0" w:color="auto"/>
                <w:right w:val="none" w:sz="0" w:space="0" w:color="auto"/>
              </w:divBdr>
            </w:div>
            <w:div w:id="2065786170">
              <w:marLeft w:val="0"/>
              <w:marRight w:val="0"/>
              <w:marTop w:val="0"/>
              <w:marBottom w:val="0"/>
              <w:divBdr>
                <w:top w:val="none" w:sz="0" w:space="0" w:color="auto"/>
                <w:left w:val="none" w:sz="0" w:space="0" w:color="auto"/>
                <w:bottom w:val="none" w:sz="0" w:space="0" w:color="auto"/>
                <w:right w:val="none" w:sz="0" w:space="0" w:color="auto"/>
              </w:divBdr>
            </w:div>
          </w:divsChild>
        </w:div>
        <w:div w:id="1504852948">
          <w:marLeft w:val="0"/>
          <w:marRight w:val="0"/>
          <w:marTop w:val="0"/>
          <w:marBottom w:val="0"/>
          <w:divBdr>
            <w:top w:val="none" w:sz="0" w:space="0" w:color="auto"/>
            <w:left w:val="none" w:sz="0" w:space="0" w:color="auto"/>
            <w:bottom w:val="none" w:sz="0" w:space="0" w:color="auto"/>
            <w:right w:val="none" w:sz="0" w:space="0" w:color="auto"/>
          </w:divBdr>
        </w:div>
        <w:div w:id="1569614899">
          <w:marLeft w:val="0"/>
          <w:marRight w:val="0"/>
          <w:marTop w:val="0"/>
          <w:marBottom w:val="0"/>
          <w:divBdr>
            <w:top w:val="none" w:sz="0" w:space="0" w:color="auto"/>
            <w:left w:val="none" w:sz="0" w:space="0" w:color="auto"/>
            <w:bottom w:val="none" w:sz="0" w:space="0" w:color="auto"/>
            <w:right w:val="none" w:sz="0" w:space="0" w:color="auto"/>
          </w:divBdr>
        </w:div>
        <w:div w:id="1610351135">
          <w:marLeft w:val="0"/>
          <w:marRight w:val="0"/>
          <w:marTop w:val="0"/>
          <w:marBottom w:val="0"/>
          <w:divBdr>
            <w:top w:val="none" w:sz="0" w:space="0" w:color="auto"/>
            <w:left w:val="none" w:sz="0" w:space="0" w:color="auto"/>
            <w:bottom w:val="none" w:sz="0" w:space="0" w:color="auto"/>
            <w:right w:val="none" w:sz="0" w:space="0" w:color="auto"/>
          </w:divBdr>
        </w:div>
        <w:div w:id="1621377613">
          <w:marLeft w:val="0"/>
          <w:marRight w:val="0"/>
          <w:marTop w:val="0"/>
          <w:marBottom w:val="0"/>
          <w:divBdr>
            <w:top w:val="none" w:sz="0" w:space="0" w:color="auto"/>
            <w:left w:val="none" w:sz="0" w:space="0" w:color="auto"/>
            <w:bottom w:val="none" w:sz="0" w:space="0" w:color="auto"/>
            <w:right w:val="none" w:sz="0" w:space="0" w:color="auto"/>
          </w:divBdr>
        </w:div>
        <w:div w:id="1632787690">
          <w:marLeft w:val="0"/>
          <w:marRight w:val="0"/>
          <w:marTop w:val="0"/>
          <w:marBottom w:val="0"/>
          <w:divBdr>
            <w:top w:val="none" w:sz="0" w:space="0" w:color="auto"/>
            <w:left w:val="none" w:sz="0" w:space="0" w:color="auto"/>
            <w:bottom w:val="none" w:sz="0" w:space="0" w:color="auto"/>
            <w:right w:val="none" w:sz="0" w:space="0" w:color="auto"/>
          </w:divBdr>
        </w:div>
        <w:div w:id="1652178926">
          <w:marLeft w:val="0"/>
          <w:marRight w:val="0"/>
          <w:marTop w:val="0"/>
          <w:marBottom w:val="0"/>
          <w:divBdr>
            <w:top w:val="none" w:sz="0" w:space="0" w:color="auto"/>
            <w:left w:val="none" w:sz="0" w:space="0" w:color="auto"/>
            <w:bottom w:val="none" w:sz="0" w:space="0" w:color="auto"/>
            <w:right w:val="none" w:sz="0" w:space="0" w:color="auto"/>
          </w:divBdr>
          <w:divsChild>
            <w:div w:id="46538570">
              <w:marLeft w:val="0"/>
              <w:marRight w:val="0"/>
              <w:marTop w:val="0"/>
              <w:marBottom w:val="0"/>
              <w:divBdr>
                <w:top w:val="none" w:sz="0" w:space="0" w:color="auto"/>
                <w:left w:val="none" w:sz="0" w:space="0" w:color="auto"/>
                <w:bottom w:val="none" w:sz="0" w:space="0" w:color="auto"/>
                <w:right w:val="none" w:sz="0" w:space="0" w:color="auto"/>
              </w:divBdr>
            </w:div>
            <w:div w:id="208342895">
              <w:marLeft w:val="0"/>
              <w:marRight w:val="0"/>
              <w:marTop w:val="0"/>
              <w:marBottom w:val="0"/>
              <w:divBdr>
                <w:top w:val="none" w:sz="0" w:space="0" w:color="auto"/>
                <w:left w:val="none" w:sz="0" w:space="0" w:color="auto"/>
                <w:bottom w:val="none" w:sz="0" w:space="0" w:color="auto"/>
                <w:right w:val="none" w:sz="0" w:space="0" w:color="auto"/>
              </w:divBdr>
            </w:div>
            <w:div w:id="268895388">
              <w:marLeft w:val="0"/>
              <w:marRight w:val="0"/>
              <w:marTop w:val="0"/>
              <w:marBottom w:val="0"/>
              <w:divBdr>
                <w:top w:val="none" w:sz="0" w:space="0" w:color="auto"/>
                <w:left w:val="none" w:sz="0" w:space="0" w:color="auto"/>
                <w:bottom w:val="none" w:sz="0" w:space="0" w:color="auto"/>
                <w:right w:val="none" w:sz="0" w:space="0" w:color="auto"/>
              </w:divBdr>
            </w:div>
            <w:div w:id="271590163">
              <w:marLeft w:val="0"/>
              <w:marRight w:val="0"/>
              <w:marTop w:val="0"/>
              <w:marBottom w:val="0"/>
              <w:divBdr>
                <w:top w:val="none" w:sz="0" w:space="0" w:color="auto"/>
                <w:left w:val="none" w:sz="0" w:space="0" w:color="auto"/>
                <w:bottom w:val="none" w:sz="0" w:space="0" w:color="auto"/>
                <w:right w:val="none" w:sz="0" w:space="0" w:color="auto"/>
              </w:divBdr>
            </w:div>
            <w:div w:id="287594231">
              <w:marLeft w:val="0"/>
              <w:marRight w:val="0"/>
              <w:marTop w:val="0"/>
              <w:marBottom w:val="0"/>
              <w:divBdr>
                <w:top w:val="none" w:sz="0" w:space="0" w:color="auto"/>
                <w:left w:val="none" w:sz="0" w:space="0" w:color="auto"/>
                <w:bottom w:val="none" w:sz="0" w:space="0" w:color="auto"/>
                <w:right w:val="none" w:sz="0" w:space="0" w:color="auto"/>
              </w:divBdr>
            </w:div>
            <w:div w:id="316805933">
              <w:marLeft w:val="0"/>
              <w:marRight w:val="0"/>
              <w:marTop w:val="0"/>
              <w:marBottom w:val="0"/>
              <w:divBdr>
                <w:top w:val="none" w:sz="0" w:space="0" w:color="auto"/>
                <w:left w:val="none" w:sz="0" w:space="0" w:color="auto"/>
                <w:bottom w:val="none" w:sz="0" w:space="0" w:color="auto"/>
                <w:right w:val="none" w:sz="0" w:space="0" w:color="auto"/>
              </w:divBdr>
            </w:div>
            <w:div w:id="374737475">
              <w:marLeft w:val="0"/>
              <w:marRight w:val="0"/>
              <w:marTop w:val="0"/>
              <w:marBottom w:val="0"/>
              <w:divBdr>
                <w:top w:val="none" w:sz="0" w:space="0" w:color="auto"/>
                <w:left w:val="none" w:sz="0" w:space="0" w:color="auto"/>
                <w:bottom w:val="none" w:sz="0" w:space="0" w:color="auto"/>
                <w:right w:val="none" w:sz="0" w:space="0" w:color="auto"/>
              </w:divBdr>
            </w:div>
            <w:div w:id="399718674">
              <w:marLeft w:val="0"/>
              <w:marRight w:val="0"/>
              <w:marTop w:val="0"/>
              <w:marBottom w:val="0"/>
              <w:divBdr>
                <w:top w:val="none" w:sz="0" w:space="0" w:color="auto"/>
                <w:left w:val="none" w:sz="0" w:space="0" w:color="auto"/>
                <w:bottom w:val="none" w:sz="0" w:space="0" w:color="auto"/>
                <w:right w:val="none" w:sz="0" w:space="0" w:color="auto"/>
              </w:divBdr>
            </w:div>
            <w:div w:id="431046649">
              <w:marLeft w:val="0"/>
              <w:marRight w:val="0"/>
              <w:marTop w:val="0"/>
              <w:marBottom w:val="0"/>
              <w:divBdr>
                <w:top w:val="none" w:sz="0" w:space="0" w:color="auto"/>
                <w:left w:val="none" w:sz="0" w:space="0" w:color="auto"/>
                <w:bottom w:val="none" w:sz="0" w:space="0" w:color="auto"/>
                <w:right w:val="none" w:sz="0" w:space="0" w:color="auto"/>
              </w:divBdr>
            </w:div>
            <w:div w:id="540633234">
              <w:marLeft w:val="0"/>
              <w:marRight w:val="0"/>
              <w:marTop w:val="0"/>
              <w:marBottom w:val="0"/>
              <w:divBdr>
                <w:top w:val="none" w:sz="0" w:space="0" w:color="auto"/>
                <w:left w:val="none" w:sz="0" w:space="0" w:color="auto"/>
                <w:bottom w:val="none" w:sz="0" w:space="0" w:color="auto"/>
                <w:right w:val="none" w:sz="0" w:space="0" w:color="auto"/>
              </w:divBdr>
            </w:div>
            <w:div w:id="755135353">
              <w:marLeft w:val="0"/>
              <w:marRight w:val="0"/>
              <w:marTop w:val="0"/>
              <w:marBottom w:val="0"/>
              <w:divBdr>
                <w:top w:val="none" w:sz="0" w:space="0" w:color="auto"/>
                <w:left w:val="none" w:sz="0" w:space="0" w:color="auto"/>
                <w:bottom w:val="none" w:sz="0" w:space="0" w:color="auto"/>
                <w:right w:val="none" w:sz="0" w:space="0" w:color="auto"/>
              </w:divBdr>
            </w:div>
            <w:div w:id="975530542">
              <w:marLeft w:val="0"/>
              <w:marRight w:val="0"/>
              <w:marTop w:val="0"/>
              <w:marBottom w:val="0"/>
              <w:divBdr>
                <w:top w:val="none" w:sz="0" w:space="0" w:color="auto"/>
                <w:left w:val="none" w:sz="0" w:space="0" w:color="auto"/>
                <w:bottom w:val="none" w:sz="0" w:space="0" w:color="auto"/>
                <w:right w:val="none" w:sz="0" w:space="0" w:color="auto"/>
              </w:divBdr>
            </w:div>
            <w:div w:id="983898714">
              <w:marLeft w:val="0"/>
              <w:marRight w:val="0"/>
              <w:marTop w:val="0"/>
              <w:marBottom w:val="0"/>
              <w:divBdr>
                <w:top w:val="none" w:sz="0" w:space="0" w:color="auto"/>
                <w:left w:val="none" w:sz="0" w:space="0" w:color="auto"/>
                <w:bottom w:val="none" w:sz="0" w:space="0" w:color="auto"/>
                <w:right w:val="none" w:sz="0" w:space="0" w:color="auto"/>
              </w:divBdr>
            </w:div>
            <w:div w:id="1096514973">
              <w:marLeft w:val="0"/>
              <w:marRight w:val="0"/>
              <w:marTop w:val="0"/>
              <w:marBottom w:val="0"/>
              <w:divBdr>
                <w:top w:val="none" w:sz="0" w:space="0" w:color="auto"/>
                <w:left w:val="none" w:sz="0" w:space="0" w:color="auto"/>
                <w:bottom w:val="none" w:sz="0" w:space="0" w:color="auto"/>
                <w:right w:val="none" w:sz="0" w:space="0" w:color="auto"/>
              </w:divBdr>
            </w:div>
            <w:div w:id="1099060771">
              <w:marLeft w:val="0"/>
              <w:marRight w:val="0"/>
              <w:marTop w:val="0"/>
              <w:marBottom w:val="0"/>
              <w:divBdr>
                <w:top w:val="none" w:sz="0" w:space="0" w:color="auto"/>
                <w:left w:val="none" w:sz="0" w:space="0" w:color="auto"/>
                <w:bottom w:val="none" w:sz="0" w:space="0" w:color="auto"/>
                <w:right w:val="none" w:sz="0" w:space="0" w:color="auto"/>
              </w:divBdr>
            </w:div>
            <w:div w:id="1466851436">
              <w:marLeft w:val="0"/>
              <w:marRight w:val="0"/>
              <w:marTop w:val="0"/>
              <w:marBottom w:val="0"/>
              <w:divBdr>
                <w:top w:val="none" w:sz="0" w:space="0" w:color="auto"/>
                <w:left w:val="none" w:sz="0" w:space="0" w:color="auto"/>
                <w:bottom w:val="none" w:sz="0" w:space="0" w:color="auto"/>
                <w:right w:val="none" w:sz="0" w:space="0" w:color="auto"/>
              </w:divBdr>
            </w:div>
            <w:div w:id="1480342108">
              <w:marLeft w:val="0"/>
              <w:marRight w:val="0"/>
              <w:marTop w:val="0"/>
              <w:marBottom w:val="0"/>
              <w:divBdr>
                <w:top w:val="none" w:sz="0" w:space="0" w:color="auto"/>
                <w:left w:val="none" w:sz="0" w:space="0" w:color="auto"/>
                <w:bottom w:val="none" w:sz="0" w:space="0" w:color="auto"/>
                <w:right w:val="none" w:sz="0" w:space="0" w:color="auto"/>
              </w:divBdr>
            </w:div>
            <w:div w:id="1823080528">
              <w:marLeft w:val="0"/>
              <w:marRight w:val="0"/>
              <w:marTop w:val="0"/>
              <w:marBottom w:val="0"/>
              <w:divBdr>
                <w:top w:val="none" w:sz="0" w:space="0" w:color="auto"/>
                <w:left w:val="none" w:sz="0" w:space="0" w:color="auto"/>
                <w:bottom w:val="none" w:sz="0" w:space="0" w:color="auto"/>
                <w:right w:val="none" w:sz="0" w:space="0" w:color="auto"/>
              </w:divBdr>
            </w:div>
            <w:div w:id="1978414601">
              <w:marLeft w:val="0"/>
              <w:marRight w:val="0"/>
              <w:marTop w:val="0"/>
              <w:marBottom w:val="0"/>
              <w:divBdr>
                <w:top w:val="none" w:sz="0" w:space="0" w:color="auto"/>
                <w:left w:val="none" w:sz="0" w:space="0" w:color="auto"/>
                <w:bottom w:val="none" w:sz="0" w:space="0" w:color="auto"/>
                <w:right w:val="none" w:sz="0" w:space="0" w:color="auto"/>
              </w:divBdr>
            </w:div>
            <w:div w:id="2016691023">
              <w:marLeft w:val="0"/>
              <w:marRight w:val="0"/>
              <w:marTop w:val="0"/>
              <w:marBottom w:val="0"/>
              <w:divBdr>
                <w:top w:val="none" w:sz="0" w:space="0" w:color="auto"/>
                <w:left w:val="none" w:sz="0" w:space="0" w:color="auto"/>
                <w:bottom w:val="none" w:sz="0" w:space="0" w:color="auto"/>
                <w:right w:val="none" w:sz="0" w:space="0" w:color="auto"/>
              </w:divBdr>
            </w:div>
          </w:divsChild>
        </w:div>
        <w:div w:id="1670326975">
          <w:marLeft w:val="0"/>
          <w:marRight w:val="0"/>
          <w:marTop w:val="0"/>
          <w:marBottom w:val="0"/>
          <w:divBdr>
            <w:top w:val="none" w:sz="0" w:space="0" w:color="auto"/>
            <w:left w:val="none" w:sz="0" w:space="0" w:color="auto"/>
            <w:bottom w:val="none" w:sz="0" w:space="0" w:color="auto"/>
            <w:right w:val="none" w:sz="0" w:space="0" w:color="auto"/>
          </w:divBdr>
        </w:div>
        <w:div w:id="1690646176">
          <w:marLeft w:val="0"/>
          <w:marRight w:val="0"/>
          <w:marTop w:val="0"/>
          <w:marBottom w:val="0"/>
          <w:divBdr>
            <w:top w:val="none" w:sz="0" w:space="0" w:color="auto"/>
            <w:left w:val="none" w:sz="0" w:space="0" w:color="auto"/>
            <w:bottom w:val="none" w:sz="0" w:space="0" w:color="auto"/>
            <w:right w:val="none" w:sz="0" w:space="0" w:color="auto"/>
          </w:divBdr>
        </w:div>
        <w:div w:id="1820001438">
          <w:marLeft w:val="0"/>
          <w:marRight w:val="0"/>
          <w:marTop w:val="0"/>
          <w:marBottom w:val="0"/>
          <w:divBdr>
            <w:top w:val="none" w:sz="0" w:space="0" w:color="auto"/>
            <w:left w:val="none" w:sz="0" w:space="0" w:color="auto"/>
            <w:bottom w:val="none" w:sz="0" w:space="0" w:color="auto"/>
            <w:right w:val="none" w:sz="0" w:space="0" w:color="auto"/>
          </w:divBdr>
          <w:divsChild>
            <w:div w:id="63459466">
              <w:marLeft w:val="0"/>
              <w:marRight w:val="0"/>
              <w:marTop w:val="0"/>
              <w:marBottom w:val="0"/>
              <w:divBdr>
                <w:top w:val="none" w:sz="0" w:space="0" w:color="auto"/>
                <w:left w:val="none" w:sz="0" w:space="0" w:color="auto"/>
                <w:bottom w:val="none" w:sz="0" w:space="0" w:color="auto"/>
                <w:right w:val="none" w:sz="0" w:space="0" w:color="auto"/>
              </w:divBdr>
            </w:div>
            <w:div w:id="89786508">
              <w:marLeft w:val="0"/>
              <w:marRight w:val="0"/>
              <w:marTop w:val="0"/>
              <w:marBottom w:val="0"/>
              <w:divBdr>
                <w:top w:val="none" w:sz="0" w:space="0" w:color="auto"/>
                <w:left w:val="none" w:sz="0" w:space="0" w:color="auto"/>
                <w:bottom w:val="none" w:sz="0" w:space="0" w:color="auto"/>
                <w:right w:val="none" w:sz="0" w:space="0" w:color="auto"/>
              </w:divBdr>
            </w:div>
            <w:div w:id="202522425">
              <w:marLeft w:val="0"/>
              <w:marRight w:val="0"/>
              <w:marTop w:val="0"/>
              <w:marBottom w:val="0"/>
              <w:divBdr>
                <w:top w:val="none" w:sz="0" w:space="0" w:color="auto"/>
                <w:left w:val="none" w:sz="0" w:space="0" w:color="auto"/>
                <w:bottom w:val="none" w:sz="0" w:space="0" w:color="auto"/>
                <w:right w:val="none" w:sz="0" w:space="0" w:color="auto"/>
              </w:divBdr>
            </w:div>
            <w:div w:id="210650142">
              <w:marLeft w:val="0"/>
              <w:marRight w:val="0"/>
              <w:marTop w:val="0"/>
              <w:marBottom w:val="0"/>
              <w:divBdr>
                <w:top w:val="none" w:sz="0" w:space="0" w:color="auto"/>
                <w:left w:val="none" w:sz="0" w:space="0" w:color="auto"/>
                <w:bottom w:val="none" w:sz="0" w:space="0" w:color="auto"/>
                <w:right w:val="none" w:sz="0" w:space="0" w:color="auto"/>
              </w:divBdr>
            </w:div>
            <w:div w:id="286400509">
              <w:marLeft w:val="0"/>
              <w:marRight w:val="0"/>
              <w:marTop w:val="0"/>
              <w:marBottom w:val="0"/>
              <w:divBdr>
                <w:top w:val="none" w:sz="0" w:space="0" w:color="auto"/>
                <w:left w:val="none" w:sz="0" w:space="0" w:color="auto"/>
                <w:bottom w:val="none" w:sz="0" w:space="0" w:color="auto"/>
                <w:right w:val="none" w:sz="0" w:space="0" w:color="auto"/>
              </w:divBdr>
            </w:div>
            <w:div w:id="383218472">
              <w:marLeft w:val="0"/>
              <w:marRight w:val="0"/>
              <w:marTop w:val="0"/>
              <w:marBottom w:val="0"/>
              <w:divBdr>
                <w:top w:val="none" w:sz="0" w:space="0" w:color="auto"/>
                <w:left w:val="none" w:sz="0" w:space="0" w:color="auto"/>
                <w:bottom w:val="none" w:sz="0" w:space="0" w:color="auto"/>
                <w:right w:val="none" w:sz="0" w:space="0" w:color="auto"/>
              </w:divBdr>
            </w:div>
            <w:div w:id="631985919">
              <w:marLeft w:val="0"/>
              <w:marRight w:val="0"/>
              <w:marTop w:val="0"/>
              <w:marBottom w:val="0"/>
              <w:divBdr>
                <w:top w:val="none" w:sz="0" w:space="0" w:color="auto"/>
                <w:left w:val="none" w:sz="0" w:space="0" w:color="auto"/>
                <w:bottom w:val="none" w:sz="0" w:space="0" w:color="auto"/>
                <w:right w:val="none" w:sz="0" w:space="0" w:color="auto"/>
              </w:divBdr>
            </w:div>
            <w:div w:id="784229296">
              <w:marLeft w:val="0"/>
              <w:marRight w:val="0"/>
              <w:marTop w:val="0"/>
              <w:marBottom w:val="0"/>
              <w:divBdr>
                <w:top w:val="none" w:sz="0" w:space="0" w:color="auto"/>
                <w:left w:val="none" w:sz="0" w:space="0" w:color="auto"/>
                <w:bottom w:val="none" w:sz="0" w:space="0" w:color="auto"/>
                <w:right w:val="none" w:sz="0" w:space="0" w:color="auto"/>
              </w:divBdr>
            </w:div>
            <w:div w:id="798692650">
              <w:marLeft w:val="0"/>
              <w:marRight w:val="0"/>
              <w:marTop w:val="0"/>
              <w:marBottom w:val="0"/>
              <w:divBdr>
                <w:top w:val="none" w:sz="0" w:space="0" w:color="auto"/>
                <w:left w:val="none" w:sz="0" w:space="0" w:color="auto"/>
                <w:bottom w:val="none" w:sz="0" w:space="0" w:color="auto"/>
                <w:right w:val="none" w:sz="0" w:space="0" w:color="auto"/>
              </w:divBdr>
            </w:div>
            <w:div w:id="853108475">
              <w:marLeft w:val="0"/>
              <w:marRight w:val="0"/>
              <w:marTop w:val="0"/>
              <w:marBottom w:val="0"/>
              <w:divBdr>
                <w:top w:val="none" w:sz="0" w:space="0" w:color="auto"/>
                <w:left w:val="none" w:sz="0" w:space="0" w:color="auto"/>
                <w:bottom w:val="none" w:sz="0" w:space="0" w:color="auto"/>
                <w:right w:val="none" w:sz="0" w:space="0" w:color="auto"/>
              </w:divBdr>
            </w:div>
            <w:div w:id="1015619737">
              <w:marLeft w:val="0"/>
              <w:marRight w:val="0"/>
              <w:marTop w:val="0"/>
              <w:marBottom w:val="0"/>
              <w:divBdr>
                <w:top w:val="none" w:sz="0" w:space="0" w:color="auto"/>
                <w:left w:val="none" w:sz="0" w:space="0" w:color="auto"/>
                <w:bottom w:val="none" w:sz="0" w:space="0" w:color="auto"/>
                <w:right w:val="none" w:sz="0" w:space="0" w:color="auto"/>
              </w:divBdr>
            </w:div>
            <w:div w:id="1031420102">
              <w:marLeft w:val="0"/>
              <w:marRight w:val="0"/>
              <w:marTop w:val="0"/>
              <w:marBottom w:val="0"/>
              <w:divBdr>
                <w:top w:val="none" w:sz="0" w:space="0" w:color="auto"/>
                <w:left w:val="none" w:sz="0" w:space="0" w:color="auto"/>
                <w:bottom w:val="none" w:sz="0" w:space="0" w:color="auto"/>
                <w:right w:val="none" w:sz="0" w:space="0" w:color="auto"/>
              </w:divBdr>
            </w:div>
            <w:div w:id="1055012876">
              <w:marLeft w:val="0"/>
              <w:marRight w:val="0"/>
              <w:marTop w:val="0"/>
              <w:marBottom w:val="0"/>
              <w:divBdr>
                <w:top w:val="none" w:sz="0" w:space="0" w:color="auto"/>
                <w:left w:val="none" w:sz="0" w:space="0" w:color="auto"/>
                <w:bottom w:val="none" w:sz="0" w:space="0" w:color="auto"/>
                <w:right w:val="none" w:sz="0" w:space="0" w:color="auto"/>
              </w:divBdr>
            </w:div>
            <w:div w:id="1246038261">
              <w:marLeft w:val="0"/>
              <w:marRight w:val="0"/>
              <w:marTop w:val="0"/>
              <w:marBottom w:val="0"/>
              <w:divBdr>
                <w:top w:val="none" w:sz="0" w:space="0" w:color="auto"/>
                <w:left w:val="none" w:sz="0" w:space="0" w:color="auto"/>
                <w:bottom w:val="none" w:sz="0" w:space="0" w:color="auto"/>
                <w:right w:val="none" w:sz="0" w:space="0" w:color="auto"/>
              </w:divBdr>
            </w:div>
            <w:div w:id="1376806980">
              <w:marLeft w:val="0"/>
              <w:marRight w:val="0"/>
              <w:marTop w:val="0"/>
              <w:marBottom w:val="0"/>
              <w:divBdr>
                <w:top w:val="none" w:sz="0" w:space="0" w:color="auto"/>
                <w:left w:val="none" w:sz="0" w:space="0" w:color="auto"/>
                <w:bottom w:val="none" w:sz="0" w:space="0" w:color="auto"/>
                <w:right w:val="none" w:sz="0" w:space="0" w:color="auto"/>
              </w:divBdr>
            </w:div>
            <w:div w:id="1506630213">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61357167">
              <w:marLeft w:val="0"/>
              <w:marRight w:val="0"/>
              <w:marTop w:val="0"/>
              <w:marBottom w:val="0"/>
              <w:divBdr>
                <w:top w:val="none" w:sz="0" w:space="0" w:color="auto"/>
                <w:left w:val="none" w:sz="0" w:space="0" w:color="auto"/>
                <w:bottom w:val="none" w:sz="0" w:space="0" w:color="auto"/>
                <w:right w:val="none" w:sz="0" w:space="0" w:color="auto"/>
              </w:divBdr>
            </w:div>
            <w:div w:id="2109494987">
              <w:marLeft w:val="0"/>
              <w:marRight w:val="0"/>
              <w:marTop w:val="0"/>
              <w:marBottom w:val="0"/>
              <w:divBdr>
                <w:top w:val="none" w:sz="0" w:space="0" w:color="auto"/>
                <w:left w:val="none" w:sz="0" w:space="0" w:color="auto"/>
                <w:bottom w:val="none" w:sz="0" w:space="0" w:color="auto"/>
                <w:right w:val="none" w:sz="0" w:space="0" w:color="auto"/>
              </w:divBdr>
            </w:div>
            <w:div w:id="2112358403">
              <w:marLeft w:val="0"/>
              <w:marRight w:val="0"/>
              <w:marTop w:val="0"/>
              <w:marBottom w:val="0"/>
              <w:divBdr>
                <w:top w:val="none" w:sz="0" w:space="0" w:color="auto"/>
                <w:left w:val="none" w:sz="0" w:space="0" w:color="auto"/>
                <w:bottom w:val="none" w:sz="0" w:space="0" w:color="auto"/>
                <w:right w:val="none" w:sz="0" w:space="0" w:color="auto"/>
              </w:divBdr>
            </w:div>
          </w:divsChild>
        </w:div>
        <w:div w:id="1842350931">
          <w:marLeft w:val="0"/>
          <w:marRight w:val="0"/>
          <w:marTop w:val="0"/>
          <w:marBottom w:val="0"/>
          <w:divBdr>
            <w:top w:val="none" w:sz="0" w:space="0" w:color="auto"/>
            <w:left w:val="none" w:sz="0" w:space="0" w:color="auto"/>
            <w:bottom w:val="none" w:sz="0" w:space="0" w:color="auto"/>
            <w:right w:val="none" w:sz="0" w:space="0" w:color="auto"/>
          </w:divBdr>
        </w:div>
        <w:div w:id="1854538142">
          <w:marLeft w:val="0"/>
          <w:marRight w:val="0"/>
          <w:marTop w:val="0"/>
          <w:marBottom w:val="0"/>
          <w:divBdr>
            <w:top w:val="none" w:sz="0" w:space="0" w:color="auto"/>
            <w:left w:val="none" w:sz="0" w:space="0" w:color="auto"/>
            <w:bottom w:val="none" w:sz="0" w:space="0" w:color="auto"/>
            <w:right w:val="none" w:sz="0" w:space="0" w:color="auto"/>
          </w:divBdr>
        </w:div>
        <w:div w:id="1858349469">
          <w:marLeft w:val="0"/>
          <w:marRight w:val="0"/>
          <w:marTop w:val="0"/>
          <w:marBottom w:val="0"/>
          <w:divBdr>
            <w:top w:val="none" w:sz="0" w:space="0" w:color="auto"/>
            <w:left w:val="none" w:sz="0" w:space="0" w:color="auto"/>
            <w:bottom w:val="none" w:sz="0" w:space="0" w:color="auto"/>
            <w:right w:val="none" w:sz="0" w:space="0" w:color="auto"/>
          </w:divBdr>
        </w:div>
        <w:div w:id="1863471210">
          <w:marLeft w:val="0"/>
          <w:marRight w:val="0"/>
          <w:marTop w:val="0"/>
          <w:marBottom w:val="0"/>
          <w:divBdr>
            <w:top w:val="none" w:sz="0" w:space="0" w:color="auto"/>
            <w:left w:val="none" w:sz="0" w:space="0" w:color="auto"/>
            <w:bottom w:val="none" w:sz="0" w:space="0" w:color="auto"/>
            <w:right w:val="none" w:sz="0" w:space="0" w:color="auto"/>
          </w:divBdr>
        </w:div>
        <w:div w:id="1880193530">
          <w:marLeft w:val="0"/>
          <w:marRight w:val="0"/>
          <w:marTop w:val="0"/>
          <w:marBottom w:val="0"/>
          <w:divBdr>
            <w:top w:val="none" w:sz="0" w:space="0" w:color="auto"/>
            <w:left w:val="none" w:sz="0" w:space="0" w:color="auto"/>
            <w:bottom w:val="none" w:sz="0" w:space="0" w:color="auto"/>
            <w:right w:val="none" w:sz="0" w:space="0" w:color="auto"/>
          </w:divBdr>
        </w:div>
        <w:div w:id="1901136002">
          <w:marLeft w:val="0"/>
          <w:marRight w:val="0"/>
          <w:marTop w:val="0"/>
          <w:marBottom w:val="0"/>
          <w:divBdr>
            <w:top w:val="none" w:sz="0" w:space="0" w:color="auto"/>
            <w:left w:val="none" w:sz="0" w:space="0" w:color="auto"/>
            <w:bottom w:val="none" w:sz="0" w:space="0" w:color="auto"/>
            <w:right w:val="none" w:sz="0" w:space="0" w:color="auto"/>
          </w:divBdr>
        </w:div>
        <w:div w:id="1916091457">
          <w:marLeft w:val="0"/>
          <w:marRight w:val="0"/>
          <w:marTop w:val="0"/>
          <w:marBottom w:val="0"/>
          <w:divBdr>
            <w:top w:val="none" w:sz="0" w:space="0" w:color="auto"/>
            <w:left w:val="none" w:sz="0" w:space="0" w:color="auto"/>
            <w:bottom w:val="none" w:sz="0" w:space="0" w:color="auto"/>
            <w:right w:val="none" w:sz="0" w:space="0" w:color="auto"/>
          </w:divBdr>
        </w:div>
        <w:div w:id="1917981950">
          <w:marLeft w:val="0"/>
          <w:marRight w:val="0"/>
          <w:marTop w:val="0"/>
          <w:marBottom w:val="0"/>
          <w:divBdr>
            <w:top w:val="none" w:sz="0" w:space="0" w:color="auto"/>
            <w:left w:val="none" w:sz="0" w:space="0" w:color="auto"/>
            <w:bottom w:val="none" w:sz="0" w:space="0" w:color="auto"/>
            <w:right w:val="none" w:sz="0" w:space="0" w:color="auto"/>
          </w:divBdr>
        </w:div>
        <w:div w:id="1929389278">
          <w:marLeft w:val="0"/>
          <w:marRight w:val="0"/>
          <w:marTop w:val="0"/>
          <w:marBottom w:val="0"/>
          <w:divBdr>
            <w:top w:val="none" w:sz="0" w:space="0" w:color="auto"/>
            <w:left w:val="none" w:sz="0" w:space="0" w:color="auto"/>
            <w:bottom w:val="none" w:sz="0" w:space="0" w:color="auto"/>
            <w:right w:val="none" w:sz="0" w:space="0" w:color="auto"/>
          </w:divBdr>
          <w:divsChild>
            <w:div w:id="43794003">
              <w:marLeft w:val="0"/>
              <w:marRight w:val="0"/>
              <w:marTop w:val="0"/>
              <w:marBottom w:val="0"/>
              <w:divBdr>
                <w:top w:val="none" w:sz="0" w:space="0" w:color="auto"/>
                <w:left w:val="none" w:sz="0" w:space="0" w:color="auto"/>
                <w:bottom w:val="none" w:sz="0" w:space="0" w:color="auto"/>
                <w:right w:val="none" w:sz="0" w:space="0" w:color="auto"/>
              </w:divBdr>
            </w:div>
            <w:div w:id="335771084">
              <w:marLeft w:val="0"/>
              <w:marRight w:val="0"/>
              <w:marTop w:val="0"/>
              <w:marBottom w:val="0"/>
              <w:divBdr>
                <w:top w:val="none" w:sz="0" w:space="0" w:color="auto"/>
                <w:left w:val="none" w:sz="0" w:space="0" w:color="auto"/>
                <w:bottom w:val="none" w:sz="0" w:space="0" w:color="auto"/>
                <w:right w:val="none" w:sz="0" w:space="0" w:color="auto"/>
              </w:divBdr>
            </w:div>
            <w:div w:id="404959134">
              <w:marLeft w:val="0"/>
              <w:marRight w:val="0"/>
              <w:marTop w:val="0"/>
              <w:marBottom w:val="0"/>
              <w:divBdr>
                <w:top w:val="none" w:sz="0" w:space="0" w:color="auto"/>
                <w:left w:val="none" w:sz="0" w:space="0" w:color="auto"/>
                <w:bottom w:val="none" w:sz="0" w:space="0" w:color="auto"/>
                <w:right w:val="none" w:sz="0" w:space="0" w:color="auto"/>
              </w:divBdr>
            </w:div>
            <w:div w:id="479926203">
              <w:marLeft w:val="0"/>
              <w:marRight w:val="0"/>
              <w:marTop w:val="0"/>
              <w:marBottom w:val="0"/>
              <w:divBdr>
                <w:top w:val="none" w:sz="0" w:space="0" w:color="auto"/>
                <w:left w:val="none" w:sz="0" w:space="0" w:color="auto"/>
                <w:bottom w:val="none" w:sz="0" w:space="0" w:color="auto"/>
                <w:right w:val="none" w:sz="0" w:space="0" w:color="auto"/>
              </w:divBdr>
            </w:div>
            <w:div w:id="515388373">
              <w:marLeft w:val="0"/>
              <w:marRight w:val="0"/>
              <w:marTop w:val="0"/>
              <w:marBottom w:val="0"/>
              <w:divBdr>
                <w:top w:val="none" w:sz="0" w:space="0" w:color="auto"/>
                <w:left w:val="none" w:sz="0" w:space="0" w:color="auto"/>
                <w:bottom w:val="none" w:sz="0" w:space="0" w:color="auto"/>
                <w:right w:val="none" w:sz="0" w:space="0" w:color="auto"/>
              </w:divBdr>
            </w:div>
            <w:div w:id="621691533">
              <w:marLeft w:val="0"/>
              <w:marRight w:val="0"/>
              <w:marTop w:val="0"/>
              <w:marBottom w:val="0"/>
              <w:divBdr>
                <w:top w:val="none" w:sz="0" w:space="0" w:color="auto"/>
                <w:left w:val="none" w:sz="0" w:space="0" w:color="auto"/>
                <w:bottom w:val="none" w:sz="0" w:space="0" w:color="auto"/>
                <w:right w:val="none" w:sz="0" w:space="0" w:color="auto"/>
              </w:divBdr>
            </w:div>
            <w:div w:id="771897843">
              <w:marLeft w:val="0"/>
              <w:marRight w:val="0"/>
              <w:marTop w:val="0"/>
              <w:marBottom w:val="0"/>
              <w:divBdr>
                <w:top w:val="none" w:sz="0" w:space="0" w:color="auto"/>
                <w:left w:val="none" w:sz="0" w:space="0" w:color="auto"/>
                <w:bottom w:val="none" w:sz="0" w:space="0" w:color="auto"/>
                <w:right w:val="none" w:sz="0" w:space="0" w:color="auto"/>
              </w:divBdr>
            </w:div>
            <w:div w:id="917979766">
              <w:marLeft w:val="0"/>
              <w:marRight w:val="0"/>
              <w:marTop w:val="0"/>
              <w:marBottom w:val="0"/>
              <w:divBdr>
                <w:top w:val="none" w:sz="0" w:space="0" w:color="auto"/>
                <w:left w:val="none" w:sz="0" w:space="0" w:color="auto"/>
                <w:bottom w:val="none" w:sz="0" w:space="0" w:color="auto"/>
                <w:right w:val="none" w:sz="0" w:space="0" w:color="auto"/>
              </w:divBdr>
            </w:div>
            <w:div w:id="959721594">
              <w:marLeft w:val="0"/>
              <w:marRight w:val="0"/>
              <w:marTop w:val="0"/>
              <w:marBottom w:val="0"/>
              <w:divBdr>
                <w:top w:val="none" w:sz="0" w:space="0" w:color="auto"/>
                <w:left w:val="none" w:sz="0" w:space="0" w:color="auto"/>
                <w:bottom w:val="none" w:sz="0" w:space="0" w:color="auto"/>
                <w:right w:val="none" w:sz="0" w:space="0" w:color="auto"/>
              </w:divBdr>
            </w:div>
            <w:div w:id="1028874738">
              <w:marLeft w:val="0"/>
              <w:marRight w:val="0"/>
              <w:marTop w:val="0"/>
              <w:marBottom w:val="0"/>
              <w:divBdr>
                <w:top w:val="none" w:sz="0" w:space="0" w:color="auto"/>
                <w:left w:val="none" w:sz="0" w:space="0" w:color="auto"/>
                <w:bottom w:val="none" w:sz="0" w:space="0" w:color="auto"/>
                <w:right w:val="none" w:sz="0" w:space="0" w:color="auto"/>
              </w:divBdr>
            </w:div>
            <w:div w:id="1077821251">
              <w:marLeft w:val="0"/>
              <w:marRight w:val="0"/>
              <w:marTop w:val="0"/>
              <w:marBottom w:val="0"/>
              <w:divBdr>
                <w:top w:val="none" w:sz="0" w:space="0" w:color="auto"/>
                <w:left w:val="none" w:sz="0" w:space="0" w:color="auto"/>
                <w:bottom w:val="none" w:sz="0" w:space="0" w:color="auto"/>
                <w:right w:val="none" w:sz="0" w:space="0" w:color="auto"/>
              </w:divBdr>
            </w:div>
            <w:div w:id="1118524227">
              <w:marLeft w:val="0"/>
              <w:marRight w:val="0"/>
              <w:marTop w:val="0"/>
              <w:marBottom w:val="0"/>
              <w:divBdr>
                <w:top w:val="none" w:sz="0" w:space="0" w:color="auto"/>
                <w:left w:val="none" w:sz="0" w:space="0" w:color="auto"/>
                <w:bottom w:val="none" w:sz="0" w:space="0" w:color="auto"/>
                <w:right w:val="none" w:sz="0" w:space="0" w:color="auto"/>
              </w:divBdr>
            </w:div>
            <w:div w:id="1126046505">
              <w:marLeft w:val="0"/>
              <w:marRight w:val="0"/>
              <w:marTop w:val="0"/>
              <w:marBottom w:val="0"/>
              <w:divBdr>
                <w:top w:val="none" w:sz="0" w:space="0" w:color="auto"/>
                <w:left w:val="none" w:sz="0" w:space="0" w:color="auto"/>
                <w:bottom w:val="none" w:sz="0" w:space="0" w:color="auto"/>
                <w:right w:val="none" w:sz="0" w:space="0" w:color="auto"/>
              </w:divBdr>
            </w:div>
            <w:div w:id="1161846735">
              <w:marLeft w:val="0"/>
              <w:marRight w:val="0"/>
              <w:marTop w:val="0"/>
              <w:marBottom w:val="0"/>
              <w:divBdr>
                <w:top w:val="none" w:sz="0" w:space="0" w:color="auto"/>
                <w:left w:val="none" w:sz="0" w:space="0" w:color="auto"/>
                <w:bottom w:val="none" w:sz="0" w:space="0" w:color="auto"/>
                <w:right w:val="none" w:sz="0" w:space="0" w:color="auto"/>
              </w:divBdr>
            </w:div>
            <w:div w:id="1252667718">
              <w:marLeft w:val="0"/>
              <w:marRight w:val="0"/>
              <w:marTop w:val="0"/>
              <w:marBottom w:val="0"/>
              <w:divBdr>
                <w:top w:val="none" w:sz="0" w:space="0" w:color="auto"/>
                <w:left w:val="none" w:sz="0" w:space="0" w:color="auto"/>
                <w:bottom w:val="none" w:sz="0" w:space="0" w:color="auto"/>
                <w:right w:val="none" w:sz="0" w:space="0" w:color="auto"/>
              </w:divBdr>
            </w:div>
            <w:div w:id="1267613847">
              <w:marLeft w:val="0"/>
              <w:marRight w:val="0"/>
              <w:marTop w:val="0"/>
              <w:marBottom w:val="0"/>
              <w:divBdr>
                <w:top w:val="none" w:sz="0" w:space="0" w:color="auto"/>
                <w:left w:val="none" w:sz="0" w:space="0" w:color="auto"/>
                <w:bottom w:val="none" w:sz="0" w:space="0" w:color="auto"/>
                <w:right w:val="none" w:sz="0" w:space="0" w:color="auto"/>
              </w:divBdr>
            </w:div>
            <w:div w:id="1275478421">
              <w:marLeft w:val="0"/>
              <w:marRight w:val="0"/>
              <w:marTop w:val="0"/>
              <w:marBottom w:val="0"/>
              <w:divBdr>
                <w:top w:val="none" w:sz="0" w:space="0" w:color="auto"/>
                <w:left w:val="none" w:sz="0" w:space="0" w:color="auto"/>
                <w:bottom w:val="none" w:sz="0" w:space="0" w:color="auto"/>
                <w:right w:val="none" w:sz="0" w:space="0" w:color="auto"/>
              </w:divBdr>
            </w:div>
            <w:div w:id="1953709914">
              <w:marLeft w:val="0"/>
              <w:marRight w:val="0"/>
              <w:marTop w:val="0"/>
              <w:marBottom w:val="0"/>
              <w:divBdr>
                <w:top w:val="none" w:sz="0" w:space="0" w:color="auto"/>
                <w:left w:val="none" w:sz="0" w:space="0" w:color="auto"/>
                <w:bottom w:val="none" w:sz="0" w:space="0" w:color="auto"/>
                <w:right w:val="none" w:sz="0" w:space="0" w:color="auto"/>
              </w:divBdr>
            </w:div>
            <w:div w:id="2025740548">
              <w:marLeft w:val="0"/>
              <w:marRight w:val="0"/>
              <w:marTop w:val="0"/>
              <w:marBottom w:val="0"/>
              <w:divBdr>
                <w:top w:val="none" w:sz="0" w:space="0" w:color="auto"/>
                <w:left w:val="none" w:sz="0" w:space="0" w:color="auto"/>
                <w:bottom w:val="none" w:sz="0" w:space="0" w:color="auto"/>
                <w:right w:val="none" w:sz="0" w:space="0" w:color="auto"/>
              </w:divBdr>
            </w:div>
            <w:div w:id="2080206549">
              <w:marLeft w:val="0"/>
              <w:marRight w:val="0"/>
              <w:marTop w:val="0"/>
              <w:marBottom w:val="0"/>
              <w:divBdr>
                <w:top w:val="none" w:sz="0" w:space="0" w:color="auto"/>
                <w:left w:val="none" w:sz="0" w:space="0" w:color="auto"/>
                <w:bottom w:val="none" w:sz="0" w:space="0" w:color="auto"/>
                <w:right w:val="none" w:sz="0" w:space="0" w:color="auto"/>
              </w:divBdr>
            </w:div>
          </w:divsChild>
        </w:div>
        <w:div w:id="1933776460">
          <w:marLeft w:val="0"/>
          <w:marRight w:val="0"/>
          <w:marTop w:val="0"/>
          <w:marBottom w:val="0"/>
          <w:divBdr>
            <w:top w:val="none" w:sz="0" w:space="0" w:color="auto"/>
            <w:left w:val="none" w:sz="0" w:space="0" w:color="auto"/>
            <w:bottom w:val="none" w:sz="0" w:space="0" w:color="auto"/>
            <w:right w:val="none" w:sz="0" w:space="0" w:color="auto"/>
          </w:divBdr>
        </w:div>
        <w:div w:id="2127580175">
          <w:marLeft w:val="0"/>
          <w:marRight w:val="0"/>
          <w:marTop w:val="0"/>
          <w:marBottom w:val="0"/>
          <w:divBdr>
            <w:top w:val="none" w:sz="0" w:space="0" w:color="auto"/>
            <w:left w:val="none" w:sz="0" w:space="0" w:color="auto"/>
            <w:bottom w:val="none" w:sz="0" w:space="0" w:color="auto"/>
            <w:right w:val="none" w:sz="0" w:space="0" w:color="auto"/>
          </w:divBdr>
        </w:div>
        <w:div w:id="2130396776">
          <w:marLeft w:val="0"/>
          <w:marRight w:val="0"/>
          <w:marTop w:val="0"/>
          <w:marBottom w:val="0"/>
          <w:divBdr>
            <w:top w:val="none" w:sz="0" w:space="0" w:color="auto"/>
            <w:left w:val="none" w:sz="0" w:space="0" w:color="auto"/>
            <w:bottom w:val="none" w:sz="0" w:space="0" w:color="auto"/>
            <w:right w:val="none" w:sz="0" w:space="0" w:color="auto"/>
          </w:divBdr>
        </w:div>
      </w:divsChild>
    </w:div>
    <w:div w:id="1080057889">
      <w:bodyDiv w:val="1"/>
      <w:marLeft w:val="0"/>
      <w:marRight w:val="0"/>
      <w:marTop w:val="0"/>
      <w:marBottom w:val="0"/>
      <w:divBdr>
        <w:top w:val="none" w:sz="0" w:space="0" w:color="auto"/>
        <w:left w:val="none" w:sz="0" w:space="0" w:color="auto"/>
        <w:bottom w:val="none" w:sz="0" w:space="0" w:color="auto"/>
        <w:right w:val="none" w:sz="0" w:space="0" w:color="auto"/>
      </w:divBdr>
      <w:divsChild>
        <w:div w:id="46610175">
          <w:marLeft w:val="0"/>
          <w:marRight w:val="0"/>
          <w:marTop w:val="0"/>
          <w:marBottom w:val="0"/>
          <w:divBdr>
            <w:top w:val="none" w:sz="0" w:space="0" w:color="auto"/>
            <w:left w:val="none" w:sz="0" w:space="0" w:color="auto"/>
            <w:bottom w:val="none" w:sz="0" w:space="0" w:color="auto"/>
            <w:right w:val="none" w:sz="0" w:space="0" w:color="auto"/>
          </w:divBdr>
          <w:divsChild>
            <w:div w:id="642468295">
              <w:marLeft w:val="0"/>
              <w:marRight w:val="0"/>
              <w:marTop w:val="0"/>
              <w:marBottom w:val="0"/>
              <w:divBdr>
                <w:top w:val="none" w:sz="0" w:space="0" w:color="auto"/>
                <w:left w:val="none" w:sz="0" w:space="0" w:color="auto"/>
                <w:bottom w:val="none" w:sz="0" w:space="0" w:color="auto"/>
                <w:right w:val="none" w:sz="0" w:space="0" w:color="auto"/>
              </w:divBdr>
            </w:div>
          </w:divsChild>
        </w:div>
        <w:div w:id="131558769">
          <w:marLeft w:val="0"/>
          <w:marRight w:val="0"/>
          <w:marTop w:val="0"/>
          <w:marBottom w:val="0"/>
          <w:divBdr>
            <w:top w:val="none" w:sz="0" w:space="0" w:color="auto"/>
            <w:left w:val="none" w:sz="0" w:space="0" w:color="auto"/>
            <w:bottom w:val="none" w:sz="0" w:space="0" w:color="auto"/>
            <w:right w:val="none" w:sz="0" w:space="0" w:color="auto"/>
          </w:divBdr>
          <w:divsChild>
            <w:div w:id="1816874747">
              <w:marLeft w:val="0"/>
              <w:marRight w:val="0"/>
              <w:marTop w:val="0"/>
              <w:marBottom w:val="0"/>
              <w:divBdr>
                <w:top w:val="none" w:sz="0" w:space="0" w:color="auto"/>
                <w:left w:val="none" w:sz="0" w:space="0" w:color="auto"/>
                <w:bottom w:val="none" w:sz="0" w:space="0" w:color="auto"/>
                <w:right w:val="none" w:sz="0" w:space="0" w:color="auto"/>
              </w:divBdr>
            </w:div>
          </w:divsChild>
        </w:div>
        <w:div w:id="149491351">
          <w:marLeft w:val="0"/>
          <w:marRight w:val="0"/>
          <w:marTop w:val="0"/>
          <w:marBottom w:val="0"/>
          <w:divBdr>
            <w:top w:val="none" w:sz="0" w:space="0" w:color="auto"/>
            <w:left w:val="none" w:sz="0" w:space="0" w:color="auto"/>
            <w:bottom w:val="none" w:sz="0" w:space="0" w:color="auto"/>
            <w:right w:val="none" w:sz="0" w:space="0" w:color="auto"/>
          </w:divBdr>
          <w:divsChild>
            <w:div w:id="1259410777">
              <w:marLeft w:val="0"/>
              <w:marRight w:val="0"/>
              <w:marTop w:val="0"/>
              <w:marBottom w:val="0"/>
              <w:divBdr>
                <w:top w:val="none" w:sz="0" w:space="0" w:color="auto"/>
                <w:left w:val="none" w:sz="0" w:space="0" w:color="auto"/>
                <w:bottom w:val="none" w:sz="0" w:space="0" w:color="auto"/>
                <w:right w:val="none" w:sz="0" w:space="0" w:color="auto"/>
              </w:divBdr>
            </w:div>
          </w:divsChild>
        </w:div>
        <w:div w:id="192620612">
          <w:marLeft w:val="0"/>
          <w:marRight w:val="0"/>
          <w:marTop w:val="0"/>
          <w:marBottom w:val="0"/>
          <w:divBdr>
            <w:top w:val="none" w:sz="0" w:space="0" w:color="auto"/>
            <w:left w:val="none" w:sz="0" w:space="0" w:color="auto"/>
            <w:bottom w:val="none" w:sz="0" w:space="0" w:color="auto"/>
            <w:right w:val="none" w:sz="0" w:space="0" w:color="auto"/>
          </w:divBdr>
          <w:divsChild>
            <w:div w:id="1220745545">
              <w:marLeft w:val="0"/>
              <w:marRight w:val="0"/>
              <w:marTop w:val="0"/>
              <w:marBottom w:val="0"/>
              <w:divBdr>
                <w:top w:val="none" w:sz="0" w:space="0" w:color="auto"/>
                <w:left w:val="none" w:sz="0" w:space="0" w:color="auto"/>
                <w:bottom w:val="none" w:sz="0" w:space="0" w:color="auto"/>
                <w:right w:val="none" w:sz="0" w:space="0" w:color="auto"/>
              </w:divBdr>
            </w:div>
          </w:divsChild>
        </w:div>
        <w:div w:id="413867006">
          <w:marLeft w:val="0"/>
          <w:marRight w:val="0"/>
          <w:marTop w:val="0"/>
          <w:marBottom w:val="0"/>
          <w:divBdr>
            <w:top w:val="none" w:sz="0" w:space="0" w:color="auto"/>
            <w:left w:val="none" w:sz="0" w:space="0" w:color="auto"/>
            <w:bottom w:val="none" w:sz="0" w:space="0" w:color="auto"/>
            <w:right w:val="none" w:sz="0" w:space="0" w:color="auto"/>
          </w:divBdr>
          <w:divsChild>
            <w:div w:id="1996950686">
              <w:marLeft w:val="0"/>
              <w:marRight w:val="0"/>
              <w:marTop w:val="0"/>
              <w:marBottom w:val="0"/>
              <w:divBdr>
                <w:top w:val="none" w:sz="0" w:space="0" w:color="auto"/>
                <w:left w:val="none" w:sz="0" w:space="0" w:color="auto"/>
                <w:bottom w:val="none" w:sz="0" w:space="0" w:color="auto"/>
                <w:right w:val="none" w:sz="0" w:space="0" w:color="auto"/>
              </w:divBdr>
            </w:div>
          </w:divsChild>
        </w:div>
        <w:div w:id="456725647">
          <w:marLeft w:val="0"/>
          <w:marRight w:val="0"/>
          <w:marTop w:val="0"/>
          <w:marBottom w:val="0"/>
          <w:divBdr>
            <w:top w:val="none" w:sz="0" w:space="0" w:color="auto"/>
            <w:left w:val="none" w:sz="0" w:space="0" w:color="auto"/>
            <w:bottom w:val="none" w:sz="0" w:space="0" w:color="auto"/>
            <w:right w:val="none" w:sz="0" w:space="0" w:color="auto"/>
          </w:divBdr>
          <w:divsChild>
            <w:div w:id="1812942647">
              <w:marLeft w:val="0"/>
              <w:marRight w:val="0"/>
              <w:marTop w:val="0"/>
              <w:marBottom w:val="0"/>
              <w:divBdr>
                <w:top w:val="none" w:sz="0" w:space="0" w:color="auto"/>
                <w:left w:val="none" w:sz="0" w:space="0" w:color="auto"/>
                <w:bottom w:val="none" w:sz="0" w:space="0" w:color="auto"/>
                <w:right w:val="none" w:sz="0" w:space="0" w:color="auto"/>
              </w:divBdr>
            </w:div>
          </w:divsChild>
        </w:div>
        <w:div w:id="544101824">
          <w:marLeft w:val="0"/>
          <w:marRight w:val="0"/>
          <w:marTop w:val="0"/>
          <w:marBottom w:val="0"/>
          <w:divBdr>
            <w:top w:val="none" w:sz="0" w:space="0" w:color="auto"/>
            <w:left w:val="none" w:sz="0" w:space="0" w:color="auto"/>
            <w:bottom w:val="none" w:sz="0" w:space="0" w:color="auto"/>
            <w:right w:val="none" w:sz="0" w:space="0" w:color="auto"/>
          </w:divBdr>
          <w:divsChild>
            <w:div w:id="832600777">
              <w:marLeft w:val="0"/>
              <w:marRight w:val="0"/>
              <w:marTop w:val="0"/>
              <w:marBottom w:val="0"/>
              <w:divBdr>
                <w:top w:val="none" w:sz="0" w:space="0" w:color="auto"/>
                <w:left w:val="none" w:sz="0" w:space="0" w:color="auto"/>
                <w:bottom w:val="none" w:sz="0" w:space="0" w:color="auto"/>
                <w:right w:val="none" w:sz="0" w:space="0" w:color="auto"/>
              </w:divBdr>
            </w:div>
          </w:divsChild>
        </w:div>
        <w:div w:id="559025049">
          <w:marLeft w:val="0"/>
          <w:marRight w:val="0"/>
          <w:marTop w:val="0"/>
          <w:marBottom w:val="0"/>
          <w:divBdr>
            <w:top w:val="none" w:sz="0" w:space="0" w:color="auto"/>
            <w:left w:val="none" w:sz="0" w:space="0" w:color="auto"/>
            <w:bottom w:val="none" w:sz="0" w:space="0" w:color="auto"/>
            <w:right w:val="none" w:sz="0" w:space="0" w:color="auto"/>
          </w:divBdr>
          <w:divsChild>
            <w:div w:id="1243249100">
              <w:marLeft w:val="0"/>
              <w:marRight w:val="0"/>
              <w:marTop w:val="0"/>
              <w:marBottom w:val="0"/>
              <w:divBdr>
                <w:top w:val="none" w:sz="0" w:space="0" w:color="auto"/>
                <w:left w:val="none" w:sz="0" w:space="0" w:color="auto"/>
                <w:bottom w:val="none" w:sz="0" w:space="0" w:color="auto"/>
                <w:right w:val="none" w:sz="0" w:space="0" w:color="auto"/>
              </w:divBdr>
            </w:div>
          </w:divsChild>
        </w:div>
        <w:div w:id="562565379">
          <w:marLeft w:val="0"/>
          <w:marRight w:val="0"/>
          <w:marTop w:val="0"/>
          <w:marBottom w:val="0"/>
          <w:divBdr>
            <w:top w:val="none" w:sz="0" w:space="0" w:color="auto"/>
            <w:left w:val="none" w:sz="0" w:space="0" w:color="auto"/>
            <w:bottom w:val="none" w:sz="0" w:space="0" w:color="auto"/>
            <w:right w:val="none" w:sz="0" w:space="0" w:color="auto"/>
          </w:divBdr>
          <w:divsChild>
            <w:div w:id="1510290500">
              <w:marLeft w:val="0"/>
              <w:marRight w:val="0"/>
              <w:marTop w:val="0"/>
              <w:marBottom w:val="0"/>
              <w:divBdr>
                <w:top w:val="none" w:sz="0" w:space="0" w:color="auto"/>
                <w:left w:val="none" w:sz="0" w:space="0" w:color="auto"/>
                <w:bottom w:val="none" w:sz="0" w:space="0" w:color="auto"/>
                <w:right w:val="none" w:sz="0" w:space="0" w:color="auto"/>
              </w:divBdr>
            </w:div>
          </w:divsChild>
        </w:div>
        <w:div w:id="579758289">
          <w:marLeft w:val="0"/>
          <w:marRight w:val="0"/>
          <w:marTop w:val="0"/>
          <w:marBottom w:val="0"/>
          <w:divBdr>
            <w:top w:val="none" w:sz="0" w:space="0" w:color="auto"/>
            <w:left w:val="none" w:sz="0" w:space="0" w:color="auto"/>
            <w:bottom w:val="none" w:sz="0" w:space="0" w:color="auto"/>
            <w:right w:val="none" w:sz="0" w:space="0" w:color="auto"/>
          </w:divBdr>
          <w:divsChild>
            <w:div w:id="1324427288">
              <w:marLeft w:val="0"/>
              <w:marRight w:val="0"/>
              <w:marTop w:val="0"/>
              <w:marBottom w:val="0"/>
              <w:divBdr>
                <w:top w:val="none" w:sz="0" w:space="0" w:color="auto"/>
                <w:left w:val="none" w:sz="0" w:space="0" w:color="auto"/>
                <w:bottom w:val="none" w:sz="0" w:space="0" w:color="auto"/>
                <w:right w:val="none" w:sz="0" w:space="0" w:color="auto"/>
              </w:divBdr>
            </w:div>
          </w:divsChild>
        </w:div>
        <w:div w:id="713777348">
          <w:marLeft w:val="0"/>
          <w:marRight w:val="0"/>
          <w:marTop w:val="0"/>
          <w:marBottom w:val="0"/>
          <w:divBdr>
            <w:top w:val="none" w:sz="0" w:space="0" w:color="auto"/>
            <w:left w:val="none" w:sz="0" w:space="0" w:color="auto"/>
            <w:bottom w:val="none" w:sz="0" w:space="0" w:color="auto"/>
            <w:right w:val="none" w:sz="0" w:space="0" w:color="auto"/>
          </w:divBdr>
          <w:divsChild>
            <w:div w:id="982345403">
              <w:marLeft w:val="0"/>
              <w:marRight w:val="0"/>
              <w:marTop w:val="0"/>
              <w:marBottom w:val="0"/>
              <w:divBdr>
                <w:top w:val="none" w:sz="0" w:space="0" w:color="auto"/>
                <w:left w:val="none" w:sz="0" w:space="0" w:color="auto"/>
                <w:bottom w:val="none" w:sz="0" w:space="0" w:color="auto"/>
                <w:right w:val="none" w:sz="0" w:space="0" w:color="auto"/>
              </w:divBdr>
            </w:div>
          </w:divsChild>
        </w:div>
        <w:div w:id="828210424">
          <w:marLeft w:val="0"/>
          <w:marRight w:val="0"/>
          <w:marTop w:val="0"/>
          <w:marBottom w:val="0"/>
          <w:divBdr>
            <w:top w:val="none" w:sz="0" w:space="0" w:color="auto"/>
            <w:left w:val="none" w:sz="0" w:space="0" w:color="auto"/>
            <w:bottom w:val="none" w:sz="0" w:space="0" w:color="auto"/>
            <w:right w:val="none" w:sz="0" w:space="0" w:color="auto"/>
          </w:divBdr>
          <w:divsChild>
            <w:div w:id="1478842389">
              <w:marLeft w:val="0"/>
              <w:marRight w:val="0"/>
              <w:marTop w:val="0"/>
              <w:marBottom w:val="0"/>
              <w:divBdr>
                <w:top w:val="none" w:sz="0" w:space="0" w:color="auto"/>
                <w:left w:val="none" w:sz="0" w:space="0" w:color="auto"/>
                <w:bottom w:val="none" w:sz="0" w:space="0" w:color="auto"/>
                <w:right w:val="none" w:sz="0" w:space="0" w:color="auto"/>
              </w:divBdr>
            </w:div>
          </w:divsChild>
        </w:div>
        <w:div w:id="878202529">
          <w:marLeft w:val="0"/>
          <w:marRight w:val="0"/>
          <w:marTop w:val="0"/>
          <w:marBottom w:val="0"/>
          <w:divBdr>
            <w:top w:val="none" w:sz="0" w:space="0" w:color="auto"/>
            <w:left w:val="none" w:sz="0" w:space="0" w:color="auto"/>
            <w:bottom w:val="none" w:sz="0" w:space="0" w:color="auto"/>
            <w:right w:val="none" w:sz="0" w:space="0" w:color="auto"/>
          </w:divBdr>
          <w:divsChild>
            <w:div w:id="833106525">
              <w:marLeft w:val="0"/>
              <w:marRight w:val="0"/>
              <w:marTop w:val="0"/>
              <w:marBottom w:val="0"/>
              <w:divBdr>
                <w:top w:val="none" w:sz="0" w:space="0" w:color="auto"/>
                <w:left w:val="none" w:sz="0" w:space="0" w:color="auto"/>
                <w:bottom w:val="none" w:sz="0" w:space="0" w:color="auto"/>
                <w:right w:val="none" w:sz="0" w:space="0" w:color="auto"/>
              </w:divBdr>
            </w:div>
          </w:divsChild>
        </w:div>
        <w:div w:id="962228356">
          <w:marLeft w:val="0"/>
          <w:marRight w:val="0"/>
          <w:marTop w:val="0"/>
          <w:marBottom w:val="0"/>
          <w:divBdr>
            <w:top w:val="none" w:sz="0" w:space="0" w:color="auto"/>
            <w:left w:val="none" w:sz="0" w:space="0" w:color="auto"/>
            <w:bottom w:val="none" w:sz="0" w:space="0" w:color="auto"/>
            <w:right w:val="none" w:sz="0" w:space="0" w:color="auto"/>
          </w:divBdr>
          <w:divsChild>
            <w:div w:id="1129468018">
              <w:marLeft w:val="0"/>
              <w:marRight w:val="0"/>
              <w:marTop w:val="0"/>
              <w:marBottom w:val="0"/>
              <w:divBdr>
                <w:top w:val="none" w:sz="0" w:space="0" w:color="auto"/>
                <w:left w:val="none" w:sz="0" w:space="0" w:color="auto"/>
                <w:bottom w:val="none" w:sz="0" w:space="0" w:color="auto"/>
                <w:right w:val="none" w:sz="0" w:space="0" w:color="auto"/>
              </w:divBdr>
            </w:div>
          </w:divsChild>
        </w:div>
        <w:div w:id="986979005">
          <w:marLeft w:val="0"/>
          <w:marRight w:val="0"/>
          <w:marTop w:val="0"/>
          <w:marBottom w:val="0"/>
          <w:divBdr>
            <w:top w:val="none" w:sz="0" w:space="0" w:color="auto"/>
            <w:left w:val="none" w:sz="0" w:space="0" w:color="auto"/>
            <w:bottom w:val="none" w:sz="0" w:space="0" w:color="auto"/>
            <w:right w:val="none" w:sz="0" w:space="0" w:color="auto"/>
          </w:divBdr>
          <w:divsChild>
            <w:div w:id="827863615">
              <w:marLeft w:val="0"/>
              <w:marRight w:val="0"/>
              <w:marTop w:val="0"/>
              <w:marBottom w:val="0"/>
              <w:divBdr>
                <w:top w:val="none" w:sz="0" w:space="0" w:color="auto"/>
                <w:left w:val="none" w:sz="0" w:space="0" w:color="auto"/>
                <w:bottom w:val="none" w:sz="0" w:space="0" w:color="auto"/>
                <w:right w:val="none" w:sz="0" w:space="0" w:color="auto"/>
              </w:divBdr>
            </w:div>
          </w:divsChild>
        </w:div>
        <w:div w:id="1004630299">
          <w:marLeft w:val="0"/>
          <w:marRight w:val="0"/>
          <w:marTop w:val="0"/>
          <w:marBottom w:val="0"/>
          <w:divBdr>
            <w:top w:val="none" w:sz="0" w:space="0" w:color="auto"/>
            <w:left w:val="none" w:sz="0" w:space="0" w:color="auto"/>
            <w:bottom w:val="none" w:sz="0" w:space="0" w:color="auto"/>
            <w:right w:val="none" w:sz="0" w:space="0" w:color="auto"/>
          </w:divBdr>
          <w:divsChild>
            <w:div w:id="1615598732">
              <w:marLeft w:val="0"/>
              <w:marRight w:val="0"/>
              <w:marTop w:val="0"/>
              <w:marBottom w:val="0"/>
              <w:divBdr>
                <w:top w:val="none" w:sz="0" w:space="0" w:color="auto"/>
                <w:left w:val="none" w:sz="0" w:space="0" w:color="auto"/>
                <w:bottom w:val="none" w:sz="0" w:space="0" w:color="auto"/>
                <w:right w:val="none" w:sz="0" w:space="0" w:color="auto"/>
              </w:divBdr>
            </w:div>
          </w:divsChild>
        </w:div>
        <w:div w:id="1228880429">
          <w:marLeft w:val="0"/>
          <w:marRight w:val="0"/>
          <w:marTop w:val="0"/>
          <w:marBottom w:val="0"/>
          <w:divBdr>
            <w:top w:val="none" w:sz="0" w:space="0" w:color="auto"/>
            <w:left w:val="none" w:sz="0" w:space="0" w:color="auto"/>
            <w:bottom w:val="none" w:sz="0" w:space="0" w:color="auto"/>
            <w:right w:val="none" w:sz="0" w:space="0" w:color="auto"/>
          </w:divBdr>
          <w:divsChild>
            <w:div w:id="1909725114">
              <w:marLeft w:val="0"/>
              <w:marRight w:val="0"/>
              <w:marTop w:val="0"/>
              <w:marBottom w:val="0"/>
              <w:divBdr>
                <w:top w:val="none" w:sz="0" w:space="0" w:color="auto"/>
                <w:left w:val="none" w:sz="0" w:space="0" w:color="auto"/>
                <w:bottom w:val="none" w:sz="0" w:space="0" w:color="auto"/>
                <w:right w:val="none" w:sz="0" w:space="0" w:color="auto"/>
              </w:divBdr>
            </w:div>
          </w:divsChild>
        </w:div>
        <w:div w:id="1252934342">
          <w:marLeft w:val="0"/>
          <w:marRight w:val="0"/>
          <w:marTop w:val="0"/>
          <w:marBottom w:val="0"/>
          <w:divBdr>
            <w:top w:val="none" w:sz="0" w:space="0" w:color="auto"/>
            <w:left w:val="none" w:sz="0" w:space="0" w:color="auto"/>
            <w:bottom w:val="none" w:sz="0" w:space="0" w:color="auto"/>
            <w:right w:val="none" w:sz="0" w:space="0" w:color="auto"/>
          </w:divBdr>
          <w:divsChild>
            <w:div w:id="1126041546">
              <w:marLeft w:val="0"/>
              <w:marRight w:val="0"/>
              <w:marTop w:val="0"/>
              <w:marBottom w:val="0"/>
              <w:divBdr>
                <w:top w:val="none" w:sz="0" w:space="0" w:color="auto"/>
                <w:left w:val="none" w:sz="0" w:space="0" w:color="auto"/>
                <w:bottom w:val="none" w:sz="0" w:space="0" w:color="auto"/>
                <w:right w:val="none" w:sz="0" w:space="0" w:color="auto"/>
              </w:divBdr>
            </w:div>
          </w:divsChild>
        </w:div>
        <w:div w:id="1274904264">
          <w:marLeft w:val="0"/>
          <w:marRight w:val="0"/>
          <w:marTop w:val="0"/>
          <w:marBottom w:val="0"/>
          <w:divBdr>
            <w:top w:val="none" w:sz="0" w:space="0" w:color="auto"/>
            <w:left w:val="none" w:sz="0" w:space="0" w:color="auto"/>
            <w:bottom w:val="none" w:sz="0" w:space="0" w:color="auto"/>
            <w:right w:val="none" w:sz="0" w:space="0" w:color="auto"/>
          </w:divBdr>
          <w:divsChild>
            <w:div w:id="444228580">
              <w:marLeft w:val="0"/>
              <w:marRight w:val="0"/>
              <w:marTop w:val="0"/>
              <w:marBottom w:val="0"/>
              <w:divBdr>
                <w:top w:val="none" w:sz="0" w:space="0" w:color="auto"/>
                <w:left w:val="none" w:sz="0" w:space="0" w:color="auto"/>
                <w:bottom w:val="none" w:sz="0" w:space="0" w:color="auto"/>
                <w:right w:val="none" w:sz="0" w:space="0" w:color="auto"/>
              </w:divBdr>
            </w:div>
          </w:divsChild>
        </w:div>
        <w:div w:id="1355686880">
          <w:marLeft w:val="0"/>
          <w:marRight w:val="0"/>
          <w:marTop w:val="0"/>
          <w:marBottom w:val="0"/>
          <w:divBdr>
            <w:top w:val="none" w:sz="0" w:space="0" w:color="auto"/>
            <w:left w:val="none" w:sz="0" w:space="0" w:color="auto"/>
            <w:bottom w:val="none" w:sz="0" w:space="0" w:color="auto"/>
            <w:right w:val="none" w:sz="0" w:space="0" w:color="auto"/>
          </w:divBdr>
          <w:divsChild>
            <w:div w:id="526987660">
              <w:marLeft w:val="0"/>
              <w:marRight w:val="0"/>
              <w:marTop w:val="0"/>
              <w:marBottom w:val="0"/>
              <w:divBdr>
                <w:top w:val="none" w:sz="0" w:space="0" w:color="auto"/>
                <w:left w:val="none" w:sz="0" w:space="0" w:color="auto"/>
                <w:bottom w:val="none" w:sz="0" w:space="0" w:color="auto"/>
                <w:right w:val="none" w:sz="0" w:space="0" w:color="auto"/>
              </w:divBdr>
            </w:div>
          </w:divsChild>
        </w:div>
        <w:div w:id="1356611205">
          <w:marLeft w:val="0"/>
          <w:marRight w:val="0"/>
          <w:marTop w:val="0"/>
          <w:marBottom w:val="0"/>
          <w:divBdr>
            <w:top w:val="none" w:sz="0" w:space="0" w:color="auto"/>
            <w:left w:val="none" w:sz="0" w:space="0" w:color="auto"/>
            <w:bottom w:val="none" w:sz="0" w:space="0" w:color="auto"/>
            <w:right w:val="none" w:sz="0" w:space="0" w:color="auto"/>
          </w:divBdr>
          <w:divsChild>
            <w:div w:id="1247152708">
              <w:marLeft w:val="0"/>
              <w:marRight w:val="0"/>
              <w:marTop w:val="0"/>
              <w:marBottom w:val="0"/>
              <w:divBdr>
                <w:top w:val="none" w:sz="0" w:space="0" w:color="auto"/>
                <w:left w:val="none" w:sz="0" w:space="0" w:color="auto"/>
                <w:bottom w:val="none" w:sz="0" w:space="0" w:color="auto"/>
                <w:right w:val="none" w:sz="0" w:space="0" w:color="auto"/>
              </w:divBdr>
            </w:div>
          </w:divsChild>
        </w:div>
        <w:div w:id="1361780090">
          <w:marLeft w:val="0"/>
          <w:marRight w:val="0"/>
          <w:marTop w:val="0"/>
          <w:marBottom w:val="0"/>
          <w:divBdr>
            <w:top w:val="none" w:sz="0" w:space="0" w:color="auto"/>
            <w:left w:val="none" w:sz="0" w:space="0" w:color="auto"/>
            <w:bottom w:val="none" w:sz="0" w:space="0" w:color="auto"/>
            <w:right w:val="none" w:sz="0" w:space="0" w:color="auto"/>
          </w:divBdr>
          <w:divsChild>
            <w:div w:id="1222056036">
              <w:marLeft w:val="0"/>
              <w:marRight w:val="0"/>
              <w:marTop w:val="0"/>
              <w:marBottom w:val="0"/>
              <w:divBdr>
                <w:top w:val="none" w:sz="0" w:space="0" w:color="auto"/>
                <w:left w:val="none" w:sz="0" w:space="0" w:color="auto"/>
                <w:bottom w:val="none" w:sz="0" w:space="0" w:color="auto"/>
                <w:right w:val="none" w:sz="0" w:space="0" w:color="auto"/>
              </w:divBdr>
            </w:div>
          </w:divsChild>
        </w:div>
        <w:div w:id="1442997674">
          <w:marLeft w:val="0"/>
          <w:marRight w:val="0"/>
          <w:marTop w:val="0"/>
          <w:marBottom w:val="0"/>
          <w:divBdr>
            <w:top w:val="none" w:sz="0" w:space="0" w:color="auto"/>
            <w:left w:val="none" w:sz="0" w:space="0" w:color="auto"/>
            <w:bottom w:val="none" w:sz="0" w:space="0" w:color="auto"/>
            <w:right w:val="none" w:sz="0" w:space="0" w:color="auto"/>
          </w:divBdr>
          <w:divsChild>
            <w:div w:id="1278173873">
              <w:marLeft w:val="0"/>
              <w:marRight w:val="0"/>
              <w:marTop w:val="0"/>
              <w:marBottom w:val="0"/>
              <w:divBdr>
                <w:top w:val="none" w:sz="0" w:space="0" w:color="auto"/>
                <w:left w:val="none" w:sz="0" w:space="0" w:color="auto"/>
                <w:bottom w:val="none" w:sz="0" w:space="0" w:color="auto"/>
                <w:right w:val="none" w:sz="0" w:space="0" w:color="auto"/>
              </w:divBdr>
            </w:div>
          </w:divsChild>
        </w:div>
        <w:div w:id="1530296768">
          <w:marLeft w:val="0"/>
          <w:marRight w:val="0"/>
          <w:marTop w:val="0"/>
          <w:marBottom w:val="0"/>
          <w:divBdr>
            <w:top w:val="none" w:sz="0" w:space="0" w:color="auto"/>
            <w:left w:val="none" w:sz="0" w:space="0" w:color="auto"/>
            <w:bottom w:val="none" w:sz="0" w:space="0" w:color="auto"/>
            <w:right w:val="none" w:sz="0" w:space="0" w:color="auto"/>
          </w:divBdr>
          <w:divsChild>
            <w:div w:id="457841928">
              <w:marLeft w:val="0"/>
              <w:marRight w:val="0"/>
              <w:marTop w:val="0"/>
              <w:marBottom w:val="0"/>
              <w:divBdr>
                <w:top w:val="none" w:sz="0" w:space="0" w:color="auto"/>
                <w:left w:val="none" w:sz="0" w:space="0" w:color="auto"/>
                <w:bottom w:val="none" w:sz="0" w:space="0" w:color="auto"/>
                <w:right w:val="none" w:sz="0" w:space="0" w:color="auto"/>
              </w:divBdr>
            </w:div>
          </w:divsChild>
        </w:div>
        <w:div w:id="1845048749">
          <w:marLeft w:val="0"/>
          <w:marRight w:val="0"/>
          <w:marTop w:val="0"/>
          <w:marBottom w:val="0"/>
          <w:divBdr>
            <w:top w:val="none" w:sz="0" w:space="0" w:color="auto"/>
            <w:left w:val="none" w:sz="0" w:space="0" w:color="auto"/>
            <w:bottom w:val="none" w:sz="0" w:space="0" w:color="auto"/>
            <w:right w:val="none" w:sz="0" w:space="0" w:color="auto"/>
          </w:divBdr>
          <w:divsChild>
            <w:div w:id="1547836994">
              <w:marLeft w:val="0"/>
              <w:marRight w:val="0"/>
              <w:marTop w:val="0"/>
              <w:marBottom w:val="0"/>
              <w:divBdr>
                <w:top w:val="none" w:sz="0" w:space="0" w:color="auto"/>
                <w:left w:val="none" w:sz="0" w:space="0" w:color="auto"/>
                <w:bottom w:val="none" w:sz="0" w:space="0" w:color="auto"/>
                <w:right w:val="none" w:sz="0" w:space="0" w:color="auto"/>
              </w:divBdr>
            </w:div>
          </w:divsChild>
        </w:div>
        <w:div w:id="1846476813">
          <w:marLeft w:val="0"/>
          <w:marRight w:val="0"/>
          <w:marTop w:val="0"/>
          <w:marBottom w:val="0"/>
          <w:divBdr>
            <w:top w:val="none" w:sz="0" w:space="0" w:color="auto"/>
            <w:left w:val="none" w:sz="0" w:space="0" w:color="auto"/>
            <w:bottom w:val="none" w:sz="0" w:space="0" w:color="auto"/>
            <w:right w:val="none" w:sz="0" w:space="0" w:color="auto"/>
          </w:divBdr>
          <w:divsChild>
            <w:div w:id="1735228601">
              <w:marLeft w:val="0"/>
              <w:marRight w:val="0"/>
              <w:marTop w:val="0"/>
              <w:marBottom w:val="0"/>
              <w:divBdr>
                <w:top w:val="none" w:sz="0" w:space="0" w:color="auto"/>
                <w:left w:val="none" w:sz="0" w:space="0" w:color="auto"/>
                <w:bottom w:val="none" w:sz="0" w:space="0" w:color="auto"/>
                <w:right w:val="none" w:sz="0" w:space="0" w:color="auto"/>
              </w:divBdr>
            </w:div>
          </w:divsChild>
        </w:div>
        <w:div w:id="1947274296">
          <w:marLeft w:val="0"/>
          <w:marRight w:val="0"/>
          <w:marTop w:val="0"/>
          <w:marBottom w:val="0"/>
          <w:divBdr>
            <w:top w:val="none" w:sz="0" w:space="0" w:color="auto"/>
            <w:left w:val="none" w:sz="0" w:space="0" w:color="auto"/>
            <w:bottom w:val="none" w:sz="0" w:space="0" w:color="auto"/>
            <w:right w:val="none" w:sz="0" w:space="0" w:color="auto"/>
          </w:divBdr>
          <w:divsChild>
            <w:div w:id="1522821944">
              <w:marLeft w:val="0"/>
              <w:marRight w:val="0"/>
              <w:marTop w:val="0"/>
              <w:marBottom w:val="0"/>
              <w:divBdr>
                <w:top w:val="none" w:sz="0" w:space="0" w:color="auto"/>
                <w:left w:val="none" w:sz="0" w:space="0" w:color="auto"/>
                <w:bottom w:val="none" w:sz="0" w:space="0" w:color="auto"/>
                <w:right w:val="none" w:sz="0" w:space="0" w:color="auto"/>
              </w:divBdr>
            </w:div>
          </w:divsChild>
        </w:div>
        <w:div w:id="1972201730">
          <w:marLeft w:val="0"/>
          <w:marRight w:val="0"/>
          <w:marTop w:val="0"/>
          <w:marBottom w:val="0"/>
          <w:divBdr>
            <w:top w:val="none" w:sz="0" w:space="0" w:color="auto"/>
            <w:left w:val="none" w:sz="0" w:space="0" w:color="auto"/>
            <w:bottom w:val="none" w:sz="0" w:space="0" w:color="auto"/>
            <w:right w:val="none" w:sz="0" w:space="0" w:color="auto"/>
          </w:divBdr>
          <w:divsChild>
            <w:div w:id="1887520452">
              <w:marLeft w:val="0"/>
              <w:marRight w:val="0"/>
              <w:marTop w:val="0"/>
              <w:marBottom w:val="0"/>
              <w:divBdr>
                <w:top w:val="none" w:sz="0" w:space="0" w:color="auto"/>
                <w:left w:val="none" w:sz="0" w:space="0" w:color="auto"/>
                <w:bottom w:val="none" w:sz="0" w:space="0" w:color="auto"/>
                <w:right w:val="none" w:sz="0" w:space="0" w:color="auto"/>
              </w:divBdr>
            </w:div>
          </w:divsChild>
        </w:div>
        <w:div w:id="2036345647">
          <w:marLeft w:val="0"/>
          <w:marRight w:val="0"/>
          <w:marTop w:val="0"/>
          <w:marBottom w:val="0"/>
          <w:divBdr>
            <w:top w:val="none" w:sz="0" w:space="0" w:color="auto"/>
            <w:left w:val="none" w:sz="0" w:space="0" w:color="auto"/>
            <w:bottom w:val="none" w:sz="0" w:space="0" w:color="auto"/>
            <w:right w:val="none" w:sz="0" w:space="0" w:color="auto"/>
          </w:divBdr>
          <w:divsChild>
            <w:div w:id="1403526679">
              <w:marLeft w:val="0"/>
              <w:marRight w:val="0"/>
              <w:marTop w:val="0"/>
              <w:marBottom w:val="0"/>
              <w:divBdr>
                <w:top w:val="none" w:sz="0" w:space="0" w:color="auto"/>
                <w:left w:val="none" w:sz="0" w:space="0" w:color="auto"/>
                <w:bottom w:val="none" w:sz="0" w:space="0" w:color="auto"/>
                <w:right w:val="none" w:sz="0" w:space="0" w:color="auto"/>
              </w:divBdr>
            </w:div>
          </w:divsChild>
        </w:div>
        <w:div w:id="2064788659">
          <w:marLeft w:val="0"/>
          <w:marRight w:val="0"/>
          <w:marTop w:val="0"/>
          <w:marBottom w:val="0"/>
          <w:divBdr>
            <w:top w:val="none" w:sz="0" w:space="0" w:color="auto"/>
            <w:left w:val="none" w:sz="0" w:space="0" w:color="auto"/>
            <w:bottom w:val="none" w:sz="0" w:space="0" w:color="auto"/>
            <w:right w:val="none" w:sz="0" w:space="0" w:color="auto"/>
          </w:divBdr>
          <w:divsChild>
            <w:div w:id="1920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14092">
      <w:bodyDiv w:val="1"/>
      <w:marLeft w:val="0"/>
      <w:marRight w:val="0"/>
      <w:marTop w:val="0"/>
      <w:marBottom w:val="0"/>
      <w:divBdr>
        <w:top w:val="none" w:sz="0" w:space="0" w:color="auto"/>
        <w:left w:val="none" w:sz="0" w:space="0" w:color="auto"/>
        <w:bottom w:val="none" w:sz="0" w:space="0" w:color="auto"/>
        <w:right w:val="none" w:sz="0" w:space="0" w:color="auto"/>
      </w:divBdr>
      <w:divsChild>
        <w:div w:id="449057092">
          <w:marLeft w:val="0"/>
          <w:marRight w:val="0"/>
          <w:marTop w:val="0"/>
          <w:marBottom w:val="0"/>
          <w:divBdr>
            <w:top w:val="none" w:sz="0" w:space="0" w:color="auto"/>
            <w:left w:val="none" w:sz="0" w:space="0" w:color="auto"/>
            <w:bottom w:val="none" w:sz="0" w:space="0" w:color="auto"/>
            <w:right w:val="none" w:sz="0" w:space="0" w:color="auto"/>
          </w:divBdr>
          <w:divsChild>
            <w:div w:id="14502686">
              <w:marLeft w:val="0"/>
              <w:marRight w:val="0"/>
              <w:marTop w:val="0"/>
              <w:marBottom w:val="0"/>
              <w:divBdr>
                <w:top w:val="none" w:sz="0" w:space="0" w:color="auto"/>
                <w:left w:val="none" w:sz="0" w:space="0" w:color="auto"/>
                <w:bottom w:val="none" w:sz="0" w:space="0" w:color="auto"/>
                <w:right w:val="none" w:sz="0" w:space="0" w:color="auto"/>
              </w:divBdr>
            </w:div>
            <w:div w:id="207887003">
              <w:marLeft w:val="0"/>
              <w:marRight w:val="0"/>
              <w:marTop w:val="0"/>
              <w:marBottom w:val="0"/>
              <w:divBdr>
                <w:top w:val="none" w:sz="0" w:space="0" w:color="auto"/>
                <w:left w:val="none" w:sz="0" w:space="0" w:color="auto"/>
                <w:bottom w:val="none" w:sz="0" w:space="0" w:color="auto"/>
                <w:right w:val="none" w:sz="0" w:space="0" w:color="auto"/>
              </w:divBdr>
            </w:div>
            <w:div w:id="267349992">
              <w:marLeft w:val="0"/>
              <w:marRight w:val="0"/>
              <w:marTop w:val="0"/>
              <w:marBottom w:val="0"/>
              <w:divBdr>
                <w:top w:val="none" w:sz="0" w:space="0" w:color="auto"/>
                <w:left w:val="none" w:sz="0" w:space="0" w:color="auto"/>
                <w:bottom w:val="none" w:sz="0" w:space="0" w:color="auto"/>
                <w:right w:val="none" w:sz="0" w:space="0" w:color="auto"/>
              </w:divBdr>
            </w:div>
            <w:div w:id="363940978">
              <w:marLeft w:val="0"/>
              <w:marRight w:val="0"/>
              <w:marTop w:val="0"/>
              <w:marBottom w:val="0"/>
              <w:divBdr>
                <w:top w:val="none" w:sz="0" w:space="0" w:color="auto"/>
                <w:left w:val="none" w:sz="0" w:space="0" w:color="auto"/>
                <w:bottom w:val="none" w:sz="0" w:space="0" w:color="auto"/>
                <w:right w:val="none" w:sz="0" w:space="0" w:color="auto"/>
              </w:divBdr>
            </w:div>
            <w:div w:id="548801878">
              <w:marLeft w:val="0"/>
              <w:marRight w:val="0"/>
              <w:marTop w:val="0"/>
              <w:marBottom w:val="0"/>
              <w:divBdr>
                <w:top w:val="none" w:sz="0" w:space="0" w:color="auto"/>
                <w:left w:val="none" w:sz="0" w:space="0" w:color="auto"/>
                <w:bottom w:val="none" w:sz="0" w:space="0" w:color="auto"/>
                <w:right w:val="none" w:sz="0" w:space="0" w:color="auto"/>
              </w:divBdr>
            </w:div>
            <w:div w:id="549389378">
              <w:marLeft w:val="0"/>
              <w:marRight w:val="0"/>
              <w:marTop w:val="0"/>
              <w:marBottom w:val="0"/>
              <w:divBdr>
                <w:top w:val="none" w:sz="0" w:space="0" w:color="auto"/>
                <w:left w:val="none" w:sz="0" w:space="0" w:color="auto"/>
                <w:bottom w:val="none" w:sz="0" w:space="0" w:color="auto"/>
                <w:right w:val="none" w:sz="0" w:space="0" w:color="auto"/>
              </w:divBdr>
            </w:div>
            <w:div w:id="675496466">
              <w:marLeft w:val="0"/>
              <w:marRight w:val="0"/>
              <w:marTop w:val="0"/>
              <w:marBottom w:val="0"/>
              <w:divBdr>
                <w:top w:val="none" w:sz="0" w:space="0" w:color="auto"/>
                <w:left w:val="none" w:sz="0" w:space="0" w:color="auto"/>
                <w:bottom w:val="none" w:sz="0" w:space="0" w:color="auto"/>
                <w:right w:val="none" w:sz="0" w:space="0" w:color="auto"/>
              </w:divBdr>
            </w:div>
            <w:div w:id="719787610">
              <w:marLeft w:val="0"/>
              <w:marRight w:val="0"/>
              <w:marTop w:val="0"/>
              <w:marBottom w:val="0"/>
              <w:divBdr>
                <w:top w:val="none" w:sz="0" w:space="0" w:color="auto"/>
                <w:left w:val="none" w:sz="0" w:space="0" w:color="auto"/>
                <w:bottom w:val="none" w:sz="0" w:space="0" w:color="auto"/>
                <w:right w:val="none" w:sz="0" w:space="0" w:color="auto"/>
              </w:divBdr>
            </w:div>
            <w:div w:id="824053580">
              <w:marLeft w:val="0"/>
              <w:marRight w:val="0"/>
              <w:marTop w:val="0"/>
              <w:marBottom w:val="0"/>
              <w:divBdr>
                <w:top w:val="none" w:sz="0" w:space="0" w:color="auto"/>
                <w:left w:val="none" w:sz="0" w:space="0" w:color="auto"/>
                <w:bottom w:val="none" w:sz="0" w:space="0" w:color="auto"/>
                <w:right w:val="none" w:sz="0" w:space="0" w:color="auto"/>
              </w:divBdr>
            </w:div>
            <w:div w:id="850333220">
              <w:marLeft w:val="0"/>
              <w:marRight w:val="0"/>
              <w:marTop w:val="0"/>
              <w:marBottom w:val="0"/>
              <w:divBdr>
                <w:top w:val="none" w:sz="0" w:space="0" w:color="auto"/>
                <w:left w:val="none" w:sz="0" w:space="0" w:color="auto"/>
                <w:bottom w:val="none" w:sz="0" w:space="0" w:color="auto"/>
                <w:right w:val="none" w:sz="0" w:space="0" w:color="auto"/>
              </w:divBdr>
            </w:div>
            <w:div w:id="901907868">
              <w:marLeft w:val="0"/>
              <w:marRight w:val="0"/>
              <w:marTop w:val="0"/>
              <w:marBottom w:val="0"/>
              <w:divBdr>
                <w:top w:val="none" w:sz="0" w:space="0" w:color="auto"/>
                <w:left w:val="none" w:sz="0" w:space="0" w:color="auto"/>
                <w:bottom w:val="none" w:sz="0" w:space="0" w:color="auto"/>
                <w:right w:val="none" w:sz="0" w:space="0" w:color="auto"/>
              </w:divBdr>
            </w:div>
            <w:div w:id="1326520289">
              <w:marLeft w:val="0"/>
              <w:marRight w:val="0"/>
              <w:marTop w:val="0"/>
              <w:marBottom w:val="0"/>
              <w:divBdr>
                <w:top w:val="none" w:sz="0" w:space="0" w:color="auto"/>
                <w:left w:val="none" w:sz="0" w:space="0" w:color="auto"/>
                <w:bottom w:val="none" w:sz="0" w:space="0" w:color="auto"/>
                <w:right w:val="none" w:sz="0" w:space="0" w:color="auto"/>
              </w:divBdr>
            </w:div>
            <w:div w:id="1346857158">
              <w:marLeft w:val="0"/>
              <w:marRight w:val="0"/>
              <w:marTop w:val="0"/>
              <w:marBottom w:val="0"/>
              <w:divBdr>
                <w:top w:val="none" w:sz="0" w:space="0" w:color="auto"/>
                <w:left w:val="none" w:sz="0" w:space="0" w:color="auto"/>
                <w:bottom w:val="none" w:sz="0" w:space="0" w:color="auto"/>
                <w:right w:val="none" w:sz="0" w:space="0" w:color="auto"/>
              </w:divBdr>
            </w:div>
            <w:div w:id="1749620196">
              <w:marLeft w:val="0"/>
              <w:marRight w:val="0"/>
              <w:marTop w:val="0"/>
              <w:marBottom w:val="0"/>
              <w:divBdr>
                <w:top w:val="none" w:sz="0" w:space="0" w:color="auto"/>
                <w:left w:val="none" w:sz="0" w:space="0" w:color="auto"/>
                <w:bottom w:val="none" w:sz="0" w:space="0" w:color="auto"/>
                <w:right w:val="none" w:sz="0" w:space="0" w:color="auto"/>
              </w:divBdr>
            </w:div>
            <w:div w:id="1780031384">
              <w:marLeft w:val="0"/>
              <w:marRight w:val="0"/>
              <w:marTop w:val="0"/>
              <w:marBottom w:val="0"/>
              <w:divBdr>
                <w:top w:val="none" w:sz="0" w:space="0" w:color="auto"/>
                <w:left w:val="none" w:sz="0" w:space="0" w:color="auto"/>
                <w:bottom w:val="none" w:sz="0" w:space="0" w:color="auto"/>
                <w:right w:val="none" w:sz="0" w:space="0" w:color="auto"/>
              </w:divBdr>
            </w:div>
            <w:div w:id="1817842620">
              <w:marLeft w:val="0"/>
              <w:marRight w:val="0"/>
              <w:marTop w:val="0"/>
              <w:marBottom w:val="0"/>
              <w:divBdr>
                <w:top w:val="none" w:sz="0" w:space="0" w:color="auto"/>
                <w:left w:val="none" w:sz="0" w:space="0" w:color="auto"/>
                <w:bottom w:val="none" w:sz="0" w:space="0" w:color="auto"/>
                <w:right w:val="none" w:sz="0" w:space="0" w:color="auto"/>
              </w:divBdr>
            </w:div>
            <w:div w:id="1885871513">
              <w:marLeft w:val="0"/>
              <w:marRight w:val="0"/>
              <w:marTop w:val="0"/>
              <w:marBottom w:val="0"/>
              <w:divBdr>
                <w:top w:val="none" w:sz="0" w:space="0" w:color="auto"/>
                <w:left w:val="none" w:sz="0" w:space="0" w:color="auto"/>
                <w:bottom w:val="none" w:sz="0" w:space="0" w:color="auto"/>
                <w:right w:val="none" w:sz="0" w:space="0" w:color="auto"/>
              </w:divBdr>
            </w:div>
            <w:div w:id="2019651036">
              <w:marLeft w:val="0"/>
              <w:marRight w:val="0"/>
              <w:marTop w:val="0"/>
              <w:marBottom w:val="0"/>
              <w:divBdr>
                <w:top w:val="none" w:sz="0" w:space="0" w:color="auto"/>
                <w:left w:val="none" w:sz="0" w:space="0" w:color="auto"/>
                <w:bottom w:val="none" w:sz="0" w:space="0" w:color="auto"/>
                <w:right w:val="none" w:sz="0" w:space="0" w:color="auto"/>
              </w:divBdr>
            </w:div>
            <w:div w:id="2070221538">
              <w:marLeft w:val="0"/>
              <w:marRight w:val="0"/>
              <w:marTop w:val="0"/>
              <w:marBottom w:val="0"/>
              <w:divBdr>
                <w:top w:val="none" w:sz="0" w:space="0" w:color="auto"/>
                <w:left w:val="none" w:sz="0" w:space="0" w:color="auto"/>
                <w:bottom w:val="none" w:sz="0" w:space="0" w:color="auto"/>
                <w:right w:val="none" w:sz="0" w:space="0" w:color="auto"/>
              </w:divBdr>
            </w:div>
            <w:div w:id="2119636107">
              <w:marLeft w:val="0"/>
              <w:marRight w:val="0"/>
              <w:marTop w:val="0"/>
              <w:marBottom w:val="0"/>
              <w:divBdr>
                <w:top w:val="none" w:sz="0" w:space="0" w:color="auto"/>
                <w:left w:val="none" w:sz="0" w:space="0" w:color="auto"/>
                <w:bottom w:val="none" w:sz="0" w:space="0" w:color="auto"/>
                <w:right w:val="none" w:sz="0" w:space="0" w:color="auto"/>
              </w:divBdr>
            </w:div>
          </w:divsChild>
        </w:div>
        <w:div w:id="547684570">
          <w:marLeft w:val="0"/>
          <w:marRight w:val="0"/>
          <w:marTop w:val="0"/>
          <w:marBottom w:val="0"/>
          <w:divBdr>
            <w:top w:val="none" w:sz="0" w:space="0" w:color="auto"/>
            <w:left w:val="none" w:sz="0" w:space="0" w:color="auto"/>
            <w:bottom w:val="none" w:sz="0" w:space="0" w:color="auto"/>
            <w:right w:val="none" w:sz="0" w:space="0" w:color="auto"/>
          </w:divBdr>
          <w:divsChild>
            <w:div w:id="312564704">
              <w:marLeft w:val="0"/>
              <w:marRight w:val="0"/>
              <w:marTop w:val="0"/>
              <w:marBottom w:val="0"/>
              <w:divBdr>
                <w:top w:val="none" w:sz="0" w:space="0" w:color="auto"/>
                <w:left w:val="none" w:sz="0" w:space="0" w:color="auto"/>
                <w:bottom w:val="none" w:sz="0" w:space="0" w:color="auto"/>
                <w:right w:val="none" w:sz="0" w:space="0" w:color="auto"/>
              </w:divBdr>
            </w:div>
            <w:div w:id="503395063">
              <w:marLeft w:val="0"/>
              <w:marRight w:val="0"/>
              <w:marTop w:val="0"/>
              <w:marBottom w:val="0"/>
              <w:divBdr>
                <w:top w:val="none" w:sz="0" w:space="0" w:color="auto"/>
                <w:left w:val="none" w:sz="0" w:space="0" w:color="auto"/>
                <w:bottom w:val="none" w:sz="0" w:space="0" w:color="auto"/>
                <w:right w:val="none" w:sz="0" w:space="0" w:color="auto"/>
              </w:divBdr>
            </w:div>
            <w:div w:id="563298177">
              <w:marLeft w:val="0"/>
              <w:marRight w:val="0"/>
              <w:marTop w:val="0"/>
              <w:marBottom w:val="0"/>
              <w:divBdr>
                <w:top w:val="none" w:sz="0" w:space="0" w:color="auto"/>
                <w:left w:val="none" w:sz="0" w:space="0" w:color="auto"/>
                <w:bottom w:val="none" w:sz="0" w:space="0" w:color="auto"/>
                <w:right w:val="none" w:sz="0" w:space="0" w:color="auto"/>
              </w:divBdr>
            </w:div>
            <w:div w:id="1141772466">
              <w:marLeft w:val="0"/>
              <w:marRight w:val="0"/>
              <w:marTop w:val="0"/>
              <w:marBottom w:val="0"/>
              <w:divBdr>
                <w:top w:val="none" w:sz="0" w:space="0" w:color="auto"/>
                <w:left w:val="none" w:sz="0" w:space="0" w:color="auto"/>
                <w:bottom w:val="none" w:sz="0" w:space="0" w:color="auto"/>
                <w:right w:val="none" w:sz="0" w:space="0" w:color="auto"/>
              </w:divBdr>
            </w:div>
            <w:div w:id="1144204347">
              <w:marLeft w:val="0"/>
              <w:marRight w:val="0"/>
              <w:marTop w:val="0"/>
              <w:marBottom w:val="0"/>
              <w:divBdr>
                <w:top w:val="none" w:sz="0" w:space="0" w:color="auto"/>
                <w:left w:val="none" w:sz="0" w:space="0" w:color="auto"/>
                <w:bottom w:val="none" w:sz="0" w:space="0" w:color="auto"/>
                <w:right w:val="none" w:sz="0" w:space="0" w:color="auto"/>
              </w:divBdr>
            </w:div>
            <w:div w:id="1598444187">
              <w:marLeft w:val="0"/>
              <w:marRight w:val="0"/>
              <w:marTop w:val="0"/>
              <w:marBottom w:val="0"/>
              <w:divBdr>
                <w:top w:val="none" w:sz="0" w:space="0" w:color="auto"/>
                <w:left w:val="none" w:sz="0" w:space="0" w:color="auto"/>
                <w:bottom w:val="none" w:sz="0" w:space="0" w:color="auto"/>
                <w:right w:val="none" w:sz="0" w:space="0" w:color="auto"/>
              </w:divBdr>
            </w:div>
          </w:divsChild>
        </w:div>
        <w:div w:id="949048167">
          <w:marLeft w:val="0"/>
          <w:marRight w:val="0"/>
          <w:marTop w:val="0"/>
          <w:marBottom w:val="0"/>
          <w:divBdr>
            <w:top w:val="none" w:sz="0" w:space="0" w:color="auto"/>
            <w:left w:val="none" w:sz="0" w:space="0" w:color="auto"/>
            <w:bottom w:val="none" w:sz="0" w:space="0" w:color="auto"/>
            <w:right w:val="none" w:sz="0" w:space="0" w:color="auto"/>
          </w:divBdr>
          <w:divsChild>
            <w:div w:id="13698074">
              <w:marLeft w:val="0"/>
              <w:marRight w:val="0"/>
              <w:marTop w:val="0"/>
              <w:marBottom w:val="0"/>
              <w:divBdr>
                <w:top w:val="none" w:sz="0" w:space="0" w:color="auto"/>
                <w:left w:val="none" w:sz="0" w:space="0" w:color="auto"/>
                <w:bottom w:val="none" w:sz="0" w:space="0" w:color="auto"/>
                <w:right w:val="none" w:sz="0" w:space="0" w:color="auto"/>
              </w:divBdr>
            </w:div>
            <w:div w:id="35928894">
              <w:marLeft w:val="0"/>
              <w:marRight w:val="0"/>
              <w:marTop w:val="0"/>
              <w:marBottom w:val="0"/>
              <w:divBdr>
                <w:top w:val="none" w:sz="0" w:space="0" w:color="auto"/>
                <w:left w:val="none" w:sz="0" w:space="0" w:color="auto"/>
                <w:bottom w:val="none" w:sz="0" w:space="0" w:color="auto"/>
                <w:right w:val="none" w:sz="0" w:space="0" w:color="auto"/>
              </w:divBdr>
            </w:div>
            <w:div w:id="63534910">
              <w:marLeft w:val="0"/>
              <w:marRight w:val="0"/>
              <w:marTop w:val="0"/>
              <w:marBottom w:val="0"/>
              <w:divBdr>
                <w:top w:val="none" w:sz="0" w:space="0" w:color="auto"/>
                <w:left w:val="none" w:sz="0" w:space="0" w:color="auto"/>
                <w:bottom w:val="none" w:sz="0" w:space="0" w:color="auto"/>
                <w:right w:val="none" w:sz="0" w:space="0" w:color="auto"/>
              </w:divBdr>
            </w:div>
            <w:div w:id="173109531">
              <w:marLeft w:val="0"/>
              <w:marRight w:val="0"/>
              <w:marTop w:val="0"/>
              <w:marBottom w:val="0"/>
              <w:divBdr>
                <w:top w:val="none" w:sz="0" w:space="0" w:color="auto"/>
                <w:left w:val="none" w:sz="0" w:space="0" w:color="auto"/>
                <w:bottom w:val="none" w:sz="0" w:space="0" w:color="auto"/>
                <w:right w:val="none" w:sz="0" w:space="0" w:color="auto"/>
              </w:divBdr>
            </w:div>
            <w:div w:id="423305937">
              <w:marLeft w:val="0"/>
              <w:marRight w:val="0"/>
              <w:marTop w:val="0"/>
              <w:marBottom w:val="0"/>
              <w:divBdr>
                <w:top w:val="none" w:sz="0" w:space="0" w:color="auto"/>
                <w:left w:val="none" w:sz="0" w:space="0" w:color="auto"/>
                <w:bottom w:val="none" w:sz="0" w:space="0" w:color="auto"/>
                <w:right w:val="none" w:sz="0" w:space="0" w:color="auto"/>
              </w:divBdr>
            </w:div>
            <w:div w:id="449933823">
              <w:marLeft w:val="0"/>
              <w:marRight w:val="0"/>
              <w:marTop w:val="0"/>
              <w:marBottom w:val="0"/>
              <w:divBdr>
                <w:top w:val="none" w:sz="0" w:space="0" w:color="auto"/>
                <w:left w:val="none" w:sz="0" w:space="0" w:color="auto"/>
                <w:bottom w:val="none" w:sz="0" w:space="0" w:color="auto"/>
                <w:right w:val="none" w:sz="0" w:space="0" w:color="auto"/>
              </w:divBdr>
            </w:div>
            <w:div w:id="476386929">
              <w:marLeft w:val="0"/>
              <w:marRight w:val="0"/>
              <w:marTop w:val="0"/>
              <w:marBottom w:val="0"/>
              <w:divBdr>
                <w:top w:val="none" w:sz="0" w:space="0" w:color="auto"/>
                <w:left w:val="none" w:sz="0" w:space="0" w:color="auto"/>
                <w:bottom w:val="none" w:sz="0" w:space="0" w:color="auto"/>
                <w:right w:val="none" w:sz="0" w:space="0" w:color="auto"/>
              </w:divBdr>
            </w:div>
            <w:div w:id="536358688">
              <w:marLeft w:val="0"/>
              <w:marRight w:val="0"/>
              <w:marTop w:val="0"/>
              <w:marBottom w:val="0"/>
              <w:divBdr>
                <w:top w:val="none" w:sz="0" w:space="0" w:color="auto"/>
                <w:left w:val="none" w:sz="0" w:space="0" w:color="auto"/>
                <w:bottom w:val="none" w:sz="0" w:space="0" w:color="auto"/>
                <w:right w:val="none" w:sz="0" w:space="0" w:color="auto"/>
              </w:divBdr>
            </w:div>
            <w:div w:id="579216807">
              <w:marLeft w:val="0"/>
              <w:marRight w:val="0"/>
              <w:marTop w:val="0"/>
              <w:marBottom w:val="0"/>
              <w:divBdr>
                <w:top w:val="none" w:sz="0" w:space="0" w:color="auto"/>
                <w:left w:val="none" w:sz="0" w:space="0" w:color="auto"/>
                <w:bottom w:val="none" w:sz="0" w:space="0" w:color="auto"/>
                <w:right w:val="none" w:sz="0" w:space="0" w:color="auto"/>
              </w:divBdr>
            </w:div>
            <w:div w:id="1180850423">
              <w:marLeft w:val="0"/>
              <w:marRight w:val="0"/>
              <w:marTop w:val="0"/>
              <w:marBottom w:val="0"/>
              <w:divBdr>
                <w:top w:val="none" w:sz="0" w:space="0" w:color="auto"/>
                <w:left w:val="none" w:sz="0" w:space="0" w:color="auto"/>
                <w:bottom w:val="none" w:sz="0" w:space="0" w:color="auto"/>
                <w:right w:val="none" w:sz="0" w:space="0" w:color="auto"/>
              </w:divBdr>
            </w:div>
            <w:div w:id="1366519886">
              <w:marLeft w:val="0"/>
              <w:marRight w:val="0"/>
              <w:marTop w:val="0"/>
              <w:marBottom w:val="0"/>
              <w:divBdr>
                <w:top w:val="none" w:sz="0" w:space="0" w:color="auto"/>
                <w:left w:val="none" w:sz="0" w:space="0" w:color="auto"/>
                <w:bottom w:val="none" w:sz="0" w:space="0" w:color="auto"/>
                <w:right w:val="none" w:sz="0" w:space="0" w:color="auto"/>
              </w:divBdr>
            </w:div>
            <w:div w:id="1430464974">
              <w:marLeft w:val="0"/>
              <w:marRight w:val="0"/>
              <w:marTop w:val="0"/>
              <w:marBottom w:val="0"/>
              <w:divBdr>
                <w:top w:val="none" w:sz="0" w:space="0" w:color="auto"/>
                <w:left w:val="none" w:sz="0" w:space="0" w:color="auto"/>
                <w:bottom w:val="none" w:sz="0" w:space="0" w:color="auto"/>
                <w:right w:val="none" w:sz="0" w:space="0" w:color="auto"/>
              </w:divBdr>
            </w:div>
            <w:div w:id="1519542753">
              <w:marLeft w:val="0"/>
              <w:marRight w:val="0"/>
              <w:marTop w:val="0"/>
              <w:marBottom w:val="0"/>
              <w:divBdr>
                <w:top w:val="none" w:sz="0" w:space="0" w:color="auto"/>
                <w:left w:val="none" w:sz="0" w:space="0" w:color="auto"/>
                <w:bottom w:val="none" w:sz="0" w:space="0" w:color="auto"/>
                <w:right w:val="none" w:sz="0" w:space="0" w:color="auto"/>
              </w:divBdr>
            </w:div>
            <w:div w:id="1602952168">
              <w:marLeft w:val="0"/>
              <w:marRight w:val="0"/>
              <w:marTop w:val="0"/>
              <w:marBottom w:val="0"/>
              <w:divBdr>
                <w:top w:val="none" w:sz="0" w:space="0" w:color="auto"/>
                <w:left w:val="none" w:sz="0" w:space="0" w:color="auto"/>
                <w:bottom w:val="none" w:sz="0" w:space="0" w:color="auto"/>
                <w:right w:val="none" w:sz="0" w:space="0" w:color="auto"/>
              </w:divBdr>
            </w:div>
            <w:div w:id="1726560814">
              <w:marLeft w:val="0"/>
              <w:marRight w:val="0"/>
              <w:marTop w:val="0"/>
              <w:marBottom w:val="0"/>
              <w:divBdr>
                <w:top w:val="none" w:sz="0" w:space="0" w:color="auto"/>
                <w:left w:val="none" w:sz="0" w:space="0" w:color="auto"/>
                <w:bottom w:val="none" w:sz="0" w:space="0" w:color="auto"/>
                <w:right w:val="none" w:sz="0" w:space="0" w:color="auto"/>
              </w:divBdr>
            </w:div>
            <w:div w:id="1789928050">
              <w:marLeft w:val="0"/>
              <w:marRight w:val="0"/>
              <w:marTop w:val="0"/>
              <w:marBottom w:val="0"/>
              <w:divBdr>
                <w:top w:val="none" w:sz="0" w:space="0" w:color="auto"/>
                <w:left w:val="none" w:sz="0" w:space="0" w:color="auto"/>
                <w:bottom w:val="none" w:sz="0" w:space="0" w:color="auto"/>
                <w:right w:val="none" w:sz="0" w:space="0" w:color="auto"/>
              </w:divBdr>
            </w:div>
            <w:div w:id="1937204267">
              <w:marLeft w:val="0"/>
              <w:marRight w:val="0"/>
              <w:marTop w:val="0"/>
              <w:marBottom w:val="0"/>
              <w:divBdr>
                <w:top w:val="none" w:sz="0" w:space="0" w:color="auto"/>
                <w:left w:val="none" w:sz="0" w:space="0" w:color="auto"/>
                <w:bottom w:val="none" w:sz="0" w:space="0" w:color="auto"/>
                <w:right w:val="none" w:sz="0" w:space="0" w:color="auto"/>
              </w:divBdr>
            </w:div>
            <w:div w:id="1962685397">
              <w:marLeft w:val="0"/>
              <w:marRight w:val="0"/>
              <w:marTop w:val="0"/>
              <w:marBottom w:val="0"/>
              <w:divBdr>
                <w:top w:val="none" w:sz="0" w:space="0" w:color="auto"/>
                <w:left w:val="none" w:sz="0" w:space="0" w:color="auto"/>
                <w:bottom w:val="none" w:sz="0" w:space="0" w:color="auto"/>
                <w:right w:val="none" w:sz="0" w:space="0" w:color="auto"/>
              </w:divBdr>
            </w:div>
            <w:div w:id="1974289425">
              <w:marLeft w:val="0"/>
              <w:marRight w:val="0"/>
              <w:marTop w:val="0"/>
              <w:marBottom w:val="0"/>
              <w:divBdr>
                <w:top w:val="none" w:sz="0" w:space="0" w:color="auto"/>
                <w:left w:val="none" w:sz="0" w:space="0" w:color="auto"/>
                <w:bottom w:val="none" w:sz="0" w:space="0" w:color="auto"/>
                <w:right w:val="none" w:sz="0" w:space="0" w:color="auto"/>
              </w:divBdr>
            </w:div>
            <w:div w:id="2009407620">
              <w:marLeft w:val="0"/>
              <w:marRight w:val="0"/>
              <w:marTop w:val="0"/>
              <w:marBottom w:val="0"/>
              <w:divBdr>
                <w:top w:val="none" w:sz="0" w:space="0" w:color="auto"/>
                <w:left w:val="none" w:sz="0" w:space="0" w:color="auto"/>
                <w:bottom w:val="none" w:sz="0" w:space="0" w:color="auto"/>
                <w:right w:val="none" w:sz="0" w:space="0" w:color="auto"/>
              </w:divBdr>
            </w:div>
          </w:divsChild>
        </w:div>
        <w:div w:id="1116026249">
          <w:marLeft w:val="0"/>
          <w:marRight w:val="0"/>
          <w:marTop w:val="0"/>
          <w:marBottom w:val="0"/>
          <w:divBdr>
            <w:top w:val="none" w:sz="0" w:space="0" w:color="auto"/>
            <w:left w:val="none" w:sz="0" w:space="0" w:color="auto"/>
            <w:bottom w:val="none" w:sz="0" w:space="0" w:color="auto"/>
            <w:right w:val="none" w:sz="0" w:space="0" w:color="auto"/>
          </w:divBdr>
          <w:divsChild>
            <w:div w:id="126747476">
              <w:marLeft w:val="0"/>
              <w:marRight w:val="0"/>
              <w:marTop w:val="0"/>
              <w:marBottom w:val="0"/>
              <w:divBdr>
                <w:top w:val="none" w:sz="0" w:space="0" w:color="auto"/>
                <w:left w:val="none" w:sz="0" w:space="0" w:color="auto"/>
                <w:bottom w:val="none" w:sz="0" w:space="0" w:color="auto"/>
                <w:right w:val="none" w:sz="0" w:space="0" w:color="auto"/>
              </w:divBdr>
            </w:div>
            <w:div w:id="156264578">
              <w:marLeft w:val="0"/>
              <w:marRight w:val="0"/>
              <w:marTop w:val="0"/>
              <w:marBottom w:val="0"/>
              <w:divBdr>
                <w:top w:val="none" w:sz="0" w:space="0" w:color="auto"/>
                <w:left w:val="none" w:sz="0" w:space="0" w:color="auto"/>
                <w:bottom w:val="none" w:sz="0" w:space="0" w:color="auto"/>
                <w:right w:val="none" w:sz="0" w:space="0" w:color="auto"/>
              </w:divBdr>
            </w:div>
            <w:div w:id="339897286">
              <w:marLeft w:val="0"/>
              <w:marRight w:val="0"/>
              <w:marTop w:val="0"/>
              <w:marBottom w:val="0"/>
              <w:divBdr>
                <w:top w:val="none" w:sz="0" w:space="0" w:color="auto"/>
                <w:left w:val="none" w:sz="0" w:space="0" w:color="auto"/>
                <w:bottom w:val="none" w:sz="0" w:space="0" w:color="auto"/>
                <w:right w:val="none" w:sz="0" w:space="0" w:color="auto"/>
              </w:divBdr>
            </w:div>
            <w:div w:id="352459267">
              <w:marLeft w:val="0"/>
              <w:marRight w:val="0"/>
              <w:marTop w:val="0"/>
              <w:marBottom w:val="0"/>
              <w:divBdr>
                <w:top w:val="none" w:sz="0" w:space="0" w:color="auto"/>
                <w:left w:val="none" w:sz="0" w:space="0" w:color="auto"/>
                <w:bottom w:val="none" w:sz="0" w:space="0" w:color="auto"/>
                <w:right w:val="none" w:sz="0" w:space="0" w:color="auto"/>
              </w:divBdr>
            </w:div>
            <w:div w:id="583346576">
              <w:marLeft w:val="0"/>
              <w:marRight w:val="0"/>
              <w:marTop w:val="0"/>
              <w:marBottom w:val="0"/>
              <w:divBdr>
                <w:top w:val="none" w:sz="0" w:space="0" w:color="auto"/>
                <w:left w:val="none" w:sz="0" w:space="0" w:color="auto"/>
                <w:bottom w:val="none" w:sz="0" w:space="0" w:color="auto"/>
                <w:right w:val="none" w:sz="0" w:space="0" w:color="auto"/>
              </w:divBdr>
            </w:div>
            <w:div w:id="632174585">
              <w:marLeft w:val="0"/>
              <w:marRight w:val="0"/>
              <w:marTop w:val="0"/>
              <w:marBottom w:val="0"/>
              <w:divBdr>
                <w:top w:val="none" w:sz="0" w:space="0" w:color="auto"/>
                <w:left w:val="none" w:sz="0" w:space="0" w:color="auto"/>
                <w:bottom w:val="none" w:sz="0" w:space="0" w:color="auto"/>
                <w:right w:val="none" w:sz="0" w:space="0" w:color="auto"/>
              </w:divBdr>
            </w:div>
            <w:div w:id="752968320">
              <w:marLeft w:val="0"/>
              <w:marRight w:val="0"/>
              <w:marTop w:val="0"/>
              <w:marBottom w:val="0"/>
              <w:divBdr>
                <w:top w:val="none" w:sz="0" w:space="0" w:color="auto"/>
                <w:left w:val="none" w:sz="0" w:space="0" w:color="auto"/>
                <w:bottom w:val="none" w:sz="0" w:space="0" w:color="auto"/>
                <w:right w:val="none" w:sz="0" w:space="0" w:color="auto"/>
              </w:divBdr>
            </w:div>
            <w:div w:id="1159232742">
              <w:marLeft w:val="0"/>
              <w:marRight w:val="0"/>
              <w:marTop w:val="0"/>
              <w:marBottom w:val="0"/>
              <w:divBdr>
                <w:top w:val="none" w:sz="0" w:space="0" w:color="auto"/>
                <w:left w:val="none" w:sz="0" w:space="0" w:color="auto"/>
                <w:bottom w:val="none" w:sz="0" w:space="0" w:color="auto"/>
                <w:right w:val="none" w:sz="0" w:space="0" w:color="auto"/>
              </w:divBdr>
            </w:div>
            <w:div w:id="1225212589">
              <w:marLeft w:val="0"/>
              <w:marRight w:val="0"/>
              <w:marTop w:val="0"/>
              <w:marBottom w:val="0"/>
              <w:divBdr>
                <w:top w:val="none" w:sz="0" w:space="0" w:color="auto"/>
                <w:left w:val="none" w:sz="0" w:space="0" w:color="auto"/>
                <w:bottom w:val="none" w:sz="0" w:space="0" w:color="auto"/>
                <w:right w:val="none" w:sz="0" w:space="0" w:color="auto"/>
              </w:divBdr>
            </w:div>
            <w:div w:id="1378628980">
              <w:marLeft w:val="0"/>
              <w:marRight w:val="0"/>
              <w:marTop w:val="0"/>
              <w:marBottom w:val="0"/>
              <w:divBdr>
                <w:top w:val="none" w:sz="0" w:space="0" w:color="auto"/>
                <w:left w:val="none" w:sz="0" w:space="0" w:color="auto"/>
                <w:bottom w:val="none" w:sz="0" w:space="0" w:color="auto"/>
                <w:right w:val="none" w:sz="0" w:space="0" w:color="auto"/>
              </w:divBdr>
            </w:div>
            <w:div w:id="1635141740">
              <w:marLeft w:val="0"/>
              <w:marRight w:val="0"/>
              <w:marTop w:val="0"/>
              <w:marBottom w:val="0"/>
              <w:divBdr>
                <w:top w:val="none" w:sz="0" w:space="0" w:color="auto"/>
                <w:left w:val="none" w:sz="0" w:space="0" w:color="auto"/>
                <w:bottom w:val="none" w:sz="0" w:space="0" w:color="auto"/>
                <w:right w:val="none" w:sz="0" w:space="0" w:color="auto"/>
              </w:divBdr>
            </w:div>
            <w:div w:id="1638140879">
              <w:marLeft w:val="0"/>
              <w:marRight w:val="0"/>
              <w:marTop w:val="0"/>
              <w:marBottom w:val="0"/>
              <w:divBdr>
                <w:top w:val="none" w:sz="0" w:space="0" w:color="auto"/>
                <w:left w:val="none" w:sz="0" w:space="0" w:color="auto"/>
                <w:bottom w:val="none" w:sz="0" w:space="0" w:color="auto"/>
                <w:right w:val="none" w:sz="0" w:space="0" w:color="auto"/>
              </w:divBdr>
            </w:div>
            <w:div w:id="1660110740">
              <w:marLeft w:val="0"/>
              <w:marRight w:val="0"/>
              <w:marTop w:val="0"/>
              <w:marBottom w:val="0"/>
              <w:divBdr>
                <w:top w:val="none" w:sz="0" w:space="0" w:color="auto"/>
                <w:left w:val="none" w:sz="0" w:space="0" w:color="auto"/>
                <w:bottom w:val="none" w:sz="0" w:space="0" w:color="auto"/>
                <w:right w:val="none" w:sz="0" w:space="0" w:color="auto"/>
              </w:divBdr>
            </w:div>
            <w:div w:id="1922786797">
              <w:marLeft w:val="0"/>
              <w:marRight w:val="0"/>
              <w:marTop w:val="0"/>
              <w:marBottom w:val="0"/>
              <w:divBdr>
                <w:top w:val="none" w:sz="0" w:space="0" w:color="auto"/>
                <w:left w:val="none" w:sz="0" w:space="0" w:color="auto"/>
                <w:bottom w:val="none" w:sz="0" w:space="0" w:color="auto"/>
                <w:right w:val="none" w:sz="0" w:space="0" w:color="auto"/>
              </w:divBdr>
            </w:div>
            <w:div w:id="1979071836">
              <w:marLeft w:val="0"/>
              <w:marRight w:val="0"/>
              <w:marTop w:val="0"/>
              <w:marBottom w:val="0"/>
              <w:divBdr>
                <w:top w:val="none" w:sz="0" w:space="0" w:color="auto"/>
                <w:left w:val="none" w:sz="0" w:space="0" w:color="auto"/>
                <w:bottom w:val="none" w:sz="0" w:space="0" w:color="auto"/>
                <w:right w:val="none" w:sz="0" w:space="0" w:color="auto"/>
              </w:divBdr>
            </w:div>
            <w:div w:id="2008096676">
              <w:marLeft w:val="0"/>
              <w:marRight w:val="0"/>
              <w:marTop w:val="0"/>
              <w:marBottom w:val="0"/>
              <w:divBdr>
                <w:top w:val="none" w:sz="0" w:space="0" w:color="auto"/>
                <w:left w:val="none" w:sz="0" w:space="0" w:color="auto"/>
                <w:bottom w:val="none" w:sz="0" w:space="0" w:color="auto"/>
                <w:right w:val="none" w:sz="0" w:space="0" w:color="auto"/>
              </w:divBdr>
            </w:div>
            <w:div w:id="2025083264">
              <w:marLeft w:val="0"/>
              <w:marRight w:val="0"/>
              <w:marTop w:val="0"/>
              <w:marBottom w:val="0"/>
              <w:divBdr>
                <w:top w:val="none" w:sz="0" w:space="0" w:color="auto"/>
                <w:left w:val="none" w:sz="0" w:space="0" w:color="auto"/>
                <w:bottom w:val="none" w:sz="0" w:space="0" w:color="auto"/>
                <w:right w:val="none" w:sz="0" w:space="0" w:color="auto"/>
              </w:divBdr>
            </w:div>
            <w:div w:id="2064399460">
              <w:marLeft w:val="0"/>
              <w:marRight w:val="0"/>
              <w:marTop w:val="0"/>
              <w:marBottom w:val="0"/>
              <w:divBdr>
                <w:top w:val="none" w:sz="0" w:space="0" w:color="auto"/>
                <w:left w:val="none" w:sz="0" w:space="0" w:color="auto"/>
                <w:bottom w:val="none" w:sz="0" w:space="0" w:color="auto"/>
                <w:right w:val="none" w:sz="0" w:space="0" w:color="auto"/>
              </w:divBdr>
            </w:div>
            <w:div w:id="2085763878">
              <w:marLeft w:val="0"/>
              <w:marRight w:val="0"/>
              <w:marTop w:val="0"/>
              <w:marBottom w:val="0"/>
              <w:divBdr>
                <w:top w:val="none" w:sz="0" w:space="0" w:color="auto"/>
                <w:left w:val="none" w:sz="0" w:space="0" w:color="auto"/>
                <w:bottom w:val="none" w:sz="0" w:space="0" w:color="auto"/>
                <w:right w:val="none" w:sz="0" w:space="0" w:color="auto"/>
              </w:divBdr>
            </w:div>
            <w:div w:id="2144151079">
              <w:marLeft w:val="0"/>
              <w:marRight w:val="0"/>
              <w:marTop w:val="0"/>
              <w:marBottom w:val="0"/>
              <w:divBdr>
                <w:top w:val="none" w:sz="0" w:space="0" w:color="auto"/>
                <w:left w:val="none" w:sz="0" w:space="0" w:color="auto"/>
                <w:bottom w:val="none" w:sz="0" w:space="0" w:color="auto"/>
                <w:right w:val="none" w:sz="0" w:space="0" w:color="auto"/>
              </w:divBdr>
            </w:div>
          </w:divsChild>
        </w:div>
        <w:div w:id="1714190069">
          <w:marLeft w:val="0"/>
          <w:marRight w:val="0"/>
          <w:marTop w:val="0"/>
          <w:marBottom w:val="0"/>
          <w:divBdr>
            <w:top w:val="none" w:sz="0" w:space="0" w:color="auto"/>
            <w:left w:val="none" w:sz="0" w:space="0" w:color="auto"/>
            <w:bottom w:val="none" w:sz="0" w:space="0" w:color="auto"/>
            <w:right w:val="none" w:sz="0" w:space="0" w:color="auto"/>
          </w:divBdr>
          <w:divsChild>
            <w:div w:id="146942964">
              <w:marLeft w:val="0"/>
              <w:marRight w:val="0"/>
              <w:marTop w:val="0"/>
              <w:marBottom w:val="0"/>
              <w:divBdr>
                <w:top w:val="none" w:sz="0" w:space="0" w:color="auto"/>
                <w:left w:val="none" w:sz="0" w:space="0" w:color="auto"/>
                <w:bottom w:val="none" w:sz="0" w:space="0" w:color="auto"/>
                <w:right w:val="none" w:sz="0" w:space="0" w:color="auto"/>
              </w:divBdr>
            </w:div>
            <w:div w:id="177813815">
              <w:marLeft w:val="0"/>
              <w:marRight w:val="0"/>
              <w:marTop w:val="0"/>
              <w:marBottom w:val="0"/>
              <w:divBdr>
                <w:top w:val="none" w:sz="0" w:space="0" w:color="auto"/>
                <w:left w:val="none" w:sz="0" w:space="0" w:color="auto"/>
                <w:bottom w:val="none" w:sz="0" w:space="0" w:color="auto"/>
                <w:right w:val="none" w:sz="0" w:space="0" w:color="auto"/>
              </w:divBdr>
            </w:div>
            <w:div w:id="315113787">
              <w:marLeft w:val="0"/>
              <w:marRight w:val="0"/>
              <w:marTop w:val="0"/>
              <w:marBottom w:val="0"/>
              <w:divBdr>
                <w:top w:val="none" w:sz="0" w:space="0" w:color="auto"/>
                <w:left w:val="none" w:sz="0" w:space="0" w:color="auto"/>
                <w:bottom w:val="none" w:sz="0" w:space="0" w:color="auto"/>
                <w:right w:val="none" w:sz="0" w:space="0" w:color="auto"/>
              </w:divBdr>
            </w:div>
            <w:div w:id="351273435">
              <w:marLeft w:val="0"/>
              <w:marRight w:val="0"/>
              <w:marTop w:val="0"/>
              <w:marBottom w:val="0"/>
              <w:divBdr>
                <w:top w:val="none" w:sz="0" w:space="0" w:color="auto"/>
                <w:left w:val="none" w:sz="0" w:space="0" w:color="auto"/>
                <w:bottom w:val="none" w:sz="0" w:space="0" w:color="auto"/>
                <w:right w:val="none" w:sz="0" w:space="0" w:color="auto"/>
              </w:divBdr>
            </w:div>
            <w:div w:id="399400934">
              <w:marLeft w:val="0"/>
              <w:marRight w:val="0"/>
              <w:marTop w:val="0"/>
              <w:marBottom w:val="0"/>
              <w:divBdr>
                <w:top w:val="none" w:sz="0" w:space="0" w:color="auto"/>
                <w:left w:val="none" w:sz="0" w:space="0" w:color="auto"/>
                <w:bottom w:val="none" w:sz="0" w:space="0" w:color="auto"/>
                <w:right w:val="none" w:sz="0" w:space="0" w:color="auto"/>
              </w:divBdr>
            </w:div>
            <w:div w:id="408816847">
              <w:marLeft w:val="0"/>
              <w:marRight w:val="0"/>
              <w:marTop w:val="0"/>
              <w:marBottom w:val="0"/>
              <w:divBdr>
                <w:top w:val="none" w:sz="0" w:space="0" w:color="auto"/>
                <w:left w:val="none" w:sz="0" w:space="0" w:color="auto"/>
                <w:bottom w:val="none" w:sz="0" w:space="0" w:color="auto"/>
                <w:right w:val="none" w:sz="0" w:space="0" w:color="auto"/>
              </w:divBdr>
            </w:div>
            <w:div w:id="689525573">
              <w:marLeft w:val="0"/>
              <w:marRight w:val="0"/>
              <w:marTop w:val="0"/>
              <w:marBottom w:val="0"/>
              <w:divBdr>
                <w:top w:val="none" w:sz="0" w:space="0" w:color="auto"/>
                <w:left w:val="none" w:sz="0" w:space="0" w:color="auto"/>
                <w:bottom w:val="none" w:sz="0" w:space="0" w:color="auto"/>
                <w:right w:val="none" w:sz="0" w:space="0" w:color="auto"/>
              </w:divBdr>
            </w:div>
            <w:div w:id="707073570">
              <w:marLeft w:val="0"/>
              <w:marRight w:val="0"/>
              <w:marTop w:val="0"/>
              <w:marBottom w:val="0"/>
              <w:divBdr>
                <w:top w:val="none" w:sz="0" w:space="0" w:color="auto"/>
                <w:left w:val="none" w:sz="0" w:space="0" w:color="auto"/>
                <w:bottom w:val="none" w:sz="0" w:space="0" w:color="auto"/>
                <w:right w:val="none" w:sz="0" w:space="0" w:color="auto"/>
              </w:divBdr>
            </w:div>
            <w:div w:id="762994975">
              <w:marLeft w:val="0"/>
              <w:marRight w:val="0"/>
              <w:marTop w:val="0"/>
              <w:marBottom w:val="0"/>
              <w:divBdr>
                <w:top w:val="none" w:sz="0" w:space="0" w:color="auto"/>
                <w:left w:val="none" w:sz="0" w:space="0" w:color="auto"/>
                <w:bottom w:val="none" w:sz="0" w:space="0" w:color="auto"/>
                <w:right w:val="none" w:sz="0" w:space="0" w:color="auto"/>
              </w:divBdr>
            </w:div>
            <w:div w:id="766316857">
              <w:marLeft w:val="0"/>
              <w:marRight w:val="0"/>
              <w:marTop w:val="0"/>
              <w:marBottom w:val="0"/>
              <w:divBdr>
                <w:top w:val="none" w:sz="0" w:space="0" w:color="auto"/>
                <w:left w:val="none" w:sz="0" w:space="0" w:color="auto"/>
                <w:bottom w:val="none" w:sz="0" w:space="0" w:color="auto"/>
                <w:right w:val="none" w:sz="0" w:space="0" w:color="auto"/>
              </w:divBdr>
            </w:div>
            <w:div w:id="834145372">
              <w:marLeft w:val="0"/>
              <w:marRight w:val="0"/>
              <w:marTop w:val="0"/>
              <w:marBottom w:val="0"/>
              <w:divBdr>
                <w:top w:val="none" w:sz="0" w:space="0" w:color="auto"/>
                <w:left w:val="none" w:sz="0" w:space="0" w:color="auto"/>
                <w:bottom w:val="none" w:sz="0" w:space="0" w:color="auto"/>
                <w:right w:val="none" w:sz="0" w:space="0" w:color="auto"/>
              </w:divBdr>
            </w:div>
            <w:div w:id="835531434">
              <w:marLeft w:val="0"/>
              <w:marRight w:val="0"/>
              <w:marTop w:val="0"/>
              <w:marBottom w:val="0"/>
              <w:divBdr>
                <w:top w:val="none" w:sz="0" w:space="0" w:color="auto"/>
                <w:left w:val="none" w:sz="0" w:space="0" w:color="auto"/>
                <w:bottom w:val="none" w:sz="0" w:space="0" w:color="auto"/>
                <w:right w:val="none" w:sz="0" w:space="0" w:color="auto"/>
              </w:divBdr>
            </w:div>
            <w:div w:id="1058476004">
              <w:marLeft w:val="0"/>
              <w:marRight w:val="0"/>
              <w:marTop w:val="0"/>
              <w:marBottom w:val="0"/>
              <w:divBdr>
                <w:top w:val="none" w:sz="0" w:space="0" w:color="auto"/>
                <w:left w:val="none" w:sz="0" w:space="0" w:color="auto"/>
                <w:bottom w:val="none" w:sz="0" w:space="0" w:color="auto"/>
                <w:right w:val="none" w:sz="0" w:space="0" w:color="auto"/>
              </w:divBdr>
            </w:div>
            <w:div w:id="1286083791">
              <w:marLeft w:val="0"/>
              <w:marRight w:val="0"/>
              <w:marTop w:val="0"/>
              <w:marBottom w:val="0"/>
              <w:divBdr>
                <w:top w:val="none" w:sz="0" w:space="0" w:color="auto"/>
                <w:left w:val="none" w:sz="0" w:space="0" w:color="auto"/>
                <w:bottom w:val="none" w:sz="0" w:space="0" w:color="auto"/>
                <w:right w:val="none" w:sz="0" w:space="0" w:color="auto"/>
              </w:divBdr>
            </w:div>
            <w:div w:id="1421485078">
              <w:marLeft w:val="0"/>
              <w:marRight w:val="0"/>
              <w:marTop w:val="0"/>
              <w:marBottom w:val="0"/>
              <w:divBdr>
                <w:top w:val="none" w:sz="0" w:space="0" w:color="auto"/>
                <w:left w:val="none" w:sz="0" w:space="0" w:color="auto"/>
                <w:bottom w:val="none" w:sz="0" w:space="0" w:color="auto"/>
                <w:right w:val="none" w:sz="0" w:space="0" w:color="auto"/>
              </w:divBdr>
            </w:div>
            <w:div w:id="1507944103">
              <w:marLeft w:val="0"/>
              <w:marRight w:val="0"/>
              <w:marTop w:val="0"/>
              <w:marBottom w:val="0"/>
              <w:divBdr>
                <w:top w:val="none" w:sz="0" w:space="0" w:color="auto"/>
                <w:left w:val="none" w:sz="0" w:space="0" w:color="auto"/>
                <w:bottom w:val="none" w:sz="0" w:space="0" w:color="auto"/>
                <w:right w:val="none" w:sz="0" w:space="0" w:color="auto"/>
              </w:divBdr>
            </w:div>
            <w:div w:id="1801143463">
              <w:marLeft w:val="0"/>
              <w:marRight w:val="0"/>
              <w:marTop w:val="0"/>
              <w:marBottom w:val="0"/>
              <w:divBdr>
                <w:top w:val="none" w:sz="0" w:space="0" w:color="auto"/>
                <w:left w:val="none" w:sz="0" w:space="0" w:color="auto"/>
                <w:bottom w:val="none" w:sz="0" w:space="0" w:color="auto"/>
                <w:right w:val="none" w:sz="0" w:space="0" w:color="auto"/>
              </w:divBdr>
            </w:div>
            <w:div w:id="2065060880">
              <w:marLeft w:val="0"/>
              <w:marRight w:val="0"/>
              <w:marTop w:val="0"/>
              <w:marBottom w:val="0"/>
              <w:divBdr>
                <w:top w:val="none" w:sz="0" w:space="0" w:color="auto"/>
                <w:left w:val="none" w:sz="0" w:space="0" w:color="auto"/>
                <w:bottom w:val="none" w:sz="0" w:space="0" w:color="auto"/>
                <w:right w:val="none" w:sz="0" w:space="0" w:color="auto"/>
              </w:divBdr>
            </w:div>
            <w:div w:id="2107113944">
              <w:marLeft w:val="0"/>
              <w:marRight w:val="0"/>
              <w:marTop w:val="0"/>
              <w:marBottom w:val="0"/>
              <w:divBdr>
                <w:top w:val="none" w:sz="0" w:space="0" w:color="auto"/>
                <w:left w:val="none" w:sz="0" w:space="0" w:color="auto"/>
                <w:bottom w:val="none" w:sz="0" w:space="0" w:color="auto"/>
                <w:right w:val="none" w:sz="0" w:space="0" w:color="auto"/>
              </w:divBdr>
            </w:div>
            <w:div w:id="2119787413">
              <w:marLeft w:val="0"/>
              <w:marRight w:val="0"/>
              <w:marTop w:val="0"/>
              <w:marBottom w:val="0"/>
              <w:divBdr>
                <w:top w:val="none" w:sz="0" w:space="0" w:color="auto"/>
                <w:left w:val="none" w:sz="0" w:space="0" w:color="auto"/>
                <w:bottom w:val="none" w:sz="0" w:space="0" w:color="auto"/>
                <w:right w:val="none" w:sz="0" w:space="0" w:color="auto"/>
              </w:divBdr>
            </w:div>
          </w:divsChild>
        </w:div>
        <w:div w:id="2112815222">
          <w:marLeft w:val="0"/>
          <w:marRight w:val="0"/>
          <w:marTop w:val="0"/>
          <w:marBottom w:val="0"/>
          <w:divBdr>
            <w:top w:val="none" w:sz="0" w:space="0" w:color="auto"/>
            <w:left w:val="none" w:sz="0" w:space="0" w:color="auto"/>
            <w:bottom w:val="none" w:sz="0" w:space="0" w:color="auto"/>
            <w:right w:val="none" w:sz="0" w:space="0" w:color="auto"/>
          </w:divBdr>
          <w:divsChild>
            <w:div w:id="1399680">
              <w:marLeft w:val="0"/>
              <w:marRight w:val="0"/>
              <w:marTop w:val="0"/>
              <w:marBottom w:val="0"/>
              <w:divBdr>
                <w:top w:val="none" w:sz="0" w:space="0" w:color="auto"/>
                <w:left w:val="none" w:sz="0" w:space="0" w:color="auto"/>
                <w:bottom w:val="none" w:sz="0" w:space="0" w:color="auto"/>
                <w:right w:val="none" w:sz="0" w:space="0" w:color="auto"/>
              </w:divBdr>
            </w:div>
            <w:div w:id="225185741">
              <w:marLeft w:val="0"/>
              <w:marRight w:val="0"/>
              <w:marTop w:val="0"/>
              <w:marBottom w:val="0"/>
              <w:divBdr>
                <w:top w:val="none" w:sz="0" w:space="0" w:color="auto"/>
                <w:left w:val="none" w:sz="0" w:space="0" w:color="auto"/>
                <w:bottom w:val="none" w:sz="0" w:space="0" w:color="auto"/>
                <w:right w:val="none" w:sz="0" w:space="0" w:color="auto"/>
              </w:divBdr>
            </w:div>
            <w:div w:id="455953750">
              <w:marLeft w:val="0"/>
              <w:marRight w:val="0"/>
              <w:marTop w:val="0"/>
              <w:marBottom w:val="0"/>
              <w:divBdr>
                <w:top w:val="none" w:sz="0" w:space="0" w:color="auto"/>
                <w:left w:val="none" w:sz="0" w:space="0" w:color="auto"/>
                <w:bottom w:val="none" w:sz="0" w:space="0" w:color="auto"/>
                <w:right w:val="none" w:sz="0" w:space="0" w:color="auto"/>
              </w:divBdr>
            </w:div>
            <w:div w:id="457263744">
              <w:marLeft w:val="0"/>
              <w:marRight w:val="0"/>
              <w:marTop w:val="0"/>
              <w:marBottom w:val="0"/>
              <w:divBdr>
                <w:top w:val="none" w:sz="0" w:space="0" w:color="auto"/>
                <w:left w:val="none" w:sz="0" w:space="0" w:color="auto"/>
                <w:bottom w:val="none" w:sz="0" w:space="0" w:color="auto"/>
                <w:right w:val="none" w:sz="0" w:space="0" w:color="auto"/>
              </w:divBdr>
            </w:div>
            <w:div w:id="528644611">
              <w:marLeft w:val="0"/>
              <w:marRight w:val="0"/>
              <w:marTop w:val="0"/>
              <w:marBottom w:val="0"/>
              <w:divBdr>
                <w:top w:val="none" w:sz="0" w:space="0" w:color="auto"/>
                <w:left w:val="none" w:sz="0" w:space="0" w:color="auto"/>
                <w:bottom w:val="none" w:sz="0" w:space="0" w:color="auto"/>
                <w:right w:val="none" w:sz="0" w:space="0" w:color="auto"/>
              </w:divBdr>
            </w:div>
            <w:div w:id="530807014">
              <w:marLeft w:val="0"/>
              <w:marRight w:val="0"/>
              <w:marTop w:val="0"/>
              <w:marBottom w:val="0"/>
              <w:divBdr>
                <w:top w:val="none" w:sz="0" w:space="0" w:color="auto"/>
                <w:left w:val="none" w:sz="0" w:space="0" w:color="auto"/>
                <w:bottom w:val="none" w:sz="0" w:space="0" w:color="auto"/>
                <w:right w:val="none" w:sz="0" w:space="0" w:color="auto"/>
              </w:divBdr>
            </w:div>
            <w:div w:id="559823788">
              <w:marLeft w:val="0"/>
              <w:marRight w:val="0"/>
              <w:marTop w:val="0"/>
              <w:marBottom w:val="0"/>
              <w:divBdr>
                <w:top w:val="none" w:sz="0" w:space="0" w:color="auto"/>
                <w:left w:val="none" w:sz="0" w:space="0" w:color="auto"/>
                <w:bottom w:val="none" w:sz="0" w:space="0" w:color="auto"/>
                <w:right w:val="none" w:sz="0" w:space="0" w:color="auto"/>
              </w:divBdr>
            </w:div>
            <w:div w:id="618026246">
              <w:marLeft w:val="0"/>
              <w:marRight w:val="0"/>
              <w:marTop w:val="0"/>
              <w:marBottom w:val="0"/>
              <w:divBdr>
                <w:top w:val="none" w:sz="0" w:space="0" w:color="auto"/>
                <w:left w:val="none" w:sz="0" w:space="0" w:color="auto"/>
                <w:bottom w:val="none" w:sz="0" w:space="0" w:color="auto"/>
                <w:right w:val="none" w:sz="0" w:space="0" w:color="auto"/>
              </w:divBdr>
            </w:div>
            <w:div w:id="736517448">
              <w:marLeft w:val="0"/>
              <w:marRight w:val="0"/>
              <w:marTop w:val="0"/>
              <w:marBottom w:val="0"/>
              <w:divBdr>
                <w:top w:val="none" w:sz="0" w:space="0" w:color="auto"/>
                <w:left w:val="none" w:sz="0" w:space="0" w:color="auto"/>
                <w:bottom w:val="none" w:sz="0" w:space="0" w:color="auto"/>
                <w:right w:val="none" w:sz="0" w:space="0" w:color="auto"/>
              </w:divBdr>
            </w:div>
            <w:div w:id="802381170">
              <w:marLeft w:val="0"/>
              <w:marRight w:val="0"/>
              <w:marTop w:val="0"/>
              <w:marBottom w:val="0"/>
              <w:divBdr>
                <w:top w:val="none" w:sz="0" w:space="0" w:color="auto"/>
                <w:left w:val="none" w:sz="0" w:space="0" w:color="auto"/>
                <w:bottom w:val="none" w:sz="0" w:space="0" w:color="auto"/>
                <w:right w:val="none" w:sz="0" w:space="0" w:color="auto"/>
              </w:divBdr>
            </w:div>
            <w:div w:id="1125075907">
              <w:marLeft w:val="0"/>
              <w:marRight w:val="0"/>
              <w:marTop w:val="0"/>
              <w:marBottom w:val="0"/>
              <w:divBdr>
                <w:top w:val="none" w:sz="0" w:space="0" w:color="auto"/>
                <w:left w:val="none" w:sz="0" w:space="0" w:color="auto"/>
                <w:bottom w:val="none" w:sz="0" w:space="0" w:color="auto"/>
                <w:right w:val="none" w:sz="0" w:space="0" w:color="auto"/>
              </w:divBdr>
            </w:div>
            <w:div w:id="1155999085">
              <w:marLeft w:val="0"/>
              <w:marRight w:val="0"/>
              <w:marTop w:val="0"/>
              <w:marBottom w:val="0"/>
              <w:divBdr>
                <w:top w:val="none" w:sz="0" w:space="0" w:color="auto"/>
                <w:left w:val="none" w:sz="0" w:space="0" w:color="auto"/>
                <w:bottom w:val="none" w:sz="0" w:space="0" w:color="auto"/>
                <w:right w:val="none" w:sz="0" w:space="0" w:color="auto"/>
              </w:divBdr>
            </w:div>
            <w:div w:id="1181626741">
              <w:marLeft w:val="0"/>
              <w:marRight w:val="0"/>
              <w:marTop w:val="0"/>
              <w:marBottom w:val="0"/>
              <w:divBdr>
                <w:top w:val="none" w:sz="0" w:space="0" w:color="auto"/>
                <w:left w:val="none" w:sz="0" w:space="0" w:color="auto"/>
                <w:bottom w:val="none" w:sz="0" w:space="0" w:color="auto"/>
                <w:right w:val="none" w:sz="0" w:space="0" w:color="auto"/>
              </w:divBdr>
            </w:div>
            <w:div w:id="1226919105">
              <w:marLeft w:val="0"/>
              <w:marRight w:val="0"/>
              <w:marTop w:val="0"/>
              <w:marBottom w:val="0"/>
              <w:divBdr>
                <w:top w:val="none" w:sz="0" w:space="0" w:color="auto"/>
                <w:left w:val="none" w:sz="0" w:space="0" w:color="auto"/>
                <w:bottom w:val="none" w:sz="0" w:space="0" w:color="auto"/>
                <w:right w:val="none" w:sz="0" w:space="0" w:color="auto"/>
              </w:divBdr>
            </w:div>
            <w:div w:id="1255431541">
              <w:marLeft w:val="0"/>
              <w:marRight w:val="0"/>
              <w:marTop w:val="0"/>
              <w:marBottom w:val="0"/>
              <w:divBdr>
                <w:top w:val="none" w:sz="0" w:space="0" w:color="auto"/>
                <w:left w:val="none" w:sz="0" w:space="0" w:color="auto"/>
                <w:bottom w:val="none" w:sz="0" w:space="0" w:color="auto"/>
                <w:right w:val="none" w:sz="0" w:space="0" w:color="auto"/>
              </w:divBdr>
            </w:div>
            <w:div w:id="1611161971">
              <w:marLeft w:val="0"/>
              <w:marRight w:val="0"/>
              <w:marTop w:val="0"/>
              <w:marBottom w:val="0"/>
              <w:divBdr>
                <w:top w:val="none" w:sz="0" w:space="0" w:color="auto"/>
                <w:left w:val="none" w:sz="0" w:space="0" w:color="auto"/>
                <w:bottom w:val="none" w:sz="0" w:space="0" w:color="auto"/>
                <w:right w:val="none" w:sz="0" w:space="0" w:color="auto"/>
              </w:divBdr>
            </w:div>
            <w:div w:id="1659186264">
              <w:marLeft w:val="0"/>
              <w:marRight w:val="0"/>
              <w:marTop w:val="0"/>
              <w:marBottom w:val="0"/>
              <w:divBdr>
                <w:top w:val="none" w:sz="0" w:space="0" w:color="auto"/>
                <w:left w:val="none" w:sz="0" w:space="0" w:color="auto"/>
                <w:bottom w:val="none" w:sz="0" w:space="0" w:color="auto"/>
                <w:right w:val="none" w:sz="0" w:space="0" w:color="auto"/>
              </w:divBdr>
            </w:div>
            <w:div w:id="1708524788">
              <w:marLeft w:val="0"/>
              <w:marRight w:val="0"/>
              <w:marTop w:val="0"/>
              <w:marBottom w:val="0"/>
              <w:divBdr>
                <w:top w:val="none" w:sz="0" w:space="0" w:color="auto"/>
                <w:left w:val="none" w:sz="0" w:space="0" w:color="auto"/>
                <w:bottom w:val="none" w:sz="0" w:space="0" w:color="auto"/>
                <w:right w:val="none" w:sz="0" w:space="0" w:color="auto"/>
              </w:divBdr>
            </w:div>
            <w:div w:id="2020695475">
              <w:marLeft w:val="0"/>
              <w:marRight w:val="0"/>
              <w:marTop w:val="0"/>
              <w:marBottom w:val="0"/>
              <w:divBdr>
                <w:top w:val="none" w:sz="0" w:space="0" w:color="auto"/>
                <w:left w:val="none" w:sz="0" w:space="0" w:color="auto"/>
                <w:bottom w:val="none" w:sz="0" w:space="0" w:color="auto"/>
                <w:right w:val="none" w:sz="0" w:space="0" w:color="auto"/>
              </w:divBdr>
            </w:div>
            <w:div w:id="20506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9005">
      <w:bodyDiv w:val="1"/>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1769109125">
              <w:marLeft w:val="0"/>
              <w:marRight w:val="0"/>
              <w:marTop w:val="0"/>
              <w:marBottom w:val="0"/>
              <w:divBdr>
                <w:top w:val="none" w:sz="0" w:space="0" w:color="auto"/>
                <w:left w:val="none" w:sz="0" w:space="0" w:color="auto"/>
                <w:bottom w:val="none" w:sz="0" w:space="0" w:color="auto"/>
                <w:right w:val="none" w:sz="0" w:space="0" w:color="auto"/>
              </w:divBdr>
            </w:div>
          </w:divsChild>
        </w:div>
        <w:div w:id="503710595">
          <w:marLeft w:val="0"/>
          <w:marRight w:val="0"/>
          <w:marTop w:val="0"/>
          <w:marBottom w:val="0"/>
          <w:divBdr>
            <w:top w:val="none" w:sz="0" w:space="0" w:color="auto"/>
            <w:left w:val="none" w:sz="0" w:space="0" w:color="auto"/>
            <w:bottom w:val="none" w:sz="0" w:space="0" w:color="auto"/>
            <w:right w:val="none" w:sz="0" w:space="0" w:color="auto"/>
          </w:divBdr>
          <w:divsChild>
            <w:div w:id="646936665">
              <w:marLeft w:val="0"/>
              <w:marRight w:val="0"/>
              <w:marTop w:val="0"/>
              <w:marBottom w:val="0"/>
              <w:divBdr>
                <w:top w:val="none" w:sz="0" w:space="0" w:color="auto"/>
                <w:left w:val="none" w:sz="0" w:space="0" w:color="auto"/>
                <w:bottom w:val="none" w:sz="0" w:space="0" w:color="auto"/>
                <w:right w:val="none" w:sz="0" w:space="0" w:color="auto"/>
              </w:divBdr>
            </w:div>
            <w:div w:id="1102841427">
              <w:marLeft w:val="0"/>
              <w:marRight w:val="0"/>
              <w:marTop w:val="0"/>
              <w:marBottom w:val="0"/>
              <w:divBdr>
                <w:top w:val="none" w:sz="0" w:space="0" w:color="auto"/>
                <w:left w:val="none" w:sz="0" w:space="0" w:color="auto"/>
                <w:bottom w:val="none" w:sz="0" w:space="0" w:color="auto"/>
                <w:right w:val="none" w:sz="0" w:space="0" w:color="auto"/>
              </w:divBdr>
            </w:div>
          </w:divsChild>
        </w:div>
        <w:div w:id="562445619">
          <w:marLeft w:val="0"/>
          <w:marRight w:val="0"/>
          <w:marTop w:val="0"/>
          <w:marBottom w:val="0"/>
          <w:divBdr>
            <w:top w:val="none" w:sz="0" w:space="0" w:color="auto"/>
            <w:left w:val="none" w:sz="0" w:space="0" w:color="auto"/>
            <w:bottom w:val="none" w:sz="0" w:space="0" w:color="auto"/>
            <w:right w:val="none" w:sz="0" w:space="0" w:color="auto"/>
          </w:divBdr>
          <w:divsChild>
            <w:div w:id="623462065">
              <w:marLeft w:val="0"/>
              <w:marRight w:val="0"/>
              <w:marTop w:val="0"/>
              <w:marBottom w:val="0"/>
              <w:divBdr>
                <w:top w:val="none" w:sz="0" w:space="0" w:color="auto"/>
                <w:left w:val="none" w:sz="0" w:space="0" w:color="auto"/>
                <w:bottom w:val="none" w:sz="0" w:space="0" w:color="auto"/>
                <w:right w:val="none" w:sz="0" w:space="0" w:color="auto"/>
              </w:divBdr>
            </w:div>
          </w:divsChild>
        </w:div>
        <w:div w:id="726686103">
          <w:marLeft w:val="0"/>
          <w:marRight w:val="0"/>
          <w:marTop w:val="0"/>
          <w:marBottom w:val="0"/>
          <w:divBdr>
            <w:top w:val="none" w:sz="0" w:space="0" w:color="auto"/>
            <w:left w:val="none" w:sz="0" w:space="0" w:color="auto"/>
            <w:bottom w:val="none" w:sz="0" w:space="0" w:color="auto"/>
            <w:right w:val="none" w:sz="0" w:space="0" w:color="auto"/>
          </w:divBdr>
          <w:divsChild>
            <w:div w:id="2006743069">
              <w:marLeft w:val="0"/>
              <w:marRight w:val="0"/>
              <w:marTop w:val="0"/>
              <w:marBottom w:val="0"/>
              <w:divBdr>
                <w:top w:val="none" w:sz="0" w:space="0" w:color="auto"/>
                <w:left w:val="none" w:sz="0" w:space="0" w:color="auto"/>
                <w:bottom w:val="none" w:sz="0" w:space="0" w:color="auto"/>
                <w:right w:val="none" w:sz="0" w:space="0" w:color="auto"/>
              </w:divBdr>
            </w:div>
          </w:divsChild>
        </w:div>
        <w:div w:id="741873160">
          <w:marLeft w:val="0"/>
          <w:marRight w:val="0"/>
          <w:marTop w:val="0"/>
          <w:marBottom w:val="0"/>
          <w:divBdr>
            <w:top w:val="none" w:sz="0" w:space="0" w:color="auto"/>
            <w:left w:val="none" w:sz="0" w:space="0" w:color="auto"/>
            <w:bottom w:val="none" w:sz="0" w:space="0" w:color="auto"/>
            <w:right w:val="none" w:sz="0" w:space="0" w:color="auto"/>
          </w:divBdr>
          <w:divsChild>
            <w:div w:id="1160848471">
              <w:marLeft w:val="0"/>
              <w:marRight w:val="0"/>
              <w:marTop w:val="0"/>
              <w:marBottom w:val="0"/>
              <w:divBdr>
                <w:top w:val="none" w:sz="0" w:space="0" w:color="auto"/>
                <w:left w:val="none" w:sz="0" w:space="0" w:color="auto"/>
                <w:bottom w:val="none" w:sz="0" w:space="0" w:color="auto"/>
                <w:right w:val="none" w:sz="0" w:space="0" w:color="auto"/>
              </w:divBdr>
            </w:div>
          </w:divsChild>
        </w:div>
        <w:div w:id="742217668">
          <w:marLeft w:val="0"/>
          <w:marRight w:val="0"/>
          <w:marTop w:val="0"/>
          <w:marBottom w:val="0"/>
          <w:divBdr>
            <w:top w:val="none" w:sz="0" w:space="0" w:color="auto"/>
            <w:left w:val="none" w:sz="0" w:space="0" w:color="auto"/>
            <w:bottom w:val="none" w:sz="0" w:space="0" w:color="auto"/>
            <w:right w:val="none" w:sz="0" w:space="0" w:color="auto"/>
          </w:divBdr>
          <w:divsChild>
            <w:div w:id="307826457">
              <w:marLeft w:val="0"/>
              <w:marRight w:val="0"/>
              <w:marTop w:val="0"/>
              <w:marBottom w:val="0"/>
              <w:divBdr>
                <w:top w:val="none" w:sz="0" w:space="0" w:color="auto"/>
                <w:left w:val="none" w:sz="0" w:space="0" w:color="auto"/>
                <w:bottom w:val="none" w:sz="0" w:space="0" w:color="auto"/>
                <w:right w:val="none" w:sz="0" w:space="0" w:color="auto"/>
              </w:divBdr>
            </w:div>
          </w:divsChild>
        </w:div>
        <w:div w:id="848178476">
          <w:marLeft w:val="0"/>
          <w:marRight w:val="0"/>
          <w:marTop w:val="0"/>
          <w:marBottom w:val="0"/>
          <w:divBdr>
            <w:top w:val="none" w:sz="0" w:space="0" w:color="auto"/>
            <w:left w:val="none" w:sz="0" w:space="0" w:color="auto"/>
            <w:bottom w:val="none" w:sz="0" w:space="0" w:color="auto"/>
            <w:right w:val="none" w:sz="0" w:space="0" w:color="auto"/>
          </w:divBdr>
          <w:divsChild>
            <w:div w:id="876510255">
              <w:marLeft w:val="0"/>
              <w:marRight w:val="0"/>
              <w:marTop w:val="0"/>
              <w:marBottom w:val="0"/>
              <w:divBdr>
                <w:top w:val="none" w:sz="0" w:space="0" w:color="auto"/>
                <w:left w:val="none" w:sz="0" w:space="0" w:color="auto"/>
                <w:bottom w:val="none" w:sz="0" w:space="0" w:color="auto"/>
                <w:right w:val="none" w:sz="0" w:space="0" w:color="auto"/>
              </w:divBdr>
            </w:div>
          </w:divsChild>
        </w:div>
        <w:div w:id="884371325">
          <w:marLeft w:val="0"/>
          <w:marRight w:val="0"/>
          <w:marTop w:val="0"/>
          <w:marBottom w:val="0"/>
          <w:divBdr>
            <w:top w:val="none" w:sz="0" w:space="0" w:color="auto"/>
            <w:left w:val="none" w:sz="0" w:space="0" w:color="auto"/>
            <w:bottom w:val="none" w:sz="0" w:space="0" w:color="auto"/>
            <w:right w:val="none" w:sz="0" w:space="0" w:color="auto"/>
          </w:divBdr>
          <w:divsChild>
            <w:div w:id="1271276301">
              <w:marLeft w:val="0"/>
              <w:marRight w:val="0"/>
              <w:marTop w:val="0"/>
              <w:marBottom w:val="0"/>
              <w:divBdr>
                <w:top w:val="none" w:sz="0" w:space="0" w:color="auto"/>
                <w:left w:val="none" w:sz="0" w:space="0" w:color="auto"/>
                <w:bottom w:val="none" w:sz="0" w:space="0" w:color="auto"/>
                <w:right w:val="none" w:sz="0" w:space="0" w:color="auto"/>
              </w:divBdr>
            </w:div>
          </w:divsChild>
        </w:div>
        <w:div w:id="1027877534">
          <w:marLeft w:val="0"/>
          <w:marRight w:val="0"/>
          <w:marTop w:val="0"/>
          <w:marBottom w:val="0"/>
          <w:divBdr>
            <w:top w:val="none" w:sz="0" w:space="0" w:color="auto"/>
            <w:left w:val="none" w:sz="0" w:space="0" w:color="auto"/>
            <w:bottom w:val="none" w:sz="0" w:space="0" w:color="auto"/>
            <w:right w:val="none" w:sz="0" w:space="0" w:color="auto"/>
          </w:divBdr>
          <w:divsChild>
            <w:div w:id="411122884">
              <w:marLeft w:val="0"/>
              <w:marRight w:val="0"/>
              <w:marTop w:val="0"/>
              <w:marBottom w:val="0"/>
              <w:divBdr>
                <w:top w:val="none" w:sz="0" w:space="0" w:color="auto"/>
                <w:left w:val="none" w:sz="0" w:space="0" w:color="auto"/>
                <w:bottom w:val="none" w:sz="0" w:space="0" w:color="auto"/>
                <w:right w:val="none" w:sz="0" w:space="0" w:color="auto"/>
              </w:divBdr>
            </w:div>
          </w:divsChild>
        </w:div>
        <w:div w:id="1094473141">
          <w:marLeft w:val="0"/>
          <w:marRight w:val="0"/>
          <w:marTop w:val="0"/>
          <w:marBottom w:val="0"/>
          <w:divBdr>
            <w:top w:val="none" w:sz="0" w:space="0" w:color="auto"/>
            <w:left w:val="none" w:sz="0" w:space="0" w:color="auto"/>
            <w:bottom w:val="none" w:sz="0" w:space="0" w:color="auto"/>
            <w:right w:val="none" w:sz="0" w:space="0" w:color="auto"/>
          </w:divBdr>
          <w:divsChild>
            <w:div w:id="555894170">
              <w:marLeft w:val="0"/>
              <w:marRight w:val="0"/>
              <w:marTop w:val="0"/>
              <w:marBottom w:val="0"/>
              <w:divBdr>
                <w:top w:val="none" w:sz="0" w:space="0" w:color="auto"/>
                <w:left w:val="none" w:sz="0" w:space="0" w:color="auto"/>
                <w:bottom w:val="none" w:sz="0" w:space="0" w:color="auto"/>
                <w:right w:val="none" w:sz="0" w:space="0" w:color="auto"/>
              </w:divBdr>
            </w:div>
          </w:divsChild>
        </w:div>
        <w:div w:id="1256283639">
          <w:marLeft w:val="0"/>
          <w:marRight w:val="0"/>
          <w:marTop w:val="0"/>
          <w:marBottom w:val="0"/>
          <w:divBdr>
            <w:top w:val="none" w:sz="0" w:space="0" w:color="auto"/>
            <w:left w:val="none" w:sz="0" w:space="0" w:color="auto"/>
            <w:bottom w:val="none" w:sz="0" w:space="0" w:color="auto"/>
            <w:right w:val="none" w:sz="0" w:space="0" w:color="auto"/>
          </w:divBdr>
          <w:divsChild>
            <w:div w:id="2022656794">
              <w:marLeft w:val="0"/>
              <w:marRight w:val="0"/>
              <w:marTop w:val="0"/>
              <w:marBottom w:val="0"/>
              <w:divBdr>
                <w:top w:val="none" w:sz="0" w:space="0" w:color="auto"/>
                <w:left w:val="none" w:sz="0" w:space="0" w:color="auto"/>
                <w:bottom w:val="none" w:sz="0" w:space="0" w:color="auto"/>
                <w:right w:val="none" w:sz="0" w:space="0" w:color="auto"/>
              </w:divBdr>
            </w:div>
          </w:divsChild>
        </w:div>
        <w:div w:id="1261451163">
          <w:marLeft w:val="0"/>
          <w:marRight w:val="0"/>
          <w:marTop w:val="0"/>
          <w:marBottom w:val="0"/>
          <w:divBdr>
            <w:top w:val="none" w:sz="0" w:space="0" w:color="auto"/>
            <w:left w:val="none" w:sz="0" w:space="0" w:color="auto"/>
            <w:bottom w:val="none" w:sz="0" w:space="0" w:color="auto"/>
            <w:right w:val="none" w:sz="0" w:space="0" w:color="auto"/>
          </w:divBdr>
          <w:divsChild>
            <w:div w:id="1179199953">
              <w:marLeft w:val="0"/>
              <w:marRight w:val="0"/>
              <w:marTop w:val="0"/>
              <w:marBottom w:val="0"/>
              <w:divBdr>
                <w:top w:val="none" w:sz="0" w:space="0" w:color="auto"/>
                <w:left w:val="none" w:sz="0" w:space="0" w:color="auto"/>
                <w:bottom w:val="none" w:sz="0" w:space="0" w:color="auto"/>
                <w:right w:val="none" w:sz="0" w:space="0" w:color="auto"/>
              </w:divBdr>
            </w:div>
          </w:divsChild>
        </w:div>
        <w:div w:id="1287587112">
          <w:marLeft w:val="0"/>
          <w:marRight w:val="0"/>
          <w:marTop w:val="0"/>
          <w:marBottom w:val="0"/>
          <w:divBdr>
            <w:top w:val="none" w:sz="0" w:space="0" w:color="auto"/>
            <w:left w:val="none" w:sz="0" w:space="0" w:color="auto"/>
            <w:bottom w:val="none" w:sz="0" w:space="0" w:color="auto"/>
            <w:right w:val="none" w:sz="0" w:space="0" w:color="auto"/>
          </w:divBdr>
          <w:divsChild>
            <w:div w:id="1369331853">
              <w:marLeft w:val="0"/>
              <w:marRight w:val="0"/>
              <w:marTop w:val="0"/>
              <w:marBottom w:val="0"/>
              <w:divBdr>
                <w:top w:val="none" w:sz="0" w:space="0" w:color="auto"/>
                <w:left w:val="none" w:sz="0" w:space="0" w:color="auto"/>
                <w:bottom w:val="none" w:sz="0" w:space="0" w:color="auto"/>
                <w:right w:val="none" w:sz="0" w:space="0" w:color="auto"/>
              </w:divBdr>
            </w:div>
          </w:divsChild>
        </w:div>
        <w:div w:id="1334182141">
          <w:marLeft w:val="0"/>
          <w:marRight w:val="0"/>
          <w:marTop w:val="0"/>
          <w:marBottom w:val="0"/>
          <w:divBdr>
            <w:top w:val="none" w:sz="0" w:space="0" w:color="auto"/>
            <w:left w:val="none" w:sz="0" w:space="0" w:color="auto"/>
            <w:bottom w:val="none" w:sz="0" w:space="0" w:color="auto"/>
            <w:right w:val="none" w:sz="0" w:space="0" w:color="auto"/>
          </w:divBdr>
          <w:divsChild>
            <w:div w:id="226646001">
              <w:marLeft w:val="0"/>
              <w:marRight w:val="0"/>
              <w:marTop w:val="0"/>
              <w:marBottom w:val="0"/>
              <w:divBdr>
                <w:top w:val="none" w:sz="0" w:space="0" w:color="auto"/>
                <w:left w:val="none" w:sz="0" w:space="0" w:color="auto"/>
                <w:bottom w:val="none" w:sz="0" w:space="0" w:color="auto"/>
                <w:right w:val="none" w:sz="0" w:space="0" w:color="auto"/>
              </w:divBdr>
            </w:div>
          </w:divsChild>
        </w:div>
        <w:div w:id="1474910089">
          <w:marLeft w:val="0"/>
          <w:marRight w:val="0"/>
          <w:marTop w:val="0"/>
          <w:marBottom w:val="0"/>
          <w:divBdr>
            <w:top w:val="none" w:sz="0" w:space="0" w:color="auto"/>
            <w:left w:val="none" w:sz="0" w:space="0" w:color="auto"/>
            <w:bottom w:val="none" w:sz="0" w:space="0" w:color="auto"/>
            <w:right w:val="none" w:sz="0" w:space="0" w:color="auto"/>
          </w:divBdr>
          <w:divsChild>
            <w:div w:id="829951383">
              <w:marLeft w:val="0"/>
              <w:marRight w:val="0"/>
              <w:marTop w:val="0"/>
              <w:marBottom w:val="0"/>
              <w:divBdr>
                <w:top w:val="none" w:sz="0" w:space="0" w:color="auto"/>
                <w:left w:val="none" w:sz="0" w:space="0" w:color="auto"/>
                <w:bottom w:val="none" w:sz="0" w:space="0" w:color="auto"/>
                <w:right w:val="none" w:sz="0" w:space="0" w:color="auto"/>
              </w:divBdr>
            </w:div>
          </w:divsChild>
        </w:div>
        <w:div w:id="1490173967">
          <w:marLeft w:val="0"/>
          <w:marRight w:val="0"/>
          <w:marTop w:val="0"/>
          <w:marBottom w:val="0"/>
          <w:divBdr>
            <w:top w:val="none" w:sz="0" w:space="0" w:color="auto"/>
            <w:left w:val="none" w:sz="0" w:space="0" w:color="auto"/>
            <w:bottom w:val="none" w:sz="0" w:space="0" w:color="auto"/>
            <w:right w:val="none" w:sz="0" w:space="0" w:color="auto"/>
          </w:divBdr>
          <w:divsChild>
            <w:div w:id="240875934">
              <w:marLeft w:val="0"/>
              <w:marRight w:val="0"/>
              <w:marTop w:val="0"/>
              <w:marBottom w:val="0"/>
              <w:divBdr>
                <w:top w:val="none" w:sz="0" w:space="0" w:color="auto"/>
                <w:left w:val="none" w:sz="0" w:space="0" w:color="auto"/>
                <w:bottom w:val="none" w:sz="0" w:space="0" w:color="auto"/>
                <w:right w:val="none" w:sz="0" w:space="0" w:color="auto"/>
              </w:divBdr>
            </w:div>
          </w:divsChild>
        </w:div>
        <w:div w:id="1673095687">
          <w:marLeft w:val="0"/>
          <w:marRight w:val="0"/>
          <w:marTop w:val="0"/>
          <w:marBottom w:val="0"/>
          <w:divBdr>
            <w:top w:val="none" w:sz="0" w:space="0" w:color="auto"/>
            <w:left w:val="none" w:sz="0" w:space="0" w:color="auto"/>
            <w:bottom w:val="none" w:sz="0" w:space="0" w:color="auto"/>
            <w:right w:val="none" w:sz="0" w:space="0" w:color="auto"/>
          </w:divBdr>
          <w:divsChild>
            <w:div w:id="188957933">
              <w:marLeft w:val="0"/>
              <w:marRight w:val="0"/>
              <w:marTop w:val="0"/>
              <w:marBottom w:val="0"/>
              <w:divBdr>
                <w:top w:val="none" w:sz="0" w:space="0" w:color="auto"/>
                <w:left w:val="none" w:sz="0" w:space="0" w:color="auto"/>
                <w:bottom w:val="none" w:sz="0" w:space="0" w:color="auto"/>
                <w:right w:val="none" w:sz="0" w:space="0" w:color="auto"/>
              </w:divBdr>
            </w:div>
          </w:divsChild>
        </w:div>
        <w:div w:id="1790279244">
          <w:marLeft w:val="0"/>
          <w:marRight w:val="0"/>
          <w:marTop w:val="0"/>
          <w:marBottom w:val="0"/>
          <w:divBdr>
            <w:top w:val="none" w:sz="0" w:space="0" w:color="auto"/>
            <w:left w:val="none" w:sz="0" w:space="0" w:color="auto"/>
            <w:bottom w:val="none" w:sz="0" w:space="0" w:color="auto"/>
            <w:right w:val="none" w:sz="0" w:space="0" w:color="auto"/>
          </w:divBdr>
          <w:divsChild>
            <w:div w:id="1321736220">
              <w:marLeft w:val="0"/>
              <w:marRight w:val="0"/>
              <w:marTop w:val="0"/>
              <w:marBottom w:val="0"/>
              <w:divBdr>
                <w:top w:val="none" w:sz="0" w:space="0" w:color="auto"/>
                <w:left w:val="none" w:sz="0" w:space="0" w:color="auto"/>
                <w:bottom w:val="none" w:sz="0" w:space="0" w:color="auto"/>
                <w:right w:val="none" w:sz="0" w:space="0" w:color="auto"/>
              </w:divBdr>
            </w:div>
          </w:divsChild>
        </w:div>
        <w:div w:id="1835803680">
          <w:marLeft w:val="0"/>
          <w:marRight w:val="0"/>
          <w:marTop w:val="0"/>
          <w:marBottom w:val="0"/>
          <w:divBdr>
            <w:top w:val="none" w:sz="0" w:space="0" w:color="auto"/>
            <w:left w:val="none" w:sz="0" w:space="0" w:color="auto"/>
            <w:bottom w:val="none" w:sz="0" w:space="0" w:color="auto"/>
            <w:right w:val="none" w:sz="0" w:space="0" w:color="auto"/>
          </w:divBdr>
          <w:divsChild>
            <w:div w:id="1084453782">
              <w:marLeft w:val="0"/>
              <w:marRight w:val="0"/>
              <w:marTop w:val="0"/>
              <w:marBottom w:val="0"/>
              <w:divBdr>
                <w:top w:val="none" w:sz="0" w:space="0" w:color="auto"/>
                <w:left w:val="none" w:sz="0" w:space="0" w:color="auto"/>
                <w:bottom w:val="none" w:sz="0" w:space="0" w:color="auto"/>
                <w:right w:val="none" w:sz="0" w:space="0" w:color="auto"/>
              </w:divBdr>
            </w:div>
          </w:divsChild>
        </w:div>
        <w:div w:id="1952861855">
          <w:marLeft w:val="0"/>
          <w:marRight w:val="0"/>
          <w:marTop w:val="0"/>
          <w:marBottom w:val="0"/>
          <w:divBdr>
            <w:top w:val="none" w:sz="0" w:space="0" w:color="auto"/>
            <w:left w:val="none" w:sz="0" w:space="0" w:color="auto"/>
            <w:bottom w:val="none" w:sz="0" w:space="0" w:color="auto"/>
            <w:right w:val="none" w:sz="0" w:space="0" w:color="auto"/>
          </w:divBdr>
          <w:divsChild>
            <w:div w:id="2037146824">
              <w:marLeft w:val="0"/>
              <w:marRight w:val="0"/>
              <w:marTop w:val="0"/>
              <w:marBottom w:val="0"/>
              <w:divBdr>
                <w:top w:val="none" w:sz="0" w:space="0" w:color="auto"/>
                <w:left w:val="none" w:sz="0" w:space="0" w:color="auto"/>
                <w:bottom w:val="none" w:sz="0" w:space="0" w:color="auto"/>
                <w:right w:val="none" w:sz="0" w:space="0" w:color="auto"/>
              </w:divBdr>
            </w:div>
          </w:divsChild>
        </w:div>
        <w:div w:id="2012484508">
          <w:marLeft w:val="0"/>
          <w:marRight w:val="0"/>
          <w:marTop w:val="0"/>
          <w:marBottom w:val="0"/>
          <w:divBdr>
            <w:top w:val="none" w:sz="0" w:space="0" w:color="auto"/>
            <w:left w:val="none" w:sz="0" w:space="0" w:color="auto"/>
            <w:bottom w:val="none" w:sz="0" w:space="0" w:color="auto"/>
            <w:right w:val="none" w:sz="0" w:space="0" w:color="auto"/>
          </w:divBdr>
          <w:divsChild>
            <w:div w:id="527566851">
              <w:marLeft w:val="0"/>
              <w:marRight w:val="0"/>
              <w:marTop w:val="0"/>
              <w:marBottom w:val="0"/>
              <w:divBdr>
                <w:top w:val="none" w:sz="0" w:space="0" w:color="auto"/>
                <w:left w:val="none" w:sz="0" w:space="0" w:color="auto"/>
                <w:bottom w:val="none" w:sz="0" w:space="0" w:color="auto"/>
                <w:right w:val="none" w:sz="0" w:space="0" w:color="auto"/>
              </w:divBdr>
            </w:div>
          </w:divsChild>
        </w:div>
        <w:div w:id="2067097316">
          <w:marLeft w:val="0"/>
          <w:marRight w:val="0"/>
          <w:marTop w:val="0"/>
          <w:marBottom w:val="0"/>
          <w:divBdr>
            <w:top w:val="none" w:sz="0" w:space="0" w:color="auto"/>
            <w:left w:val="none" w:sz="0" w:space="0" w:color="auto"/>
            <w:bottom w:val="none" w:sz="0" w:space="0" w:color="auto"/>
            <w:right w:val="none" w:sz="0" w:space="0" w:color="auto"/>
          </w:divBdr>
          <w:divsChild>
            <w:div w:id="1629361880">
              <w:marLeft w:val="0"/>
              <w:marRight w:val="0"/>
              <w:marTop w:val="0"/>
              <w:marBottom w:val="0"/>
              <w:divBdr>
                <w:top w:val="none" w:sz="0" w:space="0" w:color="auto"/>
                <w:left w:val="none" w:sz="0" w:space="0" w:color="auto"/>
                <w:bottom w:val="none" w:sz="0" w:space="0" w:color="auto"/>
                <w:right w:val="none" w:sz="0" w:space="0" w:color="auto"/>
              </w:divBdr>
            </w:div>
          </w:divsChild>
        </w:div>
        <w:div w:id="2103528892">
          <w:marLeft w:val="0"/>
          <w:marRight w:val="0"/>
          <w:marTop w:val="0"/>
          <w:marBottom w:val="0"/>
          <w:divBdr>
            <w:top w:val="none" w:sz="0" w:space="0" w:color="auto"/>
            <w:left w:val="none" w:sz="0" w:space="0" w:color="auto"/>
            <w:bottom w:val="none" w:sz="0" w:space="0" w:color="auto"/>
            <w:right w:val="none" w:sz="0" w:space="0" w:color="auto"/>
          </w:divBdr>
          <w:divsChild>
            <w:div w:id="327096665">
              <w:marLeft w:val="0"/>
              <w:marRight w:val="0"/>
              <w:marTop w:val="0"/>
              <w:marBottom w:val="0"/>
              <w:divBdr>
                <w:top w:val="none" w:sz="0" w:space="0" w:color="auto"/>
                <w:left w:val="none" w:sz="0" w:space="0" w:color="auto"/>
                <w:bottom w:val="none" w:sz="0" w:space="0" w:color="auto"/>
                <w:right w:val="none" w:sz="0" w:space="0" w:color="auto"/>
              </w:divBdr>
            </w:div>
          </w:divsChild>
        </w:div>
        <w:div w:id="2117747043">
          <w:marLeft w:val="0"/>
          <w:marRight w:val="0"/>
          <w:marTop w:val="0"/>
          <w:marBottom w:val="0"/>
          <w:divBdr>
            <w:top w:val="none" w:sz="0" w:space="0" w:color="auto"/>
            <w:left w:val="none" w:sz="0" w:space="0" w:color="auto"/>
            <w:bottom w:val="none" w:sz="0" w:space="0" w:color="auto"/>
            <w:right w:val="none" w:sz="0" w:space="0" w:color="auto"/>
          </w:divBdr>
          <w:divsChild>
            <w:div w:id="1091049923">
              <w:marLeft w:val="0"/>
              <w:marRight w:val="0"/>
              <w:marTop w:val="0"/>
              <w:marBottom w:val="0"/>
              <w:divBdr>
                <w:top w:val="none" w:sz="0" w:space="0" w:color="auto"/>
                <w:left w:val="none" w:sz="0" w:space="0" w:color="auto"/>
                <w:bottom w:val="none" w:sz="0" w:space="0" w:color="auto"/>
                <w:right w:val="none" w:sz="0" w:space="0" w:color="auto"/>
              </w:divBdr>
            </w:div>
            <w:div w:id="13503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6751">
      <w:bodyDiv w:val="1"/>
      <w:marLeft w:val="0"/>
      <w:marRight w:val="0"/>
      <w:marTop w:val="0"/>
      <w:marBottom w:val="0"/>
      <w:divBdr>
        <w:top w:val="none" w:sz="0" w:space="0" w:color="auto"/>
        <w:left w:val="none" w:sz="0" w:space="0" w:color="auto"/>
        <w:bottom w:val="none" w:sz="0" w:space="0" w:color="auto"/>
        <w:right w:val="none" w:sz="0" w:space="0" w:color="auto"/>
      </w:divBdr>
      <w:divsChild>
        <w:div w:id="450898455">
          <w:marLeft w:val="0"/>
          <w:marRight w:val="0"/>
          <w:marTop w:val="0"/>
          <w:marBottom w:val="0"/>
          <w:divBdr>
            <w:top w:val="none" w:sz="0" w:space="0" w:color="auto"/>
            <w:left w:val="none" w:sz="0" w:space="0" w:color="auto"/>
            <w:bottom w:val="none" w:sz="0" w:space="0" w:color="auto"/>
            <w:right w:val="none" w:sz="0" w:space="0" w:color="auto"/>
          </w:divBdr>
        </w:div>
        <w:div w:id="986787030">
          <w:marLeft w:val="0"/>
          <w:marRight w:val="0"/>
          <w:marTop w:val="0"/>
          <w:marBottom w:val="0"/>
          <w:divBdr>
            <w:top w:val="none" w:sz="0" w:space="0" w:color="auto"/>
            <w:left w:val="none" w:sz="0" w:space="0" w:color="auto"/>
            <w:bottom w:val="none" w:sz="0" w:space="0" w:color="auto"/>
            <w:right w:val="none" w:sz="0" w:space="0" w:color="auto"/>
          </w:divBdr>
        </w:div>
        <w:div w:id="1103304902">
          <w:marLeft w:val="0"/>
          <w:marRight w:val="0"/>
          <w:marTop w:val="0"/>
          <w:marBottom w:val="0"/>
          <w:divBdr>
            <w:top w:val="none" w:sz="0" w:space="0" w:color="auto"/>
            <w:left w:val="none" w:sz="0" w:space="0" w:color="auto"/>
            <w:bottom w:val="none" w:sz="0" w:space="0" w:color="auto"/>
            <w:right w:val="none" w:sz="0" w:space="0" w:color="auto"/>
          </w:divBdr>
        </w:div>
        <w:div w:id="1129056485">
          <w:marLeft w:val="0"/>
          <w:marRight w:val="0"/>
          <w:marTop w:val="0"/>
          <w:marBottom w:val="0"/>
          <w:divBdr>
            <w:top w:val="none" w:sz="0" w:space="0" w:color="auto"/>
            <w:left w:val="none" w:sz="0" w:space="0" w:color="auto"/>
            <w:bottom w:val="none" w:sz="0" w:space="0" w:color="auto"/>
            <w:right w:val="none" w:sz="0" w:space="0" w:color="auto"/>
          </w:divBdr>
        </w:div>
        <w:div w:id="2051345787">
          <w:marLeft w:val="0"/>
          <w:marRight w:val="0"/>
          <w:marTop w:val="0"/>
          <w:marBottom w:val="0"/>
          <w:divBdr>
            <w:top w:val="none" w:sz="0" w:space="0" w:color="auto"/>
            <w:left w:val="none" w:sz="0" w:space="0" w:color="auto"/>
            <w:bottom w:val="none" w:sz="0" w:space="0" w:color="auto"/>
            <w:right w:val="none" w:sz="0" w:space="0" w:color="auto"/>
          </w:divBdr>
        </w:div>
      </w:divsChild>
    </w:div>
    <w:div w:id="1113015651">
      <w:bodyDiv w:val="1"/>
      <w:marLeft w:val="0"/>
      <w:marRight w:val="0"/>
      <w:marTop w:val="0"/>
      <w:marBottom w:val="0"/>
      <w:divBdr>
        <w:top w:val="none" w:sz="0" w:space="0" w:color="auto"/>
        <w:left w:val="none" w:sz="0" w:space="0" w:color="auto"/>
        <w:bottom w:val="none" w:sz="0" w:space="0" w:color="auto"/>
        <w:right w:val="none" w:sz="0" w:space="0" w:color="auto"/>
      </w:divBdr>
      <w:divsChild>
        <w:div w:id="5447010">
          <w:marLeft w:val="0"/>
          <w:marRight w:val="0"/>
          <w:marTop w:val="0"/>
          <w:marBottom w:val="0"/>
          <w:divBdr>
            <w:top w:val="none" w:sz="0" w:space="0" w:color="auto"/>
            <w:left w:val="none" w:sz="0" w:space="0" w:color="auto"/>
            <w:bottom w:val="none" w:sz="0" w:space="0" w:color="auto"/>
            <w:right w:val="none" w:sz="0" w:space="0" w:color="auto"/>
          </w:divBdr>
          <w:divsChild>
            <w:div w:id="1886522796">
              <w:marLeft w:val="0"/>
              <w:marRight w:val="0"/>
              <w:marTop w:val="0"/>
              <w:marBottom w:val="0"/>
              <w:divBdr>
                <w:top w:val="none" w:sz="0" w:space="0" w:color="auto"/>
                <w:left w:val="none" w:sz="0" w:space="0" w:color="auto"/>
                <w:bottom w:val="none" w:sz="0" w:space="0" w:color="auto"/>
                <w:right w:val="none" w:sz="0" w:space="0" w:color="auto"/>
              </w:divBdr>
            </w:div>
          </w:divsChild>
        </w:div>
        <w:div w:id="11882740">
          <w:marLeft w:val="0"/>
          <w:marRight w:val="0"/>
          <w:marTop w:val="0"/>
          <w:marBottom w:val="0"/>
          <w:divBdr>
            <w:top w:val="none" w:sz="0" w:space="0" w:color="auto"/>
            <w:left w:val="none" w:sz="0" w:space="0" w:color="auto"/>
            <w:bottom w:val="none" w:sz="0" w:space="0" w:color="auto"/>
            <w:right w:val="none" w:sz="0" w:space="0" w:color="auto"/>
          </w:divBdr>
          <w:divsChild>
            <w:div w:id="1225489667">
              <w:marLeft w:val="0"/>
              <w:marRight w:val="0"/>
              <w:marTop w:val="0"/>
              <w:marBottom w:val="0"/>
              <w:divBdr>
                <w:top w:val="none" w:sz="0" w:space="0" w:color="auto"/>
                <w:left w:val="none" w:sz="0" w:space="0" w:color="auto"/>
                <w:bottom w:val="none" w:sz="0" w:space="0" w:color="auto"/>
                <w:right w:val="none" w:sz="0" w:space="0" w:color="auto"/>
              </w:divBdr>
            </w:div>
          </w:divsChild>
        </w:div>
        <w:div w:id="43988280">
          <w:marLeft w:val="0"/>
          <w:marRight w:val="0"/>
          <w:marTop w:val="0"/>
          <w:marBottom w:val="0"/>
          <w:divBdr>
            <w:top w:val="none" w:sz="0" w:space="0" w:color="auto"/>
            <w:left w:val="none" w:sz="0" w:space="0" w:color="auto"/>
            <w:bottom w:val="none" w:sz="0" w:space="0" w:color="auto"/>
            <w:right w:val="none" w:sz="0" w:space="0" w:color="auto"/>
          </w:divBdr>
          <w:divsChild>
            <w:div w:id="130250096">
              <w:marLeft w:val="0"/>
              <w:marRight w:val="0"/>
              <w:marTop w:val="0"/>
              <w:marBottom w:val="0"/>
              <w:divBdr>
                <w:top w:val="none" w:sz="0" w:space="0" w:color="auto"/>
                <w:left w:val="none" w:sz="0" w:space="0" w:color="auto"/>
                <w:bottom w:val="none" w:sz="0" w:space="0" w:color="auto"/>
                <w:right w:val="none" w:sz="0" w:space="0" w:color="auto"/>
              </w:divBdr>
            </w:div>
          </w:divsChild>
        </w:div>
        <w:div w:id="44112282">
          <w:marLeft w:val="0"/>
          <w:marRight w:val="0"/>
          <w:marTop w:val="0"/>
          <w:marBottom w:val="0"/>
          <w:divBdr>
            <w:top w:val="none" w:sz="0" w:space="0" w:color="auto"/>
            <w:left w:val="none" w:sz="0" w:space="0" w:color="auto"/>
            <w:bottom w:val="none" w:sz="0" w:space="0" w:color="auto"/>
            <w:right w:val="none" w:sz="0" w:space="0" w:color="auto"/>
          </w:divBdr>
          <w:divsChild>
            <w:div w:id="896472713">
              <w:marLeft w:val="0"/>
              <w:marRight w:val="0"/>
              <w:marTop w:val="0"/>
              <w:marBottom w:val="0"/>
              <w:divBdr>
                <w:top w:val="none" w:sz="0" w:space="0" w:color="auto"/>
                <w:left w:val="none" w:sz="0" w:space="0" w:color="auto"/>
                <w:bottom w:val="none" w:sz="0" w:space="0" w:color="auto"/>
                <w:right w:val="none" w:sz="0" w:space="0" w:color="auto"/>
              </w:divBdr>
            </w:div>
          </w:divsChild>
        </w:div>
        <w:div w:id="59720128">
          <w:marLeft w:val="0"/>
          <w:marRight w:val="0"/>
          <w:marTop w:val="0"/>
          <w:marBottom w:val="0"/>
          <w:divBdr>
            <w:top w:val="none" w:sz="0" w:space="0" w:color="auto"/>
            <w:left w:val="none" w:sz="0" w:space="0" w:color="auto"/>
            <w:bottom w:val="none" w:sz="0" w:space="0" w:color="auto"/>
            <w:right w:val="none" w:sz="0" w:space="0" w:color="auto"/>
          </w:divBdr>
          <w:divsChild>
            <w:div w:id="1258246567">
              <w:marLeft w:val="0"/>
              <w:marRight w:val="0"/>
              <w:marTop w:val="0"/>
              <w:marBottom w:val="0"/>
              <w:divBdr>
                <w:top w:val="none" w:sz="0" w:space="0" w:color="auto"/>
                <w:left w:val="none" w:sz="0" w:space="0" w:color="auto"/>
                <w:bottom w:val="none" w:sz="0" w:space="0" w:color="auto"/>
                <w:right w:val="none" w:sz="0" w:space="0" w:color="auto"/>
              </w:divBdr>
            </w:div>
          </w:divsChild>
        </w:div>
        <w:div w:id="71858724">
          <w:marLeft w:val="0"/>
          <w:marRight w:val="0"/>
          <w:marTop w:val="0"/>
          <w:marBottom w:val="0"/>
          <w:divBdr>
            <w:top w:val="none" w:sz="0" w:space="0" w:color="auto"/>
            <w:left w:val="none" w:sz="0" w:space="0" w:color="auto"/>
            <w:bottom w:val="none" w:sz="0" w:space="0" w:color="auto"/>
            <w:right w:val="none" w:sz="0" w:space="0" w:color="auto"/>
          </w:divBdr>
          <w:divsChild>
            <w:div w:id="1787315188">
              <w:marLeft w:val="0"/>
              <w:marRight w:val="0"/>
              <w:marTop w:val="0"/>
              <w:marBottom w:val="0"/>
              <w:divBdr>
                <w:top w:val="none" w:sz="0" w:space="0" w:color="auto"/>
                <w:left w:val="none" w:sz="0" w:space="0" w:color="auto"/>
                <w:bottom w:val="none" w:sz="0" w:space="0" w:color="auto"/>
                <w:right w:val="none" w:sz="0" w:space="0" w:color="auto"/>
              </w:divBdr>
            </w:div>
          </w:divsChild>
        </w:div>
        <w:div w:id="75250827">
          <w:marLeft w:val="0"/>
          <w:marRight w:val="0"/>
          <w:marTop w:val="0"/>
          <w:marBottom w:val="0"/>
          <w:divBdr>
            <w:top w:val="none" w:sz="0" w:space="0" w:color="auto"/>
            <w:left w:val="none" w:sz="0" w:space="0" w:color="auto"/>
            <w:bottom w:val="none" w:sz="0" w:space="0" w:color="auto"/>
            <w:right w:val="none" w:sz="0" w:space="0" w:color="auto"/>
          </w:divBdr>
          <w:divsChild>
            <w:div w:id="484589652">
              <w:marLeft w:val="0"/>
              <w:marRight w:val="0"/>
              <w:marTop w:val="0"/>
              <w:marBottom w:val="0"/>
              <w:divBdr>
                <w:top w:val="none" w:sz="0" w:space="0" w:color="auto"/>
                <w:left w:val="none" w:sz="0" w:space="0" w:color="auto"/>
                <w:bottom w:val="none" w:sz="0" w:space="0" w:color="auto"/>
                <w:right w:val="none" w:sz="0" w:space="0" w:color="auto"/>
              </w:divBdr>
            </w:div>
          </w:divsChild>
        </w:div>
        <w:div w:id="126507222">
          <w:marLeft w:val="0"/>
          <w:marRight w:val="0"/>
          <w:marTop w:val="0"/>
          <w:marBottom w:val="0"/>
          <w:divBdr>
            <w:top w:val="none" w:sz="0" w:space="0" w:color="auto"/>
            <w:left w:val="none" w:sz="0" w:space="0" w:color="auto"/>
            <w:bottom w:val="none" w:sz="0" w:space="0" w:color="auto"/>
            <w:right w:val="none" w:sz="0" w:space="0" w:color="auto"/>
          </w:divBdr>
          <w:divsChild>
            <w:div w:id="1976443920">
              <w:marLeft w:val="0"/>
              <w:marRight w:val="0"/>
              <w:marTop w:val="0"/>
              <w:marBottom w:val="0"/>
              <w:divBdr>
                <w:top w:val="none" w:sz="0" w:space="0" w:color="auto"/>
                <w:left w:val="none" w:sz="0" w:space="0" w:color="auto"/>
                <w:bottom w:val="none" w:sz="0" w:space="0" w:color="auto"/>
                <w:right w:val="none" w:sz="0" w:space="0" w:color="auto"/>
              </w:divBdr>
            </w:div>
          </w:divsChild>
        </w:div>
        <w:div w:id="167138897">
          <w:marLeft w:val="0"/>
          <w:marRight w:val="0"/>
          <w:marTop w:val="0"/>
          <w:marBottom w:val="0"/>
          <w:divBdr>
            <w:top w:val="none" w:sz="0" w:space="0" w:color="auto"/>
            <w:left w:val="none" w:sz="0" w:space="0" w:color="auto"/>
            <w:bottom w:val="none" w:sz="0" w:space="0" w:color="auto"/>
            <w:right w:val="none" w:sz="0" w:space="0" w:color="auto"/>
          </w:divBdr>
          <w:divsChild>
            <w:div w:id="1124469854">
              <w:marLeft w:val="0"/>
              <w:marRight w:val="0"/>
              <w:marTop w:val="0"/>
              <w:marBottom w:val="0"/>
              <w:divBdr>
                <w:top w:val="none" w:sz="0" w:space="0" w:color="auto"/>
                <w:left w:val="none" w:sz="0" w:space="0" w:color="auto"/>
                <w:bottom w:val="none" w:sz="0" w:space="0" w:color="auto"/>
                <w:right w:val="none" w:sz="0" w:space="0" w:color="auto"/>
              </w:divBdr>
            </w:div>
          </w:divsChild>
        </w:div>
        <w:div w:id="181238176">
          <w:marLeft w:val="0"/>
          <w:marRight w:val="0"/>
          <w:marTop w:val="0"/>
          <w:marBottom w:val="0"/>
          <w:divBdr>
            <w:top w:val="none" w:sz="0" w:space="0" w:color="auto"/>
            <w:left w:val="none" w:sz="0" w:space="0" w:color="auto"/>
            <w:bottom w:val="none" w:sz="0" w:space="0" w:color="auto"/>
            <w:right w:val="none" w:sz="0" w:space="0" w:color="auto"/>
          </w:divBdr>
          <w:divsChild>
            <w:div w:id="1702827597">
              <w:marLeft w:val="0"/>
              <w:marRight w:val="0"/>
              <w:marTop w:val="0"/>
              <w:marBottom w:val="0"/>
              <w:divBdr>
                <w:top w:val="none" w:sz="0" w:space="0" w:color="auto"/>
                <w:left w:val="none" w:sz="0" w:space="0" w:color="auto"/>
                <w:bottom w:val="none" w:sz="0" w:space="0" w:color="auto"/>
                <w:right w:val="none" w:sz="0" w:space="0" w:color="auto"/>
              </w:divBdr>
            </w:div>
          </w:divsChild>
        </w:div>
        <w:div w:id="258487599">
          <w:marLeft w:val="0"/>
          <w:marRight w:val="0"/>
          <w:marTop w:val="0"/>
          <w:marBottom w:val="0"/>
          <w:divBdr>
            <w:top w:val="none" w:sz="0" w:space="0" w:color="auto"/>
            <w:left w:val="none" w:sz="0" w:space="0" w:color="auto"/>
            <w:bottom w:val="none" w:sz="0" w:space="0" w:color="auto"/>
            <w:right w:val="none" w:sz="0" w:space="0" w:color="auto"/>
          </w:divBdr>
          <w:divsChild>
            <w:div w:id="1730566941">
              <w:marLeft w:val="0"/>
              <w:marRight w:val="0"/>
              <w:marTop w:val="0"/>
              <w:marBottom w:val="0"/>
              <w:divBdr>
                <w:top w:val="none" w:sz="0" w:space="0" w:color="auto"/>
                <w:left w:val="none" w:sz="0" w:space="0" w:color="auto"/>
                <w:bottom w:val="none" w:sz="0" w:space="0" w:color="auto"/>
                <w:right w:val="none" w:sz="0" w:space="0" w:color="auto"/>
              </w:divBdr>
            </w:div>
          </w:divsChild>
        </w:div>
        <w:div w:id="268466099">
          <w:marLeft w:val="0"/>
          <w:marRight w:val="0"/>
          <w:marTop w:val="0"/>
          <w:marBottom w:val="0"/>
          <w:divBdr>
            <w:top w:val="none" w:sz="0" w:space="0" w:color="auto"/>
            <w:left w:val="none" w:sz="0" w:space="0" w:color="auto"/>
            <w:bottom w:val="none" w:sz="0" w:space="0" w:color="auto"/>
            <w:right w:val="none" w:sz="0" w:space="0" w:color="auto"/>
          </w:divBdr>
          <w:divsChild>
            <w:div w:id="1663120385">
              <w:marLeft w:val="0"/>
              <w:marRight w:val="0"/>
              <w:marTop w:val="0"/>
              <w:marBottom w:val="0"/>
              <w:divBdr>
                <w:top w:val="none" w:sz="0" w:space="0" w:color="auto"/>
                <w:left w:val="none" w:sz="0" w:space="0" w:color="auto"/>
                <w:bottom w:val="none" w:sz="0" w:space="0" w:color="auto"/>
                <w:right w:val="none" w:sz="0" w:space="0" w:color="auto"/>
              </w:divBdr>
            </w:div>
          </w:divsChild>
        </w:div>
        <w:div w:id="293559953">
          <w:marLeft w:val="0"/>
          <w:marRight w:val="0"/>
          <w:marTop w:val="0"/>
          <w:marBottom w:val="0"/>
          <w:divBdr>
            <w:top w:val="none" w:sz="0" w:space="0" w:color="auto"/>
            <w:left w:val="none" w:sz="0" w:space="0" w:color="auto"/>
            <w:bottom w:val="none" w:sz="0" w:space="0" w:color="auto"/>
            <w:right w:val="none" w:sz="0" w:space="0" w:color="auto"/>
          </w:divBdr>
          <w:divsChild>
            <w:div w:id="2009095465">
              <w:marLeft w:val="0"/>
              <w:marRight w:val="0"/>
              <w:marTop w:val="0"/>
              <w:marBottom w:val="0"/>
              <w:divBdr>
                <w:top w:val="none" w:sz="0" w:space="0" w:color="auto"/>
                <w:left w:val="none" w:sz="0" w:space="0" w:color="auto"/>
                <w:bottom w:val="none" w:sz="0" w:space="0" w:color="auto"/>
                <w:right w:val="none" w:sz="0" w:space="0" w:color="auto"/>
              </w:divBdr>
            </w:div>
          </w:divsChild>
        </w:div>
        <w:div w:id="304312512">
          <w:marLeft w:val="0"/>
          <w:marRight w:val="0"/>
          <w:marTop w:val="0"/>
          <w:marBottom w:val="0"/>
          <w:divBdr>
            <w:top w:val="none" w:sz="0" w:space="0" w:color="auto"/>
            <w:left w:val="none" w:sz="0" w:space="0" w:color="auto"/>
            <w:bottom w:val="none" w:sz="0" w:space="0" w:color="auto"/>
            <w:right w:val="none" w:sz="0" w:space="0" w:color="auto"/>
          </w:divBdr>
          <w:divsChild>
            <w:div w:id="1908228888">
              <w:marLeft w:val="0"/>
              <w:marRight w:val="0"/>
              <w:marTop w:val="0"/>
              <w:marBottom w:val="0"/>
              <w:divBdr>
                <w:top w:val="none" w:sz="0" w:space="0" w:color="auto"/>
                <w:left w:val="none" w:sz="0" w:space="0" w:color="auto"/>
                <w:bottom w:val="none" w:sz="0" w:space="0" w:color="auto"/>
                <w:right w:val="none" w:sz="0" w:space="0" w:color="auto"/>
              </w:divBdr>
            </w:div>
          </w:divsChild>
        </w:div>
        <w:div w:id="325935594">
          <w:marLeft w:val="0"/>
          <w:marRight w:val="0"/>
          <w:marTop w:val="0"/>
          <w:marBottom w:val="0"/>
          <w:divBdr>
            <w:top w:val="none" w:sz="0" w:space="0" w:color="auto"/>
            <w:left w:val="none" w:sz="0" w:space="0" w:color="auto"/>
            <w:bottom w:val="none" w:sz="0" w:space="0" w:color="auto"/>
            <w:right w:val="none" w:sz="0" w:space="0" w:color="auto"/>
          </w:divBdr>
          <w:divsChild>
            <w:div w:id="1793472710">
              <w:marLeft w:val="0"/>
              <w:marRight w:val="0"/>
              <w:marTop w:val="0"/>
              <w:marBottom w:val="0"/>
              <w:divBdr>
                <w:top w:val="none" w:sz="0" w:space="0" w:color="auto"/>
                <w:left w:val="none" w:sz="0" w:space="0" w:color="auto"/>
                <w:bottom w:val="none" w:sz="0" w:space="0" w:color="auto"/>
                <w:right w:val="none" w:sz="0" w:space="0" w:color="auto"/>
              </w:divBdr>
            </w:div>
          </w:divsChild>
        </w:div>
        <w:div w:id="337119612">
          <w:marLeft w:val="0"/>
          <w:marRight w:val="0"/>
          <w:marTop w:val="0"/>
          <w:marBottom w:val="0"/>
          <w:divBdr>
            <w:top w:val="none" w:sz="0" w:space="0" w:color="auto"/>
            <w:left w:val="none" w:sz="0" w:space="0" w:color="auto"/>
            <w:bottom w:val="none" w:sz="0" w:space="0" w:color="auto"/>
            <w:right w:val="none" w:sz="0" w:space="0" w:color="auto"/>
          </w:divBdr>
          <w:divsChild>
            <w:div w:id="497578406">
              <w:marLeft w:val="0"/>
              <w:marRight w:val="0"/>
              <w:marTop w:val="0"/>
              <w:marBottom w:val="0"/>
              <w:divBdr>
                <w:top w:val="none" w:sz="0" w:space="0" w:color="auto"/>
                <w:left w:val="none" w:sz="0" w:space="0" w:color="auto"/>
                <w:bottom w:val="none" w:sz="0" w:space="0" w:color="auto"/>
                <w:right w:val="none" w:sz="0" w:space="0" w:color="auto"/>
              </w:divBdr>
            </w:div>
          </w:divsChild>
        </w:div>
        <w:div w:id="361135165">
          <w:marLeft w:val="0"/>
          <w:marRight w:val="0"/>
          <w:marTop w:val="0"/>
          <w:marBottom w:val="0"/>
          <w:divBdr>
            <w:top w:val="none" w:sz="0" w:space="0" w:color="auto"/>
            <w:left w:val="none" w:sz="0" w:space="0" w:color="auto"/>
            <w:bottom w:val="none" w:sz="0" w:space="0" w:color="auto"/>
            <w:right w:val="none" w:sz="0" w:space="0" w:color="auto"/>
          </w:divBdr>
          <w:divsChild>
            <w:div w:id="2055157337">
              <w:marLeft w:val="0"/>
              <w:marRight w:val="0"/>
              <w:marTop w:val="0"/>
              <w:marBottom w:val="0"/>
              <w:divBdr>
                <w:top w:val="none" w:sz="0" w:space="0" w:color="auto"/>
                <w:left w:val="none" w:sz="0" w:space="0" w:color="auto"/>
                <w:bottom w:val="none" w:sz="0" w:space="0" w:color="auto"/>
                <w:right w:val="none" w:sz="0" w:space="0" w:color="auto"/>
              </w:divBdr>
            </w:div>
          </w:divsChild>
        </w:div>
        <w:div w:id="375862313">
          <w:marLeft w:val="0"/>
          <w:marRight w:val="0"/>
          <w:marTop w:val="0"/>
          <w:marBottom w:val="0"/>
          <w:divBdr>
            <w:top w:val="none" w:sz="0" w:space="0" w:color="auto"/>
            <w:left w:val="none" w:sz="0" w:space="0" w:color="auto"/>
            <w:bottom w:val="none" w:sz="0" w:space="0" w:color="auto"/>
            <w:right w:val="none" w:sz="0" w:space="0" w:color="auto"/>
          </w:divBdr>
          <w:divsChild>
            <w:div w:id="1770084666">
              <w:marLeft w:val="0"/>
              <w:marRight w:val="0"/>
              <w:marTop w:val="0"/>
              <w:marBottom w:val="0"/>
              <w:divBdr>
                <w:top w:val="none" w:sz="0" w:space="0" w:color="auto"/>
                <w:left w:val="none" w:sz="0" w:space="0" w:color="auto"/>
                <w:bottom w:val="none" w:sz="0" w:space="0" w:color="auto"/>
                <w:right w:val="none" w:sz="0" w:space="0" w:color="auto"/>
              </w:divBdr>
            </w:div>
          </w:divsChild>
        </w:div>
        <w:div w:id="382294783">
          <w:marLeft w:val="0"/>
          <w:marRight w:val="0"/>
          <w:marTop w:val="0"/>
          <w:marBottom w:val="0"/>
          <w:divBdr>
            <w:top w:val="none" w:sz="0" w:space="0" w:color="auto"/>
            <w:left w:val="none" w:sz="0" w:space="0" w:color="auto"/>
            <w:bottom w:val="none" w:sz="0" w:space="0" w:color="auto"/>
            <w:right w:val="none" w:sz="0" w:space="0" w:color="auto"/>
          </w:divBdr>
          <w:divsChild>
            <w:div w:id="2037002994">
              <w:marLeft w:val="0"/>
              <w:marRight w:val="0"/>
              <w:marTop w:val="0"/>
              <w:marBottom w:val="0"/>
              <w:divBdr>
                <w:top w:val="none" w:sz="0" w:space="0" w:color="auto"/>
                <w:left w:val="none" w:sz="0" w:space="0" w:color="auto"/>
                <w:bottom w:val="none" w:sz="0" w:space="0" w:color="auto"/>
                <w:right w:val="none" w:sz="0" w:space="0" w:color="auto"/>
              </w:divBdr>
            </w:div>
          </w:divsChild>
        </w:div>
        <w:div w:id="424109666">
          <w:marLeft w:val="0"/>
          <w:marRight w:val="0"/>
          <w:marTop w:val="0"/>
          <w:marBottom w:val="0"/>
          <w:divBdr>
            <w:top w:val="none" w:sz="0" w:space="0" w:color="auto"/>
            <w:left w:val="none" w:sz="0" w:space="0" w:color="auto"/>
            <w:bottom w:val="none" w:sz="0" w:space="0" w:color="auto"/>
            <w:right w:val="none" w:sz="0" w:space="0" w:color="auto"/>
          </w:divBdr>
          <w:divsChild>
            <w:div w:id="468524014">
              <w:marLeft w:val="0"/>
              <w:marRight w:val="0"/>
              <w:marTop w:val="0"/>
              <w:marBottom w:val="0"/>
              <w:divBdr>
                <w:top w:val="none" w:sz="0" w:space="0" w:color="auto"/>
                <w:left w:val="none" w:sz="0" w:space="0" w:color="auto"/>
                <w:bottom w:val="none" w:sz="0" w:space="0" w:color="auto"/>
                <w:right w:val="none" w:sz="0" w:space="0" w:color="auto"/>
              </w:divBdr>
            </w:div>
          </w:divsChild>
        </w:div>
        <w:div w:id="459810412">
          <w:marLeft w:val="0"/>
          <w:marRight w:val="0"/>
          <w:marTop w:val="0"/>
          <w:marBottom w:val="0"/>
          <w:divBdr>
            <w:top w:val="none" w:sz="0" w:space="0" w:color="auto"/>
            <w:left w:val="none" w:sz="0" w:space="0" w:color="auto"/>
            <w:bottom w:val="none" w:sz="0" w:space="0" w:color="auto"/>
            <w:right w:val="none" w:sz="0" w:space="0" w:color="auto"/>
          </w:divBdr>
          <w:divsChild>
            <w:div w:id="1751464461">
              <w:marLeft w:val="0"/>
              <w:marRight w:val="0"/>
              <w:marTop w:val="0"/>
              <w:marBottom w:val="0"/>
              <w:divBdr>
                <w:top w:val="none" w:sz="0" w:space="0" w:color="auto"/>
                <w:left w:val="none" w:sz="0" w:space="0" w:color="auto"/>
                <w:bottom w:val="none" w:sz="0" w:space="0" w:color="auto"/>
                <w:right w:val="none" w:sz="0" w:space="0" w:color="auto"/>
              </w:divBdr>
            </w:div>
          </w:divsChild>
        </w:div>
        <w:div w:id="465857768">
          <w:marLeft w:val="0"/>
          <w:marRight w:val="0"/>
          <w:marTop w:val="0"/>
          <w:marBottom w:val="0"/>
          <w:divBdr>
            <w:top w:val="none" w:sz="0" w:space="0" w:color="auto"/>
            <w:left w:val="none" w:sz="0" w:space="0" w:color="auto"/>
            <w:bottom w:val="none" w:sz="0" w:space="0" w:color="auto"/>
            <w:right w:val="none" w:sz="0" w:space="0" w:color="auto"/>
          </w:divBdr>
          <w:divsChild>
            <w:div w:id="1778863517">
              <w:marLeft w:val="0"/>
              <w:marRight w:val="0"/>
              <w:marTop w:val="0"/>
              <w:marBottom w:val="0"/>
              <w:divBdr>
                <w:top w:val="none" w:sz="0" w:space="0" w:color="auto"/>
                <w:left w:val="none" w:sz="0" w:space="0" w:color="auto"/>
                <w:bottom w:val="none" w:sz="0" w:space="0" w:color="auto"/>
                <w:right w:val="none" w:sz="0" w:space="0" w:color="auto"/>
              </w:divBdr>
            </w:div>
          </w:divsChild>
        </w:div>
        <w:div w:id="470175122">
          <w:marLeft w:val="0"/>
          <w:marRight w:val="0"/>
          <w:marTop w:val="0"/>
          <w:marBottom w:val="0"/>
          <w:divBdr>
            <w:top w:val="none" w:sz="0" w:space="0" w:color="auto"/>
            <w:left w:val="none" w:sz="0" w:space="0" w:color="auto"/>
            <w:bottom w:val="none" w:sz="0" w:space="0" w:color="auto"/>
            <w:right w:val="none" w:sz="0" w:space="0" w:color="auto"/>
          </w:divBdr>
          <w:divsChild>
            <w:div w:id="852912393">
              <w:marLeft w:val="0"/>
              <w:marRight w:val="0"/>
              <w:marTop w:val="0"/>
              <w:marBottom w:val="0"/>
              <w:divBdr>
                <w:top w:val="none" w:sz="0" w:space="0" w:color="auto"/>
                <w:left w:val="none" w:sz="0" w:space="0" w:color="auto"/>
                <w:bottom w:val="none" w:sz="0" w:space="0" w:color="auto"/>
                <w:right w:val="none" w:sz="0" w:space="0" w:color="auto"/>
              </w:divBdr>
            </w:div>
          </w:divsChild>
        </w:div>
        <w:div w:id="489449616">
          <w:marLeft w:val="0"/>
          <w:marRight w:val="0"/>
          <w:marTop w:val="0"/>
          <w:marBottom w:val="0"/>
          <w:divBdr>
            <w:top w:val="none" w:sz="0" w:space="0" w:color="auto"/>
            <w:left w:val="none" w:sz="0" w:space="0" w:color="auto"/>
            <w:bottom w:val="none" w:sz="0" w:space="0" w:color="auto"/>
            <w:right w:val="none" w:sz="0" w:space="0" w:color="auto"/>
          </w:divBdr>
          <w:divsChild>
            <w:div w:id="374089605">
              <w:marLeft w:val="0"/>
              <w:marRight w:val="0"/>
              <w:marTop w:val="0"/>
              <w:marBottom w:val="0"/>
              <w:divBdr>
                <w:top w:val="none" w:sz="0" w:space="0" w:color="auto"/>
                <w:left w:val="none" w:sz="0" w:space="0" w:color="auto"/>
                <w:bottom w:val="none" w:sz="0" w:space="0" w:color="auto"/>
                <w:right w:val="none" w:sz="0" w:space="0" w:color="auto"/>
              </w:divBdr>
            </w:div>
          </w:divsChild>
        </w:div>
        <w:div w:id="507214012">
          <w:marLeft w:val="0"/>
          <w:marRight w:val="0"/>
          <w:marTop w:val="0"/>
          <w:marBottom w:val="0"/>
          <w:divBdr>
            <w:top w:val="none" w:sz="0" w:space="0" w:color="auto"/>
            <w:left w:val="none" w:sz="0" w:space="0" w:color="auto"/>
            <w:bottom w:val="none" w:sz="0" w:space="0" w:color="auto"/>
            <w:right w:val="none" w:sz="0" w:space="0" w:color="auto"/>
          </w:divBdr>
          <w:divsChild>
            <w:div w:id="1725566994">
              <w:marLeft w:val="0"/>
              <w:marRight w:val="0"/>
              <w:marTop w:val="0"/>
              <w:marBottom w:val="0"/>
              <w:divBdr>
                <w:top w:val="none" w:sz="0" w:space="0" w:color="auto"/>
                <w:left w:val="none" w:sz="0" w:space="0" w:color="auto"/>
                <w:bottom w:val="none" w:sz="0" w:space="0" w:color="auto"/>
                <w:right w:val="none" w:sz="0" w:space="0" w:color="auto"/>
              </w:divBdr>
            </w:div>
          </w:divsChild>
        </w:div>
        <w:div w:id="532233539">
          <w:marLeft w:val="0"/>
          <w:marRight w:val="0"/>
          <w:marTop w:val="0"/>
          <w:marBottom w:val="0"/>
          <w:divBdr>
            <w:top w:val="none" w:sz="0" w:space="0" w:color="auto"/>
            <w:left w:val="none" w:sz="0" w:space="0" w:color="auto"/>
            <w:bottom w:val="none" w:sz="0" w:space="0" w:color="auto"/>
            <w:right w:val="none" w:sz="0" w:space="0" w:color="auto"/>
          </w:divBdr>
          <w:divsChild>
            <w:div w:id="279920408">
              <w:marLeft w:val="0"/>
              <w:marRight w:val="0"/>
              <w:marTop w:val="0"/>
              <w:marBottom w:val="0"/>
              <w:divBdr>
                <w:top w:val="none" w:sz="0" w:space="0" w:color="auto"/>
                <w:left w:val="none" w:sz="0" w:space="0" w:color="auto"/>
                <w:bottom w:val="none" w:sz="0" w:space="0" w:color="auto"/>
                <w:right w:val="none" w:sz="0" w:space="0" w:color="auto"/>
              </w:divBdr>
            </w:div>
          </w:divsChild>
        </w:div>
        <w:div w:id="540165771">
          <w:marLeft w:val="0"/>
          <w:marRight w:val="0"/>
          <w:marTop w:val="0"/>
          <w:marBottom w:val="0"/>
          <w:divBdr>
            <w:top w:val="none" w:sz="0" w:space="0" w:color="auto"/>
            <w:left w:val="none" w:sz="0" w:space="0" w:color="auto"/>
            <w:bottom w:val="none" w:sz="0" w:space="0" w:color="auto"/>
            <w:right w:val="none" w:sz="0" w:space="0" w:color="auto"/>
          </w:divBdr>
          <w:divsChild>
            <w:div w:id="317197297">
              <w:marLeft w:val="0"/>
              <w:marRight w:val="0"/>
              <w:marTop w:val="0"/>
              <w:marBottom w:val="0"/>
              <w:divBdr>
                <w:top w:val="none" w:sz="0" w:space="0" w:color="auto"/>
                <w:left w:val="none" w:sz="0" w:space="0" w:color="auto"/>
                <w:bottom w:val="none" w:sz="0" w:space="0" w:color="auto"/>
                <w:right w:val="none" w:sz="0" w:space="0" w:color="auto"/>
              </w:divBdr>
            </w:div>
          </w:divsChild>
        </w:div>
        <w:div w:id="561870871">
          <w:marLeft w:val="0"/>
          <w:marRight w:val="0"/>
          <w:marTop w:val="0"/>
          <w:marBottom w:val="0"/>
          <w:divBdr>
            <w:top w:val="none" w:sz="0" w:space="0" w:color="auto"/>
            <w:left w:val="none" w:sz="0" w:space="0" w:color="auto"/>
            <w:bottom w:val="none" w:sz="0" w:space="0" w:color="auto"/>
            <w:right w:val="none" w:sz="0" w:space="0" w:color="auto"/>
          </w:divBdr>
          <w:divsChild>
            <w:div w:id="1922713936">
              <w:marLeft w:val="0"/>
              <w:marRight w:val="0"/>
              <w:marTop w:val="0"/>
              <w:marBottom w:val="0"/>
              <w:divBdr>
                <w:top w:val="none" w:sz="0" w:space="0" w:color="auto"/>
                <w:left w:val="none" w:sz="0" w:space="0" w:color="auto"/>
                <w:bottom w:val="none" w:sz="0" w:space="0" w:color="auto"/>
                <w:right w:val="none" w:sz="0" w:space="0" w:color="auto"/>
              </w:divBdr>
            </w:div>
          </w:divsChild>
        </w:div>
        <w:div w:id="602228162">
          <w:marLeft w:val="0"/>
          <w:marRight w:val="0"/>
          <w:marTop w:val="0"/>
          <w:marBottom w:val="0"/>
          <w:divBdr>
            <w:top w:val="none" w:sz="0" w:space="0" w:color="auto"/>
            <w:left w:val="none" w:sz="0" w:space="0" w:color="auto"/>
            <w:bottom w:val="none" w:sz="0" w:space="0" w:color="auto"/>
            <w:right w:val="none" w:sz="0" w:space="0" w:color="auto"/>
          </w:divBdr>
          <w:divsChild>
            <w:div w:id="1258439342">
              <w:marLeft w:val="0"/>
              <w:marRight w:val="0"/>
              <w:marTop w:val="0"/>
              <w:marBottom w:val="0"/>
              <w:divBdr>
                <w:top w:val="none" w:sz="0" w:space="0" w:color="auto"/>
                <w:left w:val="none" w:sz="0" w:space="0" w:color="auto"/>
                <w:bottom w:val="none" w:sz="0" w:space="0" w:color="auto"/>
                <w:right w:val="none" w:sz="0" w:space="0" w:color="auto"/>
              </w:divBdr>
            </w:div>
          </w:divsChild>
        </w:div>
        <w:div w:id="602686545">
          <w:marLeft w:val="0"/>
          <w:marRight w:val="0"/>
          <w:marTop w:val="0"/>
          <w:marBottom w:val="0"/>
          <w:divBdr>
            <w:top w:val="none" w:sz="0" w:space="0" w:color="auto"/>
            <w:left w:val="none" w:sz="0" w:space="0" w:color="auto"/>
            <w:bottom w:val="none" w:sz="0" w:space="0" w:color="auto"/>
            <w:right w:val="none" w:sz="0" w:space="0" w:color="auto"/>
          </w:divBdr>
          <w:divsChild>
            <w:div w:id="264850481">
              <w:marLeft w:val="0"/>
              <w:marRight w:val="0"/>
              <w:marTop w:val="0"/>
              <w:marBottom w:val="0"/>
              <w:divBdr>
                <w:top w:val="none" w:sz="0" w:space="0" w:color="auto"/>
                <w:left w:val="none" w:sz="0" w:space="0" w:color="auto"/>
                <w:bottom w:val="none" w:sz="0" w:space="0" w:color="auto"/>
                <w:right w:val="none" w:sz="0" w:space="0" w:color="auto"/>
              </w:divBdr>
            </w:div>
          </w:divsChild>
        </w:div>
        <w:div w:id="612902245">
          <w:marLeft w:val="0"/>
          <w:marRight w:val="0"/>
          <w:marTop w:val="0"/>
          <w:marBottom w:val="0"/>
          <w:divBdr>
            <w:top w:val="none" w:sz="0" w:space="0" w:color="auto"/>
            <w:left w:val="none" w:sz="0" w:space="0" w:color="auto"/>
            <w:bottom w:val="none" w:sz="0" w:space="0" w:color="auto"/>
            <w:right w:val="none" w:sz="0" w:space="0" w:color="auto"/>
          </w:divBdr>
          <w:divsChild>
            <w:div w:id="423233340">
              <w:marLeft w:val="0"/>
              <w:marRight w:val="0"/>
              <w:marTop w:val="0"/>
              <w:marBottom w:val="0"/>
              <w:divBdr>
                <w:top w:val="none" w:sz="0" w:space="0" w:color="auto"/>
                <w:left w:val="none" w:sz="0" w:space="0" w:color="auto"/>
                <w:bottom w:val="none" w:sz="0" w:space="0" w:color="auto"/>
                <w:right w:val="none" w:sz="0" w:space="0" w:color="auto"/>
              </w:divBdr>
            </w:div>
          </w:divsChild>
        </w:div>
        <w:div w:id="613901711">
          <w:marLeft w:val="0"/>
          <w:marRight w:val="0"/>
          <w:marTop w:val="0"/>
          <w:marBottom w:val="0"/>
          <w:divBdr>
            <w:top w:val="none" w:sz="0" w:space="0" w:color="auto"/>
            <w:left w:val="none" w:sz="0" w:space="0" w:color="auto"/>
            <w:bottom w:val="none" w:sz="0" w:space="0" w:color="auto"/>
            <w:right w:val="none" w:sz="0" w:space="0" w:color="auto"/>
          </w:divBdr>
          <w:divsChild>
            <w:div w:id="1850749880">
              <w:marLeft w:val="0"/>
              <w:marRight w:val="0"/>
              <w:marTop w:val="0"/>
              <w:marBottom w:val="0"/>
              <w:divBdr>
                <w:top w:val="none" w:sz="0" w:space="0" w:color="auto"/>
                <w:left w:val="none" w:sz="0" w:space="0" w:color="auto"/>
                <w:bottom w:val="none" w:sz="0" w:space="0" w:color="auto"/>
                <w:right w:val="none" w:sz="0" w:space="0" w:color="auto"/>
              </w:divBdr>
            </w:div>
          </w:divsChild>
        </w:div>
        <w:div w:id="640815331">
          <w:marLeft w:val="0"/>
          <w:marRight w:val="0"/>
          <w:marTop w:val="0"/>
          <w:marBottom w:val="0"/>
          <w:divBdr>
            <w:top w:val="none" w:sz="0" w:space="0" w:color="auto"/>
            <w:left w:val="none" w:sz="0" w:space="0" w:color="auto"/>
            <w:bottom w:val="none" w:sz="0" w:space="0" w:color="auto"/>
            <w:right w:val="none" w:sz="0" w:space="0" w:color="auto"/>
          </w:divBdr>
          <w:divsChild>
            <w:div w:id="938562106">
              <w:marLeft w:val="0"/>
              <w:marRight w:val="0"/>
              <w:marTop w:val="0"/>
              <w:marBottom w:val="0"/>
              <w:divBdr>
                <w:top w:val="none" w:sz="0" w:space="0" w:color="auto"/>
                <w:left w:val="none" w:sz="0" w:space="0" w:color="auto"/>
                <w:bottom w:val="none" w:sz="0" w:space="0" w:color="auto"/>
                <w:right w:val="none" w:sz="0" w:space="0" w:color="auto"/>
              </w:divBdr>
            </w:div>
          </w:divsChild>
        </w:div>
        <w:div w:id="669018577">
          <w:marLeft w:val="0"/>
          <w:marRight w:val="0"/>
          <w:marTop w:val="0"/>
          <w:marBottom w:val="0"/>
          <w:divBdr>
            <w:top w:val="none" w:sz="0" w:space="0" w:color="auto"/>
            <w:left w:val="none" w:sz="0" w:space="0" w:color="auto"/>
            <w:bottom w:val="none" w:sz="0" w:space="0" w:color="auto"/>
            <w:right w:val="none" w:sz="0" w:space="0" w:color="auto"/>
          </w:divBdr>
          <w:divsChild>
            <w:div w:id="1971201848">
              <w:marLeft w:val="0"/>
              <w:marRight w:val="0"/>
              <w:marTop w:val="0"/>
              <w:marBottom w:val="0"/>
              <w:divBdr>
                <w:top w:val="none" w:sz="0" w:space="0" w:color="auto"/>
                <w:left w:val="none" w:sz="0" w:space="0" w:color="auto"/>
                <w:bottom w:val="none" w:sz="0" w:space="0" w:color="auto"/>
                <w:right w:val="none" w:sz="0" w:space="0" w:color="auto"/>
              </w:divBdr>
            </w:div>
          </w:divsChild>
        </w:div>
        <w:div w:id="674963572">
          <w:marLeft w:val="0"/>
          <w:marRight w:val="0"/>
          <w:marTop w:val="0"/>
          <w:marBottom w:val="0"/>
          <w:divBdr>
            <w:top w:val="none" w:sz="0" w:space="0" w:color="auto"/>
            <w:left w:val="none" w:sz="0" w:space="0" w:color="auto"/>
            <w:bottom w:val="none" w:sz="0" w:space="0" w:color="auto"/>
            <w:right w:val="none" w:sz="0" w:space="0" w:color="auto"/>
          </w:divBdr>
          <w:divsChild>
            <w:div w:id="2106342629">
              <w:marLeft w:val="0"/>
              <w:marRight w:val="0"/>
              <w:marTop w:val="0"/>
              <w:marBottom w:val="0"/>
              <w:divBdr>
                <w:top w:val="none" w:sz="0" w:space="0" w:color="auto"/>
                <w:left w:val="none" w:sz="0" w:space="0" w:color="auto"/>
                <w:bottom w:val="none" w:sz="0" w:space="0" w:color="auto"/>
                <w:right w:val="none" w:sz="0" w:space="0" w:color="auto"/>
              </w:divBdr>
            </w:div>
          </w:divsChild>
        </w:div>
        <w:div w:id="718280558">
          <w:marLeft w:val="0"/>
          <w:marRight w:val="0"/>
          <w:marTop w:val="0"/>
          <w:marBottom w:val="0"/>
          <w:divBdr>
            <w:top w:val="none" w:sz="0" w:space="0" w:color="auto"/>
            <w:left w:val="none" w:sz="0" w:space="0" w:color="auto"/>
            <w:bottom w:val="none" w:sz="0" w:space="0" w:color="auto"/>
            <w:right w:val="none" w:sz="0" w:space="0" w:color="auto"/>
          </w:divBdr>
          <w:divsChild>
            <w:div w:id="2090155771">
              <w:marLeft w:val="0"/>
              <w:marRight w:val="0"/>
              <w:marTop w:val="0"/>
              <w:marBottom w:val="0"/>
              <w:divBdr>
                <w:top w:val="none" w:sz="0" w:space="0" w:color="auto"/>
                <w:left w:val="none" w:sz="0" w:space="0" w:color="auto"/>
                <w:bottom w:val="none" w:sz="0" w:space="0" w:color="auto"/>
                <w:right w:val="none" w:sz="0" w:space="0" w:color="auto"/>
              </w:divBdr>
            </w:div>
          </w:divsChild>
        </w:div>
        <w:div w:id="748233774">
          <w:marLeft w:val="0"/>
          <w:marRight w:val="0"/>
          <w:marTop w:val="0"/>
          <w:marBottom w:val="0"/>
          <w:divBdr>
            <w:top w:val="none" w:sz="0" w:space="0" w:color="auto"/>
            <w:left w:val="none" w:sz="0" w:space="0" w:color="auto"/>
            <w:bottom w:val="none" w:sz="0" w:space="0" w:color="auto"/>
            <w:right w:val="none" w:sz="0" w:space="0" w:color="auto"/>
          </w:divBdr>
          <w:divsChild>
            <w:div w:id="1220096662">
              <w:marLeft w:val="0"/>
              <w:marRight w:val="0"/>
              <w:marTop w:val="0"/>
              <w:marBottom w:val="0"/>
              <w:divBdr>
                <w:top w:val="none" w:sz="0" w:space="0" w:color="auto"/>
                <w:left w:val="none" w:sz="0" w:space="0" w:color="auto"/>
                <w:bottom w:val="none" w:sz="0" w:space="0" w:color="auto"/>
                <w:right w:val="none" w:sz="0" w:space="0" w:color="auto"/>
              </w:divBdr>
            </w:div>
          </w:divsChild>
        </w:div>
        <w:div w:id="773090146">
          <w:marLeft w:val="0"/>
          <w:marRight w:val="0"/>
          <w:marTop w:val="0"/>
          <w:marBottom w:val="0"/>
          <w:divBdr>
            <w:top w:val="none" w:sz="0" w:space="0" w:color="auto"/>
            <w:left w:val="none" w:sz="0" w:space="0" w:color="auto"/>
            <w:bottom w:val="none" w:sz="0" w:space="0" w:color="auto"/>
            <w:right w:val="none" w:sz="0" w:space="0" w:color="auto"/>
          </w:divBdr>
          <w:divsChild>
            <w:div w:id="88812822">
              <w:marLeft w:val="0"/>
              <w:marRight w:val="0"/>
              <w:marTop w:val="0"/>
              <w:marBottom w:val="0"/>
              <w:divBdr>
                <w:top w:val="none" w:sz="0" w:space="0" w:color="auto"/>
                <w:left w:val="none" w:sz="0" w:space="0" w:color="auto"/>
                <w:bottom w:val="none" w:sz="0" w:space="0" w:color="auto"/>
                <w:right w:val="none" w:sz="0" w:space="0" w:color="auto"/>
              </w:divBdr>
            </w:div>
          </w:divsChild>
        </w:div>
        <w:div w:id="798689385">
          <w:marLeft w:val="0"/>
          <w:marRight w:val="0"/>
          <w:marTop w:val="0"/>
          <w:marBottom w:val="0"/>
          <w:divBdr>
            <w:top w:val="none" w:sz="0" w:space="0" w:color="auto"/>
            <w:left w:val="none" w:sz="0" w:space="0" w:color="auto"/>
            <w:bottom w:val="none" w:sz="0" w:space="0" w:color="auto"/>
            <w:right w:val="none" w:sz="0" w:space="0" w:color="auto"/>
          </w:divBdr>
          <w:divsChild>
            <w:div w:id="1379552713">
              <w:marLeft w:val="0"/>
              <w:marRight w:val="0"/>
              <w:marTop w:val="0"/>
              <w:marBottom w:val="0"/>
              <w:divBdr>
                <w:top w:val="none" w:sz="0" w:space="0" w:color="auto"/>
                <w:left w:val="none" w:sz="0" w:space="0" w:color="auto"/>
                <w:bottom w:val="none" w:sz="0" w:space="0" w:color="auto"/>
                <w:right w:val="none" w:sz="0" w:space="0" w:color="auto"/>
              </w:divBdr>
            </w:div>
          </w:divsChild>
        </w:div>
        <w:div w:id="809784695">
          <w:marLeft w:val="0"/>
          <w:marRight w:val="0"/>
          <w:marTop w:val="0"/>
          <w:marBottom w:val="0"/>
          <w:divBdr>
            <w:top w:val="none" w:sz="0" w:space="0" w:color="auto"/>
            <w:left w:val="none" w:sz="0" w:space="0" w:color="auto"/>
            <w:bottom w:val="none" w:sz="0" w:space="0" w:color="auto"/>
            <w:right w:val="none" w:sz="0" w:space="0" w:color="auto"/>
          </w:divBdr>
          <w:divsChild>
            <w:div w:id="1171261301">
              <w:marLeft w:val="0"/>
              <w:marRight w:val="0"/>
              <w:marTop w:val="0"/>
              <w:marBottom w:val="0"/>
              <w:divBdr>
                <w:top w:val="none" w:sz="0" w:space="0" w:color="auto"/>
                <w:left w:val="none" w:sz="0" w:space="0" w:color="auto"/>
                <w:bottom w:val="none" w:sz="0" w:space="0" w:color="auto"/>
                <w:right w:val="none" w:sz="0" w:space="0" w:color="auto"/>
              </w:divBdr>
            </w:div>
          </w:divsChild>
        </w:div>
        <w:div w:id="835152740">
          <w:marLeft w:val="0"/>
          <w:marRight w:val="0"/>
          <w:marTop w:val="0"/>
          <w:marBottom w:val="0"/>
          <w:divBdr>
            <w:top w:val="none" w:sz="0" w:space="0" w:color="auto"/>
            <w:left w:val="none" w:sz="0" w:space="0" w:color="auto"/>
            <w:bottom w:val="none" w:sz="0" w:space="0" w:color="auto"/>
            <w:right w:val="none" w:sz="0" w:space="0" w:color="auto"/>
          </w:divBdr>
          <w:divsChild>
            <w:div w:id="30301926">
              <w:marLeft w:val="0"/>
              <w:marRight w:val="0"/>
              <w:marTop w:val="0"/>
              <w:marBottom w:val="0"/>
              <w:divBdr>
                <w:top w:val="none" w:sz="0" w:space="0" w:color="auto"/>
                <w:left w:val="none" w:sz="0" w:space="0" w:color="auto"/>
                <w:bottom w:val="none" w:sz="0" w:space="0" w:color="auto"/>
                <w:right w:val="none" w:sz="0" w:space="0" w:color="auto"/>
              </w:divBdr>
            </w:div>
          </w:divsChild>
        </w:div>
        <w:div w:id="853038288">
          <w:marLeft w:val="0"/>
          <w:marRight w:val="0"/>
          <w:marTop w:val="0"/>
          <w:marBottom w:val="0"/>
          <w:divBdr>
            <w:top w:val="none" w:sz="0" w:space="0" w:color="auto"/>
            <w:left w:val="none" w:sz="0" w:space="0" w:color="auto"/>
            <w:bottom w:val="none" w:sz="0" w:space="0" w:color="auto"/>
            <w:right w:val="none" w:sz="0" w:space="0" w:color="auto"/>
          </w:divBdr>
          <w:divsChild>
            <w:div w:id="778842824">
              <w:marLeft w:val="0"/>
              <w:marRight w:val="0"/>
              <w:marTop w:val="0"/>
              <w:marBottom w:val="0"/>
              <w:divBdr>
                <w:top w:val="none" w:sz="0" w:space="0" w:color="auto"/>
                <w:left w:val="none" w:sz="0" w:space="0" w:color="auto"/>
                <w:bottom w:val="none" w:sz="0" w:space="0" w:color="auto"/>
                <w:right w:val="none" w:sz="0" w:space="0" w:color="auto"/>
              </w:divBdr>
            </w:div>
          </w:divsChild>
        </w:div>
        <w:div w:id="869298860">
          <w:marLeft w:val="0"/>
          <w:marRight w:val="0"/>
          <w:marTop w:val="0"/>
          <w:marBottom w:val="0"/>
          <w:divBdr>
            <w:top w:val="none" w:sz="0" w:space="0" w:color="auto"/>
            <w:left w:val="none" w:sz="0" w:space="0" w:color="auto"/>
            <w:bottom w:val="none" w:sz="0" w:space="0" w:color="auto"/>
            <w:right w:val="none" w:sz="0" w:space="0" w:color="auto"/>
          </w:divBdr>
          <w:divsChild>
            <w:div w:id="222176029">
              <w:marLeft w:val="0"/>
              <w:marRight w:val="0"/>
              <w:marTop w:val="0"/>
              <w:marBottom w:val="0"/>
              <w:divBdr>
                <w:top w:val="none" w:sz="0" w:space="0" w:color="auto"/>
                <w:left w:val="none" w:sz="0" w:space="0" w:color="auto"/>
                <w:bottom w:val="none" w:sz="0" w:space="0" w:color="auto"/>
                <w:right w:val="none" w:sz="0" w:space="0" w:color="auto"/>
              </w:divBdr>
            </w:div>
          </w:divsChild>
        </w:div>
        <w:div w:id="895894069">
          <w:marLeft w:val="0"/>
          <w:marRight w:val="0"/>
          <w:marTop w:val="0"/>
          <w:marBottom w:val="0"/>
          <w:divBdr>
            <w:top w:val="none" w:sz="0" w:space="0" w:color="auto"/>
            <w:left w:val="none" w:sz="0" w:space="0" w:color="auto"/>
            <w:bottom w:val="none" w:sz="0" w:space="0" w:color="auto"/>
            <w:right w:val="none" w:sz="0" w:space="0" w:color="auto"/>
          </w:divBdr>
          <w:divsChild>
            <w:div w:id="51974787">
              <w:marLeft w:val="0"/>
              <w:marRight w:val="0"/>
              <w:marTop w:val="0"/>
              <w:marBottom w:val="0"/>
              <w:divBdr>
                <w:top w:val="none" w:sz="0" w:space="0" w:color="auto"/>
                <w:left w:val="none" w:sz="0" w:space="0" w:color="auto"/>
                <w:bottom w:val="none" w:sz="0" w:space="0" w:color="auto"/>
                <w:right w:val="none" w:sz="0" w:space="0" w:color="auto"/>
              </w:divBdr>
            </w:div>
          </w:divsChild>
        </w:div>
        <w:div w:id="930158265">
          <w:marLeft w:val="0"/>
          <w:marRight w:val="0"/>
          <w:marTop w:val="0"/>
          <w:marBottom w:val="0"/>
          <w:divBdr>
            <w:top w:val="none" w:sz="0" w:space="0" w:color="auto"/>
            <w:left w:val="none" w:sz="0" w:space="0" w:color="auto"/>
            <w:bottom w:val="none" w:sz="0" w:space="0" w:color="auto"/>
            <w:right w:val="none" w:sz="0" w:space="0" w:color="auto"/>
          </w:divBdr>
          <w:divsChild>
            <w:div w:id="621156161">
              <w:marLeft w:val="0"/>
              <w:marRight w:val="0"/>
              <w:marTop w:val="0"/>
              <w:marBottom w:val="0"/>
              <w:divBdr>
                <w:top w:val="none" w:sz="0" w:space="0" w:color="auto"/>
                <w:left w:val="none" w:sz="0" w:space="0" w:color="auto"/>
                <w:bottom w:val="none" w:sz="0" w:space="0" w:color="auto"/>
                <w:right w:val="none" w:sz="0" w:space="0" w:color="auto"/>
              </w:divBdr>
            </w:div>
          </w:divsChild>
        </w:div>
        <w:div w:id="959455561">
          <w:marLeft w:val="0"/>
          <w:marRight w:val="0"/>
          <w:marTop w:val="0"/>
          <w:marBottom w:val="0"/>
          <w:divBdr>
            <w:top w:val="none" w:sz="0" w:space="0" w:color="auto"/>
            <w:left w:val="none" w:sz="0" w:space="0" w:color="auto"/>
            <w:bottom w:val="none" w:sz="0" w:space="0" w:color="auto"/>
            <w:right w:val="none" w:sz="0" w:space="0" w:color="auto"/>
          </w:divBdr>
          <w:divsChild>
            <w:div w:id="226037903">
              <w:marLeft w:val="0"/>
              <w:marRight w:val="0"/>
              <w:marTop w:val="0"/>
              <w:marBottom w:val="0"/>
              <w:divBdr>
                <w:top w:val="none" w:sz="0" w:space="0" w:color="auto"/>
                <w:left w:val="none" w:sz="0" w:space="0" w:color="auto"/>
                <w:bottom w:val="none" w:sz="0" w:space="0" w:color="auto"/>
                <w:right w:val="none" w:sz="0" w:space="0" w:color="auto"/>
              </w:divBdr>
            </w:div>
          </w:divsChild>
        </w:div>
        <w:div w:id="971598285">
          <w:marLeft w:val="0"/>
          <w:marRight w:val="0"/>
          <w:marTop w:val="0"/>
          <w:marBottom w:val="0"/>
          <w:divBdr>
            <w:top w:val="none" w:sz="0" w:space="0" w:color="auto"/>
            <w:left w:val="none" w:sz="0" w:space="0" w:color="auto"/>
            <w:bottom w:val="none" w:sz="0" w:space="0" w:color="auto"/>
            <w:right w:val="none" w:sz="0" w:space="0" w:color="auto"/>
          </w:divBdr>
          <w:divsChild>
            <w:div w:id="1183520237">
              <w:marLeft w:val="0"/>
              <w:marRight w:val="0"/>
              <w:marTop w:val="0"/>
              <w:marBottom w:val="0"/>
              <w:divBdr>
                <w:top w:val="none" w:sz="0" w:space="0" w:color="auto"/>
                <w:left w:val="none" w:sz="0" w:space="0" w:color="auto"/>
                <w:bottom w:val="none" w:sz="0" w:space="0" w:color="auto"/>
                <w:right w:val="none" w:sz="0" w:space="0" w:color="auto"/>
              </w:divBdr>
            </w:div>
          </w:divsChild>
        </w:div>
        <w:div w:id="984510880">
          <w:marLeft w:val="0"/>
          <w:marRight w:val="0"/>
          <w:marTop w:val="0"/>
          <w:marBottom w:val="0"/>
          <w:divBdr>
            <w:top w:val="none" w:sz="0" w:space="0" w:color="auto"/>
            <w:left w:val="none" w:sz="0" w:space="0" w:color="auto"/>
            <w:bottom w:val="none" w:sz="0" w:space="0" w:color="auto"/>
            <w:right w:val="none" w:sz="0" w:space="0" w:color="auto"/>
          </w:divBdr>
          <w:divsChild>
            <w:div w:id="192891851">
              <w:marLeft w:val="0"/>
              <w:marRight w:val="0"/>
              <w:marTop w:val="0"/>
              <w:marBottom w:val="0"/>
              <w:divBdr>
                <w:top w:val="none" w:sz="0" w:space="0" w:color="auto"/>
                <w:left w:val="none" w:sz="0" w:space="0" w:color="auto"/>
                <w:bottom w:val="none" w:sz="0" w:space="0" w:color="auto"/>
                <w:right w:val="none" w:sz="0" w:space="0" w:color="auto"/>
              </w:divBdr>
            </w:div>
          </w:divsChild>
        </w:div>
        <w:div w:id="987630884">
          <w:marLeft w:val="0"/>
          <w:marRight w:val="0"/>
          <w:marTop w:val="0"/>
          <w:marBottom w:val="0"/>
          <w:divBdr>
            <w:top w:val="none" w:sz="0" w:space="0" w:color="auto"/>
            <w:left w:val="none" w:sz="0" w:space="0" w:color="auto"/>
            <w:bottom w:val="none" w:sz="0" w:space="0" w:color="auto"/>
            <w:right w:val="none" w:sz="0" w:space="0" w:color="auto"/>
          </w:divBdr>
          <w:divsChild>
            <w:div w:id="1513226748">
              <w:marLeft w:val="0"/>
              <w:marRight w:val="0"/>
              <w:marTop w:val="0"/>
              <w:marBottom w:val="0"/>
              <w:divBdr>
                <w:top w:val="none" w:sz="0" w:space="0" w:color="auto"/>
                <w:left w:val="none" w:sz="0" w:space="0" w:color="auto"/>
                <w:bottom w:val="none" w:sz="0" w:space="0" w:color="auto"/>
                <w:right w:val="none" w:sz="0" w:space="0" w:color="auto"/>
              </w:divBdr>
            </w:div>
          </w:divsChild>
        </w:div>
        <w:div w:id="1002857624">
          <w:marLeft w:val="0"/>
          <w:marRight w:val="0"/>
          <w:marTop w:val="0"/>
          <w:marBottom w:val="0"/>
          <w:divBdr>
            <w:top w:val="none" w:sz="0" w:space="0" w:color="auto"/>
            <w:left w:val="none" w:sz="0" w:space="0" w:color="auto"/>
            <w:bottom w:val="none" w:sz="0" w:space="0" w:color="auto"/>
            <w:right w:val="none" w:sz="0" w:space="0" w:color="auto"/>
          </w:divBdr>
          <w:divsChild>
            <w:div w:id="1009024290">
              <w:marLeft w:val="0"/>
              <w:marRight w:val="0"/>
              <w:marTop w:val="0"/>
              <w:marBottom w:val="0"/>
              <w:divBdr>
                <w:top w:val="none" w:sz="0" w:space="0" w:color="auto"/>
                <w:left w:val="none" w:sz="0" w:space="0" w:color="auto"/>
                <w:bottom w:val="none" w:sz="0" w:space="0" w:color="auto"/>
                <w:right w:val="none" w:sz="0" w:space="0" w:color="auto"/>
              </w:divBdr>
            </w:div>
          </w:divsChild>
        </w:div>
        <w:div w:id="1019308967">
          <w:marLeft w:val="0"/>
          <w:marRight w:val="0"/>
          <w:marTop w:val="0"/>
          <w:marBottom w:val="0"/>
          <w:divBdr>
            <w:top w:val="none" w:sz="0" w:space="0" w:color="auto"/>
            <w:left w:val="none" w:sz="0" w:space="0" w:color="auto"/>
            <w:bottom w:val="none" w:sz="0" w:space="0" w:color="auto"/>
            <w:right w:val="none" w:sz="0" w:space="0" w:color="auto"/>
          </w:divBdr>
          <w:divsChild>
            <w:div w:id="1194269332">
              <w:marLeft w:val="0"/>
              <w:marRight w:val="0"/>
              <w:marTop w:val="0"/>
              <w:marBottom w:val="0"/>
              <w:divBdr>
                <w:top w:val="none" w:sz="0" w:space="0" w:color="auto"/>
                <w:left w:val="none" w:sz="0" w:space="0" w:color="auto"/>
                <w:bottom w:val="none" w:sz="0" w:space="0" w:color="auto"/>
                <w:right w:val="none" w:sz="0" w:space="0" w:color="auto"/>
              </w:divBdr>
            </w:div>
          </w:divsChild>
        </w:div>
        <w:div w:id="1022902986">
          <w:marLeft w:val="0"/>
          <w:marRight w:val="0"/>
          <w:marTop w:val="0"/>
          <w:marBottom w:val="0"/>
          <w:divBdr>
            <w:top w:val="none" w:sz="0" w:space="0" w:color="auto"/>
            <w:left w:val="none" w:sz="0" w:space="0" w:color="auto"/>
            <w:bottom w:val="none" w:sz="0" w:space="0" w:color="auto"/>
            <w:right w:val="none" w:sz="0" w:space="0" w:color="auto"/>
          </w:divBdr>
          <w:divsChild>
            <w:div w:id="1801535961">
              <w:marLeft w:val="0"/>
              <w:marRight w:val="0"/>
              <w:marTop w:val="0"/>
              <w:marBottom w:val="0"/>
              <w:divBdr>
                <w:top w:val="none" w:sz="0" w:space="0" w:color="auto"/>
                <w:left w:val="none" w:sz="0" w:space="0" w:color="auto"/>
                <w:bottom w:val="none" w:sz="0" w:space="0" w:color="auto"/>
                <w:right w:val="none" w:sz="0" w:space="0" w:color="auto"/>
              </w:divBdr>
            </w:div>
          </w:divsChild>
        </w:div>
        <w:div w:id="1026367499">
          <w:marLeft w:val="0"/>
          <w:marRight w:val="0"/>
          <w:marTop w:val="0"/>
          <w:marBottom w:val="0"/>
          <w:divBdr>
            <w:top w:val="none" w:sz="0" w:space="0" w:color="auto"/>
            <w:left w:val="none" w:sz="0" w:space="0" w:color="auto"/>
            <w:bottom w:val="none" w:sz="0" w:space="0" w:color="auto"/>
            <w:right w:val="none" w:sz="0" w:space="0" w:color="auto"/>
          </w:divBdr>
          <w:divsChild>
            <w:div w:id="1229851563">
              <w:marLeft w:val="0"/>
              <w:marRight w:val="0"/>
              <w:marTop w:val="0"/>
              <w:marBottom w:val="0"/>
              <w:divBdr>
                <w:top w:val="none" w:sz="0" w:space="0" w:color="auto"/>
                <w:left w:val="none" w:sz="0" w:space="0" w:color="auto"/>
                <w:bottom w:val="none" w:sz="0" w:space="0" w:color="auto"/>
                <w:right w:val="none" w:sz="0" w:space="0" w:color="auto"/>
              </w:divBdr>
            </w:div>
          </w:divsChild>
        </w:div>
        <w:div w:id="1049720755">
          <w:marLeft w:val="0"/>
          <w:marRight w:val="0"/>
          <w:marTop w:val="0"/>
          <w:marBottom w:val="0"/>
          <w:divBdr>
            <w:top w:val="none" w:sz="0" w:space="0" w:color="auto"/>
            <w:left w:val="none" w:sz="0" w:space="0" w:color="auto"/>
            <w:bottom w:val="none" w:sz="0" w:space="0" w:color="auto"/>
            <w:right w:val="none" w:sz="0" w:space="0" w:color="auto"/>
          </w:divBdr>
          <w:divsChild>
            <w:div w:id="1596816204">
              <w:marLeft w:val="0"/>
              <w:marRight w:val="0"/>
              <w:marTop w:val="0"/>
              <w:marBottom w:val="0"/>
              <w:divBdr>
                <w:top w:val="none" w:sz="0" w:space="0" w:color="auto"/>
                <w:left w:val="none" w:sz="0" w:space="0" w:color="auto"/>
                <w:bottom w:val="none" w:sz="0" w:space="0" w:color="auto"/>
                <w:right w:val="none" w:sz="0" w:space="0" w:color="auto"/>
              </w:divBdr>
            </w:div>
          </w:divsChild>
        </w:div>
        <w:div w:id="1056465034">
          <w:marLeft w:val="0"/>
          <w:marRight w:val="0"/>
          <w:marTop w:val="0"/>
          <w:marBottom w:val="0"/>
          <w:divBdr>
            <w:top w:val="none" w:sz="0" w:space="0" w:color="auto"/>
            <w:left w:val="none" w:sz="0" w:space="0" w:color="auto"/>
            <w:bottom w:val="none" w:sz="0" w:space="0" w:color="auto"/>
            <w:right w:val="none" w:sz="0" w:space="0" w:color="auto"/>
          </w:divBdr>
          <w:divsChild>
            <w:div w:id="132405236">
              <w:marLeft w:val="0"/>
              <w:marRight w:val="0"/>
              <w:marTop w:val="0"/>
              <w:marBottom w:val="0"/>
              <w:divBdr>
                <w:top w:val="none" w:sz="0" w:space="0" w:color="auto"/>
                <w:left w:val="none" w:sz="0" w:space="0" w:color="auto"/>
                <w:bottom w:val="none" w:sz="0" w:space="0" w:color="auto"/>
                <w:right w:val="none" w:sz="0" w:space="0" w:color="auto"/>
              </w:divBdr>
            </w:div>
          </w:divsChild>
        </w:div>
        <w:div w:id="1072387101">
          <w:marLeft w:val="0"/>
          <w:marRight w:val="0"/>
          <w:marTop w:val="0"/>
          <w:marBottom w:val="0"/>
          <w:divBdr>
            <w:top w:val="none" w:sz="0" w:space="0" w:color="auto"/>
            <w:left w:val="none" w:sz="0" w:space="0" w:color="auto"/>
            <w:bottom w:val="none" w:sz="0" w:space="0" w:color="auto"/>
            <w:right w:val="none" w:sz="0" w:space="0" w:color="auto"/>
          </w:divBdr>
          <w:divsChild>
            <w:div w:id="793327051">
              <w:marLeft w:val="0"/>
              <w:marRight w:val="0"/>
              <w:marTop w:val="0"/>
              <w:marBottom w:val="0"/>
              <w:divBdr>
                <w:top w:val="none" w:sz="0" w:space="0" w:color="auto"/>
                <w:left w:val="none" w:sz="0" w:space="0" w:color="auto"/>
                <w:bottom w:val="none" w:sz="0" w:space="0" w:color="auto"/>
                <w:right w:val="none" w:sz="0" w:space="0" w:color="auto"/>
              </w:divBdr>
            </w:div>
          </w:divsChild>
        </w:div>
        <w:div w:id="1072705218">
          <w:marLeft w:val="0"/>
          <w:marRight w:val="0"/>
          <w:marTop w:val="0"/>
          <w:marBottom w:val="0"/>
          <w:divBdr>
            <w:top w:val="none" w:sz="0" w:space="0" w:color="auto"/>
            <w:left w:val="none" w:sz="0" w:space="0" w:color="auto"/>
            <w:bottom w:val="none" w:sz="0" w:space="0" w:color="auto"/>
            <w:right w:val="none" w:sz="0" w:space="0" w:color="auto"/>
          </w:divBdr>
          <w:divsChild>
            <w:div w:id="870607974">
              <w:marLeft w:val="0"/>
              <w:marRight w:val="0"/>
              <w:marTop w:val="0"/>
              <w:marBottom w:val="0"/>
              <w:divBdr>
                <w:top w:val="none" w:sz="0" w:space="0" w:color="auto"/>
                <w:left w:val="none" w:sz="0" w:space="0" w:color="auto"/>
                <w:bottom w:val="none" w:sz="0" w:space="0" w:color="auto"/>
                <w:right w:val="none" w:sz="0" w:space="0" w:color="auto"/>
              </w:divBdr>
            </w:div>
          </w:divsChild>
        </w:div>
        <w:div w:id="1109620991">
          <w:marLeft w:val="0"/>
          <w:marRight w:val="0"/>
          <w:marTop w:val="0"/>
          <w:marBottom w:val="0"/>
          <w:divBdr>
            <w:top w:val="none" w:sz="0" w:space="0" w:color="auto"/>
            <w:left w:val="none" w:sz="0" w:space="0" w:color="auto"/>
            <w:bottom w:val="none" w:sz="0" w:space="0" w:color="auto"/>
            <w:right w:val="none" w:sz="0" w:space="0" w:color="auto"/>
          </w:divBdr>
          <w:divsChild>
            <w:div w:id="849374741">
              <w:marLeft w:val="0"/>
              <w:marRight w:val="0"/>
              <w:marTop w:val="0"/>
              <w:marBottom w:val="0"/>
              <w:divBdr>
                <w:top w:val="none" w:sz="0" w:space="0" w:color="auto"/>
                <w:left w:val="none" w:sz="0" w:space="0" w:color="auto"/>
                <w:bottom w:val="none" w:sz="0" w:space="0" w:color="auto"/>
                <w:right w:val="none" w:sz="0" w:space="0" w:color="auto"/>
              </w:divBdr>
            </w:div>
          </w:divsChild>
        </w:div>
        <w:div w:id="1140002505">
          <w:marLeft w:val="0"/>
          <w:marRight w:val="0"/>
          <w:marTop w:val="0"/>
          <w:marBottom w:val="0"/>
          <w:divBdr>
            <w:top w:val="none" w:sz="0" w:space="0" w:color="auto"/>
            <w:left w:val="none" w:sz="0" w:space="0" w:color="auto"/>
            <w:bottom w:val="none" w:sz="0" w:space="0" w:color="auto"/>
            <w:right w:val="none" w:sz="0" w:space="0" w:color="auto"/>
          </w:divBdr>
          <w:divsChild>
            <w:div w:id="1682079111">
              <w:marLeft w:val="0"/>
              <w:marRight w:val="0"/>
              <w:marTop w:val="0"/>
              <w:marBottom w:val="0"/>
              <w:divBdr>
                <w:top w:val="none" w:sz="0" w:space="0" w:color="auto"/>
                <w:left w:val="none" w:sz="0" w:space="0" w:color="auto"/>
                <w:bottom w:val="none" w:sz="0" w:space="0" w:color="auto"/>
                <w:right w:val="none" w:sz="0" w:space="0" w:color="auto"/>
              </w:divBdr>
            </w:div>
          </w:divsChild>
        </w:div>
        <w:div w:id="1142043305">
          <w:marLeft w:val="0"/>
          <w:marRight w:val="0"/>
          <w:marTop w:val="0"/>
          <w:marBottom w:val="0"/>
          <w:divBdr>
            <w:top w:val="none" w:sz="0" w:space="0" w:color="auto"/>
            <w:left w:val="none" w:sz="0" w:space="0" w:color="auto"/>
            <w:bottom w:val="none" w:sz="0" w:space="0" w:color="auto"/>
            <w:right w:val="none" w:sz="0" w:space="0" w:color="auto"/>
          </w:divBdr>
          <w:divsChild>
            <w:div w:id="998777330">
              <w:marLeft w:val="0"/>
              <w:marRight w:val="0"/>
              <w:marTop w:val="0"/>
              <w:marBottom w:val="0"/>
              <w:divBdr>
                <w:top w:val="none" w:sz="0" w:space="0" w:color="auto"/>
                <w:left w:val="none" w:sz="0" w:space="0" w:color="auto"/>
                <w:bottom w:val="none" w:sz="0" w:space="0" w:color="auto"/>
                <w:right w:val="none" w:sz="0" w:space="0" w:color="auto"/>
              </w:divBdr>
            </w:div>
          </w:divsChild>
        </w:div>
        <w:div w:id="1162351686">
          <w:marLeft w:val="0"/>
          <w:marRight w:val="0"/>
          <w:marTop w:val="0"/>
          <w:marBottom w:val="0"/>
          <w:divBdr>
            <w:top w:val="none" w:sz="0" w:space="0" w:color="auto"/>
            <w:left w:val="none" w:sz="0" w:space="0" w:color="auto"/>
            <w:bottom w:val="none" w:sz="0" w:space="0" w:color="auto"/>
            <w:right w:val="none" w:sz="0" w:space="0" w:color="auto"/>
          </w:divBdr>
          <w:divsChild>
            <w:div w:id="928660900">
              <w:marLeft w:val="0"/>
              <w:marRight w:val="0"/>
              <w:marTop w:val="0"/>
              <w:marBottom w:val="0"/>
              <w:divBdr>
                <w:top w:val="none" w:sz="0" w:space="0" w:color="auto"/>
                <w:left w:val="none" w:sz="0" w:space="0" w:color="auto"/>
                <w:bottom w:val="none" w:sz="0" w:space="0" w:color="auto"/>
                <w:right w:val="none" w:sz="0" w:space="0" w:color="auto"/>
              </w:divBdr>
            </w:div>
          </w:divsChild>
        </w:div>
        <w:div w:id="1180465697">
          <w:marLeft w:val="0"/>
          <w:marRight w:val="0"/>
          <w:marTop w:val="0"/>
          <w:marBottom w:val="0"/>
          <w:divBdr>
            <w:top w:val="none" w:sz="0" w:space="0" w:color="auto"/>
            <w:left w:val="none" w:sz="0" w:space="0" w:color="auto"/>
            <w:bottom w:val="none" w:sz="0" w:space="0" w:color="auto"/>
            <w:right w:val="none" w:sz="0" w:space="0" w:color="auto"/>
          </w:divBdr>
          <w:divsChild>
            <w:div w:id="1580015820">
              <w:marLeft w:val="0"/>
              <w:marRight w:val="0"/>
              <w:marTop w:val="0"/>
              <w:marBottom w:val="0"/>
              <w:divBdr>
                <w:top w:val="none" w:sz="0" w:space="0" w:color="auto"/>
                <w:left w:val="none" w:sz="0" w:space="0" w:color="auto"/>
                <w:bottom w:val="none" w:sz="0" w:space="0" w:color="auto"/>
                <w:right w:val="none" w:sz="0" w:space="0" w:color="auto"/>
              </w:divBdr>
            </w:div>
          </w:divsChild>
        </w:div>
        <w:div w:id="1224373086">
          <w:marLeft w:val="0"/>
          <w:marRight w:val="0"/>
          <w:marTop w:val="0"/>
          <w:marBottom w:val="0"/>
          <w:divBdr>
            <w:top w:val="none" w:sz="0" w:space="0" w:color="auto"/>
            <w:left w:val="none" w:sz="0" w:space="0" w:color="auto"/>
            <w:bottom w:val="none" w:sz="0" w:space="0" w:color="auto"/>
            <w:right w:val="none" w:sz="0" w:space="0" w:color="auto"/>
          </w:divBdr>
          <w:divsChild>
            <w:div w:id="380055130">
              <w:marLeft w:val="0"/>
              <w:marRight w:val="0"/>
              <w:marTop w:val="0"/>
              <w:marBottom w:val="0"/>
              <w:divBdr>
                <w:top w:val="none" w:sz="0" w:space="0" w:color="auto"/>
                <w:left w:val="none" w:sz="0" w:space="0" w:color="auto"/>
                <w:bottom w:val="none" w:sz="0" w:space="0" w:color="auto"/>
                <w:right w:val="none" w:sz="0" w:space="0" w:color="auto"/>
              </w:divBdr>
            </w:div>
          </w:divsChild>
        </w:div>
        <w:div w:id="1261450675">
          <w:marLeft w:val="0"/>
          <w:marRight w:val="0"/>
          <w:marTop w:val="0"/>
          <w:marBottom w:val="0"/>
          <w:divBdr>
            <w:top w:val="none" w:sz="0" w:space="0" w:color="auto"/>
            <w:left w:val="none" w:sz="0" w:space="0" w:color="auto"/>
            <w:bottom w:val="none" w:sz="0" w:space="0" w:color="auto"/>
            <w:right w:val="none" w:sz="0" w:space="0" w:color="auto"/>
          </w:divBdr>
          <w:divsChild>
            <w:div w:id="102849017">
              <w:marLeft w:val="0"/>
              <w:marRight w:val="0"/>
              <w:marTop w:val="0"/>
              <w:marBottom w:val="0"/>
              <w:divBdr>
                <w:top w:val="none" w:sz="0" w:space="0" w:color="auto"/>
                <w:left w:val="none" w:sz="0" w:space="0" w:color="auto"/>
                <w:bottom w:val="none" w:sz="0" w:space="0" w:color="auto"/>
                <w:right w:val="none" w:sz="0" w:space="0" w:color="auto"/>
              </w:divBdr>
            </w:div>
          </w:divsChild>
        </w:div>
        <w:div w:id="1282883949">
          <w:marLeft w:val="0"/>
          <w:marRight w:val="0"/>
          <w:marTop w:val="0"/>
          <w:marBottom w:val="0"/>
          <w:divBdr>
            <w:top w:val="none" w:sz="0" w:space="0" w:color="auto"/>
            <w:left w:val="none" w:sz="0" w:space="0" w:color="auto"/>
            <w:bottom w:val="none" w:sz="0" w:space="0" w:color="auto"/>
            <w:right w:val="none" w:sz="0" w:space="0" w:color="auto"/>
          </w:divBdr>
          <w:divsChild>
            <w:div w:id="1283731741">
              <w:marLeft w:val="0"/>
              <w:marRight w:val="0"/>
              <w:marTop w:val="0"/>
              <w:marBottom w:val="0"/>
              <w:divBdr>
                <w:top w:val="none" w:sz="0" w:space="0" w:color="auto"/>
                <w:left w:val="none" w:sz="0" w:space="0" w:color="auto"/>
                <w:bottom w:val="none" w:sz="0" w:space="0" w:color="auto"/>
                <w:right w:val="none" w:sz="0" w:space="0" w:color="auto"/>
              </w:divBdr>
            </w:div>
          </w:divsChild>
        </w:div>
        <w:div w:id="1314218695">
          <w:marLeft w:val="0"/>
          <w:marRight w:val="0"/>
          <w:marTop w:val="0"/>
          <w:marBottom w:val="0"/>
          <w:divBdr>
            <w:top w:val="none" w:sz="0" w:space="0" w:color="auto"/>
            <w:left w:val="none" w:sz="0" w:space="0" w:color="auto"/>
            <w:bottom w:val="none" w:sz="0" w:space="0" w:color="auto"/>
            <w:right w:val="none" w:sz="0" w:space="0" w:color="auto"/>
          </w:divBdr>
          <w:divsChild>
            <w:div w:id="495805402">
              <w:marLeft w:val="0"/>
              <w:marRight w:val="0"/>
              <w:marTop w:val="0"/>
              <w:marBottom w:val="0"/>
              <w:divBdr>
                <w:top w:val="none" w:sz="0" w:space="0" w:color="auto"/>
                <w:left w:val="none" w:sz="0" w:space="0" w:color="auto"/>
                <w:bottom w:val="none" w:sz="0" w:space="0" w:color="auto"/>
                <w:right w:val="none" w:sz="0" w:space="0" w:color="auto"/>
              </w:divBdr>
            </w:div>
          </w:divsChild>
        </w:div>
        <w:div w:id="1314333881">
          <w:marLeft w:val="0"/>
          <w:marRight w:val="0"/>
          <w:marTop w:val="0"/>
          <w:marBottom w:val="0"/>
          <w:divBdr>
            <w:top w:val="none" w:sz="0" w:space="0" w:color="auto"/>
            <w:left w:val="none" w:sz="0" w:space="0" w:color="auto"/>
            <w:bottom w:val="none" w:sz="0" w:space="0" w:color="auto"/>
            <w:right w:val="none" w:sz="0" w:space="0" w:color="auto"/>
          </w:divBdr>
          <w:divsChild>
            <w:div w:id="379942802">
              <w:marLeft w:val="0"/>
              <w:marRight w:val="0"/>
              <w:marTop w:val="0"/>
              <w:marBottom w:val="0"/>
              <w:divBdr>
                <w:top w:val="none" w:sz="0" w:space="0" w:color="auto"/>
                <w:left w:val="none" w:sz="0" w:space="0" w:color="auto"/>
                <w:bottom w:val="none" w:sz="0" w:space="0" w:color="auto"/>
                <w:right w:val="none" w:sz="0" w:space="0" w:color="auto"/>
              </w:divBdr>
            </w:div>
          </w:divsChild>
        </w:div>
        <w:div w:id="1377777088">
          <w:marLeft w:val="0"/>
          <w:marRight w:val="0"/>
          <w:marTop w:val="0"/>
          <w:marBottom w:val="0"/>
          <w:divBdr>
            <w:top w:val="none" w:sz="0" w:space="0" w:color="auto"/>
            <w:left w:val="none" w:sz="0" w:space="0" w:color="auto"/>
            <w:bottom w:val="none" w:sz="0" w:space="0" w:color="auto"/>
            <w:right w:val="none" w:sz="0" w:space="0" w:color="auto"/>
          </w:divBdr>
          <w:divsChild>
            <w:div w:id="2057119702">
              <w:marLeft w:val="0"/>
              <w:marRight w:val="0"/>
              <w:marTop w:val="0"/>
              <w:marBottom w:val="0"/>
              <w:divBdr>
                <w:top w:val="none" w:sz="0" w:space="0" w:color="auto"/>
                <w:left w:val="none" w:sz="0" w:space="0" w:color="auto"/>
                <w:bottom w:val="none" w:sz="0" w:space="0" w:color="auto"/>
                <w:right w:val="none" w:sz="0" w:space="0" w:color="auto"/>
              </w:divBdr>
            </w:div>
          </w:divsChild>
        </w:div>
        <w:div w:id="1378159147">
          <w:marLeft w:val="0"/>
          <w:marRight w:val="0"/>
          <w:marTop w:val="0"/>
          <w:marBottom w:val="0"/>
          <w:divBdr>
            <w:top w:val="none" w:sz="0" w:space="0" w:color="auto"/>
            <w:left w:val="none" w:sz="0" w:space="0" w:color="auto"/>
            <w:bottom w:val="none" w:sz="0" w:space="0" w:color="auto"/>
            <w:right w:val="none" w:sz="0" w:space="0" w:color="auto"/>
          </w:divBdr>
          <w:divsChild>
            <w:div w:id="118958091">
              <w:marLeft w:val="0"/>
              <w:marRight w:val="0"/>
              <w:marTop w:val="0"/>
              <w:marBottom w:val="0"/>
              <w:divBdr>
                <w:top w:val="none" w:sz="0" w:space="0" w:color="auto"/>
                <w:left w:val="none" w:sz="0" w:space="0" w:color="auto"/>
                <w:bottom w:val="none" w:sz="0" w:space="0" w:color="auto"/>
                <w:right w:val="none" w:sz="0" w:space="0" w:color="auto"/>
              </w:divBdr>
            </w:div>
          </w:divsChild>
        </w:div>
        <w:div w:id="1381786087">
          <w:marLeft w:val="0"/>
          <w:marRight w:val="0"/>
          <w:marTop w:val="0"/>
          <w:marBottom w:val="0"/>
          <w:divBdr>
            <w:top w:val="none" w:sz="0" w:space="0" w:color="auto"/>
            <w:left w:val="none" w:sz="0" w:space="0" w:color="auto"/>
            <w:bottom w:val="none" w:sz="0" w:space="0" w:color="auto"/>
            <w:right w:val="none" w:sz="0" w:space="0" w:color="auto"/>
          </w:divBdr>
          <w:divsChild>
            <w:div w:id="822551129">
              <w:marLeft w:val="0"/>
              <w:marRight w:val="0"/>
              <w:marTop w:val="0"/>
              <w:marBottom w:val="0"/>
              <w:divBdr>
                <w:top w:val="none" w:sz="0" w:space="0" w:color="auto"/>
                <w:left w:val="none" w:sz="0" w:space="0" w:color="auto"/>
                <w:bottom w:val="none" w:sz="0" w:space="0" w:color="auto"/>
                <w:right w:val="none" w:sz="0" w:space="0" w:color="auto"/>
              </w:divBdr>
            </w:div>
          </w:divsChild>
        </w:div>
        <w:div w:id="1390570102">
          <w:marLeft w:val="0"/>
          <w:marRight w:val="0"/>
          <w:marTop w:val="0"/>
          <w:marBottom w:val="0"/>
          <w:divBdr>
            <w:top w:val="none" w:sz="0" w:space="0" w:color="auto"/>
            <w:left w:val="none" w:sz="0" w:space="0" w:color="auto"/>
            <w:bottom w:val="none" w:sz="0" w:space="0" w:color="auto"/>
            <w:right w:val="none" w:sz="0" w:space="0" w:color="auto"/>
          </w:divBdr>
          <w:divsChild>
            <w:div w:id="1326858980">
              <w:marLeft w:val="0"/>
              <w:marRight w:val="0"/>
              <w:marTop w:val="0"/>
              <w:marBottom w:val="0"/>
              <w:divBdr>
                <w:top w:val="none" w:sz="0" w:space="0" w:color="auto"/>
                <w:left w:val="none" w:sz="0" w:space="0" w:color="auto"/>
                <w:bottom w:val="none" w:sz="0" w:space="0" w:color="auto"/>
                <w:right w:val="none" w:sz="0" w:space="0" w:color="auto"/>
              </w:divBdr>
            </w:div>
          </w:divsChild>
        </w:div>
        <w:div w:id="1401516688">
          <w:marLeft w:val="0"/>
          <w:marRight w:val="0"/>
          <w:marTop w:val="0"/>
          <w:marBottom w:val="0"/>
          <w:divBdr>
            <w:top w:val="none" w:sz="0" w:space="0" w:color="auto"/>
            <w:left w:val="none" w:sz="0" w:space="0" w:color="auto"/>
            <w:bottom w:val="none" w:sz="0" w:space="0" w:color="auto"/>
            <w:right w:val="none" w:sz="0" w:space="0" w:color="auto"/>
          </w:divBdr>
          <w:divsChild>
            <w:div w:id="974481744">
              <w:marLeft w:val="0"/>
              <w:marRight w:val="0"/>
              <w:marTop w:val="0"/>
              <w:marBottom w:val="0"/>
              <w:divBdr>
                <w:top w:val="none" w:sz="0" w:space="0" w:color="auto"/>
                <w:left w:val="none" w:sz="0" w:space="0" w:color="auto"/>
                <w:bottom w:val="none" w:sz="0" w:space="0" w:color="auto"/>
                <w:right w:val="none" w:sz="0" w:space="0" w:color="auto"/>
              </w:divBdr>
            </w:div>
          </w:divsChild>
        </w:div>
        <w:div w:id="1414277972">
          <w:marLeft w:val="0"/>
          <w:marRight w:val="0"/>
          <w:marTop w:val="0"/>
          <w:marBottom w:val="0"/>
          <w:divBdr>
            <w:top w:val="none" w:sz="0" w:space="0" w:color="auto"/>
            <w:left w:val="none" w:sz="0" w:space="0" w:color="auto"/>
            <w:bottom w:val="none" w:sz="0" w:space="0" w:color="auto"/>
            <w:right w:val="none" w:sz="0" w:space="0" w:color="auto"/>
          </w:divBdr>
          <w:divsChild>
            <w:div w:id="720372291">
              <w:marLeft w:val="0"/>
              <w:marRight w:val="0"/>
              <w:marTop w:val="0"/>
              <w:marBottom w:val="0"/>
              <w:divBdr>
                <w:top w:val="none" w:sz="0" w:space="0" w:color="auto"/>
                <w:left w:val="none" w:sz="0" w:space="0" w:color="auto"/>
                <w:bottom w:val="none" w:sz="0" w:space="0" w:color="auto"/>
                <w:right w:val="none" w:sz="0" w:space="0" w:color="auto"/>
              </w:divBdr>
            </w:div>
          </w:divsChild>
        </w:div>
        <w:div w:id="1425225876">
          <w:marLeft w:val="0"/>
          <w:marRight w:val="0"/>
          <w:marTop w:val="0"/>
          <w:marBottom w:val="0"/>
          <w:divBdr>
            <w:top w:val="none" w:sz="0" w:space="0" w:color="auto"/>
            <w:left w:val="none" w:sz="0" w:space="0" w:color="auto"/>
            <w:bottom w:val="none" w:sz="0" w:space="0" w:color="auto"/>
            <w:right w:val="none" w:sz="0" w:space="0" w:color="auto"/>
          </w:divBdr>
          <w:divsChild>
            <w:div w:id="1779400064">
              <w:marLeft w:val="0"/>
              <w:marRight w:val="0"/>
              <w:marTop w:val="0"/>
              <w:marBottom w:val="0"/>
              <w:divBdr>
                <w:top w:val="none" w:sz="0" w:space="0" w:color="auto"/>
                <w:left w:val="none" w:sz="0" w:space="0" w:color="auto"/>
                <w:bottom w:val="none" w:sz="0" w:space="0" w:color="auto"/>
                <w:right w:val="none" w:sz="0" w:space="0" w:color="auto"/>
              </w:divBdr>
            </w:div>
          </w:divsChild>
        </w:div>
        <w:div w:id="1429886738">
          <w:marLeft w:val="0"/>
          <w:marRight w:val="0"/>
          <w:marTop w:val="0"/>
          <w:marBottom w:val="0"/>
          <w:divBdr>
            <w:top w:val="none" w:sz="0" w:space="0" w:color="auto"/>
            <w:left w:val="none" w:sz="0" w:space="0" w:color="auto"/>
            <w:bottom w:val="none" w:sz="0" w:space="0" w:color="auto"/>
            <w:right w:val="none" w:sz="0" w:space="0" w:color="auto"/>
          </w:divBdr>
          <w:divsChild>
            <w:div w:id="580019166">
              <w:marLeft w:val="0"/>
              <w:marRight w:val="0"/>
              <w:marTop w:val="0"/>
              <w:marBottom w:val="0"/>
              <w:divBdr>
                <w:top w:val="none" w:sz="0" w:space="0" w:color="auto"/>
                <w:left w:val="none" w:sz="0" w:space="0" w:color="auto"/>
                <w:bottom w:val="none" w:sz="0" w:space="0" w:color="auto"/>
                <w:right w:val="none" w:sz="0" w:space="0" w:color="auto"/>
              </w:divBdr>
            </w:div>
          </w:divsChild>
        </w:div>
        <w:div w:id="1432313578">
          <w:marLeft w:val="0"/>
          <w:marRight w:val="0"/>
          <w:marTop w:val="0"/>
          <w:marBottom w:val="0"/>
          <w:divBdr>
            <w:top w:val="none" w:sz="0" w:space="0" w:color="auto"/>
            <w:left w:val="none" w:sz="0" w:space="0" w:color="auto"/>
            <w:bottom w:val="none" w:sz="0" w:space="0" w:color="auto"/>
            <w:right w:val="none" w:sz="0" w:space="0" w:color="auto"/>
          </w:divBdr>
          <w:divsChild>
            <w:div w:id="209730933">
              <w:marLeft w:val="0"/>
              <w:marRight w:val="0"/>
              <w:marTop w:val="0"/>
              <w:marBottom w:val="0"/>
              <w:divBdr>
                <w:top w:val="none" w:sz="0" w:space="0" w:color="auto"/>
                <w:left w:val="none" w:sz="0" w:space="0" w:color="auto"/>
                <w:bottom w:val="none" w:sz="0" w:space="0" w:color="auto"/>
                <w:right w:val="none" w:sz="0" w:space="0" w:color="auto"/>
              </w:divBdr>
            </w:div>
          </w:divsChild>
        </w:div>
        <w:div w:id="1445147081">
          <w:marLeft w:val="0"/>
          <w:marRight w:val="0"/>
          <w:marTop w:val="0"/>
          <w:marBottom w:val="0"/>
          <w:divBdr>
            <w:top w:val="none" w:sz="0" w:space="0" w:color="auto"/>
            <w:left w:val="none" w:sz="0" w:space="0" w:color="auto"/>
            <w:bottom w:val="none" w:sz="0" w:space="0" w:color="auto"/>
            <w:right w:val="none" w:sz="0" w:space="0" w:color="auto"/>
          </w:divBdr>
          <w:divsChild>
            <w:div w:id="1662387813">
              <w:marLeft w:val="0"/>
              <w:marRight w:val="0"/>
              <w:marTop w:val="0"/>
              <w:marBottom w:val="0"/>
              <w:divBdr>
                <w:top w:val="none" w:sz="0" w:space="0" w:color="auto"/>
                <w:left w:val="none" w:sz="0" w:space="0" w:color="auto"/>
                <w:bottom w:val="none" w:sz="0" w:space="0" w:color="auto"/>
                <w:right w:val="none" w:sz="0" w:space="0" w:color="auto"/>
              </w:divBdr>
            </w:div>
          </w:divsChild>
        </w:div>
        <w:div w:id="1451582131">
          <w:marLeft w:val="0"/>
          <w:marRight w:val="0"/>
          <w:marTop w:val="0"/>
          <w:marBottom w:val="0"/>
          <w:divBdr>
            <w:top w:val="none" w:sz="0" w:space="0" w:color="auto"/>
            <w:left w:val="none" w:sz="0" w:space="0" w:color="auto"/>
            <w:bottom w:val="none" w:sz="0" w:space="0" w:color="auto"/>
            <w:right w:val="none" w:sz="0" w:space="0" w:color="auto"/>
          </w:divBdr>
          <w:divsChild>
            <w:div w:id="540943398">
              <w:marLeft w:val="0"/>
              <w:marRight w:val="0"/>
              <w:marTop w:val="0"/>
              <w:marBottom w:val="0"/>
              <w:divBdr>
                <w:top w:val="none" w:sz="0" w:space="0" w:color="auto"/>
                <w:left w:val="none" w:sz="0" w:space="0" w:color="auto"/>
                <w:bottom w:val="none" w:sz="0" w:space="0" w:color="auto"/>
                <w:right w:val="none" w:sz="0" w:space="0" w:color="auto"/>
              </w:divBdr>
            </w:div>
          </w:divsChild>
        </w:div>
        <w:div w:id="1454708767">
          <w:marLeft w:val="0"/>
          <w:marRight w:val="0"/>
          <w:marTop w:val="0"/>
          <w:marBottom w:val="0"/>
          <w:divBdr>
            <w:top w:val="none" w:sz="0" w:space="0" w:color="auto"/>
            <w:left w:val="none" w:sz="0" w:space="0" w:color="auto"/>
            <w:bottom w:val="none" w:sz="0" w:space="0" w:color="auto"/>
            <w:right w:val="none" w:sz="0" w:space="0" w:color="auto"/>
          </w:divBdr>
          <w:divsChild>
            <w:div w:id="993526112">
              <w:marLeft w:val="0"/>
              <w:marRight w:val="0"/>
              <w:marTop w:val="0"/>
              <w:marBottom w:val="0"/>
              <w:divBdr>
                <w:top w:val="none" w:sz="0" w:space="0" w:color="auto"/>
                <w:left w:val="none" w:sz="0" w:space="0" w:color="auto"/>
                <w:bottom w:val="none" w:sz="0" w:space="0" w:color="auto"/>
                <w:right w:val="none" w:sz="0" w:space="0" w:color="auto"/>
              </w:divBdr>
            </w:div>
          </w:divsChild>
        </w:div>
        <w:div w:id="1492794292">
          <w:marLeft w:val="0"/>
          <w:marRight w:val="0"/>
          <w:marTop w:val="0"/>
          <w:marBottom w:val="0"/>
          <w:divBdr>
            <w:top w:val="none" w:sz="0" w:space="0" w:color="auto"/>
            <w:left w:val="none" w:sz="0" w:space="0" w:color="auto"/>
            <w:bottom w:val="none" w:sz="0" w:space="0" w:color="auto"/>
            <w:right w:val="none" w:sz="0" w:space="0" w:color="auto"/>
          </w:divBdr>
          <w:divsChild>
            <w:div w:id="939722384">
              <w:marLeft w:val="0"/>
              <w:marRight w:val="0"/>
              <w:marTop w:val="0"/>
              <w:marBottom w:val="0"/>
              <w:divBdr>
                <w:top w:val="none" w:sz="0" w:space="0" w:color="auto"/>
                <w:left w:val="none" w:sz="0" w:space="0" w:color="auto"/>
                <w:bottom w:val="none" w:sz="0" w:space="0" w:color="auto"/>
                <w:right w:val="none" w:sz="0" w:space="0" w:color="auto"/>
              </w:divBdr>
            </w:div>
          </w:divsChild>
        </w:div>
        <w:div w:id="1495877333">
          <w:marLeft w:val="0"/>
          <w:marRight w:val="0"/>
          <w:marTop w:val="0"/>
          <w:marBottom w:val="0"/>
          <w:divBdr>
            <w:top w:val="none" w:sz="0" w:space="0" w:color="auto"/>
            <w:left w:val="none" w:sz="0" w:space="0" w:color="auto"/>
            <w:bottom w:val="none" w:sz="0" w:space="0" w:color="auto"/>
            <w:right w:val="none" w:sz="0" w:space="0" w:color="auto"/>
          </w:divBdr>
          <w:divsChild>
            <w:div w:id="1877235827">
              <w:marLeft w:val="0"/>
              <w:marRight w:val="0"/>
              <w:marTop w:val="0"/>
              <w:marBottom w:val="0"/>
              <w:divBdr>
                <w:top w:val="none" w:sz="0" w:space="0" w:color="auto"/>
                <w:left w:val="none" w:sz="0" w:space="0" w:color="auto"/>
                <w:bottom w:val="none" w:sz="0" w:space="0" w:color="auto"/>
                <w:right w:val="none" w:sz="0" w:space="0" w:color="auto"/>
              </w:divBdr>
            </w:div>
          </w:divsChild>
        </w:div>
        <w:div w:id="1507987021">
          <w:marLeft w:val="0"/>
          <w:marRight w:val="0"/>
          <w:marTop w:val="0"/>
          <w:marBottom w:val="0"/>
          <w:divBdr>
            <w:top w:val="none" w:sz="0" w:space="0" w:color="auto"/>
            <w:left w:val="none" w:sz="0" w:space="0" w:color="auto"/>
            <w:bottom w:val="none" w:sz="0" w:space="0" w:color="auto"/>
            <w:right w:val="none" w:sz="0" w:space="0" w:color="auto"/>
          </w:divBdr>
          <w:divsChild>
            <w:div w:id="1425685397">
              <w:marLeft w:val="0"/>
              <w:marRight w:val="0"/>
              <w:marTop w:val="0"/>
              <w:marBottom w:val="0"/>
              <w:divBdr>
                <w:top w:val="none" w:sz="0" w:space="0" w:color="auto"/>
                <w:left w:val="none" w:sz="0" w:space="0" w:color="auto"/>
                <w:bottom w:val="none" w:sz="0" w:space="0" w:color="auto"/>
                <w:right w:val="none" w:sz="0" w:space="0" w:color="auto"/>
              </w:divBdr>
            </w:div>
          </w:divsChild>
        </w:div>
        <w:div w:id="1522470499">
          <w:marLeft w:val="0"/>
          <w:marRight w:val="0"/>
          <w:marTop w:val="0"/>
          <w:marBottom w:val="0"/>
          <w:divBdr>
            <w:top w:val="none" w:sz="0" w:space="0" w:color="auto"/>
            <w:left w:val="none" w:sz="0" w:space="0" w:color="auto"/>
            <w:bottom w:val="none" w:sz="0" w:space="0" w:color="auto"/>
            <w:right w:val="none" w:sz="0" w:space="0" w:color="auto"/>
          </w:divBdr>
          <w:divsChild>
            <w:div w:id="1994336621">
              <w:marLeft w:val="0"/>
              <w:marRight w:val="0"/>
              <w:marTop w:val="0"/>
              <w:marBottom w:val="0"/>
              <w:divBdr>
                <w:top w:val="none" w:sz="0" w:space="0" w:color="auto"/>
                <w:left w:val="none" w:sz="0" w:space="0" w:color="auto"/>
                <w:bottom w:val="none" w:sz="0" w:space="0" w:color="auto"/>
                <w:right w:val="none" w:sz="0" w:space="0" w:color="auto"/>
              </w:divBdr>
            </w:div>
          </w:divsChild>
        </w:div>
        <w:div w:id="1527132638">
          <w:marLeft w:val="0"/>
          <w:marRight w:val="0"/>
          <w:marTop w:val="0"/>
          <w:marBottom w:val="0"/>
          <w:divBdr>
            <w:top w:val="none" w:sz="0" w:space="0" w:color="auto"/>
            <w:left w:val="none" w:sz="0" w:space="0" w:color="auto"/>
            <w:bottom w:val="none" w:sz="0" w:space="0" w:color="auto"/>
            <w:right w:val="none" w:sz="0" w:space="0" w:color="auto"/>
          </w:divBdr>
          <w:divsChild>
            <w:div w:id="1708481752">
              <w:marLeft w:val="0"/>
              <w:marRight w:val="0"/>
              <w:marTop w:val="0"/>
              <w:marBottom w:val="0"/>
              <w:divBdr>
                <w:top w:val="none" w:sz="0" w:space="0" w:color="auto"/>
                <w:left w:val="none" w:sz="0" w:space="0" w:color="auto"/>
                <w:bottom w:val="none" w:sz="0" w:space="0" w:color="auto"/>
                <w:right w:val="none" w:sz="0" w:space="0" w:color="auto"/>
              </w:divBdr>
            </w:div>
          </w:divsChild>
        </w:div>
        <w:div w:id="1590919132">
          <w:marLeft w:val="0"/>
          <w:marRight w:val="0"/>
          <w:marTop w:val="0"/>
          <w:marBottom w:val="0"/>
          <w:divBdr>
            <w:top w:val="none" w:sz="0" w:space="0" w:color="auto"/>
            <w:left w:val="none" w:sz="0" w:space="0" w:color="auto"/>
            <w:bottom w:val="none" w:sz="0" w:space="0" w:color="auto"/>
            <w:right w:val="none" w:sz="0" w:space="0" w:color="auto"/>
          </w:divBdr>
          <w:divsChild>
            <w:div w:id="1763843397">
              <w:marLeft w:val="0"/>
              <w:marRight w:val="0"/>
              <w:marTop w:val="0"/>
              <w:marBottom w:val="0"/>
              <w:divBdr>
                <w:top w:val="none" w:sz="0" w:space="0" w:color="auto"/>
                <w:left w:val="none" w:sz="0" w:space="0" w:color="auto"/>
                <w:bottom w:val="none" w:sz="0" w:space="0" w:color="auto"/>
                <w:right w:val="none" w:sz="0" w:space="0" w:color="auto"/>
              </w:divBdr>
            </w:div>
          </w:divsChild>
        </w:div>
        <w:div w:id="1687824560">
          <w:marLeft w:val="0"/>
          <w:marRight w:val="0"/>
          <w:marTop w:val="0"/>
          <w:marBottom w:val="0"/>
          <w:divBdr>
            <w:top w:val="none" w:sz="0" w:space="0" w:color="auto"/>
            <w:left w:val="none" w:sz="0" w:space="0" w:color="auto"/>
            <w:bottom w:val="none" w:sz="0" w:space="0" w:color="auto"/>
            <w:right w:val="none" w:sz="0" w:space="0" w:color="auto"/>
          </w:divBdr>
          <w:divsChild>
            <w:div w:id="1852254157">
              <w:marLeft w:val="0"/>
              <w:marRight w:val="0"/>
              <w:marTop w:val="0"/>
              <w:marBottom w:val="0"/>
              <w:divBdr>
                <w:top w:val="none" w:sz="0" w:space="0" w:color="auto"/>
                <w:left w:val="none" w:sz="0" w:space="0" w:color="auto"/>
                <w:bottom w:val="none" w:sz="0" w:space="0" w:color="auto"/>
                <w:right w:val="none" w:sz="0" w:space="0" w:color="auto"/>
              </w:divBdr>
            </w:div>
          </w:divsChild>
        </w:div>
        <w:div w:id="1689331086">
          <w:marLeft w:val="0"/>
          <w:marRight w:val="0"/>
          <w:marTop w:val="0"/>
          <w:marBottom w:val="0"/>
          <w:divBdr>
            <w:top w:val="none" w:sz="0" w:space="0" w:color="auto"/>
            <w:left w:val="none" w:sz="0" w:space="0" w:color="auto"/>
            <w:bottom w:val="none" w:sz="0" w:space="0" w:color="auto"/>
            <w:right w:val="none" w:sz="0" w:space="0" w:color="auto"/>
          </w:divBdr>
          <w:divsChild>
            <w:div w:id="177624386">
              <w:marLeft w:val="0"/>
              <w:marRight w:val="0"/>
              <w:marTop w:val="0"/>
              <w:marBottom w:val="0"/>
              <w:divBdr>
                <w:top w:val="none" w:sz="0" w:space="0" w:color="auto"/>
                <w:left w:val="none" w:sz="0" w:space="0" w:color="auto"/>
                <w:bottom w:val="none" w:sz="0" w:space="0" w:color="auto"/>
                <w:right w:val="none" w:sz="0" w:space="0" w:color="auto"/>
              </w:divBdr>
            </w:div>
          </w:divsChild>
        </w:div>
        <w:div w:id="1690520620">
          <w:marLeft w:val="0"/>
          <w:marRight w:val="0"/>
          <w:marTop w:val="0"/>
          <w:marBottom w:val="0"/>
          <w:divBdr>
            <w:top w:val="none" w:sz="0" w:space="0" w:color="auto"/>
            <w:left w:val="none" w:sz="0" w:space="0" w:color="auto"/>
            <w:bottom w:val="none" w:sz="0" w:space="0" w:color="auto"/>
            <w:right w:val="none" w:sz="0" w:space="0" w:color="auto"/>
          </w:divBdr>
          <w:divsChild>
            <w:div w:id="335376935">
              <w:marLeft w:val="0"/>
              <w:marRight w:val="0"/>
              <w:marTop w:val="0"/>
              <w:marBottom w:val="0"/>
              <w:divBdr>
                <w:top w:val="none" w:sz="0" w:space="0" w:color="auto"/>
                <w:left w:val="none" w:sz="0" w:space="0" w:color="auto"/>
                <w:bottom w:val="none" w:sz="0" w:space="0" w:color="auto"/>
                <w:right w:val="none" w:sz="0" w:space="0" w:color="auto"/>
              </w:divBdr>
            </w:div>
          </w:divsChild>
        </w:div>
        <w:div w:id="1695493592">
          <w:marLeft w:val="0"/>
          <w:marRight w:val="0"/>
          <w:marTop w:val="0"/>
          <w:marBottom w:val="0"/>
          <w:divBdr>
            <w:top w:val="none" w:sz="0" w:space="0" w:color="auto"/>
            <w:left w:val="none" w:sz="0" w:space="0" w:color="auto"/>
            <w:bottom w:val="none" w:sz="0" w:space="0" w:color="auto"/>
            <w:right w:val="none" w:sz="0" w:space="0" w:color="auto"/>
          </w:divBdr>
          <w:divsChild>
            <w:div w:id="315063974">
              <w:marLeft w:val="0"/>
              <w:marRight w:val="0"/>
              <w:marTop w:val="0"/>
              <w:marBottom w:val="0"/>
              <w:divBdr>
                <w:top w:val="none" w:sz="0" w:space="0" w:color="auto"/>
                <w:left w:val="none" w:sz="0" w:space="0" w:color="auto"/>
                <w:bottom w:val="none" w:sz="0" w:space="0" w:color="auto"/>
                <w:right w:val="none" w:sz="0" w:space="0" w:color="auto"/>
              </w:divBdr>
            </w:div>
          </w:divsChild>
        </w:div>
        <w:div w:id="1744722773">
          <w:marLeft w:val="0"/>
          <w:marRight w:val="0"/>
          <w:marTop w:val="0"/>
          <w:marBottom w:val="0"/>
          <w:divBdr>
            <w:top w:val="none" w:sz="0" w:space="0" w:color="auto"/>
            <w:left w:val="none" w:sz="0" w:space="0" w:color="auto"/>
            <w:bottom w:val="none" w:sz="0" w:space="0" w:color="auto"/>
            <w:right w:val="none" w:sz="0" w:space="0" w:color="auto"/>
          </w:divBdr>
          <w:divsChild>
            <w:div w:id="1442073187">
              <w:marLeft w:val="0"/>
              <w:marRight w:val="0"/>
              <w:marTop w:val="0"/>
              <w:marBottom w:val="0"/>
              <w:divBdr>
                <w:top w:val="none" w:sz="0" w:space="0" w:color="auto"/>
                <w:left w:val="none" w:sz="0" w:space="0" w:color="auto"/>
                <w:bottom w:val="none" w:sz="0" w:space="0" w:color="auto"/>
                <w:right w:val="none" w:sz="0" w:space="0" w:color="auto"/>
              </w:divBdr>
            </w:div>
          </w:divsChild>
        </w:div>
        <w:div w:id="1756314698">
          <w:marLeft w:val="0"/>
          <w:marRight w:val="0"/>
          <w:marTop w:val="0"/>
          <w:marBottom w:val="0"/>
          <w:divBdr>
            <w:top w:val="none" w:sz="0" w:space="0" w:color="auto"/>
            <w:left w:val="none" w:sz="0" w:space="0" w:color="auto"/>
            <w:bottom w:val="none" w:sz="0" w:space="0" w:color="auto"/>
            <w:right w:val="none" w:sz="0" w:space="0" w:color="auto"/>
          </w:divBdr>
          <w:divsChild>
            <w:div w:id="2051570956">
              <w:marLeft w:val="0"/>
              <w:marRight w:val="0"/>
              <w:marTop w:val="0"/>
              <w:marBottom w:val="0"/>
              <w:divBdr>
                <w:top w:val="none" w:sz="0" w:space="0" w:color="auto"/>
                <w:left w:val="none" w:sz="0" w:space="0" w:color="auto"/>
                <w:bottom w:val="none" w:sz="0" w:space="0" w:color="auto"/>
                <w:right w:val="none" w:sz="0" w:space="0" w:color="auto"/>
              </w:divBdr>
            </w:div>
          </w:divsChild>
        </w:div>
        <w:div w:id="1757284823">
          <w:marLeft w:val="0"/>
          <w:marRight w:val="0"/>
          <w:marTop w:val="0"/>
          <w:marBottom w:val="0"/>
          <w:divBdr>
            <w:top w:val="none" w:sz="0" w:space="0" w:color="auto"/>
            <w:left w:val="none" w:sz="0" w:space="0" w:color="auto"/>
            <w:bottom w:val="none" w:sz="0" w:space="0" w:color="auto"/>
            <w:right w:val="none" w:sz="0" w:space="0" w:color="auto"/>
          </w:divBdr>
          <w:divsChild>
            <w:div w:id="1973830717">
              <w:marLeft w:val="0"/>
              <w:marRight w:val="0"/>
              <w:marTop w:val="0"/>
              <w:marBottom w:val="0"/>
              <w:divBdr>
                <w:top w:val="none" w:sz="0" w:space="0" w:color="auto"/>
                <w:left w:val="none" w:sz="0" w:space="0" w:color="auto"/>
                <w:bottom w:val="none" w:sz="0" w:space="0" w:color="auto"/>
                <w:right w:val="none" w:sz="0" w:space="0" w:color="auto"/>
              </w:divBdr>
            </w:div>
          </w:divsChild>
        </w:div>
        <w:div w:id="1765222014">
          <w:marLeft w:val="0"/>
          <w:marRight w:val="0"/>
          <w:marTop w:val="0"/>
          <w:marBottom w:val="0"/>
          <w:divBdr>
            <w:top w:val="none" w:sz="0" w:space="0" w:color="auto"/>
            <w:left w:val="none" w:sz="0" w:space="0" w:color="auto"/>
            <w:bottom w:val="none" w:sz="0" w:space="0" w:color="auto"/>
            <w:right w:val="none" w:sz="0" w:space="0" w:color="auto"/>
          </w:divBdr>
          <w:divsChild>
            <w:div w:id="780224723">
              <w:marLeft w:val="0"/>
              <w:marRight w:val="0"/>
              <w:marTop w:val="0"/>
              <w:marBottom w:val="0"/>
              <w:divBdr>
                <w:top w:val="none" w:sz="0" w:space="0" w:color="auto"/>
                <w:left w:val="none" w:sz="0" w:space="0" w:color="auto"/>
                <w:bottom w:val="none" w:sz="0" w:space="0" w:color="auto"/>
                <w:right w:val="none" w:sz="0" w:space="0" w:color="auto"/>
              </w:divBdr>
            </w:div>
          </w:divsChild>
        </w:div>
        <w:div w:id="1781728243">
          <w:marLeft w:val="0"/>
          <w:marRight w:val="0"/>
          <w:marTop w:val="0"/>
          <w:marBottom w:val="0"/>
          <w:divBdr>
            <w:top w:val="none" w:sz="0" w:space="0" w:color="auto"/>
            <w:left w:val="none" w:sz="0" w:space="0" w:color="auto"/>
            <w:bottom w:val="none" w:sz="0" w:space="0" w:color="auto"/>
            <w:right w:val="none" w:sz="0" w:space="0" w:color="auto"/>
          </w:divBdr>
          <w:divsChild>
            <w:div w:id="1155875897">
              <w:marLeft w:val="0"/>
              <w:marRight w:val="0"/>
              <w:marTop w:val="0"/>
              <w:marBottom w:val="0"/>
              <w:divBdr>
                <w:top w:val="none" w:sz="0" w:space="0" w:color="auto"/>
                <w:left w:val="none" w:sz="0" w:space="0" w:color="auto"/>
                <w:bottom w:val="none" w:sz="0" w:space="0" w:color="auto"/>
                <w:right w:val="none" w:sz="0" w:space="0" w:color="auto"/>
              </w:divBdr>
            </w:div>
          </w:divsChild>
        </w:div>
        <w:div w:id="1807894941">
          <w:marLeft w:val="0"/>
          <w:marRight w:val="0"/>
          <w:marTop w:val="0"/>
          <w:marBottom w:val="0"/>
          <w:divBdr>
            <w:top w:val="none" w:sz="0" w:space="0" w:color="auto"/>
            <w:left w:val="none" w:sz="0" w:space="0" w:color="auto"/>
            <w:bottom w:val="none" w:sz="0" w:space="0" w:color="auto"/>
            <w:right w:val="none" w:sz="0" w:space="0" w:color="auto"/>
          </w:divBdr>
          <w:divsChild>
            <w:div w:id="433139381">
              <w:marLeft w:val="0"/>
              <w:marRight w:val="0"/>
              <w:marTop w:val="0"/>
              <w:marBottom w:val="0"/>
              <w:divBdr>
                <w:top w:val="none" w:sz="0" w:space="0" w:color="auto"/>
                <w:left w:val="none" w:sz="0" w:space="0" w:color="auto"/>
                <w:bottom w:val="none" w:sz="0" w:space="0" w:color="auto"/>
                <w:right w:val="none" w:sz="0" w:space="0" w:color="auto"/>
              </w:divBdr>
            </w:div>
          </w:divsChild>
        </w:div>
        <w:div w:id="1811554053">
          <w:marLeft w:val="0"/>
          <w:marRight w:val="0"/>
          <w:marTop w:val="0"/>
          <w:marBottom w:val="0"/>
          <w:divBdr>
            <w:top w:val="none" w:sz="0" w:space="0" w:color="auto"/>
            <w:left w:val="none" w:sz="0" w:space="0" w:color="auto"/>
            <w:bottom w:val="none" w:sz="0" w:space="0" w:color="auto"/>
            <w:right w:val="none" w:sz="0" w:space="0" w:color="auto"/>
          </w:divBdr>
          <w:divsChild>
            <w:div w:id="1179084246">
              <w:marLeft w:val="0"/>
              <w:marRight w:val="0"/>
              <w:marTop w:val="0"/>
              <w:marBottom w:val="0"/>
              <w:divBdr>
                <w:top w:val="none" w:sz="0" w:space="0" w:color="auto"/>
                <w:left w:val="none" w:sz="0" w:space="0" w:color="auto"/>
                <w:bottom w:val="none" w:sz="0" w:space="0" w:color="auto"/>
                <w:right w:val="none" w:sz="0" w:space="0" w:color="auto"/>
              </w:divBdr>
            </w:div>
          </w:divsChild>
        </w:div>
        <w:div w:id="1828007945">
          <w:marLeft w:val="0"/>
          <w:marRight w:val="0"/>
          <w:marTop w:val="0"/>
          <w:marBottom w:val="0"/>
          <w:divBdr>
            <w:top w:val="none" w:sz="0" w:space="0" w:color="auto"/>
            <w:left w:val="none" w:sz="0" w:space="0" w:color="auto"/>
            <w:bottom w:val="none" w:sz="0" w:space="0" w:color="auto"/>
            <w:right w:val="none" w:sz="0" w:space="0" w:color="auto"/>
          </w:divBdr>
          <w:divsChild>
            <w:div w:id="513230635">
              <w:marLeft w:val="0"/>
              <w:marRight w:val="0"/>
              <w:marTop w:val="0"/>
              <w:marBottom w:val="0"/>
              <w:divBdr>
                <w:top w:val="none" w:sz="0" w:space="0" w:color="auto"/>
                <w:left w:val="none" w:sz="0" w:space="0" w:color="auto"/>
                <w:bottom w:val="none" w:sz="0" w:space="0" w:color="auto"/>
                <w:right w:val="none" w:sz="0" w:space="0" w:color="auto"/>
              </w:divBdr>
            </w:div>
          </w:divsChild>
        </w:div>
        <w:div w:id="1845170471">
          <w:marLeft w:val="0"/>
          <w:marRight w:val="0"/>
          <w:marTop w:val="0"/>
          <w:marBottom w:val="0"/>
          <w:divBdr>
            <w:top w:val="none" w:sz="0" w:space="0" w:color="auto"/>
            <w:left w:val="none" w:sz="0" w:space="0" w:color="auto"/>
            <w:bottom w:val="none" w:sz="0" w:space="0" w:color="auto"/>
            <w:right w:val="none" w:sz="0" w:space="0" w:color="auto"/>
          </w:divBdr>
          <w:divsChild>
            <w:div w:id="364403327">
              <w:marLeft w:val="0"/>
              <w:marRight w:val="0"/>
              <w:marTop w:val="0"/>
              <w:marBottom w:val="0"/>
              <w:divBdr>
                <w:top w:val="none" w:sz="0" w:space="0" w:color="auto"/>
                <w:left w:val="none" w:sz="0" w:space="0" w:color="auto"/>
                <w:bottom w:val="none" w:sz="0" w:space="0" w:color="auto"/>
                <w:right w:val="none" w:sz="0" w:space="0" w:color="auto"/>
              </w:divBdr>
            </w:div>
          </w:divsChild>
        </w:div>
        <w:div w:id="1930193315">
          <w:marLeft w:val="0"/>
          <w:marRight w:val="0"/>
          <w:marTop w:val="0"/>
          <w:marBottom w:val="0"/>
          <w:divBdr>
            <w:top w:val="none" w:sz="0" w:space="0" w:color="auto"/>
            <w:left w:val="none" w:sz="0" w:space="0" w:color="auto"/>
            <w:bottom w:val="none" w:sz="0" w:space="0" w:color="auto"/>
            <w:right w:val="none" w:sz="0" w:space="0" w:color="auto"/>
          </w:divBdr>
          <w:divsChild>
            <w:div w:id="298002975">
              <w:marLeft w:val="0"/>
              <w:marRight w:val="0"/>
              <w:marTop w:val="0"/>
              <w:marBottom w:val="0"/>
              <w:divBdr>
                <w:top w:val="none" w:sz="0" w:space="0" w:color="auto"/>
                <w:left w:val="none" w:sz="0" w:space="0" w:color="auto"/>
                <w:bottom w:val="none" w:sz="0" w:space="0" w:color="auto"/>
                <w:right w:val="none" w:sz="0" w:space="0" w:color="auto"/>
              </w:divBdr>
            </w:div>
          </w:divsChild>
        </w:div>
        <w:div w:id="1934317956">
          <w:marLeft w:val="0"/>
          <w:marRight w:val="0"/>
          <w:marTop w:val="0"/>
          <w:marBottom w:val="0"/>
          <w:divBdr>
            <w:top w:val="none" w:sz="0" w:space="0" w:color="auto"/>
            <w:left w:val="none" w:sz="0" w:space="0" w:color="auto"/>
            <w:bottom w:val="none" w:sz="0" w:space="0" w:color="auto"/>
            <w:right w:val="none" w:sz="0" w:space="0" w:color="auto"/>
          </w:divBdr>
          <w:divsChild>
            <w:div w:id="967735494">
              <w:marLeft w:val="0"/>
              <w:marRight w:val="0"/>
              <w:marTop w:val="0"/>
              <w:marBottom w:val="0"/>
              <w:divBdr>
                <w:top w:val="none" w:sz="0" w:space="0" w:color="auto"/>
                <w:left w:val="none" w:sz="0" w:space="0" w:color="auto"/>
                <w:bottom w:val="none" w:sz="0" w:space="0" w:color="auto"/>
                <w:right w:val="none" w:sz="0" w:space="0" w:color="auto"/>
              </w:divBdr>
            </w:div>
          </w:divsChild>
        </w:div>
        <w:div w:id="1954435215">
          <w:marLeft w:val="0"/>
          <w:marRight w:val="0"/>
          <w:marTop w:val="0"/>
          <w:marBottom w:val="0"/>
          <w:divBdr>
            <w:top w:val="none" w:sz="0" w:space="0" w:color="auto"/>
            <w:left w:val="none" w:sz="0" w:space="0" w:color="auto"/>
            <w:bottom w:val="none" w:sz="0" w:space="0" w:color="auto"/>
            <w:right w:val="none" w:sz="0" w:space="0" w:color="auto"/>
          </w:divBdr>
          <w:divsChild>
            <w:div w:id="790173807">
              <w:marLeft w:val="0"/>
              <w:marRight w:val="0"/>
              <w:marTop w:val="0"/>
              <w:marBottom w:val="0"/>
              <w:divBdr>
                <w:top w:val="none" w:sz="0" w:space="0" w:color="auto"/>
                <w:left w:val="none" w:sz="0" w:space="0" w:color="auto"/>
                <w:bottom w:val="none" w:sz="0" w:space="0" w:color="auto"/>
                <w:right w:val="none" w:sz="0" w:space="0" w:color="auto"/>
              </w:divBdr>
            </w:div>
          </w:divsChild>
        </w:div>
        <w:div w:id="1978677734">
          <w:marLeft w:val="0"/>
          <w:marRight w:val="0"/>
          <w:marTop w:val="0"/>
          <w:marBottom w:val="0"/>
          <w:divBdr>
            <w:top w:val="none" w:sz="0" w:space="0" w:color="auto"/>
            <w:left w:val="none" w:sz="0" w:space="0" w:color="auto"/>
            <w:bottom w:val="none" w:sz="0" w:space="0" w:color="auto"/>
            <w:right w:val="none" w:sz="0" w:space="0" w:color="auto"/>
          </w:divBdr>
          <w:divsChild>
            <w:div w:id="1724022519">
              <w:marLeft w:val="0"/>
              <w:marRight w:val="0"/>
              <w:marTop w:val="0"/>
              <w:marBottom w:val="0"/>
              <w:divBdr>
                <w:top w:val="none" w:sz="0" w:space="0" w:color="auto"/>
                <w:left w:val="none" w:sz="0" w:space="0" w:color="auto"/>
                <w:bottom w:val="none" w:sz="0" w:space="0" w:color="auto"/>
                <w:right w:val="none" w:sz="0" w:space="0" w:color="auto"/>
              </w:divBdr>
            </w:div>
          </w:divsChild>
        </w:div>
        <w:div w:id="1992522096">
          <w:marLeft w:val="0"/>
          <w:marRight w:val="0"/>
          <w:marTop w:val="0"/>
          <w:marBottom w:val="0"/>
          <w:divBdr>
            <w:top w:val="none" w:sz="0" w:space="0" w:color="auto"/>
            <w:left w:val="none" w:sz="0" w:space="0" w:color="auto"/>
            <w:bottom w:val="none" w:sz="0" w:space="0" w:color="auto"/>
            <w:right w:val="none" w:sz="0" w:space="0" w:color="auto"/>
          </w:divBdr>
          <w:divsChild>
            <w:div w:id="823201185">
              <w:marLeft w:val="0"/>
              <w:marRight w:val="0"/>
              <w:marTop w:val="0"/>
              <w:marBottom w:val="0"/>
              <w:divBdr>
                <w:top w:val="none" w:sz="0" w:space="0" w:color="auto"/>
                <w:left w:val="none" w:sz="0" w:space="0" w:color="auto"/>
                <w:bottom w:val="none" w:sz="0" w:space="0" w:color="auto"/>
                <w:right w:val="none" w:sz="0" w:space="0" w:color="auto"/>
              </w:divBdr>
            </w:div>
          </w:divsChild>
        </w:div>
        <w:div w:id="1993413063">
          <w:marLeft w:val="0"/>
          <w:marRight w:val="0"/>
          <w:marTop w:val="0"/>
          <w:marBottom w:val="0"/>
          <w:divBdr>
            <w:top w:val="none" w:sz="0" w:space="0" w:color="auto"/>
            <w:left w:val="none" w:sz="0" w:space="0" w:color="auto"/>
            <w:bottom w:val="none" w:sz="0" w:space="0" w:color="auto"/>
            <w:right w:val="none" w:sz="0" w:space="0" w:color="auto"/>
          </w:divBdr>
          <w:divsChild>
            <w:div w:id="1036345204">
              <w:marLeft w:val="0"/>
              <w:marRight w:val="0"/>
              <w:marTop w:val="0"/>
              <w:marBottom w:val="0"/>
              <w:divBdr>
                <w:top w:val="none" w:sz="0" w:space="0" w:color="auto"/>
                <w:left w:val="none" w:sz="0" w:space="0" w:color="auto"/>
                <w:bottom w:val="none" w:sz="0" w:space="0" w:color="auto"/>
                <w:right w:val="none" w:sz="0" w:space="0" w:color="auto"/>
              </w:divBdr>
            </w:div>
          </w:divsChild>
        </w:div>
        <w:div w:id="2007592322">
          <w:marLeft w:val="0"/>
          <w:marRight w:val="0"/>
          <w:marTop w:val="0"/>
          <w:marBottom w:val="0"/>
          <w:divBdr>
            <w:top w:val="none" w:sz="0" w:space="0" w:color="auto"/>
            <w:left w:val="none" w:sz="0" w:space="0" w:color="auto"/>
            <w:bottom w:val="none" w:sz="0" w:space="0" w:color="auto"/>
            <w:right w:val="none" w:sz="0" w:space="0" w:color="auto"/>
          </w:divBdr>
          <w:divsChild>
            <w:div w:id="976029219">
              <w:marLeft w:val="0"/>
              <w:marRight w:val="0"/>
              <w:marTop w:val="0"/>
              <w:marBottom w:val="0"/>
              <w:divBdr>
                <w:top w:val="none" w:sz="0" w:space="0" w:color="auto"/>
                <w:left w:val="none" w:sz="0" w:space="0" w:color="auto"/>
                <w:bottom w:val="none" w:sz="0" w:space="0" w:color="auto"/>
                <w:right w:val="none" w:sz="0" w:space="0" w:color="auto"/>
              </w:divBdr>
            </w:div>
          </w:divsChild>
        </w:div>
        <w:div w:id="2081057550">
          <w:marLeft w:val="0"/>
          <w:marRight w:val="0"/>
          <w:marTop w:val="0"/>
          <w:marBottom w:val="0"/>
          <w:divBdr>
            <w:top w:val="none" w:sz="0" w:space="0" w:color="auto"/>
            <w:left w:val="none" w:sz="0" w:space="0" w:color="auto"/>
            <w:bottom w:val="none" w:sz="0" w:space="0" w:color="auto"/>
            <w:right w:val="none" w:sz="0" w:space="0" w:color="auto"/>
          </w:divBdr>
          <w:divsChild>
            <w:div w:id="1906717382">
              <w:marLeft w:val="0"/>
              <w:marRight w:val="0"/>
              <w:marTop w:val="0"/>
              <w:marBottom w:val="0"/>
              <w:divBdr>
                <w:top w:val="none" w:sz="0" w:space="0" w:color="auto"/>
                <w:left w:val="none" w:sz="0" w:space="0" w:color="auto"/>
                <w:bottom w:val="none" w:sz="0" w:space="0" w:color="auto"/>
                <w:right w:val="none" w:sz="0" w:space="0" w:color="auto"/>
              </w:divBdr>
            </w:div>
          </w:divsChild>
        </w:div>
        <w:div w:id="2088725826">
          <w:marLeft w:val="0"/>
          <w:marRight w:val="0"/>
          <w:marTop w:val="0"/>
          <w:marBottom w:val="0"/>
          <w:divBdr>
            <w:top w:val="none" w:sz="0" w:space="0" w:color="auto"/>
            <w:left w:val="none" w:sz="0" w:space="0" w:color="auto"/>
            <w:bottom w:val="none" w:sz="0" w:space="0" w:color="auto"/>
            <w:right w:val="none" w:sz="0" w:space="0" w:color="auto"/>
          </w:divBdr>
          <w:divsChild>
            <w:div w:id="1276868609">
              <w:marLeft w:val="0"/>
              <w:marRight w:val="0"/>
              <w:marTop w:val="0"/>
              <w:marBottom w:val="0"/>
              <w:divBdr>
                <w:top w:val="none" w:sz="0" w:space="0" w:color="auto"/>
                <w:left w:val="none" w:sz="0" w:space="0" w:color="auto"/>
                <w:bottom w:val="none" w:sz="0" w:space="0" w:color="auto"/>
                <w:right w:val="none" w:sz="0" w:space="0" w:color="auto"/>
              </w:divBdr>
            </w:div>
          </w:divsChild>
        </w:div>
        <w:div w:id="2114855698">
          <w:marLeft w:val="0"/>
          <w:marRight w:val="0"/>
          <w:marTop w:val="0"/>
          <w:marBottom w:val="0"/>
          <w:divBdr>
            <w:top w:val="none" w:sz="0" w:space="0" w:color="auto"/>
            <w:left w:val="none" w:sz="0" w:space="0" w:color="auto"/>
            <w:bottom w:val="none" w:sz="0" w:space="0" w:color="auto"/>
            <w:right w:val="none" w:sz="0" w:space="0" w:color="auto"/>
          </w:divBdr>
          <w:divsChild>
            <w:div w:id="170166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30998">
      <w:bodyDiv w:val="1"/>
      <w:marLeft w:val="0"/>
      <w:marRight w:val="0"/>
      <w:marTop w:val="0"/>
      <w:marBottom w:val="0"/>
      <w:divBdr>
        <w:top w:val="none" w:sz="0" w:space="0" w:color="auto"/>
        <w:left w:val="none" w:sz="0" w:space="0" w:color="auto"/>
        <w:bottom w:val="none" w:sz="0" w:space="0" w:color="auto"/>
        <w:right w:val="none" w:sz="0" w:space="0" w:color="auto"/>
      </w:divBdr>
      <w:divsChild>
        <w:div w:id="76288436">
          <w:marLeft w:val="0"/>
          <w:marRight w:val="0"/>
          <w:marTop w:val="0"/>
          <w:marBottom w:val="0"/>
          <w:divBdr>
            <w:top w:val="none" w:sz="0" w:space="0" w:color="auto"/>
            <w:left w:val="none" w:sz="0" w:space="0" w:color="auto"/>
            <w:bottom w:val="none" w:sz="0" w:space="0" w:color="auto"/>
            <w:right w:val="none" w:sz="0" w:space="0" w:color="auto"/>
          </w:divBdr>
          <w:divsChild>
            <w:div w:id="204830112">
              <w:marLeft w:val="0"/>
              <w:marRight w:val="0"/>
              <w:marTop w:val="0"/>
              <w:marBottom w:val="0"/>
              <w:divBdr>
                <w:top w:val="none" w:sz="0" w:space="0" w:color="auto"/>
                <w:left w:val="none" w:sz="0" w:space="0" w:color="auto"/>
                <w:bottom w:val="none" w:sz="0" w:space="0" w:color="auto"/>
                <w:right w:val="none" w:sz="0" w:space="0" w:color="auto"/>
              </w:divBdr>
            </w:div>
            <w:div w:id="217983352">
              <w:marLeft w:val="0"/>
              <w:marRight w:val="0"/>
              <w:marTop w:val="0"/>
              <w:marBottom w:val="0"/>
              <w:divBdr>
                <w:top w:val="none" w:sz="0" w:space="0" w:color="auto"/>
                <w:left w:val="none" w:sz="0" w:space="0" w:color="auto"/>
                <w:bottom w:val="none" w:sz="0" w:space="0" w:color="auto"/>
                <w:right w:val="none" w:sz="0" w:space="0" w:color="auto"/>
              </w:divBdr>
            </w:div>
            <w:div w:id="272979792">
              <w:marLeft w:val="0"/>
              <w:marRight w:val="0"/>
              <w:marTop w:val="0"/>
              <w:marBottom w:val="0"/>
              <w:divBdr>
                <w:top w:val="none" w:sz="0" w:space="0" w:color="auto"/>
                <w:left w:val="none" w:sz="0" w:space="0" w:color="auto"/>
                <w:bottom w:val="none" w:sz="0" w:space="0" w:color="auto"/>
                <w:right w:val="none" w:sz="0" w:space="0" w:color="auto"/>
              </w:divBdr>
            </w:div>
            <w:div w:id="276065469">
              <w:marLeft w:val="0"/>
              <w:marRight w:val="0"/>
              <w:marTop w:val="0"/>
              <w:marBottom w:val="0"/>
              <w:divBdr>
                <w:top w:val="none" w:sz="0" w:space="0" w:color="auto"/>
                <w:left w:val="none" w:sz="0" w:space="0" w:color="auto"/>
                <w:bottom w:val="none" w:sz="0" w:space="0" w:color="auto"/>
                <w:right w:val="none" w:sz="0" w:space="0" w:color="auto"/>
              </w:divBdr>
            </w:div>
            <w:div w:id="399183225">
              <w:marLeft w:val="0"/>
              <w:marRight w:val="0"/>
              <w:marTop w:val="0"/>
              <w:marBottom w:val="0"/>
              <w:divBdr>
                <w:top w:val="none" w:sz="0" w:space="0" w:color="auto"/>
                <w:left w:val="none" w:sz="0" w:space="0" w:color="auto"/>
                <w:bottom w:val="none" w:sz="0" w:space="0" w:color="auto"/>
                <w:right w:val="none" w:sz="0" w:space="0" w:color="auto"/>
              </w:divBdr>
            </w:div>
            <w:div w:id="477847257">
              <w:marLeft w:val="0"/>
              <w:marRight w:val="0"/>
              <w:marTop w:val="0"/>
              <w:marBottom w:val="0"/>
              <w:divBdr>
                <w:top w:val="none" w:sz="0" w:space="0" w:color="auto"/>
                <w:left w:val="none" w:sz="0" w:space="0" w:color="auto"/>
                <w:bottom w:val="none" w:sz="0" w:space="0" w:color="auto"/>
                <w:right w:val="none" w:sz="0" w:space="0" w:color="auto"/>
              </w:divBdr>
            </w:div>
            <w:div w:id="645819603">
              <w:marLeft w:val="0"/>
              <w:marRight w:val="0"/>
              <w:marTop w:val="0"/>
              <w:marBottom w:val="0"/>
              <w:divBdr>
                <w:top w:val="none" w:sz="0" w:space="0" w:color="auto"/>
                <w:left w:val="none" w:sz="0" w:space="0" w:color="auto"/>
                <w:bottom w:val="none" w:sz="0" w:space="0" w:color="auto"/>
                <w:right w:val="none" w:sz="0" w:space="0" w:color="auto"/>
              </w:divBdr>
            </w:div>
            <w:div w:id="757867712">
              <w:marLeft w:val="0"/>
              <w:marRight w:val="0"/>
              <w:marTop w:val="0"/>
              <w:marBottom w:val="0"/>
              <w:divBdr>
                <w:top w:val="none" w:sz="0" w:space="0" w:color="auto"/>
                <w:left w:val="none" w:sz="0" w:space="0" w:color="auto"/>
                <w:bottom w:val="none" w:sz="0" w:space="0" w:color="auto"/>
                <w:right w:val="none" w:sz="0" w:space="0" w:color="auto"/>
              </w:divBdr>
            </w:div>
            <w:div w:id="799616959">
              <w:marLeft w:val="0"/>
              <w:marRight w:val="0"/>
              <w:marTop w:val="0"/>
              <w:marBottom w:val="0"/>
              <w:divBdr>
                <w:top w:val="none" w:sz="0" w:space="0" w:color="auto"/>
                <w:left w:val="none" w:sz="0" w:space="0" w:color="auto"/>
                <w:bottom w:val="none" w:sz="0" w:space="0" w:color="auto"/>
                <w:right w:val="none" w:sz="0" w:space="0" w:color="auto"/>
              </w:divBdr>
            </w:div>
            <w:div w:id="954557309">
              <w:marLeft w:val="0"/>
              <w:marRight w:val="0"/>
              <w:marTop w:val="0"/>
              <w:marBottom w:val="0"/>
              <w:divBdr>
                <w:top w:val="none" w:sz="0" w:space="0" w:color="auto"/>
                <w:left w:val="none" w:sz="0" w:space="0" w:color="auto"/>
                <w:bottom w:val="none" w:sz="0" w:space="0" w:color="auto"/>
                <w:right w:val="none" w:sz="0" w:space="0" w:color="auto"/>
              </w:divBdr>
            </w:div>
            <w:div w:id="1053772936">
              <w:marLeft w:val="0"/>
              <w:marRight w:val="0"/>
              <w:marTop w:val="0"/>
              <w:marBottom w:val="0"/>
              <w:divBdr>
                <w:top w:val="none" w:sz="0" w:space="0" w:color="auto"/>
                <w:left w:val="none" w:sz="0" w:space="0" w:color="auto"/>
                <w:bottom w:val="none" w:sz="0" w:space="0" w:color="auto"/>
                <w:right w:val="none" w:sz="0" w:space="0" w:color="auto"/>
              </w:divBdr>
            </w:div>
            <w:div w:id="1093089719">
              <w:marLeft w:val="0"/>
              <w:marRight w:val="0"/>
              <w:marTop w:val="0"/>
              <w:marBottom w:val="0"/>
              <w:divBdr>
                <w:top w:val="none" w:sz="0" w:space="0" w:color="auto"/>
                <w:left w:val="none" w:sz="0" w:space="0" w:color="auto"/>
                <w:bottom w:val="none" w:sz="0" w:space="0" w:color="auto"/>
                <w:right w:val="none" w:sz="0" w:space="0" w:color="auto"/>
              </w:divBdr>
            </w:div>
            <w:div w:id="1101223495">
              <w:marLeft w:val="0"/>
              <w:marRight w:val="0"/>
              <w:marTop w:val="0"/>
              <w:marBottom w:val="0"/>
              <w:divBdr>
                <w:top w:val="none" w:sz="0" w:space="0" w:color="auto"/>
                <w:left w:val="none" w:sz="0" w:space="0" w:color="auto"/>
                <w:bottom w:val="none" w:sz="0" w:space="0" w:color="auto"/>
                <w:right w:val="none" w:sz="0" w:space="0" w:color="auto"/>
              </w:divBdr>
            </w:div>
            <w:div w:id="1146362026">
              <w:marLeft w:val="0"/>
              <w:marRight w:val="0"/>
              <w:marTop w:val="0"/>
              <w:marBottom w:val="0"/>
              <w:divBdr>
                <w:top w:val="none" w:sz="0" w:space="0" w:color="auto"/>
                <w:left w:val="none" w:sz="0" w:space="0" w:color="auto"/>
                <w:bottom w:val="none" w:sz="0" w:space="0" w:color="auto"/>
                <w:right w:val="none" w:sz="0" w:space="0" w:color="auto"/>
              </w:divBdr>
            </w:div>
            <w:div w:id="1360400293">
              <w:marLeft w:val="0"/>
              <w:marRight w:val="0"/>
              <w:marTop w:val="0"/>
              <w:marBottom w:val="0"/>
              <w:divBdr>
                <w:top w:val="none" w:sz="0" w:space="0" w:color="auto"/>
                <w:left w:val="none" w:sz="0" w:space="0" w:color="auto"/>
                <w:bottom w:val="none" w:sz="0" w:space="0" w:color="auto"/>
                <w:right w:val="none" w:sz="0" w:space="0" w:color="auto"/>
              </w:divBdr>
            </w:div>
            <w:div w:id="1479492680">
              <w:marLeft w:val="0"/>
              <w:marRight w:val="0"/>
              <w:marTop w:val="0"/>
              <w:marBottom w:val="0"/>
              <w:divBdr>
                <w:top w:val="none" w:sz="0" w:space="0" w:color="auto"/>
                <w:left w:val="none" w:sz="0" w:space="0" w:color="auto"/>
                <w:bottom w:val="none" w:sz="0" w:space="0" w:color="auto"/>
                <w:right w:val="none" w:sz="0" w:space="0" w:color="auto"/>
              </w:divBdr>
            </w:div>
            <w:div w:id="1519271020">
              <w:marLeft w:val="0"/>
              <w:marRight w:val="0"/>
              <w:marTop w:val="0"/>
              <w:marBottom w:val="0"/>
              <w:divBdr>
                <w:top w:val="none" w:sz="0" w:space="0" w:color="auto"/>
                <w:left w:val="none" w:sz="0" w:space="0" w:color="auto"/>
                <w:bottom w:val="none" w:sz="0" w:space="0" w:color="auto"/>
                <w:right w:val="none" w:sz="0" w:space="0" w:color="auto"/>
              </w:divBdr>
            </w:div>
            <w:div w:id="1942490842">
              <w:marLeft w:val="0"/>
              <w:marRight w:val="0"/>
              <w:marTop w:val="0"/>
              <w:marBottom w:val="0"/>
              <w:divBdr>
                <w:top w:val="none" w:sz="0" w:space="0" w:color="auto"/>
                <w:left w:val="none" w:sz="0" w:space="0" w:color="auto"/>
                <w:bottom w:val="none" w:sz="0" w:space="0" w:color="auto"/>
                <w:right w:val="none" w:sz="0" w:space="0" w:color="auto"/>
              </w:divBdr>
            </w:div>
            <w:div w:id="1979649362">
              <w:marLeft w:val="0"/>
              <w:marRight w:val="0"/>
              <w:marTop w:val="0"/>
              <w:marBottom w:val="0"/>
              <w:divBdr>
                <w:top w:val="none" w:sz="0" w:space="0" w:color="auto"/>
                <w:left w:val="none" w:sz="0" w:space="0" w:color="auto"/>
                <w:bottom w:val="none" w:sz="0" w:space="0" w:color="auto"/>
                <w:right w:val="none" w:sz="0" w:space="0" w:color="auto"/>
              </w:divBdr>
            </w:div>
            <w:div w:id="2126999546">
              <w:marLeft w:val="0"/>
              <w:marRight w:val="0"/>
              <w:marTop w:val="0"/>
              <w:marBottom w:val="0"/>
              <w:divBdr>
                <w:top w:val="none" w:sz="0" w:space="0" w:color="auto"/>
                <w:left w:val="none" w:sz="0" w:space="0" w:color="auto"/>
                <w:bottom w:val="none" w:sz="0" w:space="0" w:color="auto"/>
                <w:right w:val="none" w:sz="0" w:space="0" w:color="auto"/>
              </w:divBdr>
            </w:div>
          </w:divsChild>
        </w:div>
        <w:div w:id="502088433">
          <w:marLeft w:val="0"/>
          <w:marRight w:val="0"/>
          <w:marTop w:val="0"/>
          <w:marBottom w:val="0"/>
          <w:divBdr>
            <w:top w:val="none" w:sz="0" w:space="0" w:color="auto"/>
            <w:left w:val="none" w:sz="0" w:space="0" w:color="auto"/>
            <w:bottom w:val="none" w:sz="0" w:space="0" w:color="auto"/>
            <w:right w:val="none" w:sz="0" w:space="0" w:color="auto"/>
          </w:divBdr>
          <w:divsChild>
            <w:div w:id="168063974">
              <w:marLeft w:val="0"/>
              <w:marRight w:val="0"/>
              <w:marTop w:val="0"/>
              <w:marBottom w:val="0"/>
              <w:divBdr>
                <w:top w:val="none" w:sz="0" w:space="0" w:color="auto"/>
                <w:left w:val="none" w:sz="0" w:space="0" w:color="auto"/>
                <w:bottom w:val="none" w:sz="0" w:space="0" w:color="auto"/>
                <w:right w:val="none" w:sz="0" w:space="0" w:color="auto"/>
              </w:divBdr>
            </w:div>
            <w:div w:id="300578975">
              <w:marLeft w:val="0"/>
              <w:marRight w:val="0"/>
              <w:marTop w:val="0"/>
              <w:marBottom w:val="0"/>
              <w:divBdr>
                <w:top w:val="none" w:sz="0" w:space="0" w:color="auto"/>
                <w:left w:val="none" w:sz="0" w:space="0" w:color="auto"/>
                <w:bottom w:val="none" w:sz="0" w:space="0" w:color="auto"/>
                <w:right w:val="none" w:sz="0" w:space="0" w:color="auto"/>
              </w:divBdr>
            </w:div>
            <w:div w:id="425081657">
              <w:marLeft w:val="0"/>
              <w:marRight w:val="0"/>
              <w:marTop w:val="0"/>
              <w:marBottom w:val="0"/>
              <w:divBdr>
                <w:top w:val="none" w:sz="0" w:space="0" w:color="auto"/>
                <w:left w:val="none" w:sz="0" w:space="0" w:color="auto"/>
                <w:bottom w:val="none" w:sz="0" w:space="0" w:color="auto"/>
                <w:right w:val="none" w:sz="0" w:space="0" w:color="auto"/>
              </w:divBdr>
            </w:div>
            <w:div w:id="543754054">
              <w:marLeft w:val="0"/>
              <w:marRight w:val="0"/>
              <w:marTop w:val="0"/>
              <w:marBottom w:val="0"/>
              <w:divBdr>
                <w:top w:val="none" w:sz="0" w:space="0" w:color="auto"/>
                <w:left w:val="none" w:sz="0" w:space="0" w:color="auto"/>
                <w:bottom w:val="none" w:sz="0" w:space="0" w:color="auto"/>
                <w:right w:val="none" w:sz="0" w:space="0" w:color="auto"/>
              </w:divBdr>
            </w:div>
            <w:div w:id="757141169">
              <w:marLeft w:val="0"/>
              <w:marRight w:val="0"/>
              <w:marTop w:val="0"/>
              <w:marBottom w:val="0"/>
              <w:divBdr>
                <w:top w:val="none" w:sz="0" w:space="0" w:color="auto"/>
                <w:left w:val="none" w:sz="0" w:space="0" w:color="auto"/>
                <w:bottom w:val="none" w:sz="0" w:space="0" w:color="auto"/>
                <w:right w:val="none" w:sz="0" w:space="0" w:color="auto"/>
              </w:divBdr>
            </w:div>
            <w:div w:id="1268809510">
              <w:marLeft w:val="0"/>
              <w:marRight w:val="0"/>
              <w:marTop w:val="0"/>
              <w:marBottom w:val="0"/>
              <w:divBdr>
                <w:top w:val="none" w:sz="0" w:space="0" w:color="auto"/>
                <w:left w:val="none" w:sz="0" w:space="0" w:color="auto"/>
                <w:bottom w:val="none" w:sz="0" w:space="0" w:color="auto"/>
                <w:right w:val="none" w:sz="0" w:space="0" w:color="auto"/>
              </w:divBdr>
            </w:div>
            <w:div w:id="2142767973">
              <w:marLeft w:val="0"/>
              <w:marRight w:val="0"/>
              <w:marTop w:val="0"/>
              <w:marBottom w:val="0"/>
              <w:divBdr>
                <w:top w:val="none" w:sz="0" w:space="0" w:color="auto"/>
                <w:left w:val="none" w:sz="0" w:space="0" w:color="auto"/>
                <w:bottom w:val="none" w:sz="0" w:space="0" w:color="auto"/>
                <w:right w:val="none" w:sz="0" w:space="0" w:color="auto"/>
              </w:divBdr>
            </w:div>
          </w:divsChild>
        </w:div>
        <w:div w:id="552891516">
          <w:marLeft w:val="0"/>
          <w:marRight w:val="0"/>
          <w:marTop w:val="0"/>
          <w:marBottom w:val="0"/>
          <w:divBdr>
            <w:top w:val="none" w:sz="0" w:space="0" w:color="auto"/>
            <w:left w:val="none" w:sz="0" w:space="0" w:color="auto"/>
            <w:bottom w:val="none" w:sz="0" w:space="0" w:color="auto"/>
            <w:right w:val="none" w:sz="0" w:space="0" w:color="auto"/>
          </w:divBdr>
          <w:divsChild>
            <w:div w:id="241377925">
              <w:marLeft w:val="0"/>
              <w:marRight w:val="0"/>
              <w:marTop w:val="0"/>
              <w:marBottom w:val="0"/>
              <w:divBdr>
                <w:top w:val="none" w:sz="0" w:space="0" w:color="auto"/>
                <w:left w:val="none" w:sz="0" w:space="0" w:color="auto"/>
                <w:bottom w:val="none" w:sz="0" w:space="0" w:color="auto"/>
                <w:right w:val="none" w:sz="0" w:space="0" w:color="auto"/>
              </w:divBdr>
            </w:div>
            <w:div w:id="320357312">
              <w:marLeft w:val="0"/>
              <w:marRight w:val="0"/>
              <w:marTop w:val="0"/>
              <w:marBottom w:val="0"/>
              <w:divBdr>
                <w:top w:val="none" w:sz="0" w:space="0" w:color="auto"/>
                <w:left w:val="none" w:sz="0" w:space="0" w:color="auto"/>
                <w:bottom w:val="none" w:sz="0" w:space="0" w:color="auto"/>
                <w:right w:val="none" w:sz="0" w:space="0" w:color="auto"/>
              </w:divBdr>
            </w:div>
            <w:div w:id="331615332">
              <w:marLeft w:val="0"/>
              <w:marRight w:val="0"/>
              <w:marTop w:val="0"/>
              <w:marBottom w:val="0"/>
              <w:divBdr>
                <w:top w:val="none" w:sz="0" w:space="0" w:color="auto"/>
                <w:left w:val="none" w:sz="0" w:space="0" w:color="auto"/>
                <w:bottom w:val="none" w:sz="0" w:space="0" w:color="auto"/>
                <w:right w:val="none" w:sz="0" w:space="0" w:color="auto"/>
              </w:divBdr>
            </w:div>
            <w:div w:id="530997708">
              <w:marLeft w:val="0"/>
              <w:marRight w:val="0"/>
              <w:marTop w:val="0"/>
              <w:marBottom w:val="0"/>
              <w:divBdr>
                <w:top w:val="none" w:sz="0" w:space="0" w:color="auto"/>
                <w:left w:val="none" w:sz="0" w:space="0" w:color="auto"/>
                <w:bottom w:val="none" w:sz="0" w:space="0" w:color="auto"/>
                <w:right w:val="none" w:sz="0" w:space="0" w:color="auto"/>
              </w:divBdr>
            </w:div>
            <w:div w:id="588393855">
              <w:marLeft w:val="0"/>
              <w:marRight w:val="0"/>
              <w:marTop w:val="0"/>
              <w:marBottom w:val="0"/>
              <w:divBdr>
                <w:top w:val="none" w:sz="0" w:space="0" w:color="auto"/>
                <w:left w:val="none" w:sz="0" w:space="0" w:color="auto"/>
                <w:bottom w:val="none" w:sz="0" w:space="0" w:color="auto"/>
                <w:right w:val="none" w:sz="0" w:space="0" w:color="auto"/>
              </w:divBdr>
            </w:div>
            <w:div w:id="618726205">
              <w:marLeft w:val="0"/>
              <w:marRight w:val="0"/>
              <w:marTop w:val="0"/>
              <w:marBottom w:val="0"/>
              <w:divBdr>
                <w:top w:val="none" w:sz="0" w:space="0" w:color="auto"/>
                <w:left w:val="none" w:sz="0" w:space="0" w:color="auto"/>
                <w:bottom w:val="none" w:sz="0" w:space="0" w:color="auto"/>
                <w:right w:val="none" w:sz="0" w:space="0" w:color="auto"/>
              </w:divBdr>
            </w:div>
            <w:div w:id="816914503">
              <w:marLeft w:val="0"/>
              <w:marRight w:val="0"/>
              <w:marTop w:val="0"/>
              <w:marBottom w:val="0"/>
              <w:divBdr>
                <w:top w:val="none" w:sz="0" w:space="0" w:color="auto"/>
                <w:left w:val="none" w:sz="0" w:space="0" w:color="auto"/>
                <w:bottom w:val="none" w:sz="0" w:space="0" w:color="auto"/>
                <w:right w:val="none" w:sz="0" w:space="0" w:color="auto"/>
              </w:divBdr>
            </w:div>
            <w:div w:id="962468910">
              <w:marLeft w:val="0"/>
              <w:marRight w:val="0"/>
              <w:marTop w:val="0"/>
              <w:marBottom w:val="0"/>
              <w:divBdr>
                <w:top w:val="none" w:sz="0" w:space="0" w:color="auto"/>
                <w:left w:val="none" w:sz="0" w:space="0" w:color="auto"/>
                <w:bottom w:val="none" w:sz="0" w:space="0" w:color="auto"/>
                <w:right w:val="none" w:sz="0" w:space="0" w:color="auto"/>
              </w:divBdr>
            </w:div>
            <w:div w:id="1133670537">
              <w:marLeft w:val="0"/>
              <w:marRight w:val="0"/>
              <w:marTop w:val="0"/>
              <w:marBottom w:val="0"/>
              <w:divBdr>
                <w:top w:val="none" w:sz="0" w:space="0" w:color="auto"/>
                <w:left w:val="none" w:sz="0" w:space="0" w:color="auto"/>
                <w:bottom w:val="none" w:sz="0" w:space="0" w:color="auto"/>
                <w:right w:val="none" w:sz="0" w:space="0" w:color="auto"/>
              </w:divBdr>
            </w:div>
            <w:div w:id="1212574183">
              <w:marLeft w:val="0"/>
              <w:marRight w:val="0"/>
              <w:marTop w:val="0"/>
              <w:marBottom w:val="0"/>
              <w:divBdr>
                <w:top w:val="none" w:sz="0" w:space="0" w:color="auto"/>
                <w:left w:val="none" w:sz="0" w:space="0" w:color="auto"/>
                <w:bottom w:val="none" w:sz="0" w:space="0" w:color="auto"/>
                <w:right w:val="none" w:sz="0" w:space="0" w:color="auto"/>
              </w:divBdr>
            </w:div>
            <w:div w:id="1350639975">
              <w:marLeft w:val="0"/>
              <w:marRight w:val="0"/>
              <w:marTop w:val="0"/>
              <w:marBottom w:val="0"/>
              <w:divBdr>
                <w:top w:val="none" w:sz="0" w:space="0" w:color="auto"/>
                <w:left w:val="none" w:sz="0" w:space="0" w:color="auto"/>
                <w:bottom w:val="none" w:sz="0" w:space="0" w:color="auto"/>
                <w:right w:val="none" w:sz="0" w:space="0" w:color="auto"/>
              </w:divBdr>
            </w:div>
            <w:div w:id="1536578989">
              <w:marLeft w:val="0"/>
              <w:marRight w:val="0"/>
              <w:marTop w:val="0"/>
              <w:marBottom w:val="0"/>
              <w:divBdr>
                <w:top w:val="none" w:sz="0" w:space="0" w:color="auto"/>
                <w:left w:val="none" w:sz="0" w:space="0" w:color="auto"/>
                <w:bottom w:val="none" w:sz="0" w:space="0" w:color="auto"/>
                <w:right w:val="none" w:sz="0" w:space="0" w:color="auto"/>
              </w:divBdr>
            </w:div>
            <w:div w:id="1561675272">
              <w:marLeft w:val="0"/>
              <w:marRight w:val="0"/>
              <w:marTop w:val="0"/>
              <w:marBottom w:val="0"/>
              <w:divBdr>
                <w:top w:val="none" w:sz="0" w:space="0" w:color="auto"/>
                <w:left w:val="none" w:sz="0" w:space="0" w:color="auto"/>
                <w:bottom w:val="none" w:sz="0" w:space="0" w:color="auto"/>
                <w:right w:val="none" w:sz="0" w:space="0" w:color="auto"/>
              </w:divBdr>
            </w:div>
            <w:div w:id="1588806420">
              <w:marLeft w:val="0"/>
              <w:marRight w:val="0"/>
              <w:marTop w:val="0"/>
              <w:marBottom w:val="0"/>
              <w:divBdr>
                <w:top w:val="none" w:sz="0" w:space="0" w:color="auto"/>
                <w:left w:val="none" w:sz="0" w:space="0" w:color="auto"/>
                <w:bottom w:val="none" w:sz="0" w:space="0" w:color="auto"/>
                <w:right w:val="none" w:sz="0" w:space="0" w:color="auto"/>
              </w:divBdr>
            </w:div>
            <w:div w:id="1666201598">
              <w:marLeft w:val="0"/>
              <w:marRight w:val="0"/>
              <w:marTop w:val="0"/>
              <w:marBottom w:val="0"/>
              <w:divBdr>
                <w:top w:val="none" w:sz="0" w:space="0" w:color="auto"/>
                <w:left w:val="none" w:sz="0" w:space="0" w:color="auto"/>
                <w:bottom w:val="none" w:sz="0" w:space="0" w:color="auto"/>
                <w:right w:val="none" w:sz="0" w:space="0" w:color="auto"/>
              </w:divBdr>
            </w:div>
            <w:div w:id="1674333865">
              <w:marLeft w:val="0"/>
              <w:marRight w:val="0"/>
              <w:marTop w:val="0"/>
              <w:marBottom w:val="0"/>
              <w:divBdr>
                <w:top w:val="none" w:sz="0" w:space="0" w:color="auto"/>
                <w:left w:val="none" w:sz="0" w:space="0" w:color="auto"/>
                <w:bottom w:val="none" w:sz="0" w:space="0" w:color="auto"/>
                <w:right w:val="none" w:sz="0" w:space="0" w:color="auto"/>
              </w:divBdr>
            </w:div>
            <w:div w:id="1683504985">
              <w:marLeft w:val="0"/>
              <w:marRight w:val="0"/>
              <w:marTop w:val="0"/>
              <w:marBottom w:val="0"/>
              <w:divBdr>
                <w:top w:val="none" w:sz="0" w:space="0" w:color="auto"/>
                <w:left w:val="none" w:sz="0" w:space="0" w:color="auto"/>
                <w:bottom w:val="none" w:sz="0" w:space="0" w:color="auto"/>
                <w:right w:val="none" w:sz="0" w:space="0" w:color="auto"/>
              </w:divBdr>
            </w:div>
            <w:div w:id="2041515995">
              <w:marLeft w:val="0"/>
              <w:marRight w:val="0"/>
              <w:marTop w:val="0"/>
              <w:marBottom w:val="0"/>
              <w:divBdr>
                <w:top w:val="none" w:sz="0" w:space="0" w:color="auto"/>
                <w:left w:val="none" w:sz="0" w:space="0" w:color="auto"/>
                <w:bottom w:val="none" w:sz="0" w:space="0" w:color="auto"/>
                <w:right w:val="none" w:sz="0" w:space="0" w:color="auto"/>
              </w:divBdr>
            </w:div>
            <w:div w:id="2092465194">
              <w:marLeft w:val="0"/>
              <w:marRight w:val="0"/>
              <w:marTop w:val="0"/>
              <w:marBottom w:val="0"/>
              <w:divBdr>
                <w:top w:val="none" w:sz="0" w:space="0" w:color="auto"/>
                <w:left w:val="none" w:sz="0" w:space="0" w:color="auto"/>
                <w:bottom w:val="none" w:sz="0" w:space="0" w:color="auto"/>
                <w:right w:val="none" w:sz="0" w:space="0" w:color="auto"/>
              </w:divBdr>
            </w:div>
            <w:div w:id="2117021637">
              <w:marLeft w:val="0"/>
              <w:marRight w:val="0"/>
              <w:marTop w:val="0"/>
              <w:marBottom w:val="0"/>
              <w:divBdr>
                <w:top w:val="none" w:sz="0" w:space="0" w:color="auto"/>
                <w:left w:val="none" w:sz="0" w:space="0" w:color="auto"/>
                <w:bottom w:val="none" w:sz="0" w:space="0" w:color="auto"/>
                <w:right w:val="none" w:sz="0" w:space="0" w:color="auto"/>
              </w:divBdr>
            </w:div>
          </w:divsChild>
        </w:div>
        <w:div w:id="904992895">
          <w:marLeft w:val="0"/>
          <w:marRight w:val="0"/>
          <w:marTop w:val="0"/>
          <w:marBottom w:val="0"/>
          <w:divBdr>
            <w:top w:val="none" w:sz="0" w:space="0" w:color="auto"/>
            <w:left w:val="none" w:sz="0" w:space="0" w:color="auto"/>
            <w:bottom w:val="none" w:sz="0" w:space="0" w:color="auto"/>
            <w:right w:val="none" w:sz="0" w:space="0" w:color="auto"/>
          </w:divBdr>
          <w:divsChild>
            <w:div w:id="28579285">
              <w:marLeft w:val="0"/>
              <w:marRight w:val="0"/>
              <w:marTop w:val="0"/>
              <w:marBottom w:val="0"/>
              <w:divBdr>
                <w:top w:val="none" w:sz="0" w:space="0" w:color="auto"/>
                <w:left w:val="none" w:sz="0" w:space="0" w:color="auto"/>
                <w:bottom w:val="none" w:sz="0" w:space="0" w:color="auto"/>
                <w:right w:val="none" w:sz="0" w:space="0" w:color="auto"/>
              </w:divBdr>
            </w:div>
            <w:div w:id="48775174">
              <w:marLeft w:val="0"/>
              <w:marRight w:val="0"/>
              <w:marTop w:val="0"/>
              <w:marBottom w:val="0"/>
              <w:divBdr>
                <w:top w:val="none" w:sz="0" w:space="0" w:color="auto"/>
                <w:left w:val="none" w:sz="0" w:space="0" w:color="auto"/>
                <w:bottom w:val="none" w:sz="0" w:space="0" w:color="auto"/>
                <w:right w:val="none" w:sz="0" w:space="0" w:color="auto"/>
              </w:divBdr>
            </w:div>
            <w:div w:id="166797404">
              <w:marLeft w:val="0"/>
              <w:marRight w:val="0"/>
              <w:marTop w:val="0"/>
              <w:marBottom w:val="0"/>
              <w:divBdr>
                <w:top w:val="none" w:sz="0" w:space="0" w:color="auto"/>
                <w:left w:val="none" w:sz="0" w:space="0" w:color="auto"/>
                <w:bottom w:val="none" w:sz="0" w:space="0" w:color="auto"/>
                <w:right w:val="none" w:sz="0" w:space="0" w:color="auto"/>
              </w:divBdr>
            </w:div>
            <w:div w:id="206988392">
              <w:marLeft w:val="0"/>
              <w:marRight w:val="0"/>
              <w:marTop w:val="0"/>
              <w:marBottom w:val="0"/>
              <w:divBdr>
                <w:top w:val="none" w:sz="0" w:space="0" w:color="auto"/>
                <w:left w:val="none" w:sz="0" w:space="0" w:color="auto"/>
                <w:bottom w:val="none" w:sz="0" w:space="0" w:color="auto"/>
                <w:right w:val="none" w:sz="0" w:space="0" w:color="auto"/>
              </w:divBdr>
            </w:div>
            <w:div w:id="291640023">
              <w:marLeft w:val="0"/>
              <w:marRight w:val="0"/>
              <w:marTop w:val="0"/>
              <w:marBottom w:val="0"/>
              <w:divBdr>
                <w:top w:val="none" w:sz="0" w:space="0" w:color="auto"/>
                <w:left w:val="none" w:sz="0" w:space="0" w:color="auto"/>
                <w:bottom w:val="none" w:sz="0" w:space="0" w:color="auto"/>
                <w:right w:val="none" w:sz="0" w:space="0" w:color="auto"/>
              </w:divBdr>
            </w:div>
            <w:div w:id="311521373">
              <w:marLeft w:val="0"/>
              <w:marRight w:val="0"/>
              <w:marTop w:val="0"/>
              <w:marBottom w:val="0"/>
              <w:divBdr>
                <w:top w:val="none" w:sz="0" w:space="0" w:color="auto"/>
                <w:left w:val="none" w:sz="0" w:space="0" w:color="auto"/>
                <w:bottom w:val="none" w:sz="0" w:space="0" w:color="auto"/>
                <w:right w:val="none" w:sz="0" w:space="0" w:color="auto"/>
              </w:divBdr>
            </w:div>
            <w:div w:id="383018762">
              <w:marLeft w:val="0"/>
              <w:marRight w:val="0"/>
              <w:marTop w:val="0"/>
              <w:marBottom w:val="0"/>
              <w:divBdr>
                <w:top w:val="none" w:sz="0" w:space="0" w:color="auto"/>
                <w:left w:val="none" w:sz="0" w:space="0" w:color="auto"/>
                <w:bottom w:val="none" w:sz="0" w:space="0" w:color="auto"/>
                <w:right w:val="none" w:sz="0" w:space="0" w:color="auto"/>
              </w:divBdr>
            </w:div>
            <w:div w:id="456682684">
              <w:marLeft w:val="0"/>
              <w:marRight w:val="0"/>
              <w:marTop w:val="0"/>
              <w:marBottom w:val="0"/>
              <w:divBdr>
                <w:top w:val="none" w:sz="0" w:space="0" w:color="auto"/>
                <w:left w:val="none" w:sz="0" w:space="0" w:color="auto"/>
                <w:bottom w:val="none" w:sz="0" w:space="0" w:color="auto"/>
                <w:right w:val="none" w:sz="0" w:space="0" w:color="auto"/>
              </w:divBdr>
            </w:div>
            <w:div w:id="642278436">
              <w:marLeft w:val="0"/>
              <w:marRight w:val="0"/>
              <w:marTop w:val="0"/>
              <w:marBottom w:val="0"/>
              <w:divBdr>
                <w:top w:val="none" w:sz="0" w:space="0" w:color="auto"/>
                <w:left w:val="none" w:sz="0" w:space="0" w:color="auto"/>
                <w:bottom w:val="none" w:sz="0" w:space="0" w:color="auto"/>
                <w:right w:val="none" w:sz="0" w:space="0" w:color="auto"/>
              </w:divBdr>
            </w:div>
            <w:div w:id="828447519">
              <w:marLeft w:val="0"/>
              <w:marRight w:val="0"/>
              <w:marTop w:val="0"/>
              <w:marBottom w:val="0"/>
              <w:divBdr>
                <w:top w:val="none" w:sz="0" w:space="0" w:color="auto"/>
                <w:left w:val="none" w:sz="0" w:space="0" w:color="auto"/>
                <w:bottom w:val="none" w:sz="0" w:space="0" w:color="auto"/>
                <w:right w:val="none" w:sz="0" w:space="0" w:color="auto"/>
              </w:divBdr>
            </w:div>
            <w:div w:id="863401692">
              <w:marLeft w:val="0"/>
              <w:marRight w:val="0"/>
              <w:marTop w:val="0"/>
              <w:marBottom w:val="0"/>
              <w:divBdr>
                <w:top w:val="none" w:sz="0" w:space="0" w:color="auto"/>
                <w:left w:val="none" w:sz="0" w:space="0" w:color="auto"/>
                <w:bottom w:val="none" w:sz="0" w:space="0" w:color="auto"/>
                <w:right w:val="none" w:sz="0" w:space="0" w:color="auto"/>
              </w:divBdr>
            </w:div>
            <w:div w:id="1034311333">
              <w:marLeft w:val="0"/>
              <w:marRight w:val="0"/>
              <w:marTop w:val="0"/>
              <w:marBottom w:val="0"/>
              <w:divBdr>
                <w:top w:val="none" w:sz="0" w:space="0" w:color="auto"/>
                <w:left w:val="none" w:sz="0" w:space="0" w:color="auto"/>
                <w:bottom w:val="none" w:sz="0" w:space="0" w:color="auto"/>
                <w:right w:val="none" w:sz="0" w:space="0" w:color="auto"/>
              </w:divBdr>
            </w:div>
            <w:div w:id="1061833567">
              <w:marLeft w:val="0"/>
              <w:marRight w:val="0"/>
              <w:marTop w:val="0"/>
              <w:marBottom w:val="0"/>
              <w:divBdr>
                <w:top w:val="none" w:sz="0" w:space="0" w:color="auto"/>
                <w:left w:val="none" w:sz="0" w:space="0" w:color="auto"/>
                <w:bottom w:val="none" w:sz="0" w:space="0" w:color="auto"/>
                <w:right w:val="none" w:sz="0" w:space="0" w:color="auto"/>
              </w:divBdr>
            </w:div>
            <w:div w:id="1076167747">
              <w:marLeft w:val="0"/>
              <w:marRight w:val="0"/>
              <w:marTop w:val="0"/>
              <w:marBottom w:val="0"/>
              <w:divBdr>
                <w:top w:val="none" w:sz="0" w:space="0" w:color="auto"/>
                <w:left w:val="none" w:sz="0" w:space="0" w:color="auto"/>
                <w:bottom w:val="none" w:sz="0" w:space="0" w:color="auto"/>
                <w:right w:val="none" w:sz="0" w:space="0" w:color="auto"/>
              </w:divBdr>
            </w:div>
            <w:div w:id="1207260291">
              <w:marLeft w:val="0"/>
              <w:marRight w:val="0"/>
              <w:marTop w:val="0"/>
              <w:marBottom w:val="0"/>
              <w:divBdr>
                <w:top w:val="none" w:sz="0" w:space="0" w:color="auto"/>
                <w:left w:val="none" w:sz="0" w:space="0" w:color="auto"/>
                <w:bottom w:val="none" w:sz="0" w:space="0" w:color="auto"/>
                <w:right w:val="none" w:sz="0" w:space="0" w:color="auto"/>
              </w:divBdr>
            </w:div>
            <w:div w:id="1225722320">
              <w:marLeft w:val="0"/>
              <w:marRight w:val="0"/>
              <w:marTop w:val="0"/>
              <w:marBottom w:val="0"/>
              <w:divBdr>
                <w:top w:val="none" w:sz="0" w:space="0" w:color="auto"/>
                <w:left w:val="none" w:sz="0" w:space="0" w:color="auto"/>
                <w:bottom w:val="none" w:sz="0" w:space="0" w:color="auto"/>
                <w:right w:val="none" w:sz="0" w:space="0" w:color="auto"/>
              </w:divBdr>
            </w:div>
            <w:div w:id="1304778362">
              <w:marLeft w:val="0"/>
              <w:marRight w:val="0"/>
              <w:marTop w:val="0"/>
              <w:marBottom w:val="0"/>
              <w:divBdr>
                <w:top w:val="none" w:sz="0" w:space="0" w:color="auto"/>
                <w:left w:val="none" w:sz="0" w:space="0" w:color="auto"/>
                <w:bottom w:val="none" w:sz="0" w:space="0" w:color="auto"/>
                <w:right w:val="none" w:sz="0" w:space="0" w:color="auto"/>
              </w:divBdr>
            </w:div>
            <w:div w:id="1666476721">
              <w:marLeft w:val="0"/>
              <w:marRight w:val="0"/>
              <w:marTop w:val="0"/>
              <w:marBottom w:val="0"/>
              <w:divBdr>
                <w:top w:val="none" w:sz="0" w:space="0" w:color="auto"/>
                <w:left w:val="none" w:sz="0" w:space="0" w:color="auto"/>
                <w:bottom w:val="none" w:sz="0" w:space="0" w:color="auto"/>
                <w:right w:val="none" w:sz="0" w:space="0" w:color="auto"/>
              </w:divBdr>
            </w:div>
            <w:div w:id="1689528501">
              <w:marLeft w:val="0"/>
              <w:marRight w:val="0"/>
              <w:marTop w:val="0"/>
              <w:marBottom w:val="0"/>
              <w:divBdr>
                <w:top w:val="none" w:sz="0" w:space="0" w:color="auto"/>
                <w:left w:val="none" w:sz="0" w:space="0" w:color="auto"/>
                <w:bottom w:val="none" w:sz="0" w:space="0" w:color="auto"/>
                <w:right w:val="none" w:sz="0" w:space="0" w:color="auto"/>
              </w:divBdr>
            </w:div>
            <w:div w:id="2027630327">
              <w:marLeft w:val="0"/>
              <w:marRight w:val="0"/>
              <w:marTop w:val="0"/>
              <w:marBottom w:val="0"/>
              <w:divBdr>
                <w:top w:val="none" w:sz="0" w:space="0" w:color="auto"/>
                <w:left w:val="none" w:sz="0" w:space="0" w:color="auto"/>
                <w:bottom w:val="none" w:sz="0" w:space="0" w:color="auto"/>
                <w:right w:val="none" w:sz="0" w:space="0" w:color="auto"/>
              </w:divBdr>
            </w:div>
          </w:divsChild>
        </w:div>
        <w:div w:id="1900824463">
          <w:marLeft w:val="0"/>
          <w:marRight w:val="0"/>
          <w:marTop w:val="0"/>
          <w:marBottom w:val="0"/>
          <w:divBdr>
            <w:top w:val="none" w:sz="0" w:space="0" w:color="auto"/>
            <w:left w:val="none" w:sz="0" w:space="0" w:color="auto"/>
            <w:bottom w:val="none" w:sz="0" w:space="0" w:color="auto"/>
            <w:right w:val="none" w:sz="0" w:space="0" w:color="auto"/>
          </w:divBdr>
          <w:divsChild>
            <w:div w:id="21906930">
              <w:marLeft w:val="0"/>
              <w:marRight w:val="0"/>
              <w:marTop w:val="0"/>
              <w:marBottom w:val="0"/>
              <w:divBdr>
                <w:top w:val="none" w:sz="0" w:space="0" w:color="auto"/>
                <w:left w:val="none" w:sz="0" w:space="0" w:color="auto"/>
                <w:bottom w:val="none" w:sz="0" w:space="0" w:color="auto"/>
                <w:right w:val="none" w:sz="0" w:space="0" w:color="auto"/>
              </w:divBdr>
            </w:div>
            <w:div w:id="70660665">
              <w:marLeft w:val="0"/>
              <w:marRight w:val="0"/>
              <w:marTop w:val="0"/>
              <w:marBottom w:val="0"/>
              <w:divBdr>
                <w:top w:val="none" w:sz="0" w:space="0" w:color="auto"/>
                <w:left w:val="none" w:sz="0" w:space="0" w:color="auto"/>
                <w:bottom w:val="none" w:sz="0" w:space="0" w:color="auto"/>
                <w:right w:val="none" w:sz="0" w:space="0" w:color="auto"/>
              </w:divBdr>
            </w:div>
            <w:div w:id="116221864">
              <w:marLeft w:val="0"/>
              <w:marRight w:val="0"/>
              <w:marTop w:val="0"/>
              <w:marBottom w:val="0"/>
              <w:divBdr>
                <w:top w:val="none" w:sz="0" w:space="0" w:color="auto"/>
                <w:left w:val="none" w:sz="0" w:space="0" w:color="auto"/>
                <w:bottom w:val="none" w:sz="0" w:space="0" w:color="auto"/>
                <w:right w:val="none" w:sz="0" w:space="0" w:color="auto"/>
              </w:divBdr>
            </w:div>
            <w:div w:id="327641205">
              <w:marLeft w:val="0"/>
              <w:marRight w:val="0"/>
              <w:marTop w:val="0"/>
              <w:marBottom w:val="0"/>
              <w:divBdr>
                <w:top w:val="none" w:sz="0" w:space="0" w:color="auto"/>
                <w:left w:val="none" w:sz="0" w:space="0" w:color="auto"/>
                <w:bottom w:val="none" w:sz="0" w:space="0" w:color="auto"/>
                <w:right w:val="none" w:sz="0" w:space="0" w:color="auto"/>
              </w:divBdr>
            </w:div>
            <w:div w:id="339740609">
              <w:marLeft w:val="0"/>
              <w:marRight w:val="0"/>
              <w:marTop w:val="0"/>
              <w:marBottom w:val="0"/>
              <w:divBdr>
                <w:top w:val="none" w:sz="0" w:space="0" w:color="auto"/>
                <w:left w:val="none" w:sz="0" w:space="0" w:color="auto"/>
                <w:bottom w:val="none" w:sz="0" w:space="0" w:color="auto"/>
                <w:right w:val="none" w:sz="0" w:space="0" w:color="auto"/>
              </w:divBdr>
            </w:div>
            <w:div w:id="345251931">
              <w:marLeft w:val="0"/>
              <w:marRight w:val="0"/>
              <w:marTop w:val="0"/>
              <w:marBottom w:val="0"/>
              <w:divBdr>
                <w:top w:val="none" w:sz="0" w:space="0" w:color="auto"/>
                <w:left w:val="none" w:sz="0" w:space="0" w:color="auto"/>
                <w:bottom w:val="none" w:sz="0" w:space="0" w:color="auto"/>
                <w:right w:val="none" w:sz="0" w:space="0" w:color="auto"/>
              </w:divBdr>
            </w:div>
            <w:div w:id="496264911">
              <w:marLeft w:val="0"/>
              <w:marRight w:val="0"/>
              <w:marTop w:val="0"/>
              <w:marBottom w:val="0"/>
              <w:divBdr>
                <w:top w:val="none" w:sz="0" w:space="0" w:color="auto"/>
                <w:left w:val="none" w:sz="0" w:space="0" w:color="auto"/>
                <w:bottom w:val="none" w:sz="0" w:space="0" w:color="auto"/>
                <w:right w:val="none" w:sz="0" w:space="0" w:color="auto"/>
              </w:divBdr>
            </w:div>
            <w:div w:id="579296667">
              <w:marLeft w:val="0"/>
              <w:marRight w:val="0"/>
              <w:marTop w:val="0"/>
              <w:marBottom w:val="0"/>
              <w:divBdr>
                <w:top w:val="none" w:sz="0" w:space="0" w:color="auto"/>
                <w:left w:val="none" w:sz="0" w:space="0" w:color="auto"/>
                <w:bottom w:val="none" w:sz="0" w:space="0" w:color="auto"/>
                <w:right w:val="none" w:sz="0" w:space="0" w:color="auto"/>
              </w:divBdr>
            </w:div>
            <w:div w:id="758218503">
              <w:marLeft w:val="0"/>
              <w:marRight w:val="0"/>
              <w:marTop w:val="0"/>
              <w:marBottom w:val="0"/>
              <w:divBdr>
                <w:top w:val="none" w:sz="0" w:space="0" w:color="auto"/>
                <w:left w:val="none" w:sz="0" w:space="0" w:color="auto"/>
                <w:bottom w:val="none" w:sz="0" w:space="0" w:color="auto"/>
                <w:right w:val="none" w:sz="0" w:space="0" w:color="auto"/>
              </w:divBdr>
            </w:div>
            <w:div w:id="799307303">
              <w:marLeft w:val="0"/>
              <w:marRight w:val="0"/>
              <w:marTop w:val="0"/>
              <w:marBottom w:val="0"/>
              <w:divBdr>
                <w:top w:val="none" w:sz="0" w:space="0" w:color="auto"/>
                <w:left w:val="none" w:sz="0" w:space="0" w:color="auto"/>
                <w:bottom w:val="none" w:sz="0" w:space="0" w:color="auto"/>
                <w:right w:val="none" w:sz="0" w:space="0" w:color="auto"/>
              </w:divBdr>
            </w:div>
            <w:div w:id="815997574">
              <w:marLeft w:val="0"/>
              <w:marRight w:val="0"/>
              <w:marTop w:val="0"/>
              <w:marBottom w:val="0"/>
              <w:divBdr>
                <w:top w:val="none" w:sz="0" w:space="0" w:color="auto"/>
                <w:left w:val="none" w:sz="0" w:space="0" w:color="auto"/>
                <w:bottom w:val="none" w:sz="0" w:space="0" w:color="auto"/>
                <w:right w:val="none" w:sz="0" w:space="0" w:color="auto"/>
              </w:divBdr>
            </w:div>
            <w:div w:id="921448493">
              <w:marLeft w:val="0"/>
              <w:marRight w:val="0"/>
              <w:marTop w:val="0"/>
              <w:marBottom w:val="0"/>
              <w:divBdr>
                <w:top w:val="none" w:sz="0" w:space="0" w:color="auto"/>
                <w:left w:val="none" w:sz="0" w:space="0" w:color="auto"/>
                <w:bottom w:val="none" w:sz="0" w:space="0" w:color="auto"/>
                <w:right w:val="none" w:sz="0" w:space="0" w:color="auto"/>
              </w:divBdr>
            </w:div>
            <w:div w:id="964963749">
              <w:marLeft w:val="0"/>
              <w:marRight w:val="0"/>
              <w:marTop w:val="0"/>
              <w:marBottom w:val="0"/>
              <w:divBdr>
                <w:top w:val="none" w:sz="0" w:space="0" w:color="auto"/>
                <w:left w:val="none" w:sz="0" w:space="0" w:color="auto"/>
                <w:bottom w:val="none" w:sz="0" w:space="0" w:color="auto"/>
                <w:right w:val="none" w:sz="0" w:space="0" w:color="auto"/>
              </w:divBdr>
            </w:div>
            <w:div w:id="1076977329">
              <w:marLeft w:val="0"/>
              <w:marRight w:val="0"/>
              <w:marTop w:val="0"/>
              <w:marBottom w:val="0"/>
              <w:divBdr>
                <w:top w:val="none" w:sz="0" w:space="0" w:color="auto"/>
                <w:left w:val="none" w:sz="0" w:space="0" w:color="auto"/>
                <w:bottom w:val="none" w:sz="0" w:space="0" w:color="auto"/>
                <w:right w:val="none" w:sz="0" w:space="0" w:color="auto"/>
              </w:divBdr>
            </w:div>
            <w:div w:id="1381636779">
              <w:marLeft w:val="0"/>
              <w:marRight w:val="0"/>
              <w:marTop w:val="0"/>
              <w:marBottom w:val="0"/>
              <w:divBdr>
                <w:top w:val="none" w:sz="0" w:space="0" w:color="auto"/>
                <w:left w:val="none" w:sz="0" w:space="0" w:color="auto"/>
                <w:bottom w:val="none" w:sz="0" w:space="0" w:color="auto"/>
                <w:right w:val="none" w:sz="0" w:space="0" w:color="auto"/>
              </w:divBdr>
            </w:div>
            <w:div w:id="1440292580">
              <w:marLeft w:val="0"/>
              <w:marRight w:val="0"/>
              <w:marTop w:val="0"/>
              <w:marBottom w:val="0"/>
              <w:divBdr>
                <w:top w:val="none" w:sz="0" w:space="0" w:color="auto"/>
                <w:left w:val="none" w:sz="0" w:space="0" w:color="auto"/>
                <w:bottom w:val="none" w:sz="0" w:space="0" w:color="auto"/>
                <w:right w:val="none" w:sz="0" w:space="0" w:color="auto"/>
              </w:divBdr>
            </w:div>
            <w:div w:id="1690450303">
              <w:marLeft w:val="0"/>
              <w:marRight w:val="0"/>
              <w:marTop w:val="0"/>
              <w:marBottom w:val="0"/>
              <w:divBdr>
                <w:top w:val="none" w:sz="0" w:space="0" w:color="auto"/>
                <w:left w:val="none" w:sz="0" w:space="0" w:color="auto"/>
                <w:bottom w:val="none" w:sz="0" w:space="0" w:color="auto"/>
                <w:right w:val="none" w:sz="0" w:space="0" w:color="auto"/>
              </w:divBdr>
            </w:div>
            <w:div w:id="1888225434">
              <w:marLeft w:val="0"/>
              <w:marRight w:val="0"/>
              <w:marTop w:val="0"/>
              <w:marBottom w:val="0"/>
              <w:divBdr>
                <w:top w:val="none" w:sz="0" w:space="0" w:color="auto"/>
                <w:left w:val="none" w:sz="0" w:space="0" w:color="auto"/>
                <w:bottom w:val="none" w:sz="0" w:space="0" w:color="auto"/>
                <w:right w:val="none" w:sz="0" w:space="0" w:color="auto"/>
              </w:divBdr>
            </w:div>
            <w:div w:id="1976830714">
              <w:marLeft w:val="0"/>
              <w:marRight w:val="0"/>
              <w:marTop w:val="0"/>
              <w:marBottom w:val="0"/>
              <w:divBdr>
                <w:top w:val="none" w:sz="0" w:space="0" w:color="auto"/>
                <w:left w:val="none" w:sz="0" w:space="0" w:color="auto"/>
                <w:bottom w:val="none" w:sz="0" w:space="0" w:color="auto"/>
                <w:right w:val="none" w:sz="0" w:space="0" w:color="auto"/>
              </w:divBdr>
            </w:div>
            <w:div w:id="2145926088">
              <w:marLeft w:val="0"/>
              <w:marRight w:val="0"/>
              <w:marTop w:val="0"/>
              <w:marBottom w:val="0"/>
              <w:divBdr>
                <w:top w:val="none" w:sz="0" w:space="0" w:color="auto"/>
                <w:left w:val="none" w:sz="0" w:space="0" w:color="auto"/>
                <w:bottom w:val="none" w:sz="0" w:space="0" w:color="auto"/>
                <w:right w:val="none" w:sz="0" w:space="0" w:color="auto"/>
              </w:divBdr>
            </w:div>
          </w:divsChild>
        </w:div>
        <w:div w:id="2044359887">
          <w:marLeft w:val="0"/>
          <w:marRight w:val="0"/>
          <w:marTop w:val="0"/>
          <w:marBottom w:val="0"/>
          <w:divBdr>
            <w:top w:val="none" w:sz="0" w:space="0" w:color="auto"/>
            <w:left w:val="none" w:sz="0" w:space="0" w:color="auto"/>
            <w:bottom w:val="none" w:sz="0" w:space="0" w:color="auto"/>
            <w:right w:val="none" w:sz="0" w:space="0" w:color="auto"/>
          </w:divBdr>
          <w:divsChild>
            <w:div w:id="96292038">
              <w:marLeft w:val="0"/>
              <w:marRight w:val="0"/>
              <w:marTop w:val="0"/>
              <w:marBottom w:val="0"/>
              <w:divBdr>
                <w:top w:val="none" w:sz="0" w:space="0" w:color="auto"/>
                <w:left w:val="none" w:sz="0" w:space="0" w:color="auto"/>
                <w:bottom w:val="none" w:sz="0" w:space="0" w:color="auto"/>
                <w:right w:val="none" w:sz="0" w:space="0" w:color="auto"/>
              </w:divBdr>
            </w:div>
            <w:div w:id="184252030">
              <w:marLeft w:val="0"/>
              <w:marRight w:val="0"/>
              <w:marTop w:val="0"/>
              <w:marBottom w:val="0"/>
              <w:divBdr>
                <w:top w:val="none" w:sz="0" w:space="0" w:color="auto"/>
                <w:left w:val="none" w:sz="0" w:space="0" w:color="auto"/>
                <w:bottom w:val="none" w:sz="0" w:space="0" w:color="auto"/>
                <w:right w:val="none" w:sz="0" w:space="0" w:color="auto"/>
              </w:divBdr>
            </w:div>
            <w:div w:id="224068583">
              <w:marLeft w:val="0"/>
              <w:marRight w:val="0"/>
              <w:marTop w:val="0"/>
              <w:marBottom w:val="0"/>
              <w:divBdr>
                <w:top w:val="none" w:sz="0" w:space="0" w:color="auto"/>
                <w:left w:val="none" w:sz="0" w:space="0" w:color="auto"/>
                <w:bottom w:val="none" w:sz="0" w:space="0" w:color="auto"/>
                <w:right w:val="none" w:sz="0" w:space="0" w:color="auto"/>
              </w:divBdr>
            </w:div>
            <w:div w:id="410549288">
              <w:marLeft w:val="0"/>
              <w:marRight w:val="0"/>
              <w:marTop w:val="0"/>
              <w:marBottom w:val="0"/>
              <w:divBdr>
                <w:top w:val="none" w:sz="0" w:space="0" w:color="auto"/>
                <w:left w:val="none" w:sz="0" w:space="0" w:color="auto"/>
                <w:bottom w:val="none" w:sz="0" w:space="0" w:color="auto"/>
                <w:right w:val="none" w:sz="0" w:space="0" w:color="auto"/>
              </w:divBdr>
            </w:div>
            <w:div w:id="1062018370">
              <w:marLeft w:val="0"/>
              <w:marRight w:val="0"/>
              <w:marTop w:val="0"/>
              <w:marBottom w:val="0"/>
              <w:divBdr>
                <w:top w:val="none" w:sz="0" w:space="0" w:color="auto"/>
                <w:left w:val="none" w:sz="0" w:space="0" w:color="auto"/>
                <w:bottom w:val="none" w:sz="0" w:space="0" w:color="auto"/>
                <w:right w:val="none" w:sz="0" w:space="0" w:color="auto"/>
              </w:divBdr>
            </w:div>
            <w:div w:id="1131896967">
              <w:marLeft w:val="0"/>
              <w:marRight w:val="0"/>
              <w:marTop w:val="0"/>
              <w:marBottom w:val="0"/>
              <w:divBdr>
                <w:top w:val="none" w:sz="0" w:space="0" w:color="auto"/>
                <w:left w:val="none" w:sz="0" w:space="0" w:color="auto"/>
                <w:bottom w:val="none" w:sz="0" w:space="0" w:color="auto"/>
                <w:right w:val="none" w:sz="0" w:space="0" w:color="auto"/>
              </w:divBdr>
            </w:div>
            <w:div w:id="1194884748">
              <w:marLeft w:val="0"/>
              <w:marRight w:val="0"/>
              <w:marTop w:val="0"/>
              <w:marBottom w:val="0"/>
              <w:divBdr>
                <w:top w:val="none" w:sz="0" w:space="0" w:color="auto"/>
                <w:left w:val="none" w:sz="0" w:space="0" w:color="auto"/>
                <w:bottom w:val="none" w:sz="0" w:space="0" w:color="auto"/>
                <w:right w:val="none" w:sz="0" w:space="0" w:color="auto"/>
              </w:divBdr>
            </w:div>
            <w:div w:id="1245839561">
              <w:marLeft w:val="0"/>
              <w:marRight w:val="0"/>
              <w:marTop w:val="0"/>
              <w:marBottom w:val="0"/>
              <w:divBdr>
                <w:top w:val="none" w:sz="0" w:space="0" w:color="auto"/>
                <w:left w:val="none" w:sz="0" w:space="0" w:color="auto"/>
                <w:bottom w:val="none" w:sz="0" w:space="0" w:color="auto"/>
                <w:right w:val="none" w:sz="0" w:space="0" w:color="auto"/>
              </w:divBdr>
            </w:div>
            <w:div w:id="1277904874">
              <w:marLeft w:val="0"/>
              <w:marRight w:val="0"/>
              <w:marTop w:val="0"/>
              <w:marBottom w:val="0"/>
              <w:divBdr>
                <w:top w:val="none" w:sz="0" w:space="0" w:color="auto"/>
                <w:left w:val="none" w:sz="0" w:space="0" w:color="auto"/>
                <w:bottom w:val="none" w:sz="0" w:space="0" w:color="auto"/>
                <w:right w:val="none" w:sz="0" w:space="0" w:color="auto"/>
              </w:divBdr>
            </w:div>
            <w:div w:id="1398628602">
              <w:marLeft w:val="0"/>
              <w:marRight w:val="0"/>
              <w:marTop w:val="0"/>
              <w:marBottom w:val="0"/>
              <w:divBdr>
                <w:top w:val="none" w:sz="0" w:space="0" w:color="auto"/>
                <w:left w:val="none" w:sz="0" w:space="0" w:color="auto"/>
                <w:bottom w:val="none" w:sz="0" w:space="0" w:color="auto"/>
                <w:right w:val="none" w:sz="0" w:space="0" w:color="auto"/>
              </w:divBdr>
            </w:div>
            <w:div w:id="1422146188">
              <w:marLeft w:val="0"/>
              <w:marRight w:val="0"/>
              <w:marTop w:val="0"/>
              <w:marBottom w:val="0"/>
              <w:divBdr>
                <w:top w:val="none" w:sz="0" w:space="0" w:color="auto"/>
                <w:left w:val="none" w:sz="0" w:space="0" w:color="auto"/>
                <w:bottom w:val="none" w:sz="0" w:space="0" w:color="auto"/>
                <w:right w:val="none" w:sz="0" w:space="0" w:color="auto"/>
              </w:divBdr>
            </w:div>
            <w:div w:id="1536578136">
              <w:marLeft w:val="0"/>
              <w:marRight w:val="0"/>
              <w:marTop w:val="0"/>
              <w:marBottom w:val="0"/>
              <w:divBdr>
                <w:top w:val="none" w:sz="0" w:space="0" w:color="auto"/>
                <w:left w:val="none" w:sz="0" w:space="0" w:color="auto"/>
                <w:bottom w:val="none" w:sz="0" w:space="0" w:color="auto"/>
                <w:right w:val="none" w:sz="0" w:space="0" w:color="auto"/>
              </w:divBdr>
            </w:div>
            <w:div w:id="1640916465">
              <w:marLeft w:val="0"/>
              <w:marRight w:val="0"/>
              <w:marTop w:val="0"/>
              <w:marBottom w:val="0"/>
              <w:divBdr>
                <w:top w:val="none" w:sz="0" w:space="0" w:color="auto"/>
                <w:left w:val="none" w:sz="0" w:space="0" w:color="auto"/>
                <w:bottom w:val="none" w:sz="0" w:space="0" w:color="auto"/>
                <w:right w:val="none" w:sz="0" w:space="0" w:color="auto"/>
              </w:divBdr>
            </w:div>
            <w:div w:id="1692562788">
              <w:marLeft w:val="0"/>
              <w:marRight w:val="0"/>
              <w:marTop w:val="0"/>
              <w:marBottom w:val="0"/>
              <w:divBdr>
                <w:top w:val="none" w:sz="0" w:space="0" w:color="auto"/>
                <w:left w:val="none" w:sz="0" w:space="0" w:color="auto"/>
                <w:bottom w:val="none" w:sz="0" w:space="0" w:color="auto"/>
                <w:right w:val="none" w:sz="0" w:space="0" w:color="auto"/>
              </w:divBdr>
            </w:div>
            <w:div w:id="1704751438">
              <w:marLeft w:val="0"/>
              <w:marRight w:val="0"/>
              <w:marTop w:val="0"/>
              <w:marBottom w:val="0"/>
              <w:divBdr>
                <w:top w:val="none" w:sz="0" w:space="0" w:color="auto"/>
                <w:left w:val="none" w:sz="0" w:space="0" w:color="auto"/>
                <w:bottom w:val="none" w:sz="0" w:space="0" w:color="auto"/>
                <w:right w:val="none" w:sz="0" w:space="0" w:color="auto"/>
              </w:divBdr>
            </w:div>
            <w:div w:id="1728146409">
              <w:marLeft w:val="0"/>
              <w:marRight w:val="0"/>
              <w:marTop w:val="0"/>
              <w:marBottom w:val="0"/>
              <w:divBdr>
                <w:top w:val="none" w:sz="0" w:space="0" w:color="auto"/>
                <w:left w:val="none" w:sz="0" w:space="0" w:color="auto"/>
                <w:bottom w:val="none" w:sz="0" w:space="0" w:color="auto"/>
                <w:right w:val="none" w:sz="0" w:space="0" w:color="auto"/>
              </w:divBdr>
            </w:div>
            <w:div w:id="1731809073">
              <w:marLeft w:val="0"/>
              <w:marRight w:val="0"/>
              <w:marTop w:val="0"/>
              <w:marBottom w:val="0"/>
              <w:divBdr>
                <w:top w:val="none" w:sz="0" w:space="0" w:color="auto"/>
                <w:left w:val="none" w:sz="0" w:space="0" w:color="auto"/>
                <w:bottom w:val="none" w:sz="0" w:space="0" w:color="auto"/>
                <w:right w:val="none" w:sz="0" w:space="0" w:color="auto"/>
              </w:divBdr>
            </w:div>
            <w:div w:id="2081438949">
              <w:marLeft w:val="0"/>
              <w:marRight w:val="0"/>
              <w:marTop w:val="0"/>
              <w:marBottom w:val="0"/>
              <w:divBdr>
                <w:top w:val="none" w:sz="0" w:space="0" w:color="auto"/>
                <w:left w:val="none" w:sz="0" w:space="0" w:color="auto"/>
                <w:bottom w:val="none" w:sz="0" w:space="0" w:color="auto"/>
                <w:right w:val="none" w:sz="0" w:space="0" w:color="auto"/>
              </w:divBdr>
            </w:div>
            <w:div w:id="2087847412">
              <w:marLeft w:val="0"/>
              <w:marRight w:val="0"/>
              <w:marTop w:val="0"/>
              <w:marBottom w:val="0"/>
              <w:divBdr>
                <w:top w:val="none" w:sz="0" w:space="0" w:color="auto"/>
                <w:left w:val="none" w:sz="0" w:space="0" w:color="auto"/>
                <w:bottom w:val="none" w:sz="0" w:space="0" w:color="auto"/>
                <w:right w:val="none" w:sz="0" w:space="0" w:color="auto"/>
              </w:divBdr>
            </w:div>
            <w:div w:id="2144425602">
              <w:marLeft w:val="0"/>
              <w:marRight w:val="0"/>
              <w:marTop w:val="0"/>
              <w:marBottom w:val="0"/>
              <w:divBdr>
                <w:top w:val="none" w:sz="0" w:space="0" w:color="auto"/>
                <w:left w:val="none" w:sz="0" w:space="0" w:color="auto"/>
                <w:bottom w:val="none" w:sz="0" w:space="0" w:color="auto"/>
                <w:right w:val="none" w:sz="0" w:space="0" w:color="auto"/>
              </w:divBdr>
            </w:div>
          </w:divsChild>
        </w:div>
        <w:div w:id="2097703462">
          <w:marLeft w:val="0"/>
          <w:marRight w:val="0"/>
          <w:marTop w:val="0"/>
          <w:marBottom w:val="0"/>
          <w:divBdr>
            <w:top w:val="none" w:sz="0" w:space="0" w:color="auto"/>
            <w:left w:val="none" w:sz="0" w:space="0" w:color="auto"/>
            <w:bottom w:val="none" w:sz="0" w:space="0" w:color="auto"/>
            <w:right w:val="none" w:sz="0" w:space="0" w:color="auto"/>
          </w:divBdr>
          <w:divsChild>
            <w:div w:id="33235121">
              <w:marLeft w:val="0"/>
              <w:marRight w:val="0"/>
              <w:marTop w:val="0"/>
              <w:marBottom w:val="0"/>
              <w:divBdr>
                <w:top w:val="none" w:sz="0" w:space="0" w:color="auto"/>
                <w:left w:val="none" w:sz="0" w:space="0" w:color="auto"/>
                <w:bottom w:val="none" w:sz="0" w:space="0" w:color="auto"/>
                <w:right w:val="none" w:sz="0" w:space="0" w:color="auto"/>
              </w:divBdr>
            </w:div>
            <w:div w:id="35393482">
              <w:marLeft w:val="0"/>
              <w:marRight w:val="0"/>
              <w:marTop w:val="0"/>
              <w:marBottom w:val="0"/>
              <w:divBdr>
                <w:top w:val="none" w:sz="0" w:space="0" w:color="auto"/>
                <w:left w:val="none" w:sz="0" w:space="0" w:color="auto"/>
                <w:bottom w:val="none" w:sz="0" w:space="0" w:color="auto"/>
                <w:right w:val="none" w:sz="0" w:space="0" w:color="auto"/>
              </w:divBdr>
            </w:div>
            <w:div w:id="115369912">
              <w:marLeft w:val="0"/>
              <w:marRight w:val="0"/>
              <w:marTop w:val="0"/>
              <w:marBottom w:val="0"/>
              <w:divBdr>
                <w:top w:val="none" w:sz="0" w:space="0" w:color="auto"/>
                <w:left w:val="none" w:sz="0" w:space="0" w:color="auto"/>
                <w:bottom w:val="none" w:sz="0" w:space="0" w:color="auto"/>
                <w:right w:val="none" w:sz="0" w:space="0" w:color="auto"/>
              </w:divBdr>
            </w:div>
            <w:div w:id="231434065">
              <w:marLeft w:val="0"/>
              <w:marRight w:val="0"/>
              <w:marTop w:val="0"/>
              <w:marBottom w:val="0"/>
              <w:divBdr>
                <w:top w:val="none" w:sz="0" w:space="0" w:color="auto"/>
                <w:left w:val="none" w:sz="0" w:space="0" w:color="auto"/>
                <w:bottom w:val="none" w:sz="0" w:space="0" w:color="auto"/>
                <w:right w:val="none" w:sz="0" w:space="0" w:color="auto"/>
              </w:divBdr>
            </w:div>
            <w:div w:id="316345383">
              <w:marLeft w:val="0"/>
              <w:marRight w:val="0"/>
              <w:marTop w:val="0"/>
              <w:marBottom w:val="0"/>
              <w:divBdr>
                <w:top w:val="none" w:sz="0" w:space="0" w:color="auto"/>
                <w:left w:val="none" w:sz="0" w:space="0" w:color="auto"/>
                <w:bottom w:val="none" w:sz="0" w:space="0" w:color="auto"/>
                <w:right w:val="none" w:sz="0" w:space="0" w:color="auto"/>
              </w:divBdr>
            </w:div>
            <w:div w:id="700785981">
              <w:marLeft w:val="0"/>
              <w:marRight w:val="0"/>
              <w:marTop w:val="0"/>
              <w:marBottom w:val="0"/>
              <w:divBdr>
                <w:top w:val="none" w:sz="0" w:space="0" w:color="auto"/>
                <w:left w:val="none" w:sz="0" w:space="0" w:color="auto"/>
                <w:bottom w:val="none" w:sz="0" w:space="0" w:color="auto"/>
                <w:right w:val="none" w:sz="0" w:space="0" w:color="auto"/>
              </w:divBdr>
            </w:div>
            <w:div w:id="754480009">
              <w:marLeft w:val="0"/>
              <w:marRight w:val="0"/>
              <w:marTop w:val="0"/>
              <w:marBottom w:val="0"/>
              <w:divBdr>
                <w:top w:val="none" w:sz="0" w:space="0" w:color="auto"/>
                <w:left w:val="none" w:sz="0" w:space="0" w:color="auto"/>
                <w:bottom w:val="none" w:sz="0" w:space="0" w:color="auto"/>
                <w:right w:val="none" w:sz="0" w:space="0" w:color="auto"/>
              </w:divBdr>
            </w:div>
            <w:div w:id="791510478">
              <w:marLeft w:val="0"/>
              <w:marRight w:val="0"/>
              <w:marTop w:val="0"/>
              <w:marBottom w:val="0"/>
              <w:divBdr>
                <w:top w:val="none" w:sz="0" w:space="0" w:color="auto"/>
                <w:left w:val="none" w:sz="0" w:space="0" w:color="auto"/>
                <w:bottom w:val="none" w:sz="0" w:space="0" w:color="auto"/>
                <w:right w:val="none" w:sz="0" w:space="0" w:color="auto"/>
              </w:divBdr>
            </w:div>
            <w:div w:id="912155966">
              <w:marLeft w:val="0"/>
              <w:marRight w:val="0"/>
              <w:marTop w:val="0"/>
              <w:marBottom w:val="0"/>
              <w:divBdr>
                <w:top w:val="none" w:sz="0" w:space="0" w:color="auto"/>
                <w:left w:val="none" w:sz="0" w:space="0" w:color="auto"/>
                <w:bottom w:val="none" w:sz="0" w:space="0" w:color="auto"/>
                <w:right w:val="none" w:sz="0" w:space="0" w:color="auto"/>
              </w:divBdr>
            </w:div>
            <w:div w:id="948002025">
              <w:marLeft w:val="0"/>
              <w:marRight w:val="0"/>
              <w:marTop w:val="0"/>
              <w:marBottom w:val="0"/>
              <w:divBdr>
                <w:top w:val="none" w:sz="0" w:space="0" w:color="auto"/>
                <w:left w:val="none" w:sz="0" w:space="0" w:color="auto"/>
                <w:bottom w:val="none" w:sz="0" w:space="0" w:color="auto"/>
                <w:right w:val="none" w:sz="0" w:space="0" w:color="auto"/>
              </w:divBdr>
            </w:div>
            <w:div w:id="1057901591">
              <w:marLeft w:val="0"/>
              <w:marRight w:val="0"/>
              <w:marTop w:val="0"/>
              <w:marBottom w:val="0"/>
              <w:divBdr>
                <w:top w:val="none" w:sz="0" w:space="0" w:color="auto"/>
                <w:left w:val="none" w:sz="0" w:space="0" w:color="auto"/>
                <w:bottom w:val="none" w:sz="0" w:space="0" w:color="auto"/>
                <w:right w:val="none" w:sz="0" w:space="0" w:color="auto"/>
              </w:divBdr>
            </w:div>
            <w:div w:id="1082065492">
              <w:marLeft w:val="0"/>
              <w:marRight w:val="0"/>
              <w:marTop w:val="0"/>
              <w:marBottom w:val="0"/>
              <w:divBdr>
                <w:top w:val="none" w:sz="0" w:space="0" w:color="auto"/>
                <w:left w:val="none" w:sz="0" w:space="0" w:color="auto"/>
                <w:bottom w:val="none" w:sz="0" w:space="0" w:color="auto"/>
                <w:right w:val="none" w:sz="0" w:space="0" w:color="auto"/>
              </w:divBdr>
            </w:div>
            <w:div w:id="1325938461">
              <w:marLeft w:val="0"/>
              <w:marRight w:val="0"/>
              <w:marTop w:val="0"/>
              <w:marBottom w:val="0"/>
              <w:divBdr>
                <w:top w:val="none" w:sz="0" w:space="0" w:color="auto"/>
                <w:left w:val="none" w:sz="0" w:space="0" w:color="auto"/>
                <w:bottom w:val="none" w:sz="0" w:space="0" w:color="auto"/>
                <w:right w:val="none" w:sz="0" w:space="0" w:color="auto"/>
              </w:divBdr>
            </w:div>
            <w:div w:id="1366059562">
              <w:marLeft w:val="0"/>
              <w:marRight w:val="0"/>
              <w:marTop w:val="0"/>
              <w:marBottom w:val="0"/>
              <w:divBdr>
                <w:top w:val="none" w:sz="0" w:space="0" w:color="auto"/>
                <w:left w:val="none" w:sz="0" w:space="0" w:color="auto"/>
                <w:bottom w:val="none" w:sz="0" w:space="0" w:color="auto"/>
                <w:right w:val="none" w:sz="0" w:space="0" w:color="auto"/>
              </w:divBdr>
            </w:div>
            <w:div w:id="1369452587">
              <w:marLeft w:val="0"/>
              <w:marRight w:val="0"/>
              <w:marTop w:val="0"/>
              <w:marBottom w:val="0"/>
              <w:divBdr>
                <w:top w:val="none" w:sz="0" w:space="0" w:color="auto"/>
                <w:left w:val="none" w:sz="0" w:space="0" w:color="auto"/>
                <w:bottom w:val="none" w:sz="0" w:space="0" w:color="auto"/>
                <w:right w:val="none" w:sz="0" w:space="0" w:color="auto"/>
              </w:divBdr>
            </w:div>
            <w:div w:id="1683583230">
              <w:marLeft w:val="0"/>
              <w:marRight w:val="0"/>
              <w:marTop w:val="0"/>
              <w:marBottom w:val="0"/>
              <w:divBdr>
                <w:top w:val="none" w:sz="0" w:space="0" w:color="auto"/>
                <w:left w:val="none" w:sz="0" w:space="0" w:color="auto"/>
                <w:bottom w:val="none" w:sz="0" w:space="0" w:color="auto"/>
                <w:right w:val="none" w:sz="0" w:space="0" w:color="auto"/>
              </w:divBdr>
            </w:div>
            <w:div w:id="1844592148">
              <w:marLeft w:val="0"/>
              <w:marRight w:val="0"/>
              <w:marTop w:val="0"/>
              <w:marBottom w:val="0"/>
              <w:divBdr>
                <w:top w:val="none" w:sz="0" w:space="0" w:color="auto"/>
                <w:left w:val="none" w:sz="0" w:space="0" w:color="auto"/>
                <w:bottom w:val="none" w:sz="0" w:space="0" w:color="auto"/>
                <w:right w:val="none" w:sz="0" w:space="0" w:color="auto"/>
              </w:divBdr>
            </w:div>
            <w:div w:id="1993898873">
              <w:marLeft w:val="0"/>
              <w:marRight w:val="0"/>
              <w:marTop w:val="0"/>
              <w:marBottom w:val="0"/>
              <w:divBdr>
                <w:top w:val="none" w:sz="0" w:space="0" w:color="auto"/>
                <w:left w:val="none" w:sz="0" w:space="0" w:color="auto"/>
                <w:bottom w:val="none" w:sz="0" w:space="0" w:color="auto"/>
                <w:right w:val="none" w:sz="0" w:space="0" w:color="auto"/>
              </w:divBdr>
            </w:div>
            <w:div w:id="2003655627">
              <w:marLeft w:val="0"/>
              <w:marRight w:val="0"/>
              <w:marTop w:val="0"/>
              <w:marBottom w:val="0"/>
              <w:divBdr>
                <w:top w:val="none" w:sz="0" w:space="0" w:color="auto"/>
                <w:left w:val="none" w:sz="0" w:space="0" w:color="auto"/>
                <w:bottom w:val="none" w:sz="0" w:space="0" w:color="auto"/>
                <w:right w:val="none" w:sz="0" w:space="0" w:color="auto"/>
              </w:divBdr>
            </w:div>
            <w:div w:id="20706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1885">
      <w:bodyDiv w:val="1"/>
      <w:marLeft w:val="0"/>
      <w:marRight w:val="0"/>
      <w:marTop w:val="0"/>
      <w:marBottom w:val="0"/>
      <w:divBdr>
        <w:top w:val="none" w:sz="0" w:space="0" w:color="auto"/>
        <w:left w:val="none" w:sz="0" w:space="0" w:color="auto"/>
        <w:bottom w:val="none" w:sz="0" w:space="0" w:color="auto"/>
        <w:right w:val="none" w:sz="0" w:space="0" w:color="auto"/>
      </w:divBdr>
      <w:divsChild>
        <w:div w:id="132261759">
          <w:marLeft w:val="0"/>
          <w:marRight w:val="0"/>
          <w:marTop w:val="0"/>
          <w:marBottom w:val="0"/>
          <w:divBdr>
            <w:top w:val="none" w:sz="0" w:space="0" w:color="auto"/>
            <w:left w:val="none" w:sz="0" w:space="0" w:color="auto"/>
            <w:bottom w:val="none" w:sz="0" w:space="0" w:color="auto"/>
            <w:right w:val="none" w:sz="0" w:space="0" w:color="auto"/>
          </w:divBdr>
        </w:div>
        <w:div w:id="1168718130">
          <w:marLeft w:val="0"/>
          <w:marRight w:val="0"/>
          <w:marTop w:val="0"/>
          <w:marBottom w:val="0"/>
          <w:divBdr>
            <w:top w:val="none" w:sz="0" w:space="0" w:color="auto"/>
            <w:left w:val="none" w:sz="0" w:space="0" w:color="auto"/>
            <w:bottom w:val="none" w:sz="0" w:space="0" w:color="auto"/>
            <w:right w:val="none" w:sz="0" w:space="0" w:color="auto"/>
          </w:divBdr>
        </w:div>
        <w:div w:id="1279682402">
          <w:marLeft w:val="0"/>
          <w:marRight w:val="0"/>
          <w:marTop w:val="0"/>
          <w:marBottom w:val="0"/>
          <w:divBdr>
            <w:top w:val="none" w:sz="0" w:space="0" w:color="auto"/>
            <w:left w:val="none" w:sz="0" w:space="0" w:color="auto"/>
            <w:bottom w:val="none" w:sz="0" w:space="0" w:color="auto"/>
            <w:right w:val="none" w:sz="0" w:space="0" w:color="auto"/>
          </w:divBdr>
        </w:div>
        <w:div w:id="1429472161">
          <w:marLeft w:val="0"/>
          <w:marRight w:val="0"/>
          <w:marTop w:val="0"/>
          <w:marBottom w:val="0"/>
          <w:divBdr>
            <w:top w:val="none" w:sz="0" w:space="0" w:color="auto"/>
            <w:left w:val="none" w:sz="0" w:space="0" w:color="auto"/>
            <w:bottom w:val="none" w:sz="0" w:space="0" w:color="auto"/>
            <w:right w:val="none" w:sz="0" w:space="0" w:color="auto"/>
          </w:divBdr>
        </w:div>
        <w:div w:id="1943343554">
          <w:marLeft w:val="0"/>
          <w:marRight w:val="0"/>
          <w:marTop w:val="0"/>
          <w:marBottom w:val="0"/>
          <w:divBdr>
            <w:top w:val="none" w:sz="0" w:space="0" w:color="auto"/>
            <w:left w:val="none" w:sz="0" w:space="0" w:color="auto"/>
            <w:bottom w:val="none" w:sz="0" w:space="0" w:color="auto"/>
            <w:right w:val="none" w:sz="0" w:space="0" w:color="auto"/>
          </w:divBdr>
        </w:div>
        <w:div w:id="2081443728">
          <w:marLeft w:val="0"/>
          <w:marRight w:val="0"/>
          <w:marTop w:val="0"/>
          <w:marBottom w:val="0"/>
          <w:divBdr>
            <w:top w:val="none" w:sz="0" w:space="0" w:color="auto"/>
            <w:left w:val="none" w:sz="0" w:space="0" w:color="auto"/>
            <w:bottom w:val="none" w:sz="0" w:space="0" w:color="auto"/>
            <w:right w:val="none" w:sz="0" w:space="0" w:color="auto"/>
          </w:divBdr>
        </w:div>
        <w:div w:id="2125415361">
          <w:marLeft w:val="0"/>
          <w:marRight w:val="0"/>
          <w:marTop w:val="0"/>
          <w:marBottom w:val="0"/>
          <w:divBdr>
            <w:top w:val="none" w:sz="0" w:space="0" w:color="auto"/>
            <w:left w:val="none" w:sz="0" w:space="0" w:color="auto"/>
            <w:bottom w:val="none" w:sz="0" w:space="0" w:color="auto"/>
            <w:right w:val="none" w:sz="0" w:space="0" w:color="auto"/>
          </w:divBdr>
        </w:div>
      </w:divsChild>
    </w:div>
    <w:div w:id="1124419482">
      <w:bodyDiv w:val="1"/>
      <w:marLeft w:val="0"/>
      <w:marRight w:val="0"/>
      <w:marTop w:val="0"/>
      <w:marBottom w:val="0"/>
      <w:divBdr>
        <w:top w:val="none" w:sz="0" w:space="0" w:color="auto"/>
        <w:left w:val="none" w:sz="0" w:space="0" w:color="auto"/>
        <w:bottom w:val="none" w:sz="0" w:space="0" w:color="auto"/>
        <w:right w:val="none" w:sz="0" w:space="0" w:color="auto"/>
      </w:divBdr>
      <w:divsChild>
        <w:div w:id="25765451">
          <w:marLeft w:val="0"/>
          <w:marRight w:val="0"/>
          <w:marTop w:val="0"/>
          <w:marBottom w:val="0"/>
          <w:divBdr>
            <w:top w:val="none" w:sz="0" w:space="0" w:color="auto"/>
            <w:left w:val="none" w:sz="0" w:space="0" w:color="auto"/>
            <w:bottom w:val="none" w:sz="0" w:space="0" w:color="auto"/>
            <w:right w:val="none" w:sz="0" w:space="0" w:color="auto"/>
          </w:divBdr>
          <w:divsChild>
            <w:div w:id="1239439716">
              <w:marLeft w:val="0"/>
              <w:marRight w:val="0"/>
              <w:marTop w:val="0"/>
              <w:marBottom w:val="0"/>
              <w:divBdr>
                <w:top w:val="none" w:sz="0" w:space="0" w:color="auto"/>
                <w:left w:val="none" w:sz="0" w:space="0" w:color="auto"/>
                <w:bottom w:val="none" w:sz="0" w:space="0" w:color="auto"/>
                <w:right w:val="none" w:sz="0" w:space="0" w:color="auto"/>
              </w:divBdr>
            </w:div>
          </w:divsChild>
        </w:div>
        <w:div w:id="158691728">
          <w:marLeft w:val="0"/>
          <w:marRight w:val="0"/>
          <w:marTop w:val="0"/>
          <w:marBottom w:val="0"/>
          <w:divBdr>
            <w:top w:val="none" w:sz="0" w:space="0" w:color="auto"/>
            <w:left w:val="none" w:sz="0" w:space="0" w:color="auto"/>
            <w:bottom w:val="none" w:sz="0" w:space="0" w:color="auto"/>
            <w:right w:val="none" w:sz="0" w:space="0" w:color="auto"/>
          </w:divBdr>
          <w:divsChild>
            <w:div w:id="91703061">
              <w:marLeft w:val="0"/>
              <w:marRight w:val="0"/>
              <w:marTop w:val="0"/>
              <w:marBottom w:val="0"/>
              <w:divBdr>
                <w:top w:val="none" w:sz="0" w:space="0" w:color="auto"/>
                <w:left w:val="none" w:sz="0" w:space="0" w:color="auto"/>
                <w:bottom w:val="none" w:sz="0" w:space="0" w:color="auto"/>
                <w:right w:val="none" w:sz="0" w:space="0" w:color="auto"/>
              </w:divBdr>
            </w:div>
          </w:divsChild>
        </w:div>
        <w:div w:id="256985845">
          <w:marLeft w:val="0"/>
          <w:marRight w:val="0"/>
          <w:marTop w:val="0"/>
          <w:marBottom w:val="0"/>
          <w:divBdr>
            <w:top w:val="none" w:sz="0" w:space="0" w:color="auto"/>
            <w:left w:val="none" w:sz="0" w:space="0" w:color="auto"/>
            <w:bottom w:val="none" w:sz="0" w:space="0" w:color="auto"/>
            <w:right w:val="none" w:sz="0" w:space="0" w:color="auto"/>
          </w:divBdr>
          <w:divsChild>
            <w:div w:id="1365523387">
              <w:marLeft w:val="0"/>
              <w:marRight w:val="0"/>
              <w:marTop w:val="0"/>
              <w:marBottom w:val="0"/>
              <w:divBdr>
                <w:top w:val="none" w:sz="0" w:space="0" w:color="auto"/>
                <w:left w:val="none" w:sz="0" w:space="0" w:color="auto"/>
                <w:bottom w:val="none" w:sz="0" w:space="0" w:color="auto"/>
                <w:right w:val="none" w:sz="0" w:space="0" w:color="auto"/>
              </w:divBdr>
            </w:div>
            <w:div w:id="1923370238">
              <w:marLeft w:val="0"/>
              <w:marRight w:val="0"/>
              <w:marTop w:val="0"/>
              <w:marBottom w:val="0"/>
              <w:divBdr>
                <w:top w:val="none" w:sz="0" w:space="0" w:color="auto"/>
                <w:left w:val="none" w:sz="0" w:space="0" w:color="auto"/>
                <w:bottom w:val="none" w:sz="0" w:space="0" w:color="auto"/>
                <w:right w:val="none" w:sz="0" w:space="0" w:color="auto"/>
              </w:divBdr>
            </w:div>
          </w:divsChild>
        </w:div>
        <w:div w:id="270166706">
          <w:marLeft w:val="0"/>
          <w:marRight w:val="0"/>
          <w:marTop w:val="0"/>
          <w:marBottom w:val="0"/>
          <w:divBdr>
            <w:top w:val="none" w:sz="0" w:space="0" w:color="auto"/>
            <w:left w:val="none" w:sz="0" w:space="0" w:color="auto"/>
            <w:bottom w:val="none" w:sz="0" w:space="0" w:color="auto"/>
            <w:right w:val="none" w:sz="0" w:space="0" w:color="auto"/>
          </w:divBdr>
          <w:divsChild>
            <w:div w:id="331226224">
              <w:marLeft w:val="0"/>
              <w:marRight w:val="0"/>
              <w:marTop w:val="0"/>
              <w:marBottom w:val="0"/>
              <w:divBdr>
                <w:top w:val="none" w:sz="0" w:space="0" w:color="auto"/>
                <w:left w:val="none" w:sz="0" w:space="0" w:color="auto"/>
                <w:bottom w:val="none" w:sz="0" w:space="0" w:color="auto"/>
                <w:right w:val="none" w:sz="0" w:space="0" w:color="auto"/>
              </w:divBdr>
            </w:div>
          </w:divsChild>
        </w:div>
        <w:div w:id="279264231">
          <w:marLeft w:val="0"/>
          <w:marRight w:val="0"/>
          <w:marTop w:val="0"/>
          <w:marBottom w:val="0"/>
          <w:divBdr>
            <w:top w:val="none" w:sz="0" w:space="0" w:color="auto"/>
            <w:left w:val="none" w:sz="0" w:space="0" w:color="auto"/>
            <w:bottom w:val="none" w:sz="0" w:space="0" w:color="auto"/>
            <w:right w:val="none" w:sz="0" w:space="0" w:color="auto"/>
          </w:divBdr>
          <w:divsChild>
            <w:div w:id="202862794">
              <w:marLeft w:val="0"/>
              <w:marRight w:val="0"/>
              <w:marTop w:val="0"/>
              <w:marBottom w:val="0"/>
              <w:divBdr>
                <w:top w:val="none" w:sz="0" w:space="0" w:color="auto"/>
                <w:left w:val="none" w:sz="0" w:space="0" w:color="auto"/>
                <w:bottom w:val="none" w:sz="0" w:space="0" w:color="auto"/>
                <w:right w:val="none" w:sz="0" w:space="0" w:color="auto"/>
              </w:divBdr>
            </w:div>
          </w:divsChild>
        </w:div>
        <w:div w:id="423304475">
          <w:marLeft w:val="0"/>
          <w:marRight w:val="0"/>
          <w:marTop w:val="0"/>
          <w:marBottom w:val="0"/>
          <w:divBdr>
            <w:top w:val="none" w:sz="0" w:space="0" w:color="auto"/>
            <w:left w:val="none" w:sz="0" w:space="0" w:color="auto"/>
            <w:bottom w:val="none" w:sz="0" w:space="0" w:color="auto"/>
            <w:right w:val="none" w:sz="0" w:space="0" w:color="auto"/>
          </w:divBdr>
          <w:divsChild>
            <w:div w:id="1052537551">
              <w:marLeft w:val="0"/>
              <w:marRight w:val="0"/>
              <w:marTop w:val="0"/>
              <w:marBottom w:val="0"/>
              <w:divBdr>
                <w:top w:val="none" w:sz="0" w:space="0" w:color="auto"/>
                <w:left w:val="none" w:sz="0" w:space="0" w:color="auto"/>
                <w:bottom w:val="none" w:sz="0" w:space="0" w:color="auto"/>
                <w:right w:val="none" w:sz="0" w:space="0" w:color="auto"/>
              </w:divBdr>
            </w:div>
          </w:divsChild>
        </w:div>
        <w:div w:id="623973697">
          <w:marLeft w:val="0"/>
          <w:marRight w:val="0"/>
          <w:marTop w:val="0"/>
          <w:marBottom w:val="0"/>
          <w:divBdr>
            <w:top w:val="none" w:sz="0" w:space="0" w:color="auto"/>
            <w:left w:val="none" w:sz="0" w:space="0" w:color="auto"/>
            <w:bottom w:val="none" w:sz="0" w:space="0" w:color="auto"/>
            <w:right w:val="none" w:sz="0" w:space="0" w:color="auto"/>
          </w:divBdr>
          <w:divsChild>
            <w:div w:id="1044210252">
              <w:marLeft w:val="0"/>
              <w:marRight w:val="0"/>
              <w:marTop w:val="0"/>
              <w:marBottom w:val="0"/>
              <w:divBdr>
                <w:top w:val="none" w:sz="0" w:space="0" w:color="auto"/>
                <w:left w:val="none" w:sz="0" w:space="0" w:color="auto"/>
                <w:bottom w:val="none" w:sz="0" w:space="0" w:color="auto"/>
                <w:right w:val="none" w:sz="0" w:space="0" w:color="auto"/>
              </w:divBdr>
            </w:div>
          </w:divsChild>
        </w:div>
        <w:div w:id="708577667">
          <w:marLeft w:val="0"/>
          <w:marRight w:val="0"/>
          <w:marTop w:val="0"/>
          <w:marBottom w:val="0"/>
          <w:divBdr>
            <w:top w:val="none" w:sz="0" w:space="0" w:color="auto"/>
            <w:left w:val="none" w:sz="0" w:space="0" w:color="auto"/>
            <w:bottom w:val="none" w:sz="0" w:space="0" w:color="auto"/>
            <w:right w:val="none" w:sz="0" w:space="0" w:color="auto"/>
          </w:divBdr>
          <w:divsChild>
            <w:div w:id="1706130031">
              <w:marLeft w:val="0"/>
              <w:marRight w:val="0"/>
              <w:marTop w:val="0"/>
              <w:marBottom w:val="0"/>
              <w:divBdr>
                <w:top w:val="none" w:sz="0" w:space="0" w:color="auto"/>
                <w:left w:val="none" w:sz="0" w:space="0" w:color="auto"/>
                <w:bottom w:val="none" w:sz="0" w:space="0" w:color="auto"/>
                <w:right w:val="none" w:sz="0" w:space="0" w:color="auto"/>
              </w:divBdr>
            </w:div>
          </w:divsChild>
        </w:div>
        <w:div w:id="834222107">
          <w:marLeft w:val="0"/>
          <w:marRight w:val="0"/>
          <w:marTop w:val="0"/>
          <w:marBottom w:val="0"/>
          <w:divBdr>
            <w:top w:val="none" w:sz="0" w:space="0" w:color="auto"/>
            <w:left w:val="none" w:sz="0" w:space="0" w:color="auto"/>
            <w:bottom w:val="none" w:sz="0" w:space="0" w:color="auto"/>
            <w:right w:val="none" w:sz="0" w:space="0" w:color="auto"/>
          </w:divBdr>
          <w:divsChild>
            <w:div w:id="1610621589">
              <w:marLeft w:val="0"/>
              <w:marRight w:val="0"/>
              <w:marTop w:val="0"/>
              <w:marBottom w:val="0"/>
              <w:divBdr>
                <w:top w:val="none" w:sz="0" w:space="0" w:color="auto"/>
                <w:left w:val="none" w:sz="0" w:space="0" w:color="auto"/>
                <w:bottom w:val="none" w:sz="0" w:space="0" w:color="auto"/>
                <w:right w:val="none" w:sz="0" w:space="0" w:color="auto"/>
              </w:divBdr>
            </w:div>
          </w:divsChild>
        </w:div>
        <w:div w:id="841287112">
          <w:marLeft w:val="0"/>
          <w:marRight w:val="0"/>
          <w:marTop w:val="0"/>
          <w:marBottom w:val="0"/>
          <w:divBdr>
            <w:top w:val="none" w:sz="0" w:space="0" w:color="auto"/>
            <w:left w:val="none" w:sz="0" w:space="0" w:color="auto"/>
            <w:bottom w:val="none" w:sz="0" w:space="0" w:color="auto"/>
            <w:right w:val="none" w:sz="0" w:space="0" w:color="auto"/>
          </w:divBdr>
          <w:divsChild>
            <w:div w:id="971908016">
              <w:marLeft w:val="0"/>
              <w:marRight w:val="0"/>
              <w:marTop w:val="0"/>
              <w:marBottom w:val="0"/>
              <w:divBdr>
                <w:top w:val="none" w:sz="0" w:space="0" w:color="auto"/>
                <w:left w:val="none" w:sz="0" w:space="0" w:color="auto"/>
                <w:bottom w:val="none" w:sz="0" w:space="0" w:color="auto"/>
                <w:right w:val="none" w:sz="0" w:space="0" w:color="auto"/>
              </w:divBdr>
            </w:div>
          </w:divsChild>
        </w:div>
        <w:div w:id="923533594">
          <w:marLeft w:val="0"/>
          <w:marRight w:val="0"/>
          <w:marTop w:val="0"/>
          <w:marBottom w:val="0"/>
          <w:divBdr>
            <w:top w:val="none" w:sz="0" w:space="0" w:color="auto"/>
            <w:left w:val="none" w:sz="0" w:space="0" w:color="auto"/>
            <w:bottom w:val="none" w:sz="0" w:space="0" w:color="auto"/>
            <w:right w:val="none" w:sz="0" w:space="0" w:color="auto"/>
          </w:divBdr>
          <w:divsChild>
            <w:div w:id="848954523">
              <w:marLeft w:val="0"/>
              <w:marRight w:val="0"/>
              <w:marTop w:val="0"/>
              <w:marBottom w:val="0"/>
              <w:divBdr>
                <w:top w:val="none" w:sz="0" w:space="0" w:color="auto"/>
                <w:left w:val="none" w:sz="0" w:space="0" w:color="auto"/>
                <w:bottom w:val="none" w:sz="0" w:space="0" w:color="auto"/>
                <w:right w:val="none" w:sz="0" w:space="0" w:color="auto"/>
              </w:divBdr>
            </w:div>
          </w:divsChild>
        </w:div>
        <w:div w:id="985016262">
          <w:marLeft w:val="0"/>
          <w:marRight w:val="0"/>
          <w:marTop w:val="0"/>
          <w:marBottom w:val="0"/>
          <w:divBdr>
            <w:top w:val="none" w:sz="0" w:space="0" w:color="auto"/>
            <w:left w:val="none" w:sz="0" w:space="0" w:color="auto"/>
            <w:bottom w:val="none" w:sz="0" w:space="0" w:color="auto"/>
            <w:right w:val="none" w:sz="0" w:space="0" w:color="auto"/>
          </w:divBdr>
          <w:divsChild>
            <w:div w:id="799610242">
              <w:marLeft w:val="0"/>
              <w:marRight w:val="0"/>
              <w:marTop w:val="0"/>
              <w:marBottom w:val="0"/>
              <w:divBdr>
                <w:top w:val="none" w:sz="0" w:space="0" w:color="auto"/>
                <w:left w:val="none" w:sz="0" w:space="0" w:color="auto"/>
                <w:bottom w:val="none" w:sz="0" w:space="0" w:color="auto"/>
                <w:right w:val="none" w:sz="0" w:space="0" w:color="auto"/>
              </w:divBdr>
            </w:div>
          </w:divsChild>
        </w:div>
        <w:div w:id="1063480693">
          <w:marLeft w:val="0"/>
          <w:marRight w:val="0"/>
          <w:marTop w:val="0"/>
          <w:marBottom w:val="0"/>
          <w:divBdr>
            <w:top w:val="none" w:sz="0" w:space="0" w:color="auto"/>
            <w:left w:val="none" w:sz="0" w:space="0" w:color="auto"/>
            <w:bottom w:val="none" w:sz="0" w:space="0" w:color="auto"/>
            <w:right w:val="none" w:sz="0" w:space="0" w:color="auto"/>
          </w:divBdr>
          <w:divsChild>
            <w:div w:id="14502305">
              <w:marLeft w:val="0"/>
              <w:marRight w:val="0"/>
              <w:marTop w:val="0"/>
              <w:marBottom w:val="0"/>
              <w:divBdr>
                <w:top w:val="none" w:sz="0" w:space="0" w:color="auto"/>
                <w:left w:val="none" w:sz="0" w:space="0" w:color="auto"/>
                <w:bottom w:val="none" w:sz="0" w:space="0" w:color="auto"/>
                <w:right w:val="none" w:sz="0" w:space="0" w:color="auto"/>
              </w:divBdr>
            </w:div>
          </w:divsChild>
        </w:div>
        <w:div w:id="1080449534">
          <w:marLeft w:val="0"/>
          <w:marRight w:val="0"/>
          <w:marTop w:val="0"/>
          <w:marBottom w:val="0"/>
          <w:divBdr>
            <w:top w:val="none" w:sz="0" w:space="0" w:color="auto"/>
            <w:left w:val="none" w:sz="0" w:space="0" w:color="auto"/>
            <w:bottom w:val="none" w:sz="0" w:space="0" w:color="auto"/>
            <w:right w:val="none" w:sz="0" w:space="0" w:color="auto"/>
          </w:divBdr>
          <w:divsChild>
            <w:div w:id="1817532974">
              <w:marLeft w:val="0"/>
              <w:marRight w:val="0"/>
              <w:marTop w:val="0"/>
              <w:marBottom w:val="0"/>
              <w:divBdr>
                <w:top w:val="none" w:sz="0" w:space="0" w:color="auto"/>
                <w:left w:val="none" w:sz="0" w:space="0" w:color="auto"/>
                <w:bottom w:val="none" w:sz="0" w:space="0" w:color="auto"/>
                <w:right w:val="none" w:sz="0" w:space="0" w:color="auto"/>
              </w:divBdr>
            </w:div>
          </w:divsChild>
        </w:div>
        <w:div w:id="1084642753">
          <w:marLeft w:val="0"/>
          <w:marRight w:val="0"/>
          <w:marTop w:val="0"/>
          <w:marBottom w:val="0"/>
          <w:divBdr>
            <w:top w:val="none" w:sz="0" w:space="0" w:color="auto"/>
            <w:left w:val="none" w:sz="0" w:space="0" w:color="auto"/>
            <w:bottom w:val="none" w:sz="0" w:space="0" w:color="auto"/>
            <w:right w:val="none" w:sz="0" w:space="0" w:color="auto"/>
          </w:divBdr>
          <w:divsChild>
            <w:div w:id="2007201462">
              <w:marLeft w:val="0"/>
              <w:marRight w:val="0"/>
              <w:marTop w:val="0"/>
              <w:marBottom w:val="0"/>
              <w:divBdr>
                <w:top w:val="none" w:sz="0" w:space="0" w:color="auto"/>
                <w:left w:val="none" w:sz="0" w:space="0" w:color="auto"/>
                <w:bottom w:val="none" w:sz="0" w:space="0" w:color="auto"/>
                <w:right w:val="none" w:sz="0" w:space="0" w:color="auto"/>
              </w:divBdr>
            </w:div>
          </w:divsChild>
        </w:div>
        <w:div w:id="1274899150">
          <w:marLeft w:val="0"/>
          <w:marRight w:val="0"/>
          <w:marTop w:val="0"/>
          <w:marBottom w:val="0"/>
          <w:divBdr>
            <w:top w:val="none" w:sz="0" w:space="0" w:color="auto"/>
            <w:left w:val="none" w:sz="0" w:space="0" w:color="auto"/>
            <w:bottom w:val="none" w:sz="0" w:space="0" w:color="auto"/>
            <w:right w:val="none" w:sz="0" w:space="0" w:color="auto"/>
          </w:divBdr>
          <w:divsChild>
            <w:div w:id="367336569">
              <w:marLeft w:val="0"/>
              <w:marRight w:val="0"/>
              <w:marTop w:val="0"/>
              <w:marBottom w:val="0"/>
              <w:divBdr>
                <w:top w:val="none" w:sz="0" w:space="0" w:color="auto"/>
                <w:left w:val="none" w:sz="0" w:space="0" w:color="auto"/>
                <w:bottom w:val="none" w:sz="0" w:space="0" w:color="auto"/>
                <w:right w:val="none" w:sz="0" w:space="0" w:color="auto"/>
              </w:divBdr>
            </w:div>
          </w:divsChild>
        </w:div>
        <w:div w:id="1285576586">
          <w:marLeft w:val="0"/>
          <w:marRight w:val="0"/>
          <w:marTop w:val="0"/>
          <w:marBottom w:val="0"/>
          <w:divBdr>
            <w:top w:val="none" w:sz="0" w:space="0" w:color="auto"/>
            <w:left w:val="none" w:sz="0" w:space="0" w:color="auto"/>
            <w:bottom w:val="none" w:sz="0" w:space="0" w:color="auto"/>
            <w:right w:val="none" w:sz="0" w:space="0" w:color="auto"/>
          </w:divBdr>
          <w:divsChild>
            <w:div w:id="945190902">
              <w:marLeft w:val="0"/>
              <w:marRight w:val="0"/>
              <w:marTop w:val="0"/>
              <w:marBottom w:val="0"/>
              <w:divBdr>
                <w:top w:val="none" w:sz="0" w:space="0" w:color="auto"/>
                <w:left w:val="none" w:sz="0" w:space="0" w:color="auto"/>
                <w:bottom w:val="none" w:sz="0" w:space="0" w:color="auto"/>
                <w:right w:val="none" w:sz="0" w:space="0" w:color="auto"/>
              </w:divBdr>
            </w:div>
          </w:divsChild>
        </w:div>
        <w:div w:id="1318993956">
          <w:marLeft w:val="0"/>
          <w:marRight w:val="0"/>
          <w:marTop w:val="0"/>
          <w:marBottom w:val="0"/>
          <w:divBdr>
            <w:top w:val="none" w:sz="0" w:space="0" w:color="auto"/>
            <w:left w:val="none" w:sz="0" w:space="0" w:color="auto"/>
            <w:bottom w:val="none" w:sz="0" w:space="0" w:color="auto"/>
            <w:right w:val="none" w:sz="0" w:space="0" w:color="auto"/>
          </w:divBdr>
          <w:divsChild>
            <w:div w:id="1303657782">
              <w:marLeft w:val="0"/>
              <w:marRight w:val="0"/>
              <w:marTop w:val="0"/>
              <w:marBottom w:val="0"/>
              <w:divBdr>
                <w:top w:val="none" w:sz="0" w:space="0" w:color="auto"/>
                <w:left w:val="none" w:sz="0" w:space="0" w:color="auto"/>
                <w:bottom w:val="none" w:sz="0" w:space="0" w:color="auto"/>
                <w:right w:val="none" w:sz="0" w:space="0" w:color="auto"/>
              </w:divBdr>
            </w:div>
          </w:divsChild>
        </w:div>
        <w:div w:id="1451195597">
          <w:marLeft w:val="0"/>
          <w:marRight w:val="0"/>
          <w:marTop w:val="0"/>
          <w:marBottom w:val="0"/>
          <w:divBdr>
            <w:top w:val="none" w:sz="0" w:space="0" w:color="auto"/>
            <w:left w:val="none" w:sz="0" w:space="0" w:color="auto"/>
            <w:bottom w:val="none" w:sz="0" w:space="0" w:color="auto"/>
            <w:right w:val="none" w:sz="0" w:space="0" w:color="auto"/>
          </w:divBdr>
          <w:divsChild>
            <w:div w:id="249774090">
              <w:marLeft w:val="0"/>
              <w:marRight w:val="0"/>
              <w:marTop w:val="0"/>
              <w:marBottom w:val="0"/>
              <w:divBdr>
                <w:top w:val="none" w:sz="0" w:space="0" w:color="auto"/>
                <w:left w:val="none" w:sz="0" w:space="0" w:color="auto"/>
                <w:bottom w:val="none" w:sz="0" w:space="0" w:color="auto"/>
                <w:right w:val="none" w:sz="0" w:space="0" w:color="auto"/>
              </w:divBdr>
            </w:div>
            <w:div w:id="472063258">
              <w:marLeft w:val="0"/>
              <w:marRight w:val="0"/>
              <w:marTop w:val="0"/>
              <w:marBottom w:val="0"/>
              <w:divBdr>
                <w:top w:val="none" w:sz="0" w:space="0" w:color="auto"/>
                <w:left w:val="none" w:sz="0" w:space="0" w:color="auto"/>
                <w:bottom w:val="none" w:sz="0" w:space="0" w:color="auto"/>
                <w:right w:val="none" w:sz="0" w:space="0" w:color="auto"/>
              </w:divBdr>
            </w:div>
          </w:divsChild>
        </w:div>
        <w:div w:id="1563909960">
          <w:marLeft w:val="0"/>
          <w:marRight w:val="0"/>
          <w:marTop w:val="0"/>
          <w:marBottom w:val="0"/>
          <w:divBdr>
            <w:top w:val="none" w:sz="0" w:space="0" w:color="auto"/>
            <w:left w:val="none" w:sz="0" w:space="0" w:color="auto"/>
            <w:bottom w:val="none" w:sz="0" w:space="0" w:color="auto"/>
            <w:right w:val="none" w:sz="0" w:space="0" w:color="auto"/>
          </w:divBdr>
          <w:divsChild>
            <w:div w:id="2055425635">
              <w:marLeft w:val="0"/>
              <w:marRight w:val="0"/>
              <w:marTop w:val="0"/>
              <w:marBottom w:val="0"/>
              <w:divBdr>
                <w:top w:val="none" w:sz="0" w:space="0" w:color="auto"/>
                <w:left w:val="none" w:sz="0" w:space="0" w:color="auto"/>
                <w:bottom w:val="none" w:sz="0" w:space="0" w:color="auto"/>
                <w:right w:val="none" w:sz="0" w:space="0" w:color="auto"/>
              </w:divBdr>
            </w:div>
          </w:divsChild>
        </w:div>
        <w:div w:id="1754543826">
          <w:marLeft w:val="0"/>
          <w:marRight w:val="0"/>
          <w:marTop w:val="0"/>
          <w:marBottom w:val="0"/>
          <w:divBdr>
            <w:top w:val="none" w:sz="0" w:space="0" w:color="auto"/>
            <w:left w:val="none" w:sz="0" w:space="0" w:color="auto"/>
            <w:bottom w:val="none" w:sz="0" w:space="0" w:color="auto"/>
            <w:right w:val="none" w:sz="0" w:space="0" w:color="auto"/>
          </w:divBdr>
          <w:divsChild>
            <w:div w:id="431558963">
              <w:marLeft w:val="0"/>
              <w:marRight w:val="0"/>
              <w:marTop w:val="0"/>
              <w:marBottom w:val="0"/>
              <w:divBdr>
                <w:top w:val="none" w:sz="0" w:space="0" w:color="auto"/>
                <w:left w:val="none" w:sz="0" w:space="0" w:color="auto"/>
                <w:bottom w:val="none" w:sz="0" w:space="0" w:color="auto"/>
                <w:right w:val="none" w:sz="0" w:space="0" w:color="auto"/>
              </w:divBdr>
            </w:div>
          </w:divsChild>
        </w:div>
        <w:div w:id="1764834853">
          <w:marLeft w:val="0"/>
          <w:marRight w:val="0"/>
          <w:marTop w:val="0"/>
          <w:marBottom w:val="0"/>
          <w:divBdr>
            <w:top w:val="none" w:sz="0" w:space="0" w:color="auto"/>
            <w:left w:val="none" w:sz="0" w:space="0" w:color="auto"/>
            <w:bottom w:val="none" w:sz="0" w:space="0" w:color="auto"/>
            <w:right w:val="none" w:sz="0" w:space="0" w:color="auto"/>
          </w:divBdr>
          <w:divsChild>
            <w:div w:id="355351232">
              <w:marLeft w:val="0"/>
              <w:marRight w:val="0"/>
              <w:marTop w:val="0"/>
              <w:marBottom w:val="0"/>
              <w:divBdr>
                <w:top w:val="none" w:sz="0" w:space="0" w:color="auto"/>
                <w:left w:val="none" w:sz="0" w:space="0" w:color="auto"/>
                <w:bottom w:val="none" w:sz="0" w:space="0" w:color="auto"/>
                <w:right w:val="none" w:sz="0" w:space="0" w:color="auto"/>
              </w:divBdr>
            </w:div>
          </w:divsChild>
        </w:div>
        <w:div w:id="1825506861">
          <w:marLeft w:val="0"/>
          <w:marRight w:val="0"/>
          <w:marTop w:val="0"/>
          <w:marBottom w:val="0"/>
          <w:divBdr>
            <w:top w:val="none" w:sz="0" w:space="0" w:color="auto"/>
            <w:left w:val="none" w:sz="0" w:space="0" w:color="auto"/>
            <w:bottom w:val="none" w:sz="0" w:space="0" w:color="auto"/>
            <w:right w:val="none" w:sz="0" w:space="0" w:color="auto"/>
          </w:divBdr>
          <w:divsChild>
            <w:div w:id="1813251892">
              <w:marLeft w:val="0"/>
              <w:marRight w:val="0"/>
              <w:marTop w:val="0"/>
              <w:marBottom w:val="0"/>
              <w:divBdr>
                <w:top w:val="none" w:sz="0" w:space="0" w:color="auto"/>
                <w:left w:val="none" w:sz="0" w:space="0" w:color="auto"/>
                <w:bottom w:val="none" w:sz="0" w:space="0" w:color="auto"/>
                <w:right w:val="none" w:sz="0" w:space="0" w:color="auto"/>
              </w:divBdr>
            </w:div>
          </w:divsChild>
        </w:div>
        <w:div w:id="1914005919">
          <w:marLeft w:val="0"/>
          <w:marRight w:val="0"/>
          <w:marTop w:val="0"/>
          <w:marBottom w:val="0"/>
          <w:divBdr>
            <w:top w:val="none" w:sz="0" w:space="0" w:color="auto"/>
            <w:left w:val="none" w:sz="0" w:space="0" w:color="auto"/>
            <w:bottom w:val="none" w:sz="0" w:space="0" w:color="auto"/>
            <w:right w:val="none" w:sz="0" w:space="0" w:color="auto"/>
          </w:divBdr>
          <w:divsChild>
            <w:div w:id="17648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34923">
      <w:bodyDiv w:val="1"/>
      <w:marLeft w:val="0"/>
      <w:marRight w:val="0"/>
      <w:marTop w:val="0"/>
      <w:marBottom w:val="0"/>
      <w:divBdr>
        <w:top w:val="none" w:sz="0" w:space="0" w:color="auto"/>
        <w:left w:val="none" w:sz="0" w:space="0" w:color="auto"/>
        <w:bottom w:val="none" w:sz="0" w:space="0" w:color="auto"/>
        <w:right w:val="none" w:sz="0" w:space="0" w:color="auto"/>
      </w:divBdr>
      <w:divsChild>
        <w:div w:id="780759800">
          <w:marLeft w:val="0"/>
          <w:marRight w:val="0"/>
          <w:marTop w:val="0"/>
          <w:marBottom w:val="0"/>
          <w:divBdr>
            <w:top w:val="none" w:sz="0" w:space="0" w:color="auto"/>
            <w:left w:val="none" w:sz="0" w:space="0" w:color="auto"/>
            <w:bottom w:val="none" w:sz="0" w:space="0" w:color="auto"/>
            <w:right w:val="none" w:sz="0" w:space="0" w:color="auto"/>
          </w:divBdr>
        </w:div>
        <w:div w:id="863982733">
          <w:marLeft w:val="0"/>
          <w:marRight w:val="0"/>
          <w:marTop w:val="0"/>
          <w:marBottom w:val="0"/>
          <w:divBdr>
            <w:top w:val="none" w:sz="0" w:space="0" w:color="auto"/>
            <w:left w:val="none" w:sz="0" w:space="0" w:color="auto"/>
            <w:bottom w:val="none" w:sz="0" w:space="0" w:color="auto"/>
            <w:right w:val="none" w:sz="0" w:space="0" w:color="auto"/>
          </w:divBdr>
        </w:div>
      </w:divsChild>
    </w:div>
    <w:div w:id="1132595442">
      <w:bodyDiv w:val="1"/>
      <w:marLeft w:val="0"/>
      <w:marRight w:val="0"/>
      <w:marTop w:val="0"/>
      <w:marBottom w:val="0"/>
      <w:divBdr>
        <w:top w:val="none" w:sz="0" w:space="0" w:color="auto"/>
        <w:left w:val="none" w:sz="0" w:space="0" w:color="auto"/>
        <w:bottom w:val="none" w:sz="0" w:space="0" w:color="auto"/>
        <w:right w:val="none" w:sz="0" w:space="0" w:color="auto"/>
      </w:divBdr>
      <w:divsChild>
        <w:div w:id="154497715">
          <w:marLeft w:val="0"/>
          <w:marRight w:val="0"/>
          <w:marTop w:val="0"/>
          <w:marBottom w:val="0"/>
          <w:divBdr>
            <w:top w:val="none" w:sz="0" w:space="0" w:color="auto"/>
            <w:left w:val="none" w:sz="0" w:space="0" w:color="auto"/>
            <w:bottom w:val="none" w:sz="0" w:space="0" w:color="auto"/>
            <w:right w:val="none" w:sz="0" w:space="0" w:color="auto"/>
          </w:divBdr>
          <w:divsChild>
            <w:div w:id="486363799">
              <w:marLeft w:val="0"/>
              <w:marRight w:val="0"/>
              <w:marTop w:val="0"/>
              <w:marBottom w:val="0"/>
              <w:divBdr>
                <w:top w:val="none" w:sz="0" w:space="0" w:color="auto"/>
                <w:left w:val="none" w:sz="0" w:space="0" w:color="auto"/>
                <w:bottom w:val="none" w:sz="0" w:space="0" w:color="auto"/>
                <w:right w:val="none" w:sz="0" w:space="0" w:color="auto"/>
              </w:divBdr>
            </w:div>
          </w:divsChild>
        </w:div>
        <w:div w:id="223686312">
          <w:marLeft w:val="0"/>
          <w:marRight w:val="0"/>
          <w:marTop w:val="0"/>
          <w:marBottom w:val="0"/>
          <w:divBdr>
            <w:top w:val="none" w:sz="0" w:space="0" w:color="auto"/>
            <w:left w:val="none" w:sz="0" w:space="0" w:color="auto"/>
            <w:bottom w:val="none" w:sz="0" w:space="0" w:color="auto"/>
            <w:right w:val="none" w:sz="0" w:space="0" w:color="auto"/>
          </w:divBdr>
          <w:divsChild>
            <w:div w:id="249631432">
              <w:marLeft w:val="0"/>
              <w:marRight w:val="0"/>
              <w:marTop w:val="0"/>
              <w:marBottom w:val="0"/>
              <w:divBdr>
                <w:top w:val="none" w:sz="0" w:space="0" w:color="auto"/>
                <w:left w:val="none" w:sz="0" w:space="0" w:color="auto"/>
                <w:bottom w:val="none" w:sz="0" w:space="0" w:color="auto"/>
                <w:right w:val="none" w:sz="0" w:space="0" w:color="auto"/>
              </w:divBdr>
            </w:div>
          </w:divsChild>
        </w:div>
        <w:div w:id="304239419">
          <w:marLeft w:val="0"/>
          <w:marRight w:val="0"/>
          <w:marTop w:val="0"/>
          <w:marBottom w:val="0"/>
          <w:divBdr>
            <w:top w:val="none" w:sz="0" w:space="0" w:color="auto"/>
            <w:left w:val="none" w:sz="0" w:space="0" w:color="auto"/>
            <w:bottom w:val="none" w:sz="0" w:space="0" w:color="auto"/>
            <w:right w:val="none" w:sz="0" w:space="0" w:color="auto"/>
          </w:divBdr>
          <w:divsChild>
            <w:div w:id="1888637765">
              <w:marLeft w:val="0"/>
              <w:marRight w:val="0"/>
              <w:marTop w:val="0"/>
              <w:marBottom w:val="0"/>
              <w:divBdr>
                <w:top w:val="none" w:sz="0" w:space="0" w:color="auto"/>
                <w:left w:val="none" w:sz="0" w:space="0" w:color="auto"/>
                <w:bottom w:val="none" w:sz="0" w:space="0" w:color="auto"/>
                <w:right w:val="none" w:sz="0" w:space="0" w:color="auto"/>
              </w:divBdr>
            </w:div>
          </w:divsChild>
        </w:div>
        <w:div w:id="342900088">
          <w:marLeft w:val="0"/>
          <w:marRight w:val="0"/>
          <w:marTop w:val="0"/>
          <w:marBottom w:val="0"/>
          <w:divBdr>
            <w:top w:val="none" w:sz="0" w:space="0" w:color="auto"/>
            <w:left w:val="none" w:sz="0" w:space="0" w:color="auto"/>
            <w:bottom w:val="none" w:sz="0" w:space="0" w:color="auto"/>
            <w:right w:val="none" w:sz="0" w:space="0" w:color="auto"/>
          </w:divBdr>
          <w:divsChild>
            <w:div w:id="562983760">
              <w:marLeft w:val="0"/>
              <w:marRight w:val="0"/>
              <w:marTop w:val="0"/>
              <w:marBottom w:val="0"/>
              <w:divBdr>
                <w:top w:val="none" w:sz="0" w:space="0" w:color="auto"/>
                <w:left w:val="none" w:sz="0" w:space="0" w:color="auto"/>
                <w:bottom w:val="none" w:sz="0" w:space="0" w:color="auto"/>
                <w:right w:val="none" w:sz="0" w:space="0" w:color="auto"/>
              </w:divBdr>
            </w:div>
            <w:div w:id="1641574675">
              <w:marLeft w:val="0"/>
              <w:marRight w:val="0"/>
              <w:marTop w:val="0"/>
              <w:marBottom w:val="0"/>
              <w:divBdr>
                <w:top w:val="none" w:sz="0" w:space="0" w:color="auto"/>
                <w:left w:val="none" w:sz="0" w:space="0" w:color="auto"/>
                <w:bottom w:val="none" w:sz="0" w:space="0" w:color="auto"/>
                <w:right w:val="none" w:sz="0" w:space="0" w:color="auto"/>
              </w:divBdr>
            </w:div>
          </w:divsChild>
        </w:div>
        <w:div w:id="595358717">
          <w:marLeft w:val="0"/>
          <w:marRight w:val="0"/>
          <w:marTop w:val="0"/>
          <w:marBottom w:val="0"/>
          <w:divBdr>
            <w:top w:val="none" w:sz="0" w:space="0" w:color="auto"/>
            <w:left w:val="none" w:sz="0" w:space="0" w:color="auto"/>
            <w:bottom w:val="none" w:sz="0" w:space="0" w:color="auto"/>
            <w:right w:val="none" w:sz="0" w:space="0" w:color="auto"/>
          </w:divBdr>
          <w:divsChild>
            <w:div w:id="1604266835">
              <w:marLeft w:val="0"/>
              <w:marRight w:val="0"/>
              <w:marTop w:val="0"/>
              <w:marBottom w:val="0"/>
              <w:divBdr>
                <w:top w:val="none" w:sz="0" w:space="0" w:color="auto"/>
                <w:left w:val="none" w:sz="0" w:space="0" w:color="auto"/>
                <w:bottom w:val="none" w:sz="0" w:space="0" w:color="auto"/>
                <w:right w:val="none" w:sz="0" w:space="0" w:color="auto"/>
              </w:divBdr>
            </w:div>
          </w:divsChild>
        </w:div>
        <w:div w:id="776410212">
          <w:marLeft w:val="0"/>
          <w:marRight w:val="0"/>
          <w:marTop w:val="0"/>
          <w:marBottom w:val="0"/>
          <w:divBdr>
            <w:top w:val="none" w:sz="0" w:space="0" w:color="auto"/>
            <w:left w:val="none" w:sz="0" w:space="0" w:color="auto"/>
            <w:bottom w:val="none" w:sz="0" w:space="0" w:color="auto"/>
            <w:right w:val="none" w:sz="0" w:space="0" w:color="auto"/>
          </w:divBdr>
          <w:divsChild>
            <w:div w:id="1499231168">
              <w:marLeft w:val="0"/>
              <w:marRight w:val="0"/>
              <w:marTop w:val="0"/>
              <w:marBottom w:val="0"/>
              <w:divBdr>
                <w:top w:val="none" w:sz="0" w:space="0" w:color="auto"/>
                <w:left w:val="none" w:sz="0" w:space="0" w:color="auto"/>
                <w:bottom w:val="none" w:sz="0" w:space="0" w:color="auto"/>
                <w:right w:val="none" w:sz="0" w:space="0" w:color="auto"/>
              </w:divBdr>
            </w:div>
          </w:divsChild>
        </w:div>
        <w:div w:id="1010370882">
          <w:marLeft w:val="0"/>
          <w:marRight w:val="0"/>
          <w:marTop w:val="0"/>
          <w:marBottom w:val="0"/>
          <w:divBdr>
            <w:top w:val="none" w:sz="0" w:space="0" w:color="auto"/>
            <w:left w:val="none" w:sz="0" w:space="0" w:color="auto"/>
            <w:bottom w:val="none" w:sz="0" w:space="0" w:color="auto"/>
            <w:right w:val="none" w:sz="0" w:space="0" w:color="auto"/>
          </w:divBdr>
          <w:divsChild>
            <w:div w:id="44258321">
              <w:marLeft w:val="0"/>
              <w:marRight w:val="0"/>
              <w:marTop w:val="0"/>
              <w:marBottom w:val="0"/>
              <w:divBdr>
                <w:top w:val="none" w:sz="0" w:space="0" w:color="auto"/>
                <w:left w:val="none" w:sz="0" w:space="0" w:color="auto"/>
                <w:bottom w:val="none" w:sz="0" w:space="0" w:color="auto"/>
                <w:right w:val="none" w:sz="0" w:space="0" w:color="auto"/>
              </w:divBdr>
            </w:div>
          </w:divsChild>
        </w:div>
        <w:div w:id="1093356964">
          <w:marLeft w:val="0"/>
          <w:marRight w:val="0"/>
          <w:marTop w:val="0"/>
          <w:marBottom w:val="0"/>
          <w:divBdr>
            <w:top w:val="none" w:sz="0" w:space="0" w:color="auto"/>
            <w:left w:val="none" w:sz="0" w:space="0" w:color="auto"/>
            <w:bottom w:val="none" w:sz="0" w:space="0" w:color="auto"/>
            <w:right w:val="none" w:sz="0" w:space="0" w:color="auto"/>
          </w:divBdr>
          <w:divsChild>
            <w:div w:id="1046951121">
              <w:marLeft w:val="0"/>
              <w:marRight w:val="0"/>
              <w:marTop w:val="0"/>
              <w:marBottom w:val="0"/>
              <w:divBdr>
                <w:top w:val="none" w:sz="0" w:space="0" w:color="auto"/>
                <w:left w:val="none" w:sz="0" w:space="0" w:color="auto"/>
                <w:bottom w:val="none" w:sz="0" w:space="0" w:color="auto"/>
                <w:right w:val="none" w:sz="0" w:space="0" w:color="auto"/>
              </w:divBdr>
            </w:div>
          </w:divsChild>
        </w:div>
        <w:div w:id="1219782323">
          <w:marLeft w:val="0"/>
          <w:marRight w:val="0"/>
          <w:marTop w:val="0"/>
          <w:marBottom w:val="0"/>
          <w:divBdr>
            <w:top w:val="none" w:sz="0" w:space="0" w:color="auto"/>
            <w:left w:val="none" w:sz="0" w:space="0" w:color="auto"/>
            <w:bottom w:val="none" w:sz="0" w:space="0" w:color="auto"/>
            <w:right w:val="none" w:sz="0" w:space="0" w:color="auto"/>
          </w:divBdr>
          <w:divsChild>
            <w:div w:id="27726864">
              <w:marLeft w:val="0"/>
              <w:marRight w:val="0"/>
              <w:marTop w:val="0"/>
              <w:marBottom w:val="0"/>
              <w:divBdr>
                <w:top w:val="none" w:sz="0" w:space="0" w:color="auto"/>
                <w:left w:val="none" w:sz="0" w:space="0" w:color="auto"/>
                <w:bottom w:val="none" w:sz="0" w:space="0" w:color="auto"/>
                <w:right w:val="none" w:sz="0" w:space="0" w:color="auto"/>
              </w:divBdr>
            </w:div>
          </w:divsChild>
        </w:div>
        <w:div w:id="1221594092">
          <w:marLeft w:val="0"/>
          <w:marRight w:val="0"/>
          <w:marTop w:val="0"/>
          <w:marBottom w:val="0"/>
          <w:divBdr>
            <w:top w:val="none" w:sz="0" w:space="0" w:color="auto"/>
            <w:left w:val="none" w:sz="0" w:space="0" w:color="auto"/>
            <w:bottom w:val="none" w:sz="0" w:space="0" w:color="auto"/>
            <w:right w:val="none" w:sz="0" w:space="0" w:color="auto"/>
          </w:divBdr>
          <w:divsChild>
            <w:div w:id="2092238273">
              <w:marLeft w:val="0"/>
              <w:marRight w:val="0"/>
              <w:marTop w:val="0"/>
              <w:marBottom w:val="0"/>
              <w:divBdr>
                <w:top w:val="none" w:sz="0" w:space="0" w:color="auto"/>
                <w:left w:val="none" w:sz="0" w:space="0" w:color="auto"/>
                <w:bottom w:val="none" w:sz="0" w:space="0" w:color="auto"/>
                <w:right w:val="none" w:sz="0" w:space="0" w:color="auto"/>
              </w:divBdr>
            </w:div>
          </w:divsChild>
        </w:div>
        <w:div w:id="1259217715">
          <w:marLeft w:val="0"/>
          <w:marRight w:val="0"/>
          <w:marTop w:val="0"/>
          <w:marBottom w:val="0"/>
          <w:divBdr>
            <w:top w:val="none" w:sz="0" w:space="0" w:color="auto"/>
            <w:left w:val="none" w:sz="0" w:space="0" w:color="auto"/>
            <w:bottom w:val="none" w:sz="0" w:space="0" w:color="auto"/>
            <w:right w:val="none" w:sz="0" w:space="0" w:color="auto"/>
          </w:divBdr>
          <w:divsChild>
            <w:div w:id="743528456">
              <w:marLeft w:val="0"/>
              <w:marRight w:val="0"/>
              <w:marTop w:val="0"/>
              <w:marBottom w:val="0"/>
              <w:divBdr>
                <w:top w:val="none" w:sz="0" w:space="0" w:color="auto"/>
                <w:left w:val="none" w:sz="0" w:space="0" w:color="auto"/>
                <w:bottom w:val="none" w:sz="0" w:space="0" w:color="auto"/>
                <w:right w:val="none" w:sz="0" w:space="0" w:color="auto"/>
              </w:divBdr>
            </w:div>
          </w:divsChild>
        </w:div>
        <w:div w:id="1263295156">
          <w:marLeft w:val="0"/>
          <w:marRight w:val="0"/>
          <w:marTop w:val="0"/>
          <w:marBottom w:val="0"/>
          <w:divBdr>
            <w:top w:val="none" w:sz="0" w:space="0" w:color="auto"/>
            <w:left w:val="none" w:sz="0" w:space="0" w:color="auto"/>
            <w:bottom w:val="none" w:sz="0" w:space="0" w:color="auto"/>
            <w:right w:val="none" w:sz="0" w:space="0" w:color="auto"/>
          </w:divBdr>
          <w:divsChild>
            <w:div w:id="441845919">
              <w:marLeft w:val="0"/>
              <w:marRight w:val="0"/>
              <w:marTop w:val="0"/>
              <w:marBottom w:val="0"/>
              <w:divBdr>
                <w:top w:val="none" w:sz="0" w:space="0" w:color="auto"/>
                <w:left w:val="none" w:sz="0" w:space="0" w:color="auto"/>
                <w:bottom w:val="none" w:sz="0" w:space="0" w:color="auto"/>
                <w:right w:val="none" w:sz="0" w:space="0" w:color="auto"/>
              </w:divBdr>
            </w:div>
          </w:divsChild>
        </w:div>
        <w:div w:id="1334576317">
          <w:marLeft w:val="0"/>
          <w:marRight w:val="0"/>
          <w:marTop w:val="0"/>
          <w:marBottom w:val="0"/>
          <w:divBdr>
            <w:top w:val="none" w:sz="0" w:space="0" w:color="auto"/>
            <w:left w:val="none" w:sz="0" w:space="0" w:color="auto"/>
            <w:bottom w:val="none" w:sz="0" w:space="0" w:color="auto"/>
            <w:right w:val="none" w:sz="0" w:space="0" w:color="auto"/>
          </w:divBdr>
          <w:divsChild>
            <w:div w:id="674185042">
              <w:marLeft w:val="0"/>
              <w:marRight w:val="0"/>
              <w:marTop w:val="0"/>
              <w:marBottom w:val="0"/>
              <w:divBdr>
                <w:top w:val="none" w:sz="0" w:space="0" w:color="auto"/>
                <w:left w:val="none" w:sz="0" w:space="0" w:color="auto"/>
                <w:bottom w:val="none" w:sz="0" w:space="0" w:color="auto"/>
                <w:right w:val="none" w:sz="0" w:space="0" w:color="auto"/>
              </w:divBdr>
            </w:div>
          </w:divsChild>
        </w:div>
        <w:div w:id="1490712267">
          <w:marLeft w:val="0"/>
          <w:marRight w:val="0"/>
          <w:marTop w:val="0"/>
          <w:marBottom w:val="0"/>
          <w:divBdr>
            <w:top w:val="none" w:sz="0" w:space="0" w:color="auto"/>
            <w:left w:val="none" w:sz="0" w:space="0" w:color="auto"/>
            <w:bottom w:val="none" w:sz="0" w:space="0" w:color="auto"/>
            <w:right w:val="none" w:sz="0" w:space="0" w:color="auto"/>
          </w:divBdr>
          <w:divsChild>
            <w:div w:id="1046296665">
              <w:marLeft w:val="0"/>
              <w:marRight w:val="0"/>
              <w:marTop w:val="0"/>
              <w:marBottom w:val="0"/>
              <w:divBdr>
                <w:top w:val="none" w:sz="0" w:space="0" w:color="auto"/>
                <w:left w:val="none" w:sz="0" w:space="0" w:color="auto"/>
                <w:bottom w:val="none" w:sz="0" w:space="0" w:color="auto"/>
                <w:right w:val="none" w:sz="0" w:space="0" w:color="auto"/>
              </w:divBdr>
            </w:div>
          </w:divsChild>
        </w:div>
        <w:div w:id="1490898801">
          <w:marLeft w:val="0"/>
          <w:marRight w:val="0"/>
          <w:marTop w:val="0"/>
          <w:marBottom w:val="0"/>
          <w:divBdr>
            <w:top w:val="none" w:sz="0" w:space="0" w:color="auto"/>
            <w:left w:val="none" w:sz="0" w:space="0" w:color="auto"/>
            <w:bottom w:val="none" w:sz="0" w:space="0" w:color="auto"/>
            <w:right w:val="none" w:sz="0" w:space="0" w:color="auto"/>
          </w:divBdr>
          <w:divsChild>
            <w:div w:id="555555487">
              <w:marLeft w:val="0"/>
              <w:marRight w:val="0"/>
              <w:marTop w:val="0"/>
              <w:marBottom w:val="0"/>
              <w:divBdr>
                <w:top w:val="none" w:sz="0" w:space="0" w:color="auto"/>
                <w:left w:val="none" w:sz="0" w:space="0" w:color="auto"/>
                <w:bottom w:val="none" w:sz="0" w:space="0" w:color="auto"/>
                <w:right w:val="none" w:sz="0" w:space="0" w:color="auto"/>
              </w:divBdr>
            </w:div>
          </w:divsChild>
        </w:div>
        <w:div w:id="1508668239">
          <w:marLeft w:val="0"/>
          <w:marRight w:val="0"/>
          <w:marTop w:val="0"/>
          <w:marBottom w:val="0"/>
          <w:divBdr>
            <w:top w:val="none" w:sz="0" w:space="0" w:color="auto"/>
            <w:left w:val="none" w:sz="0" w:space="0" w:color="auto"/>
            <w:bottom w:val="none" w:sz="0" w:space="0" w:color="auto"/>
            <w:right w:val="none" w:sz="0" w:space="0" w:color="auto"/>
          </w:divBdr>
          <w:divsChild>
            <w:div w:id="82344">
              <w:marLeft w:val="0"/>
              <w:marRight w:val="0"/>
              <w:marTop w:val="0"/>
              <w:marBottom w:val="0"/>
              <w:divBdr>
                <w:top w:val="none" w:sz="0" w:space="0" w:color="auto"/>
                <w:left w:val="none" w:sz="0" w:space="0" w:color="auto"/>
                <w:bottom w:val="none" w:sz="0" w:space="0" w:color="auto"/>
                <w:right w:val="none" w:sz="0" w:space="0" w:color="auto"/>
              </w:divBdr>
            </w:div>
          </w:divsChild>
        </w:div>
        <w:div w:id="1527212707">
          <w:marLeft w:val="0"/>
          <w:marRight w:val="0"/>
          <w:marTop w:val="0"/>
          <w:marBottom w:val="0"/>
          <w:divBdr>
            <w:top w:val="none" w:sz="0" w:space="0" w:color="auto"/>
            <w:left w:val="none" w:sz="0" w:space="0" w:color="auto"/>
            <w:bottom w:val="none" w:sz="0" w:space="0" w:color="auto"/>
            <w:right w:val="none" w:sz="0" w:space="0" w:color="auto"/>
          </w:divBdr>
          <w:divsChild>
            <w:div w:id="1046877011">
              <w:marLeft w:val="0"/>
              <w:marRight w:val="0"/>
              <w:marTop w:val="0"/>
              <w:marBottom w:val="0"/>
              <w:divBdr>
                <w:top w:val="none" w:sz="0" w:space="0" w:color="auto"/>
                <w:left w:val="none" w:sz="0" w:space="0" w:color="auto"/>
                <w:bottom w:val="none" w:sz="0" w:space="0" w:color="auto"/>
                <w:right w:val="none" w:sz="0" w:space="0" w:color="auto"/>
              </w:divBdr>
            </w:div>
            <w:div w:id="1647469407">
              <w:marLeft w:val="0"/>
              <w:marRight w:val="0"/>
              <w:marTop w:val="0"/>
              <w:marBottom w:val="0"/>
              <w:divBdr>
                <w:top w:val="none" w:sz="0" w:space="0" w:color="auto"/>
                <w:left w:val="none" w:sz="0" w:space="0" w:color="auto"/>
                <w:bottom w:val="none" w:sz="0" w:space="0" w:color="auto"/>
                <w:right w:val="none" w:sz="0" w:space="0" w:color="auto"/>
              </w:divBdr>
            </w:div>
          </w:divsChild>
        </w:div>
        <w:div w:id="1631278481">
          <w:marLeft w:val="0"/>
          <w:marRight w:val="0"/>
          <w:marTop w:val="0"/>
          <w:marBottom w:val="0"/>
          <w:divBdr>
            <w:top w:val="none" w:sz="0" w:space="0" w:color="auto"/>
            <w:left w:val="none" w:sz="0" w:space="0" w:color="auto"/>
            <w:bottom w:val="none" w:sz="0" w:space="0" w:color="auto"/>
            <w:right w:val="none" w:sz="0" w:space="0" w:color="auto"/>
          </w:divBdr>
          <w:divsChild>
            <w:div w:id="1659455325">
              <w:marLeft w:val="0"/>
              <w:marRight w:val="0"/>
              <w:marTop w:val="0"/>
              <w:marBottom w:val="0"/>
              <w:divBdr>
                <w:top w:val="none" w:sz="0" w:space="0" w:color="auto"/>
                <w:left w:val="none" w:sz="0" w:space="0" w:color="auto"/>
                <w:bottom w:val="none" w:sz="0" w:space="0" w:color="auto"/>
                <w:right w:val="none" w:sz="0" w:space="0" w:color="auto"/>
              </w:divBdr>
            </w:div>
          </w:divsChild>
        </w:div>
        <w:div w:id="1643005106">
          <w:marLeft w:val="0"/>
          <w:marRight w:val="0"/>
          <w:marTop w:val="0"/>
          <w:marBottom w:val="0"/>
          <w:divBdr>
            <w:top w:val="none" w:sz="0" w:space="0" w:color="auto"/>
            <w:left w:val="none" w:sz="0" w:space="0" w:color="auto"/>
            <w:bottom w:val="none" w:sz="0" w:space="0" w:color="auto"/>
            <w:right w:val="none" w:sz="0" w:space="0" w:color="auto"/>
          </w:divBdr>
          <w:divsChild>
            <w:div w:id="1418550675">
              <w:marLeft w:val="0"/>
              <w:marRight w:val="0"/>
              <w:marTop w:val="0"/>
              <w:marBottom w:val="0"/>
              <w:divBdr>
                <w:top w:val="none" w:sz="0" w:space="0" w:color="auto"/>
                <w:left w:val="none" w:sz="0" w:space="0" w:color="auto"/>
                <w:bottom w:val="none" w:sz="0" w:space="0" w:color="auto"/>
                <w:right w:val="none" w:sz="0" w:space="0" w:color="auto"/>
              </w:divBdr>
            </w:div>
          </w:divsChild>
        </w:div>
        <w:div w:id="1744914190">
          <w:marLeft w:val="0"/>
          <w:marRight w:val="0"/>
          <w:marTop w:val="0"/>
          <w:marBottom w:val="0"/>
          <w:divBdr>
            <w:top w:val="none" w:sz="0" w:space="0" w:color="auto"/>
            <w:left w:val="none" w:sz="0" w:space="0" w:color="auto"/>
            <w:bottom w:val="none" w:sz="0" w:space="0" w:color="auto"/>
            <w:right w:val="none" w:sz="0" w:space="0" w:color="auto"/>
          </w:divBdr>
          <w:divsChild>
            <w:div w:id="1972780276">
              <w:marLeft w:val="0"/>
              <w:marRight w:val="0"/>
              <w:marTop w:val="0"/>
              <w:marBottom w:val="0"/>
              <w:divBdr>
                <w:top w:val="none" w:sz="0" w:space="0" w:color="auto"/>
                <w:left w:val="none" w:sz="0" w:space="0" w:color="auto"/>
                <w:bottom w:val="none" w:sz="0" w:space="0" w:color="auto"/>
                <w:right w:val="none" w:sz="0" w:space="0" w:color="auto"/>
              </w:divBdr>
            </w:div>
          </w:divsChild>
        </w:div>
        <w:div w:id="1829200797">
          <w:marLeft w:val="0"/>
          <w:marRight w:val="0"/>
          <w:marTop w:val="0"/>
          <w:marBottom w:val="0"/>
          <w:divBdr>
            <w:top w:val="none" w:sz="0" w:space="0" w:color="auto"/>
            <w:left w:val="none" w:sz="0" w:space="0" w:color="auto"/>
            <w:bottom w:val="none" w:sz="0" w:space="0" w:color="auto"/>
            <w:right w:val="none" w:sz="0" w:space="0" w:color="auto"/>
          </w:divBdr>
          <w:divsChild>
            <w:div w:id="1860579191">
              <w:marLeft w:val="0"/>
              <w:marRight w:val="0"/>
              <w:marTop w:val="0"/>
              <w:marBottom w:val="0"/>
              <w:divBdr>
                <w:top w:val="none" w:sz="0" w:space="0" w:color="auto"/>
                <w:left w:val="none" w:sz="0" w:space="0" w:color="auto"/>
                <w:bottom w:val="none" w:sz="0" w:space="0" w:color="auto"/>
                <w:right w:val="none" w:sz="0" w:space="0" w:color="auto"/>
              </w:divBdr>
            </w:div>
          </w:divsChild>
        </w:div>
        <w:div w:id="1895047511">
          <w:marLeft w:val="0"/>
          <w:marRight w:val="0"/>
          <w:marTop w:val="0"/>
          <w:marBottom w:val="0"/>
          <w:divBdr>
            <w:top w:val="none" w:sz="0" w:space="0" w:color="auto"/>
            <w:left w:val="none" w:sz="0" w:space="0" w:color="auto"/>
            <w:bottom w:val="none" w:sz="0" w:space="0" w:color="auto"/>
            <w:right w:val="none" w:sz="0" w:space="0" w:color="auto"/>
          </w:divBdr>
          <w:divsChild>
            <w:div w:id="706563000">
              <w:marLeft w:val="0"/>
              <w:marRight w:val="0"/>
              <w:marTop w:val="0"/>
              <w:marBottom w:val="0"/>
              <w:divBdr>
                <w:top w:val="none" w:sz="0" w:space="0" w:color="auto"/>
                <w:left w:val="none" w:sz="0" w:space="0" w:color="auto"/>
                <w:bottom w:val="none" w:sz="0" w:space="0" w:color="auto"/>
                <w:right w:val="none" w:sz="0" w:space="0" w:color="auto"/>
              </w:divBdr>
            </w:div>
          </w:divsChild>
        </w:div>
        <w:div w:id="2037802795">
          <w:marLeft w:val="0"/>
          <w:marRight w:val="0"/>
          <w:marTop w:val="0"/>
          <w:marBottom w:val="0"/>
          <w:divBdr>
            <w:top w:val="none" w:sz="0" w:space="0" w:color="auto"/>
            <w:left w:val="none" w:sz="0" w:space="0" w:color="auto"/>
            <w:bottom w:val="none" w:sz="0" w:space="0" w:color="auto"/>
            <w:right w:val="none" w:sz="0" w:space="0" w:color="auto"/>
          </w:divBdr>
          <w:divsChild>
            <w:div w:id="81033488">
              <w:marLeft w:val="0"/>
              <w:marRight w:val="0"/>
              <w:marTop w:val="0"/>
              <w:marBottom w:val="0"/>
              <w:divBdr>
                <w:top w:val="none" w:sz="0" w:space="0" w:color="auto"/>
                <w:left w:val="none" w:sz="0" w:space="0" w:color="auto"/>
                <w:bottom w:val="none" w:sz="0" w:space="0" w:color="auto"/>
                <w:right w:val="none" w:sz="0" w:space="0" w:color="auto"/>
              </w:divBdr>
            </w:div>
          </w:divsChild>
        </w:div>
        <w:div w:id="2044016332">
          <w:marLeft w:val="0"/>
          <w:marRight w:val="0"/>
          <w:marTop w:val="0"/>
          <w:marBottom w:val="0"/>
          <w:divBdr>
            <w:top w:val="none" w:sz="0" w:space="0" w:color="auto"/>
            <w:left w:val="none" w:sz="0" w:space="0" w:color="auto"/>
            <w:bottom w:val="none" w:sz="0" w:space="0" w:color="auto"/>
            <w:right w:val="none" w:sz="0" w:space="0" w:color="auto"/>
          </w:divBdr>
          <w:divsChild>
            <w:div w:id="1673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6096">
      <w:bodyDiv w:val="1"/>
      <w:marLeft w:val="0"/>
      <w:marRight w:val="0"/>
      <w:marTop w:val="0"/>
      <w:marBottom w:val="0"/>
      <w:divBdr>
        <w:top w:val="none" w:sz="0" w:space="0" w:color="auto"/>
        <w:left w:val="none" w:sz="0" w:space="0" w:color="auto"/>
        <w:bottom w:val="none" w:sz="0" w:space="0" w:color="auto"/>
        <w:right w:val="none" w:sz="0" w:space="0" w:color="auto"/>
      </w:divBdr>
      <w:divsChild>
        <w:div w:id="7368832">
          <w:marLeft w:val="0"/>
          <w:marRight w:val="0"/>
          <w:marTop w:val="0"/>
          <w:marBottom w:val="0"/>
          <w:divBdr>
            <w:top w:val="none" w:sz="0" w:space="0" w:color="auto"/>
            <w:left w:val="none" w:sz="0" w:space="0" w:color="auto"/>
            <w:bottom w:val="none" w:sz="0" w:space="0" w:color="auto"/>
            <w:right w:val="none" w:sz="0" w:space="0" w:color="auto"/>
          </w:divBdr>
        </w:div>
        <w:div w:id="9139892">
          <w:marLeft w:val="0"/>
          <w:marRight w:val="0"/>
          <w:marTop w:val="0"/>
          <w:marBottom w:val="0"/>
          <w:divBdr>
            <w:top w:val="none" w:sz="0" w:space="0" w:color="auto"/>
            <w:left w:val="none" w:sz="0" w:space="0" w:color="auto"/>
            <w:bottom w:val="none" w:sz="0" w:space="0" w:color="auto"/>
            <w:right w:val="none" w:sz="0" w:space="0" w:color="auto"/>
          </w:divBdr>
        </w:div>
        <w:div w:id="24795301">
          <w:marLeft w:val="0"/>
          <w:marRight w:val="0"/>
          <w:marTop w:val="0"/>
          <w:marBottom w:val="0"/>
          <w:divBdr>
            <w:top w:val="none" w:sz="0" w:space="0" w:color="auto"/>
            <w:left w:val="none" w:sz="0" w:space="0" w:color="auto"/>
            <w:bottom w:val="none" w:sz="0" w:space="0" w:color="auto"/>
            <w:right w:val="none" w:sz="0" w:space="0" w:color="auto"/>
          </w:divBdr>
        </w:div>
        <w:div w:id="63067660">
          <w:marLeft w:val="0"/>
          <w:marRight w:val="0"/>
          <w:marTop w:val="0"/>
          <w:marBottom w:val="0"/>
          <w:divBdr>
            <w:top w:val="none" w:sz="0" w:space="0" w:color="auto"/>
            <w:left w:val="none" w:sz="0" w:space="0" w:color="auto"/>
            <w:bottom w:val="none" w:sz="0" w:space="0" w:color="auto"/>
            <w:right w:val="none" w:sz="0" w:space="0" w:color="auto"/>
          </w:divBdr>
        </w:div>
        <w:div w:id="75441584">
          <w:marLeft w:val="0"/>
          <w:marRight w:val="0"/>
          <w:marTop w:val="0"/>
          <w:marBottom w:val="0"/>
          <w:divBdr>
            <w:top w:val="none" w:sz="0" w:space="0" w:color="auto"/>
            <w:left w:val="none" w:sz="0" w:space="0" w:color="auto"/>
            <w:bottom w:val="none" w:sz="0" w:space="0" w:color="auto"/>
            <w:right w:val="none" w:sz="0" w:space="0" w:color="auto"/>
          </w:divBdr>
        </w:div>
        <w:div w:id="89085492">
          <w:marLeft w:val="0"/>
          <w:marRight w:val="0"/>
          <w:marTop w:val="0"/>
          <w:marBottom w:val="0"/>
          <w:divBdr>
            <w:top w:val="none" w:sz="0" w:space="0" w:color="auto"/>
            <w:left w:val="none" w:sz="0" w:space="0" w:color="auto"/>
            <w:bottom w:val="none" w:sz="0" w:space="0" w:color="auto"/>
            <w:right w:val="none" w:sz="0" w:space="0" w:color="auto"/>
          </w:divBdr>
        </w:div>
        <w:div w:id="142620027">
          <w:marLeft w:val="0"/>
          <w:marRight w:val="0"/>
          <w:marTop w:val="0"/>
          <w:marBottom w:val="0"/>
          <w:divBdr>
            <w:top w:val="none" w:sz="0" w:space="0" w:color="auto"/>
            <w:left w:val="none" w:sz="0" w:space="0" w:color="auto"/>
            <w:bottom w:val="none" w:sz="0" w:space="0" w:color="auto"/>
            <w:right w:val="none" w:sz="0" w:space="0" w:color="auto"/>
          </w:divBdr>
        </w:div>
        <w:div w:id="187792676">
          <w:marLeft w:val="0"/>
          <w:marRight w:val="0"/>
          <w:marTop w:val="0"/>
          <w:marBottom w:val="0"/>
          <w:divBdr>
            <w:top w:val="none" w:sz="0" w:space="0" w:color="auto"/>
            <w:left w:val="none" w:sz="0" w:space="0" w:color="auto"/>
            <w:bottom w:val="none" w:sz="0" w:space="0" w:color="auto"/>
            <w:right w:val="none" w:sz="0" w:space="0" w:color="auto"/>
          </w:divBdr>
        </w:div>
        <w:div w:id="205417128">
          <w:marLeft w:val="0"/>
          <w:marRight w:val="0"/>
          <w:marTop w:val="0"/>
          <w:marBottom w:val="0"/>
          <w:divBdr>
            <w:top w:val="none" w:sz="0" w:space="0" w:color="auto"/>
            <w:left w:val="none" w:sz="0" w:space="0" w:color="auto"/>
            <w:bottom w:val="none" w:sz="0" w:space="0" w:color="auto"/>
            <w:right w:val="none" w:sz="0" w:space="0" w:color="auto"/>
          </w:divBdr>
        </w:div>
        <w:div w:id="214237840">
          <w:marLeft w:val="0"/>
          <w:marRight w:val="0"/>
          <w:marTop w:val="0"/>
          <w:marBottom w:val="0"/>
          <w:divBdr>
            <w:top w:val="none" w:sz="0" w:space="0" w:color="auto"/>
            <w:left w:val="none" w:sz="0" w:space="0" w:color="auto"/>
            <w:bottom w:val="none" w:sz="0" w:space="0" w:color="auto"/>
            <w:right w:val="none" w:sz="0" w:space="0" w:color="auto"/>
          </w:divBdr>
        </w:div>
        <w:div w:id="252010292">
          <w:marLeft w:val="0"/>
          <w:marRight w:val="0"/>
          <w:marTop w:val="0"/>
          <w:marBottom w:val="0"/>
          <w:divBdr>
            <w:top w:val="none" w:sz="0" w:space="0" w:color="auto"/>
            <w:left w:val="none" w:sz="0" w:space="0" w:color="auto"/>
            <w:bottom w:val="none" w:sz="0" w:space="0" w:color="auto"/>
            <w:right w:val="none" w:sz="0" w:space="0" w:color="auto"/>
          </w:divBdr>
        </w:div>
        <w:div w:id="252858797">
          <w:marLeft w:val="0"/>
          <w:marRight w:val="0"/>
          <w:marTop w:val="0"/>
          <w:marBottom w:val="0"/>
          <w:divBdr>
            <w:top w:val="none" w:sz="0" w:space="0" w:color="auto"/>
            <w:left w:val="none" w:sz="0" w:space="0" w:color="auto"/>
            <w:bottom w:val="none" w:sz="0" w:space="0" w:color="auto"/>
            <w:right w:val="none" w:sz="0" w:space="0" w:color="auto"/>
          </w:divBdr>
        </w:div>
        <w:div w:id="260184970">
          <w:marLeft w:val="0"/>
          <w:marRight w:val="0"/>
          <w:marTop w:val="0"/>
          <w:marBottom w:val="0"/>
          <w:divBdr>
            <w:top w:val="none" w:sz="0" w:space="0" w:color="auto"/>
            <w:left w:val="none" w:sz="0" w:space="0" w:color="auto"/>
            <w:bottom w:val="none" w:sz="0" w:space="0" w:color="auto"/>
            <w:right w:val="none" w:sz="0" w:space="0" w:color="auto"/>
          </w:divBdr>
        </w:div>
        <w:div w:id="283388172">
          <w:marLeft w:val="0"/>
          <w:marRight w:val="0"/>
          <w:marTop w:val="0"/>
          <w:marBottom w:val="0"/>
          <w:divBdr>
            <w:top w:val="none" w:sz="0" w:space="0" w:color="auto"/>
            <w:left w:val="none" w:sz="0" w:space="0" w:color="auto"/>
            <w:bottom w:val="none" w:sz="0" w:space="0" w:color="auto"/>
            <w:right w:val="none" w:sz="0" w:space="0" w:color="auto"/>
          </w:divBdr>
        </w:div>
        <w:div w:id="376707594">
          <w:marLeft w:val="0"/>
          <w:marRight w:val="0"/>
          <w:marTop w:val="0"/>
          <w:marBottom w:val="0"/>
          <w:divBdr>
            <w:top w:val="none" w:sz="0" w:space="0" w:color="auto"/>
            <w:left w:val="none" w:sz="0" w:space="0" w:color="auto"/>
            <w:bottom w:val="none" w:sz="0" w:space="0" w:color="auto"/>
            <w:right w:val="none" w:sz="0" w:space="0" w:color="auto"/>
          </w:divBdr>
        </w:div>
        <w:div w:id="409545950">
          <w:marLeft w:val="0"/>
          <w:marRight w:val="0"/>
          <w:marTop w:val="0"/>
          <w:marBottom w:val="0"/>
          <w:divBdr>
            <w:top w:val="none" w:sz="0" w:space="0" w:color="auto"/>
            <w:left w:val="none" w:sz="0" w:space="0" w:color="auto"/>
            <w:bottom w:val="none" w:sz="0" w:space="0" w:color="auto"/>
            <w:right w:val="none" w:sz="0" w:space="0" w:color="auto"/>
          </w:divBdr>
        </w:div>
        <w:div w:id="411900821">
          <w:marLeft w:val="0"/>
          <w:marRight w:val="0"/>
          <w:marTop w:val="0"/>
          <w:marBottom w:val="0"/>
          <w:divBdr>
            <w:top w:val="none" w:sz="0" w:space="0" w:color="auto"/>
            <w:left w:val="none" w:sz="0" w:space="0" w:color="auto"/>
            <w:bottom w:val="none" w:sz="0" w:space="0" w:color="auto"/>
            <w:right w:val="none" w:sz="0" w:space="0" w:color="auto"/>
          </w:divBdr>
        </w:div>
        <w:div w:id="443962502">
          <w:marLeft w:val="0"/>
          <w:marRight w:val="0"/>
          <w:marTop w:val="0"/>
          <w:marBottom w:val="0"/>
          <w:divBdr>
            <w:top w:val="none" w:sz="0" w:space="0" w:color="auto"/>
            <w:left w:val="none" w:sz="0" w:space="0" w:color="auto"/>
            <w:bottom w:val="none" w:sz="0" w:space="0" w:color="auto"/>
            <w:right w:val="none" w:sz="0" w:space="0" w:color="auto"/>
          </w:divBdr>
        </w:div>
        <w:div w:id="460461614">
          <w:marLeft w:val="0"/>
          <w:marRight w:val="0"/>
          <w:marTop w:val="0"/>
          <w:marBottom w:val="0"/>
          <w:divBdr>
            <w:top w:val="none" w:sz="0" w:space="0" w:color="auto"/>
            <w:left w:val="none" w:sz="0" w:space="0" w:color="auto"/>
            <w:bottom w:val="none" w:sz="0" w:space="0" w:color="auto"/>
            <w:right w:val="none" w:sz="0" w:space="0" w:color="auto"/>
          </w:divBdr>
        </w:div>
        <w:div w:id="525871514">
          <w:marLeft w:val="0"/>
          <w:marRight w:val="0"/>
          <w:marTop w:val="0"/>
          <w:marBottom w:val="0"/>
          <w:divBdr>
            <w:top w:val="none" w:sz="0" w:space="0" w:color="auto"/>
            <w:left w:val="none" w:sz="0" w:space="0" w:color="auto"/>
            <w:bottom w:val="none" w:sz="0" w:space="0" w:color="auto"/>
            <w:right w:val="none" w:sz="0" w:space="0" w:color="auto"/>
          </w:divBdr>
        </w:div>
        <w:div w:id="561524122">
          <w:marLeft w:val="0"/>
          <w:marRight w:val="0"/>
          <w:marTop w:val="0"/>
          <w:marBottom w:val="0"/>
          <w:divBdr>
            <w:top w:val="none" w:sz="0" w:space="0" w:color="auto"/>
            <w:left w:val="none" w:sz="0" w:space="0" w:color="auto"/>
            <w:bottom w:val="none" w:sz="0" w:space="0" w:color="auto"/>
            <w:right w:val="none" w:sz="0" w:space="0" w:color="auto"/>
          </w:divBdr>
        </w:div>
        <w:div w:id="573706755">
          <w:marLeft w:val="0"/>
          <w:marRight w:val="0"/>
          <w:marTop w:val="0"/>
          <w:marBottom w:val="0"/>
          <w:divBdr>
            <w:top w:val="none" w:sz="0" w:space="0" w:color="auto"/>
            <w:left w:val="none" w:sz="0" w:space="0" w:color="auto"/>
            <w:bottom w:val="none" w:sz="0" w:space="0" w:color="auto"/>
            <w:right w:val="none" w:sz="0" w:space="0" w:color="auto"/>
          </w:divBdr>
        </w:div>
        <w:div w:id="655454687">
          <w:marLeft w:val="0"/>
          <w:marRight w:val="0"/>
          <w:marTop w:val="0"/>
          <w:marBottom w:val="0"/>
          <w:divBdr>
            <w:top w:val="none" w:sz="0" w:space="0" w:color="auto"/>
            <w:left w:val="none" w:sz="0" w:space="0" w:color="auto"/>
            <w:bottom w:val="none" w:sz="0" w:space="0" w:color="auto"/>
            <w:right w:val="none" w:sz="0" w:space="0" w:color="auto"/>
          </w:divBdr>
        </w:div>
        <w:div w:id="770125773">
          <w:marLeft w:val="0"/>
          <w:marRight w:val="0"/>
          <w:marTop w:val="0"/>
          <w:marBottom w:val="0"/>
          <w:divBdr>
            <w:top w:val="none" w:sz="0" w:space="0" w:color="auto"/>
            <w:left w:val="none" w:sz="0" w:space="0" w:color="auto"/>
            <w:bottom w:val="none" w:sz="0" w:space="0" w:color="auto"/>
            <w:right w:val="none" w:sz="0" w:space="0" w:color="auto"/>
          </w:divBdr>
        </w:div>
        <w:div w:id="867990581">
          <w:marLeft w:val="0"/>
          <w:marRight w:val="0"/>
          <w:marTop w:val="0"/>
          <w:marBottom w:val="0"/>
          <w:divBdr>
            <w:top w:val="none" w:sz="0" w:space="0" w:color="auto"/>
            <w:left w:val="none" w:sz="0" w:space="0" w:color="auto"/>
            <w:bottom w:val="none" w:sz="0" w:space="0" w:color="auto"/>
            <w:right w:val="none" w:sz="0" w:space="0" w:color="auto"/>
          </w:divBdr>
        </w:div>
        <w:div w:id="874656084">
          <w:marLeft w:val="0"/>
          <w:marRight w:val="0"/>
          <w:marTop w:val="0"/>
          <w:marBottom w:val="0"/>
          <w:divBdr>
            <w:top w:val="none" w:sz="0" w:space="0" w:color="auto"/>
            <w:left w:val="none" w:sz="0" w:space="0" w:color="auto"/>
            <w:bottom w:val="none" w:sz="0" w:space="0" w:color="auto"/>
            <w:right w:val="none" w:sz="0" w:space="0" w:color="auto"/>
          </w:divBdr>
        </w:div>
        <w:div w:id="918294965">
          <w:marLeft w:val="0"/>
          <w:marRight w:val="0"/>
          <w:marTop w:val="0"/>
          <w:marBottom w:val="0"/>
          <w:divBdr>
            <w:top w:val="none" w:sz="0" w:space="0" w:color="auto"/>
            <w:left w:val="none" w:sz="0" w:space="0" w:color="auto"/>
            <w:bottom w:val="none" w:sz="0" w:space="0" w:color="auto"/>
            <w:right w:val="none" w:sz="0" w:space="0" w:color="auto"/>
          </w:divBdr>
        </w:div>
        <w:div w:id="958023504">
          <w:marLeft w:val="0"/>
          <w:marRight w:val="0"/>
          <w:marTop w:val="0"/>
          <w:marBottom w:val="0"/>
          <w:divBdr>
            <w:top w:val="none" w:sz="0" w:space="0" w:color="auto"/>
            <w:left w:val="none" w:sz="0" w:space="0" w:color="auto"/>
            <w:bottom w:val="none" w:sz="0" w:space="0" w:color="auto"/>
            <w:right w:val="none" w:sz="0" w:space="0" w:color="auto"/>
          </w:divBdr>
        </w:div>
        <w:div w:id="987050772">
          <w:marLeft w:val="0"/>
          <w:marRight w:val="0"/>
          <w:marTop w:val="0"/>
          <w:marBottom w:val="0"/>
          <w:divBdr>
            <w:top w:val="none" w:sz="0" w:space="0" w:color="auto"/>
            <w:left w:val="none" w:sz="0" w:space="0" w:color="auto"/>
            <w:bottom w:val="none" w:sz="0" w:space="0" w:color="auto"/>
            <w:right w:val="none" w:sz="0" w:space="0" w:color="auto"/>
          </w:divBdr>
        </w:div>
        <w:div w:id="1009941194">
          <w:marLeft w:val="0"/>
          <w:marRight w:val="0"/>
          <w:marTop w:val="0"/>
          <w:marBottom w:val="0"/>
          <w:divBdr>
            <w:top w:val="none" w:sz="0" w:space="0" w:color="auto"/>
            <w:left w:val="none" w:sz="0" w:space="0" w:color="auto"/>
            <w:bottom w:val="none" w:sz="0" w:space="0" w:color="auto"/>
            <w:right w:val="none" w:sz="0" w:space="0" w:color="auto"/>
          </w:divBdr>
        </w:div>
        <w:div w:id="1044909670">
          <w:marLeft w:val="0"/>
          <w:marRight w:val="0"/>
          <w:marTop w:val="0"/>
          <w:marBottom w:val="0"/>
          <w:divBdr>
            <w:top w:val="none" w:sz="0" w:space="0" w:color="auto"/>
            <w:left w:val="none" w:sz="0" w:space="0" w:color="auto"/>
            <w:bottom w:val="none" w:sz="0" w:space="0" w:color="auto"/>
            <w:right w:val="none" w:sz="0" w:space="0" w:color="auto"/>
          </w:divBdr>
        </w:div>
        <w:div w:id="1102534977">
          <w:marLeft w:val="0"/>
          <w:marRight w:val="0"/>
          <w:marTop w:val="0"/>
          <w:marBottom w:val="0"/>
          <w:divBdr>
            <w:top w:val="none" w:sz="0" w:space="0" w:color="auto"/>
            <w:left w:val="none" w:sz="0" w:space="0" w:color="auto"/>
            <w:bottom w:val="none" w:sz="0" w:space="0" w:color="auto"/>
            <w:right w:val="none" w:sz="0" w:space="0" w:color="auto"/>
          </w:divBdr>
        </w:div>
        <w:div w:id="1147553245">
          <w:marLeft w:val="0"/>
          <w:marRight w:val="0"/>
          <w:marTop w:val="0"/>
          <w:marBottom w:val="0"/>
          <w:divBdr>
            <w:top w:val="none" w:sz="0" w:space="0" w:color="auto"/>
            <w:left w:val="none" w:sz="0" w:space="0" w:color="auto"/>
            <w:bottom w:val="none" w:sz="0" w:space="0" w:color="auto"/>
            <w:right w:val="none" w:sz="0" w:space="0" w:color="auto"/>
          </w:divBdr>
          <w:divsChild>
            <w:div w:id="245966579">
              <w:marLeft w:val="-75"/>
              <w:marRight w:val="0"/>
              <w:marTop w:val="30"/>
              <w:marBottom w:val="30"/>
              <w:divBdr>
                <w:top w:val="none" w:sz="0" w:space="0" w:color="auto"/>
                <w:left w:val="none" w:sz="0" w:space="0" w:color="auto"/>
                <w:bottom w:val="none" w:sz="0" w:space="0" w:color="auto"/>
                <w:right w:val="none" w:sz="0" w:space="0" w:color="auto"/>
              </w:divBdr>
              <w:divsChild>
                <w:div w:id="180555094">
                  <w:marLeft w:val="0"/>
                  <w:marRight w:val="0"/>
                  <w:marTop w:val="0"/>
                  <w:marBottom w:val="0"/>
                  <w:divBdr>
                    <w:top w:val="none" w:sz="0" w:space="0" w:color="auto"/>
                    <w:left w:val="none" w:sz="0" w:space="0" w:color="auto"/>
                    <w:bottom w:val="none" w:sz="0" w:space="0" w:color="auto"/>
                    <w:right w:val="none" w:sz="0" w:space="0" w:color="auto"/>
                  </w:divBdr>
                  <w:divsChild>
                    <w:div w:id="656349132">
                      <w:marLeft w:val="0"/>
                      <w:marRight w:val="0"/>
                      <w:marTop w:val="0"/>
                      <w:marBottom w:val="0"/>
                      <w:divBdr>
                        <w:top w:val="none" w:sz="0" w:space="0" w:color="auto"/>
                        <w:left w:val="none" w:sz="0" w:space="0" w:color="auto"/>
                        <w:bottom w:val="none" w:sz="0" w:space="0" w:color="auto"/>
                        <w:right w:val="none" w:sz="0" w:space="0" w:color="auto"/>
                      </w:divBdr>
                    </w:div>
                  </w:divsChild>
                </w:div>
                <w:div w:id="299967941">
                  <w:marLeft w:val="0"/>
                  <w:marRight w:val="0"/>
                  <w:marTop w:val="0"/>
                  <w:marBottom w:val="0"/>
                  <w:divBdr>
                    <w:top w:val="none" w:sz="0" w:space="0" w:color="auto"/>
                    <w:left w:val="none" w:sz="0" w:space="0" w:color="auto"/>
                    <w:bottom w:val="none" w:sz="0" w:space="0" w:color="auto"/>
                    <w:right w:val="none" w:sz="0" w:space="0" w:color="auto"/>
                  </w:divBdr>
                  <w:divsChild>
                    <w:div w:id="382102249">
                      <w:marLeft w:val="0"/>
                      <w:marRight w:val="0"/>
                      <w:marTop w:val="0"/>
                      <w:marBottom w:val="0"/>
                      <w:divBdr>
                        <w:top w:val="none" w:sz="0" w:space="0" w:color="auto"/>
                        <w:left w:val="none" w:sz="0" w:space="0" w:color="auto"/>
                        <w:bottom w:val="none" w:sz="0" w:space="0" w:color="auto"/>
                        <w:right w:val="none" w:sz="0" w:space="0" w:color="auto"/>
                      </w:divBdr>
                    </w:div>
                  </w:divsChild>
                </w:div>
                <w:div w:id="302389998">
                  <w:marLeft w:val="0"/>
                  <w:marRight w:val="0"/>
                  <w:marTop w:val="0"/>
                  <w:marBottom w:val="0"/>
                  <w:divBdr>
                    <w:top w:val="none" w:sz="0" w:space="0" w:color="auto"/>
                    <w:left w:val="none" w:sz="0" w:space="0" w:color="auto"/>
                    <w:bottom w:val="none" w:sz="0" w:space="0" w:color="auto"/>
                    <w:right w:val="none" w:sz="0" w:space="0" w:color="auto"/>
                  </w:divBdr>
                  <w:divsChild>
                    <w:div w:id="1571227495">
                      <w:marLeft w:val="0"/>
                      <w:marRight w:val="0"/>
                      <w:marTop w:val="0"/>
                      <w:marBottom w:val="0"/>
                      <w:divBdr>
                        <w:top w:val="none" w:sz="0" w:space="0" w:color="auto"/>
                        <w:left w:val="none" w:sz="0" w:space="0" w:color="auto"/>
                        <w:bottom w:val="none" w:sz="0" w:space="0" w:color="auto"/>
                        <w:right w:val="none" w:sz="0" w:space="0" w:color="auto"/>
                      </w:divBdr>
                    </w:div>
                  </w:divsChild>
                </w:div>
                <w:div w:id="316567888">
                  <w:marLeft w:val="0"/>
                  <w:marRight w:val="0"/>
                  <w:marTop w:val="0"/>
                  <w:marBottom w:val="0"/>
                  <w:divBdr>
                    <w:top w:val="none" w:sz="0" w:space="0" w:color="auto"/>
                    <w:left w:val="none" w:sz="0" w:space="0" w:color="auto"/>
                    <w:bottom w:val="none" w:sz="0" w:space="0" w:color="auto"/>
                    <w:right w:val="none" w:sz="0" w:space="0" w:color="auto"/>
                  </w:divBdr>
                  <w:divsChild>
                    <w:div w:id="124853164">
                      <w:marLeft w:val="0"/>
                      <w:marRight w:val="0"/>
                      <w:marTop w:val="0"/>
                      <w:marBottom w:val="0"/>
                      <w:divBdr>
                        <w:top w:val="none" w:sz="0" w:space="0" w:color="auto"/>
                        <w:left w:val="none" w:sz="0" w:space="0" w:color="auto"/>
                        <w:bottom w:val="none" w:sz="0" w:space="0" w:color="auto"/>
                        <w:right w:val="none" w:sz="0" w:space="0" w:color="auto"/>
                      </w:divBdr>
                    </w:div>
                  </w:divsChild>
                </w:div>
                <w:div w:id="403911486">
                  <w:marLeft w:val="0"/>
                  <w:marRight w:val="0"/>
                  <w:marTop w:val="0"/>
                  <w:marBottom w:val="0"/>
                  <w:divBdr>
                    <w:top w:val="none" w:sz="0" w:space="0" w:color="auto"/>
                    <w:left w:val="none" w:sz="0" w:space="0" w:color="auto"/>
                    <w:bottom w:val="none" w:sz="0" w:space="0" w:color="auto"/>
                    <w:right w:val="none" w:sz="0" w:space="0" w:color="auto"/>
                  </w:divBdr>
                  <w:divsChild>
                    <w:div w:id="1052269091">
                      <w:marLeft w:val="0"/>
                      <w:marRight w:val="0"/>
                      <w:marTop w:val="0"/>
                      <w:marBottom w:val="0"/>
                      <w:divBdr>
                        <w:top w:val="none" w:sz="0" w:space="0" w:color="auto"/>
                        <w:left w:val="none" w:sz="0" w:space="0" w:color="auto"/>
                        <w:bottom w:val="none" w:sz="0" w:space="0" w:color="auto"/>
                        <w:right w:val="none" w:sz="0" w:space="0" w:color="auto"/>
                      </w:divBdr>
                    </w:div>
                  </w:divsChild>
                </w:div>
                <w:div w:id="415175856">
                  <w:marLeft w:val="0"/>
                  <w:marRight w:val="0"/>
                  <w:marTop w:val="0"/>
                  <w:marBottom w:val="0"/>
                  <w:divBdr>
                    <w:top w:val="none" w:sz="0" w:space="0" w:color="auto"/>
                    <w:left w:val="none" w:sz="0" w:space="0" w:color="auto"/>
                    <w:bottom w:val="none" w:sz="0" w:space="0" w:color="auto"/>
                    <w:right w:val="none" w:sz="0" w:space="0" w:color="auto"/>
                  </w:divBdr>
                  <w:divsChild>
                    <w:div w:id="1746300182">
                      <w:marLeft w:val="0"/>
                      <w:marRight w:val="0"/>
                      <w:marTop w:val="0"/>
                      <w:marBottom w:val="0"/>
                      <w:divBdr>
                        <w:top w:val="none" w:sz="0" w:space="0" w:color="auto"/>
                        <w:left w:val="none" w:sz="0" w:space="0" w:color="auto"/>
                        <w:bottom w:val="none" w:sz="0" w:space="0" w:color="auto"/>
                        <w:right w:val="none" w:sz="0" w:space="0" w:color="auto"/>
                      </w:divBdr>
                    </w:div>
                  </w:divsChild>
                </w:div>
                <w:div w:id="457794438">
                  <w:marLeft w:val="0"/>
                  <w:marRight w:val="0"/>
                  <w:marTop w:val="0"/>
                  <w:marBottom w:val="0"/>
                  <w:divBdr>
                    <w:top w:val="none" w:sz="0" w:space="0" w:color="auto"/>
                    <w:left w:val="none" w:sz="0" w:space="0" w:color="auto"/>
                    <w:bottom w:val="none" w:sz="0" w:space="0" w:color="auto"/>
                    <w:right w:val="none" w:sz="0" w:space="0" w:color="auto"/>
                  </w:divBdr>
                  <w:divsChild>
                    <w:div w:id="1505780800">
                      <w:marLeft w:val="0"/>
                      <w:marRight w:val="0"/>
                      <w:marTop w:val="0"/>
                      <w:marBottom w:val="0"/>
                      <w:divBdr>
                        <w:top w:val="none" w:sz="0" w:space="0" w:color="auto"/>
                        <w:left w:val="none" w:sz="0" w:space="0" w:color="auto"/>
                        <w:bottom w:val="none" w:sz="0" w:space="0" w:color="auto"/>
                        <w:right w:val="none" w:sz="0" w:space="0" w:color="auto"/>
                      </w:divBdr>
                    </w:div>
                  </w:divsChild>
                </w:div>
                <w:div w:id="546332443">
                  <w:marLeft w:val="0"/>
                  <w:marRight w:val="0"/>
                  <w:marTop w:val="0"/>
                  <w:marBottom w:val="0"/>
                  <w:divBdr>
                    <w:top w:val="none" w:sz="0" w:space="0" w:color="auto"/>
                    <w:left w:val="none" w:sz="0" w:space="0" w:color="auto"/>
                    <w:bottom w:val="none" w:sz="0" w:space="0" w:color="auto"/>
                    <w:right w:val="none" w:sz="0" w:space="0" w:color="auto"/>
                  </w:divBdr>
                  <w:divsChild>
                    <w:div w:id="872034869">
                      <w:marLeft w:val="0"/>
                      <w:marRight w:val="0"/>
                      <w:marTop w:val="0"/>
                      <w:marBottom w:val="0"/>
                      <w:divBdr>
                        <w:top w:val="none" w:sz="0" w:space="0" w:color="auto"/>
                        <w:left w:val="none" w:sz="0" w:space="0" w:color="auto"/>
                        <w:bottom w:val="none" w:sz="0" w:space="0" w:color="auto"/>
                        <w:right w:val="none" w:sz="0" w:space="0" w:color="auto"/>
                      </w:divBdr>
                    </w:div>
                  </w:divsChild>
                </w:div>
                <w:div w:id="623771678">
                  <w:marLeft w:val="0"/>
                  <w:marRight w:val="0"/>
                  <w:marTop w:val="0"/>
                  <w:marBottom w:val="0"/>
                  <w:divBdr>
                    <w:top w:val="none" w:sz="0" w:space="0" w:color="auto"/>
                    <w:left w:val="none" w:sz="0" w:space="0" w:color="auto"/>
                    <w:bottom w:val="none" w:sz="0" w:space="0" w:color="auto"/>
                    <w:right w:val="none" w:sz="0" w:space="0" w:color="auto"/>
                  </w:divBdr>
                  <w:divsChild>
                    <w:div w:id="573392435">
                      <w:marLeft w:val="0"/>
                      <w:marRight w:val="0"/>
                      <w:marTop w:val="0"/>
                      <w:marBottom w:val="0"/>
                      <w:divBdr>
                        <w:top w:val="none" w:sz="0" w:space="0" w:color="auto"/>
                        <w:left w:val="none" w:sz="0" w:space="0" w:color="auto"/>
                        <w:bottom w:val="none" w:sz="0" w:space="0" w:color="auto"/>
                        <w:right w:val="none" w:sz="0" w:space="0" w:color="auto"/>
                      </w:divBdr>
                    </w:div>
                  </w:divsChild>
                </w:div>
                <w:div w:id="984286297">
                  <w:marLeft w:val="0"/>
                  <w:marRight w:val="0"/>
                  <w:marTop w:val="0"/>
                  <w:marBottom w:val="0"/>
                  <w:divBdr>
                    <w:top w:val="none" w:sz="0" w:space="0" w:color="auto"/>
                    <w:left w:val="none" w:sz="0" w:space="0" w:color="auto"/>
                    <w:bottom w:val="none" w:sz="0" w:space="0" w:color="auto"/>
                    <w:right w:val="none" w:sz="0" w:space="0" w:color="auto"/>
                  </w:divBdr>
                  <w:divsChild>
                    <w:div w:id="35662249">
                      <w:marLeft w:val="0"/>
                      <w:marRight w:val="0"/>
                      <w:marTop w:val="0"/>
                      <w:marBottom w:val="0"/>
                      <w:divBdr>
                        <w:top w:val="none" w:sz="0" w:space="0" w:color="auto"/>
                        <w:left w:val="none" w:sz="0" w:space="0" w:color="auto"/>
                        <w:bottom w:val="none" w:sz="0" w:space="0" w:color="auto"/>
                        <w:right w:val="none" w:sz="0" w:space="0" w:color="auto"/>
                      </w:divBdr>
                    </w:div>
                  </w:divsChild>
                </w:div>
                <w:div w:id="1057044421">
                  <w:marLeft w:val="0"/>
                  <w:marRight w:val="0"/>
                  <w:marTop w:val="0"/>
                  <w:marBottom w:val="0"/>
                  <w:divBdr>
                    <w:top w:val="none" w:sz="0" w:space="0" w:color="auto"/>
                    <w:left w:val="none" w:sz="0" w:space="0" w:color="auto"/>
                    <w:bottom w:val="none" w:sz="0" w:space="0" w:color="auto"/>
                    <w:right w:val="none" w:sz="0" w:space="0" w:color="auto"/>
                  </w:divBdr>
                  <w:divsChild>
                    <w:div w:id="113181491">
                      <w:marLeft w:val="0"/>
                      <w:marRight w:val="0"/>
                      <w:marTop w:val="0"/>
                      <w:marBottom w:val="0"/>
                      <w:divBdr>
                        <w:top w:val="none" w:sz="0" w:space="0" w:color="auto"/>
                        <w:left w:val="none" w:sz="0" w:space="0" w:color="auto"/>
                        <w:bottom w:val="none" w:sz="0" w:space="0" w:color="auto"/>
                        <w:right w:val="none" w:sz="0" w:space="0" w:color="auto"/>
                      </w:divBdr>
                    </w:div>
                  </w:divsChild>
                </w:div>
                <w:div w:id="1146241016">
                  <w:marLeft w:val="0"/>
                  <w:marRight w:val="0"/>
                  <w:marTop w:val="0"/>
                  <w:marBottom w:val="0"/>
                  <w:divBdr>
                    <w:top w:val="none" w:sz="0" w:space="0" w:color="auto"/>
                    <w:left w:val="none" w:sz="0" w:space="0" w:color="auto"/>
                    <w:bottom w:val="none" w:sz="0" w:space="0" w:color="auto"/>
                    <w:right w:val="none" w:sz="0" w:space="0" w:color="auto"/>
                  </w:divBdr>
                  <w:divsChild>
                    <w:div w:id="1450663731">
                      <w:marLeft w:val="0"/>
                      <w:marRight w:val="0"/>
                      <w:marTop w:val="0"/>
                      <w:marBottom w:val="0"/>
                      <w:divBdr>
                        <w:top w:val="none" w:sz="0" w:space="0" w:color="auto"/>
                        <w:left w:val="none" w:sz="0" w:space="0" w:color="auto"/>
                        <w:bottom w:val="none" w:sz="0" w:space="0" w:color="auto"/>
                        <w:right w:val="none" w:sz="0" w:space="0" w:color="auto"/>
                      </w:divBdr>
                    </w:div>
                  </w:divsChild>
                </w:div>
                <w:div w:id="1252809458">
                  <w:marLeft w:val="0"/>
                  <w:marRight w:val="0"/>
                  <w:marTop w:val="0"/>
                  <w:marBottom w:val="0"/>
                  <w:divBdr>
                    <w:top w:val="none" w:sz="0" w:space="0" w:color="auto"/>
                    <w:left w:val="none" w:sz="0" w:space="0" w:color="auto"/>
                    <w:bottom w:val="none" w:sz="0" w:space="0" w:color="auto"/>
                    <w:right w:val="none" w:sz="0" w:space="0" w:color="auto"/>
                  </w:divBdr>
                  <w:divsChild>
                    <w:div w:id="162665165">
                      <w:marLeft w:val="0"/>
                      <w:marRight w:val="0"/>
                      <w:marTop w:val="0"/>
                      <w:marBottom w:val="0"/>
                      <w:divBdr>
                        <w:top w:val="none" w:sz="0" w:space="0" w:color="auto"/>
                        <w:left w:val="none" w:sz="0" w:space="0" w:color="auto"/>
                        <w:bottom w:val="none" w:sz="0" w:space="0" w:color="auto"/>
                        <w:right w:val="none" w:sz="0" w:space="0" w:color="auto"/>
                      </w:divBdr>
                    </w:div>
                  </w:divsChild>
                </w:div>
                <w:div w:id="1258639779">
                  <w:marLeft w:val="0"/>
                  <w:marRight w:val="0"/>
                  <w:marTop w:val="0"/>
                  <w:marBottom w:val="0"/>
                  <w:divBdr>
                    <w:top w:val="none" w:sz="0" w:space="0" w:color="auto"/>
                    <w:left w:val="none" w:sz="0" w:space="0" w:color="auto"/>
                    <w:bottom w:val="none" w:sz="0" w:space="0" w:color="auto"/>
                    <w:right w:val="none" w:sz="0" w:space="0" w:color="auto"/>
                  </w:divBdr>
                  <w:divsChild>
                    <w:div w:id="365909807">
                      <w:marLeft w:val="0"/>
                      <w:marRight w:val="0"/>
                      <w:marTop w:val="0"/>
                      <w:marBottom w:val="0"/>
                      <w:divBdr>
                        <w:top w:val="none" w:sz="0" w:space="0" w:color="auto"/>
                        <w:left w:val="none" w:sz="0" w:space="0" w:color="auto"/>
                        <w:bottom w:val="none" w:sz="0" w:space="0" w:color="auto"/>
                        <w:right w:val="none" w:sz="0" w:space="0" w:color="auto"/>
                      </w:divBdr>
                    </w:div>
                  </w:divsChild>
                </w:div>
                <w:div w:id="1260330424">
                  <w:marLeft w:val="0"/>
                  <w:marRight w:val="0"/>
                  <w:marTop w:val="0"/>
                  <w:marBottom w:val="0"/>
                  <w:divBdr>
                    <w:top w:val="none" w:sz="0" w:space="0" w:color="auto"/>
                    <w:left w:val="none" w:sz="0" w:space="0" w:color="auto"/>
                    <w:bottom w:val="none" w:sz="0" w:space="0" w:color="auto"/>
                    <w:right w:val="none" w:sz="0" w:space="0" w:color="auto"/>
                  </w:divBdr>
                  <w:divsChild>
                    <w:div w:id="554509627">
                      <w:marLeft w:val="0"/>
                      <w:marRight w:val="0"/>
                      <w:marTop w:val="0"/>
                      <w:marBottom w:val="0"/>
                      <w:divBdr>
                        <w:top w:val="none" w:sz="0" w:space="0" w:color="auto"/>
                        <w:left w:val="none" w:sz="0" w:space="0" w:color="auto"/>
                        <w:bottom w:val="none" w:sz="0" w:space="0" w:color="auto"/>
                        <w:right w:val="none" w:sz="0" w:space="0" w:color="auto"/>
                      </w:divBdr>
                    </w:div>
                  </w:divsChild>
                </w:div>
                <w:div w:id="1275213363">
                  <w:marLeft w:val="0"/>
                  <w:marRight w:val="0"/>
                  <w:marTop w:val="0"/>
                  <w:marBottom w:val="0"/>
                  <w:divBdr>
                    <w:top w:val="none" w:sz="0" w:space="0" w:color="auto"/>
                    <w:left w:val="none" w:sz="0" w:space="0" w:color="auto"/>
                    <w:bottom w:val="none" w:sz="0" w:space="0" w:color="auto"/>
                    <w:right w:val="none" w:sz="0" w:space="0" w:color="auto"/>
                  </w:divBdr>
                  <w:divsChild>
                    <w:div w:id="1076585511">
                      <w:marLeft w:val="0"/>
                      <w:marRight w:val="0"/>
                      <w:marTop w:val="0"/>
                      <w:marBottom w:val="0"/>
                      <w:divBdr>
                        <w:top w:val="none" w:sz="0" w:space="0" w:color="auto"/>
                        <w:left w:val="none" w:sz="0" w:space="0" w:color="auto"/>
                        <w:bottom w:val="none" w:sz="0" w:space="0" w:color="auto"/>
                        <w:right w:val="none" w:sz="0" w:space="0" w:color="auto"/>
                      </w:divBdr>
                    </w:div>
                  </w:divsChild>
                </w:div>
                <w:div w:id="1354453462">
                  <w:marLeft w:val="0"/>
                  <w:marRight w:val="0"/>
                  <w:marTop w:val="0"/>
                  <w:marBottom w:val="0"/>
                  <w:divBdr>
                    <w:top w:val="none" w:sz="0" w:space="0" w:color="auto"/>
                    <w:left w:val="none" w:sz="0" w:space="0" w:color="auto"/>
                    <w:bottom w:val="none" w:sz="0" w:space="0" w:color="auto"/>
                    <w:right w:val="none" w:sz="0" w:space="0" w:color="auto"/>
                  </w:divBdr>
                  <w:divsChild>
                    <w:div w:id="921260864">
                      <w:marLeft w:val="0"/>
                      <w:marRight w:val="0"/>
                      <w:marTop w:val="0"/>
                      <w:marBottom w:val="0"/>
                      <w:divBdr>
                        <w:top w:val="none" w:sz="0" w:space="0" w:color="auto"/>
                        <w:left w:val="none" w:sz="0" w:space="0" w:color="auto"/>
                        <w:bottom w:val="none" w:sz="0" w:space="0" w:color="auto"/>
                        <w:right w:val="none" w:sz="0" w:space="0" w:color="auto"/>
                      </w:divBdr>
                    </w:div>
                  </w:divsChild>
                </w:div>
                <w:div w:id="1802263982">
                  <w:marLeft w:val="0"/>
                  <w:marRight w:val="0"/>
                  <w:marTop w:val="0"/>
                  <w:marBottom w:val="0"/>
                  <w:divBdr>
                    <w:top w:val="none" w:sz="0" w:space="0" w:color="auto"/>
                    <w:left w:val="none" w:sz="0" w:space="0" w:color="auto"/>
                    <w:bottom w:val="none" w:sz="0" w:space="0" w:color="auto"/>
                    <w:right w:val="none" w:sz="0" w:space="0" w:color="auto"/>
                  </w:divBdr>
                  <w:divsChild>
                    <w:div w:id="1019163788">
                      <w:marLeft w:val="0"/>
                      <w:marRight w:val="0"/>
                      <w:marTop w:val="0"/>
                      <w:marBottom w:val="0"/>
                      <w:divBdr>
                        <w:top w:val="none" w:sz="0" w:space="0" w:color="auto"/>
                        <w:left w:val="none" w:sz="0" w:space="0" w:color="auto"/>
                        <w:bottom w:val="none" w:sz="0" w:space="0" w:color="auto"/>
                        <w:right w:val="none" w:sz="0" w:space="0" w:color="auto"/>
                      </w:divBdr>
                    </w:div>
                  </w:divsChild>
                </w:div>
                <w:div w:id="1805542567">
                  <w:marLeft w:val="0"/>
                  <w:marRight w:val="0"/>
                  <w:marTop w:val="0"/>
                  <w:marBottom w:val="0"/>
                  <w:divBdr>
                    <w:top w:val="none" w:sz="0" w:space="0" w:color="auto"/>
                    <w:left w:val="none" w:sz="0" w:space="0" w:color="auto"/>
                    <w:bottom w:val="none" w:sz="0" w:space="0" w:color="auto"/>
                    <w:right w:val="none" w:sz="0" w:space="0" w:color="auto"/>
                  </w:divBdr>
                  <w:divsChild>
                    <w:div w:id="1272084207">
                      <w:marLeft w:val="0"/>
                      <w:marRight w:val="0"/>
                      <w:marTop w:val="0"/>
                      <w:marBottom w:val="0"/>
                      <w:divBdr>
                        <w:top w:val="none" w:sz="0" w:space="0" w:color="auto"/>
                        <w:left w:val="none" w:sz="0" w:space="0" w:color="auto"/>
                        <w:bottom w:val="none" w:sz="0" w:space="0" w:color="auto"/>
                        <w:right w:val="none" w:sz="0" w:space="0" w:color="auto"/>
                      </w:divBdr>
                    </w:div>
                  </w:divsChild>
                </w:div>
                <w:div w:id="1964068447">
                  <w:marLeft w:val="0"/>
                  <w:marRight w:val="0"/>
                  <w:marTop w:val="0"/>
                  <w:marBottom w:val="0"/>
                  <w:divBdr>
                    <w:top w:val="none" w:sz="0" w:space="0" w:color="auto"/>
                    <w:left w:val="none" w:sz="0" w:space="0" w:color="auto"/>
                    <w:bottom w:val="none" w:sz="0" w:space="0" w:color="auto"/>
                    <w:right w:val="none" w:sz="0" w:space="0" w:color="auto"/>
                  </w:divBdr>
                  <w:divsChild>
                    <w:div w:id="341278352">
                      <w:marLeft w:val="0"/>
                      <w:marRight w:val="0"/>
                      <w:marTop w:val="0"/>
                      <w:marBottom w:val="0"/>
                      <w:divBdr>
                        <w:top w:val="none" w:sz="0" w:space="0" w:color="auto"/>
                        <w:left w:val="none" w:sz="0" w:space="0" w:color="auto"/>
                        <w:bottom w:val="none" w:sz="0" w:space="0" w:color="auto"/>
                        <w:right w:val="none" w:sz="0" w:space="0" w:color="auto"/>
                      </w:divBdr>
                    </w:div>
                  </w:divsChild>
                </w:div>
                <w:div w:id="1976373690">
                  <w:marLeft w:val="0"/>
                  <w:marRight w:val="0"/>
                  <w:marTop w:val="0"/>
                  <w:marBottom w:val="0"/>
                  <w:divBdr>
                    <w:top w:val="none" w:sz="0" w:space="0" w:color="auto"/>
                    <w:left w:val="none" w:sz="0" w:space="0" w:color="auto"/>
                    <w:bottom w:val="none" w:sz="0" w:space="0" w:color="auto"/>
                    <w:right w:val="none" w:sz="0" w:space="0" w:color="auto"/>
                  </w:divBdr>
                  <w:divsChild>
                    <w:div w:id="1076198362">
                      <w:marLeft w:val="0"/>
                      <w:marRight w:val="0"/>
                      <w:marTop w:val="0"/>
                      <w:marBottom w:val="0"/>
                      <w:divBdr>
                        <w:top w:val="none" w:sz="0" w:space="0" w:color="auto"/>
                        <w:left w:val="none" w:sz="0" w:space="0" w:color="auto"/>
                        <w:bottom w:val="none" w:sz="0" w:space="0" w:color="auto"/>
                        <w:right w:val="none" w:sz="0" w:space="0" w:color="auto"/>
                      </w:divBdr>
                    </w:div>
                  </w:divsChild>
                </w:div>
                <w:div w:id="2072801338">
                  <w:marLeft w:val="0"/>
                  <w:marRight w:val="0"/>
                  <w:marTop w:val="0"/>
                  <w:marBottom w:val="0"/>
                  <w:divBdr>
                    <w:top w:val="none" w:sz="0" w:space="0" w:color="auto"/>
                    <w:left w:val="none" w:sz="0" w:space="0" w:color="auto"/>
                    <w:bottom w:val="none" w:sz="0" w:space="0" w:color="auto"/>
                    <w:right w:val="none" w:sz="0" w:space="0" w:color="auto"/>
                  </w:divBdr>
                  <w:divsChild>
                    <w:div w:id="153422935">
                      <w:marLeft w:val="0"/>
                      <w:marRight w:val="0"/>
                      <w:marTop w:val="0"/>
                      <w:marBottom w:val="0"/>
                      <w:divBdr>
                        <w:top w:val="none" w:sz="0" w:space="0" w:color="auto"/>
                        <w:left w:val="none" w:sz="0" w:space="0" w:color="auto"/>
                        <w:bottom w:val="none" w:sz="0" w:space="0" w:color="auto"/>
                        <w:right w:val="none" w:sz="0" w:space="0" w:color="auto"/>
                      </w:divBdr>
                    </w:div>
                  </w:divsChild>
                </w:div>
                <w:div w:id="2125343395">
                  <w:marLeft w:val="0"/>
                  <w:marRight w:val="0"/>
                  <w:marTop w:val="0"/>
                  <w:marBottom w:val="0"/>
                  <w:divBdr>
                    <w:top w:val="none" w:sz="0" w:space="0" w:color="auto"/>
                    <w:left w:val="none" w:sz="0" w:space="0" w:color="auto"/>
                    <w:bottom w:val="none" w:sz="0" w:space="0" w:color="auto"/>
                    <w:right w:val="none" w:sz="0" w:space="0" w:color="auto"/>
                  </w:divBdr>
                  <w:divsChild>
                    <w:div w:id="76831016">
                      <w:marLeft w:val="0"/>
                      <w:marRight w:val="0"/>
                      <w:marTop w:val="0"/>
                      <w:marBottom w:val="0"/>
                      <w:divBdr>
                        <w:top w:val="none" w:sz="0" w:space="0" w:color="auto"/>
                        <w:left w:val="none" w:sz="0" w:space="0" w:color="auto"/>
                        <w:bottom w:val="none" w:sz="0" w:space="0" w:color="auto"/>
                        <w:right w:val="none" w:sz="0" w:space="0" w:color="auto"/>
                      </w:divBdr>
                    </w:div>
                  </w:divsChild>
                </w:div>
                <w:div w:id="2143570101">
                  <w:marLeft w:val="0"/>
                  <w:marRight w:val="0"/>
                  <w:marTop w:val="0"/>
                  <w:marBottom w:val="0"/>
                  <w:divBdr>
                    <w:top w:val="none" w:sz="0" w:space="0" w:color="auto"/>
                    <w:left w:val="none" w:sz="0" w:space="0" w:color="auto"/>
                    <w:bottom w:val="none" w:sz="0" w:space="0" w:color="auto"/>
                    <w:right w:val="none" w:sz="0" w:space="0" w:color="auto"/>
                  </w:divBdr>
                  <w:divsChild>
                    <w:div w:id="13037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82863">
          <w:marLeft w:val="0"/>
          <w:marRight w:val="0"/>
          <w:marTop w:val="0"/>
          <w:marBottom w:val="0"/>
          <w:divBdr>
            <w:top w:val="none" w:sz="0" w:space="0" w:color="auto"/>
            <w:left w:val="none" w:sz="0" w:space="0" w:color="auto"/>
            <w:bottom w:val="none" w:sz="0" w:space="0" w:color="auto"/>
            <w:right w:val="none" w:sz="0" w:space="0" w:color="auto"/>
          </w:divBdr>
        </w:div>
        <w:div w:id="1272710260">
          <w:marLeft w:val="0"/>
          <w:marRight w:val="0"/>
          <w:marTop w:val="0"/>
          <w:marBottom w:val="0"/>
          <w:divBdr>
            <w:top w:val="none" w:sz="0" w:space="0" w:color="auto"/>
            <w:left w:val="none" w:sz="0" w:space="0" w:color="auto"/>
            <w:bottom w:val="none" w:sz="0" w:space="0" w:color="auto"/>
            <w:right w:val="none" w:sz="0" w:space="0" w:color="auto"/>
          </w:divBdr>
        </w:div>
        <w:div w:id="1284582981">
          <w:marLeft w:val="0"/>
          <w:marRight w:val="0"/>
          <w:marTop w:val="0"/>
          <w:marBottom w:val="0"/>
          <w:divBdr>
            <w:top w:val="none" w:sz="0" w:space="0" w:color="auto"/>
            <w:left w:val="none" w:sz="0" w:space="0" w:color="auto"/>
            <w:bottom w:val="none" w:sz="0" w:space="0" w:color="auto"/>
            <w:right w:val="none" w:sz="0" w:space="0" w:color="auto"/>
          </w:divBdr>
        </w:div>
        <w:div w:id="1327511332">
          <w:marLeft w:val="0"/>
          <w:marRight w:val="0"/>
          <w:marTop w:val="0"/>
          <w:marBottom w:val="0"/>
          <w:divBdr>
            <w:top w:val="none" w:sz="0" w:space="0" w:color="auto"/>
            <w:left w:val="none" w:sz="0" w:space="0" w:color="auto"/>
            <w:bottom w:val="none" w:sz="0" w:space="0" w:color="auto"/>
            <w:right w:val="none" w:sz="0" w:space="0" w:color="auto"/>
          </w:divBdr>
        </w:div>
        <w:div w:id="1386250135">
          <w:marLeft w:val="0"/>
          <w:marRight w:val="0"/>
          <w:marTop w:val="0"/>
          <w:marBottom w:val="0"/>
          <w:divBdr>
            <w:top w:val="none" w:sz="0" w:space="0" w:color="auto"/>
            <w:left w:val="none" w:sz="0" w:space="0" w:color="auto"/>
            <w:bottom w:val="none" w:sz="0" w:space="0" w:color="auto"/>
            <w:right w:val="none" w:sz="0" w:space="0" w:color="auto"/>
          </w:divBdr>
        </w:div>
        <w:div w:id="1416321750">
          <w:marLeft w:val="0"/>
          <w:marRight w:val="0"/>
          <w:marTop w:val="0"/>
          <w:marBottom w:val="0"/>
          <w:divBdr>
            <w:top w:val="none" w:sz="0" w:space="0" w:color="auto"/>
            <w:left w:val="none" w:sz="0" w:space="0" w:color="auto"/>
            <w:bottom w:val="none" w:sz="0" w:space="0" w:color="auto"/>
            <w:right w:val="none" w:sz="0" w:space="0" w:color="auto"/>
          </w:divBdr>
        </w:div>
        <w:div w:id="1431899066">
          <w:marLeft w:val="0"/>
          <w:marRight w:val="0"/>
          <w:marTop w:val="0"/>
          <w:marBottom w:val="0"/>
          <w:divBdr>
            <w:top w:val="none" w:sz="0" w:space="0" w:color="auto"/>
            <w:left w:val="none" w:sz="0" w:space="0" w:color="auto"/>
            <w:bottom w:val="none" w:sz="0" w:space="0" w:color="auto"/>
            <w:right w:val="none" w:sz="0" w:space="0" w:color="auto"/>
          </w:divBdr>
        </w:div>
        <w:div w:id="1482582265">
          <w:marLeft w:val="0"/>
          <w:marRight w:val="0"/>
          <w:marTop w:val="0"/>
          <w:marBottom w:val="0"/>
          <w:divBdr>
            <w:top w:val="none" w:sz="0" w:space="0" w:color="auto"/>
            <w:left w:val="none" w:sz="0" w:space="0" w:color="auto"/>
            <w:bottom w:val="none" w:sz="0" w:space="0" w:color="auto"/>
            <w:right w:val="none" w:sz="0" w:space="0" w:color="auto"/>
          </w:divBdr>
        </w:div>
        <w:div w:id="1501313292">
          <w:marLeft w:val="0"/>
          <w:marRight w:val="0"/>
          <w:marTop w:val="0"/>
          <w:marBottom w:val="0"/>
          <w:divBdr>
            <w:top w:val="none" w:sz="0" w:space="0" w:color="auto"/>
            <w:left w:val="none" w:sz="0" w:space="0" w:color="auto"/>
            <w:bottom w:val="none" w:sz="0" w:space="0" w:color="auto"/>
            <w:right w:val="none" w:sz="0" w:space="0" w:color="auto"/>
          </w:divBdr>
        </w:div>
        <w:div w:id="1534881556">
          <w:marLeft w:val="0"/>
          <w:marRight w:val="0"/>
          <w:marTop w:val="0"/>
          <w:marBottom w:val="0"/>
          <w:divBdr>
            <w:top w:val="none" w:sz="0" w:space="0" w:color="auto"/>
            <w:left w:val="none" w:sz="0" w:space="0" w:color="auto"/>
            <w:bottom w:val="none" w:sz="0" w:space="0" w:color="auto"/>
            <w:right w:val="none" w:sz="0" w:space="0" w:color="auto"/>
          </w:divBdr>
        </w:div>
        <w:div w:id="1597712400">
          <w:marLeft w:val="0"/>
          <w:marRight w:val="0"/>
          <w:marTop w:val="0"/>
          <w:marBottom w:val="0"/>
          <w:divBdr>
            <w:top w:val="none" w:sz="0" w:space="0" w:color="auto"/>
            <w:left w:val="none" w:sz="0" w:space="0" w:color="auto"/>
            <w:bottom w:val="none" w:sz="0" w:space="0" w:color="auto"/>
            <w:right w:val="none" w:sz="0" w:space="0" w:color="auto"/>
          </w:divBdr>
        </w:div>
        <w:div w:id="1606617491">
          <w:marLeft w:val="0"/>
          <w:marRight w:val="0"/>
          <w:marTop w:val="0"/>
          <w:marBottom w:val="0"/>
          <w:divBdr>
            <w:top w:val="none" w:sz="0" w:space="0" w:color="auto"/>
            <w:left w:val="none" w:sz="0" w:space="0" w:color="auto"/>
            <w:bottom w:val="none" w:sz="0" w:space="0" w:color="auto"/>
            <w:right w:val="none" w:sz="0" w:space="0" w:color="auto"/>
          </w:divBdr>
        </w:div>
        <w:div w:id="1613854005">
          <w:marLeft w:val="0"/>
          <w:marRight w:val="0"/>
          <w:marTop w:val="0"/>
          <w:marBottom w:val="0"/>
          <w:divBdr>
            <w:top w:val="none" w:sz="0" w:space="0" w:color="auto"/>
            <w:left w:val="none" w:sz="0" w:space="0" w:color="auto"/>
            <w:bottom w:val="none" w:sz="0" w:space="0" w:color="auto"/>
            <w:right w:val="none" w:sz="0" w:space="0" w:color="auto"/>
          </w:divBdr>
        </w:div>
        <w:div w:id="1652443918">
          <w:marLeft w:val="0"/>
          <w:marRight w:val="0"/>
          <w:marTop w:val="0"/>
          <w:marBottom w:val="0"/>
          <w:divBdr>
            <w:top w:val="none" w:sz="0" w:space="0" w:color="auto"/>
            <w:left w:val="none" w:sz="0" w:space="0" w:color="auto"/>
            <w:bottom w:val="none" w:sz="0" w:space="0" w:color="auto"/>
            <w:right w:val="none" w:sz="0" w:space="0" w:color="auto"/>
          </w:divBdr>
        </w:div>
        <w:div w:id="1656176788">
          <w:marLeft w:val="0"/>
          <w:marRight w:val="0"/>
          <w:marTop w:val="0"/>
          <w:marBottom w:val="0"/>
          <w:divBdr>
            <w:top w:val="none" w:sz="0" w:space="0" w:color="auto"/>
            <w:left w:val="none" w:sz="0" w:space="0" w:color="auto"/>
            <w:bottom w:val="none" w:sz="0" w:space="0" w:color="auto"/>
            <w:right w:val="none" w:sz="0" w:space="0" w:color="auto"/>
          </w:divBdr>
        </w:div>
        <w:div w:id="1669862134">
          <w:marLeft w:val="0"/>
          <w:marRight w:val="0"/>
          <w:marTop w:val="0"/>
          <w:marBottom w:val="0"/>
          <w:divBdr>
            <w:top w:val="none" w:sz="0" w:space="0" w:color="auto"/>
            <w:left w:val="none" w:sz="0" w:space="0" w:color="auto"/>
            <w:bottom w:val="none" w:sz="0" w:space="0" w:color="auto"/>
            <w:right w:val="none" w:sz="0" w:space="0" w:color="auto"/>
          </w:divBdr>
        </w:div>
        <w:div w:id="1703894015">
          <w:marLeft w:val="0"/>
          <w:marRight w:val="0"/>
          <w:marTop w:val="0"/>
          <w:marBottom w:val="0"/>
          <w:divBdr>
            <w:top w:val="none" w:sz="0" w:space="0" w:color="auto"/>
            <w:left w:val="none" w:sz="0" w:space="0" w:color="auto"/>
            <w:bottom w:val="none" w:sz="0" w:space="0" w:color="auto"/>
            <w:right w:val="none" w:sz="0" w:space="0" w:color="auto"/>
          </w:divBdr>
        </w:div>
        <w:div w:id="1723021808">
          <w:marLeft w:val="0"/>
          <w:marRight w:val="0"/>
          <w:marTop w:val="0"/>
          <w:marBottom w:val="0"/>
          <w:divBdr>
            <w:top w:val="none" w:sz="0" w:space="0" w:color="auto"/>
            <w:left w:val="none" w:sz="0" w:space="0" w:color="auto"/>
            <w:bottom w:val="none" w:sz="0" w:space="0" w:color="auto"/>
            <w:right w:val="none" w:sz="0" w:space="0" w:color="auto"/>
          </w:divBdr>
        </w:div>
        <w:div w:id="1773625277">
          <w:marLeft w:val="0"/>
          <w:marRight w:val="0"/>
          <w:marTop w:val="0"/>
          <w:marBottom w:val="0"/>
          <w:divBdr>
            <w:top w:val="none" w:sz="0" w:space="0" w:color="auto"/>
            <w:left w:val="none" w:sz="0" w:space="0" w:color="auto"/>
            <w:bottom w:val="none" w:sz="0" w:space="0" w:color="auto"/>
            <w:right w:val="none" w:sz="0" w:space="0" w:color="auto"/>
          </w:divBdr>
        </w:div>
        <w:div w:id="1823042368">
          <w:marLeft w:val="0"/>
          <w:marRight w:val="0"/>
          <w:marTop w:val="0"/>
          <w:marBottom w:val="0"/>
          <w:divBdr>
            <w:top w:val="none" w:sz="0" w:space="0" w:color="auto"/>
            <w:left w:val="none" w:sz="0" w:space="0" w:color="auto"/>
            <w:bottom w:val="none" w:sz="0" w:space="0" w:color="auto"/>
            <w:right w:val="none" w:sz="0" w:space="0" w:color="auto"/>
          </w:divBdr>
        </w:div>
        <w:div w:id="1854025464">
          <w:marLeft w:val="0"/>
          <w:marRight w:val="0"/>
          <w:marTop w:val="0"/>
          <w:marBottom w:val="0"/>
          <w:divBdr>
            <w:top w:val="none" w:sz="0" w:space="0" w:color="auto"/>
            <w:left w:val="none" w:sz="0" w:space="0" w:color="auto"/>
            <w:bottom w:val="none" w:sz="0" w:space="0" w:color="auto"/>
            <w:right w:val="none" w:sz="0" w:space="0" w:color="auto"/>
          </w:divBdr>
        </w:div>
        <w:div w:id="1886065213">
          <w:marLeft w:val="0"/>
          <w:marRight w:val="0"/>
          <w:marTop w:val="0"/>
          <w:marBottom w:val="0"/>
          <w:divBdr>
            <w:top w:val="none" w:sz="0" w:space="0" w:color="auto"/>
            <w:left w:val="none" w:sz="0" w:space="0" w:color="auto"/>
            <w:bottom w:val="none" w:sz="0" w:space="0" w:color="auto"/>
            <w:right w:val="none" w:sz="0" w:space="0" w:color="auto"/>
          </w:divBdr>
        </w:div>
        <w:div w:id="1906138919">
          <w:marLeft w:val="0"/>
          <w:marRight w:val="0"/>
          <w:marTop w:val="0"/>
          <w:marBottom w:val="0"/>
          <w:divBdr>
            <w:top w:val="none" w:sz="0" w:space="0" w:color="auto"/>
            <w:left w:val="none" w:sz="0" w:space="0" w:color="auto"/>
            <w:bottom w:val="none" w:sz="0" w:space="0" w:color="auto"/>
            <w:right w:val="none" w:sz="0" w:space="0" w:color="auto"/>
          </w:divBdr>
        </w:div>
        <w:div w:id="1926065889">
          <w:marLeft w:val="0"/>
          <w:marRight w:val="0"/>
          <w:marTop w:val="0"/>
          <w:marBottom w:val="0"/>
          <w:divBdr>
            <w:top w:val="none" w:sz="0" w:space="0" w:color="auto"/>
            <w:left w:val="none" w:sz="0" w:space="0" w:color="auto"/>
            <w:bottom w:val="none" w:sz="0" w:space="0" w:color="auto"/>
            <w:right w:val="none" w:sz="0" w:space="0" w:color="auto"/>
          </w:divBdr>
        </w:div>
        <w:div w:id="1977445141">
          <w:marLeft w:val="0"/>
          <w:marRight w:val="0"/>
          <w:marTop w:val="0"/>
          <w:marBottom w:val="0"/>
          <w:divBdr>
            <w:top w:val="none" w:sz="0" w:space="0" w:color="auto"/>
            <w:left w:val="none" w:sz="0" w:space="0" w:color="auto"/>
            <w:bottom w:val="none" w:sz="0" w:space="0" w:color="auto"/>
            <w:right w:val="none" w:sz="0" w:space="0" w:color="auto"/>
          </w:divBdr>
        </w:div>
        <w:div w:id="2024089858">
          <w:marLeft w:val="0"/>
          <w:marRight w:val="0"/>
          <w:marTop w:val="0"/>
          <w:marBottom w:val="0"/>
          <w:divBdr>
            <w:top w:val="none" w:sz="0" w:space="0" w:color="auto"/>
            <w:left w:val="none" w:sz="0" w:space="0" w:color="auto"/>
            <w:bottom w:val="none" w:sz="0" w:space="0" w:color="auto"/>
            <w:right w:val="none" w:sz="0" w:space="0" w:color="auto"/>
          </w:divBdr>
        </w:div>
        <w:div w:id="2045514954">
          <w:marLeft w:val="0"/>
          <w:marRight w:val="0"/>
          <w:marTop w:val="0"/>
          <w:marBottom w:val="0"/>
          <w:divBdr>
            <w:top w:val="none" w:sz="0" w:space="0" w:color="auto"/>
            <w:left w:val="none" w:sz="0" w:space="0" w:color="auto"/>
            <w:bottom w:val="none" w:sz="0" w:space="0" w:color="auto"/>
            <w:right w:val="none" w:sz="0" w:space="0" w:color="auto"/>
          </w:divBdr>
          <w:divsChild>
            <w:div w:id="41949095">
              <w:marLeft w:val="0"/>
              <w:marRight w:val="0"/>
              <w:marTop w:val="0"/>
              <w:marBottom w:val="0"/>
              <w:divBdr>
                <w:top w:val="none" w:sz="0" w:space="0" w:color="auto"/>
                <w:left w:val="none" w:sz="0" w:space="0" w:color="auto"/>
                <w:bottom w:val="none" w:sz="0" w:space="0" w:color="auto"/>
                <w:right w:val="none" w:sz="0" w:space="0" w:color="auto"/>
              </w:divBdr>
            </w:div>
            <w:div w:id="47069673">
              <w:marLeft w:val="0"/>
              <w:marRight w:val="0"/>
              <w:marTop w:val="0"/>
              <w:marBottom w:val="0"/>
              <w:divBdr>
                <w:top w:val="none" w:sz="0" w:space="0" w:color="auto"/>
                <w:left w:val="none" w:sz="0" w:space="0" w:color="auto"/>
                <w:bottom w:val="none" w:sz="0" w:space="0" w:color="auto"/>
                <w:right w:val="none" w:sz="0" w:space="0" w:color="auto"/>
              </w:divBdr>
            </w:div>
            <w:div w:id="54865462">
              <w:marLeft w:val="0"/>
              <w:marRight w:val="0"/>
              <w:marTop w:val="0"/>
              <w:marBottom w:val="0"/>
              <w:divBdr>
                <w:top w:val="none" w:sz="0" w:space="0" w:color="auto"/>
                <w:left w:val="none" w:sz="0" w:space="0" w:color="auto"/>
                <w:bottom w:val="none" w:sz="0" w:space="0" w:color="auto"/>
                <w:right w:val="none" w:sz="0" w:space="0" w:color="auto"/>
              </w:divBdr>
            </w:div>
            <w:div w:id="342167129">
              <w:marLeft w:val="0"/>
              <w:marRight w:val="0"/>
              <w:marTop w:val="0"/>
              <w:marBottom w:val="0"/>
              <w:divBdr>
                <w:top w:val="none" w:sz="0" w:space="0" w:color="auto"/>
                <w:left w:val="none" w:sz="0" w:space="0" w:color="auto"/>
                <w:bottom w:val="none" w:sz="0" w:space="0" w:color="auto"/>
                <w:right w:val="none" w:sz="0" w:space="0" w:color="auto"/>
              </w:divBdr>
            </w:div>
            <w:div w:id="714543095">
              <w:marLeft w:val="0"/>
              <w:marRight w:val="0"/>
              <w:marTop w:val="0"/>
              <w:marBottom w:val="0"/>
              <w:divBdr>
                <w:top w:val="none" w:sz="0" w:space="0" w:color="auto"/>
                <w:left w:val="none" w:sz="0" w:space="0" w:color="auto"/>
                <w:bottom w:val="none" w:sz="0" w:space="0" w:color="auto"/>
                <w:right w:val="none" w:sz="0" w:space="0" w:color="auto"/>
              </w:divBdr>
            </w:div>
            <w:div w:id="893396262">
              <w:marLeft w:val="0"/>
              <w:marRight w:val="0"/>
              <w:marTop w:val="0"/>
              <w:marBottom w:val="0"/>
              <w:divBdr>
                <w:top w:val="none" w:sz="0" w:space="0" w:color="auto"/>
                <w:left w:val="none" w:sz="0" w:space="0" w:color="auto"/>
                <w:bottom w:val="none" w:sz="0" w:space="0" w:color="auto"/>
                <w:right w:val="none" w:sz="0" w:space="0" w:color="auto"/>
              </w:divBdr>
            </w:div>
            <w:div w:id="903493352">
              <w:marLeft w:val="0"/>
              <w:marRight w:val="0"/>
              <w:marTop w:val="0"/>
              <w:marBottom w:val="0"/>
              <w:divBdr>
                <w:top w:val="none" w:sz="0" w:space="0" w:color="auto"/>
                <w:left w:val="none" w:sz="0" w:space="0" w:color="auto"/>
                <w:bottom w:val="none" w:sz="0" w:space="0" w:color="auto"/>
                <w:right w:val="none" w:sz="0" w:space="0" w:color="auto"/>
              </w:divBdr>
            </w:div>
            <w:div w:id="925500251">
              <w:marLeft w:val="0"/>
              <w:marRight w:val="0"/>
              <w:marTop w:val="0"/>
              <w:marBottom w:val="0"/>
              <w:divBdr>
                <w:top w:val="none" w:sz="0" w:space="0" w:color="auto"/>
                <w:left w:val="none" w:sz="0" w:space="0" w:color="auto"/>
                <w:bottom w:val="none" w:sz="0" w:space="0" w:color="auto"/>
                <w:right w:val="none" w:sz="0" w:space="0" w:color="auto"/>
              </w:divBdr>
            </w:div>
            <w:div w:id="1161969948">
              <w:marLeft w:val="0"/>
              <w:marRight w:val="0"/>
              <w:marTop w:val="0"/>
              <w:marBottom w:val="0"/>
              <w:divBdr>
                <w:top w:val="none" w:sz="0" w:space="0" w:color="auto"/>
                <w:left w:val="none" w:sz="0" w:space="0" w:color="auto"/>
                <w:bottom w:val="none" w:sz="0" w:space="0" w:color="auto"/>
                <w:right w:val="none" w:sz="0" w:space="0" w:color="auto"/>
              </w:divBdr>
            </w:div>
            <w:div w:id="1199661406">
              <w:marLeft w:val="0"/>
              <w:marRight w:val="0"/>
              <w:marTop w:val="0"/>
              <w:marBottom w:val="0"/>
              <w:divBdr>
                <w:top w:val="none" w:sz="0" w:space="0" w:color="auto"/>
                <w:left w:val="none" w:sz="0" w:space="0" w:color="auto"/>
                <w:bottom w:val="none" w:sz="0" w:space="0" w:color="auto"/>
                <w:right w:val="none" w:sz="0" w:space="0" w:color="auto"/>
              </w:divBdr>
            </w:div>
            <w:div w:id="1232229604">
              <w:marLeft w:val="0"/>
              <w:marRight w:val="0"/>
              <w:marTop w:val="0"/>
              <w:marBottom w:val="0"/>
              <w:divBdr>
                <w:top w:val="none" w:sz="0" w:space="0" w:color="auto"/>
                <w:left w:val="none" w:sz="0" w:space="0" w:color="auto"/>
                <w:bottom w:val="none" w:sz="0" w:space="0" w:color="auto"/>
                <w:right w:val="none" w:sz="0" w:space="0" w:color="auto"/>
              </w:divBdr>
            </w:div>
            <w:div w:id="1242569558">
              <w:marLeft w:val="0"/>
              <w:marRight w:val="0"/>
              <w:marTop w:val="0"/>
              <w:marBottom w:val="0"/>
              <w:divBdr>
                <w:top w:val="none" w:sz="0" w:space="0" w:color="auto"/>
                <w:left w:val="none" w:sz="0" w:space="0" w:color="auto"/>
                <w:bottom w:val="none" w:sz="0" w:space="0" w:color="auto"/>
                <w:right w:val="none" w:sz="0" w:space="0" w:color="auto"/>
              </w:divBdr>
            </w:div>
            <w:div w:id="1345205974">
              <w:marLeft w:val="0"/>
              <w:marRight w:val="0"/>
              <w:marTop w:val="0"/>
              <w:marBottom w:val="0"/>
              <w:divBdr>
                <w:top w:val="none" w:sz="0" w:space="0" w:color="auto"/>
                <w:left w:val="none" w:sz="0" w:space="0" w:color="auto"/>
                <w:bottom w:val="none" w:sz="0" w:space="0" w:color="auto"/>
                <w:right w:val="none" w:sz="0" w:space="0" w:color="auto"/>
              </w:divBdr>
            </w:div>
            <w:div w:id="1395930947">
              <w:marLeft w:val="0"/>
              <w:marRight w:val="0"/>
              <w:marTop w:val="0"/>
              <w:marBottom w:val="0"/>
              <w:divBdr>
                <w:top w:val="none" w:sz="0" w:space="0" w:color="auto"/>
                <w:left w:val="none" w:sz="0" w:space="0" w:color="auto"/>
                <w:bottom w:val="none" w:sz="0" w:space="0" w:color="auto"/>
                <w:right w:val="none" w:sz="0" w:space="0" w:color="auto"/>
              </w:divBdr>
            </w:div>
            <w:div w:id="1466581575">
              <w:marLeft w:val="0"/>
              <w:marRight w:val="0"/>
              <w:marTop w:val="0"/>
              <w:marBottom w:val="0"/>
              <w:divBdr>
                <w:top w:val="none" w:sz="0" w:space="0" w:color="auto"/>
                <w:left w:val="none" w:sz="0" w:space="0" w:color="auto"/>
                <w:bottom w:val="none" w:sz="0" w:space="0" w:color="auto"/>
                <w:right w:val="none" w:sz="0" w:space="0" w:color="auto"/>
              </w:divBdr>
            </w:div>
            <w:div w:id="1587760475">
              <w:marLeft w:val="0"/>
              <w:marRight w:val="0"/>
              <w:marTop w:val="0"/>
              <w:marBottom w:val="0"/>
              <w:divBdr>
                <w:top w:val="none" w:sz="0" w:space="0" w:color="auto"/>
                <w:left w:val="none" w:sz="0" w:space="0" w:color="auto"/>
                <w:bottom w:val="none" w:sz="0" w:space="0" w:color="auto"/>
                <w:right w:val="none" w:sz="0" w:space="0" w:color="auto"/>
              </w:divBdr>
            </w:div>
            <w:div w:id="1657537431">
              <w:marLeft w:val="0"/>
              <w:marRight w:val="0"/>
              <w:marTop w:val="0"/>
              <w:marBottom w:val="0"/>
              <w:divBdr>
                <w:top w:val="none" w:sz="0" w:space="0" w:color="auto"/>
                <w:left w:val="none" w:sz="0" w:space="0" w:color="auto"/>
                <w:bottom w:val="none" w:sz="0" w:space="0" w:color="auto"/>
                <w:right w:val="none" w:sz="0" w:space="0" w:color="auto"/>
              </w:divBdr>
            </w:div>
            <w:div w:id="1765691057">
              <w:marLeft w:val="0"/>
              <w:marRight w:val="0"/>
              <w:marTop w:val="0"/>
              <w:marBottom w:val="0"/>
              <w:divBdr>
                <w:top w:val="none" w:sz="0" w:space="0" w:color="auto"/>
                <w:left w:val="none" w:sz="0" w:space="0" w:color="auto"/>
                <w:bottom w:val="none" w:sz="0" w:space="0" w:color="auto"/>
                <w:right w:val="none" w:sz="0" w:space="0" w:color="auto"/>
              </w:divBdr>
            </w:div>
            <w:div w:id="1775859529">
              <w:marLeft w:val="0"/>
              <w:marRight w:val="0"/>
              <w:marTop w:val="0"/>
              <w:marBottom w:val="0"/>
              <w:divBdr>
                <w:top w:val="none" w:sz="0" w:space="0" w:color="auto"/>
                <w:left w:val="none" w:sz="0" w:space="0" w:color="auto"/>
                <w:bottom w:val="none" w:sz="0" w:space="0" w:color="auto"/>
                <w:right w:val="none" w:sz="0" w:space="0" w:color="auto"/>
              </w:divBdr>
            </w:div>
            <w:div w:id="1993875665">
              <w:marLeft w:val="0"/>
              <w:marRight w:val="0"/>
              <w:marTop w:val="0"/>
              <w:marBottom w:val="0"/>
              <w:divBdr>
                <w:top w:val="none" w:sz="0" w:space="0" w:color="auto"/>
                <w:left w:val="none" w:sz="0" w:space="0" w:color="auto"/>
                <w:bottom w:val="none" w:sz="0" w:space="0" w:color="auto"/>
                <w:right w:val="none" w:sz="0" w:space="0" w:color="auto"/>
              </w:divBdr>
            </w:div>
          </w:divsChild>
        </w:div>
        <w:div w:id="2072847576">
          <w:marLeft w:val="0"/>
          <w:marRight w:val="0"/>
          <w:marTop w:val="0"/>
          <w:marBottom w:val="0"/>
          <w:divBdr>
            <w:top w:val="none" w:sz="0" w:space="0" w:color="auto"/>
            <w:left w:val="none" w:sz="0" w:space="0" w:color="auto"/>
            <w:bottom w:val="none" w:sz="0" w:space="0" w:color="auto"/>
            <w:right w:val="none" w:sz="0" w:space="0" w:color="auto"/>
          </w:divBdr>
        </w:div>
        <w:div w:id="2114938453">
          <w:marLeft w:val="0"/>
          <w:marRight w:val="0"/>
          <w:marTop w:val="0"/>
          <w:marBottom w:val="0"/>
          <w:divBdr>
            <w:top w:val="none" w:sz="0" w:space="0" w:color="auto"/>
            <w:left w:val="none" w:sz="0" w:space="0" w:color="auto"/>
            <w:bottom w:val="none" w:sz="0" w:space="0" w:color="auto"/>
            <w:right w:val="none" w:sz="0" w:space="0" w:color="auto"/>
          </w:divBdr>
        </w:div>
      </w:divsChild>
    </w:div>
    <w:div w:id="1158376084">
      <w:bodyDiv w:val="1"/>
      <w:marLeft w:val="0"/>
      <w:marRight w:val="0"/>
      <w:marTop w:val="0"/>
      <w:marBottom w:val="0"/>
      <w:divBdr>
        <w:top w:val="none" w:sz="0" w:space="0" w:color="auto"/>
        <w:left w:val="none" w:sz="0" w:space="0" w:color="auto"/>
        <w:bottom w:val="none" w:sz="0" w:space="0" w:color="auto"/>
        <w:right w:val="none" w:sz="0" w:space="0" w:color="auto"/>
      </w:divBdr>
      <w:divsChild>
        <w:div w:id="98525444">
          <w:marLeft w:val="0"/>
          <w:marRight w:val="0"/>
          <w:marTop w:val="0"/>
          <w:marBottom w:val="0"/>
          <w:divBdr>
            <w:top w:val="none" w:sz="0" w:space="0" w:color="auto"/>
            <w:left w:val="none" w:sz="0" w:space="0" w:color="auto"/>
            <w:bottom w:val="none" w:sz="0" w:space="0" w:color="auto"/>
            <w:right w:val="none" w:sz="0" w:space="0" w:color="auto"/>
          </w:divBdr>
          <w:divsChild>
            <w:div w:id="504249605">
              <w:marLeft w:val="0"/>
              <w:marRight w:val="0"/>
              <w:marTop w:val="0"/>
              <w:marBottom w:val="0"/>
              <w:divBdr>
                <w:top w:val="none" w:sz="0" w:space="0" w:color="auto"/>
                <w:left w:val="none" w:sz="0" w:space="0" w:color="auto"/>
                <w:bottom w:val="none" w:sz="0" w:space="0" w:color="auto"/>
                <w:right w:val="none" w:sz="0" w:space="0" w:color="auto"/>
              </w:divBdr>
            </w:div>
          </w:divsChild>
        </w:div>
        <w:div w:id="150369961">
          <w:marLeft w:val="0"/>
          <w:marRight w:val="0"/>
          <w:marTop w:val="0"/>
          <w:marBottom w:val="0"/>
          <w:divBdr>
            <w:top w:val="none" w:sz="0" w:space="0" w:color="auto"/>
            <w:left w:val="none" w:sz="0" w:space="0" w:color="auto"/>
            <w:bottom w:val="none" w:sz="0" w:space="0" w:color="auto"/>
            <w:right w:val="none" w:sz="0" w:space="0" w:color="auto"/>
          </w:divBdr>
          <w:divsChild>
            <w:div w:id="1442913512">
              <w:marLeft w:val="0"/>
              <w:marRight w:val="0"/>
              <w:marTop w:val="0"/>
              <w:marBottom w:val="0"/>
              <w:divBdr>
                <w:top w:val="none" w:sz="0" w:space="0" w:color="auto"/>
                <w:left w:val="none" w:sz="0" w:space="0" w:color="auto"/>
                <w:bottom w:val="none" w:sz="0" w:space="0" w:color="auto"/>
                <w:right w:val="none" w:sz="0" w:space="0" w:color="auto"/>
              </w:divBdr>
            </w:div>
          </w:divsChild>
        </w:div>
        <w:div w:id="221334352">
          <w:marLeft w:val="0"/>
          <w:marRight w:val="0"/>
          <w:marTop w:val="0"/>
          <w:marBottom w:val="0"/>
          <w:divBdr>
            <w:top w:val="none" w:sz="0" w:space="0" w:color="auto"/>
            <w:left w:val="none" w:sz="0" w:space="0" w:color="auto"/>
            <w:bottom w:val="none" w:sz="0" w:space="0" w:color="auto"/>
            <w:right w:val="none" w:sz="0" w:space="0" w:color="auto"/>
          </w:divBdr>
          <w:divsChild>
            <w:div w:id="1471940218">
              <w:marLeft w:val="0"/>
              <w:marRight w:val="0"/>
              <w:marTop w:val="0"/>
              <w:marBottom w:val="0"/>
              <w:divBdr>
                <w:top w:val="none" w:sz="0" w:space="0" w:color="auto"/>
                <w:left w:val="none" w:sz="0" w:space="0" w:color="auto"/>
                <w:bottom w:val="none" w:sz="0" w:space="0" w:color="auto"/>
                <w:right w:val="none" w:sz="0" w:space="0" w:color="auto"/>
              </w:divBdr>
            </w:div>
          </w:divsChild>
        </w:div>
        <w:div w:id="259337245">
          <w:marLeft w:val="0"/>
          <w:marRight w:val="0"/>
          <w:marTop w:val="0"/>
          <w:marBottom w:val="0"/>
          <w:divBdr>
            <w:top w:val="none" w:sz="0" w:space="0" w:color="auto"/>
            <w:left w:val="none" w:sz="0" w:space="0" w:color="auto"/>
            <w:bottom w:val="none" w:sz="0" w:space="0" w:color="auto"/>
            <w:right w:val="none" w:sz="0" w:space="0" w:color="auto"/>
          </w:divBdr>
          <w:divsChild>
            <w:div w:id="815337760">
              <w:marLeft w:val="0"/>
              <w:marRight w:val="0"/>
              <w:marTop w:val="0"/>
              <w:marBottom w:val="0"/>
              <w:divBdr>
                <w:top w:val="none" w:sz="0" w:space="0" w:color="auto"/>
                <w:left w:val="none" w:sz="0" w:space="0" w:color="auto"/>
                <w:bottom w:val="none" w:sz="0" w:space="0" w:color="auto"/>
                <w:right w:val="none" w:sz="0" w:space="0" w:color="auto"/>
              </w:divBdr>
            </w:div>
          </w:divsChild>
        </w:div>
        <w:div w:id="396250993">
          <w:marLeft w:val="0"/>
          <w:marRight w:val="0"/>
          <w:marTop w:val="0"/>
          <w:marBottom w:val="0"/>
          <w:divBdr>
            <w:top w:val="none" w:sz="0" w:space="0" w:color="auto"/>
            <w:left w:val="none" w:sz="0" w:space="0" w:color="auto"/>
            <w:bottom w:val="none" w:sz="0" w:space="0" w:color="auto"/>
            <w:right w:val="none" w:sz="0" w:space="0" w:color="auto"/>
          </w:divBdr>
          <w:divsChild>
            <w:div w:id="1446074778">
              <w:marLeft w:val="0"/>
              <w:marRight w:val="0"/>
              <w:marTop w:val="0"/>
              <w:marBottom w:val="0"/>
              <w:divBdr>
                <w:top w:val="none" w:sz="0" w:space="0" w:color="auto"/>
                <w:left w:val="none" w:sz="0" w:space="0" w:color="auto"/>
                <w:bottom w:val="none" w:sz="0" w:space="0" w:color="auto"/>
                <w:right w:val="none" w:sz="0" w:space="0" w:color="auto"/>
              </w:divBdr>
            </w:div>
          </w:divsChild>
        </w:div>
        <w:div w:id="449904934">
          <w:marLeft w:val="0"/>
          <w:marRight w:val="0"/>
          <w:marTop w:val="0"/>
          <w:marBottom w:val="0"/>
          <w:divBdr>
            <w:top w:val="none" w:sz="0" w:space="0" w:color="auto"/>
            <w:left w:val="none" w:sz="0" w:space="0" w:color="auto"/>
            <w:bottom w:val="none" w:sz="0" w:space="0" w:color="auto"/>
            <w:right w:val="none" w:sz="0" w:space="0" w:color="auto"/>
          </w:divBdr>
          <w:divsChild>
            <w:div w:id="1903445394">
              <w:marLeft w:val="0"/>
              <w:marRight w:val="0"/>
              <w:marTop w:val="0"/>
              <w:marBottom w:val="0"/>
              <w:divBdr>
                <w:top w:val="none" w:sz="0" w:space="0" w:color="auto"/>
                <w:left w:val="none" w:sz="0" w:space="0" w:color="auto"/>
                <w:bottom w:val="none" w:sz="0" w:space="0" w:color="auto"/>
                <w:right w:val="none" w:sz="0" w:space="0" w:color="auto"/>
              </w:divBdr>
            </w:div>
          </w:divsChild>
        </w:div>
        <w:div w:id="564921965">
          <w:marLeft w:val="0"/>
          <w:marRight w:val="0"/>
          <w:marTop w:val="0"/>
          <w:marBottom w:val="0"/>
          <w:divBdr>
            <w:top w:val="none" w:sz="0" w:space="0" w:color="auto"/>
            <w:left w:val="none" w:sz="0" w:space="0" w:color="auto"/>
            <w:bottom w:val="none" w:sz="0" w:space="0" w:color="auto"/>
            <w:right w:val="none" w:sz="0" w:space="0" w:color="auto"/>
          </w:divBdr>
          <w:divsChild>
            <w:div w:id="121653180">
              <w:marLeft w:val="0"/>
              <w:marRight w:val="0"/>
              <w:marTop w:val="0"/>
              <w:marBottom w:val="0"/>
              <w:divBdr>
                <w:top w:val="none" w:sz="0" w:space="0" w:color="auto"/>
                <w:left w:val="none" w:sz="0" w:space="0" w:color="auto"/>
                <w:bottom w:val="none" w:sz="0" w:space="0" w:color="auto"/>
                <w:right w:val="none" w:sz="0" w:space="0" w:color="auto"/>
              </w:divBdr>
            </w:div>
            <w:div w:id="1630823821">
              <w:marLeft w:val="0"/>
              <w:marRight w:val="0"/>
              <w:marTop w:val="0"/>
              <w:marBottom w:val="0"/>
              <w:divBdr>
                <w:top w:val="none" w:sz="0" w:space="0" w:color="auto"/>
                <w:left w:val="none" w:sz="0" w:space="0" w:color="auto"/>
                <w:bottom w:val="none" w:sz="0" w:space="0" w:color="auto"/>
                <w:right w:val="none" w:sz="0" w:space="0" w:color="auto"/>
              </w:divBdr>
            </w:div>
          </w:divsChild>
        </w:div>
        <w:div w:id="783890668">
          <w:marLeft w:val="0"/>
          <w:marRight w:val="0"/>
          <w:marTop w:val="0"/>
          <w:marBottom w:val="0"/>
          <w:divBdr>
            <w:top w:val="none" w:sz="0" w:space="0" w:color="auto"/>
            <w:left w:val="none" w:sz="0" w:space="0" w:color="auto"/>
            <w:bottom w:val="none" w:sz="0" w:space="0" w:color="auto"/>
            <w:right w:val="none" w:sz="0" w:space="0" w:color="auto"/>
          </w:divBdr>
          <w:divsChild>
            <w:div w:id="868493870">
              <w:marLeft w:val="0"/>
              <w:marRight w:val="0"/>
              <w:marTop w:val="0"/>
              <w:marBottom w:val="0"/>
              <w:divBdr>
                <w:top w:val="none" w:sz="0" w:space="0" w:color="auto"/>
                <w:left w:val="none" w:sz="0" w:space="0" w:color="auto"/>
                <w:bottom w:val="none" w:sz="0" w:space="0" w:color="auto"/>
                <w:right w:val="none" w:sz="0" w:space="0" w:color="auto"/>
              </w:divBdr>
            </w:div>
          </w:divsChild>
        </w:div>
        <w:div w:id="907500511">
          <w:marLeft w:val="0"/>
          <w:marRight w:val="0"/>
          <w:marTop w:val="0"/>
          <w:marBottom w:val="0"/>
          <w:divBdr>
            <w:top w:val="none" w:sz="0" w:space="0" w:color="auto"/>
            <w:left w:val="none" w:sz="0" w:space="0" w:color="auto"/>
            <w:bottom w:val="none" w:sz="0" w:space="0" w:color="auto"/>
            <w:right w:val="none" w:sz="0" w:space="0" w:color="auto"/>
          </w:divBdr>
          <w:divsChild>
            <w:div w:id="1969700373">
              <w:marLeft w:val="0"/>
              <w:marRight w:val="0"/>
              <w:marTop w:val="0"/>
              <w:marBottom w:val="0"/>
              <w:divBdr>
                <w:top w:val="none" w:sz="0" w:space="0" w:color="auto"/>
                <w:left w:val="none" w:sz="0" w:space="0" w:color="auto"/>
                <w:bottom w:val="none" w:sz="0" w:space="0" w:color="auto"/>
                <w:right w:val="none" w:sz="0" w:space="0" w:color="auto"/>
              </w:divBdr>
            </w:div>
          </w:divsChild>
        </w:div>
        <w:div w:id="985401324">
          <w:marLeft w:val="0"/>
          <w:marRight w:val="0"/>
          <w:marTop w:val="0"/>
          <w:marBottom w:val="0"/>
          <w:divBdr>
            <w:top w:val="none" w:sz="0" w:space="0" w:color="auto"/>
            <w:left w:val="none" w:sz="0" w:space="0" w:color="auto"/>
            <w:bottom w:val="none" w:sz="0" w:space="0" w:color="auto"/>
            <w:right w:val="none" w:sz="0" w:space="0" w:color="auto"/>
          </w:divBdr>
          <w:divsChild>
            <w:div w:id="1248005466">
              <w:marLeft w:val="0"/>
              <w:marRight w:val="0"/>
              <w:marTop w:val="0"/>
              <w:marBottom w:val="0"/>
              <w:divBdr>
                <w:top w:val="none" w:sz="0" w:space="0" w:color="auto"/>
                <w:left w:val="none" w:sz="0" w:space="0" w:color="auto"/>
                <w:bottom w:val="none" w:sz="0" w:space="0" w:color="auto"/>
                <w:right w:val="none" w:sz="0" w:space="0" w:color="auto"/>
              </w:divBdr>
            </w:div>
          </w:divsChild>
        </w:div>
        <w:div w:id="986477935">
          <w:marLeft w:val="0"/>
          <w:marRight w:val="0"/>
          <w:marTop w:val="0"/>
          <w:marBottom w:val="0"/>
          <w:divBdr>
            <w:top w:val="none" w:sz="0" w:space="0" w:color="auto"/>
            <w:left w:val="none" w:sz="0" w:space="0" w:color="auto"/>
            <w:bottom w:val="none" w:sz="0" w:space="0" w:color="auto"/>
            <w:right w:val="none" w:sz="0" w:space="0" w:color="auto"/>
          </w:divBdr>
          <w:divsChild>
            <w:div w:id="265501862">
              <w:marLeft w:val="0"/>
              <w:marRight w:val="0"/>
              <w:marTop w:val="0"/>
              <w:marBottom w:val="0"/>
              <w:divBdr>
                <w:top w:val="none" w:sz="0" w:space="0" w:color="auto"/>
                <w:left w:val="none" w:sz="0" w:space="0" w:color="auto"/>
                <w:bottom w:val="none" w:sz="0" w:space="0" w:color="auto"/>
                <w:right w:val="none" w:sz="0" w:space="0" w:color="auto"/>
              </w:divBdr>
            </w:div>
          </w:divsChild>
        </w:div>
        <w:div w:id="1015308726">
          <w:marLeft w:val="0"/>
          <w:marRight w:val="0"/>
          <w:marTop w:val="0"/>
          <w:marBottom w:val="0"/>
          <w:divBdr>
            <w:top w:val="none" w:sz="0" w:space="0" w:color="auto"/>
            <w:left w:val="none" w:sz="0" w:space="0" w:color="auto"/>
            <w:bottom w:val="none" w:sz="0" w:space="0" w:color="auto"/>
            <w:right w:val="none" w:sz="0" w:space="0" w:color="auto"/>
          </w:divBdr>
          <w:divsChild>
            <w:div w:id="779029219">
              <w:marLeft w:val="0"/>
              <w:marRight w:val="0"/>
              <w:marTop w:val="0"/>
              <w:marBottom w:val="0"/>
              <w:divBdr>
                <w:top w:val="none" w:sz="0" w:space="0" w:color="auto"/>
                <w:left w:val="none" w:sz="0" w:space="0" w:color="auto"/>
                <w:bottom w:val="none" w:sz="0" w:space="0" w:color="auto"/>
                <w:right w:val="none" w:sz="0" w:space="0" w:color="auto"/>
              </w:divBdr>
            </w:div>
            <w:div w:id="1400980679">
              <w:marLeft w:val="0"/>
              <w:marRight w:val="0"/>
              <w:marTop w:val="0"/>
              <w:marBottom w:val="0"/>
              <w:divBdr>
                <w:top w:val="none" w:sz="0" w:space="0" w:color="auto"/>
                <w:left w:val="none" w:sz="0" w:space="0" w:color="auto"/>
                <w:bottom w:val="none" w:sz="0" w:space="0" w:color="auto"/>
                <w:right w:val="none" w:sz="0" w:space="0" w:color="auto"/>
              </w:divBdr>
            </w:div>
          </w:divsChild>
        </w:div>
        <w:div w:id="1054625439">
          <w:marLeft w:val="0"/>
          <w:marRight w:val="0"/>
          <w:marTop w:val="0"/>
          <w:marBottom w:val="0"/>
          <w:divBdr>
            <w:top w:val="none" w:sz="0" w:space="0" w:color="auto"/>
            <w:left w:val="none" w:sz="0" w:space="0" w:color="auto"/>
            <w:bottom w:val="none" w:sz="0" w:space="0" w:color="auto"/>
            <w:right w:val="none" w:sz="0" w:space="0" w:color="auto"/>
          </w:divBdr>
          <w:divsChild>
            <w:div w:id="1829007690">
              <w:marLeft w:val="0"/>
              <w:marRight w:val="0"/>
              <w:marTop w:val="0"/>
              <w:marBottom w:val="0"/>
              <w:divBdr>
                <w:top w:val="none" w:sz="0" w:space="0" w:color="auto"/>
                <w:left w:val="none" w:sz="0" w:space="0" w:color="auto"/>
                <w:bottom w:val="none" w:sz="0" w:space="0" w:color="auto"/>
                <w:right w:val="none" w:sz="0" w:space="0" w:color="auto"/>
              </w:divBdr>
            </w:div>
          </w:divsChild>
        </w:div>
        <w:div w:id="1132013827">
          <w:marLeft w:val="0"/>
          <w:marRight w:val="0"/>
          <w:marTop w:val="0"/>
          <w:marBottom w:val="0"/>
          <w:divBdr>
            <w:top w:val="none" w:sz="0" w:space="0" w:color="auto"/>
            <w:left w:val="none" w:sz="0" w:space="0" w:color="auto"/>
            <w:bottom w:val="none" w:sz="0" w:space="0" w:color="auto"/>
            <w:right w:val="none" w:sz="0" w:space="0" w:color="auto"/>
          </w:divBdr>
          <w:divsChild>
            <w:div w:id="1931811567">
              <w:marLeft w:val="0"/>
              <w:marRight w:val="0"/>
              <w:marTop w:val="0"/>
              <w:marBottom w:val="0"/>
              <w:divBdr>
                <w:top w:val="none" w:sz="0" w:space="0" w:color="auto"/>
                <w:left w:val="none" w:sz="0" w:space="0" w:color="auto"/>
                <w:bottom w:val="none" w:sz="0" w:space="0" w:color="auto"/>
                <w:right w:val="none" w:sz="0" w:space="0" w:color="auto"/>
              </w:divBdr>
            </w:div>
          </w:divsChild>
        </w:div>
        <w:div w:id="1241254949">
          <w:marLeft w:val="0"/>
          <w:marRight w:val="0"/>
          <w:marTop w:val="0"/>
          <w:marBottom w:val="0"/>
          <w:divBdr>
            <w:top w:val="none" w:sz="0" w:space="0" w:color="auto"/>
            <w:left w:val="none" w:sz="0" w:space="0" w:color="auto"/>
            <w:bottom w:val="none" w:sz="0" w:space="0" w:color="auto"/>
            <w:right w:val="none" w:sz="0" w:space="0" w:color="auto"/>
          </w:divBdr>
          <w:divsChild>
            <w:div w:id="1123384270">
              <w:marLeft w:val="0"/>
              <w:marRight w:val="0"/>
              <w:marTop w:val="0"/>
              <w:marBottom w:val="0"/>
              <w:divBdr>
                <w:top w:val="none" w:sz="0" w:space="0" w:color="auto"/>
                <w:left w:val="none" w:sz="0" w:space="0" w:color="auto"/>
                <w:bottom w:val="none" w:sz="0" w:space="0" w:color="auto"/>
                <w:right w:val="none" w:sz="0" w:space="0" w:color="auto"/>
              </w:divBdr>
            </w:div>
          </w:divsChild>
        </w:div>
        <w:div w:id="1259829968">
          <w:marLeft w:val="0"/>
          <w:marRight w:val="0"/>
          <w:marTop w:val="0"/>
          <w:marBottom w:val="0"/>
          <w:divBdr>
            <w:top w:val="none" w:sz="0" w:space="0" w:color="auto"/>
            <w:left w:val="none" w:sz="0" w:space="0" w:color="auto"/>
            <w:bottom w:val="none" w:sz="0" w:space="0" w:color="auto"/>
            <w:right w:val="none" w:sz="0" w:space="0" w:color="auto"/>
          </w:divBdr>
          <w:divsChild>
            <w:div w:id="894663303">
              <w:marLeft w:val="0"/>
              <w:marRight w:val="0"/>
              <w:marTop w:val="0"/>
              <w:marBottom w:val="0"/>
              <w:divBdr>
                <w:top w:val="none" w:sz="0" w:space="0" w:color="auto"/>
                <w:left w:val="none" w:sz="0" w:space="0" w:color="auto"/>
                <w:bottom w:val="none" w:sz="0" w:space="0" w:color="auto"/>
                <w:right w:val="none" w:sz="0" w:space="0" w:color="auto"/>
              </w:divBdr>
            </w:div>
          </w:divsChild>
        </w:div>
        <w:div w:id="1271626732">
          <w:marLeft w:val="0"/>
          <w:marRight w:val="0"/>
          <w:marTop w:val="0"/>
          <w:marBottom w:val="0"/>
          <w:divBdr>
            <w:top w:val="none" w:sz="0" w:space="0" w:color="auto"/>
            <w:left w:val="none" w:sz="0" w:space="0" w:color="auto"/>
            <w:bottom w:val="none" w:sz="0" w:space="0" w:color="auto"/>
            <w:right w:val="none" w:sz="0" w:space="0" w:color="auto"/>
          </w:divBdr>
          <w:divsChild>
            <w:div w:id="1801990606">
              <w:marLeft w:val="0"/>
              <w:marRight w:val="0"/>
              <w:marTop w:val="0"/>
              <w:marBottom w:val="0"/>
              <w:divBdr>
                <w:top w:val="none" w:sz="0" w:space="0" w:color="auto"/>
                <w:left w:val="none" w:sz="0" w:space="0" w:color="auto"/>
                <w:bottom w:val="none" w:sz="0" w:space="0" w:color="auto"/>
                <w:right w:val="none" w:sz="0" w:space="0" w:color="auto"/>
              </w:divBdr>
            </w:div>
          </w:divsChild>
        </w:div>
        <w:div w:id="1369989937">
          <w:marLeft w:val="0"/>
          <w:marRight w:val="0"/>
          <w:marTop w:val="0"/>
          <w:marBottom w:val="0"/>
          <w:divBdr>
            <w:top w:val="none" w:sz="0" w:space="0" w:color="auto"/>
            <w:left w:val="none" w:sz="0" w:space="0" w:color="auto"/>
            <w:bottom w:val="none" w:sz="0" w:space="0" w:color="auto"/>
            <w:right w:val="none" w:sz="0" w:space="0" w:color="auto"/>
          </w:divBdr>
          <w:divsChild>
            <w:div w:id="1728990883">
              <w:marLeft w:val="0"/>
              <w:marRight w:val="0"/>
              <w:marTop w:val="0"/>
              <w:marBottom w:val="0"/>
              <w:divBdr>
                <w:top w:val="none" w:sz="0" w:space="0" w:color="auto"/>
                <w:left w:val="none" w:sz="0" w:space="0" w:color="auto"/>
                <w:bottom w:val="none" w:sz="0" w:space="0" w:color="auto"/>
                <w:right w:val="none" w:sz="0" w:space="0" w:color="auto"/>
              </w:divBdr>
            </w:div>
          </w:divsChild>
        </w:div>
        <w:div w:id="1462453899">
          <w:marLeft w:val="0"/>
          <w:marRight w:val="0"/>
          <w:marTop w:val="0"/>
          <w:marBottom w:val="0"/>
          <w:divBdr>
            <w:top w:val="none" w:sz="0" w:space="0" w:color="auto"/>
            <w:left w:val="none" w:sz="0" w:space="0" w:color="auto"/>
            <w:bottom w:val="none" w:sz="0" w:space="0" w:color="auto"/>
            <w:right w:val="none" w:sz="0" w:space="0" w:color="auto"/>
          </w:divBdr>
          <w:divsChild>
            <w:div w:id="173156697">
              <w:marLeft w:val="0"/>
              <w:marRight w:val="0"/>
              <w:marTop w:val="0"/>
              <w:marBottom w:val="0"/>
              <w:divBdr>
                <w:top w:val="none" w:sz="0" w:space="0" w:color="auto"/>
                <w:left w:val="none" w:sz="0" w:space="0" w:color="auto"/>
                <w:bottom w:val="none" w:sz="0" w:space="0" w:color="auto"/>
                <w:right w:val="none" w:sz="0" w:space="0" w:color="auto"/>
              </w:divBdr>
            </w:div>
          </w:divsChild>
        </w:div>
        <w:div w:id="1543319915">
          <w:marLeft w:val="0"/>
          <w:marRight w:val="0"/>
          <w:marTop w:val="0"/>
          <w:marBottom w:val="0"/>
          <w:divBdr>
            <w:top w:val="none" w:sz="0" w:space="0" w:color="auto"/>
            <w:left w:val="none" w:sz="0" w:space="0" w:color="auto"/>
            <w:bottom w:val="none" w:sz="0" w:space="0" w:color="auto"/>
            <w:right w:val="none" w:sz="0" w:space="0" w:color="auto"/>
          </w:divBdr>
          <w:divsChild>
            <w:div w:id="1558589676">
              <w:marLeft w:val="0"/>
              <w:marRight w:val="0"/>
              <w:marTop w:val="0"/>
              <w:marBottom w:val="0"/>
              <w:divBdr>
                <w:top w:val="none" w:sz="0" w:space="0" w:color="auto"/>
                <w:left w:val="none" w:sz="0" w:space="0" w:color="auto"/>
                <w:bottom w:val="none" w:sz="0" w:space="0" w:color="auto"/>
                <w:right w:val="none" w:sz="0" w:space="0" w:color="auto"/>
              </w:divBdr>
            </w:div>
          </w:divsChild>
        </w:div>
        <w:div w:id="1576278950">
          <w:marLeft w:val="0"/>
          <w:marRight w:val="0"/>
          <w:marTop w:val="0"/>
          <w:marBottom w:val="0"/>
          <w:divBdr>
            <w:top w:val="none" w:sz="0" w:space="0" w:color="auto"/>
            <w:left w:val="none" w:sz="0" w:space="0" w:color="auto"/>
            <w:bottom w:val="none" w:sz="0" w:space="0" w:color="auto"/>
            <w:right w:val="none" w:sz="0" w:space="0" w:color="auto"/>
          </w:divBdr>
          <w:divsChild>
            <w:div w:id="226258580">
              <w:marLeft w:val="0"/>
              <w:marRight w:val="0"/>
              <w:marTop w:val="0"/>
              <w:marBottom w:val="0"/>
              <w:divBdr>
                <w:top w:val="none" w:sz="0" w:space="0" w:color="auto"/>
                <w:left w:val="none" w:sz="0" w:space="0" w:color="auto"/>
                <w:bottom w:val="none" w:sz="0" w:space="0" w:color="auto"/>
                <w:right w:val="none" w:sz="0" w:space="0" w:color="auto"/>
              </w:divBdr>
            </w:div>
          </w:divsChild>
        </w:div>
        <w:div w:id="1834180834">
          <w:marLeft w:val="0"/>
          <w:marRight w:val="0"/>
          <w:marTop w:val="0"/>
          <w:marBottom w:val="0"/>
          <w:divBdr>
            <w:top w:val="none" w:sz="0" w:space="0" w:color="auto"/>
            <w:left w:val="none" w:sz="0" w:space="0" w:color="auto"/>
            <w:bottom w:val="none" w:sz="0" w:space="0" w:color="auto"/>
            <w:right w:val="none" w:sz="0" w:space="0" w:color="auto"/>
          </w:divBdr>
          <w:divsChild>
            <w:div w:id="2121991491">
              <w:marLeft w:val="0"/>
              <w:marRight w:val="0"/>
              <w:marTop w:val="0"/>
              <w:marBottom w:val="0"/>
              <w:divBdr>
                <w:top w:val="none" w:sz="0" w:space="0" w:color="auto"/>
                <w:left w:val="none" w:sz="0" w:space="0" w:color="auto"/>
                <w:bottom w:val="none" w:sz="0" w:space="0" w:color="auto"/>
                <w:right w:val="none" w:sz="0" w:space="0" w:color="auto"/>
              </w:divBdr>
            </w:div>
          </w:divsChild>
        </w:div>
        <w:div w:id="1859731469">
          <w:marLeft w:val="0"/>
          <w:marRight w:val="0"/>
          <w:marTop w:val="0"/>
          <w:marBottom w:val="0"/>
          <w:divBdr>
            <w:top w:val="none" w:sz="0" w:space="0" w:color="auto"/>
            <w:left w:val="none" w:sz="0" w:space="0" w:color="auto"/>
            <w:bottom w:val="none" w:sz="0" w:space="0" w:color="auto"/>
            <w:right w:val="none" w:sz="0" w:space="0" w:color="auto"/>
          </w:divBdr>
          <w:divsChild>
            <w:div w:id="1709524302">
              <w:marLeft w:val="0"/>
              <w:marRight w:val="0"/>
              <w:marTop w:val="0"/>
              <w:marBottom w:val="0"/>
              <w:divBdr>
                <w:top w:val="none" w:sz="0" w:space="0" w:color="auto"/>
                <w:left w:val="none" w:sz="0" w:space="0" w:color="auto"/>
                <w:bottom w:val="none" w:sz="0" w:space="0" w:color="auto"/>
                <w:right w:val="none" w:sz="0" w:space="0" w:color="auto"/>
              </w:divBdr>
            </w:div>
          </w:divsChild>
        </w:div>
        <w:div w:id="1945644802">
          <w:marLeft w:val="0"/>
          <w:marRight w:val="0"/>
          <w:marTop w:val="0"/>
          <w:marBottom w:val="0"/>
          <w:divBdr>
            <w:top w:val="none" w:sz="0" w:space="0" w:color="auto"/>
            <w:left w:val="none" w:sz="0" w:space="0" w:color="auto"/>
            <w:bottom w:val="none" w:sz="0" w:space="0" w:color="auto"/>
            <w:right w:val="none" w:sz="0" w:space="0" w:color="auto"/>
          </w:divBdr>
          <w:divsChild>
            <w:div w:id="171076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342343">
      <w:bodyDiv w:val="1"/>
      <w:marLeft w:val="0"/>
      <w:marRight w:val="0"/>
      <w:marTop w:val="0"/>
      <w:marBottom w:val="0"/>
      <w:divBdr>
        <w:top w:val="none" w:sz="0" w:space="0" w:color="auto"/>
        <w:left w:val="none" w:sz="0" w:space="0" w:color="auto"/>
        <w:bottom w:val="none" w:sz="0" w:space="0" w:color="auto"/>
        <w:right w:val="none" w:sz="0" w:space="0" w:color="auto"/>
      </w:divBdr>
      <w:divsChild>
        <w:div w:id="29846064">
          <w:marLeft w:val="0"/>
          <w:marRight w:val="0"/>
          <w:marTop w:val="0"/>
          <w:marBottom w:val="0"/>
          <w:divBdr>
            <w:top w:val="none" w:sz="0" w:space="0" w:color="auto"/>
            <w:left w:val="none" w:sz="0" w:space="0" w:color="auto"/>
            <w:bottom w:val="none" w:sz="0" w:space="0" w:color="auto"/>
            <w:right w:val="none" w:sz="0" w:space="0" w:color="auto"/>
          </w:divBdr>
          <w:divsChild>
            <w:div w:id="1858805405">
              <w:marLeft w:val="0"/>
              <w:marRight w:val="0"/>
              <w:marTop w:val="0"/>
              <w:marBottom w:val="0"/>
              <w:divBdr>
                <w:top w:val="none" w:sz="0" w:space="0" w:color="auto"/>
                <w:left w:val="none" w:sz="0" w:space="0" w:color="auto"/>
                <w:bottom w:val="none" w:sz="0" w:space="0" w:color="auto"/>
                <w:right w:val="none" w:sz="0" w:space="0" w:color="auto"/>
              </w:divBdr>
            </w:div>
          </w:divsChild>
        </w:div>
        <w:div w:id="314457799">
          <w:marLeft w:val="0"/>
          <w:marRight w:val="0"/>
          <w:marTop w:val="0"/>
          <w:marBottom w:val="0"/>
          <w:divBdr>
            <w:top w:val="none" w:sz="0" w:space="0" w:color="auto"/>
            <w:left w:val="none" w:sz="0" w:space="0" w:color="auto"/>
            <w:bottom w:val="none" w:sz="0" w:space="0" w:color="auto"/>
            <w:right w:val="none" w:sz="0" w:space="0" w:color="auto"/>
          </w:divBdr>
          <w:divsChild>
            <w:div w:id="1290236623">
              <w:marLeft w:val="0"/>
              <w:marRight w:val="0"/>
              <w:marTop w:val="0"/>
              <w:marBottom w:val="0"/>
              <w:divBdr>
                <w:top w:val="none" w:sz="0" w:space="0" w:color="auto"/>
                <w:left w:val="none" w:sz="0" w:space="0" w:color="auto"/>
                <w:bottom w:val="none" w:sz="0" w:space="0" w:color="auto"/>
                <w:right w:val="none" w:sz="0" w:space="0" w:color="auto"/>
              </w:divBdr>
            </w:div>
          </w:divsChild>
        </w:div>
        <w:div w:id="492717210">
          <w:marLeft w:val="0"/>
          <w:marRight w:val="0"/>
          <w:marTop w:val="0"/>
          <w:marBottom w:val="0"/>
          <w:divBdr>
            <w:top w:val="none" w:sz="0" w:space="0" w:color="auto"/>
            <w:left w:val="none" w:sz="0" w:space="0" w:color="auto"/>
            <w:bottom w:val="none" w:sz="0" w:space="0" w:color="auto"/>
            <w:right w:val="none" w:sz="0" w:space="0" w:color="auto"/>
          </w:divBdr>
          <w:divsChild>
            <w:div w:id="370763720">
              <w:marLeft w:val="0"/>
              <w:marRight w:val="0"/>
              <w:marTop w:val="0"/>
              <w:marBottom w:val="0"/>
              <w:divBdr>
                <w:top w:val="none" w:sz="0" w:space="0" w:color="auto"/>
                <w:left w:val="none" w:sz="0" w:space="0" w:color="auto"/>
                <w:bottom w:val="none" w:sz="0" w:space="0" w:color="auto"/>
                <w:right w:val="none" w:sz="0" w:space="0" w:color="auto"/>
              </w:divBdr>
            </w:div>
          </w:divsChild>
        </w:div>
        <w:div w:id="649864997">
          <w:marLeft w:val="0"/>
          <w:marRight w:val="0"/>
          <w:marTop w:val="0"/>
          <w:marBottom w:val="0"/>
          <w:divBdr>
            <w:top w:val="none" w:sz="0" w:space="0" w:color="auto"/>
            <w:left w:val="none" w:sz="0" w:space="0" w:color="auto"/>
            <w:bottom w:val="none" w:sz="0" w:space="0" w:color="auto"/>
            <w:right w:val="none" w:sz="0" w:space="0" w:color="auto"/>
          </w:divBdr>
          <w:divsChild>
            <w:div w:id="1726021886">
              <w:marLeft w:val="0"/>
              <w:marRight w:val="0"/>
              <w:marTop w:val="0"/>
              <w:marBottom w:val="0"/>
              <w:divBdr>
                <w:top w:val="none" w:sz="0" w:space="0" w:color="auto"/>
                <w:left w:val="none" w:sz="0" w:space="0" w:color="auto"/>
                <w:bottom w:val="none" w:sz="0" w:space="0" w:color="auto"/>
                <w:right w:val="none" w:sz="0" w:space="0" w:color="auto"/>
              </w:divBdr>
            </w:div>
          </w:divsChild>
        </w:div>
        <w:div w:id="1084103709">
          <w:marLeft w:val="0"/>
          <w:marRight w:val="0"/>
          <w:marTop w:val="0"/>
          <w:marBottom w:val="0"/>
          <w:divBdr>
            <w:top w:val="none" w:sz="0" w:space="0" w:color="auto"/>
            <w:left w:val="none" w:sz="0" w:space="0" w:color="auto"/>
            <w:bottom w:val="none" w:sz="0" w:space="0" w:color="auto"/>
            <w:right w:val="none" w:sz="0" w:space="0" w:color="auto"/>
          </w:divBdr>
          <w:divsChild>
            <w:div w:id="1743143402">
              <w:marLeft w:val="0"/>
              <w:marRight w:val="0"/>
              <w:marTop w:val="0"/>
              <w:marBottom w:val="0"/>
              <w:divBdr>
                <w:top w:val="none" w:sz="0" w:space="0" w:color="auto"/>
                <w:left w:val="none" w:sz="0" w:space="0" w:color="auto"/>
                <w:bottom w:val="none" w:sz="0" w:space="0" w:color="auto"/>
                <w:right w:val="none" w:sz="0" w:space="0" w:color="auto"/>
              </w:divBdr>
            </w:div>
          </w:divsChild>
        </w:div>
        <w:div w:id="1113091965">
          <w:marLeft w:val="0"/>
          <w:marRight w:val="0"/>
          <w:marTop w:val="0"/>
          <w:marBottom w:val="0"/>
          <w:divBdr>
            <w:top w:val="none" w:sz="0" w:space="0" w:color="auto"/>
            <w:left w:val="none" w:sz="0" w:space="0" w:color="auto"/>
            <w:bottom w:val="none" w:sz="0" w:space="0" w:color="auto"/>
            <w:right w:val="none" w:sz="0" w:space="0" w:color="auto"/>
          </w:divBdr>
          <w:divsChild>
            <w:div w:id="33845187">
              <w:marLeft w:val="0"/>
              <w:marRight w:val="0"/>
              <w:marTop w:val="0"/>
              <w:marBottom w:val="0"/>
              <w:divBdr>
                <w:top w:val="none" w:sz="0" w:space="0" w:color="auto"/>
                <w:left w:val="none" w:sz="0" w:space="0" w:color="auto"/>
                <w:bottom w:val="none" w:sz="0" w:space="0" w:color="auto"/>
                <w:right w:val="none" w:sz="0" w:space="0" w:color="auto"/>
              </w:divBdr>
            </w:div>
          </w:divsChild>
        </w:div>
        <w:div w:id="1122306302">
          <w:marLeft w:val="0"/>
          <w:marRight w:val="0"/>
          <w:marTop w:val="0"/>
          <w:marBottom w:val="0"/>
          <w:divBdr>
            <w:top w:val="none" w:sz="0" w:space="0" w:color="auto"/>
            <w:left w:val="none" w:sz="0" w:space="0" w:color="auto"/>
            <w:bottom w:val="none" w:sz="0" w:space="0" w:color="auto"/>
            <w:right w:val="none" w:sz="0" w:space="0" w:color="auto"/>
          </w:divBdr>
          <w:divsChild>
            <w:div w:id="578290810">
              <w:marLeft w:val="0"/>
              <w:marRight w:val="0"/>
              <w:marTop w:val="0"/>
              <w:marBottom w:val="0"/>
              <w:divBdr>
                <w:top w:val="none" w:sz="0" w:space="0" w:color="auto"/>
                <w:left w:val="none" w:sz="0" w:space="0" w:color="auto"/>
                <w:bottom w:val="none" w:sz="0" w:space="0" w:color="auto"/>
                <w:right w:val="none" w:sz="0" w:space="0" w:color="auto"/>
              </w:divBdr>
            </w:div>
          </w:divsChild>
        </w:div>
        <w:div w:id="1134713535">
          <w:marLeft w:val="0"/>
          <w:marRight w:val="0"/>
          <w:marTop w:val="0"/>
          <w:marBottom w:val="0"/>
          <w:divBdr>
            <w:top w:val="none" w:sz="0" w:space="0" w:color="auto"/>
            <w:left w:val="none" w:sz="0" w:space="0" w:color="auto"/>
            <w:bottom w:val="none" w:sz="0" w:space="0" w:color="auto"/>
            <w:right w:val="none" w:sz="0" w:space="0" w:color="auto"/>
          </w:divBdr>
          <w:divsChild>
            <w:div w:id="34352196">
              <w:marLeft w:val="0"/>
              <w:marRight w:val="0"/>
              <w:marTop w:val="0"/>
              <w:marBottom w:val="0"/>
              <w:divBdr>
                <w:top w:val="none" w:sz="0" w:space="0" w:color="auto"/>
                <w:left w:val="none" w:sz="0" w:space="0" w:color="auto"/>
                <w:bottom w:val="none" w:sz="0" w:space="0" w:color="auto"/>
                <w:right w:val="none" w:sz="0" w:space="0" w:color="auto"/>
              </w:divBdr>
            </w:div>
          </w:divsChild>
        </w:div>
        <w:div w:id="1198542929">
          <w:marLeft w:val="0"/>
          <w:marRight w:val="0"/>
          <w:marTop w:val="0"/>
          <w:marBottom w:val="0"/>
          <w:divBdr>
            <w:top w:val="none" w:sz="0" w:space="0" w:color="auto"/>
            <w:left w:val="none" w:sz="0" w:space="0" w:color="auto"/>
            <w:bottom w:val="none" w:sz="0" w:space="0" w:color="auto"/>
            <w:right w:val="none" w:sz="0" w:space="0" w:color="auto"/>
          </w:divBdr>
          <w:divsChild>
            <w:div w:id="170292751">
              <w:marLeft w:val="0"/>
              <w:marRight w:val="0"/>
              <w:marTop w:val="0"/>
              <w:marBottom w:val="0"/>
              <w:divBdr>
                <w:top w:val="none" w:sz="0" w:space="0" w:color="auto"/>
                <w:left w:val="none" w:sz="0" w:space="0" w:color="auto"/>
                <w:bottom w:val="none" w:sz="0" w:space="0" w:color="auto"/>
                <w:right w:val="none" w:sz="0" w:space="0" w:color="auto"/>
              </w:divBdr>
            </w:div>
          </w:divsChild>
        </w:div>
        <w:div w:id="1304429334">
          <w:marLeft w:val="0"/>
          <w:marRight w:val="0"/>
          <w:marTop w:val="0"/>
          <w:marBottom w:val="0"/>
          <w:divBdr>
            <w:top w:val="none" w:sz="0" w:space="0" w:color="auto"/>
            <w:left w:val="none" w:sz="0" w:space="0" w:color="auto"/>
            <w:bottom w:val="none" w:sz="0" w:space="0" w:color="auto"/>
            <w:right w:val="none" w:sz="0" w:space="0" w:color="auto"/>
          </w:divBdr>
          <w:divsChild>
            <w:div w:id="61567813">
              <w:marLeft w:val="0"/>
              <w:marRight w:val="0"/>
              <w:marTop w:val="0"/>
              <w:marBottom w:val="0"/>
              <w:divBdr>
                <w:top w:val="none" w:sz="0" w:space="0" w:color="auto"/>
                <w:left w:val="none" w:sz="0" w:space="0" w:color="auto"/>
                <w:bottom w:val="none" w:sz="0" w:space="0" w:color="auto"/>
                <w:right w:val="none" w:sz="0" w:space="0" w:color="auto"/>
              </w:divBdr>
            </w:div>
          </w:divsChild>
        </w:div>
        <w:div w:id="1547139100">
          <w:marLeft w:val="0"/>
          <w:marRight w:val="0"/>
          <w:marTop w:val="0"/>
          <w:marBottom w:val="0"/>
          <w:divBdr>
            <w:top w:val="none" w:sz="0" w:space="0" w:color="auto"/>
            <w:left w:val="none" w:sz="0" w:space="0" w:color="auto"/>
            <w:bottom w:val="none" w:sz="0" w:space="0" w:color="auto"/>
            <w:right w:val="none" w:sz="0" w:space="0" w:color="auto"/>
          </w:divBdr>
          <w:divsChild>
            <w:div w:id="1743405023">
              <w:marLeft w:val="0"/>
              <w:marRight w:val="0"/>
              <w:marTop w:val="0"/>
              <w:marBottom w:val="0"/>
              <w:divBdr>
                <w:top w:val="none" w:sz="0" w:space="0" w:color="auto"/>
                <w:left w:val="none" w:sz="0" w:space="0" w:color="auto"/>
                <w:bottom w:val="none" w:sz="0" w:space="0" w:color="auto"/>
                <w:right w:val="none" w:sz="0" w:space="0" w:color="auto"/>
              </w:divBdr>
            </w:div>
          </w:divsChild>
        </w:div>
        <w:div w:id="1710491042">
          <w:marLeft w:val="0"/>
          <w:marRight w:val="0"/>
          <w:marTop w:val="0"/>
          <w:marBottom w:val="0"/>
          <w:divBdr>
            <w:top w:val="none" w:sz="0" w:space="0" w:color="auto"/>
            <w:left w:val="none" w:sz="0" w:space="0" w:color="auto"/>
            <w:bottom w:val="none" w:sz="0" w:space="0" w:color="auto"/>
            <w:right w:val="none" w:sz="0" w:space="0" w:color="auto"/>
          </w:divBdr>
          <w:divsChild>
            <w:div w:id="2092892790">
              <w:marLeft w:val="0"/>
              <w:marRight w:val="0"/>
              <w:marTop w:val="0"/>
              <w:marBottom w:val="0"/>
              <w:divBdr>
                <w:top w:val="none" w:sz="0" w:space="0" w:color="auto"/>
                <w:left w:val="none" w:sz="0" w:space="0" w:color="auto"/>
                <w:bottom w:val="none" w:sz="0" w:space="0" w:color="auto"/>
                <w:right w:val="none" w:sz="0" w:space="0" w:color="auto"/>
              </w:divBdr>
            </w:div>
          </w:divsChild>
        </w:div>
        <w:div w:id="1796211505">
          <w:marLeft w:val="0"/>
          <w:marRight w:val="0"/>
          <w:marTop w:val="0"/>
          <w:marBottom w:val="0"/>
          <w:divBdr>
            <w:top w:val="none" w:sz="0" w:space="0" w:color="auto"/>
            <w:left w:val="none" w:sz="0" w:space="0" w:color="auto"/>
            <w:bottom w:val="none" w:sz="0" w:space="0" w:color="auto"/>
            <w:right w:val="none" w:sz="0" w:space="0" w:color="auto"/>
          </w:divBdr>
          <w:divsChild>
            <w:div w:id="1215434125">
              <w:marLeft w:val="0"/>
              <w:marRight w:val="0"/>
              <w:marTop w:val="0"/>
              <w:marBottom w:val="0"/>
              <w:divBdr>
                <w:top w:val="none" w:sz="0" w:space="0" w:color="auto"/>
                <w:left w:val="none" w:sz="0" w:space="0" w:color="auto"/>
                <w:bottom w:val="none" w:sz="0" w:space="0" w:color="auto"/>
                <w:right w:val="none" w:sz="0" w:space="0" w:color="auto"/>
              </w:divBdr>
            </w:div>
          </w:divsChild>
        </w:div>
        <w:div w:id="1840926696">
          <w:marLeft w:val="0"/>
          <w:marRight w:val="0"/>
          <w:marTop w:val="0"/>
          <w:marBottom w:val="0"/>
          <w:divBdr>
            <w:top w:val="none" w:sz="0" w:space="0" w:color="auto"/>
            <w:left w:val="none" w:sz="0" w:space="0" w:color="auto"/>
            <w:bottom w:val="none" w:sz="0" w:space="0" w:color="auto"/>
            <w:right w:val="none" w:sz="0" w:space="0" w:color="auto"/>
          </w:divBdr>
          <w:divsChild>
            <w:div w:id="297301690">
              <w:marLeft w:val="0"/>
              <w:marRight w:val="0"/>
              <w:marTop w:val="0"/>
              <w:marBottom w:val="0"/>
              <w:divBdr>
                <w:top w:val="none" w:sz="0" w:space="0" w:color="auto"/>
                <w:left w:val="none" w:sz="0" w:space="0" w:color="auto"/>
                <w:bottom w:val="none" w:sz="0" w:space="0" w:color="auto"/>
                <w:right w:val="none" w:sz="0" w:space="0" w:color="auto"/>
              </w:divBdr>
            </w:div>
          </w:divsChild>
        </w:div>
        <w:div w:id="1863667364">
          <w:marLeft w:val="0"/>
          <w:marRight w:val="0"/>
          <w:marTop w:val="0"/>
          <w:marBottom w:val="0"/>
          <w:divBdr>
            <w:top w:val="none" w:sz="0" w:space="0" w:color="auto"/>
            <w:left w:val="none" w:sz="0" w:space="0" w:color="auto"/>
            <w:bottom w:val="none" w:sz="0" w:space="0" w:color="auto"/>
            <w:right w:val="none" w:sz="0" w:space="0" w:color="auto"/>
          </w:divBdr>
          <w:divsChild>
            <w:div w:id="1905025694">
              <w:marLeft w:val="0"/>
              <w:marRight w:val="0"/>
              <w:marTop w:val="0"/>
              <w:marBottom w:val="0"/>
              <w:divBdr>
                <w:top w:val="none" w:sz="0" w:space="0" w:color="auto"/>
                <w:left w:val="none" w:sz="0" w:space="0" w:color="auto"/>
                <w:bottom w:val="none" w:sz="0" w:space="0" w:color="auto"/>
                <w:right w:val="none" w:sz="0" w:space="0" w:color="auto"/>
              </w:divBdr>
            </w:div>
          </w:divsChild>
        </w:div>
        <w:div w:id="1870332244">
          <w:marLeft w:val="0"/>
          <w:marRight w:val="0"/>
          <w:marTop w:val="0"/>
          <w:marBottom w:val="0"/>
          <w:divBdr>
            <w:top w:val="none" w:sz="0" w:space="0" w:color="auto"/>
            <w:left w:val="none" w:sz="0" w:space="0" w:color="auto"/>
            <w:bottom w:val="none" w:sz="0" w:space="0" w:color="auto"/>
            <w:right w:val="none" w:sz="0" w:space="0" w:color="auto"/>
          </w:divBdr>
          <w:divsChild>
            <w:div w:id="1685399608">
              <w:marLeft w:val="0"/>
              <w:marRight w:val="0"/>
              <w:marTop w:val="0"/>
              <w:marBottom w:val="0"/>
              <w:divBdr>
                <w:top w:val="none" w:sz="0" w:space="0" w:color="auto"/>
                <w:left w:val="none" w:sz="0" w:space="0" w:color="auto"/>
                <w:bottom w:val="none" w:sz="0" w:space="0" w:color="auto"/>
                <w:right w:val="none" w:sz="0" w:space="0" w:color="auto"/>
              </w:divBdr>
            </w:div>
          </w:divsChild>
        </w:div>
        <w:div w:id="1903637276">
          <w:marLeft w:val="0"/>
          <w:marRight w:val="0"/>
          <w:marTop w:val="0"/>
          <w:marBottom w:val="0"/>
          <w:divBdr>
            <w:top w:val="none" w:sz="0" w:space="0" w:color="auto"/>
            <w:left w:val="none" w:sz="0" w:space="0" w:color="auto"/>
            <w:bottom w:val="none" w:sz="0" w:space="0" w:color="auto"/>
            <w:right w:val="none" w:sz="0" w:space="0" w:color="auto"/>
          </w:divBdr>
          <w:divsChild>
            <w:div w:id="1516264197">
              <w:marLeft w:val="0"/>
              <w:marRight w:val="0"/>
              <w:marTop w:val="0"/>
              <w:marBottom w:val="0"/>
              <w:divBdr>
                <w:top w:val="none" w:sz="0" w:space="0" w:color="auto"/>
                <w:left w:val="none" w:sz="0" w:space="0" w:color="auto"/>
                <w:bottom w:val="none" w:sz="0" w:space="0" w:color="auto"/>
                <w:right w:val="none" w:sz="0" w:space="0" w:color="auto"/>
              </w:divBdr>
            </w:div>
          </w:divsChild>
        </w:div>
        <w:div w:id="1925261483">
          <w:marLeft w:val="0"/>
          <w:marRight w:val="0"/>
          <w:marTop w:val="0"/>
          <w:marBottom w:val="0"/>
          <w:divBdr>
            <w:top w:val="none" w:sz="0" w:space="0" w:color="auto"/>
            <w:left w:val="none" w:sz="0" w:space="0" w:color="auto"/>
            <w:bottom w:val="none" w:sz="0" w:space="0" w:color="auto"/>
            <w:right w:val="none" w:sz="0" w:space="0" w:color="auto"/>
          </w:divBdr>
          <w:divsChild>
            <w:div w:id="1577204760">
              <w:marLeft w:val="0"/>
              <w:marRight w:val="0"/>
              <w:marTop w:val="0"/>
              <w:marBottom w:val="0"/>
              <w:divBdr>
                <w:top w:val="none" w:sz="0" w:space="0" w:color="auto"/>
                <w:left w:val="none" w:sz="0" w:space="0" w:color="auto"/>
                <w:bottom w:val="none" w:sz="0" w:space="0" w:color="auto"/>
                <w:right w:val="none" w:sz="0" w:space="0" w:color="auto"/>
              </w:divBdr>
            </w:div>
          </w:divsChild>
        </w:div>
        <w:div w:id="1944848158">
          <w:marLeft w:val="0"/>
          <w:marRight w:val="0"/>
          <w:marTop w:val="0"/>
          <w:marBottom w:val="0"/>
          <w:divBdr>
            <w:top w:val="none" w:sz="0" w:space="0" w:color="auto"/>
            <w:left w:val="none" w:sz="0" w:space="0" w:color="auto"/>
            <w:bottom w:val="none" w:sz="0" w:space="0" w:color="auto"/>
            <w:right w:val="none" w:sz="0" w:space="0" w:color="auto"/>
          </w:divBdr>
          <w:divsChild>
            <w:div w:id="294725130">
              <w:marLeft w:val="0"/>
              <w:marRight w:val="0"/>
              <w:marTop w:val="0"/>
              <w:marBottom w:val="0"/>
              <w:divBdr>
                <w:top w:val="none" w:sz="0" w:space="0" w:color="auto"/>
                <w:left w:val="none" w:sz="0" w:space="0" w:color="auto"/>
                <w:bottom w:val="none" w:sz="0" w:space="0" w:color="auto"/>
                <w:right w:val="none" w:sz="0" w:space="0" w:color="auto"/>
              </w:divBdr>
            </w:div>
          </w:divsChild>
        </w:div>
        <w:div w:id="1992371932">
          <w:marLeft w:val="0"/>
          <w:marRight w:val="0"/>
          <w:marTop w:val="0"/>
          <w:marBottom w:val="0"/>
          <w:divBdr>
            <w:top w:val="none" w:sz="0" w:space="0" w:color="auto"/>
            <w:left w:val="none" w:sz="0" w:space="0" w:color="auto"/>
            <w:bottom w:val="none" w:sz="0" w:space="0" w:color="auto"/>
            <w:right w:val="none" w:sz="0" w:space="0" w:color="auto"/>
          </w:divBdr>
          <w:divsChild>
            <w:div w:id="8901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7105">
      <w:bodyDiv w:val="1"/>
      <w:marLeft w:val="0"/>
      <w:marRight w:val="0"/>
      <w:marTop w:val="0"/>
      <w:marBottom w:val="0"/>
      <w:divBdr>
        <w:top w:val="none" w:sz="0" w:space="0" w:color="auto"/>
        <w:left w:val="none" w:sz="0" w:space="0" w:color="auto"/>
        <w:bottom w:val="none" w:sz="0" w:space="0" w:color="auto"/>
        <w:right w:val="none" w:sz="0" w:space="0" w:color="auto"/>
      </w:divBdr>
      <w:divsChild>
        <w:div w:id="140579187">
          <w:marLeft w:val="0"/>
          <w:marRight w:val="0"/>
          <w:marTop w:val="0"/>
          <w:marBottom w:val="0"/>
          <w:divBdr>
            <w:top w:val="none" w:sz="0" w:space="0" w:color="auto"/>
            <w:left w:val="none" w:sz="0" w:space="0" w:color="auto"/>
            <w:bottom w:val="none" w:sz="0" w:space="0" w:color="auto"/>
            <w:right w:val="none" w:sz="0" w:space="0" w:color="auto"/>
          </w:divBdr>
          <w:divsChild>
            <w:div w:id="8456429">
              <w:marLeft w:val="0"/>
              <w:marRight w:val="0"/>
              <w:marTop w:val="0"/>
              <w:marBottom w:val="0"/>
              <w:divBdr>
                <w:top w:val="none" w:sz="0" w:space="0" w:color="auto"/>
                <w:left w:val="none" w:sz="0" w:space="0" w:color="auto"/>
                <w:bottom w:val="none" w:sz="0" w:space="0" w:color="auto"/>
                <w:right w:val="none" w:sz="0" w:space="0" w:color="auto"/>
              </w:divBdr>
            </w:div>
          </w:divsChild>
        </w:div>
        <w:div w:id="217713665">
          <w:marLeft w:val="0"/>
          <w:marRight w:val="0"/>
          <w:marTop w:val="0"/>
          <w:marBottom w:val="0"/>
          <w:divBdr>
            <w:top w:val="none" w:sz="0" w:space="0" w:color="auto"/>
            <w:left w:val="none" w:sz="0" w:space="0" w:color="auto"/>
            <w:bottom w:val="none" w:sz="0" w:space="0" w:color="auto"/>
            <w:right w:val="none" w:sz="0" w:space="0" w:color="auto"/>
          </w:divBdr>
          <w:divsChild>
            <w:div w:id="192306393">
              <w:marLeft w:val="0"/>
              <w:marRight w:val="0"/>
              <w:marTop w:val="0"/>
              <w:marBottom w:val="0"/>
              <w:divBdr>
                <w:top w:val="none" w:sz="0" w:space="0" w:color="auto"/>
                <w:left w:val="none" w:sz="0" w:space="0" w:color="auto"/>
                <w:bottom w:val="none" w:sz="0" w:space="0" w:color="auto"/>
                <w:right w:val="none" w:sz="0" w:space="0" w:color="auto"/>
              </w:divBdr>
            </w:div>
          </w:divsChild>
        </w:div>
        <w:div w:id="382874228">
          <w:marLeft w:val="0"/>
          <w:marRight w:val="0"/>
          <w:marTop w:val="0"/>
          <w:marBottom w:val="0"/>
          <w:divBdr>
            <w:top w:val="none" w:sz="0" w:space="0" w:color="auto"/>
            <w:left w:val="none" w:sz="0" w:space="0" w:color="auto"/>
            <w:bottom w:val="none" w:sz="0" w:space="0" w:color="auto"/>
            <w:right w:val="none" w:sz="0" w:space="0" w:color="auto"/>
          </w:divBdr>
          <w:divsChild>
            <w:div w:id="1570068857">
              <w:marLeft w:val="0"/>
              <w:marRight w:val="0"/>
              <w:marTop w:val="0"/>
              <w:marBottom w:val="0"/>
              <w:divBdr>
                <w:top w:val="none" w:sz="0" w:space="0" w:color="auto"/>
                <w:left w:val="none" w:sz="0" w:space="0" w:color="auto"/>
                <w:bottom w:val="none" w:sz="0" w:space="0" w:color="auto"/>
                <w:right w:val="none" w:sz="0" w:space="0" w:color="auto"/>
              </w:divBdr>
            </w:div>
          </w:divsChild>
        </w:div>
        <w:div w:id="615524938">
          <w:marLeft w:val="0"/>
          <w:marRight w:val="0"/>
          <w:marTop w:val="0"/>
          <w:marBottom w:val="0"/>
          <w:divBdr>
            <w:top w:val="none" w:sz="0" w:space="0" w:color="auto"/>
            <w:left w:val="none" w:sz="0" w:space="0" w:color="auto"/>
            <w:bottom w:val="none" w:sz="0" w:space="0" w:color="auto"/>
            <w:right w:val="none" w:sz="0" w:space="0" w:color="auto"/>
          </w:divBdr>
          <w:divsChild>
            <w:div w:id="8683436">
              <w:marLeft w:val="0"/>
              <w:marRight w:val="0"/>
              <w:marTop w:val="0"/>
              <w:marBottom w:val="0"/>
              <w:divBdr>
                <w:top w:val="none" w:sz="0" w:space="0" w:color="auto"/>
                <w:left w:val="none" w:sz="0" w:space="0" w:color="auto"/>
                <w:bottom w:val="none" w:sz="0" w:space="0" w:color="auto"/>
                <w:right w:val="none" w:sz="0" w:space="0" w:color="auto"/>
              </w:divBdr>
            </w:div>
          </w:divsChild>
        </w:div>
        <w:div w:id="640306089">
          <w:marLeft w:val="0"/>
          <w:marRight w:val="0"/>
          <w:marTop w:val="0"/>
          <w:marBottom w:val="0"/>
          <w:divBdr>
            <w:top w:val="none" w:sz="0" w:space="0" w:color="auto"/>
            <w:left w:val="none" w:sz="0" w:space="0" w:color="auto"/>
            <w:bottom w:val="none" w:sz="0" w:space="0" w:color="auto"/>
            <w:right w:val="none" w:sz="0" w:space="0" w:color="auto"/>
          </w:divBdr>
          <w:divsChild>
            <w:div w:id="782189377">
              <w:marLeft w:val="0"/>
              <w:marRight w:val="0"/>
              <w:marTop w:val="0"/>
              <w:marBottom w:val="0"/>
              <w:divBdr>
                <w:top w:val="none" w:sz="0" w:space="0" w:color="auto"/>
                <w:left w:val="none" w:sz="0" w:space="0" w:color="auto"/>
                <w:bottom w:val="none" w:sz="0" w:space="0" w:color="auto"/>
                <w:right w:val="none" w:sz="0" w:space="0" w:color="auto"/>
              </w:divBdr>
            </w:div>
          </w:divsChild>
        </w:div>
        <w:div w:id="661348191">
          <w:marLeft w:val="0"/>
          <w:marRight w:val="0"/>
          <w:marTop w:val="0"/>
          <w:marBottom w:val="0"/>
          <w:divBdr>
            <w:top w:val="none" w:sz="0" w:space="0" w:color="auto"/>
            <w:left w:val="none" w:sz="0" w:space="0" w:color="auto"/>
            <w:bottom w:val="none" w:sz="0" w:space="0" w:color="auto"/>
            <w:right w:val="none" w:sz="0" w:space="0" w:color="auto"/>
          </w:divBdr>
          <w:divsChild>
            <w:div w:id="1365401367">
              <w:marLeft w:val="0"/>
              <w:marRight w:val="0"/>
              <w:marTop w:val="0"/>
              <w:marBottom w:val="0"/>
              <w:divBdr>
                <w:top w:val="none" w:sz="0" w:space="0" w:color="auto"/>
                <w:left w:val="none" w:sz="0" w:space="0" w:color="auto"/>
                <w:bottom w:val="none" w:sz="0" w:space="0" w:color="auto"/>
                <w:right w:val="none" w:sz="0" w:space="0" w:color="auto"/>
              </w:divBdr>
            </w:div>
          </w:divsChild>
        </w:div>
        <w:div w:id="860750104">
          <w:marLeft w:val="0"/>
          <w:marRight w:val="0"/>
          <w:marTop w:val="0"/>
          <w:marBottom w:val="0"/>
          <w:divBdr>
            <w:top w:val="none" w:sz="0" w:space="0" w:color="auto"/>
            <w:left w:val="none" w:sz="0" w:space="0" w:color="auto"/>
            <w:bottom w:val="none" w:sz="0" w:space="0" w:color="auto"/>
            <w:right w:val="none" w:sz="0" w:space="0" w:color="auto"/>
          </w:divBdr>
          <w:divsChild>
            <w:div w:id="1334260534">
              <w:marLeft w:val="0"/>
              <w:marRight w:val="0"/>
              <w:marTop w:val="0"/>
              <w:marBottom w:val="0"/>
              <w:divBdr>
                <w:top w:val="none" w:sz="0" w:space="0" w:color="auto"/>
                <w:left w:val="none" w:sz="0" w:space="0" w:color="auto"/>
                <w:bottom w:val="none" w:sz="0" w:space="0" w:color="auto"/>
                <w:right w:val="none" w:sz="0" w:space="0" w:color="auto"/>
              </w:divBdr>
            </w:div>
          </w:divsChild>
        </w:div>
        <w:div w:id="866680403">
          <w:marLeft w:val="0"/>
          <w:marRight w:val="0"/>
          <w:marTop w:val="0"/>
          <w:marBottom w:val="0"/>
          <w:divBdr>
            <w:top w:val="none" w:sz="0" w:space="0" w:color="auto"/>
            <w:left w:val="none" w:sz="0" w:space="0" w:color="auto"/>
            <w:bottom w:val="none" w:sz="0" w:space="0" w:color="auto"/>
            <w:right w:val="none" w:sz="0" w:space="0" w:color="auto"/>
          </w:divBdr>
          <w:divsChild>
            <w:div w:id="755593989">
              <w:marLeft w:val="0"/>
              <w:marRight w:val="0"/>
              <w:marTop w:val="0"/>
              <w:marBottom w:val="0"/>
              <w:divBdr>
                <w:top w:val="none" w:sz="0" w:space="0" w:color="auto"/>
                <w:left w:val="none" w:sz="0" w:space="0" w:color="auto"/>
                <w:bottom w:val="none" w:sz="0" w:space="0" w:color="auto"/>
                <w:right w:val="none" w:sz="0" w:space="0" w:color="auto"/>
              </w:divBdr>
            </w:div>
          </w:divsChild>
        </w:div>
        <w:div w:id="943226047">
          <w:marLeft w:val="0"/>
          <w:marRight w:val="0"/>
          <w:marTop w:val="0"/>
          <w:marBottom w:val="0"/>
          <w:divBdr>
            <w:top w:val="none" w:sz="0" w:space="0" w:color="auto"/>
            <w:left w:val="none" w:sz="0" w:space="0" w:color="auto"/>
            <w:bottom w:val="none" w:sz="0" w:space="0" w:color="auto"/>
            <w:right w:val="none" w:sz="0" w:space="0" w:color="auto"/>
          </w:divBdr>
          <w:divsChild>
            <w:div w:id="1427772649">
              <w:marLeft w:val="0"/>
              <w:marRight w:val="0"/>
              <w:marTop w:val="0"/>
              <w:marBottom w:val="0"/>
              <w:divBdr>
                <w:top w:val="none" w:sz="0" w:space="0" w:color="auto"/>
                <w:left w:val="none" w:sz="0" w:space="0" w:color="auto"/>
                <w:bottom w:val="none" w:sz="0" w:space="0" w:color="auto"/>
                <w:right w:val="none" w:sz="0" w:space="0" w:color="auto"/>
              </w:divBdr>
            </w:div>
          </w:divsChild>
        </w:div>
        <w:div w:id="1003435757">
          <w:marLeft w:val="0"/>
          <w:marRight w:val="0"/>
          <w:marTop w:val="0"/>
          <w:marBottom w:val="0"/>
          <w:divBdr>
            <w:top w:val="none" w:sz="0" w:space="0" w:color="auto"/>
            <w:left w:val="none" w:sz="0" w:space="0" w:color="auto"/>
            <w:bottom w:val="none" w:sz="0" w:space="0" w:color="auto"/>
            <w:right w:val="none" w:sz="0" w:space="0" w:color="auto"/>
          </w:divBdr>
          <w:divsChild>
            <w:div w:id="1236940618">
              <w:marLeft w:val="0"/>
              <w:marRight w:val="0"/>
              <w:marTop w:val="0"/>
              <w:marBottom w:val="0"/>
              <w:divBdr>
                <w:top w:val="none" w:sz="0" w:space="0" w:color="auto"/>
                <w:left w:val="none" w:sz="0" w:space="0" w:color="auto"/>
                <w:bottom w:val="none" w:sz="0" w:space="0" w:color="auto"/>
                <w:right w:val="none" w:sz="0" w:space="0" w:color="auto"/>
              </w:divBdr>
            </w:div>
          </w:divsChild>
        </w:div>
        <w:div w:id="1110474094">
          <w:marLeft w:val="0"/>
          <w:marRight w:val="0"/>
          <w:marTop w:val="0"/>
          <w:marBottom w:val="0"/>
          <w:divBdr>
            <w:top w:val="none" w:sz="0" w:space="0" w:color="auto"/>
            <w:left w:val="none" w:sz="0" w:space="0" w:color="auto"/>
            <w:bottom w:val="none" w:sz="0" w:space="0" w:color="auto"/>
            <w:right w:val="none" w:sz="0" w:space="0" w:color="auto"/>
          </w:divBdr>
          <w:divsChild>
            <w:div w:id="1960988619">
              <w:marLeft w:val="0"/>
              <w:marRight w:val="0"/>
              <w:marTop w:val="0"/>
              <w:marBottom w:val="0"/>
              <w:divBdr>
                <w:top w:val="none" w:sz="0" w:space="0" w:color="auto"/>
                <w:left w:val="none" w:sz="0" w:space="0" w:color="auto"/>
                <w:bottom w:val="none" w:sz="0" w:space="0" w:color="auto"/>
                <w:right w:val="none" w:sz="0" w:space="0" w:color="auto"/>
              </w:divBdr>
            </w:div>
          </w:divsChild>
        </w:div>
        <w:div w:id="1110978497">
          <w:marLeft w:val="0"/>
          <w:marRight w:val="0"/>
          <w:marTop w:val="0"/>
          <w:marBottom w:val="0"/>
          <w:divBdr>
            <w:top w:val="none" w:sz="0" w:space="0" w:color="auto"/>
            <w:left w:val="none" w:sz="0" w:space="0" w:color="auto"/>
            <w:bottom w:val="none" w:sz="0" w:space="0" w:color="auto"/>
            <w:right w:val="none" w:sz="0" w:space="0" w:color="auto"/>
          </w:divBdr>
          <w:divsChild>
            <w:div w:id="55905526">
              <w:marLeft w:val="0"/>
              <w:marRight w:val="0"/>
              <w:marTop w:val="0"/>
              <w:marBottom w:val="0"/>
              <w:divBdr>
                <w:top w:val="none" w:sz="0" w:space="0" w:color="auto"/>
                <w:left w:val="none" w:sz="0" w:space="0" w:color="auto"/>
                <w:bottom w:val="none" w:sz="0" w:space="0" w:color="auto"/>
                <w:right w:val="none" w:sz="0" w:space="0" w:color="auto"/>
              </w:divBdr>
            </w:div>
          </w:divsChild>
        </w:div>
        <w:div w:id="1157067331">
          <w:marLeft w:val="0"/>
          <w:marRight w:val="0"/>
          <w:marTop w:val="0"/>
          <w:marBottom w:val="0"/>
          <w:divBdr>
            <w:top w:val="none" w:sz="0" w:space="0" w:color="auto"/>
            <w:left w:val="none" w:sz="0" w:space="0" w:color="auto"/>
            <w:bottom w:val="none" w:sz="0" w:space="0" w:color="auto"/>
            <w:right w:val="none" w:sz="0" w:space="0" w:color="auto"/>
          </w:divBdr>
          <w:divsChild>
            <w:div w:id="799685501">
              <w:marLeft w:val="0"/>
              <w:marRight w:val="0"/>
              <w:marTop w:val="0"/>
              <w:marBottom w:val="0"/>
              <w:divBdr>
                <w:top w:val="none" w:sz="0" w:space="0" w:color="auto"/>
                <w:left w:val="none" w:sz="0" w:space="0" w:color="auto"/>
                <w:bottom w:val="none" w:sz="0" w:space="0" w:color="auto"/>
                <w:right w:val="none" w:sz="0" w:space="0" w:color="auto"/>
              </w:divBdr>
            </w:div>
          </w:divsChild>
        </w:div>
        <w:div w:id="1219899040">
          <w:marLeft w:val="0"/>
          <w:marRight w:val="0"/>
          <w:marTop w:val="0"/>
          <w:marBottom w:val="0"/>
          <w:divBdr>
            <w:top w:val="none" w:sz="0" w:space="0" w:color="auto"/>
            <w:left w:val="none" w:sz="0" w:space="0" w:color="auto"/>
            <w:bottom w:val="none" w:sz="0" w:space="0" w:color="auto"/>
            <w:right w:val="none" w:sz="0" w:space="0" w:color="auto"/>
          </w:divBdr>
          <w:divsChild>
            <w:div w:id="623341668">
              <w:marLeft w:val="0"/>
              <w:marRight w:val="0"/>
              <w:marTop w:val="0"/>
              <w:marBottom w:val="0"/>
              <w:divBdr>
                <w:top w:val="none" w:sz="0" w:space="0" w:color="auto"/>
                <w:left w:val="none" w:sz="0" w:space="0" w:color="auto"/>
                <w:bottom w:val="none" w:sz="0" w:space="0" w:color="auto"/>
                <w:right w:val="none" w:sz="0" w:space="0" w:color="auto"/>
              </w:divBdr>
            </w:div>
          </w:divsChild>
        </w:div>
        <w:div w:id="1417750246">
          <w:marLeft w:val="0"/>
          <w:marRight w:val="0"/>
          <w:marTop w:val="0"/>
          <w:marBottom w:val="0"/>
          <w:divBdr>
            <w:top w:val="none" w:sz="0" w:space="0" w:color="auto"/>
            <w:left w:val="none" w:sz="0" w:space="0" w:color="auto"/>
            <w:bottom w:val="none" w:sz="0" w:space="0" w:color="auto"/>
            <w:right w:val="none" w:sz="0" w:space="0" w:color="auto"/>
          </w:divBdr>
          <w:divsChild>
            <w:div w:id="130902175">
              <w:marLeft w:val="0"/>
              <w:marRight w:val="0"/>
              <w:marTop w:val="0"/>
              <w:marBottom w:val="0"/>
              <w:divBdr>
                <w:top w:val="none" w:sz="0" w:space="0" w:color="auto"/>
                <w:left w:val="none" w:sz="0" w:space="0" w:color="auto"/>
                <w:bottom w:val="none" w:sz="0" w:space="0" w:color="auto"/>
                <w:right w:val="none" w:sz="0" w:space="0" w:color="auto"/>
              </w:divBdr>
            </w:div>
          </w:divsChild>
        </w:div>
        <w:div w:id="1467352800">
          <w:marLeft w:val="0"/>
          <w:marRight w:val="0"/>
          <w:marTop w:val="0"/>
          <w:marBottom w:val="0"/>
          <w:divBdr>
            <w:top w:val="none" w:sz="0" w:space="0" w:color="auto"/>
            <w:left w:val="none" w:sz="0" w:space="0" w:color="auto"/>
            <w:bottom w:val="none" w:sz="0" w:space="0" w:color="auto"/>
            <w:right w:val="none" w:sz="0" w:space="0" w:color="auto"/>
          </w:divBdr>
          <w:divsChild>
            <w:div w:id="1432579502">
              <w:marLeft w:val="0"/>
              <w:marRight w:val="0"/>
              <w:marTop w:val="0"/>
              <w:marBottom w:val="0"/>
              <w:divBdr>
                <w:top w:val="none" w:sz="0" w:space="0" w:color="auto"/>
                <w:left w:val="none" w:sz="0" w:space="0" w:color="auto"/>
                <w:bottom w:val="none" w:sz="0" w:space="0" w:color="auto"/>
                <w:right w:val="none" w:sz="0" w:space="0" w:color="auto"/>
              </w:divBdr>
            </w:div>
            <w:div w:id="1621915665">
              <w:marLeft w:val="0"/>
              <w:marRight w:val="0"/>
              <w:marTop w:val="0"/>
              <w:marBottom w:val="0"/>
              <w:divBdr>
                <w:top w:val="none" w:sz="0" w:space="0" w:color="auto"/>
                <w:left w:val="none" w:sz="0" w:space="0" w:color="auto"/>
                <w:bottom w:val="none" w:sz="0" w:space="0" w:color="auto"/>
                <w:right w:val="none" w:sz="0" w:space="0" w:color="auto"/>
              </w:divBdr>
            </w:div>
          </w:divsChild>
        </w:div>
        <w:div w:id="1501390111">
          <w:marLeft w:val="0"/>
          <w:marRight w:val="0"/>
          <w:marTop w:val="0"/>
          <w:marBottom w:val="0"/>
          <w:divBdr>
            <w:top w:val="none" w:sz="0" w:space="0" w:color="auto"/>
            <w:left w:val="none" w:sz="0" w:space="0" w:color="auto"/>
            <w:bottom w:val="none" w:sz="0" w:space="0" w:color="auto"/>
            <w:right w:val="none" w:sz="0" w:space="0" w:color="auto"/>
          </w:divBdr>
          <w:divsChild>
            <w:div w:id="1200513727">
              <w:marLeft w:val="0"/>
              <w:marRight w:val="0"/>
              <w:marTop w:val="0"/>
              <w:marBottom w:val="0"/>
              <w:divBdr>
                <w:top w:val="none" w:sz="0" w:space="0" w:color="auto"/>
                <w:left w:val="none" w:sz="0" w:space="0" w:color="auto"/>
                <w:bottom w:val="none" w:sz="0" w:space="0" w:color="auto"/>
                <w:right w:val="none" w:sz="0" w:space="0" w:color="auto"/>
              </w:divBdr>
            </w:div>
          </w:divsChild>
        </w:div>
        <w:div w:id="1519074933">
          <w:marLeft w:val="0"/>
          <w:marRight w:val="0"/>
          <w:marTop w:val="0"/>
          <w:marBottom w:val="0"/>
          <w:divBdr>
            <w:top w:val="none" w:sz="0" w:space="0" w:color="auto"/>
            <w:left w:val="none" w:sz="0" w:space="0" w:color="auto"/>
            <w:bottom w:val="none" w:sz="0" w:space="0" w:color="auto"/>
            <w:right w:val="none" w:sz="0" w:space="0" w:color="auto"/>
          </w:divBdr>
          <w:divsChild>
            <w:div w:id="996420520">
              <w:marLeft w:val="0"/>
              <w:marRight w:val="0"/>
              <w:marTop w:val="0"/>
              <w:marBottom w:val="0"/>
              <w:divBdr>
                <w:top w:val="none" w:sz="0" w:space="0" w:color="auto"/>
                <w:left w:val="none" w:sz="0" w:space="0" w:color="auto"/>
                <w:bottom w:val="none" w:sz="0" w:space="0" w:color="auto"/>
                <w:right w:val="none" w:sz="0" w:space="0" w:color="auto"/>
              </w:divBdr>
            </w:div>
          </w:divsChild>
        </w:div>
        <w:div w:id="1534222468">
          <w:marLeft w:val="0"/>
          <w:marRight w:val="0"/>
          <w:marTop w:val="0"/>
          <w:marBottom w:val="0"/>
          <w:divBdr>
            <w:top w:val="none" w:sz="0" w:space="0" w:color="auto"/>
            <w:left w:val="none" w:sz="0" w:space="0" w:color="auto"/>
            <w:bottom w:val="none" w:sz="0" w:space="0" w:color="auto"/>
            <w:right w:val="none" w:sz="0" w:space="0" w:color="auto"/>
          </w:divBdr>
          <w:divsChild>
            <w:div w:id="399210094">
              <w:marLeft w:val="0"/>
              <w:marRight w:val="0"/>
              <w:marTop w:val="0"/>
              <w:marBottom w:val="0"/>
              <w:divBdr>
                <w:top w:val="none" w:sz="0" w:space="0" w:color="auto"/>
                <w:left w:val="none" w:sz="0" w:space="0" w:color="auto"/>
                <w:bottom w:val="none" w:sz="0" w:space="0" w:color="auto"/>
                <w:right w:val="none" w:sz="0" w:space="0" w:color="auto"/>
              </w:divBdr>
            </w:div>
            <w:div w:id="1973903646">
              <w:marLeft w:val="0"/>
              <w:marRight w:val="0"/>
              <w:marTop w:val="0"/>
              <w:marBottom w:val="0"/>
              <w:divBdr>
                <w:top w:val="none" w:sz="0" w:space="0" w:color="auto"/>
                <w:left w:val="none" w:sz="0" w:space="0" w:color="auto"/>
                <w:bottom w:val="none" w:sz="0" w:space="0" w:color="auto"/>
                <w:right w:val="none" w:sz="0" w:space="0" w:color="auto"/>
              </w:divBdr>
            </w:div>
          </w:divsChild>
        </w:div>
        <w:div w:id="1724715412">
          <w:marLeft w:val="0"/>
          <w:marRight w:val="0"/>
          <w:marTop w:val="0"/>
          <w:marBottom w:val="0"/>
          <w:divBdr>
            <w:top w:val="none" w:sz="0" w:space="0" w:color="auto"/>
            <w:left w:val="none" w:sz="0" w:space="0" w:color="auto"/>
            <w:bottom w:val="none" w:sz="0" w:space="0" w:color="auto"/>
            <w:right w:val="none" w:sz="0" w:space="0" w:color="auto"/>
          </w:divBdr>
          <w:divsChild>
            <w:div w:id="1631283196">
              <w:marLeft w:val="0"/>
              <w:marRight w:val="0"/>
              <w:marTop w:val="0"/>
              <w:marBottom w:val="0"/>
              <w:divBdr>
                <w:top w:val="none" w:sz="0" w:space="0" w:color="auto"/>
                <w:left w:val="none" w:sz="0" w:space="0" w:color="auto"/>
                <w:bottom w:val="none" w:sz="0" w:space="0" w:color="auto"/>
                <w:right w:val="none" w:sz="0" w:space="0" w:color="auto"/>
              </w:divBdr>
            </w:div>
          </w:divsChild>
        </w:div>
        <w:div w:id="1800342431">
          <w:marLeft w:val="0"/>
          <w:marRight w:val="0"/>
          <w:marTop w:val="0"/>
          <w:marBottom w:val="0"/>
          <w:divBdr>
            <w:top w:val="none" w:sz="0" w:space="0" w:color="auto"/>
            <w:left w:val="none" w:sz="0" w:space="0" w:color="auto"/>
            <w:bottom w:val="none" w:sz="0" w:space="0" w:color="auto"/>
            <w:right w:val="none" w:sz="0" w:space="0" w:color="auto"/>
          </w:divBdr>
          <w:divsChild>
            <w:div w:id="369379089">
              <w:marLeft w:val="0"/>
              <w:marRight w:val="0"/>
              <w:marTop w:val="0"/>
              <w:marBottom w:val="0"/>
              <w:divBdr>
                <w:top w:val="none" w:sz="0" w:space="0" w:color="auto"/>
                <w:left w:val="none" w:sz="0" w:space="0" w:color="auto"/>
                <w:bottom w:val="none" w:sz="0" w:space="0" w:color="auto"/>
                <w:right w:val="none" w:sz="0" w:space="0" w:color="auto"/>
              </w:divBdr>
            </w:div>
          </w:divsChild>
        </w:div>
        <w:div w:id="2005936141">
          <w:marLeft w:val="0"/>
          <w:marRight w:val="0"/>
          <w:marTop w:val="0"/>
          <w:marBottom w:val="0"/>
          <w:divBdr>
            <w:top w:val="none" w:sz="0" w:space="0" w:color="auto"/>
            <w:left w:val="none" w:sz="0" w:space="0" w:color="auto"/>
            <w:bottom w:val="none" w:sz="0" w:space="0" w:color="auto"/>
            <w:right w:val="none" w:sz="0" w:space="0" w:color="auto"/>
          </w:divBdr>
          <w:divsChild>
            <w:div w:id="1516382431">
              <w:marLeft w:val="0"/>
              <w:marRight w:val="0"/>
              <w:marTop w:val="0"/>
              <w:marBottom w:val="0"/>
              <w:divBdr>
                <w:top w:val="none" w:sz="0" w:space="0" w:color="auto"/>
                <w:left w:val="none" w:sz="0" w:space="0" w:color="auto"/>
                <w:bottom w:val="none" w:sz="0" w:space="0" w:color="auto"/>
                <w:right w:val="none" w:sz="0" w:space="0" w:color="auto"/>
              </w:divBdr>
            </w:div>
          </w:divsChild>
        </w:div>
        <w:div w:id="2010675180">
          <w:marLeft w:val="0"/>
          <w:marRight w:val="0"/>
          <w:marTop w:val="0"/>
          <w:marBottom w:val="0"/>
          <w:divBdr>
            <w:top w:val="none" w:sz="0" w:space="0" w:color="auto"/>
            <w:left w:val="none" w:sz="0" w:space="0" w:color="auto"/>
            <w:bottom w:val="none" w:sz="0" w:space="0" w:color="auto"/>
            <w:right w:val="none" w:sz="0" w:space="0" w:color="auto"/>
          </w:divBdr>
          <w:divsChild>
            <w:div w:id="141587083">
              <w:marLeft w:val="0"/>
              <w:marRight w:val="0"/>
              <w:marTop w:val="0"/>
              <w:marBottom w:val="0"/>
              <w:divBdr>
                <w:top w:val="none" w:sz="0" w:space="0" w:color="auto"/>
                <w:left w:val="none" w:sz="0" w:space="0" w:color="auto"/>
                <w:bottom w:val="none" w:sz="0" w:space="0" w:color="auto"/>
                <w:right w:val="none" w:sz="0" w:space="0" w:color="auto"/>
              </w:divBdr>
            </w:div>
          </w:divsChild>
        </w:div>
        <w:div w:id="2117941152">
          <w:marLeft w:val="0"/>
          <w:marRight w:val="0"/>
          <w:marTop w:val="0"/>
          <w:marBottom w:val="0"/>
          <w:divBdr>
            <w:top w:val="none" w:sz="0" w:space="0" w:color="auto"/>
            <w:left w:val="none" w:sz="0" w:space="0" w:color="auto"/>
            <w:bottom w:val="none" w:sz="0" w:space="0" w:color="auto"/>
            <w:right w:val="none" w:sz="0" w:space="0" w:color="auto"/>
          </w:divBdr>
          <w:divsChild>
            <w:div w:id="144927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475">
      <w:bodyDiv w:val="1"/>
      <w:marLeft w:val="0"/>
      <w:marRight w:val="0"/>
      <w:marTop w:val="0"/>
      <w:marBottom w:val="0"/>
      <w:divBdr>
        <w:top w:val="none" w:sz="0" w:space="0" w:color="auto"/>
        <w:left w:val="none" w:sz="0" w:space="0" w:color="auto"/>
        <w:bottom w:val="none" w:sz="0" w:space="0" w:color="auto"/>
        <w:right w:val="none" w:sz="0" w:space="0" w:color="auto"/>
      </w:divBdr>
      <w:divsChild>
        <w:div w:id="14501170">
          <w:marLeft w:val="0"/>
          <w:marRight w:val="0"/>
          <w:marTop w:val="0"/>
          <w:marBottom w:val="0"/>
          <w:divBdr>
            <w:top w:val="none" w:sz="0" w:space="0" w:color="auto"/>
            <w:left w:val="none" w:sz="0" w:space="0" w:color="auto"/>
            <w:bottom w:val="none" w:sz="0" w:space="0" w:color="auto"/>
            <w:right w:val="none" w:sz="0" w:space="0" w:color="auto"/>
          </w:divBdr>
        </w:div>
        <w:div w:id="24596016">
          <w:marLeft w:val="0"/>
          <w:marRight w:val="0"/>
          <w:marTop w:val="0"/>
          <w:marBottom w:val="0"/>
          <w:divBdr>
            <w:top w:val="none" w:sz="0" w:space="0" w:color="auto"/>
            <w:left w:val="none" w:sz="0" w:space="0" w:color="auto"/>
            <w:bottom w:val="none" w:sz="0" w:space="0" w:color="auto"/>
            <w:right w:val="none" w:sz="0" w:space="0" w:color="auto"/>
          </w:divBdr>
        </w:div>
        <w:div w:id="58677478">
          <w:marLeft w:val="0"/>
          <w:marRight w:val="0"/>
          <w:marTop w:val="0"/>
          <w:marBottom w:val="0"/>
          <w:divBdr>
            <w:top w:val="none" w:sz="0" w:space="0" w:color="auto"/>
            <w:left w:val="none" w:sz="0" w:space="0" w:color="auto"/>
            <w:bottom w:val="none" w:sz="0" w:space="0" w:color="auto"/>
            <w:right w:val="none" w:sz="0" w:space="0" w:color="auto"/>
          </w:divBdr>
        </w:div>
        <w:div w:id="97919765">
          <w:marLeft w:val="0"/>
          <w:marRight w:val="0"/>
          <w:marTop w:val="0"/>
          <w:marBottom w:val="0"/>
          <w:divBdr>
            <w:top w:val="none" w:sz="0" w:space="0" w:color="auto"/>
            <w:left w:val="none" w:sz="0" w:space="0" w:color="auto"/>
            <w:bottom w:val="none" w:sz="0" w:space="0" w:color="auto"/>
            <w:right w:val="none" w:sz="0" w:space="0" w:color="auto"/>
          </w:divBdr>
        </w:div>
        <w:div w:id="148131221">
          <w:marLeft w:val="0"/>
          <w:marRight w:val="0"/>
          <w:marTop w:val="0"/>
          <w:marBottom w:val="0"/>
          <w:divBdr>
            <w:top w:val="none" w:sz="0" w:space="0" w:color="auto"/>
            <w:left w:val="none" w:sz="0" w:space="0" w:color="auto"/>
            <w:bottom w:val="none" w:sz="0" w:space="0" w:color="auto"/>
            <w:right w:val="none" w:sz="0" w:space="0" w:color="auto"/>
          </w:divBdr>
        </w:div>
        <w:div w:id="285279497">
          <w:marLeft w:val="0"/>
          <w:marRight w:val="0"/>
          <w:marTop w:val="0"/>
          <w:marBottom w:val="0"/>
          <w:divBdr>
            <w:top w:val="none" w:sz="0" w:space="0" w:color="auto"/>
            <w:left w:val="none" w:sz="0" w:space="0" w:color="auto"/>
            <w:bottom w:val="none" w:sz="0" w:space="0" w:color="auto"/>
            <w:right w:val="none" w:sz="0" w:space="0" w:color="auto"/>
          </w:divBdr>
          <w:divsChild>
            <w:div w:id="250703019">
              <w:marLeft w:val="-75"/>
              <w:marRight w:val="0"/>
              <w:marTop w:val="30"/>
              <w:marBottom w:val="30"/>
              <w:divBdr>
                <w:top w:val="none" w:sz="0" w:space="0" w:color="auto"/>
                <w:left w:val="none" w:sz="0" w:space="0" w:color="auto"/>
                <w:bottom w:val="none" w:sz="0" w:space="0" w:color="auto"/>
                <w:right w:val="none" w:sz="0" w:space="0" w:color="auto"/>
              </w:divBdr>
              <w:divsChild>
                <w:div w:id="91632923">
                  <w:marLeft w:val="0"/>
                  <w:marRight w:val="0"/>
                  <w:marTop w:val="0"/>
                  <w:marBottom w:val="0"/>
                  <w:divBdr>
                    <w:top w:val="none" w:sz="0" w:space="0" w:color="auto"/>
                    <w:left w:val="none" w:sz="0" w:space="0" w:color="auto"/>
                    <w:bottom w:val="none" w:sz="0" w:space="0" w:color="auto"/>
                    <w:right w:val="none" w:sz="0" w:space="0" w:color="auto"/>
                  </w:divBdr>
                  <w:divsChild>
                    <w:div w:id="924192295">
                      <w:marLeft w:val="0"/>
                      <w:marRight w:val="0"/>
                      <w:marTop w:val="0"/>
                      <w:marBottom w:val="0"/>
                      <w:divBdr>
                        <w:top w:val="none" w:sz="0" w:space="0" w:color="auto"/>
                        <w:left w:val="none" w:sz="0" w:space="0" w:color="auto"/>
                        <w:bottom w:val="none" w:sz="0" w:space="0" w:color="auto"/>
                        <w:right w:val="none" w:sz="0" w:space="0" w:color="auto"/>
                      </w:divBdr>
                    </w:div>
                  </w:divsChild>
                </w:div>
                <w:div w:id="234978984">
                  <w:marLeft w:val="0"/>
                  <w:marRight w:val="0"/>
                  <w:marTop w:val="0"/>
                  <w:marBottom w:val="0"/>
                  <w:divBdr>
                    <w:top w:val="none" w:sz="0" w:space="0" w:color="auto"/>
                    <w:left w:val="none" w:sz="0" w:space="0" w:color="auto"/>
                    <w:bottom w:val="none" w:sz="0" w:space="0" w:color="auto"/>
                    <w:right w:val="none" w:sz="0" w:space="0" w:color="auto"/>
                  </w:divBdr>
                  <w:divsChild>
                    <w:div w:id="62994393">
                      <w:marLeft w:val="0"/>
                      <w:marRight w:val="0"/>
                      <w:marTop w:val="0"/>
                      <w:marBottom w:val="0"/>
                      <w:divBdr>
                        <w:top w:val="none" w:sz="0" w:space="0" w:color="auto"/>
                        <w:left w:val="none" w:sz="0" w:space="0" w:color="auto"/>
                        <w:bottom w:val="none" w:sz="0" w:space="0" w:color="auto"/>
                        <w:right w:val="none" w:sz="0" w:space="0" w:color="auto"/>
                      </w:divBdr>
                    </w:div>
                  </w:divsChild>
                </w:div>
                <w:div w:id="246964339">
                  <w:marLeft w:val="0"/>
                  <w:marRight w:val="0"/>
                  <w:marTop w:val="0"/>
                  <w:marBottom w:val="0"/>
                  <w:divBdr>
                    <w:top w:val="none" w:sz="0" w:space="0" w:color="auto"/>
                    <w:left w:val="none" w:sz="0" w:space="0" w:color="auto"/>
                    <w:bottom w:val="none" w:sz="0" w:space="0" w:color="auto"/>
                    <w:right w:val="none" w:sz="0" w:space="0" w:color="auto"/>
                  </w:divBdr>
                  <w:divsChild>
                    <w:div w:id="255407652">
                      <w:marLeft w:val="0"/>
                      <w:marRight w:val="0"/>
                      <w:marTop w:val="0"/>
                      <w:marBottom w:val="0"/>
                      <w:divBdr>
                        <w:top w:val="none" w:sz="0" w:space="0" w:color="auto"/>
                        <w:left w:val="none" w:sz="0" w:space="0" w:color="auto"/>
                        <w:bottom w:val="none" w:sz="0" w:space="0" w:color="auto"/>
                        <w:right w:val="none" w:sz="0" w:space="0" w:color="auto"/>
                      </w:divBdr>
                    </w:div>
                  </w:divsChild>
                </w:div>
                <w:div w:id="252397690">
                  <w:marLeft w:val="0"/>
                  <w:marRight w:val="0"/>
                  <w:marTop w:val="0"/>
                  <w:marBottom w:val="0"/>
                  <w:divBdr>
                    <w:top w:val="none" w:sz="0" w:space="0" w:color="auto"/>
                    <w:left w:val="none" w:sz="0" w:space="0" w:color="auto"/>
                    <w:bottom w:val="none" w:sz="0" w:space="0" w:color="auto"/>
                    <w:right w:val="none" w:sz="0" w:space="0" w:color="auto"/>
                  </w:divBdr>
                  <w:divsChild>
                    <w:div w:id="342436470">
                      <w:marLeft w:val="0"/>
                      <w:marRight w:val="0"/>
                      <w:marTop w:val="0"/>
                      <w:marBottom w:val="0"/>
                      <w:divBdr>
                        <w:top w:val="none" w:sz="0" w:space="0" w:color="auto"/>
                        <w:left w:val="none" w:sz="0" w:space="0" w:color="auto"/>
                        <w:bottom w:val="none" w:sz="0" w:space="0" w:color="auto"/>
                        <w:right w:val="none" w:sz="0" w:space="0" w:color="auto"/>
                      </w:divBdr>
                    </w:div>
                  </w:divsChild>
                </w:div>
                <w:div w:id="266498624">
                  <w:marLeft w:val="0"/>
                  <w:marRight w:val="0"/>
                  <w:marTop w:val="0"/>
                  <w:marBottom w:val="0"/>
                  <w:divBdr>
                    <w:top w:val="none" w:sz="0" w:space="0" w:color="auto"/>
                    <w:left w:val="none" w:sz="0" w:space="0" w:color="auto"/>
                    <w:bottom w:val="none" w:sz="0" w:space="0" w:color="auto"/>
                    <w:right w:val="none" w:sz="0" w:space="0" w:color="auto"/>
                  </w:divBdr>
                  <w:divsChild>
                    <w:div w:id="249000141">
                      <w:marLeft w:val="0"/>
                      <w:marRight w:val="0"/>
                      <w:marTop w:val="0"/>
                      <w:marBottom w:val="0"/>
                      <w:divBdr>
                        <w:top w:val="none" w:sz="0" w:space="0" w:color="auto"/>
                        <w:left w:val="none" w:sz="0" w:space="0" w:color="auto"/>
                        <w:bottom w:val="none" w:sz="0" w:space="0" w:color="auto"/>
                        <w:right w:val="none" w:sz="0" w:space="0" w:color="auto"/>
                      </w:divBdr>
                    </w:div>
                  </w:divsChild>
                </w:div>
                <w:div w:id="322971618">
                  <w:marLeft w:val="0"/>
                  <w:marRight w:val="0"/>
                  <w:marTop w:val="0"/>
                  <w:marBottom w:val="0"/>
                  <w:divBdr>
                    <w:top w:val="none" w:sz="0" w:space="0" w:color="auto"/>
                    <w:left w:val="none" w:sz="0" w:space="0" w:color="auto"/>
                    <w:bottom w:val="none" w:sz="0" w:space="0" w:color="auto"/>
                    <w:right w:val="none" w:sz="0" w:space="0" w:color="auto"/>
                  </w:divBdr>
                  <w:divsChild>
                    <w:div w:id="447894638">
                      <w:marLeft w:val="0"/>
                      <w:marRight w:val="0"/>
                      <w:marTop w:val="0"/>
                      <w:marBottom w:val="0"/>
                      <w:divBdr>
                        <w:top w:val="none" w:sz="0" w:space="0" w:color="auto"/>
                        <w:left w:val="none" w:sz="0" w:space="0" w:color="auto"/>
                        <w:bottom w:val="none" w:sz="0" w:space="0" w:color="auto"/>
                        <w:right w:val="none" w:sz="0" w:space="0" w:color="auto"/>
                      </w:divBdr>
                    </w:div>
                  </w:divsChild>
                </w:div>
                <w:div w:id="621616097">
                  <w:marLeft w:val="0"/>
                  <w:marRight w:val="0"/>
                  <w:marTop w:val="0"/>
                  <w:marBottom w:val="0"/>
                  <w:divBdr>
                    <w:top w:val="none" w:sz="0" w:space="0" w:color="auto"/>
                    <w:left w:val="none" w:sz="0" w:space="0" w:color="auto"/>
                    <w:bottom w:val="none" w:sz="0" w:space="0" w:color="auto"/>
                    <w:right w:val="none" w:sz="0" w:space="0" w:color="auto"/>
                  </w:divBdr>
                  <w:divsChild>
                    <w:div w:id="1391419943">
                      <w:marLeft w:val="0"/>
                      <w:marRight w:val="0"/>
                      <w:marTop w:val="0"/>
                      <w:marBottom w:val="0"/>
                      <w:divBdr>
                        <w:top w:val="none" w:sz="0" w:space="0" w:color="auto"/>
                        <w:left w:val="none" w:sz="0" w:space="0" w:color="auto"/>
                        <w:bottom w:val="none" w:sz="0" w:space="0" w:color="auto"/>
                        <w:right w:val="none" w:sz="0" w:space="0" w:color="auto"/>
                      </w:divBdr>
                    </w:div>
                  </w:divsChild>
                </w:div>
                <w:div w:id="935283872">
                  <w:marLeft w:val="0"/>
                  <w:marRight w:val="0"/>
                  <w:marTop w:val="0"/>
                  <w:marBottom w:val="0"/>
                  <w:divBdr>
                    <w:top w:val="none" w:sz="0" w:space="0" w:color="auto"/>
                    <w:left w:val="none" w:sz="0" w:space="0" w:color="auto"/>
                    <w:bottom w:val="none" w:sz="0" w:space="0" w:color="auto"/>
                    <w:right w:val="none" w:sz="0" w:space="0" w:color="auto"/>
                  </w:divBdr>
                  <w:divsChild>
                    <w:div w:id="842432499">
                      <w:marLeft w:val="0"/>
                      <w:marRight w:val="0"/>
                      <w:marTop w:val="0"/>
                      <w:marBottom w:val="0"/>
                      <w:divBdr>
                        <w:top w:val="none" w:sz="0" w:space="0" w:color="auto"/>
                        <w:left w:val="none" w:sz="0" w:space="0" w:color="auto"/>
                        <w:bottom w:val="none" w:sz="0" w:space="0" w:color="auto"/>
                        <w:right w:val="none" w:sz="0" w:space="0" w:color="auto"/>
                      </w:divBdr>
                    </w:div>
                  </w:divsChild>
                </w:div>
                <w:div w:id="950816892">
                  <w:marLeft w:val="0"/>
                  <w:marRight w:val="0"/>
                  <w:marTop w:val="0"/>
                  <w:marBottom w:val="0"/>
                  <w:divBdr>
                    <w:top w:val="none" w:sz="0" w:space="0" w:color="auto"/>
                    <w:left w:val="none" w:sz="0" w:space="0" w:color="auto"/>
                    <w:bottom w:val="none" w:sz="0" w:space="0" w:color="auto"/>
                    <w:right w:val="none" w:sz="0" w:space="0" w:color="auto"/>
                  </w:divBdr>
                  <w:divsChild>
                    <w:div w:id="1872954970">
                      <w:marLeft w:val="0"/>
                      <w:marRight w:val="0"/>
                      <w:marTop w:val="0"/>
                      <w:marBottom w:val="0"/>
                      <w:divBdr>
                        <w:top w:val="none" w:sz="0" w:space="0" w:color="auto"/>
                        <w:left w:val="none" w:sz="0" w:space="0" w:color="auto"/>
                        <w:bottom w:val="none" w:sz="0" w:space="0" w:color="auto"/>
                        <w:right w:val="none" w:sz="0" w:space="0" w:color="auto"/>
                      </w:divBdr>
                    </w:div>
                  </w:divsChild>
                </w:div>
                <w:div w:id="1056440892">
                  <w:marLeft w:val="0"/>
                  <w:marRight w:val="0"/>
                  <w:marTop w:val="0"/>
                  <w:marBottom w:val="0"/>
                  <w:divBdr>
                    <w:top w:val="none" w:sz="0" w:space="0" w:color="auto"/>
                    <w:left w:val="none" w:sz="0" w:space="0" w:color="auto"/>
                    <w:bottom w:val="none" w:sz="0" w:space="0" w:color="auto"/>
                    <w:right w:val="none" w:sz="0" w:space="0" w:color="auto"/>
                  </w:divBdr>
                  <w:divsChild>
                    <w:div w:id="867790350">
                      <w:marLeft w:val="0"/>
                      <w:marRight w:val="0"/>
                      <w:marTop w:val="0"/>
                      <w:marBottom w:val="0"/>
                      <w:divBdr>
                        <w:top w:val="none" w:sz="0" w:space="0" w:color="auto"/>
                        <w:left w:val="none" w:sz="0" w:space="0" w:color="auto"/>
                        <w:bottom w:val="none" w:sz="0" w:space="0" w:color="auto"/>
                        <w:right w:val="none" w:sz="0" w:space="0" w:color="auto"/>
                      </w:divBdr>
                    </w:div>
                  </w:divsChild>
                </w:div>
                <w:div w:id="1150290989">
                  <w:marLeft w:val="0"/>
                  <w:marRight w:val="0"/>
                  <w:marTop w:val="0"/>
                  <w:marBottom w:val="0"/>
                  <w:divBdr>
                    <w:top w:val="none" w:sz="0" w:space="0" w:color="auto"/>
                    <w:left w:val="none" w:sz="0" w:space="0" w:color="auto"/>
                    <w:bottom w:val="none" w:sz="0" w:space="0" w:color="auto"/>
                    <w:right w:val="none" w:sz="0" w:space="0" w:color="auto"/>
                  </w:divBdr>
                  <w:divsChild>
                    <w:div w:id="915476489">
                      <w:marLeft w:val="0"/>
                      <w:marRight w:val="0"/>
                      <w:marTop w:val="0"/>
                      <w:marBottom w:val="0"/>
                      <w:divBdr>
                        <w:top w:val="none" w:sz="0" w:space="0" w:color="auto"/>
                        <w:left w:val="none" w:sz="0" w:space="0" w:color="auto"/>
                        <w:bottom w:val="none" w:sz="0" w:space="0" w:color="auto"/>
                        <w:right w:val="none" w:sz="0" w:space="0" w:color="auto"/>
                      </w:divBdr>
                    </w:div>
                  </w:divsChild>
                </w:div>
                <w:div w:id="1171607435">
                  <w:marLeft w:val="0"/>
                  <w:marRight w:val="0"/>
                  <w:marTop w:val="0"/>
                  <w:marBottom w:val="0"/>
                  <w:divBdr>
                    <w:top w:val="none" w:sz="0" w:space="0" w:color="auto"/>
                    <w:left w:val="none" w:sz="0" w:space="0" w:color="auto"/>
                    <w:bottom w:val="none" w:sz="0" w:space="0" w:color="auto"/>
                    <w:right w:val="none" w:sz="0" w:space="0" w:color="auto"/>
                  </w:divBdr>
                  <w:divsChild>
                    <w:div w:id="528957606">
                      <w:marLeft w:val="0"/>
                      <w:marRight w:val="0"/>
                      <w:marTop w:val="0"/>
                      <w:marBottom w:val="0"/>
                      <w:divBdr>
                        <w:top w:val="none" w:sz="0" w:space="0" w:color="auto"/>
                        <w:left w:val="none" w:sz="0" w:space="0" w:color="auto"/>
                        <w:bottom w:val="none" w:sz="0" w:space="0" w:color="auto"/>
                        <w:right w:val="none" w:sz="0" w:space="0" w:color="auto"/>
                      </w:divBdr>
                    </w:div>
                  </w:divsChild>
                </w:div>
                <w:div w:id="1326588035">
                  <w:marLeft w:val="0"/>
                  <w:marRight w:val="0"/>
                  <w:marTop w:val="0"/>
                  <w:marBottom w:val="0"/>
                  <w:divBdr>
                    <w:top w:val="none" w:sz="0" w:space="0" w:color="auto"/>
                    <w:left w:val="none" w:sz="0" w:space="0" w:color="auto"/>
                    <w:bottom w:val="none" w:sz="0" w:space="0" w:color="auto"/>
                    <w:right w:val="none" w:sz="0" w:space="0" w:color="auto"/>
                  </w:divBdr>
                  <w:divsChild>
                    <w:div w:id="1640843181">
                      <w:marLeft w:val="0"/>
                      <w:marRight w:val="0"/>
                      <w:marTop w:val="0"/>
                      <w:marBottom w:val="0"/>
                      <w:divBdr>
                        <w:top w:val="none" w:sz="0" w:space="0" w:color="auto"/>
                        <w:left w:val="none" w:sz="0" w:space="0" w:color="auto"/>
                        <w:bottom w:val="none" w:sz="0" w:space="0" w:color="auto"/>
                        <w:right w:val="none" w:sz="0" w:space="0" w:color="auto"/>
                      </w:divBdr>
                    </w:div>
                  </w:divsChild>
                </w:div>
                <w:div w:id="1361974358">
                  <w:marLeft w:val="0"/>
                  <w:marRight w:val="0"/>
                  <w:marTop w:val="0"/>
                  <w:marBottom w:val="0"/>
                  <w:divBdr>
                    <w:top w:val="none" w:sz="0" w:space="0" w:color="auto"/>
                    <w:left w:val="none" w:sz="0" w:space="0" w:color="auto"/>
                    <w:bottom w:val="none" w:sz="0" w:space="0" w:color="auto"/>
                    <w:right w:val="none" w:sz="0" w:space="0" w:color="auto"/>
                  </w:divBdr>
                  <w:divsChild>
                    <w:div w:id="1025794107">
                      <w:marLeft w:val="0"/>
                      <w:marRight w:val="0"/>
                      <w:marTop w:val="0"/>
                      <w:marBottom w:val="0"/>
                      <w:divBdr>
                        <w:top w:val="none" w:sz="0" w:space="0" w:color="auto"/>
                        <w:left w:val="none" w:sz="0" w:space="0" w:color="auto"/>
                        <w:bottom w:val="none" w:sz="0" w:space="0" w:color="auto"/>
                        <w:right w:val="none" w:sz="0" w:space="0" w:color="auto"/>
                      </w:divBdr>
                    </w:div>
                  </w:divsChild>
                </w:div>
                <w:div w:id="1362823315">
                  <w:marLeft w:val="0"/>
                  <w:marRight w:val="0"/>
                  <w:marTop w:val="0"/>
                  <w:marBottom w:val="0"/>
                  <w:divBdr>
                    <w:top w:val="none" w:sz="0" w:space="0" w:color="auto"/>
                    <w:left w:val="none" w:sz="0" w:space="0" w:color="auto"/>
                    <w:bottom w:val="none" w:sz="0" w:space="0" w:color="auto"/>
                    <w:right w:val="none" w:sz="0" w:space="0" w:color="auto"/>
                  </w:divBdr>
                  <w:divsChild>
                    <w:div w:id="590820498">
                      <w:marLeft w:val="0"/>
                      <w:marRight w:val="0"/>
                      <w:marTop w:val="0"/>
                      <w:marBottom w:val="0"/>
                      <w:divBdr>
                        <w:top w:val="none" w:sz="0" w:space="0" w:color="auto"/>
                        <w:left w:val="none" w:sz="0" w:space="0" w:color="auto"/>
                        <w:bottom w:val="none" w:sz="0" w:space="0" w:color="auto"/>
                        <w:right w:val="none" w:sz="0" w:space="0" w:color="auto"/>
                      </w:divBdr>
                    </w:div>
                  </w:divsChild>
                </w:div>
                <w:div w:id="1423796949">
                  <w:marLeft w:val="0"/>
                  <w:marRight w:val="0"/>
                  <w:marTop w:val="0"/>
                  <w:marBottom w:val="0"/>
                  <w:divBdr>
                    <w:top w:val="none" w:sz="0" w:space="0" w:color="auto"/>
                    <w:left w:val="none" w:sz="0" w:space="0" w:color="auto"/>
                    <w:bottom w:val="none" w:sz="0" w:space="0" w:color="auto"/>
                    <w:right w:val="none" w:sz="0" w:space="0" w:color="auto"/>
                  </w:divBdr>
                  <w:divsChild>
                    <w:div w:id="1388530428">
                      <w:marLeft w:val="0"/>
                      <w:marRight w:val="0"/>
                      <w:marTop w:val="0"/>
                      <w:marBottom w:val="0"/>
                      <w:divBdr>
                        <w:top w:val="none" w:sz="0" w:space="0" w:color="auto"/>
                        <w:left w:val="none" w:sz="0" w:space="0" w:color="auto"/>
                        <w:bottom w:val="none" w:sz="0" w:space="0" w:color="auto"/>
                        <w:right w:val="none" w:sz="0" w:space="0" w:color="auto"/>
                      </w:divBdr>
                    </w:div>
                  </w:divsChild>
                </w:div>
                <w:div w:id="1453860586">
                  <w:marLeft w:val="0"/>
                  <w:marRight w:val="0"/>
                  <w:marTop w:val="0"/>
                  <w:marBottom w:val="0"/>
                  <w:divBdr>
                    <w:top w:val="none" w:sz="0" w:space="0" w:color="auto"/>
                    <w:left w:val="none" w:sz="0" w:space="0" w:color="auto"/>
                    <w:bottom w:val="none" w:sz="0" w:space="0" w:color="auto"/>
                    <w:right w:val="none" w:sz="0" w:space="0" w:color="auto"/>
                  </w:divBdr>
                  <w:divsChild>
                    <w:div w:id="44372201">
                      <w:marLeft w:val="0"/>
                      <w:marRight w:val="0"/>
                      <w:marTop w:val="0"/>
                      <w:marBottom w:val="0"/>
                      <w:divBdr>
                        <w:top w:val="none" w:sz="0" w:space="0" w:color="auto"/>
                        <w:left w:val="none" w:sz="0" w:space="0" w:color="auto"/>
                        <w:bottom w:val="none" w:sz="0" w:space="0" w:color="auto"/>
                        <w:right w:val="none" w:sz="0" w:space="0" w:color="auto"/>
                      </w:divBdr>
                    </w:div>
                  </w:divsChild>
                </w:div>
                <w:div w:id="1504777785">
                  <w:marLeft w:val="0"/>
                  <w:marRight w:val="0"/>
                  <w:marTop w:val="0"/>
                  <w:marBottom w:val="0"/>
                  <w:divBdr>
                    <w:top w:val="none" w:sz="0" w:space="0" w:color="auto"/>
                    <w:left w:val="none" w:sz="0" w:space="0" w:color="auto"/>
                    <w:bottom w:val="none" w:sz="0" w:space="0" w:color="auto"/>
                    <w:right w:val="none" w:sz="0" w:space="0" w:color="auto"/>
                  </w:divBdr>
                  <w:divsChild>
                    <w:div w:id="1367294816">
                      <w:marLeft w:val="0"/>
                      <w:marRight w:val="0"/>
                      <w:marTop w:val="0"/>
                      <w:marBottom w:val="0"/>
                      <w:divBdr>
                        <w:top w:val="none" w:sz="0" w:space="0" w:color="auto"/>
                        <w:left w:val="none" w:sz="0" w:space="0" w:color="auto"/>
                        <w:bottom w:val="none" w:sz="0" w:space="0" w:color="auto"/>
                        <w:right w:val="none" w:sz="0" w:space="0" w:color="auto"/>
                      </w:divBdr>
                    </w:div>
                  </w:divsChild>
                </w:div>
                <w:div w:id="1555314033">
                  <w:marLeft w:val="0"/>
                  <w:marRight w:val="0"/>
                  <w:marTop w:val="0"/>
                  <w:marBottom w:val="0"/>
                  <w:divBdr>
                    <w:top w:val="none" w:sz="0" w:space="0" w:color="auto"/>
                    <w:left w:val="none" w:sz="0" w:space="0" w:color="auto"/>
                    <w:bottom w:val="none" w:sz="0" w:space="0" w:color="auto"/>
                    <w:right w:val="none" w:sz="0" w:space="0" w:color="auto"/>
                  </w:divBdr>
                  <w:divsChild>
                    <w:div w:id="1854764713">
                      <w:marLeft w:val="0"/>
                      <w:marRight w:val="0"/>
                      <w:marTop w:val="0"/>
                      <w:marBottom w:val="0"/>
                      <w:divBdr>
                        <w:top w:val="none" w:sz="0" w:space="0" w:color="auto"/>
                        <w:left w:val="none" w:sz="0" w:space="0" w:color="auto"/>
                        <w:bottom w:val="none" w:sz="0" w:space="0" w:color="auto"/>
                        <w:right w:val="none" w:sz="0" w:space="0" w:color="auto"/>
                      </w:divBdr>
                    </w:div>
                  </w:divsChild>
                </w:div>
                <w:div w:id="1583566272">
                  <w:marLeft w:val="0"/>
                  <w:marRight w:val="0"/>
                  <w:marTop w:val="0"/>
                  <w:marBottom w:val="0"/>
                  <w:divBdr>
                    <w:top w:val="none" w:sz="0" w:space="0" w:color="auto"/>
                    <w:left w:val="none" w:sz="0" w:space="0" w:color="auto"/>
                    <w:bottom w:val="none" w:sz="0" w:space="0" w:color="auto"/>
                    <w:right w:val="none" w:sz="0" w:space="0" w:color="auto"/>
                  </w:divBdr>
                  <w:divsChild>
                    <w:div w:id="661196550">
                      <w:marLeft w:val="0"/>
                      <w:marRight w:val="0"/>
                      <w:marTop w:val="0"/>
                      <w:marBottom w:val="0"/>
                      <w:divBdr>
                        <w:top w:val="none" w:sz="0" w:space="0" w:color="auto"/>
                        <w:left w:val="none" w:sz="0" w:space="0" w:color="auto"/>
                        <w:bottom w:val="none" w:sz="0" w:space="0" w:color="auto"/>
                        <w:right w:val="none" w:sz="0" w:space="0" w:color="auto"/>
                      </w:divBdr>
                    </w:div>
                  </w:divsChild>
                </w:div>
                <w:div w:id="1647514734">
                  <w:marLeft w:val="0"/>
                  <w:marRight w:val="0"/>
                  <w:marTop w:val="0"/>
                  <w:marBottom w:val="0"/>
                  <w:divBdr>
                    <w:top w:val="none" w:sz="0" w:space="0" w:color="auto"/>
                    <w:left w:val="none" w:sz="0" w:space="0" w:color="auto"/>
                    <w:bottom w:val="none" w:sz="0" w:space="0" w:color="auto"/>
                    <w:right w:val="none" w:sz="0" w:space="0" w:color="auto"/>
                  </w:divBdr>
                  <w:divsChild>
                    <w:div w:id="1652060063">
                      <w:marLeft w:val="0"/>
                      <w:marRight w:val="0"/>
                      <w:marTop w:val="0"/>
                      <w:marBottom w:val="0"/>
                      <w:divBdr>
                        <w:top w:val="none" w:sz="0" w:space="0" w:color="auto"/>
                        <w:left w:val="none" w:sz="0" w:space="0" w:color="auto"/>
                        <w:bottom w:val="none" w:sz="0" w:space="0" w:color="auto"/>
                        <w:right w:val="none" w:sz="0" w:space="0" w:color="auto"/>
                      </w:divBdr>
                    </w:div>
                  </w:divsChild>
                </w:div>
                <w:div w:id="1669752511">
                  <w:marLeft w:val="0"/>
                  <w:marRight w:val="0"/>
                  <w:marTop w:val="0"/>
                  <w:marBottom w:val="0"/>
                  <w:divBdr>
                    <w:top w:val="none" w:sz="0" w:space="0" w:color="auto"/>
                    <w:left w:val="none" w:sz="0" w:space="0" w:color="auto"/>
                    <w:bottom w:val="none" w:sz="0" w:space="0" w:color="auto"/>
                    <w:right w:val="none" w:sz="0" w:space="0" w:color="auto"/>
                  </w:divBdr>
                  <w:divsChild>
                    <w:div w:id="2051419425">
                      <w:marLeft w:val="0"/>
                      <w:marRight w:val="0"/>
                      <w:marTop w:val="0"/>
                      <w:marBottom w:val="0"/>
                      <w:divBdr>
                        <w:top w:val="none" w:sz="0" w:space="0" w:color="auto"/>
                        <w:left w:val="none" w:sz="0" w:space="0" w:color="auto"/>
                        <w:bottom w:val="none" w:sz="0" w:space="0" w:color="auto"/>
                        <w:right w:val="none" w:sz="0" w:space="0" w:color="auto"/>
                      </w:divBdr>
                    </w:div>
                  </w:divsChild>
                </w:div>
                <w:div w:id="1759788401">
                  <w:marLeft w:val="0"/>
                  <w:marRight w:val="0"/>
                  <w:marTop w:val="0"/>
                  <w:marBottom w:val="0"/>
                  <w:divBdr>
                    <w:top w:val="none" w:sz="0" w:space="0" w:color="auto"/>
                    <w:left w:val="none" w:sz="0" w:space="0" w:color="auto"/>
                    <w:bottom w:val="none" w:sz="0" w:space="0" w:color="auto"/>
                    <w:right w:val="none" w:sz="0" w:space="0" w:color="auto"/>
                  </w:divBdr>
                  <w:divsChild>
                    <w:div w:id="800878909">
                      <w:marLeft w:val="0"/>
                      <w:marRight w:val="0"/>
                      <w:marTop w:val="0"/>
                      <w:marBottom w:val="0"/>
                      <w:divBdr>
                        <w:top w:val="none" w:sz="0" w:space="0" w:color="auto"/>
                        <w:left w:val="none" w:sz="0" w:space="0" w:color="auto"/>
                        <w:bottom w:val="none" w:sz="0" w:space="0" w:color="auto"/>
                        <w:right w:val="none" w:sz="0" w:space="0" w:color="auto"/>
                      </w:divBdr>
                    </w:div>
                  </w:divsChild>
                </w:div>
                <w:div w:id="1999964943">
                  <w:marLeft w:val="0"/>
                  <w:marRight w:val="0"/>
                  <w:marTop w:val="0"/>
                  <w:marBottom w:val="0"/>
                  <w:divBdr>
                    <w:top w:val="none" w:sz="0" w:space="0" w:color="auto"/>
                    <w:left w:val="none" w:sz="0" w:space="0" w:color="auto"/>
                    <w:bottom w:val="none" w:sz="0" w:space="0" w:color="auto"/>
                    <w:right w:val="none" w:sz="0" w:space="0" w:color="auto"/>
                  </w:divBdr>
                  <w:divsChild>
                    <w:div w:id="3713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3768">
          <w:marLeft w:val="0"/>
          <w:marRight w:val="0"/>
          <w:marTop w:val="0"/>
          <w:marBottom w:val="0"/>
          <w:divBdr>
            <w:top w:val="none" w:sz="0" w:space="0" w:color="auto"/>
            <w:left w:val="none" w:sz="0" w:space="0" w:color="auto"/>
            <w:bottom w:val="none" w:sz="0" w:space="0" w:color="auto"/>
            <w:right w:val="none" w:sz="0" w:space="0" w:color="auto"/>
          </w:divBdr>
        </w:div>
        <w:div w:id="344405900">
          <w:marLeft w:val="0"/>
          <w:marRight w:val="0"/>
          <w:marTop w:val="0"/>
          <w:marBottom w:val="0"/>
          <w:divBdr>
            <w:top w:val="none" w:sz="0" w:space="0" w:color="auto"/>
            <w:left w:val="none" w:sz="0" w:space="0" w:color="auto"/>
            <w:bottom w:val="none" w:sz="0" w:space="0" w:color="auto"/>
            <w:right w:val="none" w:sz="0" w:space="0" w:color="auto"/>
          </w:divBdr>
        </w:div>
        <w:div w:id="361903076">
          <w:marLeft w:val="0"/>
          <w:marRight w:val="0"/>
          <w:marTop w:val="0"/>
          <w:marBottom w:val="0"/>
          <w:divBdr>
            <w:top w:val="none" w:sz="0" w:space="0" w:color="auto"/>
            <w:left w:val="none" w:sz="0" w:space="0" w:color="auto"/>
            <w:bottom w:val="none" w:sz="0" w:space="0" w:color="auto"/>
            <w:right w:val="none" w:sz="0" w:space="0" w:color="auto"/>
          </w:divBdr>
        </w:div>
        <w:div w:id="402066982">
          <w:marLeft w:val="0"/>
          <w:marRight w:val="0"/>
          <w:marTop w:val="0"/>
          <w:marBottom w:val="0"/>
          <w:divBdr>
            <w:top w:val="none" w:sz="0" w:space="0" w:color="auto"/>
            <w:left w:val="none" w:sz="0" w:space="0" w:color="auto"/>
            <w:bottom w:val="none" w:sz="0" w:space="0" w:color="auto"/>
            <w:right w:val="none" w:sz="0" w:space="0" w:color="auto"/>
          </w:divBdr>
        </w:div>
        <w:div w:id="428738979">
          <w:marLeft w:val="0"/>
          <w:marRight w:val="0"/>
          <w:marTop w:val="0"/>
          <w:marBottom w:val="0"/>
          <w:divBdr>
            <w:top w:val="none" w:sz="0" w:space="0" w:color="auto"/>
            <w:left w:val="none" w:sz="0" w:space="0" w:color="auto"/>
            <w:bottom w:val="none" w:sz="0" w:space="0" w:color="auto"/>
            <w:right w:val="none" w:sz="0" w:space="0" w:color="auto"/>
          </w:divBdr>
        </w:div>
        <w:div w:id="496195049">
          <w:marLeft w:val="0"/>
          <w:marRight w:val="0"/>
          <w:marTop w:val="0"/>
          <w:marBottom w:val="0"/>
          <w:divBdr>
            <w:top w:val="none" w:sz="0" w:space="0" w:color="auto"/>
            <w:left w:val="none" w:sz="0" w:space="0" w:color="auto"/>
            <w:bottom w:val="none" w:sz="0" w:space="0" w:color="auto"/>
            <w:right w:val="none" w:sz="0" w:space="0" w:color="auto"/>
          </w:divBdr>
        </w:div>
        <w:div w:id="506948511">
          <w:marLeft w:val="0"/>
          <w:marRight w:val="0"/>
          <w:marTop w:val="0"/>
          <w:marBottom w:val="0"/>
          <w:divBdr>
            <w:top w:val="none" w:sz="0" w:space="0" w:color="auto"/>
            <w:left w:val="none" w:sz="0" w:space="0" w:color="auto"/>
            <w:bottom w:val="none" w:sz="0" w:space="0" w:color="auto"/>
            <w:right w:val="none" w:sz="0" w:space="0" w:color="auto"/>
          </w:divBdr>
        </w:div>
        <w:div w:id="513958610">
          <w:marLeft w:val="0"/>
          <w:marRight w:val="0"/>
          <w:marTop w:val="0"/>
          <w:marBottom w:val="0"/>
          <w:divBdr>
            <w:top w:val="none" w:sz="0" w:space="0" w:color="auto"/>
            <w:left w:val="none" w:sz="0" w:space="0" w:color="auto"/>
            <w:bottom w:val="none" w:sz="0" w:space="0" w:color="auto"/>
            <w:right w:val="none" w:sz="0" w:space="0" w:color="auto"/>
          </w:divBdr>
        </w:div>
        <w:div w:id="533467262">
          <w:marLeft w:val="0"/>
          <w:marRight w:val="0"/>
          <w:marTop w:val="0"/>
          <w:marBottom w:val="0"/>
          <w:divBdr>
            <w:top w:val="none" w:sz="0" w:space="0" w:color="auto"/>
            <w:left w:val="none" w:sz="0" w:space="0" w:color="auto"/>
            <w:bottom w:val="none" w:sz="0" w:space="0" w:color="auto"/>
            <w:right w:val="none" w:sz="0" w:space="0" w:color="auto"/>
          </w:divBdr>
        </w:div>
        <w:div w:id="727068210">
          <w:marLeft w:val="0"/>
          <w:marRight w:val="0"/>
          <w:marTop w:val="0"/>
          <w:marBottom w:val="0"/>
          <w:divBdr>
            <w:top w:val="none" w:sz="0" w:space="0" w:color="auto"/>
            <w:left w:val="none" w:sz="0" w:space="0" w:color="auto"/>
            <w:bottom w:val="none" w:sz="0" w:space="0" w:color="auto"/>
            <w:right w:val="none" w:sz="0" w:space="0" w:color="auto"/>
          </w:divBdr>
        </w:div>
        <w:div w:id="767850005">
          <w:marLeft w:val="0"/>
          <w:marRight w:val="0"/>
          <w:marTop w:val="0"/>
          <w:marBottom w:val="0"/>
          <w:divBdr>
            <w:top w:val="none" w:sz="0" w:space="0" w:color="auto"/>
            <w:left w:val="none" w:sz="0" w:space="0" w:color="auto"/>
            <w:bottom w:val="none" w:sz="0" w:space="0" w:color="auto"/>
            <w:right w:val="none" w:sz="0" w:space="0" w:color="auto"/>
          </w:divBdr>
        </w:div>
        <w:div w:id="793863054">
          <w:marLeft w:val="0"/>
          <w:marRight w:val="0"/>
          <w:marTop w:val="0"/>
          <w:marBottom w:val="0"/>
          <w:divBdr>
            <w:top w:val="none" w:sz="0" w:space="0" w:color="auto"/>
            <w:left w:val="none" w:sz="0" w:space="0" w:color="auto"/>
            <w:bottom w:val="none" w:sz="0" w:space="0" w:color="auto"/>
            <w:right w:val="none" w:sz="0" w:space="0" w:color="auto"/>
          </w:divBdr>
        </w:div>
        <w:div w:id="809982524">
          <w:marLeft w:val="0"/>
          <w:marRight w:val="0"/>
          <w:marTop w:val="0"/>
          <w:marBottom w:val="0"/>
          <w:divBdr>
            <w:top w:val="none" w:sz="0" w:space="0" w:color="auto"/>
            <w:left w:val="none" w:sz="0" w:space="0" w:color="auto"/>
            <w:bottom w:val="none" w:sz="0" w:space="0" w:color="auto"/>
            <w:right w:val="none" w:sz="0" w:space="0" w:color="auto"/>
          </w:divBdr>
        </w:div>
        <w:div w:id="830759303">
          <w:marLeft w:val="0"/>
          <w:marRight w:val="0"/>
          <w:marTop w:val="0"/>
          <w:marBottom w:val="0"/>
          <w:divBdr>
            <w:top w:val="none" w:sz="0" w:space="0" w:color="auto"/>
            <w:left w:val="none" w:sz="0" w:space="0" w:color="auto"/>
            <w:bottom w:val="none" w:sz="0" w:space="0" w:color="auto"/>
            <w:right w:val="none" w:sz="0" w:space="0" w:color="auto"/>
          </w:divBdr>
        </w:div>
        <w:div w:id="849225148">
          <w:marLeft w:val="0"/>
          <w:marRight w:val="0"/>
          <w:marTop w:val="0"/>
          <w:marBottom w:val="0"/>
          <w:divBdr>
            <w:top w:val="none" w:sz="0" w:space="0" w:color="auto"/>
            <w:left w:val="none" w:sz="0" w:space="0" w:color="auto"/>
            <w:bottom w:val="none" w:sz="0" w:space="0" w:color="auto"/>
            <w:right w:val="none" w:sz="0" w:space="0" w:color="auto"/>
          </w:divBdr>
        </w:div>
        <w:div w:id="895974779">
          <w:marLeft w:val="0"/>
          <w:marRight w:val="0"/>
          <w:marTop w:val="0"/>
          <w:marBottom w:val="0"/>
          <w:divBdr>
            <w:top w:val="none" w:sz="0" w:space="0" w:color="auto"/>
            <w:left w:val="none" w:sz="0" w:space="0" w:color="auto"/>
            <w:bottom w:val="none" w:sz="0" w:space="0" w:color="auto"/>
            <w:right w:val="none" w:sz="0" w:space="0" w:color="auto"/>
          </w:divBdr>
        </w:div>
        <w:div w:id="926353601">
          <w:marLeft w:val="0"/>
          <w:marRight w:val="0"/>
          <w:marTop w:val="0"/>
          <w:marBottom w:val="0"/>
          <w:divBdr>
            <w:top w:val="none" w:sz="0" w:space="0" w:color="auto"/>
            <w:left w:val="none" w:sz="0" w:space="0" w:color="auto"/>
            <w:bottom w:val="none" w:sz="0" w:space="0" w:color="auto"/>
            <w:right w:val="none" w:sz="0" w:space="0" w:color="auto"/>
          </w:divBdr>
        </w:div>
        <w:div w:id="961152762">
          <w:marLeft w:val="0"/>
          <w:marRight w:val="0"/>
          <w:marTop w:val="0"/>
          <w:marBottom w:val="0"/>
          <w:divBdr>
            <w:top w:val="none" w:sz="0" w:space="0" w:color="auto"/>
            <w:left w:val="none" w:sz="0" w:space="0" w:color="auto"/>
            <w:bottom w:val="none" w:sz="0" w:space="0" w:color="auto"/>
            <w:right w:val="none" w:sz="0" w:space="0" w:color="auto"/>
          </w:divBdr>
        </w:div>
        <w:div w:id="1028021139">
          <w:marLeft w:val="0"/>
          <w:marRight w:val="0"/>
          <w:marTop w:val="0"/>
          <w:marBottom w:val="0"/>
          <w:divBdr>
            <w:top w:val="none" w:sz="0" w:space="0" w:color="auto"/>
            <w:left w:val="none" w:sz="0" w:space="0" w:color="auto"/>
            <w:bottom w:val="none" w:sz="0" w:space="0" w:color="auto"/>
            <w:right w:val="none" w:sz="0" w:space="0" w:color="auto"/>
          </w:divBdr>
        </w:div>
        <w:div w:id="1030178653">
          <w:marLeft w:val="0"/>
          <w:marRight w:val="0"/>
          <w:marTop w:val="0"/>
          <w:marBottom w:val="0"/>
          <w:divBdr>
            <w:top w:val="none" w:sz="0" w:space="0" w:color="auto"/>
            <w:left w:val="none" w:sz="0" w:space="0" w:color="auto"/>
            <w:bottom w:val="none" w:sz="0" w:space="0" w:color="auto"/>
            <w:right w:val="none" w:sz="0" w:space="0" w:color="auto"/>
          </w:divBdr>
        </w:div>
        <w:div w:id="1058943685">
          <w:marLeft w:val="0"/>
          <w:marRight w:val="0"/>
          <w:marTop w:val="0"/>
          <w:marBottom w:val="0"/>
          <w:divBdr>
            <w:top w:val="none" w:sz="0" w:space="0" w:color="auto"/>
            <w:left w:val="none" w:sz="0" w:space="0" w:color="auto"/>
            <w:bottom w:val="none" w:sz="0" w:space="0" w:color="auto"/>
            <w:right w:val="none" w:sz="0" w:space="0" w:color="auto"/>
          </w:divBdr>
        </w:div>
        <w:div w:id="1072700975">
          <w:marLeft w:val="0"/>
          <w:marRight w:val="0"/>
          <w:marTop w:val="0"/>
          <w:marBottom w:val="0"/>
          <w:divBdr>
            <w:top w:val="none" w:sz="0" w:space="0" w:color="auto"/>
            <w:left w:val="none" w:sz="0" w:space="0" w:color="auto"/>
            <w:bottom w:val="none" w:sz="0" w:space="0" w:color="auto"/>
            <w:right w:val="none" w:sz="0" w:space="0" w:color="auto"/>
          </w:divBdr>
        </w:div>
        <w:div w:id="1096827187">
          <w:marLeft w:val="0"/>
          <w:marRight w:val="0"/>
          <w:marTop w:val="0"/>
          <w:marBottom w:val="0"/>
          <w:divBdr>
            <w:top w:val="none" w:sz="0" w:space="0" w:color="auto"/>
            <w:left w:val="none" w:sz="0" w:space="0" w:color="auto"/>
            <w:bottom w:val="none" w:sz="0" w:space="0" w:color="auto"/>
            <w:right w:val="none" w:sz="0" w:space="0" w:color="auto"/>
          </w:divBdr>
        </w:div>
        <w:div w:id="1126853057">
          <w:marLeft w:val="0"/>
          <w:marRight w:val="0"/>
          <w:marTop w:val="0"/>
          <w:marBottom w:val="0"/>
          <w:divBdr>
            <w:top w:val="none" w:sz="0" w:space="0" w:color="auto"/>
            <w:left w:val="none" w:sz="0" w:space="0" w:color="auto"/>
            <w:bottom w:val="none" w:sz="0" w:space="0" w:color="auto"/>
            <w:right w:val="none" w:sz="0" w:space="0" w:color="auto"/>
          </w:divBdr>
        </w:div>
        <w:div w:id="1201281406">
          <w:marLeft w:val="0"/>
          <w:marRight w:val="0"/>
          <w:marTop w:val="0"/>
          <w:marBottom w:val="0"/>
          <w:divBdr>
            <w:top w:val="none" w:sz="0" w:space="0" w:color="auto"/>
            <w:left w:val="none" w:sz="0" w:space="0" w:color="auto"/>
            <w:bottom w:val="none" w:sz="0" w:space="0" w:color="auto"/>
            <w:right w:val="none" w:sz="0" w:space="0" w:color="auto"/>
          </w:divBdr>
        </w:div>
        <w:div w:id="1209607511">
          <w:marLeft w:val="0"/>
          <w:marRight w:val="0"/>
          <w:marTop w:val="0"/>
          <w:marBottom w:val="0"/>
          <w:divBdr>
            <w:top w:val="none" w:sz="0" w:space="0" w:color="auto"/>
            <w:left w:val="none" w:sz="0" w:space="0" w:color="auto"/>
            <w:bottom w:val="none" w:sz="0" w:space="0" w:color="auto"/>
            <w:right w:val="none" w:sz="0" w:space="0" w:color="auto"/>
          </w:divBdr>
        </w:div>
        <w:div w:id="1291085098">
          <w:marLeft w:val="0"/>
          <w:marRight w:val="0"/>
          <w:marTop w:val="0"/>
          <w:marBottom w:val="0"/>
          <w:divBdr>
            <w:top w:val="none" w:sz="0" w:space="0" w:color="auto"/>
            <w:left w:val="none" w:sz="0" w:space="0" w:color="auto"/>
            <w:bottom w:val="none" w:sz="0" w:space="0" w:color="auto"/>
            <w:right w:val="none" w:sz="0" w:space="0" w:color="auto"/>
          </w:divBdr>
        </w:div>
        <w:div w:id="1328707565">
          <w:marLeft w:val="0"/>
          <w:marRight w:val="0"/>
          <w:marTop w:val="0"/>
          <w:marBottom w:val="0"/>
          <w:divBdr>
            <w:top w:val="none" w:sz="0" w:space="0" w:color="auto"/>
            <w:left w:val="none" w:sz="0" w:space="0" w:color="auto"/>
            <w:bottom w:val="none" w:sz="0" w:space="0" w:color="auto"/>
            <w:right w:val="none" w:sz="0" w:space="0" w:color="auto"/>
          </w:divBdr>
        </w:div>
        <w:div w:id="1333679891">
          <w:marLeft w:val="0"/>
          <w:marRight w:val="0"/>
          <w:marTop w:val="0"/>
          <w:marBottom w:val="0"/>
          <w:divBdr>
            <w:top w:val="none" w:sz="0" w:space="0" w:color="auto"/>
            <w:left w:val="none" w:sz="0" w:space="0" w:color="auto"/>
            <w:bottom w:val="none" w:sz="0" w:space="0" w:color="auto"/>
            <w:right w:val="none" w:sz="0" w:space="0" w:color="auto"/>
          </w:divBdr>
        </w:div>
        <w:div w:id="1337877764">
          <w:marLeft w:val="0"/>
          <w:marRight w:val="0"/>
          <w:marTop w:val="0"/>
          <w:marBottom w:val="0"/>
          <w:divBdr>
            <w:top w:val="none" w:sz="0" w:space="0" w:color="auto"/>
            <w:left w:val="none" w:sz="0" w:space="0" w:color="auto"/>
            <w:bottom w:val="none" w:sz="0" w:space="0" w:color="auto"/>
            <w:right w:val="none" w:sz="0" w:space="0" w:color="auto"/>
          </w:divBdr>
        </w:div>
        <w:div w:id="1363363122">
          <w:marLeft w:val="0"/>
          <w:marRight w:val="0"/>
          <w:marTop w:val="0"/>
          <w:marBottom w:val="0"/>
          <w:divBdr>
            <w:top w:val="none" w:sz="0" w:space="0" w:color="auto"/>
            <w:left w:val="none" w:sz="0" w:space="0" w:color="auto"/>
            <w:bottom w:val="none" w:sz="0" w:space="0" w:color="auto"/>
            <w:right w:val="none" w:sz="0" w:space="0" w:color="auto"/>
          </w:divBdr>
        </w:div>
        <w:div w:id="1407146803">
          <w:marLeft w:val="0"/>
          <w:marRight w:val="0"/>
          <w:marTop w:val="0"/>
          <w:marBottom w:val="0"/>
          <w:divBdr>
            <w:top w:val="none" w:sz="0" w:space="0" w:color="auto"/>
            <w:left w:val="none" w:sz="0" w:space="0" w:color="auto"/>
            <w:bottom w:val="none" w:sz="0" w:space="0" w:color="auto"/>
            <w:right w:val="none" w:sz="0" w:space="0" w:color="auto"/>
          </w:divBdr>
        </w:div>
        <w:div w:id="1407846298">
          <w:marLeft w:val="0"/>
          <w:marRight w:val="0"/>
          <w:marTop w:val="0"/>
          <w:marBottom w:val="0"/>
          <w:divBdr>
            <w:top w:val="none" w:sz="0" w:space="0" w:color="auto"/>
            <w:left w:val="none" w:sz="0" w:space="0" w:color="auto"/>
            <w:bottom w:val="none" w:sz="0" w:space="0" w:color="auto"/>
            <w:right w:val="none" w:sz="0" w:space="0" w:color="auto"/>
          </w:divBdr>
        </w:div>
        <w:div w:id="1418597870">
          <w:marLeft w:val="0"/>
          <w:marRight w:val="0"/>
          <w:marTop w:val="0"/>
          <w:marBottom w:val="0"/>
          <w:divBdr>
            <w:top w:val="none" w:sz="0" w:space="0" w:color="auto"/>
            <w:left w:val="none" w:sz="0" w:space="0" w:color="auto"/>
            <w:bottom w:val="none" w:sz="0" w:space="0" w:color="auto"/>
            <w:right w:val="none" w:sz="0" w:space="0" w:color="auto"/>
          </w:divBdr>
        </w:div>
        <w:div w:id="1432899160">
          <w:marLeft w:val="0"/>
          <w:marRight w:val="0"/>
          <w:marTop w:val="0"/>
          <w:marBottom w:val="0"/>
          <w:divBdr>
            <w:top w:val="none" w:sz="0" w:space="0" w:color="auto"/>
            <w:left w:val="none" w:sz="0" w:space="0" w:color="auto"/>
            <w:bottom w:val="none" w:sz="0" w:space="0" w:color="auto"/>
            <w:right w:val="none" w:sz="0" w:space="0" w:color="auto"/>
          </w:divBdr>
        </w:div>
        <w:div w:id="1469401291">
          <w:marLeft w:val="0"/>
          <w:marRight w:val="0"/>
          <w:marTop w:val="0"/>
          <w:marBottom w:val="0"/>
          <w:divBdr>
            <w:top w:val="none" w:sz="0" w:space="0" w:color="auto"/>
            <w:left w:val="none" w:sz="0" w:space="0" w:color="auto"/>
            <w:bottom w:val="none" w:sz="0" w:space="0" w:color="auto"/>
            <w:right w:val="none" w:sz="0" w:space="0" w:color="auto"/>
          </w:divBdr>
        </w:div>
        <w:div w:id="1481733395">
          <w:marLeft w:val="0"/>
          <w:marRight w:val="0"/>
          <w:marTop w:val="0"/>
          <w:marBottom w:val="0"/>
          <w:divBdr>
            <w:top w:val="none" w:sz="0" w:space="0" w:color="auto"/>
            <w:left w:val="none" w:sz="0" w:space="0" w:color="auto"/>
            <w:bottom w:val="none" w:sz="0" w:space="0" w:color="auto"/>
            <w:right w:val="none" w:sz="0" w:space="0" w:color="auto"/>
          </w:divBdr>
        </w:div>
        <w:div w:id="1487162760">
          <w:marLeft w:val="0"/>
          <w:marRight w:val="0"/>
          <w:marTop w:val="0"/>
          <w:marBottom w:val="0"/>
          <w:divBdr>
            <w:top w:val="none" w:sz="0" w:space="0" w:color="auto"/>
            <w:left w:val="none" w:sz="0" w:space="0" w:color="auto"/>
            <w:bottom w:val="none" w:sz="0" w:space="0" w:color="auto"/>
            <w:right w:val="none" w:sz="0" w:space="0" w:color="auto"/>
          </w:divBdr>
        </w:div>
        <w:div w:id="1496801847">
          <w:marLeft w:val="0"/>
          <w:marRight w:val="0"/>
          <w:marTop w:val="0"/>
          <w:marBottom w:val="0"/>
          <w:divBdr>
            <w:top w:val="none" w:sz="0" w:space="0" w:color="auto"/>
            <w:left w:val="none" w:sz="0" w:space="0" w:color="auto"/>
            <w:bottom w:val="none" w:sz="0" w:space="0" w:color="auto"/>
            <w:right w:val="none" w:sz="0" w:space="0" w:color="auto"/>
          </w:divBdr>
        </w:div>
        <w:div w:id="1507208707">
          <w:marLeft w:val="0"/>
          <w:marRight w:val="0"/>
          <w:marTop w:val="0"/>
          <w:marBottom w:val="0"/>
          <w:divBdr>
            <w:top w:val="none" w:sz="0" w:space="0" w:color="auto"/>
            <w:left w:val="none" w:sz="0" w:space="0" w:color="auto"/>
            <w:bottom w:val="none" w:sz="0" w:space="0" w:color="auto"/>
            <w:right w:val="none" w:sz="0" w:space="0" w:color="auto"/>
          </w:divBdr>
        </w:div>
        <w:div w:id="1561093286">
          <w:marLeft w:val="0"/>
          <w:marRight w:val="0"/>
          <w:marTop w:val="0"/>
          <w:marBottom w:val="0"/>
          <w:divBdr>
            <w:top w:val="none" w:sz="0" w:space="0" w:color="auto"/>
            <w:left w:val="none" w:sz="0" w:space="0" w:color="auto"/>
            <w:bottom w:val="none" w:sz="0" w:space="0" w:color="auto"/>
            <w:right w:val="none" w:sz="0" w:space="0" w:color="auto"/>
          </w:divBdr>
        </w:div>
        <w:div w:id="1621641610">
          <w:marLeft w:val="0"/>
          <w:marRight w:val="0"/>
          <w:marTop w:val="0"/>
          <w:marBottom w:val="0"/>
          <w:divBdr>
            <w:top w:val="none" w:sz="0" w:space="0" w:color="auto"/>
            <w:left w:val="none" w:sz="0" w:space="0" w:color="auto"/>
            <w:bottom w:val="none" w:sz="0" w:space="0" w:color="auto"/>
            <w:right w:val="none" w:sz="0" w:space="0" w:color="auto"/>
          </w:divBdr>
        </w:div>
        <w:div w:id="1623270762">
          <w:marLeft w:val="0"/>
          <w:marRight w:val="0"/>
          <w:marTop w:val="0"/>
          <w:marBottom w:val="0"/>
          <w:divBdr>
            <w:top w:val="none" w:sz="0" w:space="0" w:color="auto"/>
            <w:left w:val="none" w:sz="0" w:space="0" w:color="auto"/>
            <w:bottom w:val="none" w:sz="0" w:space="0" w:color="auto"/>
            <w:right w:val="none" w:sz="0" w:space="0" w:color="auto"/>
          </w:divBdr>
        </w:div>
        <w:div w:id="1673220762">
          <w:marLeft w:val="0"/>
          <w:marRight w:val="0"/>
          <w:marTop w:val="0"/>
          <w:marBottom w:val="0"/>
          <w:divBdr>
            <w:top w:val="none" w:sz="0" w:space="0" w:color="auto"/>
            <w:left w:val="none" w:sz="0" w:space="0" w:color="auto"/>
            <w:bottom w:val="none" w:sz="0" w:space="0" w:color="auto"/>
            <w:right w:val="none" w:sz="0" w:space="0" w:color="auto"/>
          </w:divBdr>
        </w:div>
        <w:div w:id="1705473284">
          <w:marLeft w:val="0"/>
          <w:marRight w:val="0"/>
          <w:marTop w:val="0"/>
          <w:marBottom w:val="0"/>
          <w:divBdr>
            <w:top w:val="none" w:sz="0" w:space="0" w:color="auto"/>
            <w:left w:val="none" w:sz="0" w:space="0" w:color="auto"/>
            <w:bottom w:val="none" w:sz="0" w:space="0" w:color="auto"/>
            <w:right w:val="none" w:sz="0" w:space="0" w:color="auto"/>
          </w:divBdr>
        </w:div>
        <w:div w:id="1747805544">
          <w:marLeft w:val="0"/>
          <w:marRight w:val="0"/>
          <w:marTop w:val="0"/>
          <w:marBottom w:val="0"/>
          <w:divBdr>
            <w:top w:val="none" w:sz="0" w:space="0" w:color="auto"/>
            <w:left w:val="none" w:sz="0" w:space="0" w:color="auto"/>
            <w:bottom w:val="none" w:sz="0" w:space="0" w:color="auto"/>
            <w:right w:val="none" w:sz="0" w:space="0" w:color="auto"/>
          </w:divBdr>
        </w:div>
        <w:div w:id="1757096141">
          <w:marLeft w:val="0"/>
          <w:marRight w:val="0"/>
          <w:marTop w:val="0"/>
          <w:marBottom w:val="0"/>
          <w:divBdr>
            <w:top w:val="none" w:sz="0" w:space="0" w:color="auto"/>
            <w:left w:val="none" w:sz="0" w:space="0" w:color="auto"/>
            <w:bottom w:val="none" w:sz="0" w:space="0" w:color="auto"/>
            <w:right w:val="none" w:sz="0" w:space="0" w:color="auto"/>
          </w:divBdr>
        </w:div>
        <w:div w:id="1774933547">
          <w:marLeft w:val="0"/>
          <w:marRight w:val="0"/>
          <w:marTop w:val="0"/>
          <w:marBottom w:val="0"/>
          <w:divBdr>
            <w:top w:val="none" w:sz="0" w:space="0" w:color="auto"/>
            <w:left w:val="none" w:sz="0" w:space="0" w:color="auto"/>
            <w:bottom w:val="none" w:sz="0" w:space="0" w:color="auto"/>
            <w:right w:val="none" w:sz="0" w:space="0" w:color="auto"/>
          </w:divBdr>
        </w:div>
        <w:div w:id="1842231573">
          <w:marLeft w:val="0"/>
          <w:marRight w:val="0"/>
          <w:marTop w:val="0"/>
          <w:marBottom w:val="0"/>
          <w:divBdr>
            <w:top w:val="none" w:sz="0" w:space="0" w:color="auto"/>
            <w:left w:val="none" w:sz="0" w:space="0" w:color="auto"/>
            <w:bottom w:val="none" w:sz="0" w:space="0" w:color="auto"/>
            <w:right w:val="none" w:sz="0" w:space="0" w:color="auto"/>
          </w:divBdr>
        </w:div>
        <w:div w:id="1868368231">
          <w:marLeft w:val="0"/>
          <w:marRight w:val="0"/>
          <w:marTop w:val="0"/>
          <w:marBottom w:val="0"/>
          <w:divBdr>
            <w:top w:val="none" w:sz="0" w:space="0" w:color="auto"/>
            <w:left w:val="none" w:sz="0" w:space="0" w:color="auto"/>
            <w:bottom w:val="none" w:sz="0" w:space="0" w:color="auto"/>
            <w:right w:val="none" w:sz="0" w:space="0" w:color="auto"/>
          </w:divBdr>
        </w:div>
        <w:div w:id="1873763183">
          <w:marLeft w:val="0"/>
          <w:marRight w:val="0"/>
          <w:marTop w:val="0"/>
          <w:marBottom w:val="0"/>
          <w:divBdr>
            <w:top w:val="none" w:sz="0" w:space="0" w:color="auto"/>
            <w:left w:val="none" w:sz="0" w:space="0" w:color="auto"/>
            <w:bottom w:val="none" w:sz="0" w:space="0" w:color="auto"/>
            <w:right w:val="none" w:sz="0" w:space="0" w:color="auto"/>
          </w:divBdr>
        </w:div>
        <w:div w:id="1895651434">
          <w:marLeft w:val="0"/>
          <w:marRight w:val="0"/>
          <w:marTop w:val="0"/>
          <w:marBottom w:val="0"/>
          <w:divBdr>
            <w:top w:val="none" w:sz="0" w:space="0" w:color="auto"/>
            <w:left w:val="none" w:sz="0" w:space="0" w:color="auto"/>
            <w:bottom w:val="none" w:sz="0" w:space="0" w:color="auto"/>
            <w:right w:val="none" w:sz="0" w:space="0" w:color="auto"/>
          </w:divBdr>
          <w:divsChild>
            <w:div w:id="212083222">
              <w:marLeft w:val="0"/>
              <w:marRight w:val="0"/>
              <w:marTop w:val="0"/>
              <w:marBottom w:val="0"/>
              <w:divBdr>
                <w:top w:val="none" w:sz="0" w:space="0" w:color="auto"/>
                <w:left w:val="none" w:sz="0" w:space="0" w:color="auto"/>
                <w:bottom w:val="none" w:sz="0" w:space="0" w:color="auto"/>
                <w:right w:val="none" w:sz="0" w:space="0" w:color="auto"/>
              </w:divBdr>
            </w:div>
            <w:div w:id="275873539">
              <w:marLeft w:val="0"/>
              <w:marRight w:val="0"/>
              <w:marTop w:val="0"/>
              <w:marBottom w:val="0"/>
              <w:divBdr>
                <w:top w:val="none" w:sz="0" w:space="0" w:color="auto"/>
                <w:left w:val="none" w:sz="0" w:space="0" w:color="auto"/>
                <w:bottom w:val="none" w:sz="0" w:space="0" w:color="auto"/>
                <w:right w:val="none" w:sz="0" w:space="0" w:color="auto"/>
              </w:divBdr>
            </w:div>
            <w:div w:id="532765535">
              <w:marLeft w:val="0"/>
              <w:marRight w:val="0"/>
              <w:marTop w:val="0"/>
              <w:marBottom w:val="0"/>
              <w:divBdr>
                <w:top w:val="none" w:sz="0" w:space="0" w:color="auto"/>
                <w:left w:val="none" w:sz="0" w:space="0" w:color="auto"/>
                <w:bottom w:val="none" w:sz="0" w:space="0" w:color="auto"/>
                <w:right w:val="none" w:sz="0" w:space="0" w:color="auto"/>
              </w:divBdr>
            </w:div>
            <w:div w:id="595866395">
              <w:marLeft w:val="0"/>
              <w:marRight w:val="0"/>
              <w:marTop w:val="0"/>
              <w:marBottom w:val="0"/>
              <w:divBdr>
                <w:top w:val="none" w:sz="0" w:space="0" w:color="auto"/>
                <w:left w:val="none" w:sz="0" w:space="0" w:color="auto"/>
                <w:bottom w:val="none" w:sz="0" w:space="0" w:color="auto"/>
                <w:right w:val="none" w:sz="0" w:space="0" w:color="auto"/>
              </w:divBdr>
            </w:div>
            <w:div w:id="618030367">
              <w:marLeft w:val="0"/>
              <w:marRight w:val="0"/>
              <w:marTop w:val="0"/>
              <w:marBottom w:val="0"/>
              <w:divBdr>
                <w:top w:val="none" w:sz="0" w:space="0" w:color="auto"/>
                <w:left w:val="none" w:sz="0" w:space="0" w:color="auto"/>
                <w:bottom w:val="none" w:sz="0" w:space="0" w:color="auto"/>
                <w:right w:val="none" w:sz="0" w:space="0" w:color="auto"/>
              </w:divBdr>
            </w:div>
            <w:div w:id="775684107">
              <w:marLeft w:val="0"/>
              <w:marRight w:val="0"/>
              <w:marTop w:val="0"/>
              <w:marBottom w:val="0"/>
              <w:divBdr>
                <w:top w:val="none" w:sz="0" w:space="0" w:color="auto"/>
                <w:left w:val="none" w:sz="0" w:space="0" w:color="auto"/>
                <w:bottom w:val="none" w:sz="0" w:space="0" w:color="auto"/>
                <w:right w:val="none" w:sz="0" w:space="0" w:color="auto"/>
              </w:divBdr>
            </w:div>
            <w:div w:id="800882394">
              <w:marLeft w:val="0"/>
              <w:marRight w:val="0"/>
              <w:marTop w:val="0"/>
              <w:marBottom w:val="0"/>
              <w:divBdr>
                <w:top w:val="none" w:sz="0" w:space="0" w:color="auto"/>
                <w:left w:val="none" w:sz="0" w:space="0" w:color="auto"/>
                <w:bottom w:val="none" w:sz="0" w:space="0" w:color="auto"/>
                <w:right w:val="none" w:sz="0" w:space="0" w:color="auto"/>
              </w:divBdr>
            </w:div>
            <w:div w:id="813256402">
              <w:marLeft w:val="0"/>
              <w:marRight w:val="0"/>
              <w:marTop w:val="0"/>
              <w:marBottom w:val="0"/>
              <w:divBdr>
                <w:top w:val="none" w:sz="0" w:space="0" w:color="auto"/>
                <w:left w:val="none" w:sz="0" w:space="0" w:color="auto"/>
                <w:bottom w:val="none" w:sz="0" w:space="0" w:color="auto"/>
                <w:right w:val="none" w:sz="0" w:space="0" w:color="auto"/>
              </w:divBdr>
            </w:div>
            <w:div w:id="890651039">
              <w:marLeft w:val="0"/>
              <w:marRight w:val="0"/>
              <w:marTop w:val="0"/>
              <w:marBottom w:val="0"/>
              <w:divBdr>
                <w:top w:val="none" w:sz="0" w:space="0" w:color="auto"/>
                <w:left w:val="none" w:sz="0" w:space="0" w:color="auto"/>
                <w:bottom w:val="none" w:sz="0" w:space="0" w:color="auto"/>
                <w:right w:val="none" w:sz="0" w:space="0" w:color="auto"/>
              </w:divBdr>
            </w:div>
            <w:div w:id="898513597">
              <w:marLeft w:val="0"/>
              <w:marRight w:val="0"/>
              <w:marTop w:val="0"/>
              <w:marBottom w:val="0"/>
              <w:divBdr>
                <w:top w:val="none" w:sz="0" w:space="0" w:color="auto"/>
                <w:left w:val="none" w:sz="0" w:space="0" w:color="auto"/>
                <w:bottom w:val="none" w:sz="0" w:space="0" w:color="auto"/>
                <w:right w:val="none" w:sz="0" w:space="0" w:color="auto"/>
              </w:divBdr>
            </w:div>
            <w:div w:id="919556983">
              <w:marLeft w:val="0"/>
              <w:marRight w:val="0"/>
              <w:marTop w:val="0"/>
              <w:marBottom w:val="0"/>
              <w:divBdr>
                <w:top w:val="none" w:sz="0" w:space="0" w:color="auto"/>
                <w:left w:val="none" w:sz="0" w:space="0" w:color="auto"/>
                <w:bottom w:val="none" w:sz="0" w:space="0" w:color="auto"/>
                <w:right w:val="none" w:sz="0" w:space="0" w:color="auto"/>
              </w:divBdr>
            </w:div>
            <w:div w:id="925459081">
              <w:marLeft w:val="0"/>
              <w:marRight w:val="0"/>
              <w:marTop w:val="0"/>
              <w:marBottom w:val="0"/>
              <w:divBdr>
                <w:top w:val="none" w:sz="0" w:space="0" w:color="auto"/>
                <w:left w:val="none" w:sz="0" w:space="0" w:color="auto"/>
                <w:bottom w:val="none" w:sz="0" w:space="0" w:color="auto"/>
                <w:right w:val="none" w:sz="0" w:space="0" w:color="auto"/>
              </w:divBdr>
            </w:div>
            <w:div w:id="1444036250">
              <w:marLeft w:val="0"/>
              <w:marRight w:val="0"/>
              <w:marTop w:val="0"/>
              <w:marBottom w:val="0"/>
              <w:divBdr>
                <w:top w:val="none" w:sz="0" w:space="0" w:color="auto"/>
                <w:left w:val="none" w:sz="0" w:space="0" w:color="auto"/>
                <w:bottom w:val="none" w:sz="0" w:space="0" w:color="auto"/>
                <w:right w:val="none" w:sz="0" w:space="0" w:color="auto"/>
              </w:divBdr>
            </w:div>
            <w:div w:id="1476142047">
              <w:marLeft w:val="0"/>
              <w:marRight w:val="0"/>
              <w:marTop w:val="0"/>
              <w:marBottom w:val="0"/>
              <w:divBdr>
                <w:top w:val="none" w:sz="0" w:space="0" w:color="auto"/>
                <w:left w:val="none" w:sz="0" w:space="0" w:color="auto"/>
                <w:bottom w:val="none" w:sz="0" w:space="0" w:color="auto"/>
                <w:right w:val="none" w:sz="0" w:space="0" w:color="auto"/>
              </w:divBdr>
            </w:div>
            <w:div w:id="1541743558">
              <w:marLeft w:val="0"/>
              <w:marRight w:val="0"/>
              <w:marTop w:val="0"/>
              <w:marBottom w:val="0"/>
              <w:divBdr>
                <w:top w:val="none" w:sz="0" w:space="0" w:color="auto"/>
                <w:left w:val="none" w:sz="0" w:space="0" w:color="auto"/>
                <w:bottom w:val="none" w:sz="0" w:space="0" w:color="auto"/>
                <w:right w:val="none" w:sz="0" w:space="0" w:color="auto"/>
              </w:divBdr>
            </w:div>
            <w:div w:id="1608461227">
              <w:marLeft w:val="0"/>
              <w:marRight w:val="0"/>
              <w:marTop w:val="0"/>
              <w:marBottom w:val="0"/>
              <w:divBdr>
                <w:top w:val="none" w:sz="0" w:space="0" w:color="auto"/>
                <w:left w:val="none" w:sz="0" w:space="0" w:color="auto"/>
                <w:bottom w:val="none" w:sz="0" w:space="0" w:color="auto"/>
                <w:right w:val="none" w:sz="0" w:space="0" w:color="auto"/>
              </w:divBdr>
            </w:div>
            <w:div w:id="1702586197">
              <w:marLeft w:val="0"/>
              <w:marRight w:val="0"/>
              <w:marTop w:val="0"/>
              <w:marBottom w:val="0"/>
              <w:divBdr>
                <w:top w:val="none" w:sz="0" w:space="0" w:color="auto"/>
                <w:left w:val="none" w:sz="0" w:space="0" w:color="auto"/>
                <w:bottom w:val="none" w:sz="0" w:space="0" w:color="auto"/>
                <w:right w:val="none" w:sz="0" w:space="0" w:color="auto"/>
              </w:divBdr>
            </w:div>
            <w:div w:id="1776094782">
              <w:marLeft w:val="0"/>
              <w:marRight w:val="0"/>
              <w:marTop w:val="0"/>
              <w:marBottom w:val="0"/>
              <w:divBdr>
                <w:top w:val="none" w:sz="0" w:space="0" w:color="auto"/>
                <w:left w:val="none" w:sz="0" w:space="0" w:color="auto"/>
                <w:bottom w:val="none" w:sz="0" w:space="0" w:color="auto"/>
                <w:right w:val="none" w:sz="0" w:space="0" w:color="auto"/>
              </w:divBdr>
            </w:div>
            <w:div w:id="1933313716">
              <w:marLeft w:val="0"/>
              <w:marRight w:val="0"/>
              <w:marTop w:val="0"/>
              <w:marBottom w:val="0"/>
              <w:divBdr>
                <w:top w:val="none" w:sz="0" w:space="0" w:color="auto"/>
                <w:left w:val="none" w:sz="0" w:space="0" w:color="auto"/>
                <w:bottom w:val="none" w:sz="0" w:space="0" w:color="auto"/>
                <w:right w:val="none" w:sz="0" w:space="0" w:color="auto"/>
              </w:divBdr>
            </w:div>
            <w:div w:id="2101368981">
              <w:marLeft w:val="0"/>
              <w:marRight w:val="0"/>
              <w:marTop w:val="0"/>
              <w:marBottom w:val="0"/>
              <w:divBdr>
                <w:top w:val="none" w:sz="0" w:space="0" w:color="auto"/>
                <w:left w:val="none" w:sz="0" w:space="0" w:color="auto"/>
                <w:bottom w:val="none" w:sz="0" w:space="0" w:color="auto"/>
                <w:right w:val="none" w:sz="0" w:space="0" w:color="auto"/>
              </w:divBdr>
            </w:div>
          </w:divsChild>
        </w:div>
        <w:div w:id="1917548435">
          <w:marLeft w:val="0"/>
          <w:marRight w:val="0"/>
          <w:marTop w:val="0"/>
          <w:marBottom w:val="0"/>
          <w:divBdr>
            <w:top w:val="none" w:sz="0" w:space="0" w:color="auto"/>
            <w:left w:val="none" w:sz="0" w:space="0" w:color="auto"/>
            <w:bottom w:val="none" w:sz="0" w:space="0" w:color="auto"/>
            <w:right w:val="none" w:sz="0" w:space="0" w:color="auto"/>
          </w:divBdr>
        </w:div>
        <w:div w:id="2065789075">
          <w:marLeft w:val="0"/>
          <w:marRight w:val="0"/>
          <w:marTop w:val="0"/>
          <w:marBottom w:val="0"/>
          <w:divBdr>
            <w:top w:val="none" w:sz="0" w:space="0" w:color="auto"/>
            <w:left w:val="none" w:sz="0" w:space="0" w:color="auto"/>
            <w:bottom w:val="none" w:sz="0" w:space="0" w:color="auto"/>
            <w:right w:val="none" w:sz="0" w:space="0" w:color="auto"/>
          </w:divBdr>
        </w:div>
        <w:div w:id="2069063938">
          <w:marLeft w:val="0"/>
          <w:marRight w:val="0"/>
          <w:marTop w:val="0"/>
          <w:marBottom w:val="0"/>
          <w:divBdr>
            <w:top w:val="none" w:sz="0" w:space="0" w:color="auto"/>
            <w:left w:val="none" w:sz="0" w:space="0" w:color="auto"/>
            <w:bottom w:val="none" w:sz="0" w:space="0" w:color="auto"/>
            <w:right w:val="none" w:sz="0" w:space="0" w:color="auto"/>
          </w:divBdr>
        </w:div>
        <w:div w:id="2100173410">
          <w:marLeft w:val="0"/>
          <w:marRight w:val="0"/>
          <w:marTop w:val="0"/>
          <w:marBottom w:val="0"/>
          <w:divBdr>
            <w:top w:val="none" w:sz="0" w:space="0" w:color="auto"/>
            <w:left w:val="none" w:sz="0" w:space="0" w:color="auto"/>
            <w:bottom w:val="none" w:sz="0" w:space="0" w:color="auto"/>
            <w:right w:val="none" w:sz="0" w:space="0" w:color="auto"/>
          </w:divBdr>
        </w:div>
      </w:divsChild>
    </w:div>
    <w:div w:id="1198666429">
      <w:bodyDiv w:val="1"/>
      <w:marLeft w:val="0"/>
      <w:marRight w:val="0"/>
      <w:marTop w:val="0"/>
      <w:marBottom w:val="0"/>
      <w:divBdr>
        <w:top w:val="none" w:sz="0" w:space="0" w:color="auto"/>
        <w:left w:val="none" w:sz="0" w:space="0" w:color="auto"/>
        <w:bottom w:val="none" w:sz="0" w:space="0" w:color="auto"/>
        <w:right w:val="none" w:sz="0" w:space="0" w:color="auto"/>
      </w:divBdr>
    </w:div>
    <w:div w:id="1209994132">
      <w:bodyDiv w:val="1"/>
      <w:marLeft w:val="0"/>
      <w:marRight w:val="0"/>
      <w:marTop w:val="0"/>
      <w:marBottom w:val="0"/>
      <w:divBdr>
        <w:top w:val="none" w:sz="0" w:space="0" w:color="auto"/>
        <w:left w:val="none" w:sz="0" w:space="0" w:color="auto"/>
        <w:bottom w:val="none" w:sz="0" w:space="0" w:color="auto"/>
        <w:right w:val="none" w:sz="0" w:space="0" w:color="auto"/>
      </w:divBdr>
      <w:divsChild>
        <w:div w:id="4554174">
          <w:marLeft w:val="0"/>
          <w:marRight w:val="0"/>
          <w:marTop w:val="0"/>
          <w:marBottom w:val="0"/>
          <w:divBdr>
            <w:top w:val="none" w:sz="0" w:space="0" w:color="auto"/>
            <w:left w:val="none" w:sz="0" w:space="0" w:color="auto"/>
            <w:bottom w:val="none" w:sz="0" w:space="0" w:color="auto"/>
            <w:right w:val="none" w:sz="0" w:space="0" w:color="auto"/>
          </w:divBdr>
          <w:divsChild>
            <w:div w:id="84228200">
              <w:marLeft w:val="0"/>
              <w:marRight w:val="0"/>
              <w:marTop w:val="0"/>
              <w:marBottom w:val="0"/>
              <w:divBdr>
                <w:top w:val="none" w:sz="0" w:space="0" w:color="auto"/>
                <w:left w:val="none" w:sz="0" w:space="0" w:color="auto"/>
                <w:bottom w:val="none" w:sz="0" w:space="0" w:color="auto"/>
                <w:right w:val="none" w:sz="0" w:space="0" w:color="auto"/>
              </w:divBdr>
            </w:div>
          </w:divsChild>
        </w:div>
        <w:div w:id="9458854">
          <w:marLeft w:val="0"/>
          <w:marRight w:val="0"/>
          <w:marTop w:val="0"/>
          <w:marBottom w:val="0"/>
          <w:divBdr>
            <w:top w:val="none" w:sz="0" w:space="0" w:color="auto"/>
            <w:left w:val="none" w:sz="0" w:space="0" w:color="auto"/>
            <w:bottom w:val="none" w:sz="0" w:space="0" w:color="auto"/>
            <w:right w:val="none" w:sz="0" w:space="0" w:color="auto"/>
          </w:divBdr>
          <w:divsChild>
            <w:div w:id="1448574561">
              <w:marLeft w:val="0"/>
              <w:marRight w:val="0"/>
              <w:marTop w:val="0"/>
              <w:marBottom w:val="0"/>
              <w:divBdr>
                <w:top w:val="none" w:sz="0" w:space="0" w:color="auto"/>
                <w:left w:val="none" w:sz="0" w:space="0" w:color="auto"/>
                <w:bottom w:val="none" w:sz="0" w:space="0" w:color="auto"/>
                <w:right w:val="none" w:sz="0" w:space="0" w:color="auto"/>
              </w:divBdr>
            </w:div>
          </w:divsChild>
        </w:div>
        <w:div w:id="15737538">
          <w:marLeft w:val="0"/>
          <w:marRight w:val="0"/>
          <w:marTop w:val="0"/>
          <w:marBottom w:val="0"/>
          <w:divBdr>
            <w:top w:val="none" w:sz="0" w:space="0" w:color="auto"/>
            <w:left w:val="none" w:sz="0" w:space="0" w:color="auto"/>
            <w:bottom w:val="none" w:sz="0" w:space="0" w:color="auto"/>
            <w:right w:val="none" w:sz="0" w:space="0" w:color="auto"/>
          </w:divBdr>
          <w:divsChild>
            <w:div w:id="577129707">
              <w:marLeft w:val="0"/>
              <w:marRight w:val="0"/>
              <w:marTop w:val="0"/>
              <w:marBottom w:val="0"/>
              <w:divBdr>
                <w:top w:val="none" w:sz="0" w:space="0" w:color="auto"/>
                <w:left w:val="none" w:sz="0" w:space="0" w:color="auto"/>
                <w:bottom w:val="none" w:sz="0" w:space="0" w:color="auto"/>
                <w:right w:val="none" w:sz="0" w:space="0" w:color="auto"/>
              </w:divBdr>
            </w:div>
          </w:divsChild>
        </w:div>
        <w:div w:id="17128795">
          <w:marLeft w:val="0"/>
          <w:marRight w:val="0"/>
          <w:marTop w:val="0"/>
          <w:marBottom w:val="0"/>
          <w:divBdr>
            <w:top w:val="none" w:sz="0" w:space="0" w:color="auto"/>
            <w:left w:val="none" w:sz="0" w:space="0" w:color="auto"/>
            <w:bottom w:val="none" w:sz="0" w:space="0" w:color="auto"/>
            <w:right w:val="none" w:sz="0" w:space="0" w:color="auto"/>
          </w:divBdr>
          <w:divsChild>
            <w:div w:id="271712374">
              <w:marLeft w:val="0"/>
              <w:marRight w:val="0"/>
              <w:marTop w:val="0"/>
              <w:marBottom w:val="0"/>
              <w:divBdr>
                <w:top w:val="none" w:sz="0" w:space="0" w:color="auto"/>
                <w:left w:val="none" w:sz="0" w:space="0" w:color="auto"/>
                <w:bottom w:val="none" w:sz="0" w:space="0" w:color="auto"/>
                <w:right w:val="none" w:sz="0" w:space="0" w:color="auto"/>
              </w:divBdr>
            </w:div>
            <w:div w:id="797379506">
              <w:marLeft w:val="0"/>
              <w:marRight w:val="0"/>
              <w:marTop w:val="0"/>
              <w:marBottom w:val="0"/>
              <w:divBdr>
                <w:top w:val="none" w:sz="0" w:space="0" w:color="auto"/>
                <w:left w:val="none" w:sz="0" w:space="0" w:color="auto"/>
                <w:bottom w:val="none" w:sz="0" w:space="0" w:color="auto"/>
                <w:right w:val="none" w:sz="0" w:space="0" w:color="auto"/>
              </w:divBdr>
            </w:div>
            <w:div w:id="1189875295">
              <w:marLeft w:val="0"/>
              <w:marRight w:val="0"/>
              <w:marTop w:val="0"/>
              <w:marBottom w:val="0"/>
              <w:divBdr>
                <w:top w:val="none" w:sz="0" w:space="0" w:color="auto"/>
                <w:left w:val="none" w:sz="0" w:space="0" w:color="auto"/>
                <w:bottom w:val="none" w:sz="0" w:space="0" w:color="auto"/>
                <w:right w:val="none" w:sz="0" w:space="0" w:color="auto"/>
              </w:divBdr>
            </w:div>
            <w:div w:id="1543131151">
              <w:marLeft w:val="0"/>
              <w:marRight w:val="0"/>
              <w:marTop w:val="0"/>
              <w:marBottom w:val="0"/>
              <w:divBdr>
                <w:top w:val="none" w:sz="0" w:space="0" w:color="auto"/>
                <w:left w:val="none" w:sz="0" w:space="0" w:color="auto"/>
                <w:bottom w:val="none" w:sz="0" w:space="0" w:color="auto"/>
                <w:right w:val="none" w:sz="0" w:space="0" w:color="auto"/>
              </w:divBdr>
            </w:div>
            <w:div w:id="1655329521">
              <w:marLeft w:val="0"/>
              <w:marRight w:val="0"/>
              <w:marTop w:val="0"/>
              <w:marBottom w:val="0"/>
              <w:divBdr>
                <w:top w:val="none" w:sz="0" w:space="0" w:color="auto"/>
                <w:left w:val="none" w:sz="0" w:space="0" w:color="auto"/>
                <w:bottom w:val="none" w:sz="0" w:space="0" w:color="auto"/>
                <w:right w:val="none" w:sz="0" w:space="0" w:color="auto"/>
              </w:divBdr>
            </w:div>
          </w:divsChild>
        </w:div>
        <w:div w:id="17463518">
          <w:marLeft w:val="0"/>
          <w:marRight w:val="0"/>
          <w:marTop w:val="0"/>
          <w:marBottom w:val="0"/>
          <w:divBdr>
            <w:top w:val="none" w:sz="0" w:space="0" w:color="auto"/>
            <w:left w:val="none" w:sz="0" w:space="0" w:color="auto"/>
            <w:bottom w:val="none" w:sz="0" w:space="0" w:color="auto"/>
            <w:right w:val="none" w:sz="0" w:space="0" w:color="auto"/>
          </w:divBdr>
          <w:divsChild>
            <w:div w:id="77800095">
              <w:marLeft w:val="0"/>
              <w:marRight w:val="0"/>
              <w:marTop w:val="0"/>
              <w:marBottom w:val="0"/>
              <w:divBdr>
                <w:top w:val="none" w:sz="0" w:space="0" w:color="auto"/>
                <w:left w:val="none" w:sz="0" w:space="0" w:color="auto"/>
                <w:bottom w:val="none" w:sz="0" w:space="0" w:color="auto"/>
                <w:right w:val="none" w:sz="0" w:space="0" w:color="auto"/>
              </w:divBdr>
            </w:div>
            <w:div w:id="109126438">
              <w:marLeft w:val="0"/>
              <w:marRight w:val="0"/>
              <w:marTop w:val="0"/>
              <w:marBottom w:val="0"/>
              <w:divBdr>
                <w:top w:val="none" w:sz="0" w:space="0" w:color="auto"/>
                <w:left w:val="none" w:sz="0" w:space="0" w:color="auto"/>
                <w:bottom w:val="none" w:sz="0" w:space="0" w:color="auto"/>
                <w:right w:val="none" w:sz="0" w:space="0" w:color="auto"/>
              </w:divBdr>
            </w:div>
            <w:div w:id="908999580">
              <w:marLeft w:val="0"/>
              <w:marRight w:val="0"/>
              <w:marTop w:val="0"/>
              <w:marBottom w:val="0"/>
              <w:divBdr>
                <w:top w:val="none" w:sz="0" w:space="0" w:color="auto"/>
                <w:left w:val="none" w:sz="0" w:space="0" w:color="auto"/>
                <w:bottom w:val="none" w:sz="0" w:space="0" w:color="auto"/>
                <w:right w:val="none" w:sz="0" w:space="0" w:color="auto"/>
              </w:divBdr>
            </w:div>
            <w:div w:id="1962686992">
              <w:marLeft w:val="0"/>
              <w:marRight w:val="0"/>
              <w:marTop w:val="0"/>
              <w:marBottom w:val="0"/>
              <w:divBdr>
                <w:top w:val="none" w:sz="0" w:space="0" w:color="auto"/>
                <w:left w:val="none" w:sz="0" w:space="0" w:color="auto"/>
                <w:bottom w:val="none" w:sz="0" w:space="0" w:color="auto"/>
                <w:right w:val="none" w:sz="0" w:space="0" w:color="auto"/>
              </w:divBdr>
            </w:div>
          </w:divsChild>
        </w:div>
        <w:div w:id="23598907">
          <w:marLeft w:val="0"/>
          <w:marRight w:val="0"/>
          <w:marTop w:val="0"/>
          <w:marBottom w:val="0"/>
          <w:divBdr>
            <w:top w:val="none" w:sz="0" w:space="0" w:color="auto"/>
            <w:left w:val="none" w:sz="0" w:space="0" w:color="auto"/>
            <w:bottom w:val="none" w:sz="0" w:space="0" w:color="auto"/>
            <w:right w:val="none" w:sz="0" w:space="0" w:color="auto"/>
          </w:divBdr>
          <w:divsChild>
            <w:div w:id="264270471">
              <w:marLeft w:val="0"/>
              <w:marRight w:val="0"/>
              <w:marTop w:val="0"/>
              <w:marBottom w:val="0"/>
              <w:divBdr>
                <w:top w:val="none" w:sz="0" w:space="0" w:color="auto"/>
                <w:left w:val="none" w:sz="0" w:space="0" w:color="auto"/>
                <w:bottom w:val="none" w:sz="0" w:space="0" w:color="auto"/>
                <w:right w:val="none" w:sz="0" w:space="0" w:color="auto"/>
              </w:divBdr>
            </w:div>
            <w:div w:id="421267680">
              <w:marLeft w:val="0"/>
              <w:marRight w:val="0"/>
              <w:marTop w:val="0"/>
              <w:marBottom w:val="0"/>
              <w:divBdr>
                <w:top w:val="none" w:sz="0" w:space="0" w:color="auto"/>
                <w:left w:val="none" w:sz="0" w:space="0" w:color="auto"/>
                <w:bottom w:val="none" w:sz="0" w:space="0" w:color="auto"/>
                <w:right w:val="none" w:sz="0" w:space="0" w:color="auto"/>
              </w:divBdr>
            </w:div>
            <w:div w:id="1334338504">
              <w:marLeft w:val="0"/>
              <w:marRight w:val="0"/>
              <w:marTop w:val="0"/>
              <w:marBottom w:val="0"/>
              <w:divBdr>
                <w:top w:val="none" w:sz="0" w:space="0" w:color="auto"/>
                <w:left w:val="none" w:sz="0" w:space="0" w:color="auto"/>
                <w:bottom w:val="none" w:sz="0" w:space="0" w:color="auto"/>
                <w:right w:val="none" w:sz="0" w:space="0" w:color="auto"/>
              </w:divBdr>
            </w:div>
          </w:divsChild>
        </w:div>
        <w:div w:id="32921773">
          <w:marLeft w:val="0"/>
          <w:marRight w:val="0"/>
          <w:marTop w:val="0"/>
          <w:marBottom w:val="0"/>
          <w:divBdr>
            <w:top w:val="none" w:sz="0" w:space="0" w:color="auto"/>
            <w:left w:val="none" w:sz="0" w:space="0" w:color="auto"/>
            <w:bottom w:val="none" w:sz="0" w:space="0" w:color="auto"/>
            <w:right w:val="none" w:sz="0" w:space="0" w:color="auto"/>
          </w:divBdr>
          <w:divsChild>
            <w:div w:id="1486818044">
              <w:marLeft w:val="0"/>
              <w:marRight w:val="0"/>
              <w:marTop w:val="0"/>
              <w:marBottom w:val="0"/>
              <w:divBdr>
                <w:top w:val="none" w:sz="0" w:space="0" w:color="auto"/>
                <w:left w:val="none" w:sz="0" w:space="0" w:color="auto"/>
                <w:bottom w:val="none" w:sz="0" w:space="0" w:color="auto"/>
                <w:right w:val="none" w:sz="0" w:space="0" w:color="auto"/>
              </w:divBdr>
            </w:div>
          </w:divsChild>
        </w:div>
        <w:div w:id="35782835">
          <w:marLeft w:val="0"/>
          <w:marRight w:val="0"/>
          <w:marTop w:val="0"/>
          <w:marBottom w:val="0"/>
          <w:divBdr>
            <w:top w:val="none" w:sz="0" w:space="0" w:color="auto"/>
            <w:left w:val="none" w:sz="0" w:space="0" w:color="auto"/>
            <w:bottom w:val="none" w:sz="0" w:space="0" w:color="auto"/>
            <w:right w:val="none" w:sz="0" w:space="0" w:color="auto"/>
          </w:divBdr>
          <w:divsChild>
            <w:div w:id="1875344523">
              <w:marLeft w:val="0"/>
              <w:marRight w:val="0"/>
              <w:marTop w:val="0"/>
              <w:marBottom w:val="0"/>
              <w:divBdr>
                <w:top w:val="none" w:sz="0" w:space="0" w:color="auto"/>
                <w:left w:val="none" w:sz="0" w:space="0" w:color="auto"/>
                <w:bottom w:val="none" w:sz="0" w:space="0" w:color="auto"/>
                <w:right w:val="none" w:sz="0" w:space="0" w:color="auto"/>
              </w:divBdr>
            </w:div>
          </w:divsChild>
        </w:div>
        <w:div w:id="36660606">
          <w:marLeft w:val="0"/>
          <w:marRight w:val="0"/>
          <w:marTop w:val="0"/>
          <w:marBottom w:val="0"/>
          <w:divBdr>
            <w:top w:val="none" w:sz="0" w:space="0" w:color="auto"/>
            <w:left w:val="none" w:sz="0" w:space="0" w:color="auto"/>
            <w:bottom w:val="none" w:sz="0" w:space="0" w:color="auto"/>
            <w:right w:val="none" w:sz="0" w:space="0" w:color="auto"/>
          </w:divBdr>
          <w:divsChild>
            <w:div w:id="109016115">
              <w:marLeft w:val="0"/>
              <w:marRight w:val="0"/>
              <w:marTop w:val="0"/>
              <w:marBottom w:val="0"/>
              <w:divBdr>
                <w:top w:val="none" w:sz="0" w:space="0" w:color="auto"/>
                <w:left w:val="none" w:sz="0" w:space="0" w:color="auto"/>
                <w:bottom w:val="none" w:sz="0" w:space="0" w:color="auto"/>
                <w:right w:val="none" w:sz="0" w:space="0" w:color="auto"/>
              </w:divBdr>
            </w:div>
          </w:divsChild>
        </w:div>
        <w:div w:id="42485383">
          <w:marLeft w:val="0"/>
          <w:marRight w:val="0"/>
          <w:marTop w:val="0"/>
          <w:marBottom w:val="0"/>
          <w:divBdr>
            <w:top w:val="none" w:sz="0" w:space="0" w:color="auto"/>
            <w:left w:val="none" w:sz="0" w:space="0" w:color="auto"/>
            <w:bottom w:val="none" w:sz="0" w:space="0" w:color="auto"/>
            <w:right w:val="none" w:sz="0" w:space="0" w:color="auto"/>
          </w:divBdr>
          <w:divsChild>
            <w:div w:id="1106271178">
              <w:marLeft w:val="0"/>
              <w:marRight w:val="0"/>
              <w:marTop w:val="0"/>
              <w:marBottom w:val="0"/>
              <w:divBdr>
                <w:top w:val="none" w:sz="0" w:space="0" w:color="auto"/>
                <w:left w:val="none" w:sz="0" w:space="0" w:color="auto"/>
                <w:bottom w:val="none" w:sz="0" w:space="0" w:color="auto"/>
                <w:right w:val="none" w:sz="0" w:space="0" w:color="auto"/>
              </w:divBdr>
            </w:div>
            <w:div w:id="1505047539">
              <w:marLeft w:val="0"/>
              <w:marRight w:val="0"/>
              <w:marTop w:val="0"/>
              <w:marBottom w:val="0"/>
              <w:divBdr>
                <w:top w:val="none" w:sz="0" w:space="0" w:color="auto"/>
                <w:left w:val="none" w:sz="0" w:space="0" w:color="auto"/>
                <w:bottom w:val="none" w:sz="0" w:space="0" w:color="auto"/>
                <w:right w:val="none" w:sz="0" w:space="0" w:color="auto"/>
              </w:divBdr>
            </w:div>
            <w:div w:id="1897888455">
              <w:marLeft w:val="0"/>
              <w:marRight w:val="0"/>
              <w:marTop w:val="0"/>
              <w:marBottom w:val="0"/>
              <w:divBdr>
                <w:top w:val="none" w:sz="0" w:space="0" w:color="auto"/>
                <w:left w:val="none" w:sz="0" w:space="0" w:color="auto"/>
                <w:bottom w:val="none" w:sz="0" w:space="0" w:color="auto"/>
                <w:right w:val="none" w:sz="0" w:space="0" w:color="auto"/>
              </w:divBdr>
            </w:div>
          </w:divsChild>
        </w:div>
        <w:div w:id="53821722">
          <w:marLeft w:val="0"/>
          <w:marRight w:val="0"/>
          <w:marTop w:val="0"/>
          <w:marBottom w:val="0"/>
          <w:divBdr>
            <w:top w:val="none" w:sz="0" w:space="0" w:color="auto"/>
            <w:left w:val="none" w:sz="0" w:space="0" w:color="auto"/>
            <w:bottom w:val="none" w:sz="0" w:space="0" w:color="auto"/>
            <w:right w:val="none" w:sz="0" w:space="0" w:color="auto"/>
          </w:divBdr>
          <w:divsChild>
            <w:div w:id="39592397">
              <w:marLeft w:val="0"/>
              <w:marRight w:val="0"/>
              <w:marTop w:val="0"/>
              <w:marBottom w:val="0"/>
              <w:divBdr>
                <w:top w:val="none" w:sz="0" w:space="0" w:color="auto"/>
                <w:left w:val="none" w:sz="0" w:space="0" w:color="auto"/>
                <w:bottom w:val="none" w:sz="0" w:space="0" w:color="auto"/>
                <w:right w:val="none" w:sz="0" w:space="0" w:color="auto"/>
              </w:divBdr>
            </w:div>
            <w:div w:id="711728326">
              <w:marLeft w:val="0"/>
              <w:marRight w:val="0"/>
              <w:marTop w:val="0"/>
              <w:marBottom w:val="0"/>
              <w:divBdr>
                <w:top w:val="none" w:sz="0" w:space="0" w:color="auto"/>
                <w:left w:val="none" w:sz="0" w:space="0" w:color="auto"/>
                <w:bottom w:val="none" w:sz="0" w:space="0" w:color="auto"/>
                <w:right w:val="none" w:sz="0" w:space="0" w:color="auto"/>
              </w:divBdr>
            </w:div>
            <w:div w:id="939459446">
              <w:marLeft w:val="0"/>
              <w:marRight w:val="0"/>
              <w:marTop w:val="0"/>
              <w:marBottom w:val="0"/>
              <w:divBdr>
                <w:top w:val="none" w:sz="0" w:space="0" w:color="auto"/>
                <w:left w:val="none" w:sz="0" w:space="0" w:color="auto"/>
                <w:bottom w:val="none" w:sz="0" w:space="0" w:color="auto"/>
                <w:right w:val="none" w:sz="0" w:space="0" w:color="auto"/>
              </w:divBdr>
            </w:div>
            <w:div w:id="1018045958">
              <w:marLeft w:val="0"/>
              <w:marRight w:val="0"/>
              <w:marTop w:val="0"/>
              <w:marBottom w:val="0"/>
              <w:divBdr>
                <w:top w:val="none" w:sz="0" w:space="0" w:color="auto"/>
                <w:left w:val="none" w:sz="0" w:space="0" w:color="auto"/>
                <w:bottom w:val="none" w:sz="0" w:space="0" w:color="auto"/>
                <w:right w:val="none" w:sz="0" w:space="0" w:color="auto"/>
              </w:divBdr>
            </w:div>
            <w:div w:id="1038361779">
              <w:marLeft w:val="0"/>
              <w:marRight w:val="0"/>
              <w:marTop w:val="0"/>
              <w:marBottom w:val="0"/>
              <w:divBdr>
                <w:top w:val="none" w:sz="0" w:space="0" w:color="auto"/>
                <w:left w:val="none" w:sz="0" w:space="0" w:color="auto"/>
                <w:bottom w:val="none" w:sz="0" w:space="0" w:color="auto"/>
                <w:right w:val="none" w:sz="0" w:space="0" w:color="auto"/>
              </w:divBdr>
            </w:div>
            <w:div w:id="1173255777">
              <w:marLeft w:val="0"/>
              <w:marRight w:val="0"/>
              <w:marTop w:val="0"/>
              <w:marBottom w:val="0"/>
              <w:divBdr>
                <w:top w:val="none" w:sz="0" w:space="0" w:color="auto"/>
                <w:left w:val="none" w:sz="0" w:space="0" w:color="auto"/>
                <w:bottom w:val="none" w:sz="0" w:space="0" w:color="auto"/>
                <w:right w:val="none" w:sz="0" w:space="0" w:color="auto"/>
              </w:divBdr>
            </w:div>
            <w:div w:id="1241789126">
              <w:marLeft w:val="0"/>
              <w:marRight w:val="0"/>
              <w:marTop w:val="0"/>
              <w:marBottom w:val="0"/>
              <w:divBdr>
                <w:top w:val="none" w:sz="0" w:space="0" w:color="auto"/>
                <w:left w:val="none" w:sz="0" w:space="0" w:color="auto"/>
                <w:bottom w:val="none" w:sz="0" w:space="0" w:color="auto"/>
                <w:right w:val="none" w:sz="0" w:space="0" w:color="auto"/>
              </w:divBdr>
            </w:div>
            <w:div w:id="1393694987">
              <w:marLeft w:val="0"/>
              <w:marRight w:val="0"/>
              <w:marTop w:val="0"/>
              <w:marBottom w:val="0"/>
              <w:divBdr>
                <w:top w:val="none" w:sz="0" w:space="0" w:color="auto"/>
                <w:left w:val="none" w:sz="0" w:space="0" w:color="auto"/>
                <w:bottom w:val="none" w:sz="0" w:space="0" w:color="auto"/>
                <w:right w:val="none" w:sz="0" w:space="0" w:color="auto"/>
              </w:divBdr>
            </w:div>
            <w:div w:id="1558588954">
              <w:marLeft w:val="0"/>
              <w:marRight w:val="0"/>
              <w:marTop w:val="0"/>
              <w:marBottom w:val="0"/>
              <w:divBdr>
                <w:top w:val="none" w:sz="0" w:space="0" w:color="auto"/>
                <w:left w:val="none" w:sz="0" w:space="0" w:color="auto"/>
                <w:bottom w:val="none" w:sz="0" w:space="0" w:color="auto"/>
                <w:right w:val="none" w:sz="0" w:space="0" w:color="auto"/>
              </w:divBdr>
            </w:div>
            <w:div w:id="1620144087">
              <w:marLeft w:val="0"/>
              <w:marRight w:val="0"/>
              <w:marTop w:val="0"/>
              <w:marBottom w:val="0"/>
              <w:divBdr>
                <w:top w:val="none" w:sz="0" w:space="0" w:color="auto"/>
                <w:left w:val="none" w:sz="0" w:space="0" w:color="auto"/>
                <w:bottom w:val="none" w:sz="0" w:space="0" w:color="auto"/>
                <w:right w:val="none" w:sz="0" w:space="0" w:color="auto"/>
              </w:divBdr>
            </w:div>
          </w:divsChild>
        </w:div>
        <w:div w:id="59714692">
          <w:marLeft w:val="0"/>
          <w:marRight w:val="0"/>
          <w:marTop w:val="0"/>
          <w:marBottom w:val="0"/>
          <w:divBdr>
            <w:top w:val="none" w:sz="0" w:space="0" w:color="auto"/>
            <w:left w:val="none" w:sz="0" w:space="0" w:color="auto"/>
            <w:bottom w:val="none" w:sz="0" w:space="0" w:color="auto"/>
            <w:right w:val="none" w:sz="0" w:space="0" w:color="auto"/>
          </w:divBdr>
          <w:divsChild>
            <w:div w:id="22831322">
              <w:marLeft w:val="0"/>
              <w:marRight w:val="0"/>
              <w:marTop w:val="0"/>
              <w:marBottom w:val="0"/>
              <w:divBdr>
                <w:top w:val="none" w:sz="0" w:space="0" w:color="auto"/>
                <w:left w:val="none" w:sz="0" w:space="0" w:color="auto"/>
                <w:bottom w:val="none" w:sz="0" w:space="0" w:color="auto"/>
                <w:right w:val="none" w:sz="0" w:space="0" w:color="auto"/>
              </w:divBdr>
            </w:div>
            <w:div w:id="275869060">
              <w:marLeft w:val="0"/>
              <w:marRight w:val="0"/>
              <w:marTop w:val="0"/>
              <w:marBottom w:val="0"/>
              <w:divBdr>
                <w:top w:val="none" w:sz="0" w:space="0" w:color="auto"/>
                <w:left w:val="none" w:sz="0" w:space="0" w:color="auto"/>
                <w:bottom w:val="none" w:sz="0" w:space="0" w:color="auto"/>
                <w:right w:val="none" w:sz="0" w:space="0" w:color="auto"/>
              </w:divBdr>
            </w:div>
            <w:div w:id="863715228">
              <w:marLeft w:val="0"/>
              <w:marRight w:val="0"/>
              <w:marTop w:val="0"/>
              <w:marBottom w:val="0"/>
              <w:divBdr>
                <w:top w:val="none" w:sz="0" w:space="0" w:color="auto"/>
                <w:left w:val="none" w:sz="0" w:space="0" w:color="auto"/>
                <w:bottom w:val="none" w:sz="0" w:space="0" w:color="auto"/>
                <w:right w:val="none" w:sz="0" w:space="0" w:color="auto"/>
              </w:divBdr>
            </w:div>
            <w:div w:id="1670596483">
              <w:marLeft w:val="0"/>
              <w:marRight w:val="0"/>
              <w:marTop w:val="0"/>
              <w:marBottom w:val="0"/>
              <w:divBdr>
                <w:top w:val="none" w:sz="0" w:space="0" w:color="auto"/>
                <w:left w:val="none" w:sz="0" w:space="0" w:color="auto"/>
                <w:bottom w:val="none" w:sz="0" w:space="0" w:color="auto"/>
                <w:right w:val="none" w:sz="0" w:space="0" w:color="auto"/>
              </w:divBdr>
            </w:div>
          </w:divsChild>
        </w:div>
        <w:div w:id="61561661">
          <w:marLeft w:val="0"/>
          <w:marRight w:val="0"/>
          <w:marTop w:val="0"/>
          <w:marBottom w:val="0"/>
          <w:divBdr>
            <w:top w:val="none" w:sz="0" w:space="0" w:color="auto"/>
            <w:left w:val="none" w:sz="0" w:space="0" w:color="auto"/>
            <w:bottom w:val="none" w:sz="0" w:space="0" w:color="auto"/>
            <w:right w:val="none" w:sz="0" w:space="0" w:color="auto"/>
          </w:divBdr>
          <w:divsChild>
            <w:div w:id="508644726">
              <w:marLeft w:val="0"/>
              <w:marRight w:val="0"/>
              <w:marTop w:val="0"/>
              <w:marBottom w:val="0"/>
              <w:divBdr>
                <w:top w:val="none" w:sz="0" w:space="0" w:color="auto"/>
                <w:left w:val="none" w:sz="0" w:space="0" w:color="auto"/>
                <w:bottom w:val="none" w:sz="0" w:space="0" w:color="auto"/>
                <w:right w:val="none" w:sz="0" w:space="0" w:color="auto"/>
              </w:divBdr>
            </w:div>
            <w:div w:id="624193335">
              <w:marLeft w:val="0"/>
              <w:marRight w:val="0"/>
              <w:marTop w:val="0"/>
              <w:marBottom w:val="0"/>
              <w:divBdr>
                <w:top w:val="none" w:sz="0" w:space="0" w:color="auto"/>
                <w:left w:val="none" w:sz="0" w:space="0" w:color="auto"/>
                <w:bottom w:val="none" w:sz="0" w:space="0" w:color="auto"/>
                <w:right w:val="none" w:sz="0" w:space="0" w:color="auto"/>
              </w:divBdr>
            </w:div>
            <w:div w:id="655302028">
              <w:marLeft w:val="0"/>
              <w:marRight w:val="0"/>
              <w:marTop w:val="0"/>
              <w:marBottom w:val="0"/>
              <w:divBdr>
                <w:top w:val="none" w:sz="0" w:space="0" w:color="auto"/>
                <w:left w:val="none" w:sz="0" w:space="0" w:color="auto"/>
                <w:bottom w:val="none" w:sz="0" w:space="0" w:color="auto"/>
                <w:right w:val="none" w:sz="0" w:space="0" w:color="auto"/>
              </w:divBdr>
            </w:div>
            <w:div w:id="810639793">
              <w:marLeft w:val="0"/>
              <w:marRight w:val="0"/>
              <w:marTop w:val="0"/>
              <w:marBottom w:val="0"/>
              <w:divBdr>
                <w:top w:val="none" w:sz="0" w:space="0" w:color="auto"/>
                <w:left w:val="none" w:sz="0" w:space="0" w:color="auto"/>
                <w:bottom w:val="none" w:sz="0" w:space="0" w:color="auto"/>
                <w:right w:val="none" w:sz="0" w:space="0" w:color="auto"/>
              </w:divBdr>
            </w:div>
            <w:div w:id="820318040">
              <w:marLeft w:val="0"/>
              <w:marRight w:val="0"/>
              <w:marTop w:val="0"/>
              <w:marBottom w:val="0"/>
              <w:divBdr>
                <w:top w:val="none" w:sz="0" w:space="0" w:color="auto"/>
                <w:left w:val="none" w:sz="0" w:space="0" w:color="auto"/>
                <w:bottom w:val="none" w:sz="0" w:space="0" w:color="auto"/>
                <w:right w:val="none" w:sz="0" w:space="0" w:color="auto"/>
              </w:divBdr>
            </w:div>
            <w:div w:id="1022515940">
              <w:marLeft w:val="0"/>
              <w:marRight w:val="0"/>
              <w:marTop w:val="0"/>
              <w:marBottom w:val="0"/>
              <w:divBdr>
                <w:top w:val="none" w:sz="0" w:space="0" w:color="auto"/>
                <w:left w:val="none" w:sz="0" w:space="0" w:color="auto"/>
                <w:bottom w:val="none" w:sz="0" w:space="0" w:color="auto"/>
                <w:right w:val="none" w:sz="0" w:space="0" w:color="auto"/>
              </w:divBdr>
            </w:div>
            <w:div w:id="1168977858">
              <w:marLeft w:val="0"/>
              <w:marRight w:val="0"/>
              <w:marTop w:val="0"/>
              <w:marBottom w:val="0"/>
              <w:divBdr>
                <w:top w:val="none" w:sz="0" w:space="0" w:color="auto"/>
                <w:left w:val="none" w:sz="0" w:space="0" w:color="auto"/>
                <w:bottom w:val="none" w:sz="0" w:space="0" w:color="auto"/>
                <w:right w:val="none" w:sz="0" w:space="0" w:color="auto"/>
              </w:divBdr>
            </w:div>
            <w:div w:id="1391419972">
              <w:marLeft w:val="0"/>
              <w:marRight w:val="0"/>
              <w:marTop w:val="0"/>
              <w:marBottom w:val="0"/>
              <w:divBdr>
                <w:top w:val="none" w:sz="0" w:space="0" w:color="auto"/>
                <w:left w:val="none" w:sz="0" w:space="0" w:color="auto"/>
                <w:bottom w:val="none" w:sz="0" w:space="0" w:color="auto"/>
                <w:right w:val="none" w:sz="0" w:space="0" w:color="auto"/>
              </w:divBdr>
            </w:div>
            <w:div w:id="1432822952">
              <w:marLeft w:val="0"/>
              <w:marRight w:val="0"/>
              <w:marTop w:val="0"/>
              <w:marBottom w:val="0"/>
              <w:divBdr>
                <w:top w:val="none" w:sz="0" w:space="0" w:color="auto"/>
                <w:left w:val="none" w:sz="0" w:space="0" w:color="auto"/>
                <w:bottom w:val="none" w:sz="0" w:space="0" w:color="auto"/>
                <w:right w:val="none" w:sz="0" w:space="0" w:color="auto"/>
              </w:divBdr>
            </w:div>
            <w:div w:id="1493521282">
              <w:marLeft w:val="0"/>
              <w:marRight w:val="0"/>
              <w:marTop w:val="0"/>
              <w:marBottom w:val="0"/>
              <w:divBdr>
                <w:top w:val="none" w:sz="0" w:space="0" w:color="auto"/>
                <w:left w:val="none" w:sz="0" w:space="0" w:color="auto"/>
                <w:bottom w:val="none" w:sz="0" w:space="0" w:color="auto"/>
                <w:right w:val="none" w:sz="0" w:space="0" w:color="auto"/>
              </w:divBdr>
            </w:div>
            <w:div w:id="1593004053">
              <w:marLeft w:val="0"/>
              <w:marRight w:val="0"/>
              <w:marTop w:val="0"/>
              <w:marBottom w:val="0"/>
              <w:divBdr>
                <w:top w:val="none" w:sz="0" w:space="0" w:color="auto"/>
                <w:left w:val="none" w:sz="0" w:space="0" w:color="auto"/>
                <w:bottom w:val="none" w:sz="0" w:space="0" w:color="auto"/>
                <w:right w:val="none" w:sz="0" w:space="0" w:color="auto"/>
              </w:divBdr>
            </w:div>
            <w:div w:id="1686974482">
              <w:marLeft w:val="0"/>
              <w:marRight w:val="0"/>
              <w:marTop w:val="0"/>
              <w:marBottom w:val="0"/>
              <w:divBdr>
                <w:top w:val="none" w:sz="0" w:space="0" w:color="auto"/>
                <w:left w:val="none" w:sz="0" w:space="0" w:color="auto"/>
                <w:bottom w:val="none" w:sz="0" w:space="0" w:color="auto"/>
                <w:right w:val="none" w:sz="0" w:space="0" w:color="auto"/>
              </w:divBdr>
            </w:div>
            <w:div w:id="1894925858">
              <w:marLeft w:val="0"/>
              <w:marRight w:val="0"/>
              <w:marTop w:val="0"/>
              <w:marBottom w:val="0"/>
              <w:divBdr>
                <w:top w:val="none" w:sz="0" w:space="0" w:color="auto"/>
                <w:left w:val="none" w:sz="0" w:space="0" w:color="auto"/>
                <w:bottom w:val="none" w:sz="0" w:space="0" w:color="auto"/>
                <w:right w:val="none" w:sz="0" w:space="0" w:color="auto"/>
              </w:divBdr>
            </w:div>
          </w:divsChild>
        </w:div>
        <w:div w:id="65611623">
          <w:marLeft w:val="0"/>
          <w:marRight w:val="0"/>
          <w:marTop w:val="0"/>
          <w:marBottom w:val="0"/>
          <w:divBdr>
            <w:top w:val="none" w:sz="0" w:space="0" w:color="auto"/>
            <w:left w:val="none" w:sz="0" w:space="0" w:color="auto"/>
            <w:bottom w:val="none" w:sz="0" w:space="0" w:color="auto"/>
            <w:right w:val="none" w:sz="0" w:space="0" w:color="auto"/>
          </w:divBdr>
          <w:divsChild>
            <w:div w:id="531038311">
              <w:marLeft w:val="0"/>
              <w:marRight w:val="0"/>
              <w:marTop w:val="0"/>
              <w:marBottom w:val="0"/>
              <w:divBdr>
                <w:top w:val="none" w:sz="0" w:space="0" w:color="auto"/>
                <w:left w:val="none" w:sz="0" w:space="0" w:color="auto"/>
                <w:bottom w:val="none" w:sz="0" w:space="0" w:color="auto"/>
                <w:right w:val="none" w:sz="0" w:space="0" w:color="auto"/>
              </w:divBdr>
            </w:div>
            <w:div w:id="572814585">
              <w:marLeft w:val="0"/>
              <w:marRight w:val="0"/>
              <w:marTop w:val="0"/>
              <w:marBottom w:val="0"/>
              <w:divBdr>
                <w:top w:val="none" w:sz="0" w:space="0" w:color="auto"/>
                <w:left w:val="none" w:sz="0" w:space="0" w:color="auto"/>
                <w:bottom w:val="none" w:sz="0" w:space="0" w:color="auto"/>
                <w:right w:val="none" w:sz="0" w:space="0" w:color="auto"/>
              </w:divBdr>
            </w:div>
          </w:divsChild>
        </w:div>
        <w:div w:id="83383710">
          <w:marLeft w:val="0"/>
          <w:marRight w:val="0"/>
          <w:marTop w:val="0"/>
          <w:marBottom w:val="0"/>
          <w:divBdr>
            <w:top w:val="none" w:sz="0" w:space="0" w:color="auto"/>
            <w:left w:val="none" w:sz="0" w:space="0" w:color="auto"/>
            <w:bottom w:val="none" w:sz="0" w:space="0" w:color="auto"/>
            <w:right w:val="none" w:sz="0" w:space="0" w:color="auto"/>
          </w:divBdr>
          <w:divsChild>
            <w:div w:id="1316032059">
              <w:marLeft w:val="0"/>
              <w:marRight w:val="0"/>
              <w:marTop w:val="0"/>
              <w:marBottom w:val="0"/>
              <w:divBdr>
                <w:top w:val="none" w:sz="0" w:space="0" w:color="auto"/>
                <w:left w:val="none" w:sz="0" w:space="0" w:color="auto"/>
                <w:bottom w:val="none" w:sz="0" w:space="0" w:color="auto"/>
                <w:right w:val="none" w:sz="0" w:space="0" w:color="auto"/>
              </w:divBdr>
            </w:div>
            <w:div w:id="1331718627">
              <w:marLeft w:val="0"/>
              <w:marRight w:val="0"/>
              <w:marTop w:val="0"/>
              <w:marBottom w:val="0"/>
              <w:divBdr>
                <w:top w:val="none" w:sz="0" w:space="0" w:color="auto"/>
                <w:left w:val="none" w:sz="0" w:space="0" w:color="auto"/>
                <w:bottom w:val="none" w:sz="0" w:space="0" w:color="auto"/>
                <w:right w:val="none" w:sz="0" w:space="0" w:color="auto"/>
              </w:divBdr>
            </w:div>
          </w:divsChild>
        </w:div>
        <w:div w:id="86274522">
          <w:marLeft w:val="0"/>
          <w:marRight w:val="0"/>
          <w:marTop w:val="0"/>
          <w:marBottom w:val="0"/>
          <w:divBdr>
            <w:top w:val="none" w:sz="0" w:space="0" w:color="auto"/>
            <w:left w:val="none" w:sz="0" w:space="0" w:color="auto"/>
            <w:bottom w:val="none" w:sz="0" w:space="0" w:color="auto"/>
            <w:right w:val="none" w:sz="0" w:space="0" w:color="auto"/>
          </w:divBdr>
          <w:divsChild>
            <w:div w:id="168102166">
              <w:marLeft w:val="0"/>
              <w:marRight w:val="0"/>
              <w:marTop w:val="0"/>
              <w:marBottom w:val="0"/>
              <w:divBdr>
                <w:top w:val="none" w:sz="0" w:space="0" w:color="auto"/>
                <w:left w:val="none" w:sz="0" w:space="0" w:color="auto"/>
                <w:bottom w:val="none" w:sz="0" w:space="0" w:color="auto"/>
                <w:right w:val="none" w:sz="0" w:space="0" w:color="auto"/>
              </w:divBdr>
            </w:div>
            <w:div w:id="256790855">
              <w:marLeft w:val="0"/>
              <w:marRight w:val="0"/>
              <w:marTop w:val="0"/>
              <w:marBottom w:val="0"/>
              <w:divBdr>
                <w:top w:val="none" w:sz="0" w:space="0" w:color="auto"/>
                <w:left w:val="none" w:sz="0" w:space="0" w:color="auto"/>
                <w:bottom w:val="none" w:sz="0" w:space="0" w:color="auto"/>
                <w:right w:val="none" w:sz="0" w:space="0" w:color="auto"/>
              </w:divBdr>
            </w:div>
            <w:div w:id="758407428">
              <w:marLeft w:val="0"/>
              <w:marRight w:val="0"/>
              <w:marTop w:val="0"/>
              <w:marBottom w:val="0"/>
              <w:divBdr>
                <w:top w:val="none" w:sz="0" w:space="0" w:color="auto"/>
                <w:left w:val="none" w:sz="0" w:space="0" w:color="auto"/>
                <w:bottom w:val="none" w:sz="0" w:space="0" w:color="auto"/>
                <w:right w:val="none" w:sz="0" w:space="0" w:color="auto"/>
              </w:divBdr>
            </w:div>
            <w:div w:id="2102751196">
              <w:marLeft w:val="0"/>
              <w:marRight w:val="0"/>
              <w:marTop w:val="0"/>
              <w:marBottom w:val="0"/>
              <w:divBdr>
                <w:top w:val="none" w:sz="0" w:space="0" w:color="auto"/>
                <w:left w:val="none" w:sz="0" w:space="0" w:color="auto"/>
                <w:bottom w:val="none" w:sz="0" w:space="0" w:color="auto"/>
                <w:right w:val="none" w:sz="0" w:space="0" w:color="auto"/>
              </w:divBdr>
            </w:div>
            <w:div w:id="2120054522">
              <w:marLeft w:val="0"/>
              <w:marRight w:val="0"/>
              <w:marTop w:val="0"/>
              <w:marBottom w:val="0"/>
              <w:divBdr>
                <w:top w:val="none" w:sz="0" w:space="0" w:color="auto"/>
                <w:left w:val="none" w:sz="0" w:space="0" w:color="auto"/>
                <w:bottom w:val="none" w:sz="0" w:space="0" w:color="auto"/>
                <w:right w:val="none" w:sz="0" w:space="0" w:color="auto"/>
              </w:divBdr>
            </w:div>
          </w:divsChild>
        </w:div>
        <w:div w:id="92286139">
          <w:marLeft w:val="0"/>
          <w:marRight w:val="0"/>
          <w:marTop w:val="0"/>
          <w:marBottom w:val="0"/>
          <w:divBdr>
            <w:top w:val="none" w:sz="0" w:space="0" w:color="auto"/>
            <w:left w:val="none" w:sz="0" w:space="0" w:color="auto"/>
            <w:bottom w:val="none" w:sz="0" w:space="0" w:color="auto"/>
            <w:right w:val="none" w:sz="0" w:space="0" w:color="auto"/>
          </w:divBdr>
          <w:divsChild>
            <w:div w:id="1510749798">
              <w:marLeft w:val="0"/>
              <w:marRight w:val="0"/>
              <w:marTop w:val="0"/>
              <w:marBottom w:val="0"/>
              <w:divBdr>
                <w:top w:val="none" w:sz="0" w:space="0" w:color="auto"/>
                <w:left w:val="none" w:sz="0" w:space="0" w:color="auto"/>
                <w:bottom w:val="none" w:sz="0" w:space="0" w:color="auto"/>
                <w:right w:val="none" w:sz="0" w:space="0" w:color="auto"/>
              </w:divBdr>
            </w:div>
          </w:divsChild>
        </w:div>
        <w:div w:id="99839612">
          <w:marLeft w:val="0"/>
          <w:marRight w:val="0"/>
          <w:marTop w:val="0"/>
          <w:marBottom w:val="0"/>
          <w:divBdr>
            <w:top w:val="none" w:sz="0" w:space="0" w:color="auto"/>
            <w:left w:val="none" w:sz="0" w:space="0" w:color="auto"/>
            <w:bottom w:val="none" w:sz="0" w:space="0" w:color="auto"/>
            <w:right w:val="none" w:sz="0" w:space="0" w:color="auto"/>
          </w:divBdr>
          <w:divsChild>
            <w:div w:id="83845418">
              <w:marLeft w:val="0"/>
              <w:marRight w:val="0"/>
              <w:marTop w:val="0"/>
              <w:marBottom w:val="0"/>
              <w:divBdr>
                <w:top w:val="none" w:sz="0" w:space="0" w:color="auto"/>
                <w:left w:val="none" w:sz="0" w:space="0" w:color="auto"/>
                <w:bottom w:val="none" w:sz="0" w:space="0" w:color="auto"/>
                <w:right w:val="none" w:sz="0" w:space="0" w:color="auto"/>
              </w:divBdr>
            </w:div>
            <w:div w:id="776564122">
              <w:marLeft w:val="0"/>
              <w:marRight w:val="0"/>
              <w:marTop w:val="0"/>
              <w:marBottom w:val="0"/>
              <w:divBdr>
                <w:top w:val="none" w:sz="0" w:space="0" w:color="auto"/>
                <w:left w:val="none" w:sz="0" w:space="0" w:color="auto"/>
                <w:bottom w:val="none" w:sz="0" w:space="0" w:color="auto"/>
                <w:right w:val="none" w:sz="0" w:space="0" w:color="auto"/>
              </w:divBdr>
            </w:div>
            <w:div w:id="858664201">
              <w:marLeft w:val="0"/>
              <w:marRight w:val="0"/>
              <w:marTop w:val="0"/>
              <w:marBottom w:val="0"/>
              <w:divBdr>
                <w:top w:val="none" w:sz="0" w:space="0" w:color="auto"/>
                <w:left w:val="none" w:sz="0" w:space="0" w:color="auto"/>
                <w:bottom w:val="none" w:sz="0" w:space="0" w:color="auto"/>
                <w:right w:val="none" w:sz="0" w:space="0" w:color="auto"/>
              </w:divBdr>
            </w:div>
            <w:div w:id="1005665878">
              <w:marLeft w:val="0"/>
              <w:marRight w:val="0"/>
              <w:marTop w:val="0"/>
              <w:marBottom w:val="0"/>
              <w:divBdr>
                <w:top w:val="none" w:sz="0" w:space="0" w:color="auto"/>
                <w:left w:val="none" w:sz="0" w:space="0" w:color="auto"/>
                <w:bottom w:val="none" w:sz="0" w:space="0" w:color="auto"/>
                <w:right w:val="none" w:sz="0" w:space="0" w:color="auto"/>
              </w:divBdr>
            </w:div>
            <w:div w:id="1197504195">
              <w:marLeft w:val="0"/>
              <w:marRight w:val="0"/>
              <w:marTop w:val="0"/>
              <w:marBottom w:val="0"/>
              <w:divBdr>
                <w:top w:val="none" w:sz="0" w:space="0" w:color="auto"/>
                <w:left w:val="none" w:sz="0" w:space="0" w:color="auto"/>
                <w:bottom w:val="none" w:sz="0" w:space="0" w:color="auto"/>
                <w:right w:val="none" w:sz="0" w:space="0" w:color="auto"/>
              </w:divBdr>
            </w:div>
            <w:div w:id="1211306979">
              <w:marLeft w:val="0"/>
              <w:marRight w:val="0"/>
              <w:marTop w:val="0"/>
              <w:marBottom w:val="0"/>
              <w:divBdr>
                <w:top w:val="none" w:sz="0" w:space="0" w:color="auto"/>
                <w:left w:val="none" w:sz="0" w:space="0" w:color="auto"/>
                <w:bottom w:val="none" w:sz="0" w:space="0" w:color="auto"/>
                <w:right w:val="none" w:sz="0" w:space="0" w:color="auto"/>
              </w:divBdr>
            </w:div>
            <w:div w:id="1376932833">
              <w:marLeft w:val="0"/>
              <w:marRight w:val="0"/>
              <w:marTop w:val="0"/>
              <w:marBottom w:val="0"/>
              <w:divBdr>
                <w:top w:val="none" w:sz="0" w:space="0" w:color="auto"/>
                <w:left w:val="none" w:sz="0" w:space="0" w:color="auto"/>
                <w:bottom w:val="none" w:sz="0" w:space="0" w:color="auto"/>
                <w:right w:val="none" w:sz="0" w:space="0" w:color="auto"/>
              </w:divBdr>
            </w:div>
            <w:div w:id="1647591125">
              <w:marLeft w:val="0"/>
              <w:marRight w:val="0"/>
              <w:marTop w:val="0"/>
              <w:marBottom w:val="0"/>
              <w:divBdr>
                <w:top w:val="none" w:sz="0" w:space="0" w:color="auto"/>
                <w:left w:val="none" w:sz="0" w:space="0" w:color="auto"/>
                <w:bottom w:val="none" w:sz="0" w:space="0" w:color="auto"/>
                <w:right w:val="none" w:sz="0" w:space="0" w:color="auto"/>
              </w:divBdr>
            </w:div>
            <w:div w:id="1933195853">
              <w:marLeft w:val="0"/>
              <w:marRight w:val="0"/>
              <w:marTop w:val="0"/>
              <w:marBottom w:val="0"/>
              <w:divBdr>
                <w:top w:val="none" w:sz="0" w:space="0" w:color="auto"/>
                <w:left w:val="none" w:sz="0" w:space="0" w:color="auto"/>
                <w:bottom w:val="none" w:sz="0" w:space="0" w:color="auto"/>
                <w:right w:val="none" w:sz="0" w:space="0" w:color="auto"/>
              </w:divBdr>
            </w:div>
            <w:div w:id="2005931572">
              <w:marLeft w:val="0"/>
              <w:marRight w:val="0"/>
              <w:marTop w:val="0"/>
              <w:marBottom w:val="0"/>
              <w:divBdr>
                <w:top w:val="none" w:sz="0" w:space="0" w:color="auto"/>
                <w:left w:val="none" w:sz="0" w:space="0" w:color="auto"/>
                <w:bottom w:val="none" w:sz="0" w:space="0" w:color="auto"/>
                <w:right w:val="none" w:sz="0" w:space="0" w:color="auto"/>
              </w:divBdr>
            </w:div>
          </w:divsChild>
        </w:div>
        <w:div w:id="103966895">
          <w:marLeft w:val="0"/>
          <w:marRight w:val="0"/>
          <w:marTop w:val="0"/>
          <w:marBottom w:val="0"/>
          <w:divBdr>
            <w:top w:val="none" w:sz="0" w:space="0" w:color="auto"/>
            <w:left w:val="none" w:sz="0" w:space="0" w:color="auto"/>
            <w:bottom w:val="none" w:sz="0" w:space="0" w:color="auto"/>
            <w:right w:val="none" w:sz="0" w:space="0" w:color="auto"/>
          </w:divBdr>
          <w:divsChild>
            <w:div w:id="1236092943">
              <w:marLeft w:val="0"/>
              <w:marRight w:val="0"/>
              <w:marTop w:val="0"/>
              <w:marBottom w:val="0"/>
              <w:divBdr>
                <w:top w:val="none" w:sz="0" w:space="0" w:color="auto"/>
                <w:left w:val="none" w:sz="0" w:space="0" w:color="auto"/>
                <w:bottom w:val="none" w:sz="0" w:space="0" w:color="auto"/>
                <w:right w:val="none" w:sz="0" w:space="0" w:color="auto"/>
              </w:divBdr>
            </w:div>
            <w:div w:id="1614482021">
              <w:marLeft w:val="0"/>
              <w:marRight w:val="0"/>
              <w:marTop w:val="0"/>
              <w:marBottom w:val="0"/>
              <w:divBdr>
                <w:top w:val="none" w:sz="0" w:space="0" w:color="auto"/>
                <w:left w:val="none" w:sz="0" w:space="0" w:color="auto"/>
                <w:bottom w:val="none" w:sz="0" w:space="0" w:color="auto"/>
                <w:right w:val="none" w:sz="0" w:space="0" w:color="auto"/>
              </w:divBdr>
            </w:div>
            <w:div w:id="1642732703">
              <w:marLeft w:val="0"/>
              <w:marRight w:val="0"/>
              <w:marTop w:val="0"/>
              <w:marBottom w:val="0"/>
              <w:divBdr>
                <w:top w:val="none" w:sz="0" w:space="0" w:color="auto"/>
                <w:left w:val="none" w:sz="0" w:space="0" w:color="auto"/>
                <w:bottom w:val="none" w:sz="0" w:space="0" w:color="auto"/>
                <w:right w:val="none" w:sz="0" w:space="0" w:color="auto"/>
              </w:divBdr>
            </w:div>
            <w:div w:id="2124033613">
              <w:marLeft w:val="0"/>
              <w:marRight w:val="0"/>
              <w:marTop w:val="0"/>
              <w:marBottom w:val="0"/>
              <w:divBdr>
                <w:top w:val="none" w:sz="0" w:space="0" w:color="auto"/>
                <w:left w:val="none" w:sz="0" w:space="0" w:color="auto"/>
                <w:bottom w:val="none" w:sz="0" w:space="0" w:color="auto"/>
                <w:right w:val="none" w:sz="0" w:space="0" w:color="auto"/>
              </w:divBdr>
            </w:div>
          </w:divsChild>
        </w:div>
        <w:div w:id="111244147">
          <w:marLeft w:val="0"/>
          <w:marRight w:val="0"/>
          <w:marTop w:val="0"/>
          <w:marBottom w:val="0"/>
          <w:divBdr>
            <w:top w:val="none" w:sz="0" w:space="0" w:color="auto"/>
            <w:left w:val="none" w:sz="0" w:space="0" w:color="auto"/>
            <w:bottom w:val="none" w:sz="0" w:space="0" w:color="auto"/>
            <w:right w:val="none" w:sz="0" w:space="0" w:color="auto"/>
          </w:divBdr>
          <w:divsChild>
            <w:div w:id="191384104">
              <w:marLeft w:val="0"/>
              <w:marRight w:val="0"/>
              <w:marTop w:val="0"/>
              <w:marBottom w:val="0"/>
              <w:divBdr>
                <w:top w:val="none" w:sz="0" w:space="0" w:color="auto"/>
                <w:left w:val="none" w:sz="0" w:space="0" w:color="auto"/>
                <w:bottom w:val="none" w:sz="0" w:space="0" w:color="auto"/>
                <w:right w:val="none" w:sz="0" w:space="0" w:color="auto"/>
              </w:divBdr>
            </w:div>
          </w:divsChild>
        </w:div>
        <w:div w:id="116488293">
          <w:marLeft w:val="0"/>
          <w:marRight w:val="0"/>
          <w:marTop w:val="0"/>
          <w:marBottom w:val="0"/>
          <w:divBdr>
            <w:top w:val="none" w:sz="0" w:space="0" w:color="auto"/>
            <w:left w:val="none" w:sz="0" w:space="0" w:color="auto"/>
            <w:bottom w:val="none" w:sz="0" w:space="0" w:color="auto"/>
            <w:right w:val="none" w:sz="0" w:space="0" w:color="auto"/>
          </w:divBdr>
          <w:divsChild>
            <w:div w:id="1825470950">
              <w:marLeft w:val="0"/>
              <w:marRight w:val="0"/>
              <w:marTop w:val="0"/>
              <w:marBottom w:val="0"/>
              <w:divBdr>
                <w:top w:val="none" w:sz="0" w:space="0" w:color="auto"/>
                <w:left w:val="none" w:sz="0" w:space="0" w:color="auto"/>
                <w:bottom w:val="none" w:sz="0" w:space="0" w:color="auto"/>
                <w:right w:val="none" w:sz="0" w:space="0" w:color="auto"/>
              </w:divBdr>
            </w:div>
          </w:divsChild>
        </w:div>
        <w:div w:id="117190702">
          <w:marLeft w:val="0"/>
          <w:marRight w:val="0"/>
          <w:marTop w:val="0"/>
          <w:marBottom w:val="0"/>
          <w:divBdr>
            <w:top w:val="none" w:sz="0" w:space="0" w:color="auto"/>
            <w:left w:val="none" w:sz="0" w:space="0" w:color="auto"/>
            <w:bottom w:val="none" w:sz="0" w:space="0" w:color="auto"/>
            <w:right w:val="none" w:sz="0" w:space="0" w:color="auto"/>
          </w:divBdr>
          <w:divsChild>
            <w:div w:id="1484156127">
              <w:marLeft w:val="0"/>
              <w:marRight w:val="0"/>
              <w:marTop w:val="0"/>
              <w:marBottom w:val="0"/>
              <w:divBdr>
                <w:top w:val="none" w:sz="0" w:space="0" w:color="auto"/>
                <w:left w:val="none" w:sz="0" w:space="0" w:color="auto"/>
                <w:bottom w:val="none" w:sz="0" w:space="0" w:color="auto"/>
                <w:right w:val="none" w:sz="0" w:space="0" w:color="auto"/>
              </w:divBdr>
            </w:div>
            <w:div w:id="1549369179">
              <w:marLeft w:val="0"/>
              <w:marRight w:val="0"/>
              <w:marTop w:val="0"/>
              <w:marBottom w:val="0"/>
              <w:divBdr>
                <w:top w:val="none" w:sz="0" w:space="0" w:color="auto"/>
                <w:left w:val="none" w:sz="0" w:space="0" w:color="auto"/>
                <w:bottom w:val="none" w:sz="0" w:space="0" w:color="auto"/>
                <w:right w:val="none" w:sz="0" w:space="0" w:color="auto"/>
              </w:divBdr>
            </w:div>
          </w:divsChild>
        </w:div>
        <w:div w:id="128519966">
          <w:marLeft w:val="0"/>
          <w:marRight w:val="0"/>
          <w:marTop w:val="0"/>
          <w:marBottom w:val="0"/>
          <w:divBdr>
            <w:top w:val="none" w:sz="0" w:space="0" w:color="auto"/>
            <w:left w:val="none" w:sz="0" w:space="0" w:color="auto"/>
            <w:bottom w:val="none" w:sz="0" w:space="0" w:color="auto"/>
            <w:right w:val="none" w:sz="0" w:space="0" w:color="auto"/>
          </w:divBdr>
          <w:divsChild>
            <w:div w:id="843977529">
              <w:marLeft w:val="0"/>
              <w:marRight w:val="0"/>
              <w:marTop w:val="0"/>
              <w:marBottom w:val="0"/>
              <w:divBdr>
                <w:top w:val="none" w:sz="0" w:space="0" w:color="auto"/>
                <w:left w:val="none" w:sz="0" w:space="0" w:color="auto"/>
                <w:bottom w:val="none" w:sz="0" w:space="0" w:color="auto"/>
                <w:right w:val="none" w:sz="0" w:space="0" w:color="auto"/>
              </w:divBdr>
            </w:div>
          </w:divsChild>
        </w:div>
        <w:div w:id="129522366">
          <w:marLeft w:val="0"/>
          <w:marRight w:val="0"/>
          <w:marTop w:val="0"/>
          <w:marBottom w:val="0"/>
          <w:divBdr>
            <w:top w:val="none" w:sz="0" w:space="0" w:color="auto"/>
            <w:left w:val="none" w:sz="0" w:space="0" w:color="auto"/>
            <w:bottom w:val="none" w:sz="0" w:space="0" w:color="auto"/>
            <w:right w:val="none" w:sz="0" w:space="0" w:color="auto"/>
          </w:divBdr>
          <w:divsChild>
            <w:div w:id="744837960">
              <w:marLeft w:val="0"/>
              <w:marRight w:val="0"/>
              <w:marTop w:val="0"/>
              <w:marBottom w:val="0"/>
              <w:divBdr>
                <w:top w:val="none" w:sz="0" w:space="0" w:color="auto"/>
                <w:left w:val="none" w:sz="0" w:space="0" w:color="auto"/>
                <w:bottom w:val="none" w:sz="0" w:space="0" w:color="auto"/>
                <w:right w:val="none" w:sz="0" w:space="0" w:color="auto"/>
              </w:divBdr>
            </w:div>
          </w:divsChild>
        </w:div>
        <w:div w:id="137692166">
          <w:marLeft w:val="0"/>
          <w:marRight w:val="0"/>
          <w:marTop w:val="0"/>
          <w:marBottom w:val="0"/>
          <w:divBdr>
            <w:top w:val="none" w:sz="0" w:space="0" w:color="auto"/>
            <w:left w:val="none" w:sz="0" w:space="0" w:color="auto"/>
            <w:bottom w:val="none" w:sz="0" w:space="0" w:color="auto"/>
            <w:right w:val="none" w:sz="0" w:space="0" w:color="auto"/>
          </w:divBdr>
          <w:divsChild>
            <w:div w:id="343942386">
              <w:marLeft w:val="0"/>
              <w:marRight w:val="0"/>
              <w:marTop w:val="0"/>
              <w:marBottom w:val="0"/>
              <w:divBdr>
                <w:top w:val="none" w:sz="0" w:space="0" w:color="auto"/>
                <w:left w:val="none" w:sz="0" w:space="0" w:color="auto"/>
                <w:bottom w:val="none" w:sz="0" w:space="0" w:color="auto"/>
                <w:right w:val="none" w:sz="0" w:space="0" w:color="auto"/>
              </w:divBdr>
            </w:div>
            <w:div w:id="1927612934">
              <w:marLeft w:val="0"/>
              <w:marRight w:val="0"/>
              <w:marTop w:val="0"/>
              <w:marBottom w:val="0"/>
              <w:divBdr>
                <w:top w:val="none" w:sz="0" w:space="0" w:color="auto"/>
                <w:left w:val="none" w:sz="0" w:space="0" w:color="auto"/>
                <w:bottom w:val="none" w:sz="0" w:space="0" w:color="auto"/>
                <w:right w:val="none" w:sz="0" w:space="0" w:color="auto"/>
              </w:divBdr>
            </w:div>
            <w:div w:id="2087534055">
              <w:marLeft w:val="0"/>
              <w:marRight w:val="0"/>
              <w:marTop w:val="0"/>
              <w:marBottom w:val="0"/>
              <w:divBdr>
                <w:top w:val="none" w:sz="0" w:space="0" w:color="auto"/>
                <w:left w:val="none" w:sz="0" w:space="0" w:color="auto"/>
                <w:bottom w:val="none" w:sz="0" w:space="0" w:color="auto"/>
                <w:right w:val="none" w:sz="0" w:space="0" w:color="auto"/>
              </w:divBdr>
            </w:div>
          </w:divsChild>
        </w:div>
        <w:div w:id="139930975">
          <w:marLeft w:val="0"/>
          <w:marRight w:val="0"/>
          <w:marTop w:val="0"/>
          <w:marBottom w:val="0"/>
          <w:divBdr>
            <w:top w:val="none" w:sz="0" w:space="0" w:color="auto"/>
            <w:left w:val="none" w:sz="0" w:space="0" w:color="auto"/>
            <w:bottom w:val="none" w:sz="0" w:space="0" w:color="auto"/>
            <w:right w:val="none" w:sz="0" w:space="0" w:color="auto"/>
          </w:divBdr>
          <w:divsChild>
            <w:div w:id="2105487864">
              <w:marLeft w:val="0"/>
              <w:marRight w:val="0"/>
              <w:marTop w:val="0"/>
              <w:marBottom w:val="0"/>
              <w:divBdr>
                <w:top w:val="none" w:sz="0" w:space="0" w:color="auto"/>
                <w:left w:val="none" w:sz="0" w:space="0" w:color="auto"/>
                <w:bottom w:val="none" w:sz="0" w:space="0" w:color="auto"/>
                <w:right w:val="none" w:sz="0" w:space="0" w:color="auto"/>
              </w:divBdr>
            </w:div>
          </w:divsChild>
        </w:div>
        <w:div w:id="142234315">
          <w:marLeft w:val="0"/>
          <w:marRight w:val="0"/>
          <w:marTop w:val="0"/>
          <w:marBottom w:val="0"/>
          <w:divBdr>
            <w:top w:val="none" w:sz="0" w:space="0" w:color="auto"/>
            <w:left w:val="none" w:sz="0" w:space="0" w:color="auto"/>
            <w:bottom w:val="none" w:sz="0" w:space="0" w:color="auto"/>
            <w:right w:val="none" w:sz="0" w:space="0" w:color="auto"/>
          </w:divBdr>
          <w:divsChild>
            <w:div w:id="179197318">
              <w:marLeft w:val="0"/>
              <w:marRight w:val="0"/>
              <w:marTop w:val="0"/>
              <w:marBottom w:val="0"/>
              <w:divBdr>
                <w:top w:val="none" w:sz="0" w:space="0" w:color="auto"/>
                <w:left w:val="none" w:sz="0" w:space="0" w:color="auto"/>
                <w:bottom w:val="none" w:sz="0" w:space="0" w:color="auto"/>
                <w:right w:val="none" w:sz="0" w:space="0" w:color="auto"/>
              </w:divBdr>
            </w:div>
          </w:divsChild>
        </w:div>
        <w:div w:id="149952849">
          <w:marLeft w:val="0"/>
          <w:marRight w:val="0"/>
          <w:marTop w:val="0"/>
          <w:marBottom w:val="0"/>
          <w:divBdr>
            <w:top w:val="none" w:sz="0" w:space="0" w:color="auto"/>
            <w:left w:val="none" w:sz="0" w:space="0" w:color="auto"/>
            <w:bottom w:val="none" w:sz="0" w:space="0" w:color="auto"/>
            <w:right w:val="none" w:sz="0" w:space="0" w:color="auto"/>
          </w:divBdr>
          <w:divsChild>
            <w:div w:id="76755374">
              <w:marLeft w:val="0"/>
              <w:marRight w:val="0"/>
              <w:marTop w:val="0"/>
              <w:marBottom w:val="0"/>
              <w:divBdr>
                <w:top w:val="none" w:sz="0" w:space="0" w:color="auto"/>
                <w:left w:val="none" w:sz="0" w:space="0" w:color="auto"/>
                <w:bottom w:val="none" w:sz="0" w:space="0" w:color="auto"/>
                <w:right w:val="none" w:sz="0" w:space="0" w:color="auto"/>
              </w:divBdr>
            </w:div>
          </w:divsChild>
        </w:div>
        <w:div w:id="153495401">
          <w:marLeft w:val="0"/>
          <w:marRight w:val="0"/>
          <w:marTop w:val="0"/>
          <w:marBottom w:val="0"/>
          <w:divBdr>
            <w:top w:val="none" w:sz="0" w:space="0" w:color="auto"/>
            <w:left w:val="none" w:sz="0" w:space="0" w:color="auto"/>
            <w:bottom w:val="none" w:sz="0" w:space="0" w:color="auto"/>
            <w:right w:val="none" w:sz="0" w:space="0" w:color="auto"/>
          </w:divBdr>
          <w:divsChild>
            <w:div w:id="316809809">
              <w:marLeft w:val="0"/>
              <w:marRight w:val="0"/>
              <w:marTop w:val="0"/>
              <w:marBottom w:val="0"/>
              <w:divBdr>
                <w:top w:val="none" w:sz="0" w:space="0" w:color="auto"/>
                <w:left w:val="none" w:sz="0" w:space="0" w:color="auto"/>
                <w:bottom w:val="none" w:sz="0" w:space="0" w:color="auto"/>
                <w:right w:val="none" w:sz="0" w:space="0" w:color="auto"/>
              </w:divBdr>
            </w:div>
          </w:divsChild>
        </w:div>
        <w:div w:id="157891480">
          <w:marLeft w:val="0"/>
          <w:marRight w:val="0"/>
          <w:marTop w:val="0"/>
          <w:marBottom w:val="0"/>
          <w:divBdr>
            <w:top w:val="none" w:sz="0" w:space="0" w:color="auto"/>
            <w:left w:val="none" w:sz="0" w:space="0" w:color="auto"/>
            <w:bottom w:val="none" w:sz="0" w:space="0" w:color="auto"/>
            <w:right w:val="none" w:sz="0" w:space="0" w:color="auto"/>
          </w:divBdr>
          <w:divsChild>
            <w:div w:id="958872026">
              <w:marLeft w:val="0"/>
              <w:marRight w:val="0"/>
              <w:marTop w:val="0"/>
              <w:marBottom w:val="0"/>
              <w:divBdr>
                <w:top w:val="none" w:sz="0" w:space="0" w:color="auto"/>
                <w:left w:val="none" w:sz="0" w:space="0" w:color="auto"/>
                <w:bottom w:val="none" w:sz="0" w:space="0" w:color="auto"/>
                <w:right w:val="none" w:sz="0" w:space="0" w:color="auto"/>
              </w:divBdr>
            </w:div>
            <w:div w:id="1117455991">
              <w:marLeft w:val="0"/>
              <w:marRight w:val="0"/>
              <w:marTop w:val="0"/>
              <w:marBottom w:val="0"/>
              <w:divBdr>
                <w:top w:val="none" w:sz="0" w:space="0" w:color="auto"/>
                <w:left w:val="none" w:sz="0" w:space="0" w:color="auto"/>
                <w:bottom w:val="none" w:sz="0" w:space="0" w:color="auto"/>
                <w:right w:val="none" w:sz="0" w:space="0" w:color="auto"/>
              </w:divBdr>
            </w:div>
            <w:div w:id="2009557890">
              <w:marLeft w:val="0"/>
              <w:marRight w:val="0"/>
              <w:marTop w:val="0"/>
              <w:marBottom w:val="0"/>
              <w:divBdr>
                <w:top w:val="none" w:sz="0" w:space="0" w:color="auto"/>
                <w:left w:val="none" w:sz="0" w:space="0" w:color="auto"/>
                <w:bottom w:val="none" w:sz="0" w:space="0" w:color="auto"/>
                <w:right w:val="none" w:sz="0" w:space="0" w:color="auto"/>
              </w:divBdr>
            </w:div>
            <w:div w:id="2110543793">
              <w:marLeft w:val="0"/>
              <w:marRight w:val="0"/>
              <w:marTop w:val="0"/>
              <w:marBottom w:val="0"/>
              <w:divBdr>
                <w:top w:val="none" w:sz="0" w:space="0" w:color="auto"/>
                <w:left w:val="none" w:sz="0" w:space="0" w:color="auto"/>
                <w:bottom w:val="none" w:sz="0" w:space="0" w:color="auto"/>
                <w:right w:val="none" w:sz="0" w:space="0" w:color="auto"/>
              </w:divBdr>
            </w:div>
          </w:divsChild>
        </w:div>
        <w:div w:id="157893464">
          <w:marLeft w:val="0"/>
          <w:marRight w:val="0"/>
          <w:marTop w:val="0"/>
          <w:marBottom w:val="0"/>
          <w:divBdr>
            <w:top w:val="none" w:sz="0" w:space="0" w:color="auto"/>
            <w:left w:val="none" w:sz="0" w:space="0" w:color="auto"/>
            <w:bottom w:val="none" w:sz="0" w:space="0" w:color="auto"/>
            <w:right w:val="none" w:sz="0" w:space="0" w:color="auto"/>
          </w:divBdr>
          <w:divsChild>
            <w:div w:id="1584988604">
              <w:marLeft w:val="0"/>
              <w:marRight w:val="0"/>
              <w:marTop w:val="0"/>
              <w:marBottom w:val="0"/>
              <w:divBdr>
                <w:top w:val="none" w:sz="0" w:space="0" w:color="auto"/>
                <w:left w:val="none" w:sz="0" w:space="0" w:color="auto"/>
                <w:bottom w:val="none" w:sz="0" w:space="0" w:color="auto"/>
                <w:right w:val="none" w:sz="0" w:space="0" w:color="auto"/>
              </w:divBdr>
            </w:div>
          </w:divsChild>
        </w:div>
        <w:div w:id="162860077">
          <w:marLeft w:val="0"/>
          <w:marRight w:val="0"/>
          <w:marTop w:val="0"/>
          <w:marBottom w:val="0"/>
          <w:divBdr>
            <w:top w:val="none" w:sz="0" w:space="0" w:color="auto"/>
            <w:left w:val="none" w:sz="0" w:space="0" w:color="auto"/>
            <w:bottom w:val="none" w:sz="0" w:space="0" w:color="auto"/>
            <w:right w:val="none" w:sz="0" w:space="0" w:color="auto"/>
          </w:divBdr>
          <w:divsChild>
            <w:div w:id="2102483661">
              <w:marLeft w:val="0"/>
              <w:marRight w:val="0"/>
              <w:marTop w:val="0"/>
              <w:marBottom w:val="0"/>
              <w:divBdr>
                <w:top w:val="none" w:sz="0" w:space="0" w:color="auto"/>
                <w:left w:val="none" w:sz="0" w:space="0" w:color="auto"/>
                <w:bottom w:val="none" w:sz="0" w:space="0" w:color="auto"/>
                <w:right w:val="none" w:sz="0" w:space="0" w:color="auto"/>
              </w:divBdr>
            </w:div>
          </w:divsChild>
        </w:div>
        <w:div w:id="163054404">
          <w:marLeft w:val="0"/>
          <w:marRight w:val="0"/>
          <w:marTop w:val="0"/>
          <w:marBottom w:val="0"/>
          <w:divBdr>
            <w:top w:val="none" w:sz="0" w:space="0" w:color="auto"/>
            <w:left w:val="none" w:sz="0" w:space="0" w:color="auto"/>
            <w:bottom w:val="none" w:sz="0" w:space="0" w:color="auto"/>
            <w:right w:val="none" w:sz="0" w:space="0" w:color="auto"/>
          </w:divBdr>
          <w:divsChild>
            <w:div w:id="1406755309">
              <w:marLeft w:val="0"/>
              <w:marRight w:val="0"/>
              <w:marTop w:val="0"/>
              <w:marBottom w:val="0"/>
              <w:divBdr>
                <w:top w:val="none" w:sz="0" w:space="0" w:color="auto"/>
                <w:left w:val="none" w:sz="0" w:space="0" w:color="auto"/>
                <w:bottom w:val="none" w:sz="0" w:space="0" w:color="auto"/>
                <w:right w:val="none" w:sz="0" w:space="0" w:color="auto"/>
              </w:divBdr>
            </w:div>
            <w:div w:id="1477067250">
              <w:marLeft w:val="0"/>
              <w:marRight w:val="0"/>
              <w:marTop w:val="0"/>
              <w:marBottom w:val="0"/>
              <w:divBdr>
                <w:top w:val="none" w:sz="0" w:space="0" w:color="auto"/>
                <w:left w:val="none" w:sz="0" w:space="0" w:color="auto"/>
                <w:bottom w:val="none" w:sz="0" w:space="0" w:color="auto"/>
                <w:right w:val="none" w:sz="0" w:space="0" w:color="auto"/>
              </w:divBdr>
            </w:div>
          </w:divsChild>
        </w:div>
        <w:div w:id="165825226">
          <w:marLeft w:val="0"/>
          <w:marRight w:val="0"/>
          <w:marTop w:val="0"/>
          <w:marBottom w:val="0"/>
          <w:divBdr>
            <w:top w:val="none" w:sz="0" w:space="0" w:color="auto"/>
            <w:left w:val="none" w:sz="0" w:space="0" w:color="auto"/>
            <w:bottom w:val="none" w:sz="0" w:space="0" w:color="auto"/>
            <w:right w:val="none" w:sz="0" w:space="0" w:color="auto"/>
          </w:divBdr>
          <w:divsChild>
            <w:div w:id="426115412">
              <w:marLeft w:val="0"/>
              <w:marRight w:val="0"/>
              <w:marTop w:val="0"/>
              <w:marBottom w:val="0"/>
              <w:divBdr>
                <w:top w:val="none" w:sz="0" w:space="0" w:color="auto"/>
                <w:left w:val="none" w:sz="0" w:space="0" w:color="auto"/>
                <w:bottom w:val="none" w:sz="0" w:space="0" w:color="auto"/>
                <w:right w:val="none" w:sz="0" w:space="0" w:color="auto"/>
              </w:divBdr>
            </w:div>
            <w:div w:id="1771391972">
              <w:marLeft w:val="0"/>
              <w:marRight w:val="0"/>
              <w:marTop w:val="0"/>
              <w:marBottom w:val="0"/>
              <w:divBdr>
                <w:top w:val="none" w:sz="0" w:space="0" w:color="auto"/>
                <w:left w:val="none" w:sz="0" w:space="0" w:color="auto"/>
                <w:bottom w:val="none" w:sz="0" w:space="0" w:color="auto"/>
                <w:right w:val="none" w:sz="0" w:space="0" w:color="auto"/>
              </w:divBdr>
            </w:div>
            <w:div w:id="1886332634">
              <w:marLeft w:val="0"/>
              <w:marRight w:val="0"/>
              <w:marTop w:val="0"/>
              <w:marBottom w:val="0"/>
              <w:divBdr>
                <w:top w:val="none" w:sz="0" w:space="0" w:color="auto"/>
                <w:left w:val="none" w:sz="0" w:space="0" w:color="auto"/>
                <w:bottom w:val="none" w:sz="0" w:space="0" w:color="auto"/>
                <w:right w:val="none" w:sz="0" w:space="0" w:color="auto"/>
              </w:divBdr>
            </w:div>
          </w:divsChild>
        </w:div>
        <w:div w:id="180172815">
          <w:marLeft w:val="0"/>
          <w:marRight w:val="0"/>
          <w:marTop w:val="0"/>
          <w:marBottom w:val="0"/>
          <w:divBdr>
            <w:top w:val="none" w:sz="0" w:space="0" w:color="auto"/>
            <w:left w:val="none" w:sz="0" w:space="0" w:color="auto"/>
            <w:bottom w:val="none" w:sz="0" w:space="0" w:color="auto"/>
            <w:right w:val="none" w:sz="0" w:space="0" w:color="auto"/>
          </w:divBdr>
          <w:divsChild>
            <w:div w:id="60760880">
              <w:marLeft w:val="0"/>
              <w:marRight w:val="0"/>
              <w:marTop w:val="0"/>
              <w:marBottom w:val="0"/>
              <w:divBdr>
                <w:top w:val="none" w:sz="0" w:space="0" w:color="auto"/>
                <w:left w:val="none" w:sz="0" w:space="0" w:color="auto"/>
                <w:bottom w:val="none" w:sz="0" w:space="0" w:color="auto"/>
                <w:right w:val="none" w:sz="0" w:space="0" w:color="auto"/>
              </w:divBdr>
            </w:div>
          </w:divsChild>
        </w:div>
        <w:div w:id="180824063">
          <w:marLeft w:val="0"/>
          <w:marRight w:val="0"/>
          <w:marTop w:val="0"/>
          <w:marBottom w:val="0"/>
          <w:divBdr>
            <w:top w:val="none" w:sz="0" w:space="0" w:color="auto"/>
            <w:left w:val="none" w:sz="0" w:space="0" w:color="auto"/>
            <w:bottom w:val="none" w:sz="0" w:space="0" w:color="auto"/>
            <w:right w:val="none" w:sz="0" w:space="0" w:color="auto"/>
          </w:divBdr>
          <w:divsChild>
            <w:div w:id="528297460">
              <w:marLeft w:val="0"/>
              <w:marRight w:val="0"/>
              <w:marTop w:val="0"/>
              <w:marBottom w:val="0"/>
              <w:divBdr>
                <w:top w:val="none" w:sz="0" w:space="0" w:color="auto"/>
                <w:left w:val="none" w:sz="0" w:space="0" w:color="auto"/>
                <w:bottom w:val="none" w:sz="0" w:space="0" w:color="auto"/>
                <w:right w:val="none" w:sz="0" w:space="0" w:color="auto"/>
              </w:divBdr>
            </w:div>
          </w:divsChild>
        </w:div>
        <w:div w:id="183791101">
          <w:marLeft w:val="0"/>
          <w:marRight w:val="0"/>
          <w:marTop w:val="0"/>
          <w:marBottom w:val="0"/>
          <w:divBdr>
            <w:top w:val="none" w:sz="0" w:space="0" w:color="auto"/>
            <w:left w:val="none" w:sz="0" w:space="0" w:color="auto"/>
            <w:bottom w:val="none" w:sz="0" w:space="0" w:color="auto"/>
            <w:right w:val="none" w:sz="0" w:space="0" w:color="auto"/>
          </w:divBdr>
          <w:divsChild>
            <w:div w:id="577331457">
              <w:marLeft w:val="0"/>
              <w:marRight w:val="0"/>
              <w:marTop w:val="0"/>
              <w:marBottom w:val="0"/>
              <w:divBdr>
                <w:top w:val="none" w:sz="0" w:space="0" w:color="auto"/>
                <w:left w:val="none" w:sz="0" w:space="0" w:color="auto"/>
                <w:bottom w:val="none" w:sz="0" w:space="0" w:color="auto"/>
                <w:right w:val="none" w:sz="0" w:space="0" w:color="auto"/>
              </w:divBdr>
            </w:div>
          </w:divsChild>
        </w:div>
        <w:div w:id="193003554">
          <w:marLeft w:val="0"/>
          <w:marRight w:val="0"/>
          <w:marTop w:val="0"/>
          <w:marBottom w:val="0"/>
          <w:divBdr>
            <w:top w:val="none" w:sz="0" w:space="0" w:color="auto"/>
            <w:left w:val="none" w:sz="0" w:space="0" w:color="auto"/>
            <w:bottom w:val="none" w:sz="0" w:space="0" w:color="auto"/>
            <w:right w:val="none" w:sz="0" w:space="0" w:color="auto"/>
          </w:divBdr>
          <w:divsChild>
            <w:div w:id="1710497811">
              <w:marLeft w:val="0"/>
              <w:marRight w:val="0"/>
              <w:marTop w:val="0"/>
              <w:marBottom w:val="0"/>
              <w:divBdr>
                <w:top w:val="none" w:sz="0" w:space="0" w:color="auto"/>
                <w:left w:val="none" w:sz="0" w:space="0" w:color="auto"/>
                <w:bottom w:val="none" w:sz="0" w:space="0" w:color="auto"/>
                <w:right w:val="none" w:sz="0" w:space="0" w:color="auto"/>
              </w:divBdr>
            </w:div>
          </w:divsChild>
        </w:div>
        <w:div w:id="195968384">
          <w:marLeft w:val="0"/>
          <w:marRight w:val="0"/>
          <w:marTop w:val="0"/>
          <w:marBottom w:val="0"/>
          <w:divBdr>
            <w:top w:val="none" w:sz="0" w:space="0" w:color="auto"/>
            <w:left w:val="none" w:sz="0" w:space="0" w:color="auto"/>
            <w:bottom w:val="none" w:sz="0" w:space="0" w:color="auto"/>
            <w:right w:val="none" w:sz="0" w:space="0" w:color="auto"/>
          </w:divBdr>
          <w:divsChild>
            <w:div w:id="1008946732">
              <w:marLeft w:val="0"/>
              <w:marRight w:val="0"/>
              <w:marTop w:val="0"/>
              <w:marBottom w:val="0"/>
              <w:divBdr>
                <w:top w:val="none" w:sz="0" w:space="0" w:color="auto"/>
                <w:left w:val="none" w:sz="0" w:space="0" w:color="auto"/>
                <w:bottom w:val="none" w:sz="0" w:space="0" w:color="auto"/>
                <w:right w:val="none" w:sz="0" w:space="0" w:color="auto"/>
              </w:divBdr>
            </w:div>
          </w:divsChild>
        </w:div>
        <w:div w:id="197133153">
          <w:marLeft w:val="0"/>
          <w:marRight w:val="0"/>
          <w:marTop w:val="0"/>
          <w:marBottom w:val="0"/>
          <w:divBdr>
            <w:top w:val="none" w:sz="0" w:space="0" w:color="auto"/>
            <w:left w:val="none" w:sz="0" w:space="0" w:color="auto"/>
            <w:bottom w:val="none" w:sz="0" w:space="0" w:color="auto"/>
            <w:right w:val="none" w:sz="0" w:space="0" w:color="auto"/>
          </w:divBdr>
          <w:divsChild>
            <w:div w:id="497811656">
              <w:marLeft w:val="0"/>
              <w:marRight w:val="0"/>
              <w:marTop w:val="0"/>
              <w:marBottom w:val="0"/>
              <w:divBdr>
                <w:top w:val="none" w:sz="0" w:space="0" w:color="auto"/>
                <w:left w:val="none" w:sz="0" w:space="0" w:color="auto"/>
                <w:bottom w:val="none" w:sz="0" w:space="0" w:color="auto"/>
                <w:right w:val="none" w:sz="0" w:space="0" w:color="auto"/>
              </w:divBdr>
            </w:div>
          </w:divsChild>
        </w:div>
        <w:div w:id="198515872">
          <w:marLeft w:val="0"/>
          <w:marRight w:val="0"/>
          <w:marTop w:val="0"/>
          <w:marBottom w:val="0"/>
          <w:divBdr>
            <w:top w:val="none" w:sz="0" w:space="0" w:color="auto"/>
            <w:left w:val="none" w:sz="0" w:space="0" w:color="auto"/>
            <w:bottom w:val="none" w:sz="0" w:space="0" w:color="auto"/>
            <w:right w:val="none" w:sz="0" w:space="0" w:color="auto"/>
          </w:divBdr>
          <w:divsChild>
            <w:div w:id="468858882">
              <w:marLeft w:val="0"/>
              <w:marRight w:val="0"/>
              <w:marTop w:val="0"/>
              <w:marBottom w:val="0"/>
              <w:divBdr>
                <w:top w:val="none" w:sz="0" w:space="0" w:color="auto"/>
                <w:left w:val="none" w:sz="0" w:space="0" w:color="auto"/>
                <w:bottom w:val="none" w:sz="0" w:space="0" w:color="auto"/>
                <w:right w:val="none" w:sz="0" w:space="0" w:color="auto"/>
              </w:divBdr>
            </w:div>
            <w:div w:id="1146439021">
              <w:marLeft w:val="0"/>
              <w:marRight w:val="0"/>
              <w:marTop w:val="0"/>
              <w:marBottom w:val="0"/>
              <w:divBdr>
                <w:top w:val="none" w:sz="0" w:space="0" w:color="auto"/>
                <w:left w:val="none" w:sz="0" w:space="0" w:color="auto"/>
                <w:bottom w:val="none" w:sz="0" w:space="0" w:color="auto"/>
                <w:right w:val="none" w:sz="0" w:space="0" w:color="auto"/>
              </w:divBdr>
            </w:div>
            <w:div w:id="1877043217">
              <w:marLeft w:val="0"/>
              <w:marRight w:val="0"/>
              <w:marTop w:val="0"/>
              <w:marBottom w:val="0"/>
              <w:divBdr>
                <w:top w:val="none" w:sz="0" w:space="0" w:color="auto"/>
                <w:left w:val="none" w:sz="0" w:space="0" w:color="auto"/>
                <w:bottom w:val="none" w:sz="0" w:space="0" w:color="auto"/>
                <w:right w:val="none" w:sz="0" w:space="0" w:color="auto"/>
              </w:divBdr>
            </w:div>
            <w:div w:id="2118330558">
              <w:marLeft w:val="0"/>
              <w:marRight w:val="0"/>
              <w:marTop w:val="0"/>
              <w:marBottom w:val="0"/>
              <w:divBdr>
                <w:top w:val="none" w:sz="0" w:space="0" w:color="auto"/>
                <w:left w:val="none" w:sz="0" w:space="0" w:color="auto"/>
                <w:bottom w:val="none" w:sz="0" w:space="0" w:color="auto"/>
                <w:right w:val="none" w:sz="0" w:space="0" w:color="auto"/>
              </w:divBdr>
            </w:div>
          </w:divsChild>
        </w:div>
        <w:div w:id="200870829">
          <w:marLeft w:val="0"/>
          <w:marRight w:val="0"/>
          <w:marTop w:val="0"/>
          <w:marBottom w:val="0"/>
          <w:divBdr>
            <w:top w:val="none" w:sz="0" w:space="0" w:color="auto"/>
            <w:left w:val="none" w:sz="0" w:space="0" w:color="auto"/>
            <w:bottom w:val="none" w:sz="0" w:space="0" w:color="auto"/>
            <w:right w:val="none" w:sz="0" w:space="0" w:color="auto"/>
          </w:divBdr>
          <w:divsChild>
            <w:div w:id="1181775637">
              <w:marLeft w:val="0"/>
              <w:marRight w:val="0"/>
              <w:marTop w:val="0"/>
              <w:marBottom w:val="0"/>
              <w:divBdr>
                <w:top w:val="none" w:sz="0" w:space="0" w:color="auto"/>
                <w:left w:val="none" w:sz="0" w:space="0" w:color="auto"/>
                <w:bottom w:val="none" w:sz="0" w:space="0" w:color="auto"/>
                <w:right w:val="none" w:sz="0" w:space="0" w:color="auto"/>
              </w:divBdr>
            </w:div>
          </w:divsChild>
        </w:div>
        <w:div w:id="201483360">
          <w:marLeft w:val="0"/>
          <w:marRight w:val="0"/>
          <w:marTop w:val="0"/>
          <w:marBottom w:val="0"/>
          <w:divBdr>
            <w:top w:val="none" w:sz="0" w:space="0" w:color="auto"/>
            <w:left w:val="none" w:sz="0" w:space="0" w:color="auto"/>
            <w:bottom w:val="none" w:sz="0" w:space="0" w:color="auto"/>
            <w:right w:val="none" w:sz="0" w:space="0" w:color="auto"/>
          </w:divBdr>
          <w:divsChild>
            <w:div w:id="334306710">
              <w:marLeft w:val="0"/>
              <w:marRight w:val="0"/>
              <w:marTop w:val="0"/>
              <w:marBottom w:val="0"/>
              <w:divBdr>
                <w:top w:val="none" w:sz="0" w:space="0" w:color="auto"/>
                <w:left w:val="none" w:sz="0" w:space="0" w:color="auto"/>
                <w:bottom w:val="none" w:sz="0" w:space="0" w:color="auto"/>
                <w:right w:val="none" w:sz="0" w:space="0" w:color="auto"/>
              </w:divBdr>
            </w:div>
            <w:div w:id="723214487">
              <w:marLeft w:val="0"/>
              <w:marRight w:val="0"/>
              <w:marTop w:val="0"/>
              <w:marBottom w:val="0"/>
              <w:divBdr>
                <w:top w:val="none" w:sz="0" w:space="0" w:color="auto"/>
                <w:left w:val="none" w:sz="0" w:space="0" w:color="auto"/>
                <w:bottom w:val="none" w:sz="0" w:space="0" w:color="auto"/>
                <w:right w:val="none" w:sz="0" w:space="0" w:color="auto"/>
              </w:divBdr>
            </w:div>
            <w:div w:id="1279943957">
              <w:marLeft w:val="0"/>
              <w:marRight w:val="0"/>
              <w:marTop w:val="0"/>
              <w:marBottom w:val="0"/>
              <w:divBdr>
                <w:top w:val="none" w:sz="0" w:space="0" w:color="auto"/>
                <w:left w:val="none" w:sz="0" w:space="0" w:color="auto"/>
                <w:bottom w:val="none" w:sz="0" w:space="0" w:color="auto"/>
                <w:right w:val="none" w:sz="0" w:space="0" w:color="auto"/>
              </w:divBdr>
            </w:div>
            <w:div w:id="1869293388">
              <w:marLeft w:val="0"/>
              <w:marRight w:val="0"/>
              <w:marTop w:val="0"/>
              <w:marBottom w:val="0"/>
              <w:divBdr>
                <w:top w:val="none" w:sz="0" w:space="0" w:color="auto"/>
                <w:left w:val="none" w:sz="0" w:space="0" w:color="auto"/>
                <w:bottom w:val="none" w:sz="0" w:space="0" w:color="auto"/>
                <w:right w:val="none" w:sz="0" w:space="0" w:color="auto"/>
              </w:divBdr>
            </w:div>
          </w:divsChild>
        </w:div>
        <w:div w:id="224681658">
          <w:marLeft w:val="0"/>
          <w:marRight w:val="0"/>
          <w:marTop w:val="0"/>
          <w:marBottom w:val="0"/>
          <w:divBdr>
            <w:top w:val="none" w:sz="0" w:space="0" w:color="auto"/>
            <w:left w:val="none" w:sz="0" w:space="0" w:color="auto"/>
            <w:bottom w:val="none" w:sz="0" w:space="0" w:color="auto"/>
            <w:right w:val="none" w:sz="0" w:space="0" w:color="auto"/>
          </w:divBdr>
          <w:divsChild>
            <w:div w:id="313341412">
              <w:marLeft w:val="0"/>
              <w:marRight w:val="0"/>
              <w:marTop w:val="0"/>
              <w:marBottom w:val="0"/>
              <w:divBdr>
                <w:top w:val="none" w:sz="0" w:space="0" w:color="auto"/>
                <w:left w:val="none" w:sz="0" w:space="0" w:color="auto"/>
                <w:bottom w:val="none" w:sz="0" w:space="0" w:color="auto"/>
                <w:right w:val="none" w:sz="0" w:space="0" w:color="auto"/>
              </w:divBdr>
            </w:div>
          </w:divsChild>
        </w:div>
        <w:div w:id="226187268">
          <w:marLeft w:val="0"/>
          <w:marRight w:val="0"/>
          <w:marTop w:val="0"/>
          <w:marBottom w:val="0"/>
          <w:divBdr>
            <w:top w:val="none" w:sz="0" w:space="0" w:color="auto"/>
            <w:left w:val="none" w:sz="0" w:space="0" w:color="auto"/>
            <w:bottom w:val="none" w:sz="0" w:space="0" w:color="auto"/>
            <w:right w:val="none" w:sz="0" w:space="0" w:color="auto"/>
          </w:divBdr>
          <w:divsChild>
            <w:div w:id="89981057">
              <w:marLeft w:val="0"/>
              <w:marRight w:val="0"/>
              <w:marTop w:val="0"/>
              <w:marBottom w:val="0"/>
              <w:divBdr>
                <w:top w:val="none" w:sz="0" w:space="0" w:color="auto"/>
                <w:left w:val="none" w:sz="0" w:space="0" w:color="auto"/>
                <w:bottom w:val="none" w:sz="0" w:space="0" w:color="auto"/>
                <w:right w:val="none" w:sz="0" w:space="0" w:color="auto"/>
              </w:divBdr>
            </w:div>
            <w:div w:id="414017650">
              <w:marLeft w:val="0"/>
              <w:marRight w:val="0"/>
              <w:marTop w:val="0"/>
              <w:marBottom w:val="0"/>
              <w:divBdr>
                <w:top w:val="none" w:sz="0" w:space="0" w:color="auto"/>
                <w:left w:val="none" w:sz="0" w:space="0" w:color="auto"/>
                <w:bottom w:val="none" w:sz="0" w:space="0" w:color="auto"/>
                <w:right w:val="none" w:sz="0" w:space="0" w:color="auto"/>
              </w:divBdr>
            </w:div>
            <w:div w:id="1592739081">
              <w:marLeft w:val="0"/>
              <w:marRight w:val="0"/>
              <w:marTop w:val="0"/>
              <w:marBottom w:val="0"/>
              <w:divBdr>
                <w:top w:val="none" w:sz="0" w:space="0" w:color="auto"/>
                <w:left w:val="none" w:sz="0" w:space="0" w:color="auto"/>
                <w:bottom w:val="none" w:sz="0" w:space="0" w:color="auto"/>
                <w:right w:val="none" w:sz="0" w:space="0" w:color="auto"/>
              </w:divBdr>
            </w:div>
            <w:div w:id="1720011331">
              <w:marLeft w:val="0"/>
              <w:marRight w:val="0"/>
              <w:marTop w:val="0"/>
              <w:marBottom w:val="0"/>
              <w:divBdr>
                <w:top w:val="none" w:sz="0" w:space="0" w:color="auto"/>
                <w:left w:val="none" w:sz="0" w:space="0" w:color="auto"/>
                <w:bottom w:val="none" w:sz="0" w:space="0" w:color="auto"/>
                <w:right w:val="none" w:sz="0" w:space="0" w:color="auto"/>
              </w:divBdr>
            </w:div>
            <w:div w:id="1892156209">
              <w:marLeft w:val="0"/>
              <w:marRight w:val="0"/>
              <w:marTop w:val="0"/>
              <w:marBottom w:val="0"/>
              <w:divBdr>
                <w:top w:val="none" w:sz="0" w:space="0" w:color="auto"/>
                <w:left w:val="none" w:sz="0" w:space="0" w:color="auto"/>
                <w:bottom w:val="none" w:sz="0" w:space="0" w:color="auto"/>
                <w:right w:val="none" w:sz="0" w:space="0" w:color="auto"/>
              </w:divBdr>
            </w:div>
            <w:div w:id="2107459209">
              <w:marLeft w:val="0"/>
              <w:marRight w:val="0"/>
              <w:marTop w:val="0"/>
              <w:marBottom w:val="0"/>
              <w:divBdr>
                <w:top w:val="none" w:sz="0" w:space="0" w:color="auto"/>
                <w:left w:val="none" w:sz="0" w:space="0" w:color="auto"/>
                <w:bottom w:val="none" w:sz="0" w:space="0" w:color="auto"/>
                <w:right w:val="none" w:sz="0" w:space="0" w:color="auto"/>
              </w:divBdr>
            </w:div>
          </w:divsChild>
        </w:div>
        <w:div w:id="227107135">
          <w:marLeft w:val="0"/>
          <w:marRight w:val="0"/>
          <w:marTop w:val="0"/>
          <w:marBottom w:val="0"/>
          <w:divBdr>
            <w:top w:val="none" w:sz="0" w:space="0" w:color="auto"/>
            <w:left w:val="none" w:sz="0" w:space="0" w:color="auto"/>
            <w:bottom w:val="none" w:sz="0" w:space="0" w:color="auto"/>
            <w:right w:val="none" w:sz="0" w:space="0" w:color="auto"/>
          </w:divBdr>
          <w:divsChild>
            <w:div w:id="1239553172">
              <w:marLeft w:val="0"/>
              <w:marRight w:val="0"/>
              <w:marTop w:val="0"/>
              <w:marBottom w:val="0"/>
              <w:divBdr>
                <w:top w:val="none" w:sz="0" w:space="0" w:color="auto"/>
                <w:left w:val="none" w:sz="0" w:space="0" w:color="auto"/>
                <w:bottom w:val="none" w:sz="0" w:space="0" w:color="auto"/>
                <w:right w:val="none" w:sz="0" w:space="0" w:color="auto"/>
              </w:divBdr>
            </w:div>
          </w:divsChild>
        </w:div>
        <w:div w:id="227813098">
          <w:marLeft w:val="0"/>
          <w:marRight w:val="0"/>
          <w:marTop w:val="0"/>
          <w:marBottom w:val="0"/>
          <w:divBdr>
            <w:top w:val="none" w:sz="0" w:space="0" w:color="auto"/>
            <w:left w:val="none" w:sz="0" w:space="0" w:color="auto"/>
            <w:bottom w:val="none" w:sz="0" w:space="0" w:color="auto"/>
            <w:right w:val="none" w:sz="0" w:space="0" w:color="auto"/>
          </w:divBdr>
          <w:divsChild>
            <w:div w:id="1696686367">
              <w:marLeft w:val="0"/>
              <w:marRight w:val="0"/>
              <w:marTop w:val="0"/>
              <w:marBottom w:val="0"/>
              <w:divBdr>
                <w:top w:val="none" w:sz="0" w:space="0" w:color="auto"/>
                <w:left w:val="none" w:sz="0" w:space="0" w:color="auto"/>
                <w:bottom w:val="none" w:sz="0" w:space="0" w:color="auto"/>
                <w:right w:val="none" w:sz="0" w:space="0" w:color="auto"/>
              </w:divBdr>
            </w:div>
          </w:divsChild>
        </w:div>
        <w:div w:id="229078965">
          <w:marLeft w:val="0"/>
          <w:marRight w:val="0"/>
          <w:marTop w:val="0"/>
          <w:marBottom w:val="0"/>
          <w:divBdr>
            <w:top w:val="none" w:sz="0" w:space="0" w:color="auto"/>
            <w:left w:val="none" w:sz="0" w:space="0" w:color="auto"/>
            <w:bottom w:val="none" w:sz="0" w:space="0" w:color="auto"/>
            <w:right w:val="none" w:sz="0" w:space="0" w:color="auto"/>
          </w:divBdr>
          <w:divsChild>
            <w:div w:id="880629239">
              <w:marLeft w:val="0"/>
              <w:marRight w:val="0"/>
              <w:marTop w:val="0"/>
              <w:marBottom w:val="0"/>
              <w:divBdr>
                <w:top w:val="none" w:sz="0" w:space="0" w:color="auto"/>
                <w:left w:val="none" w:sz="0" w:space="0" w:color="auto"/>
                <w:bottom w:val="none" w:sz="0" w:space="0" w:color="auto"/>
                <w:right w:val="none" w:sz="0" w:space="0" w:color="auto"/>
              </w:divBdr>
            </w:div>
          </w:divsChild>
        </w:div>
        <w:div w:id="231820023">
          <w:marLeft w:val="0"/>
          <w:marRight w:val="0"/>
          <w:marTop w:val="0"/>
          <w:marBottom w:val="0"/>
          <w:divBdr>
            <w:top w:val="none" w:sz="0" w:space="0" w:color="auto"/>
            <w:left w:val="none" w:sz="0" w:space="0" w:color="auto"/>
            <w:bottom w:val="none" w:sz="0" w:space="0" w:color="auto"/>
            <w:right w:val="none" w:sz="0" w:space="0" w:color="auto"/>
          </w:divBdr>
          <w:divsChild>
            <w:div w:id="756092520">
              <w:marLeft w:val="0"/>
              <w:marRight w:val="0"/>
              <w:marTop w:val="0"/>
              <w:marBottom w:val="0"/>
              <w:divBdr>
                <w:top w:val="none" w:sz="0" w:space="0" w:color="auto"/>
                <w:left w:val="none" w:sz="0" w:space="0" w:color="auto"/>
                <w:bottom w:val="none" w:sz="0" w:space="0" w:color="auto"/>
                <w:right w:val="none" w:sz="0" w:space="0" w:color="auto"/>
              </w:divBdr>
            </w:div>
            <w:div w:id="981542290">
              <w:marLeft w:val="0"/>
              <w:marRight w:val="0"/>
              <w:marTop w:val="0"/>
              <w:marBottom w:val="0"/>
              <w:divBdr>
                <w:top w:val="none" w:sz="0" w:space="0" w:color="auto"/>
                <w:left w:val="none" w:sz="0" w:space="0" w:color="auto"/>
                <w:bottom w:val="none" w:sz="0" w:space="0" w:color="auto"/>
                <w:right w:val="none" w:sz="0" w:space="0" w:color="auto"/>
              </w:divBdr>
            </w:div>
            <w:div w:id="1508329010">
              <w:marLeft w:val="0"/>
              <w:marRight w:val="0"/>
              <w:marTop w:val="0"/>
              <w:marBottom w:val="0"/>
              <w:divBdr>
                <w:top w:val="none" w:sz="0" w:space="0" w:color="auto"/>
                <w:left w:val="none" w:sz="0" w:space="0" w:color="auto"/>
                <w:bottom w:val="none" w:sz="0" w:space="0" w:color="auto"/>
                <w:right w:val="none" w:sz="0" w:space="0" w:color="auto"/>
              </w:divBdr>
            </w:div>
          </w:divsChild>
        </w:div>
        <w:div w:id="233127485">
          <w:marLeft w:val="0"/>
          <w:marRight w:val="0"/>
          <w:marTop w:val="0"/>
          <w:marBottom w:val="0"/>
          <w:divBdr>
            <w:top w:val="none" w:sz="0" w:space="0" w:color="auto"/>
            <w:left w:val="none" w:sz="0" w:space="0" w:color="auto"/>
            <w:bottom w:val="none" w:sz="0" w:space="0" w:color="auto"/>
            <w:right w:val="none" w:sz="0" w:space="0" w:color="auto"/>
          </w:divBdr>
          <w:divsChild>
            <w:div w:id="423110664">
              <w:marLeft w:val="0"/>
              <w:marRight w:val="0"/>
              <w:marTop w:val="0"/>
              <w:marBottom w:val="0"/>
              <w:divBdr>
                <w:top w:val="none" w:sz="0" w:space="0" w:color="auto"/>
                <w:left w:val="none" w:sz="0" w:space="0" w:color="auto"/>
                <w:bottom w:val="none" w:sz="0" w:space="0" w:color="auto"/>
                <w:right w:val="none" w:sz="0" w:space="0" w:color="auto"/>
              </w:divBdr>
            </w:div>
            <w:div w:id="1077897506">
              <w:marLeft w:val="0"/>
              <w:marRight w:val="0"/>
              <w:marTop w:val="0"/>
              <w:marBottom w:val="0"/>
              <w:divBdr>
                <w:top w:val="none" w:sz="0" w:space="0" w:color="auto"/>
                <w:left w:val="none" w:sz="0" w:space="0" w:color="auto"/>
                <w:bottom w:val="none" w:sz="0" w:space="0" w:color="auto"/>
                <w:right w:val="none" w:sz="0" w:space="0" w:color="auto"/>
              </w:divBdr>
            </w:div>
            <w:div w:id="1259605237">
              <w:marLeft w:val="0"/>
              <w:marRight w:val="0"/>
              <w:marTop w:val="0"/>
              <w:marBottom w:val="0"/>
              <w:divBdr>
                <w:top w:val="none" w:sz="0" w:space="0" w:color="auto"/>
                <w:left w:val="none" w:sz="0" w:space="0" w:color="auto"/>
                <w:bottom w:val="none" w:sz="0" w:space="0" w:color="auto"/>
                <w:right w:val="none" w:sz="0" w:space="0" w:color="auto"/>
              </w:divBdr>
            </w:div>
            <w:div w:id="1313679793">
              <w:marLeft w:val="0"/>
              <w:marRight w:val="0"/>
              <w:marTop w:val="0"/>
              <w:marBottom w:val="0"/>
              <w:divBdr>
                <w:top w:val="none" w:sz="0" w:space="0" w:color="auto"/>
                <w:left w:val="none" w:sz="0" w:space="0" w:color="auto"/>
                <w:bottom w:val="none" w:sz="0" w:space="0" w:color="auto"/>
                <w:right w:val="none" w:sz="0" w:space="0" w:color="auto"/>
              </w:divBdr>
            </w:div>
            <w:div w:id="1679847576">
              <w:marLeft w:val="0"/>
              <w:marRight w:val="0"/>
              <w:marTop w:val="0"/>
              <w:marBottom w:val="0"/>
              <w:divBdr>
                <w:top w:val="none" w:sz="0" w:space="0" w:color="auto"/>
                <w:left w:val="none" w:sz="0" w:space="0" w:color="auto"/>
                <w:bottom w:val="none" w:sz="0" w:space="0" w:color="auto"/>
                <w:right w:val="none" w:sz="0" w:space="0" w:color="auto"/>
              </w:divBdr>
            </w:div>
            <w:div w:id="1969779652">
              <w:marLeft w:val="0"/>
              <w:marRight w:val="0"/>
              <w:marTop w:val="0"/>
              <w:marBottom w:val="0"/>
              <w:divBdr>
                <w:top w:val="none" w:sz="0" w:space="0" w:color="auto"/>
                <w:left w:val="none" w:sz="0" w:space="0" w:color="auto"/>
                <w:bottom w:val="none" w:sz="0" w:space="0" w:color="auto"/>
                <w:right w:val="none" w:sz="0" w:space="0" w:color="auto"/>
              </w:divBdr>
            </w:div>
            <w:div w:id="2011178906">
              <w:marLeft w:val="0"/>
              <w:marRight w:val="0"/>
              <w:marTop w:val="0"/>
              <w:marBottom w:val="0"/>
              <w:divBdr>
                <w:top w:val="none" w:sz="0" w:space="0" w:color="auto"/>
                <w:left w:val="none" w:sz="0" w:space="0" w:color="auto"/>
                <w:bottom w:val="none" w:sz="0" w:space="0" w:color="auto"/>
                <w:right w:val="none" w:sz="0" w:space="0" w:color="auto"/>
              </w:divBdr>
            </w:div>
          </w:divsChild>
        </w:div>
        <w:div w:id="234751779">
          <w:marLeft w:val="0"/>
          <w:marRight w:val="0"/>
          <w:marTop w:val="0"/>
          <w:marBottom w:val="0"/>
          <w:divBdr>
            <w:top w:val="none" w:sz="0" w:space="0" w:color="auto"/>
            <w:left w:val="none" w:sz="0" w:space="0" w:color="auto"/>
            <w:bottom w:val="none" w:sz="0" w:space="0" w:color="auto"/>
            <w:right w:val="none" w:sz="0" w:space="0" w:color="auto"/>
          </w:divBdr>
          <w:divsChild>
            <w:div w:id="363869738">
              <w:marLeft w:val="0"/>
              <w:marRight w:val="0"/>
              <w:marTop w:val="0"/>
              <w:marBottom w:val="0"/>
              <w:divBdr>
                <w:top w:val="none" w:sz="0" w:space="0" w:color="auto"/>
                <w:left w:val="none" w:sz="0" w:space="0" w:color="auto"/>
                <w:bottom w:val="none" w:sz="0" w:space="0" w:color="auto"/>
                <w:right w:val="none" w:sz="0" w:space="0" w:color="auto"/>
              </w:divBdr>
            </w:div>
          </w:divsChild>
        </w:div>
        <w:div w:id="234753362">
          <w:marLeft w:val="0"/>
          <w:marRight w:val="0"/>
          <w:marTop w:val="0"/>
          <w:marBottom w:val="0"/>
          <w:divBdr>
            <w:top w:val="none" w:sz="0" w:space="0" w:color="auto"/>
            <w:left w:val="none" w:sz="0" w:space="0" w:color="auto"/>
            <w:bottom w:val="none" w:sz="0" w:space="0" w:color="auto"/>
            <w:right w:val="none" w:sz="0" w:space="0" w:color="auto"/>
          </w:divBdr>
          <w:divsChild>
            <w:div w:id="503593751">
              <w:marLeft w:val="0"/>
              <w:marRight w:val="0"/>
              <w:marTop w:val="0"/>
              <w:marBottom w:val="0"/>
              <w:divBdr>
                <w:top w:val="none" w:sz="0" w:space="0" w:color="auto"/>
                <w:left w:val="none" w:sz="0" w:space="0" w:color="auto"/>
                <w:bottom w:val="none" w:sz="0" w:space="0" w:color="auto"/>
                <w:right w:val="none" w:sz="0" w:space="0" w:color="auto"/>
              </w:divBdr>
            </w:div>
          </w:divsChild>
        </w:div>
        <w:div w:id="235408365">
          <w:marLeft w:val="0"/>
          <w:marRight w:val="0"/>
          <w:marTop w:val="0"/>
          <w:marBottom w:val="0"/>
          <w:divBdr>
            <w:top w:val="none" w:sz="0" w:space="0" w:color="auto"/>
            <w:left w:val="none" w:sz="0" w:space="0" w:color="auto"/>
            <w:bottom w:val="none" w:sz="0" w:space="0" w:color="auto"/>
            <w:right w:val="none" w:sz="0" w:space="0" w:color="auto"/>
          </w:divBdr>
          <w:divsChild>
            <w:div w:id="1931892285">
              <w:marLeft w:val="0"/>
              <w:marRight w:val="0"/>
              <w:marTop w:val="0"/>
              <w:marBottom w:val="0"/>
              <w:divBdr>
                <w:top w:val="none" w:sz="0" w:space="0" w:color="auto"/>
                <w:left w:val="none" w:sz="0" w:space="0" w:color="auto"/>
                <w:bottom w:val="none" w:sz="0" w:space="0" w:color="auto"/>
                <w:right w:val="none" w:sz="0" w:space="0" w:color="auto"/>
              </w:divBdr>
            </w:div>
          </w:divsChild>
        </w:div>
        <w:div w:id="238757093">
          <w:marLeft w:val="0"/>
          <w:marRight w:val="0"/>
          <w:marTop w:val="0"/>
          <w:marBottom w:val="0"/>
          <w:divBdr>
            <w:top w:val="none" w:sz="0" w:space="0" w:color="auto"/>
            <w:left w:val="none" w:sz="0" w:space="0" w:color="auto"/>
            <w:bottom w:val="none" w:sz="0" w:space="0" w:color="auto"/>
            <w:right w:val="none" w:sz="0" w:space="0" w:color="auto"/>
          </w:divBdr>
          <w:divsChild>
            <w:div w:id="776289321">
              <w:marLeft w:val="0"/>
              <w:marRight w:val="0"/>
              <w:marTop w:val="0"/>
              <w:marBottom w:val="0"/>
              <w:divBdr>
                <w:top w:val="none" w:sz="0" w:space="0" w:color="auto"/>
                <w:left w:val="none" w:sz="0" w:space="0" w:color="auto"/>
                <w:bottom w:val="none" w:sz="0" w:space="0" w:color="auto"/>
                <w:right w:val="none" w:sz="0" w:space="0" w:color="auto"/>
              </w:divBdr>
            </w:div>
          </w:divsChild>
        </w:div>
        <w:div w:id="242421807">
          <w:marLeft w:val="0"/>
          <w:marRight w:val="0"/>
          <w:marTop w:val="0"/>
          <w:marBottom w:val="0"/>
          <w:divBdr>
            <w:top w:val="none" w:sz="0" w:space="0" w:color="auto"/>
            <w:left w:val="none" w:sz="0" w:space="0" w:color="auto"/>
            <w:bottom w:val="none" w:sz="0" w:space="0" w:color="auto"/>
            <w:right w:val="none" w:sz="0" w:space="0" w:color="auto"/>
          </w:divBdr>
          <w:divsChild>
            <w:div w:id="533233289">
              <w:marLeft w:val="0"/>
              <w:marRight w:val="0"/>
              <w:marTop w:val="0"/>
              <w:marBottom w:val="0"/>
              <w:divBdr>
                <w:top w:val="none" w:sz="0" w:space="0" w:color="auto"/>
                <w:left w:val="none" w:sz="0" w:space="0" w:color="auto"/>
                <w:bottom w:val="none" w:sz="0" w:space="0" w:color="auto"/>
                <w:right w:val="none" w:sz="0" w:space="0" w:color="auto"/>
              </w:divBdr>
            </w:div>
          </w:divsChild>
        </w:div>
        <w:div w:id="242842350">
          <w:marLeft w:val="0"/>
          <w:marRight w:val="0"/>
          <w:marTop w:val="0"/>
          <w:marBottom w:val="0"/>
          <w:divBdr>
            <w:top w:val="none" w:sz="0" w:space="0" w:color="auto"/>
            <w:left w:val="none" w:sz="0" w:space="0" w:color="auto"/>
            <w:bottom w:val="none" w:sz="0" w:space="0" w:color="auto"/>
            <w:right w:val="none" w:sz="0" w:space="0" w:color="auto"/>
          </w:divBdr>
          <w:divsChild>
            <w:div w:id="1222014387">
              <w:marLeft w:val="0"/>
              <w:marRight w:val="0"/>
              <w:marTop w:val="0"/>
              <w:marBottom w:val="0"/>
              <w:divBdr>
                <w:top w:val="none" w:sz="0" w:space="0" w:color="auto"/>
                <w:left w:val="none" w:sz="0" w:space="0" w:color="auto"/>
                <w:bottom w:val="none" w:sz="0" w:space="0" w:color="auto"/>
                <w:right w:val="none" w:sz="0" w:space="0" w:color="auto"/>
              </w:divBdr>
            </w:div>
          </w:divsChild>
        </w:div>
        <w:div w:id="248273492">
          <w:marLeft w:val="0"/>
          <w:marRight w:val="0"/>
          <w:marTop w:val="0"/>
          <w:marBottom w:val="0"/>
          <w:divBdr>
            <w:top w:val="none" w:sz="0" w:space="0" w:color="auto"/>
            <w:left w:val="none" w:sz="0" w:space="0" w:color="auto"/>
            <w:bottom w:val="none" w:sz="0" w:space="0" w:color="auto"/>
            <w:right w:val="none" w:sz="0" w:space="0" w:color="auto"/>
          </w:divBdr>
          <w:divsChild>
            <w:div w:id="1115751641">
              <w:marLeft w:val="0"/>
              <w:marRight w:val="0"/>
              <w:marTop w:val="0"/>
              <w:marBottom w:val="0"/>
              <w:divBdr>
                <w:top w:val="none" w:sz="0" w:space="0" w:color="auto"/>
                <w:left w:val="none" w:sz="0" w:space="0" w:color="auto"/>
                <w:bottom w:val="none" w:sz="0" w:space="0" w:color="auto"/>
                <w:right w:val="none" w:sz="0" w:space="0" w:color="auto"/>
              </w:divBdr>
            </w:div>
            <w:div w:id="1678842413">
              <w:marLeft w:val="0"/>
              <w:marRight w:val="0"/>
              <w:marTop w:val="0"/>
              <w:marBottom w:val="0"/>
              <w:divBdr>
                <w:top w:val="none" w:sz="0" w:space="0" w:color="auto"/>
                <w:left w:val="none" w:sz="0" w:space="0" w:color="auto"/>
                <w:bottom w:val="none" w:sz="0" w:space="0" w:color="auto"/>
                <w:right w:val="none" w:sz="0" w:space="0" w:color="auto"/>
              </w:divBdr>
            </w:div>
          </w:divsChild>
        </w:div>
        <w:div w:id="249975306">
          <w:marLeft w:val="0"/>
          <w:marRight w:val="0"/>
          <w:marTop w:val="0"/>
          <w:marBottom w:val="0"/>
          <w:divBdr>
            <w:top w:val="none" w:sz="0" w:space="0" w:color="auto"/>
            <w:left w:val="none" w:sz="0" w:space="0" w:color="auto"/>
            <w:bottom w:val="none" w:sz="0" w:space="0" w:color="auto"/>
            <w:right w:val="none" w:sz="0" w:space="0" w:color="auto"/>
          </w:divBdr>
          <w:divsChild>
            <w:div w:id="214395433">
              <w:marLeft w:val="0"/>
              <w:marRight w:val="0"/>
              <w:marTop w:val="0"/>
              <w:marBottom w:val="0"/>
              <w:divBdr>
                <w:top w:val="none" w:sz="0" w:space="0" w:color="auto"/>
                <w:left w:val="none" w:sz="0" w:space="0" w:color="auto"/>
                <w:bottom w:val="none" w:sz="0" w:space="0" w:color="auto"/>
                <w:right w:val="none" w:sz="0" w:space="0" w:color="auto"/>
              </w:divBdr>
            </w:div>
            <w:div w:id="362285697">
              <w:marLeft w:val="0"/>
              <w:marRight w:val="0"/>
              <w:marTop w:val="0"/>
              <w:marBottom w:val="0"/>
              <w:divBdr>
                <w:top w:val="none" w:sz="0" w:space="0" w:color="auto"/>
                <w:left w:val="none" w:sz="0" w:space="0" w:color="auto"/>
                <w:bottom w:val="none" w:sz="0" w:space="0" w:color="auto"/>
                <w:right w:val="none" w:sz="0" w:space="0" w:color="auto"/>
              </w:divBdr>
            </w:div>
            <w:div w:id="988096896">
              <w:marLeft w:val="0"/>
              <w:marRight w:val="0"/>
              <w:marTop w:val="0"/>
              <w:marBottom w:val="0"/>
              <w:divBdr>
                <w:top w:val="none" w:sz="0" w:space="0" w:color="auto"/>
                <w:left w:val="none" w:sz="0" w:space="0" w:color="auto"/>
                <w:bottom w:val="none" w:sz="0" w:space="0" w:color="auto"/>
                <w:right w:val="none" w:sz="0" w:space="0" w:color="auto"/>
              </w:divBdr>
            </w:div>
            <w:div w:id="1315644003">
              <w:marLeft w:val="0"/>
              <w:marRight w:val="0"/>
              <w:marTop w:val="0"/>
              <w:marBottom w:val="0"/>
              <w:divBdr>
                <w:top w:val="none" w:sz="0" w:space="0" w:color="auto"/>
                <w:left w:val="none" w:sz="0" w:space="0" w:color="auto"/>
                <w:bottom w:val="none" w:sz="0" w:space="0" w:color="auto"/>
                <w:right w:val="none" w:sz="0" w:space="0" w:color="auto"/>
              </w:divBdr>
            </w:div>
            <w:div w:id="1754005935">
              <w:marLeft w:val="0"/>
              <w:marRight w:val="0"/>
              <w:marTop w:val="0"/>
              <w:marBottom w:val="0"/>
              <w:divBdr>
                <w:top w:val="none" w:sz="0" w:space="0" w:color="auto"/>
                <w:left w:val="none" w:sz="0" w:space="0" w:color="auto"/>
                <w:bottom w:val="none" w:sz="0" w:space="0" w:color="auto"/>
                <w:right w:val="none" w:sz="0" w:space="0" w:color="auto"/>
              </w:divBdr>
            </w:div>
          </w:divsChild>
        </w:div>
        <w:div w:id="252132432">
          <w:marLeft w:val="0"/>
          <w:marRight w:val="0"/>
          <w:marTop w:val="0"/>
          <w:marBottom w:val="0"/>
          <w:divBdr>
            <w:top w:val="none" w:sz="0" w:space="0" w:color="auto"/>
            <w:left w:val="none" w:sz="0" w:space="0" w:color="auto"/>
            <w:bottom w:val="none" w:sz="0" w:space="0" w:color="auto"/>
            <w:right w:val="none" w:sz="0" w:space="0" w:color="auto"/>
          </w:divBdr>
          <w:divsChild>
            <w:div w:id="1725907002">
              <w:marLeft w:val="0"/>
              <w:marRight w:val="0"/>
              <w:marTop w:val="0"/>
              <w:marBottom w:val="0"/>
              <w:divBdr>
                <w:top w:val="none" w:sz="0" w:space="0" w:color="auto"/>
                <w:left w:val="none" w:sz="0" w:space="0" w:color="auto"/>
                <w:bottom w:val="none" w:sz="0" w:space="0" w:color="auto"/>
                <w:right w:val="none" w:sz="0" w:space="0" w:color="auto"/>
              </w:divBdr>
            </w:div>
          </w:divsChild>
        </w:div>
        <w:div w:id="255283366">
          <w:marLeft w:val="0"/>
          <w:marRight w:val="0"/>
          <w:marTop w:val="0"/>
          <w:marBottom w:val="0"/>
          <w:divBdr>
            <w:top w:val="none" w:sz="0" w:space="0" w:color="auto"/>
            <w:left w:val="none" w:sz="0" w:space="0" w:color="auto"/>
            <w:bottom w:val="none" w:sz="0" w:space="0" w:color="auto"/>
            <w:right w:val="none" w:sz="0" w:space="0" w:color="auto"/>
          </w:divBdr>
          <w:divsChild>
            <w:div w:id="1205289622">
              <w:marLeft w:val="0"/>
              <w:marRight w:val="0"/>
              <w:marTop w:val="0"/>
              <w:marBottom w:val="0"/>
              <w:divBdr>
                <w:top w:val="none" w:sz="0" w:space="0" w:color="auto"/>
                <w:left w:val="none" w:sz="0" w:space="0" w:color="auto"/>
                <w:bottom w:val="none" w:sz="0" w:space="0" w:color="auto"/>
                <w:right w:val="none" w:sz="0" w:space="0" w:color="auto"/>
              </w:divBdr>
            </w:div>
            <w:div w:id="2115048298">
              <w:marLeft w:val="0"/>
              <w:marRight w:val="0"/>
              <w:marTop w:val="0"/>
              <w:marBottom w:val="0"/>
              <w:divBdr>
                <w:top w:val="none" w:sz="0" w:space="0" w:color="auto"/>
                <w:left w:val="none" w:sz="0" w:space="0" w:color="auto"/>
                <w:bottom w:val="none" w:sz="0" w:space="0" w:color="auto"/>
                <w:right w:val="none" w:sz="0" w:space="0" w:color="auto"/>
              </w:divBdr>
            </w:div>
          </w:divsChild>
        </w:div>
        <w:div w:id="256183437">
          <w:marLeft w:val="0"/>
          <w:marRight w:val="0"/>
          <w:marTop w:val="0"/>
          <w:marBottom w:val="0"/>
          <w:divBdr>
            <w:top w:val="none" w:sz="0" w:space="0" w:color="auto"/>
            <w:left w:val="none" w:sz="0" w:space="0" w:color="auto"/>
            <w:bottom w:val="none" w:sz="0" w:space="0" w:color="auto"/>
            <w:right w:val="none" w:sz="0" w:space="0" w:color="auto"/>
          </w:divBdr>
          <w:divsChild>
            <w:div w:id="346250393">
              <w:marLeft w:val="0"/>
              <w:marRight w:val="0"/>
              <w:marTop w:val="0"/>
              <w:marBottom w:val="0"/>
              <w:divBdr>
                <w:top w:val="none" w:sz="0" w:space="0" w:color="auto"/>
                <w:left w:val="none" w:sz="0" w:space="0" w:color="auto"/>
                <w:bottom w:val="none" w:sz="0" w:space="0" w:color="auto"/>
                <w:right w:val="none" w:sz="0" w:space="0" w:color="auto"/>
              </w:divBdr>
            </w:div>
            <w:div w:id="1418942120">
              <w:marLeft w:val="0"/>
              <w:marRight w:val="0"/>
              <w:marTop w:val="0"/>
              <w:marBottom w:val="0"/>
              <w:divBdr>
                <w:top w:val="none" w:sz="0" w:space="0" w:color="auto"/>
                <w:left w:val="none" w:sz="0" w:space="0" w:color="auto"/>
                <w:bottom w:val="none" w:sz="0" w:space="0" w:color="auto"/>
                <w:right w:val="none" w:sz="0" w:space="0" w:color="auto"/>
              </w:divBdr>
            </w:div>
            <w:div w:id="1646814617">
              <w:marLeft w:val="0"/>
              <w:marRight w:val="0"/>
              <w:marTop w:val="0"/>
              <w:marBottom w:val="0"/>
              <w:divBdr>
                <w:top w:val="none" w:sz="0" w:space="0" w:color="auto"/>
                <w:left w:val="none" w:sz="0" w:space="0" w:color="auto"/>
                <w:bottom w:val="none" w:sz="0" w:space="0" w:color="auto"/>
                <w:right w:val="none" w:sz="0" w:space="0" w:color="auto"/>
              </w:divBdr>
            </w:div>
          </w:divsChild>
        </w:div>
        <w:div w:id="263541073">
          <w:marLeft w:val="0"/>
          <w:marRight w:val="0"/>
          <w:marTop w:val="0"/>
          <w:marBottom w:val="0"/>
          <w:divBdr>
            <w:top w:val="none" w:sz="0" w:space="0" w:color="auto"/>
            <w:left w:val="none" w:sz="0" w:space="0" w:color="auto"/>
            <w:bottom w:val="none" w:sz="0" w:space="0" w:color="auto"/>
            <w:right w:val="none" w:sz="0" w:space="0" w:color="auto"/>
          </w:divBdr>
          <w:divsChild>
            <w:div w:id="1497258141">
              <w:marLeft w:val="0"/>
              <w:marRight w:val="0"/>
              <w:marTop w:val="0"/>
              <w:marBottom w:val="0"/>
              <w:divBdr>
                <w:top w:val="none" w:sz="0" w:space="0" w:color="auto"/>
                <w:left w:val="none" w:sz="0" w:space="0" w:color="auto"/>
                <w:bottom w:val="none" w:sz="0" w:space="0" w:color="auto"/>
                <w:right w:val="none" w:sz="0" w:space="0" w:color="auto"/>
              </w:divBdr>
            </w:div>
          </w:divsChild>
        </w:div>
        <w:div w:id="265580821">
          <w:marLeft w:val="0"/>
          <w:marRight w:val="0"/>
          <w:marTop w:val="0"/>
          <w:marBottom w:val="0"/>
          <w:divBdr>
            <w:top w:val="none" w:sz="0" w:space="0" w:color="auto"/>
            <w:left w:val="none" w:sz="0" w:space="0" w:color="auto"/>
            <w:bottom w:val="none" w:sz="0" w:space="0" w:color="auto"/>
            <w:right w:val="none" w:sz="0" w:space="0" w:color="auto"/>
          </w:divBdr>
          <w:divsChild>
            <w:div w:id="866024550">
              <w:marLeft w:val="0"/>
              <w:marRight w:val="0"/>
              <w:marTop w:val="0"/>
              <w:marBottom w:val="0"/>
              <w:divBdr>
                <w:top w:val="none" w:sz="0" w:space="0" w:color="auto"/>
                <w:left w:val="none" w:sz="0" w:space="0" w:color="auto"/>
                <w:bottom w:val="none" w:sz="0" w:space="0" w:color="auto"/>
                <w:right w:val="none" w:sz="0" w:space="0" w:color="auto"/>
              </w:divBdr>
            </w:div>
            <w:div w:id="1928928116">
              <w:marLeft w:val="0"/>
              <w:marRight w:val="0"/>
              <w:marTop w:val="0"/>
              <w:marBottom w:val="0"/>
              <w:divBdr>
                <w:top w:val="none" w:sz="0" w:space="0" w:color="auto"/>
                <w:left w:val="none" w:sz="0" w:space="0" w:color="auto"/>
                <w:bottom w:val="none" w:sz="0" w:space="0" w:color="auto"/>
                <w:right w:val="none" w:sz="0" w:space="0" w:color="auto"/>
              </w:divBdr>
            </w:div>
          </w:divsChild>
        </w:div>
        <w:div w:id="266666844">
          <w:marLeft w:val="0"/>
          <w:marRight w:val="0"/>
          <w:marTop w:val="0"/>
          <w:marBottom w:val="0"/>
          <w:divBdr>
            <w:top w:val="none" w:sz="0" w:space="0" w:color="auto"/>
            <w:left w:val="none" w:sz="0" w:space="0" w:color="auto"/>
            <w:bottom w:val="none" w:sz="0" w:space="0" w:color="auto"/>
            <w:right w:val="none" w:sz="0" w:space="0" w:color="auto"/>
          </w:divBdr>
          <w:divsChild>
            <w:div w:id="891116017">
              <w:marLeft w:val="0"/>
              <w:marRight w:val="0"/>
              <w:marTop w:val="0"/>
              <w:marBottom w:val="0"/>
              <w:divBdr>
                <w:top w:val="none" w:sz="0" w:space="0" w:color="auto"/>
                <w:left w:val="none" w:sz="0" w:space="0" w:color="auto"/>
                <w:bottom w:val="none" w:sz="0" w:space="0" w:color="auto"/>
                <w:right w:val="none" w:sz="0" w:space="0" w:color="auto"/>
              </w:divBdr>
            </w:div>
            <w:div w:id="1797603474">
              <w:marLeft w:val="0"/>
              <w:marRight w:val="0"/>
              <w:marTop w:val="0"/>
              <w:marBottom w:val="0"/>
              <w:divBdr>
                <w:top w:val="none" w:sz="0" w:space="0" w:color="auto"/>
                <w:left w:val="none" w:sz="0" w:space="0" w:color="auto"/>
                <w:bottom w:val="none" w:sz="0" w:space="0" w:color="auto"/>
                <w:right w:val="none" w:sz="0" w:space="0" w:color="auto"/>
              </w:divBdr>
            </w:div>
          </w:divsChild>
        </w:div>
        <w:div w:id="270556699">
          <w:marLeft w:val="0"/>
          <w:marRight w:val="0"/>
          <w:marTop w:val="0"/>
          <w:marBottom w:val="0"/>
          <w:divBdr>
            <w:top w:val="none" w:sz="0" w:space="0" w:color="auto"/>
            <w:left w:val="none" w:sz="0" w:space="0" w:color="auto"/>
            <w:bottom w:val="none" w:sz="0" w:space="0" w:color="auto"/>
            <w:right w:val="none" w:sz="0" w:space="0" w:color="auto"/>
          </w:divBdr>
          <w:divsChild>
            <w:div w:id="727075455">
              <w:marLeft w:val="0"/>
              <w:marRight w:val="0"/>
              <w:marTop w:val="0"/>
              <w:marBottom w:val="0"/>
              <w:divBdr>
                <w:top w:val="none" w:sz="0" w:space="0" w:color="auto"/>
                <w:left w:val="none" w:sz="0" w:space="0" w:color="auto"/>
                <w:bottom w:val="none" w:sz="0" w:space="0" w:color="auto"/>
                <w:right w:val="none" w:sz="0" w:space="0" w:color="auto"/>
              </w:divBdr>
            </w:div>
          </w:divsChild>
        </w:div>
        <w:div w:id="284428259">
          <w:marLeft w:val="0"/>
          <w:marRight w:val="0"/>
          <w:marTop w:val="0"/>
          <w:marBottom w:val="0"/>
          <w:divBdr>
            <w:top w:val="none" w:sz="0" w:space="0" w:color="auto"/>
            <w:left w:val="none" w:sz="0" w:space="0" w:color="auto"/>
            <w:bottom w:val="none" w:sz="0" w:space="0" w:color="auto"/>
            <w:right w:val="none" w:sz="0" w:space="0" w:color="auto"/>
          </w:divBdr>
          <w:divsChild>
            <w:div w:id="547883032">
              <w:marLeft w:val="0"/>
              <w:marRight w:val="0"/>
              <w:marTop w:val="0"/>
              <w:marBottom w:val="0"/>
              <w:divBdr>
                <w:top w:val="none" w:sz="0" w:space="0" w:color="auto"/>
                <w:left w:val="none" w:sz="0" w:space="0" w:color="auto"/>
                <w:bottom w:val="none" w:sz="0" w:space="0" w:color="auto"/>
                <w:right w:val="none" w:sz="0" w:space="0" w:color="auto"/>
              </w:divBdr>
            </w:div>
          </w:divsChild>
        </w:div>
        <w:div w:id="286592677">
          <w:marLeft w:val="0"/>
          <w:marRight w:val="0"/>
          <w:marTop w:val="0"/>
          <w:marBottom w:val="0"/>
          <w:divBdr>
            <w:top w:val="none" w:sz="0" w:space="0" w:color="auto"/>
            <w:left w:val="none" w:sz="0" w:space="0" w:color="auto"/>
            <w:bottom w:val="none" w:sz="0" w:space="0" w:color="auto"/>
            <w:right w:val="none" w:sz="0" w:space="0" w:color="auto"/>
          </w:divBdr>
          <w:divsChild>
            <w:div w:id="1509563975">
              <w:marLeft w:val="0"/>
              <w:marRight w:val="0"/>
              <w:marTop w:val="0"/>
              <w:marBottom w:val="0"/>
              <w:divBdr>
                <w:top w:val="none" w:sz="0" w:space="0" w:color="auto"/>
                <w:left w:val="none" w:sz="0" w:space="0" w:color="auto"/>
                <w:bottom w:val="none" w:sz="0" w:space="0" w:color="auto"/>
                <w:right w:val="none" w:sz="0" w:space="0" w:color="auto"/>
              </w:divBdr>
            </w:div>
          </w:divsChild>
        </w:div>
        <w:div w:id="292519309">
          <w:marLeft w:val="0"/>
          <w:marRight w:val="0"/>
          <w:marTop w:val="0"/>
          <w:marBottom w:val="0"/>
          <w:divBdr>
            <w:top w:val="none" w:sz="0" w:space="0" w:color="auto"/>
            <w:left w:val="none" w:sz="0" w:space="0" w:color="auto"/>
            <w:bottom w:val="none" w:sz="0" w:space="0" w:color="auto"/>
            <w:right w:val="none" w:sz="0" w:space="0" w:color="auto"/>
          </w:divBdr>
          <w:divsChild>
            <w:div w:id="452940930">
              <w:marLeft w:val="0"/>
              <w:marRight w:val="0"/>
              <w:marTop w:val="0"/>
              <w:marBottom w:val="0"/>
              <w:divBdr>
                <w:top w:val="none" w:sz="0" w:space="0" w:color="auto"/>
                <w:left w:val="none" w:sz="0" w:space="0" w:color="auto"/>
                <w:bottom w:val="none" w:sz="0" w:space="0" w:color="auto"/>
                <w:right w:val="none" w:sz="0" w:space="0" w:color="auto"/>
              </w:divBdr>
            </w:div>
          </w:divsChild>
        </w:div>
        <w:div w:id="298806812">
          <w:marLeft w:val="0"/>
          <w:marRight w:val="0"/>
          <w:marTop w:val="0"/>
          <w:marBottom w:val="0"/>
          <w:divBdr>
            <w:top w:val="none" w:sz="0" w:space="0" w:color="auto"/>
            <w:left w:val="none" w:sz="0" w:space="0" w:color="auto"/>
            <w:bottom w:val="none" w:sz="0" w:space="0" w:color="auto"/>
            <w:right w:val="none" w:sz="0" w:space="0" w:color="auto"/>
          </w:divBdr>
          <w:divsChild>
            <w:div w:id="7947788">
              <w:marLeft w:val="0"/>
              <w:marRight w:val="0"/>
              <w:marTop w:val="0"/>
              <w:marBottom w:val="0"/>
              <w:divBdr>
                <w:top w:val="none" w:sz="0" w:space="0" w:color="auto"/>
                <w:left w:val="none" w:sz="0" w:space="0" w:color="auto"/>
                <w:bottom w:val="none" w:sz="0" w:space="0" w:color="auto"/>
                <w:right w:val="none" w:sz="0" w:space="0" w:color="auto"/>
              </w:divBdr>
            </w:div>
            <w:div w:id="236014599">
              <w:marLeft w:val="0"/>
              <w:marRight w:val="0"/>
              <w:marTop w:val="0"/>
              <w:marBottom w:val="0"/>
              <w:divBdr>
                <w:top w:val="none" w:sz="0" w:space="0" w:color="auto"/>
                <w:left w:val="none" w:sz="0" w:space="0" w:color="auto"/>
                <w:bottom w:val="none" w:sz="0" w:space="0" w:color="auto"/>
                <w:right w:val="none" w:sz="0" w:space="0" w:color="auto"/>
              </w:divBdr>
            </w:div>
            <w:div w:id="1391271414">
              <w:marLeft w:val="0"/>
              <w:marRight w:val="0"/>
              <w:marTop w:val="0"/>
              <w:marBottom w:val="0"/>
              <w:divBdr>
                <w:top w:val="none" w:sz="0" w:space="0" w:color="auto"/>
                <w:left w:val="none" w:sz="0" w:space="0" w:color="auto"/>
                <w:bottom w:val="none" w:sz="0" w:space="0" w:color="auto"/>
                <w:right w:val="none" w:sz="0" w:space="0" w:color="auto"/>
              </w:divBdr>
            </w:div>
            <w:div w:id="1523011827">
              <w:marLeft w:val="0"/>
              <w:marRight w:val="0"/>
              <w:marTop w:val="0"/>
              <w:marBottom w:val="0"/>
              <w:divBdr>
                <w:top w:val="none" w:sz="0" w:space="0" w:color="auto"/>
                <w:left w:val="none" w:sz="0" w:space="0" w:color="auto"/>
                <w:bottom w:val="none" w:sz="0" w:space="0" w:color="auto"/>
                <w:right w:val="none" w:sz="0" w:space="0" w:color="auto"/>
              </w:divBdr>
            </w:div>
            <w:div w:id="1901020902">
              <w:marLeft w:val="0"/>
              <w:marRight w:val="0"/>
              <w:marTop w:val="0"/>
              <w:marBottom w:val="0"/>
              <w:divBdr>
                <w:top w:val="none" w:sz="0" w:space="0" w:color="auto"/>
                <w:left w:val="none" w:sz="0" w:space="0" w:color="auto"/>
                <w:bottom w:val="none" w:sz="0" w:space="0" w:color="auto"/>
                <w:right w:val="none" w:sz="0" w:space="0" w:color="auto"/>
              </w:divBdr>
            </w:div>
          </w:divsChild>
        </w:div>
        <w:div w:id="304284979">
          <w:marLeft w:val="0"/>
          <w:marRight w:val="0"/>
          <w:marTop w:val="0"/>
          <w:marBottom w:val="0"/>
          <w:divBdr>
            <w:top w:val="none" w:sz="0" w:space="0" w:color="auto"/>
            <w:left w:val="none" w:sz="0" w:space="0" w:color="auto"/>
            <w:bottom w:val="none" w:sz="0" w:space="0" w:color="auto"/>
            <w:right w:val="none" w:sz="0" w:space="0" w:color="auto"/>
          </w:divBdr>
          <w:divsChild>
            <w:div w:id="366486594">
              <w:marLeft w:val="0"/>
              <w:marRight w:val="0"/>
              <w:marTop w:val="0"/>
              <w:marBottom w:val="0"/>
              <w:divBdr>
                <w:top w:val="none" w:sz="0" w:space="0" w:color="auto"/>
                <w:left w:val="none" w:sz="0" w:space="0" w:color="auto"/>
                <w:bottom w:val="none" w:sz="0" w:space="0" w:color="auto"/>
                <w:right w:val="none" w:sz="0" w:space="0" w:color="auto"/>
              </w:divBdr>
            </w:div>
            <w:div w:id="451175447">
              <w:marLeft w:val="0"/>
              <w:marRight w:val="0"/>
              <w:marTop w:val="0"/>
              <w:marBottom w:val="0"/>
              <w:divBdr>
                <w:top w:val="none" w:sz="0" w:space="0" w:color="auto"/>
                <w:left w:val="none" w:sz="0" w:space="0" w:color="auto"/>
                <w:bottom w:val="none" w:sz="0" w:space="0" w:color="auto"/>
                <w:right w:val="none" w:sz="0" w:space="0" w:color="auto"/>
              </w:divBdr>
            </w:div>
            <w:div w:id="1908806017">
              <w:marLeft w:val="0"/>
              <w:marRight w:val="0"/>
              <w:marTop w:val="0"/>
              <w:marBottom w:val="0"/>
              <w:divBdr>
                <w:top w:val="none" w:sz="0" w:space="0" w:color="auto"/>
                <w:left w:val="none" w:sz="0" w:space="0" w:color="auto"/>
                <w:bottom w:val="none" w:sz="0" w:space="0" w:color="auto"/>
                <w:right w:val="none" w:sz="0" w:space="0" w:color="auto"/>
              </w:divBdr>
            </w:div>
            <w:div w:id="2077775829">
              <w:marLeft w:val="0"/>
              <w:marRight w:val="0"/>
              <w:marTop w:val="0"/>
              <w:marBottom w:val="0"/>
              <w:divBdr>
                <w:top w:val="none" w:sz="0" w:space="0" w:color="auto"/>
                <w:left w:val="none" w:sz="0" w:space="0" w:color="auto"/>
                <w:bottom w:val="none" w:sz="0" w:space="0" w:color="auto"/>
                <w:right w:val="none" w:sz="0" w:space="0" w:color="auto"/>
              </w:divBdr>
            </w:div>
          </w:divsChild>
        </w:div>
        <w:div w:id="308873301">
          <w:marLeft w:val="0"/>
          <w:marRight w:val="0"/>
          <w:marTop w:val="0"/>
          <w:marBottom w:val="0"/>
          <w:divBdr>
            <w:top w:val="none" w:sz="0" w:space="0" w:color="auto"/>
            <w:left w:val="none" w:sz="0" w:space="0" w:color="auto"/>
            <w:bottom w:val="none" w:sz="0" w:space="0" w:color="auto"/>
            <w:right w:val="none" w:sz="0" w:space="0" w:color="auto"/>
          </w:divBdr>
          <w:divsChild>
            <w:div w:id="113212268">
              <w:marLeft w:val="0"/>
              <w:marRight w:val="0"/>
              <w:marTop w:val="0"/>
              <w:marBottom w:val="0"/>
              <w:divBdr>
                <w:top w:val="none" w:sz="0" w:space="0" w:color="auto"/>
                <w:left w:val="none" w:sz="0" w:space="0" w:color="auto"/>
                <w:bottom w:val="none" w:sz="0" w:space="0" w:color="auto"/>
                <w:right w:val="none" w:sz="0" w:space="0" w:color="auto"/>
              </w:divBdr>
            </w:div>
          </w:divsChild>
        </w:div>
        <w:div w:id="310449566">
          <w:marLeft w:val="0"/>
          <w:marRight w:val="0"/>
          <w:marTop w:val="0"/>
          <w:marBottom w:val="0"/>
          <w:divBdr>
            <w:top w:val="none" w:sz="0" w:space="0" w:color="auto"/>
            <w:left w:val="none" w:sz="0" w:space="0" w:color="auto"/>
            <w:bottom w:val="none" w:sz="0" w:space="0" w:color="auto"/>
            <w:right w:val="none" w:sz="0" w:space="0" w:color="auto"/>
          </w:divBdr>
          <w:divsChild>
            <w:div w:id="988048736">
              <w:marLeft w:val="0"/>
              <w:marRight w:val="0"/>
              <w:marTop w:val="0"/>
              <w:marBottom w:val="0"/>
              <w:divBdr>
                <w:top w:val="none" w:sz="0" w:space="0" w:color="auto"/>
                <w:left w:val="none" w:sz="0" w:space="0" w:color="auto"/>
                <w:bottom w:val="none" w:sz="0" w:space="0" w:color="auto"/>
                <w:right w:val="none" w:sz="0" w:space="0" w:color="auto"/>
              </w:divBdr>
            </w:div>
          </w:divsChild>
        </w:div>
        <w:div w:id="325208628">
          <w:marLeft w:val="0"/>
          <w:marRight w:val="0"/>
          <w:marTop w:val="0"/>
          <w:marBottom w:val="0"/>
          <w:divBdr>
            <w:top w:val="none" w:sz="0" w:space="0" w:color="auto"/>
            <w:left w:val="none" w:sz="0" w:space="0" w:color="auto"/>
            <w:bottom w:val="none" w:sz="0" w:space="0" w:color="auto"/>
            <w:right w:val="none" w:sz="0" w:space="0" w:color="auto"/>
          </w:divBdr>
          <w:divsChild>
            <w:div w:id="702367469">
              <w:marLeft w:val="0"/>
              <w:marRight w:val="0"/>
              <w:marTop w:val="0"/>
              <w:marBottom w:val="0"/>
              <w:divBdr>
                <w:top w:val="none" w:sz="0" w:space="0" w:color="auto"/>
                <w:left w:val="none" w:sz="0" w:space="0" w:color="auto"/>
                <w:bottom w:val="none" w:sz="0" w:space="0" w:color="auto"/>
                <w:right w:val="none" w:sz="0" w:space="0" w:color="auto"/>
              </w:divBdr>
            </w:div>
          </w:divsChild>
        </w:div>
        <w:div w:id="332536832">
          <w:marLeft w:val="0"/>
          <w:marRight w:val="0"/>
          <w:marTop w:val="0"/>
          <w:marBottom w:val="0"/>
          <w:divBdr>
            <w:top w:val="none" w:sz="0" w:space="0" w:color="auto"/>
            <w:left w:val="none" w:sz="0" w:space="0" w:color="auto"/>
            <w:bottom w:val="none" w:sz="0" w:space="0" w:color="auto"/>
            <w:right w:val="none" w:sz="0" w:space="0" w:color="auto"/>
          </w:divBdr>
          <w:divsChild>
            <w:div w:id="285893843">
              <w:marLeft w:val="0"/>
              <w:marRight w:val="0"/>
              <w:marTop w:val="0"/>
              <w:marBottom w:val="0"/>
              <w:divBdr>
                <w:top w:val="none" w:sz="0" w:space="0" w:color="auto"/>
                <w:left w:val="none" w:sz="0" w:space="0" w:color="auto"/>
                <w:bottom w:val="none" w:sz="0" w:space="0" w:color="auto"/>
                <w:right w:val="none" w:sz="0" w:space="0" w:color="auto"/>
              </w:divBdr>
            </w:div>
          </w:divsChild>
        </w:div>
        <w:div w:id="333923906">
          <w:marLeft w:val="0"/>
          <w:marRight w:val="0"/>
          <w:marTop w:val="0"/>
          <w:marBottom w:val="0"/>
          <w:divBdr>
            <w:top w:val="none" w:sz="0" w:space="0" w:color="auto"/>
            <w:left w:val="none" w:sz="0" w:space="0" w:color="auto"/>
            <w:bottom w:val="none" w:sz="0" w:space="0" w:color="auto"/>
            <w:right w:val="none" w:sz="0" w:space="0" w:color="auto"/>
          </w:divBdr>
          <w:divsChild>
            <w:div w:id="1482775289">
              <w:marLeft w:val="0"/>
              <w:marRight w:val="0"/>
              <w:marTop w:val="0"/>
              <w:marBottom w:val="0"/>
              <w:divBdr>
                <w:top w:val="none" w:sz="0" w:space="0" w:color="auto"/>
                <w:left w:val="none" w:sz="0" w:space="0" w:color="auto"/>
                <w:bottom w:val="none" w:sz="0" w:space="0" w:color="auto"/>
                <w:right w:val="none" w:sz="0" w:space="0" w:color="auto"/>
              </w:divBdr>
            </w:div>
          </w:divsChild>
        </w:div>
        <w:div w:id="334037197">
          <w:marLeft w:val="0"/>
          <w:marRight w:val="0"/>
          <w:marTop w:val="0"/>
          <w:marBottom w:val="0"/>
          <w:divBdr>
            <w:top w:val="none" w:sz="0" w:space="0" w:color="auto"/>
            <w:left w:val="none" w:sz="0" w:space="0" w:color="auto"/>
            <w:bottom w:val="none" w:sz="0" w:space="0" w:color="auto"/>
            <w:right w:val="none" w:sz="0" w:space="0" w:color="auto"/>
          </w:divBdr>
          <w:divsChild>
            <w:div w:id="1016691898">
              <w:marLeft w:val="0"/>
              <w:marRight w:val="0"/>
              <w:marTop w:val="0"/>
              <w:marBottom w:val="0"/>
              <w:divBdr>
                <w:top w:val="none" w:sz="0" w:space="0" w:color="auto"/>
                <w:left w:val="none" w:sz="0" w:space="0" w:color="auto"/>
                <w:bottom w:val="none" w:sz="0" w:space="0" w:color="auto"/>
                <w:right w:val="none" w:sz="0" w:space="0" w:color="auto"/>
              </w:divBdr>
            </w:div>
          </w:divsChild>
        </w:div>
        <w:div w:id="337007463">
          <w:marLeft w:val="0"/>
          <w:marRight w:val="0"/>
          <w:marTop w:val="0"/>
          <w:marBottom w:val="0"/>
          <w:divBdr>
            <w:top w:val="none" w:sz="0" w:space="0" w:color="auto"/>
            <w:left w:val="none" w:sz="0" w:space="0" w:color="auto"/>
            <w:bottom w:val="none" w:sz="0" w:space="0" w:color="auto"/>
            <w:right w:val="none" w:sz="0" w:space="0" w:color="auto"/>
          </w:divBdr>
          <w:divsChild>
            <w:div w:id="1940093834">
              <w:marLeft w:val="0"/>
              <w:marRight w:val="0"/>
              <w:marTop w:val="0"/>
              <w:marBottom w:val="0"/>
              <w:divBdr>
                <w:top w:val="none" w:sz="0" w:space="0" w:color="auto"/>
                <w:left w:val="none" w:sz="0" w:space="0" w:color="auto"/>
                <w:bottom w:val="none" w:sz="0" w:space="0" w:color="auto"/>
                <w:right w:val="none" w:sz="0" w:space="0" w:color="auto"/>
              </w:divBdr>
            </w:div>
          </w:divsChild>
        </w:div>
        <w:div w:id="337584368">
          <w:marLeft w:val="0"/>
          <w:marRight w:val="0"/>
          <w:marTop w:val="0"/>
          <w:marBottom w:val="0"/>
          <w:divBdr>
            <w:top w:val="none" w:sz="0" w:space="0" w:color="auto"/>
            <w:left w:val="none" w:sz="0" w:space="0" w:color="auto"/>
            <w:bottom w:val="none" w:sz="0" w:space="0" w:color="auto"/>
            <w:right w:val="none" w:sz="0" w:space="0" w:color="auto"/>
          </w:divBdr>
          <w:divsChild>
            <w:div w:id="1016689022">
              <w:marLeft w:val="0"/>
              <w:marRight w:val="0"/>
              <w:marTop w:val="0"/>
              <w:marBottom w:val="0"/>
              <w:divBdr>
                <w:top w:val="none" w:sz="0" w:space="0" w:color="auto"/>
                <w:left w:val="none" w:sz="0" w:space="0" w:color="auto"/>
                <w:bottom w:val="none" w:sz="0" w:space="0" w:color="auto"/>
                <w:right w:val="none" w:sz="0" w:space="0" w:color="auto"/>
              </w:divBdr>
            </w:div>
            <w:div w:id="1759129244">
              <w:marLeft w:val="0"/>
              <w:marRight w:val="0"/>
              <w:marTop w:val="0"/>
              <w:marBottom w:val="0"/>
              <w:divBdr>
                <w:top w:val="none" w:sz="0" w:space="0" w:color="auto"/>
                <w:left w:val="none" w:sz="0" w:space="0" w:color="auto"/>
                <w:bottom w:val="none" w:sz="0" w:space="0" w:color="auto"/>
                <w:right w:val="none" w:sz="0" w:space="0" w:color="auto"/>
              </w:divBdr>
            </w:div>
          </w:divsChild>
        </w:div>
        <w:div w:id="339436094">
          <w:marLeft w:val="0"/>
          <w:marRight w:val="0"/>
          <w:marTop w:val="0"/>
          <w:marBottom w:val="0"/>
          <w:divBdr>
            <w:top w:val="none" w:sz="0" w:space="0" w:color="auto"/>
            <w:left w:val="none" w:sz="0" w:space="0" w:color="auto"/>
            <w:bottom w:val="none" w:sz="0" w:space="0" w:color="auto"/>
            <w:right w:val="none" w:sz="0" w:space="0" w:color="auto"/>
          </w:divBdr>
          <w:divsChild>
            <w:div w:id="910120458">
              <w:marLeft w:val="0"/>
              <w:marRight w:val="0"/>
              <w:marTop w:val="0"/>
              <w:marBottom w:val="0"/>
              <w:divBdr>
                <w:top w:val="none" w:sz="0" w:space="0" w:color="auto"/>
                <w:left w:val="none" w:sz="0" w:space="0" w:color="auto"/>
                <w:bottom w:val="none" w:sz="0" w:space="0" w:color="auto"/>
                <w:right w:val="none" w:sz="0" w:space="0" w:color="auto"/>
              </w:divBdr>
            </w:div>
            <w:div w:id="1909725186">
              <w:marLeft w:val="0"/>
              <w:marRight w:val="0"/>
              <w:marTop w:val="0"/>
              <w:marBottom w:val="0"/>
              <w:divBdr>
                <w:top w:val="none" w:sz="0" w:space="0" w:color="auto"/>
                <w:left w:val="none" w:sz="0" w:space="0" w:color="auto"/>
                <w:bottom w:val="none" w:sz="0" w:space="0" w:color="auto"/>
                <w:right w:val="none" w:sz="0" w:space="0" w:color="auto"/>
              </w:divBdr>
            </w:div>
          </w:divsChild>
        </w:div>
        <w:div w:id="342324104">
          <w:marLeft w:val="0"/>
          <w:marRight w:val="0"/>
          <w:marTop w:val="0"/>
          <w:marBottom w:val="0"/>
          <w:divBdr>
            <w:top w:val="none" w:sz="0" w:space="0" w:color="auto"/>
            <w:left w:val="none" w:sz="0" w:space="0" w:color="auto"/>
            <w:bottom w:val="none" w:sz="0" w:space="0" w:color="auto"/>
            <w:right w:val="none" w:sz="0" w:space="0" w:color="auto"/>
          </w:divBdr>
          <w:divsChild>
            <w:div w:id="1585534672">
              <w:marLeft w:val="0"/>
              <w:marRight w:val="0"/>
              <w:marTop w:val="0"/>
              <w:marBottom w:val="0"/>
              <w:divBdr>
                <w:top w:val="none" w:sz="0" w:space="0" w:color="auto"/>
                <w:left w:val="none" w:sz="0" w:space="0" w:color="auto"/>
                <w:bottom w:val="none" w:sz="0" w:space="0" w:color="auto"/>
                <w:right w:val="none" w:sz="0" w:space="0" w:color="auto"/>
              </w:divBdr>
            </w:div>
          </w:divsChild>
        </w:div>
        <w:div w:id="344526396">
          <w:marLeft w:val="0"/>
          <w:marRight w:val="0"/>
          <w:marTop w:val="0"/>
          <w:marBottom w:val="0"/>
          <w:divBdr>
            <w:top w:val="none" w:sz="0" w:space="0" w:color="auto"/>
            <w:left w:val="none" w:sz="0" w:space="0" w:color="auto"/>
            <w:bottom w:val="none" w:sz="0" w:space="0" w:color="auto"/>
            <w:right w:val="none" w:sz="0" w:space="0" w:color="auto"/>
          </w:divBdr>
          <w:divsChild>
            <w:div w:id="135077382">
              <w:marLeft w:val="0"/>
              <w:marRight w:val="0"/>
              <w:marTop w:val="0"/>
              <w:marBottom w:val="0"/>
              <w:divBdr>
                <w:top w:val="none" w:sz="0" w:space="0" w:color="auto"/>
                <w:left w:val="none" w:sz="0" w:space="0" w:color="auto"/>
                <w:bottom w:val="none" w:sz="0" w:space="0" w:color="auto"/>
                <w:right w:val="none" w:sz="0" w:space="0" w:color="auto"/>
              </w:divBdr>
            </w:div>
            <w:div w:id="312953308">
              <w:marLeft w:val="0"/>
              <w:marRight w:val="0"/>
              <w:marTop w:val="0"/>
              <w:marBottom w:val="0"/>
              <w:divBdr>
                <w:top w:val="none" w:sz="0" w:space="0" w:color="auto"/>
                <w:left w:val="none" w:sz="0" w:space="0" w:color="auto"/>
                <w:bottom w:val="none" w:sz="0" w:space="0" w:color="auto"/>
                <w:right w:val="none" w:sz="0" w:space="0" w:color="auto"/>
              </w:divBdr>
            </w:div>
            <w:div w:id="346489045">
              <w:marLeft w:val="0"/>
              <w:marRight w:val="0"/>
              <w:marTop w:val="0"/>
              <w:marBottom w:val="0"/>
              <w:divBdr>
                <w:top w:val="none" w:sz="0" w:space="0" w:color="auto"/>
                <w:left w:val="none" w:sz="0" w:space="0" w:color="auto"/>
                <w:bottom w:val="none" w:sz="0" w:space="0" w:color="auto"/>
                <w:right w:val="none" w:sz="0" w:space="0" w:color="auto"/>
              </w:divBdr>
            </w:div>
            <w:div w:id="374280105">
              <w:marLeft w:val="0"/>
              <w:marRight w:val="0"/>
              <w:marTop w:val="0"/>
              <w:marBottom w:val="0"/>
              <w:divBdr>
                <w:top w:val="none" w:sz="0" w:space="0" w:color="auto"/>
                <w:left w:val="none" w:sz="0" w:space="0" w:color="auto"/>
                <w:bottom w:val="none" w:sz="0" w:space="0" w:color="auto"/>
                <w:right w:val="none" w:sz="0" w:space="0" w:color="auto"/>
              </w:divBdr>
            </w:div>
            <w:div w:id="775708732">
              <w:marLeft w:val="0"/>
              <w:marRight w:val="0"/>
              <w:marTop w:val="0"/>
              <w:marBottom w:val="0"/>
              <w:divBdr>
                <w:top w:val="none" w:sz="0" w:space="0" w:color="auto"/>
                <w:left w:val="none" w:sz="0" w:space="0" w:color="auto"/>
                <w:bottom w:val="none" w:sz="0" w:space="0" w:color="auto"/>
                <w:right w:val="none" w:sz="0" w:space="0" w:color="auto"/>
              </w:divBdr>
            </w:div>
            <w:div w:id="857500740">
              <w:marLeft w:val="0"/>
              <w:marRight w:val="0"/>
              <w:marTop w:val="0"/>
              <w:marBottom w:val="0"/>
              <w:divBdr>
                <w:top w:val="none" w:sz="0" w:space="0" w:color="auto"/>
                <w:left w:val="none" w:sz="0" w:space="0" w:color="auto"/>
                <w:bottom w:val="none" w:sz="0" w:space="0" w:color="auto"/>
                <w:right w:val="none" w:sz="0" w:space="0" w:color="auto"/>
              </w:divBdr>
            </w:div>
            <w:div w:id="1389576614">
              <w:marLeft w:val="0"/>
              <w:marRight w:val="0"/>
              <w:marTop w:val="0"/>
              <w:marBottom w:val="0"/>
              <w:divBdr>
                <w:top w:val="none" w:sz="0" w:space="0" w:color="auto"/>
                <w:left w:val="none" w:sz="0" w:space="0" w:color="auto"/>
                <w:bottom w:val="none" w:sz="0" w:space="0" w:color="auto"/>
                <w:right w:val="none" w:sz="0" w:space="0" w:color="auto"/>
              </w:divBdr>
            </w:div>
            <w:div w:id="1587685056">
              <w:marLeft w:val="0"/>
              <w:marRight w:val="0"/>
              <w:marTop w:val="0"/>
              <w:marBottom w:val="0"/>
              <w:divBdr>
                <w:top w:val="none" w:sz="0" w:space="0" w:color="auto"/>
                <w:left w:val="none" w:sz="0" w:space="0" w:color="auto"/>
                <w:bottom w:val="none" w:sz="0" w:space="0" w:color="auto"/>
                <w:right w:val="none" w:sz="0" w:space="0" w:color="auto"/>
              </w:divBdr>
            </w:div>
            <w:div w:id="1697583030">
              <w:marLeft w:val="0"/>
              <w:marRight w:val="0"/>
              <w:marTop w:val="0"/>
              <w:marBottom w:val="0"/>
              <w:divBdr>
                <w:top w:val="none" w:sz="0" w:space="0" w:color="auto"/>
                <w:left w:val="none" w:sz="0" w:space="0" w:color="auto"/>
                <w:bottom w:val="none" w:sz="0" w:space="0" w:color="auto"/>
                <w:right w:val="none" w:sz="0" w:space="0" w:color="auto"/>
              </w:divBdr>
            </w:div>
            <w:div w:id="1785879352">
              <w:marLeft w:val="0"/>
              <w:marRight w:val="0"/>
              <w:marTop w:val="0"/>
              <w:marBottom w:val="0"/>
              <w:divBdr>
                <w:top w:val="none" w:sz="0" w:space="0" w:color="auto"/>
                <w:left w:val="none" w:sz="0" w:space="0" w:color="auto"/>
                <w:bottom w:val="none" w:sz="0" w:space="0" w:color="auto"/>
                <w:right w:val="none" w:sz="0" w:space="0" w:color="auto"/>
              </w:divBdr>
            </w:div>
          </w:divsChild>
        </w:div>
        <w:div w:id="345600330">
          <w:marLeft w:val="0"/>
          <w:marRight w:val="0"/>
          <w:marTop w:val="0"/>
          <w:marBottom w:val="0"/>
          <w:divBdr>
            <w:top w:val="none" w:sz="0" w:space="0" w:color="auto"/>
            <w:left w:val="none" w:sz="0" w:space="0" w:color="auto"/>
            <w:bottom w:val="none" w:sz="0" w:space="0" w:color="auto"/>
            <w:right w:val="none" w:sz="0" w:space="0" w:color="auto"/>
          </w:divBdr>
          <w:divsChild>
            <w:div w:id="1257253134">
              <w:marLeft w:val="0"/>
              <w:marRight w:val="0"/>
              <w:marTop w:val="0"/>
              <w:marBottom w:val="0"/>
              <w:divBdr>
                <w:top w:val="none" w:sz="0" w:space="0" w:color="auto"/>
                <w:left w:val="none" w:sz="0" w:space="0" w:color="auto"/>
                <w:bottom w:val="none" w:sz="0" w:space="0" w:color="auto"/>
                <w:right w:val="none" w:sz="0" w:space="0" w:color="auto"/>
              </w:divBdr>
            </w:div>
            <w:div w:id="1994945965">
              <w:marLeft w:val="0"/>
              <w:marRight w:val="0"/>
              <w:marTop w:val="0"/>
              <w:marBottom w:val="0"/>
              <w:divBdr>
                <w:top w:val="none" w:sz="0" w:space="0" w:color="auto"/>
                <w:left w:val="none" w:sz="0" w:space="0" w:color="auto"/>
                <w:bottom w:val="none" w:sz="0" w:space="0" w:color="auto"/>
                <w:right w:val="none" w:sz="0" w:space="0" w:color="auto"/>
              </w:divBdr>
            </w:div>
            <w:div w:id="2141921132">
              <w:marLeft w:val="0"/>
              <w:marRight w:val="0"/>
              <w:marTop w:val="0"/>
              <w:marBottom w:val="0"/>
              <w:divBdr>
                <w:top w:val="none" w:sz="0" w:space="0" w:color="auto"/>
                <w:left w:val="none" w:sz="0" w:space="0" w:color="auto"/>
                <w:bottom w:val="none" w:sz="0" w:space="0" w:color="auto"/>
                <w:right w:val="none" w:sz="0" w:space="0" w:color="auto"/>
              </w:divBdr>
            </w:div>
          </w:divsChild>
        </w:div>
        <w:div w:id="347679407">
          <w:marLeft w:val="0"/>
          <w:marRight w:val="0"/>
          <w:marTop w:val="0"/>
          <w:marBottom w:val="0"/>
          <w:divBdr>
            <w:top w:val="none" w:sz="0" w:space="0" w:color="auto"/>
            <w:left w:val="none" w:sz="0" w:space="0" w:color="auto"/>
            <w:bottom w:val="none" w:sz="0" w:space="0" w:color="auto"/>
            <w:right w:val="none" w:sz="0" w:space="0" w:color="auto"/>
          </w:divBdr>
          <w:divsChild>
            <w:div w:id="1499079770">
              <w:marLeft w:val="0"/>
              <w:marRight w:val="0"/>
              <w:marTop w:val="0"/>
              <w:marBottom w:val="0"/>
              <w:divBdr>
                <w:top w:val="none" w:sz="0" w:space="0" w:color="auto"/>
                <w:left w:val="none" w:sz="0" w:space="0" w:color="auto"/>
                <w:bottom w:val="none" w:sz="0" w:space="0" w:color="auto"/>
                <w:right w:val="none" w:sz="0" w:space="0" w:color="auto"/>
              </w:divBdr>
            </w:div>
          </w:divsChild>
        </w:div>
        <w:div w:id="352538130">
          <w:marLeft w:val="0"/>
          <w:marRight w:val="0"/>
          <w:marTop w:val="0"/>
          <w:marBottom w:val="0"/>
          <w:divBdr>
            <w:top w:val="none" w:sz="0" w:space="0" w:color="auto"/>
            <w:left w:val="none" w:sz="0" w:space="0" w:color="auto"/>
            <w:bottom w:val="none" w:sz="0" w:space="0" w:color="auto"/>
            <w:right w:val="none" w:sz="0" w:space="0" w:color="auto"/>
          </w:divBdr>
          <w:divsChild>
            <w:div w:id="522400191">
              <w:marLeft w:val="0"/>
              <w:marRight w:val="0"/>
              <w:marTop w:val="0"/>
              <w:marBottom w:val="0"/>
              <w:divBdr>
                <w:top w:val="none" w:sz="0" w:space="0" w:color="auto"/>
                <w:left w:val="none" w:sz="0" w:space="0" w:color="auto"/>
                <w:bottom w:val="none" w:sz="0" w:space="0" w:color="auto"/>
                <w:right w:val="none" w:sz="0" w:space="0" w:color="auto"/>
              </w:divBdr>
            </w:div>
          </w:divsChild>
        </w:div>
        <w:div w:id="356122750">
          <w:marLeft w:val="0"/>
          <w:marRight w:val="0"/>
          <w:marTop w:val="0"/>
          <w:marBottom w:val="0"/>
          <w:divBdr>
            <w:top w:val="none" w:sz="0" w:space="0" w:color="auto"/>
            <w:left w:val="none" w:sz="0" w:space="0" w:color="auto"/>
            <w:bottom w:val="none" w:sz="0" w:space="0" w:color="auto"/>
            <w:right w:val="none" w:sz="0" w:space="0" w:color="auto"/>
          </w:divBdr>
          <w:divsChild>
            <w:div w:id="558977434">
              <w:marLeft w:val="0"/>
              <w:marRight w:val="0"/>
              <w:marTop w:val="0"/>
              <w:marBottom w:val="0"/>
              <w:divBdr>
                <w:top w:val="none" w:sz="0" w:space="0" w:color="auto"/>
                <w:left w:val="none" w:sz="0" w:space="0" w:color="auto"/>
                <w:bottom w:val="none" w:sz="0" w:space="0" w:color="auto"/>
                <w:right w:val="none" w:sz="0" w:space="0" w:color="auto"/>
              </w:divBdr>
            </w:div>
            <w:div w:id="2047094468">
              <w:marLeft w:val="0"/>
              <w:marRight w:val="0"/>
              <w:marTop w:val="0"/>
              <w:marBottom w:val="0"/>
              <w:divBdr>
                <w:top w:val="none" w:sz="0" w:space="0" w:color="auto"/>
                <w:left w:val="none" w:sz="0" w:space="0" w:color="auto"/>
                <w:bottom w:val="none" w:sz="0" w:space="0" w:color="auto"/>
                <w:right w:val="none" w:sz="0" w:space="0" w:color="auto"/>
              </w:divBdr>
            </w:div>
          </w:divsChild>
        </w:div>
        <w:div w:id="356388179">
          <w:marLeft w:val="0"/>
          <w:marRight w:val="0"/>
          <w:marTop w:val="0"/>
          <w:marBottom w:val="0"/>
          <w:divBdr>
            <w:top w:val="none" w:sz="0" w:space="0" w:color="auto"/>
            <w:left w:val="none" w:sz="0" w:space="0" w:color="auto"/>
            <w:bottom w:val="none" w:sz="0" w:space="0" w:color="auto"/>
            <w:right w:val="none" w:sz="0" w:space="0" w:color="auto"/>
          </w:divBdr>
          <w:divsChild>
            <w:div w:id="102652177">
              <w:marLeft w:val="0"/>
              <w:marRight w:val="0"/>
              <w:marTop w:val="0"/>
              <w:marBottom w:val="0"/>
              <w:divBdr>
                <w:top w:val="none" w:sz="0" w:space="0" w:color="auto"/>
                <w:left w:val="none" w:sz="0" w:space="0" w:color="auto"/>
                <w:bottom w:val="none" w:sz="0" w:space="0" w:color="auto"/>
                <w:right w:val="none" w:sz="0" w:space="0" w:color="auto"/>
              </w:divBdr>
            </w:div>
            <w:div w:id="1405027976">
              <w:marLeft w:val="0"/>
              <w:marRight w:val="0"/>
              <w:marTop w:val="0"/>
              <w:marBottom w:val="0"/>
              <w:divBdr>
                <w:top w:val="none" w:sz="0" w:space="0" w:color="auto"/>
                <w:left w:val="none" w:sz="0" w:space="0" w:color="auto"/>
                <w:bottom w:val="none" w:sz="0" w:space="0" w:color="auto"/>
                <w:right w:val="none" w:sz="0" w:space="0" w:color="auto"/>
              </w:divBdr>
            </w:div>
          </w:divsChild>
        </w:div>
        <w:div w:id="359430043">
          <w:marLeft w:val="0"/>
          <w:marRight w:val="0"/>
          <w:marTop w:val="0"/>
          <w:marBottom w:val="0"/>
          <w:divBdr>
            <w:top w:val="none" w:sz="0" w:space="0" w:color="auto"/>
            <w:left w:val="none" w:sz="0" w:space="0" w:color="auto"/>
            <w:bottom w:val="none" w:sz="0" w:space="0" w:color="auto"/>
            <w:right w:val="none" w:sz="0" w:space="0" w:color="auto"/>
          </w:divBdr>
          <w:divsChild>
            <w:div w:id="1166163626">
              <w:marLeft w:val="0"/>
              <w:marRight w:val="0"/>
              <w:marTop w:val="0"/>
              <w:marBottom w:val="0"/>
              <w:divBdr>
                <w:top w:val="none" w:sz="0" w:space="0" w:color="auto"/>
                <w:left w:val="none" w:sz="0" w:space="0" w:color="auto"/>
                <w:bottom w:val="none" w:sz="0" w:space="0" w:color="auto"/>
                <w:right w:val="none" w:sz="0" w:space="0" w:color="auto"/>
              </w:divBdr>
            </w:div>
          </w:divsChild>
        </w:div>
        <w:div w:id="361321648">
          <w:marLeft w:val="0"/>
          <w:marRight w:val="0"/>
          <w:marTop w:val="0"/>
          <w:marBottom w:val="0"/>
          <w:divBdr>
            <w:top w:val="none" w:sz="0" w:space="0" w:color="auto"/>
            <w:left w:val="none" w:sz="0" w:space="0" w:color="auto"/>
            <w:bottom w:val="none" w:sz="0" w:space="0" w:color="auto"/>
            <w:right w:val="none" w:sz="0" w:space="0" w:color="auto"/>
          </w:divBdr>
          <w:divsChild>
            <w:div w:id="2016613671">
              <w:marLeft w:val="0"/>
              <w:marRight w:val="0"/>
              <w:marTop w:val="0"/>
              <w:marBottom w:val="0"/>
              <w:divBdr>
                <w:top w:val="none" w:sz="0" w:space="0" w:color="auto"/>
                <w:left w:val="none" w:sz="0" w:space="0" w:color="auto"/>
                <w:bottom w:val="none" w:sz="0" w:space="0" w:color="auto"/>
                <w:right w:val="none" w:sz="0" w:space="0" w:color="auto"/>
              </w:divBdr>
            </w:div>
          </w:divsChild>
        </w:div>
        <w:div w:id="362174651">
          <w:marLeft w:val="0"/>
          <w:marRight w:val="0"/>
          <w:marTop w:val="0"/>
          <w:marBottom w:val="0"/>
          <w:divBdr>
            <w:top w:val="none" w:sz="0" w:space="0" w:color="auto"/>
            <w:left w:val="none" w:sz="0" w:space="0" w:color="auto"/>
            <w:bottom w:val="none" w:sz="0" w:space="0" w:color="auto"/>
            <w:right w:val="none" w:sz="0" w:space="0" w:color="auto"/>
          </w:divBdr>
          <w:divsChild>
            <w:div w:id="1873107227">
              <w:marLeft w:val="0"/>
              <w:marRight w:val="0"/>
              <w:marTop w:val="0"/>
              <w:marBottom w:val="0"/>
              <w:divBdr>
                <w:top w:val="none" w:sz="0" w:space="0" w:color="auto"/>
                <w:left w:val="none" w:sz="0" w:space="0" w:color="auto"/>
                <w:bottom w:val="none" w:sz="0" w:space="0" w:color="auto"/>
                <w:right w:val="none" w:sz="0" w:space="0" w:color="auto"/>
              </w:divBdr>
            </w:div>
          </w:divsChild>
        </w:div>
        <w:div w:id="363286115">
          <w:marLeft w:val="0"/>
          <w:marRight w:val="0"/>
          <w:marTop w:val="0"/>
          <w:marBottom w:val="0"/>
          <w:divBdr>
            <w:top w:val="none" w:sz="0" w:space="0" w:color="auto"/>
            <w:left w:val="none" w:sz="0" w:space="0" w:color="auto"/>
            <w:bottom w:val="none" w:sz="0" w:space="0" w:color="auto"/>
            <w:right w:val="none" w:sz="0" w:space="0" w:color="auto"/>
          </w:divBdr>
          <w:divsChild>
            <w:div w:id="1642079809">
              <w:marLeft w:val="0"/>
              <w:marRight w:val="0"/>
              <w:marTop w:val="0"/>
              <w:marBottom w:val="0"/>
              <w:divBdr>
                <w:top w:val="none" w:sz="0" w:space="0" w:color="auto"/>
                <w:left w:val="none" w:sz="0" w:space="0" w:color="auto"/>
                <w:bottom w:val="none" w:sz="0" w:space="0" w:color="auto"/>
                <w:right w:val="none" w:sz="0" w:space="0" w:color="auto"/>
              </w:divBdr>
            </w:div>
          </w:divsChild>
        </w:div>
        <w:div w:id="369309504">
          <w:marLeft w:val="0"/>
          <w:marRight w:val="0"/>
          <w:marTop w:val="0"/>
          <w:marBottom w:val="0"/>
          <w:divBdr>
            <w:top w:val="none" w:sz="0" w:space="0" w:color="auto"/>
            <w:left w:val="none" w:sz="0" w:space="0" w:color="auto"/>
            <w:bottom w:val="none" w:sz="0" w:space="0" w:color="auto"/>
            <w:right w:val="none" w:sz="0" w:space="0" w:color="auto"/>
          </w:divBdr>
          <w:divsChild>
            <w:div w:id="1220551069">
              <w:marLeft w:val="0"/>
              <w:marRight w:val="0"/>
              <w:marTop w:val="0"/>
              <w:marBottom w:val="0"/>
              <w:divBdr>
                <w:top w:val="none" w:sz="0" w:space="0" w:color="auto"/>
                <w:left w:val="none" w:sz="0" w:space="0" w:color="auto"/>
                <w:bottom w:val="none" w:sz="0" w:space="0" w:color="auto"/>
                <w:right w:val="none" w:sz="0" w:space="0" w:color="auto"/>
              </w:divBdr>
            </w:div>
          </w:divsChild>
        </w:div>
        <w:div w:id="371424580">
          <w:marLeft w:val="0"/>
          <w:marRight w:val="0"/>
          <w:marTop w:val="0"/>
          <w:marBottom w:val="0"/>
          <w:divBdr>
            <w:top w:val="none" w:sz="0" w:space="0" w:color="auto"/>
            <w:left w:val="none" w:sz="0" w:space="0" w:color="auto"/>
            <w:bottom w:val="none" w:sz="0" w:space="0" w:color="auto"/>
            <w:right w:val="none" w:sz="0" w:space="0" w:color="auto"/>
          </w:divBdr>
          <w:divsChild>
            <w:div w:id="387730091">
              <w:marLeft w:val="0"/>
              <w:marRight w:val="0"/>
              <w:marTop w:val="0"/>
              <w:marBottom w:val="0"/>
              <w:divBdr>
                <w:top w:val="none" w:sz="0" w:space="0" w:color="auto"/>
                <w:left w:val="none" w:sz="0" w:space="0" w:color="auto"/>
                <w:bottom w:val="none" w:sz="0" w:space="0" w:color="auto"/>
                <w:right w:val="none" w:sz="0" w:space="0" w:color="auto"/>
              </w:divBdr>
            </w:div>
          </w:divsChild>
        </w:div>
        <w:div w:id="373819725">
          <w:marLeft w:val="0"/>
          <w:marRight w:val="0"/>
          <w:marTop w:val="0"/>
          <w:marBottom w:val="0"/>
          <w:divBdr>
            <w:top w:val="none" w:sz="0" w:space="0" w:color="auto"/>
            <w:left w:val="none" w:sz="0" w:space="0" w:color="auto"/>
            <w:bottom w:val="none" w:sz="0" w:space="0" w:color="auto"/>
            <w:right w:val="none" w:sz="0" w:space="0" w:color="auto"/>
          </w:divBdr>
          <w:divsChild>
            <w:div w:id="779179308">
              <w:marLeft w:val="0"/>
              <w:marRight w:val="0"/>
              <w:marTop w:val="0"/>
              <w:marBottom w:val="0"/>
              <w:divBdr>
                <w:top w:val="none" w:sz="0" w:space="0" w:color="auto"/>
                <w:left w:val="none" w:sz="0" w:space="0" w:color="auto"/>
                <w:bottom w:val="none" w:sz="0" w:space="0" w:color="auto"/>
                <w:right w:val="none" w:sz="0" w:space="0" w:color="auto"/>
              </w:divBdr>
            </w:div>
          </w:divsChild>
        </w:div>
        <w:div w:id="374356098">
          <w:marLeft w:val="0"/>
          <w:marRight w:val="0"/>
          <w:marTop w:val="0"/>
          <w:marBottom w:val="0"/>
          <w:divBdr>
            <w:top w:val="none" w:sz="0" w:space="0" w:color="auto"/>
            <w:left w:val="none" w:sz="0" w:space="0" w:color="auto"/>
            <w:bottom w:val="none" w:sz="0" w:space="0" w:color="auto"/>
            <w:right w:val="none" w:sz="0" w:space="0" w:color="auto"/>
          </w:divBdr>
          <w:divsChild>
            <w:div w:id="469907967">
              <w:marLeft w:val="0"/>
              <w:marRight w:val="0"/>
              <w:marTop w:val="0"/>
              <w:marBottom w:val="0"/>
              <w:divBdr>
                <w:top w:val="none" w:sz="0" w:space="0" w:color="auto"/>
                <w:left w:val="none" w:sz="0" w:space="0" w:color="auto"/>
                <w:bottom w:val="none" w:sz="0" w:space="0" w:color="auto"/>
                <w:right w:val="none" w:sz="0" w:space="0" w:color="auto"/>
              </w:divBdr>
            </w:div>
            <w:div w:id="1948927518">
              <w:marLeft w:val="0"/>
              <w:marRight w:val="0"/>
              <w:marTop w:val="0"/>
              <w:marBottom w:val="0"/>
              <w:divBdr>
                <w:top w:val="none" w:sz="0" w:space="0" w:color="auto"/>
                <w:left w:val="none" w:sz="0" w:space="0" w:color="auto"/>
                <w:bottom w:val="none" w:sz="0" w:space="0" w:color="auto"/>
                <w:right w:val="none" w:sz="0" w:space="0" w:color="auto"/>
              </w:divBdr>
            </w:div>
          </w:divsChild>
        </w:div>
        <w:div w:id="380254302">
          <w:marLeft w:val="0"/>
          <w:marRight w:val="0"/>
          <w:marTop w:val="0"/>
          <w:marBottom w:val="0"/>
          <w:divBdr>
            <w:top w:val="none" w:sz="0" w:space="0" w:color="auto"/>
            <w:left w:val="none" w:sz="0" w:space="0" w:color="auto"/>
            <w:bottom w:val="none" w:sz="0" w:space="0" w:color="auto"/>
            <w:right w:val="none" w:sz="0" w:space="0" w:color="auto"/>
          </w:divBdr>
          <w:divsChild>
            <w:div w:id="1590680">
              <w:marLeft w:val="0"/>
              <w:marRight w:val="0"/>
              <w:marTop w:val="0"/>
              <w:marBottom w:val="0"/>
              <w:divBdr>
                <w:top w:val="none" w:sz="0" w:space="0" w:color="auto"/>
                <w:left w:val="none" w:sz="0" w:space="0" w:color="auto"/>
                <w:bottom w:val="none" w:sz="0" w:space="0" w:color="auto"/>
                <w:right w:val="none" w:sz="0" w:space="0" w:color="auto"/>
              </w:divBdr>
            </w:div>
            <w:div w:id="173499233">
              <w:marLeft w:val="0"/>
              <w:marRight w:val="0"/>
              <w:marTop w:val="0"/>
              <w:marBottom w:val="0"/>
              <w:divBdr>
                <w:top w:val="none" w:sz="0" w:space="0" w:color="auto"/>
                <w:left w:val="none" w:sz="0" w:space="0" w:color="auto"/>
                <w:bottom w:val="none" w:sz="0" w:space="0" w:color="auto"/>
                <w:right w:val="none" w:sz="0" w:space="0" w:color="auto"/>
              </w:divBdr>
            </w:div>
            <w:div w:id="903181441">
              <w:marLeft w:val="0"/>
              <w:marRight w:val="0"/>
              <w:marTop w:val="0"/>
              <w:marBottom w:val="0"/>
              <w:divBdr>
                <w:top w:val="none" w:sz="0" w:space="0" w:color="auto"/>
                <w:left w:val="none" w:sz="0" w:space="0" w:color="auto"/>
                <w:bottom w:val="none" w:sz="0" w:space="0" w:color="auto"/>
                <w:right w:val="none" w:sz="0" w:space="0" w:color="auto"/>
              </w:divBdr>
            </w:div>
            <w:div w:id="1275551551">
              <w:marLeft w:val="0"/>
              <w:marRight w:val="0"/>
              <w:marTop w:val="0"/>
              <w:marBottom w:val="0"/>
              <w:divBdr>
                <w:top w:val="none" w:sz="0" w:space="0" w:color="auto"/>
                <w:left w:val="none" w:sz="0" w:space="0" w:color="auto"/>
                <w:bottom w:val="none" w:sz="0" w:space="0" w:color="auto"/>
                <w:right w:val="none" w:sz="0" w:space="0" w:color="auto"/>
              </w:divBdr>
            </w:div>
            <w:div w:id="1657146534">
              <w:marLeft w:val="0"/>
              <w:marRight w:val="0"/>
              <w:marTop w:val="0"/>
              <w:marBottom w:val="0"/>
              <w:divBdr>
                <w:top w:val="none" w:sz="0" w:space="0" w:color="auto"/>
                <w:left w:val="none" w:sz="0" w:space="0" w:color="auto"/>
                <w:bottom w:val="none" w:sz="0" w:space="0" w:color="auto"/>
                <w:right w:val="none" w:sz="0" w:space="0" w:color="auto"/>
              </w:divBdr>
            </w:div>
          </w:divsChild>
        </w:div>
        <w:div w:id="384304434">
          <w:marLeft w:val="0"/>
          <w:marRight w:val="0"/>
          <w:marTop w:val="0"/>
          <w:marBottom w:val="0"/>
          <w:divBdr>
            <w:top w:val="none" w:sz="0" w:space="0" w:color="auto"/>
            <w:left w:val="none" w:sz="0" w:space="0" w:color="auto"/>
            <w:bottom w:val="none" w:sz="0" w:space="0" w:color="auto"/>
            <w:right w:val="none" w:sz="0" w:space="0" w:color="auto"/>
          </w:divBdr>
          <w:divsChild>
            <w:div w:id="1179344758">
              <w:marLeft w:val="0"/>
              <w:marRight w:val="0"/>
              <w:marTop w:val="0"/>
              <w:marBottom w:val="0"/>
              <w:divBdr>
                <w:top w:val="none" w:sz="0" w:space="0" w:color="auto"/>
                <w:left w:val="none" w:sz="0" w:space="0" w:color="auto"/>
                <w:bottom w:val="none" w:sz="0" w:space="0" w:color="auto"/>
                <w:right w:val="none" w:sz="0" w:space="0" w:color="auto"/>
              </w:divBdr>
            </w:div>
            <w:div w:id="1272518637">
              <w:marLeft w:val="0"/>
              <w:marRight w:val="0"/>
              <w:marTop w:val="0"/>
              <w:marBottom w:val="0"/>
              <w:divBdr>
                <w:top w:val="none" w:sz="0" w:space="0" w:color="auto"/>
                <w:left w:val="none" w:sz="0" w:space="0" w:color="auto"/>
                <w:bottom w:val="none" w:sz="0" w:space="0" w:color="auto"/>
                <w:right w:val="none" w:sz="0" w:space="0" w:color="auto"/>
              </w:divBdr>
            </w:div>
            <w:div w:id="1537353382">
              <w:marLeft w:val="0"/>
              <w:marRight w:val="0"/>
              <w:marTop w:val="0"/>
              <w:marBottom w:val="0"/>
              <w:divBdr>
                <w:top w:val="none" w:sz="0" w:space="0" w:color="auto"/>
                <w:left w:val="none" w:sz="0" w:space="0" w:color="auto"/>
                <w:bottom w:val="none" w:sz="0" w:space="0" w:color="auto"/>
                <w:right w:val="none" w:sz="0" w:space="0" w:color="auto"/>
              </w:divBdr>
            </w:div>
            <w:div w:id="1715810178">
              <w:marLeft w:val="0"/>
              <w:marRight w:val="0"/>
              <w:marTop w:val="0"/>
              <w:marBottom w:val="0"/>
              <w:divBdr>
                <w:top w:val="none" w:sz="0" w:space="0" w:color="auto"/>
                <w:left w:val="none" w:sz="0" w:space="0" w:color="auto"/>
                <w:bottom w:val="none" w:sz="0" w:space="0" w:color="auto"/>
                <w:right w:val="none" w:sz="0" w:space="0" w:color="auto"/>
              </w:divBdr>
            </w:div>
          </w:divsChild>
        </w:div>
        <w:div w:id="386344095">
          <w:marLeft w:val="0"/>
          <w:marRight w:val="0"/>
          <w:marTop w:val="0"/>
          <w:marBottom w:val="0"/>
          <w:divBdr>
            <w:top w:val="none" w:sz="0" w:space="0" w:color="auto"/>
            <w:left w:val="none" w:sz="0" w:space="0" w:color="auto"/>
            <w:bottom w:val="none" w:sz="0" w:space="0" w:color="auto"/>
            <w:right w:val="none" w:sz="0" w:space="0" w:color="auto"/>
          </w:divBdr>
          <w:divsChild>
            <w:div w:id="1565601022">
              <w:marLeft w:val="0"/>
              <w:marRight w:val="0"/>
              <w:marTop w:val="0"/>
              <w:marBottom w:val="0"/>
              <w:divBdr>
                <w:top w:val="none" w:sz="0" w:space="0" w:color="auto"/>
                <w:left w:val="none" w:sz="0" w:space="0" w:color="auto"/>
                <w:bottom w:val="none" w:sz="0" w:space="0" w:color="auto"/>
                <w:right w:val="none" w:sz="0" w:space="0" w:color="auto"/>
              </w:divBdr>
            </w:div>
          </w:divsChild>
        </w:div>
        <w:div w:id="403725172">
          <w:marLeft w:val="0"/>
          <w:marRight w:val="0"/>
          <w:marTop w:val="0"/>
          <w:marBottom w:val="0"/>
          <w:divBdr>
            <w:top w:val="none" w:sz="0" w:space="0" w:color="auto"/>
            <w:left w:val="none" w:sz="0" w:space="0" w:color="auto"/>
            <w:bottom w:val="none" w:sz="0" w:space="0" w:color="auto"/>
            <w:right w:val="none" w:sz="0" w:space="0" w:color="auto"/>
          </w:divBdr>
          <w:divsChild>
            <w:div w:id="684092023">
              <w:marLeft w:val="0"/>
              <w:marRight w:val="0"/>
              <w:marTop w:val="0"/>
              <w:marBottom w:val="0"/>
              <w:divBdr>
                <w:top w:val="none" w:sz="0" w:space="0" w:color="auto"/>
                <w:left w:val="none" w:sz="0" w:space="0" w:color="auto"/>
                <w:bottom w:val="none" w:sz="0" w:space="0" w:color="auto"/>
                <w:right w:val="none" w:sz="0" w:space="0" w:color="auto"/>
              </w:divBdr>
            </w:div>
            <w:div w:id="1921134646">
              <w:marLeft w:val="0"/>
              <w:marRight w:val="0"/>
              <w:marTop w:val="0"/>
              <w:marBottom w:val="0"/>
              <w:divBdr>
                <w:top w:val="none" w:sz="0" w:space="0" w:color="auto"/>
                <w:left w:val="none" w:sz="0" w:space="0" w:color="auto"/>
                <w:bottom w:val="none" w:sz="0" w:space="0" w:color="auto"/>
                <w:right w:val="none" w:sz="0" w:space="0" w:color="auto"/>
              </w:divBdr>
            </w:div>
          </w:divsChild>
        </w:div>
        <w:div w:id="405231183">
          <w:marLeft w:val="0"/>
          <w:marRight w:val="0"/>
          <w:marTop w:val="0"/>
          <w:marBottom w:val="0"/>
          <w:divBdr>
            <w:top w:val="none" w:sz="0" w:space="0" w:color="auto"/>
            <w:left w:val="none" w:sz="0" w:space="0" w:color="auto"/>
            <w:bottom w:val="none" w:sz="0" w:space="0" w:color="auto"/>
            <w:right w:val="none" w:sz="0" w:space="0" w:color="auto"/>
          </w:divBdr>
          <w:divsChild>
            <w:div w:id="331219328">
              <w:marLeft w:val="0"/>
              <w:marRight w:val="0"/>
              <w:marTop w:val="0"/>
              <w:marBottom w:val="0"/>
              <w:divBdr>
                <w:top w:val="none" w:sz="0" w:space="0" w:color="auto"/>
                <w:left w:val="none" w:sz="0" w:space="0" w:color="auto"/>
                <w:bottom w:val="none" w:sz="0" w:space="0" w:color="auto"/>
                <w:right w:val="none" w:sz="0" w:space="0" w:color="auto"/>
              </w:divBdr>
            </w:div>
          </w:divsChild>
        </w:div>
        <w:div w:id="414977088">
          <w:marLeft w:val="0"/>
          <w:marRight w:val="0"/>
          <w:marTop w:val="0"/>
          <w:marBottom w:val="0"/>
          <w:divBdr>
            <w:top w:val="none" w:sz="0" w:space="0" w:color="auto"/>
            <w:left w:val="none" w:sz="0" w:space="0" w:color="auto"/>
            <w:bottom w:val="none" w:sz="0" w:space="0" w:color="auto"/>
            <w:right w:val="none" w:sz="0" w:space="0" w:color="auto"/>
          </w:divBdr>
          <w:divsChild>
            <w:div w:id="1154951148">
              <w:marLeft w:val="0"/>
              <w:marRight w:val="0"/>
              <w:marTop w:val="0"/>
              <w:marBottom w:val="0"/>
              <w:divBdr>
                <w:top w:val="none" w:sz="0" w:space="0" w:color="auto"/>
                <w:left w:val="none" w:sz="0" w:space="0" w:color="auto"/>
                <w:bottom w:val="none" w:sz="0" w:space="0" w:color="auto"/>
                <w:right w:val="none" w:sz="0" w:space="0" w:color="auto"/>
              </w:divBdr>
            </w:div>
          </w:divsChild>
        </w:div>
        <w:div w:id="417601024">
          <w:marLeft w:val="0"/>
          <w:marRight w:val="0"/>
          <w:marTop w:val="0"/>
          <w:marBottom w:val="0"/>
          <w:divBdr>
            <w:top w:val="none" w:sz="0" w:space="0" w:color="auto"/>
            <w:left w:val="none" w:sz="0" w:space="0" w:color="auto"/>
            <w:bottom w:val="none" w:sz="0" w:space="0" w:color="auto"/>
            <w:right w:val="none" w:sz="0" w:space="0" w:color="auto"/>
          </w:divBdr>
          <w:divsChild>
            <w:div w:id="286736793">
              <w:marLeft w:val="0"/>
              <w:marRight w:val="0"/>
              <w:marTop w:val="0"/>
              <w:marBottom w:val="0"/>
              <w:divBdr>
                <w:top w:val="none" w:sz="0" w:space="0" w:color="auto"/>
                <w:left w:val="none" w:sz="0" w:space="0" w:color="auto"/>
                <w:bottom w:val="none" w:sz="0" w:space="0" w:color="auto"/>
                <w:right w:val="none" w:sz="0" w:space="0" w:color="auto"/>
              </w:divBdr>
            </w:div>
          </w:divsChild>
        </w:div>
        <w:div w:id="426311949">
          <w:marLeft w:val="0"/>
          <w:marRight w:val="0"/>
          <w:marTop w:val="0"/>
          <w:marBottom w:val="0"/>
          <w:divBdr>
            <w:top w:val="none" w:sz="0" w:space="0" w:color="auto"/>
            <w:left w:val="none" w:sz="0" w:space="0" w:color="auto"/>
            <w:bottom w:val="none" w:sz="0" w:space="0" w:color="auto"/>
            <w:right w:val="none" w:sz="0" w:space="0" w:color="auto"/>
          </w:divBdr>
          <w:divsChild>
            <w:div w:id="265045014">
              <w:marLeft w:val="0"/>
              <w:marRight w:val="0"/>
              <w:marTop w:val="0"/>
              <w:marBottom w:val="0"/>
              <w:divBdr>
                <w:top w:val="none" w:sz="0" w:space="0" w:color="auto"/>
                <w:left w:val="none" w:sz="0" w:space="0" w:color="auto"/>
                <w:bottom w:val="none" w:sz="0" w:space="0" w:color="auto"/>
                <w:right w:val="none" w:sz="0" w:space="0" w:color="auto"/>
              </w:divBdr>
            </w:div>
            <w:div w:id="591625855">
              <w:marLeft w:val="0"/>
              <w:marRight w:val="0"/>
              <w:marTop w:val="0"/>
              <w:marBottom w:val="0"/>
              <w:divBdr>
                <w:top w:val="none" w:sz="0" w:space="0" w:color="auto"/>
                <w:left w:val="none" w:sz="0" w:space="0" w:color="auto"/>
                <w:bottom w:val="none" w:sz="0" w:space="0" w:color="auto"/>
                <w:right w:val="none" w:sz="0" w:space="0" w:color="auto"/>
              </w:divBdr>
            </w:div>
            <w:div w:id="898705985">
              <w:marLeft w:val="0"/>
              <w:marRight w:val="0"/>
              <w:marTop w:val="0"/>
              <w:marBottom w:val="0"/>
              <w:divBdr>
                <w:top w:val="none" w:sz="0" w:space="0" w:color="auto"/>
                <w:left w:val="none" w:sz="0" w:space="0" w:color="auto"/>
                <w:bottom w:val="none" w:sz="0" w:space="0" w:color="auto"/>
                <w:right w:val="none" w:sz="0" w:space="0" w:color="auto"/>
              </w:divBdr>
            </w:div>
            <w:div w:id="1979802212">
              <w:marLeft w:val="0"/>
              <w:marRight w:val="0"/>
              <w:marTop w:val="0"/>
              <w:marBottom w:val="0"/>
              <w:divBdr>
                <w:top w:val="none" w:sz="0" w:space="0" w:color="auto"/>
                <w:left w:val="none" w:sz="0" w:space="0" w:color="auto"/>
                <w:bottom w:val="none" w:sz="0" w:space="0" w:color="auto"/>
                <w:right w:val="none" w:sz="0" w:space="0" w:color="auto"/>
              </w:divBdr>
            </w:div>
          </w:divsChild>
        </w:div>
        <w:div w:id="428161411">
          <w:marLeft w:val="0"/>
          <w:marRight w:val="0"/>
          <w:marTop w:val="0"/>
          <w:marBottom w:val="0"/>
          <w:divBdr>
            <w:top w:val="none" w:sz="0" w:space="0" w:color="auto"/>
            <w:left w:val="none" w:sz="0" w:space="0" w:color="auto"/>
            <w:bottom w:val="none" w:sz="0" w:space="0" w:color="auto"/>
            <w:right w:val="none" w:sz="0" w:space="0" w:color="auto"/>
          </w:divBdr>
          <w:divsChild>
            <w:div w:id="2007635116">
              <w:marLeft w:val="0"/>
              <w:marRight w:val="0"/>
              <w:marTop w:val="0"/>
              <w:marBottom w:val="0"/>
              <w:divBdr>
                <w:top w:val="none" w:sz="0" w:space="0" w:color="auto"/>
                <w:left w:val="none" w:sz="0" w:space="0" w:color="auto"/>
                <w:bottom w:val="none" w:sz="0" w:space="0" w:color="auto"/>
                <w:right w:val="none" w:sz="0" w:space="0" w:color="auto"/>
              </w:divBdr>
            </w:div>
          </w:divsChild>
        </w:div>
        <w:div w:id="429161717">
          <w:marLeft w:val="0"/>
          <w:marRight w:val="0"/>
          <w:marTop w:val="0"/>
          <w:marBottom w:val="0"/>
          <w:divBdr>
            <w:top w:val="none" w:sz="0" w:space="0" w:color="auto"/>
            <w:left w:val="none" w:sz="0" w:space="0" w:color="auto"/>
            <w:bottom w:val="none" w:sz="0" w:space="0" w:color="auto"/>
            <w:right w:val="none" w:sz="0" w:space="0" w:color="auto"/>
          </w:divBdr>
          <w:divsChild>
            <w:div w:id="405499869">
              <w:marLeft w:val="0"/>
              <w:marRight w:val="0"/>
              <w:marTop w:val="0"/>
              <w:marBottom w:val="0"/>
              <w:divBdr>
                <w:top w:val="none" w:sz="0" w:space="0" w:color="auto"/>
                <w:left w:val="none" w:sz="0" w:space="0" w:color="auto"/>
                <w:bottom w:val="none" w:sz="0" w:space="0" w:color="auto"/>
                <w:right w:val="none" w:sz="0" w:space="0" w:color="auto"/>
              </w:divBdr>
            </w:div>
          </w:divsChild>
        </w:div>
        <w:div w:id="430276351">
          <w:marLeft w:val="0"/>
          <w:marRight w:val="0"/>
          <w:marTop w:val="0"/>
          <w:marBottom w:val="0"/>
          <w:divBdr>
            <w:top w:val="none" w:sz="0" w:space="0" w:color="auto"/>
            <w:left w:val="none" w:sz="0" w:space="0" w:color="auto"/>
            <w:bottom w:val="none" w:sz="0" w:space="0" w:color="auto"/>
            <w:right w:val="none" w:sz="0" w:space="0" w:color="auto"/>
          </w:divBdr>
          <w:divsChild>
            <w:div w:id="1360087703">
              <w:marLeft w:val="0"/>
              <w:marRight w:val="0"/>
              <w:marTop w:val="0"/>
              <w:marBottom w:val="0"/>
              <w:divBdr>
                <w:top w:val="none" w:sz="0" w:space="0" w:color="auto"/>
                <w:left w:val="none" w:sz="0" w:space="0" w:color="auto"/>
                <w:bottom w:val="none" w:sz="0" w:space="0" w:color="auto"/>
                <w:right w:val="none" w:sz="0" w:space="0" w:color="auto"/>
              </w:divBdr>
            </w:div>
          </w:divsChild>
        </w:div>
        <w:div w:id="430971610">
          <w:marLeft w:val="0"/>
          <w:marRight w:val="0"/>
          <w:marTop w:val="0"/>
          <w:marBottom w:val="0"/>
          <w:divBdr>
            <w:top w:val="none" w:sz="0" w:space="0" w:color="auto"/>
            <w:left w:val="none" w:sz="0" w:space="0" w:color="auto"/>
            <w:bottom w:val="none" w:sz="0" w:space="0" w:color="auto"/>
            <w:right w:val="none" w:sz="0" w:space="0" w:color="auto"/>
          </w:divBdr>
          <w:divsChild>
            <w:div w:id="723992952">
              <w:marLeft w:val="0"/>
              <w:marRight w:val="0"/>
              <w:marTop w:val="0"/>
              <w:marBottom w:val="0"/>
              <w:divBdr>
                <w:top w:val="none" w:sz="0" w:space="0" w:color="auto"/>
                <w:left w:val="none" w:sz="0" w:space="0" w:color="auto"/>
                <w:bottom w:val="none" w:sz="0" w:space="0" w:color="auto"/>
                <w:right w:val="none" w:sz="0" w:space="0" w:color="auto"/>
              </w:divBdr>
            </w:div>
            <w:div w:id="958492952">
              <w:marLeft w:val="0"/>
              <w:marRight w:val="0"/>
              <w:marTop w:val="0"/>
              <w:marBottom w:val="0"/>
              <w:divBdr>
                <w:top w:val="none" w:sz="0" w:space="0" w:color="auto"/>
                <w:left w:val="none" w:sz="0" w:space="0" w:color="auto"/>
                <w:bottom w:val="none" w:sz="0" w:space="0" w:color="auto"/>
                <w:right w:val="none" w:sz="0" w:space="0" w:color="auto"/>
              </w:divBdr>
            </w:div>
            <w:div w:id="1294749968">
              <w:marLeft w:val="0"/>
              <w:marRight w:val="0"/>
              <w:marTop w:val="0"/>
              <w:marBottom w:val="0"/>
              <w:divBdr>
                <w:top w:val="none" w:sz="0" w:space="0" w:color="auto"/>
                <w:left w:val="none" w:sz="0" w:space="0" w:color="auto"/>
                <w:bottom w:val="none" w:sz="0" w:space="0" w:color="auto"/>
                <w:right w:val="none" w:sz="0" w:space="0" w:color="auto"/>
              </w:divBdr>
            </w:div>
            <w:div w:id="1705981539">
              <w:marLeft w:val="0"/>
              <w:marRight w:val="0"/>
              <w:marTop w:val="0"/>
              <w:marBottom w:val="0"/>
              <w:divBdr>
                <w:top w:val="none" w:sz="0" w:space="0" w:color="auto"/>
                <w:left w:val="none" w:sz="0" w:space="0" w:color="auto"/>
                <w:bottom w:val="none" w:sz="0" w:space="0" w:color="auto"/>
                <w:right w:val="none" w:sz="0" w:space="0" w:color="auto"/>
              </w:divBdr>
            </w:div>
          </w:divsChild>
        </w:div>
        <w:div w:id="434402146">
          <w:marLeft w:val="0"/>
          <w:marRight w:val="0"/>
          <w:marTop w:val="0"/>
          <w:marBottom w:val="0"/>
          <w:divBdr>
            <w:top w:val="none" w:sz="0" w:space="0" w:color="auto"/>
            <w:left w:val="none" w:sz="0" w:space="0" w:color="auto"/>
            <w:bottom w:val="none" w:sz="0" w:space="0" w:color="auto"/>
            <w:right w:val="none" w:sz="0" w:space="0" w:color="auto"/>
          </w:divBdr>
          <w:divsChild>
            <w:div w:id="2065135311">
              <w:marLeft w:val="0"/>
              <w:marRight w:val="0"/>
              <w:marTop w:val="0"/>
              <w:marBottom w:val="0"/>
              <w:divBdr>
                <w:top w:val="none" w:sz="0" w:space="0" w:color="auto"/>
                <w:left w:val="none" w:sz="0" w:space="0" w:color="auto"/>
                <w:bottom w:val="none" w:sz="0" w:space="0" w:color="auto"/>
                <w:right w:val="none" w:sz="0" w:space="0" w:color="auto"/>
              </w:divBdr>
            </w:div>
          </w:divsChild>
        </w:div>
        <w:div w:id="437875175">
          <w:marLeft w:val="0"/>
          <w:marRight w:val="0"/>
          <w:marTop w:val="0"/>
          <w:marBottom w:val="0"/>
          <w:divBdr>
            <w:top w:val="none" w:sz="0" w:space="0" w:color="auto"/>
            <w:left w:val="none" w:sz="0" w:space="0" w:color="auto"/>
            <w:bottom w:val="none" w:sz="0" w:space="0" w:color="auto"/>
            <w:right w:val="none" w:sz="0" w:space="0" w:color="auto"/>
          </w:divBdr>
          <w:divsChild>
            <w:div w:id="268438683">
              <w:marLeft w:val="0"/>
              <w:marRight w:val="0"/>
              <w:marTop w:val="0"/>
              <w:marBottom w:val="0"/>
              <w:divBdr>
                <w:top w:val="none" w:sz="0" w:space="0" w:color="auto"/>
                <w:left w:val="none" w:sz="0" w:space="0" w:color="auto"/>
                <w:bottom w:val="none" w:sz="0" w:space="0" w:color="auto"/>
                <w:right w:val="none" w:sz="0" w:space="0" w:color="auto"/>
              </w:divBdr>
            </w:div>
          </w:divsChild>
        </w:div>
        <w:div w:id="448821252">
          <w:marLeft w:val="0"/>
          <w:marRight w:val="0"/>
          <w:marTop w:val="0"/>
          <w:marBottom w:val="0"/>
          <w:divBdr>
            <w:top w:val="none" w:sz="0" w:space="0" w:color="auto"/>
            <w:left w:val="none" w:sz="0" w:space="0" w:color="auto"/>
            <w:bottom w:val="none" w:sz="0" w:space="0" w:color="auto"/>
            <w:right w:val="none" w:sz="0" w:space="0" w:color="auto"/>
          </w:divBdr>
          <w:divsChild>
            <w:div w:id="38165034">
              <w:marLeft w:val="0"/>
              <w:marRight w:val="0"/>
              <w:marTop w:val="0"/>
              <w:marBottom w:val="0"/>
              <w:divBdr>
                <w:top w:val="none" w:sz="0" w:space="0" w:color="auto"/>
                <w:left w:val="none" w:sz="0" w:space="0" w:color="auto"/>
                <w:bottom w:val="none" w:sz="0" w:space="0" w:color="auto"/>
                <w:right w:val="none" w:sz="0" w:space="0" w:color="auto"/>
              </w:divBdr>
            </w:div>
          </w:divsChild>
        </w:div>
        <w:div w:id="450982622">
          <w:marLeft w:val="0"/>
          <w:marRight w:val="0"/>
          <w:marTop w:val="0"/>
          <w:marBottom w:val="0"/>
          <w:divBdr>
            <w:top w:val="none" w:sz="0" w:space="0" w:color="auto"/>
            <w:left w:val="none" w:sz="0" w:space="0" w:color="auto"/>
            <w:bottom w:val="none" w:sz="0" w:space="0" w:color="auto"/>
            <w:right w:val="none" w:sz="0" w:space="0" w:color="auto"/>
          </w:divBdr>
          <w:divsChild>
            <w:div w:id="1136796048">
              <w:marLeft w:val="0"/>
              <w:marRight w:val="0"/>
              <w:marTop w:val="0"/>
              <w:marBottom w:val="0"/>
              <w:divBdr>
                <w:top w:val="none" w:sz="0" w:space="0" w:color="auto"/>
                <w:left w:val="none" w:sz="0" w:space="0" w:color="auto"/>
                <w:bottom w:val="none" w:sz="0" w:space="0" w:color="auto"/>
                <w:right w:val="none" w:sz="0" w:space="0" w:color="auto"/>
              </w:divBdr>
            </w:div>
          </w:divsChild>
        </w:div>
        <w:div w:id="451634906">
          <w:marLeft w:val="0"/>
          <w:marRight w:val="0"/>
          <w:marTop w:val="0"/>
          <w:marBottom w:val="0"/>
          <w:divBdr>
            <w:top w:val="none" w:sz="0" w:space="0" w:color="auto"/>
            <w:left w:val="none" w:sz="0" w:space="0" w:color="auto"/>
            <w:bottom w:val="none" w:sz="0" w:space="0" w:color="auto"/>
            <w:right w:val="none" w:sz="0" w:space="0" w:color="auto"/>
          </w:divBdr>
          <w:divsChild>
            <w:div w:id="590237709">
              <w:marLeft w:val="0"/>
              <w:marRight w:val="0"/>
              <w:marTop w:val="0"/>
              <w:marBottom w:val="0"/>
              <w:divBdr>
                <w:top w:val="none" w:sz="0" w:space="0" w:color="auto"/>
                <w:left w:val="none" w:sz="0" w:space="0" w:color="auto"/>
                <w:bottom w:val="none" w:sz="0" w:space="0" w:color="auto"/>
                <w:right w:val="none" w:sz="0" w:space="0" w:color="auto"/>
              </w:divBdr>
            </w:div>
          </w:divsChild>
        </w:div>
        <w:div w:id="462386868">
          <w:marLeft w:val="0"/>
          <w:marRight w:val="0"/>
          <w:marTop w:val="0"/>
          <w:marBottom w:val="0"/>
          <w:divBdr>
            <w:top w:val="none" w:sz="0" w:space="0" w:color="auto"/>
            <w:left w:val="none" w:sz="0" w:space="0" w:color="auto"/>
            <w:bottom w:val="none" w:sz="0" w:space="0" w:color="auto"/>
            <w:right w:val="none" w:sz="0" w:space="0" w:color="auto"/>
          </w:divBdr>
          <w:divsChild>
            <w:div w:id="590509091">
              <w:marLeft w:val="0"/>
              <w:marRight w:val="0"/>
              <w:marTop w:val="0"/>
              <w:marBottom w:val="0"/>
              <w:divBdr>
                <w:top w:val="none" w:sz="0" w:space="0" w:color="auto"/>
                <w:left w:val="none" w:sz="0" w:space="0" w:color="auto"/>
                <w:bottom w:val="none" w:sz="0" w:space="0" w:color="auto"/>
                <w:right w:val="none" w:sz="0" w:space="0" w:color="auto"/>
              </w:divBdr>
            </w:div>
            <w:div w:id="1043560559">
              <w:marLeft w:val="0"/>
              <w:marRight w:val="0"/>
              <w:marTop w:val="0"/>
              <w:marBottom w:val="0"/>
              <w:divBdr>
                <w:top w:val="none" w:sz="0" w:space="0" w:color="auto"/>
                <w:left w:val="none" w:sz="0" w:space="0" w:color="auto"/>
                <w:bottom w:val="none" w:sz="0" w:space="0" w:color="auto"/>
                <w:right w:val="none" w:sz="0" w:space="0" w:color="auto"/>
              </w:divBdr>
            </w:div>
            <w:div w:id="1184514555">
              <w:marLeft w:val="0"/>
              <w:marRight w:val="0"/>
              <w:marTop w:val="0"/>
              <w:marBottom w:val="0"/>
              <w:divBdr>
                <w:top w:val="none" w:sz="0" w:space="0" w:color="auto"/>
                <w:left w:val="none" w:sz="0" w:space="0" w:color="auto"/>
                <w:bottom w:val="none" w:sz="0" w:space="0" w:color="auto"/>
                <w:right w:val="none" w:sz="0" w:space="0" w:color="auto"/>
              </w:divBdr>
            </w:div>
            <w:div w:id="1483808676">
              <w:marLeft w:val="0"/>
              <w:marRight w:val="0"/>
              <w:marTop w:val="0"/>
              <w:marBottom w:val="0"/>
              <w:divBdr>
                <w:top w:val="none" w:sz="0" w:space="0" w:color="auto"/>
                <w:left w:val="none" w:sz="0" w:space="0" w:color="auto"/>
                <w:bottom w:val="none" w:sz="0" w:space="0" w:color="auto"/>
                <w:right w:val="none" w:sz="0" w:space="0" w:color="auto"/>
              </w:divBdr>
            </w:div>
            <w:div w:id="1509172287">
              <w:marLeft w:val="0"/>
              <w:marRight w:val="0"/>
              <w:marTop w:val="0"/>
              <w:marBottom w:val="0"/>
              <w:divBdr>
                <w:top w:val="none" w:sz="0" w:space="0" w:color="auto"/>
                <w:left w:val="none" w:sz="0" w:space="0" w:color="auto"/>
                <w:bottom w:val="none" w:sz="0" w:space="0" w:color="auto"/>
                <w:right w:val="none" w:sz="0" w:space="0" w:color="auto"/>
              </w:divBdr>
            </w:div>
            <w:div w:id="1700819744">
              <w:marLeft w:val="0"/>
              <w:marRight w:val="0"/>
              <w:marTop w:val="0"/>
              <w:marBottom w:val="0"/>
              <w:divBdr>
                <w:top w:val="none" w:sz="0" w:space="0" w:color="auto"/>
                <w:left w:val="none" w:sz="0" w:space="0" w:color="auto"/>
                <w:bottom w:val="none" w:sz="0" w:space="0" w:color="auto"/>
                <w:right w:val="none" w:sz="0" w:space="0" w:color="auto"/>
              </w:divBdr>
            </w:div>
            <w:div w:id="1718243147">
              <w:marLeft w:val="0"/>
              <w:marRight w:val="0"/>
              <w:marTop w:val="0"/>
              <w:marBottom w:val="0"/>
              <w:divBdr>
                <w:top w:val="none" w:sz="0" w:space="0" w:color="auto"/>
                <w:left w:val="none" w:sz="0" w:space="0" w:color="auto"/>
                <w:bottom w:val="none" w:sz="0" w:space="0" w:color="auto"/>
                <w:right w:val="none" w:sz="0" w:space="0" w:color="auto"/>
              </w:divBdr>
            </w:div>
            <w:div w:id="1851213328">
              <w:marLeft w:val="0"/>
              <w:marRight w:val="0"/>
              <w:marTop w:val="0"/>
              <w:marBottom w:val="0"/>
              <w:divBdr>
                <w:top w:val="none" w:sz="0" w:space="0" w:color="auto"/>
                <w:left w:val="none" w:sz="0" w:space="0" w:color="auto"/>
                <w:bottom w:val="none" w:sz="0" w:space="0" w:color="auto"/>
                <w:right w:val="none" w:sz="0" w:space="0" w:color="auto"/>
              </w:divBdr>
            </w:div>
            <w:div w:id="2068532252">
              <w:marLeft w:val="0"/>
              <w:marRight w:val="0"/>
              <w:marTop w:val="0"/>
              <w:marBottom w:val="0"/>
              <w:divBdr>
                <w:top w:val="none" w:sz="0" w:space="0" w:color="auto"/>
                <w:left w:val="none" w:sz="0" w:space="0" w:color="auto"/>
                <w:bottom w:val="none" w:sz="0" w:space="0" w:color="auto"/>
                <w:right w:val="none" w:sz="0" w:space="0" w:color="auto"/>
              </w:divBdr>
            </w:div>
            <w:div w:id="2107840325">
              <w:marLeft w:val="0"/>
              <w:marRight w:val="0"/>
              <w:marTop w:val="0"/>
              <w:marBottom w:val="0"/>
              <w:divBdr>
                <w:top w:val="none" w:sz="0" w:space="0" w:color="auto"/>
                <w:left w:val="none" w:sz="0" w:space="0" w:color="auto"/>
                <w:bottom w:val="none" w:sz="0" w:space="0" w:color="auto"/>
                <w:right w:val="none" w:sz="0" w:space="0" w:color="auto"/>
              </w:divBdr>
            </w:div>
            <w:div w:id="2110394340">
              <w:marLeft w:val="0"/>
              <w:marRight w:val="0"/>
              <w:marTop w:val="0"/>
              <w:marBottom w:val="0"/>
              <w:divBdr>
                <w:top w:val="none" w:sz="0" w:space="0" w:color="auto"/>
                <w:left w:val="none" w:sz="0" w:space="0" w:color="auto"/>
                <w:bottom w:val="none" w:sz="0" w:space="0" w:color="auto"/>
                <w:right w:val="none" w:sz="0" w:space="0" w:color="auto"/>
              </w:divBdr>
            </w:div>
          </w:divsChild>
        </w:div>
        <w:div w:id="464784317">
          <w:marLeft w:val="0"/>
          <w:marRight w:val="0"/>
          <w:marTop w:val="0"/>
          <w:marBottom w:val="0"/>
          <w:divBdr>
            <w:top w:val="none" w:sz="0" w:space="0" w:color="auto"/>
            <w:left w:val="none" w:sz="0" w:space="0" w:color="auto"/>
            <w:bottom w:val="none" w:sz="0" w:space="0" w:color="auto"/>
            <w:right w:val="none" w:sz="0" w:space="0" w:color="auto"/>
          </w:divBdr>
          <w:divsChild>
            <w:div w:id="1830712282">
              <w:marLeft w:val="0"/>
              <w:marRight w:val="0"/>
              <w:marTop w:val="0"/>
              <w:marBottom w:val="0"/>
              <w:divBdr>
                <w:top w:val="none" w:sz="0" w:space="0" w:color="auto"/>
                <w:left w:val="none" w:sz="0" w:space="0" w:color="auto"/>
                <w:bottom w:val="none" w:sz="0" w:space="0" w:color="auto"/>
                <w:right w:val="none" w:sz="0" w:space="0" w:color="auto"/>
              </w:divBdr>
            </w:div>
          </w:divsChild>
        </w:div>
        <w:div w:id="464853307">
          <w:marLeft w:val="0"/>
          <w:marRight w:val="0"/>
          <w:marTop w:val="0"/>
          <w:marBottom w:val="0"/>
          <w:divBdr>
            <w:top w:val="none" w:sz="0" w:space="0" w:color="auto"/>
            <w:left w:val="none" w:sz="0" w:space="0" w:color="auto"/>
            <w:bottom w:val="none" w:sz="0" w:space="0" w:color="auto"/>
            <w:right w:val="none" w:sz="0" w:space="0" w:color="auto"/>
          </w:divBdr>
          <w:divsChild>
            <w:div w:id="1882014535">
              <w:marLeft w:val="0"/>
              <w:marRight w:val="0"/>
              <w:marTop w:val="0"/>
              <w:marBottom w:val="0"/>
              <w:divBdr>
                <w:top w:val="none" w:sz="0" w:space="0" w:color="auto"/>
                <w:left w:val="none" w:sz="0" w:space="0" w:color="auto"/>
                <w:bottom w:val="none" w:sz="0" w:space="0" w:color="auto"/>
                <w:right w:val="none" w:sz="0" w:space="0" w:color="auto"/>
              </w:divBdr>
            </w:div>
          </w:divsChild>
        </w:div>
        <w:div w:id="478115501">
          <w:marLeft w:val="0"/>
          <w:marRight w:val="0"/>
          <w:marTop w:val="0"/>
          <w:marBottom w:val="0"/>
          <w:divBdr>
            <w:top w:val="none" w:sz="0" w:space="0" w:color="auto"/>
            <w:left w:val="none" w:sz="0" w:space="0" w:color="auto"/>
            <w:bottom w:val="none" w:sz="0" w:space="0" w:color="auto"/>
            <w:right w:val="none" w:sz="0" w:space="0" w:color="auto"/>
          </w:divBdr>
          <w:divsChild>
            <w:div w:id="1316760389">
              <w:marLeft w:val="0"/>
              <w:marRight w:val="0"/>
              <w:marTop w:val="0"/>
              <w:marBottom w:val="0"/>
              <w:divBdr>
                <w:top w:val="none" w:sz="0" w:space="0" w:color="auto"/>
                <w:left w:val="none" w:sz="0" w:space="0" w:color="auto"/>
                <w:bottom w:val="none" w:sz="0" w:space="0" w:color="auto"/>
                <w:right w:val="none" w:sz="0" w:space="0" w:color="auto"/>
              </w:divBdr>
            </w:div>
          </w:divsChild>
        </w:div>
        <w:div w:id="481431043">
          <w:marLeft w:val="0"/>
          <w:marRight w:val="0"/>
          <w:marTop w:val="0"/>
          <w:marBottom w:val="0"/>
          <w:divBdr>
            <w:top w:val="none" w:sz="0" w:space="0" w:color="auto"/>
            <w:left w:val="none" w:sz="0" w:space="0" w:color="auto"/>
            <w:bottom w:val="none" w:sz="0" w:space="0" w:color="auto"/>
            <w:right w:val="none" w:sz="0" w:space="0" w:color="auto"/>
          </w:divBdr>
          <w:divsChild>
            <w:div w:id="1656758088">
              <w:marLeft w:val="0"/>
              <w:marRight w:val="0"/>
              <w:marTop w:val="0"/>
              <w:marBottom w:val="0"/>
              <w:divBdr>
                <w:top w:val="none" w:sz="0" w:space="0" w:color="auto"/>
                <w:left w:val="none" w:sz="0" w:space="0" w:color="auto"/>
                <w:bottom w:val="none" w:sz="0" w:space="0" w:color="auto"/>
                <w:right w:val="none" w:sz="0" w:space="0" w:color="auto"/>
              </w:divBdr>
            </w:div>
          </w:divsChild>
        </w:div>
        <w:div w:id="483163703">
          <w:marLeft w:val="0"/>
          <w:marRight w:val="0"/>
          <w:marTop w:val="0"/>
          <w:marBottom w:val="0"/>
          <w:divBdr>
            <w:top w:val="none" w:sz="0" w:space="0" w:color="auto"/>
            <w:left w:val="none" w:sz="0" w:space="0" w:color="auto"/>
            <w:bottom w:val="none" w:sz="0" w:space="0" w:color="auto"/>
            <w:right w:val="none" w:sz="0" w:space="0" w:color="auto"/>
          </w:divBdr>
          <w:divsChild>
            <w:div w:id="720397345">
              <w:marLeft w:val="0"/>
              <w:marRight w:val="0"/>
              <w:marTop w:val="0"/>
              <w:marBottom w:val="0"/>
              <w:divBdr>
                <w:top w:val="none" w:sz="0" w:space="0" w:color="auto"/>
                <w:left w:val="none" w:sz="0" w:space="0" w:color="auto"/>
                <w:bottom w:val="none" w:sz="0" w:space="0" w:color="auto"/>
                <w:right w:val="none" w:sz="0" w:space="0" w:color="auto"/>
              </w:divBdr>
            </w:div>
            <w:div w:id="743573745">
              <w:marLeft w:val="0"/>
              <w:marRight w:val="0"/>
              <w:marTop w:val="0"/>
              <w:marBottom w:val="0"/>
              <w:divBdr>
                <w:top w:val="none" w:sz="0" w:space="0" w:color="auto"/>
                <w:left w:val="none" w:sz="0" w:space="0" w:color="auto"/>
                <w:bottom w:val="none" w:sz="0" w:space="0" w:color="auto"/>
                <w:right w:val="none" w:sz="0" w:space="0" w:color="auto"/>
              </w:divBdr>
            </w:div>
            <w:div w:id="940338973">
              <w:marLeft w:val="0"/>
              <w:marRight w:val="0"/>
              <w:marTop w:val="0"/>
              <w:marBottom w:val="0"/>
              <w:divBdr>
                <w:top w:val="none" w:sz="0" w:space="0" w:color="auto"/>
                <w:left w:val="none" w:sz="0" w:space="0" w:color="auto"/>
                <w:bottom w:val="none" w:sz="0" w:space="0" w:color="auto"/>
                <w:right w:val="none" w:sz="0" w:space="0" w:color="auto"/>
              </w:divBdr>
            </w:div>
            <w:div w:id="1560818600">
              <w:marLeft w:val="0"/>
              <w:marRight w:val="0"/>
              <w:marTop w:val="0"/>
              <w:marBottom w:val="0"/>
              <w:divBdr>
                <w:top w:val="none" w:sz="0" w:space="0" w:color="auto"/>
                <w:left w:val="none" w:sz="0" w:space="0" w:color="auto"/>
                <w:bottom w:val="none" w:sz="0" w:space="0" w:color="auto"/>
                <w:right w:val="none" w:sz="0" w:space="0" w:color="auto"/>
              </w:divBdr>
            </w:div>
            <w:div w:id="1570075779">
              <w:marLeft w:val="0"/>
              <w:marRight w:val="0"/>
              <w:marTop w:val="0"/>
              <w:marBottom w:val="0"/>
              <w:divBdr>
                <w:top w:val="none" w:sz="0" w:space="0" w:color="auto"/>
                <w:left w:val="none" w:sz="0" w:space="0" w:color="auto"/>
                <w:bottom w:val="none" w:sz="0" w:space="0" w:color="auto"/>
                <w:right w:val="none" w:sz="0" w:space="0" w:color="auto"/>
              </w:divBdr>
            </w:div>
            <w:div w:id="1704212695">
              <w:marLeft w:val="0"/>
              <w:marRight w:val="0"/>
              <w:marTop w:val="0"/>
              <w:marBottom w:val="0"/>
              <w:divBdr>
                <w:top w:val="none" w:sz="0" w:space="0" w:color="auto"/>
                <w:left w:val="none" w:sz="0" w:space="0" w:color="auto"/>
                <w:bottom w:val="none" w:sz="0" w:space="0" w:color="auto"/>
                <w:right w:val="none" w:sz="0" w:space="0" w:color="auto"/>
              </w:divBdr>
            </w:div>
            <w:div w:id="1742949362">
              <w:marLeft w:val="0"/>
              <w:marRight w:val="0"/>
              <w:marTop w:val="0"/>
              <w:marBottom w:val="0"/>
              <w:divBdr>
                <w:top w:val="none" w:sz="0" w:space="0" w:color="auto"/>
                <w:left w:val="none" w:sz="0" w:space="0" w:color="auto"/>
                <w:bottom w:val="none" w:sz="0" w:space="0" w:color="auto"/>
                <w:right w:val="none" w:sz="0" w:space="0" w:color="auto"/>
              </w:divBdr>
            </w:div>
          </w:divsChild>
        </w:div>
        <w:div w:id="489372390">
          <w:marLeft w:val="0"/>
          <w:marRight w:val="0"/>
          <w:marTop w:val="0"/>
          <w:marBottom w:val="0"/>
          <w:divBdr>
            <w:top w:val="none" w:sz="0" w:space="0" w:color="auto"/>
            <w:left w:val="none" w:sz="0" w:space="0" w:color="auto"/>
            <w:bottom w:val="none" w:sz="0" w:space="0" w:color="auto"/>
            <w:right w:val="none" w:sz="0" w:space="0" w:color="auto"/>
          </w:divBdr>
          <w:divsChild>
            <w:div w:id="853229914">
              <w:marLeft w:val="0"/>
              <w:marRight w:val="0"/>
              <w:marTop w:val="0"/>
              <w:marBottom w:val="0"/>
              <w:divBdr>
                <w:top w:val="none" w:sz="0" w:space="0" w:color="auto"/>
                <w:left w:val="none" w:sz="0" w:space="0" w:color="auto"/>
                <w:bottom w:val="none" w:sz="0" w:space="0" w:color="auto"/>
                <w:right w:val="none" w:sz="0" w:space="0" w:color="auto"/>
              </w:divBdr>
            </w:div>
            <w:div w:id="1129322995">
              <w:marLeft w:val="0"/>
              <w:marRight w:val="0"/>
              <w:marTop w:val="0"/>
              <w:marBottom w:val="0"/>
              <w:divBdr>
                <w:top w:val="none" w:sz="0" w:space="0" w:color="auto"/>
                <w:left w:val="none" w:sz="0" w:space="0" w:color="auto"/>
                <w:bottom w:val="none" w:sz="0" w:space="0" w:color="auto"/>
                <w:right w:val="none" w:sz="0" w:space="0" w:color="auto"/>
              </w:divBdr>
            </w:div>
          </w:divsChild>
        </w:div>
        <w:div w:id="490373085">
          <w:marLeft w:val="0"/>
          <w:marRight w:val="0"/>
          <w:marTop w:val="0"/>
          <w:marBottom w:val="0"/>
          <w:divBdr>
            <w:top w:val="none" w:sz="0" w:space="0" w:color="auto"/>
            <w:left w:val="none" w:sz="0" w:space="0" w:color="auto"/>
            <w:bottom w:val="none" w:sz="0" w:space="0" w:color="auto"/>
            <w:right w:val="none" w:sz="0" w:space="0" w:color="auto"/>
          </w:divBdr>
          <w:divsChild>
            <w:div w:id="30960979">
              <w:marLeft w:val="0"/>
              <w:marRight w:val="0"/>
              <w:marTop w:val="0"/>
              <w:marBottom w:val="0"/>
              <w:divBdr>
                <w:top w:val="none" w:sz="0" w:space="0" w:color="auto"/>
                <w:left w:val="none" w:sz="0" w:space="0" w:color="auto"/>
                <w:bottom w:val="none" w:sz="0" w:space="0" w:color="auto"/>
                <w:right w:val="none" w:sz="0" w:space="0" w:color="auto"/>
              </w:divBdr>
            </w:div>
            <w:div w:id="985620264">
              <w:marLeft w:val="0"/>
              <w:marRight w:val="0"/>
              <w:marTop w:val="0"/>
              <w:marBottom w:val="0"/>
              <w:divBdr>
                <w:top w:val="none" w:sz="0" w:space="0" w:color="auto"/>
                <w:left w:val="none" w:sz="0" w:space="0" w:color="auto"/>
                <w:bottom w:val="none" w:sz="0" w:space="0" w:color="auto"/>
                <w:right w:val="none" w:sz="0" w:space="0" w:color="auto"/>
              </w:divBdr>
            </w:div>
            <w:div w:id="1650744383">
              <w:marLeft w:val="0"/>
              <w:marRight w:val="0"/>
              <w:marTop w:val="0"/>
              <w:marBottom w:val="0"/>
              <w:divBdr>
                <w:top w:val="none" w:sz="0" w:space="0" w:color="auto"/>
                <w:left w:val="none" w:sz="0" w:space="0" w:color="auto"/>
                <w:bottom w:val="none" w:sz="0" w:space="0" w:color="auto"/>
                <w:right w:val="none" w:sz="0" w:space="0" w:color="auto"/>
              </w:divBdr>
            </w:div>
          </w:divsChild>
        </w:div>
        <w:div w:id="492185318">
          <w:marLeft w:val="0"/>
          <w:marRight w:val="0"/>
          <w:marTop w:val="0"/>
          <w:marBottom w:val="0"/>
          <w:divBdr>
            <w:top w:val="none" w:sz="0" w:space="0" w:color="auto"/>
            <w:left w:val="none" w:sz="0" w:space="0" w:color="auto"/>
            <w:bottom w:val="none" w:sz="0" w:space="0" w:color="auto"/>
            <w:right w:val="none" w:sz="0" w:space="0" w:color="auto"/>
          </w:divBdr>
          <w:divsChild>
            <w:div w:id="578054035">
              <w:marLeft w:val="0"/>
              <w:marRight w:val="0"/>
              <w:marTop w:val="0"/>
              <w:marBottom w:val="0"/>
              <w:divBdr>
                <w:top w:val="none" w:sz="0" w:space="0" w:color="auto"/>
                <w:left w:val="none" w:sz="0" w:space="0" w:color="auto"/>
                <w:bottom w:val="none" w:sz="0" w:space="0" w:color="auto"/>
                <w:right w:val="none" w:sz="0" w:space="0" w:color="auto"/>
              </w:divBdr>
            </w:div>
          </w:divsChild>
        </w:div>
        <w:div w:id="498738970">
          <w:marLeft w:val="0"/>
          <w:marRight w:val="0"/>
          <w:marTop w:val="0"/>
          <w:marBottom w:val="0"/>
          <w:divBdr>
            <w:top w:val="none" w:sz="0" w:space="0" w:color="auto"/>
            <w:left w:val="none" w:sz="0" w:space="0" w:color="auto"/>
            <w:bottom w:val="none" w:sz="0" w:space="0" w:color="auto"/>
            <w:right w:val="none" w:sz="0" w:space="0" w:color="auto"/>
          </w:divBdr>
          <w:divsChild>
            <w:div w:id="1985158740">
              <w:marLeft w:val="0"/>
              <w:marRight w:val="0"/>
              <w:marTop w:val="0"/>
              <w:marBottom w:val="0"/>
              <w:divBdr>
                <w:top w:val="none" w:sz="0" w:space="0" w:color="auto"/>
                <w:left w:val="none" w:sz="0" w:space="0" w:color="auto"/>
                <w:bottom w:val="none" w:sz="0" w:space="0" w:color="auto"/>
                <w:right w:val="none" w:sz="0" w:space="0" w:color="auto"/>
              </w:divBdr>
            </w:div>
          </w:divsChild>
        </w:div>
        <w:div w:id="506872665">
          <w:marLeft w:val="0"/>
          <w:marRight w:val="0"/>
          <w:marTop w:val="0"/>
          <w:marBottom w:val="0"/>
          <w:divBdr>
            <w:top w:val="none" w:sz="0" w:space="0" w:color="auto"/>
            <w:left w:val="none" w:sz="0" w:space="0" w:color="auto"/>
            <w:bottom w:val="none" w:sz="0" w:space="0" w:color="auto"/>
            <w:right w:val="none" w:sz="0" w:space="0" w:color="auto"/>
          </w:divBdr>
          <w:divsChild>
            <w:div w:id="562789842">
              <w:marLeft w:val="0"/>
              <w:marRight w:val="0"/>
              <w:marTop w:val="0"/>
              <w:marBottom w:val="0"/>
              <w:divBdr>
                <w:top w:val="none" w:sz="0" w:space="0" w:color="auto"/>
                <w:left w:val="none" w:sz="0" w:space="0" w:color="auto"/>
                <w:bottom w:val="none" w:sz="0" w:space="0" w:color="auto"/>
                <w:right w:val="none" w:sz="0" w:space="0" w:color="auto"/>
              </w:divBdr>
            </w:div>
            <w:div w:id="1251818784">
              <w:marLeft w:val="0"/>
              <w:marRight w:val="0"/>
              <w:marTop w:val="0"/>
              <w:marBottom w:val="0"/>
              <w:divBdr>
                <w:top w:val="none" w:sz="0" w:space="0" w:color="auto"/>
                <w:left w:val="none" w:sz="0" w:space="0" w:color="auto"/>
                <w:bottom w:val="none" w:sz="0" w:space="0" w:color="auto"/>
                <w:right w:val="none" w:sz="0" w:space="0" w:color="auto"/>
              </w:divBdr>
            </w:div>
          </w:divsChild>
        </w:div>
        <w:div w:id="510533521">
          <w:marLeft w:val="0"/>
          <w:marRight w:val="0"/>
          <w:marTop w:val="0"/>
          <w:marBottom w:val="0"/>
          <w:divBdr>
            <w:top w:val="none" w:sz="0" w:space="0" w:color="auto"/>
            <w:left w:val="none" w:sz="0" w:space="0" w:color="auto"/>
            <w:bottom w:val="none" w:sz="0" w:space="0" w:color="auto"/>
            <w:right w:val="none" w:sz="0" w:space="0" w:color="auto"/>
          </w:divBdr>
          <w:divsChild>
            <w:div w:id="1467506919">
              <w:marLeft w:val="0"/>
              <w:marRight w:val="0"/>
              <w:marTop w:val="0"/>
              <w:marBottom w:val="0"/>
              <w:divBdr>
                <w:top w:val="none" w:sz="0" w:space="0" w:color="auto"/>
                <w:left w:val="none" w:sz="0" w:space="0" w:color="auto"/>
                <w:bottom w:val="none" w:sz="0" w:space="0" w:color="auto"/>
                <w:right w:val="none" w:sz="0" w:space="0" w:color="auto"/>
              </w:divBdr>
            </w:div>
          </w:divsChild>
        </w:div>
        <w:div w:id="517280814">
          <w:marLeft w:val="0"/>
          <w:marRight w:val="0"/>
          <w:marTop w:val="0"/>
          <w:marBottom w:val="0"/>
          <w:divBdr>
            <w:top w:val="none" w:sz="0" w:space="0" w:color="auto"/>
            <w:left w:val="none" w:sz="0" w:space="0" w:color="auto"/>
            <w:bottom w:val="none" w:sz="0" w:space="0" w:color="auto"/>
            <w:right w:val="none" w:sz="0" w:space="0" w:color="auto"/>
          </w:divBdr>
          <w:divsChild>
            <w:div w:id="505899376">
              <w:marLeft w:val="0"/>
              <w:marRight w:val="0"/>
              <w:marTop w:val="0"/>
              <w:marBottom w:val="0"/>
              <w:divBdr>
                <w:top w:val="none" w:sz="0" w:space="0" w:color="auto"/>
                <w:left w:val="none" w:sz="0" w:space="0" w:color="auto"/>
                <w:bottom w:val="none" w:sz="0" w:space="0" w:color="auto"/>
                <w:right w:val="none" w:sz="0" w:space="0" w:color="auto"/>
              </w:divBdr>
            </w:div>
          </w:divsChild>
        </w:div>
        <w:div w:id="521170874">
          <w:marLeft w:val="0"/>
          <w:marRight w:val="0"/>
          <w:marTop w:val="0"/>
          <w:marBottom w:val="0"/>
          <w:divBdr>
            <w:top w:val="none" w:sz="0" w:space="0" w:color="auto"/>
            <w:left w:val="none" w:sz="0" w:space="0" w:color="auto"/>
            <w:bottom w:val="none" w:sz="0" w:space="0" w:color="auto"/>
            <w:right w:val="none" w:sz="0" w:space="0" w:color="auto"/>
          </w:divBdr>
          <w:divsChild>
            <w:div w:id="685987840">
              <w:marLeft w:val="0"/>
              <w:marRight w:val="0"/>
              <w:marTop w:val="0"/>
              <w:marBottom w:val="0"/>
              <w:divBdr>
                <w:top w:val="none" w:sz="0" w:space="0" w:color="auto"/>
                <w:left w:val="none" w:sz="0" w:space="0" w:color="auto"/>
                <w:bottom w:val="none" w:sz="0" w:space="0" w:color="auto"/>
                <w:right w:val="none" w:sz="0" w:space="0" w:color="auto"/>
              </w:divBdr>
            </w:div>
          </w:divsChild>
        </w:div>
        <w:div w:id="521628971">
          <w:marLeft w:val="0"/>
          <w:marRight w:val="0"/>
          <w:marTop w:val="0"/>
          <w:marBottom w:val="0"/>
          <w:divBdr>
            <w:top w:val="none" w:sz="0" w:space="0" w:color="auto"/>
            <w:left w:val="none" w:sz="0" w:space="0" w:color="auto"/>
            <w:bottom w:val="none" w:sz="0" w:space="0" w:color="auto"/>
            <w:right w:val="none" w:sz="0" w:space="0" w:color="auto"/>
          </w:divBdr>
          <w:divsChild>
            <w:div w:id="1756365551">
              <w:marLeft w:val="0"/>
              <w:marRight w:val="0"/>
              <w:marTop w:val="0"/>
              <w:marBottom w:val="0"/>
              <w:divBdr>
                <w:top w:val="none" w:sz="0" w:space="0" w:color="auto"/>
                <w:left w:val="none" w:sz="0" w:space="0" w:color="auto"/>
                <w:bottom w:val="none" w:sz="0" w:space="0" w:color="auto"/>
                <w:right w:val="none" w:sz="0" w:space="0" w:color="auto"/>
              </w:divBdr>
            </w:div>
          </w:divsChild>
        </w:div>
        <w:div w:id="528490292">
          <w:marLeft w:val="0"/>
          <w:marRight w:val="0"/>
          <w:marTop w:val="0"/>
          <w:marBottom w:val="0"/>
          <w:divBdr>
            <w:top w:val="none" w:sz="0" w:space="0" w:color="auto"/>
            <w:left w:val="none" w:sz="0" w:space="0" w:color="auto"/>
            <w:bottom w:val="none" w:sz="0" w:space="0" w:color="auto"/>
            <w:right w:val="none" w:sz="0" w:space="0" w:color="auto"/>
          </w:divBdr>
          <w:divsChild>
            <w:div w:id="357656307">
              <w:marLeft w:val="0"/>
              <w:marRight w:val="0"/>
              <w:marTop w:val="0"/>
              <w:marBottom w:val="0"/>
              <w:divBdr>
                <w:top w:val="none" w:sz="0" w:space="0" w:color="auto"/>
                <w:left w:val="none" w:sz="0" w:space="0" w:color="auto"/>
                <w:bottom w:val="none" w:sz="0" w:space="0" w:color="auto"/>
                <w:right w:val="none" w:sz="0" w:space="0" w:color="auto"/>
              </w:divBdr>
            </w:div>
          </w:divsChild>
        </w:div>
        <w:div w:id="541090419">
          <w:marLeft w:val="0"/>
          <w:marRight w:val="0"/>
          <w:marTop w:val="0"/>
          <w:marBottom w:val="0"/>
          <w:divBdr>
            <w:top w:val="none" w:sz="0" w:space="0" w:color="auto"/>
            <w:left w:val="none" w:sz="0" w:space="0" w:color="auto"/>
            <w:bottom w:val="none" w:sz="0" w:space="0" w:color="auto"/>
            <w:right w:val="none" w:sz="0" w:space="0" w:color="auto"/>
          </w:divBdr>
          <w:divsChild>
            <w:div w:id="682980074">
              <w:marLeft w:val="0"/>
              <w:marRight w:val="0"/>
              <w:marTop w:val="0"/>
              <w:marBottom w:val="0"/>
              <w:divBdr>
                <w:top w:val="none" w:sz="0" w:space="0" w:color="auto"/>
                <w:left w:val="none" w:sz="0" w:space="0" w:color="auto"/>
                <w:bottom w:val="none" w:sz="0" w:space="0" w:color="auto"/>
                <w:right w:val="none" w:sz="0" w:space="0" w:color="auto"/>
              </w:divBdr>
            </w:div>
          </w:divsChild>
        </w:div>
        <w:div w:id="541672075">
          <w:marLeft w:val="0"/>
          <w:marRight w:val="0"/>
          <w:marTop w:val="0"/>
          <w:marBottom w:val="0"/>
          <w:divBdr>
            <w:top w:val="none" w:sz="0" w:space="0" w:color="auto"/>
            <w:left w:val="none" w:sz="0" w:space="0" w:color="auto"/>
            <w:bottom w:val="none" w:sz="0" w:space="0" w:color="auto"/>
            <w:right w:val="none" w:sz="0" w:space="0" w:color="auto"/>
          </w:divBdr>
          <w:divsChild>
            <w:div w:id="1837112006">
              <w:marLeft w:val="0"/>
              <w:marRight w:val="0"/>
              <w:marTop w:val="0"/>
              <w:marBottom w:val="0"/>
              <w:divBdr>
                <w:top w:val="none" w:sz="0" w:space="0" w:color="auto"/>
                <w:left w:val="none" w:sz="0" w:space="0" w:color="auto"/>
                <w:bottom w:val="none" w:sz="0" w:space="0" w:color="auto"/>
                <w:right w:val="none" w:sz="0" w:space="0" w:color="auto"/>
              </w:divBdr>
            </w:div>
          </w:divsChild>
        </w:div>
        <w:div w:id="549420634">
          <w:marLeft w:val="0"/>
          <w:marRight w:val="0"/>
          <w:marTop w:val="0"/>
          <w:marBottom w:val="0"/>
          <w:divBdr>
            <w:top w:val="none" w:sz="0" w:space="0" w:color="auto"/>
            <w:left w:val="none" w:sz="0" w:space="0" w:color="auto"/>
            <w:bottom w:val="none" w:sz="0" w:space="0" w:color="auto"/>
            <w:right w:val="none" w:sz="0" w:space="0" w:color="auto"/>
          </w:divBdr>
          <w:divsChild>
            <w:div w:id="520097116">
              <w:marLeft w:val="0"/>
              <w:marRight w:val="0"/>
              <w:marTop w:val="0"/>
              <w:marBottom w:val="0"/>
              <w:divBdr>
                <w:top w:val="none" w:sz="0" w:space="0" w:color="auto"/>
                <w:left w:val="none" w:sz="0" w:space="0" w:color="auto"/>
                <w:bottom w:val="none" w:sz="0" w:space="0" w:color="auto"/>
                <w:right w:val="none" w:sz="0" w:space="0" w:color="auto"/>
              </w:divBdr>
            </w:div>
          </w:divsChild>
        </w:div>
        <w:div w:id="552469843">
          <w:marLeft w:val="0"/>
          <w:marRight w:val="0"/>
          <w:marTop w:val="0"/>
          <w:marBottom w:val="0"/>
          <w:divBdr>
            <w:top w:val="none" w:sz="0" w:space="0" w:color="auto"/>
            <w:left w:val="none" w:sz="0" w:space="0" w:color="auto"/>
            <w:bottom w:val="none" w:sz="0" w:space="0" w:color="auto"/>
            <w:right w:val="none" w:sz="0" w:space="0" w:color="auto"/>
          </w:divBdr>
          <w:divsChild>
            <w:div w:id="1647201470">
              <w:marLeft w:val="0"/>
              <w:marRight w:val="0"/>
              <w:marTop w:val="0"/>
              <w:marBottom w:val="0"/>
              <w:divBdr>
                <w:top w:val="none" w:sz="0" w:space="0" w:color="auto"/>
                <w:left w:val="none" w:sz="0" w:space="0" w:color="auto"/>
                <w:bottom w:val="none" w:sz="0" w:space="0" w:color="auto"/>
                <w:right w:val="none" w:sz="0" w:space="0" w:color="auto"/>
              </w:divBdr>
            </w:div>
          </w:divsChild>
        </w:div>
        <w:div w:id="553548588">
          <w:marLeft w:val="0"/>
          <w:marRight w:val="0"/>
          <w:marTop w:val="0"/>
          <w:marBottom w:val="0"/>
          <w:divBdr>
            <w:top w:val="none" w:sz="0" w:space="0" w:color="auto"/>
            <w:left w:val="none" w:sz="0" w:space="0" w:color="auto"/>
            <w:bottom w:val="none" w:sz="0" w:space="0" w:color="auto"/>
            <w:right w:val="none" w:sz="0" w:space="0" w:color="auto"/>
          </w:divBdr>
          <w:divsChild>
            <w:div w:id="1265766448">
              <w:marLeft w:val="0"/>
              <w:marRight w:val="0"/>
              <w:marTop w:val="0"/>
              <w:marBottom w:val="0"/>
              <w:divBdr>
                <w:top w:val="none" w:sz="0" w:space="0" w:color="auto"/>
                <w:left w:val="none" w:sz="0" w:space="0" w:color="auto"/>
                <w:bottom w:val="none" w:sz="0" w:space="0" w:color="auto"/>
                <w:right w:val="none" w:sz="0" w:space="0" w:color="auto"/>
              </w:divBdr>
            </w:div>
          </w:divsChild>
        </w:div>
        <w:div w:id="559024151">
          <w:marLeft w:val="0"/>
          <w:marRight w:val="0"/>
          <w:marTop w:val="0"/>
          <w:marBottom w:val="0"/>
          <w:divBdr>
            <w:top w:val="none" w:sz="0" w:space="0" w:color="auto"/>
            <w:left w:val="none" w:sz="0" w:space="0" w:color="auto"/>
            <w:bottom w:val="none" w:sz="0" w:space="0" w:color="auto"/>
            <w:right w:val="none" w:sz="0" w:space="0" w:color="auto"/>
          </w:divBdr>
          <w:divsChild>
            <w:div w:id="550114636">
              <w:marLeft w:val="0"/>
              <w:marRight w:val="0"/>
              <w:marTop w:val="0"/>
              <w:marBottom w:val="0"/>
              <w:divBdr>
                <w:top w:val="none" w:sz="0" w:space="0" w:color="auto"/>
                <w:left w:val="none" w:sz="0" w:space="0" w:color="auto"/>
                <w:bottom w:val="none" w:sz="0" w:space="0" w:color="auto"/>
                <w:right w:val="none" w:sz="0" w:space="0" w:color="auto"/>
              </w:divBdr>
            </w:div>
          </w:divsChild>
        </w:div>
        <w:div w:id="559051030">
          <w:marLeft w:val="0"/>
          <w:marRight w:val="0"/>
          <w:marTop w:val="0"/>
          <w:marBottom w:val="0"/>
          <w:divBdr>
            <w:top w:val="none" w:sz="0" w:space="0" w:color="auto"/>
            <w:left w:val="none" w:sz="0" w:space="0" w:color="auto"/>
            <w:bottom w:val="none" w:sz="0" w:space="0" w:color="auto"/>
            <w:right w:val="none" w:sz="0" w:space="0" w:color="auto"/>
          </w:divBdr>
          <w:divsChild>
            <w:div w:id="121122997">
              <w:marLeft w:val="0"/>
              <w:marRight w:val="0"/>
              <w:marTop w:val="0"/>
              <w:marBottom w:val="0"/>
              <w:divBdr>
                <w:top w:val="none" w:sz="0" w:space="0" w:color="auto"/>
                <w:left w:val="none" w:sz="0" w:space="0" w:color="auto"/>
                <w:bottom w:val="none" w:sz="0" w:space="0" w:color="auto"/>
                <w:right w:val="none" w:sz="0" w:space="0" w:color="auto"/>
              </w:divBdr>
            </w:div>
          </w:divsChild>
        </w:div>
        <w:div w:id="568734203">
          <w:marLeft w:val="0"/>
          <w:marRight w:val="0"/>
          <w:marTop w:val="0"/>
          <w:marBottom w:val="0"/>
          <w:divBdr>
            <w:top w:val="none" w:sz="0" w:space="0" w:color="auto"/>
            <w:left w:val="none" w:sz="0" w:space="0" w:color="auto"/>
            <w:bottom w:val="none" w:sz="0" w:space="0" w:color="auto"/>
            <w:right w:val="none" w:sz="0" w:space="0" w:color="auto"/>
          </w:divBdr>
          <w:divsChild>
            <w:div w:id="534582985">
              <w:marLeft w:val="0"/>
              <w:marRight w:val="0"/>
              <w:marTop w:val="0"/>
              <w:marBottom w:val="0"/>
              <w:divBdr>
                <w:top w:val="none" w:sz="0" w:space="0" w:color="auto"/>
                <w:left w:val="none" w:sz="0" w:space="0" w:color="auto"/>
                <w:bottom w:val="none" w:sz="0" w:space="0" w:color="auto"/>
                <w:right w:val="none" w:sz="0" w:space="0" w:color="auto"/>
              </w:divBdr>
            </w:div>
            <w:div w:id="1437872352">
              <w:marLeft w:val="0"/>
              <w:marRight w:val="0"/>
              <w:marTop w:val="0"/>
              <w:marBottom w:val="0"/>
              <w:divBdr>
                <w:top w:val="none" w:sz="0" w:space="0" w:color="auto"/>
                <w:left w:val="none" w:sz="0" w:space="0" w:color="auto"/>
                <w:bottom w:val="none" w:sz="0" w:space="0" w:color="auto"/>
                <w:right w:val="none" w:sz="0" w:space="0" w:color="auto"/>
              </w:divBdr>
            </w:div>
          </w:divsChild>
        </w:div>
        <w:div w:id="572398712">
          <w:marLeft w:val="0"/>
          <w:marRight w:val="0"/>
          <w:marTop w:val="0"/>
          <w:marBottom w:val="0"/>
          <w:divBdr>
            <w:top w:val="none" w:sz="0" w:space="0" w:color="auto"/>
            <w:left w:val="none" w:sz="0" w:space="0" w:color="auto"/>
            <w:bottom w:val="none" w:sz="0" w:space="0" w:color="auto"/>
            <w:right w:val="none" w:sz="0" w:space="0" w:color="auto"/>
          </w:divBdr>
          <w:divsChild>
            <w:div w:id="941499802">
              <w:marLeft w:val="0"/>
              <w:marRight w:val="0"/>
              <w:marTop w:val="0"/>
              <w:marBottom w:val="0"/>
              <w:divBdr>
                <w:top w:val="none" w:sz="0" w:space="0" w:color="auto"/>
                <w:left w:val="none" w:sz="0" w:space="0" w:color="auto"/>
                <w:bottom w:val="none" w:sz="0" w:space="0" w:color="auto"/>
                <w:right w:val="none" w:sz="0" w:space="0" w:color="auto"/>
              </w:divBdr>
            </w:div>
          </w:divsChild>
        </w:div>
        <w:div w:id="574321932">
          <w:marLeft w:val="0"/>
          <w:marRight w:val="0"/>
          <w:marTop w:val="0"/>
          <w:marBottom w:val="0"/>
          <w:divBdr>
            <w:top w:val="none" w:sz="0" w:space="0" w:color="auto"/>
            <w:left w:val="none" w:sz="0" w:space="0" w:color="auto"/>
            <w:bottom w:val="none" w:sz="0" w:space="0" w:color="auto"/>
            <w:right w:val="none" w:sz="0" w:space="0" w:color="auto"/>
          </w:divBdr>
          <w:divsChild>
            <w:div w:id="108355809">
              <w:marLeft w:val="0"/>
              <w:marRight w:val="0"/>
              <w:marTop w:val="0"/>
              <w:marBottom w:val="0"/>
              <w:divBdr>
                <w:top w:val="none" w:sz="0" w:space="0" w:color="auto"/>
                <w:left w:val="none" w:sz="0" w:space="0" w:color="auto"/>
                <w:bottom w:val="none" w:sz="0" w:space="0" w:color="auto"/>
                <w:right w:val="none" w:sz="0" w:space="0" w:color="auto"/>
              </w:divBdr>
            </w:div>
            <w:div w:id="320543974">
              <w:marLeft w:val="0"/>
              <w:marRight w:val="0"/>
              <w:marTop w:val="0"/>
              <w:marBottom w:val="0"/>
              <w:divBdr>
                <w:top w:val="none" w:sz="0" w:space="0" w:color="auto"/>
                <w:left w:val="none" w:sz="0" w:space="0" w:color="auto"/>
                <w:bottom w:val="none" w:sz="0" w:space="0" w:color="auto"/>
                <w:right w:val="none" w:sz="0" w:space="0" w:color="auto"/>
              </w:divBdr>
            </w:div>
            <w:div w:id="919486826">
              <w:marLeft w:val="0"/>
              <w:marRight w:val="0"/>
              <w:marTop w:val="0"/>
              <w:marBottom w:val="0"/>
              <w:divBdr>
                <w:top w:val="none" w:sz="0" w:space="0" w:color="auto"/>
                <w:left w:val="none" w:sz="0" w:space="0" w:color="auto"/>
                <w:bottom w:val="none" w:sz="0" w:space="0" w:color="auto"/>
                <w:right w:val="none" w:sz="0" w:space="0" w:color="auto"/>
              </w:divBdr>
            </w:div>
            <w:div w:id="1265457131">
              <w:marLeft w:val="0"/>
              <w:marRight w:val="0"/>
              <w:marTop w:val="0"/>
              <w:marBottom w:val="0"/>
              <w:divBdr>
                <w:top w:val="none" w:sz="0" w:space="0" w:color="auto"/>
                <w:left w:val="none" w:sz="0" w:space="0" w:color="auto"/>
                <w:bottom w:val="none" w:sz="0" w:space="0" w:color="auto"/>
                <w:right w:val="none" w:sz="0" w:space="0" w:color="auto"/>
              </w:divBdr>
            </w:div>
            <w:div w:id="1460218444">
              <w:marLeft w:val="0"/>
              <w:marRight w:val="0"/>
              <w:marTop w:val="0"/>
              <w:marBottom w:val="0"/>
              <w:divBdr>
                <w:top w:val="none" w:sz="0" w:space="0" w:color="auto"/>
                <w:left w:val="none" w:sz="0" w:space="0" w:color="auto"/>
                <w:bottom w:val="none" w:sz="0" w:space="0" w:color="auto"/>
                <w:right w:val="none" w:sz="0" w:space="0" w:color="auto"/>
              </w:divBdr>
            </w:div>
            <w:div w:id="1641840347">
              <w:marLeft w:val="0"/>
              <w:marRight w:val="0"/>
              <w:marTop w:val="0"/>
              <w:marBottom w:val="0"/>
              <w:divBdr>
                <w:top w:val="none" w:sz="0" w:space="0" w:color="auto"/>
                <w:left w:val="none" w:sz="0" w:space="0" w:color="auto"/>
                <w:bottom w:val="none" w:sz="0" w:space="0" w:color="auto"/>
                <w:right w:val="none" w:sz="0" w:space="0" w:color="auto"/>
              </w:divBdr>
            </w:div>
          </w:divsChild>
        </w:div>
        <w:div w:id="580143867">
          <w:marLeft w:val="0"/>
          <w:marRight w:val="0"/>
          <w:marTop w:val="0"/>
          <w:marBottom w:val="0"/>
          <w:divBdr>
            <w:top w:val="none" w:sz="0" w:space="0" w:color="auto"/>
            <w:left w:val="none" w:sz="0" w:space="0" w:color="auto"/>
            <w:bottom w:val="none" w:sz="0" w:space="0" w:color="auto"/>
            <w:right w:val="none" w:sz="0" w:space="0" w:color="auto"/>
          </w:divBdr>
          <w:divsChild>
            <w:div w:id="1390688911">
              <w:marLeft w:val="0"/>
              <w:marRight w:val="0"/>
              <w:marTop w:val="0"/>
              <w:marBottom w:val="0"/>
              <w:divBdr>
                <w:top w:val="none" w:sz="0" w:space="0" w:color="auto"/>
                <w:left w:val="none" w:sz="0" w:space="0" w:color="auto"/>
                <w:bottom w:val="none" w:sz="0" w:space="0" w:color="auto"/>
                <w:right w:val="none" w:sz="0" w:space="0" w:color="auto"/>
              </w:divBdr>
            </w:div>
          </w:divsChild>
        </w:div>
        <w:div w:id="588200735">
          <w:marLeft w:val="0"/>
          <w:marRight w:val="0"/>
          <w:marTop w:val="0"/>
          <w:marBottom w:val="0"/>
          <w:divBdr>
            <w:top w:val="none" w:sz="0" w:space="0" w:color="auto"/>
            <w:left w:val="none" w:sz="0" w:space="0" w:color="auto"/>
            <w:bottom w:val="none" w:sz="0" w:space="0" w:color="auto"/>
            <w:right w:val="none" w:sz="0" w:space="0" w:color="auto"/>
          </w:divBdr>
          <w:divsChild>
            <w:div w:id="1717464980">
              <w:marLeft w:val="0"/>
              <w:marRight w:val="0"/>
              <w:marTop w:val="0"/>
              <w:marBottom w:val="0"/>
              <w:divBdr>
                <w:top w:val="none" w:sz="0" w:space="0" w:color="auto"/>
                <w:left w:val="none" w:sz="0" w:space="0" w:color="auto"/>
                <w:bottom w:val="none" w:sz="0" w:space="0" w:color="auto"/>
                <w:right w:val="none" w:sz="0" w:space="0" w:color="auto"/>
              </w:divBdr>
            </w:div>
          </w:divsChild>
        </w:div>
        <w:div w:id="591625609">
          <w:marLeft w:val="0"/>
          <w:marRight w:val="0"/>
          <w:marTop w:val="0"/>
          <w:marBottom w:val="0"/>
          <w:divBdr>
            <w:top w:val="none" w:sz="0" w:space="0" w:color="auto"/>
            <w:left w:val="none" w:sz="0" w:space="0" w:color="auto"/>
            <w:bottom w:val="none" w:sz="0" w:space="0" w:color="auto"/>
            <w:right w:val="none" w:sz="0" w:space="0" w:color="auto"/>
          </w:divBdr>
          <w:divsChild>
            <w:div w:id="529296199">
              <w:marLeft w:val="0"/>
              <w:marRight w:val="0"/>
              <w:marTop w:val="0"/>
              <w:marBottom w:val="0"/>
              <w:divBdr>
                <w:top w:val="none" w:sz="0" w:space="0" w:color="auto"/>
                <w:left w:val="none" w:sz="0" w:space="0" w:color="auto"/>
                <w:bottom w:val="none" w:sz="0" w:space="0" w:color="auto"/>
                <w:right w:val="none" w:sz="0" w:space="0" w:color="auto"/>
              </w:divBdr>
            </w:div>
            <w:div w:id="1314525713">
              <w:marLeft w:val="0"/>
              <w:marRight w:val="0"/>
              <w:marTop w:val="0"/>
              <w:marBottom w:val="0"/>
              <w:divBdr>
                <w:top w:val="none" w:sz="0" w:space="0" w:color="auto"/>
                <w:left w:val="none" w:sz="0" w:space="0" w:color="auto"/>
                <w:bottom w:val="none" w:sz="0" w:space="0" w:color="auto"/>
                <w:right w:val="none" w:sz="0" w:space="0" w:color="auto"/>
              </w:divBdr>
            </w:div>
          </w:divsChild>
        </w:div>
        <w:div w:id="595216281">
          <w:marLeft w:val="0"/>
          <w:marRight w:val="0"/>
          <w:marTop w:val="0"/>
          <w:marBottom w:val="0"/>
          <w:divBdr>
            <w:top w:val="none" w:sz="0" w:space="0" w:color="auto"/>
            <w:left w:val="none" w:sz="0" w:space="0" w:color="auto"/>
            <w:bottom w:val="none" w:sz="0" w:space="0" w:color="auto"/>
            <w:right w:val="none" w:sz="0" w:space="0" w:color="auto"/>
          </w:divBdr>
          <w:divsChild>
            <w:div w:id="281378092">
              <w:marLeft w:val="0"/>
              <w:marRight w:val="0"/>
              <w:marTop w:val="0"/>
              <w:marBottom w:val="0"/>
              <w:divBdr>
                <w:top w:val="none" w:sz="0" w:space="0" w:color="auto"/>
                <w:left w:val="none" w:sz="0" w:space="0" w:color="auto"/>
                <w:bottom w:val="none" w:sz="0" w:space="0" w:color="auto"/>
                <w:right w:val="none" w:sz="0" w:space="0" w:color="auto"/>
              </w:divBdr>
            </w:div>
          </w:divsChild>
        </w:div>
        <w:div w:id="601645875">
          <w:marLeft w:val="0"/>
          <w:marRight w:val="0"/>
          <w:marTop w:val="0"/>
          <w:marBottom w:val="0"/>
          <w:divBdr>
            <w:top w:val="none" w:sz="0" w:space="0" w:color="auto"/>
            <w:left w:val="none" w:sz="0" w:space="0" w:color="auto"/>
            <w:bottom w:val="none" w:sz="0" w:space="0" w:color="auto"/>
            <w:right w:val="none" w:sz="0" w:space="0" w:color="auto"/>
          </w:divBdr>
          <w:divsChild>
            <w:div w:id="836580243">
              <w:marLeft w:val="0"/>
              <w:marRight w:val="0"/>
              <w:marTop w:val="0"/>
              <w:marBottom w:val="0"/>
              <w:divBdr>
                <w:top w:val="none" w:sz="0" w:space="0" w:color="auto"/>
                <w:left w:val="none" w:sz="0" w:space="0" w:color="auto"/>
                <w:bottom w:val="none" w:sz="0" w:space="0" w:color="auto"/>
                <w:right w:val="none" w:sz="0" w:space="0" w:color="auto"/>
              </w:divBdr>
            </w:div>
          </w:divsChild>
        </w:div>
        <w:div w:id="608663955">
          <w:marLeft w:val="0"/>
          <w:marRight w:val="0"/>
          <w:marTop w:val="0"/>
          <w:marBottom w:val="0"/>
          <w:divBdr>
            <w:top w:val="none" w:sz="0" w:space="0" w:color="auto"/>
            <w:left w:val="none" w:sz="0" w:space="0" w:color="auto"/>
            <w:bottom w:val="none" w:sz="0" w:space="0" w:color="auto"/>
            <w:right w:val="none" w:sz="0" w:space="0" w:color="auto"/>
          </w:divBdr>
          <w:divsChild>
            <w:div w:id="270164364">
              <w:marLeft w:val="0"/>
              <w:marRight w:val="0"/>
              <w:marTop w:val="0"/>
              <w:marBottom w:val="0"/>
              <w:divBdr>
                <w:top w:val="none" w:sz="0" w:space="0" w:color="auto"/>
                <w:left w:val="none" w:sz="0" w:space="0" w:color="auto"/>
                <w:bottom w:val="none" w:sz="0" w:space="0" w:color="auto"/>
                <w:right w:val="none" w:sz="0" w:space="0" w:color="auto"/>
              </w:divBdr>
            </w:div>
            <w:div w:id="348258648">
              <w:marLeft w:val="0"/>
              <w:marRight w:val="0"/>
              <w:marTop w:val="0"/>
              <w:marBottom w:val="0"/>
              <w:divBdr>
                <w:top w:val="none" w:sz="0" w:space="0" w:color="auto"/>
                <w:left w:val="none" w:sz="0" w:space="0" w:color="auto"/>
                <w:bottom w:val="none" w:sz="0" w:space="0" w:color="auto"/>
                <w:right w:val="none" w:sz="0" w:space="0" w:color="auto"/>
              </w:divBdr>
            </w:div>
            <w:div w:id="360934558">
              <w:marLeft w:val="0"/>
              <w:marRight w:val="0"/>
              <w:marTop w:val="0"/>
              <w:marBottom w:val="0"/>
              <w:divBdr>
                <w:top w:val="none" w:sz="0" w:space="0" w:color="auto"/>
                <w:left w:val="none" w:sz="0" w:space="0" w:color="auto"/>
                <w:bottom w:val="none" w:sz="0" w:space="0" w:color="auto"/>
                <w:right w:val="none" w:sz="0" w:space="0" w:color="auto"/>
              </w:divBdr>
            </w:div>
            <w:div w:id="947811322">
              <w:marLeft w:val="0"/>
              <w:marRight w:val="0"/>
              <w:marTop w:val="0"/>
              <w:marBottom w:val="0"/>
              <w:divBdr>
                <w:top w:val="none" w:sz="0" w:space="0" w:color="auto"/>
                <w:left w:val="none" w:sz="0" w:space="0" w:color="auto"/>
                <w:bottom w:val="none" w:sz="0" w:space="0" w:color="auto"/>
                <w:right w:val="none" w:sz="0" w:space="0" w:color="auto"/>
              </w:divBdr>
            </w:div>
            <w:div w:id="1026442568">
              <w:marLeft w:val="0"/>
              <w:marRight w:val="0"/>
              <w:marTop w:val="0"/>
              <w:marBottom w:val="0"/>
              <w:divBdr>
                <w:top w:val="none" w:sz="0" w:space="0" w:color="auto"/>
                <w:left w:val="none" w:sz="0" w:space="0" w:color="auto"/>
                <w:bottom w:val="none" w:sz="0" w:space="0" w:color="auto"/>
                <w:right w:val="none" w:sz="0" w:space="0" w:color="auto"/>
              </w:divBdr>
            </w:div>
            <w:div w:id="1321078461">
              <w:marLeft w:val="0"/>
              <w:marRight w:val="0"/>
              <w:marTop w:val="0"/>
              <w:marBottom w:val="0"/>
              <w:divBdr>
                <w:top w:val="none" w:sz="0" w:space="0" w:color="auto"/>
                <w:left w:val="none" w:sz="0" w:space="0" w:color="auto"/>
                <w:bottom w:val="none" w:sz="0" w:space="0" w:color="auto"/>
                <w:right w:val="none" w:sz="0" w:space="0" w:color="auto"/>
              </w:divBdr>
            </w:div>
            <w:div w:id="1449398317">
              <w:marLeft w:val="0"/>
              <w:marRight w:val="0"/>
              <w:marTop w:val="0"/>
              <w:marBottom w:val="0"/>
              <w:divBdr>
                <w:top w:val="none" w:sz="0" w:space="0" w:color="auto"/>
                <w:left w:val="none" w:sz="0" w:space="0" w:color="auto"/>
                <w:bottom w:val="none" w:sz="0" w:space="0" w:color="auto"/>
                <w:right w:val="none" w:sz="0" w:space="0" w:color="auto"/>
              </w:divBdr>
            </w:div>
            <w:div w:id="1551266607">
              <w:marLeft w:val="0"/>
              <w:marRight w:val="0"/>
              <w:marTop w:val="0"/>
              <w:marBottom w:val="0"/>
              <w:divBdr>
                <w:top w:val="none" w:sz="0" w:space="0" w:color="auto"/>
                <w:left w:val="none" w:sz="0" w:space="0" w:color="auto"/>
                <w:bottom w:val="none" w:sz="0" w:space="0" w:color="auto"/>
                <w:right w:val="none" w:sz="0" w:space="0" w:color="auto"/>
              </w:divBdr>
            </w:div>
            <w:div w:id="1734695302">
              <w:marLeft w:val="0"/>
              <w:marRight w:val="0"/>
              <w:marTop w:val="0"/>
              <w:marBottom w:val="0"/>
              <w:divBdr>
                <w:top w:val="none" w:sz="0" w:space="0" w:color="auto"/>
                <w:left w:val="none" w:sz="0" w:space="0" w:color="auto"/>
                <w:bottom w:val="none" w:sz="0" w:space="0" w:color="auto"/>
                <w:right w:val="none" w:sz="0" w:space="0" w:color="auto"/>
              </w:divBdr>
            </w:div>
            <w:div w:id="1883858225">
              <w:marLeft w:val="0"/>
              <w:marRight w:val="0"/>
              <w:marTop w:val="0"/>
              <w:marBottom w:val="0"/>
              <w:divBdr>
                <w:top w:val="none" w:sz="0" w:space="0" w:color="auto"/>
                <w:left w:val="none" w:sz="0" w:space="0" w:color="auto"/>
                <w:bottom w:val="none" w:sz="0" w:space="0" w:color="auto"/>
                <w:right w:val="none" w:sz="0" w:space="0" w:color="auto"/>
              </w:divBdr>
            </w:div>
            <w:div w:id="2113356647">
              <w:marLeft w:val="0"/>
              <w:marRight w:val="0"/>
              <w:marTop w:val="0"/>
              <w:marBottom w:val="0"/>
              <w:divBdr>
                <w:top w:val="none" w:sz="0" w:space="0" w:color="auto"/>
                <w:left w:val="none" w:sz="0" w:space="0" w:color="auto"/>
                <w:bottom w:val="none" w:sz="0" w:space="0" w:color="auto"/>
                <w:right w:val="none" w:sz="0" w:space="0" w:color="auto"/>
              </w:divBdr>
            </w:div>
            <w:div w:id="2128621576">
              <w:marLeft w:val="0"/>
              <w:marRight w:val="0"/>
              <w:marTop w:val="0"/>
              <w:marBottom w:val="0"/>
              <w:divBdr>
                <w:top w:val="none" w:sz="0" w:space="0" w:color="auto"/>
                <w:left w:val="none" w:sz="0" w:space="0" w:color="auto"/>
                <w:bottom w:val="none" w:sz="0" w:space="0" w:color="auto"/>
                <w:right w:val="none" w:sz="0" w:space="0" w:color="auto"/>
              </w:divBdr>
            </w:div>
          </w:divsChild>
        </w:div>
        <w:div w:id="617487657">
          <w:marLeft w:val="0"/>
          <w:marRight w:val="0"/>
          <w:marTop w:val="0"/>
          <w:marBottom w:val="0"/>
          <w:divBdr>
            <w:top w:val="none" w:sz="0" w:space="0" w:color="auto"/>
            <w:left w:val="none" w:sz="0" w:space="0" w:color="auto"/>
            <w:bottom w:val="none" w:sz="0" w:space="0" w:color="auto"/>
            <w:right w:val="none" w:sz="0" w:space="0" w:color="auto"/>
          </w:divBdr>
          <w:divsChild>
            <w:div w:id="50006093">
              <w:marLeft w:val="0"/>
              <w:marRight w:val="0"/>
              <w:marTop w:val="0"/>
              <w:marBottom w:val="0"/>
              <w:divBdr>
                <w:top w:val="none" w:sz="0" w:space="0" w:color="auto"/>
                <w:left w:val="none" w:sz="0" w:space="0" w:color="auto"/>
                <w:bottom w:val="none" w:sz="0" w:space="0" w:color="auto"/>
                <w:right w:val="none" w:sz="0" w:space="0" w:color="auto"/>
              </w:divBdr>
            </w:div>
            <w:div w:id="211582888">
              <w:marLeft w:val="0"/>
              <w:marRight w:val="0"/>
              <w:marTop w:val="0"/>
              <w:marBottom w:val="0"/>
              <w:divBdr>
                <w:top w:val="none" w:sz="0" w:space="0" w:color="auto"/>
                <w:left w:val="none" w:sz="0" w:space="0" w:color="auto"/>
                <w:bottom w:val="none" w:sz="0" w:space="0" w:color="auto"/>
                <w:right w:val="none" w:sz="0" w:space="0" w:color="auto"/>
              </w:divBdr>
            </w:div>
            <w:div w:id="223104324">
              <w:marLeft w:val="0"/>
              <w:marRight w:val="0"/>
              <w:marTop w:val="0"/>
              <w:marBottom w:val="0"/>
              <w:divBdr>
                <w:top w:val="none" w:sz="0" w:space="0" w:color="auto"/>
                <w:left w:val="none" w:sz="0" w:space="0" w:color="auto"/>
                <w:bottom w:val="none" w:sz="0" w:space="0" w:color="auto"/>
                <w:right w:val="none" w:sz="0" w:space="0" w:color="auto"/>
              </w:divBdr>
            </w:div>
            <w:div w:id="681207657">
              <w:marLeft w:val="0"/>
              <w:marRight w:val="0"/>
              <w:marTop w:val="0"/>
              <w:marBottom w:val="0"/>
              <w:divBdr>
                <w:top w:val="none" w:sz="0" w:space="0" w:color="auto"/>
                <w:left w:val="none" w:sz="0" w:space="0" w:color="auto"/>
                <w:bottom w:val="none" w:sz="0" w:space="0" w:color="auto"/>
                <w:right w:val="none" w:sz="0" w:space="0" w:color="auto"/>
              </w:divBdr>
            </w:div>
            <w:div w:id="716970630">
              <w:marLeft w:val="0"/>
              <w:marRight w:val="0"/>
              <w:marTop w:val="0"/>
              <w:marBottom w:val="0"/>
              <w:divBdr>
                <w:top w:val="none" w:sz="0" w:space="0" w:color="auto"/>
                <w:left w:val="none" w:sz="0" w:space="0" w:color="auto"/>
                <w:bottom w:val="none" w:sz="0" w:space="0" w:color="auto"/>
                <w:right w:val="none" w:sz="0" w:space="0" w:color="auto"/>
              </w:divBdr>
            </w:div>
            <w:div w:id="1017464642">
              <w:marLeft w:val="0"/>
              <w:marRight w:val="0"/>
              <w:marTop w:val="0"/>
              <w:marBottom w:val="0"/>
              <w:divBdr>
                <w:top w:val="none" w:sz="0" w:space="0" w:color="auto"/>
                <w:left w:val="none" w:sz="0" w:space="0" w:color="auto"/>
                <w:bottom w:val="none" w:sz="0" w:space="0" w:color="auto"/>
                <w:right w:val="none" w:sz="0" w:space="0" w:color="auto"/>
              </w:divBdr>
            </w:div>
            <w:div w:id="1359425217">
              <w:marLeft w:val="0"/>
              <w:marRight w:val="0"/>
              <w:marTop w:val="0"/>
              <w:marBottom w:val="0"/>
              <w:divBdr>
                <w:top w:val="none" w:sz="0" w:space="0" w:color="auto"/>
                <w:left w:val="none" w:sz="0" w:space="0" w:color="auto"/>
                <w:bottom w:val="none" w:sz="0" w:space="0" w:color="auto"/>
                <w:right w:val="none" w:sz="0" w:space="0" w:color="auto"/>
              </w:divBdr>
            </w:div>
            <w:div w:id="1359425372">
              <w:marLeft w:val="0"/>
              <w:marRight w:val="0"/>
              <w:marTop w:val="0"/>
              <w:marBottom w:val="0"/>
              <w:divBdr>
                <w:top w:val="none" w:sz="0" w:space="0" w:color="auto"/>
                <w:left w:val="none" w:sz="0" w:space="0" w:color="auto"/>
                <w:bottom w:val="none" w:sz="0" w:space="0" w:color="auto"/>
                <w:right w:val="none" w:sz="0" w:space="0" w:color="auto"/>
              </w:divBdr>
            </w:div>
            <w:div w:id="1399478381">
              <w:marLeft w:val="0"/>
              <w:marRight w:val="0"/>
              <w:marTop w:val="0"/>
              <w:marBottom w:val="0"/>
              <w:divBdr>
                <w:top w:val="none" w:sz="0" w:space="0" w:color="auto"/>
                <w:left w:val="none" w:sz="0" w:space="0" w:color="auto"/>
                <w:bottom w:val="none" w:sz="0" w:space="0" w:color="auto"/>
                <w:right w:val="none" w:sz="0" w:space="0" w:color="auto"/>
              </w:divBdr>
            </w:div>
            <w:div w:id="1544946228">
              <w:marLeft w:val="0"/>
              <w:marRight w:val="0"/>
              <w:marTop w:val="0"/>
              <w:marBottom w:val="0"/>
              <w:divBdr>
                <w:top w:val="none" w:sz="0" w:space="0" w:color="auto"/>
                <w:left w:val="none" w:sz="0" w:space="0" w:color="auto"/>
                <w:bottom w:val="none" w:sz="0" w:space="0" w:color="auto"/>
                <w:right w:val="none" w:sz="0" w:space="0" w:color="auto"/>
              </w:divBdr>
            </w:div>
            <w:div w:id="1895239902">
              <w:marLeft w:val="0"/>
              <w:marRight w:val="0"/>
              <w:marTop w:val="0"/>
              <w:marBottom w:val="0"/>
              <w:divBdr>
                <w:top w:val="none" w:sz="0" w:space="0" w:color="auto"/>
                <w:left w:val="none" w:sz="0" w:space="0" w:color="auto"/>
                <w:bottom w:val="none" w:sz="0" w:space="0" w:color="auto"/>
                <w:right w:val="none" w:sz="0" w:space="0" w:color="auto"/>
              </w:divBdr>
            </w:div>
            <w:div w:id="1959068424">
              <w:marLeft w:val="0"/>
              <w:marRight w:val="0"/>
              <w:marTop w:val="0"/>
              <w:marBottom w:val="0"/>
              <w:divBdr>
                <w:top w:val="none" w:sz="0" w:space="0" w:color="auto"/>
                <w:left w:val="none" w:sz="0" w:space="0" w:color="auto"/>
                <w:bottom w:val="none" w:sz="0" w:space="0" w:color="auto"/>
                <w:right w:val="none" w:sz="0" w:space="0" w:color="auto"/>
              </w:divBdr>
            </w:div>
            <w:div w:id="2020304829">
              <w:marLeft w:val="0"/>
              <w:marRight w:val="0"/>
              <w:marTop w:val="0"/>
              <w:marBottom w:val="0"/>
              <w:divBdr>
                <w:top w:val="none" w:sz="0" w:space="0" w:color="auto"/>
                <w:left w:val="none" w:sz="0" w:space="0" w:color="auto"/>
                <w:bottom w:val="none" w:sz="0" w:space="0" w:color="auto"/>
                <w:right w:val="none" w:sz="0" w:space="0" w:color="auto"/>
              </w:divBdr>
            </w:div>
          </w:divsChild>
        </w:div>
        <w:div w:id="617681741">
          <w:marLeft w:val="0"/>
          <w:marRight w:val="0"/>
          <w:marTop w:val="0"/>
          <w:marBottom w:val="0"/>
          <w:divBdr>
            <w:top w:val="none" w:sz="0" w:space="0" w:color="auto"/>
            <w:left w:val="none" w:sz="0" w:space="0" w:color="auto"/>
            <w:bottom w:val="none" w:sz="0" w:space="0" w:color="auto"/>
            <w:right w:val="none" w:sz="0" w:space="0" w:color="auto"/>
          </w:divBdr>
          <w:divsChild>
            <w:div w:id="1911109687">
              <w:marLeft w:val="0"/>
              <w:marRight w:val="0"/>
              <w:marTop w:val="0"/>
              <w:marBottom w:val="0"/>
              <w:divBdr>
                <w:top w:val="none" w:sz="0" w:space="0" w:color="auto"/>
                <w:left w:val="none" w:sz="0" w:space="0" w:color="auto"/>
                <w:bottom w:val="none" w:sz="0" w:space="0" w:color="auto"/>
                <w:right w:val="none" w:sz="0" w:space="0" w:color="auto"/>
              </w:divBdr>
            </w:div>
          </w:divsChild>
        </w:div>
        <w:div w:id="618879983">
          <w:marLeft w:val="0"/>
          <w:marRight w:val="0"/>
          <w:marTop w:val="0"/>
          <w:marBottom w:val="0"/>
          <w:divBdr>
            <w:top w:val="none" w:sz="0" w:space="0" w:color="auto"/>
            <w:left w:val="none" w:sz="0" w:space="0" w:color="auto"/>
            <w:bottom w:val="none" w:sz="0" w:space="0" w:color="auto"/>
            <w:right w:val="none" w:sz="0" w:space="0" w:color="auto"/>
          </w:divBdr>
          <w:divsChild>
            <w:div w:id="74472602">
              <w:marLeft w:val="0"/>
              <w:marRight w:val="0"/>
              <w:marTop w:val="0"/>
              <w:marBottom w:val="0"/>
              <w:divBdr>
                <w:top w:val="none" w:sz="0" w:space="0" w:color="auto"/>
                <w:left w:val="none" w:sz="0" w:space="0" w:color="auto"/>
                <w:bottom w:val="none" w:sz="0" w:space="0" w:color="auto"/>
                <w:right w:val="none" w:sz="0" w:space="0" w:color="auto"/>
              </w:divBdr>
            </w:div>
          </w:divsChild>
        </w:div>
        <w:div w:id="619801421">
          <w:marLeft w:val="0"/>
          <w:marRight w:val="0"/>
          <w:marTop w:val="0"/>
          <w:marBottom w:val="0"/>
          <w:divBdr>
            <w:top w:val="none" w:sz="0" w:space="0" w:color="auto"/>
            <w:left w:val="none" w:sz="0" w:space="0" w:color="auto"/>
            <w:bottom w:val="none" w:sz="0" w:space="0" w:color="auto"/>
            <w:right w:val="none" w:sz="0" w:space="0" w:color="auto"/>
          </w:divBdr>
          <w:divsChild>
            <w:div w:id="479857008">
              <w:marLeft w:val="0"/>
              <w:marRight w:val="0"/>
              <w:marTop w:val="0"/>
              <w:marBottom w:val="0"/>
              <w:divBdr>
                <w:top w:val="none" w:sz="0" w:space="0" w:color="auto"/>
                <w:left w:val="none" w:sz="0" w:space="0" w:color="auto"/>
                <w:bottom w:val="none" w:sz="0" w:space="0" w:color="auto"/>
                <w:right w:val="none" w:sz="0" w:space="0" w:color="auto"/>
              </w:divBdr>
            </w:div>
          </w:divsChild>
        </w:div>
        <w:div w:id="621545208">
          <w:marLeft w:val="0"/>
          <w:marRight w:val="0"/>
          <w:marTop w:val="0"/>
          <w:marBottom w:val="0"/>
          <w:divBdr>
            <w:top w:val="none" w:sz="0" w:space="0" w:color="auto"/>
            <w:left w:val="none" w:sz="0" w:space="0" w:color="auto"/>
            <w:bottom w:val="none" w:sz="0" w:space="0" w:color="auto"/>
            <w:right w:val="none" w:sz="0" w:space="0" w:color="auto"/>
          </w:divBdr>
          <w:divsChild>
            <w:div w:id="1171724971">
              <w:marLeft w:val="0"/>
              <w:marRight w:val="0"/>
              <w:marTop w:val="0"/>
              <w:marBottom w:val="0"/>
              <w:divBdr>
                <w:top w:val="none" w:sz="0" w:space="0" w:color="auto"/>
                <w:left w:val="none" w:sz="0" w:space="0" w:color="auto"/>
                <w:bottom w:val="none" w:sz="0" w:space="0" w:color="auto"/>
                <w:right w:val="none" w:sz="0" w:space="0" w:color="auto"/>
              </w:divBdr>
            </w:div>
          </w:divsChild>
        </w:div>
        <w:div w:id="625506295">
          <w:marLeft w:val="0"/>
          <w:marRight w:val="0"/>
          <w:marTop w:val="0"/>
          <w:marBottom w:val="0"/>
          <w:divBdr>
            <w:top w:val="none" w:sz="0" w:space="0" w:color="auto"/>
            <w:left w:val="none" w:sz="0" w:space="0" w:color="auto"/>
            <w:bottom w:val="none" w:sz="0" w:space="0" w:color="auto"/>
            <w:right w:val="none" w:sz="0" w:space="0" w:color="auto"/>
          </w:divBdr>
          <w:divsChild>
            <w:div w:id="361131931">
              <w:marLeft w:val="0"/>
              <w:marRight w:val="0"/>
              <w:marTop w:val="0"/>
              <w:marBottom w:val="0"/>
              <w:divBdr>
                <w:top w:val="none" w:sz="0" w:space="0" w:color="auto"/>
                <w:left w:val="none" w:sz="0" w:space="0" w:color="auto"/>
                <w:bottom w:val="none" w:sz="0" w:space="0" w:color="auto"/>
                <w:right w:val="none" w:sz="0" w:space="0" w:color="auto"/>
              </w:divBdr>
            </w:div>
            <w:div w:id="635064279">
              <w:marLeft w:val="0"/>
              <w:marRight w:val="0"/>
              <w:marTop w:val="0"/>
              <w:marBottom w:val="0"/>
              <w:divBdr>
                <w:top w:val="none" w:sz="0" w:space="0" w:color="auto"/>
                <w:left w:val="none" w:sz="0" w:space="0" w:color="auto"/>
                <w:bottom w:val="none" w:sz="0" w:space="0" w:color="auto"/>
                <w:right w:val="none" w:sz="0" w:space="0" w:color="auto"/>
              </w:divBdr>
            </w:div>
            <w:div w:id="1020202948">
              <w:marLeft w:val="0"/>
              <w:marRight w:val="0"/>
              <w:marTop w:val="0"/>
              <w:marBottom w:val="0"/>
              <w:divBdr>
                <w:top w:val="none" w:sz="0" w:space="0" w:color="auto"/>
                <w:left w:val="none" w:sz="0" w:space="0" w:color="auto"/>
                <w:bottom w:val="none" w:sz="0" w:space="0" w:color="auto"/>
                <w:right w:val="none" w:sz="0" w:space="0" w:color="auto"/>
              </w:divBdr>
            </w:div>
            <w:div w:id="1546604724">
              <w:marLeft w:val="0"/>
              <w:marRight w:val="0"/>
              <w:marTop w:val="0"/>
              <w:marBottom w:val="0"/>
              <w:divBdr>
                <w:top w:val="none" w:sz="0" w:space="0" w:color="auto"/>
                <w:left w:val="none" w:sz="0" w:space="0" w:color="auto"/>
                <w:bottom w:val="none" w:sz="0" w:space="0" w:color="auto"/>
                <w:right w:val="none" w:sz="0" w:space="0" w:color="auto"/>
              </w:divBdr>
            </w:div>
          </w:divsChild>
        </w:div>
        <w:div w:id="631518024">
          <w:marLeft w:val="0"/>
          <w:marRight w:val="0"/>
          <w:marTop w:val="0"/>
          <w:marBottom w:val="0"/>
          <w:divBdr>
            <w:top w:val="none" w:sz="0" w:space="0" w:color="auto"/>
            <w:left w:val="none" w:sz="0" w:space="0" w:color="auto"/>
            <w:bottom w:val="none" w:sz="0" w:space="0" w:color="auto"/>
            <w:right w:val="none" w:sz="0" w:space="0" w:color="auto"/>
          </w:divBdr>
          <w:divsChild>
            <w:div w:id="1540704799">
              <w:marLeft w:val="0"/>
              <w:marRight w:val="0"/>
              <w:marTop w:val="0"/>
              <w:marBottom w:val="0"/>
              <w:divBdr>
                <w:top w:val="none" w:sz="0" w:space="0" w:color="auto"/>
                <w:left w:val="none" w:sz="0" w:space="0" w:color="auto"/>
                <w:bottom w:val="none" w:sz="0" w:space="0" w:color="auto"/>
                <w:right w:val="none" w:sz="0" w:space="0" w:color="auto"/>
              </w:divBdr>
            </w:div>
          </w:divsChild>
        </w:div>
        <w:div w:id="633218198">
          <w:marLeft w:val="0"/>
          <w:marRight w:val="0"/>
          <w:marTop w:val="0"/>
          <w:marBottom w:val="0"/>
          <w:divBdr>
            <w:top w:val="none" w:sz="0" w:space="0" w:color="auto"/>
            <w:left w:val="none" w:sz="0" w:space="0" w:color="auto"/>
            <w:bottom w:val="none" w:sz="0" w:space="0" w:color="auto"/>
            <w:right w:val="none" w:sz="0" w:space="0" w:color="auto"/>
          </w:divBdr>
          <w:divsChild>
            <w:div w:id="854656808">
              <w:marLeft w:val="0"/>
              <w:marRight w:val="0"/>
              <w:marTop w:val="0"/>
              <w:marBottom w:val="0"/>
              <w:divBdr>
                <w:top w:val="none" w:sz="0" w:space="0" w:color="auto"/>
                <w:left w:val="none" w:sz="0" w:space="0" w:color="auto"/>
                <w:bottom w:val="none" w:sz="0" w:space="0" w:color="auto"/>
                <w:right w:val="none" w:sz="0" w:space="0" w:color="auto"/>
              </w:divBdr>
            </w:div>
          </w:divsChild>
        </w:div>
        <w:div w:id="638341960">
          <w:marLeft w:val="0"/>
          <w:marRight w:val="0"/>
          <w:marTop w:val="0"/>
          <w:marBottom w:val="0"/>
          <w:divBdr>
            <w:top w:val="none" w:sz="0" w:space="0" w:color="auto"/>
            <w:left w:val="none" w:sz="0" w:space="0" w:color="auto"/>
            <w:bottom w:val="none" w:sz="0" w:space="0" w:color="auto"/>
            <w:right w:val="none" w:sz="0" w:space="0" w:color="auto"/>
          </w:divBdr>
          <w:divsChild>
            <w:div w:id="1789815246">
              <w:marLeft w:val="0"/>
              <w:marRight w:val="0"/>
              <w:marTop w:val="0"/>
              <w:marBottom w:val="0"/>
              <w:divBdr>
                <w:top w:val="none" w:sz="0" w:space="0" w:color="auto"/>
                <w:left w:val="none" w:sz="0" w:space="0" w:color="auto"/>
                <w:bottom w:val="none" w:sz="0" w:space="0" w:color="auto"/>
                <w:right w:val="none" w:sz="0" w:space="0" w:color="auto"/>
              </w:divBdr>
            </w:div>
          </w:divsChild>
        </w:div>
        <w:div w:id="638998352">
          <w:marLeft w:val="0"/>
          <w:marRight w:val="0"/>
          <w:marTop w:val="0"/>
          <w:marBottom w:val="0"/>
          <w:divBdr>
            <w:top w:val="none" w:sz="0" w:space="0" w:color="auto"/>
            <w:left w:val="none" w:sz="0" w:space="0" w:color="auto"/>
            <w:bottom w:val="none" w:sz="0" w:space="0" w:color="auto"/>
            <w:right w:val="none" w:sz="0" w:space="0" w:color="auto"/>
          </w:divBdr>
          <w:divsChild>
            <w:div w:id="1451168780">
              <w:marLeft w:val="0"/>
              <w:marRight w:val="0"/>
              <w:marTop w:val="0"/>
              <w:marBottom w:val="0"/>
              <w:divBdr>
                <w:top w:val="none" w:sz="0" w:space="0" w:color="auto"/>
                <w:left w:val="none" w:sz="0" w:space="0" w:color="auto"/>
                <w:bottom w:val="none" w:sz="0" w:space="0" w:color="auto"/>
                <w:right w:val="none" w:sz="0" w:space="0" w:color="auto"/>
              </w:divBdr>
            </w:div>
          </w:divsChild>
        </w:div>
        <w:div w:id="639269280">
          <w:marLeft w:val="0"/>
          <w:marRight w:val="0"/>
          <w:marTop w:val="0"/>
          <w:marBottom w:val="0"/>
          <w:divBdr>
            <w:top w:val="none" w:sz="0" w:space="0" w:color="auto"/>
            <w:left w:val="none" w:sz="0" w:space="0" w:color="auto"/>
            <w:bottom w:val="none" w:sz="0" w:space="0" w:color="auto"/>
            <w:right w:val="none" w:sz="0" w:space="0" w:color="auto"/>
          </w:divBdr>
          <w:divsChild>
            <w:div w:id="1401364787">
              <w:marLeft w:val="0"/>
              <w:marRight w:val="0"/>
              <w:marTop w:val="0"/>
              <w:marBottom w:val="0"/>
              <w:divBdr>
                <w:top w:val="none" w:sz="0" w:space="0" w:color="auto"/>
                <w:left w:val="none" w:sz="0" w:space="0" w:color="auto"/>
                <w:bottom w:val="none" w:sz="0" w:space="0" w:color="auto"/>
                <w:right w:val="none" w:sz="0" w:space="0" w:color="auto"/>
              </w:divBdr>
            </w:div>
          </w:divsChild>
        </w:div>
        <w:div w:id="640620214">
          <w:marLeft w:val="0"/>
          <w:marRight w:val="0"/>
          <w:marTop w:val="0"/>
          <w:marBottom w:val="0"/>
          <w:divBdr>
            <w:top w:val="none" w:sz="0" w:space="0" w:color="auto"/>
            <w:left w:val="none" w:sz="0" w:space="0" w:color="auto"/>
            <w:bottom w:val="none" w:sz="0" w:space="0" w:color="auto"/>
            <w:right w:val="none" w:sz="0" w:space="0" w:color="auto"/>
          </w:divBdr>
          <w:divsChild>
            <w:div w:id="1383871356">
              <w:marLeft w:val="0"/>
              <w:marRight w:val="0"/>
              <w:marTop w:val="0"/>
              <w:marBottom w:val="0"/>
              <w:divBdr>
                <w:top w:val="none" w:sz="0" w:space="0" w:color="auto"/>
                <w:left w:val="none" w:sz="0" w:space="0" w:color="auto"/>
                <w:bottom w:val="none" w:sz="0" w:space="0" w:color="auto"/>
                <w:right w:val="none" w:sz="0" w:space="0" w:color="auto"/>
              </w:divBdr>
            </w:div>
            <w:div w:id="1947275254">
              <w:marLeft w:val="0"/>
              <w:marRight w:val="0"/>
              <w:marTop w:val="0"/>
              <w:marBottom w:val="0"/>
              <w:divBdr>
                <w:top w:val="none" w:sz="0" w:space="0" w:color="auto"/>
                <w:left w:val="none" w:sz="0" w:space="0" w:color="auto"/>
                <w:bottom w:val="none" w:sz="0" w:space="0" w:color="auto"/>
                <w:right w:val="none" w:sz="0" w:space="0" w:color="auto"/>
              </w:divBdr>
            </w:div>
          </w:divsChild>
        </w:div>
        <w:div w:id="643974010">
          <w:marLeft w:val="0"/>
          <w:marRight w:val="0"/>
          <w:marTop w:val="0"/>
          <w:marBottom w:val="0"/>
          <w:divBdr>
            <w:top w:val="none" w:sz="0" w:space="0" w:color="auto"/>
            <w:left w:val="none" w:sz="0" w:space="0" w:color="auto"/>
            <w:bottom w:val="none" w:sz="0" w:space="0" w:color="auto"/>
            <w:right w:val="none" w:sz="0" w:space="0" w:color="auto"/>
          </w:divBdr>
          <w:divsChild>
            <w:div w:id="1171523902">
              <w:marLeft w:val="0"/>
              <w:marRight w:val="0"/>
              <w:marTop w:val="0"/>
              <w:marBottom w:val="0"/>
              <w:divBdr>
                <w:top w:val="none" w:sz="0" w:space="0" w:color="auto"/>
                <w:left w:val="none" w:sz="0" w:space="0" w:color="auto"/>
                <w:bottom w:val="none" w:sz="0" w:space="0" w:color="auto"/>
                <w:right w:val="none" w:sz="0" w:space="0" w:color="auto"/>
              </w:divBdr>
            </w:div>
          </w:divsChild>
        </w:div>
        <w:div w:id="644090318">
          <w:marLeft w:val="0"/>
          <w:marRight w:val="0"/>
          <w:marTop w:val="0"/>
          <w:marBottom w:val="0"/>
          <w:divBdr>
            <w:top w:val="none" w:sz="0" w:space="0" w:color="auto"/>
            <w:left w:val="none" w:sz="0" w:space="0" w:color="auto"/>
            <w:bottom w:val="none" w:sz="0" w:space="0" w:color="auto"/>
            <w:right w:val="none" w:sz="0" w:space="0" w:color="auto"/>
          </w:divBdr>
          <w:divsChild>
            <w:div w:id="1726757636">
              <w:marLeft w:val="0"/>
              <w:marRight w:val="0"/>
              <w:marTop w:val="0"/>
              <w:marBottom w:val="0"/>
              <w:divBdr>
                <w:top w:val="none" w:sz="0" w:space="0" w:color="auto"/>
                <w:left w:val="none" w:sz="0" w:space="0" w:color="auto"/>
                <w:bottom w:val="none" w:sz="0" w:space="0" w:color="auto"/>
                <w:right w:val="none" w:sz="0" w:space="0" w:color="auto"/>
              </w:divBdr>
            </w:div>
          </w:divsChild>
        </w:div>
        <w:div w:id="645862974">
          <w:marLeft w:val="0"/>
          <w:marRight w:val="0"/>
          <w:marTop w:val="0"/>
          <w:marBottom w:val="0"/>
          <w:divBdr>
            <w:top w:val="none" w:sz="0" w:space="0" w:color="auto"/>
            <w:left w:val="none" w:sz="0" w:space="0" w:color="auto"/>
            <w:bottom w:val="none" w:sz="0" w:space="0" w:color="auto"/>
            <w:right w:val="none" w:sz="0" w:space="0" w:color="auto"/>
          </w:divBdr>
          <w:divsChild>
            <w:div w:id="948515181">
              <w:marLeft w:val="0"/>
              <w:marRight w:val="0"/>
              <w:marTop w:val="0"/>
              <w:marBottom w:val="0"/>
              <w:divBdr>
                <w:top w:val="none" w:sz="0" w:space="0" w:color="auto"/>
                <w:left w:val="none" w:sz="0" w:space="0" w:color="auto"/>
                <w:bottom w:val="none" w:sz="0" w:space="0" w:color="auto"/>
                <w:right w:val="none" w:sz="0" w:space="0" w:color="auto"/>
              </w:divBdr>
            </w:div>
          </w:divsChild>
        </w:div>
        <w:div w:id="656151203">
          <w:marLeft w:val="0"/>
          <w:marRight w:val="0"/>
          <w:marTop w:val="0"/>
          <w:marBottom w:val="0"/>
          <w:divBdr>
            <w:top w:val="none" w:sz="0" w:space="0" w:color="auto"/>
            <w:left w:val="none" w:sz="0" w:space="0" w:color="auto"/>
            <w:bottom w:val="none" w:sz="0" w:space="0" w:color="auto"/>
            <w:right w:val="none" w:sz="0" w:space="0" w:color="auto"/>
          </w:divBdr>
          <w:divsChild>
            <w:div w:id="690843213">
              <w:marLeft w:val="0"/>
              <w:marRight w:val="0"/>
              <w:marTop w:val="0"/>
              <w:marBottom w:val="0"/>
              <w:divBdr>
                <w:top w:val="none" w:sz="0" w:space="0" w:color="auto"/>
                <w:left w:val="none" w:sz="0" w:space="0" w:color="auto"/>
                <w:bottom w:val="none" w:sz="0" w:space="0" w:color="auto"/>
                <w:right w:val="none" w:sz="0" w:space="0" w:color="auto"/>
              </w:divBdr>
            </w:div>
            <w:div w:id="738601552">
              <w:marLeft w:val="0"/>
              <w:marRight w:val="0"/>
              <w:marTop w:val="0"/>
              <w:marBottom w:val="0"/>
              <w:divBdr>
                <w:top w:val="none" w:sz="0" w:space="0" w:color="auto"/>
                <w:left w:val="none" w:sz="0" w:space="0" w:color="auto"/>
                <w:bottom w:val="none" w:sz="0" w:space="0" w:color="auto"/>
                <w:right w:val="none" w:sz="0" w:space="0" w:color="auto"/>
              </w:divBdr>
            </w:div>
            <w:div w:id="810944560">
              <w:marLeft w:val="0"/>
              <w:marRight w:val="0"/>
              <w:marTop w:val="0"/>
              <w:marBottom w:val="0"/>
              <w:divBdr>
                <w:top w:val="none" w:sz="0" w:space="0" w:color="auto"/>
                <w:left w:val="none" w:sz="0" w:space="0" w:color="auto"/>
                <w:bottom w:val="none" w:sz="0" w:space="0" w:color="auto"/>
                <w:right w:val="none" w:sz="0" w:space="0" w:color="auto"/>
              </w:divBdr>
            </w:div>
            <w:div w:id="1483157905">
              <w:marLeft w:val="0"/>
              <w:marRight w:val="0"/>
              <w:marTop w:val="0"/>
              <w:marBottom w:val="0"/>
              <w:divBdr>
                <w:top w:val="none" w:sz="0" w:space="0" w:color="auto"/>
                <w:left w:val="none" w:sz="0" w:space="0" w:color="auto"/>
                <w:bottom w:val="none" w:sz="0" w:space="0" w:color="auto"/>
                <w:right w:val="none" w:sz="0" w:space="0" w:color="auto"/>
              </w:divBdr>
            </w:div>
          </w:divsChild>
        </w:div>
        <w:div w:id="658266973">
          <w:marLeft w:val="0"/>
          <w:marRight w:val="0"/>
          <w:marTop w:val="0"/>
          <w:marBottom w:val="0"/>
          <w:divBdr>
            <w:top w:val="none" w:sz="0" w:space="0" w:color="auto"/>
            <w:left w:val="none" w:sz="0" w:space="0" w:color="auto"/>
            <w:bottom w:val="none" w:sz="0" w:space="0" w:color="auto"/>
            <w:right w:val="none" w:sz="0" w:space="0" w:color="auto"/>
          </w:divBdr>
          <w:divsChild>
            <w:div w:id="530386691">
              <w:marLeft w:val="0"/>
              <w:marRight w:val="0"/>
              <w:marTop w:val="0"/>
              <w:marBottom w:val="0"/>
              <w:divBdr>
                <w:top w:val="none" w:sz="0" w:space="0" w:color="auto"/>
                <w:left w:val="none" w:sz="0" w:space="0" w:color="auto"/>
                <w:bottom w:val="none" w:sz="0" w:space="0" w:color="auto"/>
                <w:right w:val="none" w:sz="0" w:space="0" w:color="auto"/>
              </w:divBdr>
            </w:div>
            <w:div w:id="558175893">
              <w:marLeft w:val="0"/>
              <w:marRight w:val="0"/>
              <w:marTop w:val="0"/>
              <w:marBottom w:val="0"/>
              <w:divBdr>
                <w:top w:val="none" w:sz="0" w:space="0" w:color="auto"/>
                <w:left w:val="none" w:sz="0" w:space="0" w:color="auto"/>
                <w:bottom w:val="none" w:sz="0" w:space="0" w:color="auto"/>
                <w:right w:val="none" w:sz="0" w:space="0" w:color="auto"/>
              </w:divBdr>
            </w:div>
            <w:div w:id="641277111">
              <w:marLeft w:val="0"/>
              <w:marRight w:val="0"/>
              <w:marTop w:val="0"/>
              <w:marBottom w:val="0"/>
              <w:divBdr>
                <w:top w:val="none" w:sz="0" w:space="0" w:color="auto"/>
                <w:left w:val="none" w:sz="0" w:space="0" w:color="auto"/>
                <w:bottom w:val="none" w:sz="0" w:space="0" w:color="auto"/>
                <w:right w:val="none" w:sz="0" w:space="0" w:color="auto"/>
              </w:divBdr>
            </w:div>
            <w:div w:id="664286604">
              <w:marLeft w:val="0"/>
              <w:marRight w:val="0"/>
              <w:marTop w:val="0"/>
              <w:marBottom w:val="0"/>
              <w:divBdr>
                <w:top w:val="none" w:sz="0" w:space="0" w:color="auto"/>
                <w:left w:val="none" w:sz="0" w:space="0" w:color="auto"/>
                <w:bottom w:val="none" w:sz="0" w:space="0" w:color="auto"/>
                <w:right w:val="none" w:sz="0" w:space="0" w:color="auto"/>
              </w:divBdr>
            </w:div>
            <w:div w:id="871303003">
              <w:marLeft w:val="0"/>
              <w:marRight w:val="0"/>
              <w:marTop w:val="0"/>
              <w:marBottom w:val="0"/>
              <w:divBdr>
                <w:top w:val="none" w:sz="0" w:space="0" w:color="auto"/>
                <w:left w:val="none" w:sz="0" w:space="0" w:color="auto"/>
                <w:bottom w:val="none" w:sz="0" w:space="0" w:color="auto"/>
                <w:right w:val="none" w:sz="0" w:space="0" w:color="auto"/>
              </w:divBdr>
            </w:div>
            <w:div w:id="929850019">
              <w:marLeft w:val="0"/>
              <w:marRight w:val="0"/>
              <w:marTop w:val="0"/>
              <w:marBottom w:val="0"/>
              <w:divBdr>
                <w:top w:val="none" w:sz="0" w:space="0" w:color="auto"/>
                <w:left w:val="none" w:sz="0" w:space="0" w:color="auto"/>
                <w:bottom w:val="none" w:sz="0" w:space="0" w:color="auto"/>
                <w:right w:val="none" w:sz="0" w:space="0" w:color="auto"/>
              </w:divBdr>
            </w:div>
            <w:div w:id="1467973055">
              <w:marLeft w:val="0"/>
              <w:marRight w:val="0"/>
              <w:marTop w:val="0"/>
              <w:marBottom w:val="0"/>
              <w:divBdr>
                <w:top w:val="none" w:sz="0" w:space="0" w:color="auto"/>
                <w:left w:val="none" w:sz="0" w:space="0" w:color="auto"/>
                <w:bottom w:val="none" w:sz="0" w:space="0" w:color="auto"/>
                <w:right w:val="none" w:sz="0" w:space="0" w:color="auto"/>
              </w:divBdr>
            </w:div>
            <w:div w:id="1496921371">
              <w:marLeft w:val="0"/>
              <w:marRight w:val="0"/>
              <w:marTop w:val="0"/>
              <w:marBottom w:val="0"/>
              <w:divBdr>
                <w:top w:val="none" w:sz="0" w:space="0" w:color="auto"/>
                <w:left w:val="none" w:sz="0" w:space="0" w:color="auto"/>
                <w:bottom w:val="none" w:sz="0" w:space="0" w:color="auto"/>
                <w:right w:val="none" w:sz="0" w:space="0" w:color="auto"/>
              </w:divBdr>
            </w:div>
            <w:div w:id="1547528917">
              <w:marLeft w:val="0"/>
              <w:marRight w:val="0"/>
              <w:marTop w:val="0"/>
              <w:marBottom w:val="0"/>
              <w:divBdr>
                <w:top w:val="none" w:sz="0" w:space="0" w:color="auto"/>
                <w:left w:val="none" w:sz="0" w:space="0" w:color="auto"/>
                <w:bottom w:val="none" w:sz="0" w:space="0" w:color="auto"/>
                <w:right w:val="none" w:sz="0" w:space="0" w:color="auto"/>
              </w:divBdr>
            </w:div>
            <w:div w:id="1890334448">
              <w:marLeft w:val="0"/>
              <w:marRight w:val="0"/>
              <w:marTop w:val="0"/>
              <w:marBottom w:val="0"/>
              <w:divBdr>
                <w:top w:val="none" w:sz="0" w:space="0" w:color="auto"/>
                <w:left w:val="none" w:sz="0" w:space="0" w:color="auto"/>
                <w:bottom w:val="none" w:sz="0" w:space="0" w:color="auto"/>
                <w:right w:val="none" w:sz="0" w:space="0" w:color="auto"/>
              </w:divBdr>
            </w:div>
            <w:div w:id="2014722565">
              <w:marLeft w:val="0"/>
              <w:marRight w:val="0"/>
              <w:marTop w:val="0"/>
              <w:marBottom w:val="0"/>
              <w:divBdr>
                <w:top w:val="none" w:sz="0" w:space="0" w:color="auto"/>
                <w:left w:val="none" w:sz="0" w:space="0" w:color="auto"/>
                <w:bottom w:val="none" w:sz="0" w:space="0" w:color="auto"/>
                <w:right w:val="none" w:sz="0" w:space="0" w:color="auto"/>
              </w:divBdr>
            </w:div>
          </w:divsChild>
        </w:div>
        <w:div w:id="669064733">
          <w:marLeft w:val="0"/>
          <w:marRight w:val="0"/>
          <w:marTop w:val="0"/>
          <w:marBottom w:val="0"/>
          <w:divBdr>
            <w:top w:val="none" w:sz="0" w:space="0" w:color="auto"/>
            <w:left w:val="none" w:sz="0" w:space="0" w:color="auto"/>
            <w:bottom w:val="none" w:sz="0" w:space="0" w:color="auto"/>
            <w:right w:val="none" w:sz="0" w:space="0" w:color="auto"/>
          </w:divBdr>
          <w:divsChild>
            <w:div w:id="1178807247">
              <w:marLeft w:val="0"/>
              <w:marRight w:val="0"/>
              <w:marTop w:val="0"/>
              <w:marBottom w:val="0"/>
              <w:divBdr>
                <w:top w:val="none" w:sz="0" w:space="0" w:color="auto"/>
                <w:left w:val="none" w:sz="0" w:space="0" w:color="auto"/>
                <w:bottom w:val="none" w:sz="0" w:space="0" w:color="auto"/>
                <w:right w:val="none" w:sz="0" w:space="0" w:color="auto"/>
              </w:divBdr>
            </w:div>
          </w:divsChild>
        </w:div>
        <w:div w:id="672952336">
          <w:marLeft w:val="0"/>
          <w:marRight w:val="0"/>
          <w:marTop w:val="0"/>
          <w:marBottom w:val="0"/>
          <w:divBdr>
            <w:top w:val="none" w:sz="0" w:space="0" w:color="auto"/>
            <w:left w:val="none" w:sz="0" w:space="0" w:color="auto"/>
            <w:bottom w:val="none" w:sz="0" w:space="0" w:color="auto"/>
            <w:right w:val="none" w:sz="0" w:space="0" w:color="auto"/>
          </w:divBdr>
          <w:divsChild>
            <w:div w:id="399400083">
              <w:marLeft w:val="0"/>
              <w:marRight w:val="0"/>
              <w:marTop w:val="0"/>
              <w:marBottom w:val="0"/>
              <w:divBdr>
                <w:top w:val="none" w:sz="0" w:space="0" w:color="auto"/>
                <w:left w:val="none" w:sz="0" w:space="0" w:color="auto"/>
                <w:bottom w:val="none" w:sz="0" w:space="0" w:color="auto"/>
                <w:right w:val="none" w:sz="0" w:space="0" w:color="auto"/>
              </w:divBdr>
            </w:div>
            <w:div w:id="1634166672">
              <w:marLeft w:val="0"/>
              <w:marRight w:val="0"/>
              <w:marTop w:val="0"/>
              <w:marBottom w:val="0"/>
              <w:divBdr>
                <w:top w:val="none" w:sz="0" w:space="0" w:color="auto"/>
                <w:left w:val="none" w:sz="0" w:space="0" w:color="auto"/>
                <w:bottom w:val="none" w:sz="0" w:space="0" w:color="auto"/>
                <w:right w:val="none" w:sz="0" w:space="0" w:color="auto"/>
              </w:divBdr>
            </w:div>
          </w:divsChild>
        </w:div>
        <w:div w:id="681972343">
          <w:marLeft w:val="0"/>
          <w:marRight w:val="0"/>
          <w:marTop w:val="0"/>
          <w:marBottom w:val="0"/>
          <w:divBdr>
            <w:top w:val="none" w:sz="0" w:space="0" w:color="auto"/>
            <w:left w:val="none" w:sz="0" w:space="0" w:color="auto"/>
            <w:bottom w:val="none" w:sz="0" w:space="0" w:color="auto"/>
            <w:right w:val="none" w:sz="0" w:space="0" w:color="auto"/>
          </w:divBdr>
          <w:divsChild>
            <w:div w:id="10573646">
              <w:marLeft w:val="0"/>
              <w:marRight w:val="0"/>
              <w:marTop w:val="0"/>
              <w:marBottom w:val="0"/>
              <w:divBdr>
                <w:top w:val="none" w:sz="0" w:space="0" w:color="auto"/>
                <w:left w:val="none" w:sz="0" w:space="0" w:color="auto"/>
                <w:bottom w:val="none" w:sz="0" w:space="0" w:color="auto"/>
                <w:right w:val="none" w:sz="0" w:space="0" w:color="auto"/>
              </w:divBdr>
            </w:div>
            <w:div w:id="30300807">
              <w:marLeft w:val="0"/>
              <w:marRight w:val="0"/>
              <w:marTop w:val="0"/>
              <w:marBottom w:val="0"/>
              <w:divBdr>
                <w:top w:val="none" w:sz="0" w:space="0" w:color="auto"/>
                <w:left w:val="none" w:sz="0" w:space="0" w:color="auto"/>
                <w:bottom w:val="none" w:sz="0" w:space="0" w:color="auto"/>
                <w:right w:val="none" w:sz="0" w:space="0" w:color="auto"/>
              </w:divBdr>
            </w:div>
            <w:div w:id="118844031">
              <w:marLeft w:val="0"/>
              <w:marRight w:val="0"/>
              <w:marTop w:val="0"/>
              <w:marBottom w:val="0"/>
              <w:divBdr>
                <w:top w:val="none" w:sz="0" w:space="0" w:color="auto"/>
                <w:left w:val="none" w:sz="0" w:space="0" w:color="auto"/>
                <w:bottom w:val="none" w:sz="0" w:space="0" w:color="auto"/>
                <w:right w:val="none" w:sz="0" w:space="0" w:color="auto"/>
              </w:divBdr>
            </w:div>
            <w:div w:id="215314857">
              <w:marLeft w:val="0"/>
              <w:marRight w:val="0"/>
              <w:marTop w:val="0"/>
              <w:marBottom w:val="0"/>
              <w:divBdr>
                <w:top w:val="none" w:sz="0" w:space="0" w:color="auto"/>
                <w:left w:val="none" w:sz="0" w:space="0" w:color="auto"/>
                <w:bottom w:val="none" w:sz="0" w:space="0" w:color="auto"/>
                <w:right w:val="none" w:sz="0" w:space="0" w:color="auto"/>
              </w:divBdr>
            </w:div>
            <w:div w:id="512912973">
              <w:marLeft w:val="0"/>
              <w:marRight w:val="0"/>
              <w:marTop w:val="0"/>
              <w:marBottom w:val="0"/>
              <w:divBdr>
                <w:top w:val="none" w:sz="0" w:space="0" w:color="auto"/>
                <w:left w:val="none" w:sz="0" w:space="0" w:color="auto"/>
                <w:bottom w:val="none" w:sz="0" w:space="0" w:color="auto"/>
                <w:right w:val="none" w:sz="0" w:space="0" w:color="auto"/>
              </w:divBdr>
            </w:div>
            <w:div w:id="649755177">
              <w:marLeft w:val="0"/>
              <w:marRight w:val="0"/>
              <w:marTop w:val="0"/>
              <w:marBottom w:val="0"/>
              <w:divBdr>
                <w:top w:val="none" w:sz="0" w:space="0" w:color="auto"/>
                <w:left w:val="none" w:sz="0" w:space="0" w:color="auto"/>
                <w:bottom w:val="none" w:sz="0" w:space="0" w:color="auto"/>
                <w:right w:val="none" w:sz="0" w:space="0" w:color="auto"/>
              </w:divBdr>
            </w:div>
            <w:div w:id="777914254">
              <w:marLeft w:val="0"/>
              <w:marRight w:val="0"/>
              <w:marTop w:val="0"/>
              <w:marBottom w:val="0"/>
              <w:divBdr>
                <w:top w:val="none" w:sz="0" w:space="0" w:color="auto"/>
                <w:left w:val="none" w:sz="0" w:space="0" w:color="auto"/>
                <w:bottom w:val="none" w:sz="0" w:space="0" w:color="auto"/>
                <w:right w:val="none" w:sz="0" w:space="0" w:color="auto"/>
              </w:divBdr>
            </w:div>
            <w:div w:id="852914647">
              <w:marLeft w:val="0"/>
              <w:marRight w:val="0"/>
              <w:marTop w:val="0"/>
              <w:marBottom w:val="0"/>
              <w:divBdr>
                <w:top w:val="none" w:sz="0" w:space="0" w:color="auto"/>
                <w:left w:val="none" w:sz="0" w:space="0" w:color="auto"/>
                <w:bottom w:val="none" w:sz="0" w:space="0" w:color="auto"/>
                <w:right w:val="none" w:sz="0" w:space="0" w:color="auto"/>
              </w:divBdr>
            </w:div>
            <w:div w:id="1330594394">
              <w:marLeft w:val="0"/>
              <w:marRight w:val="0"/>
              <w:marTop w:val="0"/>
              <w:marBottom w:val="0"/>
              <w:divBdr>
                <w:top w:val="none" w:sz="0" w:space="0" w:color="auto"/>
                <w:left w:val="none" w:sz="0" w:space="0" w:color="auto"/>
                <w:bottom w:val="none" w:sz="0" w:space="0" w:color="auto"/>
                <w:right w:val="none" w:sz="0" w:space="0" w:color="auto"/>
              </w:divBdr>
            </w:div>
            <w:div w:id="1504201673">
              <w:marLeft w:val="0"/>
              <w:marRight w:val="0"/>
              <w:marTop w:val="0"/>
              <w:marBottom w:val="0"/>
              <w:divBdr>
                <w:top w:val="none" w:sz="0" w:space="0" w:color="auto"/>
                <w:left w:val="none" w:sz="0" w:space="0" w:color="auto"/>
                <w:bottom w:val="none" w:sz="0" w:space="0" w:color="auto"/>
                <w:right w:val="none" w:sz="0" w:space="0" w:color="auto"/>
              </w:divBdr>
            </w:div>
            <w:div w:id="1921327905">
              <w:marLeft w:val="0"/>
              <w:marRight w:val="0"/>
              <w:marTop w:val="0"/>
              <w:marBottom w:val="0"/>
              <w:divBdr>
                <w:top w:val="none" w:sz="0" w:space="0" w:color="auto"/>
                <w:left w:val="none" w:sz="0" w:space="0" w:color="auto"/>
                <w:bottom w:val="none" w:sz="0" w:space="0" w:color="auto"/>
                <w:right w:val="none" w:sz="0" w:space="0" w:color="auto"/>
              </w:divBdr>
            </w:div>
            <w:div w:id="2099597631">
              <w:marLeft w:val="0"/>
              <w:marRight w:val="0"/>
              <w:marTop w:val="0"/>
              <w:marBottom w:val="0"/>
              <w:divBdr>
                <w:top w:val="none" w:sz="0" w:space="0" w:color="auto"/>
                <w:left w:val="none" w:sz="0" w:space="0" w:color="auto"/>
                <w:bottom w:val="none" w:sz="0" w:space="0" w:color="auto"/>
                <w:right w:val="none" w:sz="0" w:space="0" w:color="auto"/>
              </w:divBdr>
            </w:div>
            <w:div w:id="2141921676">
              <w:marLeft w:val="0"/>
              <w:marRight w:val="0"/>
              <w:marTop w:val="0"/>
              <w:marBottom w:val="0"/>
              <w:divBdr>
                <w:top w:val="none" w:sz="0" w:space="0" w:color="auto"/>
                <w:left w:val="none" w:sz="0" w:space="0" w:color="auto"/>
                <w:bottom w:val="none" w:sz="0" w:space="0" w:color="auto"/>
                <w:right w:val="none" w:sz="0" w:space="0" w:color="auto"/>
              </w:divBdr>
            </w:div>
          </w:divsChild>
        </w:div>
        <w:div w:id="687409310">
          <w:marLeft w:val="0"/>
          <w:marRight w:val="0"/>
          <w:marTop w:val="0"/>
          <w:marBottom w:val="0"/>
          <w:divBdr>
            <w:top w:val="none" w:sz="0" w:space="0" w:color="auto"/>
            <w:left w:val="none" w:sz="0" w:space="0" w:color="auto"/>
            <w:bottom w:val="none" w:sz="0" w:space="0" w:color="auto"/>
            <w:right w:val="none" w:sz="0" w:space="0" w:color="auto"/>
          </w:divBdr>
          <w:divsChild>
            <w:div w:id="612443943">
              <w:marLeft w:val="0"/>
              <w:marRight w:val="0"/>
              <w:marTop w:val="0"/>
              <w:marBottom w:val="0"/>
              <w:divBdr>
                <w:top w:val="none" w:sz="0" w:space="0" w:color="auto"/>
                <w:left w:val="none" w:sz="0" w:space="0" w:color="auto"/>
                <w:bottom w:val="none" w:sz="0" w:space="0" w:color="auto"/>
                <w:right w:val="none" w:sz="0" w:space="0" w:color="auto"/>
              </w:divBdr>
            </w:div>
            <w:div w:id="798762474">
              <w:marLeft w:val="0"/>
              <w:marRight w:val="0"/>
              <w:marTop w:val="0"/>
              <w:marBottom w:val="0"/>
              <w:divBdr>
                <w:top w:val="none" w:sz="0" w:space="0" w:color="auto"/>
                <w:left w:val="none" w:sz="0" w:space="0" w:color="auto"/>
                <w:bottom w:val="none" w:sz="0" w:space="0" w:color="auto"/>
                <w:right w:val="none" w:sz="0" w:space="0" w:color="auto"/>
              </w:divBdr>
            </w:div>
          </w:divsChild>
        </w:div>
        <w:div w:id="694186933">
          <w:marLeft w:val="0"/>
          <w:marRight w:val="0"/>
          <w:marTop w:val="0"/>
          <w:marBottom w:val="0"/>
          <w:divBdr>
            <w:top w:val="none" w:sz="0" w:space="0" w:color="auto"/>
            <w:left w:val="none" w:sz="0" w:space="0" w:color="auto"/>
            <w:bottom w:val="none" w:sz="0" w:space="0" w:color="auto"/>
            <w:right w:val="none" w:sz="0" w:space="0" w:color="auto"/>
          </w:divBdr>
          <w:divsChild>
            <w:div w:id="834495076">
              <w:marLeft w:val="0"/>
              <w:marRight w:val="0"/>
              <w:marTop w:val="0"/>
              <w:marBottom w:val="0"/>
              <w:divBdr>
                <w:top w:val="none" w:sz="0" w:space="0" w:color="auto"/>
                <w:left w:val="none" w:sz="0" w:space="0" w:color="auto"/>
                <w:bottom w:val="none" w:sz="0" w:space="0" w:color="auto"/>
                <w:right w:val="none" w:sz="0" w:space="0" w:color="auto"/>
              </w:divBdr>
            </w:div>
          </w:divsChild>
        </w:div>
        <w:div w:id="699940533">
          <w:marLeft w:val="0"/>
          <w:marRight w:val="0"/>
          <w:marTop w:val="0"/>
          <w:marBottom w:val="0"/>
          <w:divBdr>
            <w:top w:val="none" w:sz="0" w:space="0" w:color="auto"/>
            <w:left w:val="none" w:sz="0" w:space="0" w:color="auto"/>
            <w:bottom w:val="none" w:sz="0" w:space="0" w:color="auto"/>
            <w:right w:val="none" w:sz="0" w:space="0" w:color="auto"/>
          </w:divBdr>
          <w:divsChild>
            <w:div w:id="459811257">
              <w:marLeft w:val="0"/>
              <w:marRight w:val="0"/>
              <w:marTop w:val="0"/>
              <w:marBottom w:val="0"/>
              <w:divBdr>
                <w:top w:val="none" w:sz="0" w:space="0" w:color="auto"/>
                <w:left w:val="none" w:sz="0" w:space="0" w:color="auto"/>
                <w:bottom w:val="none" w:sz="0" w:space="0" w:color="auto"/>
                <w:right w:val="none" w:sz="0" w:space="0" w:color="auto"/>
              </w:divBdr>
            </w:div>
            <w:div w:id="621837885">
              <w:marLeft w:val="0"/>
              <w:marRight w:val="0"/>
              <w:marTop w:val="0"/>
              <w:marBottom w:val="0"/>
              <w:divBdr>
                <w:top w:val="none" w:sz="0" w:space="0" w:color="auto"/>
                <w:left w:val="none" w:sz="0" w:space="0" w:color="auto"/>
                <w:bottom w:val="none" w:sz="0" w:space="0" w:color="auto"/>
                <w:right w:val="none" w:sz="0" w:space="0" w:color="auto"/>
              </w:divBdr>
            </w:div>
          </w:divsChild>
        </w:div>
        <w:div w:id="703867428">
          <w:marLeft w:val="0"/>
          <w:marRight w:val="0"/>
          <w:marTop w:val="0"/>
          <w:marBottom w:val="0"/>
          <w:divBdr>
            <w:top w:val="none" w:sz="0" w:space="0" w:color="auto"/>
            <w:left w:val="none" w:sz="0" w:space="0" w:color="auto"/>
            <w:bottom w:val="none" w:sz="0" w:space="0" w:color="auto"/>
            <w:right w:val="none" w:sz="0" w:space="0" w:color="auto"/>
          </w:divBdr>
          <w:divsChild>
            <w:div w:id="954557945">
              <w:marLeft w:val="0"/>
              <w:marRight w:val="0"/>
              <w:marTop w:val="0"/>
              <w:marBottom w:val="0"/>
              <w:divBdr>
                <w:top w:val="none" w:sz="0" w:space="0" w:color="auto"/>
                <w:left w:val="none" w:sz="0" w:space="0" w:color="auto"/>
                <w:bottom w:val="none" w:sz="0" w:space="0" w:color="auto"/>
                <w:right w:val="none" w:sz="0" w:space="0" w:color="auto"/>
              </w:divBdr>
            </w:div>
            <w:div w:id="1236938033">
              <w:marLeft w:val="0"/>
              <w:marRight w:val="0"/>
              <w:marTop w:val="0"/>
              <w:marBottom w:val="0"/>
              <w:divBdr>
                <w:top w:val="none" w:sz="0" w:space="0" w:color="auto"/>
                <w:left w:val="none" w:sz="0" w:space="0" w:color="auto"/>
                <w:bottom w:val="none" w:sz="0" w:space="0" w:color="auto"/>
                <w:right w:val="none" w:sz="0" w:space="0" w:color="auto"/>
              </w:divBdr>
            </w:div>
            <w:div w:id="1725441826">
              <w:marLeft w:val="0"/>
              <w:marRight w:val="0"/>
              <w:marTop w:val="0"/>
              <w:marBottom w:val="0"/>
              <w:divBdr>
                <w:top w:val="none" w:sz="0" w:space="0" w:color="auto"/>
                <w:left w:val="none" w:sz="0" w:space="0" w:color="auto"/>
                <w:bottom w:val="none" w:sz="0" w:space="0" w:color="auto"/>
                <w:right w:val="none" w:sz="0" w:space="0" w:color="auto"/>
              </w:divBdr>
            </w:div>
          </w:divsChild>
        </w:div>
        <w:div w:id="724573497">
          <w:marLeft w:val="0"/>
          <w:marRight w:val="0"/>
          <w:marTop w:val="0"/>
          <w:marBottom w:val="0"/>
          <w:divBdr>
            <w:top w:val="none" w:sz="0" w:space="0" w:color="auto"/>
            <w:left w:val="none" w:sz="0" w:space="0" w:color="auto"/>
            <w:bottom w:val="none" w:sz="0" w:space="0" w:color="auto"/>
            <w:right w:val="none" w:sz="0" w:space="0" w:color="auto"/>
          </w:divBdr>
          <w:divsChild>
            <w:div w:id="202596547">
              <w:marLeft w:val="0"/>
              <w:marRight w:val="0"/>
              <w:marTop w:val="0"/>
              <w:marBottom w:val="0"/>
              <w:divBdr>
                <w:top w:val="none" w:sz="0" w:space="0" w:color="auto"/>
                <w:left w:val="none" w:sz="0" w:space="0" w:color="auto"/>
                <w:bottom w:val="none" w:sz="0" w:space="0" w:color="auto"/>
                <w:right w:val="none" w:sz="0" w:space="0" w:color="auto"/>
              </w:divBdr>
            </w:div>
          </w:divsChild>
        </w:div>
        <w:div w:id="726421149">
          <w:marLeft w:val="0"/>
          <w:marRight w:val="0"/>
          <w:marTop w:val="0"/>
          <w:marBottom w:val="0"/>
          <w:divBdr>
            <w:top w:val="none" w:sz="0" w:space="0" w:color="auto"/>
            <w:left w:val="none" w:sz="0" w:space="0" w:color="auto"/>
            <w:bottom w:val="none" w:sz="0" w:space="0" w:color="auto"/>
            <w:right w:val="none" w:sz="0" w:space="0" w:color="auto"/>
          </w:divBdr>
          <w:divsChild>
            <w:div w:id="1920937868">
              <w:marLeft w:val="0"/>
              <w:marRight w:val="0"/>
              <w:marTop w:val="0"/>
              <w:marBottom w:val="0"/>
              <w:divBdr>
                <w:top w:val="none" w:sz="0" w:space="0" w:color="auto"/>
                <w:left w:val="none" w:sz="0" w:space="0" w:color="auto"/>
                <w:bottom w:val="none" w:sz="0" w:space="0" w:color="auto"/>
                <w:right w:val="none" w:sz="0" w:space="0" w:color="auto"/>
              </w:divBdr>
            </w:div>
          </w:divsChild>
        </w:div>
        <w:div w:id="730346823">
          <w:marLeft w:val="0"/>
          <w:marRight w:val="0"/>
          <w:marTop w:val="0"/>
          <w:marBottom w:val="0"/>
          <w:divBdr>
            <w:top w:val="none" w:sz="0" w:space="0" w:color="auto"/>
            <w:left w:val="none" w:sz="0" w:space="0" w:color="auto"/>
            <w:bottom w:val="none" w:sz="0" w:space="0" w:color="auto"/>
            <w:right w:val="none" w:sz="0" w:space="0" w:color="auto"/>
          </w:divBdr>
          <w:divsChild>
            <w:div w:id="574363090">
              <w:marLeft w:val="0"/>
              <w:marRight w:val="0"/>
              <w:marTop w:val="0"/>
              <w:marBottom w:val="0"/>
              <w:divBdr>
                <w:top w:val="none" w:sz="0" w:space="0" w:color="auto"/>
                <w:left w:val="none" w:sz="0" w:space="0" w:color="auto"/>
                <w:bottom w:val="none" w:sz="0" w:space="0" w:color="auto"/>
                <w:right w:val="none" w:sz="0" w:space="0" w:color="auto"/>
              </w:divBdr>
            </w:div>
          </w:divsChild>
        </w:div>
        <w:div w:id="730883155">
          <w:marLeft w:val="0"/>
          <w:marRight w:val="0"/>
          <w:marTop w:val="0"/>
          <w:marBottom w:val="0"/>
          <w:divBdr>
            <w:top w:val="none" w:sz="0" w:space="0" w:color="auto"/>
            <w:left w:val="none" w:sz="0" w:space="0" w:color="auto"/>
            <w:bottom w:val="none" w:sz="0" w:space="0" w:color="auto"/>
            <w:right w:val="none" w:sz="0" w:space="0" w:color="auto"/>
          </w:divBdr>
          <w:divsChild>
            <w:div w:id="854614157">
              <w:marLeft w:val="0"/>
              <w:marRight w:val="0"/>
              <w:marTop w:val="0"/>
              <w:marBottom w:val="0"/>
              <w:divBdr>
                <w:top w:val="none" w:sz="0" w:space="0" w:color="auto"/>
                <w:left w:val="none" w:sz="0" w:space="0" w:color="auto"/>
                <w:bottom w:val="none" w:sz="0" w:space="0" w:color="auto"/>
                <w:right w:val="none" w:sz="0" w:space="0" w:color="auto"/>
              </w:divBdr>
            </w:div>
          </w:divsChild>
        </w:div>
        <w:div w:id="735668856">
          <w:marLeft w:val="0"/>
          <w:marRight w:val="0"/>
          <w:marTop w:val="0"/>
          <w:marBottom w:val="0"/>
          <w:divBdr>
            <w:top w:val="none" w:sz="0" w:space="0" w:color="auto"/>
            <w:left w:val="none" w:sz="0" w:space="0" w:color="auto"/>
            <w:bottom w:val="none" w:sz="0" w:space="0" w:color="auto"/>
            <w:right w:val="none" w:sz="0" w:space="0" w:color="auto"/>
          </w:divBdr>
          <w:divsChild>
            <w:div w:id="101997630">
              <w:marLeft w:val="0"/>
              <w:marRight w:val="0"/>
              <w:marTop w:val="0"/>
              <w:marBottom w:val="0"/>
              <w:divBdr>
                <w:top w:val="none" w:sz="0" w:space="0" w:color="auto"/>
                <w:left w:val="none" w:sz="0" w:space="0" w:color="auto"/>
                <w:bottom w:val="none" w:sz="0" w:space="0" w:color="auto"/>
                <w:right w:val="none" w:sz="0" w:space="0" w:color="auto"/>
              </w:divBdr>
            </w:div>
            <w:div w:id="1429618603">
              <w:marLeft w:val="0"/>
              <w:marRight w:val="0"/>
              <w:marTop w:val="0"/>
              <w:marBottom w:val="0"/>
              <w:divBdr>
                <w:top w:val="none" w:sz="0" w:space="0" w:color="auto"/>
                <w:left w:val="none" w:sz="0" w:space="0" w:color="auto"/>
                <w:bottom w:val="none" w:sz="0" w:space="0" w:color="auto"/>
                <w:right w:val="none" w:sz="0" w:space="0" w:color="auto"/>
              </w:divBdr>
            </w:div>
          </w:divsChild>
        </w:div>
        <w:div w:id="741485903">
          <w:marLeft w:val="0"/>
          <w:marRight w:val="0"/>
          <w:marTop w:val="0"/>
          <w:marBottom w:val="0"/>
          <w:divBdr>
            <w:top w:val="none" w:sz="0" w:space="0" w:color="auto"/>
            <w:left w:val="none" w:sz="0" w:space="0" w:color="auto"/>
            <w:bottom w:val="none" w:sz="0" w:space="0" w:color="auto"/>
            <w:right w:val="none" w:sz="0" w:space="0" w:color="auto"/>
          </w:divBdr>
          <w:divsChild>
            <w:div w:id="584001476">
              <w:marLeft w:val="0"/>
              <w:marRight w:val="0"/>
              <w:marTop w:val="0"/>
              <w:marBottom w:val="0"/>
              <w:divBdr>
                <w:top w:val="none" w:sz="0" w:space="0" w:color="auto"/>
                <w:left w:val="none" w:sz="0" w:space="0" w:color="auto"/>
                <w:bottom w:val="none" w:sz="0" w:space="0" w:color="auto"/>
                <w:right w:val="none" w:sz="0" w:space="0" w:color="auto"/>
              </w:divBdr>
            </w:div>
          </w:divsChild>
        </w:div>
        <w:div w:id="741608421">
          <w:marLeft w:val="0"/>
          <w:marRight w:val="0"/>
          <w:marTop w:val="0"/>
          <w:marBottom w:val="0"/>
          <w:divBdr>
            <w:top w:val="none" w:sz="0" w:space="0" w:color="auto"/>
            <w:left w:val="none" w:sz="0" w:space="0" w:color="auto"/>
            <w:bottom w:val="none" w:sz="0" w:space="0" w:color="auto"/>
            <w:right w:val="none" w:sz="0" w:space="0" w:color="auto"/>
          </w:divBdr>
          <w:divsChild>
            <w:div w:id="623580166">
              <w:marLeft w:val="0"/>
              <w:marRight w:val="0"/>
              <w:marTop w:val="0"/>
              <w:marBottom w:val="0"/>
              <w:divBdr>
                <w:top w:val="none" w:sz="0" w:space="0" w:color="auto"/>
                <w:left w:val="none" w:sz="0" w:space="0" w:color="auto"/>
                <w:bottom w:val="none" w:sz="0" w:space="0" w:color="auto"/>
                <w:right w:val="none" w:sz="0" w:space="0" w:color="auto"/>
              </w:divBdr>
            </w:div>
            <w:div w:id="1055348951">
              <w:marLeft w:val="0"/>
              <w:marRight w:val="0"/>
              <w:marTop w:val="0"/>
              <w:marBottom w:val="0"/>
              <w:divBdr>
                <w:top w:val="none" w:sz="0" w:space="0" w:color="auto"/>
                <w:left w:val="none" w:sz="0" w:space="0" w:color="auto"/>
                <w:bottom w:val="none" w:sz="0" w:space="0" w:color="auto"/>
                <w:right w:val="none" w:sz="0" w:space="0" w:color="auto"/>
              </w:divBdr>
            </w:div>
            <w:div w:id="1291783588">
              <w:marLeft w:val="0"/>
              <w:marRight w:val="0"/>
              <w:marTop w:val="0"/>
              <w:marBottom w:val="0"/>
              <w:divBdr>
                <w:top w:val="none" w:sz="0" w:space="0" w:color="auto"/>
                <w:left w:val="none" w:sz="0" w:space="0" w:color="auto"/>
                <w:bottom w:val="none" w:sz="0" w:space="0" w:color="auto"/>
                <w:right w:val="none" w:sz="0" w:space="0" w:color="auto"/>
              </w:divBdr>
            </w:div>
            <w:div w:id="1444231020">
              <w:marLeft w:val="0"/>
              <w:marRight w:val="0"/>
              <w:marTop w:val="0"/>
              <w:marBottom w:val="0"/>
              <w:divBdr>
                <w:top w:val="none" w:sz="0" w:space="0" w:color="auto"/>
                <w:left w:val="none" w:sz="0" w:space="0" w:color="auto"/>
                <w:bottom w:val="none" w:sz="0" w:space="0" w:color="auto"/>
                <w:right w:val="none" w:sz="0" w:space="0" w:color="auto"/>
              </w:divBdr>
            </w:div>
            <w:div w:id="1455783782">
              <w:marLeft w:val="0"/>
              <w:marRight w:val="0"/>
              <w:marTop w:val="0"/>
              <w:marBottom w:val="0"/>
              <w:divBdr>
                <w:top w:val="none" w:sz="0" w:space="0" w:color="auto"/>
                <w:left w:val="none" w:sz="0" w:space="0" w:color="auto"/>
                <w:bottom w:val="none" w:sz="0" w:space="0" w:color="auto"/>
                <w:right w:val="none" w:sz="0" w:space="0" w:color="auto"/>
              </w:divBdr>
            </w:div>
          </w:divsChild>
        </w:div>
        <w:div w:id="743333363">
          <w:marLeft w:val="0"/>
          <w:marRight w:val="0"/>
          <w:marTop w:val="0"/>
          <w:marBottom w:val="0"/>
          <w:divBdr>
            <w:top w:val="none" w:sz="0" w:space="0" w:color="auto"/>
            <w:left w:val="none" w:sz="0" w:space="0" w:color="auto"/>
            <w:bottom w:val="none" w:sz="0" w:space="0" w:color="auto"/>
            <w:right w:val="none" w:sz="0" w:space="0" w:color="auto"/>
          </w:divBdr>
          <w:divsChild>
            <w:div w:id="1349059986">
              <w:marLeft w:val="0"/>
              <w:marRight w:val="0"/>
              <w:marTop w:val="0"/>
              <w:marBottom w:val="0"/>
              <w:divBdr>
                <w:top w:val="none" w:sz="0" w:space="0" w:color="auto"/>
                <w:left w:val="none" w:sz="0" w:space="0" w:color="auto"/>
                <w:bottom w:val="none" w:sz="0" w:space="0" w:color="auto"/>
                <w:right w:val="none" w:sz="0" w:space="0" w:color="auto"/>
              </w:divBdr>
            </w:div>
          </w:divsChild>
        </w:div>
        <w:div w:id="743651020">
          <w:marLeft w:val="0"/>
          <w:marRight w:val="0"/>
          <w:marTop w:val="0"/>
          <w:marBottom w:val="0"/>
          <w:divBdr>
            <w:top w:val="none" w:sz="0" w:space="0" w:color="auto"/>
            <w:left w:val="none" w:sz="0" w:space="0" w:color="auto"/>
            <w:bottom w:val="none" w:sz="0" w:space="0" w:color="auto"/>
            <w:right w:val="none" w:sz="0" w:space="0" w:color="auto"/>
          </w:divBdr>
          <w:divsChild>
            <w:div w:id="495657564">
              <w:marLeft w:val="0"/>
              <w:marRight w:val="0"/>
              <w:marTop w:val="0"/>
              <w:marBottom w:val="0"/>
              <w:divBdr>
                <w:top w:val="none" w:sz="0" w:space="0" w:color="auto"/>
                <w:left w:val="none" w:sz="0" w:space="0" w:color="auto"/>
                <w:bottom w:val="none" w:sz="0" w:space="0" w:color="auto"/>
                <w:right w:val="none" w:sz="0" w:space="0" w:color="auto"/>
              </w:divBdr>
            </w:div>
            <w:div w:id="687604827">
              <w:marLeft w:val="0"/>
              <w:marRight w:val="0"/>
              <w:marTop w:val="0"/>
              <w:marBottom w:val="0"/>
              <w:divBdr>
                <w:top w:val="none" w:sz="0" w:space="0" w:color="auto"/>
                <w:left w:val="none" w:sz="0" w:space="0" w:color="auto"/>
                <w:bottom w:val="none" w:sz="0" w:space="0" w:color="auto"/>
                <w:right w:val="none" w:sz="0" w:space="0" w:color="auto"/>
              </w:divBdr>
            </w:div>
          </w:divsChild>
        </w:div>
        <w:div w:id="744186110">
          <w:marLeft w:val="0"/>
          <w:marRight w:val="0"/>
          <w:marTop w:val="0"/>
          <w:marBottom w:val="0"/>
          <w:divBdr>
            <w:top w:val="none" w:sz="0" w:space="0" w:color="auto"/>
            <w:left w:val="none" w:sz="0" w:space="0" w:color="auto"/>
            <w:bottom w:val="none" w:sz="0" w:space="0" w:color="auto"/>
            <w:right w:val="none" w:sz="0" w:space="0" w:color="auto"/>
          </w:divBdr>
          <w:divsChild>
            <w:div w:id="1766027867">
              <w:marLeft w:val="0"/>
              <w:marRight w:val="0"/>
              <w:marTop w:val="0"/>
              <w:marBottom w:val="0"/>
              <w:divBdr>
                <w:top w:val="none" w:sz="0" w:space="0" w:color="auto"/>
                <w:left w:val="none" w:sz="0" w:space="0" w:color="auto"/>
                <w:bottom w:val="none" w:sz="0" w:space="0" w:color="auto"/>
                <w:right w:val="none" w:sz="0" w:space="0" w:color="auto"/>
              </w:divBdr>
            </w:div>
          </w:divsChild>
        </w:div>
        <w:div w:id="754126826">
          <w:marLeft w:val="0"/>
          <w:marRight w:val="0"/>
          <w:marTop w:val="0"/>
          <w:marBottom w:val="0"/>
          <w:divBdr>
            <w:top w:val="none" w:sz="0" w:space="0" w:color="auto"/>
            <w:left w:val="none" w:sz="0" w:space="0" w:color="auto"/>
            <w:bottom w:val="none" w:sz="0" w:space="0" w:color="auto"/>
            <w:right w:val="none" w:sz="0" w:space="0" w:color="auto"/>
          </w:divBdr>
          <w:divsChild>
            <w:div w:id="1846163074">
              <w:marLeft w:val="0"/>
              <w:marRight w:val="0"/>
              <w:marTop w:val="0"/>
              <w:marBottom w:val="0"/>
              <w:divBdr>
                <w:top w:val="none" w:sz="0" w:space="0" w:color="auto"/>
                <w:left w:val="none" w:sz="0" w:space="0" w:color="auto"/>
                <w:bottom w:val="none" w:sz="0" w:space="0" w:color="auto"/>
                <w:right w:val="none" w:sz="0" w:space="0" w:color="auto"/>
              </w:divBdr>
            </w:div>
          </w:divsChild>
        </w:div>
        <w:div w:id="757211670">
          <w:marLeft w:val="0"/>
          <w:marRight w:val="0"/>
          <w:marTop w:val="0"/>
          <w:marBottom w:val="0"/>
          <w:divBdr>
            <w:top w:val="none" w:sz="0" w:space="0" w:color="auto"/>
            <w:left w:val="none" w:sz="0" w:space="0" w:color="auto"/>
            <w:bottom w:val="none" w:sz="0" w:space="0" w:color="auto"/>
            <w:right w:val="none" w:sz="0" w:space="0" w:color="auto"/>
          </w:divBdr>
          <w:divsChild>
            <w:div w:id="52042238">
              <w:marLeft w:val="0"/>
              <w:marRight w:val="0"/>
              <w:marTop w:val="0"/>
              <w:marBottom w:val="0"/>
              <w:divBdr>
                <w:top w:val="none" w:sz="0" w:space="0" w:color="auto"/>
                <w:left w:val="none" w:sz="0" w:space="0" w:color="auto"/>
                <w:bottom w:val="none" w:sz="0" w:space="0" w:color="auto"/>
                <w:right w:val="none" w:sz="0" w:space="0" w:color="auto"/>
              </w:divBdr>
            </w:div>
          </w:divsChild>
        </w:div>
        <w:div w:id="762652668">
          <w:marLeft w:val="0"/>
          <w:marRight w:val="0"/>
          <w:marTop w:val="0"/>
          <w:marBottom w:val="0"/>
          <w:divBdr>
            <w:top w:val="none" w:sz="0" w:space="0" w:color="auto"/>
            <w:left w:val="none" w:sz="0" w:space="0" w:color="auto"/>
            <w:bottom w:val="none" w:sz="0" w:space="0" w:color="auto"/>
            <w:right w:val="none" w:sz="0" w:space="0" w:color="auto"/>
          </w:divBdr>
          <w:divsChild>
            <w:div w:id="436174641">
              <w:marLeft w:val="0"/>
              <w:marRight w:val="0"/>
              <w:marTop w:val="0"/>
              <w:marBottom w:val="0"/>
              <w:divBdr>
                <w:top w:val="none" w:sz="0" w:space="0" w:color="auto"/>
                <w:left w:val="none" w:sz="0" w:space="0" w:color="auto"/>
                <w:bottom w:val="none" w:sz="0" w:space="0" w:color="auto"/>
                <w:right w:val="none" w:sz="0" w:space="0" w:color="auto"/>
              </w:divBdr>
            </w:div>
            <w:div w:id="1270090419">
              <w:marLeft w:val="0"/>
              <w:marRight w:val="0"/>
              <w:marTop w:val="0"/>
              <w:marBottom w:val="0"/>
              <w:divBdr>
                <w:top w:val="none" w:sz="0" w:space="0" w:color="auto"/>
                <w:left w:val="none" w:sz="0" w:space="0" w:color="auto"/>
                <w:bottom w:val="none" w:sz="0" w:space="0" w:color="auto"/>
                <w:right w:val="none" w:sz="0" w:space="0" w:color="auto"/>
              </w:divBdr>
            </w:div>
            <w:div w:id="1875802221">
              <w:marLeft w:val="0"/>
              <w:marRight w:val="0"/>
              <w:marTop w:val="0"/>
              <w:marBottom w:val="0"/>
              <w:divBdr>
                <w:top w:val="none" w:sz="0" w:space="0" w:color="auto"/>
                <w:left w:val="none" w:sz="0" w:space="0" w:color="auto"/>
                <w:bottom w:val="none" w:sz="0" w:space="0" w:color="auto"/>
                <w:right w:val="none" w:sz="0" w:space="0" w:color="auto"/>
              </w:divBdr>
            </w:div>
            <w:div w:id="2137094721">
              <w:marLeft w:val="0"/>
              <w:marRight w:val="0"/>
              <w:marTop w:val="0"/>
              <w:marBottom w:val="0"/>
              <w:divBdr>
                <w:top w:val="none" w:sz="0" w:space="0" w:color="auto"/>
                <w:left w:val="none" w:sz="0" w:space="0" w:color="auto"/>
                <w:bottom w:val="none" w:sz="0" w:space="0" w:color="auto"/>
                <w:right w:val="none" w:sz="0" w:space="0" w:color="auto"/>
              </w:divBdr>
            </w:div>
          </w:divsChild>
        </w:div>
        <w:div w:id="763651158">
          <w:marLeft w:val="0"/>
          <w:marRight w:val="0"/>
          <w:marTop w:val="0"/>
          <w:marBottom w:val="0"/>
          <w:divBdr>
            <w:top w:val="none" w:sz="0" w:space="0" w:color="auto"/>
            <w:left w:val="none" w:sz="0" w:space="0" w:color="auto"/>
            <w:bottom w:val="none" w:sz="0" w:space="0" w:color="auto"/>
            <w:right w:val="none" w:sz="0" w:space="0" w:color="auto"/>
          </w:divBdr>
          <w:divsChild>
            <w:div w:id="1899585230">
              <w:marLeft w:val="0"/>
              <w:marRight w:val="0"/>
              <w:marTop w:val="0"/>
              <w:marBottom w:val="0"/>
              <w:divBdr>
                <w:top w:val="none" w:sz="0" w:space="0" w:color="auto"/>
                <w:left w:val="none" w:sz="0" w:space="0" w:color="auto"/>
                <w:bottom w:val="none" w:sz="0" w:space="0" w:color="auto"/>
                <w:right w:val="none" w:sz="0" w:space="0" w:color="auto"/>
              </w:divBdr>
            </w:div>
            <w:div w:id="1918519150">
              <w:marLeft w:val="0"/>
              <w:marRight w:val="0"/>
              <w:marTop w:val="0"/>
              <w:marBottom w:val="0"/>
              <w:divBdr>
                <w:top w:val="none" w:sz="0" w:space="0" w:color="auto"/>
                <w:left w:val="none" w:sz="0" w:space="0" w:color="auto"/>
                <w:bottom w:val="none" w:sz="0" w:space="0" w:color="auto"/>
                <w:right w:val="none" w:sz="0" w:space="0" w:color="auto"/>
              </w:divBdr>
            </w:div>
          </w:divsChild>
        </w:div>
        <w:div w:id="766926506">
          <w:marLeft w:val="0"/>
          <w:marRight w:val="0"/>
          <w:marTop w:val="0"/>
          <w:marBottom w:val="0"/>
          <w:divBdr>
            <w:top w:val="none" w:sz="0" w:space="0" w:color="auto"/>
            <w:left w:val="none" w:sz="0" w:space="0" w:color="auto"/>
            <w:bottom w:val="none" w:sz="0" w:space="0" w:color="auto"/>
            <w:right w:val="none" w:sz="0" w:space="0" w:color="auto"/>
          </w:divBdr>
          <w:divsChild>
            <w:div w:id="1966157722">
              <w:marLeft w:val="0"/>
              <w:marRight w:val="0"/>
              <w:marTop w:val="0"/>
              <w:marBottom w:val="0"/>
              <w:divBdr>
                <w:top w:val="none" w:sz="0" w:space="0" w:color="auto"/>
                <w:left w:val="none" w:sz="0" w:space="0" w:color="auto"/>
                <w:bottom w:val="none" w:sz="0" w:space="0" w:color="auto"/>
                <w:right w:val="none" w:sz="0" w:space="0" w:color="auto"/>
              </w:divBdr>
            </w:div>
          </w:divsChild>
        </w:div>
        <w:div w:id="771436247">
          <w:marLeft w:val="0"/>
          <w:marRight w:val="0"/>
          <w:marTop w:val="0"/>
          <w:marBottom w:val="0"/>
          <w:divBdr>
            <w:top w:val="none" w:sz="0" w:space="0" w:color="auto"/>
            <w:left w:val="none" w:sz="0" w:space="0" w:color="auto"/>
            <w:bottom w:val="none" w:sz="0" w:space="0" w:color="auto"/>
            <w:right w:val="none" w:sz="0" w:space="0" w:color="auto"/>
          </w:divBdr>
          <w:divsChild>
            <w:div w:id="271130941">
              <w:marLeft w:val="0"/>
              <w:marRight w:val="0"/>
              <w:marTop w:val="0"/>
              <w:marBottom w:val="0"/>
              <w:divBdr>
                <w:top w:val="none" w:sz="0" w:space="0" w:color="auto"/>
                <w:left w:val="none" w:sz="0" w:space="0" w:color="auto"/>
                <w:bottom w:val="none" w:sz="0" w:space="0" w:color="auto"/>
                <w:right w:val="none" w:sz="0" w:space="0" w:color="auto"/>
              </w:divBdr>
            </w:div>
          </w:divsChild>
        </w:div>
        <w:div w:id="781536067">
          <w:marLeft w:val="0"/>
          <w:marRight w:val="0"/>
          <w:marTop w:val="0"/>
          <w:marBottom w:val="0"/>
          <w:divBdr>
            <w:top w:val="none" w:sz="0" w:space="0" w:color="auto"/>
            <w:left w:val="none" w:sz="0" w:space="0" w:color="auto"/>
            <w:bottom w:val="none" w:sz="0" w:space="0" w:color="auto"/>
            <w:right w:val="none" w:sz="0" w:space="0" w:color="auto"/>
          </w:divBdr>
          <w:divsChild>
            <w:div w:id="754940457">
              <w:marLeft w:val="0"/>
              <w:marRight w:val="0"/>
              <w:marTop w:val="0"/>
              <w:marBottom w:val="0"/>
              <w:divBdr>
                <w:top w:val="none" w:sz="0" w:space="0" w:color="auto"/>
                <w:left w:val="none" w:sz="0" w:space="0" w:color="auto"/>
                <w:bottom w:val="none" w:sz="0" w:space="0" w:color="auto"/>
                <w:right w:val="none" w:sz="0" w:space="0" w:color="auto"/>
              </w:divBdr>
            </w:div>
          </w:divsChild>
        </w:div>
        <w:div w:id="788476814">
          <w:marLeft w:val="0"/>
          <w:marRight w:val="0"/>
          <w:marTop w:val="0"/>
          <w:marBottom w:val="0"/>
          <w:divBdr>
            <w:top w:val="none" w:sz="0" w:space="0" w:color="auto"/>
            <w:left w:val="none" w:sz="0" w:space="0" w:color="auto"/>
            <w:bottom w:val="none" w:sz="0" w:space="0" w:color="auto"/>
            <w:right w:val="none" w:sz="0" w:space="0" w:color="auto"/>
          </w:divBdr>
          <w:divsChild>
            <w:div w:id="1830517453">
              <w:marLeft w:val="0"/>
              <w:marRight w:val="0"/>
              <w:marTop w:val="0"/>
              <w:marBottom w:val="0"/>
              <w:divBdr>
                <w:top w:val="none" w:sz="0" w:space="0" w:color="auto"/>
                <w:left w:val="none" w:sz="0" w:space="0" w:color="auto"/>
                <w:bottom w:val="none" w:sz="0" w:space="0" w:color="auto"/>
                <w:right w:val="none" w:sz="0" w:space="0" w:color="auto"/>
              </w:divBdr>
            </w:div>
          </w:divsChild>
        </w:div>
        <w:div w:id="794446453">
          <w:marLeft w:val="0"/>
          <w:marRight w:val="0"/>
          <w:marTop w:val="0"/>
          <w:marBottom w:val="0"/>
          <w:divBdr>
            <w:top w:val="none" w:sz="0" w:space="0" w:color="auto"/>
            <w:left w:val="none" w:sz="0" w:space="0" w:color="auto"/>
            <w:bottom w:val="none" w:sz="0" w:space="0" w:color="auto"/>
            <w:right w:val="none" w:sz="0" w:space="0" w:color="auto"/>
          </w:divBdr>
          <w:divsChild>
            <w:div w:id="1573007535">
              <w:marLeft w:val="0"/>
              <w:marRight w:val="0"/>
              <w:marTop w:val="0"/>
              <w:marBottom w:val="0"/>
              <w:divBdr>
                <w:top w:val="none" w:sz="0" w:space="0" w:color="auto"/>
                <w:left w:val="none" w:sz="0" w:space="0" w:color="auto"/>
                <w:bottom w:val="none" w:sz="0" w:space="0" w:color="auto"/>
                <w:right w:val="none" w:sz="0" w:space="0" w:color="auto"/>
              </w:divBdr>
            </w:div>
          </w:divsChild>
        </w:div>
        <w:div w:id="802650772">
          <w:marLeft w:val="0"/>
          <w:marRight w:val="0"/>
          <w:marTop w:val="0"/>
          <w:marBottom w:val="0"/>
          <w:divBdr>
            <w:top w:val="none" w:sz="0" w:space="0" w:color="auto"/>
            <w:left w:val="none" w:sz="0" w:space="0" w:color="auto"/>
            <w:bottom w:val="none" w:sz="0" w:space="0" w:color="auto"/>
            <w:right w:val="none" w:sz="0" w:space="0" w:color="auto"/>
          </w:divBdr>
          <w:divsChild>
            <w:div w:id="450243585">
              <w:marLeft w:val="0"/>
              <w:marRight w:val="0"/>
              <w:marTop w:val="0"/>
              <w:marBottom w:val="0"/>
              <w:divBdr>
                <w:top w:val="none" w:sz="0" w:space="0" w:color="auto"/>
                <w:left w:val="none" w:sz="0" w:space="0" w:color="auto"/>
                <w:bottom w:val="none" w:sz="0" w:space="0" w:color="auto"/>
                <w:right w:val="none" w:sz="0" w:space="0" w:color="auto"/>
              </w:divBdr>
            </w:div>
            <w:div w:id="1826048526">
              <w:marLeft w:val="0"/>
              <w:marRight w:val="0"/>
              <w:marTop w:val="0"/>
              <w:marBottom w:val="0"/>
              <w:divBdr>
                <w:top w:val="none" w:sz="0" w:space="0" w:color="auto"/>
                <w:left w:val="none" w:sz="0" w:space="0" w:color="auto"/>
                <w:bottom w:val="none" w:sz="0" w:space="0" w:color="auto"/>
                <w:right w:val="none" w:sz="0" w:space="0" w:color="auto"/>
              </w:divBdr>
            </w:div>
          </w:divsChild>
        </w:div>
        <w:div w:id="803549645">
          <w:marLeft w:val="0"/>
          <w:marRight w:val="0"/>
          <w:marTop w:val="0"/>
          <w:marBottom w:val="0"/>
          <w:divBdr>
            <w:top w:val="none" w:sz="0" w:space="0" w:color="auto"/>
            <w:left w:val="none" w:sz="0" w:space="0" w:color="auto"/>
            <w:bottom w:val="none" w:sz="0" w:space="0" w:color="auto"/>
            <w:right w:val="none" w:sz="0" w:space="0" w:color="auto"/>
          </w:divBdr>
          <w:divsChild>
            <w:div w:id="1152791137">
              <w:marLeft w:val="0"/>
              <w:marRight w:val="0"/>
              <w:marTop w:val="0"/>
              <w:marBottom w:val="0"/>
              <w:divBdr>
                <w:top w:val="none" w:sz="0" w:space="0" w:color="auto"/>
                <w:left w:val="none" w:sz="0" w:space="0" w:color="auto"/>
                <w:bottom w:val="none" w:sz="0" w:space="0" w:color="auto"/>
                <w:right w:val="none" w:sz="0" w:space="0" w:color="auto"/>
              </w:divBdr>
            </w:div>
            <w:div w:id="1300107003">
              <w:marLeft w:val="0"/>
              <w:marRight w:val="0"/>
              <w:marTop w:val="0"/>
              <w:marBottom w:val="0"/>
              <w:divBdr>
                <w:top w:val="none" w:sz="0" w:space="0" w:color="auto"/>
                <w:left w:val="none" w:sz="0" w:space="0" w:color="auto"/>
                <w:bottom w:val="none" w:sz="0" w:space="0" w:color="auto"/>
                <w:right w:val="none" w:sz="0" w:space="0" w:color="auto"/>
              </w:divBdr>
            </w:div>
          </w:divsChild>
        </w:div>
        <w:div w:id="811100787">
          <w:marLeft w:val="0"/>
          <w:marRight w:val="0"/>
          <w:marTop w:val="0"/>
          <w:marBottom w:val="0"/>
          <w:divBdr>
            <w:top w:val="none" w:sz="0" w:space="0" w:color="auto"/>
            <w:left w:val="none" w:sz="0" w:space="0" w:color="auto"/>
            <w:bottom w:val="none" w:sz="0" w:space="0" w:color="auto"/>
            <w:right w:val="none" w:sz="0" w:space="0" w:color="auto"/>
          </w:divBdr>
          <w:divsChild>
            <w:div w:id="676269275">
              <w:marLeft w:val="0"/>
              <w:marRight w:val="0"/>
              <w:marTop w:val="0"/>
              <w:marBottom w:val="0"/>
              <w:divBdr>
                <w:top w:val="none" w:sz="0" w:space="0" w:color="auto"/>
                <w:left w:val="none" w:sz="0" w:space="0" w:color="auto"/>
                <w:bottom w:val="none" w:sz="0" w:space="0" w:color="auto"/>
                <w:right w:val="none" w:sz="0" w:space="0" w:color="auto"/>
              </w:divBdr>
            </w:div>
            <w:div w:id="724262259">
              <w:marLeft w:val="0"/>
              <w:marRight w:val="0"/>
              <w:marTop w:val="0"/>
              <w:marBottom w:val="0"/>
              <w:divBdr>
                <w:top w:val="none" w:sz="0" w:space="0" w:color="auto"/>
                <w:left w:val="none" w:sz="0" w:space="0" w:color="auto"/>
                <w:bottom w:val="none" w:sz="0" w:space="0" w:color="auto"/>
                <w:right w:val="none" w:sz="0" w:space="0" w:color="auto"/>
              </w:divBdr>
            </w:div>
            <w:div w:id="1198809861">
              <w:marLeft w:val="0"/>
              <w:marRight w:val="0"/>
              <w:marTop w:val="0"/>
              <w:marBottom w:val="0"/>
              <w:divBdr>
                <w:top w:val="none" w:sz="0" w:space="0" w:color="auto"/>
                <w:left w:val="none" w:sz="0" w:space="0" w:color="auto"/>
                <w:bottom w:val="none" w:sz="0" w:space="0" w:color="auto"/>
                <w:right w:val="none" w:sz="0" w:space="0" w:color="auto"/>
              </w:divBdr>
            </w:div>
            <w:div w:id="1725761257">
              <w:marLeft w:val="0"/>
              <w:marRight w:val="0"/>
              <w:marTop w:val="0"/>
              <w:marBottom w:val="0"/>
              <w:divBdr>
                <w:top w:val="none" w:sz="0" w:space="0" w:color="auto"/>
                <w:left w:val="none" w:sz="0" w:space="0" w:color="auto"/>
                <w:bottom w:val="none" w:sz="0" w:space="0" w:color="auto"/>
                <w:right w:val="none" w:sz="0" w:space="0" w:color="auto"/>
              </w:divBdr>
            </w:div>
          </w:divsChild>
        </w:div>
        <w:div w:id="817847274">
          <w:marLeft w:val="0"/>
          <w:marRight w:val="0"/>
          <w:marTop w:val="0"/>
          <w:marBottom w:val="0"/>
          <w:divBdr>
            <w:top w:val="none" w:sz="0" w:space="0" w:color="auto"/>
            <w:left w:val="none" w:sz="0" w:space="0" w:color="auto"/>
            <w:bottom w:val="none" w:sz="0" w:space="0" w:color="auto"/>
            <w:right w:val="none" w:sz="0" w:space="0" w:color="auto"/>
          </w:divBdr>
          <w:divsChild>
            <w:div w:id="1350253410">
              <w:marLeft w:val="0"/>
              <w:marRight w:val="0"/>
              <w:marTop w:val="0"/>
              <w:marBottom w:val="0"/>
              <w:divBdr>
                <w:top w:val="none" w:sz="0" w:space="0" w:color="auto"/>
                <w:left w:val="none" w:sz="0" w:space="0" w:color="auto"/>
                <w:bottom w:val="none" w:sz="0" w:space="0" w:color="auto"/>
                <w:right w:val="none" w:sz="0" w:space="0" w:color="auto"/>
              </w:divBdr>
            </w:div>
          </w:divsChild>
        </w:div>
        <w:div w:id="818037400">
          <w:marLeft w:val="0"/>
          <w:marRight w:val="0"/>
          <w:marTop w:val="0"/>
          <w:marBottom w:val="0"/>
          <w:divBdr>
            <w:top w:val="none" w:sz="0" w:space="0" w:color="auto"/>
            <w:left w:val="none" w:sz="0" w:space="0" w:color="auto"/>
            <w:bottom w:val="none" w:sz="0" w:space="0" w:color="auto"/>
            <w:right w:val="none" w:sz="0" w:space="0" w:color="auto"/>
          </w:divBdr>
          <w:divsChild>
            <w:div w:id="1844929981">
              <w:marLeft w:val="0"/>
              <w:marRight w:val="0"/>
              <w:marTop w:val="0"/>
              <w:marBottom w:val="0"/>
              <w:divBdr>
                <w:top w:val="none" w:sz="0" w:space="0" w:color="auto"/>
                <w:left w:val="none" w:sz="0" w:space="0" w:color="auto"/>
                <w:bottom w:val="none" w:sz="0" w:space="0" w:color="auto"/>
                <w:right w:val="none" w:sz="0" w:space="0" w:color="auto"/>
              </w:divBdr>
            </w:div>
          </w:divsChild>
        </w:div>
        <w:div w:id="824206921">
          <w:marLeft w:val="0"/>
          <w:marRight w:val="0"/>
          <w:marTop w:val="0"/>
          <w:marBottom w:val="0"/>
          <w:divBdr>
            <w:top w:val="none" w:sz="0" w:space="0" w:color="auto"/>
            <w:left w:val="none" w:sz="0" w:space="0" w:color="auto"/>
            <w:bottom w:val="none" w:sz="0" w:space="0" w:color="auto"/>
            <w:right w:val="none" w:sz="0" w:space="0" w:color="auto"/>
          </w:divBdr>
          <w:divsChild>
            <w:div w:id="2144812474">
              <w:marLeft w:val="0"/>
              <w:marRight w:val="0"/>
              <w:marTop w:val="0"/>
              <w:marBottom w:val="0"/>
              <w:divBdr>
                <w:top w:val="none" w:sz="0" w:space="0" w:color="auto"/>
                <w:left w:val="none" w:sz="0" w:space="0" w:color="auto"/>
                <w:bottom w:val="none" w:sz="0" w:space="0" w:color="auto"/>
                <w:right w:val="none" w:sz="0" w:space="0" w:color="auto"/>
              </w:divBdr>
            </w:div>
          </w:divsChild>
        </w:div>
        <w:div w:id="828835852">
          <w:marLeft w:val="0"/>
          <w:marRight w:val="0"/>
          <w:marTop w:val="0"/>
          <w:marBottom w:val="0"/>
          <w:divBdr>
            <w:top w:val="none" w:sz="0" w:space="0" w:color="auto"/>
            <w:left w:val="none" w:sz="0" w:space="0" w:color="auto"/>
            <w:bottom w:val="none" w:sz="0" w:space="0" w:color="auto"/>
            <w:right w:val="none" w:sz="0" w:space="0" w:color="auto"/>
          </w:divBdr>
          <w:divsChild>
            <w:div w:id="206263757">
              <w:marLeft w:val="0"/>
              <w:marRight w:val="0"/>
              <w:marTop w:val="0"/>
              <w:marBottom w:val="0"/>
              <w:divBdr>
                <w:top w:val="none" w:sz="0" w:space="0" w:color="auto"/>
                <w:left w:val="none" w:sz="0" w:space="0" w:color="auto"/>
                <w:bottom w:val="none" w:sz="0" w:space="0" w:color="auto"/>
                <w:right w:val="none" w:sz="0" w:space="0" w:color="auto"/>
              </w:divBdr>
            </w:div>
          </w:divsChild>
        </w:div>
        <w:div w:id="830221254">
          <w:marLeft w:val="0"/>
          <w:marRight w:val="0"/>
          <w:marTop w:val="0"/>
          <w:marBottom w:val="0"/>
          <w:divBdr>
            <w:top w:val="none" w:sz="0" w:space="0" w:color="auto"/>
            <w:left w:val="none" w:sz="0" w:space="0" w:color="auto"/>
            <w:bottom w:val="none" w:sz="0" w:space="0" w:color="auto"/>
            <w:right w:val="none" w:sz="0" w:space="0" w:color="auto"/>
          </w:divBdr>
          <w:divsChild>
            <w:div w:id="993485128">
              <w:marLeft w:val="0"/>
              <w:marRight w:val="0"/>
              <w:marTop w:val="0"/>
              <w:marBottom w:val="0"/>
              <w:divBdr>
                <w:top w:val="none" w:sz="0" w:space="0" w:color="auto"/>
                <w:left w:val="none" w:sz="0" w:space="0" w:color="auto"/>
                <w:bottom w:val="none" w:sz="0" w:space="0" w:color="auto"/>
                <w:right w:val="none" w:sz="0" w:space="0" w:color="auto"/>
              </w:divBdr>
            </w:div>
            <w:div w:id="2099717127">
              <w:marLeft w:val="0"/>
              <w:marRight w:val="0"/>
              <w:marTop w:val="0"/>
              <w:marBottom w:val="0"/>
              <w:divBdr>
                <w:top w:val="none" w:sz="0" w:space="0" w:color="auto"/>
                <w:left w:val="none" w:sz="0" w:space="0" w:color="auto"/>
                <w:bottom w:val="none" w:sz="0" w:space="0" w:color="auto"/>
                <w:right w:val="none" w:sz="0" w:space="0" w:color="auto"/>
              </w:divBdr>
            </w:div>
          </w:divsChild>
        </w:div>
        <w:div w:id="835388736">
          <w:marLeft w:val="0"/>
          <w:marRight w:val="0"/>
          <w:marTop w:val="0"/>
          <w:marBottom w:val="0"/>
          <w:divBdr>
            <w:top w:val="none" w:sz="0" w:space="0" w:color="auto"/>
            <w:left w:val="none" w:sz="0" w:space="0" w:color="auto"/>
            <w:bottom w:val="none" w:sz="0" w:space="0" w:color="auto"/>
            <w:right w:val="none" w:sz="0" w:space="0" w:color="auto"/>
          </w:divBdr>
          <w:divsChild>
            <w:div w:id="1561818879">
              <w:marLeft w:val="0"/>
              <w:marRight w:val="0"/>
              <w:marTop w:val="0"/>
              <w:marBottom w:val="0"/>
              <w:divBdr>
                <w:top w:val="none" w:sz="0" w:space="0" w:color="auto"/>
                <w:left w:val="none" w:sz="0" w:space="0" w:color="auto"/>
                <w:bottom w:val="none" w:sz="0" w:space="0" w:color="auto"/>
                <w:right w:val="none" w:sz="0" w:space="0" w:color="auto"/>
              </w:divBdr>
            </w:div>
          </w:divsChild>
        </w:div>
        <w:div w:id="837964810">
          <w:marLeft w:val="0"/>
          <w:marRight w:val="0"/>
          <w:marTop w:val="0"/>
          <w:marBottom w:val="0"/>
          <w:divBdr>
            <w:top w:val="none" w:sz="0" w:space="0" w:color="auto"/>
            <w:left w:val="none" w:sz="0" w:space="0" w:color="auto"/>
            <w:bottom w:val="none" w:sz="0" w:space="0" w:color="auto"/>
            <w:right w:val="none" w:sz="0" w:space="0" w:color="auto"/>
          </w:divBdr>
          <w:divsChild>
            <w:div w:id="1801069959">
              <w:marLeft w:val="0"/>
              <w:marRight w:val="0"/>
              <w:marTop w:val="0"/>
              <w:marBottom w:val="0"/>
              <w:divBdr>
                <w:top w:val="none" w:sz="0" w:space="0" w:color="auto"/>
                <w:left w:val="none" w:sz="0" w:space="0" w:color="auto"/>
                <w:bottom w:val="none" w:sz="0" w:space="0" w:color="auto"/>
                <w:right w:val="none" w:sz="0" w:space="0" w:color="auto"/>
              </w:divBdr>
            </w:div>
          </w:divsChild>
        </w:div>
        <w:div w:id="840313629">
          <w:marLeft w:val="0"/>
          <w:marRight w:val="0"/>
          <w:marTop w:val="0"/>
          <w:marBottom w:val="0"/>
          <w:divBdr>
            <w:top w:val="none" w:sz="0" w:space="0" w:color="auto"/>
            <w:left w:val="none" w:sz="0" w:space="0" w:color="auto"/>
            <w:bottom w:val="none" w:sz="0" w:space="0" w:color="auto"/>
            <w:right w:val="none" w:sz="0" w:space="0" w:color="auto"/>
          </w:divBdr>
          <w:divsChild>
            <w:div w:id="1480535385">
              <w:marLeft w:val="0"/>
              <w:marRight w:val="0"/>
              <w:marTop w:val="0"/>
              <w:marBottom w:val="0"/>
              <w:divBdr>
                <w:top w:val="none" w:sz="0" w:space="0" w:color="auto"/>
                <w:left w:val="none" w:sz="0" w:space="0" w:color="auto"/>
                <w:bottom w:val="none" w:sz="0" w:space="0" w:color="auto"/>
                <w:right w:val="none" w:sz="0" w:space="0" w:color="auto"/>
              </w:divBdr>
            </w:div>
          </w:divsChild>
        </w:div>
        <w:div w:id="842163589">
          <w:marLeft w:val="0"/>
          <w:marRight w:val="0"/>
          <w:marTop w:val="0"/>
          <w:marBottom w:val="0"/>
          <w:divBdr>
            <w:top w:val="none" w:sz="0" w:space="0" w:color="auto"/>
            <w:left w:val="none" w:sz="0" w:space="0" w:color="auto"/>
            <w:bottom w:val="none" w:sz="0" w:space="0" w:color="auto"/>
            <w:right w:val="none" w:sz="0" w:space="0" w:color="auto"/>
          </w:divBdr>
          <w:divsChild>
            <w:div w:id="1373261624">
              <w:marLeft w:val="0"/>
              <w:marRight w:val="0"/>
              <w:marTop w:val="0"/>
              <w:marBottom w:val="0"/>
              <w:divBdr>
                <w:top w:val="none" w:sz="0" w:space="0" w:color="auto"/>
                <w:left w:val="none" w:sz="0" w:space="0" w:color="auto"/>
                <w:bottom w:val="none" w:sz="0" w:space="0" w:color="auto"/>
                <w:right w:val="none" w:sz="0" w:space="0" w:color="auto"/>
              </w:divBdr>
            </w:div>
          </w:divsChild>
        </w:div>
        <w:div w:id="847595679">
          <w:marLeft w:val="0"/>
          <w:marRight w:val="0"/>
          <w:marTop w:val="0"/>
          <w:marBottom w:val="0"/>
          <w:divBdr>
            <w:top w:val="none" w:sz="0" w:space="0" w:color="auto"/>
            <w:left w:val="none" w:sz="0" w:space="0" w:color="auto"/>
            <w:bottom w:val="none" w:sz="0" w:space="0" w:color="auto"/>
            <w:right w:val="none" w:sz="0" w:space="0" w:color="auto"/>
          </w:divBdr>
          <w:divsChild>
            <w:div w:id="549457779">
              <w:marLeft w:val="0"/>
              <w:marRight w:val="0"/>
              <w:marTop w:val="0"/>
              <w:marBottom w:val="0"/>
              <w:divBdr>
                <w:top w:val="none" w:sz="0" w:space="0" w:color="auto"/>
                <w:left w:val="none" w:sz="0" w:space="0" w:color="auto"/>
                <w:bottom w:val="none" w:sz="0" w:space="0" w:color="auto"/>
                <w:right w:val="none" w:sz="0" w:space="0" w:color="auto"/>
              </w:divBdr>
            </w:div>
          </w:divsChild>
        </w:div>
        <w:div w:id="853961253">
          <w:marLeft w:val="0"/>
          <w:marRight w:val="0"/>
          <w:marTop w:val="0"/>
          <w:marBottom w:val="0"/>
          <w:divBdr>
            <w:top w:val="none" w:sz="0" w:space="0" w:color="auto"/>
            <w:left w:val="none" w:sz="0" w:space="0" w:color="auto"/>
            <w:bottom w:val="none" w:sz="0" w:space="0" w:color="auto"/>
            <w:right w:val="none" w:sz="0" w:space="0" w:color="auto"/>
          </w:divBdr>
          <w:divsChild>
            <w:div w:id="1921325429">
              <w:marLeft w:val="0"/>
              <w:marRight w:val="0"/>
              <w:marTop w:val="0"/>
              <w:marBottom w:val="0"/>
              <w:divBdr>
                <w:top w:val="none" w:sz="0" w:space="0" w:color="auto"/>
                <w:left w:val="none" w:sz="0" w:space="0" w:color="auto"/>
                <w:bottom w:val="none" w:sz="0" w:space="0" w:color="auto"/>
                <w:right w:val="none" w:sz="0" w:space="0" w:color="auto"/>
              </w:divBdr>
            </w:div>
          </w:divsChild>
        </w:div>
        <w:div w:id="857698614">
          <w:marLeft w:val="0"/>
          <w:marRight w:val="0"/>
          <w:marTop w:val="0"/>
          <w:marBottom w:val="0"/>
          <w:divBdr>
            <w:top w:val="none" w:sz="0" w:space="0" w:color="auto"/>
            <w:left w:val="none" w:sz="0" w:space="0" w:color="auto"/>
            <w:bottom w:val="none" w:sz="0" w:space="0" w:color="auto"/>
            <w:right w:val="none" w:sz="0" w:space="0" w:color="auto"/>
          </w:divBdr>
          <w:divsChild>
            <w:div w:id="1609002143">
              <w:marLeft w:val="0"/>
              <w:marRight w:val="0"/>
              <w:marTop w:val="0"/>
              <w:marBottom w:val="0"/>
              <w:divBdr>
                <w:top w:val="none" w:sz="0" w:space="0" w:color="auto"/>
                <w:left w:val="none" w:sz="0" w:space="0" w:color="auto"/>
                <w:bottom w:val="none" w:sz="0" w:space="0" w:color="auto"/>
                <w:right w:val="none" w:sz="0" w:space="0" w:color="auto"/>
              </w:divBdr>
            </w:div>
          </w:divsChild>
        </w:div>
        <w:div w:id="862015014">
          <w:marLeft w:val="0"/>
          <w:marRight w:val="0"/>
          <w:marTop w:val="0"/>
          <w:marBottom w:val="0"/>
          <w:divBdr>
            <w:top w:val="none" w:sz="0" w:space="0" w:color="auto"/>
            <w:left w:val="none" w:sz="0" w:space="0" w:color="auto"/>
            <w:bottom w:val="none" w:sz="0" w:space="0" w:color="auto"/>
            <w:right w:val="none" w:sz="0" w:space="0" w:color="auto"/>
          </w:divBdr>
          <w:divsChild>
            <w:div w:id="1840120623">
              <w:marLeft w:val="0"/>
              <w:marRight w:val="0"/>
              <w:marTop w:val="0"/>
              <w:marBottom w:val="0"/>
              <w:divBdr>
                <w:top w:val="none" w:sz="0" w:space="0" w:color="auto"/>
                <w:left w:val="none" w:sz="0" w:space="0" w:color="auto"/>
                <w:bottom w:val="none" w:sz="0" w:space="0" w:color="auto"/>
                <w:right w:val="none" w:sz="0" w:space="0" w:color="auto"/>
              </w:divBdr>
            </w:div>
          </w:divsChild>
        </w:div>
        <w:div w:id="877546243">
          <w:marLeft w:val="0"/>
          <w:marRight w:val="0"/>
          <w:marTop w:val="0"/>
          <w:marBottom w:val="0"/>
          <w:divBdr>
            <w:top w:val="none" w:sz="0" w:space="0" w:color="auto"/>
            <w:left w:val="none" w:sz="0" w:space="0" w:color="auto"/>
            <w:bottom w:val="none" w:sz="0" w:space="0" w:color="auto"/>
            <w:right w:val="none" w:sz="0" w:space="0" w:color="auto"/>
          </w:divBdr>
          <w:divsChild>
            <w:div w:id="1243099554">
              <w:marLeft w:val="0"/>
              <w:marRight w:val="0"/>
              <w:marTop w:val="0"/>
              <w:marBottom w:val="0"/>
              <w:divBdr>
                <w:top w:val="none" w:sz="0" w:space="0" w:color="auto"/>
                <w:left w:val="none" w:sz="0" w:space="0" w:color="auto"/>
                <w:bottom w:val="none" w:sz="0" w:space="0" w:color="auto"/>
                <w:right w:val="none" w:sz="0" w:space="0" w:color="auto"/>
              </w:divBdr>
            </w:div>
          </w:divsChild>
        </w:div>
        <w:div w:id="878542640">
          <w:marLeft w:val="0"/>
          <w:marRight w:val="0"/>
          <w:marTop w:val="0"/>
          <w:marBottom w:val="0"/>
          <w:divBdr>
            <w:top w:val="none" w:sz="0" w:space="0" w:color="auto"/>
            <w:left w:val="none" w:sz="0" w:space="0" w:color="auto"/>
            <w:bottom w:val="none" w:sz="0" w:space="0" w:color="auto"/>
            <w:right w:val="none" w:sz="0" w:space="0" w:color="auto"/>
          </w:divBdr>
          <w:divsChild>
            <w:div w:id="759911324">
              <w:marLeft w:val="0"/>
              <w:marRight w:val="0"/>
              <w:marTop w:val="0"/>
              <w:marBottom w:val="0"/>
              <w:divBdr>
                <w:top w:val="none" w:sz="0" w:space="0" w:color="auto"/>
                <w:left w:val="none" w:sz="0" w:space="0" w:color="auto"/>
                <w:bottom w:val="none" w:sz="0" w:space="0" w:color="auto"/>
                <w:right w:val="none" w:sz="0" w:space="0" w:color="auto"/>
              </w:divBdr>
            </w:div>
          </w:divsChild>
        </w:div>
        <w:div w:id="883520167">
          <w:marLeft w:val="0"/>
          <w:marRight w:val="0"/>
          <w:marTop w:val="0"/>
          <w:marBottom w:val="0"/>
          <w:divBdr>
            <w:top w:val="none" w:sz="0" w:space="0" w:color="auto"/>
            <w:left w:val="none" w:sz="0" w:space="0" w:color="auto"/>
            <w:bottom w:val="none" w:sz="0" w:space="0" w:color="auto"/>
            <w:right w:val="none" w:sz="0" w:space="0" w:color="auto"/>
          </w:divBdr>
          <w:divsChild>
            <w:div w:id="362368295">
              <w:marLeft w:val="0"/>
              <w:marRight w:val="0"/>
              <w:marTop w:val="0"/>
              <w:marBottom w:val="0"/>
              <w:divBdr>
                <w:top w:val="none" w:sz="0" w:space="0" w:color="auto"/>
                <w:left w:val="none" w:sz="0" w:space="0" w:color="auto"/>
                <w:bottom w:val="none" w:sz="0" w:space="0" w:color="auto"/>
                <w:right w:val="none" w:sz="0" w:space="0" w:color="auto"/>
              </w:divBdr>
            </w:div>
            <w:div w:id="1367103832">
              <w:marLeft w:val="0"/>
              <w:marRight w:val="0"/>
              <w:marTop w:val="0"/>
              <w:marBottom w:val="0"/>
              <w:divBdr>
                <w:top w:val="none" w:sz="0" w:space="0" w:color="auto"/>
                <w:left w:val="none" w:sz="0" w:space="0" w:color="auto"/>
                <w:bottom w:val="none" w:sz="0" w:space="0" w:color="auto"/>
                <w:right w:val="none" w:sz="0" w:space="0" w:color="auto"/>
              </w:divBdr>
            </w:div>
            <w:div w:id="1659306059">
              <w:marLeft w:val="0"/>
              <w:marRight w:val="0"/>
              <w:marTop w:val="0"/>
              <w:marBottom w:val="0"/>
              <w:divBdr>
                <w:top w:val="none" w:sz="0" w:space="0" w:color="auto"/>
                <w:left w:val="none" w:sz="0" w:space="0" w:color="auto"/>
                <w:bottom w:val="none" w:sz="0" w:space="0" w:color="auto"/>
                <w:right w:val="none" w:sz="0" w:space="0" w:color="auto"/>
              </w:divBdr>
            </w:div>
          </w:divsChild>
        </w:div>
        <w:div w:id="888879167">
          <w:marLeft w:val="0"/>
          <w:marRight w:val="0"/>
          <w:marTop w:val="0"/>
          <w:marBottom w:val="0"/>
          <w:divBdr>
            <w:top w:val="none" w:sz="0" w:space="0" w:color="auto"/>
            <w:left w:val="none" w:sz="0" w:space="0" w:color="auto"/>
            <w:bottom w:val="none" w:sz="0" w:space="0" w:color="auto"/>
            <w:right w:val="none" w:sz="0" w:space="0" w:color="auto"/>
          </w:divBdr>
          <w:divsChild>
            <w:div w:id="2010398505">
              <w:marLeft w:val="0"/>
              <w:marRight w:val="0"/>
              <w:marTop w:val="0"/>
              <w:marBottom w:val="0"/>
              <w:divBdr>
                <w:top w:val="none" w:sz="0" w:space="0" w:color="auto"/>
                <w:left w:val="none" w:sz="0" w:space="0" w:color="auto"/>
                <w:bottom w:val="none" w:sz="0" w:space="0" w:color="auto"/>
                <w:right w:val="none" w:sz="0" w:space="0" w:color="auto"/>
              </w:divBdr>
            </w:div>
          </w:divsChild>
        </w:div>
        <w:div w:id="890071541">
          <w:marLeft w:val="0"/>
          <w:marRight w:val="0"/>
          <w:marTop w:val="0"/>
          <w:marBottom w:val="0"/>
          <w:divBdr>
            <w:top w:val="none" w:sz="0" w:space="0" w:color="auto"/>
            <w:left w:val="none" w:sz="0" w:space="0" w:color="auto"/>
            <w:bottom w:val="none" w:sz="0" w:space="0" w:color="auto"/>
            <w:right w:val="none" w:sz="0" w:space="0" w:color="auto"/>
          </w:divBdr>
          <w:divsChild>
            <w:div w:id="466316240">
              <w:marLeft w:val="0"/>
              <w:marRight w:val="0"/>
              <w:marTop w:val="0"/>
              <w:marBottom w:val="0"/>
              <w:divBdr>
                <w:top w:val="none" w:sz="0" w:space="0" w:color="auto"/>
                <w:left w:val="none" w:sz="0" w:space="0" w:color="auto"/>
                <w:bottom w:val="none" w:sz="0" w:space="0" w:color="auto"/>
                <w:right w:val="none" w:sz="0" w:space="0" w:color="auto"/>
              </w:divBdr>
            </w:div>
          </w:divsChild>
        </w:div>
        <w:div w:id="891037357">
          <w:marLeft w:val="0"/>
          <w:marRight w:val="0"/>
          <w:marTop w:val="0"/>
          <w:marBottom w:val="0"/>
          <w:divBdr>
            <w:top w:val="none" w:sz="0" w:space="0" w:color="auto"/>
            <w:left w:val="none" w:sz="0" w:space="0" w:color="auto"/>
            <w:bottom w:val="none" w:sz="0" w:space="0" w:color="auto"/>
            <w:right w:val="none" w:sz="0" w:space="0" w:color="auto"/>
          </w:divBdr>
          <w:divsChild>
            <w:div w:id="1495997240">
              <w:marLeft w:val="0"/>
              <w:marRight w:val="0"/>
              <w:marTop w:val="0"/>
              <w:marBottom w:val="0"/>
              <w:divBdr>
                <w:top w:val="none" w:sz="0" w:space="0" w:color="auto"/>
                <w:left w:val="none" w:sz="0" w:space="0" w:color="auto"/>
                <w:bottom w:val="none" w:sz="0" w:space="0" w:color="auto"/>
                <w:right w:val="none" w:sz="0" w:space="0" w:color="auto"/>
              </w:divBdr>
            </w:div>
          </w:divsChild>
        </w:div>
        <w:div w:id="891230352">
          <w:marLeft w:val="0"/>
          <w:marRight w:val="0"/>
          <w:marTop w:val="0"/>
          <w:marBottom w:val="0"/>
          <w:divBdr>
            <w:top w:val="none" w:sz="0" w:space="0" w:color="auto"/>
            <w:left w:val="none" w:sz="0" w:space="0" w:color="auto"/>
            <w:bottom w:val="none" w:sz="0" w:space="0" w:color="auto"/>
            <w:right w:val="none" w:sz="0" w:space="0" w:color="auto"/>
          </w:divBdr>
          <w:divsChild>
            <w:div w:id="1458331429">
              <w:marLeft w:val="0"/>
              <w:marRight w:val="0"/>
              <w:marTop w:val="0"/>
              <w:marBottom w:val="0"/>
              <w:divBdr>
                <w:top w:val="none" w:sz="0" w:space="0" w:color="auto"/>
                <w:left w:val="none" w:sz="0" w:space="0" w:color="auto"/>
                <w:bottom w:val="none" w:sz="0" w:space="0" w:color="auto"/>
                <w:right w:val="none" w:sz="0" w:space="0" w:color="auto"/>
              </w:divBdr>
            </w:div>
          </w:divsChild>
        </w:div>
        <w:div w:id="896168736">
          <w:marLeft w:val="0"/>
          <w:marRight w:val="0"/>
          <w:marTop w:val="0"/>
          <w:marBottom w:val="0"/>
          <w:divBdr>
            <w:top w:val="none" w:sz="0" w:space="0" w:color="auto"/>
            <w:left w:val="none" w:sz="0" w:space="0" w:color="auto"/>
            <w:bottom w:val="none" w:sz="0" w:space="0" w:color="auto"/>
            <w:right w:val="none" w:sz="0" w:space="0" w:color="auto"/>
          </w:divBdr>
          <w:divsChild>
            <w:div w:id="1390572914">
              <w:marLeft w:val="0"/>
              <w:marRight w:val="0"/>
              <w:marTop w:val="0"/>
              <w:marBottom w:val="0"/>
              <w:divBdr>
                <w:top w:val="none" w:sz="0" w:space="0" w:color="auto"/>
                <w:left w:val="none" w:sz="0" w:space="0" w:color="auto"/>
                <w:bottom w:val="none" w:sz="0" w:space="0" w:color="auto"/>
                <w:right w:val="none" w:sz="0" w:space="0" w:color="auto"/>
              </w:divBdr>
            </w:div>
          </w:divsChild>
        </w:div>
        <w:div w:id="902912544">
          <w:marLeft w:val="0"/>
          <w:marRight w:val="0"/>
          <w:marTop w:val="0"/>
          <w:marBottom w:val="0"/>
          <w:divBdr>
            <w:top w:val="none" w:sz="0" w:space="0" w:color="auto"/>
            <w:left w:val="none" w:sz="0" w:space="0" w:color="auto"/>
            <w:bottom w:val="none" w:sz="0" w:space="0" w:color="auto"/>
            <w:right w:val="none" w:sz="0" w:space="0" w:color="auto"/>
          </w:divBdr>
          <w:divsChild>
            <w:div w:id="126629587">
              <w:marLeft w:val="0"/>
              <w:marRight w:val="0"/>
              <w:marTop w:val="0"/>
              <w:marBottom w:val="0"/>
              <w:divBdr>
                <w:top w:val="none" w:sz="0" w:space="0" w:color="auto"/>
                <w:left w:val="none" w:sz="0" w:space="0" w:color="auto"/>
                <w:bottom w:val="none" w:sz="0" w:space="0" w:color="auto"/>
                <w:right w:val="none" w:sz="0" w:space="0" w:color="auto"/>
              </w:divBdr>
            </w:div>
            <w:div w:id="144250144">
              <w:marLeft w:val="0"/>
              <w:marRight w:val="0"/>
              <w:marTop w:val="0"/>
              <w:marBottom w:val="0"/>
              <w:divBdr>
                <w:top w:val="none" w:sz="0" w:space="0" w:color="auto"/>
                <w:left w:val="none" w:sz="0" w:space="0" w:color="auto"/>
                <w:bottom w:val="none" w:sz="0" w:space="0" w:color="auto"/>
                <w:right w:val="none" w:sz="0" w:space="0" w:color="auto"/>
              </w:divBdr>
            </w:div>
            <w:div w:id="146744856">
              <w:marLeft w:val="0"/>
              <w:marRight w:val="0"/>
              <w:marTop w:val="0"/>
              <w:marBottom w:val="0"/>
              <w:divBdr>
                <w:top w:val="none" w:sz="0" w:space="0" w:color="auto"/>
                <w:left w:val="none" w:sz="0" w:space="0" w:color="auto"/>
                <w:bottom w:val="none" w:sz="0" w:space="0" w:color="auto"/>
                <w:right w:val="none" w:sz="0" w:space="0" w:color="auto"/>
              </w:divBdr>
            </w:div>
            <w:div w:id="432633564">
              <w:marLeft w:val="0"/>
              <w:marRight w:val="0"/>
              <w:marTop w:val="0"/>
              <w:marBottom w:val="0"/>
              <w:divBdr>
                <w:top w:val="none" w:sz="0" w:space="0" w:color="auto"/>
                <w:left w:val="none" w:sz="0" w:space="0" w:color="auto"/>
                <w:bottom w:val="none" w:sz="0" w:space="0" w:color="auto"/>
                <w:right w:val="none" w:sz="0" w:space="0" w:color="auto"/>
              </w:divBdr>
            </w:div>
            <w:div w:id="467625738">
              <w:marLeft w:val="0"/>
              <w:marRight w:val="0"/>
              <w:marTop w:val="0"/>
              <w:marBottom w:val="0"/>
              <w:divBdr>
                <w:top w:val="none" w:sz="0" w:space="0" w:color="auto"/>
                <w:left w:val="none" w:sz="0" w:space="0" w:color="auto"/>
                <w:bottom w:val="none" w:sz="0" w:space="0" w:color="auto"/>
                <w:right w:val="none" w:sz="0" w:space="0" w:color="auto"/>
              </w:divBdr>
            </w:div>
            <w:div w:id="472017050">
              <w:marLeft w:val="0"/>
              <w:marRight w:val="0"/>
              <w:marTop w:val="0"/>
              <w:marBottom w:val="0"/>
              <w:divBdr>
                <w:top w:val="none" w:sz="0" w:space="0" w:color="auto"/>
                <w:left w:val="none" w:sz="0" w:space="0" w:color="auto"/>
                <w:bottom w:val="none" w:sz="0" w:space="0" w:color="auto"/>
                <w:right w:val="none" w:sz="0" w:space="0" w:color="auto"/>
              </w:divBdr>
            </w:div>
            <w:div w:id="653024260">
              <w:marLeft w:val="0"/>
              <w:marRight w:val="0"/>
              <w:marTop w:val="0"/>
              <w:marBottom w:val="0"/>
              <w:divBdr>
                <w:top w:val="none" w:sz="0" w:space="0" w:color="auto"/>
                <w:left w:val="none" w:sz="0" w:space="0" w:color="auto"/>
                <w:bottom w:val="none" w:sz="0" w:space="0" w:color="auto"/>
                <w:right w:val="none" w:sz="0" w:space="0" w:color="auto"/>
              </w:divBdr>
            </w:div>
            <w:div w:id="910889689">
              <w:marLeft w:val="0"/>
              <w:marRight w:val="0"/>
              <w:marTop w:val="0"/>
              <w:marBottom w:val="0"/>
              <w:divBdr>
                <w:top w:val="none" w:sz="0" w:space="0" w:color="auto"/>
                <w:left w:val="none" w:sz="0" w:space="0" w:color="auto"/>
                <w:bottom w:val="none" w:sz="0" w:space="0" w:color="auto"/>
                <w:right w:val="none" w:sz="0" w:space="0" w:color="auto"/>
              </w:divBdr>
            </w:div>
            <w:div w:id="1635401874">
              <w:marLeft w:val="0"/>
              <w:marRight w:val="0"/>
              <w:marTop w:val="0"/>
              <w:marBottom w:val="0"/>
              <w:divBdr>
                <w:top w:val="none" w:sz="0" w:space="0" w:color="auto"/>
                <w:left w:val="none" w:sz="0" w:space="0" w:color="auto"/>
                <w:bottom w:val="none" w:sz="0" w:space="0" w:color="auto"/>
                <w:right w:val="none" w:sz="0" w:space="0" w:color="auto"/>
              </w:divBdr>
            </w:div>
            <w:div w:id="1956714492">
              <w:marLeft w:val="0"/>
              <w:marRight w:val="0"/>
              <w:marTop w:val="0"/>
              <w:marBottom w:val="0"/>
              <w:divBdr>
                <w:top w:val="none" w:sz="0" w:space="0" w:color="auto"/>
                <w:left w:val="none" w:sz="0" w:space="0" w:color="auto"/>
                <w:bottom w:val="none" w:sz="0" w:space="0" w:color="auto"/>
                <w:right w:val="none" w:sz="0" w:space="0" w:color="auto"/>
              </w:divBdr>
            </w:div>
            <w:div w:id="2071884992">
              <w:marLeft w:val="0"/>
              <w:marRight w:val="0"/>
              <w:marTop w:val="0"/>
              <w:marBottom w:val="0"/>
              <w:divBdr>
                <w:top w:val="none" w:sz="0" w:space="0" w:color="auto"/>
                <w:left w:val="none" w:sz="0" w:space="0" w:color="auto"/>
                <w:bottom w:val="none" w:sz="0" w:space="0" w:color="auto"/>
                <w:right w:val="none" w:sz="0" w:space="0" w:color="auto"/>
              </w:divBdr>
            </w:div>
          </w:divsChild>
        </w:div>
        <w:div w:id="906110632">
          <w:marLeft w:val="0"/>
          <w:marRight w:val="0"/>
          <w:marTop w:val="0"/>
          <w:marBottom w:val="0"/>
          <w:divBdr>
            <w:top w:val="none" w:sz="0" w:space="0" w:color="auto"/>
            <w:left w:val="none" w:sz="0" w:space="0" w:color="auto"/>
            <w:bottom w:val="none" w:sz="0" w:space="0" w:color="auto"/>
            <w:right w:val="none" w:sz="0" w:space="0" w:color="auto"/>
          </w:divBdr>
          <w:divsChild>
            <w:div w:id="1849825743">
              <w:marLeft w:val="0"/>
              <w:marRight w:val="0"/>
              <w:marTop w:val="0"/>
              <w:marBottom w:val="0"/>
              <w:divBdr>
                <w:top w:val="none" w:sz="0" w:space="0" w:color="auto"/>
                <w:left w:val="none" w:sz="0" w:space="0" w:color="auto"/>
                <w:bottom w:val="none" w:sz="0" w:space="0" w:color="auto"/>
                <w:right w:val="none" w:sz="0" w:space="0" w:color="auto"/>
              </w:divBdr>
            </w:div>
          </w:divsChild>
        </w:div>
        <w:div w:id="911358171">
          <w:marLeft w:val="0"/>
          <w:marRight w:val="0"/>
          <w:marTop w:val="0"/>
          <w:marBottom w:val="0"/>
          <w:divBdr>
            <w:top w:val="none" w:sz="0" w:space="0" w:color="auto"/>
            <w:left w:val="none" w:sz="0" w:space="0" w:color="auto"/>
            <w:bottom w:val="none" w:sz="0" w:space="0" w:color="auto"/>
            <w:right w:val="none" w:sz="0" w:space="0" w:color="auto"/>
          </w:divBdr>
          <w:divsChild>
            <w:div w:id="1060061070">
              <w:marLeft w:val="0"/>
              <w:marRight w:val="0"/>
              <w:marTop w:val="0"/>
              <w:marBottom w:val="0"/>
              <w:divBdr>
                <w:top w:val="none" w:sz="0" w:space="0" w:color="auto"/>
                <w:left w:val="none" w:sz="0" w:space="0" w:color="auto"/>
                <w:bottom w:val="none" w:sz="0" w:space="0" w:color="auto"/>
                <w:right w:val="none" w:sz="0" w:space="0" w:color="auto"/>
              </w:divBdr>
            </w:div>
            <w:div w:id="1989358197">
              <w:marLeft w:val="0"/>
              <w:marRight w:val="0"/>
              <w:marTop w:val="0"/>
              <w:marBottom w:val="0"/>
              <w:divBdr>
                <w:top w:val="none" w:sz="0" w:space="0" w:color="auto"/>
                <w:left w:val="none" w:sz="0" w:space="0" w:color="auto"/>
                <w:bottom w:val="none" w:sz="0" w:space="0" w:color="auto"/>
                <w:right w:val="none" w:sz="0" w:space="0" w:color="auto"/>
              </w:divBdr>
            </w:div>
          </w:divsChild>
        </w:div>
        <w:div w:id="916478352">
          <w:marLeft w:val="0"/>
          <w:marRight w:val="0"/>
          <w:marTop w:val="0"/>
          <w:marBottom w:val="0"/>
          <w:divBdr>
            <w:top w:val="none" w:sz="0" w:space="0" w:color="auto"/>
            <w:left w:val="none" w:sz="0" w:space="0" w:color="auto"/>
            <w:bottom w:val="none" w:sz="0" w:space="0" w:color="auto"/>
            <w:right w:val="none" w:sz="0" w:space="0" w:color="auto"/>
          </w:divBdr>
          <w:divsChild>
            <w:div w:id="1353917274">
              <w:marLeft w:val="0"/>
              <w:marRight w:val="0"/>
              <w:marTop w:val="0"/>
              <w:marBottom w:val="0"/>
              <w:divBdr>
                <w:top w:val="none" w:sz="0" w:space="0" w:color="auto"/>
                <w:left w:val="none" w:sz="0" w:space="0" w:color="auto"/>
                <w:bottom w:val="none" w:sz="0" w:space="0" w:color="auto"/>
                <w:right w:val="none" w:sz="0" w:space="0" w:color="auto"/>
              </w:divBdr>
            </w:div>
            <w:div w:id="1476606455">
              <w:marLeft w:val="0"/>
              <w:marRight w:val="0"/>
              <w:marTop w:val="0"/>
              <w:marBottom w:val="0"/>
              <w:divBdr>
                <w:top w:val="none" w:sz="0" w:space="0" w:color="auto"/>
                <w:left w:val="none" w:sz="0" w:space="0" w:color="auto"/>
                <w:bottom w:val="none" w:sz="0" w:space="0" w:color="auto"/>
                <w:right w:val="none" w:sz="0" w:space="0" w:color="auto"/>
              </w:divBdr>
            </w:div>
          </w:divsChild>
        </w:div>
        <w:div w:id="920992465">
          <w:marLeft w:val="0"/>
          <w:marRight w:val="0"/>
          <w:marTop w:val="0"/>
          <w:marBottom w:val="0"/>
          <w:divBdr>
            <w:top w:val="none" w:sz="0" w:space="0" w:color="auto"/>
            <w:left w:val="none" w:sz="0" w:space="0" w:color="auto"/>
            <w:bottom w:val="none" w:sz="0" w:space="0" w:color="auto"/>
            <w:right w:val="none" w:sz="0" w:space="0" w:color="auto"/>
          </w:divBdr>
          <w:divsChild>
            <w:div w:id="311179816">
              <w:marLeft w:val="0"/>
              <w:marRight w:val="0"/>
              <w:marTop w:val="0"/>
              <w:marBottom w:val="0"/>
              <w:divBdr>
                <w:top w:val="none" w:sz="0" w:space="0" w:color="auto"/>
                <w:left w:val="none" w:sz="0" w:space="0" w:color="auto"/>
                <w:bottom w:val="none" w:sz="0" w:space="0" w:color="auto"/>
                <w:right w:val="none" w:sz="0" w:space="0" w:color="auto"/>
              </w:divBdr>
            </w:div>
          </w:divsChild>
        </w:div>
        <w:div w:id="922567587">
          <w:marLeft w:val="0"/>
          <w:marRight w:val="0"/>
          <w:marTop w:val="0"/>
          <w:marBottom w:val="0"/>
          <w:divBdr>
            <w:top w:val="none" w:sz="0" w:space="0" w:color="auto"/>
            <w:left w:val="none" w:sz="0" w:space="0" w:color="auto"/>
            <w:bottom w:val="none" w:sz="0" w:space="0" w:color="auto"/>
            <w:right w:val="none" w:sz="0" w:space="0" w:color="auto"/>
          </w:divBdr>
          <w:divsChild>
            <w:div w:id="1731264930">
              <w:marLeft w:val="0"/>
              <w:marRight w:val="0"/>
              <w:marTop w:val="0"/>
              <w:marBottom w:val="0"/>
              <w:divBdr>
                <w:top w:val="none" w:sz="0" w:space="0" w:color="auto"/>
                <w:left w:val="none" w:sz="0" w:space="0" w:color="auto"/>
                <w:bottom w:val="none" w:sz="0" w:space="0" w:color="auto"/>
                <w:right w:val="none" w:sz="0" w:space="0" w:color="auto"/>
              </w:divBdr>
            </w:div>
          </w:divsChild>
        </w:div>
        <w:div w:id="945385424">
          <w:marLeft w:val="0"/>
          <w:marRight w:val="0"/>
          <w:marTop w:val="0"/>
          <w:marBottom w:val="0"/>
          <w:divBdr>
            <w:top w:val="none" w:sz="0" w:space="0" w:color="auto"/>
            <w:left w:val="none" w:sz="0" w:space="0" w:color="auto"/>
            <w:bottom w:val="none" w:sz="0" w:space="0" w:color="auto"/>
            <w:right w:val="none" w:sz="0" w:space="0" w:color="auto"/>
          </w:divBdr>
          <w:divsChild>
            <w:div w:id="618495153">
              <w:marLeft w:val="0"/>
              <w:marRight w:val="0"/>
              <w:marTop w:val="0"/>
              <w:marBottom w:val="0"/>
              <w:divBdr>
                <w:top w:val="none" w:sz="0" w:space="0" w:color="auto"/>
                <w:left w:val="none" w:sz="0" w:space="0" w:color="auto"/>
                <w:bottom w:val="none" w:sz="0" w:space="0" w:color="auto"/>
                <w:right w:val="none" w:sz="0" w:space="0" w:color="auto"/>
              </w:divBdr>
            </w:div>
            <w:div w:id="796265387">
              <w:marLeft w:val="0"/>
              <w:marRight w:val="0"/>
              <w:marTop w:val="0"/>
              <w:marBottom w:val="0"/>
              <w:divBdr>
                <w:top w:val="none" w:sz="0" w:space="0" w:color="auto"/>
                <w:left w:val="none" w:sz="0" w:space="0" w:color="auto"/>
                <w:bottom w:val="none" w:sz="0" w:space="0" w:color="auto"/>
                <w:right w:val="none" w:sz="0" w:space="0" w:color="auto"/>
              </w:divBdr>
            </w:div>
          </w:divsChild>
        </w:div>
        <w:div w:id="948781524">
          <w:marLeft w:val="0"/>
          <w:marRight w:val="0"/>
          <w:marTop w:val="0"/>
          <w:marBottom w:val="0"/>
          <w:divBdr>
            <w:top w:val="none" w:sz="0" w:space="0" w:color="auto"/>
            <w:left w:val="none" w:sz="0" w:space="0" w:color="auto"/>
            <w:bottom w:val="none" w:sz="0" w:space="0" w:color="auto"/>
            <w:right w:val="none" w:sz="0" w:space="0" w:color="auto"/>
          </w:divBdr>
          <w:divsChild>
            <w:div w:id="1749644998">
              <w:marLeft w:val="0"/>
              <w:marRight w:val="0"/>
              <w:marTop w:val="0"/>
              <w:marBottom w:val="0"/>
              <w:divBdr>
                <w:top w:val="none" w:sz="0" w:space="0" w:color="auto"/>
                <w:left w:val="none" w:sz="0" w:space="0" w:color="auto"/>
                <w:bottom w:val="none" w:sz="0" w:space="0" w:color="auto"/>
                <w:right w:val="none" w:sz="0" w:space="0" w:color="auto"/>
              </w:divBdr>
            </w:div>
          </w:divsChild>
        </w:div>
        <w:div w:id="953635586">
          <w:marLeft w:val="0"/>
          <w:marRight w:val="0"/>
          <w:marTop w:val="0"/>
          <w:marBottom w:val="0"/>
          <w:divBdr>
            <w:top w:val="none" w:sz="0" w:space="0" w:color="auto"/>
            <w:left w:val="none" w:sz="0" w:space="0" w:color="auto"/>
            <w:bottom w:val="none" w:sz="0" w:space="0" w:color="auto"/>
            <w:right w:val="none" w:sz="0" w:space="0" w:color="auto"/>
          </w:divBdr>
          <w:divsChild>
            <w:div w:id="1266036097">
              <w:marLeft w:val="0"/>
              <w:marRight w:val="0"/>
              <w:marTop w:val="0"/>
              <w:marBottom w:val="0"/>
              <w:divBdr>
                <w:top w:val="none" w:sz="0" w:space="0" w:color="auto"/>
                <w:left w:val="none" w:sz="0" w:space="0" w:color="auto"/>
                <w:bottom w:val="none" w:sz="0" w:space="0" w:color="auto"/>
                <w:right w:val="none" w:sz="0" w:space="0" w:color="auto"/>
              </w:divBdr>
            </w:div>
            <w:div w:id="1548254847">
              <w:marLeft w:val="0"/>
              <w:marRight w:val="0"/>
              <w:marTop w:val="0"/>
              <w:marBottom w:val="0"/>
              <w:divBdr>
                <w:top w:val="none" w:sz="0" w:space="0" w:color="auto"/>
                <w:left w:val="none" w:sz="0" w:space="0" w:color="auto"/>
                <w:bottom w:val="none" w:sz="0" w:space="0" w:color="auto"/>
                <w:right w:val="none" w:sz="0" w:space="0" w:color="auto"/>
              </w:divBdr>
            </w:div>
            <w:div w:id="1835022312">
              <w:marLeft w:val="0"/>
              <w:marRight w:val="0"/>
              <w:marTop w:val="0"/>
              <w:marBottom w:val="0"/>
              <w:divBdr>
                <w:top w:val="none" w:sz="0" w:space="0" w:color="auto"/>
                <w:left w:val="none" w:sz="0" w:space="0" w:color="auto"/>
                <w:bottom w:val="none" w:sz="0" w:space="0" w:color="auto"/>
                <w:right w:val="none" w:sz="0" w:space="0" w:color="auto"/>
              </w:divBdr>
            </w:div>
          </w:divsChild>
        </w:div>
        <w:div w:id="955327406">
          <w:marLeft w:val="0"/>
          <w:marRight w:val="0"/>
          <w:marTop w:val="0"/>
          <w:marBottom w:val="0"/>
          <w:divBdr>
            <w:top w:val="none" w:sz="0" w:space="0" w:color="auto"/>
            <w:left w:val="none" w:sz="0" w:space="0" w:color="auto"/>
            <w:bottom w:val="none" w:sz="0" w:space="0" w:color="auto"/>
            <w:right w:val="none" w:sz="0" w:space="0" w:color="auto"/>
          </w:divBdr>
          <w:divsChild>
            <w:div w:id="1830366276">
              <w:marLeft w:val="0"/>
              <w:marRight w:val="0"/>
              <w:marTop w:val="0"/>
              <w:marBottom w:val="0"/>
              <w:divBdr>
                <w:top w:val="none" w:sz="0" w:space="0" w:color="auto"/>
                <w:left w:val="none" w:sz="0" w:space="0" w:color="auto"/>
                <w:bottom w:val="none" w:sz="0" w:space="0" w:color="auto"/>
                <w:right w:val="none" w:sz="0" w:space="0" w:color="auto"/>
              </w:divBdr>
            </w:div>
          </w:divsChild>
        </w:div>
        <w:div w:id="969675318">
          <w:marLeft w:val="0"/>
          <w:marRight w:val="0"/>
          <w:marTop w:val="0"/>
          <w:marBottom w:val="0"/>
          <w:divBdr>
            <w:top w:val="none" w:sz="0" w:space="0" w:color="auto"/>
            <w:left w:val="none" w:sz="0" w:space="0" w:color="auto"/>
            <w:bottom w:val="none" w:sz="0" w:space="0" w:color="auto"/>
            <w:right w:val="none" w:sz="0" w:space="0" w:color="auto"/>
          </w:divBdr>
          <w:divsChild>
            <w:div w:id="318923934">
              <w:marLeft w:val="0"/>
              <w:marRight w:val="0"/>
              <w:marTop w:val="0"/>
              <w:marBottom w:val="0"/>
              <w:divBdr>
                <w:top w:val="none" w:sz="0" w:space="0" w:color="auto"/>
                <w:left w:val="none" w:sz="0" w:space="0" w:color="auto"/>
                <w:bottom w:val="none" w:sz="0" w:space="0" w:color="auto"/>
                <w:right w:val="none" w:sz="0" w:space="0" w:color="auto"/>
              </w:divBdr>
            </w:div>
            <w:div w:id="882211856">
              <w:marLeft w:val="0"/>
              <w:marRight w:val="0"/>
              <w:marTop w:val="0"/>
              <w:marBottom w:val="0"/>
              <w:divBdr>
                <w:top w:val="none" w:sz="0" w:space="0" w:color="auto"/>
                <w:left w:val="none" w:sz="0" w:space="0" w:color="auto"/>
                <w:bottom w:val="none" w:sz="0" w:space="0" w:color="auto"/>
                <w:right w:val="none" w:sz="0" w:space="0" w:color="auto"/>
              </w:divBdr>
            </w:div>
          </w:divsChild>
        </w:div>
        <w:div w:id="978343860">
          <w:marLeft w:val="0"/>
          <w:marRight w:val="0"/>
          <w:marTop w:val="0"/>
          <w:marBottom w:val="0"/>
          <w:divBdr>
            <w:top w:val="none" w:sz="0" w:space="0" w:color="auto"/>
            <w:left w:val="none" w:sz="0" w:space="0" w:color="auto"/>
            <w:bottom w:val="none" w:sz="0" w:space="0" w:color="auto"/>
            <w:right w:val="none" w:sz="0" w:space="0" w:color="auto"/>
          </w:divBdr>
          <w:divsChild>
            <w:div w:id="992182062">
              <w:marLeft w:val="0"/>
              <w:marRight w:val="0"/>
              <w:marTop w:val="0"/>
              <w:marBottom w:val="0"/>
              <w:divBdr>
                <w:top w:val="none" w:sz="0" w:space="0" w:color="auto"/>
                <w:left w:val="none" w:sz="0" w:space="0" w:color="auto"/>
                <w:bottom w:val="none" w:sz="0" w:space="0" w:color="auto"/>
                <w:right w:val="none" w:sz="0" w:space="0" w:color="auto"/>
              </w:divBdr>
            </w:div>
          </w:divsChild>
        </w:div>
        <w:div w:id="981009773">
          <w:marLeft w:val="0"/>
          <w:marRight w:val="0"/>
          <w:marTop w:val="0"/>
          <w:marBottom w:val="0"/>
          <w:divBdr>
            <w:top w:val="none" w:sz="0" w:space="0" w:color="auto"/>
            <w:left w:val="none" w:sz="0" w:space="0" w:color="auto"/>
            <w:bottom w:val="none" w:sz="0" w:space="0" w:color="auto"/>
            <w:right w:val="none" w:sz="0" w:space="0" w:color="auto"/>
          </w:divBdr>
          <w:divsChild>
            <w:div w:id="36667169">
              <w:marLeft w:val="0"/>
              <w:marRight w:val="0"/>
              <w:marTop w:val="0"/>
              <w:marBottom w:val="0"/>
              <w:divBdr>
                <w:top w:val="none" w:sz="0" w:space="0" w:color="auto"/>
                <w:left w:val="none" w:sz="0" w:space="0" w:color="auto"/>
                <w:bottom w:val="none" w:sz="0" w:space="0" w:color="auto"/>
                <w:right w:val="none" w:sz="0" w:space="0" w:color="auto"/>
              </w:divBdr>
            </w:div>
          </w:divsChild>
        </w:div>
        <w:div w:id="988099358">
          <w:marLeft w:val="0"/>
          <w:marRight w:val="0"/>
          <w:marTop w:val="0"/>
          <w:marBottom w:val="0"/>
          <w:divBdr>
            <w:top w:val="none" w:sz="0" w:space="0" w:color="auto"/>
            <w:left w:val="none" w:sz="0" w:space="0" w:color="auto"/>
            <w:bottom w:val="none" w:sz="0" w:space="0" w:color="auto"/>
            <w:right w:val="none" w:sz="0" w:space="0" w:color="auto"/>
          </w:divBdr>
          <w:divsChild>
            <w:div w:id="1979340991">
              <w:marLeft w:val="0"/>
              <w:marRight w:val="0"/>
              <w:marTop w:val="0"/>
              <w:marBottom w:val="0"/>
              <w:divBdr>
                <w:top w:val="none" w:sz="0" w:space="0" w:color="auto"/>
                <w:left w:val="none" w:sz="0" w:space="0" w:color="auto"/>
                <w:bottom w:val="none" w:sz="0" w:space="0" w:color="auto"/>
                <w:right w:val="none" w:sz="0" w:space="0" w:color="auto"/>
              </w:divBdr>
            </w:div>
          </w:divsChild>
        </w:div>
        <w:div w:id="989216096">
          <w:marLeft w:val="0"/>
          <w:marRight w:val="0"/>
          <w:marTop w:val="0"/>
          <w:marBottom w:val="0"/>
          <w:divBdr>
            <w:top w:val="none" w:sz="0" w:space="0" w:color="auto"/>
            <w:left w:val="none" w:sz="0" w:space="0" w:color="auto"/>
            <w:bottom w:val="none" w:sz="0" w:space="0" w:color="auto"/>
            <w:right w:val="none" w:sz="0" w:space="0" w:color="auto"/>
          </w:divBdr>
          <w:divsChild>
            <w:div w:id="1427120225">
              <w:marLeft w:val="0"/>
              <w:marRight w:val="0"/>
              <w:marTop w:val="0"/>
              <w:marBottom w:val="0"/>
              <w:divBdr>
                <w:top w:val="none" w:sz="0" w:space="0" w:color="auto"/>
                <w:left w:val="none" w:sz="0" w:space="0" w:color="auto"/>
                <w:bottom w:val="none" w:sz="0" w:space="0" w:color="auto"/>
                <w:right w:val="none" w:sz="0" w:space="0" w:color="auto"/>
              </w:divBdr>
            </w:div>
            <w:div w:id="1974555329">
              <w:marLeft w:val="0"/>
              <w:marRight w:val="0"/>
              <w:marTop w:val="0"/>
              <w:marBottom w:val="0"/>
              <w:divBdr>
                <w:top w:val="none" w:sz="0" w:space="0" w:color="auto"/>
                <w:left w:val="none" w:sz="0" w:space="0" w:color="auto"/>
                <w:bottom w:val="none" w:sz="0" w:space="0" w:color="auto"/>
                <w:right w:val="none" w:sz="0" w:space="0" w:color="auto"/>
              </w:divBdr>
            </w:div>
          </w:divsChild>
        </w:div>
        <w:div w:id="991910652">
          <w:marLeft w:val="0"/>
          <w:marRight w:val="0"/>
          <w:marTop w:val="0"/>
          <w:marBottom w:val="0"/>
          <w:divBdr>
            <w:top w:val="none" w:sz="0" w:space="0" w:color="auto"/>
            <w:left w:val="none" w:sz="0" w:space="0" w:color="auto"/>
            <w:bottom w:val="none" w:sz="0" w:space="0" w:color="auto"/>
            <w:right w:val="none" w:sz="0" w:space="0" w:color="auto"/>
          </w:divBdr>
          <w:divsChild>
            <w:div w:id="17588419">
              <w:marLeft w:val="0"/>
              <w:marRight w:val="0"/>
              <w:marTop w:val="0"/>
              <w:marBottom w:val="0"/>
              <w:divBdr>
                <w:top w:val="none" w:sz="0" w:space="0" w:color="auto"/>
                <w:left w:val="none" w:sz="0" w:space="0" w:color="auto"/>
                <w:bottom w:val="none" w:sz="0" w:space="0" w:color="auto"/>
                <w:right w:val="none" w:sz="0" w:space="0" w:color="auto"/>
              </w:divBdr>
            </w:div>
            <w:div w:id="45372182">
              <w:marLeft w:val="0"/>
              <w:marRight w:val="0"/>
              <w:marTop w:val="0"/>
              <w:marBottom w:val="0"/>
              <w:divBdr>
                <w:top w:val="none" w:sz="0" w:space="0" w:color="auto"/>
                <w:left w:val="none" w:sz="0" w:space="0" w:color="auto"/>
                <w:bottom w:val="none" w:sz="0" w:space="0" w:color="auto"/>
                <w:right w:val="none" w:sz="0" w:space="0" w:color="auto"/>
              </w:divBdr>
            </w:div>
          </w:divsChild>
        </w:div>
        <w:div w:id="993608093">
          <w:marLeft w:val="0"/>
          <w:marRight w:val="0"/>
          <w:marTop w:val="0"/>
          <w:marBottom w:val="0"/>
          <w:divBdr>
            <w:top w:val="none" w:sz="0" w:space="0" w:color="auto"/>
            <w:left w:val="none" w:sz="0" w:space="0" w:color="auto"/>
            <w:bottom w:val="none" w:sz="0" w:space="0" w:color="auto"/>
            <w:right w:val="none" w:sz="0" w:space="0" w:color="auto"/>
          </w:divBdr>
          <w:divsChild>
            <w:div w:id="743452587">
              <w:marLeft w:val="0"/>
              <w:marRight w:val="0"/>
              <w:marTop w:val="0"/>
              <w:marBottom w:val="0"/>
              <w:divBdr>
                <w:top w:val="none" w:sz="0" w:space="0" w:color="auto"/>
                <w:left w:val="none" w:sz="0" w:space="0" w:color="auto"/>
                <w:bottom w:val="none" w:sz="0" w:space="0" w:color="auto"/>
                <w:right w:val="none" w:sz="0" w:space="0" w:color="auto"/>
              </w:divBdr>
            </w:div>
          </w:divsChild>
        </w:div>
        <w:div w:id="994145071">
          <w:marLeft w:val="0"/>
          <w:marRight w:val="0"/>
          <w:marTop w:val="0"/>
          <w:marBottom w:val="0"/>
          <w:divBdr>
            <w:top w:val="none" w:sz="0" w:space="0" w:color="auto"/>
            <w:left w:val="none" w:sz="0" w:space="0" w:color="auto"/>
            <w:bottom w:val="none" w:sz="0" w:space="0" w:color="auto"/>
            <w:right w:val="none" w:sz="0" w:space="0" w:color="auto"/>
          </w:divBdr>
          <w:divsChild>
            <w:div w:id="1962683733">
              <w:marLeft w:val="0"/>
              <w:marRight w:val="0"/>
              <w:marTop w:val="0"/>
              <w:marBottom w:val="0"/>
              <w:divBdr>
                <w:top w:val="none" w:sz="0" w:space="0" w:color="auto"/>
                <w:left w:val="none" w:sz="0" w:space="0" w:color="auto"/>
                <w:bottom w:val="none" w:sz="0" w:space="0" w:color="auto"/>
                <w:right w:val="none" w:sz="0" w:space="0" w:color="auto"/>
              </w:divBdr>
            </w:div>
          </w:divsChild>
        </w:div>
        <w:div w:id="995185786">
          <w:marLeft w:val="0"/>
          <w:marRight w:val="0"/>
          <w:marTop w:val="0"/>
          <w:marBottom w:val="0"/>
          <w:divBdr>
            <w:top w:val="none" w:sz="0" w:space="0" w:color="auto"/>
            <w:left w:val="none" w:sz="0" w:space="0" w:color="auto"/>
            <w:bottom w:val="none" w:sz="0" w:space="0" w:color="auto"/>
            <w:right w:val="none" w:sz="0" w:space="0" w:color="auto"/>
          </w:divBdr>
          <w:divsChild>
            <w:div w:id="1711106050">
              <w:marLeft w:val="0"/>
              <w:marRight w:val="0"/>
              <w:marTop w:val="0"/>
              <w:marBottom w:val="0"/>
              <w:divBdr>
                <w:top w:val="none" w:sz="0" w:space="0" w:color="auto"/>
                <w:left w:val="none" w:sz="0" w:space="0" w:color="auto"/>
                <w:bottom w:val="none" w:sz="0" w:space="0" w:color="auto"/>
                <w:right w:val="none" w:sz="0" w:space="0" w:color="auto"/>
              </w:divBdr>
            </w:div>
            <w:div w:id="1888763220">
              <w:marLeft w:val="0"/>
              <w:marRight w:val="0"/>
              <w:marTop w:val="0"/>
              <w:marBottom w:val="0"/>
              <w:divBdr>
                <w:top w:val="none" w:sz="0" w:space="0" w:color="auto"/>
                <w:left w:val="none" w:sz="0" w:space="0" w:color="auto"/>
                <w:bottom w:val="none" w:sz="0" w:space="0" w:color="auto"/>
                <w:right w:val="none" w:sz="0" w:space="0" w:color="auto"/>
              </w:divBdr>
            </w:div>
          </w:divsChild>
        </w:div>
        <w:div w:id="997071861">
          <w:marLeft w:val="0"/>
          <w:marRight w:val="0"/>
          <w:marTop w:val="0"/>
          <w:marBottom w:val="0"/>
          <w:divBdr>
            <w:top w:val="none" w:sz="0" w:space="0" w:color="auto"/>
            <w:left w:val="none" w:sz="0" w:space="0" w:color="auto"/>
            <w:bottom w:val="none" w:sz="0" w:space="0" w:color="auto"/>
            <w:right w:val="none" w:sz="0" w:space="0" w:color="auto"/>
          </w:divBdr>
          <w:divsChild>
            <w:div w:id="440106633">
              <w:marLeft w:val="0"/>
              <w:marRight w:val="0"/>
              <w:marTop w:val="0"/>
              <w:marBottom w:val="0"/>
              <w:divBdr>
                <w:top w:val="none" w:sz="0" w:space="0" w:color="auto"/>
                <w:left w:val="none" w:sz="0" w:space="0" w:color="auto"/>
                <w:bottom w:val="none" w:sz="0" w:space="0" w:color="auto"/>
                <w:right w:val="none" w:sz="0" w:space="0" w:color="auto"/>
              </w:divBdr>
            </w:div>
            <w:div w:id="2107190210">
              <w:marLeft w:val="0"/>
              <w:marRight w:val="0"/>
              <w:marTop w:val="0"/>
              <w:marBottom w:val="0"/>
              <w:divBdr>
                <w:top w:val="none" w:sz="0" w:space="0" w:color="auto"/>
                <w:left w:val="none" w:sz="0" w:space="0" w:color="auto"/>
                <w:bottom w:val="none" w:sz="0" w:space="0" w:color="auto"/>
                <w:right w:val="none" w:sz="0" w:space="0" w:color="auto"/>
              </w:divBdr>
            </w:div>
          </w:divsChild>
        </w:div>
        <w:div w:id="1001347211">
          <w:marLeft w:val="0"/>
          <w:marRight w:val="0"/>
          <w:marTop w:val="0"/>
          <w:marBottom w:val="0"/>
          <w:divBdr>
            <w:top w:val="none" w:sz="0" w:space="0" w:color="auto"/>
            <w:left w:val="none" w:sz="0" w:space="0" w:color="auto"/>
            <w:bottom w:val="none" w:sz="0" w:space="0" w:color="auto"/>
            <w:right w:val="none" w:sz="0" w:space="0" w:color="auto"/>
          </w:divBdr>
          <w:divsChild>
            <w:div w:id="1601597823">
              <w:marLeft w:val="0"/>
              <w:marRight w:val="0"/>
              <w:marTop w:val="0"/>
              <w:marBottom w:val="0"/>
              <w:divBdr>
                <w:top w:val="none" w:sz="0" w:space="0" w:color="auto"/>
                <w:left w:val="none" w:sz="0" w:space="0" w:color="auto"/>
                <w:bottom w:val="none" w:sz="0" w:space="0" w:color="auto"/>
                <w:right w:val="none" w:sz="0" w:space="0" w:color="auto"/>
              </w:divBdr>
            </w:div>
            <w:div w:id="1846018214">
              <w:marLeft w:val="0"/>
              <w:marRight w:val="0"/>
              <w:marTop w:val="0"/>
              <w:marBottom w:val="0"/>
              <w:divBdr>
                <w:top w:val="none" w:sz="0" w:space="0" w:color="auto"/>
                <w:left w:val="none" w:sz="0" w:space="0" w:color="auto"/>
                <w:bottom w:val="none" w:sz="0" w:space="0" w:color="auto"/>
                <w:right w:val="none" w:sz="0" w:space="0" w:color="auto"/>
              </w:divBdr>
            </w:div>
          </w:divsChild>
        </w:div>
        <w:div w:id="1006253326">
          <w:marLeft w:val="0"/>
          <w:marRight w:val="0"/>
          <w:marTop w:val="0"/>
          <w:marBottom w:val="0"/>
          <w:divBdr>
            <w:top w:val="none" w:sz="0" w:space="0" w:color="auto"/>
            <w:left w:val="none" w:sz="0" w:space="0" w:color="auto"/>
            <w:bottom w:val="none" w:sz="0" w:space="0" w:color="auto"/>
            <w:right w:val="none" w:sz="0" w:space="0" w:color="auto"/>
          </w:divBdr>
          <w:divsChild>
            <w:div w:id="1923903020">
              <w:marLeft w:val="0"/>
              <w:marRight w:val="0"/>
              <w:marTop w:val="0"/>
              <w:marBottom w:val="0"/>
              <w:divBdr>
                <w:top w:val="none" w:sz="0" w:space="0" w:color="auto"/>
                <w:left w:val="none" w:sz="0" w:space="0" w:color="auto"/>
                <w:bottom w:val="none" w:sz="0" w:space="0" w:color="auto"/>
                <w:right w:val="none" w:sz="0" w:space="0" w:color="auto"/>
              </w:divBdr>
            </w:div>
          </w:divsChild>
        </w:div>
        <w:div w:id="1007754860">
          <w:marLeft w:val="0"/>
          <w:marRight w:val="0"/>
          <w:marTop w:val="0"/>
          <w:marBottom w:val="0"/>
          <w:divBdr>
            <w:top w:val="none" w:sz="0" w:space="0" w:color="auto"/>
            <w:left w:val="none" w:sz="0" w:space="0" w:color="auto"/>
            <w:bottom w:val="none" w:sz="0" w:space="0" w:color="auto"/>
            <w:right w:val="none" w:sz="0" w:space="0" w:color="auto"/>
          </w:divBdr>
          <w:divsChild>
            <w:div w:id="204491439">
              <w:marLeft w:val="0"/>
              <w:marRight w:val="0"/>
              <w:marTop w:val="0"/>
              <w:marBottom w:val="0"/>
              <w:divBdr>
                <w:top w:val="none" w:sz="0" w:space="0" w:color="auto"/>
                <w:left w:val="none" w:sz="0" w:space="0" w:color="auto"/>
                <w:bottom w:val="none" w:sz="0" w:space="0" w:color="auto"/>
                <w:right w:val="none" w:sz="0" w:space="0" w:color="auto"/>
              </w:divBdr>
            </w:div>
            <w:div w:id="976373405">
              <w:marLeft w:val="0"/>
              <w:marRight w:val="0"/>
              <w:marTop w:val="0"/>
              <w:marBottom w:val="0"/>
              <w:divBdr>
                <w:top w:val="none" w:sz="0" w:space="0" w:color="auto"/>
                <w:left w:val="none" w:sz="0" w:space="0" w:color="auto"/>
                <w:bottom w:val="none" w:sz="0" w:space="0" w:color="auto"/>
                <w:right w:val="none" w:sz="0" w:space="0" w:color="auto"/>
              </w:divBdr>
            </w:div>
            <w:div w:id="2140878249">
              <w:marLeft w:val="0"/>
              <w:marRight w:val="0"/>
              <w:marTop w:val="0"/>
              <w:marBottom w:val="0"/>
              <w:divBdr>
                <w:top w:val="none" w:sz="0" w:space="0" w:color="auto"/>
                <w:left w:val="none" w:sz="0" w:space="0" w:color="auto"/>
                <w:bottom w:val="none" w:sz="0" w:space="0" w:color="auto"/>
                <w:right w:val="none" w:sz="0" w:space="0" w:color="auto"/>
              </w:divBdr>
            </w:div>
          </w:divsChild>
        </w:div>
        <w:div w:id="1009865348">
          <w:marLeft w:val="0"/>
          <w:marRight w:val="0"/>
          <w:marTop w:val="0"/>
          <w:marBottom w:val="0"/>
          <w:divBdr>
            <w:top w:val="none" w:sz="0" w:space="0" w:color="auto"/>
            <w:left w:val="none" w:sz="0" w:space="0" w:color="auto"/>
            <w:bottom w:val="none" w:sz="0" w:space="0" w:color="auto"/>
            <w:right w:val="none" w:sz="0" w:space="0" w:color="auto"/>
          </w:divBdr>
          <w:divsChild>
            <w:div w:id="925113377">
              <w:marLeft w:val="0"/>
              <w:marRight w:val="0"/>
              <w:marTop w:val="0"/>
              <w:marBottom w:val="0"/>
              <w:divBdr>
                <w:top w:val="none" w:sz="0" w:space="0" w:color="auto"/>
                <w:left w:val="none" w:sz="0" w:space="0" w:color="auto"/>
                <w:bottom w:val="none" w:sz="0" w:space="0" w:color="auto"/>
                <w:right w:val="none" w:sz="0" w:space="0" w:color="auto"/>
              </w:divBdr>
            </w:div>
          </w:divsChild>
        </w:div>
        <w:div w:id="1025054357">
          <w:marLeft w:val="0"/>
          <w:marRight w:val="0"/>
          <w:marTop w:val="0"/>
          <w:marBottom w:val="0"/>
          <w:divBdr>
            <w:top w:val="none" w:sz="0" w:space="0" w:color="auto"/>
            <w:left w:val="none" w:sz="0" w:space="0" w:color="auto"/>
            <w:bottom w:val="none" w:sz="0" w:space="0" w:color="auto"/>
            <w:right w:val="none" w:sz="0" w:space="0" w:color="auto"/>
          </w:divBdr>
          <w:divsChild>
            <w:div w:id="965239409">
              <w:marLeft w:val="0"/>
              <w:marRight w:val="0"/>
              <w:marTop w:val="0"/>
              <w:marBottom w:val="0"/>
              <w:divBdr>
                <w:top w:val="none" w:sz="0" w:space="0" w:color="auto"/>
                <w:left w:val="none" w:sz="0" w:space="0" w:color="auto"/>
                <w:bottom w:val="none" w:sz="0" w:space="0" w:color="auto"/>
                <w:right w:val="none" w:sz="0" w:space="0" w:color="auto"/>
              </w:divBdr>
            </w:div>
          </w:divsChild>
        </w:div>
        <w:div w:id="1027098124">
          <w:marLeft w:val="0"/>
          <w:marRight w:val="0"/>
          <w:marTop w:val="0"/>
          <w:marBottom w:val="0"/>
          <w:divBdr>
            <w:top w:val="none" w:sz="0" w:space="0" w:color="auto"/>
            <w:left w:val="none" w:sz="0" w:space="0" w:color="auto"/>
            <w:bottom w:val="none" w:sz="0" w:space="0" w:color="auto"/>
            <w:right w:val="none" w:sz="0" w:space="0" w:color="auto"/>
          </w:divBdr>
          <w:divsChild>
            <w:div w:id="197476231">
              <w:marLeft w:val="0"/>
              <w:marRight w:val="0"/>
              <w:marTop w:val="0"/>
              <w:marBottom w:val="0"/>
              <w:divBdr>
                <w:top w:val="none" w:sz="0" w:space="0" w:color="auto"/>
                <w:left w:val="none" w:sz="0" w:space="0" w:color="auto"/>
                <w:bottom w:val="none" w:sz="0" w:space="0" w:color="auto"/>
                <w:right w:val="none" w:sz="0" w:space="0" w:color="auto"/>
              </w:divBdr>
            </w:div>
            <w:div w:id="302851261">
              <w:marLeft w:val="0"/>
              <w:marRight w:val="0"/>
              <w:marTop w:val="0"/>
              <w:marBottom w:val="0"/>
              <w:divBdr>
                <w:top w:val="none" w:sz="0" w:space="0" w:color="auto"/>
                <w:left w:val="none" w:sz="0" w:space="0" w:color="auto"/>
                <w:bottom w:val="none" w:sz="0" w:space="0" w:color="auto"/>
                <w:right w:val="none" w:sz="0" w:space="0" w:color="auto"/>
              </w:divBdr>
            </w:div>
            <w:div w:id="709646477">
              <w:marLeft w:val="0"/>
              <w:marRight w:val="0"/>
              <w:marTop w:val="0"/>
              <w:marBottom w:val="0"/>
              <w:divBdr>
                <w:top w:val="none" w:sz="0" w:space="0" w:color="auto"/>
                <w:left w:val="none" w:sz="0" w:space="0" w:color="auto"/>
                <w:bottom w:val="none" w:sz="0" w:space="0" w:color="auto"/>
                <w:right w:val="none" w:sz="0" w:space="0" w:color="auto"/>
              </w:divBdr>
            </w:div>
            <w:div w:id="1189835541">
              <w:marLeft w:val="0"/>
              <w:marRight w:val="0"/>
              <w:marTop w:val="0"/>
              <w:marBottom w:val="0"/>
              <w:divBdr>
                <w:top w:val="none" w:sz="0" w:space="0" w:color="auto"/>
                <w:left w:val="none" w:sz="0" w:space="0" w:color="auto"/>
                <w:bottom w:val="none" w:sz="0" w:space="0" w:color="auto"/>
                <w:right w:val="none" w:sz="0" w:space="0" w:color="auto"/>
              </w:divBdr>
            </w:div>
          </w:divsChild>
        </w:div>
        <w:div w:id="1037048471">
          <w:marLeft w:val="0"/>
          <w:marRight w:val="0"/>
          <w:marTop w:val="0"/>
          <w:marBottom w:val="0"/>
          <w:divBdr>
            <w:top w:val="none" w:sz="0" w:space="0" w:color="auto"/>
            <w:left w:val="none" w:sz="0" w:space="0" w:color="auto"/>
            <w:bottom w:val="none" w:sz="0" w:space="0" w:color="auto"/>
            <w:right w:val="none" w:sz="0" w:space="0" w:color="auto"/>
          </w:divBdr>
          <w:divsChild>
            <w:div w:id="662396689">
              <w:marLeft w:val="0"/>
              <w:marRight w:val="0"/>
              <w:marTop w:val="0"/>
              <w:marBottom w:val="0"/>
              <w:divBdr>
                <w:top w:val="none" w:sz="0" w:space="0" w:color="auto"/>
                <w:left w:val="none" w:sz="0" w:space="0" w:color="auto"/>
                <w:bottom w:val="none" w:sz="0" w:space="0" w:color="auto"/>
                <w:right w:val="none" w:sz="0" w:space="0" w:color="auto"/>
              </w:divBdr>
            </w:div>
          </w:divsChild>
        </w:div>
        <w:div w:id="1041369810">
          <w:marLeft w:val="0"/>
          <w:marRight w:val="0"/>
          <w:marTop w:val="0"/>
          <w:marBottom w:val="0"/>
          <w:divBdr>
            <w:top w:val="none" w:sz="0" w:space="0" w:color="auto"/>
            <w:left w:val="none" w:sz="0" w:space="0" w:color="auto"/>
            <w:bottom w:val="none" w:sz="0" w:space="0" w:color="auto"/>
            <w:right w:val="none" w:sz="0" w:space="0" w:color="auto"/>
          </w:divBdr>
          <w:divsChild>
            <w:div w:id="1064763637">
              <w:marLeft w:val="0"/>
              <w:marRight w:val="0"/>
              <w:marTop w:val="0"/>
              <w:marBottom w:val="0"/>
              <w:divBdr>
                <w:top w:val="none" w:sz="0" w:space="0" w:color="auto"/>
                <w:left w:val="none" w:sz="0" w:space="0" w:color="auto"/>
                <w:bottom w:val="none" w:sz="0" w:space="0" w:color="auto"/>
                <w:right w:val="none" w:sz="0" w:space="0" w:color="auto"/>
              </w:divBdr>
            </w:div>
            <w:div w:id="1335844008">
              <w:marLeft w:val="0"/>
              <w:marRight w:val="0"/>
              <w:marTop w:val="0"/>
              <w:marBottom w:val="0"/>
              <w:divBdr>
                <w:top w:val="none" w:sz="0" w:space="0" w:color="auto"/>
                <w:left w:val="none" w:sz="0" w:space="0" w:color="auto"/>
                <w:bottom w:val="none" w:sz="0" w:space="0" w:color="auto"/>
                <w:right w:val="none" w:sz="0" w:space="0" w:color="auto"/>
              </w:divBdr>
            </w:div>
          </w:divsChild>
        </w:div>
        <w:div w:id="1041708343">
          <w:marLeft w:val="0"/>
          <w:marRight w:val="0"/>
          <w:marTop w:val="0"/>
          <w:marBottom w:val="0"/>
          <w:divBdr>
            <w:top w:val="none" w:sz="0" w:space="0" w:color="auto"/>
            <w:left w:val="none" w:sz="0" w:space="0" w:color="auto"/>
            <w:bottom w:val="none" w:sz="0" w:space="0" w:color="auto"/>
            <w:right w:val="none" w:sz="0" w:space="0" w:color="auto"/>
          </w:divBdr>
          <w:divsChild>
            <w:div w:id="1270701097">
              <w:marLeft w:val="0"/>
              <w:marRight w:val="0"/>
              <w:marTop w:val="0"/>
              <w:marBottom w:val="0"/>
              <w:divBdr>
                <w:top w:val="none" w:sz="0" w:space="0" w:color="auto"/>
                <w:left w:val="none" w:sz="0" w:space="0" w:color="auto"/>
                <w:bottom w:val="none" w:sz="0" w:space="0" w:color="auto"/>
                <w:right w:val="none" w:sz="0" w:space="0" w:color="auto"/>
              </w:divBdr>
            </w:div>
          </w:divsChild>
        </w:div>
        <w:div w:id="1043559704">
          <w:marLeft w:val="0"/>
          <w:marRight w:val="0"/>
          <w:marTop w:val="0"/>
          <w:marBottom w:val="0"/>
          <w:divBdr>
            <w:top w:val="none" w:sz="0" w:space="0" w:color="auto"/>
            <w:left w:val="none" w:sz="0" w:space="0" w:color="auto"/>
            <w:bottom w:val="none" w:sz="0" w:space="0" w:color="auto"/>
            <w:right w:val="none" w:sz="0" w:space="0" w:color="auto"/>
          </w:divBdr>
          <w:divsChild>
            <w:div w:id="337538881">
              <w:marLeft w:val="0"/>
              <w:marRight w:val="0"/>
              <w:marTop w:val="0"/>
              <w:marBottom w:val="0"/>
              <w:divBdr>
                <w:top w:val="none" w:sz="0" w:space="0" w:color="auto"/>
                <w:left w:val="none" w:sz="0" w:space="0" w:color="auto"/>
                <w:bottom w:val="none" w:sz="0" w:space="0" w:color="auto"/>
                <w:right w:val="none" w:sz="0" w:space="0" w:color="auto"/>
              </w:divBdr>
            </w:div>
            <w:div w:id="834807749">
              <w:marLeft w:val="0"/>
              <w:marRight w:val="0"/>
              <w:marTop w:val="0"/>
              <w:marBottom w:val="0"/>
              <w:divBdr>
                <w:top w:val="none" w:sz="0" w:space="0" w:color="auto"/>
                <w:left w:val="none" w:sz="0" w:space="0" w:color="auto"/>
                <w:bottom w:val="none" w:sz="0" w:space="0" w:color="auto"/>
                <w:right w:val="none" w:sz="0" w:space="0" w:color="auto"/>
              </w:divBdr>
            </w:div>
            <w:div w:id="1093821574">
              <w:marLeft w:val="0"/>
              <w:marRight w:val="0"/>
              <w:marTop w:val="0"/>
              <w:marBottom w:val="0"/>
              <w:divBdr>
                <w:top w:val="none" w:sz="0" w:space="0" w:color="auto"/>
                <w:left w:val="none" w:sz="0" w:space="0" w:color="auto"/>
                <w:bottom w:val="none" w:sz="0" w:space="0" w:color="auto"/>
                <w:right w:val="none" w:sz="0" w:space="0" w:color="auto"/>
              </w:divBdr>
            </w:div>
          </w:divsChild>
        </w:div>
        <w:div w:id="1049262740">
          <w:marLeft w:val="0"/>
          <w:marRight w:val="0"/>
          <w:marTop w:val="0"/>
          <w:marBottom w:val="0"/>
          <w:divBdr>
            <w:top w:val="none" w:sz="0" w:space="0" w:color="auto"/>
            <w:left w:val="none" w:sz="0" w:space="0" w:color="auto"/>
            <w:bottom w:val="none" w:sz="0" w:space="0" w:color="auto"/>
            <w:right w:val="none" w:sz="0" w:space="0" w:color="auto"/>
          </w:divBdr>
          <w:divsChild>
            <w:div w:id="518935032">
              <w:marLeft w:val="0"/>
              <w:marRight w:val="0"/>
              <w:marTop w:val="0"/>
              <w:marBottom w:val="0"/>
              <w:divBdr>
                <w:top w:val="none" w:sz="0" w:space="0" w:color="auto"/>
                <w:left w:val="none" w:sz="0" w:space="0" w:color="auto"/>
                <w:bottom w:val="none" w:sz="0" w:space="0" w:color="auto"/>
                <w:right w:val="none" w:sz="0" w:space="0" w:color="auto"/>
              </w:divBdr>
            </w:div>
          </w:divsChild>
        </w:div>
        <w:div w:id="1051344382">
          <w:marLeft w:val="0"/>
          <w:marRight w:val="0"/>
          <w:marTop w:val="0"/>
          <w:marBottom w:val="0"/>
          <w:divBdr>
            <w:top w:val="none" w:sz="0" w:space="0" w:color="auto"/>
            <w:left w:val="none" w:sz="0" w:space="0" w:color="auto"/>
            <w:bottom w:val="none" w:sz="0" w:space="0" w:color="auto"/>
            <w:right w:val="none" w:sz="0" w:space="0" w:color="auto"/>
          </w:divBdr>
          <w:divsChild>
            <w:div w:id="1150752010">
              <w:marLeft w:val="0"/>
              <w:marRight w:val="0"/>
              <w:marTop w:val="0"/>
              <w:marBottom w:val="0"/>
              <w:divBdr>
                <w:top w:val="none" w:sz="0" w:space="0" w:color="auto"/>
                <w:left w:val="none" w:sz="0" w:space="0" w:color="auto"/>
                <w:bottom w:val="none" w:sz="0" w:space="0" w:color="auto"/>
                <w:right w:val="none" w:sz="0" w:space="0" w:color="auto"/>
              </w:divBdr>
            </w:div>
          </w:divsChild>
        </w:div>
        <w:div w:id="1052771499">
          <w:marLeft w:val="0"/>
          <w:marRight w:val="0"/>
          <w:marTop w:val="0"/>
          <w:marBottom w:val="0"/>
          <w:divBdr>
            <w:top w:val="none" w:sz="0" w:space="0" w:color="auto"/>
            <w:left w:val="none" w:sz="0" w:space="0" w:color="auto"/>
            <w:bottom w:val="none" w:sz="0" w:space="0" w:color="auto"/>
            <w:right w:val="none" w:sz="0" w:space="0" w:color="auto"/>
          </w:divBdr>
          <w:divsChild>
            <w:div w:id="1808742419">
              <w:marLeft w:val="0"/>
              <w:marRight w:val="0"/>
              <w:marTop w:val="0"/>
              <w:marBottom w:val="0"/>
              <w:divBdr>
                <w:top w:val="none" w:sz="0" w:space="0" w:color="auto"/>
                <w:left w:val="none" w:sz="0" w:space="0" w:color="auto"/>
                <w:bottom w:val="none" w:sz="0" w:space="0" w:color="auto"/>
                <w:right w:val="none" w:sz="0" w:space="0" w:color="auto"/>
              </w:divBdr>
            </w:div>
          </w:divsChild>
        </w:div>
        <w:div w:id="1055618516">
          <w:marLeft w:val="0"/>
          <w:marRight w:val="0"/>
          <w:marTop w:val="0"/>
          <w:marBottom w:val="0"/>
          <w:divBdr>
            <w:top w:val="none" w:sz="0" w:space="0" w:color="auto"/>
            <w:left w:val="none" w:sz="0" w:space="0" w:color="auto"/>
            <w:bottom w:val="none" w:sz="0" w:space="0" w:color="auto"/>
            <w:right w:val="none" w:sz="0" w:space="0" w:color="auto"/>
          </w:divBdr>
          <w:divsChild>
            <w:div w:id="404493775">
              <w:marLeft w:val="0"/>
              <w:marRight w:val="0"/>
              <w:marTop w:val="0"/>
              <w:marBottom w:val="0"/>
              <w:divBdr>
                <w:top w:val="none" w:sz="0" w:space="0" w:color="auto"/>
                <w:left w:val="none" w:sz="0" w:space="0" w:color="auto"/>
                <w:bottom w:val="none" w:sz="0" w:space="0" w:color="auto"/>
                <w:right w:val="none" w:sz="0" w:space="0" w:color="auto"/>
              </w:divBdr>
            </w:div>
            <w:div w:id="2062629005">
              <w:marLeft w:val="0"/>
              <w:marRight w:val="0"/>
              <w:marTop w:val="0"/>
              <w:marBottom w:val="0"/>
              <w:divBdr>
                <w:top w:val="none" w:sz="0" w:space="0" w:color="auto"/>
                <w:left w:val="none" w:sz="0" w:space="0" w:color="auto"/>
                <w:bottom w:val="none" w:sz="0" w:space="0" w:color="auto"/>
                <w:right w:val="none" w:sz="0" w:space="0" w:color="auto"/>
              </w:divBdr>
            </w:div>
          </w:divsChild>
        </w:div>
        <w:div w:id="1059091755">
          <w:marLeft w:val="0"/>
          <w:marRight w:val="0"/>
          <w:marTop w:val="0"/>
          <w:marBottom w:val="0"/>
          <w:divBdr>
            <w:top w:val="none" w:sz="0" w:space="0" w:color="auto"/>
            <w:left w:val="none" w:sz="0" w:space="0" w:color="auto"/>
            <w:bottom w:val="none" w:sz="0" w:space="0" w:color="auto"/>
            <w:right w:val="none" w:sz="0" w:space="0" w:color="auto"/>
          </w:divBdr>
          <w:divsChild>
            <w:div w:id="1283656366">
              <w:marLeft w:val="0"/>
              <w:marRight w:val="0"/>
              <w:marTop w:val="0"/>
              <w:marBottom w:val="0"/>
              <w:divBdr>
                <w:top w:val="none" w:sz="0" w:space="0" w:color="auto"/>
                <w:left w:val="none" w:sz="0" w:space="0" w:color="auto"/>
                <w:bottom w:val="none" w:sz="0" w:space="0" w:color="auto"/>
                <w:right w:val="none" w:sz="0" w:space="0" w:color="auto"/>
              </w:divBdr>
            </w:div>
          </w:divsChild>
        </w:div>
        <w:div w:id="1060666987">
          <w:marLeft w:val="0"/>
          <w:marRight w:val="0"/>
          <w:marTop w:val="0"/>
          <w:marBottom w:val="0"/>
          <w:divBdr>
            <w:top w:val="none" w:sz="0" w:space="0" w:color="auto"/>
            <w:left w:val="none" w:sz="0" w:space="0" w:color="auto"/>
            <w:bottom w:val="none" w:sz="0" w:space="0" w:color="auto"/>
            <w:right w:val="none" w:sz="0" w:space="0" w:color="auto"/>
          </w:divBdr>
          <w:divsChild>
            <w:div w:id="1384870611">
              <w:marLeft w:val="0"/>
              <w:marRight w:val="0"/>
              <w:marTop w:val="0"/>
              <w:marBottom w:val="0"/>
              <w:divBdr>
                <w:top w:val="none" w:sz="0" w:space="0" w:color="auto"/>
                <w:left w:val="none" w:sz="0" w:space="0" w:color="auto"/>
                <w:bottom w:val="none" w:sz="0" w:space="0" w:color="auto"/>
                <w:right w:val="none" w:sz="0" w:space="0" w:color="auto"/>
              </w:divBdr>
            </w:div>
          </w:divsChild>
        </w:div>
        <w:div w:id="1079794057">
          <w:marLeft w:val="0"/>
          <w:marRight w:val="0"/>
          <w:marTop w:val="0"/>
          <w:marBottom w:val="0"/>
          <w:divBdr>
            <w:top w:val="none" w:sz="0" w:space="0" w:color="auto"/>
            <w:left w:val="none" w:sz="0" w:space="0" w:color="auto"/>
            <w:bottom w:val="none" w:sz="0" w:space="0" w:color="auto"/>
            <w:right w:val="none" w:sz="0" w:space="0" w:color="auto"/>
          </w:divBdr>
          <w:divsChild>
            <w:div w:id="812983820">
              <w:marLeft w:val="0"/>
              <w:marRight w:val="0"/>
              <w:marTop w:val="0"/>
              <w:marBottom w:val="0"/>
              <w:divBdr>
                <w:top w:val="none" w:sz="0" w:space="0" w:color="auto"/>
                <w:left w:val="none" w:sz="0" w:space="0" w:color="auto"/>
                <w:bottom w:val="none" w:sz="0" w:space="0" w:color="auto"/>
                <w:right w:val="none" w:sz="0" w:space="0" w:color="auto"/>
              </w:divBdr>
            </w:div>
          </w:divsChild>
        </w:div>
        <w:div w:id="1080442880">
          <w:marLeft w:val="0"/>
          <w:marRight w:val="0"/>
          <w:marTop w:val="0"/>
          <w:marBottom w:val="0"/>
          <w:divBdr>
            <w:top w:val="none" w:sz="0" w:space="0" w:color="auto"/>
            <w:left w:val="none" w:sz="0" w:space="0" w:color="auto"/>
            <w:bottom w:val="none" w:sz="0" w:space="0" w:color="auto"/>
            <w:right w:val="none" w:sz="0" w:space="0" w:color="auto"/>
          </w:divBdr>
          <w:divsChild>
            <w:div w:id="1109159255">
              <w:marLeft w:val="0"/>
              <w:marRight w:val="0"/>
              <w:marTop w:val="0"/>
              <w:marBottom w:val="0"/>
              <w:divBdr>
                <w:top w:val="none" w:sz="0" w:space="0" w:color="auto"/>
                <w:left w:val="none" w:sz="0" w:space="0" w:color="auto"/>
                <w:bottom w:val="none" w:sz="0" w:space="0" w:color="auto"/>
                <w:right w:val="none" w:sz="0" w:space="0" w:color="auto"/>
              </w:divBdr>
            </w:div>
          </w:divsChild>
        </w:div>
        <w:div w:id="1080516829">
          <w:marLeft w:val="0"/>
          <w:marRight w:val="0"/>
          <w:marTop w:val="0"/>
          <w:marBottom w:val="0"/>
          <w:divBdr>
            <w:top w:val="none" w:sz="0" w:space="0" w:color="auto"/>
            <w:left w:val="none" w:sz="0" w:space="0" w:color="auto"/>
            <w:bottom w:val="none" w:sz="0" w:space="0" w:color="auto"/>
            <w:right w:val="none" w:sz="0" w:space="0" w:color="auto"/>
          </w:divBdr>
          <w:divsChild>
            <w:div w:id="606887648">
              <w:marLeft w:val="0"/>
              <w:marRight w:val="0"/>
              <w:marTop w:val="0"/>
              <w:marBottom w:val="0"/>
              <w:divBdr>
                <w:top w:val="none" w:sz="0" w:space="0" w:color="auto"/>
                <w:left w:val="none" w:sz="0" w:space="0" w:color="auto"/>
                <w:bottom w:val="none" w:sz="0" w:space="0" w:color="auto"/>
                <w:right w:val="none" w:sz="0" w:space="0" w:color="auto"/>
              </w:divBdr>
            </w:div>
            <w:div w:id="1671718751">
              <w:marLeft w:val="0"/>
              <w:marRight w:val="0"/>
              <w:marTop w:val="0"/>
              <w:marBottom w:val="0"/>
              <w:divBdr>
                <w:top w:val="none" w:sz="0" w:space="0" w:color="auto"/>
                <w:left w:val="none" w:sz="0" w:space="0" w:color="auto"/>
                <w:bottom w:val="none" w:sz="0" w:space="0" w:color="auto"/>
                <w:right w:val="none" w:sz="0" w:space="0" w:color="auto"/>
              </w:divBdr>
            </w:div>
            <w:div w:id="1692340700">
              <w:marLeft w:val="0"/>
              <w:marRight w:val="0"/>
              <w:marTop w:val="0"/>
              <w:marBottom w:val="0"/>
              <w:divBdr>
                <w:top w:val="none" w:sz="0" w:space="0" w:color="auto"/>
                <w:left w:val="none" w:sz="0" w:space="0" w:color="auto"/>
                <w:bottom w:val="none" w:sz="0" w:space="0" w:color="auto"/>
                <w:right w:val="none" w:sz="0" w:space="0" w:color="auto"/>
              </w:divBdr>
            </w:div>
          </w:divsChild>
        </w:div>
        <w:div w:id="1080520036">
          <w:marLeft w:val="0"/>
          <w:marRight w:val="0"/>
          <w:marTop w:val="0"/>
          <w:marBottom w:val="0"/>
          <w:divBdr>
            <w:top w:val="none" w:sz="0" w:space="0" w:color="auto"/>
            <w:left w:val="none" w:sz="0" w:space="0" w:color="auto"/>
            <w:bottom w:val="none" w:sz="0" w:space="0" w:color="auto"/>
            <w:right w:val="none" w:sz="0" w:space="0" w:color="auto"/>
          </w:divBdr>
          <w:divsChild>
            <w:div w:id="1237328149">
              <w:marLeft w:val="0"/>
              <w:marRight w:val="0"/>
              <w:marTop w:val="0"/>
              <w:marBottom w:val="0"/>
              <w:divBdr>
                <w:top w:val="none" w:sz="0" w:space="0" w:color="auto"/>
                <w:left w:val="none" w:sz="0" w:space="0" w:color="auto"/>
                <w:bottom w:val="none" w:sz="0" w:space="0" w:color="auto"/>
                <w:right w:val="none" w:sz="0" w:space="0" w:color="auto"/>
              </w:divBdr>
            </w:div>
          </w:divsChild>
        </w:div>
        <w:div w:id="1085372070">
          <w:marLeft w:val="0"/>
          <w:marRight w:val="0"/>
          <w:marTop w:val="0"/>
          <w:marBottom w:val="0"/>
          <w:divBdr>
            <w:top w:val="none" w:sz="0" w:space="0" w:color="auto"/>
            <w:left w:val="none" w:sz="0" w:space="0" w:color="auto"/>
            <w:bottom w:val="none" w:sz="0" w:space="0" w:color="auto"/>
            <w:right w:val="none" w:sz="0" w:space="0" w:color="auto"/>
          </w:divBdr>
          <w:divsChild>
            <w:div w:id="1358771285">
              <w:marLeft w:val="0"/>
              <w:marRight w:val="0"/>
              <w:marTop w:val="0"/>
              <w:marBottom w:val="0"/>
              <w:divBdr>
                <w:top w:val="none" w:sz="0" w:space="0" w:color="auto"/>
                <w:left w:val="none" w:sz="0" w:space="0" w:color="auto"/>
                <w:bottom w:val="none" w:sz="0" w:space="0" w:color="auto"/>
                <w:right w:val="none" w:sz="0" w:space="0" w:color="auto"/>
              </w:divBdr>
            </w:div>
          </w:divsChild>
        </w:div>
        <w:div w:id="1086652554">
          <w:marLeft w:val="0"/>
          <w:marRight w:val="0"/>
          <w:marTop w:val="0"/>
          <w:marBottom w:val="0"/>
          <w:divBdr>
            <w:top w:val="none" w:sz="0" w:space="0" w:color="auto"/>
            <w:left w:val="none" w:sz="0" w:space="0" w:color="auto"/>
            <w:bottom w:val="none" w:sz="0" w:space="0" w:color="auto"/>
            <w:right w:val="none" w:sz="0" w:space="0" w:color="auto"/>
          </w:divBdr>
          <w:divsChild>
            <w:div w:id="960721340">
              <w:marLeft w:val="0"/>
              <w:marRight w:val="0"/>
              <w:marTop w:val="0"/>
              <w:marBottom w:val="0"/>
              <w:divBdr>
                <w:top w:val="none" w:sz="0" w:space="0" w:color="auto"/>
                <w:left w:val="none" w:sz="0" w:space="0" w:color="auto"/>
                <w:bottom w:val="none" w:sz="0" w:space="0" w:color="auto"/>
                <w:right w:val="none" w:sz="0" w:space="0" w:color="auto"/>
              </w:divBdr>
            </w:div>
            <w:div w:id="1270159727">
              <w:marLeft w:val="0"/>
              <w:marRight w:val="0"/>
              <w:marTop w:val="0"/>
              <w:marBottom w:val="0"/>
              <w:divBdr>
                <w:top w:val="none" w:sz="0" w:space="0" w:color="auto"/>
                <w:left w:val="none" w:sz="0" w:space="0" w:color="auto"/>
                <w:bottom w:val="none" w:sz="0" w:space="0" w:color="auto"/>
                <w:right w:val="none" w:sz="0" w:space="0" w:color="auto"/>
              </w:divBdr>
            </w:div>
            <w:div w:id="1969434255">
              <w:marLeft w:val="0"/>
              <w:marRight w:val="0"/>
              <w:marTop w:val="0"/>
              <w:marBottom w:val="0"/>
              <w:divBdr>
                <w:top w:val="none" w:sz="0" w:space="0" w:color="auto"/>
                <w:left w:val="none" w:sz="0" w:space="0" w:color="auto"/>
                <w:bottom w:val="none" w:sz="0" w:space="0" w:color="auto"/>
                <w:right w:val="none" w:sz="0" w:space="0" w:color="auto"/>
              </w:divBdr>
            </w:div>
          </w:divsChild>
        </w:div>
        <w:div w:id="1087728648">
          <w:marLeft w:val="0"/>
          <w:marRight w:val="0"/>
          <w:marTop w:val="0"/>
          <w:marBottom w:val="0"/>
          <w:divBdr>
            <w:top w:val="none" w:sz="0" w:space="0" w:color="auto"/>
            <w:left w:val="none" w:sz="0" w:space="0" w:color="auto"/>
            <w:bottom w:val="none" w:sz="0" w:space="0" w:color="auto"/>
            <w:right w:val="none" w:sz="0" w:space="0" w:color="auto"/>
          </w:divBdr>
          <w:divsChild>
            <w:div w:id="127357509">
              <w:marLeft w:val="0"/>
              <w:marRight w:val="0"/>
              <w:marTop w:val="0"/>
              <w:marBottom w:val="0"/>
              <w:divBdr>
                <w:top w:val="none" w:sz="0" w:space="0" w:color="auto"/>
                <w:left w:val="none" w:sz="0" w:space="0" w:color="auto"/>
                <w:bottom w:val="none" w:sz="0" w:space="0" w:color="auto"/>
                <w:right w:val="none" w:sz="0" w:space="0" w:color="auto"/>
              </w:divBdr>
            </w:div>
          </w:divsChild>
        </w:div>
        <w:div w:id="1090543823">
          <w:marLeft w:val="0"/>
          <w:marRight w:val="0"/>
          <w:marTop w:val="0"/>
          <w:marBottom w:val="0"/>
          <w:divBdr>
            <w:top w:val="none" w:sz="0" w:space="0" w:color="auto"/>
            <w:left w:val="none" w:sz="0" w:space="0" w:color="auto"/>
            <w:bottom w:val="none" w:sz="0" w:space="0" w:color="auto"/>
            <w:right w:val="none" w:sz="0" w:space="0" w:color="auto"/>
          </w:divBdr>
          <w:divsChild>
            <w:div w:id="562914373">
              <w:marLeft w:val="0"/>
              <w:marRight w:val="0"/>
              <w:marTop w:val="0"/>
              <w:marBottom w:val="0"/>
              <w:divBdr>
                <w:top w:val="none" w:sz="0" w:space="0" w:color="auto"/>
                <w:left w:val="none" w:sz="0" w:space="0" w:color="auto"/>
                <w:bottom w:val="none" w:sz="0" w:space="0" w:color="auto"/>
                <w:right w:val="none" w:sz="0" w:space="0" w:color="auto"/>
              </w:divBdr>
            </w:div>
            <w:div w:id="937979199">
              <w:marLeft w:val="0"/>
              <w:marRight w:val="0"/>
              <w:marTop w:val="0"/>
              <w:marBottom w:val="0"/>
              <w:divBdr>
                <w:top w:val="none" w:sz="0" w:space="0" w:color="auto"/>
                <w:left w:val="none" w:sz="0" w:space="0" w:color="auto"/>
                <w:bottom w:val="none" w:sz="0" w:space="0" w:color="auto"/>
                <w:right w:val="none" w:sz="0" w:space="0" w:color="auto"/>
              </w:divBdr>
            </w:div>
          </w:divsChild>
        </w:div>
        <w:div w:id="1090545934">
          <w:marLeft w:val="0"/>
          <w:marRight w:val="0"/>
          <w:marTop w:val="0"/>
          <w:marBottom w:val="0"/>
          <w:divBdr>
            <w:top w:val="none" w:sz="0" w:space="0" w:color="auto"/>
            <w:left w:val="none" w:sz="0" w:space="0" w:color="auto"/>
            <w:bottom w:val="none" w:sz="0" w:space="0" w:color="auto"/>
            <w:right w:val="none" w:sz="0" w:space="0" w:color="auto"/>
          </w:divBdr>
          <w:divsChild>
            <w:div w:id="49767912">
              <w:marLeft w:val="0"/>
              <w:marRight w:val="0"/>
              <w:marTop w:val="0"/>
              <w:marBottom w:val="0"/>
              <w:divBdr>
                <w:top w:val="none" w:sz="0" w:space="0" w:color="auto"/>
                <w:left w:val="none" w:sz="0" w:space="0" w:color="auto"/>
                <w:bottom w:val="none" w:sz="0" w:space="0" w:color="auto"/>
                <w:right w:val="none" w:sz="0" w:space="0" w:color="auto"/>
              </w:divBdr>
            </w:div>
            <w:div w:id="290093763">
              <w:marLeft w:val="0"/>
              <w:marRight w:val="0"/>
              <w:marTop w:val="0"/>
              <w:marBottom w:val="0"/>
              <w:divBdr>
                <w:top w:val="none" w:sz="0" w:space="0" w:color="auto"/>
                <w:left w:val="none" w:sz="0" w:space="0" w:color="auto"/>
                <w:bottom w:val="none" w:sz="0" w:space="0" w:color="auto"/>
                <w:right w:val="none" w:sz="0" w:space="0" w:color="auto"/>
              </w:divBdr>
            </w:div>
            <w:div w:id="349838121">
              <w:marLeft w:val="0"/>
              <w:marRight w:val="0"/>
              <w:marTop w:val="0"/>
              <w:marBottom w:val="0"/>
              <w:divBdr>
                <w:top w:val="none" w:sz="0" w:space="0" w:color="auto"/>
                <w:left w:val="none" w:sz="0" w:space="0" w:color="auto"/>
                <w:bottom w:val="none" w:sz="0" w:space="0" w:color="auto"/>
                <w:right w:val="none" w:sz="0" w:space="0" w:color="auto"/>
              </w:divBdr>
            </w:div>
            <w:div w:id="1747338145">
              <w:marLeft w:val="0"/>
              <w:marRight w:val="0"/>
              <w:marTop w:val="0"/>
              <w:marBottom w:val="0"/>
              <w:divBdr>
                <w:top w:val="none" w:sz="0" w:space="0" w:color="auto"/>
                <w:left w:val="none" w:sz="0" w:space="0" w:color="auto"/>
                <w:bottom w:val="none" w:sz="0" w:space="0" w:color="auto"/>
                <w:right w:val="none" w:sz="0" w:space="0" w:color="auto"/>
              </w:divBdr>
            </w:div>
          </w:divsChild>
        </w:div>
        <w:div w:id="1092050210">
          <w:marLeft w:val="0"/>
          <w:marRight w:val="0"/>
          <w:marTop w:val="0"/>
          <w:marBottom w:val="0"/>
          <w:divBdr>
            <w:top w:val="none" w:sz="0" w:space="0" w:color="auto"/>
            <w:left w:val="none" w:sz="0" w:space="0" w:color="auto"/>
            <w:bottom w:val="none" w:sz="0" w:space="0" w:color="auto"/>
            <w:right w:val="none" w:sz="0" w:space="0" w:color="auto"/>
          </w:divBdr>
          <w:divsChild>
            <w:div w:id="2041467107">
              <w:marLeft w:val="0"/>
              <w:marRight w:val="0"/>
              <w:marTop w:val="0"/>
              <w:marBottom w:val="0"/>
              <w:divBdr>
                <w:top w:val="none" w:sz="0" w:space="0" w:color="auto"/>
                <w:left w:val="none" w:sz="0" w:space="0" w:color="auto"/>
                <w:bottom w:val="none" w:sz="0" w:space="0" w:color="auto"/>
                <w:right w:val="none" w:sz="0" w:space="0" w:color="auto"/>
              </w:divBdr>
            </w:div>
          </w:divsChild>
        </w:div>
        <w:div w:id="1094743007">
          <w:marLeft w:val="0"/>
          <w:marRight w:val="0"/>
          <w:marTop w:val="0"/>
          <w:marBottom w:val="0"/>
          <w:divBdr>
            <w:top w:val="none" w:sz="0" w:space="0" w:color="auto"/>
            <w:left w:val="none" w:sz="0" w:space="0" w:color="auto"/>
            <w:bottom w:val="none" w:sz="0" w:space="0" w:color="auto"/>
            <w:right w:val="none" w:sz="0" w:space="0" w:color="auto"/>
          </w:divBdr>
          <w:divsChild>
            <w:div w:id="23092695">
              <w:marLeft w:val="0"/>
              <w:marRight w:val="0"/>
              <w:marTop w:val="0"/>
              <w:marBottom w:val="0"/>
              <w:divBdr>
                <w:top w:val="none" w:sz="0" w:space="0" w:color="auto"/>
                <w:left w:val="none" w:sz="0" w:space="0" w:color="auto"/>
                <w:bottom w:val="none" w:sz="0" w:space="0" w:color="auto"/>
                <w:right w:val="none" w:sz="0" w:space="0" w:color="auto"/>
              </w:divBdr>
            </w:div>
            <w:div w:id="624700137">
              <w:marLeft w:val="0"/>
              <w:marRight w:val="0"/>
              <w:marTop w:val="0"/>
              <w:marBottom w:val="0"/>
              <w:divBdr>
                <w:top w:val="none" w:sz="0" w:space="0" w:color="auto"/>
                <w:left w:val="none" w:sz="0" w:space="0" w:color="auto"/>
                <w:bottom w:val="none" w:sz="0" w:space="0" w:color="auto"/>
                <w:right w:val="none" w:sz="0" w:space="0" w:color="auto"/>
              </w:divBdr>
            </w:div>
          </w:divsChild>
        </w:div>
        <w:div w:id="1100878654">
          <w:marLeft w:val="0"/>
          <w:marRight w:val="0"/>
          <w:marTop w:val="0"/>
          <w:marBottom w:val="0"/>
          <w:divBdr>
            <w:top w:val="none" w:sz="0" w:space="0" w:color="auto"/>
            <w:left w:val="none" w:sz="0" w:space="0" w:color="auto"/>
            <w:bottom w:val="none" w:sz="0" w:space="0" w:color="auto"/>
            <w:right w:val="none" w:sz="0" w:space="0" w:color="auto"/>
          </w:divBdr>
          <w:divsChild>
            <w:div w:id="1913464986">
              <w:marLeft w:val="0"/>
              <w:marRight w:val="0"/>
              <w:marTop w:val="0"/>
              <w:marBottom w:val="0"/>
              <w:divBdr>
                <w:top w:val="none" w:sz="0" w:space="0" w:color="auto"/>
                <w:left w:val="none" w:sz="0" w:space="0" w:color="auto"/>
                <w:bottom w:val="none" w:sz="0" w:space="0" w:color="auto"/>
                <w:right w:val="none" w:sz="0" w:space="0" w:color="auto"/>
              </w:divBdr>
            </w:div>
          </w:divsChild>
        </w:div>
        <w:div w:id="1106072371">
          <w:marLeft w:val="0"/>
          <w:marRight w:val="0"/>
          <w:marTop w:val="0"/>
          <w:marBottom w:val="0"/>
          <w:divBdr>
            <w:top w:val="none" w:sz="0" w:space="0" w:color="auto"/>
            <w:left w:val="none" w:sz="0" w:space="0" w:color="auto"/>
            <w:bottom w:val="none" w:sz="0" w:space="0" w:color="auto"/>
            <w:right w:val="none" w:sz="0" w:space="0" w:color="auto"/>
          </w:divBdr>
          <w:divsChild>
            <w:div w:id="960913269">
              <w:marLeft w:val="0"/>
              <w:marRight w:val="0"/>
              <w:marTop w:val="0"/>
              <w:marBottom w:val="0"/>
              <w:divBdr>
                <w:top w:val="none" w:sz="0" w:space="0" w:color="auto"/>
                <w:left w:val="none" w:sz="0" w:space="0" w:color="auto"/>
                <w:bottom w:val="none" w:sz="0" w:space="0" w:color="auto"/>
                <w:right w:val="none" w:sz="0" w:space="0" w:color="auto"/>
              </w:divBdr>
            </w:div>
          </w:divsChild>
        </w:div>
        <w:div w:id="1110321125">
          <w:marLeft w:val="0"/>
          <w:marRight w:val="0"/>
          <w:marTop w:val="0"/>
          <w:marBottom w:val="0"/>
          <w:divBdr>
            <w:top w:val="none" w:sz="0" w:space="0" w:color="auto"/>
            <w:left w:val="none" w:sz="0" w:space="0" w:color="auto"/>
            <w:bottom w:val="none" w:sz="0" w:space="0" w:color="auto"/>
            <w:right w:val="none" w:sz="0" w:space="0" w:color="auto"/>
          </w:divBdr>
          <w:divsChild>
            <w:div w:id="2076732549">
              <w:marLeft w:val="0"/>
              <w:marRight w:val="0"/>
              <w:marTop w:val="0"/>
              <w:marBottom w:val="0"/>
              <w:divBdr>
                <w:top w:val="none" w:sz="0" w:space="0" w:color="auto"/>
                <w:left w:val="none" w:sz="0" w:space="0" w:color="auto"/>
                <w:bottom w:val="none" w:sz="0" w:space="0" w:color="auto"/>
                <w:right w:val="none" w:sz="0" w:space="0" w:color="auto"/>
              </w:divBdr>
            </w:div>
          </w:divsChild>
        </w:div>
        <w:div w:id="1119179608">
          <w:marLeft w:val="0"/>
          <w:marRight w:val="0"/>
          <w:marTop w:val="0"/>
          <w:marBottom w:val="0"/>
          <w:divBdr>
            <w:top w:val="none" w:sz="0" w:space="0" w:color="auto"/>
            <w:left w:val="none" w:sz="0" w:space="0" w:color="auto"/>
            <w:bottom w:val="none" w:sz="0" w:space="0" w:color="auto"/>
            <w:right w:val="none" w:sz="0" w:space="0" w:color="auto"/>
          </w:divBdr>
          <w:divsChild>
            <w:div w:id="125202995">
              <w:marLeft w:val="0"/>
              <w:marRight w:val="0"/>
              <w:marTop w:val="0"/>
              <w:marBottom w:val="0"/>
              <w:divBdr>
                <w:top w:val="none" w:sz="0" w:space="0" w:color="auto"/>
                <w:left w:val="none" w:sz="0" w:space="0" w:color="auto"/>
                <w:bottom w:val="none" w:sz="0" w:space="0" w:color="auto"/>
                <w:right w:val="none" w:sz="0" w:space="0" w:color="auto"/>
              </w:divBdr>
            </w:div>
            <w:div w:id="176505427">
              <w:marLeft w:val="0"/>
              <w:marRight w:val="0"/>
              <w:marTop w:val="0"/>
              <w:marBottom w:val="0"/>
              <w:divBdr>
                <w:top w:val="none" w:sz="0" w:space="0" w:color="auto"/>
                <w:left w:val="none" w:sz="0" w:space="0" w:color="auto"/>
                <w:bottom w:val="none" w:sz="0" w:space="0" w:color="auto"/>
                <w:right w:val="none" w:sz="0" w:space="0" w:color="auto"/>
              </w:divBdr>
            </w:div>
            <w:div w:id="270939656">
              <w:marLeft w:val="0"/>
              <w:marRight w:val="0"/>
              <w:marTop w:val="0"/>
              <w:marBottom w:val="0"/>
              <w:divBdr>
                <w:top w:val="none" w:sz="0" w:space="0" w:color="auto"/>
                <w:left w:val="none" w:sz="0" w:space="0" w:color="auto"/>
                <w:bottom w:val="none" w:sz="0" w:space="0" w:color="auto"/>
                <w:right w:val="none" w:sz="0" w:space="0" w:color="auto"/>
              </w:divBdr>
            </w:div>
            <w:div w:id="355617843">
              <w:marLeft w:val="0"/>
              <w:marRight w:val="0"/>
              <w:marTop w:val="0"/>
              <w:marBottom w:val="0"/>
              <w:divBdr>
                <w:top w:val="none" w:sz="0" w:space="0" w:color="auto"/>
                <w:left w:val="none" w:sz="0" w:space="0" w:color="auto"/>
                <w:bottom w:val="none" w:sz="0" w:space="0" w:color="auto"/>
                <w:right w:val="none" w:sz="0" w:space="0" w:color="auto"/>
              </w:divBdr>
            </w:div>
            <w:div w:id="1043140993">
              <w:marLeft w:val="0"/>
              <w:marRight w:val="0"/>
              <w:marTop w:val="0"/>
              <w:marBottom w:val="0"/>
              <w:divBdr>
                <w:top w:val="none" w:sz="0" w:space="0" w:color="auto"/>
                <w:left w:val="none" w:sz="0" w:space="0" w:color="auto"/>
                <w:bottom w:val="none" w:sz="0" w:space="0" w:color="auto"/>
                <w:right w:val="none" w:sz="0" w:space="0" w:color="auto"/>
              </w:divBdr>
            </w:div>
            <w:div w:id="1093208173">
              <w:marLeft w:val="0"/>
              <w:marRight w:val="0"/>
              <w:marTop w:val="0"/>
              <w:marBottom w:val="0"/>
              <w:divBdr>
                <w:top w:val="none" w:sz="0" w:space="0" w:color="auto"/>
                <w:left w:val="none" w:sz="0" w:space="0" w:color="auto"/>
                <w:bottom w:val="none" w:sz="0" w:space="0" w:color="auto"/>
                <w:right w:val="none" w:sz="0" w:space="0" w:color="auto"/>
              </w:divBdr>
            </w:div>
            <w:div w:id="1256133963">
              <w:marLeft w:val="0"/>
              <w:marRight w:val="0"/>
              <w:marTop w:val="0"/>
              <w:marBottom w:val="0"/>
              <w:divBdr>
                <w:top w:val="none" w:sz="0" w:space="0" w:color="auto"/>
                <w:left w:val="none" w:sz="0" w:space="0" w:color="auto"/>
                <w:bottom w:val="none" w:sz="0" w:space="0" w:color="auto"/>
                <w:right w:val="none" w:sz="0" w:space="0" w:color="auto"/>
              </w:divBdr>
            </w:div>
            <w:div w:id="1500928071">
              <w:marLeft w:val="0"/>
              <w:marRight w:val="0"/>
              <w:marTop w:val="0"/>
              <w:marBottom w:val="0"/>
              <w:divBdr>
                <w:top w:val="none" w:sz="0" w:space="0" w:color="auto"/>
                <w:left w:val="none" w:sz="0" w:space="0" w:color="auto"/>
                <w:bottom w:val="none" w:sz="0" w:space="0" w:color="auto"/>
                <w:right w:val="none" w:sz="0" w:space="0" w:color="auto"/>
              </w:divBdr>
            </w:div>
            <w:div w:id="1705861055">
              <w:marLeft w:val="0"/>
              <w:marRight w:val="0"/>
              <w:marTop w:val="0"/>
              <w:marBottom w:val="0"/>
              <w:divBdr>
                <w:top w:val="none" w:sz="0" w:space="0" w:color="auto"/>
                <w:left w:val="none" w:sz="0" w:space="0" w:color="auto"/>
                <w:bottom w:val="none" w:sz="0" w:space="0" w:color="auto"/>
                <w:right w:val="none" w:sz="0" w:space="0" w:color="auto"/>
              </w:divBdr>
            </w:div>
            <w:div w:id="1826124354">
              <w:marLeft w:val="0"/>
              <w:marRight w:val="0"/>
              <w:marTop w:val="0"/>
              <w:marBottom w:val="0"/>
              <w:divBdr>
                <w:top w:val="none" w:sz="0" w:space="0" w:color="auto"/>
                <w:left w:val="none" w:sz="0" w:space="0" w:color="auto"/>
                <w:bottom w:val="none" w:sz="0" w:space="0" w:color="auto"/>
                <w:right w:val="none" w:sz="0" w:space="0" w:color="auto"/>
              </w:divBdr>
            </w:div>
            <w:div w:id="1828474439">
              <w:marLeft w:val="0"/>
              <w:marRight w:val="0"/>
              <w:marTop w:val="0"/>
              <w:marBottom w:val="0"/>
              <w:divBdr>
                <w:top w:val="none" w:sz="0" w:space="0" w:color="auto"/>
                <w:left w:val="none" w:sz="0" w:space="0" w:color="auto"/>
                <w:bottom w:val="none" w:sz="0" w:space="0" w:color="auto"/>
                <w:right w:val="none" w:sz="0" w:space="0" w:color="auto"/>
              </w:divBdr>
            </w:div>
            <w:div w:id="2053461178">
              <w:marLeft w:val="0"/>
              <w:marRight w:val="0"/>
              <w:marTop w:val="0"/>
              <w:marBottom w:val="0"/>
              <w:divBdr>
                <w:top w:val="none" w:sz="0" w:space="0" w:color="auto"/>
                <w:left w:val="none" w:sz="0" w:space="0" w:color="auto"/>
                <w:bottom w:val="none" w:sz="0" w:space="0" w:color="auto"/>
                <w:right w:val="none" w:sz="0" w:space="0" w:color="auto"/>
              </w:divBdr>
            </w:div>
          </w:divsChild>
        </w:div>
        <w:div w:id="1128233078">
          <w:marLeft w:val="0"/>
          <w:marRight w:val="0"/>
          <w:marTop w:val="0"/>
          <w:marBottom w:val="0"/>
          <w:divBdr>
            <w:top w:val="none" w:sz="0" w:space="0" w:color="auto"/>
            <w:left w:val="none" w:sz="0" w:space="0" w:color="auto"/>
            <w:bottom w:val="none" w:sz="0" w:space="0" w:color="auto"/>
            <w:right w:val="none" w:sz="0" w:space="0" w:color="auto"/>
          </w:divBdr>
          <w:divsChild>
            <w:div w:id="701245985">
              <w:marLeft w:val="0"/>
              <w:marRight w:val="0"/>
              <w:marTop w:val="0"/>
              <w:marBottom w:val="0"/>
              <w:divBdr>
                <w:top w:val="none" w:sz="0" w:space="0" w:color="auto"/>
                <w:left w:val="none" w:sz="0" w:space="0" w:color="auto"/>
                <w:bottom w:val="none" w:sz="0" w:space="0" w:color="auto"/>
                <w:right w:val="none" w:sz="0" w:space="0" w:color="auto"/>
              </w:divBdr>
            </w:div>
            <w:div w:id="865481440">
              <w:marLeft w:val="0"/>
              <w:marRight w:val="0"/>
              <w:marTop w:val="0"/>
              <w:marBottom w:val="0"/>
              <w:divBdr>
                <w:top w:val="none" w:sz="0" w:space="0" w:color="auto"/>
                <w:left w:val="none" w:sz="0" w:space="0" w:color="auto"/>
                <w:bottom w:val="none" w:sz="0" w:space="0" w:color="auto"/>
                <w:right w:val="none" w:sz="0" w:space="0" w:color="auto"/>
              </w:divBdr>
            </w:div>
            <w:div w:id="1170608240">
              <w:marLeft w:val="0"/>
              <w:marRight w:val="0"/>
              <w:marTop w:val="0"/>
              <w:marBottom w:val="0"/>
              <w:divBdr>
                <w:top w:val="none" w:sz="0" w:space="0" w:color="auto"/>
                <w:left w:val="none" w:sz="0" w:space="0" w:color="auto"/>
                <w:bottom w:val="none" w:sz="0" w:space="0" w:color="auto"/>
                <w:right w:val="none" w:sz="0" w:space="0" w:color="auto"/>
              </w:divBdr>
            </w:div>
            <w:div w:id="2057586287">
              <w:marLeft w:val="0"/>
              <w:marRight w:val="0"/>
              <w:marTop w:val="0"/>
              <w:marBottom w:val="0"/>
              <w:divBdr>
                <w:top w:val="none" w:sz="0" w:space="0" w:color="auto"/>
                <w:left w:val="none" w:sz="0" w:space="0" w:color="auto"/>
                <w:bottom w:val="none" w:sz="0" w:space="0" w:color="auto"/>
                <w:right w:val="none" w:sz="0" w:space="0" w:color="auto"/>
              </w:divBdr>
            </w:div>
          </w:divsChild>
        </w:div>
        <w:div w:id="1131706368">
          <w:marLeft w:val="0"/>
          <w:marRight w:val="0"/>
          <w:marTop w:val="0"/>
          <w:marBottom w:val="0"/>
          <w:divBdr>
            <w:top w:val="none" w:sz="0" w:space="0" w:color="auto"/>
            <w:left w:val="none" w:sz="0" w:space="0" w:color="auto"/>
            <w:bottom w:val="none" w:sz="0" w:space="0" w:color="auto"/>
            <w:right w:val="none" w:sz="0" w:space="0" w:color="auto"/>
          </w:divBdr>
          <w:divsChild>
            <w:div w:id="873931393">
              <w:marLeft w:val="0"/>
              <w:marRight w:val="0"/>
              <w:marTop w:val="0"/>
              <w:marBottom w:val="0"/>
              <w:divBdr>
                <w:top w:val="none" w:sz="0" w:space="0" w:color="auto"/>
                <w:left w:val="none" w:sz="0" w:space="0" w:color="auto"/>
                <w:bottom w:val="none" w:sz="0" w:space="0" w:color="auto"/>
                <w:right w:val="none" w:sz="0" w:space="0" w:color="auto"/>
              </w:divBdr>
            </w:div>
            <w:div w:id="1115515353">
              <w:marLeft w:val="0"/>
              <w:marRight w:val="0"/>
              <w:marTop w:val="0"/>
              <w:marBottom w:val="0"/>
              <w:divBdr>
                <w:top w:val="none" w:sz="0" w:space="0" w:color="auto"/>
                <w:left w:val="none" w:sz="0" w:space="0" w:color="auto"/>
                <w:bottom w:val="none" w:sz="0" w:space="0" w:color="auto"/>
                <w:right w:val="none" w:sz="0" w:space="0" w:color="auto"/>
              </w:divBdr>
            </w:div>
          </w:divsChild>
        </w:div>
        <w:div w:id="1131872720">
          <w:marLeft w:val="0"/>
          <w:marRight w:val="0"/>
          <w:marTop w:val="0"/>
          <w:marBottom w:val="0"/>
          <w:divBdr>
            <w:top w:val="none" w:sz="0" w:space="0" w:color="auto"/>
            <w:left w:val="none" w:sz="0" w:space="0" w:color="auto"/>
            <w:bottom w:val="none" w:sz="0" w:space="0" w:color="auto"/>
            <w:right w:val="none" w:sz="0" w:space="0" w:color="auto"/>
          </w:divBdr>
          <w:divsChild>
            <w:div w:id="777869380">
              <w:marLeft w:val="0"/>
              <w:marRight w:val="0"/>
              <w:marTop w:val="0"/>
              <w:marBottom w:val="0"/>
              <w:divBdr>
                <w:top w:val="none" w:sz="0" w:space="0" w:color="auto"/>
                <w:left w:val="none" w:sz="0" w:space="0" w:color="auto"/>
                <w:bottom w:val="none" w:sz="0" w:space="0" w:color="auto"/>
                <w:right w:val="none" w:sz="0" w:space="0" w:color="auto"/>
              </w:divBdr>
            </w:div>
          </w:divsChild>
        </w:div>
        <w:div w:id="1137146580">
          <w:marLeft w:val="0"/>
          <w:marRight w:val="0"/>
          <w:marTop w:val="0"/>
          <w:marBottom w:val="0"/>
          <w:divBdr>
            <w:top w:val="none" w:sz="0" w:space="0" w:color="auto"/>
            <w:left w:val="none" w:sz="0" w:space="0" w:color="auto"/>
            <w:bottom w:val="none" w:sz="0" w:space="0" w:color="auto"/>
            <w:right w:val="none" w:sz="0" w:space="0" w:color="auto"/>
          </w:divBdr>
          <w:divsChild>
            <w:div w:id="1664580985">
              <w:marLeft w:val="0"/>
              <w:marRight w:val="0"/>
              <w:marTop w:val="0"/>
              <w:marBottom w:val="0"/>
              <w:divBdr>
                <w:top w:val="none" w:sz="0" w:space="0" w:color="auto"/>
                <w:left w:val="none" w:sz="0" w:space="0" w:color="auto"/>
                <w:bottom w:val="none" w:sz="0" w:space="0" w:color="auto"/>
                <w:right w:val="none" w:sz="0" w:space="0" w:color="auto"/>
              </w:divBdr>
            </w:div>
          </w:divsChild>
        </w:div>
        <w:div w:id="1149596559">
          <w:marLeft w:val="0"/>
          <w:marRight w:val="0"/>
          <w:marTop w:val="0"/>
          <w:marBottom w:val="0"/>
          <w:divBdr>
            <w:top w:val="none" w:sz="0" w:space="0" w:color="auto"/>
            <w:left w:val="none" w:sz="0" w:space="0" w:color="auto"/>
            <w:bottom w:val="none" w:sz="0" w:space="0" w:color="auto"/>
            <w:right w:val="none" w:sz="0" w:space="0" w:color="auto"/>
          </w:divBdr>
          <w:divsChild>
            <w:div w:id="1567303111">
              <w:marLeft w:val="0"/>
              <w:marRight w:val="0"/>
              <w:marTop w:val="0"/>
              <w:marBottom w:val="0"/>
              <w:divBdr>
                <w:top w:val="none" w:sz="0" w:space="0" w:color="auto"/>
                <w:left w:val="none" w:sz="0" w:space="0" w:color="auto"/>
                <w:bottom w:val="none" w:sz="0" w:space="0" w:color="auto"/>
                <w:right w:val="none" w:sz="0" w:space="0" w:color="auto"/>
              </w:divBdr>
            </w:div>
          </w:divsChild>
        </w:div>
        <w:div w:id="1171603906">
          <w:marLeft w:val="0"/>
          <w:marRight w:val="0"/>
          <w:marTop w:val="0"/>
          <w:marBottom w:val="0"/>
          <w:divBdr>
            <w:top w:val="none" w:sz="0" w:space="0" w:color="auto"/>
            <w:left w:val="none" w:sz="0" w:space="0" w:color="auto"/>
            <w:bottom w:val="none" w:sz="0" w:space="0" w:color="auto"/>
            <w:right w:val="none" w:sz="0" w:space="0" w:color="auto"/>
          </w:divBdr>
          <w:divsChild>
            <w:div w:id="670182848">
              <w:marLeft w:val="0"/>
              <w:marRight w:val="0"/>
              <w:marTop w:val="0"/>
              <w:marBottom w:val="0"/>
              <w:divBdr>
                <w:top w:val="none" w:sz="0" w:space="0" w:color="auto"/>
                <w:left w:val="none" w:sz="0" w:space="0" w:color="auto"/>
                <w:bottom w:val="none" w:sz="0" w:space="0" w:color="auto"/>
                <w:right w:val="none" w:sz="0" w:space="0" w:color="auto"/>
              </w:divBdr>
            </w:div>
          </w:divsChild>
        </w:div>
        <w:div w:id="1173183316">
          <w:marLeft w:val="0"/>
          <w:marRight w:val="0"/>
          <w:marTop w:val="0"/>
          <w:marBottom w:val="0"/>
          <w:divBdr>
            <w:top w:val="none" w:sz="0" w:space="0" w:color="auto"/>
            <w:left w:val="none" w:sz="0" w:space="0" w:color="auto"/>
            <w:bottom w:val="none" w:sz="0" w:space="0" w:color="auto"/>
            <w:right w:val="none" w:sz="0" w:space="0" w:color="auto"/>
          </w:divBdr>
          <w:divsChild>
            <w:div w:id="1527863531">
              <w:marLeft w:val="0"/>
              <w:marRight w:val="0"/>
              <w:marTop w:val="0"/>
              <w:marBottom w:val="0"/>
              <w:divBdr>
                <w:top w:val="none" w:sz="0" w:space="0" w:color="auto"/>
                <w:left w:val="none" w:sz="0" w:space="0" w:color="auto"/>
                <w:bottom w:val="none" w:sz="0" w:space="0" w:color="auto"/>
                <w:right w:val="none" w:sz="0" w:space="0" w:color="auto"/>
              </w:divBdr>
            </w:div>
          </w:divsChild>
        </w:div>
        <w:div w:id="1182361015">
          <w:marLeft w:val="0"/>
          <w:marRight w:val="0"/>
          <w:marTop w:val="0"/>
          <w:marBottom w:val="0"/>
          <w:divBdr>
            <w:top w:val="none" w:sz="0" w:space="0" w:color="auto"/>
            <w:left w:val="none" w:sz="0" w:space="0" w:color="auto"/>
            <w:bottom w:val="none" w:sz="0" w:space="0" w:color="auto"/>
            <w:right w:val="none" w:sz="0" w:space="0" w:color="auto"/>
          </w:divBdr>
          <w:divsChild>
            <w:div w:id="2035691745">
              <w:marLeft w:val="0"/>
              <w:marRight w:val="0"/>
              <w:marTop w:val="0"/>
              <w:marBottom w:val="0"/>
              <w:divBdr>
                <w:top w:val="none" w:sz="0" w:space="0" w:color="auto"/>
                <w:left w:val="none" w:sz="0" w:space="0" w:color="auto"/>
                <w:bottom w:val="none" w:sz="0" w:space="0" w:color="auto"/>
                <w:right w:val="none" w:sz="0" w:space="0" w:color="auto"/>
              </w:divBdr>
            </w:div>
          </w:divsChild>
        </w:div>
        <w:div w:id="1182665884">
          <w:marLeft w:val="0"/>
          <w:marRight w:val="0"/>
          <w:marTop w:val="0"/>
          <w:marBottom w:val="0"/>
          <w:divBdr>
            <w:top w:val="none" w:sz="0" w:space="0" w:color="auto"/>
            <w:left w:val="none" w:sz="0" w:space="0" w:color="auto"/>
            <w:bottom w:val="none" w:sz="0" w:space="0" w:color="auto"/>
            <w:right w:val="none" w:sz="0" w:space="0" w:color="auto"/>
          </w:divBdr>
          <w:divsChild>
            <w:div w:id="564224228">
              <w:marLeft w:val="0"/>
              <w:marRight w:val="0"/>
              <w:marTop w:val="0"/>
              <w:marBottom w:val="0"/>
              <w:divBdr>
                <w:top w:val="none" w:sz="0" w:space="0" w:color="auto"/>
                <w:left w:val="none" w:sz="0" w:space="0" w:color="auto"/>
                <w:bottom w:val="none" w:sz="0" w:space="0" w:color="auto"/>
                <w:right w:val="none" w:sz="0" w:space="0" w:color="auto"/>
              </w:divBdr>
            </w:div>
            <w:div w:id="628513670">
              <w:marLeft w:val="0"/>
              <w:marRight w:val="0"/>
              <w:marTop w:val="0"/>
              <w:marBottom w:val="0"/>
              <w:divBdr>
                <w:top w:val="none" w:sz="0" w:space="0" w:color="auto"/>
                <w:left w:val="none" w:sz="0" w:space="0" w:color="auto"/>
                <w:bottom w:val="none" w:sz="0" w:space="0" w:color="auto"/>
                <w:right w:val="none" w:sz="0" w:space="0" w:color="auto"/>
              </w:divBdr>
            </w:div>
          </w:divsChild>
        </w:div>
        <w:div w:id="1183665947">
          <w:marLeft w:val="0"/>
          <w:marRight w:val="0"/>
          <w:marTop w:val="0"/>
          <w:marBottom w:val="0"/>
          <w:divBdr>
            <w:top w:val="none" w:sz="0" w:space="0" w:color="auto"/>
            <w:left w:val="none" w:sz="0" w:space="0" w:color="auto"/>
            <w:bottom w:val="none" w:sz="0" w:space="0" w:color="auto"/>
            <w:right w:val="none" w:sz="0" w:space="0" w:color="auto"/>
          </w:divBdr>
          <w:divsChild>
            <w:div w:id="1902518296">
              <w:marLeft w:val="0"/>
              <w:marRight w:val="0"/>
              <w:marTop w:val="0"/>
              <w:marBottom w:val="0"/>
              <w:divBdr>
                <w:top w:val="none" w:sz="0" w:space="0" w:color="auto"/>
                <w:left w:val="none" w:sz="0" w:space="0" w:color="auto"/>
                <w:bottom w:val="none" w:sz="0" w:space="0" w:color="auto"/>
                <w:right w:val="none" w:sz="0" w:space="0" w:color="auto"/>
              </w:divBdr>
            </w:div>
          </w:divsChild>
        </w:div>
        <w:div w:id="1185560487">
          <w:marLeft w:val="0"/>
          <w:marRight w:val="0"/>
          <w:marTop w:val="0"/>
          <w:marBottom w:val="0"/>
          <w:divBdr>
            <w:top w:val="none" w:sz="0" w:space="0" w:color="auto"/>
            <w:left w:val="none" w:sz="0" w:space="0" w:color="auto"/>
            <w:bottom w:val="none" w:sz="0" w:space="0" w:color="auto"/>
            <w:right w:val="none" w:sz="0" w:space="0" w:color="auto"/>
          </w:divBdr>
          <w:divsChild>
            <w:div w:id="764350247">
              <w:marLeft w:val="0"/>
              <w:marRight w:val="0"/>
              <w:marTop w:val="0"/>
              <w:marBottom w:val="0"/>
              <w:divBdr>
                <w:top w:val="none" w:sz="0" w:space="0" w:color="auto"/>
                <w:left w:val="none" w:sz="0" w:space="0" w:color="auto"/>
                <w:bottom w:val="none" w:sz="0" w:space="0" w:color="auto"/>
                <w:right w:val="none" w:sz="0" w:space="0" w:color="auto"/>
              </w:divBdr>
            </w:div>
          </w:divsChild>
        </w:div>
        <w:div w:id="1193376456">
          <w:marLeft w:val="0"/>
          <w:marRight w:val="0"/>
          <w:marTop w:val="0"/>
          <w:marBottom w:val="0"/>
          <w:divBdr>
            <w:top w:val="none" w:sz="0" w:space="0" w:color="auto"/>
            <w:left w:val="none" w:sz="0" w:space="0" w:color="auto"/>
            <w:bottom w:val="none" w:sz="0" w:space="0" w:color="auto"/>
            <w:right w:val="none" w:sz="0" w:space="0" w:color="auto"/>
          </w:divBdr>
          <w:divsChild>
            <w:div w:id="621229722">
              <w:marLeft w:val="0"/>
              <w:marRight w:val="0"/>
              <w:marTop w:val="0"/>
              <w:marBottom w:val="0"/>
              <w:divBdr>
                <w:top w:val="none" w:sz="0" w:space="0" w:color="auto"/>
                <w:left w:val="none" w:sz="0" w:space="0" w:color="auto"/>
                <w:bottom w:val="none" w:sz="0" w:space="0" w:color="auto"/>
                <w:right w:val="none" w:sz="0" w:space="0" w:color="auto"/>
              </w:divBdr>
            </w:div>
          </w:divsChild>
        </w:div>
        <w:div w:id="1195195101">
          <w:marLeft w:val="0"/>
          <w:marRight w:val="0"/>
          <w:marTop w:val="0"/>
          <w:marBottom w:val="0"/>
          <w:divBdr>
            <w:top w:val="none" w:sz="0" w:space="0" w:color="auto"/>
            <w:left w:val="none" w:sz="0" w:space="0" w:color="auto"/>
            <w:bottom w:val="none" w:sz="0" w:space="0" w:color="auto"/>
            <w:right w:val="none" w:sz="0" w:space="0" w:color="auto"/>
          </w:divBdr>
          <w:divsChild>
            <w:div w:id="180314798">
              <w:marLeft w:val="0"/>
              <w:marRight w:val="0"/>
              <w:marTop w:val="0"/>
              <w:marBottom w:val="0"/>
              <w:divBdr>
                <w:top w:val="none" w:sz="0" w:space="0" w:color="auto"/>
                <w:left w:val="none" w:sz="0" w:space="0" w:color="auto"/>
                <w:bottom w:val="none" w:sz="0" w:space="0" w:color="auto"/>
                <w:right w:val="none" w:sz="0" w:space="0" w:color="auto"/>
              </w:divBdr>
            </w:div>
          </w:divsChild>
        </w:div>
        <w:div w:id="1196850634">
          <w:marLeft w:val="0"/>
          <w:marRight w:val="0"/>
          <w:marTop w:val="0"/>
          <w:marBottom w:val="0"/>
          <w:divBdr>
            <w:top w:val="none" w:sz="0" w:space="0" w:color="auto"/>
            <w:left w:val="none" w:sz="0" w:space="0" w:color="auto"/>
            <w:bottom w:val="none" w:sz="0" w:space="0" w:color="auto"/>
            <w:right w:val="none" w:sz="0" w:space="0" w:color="auto"/>
          </w:divBdr>
          <w:divsChild>
            <w:div w:id="36130063">
              <w:marLeft w:val="0"/>
              <w:marRight w:val="0"/>
              <w:marTop w:val="0"/>
              <w:marBottom w:val="0"/>
              <w:divBdr>
                <w:top w:val="none" w:sz="0" w:space="0" w:color="auto"/>
                <w:left w:val="none" w:sz="0" w:space="0" w:color="auto"/>
                <w:bottom w:val="none" w:sz="0" w:space="0" w:color="auto"/>
                <w:right w:val="none" w:sz="0" w:space="0" w:color="auto"/>
              </w:divBdr>
            </w:div>
            <w:div w:id="697315665">
              <w:marLeft w:val="0"/>
              <w:marRight w:val="0"/>
              <w:marTop w:val="0"/>
              <w:marBottom w:val="0"/>
              <w:divBdr>
                <w:top w:val="none" w:sz="0" w:space="0" w:color="auto"/>
                <w:left w:val="none" w:sz="0" w:space="0" w:color="auto"/>
                <w:bottom w:val="none" w:sz="0" w:space="0" w:color="auto"/>
                <w:right w:val="none" w:sz="0" w:space="0" w:color="auto"/>
              </w:divBdr>
            </w:div>
            <w:div w:id="1485243574">
              <w:marLeft w:val="0"/>
              <w:marRight w:val="0"/>
              <w:marTop w:val="0"/>
              <w:marBottom w:val="0"/>
              <w:divBdr>
                <w:top w:val="none" w:sz="0" w:space="0" w:color="auto"/>
                <w:left w:val="none" w:sz="0" w:space="0" w:color="auto"/>
                <w:bottom w:val="none" w:sz="0" w:space="0" w:color="auto"/>
                <w:right w:val="none" w:sz="0" w:space="0" w:color="auto"/>
              </w:divBdr>
            </w:div>
          </w:divsChild>
        </w:div>
        <w:div w:id="1197305701">
          <w:marLeft w:val="0"/>
          <w:marRight w:val="0"/>
          <w:marTop w:val="0"/>
          <w:marBottom w:val="0"/>
          <w:divBdr>
            <w:top w:val="none" w:sz="0" w:space="0" w:color="auto"/>
            <w:left w:val="none" w:sz="0" w:space="0" w:color="auto"/>
            <w:bottom w:val="none" w:sz="0" w:space="0" w:color="auto"/>
            <w:right w:val="none" w:sz="0" w:space="0" w:color="auto"/>
          </w:divBdr>
          <w:divsChild>
            <w:div w:id="2125727733">
              <w:marLeft w:val="0"/>
              <w:marRight w:val="0"/>
              <w:marTop w:val="0"/>
              <w:marBottom w:val="0"/>
              <w:divBdr>
                <w:top w:val="none" w:sz="0" w:space="0" w:color="auto"/>
                <w:left w:val="none" w:sz="0" w:space="0" w:color="auto"/>
                <w:bottom w:val="none" w:sz="0" w:space="0" w:color="auto"/>
                <w:right w:val="none" w:sz="0" w:space="0" w:color="auto"/>
              </w:divBdr>
            </w:div>
          </w:divsChild>
        </w:div>
        <w:div w:id="1197817149">
          <w:marLeft w:val="0"/>
          <w:marRight w:val="0"/>
          <w:marTop w:val="0"/>
          <w:marBottom w:val="0"/>
          <w:divBdr>
            <w:top w:val="none" w:sz="0" w:space="0" w:color="auto"/>
            <w:left w:val="none" w:sz="0" w:space="0" w:color="auto"/>
            <w:bottom w:val="none" w:sz="0" w:space="0" w:color="auto"/>
            <w:right w:val="none" w:sz="0" w:space="0" w:color="auto"/>
          </w:divBdr>
          <w:divsChild>
            <w:div w:id="104036115">
              <w:marLeft w:val="0"/>
              <w:marRight w:val="0"/>
              <w:marTop w:val="0"/>
              <w:marBottom w:val="0"/>
              <w:divBdr>
                <w:top w:val="none" w:sz="0" w:space="0" w:color="auto"/>
                <w:left w:val="none" w:sz="0" w:space="0" w:color="auto"/>
                <w:bottom w:val="none" w:sz="0" w:space="0" w:color="auto"/>
                <w:right w:val="none" w:sz="0" w:space="0" w:color="auto"/>
              </w:divBdr>
            </w:div>
            <w:div w:id="682442760">
              <w:marLeft w:val="0"/>
              <w:marRight w:val="0"/>
              <w:marTop w:val="0"/>
              <w:marBottom w:val="0"/>
              <w:divBdr>
                <w:top w:val="none" w:sz="0" w:space="0" w:color="auto"/>
                <w:left w:val="none" w:sz="0" w:space="0" w:color="auto"/>
                <w:bottom w:val="none" w:sz="0" w:space="0" w:color="auto"/>
                <w:right w:val="none" w:sz="0" w:space="0" w:color="auto"/>
              </w:divBdr>
            </w:div>
            <w:div w:id="1513060712">
              <w:marLeft w:val="0"/>
              <w:marRight w:val="0"/>
              <w:marTop w:val="0"/>
              <w:marBottom w:val="0"/>
              <w:divBdr>
                <w:top w:val="none" w:sz="0" w:space="0" w:color="auto"/>
                <w:left w:val="none" w:sz="0" w:space="0" w:color="auto"/>
                <w:bottom w:val="none" w:sz="0" w:space="0" w:color="auto"/>
                <w:right w:val="none" w:sz="0" w:space="0" w:color="auto"/>
              </w:divBdr>
            </w:div>
          </w:divsChild>
        </w:div>
        <w:div w:id="1202287101">
          <w:marLeft w:val="0"/>
          <w:marRight w:val="0"/>
          <w:marTop w:val="0"/>
          <w:marBottom w:val="0"/>
          <w:divBdr>
            <w:top w:val="none" w:sz="0" w:space="0" w:color="auto"/>
            <w:left w:val="none" w:sz="0" w:space="0" w:color="auto"/>
            <w:bottom w:val="none" w:sz="0" w:space="0" w:color="auto"/>
            <w:right w:val="none" w:sz="0" w:space="0" w:color="auto"/>
          </w:divBdr>
          <w:divsChild>
            <w:div w:id="447702922">
              <w:marLeft w:val="0"/>
              <w:marRight w:val="0"/>
              <w:marTop w:val="0"/>
              <w:marBottom w:val="0"/>
              <w:divBdr>
                <w:top w:val="none" w:sz="0" w:space="0" w:color="auto"/>
                <w:left w:val="none" w:sz="0" w:space="0" w:color="auto"/>
                <w:bottom w:val="none" w:sz="0" w:space="0" w:color="auto"/>
                <w:right w:val="none" w:sz="0" w:space="0" w:color="auto"/>
              </w:divBdr>
            </w:div>
            <w:div w:id="543368365">
              <w:marLeft w:val="0"/>
              <w:marRight w:val="0"/>
              <w:marTop w:val="0"/>
              <w:marBottom w:val="0"/>
              <w:divBdr>
                <w:top w:val="none" w:sz="0" w:space="0" w:color="auto"/>
                <w:left w:val="none" w:sz="0" w:space="0" w:color="auto"/>
                <w:bottom w:val="none" w:sz="0" w:space="0" w:color="auto"/>
                <w:right w:val="none" w:sz="0" w:space="0" w:color="auto"/>
              </w:divBdr>
            </w:div>
            <w:div w:id="741372177">
              <w:marLeft w:val="0"/>
              <w:marRight w:val="0"/>
              <w:marTop w:val="0"/>
              <w:marBottom w:val="0"/>
              <w:divBdr>
                <w:top w:val="none" w:sz="0" w:space="0" w:color="auto"/>
                <w:left w:val="none" w:sz="0" w:space="0" w:color="auto"/>
                <w:bottom w:val="none" w:sz="0" w:space="0" w:color="auto"/>
                <w:right w:val="none" w:sz="0" w:space="0" w:color="auto"/>
              </w:divBdr>
            </w:div>
            <w:div w:id="982659857">
              <w:marLeft w:val="0"/>
              <w:marRight w:val="0"/>
              <w:marTop w:val="0"/>
              <w:marBottom w:val="0"/>
              <w:divBdr>
                <w:top w:val="none" w:sz="0" w:space="0" w:color="auto"/>
                <w:left w:val="none" w:sz="0" w:space="0" w:color="auto"/>
                <w:bottom w:val="none" w:sz="0" w:space="0" w:color="auto"/>
                <w:right w:val="none" w:sz="0" w:space="0" w:color="auto"/>
              </w:divBdr>
            </w:div>
            <w:div w:id="1201360497">
              <w:marLeft w:val="0"/>
              <w:marRight w:val="0"/>
              <w:marTop w:val="0"/>
              <w:marBottom w:val="0"/>
              <w:divBdr>
                <w:top w:val="none" w:sz="0" w:space="0" w:color="auto"/>
                <w:left w:val="none" w:sz="0" w:space="0" w:color="auto"/>
                <w:bottom w:val="none" w:sz="0" w:space="0" w:color="auto"/>
                <w:right w:val="none" w:sz="0" w:space="0" w:color="auto"/>
              </w:divBdr>
            </w:div>
            <w:div w:id="1703286650">
              <w:marLeft w:val="0"/>
              <w:marRight w:val="0"/>
              <w:marTop w:val="0"/>
              <w:marBottom w:val="0"/>
              <w:divBdr>
                <w:top w:val="none" w:sz="0" w:space="0" w:color="auto"/>
                <w:left w:val="none" w:sz="0" w:space="0" w:color="auto"/>
                <w:bottom w:val="none" w:sz="0" w:space="0" w:color="auto"/>
                <w:right w:val="none" w:sz="0" w:space="0" w:color="auto"/>
              </w:divBdr>
            </w:div>
          </w:divsChild>
        </w:div>
        <w:div w:id="1205412956">
          <w:marLeft w:val="0"/>
          <w:marRight w:val="0"/>
          <w:marTop w:val="0"/>
          <w:marBottom w:val="0"/>
          <w:divBdr>
            <w:top w:val="none" w:sz="0" w:space="0" w:color="auto"/>
            <w:left w:val="none" w:sz="0" w:space="0" w:color="auto"/>
            <w:bottom w:val="none" w:sz="0" w:space="0" w:color="auto"/>
            <w:right w:val="none" w:sz="0" w:space="0" w:color="auto"/>
          </w:divBdr>
          <w:divsChild>
            <w:div w:id="1341928213">
              <w:marLeft w:val="0"/>
              <w:marRight w:val="0"/>
              <w:marTop w:val="0"/>
              <w:marBottom w:val="0"/>
              <w:divBdr>
                <w:top w:val="none" w:sz="0" w:space="0" w:color="auto"/>
                <w:left w:val="none" w:sz="0" w:space="0" w:color="auto"/>
                <w:bottom w:val="none" w:sz="0" w:space="0" w:color="auto"/>
                <w:right w:val="none" w:sz="0" w:space="0" w:color="auto"/>
              </w:divBdr>
            </w:div>
          </w:divsChild>
        </w:div>
        <w:div w:id="1208839915">
          <w:marLeft w:val="0"/>
          <w:marRight w:val="0"/>
          <w:marTop w:val="0"/>
          <w:marBottom w:val="0"/>
          <w:divBdr>
            <w:top w:val="none" w:sz="0" w:space="0" w:color="auto"/>
            <w:left w:val="none" w:sz="0" w:space="0" w:color="auto"/>
            <w:bottom w:val="none" w:sz="0" w:space="0" w:color="auto"/>
            <w:right w:val="none" w:sz="0" w:space="0" w:color="auto"/>
          </w:divBdr>
          <w:divsChild>
            <w:div w:id="810558698">
              <w:marLeft w:val="0"/>
              <w:marRight w:val="0"/>
              <w:marTop w:val="0"/>
              <w:marBottom w:val="0"/>
              <w:divBdr>
                <w:top w:val="none" w:sz="0" w:space="0" w:color="auto"/>
                <w:left w:val="none" w:sz="0" w:space="0" w:color="auto"/>
                <w:bottom w:val="none" w:sz="0" w:space="0" w:color="auto"/>
                <w:right w:val="none" w:sz="0" w:space="0" w:color="auto"/>
              </w:divBdr>
            </w:div>
          </w:divsChild>
        </w:div>
        <w:div w:id="1209612139">
          <w:marLeft w:val="0"/>
          <w:marRight w:val="0"/>
          <w:marTop w:val="0"/>
          <w:marBottom w:val="0"/>
          <w:divBdr>
            <w:top w:val="none" w:sz="0" w:space="0" w:color="auto"/>
            <w:left w:val="none" w:sz="0" w:space="0" w:color="auto"/>
            <w:bottom w:val="none" w:sz="0" w:space="0" w:color="auto"/>
            <w:right w:val="none" w:sz="0" w:space="0" w:color="auto"/>
          </w:divBdr>
          <w:divsChild>
            <w:div w:id="1301888583">
              <w:marLeft w:val="0"/>
              <w:marRight w:val="0"/>
              <w:marTop w:val="0"/>
              <w:marBottom w:val="0"/>
              <w:divBdr>
                <w:top w:val="none" w:sz="0" w:space="0" w:color="auto"/>
                <w:left w:val="none" w:sz="0" w:space="0" w:color="auto"/>
                <w:bottom w:val="none" w:sz="0" w:space="0" w:color="auto"/>
                <w:right w:val="none" w:sz="0" w:space="0" w:color="auto"/>
              </w:divBdr>
            </w:div>
          </w:divsChild>
        </w:div>
        <w:div w:id="1212234332">
          <w:marLeft w:val="0"/>
          <w:marRight w:val="0"/>
          <w:marTop w:val="0"/>
          <w:marBottom w:val="0"/>
          <w:divBdr>
            <w:top w:val="none" w:sz="0" w:space="0" w:color="auto"/>
            <w:left w:val="none" w:sz="0" w:space="0" w:color="auto"/>
            <w:bottom w:val="none" w:sz="0" w:space="0" w:color="auto"/>
            <w:right w:val="none" w:sz="0" w:space="0" w:color="auto"/>
          </w:divBdr>
          <w:divsChild>
            <w:div w:id="65223092">
              <w:marLeft w:val="0"/>
              <w:marRight w:val="0"/>
              <w:marTop w:val="0"/>
              <w:marBottom w:val="0"/>
              <w:divBdr>
                <w:top w:val="none" w:sz="0" w:space="0" w:color="auto"/>
                <w:left w:val="none" w:sz="0" w:space="0" w:color="auto"/>
                <w:bottom w:val="none" w:sz="0" w:space="0" w:color="auto"/>
                <w:right w:val="none" w:sz="0" w:space="0" w:color="auto"/>
              </w:divBdr>
            </w:div>
          </w:divsChild>
        </w:div>
        <w:div w:id="1216744631">
          <w:marLeft w:val="0"/>
          <w:marRight w:val="0"/>
          <w:marTop w:val="0"/>
          <w:marBottom w:val="0"/>
          <w:divBdr>
            <w:top w:val="none" w:sz="0" w:space="0" w:color="auto"/>
            <w:left w:val="none" w:sz="0" w:space="0" w:color="auto"/>
            <w:bottom w:val="none" w:sz="0" w:space="0" w:color="auto"/>
            <w:right w:val="none" w:sz="0" w:space="0" w:color="auto"/>
          </w:divBdr>
          <w:divsChild>
            <w:div w:id="1758288380">
              <w:marLeft w:val="0"/>
              <w:marRight w:val="0"/>
              <w:marTop w:val="0"/>
              <w:marBottom w:val="0"/>
              <w:divBdr>
                <w:top w:val="none" w:sz="0" w:space="0" w:color="auto"/>
                <w:left w:val="none" w:sz="0" w:space="0" w:color="auto"/>
                <w:bottom w:val="none" w:sz="0" w:space="0" w:color="auto"/>
                <w:right w:val="none" w:sz="0" w:space="0" w:color="auto"/>
              </w:divBdr>
            </w:div>
          </w:divsChild>
        </w:div>
        <w:div w:id="1227952492">
          <w:marLeft w:val="0"/>
          <w:marRight w:val="0"/>
          <w:marTop w:val="0"/>
          <w:marBottom w:val="0"/>
          <w:divBdr>
            <w:top w:val="none" w:sz="0" w:space="0" w:color="auto"/>
            <w:left w:val="none" w:sz="0" w:space="0" w:color="auto"/>
            <w:bottom w:val="none" w:sz="0" w:space="0" w:color="auto"/>
            <w:right w:val="none" w:sz="0" w:space="0" w:color="auto"/>
          </w:divBdr>
          <w:divsChild>
            <w:div w:id="766653143">
              <w:marLeft w:val="0"/>
              <w:marRight w:val="0"/>
              <w:marTop w:val="0"/>
              <w:marBottom w:val="0"/>
              <w:divBdr>
                <w:top w:val="none" w:sz="0" w:space="0" w:color="auto"/>
                <w:left w:val="none" w:sz="0" w:space="0" w:color="auto"/>
                <w:bottom w:val="none" w:sz="0" w:space="0" w:color="auto"/>
                <w:right w:val="none" w:sz="0" w:space="0" w:color="auto"/>
              </w:divBdr>
            </w:div>
            <w:div w:id="2115708045">
              <w:marLeft w:val="0"/>
              <w:marRight w:val="0"/>
              <w:marTop w:val="0"/>
              <w:marBottom w:val="0"/>
              <w:divBdr>
                <w:top w:val="none" w:sz="0" w:space="0" w:color="auto"/>
                <w:left w:val="none" w:sz="0" w:space="0" w:color="auto"/>
                <w:bottom w:val="none" w:sz="0" w:space="0" w:color="auto"/>
                <w:right w:val="none" w:sz="0" w:space="0" w:color="auto"/>
              </w:divBdr>
            </w:div>
          </w:divsChild>
        </w:div>
        <w:div w:id="1234855258">
          <w:marLeft w:val="0"/>
          <w:marRight w:val="0"/>
          <w:marTop w:val="0"/>
          <w:marBottom w:val="0"/>
          <w:divBdr>
            <w:top w:val="none" w:sz="0" w:space="0" w:color="auto"/>
            <w:left w:val="none" w:sz="0" w:space="0" w:color="auto"/>
            <w:bottom w:val="none" w:sz="0" w:space="0" w:color="auto"/>
            <w:right w:val="none" w:sz="0" w:space="0" w:color="auto"/>
          </w:divBdr>
          <w:divsChild>
            <w:div w:id="467206790">
              <w:marLeft w:val="0"/>
              <w:marRight w:val="0"/>
              <w:marTop w:val="0"/>
              <w:marBottom w:val="0"/>
              <w:divBdr>
                <w:top w:val="none" w:sz="0" w:space="0" w:color="auto"/>
                <w:left w:val="none" w:sz="0" w:space="0" w:color="auto"/>
                <w:bottom w:val="none" w:sz="0" w:space="0" w:color="auto"/>
                <w:right w:val="none" w:sz="0" w:space="0" w:color="auto"/>
              </w:divBdr>
            </w:div>
            <w:div w:id="1151755520">
              <w:marLeft w:val="0"/>
              <w:marRight w:val="0"/>
              <w:marTop w:val="0"/>
              <w:marBottom w:val="0"/>
              <w:divBdr>
                <w:top w:val="none" w:sz="0" w:space="0" w:color="auto"/>
                <w:left w:val="none" w:sz="0" w:space="0" w:color="auto"/>
                <w:bottom w:val="none" w:sz="0" w:space="0" w:color="auto"/>
                <w:right w:val="none" w:sz="0" w:space="0" w:color="auto"/>
              </w:divBdr>
            </w:div>
            <w:div w:id="1331255543">
              <w:marLeft w:val="0"/>
              <w:marRight w:val="0"/>
              <w:marTop w:val="0"/>
              <w:marBottom w:val="0"/>
              <w:divBdr>
                <w:top w:val="none" w:sz="0" w:space="0" w:color="auto"/>
                <w:left w:val="none" w:sz="0" w:space="0" w:color="auto"/>
                <w:bottom w:val="none" w:sz="0" w:space="0" w:color="auto"/>
                <w:right w:val="none" w:sz="0" w:space="0" w:color="auto"/>
              </w:divBdr>
            </w:div>
            <w:div w:id="1444567301">
              <w:marLeft w:val="0"/>
              <w:marRight w:val="0"/>
              <w:marTop w:val="0"/>
              <w:marBottom w:val="0"/>
              <w:divBdr>
                <w:top w:val="none" w:sz="0" w:space="0" w:color="auto"/>
                <w:left w:val="none" w:sz="0" w:space="0" w:color="auto"/>
                <w:bottom w:val="none" w:sz="0" w:space="0" w:color="auto"/>
                <w:right w:val="none" w:sz="0" w:space="0" w:color="auto"/>
              </w:divBdr>
            </w:div>
          </w:divsChild>
        </w:div>
        <w:div w:id="1249971324">
          <w:marLeft w:val="0"/>
          <w:marRight w:val="0"/>
          <w:marTop w:val="0"/>
          <w:marBottom w:val="0"/>
          <w:divBdr>
            <w:top w:val="none" w:sz="0" w:space="0" w:color="auto"/>
            <w:left w:val="none" w:sz="0" w:space="0" w:color="auto"/>
            <w:bottom w:val="none" w:sz="0" w:space="0" w:color="auto"/>
            <w:right w:val="none" w:sz="0" w:space="0" w:color="auto"/>
          </w:divBdr>
          <w:divsChild>
            <w:div w:id="1987588942">
              <w:marLeft w:val="0"/>
              <w:marRight w:val="0"/>
              <w:marTop w:val="0"/>
              <w:marBottom w:val="0"/>
              <w:divBdr>
                <w:top w:val="none" w:sz="0" w:space="0" w:color="auto"/>
                <w:left w:val="none" w:sz="0" w:space="0" w:color="auto"/>
                <w:bottom w:val="none" w:sz="0" w:space="0" w:color="auto"/>
                <w:right w:val="none" w:sz="0" w:space="0" w:color="auto"/>
              </w:divBdr>
            </w:div>
          </w:divsChild>
        </w:div>
        <w:div w:id="1253664261">
          <w:marLeft w:val="0"/>
          <w:marRight w:val="0"/>
          <w:marTop w:val="0"/>
          <w:marBottom w:val="0"/>
          <w:divBdr>
            <w:top w:val="none" w:sz="0" w:space="0" w:color="auto"/>
            <w:left w:val="none" w:sz="0" w:space="0" w:color="auto"/>
            <w:bottom w:val="none" w:sz="0" w:space="0" w:color="auto"/>
            <w:right w:val="none" w:sz="0" w:space="0" w:color="auto"/>
          </w:divBdr>
          <w:divsChild>
            <w:div w:id="1277374793">
              <w:marLeft w:val="0"/>
              <w:marRight w:val="0"/>
              <w:marTop w:val="0"/>
              <w:marBottom w:val="0"/>
              <w:divBdr>
                <w:top w:val="none" w:sz="0" w:space="0" w:color="auto"/>
                <w:left w:val="none" w:sz="0" w:space="0" w:color="auto"/>
                <w:bottom w:val="none" w:sz="0" w:space="0" w:color="auto"/>
                <w:right w:val="none" w:sz="0" w:space="0" w:color="auto"/>
              </w:divBdr>
            </w:div>
          </w:divsChild>
        </w:div>
        <w:div w:id="1256742137">
          <w:marLeft w:val="0"/>
          <w:marRight w:val="0"/>
          <w:marTop w:val="0"/>
          <w:marBottom w:val="0"/>
          <w:divBdr>
            <w:top w:val="none" w:sz="0" w:space="0" w:color="auto"/>
            <w:left w:val="none" w:sz="0" w:space="0" w:color="auto"/>
            <w:bottom w:val="none" w:sz="0" w:space="0" w:color="auto"/>
            <w:right w:val="none" w:sz="0" w:space="0" w:color="auto"/>
          </w:divBdr>
          <w:divsChild>
            <w:div w:id="304774428">
              <w:marLeft w:val="0"/>
              <w:marRight w:val="0"/>
              <w:marTop w:val="0"/>
              <w:marBottom w:val="0"/>
              <w:divBdr>
                <w:top w:val="none" w:sz="0" w:space="0" w:color="auto"/>
                <w:left w:val="none" w:sz="0" w:space="0" w:color="auto"/>
                <w:bottom w:val="none" w:sz="0" w:space="0" w:color="auto"/>
                <w:right w:val="none" w:sz="0" w:space="0" w:color="auto"/>
              </w:divBdr>
            </w:div>
            <w:div w:id="1982536576">
              <w:marLeft w:val="0"/>
              <w:marRight w:val="0"/>
              <w:marTop w:val="0"/>
              <w:marBottom w:val="0"/>
              <w:divBdr>
                <w:top w:val="none" w:sz="0" w:space="0" w:color="auto"/>
                <w:left w:val="none" w:sz="0" w:space="0" w:color="auto"/>
                <w:bottom w:val="none" w:sz="0" w:space="0" w:color="auto"/>
                <w:right w:val="none" w:sz="0" w:space="0" w:color="auto"/>
              </w:divBdr>
            </w:div>
          </w:divsChild>
        </w:div>
        <w:div w:id="1265577908">
          <w:marLeft w:val="0"/>
          <w:marRight w:val="0"/>
          <w:marTop w:val="0"/>
          <w:marBottom w:val="0"/>
          <w:divBdr>
            <w:top w:val="none" w:sz="0" w:space="0" w:color="auto"/>
            <w:left w:val="none" w:sz="0" w:space="0" w:color="auto"/>
            <w:bottom w:val="none" w:sz="0" w:space="0" w:color="auto"/>
            <w:right w:val="none" w:sz="0" w:space="0" w:color="auto"/>
          </w:divBdr>
          <w:divsChild>
            <w:div w:id="1713994113">
              <w:marLeft w:val="0"/>
              <w:marRight w:val="0"/>
              <w:marTop w:val="0"/>
              <w:marBottom w:val="0"/>
              <w:divBdr>
                <w:top w:val="none" w:sz="0" w:space="0" w:color="auto"/>
                <w:left w:val="none" w:sz="0" w:space="0" w:color="auto"/>
                <w:bottom w:val="none" w:sz="0" w:space="0" w:color="auto"/>
                <w:right w:val="none" w:sz="0" w:space="0" w:color="auto"/>
              </w:divBdr>
            </w:div>
            <w:div w:id="1811899468">
              <w:marLeft w:val="0"/>
              <w:marRight w:val="0"/>
              <w:marTop w:val="0"/>
              <w:marBottom w:val="0"/>
              <w:divBdr>
                <w:top w:val="none" w:sz="0" w:space="0" w:color="auto"/>
                <w:left w:val="none" w:sz="0" w:space="0" w:color="auto"/>
                <w:bottom w:val="none" w:sz="0" w:space="0" w:color="auto"/>
                <w:right w:val="none" w:sz="0" w:space="0" w:color="auto"/>
              </w:divBdr>
            </w:div>
          </w:divsChild>
        </w:div>
        <w:div w:id="1268924421">
          <w:marLeft w:val="0"/>
          <w:marRight w:val="0"/>
          <w:marTop w:val="0"/>
          <w:marBottom w:val="0"/>
          <w:divBdr>
            <w:top w:val="none" w:sz="0" w:space="0" w:color="auto"/>
            <w:left w:val="none" w:sz="0" w:space="0" w:color="auto"/>
            <w:bottom w:val="none" w:sz="0" w:space="0" w:color="auto"/>
            <w:right w:val="none" w:sz="0" w:space="0" w:color="auto"/>
          </w:divBdr>
          <w:divsChild>
            <w:div w:id="501896784">
              <w:marLeft w:val="0"/>
              <w:marRight w:val="0"/>
              <w:marTop w:val="0"/>
              <w:marBottom w:val="0"/>
              <w:divBdr>
                <w:top w:val="none" w:sz="0" w:space="0" w:color="auto"/>
                <w:left w:val="none" w:sz="0" w:space="0" w:color="auto"/>
                <w:bottom w:val="none" w:sz="0" w:space="0" w:color="auto"/>
                <w:right w:val="none" w:sz="0" w:space="0" w:color="auto"/>
              </w:divBdr>
            </w:div>
          </w:divsChild>
        </w:div>
        <w:div w:id="1271469053">
          <w:marLeft w:val="0"/>
          <w:marRight w:val="0"/>
          <w:marTop w:val="0"/>
          <w:marBottom w:val="0"/>
          <w:divBdr>
            <w:top w:val="none" w:sz="0" w:space="0" w:color="auto"/>
            <w:left w:val="none" w:sz="0" w:space="0" w:color="auto"/>
            <w:bottom w:val="none" w:sz="0" w:space="0" w:color="auto"/>
            <w:right w:val="none" w:sz="0" w:space="0" w:color="auto"/>
          </w:divBdr>
          <w:divsChild>
            <w:div w:id="1321664831">
              <w:marLeft w:val="0"/>
              <w:marRight w:val="0"/>
              <w:marTop w:val="0"/>
              <w:marBottom w:val="0"/>
              <w:divBdr>
                <w:top w:val="none" w:sz="0" w:space="0" w:color="auto"/>
                <w:left w:val="none" w:sz="0" w:space="0" w:color="auto"/>
                <w:bottom w:val="none" w:sz="0" w:space="0" w:color="auto"/>
                <w:right w:val="none" w:sz="0" w:space="0" w:color="auto"/>
              </w:divBdr>
            </w:div>
          </w:divsChild>
        </w:div>
        <w:div w:id="1275484113">
          <w:marLeft w:val="0"/>
          <w:marRight w:val="0"/>
          <w:marTop w:val="0"/>
          <w:marBottom w:val="0"/>
          <w:divBdr>
            <w:top w:val="none" w:sz="0" w:space="0" w:color="auto"/>
            <w:left w:val="none" w:sz="0" w:space="0" w:color="auto"/>
            <w:bottom w:val="none" w:sz="0" w:space="0" w:color="auto"/>
            <w:right w:val="none" w:sz="0" w:space="0" w:color="auto"/>
          </w:divBdr>
          <w:divsChild>
            <w:div w:id="985550326">
              <w:marLeft w:val="0"/>
              <w:marRight w:val="0"/>
              <w:marTop w:val="0"/>
              <w:marBottom w:val="0"/>
              <w:divBdr>
                <w:top w:val="none" w:sz="0" w:space="0" w:color="auto"/>
                <w:left w:val="none" w:sz="0" w:space="0" w:color="auto"/>
                <w:bottom w:val="none" w:sz="0" w:space="0" w:color="auto"/>
                <w:right w:val="none" w:sz="0" w:space="0" w:color="auto"/>
              </w:divBdr>
            </w:div>
            <w:div w:id="1908177200">
              <w:marLeft w:val="0"/>
              <w:marRight w:val="0"/>
              <w:marTop w:val="0"/>
              <w:marBottom w:val="0"/>
              <w:divBdr>
                <w:top w:val="none" w:sz="0" w:space="0" w:color="auto"/>
                <w:left w:val="none" w:sz="0" w:space="0" w:color="auto"/>
                <w:bottom w:val="none" w:sz="0" w:space="0" w:color="auto"/>
                <w:right w:val="none" w:sz="0" w:space="0" w:color="auto"/>
              </w:divBdr>
            </w:div>
          </w:divsChild>
        </w:div>
        <w:div w:id="1275556484">
          <w:marLeft w:val="0"/>
          <w:marRight w:val="0"/>
          <w:marTop w:val="0"/>
          <w:marBottom w:val="0"/>
          <w:divBdr>
            <w:top w:val="none" w:sz="0" w:space="0" w:color="auto"/>
            <w:left w:val="none" w:sz="0" w:space="0" w:color="auto"/>
            <w:bottom w:val="none" w:sz="0" w:space="0" w:color="auto"/>
            <w:right w:val="none" w:sz="0" w:space="0" w:color="auto"/>
          </w:divBdr>
          <w:divsChild>
            <w:div w:id="1165588363">
              <w:marLeft w:val="0"/>
              <w:marRight w:val="0"/>
              <w:marTop w:val="0"/>
              <w:marBottom w:val="0"/>
              <w:divBdr>
                <w:top w:val="none" w:sz="0" w:space="0" w:color="auto"/>
                <w:left w:val="none" w:sz="0" w:space="0" w:color="auto"/>
                <w:bottom w:val="none" w:sz="0" w:space="0" w:color="auto"/>
                <w:right w:val="none" w:sz="0" w:space="0" w:color="auto"/>
              </w:divBdr>
            </w:div>
            <w:div w:id="1213883042">
              <w:marLeft w:val="0"/>
              <w:marRight w:val="0"/>
              <w:marTop w:val="0"/>
              <w:marBottom w:val="0"/>
              <w:divBdr>
                <w:top w:val="none" w:sz="0" w:space="0" w:color="auto"/>
                <w:left w:val="none" w:sz="0" w:space="0" w:color="auto"/>
                <w:bottom w:val="none" w:sz="0" w:space="0" w:color="auto"/>
                <w:right w:val="none" w:sz="0" w:space="0" w:color="auto"/>
              </w:divBdr>
            </w:div>
            <w:div w:id="1574001560">
              <w:marLeft w:val="0"/>
              <w:marRight w:val="0"/>
              <w:marTop w:val="0"/>
              <w:marBottom w:val="0"/>
              <w:divBdr>
                <w:top w:val="none" w:sz="0" w:space="0" w:color="auto"/>
                <w:left w:val="none" w:sz="0" w:space="0" w:color="auto"/>
                <w:bottom w:val="none" w:sz="0" w:space="0" w:color="auto"/>
                <w:right w:val="none" w:sz="0" w:space="0" w:color="auto"/>
              </w:divBdr>
            </w:div>
            <w:div w:id="1941183345">
              <w:marLeft w:val="0"/>
              <w:marRight w:val="0"/>
              <w:marTop w:val="0"/>
              <w:marBottom w:val="0"/>
              <w:divBdr>
                <w:top w:val="none" w:sz="0" w:space="0" w:color="auto"/>
                <w:left w:val="none" w:sz="0" w:space="0" w:color="auto"/>
                <w:bottom w:val="none" w:sz="0" w:space="0" w:color="auto"/>
                <w:right w:val="none" w:sz="0" w:space="0" w:color="auto"/>
              </w:divBdr>
            </w:div>
            <w:div w:id="1989358784">
              <w:marLeft w:val="0"/>
              <w:marRight w:val="0"/>
              <w:marTop w:val="0"/>
              <w:marBottom w:val="0"/>
              <w:divBdr>
                <w:top w:val="none" w:sz="0" w:space="0" w:color="auto"/>
                <w:left w:val="none" w:sz="0" w:space="0" w:color="auto"/>
                <w:bottom w:val="none" w:sz="0" w:space="0" w:color="auto"/>
                <w:right w:val="none" w:sz="0" w:space="0" w:color="auto"/>
              </w:divBdr>
            </w:div>
          </w:divsChild>
        </w:div>
        <w:div w:id="1283684256">
          <w:marLeft w:val="0"/>
          <w:marRight w:val="0"/>
          <w:marTop w:val="0"/>
          <w:marBottom w:val="0"/>
          <w:divBdr>
            <w:top w:val="none" w:sz="0" w:space="0" w:color="auto"/>
            <w:left w:val="none" w:sz="0" w:space="0" w:color="auto"/>
            <w:bottom w:val="none" w:sz="0" w:space="0" w:color="auto"/>
            <w:right w:val="none" w:sz="0" w:space="0" w:color="auto"/>
          </w:divBdr>
          <w:divsChild>
            <w:div w:id="1786996208">
              <w:marLeft w:val="0"/>
              <w:marRight w:val="0"/>
              <w:marTop w:val="0"/>
              <w:marBottom w:val="0"/>
              <w:divBdr>
                <w:top w:val="none" w:sz="0" w:space="0" w:color="auto"/>
                <w:left w:val="none" w:sz="0" w:space="0" w:color="auto"/>
                <w:bottom w:val="none" w:sz="0" w:space="0" w:color="auto"/>
                <w:right w:val="none" w:sz="0" w:space="0" w:color="auto"/>
              </w:divBdr>
            </w:div>
          </w:divsChild>
        </w:div>
        <w:div w:id="1284654635">
          <w:marLeft w:val="0"/>
          <w:marRight w:val="0"/>
          <w:marTop w:val="0"/>
          <w:marBottom w:val="0"/>
          <w:divBdr>
            <w:top w:val="none" w:sz="0" w:space="0" w:color="auto"/>
            <w:left w:val="none" w:sz="0" w:space="0" w:color="auto"/>
            <w:bottom w:val="none" w:sz="0" w:space="0" w:color="auto"/>
            <w:right w:val="none" w:sz="0" w:space="0" w:color="auto"/>
          </w:divBdr>
          <w:divsChild>
            <w:div w:id="69812234">
              <w:marLeft w:val="0"/>
              <w:marRight w:val="0"/>
              <w:marTop w:val="0"/>
              <w:marBottom w:val="0"/>
              <w:divBdr>
                <w:top w:val="none" w:sz="0" w:space="0" w:color="auto"/>
                <w:left w:val="none" w:sz="0" w:space="0" w:color="auto"/>
                <w:bottom w:val="none" w:sz="0" w:space="0" w:color="auto"/>
                <w:right w:val="none" w:sz="0" w:space="0" w:color="auto"/>
              </w:divBdr>
            </w:div>
            <w:div w:id="1373114869">
              <w:marLeft w:val="0"/>
              <w:marRight w:val="0"/>
              <w:marTop w:val="0"/>
              <w:marBottom w:val="0"/>
              <w:divBdr>
                <w:top w:val="none" w:sz="0" w:space="0" w:color="auto"/>
                <w:left w:val="none" w:sz="0" w:space="0" w:color="auto"/>
                <w:bottom w:val="none" w:sz="0" w:space="0" w:color="auto"/>
                <w:right w:val="none" w:sz="0" w:space="0" w:color="auto"/>
              </w:divBdr>
            </w:div>
            <w:div w:id="1404179689">
              <w:marLeft w:val="0"/>
              <w:marRight w:val="0"/>
              <w:marTop w:val="0"/>
              <w:marBottom w:val="0"/>
              <w:divBdr>
                <w:top w:val="none" w:sz="0" w:space="0" w:color="auto"/>
                <w:left w:val="none" w:sz="0" w:space="0" w:color="auto"/>
                <w:bottom w:val="none" w:sz="0" w:space="0" w:color="auto"/>
                <w:right w:val="none" w:sz="0" w:space="0" w:color="auto"/>
              </w:divBdr>
            </w:div>
          </w:divsChild>
        </w:div>
        <w:div w:id="1295059838">
          <w:marLeft w:val="0"/>
          <w:marRight w:val="0"/>
          <w:marTop w:val="0"/>
          <w:marBottom w:val="0"/>
          <w:divBdr>
            <w:top w:val="none" w:sz="0" w:space="0" w:color="auto"/>
            <w:left w:val="none" w:sz="0" w:space="0" w:color="auto"/>
            <w:bottom w:val="none" w:sz="0" w:space="0" w:color="auto"/>
            <w:right w:val="none" w:sz="0" w:space="0" w:color="auto"/>
          </w:divBdr>
          <w:divsChild>
            <w:div w:id="1623610082">
              <w:marLeft w:val="0"/>
              <w:marRight w:val="0"/>
              <w:marTop w:val="0"/>
              <w:marBottom w:val="0"/>
              <w:divBdr>
                <w:top w:val="none" w:sz="0" w:space="0" w:color="auto"/>
                <w:left w:val="none" w:sz="0" w:space="0" w:color="auto"/>
                <w:bottom w:val="none" w:sz="0" w:space="0" w:color="auto"/>
                <w:right w:val="none" w:sz="0" w:space="0" w:color="auto"/>
              </w:divBdr>
            </w:div>
          </w:divsChild>
        </w:div>
        <w:div w:id="1307931266">
          <w:marLeft w:val="0"/>
          <w:marRight w:val="0"/>
          <w:marTop w:val="0"/>
          <w:marBottom w:val="0"/>
          <w:divBdr>
            <w:top w:val="none" w:sz="0" w:space="0" w:color="auto"/>
            <w:left w:val="none" w:sz="0" w:space="0" w:color="auto"/>
            <w:bottom w:val="none" w:sz="0" w:space="0" w:color="auto"/>
            <w:right w:val="none" w:sz="0" w:space="0" w:color="auto"/>
          </w:divBdr>
          <w:divsChild>
            <w:div w:id="290745030">
              <w:marLeft w:val="0"/>
              <w:marRight w:val="0"/>
              <w:marTop w:val="0"/>
              <w:marBottom w:val="0"/>
              <w:divBdr>
                <w:top w:val="none" w:sz="0" w:space="0" w:color="auto"/>
                <w:left w:val="none" w:sz="0" w:space="0" w:color="auto"/>
                <w:bottom w:val="none" w:sz="0" w:space="0" w:color="auto"/>
                <w:right w:val="none" w:sz="0" w:space="0" w:color="auto"/>
              </w:divBdr>
            </w:div>
          </w:divsChild>
        </w:div>
        <w:div w:id="1311251490">
          <w:marLeft w:val="0"/>
          <w:marRight w:val="0"/>
          <w:marTop w:val="0"/>
          <w:marBottom w:val="0"/>
          <w:divBdr>
            <w:top w:val="none" w:sz="0" w:space="0" w:color="auto"/>
            <w:left w:val="none" w:sz="0" w:space="0" w:color="auto"/>
            <w:bottom w:val="none" w:sz="0" w:space="0" w:color="auto"/>
            <w:right w:val="none" w:sz="0" w:space="0" w:color="auto"/>
          </w:divBdr>
          <w:divsChild>
            <w:div w:id="638921456">
              <w:marLeft w:val="0"/>
              <w:marRight w:val="0"/>
              <w:marTop w:val="0"/>
              <w:marBottom w:val="0"/>
              <w:divBdr>
                <w:top w:val="none" w:sz="0" w:space="0" w:color="auto"/>
                <w:left w:val="none" w:sz="0" w:space="0" w:color="auto"/>
                <w:bottom w:val="none" w:sz="0" w:space="0" w:color="auto"/>
                <w:right w:val="none" w:sz="0" w:space="0" w:color="auto"/>
              </w:divBdr>
            </w:div>
          </w:divsChild>
        </w:div>
        <w:div w:id="1322082163">
          <w:marLeft w:val="0"/>
          <w:marRight w:val="0"/>
          <w:marTop w:val="0"/>
          <w:marBottom w:val="0"/>
          <w:divBdr>
            <w:top w:val="none" w:sz="0" w:space="0" w:color="auto"/>
            <w:left w:val="none" w:sz="0" w:space="0" w:color="auto"/>
            <w:bottom w:val="none" w:sz="0" w:space="0" w:color="auto"/>
            <w:right w:val="none" w:sz="0" w:space="0" w:color="auto"/>
          </w:divBdr>
          <w:divsChild>
            <w:div w:id="421489394">
              <w:marLeft w:val="0"/>
              <w:marRight w:val="0"/>
              <w:marTop w:val="0"/>
              <w:marBottom w:val="0"/>
              <w:divBdr>
                <w:top w:val="none" w:sz="0" w:space="0" w:color="auto"/>
                <w:left w:val="none" w:sz="0" w:space="0" w:color="auto"/>
                <w:bottom w:val="none" w:sz="0" w:space="0" w:color="auto"/>
                <w:right w:val="none" w:sz="0" w:space="0" w:color="auto"/>
              </w:divBdr>
            </w:div>
            <w:div w:id="1554002169">
              <w:marLeft w:val="0"/>
              <w:marRight w:val="0"/>
              <w:marTop w:val="0"/>
              <w:marBottom w:val="0"/>
              <w:divBdr>
                <w:top w:val="none" w:sz="0" w:space="0" w:color="auto"/>
                <w:left w:val="none" w:sz="0" w:space="0" w:color="auto"/>
                <w:bottom w:val="none" w:sz="0" w:space="0" w:color="auto"/>
                <w:right w:val="none" w:sz="0" w:space="0" w:color="auto"/>
              </w:divBdr>
            </w:div>
            <w:div w:id="1686709975">
              <w:marLeft w:val="0"/>
              <w:marRight w:val="0"/>
              <w:marTop w:val="0"/>
              <w:marBottom w:val="0"/>
              <w:divBdr>
                <w:top w:val="none" w:sz="0" w:space="0" w:color="auto"/>
                <w:left w:val="none" w:sz="0" w:space="0" w:color="auto"/>
                <w:bottom w:val="none" w:sz="0" w:space="0" w:color="auto"/>
                <w:right w:val="none" w:sz="0" w:space="0" w:color="auto"/>
              </w:divBdr>
            </w:div>
          </w:divsChild>
        </w:div>
        <w:div w:id="1323117055">
          <w:marLeft w:val="0"/>
          <w:marRight w:val="0"/>
          <w:marTop w:val="0"/>
          <w:marBottom w:val="0"/>
          <w:divBdr>
            <w:top w:val="none" w:sz="0" w:space="0" w:color="auto"/>
            <w:left w:val="none" w:sz="0" w:space="0" w:color="auto"/>
            <w:bottom w:val="none" w:sz="0" w:space="0" w:color="auto"/>
            <w:right w:val="none" w:sz="0" w:space="0" w:color="auto"/>
          </w:divBdr>
          <w:divsChild>
            <w:div w:id="1397704514">
              <w:marLeft w:val="0"/>
              <w:marRight w:val="0"/>
              <w:marTop w:val="0"/>
              <w:marBottom w:val="0"/>
              <w:divBdr>
                <w:top w:val="none" w:sz="0" w:space="0" w:color="auto"/>
                <w:left w:val="none" w:sz="0" w:space="0" w:color="auto"/>
                <w:bottom w:val="none" w:sz="0" w:space="0" w:color="auto"/>
                <w:right w:val="none" w:sz="0" w:space="0" w:color="auto"/>
              </w:divBdr>
            </w:div>
          </w:divsChild>
        </w:div>
        <w:div w:id="1329478024">
          <w:marLeft w:val="0"/>
          <w:marRight w:val="0"/>
          <w:marTop w:val="0"/>
          <w:marBottom w:val="0"/>
          <w:divBdr>
            <w:top w:val="none" w:sz="0" w:space="0" w:color="auto"/>
            <w:left w:val="none" w:sz="0" w:space="0" w:color="auto"/>
            <w:bottom w:val="none" w:sz="0" w:space="0" w:color="auto"/>
            <w:right w:val="none" w:sz="0" w:space="0" w:color="auto"/>
          </w:divBdr>
          <w:divsChild>
            <w:div w:id="360470893">
              <w:marLeft w:val="0"/>
              <w:marRight w:val="0"/>
              <w:marTop w:val="0"/>
              <w:marBottom w:val="0"/>
              <w:divBdr>
                <w:top w:val="none" w:sz="0" w:space="0" w:color="auto"/>
                <w:left w:val="none" w:sz="0" w:space="0" w:color="auto"/>
                <w:bottom w:val="none" w:sz="0" w:space="0" w:color="auto"/>
                <w:right w:val="none" w:sz="0" w:space="0" w:color="auto"/>
              </w:divBdr>
            </w:div>
          </w:divsChild>
        </w:div>
        <w:div w:id="1335063417">
          <w:marLeft w:val="0"/>
          <w:marRight w:val="0"/>
          <w:marTop w:val="0"/>
          <w:marBottom w:val="0"/>
          <w:divBdr>
            <w:top w:val="none" w:sz="0" w:space="0" w:color="auto"/>
            <w:left w:val="none" w:sz="0" w:space="0" w:color="auto"/>
            <w:bottom w:val="none" w:sz="0" w:space="0" w:color="auto"/>
            <w:right w:val="none" w:sz="0" w:space="0" w:color="auto"/>
          </w:divBdr>
          <w:divsChild>
            <w:div w:id="1315183453">
              <w:marLeft w:val="0"/>
              <w:marRight w:val="0"/>
              <w:marTop w:val="0"/>
              <w:marBottom w:val="0"/>
              <w:divBdr>
                <w:top w:val="none" w:sz="0" w:space="0" w:color="auto"/>
                <w:left w:val="none" w:sz="0" w:space="0" w:color="auto"/>
                <w:bottom w:val="none" w:sz="0" w:space="0" w:color="auto"/>
                <w:right w:val="none" w:sz="0" w:space="0" w:color="auto"/>
              </w:divBdr>
            </w:div>
          </w:divsChild>
        </w:div>
        <w:div w:id="1337077061">
          <w:marLeft w:val="0"/>
          <w:marRight w:val="0"/>
          <w:marTop w:val="0"/>
          <w:marBottom w:val="0"/>
          <w:divBdr>
            <w:top w:val="none" w:sz="0" w:space="0" w:color="auto"/>
            <w:left w:val="none" w:sz="0" w:space="0" w:color="auto"/>
            <w:bottom w:val="none" w:sz="0" w:space="0" w:color="auto"/>
            <w:right w:val="none" w:sz="0" w:space="0" w:color="auto"/>
          </w:divBdr>
          <w:divsChild>
            <w:div w:id="1125344585">
              <w:marLeft w:val="0"/>
              <w:marRight w:val="0"/>
              <w:marTop w:val="0"/>
              <w:marBottom w:val="0"/>
              <w:divBdr>
                <w:top w:val="none" w:sz="0" w:space="0" w:color="auto"/>
                <w:left w:val="none" w:sz="0" w:space="0" w:color="auto"/>
                <w:bottom w:val="none" w:sz="0" w:space="0" w:color="auto"/>
                <w:right w:val="none" w:sz="0" w:space="0" w:color="auto"/>
              </w:divBdr>
            </w:div>
          </w:divsChild>
        </w:div>
        <w:div w:id="1340890103">
          <w:marLeft w:val="0"/>
          <w:marRight w:val="0"/>
          <w:marTop w:val="0"/>
          <w:marBottom w:val="0"/>
          <w:divBdr>
            <w:top w:val="none" w:sz="0" w:space="0" w:color="auto"/>
            <w:left w:val="none" w:sz="0" w:space="0" w:color="auto"/>
            <w:bottom w:val="none" w:sz="0" w:space="0" w:color="auto"/>
            <w:right w:val="none" w:sz="0" w:space="0" w:color="auto"/>
          </w:divBdr>
          <w:divsChild>
            <w:div w:id="28458879">
              <w:marLeft w:val="0"/>
              <w:marRight w:val="0"/>
              <w:marTop w:val="0"/>
              <w:marBottom w:val="0"/>
              <w:divBdr>
                <w:top w:val="none" w:sz="0" w:space="0" w:color="auto"/>
                <w:left w:val="none" w:sz="0" w:space="0" w:color="auto"/>
                <w:bottom w:val="none" w:sz="0" w:space="0" w:color="auto"/>
                <w:right w:val="none" w:sz="0" w:space="0" w:color="auto"/>
              </w:divBdr>
            </w:div>
            <w:div w:id="382951315">
              <w:marLeft w:val="0"/>
              <w:marRight w:val="0"/>
              <w:marTop w:val="0"/>
              <w:marBottom w:val="0"/>
              <w:divBdr>
                <w:top w:val="none" w:sz="0" w:space="0" w:color="auto"/>
                <w:left w:val="none" w:sz="0" w:space="0" w:color="auto"/>
                <w:bottom w:val="none" w:sz="0" w:space="0" w:color="auto"/>
                <w:right w:val="none" w:sz="0" w:space="0" w:color="auto"/>
              </w:divBdr>
            </w:div>
            <w:div w:id="417293551">
              <w:marLeft w:val="0"/>
              <w:marRight w:val="0"/>
              <w:marTop w:val="0"/>
              <w:marBottom w:val="0"/>
              <w:divBdr>
                <w:top w:val="none" w:sz="0" w:space="0" w:color="auto"/>
                <w:left w:val="none" w:sz="0" w:space="0" w:color="auto"/>
                <w:bottom w:val="none" w:sz="0" w:space="0" w:color="auto"/>
                <w:right w:val="none" w:sz="0" w:space="0" w:color="auto"/>
              </w:divBdr>
            </w:div>
            <w:div w:id="712920638">
              <w:marLeft w:val="0"/>
              <w:marRight w:val="0"/>
              <w:marTop w:val="0"/>
              <w:marBottom w:val="0"/>
              <w:divBdr>
                <w:top w:val="none" w:sz="0" w:space="0" w:color="auto"/>
                <w:left w:val="none" w:sz="0" w:space="0" w:color="auto"/>
                <w:bottom w:val="none" w:sz="0" w:space="0" w:color="auto"/>
                <w:right w:val="none" w:sz="0" w:space="0" w:color="auto"/>
              </w:divBdr>
            </w:div>
            <w:div w:id="1166937336">
              <w:marLeft w:val="0"/>
              <w:marRight w:val="0"/>
              <w:marTop w:val="0"/>
              <w:marBottom w:val="0"/>
              <w:divBdr>
                <w:top w:val="none" w:sz="0" w:space="0" w:color="auto"/>
                <w:left w:val="none" w:sz="0" w:space="0" w:color="auto"/>
                <w:bottom w:val="none" w:sz="0" w:space="0" w:color="auto"/>
                <w:right w:val="none" w:sz="0" w:space="0" w:color="auto"/>
              </w:divBdr>
            </w:div>
            <w:div w:id="1325820662">
              <w:marLeft w:val="0"/>
              <w:marRight w:val="0"/>
              <w:marTop w:val="0"/>
              <w:marBottom w:val="0"/>
              <w:divBdr>
                <w:top w:val="none" w:sz="0" w:space="0" w:color="auto"/>
                <w:left w:val="none" w:sz="0" w:space="0" w:color="auto"/>
                <w:bottom w:val="none" w:sz="0" w:space="0" w:color="auto"/>
                <w:right w:val="none" w:sz="0" w:space="0" w:color="auto"/>
              </w:divBdr>
            </w:div>
            <w:div w:id="2104060357">
              <w:marLeft w:val="0"/>
              <w:marRight w:val="0"/>
              <w:marTop w:val="0"/>
              <w:marBottom w:val="0"/>
              <w:divBdr>
                <w:top w:val="none" w:sz="0" w:space="0" w:color="auto"/>
                <w:left w:val="none" w:sz="0" w:space="0" w:color="auto"/>
                <w:bottom w:val="none" w:sz="0" w:space="0" w:color="auto"/>
                <w:right w:val="none" w:sz="0" w:space="0" w:color="auto"/>
              </w:divBdr>
            </w:div>
          </w:divsChild>
        </w:div>
        <w:div w:id="1341155451">
          <w:marLeft w:val="0"/>
          <w:marRight w:val="0"/>
          <w:marTop w:val="0"/>
          <w:marBottom w:val="0"/>
          <w:divBdr>
            <w:top w:val="none" w:sz="0" w:space="0" w:color="auto"/>
            <w:left w:val="none" w:sz="0" w:space="0" w:color="auto"/>
            <w:bottom w:val="none" w:sz="0" w:space="0" w:color="auto"/>
            <w:right w:val="none" w:sz="0" w:space="0" w:color="auto"/>
          </w:divBdr>
          <w:divsChild>
            <w:div w:id="1690329969">
              <w:marLeft w:val="0"/>
              <w:marRight w:val="0"/>
              <w:marTop w:val="0"/>
              <w:marBottom w:val="0"/>
              <w:divBdr>
                <w:top w:val="none" w:sz="0" w:space="0" w:color="auto"/>
                <w:left w:val="none" w:sz="0" w:space="0" w:color="auto"/>
                <w:bottom w:val="none" w:sz="0" w:space="0" w:color="auto"/>
                <w:right w:val="none" w:sz="0" w:space="0" w:color="auto"/>
              </w:divBdr>
            </w:div>
            <w:div w:id="2046589909">
              <w:marLeft w:val="0"/>
              <w:marRight w:val="0"/>
              <w:marTop w:val="0"/>
              <w:marBottom w:val="0"/>
              <w:divBdr>
                <w:top w:val="none" w:sz="0" w:space="0" w:color="auto"/>
                <w:left w:val="none" w:sz="0" w:space="0" w:color="auto"/>
                <w:bottom w:val="none" w:sz="0" w:space="0" w:color="auto"/>
                <w:right w:val="none" w:sz="0" w:space="0" w:color="auto"/>
              </w:divBdr>
            </w:div>
          </w:divsChild>
        </w:div>
        <w:div w:id="1341467574">
          <w:marLeft w:val="0"/>
          <w:marRight w:val="0"/>
          <w:marTop w:val="0"/>
          <w:marBottom w:val="0"/>
          <w:divBdr>
            <w:top w:val="none" w:sz="0" w:space="0" w:color="auto"/>
            <w:left w:val="none" w:sz="0" w:space="0" w:color="auto"/>
            <w:bottom w:val="none" w:sz="0" w:space="0" w:color="auto"/>
            <w:right w:val="none" w:sz="0" w:space="0" w:color="auto"/>
          </w:divBdr>
          <w:divsChild>
            <w:div w:id="1560945518">
              <w:marLeft w:val="0"/>
              <w:marRight w:val="0"/>
              <w:marTop w:val="0"/>
              <w:marBottom w:val="0"/>
              <w:divBdr>
                <w:top w:val="none" w:sz="0" w:space="0" w:color="auto"/>
                <w:left w:val="none" w:sz="0" w:space="0" w:color="auto"/>
                <w:bottom w:val="none" w:sz="0" w:space="0" w:color="auto"/>
                <w:right w:val="none" w:sz="0" w:space="0" w:color="auto"/>
              </w:divBdr>
            </w:div>
          </w:divsChild>
        </w:div>
        <w:div w:id="1344286843">
          <w:marLeft w:val="0"/>
          <w:marRight w:val="0"/>
          <w:marTop w:val="0"/>
          <w:marBottom w:val="0"/>
          <w:divBdr>
            <w:top w:val="none" w:sz="0" w:space="0" w:color="auto"/>
            <w:left w:val="none" w:sz="0" w:space="0" w:color="auto"/>
            <w:bottom w:val="none" w:sz="0" w:space="0" w:color="auto"/>
            <w:right w:val="none" w:sz="0" w:space="0" w:color="auto"/>
          </w:divBdr>
          <w:divsChild>
            <w:div w:id="1676957868">
              <w:marLeft w:val="0"/>
              <w:marRight w:val="0"/>
              <w:marTop w:val="0"/>
              <w:marBottom w:val="0"/>
              <w:divBdr>
                <w:top w:val="none" w:sz="0" w:space="0" w:color="auto"/>
                <w:left w:val="none" w:sz="0" w:space="0" w:color="auto"/>
                <w:bottom w:val="none" w:sz="0" w:space="0" w:color="auto"/>
                <w:right w:val="none" w:sz="0" w:space="0" w:color="auto"/>
              </w:divBdr>
            </w:div>
          </w:divsChild>
        </w:div>
        <w:div w:id="1355616196">
          <w:marLeft w:val="0"/>
          <w:marRight w:val="0"/>
          <w:marTop w:val="0"/>
          <w:marBottom w:val="0"/>
          <w:divBdr>
            <w:top w:val="none" w:sz="0" w:space="0" w:color="auto"/>
            <w:left w:val="none" w:sz="0" w:space="0" w:color="auto"/>
            <w:bottom w:val="none" w:sz="0" w:space="0" w:color="auto"/>
            <w:right w:val="none" w:sz="0" w:space="0" w:color="auto"/>
          </w:divBdr>
          <w:divsChild>
            <w:div w:id="315569701">
              <w:marLeft w:val="0"/>
              <w:marRight w:val="0"/>
              <w:marTop w:val="0"/>
              <w:marBottom w:val="0"/>
              <w:divBdr>
                <w:top w:val="none" w:sz="0" w:space="0" w:color="auto"/>
                <w:left w:val="none" w:sz="0" w:space="0" w:color="auto"/>
                <w:bottom w:val="none" w:sz="0" w:space="0" w:color="auto"/>
                <w:right w:val="none" w:sz="0" w:space="0" w:color="auto"/>
              </w:divBdr>
            </w:div>
          </w:divsChild>
        </w:div>
        <w:div w:id="1356467600">
          <w:marLeft w:val="0"/>
          <w:marRight w:val="0"/>
          <w:marTop w:val="0"/>
          <w:marBottom w:val="0"/>
          <w:divBdr>
            <w:top w:val="none" w:sz="0" w:space="0" w:color="auto"/>
            <w:left w:val="none" w:sz="0" w:space="0" w:color="auto"/>
            <w:bottom w:val="none" w:sz="0" w:space="0" w:color="auto"/>
            <w:right w:val="none" w:sz="0" w:space="0" w:color="auto"/>
          </w:divBdr>
          <w:divsChild>
            <w:div w:id="433794123">
              <w:marLeft w:val="0"/>
              <w:marRight w:val="0"/>
              <w:marTop w:val="0"/>
              <w:marBottom w:val="0"/>
              <w:divBdr>
                <w:top w:val="none" w:sz="0" w:space="0" w:color="auto"/>
                <w:left w:val="none" w:sz="0" w:space="0" w:color="auto"/>
                <w:bottom w:val="none" w:sz="0" w:space="0" w:color="auto"/>
                <w:right w:val="none" w:sz="0" w:space="0" w:color="auto"/>
              </w:divBdr>
            </w:div>
          </w:divsChild>
        </w:div>
        <w:div w:id="1362129210">
          <w:marLeft w:val="0"/>
          <w:marRight w:val="0"/>
          <w:marTop w:val="0"/>
          <w:marBottom w:val="0"/>
          <w:divBdr>
            <w:top w:val="none" w:sz="0" w:space="0" w:color="auto"/>
            <w:left w:val="none" w:sz="0" w:space="0" w:color="auto"/>
            <w:bottom w:val="none" w:sz="0" w:space="0" w:color="auto"/>
            <w:right w:val="none" w:sz="0" w:space="0" w:color="auto"/>
          </w:divBdr>
          <w:divsChild>
            <w:div w:id="1530415585">
              <w:marLeft w:val="0"/>
              <w:marRight w:val="0"/>
              <w:marTop w:val="0"/>
              <w:marBottom w:val="0"/>
              <w:divBdr>
                <w:top w:val="none" w:sz="0" w:space="0" w:color="auto"/>
                <w:left w:val="none" w:sz="0" w:space="0" w:color="auto"/>
                <w:bottom w:val="none" w:sz="0" w:space="0" w:color="auto"/>
                <w:right w:val="none" w:sz="0" w:space="0" w:color="auto"/>
              </w:divBdr>
            </w:div>
          </w:divsChild>
        </w:div>
        <w:div w:id="1365908436">
          <w:marLeft w:val="0"/>
          <w:marRight w:val="0"/>
          <w:marTop w:val="0"/>
          <w:marBottom w:val="0"/>
          <w:divBdr>
            <w:top w:val="none" w:sz="0" w:space="0" w:color="auto"/>
            <w:left w:val="none" w:sz="0" w:space="0" w:color="auto"/>
            <w:bottom w:val="none" w:sz="0" w:space="0" w:color="auto"/>
            <w:right w:val="none" w:sz="0" w:space="0" w:color="auto"/>
          </w:divBdr>
          <w:divsChild>
            <w:div w:id="94912765">
              <w:marLeft w:val="0"/>
              <w:marRight w:val="0"/>
              <w:marTop w:val="0"/>
              <w:marBottom w:val="0"/>
              <w:divBdr>
                <w:top w:val="none" w:sz="0" w:space="0" w:color="auto"/>
                <w:left w:val="none" w:sz="0" w:space="0" w:color="auto"/>
                <w:bottom w:val="none" w:sz="0" w:space="0" w:color="auto"/>
                <w:right w:val="none" w:sz="0" w:space="0" w:color="auto"/>
              </w:divBdr>
            </w:div>
            <w:div w:id="1270285131">
              <w:marLeft w:val="0"/>
              <w:marRight w:val="0"/>
              <w:marTop w:val="0"/>
              <w:marBottom w:val="0"/>
              <w:divBdr>
                <w:top w:val="none" w:sz="0" w:space="0" w:color="auto"/>
                <w:left w:val="none" w:sz="0" w:space="0" w:color="auto"/>
                <w:bottom w:val="none" w:sz="0" w:space="0" w:color="auto"/>
                <w:right w:val="none" w:sz="0" w:space="0" w:color="auto"/>
              </w:divBdr>
            </w:div>
            <w:div w:id="1634562293">
              <w:marLeft w:val="0"/>
              <w:marRight w:val="0"/>
              <w:marTop w:val="0"/>
              <w:marBottom w:val="0"/>
              <w:divBdr>
                <w:top w:val="none" w:sz="0" w:space="0" w:color="auto"/>
                <w:left w:val="none" w:sz="0" w:space="0" w:color="auto"/>
                <w:bottom w:val="none" w:sz="0" w:space="0" w:color="auto"/>
                <w:right w:val="none" w:sz="0" w:space="0" w:color="auto"/>
              </w:divBdr>
            </w:div>
          </w:divsChild>
        </w:div>
        <w:div w:id="1370496974">
          <w:marLeft w:val="0"/>
          <w:marRight w:val="0"/>
          <w:marTop w:val="0"/>
          <w:marBottom w:val="0"/>
          <w:divBdr>
            <w:top w:val="none" w:sz="0" w:space="0" w:color="auto"/>
            <w:left w:val="none" w:sz="0" w:space="0" w:color="auto"/>
            <w:bottom w:val="none" w:sz="0" w:space="0" w:color="auto"/>
            <w:right w:val="none" w:sz="0" w:space="0" w:color="auto"/>
          </w:divBdr>
          <w:divsChild>
            <w:div w:id="1469473344">
              <w:marLeft w:val="0"/>
              <w:marRight w:val="0"/>
              <w:marTop w:val="0"/>
              <w:marBottom w:val="0"/>
              <w:divBdr>
                <w:top w:val="none" w:sz="0" w:space="0" w:color="auto"/>
                <w:left w:val="none" w:sz="0" w:space="0" w:color="auto"/>
                <w:bottom w:val="none" w:sz="0" w:space="0" w:color="auto"/>
                <w:right w:val="none" w:sz="0" w:space="0" w:color="auto"/>
              </w:divBdr>
            </w:div>
          </w:divsChild>
        </w:div>
        <w:div w:id="1380592075">
          <w:marLeft w:val="0"/>
          <w:marRight w:val="0"/>
          <w:marTop w:val="0"/>
          <w:marBottom w:val="0"/>
          <w:divBdr>
            <w:top w:val="none" w:sz="0" w:space="0" w:color="auto"/>
            <w:left w:val="none" w:sz="0" w:space="0" w:color="auto"/>
            <w:bottom w:val="none" w:sz="0" w:space="0" w:color="auto"/>
            <w:right w:val="none" w:sz="0" w:space="0" w:color="auto"/>
          </w:divBdr>
          <w:divsChild>
            <w:div w:id="1122385690">
              <w:marLeft w:val="0"/>
              <w:marRight w:val="0"/>
              <w:marTop w:val="0"/>
              <w:marBottom w:val="0"/>
              <w:divBdr>
                <w:top w:val="none" w:sz="0" w:space="0" w:color="auto"/>
                <w:left w:val="none" w:sz="0" w:space="0" w:color="auto"/>
                <w:bottom w:val="none" w:sz="0" w:space="0" w:color="auto"/>
                <w:right w:val="none" w:sz="0" w:space="0" w:color="auto"/>
              </w:divBdr>
            </w:div>
          </w:divsChild>
        </w:div>
        <w:div w:id="1388256968">
          <w:marLeft w:val="0"/>
          <w:marRight w:val="0"/>
          <w:marTop w:val="0"/>
          <w:marBottom w:val="0"/>
          <w:divBdr>
            <w:top w:val="none" w:sz="0" w:space="0" w:color="auto"/>
            <w:left w:val="none" w:sz="0" w:space="0" w:color="auto"/>
            <w:bottom w:val="none" w:sz="0" w:space="0" w:color="auto"/>
            <w:right w:val="none" w:sz="0" w:space="0" w:color="auto"/>
          </w:divBdr>
          <w:divsChild>
            <w:div w:id="373115928">
              <w:marLeft w:val="0"/>
              <w:marRight w:val="0"/>
              <w:marTop w:val="0"/>
              <w:marBottom w:val="0"/>
              <w:divBdr>
                <w:top w:val="none" w:sz="0" w:space="0" w:color="auto"/>
                <w:left w:val="none" w:sz="0" w:space="0" w:color="auto"/>
                <w:bottom w:val="none" w:sz="0" w:space="0" w:color="auto"/>
                <w:right w:val="none" w:sz="0" w:space="0" w:color="auto"/>
              </w:divBdr>
            </w:div>
            <w:div w:id="773398107">
              <w:marLeft w:val="0"/>
              <w:marRight w:val="0"/>
              <w:marTop w:val="0"/>
              <w:marBottom w:val="0"/>
              <w:divBdr>
                <w:top w:val="none" w:sz="0" w:space="0" w:color="auto"/>
                <w:left w:val="none" w:sz="0" w:space="0" w:color="auto"/>
                <w:bottom w:val="none" w:sz="0" w:space="0" w:color="auto"/>
                <w:right w:val="none" w:sz="0" w:space="0" w:color="auto"/>
              </w:divBdr>
            </w:div>
          </w:divsChild>
        </w:div>
        <w:div w:id="1392540342">
          <w:marLeft w:val="0"/>
          <w:marRight w:val="0"/>
          <w:marTop w:val="0"/>
          <w:marBottom w:val="0"/>
          <w:divBdr>
            <w:top w:val="none" w:sz="0" w:space="0" w:color="auto"/>
            <w:left w:val="none" w:sz="0" w:space="0" w:color="auto"/>
            <w:bottom w:val="none" w:sz="0" w:space="0" w:color="auto"/>
            <w:right w:val="none" w:sz="0" w:space="0" w:color="auto"/>
          </w:divBdr>
          <w:divsChild>
            <w:div w:id="60100183">
              <w:marLeft w:val="0"/>
              <w:marRight w:val="0"/>
              <w:marTop w:val="0"/>
              <w:marBottom w:val="0"/>
              <w:divBdr>
                <w:top w:val="none" w:sz="0" w:space="0" w:color="auto"/>
                <w:left w:val="none" w:sz="0" w:space="0" w:color="auto"/>
                <w:bottom w:val="none" w:sz="0" w:space="0" w:color="auto"/>
                <w:right w:val="none" w:sz="0" w:space="0" w:color="auto"/>
              </w:divBdr>
            </w:div>
            <w:div w:id="335961458">
              <w:marLeft w:val="0"/>
              <w:marRight w:val="0"/>
              <w:marTop w:val="0"/>
              <w:marBottom w:val="0"/>
              <w:divBdr>
                <w:top w:val="none" w:sz="0" w:space="0" w:color="auto"/>
                <w:left w:val="none" w:sz="0" w:space="0" w:color="auto"/>
                <w:bottom w:val="none" w:sz="0" w:space="0" w:color="auto"/>
                <w:right w:val="none" w:sz="0" w:space="0" w:color="auto"/>
              </w:divBdr>
            </w:div>
            <w:div w:id="1011644443">
              <w:marLeft w:val="0"/>
              <w:marRight w:val="0"/>
              <w:marTop w:val="0"/>
              <w:marBottom w:val="0"/>
              <w:divBdr>
                <w:top w:val="none" w:sz="0" w:space="0" w:color="auto"/>
                <w:left w:val="none" w:sz="0" w:space="0" w:color="auto"/>
                <w:bottom w:val="none" w:sz="0" w:space="0" w:color="auto"/>
                <w:right w:val="none" w:sz="0" w:space="0" w:color="auto"/>
              </w:divBdr>
            </w:div>
          </w:divsChild>
        </w:div>
        <w:div w:id="1401177105">
          <w:marLeft w:val="0"/>
          <w:marRight w:val="0"/>
          <w:marTop w:val="0"/>
          <w:marBottom w:val="0"/>
          <w:divBdr>
            <w:top w:val="none" w:sz="0" w:space="0" w:color="auto"/>
            <w:left w:val="none" w:sz="0" w:space="0" w:color="auto"/>
            <w:bottom w:val="none" w:sz="0" w:space="0" w:color="auto"/>
            <w:right w:val="none" w:sz="0" w:space="0" w:color="auto"/>
          </w:divBdr>
          <w:divsChild>
            <w:div w:id="1410425608">
              <w:marLeft w:val="0"/>
              <w:marRight w:val="0"/>
              <w:marTop w:val="0"/>
              <w:marBottom w:val="0"/>
              <w:divBdr>
                <w:top w:val="none" w:sz="0" w:space="0" w:color="auto"/>
                <w:left w:val="none" w:sz="0" w:space="0" w:color="auto"/>
                <w:bottom w:val="none" w:sz="0" w:space="0" w:color="auto"/>
                <w:right w:val="none" w:sz="0" w:space="0" w:color="auto"/>
              </w:divBdr>
            </w:div>
          </w:divsChild>
        </w:div>
        <w:div w:id="1402482477">
          <w:marLeft w:val="0"/>
          <w:marRight w:val="0"/>
          <w:marTop w:val="0"/>
          <w:marBottom w:val="0"/>
          <w:divBdr>
            <w:top w:val="none" w:sz="0" w:space="0" w:color="auto"/>
            <w:left w:val="none" w:sz="0" w:space="0" w:color="auto"/>
            <w:bottom w:val="none" w:sz="0" w:space="0" w:color="auto"/>
            <w:right w:val="none" w:sz="0" w:space="0" w:color="auto"/>
          </w:divBdr>
          <w:divsChild>
            <w:div w:id="138691114">
              <w:marLeft w:val="0"/>
              <w:marRight w:val="0"/>
              <w:marTop w:val="0"/>
              <w:marBottom w:val="0"/>
              <w:divBdr>
                <w:top w:val="none" w:sz="0" w:space="0" w:color="auto"/>
                <w:left w:val="none" w:sz="0" w:space="0" w:color="auto"/>
                <w:bottom w:val="none" w:sz="0" w:space="0" w:color="auto"/>
                <w:right w:val="none" w:sz="0" w:space="0" w:color="auto"/>
              </w:divBdr>
            </w:div>
          </w:divsChild>
        </w:div>
        <w:div w:id="1405564230">
          <w:marLeft w:val="0"/>
          <w:marRight w:val="0"/>
          <w:marTop w:val="0"/>
          <w:marBottom w:val="0"/>
          <w:divBdr>
            <w:top w:val="none" w:sz="0" w:space="0" w:color="auto"/>
            <w:left w:val="none" w:sz="0" w:space="0" w:color="auto"/>
            <w:bottom w:val="none" w:sz="0" w:space="0" w:color="auto"/>
            <w:right w:val="none" w:sz="0" w:space="0" w:color="auto"/>
          </w:divBdr>
          <w:divsChild>
            <w:div w:id="1660309545">
              <w:marLeft w:val="0"/>
              <w:marRight w:val="0"/>
              <w:marTop w:val="0"/>
              <w:marBottom w:val="0"/>
              <w:divBdr>
                <w:top w:val="none" w:sz="0" w:space="0" w:color="auto"/>
                <w:left w:val="none" w:sz="0" w:space="0" w:color="auto"/>
                <w:bottom w:val="none" w:sz="0" w:space="0" w:color="auto"/>
                <w:right w:val="none" w:sz="0" w:space="0" w:color="auto"/>
              </w:divBdr>
            </w:div>
          </w:divsChild>
        </w:div>
        <w:div w:id="1410545053">
          <w:marLeft w:val="0"/>
          <w:marRight w:val="0"/>
          <w:marTop w:val="0"/>
          <w:marBottom w:val="0"/>
          <w:divBdr>
            <w:top w:val="none" w:sz="0" w:space="0" w:color="auto"/>
            <w:left w:val="none" w:sz="0" w:space="0" w:color="auto"/>
            <w:bottom w:val="none" w:sz="0" w:space="0" w:color="auto"/>
            <w:right w:val="none" w:sz="0" w:space="0" w:color="auto"/>
          </w:divBdr>
          <w:divsChild>
            <w:div w:id="826097030">
              <w:marLeft w:val="0"/>
              <w:marRight w:val="0"/>
              <w:marTop w:val="0"/>
              <w:marBottom w:val="0"/>
              <w:divBdr>
                <w:top w:val="none" w:sz="0" w:space="0" w:color="auto"/>
                <w:left w:val="none" w:sz="0" w:space="0" w:color="auto"/>
                <w:bottom w:val="none" w:sz="0" w:space="0" w:color="auto"/>
                <w:right w:val="none" w:sz="0" w:space="0" w:color="auto"/>
              </w:divBdr>
            </w:div>
          </w:divsChild>
        </w:div>
        <w:div w:id="1425610923">
          <w:marLeft w:val="0"/>
          <w:marRight w:val="0"/>
          <w:marTop w:val="0"/>
          <w:marBottom w:val="0"/>
          <w:divBdr>
            <w:top w:val="none" w:sz="0" w:space="0" w:color="auto"/>
            <w:left w:val="none" w:sz="0" w:space="0" w:color="auto"/>
            <w:bottom w:val="none" w:sz="0" w:space="0" w:color="auto"/>
            <w:right w:val="none" w:sz="0" w:space="0" w:color="auto"/>
          </w:divBdr>
          <w:divsChild>
            <w:div w:id="167520167">
              <w:marLeft w:val="0"/>
              <w:marRight w:val="0"/>
              <w:marTop w:val="0"/>
              <w:marBottom w:val="0"/>
              <w:divBdr>
                <w:top w:val="none" w:sz="0" w:space="0" w:color="auto"/>
                <w:left w:val="none" w:sz="0" w:space="0" w:color="auto"/>
                <w:bottom w:val="none" w:sz="0" w:space="0" w:color="auto"/>
                <w:right w:val="none" w:sz="0" w:space="0" w:color="auto"/>
              </w:divBdr>
            </w:div>
            <w:div w:id="1263538487">
              <w:marLeft w:val="0"/>
              <w:marRight w:val="0"/>
              <w:marTop w:val="0"/>
              <w:marBottom w:val="0"/>
              <w:divBdr>
                <w:top w:val="none" w:sz="0" w:space="0" w:color="auto"/>
                <w:left w:val="none" w:sz="0" w:space="0" w:color="auto"/>
                <w:bottom w:val="none" w:sz="0" w:space="0" w:color="auto"/>
                <w:right w:val="none" w:sz="0" w:space="0" w:color="auto"/>
              </w:divBdr>
            </w:div>
            <w:div w:id="1269849720">
              <w:marLeft w:val="0"/>
              <w:marRight w:val="0"/>
              <w:marTop w:val="0"/>
              <w:marBottom w:val="0"/>
              <w:divBdr>
                <w:top w:val="none" w:sz="0" w:space="0" w:color="auto"/>
                <w:left w:val="none" w:sz="0" w:space="0" w:color="auto"/>
                <w:bottom w:val="none" w:sz="0" w:space="0" w:color="auto"/>
                <w:right w:val="none" w:sz="0" w:space="0" w:color="auto"/>
              </w:divBdr>
            </w:div>
          </w:divsChild>
        </w:div>
        <w:div w:id="1431395216">
          <w:marLeft w:val="0"/>
          <w:marRight w:val="0"/>
          <w:marTop w:val="0"/>
          <w:marBottom w:val="0"/>
          <w:divBdr>
            <w:top w:val="none" w:sz="0" w:space="0" w:color="auto"/>
            <w:left w:val="none" w:sz="0" w:space="0" w:color="auto"/>
            <w:bottom w:val="none" w:sz="0" w:space="0" w:color="auto"/>
            <w:right w:val="none" w:sz="0" w:space="0" w:color="auto"/>
          </w:divBdr>
          <w:divsChild>
            <w:div w:id="1350445638">
              <w:marLeft w:val="0"/>
              <w:marRight w:val="0"/>
              <w:marTop w:val="0"/>
              <w:marBottom w:val="0"/>
              <w:divBdr>
                <w:top w:val="none" w:sz="0" w:space="0" w:color="auto"/>
                <w:left w:val="none" w:sz="0" w:space="0" w:color="auto"/>
                <w:bottom w:val="none" w:sz="0" w:space="0" w:color="auto"/>
                <w:right w:val="none" w:sz="0" w:space="0" w:color="auto"/>
              </w:divBdr>
            </w:div>
          </w:divsChild>
        </w:div>
        <w:div w:id="1445003948">
          <w:marLeft w:val="0"/>
          <w:marRight w:val="0"/>
          <w:marTop w:val="0"/>
          <w:marBottom w:val="0"/>
          <w:divBdr>
            <w:top w:val="none" w:sz="0" w:space="0" w:color="auto"/>
            <w:left w:val="none" w:sz="0" w:space="0" w:color="auto"/>
            <w:bottom w:val="none" w:sz="0" w:space="0" w:color="auto"/>
            <w:right w:val="none" w:sz="0" w:space="0" w:color="auto"/>
          </w:divBdr>
          <w:divsChild>
            <w:div w:id="207109253">
              <w:marLeft w:val="0"/>
              <w:marRight w:val="0"/>
              <w:marTop w:val="0"/>
              <w:marBottom w:val="0"/>
              <w:divBdr>
                <w:top w:val="none" w:sz="0" w:space="0" w:color="auto"/>
                <w:left w:val="none" w:sz="0" w:space="0" w:color="auto"/>
                <w:bottom w:val="none" w:sz="0" w:space="0" w:color="auto"/>
                <w:right w:val="none" w:sz="0" w:space="0" w:color="auto"/>
              </w:divBdr>
            </w:div>
            <w:div w:id="733047664">
              <w:marLeft w:val="0"/>
              <w:marRight w:val="0"/>
              <w:marTop w:val="0"/>
              <w:marBottom w:val="0"/>
              <w:divBdr>
                <w:top w:val="none" w:sz="0" w:space="0" w:color="auto"/>
                <w:left w:val="none" w:sz="0" w:space="0" w:color="auto"/>
                <w:bottom w:val="none" w:sz="0" w:space="0" w:color="auto"/>
                <w:right w:val="none" w:sz="0" w:space="0" w:color="auto"/>
              </w:divBdr>
            </w:div>
            <w:div w:id="1107116538">
              <w:marLeft w:val="0"/>
              <w:marRight w:val="0"/>
              <w:marTop w:val="0"/>
              <w:marBottom w:val="0"/>
              <w:divBdr>
                <w:top w:val="none" w:sz="0" w:space="0" w:color="auto"/>
                <w:left w:val="none" w:sz="0" w:space="0" w:color="auto"/>
                <w:bottom w:val="none" w:sz="0" w:space="0" w:color="auto"/>
                <w:right w:val="none" w:sz="0" w:space="0" w:color="auto"/>
              </w:divBdr>
            </w:div>
            <w:div w:id="1367104082">
              <w:marLeft w:val="0"/>
              <w:marRight w:val="0"/>
              <w:marTop w:val="0"/>
              <w:marBottom w:val="0"/>
              <w:divBdr>
                <w:top w:val="none" w:sz="0" w:space="0" w:color="auto"/>
                <w:left w:val="none" w:sz="0" w:space="0" w:color="auto"/>
                <w:bottom w:val="none" w:sz="0" w:space="0" w:color="auto"/>
                <w:right w:val="none" w:sz="0" w:space="0" w:color="auto"/>
              </w:divBdr>
            </w:div>
          </w:divsChild>
        </w:div>
        <w:div w:id="1452551189">
          <w:marLeft w:val="0"/>
          <w:marRight w:val="0"/>
          <w:marTop w:val="0"/>
          <w:marBottom w:val="0"/>
          <w:divBdr>
            <w:top w:val="none" w:sz="0" w:space="0" w:color="auto"/>
            <w:left w:val="none" w:sz="0" w:space="0" w:color="auto"/>
            <w:bottom w:val="none" w:sz="0" w:space="0" w:color="auto"/>
            <w:right w:val="none" w:sz="0" w:space="0" w:color="auto"/>
          </w:divBdr>
          <w:divsChild>
            <w:div w:id="1633828480">
              <w:marLeft w:val="0"/>
              <w:marRight w:val="0"/>
              <w:marTop w:val="0"/>
              <w:marBottom w:val="0"/>
              <w:divBdr>
                <w:top w:val="none" w:sz="0" w:space="0" w:color="auto"/>
                <w:left w:val="none" w:sz="0" w:space="0" w:color="auto"/>
                <w:bottom w:val="none" w:sz="0" w:space="0" w:color="auto"/>
                <w:right w:val="none" w:sz="0" w:space="0" w:color="auto"/>
              </w:divBdr>
            </w:div>
          </w:divsChild>
        </w:div>
        <w:div w:id="1453597090">
          <w:marLeft w:val="0"/>
          <w:marRight w:val="0"/>
          <w:marTop w:val="0"/>
          <w:marBottom w:val="0"/>
          <w:divBdr>
            <w:top w:val="none" w:sz="0" w:space="0" w:color="auto"/>
            <w:left w:val="none" w:sz="0" w:space="0" w:color="auto"/>
            <w:bottom w:val="none" w:sz="0" w:space="0" w:color="auto"/>
            <w:right w:val="none" w:sz="0" w:space="0" w:color="auto"/>
          </w:divBdr>
          <w:divsChild>
            <w:div w:id="711346607">
              <w:marLeft w:val="0"/>
              <w:marRight w:val="0"/>
              <w:marTop w:val="0"/>
              <w:marBottom w:val="0"/>
              <w:divBdr>
                <w:top w:val="none" w:sz="0" w:space="0" w:color="auto"/>
                <w:left w:val="none" w:sz="0" w:space="0" w:color="auto"/>
                <w:bottom w:val="none" w:sz="0" w:space="0" w:color="auto"/>
                <w:right w:val="none" w:sz="0" w:space="0" w:color="auto"/>
              </w:divBdr>
            </w:div>
            <w:div w:id="951127032">
              <w:marLeft w:val="0"/>
              <w:marRight w:val="0"/>
              <w:marTop w:val="0"/>
              <w:marBottom w:val="0"/>
              <w:divBdr>
                <w:top w:val="none" w:sz="0" w:space="0" w:color="auto"/>
                <w:left w:val="none" w:sz="0" w:space="0" w:color="auto"/>
                <w:bottom w:val="none" w:sz="0" w:space="0" w:color="auto"/>
                <w:right w:val="none" w:sz="0" w:space="0" w:color="auto"/>
              </w:divBdr>
            </w:div>
          </w:divsChild>
        </w:div>
        <w:div w:id="1455783282">
          <w:marLeft w:val="0"/>
          <w:marRight w:val="0"/>
          <w:marTop w:val="0"/>
          <w:marBottom w:val="0"/>
          <w:divBdr>
            <w:top w:val="none" w:sz="0" w:space="0" w:color="auto"/>
            <w:left w:val="none" w:sz="0" w:space="0" w:color="auto"/>
            <w:bottom w:val="none" w:sz="0" w:space="0" w:color="auto"/>
            <w:right w:val="none" w:sz="0" w:space="0" w:color="auto"/>
          </w:divBdr>
          <w:divsChild>
            <w:div w:id="382020773">
              <w:marLeft w:val="0"/>
              <w:marRight w:val="0"/>
              <w:marTop w:val="0"/>
              <w:marBottom w:val="0"/>
              <w:divBdr>
                <w:top w:val="none" w:sz="0" w:space="0" w:color="auto"/>
                <w:left w:val="none" w:sz="0" w:space="0" w:color="auto"/>
                <w:bottom w:val="none" w:sz="0" w:space="0" w:color="auto"/>
                <w:right w:val="none" w:sz="0" w:space="0" w:color="auto"/>
              </w:divBdr>
            </w:div>
          </w:divsChild>
        </w:div>
        <w:div w:id="1456170915">
          <w:marLeft w:val="0"/>
          <w:marRight w:val="0"/>
          <w:marTop w:val="0"/>
          <w:marBottom w:val="0"/>
          <w:divBdr>
            <w:top w:val="none" w:sz="0" w:space="0" w:color="auto"/>
            <w:left w:val="none" w:sz="0" w:space="0" w:color="auto"/>
            <w:bottom w:val="none" w:sz="0" w:space="0" w:color="auto"/>
            <w:right w:val="none" w:sz="0" w:space="0" w:color="auto"/>
          </w:divBdr>
          <w:divsChild>
            <w:div w:id="41564263">
              <w:marLeft w:val="0"/>
              <w:marRight w:val="0"/>
              <w:marTop w:val="0"/>
              <w:marBottom w:val="0"/>
              <w:divBdr>
                <w:top w:val="none" w:sz="0" w:space="0" w:color="auto"/>
                <w:left w:val="none" w:sz="0" w:space="0" w:color="auto"/>
                <w:bottom w:val="none" w:sz="0" w:space="0" w:color="auto"/>
                <w:right w:val="none" w:sz="0" w:space="0" w:color="auto"/>
              </w:divBdr>
            </w:div>
            <w:div w:id="633802564">
              <w:marLeft w:val="0"/>
              <w:marRight w:val="0"/>
              <w:marTop w:val="0"/>
              <w:marBottom w:val="0"/>
              <w:divBdr>
                <w:top w:val="none" w:sz="0" w:space="0" w:color="auto"/>
                <w:left w:val="none" w:sz="0" w:space="0" w:color="auto"/>
                <w:bottom w:val="none" w:sz="0" w:space="0" w:color="auto"/>
                <w:right w:val="none" w:sz="0" w:space="0" w:color="auto"/>
              </w:divBdr>
            </w:div>
            <w:div w:id="646086564">
              <w:marLeft w:val="0"/>
              <w:marRight w:val="0"/>
              <w:marTop w:val="0"/>
              <w:marBottom w:val="0"/>
              <w:divBdr>
                <w:top w:val="none" w:sz="0" w:space="0" w:color="auto"/>
                <w:left w:val="none" w:sz="0" w:space="0" w:color="auto"/>
                <w:bottom w:val="none" w:sz="0" w:space="0" w:color="auto"/>
                <w:right w:val="none" w:sz="0" w:space="0" w:color="auto"/>
              </w:divBdr>
            </w:div>
            <w:div w:id="995845323">
              <w:marLeft w:val="0"/>
              <w:marRight w:val="0"/>
              <w:marTop w:val="0"/>
              <w:marBottom w:val="0"/>
              <w:divBdr>
                <w:top w:val="none" w:sz="0" w:space="0" w:color="auto"/>
                <w:left w:val="none" w:sz="0" w:space="0" w:color="auto"/>
                <w:bottom w:val="none" w:sz="0" w:space="0" w:color="auto"/>
                <w:right w:val="none" w:sz="0" w:space="0" w:color="auto"/>
              </w:divBdr>
            </w:div>
            <w:div w:id="1111238960">
              <w:marLeft w:val="0"/>
              <w:marRight w:val="0"/>
              <w:marTop w:val="0"/>
              <w:marBottom w:val="0"/>
              <w:divBdr>
                <w:top w:val="none" w:sz="0" w:space="0" w:color="auto"/>
                <w:left w:val="none" w:sz="0" w:space="0" w:color="auto"/>
                <w:bottom w:val="none" w:sz="0" w:space="0" w:color="auto"/>
                <w:right w:val="none" w:sz="0" w:space="0" w:color="auto"/>
              </w:divBdr>
            </w:div>
            <w:div w:id="1312175173">
              <w:marLeft w:val="0"/>
              <w:marRight w:val="0"/>
              <w:marTop w:val="0"/>
              <w:marBottom w:val="0"/>
              <w:divBdr>
                <w:top w:val="none" w:sz="0" w:space="0" w:color="auto"/>
                <w:left w:val="none" w:sz="0" w:space="0" w:color="auto"/>
                <w:bottom w:val="none" w:sz="0" w:space="0" w:color="auto"/>
                <w:right w:val="none" w:sz="0" w:space="0" w:color="auto"/>
              </w:divBdr>
            </w:div>
            <w:div w:id="1366100313">
              <w:marLeft w:val="0"/>
              <w:marRight w:val="0"/>
              <w:marTop w:val="0"/>
              <w:marBottom w:val="0"/>
              <w:divBdr>
                <w:top w:val="none" w:sz="0" w:space="0" w:color="auto"/>
                <w:left w:val="none" w:sz="0" w:space="0" w:color="auto"/>
                <w:bottom w:val="none" w:sz="0" w:space="0" w:color="auto"/>
                <w:right w:val="none" w:sz="0" w:space="0" w:color="auto"/>
              </w:divBdr>
            </w:div>
            <w:div w:id="1450277268">
              <w:marLeft w:val="0"/>
              <w:marRight w:val="0"/>
              <w:marTop w:val="0"/>
              <w:marBottom w:val="0"/>
              <w:divBdr>
                <w:top w:val="none" w:sz="0" w:space="0" w:color="auto"/>
                <w:left w:val="none" w:sz="0" w:space="0" w:color="auto"/>
                <w:bottom w:val="none" w:sz="0" w:space="0" w:color="auto"/>
                <w:right w:val="none" w:sz="0" w:space="0" w:color="auto"/>
              </w:divBdr>
            </w:div>
            <w:div w:id="1599485158">
              <w:marLeft w:val="0"/>
              <w:marRight w:val="0"/>
              <w:marTop w:val="0"/>
              <w:marBottom w:val="0"/>
              <w:divBdr>
                <w:top w:val="none" w:sz="0" w:space="0" w:color="auto"/>
                <w:left w:val="none" w:sz="0" w:space="0" w:color="auto"/>
                <w:bottom w:val="none" w:sz="0" w:space="0" w:color="auto"/>
                <w:right w:val="none" w:sz="0" w:space="0" w:color="auto"/>
              </w:divBdr>
            </w:div>
          </w:divsChild>
        </w:div>
        <w:div w:id="1456558616">
          <w:marLeft w:val="0"/>
          <w:marRight w:val="0"/>
          <w:marTop w:val="0"/>
          <w:marBottom w:val="0"/>
          <w:divBdr>
            <w:top w:val="none" w:sz="0" w:space="0" w:color="auto"/>
            <w:left w:val="none" w:sz="0" w:space="0" w:color="auto"/>
            <w:bottom w:val="none" w:sz="0" w:space="0" w:color="auto"/>
            <w:right w:val="none" w:sz="0" w:space="0" w:color="auto"/>
          </w:divBdr>
          <w:divsChild>
            <w:div w:id="1594244583">
              <w:marLeft w:val="0"/>
              <w:marRight w:val="0"/>
              <w:marTop w:val="0"/>
              <w:marBottom w:val="0"/>
              <w:divBdr>
                <w:top w:val="none" w:sz="0" w:space="0" w:color="auto"/>
                <w:left w:val="none" w:sz="0" w:space="0" w:color="auto"/>
                <w:bottom w:val="none" w:sz="0" w:space="0" w:color="auto"/>
                <w:right w:val="none" w:sz="0" w:space="0" w:color="auto"/>
              </w:divBdr>
            </w:div>
          </w:divsChild>
        </w:div>
        <w:div w:id="1459106088">
          <w:marLeft w:val="0"/>
          <w:marRight w:val="0"/>
          <w:marTop w:val="0"/>
          <w:marBottom w:val="0"/>
          <w:divBdr>
            <w:top w:val="none" w:sz="0" w:space="0" w:color="auto"/>
            <w:left w:val="none" w:sz="0" w:space="0" w:color="auto"/>
            <w:bottom w:val="none" w:sz="0" w:space="0" w:color="auto"/>
            <w:right w:val="none" w:sz="0" w:space="0" w:color="auto"/>
          </w:divBdr>
          <w:divsChild>
            <w:div w:id="421997256">
              <w:marLeft w:val="0"/>
              <w:marRight w:val="0"/>
              <w:marTop w:val="0"/>
              <w:marBottom w:val="0"/>
              <w:divBdr>
                <w:top w:val="none" w:sz="0" w:space="0" w:color="auto"/>
                <w:left w:val="none" w:sz="0" w:space="0" w:color="auto"/>
                <w:bottom w:val="none" w:sz="0" w:space="0" w:color="auto"/>
                <w:right w:val="none" w:sz="0" w:space="0" w:color="auto"/>
              </w:divBdr>
            </w:div>
          </w:divsChild>
        </w:div>
        <w:div w:id="1472793514">
          <w:marLeft w:val="0"/>
          <w:marRight w:val="0"/>
          <w:marTop w:val="0"/>
          <w:marBottom w:val="0"/>
          <w:divBdr>
            <w:top w:val="none" w:sz="0" w:space="0" w:color="auto"/>
            <w:left w:val="none" w:sz="0" w:space="0" w:color="auto"/>
            <w:bottom w:val="none" w:sz="0" w:space="0" w:color="auto"/>
            <w:right w:val="none" w:sz="0" w:space="0" w:color="auto"/>
          </w:divBdr>
          <w:divsChild>
            <w:div w:id="1949699859">
              <w:marLeft w:val="0"/>
              <w:marRight w:val="0"/>
              <w:marTop w:val="0"/>
              <w:marBottom w:val="0"/>
              <w:divBdr>
                <w:top w:val="none" w:sz="0" w:space="0" w:color="auto"/>
                <w:left w:val="none" w:sz="0" w:space="0" w:color="auto"/>
                <w:bottom w:val="none" w:sz="0" w:space="0" w:color="auto"/>
                <w:right w:val="none" w:sz="0" w:space="0" w:color="auto"/>
              </w:divBdr>
            </w:div>
          </w:divsChild>
        </w:div>
        <w:div w:id="1476678878">
          <w:marLeft w:val="0"/>
          <w:marRight w:val="0"/>
          <w:marTop w:val="0"/>
          <w:marBottom w:val="0"/>
          <w:divBdr>
            <w:top w:val="none" w:sz="0" w:space="0" w:color="auto"/>
            <w:left w:val="none" w:sz="0" w:space="0" w:color="auto"/>
            <w:bottom w:val="none" w:sz="0" w:space="0" w:color="auto"/>
            <w:right w:val="none" w:sz="0" w:space="0" w:color="auto"/>
          </w:divBdr>
          <w:divsChild>
            <w:div w:id="176703214">
              <w:marLeft w:val="0"/>
              <w:marRight w:val="0"/>
              <w:marTop w:val="0"/>
              <w:marBottom w:val="0"/>
              <w:divBdr>
                <w:top w:val="none" w:sz="0" w:space="0" w:color="auto"/>
                <w:left w:val="none" w:sz="0" w:space="0" w:color="auto"/>
                <w:bottom w:val="none" w:sz="0" w:space="0" w:color="auto"/>
                <w:right w:val="none" w:sz="0" w:space="0" w:color="auto"/>
              </w:divBdr>
            </w:div>
            <w:div w:id="187723427">
              <w:marLeft w:val="0"/>
              <w:marRight w:val="0"/>
              <w:marTop w:val="0"/>
              <w:marBottom w:val="0"/>
              <w:divBdr>
                <w:top w:val="none" w:sz="0" w:space="0" w:color="auto"/>
                <w:left w:val="none" w:sz="0" w:space="0" w:color="auto"/>
                <w:bottom w:val="none" w:sz="0" w:space="0" w:color="auto"/>
                <w:right w:val="none" w:sz="0" w:space="0" w:color="auto"/>
              </w:divBdr>
            </w:div>
            <w:div w:id="547111653">
              <w:marLeft w:val="0"/>
              <w:marRight w:val="0"/>
              <w:marTop w:val="0"/>
              <w:marBottom w:val="0"/>
              <w:divBdr>
                <w:top w:val="none" w:sz="0" w:space="0" w:color="auto"/>
                <w:left w:val="none" w:sz="0" w:space="0" w:color="auto"/>
                <w:bottom w:val="none" w:sz="0" w:space="0" w:color="auto"/>
                <w:right w:val="none" w:sz="0" w:space="0" w:color="auto"/>
              </w:divBdr>
            </w:div>
            <w:div w:id="758058493">
              <w:marLeft w:val="0"/>
              <w:marRight w:val="0"/>
              <w:marTop w:val="0"/>
              <w:marBottom w:val="0"/>
              <w:divBdr>
                <w:top w:val="none" w:sz="0" w:space="0" w:color="auto"/>
                <w:left w:val="none" w:sz="0" w:space="0" w:color="auto"/>
                <w:bottom w:val="none" w:sz="0" w:space="0" w:color="auto"/>
                <w:right w:val="none" w:sz="0" w:space="0" w:color="auto"/>
              </w:divBdr>
            </w:div>
            <w:div w:id="935357870">
              <w:marLeft w:val="0"/>
              <w:marRight w:val="0"/>
              <w:marTop w:val="0"/>
              <w:marBottom w:val="0"/>
              <w:divBdr>
                <w:top w:val="none" w:sz="0" w:space="0" w:color="auto"/>
                <w:left w:val="none" w:sz="0" w:space="0" w:color="auto"/>
                <w:bottom w:val="none" w:sz="0" w:space="0" w:color="auto"/>
                <w:right w:val="none" w:sz="0" w:space="0" w:color="auto"/>
              </w:divBdr>
            </w:div>
            <w:div w:id="1052269819">
              <w:marLeft w:val="0"/>
              <w:marRight w:val="0"/>
              <w:marTop w:val="0"/>
              <w:marBottom w:val="0"/>
              <w:divBdr>
                <w:top w:val="none" w:sz="0" w:space="0" w:color="auto"/>
                <w:left w:val="none" w:sz="0" w:space="0" w:color="auto"/>
                <w:bottom w:val="none" w:sz="0" w:space="0" w:color="auto"/>
                <w:right w:val="none" w:sz="0" w:space="0" w:color="auto"/>
              </w:divBdr>
            </w:div>
            <w:div w:id="1266885523">
              <w:marLeft w:val="0"/>
              <w:marRight w:val="0"/>
              <w:marTop w:val="0"/>
              <w:marBottom w:val="0"/>
              <w:divBdr>
                <w:top w:val="none" w:sz="0" w:space="0" w:color="auto"/>
                <w:left w:val="none" w:sz="0" w:space="0" w:color="auto"/>
                <w:bottom w:val="none" w:sz="0" w:space="0" w:color="auto"/>
                <w:right w:val="none" w:sz="0" w:space="0" w:color="auto"/>
              </w:divBdr>
            </w:div>
            <w:div w:id="1538591112">
              <w:marLeft w:val="0"/>
              <w:marRight w:val="0"/>
              <w:marTop w:val="0"/>
              <w:marBottom w:val="0"/>
              <w:divBdr>
                <w:top w:val="none" w:sz="0" w:space="0" w:color="auto"/>
                <w:left w:val="none" w:sz="0" w:space="0" w:color="auto"/>
                <w:bottom w:val="none" w:sz="0" w:space="0" w:color="auto"/>
                <w:right w:val="none" w:sz="0" w:space="0" w:color="auto"/>
              </w:divBdr>
            </w:div>
            <w:div w:id="1782413053">
              <w:marLeft w:val="0"/>
              <w:marRight w:val="0"/>
              <w:marTop w:val="0"/>
              <w:marBottom w:val="0"/>
              <w:divBdr>
                <w:top w:val="none" w:sz="0" w:space="0" w:color="auto"/>
                <w:left w:val="none" w:sz="0" w:space="0" w:color="auto"/>
                <w:bottom w:val="none" w:sz="0" w:space="0" w:color="auto"/>
                <w:right w:val="none" w:sz="0" w:space="0" w:color="auto"/>
              </w:divBdr>
            </w:div>
            <w:div w:id="1901669365">
              <w:marLeft w:val="0"/>
              <w:marRight w:val="0"/>
              <w:marTop w:val="0"/>
              <w:marBottom w:val="0"/>
              <w:divBdr>
                <w:top w:val="none" w:sz="0" w:space="0" w:color="auto"/>
                <w:left w:val="none" w:sz="0" w:space="0" w:color="auto"/>
                <w:bottom w:val="none" w:sz="0" w:space="0" w:color="auto"/>
                <w:right w:val="none" w:sz="0" w:space="0" w:color="auto"/>
              </w:divBdr>
            </w:div>
          </w:divsChild>
        </w:div>
        <w:div w:id="1479809435">
          <w:marLeft w:val="0"/>
          <w:marRight w:val="0"/>
          <w:marTop w:val="0"/>
          <w:marBottom w:val="0"/>
          <w:divBdr>
            <w:top w:val="none" w:sz="0" w:space="0" w:color="auto"/>
            <w:left w:val="none" w:sz="0" w:space="0" w:color="auto"/>
            <w:bottom w:val="none" w:sz="0" w:space="0" w:color="auto"/>
            <w:right w:val="none" w:sz="0" w:space="0" w:color="auto"/>
          </w:divBdr>
          <w:divsChild>
            <w:div w:id="324358212">
              <w:marLeft w:val="0"/>
              <w:marRight w:val="0"/>
              <w:marTop w:val="0"/>
              <w:marBottom w:val="0"/>
              <w:divBdr>
                <w:top w:val="none" w:sz="0" w:space="0" w:color="auto"/>
                <w:left w:val="none" w:sz="0" w:space="0" w:color="auto"/>
                <w:bottom w:val="none" w:sz="0" w:space="0" w:color="auto"/>
                <w:right w:val="none" w:sz="0" w:space="0" w:color="auto"/>
              </w:divBdr>
            </w:div>
          </w:divsChild>
        </w:div>
        <w:div w:id="1482192803">
          <w:marLeft w:val="0"/>
          <w:marRight w:val="0"/>
          <w:marTop w:val="0"/>
          <w:marBottom w:val="0"/>
          <w:divBdr>
            <w:top w:val="none" w:sz="0" w:space="0" w:color="auto"/>
            <w:left w:val="none" w:sz="0" w:space="0" w:color="auto"/>
            <w:bottom w:val="none" w:sz="0" w:space="0" w:color="auto"/>
            <w:right w:val="none" w:sz="0" w:space="0" w:color="auto"/>
          </w:divBdr>
          <w:divsChild>
            <w:div w:id="337269128">
              <w:marLeft w:val="0"/>
              <w:marRight w:val="0"/>
              <w:marTop w:val="0"/>
              <w:marBottom w:val="0"/>
              <w:divBdr>
                <w:top w:val="none" w:sz="0" w:space="0" w:color="auto"/>
                <w:left w:val="none" w:sz="0" w:space="0" w:color="auto"/>
                <w:bottom w:val="none" w:sz="0" w:space="0" w:color="auto"/>
                <w:right w:val="none" w:sz="0" w:space="0" w:color="auto"/>
              </w:divBdr>
            </w:div>
            <w:div w:id="1813329202">
              <w:marLeft w:val="0"/>
              <w:marRight w:val="0"/>
              <w:marTop w:val="0"/>
              <w:marBottom w:val="0"/>
              <w:divBdr>
                <w:top w:val="none" w:sz="0" w:space="0" w:color="auto"/>
                <w:left w:val="none" w:sz="0" w:space="0" w:color="auto"/>
                <w:bottom w:val="none" w:sz="0" w:space="0" w:color="auto"/>
                <w:right w:val="none" w:sz="0" w:space="0" w:color="auto"/>
              </w:divBdr>
            </w:div>
          </w:divsChild>
        </w:div>
        <w:div w:id="1488936346">
          <w:marLeft w:val="0"/>
          <w:marRight w:val="0"/>
          <w:marTop w:val="0"/>
          <w:marBottom w:val="0"/>
          <w:divBdr>
            <w:top w:val="none" w:sz="0" w:space="0" w:color="auto"/>
            <w:left w:val="none" w:sz="0" w:space="0" w:color="auto"/>
            <w:bottom w:val="none" w:sz="0" w:space="0" w:color="auto"/>
            <w:right w:val="none" w:sz="0" w:space="0" w:color="auto"/>
          </w:divBdr>
          <w:divsChild>
            <w:div w:id="845293943">
              <w:marLeft w:val="0"/>
              <w:marRight w:val="0"/>
              <w:marTop w:val="0"/>
              <w:marBottom w:val="0"/>
              <w:divBdr>
                <w:top w:val="none" w:sz="0" w:space="0" w:color="auto"/>
                <w:left w:val="none" w:sz="0" w:space="0" w:color="auto"/>
                <w:bottom w:val="none" w:sz="0" w:space="0" w:color="auto"/>
                <w:right w:val="none" w:sz="0" w:space="0" w:color="auto"/>
              </w:divBdr>
            </w:div>
            <w:div w:id="995034732">
              <w:marLeft w:val="0"/>
              <w:marRight w:val="0"/>
              <w:marTop w:val="0"/>
              <w:marBottom w:val="0"/>
              <w:divBdr>
                <w:top w:val="none" w:sz="0" w:space="0" w:color="auto"/>
                <w:left w:val="none" w:sz="0" w:space="0" w:color="auto"/>
                <w:bottom w:val="none" w:sz="0" w:space="0" w:color="auto"/>
                <w:right w:val="none" w:sz="0" w:space="0" w:color="auto"/>
              </w:divBdr>
            </w:div>
            <w:div w:id="1929581200">
              <w:marLeft w:val="0"/>
              <w:marRight w:val="0"/>
              <w:marTop w:val="0"/>
              <w:marBottom w:val="0"/>
              <w:divBdr>
                <w:top w:val="none" w:sz="0" w:space="0" w:color="auto"/>
                <w:left w:val="none" w:sz="0" w:space="0" w:color="auto"/>
                <w:bottom w:val="none" w:sz="0" w:space="0" w:color="auto"/>
                <w:right w:val="none" w:sz="0" w:space="0" w:color="auto"/>
              </w:divBdr>
            </w:div>
          </w:divsChild>
        </w:div>
        <w:div w:id="1492140818">
          <w:marLeft w:val="0"/>
          <w:marRight w:val="0"/>
          <w:marTop w:val="0"/>
          <w:marBottom w:val="0"/>
          <w:divBdr>
            <w:top w:val="none" w:sz="0" w:space="0" w:color="auto"/>
            <w:left w:val="none" w:sz="0" w:space="0" w:color="auto"/>
            <w:bottom w:val="none" w:sz="0" w:space="0" w:color="auto"/>
            <w:right w:val="none" w:sz="0" w:space="0" w:color="auto"/>
          </w:divBdr>
          <w:divsChild>
            <w:div w:id="968441763">
              <w:marLeft w:val="0"/>
              <w:marRight w:val="0"/>
              <w:marTop w:val="0"/>
              <w:marBottom w:val="0"/>
              <w:divBdr>
                <w:top w:val="none" w:sz="0" w:space="0" w:color="auto"/>
                <w:left w:val="none" w:sz="0" w:space="0" w:color="auto"/>
                <w:bottom w:val="none" w:sz="0" w:space="0" w:color="auto"/>
                <w:right w:val="none" w:sz="0" w:space="0" w:color="auto"/>
              </w:divBdr>
            </w:div>
          </w:divsChild>
        </w:div>
        <w:div w:id="1498182415">
          <w:marLeft w:val="0"/>
          <w:marRight w:val="0"/>
          <w:marTop w:val="0"/>
          <w:marBottom w:val="0"/>
          <w:divBdr>
            <w:top w:val="none" w:sz="0" w:space="0" w:color="auto"/>
            <w:left w:val="none" w:sz="0" w:space="0" w:color="auto"/>
            <w:bottom w:val="none" w:sz="0" w:space="0" w:color="auto"/>
            <w:right w:val="none" w:sz="0" w:space="0" w:color="auto"/>
          </w:divBdr>
          <w:divsChild>
            <w:div w:id="335033680">
              <w:marLeft w:val="0"/>
              <w:marRight w:val="0"/>
              <w:marTop w:val="0"/>
              <w:marBottom w:val="0"/>
              <w:divBdr>
                <w:top w:val="none" w:sz="0" w:space="0" w:color="auto"/>
                <w:left w:val="none" w:sz="0" w:space="0" w:color="auto"/>
                <w:bottom w:val="none" w:sz="0" w:space="0" w:color="auto"/>
                <w:right w:val="none" w:sz="0" w:space="0" w:color="auto"/>
              </w:divBdr>
            </w:div>
          </w:divsChild>
        </w:div>
        <w:div w:id="1505894190">
          <w:marLeft w:val="0"/>
          <w:marRight w:val="0"/>
          <w:marTop w:val="0"/>
          <w:marBottom w:val="0"/>
          <w:divBdr>
            <w:top w:val="none" w:sz="0" w:space="0" w:color="auto"/>
            <w:left w:val="none" w:sz="0" w:space="0" w:color="auto"/>
            <w:bottom w:val="none" w:sz="0" w:space="0" w:color="auto"/>
            <w:right w:val="none" w:sz="0" w:space="0" w:color="auto"/>
          </w:divBdr>
          <w:divsChild>
            <w:div w:id="1795440493">
              <w:marLeft w:val="0"/>
              <w:marRight w:val="0"/>
              <w:marTop w:val="0"/>
              <w:marBottom w:val="0"/>
              <w:divBdr>
                <w:top w:val="none" w:sz="0" w:space="0" w:color="auto"/>
                <w:left w:val="none" w:sz="0" w:space="0" w:color="auto"/>
                <w:bottom w:val="none" w:sz="0" w:space="0" w:color="auto"/>
                <w:right w:val="none" w:sz="0" w:space="0" w:color="auto"/>
              </w:divBdr>
            </w:div>
          </w:divsChild>
        </w:div>
        <w:div w:id="1506359254">
          <w:marLeft w:val="0"/>
          <w:marRight w:val="0"/>
          <w:marTop w:val="0"/>
          <w:marBottom w:val="0"/>
          <w:divBdr>
            <w:top w:val="none" w:sz="0" w:space="0" w:color="auto"/>
            <w:left w:val="none" w:sz="0" w:space="0" w:color="auto"/>
            <w:bottom w:val="none" w:sz="0" w:space="0" w:color="auto"/>
            <w:right w:val="none" w:sz="0" w:space="0" w:color="auto"/>
          </w:divBdr>
          <w:divsChild>
            <w:div w:id="61225379">
              <w:marLeft w:val="0"/>
              <w:marRight w:val="0"/>
              <w:marTop w:val="0"/>
              <w:marBottom w:val="0"/>
              <w:divBdr>
                <w:top w:val="none" w:sz="0" w:space="0" w:color="auto"/>
                <w:left w:val="none" w:sz="0" w:space="0" w:color="auto"/>
                <w:bottom w:val="none" w:sz="0" w:space="0" w:color="auto"/>
                <w:right w:val="none" w:sz="0" w:space="0" w:color="auto"/>
              </w:divBdr>
            </w:div>
            <w:div w:id="427850308">
              <w:marLeft w:val="0"/>
              <w:marRight w:val="0"/>
              <w:marTop w:val="0"/>
              <w:marBottom w:val="0"/>
              <w:divBdr>
                <w:top w:val="none" w:sz="0" w:space="0" w:color="auto"/>
                <w:left w:val="none" w:sz="0" w:space="0" w:color="auto"/>
                <w:bottom w:val="none" w:sz="0" w:space="0" w:color="auto"/>
                <w:right w:val="none" w:sz="0" w:space="0" w:color="auto"/>
              </w:divBdr>
            </w:div>
            <w:div w:id="642127890">
              <w:marLeft w:val="0"/>
              <w:marRight w:val="0"/>
              <w:marTop w:val="0"/>
              <w:marBottom w:val="0"/>
              <w:divBdr>
                <w:top w:val="none" w:sz="0" w:space="0" w:color="auto"/>
                <w:left w:val="none" w:sz="0" w:space="0" w:color="auto"/>
                <w:bottom w:val="none" w:sz="0" w:space="0" w:color="auto"/>
                <w:right w:val="none" w:sz="0" w:space="0" w:color="auto"/>
              </w:divBdr>
            </w:div>
            <w:div w:id="677735831">
              <w:marLeft w:val="0"/>
              <w:marRight w:val="0"/>
              <w:marTop w:val="0"/>
              <w:marBottom w:val="0"/>
              <w:divBdr>
                <w:top w:val="none" w:sz="0" w:space="0" w:color="auto"/>
                <w:left w:val="none" w:sz="0" w:space="0" w:color="auto"/>
                <w:bottom w:val="none" w:sz="0" w:space="0" w:color="auto"/>
                <w:right w:val="none" w:sz="0" w:space="0" w:color="auto"/>
              </w:divBdr>
            </w:div>
            <w:div w:id="787890057">
              <w:marLeft w:val="0"/>
              <w:marRight w:val="0"/>
              <w:marTop w:val="0"/>
              <w:marBottom w:val="0"/>
              <w:divBdr>
                <w:top w:val="none" w:sz="0" w:space="0" w:color="auto"/>
                <w:left w:val="none" w:sz="0" w:space="0" w:color="auto"/>
                <w:bottom w:val="none" w:sz="0" w:space="0" w:color="auto"/>
                <w:right w:val="none" w:sz="0" w:space="0" w:color="auto"/>
              </w:divBdr>
            </w:div>
            <w:div w:id="1188059400">
              <w:marLeft w:val="0"/>
              <w:marRight w:val="0"/>
              <w:marTop w:val="0"/>
              <w:marBottom w:val="0"/>
              <w:divBdr>
                <w:top w:val="none" w:sz="0" w:space="0" w:color="auto"/>
                <w:left w:val="none" w:sz="0" w:space="0" w:color="auto"/>
                <w:bottom w:val="none" w:sz="0" w:space="0" w:color="auto"/>
                <w:right w:val="none" w:sz="0" w:space="0" w:color="auto"/>
              </w:divBdr>
            </w:div>
            <w:div w:id="1300918240">
              <w:marLeft w:val="0"/>
              <w:marRight w:val="0"/>
              <w:marTop w:val="0"/>
              <w:marBottom w:val="0"/>
              <w:divBdr>
                <w:top w:val="none" w:sz="0" w:space="0" w:color="auto"/>
                <w:left w:val="none" w:sz="0" w:space="0" w:color="auto"/>
                <w:bottom w:val="none" w:sz="0" w:space="0" w:color="auto"/>
                <w:right w:val="none" w:sz="0" w:space="0" w:color="auto"/>
              </w:divBdr>
            </w:div>
            <w:div w:id="1736246654">
              <w:marLeft w:val="0"/>
              <w:marRight w:val="0"/>
              <w:marTop w:val="0"/>
              <w:marBottom w:val="0"/>
              <w:divBdr>
                <w:top w:val="none" w:sz="0" w:space="0" w:color="auto"/>
                <w:left w:val="none" w:sz="0" w:space="0" w:color="auto"/>
                <w:bottom w:val="none" w:sz="0" w:space="0" w:color="auto"/>
                <w:right w:val="none" w:sz="0" w:space="0" w:color="auto"/>
              </w:divBdr>
            </w:div>
            <w:div w:id="1836065613">
              <w:marLeft w:val="0"/>
              <w:marRight w:val="0"/>
              <w:marTop w:val="0"/>
              <w:marBottom w:val="0"/>
              <w:divBdr>
                <w:top w:val="none" w:sz="0" w:space="0" w:color="auto"/>
                <w:left w:val="none" w:sz="0" w:space="0" w:color="auto"/>
                <w:bottom w:val="none" w:sz="0" w:space="0" w:color="auto"/>
                <w:right w:val="none" w:sz="0" w:space="0" w:color="auto"/>
              </w:divBdr>
            </w:div>
            <w:div w:id="1991248336">
              <w:marLeft w:val="0"/>
              <w:marRight w:val="0"/>
              <w:marTop w:val="0"/>
              <w:marBottom w:val="0"/>
              <w:divBdr>
                <w:top w:val="none" w:sz="0" w:space="0" w:color="auto"/>
                <w:left w:val="none" w:sz="0" w:space="0" w:color="auto"/>
                <w:bottom w:val="none" w:sz="0" w:space="0" w:color="auto"/>
                <w:right w:val="none" w:sz="0" w:space="0" w:color="auto"/>
              </w:divBdr>
            </w:div>
          </w:divsChild>
        </w:div>
        <w:div w:id="1516529436">
          <w:marLeft w:val="0"/>
          <w:marRight w:val="0"/>
          <w:marTop w:val="0"/>
          <w:marBottom w:val="0"/>
          <w:divBdr>
            <w:top w:val="none" w:sz="0" w:space="0" w:color="auto"/>
            <w:left w:val="none" w:sz="0" w:space="0" w:color="auto"/>
            <w:bottom w:val="none" w:sz="0" w:space="0" w:color="auto"/>
            <w:right w:val="none" w:sz="0" w:space="0" w:color="auto"/>
          </w:divBdr>
          <w:divsChild>
            <w:div w:id="925505573">
              <w:marLeft w:val="0"/>
              <w:marRight w:val="0"/>
              <w:marTop w:val="0"/>
              <w:marBottom w:val="0"/>
              <w:divBdr>
                <w:top w:val="none" w:sz="0" w:space="0" w:color="auto"/>
                <w:left w:val="none" w:sz="0" w:space="0" w:color="auto"/>
                <w:bottom w:val="none" w:sz="0" w:space="0" w:color="auto"/>
                <w:right w:val="none" w:sz="0" w:space="0" w:color="auto"/>
              </w:divBdr>
            </w:div>
          </w:divsChild>
        </w:div>
        <w:div w:id="1516728882">
          <w:marLeft w:val="0"/>
          <w:marRight w:val="0"/>
          <w:marTop w:val="0"/>
          <w:marBottom w:val="0"/>
          <w:divBdr>
            <w:top w:val="none" w:sz="0" w:space="0" w:color="auto"/>
            <w:left w:val="none" w:sz="0" w:space="0" w:color="auto"/>
            <w:bottom w:val="none" w:sz="0" w:space="0" w:color="auto"/>
            <w:right w:val="none" w:sz="0" w:space="0" w:color="auto"/>
          </w:divBdr>
          <w:divsChild>
            <w:div w:id="56512473">
              <w:marLeft w:val="0"/>
              <w:marRight w:val="0"/>
              <w:marTop w:val="0"/>
              <w:marBottom w:val="0"/>
              <w:divBdr>
                <w:top w:val="none" w:sz="0" w:space="0" w:color="auto"/>
                <w:left w:val="none" w:sz="0" w:space="0" w:color="auto"/>
                <w:bottom w:val="none" w:sz="0" w:space="0" w:color="auto"/>
                <w:right w:val="none" w:sz="0" w:space="0" w:color="auto"/>
              </w:divBdr>
            </w:div>
          </w:divsChild>
        </w:div>
        <w:div w:id="1522864463">
          <w:marLeft w:val="0"/>
          <w:marRight w:val="0"/>
          <w:marTop w:val="0"/>
          <w:marBottom w:val="0"/>
          <w:divBdr>
            <w:top w:val="none" w:sz="0" w:space="0" w:color="auto"/>
            <w:left w:val="none" w:sz="0" w:space="0" w:color="auto"/>
            <w:bottom w:val="none" w:sz="0" w:space="0" w:color="auto"/>
            <w:right w:val="none" w:sz="0" w:space="0" w:color="auto"/>
          </w:divBdr>
          <w:divsChild>
            <w:div w:id="613055736">
              <w:marLeft w:val="0"/>
              <w:marRight w:val="0"/>
              <w:marTop w:val="0"/>
              <w:marBottom w:val="0"/>
              <w:divBdr>
                <w:top w:val="none" w:sz="0" w:space="0" w:color="auto"/>
                <w:left w:val="none" w:sz="0" w:space="0" w:color="auto"/>
                <w:bottom w:val="none" w:sz="0" w:space="0" w:color="auto"/>
                <w:right w:val="none" w:sz="0" w:space="0" w:color="auto"/>
              </w:divBdr>
            </w:div>
            <w:div w:id="1415318461">
              <w:marLeft w:val="0"/>
              <w:marRight w:val="0"/>
              <w:marTop w:val="0"/>
              <w:marBottom w:val="0"/>
              <w:divBdr>
                <w:top w:val="none" w:sz="0" w:space="0" w:color="auto"/>
                <w:left w:val="none" w:sz="0" w:space="0" w:color="auto"/>
                <w:bottom w:val="none" w:sz="0" w:space="0" w:color="auto"/>
                <w:right w:val="none" w:sz="0" w:space="0" w:color="auto"/>
              </w:divBdr>
            </w:div>
          </w:divsChild>
        </w:div>
        <w:div w:id="1523861634">
          <w:marLeft w:val="0"/>
          <w:marRight w:val="0"/>
          <w:marTop w:val="0"/>
          <w:marBottom w:val="0"/>
          <w:divBdr>
            <w:top w:val="none" w:sz="0" w:space="0" w:color="auto"/>
            <w:left w:val="none" w:sz="0" w:space="0" w:color="auto"/>
            <w:bottom w:val="none" w:sz="0" w:space="0" w:color="auto"/>
            <w:right w:val="none" w:sz="0" w:space="0" w:color="auto"/>
          </w:divBdr>
          <w:divsChild>
            <w:div w:id="197548187">
              <w:marLeft w:val="0"/>
              <w:marRight w:val="0"/>
              <w:marTop w:val="0"/>
              <w:marBottom w:val="0"/>
              <w:divBdr>
                <w:top w:val="none" w:sz="0" w:space="0" w:color="auto"/>
                <w:left w:val="none" w:sz="0" w:space="0" w:color="auto"/>
                <w:bottom w:val="none" w:sz="0" w:space="0" w:color="auto"/>
                <w:right w:val="none" w:sz="0" w:space="0" w:color="auto"/>
              </w:divBdr>
            </w:div>
            <w:div w:id="474104543">
              <w:marLeft w:val="0"/>
              <w:marRight w:val="0"/>
              <w:marTop w:val="0"/>
              <w:marBottom w:val="0"/>
              <w:divBdr>
                <w:top w:val="none" w:sz="0" w:space="0" w:color="auto"/>
                <w:left w:val="none" w:sz="0" w:space="0" w:color="auto"/>
                <w:bottom w:val="none" w:sz="0" w:space="0" w:color="auto"/>
                <w:right w:val="none" w:sz="0" w:space="0" w:color="auto"/>
              </w:divBdr>
            </w:div>
            <w:div w:id="662978038">
              <w:marLeft w:val="0"/>
              <w:marRight w:val="0"/>
              <w:marTop w:val="0"/>
              <w:marBottom w:val="0"/>
              <w:divBdr>
                <w:top w:val="none" w:sz="0" w:space="0" w:color="auto"/>
                <w:left w:val="none" w:sz="0" w:space="0" w:color="auto"/>
                <w:bottom w:val="none" w:sz="0" w:space="0" w:color="auto"/>
                <w:right w:val="none" w:sz="0" w:space="0" w:color="auto"/>
              </w:divBdr>
            </w:div>
            <w:div w:id="696662352">
              <w:marLeft w:val="0"/>
              <w:marRight w:val="0"/>
              <w:marTop w:val="0"/>
              <w:marBottom w:val="0"/>
              <w:divBdr>
                <w:top w:val="none" w:sz="0" w:space="0" w:color="auto"/>
                <w:left w:val="none" w:sz="0" w:space="0" w:color="auto"/>
                <w:bottom w:val="none" w:sz="0" w:space="0" w:color="auto"/>
                <w:right w:val="none" w:sz="0" w:space="0" w:color="auto"/>
              </w:divBdr>
            </w:div>
            <w:div w:id="1230462188">
              <w:marLeft w:val="0"/>
              <w:marRight w:val="0"/>
              <w:marTop w:val="0"/>
              <w:marBottom w:val="0"/>
              <w:divBdr>
                <w:top w:val="none" w:sz="0" w:space="0" w:color="auto"/>
                <w:left w:val="none" w:sz="0" w:space="0" w:color="auto"/>
                <w:bottom w:val="none" w:sz="0" w:space="0" w:color="auto"/>
                <w:right w:val="none" w:sz="0" w:space="0" w:color="auto"/>
              </w:divBdr>
            </w:div>
            <w:div w:id="1251086565">
              <w:marLeft w:val="0"/>
              <w:marRight w:val="0"/>
              <w:marTop w:val="0"/>
              <w:marBottom w:val="0"/>
              <w:divBdr>
                <w:top w:val="none" w:sz="0" w:space="0" w:color="auto"/>
                <w:left w:val="none" w:sz="0" w:space="0" w:color="auto"/>
                <w:bottom w:val="none" w:sz="0" w:space="0" w:color="auto"/>
                <w:right w:val="none" w:sz="0" w:space="0" w:color="auto"/>
              </w:divBdr>
            </w:div>
            <w:div w:id="1452898201">
              <w:marLeft w:val="0"/>
              <w:marRight w:val="0"/>
              <w:marTop w:val="0"/>
              <w:marBottom w:val="0"/>
              <w:divBdr>
                <w:top w:val="none" w:sz="0" w:space="0" w:color="auto"/>
                <w:left w:val="none" w:sz="0" w:space="0" w:color="auto"/>
                <w:bottom w:val="none" w:sz="0" w:space="0" w:color="auto"/>
                <w:right w:val="none" w:sz="0" w:space="0" w:color="auto"/>
              </w:divBdr>
            </w:div>
            <w:div w:id="1525364732">
              <w:marLeft w:val="0"/>
              <w:marRight w:val="0"/>
              <w:marTop w:val="0"/>
              <w:marBottom w:val="0"/>
              <w:divBdr>
                <w:top w:val="none" w:sz="0" w:space="0" w:color="auto"/>
                <w:left w:val="none" w:sz="0" w:space="0" w:color="auto"/>
                <w:bottom w:val="none" w:sz="0" w:space="0" w:color="auto"/>
                <w:right w:val="none" w:sz="0" w:space="0" w:color="auto"/>
              </w:divBdr>
            </w:div>
          </w:divsChild>
        </w:div>
        <w:div w:id="1529637905">
          <w:marLeft w:val="0"/>
          <w:marRight w:val="0"/>
          <w:marTop w:val="0"/>
          <w:marBottom w:val="0"/>
          <w:divBdr>
            <w:top w:val="none" w:sz="0" w:space="0" w:color="auto"/>
            <w:left w:val="none" w:sz="0" w:space="0" w:color="auto"/>
            <w:bottom w:val="none" w:sz="0" w:space="0" w:color="auto"/>
            <w:right w:val="none" w:sz="0" w:space="0" w:color="auto"/>
          </w:divBdr>
          <w:divsChild>
            <w:div w:id="1125585510">
              <w:marLeft w:val="0"/>
              <w:marRight w:val="0"/>
              <w:marTop w:val="0"/>
              <w:marBottom w:val="0"/>
              <w:divBdr>
                <w:top w:val="none" w:sz="0" w:space="0" w:color="auto"/>
                <w:left w:val="none" w:sz="0" w:space="0" w:color="auto"/>
                <w:bottom w:val="none" w:sz="0" w:space="0" w:color="auto"/>
                <w:right w:val="none" w:sz="0" w:space="0" w:color="auto"/>
              </w:divBdr>
            </w:div>
          </w:divsChild>
        </w:div>
        <w:div w:id="1531190174">
          <w:marLeft w:val="0"/>
          <w:marRight w:val="0"/>
          <w:marTop w:val="0"/>
          <w:marBottom w:val="0"/>
          <w:divBdr>
            <w:top w:val="none" w:sz="0" w:space="0" w:color="auto"/>
            <w:left w:val="none" w:sz="0" w:space="0" w:color="auto"/>
            <w:bottom w:val="none" w:sz="0" w:space="0" w:color="auto"/>
            <w:right w:val="none" w:sz="0" w:space="0" w:color="auto"/>
          </w:divBdr>
          <w:divsChild>
            <w:div w:id="773596201">
              <w:marLeft w:val="0"/>
              <w:marRight w:val="0"/>
              <w:marTop w:val="0"/>
              <w:marBottom w:val="0"/>
              <w:divBdr>
                <w:top w:val="none" w:sz="0" w:space="0" w:color="auto"/>
                <w:left w:val="none" w:sz="0" w:space="0" w:color="auto"/>
                <w:bottom w:val="none" w:sz="0" w:space="0" w:color="auto"/>
                <w:right w:val="none" w:sz="0" w:space="0" w:color="auto"/>
              </w:divBdr>
            </w:div>
          </w:divsChild>
        </w:div>
        <w:div w:id="1537890231">
          <w:marLeft w:val="0"/>
          <w:marRight w:val="0"/>
          <w:marTop w:val="0"/>
          <w:marBottom w:val="0"/>
          <w:divBdr>
            <w:top w:val="none" w:sz="0" w:space="0" w:color="auto"/>
            <w:left w:val="none" w:sz="0" w:space="0" w:color="auto"/>
            <w:bottom w:val="none" w:sz="0" w:space="0" w:color="auto"/>
            <w:right w:val="none" w:sz="0" w:space="0" w:color="auto"/>
          </w:divBdr>
          <w:divsChild>
            <w:div w:id="396585862">
              <w:marLeft w:val="0"/>
              <w:marRight w:val="0"/>
              <w:marTop w:val="0"/>
              <w:marBottom w:val="0"/>
              <w:divBdr>
                <w:top w:val="none" w:sz="0" w:space="0" w:color="auto"/>
                <w:left w:val="none" w:sz="0" w:space="0" w:color="auto"/>
                <w:bottom w:val="none" w:sz="0" w:space="0" w:color="auto"/>
                <w:right w:val="none" w:sz="0" w:space="0" w:color="auto"/>
              </w:divBdr>
            </w:div>
            <w:div w:id="758866673">
              <w:marLeft w:val="0"/>
              <w:marRight w:val="0"/>
              <w:marTop w:val="0"/>
              <w:marBottom w:val="0"/>
              <w:divBdr>
                <w:top w:val="none" w:sz="0" w:space="0" w:color="auto"/>
                <w:left w:val="none" w:sz="0" w:space="0" w:color="auto"/>
                <w:bottom w:val="none" w:sz="0" w:space="0" w:color="auto"/>
                <w:right w:val="none" w:sz="0" w:space="0" w:color="auto"/>
              </w:divBdr>
            </w:div>
          </w:divsChild>
        </w:div>
        <w:div w:id="1544368059">
          <w:marLeft w:val="0"/>
          <w:marRight w:val="0"/>
          <w:marTop w:val="0"/>
          <w:marBottom w:val="0"/>
          <w:divBdr>
            <w:top w:val="none" w:sz="0" w:space="0" w:color="auto"/>
            <w:left w:val="none" w:sz="0" w:space="0" w:color="auto"/>
            <w:bottom w:val="none" w:sz="0" w:space="0" w:color="auto"/>
            <w:right w:val="none" w:sz="0" w:space="0" w:color="auto"/>
          </w:divBdr>
          <w:divsChild>
            <w:div w:id="220140484">
              <w:marLeft w:val="0"/>
              <w:marRight w:val="0"/>
              <w:marTop w:val="0"/>
              <w:marBottom w:val="0"/>
              <w:divBdr>
                <w:top w:val="none" w:sz="0" w:space="0" w:color="auto"/>
                <w:left w:val="none" w:sz="0" w:space="0" w:color="auto"/>
                <w:bottom w:val="none" w:sz="0" w:space="0" w:color="auto"/>
                <w:right w:val="none" w:sz="0" w:space="0" w:color="auto"/>
              </w:divBdr>
            </w:div>
          </w:divsChild>
        </w:div>
        <w:div w:id="1550801595">
          <w:marLeft w:val="0"/>
          <w:marRight w:val="0"/>
          <w:marTop w:val="0"/>
          <w:marBottom w:val="0"/>
          <w:divBdr>
            <w:top w:val="none" w:sz="0" w:space="0" w:color="auto"/>
            <w:left w:val="none" w:sz="0" w:space="0" w:color="auto"/>
            <w:bottom w:val="none" w:sz="0" w:space="0" w:color="auto"/>
            <w:right w:val="none" w:sz="0" w:space="0" w:color="auto"/>
          </w:divBdr>
          <w:divsChild>
            <w:div w:id="1138841318">
              <w:marLeft w:val="0"/>
              <w:marRight w:val="0"/>
              <w:marTop w:val="0"/>
              <w:marBottom w:val="0"/>
              <w:divBdr>
                <w:top w:val="none" w:sz="0" w:space="0" w:color="auto"/>
                <w:left w:val="none" w:sz="0" w:space="0" w:color="auto"/>
                <w:bottom w:val="none" w:sz="0" w:space="0" w:color="auto"/>
                <w:right w:val="none" w:sz="0" w:space="0" w:color="auto"/>
              </w:divBdr>
            </w:div>
          </w:divsChild>
        </w:div>
        <w:div w:id="1553662268">
          <w:marLeft w:val="0"/>
          <w:marRight w:val="0"/>
          <w:marTop w:val="0"/>
          <w:marBottom w:val="0"/>
          <w:divBdr>
            <w:top w:val="none" w:sz="0" w:space="0" w:color="auto"/>
            <w:left w:val="none" w:sz="0" w:space="0" w:color="auto"/>
            <w:bottom w:val="none" w:sz="0" w:space="0" w:color="auto"/>
            <w:right w:val="none" w:sz="0" w:space="0" w:color="auto"/>
          </w:divBdr>
          <w:divsChild>
            <w:div w:id="31195286">
              <w:marLeft w:val="0"/>
              <w:marRight w:val="0"/>
              <w:marTop w:val="0"/>
              <w:marBottom w:val="0"/>
              <w:divBdr>
                <w:top w:val="none" w:sz="0" w:space="0" w:color="auto"/>
                <w:left w:val="none" w:sz="0" w:space="0" w:color="auto"/>
                <w:bottom w:val="none" w:sz="0" w:space="0" w:color="auto"/>
                <w:right w:val="none" w:sz="0" w:space="0" w:color="auto"/>
              </w:divBdr>
            </w:div>
            <w:div w:id="74085578">
              <w:marLeft w:val="0"/>
              <w:marRight w:val="0"/>
              <w:marTop w:val="0"/>
              <w:marBottom w:val="0"/>
              <w:divBdr>
                <w:top w:val="none" w:sz="0" w:space="0" w:color="auto"/>
                <w:left w:val="none" w:sz="0" w:space="0" w:color="auto"/>
                <w:bottom w:val="none" w:sz="0" w:space="0" w:color="auto"/>
                <w:right w:val="none" w:sz="0" w:space="0" w:color="auto"/>
              </w:divBdr>
            </w:div>
            <w:div w:id="273027927">
              <w:marLeft w:val="0"/>
              <w:marRight w:val="0"/>
              <w:marTop w:val="0"/>
              <w:marBottom w:val="0"/>
              <w:divBdr>
                <w:top w:val="none" w:sz="0" w:space="0" w:color="auto"/>
                <w:left w:val="none" w:sz="0" w:space="0" w:color="auto"/>
                <w:bottom w:val="none" w:sz="0" w:space="0" w:color="auto"/>
                <w:right w:val="none" w:sz="0" w:space="0" w:color="auto"/>
              </w:divBdr>
            </w:div>
            <w:div w:id="423458528">
              <w:marLeft w:val="0"/>
              <w:marRight w:val="0"/>
              <w:marTop w:val="0"/>
              <w:marBottom w:val="0"/>
              <w:divBdr>
                <w:top w:val="none" w:sz="0" w:space="0" w:color="auto"/>
                <w:left w:val="none" w:sz="0" w:space="0" w:color="auto"/>
                <w:bottom w:val="none" w:sz="0" w:space="0" w:color="auto"/>
                <w:right w:val="none" w:sz="0" w:space="0" w:color="auto"/>
              </w:divBdr>
            </w:div>
            <w:div w:id="468205298">
              <w:marLeft w:val="0"/>
              <w:marRight w:val="0"/>
              <w:marTop w:val="0"/>
              <w:marBottom w:val="0"/>
              <w:divBdr>
                <w:top w:val="none" w:sz="0" w:space="0" w:color="auto"/>
                <w:left w:val="none" w:sz="0" w:space="0" w:color="auto"/>
                <w:bottom w:val="none" w:sz="0" w:space="0" w:color="auto"/>
                <w:right w:val="none" w:sz="0" w:space="0" w:color="auto"/>
              </w:divBdr>
            </w:div>
            <w:div w:id="1084573964">
              <w:marLeft w:val="0"/>
              <w:marRight w:val="0"/>
              <w:marTop w:val="0"/>
              <w:marBottom w:val="0"/>
              <w:divBdr>
                <w:top w:val="none" w:sz="0" w:space="0" w:color="auto"/>
                <w:left w:val="none" w:sz="0" w:space="0" w:color="auto"/>
                <w:bottom w:val="none" w:sz="0" w:space="0" w:color="auto"/>
                <w:right w:val="none" w:sz="0" w:space="0" w:color="auto"/>
              </w:divBdr>
            </w:div>
            <w:div w:id="1767925323">
              <w:marLeft w:val="0"/>
              <w:marRight w:val="0"/>
              <w:marTop w:val="0"/>
              <w:marBottom w:val="0"/>
              <w:divBdr>
                <w:top w:val="none" w:sz="0" w:space="0" w:color="auto"/>
                <w:left w:val="none" w:sz="0" w:space="0" w:color="auto"/>
                <w:bottom w:val="none" w:sz="0" w:space="0" w:color="auto"/>
                <w:right w:val="none" w:sz="0" w:space="0" w:color="auto"/>
              </w:divBdr>
            </w:div>
            <w:div w:id="1772167934">
              <w:marLeft w:val="0"/>
              <w:marRight w:val="0"/>
              <w:marTop w:val="0"/>
              <w:marBottom w:val="0"/>
              <w:divBdr>
                <w:top w:val="none" w:sz="0" w:space="0" w:color="auto"/>
                <w:left w:val="none" w:sz="0" w:space="0" w:color="auto"/>
                <w:bottom w:val="none" w:sz="0" w:space="0" w:color="auto"/>
                <w:right w:val="none" w:sz="0" w:space="0" w:color="auto"/>
              </w:divBdr>
            </w:div>
            <w:div w:id="1801655177">
              <w:marLeft w:val="0"/>
              <w:marRight w:val="0"/>
              <w:marTop w:val="0"/>
              <w:marBottom w:val="0"/>
              <w:divBdr>
                <w:top w:val="none" w:sz="0" w:space="0" w:color="auto"/>
                <w:left w:val="none" w:sz="0" w:space="0" w:color="auto"/>
                <w:bottom w:val="none" w:sz="0" w:space="0" w:color="auto"/>
                <w:right w:val="none" w:sz="0" w:space="0" w:color="auto"/>
              </w:divBdr>
            </w:div>
            <w:div w:id="1908149865">
              <w:marLeft w:val="0"/>
              <w:marRight w:val="0"/>
              <w:marTop w:val="0"/>
              <w:marBottom w:val="0"/>
              <w:divBdr>
                <w:top w:val="none" w:sz="0" w:space="0" w:color="auto"/>
                <w:left w:val="none" w:sz="0" w:space="0" w:color="auto"/>
                <w:bottom w:val="none" w:sz="0" w:space="0" w:color="auto"/>
                <w:right w:val="none" w:sz="0" w:space="0" w:color="auto"/>
              </w:divBdr>
            </w:div>
            <w:div w:id="1947497294">
              <w:marLeft w:val="0"/>
              <w:marRight w:val="0"/>
              <w:marTop w:val="0"/>
              <w:marBottom w:val="0"/>
              <w:divBdr>
                <w:top w:val="none" w:sz="0" w:space="0" w:color="auto"/>
                <w:left w:val="none" w:sz="0" w:space="0" w:color="auto"/>
                <w:bottom w:val="none" w:sz="0" w:space="0" w:color="auto"/>
                <w:right w:val="none" w:sz="0" w:space="0" w:color="auto"/>
              </w:divBdr>
            </w:div>
            <w:div w:id="2049799593">
              <w:marLeft w:val="0"/>
              <w:marRight w:val="0"/>
              <w:marTop w:val="0"/>
              <w:marBottom w:val="0"/>
              <w:divBdr>
                <w:top w:val="none" w:sz="0" w:space="0" w:color="auto"/>
                <w:left w:val="none" w:sz="0" w:space="0" w:color="auto"/>
                <w:bottom w:val="none" w:sz="0" w:space="0" w:color="auto"/>
                <w:right w:val="none" w:sz="0" w:space="0" w:color="auto"/>
              </w:divBdr>
            </w:div>
            <w:div w:id="2075397051">
              <w:marLeft w:val="0"/>
              <w:marRight w:val="0"/>
              <w:marTop w:val="0"/>
              <w:marBottom w:val="0"/>
              <w:divBdr>
                <w:top w:val="none" w:sz="0" w:space="0" w:color="auto"/>
                <w:left w:val="none" w:sz="0" w:space="0" w:color="auto"/>
                <w:bottom w:val="none" w:sz="0" w:space="0" w:color="auto"/>
                <w:right w:val="none" w:sz="0" w:space="0" w:color="auto"/>
              </w:divBdr>
            </w:div>
          </w:divsChild>
        </w:div>
        <w:div w:id="1560744702">
          <w:marLeft w:val="0"/>
          <w:marRight w:val="0"/>
          <w:marTop w:val="0"/>
          <w:marBottom w:val="0"/>
          <w:divBdr>
            <w:top w:val="none" w:sz="0" w:space="0" w:color="auto"/>
            <w:left w:val="none" w:sz="0" w:space="0" w:color="auto"/>
            <w:bottom w:val="none" w:sz="0" w:space="0" w:color="auto"/>
            <w:right w:val="none" w:sz="0" w:space="0" w:color="auto"/>
          </w:divBdr>
          <w:divsChild>
            <w:div w:id="256645562">
              <w:marLeft w:val="0"/>
              <w:marRight w:val="0"/>
              <w:marTop w:val="0"/>
              <w:marBottom w:val="0"/>
              <w:divBdr>
                <w:top w:val="none" w:sz="0" w:space="0" w:color="auto"/>
                <w:left w:val="none" w:sz="0" w:space="0" w:color="auto"/>
                <w:bottom w:val="none" w:sz="0" w:space="0" w:color="auto"/>
                <w:right w:val="none" w:sz="0" w:space="0" w:color="auto"/>
              </w:divBdr>
            </w:div>
            <w:div w:id="1912344216">
              <w:marLeft w:val="0"/>
              <w:marRight w:val="0"/>
              <w:marTop w:val="0"/>
              <w:marBottom w:val="0"/>
              <w:divBdr>
                <w:top w:val="none" w:sz="0" w:space="0" w:color="auto"/>
                <w:left w:val="none" w:sz="0" w:space="0" w:color="auto"/>
                <w:bottom w:val="none" w:sz="0" w:space="0" w:color="auto"/>
                <w:right w:val="none" w:sz="0" w:space="0" w:color="auto"/>
              </w:divBdr>
            </w:div>
          </w:divsChild>
        </w:div>
        <w:div w:id="1560818961">
          <w:marLeft w:val="0"/>
          <w:marRight w:val="0"/>
          <w:marTop w:val="0"/>
          <w:marBottom w:val="0"/>
          <w:divBdr>
            <w:top w:val="none" w:sz="0" w:space="0" w:color="auto"/>
            <w:left w:val="none" w:sz="0" w:space="0" w:color="auto"/>
            <w:bottom w:val="none" w:sz="0" w:space="0" w:color="auto"/>
            <w:right w:val="none" w:sz="0" w:space="0" w:color="auto"/>
          </w:divBdr>
          <w:divsChild>
            <w:div w:id="169028860">
              <w:marLeft w:val="0"/>
              <w:marRight w:val="0"/>
              <w:marTop w:val="0"/>
              <w:marBottom w:val="0"/>
              <w:divBdr>
                <w:top w:val="none" w:sz="0" w:space="0" w:color="auto"/>
                <w:left w:val="none" w:sz="0" w:space="0" w:color="auto"/>
                <w:bottom w:val="none" w:sz="0" w:space="0" w:color="auto"/>
                <w:right w:val="none" w:sz="0" w:space="0" w:color="auto"/>
              </w:divBdr>
            </w:div>
            <w:div w:id="177700373">
              <w:marLeft w:val="0"/>
              <w:marRight w:val="0"/>
              <w:marTop w:val="0"/>
              <w:marBottom w:val="0"/>
              <w:divBdr>
                <w:top w:val="none" w:sz="0" w:space="0" w:color="auto"/>
                <w:left w:val="none" w:sz="0" w:space="0" w:color="auto"/>
                <w:bottom w:val="none" w:sz="0" w:space="0" w:color="auto"/>
                <w:right w:val="none" w:sz="0" w:space="0" w:color="auto"/>
              </w:divBdr>
            </w:div>
            <w:div w:id="224798471">
              <w:marLeft w:val="0"/>
              <w:marRight w:val="0"/>
              <w:marTop w:val="0"/>
              <w:marBottom w:val="0"/>
              <w:divBdr>
                <w:top w:val="none" w:sz="0" w:space="0" w:color="auto"/>
                <w:left w:val="none" w:sz="0" w:space="0" w:color="auto"/>
                <w:bottom w:val="none" w:sz="0" w:space="0" w:color="auto"/>
                <w:right w:val="none" w:sz="0" w:space="0" w:color="auto"/>
              </w:divBdr>
            </w:div>
            <w:div w:id="655304707">
              <w:marLeft w:val="0"/>
              <w:marRight w:val="0"/>
              <w:marTop w:val="0"/>
              <w:marBottom w:val="0"/>
              <w:divBdr>
                <w:top w:val="none" w:sz="0" w:space="0" w:color="auto"/>
                <w:left w:val="none" w:sz="0" w:space="0" w:color="auto"/>
                <w:bottom w:val="none" w:sz="0" w:space="0" w:color="auto"/>
                <w:right w:val="none" w:sz="0" w:space="0" w:color="auto"/>
              </w:divBdr>
            </w:div>
            <w:div w:id="712729316">
              <w:marLeft w:val="0"/>
              <w:marRight w:val="0"/>
              <w:marTop w:val="0"/>
              <w:marBottom w:val="0"/>
              <w:divBdr>
                <w:top w:val="none" w:sz="0" w:space="0" w:color="auto"/>
                <w:left w:val="none" w:sz="0" w:space="0" w:color="auto"/>
                <w:bottom w:val="none" w:sz="0" w:space="0" w:color="auto"/>
                <w:right w:val="none" w:sz="0" w:space="0" w:color="auto"/>
              </w:divBdr>
            </w:div>
            <w:div w:id="946035193">
              <w:marLeft w:val="0"/>
              <w:marRight w:val="0"/>
              <w:marTop w:val="0"/>
              <w:marBottom w:val="0"/>
              <w:divBdr>
                <w:top w:val="none" w:sz="0" w:space="0" w:color="auto"/>
                <w:left w:val="none" w:sz="0" w:space="0" w:color="auto"/>
                <w:bottom w:val="none" w:sz="0" w:space="0" w:color="auto"/>
                <w:right w:val="none" w:sz="0" w:space="0" w:color="auto"/>
              </w:divBdr>
            </w:div>
            <w:div w:id="1048604847">
              <w:marLeft w:val="0"/>
              <w:marRight w:val="0"/>
              <w:marTop w:val="0"/>
              <w:marBottom w:val="0"/>
              <w:divBdr>
                <w:top w:val="none" w:sz="0" w:space="0" w:color="auto"/>
                <w:left w:val="none" w:sz="0" w:space="0" w:color="auto"/>
                <w:bottom w:val="none" w:sz="0" w:space="0" w:color="auto"/>
                <w:right w:val="none" w:sz="0" w:space="0" w:color="auto"/>
              </w:divBdr>
            </w:div>
            <w:div w:id="1169752939">
              <w:marLeft w:val="0"/>
              <w:marRight w:val="0"/>
              <w:marTop w:val="0"/>
              <w:marBottom w:val="0"/>
              <w:divBdr>
                <w:top w:val="none" w:sz="0" w:space="0" w:color="auto"/>
                <w:left w:val="none" w:sz="0" w:space="0" w:color="auto"/>
                <w:bottom w:val="none" w:sz="0" w:space="0" w:color="auto"/>
                <w:right w:val="none" w:sz="0" w:space="0" w:color="auto"/>
              </w:divBdr>
            </w:div>
            <w:div w:id="1256523473">
              <w:marLeft w:val="0"/>
              <w:marRight w:val="0"/>
              <w:marTop w:val="0"/>
              <w:marBottom w:val="0"/>
              <w:divBdr>
                <w:top w:val="none" w:sz="0" w:space="0" w:color="auto"/>
                <w:left w:val="none" w:sz="0" w:space="0" w:color="auto"/>
                <w:bottom w:val="none" w:sz="0" w:space="0" w:color="auto"/>
                <w:right w:val="none" w:sz="0" w:space="0" w:color="auto"/>
              </w:divBdr>
            </w:div>
            <w:div w:id="1978099434">
              <w:marLeft w:val="0"/>
              <w:marRight w:val="0"/>
              <w:marTop w:val="0"/>
              <w:marBottom w:val="0"/>
              <w:divBdr>
                <w:top w:val="none" w:sz="0" w:space="0" w:color="auto"/>
                <w:left w:val="none" w:sz="0" w:space="0" w:color="auto"/>
                <w:bottom w:val="none" w:sz="0" w:space="0" w:color="auto"/>
                <w:right w:val="none" w:sz="0" w:space="0" w:color="auto"/>
              </w:divBdr>
            </w:div>
          </w:divsChild>
        </w:div>
        <w:div w:id="1566716664">
          <w:marLeft w:val="0"/>
          <w:marRight w:val="0"/>
          <w:marTop w:val="0"/>
          <w:marBottom w:val="0"/>
          <w:divBdr>
            <w:top w:val="none" w:sz="0" w:space="0" w:color="auto"/>
            <w:left w:val="none" w:sz="0" w:space="0" w:color="auto"/>
            <w:bottom w:val="none" w:sz="0" w:space="0" w:color="auto"/>
            <w:right w:val="none" w:sz="0" w:space="0" w:color="auto"/>
          </w:divBdr>
          <w:divsChild>
            <w:div w:id="1346858714">
              <w:marLeft w:val="0"/>
              <w:marRight w:val="0"/>
              <w:marTop w:val="0"/>
              <w:marBottom w:val="0"/>
              <w:divBdr>
                <w:top w:val="none" w:sz="0" w:space="0" w:color="auto"/>
                <w:left w:val="none" w:sz="0" w:space="0" w:color="auto"/>
                <w:bottom w:val="none" w:sz="0" w:space="0" w:color="auto"/>
                <w:right w:val="none" w:sz="0" w:space="0" w:color="auto"/>
              </w:divBdr>
            </w:div>
          </w:divsChild>
        </w:div>
        <w:div w:id="1569804983">
          <w:marLeft w:val="0"/>
          <w:marRight w:val="0"/>
          <w:marTop w:val="0"/>
          <w:marBottom w:val="0"/>
          <w:divBdr>
            <w:top w:val="none" w:sz="0" w:space="0" w:color="auto"/>
            <w:left w:val="none" w:sz="0" w:space="0" w:color="auto"/>
            <w:bottom w:val="none" w:sz="0" w:space="0" w:color="auto"/>
            <w:right w:val="none" w:sz="0" w:space="0" w:color="auto"/>
          </w:divBdr>
          <w:divsChild>
            <w:div w:id="1855463332">
              <w:marLeft w:val="0"/>
              <w:marRight w:val="0"/>
              <w:marTop w:val="0"/>
              <w:marBottom w:val="0"/>
              <w:divBdr>
                <w:top w:val="none" w:sz="0" w:space="0" w:color="auto"/>
                <w:left w:val="none" w:sz="0" w:space="0" w:color="auto"/>
                <w:bottom w:val="none" w:sz="0" w:space="0" w:color="auto"/>
                <w:right w:val="none" w:sz="0" w:space="0" w:color="auto"/>
              </w:divBdr>
            </w:div>
          </w:divsChild>
        </w:div>
        <w:div w:id="1572346591">
          <w:marLeft w:val="0"/>
          <w:marRight w:val="0"/>
          <w:marTop w:val="0"/>
          <w:marBottom w:val="0"/>
          <w:divBdr>
            <w:top w:val="none" w:sz="0" w:space="0" w:color="auto"/>
            <w:left w:val="none" w:sz="0" w:space="0" w:color="auto"/>
            <w:bottom w:val="none" w:sz="0" w:space="0" w:color="auto"/>
            <w:right w:val="none" w:sz="0" w:space="0" w:color="auto"/>
          </w:divBdr>
          <w:divsChild>
            <w:div w:id="595208306">
              <w:marLeft w:val="0"/>
              <w:marRight w:val="0"/>
              <w:marTop w:val="0"/>
              <w:marBottom w:val="0"/>
              <w:divBdr>
                <w:top w:val="none" w:sz="0" w:space="0" w:color="auto"/>
                <w:left w:val="none" w:sz="0" w:space="0" w:color="auto"/>
                <w:bottom w:val="none" w:sz="0" w:space="0" w:color="auto"/>
                <w:right w:val="none" w:sz="0" w:space="0" w:color="auto"/>
              </w:divBdr>
            </w:div>
            <w:div w:id="690036427">
              <w:marLeft w:val="0"/>
              <w:marRight w:val="0"/>
              <w:marTop w:val="0"/>
              <w:marBottom w:val="0"/>
              <w:divBdr>
                <w:top w:val="none" w:sz="0" w:space="0" w:color="auto"/>
                <w:left w:val="none" w:sz="0" w:space="0" w:color="auto"/>
                <w:bottom w:val="none" w:sz="0" w:space="0" w:color="auto"/>
                <w:right w:val="none" w:sz="0" w:space="0" w:color="auto"/>
              </w:divBdr>
            </w:div>
          </w:divsChild>
        </w:div>
        <w:div w:id="1578201829">
          <w:marLeft w:val="0"/>
          <w:marRight w:val="0"/>
          <w:marTop w:val="0"/>
          <w:marBottom w:val="0"/>
          <w:divBdr>
            <w:top w:val="none" w:sz="0" w:space="0" w:color="auto"/>
            <w:left w:val="none" w:sz="0" w:space="0" w:color="auto"/>
            <w:bottom w:val="none" w:sz="0" w:space="0" w:color="auto"/>
            <w:right w:val="none" w:sz="0" w:space="0" w:color="auto"/>
          </w:divBdr>
          <w:divsChild>
            <w:div w:id="838158727">
              <w:marLeft w:val="0"/>
              <w:marRight w:val="0"/>
              <w:marTop w:val="0"/>
              <w:marBottom w:val="0"/>
              <w:divBdr>
                <w:top w:val="none" w:sz="0" w:space="0" w:color="auto"/>
                <w:left w:val="none" w:sz="0" w:space="0" w:color="auto"/>
                <w:bottom w:val="none" w:sz="0" w:space="0" w:color="auto"/>
                <w:right w:val="none" w:sz="0" w:space="0" w:color="auto"/>
              </w:divBdr>
            </w:div>
          </w:divsChild>
        </w:div>
        <w:div w:id="1578445074">
          <w:marLeft w:val="0"/>
          <w:marRight w:val="0"/>
          <w:marTop w:val="0"/>
          <w:marBottom w:val="0"/>
          <w:divBdr>
            <w:top w:val="none" w:sz="0" w:space="0" w:color="auto"/>
            <w:left w:val="none" w:sz="0" w:space="0" w:color="auto"/>
            <w:bottom w:val="none" w:sz="0" w:space="0" w:color="auto"/>
            <w:right w:val="none" w:sz="0" w:space="0" w:color="auto"/>
          </w:divBdr>
          <w:divsChild>
            <w:div w:id="1253973578">
              <w:marLeft w:val="0"/>
              <w:marRight w:val="0"/>
              <w:marTop w:val="0"/>
              <w:marBottom w:val="0"/>
              <w:divBdr>
                <w:top w:val="none" w:sz="0" w:space="0" w:color="auto"/>
                <w:left w:val="none" w:sz="0" w:space="0" w:color="auto"/>
                <w:bottom w:val="none" w:sz="0" w:space="0" w:color="auto"/>
                <w:right w:val="none" w:sz="0" w:space="0" w:color="auto"/>
              </w:divBdr>
            </w:div>
            <w:div w:id="1525242198">
              <w:marLeft w:val="0"/>
              <w:marRight w:val="0"/>
              <w:marTop w:val="0"/>
              <w:marBottom w:val="0"/>
              <w:divBdr>
                <w:top w:val="none" w:sz="0" w:space="0" w:color="auto"/>
                <w:left w:val="none" w:sz="0" w:space="0" w:color="auto"/>
                <w:bottom w:val="none" w:sz="0" w:space="0" w:color="auto"/>
                <w:right w:val="none" w:sz="0" w:space="0" w:color="auto"/>
              </w:divBdr>
            </w:div>
            <w:div w:id="2146195471">
              <w:marLeft w:val="0"/>
              <w:marRight w:val="0"/>
              <w:marTop w:val="0"/>
              <w:marBottom w:val="0"/>
              <w:divBdr>
                <w:top w:val="none" w:sz="0" w:space="0" w:color="auto"/>
                <w:left w:val="none" w:sz="0" w:space="0" w:color="auto"/>
                <w:bottom w:val="none" w:sz="0" w:space="0" w:color="auto"/>
                <w:right w:val="none" w:sz="0" w:space="0" w:color="auto"/>
              </w:divBdr>
            </w:div>
          </w:divsChild>
        </w:div>
        <w:div w:id="1582177750">
          <w:marLeft w:val="0"/>
          <w:marRight w:val="0"/>
          <w:marTop w:val="0"/>
          <w:marBottom w:val="0"/>
          <w:divBdr>
            <w:top w:val="none" w:sz="0" w:space="0" w:color="auto"/>
            <w:left w:val="none" w:sz="0" w:space="0" w:color="auto"/>
            <w:bottom w:val="none" w:sz="0" w:space="0" w:color="auto"/>
            <w:right w:val="none" w:sz="0" w:space="0" w:color="auto"/>
          </w:divBdr>
          <w:divsChild>
            <w:div w:id="1539734002">
              <w:marLeft w:val="0"/>
              <w:marRight w:val="0"/>
              <w:marTop w:val="0"/>
              <w:marBottom w:val="0"/>
              <w:divBdr>
                <w:top w:val="none" w:sz="0" w:space="0" w:color="auto"/>
                <w:left w:val="none" w:sz="0" w:space="0" w:color="auto"/>
                <w:bottom w:val="none" w:sz="0" w:space="0" w:color="auto"/>
                <w:right w:val="none" w:sz="0" w:space="0" w:color="auto"/>
              </w:divBdr>
            </w:div>
          </w:divsChild>
        </w:div>
        <w:div w:id="1584412259">
          <w:marLeft w:val="0"/>
          <w:marRight w:val="0"/>
          <w:marTop w:val="0"/>
          <w:marBottom w:val="0"/>
          <w:divBdr>
            <w:top w:val="none" w:sz="0" w:space="0" w:color="auto"/>
            <w:left w:val="none" w:sz="0" w:space="0" w:color="auto"/>
            <w:bottom w:val="none" w:sz="0" w:space="0" w:color="auto"/>
            <w:right w:val="none" w:sz="0" w:space="0" w:color="auto"/>
          </w:divBdr>
          <w:divsChild>
            <w:div w:id="1432815669">
              <w:marLeft w:val="0"/>
              <w:marRight w:val="0"/>
              <w:marTop w:val="0"/>
              <w:marBottom w:val="0"/>
              <w:divBdr>
                <w:top w:val="none" w:sz="0" w:space="0" w:color="auto"/>
                <w:left w:val="none" w:sz="0" w:space="0" w:color="auto"/>
                <w:bottom w:val="none" w:sz="0" w:space="0" w:color="auto"/>
                <w:right w:val="none" w:sz="0" w:space="0" w:color="auto"/>
              </w:divBdr>
            </w:div>
          </w:divsChild>
        </w:div>
        <w:div w:id="1590500386">
          <w:marLeft w:val="0"/>
          <w:marRight w:val="0"/>
          <w:marTop w:val="0"/>
          <w:marBottom w:val="0"/>
          <w:divBdr>
            <w:top w:val="none" w:sz="0" w:space="0" w:color="auto"/>
            <w:left w:val="none" w:sz="0" w:space="0" w:color="auto"/>
            <w:bottom w:val="none" w:sz="0" w:space="0" w:color="auto"/>
            <w:right w:val="none" w:sz="0" w:space="0" w:color="auto"/>
          </w:divBdr>
          <w:divsChild>
            <w:div w:id="1596549019">
              <w:marLeft w:val="0"/>
              <w:marRight w:val="0"/>
              <w:marTop w:val="0"/>
              <w:marBottom w:val="0"/>
              <w:divBdr>
                <w:top w:val="none" w:sz="0" w:space="0" w:color="auto"/>
                <w:left w:val="none" w:sz="0" w:space="0" w:color="auto"/>
                <w:bottom w:val="none" w:sz="0" w:space="0" w:color="auto"/>
                <w:right w:val="none" w:sz="0" w:space="0" w:color="auto"/>
              </w:divBdr>
            </w:div>
          </w:divsChild>
        </w:div>
        <w:div w:id="1591542316">
          <w:marLeft w:val="0"/>
          <w:marRight w:val="0"/>
          <w:marTop w:val="0"/>
          <w:marBottom w:val="0"/>
          <w:divBdr>
            <w:top w:val="none" w:sz="0" w:space="0" w:color="auto"/>
            <w:left w:val="none" w:sz="0" w:space="0" w:color="auto"/>
            <w:bottom w:val="none" w:sz="0" w:space="0" w:color="auto"/>
            <w:right w:val="none" w:sz="0" w:space="0" w:color="auto"/>
          </w:divBdr>
          <w:divsChild>
            <w:div w:id="1098908518">
              <w:marLeft w:val="0"/>
              <w:marRight w:val="0"/>
              <w:marTop w:val="0"/>
              <w:marBottom w:val="0"/>
              <w:divBdr>
                <w:top w:val="none" w:sz="0" w:space="0" w:color="auto"/>
                <w:left w:val="none" w:sz="0" w:space="0" w:color="auto"/>
                <w:bottom w:val="none" w:sz="0" w:space="0" w:color="auto"/>
                <w:right w:val="none" w:sz="0" w:space="0" w:color="auto"/>
              </w:divBdr>
            </w:div>
          </w:divsChild>
        </w:div>
        <w:div w:id="1598563778">
          <w:marLeft w:val="0"/>
          <w:marRight w:val="0"/>
          <w:marTop w:val="0"/>
          <w:marBottom w:val="0"/>
          <w:divBdr>
            <w:top w:val="none" w:sz="0" w:space="0" w:color="auto"/>
            <w:left w:val="none" w:sz="0" w:space="0" w:color="auto"/>
            <w:bottom w:val="none" w:sz="0" w:space="0" w:color="auto"/>
            <w:right w:val="none" w:sz="0" w:space="0" w:color="auto"/>
          </w:divBdr>
          <w:divsChild>
            <w:div w:id="408772691">
              <w:marLeft w:val="0"/>
              <w:marRight w:val="0"/>
              <w:marTop w:val="0"/>
              <w:marBottom w:val="0"/>
              <w:divBdr>
                <w:top w:val="none" w:sz="0" w:space="0" w:color="auto"/>
                <w:left w:val="none" w:sz="0" w:space="0" w:color="auto"/>
                <w:bottom w:val="none" w:sz="0" w:space="0" w:color="auto"/>
                <w:right w:val="none" w:sz="0" w:space="0" w:color="auto"/>
              </w:divBdr>
            </w:div>
            <w:div w:id="1670328307">
              <w:marLeft w:val="0"/>
              <w:marRight w:val="0"/>
              <w:marTop w:val="0"/>
              <w:marBottom w:val="0"/>
              <w:divBdr>
                <w:top w:val="none" w:sz="0" w:space="0" w:color="auto"/>
                <w:left w:val="none" w:sz="0" w:space="0" w:color="auto"/>
                <w:bottom w:val="none" w:sz="0" w:space="0" w:color="auto"/>
                <w:right w:val="none" w:sz="0" w:space="0" w:color="auto"/>
              </w:divBdr>
            </w:div>
            <w:div w:id="1880391241">
              <w:marLeft w:val="0"/>
              <w:marRight w:val="0"/>
              <w:marTop w:val="0"/>
              <w:marBottom w:val="0"/>
              <w:divBdr>
                <w:top w:val="none" w:sz="0" w:space="0" w:color="auto"/>
                <w:left w:val="none" w:sz="0" w:space="0" w:color="auto"/>
                <w:bottom w:val="none" w:sz="0" w:space="0" w:color="auto"/>
                <w:right w:val="none" w:sz="0" w:space="0" w:color="auto"/>
              </w:divBdr>
            </w:div>
          </w:divsChild>
        </w:div>
        <w:div w:id="1602837972">
          <w:marLeft w:val="0"/>
          <w:marRight w:val="0"/>
          <w:marTop w:val="0"/>
          <w:marBottom w:val="0"/>
          <w:divBdr>
            <w:top w:val="none" w:sz="0" w:space="0" w:color="auto"/>
            <w:left w:val="none" w:sz="0" w:space="0" w:color="auto"/>
            <w:bottom w:val="none" w:sz="0" w:space="0" w:color="auto"/>
            <w:right w:val="none" w:sz="0" w:space="0" w:color="auto"/>
          </w:divBdr>
          <w:divsChild>
            <w:div w:id="32317484">
              <w:marLeft w:val="0"/>
              <w:marRight w:val="0"/>
              <w:marTop w:val="0"/>
              <w:marBottom w:val="0"/>
              <w:divBdr>
                <w:top w:val="none" w:sz="0" w:space="0" w:color="auto"/>
                <w:left w:val="none" w:sz="0" w:space="0" w:color="auto"/>
                <w:bottom w:val="none" w:sz="0" w:space="0" w:color="auto"/>
                <w:right w:val="none" w:sz="0" w:space="0" w:color="auto"/>
              </w:divBdr>
            </w:div>
            <w:div w:id="406267359">
              <w:marLeft w:val="0"/>
              <w:marRight w:val="0"/>
              <w:marTop w:val="0"/>
              <w:marBottom w:val="0"/>
              <w:divBdr>
                <w:top w:val="none" w:sz="0" w:space="0" w:color="auto"/>
                <w:left w:val="none" w:sz="0" w:space="0" w:color="auto"/>
                <w:bottom w:val="none" w:sz="0" w:space="0" w:color="auto"/>
                <w:right w:val="none" w:sz="0" w:space="0" w:color="auto"/>
              </w:divBdr>
            </w:div>
            <w:div w:id="495850035">
              <w:marLeft w:val="0"/>
              <w:marRight w:val="0"/>
              <w:marTop w:val="0"/>
              <w:marBottom w:val="0"/>
              <w:divBdr>
                <w:top w:val="none" w:sz="0" w:space="0" w:color="auto"/>
                <w:left w:val="none" w:sz="0" w:space="0" w:color="auto"/>
                <w:bottom w:val="none" w:sz="0" w:space="0" w:color="auto"/>
                <w:right w:val="none" w:sz="0" w:space="0" w:color="auto"/>
              </w:divBdr>
            </w:div>
            <w:div w:id="505752316">
              <w:marLeft w:val="0"/>
              <w:marRight w:val="0"/>
              <w:marTop w:val="0"/>
              <w:marBottom w:val="0"/>
              <w:divBdr>
                <w:top w:val="none" w:sz="0" w:space="0" w:color="auto"/>
                <w:left w:val="none" w:sz="0" w:space="0" w:color="auto"/>
                <w:bottom w:val="none" w:sz="0" w:space="0" w:color="auto"/>
                <w:right w:val="none" w:sz="0" w:space="0" w:color="auto"/>
              </w:divBdr>
            </w:div>
            <w:div w:id="1151213135">
              <w:marLeft w:val="0"/>
              <w:marRight w:val="0"/>
              <w:marTop w:val="0"/>
              <w:marBottom w:val="0"/>
              <w:divBdr>
                <w:top w:val="none" w:sz="0" w:space="0" w:color="auto"/>
                <w:left w:val="none" w:sz="0" w:space="0" w:color="auto"/>
                <w:bottom w:val="none" w:sz="0" w:space="0" w:color="auto"/>
                <w:right w:val="none" w:sz="0" w:space="0" w:color="auto"/>
              </w:divBdr>
            </w:div>
            <w:div w:id="1188251589">
              <w:marLeft w:val="0"/>
              <w:marRight w:val="0"/>
              <w:marTop w:val="0"/>
              <w:marBottom w:val="0"/>
              <w:divBdr>
                <w:top w:val="none" w:sz="0" w:space="0" w:color="auto"/>
                <w:left w:val="none" w:sz="0" w:space="0" w:color="auto"/>
                <w:bottom w:val="none" w:sz="0" w:space="0" w:color="auto"/>
                <w:right w:val="none" w:sz="0" w:space="0" w:color="auto"/>
              </w:divBdr>
            </w:div>
            <w:div w:id="1490751410">
              <w:marLeft w:val="0"/>
              <w:marRight w:val="0"/>
              <w:marTop w:val="0"/>
              <w:marBottom w:val="0"/>
              <w:divBdr>
                <w:top w:val="none" w:sz="0" w:space="0" w:color="auto"/>
                <w:left w:val="none" w:sz="0" w:space="0" w:color="auto"/>
                <w:bottom w:val="none" w:sz="0" w:space="0" w:color="auto"/>
                <w:right w:val="none" w:sz="0" w:space="0" w:color="auto"/>
              </w:divBdr>
            </w:div>
            <w:div w:id="1964340760">
              <w:marLeft w:val="0"/>
              <w:marRight w:val="0"/>
              <w:marTop w:val="0"/>
              <w:marBottom w:val="0"/>
              <w:divBdr>
                <w:top w:val="none" w:sz="0" w:space="0" w:color="auto"/>
                <w:left w:val="none" w:sz="0" w:space="0" w:color="auto"/>
                <w:bottom w:val="none" w:sz="0" w:space="0" w:color="auto"/>
                <w:right w:val="none" w:sz="0" w:space="0" w:color="auto"/>
              </w:divBdr>
            </w:div>
          </w:divsChild>
        </w:div>
        <w:div w:id="1605769380">
          <w:marLeft w:val="0"/>
          <w:marRight w:val="0"/>
          <w:marTop w:val="0"/>
          <w:marBottom w:val="0"/>
          <w:divBdr>
            <w:top w:val="none" w:sz="0" w:space="0" w:color="auto"/>
            <w:left w:val="none" w:sz="0" w:space="0" w:color="auto"/>
            <w:bottom w:val="none" w:sz="0" w:space="0" w:color="auto"/>
            <w:right w:val="none" w:sz="0" w:space="0" w:color="auto"/>
          </w:divBdr>
          <w:divsChild>
            <w:div w:id="1013339578">
              <w:marLeft w:val="0"/>
              <w:marRight w:val="0"/>
              <w:marTop w:val="0"/>
              <w:marBottom w:val="0"/>
              <w:divBdr>
                <w:top w:val="none" w:sz="0" w:space="0" w:color="auto"/>
                <w:left w:val="none" w:sz="0" w:space="0" w:color="auto"/>
                <w:bottom w:val="none" w:sz="0" w:space="0" w:color="auto"/>
                <w:right w:val="none" w:sz="0" w:space="0" w:color="auto"/>
              </w:divBdr>
            </w:div>
          </w:divsChild>
        </w:div>
        <w:div w:id="1607225695">
          <w:marLeft w:val="0"/>
          <w:marRight w:val="0"/>
          <w:marTop w:val="0"/>
          <w:marBottom w:val="0"/>
          <w:divBdr>
            <w:top w:val="none" w:sz="0" w:space="0" w:color="auto"/>
            <w:left w:val="none" w:sz="0" w:space="0" w:color="auto"/>
            <w:bottom w:val="none" w:sz="0" w:space="0" w:color="auto"/>
            <w:right w:val="none" w:sz="0" w:space="0" w:color="auto"/>
          </w:divBdr>
          <w:divsChild>
            <w:div w:id="1506290029">
              <w:marLeft w:val="0"/>
              <w:marRight w:val="0"/>
              <w:marTop w:val="0"/>
              <w:marBottom w:val="0"/>
              <w:divBdr>
                <w:top w:val="none" w:sz="0" w:space="0" w:color="auto"/>
                <w:left w:val="none" w:sz="0" w:space="0" w:color="auto"/>
                <w:bottom w:val="none" w:sz="0" w:space="0" w:color="auto"/>
                <w:right w:val="none" w:sz="0" w:space="0" w:color="auto"/>
              </w:divBdr>
            </w:div>
          </w:divsChild>
        </w:div>
        <w:div w:id="1610624142">
          <w:marLeft w:val="0"/>
          <w:marRight w:val="0"/>
          <w:marTop w:val="0"/>
          <w:marBottom w:val="0"/>
          <w:divBdr>
            <w:top w:val="none" w:sz="0" w:space="0" w:color="auto"/>
            <w:left w:val="none" w:sz="0" w:space="0" w:color="auto"/>
            <w:bottom w:val="none" w:sz="0" w:space="0" w:color="auto"/>
            <w:right w:val="none" w:sz="0" w:space="0" w:color="auto"/>
          </w:divBdr>
          <w:divsChild>
            <w:div w:id="1260869397">
              <w:marLeft w:val="0"/>
              <w:marRight w:val="0"/>
              <w:marTop w:val="0"/>
              <w:marBottom w:val="0"/>
              <w:divBdr>
                <w:top w:val="none" w:sz="0" w:space="0" w:color="auto"/>
                <w:left w:val="none" w:sz="0" w:space="0" w:color="auto"/>
                <w:bottom w:val="none" w:sz="0" w:space="0" w:color="auto"/>
                <w:right w:val="none" w:sz="0" w:space="0" w:color="auto"/>
              </w:divBdr>
            </w:div>
          </w:divsChild>
        </w:div>
        <w:div w:id="1614556205">
          <w:marLeft w:val="0"/>
          <w:marRight w:val="0"/>
          <w:marTop w:val="0"/>
          <w:marBottom w:val="0"/>
          <w:divBdr>
            <w:top w:val="none" w:sz="0" w:space="0" w:color="auto"/>
            <w:left w:val="none" w:sz="0" w:space="0" w:color="auto"/>
            <w:bottom w:val="none" w:sz="0" w:space="0" w:color="auto"/>
            <w:right w:val="none" w:sz="0" w:space="0" w:color="auto"/>
          </w:divBdr>
          <w:divsChild>
            <w:div w:id="1408378144">
              <w:marLeft w:val="0"/>
              <w:marRight w:val="0"/>
              <w:marTop w:val="0"/>
              <w:marBottom w:val="0"/>
              <w:divBdr>
                <w:top w:val="none" w:sz="0" w:space="0" w:color="auto"/>
                <w:left w:val="none" w:sz="0" w:space="0" w:color="auto"/>
                <w:bottom w:val="none" w:sz="0" w:space="0" w:color="auto"/>
                <w:right w:val="none" w:sz="0" w:space="0" w:color="auto"/>
              </w:divBdr>
            </w:div>
          </w:divsChild>
        </w:div>
        <w:div w:id="1617175673">
          <w:marLeft w:val="0"/>
          <w:marRight w:val="0"/>
          <w:marTop w:val="0"/>
          <w:marBottom w:val="0"/>
          <w:divBdr>
            <w:top w:val="none" w:sz="0" w:space="0" w:color="auto"/>
            <w:left w:val="none" w:sz="0" w:space="0" w:color="auto"/>
            <w:bottom w:val="none" w:sz="0" w:space="0" w:color="auto"/>
            <w:right w:val="none" w:sz="0" w:space="0" w:color="auto"/>
          </w:divBdr>
          <w:divsChild>
            <w:div w:id="1049569729">
              <w:marLeft w:val="0"/>
              <w:marRight w:val="0"/>
              <w:marTop w:val="0"/>
              <w:marBottom w:val="0"/>
              <w:divBdr>
                <w:top w:val="none" w:sz="0" w:space="0" w:color="auto"/>
                <w:left w:val="none" w:sz="0" w:space="0" w:color="auto"/>
                <w:bottom w:val="none" w:sz="0" w:space="0" w:color="auto"/>
                <w:right w:val="none" w:sz="0" w:space="0" w:color="auto"/>
              </w:divBdr>
            </w:div>
            <w:div w:id="1640650369">
              <w:marLeft w:val="0"/>
              <w:marRight w:val="0"/>
              <w:marTop w:val="0"/>
              <w:marBottom w:val="0"/>
              <w:divBdr>
                <w:top w:val="none" w:sz="0" w:space="0" w:color="auto"/>
                <w:left w:val="none" w:sz="0" w:space="0" w:color="auto"/>
                <w:bottom w:val="none" w:sz="0" w:space="0" w:color="auto"/>
                <w:right w:val="none" w:sz="0" w:space="0" w:color="auto"/>
              </w:divBdr>
            </w:div>
          </w:divsChild>
        </w:div>
        <w:div w:id="1618873626">
          <w:marLeft w:val="0"/>
          <w:marRight w:val="0"/>
          <w:marTop w:val="0"/>
          <w:marBottom w:val="0"/>
          <w:divBdr>
            <w:top w:val="none" w:sz="0" w:space="0" w:color="auto"/>
            <w:left w:val="none" w:sz="0" w:space="0" w:color="auto"/>
            <w:bottom w:val="none" w:sz="0" w:space="0" w:color="auto"/>
            <w:right w:val="none" w:sz="0" w:space="0" w:color="auto"/>
          </w:divBdr>
          <w:divsChild>
            <w:div w:id="275018813">
              <w:marLeft w:val="0"/>
              <w:marRight w:val="0"/>
              <w:marTop w:val="0"/>
              <w:marBottom w:val="0"/>
              <w:divBdr>
                <w:top w:val="none" w:sz="0" w:space="0" w:color="auto"/>
                <w:left w:val="none" w:sz="0" w:space="0" w:color="auto"/>
                <w:bottom w:val="none" w:sz="0" w:space="0" w:color="auto"/>
                <w:right w:val="none" w:sz="0" w:space="0" w:color="auto"/>
              </w:divBdr>
            </w:div>
          </w:divsChild>
        </w:div>
        <w:div w:id="1628774429">
          <w:marLeft w:val="0"/>
          <w:marRight w:val="0"/>
          <w:marTop w:val="0"/>
          <w:marBottom w:val="0"/>
          <w:divBdr>
            <w:top w:val="none" w:sz="0" w:space="0" w:color="auto"/>
            <w:left w:val="none" w:sz="0" w:space="0" w:color="auto"/>
            <w:bottom w:val="none" w:sz="0" w:space="0" w:color="auto"/>
            <w:right w:val="none" w:sz="0" w:space="0" w:color="auto"/>
          </w:divBdr>
          <w:divsChild>
            <w:div w:id="1843469950">
              <w:marLeft w:val="0"/>
              <w:marRight w:val="0"/>
              <w:marTop w:val="0"/>
              <w:marBottom w:val="0"/>
              <w:divBdr>
                <w:top w:val="none" w:sz="0" w:space="0" w:color="auto"/>
                <w:left w:val="none" w:sz="0" w:space="0" w:color="auto"/>
                <w:bottom w:val="none" w:sz="0" w:space="0" w:color="auto"/>
                <w:right w:val="none" w:sz="0" w:space="0" w:color="auto"/>
              </w:divBdr>
            </w:div>
          </w:divsChild>
        </w:div>
        <w:div w:id="1638758926">
          <w:marLeft w:val="0"/>
          <w:marRight w:val="0"/>
          <w:marTop w:val="0"/>
          <w:marBottom w:val="0"/>
          <w:divBdr>
            <w:top w:val="none" w:sz="0" w:space="0" w:color="auto"/>
            <w:left w:val="none" w:sz="0" w:space="0" w:color="auto"/>
            <w:bottom w:val="none" w:sz="0" w:space="0" w:color="auto"/>
            <w:right w:val="none" w:sz="0" w:space="0" w:color="auto"/>
          </w:divBdr>
          <w:divsChild>
            <w:div w:id="867261315">
              <w:marLeft w:val="0"/>
              <w:marRight w:val="0"/>
              <w:marTop w:val="0"/>
              <w:marBottom w:val="0"/>
              <w:divBdr>
                <w:top w:val="none" w:sz="0" w:space="0" w:color="auto"/>
                <w:left w:val="none" w:sz="0" w:space="0" w:color="auto"/>
                <w:bottom w:val="none" w:sz="0" w:space="0" w:color="auto"/>
                <w:right w:val="none" w:sz="0" w:space="0" w:color="auto"/>
              </w:divBdr>
            </w:div>
          </w:divsChild>
        </w:div>
        <w:div w:id="1642884232">
          <w:marLeft w:val="0"/>
          <w:marRight w:val="0"/>
          <w:marTop w:val="0"/>
          <w:marBottom w:val="0"/>
          <w:divBdr>
            <w:top w:val="none" w:sz="0" w:space="0" w:color="auto"/>
            <w:left w:val="none" w:sz="0" w:space="0" w:color="auto"/>
            <w:bottom w:val="none" w:sz="0" w:space="0" w:color="auto"/>
            <w:right w:val="none" w:sz="0" w:space="0" w:color="auto"/>
          </w:divBdr>
          <w:divsChild>
            <w:div w:id="1490562217">
              <w:marLeft w:val="0"/>
              <w:marRight w:val="0"/>
              <w:marTop w:val="0"/>
              <w:marBottom w:val="0"/>
              <w:divBdr>
                <w:top w:val="none" w:sz="0" w:space="0" w:color="auto"/>
                <w:left w:val="none" w:sz="0" w:space="0" w:color="auto"/>
                <w:bottom w:val="none" w:sz="0" w:space="0" w:color="auto"/>
                <w:right w:val="none" w:sz="0" w:space="0" w:color="auto"/>
              </w:divBdr>
            </w:div>
          </w:divsChild>
        </w:div>
        <w:div w:id="1643656827">
          <w:marLeft w:val="0"/>
          <w:marRight w:val="0"/>
          <w:marTop w:val="0"/>
          <w:marBottom w:val="0"/>
          <w:divBdr>
            <w:top w:val="none" w:sz="0" w:space="0" w:color="auto"/>
            <w:left w:val="none" w:sz="0" w:space="0" w:color="auto"/>
            <w:bottom w:val="none" w:sz="0" w:space="0" w:color="auto"/>
            <w:right w:val="none" w:sz="0" w:space="0" w:color="auto"/>
          </w:divBdr>
          <w:divsChild>
            <w:div w:id="1395470852">
              <w:marLeft w:val="0"/>
              <w:marRight w:val="0"/>
              <w:marTop w:val="0"/>
              <w:marBottom w:val="0"/>
              <w:divBdr>
                <w:top w:val="none" w:sz="0" w:space="0" w:color="auto"/>
                <w:left w:val="none" w:sz="0" w:space="0" w:color="auto"/>
                <w:bottom w:val="none" w:sz="0" w:space="0" w:color="auto"/>
                <w:right w:val="none" w:sz="0" w:space="0" w:color="auto"/>
              </w:divBdr>
            </w:div>
          </w:divsChild>
        </w:div>
        <w:div w:id="1649818487">
          <w:marLeft w:val="0"/>
          <w:marRight w:val="0"/>
          <w:marTop w:val="0"/>
          <w:marBottom w:val="0"/>
          <w:divBdr>
            <w:top w:val="none" w:sz="0" w:space="0" w:color="auto"/>
            <w:left w:val="none" w:sz="0" w:space="0" w:color="auto"/>
            <w:bottom w:val="none" w:sz="0" w:space="0" w:color="auto"/>
            <w:right w:val="none" w:sz="0" w:space="0" w:color="auto"/>
          </w:divBdr>
          <w:divsChild>
            <w:div w:id="930703823">
              <w:marLeft w:val="0"/>
              <w:marRight w:val="0"/>
              <w:marTop w:val="0"/>
              <w:marBottom w:val="0"/>
              <w:divBdr>
                <w:top w:val="none" w:sz="0" w:space="0" w:color="auto"/>
                <w:left w:val="none" w:sz="0" w:space="0" w:color="auto"/>
                <w:bottom w:val="none" w:sz="0" w:space="0" w:color="auto"/>
                <w:right w:val="none" w:sz="0" w:space="0" w:color="auto"/>
              </w:divBdr>
            </w:div>
            <w:div w:id="1365015503">
              <w:marLeft w:val="0"/>
              <w:marRight w:val="0"/>
              <w:marTop w:val="0"/>
              <w:marBottom w:val="0"/>
              <w:divBdr>
                <w:top w:val="none" w:sz="0" w:space="0" w:color="auto"/>
                <w:left w:val="none" w:sz="0" w:space="0" w:color="auto"/>
                <w:bottom w:val="none" w:sz="0" w:space="0" w:color="auto"/>
                <w:right w:val="none" w:sz="0" w:space="0" w:color="auto"/>
              </w:divBdr>
            </w:div>
            <w:div w:id="1767070731">
              <w:marLeft w:val="0"/>
              <w:marRight w:val="0"/>
              <w:marTop w:val="0"/>
              <w:marBottom w:val="0"/>
              <w:divBdr>
                <w:top w:val="none" w:sz="0" w:space="0" w:color="auto"/>
                <w:left w:val="none" w:sz="0" w:space="0" w:color="auto"/>
                <w:bottom w:val="none" w:sz="0" w:space="0" w:color="auto"/>
                <w:right w:val="none" w:sz="0" w:space="0" w:color="auto"/>
              </w:divBdr>
            </w:div>
          </w:divsChild>
        </w:div>
        <w:div w:id="1650865044">
          <w:marLeft w:val="0"/>
          <w:marRight w:val="0"/>
          <w:marTop w:val="0"/>
          <w:marBottom w:val="0"/>
          <w:divBdr>
            <w:top w:val="none" w:sz="0" w:space="0" w:color="auto"/>
            <w:left w:val="none" w:sz="0" w:space="0" w:color="auto"/>
            <w:bottom w:val="none" w:sz="0" w:space="0" w:color="auto"/>
            <w:right w:val="none" w:sz="0" w:space="0" w:color="auto"/>
          </w:divBdr>
          <w:divsChild>
            <w:div w:id="327950550">
              <w:marLeft w:val="0"/>
              <w:marRight w:val="0"/>
              <w:marTop w:val="0"/>
              <w:marBottom w:val="0"/>
              <w:divBdr>
                <w:top w:val="none" w:sz="0" w:space="0" w:color="auto"/>
                <w:left w:val="none" w:sz="0" w:space="0" w:color="auto"/>
                <w:bottom w:val="none" w:sz="0" w:space="0" w:color="auto"/>
                <w:right w:val="none" w:sz="0" w:space="0" w:color="auto"/>
              </w:divBdr>
            </w:div>
            <w:div w:id="685210094">
              <w:marLeft w:val="0"/>
              <w:marRight w:val="0"/>
              <w:marTop w:val="0"/>
              <w:marBottom w:val="0"/>
              <w:divBdr>
                <w:top w:val="none" w:sz="0" w:space="0" w:color="auto"/>
                <w:left w:val="none" w:sz="0" w:space="0" w:color="auto"/>
                <w:bottom w:val="none" w:sz="0" w:space="0" w:color="auto"/>
                <w:right w:val="none" w:sz="0" w:space="0" w:color="auto"/>
              </w:divBdr>
            </w:div>
            <w:div w:id="790326492">
              <w:marLeft w:val="0"/>
              <w:marRight w:val="0"/>
              <w:marTop w:val="0"/>
              <w:marBottom w:val="0"/>
              <w:divBdr>
                <w:top w:val="none" w:sz="0" w:space="0" w:color="auto"/>
                <w:left w:val="none" w:sz="0" w:space="0" w:color="auto"/>
                <w:bottom w:val="none" w:sz="0" w:space="0" w:color="auto"/>
                <w:right w:val="none" w:sz="0" w:space="0" w:color="auto"/>
              </w:divBdr>
            </w:div>
            <w:div w:id="1021971150">
              <w:marLeft w:val="0"/>
              <w:marRight w:val="0"/>
              <w:marTop w:val="0"/>
              <w:marBottom w:val="0"/>
              <w:divBdr>
                <w:top w:val="none" w:sz="0" w:space="0" w:color="auto"/>
                <w:left w:val="none" w:sz="0" w:space="0" w:color="auto"/>
                <w:bottom w:val="none" w:sz="0" w:space="0" w:color="auto"/>
                <w:right w:val="none" w:sz="0" w:space="0" w:color="auto"/>
              </w:divBdr>
            </w:div>
            <w:div w:id="1044792900">
              <w:marLeft w:val="0"/>
              <w:marRight w:val="0"/>
              <w:marTop w:val="0"/>
              <w:marBottom w:val="0"/>
              <w:divBdr>
                <w:top w:val="none" w:sz="0" w:space="0" w:color="auto"/>
                <w:left w:val="none" w:sz="0" w:space="0" w:color="auto"/>
                <w:bottom w:val="none" w:sz="0" w:space="0" w:color="auto"/>
                <w:right w:val="none" w:sz="0" w:space="0" w:color="auto"/>
              </w:divBdr>
            </w:div>
            <w:div w:id="1769350017">
              <w:marLeft w:val="0"/>
              <w:marRight w:val="0"/>
              <w:marTop w:val="0"/>
              <w:marBottom w:val="0"/>
              <w:divBdr>
                <w:top w:val="none" w:sz="0" w:space="0" w:color="auto"/>
                <w:left w:val="none" w:sz="0" w:space="0" w:color="auto"/>
                <w:bottom w:val="none" w:sz="0" w:space="0" w:color="auto"/>
                <w:right w:val="none" w:sz="0" w:space="0" w:color="auto"/>
              </w:divBdr>
            </w:div>
          </w:divsChild>
        </w:div>
        <w:div w:id="1651978861">
          <w:marLeft w:val="0"/>
          <w:marRight w:val="0"/>
          <w:marTop w:val="0"/>
          <w:marBottom w:val="0"/>
          <w:divBdr>
            <w:top w:val="none" w:sz="0" w:space="0" w:color="auto"/>
            <w:left w:val="none" w:sz="0" w:space="0" w:color="auto"/>
            <w:bottom w:val="none" w:sz="0" w:space="0" w:color="auto"/>
            <w:right w:val="none" w:sz="0" w:space="0" w:color="auto"/>
          </w:divBdr>
          <w:divsChild>
            <w:div w:id="834496759">
              <w:marLeft w:val="0"/>
              <w:marRight w:val="0"/>
              <w:marTop w:val="0"/>
              <w:marBottom w:val="0"/>
              <w:divBdr>
                <w:top w:val="none" w:sz="0" w:space="0" w:color="auto"/>
                <w:left w:val="none" w:sz="0" w:space="0" w:color="auto"/>
                <w:bottom w:val="none" w:sz="0" w:space="0" w:color="auto"/>
                <w:right w:val="none" w:sz="0" w:space="0" w:color="auto"/>
              </w:divBdr>
            </w:div>
            <w:div w:id="1728601593">
              <w:marLeft w:val="0"/>
              <w:marRight w:val="0"/>
              <w:marTop w:val="0"/>
              <w:marBottom w:val="0"/>
              <w:divBdr>
                <w:top w:val="none" w:sz="0" w:space="0" w:color="auto"/>
                <w:left w:val="none" w:sz="0" w:space="0" w:color="auto"/>
                <w:bottom w:val="none" w:sz="0" w:space="0" w:color="auto"/>
                <w:right w:val="none" w:sz="0" w:space="0" w:color="auto"/>
              </w:divBdr>
            </w:div>
          </w:divsChild>
        </w:div>
        <w:div w:id="1654262582">
          <w:marLeft w:val="0"/>
          <w:marRight w:val="0"/>
          <w:marTop w:val="0"/>
          <w:marBottom w:val="0"/>
          <w:divBdr>
            <w:top w:val="none" w:sz="0" w:space="0" w:color="auto"/>
            <w:left w:val="none" w:sz="0" w:space="0" w:color="auto"/>
            <w:bottom w:val="none" w:sz="0" w:space="0" w:color="auto"/>
            <w:right w:val="none" w:sz="0" w:space="0" w:color="auto"/>
          </w:divBdr>
          <w:divsChild>
            <w:div w:id="800340585">
              <w:marLeft w:val="0"/>
              <w:marRight w:val="0"/>
              <w:marTop w:val="0"/>
              <w:marBottom w:val="0"/>
              <w:divBdr>
                <w:top w:val="none" w:sz="0" w:space="0" w:color="auto"/>
                <w:left w:val="none" w:sz="0" w:space="0" w:color="auto"/>
                <w:bottom w:val="none" w:sz="0" w:space="0" w:color="auto"/>
                <w:right w:val="none" w:sz="0" w:space="0" w:color="auto"/>
              </w:divBdr>
            </w:div>
          </w:divsChild>
        </w:div>
        <w:div w:id="1654291792">
          <w:marLeft w:val="0"/>
          <w:marRight w:val="0"/>
          <w:marTop w:val="0"/>
          <w:marBottom w:val="0"/>
          <w:divBdr>
            <w:top w:val="none" w:sz="0" w:space="0" w:color="auto"/>
            <w:left w:val="none" w:sz="0" w:space="0" w:color="auto"/>
            <w:bottom w:val="none" w:sz="0" w:space="0" w:color="auto"/>
            <w:right w:val="none" w:sz="0" w:space="0" w:color="auto"/>
          </w:divBdr>
          <w:divsChild>
            <w:div w:id="7873882">
              <w:marLeft w:val="0"/>
              <w:marRight w:val="0"/>
              <w:marTop w:val="0"/>
              <w:marBottom w:val="0"/>
              <w:divBdr>
                <w:top w:val="none" w:sz="0" w:space="0" w:color="auto"/>
                <w:left w:val="none" w:sz="0" w:space="0" w:color="auto"/>
                <w:bottom w:val="none" w:sz="0" w:space="0" w:color="auto"/>
                <w:right w:val="none" w:sz="0" w:space="0" w:color="auto"/>
              </w:divBdr>
            </w:div>
            <w:div w:id="708800232">
              <w:marLeft w:val="0"/>
              <w:marRight w:val="0"/>
              <w:marTop w:val="0"/>
              <w:marBottom w:val="0"/>
              <w:divBdr>
                <w:top w:val="none" w:sz="0" w:space="0" w:color="auto"/>
                <w:left w:val="none" w:sz="0" w:space="0" w:color="auto"/>
                <w:bottom w:val="none" w:sz="0" w:space="0" w:color="auto"/>
                <w:right w:val="none" w:sz="0" w:space="0" w:color="auto"/>
              </w:divBdr>
            </w:div>
            <w:div w:id="1910924475">
              <w:marLeft w:val="0"/>
              <w:marRight w:val="0"/>
              <w:marTop w:val="0"/>
              <w:marBottom w:val="0"/>
              <w:divBdr>
                <w:top w:val="none" w:sz="0" w:space="0" w:color="auto"/>
                <w:left w:val="none" w:sz="0" w:space="0" w:color="auto"/>
                <w:bottom w:val="none" w:sz="0" w:space="0" w:color="auto"/>
                <w:right w:val="none" w:sz="0" w:space="0" w:color="auto"/>
              </w:divBdr>
            </w:div>
            <w:div w:id="1988438021">
              <w:marLeft w:val="0"/>
              <w:marRight w:val="0"/>
              <w:marTop w:val="0"/>
              <w:marBottom w:val="0"/>
              <w:divBdr>
                <w:top w:val="none" w:sz="0" w:space="0" w:color="auto"/>
                <w:left w:val="none" w:sz="0" w:space="0" w:color="auto"/>
                <w:bottom w:val="none" w:sz="0" w:space="0" w:color="auto"/>
                <w:right w:val="none" w:sz="0" w:space="0" w:color="auto"/>
              </w:divBdr>
            </w:div>
          </w:divsChild>
        </w:div>
        <w:div w:id="1654872784">
          <w:marLeft w:val="0"/>
          <w:marRight w:val="0"/>
          <w:marTop w:val="0"/>
          <w:marBottom w:val="0"/>
          <w:divBdr>
            <w:top w:val="none" w:sz="0" w:space="0" w:color="auto"/>
            <w:left w:val="none" w:sz="0" w:space="0" w:color="auto"/>
            <w:bottom w:val="none" w:sz="0" w:space="0" w:color="auto"/>
            <w:right w:val="none" w:sz="0" w:space="0" w:color="auto"/>
          </w:divBdr>
          <w:divsChild>
            <w:div w:id="234634490">
              <w:marLeft w:val="0"/>
              <w:marRight w:val="0"/>
              <w:marTop w:val="0"/>
              <w:marBottom w:val="0"/>
              <w:divBdr>
                <w:top w:val="none" w:sz="0" w:space="0" w:color="auto"/>
                <w:left w:val="none" w:sz="0" w:space="0" w:color="auto"/>
                <w:bottom w:val="none" w:sz="0" w:space="0" w:color="auto"/>
                <w:right w:val="none" w:sz="0" w:space="0" w:color="auto"/>
              </w:divBdr>
            </w:div>
            <w:div w:id="254629574">
              <w:marLeft w:val="0"/>
              <w:marRight w:val="0"/>
              <w:marTop w:val="0"/>
              <w:marBottom w:val="0"/>
              <w:divBdr>
                <w:top w:val="none" w:sz="0" w:space="0" w:color="auto"/>
                <w:left w:val="none" w:sz="0" w:space="0" w:color="auto"/>
                <w:bottom w:val="none" w:sz="0" w:space="0" w:color="auto"/>
                <w:right w:val="none" w:sz="0" w:space="0" w:color="auto"/>
              </w:divBdr>
            </w:div>
            <w:div w:id="2048287641">
              <w:marLeft w:val="0"/>
              <w:marRight w:val="0"/>
              <w:marTop w:val="0"/>
              <w:marBottom w:val="0"/>
              <w:divBdr>
                <w:top w:val="none" w:sz="0" w:space="0" w:color="auto"/>
                <w:left w:val="none" w:sz="0" w:space="0" w:color="auto"/>
                <w:bottom w:val="none" w:sz="0" w:space="0" w:color="auto"/>
                <w:right w:val="none" w:sz="0" w:space="0" w:color="auto"/>
              </w:divBdr>
            </w:div>
          </w:divsChild>
        </w:div>
        <w:div w:id="1659844023">
          <w:marLeft w:val="0"/>
          <w:marRight w:val="0"/>
          <w:marTop w:val="0"/>
          <w:marBottom w:val="0"/>
          <w:divBdr>
            <w:top w:val="none" w:sz="0" w:space="0" w:color="auto"/>
            <w:left w:val="none" w:sz="0" w:space="0" w:color="auto"/>
            <w:bottom w:val="none" w:sz="0" w:space="0" w:color="auto"/>
            <w:right w:val="none" w:sz="0" w:space="0" w:color="auto"/>
          </w:divBdr>
          <w:divsChild>
            <w:div w:id="186141479">
              <w:marLeft w:val="0"/>
              <w:marRight w:val="0"/>
              <w:marTop w:val="0"/>
              <w:marBottom w:val="0"/>
              <w:divBdr>
                <w:top w:val="none" w:sz="0" w:space="0" w:color="auto"/>
                <w:left w:val="none" w:sz="0" w:space="0" w:color="auto"/>
                <w:bottom w:val="none" w:sz="0" w:space="0" w:color="auto"/>
                <w:right w:val="none" w:sz="0" w:space="0" w:color="auto"/>
              </w:divBdr>
            </w:div>
            <w:div w:id="519314644">
              <w:marLeft w:val="0"/>
              <w:marRight w:val="0"/>
              <w:marTop w:val="0"/>
              <w:marBottom w:val="0"/>
              <w:divBdr>
                <w:top w:val="none" w:sz="0" w:space="0" w:color="auto"/>
                <w:left w:val="none" w:sz="0" w:space="0" w:color="auto"/>
                <w:bottom w:val="none" w:sz="0" w:space="0" w:color="auto"/>
                <w:right w:val="none" w:sz="0" w:space="0" w:color="auto"/>
              </w:divBdr>
            </w:div>
            <w:div w:id="846870862">
              <w:marLeft w:val="0"/>
              <w:marRight w:val="0"/>
              <w:marTop w:val="0"/>
              <w:marBottom w:val="0"/>
              <w:divBdr>
                <w:top w:val="none" w:sz="0" w:space="0" w:color="auto"/>
                <w:left w:val="none" w:sz="0" w:space="0" w:color="auto"/>
                <w:bottom w:val="none" w:sz="0" w:space="0" w:color="auto"/>
                <w:right w:val="none" w:sz="0" w:space="0" w:color="auto"/>
              </w:divBdr>
            </w:div>
            <w:div w:id="876434061">
              <w:marLeft w:val="0"/>
              <w:marRight w:val="0"/>
              <w:marTop w:val="0"/>
              <w:marBottom w:val="0"/>
              <w:divBdr>
                <w:top w:val="none" w:sz="0" w:space="0" w:color="auto"/>
                <w:left w:val="none" w:sz="0" w:space="0" w:color="auto"/>
                <w:bottom w:val="none" w:sz="0" w:space="0" w:color="auto"/>
                <w:right w:val="none" w:sz="0" w:space="0" w:color="auto"/>
              </w:divBdr>
            </w:div>
            <w:div w:id="1237351517">
              <w:marLeft w:val="0"/>
              <w:marRight w:val="0"/>
              <w:marTop w:val="0"/>
              <w:marBottom w:val="0"/>
              <w:divBdr>
                <w:top w:val="none" w:sz="0" w:space="0" w:color="auto"/>
                <w:left w:val="none" w:sz="0" w:space="0" w:color="auto"/>
                <w:bottom w:val="none" w:sz="0" w:space="0" w:color="auto"/>
                <w:right w:val="none" w:sz="0" w:space="0" w:color="auto"/>
              </w:divBdr>
            </w:div>
            <w:div w:id="1988973873">
              <w:marLeft w:val="0"/>
              <w:marRight w:val="0"/>
              <w:marTop w:val="0"/>
              <w:marBottom w:val="0"/>
              <w:divBdr>
                <w:top w:val="none" w:sz="0" w:space="0" w:color="auto"/>
                <w:left w:val="none" w:sz="0" w:space="0" w:color="auto"/>
                <w:bottom w:val="none" w:sz="0" w:space="0" w:color="auto"/>
                <w:right w:val="none" w:sz="0" w:space="0" w:color="auto"/>
              </w:divBdr>
            </w:div>
            <w:div w:id="2043167273">
              <w:marLeft w:val="0"/>
              <w:marRight w:val="0"/>
              <w:marTop w:val="0"/>
              <w:marBottom w:val="0"/>
              <w:divBdr>
                <w:top w:val="none" w:sz="0" w:space="0" w:color="auto"/>
                <w:left w:val="none" w:sz="0" w:space="0" w:color="auto"/>
                <w:bottom w:val="none" w:sz="0" w:space="0" w:color="auto"/>
                <w:right w:val="none" w:sz="0" w:space="0" w:color="auto"/>
              </w:divBdr>
            </w:div>
          </w:divsChild>
        </w:div>
        <w:div w:id="1663386254">
          <w:marLeft w:val="0"/>
          <w:marRight w:val="0"/>
          <w:marTop w:val="0"/>
          <w:marBottom w:val="0"/>
          <w:divBdr>
            <w:top w:val="none" w:sz="0" w:space="0" w:color="auto"/>
            <w:left w:val="none" w:sz="0" w:space="0" w:color="auto"/>
            <w:bottom w:val="none" w:sz="0" w:space="0" w:color="auto"/>
            <w:right w:val="none" w:sz="0" w:space="0" w:color="auto"/>
          </w:divBdr>
          <w:divsChild>
            <w:div w:id="89663730">
              <w:marLeft w:val="0"/>
              <w:marRight w:val="0"/>
              <w:marTop w:val="0"/>
              <w:marBottom w:val="0"/>
              <w:divBdr>
                <w:top w:val="none" w:sz="0" w:space="0" w:color="auto"/>
                <w:left w:val="none" w:sz="0" w:space="0" w:color="auto"/>
                <w:bottom w:val="none" w:sz="0" w:space="0" w:color="auto"/>
                <w:right w:val="none" w:sz="0" w:space="0" w:color="auto"/>
              </w:divBdr>
            </w:div>
          </w:divsChild>
        </w:div>
        <w:div w:id="1671176708">
          <w:marLeft w:val="0"/>
          <w:marRight w:val="0"/>
          <w:marTop w:val="0"/>
          <w:marBottom w:val="0"/>
          <w:divBdr>
            <w:top w:val="none" w:sz="0" w:space="0" w:color="auto"/>
            <w:left w:val="none" w:sz="0" w:space="0" w:color="auto"/>
            <w:bottom w:val="none" w:sz="0" w:space="0" w:color="auto"/>
            <w:right w:val="none" w:sz="0" w:space="0" w:color="auto"/>
          </w:divBdr>
          <w:divsChild>
            <w:div w:id="1256210579">
              <w:marLeft w:val="0"/>
              <w:marRight w:val="0"/>
              <w:marTop w:val="0"/>
              <w:marBottom w:val="0"/>
              <w:divBdr>
                <w:top w:val="none" w:sz="0" w:space="0" w:color="auto"/>
                <w:left w:val="none" w:sz="0" w:space="0" w:color="auto"/>
                <w:bottom w:val="none" w:sz="0" w:space="0" w:color="auto"/>
                <w:right w:val="none" w:sz="0" w:space="0" w:color="auto"/>
              </w:divBdr>
            </w:div>
          </w:divsChild>
        </w:div>
        <w:div w:id="1673871922">
          <w:marLeft w:val="0"/>
          <w:marRight w:val="0"/>
          <w:marTop w:val="0"/>
          <w:marBottom w:val="0"/>
          <w:divBdr>
            <w:top w:val="none" w:sz="0" w:space="0" w:color="auto"/>
            <w:left w:val="none" w:sz="0" w:space="0" w:color="auto"/>
            <w:bottom w:val="none" w:sz="0" w:space="0" w:color="auto"/>
            <w:right w:val="none" w:sz="0" w:space="0" w:color="auto"/>
          </w:divBdr>
          <w:divsChild>
            <w:div w:id="12924978">
              <w:marLeft w:val="0"/>
              <w:marRight w:val="0"/>
              <w:marTop w:val="0"/>
              <w:marBottom w:val="0"/>
              <w:divBdr>
                <w:top w:val="none" w:sz="0" w:space="0" w:color="auto"/>
                <w:left w:val="none" w:sz="0" w:space="0" w:color="auto"/>
                <w:bottom w:val="none" w:sz="0" w:space="0" w:color="auto"/>
                <w:right w:val="none" w:sz="0" w:space="0" w:color="auto"/>
              </w:divBdr>
            </w:div>
          </w:divsChild>
        </w:div>
        <w:div w:id="1682003981">
          <w:marLeft w:val="0"/>
          <w:marRight w:val="0"/>
          <w:marTop w:val="0"/>
          <w:marBottom w:val="0"/>
          <w:divBdr>
            <w:top w:val="none" w:sz="0" w:space="0" w:color="auto"/>
            <w:left w:val="none" w:sz="0" w:space="0" w:color="auto"/>
            <w:bottom w:val="none" w:sz="0" w:space="0" w:color="auto"/>
            <w:right w:val="none" w:sz="0" w:space="0" w:color="auto"/>
          </w:divBdr>
          <w:divsChild>
            <w:div w:id="221216566">
              <w:marLeft w:val="0"/>
              <w:marRight w:val="0"/>
              <w:marTop w:val="0"/>
              <w:marBottom w:val="0"/>
              <w:divBdr>
                <w:top w:val="none" w:sz="0" w:space="0" w:color="auto"/>
                <w:left w:val="none" w:sz="0" w:space="0" w:color="auto"/>
                <w:bottom w:val="none" w:sz="0" w:space="0" w:color="auto"/>
                <w:right w:val="none" w:sz="0" w:space="0" w:color="auto"/>
              </w:divBdr>
            </w:div>
          </w:divsChild>
        </w:div>
        <w:div w:id="1688562089">
          <w:marLeft w:val="0"/>
          <w:marRight w:val="0"/>
          <w:marTop w:val="0"/>
          <w:marBottom w:val="0"/>
          <w:divBdr>
            <w:top w:val="none" w:sz="0" w:space="0" w:color="auto"/>
            <w:left w:val="none" w:sz="0" w:space="0" w:color="auto"/>
            <w:bottom w:val="none" w:sz="0" w:space="0" w:color="auto"/>
            <w:right w:val="none" w:sz="0" w:space="0" w:color="auto"/>
          </w:divBdr>
          <w:divsChild>
            <w:div w:id="347952246">
              <w:marLeft w:val="0"/>
              <w:marRight w:val="0"/>
              <w:marTop w:val="0"/>
              <w:marBottom w:val="0"/>
              <w:divBdr>
                <w:top w:val="none" w:sz="0" w:space="0" w:color="auto"/>
                <w:left w:val="none" w:sz="0" w:space="0" w:color="auto"/>
                <w:bottom w:val="none" w:sz="0" w:space="0" w:color="auto"/>
                <w:right w:val="none" w:sz="0" w:space="0" w:color="auto"/>
              </w:divBdr>
            </w:div>
            <w:div w:id="1024400346">
              <w:marLeft w:val="0"/>
              <w:marRight w:val="0"/>
              <w:marTop w:val="0"/>
              <w:marBottom w:val="0"/>
              <w:divBdr>
                <w:top w:val="none" w:sz="0" w:space="0" w:color="auto"/>
                <w:left w:val="none" w:sz="0" w:space="0" w:color="auto"/>
                <w:bottom w:val="none" w:sz="0" w:space="0" w:color="auto"/>
                <w:right w:val="none" w:sz="0" w:space="0" w:color="auto"/>
              </w:divBdr>
            </w:div>
            <w:div w:id="1100561454">
              <w:marLeft w:val="0"/>
              <w:marRight w:val="0"/>
              <w:marTop w:val="0"/>
              <w:marBottom w:val="0"/>
              <w:divBdr>
                <w:top w:val="none" w:sz="0" w:space="0" w:color="auto"/>
                <w:left w:val="none" w:sz="0" w:space="0" w:color="auto"/>
                <w:bottom w:val="none" w:sz="0" w:space="0" w:color="auto"/>
                <w:right w:val="none" w:sz="0" w:space="0" w:color="auto"/>
              </w:divBdr>
            </w:div>
            <w:div w:id="1520507048">
              <w:marLeft w:val="0"/>
              <w:marRight w:val="0"/>
              <w:marTop w:val="0"/>
              <w:marBottom w:val="0"/>
              <w:divBdr>
                <w:top w:val="none" w:sz="0" w:space="0" w:color="auto"/>
                <w:left w:val="none" w:sz="0" w:space="0" w:color="auto"/>
                <w:bottom w:val="none" w:sz="0" w:space="0" w:color="auto"/>
                <w:right w:val="none" w:sz="0" w:space="0" w:color="auto"/>
              </w:divBdr>
            </w:div>
          </w:divsChild>
        </w:div>
        <w:div w:id="1689672743">
          <w:marLeft w:val="0"/>
          <w:marRight w:val="0"/>
          <w:marTop w:val="0"/>
          <w:marBottom w:val="0"/>
          <w:divBdr>
            <w:top w:val="none" w:sz="0" w:space="0" w:color="auto"/>
            <w:left w:val="none" w:sz="0" w:space="0" w:color="auto"/>
            <w:bottom w:val="none" w:sz="0" w:space="0" w:color="auto"/>
            <w:right w:val="none" w:sz="0" w:space="0" w:color="auto"/>
          </w:divBdr>
          <w:divsChild>
            <w:div w:id="815730528">
              <w:marLeft w:val="0"/>
              <w:marRight w:val="0"/>
              <w:marTop w:val="0"/>
              <w:marBottom w:val="0"/>
              <w:divBdr>
                <w:top w:val="none" w:sz="0" w:space="0" w:color="auto"/>
                <w:left w:val="none" w:sz="0" w:space="0" w:color="auto"/>
                <w:bottom w:val="none" w:sz="0" w:space="0" w:color="auto"/>
                <w:right w:val="none" w:sz="0" w:space="0" w:color="auto"/>
              </w:divBdr>
            </w:div>
            <w:div w:id="1638880201">
              <w:marLeft w:val="0"/>
              <w:marRight w:val="0"/>
              <w:marTop w:val="0"/>
              <w:marBottom w:val="0"/>
              <w:divBdr>
                <w:top w:val="none" w:sz="0" w:space="0" w:color="auto"/>
                <w:left w:val="none" w:sz="0" w:space="0" w:color="auto"/>
                <w:bottom w:val="none" w:sz="0" w:space="0" w:color="auto"/>
                <w:right w:val="none" w:sz="0" w:space="0" w:color="auto"/>
              </w:divBdr>
            </w:div>
          </w:divsChild>
        </w:div>
        <w:div w:id="1695232246">
          <w:marLeft w:val="0"/>
          <w:marRight w:val="0"/>
          <w:marTop w:val="0"/>
          <w:marBottom w:val="0"/>
          <w:divBdr>
            <w:top w:val="none" w:sz="0" w:space="0" w:color="auto"/>
            <w:left w:val="none" w:sz="0" w:space="0" w:color="auto"/>
            <w:bottom w:val="none" w:sz="0" w:space="0" w:color="auto"/>
            <w:right w:val="none" w:sz="0" w:space="0" w:color="auto"/>
          </w:divBdr>
          <w:divsChild>
            <w:div w:id="314340810">
              <w:marLeft w:val="0"/>
              <w:marRight w:val="0"/>
              <w:marTop w:val="0"/>
              <w:marBottom w:val="0"/>
              <w:divBdr>
                <w:top w:val="none" w:sz="0" w:space="0" w:color="auto"/>
                <w:left w:val="none" w:sz="0" w:space="0" w:color="auto"/>
                <w:bottom w:val="none" w:sz="0" w:space="0" w:color="auto"/>
                <w:right w:val="none" w:sz="0" w:space="0" w:color="auto"/>
              </w:divBdr>
            </w:div>
          </w:divsChild>
        </w:div>
        <w:div w:id="1696536245">
          <w:marLeft w:val="0"/>
          <w:marRight w:val="0"/>
          <w:marTop w:val="0"/>
          <w:marBottom w:val="0"/>
          <w:divBdr>
            <w:top w:val="none" w:sz="0" w:space="0" w:color="auto"/>
            <w:left w:val="none" w:sz="0" w:space="0" w:color="auto"/>
            <w:bottom w:val="none" w:sz="0" w:space="0" w:color="auto"/>
            <w:right w:val="none" w:sz="0" w:space="0" w:color="auto"/>
          </w:divBdr>
          <w:divsChild>
            <w:div w:id="1705252151">
              <w:marLeft w:val="0"/>
              <w:marRight w:val="0"/>
              <w:marTop w:val="0"/>
              <w:marBottom w:val="0"/>
              <w:divBdr>
                <w:top w:val="none" w:sz="0" w:space="0" w:color="auto"/>
                <w:left w:val="none" w:sz="0" w:space="0" w:color="auto"/>
                <w:bottom w:val="none" w:sz="0" w:space="0" w:color="auto"/>
                <w:right w:val="none" w:sz="0" w:space="0" w:color="auto"/>
              </w:divBdr>
            </w:div>
          </w:divsChild>
        </w:div>
        <w:div w:id="1697388482">
          <w:marLeft w:val="0"/>
          <w:marRight w:val="0"/>
          <w:marTop w:val="0"/>
          <w:marBottom w:val="0"/>
          <w:divBdr>
            <w:top w:val="none" w:sz="0" w:space="0" w:color="auto"/>
            <w:left w:val="none" w:sz="0" w:space="0" w:color="auto"/>
            <w:bottom w:val="none" w:sz="0" w:space="0" w:color="auto"/>
            <w:right w:val="none" w:sz="0" w:space="0" w:color="auto"/>
          </w:divBdr>
          <w:divsChild>
            <w:div w:id="1750809607">
              <w:marLeft w:val="0"/>
              <w:marRight w:val="0"/>
              <w:marTop w:val="0"/>
              <w:marBottom w:val="0"/>
              <w:divBdr>
                <w:top w:val="none" w:sz="0" w:space="0" w:color="auto"/>
                <w:left w:val="none" w:sz="0" w:space="0" w:color="auto"/>
                <w:bottom w:val="none" w:sz="0" w:space="0" w:color="auto"/>
                <w:right w:val="none" w:sz="0" w:space="0" w:color="auto"/>
              </w:divBdr>
            </w:div>
          </w:divsChild>
        </w:div>
        <w:div w:id="1702625387">
          <w:marLeft w:val="0"/>
          <w:marRight w:val="0"/>
          <w:marTop w:val="0"/>
          <w:marBottom w:val="0"/>
          <w:divBdr>
            <w:top w:val="none" w:sz="0" w:space="0" w:color="auto"/>
            <w:left w:val="none" w:sz="0" w:space="0" w:color="auto"/>
            <w:bottom w:val="none" w:sz="0" w:space="0" w:color="auto"/>
            <w:right w:val="none" w:sz="0" w:space="0" w:color="auto"/>
          </w:divBdr>
          <w:divsChild>
            <w:div w:id="407772074">
              <w:marLeft w:val="0"/>
              <w:marRight w:val="0"/>
              <w:marTop w:val="0"/>
              <w:marBottom w:val="0"/>
              <w:divBdr>
                <w:top w:val="none" w:sz="0" w:space="0" w:color="auto"/>
                <w:left w:val="none" w:sz="0" w:space="0" w:color="auto"/>
                <w:bottom w:val="none" w:sz="0" w:space="0" w:color="auto"/>
                <w:right w:val="none" w:sz="0" w:space="0" w:color="auto"/>
              </w:divBdr>
            </w:div>
          </w:divsChild>
        </w:div>
        <w:div w:id="1705403377">
          <w:marLeft w:val="0"/>
          <w:marRight w:val="0"/>
          <w:marTop w:val="0"/>
          <w:marBottom w:val="0"/>
          <w:divBdr>
            <w:top w:val="none" w:sz="0" w:space="0" w:color="auto"/>
            <w:left w:val="none" w:sz="0" w:space="0" w:color="auto"/>
            <w:bottom w:val="none" w:sz="0" w:space="0" w:color="auto"/>
            <w:right w:val="none" w:sz="0" w:space="0" w:color="auto"/>
          </w:divBdr>
          <w:divsChild>
            <w:div w:id="1395354824">
              <w:marLeft w:val="0"/>
              <w:marRight w:val="0"/>
              <w:marTop w:val="0"/>
              <w:marBottom w:val="0"/>
              <w:divBdr>
                <w:top w:val="none" w:sz="0" w:space="0" w:color="auto"/>
                <w:left w:val="none" w:sz="0" w:space="0" w:color="auto"/>
                <w:bottom w:val="none" w:sz="0" w:space="0" w:color="auto"/>
                <w:right w:val="none" w:sz="0" w:space="0" w:color="auto"/>
              </w:divBdr>
            </w:div>
            <w:div w:id="1812945181">
              <w:marLeft w:val="0"/>
              <w:marRight w:val="0"/>
              <w:marTop w:val="0"/>
              <w:marBottom w:val="0"/>
              <w:divBdr>
                <w:top w:val="none" w:sz="0" w:space="0" w:color="auto"/>
                <w:left w:val="none" w:sz="0" w:space="0" w:color="auto"/>
                <w:bottom w:val="none" w:sz="0" w:space="0" w:color="auto"/>
                <w:right w:val="none" w:sz="0" w:space="0" w:color="auto"/>
              </w:divBdr>
            </w:div>
          </w:divsChild>
        </w:div>
        <w:div w:id="1706632449">
          <w:marLeft w:val="0"/>
          <w:marRight w:val="0"/>
          <w:marTop w:val="0"/>
          <w:marBottom w:val="0"/>
          <w:divBdr>
            <w:top w:val="none" w:sz="0" w:space="0" w:color="auto"/>
            <w:left w:val="none" w:sz="0" w:space="0" w:color="auto"/>
            <w:bottom w:val="none" w:sz="0" w:space="0" w:color="auto"/>
            <w:right w:val="none" w:sz="0" w:space="0" w:color="auto"/>
          </w:divBdr>
          <w:divsChild>
            <w:div w:id="807548157">
              <w:marLeft w:val="0"/>
              <w:marRight w:val="0"/>
              <w:marTop w:val="0"/>
              <w:marBottom w:val="0"/>
              <w:divBdr>
                <w:top w:val="none" w:sz="0" w:space="0" w:color="auto"/>
                <w:left w:val="none" w:sz="0" w:space="0" w:color="auto"/>
                <w:bottom w:val="none" w:sz="0" w:space="0" w:color="auto"/>
                <w:right w:val="none" w:sz="0" w:space="0" w:color="auto"/>
              </w:divBdr>
            </w:div>
          </w:divsChild>
        </w:div>
        <w:div w:id="1708263268">
          <w:marLeft w:val="0"/>
          <w:marRight w:val="0"/>
          <w:marTop w:val="0"/>
          <w:marBottom w:val="0"/>
          <w:divBdr>
            <w:top w:val="none" w:sz="0" w:space="0" w:color="auto"/>
            <w:left w:val="none" w:sz="0" w:space="0" w:color="auto"/>
            <w:bottom w:val="none" w:sz="0" w:space="0" w:color="auto"/>
            <w:right w:val="none" w:sz="0" w:space="0" w:color="auto"/>
          </w:divBdr>
          <w:divsChild>
            <w:div w:id="628633139">
              <w:marLeft w:val="0"/>
              <w:marRight w:val="0"/>
              <w:marTop w:val="0"/>
              <w:marBottom w:val="0"/>
              <w:divBdr>
                <w:top w:val="none" w:sz="0" w:space="0" w:color="auto"/>
                <w:left w:val="none" w:sz="0" w:space="0" w:color="auto"/>
                <w:bottom w:val="none" w:sz="0" w:space="0" w:color="auto"/>
                <w:right w:val="none" w:sz="0" w:space="0" w:color="auto"/>
              </w:divBdr>
            </w:div>
          </w:divsChild>
        </w:div>
        <w:div w:id="1709139342">
          <w:marLeft w:val="0"/>
          <w:marRight w:val="0"/>
          <w:marTop w:val="0"/>
          <w:marBottom w:val="0"/>
          <w:divBdr>
            <w:top w:val="none" w:sz="0" w:space="0" w:color="auto"/>
            <w:left w:val="none" w:sz="0" w:space="0" w:color="auto"/>
            <w:bottom w:val="none" w:sz="0" w:space="0" w:color="auto"/>
            <w:right w:val="none" w:sz="0" w:space="0" w:color="auto"/>
          </w:divBdr>
          <w:divsChild>
            <w:div w:id="130640252">
              <w:marLeft w:val="0"/>
              <w:marRight w:val="0"/>
              <w:marTop w:val="0"/>
              <w:marBottom w:val="0"/>
              <w:divBdr>
                <w:top w:val="none" w:sz="0" w:space="0" w:color="auto"/>
                <w:left w:val="none" w:sz="0" w:space="0" w:color="auto"/>
                <w:bottom w:val="none" w:sz="0" w:space="0" w:color="auto"/>
                <w:right w:val="none" w:sz="0" w:space="0" w:color="auto"/>
              </w:divBdr>
            </w:div>
            <w:div w:id="1596667954">
              <w:marLeft w:val="0"/>
              <w:marRight w:val="0"/>
              <w:marTop w:val="0"/>
              <w:marBottom w:val="0"/>
              <w:divBdr>
                <w:top w:val="none" w:sz="0" w:space="0" w:color="auto"/>
                <w:left w:val="none" w:sz="0" w:space="0" w:color="auto"/>
                <w:bottom w:val="none" w:sz="0" w:space="0" w:color="auto"/>
                <w:right w:val="none" w:sz="0" w:space="0" w:color="auto"/>
              </w:divBdr>
            </w:div>
            <w:div w:id="1850294436">
              <w:marLeft w:val="0"/>
              <w:marRight w:val="0"/>
              <w:marTop w:val="0"/>
              <w:marBottom w:val="0"/>
              <w:divBdr>
                <w:top w:val="none" w:sz="0" w:space="0" w:color="auto"/>
                <w:left w:val="none" w:sz="0" w:space="0" w:color="auto"/>
                <w:bottom w:val="none" w:sz="0" w:space="0" w:color="auto"/>
                <w:right w:val="none" w:sz="0" w:space="0" w:color="auto"/>
              </w:divBdr>
            </w:div>
          </w:divsChild>
        </w:div>
        <w:div w:id="1713841206">
          <w:marLeft w:val="0"/>
          <w:marRight w:val="0"/>
          <w:marTop w:val="0"/>
          <w:marBottom w:val="0"/>
          <w:divBdr>
            <w:top w:val="none" w:sz="0" w:space="0" w:color="auto"/>
            <w:left w:val="none" w:sz="0" w:space="0" w:color="auto"/>
            <w:bottom w:val="none" w:sz="0" w:space="0" w:color="auto"/>
            <w:right w:val="none" w:sz="0" w:space="0" w:color="auto"/>
          </w:divBdr>
          <w:divsChild>
            <w:div w:id="208760081">
              <w:marLeft w:val="0"/>
              <w:marRight w:val="0"/>
              <w:marTop w:val="0"/>
              <w:marBottom w:val="0"/>
              <w:divBdr>
                <w:top w:val="none" w:sz="0" w:space="0" w:color="auto"/>
                <w:left w:val="none" w:sz="0" w:space="0" w:color="auto"/>
                <w:bottom w:val="none" w:sz="0" w:space="0" w:color="auto"/>
                <w:right w:val="none" w:sz="0" w:space="0" w:color="auto"/>
              </w:divBdr>
            </w:div>
            <w:div w:id="557933621">
              <w:marLeft w:val="0"/>
              <w:marRight w:val="0"/>
              <w:marTop w:val="0"/>
              <w:marBottom w:val="0"/>
              <w:divBdr>
                <w:top w:val="none" w:sz="0" w:space="0" w:color="auto"/>
                <w:left w:val="none" w:sz="0" w:space="0" w:color="auto"/>
                <w:bottom w:val="none" w:sz="0" w:space="0" w:color="auto"/>
                <w:right w:val="none" w:sz="0" w:space="0" w:color="auto"/>
              </w:divBdr>
            </w:div>
            <w:div w:id="875580048">
              <w:marLeft w:val="0"/>
              <w:marRight w:val="0"/>
              <w:marTop w:val="0"/>
              <w:marBottom w:val="0"/>
              <w:divBdr>
                <w:top w:val="none" w:sz="0" w:space="0" w:color="auto"/>
                <w:left w:val="none" w:sz="0" w:space="0" w:color="auto"/>
                <w:bottom w:val="none" w:sz="0" w:space="0" w:color="auto"/>
                <w:right w:val="none" w:sz="0" w:space="0" w:color="auto"/>
              </w:divBdr>
            </w:div>
            <w:div w:id="985357718">
              <w:marLeft w:val="0"/>
              <w:marRight w:val="0"/>
              <w:marTop w:val="0"/>
              <w:marBottom w:val="0"/>
              <w:divBdr>
                <w:top w:val="none" w:sz="0" w:space="0" w:color="auto"/>
                <w:left w:val="none" w:sz="0" w:space="0" w:color="auto"/>
                <w:bottom w:val="none" w:sz="0" w:space="0" w:color="auto"/>
                <w:right w:val="none" w:sz="0" w:space="0" w:color="auto"/>
              </w:divBdr>
            </w:div>
            <w:div w:id="992215799">
              <w:marLeft w:val="0"/>
              <w:marRight w:val="0"/>
              <w:marTop w:val="0"/>
              <w:marBottom w:val="0"/>
              <w:divBdr>
                <w:top w:val="none" w:sz="0" w:space="0" w:color="auto"/>
                <w:left w:val="none" w:sz="0" w:space="0" w:color="auto"/>
                <w:bottom w:val="none" w:sz="0" w:space="0" w:color="auto"/>
                <w:right w:val="none" w:sz="0" w:space="0" w:color="auto"/>
              </w:divBdr>
            </w:div>
            <w:div w:id="1207452322">
              <w:marLeft w:val="0"/>
              <w:marRight w:val="0"/>
              <w:marTop w:val="0"/>
              <w:marBottom w:val="0"/>
              <w:divBdr>
                <w:top w:val="none" w:sz="0" w:space="0" w:color="auto"/>
                <w:left w:val="none" w:sz="0" w:space="0" w:color="auto"/>
                <w:bottom w:val="none" w:sz="0" w:space="0" w:color="auto"/>
                <w:right w:val="none" w:sz="0" w:space="0" w:color="auto"/>
              </w:divBdr>
            </w:div>
            <w:div w:id="1429425546">
              <w:marLeft w:val="0"/>
              <w:marRight w:val="0"/>
              <w:marTop w:val="0"/>
              <w:marBottom w:val="0"/>
              <w:divBdr>
                <w:top w:val="none" w:sz="0" w:space="0" w:color="auto"/>
                <w:left w:val="none" w:sz="0" w:space="0" w:color="auto"/>
                <w:bottom w:val="none" w:sz="0" w:space="0" w:color="auto"/>
                <w:right w:val="none" w:sz="0" w:space="0" w:color="auto"/>
              </w:divBdr>
            </w:div>
            <w:div w:id="1684668642">
              <w:marLeft w:val="0"/>
              <w:marRight w:val="0"/>
              <w:marTop w:val="0"/>
              <w:marBottom w:val="0"/>
              <w:divBdr>
                <w:top w:val="none" w:sz="0" w:space="0" w:color="auto"/>
                <w:left w:val="none" w:sz="0" w:space="0" w:color="auto"/>
                <w:bottom w:val="none" w:sz="0" w:space="0" w:color="auto"/>
                <w:right w:val="none" w:sz="0" w:space="0" w:color="auto"/>
              </w:divBdr>
            </w:div>
            <w:div w:id="2088382758">
              <w:marLeft w:val="0"/>
              <w:marRight w:val="0"/>
              <w:marTop w:val="0"/>
              <w:marBottom w:val="0"/>
              <w:divBdr>
                <w:top w:val="none" w:sz="0" w:space="0" w:color="auto"/>
                <w:left w:val="none" w:sz="0" w:space="0" w:color="auto"/>
                <w:bottom w:val="none" w:sz="0" w:space="0" w:color="auto"/>
                <w:right w:val="none" w:sz="0" w:space="0" w:color="auto"/>
              </w:divBdr>
            </w:div>
          </w:divsChild>
        </w:div>
        <w:div w:id="1716613326">
          <w:marLeft w:val="0"/>
          <w:marRight w:val="0"/>
          <w:marTop w:val="0"/>
          <w:marBottom w:val="0"/>
          <w:divBdr>
            <w:top w:val="none" w:sz="0" w:space="0" w:color="auto"/>
            <w:left w:val="none" w:sz="0" w:space="0" w:color="auto"/>
            <w:bottom w:val="none" w:sz="0" w:space="0" w:color="auto"/>
            <w:right w:val="none" w:sz="0" w:space="0" w:color="auto"/>
          </w:divBdr>
          <w:divsChild>
            <w:div w:id="107546409">
              <w:marLeft w:val="0"/>
              <w:marRight w:val="0"/>
              <w:marTop w:val="0"/>
              <w:marBottom w:val="0"/>
              <w:divBdr>
                <w:top w:val="none" w:sz="0" w:space="0" w:color="auto"/>
                <w:left w:val="none" w:sz="0" w:space="0" w:color="auto"/>
                <w:bottom w:val="none" w:sz="0" w:space="0" w:color="auto"/>
                <w:right w:val="none" w:sz="0" w:space="0" w:color="auto"/>
              </w:divBdr>
            </w:div>
            <w:div w:id="115564958">
              <w:marLeft w:val="0"/>
              <w:marRight w:val="0"/>
              <w:marTop w:val="0"/>
              <w:marBottom w:val="0"/>
              <w:divBdr>
                <w:top w:val="none" w:sz="0" w:space="0" w:color="auto"/>
                <w:left w:val="none" w:sz="0" w:space="0" w:color="auto"/>
                <w:bottom w:val="none" w:sz="0" w:space="0" w:color="auto"/>
                <w:right w:val="none" w:sz="0" w:space="0" w:color="auto"/>
              </w:divBdr>
            </w:div>
            <w:div w:id="447047135">
              <w:marLeft w:val="0"/>
              <w:marRight w:val="0"/>
              <w:marTop w:val="0"/>
              <w:marBottom w:val="0"/>
              <w:divBdr>
                <w:top w:val="none" w:sz="0" w:space="0" w:color="auto"/>
                <w:left w:val="none" w:sz="0" w:space="0" w:color="auto"/>
                <w:bottom w:val="none" w:sz="0" w:space="0" w:color="auto"/>
                <w:right w:val="none" w:sz="0" w:space="0" w:color="auto"/>
              </w:divBdr>
            </w:div>
            <w:div w:id="478689914">
              <w:marLeft w:val="0"/>
              <w:marRight w:val="0"/>
              <w:marTop w:val="0"/>
              <w:marBottom w:val="0"/>
              <w:divBdr>
                <w:top w:val="none" w:sz="0" w:space="0" w:color="auto"/>
                <w:left w:val="none" w:sz="0" w:space="0" w:color="auto"/>
                <w:bottom w:val="none" w:sz="0" w:space="0" w:color="auto"/>
                <w:right w:val="none" w:sz="0" w:space="0" w:color="auto"/>
              </w:divBdr>
            </w:div>
            <w:div w:id="542250346">
              <w:marLeft w:val="0"/>
              <w:marRight w:val="0"/>
              <w:marTop w:val="0"/>
              <w:marBottom w:val="0"/>
              <w:divBdr>
                <w:top w:val="none" w:sz="0" w:space="0" w:color="auto"/>
                <w:left w:val="none" w:sz="0" w:space="0" w:color="auto"/>
                <w:bottom w:val="none" w:sz="0" w:space="0" w:color="auto"/>
                <w:right w:val="none" w:sz="0" w:space="0" w:color="auto"/>
              </w:divBdr>
            </w:div>
            <w:div w:id="751657559">
              <w:marLeft w:val="0"/>
              <w:marRight w:val="0"/>
              <w:marTop w:val="0"/>
              <w:marBottom w:val="0"/>
              <w:divBdr>
                <w:top w:val="none" w:sz="0" w:space="0" w:color="auto"/>
                <w:left w:val="none" w:sz="0" w:space="0" w:color="auto"/>
                <w:bottom w:val="none" w:sz="0" w:space="0" w:color="auto"/>
                <w:right w:val="none" w:sz="0" w:space="0" w:color="auto"/>
              </w:divBdr>
            </w:div>
            <w:div w:id="936014325">
              <w:marLeft w:val="0"/>
              <w:marRight w:val="0"/>
              <w:marTop w:val="0"/>
              <w:marBottom w:val="0"/>
              <w:divBdr>
                <w:top w:val="none" w:sz="0" w:space="0" w:color="auto"/>
                <w:left w:val="none" w:sz="0" w:space="0" w:color="auto"/>
                <w:bottom w:val="none" w:sz="0" w:space="0" w:color="auto"/>
                <w:right w:val="none" w:sz="0" w:space="0" w:color="auto"/>
              </w:divBdr>
            </w:div>
            <w:div w:id="1083142302">
              <w:marLeft w:val="0"/>
              <w:marRight w:val="0"/>
              <w:marTop w:val="0"/>
              <w:marBottom w:val="0"/>
              <w:divBdr>
                <w:top w:val="none" w:sz="0" w:space="0" w:color="auto"/>
                <w:left w:val="none" w:sz="0" w:space="0" w:color="auto"/>
                <w:bottom w:val="none" w:sz="0" w:space="0" w:color="auto"/>
                <w:right w:val="none" w:sz="0" w:space="0" w:color="auto"/>
              </w:divBdr>
            </w:div>
            <w:div w:id="1258978680">
              <w:marLeft w:val="0"/>
              <w:marRight w:val="0"/>
              <w:marTop w:val="0"/>
              <w:marBottom w:val="0"/>
              <w:divBdr>
                <w:top w:val="none" w:sz="0" w:space="0" w:color="auto"/>
                <w:left w:val="none" w:sz="0" w:space="0" w:color="auto"/>
                <w:bottom w:val="none" w:sz="0" w:space="0" w:color="auto"/>
                <w:right w:val="none" w:sz="0" w:space="0" w:color="auto"/>
              </w:divBdr>
            </w:div>
            <w:div w:id="2003393100">
              <w:marLeft w:val="0"/>
              <w:marRight w:val="0"/>
              <w:marTop w:val="0"/>
              <w:marBottom w:val="0"/>
              <w:divBdr>
                <w:top w:val="none" w:sz="0" w:space="0" w:color="auto"/>
                <w:left w:val="none" w:sz="0" w:space="0" w:color="auto"/>
                <w:bottom w:val="none" w:sz="0" w:space="0" w:color="auto"/>
                <w:right w:val="none" w:sz="0" w:space="0" w:color="auto"/>
              </w:divBdr>
            </w:div>
            <w:div w:id="2034072932">
              <w:marLeft w:val="0"/>
              <w:marRight w:val="0"/>
              <w:marTop w:val="0"/>
              <w:marBottom w:val="0"/>
              <w:divBdr>
                <w:top w:val="none" w:sz="0" w:space="0" w:color="auto"/>
                <w:left w:val="none" w:sz="0" w:space="0" w:color="auto"/>
                <w:bottom w:val="none" w:sz="0" w:space="0" w:color="auto"/>
                <w:right w:val="none" w:sz="0" w:space="0" w:color="auto"/>
              </w:divBdr>
            </w:div>
          </w:divsChild>
        </w:div>
        <w:div w:id="1723819861">
          <w:marLeft w:val="0"/>
          <w:marRight w:val="0"/>
          <w:marTop w:val="0"/>
          <w:marBottom w:val="0"/>
          <w:divBdr>
            <w:top w:val="none" w:sz="0" w:space="0" w:color="auto"/>
            <w:left w:val="none" w:sz="0" w:space="0" w:color="auto"/>
            <w:bottom w:val="none" w:sz="0" w:space="0" w:color="auto"/>
            <w:right w:val="none" w:sz="0" w:space="0" w:color="auto"/>
          </w:divBdr>
          <w:divsChild>
            <w:div w:id="84040549">
              <w:marLeft w:val="0"/>
              <w:marRight w:val="0"/>
              <w:marTop w:val="0"/>
              <w:marBottom w:val="0"/>
              <w:divBdr>
                <w:top w:val="none" w:sz="0" w:space="0" w:color="auto"/>
                <w:left w:val="none" w:sz="0" w:space="0" w:color="auto"/>
                <w:bottom w:val="none" w:sz="0" w:space="0" w:color="auto"/>
                <w:right w:val="none" w:sz="0" w:space="0" w:color="auto"/>
              </w:divBdr>
            </w:div>
            <w:div w:id="867647782">
              <w:marLeft w:val="0"/>
              <w:marRight w:val="0"/>
              <w:marTop w:val="0"/>
              <w:marBottom w:val="0"/>
              <w:divBdr>
                <w:top w:val="none" w:sz="0" w:space="0" w:color="auto"/>
                <w:left w:val="none" w:sz="0" w:space="0" w:color="auto"/>
                <w:bottom w:val="none" w:sz="0" w:space="0" w:color="auto"/>
                <w:right w:val="none" w:sz="0" w:space="0" w:color="auto"/>
              </w:divBdr>
            </w:div>
            <w:div w:id="1625965868">
              <w:marLeft w:val="0"/>
              <w:marRight w:val="0"/>
              <w:marTop w:val="0"/>
              <w:marBottom w:val="0"/>
              <w:divBdr>
                <w:top w:val="none" w:sz="0" w:space="0" w:color="auto"/>
                <w:left w:val="none" w:sz="0" w:space="0" w:color="auto"/>
                <w:bottom w:val="none" w:sz="0" w:space="0" w:color="auto"/>
                <w:right w:val="none" w:sz="0" w:space="0" w:color="auto"/>
              </w:divBdr>
            </w:div>
            <w:div w:id="1704820023">
              <w:marLeft w:val="0"/>
              <w:marRight w:val="0"/>
              <w:marTop w:val="0"/>
              <w:marBottom w:val="0"/>
              <w:divBdr>
                <w:top w:val="none" w:sz="0" w:space="0" w:color="auto"/>
                <w:left w:val="none" w:sz="0" w:space="0" w:color="auto"/>
                <w:bottom w:val="none" w:sz="0" w:space="0" w:color="auto"/>
                <w:right w:val="none" w:sz="0" w:space="0" w:color="auto"/>
              </w:divBdr>
            </w:div>
            <w:div w:id="2028825100">
              <w:marLeft w:val="0"/>
              <w:marRight w:val="0"/>
              <w:marTop w:val="0"/>
              <w:marBottom w:val="0"/>
              <w:divBdr>
                <w:top w:val="none" w:sz="0" w:space="0" w:color="auto"/>
                <w:left w:val="none" w:sz="0" w:space="0" w:color="auto"/>
                <w:bottom w:val="none" w:sz="0" w:space="0" w:color="auto"/>
                <w:right w:val="none" w:sz="0" w:space="0" w:color="auto"/>
              </w:divBdr>
            </w:div>
          </w:divsChild>
        </w:div>
        <w:div w:id="1723866287">
          <w:marLeft w:val="0"/>
          <w:marRight w:val="0"/>
          <w:marTop w:val="0"/>
          <w:marBottom w:val="0"/>
          <w:divBdr>
            <w:top w:val="none" w:sz="0" w:space="0" w:color="auto"/>
            <w:left w:val="none" w:sz="0" w:space="0" w:color="auto"/>
            <w:bottom w:val="none" w:sz="0" w:space="0" w:color="auto"/>
            <w:right w:val="none" w:sz="0" w:space="0" w:color="auto"/>
          </w:divBdr>
          <w:divsChild>
            <w:div w:id="1954747793">
              <w:marLeft w:val="0"/>
              <w:marRight w:val="0"/>
              <w:marTop w:val="0"/>
              <w:marBottom w:val="0"/>
              <w:divBdr>
                <w:top w:val="none" w:sz="0" w:space="0" w:color="auto"/>
                <w:left w:val="none" w:sz="0" w:space="0" w:color="auto"/>
                <w:bottom w:val="none" w:sz="0" w:space="0" w:color="auto"/>
                <w:right w:val="none" w:sz="0" w:space="0" w:color="auto"/>
              </w:divBdr>
            </w:div>
          </w:divsChild>
        </w:div>
        <w:div w:id="1723940967">
          <w:marLeft w:val="0"/>
          <w:marRight w:val="0"/>
          <w:marTop w:val="0"/>
          <w:marBottom w:val="0"/>
          <w:divBdr>
            <w:top w:val="none" w:sz="0" w:space="0" w:color="auto"/>
            <w:left w:val="none" w:sz="0" w:space="0" w:color="auto"/>
            <w:bottom w:val="none" w:sz="0" w:space="0" w:color="auto"/>
            <w:right w:val="none" w:sz="0" w:space="0" w:color="auto"/>
          </w:divBdr>
          <w:divsChild>
            <w:div w:id="1234584787">
              <w:marLeft w:val="0"/>
              <w:marRight w:val="0"/>
              <w:marTop w:val="0"/>
              <w:marBottom w:val="0"/>
              <w:divBdr>
                <w:top w:val="none" w:sz="0" w:space="0" w:color="auto"/>
                <w:left w:val="none" w:sz="0" w:space="0" w:color="auto"/>
                <w:bottom w:val="none" w:sz="0" w:space="0" w:color="auto"/>
                <w:right w:val="none" w:sz="0" w:space="0" w:color="auto"/>
              </w:divBdr>
            </w:div>
          </w:divsChild>
        </w:div>
        <w:div w:id="1733387056">
          <w:marLeft w:val="0"/>
          <w:marRight w:val="0"/>
          <w:marTop w:val="0"/>
          <w:marBottom w:val="0"/>
          <w:divBdr>
            <w:top w:val="none" w:sz="0" w:space="0" w:color="auto"/>
            <w:left w:val="none" w:sz="0" w:space="0" w:color="auto"/>
            <w:bottom w:val="none" w:sz="0" w:space="0" w:color="auto"/>
            <w:right w:val="none" w:sz="0" w:space="0" w:color="auto"/>
          </w:divBdr>
          <w:divsChild>
            <w:div w:id="328599894">
              <w:marLeft w:val="0"/>
              <w:marRight w:val="0"/>
              <w:marTop w:val="0"/>
              <w:marBottom w:val="0"/>
              <w:divBdr>
                <w:top w:val="none" w:sz="0" w:space="0" w:color="auto"/>
                <w:left w:val="none" w:sz="0" w:space="0" w:color="auto"/>
                <w:bottom w:val="none" w:sz="0" w:space="0" w:color="auto"/>
                <w:right w:val="none" w:sz="0" w:space="0" w:color="auto"/>
              </w:divBdr>
            </w:div>
            <w:div w:id="434518277">
              <w:marLeft w:val="0"/>
              <w:marRight w:val="0"/>
              <w:marTop w:val="0"/>
              <w:marBottom w:val="0"/>
              <w:divBdr>
                <w:top w:val="none" w:sz="0" w:space="0" w:color="auto"/>
                <w:left w:val="none" w:sz="0" w:space="0" w:color="auto"/>
                <w:bottom w:val="none" w:sz="0" w:space="0" w:color="auto"/>
                <w:right w:val="none" w:sz="0" w:space="0" w:color="auto"/>
              </w:divBdr>
            </w:div>
            <w:div w:id="736248963">
              <w:marLeft w:val="0"/>
              <w:marRight w:val="0"/>
              <w:marTop w:val="0"/>
              <w:marBottom w:val="0"/>
              <w:divBdr>
                <w:top w:val="none" w:sz="0" w:space="0" w:color="auto"/>
                <w:left w:val="none" w:sz="0" w:space="0" w:color="auto"/>
                <w:bottom w:val="none" w:sz="0" w:space="0" w:color="auto"/>
                <w:right w:val="none" w:sz="0" w:space="0" w:color="auto"/>
              </w:divBdr>
            </w:div>
          </w:divsChild>
        </w:div>
        <w:div w:id="1736049029">
          <w:marLeft w:val="0"/>
          <w:marRight w:val="0"/>
          <w:marTop w:val="0"/>
          <w:marBottom w:val="0"/>
          <w:divBdr>
            <w:top w:val="none" w:sz="0" w:space="0" w:color="auto"/>
            <w:left w:val="none" w:sz="0" w:space="0" w:color="auto"/>
            <w:bottom w:val="none" w:sz="0" w:space="0" w:color="auto"/>
            <w:right w:val="none" w:sz="0" w:space="0" w:color="auto"/>
          </w:divBdr>
          <w:divsChild>
            <w:div w:id="929198264">
              <w:marLeft w:val="0"/>
              <w:marRight w:val="0"/>
              <w:marTop w:val="0"/>
              <w:marBottom w:val="0"/>
              <w:divBdr>
                <w:top w:val="none" w:sz="0" w:space="0" w:color="auto"/>
                <w:left w:val="none" w:sz="0" w:space="0" w:color="auto"/>
                <w:bottom w:val="none" w:sz="0" w:space="0" w:color="auto"/>
                <w:right w:val="none" w:sz="0" w:space="0" w:color="auto"/>
              </w:divBdr>
            </w:div>
            <w:div w:id="1795517719">
              <w:marLeft w:val="0"/>
              <w:marRight w:val="0"/>
              <w:marTop w:val="0"/>
              <w:marBottom w:val="0"/>
              <w:divBdr>
                <w:top w:val="none" w:sz="0" w:space="0" w:color="auto"/>
                <w:left w:val="none" w:sz="0" w:space="0" w:color="auto"/>
                <w:bottom w:val="none" w:sz="0" w:space="0" w:color="auto"/>
                <w:right w:val="none" w:sz="0" w:space="0" w:color="auto"/>
              </w:divBdr>
            </w:div>
          </w:divsChild>
        </w:div>
        <w:div w:id="1737510993">
          <w:marLeft w:val="0"/>
          <w:marRight w:val="0"/>
          <w:marTop w:val="0"/>
          <w:marBottom w:val="0"/>
          <w:divBdr>
            <w:top w:val="none" w:sz="0" w:space="0" w:color="auto"/>
            <w:left w:val="none" w:sz="0" w:space="0" w:color="auto"/>
            <w:bottom w:val="none" w:sz="0" w:space="0" w:color="auto"/>
            <w:right w:val="none" w:sz="0" w:space="0" w:color="auto"/>
          </w:divBdr>
          <w:divsChild>
            <w:div w:id="1772117361">
              <w:marLeft w:val="0"/>
              <w:marRight w:val="0"/>
              <w:marTop w:val="0"/>
              <w:marBottom w:val="0"/>
              <w:divBdr>
                <w:top w:val="none" w:sz="0" w:space="0" w:color="auto"/>
                <w:left w:val="none" w:sz="0" w:space="0" w:color="auto"/>
                <w:bottom w:val="none" w:sz="0" w:space="0" w:color="auto"/>
                <w:right w:val="none" w:sz="0" w:space="0" w:color="auto"/>
              </w:divBdr>
            </w:div>
          </w:divsChild>
        </w:div>
        <w:div w:id="1738816755">
          <w:marLeft w:val="0"/>
          <w:marRight w:val="0"/>
          <w:marTop w:val="0"/>
          <w:marBottom w:val="0"/>
          <w:divBdr>
            <w:top w:val="none" w:sz="0" w:space="0" w:color="auto"/>
            <w:left w:val="none" w:sz="0" w:space="0" w:color="auto"/>
            <w:bottom w:val="none" w:sz="0" w:space="0" w:color="auto"/>
            <w:right w:val="none" w:sz="0" w:space="0" w:color="auto"/>
          </w:divBdr>
          <w:divsChild>
            <w:div w:id="154762437">
              <w:marLeft w:val="0"/>
              <w:marRight w:val="0"/>
              <w:marTop w:val="0"/>
              <w:marBottom w:val="0"/>
              <w:divBdr>
                <w:top w:val="none" w:sz="0" w:space="0" w:color="auto"/>
                <w:left w:val="none" w:sz="0" w:space="0" w:color="auto"/>
                <w:bottom w:val="none" w:sz="0" w:space="0" w:color="auto"/>
                <w:right w:val="none" w:sz="0" w:space="0" w:color="auto"/>
              </w:divBdr>
            </w:div>
            <w:div w:id="1057900004">
              <w:marLeft w:val="0"/>
              <w:marRight w:val="0"/>
              <w:marTop w:val="0"/>
              <w:marBottom w:val="0"/>
              <w:divBdr>
                <w:top w:val="none" w:sz="0" w:space="0" w:color="auto"/>
                <w:left w:val="none" w:sz="0" w:space="0" w:color="auto"/>
                <w:bottom w:val="none" w:sz="0" w:space="0" w:color="auto"/>
                <w:right w:val="none" w:sz="0" w:space="0" w:color="auto"/>
              </w:divBdr>
            </w:div>
          </w:divsChild>
        </w:div>
        <w:div w:id="1742101644">
          <w:marLeft w:val="0"/>
          <w:marRight w:val="0"/>
          <w:marTop w:val="0"/>
          <w:marBottom w:val="0"/>
          <w:divBdr>
            <w:top w:val="none" w:sz="0" w:space="0" w:color="auto"/>
            <w:left w:val="none" w:sz="0" w:space="0" w:color="auto"/>
            <w:bottom w:val="none" w:sz="0" w:space="0" w:color="auto"/>
            <w:right w:val="none" w:sz="0" w:space="0" w:color="auto"/>
          </w:divBdr>
          <w:divsChild>
            <w:div w:id="738551624">
              <w:marLeft w:val="0"/>
              <w:marRight w:val="0"/>
              <w:marTop w:val="0"/>
              <w:marBottom w:val="0"/>
              <w:divBdr>
                <w:top w:val="none" w:sz="0" w:space="0" w:color="auto"/>
                <w:left w:val="none" w:sz="0" w:space="0" w:color="auto"/>
                <w:bottom w:val="none" w:sz="0" w:space="0" w:color="auto"/>
                <w:right w:val="none" w:sz="0" w:space="0" w:color="auto"/>
              </w:divBdr>
            </w:div>
          </w:divsChild>
        </w:div>
        <w:div w:id="1745569423">
          <w:marLeft w:val="0"/>
          <w:marRight w:val="0"/>
          <w:marTop w:val="0"/>
          <w:marBottom w:val="0"/>
          <w:divBdr>
            <w:top w:val="none" w:sz="0" w:space="0" w:color="auto"/>
            <w:left w:val="none" w:sz="0" w:space="0" w:color="auto"/>
            <w:bottom w:val="none" w:sz="0" w:space="0" w:color="auto"/>
            <w:right w:val="none" w:sz="0" w:space="0" w:color="auto"/>
          </w:divBdr>
          <w:divsChild>
            <w:div w:id="211699728">
              <w:marLeft w:val="0"/>
              <w:marRight w:val="0"/>
              <w:marTop w:val="0"/>
              <w:marBottom w:val="0"/>
              <w:divBdr>
                <w:top w:val="none" w:sz="0" w:space="0" w:color="auto"/>
                <w:left w:val="none" w:sz="0" w:space="0" w:color="auto"/>
                <w:bottom w:val="none" w:sz="0" w:space="0" w:color="auto"/>
                <w:right w:val="none" w:sz="0" w:space="0" w:color="auto"/>
              </w:divBdr>
            </w:div>
            <w:div w:id="500044437">
              <w:marLeft w:val="0"/>
              <w:marRight w:val="0"/>
              <w:marTop w:val="0"/>
              <w:marBottom w:val="0"/>
              <w:divBdr>
                <w:top w:val="none" w:sz="0" w:space="0" w:color="auto"/>
                <w:left w:val="none" w:sz="0" w:space="0" w:color="auto"/>
                <w:bottom w:val="none" w:sz="0" w:space="0" w:color="auto"/>
                <w:right w:val="none" w:sz="0" w:space="0" w:color="auto"/>
              </w:divBdr>
            </w:div>
            <w:div w:id="785268993">
              <w:marLeft w:val="0"/>
              <w:marRight w:val="0"/>
              <w:marTop w:val="0"/>
              <w:marBottom w:val="0"/>
              <w:divBdr>
                <w:top w:val="none" w:sz="0" w:space="0" w:color="auto"/>
                <w:left w:val="none" w:sz="0" w:space="0" w:color="auto"/>
                <w:bottom w:val="none" w:sz="0" w:space="0" w:color="auto"/>
                <w:right w:val="none" w:sz="0" w:space="0" w:color="auto"/>
              </w:divBdr>
            </w:div>
            <w:div w:id="1643852516">
              <w:marLeft w:val="0"/>
              <w:marRight w:val="0"/>
              <w:marTop w:val="0"/>
              <w:marBottom w:val="0"/>
              <w:divBdr>
                <w:top w:val="none" w:sz="0" w:space="0" w:color="auto"/>
                <w:left w:val="none" w:sz="0" w:space="0" w:color="auto"/>
                <w:bottom w:val="none" w:sz="0" w:space="0" w:color="auto"/>
                <w:right w:val="none" w:sz="0" w:space="0" w:color="auto"/>
              </w:divBdr>
            </w:div>
            <w:div w:id="1731229448">
              <w:marLeft w:val="0"/>
              <w:marRight w:val="0"/>
              <w:marTop w:val="0"/>
              <w:marBottom w:val="0"/>
              <w:divBdr>
                <w:top w:val="none" w:sz="0" w:space="0" w:color="auto"/>
                <w:left w:val="none" w:sz="0" w:space="0" w:color="auto"/>
                <w:bottom w:val="none" w:sz="0" w:space="0" w:color="auto"/>
                <w:right w:val="none" w:sz="0" w:space="0" w:color="auto"/>
              </w:divBdr>
            </w:div>
            <w:div w:id="1973553415">
              <w:marLeft w:val="0"/>
              <w:marRight w:val="0"/>
              <w:marTop w:val="0"/>
              <w:marBottom w:val="0"/>
              <w:divBdr>
                <w:top w:val="none" w:sz="0" w:space="0" w:color="auto"/>
                <w:left w:val="none" w:sz="0" w:space="0" w:color="auto"/>
                <w:bottom w:val="none" w:sz="0" w:space="0" w:color="auto"/>
                <w:right w:val="none" w:sz="0" w:space="0" w:color="auto"/>
              </w:divBdr>
            </w:div>
          </w:divsChild>
        </w:div>
        <w:div w:id="1757435798">
          <w:marLeft w:val="0"/>
          <w:marRight w:val="0"/>
          <w:marTop w:val="0"/>
          <w:marBottom w:val="0"/>
          <w:divBdr>
            <w:top w:val="none" w:sz="0" w:space="0" w:color="auto"/>
            <w:left w:val="none" w:sz="0" w:space="0" w:color="auto"/>
            <w:bottom w:val="none" w:sz="0" w:space="0" w:color="auto"/>
            <w:right w:val="none" w:sz="0" w:space="0" w:color="auto"/>
          </w:divBdr>
          <w:divsChild>
            <w:div w:id="1111129433">
              <w:marLeft w:val="0"/>
              <w:marRight w:val="0"/>
              <w:marTop w:val="0"/>
              <w:marBottom w:val="0"/>
              <w:divBdr>
                <w:top w:val="none" w:sz="0" w:space="0" w:color="auto"/>
                <w:left w:val="none" w:sz="0" w:space="0" w:color="auto"/>
                <w:bottom w:val="none" w:sz="0" w:space="0" w:color="auto"/>
                <w:right w:val="none" w:sz="0" w:space="0" w:color="auto"/>
              </w:divBdr>
            </w:div>
          </w:divsChild>
        </w:div>
        <w:div w:id="1760062314">
          <w:marLeft w:val="0"/>
          <w:marRight w:val="0"/>
          <w:marTop w:val="0"/>
          <w:marBottom w:val="0"/>
          <w:divBdr>
            <w:top w:val="none" w:sz="0" w:space="0" w:color="auto"/>
            <w:left w:val="none" w:sz="0" w:space="0" w:color="auto"/>
            <w:bottom w:val="none" w:sz="0" w:space="0" w:color="auto"/>
            <w:right w:val="none" w:sz="0" w:space="0" w:color="auto"/>
          </w:divBdr>
          <w:divsChild>
            <w:div w:id="338579084">
              <w:marLeft w:val="0"/>
              <w:marRight w:val="0"/>
              <w:marTop w:val="0"/>
              <w:marBottom w:val="0"/>
              <w:divBdr>
                <w:top w:val="none" w:sz="0" w:space="0" w:color="auto"/>
                <w:left w:val="none" w:sz="0" w:space="0" w:color="auto"/>
                <w:bottom w:val="none" w:sz="0" w:space="0" w:color="auto"/>
                <w:right w:val="none" w:sz="0" w:space="0" w:color="auto"/>
              </w:divBdr>
            </w:div>
            <w:div w:id="343673727">
              <w:marLeft w:val="0"/>
              <w:marRight w:val="0"/>
              <w:marTop w:val="0"/>
              <w:marBottom w:val="0"/>
              <w:divBdr>
                <w:top w:val="none" w:sz="0" w:space="0" w:color="auto"/>
                <w:left w:val="none" w:sz="0" w:space="0" w:color="auto"/>
                <w:bottom w:val="none" w:sz="0" w:space="0" w:color="auto"/>
                <w:right w:val="none" w:sz="0" w:space="0" w:color="auto"/>
              </w:divBdr>
            </w:div>
            <w:div w:id="822622199">
              <w:marLeft w:val="0"/>
              <w:marRight w:val="0"/>
              <w:marTop w:val="0"/>
              <w:marBottom w:val="0"/>
              <w:divBdr>
                <w:top w:val="none" w:sz="0" w:space="0" w:color="auto"/>
                <w:left w:val="none" w:sz="0" w:space="0" w:color="auto"/>
                <w:bottom w:val="none" w:sz="0" w:space="0" w:color="auto"/>
                <w:right w:val="none" w:sz="0" w:space="0" w:color="auto"/>
              </w:divBdr>
            </w:div>
          </w:divsChild>
        </w:div>
        <w:div w:id="1763990217">
          <w:marLeft w:val="0"/>
          <w:marRight w:val="0"/>
          <w:marTop w:val="0"/>
          <w:marBottom w:val="0"/>
          <w:divBdr>
            <w:top w:val="none" w:sz="0" w:space="0" w:color="auto"/>
            <w:left w:val="none" w:sz="0" w:space="0" w:color="auto"/>
            <w:bottom w:val="none" w:sz="0" w:space="0" w:color="auto"/>
            <w:right w:val="none" w:sz="0" w:space="0" w:color="auto"/>
          </w:divBdr>
          <w:divsChild>
            <w:div w:id="809251983">
              <w:marLeft w:val="0"/>
              <w:marRight w:val="0"/>
              <w:marTop w:val="0"/>
              <w:marBottom w:val="0"/>
              <w:divBdr>
                <w:top w:val="none" w:sz="0" w:space="0" w:color="auto"/>
                <w:left w:val="none" w:sz="0" w:space="0" w:color="auto"/>
                <w:bottom w:val="none" w:sz="0" w:space="0" w:color="auto"/>
                <w:right w:val="none" w:sz="0" w:space="0" w:color="auto"/>
              </w:divBdr>
            </w:div>
          </w:divsChild>
        </w:div>
        <w:div w:id="1764762588">
          <w:marLeft w:val="0"/>
          <w:marRight w:val="0"/>
          <w:marTop w:val="0"/>
          <w:marBottom w:val="0"/>
          <w:divBdr>
            <w:top w:val="none" w:sz="0" w:space="0" w:color="auto"/>
            <w:left w:val="none" w:sz="0" w:space="0" w:color="auto"/>
            <w:bottom w:val="none" w:sz="0" w:space="0" w:color="auto"/>
            <w:right w:val="none" w:sz="0" w:space="0" w:color="auto"/>
          </w:divBdr>
          <w:divsChild>
            <w:div w:id="1605839601">
              <w:marLeft w:val="0"/>
              <w:marRight w:val="0"/>
              <w:marTop w:val="0"/>
              <w:marBottom w:val="0"/>
              <w:divBdr>
                <w:top w:val="none" w:sz="0" w:space="0" w:color="auto"/>
                <w:left w:val="none" w:sz="0" w:space="0" w:color="auto"/>
                <w:bottom w:val="none" w:sz="0" w:space="0" w:color="auto"/>
                <w:right w:val="none" w:sz="0" w:space="0" w:color="auto"/>
              </w:divBdr>
            </w:div>
          </w:divsChild>
        </w:div>
        <w:div w:id="1765419588">
          <w:marLeft w:val="0"/>
          <w:marRight w:val="0"/>
          <w:marTop w:val="0"/>
          <w:marBottom w:val="0"/>
          <w:divBdr>
            <w:top w:val="none" w:sz="0" w:space="0" w:color="auto"/>
            <w:left w:val="none" w:sz="0" w:space="0" w:color="auto"/>
            <w:bottom w:val="none" w:sz="0" w:space="0" w:color="auto"/>
            <w:right w:val="none" w:sz="0" w:space="0" w:color="auto"/>
          </w:divBdr>
          <w:divsChild>
            <w:div w:id="231888671">
              <w:marLeft w:val="0"/>
              <w:marRight w:val="0"/>
              <w:marTop w:val="0"/>
              <w:marBottom w:val="0"/>
              <w:divBdr>
                <w:top w:val="none" w:sz="0" w:space="0" w:color="auto"/>
                <w:left w:val="none" w:sz="0" w:space="0" w:color="auto"/>
                <w:bottom w:val="none" w:sz="0" w:space="0" w:color="auto"/>
                <w:right w:val="none" w:sz="0" w:space="0" w:color="auto"/>
              </w:divBdr>
            </w:div>
            <w:div w:id="1279143559">
              <w:marLeft w:val="0"/>
              <w:marRight w:val="0"/>
              <w:marTop w:val="0"/>
              <w:marBottom w:val="0"/>
              <w:divBdr>
                <w:top w:val="none" w:sz="0" w:space="0" w:color="auto"/>
                <w:left w:val="none" w:sz="0" w:space="0" w:color="auto"/>
                <w:bottom w:val="none" w:sz="0" w:space="0" w:color="auto"/>
                <w:right w:val="none" w:sz="0" w:space="0" w:color="auto"/>
              </w:divBdr>
            </w:div>
          </w:divsChild>
        </w:div>
        <w:div w:id="1768189073">
          <w:marLeft w:val="0"/>
          <w:marRight w:val="0"/>
          <w:marTop w:val="0"/>
          <w:marBottom w:val="0"/>
          <w:divBdr>
            <w:top w:val="none" w:sz="0" w:space="0" w:color="auto"/>
            <w:left w:val="none" w:sz="0" w:space="0" w:color="auto"/>
            <w:bottom w:val="none" w:sz="0" w:space="0" w:color="auto"/>
            <w:right w:val="none" w:sz="0" w:space="0" w:color="auto"/>
          </w:divBdr>
          <w:divsChild>
            <w:div w:id="442572480">
              <w:marLeft w:val="0"/>
              <w:marRight w:val="0"/>
              <w:marTop w:val="0"/>
              <w:marBottom w:val="0"/>
              <w:divBdr>
                <w:top w:val="none" w:sz="0" w:space="0" w:color="auto"/>
                <w:left w:val="none" w:sz="0" w:space="0" w:color="auto"/>
                <w:bottom w:val="none" w:sz="0" w:space="0" w:color="auto"/>
                <w:right w:val="none" w:sz="0" w:space="0" w:color="auto"/>
              </w:divBdr>
            </w:div>
            <w:div w:id="650644888">
              <w:marLeft w:val="0"/>
              <w:marRight w:val="0"/>
              <w:marTop w:val="0"/>
              <w:marBottom w:val="0"/>
              <w:divBdr>
                <w:top w:val="none" w:sz="0" w:space="0" w:color="auto"/>
                <w:left w:val="none" w:sz="0" w:space="0" w:color="auto"/>
                <w:bottom w:val="none" w:sz="0" w:space="0" w:color="auto"/>
                <w:right w:val="none" w:sz="0" w:space="0" w:color="auto"/>
              </w:divBdr>
            </w:div>
            <w:div w:id="1193688300">
              <w:marLeft w:val="0"/>
              <w:marRight w:val="0"/>
              <w:marTop w:val="0"/>
              <w:marBottom w:val="0"/>
              <w:divBdr>
                <w:top w:val="none" w:sz="0" w:space="0" w:color="auto"/>
                <w:left w:val="none" w:sz="0" w:space="0" w:color="auto"/>
                <w:bottom w:val="none" w:sz="0" w:space="0" w:color="auto"/>
                <w:right w:val="none" w:sz="0" w:space="0" w:color="auto"/>
              </w:divBdr>
            </w:div>
            <w:div w:id="1367439261">
              <w:marLeft w:val="0"/>
              <w:marRight w:val="0"/>
              <w:marTop w:val="0"/>
              <w:marBottom w:val="0"/>
              <w:divBdr>
                <w:top w:val="none" w:sz="0" w:space="0" w:color="auto"/>
                <w:left w:val="none" w:sz="0" w:space="0" w:color="auto"/>
                <w:bottom w:val="none" w:sz="0" w:space="0" w:color="auto"/>
                <w:right w:val="none" w:sz="0" w:space="0" w:color="auto"/>
              </w:divBdr>
            </w:div>
          </w:divsChild>
        </w:div>
        <w:div w:id="1780904394">
          <w:marLeft w:val="0"/>
          <w:marRight w:val="0"/>
          <w:marTop w:val="0"/>
          <w:marBottom w:val="0"/>
          <w:divBdr>
            <w:top w:val="none" w:sz="0" w:space="0" w:color="auto"/>
            <w:left w:val="none" w:sz="0" w:space="0" w:color="auto"/>
            <w:bottom w:val="none" w:sz="0" w:space="0" w:color="auto"/>
            <w:right w:val="none" w:sz="0" w:space="0" w:color="auto"/>
          </w:divBdr>
          <w:divsChild>
            <w:div w:id="1828859903">
              <w:marLeft w:val="0"/>
              <w:marRight w:val="0"/>
              <w:marTop w:val="0"/>
              <w:marBottom w:val="0"/>
              <w:divBdr>
                <w:top w:val="none" w:sz="0" w:space="0" w:color="auto"/>
                <w:left w:val="none" w:sz="0" w:space="0" w:color="auto"/>
                <w:bottom w:val="none" w:sz="0" w:space="0" w:color="auto"/>
                <w:right w:val="none" w:sz="0" w:space="0" w:color="auto"/>
              </w:divBdr>
            </w:div>
          </w:divsChild>
        </w:div>
        <w:div w:id="1782646424">
          <w:marLeft w:val="0"/>
          <w:marRight w:val="0"/>
          <w:marTop w:val="0"/>
          <w:marBottom w:val="0"/>
          <w:divBdr>
            <w:top w:val="none" w:sz="0" w:space="0" w:color="auto"/>
            <w:left w:val="none" w:sz="0" w:space="0" w:color="auto"/>
            <w:bottom w:val="none" w:sz="0" w:space="0" w:color="auto"/>
            <w:right w:val="none" w:sz="0" w:space="0" w:color="auto"/>
          </w:divBdr>
          <w:divsChild>
            <w:div w:id="378743369">
              <w:marLeft w:val="0"/>
              <w:marRight w:val="0"/>
              <w:marTop w:val="0"/>
              <w:marBottom w:val="0"/>
              <w:divBdr>
                <w:top w:val="none" w:sz="0" w:space="0" w:color="auto"/>
                <w:left w:val="none" w:sz="0" w:space="0" w:color="auto"/>
                <w:bottom w:val="none" w:sz="0" w:space="0" w:color="auto"/>
                <w:right w:val="none" w:sz="0" w:space="0" w:color="auto"/>
              </w:divBdr>
            </w:div>
            <w:div w:id="436095153">
              <w:marLeft w:val="0"/>
              <w:marRight w:val="0"/>
              <w:marTop w:val="0"/>
              <w:marBottom w:val="0"/>
              <w:divBdr>
                <w:top w:val="none" w:sz="0" w:space="0" w:color="auto"/>
                <w:left w:val="none" w:sz="0" w:space="0" w:color="auto"/>
                <w:bottom w:val="none" w:sz="0" w:space="0" w:color="auto"/>
                <w:right w:val="none" w:sz="0" w:space="0" w:color="auto"/>
              </w:divBdr>
            </w:div>
            <w:div w:id="500706081">
              <w:marLeft w:val="0"/>
              <w:marRight w:val="0"/>
              <w:marTop w:val="0"/>
              <w:marBottom w:val="0"/>
              <w:divBdr>
                <w:top w:val="none" w:sz="0" w:space="0" w:color="auto"/>
                <w:left w:val="none" w:sz="0" w:space="0" w:color="auto"/>
                <w:bottom w:val="none" w:sz="0" w:space="0" w:color="auto"/>
                <w:right w:val="none" w:sz="0" w:space="0" w:color="auto"/>
              </w:divBdr>
            </w:div>
            <w:div w:id="1150050183">
              <w:marLeft w:val="0"/>
              <w:marRight w:val="0"/>
              <w:marTop w:val="0"/>
              <w:marBottom w:val="0"/>
              <w:divBdr>
                <w:top w:val="none" w:sz="0" w:space="0" w:color="auto"/>
                <w:left w:val="none" w:sz="0" w:space="0" w:color="auto"/>
                <w:bottom w:val="none" w:sz="0" w:space="0" w:color="auto"/>
                <w:right w:val="none" w:sz="0" w:space="0" w:color="auto"/>
              </w:divBdr>
            </w:div>
            <w:div w:id="1287007773">
              <w:marLeft w:val="0"/>
              <w:marRight w:val="0"/>
              <w:marTop w:val="0"/>
              <w:marBottom w:val="0"/>
              <w:divBdr>
                <w:top w:val="none" w:sz="0" w:space="0" w:color="auto"/>
                <w:left w:val="none" w:sz="0" w:space="0" w:color="auto"/>
                <w:bottom w:val="none" w:sz="0" w:space="0" w:color="auto"/>
                <w:right w:val="none" w:sz="0" w:space="0" w:color="auto"/>
              </w:divBdr>
            </w:div>
            <w:div w:id="1333407373">
              <w:marLeft w:val="0"/>
              <w:marRight w:val="0"/>
              <w:marTop w:val="0"/>
              <w:marBottom w:val="0"/>
              <w:divBdr>
                <w:top w:val="none" w:sz="0" w:space="0" w:color="auto"/>
                <w:left w:val="none" w:sz="0" w:space="0" w:color="auto"/>
                <w:bottom w:val="none" w:sz="0" w:space="0" w:color="auto"/>
                <w:right w:val="none" w:sz="0" w:space="0" w:color="auto"/>
              </w:divBdr>
            </w:div>
            <w:div w:id="1453402094">
              <w:marLeft w:val="0"/>
              <w:marRight w:val="0"/>
              <w:marTop w:val="0"/>
              <w:marBottom w:val="0"/>
              <w:divBdr>
                <w:top w:val="none" w:sz="0" w:space="0" w:color="auto"/>
                <w:left w:val="none" w:sz="0" w:space="0" w:color="auto"/>
                <w:bottom w:val="none" w:sz="0" w:space="0" w:color="auto"/>
                <w:right w:val="none" w:sz="0" w:space="0" w:color="auto"/>
              </w:divBdr>
            </w:div>
            <w:div w:id="1577739464">
              <w:marLeft w:val="0"/>
              <w:marRight w:val="0"/>
              <w:marTop w:val="0"/>
              <w:marBottom w:val="0"/>
              <w:divBdr>
                <w:top w:val="none" w:sz="0" w:space="0" w:color="auto"/>
                <w:left w:val="none" w:sz="0" w:space="0" w:color="auto"/>
                <w:bottom w:val="none" w:sz="0" w:space="0" w:color="auto"/>
                <w:right w:val="none" w:sz="0" w:space="0" w:color="auto"/>
              </w:divBdr>
            </w:div>
            <w:div w:id="1701127343">
              <w:marLeft w:val="0"/>
              <w:marRight w:val="0"/>
              <w:marTop w:val="0"/>
              <w:marBottom w:val="0"/>
              <w:divBdr>
                <w:top w:val="none" w:sz="0" w:space="0" w:color="auto"/>
                <w:left w:val="none" w:sz="0" w:space="0" w:color="auto"/>
                <w:bottom w:val="none" w:sz="0" w:space="0" w:color="auto"/>
                <w:right w:val="none" w:sz="0" w:space="0" w:color="auto"/>
              </w:divBdr>
            </w:div>
            <w:div w:id="1808743884">
              <w:marLeft w:val="0"/>
              <w:marRight w:val="0"/>
              <w:marTop w:val="0"/>
              <w:marBottom w:val="0"/>
              <w:divBdr>
                <w:top w:val="none" w:sz="0" w:space="0" w:color="auto"/>
                <w:left w:val="none" w:sz="0" w:space="0" w:color="auto"/>
                <w:bottom w:val="none" w:sz="0" w:space="0" w:color="auto"/>
                <w:right w:val="none" w:sz="0" w:space="0" w:color="auto"/>
              </w:divBdr>
            </w:div>
            <w:div w:id="1837453434">
              <w:marLeft w:val="0"/>
              <w:marRight w:val="0"/>
              <w:marTop w:val="0"/>
              <w:marBottom w:val="0"/>
              <w:divBdr>
                <w:top w:val="none" w:sz="0" w:space="0" w:color="auto"/>
                <w:left w:val="none" w:sz="0" w:space="0" w:color="auto"/>
                <w:bottom w:val="none" w:sz="0" w:space="0" w:color="auto"/>
                <w:right w:val="none" w:sz="0" w:space="0" w:color="auto"/>
              </w:divBdr>
            </w:div>
            <w:div w:id="1938366245">
              <w:marLeft w:val="0"/>
              <w:marRight w:val="0"/>
              <w:marTop w:val="0"/>
              <w:marBottom w:val="0"/>
              <w:divBdr>
                <w:top w:val="none" w:sz="0" w:space="0" w:color="auto"/>
                <w:left w:val="none" w:sz="0" w:space="0" w:color="auto"/>
                <w:bottom w:val="none" w:sz="0" w:space="0" w:color="auto"/>
                <w:right w:val="none" w:sz="0" w:space="0" w:color="auto"/>
              </w:divBdr>
            </w:div>
            <w:div w:id="2032535563">
              <w:marLeft w:val="0"/>
              <w:marRight w:val="0"/>
              <w:marTop w:val="0"/>
              <w:marBottom w:val="0"/>
              <w:divBdr>
                <w:top w:val="none" w:sz="0" w:space="0" w:color="auto"/>
                <w:left w:val="none" w:sz="0" w:space="0" w:color="auto"/>
                <w:bottom w:val="none" w:sz="0" w:space="0" w:color="auto"/>
                <w:right w:val="none" w:sz="0" w:space="0" w:color="auto"/>
              </w:divBdr>
            </w:div>
          </w:divsChild>
        </w:div>
        <w:div w:id="1783305916">
          <w:marLeft w:val="0"/>
          <w:marRight w:val="0"/>
          <w:marTop w:val="0"/>
          <w:marBottom w:val="0"/>
          <w:divBdr>
            <w:top w:val="none" w:sz="0" w:space="0" w:color="auto"/>
            <w:left w:val="none" w:sz="0" w:space="0" w:color="auto"/>
            <w:bottom w:val="none" w:sz="0" w:space="0" w:color="auto"/>
            <w:right w:val="none" w:sz="0" w:space="0" w:color="auto"/>
          </w:divBdr>
          <w:divsChild>
            <w:div w:id="329069024">
              <w:marLeft w:val="0"/>
              <w:marRight w:val="0"/>
              <w:marTop w:val="0"/>
              <w:marBottom w:val="0"/>
              <w:divBdr>
                <w:top w:val="none" w:sz="0" w:space="0" w:color="auto"/>
                <w:left w:val="none" w:sz="0" w:space="0" w:color="auto"/>
                <w:bottom w:val="none" w:sz="0" w:space="0" w:color="auto"/>
                <w:right w:val="none" w:sz="0" w:space="0" w:color="auto"/>
              </w:divBdr>
            </w:div>
          </w:divsChild>
        </w:div>
        <w:div w:id="1785727666">
          <w:marLeft w:val="0"/>
          <w:marRight w:val="0"/>
          <w:marTop w:val="0"/>
          <w:marBottom w:val="0"/>
          <w:divBdr>
            <w:top w:val="none" w:sz="0" w:space="0" w:color="auto"/>
            <w:left w:val="none" w:sz="0" w:space="0" w:color="auto"/>
            <w:bottom w:val="none" w:sz="0" w:space="0" w:color="auto"/>
            <w:right w:val="none" w:sz="0" w:space="0" w:color="auto"/>
          </w:divBdr>
          <w:divsChild>
            <w:div w:id="682248683">
              <w:marLeft w:val="0"/>
              <w:marRight w:val="0"/>
              <w:marTop w:val="0"/>
              <w:marBottom w:val="0"/>
              <w:divBdr>
                <w:top w:val="none" w:sz="0" w:space="0" w:color="auto"/>
                <w:left w:val="none" w:sz="0" w:space="0" w:color="auto"/>
                <w:bottom w:val="none" w:sz="0" w:space="0" w:color="auto"/>
                <w:right w:val="none" w:sz="0" w:space="0" w:color="auto"/>
              </w:divBdr>
            </w:div>
          </w:divsChild>
        </w:div>
        <w:div w:id="1789159114">
          <w:marLeft w:val="0"/>
          <w:marRight w:val="0"/>
          <w:marTop w:val="0"/>
          <w:marBottom w:val="0"/>
          <w:divBdr>
            <w:top w:val="none" w:sz="0" w:space="0" w:color="auto"/>
            <w:left w:val="none" w:sz="0" w:space="0" w:color="auto"/>
            <w:bottom w:val="none" w:sz="0" w:space="0" w:color="auto"/>
            <w:right w:val="none" w:sz="0" w:space="0" w:color="auto"/>
          </w:divBdr>
          <w:divsChild>
            <w:div w:id="1591542366">
              <w:marLeft w:val="0"/>
              <w:marRight w:val="0"/>
              <w:marTop w:val="0"/>
              <w:marBottom w:val="0"/>
              <w:divBdr>
                <w:top w:val="none" w:sz="0" w:space="0" w:color="auto"/>
                <w:left w:val="none" w:sz="0" w:space="0" w:color="auto"/>
                <w:bottom w:val="none" w:sz="0" w:space="0" w:color="auto"/>
                <w:right w:val="none" w:sz="0" w:space="0" w:color="auto"/>
              </w:divBdr>
            </w:div>
          </w:divsChild>
        </w:div>
        <w:div w:id="1794598331">
          <w:marLeft w:val="0"/>
          <w:marRight w:val="0"/>
          <w:marTop w:val="0"/>
          <w:marBottom w:val="0"/>
          <w:divBdr>
            <w:top w:val="none" w:sz="0" w:space="0" w:color="auto"/>
            <w:left w:val="none" w:sz="0" w:space="0" w:color="auto"/>
            <w:bottom w:val="none" w:sz="0" w:space="0" w:color="auto"/>
            <w:right w:val="none" w:sz="0" w:space="0" w:color="auto"/>
          </w:divBdr>
          <w:divsChild>
            <w:div w:id="145980156">
              <w:marLeft w:val="0"/>
              <w:marRight w:val="0"/>
              <w:marTop w:val="0"/>
              <w:marBottom w:val="0"/>
              <w:divBdr>
                <w:top w:val="none" w:sz="0" w:space="0" w:color="auto"/>
                <w:left w:val="none" w:sz="0" w:space="0" w:color="auto"/>
                <w:bottom w:val="none" w:sz="0" w:space="0" w:color="auto"/>
                <w:right w:val="none" w:sz="0" w:space="0" w:color="auto"/>
              </w:divBdr>
            </w:div>
            <w:div w:id="277610705">
              <w:marLeft w:val="0"/>
              <w:marRight w:val="0"/>
              <w:marTop w:val="0"/>
              <w:marBottom w:val="0"/>
              <w:divBdr>
                <w:top w:val="none" w:sz="0" w:space="0" w:color="auto"/>
                <w:left w:val="none" w:sz="0" w:space="0" w:color="auto"/>
                <w:bottom w:val="none" w:sz="0" w:space="0" w:color="auto"/>
                <w:right w:val="none" w:sz="0" w:space="0" w:color="auto"/>
              </w:divBdr>
            </w:div>
            <w:div w:id="292444767">
              <w:marLeft w:val="0"/>
              <w:marRight w:val="0"/>
              <w:marTop w:val="0"/>
              <w:marBottom w:val="0"/>
              <w:divBdr>
                <w:top w:val="none" w:sz="0" w:space="0" w:color="auto"/>
                <w:left w:val="none" w:sz="0" w:space="0" w:color="auto"/>
                <w:bottom w:val="none" w:sz="0" w:space="0" w:color="auto"/>
                <w:right w:val="none" w:sz="0" w:space="0" w:color="auto"/>
              </w:divBdr>
            </w:div>
            <w:div w:id="1139834345">
              <w:marLeft w:val="0"/>
              <w:marRight w:val="0"/>
              <w:marTop w:val="0"/>
              <w:marBottom w:val="0"/>
              <w:divBdr>
                <w:top w:val="none" w:sz="0" w:space="0" w:color="auto"/>
                <w:left w:val="none" w:sz="0" w:space="0" w:color="auto"/>
                <w:bottom w:val="none" w:sz="0" w:space="0" w:color="auto"/>
                <w:right w:val="none" w:sz="0" w:space="0" w:color="auto"/>
              </w:divBdr>
            </w:div>
          </w:divsChild>
        </w:div>
        <w:div w:id="1799716703">
          <w:marLeft w:val="0"/>
          <w:marRight w:val="0"/>
          <w:marTop w:val="0"/>
          <w:marBottom w:val="0"/>
          <w:divBdr>
            <w:top w:val="none" w:sz="0" w:space="0" w:color="auto"/>
            <w:left w:val="none" w:sz="0" w:space="0" w:color="auto"/>
            <w:bottom w:val="none" w:sz="0" w:space="0" w:color="auto"/>
            <w:right w:val="none" w:sz="0" w:space="0" w:color="auto"/>
          </w:divBdr>
          <w:divsChild>
            <w:div w:id="65423268">
              <w:marLeft w:val="0"/>
              <w:marRight w:val="0"/>
              <w:marTop w:val="0"/>
              <w:marBottom w:val="0"/>
              <w:divBdr>
                <w:top w:val="none" w:sz="0" w:space="0" w:color="auto"/>
                <w:left w:val="none" w:sz="0" w:space="0" w:color="auto"/>
                <w:bottom w:val="none" w:sz="0" w:space="0" w:color="auto"/>
                <w:right w:val="none" w:sz="0" w:space="0" w:color="auto"/>
              </w:divBdr>
            </w:div>
          </w:divsChild>
        </w:div>
        <w:div w:id="1801145139">
          <w:marLeft w:val="0"/>
          <w:marRight w:val="0"/>
          <w:marTop w:val="0"/>
          <w:marBottom w:val="0"/>
          <w:divBdr>
            <w:top w:val="none" w:sz="0" w:space="0" w:color="auto"/>
            <w:left w:val="none" w:sz="0" w:space="0" w:color="auto"/>
            <w:bottom w:val="none" w:sz="0" w:space="0" w:color="auto"/>
            <w:right w:val="none" w:sz="0" w:space="0" w:color="auto"/>
          </w:divBdr>
          <w:divsChild>
            <w:div w:id="63189805">
              <w:marLeft w:val="0"/>
              <w:marRight w:val="0"/>
              <w:marTop w:val="0"/>
              <w:marBottom w:val="0"/>
              <w:divBdr>
                <w:top w:val="none" w:sz="0" w:space="0" w:color="auto"/>
                <w:left w:val="none" w:sz="0" w:space="0" w:color="auto"/>
                <w:bottom w:val="none" w:sz="0" w:space="0" w:color="auto"/>
                <w:right w:val="none" w:sz="0" w:space="0" w:color="auto"/>
              </w:divBdr>
            </w:div>
          </w:divsChild>
        </w:div>
        <w:div w:id="1806005588">
          <w:marLeft w:val="0"/>
          <w:marRight w:val="0"/>
          <w:marTop w:val="0"/>
          <w:marBottom w:val="0"/>
          <w:divBdr>
            <w:top w:val="none" w:sz="0" w:space="0" w:color="auto"/>
            <w:left w:val="none" w:sz="0" w:space="0" w:color="auto"/>
            <w:bottom w:val="none" w:sz="0" w:space="0" w:color="auto"/>
            <w:right w:val="none" w:sz="0" w:space="0" w:color="auto"/>
          </w:divBdr>
          <w:divsChild>
            <w:div w:id="460028829">
              <w:marLeft w:val="0"/>
              <w:marRight w:val="0"/>
              <w:marTop w:val="0"/>
              <w:marBottom w:val="0"/>
              <w:divBdr>
                <w:top w:val="none" w:sz="0" w:space="0" w:color="auto"/>
                <w:left w:val="none" w:sz="0" w:space="0" w:color="auto"/>
                <w:bottom w:val="none" w:sz="0" w:space="0" w:color="auto"/>
                <w:right w:val="none" w:sz="0" w:space="0" w:color="auto"/>
              </w:divBdr>
            </w:div>
          </w:divsChild>
        </w:div>
        <w:div w:id="1809201158">
          <w:marLeft w:val="0"/>
          <w:marRight w:val="0"/>
          <w:marTop w:val="0"/>
          <w:marBottom w:val="0"/>
          <w:divBdr>
            <w:top w:val="none" w:sz="0" w:space="0" w:color="auto"/>
            <w:left w:val="none" w:sz="0" w:space="0" w:color="auto"/>
            <w:bottom w:val="none" w:sz="0" w:space="0" w:color="auto"/>
            <w:right w:val="none" w:sz="0" w:space="0" w:color="auto"/>
          </w:divBdr>
          <w:divsChild>
            <w:div w:id="724139543">
              <w:marLeft w:val="0"/>
              <w:marRight w:val="0"/>
              <w:marTop w:val="0"/>
              <w:marBottom w:val="0"/>
              <w:divBdr>
                <w:top w:val="none" w:sz="0" w:space="0" w:color="auto"/>
                <w:left w:val="none" w:sz="0" w:space="0" w:color="auto"/>
                <w:bottom w:val="none" w:sz="0" w:space="0" w:color="auto"/>
                <w:right w:val="none" w:sz="0" w:space="0" w:color="auto"/>
              </w:divBdr>
            </w:div>
          </w:divsChild>
        </w:div>
        <w:div w:id="1814516299">
          <w:marLeft w:val="0"/>
          <w:marRight w:val="0"/>
          <w:marTop w:val="0"/>
          <w:marBottom w:val="0"/>
          <w:divBdr>
            <w:top w:val="none" w:sz="0" w:space="0" w:color="auto"/>
            <w:left w:val="none" w:sz="0" w:space="0" w:color="auto"/>
            <w:bottom w:val="none" w:sz="0" w:space="0" w:color="auto"/>
            <w:right w:val="none" w:sz="0" w:space="0" w:color="auto"/>
          </w:divBdr>
          <w:divsChild>
            <w:div w:id="1773357271">
              <w:marLeft w:val="0"/>
              <w:marRight w:val="0"/>
              <w:marTop w:val="0"/>
              <w:marBottom w:val="0"/>
              <w:divBdr>
                <w:top w:val="none" w:sz="0" w:space="0" w:color="auto"/>
                <w:left w:val="none" w:sz="0" w:space="0" w:color="auto"/>
                <w:bottom w:val="none" w:sz="0" w:space="0" w:color="auto"/>
                <w:right w:val="none" w:sz="0" w:space="0" w:color="auto"/>
              </w:divBdr>
            </w:div>
          </w:divsChild>
        </w:div>
        <w:div w:id="1814516491">
          <w:marLeft w:val="0"/>
          <w:marRight w:val="0"/>
          <w:marTop w:val="0"/>
          <w:marBottom w:val="0"/>
          <w:divBdr>
            <w:top w:val="none" w:sz="0" w:space="0" w:color="auto"/>
            <w:left w:val="none" w:sz="0" w:space="0" w:color="auto"/>
            <w:bottom w:val="none" w:sz="0" w:space="0" w:color="auto"/>
            <w:right w:val="none" w:sz="0" w:space="0" w:color="auto"/>
          </w:divBdr>
          <w:divsChild>
            <w:div w:id="902569842">
              <w:marLeft w:val="0"/>
              <w:marRight w:val="0"/>
              <w:marTop w:val="0"/>
              <w:marBottom w:val="0"/>
              <w:divBdr>
                <w:top w:val="none" w:sz="0" w:space="0" w:color="auto"/>
                <w:left w:val="none" w:sz="0" w:space="0" w:color="auto"/>
                <w:bottom w:val="none" w:sz="0" w:space="0" w:color="auto"/>
                <w:right w:val="none" w:sz="0" w:space="0" w:color="auto"/>
              </w:divBdr>
            </w:div>
            <w:div w:id="1436826373">
              <w:marLeft w:val="0"/>
              <w:marRight w:val="0"/>
              <w:marTop w:val="0"/>
              <w:marBottom w:val="0"/>
              <w:divBdr>
                <w:top w:val="none" w:sz="0" w:space="0" w:color="auto"/>
                <w:left w:val="none" w:sz="0" w:space="0" w:color="auto"/>
                <w:bottom w:val="none" w:sz="0" w:space="0" w:color="auto"/>
                <w:right w:val="none" w:sz="0" w:space="0" w:color="auto"/>
              </w:divBdr>
            </w:div>
            <w:div w:id="1707681039">
              <w:marLeft w:val="0"/>
              <w:marRight w:val="0"/>
              <w:marTop w:val="0"/>
              <w:marBottom w:val="0"/>
              <w:divBdr>
                <w:top w:val="none" w:sz="0" w:space="0" w:color="auto"/>
                <w:left w:val="none" w:sz="0" w:space="0" w:color="auto"/>
                <w:bottom w:val="none" w:sz="0" w:space="0" w:color="auto"/>
                <w:right w:val="none" w:sz="0" w:space="0" w:color="auto"/>
              </w:divBdr>
            </w:div>
          </w:divsChild>
        </w:div>
        <w:div w:id="1818525678">
          <w:marLeft w:val="0"/>
          <w:marRight w:val="0"/>
          <w:marTop w:val="0"/>
          <w:marBottom w:val="0"/>
          <w:divBdr>
            <w:top w:val="none" w:sz="0" w:space="0" w:color="auto"/>
            <w:left w:val="none" w:sz="0" w:space="0" w:color="auto"/>
            <w:bottom w:val="none" w:sz="0" w:space="0" w:color="auto"/>
            <w:right w:val="none" w:sz="0" w:space="0" w:color="auto"/>
          </w:divBdr>
          <w:divsChild>
            <w:div w:id="1933969161">
              <w:marLeft w:val="0"/>
              <w:marRight w:val="0"/>
              <w:marTop w:val="0"/>
              <w:marBottom w:val="0"/>
              <w:divBdr>
                <w:top w:val="none" w:sz="0" w:space="0" w:color="auto"/>
                <w:left w:val="none" w:sz="0" w:space="0" w:color="auto"/>
                <w:bottom w:val="none" w:sz="0" w:space="0" w:color="auto"/>
                <w:right w:val="none" w:sz="0" w:space="0" w:color="auto"/>
              </w:divBdr>
            </w:div>
          </w:divsChild>
        </w:div>
        <w:div w:id="1818572407">
          <w:marLeft w:val="0"/>
          <w:marRight w:val="0"/>
          <w:marTop w:val="0"/>
          <w:marBottom w:val="0"/>
          <w:divBdr>
            <w:top w:val="none" w:sz="0" w:space="0" w:color="auto"/>
            <w:left w:val="none" w:sz="0" w:space="0" w:color="auto"/>
            <w:bottom w:val="none" w:sz="0" w:space="0" w:color="auto"/>
            <w:right w:val="none" w:sz="0" w:space="0" w:color="auto"/>
          </w:divBdr>
          <w:divsChild>
            <w:div w:id="1082336028">
              <w:marLeft w:val="0"/>
              <w:marRight w:val="0"/>
              <w:marTop w:val="0"/>
              <w:marBottom w:val="0"/>
              <w:divBdr>
                <w:top w:val="none" w:sz="0" w:space="0" w:color="auto"/>
                <w:left w:val="none" w:sz="0" w:space="0" w:color="auto"/>
                <w:bottom w:val="none" w:sz="0" w:space="0" w:color="auto"/>
                <w:right w:val="none" w:sz="0" w:space="0" w:color="auto"/>
              </w:divBdr>
            </w:div>
          </w:divsChild>
        </w:div>
        <w:div w:id="1820995278">
          <w:marLeft w:val="0"/>
          <w:marRight w:val="0"/>
          <w:marTop w:val="0"/>
          <w:marBottom w:val="0"/>
          <w:divBdr>
            <w:top w:val="none" w:sz="0" w:space="0" w:color="auto"/>
            <w:left w:val="none" w:sz="0" w:space="0" w:color="auto"/>
            <w:bottom w:val="none" w:sz="0" w:space="0" w:color="auto"/>
            <w:right w:val="none" w:sz="0" w:space="0" w:color="auto"/>
          </w:divBdr>
          <w:divsChild>
            <w:div w:id="169491790">
              <w:marLeft w:val="0"/>
              <w:marRight w:val="0"/>
              <w:marTop w:val="0"/>
              <w:marBottom w:val="0"/>
              <w:divBdr>
                <w:top w:val="none" w:sz="0" w:space="0" w:color="auto"/>
                <w:left w:val="none" w:sz="0" w:space="0" w:color="auto"/>
                <w:bottom w:val="none" w:sz="0" w:space="0" w:color="auto"/>
                <w:right w:val="none" w:sz="0" w:space="0" w:color="auto"/>
              </w:divBdr>
            </w:div>
            <w:div w:id="1365254179">
              <w:marLeft w:val="0"/>
              <w:marRight w:val="0"/>
              <w:marTop w:val="0"/>
              <w:marBottom w:val="0"/>
              <w:divBdr>
                <w:top w:val="none" w:sz="0" w:space="0" w:color="auto"/>
                <w:left w:val="none" w:sz="0" w:space="0" w:color="auto"/>
                <w:bottom w:val="none" w:sz="0" w:space="0" w:color="auto"/>
                <w:right w:val="none" w:sz="0" w:space="0" w:color="auto"/>
              </w:divBdr>
            </w:div>
            <w:div w:id="2069911889">
              <w:marLeft w:val="0"/>
              <w:marRight w:val="0"/>
              <w:marTop w:val="0"/>
              <w:marBottom w:val="0"/>
              <w:divBdr>
                <w:top w:val="none" w:sz="0" w:space="0" w:color="auto"/>
                <w:left w:val="none" w:sz="0" w:space="0" w:color="auto"/>
                <w:bottom w:val="none" w:sz="0" w:space="0" w:color="auto"/>
                <w:right w:val="none" w:sz="0" w:space="0" w:color="auto"/>
              </w:divBdr>
            </w:div>
          </w:divsChild>
        </w:div>
        <w:div w:id="1822503287">
          <w:marLeft w:val="0"/>
          <w:marRight w:val="0"/>
          <w:marTop w:val="0"/>
          <w:marBottom w:val="0"/>
          <w:divBdr>
            <w:top w:val="none" w:sz="0" w:space="0" w:color="auto"/>
            <w:left w:val="none" w:sz="0" w:space="0" w:color="auto"/>
            <w:bottom w:val="none" w:sz="0" w:space="0" w:color="auto"/>
            <w:right w:val="none" w:sz="0" w:space="0" w:color="auto"/>
          </w:divBdr>
          <w:divsChild>
            <w:div w:id="751051297">
              <w:marLeft w:val="0"/>
              <w:marRight w:val="0"/>
              <w:marTop w:val="0"/>
              <w:marBottom w:val="0"/>
              <w:divBdr>
                <w:top w:val="none" w:sz="0" w:space="0" w:color="auto"/>
                <w:left w:val="none" w:sz="0" w:space="0" w:color="auto"/>
                <w:bottom w:val="none" w:sz="0" w:space="0" w:color="auto"/>
                <w:right w:val="none" w:sz="0" w:space="0" w:color="auto"/>
              </w:divBdr>
            </w:div>
            <w:div w:id="1558979983">
              <w:marLeft w:val="0"/>
              <w:marRight w:val="0"/>
              <w:marTop w:val="0"/>
              <w:marBottom w:val="0"/>
              <w:divBdr>
                <w:top w:val="none" w:sz="0" w:space="0" w:color="auto"/>
                <w:left w:val="none" w:sz="0" w:space="0" w:color="auto"/>
                <w:bottom w:val="none" w:sz="0" w:space="0" w:color="auto"/>
                <w:right w:val="none" w:sz="0" w:space="0" w:color="auto"/>
              </w:divBdr>
            </w:div>
          </w:divsChild>
        </w:div>
        <w:div w:id="1822697662">
          <w:marLeft w:val="0"/>
          <w:marRight w:val="0"/>
          <w:marTop w:val="0"/>
          <w:marBottom w:val="0"/>
          <w:divBdr>
            <w:top w:val="none" w:sz="0" w:space="0" w:color="auto"/>
            <w:left w:val="none" w:sz="0" w:space="0" w:color="auto"/>
            <w:bottom w:val="none" w:sz="0" w:space="0" w:color="auto"/>
            <w:right w:val="none" w:sz="0" w:space="0" w:color="auto"/>
          </w:divBdr>
          <w:divsChild>
            <w:div w:id="430393135">
              <w:marLeft w:val="0"/>
              <w:marRight w:val="0"/>
              <w:marTop w:val="0"/>
              <w:marBottom w:val="0"/>
              <w:divBdr>
                <w:top w:val="none" w:sz="0" w:space="0" w:color="auto"/>
                <w:left w:val="none" w:sz="0" w:space="0" w:color="auto"/>
                <w:bottom w:val="none" w:sz="0" w:space="0" w:color="auto"/>
                <w:right w:val="none" w:sz="0" w:space="0" w:color="auto"/>
              </w:divBdr>
            </w:div>
          </w:divsChild>
        </w:div>
        <w:div w:id="1827896211">
          <w:marLeft w:val="0"/>
          <w:marRight w:val="0"/>
          <w:marTop w:val="0"/>
          <w:marBottom w:val="0"/>
          <w:divBdr>
            <w:top w:val="none" w:sz="0" w:space="0" w:color="auto"/>
            <w:left w:val="none" w:sz="0" w:space="0" w:color="auto"/>
            <w:bottom w:val="none" w:sz="0" w:space="0" w:color="auto"/>
            <w:right w:val="none" w:sz="0" w:space="0" w:color="auto"/>
          </w:divBdr>
          <w:divsChild>
            <w:div w:id="2055502560">
              <w:marLeft w:val="0"/>
              <w:marRight w:val="0"/>
              <w:marTop w:val="0"/>
              <w:marBottom w:val="0"/>
              <w:divBdr>
                <w:top w:val="none" w:sz="0" w:space="0" w:color="auto"/>
                <w:left w:val="none" w:sz="0" w:space="0" w:color="auto"/>
                <w:bottom w:val="none" w:sz="0" w:space="0" w:color="auto"/>
                <w:right w:val="none" w:sz="0" w:space="0" w:color="auto"/>
              </w:divBdr>
            </w:div>
            <w:div w:id="2125923838">
              <w:marLeft w:val="0"/>
              <w:marRight w:val="0"/>
              <w:marTop w:val="0"/>
              <w:marBottom w:val="0"/>
              <w:divBdr>
                <w:top w:val="none" w:sz="0" w:space="0" w:color="auto"/>
                <w:left w:val="none" w:sz="0" w:space="0" w:color="auto"/>
                <w:bottom w:val="none" w:sz="0" w:space="0" w:color="auto"/>
                <w:right w:val="none" w:sz="0" w:space="0" w:color="auto"/>
              </w:divBdr>
            </w:div>
          </w:divsChild>
        </w:div>
        <w:div w:id="1837648124">
          <w:marLeft w:val="0"/>
          <w:marRight w:val="0"/>
          <w:marTop w:val="0"/>
          <w:marBottom w:val="0"/>
          <w:divBdr>
            <w:top w:val="none" w:sz="0" w:space="0" w:color="auto"/>
            <w:left w:val="none" w:sz="0" w:space="0" w:color="auto"/>
            <w:bottom w:val="none" w:sz="0" w:space="0" w:color="auto"/>
            <w:right w:val="none" w:sz="0" w:space="0" w:color="auto"/>
          </w:divBdr>
          <w:divsChild>
            <w:div w:id="331184316">
              <w:marLeft w:val="0"/>
              <w:marRight w:val="0"/>
              <w:marTop w:val="0"/>
              <w:marBottom w:val="0"/>
              <w:divBdr>
                <w:top w:val="none" w:sz="0" w:space="0" w:color="auto"/>
                <w:left w:val="none" w:sz="0" w:space="0" w:color="auto"/>
                <w:bottom w:val="none" w:sz="0" w:space="0" w:color="auto"/>
                <w:right w:val="none" w:sz="0" w:space="0" w:color="auto"/>
              </w:divBdr>
            </w:div>
            <w:div w:id="858743237">
              <w:marLeft w:val="0"/>
              <w:marRight w:val="0"/>
              <w:marTop w:val="0"/>
              <w:marBottom w:val="0"/>
              <w:divBdr>
                <w:top w:val="none" w:sz="0" w:space="0" w:color="auto"/>
                <w:left w:val="none" w:sz="0" w:space="0" w:color="auto"/>
                <w:bottom w:val="none" w:sz="0" w:space="0" w:color="auto"/>
                <w:right w:val="none" w:sz="0" w:space="0" w:color="auto"/>
              </w:divBdr>
            </w:div>
            <w:div w:id="1709915386">
              <w:marLeft w:val="0"/>
              <w:marRight w:val="0"/>
              <w:marTop w:val="0"/>
              <w:marBottom w:val="0"/>
              <w:divBdr>
                <w:top w:val="none" w:sz="0" w:space="0" w:color="auto"/>
                <w:left w:val="none" w:sz="0" w:space="0" w:color="auto"/>
                <w:bottom w:val="none" w:sz="0" w:space="0" w:color="auto"/>
                <w:right w:val="none" w:sz="0" w:space="0" w:color="auto"/>
              </w:divBdr>
            </w:div>
            <w:div w:id="1805350117">
              <w:marLeft w:val="0"/>
              <w:marRight w:val="0"/>
              <w:marTop w:val="0"/>
              <w:marBottom w:val="0"/>
              <w:divBdr>
                <w:top w:val="none" w:sz="0" w:space="0" w:color="auto"/>
                <w:left w:val="none" w:sz="0" w:space="0" w:color="auto"/>
                <w:bottom w:val="none" w:sz="0" w:space="0" w:color="auto"/>
                <w:right w:val="none" w:sz="0" w:space="0" w:color="auto"/>
              </w:divBdr>
            </w:div>
          </w:divsChild>
        </w:div>
        <w:div w:id="1839728192">
          <w:marLeft w:val="0"/>
          <w:marRight w:val="0"/>
          <w:marTop w:val="0"/>
          <w:marBottom w:val="0"/>
          <w:divBdr>
            <w:top w:val="none" w:sz="0" w:space="0" w:color="auto"/>
            <w:left w:val="none" w:sz="0" w:space="0" w:color="auto"/>
            <w:bottom w:val="none" w:sz="0" w:space="0" w:color="auto"/>
            <w:right w:val="none" w:sz="0" w:space="0" w:color="auto"/>
          </w:divBdr>
          <w:divsChild>
            <w:div w:id="503595190">
              <w:marLeft w:val="0"/>
              <w:marRight w:val="0"/>
              <w:marTop w:val="0"/>
              <w:marBottom w:val="0"/>
              <w:divBdr>
                <w:top w:val="none" w:sz="0" w:space="0" w:color="auto"/>
                <w:left w:val="none" w:sz="0" w:space="0" w:color="auto"/>
                <w:bottom w:val="none" w:sz="0" w:space="0" w:color="auto"/>
                <w:right w:val="none" w:sz="0" w:space="0" w:color="auto"/>
              </w:divBdr>
            </w:div>
            <w:div w:id="808206895">
              <w:marLeft w:val="0"/>
              <w:marRight w:val="0"/>
              <w:marTop w:val="0"/>
              <w:marBottom w:val="0"/>
              <w:divBdr>
                <w:top w:val="none" w:sz="0" w:space="0" w:color="auto"/>
                <w:left w:val="none" w:sz="0" w:space="0" w:color="auto"/>
                <w:bottom w:val="none" w:sz="0" w:space="0" w:color="auto"/>
                <w:right w:val="none" w:sz="0" w:space="0" w:color="auto"/>
              </w:divBdr>
            </w:div>
            <w:div w:id="834033102">
              <w:marLeft w:val="0"/>
              <w:marRight w:val="0"/>
              <w:marTop w:val="0"/>
              <w:marBottom w:val="0"/>
              <w:divBdr>
                <w:top w:val="none" w:sz="0" w:space="0" w:color="auto"/>
                <w:left w:val="none" w:sz="0" w:space="0" w:color="auto"/>
                <w:bottom w:val="none" w:sz="0" w:space="0" w:color="auto"/>
                <w:right w:val="none" w:sz="0" w:space="0" w:color="auto"/>
              </w:divBdr>
            </w:div>
          </w:divsChild>
        </w:div>
        <w:div w:id="1841656433">
          <w:marLeft w:val="0"/>
          <w:marRight w:val="0"/>
          <w:marTop w:val="0"/>
          <w:marBottom w:val="0"/>
          <w:divBdr>
            <w:top w:val="none" w:sz="0" w:space="0" w:color="auto"/>
            <w:left w:val="none" w:sz="0" w:space="0" w:color="auto"/>
            <w:bottom w:val="none" w:sz="0" w:space="0" w:color="auto"/>
            <w:right w:val="none" w:sz="0" w:space="0" w:color="auto"/>
          </w:divBdr>
          <w:divsChild>
            <w:div w:id="707027290">
              <w:marLeft w:val="0"/>
              <w:marRight w:val="0"/>
              <w:marTop w:val="0"/>
              <w:marBottom w:val="0"/>
              <w:divBdr>
                <w:top w:val="none" w:sz="0" w:space="0" w:color="auto"/>
                <w:left w:val="none" w:sz="0" w:space="0" w:color="auto"/>
                <w:bottom w:val="none" w:sz="0" w:space="0" w:color="auto"/>
                <w:right w:val="none" w:sz="0" w:space="0" w:color="auto"/>
              </w:divBdr>
            </w:div>
          </w:divsChild>
        </w:div>
        <w:div w:id="1844390971">
          <w:marLeft w:val="0"/>
          <w:marRight w:val="0"/>
          <w:marTop w:val="0"/>
          <w:marBottom w:val="0"/>
          <w:divBdr>
            <w:top w:val="none" w:sz="0" w:space="0" w:color="auto"/>
            <w:left w:val="none" w:sz="0" w:space="0" w:color="auto"/>
            <w:bottom w:val="none" w:sz="0" w:space="0" w:color="auto"/>
            <w:right w:val="none" w:sz="0" w:space="0" w:color="auto"/>
          </w:divBdr>
          <w:divsChild>
            <w:div w:id="60562707">
              <w:marLeft w:val="0"/>
              <w:marRight w:val="0"/>
              <w:marTop w:val="0"/>
              <w:marBottom w:val="0"/>
              <w:divBdr>
                <w:top w:val="none" w:sz="0" w:space="0" w:color="auto"/>
                <w:left w:val="none" w:sz="0" w:space="0" w:color="auto"/>
                <w:bottom w:val="none" w:sz="0" w:space="0" w:color="auto"/>
                <w:right w:val="none" w:sz="0" w:space="0" w:color="auto"/>
              </w:divBdr>
            </w:div>
            <w:div w:id="205290134">
              <w:marLeft w:val="0"/>
              <w:marRight w:val="0"/>
              <w:marTop w:val="0"/>
              <w:marBottom w:val="0"/>
              <w:divBdr>
                <w:top w:val="none" w:sz="0" w:space="0" w:color="auto"/>
                <w:left w:val="none" w:sz="0" w:space="0" w:color="auto"/>
                <w:bottom w:val="none" w:sz="0" w:space="0" w:color="auto"/>
                <w:right w:val="none" w:sz="0" w:space="0" w:color="auto"/>
              </w:divBdr>
            </w:div>
            <w:div w:id="338701979">
              <w:marLeft w:val="0"/>
              <w:marRight w:val="0"/>
              <w:marTop w:val="0"/>
              <w:marBottom w:val="0"/>
              <w:divBdr>
                <w:top w:val="none" w:sz="0" w:space="0" w:color="auto"/>
                <w:left w:val="none" w:sz="0" w:space="0" w:color="auto"/>
                <w:bottom w:val="none" w:sz="0" w:space="0" w:color="auto"/>
                <w:right w:val="none" w:sz="0" w:space="0" w:color="auto"/>
              </w:divBdr>
            </w:div>
            <w:div w:id="1966692121">
              <w:marLeft w:val="0"/>
              <w:marRight w:val="0"/>
              <w:marTop w:val="0"/>
              <w:marBottom w:val="0"/>
              <w:divBdr>
                <w:top w:val="none" w:sz="0" w:space="0" w:color="auto"/>
                <w:left w:val="none" w:sz="0" w:space="0" w:color="auto"/>
                <w:bottom w:val="none" w:sz="0" w:space="0" w:color="auto"/>
                <w:right w:val="none" w:sz="0" w:space="0" w:color="auto"/>
              </w:divBdr>
            </w:div>
            <w:div w:id="2017338967">
              <w:marLeft w:val="0"/>
              <w:marRight w:val="0"/>
              <w:marTop w:val="0"/>
              <w:marBottom w:val="0"/>
              <w:divBdr>
                <w:top w:val="none" w:sz="0" w:space="0" w:color="auto"/>
                <w:left w:val="none" w:sz="0" w:space="0" w:color="auto"/>
                <w:bottom w:val="none" w:sz="0" w:space="0" w:color="auto"/>
                <w:right w:val="none" w:sz="0" w:space="0" w:color="auto"/>
              </w:divBdr>
            </w:div>
            <w:div w:id="2074312223">
              <w:marLeft w:val="0"/>
              <w:marRight w:val="0"/>
              <w:marTop w:val="0"/>
              <w:marBottom w:val="0"/>
              <w:divBdr>
                <w:top w:val="none" w:sz="0" w:space="0" w:color="auto"/>
                <w:left w:val="none" w:sz="0" w:space="0" w:color="auto"/>
                <w:bottom w:val="none" w:sz="0" w:space="0" w:color="auto"/>
                <w:right w:val="none" w:sz="0" w:space="0" w:color="auto"/>
              </w:divBdr>
            </w:div>
          </w:divsChild>
        </w:div>
        <w:div w:id="1844465842">
          <w:marLeft w:val="0"/>
          <w:marRight w:val="0"/>
          <w:marTop w:val="0"/>
          <w:marBottom w:val="0"/>
          <w:divBdr>
            <w:top w:val="none" w:sz="0" w:space="0" w:color="auto"/>
            <w:left w:val="none" w:sz="0" w:space="0" w:color="auto"/>
            <w:bottom w:val="none" w:sz="0" w:space="0" w:color="auto"/>
            <w:right w:val="none" w:sz="0" w:space="0" w:color="auto"/>
          </w:divBdr>
          <w:divsChild>
            <w:div w:id="1977754756">
              <w:marLeft w:val="0"/>
              <w:marRight w:val="0"/>
              <w:marTop w:val="0"/>
              <w:marBottom w:val="0"/>
              <w:divBdr>
                <w:top w:val="none" w:sz="0" w:space="0" w:color="auto"/>
                <w:left w:val="none" w:sz="0" w:space="0" w:color="auto"/>
                <w:bottom w:val="none" w:sz="0" w:space="0" w:color="auto"/>
                <w:right w:val="none" w:sz="0" w:space="0" w:color="auto"/>
              </w:divBdr>
            </w:div>
          </w:divsChild>
        </w:div>
        <w:div w:id="1848905114">
          <w:marLeft w:val="0"/>
          <w:marRight w:val="0"/>
          <w:marTop w:val="0"/>
          <w:marBottom w:val="0"/>
          <w:divBdr>
            <w:top w:val="none" w:sz="0" w:space="0" w:color="auto"/>
            <w:left w:val="none" w:sz="0" w:space="0" w:color="auto"/>
            <w:bottom w:val="none" w:sz="0" w:space="0" w:color="auto"/>
            <w:right w:val="none" w:sz="0" w:space="0" w:color="auto"/>
          </w:divBdr>
          <w:divsChild>
            <w:div w:id="92362656">
              <w:marLeft w:val="0"/>
              <w:marRight w:val="0"/>
              <w:marTop w:val="0"/>
              <w:marBottom w:val="0"/>
              <w:divBdr>
                <w:top w:val="none" w:sz="0" w:space="0" w:color="auto"/>
                <w:left w:val="none" w:sz="0" w:space="0" w:color="auto"/>
                <w:bottom w:val="none" w:sz="0" w:space="0" w:color="auto"/>
                <w:right w:val="none" w:sz="0" w:space="0" w:color="auto"/>
              </w:divBdr>
            </w:div>
            <w:div w:id="912206634">
              <w:marLeft w:val="0"/>
              <w:marRight w:val="0"/>
              <w:marTop w:val="0"/>
              <w:marBottom w:val="0"/>
              <w:divBdr>
                <w:top w:val="none" w:sz="0" w:space="0" w:color="auto"/>
                <w:left w:val="none" w:sz="0" w:space="0" w:color="auto"/>
                <w:bottom w:val="none" w:sz="0" w:space="0" w:color="auto"/>
                <w:right w:val="none" w:sz="0" w:space="0" w:color="auto"/>
              </w:divBdr>
            </w:div>
            <w:div w:id="1407721344">
              <w:marLeft w:val="0"/>
              <w:marRight w:val="0"/>
              <w:marTop w:val="0"/>
              <w:marBottom w:val="0"/>
              <w:divBdr>
                <w:top w:val="none" w:sz="0" w:space="0" w:color="auto"/>
                <w:left w:val="none" w:sz="0" w:space="0" w:color="auto"/>
                <w:bottom w:val="none" w:sz="0" w:space="0" w:color="auto"/>
                <w:right w:val="none" w:sz="0" w:space="0" w:color="auto"/>
              </w:divBdr>
            </w:div>
          </w:divsChild>
        </w:div>
        <w:div w:id="1851405253">
          <w:marLeft w:val="0"/>
          <w:marRight w:val="0"/>
          <w:marTop w:val="0"/>
          <w:marBottom w:val="0"/>
          <w:divBdr>
            <w:top w:val="none" w:sz="0" w:space="0" w:color="auto"/>
            <w:left w:val="none" w:sz="0" w:space="0" w:color="auto"/>
            <w:bottom w:val="none" w:sz="0" w:space="0" w:color="auto"/>
            <w:right w:val="none" w:sz="0" w:space="0" w:color="auto"/>
          </w:divBdr>
          <w:divsChild>
            <w:div w:id="1634410381">
              <w:marLeft w:val="0"/>
              <w:marRight w:val="0"/>
              <w:marTop w:val="0"/>
              <w:marBottom w:val="0"/>
              <w:divBdr>
                <w:top w:val="none" w:sz="0" w:space="0" w:color="auto"/>
                <w:left w:val="none" w:sz="0" w:space="0" w:color="auto"/>
                <w:bottom w:val="none" w:sz="0" w:space="0" w:color="auto"/>
                <w:right w:val="none" w:sz="0" w:space="0" w:color="auto"/>
              </w:divBdr>
            </w:div>
          </w:divsChild>
        </w:div>
        <w:div w:id="1855143045">
          <w:marLeft w:val="0"/>
          <w:marRight w:val="0"/>
          <w:marTop w:val="0"/>
          <w:marBottom w:val="0"/>
          <w:divBdr>
            <w:top w:val="none" w:sz="0" w:space="0" w:color="auto"/>
            <w:left w:val="none" w:sz="0" w:space="0" w:color="auto"/>
            <w:bottom w:val="none" w:sz="0" w:space="0" w:color="auto"/>
            <w:right w:val="none" w:sz="0" w:space="0" w:color="auto"/>
          </w:divBdr>
          <w:divsChild>
            <w:div w:id="205027768">
              <w:marLeft w:val="0"/>
              <w:marRight w:val="0"/>
              <w:marTop w:val="0"/>
              <w:marBottom w:val="0"/>
              <w:divBdr>
                <w:top w:val="none" w:sz="0" w:space="0" w:color="auto"/>
                <w:left w:val="none" w:sz="0" w:space="0" w:color="auto"/>
                <w:bottom w:val="none" w:sz="0" w:space="0" w:color="auto"/>
                <w:right w:val="none" w:sz="0" w:space="0" w:color="auto"/>
              </w:divBdr>
            </w:div>
            <w:div w:id="580137824">
              <w:marLeft w:val="0"/>
              <w:marRight w:val="0"/>
              <w:marTop w:val="0"/>
              <w:marBottom w:val="0"/>
              <w:divBdr>
                <w:top w:val="none" w:sz="0" w:space="0" w:color="auto"/>
                <w:left w:val="none" w:sz="0" w:space="0" w:color="auto"/>
                <w:bottom w:val="none" w:sz="0" w:space="0" w:color="auto"/>
                <w:right w:val="none" w:sz="0" w:space="0" w:color="auto"/>
              </w:divBdr>
            </w:div>
            <w:div w:id="868758941">
              <w:marLeft w:val="0"/>
              <w:marRight w:val="0"/>
              <w:marTop w:val="0"/>
              <w:marBottom w:val="0"/>
              <w:divBdr>
                <w:top w:val="none" w:sz="0" w:space="0" w:color="auto"/>
                <w:left w:val="none" w:sz="0" w:space="0" w:color="auto"/>
                <w:bottom w:val="none" w:sz="0" w:space="0" w:color="auto"/>
                <w:right w:val="none" w:sz="0" w:space="0" w:color="auto"/>
              </w:divBdr>
            </w:div>
          </w:divsChild>
        </w:div>
        <w:div w:id="1858108604">
          <w:marLeft w:val="0"/>
          <w:marRight w:val="0"/>
          <w:marTop w:val="0"/>
          <w:marBottom w:val="0"/>
          <w:divBdr>
            <w:top w:val="none" w:sz="0" w:space="0" w:color="auto"/>
            <w:left w:val="none" w:sz="0" w:space="0" w:color="auto"/>
            <w:bottom w:val="none" w:sz="0" w:space="0" w:color="auto"/>
            <w:right w:val="none" w:sz="0" w:space="0" w:color="auto"/>
          </w:divBdr>
          <w:divsChild>
            <w:div w:id="1327827875">
              <w:marLeft w:val="0"/>
              <w:marRight w:val="0"/>
              <w:marTop w:val="0"/>
              <w:marBottom w:val="0"/>
              <w:divBdr>
                <w:top w:val="none" w:sz="0" w:space="0" w:color="auto"/>
                <w:left w:val="none" w:sz="0" w:space="0" w:color="auto"/>
                <w:bottom w:val="none" w:sz="0" w:space="0" w:color="auto"/>
                <w:right w:val="none" w:sz="0" w:space="0" w:color="auto"/>
              </w:divBdr>
            </w:div>
          </w:divsChild>
        </w:div>
        <w:div w:id="1858737879">
          <w:marLeft w:val="0"/>
          <w:marRight w:val="0"/>
          <w:marTop w:val="0"/>
          <w:marBottom w:val="0"/>
          <w:divBdr>
            <w:top w:val="none" w:sz="0" w:space="0" w:color="auto"/>
            <w:left w:val="none" w:sz="0" w:space="0" w:color="auto"/>
            <w:bottom w:val="none" w:sz="0" w:space="0" w:color="auto"/>
            <w:right w:val="none" w:sz="0" w:space="0" w:color="auto"/>
          </w:divBdr>
          <w:divsChild>
            <w:div w:id="1758095420">
              <w:marLeft w:val="0"/>
              <w:marRight w:val="0"/>
              <w:marTop w:val="0"/>
              <w:marBottom w:val="0"/>
              <w:divBdr>
                <w:top w:val="none" w:sz="0" w:space="0" w:color="auto"/>
                <w:left w:val="none" w:sz="0" w:space="0" w:color="auto"/>
                <w:bottom w:val="none" w:sz="0" w:space="0" w:color="auto"/>
                <w:right w:val="none" w:sz="0" w:space="0" w:color="auto"/>
              </w:divBdr>
            </w:div>
          </w:divsChild>
        </w:div>
        <w:div w:id="1858764684">
          <w:marLeft w:val="0"/>
          <w:marRight w:val="0"/>
          <w:marTop w:val="0"/>
          <w:marBottom w:val="0"/>
          <w:divBdr>
            <w:top w:val="none" w:sz="0" w:space="0" w:color="auto"/>
            <w:left w:val="none" w:sz="0" w:space="0" w:color="auto"/>
            <w:bottom w:val="none" w:sz="0" w:space="0" w:color="auto"/>
            <w:right w:val="none" w:sz="0" w:space="0" w:color="auto"/>
          </w:divBdr>
          <w:divsChild>
            <w:div w:id="1181165416">
              <w:marLeft w:val="0"/>
              <w:marRight w:val="0"/>
              <w:marTop w:val="0"/>
              <w:marBottom w:val="0"/>
              <w:divBdr>
                <w:top w:val="none" w:sz="0" w:space="0" w:color="auto"/>
                <w:left w:val="none" w:sz="0" w:space="0" w:color="auto"/>
                <w:bottom w:val="none" w:sz="0" w:space="0" w:color="auto"/>
                <w:right w:val="none" w:sz="0" w:space="0" w:color="auto"/>
              </w:divBdr>
            </w:div>
            <w:div w:id="1551917462">
              <w:marLeft w:val="0"/>
              <w:marRight w:val="0"/>
              <w:marTop w:val="0"/>
              <w:marBottom w:val="0"/>
              <w:divBdr>
                <w:top w:val="none" w:sz="0" w:space="0" w:color="auto"/>
                <w:left w:val="none" w:sz="0" w:space="0" w:color="auto"/>
                <w:bottom w:val="none" w:sz="0" w:space="0" w:color="auto"/>
                <w:right w:val="none" w:sz="0" w:space="0" w:color="auto"/>
              </w:divBdr>
            </w:div>
          </w:divsChild>
        </w:div>
        <w:div w:id="1863857854">
          <w:marLeft w:val="0"/>
          <w:marRight w:val="0"/>
          <w:marTop w:val="0"/>
          <w:marBottom w:val="0"/>
          <w:divBdr>
            <w:top w:val="none" w:sz="0" w:space="0" w:color="auto"/>
            <w:left w:val="none" w:sz="0" w:space="0" w:color="auto"/>
            <w:bottom w:val="none" w:sz="0" w:space="0" w:color="auto"/>
            <w:right w:val="none" w:sz="0" w:space="0" w:color="auto"/>
          </w:divBdr>
          <w:divsChild>
            <w:div w:id="555430812">
              <w:marLeft w:val="0"/>
              <w:marRight w:val="0"/>
              <w:marTop w:val="0"/>
              <w:marBottom w:val="0"/>
              <w:divBdr>
                <w:top w:val="none" w:sz="0" w:space="0" w:color="auto"/>
                <w:left w:val="none" w:sz="0" w:space="0" w:color="auto"/>
                <w:bottom w:val="none" w:sz="0" w:space="0" w:color="auto"/>
                <w:right w:val="none" w:sz="0" w:space="0" w:color="auto"/>
              </w:divBdr>
            </w:div>
            <w:div w:id="1570578410">
              <w:marLeft w:val="0"/>
              <w:marRight w:val="0"/>
              <w:marTop w:val="0"/>
              <w:marBottom w:val="0"/>
              <w:divBdr>
                <w:top w:val="none" w:sz="0" w:space="0" w:color="auto"/>
                <w:left w:val="none" w:sz="0" w:space="0" w:color="auto"/>
                <w:bottom w:val="none" w:sz="0" w:space="0" w:color="auto"/>
                <w:right w:val="none" w:sz="0" w:space="0" w:color="auto"/>
              </w:divBdr>
            </w:div>
            <w:div w:id="1847819732">
              <w:marLeft w:val="0"/>
              <w:marRight w:val="0"/>
              <w:marTop w:val="0"/>
              <w:marBottom w:val="0"/>
              <w:divBdr>
                <w:top w:val="none" w:sz="0" w:space="0" w:color="auto"/>
                <w:left w:val="none" w:sz="0" w:space="0" w:color="auto"/>
                <w:bottom w:val="none" w:sz="0" w:space="0" w:color="auto"/>
                <w:right w:val="none" w:sz="0" w:space="0" w:color="auto"/>
              </w:divBdr>
            </w:div>
          </w:divsChild>
        </w:div>
        <w:div w:id="1866482092">
          <w:marLeft w:val="0"/>
          <w:marRight w:val="0"/>
          <w:marTop w:val="0"/>
          <w:marBottom w:val="0"/>
          <w:divBdr>
            <w:top w:val="none" w:sz="0" w:space="0" w:color="auto"/>
            <w:left w:val="none" w:sz="0" w:space="0" w:color="auto"/>
            <w:bottom w:val="none" w:sz="0" w:space="0" w:color="auto"/>
            <w:right w:val="none" w:sz="0" w:space="0" w:color="auto"/>
          </w:divBdr>
          <w:divsChild>
            <w:div w:id="1925214826">
              <w:marLeft w:val="0"/>
              <w:marRight w:val="0"/>
              <w:marTop w:val="0"/>
              <w:marBottom w:val="0"/>
              <w:divBdr>
                <w:top w:val="none" w:sz="0" w:space="0" w:color="auto"/>
                <w:left w:val="none" w:sz="0" w:space="0" w:color="auto"/>
                <w:bottom w:val="none" w:sz="0" w:space="0" w:color="auto"/>
                <w:right w:val="none" w:sz="0" w:space="0" w:color="auto"/>
              </w:divBdr>
            </w:div>
          </w:divsChild>
        </w:div>
        <w:div w:id="1866482630">
          <w:marLeft w:val="0"/>
          <w:marRight w:val="0"/>
          <w:marTop w:val="0"/>
          <w:marBottom w:val="0"/>
          <w:divBdr>
            <w:top w:val="none" w:sz="0" w:space="0" w:color="auto"/>
            <w:left w:val="none" w:sz="0" w:space="0" w:color="auto"/>
            <w:bottom w:val="none" w:sz="0" w:space="0" w:color="auto"/>
            <w:right w:val="none" w:sz="0" w:space="0" w:color="auto"/>
          </w:divBdr>
          <w:divsChild>
            <w:div w:id="256982360">
              <w:marLeft w:val="0"/>
              <w:marRight w:val="0"/>
              <w:marTop w:val="0"/>
              <w:marBottom w:val="0"/>
              <w:divBdr>
                <w:top w:val="none" w:sz="0" w:space="0" w:color="auto"/>
                <w:left w:val="none" w:sz="0" w:space="0" w:color="auto"/>
                <w:bottom w:val="none" w:sz="0" w:space="0" w:color="auto"/>
                <w:right w:val="none" w:sz="0" w:space="0" w:color="auto"/>
              </w:divBdr>
            </w:div>
          </w:divsChild>
        </w:div>
        <w:div w:id="1870141585">
          <w:marLeft w:val="0"/>
          <w:marRight w:val="0"/>
          <w:marTop w:val="0"/>
          <w:marBottom w:val="0"/>
          <w:divBdr>
            <w:top w:val="none" w:sz="0" w:space="0" w:color="auto"/>
            <w:left w:val="none" w:sz="0" w:space="0" w:color="auto"/>
            <w:bottom w:val="none" w:sz="0" w:space="0" w:color="auto"/>
            <w:right w:val="none" w:sz="0" w:space="0" w:color="auto"/>
          </w:divBdr>
          <w:divsChild>
            <w:div w:id="1754935506">
              <w:marLeft w:val="0"/>
              <w:marRight w:val="0"/>
              <w:marTop w:val="0"/>
              <w:marBottom w:val="0"/>
              <w:divBdr>
                <w:top w:val="none" w:sz="0" w:space="0" w:color="auto"/>
                <w:left w:val="none" w:sz="0" w:space="0" w:color="auto"/>
                <w:bottom w:val="none" w:sz="0" w:space="0" w:color="auto"/>
                <w:right w:val="none" w:sz="0" w:space="0" w:color="auto"/>
              </w:divBdr>
            </w:div>
          </w:divsChild>
        </w:div>
        <w:div w:id="1871871806">
          <w:marLeft w:val="0"/>
          <w:marRight w:val="0"/>
          <w:marTop w:val="0"/>
          <w:marBottom w:val="0"/>
          <w:divBdr>
            <w:top w:val="none" w:sz="0" w:space="0" w:color="auto"/>
            <w:left w:val="none" w:sz="0" w:space="0" w:color="auto"/>
            <w:bottom w:val="none" w:sz="0" w:space="0" w:color="auto"/>
            <w:right w:val="none" w:sz="0" w:space="0" w:color="auto"/>
          </w:divBdr>
          <w:divsChild>
            <w:div w:id="1574047458">
              <w:marLeft w:val="0"/>
              <w:marRight w:val="0"/>
              <w:marTop w:val="0"/>
              <w:marBottom w:val="0"/>
              <w:divBdr>
                <w:top w:val="none" w:sz="0" w:space="0" w:color="auto"/>
                <w:left w:val="none" w:sz="0" w:space="0" w:color="auto"/>
                <w:bottom w:val="none" w:sz="0" w:space="0" w:color="auto"/>
                <w:right w:val="none" w:sz="0" w:space="0" w:color="auto"/>
              </w:divBdr>
            </w:div>
          </w:divsChild>
        </w:div>
        <w:div w:id="1875577378">
          <w:marLeft w:val="0"/>
          <w:marRight w:val="0"/>
          <w:marTop w:val="0"/>
          <w:marBottom w:val="0"/>
          <w:divBdr>
            <w:top w:val="none" w:sz="0" w:space="0" w:color="auto"/>
            <w:left w:val="none" w:sz="0" w:space="0" w:color="auto"/>
            <w:bottom w:val="none" w:sz="0" w:space="0" w:color="auto"/>
            <w:right w:val="none" w:sz="0" w:space="0" w:color="auto"/>
          </w:divBdr>
          <w:divsChild>
            <w:div w:id="124393927">
              <w:marLeft w:val="0"/>
              <w:marRight w:val="0"/>
              <w:marTop w:val="0"/>
              <w:marBottom w:val="0"/>
              <w:divBdr>
                <w:top w:val="none" w:sz="0" w:space="0" w:color="auto"/>
                <w:left w:val="none" w:sz="0" w:space="0" w:color="auto"/>
                <w:bottom w:val="none" w:sz="0" w:space="0" w:color="auto"/>
                <w:right w:val="none" w:sz="0" w:space="0" w:color="auto"/>
              </w:divBdr>
            </w:div>
          </w:divsChild>
        </w:div>
        <w:div w:id="1876119167">
          <w:marLeft w:val="0"/>
          <w:marRight w:val="0"/>
          <w:marTop w:val="0"/>
          <w:marBottom w:val="0"/>
          <w:divBdr>
            <w:top w:val="none" w:sz="0" w:space="0" w:color="auto"/>
            <w:left w:val="none" w:sz="0" w:space="0" w:color="auto"/>
            <w:bottom w:val="none" w:sz="0" w:space="0" w:color="auto"/>
            <w:right w:val="none" w:sz="0" w:space="0" w:color="auto"/>
          </w:divBdr>
          <w:divsChild>
            <w:div w:id="49887098">
              <w:marLeft w:val="0"/>
              <w:marRight w:val="0"/>
              <w:marTop w:val="0"/>
              <w:marBottom w:val="0"/>
              <w:divBdr>
                <w:top w:val="none" w:sz="0" w:space="0" w:color="auto"/>
                <w:left w:val="none" w:sz="0" w:space="0" w:color="auto"/>
                <w:bottom w:val="none" w:sz="0" w:space="0" w:color="auto"/>
                <w:right w:val="none" w:sz="0" w:space="0" w:color="auto"/>
              </w:divBdr>
            </w:div>
            <w:div w:id="112023908">
              <w:marLeft w:val="0"/>
              <w:marRight w:val="0"/>
              <w:marTop w:val="0"/>
              <w:marBottom w:val="0"/>
              <w:divBdr>
                <w:top w:val="none" w:sz="0" w:space="0" w:color="auto"/>
                <w:left w:val="none" w:sz="0" w:space="0" w:color="auto"/>
                <w:bottom w:val="none" w:sz="0" w:space="0" w:color="auto"/>
                <w:right w:val="none" w:sz="0" w:space="0" w:color="auto"/>
              </w:divBdr>
            </w:div>
            <w:div w:id="359205912">
              <w:marLeft w:val="0"/>
              <w:marRight w:val="0"/>
              <w:marTop w:val="0"/>
              <w:marBottom w:val="0"/>
              <w:divBdr>
                <w:top w:val="none" w:sz="0" w:space="0" w:color="auto"/>
                <w:left w:val="none" w:sz="0" w:space="0" w:color="auto"/>
                <w:bottom w:val="none" w:sz="0" w:space="0" w:color="auto"/>
                <w:right w:val="none" w:sz="0" w:space="0" w:color="auto"/>
              </w:divBdr>
            </w:div>
            <w:div w:id="411511676">
              <w:marLeft w:val="0"/>
              <w:marRight w:val="0"/>
              <w:marTop w:val="0"/>
              <w:marBottom w:val="0"/>
              <w:divBdr>
                <w:top w:val="none" w:sz="0" w:space="0" w:color="auto"/>
                <w:left w:val="none" w:sz="0" w:space="0" w:color="auto"/>
                <w:bottom w:val="none" w:sz="0" w:space="0" w:color="auto"/>
                <w:right w:val="none" w:sz="0" w:space="0" w:color="auto"/>
              </w:divBdr>
            </w:div>
            <w:div w:id="643893126">
              <w:marLeft w:val="0"/>
              <w:marRight w:val="0"/>
              <w:marTop w:val="0"/>
              <w:marBottom w:val="0"/>
              <w:divBdr>
                <w:top w:val="none" w:sz="0" w:space="0" w:color="auto"/>
                <w:left w:val="none" w:sz="0" w:space="0" w:color="auto"/>
                <w:bottom w:val="none" w:sz="0" w:space="0" w:color="auto"/>
                <w:right w:val="none" w:sz="0" w:space="0" w:color="auto"/>
              </w:divBdr>
            </w:div>
            <w:div w:id="912280164">
              <w:marLeft w:val="0"/>
              <w:marRight w:val="0"/>
              <w:marTop w:val="0"/>
              <w:marBottom w:val="0"/>
              <w:divBdr>
                <w:top w:val="none" w:sz="0" w:space="0" w:color="auto"/>
                <w:left w:val="none" w:sz="0" w:space="0" w:color="auto"/>
                <w:bottom w:val="none" w:sz="0" w:space="0" w:color="auto"/>
                <w:right w:val="none" w:sz="0" w:space="0" w:color="auto"/>
              </w:divBdr>
            </w:div>
            <w:div w:id="1231502753">
              <w:marLeft w:val="0"/>
              <w:marRight w:val="0"/>
              <w:marTop w:val="0"/>
              <w:marBottom w:val="0"/>
              <w:divBdr>
                <w:top w:val="none" w:sz="0" w:space="0" w:color="auto"/>
                <w:left w:val="none" w:sz="0" w:space="0" w:color="auto"/>
                <w:bottom w:val="none" w:sz="0" w:space="0" w:color="auto"/>
                <w:right w:val="none" w:sz="0" w:space="0" w:color="auto"/>
              </w:divBdr>
            </w:div>
            <w:div w:id="1769891393">
              <w:marLeft w:val="0"/>
              <w:marRight w:val="0"/>
              <w:marTop w:val="0"/>
              <w:marBottom w:val="0"/>
              <w:divBdr>
                <w:top w:val="none" w:sz="0" w:space="0" w:color="auto"/>
                <w:left w:val="none" w:sz="0" w:space="0" w:color="auto"/>
                <w:bottom w:val="none" w:sz="0" w:space="0" w:color="auto"/>
                <w:right w:val="none" w:sz="0" w:space="0" w:color="auto"/>
              </w:divBdr>
            </w:div>
            <w:div w:id="1915626685">
              <w:marLeft w:val="0"/>
              <w:marRight w:val="0"/>
              <w:marTop w:val="0"/>
              <w:marBottom w:val="0"/>
              <w:divBdr>
                <w:top w:val="none" w:sz="0" w:space="0" w:color="auto"/>
                <w:left w:val="none" w:sz="0" w:space="0" w:color="auto"/>
                <w:bottom w:val="none" w:sz="0" w:space="0" w:color="auto"/>
                <w:right w:val="none" w:sz="0" w:space="0" w:color="auto"/>
              </w:divBdr>
            </w:div>
            <w:div w:id="2102289329">
              <w:marLeft w:val="0"/>
              <w:marRight w:val="0"/>
              <w:marTop w:val="0"/>
              <w:marBottom w:val="0"/>
              <w:divBdr>
                <w:top w:val="none" w:sz="0" w:space="0" w:color="auto"/>
                <w:left w:val="none" w:sz="0" w:space="0" w:color="auto"/>
                <w:bottom w:val="none" w:sz="0" w:space="0" w:color="auto"/>
                <w:right w:val="none" w:sz="0" w:space="0" w:color="auto"/>
              </w:divBdr>
            </w:div>
            <w:div w:id="2125808817">
              <w:marLeft w:val="0"/>
              <w:marRight w:val="0"/>
              <w:marTop w:val="0"/>
              <w:marBottom w:val="0"/>
              <w:divBdr>
                <w:top w:val="none" w:sz="0" w:space="0" w:color="auto"/>
                <w:left w:val="none" w:sz="0" w:space="0" w:color="auto"/>
                <w:bottom w:val="none" w:sz="0" w:space="0" w:color="auto"/>
                <w:right w:val="none" w:sz="0" w:space="0" w:color="auto"/>
              </w:divBdr>
            </w:div>
          </w:divsChild>
        </w:div>
        <w:div w:id="1882009910">
          <w:marLeft w:val="0"/>
          <w:marRight w:val="0"/>
          <w:marTop w:val="0"/>
          <w:marBottom w:val="0"/>
          <w:divBdr>
            <w:top w:val="none" w:sz="0" w:space="0" w:color="auto"/>
            <w:left w:val="none" w:sz="0" w:space="0" w:color="auto"/>
            <w:bottom w:val="none" w:sz="0" w:space="0" w:color="auto"/>
            <w:right w:val="none" w:sz="0" w:space="0" w:color="auto"/>
          </w:divBdr>
          <w:divsChild>
            <w:div w:id="1165972782">
              <w:marLeft w:val="0"/>
              <w:marRight w:val="0"/>
              <w:marTop w:val="0"/>
              <w:marBottom w:val="0"/>
              <w:divBdr>
                <w:top w:val="none" w:sz="0" w:space="0" w:color="auto"/>
                <w:left w:val="none" w:sz="0" w:space="0" w:color="auto"/>
                <w:bottom w:val="none" w:sz="0" w:space="0" w:color="auto"/>
                <w:right w:val="none" w:sz="0" w:space="0" w:color="auto"/>
              </w:divBdr>
            </w:div>
          </w:divsChild>
        </w:div>
        <w:div w:id="1882474007">
          <w:marLeft w:val="0"/>
          <w:marRight w:val="0"/>
          <w:marTop w:val="0"/>
          <w:marBottom w:val="0"/>
          <w:divBdr>
            <w:top w:val="none" w:sz="0" w:space="0" w:color="auto"/>
            <w:left w:val="none" w:sz="0" w:space="0" w:color="auto"/>
            <w:bottom w:val="none" w:sz="0" w:space="0" w:color="auto"/>
            <w:right w:val="none" w:sz="0" w:space="0" w:color="auto"/>
          </w:divBdr>
          <w:divsChild>
            <w:div w:id="1471748821">
              <w:marLeft w:val="0"/>
              <w:marRight w:val="0"/>
              <w:marTop w:val="0"/>
              <w:marBottom w:val="0"/>
              <w:divBdr>
                <w:top w:val="none" w:sz="0" w:space="0" w:color="auto"/>
                <w:left w:val="none" w:sz="0" w:space="0" w:color="auto"/>
                <w:bottom w:val="none" w:sz="0" w:space="0" w:color="auto"/>
                <w:right w:val="none" w:sz="0" w:space="0" w:color="auto"/>
              </w:divBdr>
            </w:div>
          </w:divsChild>
        </w:div>
        <w:div w:id="1888292761">
          <w:marLeft w:val="0"/>
          <w:marRight w:val="0"/>
          <w:marTop w:val="0"/>
          <w:marBottom w:val="0"/>
          <w:divBdr>
            <w:top w:val="none" w:sz="0" w:space="0" w:color="auto"/>
            <w:left w:val="none" w:sz="0" w:space="0" w:color="auto"/>
            <w:bottom w:val="none" w:sz="0" w:space="0" w:color="auto"/>
            <w:right w:val="none" w:sz="0" w:space="0" w:color="auto"/>
          </w:divBdr>
          <w:divsChild>
            <w:div w:id="95683150">
              <w:marLeft w:val="0"/>
              <w:marRight w:val="0"/>
              <w:marTop w:val="0"/>
              <w:marBottom w:val="0"/>
              <w:divBdr>
                <w:top w:val="none" w:sz="0" w:space="0" w:color="auto"/>
                <w:left w:val="none" w:sz="0" w:space="0" w:color="auto"/>
                <w:bottom w:val="none" w:sz="0" w:space="0" w:color="auto"/>
                <w:right w:val="none" w:sz="0" w:space="0" w:color="auto"/>
              </w:divBdr>
            </w:div>
          </w:divsChild>
        </w:div>
        <w:div w:id="1889298989">
          <w:marLeft w:val="0"/>
          <w:marRight w:val="0"/>
          <w:marTop w:val="0"/>
          <w:marBottom w:val="0"/>
          <w:divBdr>
            <w:top w:val="none" w:sz="0" w:space="0" w:color="auto"/>
            <w:left w:val="none" w:sz="0" w:space="0" w:color="auto"/>
            <w:bottom w:val="none" w:sz="0" w:space="0" w:color="auto"/>
            <w:right w:val="none" w:sz="0" w:space="0" w:color="auto"/>
          </w:divBdr>
          <w:divsChild>
            <w:div w:id="525870755">
              <w:marLeft w:val="0"/>
              <w:marRight w:val="0"/>
              <w:marTop w:val="0"/>
              <w:marBottom w:val="0"/>
              <w:divBdr>
                <w:top w:val="none" w:sz="0" w:space="0" w:color="auto"/>
                <w:left w:val="none" w:sz="0" w:space="0" w:color="auto"/>
                <w:bottom w:val="none" w:sz="0" w:space="0" w:color="auto"/>
                <w:right w:val="none" w:sz="0" w:space="0" w:color="auto"/>
              </w:divBdr>
            </w:div>
            <w:div w:id="684793877">
              <w:marLeft w:val="0"/>
              <w:marRight w:val="0"/>
              <w:marTop w:val="0"/>
              <w:marBottom w:val="0"/>
              <w:divBdr>
                <w:top w:val="none" w:sz="0" w:space="0" w:color="auto"/>
                <w:left w:val="none" w:sz="0" w:space="0" w:color="auto"/>
                <w:bottom w:val="none" w:sz="0" w:space="0" w:color="auto"/>
                <w:right w:val="none" w:sz="0" w:space="0" w:color="auto"/>
              </w:divBdr>
            </w:div>
            <w:div w:id="763264333">
              <w:marLeft w:val="0"/>
              <w:marRight w:val="0"/>
              <w:marTop w:val="0"/>
              <w:marBottom w:val="0"/>
              <w:divBdr>
                <w:top w:val="none" w:sz="0" w:space="0" w:color="auto"/>
                <w:left w:val="none" w:sz="0" w:space="0" w:color="auto"/>
                <w:bottom w:val="none" w:sz="0" w:space="0" w:color="auto"/>
                <w:right w:val="none" w:sz="0" w:space="0" w:color="auto"/>
              </w:divBdr>
            </w:div>
            <w:div w:id="992366483">
              <w:marLeft w:val="0"/>
              <w:marRight w:val="0"/>
              <w:marTop w:val="0"/>
              <w:marBottom w:val="0"/>
              <w:divBdr>
                <w:top w:val="none" w:sz="0" w:space="0" w:color="auto"/>
                <w:left w:val="none" w:sz="0" w:space="0" w:color="auto"/>
                <w:bottom w:val="none" w:sz="0" w:space="0" w:color="auto"/>
                <w:right w:val="none" w:sz="0" w:space="0" w:color="auto"/>
              </w:divBdr>
            </w:div>
            <w:div w:id="1362898838">
              <w:marLeft w:val="0"/>
              <w:marRight w:val="0"/>
              <w:marTop w:val="0"/>
              <w:marBottom w:val="0"/>
              <w:divBdr>
                <w:top w:val="none" w:sz="0" w:space="0" w:color="auto"/>
                <w:left w:val="none" w:sz="0" w:space="0" w:color="auto"/>
                <w:bottom w:val="none" w:sz="0" w:space="0" w:color="auto"/>
                <w:right w:val="none" w:sz="0" w:space="0" w:color="auto"/>
              </w:divBdr>
            </w:div>
            <w:div w:id="1415515867">
              <w:marLeft w:val="0"/>
              <w:marRight w:val="0"/>
              <w:marTop w:val="0"/>
              <w:marBottom w:val="0"/>
              <w:divBdr>
                <w:top w:val="none" w:sz="0" w:space="0" w:color="auto"/>
                <w:left w:val="none" w:sz="0" w:space="0" w:color="auto"/>
                <w:bottom w:val="none" w:sz="0" w:space="0" w:color="auto"/>
                <w:right w:val="none" w:sz="0" w:space="0" w:color="auto"/>
              </w:divBdr>
            </w:div>
            <w:div w:id="1507398663">
              <w:marLeft w:val="0"/>
              <w:marRight w:val="0"/>
              <w:marTop w:val="0"/>
              <w:marBottom w:val="0"/>
              <w:divBdr>
                <w:top w:val="none" w:sz="0" w:space="0" w:color="auto"/>
                <w:left w:val="none" w:sz="0" w:space="0" w:color="auto"/>
                <w:bottom w:val="none" w:sz="0" w:space="0" w:color="auto"/>
                <w:right w:val="none" w:sz="0" w:space="0" w:color="auto"/>
              </w:divBdr>
            </w:div>
            <w:div w:id="1591549390">
              <w:marLeft w:val="0"/>
              <w:marRight w:val="0"/>
              <w:marTop w:val="0"/>
              <w:marBottom w:val="0"/>
              <w:divBdr>
                <w:top w:val="none" w:sz="0" w:space="0" w:color="auto"/>
                <w:left w:val="none" w:sz="0" w:space="0" w:color="auto"/>
                <w:bottom w:val="none" w:sz="0" w:space="0" w:color="auto"/>
                <w:right w:val="none" w:sz="0" w:space="0" w:color="auto"/>
              </w:divBdr>
            </w:div>
            <w:div w:id="1710108753">
              <w:marLeft w:val="0"/>
              <w:marRight w:val="0"/>
              <w:marTop w:val="0"/>
              <w:marBottom w:val="0"/>
              <w:divBdr>
                <w:top w:val="none" w:sz="0" w:space="0" w:color="auto"/>
                <w:left w:val="none" w:sz="0" w:space="0" w:color="auto"/>
                <w:bottom w:val="none" w:sz="0" w:space="0" w:color="auto"/>
                <w:right w:val="none" w:sz="0" w:space="0" w:color="auto"/>
              </w:divBdr>
            </w:div>
            <w:div w:id="1962032237">
              <w:marLeft w:val="0"/>
              <w:marRight w:val="0"/>
              <w:marTop w:val="0"/>
              <w:marBottom w:val="0"/>
              <w:divBdr>
                <w:top w:val="none" w:sz="0" w:space="0" w:color="auto"/>
                <w:left w:val="none" w:sz="0" w:space="0" w:color="auto"/>
                <w:bottom w:val="none" w:sz="0" w:space="0" w:color="auto"/>
                <w:right w:val="none" w:sz="0" w:space="0" w:color="auto"/>
              </w:divBdr>
            </w:div>
          </w:divsChild>
        </w:div>
        <w:div w:id="1890845620">
          <w:marLeft w:val="0"/>
          <w:marRight w:val="0"/>
          <w:marTop w:val="0"/>
          <w:marBottom w:val="0"/>
          <w:divBdr>
            <w:top w:val="none" w:sz="0" w:space="0" w:color="auto"/>
            <w:left w:val="none" w:sz="0" w:space="0" w:color="auto"/>
            <w:bottom w:val="none" w:sz="0" w:space="0" w:color="auto"/>
            <w:right w:val="none" w:sz="0" w:space="0" w:color="auto"/>
          </w:divBdr>
          <w:divsChild>
            <w:div w:id="1478573964">
              <w:marLeft w:val="0"/>
              <w:marRight w:val="0"/>
              <w:marTop w:val="0"/>
              <w:marBottom w:val="0"/>
              <w:divBdr>
                <w:top w:val="none" w:sz="0" w:space="0" w:color="auto"/>
                <w:left w:val="none" w:sz="0" w:space="0" w:color="auto"/>
                <w:bottom w:val="none" w:sz="0" w:space="0" w:color="auto"/>
                <w:right w:val="none" w:sz="0" w:space="0" w:color="auto"/>
              </w:divBdr>
            </w:div>
          </w:divsChild>
        </w:div>
        <w:div w:id="1893925999">
          <w:marLeft w:val="0"/>
          <w:marRight w:val="0"/>
          <w:marTop w:val="0"/>
          <w:marBottom w:val="0"/>
          <w:divBdr>
            <w:top w:val="none" w:sz="0" w:space="0" w:color="auto"/>
            <w:left w:val="none" w:sz="0" w:space="0" w:color="auto"/>
            <w:bottom w:val="none" w:sz="0" w:space="0" w:color="auto"/>
            <w:right w:val="none" w:sz="0" w:space="0" w:color="auto"/>
          </w:divBdr>
          <w:divsChild>
            <w:div w:id="808323612">
              <w:marLeft w:val="0"/>
              <w:marRight w:val="0"/>
              <w:marTop w:val="0"/>
              <w:marBottom w:val="0"/>
              <w:divBdr>
                <w:top w:val="none" w:sz="0" w:space="0" w:color="auto"/>
                <w:left w:val="none" w:sz="0" w:space="0" w:color="auto"/>
                <w:bottom w:val="none" w:sz="0" w:space="0" w:color="auto"/>
                <w:right w:val="none" w:sz="0" w:space="0" w:color="auto"/>
              </w:divBdr>
            </w:div>
            <w:div w:id="1045107265">
              <w:marLeft w:val="0"/>
              <w:marRight w:val="0"/>
              <w:marTop w:val="0"/>
              <w:marBottom w:val="0"/>
              <w:divBdr>
                <w:top w:val="none" w:sz="0" w:space="0" w:color="auto"/>
                <w:left w:val="none" w:sz="0" w:space="0" w:color="auto"/>
                <w:bottom w:val="none" w:sz="0" w:space="0" w:color="auto"/>
                <w:right w:val="none" w:sz="0" w:space="0" w:color="auto"/>
              </w:divBdr>
            </w:div>
            <w:div w:id="1326283067">
              <w:marLeft w:val="0"/>
              <w:marRight w:val="0"/>
              <w:marTop w:val="0"/>
              <w:marBottom w:val="0"/>
              <w:divBdr>
                <w:top w:val="none" w:sz="0" w:space="0" w:color="auto"/>
                <w:left w:val="none" w:sz="0" w:space="0" w:color="auto"/>
                <w:bottom w:val="none" w:sz="0" w:space="0" w:color="auto"/>
                <w:right w:val="none" w:sz="0" w:space="0" w:color="auto"/>
              </w:divBdr>
            </w:div>
            <w:div w:id="1690402519">
              <w:marLeft w:val="0"/>
              <w:marRight w:val="0"/>
              <w:marTop w:val="0"/>
              <w:marBottom w:val="0"/>
              <w:divBdr>
                <w:top w:val="none" w:sz="0" w:space="0" w:color="auto"/>
                <w:left w:val="none" w:sz="0" w:space="0" w:color="auto"/>
                <w:bottom w:val="none" w:sz="0" w:space="0" w:color="auto"/>
                <w:right w:val="none" w:sz="0" w:space="0" w:color="auto"/>
              </w:divBdr>
            </w:div>
          </w:divsChild>
        </w:div>
        <w:div w:id="1894922504">
          <w:marLeft w:val="0"/>
          <w:marRight w:val="0"/>
          <w:marTop w:val="0"/>
          <w:marBottom w:val="0"/>
          <w:divBdr>
            <w:top w:val="none" w:sz="0" w:space="0" w:color="auto"/>
            <w:left w:val="none" w:sz="0" w:space="0" w:color="auto"/>
            <w:bottom w:val="none" w:sz="0" w:space="0" w:color="auto"/>
            <w:right w:val="none" w:sz="0" w:space="0" w:color="auto"/>
          </w:divBdr>
          <w:divsChild>
            <w:div w:id="1330674589">
              <w:marLeft w:val="0"/>
              <w:marRight w:val="0"/>
              <w:marTop w:val="0"/>
              <w:marBottom w:val="0"/>
              <w:divBdr>
                <w:top w:val="none" w:sz="0" w:space="0" w:color="auto"/>
                <w:left w:val="none" w:sz="0" w:space="0" w:color="auto"/>
                <w:bottom w:val="none" w:sz="0" w:space="0" w:color="auto"/>
                <w:right w:val="none" w:sz="0" w:space="0" w:color="auto"/>
              </w:divBdr>
            </w:div>
          </w:divsChild>
        </w:div>
        <w:div w:id="1895114696">
          <w:marLeft w:val="0"/>
          <w:marRight w:val="0"/>
          <w:marTop w:val="0"/>
          <w:marBottom w:val="0"/>
          <w:divBdr>
            <w:top w:val="none" w:sz="0" w:space="0" w:color="auto"/>
            <w:left w:val="none" w:sz="0" w:space="0" w:color="auto"/>
            <w:bottom w:val="none" w:sz="0" w:space="0" w:color="auto"/>
            <w:right w:val="none" w:sz="0" w:space="0" w:color="auto"/>
          </w:divBdr>
          <w:divsChild>
            <w:div w:id="407576925">
              <w:marLeft w:val="0"/>
              <w:marRight w:val="0"/>
              <w:marTop w:val="0"/>
              <w:marBottom w:val="0"/>
              <w:divBdr>
                <w:top w:val="none" w:sz="0" w:space="0" w:color="auto"/>
                <w:left w:val="none" w:sz="0" w:space="0" w:color="auto"/>
                <w:bottom w:val="none" w:sz="0" w:space="0" w:color="auto"/>
                <w:right w:val="none" w:sz="0" w:space="0" w:color="auto"/>
              </w:divBdr>
            </w:div>
            <w:div w:id="1290942391">
              <w:marLeft w:val="0"/>
              <w:marRight w:val="0"/>
              <w:marTop w:val="0"/>
              <w:marBottom w:val="0"/>
              <w:divBdr>
                <w:top w:val="none" w:sz="0" w:space="0" w:color="auto"/>
                <w:left w:val="none" w:sz="0" w:space="0" w:color="auto"/>
                <w:bottom w:val="none" w:sz="0" w:space="0" w:color="auto"/>
                <w:right w:val="none" w:sz="0" w:space="0" w:color="auto"/>
              </w:divBdr>
            </w:div>
            <w:div w:id="2028601872">
              <w:marLeft w:val="0"/>
              <w:marRight w:val="0"/>
              <w:marTop w:val="0"/>
              <w:marBottom w:val="0"/>
              <w:divBdr>
                <w:top w:val="none" w:sz="0" w:space="0" w:color="auto"/>
                <w:left w:val="none" w:sz="0" w:space="0" w:color="auto"/>
                <w:bottom w:val="none" w:sz="0" w:space="0" w:color="auto"/>
                <w:right w:val="none" w:sz="0" w:space="0" w:color="auto"/>
              </w:divBdr>
            </w:div>
          </w:divsChild>
        </w:div>
        <w:div w:id="1899825328">
          <w:marLeft w:val="0"/>
          <w:marRight w:val="0"/>
          <w:marTop w:val="0"/>
          <w:marBottom w:val="0"/>
          <w:divBdr>
            <w:top w:val="none" w:sz="0" w:space="0" w:color="auto"/>
            <w:left w:val="none" w:sz="0" w:space="0" w:color="auto"/>
            <w:bottom w:val="none" w:sz="0" w:space="0" w:color="auto"/>
            <w:right w:val="none" w:sz="0" w:space="0" w:color="auto"/>
          </w:divBdr>
          <w:divsChild>
            <w:div w:id="330640200">
              <w:marLeft w:val="0"/>
              <w:marRight w:val="0"/>
              <w:marTop w:val="0"/>
              <w:marBottom w:val="0"/>
              <w:divBdr>
                <w:top w:val="none" w:sz="0" w:space="0" w:color="auto"/>
                <w:left w:val="none" w:sz="0" w:space="0" w:color="auto"/>
                <w:bottom w:val="none" w:sz="0" w:space="0" w:color="auto"/>
                <w:right w:val="none" w:sz="0" w:space="0" w:color="auto"/>
              </w:divBdr>
            </w:div>
          </w:divsChild>
        </w:div>
        <w:div w:id="1901357300">
          <w:marLeft w:val="0"/>
          <w:marRight w:val="0"/>
          <w:marTop w:val="0"/>
          <w:marBottom w:val="0"/>
          <w:divBdr>
            <w:top w:val="none" w:sz="0" w:space="0" w:color="auto"/>
            <w:left w:val="none" w:sz="0" w:space="0" w:color="auto"/>
            <w:bottom w:val="none" w:sz="0" w:space="0" w:color="auto"/>
            <w:right w:val="none" w:sz="0" w:space="0" w:color="auto"/>
          </w:divBdr>
          <w:divsChild>
            <w:div w:id="278417663">
              <w:marLeft w:val="0"/>
              <w:marRight w:val="0"/>
              <w:marTop w:val="0"/>
              <w:marBottom w:val="0"/>
              <w:divBdr>
                <w:top w:val="none" w:sz="0" w:space="0" w:color="auto"/>
                <w:left w:val="none" w:sz="0" w:space="0" w:color="auto"/>
                <w:bottom w:val="none" w:sz="0" w:space="0" w:color="auto"/>
                <w:right w:val="none" w:sz="0" w:space="0" w:color="auto"/>
              </w:divBdr>
            </w:div>
          </w:divsChild>
        </w:div>
        <w:div w:id="1907950832">
          <w:marLeft w:val="0"/>
          <w:marRight w:val="0"/>
          <w:marTop w:val="0"/>
          <w:marBottom w:val="0"/>
          <w:divBdr>
            <w:top w:val="none" w:sz="0" w:space="0" w:color="auto"/>
            <w:left w:val="none" w:sz="0" w:space="0" w:color="auto"/>
            <w:bottom w:val="none" w:sz="0" w:space="0" w:color="auto"/>
            <w:right w:val="none" w:sz="0" w:space="0" w:color="auto"/>
          </w:divBdr>
          <w:divsChild>
            <w:div w:id="1171259855">
              <w:marLeft w:val="0"/>
              <w:marRight w:val="0"/>
              <w:marTop w:val="0"/>
              <w:marBottom w:val="0"/>
              <w:divBdr>
                <w:top w:val="none" w:sz="0" w:space="0" w:color="auto"/>
                <w:left w:val="none" w:sz="0" w:space="0" w:color="auto"/>
                <w:bottom w:val="none" w:sz="0" w:space="0" w:color="auto"/>
                <w:right w:val="none" w:sz="0" w:space="0" w:color="auto"/>
              </w:divBdr>
            </w:div>
          </w:divsChild>
        </w:div>
        <w:div w:id="1911118223">
          <w:marLeft w:val="0"/>
          <w:marRight w:val="0"/>
          <w:marTop w:val="0"/>
          <w:marBottom w:val="0"/>
          <w:divBdr>
            <w:top w:val="none" w:sz="0" w:space="0" w:color="auto"/>
            <w:left w:val="none" w:sz="0" w:space="0" w:color="auto"/>
            <w:bottom w:val="none" w:sz="0" w:space="0" w:color="auto"/>
            <w:right w:val="none" w:sz="0" w:space="0" w:color="auto"/>
          </w:divBdr>
          <w:divsChild>
            <w:div w:id="1027214536">
              <w:marLeft w:val="0"/>
              <w:marRight w:val="0"/>
              <w:marTop w:val="0"/>
              <w:marBottom w:val="0"/>
              <w:divBdr>
                <w:top w:val="none" w:sz="0" w:space="0" w:color="auto"/>
                <w:left w:val="none" w:sz="0" w:space="0" w:color="auto"/>
                <w:bottom w:val="none" w:sz="0" w:space="0" w:color="auto"/>
                <w:right w:val="none" w:sz="0" w:space="0" w:color="auto"/>
              </w:divBdr>
            </w:div>
          </w:divsChild>
        </w:div>
        <w:div w:id="1912421577">
          <w:marLeft w:val="0"/>
          <w:marRight w:val="0"/>
          <w:marTop w:val="0"/>
          <w:marBottom w:val="0"/>
          <w:divBdr>
            <w:top w:val="none" w:sz="0" w:space="0" w:color="auto"/>
            <w:left w:val="none" w:sz="0" w:space="0" w:color="auto"/>
            <w:bottom w:val="none" w:sz="0" w:space="0" w:color="auto"/>
            <w:right w:val="none" w:sz="0" w:space="0" w:color="auto"/>
          </w:divBdr>
          <w:divsChild>
            <w:div w:id="492599574">
              <w:marLeft w:val="0"/>
              <w:marRight w:val="0"/>
              <w:marTop w:val="0"/>
              <w:marBottom w:val="0"/>
              <w:divBdr>
                <w:top w:val="none" w:sz="0" w:space="0" w:color="auto"/>
                <w:left w:val="none" w:sz="0" w:space="0" w:color="auto"/>
                <w:bottom w:val="none" w:sz="0" w:space="0" w:color="auto"/>
                <w:right w:val="none" w:sz="0" w:space="0" w:color="auto"/>
              </w:divBdr>
            </w:div>
          </w:divsChild>
        </w:div>
        <w:div w:id="1914317918">
          <w:marLeft w:val="0"/>
          <w:marRight w:val="0"/>
          <w:marTop w:val="0"/>
          <w:marBottom w:val="0"/>
          <w:divBdr>
            <w:top w:val="none" w:sz="0" w:space="0" w:color="auto"/>
            <w:left w:val="none" w:sz="0" w:space="0" w:color="auto"/>
            <w:bottom w:val="none" w:sz="0" w:space="0" w:color="auto"/>
            <w:right w:val="none" w:sz="0" w:space="0" w:color="auto"/>
          </w:divBdr>
          <w:divsChild>
            <w:div w:id="215166925">
              <w:marLeft w:val="0"/>
              <w:marRight w:val="0"/>
              <w:marTop w:val="0"/>
              <w:marBottom w:val="0"/>
              <w:divBdr>
                <w:top w:val="none" w:sz="0" w:space="0" w:color="auto"/>
                <w:left w:val="none" w:sz="0" w:space="0" w:color="auto"/>
                <w:bottom w:val="none" w:sz="0" w:space="0" w:color="auto"/>
                <w:right w:val="none" w:sz="0" w:space="0" w:color="auto"/>
              </w:divBdr>
            </w:div>
            <w:div w:id="616332010">
              <w:marLeft w:val="0"/>
              <w:marRight w:val="0"/>
              <w:marTop w:val="0"/>
              <w:marBottom w:val="0"/>
              <w:divBdr>
                <w:top w:val="none" w:sz="0" w:space="0" w:color="auto"/>
                <w:left w:val="none" w:sz="0" w:space="0" w:color="auto"/>
                <w:bottom w:val="none" w:sz="0" w:space="0" w:color="auto"/>
                <w:right w:val="none" w:sz="0" w:space="0" w:color="auto"/>
              </w:divBdr>
            </w:div>
          </w:divsChild>
        </w:div>
        <w:div w:id="1915508814">
          <w:marLeft w:val="0"/>
          <w:marRight w:val="0"/>
          <w:marTop w:val="0"/>
          <w:marBottom w:val="0"/>
          <w:divBdr>
            <w:top w:val="none" w:sz="0" w:space="0" w:color="auto"/>
            <w:left w:val="none" w:sz="0" w:space="0" w:color="auto"/>
            <w:bottom w:val="none" w:sz="0" w:space="0" w:color="auto"/>
            <w:right w:val="none" w:sz="0" w:space="0" w:color="auto"/>
          </w:divBdr>
          <w:divsChild>
            <w:div w:id="720641669">
              <w:marLeft w:val="0"/>
              <w:marRight w:val="0"/>
              <w:marTop w:val="0"/>
              <w:marBottom w:val="0"/>
              <w:divBdr>
                <w:top w:val="none" w:sz="0" w:space="0" w:color="auto"/>
                <w:left w:val="none" w:sz="0" w:space="0" w:color="auto"/>
                <w:bottom w:val="none" w:sz="0" w:space="0" w:color="auto"/>
                <w:right w:val="none" w:sz="0" w:space="0" w:color="auto"/>
              </w:divBdr>
            </w:div>
            <w:div w:id="872381327">
              <w:marLeft w:val="0"/>
              <w:marRight w:val="0"/>
              <w:marTop w:val="0"/>
              <w:marBottom w:val="0"/>
              <w:divBdr>
                <w:top w:val="none" w:sz="0" w:space="0" w:color="auto"/>
                <w:left w:val="none" w:sz="0" w:space="0" w:color="auto"/>
                <w:bottom w:val="none" w:sz="0" w:space="0" w:color="auto"/>
                <w:right w:val="none" w:sz="0" w:space="0" w:color="auto"/>
              </w:divBdr>
            </w:div>
            <w:div w:id="1558006648">
              <w:marLeft w:val="0"/>
              <w:marRight w:val="0"/>
              <w:marTop w:val="0"/>
              <w:marBottom w:val="0"/>
              <w:divBdr>
                <w:top w:val="none" w:sz="0" w:space="0" w:color="auto"/>
                <w:left w:val="none" w:sz="0" w:space="0" w:color="auto"/>
                <w:bottom w:val="none" w:sz="0" w:space="0" w:color="auto"/>
                <w:right w:val="none" w:sz="0" w:space="0" w:color="auto"/>
              </w:divBdr>
            </w:div>
            <w:div w:id="1633097764">
              <w:marLeft w:val="0"/>
              <w:marRight w:val="0"/>
              <w:marTop w:val="0"/>
              <w:marBottom w:val="0"/>
              <w:divBdr>
                <w:top w:val="none" w:sz="0" w:space="0" w:color="auto"/>
                <w:left w:val="none" w:sz="0" w:space="0" w:color="auto"/>
                <w:bottom w:val="none" w:sz="0" w:space="0" w:color="auto"/>
                <w:right w:val="none" w:sz="0" w:space="0" w:color="auto"/>
              </w:divBdr>
            </w:div>
          </w:divsChild>
        </w:div>
        <w:div w:id="1920754229">
          <w:marLeft w:val="0"/>
          <w:marRight w:val="0"/>
          <w:marTop w:val="0"/>
          <w:marBottom w:val="0"/>
          <w:divBdr>
            <w:top w:val="none" w:sz="0" w:space="0" w:color="auto"/>
            <w:left w:val="none" w:sz="0" w:space="0" w:color="auto"/>
            <w:bottom w:val="none" w:sz="0" w:space="0" w:color="auto"/>
            <w:right w:val="none" w:sz="0" w:space="0" w:color="auto"/>
          </w:divBdr>
          <w:divsChild>
            <w:div w:id="94134009">
              <w:marLeft w:val="0"/>
              <w:marRight w:val="0"/>
              <w:marTop w:val="0"/>
              <w:marBottom w:val="0"/>
              <w:divBdr>
                <w:top w:val="none" w:sz="0" w:space="0" w:color="auto"/>
                <w:left w:val="none" w:sz="0" w:space="0" w:color="auto"/>
                <w:bottom w:val="none" w:sz="0" w:space="0" w:color="auto"/>
                <w:right w:val="none" w:sz="0" w:space="0" w:color="auto"/>
              </w:divBdr>
            </w:div>
            <w:div w:id="159195188">
              <w:marLeft w:val="0"/>
              <w:marRight w:val="0"/>
              <w:marTop w:val="0"/>
              <w:marBottom w:val="0"/>
              <w:divBdr>
                <w:top w:val="none" w:sz="0" w:space="0" w:color="auto"/>
                <w:left w:val="none" w:sz="0" w:space="0" w:color="auto"/>
                <w:bottom w:val="none" w:sz="0" w:space="0" w:color="auto"/>
                <w:right w:val="none" w:sz="0" w:space="0" w:color="auto"/>
              </w:divBdr>
            </w:div>
          </w:divsChild>
        </w:div>
        <w:div w:id="1925606826">
          <w:marLeft w:val="0"/>
          <w:marRight w:val="0"/>
          <w:marTop w:val="0"/>
          <w:marBottom w:val="0"/>
          <w:divBdr>
            <w:top w:val="none" w:sz="0" w:space="0" w:color="auto"/>
            <w:left w:val="none" w:sz="0" w:space="0" w:color="auto"/>
            <w:bottom w:val="none" w:sz="0" w:space="0" w:color="auto"/>
            <w:right w:val="none" w:sz="0" w:space="0" w:color="auto"/>
          </w:divBdr>
          <w:divsChild>
            <w:div w:id="448940028">
              <w:marLeft w:val="0"/>
              <w:marRight w:val="0"/>
              <w:marTop w:val="0"/>
              <w:marBottom w:val="0"/>
              <w:divBdr>
                <w:top w:val="none" w:sz="0" w:space="0" w:color="auto"/>
                <w:left w:val="none" w:sz="0" w:space="0" w:color="auto"/>
                <w:bottom w:val="none" w:sz="0" w:space="0" w:color="auto"/>
                <w:right w:val="none" w:sz="0" w:space="0" w:color="auto"/>
              </w:divBdr>
            </w:div>
            <w:div w:id="589316103">
              <w:marLeft w:val="0"/>
              <w:marRight w:val="0"/>
              <w:marTop w:val="0"/>
              <w:marBottom w:val="0"/>
              <w:divBdr>
                <w:top w:val="none" w:sz="0" w:space="0" w:color="auto"/>
                <w:left w:val="none" w:sz="0" w:space="0" w:color="auto"/>
                <w:bottom w:val="none" w:sz="0" w:space="0" w:color="auto"/>
                <w:right w:val="none" w:sz="0" w:space="0" w:color="auto"/>
              </w:divBdr>
            </w:div>
            <w:div w:id="1619022464">
              <w:marLeft w:val="0"/>
              <w:marRight w:val="0"/>
              <w:marTop w:val="0"/>
              <w:marBottom w:val="0"/>
              <w:divBdr>
                <w:top w:val="none" w:sz="0" w:space="0" w:color="auto"/>
                <w:left w:val="none" w:sz="0" w:space="0" w:color="auto"/>
                <w:bottom w:val="none" w:sz="0" w:space="0" w:color="auto"/>
                <w:right w:val="none" w:sz="0" w:space="0" w:color="auto"/>
              </w:divBdr>
            </w:div>
          </w:divsChild>
        </w:div>
        <w:div w:id="1937472016">
          <w:marLeft w:val="0"/>
          <w:marRight w:val="0"/>
          <w:marTop w:val="0"/>
          <w:marBottom w:val="0"/>
          <w:divBdr>
            <w:top w:val="none" w:sz="0" w:space="0" w:color="auto"/>
            <w:left w:val="none" w:sz="0" w:space="0" w:color="auto"/>
            <w:bottom w:val="none" w:sz="0" w:space="0" w:color="auto"/>
            <w:right w:val="none" w:sz="0" w:space="0" w:color="auto"/>
          </w:divBdr>
          <w:divsChild>
            <w:div w:id="617643393">
              <w:marLeft w:val="0"/>
              <w:marRight w:val="0"/>
              <w:marTop w:val="0"/>
              <w:marBottom w:val="0"/>
              <w:divBdr>
                <w:top w:val="none" w:sz="0" w:space="0" w:color="auto"/>
                <w:left w:val="none" w:sz="0" w:space="0" w:color="auto"/>
                <w:bottom w:val="none" w:sz="0" w:space="0" w:color="auto"/>
                <w:right w:val="none" w:sz="0" w:space="0" w:color="auto"/>
              </w:divBdr>
            </w:div>
          </w:divsChild>
        </w:div>
        <w:div w:id="1938168830">
          <w:marLeft w:val="0"/>
          <w:marRight w:val="0"/>
          <w:marTop w:val="0"/>
          <w:marBottom w:val="0"/>
          <w:divBdr>
            <w:top w:val="none" w:sz="0" w:space="0" w:color="auto"/>
            <w:left w:val="none" w:sz="0" w:space="0" w:color="auto"/>
            <w:bottom w:val="none" w:sz="0" w:space="0" w:color="auto"/>
            <w:right w:val="none" w:sz="0" w:space="0" w:color="auto"/>
          </w:divBdr>
          <w:divsChild>
            <w:div w:id="1394502199">
              <w:marLeft w:val="0"/>
              <w:marRight w:val="0"/>
              <w:marTop w:val="0"/>
              <w:marBottom w:val="0"/>
              <w:divBdr>
                <w:top w:val="none" w:sz="0" w:space="0" w:color="auto"/>
                <w:left w:val="none" w:sz="0" w:space="0" w:color="auto"/>
                <w:bottom w:val="none" w:sz="0" w:space="0" w:color="auto"/>
                <w:right w:val="none" w:sz="0" w:space="0" w:color="auto"/>
              </w:divBdr>
            </w:div>
          </w:divsChild>
        </w:div>
        <w:div w:id="1943101206">
          <w:marLeft w:val="0"/>
          <w:marRight w:val="0"/>
          <w:marTop w:val="0"/>
          <w:marBottom w:val="0"/>
          <w:divBdr>
            <w:top w:val="none" w:sz="0" w:space="0" w:color="auto"/>
            <w:left w:val="none" w:sz="0" w:space="0" w:color="auto"/>
            <w:bottom w:val="none" w:sz="0" w:space="0" w:color="auto"/>
            <w:right w:val="none" w:sz="0" w:space="0" w:color="auto"/>
          </w:divBdr>
          <w:divsChild>
            <w:div w:id="65304337">
              <w:marLeft w:val="0"/>
              <w:marRight w:val="0"/>
              <w:marTop w:val="0"/>
              <w:marBottom w:val="0"/>
              <w:divBdr>
                <w:top w:val="none" w:sz="0" w:space="0" w:color="auto"/>
                <w:left w:val="none" w:sz="0" w:space="0" w:color="auto"/>
                <w:bottom w:val="none" w:sz="0" w:space="0" w:color="auto"/>
                <w:right w:val="none" w:sz="0" w:space="0" w:color="auto"/>
              </w:divBdr>
            </w:div>
          </w:divsChild>
        </w:div>
        <w:div w:id="1946186513">
          <w:marLeft w:val="0"/>
          <w:marRight w:val="0"/>
          <w:marTop w:val="0"/>
          <w:marBottom w:val="0"/>
          <w:divBdr>
            <w:top w:val="none" w:sz="0" w:space="0" w:color="auto"/>
            <w:left w:val="none" w:sz="0" w:space="0" w:color="auto"/>
            <w:bottom w:val="none" w:sz="0" w:space="0" w:color="auto"/>
            <w:right w:val="none" w:sz="0" w:space="0" w:color="auto"/>
          </w:divBdr>
          <w:divsChild>
            <w:div w:id="1342585526">
              <w:marLeft w:val="0"/>
              <w:marRight w:val="0"/>
              <w:marTop w:val="0"/>
              <w:marBottom w:val="0"/>
              <w:divBdr>
                <w:top w:val="none" w:sz="0" w:space="0" w:color="auto"/>
                <w:left w:val="none" w:sz="0" w:space="0" w:color="auto"/>
                <w:bottom w:val="none" w:sz="0" w:space="0" w:color="auto"/>
                <w:right w:val="none" w:sz="0" w:space="0" w:color="auto"/>
              </w:divBdr>
            </w:div>
          </w:divsChild>
        </w:div>
        <w:div w:id="1946378567">
          <w:marLeft w:val="0"/>
          <w:marRight w:val="0"/>
          <w:marTop w:val="0"/>
          <w:marBottom w:val="0"/>
          <w:divBdr>
            <w:top w:val="none" w:sz="0" w:space="0" w:color="auto"/>
            <w:left w:val="none" w:sz="0" w:space="0" w:color="auto"/>
            <w:bottom w:val="none" w:sz="0" w:space="0" w:color="auto"/>
            <w:right w:val="none" w:sz="0" w:space="0" w:color="auto"/>
          </w:divBdr>
          <w:divsChild>
            <w:div w:id="143277391">
              <w:marLeft w:val="0"/>
              <w:marRight w:val="0"/>
              <w:marTop w:val="0"/>
              <w:marBottom w:val="0"/>
              <w:divBdr>
                <w:top w:val="none" w:sz="0" w:space="0" w:color="auto"/>
                <w:left w:val="none" w:sz="0" w:space="0" w:color="auto"/>
                <w:bottom w:val="none" w:sz="0" w:space="0" w:color="auto"/>
                <w:right w:val="none" w:sz="0" w:space="0" w:color="auto"/>
              </w:divBdr>
            </w:div>
            <w:div w:id="158274902">
              <w:marLeft w:val="0"/>
              <w:marRight w:val="0"/>
              <w:marTop w:val="0"/>
              <w:marBottom w:val="0"/>
              <w:divBdr>
                <w:top w:val="none" w:sz="0" w:space="0" w:color="auto"/>
                <w:left w:val="none" w:sz="0" w:space="0" w:color="auto"/>
                <w:bottom w:val="none" w:sz="0" w:space="0" w:color="auto"/>
                <w:right w:val="none" w:sz="0" w:space="0" w:color="auto"/>
              </w:divBdr>
            </w:div>
            <w:div w:id="480460701">
              <w:marLeft w:val="0"/>
              <w:marRight w:val="0"/>
              <w:marTop w:val="0"/>
              <w:marBottom w:val="0"/>
              <w:divBdr>
                <w:top w:val="none" w:sz="0" w:space="0" w:color="auto"/>
                <w:left w:val="none" w:sz="0" w:space="0" w:color="auto"/>
                <w:bottom w:val="none" w:sz="0" w:space="0" w:color="auto"/>
                <w:right w:val="none" w:sz="0" w:space="0" w:color="auto"/>
              </w:divBdr>
            </w:div>
            <w:div w:id="589315500">
              <w:marLeft w:val="0"/>
              <w:marRight w:val="0"/>
              <w:marTop w:val="0"/>
              <w:marBottom w:val="0"/>
              <w:divBdr>
                <w:top w:val="none" w:sz="0" w:space="0" w:color="auto"/>
                <w:left w:val="none" w:sz="0" w:space="0" w:color="auto"/>
                <w:bottom w:val="none" w:sz="0" w:space="0" w:color="auto"/>
                <w:right w:val="none" w:sz="0" w:space="0" w:color="auto"/>
              </w:divBdr>
            </w:div>
            <w:div w:id="633759749">
              <w:marLeft w:val="0"/>
              <w:marRight w:val="0"/>
              <w:marTop w:val="0"/>
              <w:marBottom w:val="0"/>
              <w:divBdr>
                <w:top w:val="none" w:sz="0" w:space="0" w:color="auto"/>
                <w:left w:val="none" w:sz="0" w:space="0" w:color="auto"/>
                <w:bottom w:val="none" w:sz="0" w:space="0" w:color="auto"/>
                <w:right w:val="none" w:sz="0" w:space="0" w:color="auto"/>
              </w:divBdr>
            </w:div>
            <w:div w:id="869878449">
              <w:marLeft w:val="0"/>
              <w:marRight w:val="0"/>
              <w:marTop w:val="0"/>
              <w:marBottom w:val="0"/>
              <w:divBdr>
                <w:top w:val="none" w:sz="0" w:space="0" w:color="auto"/>
                <w:left w:val="none" w:sz="0" w:space="0" w:color="auto"/>
                <w:bottom w:val="none" w:sz="0" w:space="0" w:color="auto"/>
                <w:right w:val="none" w:sz="0" w:space="0" w:color="auto"/>
              </w:divBdr>
            </w:div>
          </w:divsChild>
        </w:div>
        <w:div w:id="1947539203">
          <w:marLeft w:val="0"/>
          <w:marRight w:val="0"/>
          <w:marTop w:val="0"/>
          <w:marBottom w:val="0"/>
          <w:divBdr>
            <w:top w:val="none" w:sz="0" w:space="0" w:color="auto"/>
            <w:left w:val="none" w:sz="0" w:space="0" w:color="auto"/>
            <w:bottom w:val="none" w:sz="0" w:space="0" w:color="auto"/>
            <w:right w:val="none" w:sz="0" w:space="0" w:color="auto"/>
          </w:divBdr>
          <w:divsChild>
            <w:div w:id="1696694137">
              <w:marLeft w:val="0"/>
              <w:marRight w:val="0"/>
              <w:marTop w:val="0"/>
              <w:marBottom w:val="0"/>
              <w:divBdr>
                <w:top w:val="none" w:sz="0" w:space="0" w:color="auto"/>
                <w:left w:val="none" w:sz="0" w:space="0" w:color="auto"/>
                <w:bottom w:val="none" w:sz="0" w:space="0" w:color="auto"/>
                <w:right w:val="none" w:sz="0" w:space="0" w:color="auto"/>
              </w:divBdr>
            </w:div>
          </w:divsChild>
        </w:div>
        <w:div w:id="1959875787">
          <w:marLeft w:val="0"/>
          <w:marRight w:val="0"/>
          <w:marTop w:val="0"/>
          <w:marBottom w:val="0"/>
          <w:divBdr>
            <w:top w:val="none" w:sz="0" w:space="0" w:color="auto"/>
            <w:left w:val="none" w:sz="0" w:space="0" w:color="auto"/>
            <w:bottom w:val="none" w:sz="0" w:space="0" w:color="auto"/>
            <w:right w:val="none" w:sz="0" w:space="0" w:color="auto"/>
          </w:divBdr>
          <w:divsChild>
            <w:div w:id="1434976856">
              <w:marLeft w:val="0"/>
              <w:marRight w:val="0"/>
              <w:marTop w:val="0"/>
              <w:marBottom w:val="0"/>
              <w:divBdr>
                <w:top w:val="none" w:sz="0" w:space="0" w:color="auto"/>
                <w:left w:val="none" w:sz="0" w:space="0" w:color="auto"/>
                <w:bottom w:val="none" w:sz="0" w:space="0" w:color="auto"/>
                <w:right w:val="none" w:sz="0" w:space="0" w:color="auto"/>
              </w:divBdr>
            </w:div>
          </w:divsChild>
        </w:div>
        <w:div w:id="1959942973">
          <w:marLeft w:val="0"/>
          <w:marRight w:val="0"/>
          <w:marTop w:val="0"/>
          <w:marBottom w:val="0"/>
          <w:divBdr>
            <w:top w:val="none" w:sz="0" w:space="0" w:color="auto"/>
            <w:left w:val="none" w:sz="0" w:space="0" w:color="auto"/>
            <w:bottom w:val="none" w:sz="0" w:space="0" w:color="auto"/>
            <w:right w:val="none" w:sz="0" w:space="0" w:color="auto"/>
          </w:divBdr>
          <w:divsChild>
            <w:div w:id="812059605">
              <w:marLeft w:val="0"/>
              <w:marRight w:val="0"/>
              <w:marTop w:val="0"/>
              <w:marBottom w:val="0"/>
              <w:divBdr>
                <w:top w:val="none" w:sz="0" w:space="0" w:color="auto"/>
                <w:left w:val="none" w:sz="0" w:space="0" w:color="auto"/>
                <w:bottom w:val="none" w:sz="0" w:space="0" w:color="auto"/>
                <w:right w:val="none" w:sz="0" w:space="0" w:color="auto"/>
              </w:divBdr>
            </w:div>
          </w:divsChild>
        </w:div>
        <w:div w:id="1961109876">
          <w:marLeft w:val="0"/>
          <w:marRight w:val="0"/>
          <w:marTop w:val="0"/>
          <w:marBottom w:val="0"/>
          <w:divBdr>
            <w:top w:val="none" w:sz="0" w:space="0" w:color="auto"/>
            <w:left w:val="none" w:sz="0" w:space="0" w:color="auto"/>
            <w:bottom w:val="none" w:sz="0" w:space="0" w:color="auto"/>
            <w:right w:val="none" w:sz="0" w:space="0" w:color="auto"/>
          </w:divBdr>
          <w:divsChild>
            <w:div w:id="1362121593">
              <w:marLeft w:val="0"/>
              <w:marRight w:val="0"/>
              <w:marTop w:val="0"/>
              <w:marBottom w:val="0"/>
              <w:divBdr>
                <w:top w:val="none" w:sz="0" w:space="0" w:color="auto"/>
                <w:left w:val="none" w:sz="0" w:space="0" w:color="auto"/>
                <w:bottom w:val="none" w:sz="0" w:space="0" w:color="auto"/>
                <w:right w:val="none" w:sz="0" w:space="0" w:color="auto"/>
              </w:divBdr>
            </w:div>
          </w:divsChild>
        </w:div>
        <w:div w:id="1964067803">
          <w:marLeft w:val="0"/>
          <w:marRight w:val="0"/>
          <w:marTop w:val="0"/>
          <w:marBottom w:val="0"/>
          <w:divBdr>
            <w:top w:val="none" w:sz="0" w:space="0" w:color="auto"/>
            <w:left w:val="none" w:sz="0" w:space="0" w:color="auto"/>
            <w:bottom w:val="none" w:sz="0" w:space="0" w:color="auto"/>
            <w:right w:val="none" w:sz="0" w:space="0" w:color="auto"/>
          </w:divBdr>
          <w:divsChild>
            <w:div w:id="2066370335">
              <w:marLeft w:val="0"/>
              <w:marRight w:val="0"/>
              <w:marTop w:val="0"/>
              <w:marBottom w:val="0"/>
              <w:divBdr>
                <w:top w:val="none" w:sz="0" w:space="0" w:color="auto"/>
                <w:left w:val="none" w:sz="0" w:space="0" w:color="auto"/>
                <w:bottom w:val="none" w:sz="0" w:space="0" w:color="auto"/>
                <w:right w:val="none" w:sz="0" w:space="0" w:color="auto"/>
              </w:divBdr>
            </w:div>
          </w:divsChild>
        </w:div>
        <w:div w:id="1964145098">
          <w:marLeft w:val="0"/>
          <w:marRight w:val="0"/>
          <w:marTop w:val="0"/>
          <w:marBottom w:val="0"/>
          <w:divBdr>
            <w:top w:val="none" w:sz="0" w:space="0" w:color="auto"/>
            <w:left w:val="none" w:sz="0" w:space="0" w:color="auto"/>
            <w:bottom w:val="none" w:sz="0" w:space="0" w:color="auto"/>
            <w:right w:val="none" w:sz="0" w:space="0" w:color="auto"/>
          </w:divBdr>
          <w:divsChild>
            <w:div w:id="397287986">
              <w:marLeft w:val="0"/>
              <w:marRight w:val="0"/>
              <w:marTop w:val="0"/>
              <w:marBottom w:val="0"/>
              <w:divBdr>
                <w:top w:val="none" w:sz="0" w:space="0" w:color="auto"/>
                <w:left w:val="none" w:sz="0" w:space="0" w:color="auto"/>
                <w:bottom w:val="none" w:sz="0" w:space="0" w:color="auto"/>
                <w:right w:val="none" w:sz="0" w:space="0" w:color="auto"/>
              </w:divBdr>
            </w:div>
          </w:divsChild>
        </w:div>
        <w:div w:id="1969119312">
          <w:marLeft w:val="0"/>
          <w:marRight w:val="0"/>
          <w:marTop w:val="0"/>
          <w:marBottom w:val="0"/>
          <w:divBdr>
            <w:top w:val="none" w:sz="0" w:space="0" w:color="auto"/>
            <w:left w:val="none" w:sz="0" w:space="0" w:color="auto"/>
            <w:bottom w:val="none" w:sz="0" w:space="0" w:color="auto"/>
            <w:right w:val="none" w:sz="0" w:space="0" w:color="auto"/>
          </w:divBdr>
          <w:divsChild>
            <w:div w:id="198014827">
              <w:marLeft w:val="0"/>
              <w:marRight w:val="0"/>
              <w:marTop w:val="0"/>
              <w:marBottom w:val="0"/>
              <w:divBdr>
                <w:top w:val="none" w:sz="0" w:space="0" w:color="auto"/>
                <w:left w:val="none" w:sz="0" w:space="0" w:color="auto"/>
                <w:bottom w:val="none" w:sz="0" w:space="0" w:color="auto"/>
                <w:right w:val="none" w:sz="0" w:space="0" w:color="auto"/>
              </w:divBdr>
            </w:div>
          </w:divsChild>
        </w:div>
        <w:div w:id="1972009620">
          <w:marLeft w:val="0"/>
          <w:marRight w:val="0"/>
          <w:marTop w:val="0"/>
          <w:marBottom w:val="0"/>
          <w:divBdr>
            <w:top w:val="none" w:sz="0" w:space="0" w:color="auto"/>
            <w:left w:val="none" w:sz="0" w:space="0" w:color="auto"/>
            <w:bottom w:val="none" w:sz="0" w:space="0" w:color="auto"/>
            <w:right w:val="none" w:sz="0" w:space="0" w:color="auto"/>
          </w:divBdr>
          <w:divsChild>
            <w:div w:id="1720858904">
              <w:marLeft w:val="0"/>
              <w:marRight w:val="0"/>
              <w:marTop w:val="0"/>
              <w:marBottom w:val="0"/>
              <w:divBdr>
                <w:top w:val="none" w:sz="0" w:space="0" w:color="auto"/>
                <w:left w:val="none" w:sz="0" w:space="0" w:color="auto"/>
                <w:bottom w:val="none" w:sz="0" w:space="0" w:color="auto"/>
                <w:right w:val="none" w:sz="0" w:space="0" w:color="auto"/>
              </w:divBdr>
            </w:div>
          </w:divsChild>
        </w:div>
        <w:div w:id="1977567225">
          <w:marLeft w:val="0"/>
          <w:marRight w:val="0"/>
          <w:marTop w:val="0"/>
          <w:marBottom w:val="0"/>
          <w:divBdr>
            <w:top w:val="none" w:sz="0" w:space="0" w:color="auto"/>
            <w:left w:val="none" w:sz="0" w:space="0" w:color="auto"/>
            <w:bottom w:val="none" w:sz="0" w:space="0" w:color="auto"/>
            <w:right w:val="none" w:sz="0" w:space="0" w:color="auto"/>
          </w:divBdr>
          <w:divsChild>
            <w:div w:id="1632707873">
              <w:marLeft w:val="0"/>
              <w:marRight w:val="0"/>
              <w:marTop w:val="0"/>
              <w:marBottom w:val="0"/>
              <w:divBdr>
                <w:top w:val="none" w:sz="0" w:space="0" w:color="auto"/>
                <w:left w:val="none" w:sz="0" w:space="0" w:color="auto"/>
                <w:bottom w:val="none" w:sz="0" w:space="0" w:color="auto"/>
                <w:right w:val="none" w:sz="0" w:space="0" w:color="auto"/>
              </w:divBdr>
            </w:div>
          </w:divsChild>
        </w:div>
        <w:div w:id="1984188544">
          <w:marLeft w:val="0"/>
          <w:marRight w:val="0"/>
          <w:marTop w:val="0"/>
          <w:marBottom w:val="0"/>
          <w:divBdr>
            <w:top w:val="none" w:sz="0" w:space="0" w:color="auto"/>
            <w:left w:val="none" w:sz="0" w:space="0" w:color="auto"/>
            <w:bottom w:val="none" w:sz="0" w:space="0" w:color="auto"/>
            <w:right w:val="none" w:sz="0" w:space="0" w:color="auto"/>
          </w:divBdr>
          <w:divsChild>
            <w:div w:id="1749040375">
              <w:marLeft w:val="0"/>
              <w:marRight w:val="0"/>
              <w:marTop w:val="0"/>
              <w:marBottom w:val="0"/>
              <w:divBdr>
                <w:top w:val="none" w:sz="0" w:space="0" w:color="auto"/>
                <w:left w:val="none" w:sz="0" w:space="0" w:color="auto"/>
                <w:bottom w:val="none" w:sz="0" w:space="0" w:color="auto"/>
                <w:right w:val="none" w:sz="0" w:space="0" w:color="auto"/>
              </w:divBdr>
            </w:div>
          </w:divsChild>
        </w:div>
        <w:div w:id="1986619292">
          <w:marLeft w:val="0"/>
          <w:marRight w:val="0"/>
          <w:marTop w:val="0"/>
          <w:marBottom w:val="0"/>
          <w:divBdr>
            <w:top w:val="none" w:sz="0" w:space="0" w:color="auto"/>
            <w:left w:val="none" w:sz="0" w:space="0" w:color="auto"/>
            <w:bottom w:val="none" w:sz="0" w:space="0" w:color="auto"/>
            <w:right w:val="none" w:sz="0" w:space="0" w:color="auto"/>
          </w:divBdr>
          <w:divsChild>
            <w:div w:id="1170291552">
              <w:marLeft w:val="0"/>
              <w:marRight w:val="0"/>
              <w:marTop w:val="0"/>
              <w:marBottom w:val="0"/>
              <w:divBdr>
                <w:top w:val="none" w:sz="0" w:space="0" w:color="auto"/>
                <w:left w:val="none" w:sz="0" w:space="0" w:color="auto"/>
                <w:bottom w:val="none" w:sz="0" w:space="0" w:color="auto"/>
                <w:right w:val="none" w:sz="0" w:space="0" w:color="auto"/>
              </w:divBdr>
            </w:div>
          </w:divsChild>
        </w:div>
        <w:div w:id="1991207931">
          <w:marLeft w:val="0"/>
          <w:marRight w:val="0"/>
          <w:marTop w:val="0"/>
          <w:marBottom w:val="0"/>
          <w:divBdr>
            <w:top w:val="none" w:sz="0" w:space="0" w:color="auto"/>
            <w:left w:val="none" w:sz="0" w:space="0" w:color="auto"/>
            <w:bottom w:val="none" w:sz="0" w:space="0" w:color="auto"/>
            <w:right w:val="none" w:sz="0" w:space="0" w:color="auto"/>
          </w:divBdr>
          <w:divsChild>
            <w:div w:id="15271733">
              <w:marLeft w:val="0"/>
              <w:marRight w:val="0"/>
              <w:marTop w:val="0"/>
              <w:marBottom w:val="0"/>
              <w:divBdr>
                <w:top w:val="none" w:sz="0" w:space="0" w:color="auto"/>
                <w:left w:val="none" w:sz="0" w:space="0" w:color="auto"/>
                <w:bottom w:val="none" w:sz="0" w:space="0" w:color="auto"/>
                <w:right w:val="none" w:sz="0" w:space="0" w:color="auto"/>
              </w:divBdr>
            </w:div>
          </w:divsChild>
        </w:div>
        <w:div w:id="1992170900">
          <w:marLeft w:val="0"/>
          <w:marRight w:val="0"/>
          <w:marTop w:val="0"/>
          <w:marBottom w:val="0"/>
          <w:divBdr>
            <w:top w:val="none" w:sz="0" w:space="0" w:color="auto"/>
            <w:left w:val="none" w:sz="0" w:space="0" w:color="auto"/>
            <w:bottom w:val="none" w:sz="0" w:space="0" w:color="auto"/>
            <w:right w:val="none" w:sz="0" w:space="0" w:color="auto"/>
          </w:divBdr>
          <w:divsChild>
            <w:div w:id="327099106">
              <w:marLeft w:val="0"/>
              <w:marRight w:val="0"/>
              <w:marTop w:val="0"/>
              <w:marBottom w:val="0"/>
              <w:divBdr>
                <w:top w:val="none" w:sz="0" w:space="0" w:color="auto"/>
                <w:left w:val="none" w:sz="0" w:space="0" w:color="auto"/>
                <w:bottom w:val="none" w:sz="0" w:space="0" w:color="auto"/>
                <w:right w:val="none" w:sz="0" w:space="0" w:color="auto"/>
              </w:divBdr>
            </w:div>
            <w:div w:id="464474148">
              <w:marLeft w:val="0"/>
              <w:marRight w:val="0"/>
              <w:marTop w:val="0"/>
              <w:marBottom w:val="0"/>
              <w:divBdr>
                <w:top w:val="none" w:sz="0" w:space="0" w:color="auto"/>
                <w:left w:val="none" w:sz="0" w:space="0" w:color="auto"/>
                <w:bottom w:val="none" w:sz="0" w:space="0" w:color="auto"/>
                <w:right w:val="none" w:sz="0" w:space="0" w:color="auto"/>
              </w:divBdr>
            </w:div>
            <w:div w:id="1037124662">
              <w:marLeft w:val="0"/>
              <w:marRight w:val="0"/>
              <w:marTop w:val="0"/>
              <w:marBottom w:val="0"/>
              <w:divBdr>
                <w:top w:val="none" w:sz="0" w:space="0" w:color="auto"/>
                <w:left w:val="none" w:sz="0" w:space="0" w:color="auto"/>
                <w:bottom w:val="none" w:sz="0" w:space="0" w:color="auto"/>
                <w:right w:val="none" w:sz="0" w:space="0" w:color="auto"/>
              </w:divBdr>
            </w:div>
            <w:div w:id="1752118957">
              <w:marLeft w:val="0"/>
              <w:marRight w:val="0"/>
              <w:marTop w:val="0"/>
              <w:marBottom w:val="0"/>
              <w:divBdr>
                <w:top w:val="none" w:sz="0" w:space="0" w:color="auto"/>
                <w:left w:val="none" w:sz="0" w:space="0" w:color="auto"/>
                <w:bottom w:val="none" w:sz="0" w:space="0" w:color="auto"/>
                <w:right w:val="none" w:sz="0" w:space="0" w:color="auto"/>
              </w:divBdr>
            </w:div>
          </w:divsChild>
        </w:div>
        <w:div w:id="1999650102">
          <w:marLeft w:val="0"/>
          <w:marRight w:val="0"/>
          <w:marTop w:val="0"/>
          <w:marBottom w:val="0"/>
          <w:divBdr>
            <w:top w:val="none" w:sz="0" w:space="0" w:color="auto"/>
            <w:left w:val="none" w:sz="0" w:space="0" w:color="auto"/>
            <w:bottom w:val="none" w:sz="0" w:space="0" w:color="auto"/>
            <w:right w:val="none" w:sz="0" w:space="0" w:color="auto"/>
          </w:divBdr>
          <w:divsChild>
            <w:div w:id="286667142">
              <w:marLeft w:val="0"/>
              <w:marRight w:val="0"/>
              <w:marTop w:val="0"/>
              <w:marBottom w:val="0"/>
              <w:divBdr>
                <w:top w:val="none" w:sz="0" w:space="0" w:color="auto"/>
                <w:left w:val="none" w:sz="0" w:space="0" w:color="auto"/>
                <w:bottom w:val="none" w:sz="0" w:space="0" w:color="auto"/>
                <w:right w:val="none" w:sz="0" w:space="0" w:color="auto"/>
              </w:divBdr>
            </w:div>
            <w:div w:id="485319550">
              <w:marLeft w:val="0"/>
              <w:marRight w:val="0"/>
              <w:marTop w:val="0"/>
              <w:marBottom w:val="0"/>
              <w:divBdr>
                <w:top w:val="none" w:sz="0" w:space="0" w:color="auto"/>
                <w:left w:val="none" w:sz="0" w:space="0" w:color="auto"/>
                <w:bottom w:val="none" w:sz="0" w:space="0" w:color="auto"/>
                <w:right w:val="none" w:sz="0" w:space="0" w:color="auto"/>
              </w:divBdr>
            </w:div>
            <w:div w:id="1086027781">
              <w:marLeft w:val="0"/>
              <w:marRight w:val="0"/>
              <w:marTop w:val="0"/>
              <w:marBottom w:val="0"/>
              <w:divBdr>
                <w:top w:val="none" w:sz="0" w:space="0" w:color="auto"/>
                <w:left w:val="none" w:sz="0" w:space="0" w:color="auto"/>
                <w:bottom w:val="none" w:sz="0" w:space="0" w:color="auto"/>
                <w:right w:val="none" w:sz="0" w:space="0" w:color="auto"/>
              </w:divBdr>
            </w:div>
            <w:div w:id="1900166063">
              <w:marLeft w:val="0"/>
              <w:marRight w:val="0"/>
              <w:marTop w:val="0"/>
              <w:marBottom w:val="0"/>
              <w:divBdr>
                <w:top w:val="none" w:sz="0" w:space="0" w:color="auto"/>
                <w:left w:val="none" w:sz="0" w:space="0" w:color="auto"/>
                <w:bottom w:val="none" w:sz="0" w:space="0" w:color="auto"/>
                <w:right w:val="none" w:sz="0" w:space="0" w:color="auto"/>
              </w:divBdr>
            </w:div>
            <w:div w:id="1952203034">
              <w:marLeft w:val="0"/>
              <w:marRight w:val="0"/>
              <w:marTop w:val="0"/>
              <w:marBottom w:val="0"/>
              <w:divBdr>
                <w:top w:val="none" w:sz="0" w:space="0" w:color="auto"/>
                <w:left w:val="none" w:sz="0" w:space="0" w:color="auto"/>
                <w:bottom w:val="none" w:sz="0" w:space="0" w:color="auto"/>
                <w:right w:val="none" w:sz="0" w:space="0" w:color="auto"/>
              </w:divBdr>
            </w:div>
          </w:divsChild>
        </w:div>
        <w:div w:id="2000110963">
          <w:marLeft w:val="0"/>
          <w:marRight w:val="0"/>
          <w:marTop w:val="0"/>
          <w:marBottom w:val="0"/>
          <w:divBdr>
            <w:top w:val="none" w:sz="0" w:space="0" w:color="auto"/>
            <w:left w:val="none" w:sz="0" w:space="0" w:color="auto"/>
            <w:bottom w:val="none" w:sz="0" w:space="0" w:color="auto"/>
            <w:right w:val="none" w:sz="0" w:space="0" w:color="auto"/>
          </w:divBdr>
          <w:divsChild>
            <w:div w:id="387383693">
              <w:marLeft w:val="0"/>
              <w:marRight w:val="0"/>
              <w:marTop w:val="0"/>
              <w:marBottom w:val="0"/>
              <w:divBdr>
                <w:top w:val="none" w:sz="0" w:space="0" w:color="auto"/>
                <w:left w:val="none" w:sz="0" w:space="0" w:color="auto"/>
                <w:bottom w:val="none" w:sz="0" w:space="0" w:color="auto"/>
                <w:right w:val="none" w:sz="0" w:space="0" w:color="auto"/>
              </w:divBdr>
            </w:div>
          </w:divsChild>
        </w:div>
        <w:div w:id="2001956943">
          <w:marLeft w:val="0"/>
          <w:marRight w:val="0"/>
          <w:marTop w:val="0"/>
          <w:marBottom w:val="0"/>
          <w:divBdr>
            <w:top w:val="none" w:sz="0" w:space="0" w:color="auto"/>
            <w:left w:val="none" w:sz="0" w:space="0" w:color="auto"/>
            <w:bottom w:val="none" w:sz="0" w:space="0" w:color="auto"/>
            <w:right w:val="none" w:sz="0" w:space="0" w:color="auto"/>
          </w:divBdr>
          <w:divsChild>
            <w:div w:id="267544318">
              <w:marLeft w:val="0"/>
              <w:marRight w:val="0"/>
              <w:marTop w:val="0"/>
              <w:marBottom w:val="0"/>
              <w:divBdr>
                <w:top w:val="none" w:sz="0" w:space="0" w:color="auto"/>
                <w:left w:val="none" w:sz="0" w:space="0" w:color="auto"/>
                <w:bottom w:val="none" w:sz="0" w:space="0" w:color="auto"/>
                <w:right w:val="none" w:sz="0" w:space="0" w:color="auto"/>
              </w:divBdr>
            </w:div>
            <w:div w:id="1398550101">
              <w:marLeft w:val="0"/>
              <w:marRight w:val="0"/>
              <w:marTop w:val="0"/>
              <w:marBottom w:val="0"/>
              <w:divBdr>
                <w:top w:val="none" w:sz="0" w:space="0" w:color="auto"/>
                <w:left w:val="none" w:sz="0" w:space="0" w:color="auto"/>
                <w:bottom w:val="none" w:sz="0" w:space="0" w:color="auto"/>
                <w:right w:val="none" w:sz="0" w:space="0" w:color="auto"/>
              </w:divBdr>
            </w:div>
          </w:divsChild>
        </w:div>
        <w:div w:id="2002930092">
          <w:marLeft w:val="0"/>
          <w:marRight w:val="0"/>
          <w:marTop w:val="0"/>
          <w:marBottom w:val="0"/>
          <w:divBdr>
            <w:top w:val="none" w:sz="0" w:space="0" w:color="auto"/>
            <w:left w:val="none" w:sz="0" w:space="0" w:color="auto"/>
            <w:bottom w:val="none" w:sz="0" w:space="0" w:color="auto"/>
            <w:right w:val="none" w:sz="0" w:space="0" w:color="auto"/>
          </w:divBdr>
          <w:divsChild>
            <w:div w:id="547650718">
              <w:marLeft w:val="0"/>
              <w:marRight w:val="0"/>
              <w:marTop w:val="0"/>
              <w:marBottom w:val="0"/>
              <w:divBdr>
                <w:top w:val="none" w:sz="0" w:space="0" w:color="auto"/>
                <w:left w:val="none" w:sz="0" w:space="0" w:color="auto"/>
                <w:bottom w:val="none" w:sz="0" w:space="0" w:color="auto"/>
                <w:right w:val="none" w:sz="0" w:space="0" w:color="auto"/>
              </w:divBdr>
            </w:div>
          </w:divsChild>
        </w:div>
        <w:div w:id="2004117842">
          <w:marLeft w:val="0"/>
          <w:marRight w:val="0"/>
          <w:marTop w:val="0"/>
          <w:marBottom w:val="0"/>
          <w:divBdr>
            <w:top w:val="none" w:sz="0" w:space="0" w:color="auto"/>
            <w:left w:val="none" w:sz="0" w:space="0" w:color="auto"/>
            <w:bottom w:val="none" w:sz="0" w:space="0" w:color="auto"/>
            <w:right w:val="none" w:sz="0" w:space="0" w:color="auto"/>
          </w:divBdr>
          <w:divsChild>
            <w:div w:id="681278516">
              <w:marLeft w:val="0"/>
              <w:marRight w:val="0"/>
              <w:marTop w:val="0"/>
              <w:marBottom w:val="0"/>
              <w:divBdr>
                <w:top w:val="none" w:sz="0" w:space="0" w:color="auto"/>
                <w:left w:val="none" w:sz="0" w:space="0" w:color="auto"/>
                <w:bottom w:val="none" w:sz="0" w:space="0" w:color="auto"/>
                <w:right w:val="none" w:sz="0" w:space="0" w:color="auto"/>
              </w:divBdr>
            </w:div>
            <w:div w:id="1415780098">
              <w:marLeft w:val="0"/>
              <w:marRight w:val="0"/>
              <w:marTop w:val="0"/>
              <w:marBottom w:val="0"/>
              <w:divBdr>
                <w:top w:val="none" w:sz="0" w:space="0" w:color="auto"/>
                <w:left w:val="none" w:sz="0" w:space="0" w:color="auto"/>
                <w:bottom w:val="none" w:sz="0" w:space="0" w:color="auto"/>
                <w:right w:val="none" w:sz="0" w:space="0" w:color="auto"/>
              </w:divBdr>
            </w:div>
          </w:divsChild>
        </w:div>
        <w:div w:id="2004552185">
          <w:marLeft w:val="0"/>
          <w:marRight w:val="0"/>
          <w:marTop w:val="0"/>
          <w:marBottom w:val="0"/>
          <w:divBdr>
            <w:top w:val="none" w:sz="0" w:space="0" w:color="auto"/>
            <w:left w:val="none" w:sz="0" w:space="0" w:color="auto"/>
            <w:bottom w:val="none" w:sz="0" w:space="0" w:color="auto"/>
            <w:right w:val="none" w:sz="0" w:space="0" w:color="auto"/>
          </w:divBdr>
          <w:divsChild>
            <w:div w:id="498816673">
              <w:marLeft w:val="0"/>
              <w:marRight w:val="0"/>
              <w:marTop w:val="0"/>
              <w:marBottom w:val="0"/>
              <w:divBdr>
                <w:top w:val="none" w:sz="0" w:space="0" w:color="auto"/>
                <w:left w:val="none" w:sz="0" w:space="0" w:color="auto"/>
                <w:bottom w:val="none" w:sz="0" w:space="0" w:color="auto"/>
                <w:right w:val="none" w:sz="0" w:space="0" w:color="auto"/>
              </w:divBdr>
            </w:div>
          </w:divsChild>
        </w:div>
        <w:div w:id="2009937165">
          <w:marLeft w:val="0"/>
          <w:marRight w:val="0"/>
          <w:marTop w:val="0"/>
          <w:marBottom w:val="0"/>
          <w:divBdr>
            <w:top w:val="none" w:sz="0" w:space="0" w:color="auto"/>
            <w:left w:val="none" w:sz="0" w:space="0" w:color="auto"/>
            <w:bottom w:val="none" w:sz="0" w:space="0" w:color="auto"/>
            <w:right w:val="none" w:sz="0" w:space="0" w:color="auto"/>
          </w:divBdr>
          <w:divsChild>
            <w:div w:id="569390257">
              <w:marLeft w:val="0"/>
              <w:marRight w:val="0"/>
              <w:marTop w:val="0"/>
              <w:marBottom w:val="0"/>
              <w:divBdr>
                <w:top w:val="none" w:sz="0" w:space="0" w:color="auto"/>
                <w:left w:val="none" w:sz="0" w:space="0" w:color="auto"/>
                <w:bottom w:val="none" w:sz="0" w:space="0" w:color="auto"/>
                <w:right w:val="none" w:sz="0" w:space="0" w:color="auto"/>
              </w:divBdr>
            </w:div>
          </w:divsChild>
        </w:div>
        <w:div w:id="2030175445">
          <w:marLeft w:val="0"/>
          <w:marRight w:val="0"/>
          <w:marTop w:val="0"/>
          <w:marBottom w:val="0"/>
          <w:divBdr>
            <w:top w:val="none" w:sz="0" w:space="0" w:color="auto"/>
            <w:left w:val="none" w:sz="0" w:space="0" w:color="auto"/>
            <w:bottom w:val="none" w:sz="0" w:space="0" w:color="auto"/>
            <w:right w:val="none" w:sz="0" w:space="0" w:color="auto"/>
          </w:divBdr>
          <w:divsChild>
            <w:div w:id="1083182538">
              <w:marLeft w:val="0"/>
              <w:marRight w:val="0"/>
              <w:marTop w:val="0"/>
              <w:marBottom w:val="0"/>
              <w:divBdr>
                <w:top w:val="none" w:sz="0" w:space="0" w:color="auto"/>
                <w:left w:val="none" w:sz="0" w:space="0" w:color="auto"/>
                <w:bottom w:val="none" w:sz="0" w:space="0" w:color="auto"/>
                <w:right w:val="none" w:sz="0" w:space="0" w:color="auto"/>
              </w:divBdr>
            </w:div>
          </w:divsChild>
        </w:div>
        <w:div w:id="2033453468">
          <w:marLeft w:val="0"/>
          <w:marRight w:val="0"/>
          <w:marTop w:val="0"/>
          <w:marBottom w:val="0"/>
          <w:divBdr>
            <w:top w:val="none" w:sz="0" w:space="0" w:color="auto"/>
            <w:left w:val="none" w:sz="0" w:space="0" w:color="auto"/>
            <w:bottom w:val="none" w:sz="0" w:space="0" w:color="auto"/>
            <w:right w:val="none" w:sz="0" w:space="0" w:color="auto"/>
          </w:divBdr>
          <w:divsChild>
            <w:div w:id="1681081652">
              <w:marLeft w:val="0"/>
              <w:marRight w:val="0"/>
              <w:marTop w:val="0"/>
              <w:marBottom w:val="0"/>
              <w:divBdr>
                <w:top w:val="none" w:sz="0" w:space="0" w:color="auto"/>
                <w:left w:val="none" w:sz="0" w:space="0" w:color="auto"/>
                <w:bottom w:val="none" w:sz="0" w:space="0" w:color="auto"/>
                <w:right w:val="none" w:sz="0" w:space="0" w:color="auto"/>
              </w:divBdr>
            </w:div>
          </w:divsChild>
        </w:div>
        <w:div w:id="2049445971">
          <w:marLeft w:val="0"/>
          <w:marRight w:val="0"/>
          <w:marTop w:val="0"/>
          <w:marBottom w:val="0"/>
          <w:divBdr>
            <w:top w:val="none" w:sz="0" w:space="0" w:color="auto"/>
            <w:left w:val="none" w:sz="0" w:space="0" w:color="auto"/>
            <w:bottom w:val="none" w:sz="0" w:space="0" w:color="auto"/>
            <w:right w:val="none" w:sz="0" w:space="0" w:color="auto"/>
          </w:divBdr>
          <w:divsChild>
            <w:div w:id="1421179612">
              <w:marLeft w:val="0"/>
              <w:marRight w:val="0"/>
              <w:marTop w:val="0"/>
              <w:marBottom w:val="0"/>
              <w:divBdr>
                <w:top w:val="none" w:sz="0" w:space="0" w:color="auto"/>
                <w:left w:val="none" w:sz="0" w:space="0" w:color="auto"/>
                <w:bottom w:val="none" w:sz="0" w:space="0" w:color="auto"/>
                <w:right w:val="none" w:sz="0" w:space="0" w:color="auto"/>
              </w:divBdr>
            </w:div>
          </w:divsChild>
        </w:div>
        <w:div w:id="2050177322">
          <w:marLeft w:val="0"/>
          <w:marRight w:val="0"/>
          <w:marTop w:val="0"/>
          <w:marBottom w:val="0"/>
          <w:divBdr>
            <w:top w:val="none" w:sz="0" w:space="0" w:color="auto"/>
            <w:left w:val="none" w:sz="0" w:space="0" w:color="auto"/>
            <w:bottom w:val="none" w:sz="0" w:space="0" w:color="auto"/>
            <w:right w:val="none" w:sz="0" w:space="0" w:color="auto"/>
          </w:divBdr>
          <w:divsChild>
            <w:div w:id="253825302">
              <w:marLeft w:val="0"/>
              <w:marRight w:val="0"/>
              <w:marTop w:val="0"/>
              <w:marBottom w:val="0"/>
              <w:divBdr>
                <w:top w:val="none" w:sz="0" w:space="0" w:color="auto"/>
                <w:left w:val="none" w:sz="0" w:space="0" w:color="auto"/>
                <w:bottom w:val="none" w:sz="0" w:space="0" w:color="auto"/>
                <w:right w:val="none" w:sz="0" w:space="0" w:color="auto"/>
              </w:divBdr>
            </w:div>
            <w:div w:id="1016689032">
              <w:marLeft w:val="0"/>
              <w:marRight w:val="0"/>
              <w:marTop w:val="0"/>
              <w:marBottom w:val="0"/>
              <w:divBdr>
                <w:top w:val="none" w:sz="0" w:space="0" w:color="auto"/>
                <w:left w:val="none" w:sz="0" w:space="0" w:color="auto"/>
                <w:bottom w:val="none" w:sz="0" w:space="0" w:color="auto"/>
                <w:right w:val="none" w:sz="0" w:space="0" w:color="auto"/>
              </w:divBdr>
            </w:div>
          </w:divsChild>
        </w:div>
        <w:div w:id="2051103505">
          <w:marLeft w:val="0"/>
          <w:marRight w:val="0"/>
          <w:marTop w:val="0"/>
          <w:marBottom w:val="0"/>
          <w:divBdr>
            <w:top w:val="none" w:sz="0" w:space="0" w:color="auto"/>
            <w:left w:val="none" w:sz="0" w:space="0" w:color="auto"/>
            <w:bottom w:val="none" w:sz="0" w:space="0" w:color="auto"/>
            <w:right w:val="none" w:sz="0" w:space="0" w:color="auto"/>
          </w:divBdr>
          <w:divsChild>
            <w:div w:id="325744471">
              <w:marLeft w:val="0"/>
              <w:marRight w:val="0"/>
              <w:marTop w:val="0"/>
              <w:marBottom w:val="0"/>
              <w:divBdr>
                <w:top w:val="none" w:sz="0" w:space="0" w:color="auto"/>
                <w:left w:val="none" w:sz="0" w:space="0" w:color="auto"/>
                <w:bottom w:val="none" w:sz="0" w:space="0" w:color="auto"/>
                <w:right w:val="none" w:sz="0" w:space="0" w:color="auto"/>
              </w:divBdr>
            </w:div>
          </w:divsChild>
        </w:div>
        <w:div w:id="2051874588">
          <w:marLeft w:val="0"/>
          <w:marRight w:val="0"/>
          <w:marTop w:val="0"/>
          <w:marBottom w:val="0"/>
          <w:divBdr>
            <w:top w:val="none" w:sz="0" w:space="0" w:color="auto"/>
            <w:left w:val="none" w:sz="0" w:space="0" w:color="auto"/>
            <w:bottom w:val="none" w:sz="0" w:space="0" w:color="auto"/>
            <w:right w:val="none" w:sz="0" w:space="0" w:color="auto"/>
          </w:divBdr>
          <w:divsChild>
            <w:div w:id="32269469">
              <w:marLeft w:val="0"/>
              <w:marRight w:val="0"/>
              <w:marTop w:val="0"/>
              <w:marBottom w:val="0"/>
              <w:divBdr>
                <w:top w:val="none" w:sz="0" w:space="0" w:color="auto"/>
                <w:left w:val="none" w:sz="0" w:space="0" w:color="auto"/>
                <w:bottom w:val="none" w:sz="0" w:space="0" w:color="auto"/>
                <w:right w:val="none" w:sz="0" w:space="0" w:color="auto"/>
              </w:divBdr>
            </w:div>
            <w:div w:id="987318686">
              <w:marLeft w:val="0"/>
              <w:marRight w:val="0"/>
              <w:marTop w:val="0"/>
              <w:marBottom w:val="0"/>
              <w:divBdr>
                <w:top w:val="none" w:sz="0" w:space="0" w:color="auto"/>
                <w:left w:val="none" w:sz="0" w:space="0" w:color="auto"/>
                <w:bottom w:val="none" w:sz="0" w:space="0" w:color="auto"/>
                <w:right w:val="none" w:sz="0" w:space="0" w:color="auto"/>
              </w:divBdr>
            </w:div>
            <w:div w:id="1220749570">
              <w:marLeft w:val="0"/>
              <w:marRight w:val="0"/>
              <w:marTop w:val="0"/>
              <w:marBottom w:val="0"/>
              <w:divBdr>
                <w:top w:val="none" w:sz="0" w:space="0" w:color="auto"/>
                <w:left w:val="none" w:sz="0" w:space="0" w:color="auto"/>
                <w:bottom w:val="none" w:sz="0" w:space="0" w:color="auto"/>
                <w:right w:val="none" w:sz="0" w:space="0" w:color="auto"/>
              </w:divBdr>
            </w:div>
            <w:div w:id="1225290006">
              <w:marLeft w:val="0"/>
              <w:marRight w:val="0"/>
              <w:marTop w:val="0"/>
              <w:marBottom w:val="0"/>
              <w:divBdr>
                <w:top w:val="none" w:sz="0" w:space="0" w:color="auto"/>
                <w:left w:val="none" w:sz="0" w:space="0" w:color="auto"/>
                <w:bottom w:val="none" w:sz="0" w:space="0" w:color="auto"/>
                <w:right w:val="none" w:sz="0" w:space="0" w:color="auto"/>
              </w:divBdr>
            </w:div>
          </w:divsChild>
        </w:div>
        <w:div w:id="2052260512">
          <w:marLeft w:val="0"/>
          <w:marRight w:val="0"/>
          <w:marTop w:val="0"/>
          <w:marBottom w:val="0"/>
          <w:divBdr>
            <w:top w:val="none" w:sz="0" w:space="0" w:color="auto"/>
            <w:left w:val="none" w:sz="0" w:space="0" w:color="auto"/>
            <w:bottom w:val="none" w:sz="0" w:space="0" w:color="auto"/>
            <w:right w:val="none" w:sz="0" w:space="0" w:color="auto"/>
          </w:divBdr>
          <w:divsChild>
            <w:div w:id="2059233677">
              <w:marLeft w:val="0"/>
              <w:marRight w:val="0"/>
              <w:marTop w:val="0"/>
              <w:marBottom w:val="0"/>
              <w:divBdr>
                <w:top w:val="none" w:sz="0" w:space="0" w:color="auto"/>
                <w:left w:val="none" w:sz="0" w:space="0" w:color="auto"/>
                <w:bottom w:val="none" w:sz="0" w:space="0" w:color="auto"/>
                <w:right w:val="none" w:sz="0" w:space="0" w:color="auto"/>
              </w:divBdr>
            </w:div>
          </w:divsChild>
        </w:div>
        <w:div w:id="2057701517">
          <w:marLeft w:val="0"/>
          <w:marRight w:val="0"/>
          <w:marTop w:val="0"/>
          <w:marBottom w:val="0"/>
          <w:divBdr>
            <w:top w:val="none" w:sz="0" w:space="0" w:color="auto"/>
            <w:left w:val="none" w:sz="0" w:space="0" w:color="auto"/>
            <w:bottom w:val="none" w:sz="0" w:space="0" w:color="auto"/>
            <w:right w:val="none" w:sz="0" w:space="0" w:color="auto"/>
          </w:divBdr>
          <w:divsChild>
            <w:div w:id="343212929">
              <w:marLeft w:val="0"/>
              <w:marRight w:val="0"/>
              <w:marTop w:val="0"/>
              <w:marBottom w:val="0"/>
              <w:divBdr>
                <w:top w:val="none" w:sz="0" w:space="0" w:color="auto"/>
                <w:left w:val="none" w:sz="0" w:space="0" w:color="auto"/>
                <w:bottom w:val="none" w:sz="0" w:space="0" w:color="auto"/>
                <w:right w:val="none" w:sz="0" w:space="0" w:color="auto"/>
              </w:divBdr>
            </w:div>
          </w:divsChild>
        </w:div>
        <w:div w:id="2067484970">
          <w:marLeft w:val="0"/>
          <w:marRight w:val="0"/>
          <w:marTop w:val="0"/>
          <w:marBottom w:val="0"/>
          <w:divBdr>
            <w:top w:val="none" w:sz="0" w:space="0" w:color="auto"/>
            <w:left w:val="none" w:sz="0" w:space="0" w:color="auto"/>
            <w:bottom w:val="none" w:sz="0" w:space="0" w:color="auto"/>
            <w:right w:val="none" w:sz="0" w:space="0" w:color="auto"/>
          </w:divBdr>
          <w:divsChild>
            <w:div w:id="478032743">
              <w:marLeft w:val="0"/>
              <w:marRight w:val="0"/>
              <w:marTop w:val="0"/>
              <w:marBottom w:val="0"/>
              <w:divBdr>
                <w:top w:val="none" w:sz="0" w:space="0" w:color="auto"/>
                <w:left w:val="none" w:sz="0" w:space="0" w:color="auto"/>
                <w:bottom w:val="none" w:sz="0" w:space="0" w:color="auto"/>
                <w:right w:val="none" w:sz="0" w:space="0" w:color="auto"/>
              </w:divBdr>
            </w:div>
            <w:div w:id="1034504446">
              <w:marLeft w:val="0"/>
              <w:marRight w:val="0"/>
              <w:marTop w:val="0"/>
              <w:marBottom w:val="0"/>
              <w:divBdr>
                <w:top w:val="none" w:sz="0" w:space="0" w:color="auto"/>
                <w:left w:val="none" w:sz="0" w:space="0" w:color="auto"/>
                <w:bottom w:val="none" w:sz="0" w:space="0" w:color="auto"/>
                <w:right w:val="none" w:sz="0" w:space="0" w:color="auto"/>
              </w:divBdr>
            </w:div>
            <w:div w:id="1044404634">
              <w:marLeft w:val="0"/>
              <w:marRight w:val="0"/>
              <w:marTop w:val="0"/>
              <w:marBottom w:val="0"/>
              <w:divBdr>
                <w:top w:val="none" w:sz="0" w:space="0" w:color="auto"/>
                <w:left w:val="none" w:sz="0" w:space="0" w:color="auto"/>
                <w:bottom w:val="none" w:sz="0" w:space="0" w:color="auto"/>
                <w:right w:val="none" w:sz="0" w:space="0" w:color="auto"/>
              </w:divBdr>
            </w:div>
            <w:div w:id="1580403441">
              <w:marLeft w:val="0"/>
              <w:marRight w:val="0"/>
              <w:marTop w:val="0"/>
              <w:marBottom w:val="0"/>
              <w:divBdr>
                <w:top w:val="none" w:sz="0" w:space="0" w:color="auto"/>
                <w:left w:val="none" w:sz="0" w:space="0" w:color="auto"/>
                <w:bottom w:val="none" w:sz="0" w:space="0" w:color="auto"/>
                <w:right w:val="none" w:sz="0" w:space="0" w:color="auto"/>
              </w:divBdr>
            </w:div>
          </w:divsChild>
        </w:div>
        <w:div w:id="2071266102">
          <w:marLeft w:val="0"/>
          <w:marRight w:val="0"/>
          <w:marTop w:val="0"/>
          <w:marBottom w:val="0"/>
          <w:divBdr>
            <w:top w:val="none" w:sz="0" w:space="0" w:color="auto"/>
            <w:left w:val="none" w:sz="0" w:space="0" w:color="auto"/>
            <w:bottom w:val="none" w:sz="0" w:space="0" w:color="auto"/>
            <w:right w:val="none" w:sz="0" w:space="0" w:color="auto"/>
          </w:divBdr>
          <w:divsChild>
            <w:div w:id="1637443231">
              <w:marLeft w:val="0"/>
              <w:marRight w:val="0"/>
              <w:marTop w:val="0"/>
              <w:marBottom w:val="0"/>
              <w:divBdr>
                <w:top w:val="none" w:sz="0" w:space="0" w:color="auto"/>
                <w:left w:val="none" w:sz="0" w:space="0" w:color="auto"/>
                <w:bottom w:val="none" w:sz="0" w:space="0" w:color="auto"/>
                <w:right w:val="none" w:sz="0" w:space="0" w:color="auto"/>
              </w:divBdr>
            </w:div>
          </w:divsChild>
        </w:div>
        <w:div w:id="2078478970">
          <w:marLeft w:val="0"/>
          <w:marRight w:val="0"/>
          <w:marTop w:val="0"/>
          <w:marBottom w:val="0"/>
          <w:divBdr>
            <w:top w:val="none" w:sz="0" w:space="0" w:color="auto"/>
            <w:left w:val="none" w:sz="0" w:space="0" w:color="auto"/>
            <w:bottom w:val="none" w:sz="0" w:space="0" w:color="auto"/>
            <w:right w:val="none" w:sz="0" w:space="0" w:color="auto"/>
          </w:divBdr>
          <w:divsChild>
            <w:div w:id="56365138">
              <w:marLeft w:val="0"/>
              <w:marRight w:val="0"/>
              <w:marTop w:val="0"/>
              <w:marBottom w:val="0"/>
              <w:divBdr>
                <w:top w:val="none" w:sz="0" w:space="0" w:color="auto"/>
                <w:left w:val="none" w:sz="0" w:space="0" w:color="auto"/>
                <w:bottom w:val="none" w:sz="0" w:space="0" w:color="auto"/>
                <w:right w:val="none" w:sz="0" w:space="0" w:color="auto"/>
              </w:divBdr>
            </w:div>
            <w:div w:id="349719924">
              <w:marLeft w:val="0"/>
              <w:marRight w:val="0"/>
              <w:marTop w:val="0"/>
              <w:marBottom w:val="0"/>
              <w:divBdr>
                <w:top w:val="none" w:sz="0" w:space="0" w:color="auto"/>
                <w:left w:val="none" w:sz="0" w:space="0" w:color="auto"/>
                <w:bottom w:val="none" w:sz="0" w:space="0" w:color="auto"/>
                <w:right w:val="none" w:sz="0" w:space="0" w:color="auto"/>
              </w:divBdr>
            </w:div>
          </w:divsChild>
        </w:div>
        <w:div w:id="2078821590">
          <w:marLeft w:val="0"/>
          <w:marRight w:val="0"/>
          <w:marTop w:val="0"/>
          <w:marBottom w:val="0"/>
          <w:divBdr>
            <w:top w:val="none" w:sz="0" w:space="0" w:color="auto"/>
            <w:left w:val="none" w:sz="0" w:space="0" w:color="auto"/>
            <w:bottom w:val="none" w:sz="0" w:space="0" w:color="auto"/>
            <w:right w:val="none" w:sz="0" w:space="0" w:color="auto"/>
          </w:divBdr>
          <w:divsChild>
            <w:div w:id="1377703933">
              <w:marLeft w:val="0"/>
              <w:marRight w:val="0"/>
              <w:marTop w:val="0"/>
              <w:marBottom w:val="0"/>
              <w:divBdr>
                <w:top w:val="none" w:sz="0" w:space="0" w:color="auto"/>
                <w:left w:val="none" w:sz="0" w:space="0" w:color="auto"/>
                <w:bottom w:val="none" w:sz="0" w:space="0" w:color="auto"/>
                <w:right w:val="none" w:sz="0" w:space="0" w:color="auto"/>
              </w:divBdr>
            </w:div>
            <w:div w:id="1686902739">
              <w:marLeft w:val="0"/>
              <w:marRight w:val="0"/>
              <w:marTop w:val="0"/>
              <w:marBottom w:val="0"/>
              <w:divBdr>
                <w:top w:val="none" w:sz="0" w:space="0" w:color="auto"/>
                <w:left w:val="none" w:sz="0" w:space="0" w:color="auto"/>
                <w:bottom w:val="none" w:sz="0" w:space="0" w:color="auto"/>
                <w:right w:val="none" w:sz="0" w:space="0" w:color="auto"/>
              </w:divBdr>
            </w:div>
          </w:divsChild>
        </w:div>
        <w:div w:id="2081055172">
          <w:marLeft w:val="0"/>
          <w:marRight w:val="0"/>
          <w:marTop w:val="0"/>
          <w:marBottom w:val="0"/>
          <w:divBdr>
            <w:top w:val="none" w:sz="0" w:space="0" w:color="auto"/>
            <w:left w:val="none" w:sz="0" w:space="0" w:color="auto"/>
            <w:bottom w:val="none" w:sz="0" w:space="0" w:color="auto"/>
            <w:right w:val="none" w:sz="0" w:space="0" w:color="auto"/>
          </w:divBdr>
          <w:divsChild>
            <w:div w:id="1214466045">
              <w:marLeft w:val="0"/>
              <w:marRight w:val="0"/>
              <w:marTop w:val="0"/>
              <w:marBottom w:val="0"/>
              <w:divBdr>
                <w:top w:val="none" w:sz="0" w:space="0" w:color="auto"/>
                <w:left w:val="none" w:sz="0" w:space="0" w:color="auto"/>
                <w:bottom w:val="none" w:sz="0" w:space="0" w:color="auto"/>
                <w:right w:val="none" w:sz="0" w:space="0" w:color="auto"/>
              </w:divBdr>
            </w:div>
            <w:div w:id="1424260004">
              <w:marLeft w:val="0"/>
              <w:marRight w:val="0"/>
              <w:marTop w:val="0"/>
              <w:marBottom w:val="0"/>
              <w:divBdr>
                <w:top w:val="none" w:sz="0" w:space="0" w:color="auto"/>
                <w:left w:val="none" w:sz="0" w:space="0" w:color="auto"/>
                <w:bottom w:val="none" w:sz="0" w:space="0" w:color="auto"/>
                <w:right w:val="none" w:sz="0" w:space="0" w:color="auto"/>
              </w:divBdr>
            </w:div>
          </w:divsChild>
        </w:div>
        <w:div w:id="2082023694">
          <w:marLeft w:val="0"/>
          <w:marRight w:val="0"/>
          <w:marTop w:val="0"/>
          <w:marBottom w:val="0"/>
          <w:divBdr>
            <w:top w:val="none" w:sz="0" w:space="0" w:color="auto"/>
            <w:left w:val="none" w:sz="0" w:space="0" w:color="auto"/>
            <w:bottom w:val="none" w:sz="0" w:space="0" w:color="auto"/>
            <w:right w:val="none" w:sz="0" w:space="0" w:color="auto"/>
          </w:divBdr>
          <w:divsChild>
            <w:div w:id="1863279376">
              <w:marLeft w:val="0"/>
              <w:marRight w:val="0"/>
              <w:marTop w:val="0"/>
              <w:marBottom w:val="0"/>
              <w:divBdr>
                <w:top w:val="none" w:sz="0" w:space="0" w:color="auto"/>
                <w:left w:val="none" w:sz="0" w:space="0" w:color="auto"/>
                <w:bottom w:val="none" w:sz="0" w:space="0" w:color="auto"/>
                <w:right w:val="none" w:sz="0" w:space="0" w:color="auto"/>
              </w:divBdr>
            </w:div>
          </w:divsChild>
        </w:div>
        <w:div w:id="2087679251">
          <w:marLeft w:val="0"/>
          <w:marRight w:val="0"/>
          <w:marTop w:val="0"/>
          <w:marBottom w:val="0"/>
          <w:divBdr>
            <w:top w:val="none" w:sz="0" w:space="0" w:color="auto"/>
            <w:left w:val="none" w:sz="0" w:space="0" w:color="auto"/>
            <w:bottom w:val="none" w:sz="0" w:space="0" w:color="auto"/>
            <w:right w:val="none" w:sz="0" w:space="0" w:color="auto"/>
          </w:divBdr>
          <w:divsChild>
            <w:div w:id="459804029">
              <w:marLeft w:val="0"/>
              <w:marRight w:val="0"/>
              <w:marTop w:val="0"/>
              <w:marBottom w:val="0"/>
              <w:divBdr>
                <w:top w:val="none" w:sz="0" w:space="0" w:color="auto"/>
                <w:left w:val="none" w:sz="0" w:space="0" w:color="auto"/>
                <w:bottom w:val="none" w:sz="0" w:space="0" w:color="auto"/>
                <w:right w:val="none" w:sz="0" w:space="0" w:color="auto"/>
              </w:divBdr>
            </w:div>
          </w:divsChild>
        </w:div>
        <w:div w:id="2091853420">
          <w:marLeft w:val="0"/>
          <w:marRight w:val="0"/>
          <w:marTop w:val="0"/>
          <w:marBottom w:val="0"/>
          <w:divBdr>
            <w:top w:val="none" w:sz="0" w:space="0" w:color="auto"/>
            <w:left w:val="none" w:sz="0" w:space="0" w:color="auto"/>
            <w:bottom w:val="none" w:sz="0" w:space="0" w:color="auto"/>
            <w:right w:val="none" w:sz="0" w:space="0" w:color="auto"/>
          </w:divBdr>
          <w:divsChild>
            <w:div w:id="689647769">
              <w:marLeft w:val="0"/>
              <w:marRight w:val="0"/>
              <w:marTop w:val="0"/>
              <w:marBottom w:val="0"/>
              <w:divBdr>
                <w:top w:val="none" w:sz="0" w:space="0" w:color="auto"/>
                <w:left w:val="none" w:sz="0" w:space="0" w:color="auto"/>
                <w:bottom w:val="none" w:sz="0" w:space="0" w:color="auto"/>
                <w:right w:val="none" w:sz="0" w:space="0" w:color="auto"/>
              </w:divBdr>
            </w:div>
          </w:divsChild>
        </w:div>
        <w:div w:id="2093550101">
          <w:marLeft w:val="0"/>
          <w:marRight w:val="0"/>
          <w:marTop w:val="0"/>
          <w:marBottom w:val="0"/>
          <w:divBdr>
            <w:top w:val="none" w:sz="0" w:space="0" w:color="auto"/>
            <w:left w:val="none" w:sz="0" w:space="0" w:color="auto"/>
            <w:bottom w:val="none" w:sz="0" w:space="0" w:color="auto"/>
            <w:right w:val="none" w:sz="0" w:space="0" w:color="auto"/>
          </w:divBdr>
          <w:divsChild>
            <w:div w:id="183441212">
              <w:marLeft w:val="0"/>
              <w:marRight w:val="0"/>
              <w:marTop w:val="0"/>
              <w:marBottom w:val="0"/>
              <w:divBdr>
                <w:top w:val="none" w:sz="0" w:space="0" w:color="auto"/>
                <w:left w:val="none" w:sz="0" w:space="0" w:color="auto"/>
                <w:bottom w:val="none" w:sz="0" w:space="0" w:color="auto"/>
                <w:right w:val="none" w:sz="0" w:space="0" w:color="auto"/>
              </w:divBdr>
            </w:div>
            <w:div w:id="301690240">
              <w:marLeft w:val="0"/>
              <w:marRight w:val="0"/>
              <w:marTop w:val="0"/>
              <w:marBottom w:val="0"/>
              <w:divBdr>
                <w:top w:val="none" w:sz="0" w:space="0" w:color="auto"/>
                <w:left w:val="none" w:sz="0" w:space="0" w:color="auto"/>
                <w:bottom w:val="none" w:sz="0" w:space="0" w:color="auto"/>
                <w:right w:val="none" w:sz="0" w:space="0" w:color="auto"/>
              </w:divBdr>
            </w:div>
            <w:div w:id="1270813651">
              <w:marLeft w:val="0"/>
              <w:marRight w:val="0"/>
              <w:marTop w:val="0"/>
              <w:marBottom w:val="0"/>
              <w:divBdr>
                <w:top w:val="none" w:sz="0" w:space="0" w:color="auto"/>
                <w:left w:val="none" w:sz="0" w:space="0" w:color="auto"/>
                <w:bottom w:val="none" w:sz="0" w:space="0" w:color="auto"/>
                <w:right w:val="none" w:sz="0" w:space="0" w:color="auto"/>
              </w:divBdr>
            </w:div>
            <w:div w:id="1596547581">
              <w:marLeft w:val="0"/>
              <w:marRight w:val="0"/>
              <w:marTop w:val="0"/>
              <w:marBottom w:val="0"/>
              <w:divBdr>
                <w:top w:val="none" w:sz="0" w:space="0" w:color="auto"/>
                <w:left w:val="none" w:sz="0" w:space="0" w:color="auto"/>
                <w:bottom w:val="none" w:sz="0" w:space="0" w:color="auto"/>
                <w:right w:val="none" w:sz="0" w:space="0" w:color="auto"/>
              </w:divBdr>
            </w:div>
            <w:div w:id="1646665086">
              <w:marLeft w:val="0"/>
              <w:marRight w:val="0"/>
              <w:marTop w:val="0"/>
              <w:marBottom w:val="0"/>
              <w:divBdr>
                <w:top w:val="none" w:sz="0" w:space="0" w:color="auto"/>
                <w:left w:val="none" w:sz="0" w:space="0" w:color="auto"/>
                <w:bottom w:val="none" w:sz="0" w:space="0" w:color="auto"/>
                <w:right w:val="none" w:sz="0" w:space="0" w:color="auto"/>
              </w:divBdr>
            </w:div>
          </w:divsChild>
        </w:div>
        <w:div w:id="2099861293">
          <w:marLeft w:val="0"/>
          <w:marRight w:val="0"/>
          <w:marTop w:val="0"/>
          <w:marBottom w:val="0"/>
          <w:divBdr>
            <w:top w:val="none" w:sz="0" w:space="0" w:color="auto"/>
            <w:left w:val="none" w:sz="0" w:space="0" w:color="auto"/>
            <w:bottom w:val="none" w:sz="0" w:space="0" w:color="auto"/>
            <w:right w:val="none" w:sz="0" w:space="0" w:color="auto"/>
          </w:divBdr>
          <w:divsChild>
            <w:div w:id="69618768">
              <w:marLeft w:val="0"/>
              <w:marRight w:val="0"/>
              <w:marTop w:val="0"/>
              <w:marBottom w:val="0"/>
              <w:divBdr>
                <w:top w:val="none" w:sz="0" w:space="0" w:color="auto"/>
                <w:left w:val="none" w:sz="0" w:space="0" w:color="auto"/>
                <w:bottom w:val="none" w:sz="0" w:space="0" w:color="auto"/>
                <w:right w:val="none" w:sz="0" w:space="0" w:color="auto"/>
              </w:divBdr>
            </w:div>
            <w:div w:id="197208385">
              <w:marLeft w:val="0"/>
              <w:marRight w:val="0"/>
              <w:marTop w:val="0"/>
              <w:marBottom w:val="0"/>
              <w:divBdr>
                <w:top w:val="none" w:sz="0" w:space="0" w:color="auto"/>
                <w:left w:val="none" w:sz="0" w:space="0" w:color="auto"/>
                <w:bottom w:val="none" w:sz="0" w:space="0" w:color="auto"/>
                <w:right w:val="none" w:sz="0" w:space="0" w:color="auto"/>
              </w:divBdr>
            </w:div>
            <w:div w:id="335235439">
              <w:marLeft w:val="0"/>
              <w:marRight w:val="0"/>
              <w:marTop w:val="0"/>
              <w:marBottom w:val="0"/>
              <w:divBdr>
                <w:top w:val="none" w:sz="0" w:space="0" w:color="auto"/>
                <w:left w:val="none" w:sz="0" w:space="0" w:color="auto"/>
                <w:bottom w:val="none" w:sz="0" w:space="0" w:color="auto"/>
                <w:right w:val="none" w:sz="0" w:space="0" w:color="auto"/>
              </w:divBdr>
            </w:div>
            <w:div w:id="423844396">
              <w:marLeft w:val="0"/>
              <w:marRight w:val="0"/>
              <w:marTop w:val="0"/>
              <w:marBottom w:val="0"/>
              <w:divBdr>
                <w:top w:val="none" w:sz="0" w:space="0" w:color="auto"/>
                <w:left w:val="none" w:sz="0" w:space="0" w:color="auto"/>
                <w:bottom w:val="none" w:sz="0" w:space="0" w:color="auto"/>
                <w:right w:val="none" w:sz="0" w:space="0" w:color="auto"/>
              </w:divBdr>
            </w:div>
            <w:div w:id="899944586">
              <w:marLeft w:val="0"/>
              <w:marRight w:val="0"/>
              <w:marTop w:val="0"/>
              <w:marBottom w:val="0"/>
              <w:divBdr>
                <w:top w:val="none" w:sz="0" w:space="0" w:color="auto"/>
                <w:left w:val="none" w:sz="0" w:space="0" w:color="auto"/>
                <w:bottom w:val="none" w:sz="0" w:space="0" w:color="auto"/>
                <w:right w:val="none" w:sz="0" w:space="0" w:color="auto"/>
              </w:divBdr>
            </w:div>
            <w:div w:id="1168449218">
              <w:marLeft w:val="0"/>
              <w:marRight w:val="0"/>
              <w:marTop w:val="0"/>
              <w:marBottom w:val="0"/>
              <w:divBdr>
                <w:top w:val="none" w:sz="0" w:space="0" w:color="auto"/>
                <w:left w:val="none" w:sz="0" w:space="0" w:color="auto"/>
                <w:bottom w:val="none" w:sz="0" w:space="0" w:color="auto"/>
                <w:right w:val="none" w:sz="0" w:space="0" w:color="auto"/>
              </w:divBdr>
            </w:div>
            <w:div w:id="1381245104">
              <w:marLeft w:val="0"/>
              <w:marRight w:val="0"/>
              <w:marTop w:val="0"/>
              <w:marBottom w:val="0"/>
              <w:divBdr>
                <w:top w:val="none" w:sz="0" w:space="0" w:color="auto"/>
                <w:left w:val="none" w:sz="0" w:space="0" w:color="auto"/>
                <w:bottom w:val="none" w:sz="0" w:space="0" w:color="auto"/>
                <w:right w:val="none" w:sz="0" w:space="0" w:color="auto"/>
              </w:divBdr>
            </w:div>
            <w:div w:id="1541430788">
              <w:marLeft w:val="0"/>
              <w:marRight w:val="0"/>
              <w:marTop w:val="0"/>
              <w:marBottom w:val="0"/>
              <w:divBdr>
                <w:top w:val="none" w:sz="0" w:space="0" w:color="auto"/>
                <w:left w:val="none" w:sz="0" w:space="0" w:color="auto"/>
                <w:bottom w:val="none" w:sz="0" w:space="0" w:color="auto"/>
                <w:right w:val="none" w:sz="0" w:space="0" w:color="auto"/>
              </w:divBdr>
            </w:div>
            <w:div w:id="1592733373">
              <w:marLeft w:val="0"/>
              <w:marRight w:val="0"/>
              <w:marTop w:val="0"/>
              <w:marBottom w:val="0"/>
              <w:divBdr>
                <w:top w:val="none" w:sz="0" w:space="0" w:color="auto"/>
                <w:left w:val="none" w:sz="0" w:space="0" w:color="auto"/>
                <w:bottom w:val="none" w:sz="0" w:space="0" w:color="auto"/>
                <w:right w:val="none" w:sz="0" w:space="0" w:color="auto"/>
              </w:divBdr>
            </w:div>
            <w:div w:id="1705397496">
              <w:marLeft w:val="0"/>
              <w:marRight w:val="0"/>
              <w:marTop w:val="0"/>
              <w:marBottom w:val="0"/>
              <w:divBdr>
                <w:top w:val="none" w:sz="0" w:space="0" w:color="auto"/>
                <w:left w:val="none" w:sz="0" w:space="0" w:color="auto"/>
                <w:bottom w:val="none" w:sz="0" w:space="0" w:color="auto"/>
                <w:right w:val="none" w:sz="0" w:space="0" w:color="auto"/>
              </w:divBdr>
            </w:div>
            <w:div w:id="1963415504">
              <w:marLeft w:val="0"/>
              <w:marRight w:val="0"/>
              <w:marTop w:val="0"/>
              <w:marBottom w:val="0"/>
              <w:divBdr>
                <w:top w:val="none" w:sz="0" w:space="0" w:color="auto"/>
                <w:left w:val="none" w:sz="0" w:space="0" w:color="auto"/>
                <w:bottom w:val="none" w:sz="0" w:space="0" w:color="auto"/>
                <w:right w:val="none" w:sz="0" w:space="0" w:color="auto"/>
              </w:divBdr>
            </w:div>
            <w:div w:id="1997830870">
              <w:marLeft w:val="0"/>
              <w:marRight w:val="0"/>
              <w:marTop w:val="0"/>
              <w:marBottom w:val="0"/>
              <w:divBdr>
                <w:top w:val="none" w:sz="0" w:space="0" w:color="auto"/>
                <w:left w:val="none" w:sz="0" w:space="0" w:color="auto"/>
                <w:bottom w:val="none" w:sz="0" w:space="0" w:color="auto"/>
                <w:right w:val="none" w:sz="0" w:space="0" w:color="auto"/>
              </w:divBdr>
            </w:div>
          </w:divsChild>
        </w:div>
        <w:div w:id="2100907924">
          <w:marLeft w:val="0"/>
          <w:marRight w:val="0"/>
          <w:marTop w:val="0"/>
          <w:marBottom w:val="0"/>
          <w:divBdr>
            <w:top w:val="none" w:sz="0" w:space="0" w:color="auto"/>
            <w:left w:val="none" w:sz="0" w:space="0" w:color="auto"/>
            <w:bottom w:val="none" w:sz="0" w:space="0" w:color="auto"/>
            <w:right w:val="none" w:sz="0" w:space="0" w:color="auto"/>
          </w:divBdr>
          <w:divsChild>
            <w:div w:id="454640484">
              <w:marLeft w:val="0"/>
              <w:marRight w:val="0"/>
              <w:marTop w:val="0"/>
              <w:marBottom w:val="0"/>
              <w:divBdr>
                <w:top w:val="none" w:sz="0" w:space="0" w:color="auto"/>
                <w:left w:val="none" w:sz="0" w:space="0" w:color="auto"/>
                <w:bottom w:val="none" w:sz="0" w:space="0" w:color="auto"/>
                <w:right w:val="none" w:sz="0" w:space="0" w:color="auto"/>
              </w:divBdr>
            </w:div>
            <w:div w:id="754209787">
              <w:marLeft w:val="0"/>
              <w:marRight w:val="0"/>
              <w:marTop w:val="0"/>
              <w:marBottom w:val="0"/>
              <w:divBdr>
                <w:top w:val="none" w:sz="0" w:space="0" w:color="auto"/>
                <w:left w:val="none" w:sz="0" w:space="0" w:color="auto"/>
                <w:bottom w:val="none" w:sz="0" w:space="0" w:color="auto"/>
                <w:right w:val="none" w:sz="0" w:space="0" w:color="auto"/>
              </w:divBdr>
            </w:div>
            <w:div w:id="1020547388">
              <w:marLeft w:val="0"/>
              <w:marRight w:val="0"/>
              <w:marTop w:val="0"/>
              <w:marBottom w:val="0"/>
              <w:divBdr>
                <w:top w:val="none" w:sz="0" w:space="0" w:color="auto"/>
                <w:left w:val="none" w:sz="0" w:space="0" w:color="auto"/>
                <w:bottom w:val="none" w:sz="0" w:space="0" w:color="auto"/>
                <w:right w:val="none" w:sz="0" w:space="0" w:color="auto"/>
              </w:divBdr>
            </w:div>
            <w:div w:id="1544752392">
              <w:marLeft w:val="0"/>
              <w:marRight w:val="0"/>
              <w:marTop w:val="0"/>
              <w:marBottom w:val="0"/>
              <w:divBdr>
                <w:top w:val="none" w:sz="0" w:space="0" w:color="auto"/>
                <w:left w:val="none" w:sz="0" w:space="0" w:color="auto"/>
                <w:bottom w:val="none" w:sz="0" w:space="0" w:color="auto"/>
                <w:right w:val="none" w:sz="0" w:space="0" w:color="auto"/>
              </w:divBdr>
            </w:div>
            <w:div w:id="1577131866">
              <w:marLeft w:val="0"/>
              <w:marRight w:val="0"/>
              <w:marTop w:val="0"/>
              <w:marBottom w:val="0"/>
              <w:divBdr>
                <w:top w:val="none" w:sz="0" w:space="0" w:color="auto"/>
                <w:left w:val="none" w:sz="0" w:space="0" w:color="auto"/>
                <w:bottom w:val="none" w:sz="0" w:space="0" w:color="auto"/>
                <w:right w:val="none" w:sz="0" w:space="0" w:color="auto"/>
              </w:divBdr>
            </w:div>
            <w:div w:id="1776825892">
              <w:marLeft w:val="0"/>
              <w:marRight w:val="0"/>
              <w:marTop w:val="0"/>
              <w:marBottom w:val="0"/>
              <w:divBdr>
                <w:top w:val="none" w:sz="0" w:space="0" w:color="auto"/>
                <w:left w:val="none" w:sz="0" w:space="0" w:color="auto"/>
                <w:bottom w:val="none" w:sz="0" w:space="0" w:color="auto"/>
                <w:right w:val="none" w:sz="0" w:space="0" w:color="auto"/>
              </w:divBdr>
            </w:div>
            <w:div w:id="2088649930">
              <w:marLeft w:val="0"/>
              <w:marRight w:val="0"/>
              <w:marTop w:val="0"/>
              <w:marBottom w:val="0"/>
              <w:divBdr>
                <w:top w:val="none" w:sz="0" w:space="0" w:color="auto"/>
                <w:left w:val="none" w:sz="0" w:space="0" w:color="auto"/>
                <w:bottom w:val="none" w:sz="0" w:space="0" w:color="auto"/>
                <w:right w:val="none" w:sz="0" w:space="0" w:color="auto"/>
              </w:divBdr>
            </w:div>
          </w:divsChild>
        </w:div>
        <w:div w:id="2101951513">
          <w:marLeft w:val="0"/>
          <w:marRight w:val="0"/>
          <w:marTop w:val="0"/>
          <w:marBottom w:val="0"/>
          <w:divBdr>
            <w:top w:val="none" w:sz="0" w:space="0" w:color="auto"/>
            <w:left w:val="none" w:sz="0" w:space="0" w:color="auto"/>
            <w:bottom w:val="none" w:sz="0" w:space="0" w:color="auto"/>
            <w:right w:val="none" w:sz="0" w:space="0" w:color="auto"/>
          </w:divBdr>
          <w:divsChild>
            <w:div w:id="436408231">
              <w:marLeft w:val="0"/>
              <w:marRight w:val="0"/>
              <w:marTop w:val="0"/>
              <w:marBottom w:val="0"/>
              <w:divBdr>
                <w:top w:val="none" w:sz="0" w:space="0" w:color="auto"/>
                <w:left w:val="none" w:sz="0" w:space="0" w:color="auto"/>
                <w:bottom w:val="none" w:sz="0" w:space="0" w:color="auto"/>
                <w:right w:val="none" w:sz="0" w:space="0" w:color="auto"/>
              </w:divBdr>
            </w:div>
            <w:div w:id="481772795">
              <w:marLeft w:val="0"/>
              <w:marRight w:val="0"/>
              <w:marTop w:val="0"/>
              <w:marBottom w:val="0"/>
              <w:divBdr>
                <w:top w:val="none" w:sz="0" w:space="0" w:color="auto"/>
                <w:left w:val="none" w:sz="0" w:space="0" w:color="auto"/>
                <w:bottom w:val="none" w:sz="0" w:space="0" w:color="auto"/>
                <w:right w:val="none" w:sz="0" w:space="0" w:color="auto"/>
              </w:divBdr>
            </w:div>
            <w:div w:id="1525705319">
              <w:marLeft w:val="0"/>
              <w:marRight w:val="0"/>
              <w:marTop w:val="0"/>
              <w:marBottom w:val="0"/>
              <w:divBdr>
                <w:top w:val="none" w:sz="0" w:space="0" w:color="auto"/>
                <w:left w:val="none" w:sz="0" w:space="0" w:color="auto"/>
                <w:bottom w:val="none" w:sz="0" w:space="0" w:color="auto"/>
                <w:right w:val="none" w:sz="0" w:space="0" w:color="auto"/>
              </w:divBdr>
            </w:div>
          </w:divsChild>
        </w:div>
        <w:div w:id="2102558231">
          <w:marLeft w:val="0"/>
          <w:marRight w:val="0"/>
          <w:marTop w:val="0"/>
          <w:marBottom w:val="0"/>
          <w:divBdr>
            <w:top w:val="none" w:sz="0" w:space="0" w:color="auto"/>
            <w:left w:val="none" w:sz="0" w:space="0" w:color="auto"/>
            <w:bottom w:val="none" w:sz="0" w:space="0" w:color="auto"/>
            <w:right w:val="none" w:sz="0" w:space="0" w:color="auto"/>
          </w:divBdr>
          <w:divsChild>
            <w:div w:id="522213432">
              <w:marLeft w:val="0"/>
              <w:marRight w:val="0"/>
              <w:marTop w:val="0"/>
              <w:marBottom w:val="0"/>
              <w:divBdr>
                <w:top w:val="none" w:sz="0" w:space="0" w:color="auto"/>
                <w:left w:val="none" w:sz="0" w:space="0" w:color="auto"/>
                <w:bottom w:val="none" w:sz="0" w:space="0" w:color="auto"/>
                <w:right w:val="none" w:sz="0" w:space="0" w:color="auto"/>
              </w:divBdr>
            </w:div>
            <w:div w:id="1822496933">
              <w:marLeft w:val="0"/>
              <w:marRight w:val="0"/>
              <w:marTop w:val="0"/>
              <w:marBottom w:val="0"/>
              <w:divBdr>
                <w:top w:val="none" w:sz="0" w:space="0" w:color="auto"/>
                <w:left w:val="none" w:sz="0" w:space="0" w:color="auto"/>
                <w:bottom w:val="none" w:sz="0" w:space="0" w:color="auto"/>
                <w:right w:val="none" w:sz="0" w:space="0" w:color="auto"/>
              </w:divBdr>
            </w:div>
          </w:divsChild>
        </w:div>
        <w:div w:id="2106226942">
          <w:marLeft w:val="0"/>
          <w:marRight w:val="0"/>
          <w:marTop w:val="0"/>
          <w:marBottom w:val="0"/>
          <w:divBdr>
            <w:top w:val="none" w:sz="0" w:space="0" w:color="auto"/>
            <w:left w:val="none" w:sz="0" w:space="0" w:color="auto"/>
            <w:bottom w:val="none" w:sz="0" w:space="0" w:color="auto"/>
            <w:right w:val="none" w:sz="0" w:space="0" w:color="auto"/>
          </w:divBdr>
          <w:divsChild>
            <w:div w:id="919755152">
              <w:marLeft w:val="0"/>
              <w:marRight w:val="0"/>
              <w:marTop w:val="0"/>
              <w:marBottom w:val="0"/>
              <w:divBdr>
                <w:top w:val="none" w:sz="0" w:space="0" w:color="auto"/>
                <w:left w:val="none" w:sz="0" w:space="0" w:color="auto"/>
                <w:bottom w:val="none" w:sz="0" w:space="0" w:color="auto"/>
                <w:right w:val="none" w:sz="0" w:space="0" w:color="auto"/>
              </w:divBdr>
            </w:div>
          </w:divsChild>
        </w:div>
        <w:div w:id="2110735565">
          <w:marLeft w:val="0"/>
          <w:marRight w:val="0"/>
          <w:marTop w:val="0"/>
          <w:marBottom w:val="0"/>
          <w:divBdr>
            <w:top w:val="none" w:sz="0" w:space="0" w:color="auto"/>
            <w:left w:val="none" w:sz="0" w:space="0" w:color="auto"/>
            <w:bottom w:val="none" w:sz="0" w:space="0" w:color="auto"/>
            <w:right w:val="none" w:sz="0" w:space="0" w:color="auto"/>
          </w:divBdr>
          <w:divsChild>
            <w:div w:id="403072274">
              <w:marLeft w:val="0"/>
              <w:marRight w:val="0"/>
              <w:marTop w:val="0"/>
              <w:marBottom w:val="0"/>
              <w:divBdr>
                <w:top w:val="none" w:sz="0" w:space="0" w:color="auto"/>
                <w:left w:val="none" w:sz="0" w:space="0" w:color="auto"/>
                <w:bottom w:val="none" w:sz="0" w:space="0" w:color="auto"/>
                <w:right w:val="none" w:sz="0" w:space="0" w:color="auto"/>
              </w:divBdr>
            </w:div>
            <w:div w:id="1536507038">
              <w:marLeft w:val="0"/>
              <w:marRight w:val="0"/>
              <w:marTop w:val="0"/>
              <w:marBottom w:val="0"/>
              <w:divBdr>
                <w:top w:val="none" w:sz="0" w:space="0" w:color="auto"/>
                <w:left w:val="none" w:sz="0" w:space="0" w:color="auto"/>
                <w:bottom w:val="none" w:sz="0" w:space="0" w:color="auto"/>
                <w:right w:val="none" w:sz="0" w:space="0" w:color="auto"/>
              </w:divBdr>
            </w:div>
          </w:divsChild>
        </w:div>
        <w:div w:id="2111585917">
          <w:marLeft w:val="0"/>
          <w:marRight w:val="0"/>
          <w:marTop w:val="0"/>
          <w:marBottom w:val="0"/>
          <w:divBdr>
            <w:top w:val="none" w:sz="0" w:space="0" w:color="auto"/>
            <w:left w:val="none" w:sz="0" w:space="0" w:color="auto"/>
            <w:bottom w:val="none" w:sz="0" w:space="0" w:color="auto"/>
            <w:right w:val="none" w:sz="0" w:space="0" w:color="auto"/>
          </w:divBdr>
          <w:divsChild>
            <w:div w:id="1385523774">
              <w:marLeft w:val="0"/>
              <w:marRight w:val="0"/>
              <w:marTop w:val="0"/>
              <w:marBottom w:val="0"/>
              <w:divBdr>
                <w:top w:val="none" w:sz="0" w:space="0" w:color="auto"/>
                <w:left w:val="none" w:sz="0" w:space="0" w:color="auto"/>
                <w:bottom w:val="none" w:sz="0" w:space="0" w:color="auto"/>
                <w:right w:val="none" w:sz="0" w:space="0" w:color="auto"/>
              </w:divBdr>
            </w:div>
          </w:divsChild>
        </w:div>
        <w:div w:id="2114283323">
          <w:marLeft w:val="0"/>
          <w:marRight w:val="0"/>
          <w:marTop w:val="0"/>
          <w:marBottom w:val="0"/>
          <w:divBdr>
            <w:top w:val="none" w:sz="0" w:space="0" w:color="auto"/>
            <w:left w:val="none" w:sz="0" w:space="0" w:color="auto"/>
            <w:bottom w:val="none" w:sz="0" w:space="0" w:color="auto"/>
            <w:right w:val="none" w:sz="0" w:space="0" w:color="auto"/>
          </w:divBdr>
          <w:divsChild>
            <w:div w:id="1837182902">
              <w:marLeft w:val="0"/>
              <w:marRight w:val="0"/>
              <w:marTop w:val="0"/>
              <w:marBottom w:val="0"/>
              <w:divBdr>
                <w:top w:val="none" w:sz="0" w:space="0" w:color="auto"/>
                <w:left w:val="none" w:sz="0" w:space="0" w:color="auto"/>
                <w:bottom w:val="none" w:sz="0" w:space="0" w:color="auto"/>
                <w:right w:val="none" w:sz="0" w:space="0" w:color="auto"/>
              </w:divBdr>
            </w:div>
          </w:divsChild>
        </w:div>
        <w:div w:id="2117403447">
          <w:marLeft w:val="0"/>
          <w:marRight w:val="0"/>
          <w:marTop w:val="0"/>
          <w:marBottom w:val="0"/>
          <w:divBdr>
            <w:top w:val="none" w:sz="0" w:space="0" w:color="auto"/>
            <w:left w:val="none" w:sz="0" w:space="0" w:color="auto"/>
            <w:bottom w:val="none" w:sz="0" w:space="0" w:color="auto"/>
            <w:right w:val="none" w:sz="0" w:space="0" w:color="auto"/>
          </w:divBdr>
          <w:divsChild>
            <w:div w:id="1358697627">
              <w:marLeft w:val="0"/>
              <w:marRight w:val="0"/>
              <w:marTop w:val="0"/>
              <w:marBottom w:val="0"/>
              <w:divBdr>
                <w:top w:val="none" w:sz="0" w:space="0" w:color="auto"/>
                <w:left w:val="none" w:sz="0" w:space="0" w:color="auto"/>
                <w:bottom w:val="none" w:sz="0" w:space="0" w:color="auto"/>
                <w:right w:val="none" w:sz="0" w:space="0" w:color="auto"/>
              </w:divBdr>
            </w:div>
          </w:divsChild>
        </w:div>
        <w:div w:id="2121297230">
          <w:marLeft w:val="0"/>
          <w:marRight w:val="0"/>
          <w:marTop w:val="0"/>
          <w:marBottom w:val="0"/>
          <w:divBdr>
            <w:top w:val="none" w:sz="0" w:space="0" w:color="auto"/>
            <w:left w:val="none" w:sz="0" w:space="0" w:color="auto"/>
            <w:bottom w:val="none" w:sz="0" w:space="0" w:color="auto"/>
            <w:right w:val="none" w:sz="0" w:space="0" w:color="auto"/>
          </w:divBdr>
          <w:divsChild>
            <w:div w:id="187255616">
              <w:marLeft w:val="0"/>
              <w:marRight w:val="0"/>
              <w:marTop w:val="0"/>
              <w:marBottom w:val="0"/>
              <w:divBdr>
                <w:top w:val="none" w:sz="0" w:space="0" w:color="auto"/>
                <w:left w:val="none" w:sz="0" w:space="0" w:color="auto"/>
                <w:bottom w:val="none" w:sz="0" w:space="0" w:color="auto"/>
                <w:right w:val="none" w:sz="0" w:space="0" w:color="auto"/>
              </w:divBdr>
            </w:div>
            <w:div w:id="879243308">
              <w:marLeft w:val="0"/>
              <w:marRight w:val="0"/>
              <w:marTop w:val="0"/>
              <w:marBottom w:val="0"/>
              <w:divBdr>
                <w:top w:val="none" w:sz="0" w:space="0" w:color="auto"/>
                <w:left w:val="none" w:sz="0" w:space="0" w:color="auto"/>
                <w:bottom w:val="none" w:sz="0" w:space="0" w:color="auto"/>
                <w:right w:val="none" w:sz="0" w:space="0" w:color="auto"/>
              </w:divBdr>
            </w:div>
            <w:div w:id="1574853156">
              <w:marLeft w:val="0"/>
              <w:marRight w:val="0"/>
              <w:marTop w:val="0"/>
              <w:marBottom w:val="0"/>
              <w:divBdr>
                <w:top w:val="none" w:sz="0" w:space="0" w:color="auto"/>
                <w:left w:val="none" w:sz="0" w:space="0" w:color="auto"/>
                <w:bottom w:val="none" w:sz="0" w:space="0" w:color="auto"/>
                <w:right w:val="none" w:sz="0" w:space="0" w:color="auto"/>
              </w:divBdr>
            </w:div>
          </w:divsChild>
        </w:div>
        <w:div w:id="2125146337">
          <w:marLeft w:val="0"/>
          <w:marRight w:val="0"/>
          <w:marTop w:val="0"/>
          <w:marBottom w:val="0"/>
          <w:divBdr>
            <w:top w:val="none" w:sz="0" w:space="0" w:color="auto"/>
            <w:left w:val="none" w:sz="0" w:space="0" w:color="auto"/>
            <w:bottom w:val="none" w:sz="0" w:space="0" w:color="auto"/>
            <w:right w:val="none" w:sz="0" w:space="0" w:color="auto"/>
          </w:divBdr>
          <w:divsChild>
            <w:div w:id="549193114">
              <w:marLeft w:val="0"/>
              <w:marRight w:val="0"/>
              <w:marTop w:val="0"/>
              <w:marBottom w:val="0"/>
              <w:divBdr>
                <w:top w:val="none" w:sz="0" w:space="0" w:color="auto"/>
                <w:left w:val="none" w:sz="0" w:space="0" w:color="auto"/>
                <w:bottom w:val="none" w:sz="0" w:space="0" w:color="auto"/>
                <w:right w:val="none" w:sz="0" w:space="0" w:color="auto"/>
              </w:divBdr>
            </w:div>
            <w:div w:id="1691226396">
              <w:marLeft w:val="0"/>
              <w:marRight w:val="0"/>
              <w:marTop w:val="0"/>
              <w:marBottom w:val="0"/>
              <w:divBdr>
                <w:top w:val="none" w:sz="0" w:space="0" w:color="auto"/>
                <w:left w:val="none" w:sz="0" w:space="0" w:color="auto"/>
                <w:bottom w:val="none" w:sz="0" w:space="0" w:color="auto"/>
                <w:right w:val="none" w:sz="0" w:space="0" w:color="auto"/>
              </w:divBdr>
            </w:div>
            <w:div w:id="1803958713">
              <w:marLeft w:val="0"/>
              <w:marRight w:val="0"/>
              <w:marTop w:val="0"/>
              <w:marBottom w:val="0"/>
              <w:divBdr>
                <w:top w:val="none" w:sz="0" w:space="0" w:color="auto"/>
                <w:left w:val="none" w:sz="0" w:space="0" w:color="auto"/>
                <w:bottom w:val="none" w:sz="0" w:space="0" w:color="auto"/>
                <w:right w:val="none" w:sz="0" w:space="0" w:color="auto"/>
              </w:divBdr>
            </w:div>
          </w:divsChild>
        </w:div>
        <w:div w:id="2126538017">
          <w:marLeft w:val="0"/>
          <w:marRight w:val="0"/>
          <w:marTop w:val="0"/>
          <w:marBottom w:val="0"/>
          <w:divBdr>
            <w:top w:val="none" w:sz="0" w:space="0" w:color="auto"/>
            <w:left w:val="none" w:sz="0" w:space="0" w:color="auto"/>
            <w:bottom w:val="none" w:sz="0" w:space="0" w:color="auto"/>
            <w:right w:val="none" w:sz="0" w:space="0" w:color="auto"/>
          </w:divBdr>
          <w:divsChild>
            <w:div w:id="1864591974">
              <w:marLeft w:val="0"/>
              <w:marRight w:val="0"/>
              <w:marTop w:val="0"/>
              <w:marBottom w:val="0"/>
              <w:divBdr>
                <w:top w:val="none" w:sz="0" w:space="0" w:color="auto"/>
                <w:left w:val="none" w:sz="0" w:space="0" w:color="auto"/>
                <w:bottom w:val="none" w:sz="0" w:space="0" w:color="auto"/>
                <w:right w:val="none" w:sz="0" w:space="0" w:color="auto"/>
              </w:divBdr>
            </w:div>
          </w:divsChild>
        </w:div>
        <w:div w:id="2130581952">
          <w:marLeft w:val="0"/>
          <w:marRight w:val="0"/>
          <w:marTop w:val="0"/>
          <w:marBottom w:val="0"/>
          <w:divBdr>
            <w:top w:val="none" w:sz="0" w:space="0" w:color="auto"/>
            <w:left w:val="none" w:sz="0" w:space="0" w:color="auto"/>
            <w:bottom w:val="none" w:sz="0" w:space="0" w:color="auto"/>
            <w:right w:val="none" w:sz="0" w:space="0" w:color="auto"/>
          </w:divBdr>
          <w:divsChild>
            <w:div w:id="464196616">
              <w:marLeft w:val="0"/>
              <w:marRight w:val="0"/>
              <w:marTop w:val="0"/>
              <w:marBottom w:val="0"/>
              <w:divBdr>
                <w:top w:val="none" w:sz="0" w:space="0" w:color="auto"/>
                <w:left w:val="none" w:sz="0" w:space="0" w:color="auto"/>
                <w:bottom w:val="none" w:sz="0" w:space="0" w:color="auto"/>
                <w:right w:val="none" w:sz="0" w:space="0" w:color="auto"/>
              </w:divBdr>
            </w:div>
          </w:divsChild>
        </w:div>
        <w:div w:id="2142460980">
          <w:marLeft w:val="0"/>
          <w:marRight w:val="0"/>
          <w:marTop w:val="0"/>
          <w:marBottom w:val="0"/>
          <w:divBdr>
            <w:top w:val="none" w:sz="0" w:space="0" w:color="auto"/>
            <w:left w:val="none" w:sz="0" w:space="0" w:color="auto"/>
            <w:bottom w:val="none" w:sz="0" w:space="0" w:color="auto"/>
            <w:right w:val="none" w:sz="0" w:space="0" w:color="auto"/>
          </w:divBdr>
          <w:divsChild>
            <w:div w:id="1940138564">
              <w:marLeft w:val="0"/>
              <w:marRight w:val="0"/>
              <w:marTop w:val="0"/>
              <w:marBottom w:val="0"/>
              <w:divBdr>
                <w:top w:val="none" w:sz="0" w:space="0" w:color="auto"/>
                <w:left w:val="none" w:sz="0" w:space="0" w:color="auto"/>
                <w:bottom w:val="none" w:sz="0" w:space="0" w:color="auto"/>
                <w:right w:val="none" w:sz="0" w:space="0" w:color="auto"/>
              </w:divBdr>
            </w:div>
          </w:divsChild>
        </w:div>
        <w:div w:id="2145006534">
          <w:marLeft w:val="0"/>
          <w:marRight w:val="0"/>
          <w:marTop w:val="0"/>
          <w:marBottom w:val="0"/>
          <w:divBdr>
            <w:top w:val="none" w:sz="0" w:space="0" w:color="auto"/>
            <w:left w:val="none" w:sz="0" w:space="0" w:color="auto"/>
            <w:bottom w:val="none" w:sz="0" w:space="0" w:color="auto"/>
            <w:right w:val="none" w:sz="0" w:space="0" w:color="auto"/>
          </w:divBdr>
          <w:divsChild>
            <w:div w:id="4628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3514">
      <w:bodyDiv w:val="1"/>
      <w:marLeft w:val="0"/>
      <w:marRight w:val="0"/>
      <w:marTop w:val="0"/>
      <w:marBottom w:val="0"/>
      <w:divBdr>
        <w:top w:val="none" w:sz="0" w:space="0" w:color="auto"/>
        <w:left w:val="none" w:sz="0" w:space="0" w:color="auto"/>
        <w:bottom w:val="none" w:sz="0" w:space="0" w:color="auto"/>
        <w:right w:val="none" w:sz="0" w:space="0" w:color="auto"/>
      </w:divBdr>
      <w:divsChild>
        <w:div w:id="1008898">
          <w:marLeft w:val="0"/>
          <w:marRight w:val="0"/>
          <w:marTop w:val="0"/>
          <w:marBottom w:val="0"/>
          <w:divBdr>
            <w:top w:val="none" w:sz="0" w:space="0" w:color="auto"/>
            <w:left w:val="none" w:sz="0" w:space="0" w:color="auto"/>
            <w:bottom w:val="none" w:sz="0" w:space="0" w:color="auto"/>
            <w:right w:val="none" w:sz="0" w:space="0" w:color="auto"/>
          </w:divBdr>
        </w:div>
        <w:div w:id="307133866">
          <w:marLeft w:val="0"/>
          <w:marRight w:val="0"/>
          <w:marTop w:val="0"/>
          <w:marBottom w:val="0"/>
          <w:divBdr>
            <w:top w:val="none" w:sz="0" w:space="0" w:color="auto"/>
            <w:left w:val="none" w:sz="0" w:space="0" w:color="auto"/>
            <w:bottom w:val="none" w:sz="0" w:space="0" w:color="auto"/>
            <w:right w:val="none" w:sz="0" w:space="0" w:color="auto"/>
          </w:divBdr>
        </w:div>
        <w:div w:id="362706925">
          <w:marLeft w:val="0"/>
          <w:marRight w:val="0"/>
          <w:marTop w:val="0"/>
          <w:marBottom w:val="0"/>
          <w:divBdr>
            <w:top w:val="none" w:sz="0" w:space="0" w:color="auto"/>
            <w:left w:val="none" w:sz="0" w:space="0" w:color="auto"/>
            <w:bottom w:val="none" w:sz="0" w:space="0" w:color="auto"/>
            <w:right w:val="none" w:sz="0" w:space="0" w:color="auto"/>
          </w:divBdr>
        </w:div>
        <w:div w:id="441612594">
          <w:marLeft w:val="0"/>
          <w:marRight w:val="0"/>
          <w:marTop w:val="0"/>
          <w:marBottom w:val="0"/>
          <w:divBdr>
            <w:top w:val="none" w:sz="0" w:space="0" w:color="auto"/>
            <w:left w:val="none" w:sz="0" w:space="0" w:color="auto"/>
            <w:bottom w:val="none" w:sz="0" w:space="0" w:color="auto"/>
            <w:right w:val="none" w:sz="0" w:space="0" w:color="auto"/>
          </w:divBdr>
        </w:div>
        <w:div w:id="475145477">
          <w:marLeft w:val="0"/>
          <w:marRight w:val="0"/>
          <w:marTop w:val="0"/>
          <w:marBottom w:val="0"/>
          <w:divBdr>
            <w:top w:val="none" w:sz="0" w:space="0" w:color="auto"/>
            <w:left w:val="none" w:sz="0" w:space="0" w:color="auto"/>
            <w:bottom w:val="none" w:sz="0" w:space="0" w:color="auto"/>
            <w:right w:val="none" w:sz="0" w:space="0" w:color="auto"/>
          </w:divBdr>
        </w:div>
        <w:div w:id="690573397">
          <w:marLeft w:val="0"/>
          <w:marRight w:val="0"/>
          <w:marTop w:val="0"/>
          <w:marBottom w:val="0"/>
          <w:divBdr>
            <w:top w:val="none" w:sz="0" w:space="0" w:color="auto"/>
            <w:left w:val="none" w:sz="0" w:space="0" w:color="auto"/>
            <w:bottom w:val="none" w:sz="0" w:space="0" w:color="auto"/>
            <w:right w:val="none" w:sz="0" w:space="0" w:color="auto"/>
          </w:divBdr>
        </w:div>
        <w:div w:id="1028994212">
          <w:marLeft w:val="0"/>
          <w:marRight w:val="0"/>
          <w:marTop w:val="0"/>
          <w:marBottom w:val="0"/>
          <w:divBdr>
            <w:top w:val="none" w:sz="0" w:space="0" w:color="auto"/>
            <w:left w:val="none" w:sz="0" w:space="0" w:color="auto"/>
            <w:bottom w:val="none" w:sz="0" w:space="0" w:color="auto"/>
            <w:right w:val="none" w:sz="0" w:space="0" w:color="auto"/>
          </w:divBdr>
        </w:div>
        <w:div w:id="1550454812">
          <w:marLeft w:val="0"/>
          <w:marRight w:val="0"/>
          <w:marTop w:val="0"/>
          <w:marBottom w:val="0"/>
          <w:divBdr>
            <w:top w:val="none" w:sz="0" w:space="0" w:color="auto"/>
            <w:left w:val="none" w:sz="0" w:space="0" w:color="auto"/>
            <w:bottom w:val="none" w:sz="0" w:space="0" w:color="auto"/>
            <w:right w:val="none" w:sz="0" w:space="0" w:color="auto"/>
          </w:divBdr>
        </w:div>
        <w:div w:id="1695811870">
          <w:marLeft w:val="0"/>
          <w:marRight w:val="0"/>
          <w:marTop w:val="0"/>
          <w:marBottom w:val="0"/>
          <w:divBdr>
            <w:top w:val="none" w:sz="0" w:space="0" w:color="auto"/>
            <w:left w:val="none" w:sz="0" w:space="0" w:color="auto"/>
            <w:bottom w:val="none" w:sz="0" w:space="0" w:color="auto"/>
            <w:right w:val="none" w:sz="0" w:space="0" w:color="auto"/>
          </w:divBdr>
        </w:div>
        <w:div w:id="1721661573">
          <w:marLeft w:val="0"/>
          <w:marRight w:val="0"/>
          <w:marTop w:val="0"/>
          <w:marBottom w:val="0"/>
          <w:divBdr>
            <w:top w:val="none" w:sz="0" w:space="0" w:color="auto"/>
            <w:left w:val="none" w:sz="0" w:space="0" w:color="auto"/>
            <w:bottom w:val="none" w:sz="0" w:space="0" w:color="auto"/>
            <w:right w:val="none" w:sz="0" w:space="0" w:color="auto"/>
          </w:divBdr>
        </w:div>
      </w:divsChild>
    </w:div>
    <w:div w:id="1223055241">
      <w:bodyDiv w:val="1"/>
      <w:marLeft w:val="0"/>
      <w:marRight w:val="0"/>
      <w:marTop w:val="0"/>
      <w:marBottom w:val="0"/>
      <w:divBdr>
        <w:top w:val="none" w:sz="0" w:space="0" w:color="auto"/>
        <w:left w:val="none" w:sz="0" w:space="0" w:color="auto"/>
        <w:bottom w:val="none" w:sz="0" w:space="0" w:color="auto"/>
        <w:right w:val="none" w:sz="0" w:space="0" w:color="auto"/>
      </w:divBdr>
      <w:divsChild>
        <w:div w:id="39672984">
          <w:marLeft w:val="0"/>
          <w:marRight w:val="0"/>
          <w:marTop w:val="0"/>
          <w:marBottom w:val="0"/>
          <w:divBdr>
            <w:top w:val="none" w:sz="0" w:space="0" w:color="auto"/>
            <w:left w:val="none" w:sz="0" w:space="0" w:color="auto"/>
            <w:bottom w:val="none" w:sz="0" w:space="0" w:color="auto"/>
            <w:right w:val="none" w:sz="0" w:space="0" w:color="auto"/>
          </w:divBdr>
          <w:divsChild>
            <w:div w:id="2089575948">
              <w:marLeft w:val="0"/>
              <w:marRight w:val="0"/>
              <w:marTop w:val="0"/>
              <w:marBottom w:val="0"/>
              <w:divBdr>
                <w:top w:val="none" w:sz="0" w:space="0" w:color="auto"/>
                <w:left w:val="none" w:sz="0" w:space="0" w:color="auto"/>
                <w:bottom w:val="none" w:sz="0" w:space="0" w:color="auto"/>
                <w:right w:val="none" w:sz="0" w:space="0" w:color="auto"/>
              </w:divBdr>
            </w:div>
          </w:divsChild>
        </w:div>
        <w:div w:id="204609556">
          <w:marLeft w:val="0"/>
          <w:marRight w:val="0"/>
          <w:marTop w:val="0"/>
          <w:marBottom w:val="0"/>
          <w:divBdr>
            <w:top w:val="none" w:sz="0" w:space="0" w:color="auto"/>
            <w:left w:val="none" w:sz="0" w:space="0" w:color="auto"/>
            <w:bottom w:val="none" w:sz="0" w:space="0" w:color="auto"/>
            <w:right w:val="none" w:sz="0" w:space="0" w:color="auto"/>
          </w:divBdr>
          <w:divsChild>
            <w:div w:id="1699814335">
              <w:marLeft w:val="0"/>
              <w:marRight w:val="0"/>
              <w:marTop w:val="0"/>
              <w:marBottom w:val="0"/>
              <w:divBdr>
                <w:top w:val="none" w:sz="0" w:space="0" w:color="auto"/>
                <w:left w:val="none" w:sz="0" w:space="0" w:color="auto"/>
                <w:bottom w:val="none" w:sz="0" w:space="0" w:color="auto"/>
                <w:right w:val="none" w:sz="0" w:space="0" w:color="auto"/>
              </w:divBdr>
            </w:div>
          </w:divsChild>
        </w:div>
        <w:div w:id="246303512">
          <w:marLeft w:val="0"/>
          <w:marRight w:val="0"/>
          <w:marTop w:val="0"/>
          <w:marBottom w:val="0"/>
          <w:divBdr>
            <w:top w:val="none" w:sz="0" w:space="0" w:color="auto"/>
            <w:left w:val="none" w:sz="0" w:space="0" w:color="auto"/>
            <w:bottom w:val="none" w:sz="0" w:space="0" w:color="auto"/>
            <w:right w:val="none" w:sz="0" w:space="0" w:color="auto"/>
          </w:divBdr>
          <w:divsChild>
            <w:div w:id="596980183">
              <w:marLeft w:val="0"/>
              <w:marRight w:val="0"/>
              <w:marTop w:val="0"/>
              <w:marBottom w:val="0"/>
              <w:divBdr>
                <w:top w:val="none" w:sz="0" w:space="0" w:color="auto"/>
                <w:left w:val="none" w:sz="0" w:space="0" w:color="auto"/>
                <w:bottom w:val="none" w:sz="0" w:space="0" w:color="auto"/>
                <w:right w:val="none" w:sz="0" w:space="0" w:color="auto"/>
              </w:divBdr>
            </w:div>
          </w:divsChild>
        </w:div>
        <w:div w:id="326984432">
          <w:marLeft w:val="0"/>
          <w:marRight w:val="0"/>
          <w:marTop w:val="0"/>
          <w:marBottom w:val="0"/>
          <w:divBdr>
            <w:top w:val="none" w:sz="0" w:space="0" w:color="auto"/>
            <w:left w:val="none" w:sz="0" w:space="0" w:color="auto"/>
            <w:bottom w:val="none" w:sz="0" w:space="0" w:color="auto"/>
            <w:right w:val="none" w:sz="0" w:space="0" w:color="auto"/>
          </w:divBdr>
          <w:divsChild>
            <w:div w:id="1984504808">
              <w:marLeft w:val="0"/>
              <w:marRight w:val="0"/>
              <w:marTop w:val="0"/>
              <w:marBottom w:val="0"/>
              <w:divBdr>
                <w:top w:val="none" w:sz="0" w:space="0" w:color="auto"/>
                <w:left w:val="none" w:sz="0" w:space="0" w:color="auto"/>
                <w:bottom w:val="none" w:sz="0" w:space="0" w:color="auto"/>
                <w:right w:val="none" w:sz="0" w:space="0" w:color="auto"/>
              </w:divBdr>
            </w:div>
          </w:divsChild>
        </w:div>
        <w:div w:id="363141237">
          <w:marLeft w:val="0"/>
          <w:marRight w:val="0"/>
          <w:marTop w:val="0"/>
          <w:marBottom w:val="0"/>
          <w:divBdr>
            <w:top w:val="none" w:sz="0" w:space="0" w:color="auto"/>
            <w:left w:val="none" w:sz="0" w:space="0" w:color="auto"/>
            <w:bottom w:val="none" w:sz="0" w:space="0" w:color="auto"/>
            <w:right w:val="none" w:sz="0" w:space="0" w:color="auto"/>
          </w:divBdr>
          <w:divsChild>
            <w:div w:id="1405419687">
              <w:marLeft w:val="0"/>
              <w:marRight w:val="0"/>
              <w:marTop w:val="0"/>
              <w:marBottom w:val="0"/>
              <w:divBdr>
                <w:top w:val="none" w:sz="0" w:space="0" w:color="auto"/>
                <w:left w:val="none" w:sz="0" w:space="0" w:color="auto"/>
                <w:bottom w:val="none" w:sz="0" w:space="0" w:color="auto"/>
                <w:right w:val="none" w:sz="0" w:space="0" w:color="auto"/>
              </w:divBdr>
            </w:div>
          </w:divsChild>
        </w:div>
        <w:div w:id="511339197">
          <w:marLeft w:val="0"/>
          <w:marRight w:val="0"/>
          <w:marTop w:val="0"/>
          <w:marBottom w:val="0"/>
          <w:divBdr>
            <w:top w:val="none" w:sz="0" w:space="0" w:color="auto"/>
            <w:left w:val="none" w:sz="0" w:space="0" w:color="auto"/>
            <w:bottom w:val="none" w:sz="0" w:space="0" w:color="auto"/>
            <w:right w:val="none" w:sz="0" w:space="0" w:color="auto"/>
          </w:divBdr>
          <w:divsChild>
            <w:div w:id="310646726">
              <w:marLeft w:val="0"/>
              <w:marRight w:val="0"/>
              <w:marTop w:val="0"/>
              <w:marBottom w:val="0"/>
              <w:divBdr>
                <w:top w:val="none" w:sz="0" w:space="0" w:color="auto"/>
                <w:left w:val="none" w:sz="0" w:space="0" w:color="auto"/>
                <w:bottom w:val="none" w:sz="0" w:space="0" w:color="auto"/>
                <w:right w:val="none" w:sz="0" w:space="0" w:color="auto"/>
              </w:divBdr>
            </w:div>
            <w:div w:id="358239295">
              <w:marLeft w:val="0"/>
              <w:marRight w:val="0"/>
              <w:marTop w:val="0"/>
              <w:marBottom w:val="0"/>
              <w:divBdr>
                <w:top w:val="none" w:sz="0" w:space="0" w:color="auto"/>
                <w:left w:val="none" w:sz="0" w:space="0" w:color="auto"/>
                <w:bottom w:val="none" w:sz="0" w:space="0" w:color="auto"/>
                <w:right w:val="none" w:sz="0" w:space="0" w:color="auto"/>
              </w:divBdr>
            </w:div>
          </w:divsChild>
        </w:div>
        <w:div w:id="565264366">
          <w:marLeft w:val="0"/>
          <w:marRight w:val="0"/>
          <w:marTop w:val="0"/>
          <w:marBottom w:val="0"/>
          <w:divBdr>
            <w:top w:val="none" w:sz="0" w:space="0" w:color="auto"/>
            <w:left w:val="none" w:sz="0" w:space="0" w:color="auto"/>
            <w:bottom w:val="none" w:sz="0" w:space="0" w:color="auto"/>
            <w:right w:val="none" w:sz="0" w:space="0" w:color="auto"/>
          </w:divBdr>
          <w:divsChild>
            <w:div w:id="643003423">
              <w:marLeft w:val="0"/>
              <w:marRight w:val="0"/>
              <w:marTop w:val="0"/>
              <w:marBottom w:val="0"/>
              <w:divBdr>
                <w:top w:val="none" w:sz="0" w:space="0" w:color="auto"/>
                <w:left w:val="none" w:sz="0" w:space="0" w:color="auto"/>
                <w:bottom w:val="none" w:sz="0" w:space="0" w:color="auto"/>
                <w:right w:val="none" w:sz="0" w:space="0" w:color="auto"/>
              </w:divBdr>
            </w:div>
            <w:div w:id="2041124359">
              <w:marLeft w:val="0"/>
              <w:marRight w:val="0"/>
              <w:marTop w:val="0"/>
              <w:marBottom w:val="0"/>
              <w:divBdr>
                <w:top w:val="none" w:sz="0" w:space="0" w:color="auto"/>
                <w:left w:val="none" w:sz="0" w:space="0" w:color="auto"/>
                <w:bottom w:val="none" w:sz="0" w:space="0" w:color="auto"/>
                <w:right w:val="none" w:sz="0" w:space="0" w:color="auto"/>
              </w:divBdr>
            </w:div>
          </w:divsChild>
        </w:div>
        <w:div w:id="610018006">
          <w:marLeft w:val="0"/>
          <w:marRight w:val="0"/>
          <w:marTop w:val="0"/>
          <w:marBottom w:val="0"/>
          <w:divBdr>
            <w:top w:val="none" w:sz="0" w:space="0" w:color="auto"/>
            <w:left w:val="none" w:sz="0" w:space="0" w:color="auto"/>
            <w:bottom w:val="none" w:sz="0" w:space="0" w:color="auto"/>
            <w:right w:val="none" w:sz="0" w:space="0" w:color="auto"/>
          </w:divBdr>
          <w:divsChild>
            <w:div w:id="586964439">
              <w:marLeft w:val="0"/>
              <w:marRight w:val="0"/>
              <w:marTop w:val="0"/>
              <w:marBottom w:val="0"/>
              <w:divBdr>
                <w:top w:val="none" w:sz="0" w:space="0" w:color="auto"/>
                <w:left w:val="none" w:sz="0" w:space="0" w:color="auto"/>
                <w:bottom w:val="none" w:sz="0" w:space="0" w:color="auto"/>
                <w:right w:val="none" w:sz="0" w:space="0" w:color="auto"/>
              </w:divBdr>
            </w:div>
          </w:divsChild>
        </w:div>
        <w:div w:id="723332278">
          <w:marLeft w:val="0"/>
          <w:marRight w:val="0"/>
          <w:marTop w:val="0"/>
          <w:marBottom w:val="0"/>
          <w:divBdr>
            <w:top w:val="none" w:sz="0" w:space="0" w:color="auto"/>
            <w:left w:val="none" w:sz="0" w:space="0" w:color="auto"/>
            <w:bottom w:val="none" w:sz="0" w:space="0" w:color="auto"/>
            <w:right w:val="none" w:sz="0" w:space="0" w:color="auto"/>
          </w:divBdr>
          <w:divsChild>
            <w:div w:id="34543752">
              <w:marLeft w:val="0"/>
              <w:marRight w:val="0"/>
              <w:marTop w:val="0"/>
              <w:marBottom w:val="0"/>
              <w:divBdr>
                <w:top w:val="none" w:sz="0" w:space="0" w:color="auto"/>
                <w:left w:val="none" w:sz="0" w:space="0" w:color="auto"/>
                <w:bottom w:val="none" w:sz="0" w:space="0" w:color="auto"/>
                <w:right w:val="none" w:sz="0" w:space="0" w:color="auto"/>
              </w:divBdr>
            </w:div>
            <w:div w:id="210461336">
              <w:marLeft w:val="0"/>
              <w:marRight w:val="0"/>
              <w:marTop w:val="0"/>
              <w:marBottom w:val="0"/>
              <w:divBdr>
                <w:top w:val="none" w:sz="0" w:space="0" w:color="auto"/>
                <w:left w:val="none" w:sz="0" w:space="0" w:color="auto"/>
                <w:bottom w:val="none" w:sz="0" w:space="0" w:color="auto"/>
                <w:right w:val="none" w:sz="0" w:space="0" w:color="auto"/>
              </w:divBdr>
            </w:div>
          </w:divsChild>
        </w:div>
        <w:div w:id="875236937">
          <w:marLeft w:val="0"/>
          <w:marRight w:val="0"/>
          <w:marTop w:val="0"/>
          <w:marBottom w:val="0"/>
          <w:divBdr>
            <w:top w:val="none" w:sz="0" w:space="0" w:color="auto"/>
            <w:left w:val="none" w:sz="0" w:space="0" w:color="auto"/>
            <w:bottom w:val="none" w:sz="0" w:space="0" w:color="auto"/>
            <w:right w:val="none" w:sz="0" w:space="0" w:color="auto"/>
          </w:divBdr>
          <w:divsChild>
            <w:div w:id="1214736679">
              <w:marLeft w:val="0"/>
              <w:marRight w:val="0"/>
              <w:marTop w:val="0"/>
              <w:marBottom w:val="0"/>
              <w:divBdr>
                <w:top w:val="none" w:sz="0" w:space="0" w:color="auto"/>
                <w:left w:val="none" w:sz="0" w:space="0" w:color="auto"/>
                <w:bottom w:val="none" w:sz="0" w:space="0" w:color="auto"/>
                <w:right w:val="none" w:sz="0" w:space="0" w:color="auto"/>
              </w:divBdr>
            </w:div>
          </w:divsChild>
        </w:div>
        <w:div w:id="955647939">
          <w:marLeft w:val="0"/>
          <w:marRight w:val="0"/>
          <w:marTop w:val="0"/>
          <w:marBottom w:val="0"/>
          <w:divBdr>
            <w:top w:val="none" w:sz="0" w:space="0" w:color="auto"/>
            <w:left w:val="none" w:sz="0" w:space="0" w:color="auto"/>
            <w:bottom w:val="none" w:sz="0" w:space="0" w:color="auto"/>
            <w:right w:val="none" w:sz="0" w:space="0" w:color="auto"/>
          </w:divBdr>
          <w:divsChild>
            <w:div w:id="301273297">
              <w:marLeft w:val="0"/>
              <w:marRight w:val="0"/>
              <w:marTop w:val="0"/>
              <w:marBottom w:val="0"/>
              <w:divBdr>
                <w:top w:val="none" w:sz="0" w:space="0" w:color="auto"/>
                <w:left w:val="none" w:sz="0" w:space="0" w:color="auto"/>
                <w:bottom w:val="none" w:sz="0" w:space="0" w:color="auto"/>
                <w:right w:val="none" w:sz="0" w:space="0" w:color="auto"/>
              </w:divBdr>
            </w:div>
          </w:divsChild>
        </w:div>
        <w:div w:id="1008291580">
          <w:marLeft w:val="0"/>
          <w:marRight w:val="0"/>
          <w:marTop w:val="0"/>
          <w:marBottom w:val="0"/>
          <w:divBdr>
            <w:top w:val="none" w:sz="0" w:space="0" w:color="auto"/>
            <w:left w:val="none" w:sz="0" w:space="0" w:color="auto"/>
            <w:bottom w:val="none" w:sz="0" w:space="0" w:color="auto"/>
            <w:right w:val="none" w:sz="0" w:space="0" w:color="auto"/>
          </w:divBdr>
          <w:divsChild>
            <w:div w:id="1423993895">
              <w:marLeft w:val="0"/>
              <w:marRight w:val="0"/>
              <w:marTop w:val="0"/>
              <w:marBottom w:val="0"/>
              <w:divBdr>
                <w:top w:val="none" w:sz="0" w:space="0" w:color="auto"/>
                <w:left w:val="none" w:sz="0" w:space="0" w:color="auto"/>
                <w:bottom w:val="none" w:sz="0" w:space="0" w:color="auto"/>
                <w:right w:val="none" w:sz="0" w:space="0" w:color="auto"/>
              </w:divBdr>
            </w:div>
          </w:divsChild>
        </w:div>
        <w:div w:id="1013537692">
          <w:marLeft w:val="0"/>
          <w:marRight w:val="0"/>
          <w:marTop w:val="0"/>
          <w:marBottom w:val="0"/>
          <w:divBdr>
            <w:top w:val="none" w:sz="0" w:space="0" w:color="auto"/>
            <w:left w:val="none" w:sz="0" w:space="0" w:color="auto"/>
            <w:bottom w:val="none" w:sz="0" w:space="0" w:color="auto"/>
            <w:right w:val="none" w:sz="0" w:space="0" w:color="auto"/>
          </w:divBdr>
          <w:divsChild>
            <w:div w:id="497581026">
              <w:marLeft w:val="0"/>
              <w:marRight w:val="0"/>
              <w:marTop w:val="0"/>
              <w:marBottom w:val="0"/>
              <w:divBdr>
                <w:top w:val="none" w:sz="0" w:space="0" w:color="auto"/>
                <w:left w:val="none" w:sz="0" w:space="0" w:color="auto"/>
                <w:bottom w:val="none" w:sz="0" w:space="0" w:color="auto"/>
                <w:right w:val="none" w:sz="0" w:space="0" w:color="auto"/>
              </w:divBdr>
            </w:div>
          </w:divsChild>
        </w:div>
        <w:div w:id="1020858257">
          <w:marLeft w:val="0"/>
          <w:marRight w:val="0"/>
          <w:marTop w:val="0"/>
          <w:marBottom w:val="0"/>
          <w:divBdr>
            <w:top w:val="none" w:sz="0" w:space="0" w:color="auto"/>
            <w:left w:val="none" w:sz="0" w:space="0" w:color="auto"/>
            <w:bottom w:val="none" w:sz="0" w:space="0" w:color="auto"/>
            <w:right w:val="none" w:sz="0" w:space="0" w:color="auto"/>
          </w:divBdr>
          <w:divsChild>
            <w:div w:id="90471860">
              <w:marLeft w:val="0"/>
              <w:marRight w:val="0"/>
              <w:marTop w:val="0"/>
              <w:marBottom w:val="0"/>
              <w:divBdr>
                <w:top w:val="none" w:sz="0" w:space="0" w:color="auto"/>
                <w:left w:val="none" w:sz="0" w:space="0" w:color="auto"/>
                <w:bottom w:val="none" w:sz="0" w:space="0" w:color="auto"/>
                <w:right w:val="none" w:sz="0" w:space="0" w:color="auto"/>
              </w:divBdr>
            </w:div>
            <w:div w:id="413554443">
              <w:marLeft w:val="0"/>
              <w:marRight w:val="0"/>
              <w:marTop w:val="0"/>
              <w:marBottom w:val="0"/>
              <w:divBdr>
                <w:top w:val="none" w:sz="0" w:space="0" w:color="auto"/>
                <w:left w:val="none" w:sz="0" w:space="0" w:color="auto"/>
                <w:bottom w:val="none" w:sz="0" w:space="0" w:color="auto"/>
                <w:right w:val="none" w:sz="0" w:space="0" w:color="auto"/>
              </w:divBdr>
            </w:div>
            <w:div w:id="1431580226">
              <w:marLeft w:val="0"/>
              <w:marRight w:val="0"/>
              <w:marTop w:val="0"/>
              <w:marBottom w:val="0"/>
              <w:divBdr>
                <w:top w:val="none" w:sz="0" w:space="0" w:color="auto"/>
                <w:left w:val="none" w:sz="0" w:space="0" w:color="auto"/>
                <w:bottom w:val="none" w:sz="0" w:space="0" w:color="auto"/>
                <w:right w:val="none" w:sz="0" w:space="0" w:color="auto"/>
              </w:divBdr>
            </w:div>
          </w:divsChild>
        </w:div>
        <w:div w:id="1109860607">
          <w:marLeft w:val="0"/>
          <w:marRight w:val="0"/>
          <w:marTop w:val="0"/>
          <w:marBottom w:val="0"/>
          <w:divBdr>
            <w:top w:val="none" w:sz="0" w:space="0" w:color="auto"/>
            <w:left w:val="none" w:sz="0" w:space="0" w:color="auto"/>
            <w:bottom w:val="none" w:sz="0" w:space="0" w:color="auto"/>
            <w:right w:val="none" w:sz="0" w:space="0" w:color="auto"/>
          </w:divBdr>
          <w:divsChild>
            <w:div w:id="1367875389">
              <w:marLeft w:val="0"/>
              <w:marRight w:val="0"/>
              <w:marTop w:val="0"/>
              <w:marBottom w:val="0"/>
              <w:divBdr>
                <w:top w:val="none" w:sz="0" w:space="0" w:color="auto"/>
                <w:left w:val="none" w:sz="0" w:space="0" w:color="auto"/>
                <w:bottom w:val="none" w:sz="0" w:space="0" w:color="auto"/>
                <w:right w:val="none" w:sz="0" w:space="0" w:color="auto"/>
              </w:divBdr>
            </w:div>
            <w:div w:id="1477257904">
              <w:marLeft w:val="0"/>
              <w:marRight w:val="0"/>
              <w:marTop w:val="0"/>
              <w:marBottom w:val="0"/>
              <w:divBdr>
                <w:top w:val="none" w:sz="0" w:space="0" w:color="auto"/>
                <w:left w:val="none" w:sz="0" w:space="0" w:color="auto"/>
                <w:bottom w:val="none" w:sz="0" w:space="0" w:color="auto"/>
                <w:right w:val="none" w:sz="0" w:space="0" w:color="auto"/>
              </w:divBdr>
            </w:div>
            <w:div w:id="2045977181">
              <w:marLeft w:val="0"/>
              <w:marRight w:val="0"/>
              <w:marTop w:val="0"/>
              <w:marBottom w:val="0"/>
              <w:divBdr>
                <w:top w:val="none" w:sz="0" w:space="0" w:color="auto"/>
                <w:left w:val="none" w:sz="0" w:space="0" w:color="auto"/>
                <w:bottom w:val="none" w:sz="0" w:space="0" w:color="auto"/>
                <w:right w:val="none" w:sz="0" w:space="0" w:color="auto"/>
              </w:divBdr>
            </w:div>
          </w:divsChild>
        </w:div>
        <w:div w:id="1134523090">
          <w:marLeft w:val="0"/>
          <w:marRight w:val="0"/>
          <w:marTop w:val="0"/>
          <w:marBottom w:val="0"/>
          <w:divBdr>
            <w:top w:val="none" w:sz="0" w:space="0" w:color="auto"/>
            <w:left w:val="none" w:sz="0" w:space="0" w:color="auto"/>
            <w:bottom w:val="none" w:sz="0" w:space="0" w:color="auto"/>
            <w:right w:val="none" w:sz="0" w:space="0" w:color="auto"/>
          </w:divBdr>
          <w:divsChild>
            <w:div w:id="871764057">
              <w:marLeft w:val="0"/>
              <w:marRight w:val="0"/>
              <w:marTop w:val="0"/>
              <w:marBottom w:val="0"/>
              <w:divBdr>
                <w:top w:val="none" w:sz="0" w:space="0" w:color="auto"/>
                <w:left w:val="none" w:sz="0" w:space="0" w:color="auto"/>
                <w:bottom w:val="none" w:sz="0" w:space="0" w:color="auto"/>
                <w:right w:val="none" w:sz="0" w:space="0" w:color="auto"/>
              </w:divBdr>
            </w:div>
          </w:divsChild>
        </w:div>
        <w:div w:id="1151218802">
          <w:marLeft w:val="0"/>
          <w:marRight w:val="0"/>
          <w:marTop w:val="0"/>
          <w:marBottom w:val="0"/>
          <w:divBdr>
            <w:top w:val="none" w:sz="0" w:space="0" w:color="auto"/>
            <w:left w:val="none" w:sz="0" w:space="0" w:color="auto"/>
            <w:bottom w:val="none" w:sz="0" w:space="0" w:color="auto"/>
            <w:right w:val="none" w:sz="0" w:space="0" w:color="auto"/>
          </w:divBdr>
          <w:divsChild>
            <w:div w:id="394403164">
              <w:marLeft w:val="0"/>
              <w:marRight w:val="0"/>
              <w:marTop w:val="0"/>
              <w:marBottom w:val="0"/>
              <w:divBdr>
                <w:top w:val="none" w:sz="0" w:space="0" w:color="auto"/>
                <w:left w:val="none" w:sz="0" w:space="0" w:color="auto"/>
                <w:bottom w:val="none" w:sz="0" w:space="0" w:color="auto"/>
                <w:right w:val="none" w:sz="0" w:space="0" w:color="auto"/>
              </w:divBdr>
            </w:div>
            <w:div w:id="791946476">
              <w:marLeft w:val="0"/>
              <w:marRight w:val="0"/>
              <w:marTop w:val="0"/>
              <w:marBottom w:val="0"/>
              <w:divBdr>
                <w:top w:val="none" w:sz="0" w:space="0" w:color="auto"/>
                <w:left w:val="none" w:sz="0" w:space="0" w:color="auto"/>
                <w:bottom w:val="none" w:sz="0" w:space="0" w:color="auto"/>
                <w:right w:val="none" w:sz="0" w:space="0" w:color="auto"/>
              </w:divBdr>
            </w:div>
            <w:div w:id="1448818535">
              <w:marLeft w:val="0"/>
              <w:marRight w:val="0"/>
              <w:marTop w:val="0"/>
              <w:marBottom w:val="0"/>
              <w:divBdr>
                <w:top w:val="none" w:sz="0" w:space="0" w:color="auto"/>
                <w:left w:val="none" w:sz="0" w:space="0" w:color="auto"/>
                <w:bottom w:val="none" w:sz="0" w:space="0" w:color="auto"/>
                <w:right w:val="none" w:sz="0" w:space="0" w:color="auto"/>
              </w:divBdr>
            </w:div>
            <w:div w:id="2085030371">
              <w:marLeft w:val="0"/>
              <w:marRight w:val="0"/>
              <w:marTop w:val="0"/>
              <w:marBottom w:val="0"/>
              <w:divBdr>
                <w:top w:val="none" w:sz="0" w:space="0" w:color="auto"/>
                <w:left w:val="none" w:sz="0" w:space="0" w:color="auto"/>
                <w:bottom w:val="none" w:sz="0" w:space="0" w:color="auto"/>
                <w:right w:val="none" w:sz="0" w:space="0" w:color="auto"/>
              </w:divBdr>
            </w:div>
          </w:divsChild>
        </w:div>
        <w:div w:id="1197962615">
          <w:marLeft w:val="0"/>
          <w:marRight w:val="0"/>
          <w:marTop w:val="0"/>
          <w:marBottom w:val="0"/>
          <w:divBdr>
            <w:top w:val="none" w:sz="0" w:space="0" w:color="auto"/>
            <w:left w:val="none" w:sz="0" w:space="0" w:color="auto"/>
            <w:bottom w:val="none" w:sz="0" w:space="0" w:color="auto"/>
            <w:right w:val="none" w:sz="0" w:space="0" w:color="auto"/>
          </w:divBdr>
          <w:divsChild>
            <w:div w:id="1812480290">
              <w:marLeft w:val="0"/>
              <w:marRight w:val="0"/>
              <w:marTop w:val="0"/>
              <w:marBottom w:val="0"/>
              <w:divBdr>
                <w:top w:val="none" w:sz="0" w:space="0" w:color="auto"/>
                <w:left w:val="none" w:sz="0" w:space="0" w:color="auto"/>
                <w:bottom w:val="none" w:sz="0" w:space="0" w:color="auto"/>
                <w:right w:val="none" w:sz="0" w:space="0" w:color="auto"/>
              </w:divBdr>
            </w:div>
          </w:divsChild>
        </w:div>
        <w:div w:id="1250583877">
          <w:marLeft w:val="0"/>
          <w:marRight w:val="0"/>
          <w:marTop w:val="0"/>
          <w:marBottom w:val="0"/>
          <w:divBdr>
            <w:top w:val="none" w:sz="0" w:space="0" w:color="auto"/>
            <w:left w:val="none" w:sz="0" w:space="0" w:color="auto"/>
            <w:bottom w:val="none" w:sz="0" w:space="0" w:color="auto"/>
            <w:right w:val="none" w:sz="0" w:space="0" w:color="auto"/>
          </w:divBdr>
          <w:divsChild>
            <w:div w:id="269514813">
              <w:marLeft w:val="0"/>
              <w:marRight w:val="0"/>
              <w:marTop w:val="0"/>
              <w:marBottom w:val="0"/>
              <w:divBdr>
                <w:top w:val="none" w:sz="0" w:space="0" w:color="auto"/>
                <w:left w:val="none" w:sz="0" w:space="0" w:color="auto"/>
                <w:bottom w:val="none" w:sz="0" w:space="0" w:color="auto"/>
                <w:right w:val="none" w:sz="0" w:space="0" w:color="auto"/>
              </w:divBdr>
            </w:div>
            <w:div w:id="2061240940">
              <w:marLeft w:val="0"/>
              <w:marRight w:val="0"/>
              <w:marTop w:val="0"/>
              <w:marBottom w:val="0"/>
              <w:divBdr>
                <w:top w:val="none" w:sz="0" w:space="0" w:color="auto"/>
                <w:left w:val="none" w:sz="0" w:space="0" w:color="auto"/>
                <w:bottom w:val="none" w:sz="0" w:space="0" w:color="auto"/>
                <w:right w:val="none" w:sz="0" w:space="0" w:color="auto"/>
              </w:divBdr>
            </w:div>
          </w:divsChild>
        </w:div>
        <w:div w:id="1266770191">
          <w:marLeft w:val="0"/>
          <w:marRight w:val="0"/>
          <w:marTop w:val="0"/>
          <w:marBottom w:val="0"/>
          <w:divBdr>
            <w:top w:val="none" w:sz="0" w:space="0" w:color="auto"/>
            <w:left w:val="none" w:sz="0" w:space="0" w:color="auto"/>
            <w:bottom w:val="none" w:sz="0" w:space="0" w:color="auto"/>
            <w:right w:val="none" w:sz="0" w:space="0" w:color="auto"/>
          </w:divBdr>
          <w:divsChild>
            <w:div w:id="550112149">
              <w:marLeft w:val="0"/>
              <w:marRight w:val="0"/>
              <w:marTop w:val="0"/>
              <w:marBottom w:val="0"/>
              <w:divBdr>
                <w:top w:val="none" w:sz="0" w:space="0" w:color="auto"/>
                <w:left w:val="none" w:sz="0" w:space="0" w:color="auto"/>
                <w:bottom w:val="none" w:sz="0" w:space="0" w:color="auto"/>
                <w:right w:val="none" w:sz="0" w:space="0" w:color="auto"/>
              </w:divBdr>
            </w:div>
          </w:divsChild>
        </w:div>
        <w:div w:id="1340739373">
          <w:marLeft w:val="0"/>
          <w:marRight w:val="0"/>
          <w:marTop w:val="0"/>
          <w:marBottom w:val="0"/>
          <w:divBdr>
            <w:top w:val="none" w:sz="0" w:space="0" w:color="auto"/>
            <w:left w:val="none" w:sz="0" w:space="0" w:color="auto"/>
            <w:bottom w:val="none" w:sz="0" w:space="0" w:color="auto"/>
            <w:right w:val="none" w:sz="0" w:space="0" w:color="auto"/>
          </w:divBdr>
          <w:divsChild>
            <w:div w:id="507450551">
              <w:marLeft w:val="0"/>
              <w:marRight w:val="0"/>
              <w:marTop w:val="0"/>
              <w:marBottom w:val="0"/>
              <w:divBdr>
                <w:top w:val="none" w:sz="0" w:space="0" w:color="auto"/>
                <w:left w:val="none" w:sz="0" w:space="0" w:color="auto"/>
                <w:bottom w:val="none" w:sz="0" w:space="0" w:color="auto"/>
                <w:right w:val="none" w:sz="0" w:space="0" w:color="auto"/>
              </w:divBdr>
            </w:div>
          </w:divsChild>
        </w:div>
        <w:div w:id="1380978953">
          <w:marLeft w:val="0"/>
          <w:marRight w:val="0"/>
          <w:marTop w:val="0"/>
          <w:marBottom w:val="0"/>
          <w:divBdr>
            <w:top w:val="none" w:sz="0" w:space="0" w:color="auto"/>
            <w:left w:val="none" w:sz="0" w:space="0" w:color="auto"/>
            <w:bottom w:val="none" w:sz="0" w:space="0" w:color="auto"/>
            <w:right w:val="none" w:sz="0" w:space="0" w:color="auto"/>
          </w:divBdr>
          <w:divsChild>
            <w:div w:id="913005573">
              <w:marLeft w:val="0"/>
              <w:marRight w:val="0"/>
              <w:marTop w:val="0"/>
              <w:marBottom w:val="0"/>
              <w:divBdr>
                <w:top w:val="none" w:sz="0" w:space="0" w:color="auto"/>
                <w:left w:val="none" w:sz="0" w:space="0" w:color="auto"/>
                <w:bottom w:val="none" w:sz="0" w:space="0" w:color="auto"/>
                <w:right w:val="none" w:sz="0" w:space="0" w:color="auto"/>
              </w:divBdr>
            </w:div>
          </w:divsChild>
        </w:div>
        <w:div w:id="1391003256">
          <w:marLeft w:val="0"/>
          <w:marRight w:val="0"/>
          <w:marTop w:val="0"/>
          <w:marBottom w:val="0"/>
          <w:divBdr>
            <w:top w:val="none" w:sz="0" w:space="0" w:color="auto"/>
            <w:left w:val="none" w:sz="0" w:space="0" w:color="auto"/>
            <w:bottom w:val="none" w:sz="0" w:space="0" w:color="auto"/>
            <w:right w:val="none" w:sz="0" w:space="0" w:color="auto"/>
          </w:divBdr>
          <w:divsChild>
            <w:div w:id="211885270">
              <w:marLeft w:val="0"/>
              <w:marRight w:val="0"/>
              <w:marTop w:val="0"/>
              <w:marBottom w:val="0"/>
              <w:divBdr>
                <w:top w:val="none" w:sz="0" w:space="0" w:color="auto"/>
                <w:left w:val="none" w:sz="0" w:space="0" w:color="auto"/>
                <w:bottom w:val="none" w:sz="0" w:space="0" w:color="auto"/>
                <w:right w:val="none" w:sz="0" w:space="0" w:color="auto"/>
              </w:divBdr>
            </w:div>
          </w:divsChild>
        </w:div>
        <w:div w:id="1400979953">
          <w:marLeft w:val="0"/>
          <w:marRight w:val="0"/>
          <w:marTop w:val="0"/>
          <w:marBottom w:val="0"/>
          <w:divBdr>
            <w:top w:val="none" w:sz="0" w:space="0" w:color="auto"/>
            <w:left w:val="none" w:sz="0" w:space="0" w:color="auto"/>
            <w:bottom w:val="none" w:sz="0" w:space="0" w:color="auto"/>
            <w:right w:val="none" w:sz="0" w:space="0" w:color="auto"/>
          </w:divBdr>
          <w:divsChild>
            <w:div w:id="433792261">
              <w:marLeft w:val="0"/>
              <w:marRight w:val="0"/>
              <w:marTop w:val="0"/>
              <w:marBottom w:val="0"/>
              <w:divBdr>
                <w:top w:val="none" w:sz="0" w:space="0" w:color="auto"/>
                <w:left w:val="none" w:sz="0" w:space="0" w:color="auto"/>
                <w:bottom w:val="none" w:sz="0" w:space="0" w:color="auto"/>
                <w:right w:val="none" w:sz="0" w:space="0" w:color="auto"/>
              </w:divBdr>
            </w:div>
          </w:divsChild>
        </w:div>
        <w:div w:id="1435856516">
          <w:marLeft w:val="0"/>
          <w:marRight w:val="0"/>
          <w:marTop w:val="0"/>
          <w:marBottom w:val="0"/>
          <w:divBdr>
            <w:top w:val="none" w:sz="0" w:space="0" w:color="auto"/>
            <w:left w:val="none" w:sz="0" w:space="0" w:color="auto"/>
            <w:bottom w:val="none" w:sz="0" w:space="0" w:color="auto"/>
            <w:right w:val="none" w:sz="0" w:space="0" w:color="auto"/>
          </w:divBdr>
          <w:divsChild>
            <w:div w:id="953629962">
              <w:marLeft w:val="0"/>
              <w:marRight w:val="0"/>
              <w:marTop w:val="0"/>
              <w:marBottom w:val="0"/>
              <w:divBdr>
                <w:top w:val="none" w:sz="0" w:space="0" w:color="auto"/>
                <w:left w:val="none" w:sz="0" w:space="0" w:color="auto"/>
                <w:bottom w:val="none" w:sz="0" w:space="0" w:color="auto"/>
                <w:right w:val="none" w:sz="0" w:space="0" w:color="auto"/>
              </w:divBdr>
            </w:div>
            <w:div w:id="1071579614">
              <w:marLeft w:val="0"/>
              <w:marRight w:val="0"/>
              <w:marTop w:val="0"/>
              <w:marBottom w:val="0"/>
              <w:divBdr>
                <w:top w:val="none" w:sz="0" w:space="0" w:color="auto"/>
                <w:left w:val="none" w:sz="0" w:space="0" w:color="auto"/>
                <w:bottom w:val="none" w:sz="0" w:space="0" w:color="auto"/>
                <w:right w:val="none" w:sz="0" w:space="0" w:color="auto"/>
              </w:divBdr>
            </w:div>
          </w:divsChild>
        </w:div>
        <w:div w:id="1449085396">
          <w:marLeft w:val="0"/>
          <w:marRight w:val="0"/>
          <w:marTop w:val="0"/>
          <w:marBottom w:val="0"/>
          <w:divBdr>
            <w:top w:val="none" w:sz="0" w:space="0" w:color="auto"/>
            <w:left w:val="none" w:sz="0" w:space="0" w:color="auto"/>
            <w:bottom w:val="none" w:sz="0" w:space="0" w:color="auto"/>
            <w:right w:val="none" w:sz="0" w:space="0" w:color="auto"/>
          </w:divBdr>
          <w:divsChild>
            <w:div w:id="1594126589">
              <w:marLeft w:val="0"/>
              <w:marRight w:val="0"/>
              <w:marTop w:val="0"/>
              <w:marBottom w:val="0"/>
              <w:divBdr>
                <w:top w:val="none" w:sz="0" w:space="0" w:color="auto"/>
                <w:left w:val="none" w:sz="0" w:space="0" w:color="auto"/>
                <w:bottom w:val="none" w:sz="0" w:space="0" w:color="auto"/>
                <w:right w:val="none" w:sz="0" w:space="0" w:color="auto"/>
              </w:divBdr>
            </w:div>
            <w:div w:id="1806923266">
              <w:marLeft w:val="0"/>
              <w:marRight w:val="0"/>
              <w:marTop w:val="0"/>
              <w:marBottom w:val="0"/>
              <w:divBdr>
                <w:top w:val="none" w:sz="0" w:space="0" w:color="auto"/>
                <w:left w:val="none" w:sz="0" w:space="0" w:color="auto"/>
                <w:bottom w:val="none" w:sz="0" w:space="0" w:color="auto"/>
                <w:right w:val="none" w:sz="0" w:space="0" w:color="auto"/>
              </w:divBdr>
            </w:div>
          </w:divsChild>
        </w:div>
        <w:div w:id="1452439371">
          <w:marLeft w:val="0"/>
          <w:marRight w:val="0"/>
          <w:marTop w:val="0"/>
          <w:marBottom w:val="0"/>
          <w:divBdr>
            <w:top w:val="none" w:sz="0" w:space="0" w:color="auto"/>
            <w:left w:val="none" w:sz="0" w:space="0" w:color="auto"/>
            <w:bottom w:val="none" w:sz="0" w:space="0" w:color="auto"/>
            <w:right w:val="none" w:sz="0" w:space="0" w:color="auto"/>
          </w:divBdr>
          <w:divsChild>
            <w:div w:id="1936747930">
              <w:marLeft w:val="0"/>
              <w:marRight w:val="0"/>
              <w:marTop w:val="0"/>
              <w:marBottom w:val="0"/>
              <w:divBdr>
                <w:top w:val="none" w:sz="0" w:space="0" w:color="auto"/>
                <w:left w:val="none" w:sz="0" w:space="0" w:color="auto"/>
                <w:bottom w:val="none" w:sz="0" w:space="0" w:color="auto"/>
                <w:right w:val="none" w:sz="0" w:space="0" w:color="auto"/>
              </w:divBdr>
            </w:div>
          </w:divsChild>
        </w:div>
        <w:div w:id="1477408412">
          <w:marLeft w:val="0"/>
          <w:marRight w:val="0"/>
          <w:marTop w:val="0"/>
          <w:marBottom w:val="0"/>
          <w:divBdr>
            <w:top w:val="none" w:sz="0" w:space="0" w:color="auto"/>
            <w:left w:val="none" w:sz="0" w:space="0" w:color="auto"/>
            <w:bottom w:val="none" w:sz="0" w:space="0" w:color="auto"/>
            <w:right w:val="none" w:sz="0" w:space="0" w:color="auto"/>
          </w:divBdr>
          <w:divsChild>
            <w:div w:id="40909610">
              <w:marLeft w:val="0"/>
              <w:marRight w:val="0"/>
              <w:marTop w:val="0"/>
              <w:marBottom w:val="0"/>
              <w:divBdr>
                <w:top w:val="none" w:sz="0" w:space="0" w:color="auto"/>
                <w:left w:val="none" w:sz="0" w:space="0" w:color="auto"/>
                <w:bottom w:val="none" w:sz="0" w:space="0" w:color="auto"/>
                <w:right w:val="none" w:sz="0" w:space="0" w:color="auto"/>
              </w:divBdr>
            </w:div>
          </w:divsChild>
        </w:div>
        <w:div w:id="1611815996">
          <w:marLeft w:val="0"/>
          <w:marRight w:val="0"/>
          <w:marTop w:val="0"/>
          <w:marBottom w:val="0"/>
          <w:divBdr>
            <w:top w:val="none" w:sz="0" w:space="0" w:color="auto"/>
            <w:left w:val="none" w:sz="0" w:space="0" w:color="auto"/>
            <w:bottom w:val="none" w:sz="0" w:space="0" w:color="auto"/>
            <w:right w:val="none" w:sz="0" w:space="0" w:color="auto"/>
          </w:divBdr>
          <w:divsChild>
            <w:div w:id="1476801419">
              <w:marLeft w:val="0"/>
              <w:marRight w:val="0"/>
              <w:marTop w:val="0"/>
              <w:marBottom w:val="0"/>
              <w:divBdr>
                <w:top w:val="none" w:sz="0" w:space="0" w:color="auto"/>
                <w:left w:val="none" w:sz="0" w:space="0" w:color="auto"/>
                <w:bottom w:val="none" w:sz="0" w:space="0" w:color="auto"/>
                <w:right w:val="none" w:sz="0" w:space="0" w:color="auto"/>
              </w:divBdr>
            </w:div>
          </w:divsChild>
        </w:div>
        <w:div w:id="1632403093">
          <w:marLeft w:val="0"/>
          <w:marRight w:val="0"/>
          <w:marTop w:val="0"/>
          <w:marBottom w:val="0"/>
          <w:divBdr>
            <w:top w:val="none" w:sz="0" w:space="0" w:color="auto"/>
            <w:left w:val="none" w:sz="0" w:space="0" w:color="auto"/>
            <w:bottom w:val="none" w:sz="0" w:space="0" w:color="auto"/>
            <w:right w:val="none" w:sz="0" w:space="0" w:color="auto"/>
          </w:divBdr>
          <w:divsChild>
            <w:div w:id="2078362345">
              <w:marLeft w:val="0"/>
              <w:marRight w:val="0"/>
              <w:marTop w:val="0"/>
              <w:marBottom w:val="0"/>
              <w:divBdr>
                <w:top w:val="none" w:sz="0" w:space="0" w:color="auto"/>
                <w:left w:val="none" w:sz="0" w:space="0" w:color="auto"/>
                <w:bottom w:val="none" w:sz="0" w:space="0" w:color="auto"/>
                <w:right w:val="none" w:sz="0" w:space="0" w:color="auto"/>
              </w:divBdr>
            </w:div>
          </w:divsChild>
        </w:div>
        <w:div w:id="1660189622">
          <w:marLeft w:val="0"/>
          <w:marRight w:val="0"/>
          <w:marTop w:val="0"/>
          <w:marBottom w:val="0"/>
          <w:divBdr>
            <w:top w:val="none" w:sz="0" w:space="0" w:color="auto"/>
            <w:left w:val="none" w:sz="0" w:space="0" w:color="auto"/>
            <w:bottom w:val="none" w:sz="0" w:space="0" w:color="auto"/>
            <w:right w:val="none" w:sz="0" w:space="0" w:color="auto"/>
          </w:divBdr>
          <w:divsChild>
            <w:div w:id="263348710">
              <w:marLeft w:val="0"/>
              <w:marRight w:val="0"/>
              <w:marTop w:val="0"/>
              <w:marBottom w:val="0"/>
              <w:divBdr>
                <w:top w:val="none" w:sz="0" w:space="0" w:color="auto"/>
                <w:left w:val="none" w:sz="0" w:space="0" w:color="auto"/>
                <w:bottom w:val="none" w:sz="0" w:space="0" w:color="auto"/>
                <w:right w:val="none" w:sz="0" w:space="0" w:color="auto"/>
              </w:divBdr>
            </w:div>
          </w:divsChild>
        </w:div>
        <w:div w:id="1778089811">
          <w:marLeft w:val="0"/>
          <w:marRight w:val="0"/>
          <w:marTop w:val="0"/>
          <w:marBottom w:val="0"/>
          <w:divBdr>
            <w:top w:val="none" w:sz="0" w:space="0" w:color="auto"/>
            <w:left w:val="none" w:sz="0" w:space="0" w:color="auto"/>
            <w:bottom w:val="none" w:sz="0" w:space="0" w:color="auto"/>
            <w:right w:val="none" w:sz="0" w:space="0" w:color="auto"/>
          </w:divBdr>
          <w:divsChild>
            <w:div w:id="859659700">
              <w:marLeft w:val="0"/>
              <w:marRight w:val="0"/>
              <w:marTop w:val="0"/>
              <w:marBottom w:val="0"/>
              <w:divBdr>
                <w:top w:val="none" w:sz="0" w:space="0" w:color="auto"/>
                <w:left w:val="none" w:sz="0" w:space="0" w:color="auto"/>
                <w:bottom w:val="none" w:sz="0" w:space="0" w:color="auto"/>
                <w:right w:val="none" w:sz="0" w:space="0" w:color="auto"/>
              </w:divBdr>
            </w:div>
            <w:div w:id="1491141051">
              <w:marLeft w:val="0"/>
              <w:marRight w:val="0"/>
              <w:marTop w:val="0"/>
              <w:marBottom w:val="0"/>
              <w:divBdr>
                <w:top w:val="none" w:sz="0" w:space="0" w:color="auto"/>
                <w:left w:val="none" w:sz="0" w:space="0" w:color="auto"/>
                <w:bottom w:val="none" w:sz="0" w:space="0" w:color="auto"/>
                <w:right w:val="none" w:sz="0" w:space="0" w:color="auto"/>
              </w:divBdr>
            </w:div>
          </w:divsChild>
        </w:div>
        <w:div w:id="1830633373">
          <w:marLeft w:val="0"/>
          <w:marRight w:val="0"/>
          <w:marTop w:val="0"/>
          <w:marBottom w:val="0"/>
          <w:divBdr>
            <w:top w:val="none" w:sz="0" w:space="0" w:color="auto"/>
            <w:left w:val="none" w:sz="0" w:space="0" w:color="auto"/>
            <w:bottom w:val="none" w:sz="0" w:space="0" w:color="auto"/>
            <w:right w:val="none" w:sz="0" w:space="0" w:color="auto"/>
          </w:divBdr>
          <w:divsChild>
            <w:div w:id="566259225">
              <w:marLeft w:val="0"/>
              <w:marRight w:val="0"/>
              <w:marTop w:val="0"/>
              <w:marBottom w:val="0"/>
              <w:divBdr>
                <w:top w:val="none" w:sz="0" w:space="0" w:color="auto"/>
                <w:left w:val="none" w:sz="0" w:space="0" w:color="auto"/>
                <w:bottom w:val="none" w:sz="0" w:space="0" w:color="auto"/>
                <w:right w:val="none" w:sz="0" w:space="0" w:color="auto"/>
              </w:divBdr>
            </w:div>
            <w:div w:id="1259437504">
              <w:marLeft w:val="0"/>
              <w:marRight w:val="0"/>
              <w:marTop w:val="0"/>
              <w:marBottom w:val="0"/>
              <w:divBdr>
                <w:top w:val="none" w:sz="0" w:space="0" w:color="auto"/>
                <w:left w:val="none" w:sz="0" w:space="0" w:color="auto"/>
                <w:bottom w:val="none" w:sz="0" w:space="0" w:color="auto"/>
                <w:right w:val="none" w:sz="0" w:space="0" w:color="auto"/>
              </w:divBdr>
            </w:div>
          </w:divsChild>
        </w:div>
        <w:div w:id="1982803584">
          <w:marLeft w:val="0"/>
          <w:marRight w:val="0"/>
          <w:marTop w:val="0"/>
          <w:marBottom w:val="0"/>
          <w:divBdr>
            <w:top w:val="none" w:sz="0" w:space="0" w:color="auto"/>
            <w:left w:val="none" w:sz="0" w:space="0" w:color="auto"/>
            <w:bottom w:val="none" w:sz="0" w:space="0" w:color="auto"/>
            <w:right w:val="none" w:sz="0" w:space="0" w:color="auto"/>
          </w:divBdr>
          <w:divsChild>
            <w:div w:id="883564286">
              <w:marLeft w:val="0"/>
              <w:marRight w:val="0"/>
              <w:marTop w:val="0"/>
              <w:marBottom w:val="0"/>
              <w:divBdr>
                <w:top w:val="none" w:sz="0" w:space="0" w:color="auto"/>
                <w:left w:val="none" w:sz="0" w:space="0" w:color="auto"/>
                <w:bottom w:val="none" w:sz="0" w:space="0" w:color="auto"/>
                <w:right w:val="none" w:sz="0" w:space="0" w:color="auto"/>
              </w:divBdr>
            </w:div>
          </w:divsChild>
        </w:div>
        <w:div w:id="2106536846">
          <w:marLeft w:val="0"/>
          <w:marRight w:val="0"/>
          <w:marTop w:val="0"/>
          <w:marBottom w:val="0"/>
          <w:divBdr>
            <w:top w:val="none" w:sz="0" w:space="0" w:color="auto"/>
            <w:left w:val="none" w:sz="0" w:space="0" w:color="auto"/>
            <w:bottom w:val="none" w:sz="0" w:space="0" w:color="auto"/>
            <w:right w:val="none" w:sz="0" w:space="0" w:color="auto"/>
          </w:divBdr>
          <w:divsChild>
            <w:div w:id="763577173">
              <w:marLeft w:val="0"/>
              <w:marRight w:val="0"/>
              <w:marTop w:val="0"/>
              <w:marBottom w:val="0"/>
              <w:divBdr>
                <w:top w:val="none" w:sz="0" w:space="0" w:color="auto"/>
                <w:left w:val="none" w:sz="0" w:space="0" w:color="auto"/>
                <w:bottom w:val="none" w:sz="0" w:space="0" w:color="auto"/>
                <w:right w:val="none" w:sz="0" w:space="0" w:color="auto"/>
              </w:divBdr>
            </w:div>
            <w:div w:id="907574000">
              <w:marLeft w:val="0"/>
              <w:marRight w:val="0"/>
              <w:marTop w:val="0"/>
              <w:marBottom w:val="0"/>
              <w:divBdr>
                <w:top w:val="none" w:sz="0" w:space="0" w:color="auto"/>
                <w:left w:val="none" w:sz="0" w:space="0" w:color="auto"/>
                <w:bottom w:val="none" w:sz="0" w:space="0" w:color="auto"/>
                <w:right w:val="none" w:sz="0" w:space="0" w:color="auto"/>
              </w:divBdr>
            </w:div>
            <w:div w:id="16326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3631">
      <w:bodyDiv w:val="1"/>
      <w:marLeft w:val="0"/>
      <w:marRight w:val="0"/>
      <w:marTop w:val="0"/>
      <w:marBottom w:val="0"/>
      <w:divBdr>
        <w:top w:val="none" w:sz="0" w:space="0" w:color="auto"/>
        <w:left w:val="none" w:sz="0" w:space="0" w:color="auto"/>
        <w:bottom w:val="none" w:sz="0" w:space="0" w:color="auto"/>
        <w:right w:val="none" w:sz="0" w:space="0" w:color="auto"/>
      </w:divBdr>
      <w:divsChild>
        <w:div w:id="43912506">
          <w:marLeft w:val="0"/>
          <w:marRight w:val="0"/>
          <w:marTop w:val="0"/>
          <w:marBottom w:val="0"/>
          <w:divBdr>
            <w:top w:val="none" w:sz="0" w:space="0" w:color="auto"/>
            <w:left w:val="none" w:sz="0" w:space="0" w:color="auto"/>
            <w:bottom w:val="none" w:sz="0" w:space="0" w:color="auto"/>
            <w:right w:val="none" w:sz="0" w:space="0" w:color="auto"/>
          </w:divBdr>
        </w:div>
        <w:div w:id="125590889">
          <w:marLeft w:val="0"/>
          <w:marRight w:val="0"/>
          <w:marTop w:val="0"/>
          <w:marBottom w:val="0"/>
          <w:divBdr>
            <w:top w:val="none" w:sz="0" w:space="0" w:color="auto"/>
            <w:left w:val="none" w:sz="0" w:space="0" w:color="auto"/>
            <w:bottom w:val="none" w:sz="0" w:space="0" w:color="auto"/>
            <w:right w:val="none" w:sz="0" w:space="0" w:color="auto"/>
          </w:divBdr>
          <w:divsChild>
            <w:div w:id="218446121">
              <w:marLeft w:val="0"/>
              <w:marRight w:val="0"/>
              <w:marTop w:val="0"/>
              <w:marBottom w:val="0"/>
              <w:divBdr>
                <w:top w:val="none" w:sz="0" w:space="0" w:color="auto"/>
                <w:left w:val="none" w:sz="0" w:space="0" w:color="auto"/>
                <w:bottom w:val="none" w:sz="0" w:space="0" w:color="auto"/>
                <w:right w:val="none" w:sz="0" w:space="0" w:color="auto"/>
              </w:divBdr>
            </w:div>
            <w:div w:id="519591229">
              <w:marLeft w:val="0"/>
              <w:marRight w:val="0"/>
              <w:marTop w:val="0"/>
              <w:marBottom w:val="0"/>
              <w:divBdr>
                <w:top w:val="none" w:sz="0" w:space="0" w:color="auto"/>
                <w:left w:val="none" w:sz="0" w:space="0" w:color="auto"/>
                <w:bottom w:val="none" w:sz="0" w:space="0" w:color="auto"/>
                <w:right w:val="none" w:sz="0" w:space="0" w:color="auto"/>
              </w:divBdr>
            </w:div>
            <w:div w:id="564143274">
              <w:marLeft w:val="0"/>
              <w:marRight w:val="0"/>
              <w:marTop w:val="0"/>
              <w:marBottom w:val="0"/>
              <w:divBdr>
                <w:top w:val="none" w:sz="0" w:space="0" w:color="auto"/>
                <w:left w:val="none" w:sz="0" w:space="0" w:color="auto"/>
                <w:bottom w:val="none" w:sz="0" w:space="0" w:color="auto"/>
                <w:right w:val="none" w:sz="0" w:space="0" w:color="auto"/>
              </w:divBdr>
            </w:div>
            <w:div w:id="722993450">
              <w:marLeft w:val="0"/>
              <w:marRight w:val="0"/>
              <w:marTop w:val="0"/>
              <w:marBottom w:val="0"/>
              <w:divBdr>
                <w:top w:val="none" w:sz="0" w:space="0" w:color="auto"/>
                <w:left w:val="none" w:sz="0" w:space="0" w:color="auto"/>
                <w:bottom w:val="none" w:sz="0" w:space="0" w:color="auto"/>
                <w:right w:val="none" w:sz="0" w:space="0" w:color="auto"/>
              </w:divBdr>
            </w:div>
            <w:div w:id="759058076">
              <w:marLeft w:val="0"/>
              <w:marRight w:val="0"/>
              <w:marTop w:val="0"/>
              <w:marBottom w:val="0"/>
              <w:divBdr>
                <w:top w:val="none" w:sz="0" w:space="0" w:color="auto"/>
                <w:left w:val="none" w:sz="0" w:space="0" w:color="auto"/>
                <w:bottom w:val="none" w:sz="0" w:space="0" w:color="auto"/>
                <w:right w:val="none" w:sz="0" w:space="0" w:color="auto"/>
              </w:divBdr>
            </w:div>
            <w:div w:id="762916978">
              <w:marLeft w:val="0"/>
              <w:marRight w:val="0"/>
              <w:marTop w:val="0"/>
              <w:marBottom w:val="0"/>
              <w:divBdr>
                <w:top w:val="none" w:sz="0" w:space="0" w:color="auto"/>
                <w:left w:val="none" w:sz="0" w:space="0" w:color="auto"/>
                <w:bottom w:val="none" w:sz="0" w:space="0" w:color="auto"/>
                <w:right w:val="none" w:sz="0" w:space="0" w:color="auto"/>
              </w:divBdr>
            </w:div>
            <w:div w:id="806628930">
              <w:marLeft w:val="0"/>
              <w:marRight w:val="0"/>
              <w:marTop w:val="0"/>
              <w:marBottom w:val="0"/>
              <w:divBdr>
                <w:top w:val="none" w:sz="0" w:space="0" w:color="auto"/>
                <w:left w:val="none" w:sz="0" w:space="0" w:color="auto"/>
                <w:bottom w:val="none" w:sz="0" w:space="0" w:color="auto"/>
                <w:right w:val="none" w:sz="0" w:space="0" w:color="auto"/>
              </w:divBdr>
            </w:div>
            <w:div w:id="852915991">
              <w:marLeft w:val="0"/>
              <w:marRight w:val="0"/>
              <w:marTop w:val="0"/>
              <w:marBottom w:val="0"/>
              <w:divBdr>
                <w:top w:val="none" w:sz="0" w:space="0" w:color="auto"/>
                <w:left w:val="none" w:sz="0" w:space="0" w:color="auto"/>
                <w:bottom w:val="none" w:sz="0" w:space="0" w:color="auto"/>
                <w:right w:val="none" w:sz="0" w:space="0" w:color="auto"/>
              </w:divBdr>
            </w:div>
            <w:div w:id="874196044">
              <w:marLeft w:val="0"/>
              <w:marRight w:val="0"/>
              <w:marTop w:val="0"/>
              <w:marBottom w:val="0"/>
              <w:divBdr>
                <w:top w:val="none" w:sz="0" w:space="0" w:color="auto"/>
                <w:left w:val="none" w:sz="0" w:space="0" w:color="auto"/>
                <w:bottom w:val="none" w:sz="0" w:space="0" w:color="auto"/>
                <w:right w:val="none" w:sz="0" w:space="0" w:color="auto"/>
              </w:divBdr>
            </w:div>
            <w:div w:id="947812215">
              <w:marLeft w:val="0"/>
              <w:marRight w:val="0"/>
              <w:marTop w:val="0"/>
              <w:marBottom w:val="0"/>
              <w:divBdr>
                <w:top w:val="none" w:sz="0" w:space="0" w:color="auto"/>
                <w:left w:val="none" w:sz="0" w:space="0" w:color="auto"/>
                <w:bottom w:val="none" w:sz="0" w:space="0" w:color="auto"/>
                <w:right w:val="none" w:sz="0" w:space="0" w:color="auto"/>
              </w:divBdr>
            </w:div>
            <w:div w:id="962536741">
              <w:marLeft w:val="0"/>
              <w:marRight w:val="0"/>
              <w:marTop w:val="0"/>
              <w:marBottom w:val="0"/>
              <w:divBdr>
                <w:top w:val="none" w:sz="0" w:space="0" w:color="auto"/>
                <w:left w:val="none" w:sz="0" w:space="0" w:color="auto"/>
                <w:bottom w:val="none" w:sz="0" w:space="0" w:color="auto"/>
                <w:right w:val="none" w:sz="0" w:space="0" w:color="auto"/>
              </w:divBdr>
            </w:div>
            <w:div w:id="1109742754">
              <w:marLeft w:val="0"/>
              <w:marRight w:val="0"/>
              <w:marTop w:val="0"/>
              <w:marBottom w:val="0"/>
              <w:divBdr>
                <w:top w:val="none" w:sz="0" w:space="0" w:color="auto"/>
                <w:left w:val="none" w:sz="0" w:space="0" w:color="auto"/>
                <w:bottom w:val="none" w:sz="0" w:space="0" w:color="auto"/>
                <w:right w:val="none" w:sz="0" w:space="0" w:color="auto"/>
              </w:divBdr>
            </w:div>
            <w:div w:id="1309440720">
              <w:marLeft w:val="0"/>
              <w:marRight w:val="0"/>
              <w:marTop w:val="0"/>
              <w:marBottom w:val="0"/>
              <w:divBdr>
                <w:top w:val="none" w:sz="0" w:space="0" w:color="auto"/>
                <w:left w:val="none" w:sz="0" w:space="0" w:color="auto"/>
                <w:bottom w:val="none" w:sz="0" w:space="0" w:color="auto"/>
                <w:right w:val="none" w:sz="0" w:space="0" w:color="auto"/>
              </w:divBdr>
            </w:div>
            <w:div w:id="1351182201">
              <w:marLeft w:val="0"/>
              <w:marRight w:val="0"/>
              <w:marTop w:val="0"/>
              <w:marBottom w:val="0"/>
              <w:divBdr>
                <w:top w:val="none" w:sz="0" w:space="0" w:color="auto"/>
                <w:left w:val="none" w:sz="0" w:space="0" w:color="auto"/>
                <w:bottom w:val="none" w:sz="0" w:space="0" w:color="auto"/>
                <w:right w:val="none" w:sz="0" w:space="0" w:color="auto"/>
              </w:divBdr>
            </w:div>
            <w:div w:id="1356157579">
              <w:marLeft w:val="0"/>
              <w:marRight w:val="0"/>
              <w:marTop w:val="0"/>
              <w:marBottom w:val="0"/>
              <w:divBdr>
                <w:top w:val="none" w:sz="0" w:space="0" w:color="auto"/>
                <w:left w:val="none" w:sz="0" w:space="0" w:color="auto"/>
                <w:bottom w:val="none" w:sz="0" w:space="0" w:color="auto"/>
                <w:right w:val="none" w:sz="0" w:space="0" w:color="auto"/>
              </w:divBdr>
            </w:div>
            <w:div w:id="1834834277">
              <w:marLeft w:val="0"/>
              <w:marRight w:val="0"/>
              <w:marTop w:val="0"/>
              <w:marBottom w:val="0"/>
              <w:divBdr>
                <w:top w:val="none" w:sz="0" w:space="0" w:color="auto"/>
                <w:left w:val="none" w:sz="0" w:space="0" w:color="auto"/>
                <w:bottom w:val="none" w:sz="0" w:space="0" w:color="auto"/>
                <w:right w:val="none" w:sz="0" w:space="0" w:color="auto"/>
              </w:divBdr>
            </w:div>
            <w:div w:id="1876699910">
              <w:marLeft w:val="0"/>
              <w:marRight w:val="0"/>
              <w:marTop w:val="0"/>
              <w:marBottom w:val="0"/>
              <w:divBdr>
                <w:top w:val="none" w:sz="0" w:space="0" w:color="auto"/>
                <w:left w:val="none" w:sz="0" w:space="0" w:color="auto"/>
                <w:bottom w:val="none" w:sz="0" w:space="0" w:color="auto"/>
                <w:right w:val="none" w:sz="0" w:space="0" w:color="auto"/>
              </w:divBdr>
            </w:div>
            <w:div w:id="1960915032">
              <w:marLeft w:val="0"/>
              <w:marRight w:val="0"/>
              <w:marTop w:val="0"/>
              <w:marBottom w:val="0"/>
              <w:divBdr>
                <w:top w:val="none" w:sz="0" w:space="0" w:color="auto"/>
                <w:left w:val="none" w:sz="0" w:space="0" w:color="auto"/>
                <w:bottom w:val="none" w:sz="0" w:space="0" w:color="auto"/>
                <w:right w:val="none" w:sz="0" w:space="0" w:color="auto"/>
              </w:divBdr>
            </w:div>
            <w:div w:id="1982231141">
              <w:marLeft w:val="0"/>
              <w:marRight w:val="0"/>
              <w:marTop w:val="0"/>
              <w:marBottom w:val="0"/>
              <w:divBdr>
                <w:top w:val="none" w:sz="0" w:space="0" w:color="auto"/>
                <w:left w:val="none" w:sz="0" w:space="0" w:color="auto"/>
                <w:bottom w:val="none" w:sz="0" w:space="0" w:color="auto"/>
                <w:right w:val="none" w:sz="0" w:space="0" w:color="auto"/>
              </w:divBdr>
            </w:div>
            <w:div w:id="2017077657">
              <w:marLeft w:val="0"/>
              <w:marRight w:val="0"/>
              <w:marTop w:val="0"/>
              <w:marBottom w:val="0"/>
              <w:divBdr>
                <w:top w:val="none" w:sz="0" w:space="0" w:color="auto"/>
                <w:left w:val="none" w:sz="0" w:space="0" w:color="auto"/>
                <w:bottom w:val="none" w:sz="0" w:space="0" w:color="auto"/>
                <w:right w:val="none" w:sz="0" w:space="0" w:color="auto"/>
              </w:divBdr>
            </w:div>
          </w:divsChild>
        </w:div>
        <w:div w:id="234440975">
          <w:marLeft w:val="0"/>
          <w:marRight w:val="0"/>
          <w:marTop w:val="0"/>
          <w:marBottom w:val="0"/>
          <w:divBdr>
            <w:top w:val="none" w:sz="0" w:space="0" w:color="auto"/>
            <w:left w:val="none" w:sz="0" w:space="0" w:color="auto"/>
            <w:bottom w:val="none" w:sz="0" w:space="0" w:color="auto"/>
            <w:right w:val="none" w:sz="0" w:space="0" w:color="auto"/>
          </w:divBdr>
        </w:div>
        <w:div w:id="262567276">
          <w:marLeft w:val="0"/>
          <w:marRight w:val="0"/>
          <w:marTop w:val="0"/>
          <w:marBottom w:val="0"/>
          <w:divBdr>
            <w:top w:val="none" w:sz="0" w:space="0" w:color="auto"/>
            <w:left w:val="none" w:sz="0" w:space="0" w:color="auto"/>
            <w:bottom w:val="none" w:sz="0" w:space="0" w:color="auto"/>
            <w:right w:val="none" w:sz="0" w:space="0" w:color="auto"/>
          </w:divBdr>
        </w:div>
        <w:div w:id="274137496">
          <w:marLeft w:val="0"/>
          <w:marRight w:val="0"/>
          <w:marTop w:val="0"/>
          <w:marBottom w:val="0"/>
          <w:divBdr>
            <w:top w:val="none" w:sz="0" w:space="0" w:color="auto"/>
            <w:left w:val="none" w:sz="0" w:space="0" w:color="auto"/>
            <w:bottom w:val="none" w:sz="0" w:space="0" w:color="auto"/>
            <w:right w:val="none" w:sz="0" w:space="0" w:color="auto"/>
          </w:divBdr>
        </w:div>
        <w:div w:id="392579390">
          <w:marLeft w:val="0"/>
          <w:marRight w:val="0"/>
          <w:marTop w:val="0"/>
          <w:marBottom w:val="0"/>
          <w:divBdr>
            <w:top w:val="none" w:sz="0" w:space="0" w:color="auto"/>
            <w:left w:val="none" w:sz="0" w:space="0" w:color="auto"/>
            <w:bottom w:val="none" w:sz="0" w:space="0" w:color="auto"/>
            <w:right w:val="none" w:sz="0" w:space="0" w:color="auto"/>
          </w:divBdr>
        </w:div>
        <w:div w:id="410322248">
          <w:marLeft w:val="0"/>
          <w:marRight w:val="0"/>
          <w:marTop w:val="0"/>
          <w:marBottom w:val="0"/>
          <w:divBdr>
            <w:top w:val="none" w:sz="0" w:space="0" w:color="auto"/>
            <w:left w:val="none" w:sz="0" w:space="0" w:color="auto"/>
            <w:bottom w:val="none" w:sz="0" w:space="0" w:color="auto"/>
            <w:right w:val="none" w:sz="0" w:space="0" w:color="auto"/>
          </w:divBdr>
        </w:div>
        <w:div w:id="453451033">
          <w:marLeft w:val="0"/>
          <w:marRight w:val="0"/>
          <w:marTop w:val="0"/>
          <w:marBottom w:val="0"/>
          <w:divBdr>
            <w:top w:val="none" w:sz="0" w:space="0" w:color="auto"/>
            <w:left w:val="none" w:sz="0" w:space="0" w:color="auto"/>
            <w:bottom w:val="none" w:sz="0" w:space="0" w:color="auto"/>
            <w:right w:val="none" w:sz="0" w:space="0" w:color="auto"/>
          </w:divBdr>
        </w:div>
        <w:div w:id="476190310">
          <w:marLeft w:val="0"/>
          <w:marRight w:val="0"/>
          <w:marTop w:val="0"/>
          <w:marBottom w:val="0"/>
          <w:divBdr>
            <w:top w:val="none" w:sz="0" w:space="0" w:color="auto"/>
            <w:left w:val="none" w:sz="0" w:space="0" w:color="auto"/>
            <w:bottom w:val="none" w:sz="0" w:space="0" w:color="auto"/>
            <w:right w:val="none" w:sz="0" w:space="0" w:color="auto"/>
          </w:divBdr>
        </w:div>
        <w:div w:id="495147440">
          <w:marLeft w:val="0"/>
          <w:marRight w:val="0"/>
          <w:marTop w:val="0"/>
          <w:marBottom w:val="0"/>
          <w:divBdr>
            <w:top w:val="none" w:sz="0" w:space="0" w:color="auto"/>
            <w:left w:val="none" w:sz="0" w:space="0" w:color="auto"/>
            <w:bottom w:val="none" w:sz="0" w:space="0" w:color="auto"/>
            <w:right w:val="none" w:sz="0" w:space="0" w:color="auto"/>
          </w:divBdr>
        </w:div>
        <w:div w:id="529077014">
          <w:marLeft w:val="0"/>
          <w:marRight w:val="0"/>
          <w:marTop w:val="0"/>
          <w:marBottom w:val="0"/>
          <w:divBdr>
            <w:top w:val="none" w:sz="0" w:space="0" w:color="auto"/>
            <w:left w:val="none" w:sz="0" w:space="0" w:color="auto"/>
            <w:bottom w:val="none" w:sz="0" w:space="0" w:color="auto"/>
            <w:right w:val="none" w:sz="0" w:space="0" w:color="auto"/>
          </w:divBdr>
          <w:divsChild>
            <w:div w:id="3170904">
              <w:marLeft w:val="0"/>
              <w:marRight w:val="0"/>
              <w:marTop w:val="0"/>
              <w:marBottom w:val="0"/>
              <w:divBdr>
                <w:top w:val="none" w:sz="0" w:space="0" w:color="auto"/>
                <w:left w:val="none" w:sz="0" w:space="0" w:color="auto"/>
                <w:bottom w:val="none" w:sz="0" w:space="0" w:color="auto"/>
                <w:right w:val="none" w:sz="0" w:space="0" w:color="auto"/>
              </w:divBdr>
            </w:div>
            <w:div w:id="149254409">
              <w:marLeft w:val="0"/>
              <w:marRight w:val="0"/>
              <w:marTop w:val="0"/>
              <w:marBottom w:val="0"/>
              <w:divBdr>
                <w:top w:val="none" w:sz="0" w:space="0" w:color="auto"/>
                <w:left w:val="none" w:sz="0" w:space="0" w:color="auto"/>
                <w:bottom w:val="none" w:sz="0" w:space="0" w:color="auto"/>
                <w:right w:val="none" w:sz="0" w:space="0" w:color="auto"/>
              </w:divBdr>
            </w:div>
            <w:div w:id="170265791">
              <w:marLeft w:val="0"/>
              <w:marRight w:val="0"/>
              <w:marTop w:val="0"/>
              <w:marBottom w:val="0"/>
              <w:divBdr>
                <w:top w:val="none" w:sz="0" w:space="0" w:color="auto"/>
                <w:left w:val="none" w:sz="0" w:space="0" w:color="auto"/>
                <w:bottom w:val="none" w:sz="0" w:space="0" w:color="auto"/>
                <w:right w:val="none" w:sz="0" w:space="0" w:color="auto"/>
              </w:divBdr>
            </w:div>
            <w:div w:id="203099934">
              <w:marLeft w:val="0"/>
              <w:marRight w:val="0"/>
              <w:marTop w:val="0"/>
              <w:marBottom w:val="0"/>
              <w:divBdr>
                <w:top w:val="none" w:sz="0" w:space="0" w:color="auto"/>
                <w:left w:val="none" w:sz="0" w:space="0" w:color="auto"/>
                <w:bottom w:val="none" w:sz="0" w:space="0" w:color="auto"/>
                <w:right w:val="none" w:sz="0" w:space="0" w:color="auto"/>
              </w:divBdr>
            </w:div>
            <w:div w:id="389498581">
              <w:marLeft w:val="0"/>
              <w:marRight w:val="0"/>
              <w:marTop w:val="0"/>
              <w:marBottom w:val="0"/>
              <w:divBdr>
                <w:top w:val="none" w:sz="0" w:space="0" w:color="auto"/>
                <w:left w:val="none" w:sz="0" w:space="0" w:color="auto"/>
                <w:bottom w:val="none" w:sz="0" w:space="0" w:color="auto"/>
                <w:right w:val="none" w:sz="0" w:space="0" w:color="auto"/>
              </w:divBdr>
            </w:div>
            <w:div w:id="428355121">
              <w:marLeft w:val="0"/>
              <w:marRight w:val="0"/>
              <w:marTop w:val="0"/>
              <w:marBottom w:val="0"/>
              <w:divBdr>
                <w:top w:val="none" w:sz="0" w:space="0" w:color="auto"/>
                <w:left w:val="none" w:sz="0" w:space="0" w:color="auto"/>
                <w:bottom w:val="none" w:sz="0" w:space="0" w:color="auto"/>
                <w:right w:val="none" w:sz="0" w:space="0" w:color="auto"/>
              </w:divBdr>
            </w:div>
            <w:div w:id="588201768">
              <w:marLeft w:val="0"/>
              <w:marRight w:val="0"/>
              <w:marTop w:val="0"/>
              <w:marBottom w:val="0"/>
              <w:divBdr>
                <w:top w:val="none" w:sz="0" w:space="0" w:color="auto"/>
                <w:left w:val="none" w:sz="0" w:space="0" w:color="auto"/>
                <w:bottom w:val="none" w:sz="0" w:space="0" w:color="auto"/>
                <w:right w:val="none" w:sz="0" w:space="0" w:color="auto"/>
              </w:divBdr>
            </w:div>
            <w:div w:id="592012860">
              <w:marLeft w:val="0"/>
              <w:marRight w:val="0"/>
              <w:marTop w:val="0"/>
              <w:marBottom w:val="0"/>
              <w:divBdr>
                <w:top w:val="none" w:sz="0" w:space="0" w:color="auto"/>
                <w:left w:val="none" w:sz="0" w:space="0" w:color="auto"/>
                <w:bottom w:val="none" w:sz="0" w:space="0" w:color="auto"/>
                <w:right w:val="none" w:sz="0" w:space="0" w:color="auto"/>
              </w:divBdr>
            </w:div>
            <w:div w:id="687297608">
              <w:marLeft w:val="0"/>
              <w:marRight w:val="0"/>
              <w:marTop w:val="0"/>
              <w:marBottom w:val="0"/>
              <w:divBdr>
                <w:top w:val="none" w:sz="0" w:space="0" w:color="auto"/>
                <w:left w:val="none" w:sz="0" w:space="0" w:color="auto"/>
                <w:bottom w:val="none" w:sz="0" w:space="0" w:color="auto"/>
                <w:right w:val="none" w:sz="0" w:space="0" w:color="auto"/>
              </w:divBdr>
            </w:div>
            <w:div w:id="1189223466">
              <w:marLeft w:val="0"/>
              <w:marRight w:val="0"/>
              <w:marTop w:val="0"/>
              <w:marBottom w:val="0"/>
              <w:divBdr>
                <w:top w:val="none" w:sz="0" w:space="0" w:color="auto"/>
                <w:left w:val="none" w:sz="0" w:space="0" w:color="auto"/>
                <w:bottom w:val="none" w:sz="0" w:space="0" w:color="auto"/>
                <w:right w:val="none" w:sz="0" w:space="0" w:color="auto"/>
              </w:divBdr>
            </w:div>
            <w:div w:id="1411461947">
              <w:marLeft w:val="0"/>
              <w:marRight w:val="0"/>
              <w:marTop w:val="0"/>
              <w:marBottom w:val="0"/>
              <w:divBdr>
                <w:top w:val="none" w:sz="0" w:space="0" w:color="auto"/>
                <w:left w:val="none" w:sz="0" w:space="0" w:color="auto"/>
                <w:bottom w:val="none" w:sz="0" w:space="0" w:color="auto"/>
                <w:right w:val="none" w:sz="0" w:space="0" w:color="auto"/>
              </w:divBdr>
            </w:div>
            <w:div w:id="1478572480">
              <w:marLeft w:val="0"/>
              <w:marRight w:val="0"/>
              <w:marTop w:val="0"/>
              <w:marBottom w:val="0"/>
              <w:divBdr>
                <w:top w:val="none" w:sz="0" w:space="0" w:color="auto"/>
                <w:left w:val="none" w:sz="0" w:space="0" w:color="auto"/>
                <w:bottom w:val="none" w:sz="0" w:space="0" w:color="auto"/>
                <w:right w:val="none" w:sz="0" w:space="0" w:color="auto"/>
              </w:divBdr>
            </w:div>
            <w:div w:id="1496842731">
              <w:marLeft w:val="0"/>
              <w:marRight w:val="0"/>
              <w:marTop w:val="0"/>
              <w:marBottom w:val="0"/>
              <w:divBdr>
                <w:top w:val="none" w:sz="0" w:space="0" w:color="auto"/>
                <w:left w:val="none" w:sz="0" w:space="0" w:color="auto"/>
                <w:bottom w:val="none" w:sz="0" w:space="0" w:color="auto"/>
                <w:right w:val="none" w:sz="0" w:space="0" w:color="auto"/>
              </w:divBdr>
            </w:div>
            <w:div w:id="1690520515">
              <w:marLeft w:val="0"/>
              <w:marRight w:val="0"/>
              <w:marTop w:val="0"/>
              <w:marBottom w:val="0"/>
              <w:divBdr>
                <w:top w:val="none" w:sz="0" w:space="0" w:color="auto"/>
                <w:left w:val="none" w:sz="0" w:space="0" w:color="auto"/>
                <w:bottom w:val="none" w:sz="0" w:space="0" w:color="auto"/>
                <w:right w:val="none" w:sz="0" w:space="0" w:color="auto"/>
              </w:divBdr>
            </w:div>
            <w:div w:id="1732581695">
              <w:marLeft w:val="0"/>
              <w:marRight w:val="0"/>
              <w:marTop w:val="0"/>
              <w:marBottom w:val="0"/>
              <w:divBdr>
                <w:top w:val="none" w:sz="0" w:space="0" w:color="auto"/>
                <w:left w:val="none" w:sz="0" w:space="0" w:color="auto"/>
                <w:bottom w:val="none" w:sz="0" w:space="0" w:color="auto"/>
                <w:right w:val="none" w:sz="0" w:space="0" w:color="auto"/>
              </w:divBdr>
            </w:div>
            <w:div w:id="1739667627">
              <w:marLeft w:val="0"/>
              <w:marRight w:val="0"/>
              <w:marTop w:val="0"/>
              <w:marBottom w:val="0"/>
              <w:divBdr>
                <w:top w:val="none" w:sz="0" w:space="0" w:color="auto"/>
                <w:left w:val="none" w:sz="0" w:space="0" w:color="auto"/>
                <w:bottom w:val="none" w:sz="0" w:space="0" w:color="auto"/>
                <w:right w:val="none" w:sz="0" w:space="0" w:color="auto"/>
              </w:divBdr>
            </w:div>
            <w:div w:id="1741054889">
              <w:marLeft w:val="0"/>
              <w:marRight w:val="0"/>
              <w:marTop w:val="0"/>
              <w:marBottom w:val="0"/>
              <w:divBdr>
                <w:top w:val="none" w:sz="0" w:space="0" w:color="auto"/>
                <w:left w:val="none" w:sz="0" w:space="0" w:color="auto"/>
                <w:bottom w:val="none" w:sz="0" w:space="0" w:color="auto"/>
                <w:right w:val="none" w:sz="0" w:space="0" w:color="auto"/>
              </w:divBdr>
            </w:div>
            <w:div w:id="1853109678">
              <w:marLeft w:val="0"/>
              <w:marRight w:val="0"/>
              <w:marTop w:val="0"/>
              <w:marBottom w:val="0"/>
              <w:divBdr>
                <w:top w:val="none" w:sz="0" w:space="0" w:color="auto"/>
                <w:left w:val="none" w:sz="0" w:space="0" w:color="auto"/>
                <w:bottom w:val="none" w:sz="0" w:space="0" w:color="auto"/>
                <w:right w:val="none" w:sz="0" w:space="0" w:color="auto"/>
              </w:divBdr>
            </w:div>
            <w:div w:id="1856840507">
              <w:marLeft w:val="0"/>
              <w:marRight w:val="0"/>
              <w:marTop w:val="0"/>
              <w:marBottom w:val="0"/>
              <w:divBdr>
                <w:top w:val="none" w:sz="0" w:space="0" w:color="auto"/>
                <w:left w:val="none" w:sz="0" w:space="0" w:color="auto"/>
                <w:bottom w:val="none" w:sz="0" w:space="0" w:color="auto"/>
                <w:right w:val="none" w:sz="0" w:space="0" w:color="auto"/>
              </w:divBdr>
            </w:div>
            <w:div w:id="1891501270">
              <w:marLeft w:val="0"/>
              <w:marRight w:val="0"/>
              <w:marTop w:val="0"/>
              <w:marBottom w:val="0"/>
              <w:divBdr>
                <w:top w:val="none" w:sz="0" w:space="0" w:color="auto"/>
                <w:left w:val="none" w:sz="0" w:space="0" w:color="auto"/>
                <w:bottom w:val="none" w:sz="0" w:space="0" w:color="auto"/>
                <w:right w:val="none" w:sz="0" w:space="0" w:color="auto"/>
              </w:divBdr>
            </w:div>
          </w:divsChild>
        </w:div>
        <w:div w:id="567958341">
          <w:marLeft w:val="0"/>
          <w:marRight w:val="0"/>
          <w:marTop w:val="0"/>
          <w:marBottom w:val="0"/>
          <w:divBdr>
            <w:top w:val="none" w:sz="0" w:space="0" w:color="auto"/>
            <w:left w:val="none" w:sz="0" w:space="0" w:color="auto"/>
            <w:bottom w:val="none" w:sz="0" w:space="0" w:color="auto"/>
            <w:right w:val="none" w:sz="0" w:space="0" w:color="auto"/>
          </w:divBdr>
          <w:divsChild>
            <w:div w:id="29381819">
              <w:marLeft w:val="0"/>
              <w:marRight w:val="0"/>
              <w:marTop w:val="0"/>
              <w:marBottom w:val="0"/>
              <w:divBdr>
                <w:top w:val="none" w:sz="0" w:space="0" w:color="auto"/>
                <w:left w:val="none" w:sz="0" w:space="0" w:color="auto"/>
                <w:bottom w:val="none" w:sz="0" w:space="0" w:color="auto"/>
                <w:right w:val="none" w:sz="0" w:space="0" w:color="auto"/>
              </w:divBdr>
            </w:div>
            <w:div w:id="298459627">
              <w:marLeft w:val="0"/>
              <w:marRight w:val="0"/>
              <w:marTop w:val="0"/>
              <w:marBottom w:val="0"/>
              <w:divBdr>
                <w:top w:val="none" w:sz="0" w:space="0" w:color="auto"/>
                <w:left w:val="none" w:sz="0" w:space="0" w:color="auto"/>
                <w:bottom w:val="none" w:sz="0" w:space="0" w:color="auto"/>
                <w:right w:val="none" w:sz="0" w:space="0" w:color="auto"/>
              </w:divBdr>
            </w:div>
            <w:div w:id="540292437">
              <w:marLeft w:val="0"/>
              <w:marRight w:val="0"/>
              <w:marTop w:val="0"/>
              <w:marBottom w:val="0"/>
              <w:divBdr>
                <w:top w:val="none" w:sz="0" w:space="0" w:color="auto"/>
                <w:left w:val="none" w:sz="0" w:space="0" w:color="auto"/>
                <w:bottom w:val="none" w:sz="0" w:space="0" w:color="auto"/>
                <w:right w:val="none" w:sz="0" w:space="0" w:color="auto"/>
              </w:divBdr>
            </w:div>
            <w:div w:id="644820021">
              <w:marLeft w:val="0"/>
              <w:marRight w:val="0"/>
              <w:marTop w:val="0"/>
              <w:marBottom w:val="0"/>
              <w:divBdr>
                <w:top w:val="none" w:sz="0" w:space="0" w:color="auto"/>
                <w:left w:val="none" w:sz="0" w:space="0" w:color="auto"/>
                <w:bottom w:val="none" w:sz="0" w:space="0" w:color="auto"/>
                <w:right w:val="none" w:sz="0" w:space="0" w:color="auto"/>
              </w:divBdr>
            </w:div>
            <w:div w:id="715931010">
              <w:marLeft w:val="0"/>
              <w:marRight w:val="0"/>
              <w:marTop w:val="0"/>
              <w:marBottom w:val="0"/>
              <w:divBdr>
                <w:top w:val="none" w:sz="0" w:space="0" w:color="auto"/>
                <w:left w:val="none" w:sz="0" w:space="0" w:color="auto"/>
                <w:bottom w:val="none" w:sz="0" w:space="0" w:color="auto"/>
                <w:right w:val="none" w:sz="0" w:space="0" w:color="auto"/>
              </w:divBdr>
            </w:div>
            <w:div w:id="766199196">
              <w:marLeft w:val="0"/>
              <w:marRight w:val="0"/>
              <w:marTop w:val="0"/>
              <w:marBottom w:val="0"/>
              <w:divBdr>
                <w:top w:val="none" w:sz="0" w:space="0" w:color="auto"/>
                <w:left w:val="none" w:sz="0" w:space="0" w:color="auto"/>
                <w:bottom w:val="none" w:sz="0" w:space="0" w:color="auto"/>
                <w:right w:val="none" w:sz="0" w:space="0" w:color="auto"/>
              </w:divBdr>
            </w:div>
            <w:div w:id="914127650">
              <w:marLeft w:val="0"/>
              <w:marRight w:val="0"/>
              <w:marTop w:val="0"/>
              <w:marBottom w:val="0"/>
              <w:divBdr>
                <w:top w:val="none" w:sz="0" w:space="0" w:color="auto"/>
                <w:left w:val="none" w:sz="0" w:space="0" w:color="auto"/>
                <w:bottom w:val="none" w:sz="0" w:space="0" w:color="auto"/>
                <w:right w:val="none" w:sz="0" w:space="0" w:color="auto"/>
              </w:divBdr>
            </w:div>
            <w:div w:id="1103649537">
              <w:marLeft w:val="0"/>
              <w:marRight w:val="0"/>
              <w:marTop w:val="0"/>
              <w:marBottom w:val="0"/>
              <w:divBdr>
                <w:top w:val="none" w:sz="0" w:space="0" w:color="auto"/>
                <w:left w:val="none" w:sz="0" w:space="0" w:color="auto"/>
                <w:bottom w:val="none" w:sz="0" w:space="0" w:color="auto"/>
                <w:right w:val="none" w:sz="0" w:space="0" w:color="auto"/>
              </w:divBdr>
            </w:div>
            <w:div w:id="1176964864">
              <w:marLeft w:val="0"/>
              <w:marRight w:val="0"/>
              <w:marTop w:val="0"/>
              <w:marBottom w:val="0"/>
              <w:divBdr>
                <w:top w:val="none" w:sz="0" w:space="0" w:color="auto"/>
                <w:left w:val="none" w:sz="0" w:space="0" w:color="auto"/>
                <w:bottom w:val="none" w:sz="0" w:space="0" w:color="auto"/>
                <w:right w:val="none" w:sz="0" w:space="0" w:color="auto"/>
              </w:divBdr>
            </w:div>
            <w:div w:id="1228958888">
              <w:marLeft w:val="0"/>
              <w:marRight w:val="0"/>
              <w:marTop w:val="0"/>
              <w:marBottom w:val="0"/>
              <w:divBdr>
                <w:top w:val="none" w:sz="0" w:space="0" w:color="auto"/>
                <w:left w:val="none" w:sz="0" w:space="0" w:color="auto"/>
                <w:bottom w:val="none" w:sz="0" w:space="0" w:color="auto"/>
                <w:right w:val="none" w:sz="0" w:space="0" w:color="auto"/>
              </w:divBdr>
            </w:div>
            <w:div w:id="1270310056">
              <w:marLeft w:val="0"/>
              <w:marRight w:val="0"/>
              <w:marTop w:val="0"/>
              <w:marBottom w:val="0"/>
              <w:divBdr>
                <w:top w:val="none" w:sz="0" w:space="0" w:color="auto"/>
                <w:left w:val="none" w:sz="0" w:space="0" w:color="auto"/>
                <w:bottom w:val="none" w:sz="0" w:space="0" w:color="auto"/>
                <w:right w:val="none" w:sz="0" w:space="0" w:color="auto"/>
              </w:divBdr>
            </w:div>
            <w:div w:id="1292321781">
              <w:marLeft w:val="0"/>
              <w:marRight w:val="0"/>
              <w:marTop w:val="0"/>
              <w:marBottom w:val="0"/>
              <w:divBdr>
                <w:top w:val="none" w:sz="0" w:space="0" w:color="auto"/>
                <w:left w:val="none" w:sz="0" w:space="0" w:color="auto"/>
                <w:bottom w:val="none" w:sz="0" w:space="0" w:color="auto"/>
                <w:right w:val="none" w:sz="0" w:space="0" w:color="auto"/>
              </w:divBdr>
            </w:div>
            <w:div w:id="1425955004">
              <w:marLeft w:val="0"/>
              <w:marRight w:val="0"/>
              <w:marTop w:val="0"/>
              <w:marBottom w:val="0"/>
              <w:divBdr>
                <w:top w:val="none" w:sz="0" w:space="0" w:color="auto"/>
                <w:left w:val="none" w:sz="0" w:space="0" w:color="auto"/>
                <w:bottom w:val="none" w:sz="0" w:space="0" w:color="auto"/>
                <w:right w:val="none" w:sz="0" w:space="0" w:color="auto"/>
              </w:divBdr>
            </w:div>
            <w:div w:id="1572161022">
              <w:marLeft w:val="0"/>
              <w:marRight w:val="0"/>
              <w:marTop w:val="0"/>
              <w:marBottom w:val="0"/>
              <w:divBdr>
                <w:top w:val="none" w:sz="0" w:space="0" w:color="auto"/>
                <w:left w:val="none" w:sz="0" w:space="0" w:color="auto"/>
                <w:bottom w:val="none" w:sz="0" w:space="0" w:color="auto"/>
                <w:right w:val="none" w:sz="0" w:space="0" w:color="auto"/>
              </w:divBdr>
            </w:div>
            <w:div w:id="1579628164">
              <w:marLeft w:val="0"/>
              <w:marRight w:val="0"/>
              <w:marTop w:val="0"/>
              <w:marBottom w:val="0"/>
              <w:divBdr>
                <w:top w:val="none" w:sz="0" w:space="0" w:color="auto"/>
                <w:left w:val="none" w:sz="0" w:space="0" w:color="auto"/>
                <w:bottom w:val="none" w:sz="0" w:space="0" w:color="auto"/>
                <w:right w:val="none" w:sz="0" w:space="0" w:color="auto"/>
              </w:divBdr>
            </w:div>
            <w:div w:id="1866018530">
              <w:marLeft w:val="0"/>
              <w:marRight w:val="0"/>
              <w:marTop w:val="0"/>
              <w:marBottom w:val="0"/>
              <w:divBdr>
                <w:top w:val="none" w:sz="0" w:space="0" w:color="auto"/>
                <w:left w:val="none" w:sz="0" w:space="0" w:color="auto"/>
                <w:bottom w:val="none" w:sz="0" w:space="0" w:color="auto"/>
                <w:right w:val="none" w:sz="0" w:space="0" w:color="auto"/>
              </w:divBdr>
            </w:div>
            <w:div w:id="1964457840">
              <w:marLeft w:val="0"/>
              <w:marRight w:val="0"/>
              <w:marTop w:val="0"/>
              <w:marBottom w:val="0"/>
              <w:divBdr>
                <w:top w:val="none" w:sz="0" w:space="0" w:color="auto"/>
                <w:left w:val="none" w:sz="0" w:space="0" w:color="auto"/>
                <w:bottom w:val="none" w:sz="0" w:space="0" w:color="auto"/>
                <w:right w:val="none" w:sz="0" w:space="0" w:color="auto"/>
              </w:divBdr>
            </w:div>
            <w:div w:id="1970476589">
              <w:marLeft w:val="0"/>
              <w:marRight w:val="0"/>
              <w:marTop w:val="0"/>
              <w:marBottom w:val="0"/>
              <w:divBdr>
                <w:top w:val="none" w:sz="0" w:space="0" w:color="auto"/>
                <w:left w:val="none" w:sz="0" w:space="0" w:color="auto"/>
                <w:bottom w:val="none" w:sz="0" w:space="0" w:color="auto"/>
                <w:right w:val="none" w:sz="0" w:space="0" w:color="auto"/>
              </w:divBdr>
            </w:div>
            <w:div w:id="2010130351">
              <w:marLeft w:val="0"/>
              <w:marRight w:val="0"/>
              <w:marTop w:val="0"/>
              <w:marBottom w:val="0"/>
              <w:divBdr>
                <w:top w:val="none" w:sz="0" w:space="0" w:color="auto"/>
                <w:left w:val="none" w:sz="0" w:space="0" w:color="auto"/>
                <w:bottom w:val="none" w:sz="0" w:space="0" w:color="auto"/>
                <w:right w:val="none" w:sz="0" w:space="0" w:color="auto"/>
              </w:divBdr>
            </w:div>
            <w:div w:id="2010909998">
              <w:marLeft w:val="0"/>
              <w:marRight w:val="0"/>
              <w:marTop w:val="0"/>
              <w:marBottom w:val="0"/>
              <w:divBdr>
                <w:top w:val="none" w:sz="0" w:space="0" w:color="auto"/>
                <w:left w:val="none" w:sz="0" w:space="0" w:color="auto"/>
                <w:bottom w:val="none" w:sz="0" w:space="0" w:color="auto"/>
                <w:right w:val="none" w:sz="0" w:space="0" w:color="auto"/>
              </w:divBdr>
            </w:div>
          </w:divsChild>
        </w:div>
        <w:div w:id="587076231">
          <w:marLeft w:val="0"/>
          <w:marRight w:val="0"/>
          <w:marTop w:val="0"/>
          <w:marBottom w:val="0"/>
          <w:divBdr>
            <w:top w:val="none" w:sz="0" w:space="0" w:color="auto"/>
            <w:left w:val="none" w:sz="0" w:space="0" w:color="auto"/>
            <w:bottom w:val="none" w:sz="0" w:space="0" w:color="auto"/>
            <w:right w:val="none" w:sz="0" w:space="0" w:color="auto"/>
          </w:divBdr>
        </w:div>
        <w:div w:id="596140414">
          <w:marLeft w:val="0"/>
          <w:marRight w:val="0"/>
          <w:marTop w:val="0"/>
          <w:marBottom w:val="0"/>
          <w:divBdr>
            <w:top w:val="none" w:sz="0" w:space="0" w:color="auto"/>
            <w:left w:val="none" w:sz="0" w:space="0" w:color="auto"/>
            <w:bottom w:val="none" w:sz="0" w:space="0" w:color="auto"/>
            <w:right w:val="none" w:sz="0" w:space="0" w:color="auto"/>
          </w:divBdr>
        </w:div>
        <w:div w:id="710955130">
          <w:marLeft w:val="0"/>
          <w:marRight w:val="0"/>
          <w:marTop w:val="0"/>
          <w:marBottom w:val="0"/>
          <w:divBdr>
            <w:top w:val="none" w:sz="0" w:space="0" w:color="auto"/>
            <w:left w:val="none" w:sz="0" w:space="0" w:color="auto"/>
            <w:bottom w:val="none" w:sz="0" w:space="0" w:color="auto"/>
            <w:right w:val="none" w:sz="0" w:space="0" w:color="auto"/>
          </w:divBdr>
        </w:div>
        <w:div w:id="734203945">
          <w:marLeft w:val="0"/>
          <w:marRight w:val="0"/>
          <w:marTop w:val="0"/>
          <w:marBottom w:val="0"/>
          <w:divBdr>
            <w:top w:val="none" w:sz="0" w:space="0" w:color="auto"/>
            <w:left w:val="none" w:sz="0" w:space="0" w:color="auto"/>
            <w:bottom w:val="none" w:sz="0" w:space="0" w:color="auto"/>
            <w:right w:val="none" w:sz="0" w:space="0" w:color="auto"/>
          </w:divBdr>
        </w:div>
        <w:div w:id="894435982">
          <w:marLeft w:val="0"/>
          <w:marRight w:val="0"/>
          <w:marTop w:val="0"/>
          <w:marBottom w:val="0"/>
          <w:divBdr>
            <w:top w:val="none" w:sz="0" w:space="0" w:color="auto"/>
            <w:left w:val="none" w:sz="0" w:space="0" w:color="auto"/>
            <w:bottom w:val="none" w:sz="0" w:space="0" w:color="auto"/>
            <w:right w:val="none" w:sz="0" w:space="0" w:color="auto"/>
          </w:divBdr>
          <w:divsChild>
            <w:div w:id="1495299201">
              <w:marLeft w:val="-75"/>
              <w:marRight w:val="0"/>
              <w:marTop w:val="30"/>
              <w:marBottom w:val="30"/>
              <w:divBdr>
                <w:top w:val="none" w:sz="0" w:space="0" w:color="auto"/>
                <w:left w:val="none" w:sz="0" w:space="0" w:color="auto"/>
                <w:bottom w:val="none" w:sz="0" w:space="0" w:color="auto"/>
                <w:right w:val="none" w:sz="0" w:space="0" w:color="auto"/>
              </w:divBdr>
              <w:divsChild>
                <w:div w:id="150676440">
                  <w:marLeft w:val="0"/>
                  <w:marRight w:val="0"/>
                  <w:marTop w:val="0"/>
                  <w:marBottom w:val="0"/>
                  <w:divBdr>
                    <w:top w:val="none" w:sz="0" w:space="0" w:color="auto"/>
                    <w:left w:val="none" w:sz="0" w:space="0" w:color="auto"/>
                    <w:bottom w:val="none" w:sz="0" w:space="0" w:color="auto"/>
                    <w:right w:val="none" w:sz="0" w:space="0" w:color="auto"/>
                  </w:divBdr>
                  <w:divsChild>
                    <w:div w:id="1250694429">
                      <w:marLeft w:val="0"/>
                      <w:marRight w:val="0"/>
                      <w:marTop w:val="0"/>
                      <w:marBottom w:val="0"/>
                      <w:divBdr>
                        <w:top w:val="none" w:sz="0" w:space="0" w:color="auto"/>
                        <w:left w:val="none" w:sz="0" w:space="0" w:color="auto"/>
                        <w:bottom w:val="none" w:sz="0" w:space="0" w:color="auto"/>
                        <w:right w:val="none" w:sz="0" w:space="0" w:color="auto"/>
                      </w:divBdr>
                    </w:div>
                  </w:divsChild>
                </w:div>
                <w:div w:id="402220245">
                  <w:marLeft w:val="0"/>
                  <w:marRight w:val="0"/>
                  <w:marTop w:val="0"/>
                  <w:marBottom w:val="0"/>
                  <w:divBdr>
                    <w:top w:val="none" w:sz="0" w:space="0" w:color="auto"/>
                    <w:left w:val="none" w:sz="0" w:space="0" w:color="auto"/>
                    <w:bottom w:val="none" w:sz="0" w:space="0" w:color="auto"/>
                    <w:right w:val="none" w:sz="0" w:space="0" w:color="auto"/>
                  </w:divBdr>
                  <w:divsChild>
                    <w:div w:id="1722288606">
                      <w:marLeft w:val="0"/>
                      <w:marRight w:val="0"/>
                      <w:marTop w:val="0"/>
                      <w:marBottom w:val="0"/>
                      <w:divBdr>
                        <w:top w:val="none" w:sz="0" w:space="0" w:color="auto"/>
                        <w:left w:val="none" w:sz="0" w:space="0" w:color="auto"/>
                        <w:bottom w:val="none" w:sz="0" w:space="0" w:color="auto"/>
                        <w:right w:val="none" w:sz="0" w:space="0" w:color="auto"/>
                      </w:divBdr>
                    </w:div>
                  </w:divsChild>
                </w:div>
                <w:div w:id="507671368">
                  <w:marLeft w:val="0"/>
                  <w:marRight w:val="0"/>
                  <w:marTop w:val="0"/>
                  <w:marBottom w:val="0"/>
                  <w:divBdr>
                    <w:top w:val="none" w:sz="0" w:space="0" w:color="auto"/>
                    <w:left w:val="none" w:sz="0" w:space="0" w:color="auto"/>
                    <w:bottom w:val="none" w:sz="0" w:space="0" w:color="auto"/>
                    <w:right w:val="none" w:sz="0" w:space="0" w:color="auto"/>
                  </w:divBdr>
                  <w:divsChild>
                    <w:div w:id="1382824087">
                      <w:marLeft w:val="0"/>
                      <w:marRight w:val="0"/>
                      <w:marTop w:val="0"/>
                      <w:marBottom w:val="0"/>
                      <w:divBdr>
                        <w:top w:val="none" w:sz="0" w:space="0" w:color="auto"/>
                        <w:left w:val="none" w:sz="0" w:space="0" w:color="auto"/>
                        <w:bottom w:val="none" w:sz="0" w:space="0" w:color="auto"/>
                        <w:right w:val="none" w:sz="0" w:space="0" w:color="auto"/>
                      </w:divBdr>
                    </w:div>
                  </w:divsChild>
                </w:div>
                <w:div w:id="597181927">
                  <w:marLeft w:val="0"/>
                  <w:marRight w:val="0"/>
                  <w:marTop w:val="0"/>
                  <w:marBottom w:val="0"/>
                  <w:divBdr>
                    <w:top w:val="none" w:sz="0" w:space="0" w:color="auto"/>
                    <w:left w:val="none" w:sz="0" w:space="0" w:color="auto"/>
                    <w:bottom w:val="none" w:sz="0" w:space="0" w:color="auto"/>
                    <w:right w:val="none" w:sz="0" w:space="0" w:color="auto"/>
                  </w:divBdr>
                  <w:divsChild>
                    <w:div w:id="770784975">
                      <w:marLeft w:val="0"/>
                      <w:marRight w:val="0"/>
                      <w:marTop w:val="0"/>
                      <w:marBottom w:val="0"/>
                      <w:divBdr>
                        <w:top w:val="none" w:sz="0" w:space="0" w:color="auto"/>
                        <w:left w:val="none" w:sz="0" w:space="0" w:color="auto"/>
                        <w:bottom w:val="none" w:sz="0" w:space="0" w:color="auto"/>
                        <w:right w:val="none" w:sz="0" w:space="0" w:color="auto"/>
                      </w:divBdr>
                    </w:div>
                  </w:divsChild>
                </w:div>
                <w:div w:id="597258210">
                  <w:marLeft w:val="0"/>
                  <w:marRight w:val="0"/>
                  <w:marTop w:val="0"/>
                  <w:marBottom w:val="0"/>
                  <w:divBdr>
                    <w:top w:val="none" w:sz="0" w:space="0" w:color="auto"/>
                    <w:left w:val="none" w:sz="0" w:space="0" w:color="auto"/>
                    <w:bottom w:val="none" w:sz="0" w:space="0" w:color="auto"/>
                    <w:right w:val="none" w:sz="0" w:space="0" w:color="auto"/>
                  </w:divBdr>
                  <w:divsChild>
                    <w:div w:id="1278297150">
                      <w:marLeft w:val="0"/>
                      <w:marRight w:val="0"/>
                      <w:marTop w:val="0"/>
                      <w:marBottom w:val="0"/>
                      <w:divBdr>
                        <w:top w:val="none" w:sz="0" w:space="0" w:color="auto"/>
                        <w:left w:val="none" w:sz="0" w:space="0" w:color="auto"/>
                        <w:bottom w:val="none" w:sz="0" w:space="0" w:color="auto"/>
                        <w:right w:val="none" w:sz="0" w:space="0" w:color="auto"/>
                      </w:divBdr>
                    </w:div>
                  </w:divsChild>
                </w:div>
                <w:div w:id="715129834">
                  <w:marLeft w:val="0"/>
                  <w:marRight w:val="0"/>
                  <w:marTop w:val="0"/>
                  <w:marBottom w:val="0"/>
                  <w:divBdr>
                    <w:top w:val="none" w:sz="0" w:space="0" w:color="auto"/>
                    <w:left w:val="none" w:sz="0" w:space="0" w:color="auto"/>
                    <w:bottom w:val="none" w:sz="0" w:space="0" w:color="auto"/>
                    <w:right w:val="none" w:sz="0" w:space="0" w:color="auto"/>
                  </w:divBdr>
                  <w:divsChild>
                    <w:div w:id="1382486365">
                      <w:marLeft w:val="0"/>
                      <w:marRight w:val="0"/>
                      <w:marTop w:val="0"/>
                      <w:marBottom w:val="0"/>
                      <w:divBdr>
                        <w:top w:val="none" w:sz="0" w:space="0" w:color="auto"/>
                        <w:left w:val="none" w:sz="0" w:space="0" w:color="auto"/>
                        <w:bottom w:val="none" w:sz="0" w:space="0" w:color="auto"/>
                        <w:right w:val="none" w:sz="0" w:space="0" w:color="auto"/>
                      </w:divBdr>
                    </w:div>
                  </w:divsChild>
                </w:div>
                <w:div w:id="814644069">
                  <w:marLeft w:val="0"/>
                  <w:marRight w:val="0"/>
                  <w:marTop w:val="0"/>
                  <w:marBottom w:val="0"/>
                  <w:divBdr>
                    <w:top w:val="none" w:sz="0" w:space="0" w:color="auto"/>
                    <w:left w:val="none" w:sz="0" w:space="0" w:color="auto"/>
                    <w:bottom w:val="none" w:sz="0" w:space="0" w:color="auto"/>
                    <w:right w:val="none" w:sz="0" w:space="0" w:color="auto"/>
                  </w:divBdr>
                  <w:divsChild>
                    <w:div w:id="1012486601">
                      <w:marLeft w:val="0"/>
                      <w:marRight w:val="0"/>
                      <w:marTop w:val="0"/>
                      <w:marBottom w:val="0"/>
                      <w:divBdr>
                        <w:top w:val="none" w:sz="0" w:space="0" w:color="auto"/>
                        <w:left w:val="none" w:sz="0" w:space="0" w:color="auto"/>
                        <w:bottom w:val="none" w:sz="0" w:space="0" w:color="auto"/>
                        <w:right w:val="none" w:sz="0" w:space="0" w:color="auto"/>
                      </w:divBdr>
                    </w:div>
                  </w:divsChild>
                </w:div>
                <w:div w:id="884609706">
                  <w:marLeft w:val="0"/>
                  <w:marRight w:val="0"/>
                  <w:marTop w:val="0"/>
                  <w:marBottom w:val="0"/>
                  <w:divBdr>
                    <w:top w:val="none" w:sz="0" w:space="0" w:color="auto"/>
                    <w:left w:val="none" w:sz="0" w:space="0" w:color="auto"/>
                    <w:bottom w:val="none" w:sz="0" w:space="0" w:color="auto"/>
                    <w:right w:val="none" w:sz="0" w:space="0" w:color="auto"/>
                  </w:divBdr>
                  <w:divsChild>
                    <w:div w:id="283117436">
                      <w:marLeft w:val="0"/>
                      <w:marRight w:val="0"/>
                      <w:marTop w:val="0"/>
                      <w:marBottom w:val="0"/>
                      <w:divBdr>
                        <w:top w:val="none" w:sz="0" w:space="0" w:color="auto"/>
                        <w:left w:val="none" w:sz="0" w:space="0" w:color="auto"/>
                        <w:bottom w:val="none" w:sz="0" w:space="0" w:color="auto"/>
                        <w:right w:val="none" w:sz="0" w:space="0" w:color="auto"/>
                      </w:divBdr>
                    </w:div>
                  </w:divsChild>
                </w:div>
                <w:div w:id="1151292219">
                  <w:marLeft w:val="0"/>
                  <w:marRight w:val="0"/>
                  <w:marTop w:val="0"/>
                  <w:marBottom w:val="0"/>
                  <w:divBdr>
                    <w:top w:val="none" w:sz="0" w:space="0" w:color="auto"/>
                    <w:left w:val="none" w:sz="0" w:space="0" w:color="auto"/>
                    <w:bottom w:val="none" w:sz="0" w:space="0" w:color="auto"/>
                    <w:right w:val="none" w:sz="0" w:space="0" w:color="auto"/>
                  </w:divBdr>
                  <w:divsChild>
                    <w:div w:id="1830713397">
                      <w:marLeft w:val="0"/>
                      <w:marRight w:val="0"/>
                      <w:marTop w:val="0"/>
                      <w:marBottom w:val="0"/>
                      <w:divBdr>
                        <w:top w:val="none" w:sz="0" w:space="0" w:color="auto"/>
                        <w:left w:val="none" w:sz="0" w:space="0" w:color="auto"/>
                        <w:bottom w:val="none" w:sz="0" w:space="0" w:color="auto"/>
                        <w:right w:val="none" w:sz="0" w:space="0" w:color="auto"/>
                      </w:divBdr>
                    </w:div>
                  </w:divsChild>
                </w:div>
                <w:div w:id="1174566215">
                  <w:marLeft w:val="0"/>
                  <w:marRight w:val="0"/>
                  <w:marTop w:val="0"/>
                  <w:marBottom w:val="0"/>
                  <w:divBdr>
                    <w:top w:val="none" w:sz="0" w:space="0" w:color="auto"/>
                    <w:left w:val="none" w:sz="0" w:space="0" w:color="auto"/>
                    <w:bottom w:val="none" w:sz="0" w:space="0" w:color="auto"/>
                    <w:right w:val="none" w:sz="0" w:space="0" w:color="auto"/>
                  </w:divBdr>
                  <w:divsChild>
                    <w:div w:id="352583778">
                      <w:marLeft w:val="0"/>
                      <w:marRight w:val="0"/>
                      <w:marTop w:val="0"/>
                      <w:marBottom w:val="0"/>
                      <w:divBdr>
                        <w:top w:val="none" w:sz="0" w:space="0" w:color="auto"/>
                        <w:left w:val="none" w:sz="0" w:space="0" w:color="auto"/>
                        <w:bottom w:val="none" w:sz="0" w:space="0" w:color="auto"/>
                        <w:right w:val="none" w:sz="0" w:space="0" w:color="auto"/>
                      </w:divBdr>
                    </w:div>
                  </w:divsChild>
                </w:div>
                <w:div w:id="1197894192">
                  <w:marLeft w:val="0"/>
                  <w:marRight w:val="0"/>
                  <w:marTop w:val="0"/>
                  <w:marBottom w:val="0"/>
                  <w:divBdr>
                    <w:top w:val="none" w:sz="0" w:space="0" w:color="auto"/>
                    <w:left w:val="none" w:sz="0" w:space="0" w:color="auto"/>
                    <w:bottom w:val="none" w:sz="0" w:space="0" w:color="auto"/>
                    <w:right w:val="none" w:sz="0" w:space="0" w:color="auto"/>
                  </w:divBdr>
                  <w:divsChild>
                    <w:div w:id="979188832">
                      <w:marLeft w:val="0"/>
                      <w:marRight w:val="0"/>
                      <w:marTop w:val="0"/>
                      <w:marBottom w:val="0"/>
                      <w:divBdr>
                        <w:top w:val="none" w:sz="0" w:space="0" w:color="auto"/>
                        <w:left w:val="none" w:sz="0" w:space="0" w:color="auto"/>
                        <w:bottom w:val="none" w:sz="0" w:space="0" w:color="auto"/>
                        <w:right w:val="none" w:sz="0" w:space="0" w:color="auto"/>
                      </w:divBdr>
                    </w:div>
                  </w:divsChild>
                </w:div>
                <w:div w:id="1228498176">
                  <w:marLeft w:val="0"/>
                  <w:marRight w:val="0"/>
                  <w:marTop w:val="0"/>
                  <w:marBottom w:val="0"/>
                  <w:divBdr>
                    <w:top w:val="none" w:sz="0" w:space="0" w:color="auto"/>
                    <w:left w:val="none" w:sz="0" w:space="0" w:color="auto"/>
                    <w:bottom w:val="none" w:sz="0" w:space="0" w:color="auto"/>
                    <w:right w:val="none" w:sz="0" w:space="0" w:color="auto"/>
                  </w:divBdr>
                  <w:divsChild>
                    <w:div w:id="1446073512">
                      <w:marLeft w:val="0"/>
                      <w:marRight w:val="0"/>
                      <w:marTop w:val="0"/>
                      <w:marBottom w:val="0"/>
                      <w:divBdr>
                        <w:top w:val="none" w:sz="0" w:space="0" w:color="auto"/>
                        <w:left w:val="none" w:sz="0" w:space="0" w:color="auto"/>
                        <w:bottom w:val="none" w:sz="0" w:space="0" w:color="auto"/>
                        <w:right w:val="none" w:sz="0" w:space="0" w:color="auto"/>
                      </w:divBdr>
                    </w:div>
                  </w:divsChild>
                </w:div>
                <w:div w:id="1240560527">
                  <w:marLeft w:val="0"/>
                  <w:marRight w:val="0"/>
                  <w:marTop w:val="0"/>
                  <w:marBottom w:val="0"/>
                  <w:divBdr>
                    <w:top w:val="none" w:sz="0" w:space="0" w:color="auto"/>
                    <w:left w:val="none" w:sz="0" w:space="0" w:color="auto"/>
                    <w:bottom w:val="none" w:sz="0" w:space="0" w:color="auto"/>
                    <w:right w:val="none" w:sz="0" w:space="0" w:color="auto"/>
                  </w:divBdr>
                  <w:divsChild>
                    <w:div w:id="2105877789">
                      <w:marLeft w:val="0"/>
                      <w:marRight w:val="0"/>
                      <w:marTop w:val="0"/>
                      <w:marBottom w:val="0"/>
                      <w:divBdr>
                        <w:top w:val="none" w:sz="0" w:space="0" w:color="auto"/>
                        <w:left w:val="none" w:sz="0" w:space="0" w:color="auto"/>
                        <w:bottom w:val="none" w:sz="0" w:space="0" w:color="auto"/>
                        <w:right w:val="none" w:sz="0" w:space="0" w:color="auto"/>
                      </w:divBdr>
                    </w:div>
                  </w:divsChild>
                </w:div>
                <w:div w:id="1282037105">
                  <w:marLeft w:val="0"/>
                  <w:marRight w:val="0"/>
                  <w:marTop w:val="0"/>
                  <w:marBottom w:val="0"/>
                  <w:divBdr>
                    <w:top w:val="none" w:sz="0" w:space="0" w:color="auto"/>
                    <w:left w:val="none" w:sz="0" w:space="0" w:color="auto"/>
                    <w:bottom w:val="none" w:sz="0" w:space="0" w:color="auto"/>
                    <w:right w:val="none" w:sz="0" w:space="0" w:color="auto"/>
                  </w:divBdr>
                  <w:divsChild>
                    <w:div w:id="508061131">
                      <w:marLeft w:val="0"/>
                      <w:marRight w:val="0"/>
                      <w:marTop w:val="0"/>
                      <w:marBottom w:val="0"/>
                      <w:divBdr>
                        <w:top w:val="none" w:sz="0" w:space="0" w:color="auto"/>
                        <w:left w:val="none" w:sz="0" w:space="0" w:color="auto"/>
                        <w:bottom w:val="none" w:sz="0" w:space="0" w:color="auto"/>
                        <w:right w:val="none" w:sz="0" w:space="0" w:color="auto"/>
                      </w:divBdr>
                    </w:div>
                  </w:divsChild>
                </w:div>
                <w:div w:id="1418556993">
                  <w:marLeft w:val="0"/>
                  <w:marRight w:val="0"/>
                  <w:marTop w:val="0"/>
                  <w:marBottom w:val="0"/>
                  <w:divBdr>
                    <w:top w:val="none" w:sz="0" w:space="0" w:color="auto"/>
                    <w:left w:val="none" w:sz="0" w:space="0" w:color="auto"/>
                    <w:bottom w:val="none" w:sz="0" w:space="0" w:color="auto"/>
                    <w:right w:val="none" w:sz="0" w:space="0" w:color="auto"/>
                  </w:divBdr>
                  <w:divsChild>
                    <w:div w:id="1629777690">
                      <w:marLeft w:val="0"/>
                      <w:marRight w:val="0"/>
                      <w:marTop w:val="0"/>
                      <w:marBottom w:val="0"/>
                      <w:divBdr>
                        <w:top w:val="none" w:sz="0" w:space="0" w:color="auto"/>
                        <w:left w:val="none" w:sz="0" w:space="0" w:color="auto"/>
                        <w:bottom w:val="none" w:sz="0" w:space="0" w:color="auto"/>
                        <w:right w:val="none" w:sz="0" w:space="0" w:color="auto"/>
                      </w:divBdr>
                    </w:div>
                  </w:divsChild>
                </w:div>
                <w:div w:id="1614901878">
                  <w:marLeft w:val="0"/>
                  <w:marRight w:val="0"/>
                  <w:marTop w:val="0"/>
                  <w:marBottom w:val="0"/>
                  <w:divBdr>
                    <w:top w:val="none" w:sz="0" w:space="0" w:color="auto"/>
                    <w:left w:val="none" w:sz="0" w:space="0" w:color="auto"/>
                    <w:bottom w:val="none" w:sz="0" w:space="0" w:color="auto"/>
                    <w:right w:val="none" w:sz="0" w:space="0" w:color="auto"/>
                  </w:divBdr>
                  <w:divsChild>
                    <w:div w:id="1821265424">
                      <w:marLeft w:val="0"/>
                      <w:marRight w:val="0"/>
                      <w:marTop w:val="0"/>
                      <w:marBottom w:val="0"/>
                      <w:divBdr>
                        <w:top w:val="none" w:sz="0" w:space="0" w:color="auto"/>
                        <w:left w:val="none" w:sz="0" w:space="0" w:color="auto"/>
                        <w:bottom w:val="none" w:sz="0" w:space="0" w:color="auto"/>
                        <w:right w:val="none" w:sz="0" w:space="0" w:color="auto"/>
                      </w:divBdr>
                    </w:div>
                  </w:divsChild>
                </w:div>
                <w:div w:id="1788351719">
                  <w:marLeft w:val="0"/>
                  <w:marRight w:val="0"/>
                  <w:marTop w:val="0"/>
                  <w:marBottom w:val="0"/>
                  <w:divBdr>
                    <w:top w:val="none" w:sz="0" w:space="0" w:color="auto"/>
                    <w:left w:val="none" w:sz="0" w:space="0" w:color="auto"/>
                    <w:bottom w:val="none" w:sz="0" w:space="0" w:color="auto"/>
                    <w:right w:val="none" w:sz="0" w:space="0" w:color="auto"/>
                  </w:divBdr>
                  <w:divsChild>
                    <w:div w:id="940069139">
                      <w:marLeft w:val="0"/>
                      <w:marRight w:val="0"/>
                      <w:marTop w:val="0"/>
                      <w:marBottom w:val="0"/>
                      <w:divBdr>
                        <w:top w:val="none" w:sz="0" w:space="0" w:color="auto"/>
                        <w:left w:val="none" w:sz="0" w:space="0" w:color="auto"/>
                        <w:bottom w:val="none" w:sz="0" w:space="0" w:color="auto"/>
                        <w:right w:val="none" w:sz="0" w:space="0" w:color="auto"/>
                      </w:divBdr>
                    </w:div>
                  </w:divsChild>
                </w:div>
                <w:div w:id="1860779308">
                  <w:marLeft w:val="0"/>
                  <w:marRight w:val="0"/>
                  <w:marTop w:val="0"/>
                  <w:marBottom w:val="0"/>
                  <w:divBdr>
                    <w:top w:val="none" w:sz="0" w:space="0" w:color="auto"/>
                    <w:left w:val="none" w:sz="0" w:space="0" w:color="auto"/>
                    <w:bottom w:val="none" w:sz="0" w:space="0" w:color="auto"/>
                    <w:right w:val="none" w:sz="0" w:space="0" w:color="auto"/>
                  </w:divBdr>
                  <w:divsChild>
                    <w:div w:id="1466392439">
                      <w:marLeft w:val="0"/>
                      <w:marRight w:val="0"/>
                      <w:marTop w:val="0"/>
                      <w:marBottom w:val="0"/>
                      <w:divBdr>
                        <w:top w:val="none" w:sz="0" w:space="0" w:color="auto"/>
                        <w:left w:val="none" w:sz="0" w:space="0" w:color="auto"/>
                        <w:bottom w:val="none" w:sz="0" w:space="0" w:color="auto"/>
                        <w:right w:val="none" w:sz="0" w:space="0" w:color="auto"/>
                      </w:divBdr>
                    </w:div>
                  </w:divsChild>
                </w:div>
                <w:div w:id="1868175803">
                  <w:marLeft w:val="0"/>
                  <w:marRight w:val="0"/>
                  <w:marTop w:val="0"/>
                  <w:marBottom w:val="0"/>
                  <w:divBdr>
                    <w:top w:val="none" w:sz="0" w:space="0" w:color="auto"/>
                    <w:left w:val="none" w:sz="0" w:space="0" w:color="auto"/>
                    <w:bottom w:val="none" w:sz="0" w:space="0" w:color="auto"/>
                    <w:right w:val="none" w:sz="0" w:space="0" w:color="auto"/>
                  </w:divBdr>
                  <w:divsChild>
                    <w:div w:id="1792166253">
                      <w:marLeft w:val="0"/>
                      <w:marRight w:val="0"/>
                      <w:marTop w:val="0"/>
                      <w:marBottom w:val="0"/>
                      <w:divBdr>
                        <w:top w:val="none" w:sz="0" w:space="0" w:color="auto"/>
                        <w:left w:val="none" w:sz="0" w:space="0" w:color="auto"/>
                        <w:bottom w:val="none" w:sz="0" w:space="0" w:color="auto"/>
                        <w:right w:val="none" w:sz="0" w:space="0" w:color="auto"/>
                      </w:divBdr>
                    </w:div>
                  </w:divsChild>
                </w:div>
                <w:div w:id="2026010577">
                  <w:marLeft w:val="0"/>
                  <w:marRight w:val="0"/>
                  <w:marTop w:val="0"/>
                  <w:marBottom w:val="0"/>
                  <w:divBdr>
                    <w:top w:val="none" w:sz="0" w:space="0" w:color="auto"/>
                    <w:left w:val="none" w:sz="0" w:space="0" w:color="auto"/>
                    <w:bottom w:val="none" w:sz="0" w:space="0" w:color="auto"/>
                    <w:right w:val="none" w:sz="0" w:space="0" w:color="auto"/>
                  </w:divBdr>
                  <w:divsChild>
                    <w:div w:id="1100446498">
                      <w:marLeft w:val="0"/>
                      <w:marRight w:val="0"/>
                      <w:marTop w:val="0"/>
                      <w:marBottom w:val="0"/>
                      <w:divBdr>
                        <w:top w:val="none" w:sz="0" w:space="0" w:color="auto"/>
                        <w:left w:val="none" w:sz="0" w:space="0" w:color="auto"/>
                        <w:bottom w:val="none" w:sz="0" w:space="0" w:color="auto"/>
                        <w:right w:val="none" w:sz="0" w:space="0" w:color="auto"/>
                      </w:divBdr>
                    </w:div>
                  </w:divsChild>
                </w:div>
                <w:div w:id="2129007572">
                  <w:marLeft w:val="0"/>
                  <w:marRight w:val="0"/>
                  <w:marTop w:val="0"/>
                  <w:marBottom w:val="0"/>
                  <w:divBdr>
                    <w:top w:val="none" w:sz="0" w:space="0" w:color="auto"/>
                    <w:left w:val="none" w:sz="0" w:space="0" w:color="auto"/>
                    <w:bottom w:val="none" w:sz="0" w:space="0" w:color="auto"/>
                    <w:right w:val="none" w:sz="0" w:space="0" w:color="auto"/>
                  </w:divBdr>
                  <w:divsChild>
                    <w:div w:id="11044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869285">
          <w:marLeft w:val="0"/>
          <w:marRight w:val="0"/>
          <w:marTop w:val="0"/>
          <w:marBottom w:val="0"/>
          <w:divBdr>
            <w:top w:val="none" w:sz="0" w:space="0" w:color="auto"/>
            <w:left w:val="none" w:sz="0" w:space="0" w:color="auto"/>
            <w:bottom w:val="none" w:sz="0" w:space="0" w:color="auto"/>
            <w:right w:val="none" w:sz="0" w:space="0" w:color="auto"/>
          </w:divBdr>
          <w:divsChild>
            <w:div w:id="385686483">
              <w:marLeft w:val="0"/>
              <w:marRight w:val="0"/>
              <w:marTop w:val="0"/>
              <w:marBottom w:val="0"/>
              <w:divBdr>
                <w:top w:val="none" w:sz="0" w:space="0" w:color="auto"/>
                <w:left w:val="none" w:sz="0" w:space="0" w:color="auto"/>
                <w:bottom w:val="none" w:sz="0" w:space="0" w:color="auto"/>
                <w:right w:val="none" w:sz="0" w:space="0" w:color="auto"/>
              </w:divBdr>
            </w:div>
            <w:div w:id="1353992271">
              <w:marLeft w:val="0"/>
              <w:marRight w:val="0"/>
              <w:marTop w:val="0"/>
              <w:marBottom w:val="0"/>
              <w:divBdr>
                <w:top w:val="none" w:sz="0" w:space="0" w:color="auto"/>
                <w:left w:val="none" w:sz="0" w:space="0" w:color="auto"/>
                <w:bottom w:val="none" w:sz="0" w:space="0" w:color="auto"/>
                <w:right w:val="none" w:sz="0" w:space="0" w:color="auto"/>
              </w:divBdr>
            </w:div>
            <w:div w:id="1382443868">
              <w:marLeft w:val="0"/>
              <w:marRight w:val="0"/>
              <w:marTop w:val="0"/>
              <w:marBottom w:val="0"/>
              <w:divBdr>
                <w:top w:val="none" w:sz="0" w:space="0" w:color="auto"/>
                <w:left w:val="none" w:sz="0" w:space="0" w:color="auto"/>
                <w:bottom w:val="none" w:sz="0" w:space="0" w:color="auto"/>
                <w:right w:val="none" w:sz="0" w:space="0" w:color="auto"/>
              </w:divBdr>
            </w:div>
            <w:div w:id="1753546881">
              <w:marLeft w:val="0"/>
              <w:marRight w:val="0"/>
              <w:marTop w:val="0"/>
              <w:marBottom w:val="0"/>
              <w:divBdr>
                <w:top w:val="none" w:sz="0" w:space="0" w:color="auto"/>
                <w:left w:val="none" w:sz="0" w:space="0" w:color="auto"/>
                <w:bottom w:val="none" w:sz="0" w:space="0" w:color="auto"/>
                <w:right w:val="none" w:sz="0" w:space="0" w:color="auto"/>
              </w:divBdr>
            </w:div>
            <w:div w:id="1905990059">
              <w:marLeft w:val="0"/>
              <w:marRight w:val="0"/>
              <w:marTop w:val="0"/>
              <w:marBottom w:val="0"/>
              <w:divBdr>
                <w:top w:val="none" w:sz="0" w:space="0" w:color="auto"/>
                <w:left w:val="none" w:sz="0" w:space="0" w:color="auto"/>
                <w:bottom w:val="none" w:sz="0" w:space="0" w:color="auto"/>
                <w:right w:val="none" w:sz="0" w:space="0" w:color="auto"/>
              </w:divBdr>
            </w:div>
          </w:divsChild>
        </w:div>
        <w:div w:id="1101875099">
          <w:marLeft w:val="0"/>
          <w:marRight w:val="0"/>
          <w:marTop w:val="0"/>
          <w:marBottom w:val="0"/>
          <w:divBdr>
            <w:top w:val="none" w:sz="0" w:space="0" w:color="auto"/>
            <w:left w:val="none" w:sz="0" w:space="0" w:color="auto"/>
            <w:bottom w:val="none" w:sz="0" w:space="0" w:color="auto"/>
            <w:right w:val="none" w:sz="0" w:space="0" w:color="auto"/>
          </w:divBdr>
        </w:div>
        <w:div w:id="1116800051">
          <w:marLeft w:val="0"/>
          <w:marRight w:val="0"/>
          <w:marTop w:val="0"/>
          <w:marBottom w:val="0"/>
          <w:divBdr>
            <w:top w:val="none" w:sz="0" w:space="0" w:color="auto"/>
            <w:left w:val="none" w:sz="0" w:space="0" w:color="auto"/>
            <w:bottom w:val="none" w:sz="0" w:space="0" w:color="auto"/>
            <w:right w:val="none" w:sz="0" w:space="0" w:color="auto"/>
          </w:divBdr>
        </w:div>
        <w:div w:id="1168249281">
          <w:marLeft w:val="0"/>
          <w:marRight w:val="0"/>
          <w:marTop w:val="0"/>
          <w:marBottom w:val="0"/>
          <w:divBdr>
            <w:top w:val="none" w:sz="0" w:space="0" w:color="auto"/>
            <w:left w:val="none" w:sz="0" w:space="0" w:color="auto"/>
            <w:bottom w:val="none" w:sz="0" w:space="0" w:color="auto"/>
            <w:right w:val="none" w:sz="0" w:space="0" w:color="auto"/>
          </w:divBdr>
        </w:div>
        <w:div w:id="1194727452">
          <w:marLeft w:val="0"/>
          <w:marRight w:val="0"/>
          <w:marTop w:val="0"/>
          <w:marBottom w:val="0"/>
          <w:divBdr>
            <w:top w:val="none" w:sz="0" w:space="0" w:color="auto"/>
            <w:left w:val="none" w:sz="0" w:space="0" w:color="auto"/>
            <w:bottom w:val="none" w:sz="0" w:space="0" w:color="auto"/>
            <w:right w:val="none" w:sz="0" w:space="0" w:color="auto"/>
          </w:divBdr>
          <w:divsChild>
            <w:div w:id="331370368">
              <w:marLeft w:val="0"/>
              <w:marRight w:val="0"/>
              <w:marTop w:val="0"/>
              <w:marBottom w:val="0"/>
              <w:divBdr>
                <w:top w:val="none" w:sz="0" w:space="0" w:color="auto"/>
                <w:left w:val="none" w:sz="0" w:space="0" w:color="auto"/>
                <w:bottom w:val="none" w:sz="0" w:space="0" w:color="auto"/>
                <w:right w:val="none" w:sz="0" w:space="0" w:color="auto"/>
              </w:divBdr>
            </w:div>
            <w:div w:id="475142811">
              <w:marLeft w:val="0"/>
              <w:marRight w:val="0"/>
              <w:marTop w:val="0"/>
              <w:marBottom w:val="0"/>
              <w:divBdr>
                <w:top w:val="none" w:sz="0" w:space="0" w:color="auto"/>
                <w:left w:val="none" w:sz="0" w:space="0" w:color="auto"/>
                <w:bottom w:val="none" w:sz="0" w:space="0" w:color="auto"/>
                <w:right w:val="none" w:sz="0" w:space="0" w:color="auto"/>
              </w:divBdr>
            </w:div>
            <w:div w:id="517933386">
              <w:marLeft w:val="0"/>
              <w:marRight w:val="0"/>
              <w:marTop w:val="0"/>
              <w:marBottom w:val="0"/>
              <w:divBdr>
                <w:top w:val="none" w:sz="0" w:space="0" w:color="auto"/>
                <w:left w:val="none" w:sz="0" w:space="0" w:color="auto"/>
                <w:bottom w:val="none" w:sz="0" w:space="0" w:color="auto"/>
                <w:right w:val="none" w:sz="0" w:space="0" w:color="auto"/>
              </w:divBdr>
            </w:div>
            <w:div w:id="561789546">
              <w:marLeft w:val="0"/>
              <w:marRight w:val="0"/>
              <w:marTop w:val="0"/>
              <w:marBottom w:val="0"/>
              <w:divBdr>
                <w:top w:val="none" w:sz="0" w:space="0" w:color="auto"/>
                <w:left w:val="none" w:sz="0" w:space="0" w:color="auto"/>
                <w:bottom w:val="none" w:sz="0" w:space="0" w:color="auto"/>
                <w:right w:val="none" w:sz="0" w:space="0" w:color="auto"/>
              </w:divBdr>
            </w:div>
            <w:div w:id="591671157">
              <w:marLeft w:val="0"/>
              <w:marRight w:val="0"/>
              <w:marTop w:val="0"/>
              <w:marBottom w:val="0"/>
              <w:divBdr>
                <w:top w:val="none" w:sz="0" w:space="0" w:color="auto"/>
                <w:left w:val="none" w:sz="0" w:space="0" w:color="auto"/>
                <w:bottom w:val="none" w:sz="0" w:space="0" w:color="auto"/>
                <w:right w:val="none" w:sz="0" w:space="0" w:color="auto"/>
              </w:divBdr>
            </w:div>
            <w:div w:id="608006701">
              <w:marLeft w:val="0"/>
              <w:marRight w:val="0"/>
              <w:marTop w:val="0"/>
              <w:marBottom w:val="0"/>
              <w:divBdr>
                <w:top w:val="none" w:sz="0" w:space="0" w:color="auto"/>
                <w:left w:val="none" w:sz="0" w:space="0" w:color="auto"/>
                <w:bottom w:val="none" w:sz="0" w:space="0" w:color="auto"/>
                <w:right w:val="none" w:sz="0" w:space="0" w:color="auto"/>
              </w:divBdr>
            </w:div>
            <w:div w:id="626929161">
              <w:marLeft w:val="0"/>
              <w:marRight w:val="0"/>
              <w:marTop w:val="0"/>
              <w:marBottom w:val="0"/>
              <w:divBdr>
                <w:top w:val="none" w:sz="0" w:space="0" w:color="auto"/>
                <w:left w:val="none" w:sz="0" w:space="0" w:color="auto"/>
                <w:bottom w:val="none" w:sz="0" w:space="0" w:color="auto"/>
                <w:right w:val="none" w:sz="0" w:space="0" w:color="auto"/>
              </w:divBdr>
            </w:div>
            <w:div w:id="784470510">
              <w:marLeft w:val="0"/>
              <w:marRight w:val="0"/>
              <w:marTop w:val="0"/>
              <w:marBottom w:val="0"/>
              <w:divBdr>
                <w:top w:val="none" w:sz="0" w:space="0" w:color="auto"/>
                <w:left w:val="none" w:sz="0" w:space="0" w:color="auto"/>
                <w:bottom w:val="none" w:sz="0" w:space="0" w:color="auto"/>
                <w:right w:val="none" w:sz="0" w:space="0" w:color="auto"/>
              </w:divBdr>
            </w:div>
            <w:div w:id="791171043">
              <w:marLeft w:val="0"/>
              <w:marRight w:val="0"/>
              <w:marTop w:val="0"/>
              <w:marBottom w:val="0"/>
              <w:divBdr>
                <w:top w:val="none" w:sz="0" w:space="0" w:color="auto"/>
                <w:left w:val="none" w:sz="0" w:space="0" w:color="auto"/>
                <w:bottom w:val="none" w:sz="0" w:space="0" w:color="auto"/>
                <w:right w:val="none" w:sz="0" w:space="0" w:color="auto"/>
              </w:divBdr>
            </w:div>
            <w:div w:id="1239365505">
              <w:marLeft w:val="0"/>
              <w:marRight w:val="0"/>
              <w:marTop w:val="0"/>
              <w:marBottom w:val="0"/>
              <w:divBdr>
                <w:top w:val="none" w:sz="0" w:space="0" w:color="auto"/>
                <w:left w:val="none" w:sz="0" w:space="0" w:color="auto"/>
                <w:bottom w:val="none" w:sz="0" w:space="0" w:color="auto"/>
                <w:right w:val="none" w:sz="0" w:space="0" w:color="auto"/>
              </w:divBdr>
            </w:div>
            <w:div w:id="1273245109">
              <w:marLeft w:val="0"/>
              <w:marRight w:val="0"/>
              <w:marTop w:val="0"/>
              <w:marBottom w:val="0"/>
              <w:divBdr>
                <w:top w:val="none" w:sz="0" w:space="0" w:color="auto"/>
                <w:left w:val="none" w:sz="0" w:space="0" w:color="auto"/>
                <w:bottom w:val="none" w:sz="0" w:space="0" w:color="auto"/>
                <w:right w:val="none" w:sz="0" w:space="0" w:color="auto"/>
              </w:divBdr>
            </w:div>
            <w:div w:id="1388799135">
              <w:marLeft w:val="0"/>
              <w:marRight w:val="0"/>
              <w:marTop w:val="0"/>
              <w:marBottom w:val="0"/>
              <w:divBdr>
                <w:top w:val="none" w:sz="0" w:space="0" w:color="auto"/>
                <w:left w:val="none" w:sz="0" w:space="0" w:color="auto"/>
                <w:bottom w:val="none" w:sz="0" w:space="0" w:color="auto"/>
                <w:right w:val="none" w:sz="0" w:space="0" w:color="auto"/>
              </w:divBdr>
            </w:div>
            <w:div w:id="1490906749">
              <w:marLeft w:val="0"/>
              <w:marRight w:val="0"/>
              <w:marTop w:val="0"/>
              <w:marBottom w:val="0"/>
              <w:divBdr>
                <w:top w:val="none" w:sz="0" w:space="0" w:color="auto"/>
                <w:left w:val="none" w:sz="0" w:space="0" w:color="auto"/>
                <w:bottom w:val="none" w:sz="0" w:space="0" w:color="auto"/>
                <w:right w:val="none" w:sz="0" w:space="0" w:color="auto"/>
              </w:divBdr>
            </w:div>
            <w:div w:id="1539316283">
              <w:marLeft w:val="0"/>
              <w:marRight w:val="0"/>
              <w:marTop w:val="0"/>
              <w:marBottom w:val="0"/>
              <w:divBdr>
                <w:top w:val="none" w:sz="0" w:space="0" w:color="auto"/>
                <w:left w:val="none" w:sz="0" w:space="0" w:color="auto"/>
                <w:bottom w:val="none" w:sz="0" w:space="0" w:color="auto"/>
                <w:right w:val="none" w:sz="0" w:space="0" w:color="auto"/>
              </w:divBdr>
            </w:div>
            <w:div w:id="1626305458">
              <w:marLeft w:val="0"/>
              <w:marRight w:val="0"/>
              <w:marTop w:val="0"/>
              <w:marBottom w:val="0"/>
              <w:divBdr>
                <w:top w:val="none" w:sz="0" w:space="0" w:color="auto"/>
                <w:left w:val="none" w:sz="0" w:space="0" w:color="auto"/>
                <w:bottom w:val="none" w:sz="0" w:space="0" w:color="auto"/>
                <w:right w:val="none" w:sz="0" w:space="0" w:color="auto"/>
              </w:divBdr>
            </w:div>
            <w:div w:id="1761875451">
              <w:marLeft w:val="0"/>
              <w:marRight w:val="0"/>
              <w:marTop w:val="0"/>
              <w:marBottom w:val="0"/>
              <w:divBdr>
                <w:top w:val="none" w:sz="0" w:space="0" w:color="auto"/>
                <w:left w:val="none" w:sz="0" w:space="0" w:color="auto"/>
                <w:bottom w:val="none" w:sz="0" w:space="0" w:color="auto"/>
                <w:right w:val="none" w:sz="0" w:space="0" w:color="auto"/>
              </w:divBdr>
            </w:div>
            <w:div w:id="1949118668">
              <w:marLeft w:val="0"/>
              <w:marRight w:val="0"/>
              <w:marTop w:val="0"/>
              <w:marBottom w:val="0"/>
              <w:divBdr>
                <w:top w:val="none" w:sz="0" w:space="0" w:color="auto"/>
                <w:left w:val="none" w:sz="0" w:space="0" w:color="auto"/>
                <w:bottom w:val="none" w:sz="0" w:space="0" w:color="auto"/>
                <w:right w:val="none" w:sz="0" w:space="0" w:color="auto"/>
              </w:divBdr>
            </w:div>
            <w:div w:id="1957132308">
              <w:marLeft w:val="0"/>
              <w:marRight w:val="0"/>
              <w:marTop w:val="0"/>
              <w:marBottom w:val="0"/>
              <w:divBdr>
                <w:top w:val="none" w:sz="0" w:space="0" w:color="auto"/>
                <w:left w:val="none" w:sz="0" w:space="0" w:color="auto"/>
                <w:bottom w:val="none" w:sz="0" w:space="0" w:color="auto"/>
                <w:right w:val="none" w:sz="0" w:space="0" w:color="auto"/>
              </w:divBdr>
            </w:div>
            <w:div w:id="2002196302">
              <w:marLeft w:val="0"/>
              <w:marRight w:val="0"/>
              <w:marTop w:val="0"/>
              <w:marBottom w:val="0"/>
              <w:divBdr>
                <w:top w:val="none" w:sz="0" w:space="0" w:color="auto"/>
                <w:left w:val="none" w:sz="0" w:space="0" w:color="auto"/>
                <w:bottom w:val="none" w:sz="0" w:space="0" w:color="auto"/>
                <w:right w:val="none" w:sz="0" w:space="0" w:color="auto"/>
              </w:divBdr>
            </w:div>
            <w:div w:id="2052075465">
              <w:marLeft w:val="0"/>
              <w:marRight w:val="0"/>
              <w:marTop w:val="0"/>
              <w:marBottom w:val="0"/>
              <w:divBdr>
                <w:top w:val="none" w:sz="0" w:space="0" w:color="auto"/>
                <w:left w:val="none" w:sz="0" w:space="0" w:color="auto"/>
                <w:bottom w:val="none" w:sz="0" w:space="0" w:color="auto"/>
                <w:right w:val="none" w:sz="0" w:space="0" w:color="auto"/>
              </w:divBdr>
            </w:div>
          </w:divsChild>
        </w:div>
        <w:div w:id="1236743739">
          <w:marLeft w:val="0"/>
          <w:marRight w:val="0"/>
          <w:marTop w:val="0"/>
          <w:marBottom w:val="0"/>
          <w:divBdr>
            <w:top w:val="none" w:sz="0" w:space="0" w:color="auto"/>
            <w:left w:val="none" w:sz="0" w:space="0" w:color="auto"/>
            <w:bottom w:val="none" w:sz="0" w:space="0" w:color="auto"/>
            <w:right w:val="none" w:sz="0" w:space="0" w:color="auto"/>
          </w:divBdr>
        </w:div>
        <w:div w:id="1352564337">
          <w:marLeft w:val="0"/>
          <w:marRight w:val="0"/>
          <w:marTop w:val="0"/>
          <w:marBottom w:val="0"/>
          <w:divBdr>
            <w:top w:val="none" w:sz="0" w:space="0" w:color="auto"/>
            <w:left w:val="none" w:sz="0" w:space="0" w:color="auto"/>
            <w:bottom w:val="none" w:sz="0" w:space="0" w:color="auto"/>
            <w:right w:val="none" w:sz="0" w:space="0" w:color="auto"/>
          </w:divBdr>
        </w:div>
        <w:div w:id="1503542209">
          <w:marLeft w:val="0"/>
          <w:marRight w:val="0"/>
          <w:marTop w:val="0"/>
          <w:marBottom w:val="0"/>
          <w:divBdr>
            <w:top w:val="none" w:sz="0" w:space="0" w:color="auto"/>
            <w:left w:val="none" w:sz="0" w:space="0" w:color="auto"/>
            <w:bottom w:val="none" w:sz="0" w:space="0" w:color="auto"/>
            <w:right w:val="none" w:sz="0" w:space="0" w:color="auto"/>
          </w:divBdr>
        </w:div>
        <w:div w:id="1544974320">
          <w:marLeft w:val="0"/>
          <w:marRight w:val="0"/>
          <w:marTop w:val="0"/>
          <w:marBottom w:val="0"/>
          <w:divBdr>
            <w:top w:val="none" w:sz="0" w:space="0" w:color="auto"/>
            <w:left w:val="none" w:sz="0" w:space="0" w:color="auto"/>
            <w:bottom w:val="none" w:sz="0" w:space="0" w:color="auto"/>
            <w:right w:val="none" w:sz="0" w:space="0" w:color="auto"/>
          </w:divBdr>
        </w:div>
        <w:div w:id="1565531723">
          <w:marLeft w:val="0"/>
          <w:marRight w:val="0"/>
          <w:marTop w:val="0"/>
          <w:marBottom w:val="0"/>
          <w:divBdr>
            <w:top w:val="none" w:sz="0" w:space="0" w:color="auto"/>
            <w:left w:val="none" w:sz="0" w:space="0" w:color="auto"/>
            <w:bottom w:val="none" w:sz="0" w:space="0" w:color="auto"/>
            <w:right w:val="none" w:sz="0" w:space="0" w:color="auto"/>
          </w:divBdr>
          <w:divsChild>
            <w:div w:id="93938757">
              <w:marLeft w:val="0"/>
              <w:marRight w:val="0"/>
              <w:marTop w:val="0"/>
              <w:marBottom w:val="0"/>
              <w:divBdr>
                <w:top w:val="none" w:sz="0" w:space="0" w:color="auto"/>
                <w:left w:val="none" w:sz="0" w:space="0" w:color="auto"/>
                <w:bottom w:val="none" w:sz="0" w:space="0" w:color="auto"/>
                <w:right w:val="none" w:sz="0" w:space="0" w:color="auto"/>
              </w:divBdr>
            </w:div>
            <w:div w:id="263149827">
              <w:marLeft w:val="0"/>
              <w:marRight w:val="0"/>
              <w:marTop w:val="0"/>
              <w:marBottom w:val="0"/>
              <w:divBdr>
                <w:top w:val="none" w:sz="0" w:space="0" w:color="auto"/>
                <w:left w:val="none" w:sz="0" w:space="0" w:color="auto"/>
                <w:bottom w:val="none" w:sz="0" w:space="0" w:color="auto"/>
                <w:right w:val="none" w:sz="0" w:space="0" w:color="auto"/>
              </w:divBdr>
            </w:div>
            <w:div w:id="276103788">
              <w:marLeft w:val="0"/>
              <w:marRight w:val="0"/>
              <w:marTop w:val="0"/>
              <w:marBottom w:val="0"/>
              <w:divBdr>
                <w:top w:val="none" w:sz="0" w:space="0" w:color="auto"/>
                <w:left w:val="none" w:sz="0" w:space="0" w:color="auto"/>
                <w:bottom w:val="none" w:sz="0" w:space="0" w:color="auto"/>
                <w:right w:val="none" w:sz="0" w:space="0" w:color="auto"/>
              </w:divBdr>
            </w:div>
            <w:div w:id="526875839">
              <w:marLeft w:val="0"/>
              <w:marRight w:val="0"/>
              <w:marTop w:val="0"/>
              <w:marBottom w:val="0"/>
              <w:divBdr>
                <w:top w:val="none" w:sz="0" w:space="0" w:color="auto"/>
                <w:left w:val="none" w:sz="0" w:space="0" w:color="auto"/>
                <w:bottom w:val="none" w:sz="0" w:space="0" w:color="auto"/>
                <w:right w:val="none" w:sz="0" w:space="0" w:color="auto"/>
              </w:divBdr>
            </w:div>
            <w:div w:id="599265234">
              <w:marLeft w:val="0"/>
              <w:marRight w:val="0"/>
              <w:marTop w:val="0"/>
              <w:marBottom w:val="0"/>
              <w:divBdr>
                <w:top w:val="none" w:sz="0" w:space="0" w:color="auto"/>
                <w:left w:val="none" w:sz="0" w:space="0" w:color="auto"/>
                <w:bottom w:val="none" w:sz="0" w:space="0" w:color="auto"/>
                <w:right w:val="none" w:sz="0" w:space="0" w:color="auto"/>
              </w:divBdr>
            </w:div>
            <w:div w:id="649943137">
              <w:marLeft w:val="0"/>
              <w:marRight w:val="0"/>
              <w:marTop w:val="0"/>
              <w:marBottom w:val="0"/>
              <w:divBdr>
                <w:top w:val="none" w:sz="0" w:space="0" w:color="auto"/>
                <w:left w:val="none" w:sz="0" w:space="0" w:color="auto"/>
                <w:bottom w:val="none" w:sz="0" w:space="0" w:color="auto"/>
                <w:right w:val="none" w:sz="0" w:space="0" w:color="auto"/>
              </w:divBdr>
            </w:div>
            <w:div w:id="682709407">
              <w:marLeft w:val="0"/>
              <w:marRight w:val="0"/>
              <w:marTop w:val="0"/>
              <w:marBottom w:val="0"/>
              <w:divBdr>
                <w:top w:val="none" w:sz="0" w:space="0" w:color="auto"/>
                <w:left w:val="none" w:sz="0" w:space="0" w:color="auto"/>
                <w:bottom w:val="none" w:sz="0" w:space="0" w:color="auto"/>
                <w:right w:val="none" w:sz="0" w:space="0" w:color="auto"/>
              </w:divBdr>
            </w:div>
            <w:div w:id="734477825">
              <w:marLeft w:val="0"/>
              <w:marRight w:val="0"/>
              <w:marTop w:val="0"/>
              <w:marBottom w:val="0"/>
              <w:divBdr>
                <w:top w:val="none" w:sz="0" w:space="0" w:color="auto"/>
                <w:left w:val="none" w:sz="0" w:space="0" w:color="auto"/>
                <w:bottom w:val="none" w:sz="0" w:space="0" w:color="auto"/>
                <w:right w:val="none" w:sz="0" w:space="0" w:color="auto"/>
              </w:divBdr>
            </w:div>
            <w:div w:id="810169522">
              <w:marLeft w:val="0"/>
              <w:marRight w:val="0"/>
              <w:marTop w:val="0"/>
              <w:marBottom w:val="0"/>
              <w:divBdr>
                <w:top w:val="none" w:sz="0" w:space="0" w:color="auto"/>
                <w:left w:val="none" w:sz="0" w:space="0" w:color="auto"/>
                <w:bottom w:val="none" w:sz="0" w:space="0" w:color="auto"/>
                <w:right w:val="none" w:sz="0" w:space="0" w:color="auto"/>
              </w:divBdr>
            </w:div>
            <w:div w:id="1041398236">
              <w:marLeft w:val="0"/>
              <w:marRight w:val="0"/>
              <w:marTop w:val="0"/>
              <w:marBottom w:val="0"/>
              <w:divBdr>
                <w:top w:val="none" w:sz="0" w:space="0" w:color="auto"/>
                <w:left w:val="none" w:sz="0" w:space="0" w:color="auto"/>
                <w:bottom w:val="none" w:sz="0" w:space="0" w:color="auto"/>
                <w:right w:val="none" w:sz="0" w:space="0" w:color="auto"/>
              </w:divBdr>
            </w:div>
            <w:div w:id="1281841499">
              <w:marLeft w:val="0"/>
              <w:marRight w:val="0"/>
              <w:marTop w:val="0"/>
              <w:marBottom w:val="0"/>
              <w:divBdr>
                <w:top w:val="none" w:sz="0" w:space="0" w:color="auto"/>
                <w:left w:val="none" w:sz="0" w:space="0" w:color="auto"/>
                <w:bottom w:val="none" w:sz="0" w:space="0" w:color="auto"/>
                <w:right w:val="none" w:sz="0" w:space="0" w:color="auto"/>
              </w:divBdr>
            </w:div>
            <w:div w:id="1311594892">
              <w:marLeft w:val="0"/>
              <w:marRight w:val="0"/>
              <w:marTop w:val="0"/>
              <w:marBottom w:val="0"/>
              <w:divBdr>
                <w:top w:val="none" w:sz="0" w:space="0" w:color="auto"/>
                <w:left w:val="none" w:sz="0" w:space="0" w:color="auto"/>
                <w:bottom w:val="none" w:sz="0" w:space="0" w:color="auto"/>
                <w:right w:val="none" w:sz="0" w:space="0" w:color="auto"/>
              </w:divBdr>
            </w:div>
            <w:div w:id="1331105001">
              <w:marLeft w:val="0"/>
              <w:marRight w:val="0"/>
              <w:marTop w:val="0"/>
              <w:marBottom w:val="0"/>
              <w:divBdr>
                <w:top w:val="none" w:sz="0" w:space="0" w:color="auto"/>
                <w:left w:val="none" w:sz="0" w:space="0" w:color="auto"/>
                <w:bottom w:val="none" w:sz="0" w:space="0" w:color="auto"/>
                <w:right w:val="none" w:sz="0" w:space="0" w:color="auto"/>
              </w:divBdr>
            </w:div>
            <w:div w:id="1445998300">
              <w:marLeft w:val="0"/>
              <w:marRight w:val="0"/>
              <w:marTop w:val="0"/>
              <w:marBottom w:val="0"/>
              <w:divBdr>
                <w:top w:val="none" w:sz="0" w:space="0" w:color="auto"/>
                <w:left w:val="none" w:sz="0" w:space="0" w:color="auto"/>
                <w:bottom w:val="none" w:sz="0" w:space="0" w:color="auto"/>
                <w:right w:val="none" w:sz="0" w:space="0" w:color="auto"/>
              </w:divBdr>
            </w:div>
            <w:div w:id="1469056797">
              <w:marLeft w:val="0"/>
              <w:marRight w:val="0"/>
              <w:marTop w:val="0"/>
              <w:marBottom w:val="0"/>
              <w:divBdr>
                <w:top w:val="none" w:sz="0" w:space="0" w:color="auto"/>
                <w:left w:val="none" w:sz="0" w:space="0" w:color="auto"/>
                <w:bottom w:val="none" w:sz="0" w:space="0" w:color="auto"/>
                <w:right w:val="none" w:sz="0" w:space="0" w:color="auto"/>
              </w:divBdr>
            </w:div>
            <w:div w:id="1502768872">
              <w:marLeft w:val="0"/>
              <w:marRight w:val="0"/>
              <w:marTop w:val="0"/>
              <w:marBottom w:val="0"/>
              <w:divBdr>
                <w:top w:val="none" w:sz="0" w:space="0" w:color="auto"/>
                <w:left w:val="none" w:sz="0" w:space="0" w:color="auto"/>
                <w:bottom w:val="none" w:sz="0" w:space="0" w:color="auto"/>
                <w:right w:val="none" w:sz="0" w:space="0" w:color="auto"/>
              </w:divBdr>
            </w:div>
            <w:div w:id="1519465247">
              <w:marLeft w:val="0"/>
              <w:marRight w:val="0"/>
              <w:marTop w:val="0"/>
              <w:marBottom w:val="0"/>
              <w:divBdr>
                <w:top w:val="none" w:sz="0" w:space="0" w:color="auto"/>
                <w:left w:val="none" w:sz="0" w:space="0" w:color="auto"/>
                <w:bottom w:val="none" w:sz="0" w:space="0" w:color="auto"/>
                <w:right w:val="none" w:sz="0" w:space="0" w:color="auto"/>
              </w:divBdr>
            </w:div>
            <w:div w:id="1616867969">
              <w:marLeft w:val="0"/>
              <w:marRight w:val="0"/>
              <w:marTop w:val="0"/>
              <w:marBottom w:val="0"/>
              <w:divBdr>
                <w:top w:val="none" w:sz="0" w:space="0" w:color="auto"/>
                <w:left w:val="none" w:sz="0" w:space="0" w:color="auto"/>
                <w:bottom w:val="none" w:sz="0" w:space="0" w:color="auto"/>
                <w:right w:val="none" w:sz="0" w:space="0" w:color="auto"/>
              </w:divBdr>
            </w:div>
            <w:div w:id="1641883433">
              <w:marLeft w:val="0"/>
              <w:marRight w:val="0"/>
              <w:marTop w:val="0"/>
              <w:marBottom w:val="0"/>
              <w:divBdr>
                <w:top w:val="none" w:sz="0" w:space="0" w:color="auto"/>
                <w:left w:val="none" w:sz="0" w:space="0" w:color="auto"/>
                <w:bottom w:val="none" w:sz="0" w:space="0" w:color="auto"/>
                <w:right w:val="none" w:sz="0" w:space="0" w:color="auto"/>
              </w:divBdr>
            </w:div>
            <w:div w:id="2049068321">
              <w:marLeft w:val="0"/>
              <w:marRight w:val="0"/>
              <w:marTop w:val="0"/>
              <w:marBottom w:val="0"/>
              <w:divBdr>
                <w:top w:val="none" w:sz="0" w:space="0" w:color="auto"/>
                <w:left w:val="none" w:sz="0" w:space="0" w:color="auto"/>
                <w:bottom w:val="none" w:sz="0" w:space="0" w:color="auto"/>
                <w:right w:val="none" w:sz="0" w:space="0" w:color="auto"/>
              </w:divBdr>
            </w:div>
          </w:divsChild>
        </w:div>
        <w:div w:id="1573463864">
          <w:marLeft w:val="0"/>
          <w:marRight w:val="0"/>
          <w:marTop w:val="0"/>
          <w:marBottom w:val="0"/>
          <w:divBdr>
            <w:top w:val="none" w:sz="0" w:space="0" w:color="auto"/>
            <w:left w:val="none" w:sz="0" w:space="0" w:color="auto"/>
            <w:bottom w:val="none" w:sz="0" w:space="0" w:color="auto"/>
            <w:right w:val="none" w:sz="0" w:space="0" w:color="auto"/>
          </w:divBdr>
          <w:divsChild>
            <w:div w:id="1252544240">
              <w:marLeft w:val="-75"/>
              <w:marRight w:val="0"/>
              <w:marTop w:val="30"/>
              <w:marBottom w:val="30"/>
              <w:divBdr>
                <w:top w:val="none" w:sz="0" w:space="0" w:color="auto"/>
                <w:left w:val="none" w:sz="0" w:space="0" w:color="auto"/>
                <w:bottom w:val="none" w:sz="0" w:space="0" w:color="auto"/>
                <w:right w:val="none" w:sz="0" w:space="0" w:color="auto"/>
              </w:divBdr>
              <w:divsChild>
                <w:div w:id="37167088">
                  <w:marLeft w:val="0"/>
                  <w:marRight w:val="0"/>
                  <w:marTop w:val="0"/>
                  <w:marBottom w:val="0"/>
                  <w:divBdr>
                    <w:top w:val="none" w:sz="0" w:space="0" w:color="auto"/>
                    <w:left w:val="none" w:sz="0" w:space="0" w:color="auto"/>
                    <w:bottom w:val="none" w:sz="0" w:space="0" w:color="auto"/>
                    <w:right w:val="none" w:sz="0" w:space="0" w:color="auto"/>
                  </w:divBdr>
                  <w:divsChild>
                    <w:div w:id="120392141">
                      <w:marLeft w:val="0"/>
                      <w:marRight w:val="0"/>
                      <w:marTop w:val="0"/>
                      <w:marBottom w:val="0"/>
                      <w:divBdr>
                        <w:top w:val="none" w:sz="0" w:space="0" w:color="auto"/>
                        <w:left w:val="none" w:sz="0" w:space="0" w:color="auto"/>
                        <w:bottom w:val="none" w:sz="0" w:space="0" w:color="auto"/>
                        <w:right w:val="none" w:sz="0" w:space="0" w:color="auto"/>
                      </w:divBdr>
                    </w:div>
                  </w:divsChild>
                </w:div>
                <w:div w:id="310866874">
                  <w:marLeft w:val="0"/>
                  <w:marRight w:val="0"/>
                  <w:marTop w:val="0"/>
                  <w:marBottom w:val="0"/>
                  <w:divBdr>
                    <w:top w:val="none" w:sz="0" w:space="0" w:color="auto"/>
                    <w:left w:val="none" w:sz="0" w:space="0" w:color="auto"/>
                    <w:bottom w:val="none" w:sz="0" w:space="0" w:color="auto"/>
                    <w:right w:val="none" w:sz="0" w:space="0" w:color="auto"/>
                  </w:divBdr>
                  <w:divsChild>
                    <w:div w:id="862400185">
                      <w:marLeft w:val="0"/>
                      <w:marRight w:val="0"/>
                      <w:marTop w:val="0"/>
                      <w:marBottom w:val="0"/>
                      <w:divBdr>
                        <w:top w:val="none" w:sz="0" w:space="0" w:color="auto"/>
                        <w:left w:val="none" w:sz="0" w:space="0" w:color="auto"/>
                        <w:bottom w:val="none" w:sz="0" w:space="0" w:color="auto"/>
                        <w:right w:val="none" w:sz="0" w:space="0" w:color="auto"/>
                      </w:divBdr>
                    </w:div>
                  </w:divsChild>
                </w:div>
                <w:div w:id="375933340">
                  <w:marLeft w:val="0"/>
                  <w:marRight w:val="0"/>
                  <w:marTop w:val="0"/>
                  <w:marBottom w:val="0"/>
                  <w:divBdr>
                    <w:top w:val="none" w:sz="0" w:space="0" w:color="auto"/>
                    <w:left w:val="none" w:sz="0" w:space="0" w:color="auto"/>
                    <w:bottom w:val="none" w:sz="0" w:space="0" w:color="auto"/>
                    <w:right w:val="none" w:sz="0" w:space="0" w:color="auto"/>
                  </w:divBdr>
                  <w:divsChild>
                    <w:div w:id="872424621">
                      <w:marLeft w:val="0"/>
                      <w:marRight w:val="0"/>
                      <w:marTop w:val="0"/>
                      <w:marBottom w:val="0"/>
                      <w:divBdr>
                        <w:top w:val="none" w:sz="0" w:space="0" w:color="auto"/>
                        <w:left w:val="none" w:sz="0" w:space="0" w:color="auto"/>
                        <w:bottom w:val="none" w:sz="0" w:space="0" w:color="auto"/>
                        <w:right w:val="none" w:sz="0" w:space="0" w:color="auto"/>
                      </w:divBdr>
                    </w:div>
                  </w:divsChild>
                </w:div>
                <w:div w:id="425228211">
                  <w:marLeft w:val="0"/>
                  <w:marRight w:val="0"/>
                  <w:marTop w:val="0"/>
                  <w:marBottom w:val="0"/>
                  <w:divBdr>
                    <w:top w:val="none" w:sz="0" w:space="0" w:color="auto"/>
                    <w:left w:val="none" w:sz="0" w:space="0" w:color="auto"/>
                    <w:bottom w:val="none" w:sz="0" w:space="0" w:color="auto"/>
                    <w:right w:val="none" w:sz="0" w:space="0" w:color="auto"/>
                  </w:divBdr>
                  <w:divsChild>
                    <w:div w:id="514072392">
                      <w:marLeft w:val="0"/>
                      <w:marRight w:val="0"/>
                      <w:marTop w:val="0"/>
                      <w:marBottom w:val="0"/>
                      <w:divBdr>
                        <w:top w:val="none" w:sz="0" w:space="0" w:color="auto"/>
                        <w:left w:val="none" w:sz="0" w:space="0" w:color="auto"/>
                        <w:bottom w:val="none" w:sz="0" w:space="0" w:color="auto"/>
                        <w:right w:val="none" w:sz="0" w:space="0" w:color="auto"/>
                      </w:divBdr>
                    </w:div>
                  </w:divsChild>
                </w:div>
                <w:div w:id="830564707">
                  <w:marLeft w:val="0"/>
                  <w:marRight w:val="0"/>
                  <w:marTop w:val="0"/>
                  <w:marBottom w:val="0"/>
                  <w:divBdr>
                    <w:top w:val="none" w:sz="0" w:space="0" w:color="auto"/>
                    <w:left w:val="none" w:sz="0" w:space="0" w:color="auto"/>
                    <w:bottom w:val="none" w:sz="0" w:space="0" w:color="auto"/>
                    <w:right w:val="none" w:sz="0" w:space="0" w:color="auto"/>
                  </w:divBdr>
                  <w:divsChild>
                    <w:div w:id="1931430411">
                      <w:marLeft w:val="0"/>
                      <w:marRight w:val="0"/>
                      <w:marTop w:val="0"/>
                      <w:marBottom w:val="0"/>
                      <w:divBdr>
                        <w:top w:val="none" w:sz="0" w:space="0" w:color="auto"/>
                        <w:left w:val="none" w:sz="0" w:space="0" w:color="auto"/>
                        <w:bottom w:val="none" w:sz="0" w:space="0" w:color="auto"/>
                        <w:right w:val="none" w:sz="0" w:space="0" w:color="auto"/>
                      </w:divBdr>
                    </w:div>
                  </w:divsChild>
                </w:div>
                <w:div w:id="1168906446">
                  <w:marLeft w:val="0"/>
                  <w:marRight w:val="0"/>
                  <w:marTop w:val="0"/>
                  <w:marBottom w:val="0"/>
                  <w:divBdr>
                    <w:top w:val="none" w:sz="0" w:space="0" w:color="auto"/>
                    <w:left w:val="none" w:sz="0" w:space="0" w:color="auto"/>
                    <w:bottom w:val="none" w:sz="0" w:space="0" w:color="auto"/>
                    <w:right w:val="none" w:sz="0" w:space="0" w:color="auto"/>
                  </w:divBdr>
                  <w:divsChild>
                    <w:div w:id="288633277">
                      <w:marLeft w:val="0"/>
                      <w:marRight w:val="0"/>
                      <w:marTop w:val="0"/>
                      <w:marBottom w:val="0"/>
                      <w:divBdr>
                        <w:top w:val="none" w:sz="0" w:space="0" w:color="auto"/>
                        <w:left w:val="none" w:sz="0" w:space="0" w:color="auto"/>
                        <w:bottom w:val="none" w:sz="0" w:space="0" w:color="auto"/>
                        <w:right w:val="none" w:sz="0" w:space="0" w:color="auto"/>
                      </w:divBdr>
                    </w:div>
                  </w:divsChild>
                </w:div>
                <w:div w:id="1172717342">
                  <w:marLeft w:val="0"/>
                  <w:marRight w:val="0"/>
                  <w:marTop w:val="0"/>
                  <w:marBottom w:val="0"/>
                  <w:divBdr>
                    <w:top w:val="none" w:sz="0" w:space="0" w:color="auto"/>
                    <w:left w:val="none" w:sz="0" w:space="0" w:color="auto"/>
                    <w:bottom w:val="none" w:sz="0" w:space="0" w:color="auto"/>
                    <w:right w:val="none" w:sz="0" w:space="0" w:color="auto"/>
                  </w:divBdr>
                  <w:divsChild>
                    <w:div w:id="1070614244">
                      <w:marLeft w:val="0"/>
                      <w:marRight w:val="0"/>
                      <w:marTop w:val="0"/>
                      <w:marBottom w:val="0"/>
                      <w:divBdr>
                        <w:top w:val="none" w:sz="0" w:space="0" w:color="auto"/>
                        <w:left w:val="none" w:sz="0" w:space="0" w:color="auto"/>
                        <w:bottom w:val="none" w:sz="0" w:space="0" w:color="auto"/>
                        <w:right w:val="none" w:sz="0" w:space="0" w:color="auto"/>
                      </w:divBdr>
                    </w:div>
                  </w:divsChild>
                </w:div>
                <w:div w:id="1265383398">
                  <w:marLeft w:val="0"/>
                  <w:marRight w:val="0"/>
                  <w:marTop w:val="0"/>
                  <w:marBottom w:val="0"/>
                  <w:divBdr>
                    <w:top w:val="none" w:sz="0" w:space="0" w:color="auto"/>
                    <w:left w:val="none" w:sz="0" w:space="0" w:color="auto"/>
                    <w:bottom w:val="none" w:sz="0" w:space="0" w:color="auto"/>
                    <w:right w:val="none" w:sz="0" w:space="0" w:color="auto"/>
                  </w:divBdr>
                  <w:divsChild>
                    <w:div w:id="407191722">
                      <w:marLeft w:val="0"/>
                      <w:marRight w:val="0"/>
                      <w:marTop w:val="0"/>
                      <w:marBottom w:val="0"/>
                      <w:divBdr>
                        <w:top w:val="none" w:sz="0" w:space="0" w:color="auto"/>
                        <w:left w:val="none" w:sz="0" w:space="0" w:color="auto"/>
                        <w:bottom w:val="none" w:sz="0" w:space="0" w:color="auto"/>
                        <w:right w:val="none" w:sz="0" w:space="0" w:color="auto"/>
                      </w:divBdr>
                    </w:div>
                  </w:divsChild>
                </w:div>
                <w:div w:id="1410273585">
                  <w:marLeft w:val="0"/>
                  <w:marRight w:val="0"/>
                  <w:marTop w:val="0"/>
                  <w:marBottom w:val="0"/>
                  <w:divBdr>
                    <w:top w:val="none" w:sz="0" w:space="0" w:color="auto"/>
                    <w:left w:val="none" w:sz="0" w:space="0" w:color="auto"/>
                    <w:bottom w:val="none" w:sz="0" w:space="0" w:color="auto"/>
                    <w:right w:val="none" w:sz="0" w:space="0" w:color="auto"/>
                  </w:divBdr>
                  <w:divsChild>
                    <w:div w:id="2035231329">
                      <w:marLeft w:val="0"/>
                      <w:marRight w:val="0"/>
                      <w:marTop w:val="0"/>
                      <w:marBottom w:val="0"/>
                      <w:divBdr>
                        <w:top w:val="none" w:sz="0" w:space="0" w:color="auto"/>
                        <w:left w:val="none" w:sz="0" w:space="0" w:color="auto"/>
                        <w:bottom w:val="none" w:sz="0" w:space="0" w:color="auto"/>
                        <w:right w:val="none" w:sz="0" w:space="0" w:color="auto"/>
                      </w:divBdr>
                    </w:div>
                  </w:divsChild>
                </w:div>
                <w:div w:id="1651519736">
                  <w:marLeft w:val="0"/>
                  <w:marRight w:val="0"/>
                  <w:marTop w:val="0"/>
                  <w:marBottom w:val="0"/>
                  <w:divBdr>
                    <w:top w:val="none" w:sz="0" w:space="0" w:color="auto"/>
                    <w:left w:val="none" w:sz="0" w:space="0" w:color="auto"/>
                    <w:bottom w:val="none" w:sz="0" w:space="0" w:color="auto"/>
                    <w:right w:val="none" w:sz="0" w:space="0" w:color="auto"/>
                  </w:divBdr>
                  <w:divsChild>
                    <w:div w:id="99188224">
                      <w:marLeft w:val="0"/>
                      <w:marRight w:val="0"/>
                      <w:marTop w:val="0"/>
                      <w:marBottom w:val="0"/>
                      <w:divBdr>
                        <w:top w:val="none" w:sz="0" w:space="0" w:color="auto"/>
                        <w:left w:val="none" w:sz="0" w:space="0" w:color="auto"/>
                        <w:bottom w:val="none" w:sz="0" w:space="0" w:color="auto"/>
                        <w:right w:val="none" w:sz="0" w:space="0" w:color="auto"/>
                      </w:divBdr>
                    </w:div>
                  </w:divsChild>
                </w:div>
                <w:div w:id="1708064921">
                  <w:marLeft w:val="0"/>
                  <w:marRight w:val="0"/>
                  <w:marTop w:val="0"/>
                  <w:marBottom w:val="0"/>
                  <w:divBdr>
                    <w:top w:val="none" w:sz="0" w:space="0" w:color="auto"/>
                    <w:left w:val="none" w:sz="0" w:space="0" w:color="auto"/>
                    <w:bottom w:val="none" w:sz="0" w:space="0" w:color="auto"/>
                    <w:right w:val="none" w:sz="0" w:space="0" w:color="auto"/>
                  </w:divBdr>
                  <w:divsChild>
                    <w:div w:id="824054471">
                      <w:marLeft w:val="0"/>
                      <w:marRight w:val="0"/>
                      <w:marTop w:val="0"/>
                      <w:marBottom w:val="0"/>
                      <w:divBdr>
                        <w:top w:val="none" w:sz="0" w:space="0" w:color="auto"/>
                        <w:left w:val="none" w:sz="0" w:space="0" w:color="auto"/>
                        <w:bottom w:val="none" w:sz="0" w:space="0" w:color="auto"/>
                        <w:right w:val="none" w:sz="0" w:space="0" w:color="auto"/>
                      </w:divBdr>
                    </w:div>
                  </w:divsChild>
                </w:div>
                <w:div w:id="1784613368">
                  <w:marLeft w:val="0"/>
                  <w:marRight w:val="0"/>
                  <w:marTop w:val="0"/>
                  <w:marBottom w:val="0"/>
                  <w:divBdr>
                    <w:top w:val="none" w:sz="0" w:space="0" w:color="auto"/>
                    <w:left w:val="none" w:sz="0" w:space="0" w:color="auto"/>
                    <w:bottom w:val="none" w:sz="0" w:space="0" w:color="auto"/>
                    <w:right w:val="none" w:sz="0" w:space="0" w:color="auto"/>
                  </w:divBdr>
                  <w:divsChild>
                    <w:div w:id="2100056996">
                      <w:marLeft w:val="0"/>
                      <w:marRight w:val="0"/>
                      <w:marTop w:val="0"/>
                      <w:marBottom w:val="0"/>
                      <w:divBdr>
                        <w:top w:val="none" w:sz="0" w:space="0" w:color="auto"/>
                        <w:left w:val="none" w:sz="0" w:space="0" w:color="auto"/>
                        <w:bottom w:val="none" w:sz="0" w:space="0" w:color="auto"/>
                        <w:right w:val="none" w:sz="0" w:space="0" w:color="auto"/>
                      </w:divBdr>
                    </w:div>
                  </w:divsChild>
                </w:div>
                <w:div w:id="1922061035">
                  <w:marLeft w:val="0"/>
                  <w:marRight w:val="0"/>
                  <w:marTop w:val="0"/>
                  <w:marBottom w:val="0"/>
                  <w:divBdr>
                    <w:top w:val="none" w:sz="0" w:space="0" w:color="auto"/>
                    <w:left w:val="none" w:sz="0" w:space="0" w:color="auto"/>
                    <w:bottom w:val="none" w:sz="0" w:space="0" w:color="auto"/>
                    <w:right w:val="none" w:sz="0" w:space="0" w:color="auto"/>
                  </w:divBdr>
                  <w:divsChild>
                    <w:div w:id="500200269">
                      <w:marLeft w:val="0"/>
                      <w:marRight w:val="0"/>
                      <w:marTop w:val="0"/>
                      <w:marBottom w:val="0"/>
                      <w:divBdr>
                        <w:top w:val="none" w:sz="0" w:space="0" w:color="auto"/>
                        <w:left w:val="none" w:sz="0" w:space="0" w:color="auto"/>
                        <w:bottom w:val="none" w:sz="0" w:space="0" w:color="auto"/>
                        <w:right w:val="none" w:sz="0" w:space="0" w:color="auto"/>
                      </w:divBdr>
                    </w:div>
                  </w:divsChild>
                </w:div>
                <w:div w:id="2046564352">
                  <w:marLeft w:val="0"/>
                  <w:marRight w:val="0"/>
                  <w:marTop w:val="0"/>
                  <w:marBottom w:val="0"/>
                  <w:divBdr>
                    <w:top w:val="none" w:sz="0" w:space="0" w:color="auto"/>
                    <w:left w:val="none" w:sz="0" w:space="0" w:color="auto"/>
                    <w:bottom w:val="none" w:sz="0" w:space="0" w:color="auto"/>
                    <w:right w:val="none" w:sz="0" w:space="0" w:color="auto"/>
                  </w:divBdr>
                  <w:divsChild>
                    <w:div w:id="770246066">
                      <w:marLeft w:val="0"/>
                      <w:marRight w:val="0"/>
                      <w:marTop w:val="0"/>
                      <w:marBottom w:val="0"/>
                      <w:divBdr>
                        <w:top w:val="none" w:sz="0" w:space="0" w:color="auto"/>
                        <w:left w:val="none" w:sz="0" w:space="0" w:color="auto"/>
                        <w:bottom w:val="none" w:sz="0" w:space="0" w:color="auto"/>
                        <w:right w:val="none" w:sz="0" w:space="0" w:color="auto"/>
                      </w:divBdr>
                    </w:div>
                  </w:divsChild>
                </w:div>
                <w:div w:id="2077967613">
                  <w:marLeft w:val="0"/>
                  <w:marRight w:val="0"/>
                  <w:marTop w:val="0"/>
                  <w:marBottom w:val="0"/>
                  <w:divBdr>
                    <w:top w:val="none" w:sz="0" w:space="0" w:color="auto"/>
                    <w:left w:val="none" w:sz="0" w:space="0" w:color="auto"/>
                    <w:bottom w:val="none" w:sz="0" w:space="0" w:color="auto"/>
                    <w:right w:val="none" w:sz="0" w:space="0" w:color="auto"/>
                  </w:divBdr>
                  <w:divsChild>
                    <w:div w:id="19156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79516">
          <w:marLeft w:val="0"/>
          <w:marRight w:val="0"/>
          <w:marTop w:val="0"/>
          <w:marBottom w:val="0"/>
          <w:divBdr>
            <w:top w:val="none" w:sz="0" w:space="0" w:color="auto"/>
            <w:left w:val="none" w:sz="0" w:space="0" w:color="auto"/>
            <w:bottom w:val="none" w:sz="0" w:space="0" w:color="auto"/>
            <w:right w:val="none" w:sz="0" w:space="0" w:color="auto"/>
          </w:divBdr>
        </w:div>
        <w:div w:id="1751731099">
          <w:marLeft w:val="0"/>
          <w:marRight w:val="0"/>
          <w:marTop w:val="0"/>
          <w:marBottom w:val="0"/>
          <w:divBdr>
            <w:top w:val="none" w:sz="0" w:space="0" w:color="auto"/>
            <w:left w:val="none" w:sz="0" w:space="0" w:color="auto"/>
            <w:bottom w:val="none" w:sz="0" w:space="0" w:color="auto"/>
            <w:right w:val="none" w:sz="0" w:space="0" w:color="auto"/>
          </w:divBdr>
        </w:div>
        <w:div w:id="1825975549">
          <w:marLeft w:val="0"/>
          <w:marRight w:val="0"/>
          <w:marTop w:val="0"/>
          <w:marBottom w:val="0"/>
          <w:divBdr>
            <w:top w:val="none" w:sz="0" w:space="0" w:color="auto"/>
            <w:left w:val="none" w:sz="0" w:space="0" w:color="auto"/>
            <w:bottom w:val="none" w:sz="0" w:space="0" w:color="auto"/>
            <w:right w:val="none" w:sz="0" w:space="0" w:color="auto"/>
          </w:divBdr>
        </w:div>
        <w:div w:id="1859002170">
          <w:marLeft w:val="0"/>
          <w:marRight w:val="0"/>
          <w:marTop w:val="0"/>
          <w:marBottom w:val="0"/>
          <w:divBdr>
            <w:top w:val="none" w:sz="0" w:space="0" w:color="auto"/>
            <w:left w:val="none" w:sz="0" w:space="0" w:color="auto"/>
            <w:bottom w:val="none" w:sz="0" w:space="0" w:color="auto"/>
            <w:right w:val="none" w:sz="0" w:space="0" w:color="auto"/>
          </w:divBdr>
        </w:div>
        <w:div w:id="1903905740">
          <w:marLeft w:val="0"/>
          <w:marRight w:val="0"/>
          <w:marTop w:val="0"/>
          <w:marBottom w:val="0"/>
          <w:divBdr>
            <w:top w:val="none" w:sz="0" w:space="0" w:color="auto"/>
            <w:left w:val="none" w:sz="0" w:space="0" w:color="auto"/>
            <w:bottom w:val="none" w:sz="0" w:space="0" w:color="auto"/>
            <w:right w:val="none" w:sz="0" w:space="0" w:color="auto"/>
          </w:divBdr>
        </w:div>
        <w:div w:id="2036541467">
          <w:marLeft w:val="0"/>
          <w:marRight w:val="0"/>
          <w:marTop w:val="0"/>
          <w:marBottom w:val="0"/>
          <w:divBdr>
            <w:top w:val="none" w:sz="0" w:space="0" w:color="auto"/>
            <w:left w:val="none" w:sz="0" w:space="0" w:color="auto"/>
            <w:bottom w:val="none" w:sz="0" w:space="0" w:color="auto"/>
            <w:right w:val="none" w:sz="0" w:space="0" w:color="auto"/>
          </w:divBdr>
        </w:div>
        <w:div w:id="2091729603">
          <w:marLeft w:val="0"/>
          <w:marRight w:val="0"/>
          <w:marTop w:val="0"/>
          <w:marBottom w:val="0"/>
          <w:divBdr>
            <w:top w:val="none" w:sz="0" w:space="0" w:color="auto"/>
            <w:left w:val="none" w:sz="0" w:space="0" w:color="auto"/>
            <w:bottom w:val="none" w:sz="0" w:space="0" w:color="auto"/>
            <w:right w:val="none" w:sz="0" w:space="0" w:color="auto"/>
          </w:divBdr>
        </w:div>
      </w:divsChild>
    </w:div>
    <w:div w:id="1238595525">
      <w:bodyDiv w:val="1"/>
      <w:marLeft w:val="0"/>
      <w:marRight w:val="0"/>
      <w:marTop w:val="0"/>
      <w:marBottom w:val="0"/>
      <w:divBdr>
        <w:top w:val="none" w:sz="0" w:space="0" w:color="auto"/>
        <w:left w:val="none" w:sz="0" w:space="0" w:color="auto"/>
        <w:bottom w:val="none" w:sz="0" w:space="0" w:color="auto"/>
        <w:right w:val="none" w:sz="0" w:space="0" w:color="auto"/>
      </w:divBdr>
      <w:divsChild>
        <w:div w:id="438643609">
          <w:marLeft w:val="0"/>
          <w:marRight w:val="0"/>
          <w:marTop w:val="0"/>
          <w:marBottom w:val="0"/>
          <w:divBdr>
            <w:top w:val="none" w:sz="0" w:space="0" w:color="auto"/>
            <w:left w:val="none" w:sz="0" w:space="0" w:color="auto"/>
            <w:bottom w:val="none" w:sz="0" w:space="0" w:color="auto"/>
            <w:right w:val="none" w:sz="0" w:space="0" w:color="auto"/>
          </w:divBdr>
          <w:divsChild>
            <w:div w:id="322438394">
              <w:marLeft w:val="0"/>
              <w:marRight w:val="0"/>
              <w:marTop w:val="0"/>
              <w:marBottom w:val="0"/>
              <w:divBdr>
                <w:top w:val="none" w:sz="0" w:space="0" w:color="auto"/>
                <w:left w:val="none" w:sz="0" w:space="0" w:color="auto"/>
                <w:bottom w:val="none" w:sz="0" w:space="0" w:color="auto"/>
                <w:right w:val="none" w:sz="0" w:space="0" w:color="auto"/>
              </w:divBdr>
            </w:div>
            <w:div w:id="448861254">
              <w:marLeft w:val="0"/>
              <w:marRight w:val="0"/>
              <w:marTop w:val="0"/>
              <w:marBottom w:val="0"/>
              <w:divBdr>
                <w:top w:val="none" w:sz="0" w:space="0" w:color="auto"/>
                <w:left w:val="none" w:sz="0" w:space="0" w:color="auto"/>
                <w:bottom w:val="none" w:sz="0" w:space="0" w:color="auto"/>
                <w:right w:val="none" w:sz="0" w:space="0" w:color="auto"/>
              </w:divBdr>
            </w:div>
            <w:div w:id="596907384">
              <w:marLeft w:val="0"/>
              <w:marRight w:val="0"/>
              <w:marTop w:val="0"/>
              <w:marBottom w:val="0"/>
              <w:divBdr>
                <w:top w:val="none" w:sz="0" w:space="0" w:color="auto"/>
                <w:left w:val="none" w:sz="0" w:space="0" w:color="auto"/>
                <w:bottom w:val="none" w:sz="0" w:space="0" w:color="auto"/>
                <w:right w:val="none" w:sz="0" w:space="0" w:color="auto"/>
              </w:divBdr>
            </w:div>
            <w:div w:id="646544828">
              <w:marLeft w:val="0"/>
              <w:marRight w:val="0"/>
              <w:marTop w:val="0"/>
              <w:marBottom w:val="0"/>
              <w:divBdr>
                <w:top w:val="none" w:sz="0" w:space="0" w:color="auto"/>
                <w:left w:val="none" w:sz="0" w:space="0" w:color="auto"/>
                <w:bottom w:val="none" w:sz="0" w:space="0" w:color="auto"/>
                <w:right w:val="none" w:sz="0" w:space="0" w:color="auto"/>
              </w:divBdr>
            </w:div>
            <w:div w:id="764303210">
              <w:marLeft w:val="0"/>
              <w:marRight w:val="0"/>
              <w:marTop w:val="0"/>
              <w:marBottom w:val="0"/>
              <w:divBdr>
                <w:top w:val="none" w:sz="0" w:space="0" w:color="auto"/>
                <w:left w:val="none" w:sz="0" w:space="0" w:color="auto"/>
                <w:bottom w:val="none" w:sz="0" w:space="0" w:color="auto"/>
                <w:right w:val="none" w:sz="0" w:space="0" w:color="auto"/>
              </w:divBdr>
            </w:div>
            <w:div w:id="947350670">
              <w:marLeft w:val="0"/>
              <w:marRight w:val="0"/>
              <w:marTop w:val="0"/>
              <w:marBottom w:val="0"/>
              <w:divBdr>
                <w:top w:val="none" w:sz="0" w:space="0" w:color="auto"/>
                <w:left w:val="none" w:sz="0" w:space="0" w:color="auto"/>
                <w:bottom w:val="none" w:sz="0" w:space="0" w:color="auto"/>
                <w:right w:val="none" w:sz="0" w:space="0" w:color="auto"/>
              </w:divBdr>
            </w:div>
            <w:div w:id="1012418815">
              <w:marLeft w:val="0"/>
              <w:marRight w:val="0"/>
              <w:marTop w:val="0"/>
              <w:marBottom w:val="0"/>
              <w:divBdr>
                <w:top w:val="none" w:sz="0" w:space="0" w:color="auto"/>
                <w:left w:val="none" w:sz="0" w:space="0" w:color="auto"/>
                <w:bottom w:val="none" w:sz="0" w:space="0" w:color="auto"/>
                <w:right w:val="none" w:sz="0" w:space="0" w:color="auto"/>
              </w:divBdr>
            </w:div>
            <w:div w:id="1386181752">
              <w:marLeft w:val="0"/>
              <w:marRight w:val="0"/>
              <w:marTop w:val="0"/>
              <w:marBottom w:val="0"/>
              <w:divBdr>
                <w:top w:val="none" w:sz="0" w:space="0" w:color="auto"/>
                <w:left w:val="none" w:sz="0" w:space="0" w:color="auto"/>
                <w:bottom w:val="none" w:sz="0" w:space="0" w:color="auto"/>
                <w:right w:val="none" w:sz="0" w:space="0" w:color="auto"/>
              </w:divBdr>
            </w:div>
            <w:div w:id="1496261856">
              <w:marLeft w:val="0"/>
              <w:marRight w:val="0"/>
              <w:marTop w:val="0"/>
              <w:marBottom w:val="0"/>
              <w:divBdr>
                <w:top w:val="none" w:sz="0" w:space="0" w:color="auto"/>
                <w:left w:val="none" w:sz="0" w:space="0" w:color="auto"/>
                <w:bottom w:val="none" w:sz="0" w:space="0" w:color="auto"/>
                <w:right w:val="none" w:sz="0" w:space="0" w:color="auto"/>
              </w:divBdr>
            </w:div>
            <w:div w:id="1629162013">
              <w:marLeft w:val="0"/>
              <w:marRight w:val="0"/>
              <w:marTop w:val="0"/>
              <w:marBottom w:val="0"/>
              <w:divBdr>
                <w:top w:val="none" w:sz="0" w:space="0" w:color="auto"/>
                <w:left w:val="none" w:sz="0" w:space="0" w:color="auto"/>
                <w:bottom w:val="none" w:sz="0" w:space="0" w:color="auto"/>
                <w:right w:val="none" w:sz="0" w:space="0" w:color="auto"/>
              </w:divBdr>
            </w:div>
            <w:div w:id="1683626117">
              <w:marLeft w:val="0"/>
              <w:marRight w:val="0"/>
              <w:marTop w:val="0"/>
              <w:marBottom w:val="0"/>
              <w:divBdr>
                <w:top w:val="none" w:sz="0" w:space="0" w:color="auto"/>
                <w:left w:val="none" w:sz="0" w:space="0" w:color="auto"/>
                <w:bottom w:val="none" w:sz="0" w:space="0" w:color="auto"/>
                <w:right w:val="none" w:sz="0" w:space="0" w:color="auto"/>
              </w:divBdr>
            </w:div>
            <w:div w:id="1744138215">
              <w:marLeft w:val="0"/>
              <w:marRight w:val="0"/>
              <w:marTop w:val="0"/>
              <w:marBottom w:val="0"/>
              <w:divBdr>
                <w:top w:val="none" w:sz="0" w:space="0" w:color="auto"/>
                <w:left w:val="none" w:sz="0" w:space="0" w:color="auto"/>
                <w:bottom w:val="none" w:sz="0" w:space="0" w:color="auto"/>
                <w:right w:val="none" w:sz="0" w:space="0" w:color="auto"/>
              </w:divBdr>
            </w:div>
            <w:div w:id="1769159223">
              <w:marLeft w:val="0"/>
              <w:marRight w:val="0"/>
              <w:marTop w:val="0"/>
              <w:marBottom w:val="0"/>
              <w:divBdr>
                <w:top w:val="none" w:sz="0" w:space="0" w:color="auto"/>
                <w:left w:val="none" w:sz="0" w:space="0" w:color="auto"/>
                <w:bottom w:val="none" w:sz="0" w:space="0" w:color="auto"/>
                <w:right w:val="none" w:sz="0" w:space="0" w:color="auto"/>
              </w:divBdr>
            </w:div>
            <w:div w:id="1832134733">
              <w:marLeft w:val="0"/>
              <w:marRight w:val="0"/>
              <w:marTop w:val="0"/>
              <w:marBottom w:val="0"/>
              <w:divBdr>
                <w:top w:val="none" w:sz="0" w:space="0" w:color="auto"/>
                <w:left w:val="none" w:sz="0" w:space="0" w:color="auto"/>
                <w:bottom w:val="none" w:sz="0" w:space="0" w:color="auto"/>
                <w:right w:val="none" w:sz="0" w:space="0" w:color="auto"/>
              </w:divBdr>
            </w:div>
            <w:div w:id="1843279882">
              <w:marLeft w:val="0"/>
              <w:marRight w:val="0"/>
              <w:marTop w:val="0"/>
              <w:marBottom w:val="0"/>
              <w:divBdr>
                <w:top w:val="none" w:sz="0" w:space="0" w:color="auto"/>
                <w:left w:val="none" w:sz="0" w:space="0" w:color="auto"/>
                <w:bottom w:val="none" w:sz="0" w:space="0" w:color="auto"/>
                <w:right w:val="none" w:sz="0" w:space="0" w:color="auto"/>
              </w:divBdr>
            </w:div>
            <w:div w:id="1859460591">
              <w:marLeft w:val="0"/>
              <w:marRight w:val="0"/>
              <w:marTop w:val="0"/>
              <w:marBottom w:val="0"/>
              <w:divBdr>
                <w:top w:val="none" w:sz="0" w:space="0" w:color="auto"/>
                <w:left w:val="none" w:sz="0" w:space="0" w:color="auto"/>
                <w:bottom w:val="none" w:sz="0" w:space="0" w:color="auto"/>
                <w:right w:val="none" w:sz="0" w:space="0" w:color="auto"/>
              </w:divBdr>
            </w:div>
            <w:div w:id="1931430750">
              <w:marLeft w:val="0"/>
              <w:marRight w:val="0"/>
              <w:marTop w:val="0"/>
              <w:marBottom w:val="0"/>
              <w:divBdr>
                <w:top w:val="none" w:sz="0" w:space="0" w:color="auto"/>
                <w:left w:val="none" w:sz="0" w:space="0" w:color="auto"/>
                <w:bottom w:val="none" w:sz="0" w:space="0" w:color="auto"/>
                <w:right w:val="none" w:sz="0" w:space="0" w:color="auto"/>
              </w:divBdr>
            </w:div>
            <w:div w:id="1966110109">
              <w:marLeft w:val="0"/>
              <w:marRight w:val="0"/>
              <w:marTop w:val="0"/>
              <w:marBottom w:val="0"/>
              <w:divBdr>
                <w:top w:val="none" w:sz="0" w:space="0" w:color="auto"/>
                <w:left w:val="none" w:sz="0" w:space="0" w:color="auto"/>
                <w:bottom w:val="none" w:sz="0" w:space="0" w:color="auto"/>
                <w:right w:val="none" w:sz="0" w:space="0" w:color="auto"/>
              </w:divBdr>
            </w:div>
            <w:div w:id="2024897215">
              <w:marLeft w:val="0"/>
              <w:marRight w:val="0"/>
              <w:marTop w:val="0"/>
              <w:marBottom w:val="0"/>
              <w:divBdr>
                <w:top w:val="none" w:sz="0" w:space="0" w:color="auto"/>
                <w:left w:val="none" w:sz="0" w:space="0" w:color="auto"/>
                <w:bottom w:val="none" w:sz="0" w:space="0" w:color="auto"/>
                <w:right w:val="none" w:sz="0" w:space="0" w:color="auto"/>
              </w:divBdr>
            </w:div>
            <w:div w:id="2132017802">
              <w:marLeft w:val="0"/>
              <w:marRight w:val="0"/>
              <w:marTop w:val="0"/>
              <w:marBottom w:val="0"/>
              <w:divBdr>
                <w:top w:val="none" w:sz="0" w:space="0" w:color="auto"/>
                <w:left w:val="none" w:sz="0" w:space="0" w:color="auto"/>
                <w:bottom w:val="none" w:sz="0" w:space="0" w:color="auto"/>
                <w:right w:val="none" w:sz="0" w:space="0" w:color="auto"/>
              </w:divBdr>
            </w:div>
          </w:divsChild>
        </w:div>
        <w:div w:id="1779566204">
          <w:marLeft w:val="0"/>
          <w:marRight w:val="0"/>
          <w:marTop w:val="0"/>
          <w:marBottom w:val="0"/>
          <w:divBdr>
            <w:top w:val="none" w:sz="0" w:space="0" w:color="auto"/>
            <w:left w:val="none" w:sz="0" w:space="0" w:color="auto"/>
            <w:bottom w:val="none" w:sz="0" w:space="0" w:color="auto"/>
            <w:right w:val="none" w:sz="0" w:space="0" w:color="auto"/>
          </w:divBdr>
          <w:divsChild>
            <w:div w:id="59835814">
              <w:marLeft w:val="0"/>
              <w:marRight w:val="0"/>
              <w:marTop w:val="0"/>
              <w:marBottom w:val="0"/>
              <w:divBdr>
                <w:top w:val="none" w:sz="0" w:space="0" w:color="auto"/>
                <w:left w:val="none" w:sz="0" w:space="0" w:color="auto"/>
                <w:bottom w:val="none" w:sz="0" w:space="0" w:color="auto"/>
                <w:right w:val="none" w:sz="0" w:space="0" w:color="auto"/>
              </w:divBdr>
            </w:div>
            <w:div w:id="565143101">
              <w:marLeft w:val="0"/>
              <w:marRight w:val="0"/>
              <w:marTop w:val="0"/>
              <w:marBottom w:val="0"/>
              <w:divBdr>
                <w:top w:val="none" w:sz="0" w:space="0" w:color="auto"/>
                <w:left w:val="none" w:sz="0" w:space="0" w:color="auto"/>
                <w:bottom w:val="none" w:sz="0" w:space="0" w:color="auto"/>
                <w:right w:val="none" w:sz="0" w:space="0" w:color="auto"/>
              </w:divBdr>
            </w:div>
            <w:div w:id="683944583">
              <w:marLeft w:val="0"/>
              <w:marRight w:val="0"/>
              <w:marTop w:val="0"/>
              <w:marBottom w:val="0"/>
              <w:divBdr>
                <w:top w:val="none" w:sz="0" w:space="0" w:color="auto"/>
                <w:left w:val="none" w:sz="0" w:space="0" w:color="auto"/>
                <w:bottom w:val="none" w:sz="0" w:space="0" w:color="auto"/>
                <w:right w:val="none" w:sz="0" w:space="0" w:color="auto"/>
              </w:divBdr>
            </w:div>
            <w:div w:id="964965025">
              <w:marLeft w:val="0"/>
              <w:marRight w:val="0"/>
              <w:marTop w:val="0"/>
              <w:marBottom w:val="0"/>
              <w:divBdr>
                <w:top w:val="none" w:sz="0" w:space="0" w:color="auto"/>
                <w:left w:val="none" w:sz="0" w:space="0" w:color="auto"/>
                <w:bottom w:val="none" w:sz="0" w:space="0" w:color="auto"/>
                <w:right w:val="none" w:sz="0" w:space="0" w:color="auto"/>
              </w:divBdr>
            </w:div>
            <w:div w:id="1182548145">
              <w:marLeft w:val="0"/>
              <w:marRight w:val="0"/>
              <w:marTop w:val="0"/>
              <w:marBottom w:val="0"/>
              <w:divBdr>
                <w:top w:val="none" w:sz="0" w:space="0" w:color="auto"/>
                <w:left w:val="none" w:sz="0" w:space="0" w:color="auto"/>
                <w:bottom w:val="none" w:sz="0" w:space="0" w:color="auto"/>
                <w:right w:val="none" w:sz="0" w:space="0" w:color="auto"/>
              </w:divBdr>
            </w:div>
            <w:div w:id="1584292547">
              <w:marLeft w:val="0"/>
              <w:marRight w:val="0"/>
              <w:marTop w:val="0"/>
              <w:marBottom w:val="0"/>
              <w:divBdr>
                <w:top w:val="none" w:sz="0" w:space="0" w:color="auto"/>
                <w:left w:val="none" w:sz="0" w:space="0" w:color="auto"/>
                <w:bottom w:val="none" w:sz="0" w:space="0" w:color="auto"/>
                <w:right w:val="none" w:sz="0" w:space="0" w:color="auto"/>
              </w:divBdr>
            </w:div>
            <w:div w:id="1617979148">
              <w:marLeft w:val="0"/>
              <w:marRight w:val="0"/>
              <w:marTop w:val="0"/>
              <w:marBottom w:val="0"/>
              <w:divBdr>
                <w:top w:val="none" w:sz="0" w:space="0" w:color="auto"/>
                <w:left w:val="none" w:sz="0" w:space="0" w:color="auto"/>
                <w:bottom w:val="none" w:sz="0" w:space="0" w:color="auto"/>
                <w:right w:val="none" w:sz="0" w:space="0" w:color="auto"/>
              </w:divBdr>
            </w:div>
            <w:div w:id="1675835640">
              <w:marLeft w:val="0"/>
              <w:marRight w:val="0"/>
              <w:marTop w:val="0"/>
              <w:marBottom w:val="0"/>
              <w:divBdr>
                <w:top w:val="none" w:sz="0" w:space="0" w:color="auto"/>
                <w:left w:val="none" w:sz="0" w:space="0" w:color="auto"/>
                <w:bottom w:val="none" w:sz="0" w:space="0" w:color="auto"/>
                <w:right w:val="none" w:sz="0" w:space="0" w:color="auto"/>
              </w:divBdr>
            </w:div>
            <w:div w:id="1736704867">
              <w:marLeft w:val="0"/>
              <w:marRight w:val="0"/>
              <w:marTop w:val="0"/>
              <w:marBottom w:val="0"/>
              <w:divBdr>
                <w:top w:val="none" w:sz="0" w:space="0" w:color="auto"/>
                <w:left w:val="none" w:sz="0" w:space="0" w:color="auto"/>
                <w:bottom w:val="none" w:sz="0" w:space="0" w:color="auto"/>
                <w:right w:val="none" w:sz="0" w:space="0" w:color="auto"/>
              </w:divBdr>
            </w:div>
            <w:div w:id="1796634381">
              <w:marLeft w:val="0"/>
              <w:marRight w:val="0"/>
              <w:marTop w:val="0"/>
              <w:marBottom w:val="0"/>
              <w:divBdr>
                <w:top w:val="none" w:sz="0" w:space="0" w:color="auto"/>
                <w:left w:val="none" w:sz="0" w:space="0" w:color="auto"/>
                <w:bottom w:val="none" w:sz="0" w:space="0" w:color="auto"/>
                <w:right w:val="none" w:sz="0" w:space="0" w:color="auto"/>
              </w:divBdr>
            </w:div>
            <w:div w:id="18208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08470">
      <w:bodyDiv w:val="1"/>
      <w:marLeft w:val="0"/>
      <w:marRight w:val="0"/>
      <w:marTop w:val="0"/>
      <w:marBottom w:val="0"/>
      <w:divBdr>
        <w:top w:val="none" w:sz="0" w:space="0" w:color="auto"/>
        <w:left w:val="none" w:sz="0" w:space="0" w:color="auto"/>
        <w:bottom w:val="none" w:sz="0" w:space="0" w:color="auto"/>
        <w:right w:val="none" w:sz="0" w:space="0" w:color="auto"/>
      </w:divBdr>
      <w:divsChild>
        <w:div w:id="15036395">
          <w:marLeft w:val="0"/>
          <w:marRight w:val="0"/>
          <w:marTop w:val="0"/>
          <w:marBottom w:val="0"/>
          <w:divBdr>
            <w:top w:val="none" w:sz="0" w:space="0" w:color="auto"/>
            <w:left w:val="none" w:sz="0" w:space="0" w:color="auto"/>
            <w:bottom w:val="none" w:sz="0" w:space="0" w:color="auto"/>
            <w:right w:val="none" w:sz="0" w:space="0" w:color="auto"/>
          </w:divBdr>
        </w:div>
        <w:div w:id="73211222">
          <w:marLeft w:val="0"/>
          <w:marRight w:val="0"/>
          <w:marTop w:val="0"/>
          <w:marBottom w:val="0"/>
          <w:divBdr>
            <w:top w:val="none" w:sz="0" w:space="0" w:color="auto"/>
            <w:left w:val="none" w:sz="0" w:space="0" w:color="auto"/>
            <w:bottom w:val="none" w:sz="0" w:space="0" w:color="auto"/>
            <w:right w:val="none" w:sz="0" w:space="0" w:color="auto"/>
          </w:divBdr>
        </w:div>
        <w:div w:id="110518819">
          <w:marLeft w:val="0"/>
          <w:marRight w:val="0"/>
          <w:marTop w:val="0"/>
          <w:marBottom w:val="0"/>
          <w:divBdr>
            <w:top w:val="none" w:sz="0" w:space="0" w:color="auto"/>
            <w:left w:val="none" w:sz="0" w:space="0" w:color="auto"/>
            <w:bottom w:val="none" w:sz="0" w:space="0" w:color="auto"/>
            <w:right w:val="none" w:sz="0" w:space="0" w:color="auto"/>
          </w:divBdr>
        </w:div>
        <w:div w:id="217204435">
          <w:marLeft w:val="0"/>
          <w:marRight w:val="0"/>
          <w:marTop w:val="0"/>
          <w:marBottom w:val="0"/>
          <w:divBdr>
            <w:top w:val="none" w:sz="0" w:space="0" w:color="auto"/>
            <w:left w:val="none" w:sz="0" w:space="0" w:color="auto"/>
            <w:bottom w:val="none" w:sz="0" w:space="0" w:color="auto"/>
            <w:right w:val="none" w:sz="0" w:space="0" w:color="auto"/>
          </w:divBdr>
        </w:div>
        <w:div w:id="248657389">
          <w:marLeft w:val="0"/>
          <w:marRight w:val="0"/>
          <w:marTop w:val="0"/>
          <w:marBottom w:val="0"/>
          <w:divBdr>
            <w:top w:val="none" w:sz="0" w:space="0" w:color="auto"/>
            <w:left w:val="none" w:sz="0" w:space="0" w:color="auto"/>
            <w:bottom w:val="none" w:sz="0" w:space="0" w:color="auto"/>
            <w:right w:val="none" w:sz="0" w:space="0" w:color="auto"/>
          </w:divBdr>
        </w:div>
        <w:div w:id="399788920">
          <w:marLeft w:val="0"/>
          <w:marRight w:val="0"/>
          <w:marTop w:val="0"/>
          <w:marBottom w:val="0"/>
          <w:divBdr>
            <w:top w:val="none" w:sz="0" w:space="0" w:color="auto"/>
            <w:left w:val="none" w:sz="0" w:space="0" w:color="auto"/>
            <w:bottom w:val="none" w:sz="0" w:space="0" w:color="auto"/>
            <w:right w:val="none" w:sz="0" w:space="0" w:color="auto"/>
          </w:divBdr>
        </w:div>
        <w:div w:id="529998166">
          <w:marLeft w:val="0"/>
          <w:marRight w:val="0"/>
          <w:marTop w:val="0"/>
          <w:marBottom w:val="0"/>
          <w:divBdr>
            <w:top w:val="none" w:sz="0" w:space="0" w:color="auto"/>
            <w:left w:val="none" w:sz="0" w:space="0" w:color="auto"/>
            <w:bottom w:val="none" w:sz="0" w:space="0" w:color="auto"/>
            <w:right w:val="none" w:sz="0" w:space="0" w:color="auto"/>
          </w:divBdr>
          <w:divsChild>
            <w:div w:id="1966932869">
              <w:marLeft w:val="-75"/>
              <w:marRight w:val="0"/>
              <w:marTop w:val="30"/>
              <w:marBottom w:val="30"/>
              <w:divBdr>
                <w:top w:val="none" w:sz="0" w:space="0" w:color="auto"/>
                <w:left w:val="none" w:sz="0" w:space="0" w:color="auto"/>
                <w:bottom w:val="none" w:sz="0" w:space="0" w:color="auto"/>
                <w:right w:val="none" w:sz="0" w:space="0" w:color="auto"/>
              </w:divBdr>
              <w:divsChild>
                <w:div w:id="38289861">
                  <w:marLeft w:val="0"/>
                  <w:marRight w:val="0"/>
                  <w:marTop w:val="0"/>
                  <w:marBottom w:val="0"/>
                  <w:divBdr>
                    <w:top w:val="none" w:sz="0" w:space="0" w:color="auto"/>
                    <w:left w:val="none" w:sz="0" w:space="0" w:color="auto"/>
                    <w:bottom w:val="none" w:sz="0" w:space="0" w:color="auto"/>
                    <w:right w:val="none" w:sz="0" w:space="0" w:color="auto"/>
                  </w:divBdr>
                  <w:divsChild>
                    <w:div w:id="1893498492">
                      <w:marLeft w:val="0"/>
                      <w:marRight w:val="0"/>
                      <w:marTop w:val="0"/>
                      <w:marBottom w:val="0"/>
                      <w:divBdr>
                        <w:top w:val="none" w:sz="0" w:space="0" w:color="auto"/>
                        <w:left w:val="none" w:sz="0" w:space="0" w:color="auto"/>
                        <w:bottom w:val="none" w:sz="0" w:space="0" w:color="auto"/>
                        <w:right w:val="none" w:sz="0" w:space="0" w:color="auto"/>
                      </w:divBdr>
                    </w:div>
                  </w:divsChild>
                </w:div>
                <w:div w:id="74786439">
                  <w:marLeft w:val="0"/>
                  <w:marRight w:val="0"/>
                  <w:marTop w:val="0"/>
                  <w:marBottom w:val="0"/>
                  <w:divBdr>
                    <w:top w:val="none" w:sz="0" w:space="0" w:color="auto"/>
                    <w:left w:val="none" w:sz="0" w:space="0" w:color="auto"/>
                    <w:bottom w:val="none" w:sz="0" w:space="0" w:color="auto"/>
                    <w:right w:val="none" w:sz="0" w:space="0" w:color="auto"/>
                  </w:divBdr>
                  <w:divsChild>
                    <w:div w:id="1132673308">
                      <w:marLeft w:val="0"/>
                      <w:marRight w:val="0"/>
                      <w:marTop w:val="0"/>
                      <w:marBottom w:val="0"/>
                      <w:divBdr>
                        <w:top w:val="none" w:sz="0" w:space="0" w:color="auto"/>
                        <w:left w:val="none" w:sz="0" w:space="0" w:color="auto"/>
                        <w:bottom w:val="none" w:sz="0" w:space="0" w:color="auto"/>
                        <w:right w:val="none" w:sz="0" w:space="0" w:color="auto"/>
                      </w:divBdr>
                    </w:div>
                  </w:divsChild>
                </w:div>
                <w:div w:id="94138682">
                  <w:marLeft w:val="0"/>
                  <w:marRight w:val="0"/>
                  <w:marTop w:val="0"/>
                  <w:marBottom w:val="0"/>
                  <w:divBdr>
                    <w:top w:val="none" w:sz="0" w:space="0" w:color="auto"/>
                    <w:left w:val="none" w:sz="0" w:space="0" w:color="auto"/>
                    <w:bottom w:val="none" w:sz="0" w:space="0" w:color="auto"/>
                    <w:right w:val="none" w:sz="0" w:space="0" w:color="auto"/>
                  </w:divBdr>
                  <w:divsChild>
                    <w:div w:id="1815099930">
                      <w:marLeft w:val="0"/>
                      <w:marRight w:val="0"/>
                      <w:marTop w:val="0"/>
                      <w:marBottom w:val="0"/>
                      <w:divBdr>
                        <w:top w:val="none" w:sz="0" w:space="0" w:color="auto"/>
                        <w:left w:val="none" w:sz="0" w:space="0" w:color="auto"/>
                        <w:bottom w:val="none" w:sz="0" w:space="0" w:color="auto"/>
                        <w:right w:val="none" w:sz="0" w:space="0" w:color="auto"/>
                      </w:divBdr>
                    </w:div>
                  </w:divsChild>
                </w:div>
                <w:div w:id="155876831">
                  <w:marLeft w:val="0"/>
                  <w:marRight w:val="0"/>
                  <w:marTop w:val="0"/>
                  <w:marBottom w:val="0"/>
                  <w:divBdr>
                    <w:top w:val="none" w:sz="0" w:space="0" w:color="auto"/>
                    <w:left w:val="none" w:sz="0" w:space="0" w:color="auto"/>
                    <w:bottom w:val="none" w:sz="0" w:space="0" w:color="auto"/>
                    <w:right w:val="none" w:sz="0" w:space="0" w:color="auto"/>
                  </w:divBdr>
                  <w:divsChild>
                    <w:div w:id="1837652361">
                      <w:marLeft w:val="0"/>
                      <w:marRight w:val="0"/>
                      <w:marTop w:val="0"/>
                      <w:marBottom w:val="0"/>
                      <w:divBdr>
                        <w:top w:val="none" w:sz="0" w:space="0" w:color="auto"/>
                        <w:left w:val="none" w:sz="0" w:space="0" w:color="auto"/>
                        <w:bottom w:val="none" w:sz="0" w:space="0" w:color="auto"/>
                        <w:right w:val="none" w:sz="0" w:space="0" w:color="auto"/>
                      </w:divBdr>
                    </w:div>
                  </w:divsChild>
                </w:div>
                <w:div w:id="200090541">
                  <w:marLeft w:val="0"/>
                  <w:marRight w:val="0"/>
                  <w:marTop w:val="0"/>
                  <w:marBottom w:val="0"/>
                  <w:divBdr>
                    <w:top w:val="none" w:sz="0" w:space="0" w:color="auto"/>
                    <w:left w:val="none" w:sz="0" w:space="0" w:color="auto"/>
                    <w:bottom w:val="none" w:sz="0" w:space="0" w:color="auto"/>
                    <w:right w:val="none" w:sz="0" w:space="0" w:color="auto"/>
                  </w:divBdr>
                  <w:divsChild>
                    <w:div w:id="84787">
                      <w:marLeft w:val="0"/>
                      <w:marRight w:val="0"/>
                      <w:marTop w:val="0"/>
                      <w:marBottom w:val="0"/>
                      <w:divBdr>
                        <w:top w:val="none" w:sz="0" w:space="0" w:color="auto"/>
                        <w:left w:val="none" w:sz="0" w:space="0" w:color="auto"/>
                        <w:bottom w:val="none" w:sz="0" w:space="0" w:color="auto"/>
                        <w:right w:val="none" w:sz="0" w:space="0" w:color="auto"/>
                      </w:divBdr>
                    </w:div>
                  </w:divsChild>
                </w:div>
                <w:div w:id="234895524">
                  <w:marLeft w:val="0"/>
                  <w:marRight w:val="0"/>
                  <w:marTop w:val="0"/>
                  <w:marBottom w:val="0"/>
                  <w:divBdr>
                    <w:top w:val="none" w:sz="0" w:space="0" w:color="auto"/>
                    <w:left w:val="none" w:sz="0" w:space="0" w:color="auto"/>
                    <w:bottom w:val="none" w:sz="0" w:space="0" w:color="auto"/>
                    <w:right w:val="none" w:sz="0" w:space="0" w:color="auto"/>
                  </w:divBdr>
                  <w:divsChild>
                    <w:div w:id="618727098">
                      <w:marLeft w:val="0"/>
                      <w:marRight w:val="0"/>
                      <w:marTop w:val="0"/>
                      <w:marBottom w:val="0"/>
                      <w:divBdr>
                        <w:top w:val="none" w:sz="0" w:space="0" w:color="auto"/>
                        <w:left w:val="none" w:sz="0" w:space="0" w:color="auto"/>
                        <w:bottom w:val="none" w:sz="0" w:space="0" w:color="auto"/>
                        <w:right w:val="none" w:sz="0" w:space="0" w:color="auto"/>
                      </w:divBdr>
                    </w:div>
                  </w:divsChild>
                </w:div>
                <w:div w:id="284387632">
                  <w:marLeft w:val="0"/>
                  <w:marRight w:val="0"/>
                  <w:marTop w:val="0"/>
                  <w:marBottom w:val="0"/>
                  <w:divBdr>
                    <w:top w:val="none" w:sz="0" w:space="0" w:color="auto"/>
                    <w:left w:val="none" w:sz="0" w:space="0" w:color="auto"/>
                    <w:bottom w:val="none" w:sz="0" w:space="0" w:color="auto"/>
                    <w:right w:val="none" w:sz="0" w:space="0" w:color="auto"/>
                  </w:divBdr>
                  <w:divsChild>
                    <w:div w:id="1244493175">
                      <w:marLeft w:val="0"/>
                      <w:marRight w:val="0"/>
                      <w:marTop w:val="0"/>
                      <w:marBottom w:val="0"/>
                      <w:divBdr>
                        <w:top w:val="none" w:sz="0" w:space="0" w:color="auto"/>
                        <w:left w:val="none" w:sz="0" w:space="0" w:color="auto"/>
                        <w:bottom w:val="none" w:sz="0" w:space="0" w:color="auto"/>
                        <w:right w:val="none" w:sz="0" w:space="0" w:color="auto"/>
                      </w:divBdr>
                    </w:div>
                  </w:divsChild>
                </w:div>
                <w:div w:id="428044446">
                  <w:marLeft w:val="0"/>
                  <w:marRight w:val="0"/>
                  <w:marTop w:val="0"/>
                  <w:marBottom w:val="0"/>
                  <w:divBdr>
                    <w:top w:val="none" w:sz="0" w:space="0" w:color="auto"/>
                    <w:left w:val="none" w:sz="0" w:space="0" w:color="auto"/>
                    <w:bottom w:val="none" w:sz="0" w:space="0" w:color="auto"/>
                    <w:right w:val="none" w:sz="0" w:space="0" w:color="auto"/>
                  </w:divBdr>
                  <w:divsChild>
                    <w:div w:id="2013794382">
                      <w:marLeft w:val="0"/>
                      <w:marRight w:val="0"/>
                      <w:marTop w:val="0"/>
                      <w:marBottom w:val="0"/>
                      <w:divBdr>
                        <w:top w:val="none" w:sz="0" w:space="0" w:color="auto"/>
                        <w:left w:val="none" w:sz="0" w:space="0" w:color="auto"/>
                        <w:bottom w:val="none" w:sz="0" w:space="0" w:color="auto"/>
                        <w:right w:val="none" w:sz="0" w:space="0" w:color="auto"/>
                      </w:divBdr>
                    </w:div>
                  </w:divsChild>
                </w:div>
                <w:div w:id="528030831">
                  <w:marLeft w:val="0"/>
                  <w:marRight w:val="0"/>
                  <w:marTop w:val="0"/>
                  <w:marBottom w:val="0"/>
                  <w:divBdr>
                    <w:top w:val="none" w:sz="0" w:space="0" w:color="auto"/>
                    <w:left w:val="none" w:sz="0" w:space="0" w:color="auto"/>
                    <w:bottom w:val="none" w:sz="0" w:space="0" w:color="auto"/>
                    <w:right w:val="none" w:sz="0" w:space="0" w:color="auto"/>
                  </w:divBdr>
                  <w:divsChild>
                    <w:div w:id="1871994497">
                      <w:marLeft w:val="0"/>
                      <w:marRight w:val="0"/>
                      <w:marTop w:val="0"/>
                      <w:marBottom w:val="0"/>
                      <w:divBdr>
                        <w:top w:val="none" w:sz="0" w:space="0" w:color="auto"/>
                        <w:left w:val="none" w:sz="0" w:space="0" w:color="auto"/>
                        <w:bottom w:val="none" w:sz="0" w:space="0" w:color="auto"/>
                        <w:right w:val="none" w:sz="0" w:space="0" w:color="auto"/>
                      </w:divBdr>
                    </w:div>
                  </w:divsChild>
                </w:div>
                <w:div w:id="562764353">
                  <w:marLeft w:val="0"/>
                  <w:marRight w:val="0"/>
                  <w:marTop w:val="0"/>
                  <w:marBottom w:val="0"/>
                  <w:divBdr>
                    <w:top w:val="none" w:sz="0" w:space="0" w:color="auto"/>
                    <w:left w:val="none" w:sz="0" w:space="0" w:color="auto"/>
                    <w:bottom w:val="none" w:sz="0" w:space="0" w:color="auto"/>
                    <w:right w:val="none" w:sz="0" w:space="0" w:color="auto"/>
                  </w:divBdr>
                  <w:divsChild>
                    <w:div w:id="802817052">
                      <w:marLeft w:val="0"/>
                      <w:marRight w:val="0"/>
                      <w:marTop w:val="0"/>
                      <w:marBottom w:val="0"/>
                      <w:divBdr>
                        <w:top w:val="none" w:sz="0" w:space="0" w:color="auto"/>
                        <w:left w:val="none" w:sz="0" w:space="0" w:color="auto"/>
                        <w:bottom w:val="none" w:sz="0" w:space="0" w:color="auto"/>
                        <w:right w:val="none" w:sz="0" w:space="0" w:color="auto"/>
                      </w:divBdr>
                    </w:div>
                  </w:divsChild>
                </w:div>
                <w:div w:id="575094184">
                  <w:marLeft w:val="0"/>
                  <w:marRight w:val="0"/>
                  <w:marTop w:val="0"/>
                  <w:marBottom w:val="0"/>
                  <w:divBdr>
                    <w:top w:val="none" w:sz="0" w:space="0" w:color="auto"/>
                    <w:left w:val="none" w:sz="0" w:space="0" w:color="auto"/>
                    <w:bottom w:val="none" w:sz="0" w:space="0" w:color="auto"/>
                    <w:right w:val="none" w:sz="0" w:space="0" w:color="auto"/>
                  </w:divBdr>
                  <w:divsChild>
                    <w:div w:id="1387996954">
                      <w:marLeft w:val="0"/>
                      <w:marRight w:val="0"/>
                      <w:marTop w:val="0"/>
                      <w:marBottom w:val="0"/>
                      <w:divBdr>
                        <w:top w:val="none" w:sz="0" w:space="0" w:color="auto"/>
                        <w:left w:val="none" w:sz="0" w:space="0" w:color="auto"/>
                        <w:bottom w:val="none" w:sz="0" w:space="0" w:color="auto"/>
                        <w:right w:val="none" w:sz="0" w:space="0" w:color="auto"/>
                      </w:divBdr>
                    </w:div>
                  </w:divsChild>
                </w:div>
                <w:div w:id="595332280">
                  <w:marLeft w:val="0"/>
                  <w:marRight w:val="0"/>
                  <w:marTop w:val="0"/>
                  <w:marBottom w:val="0"/>
                  <w:divBdr>
                    <w:top w:val="none" w:sz="0" w:space="0" w:color="auto"/>
                    <w:left w:val="none" w:sz="0" w:space="0" w:color="auto"/>
                    <w:bottom w:val="none" w:sz="0" w:space="0" w:color="auto"/>
                    <w:right w:val="none" w:sz="0" w:space="0" w:color="auto"/>
                  </w:divBdr>
                  <w:divsChild>
                    <w:div w:id="1850169131">
                      <w:marLeft w:val="0"/>
                      <w:marRight w:val="0"/>
                      <w:marTop w:val="0"/>
                      <w:marBottom w:val="0"/>
                      <w:divBdr>
                        <w:top w:val="none" w:sz="0" w:space="0" w:color="auto"/>
                        <w:left w:val="none" w:sz="0" w:space="0" w:color="auto"/>
                        <w:bottom w:val="none" w:sz="0" w:space="0" w:color="auto"/>
                        <w:right w:val="none" w:sz="0" w:space="0" w:color="auto"/>
                      </w:divBdr>
                    </w:div>
                  </w:divsChild>
                </w:div>
                <w:div w:id="659694848">
                  <w:marLeft w:val="0"/>
                  <w:marRight w:val="0"/>
                  <w:marTop w:val="0"/>
                  <w:marBottom w:val="0"/>
                  <w:divBdr>
                    <w:top w:val="none" w:sz="0" w:space="0" w:color="auto"/>
                    <w:left w:val="none" w:sz="0" w:space="0" w:color="auto"/>
                    <w:bottom w:val="none" w:sz="0" w:space="0" w:color="auto"/>
                    <w:right w:val="none" w:sz="0" w:space="0" w:color="auto"/>
                  </w:divBdr>
                  <w:divsChild>
                    <w:div w:id="39403929">
                      <w:marLeft w:val="0"/>
                      <w:marRight w:val="0"/>
                      <w:marTop w:val="0"/>
                      <w:marBottom w:val="0"/>
                      <w:divBdr>
                        <w:top w:val="none" w:sz="0" w:space="0" w:color="auto"/>
                        <w:left w:val="none" w:sz="0" w:space="0" w:color="auto"/>
                        <w:bottom w:val="none" w:sz="0" w:space="0" w:color="auto"/>
                        <w:right w:val="none" w:sz="0" w:space="0" w:color="auto"/>
                      </w:divBdr>
                    </w:div>
                  </w:divsChild>
                </w:div>
                <w:div w:id="682905108">
                  <w:marLeft w:val="0"/>
                  <w:marRight w:val="0"/>
                  <w:marTop w:val="0"/>
                  <w:marBottom w:val="0"/>
                  <w:divBdr>
                    <w:top w:val="none" w:sz="0" w:space="0" w:color="auto"/>
                    <w:left w:val="none" w:sz="0" w:space="0" w:color="auto"/>
                    <w:bottom w:val="none" w:sz="0" w:space="0" w:color="auto"/>
                    <w:right w:val="none" w:sz="0" w:space="0" w:color="auto"/>
                  </w:divBdr>
                  <w:divsChild>
                    <w:div w:id="879590236">
                      <w:marLeft w:val="0"/>
                      <w:marRight w:val="0"/>
                      <w:marTop w:val="0"/>
                      <w:marBottom w:val="0"/>
                      <w:divBdr>
                        <w:top w:val="none" w:sz="0" w:space="0" w:color="auto"/>
                        <w:left w:val="none" w:sz="0" w:space="0" w:color="auto"/>
                        <w:bottom w:val="none" w:sz="0" w:space="0" w:color="auto"/>
                        <w:right w:val="none" w:sz="0" w:space="0" w:color="auto"/>
                      </w:divBdr>
                    </w:div>
                  </w:divsChild>
                </w:div>
                <w:div w:id="688410367">
                  <w:marLeft w:val="0"/>
                  <w:marRight w:val="0"/>
                  <w:marTop w:val="0"/>
                  <w:marBottom w:val="0"/>
                  <w:divBdr>
                    <w:top w:val="none" w:sz="0" w:space="0" w:color="auto"/>
                    <w:left w:val="none" w:sz="0" w:space="0" w:color="auto"/>
                    <w:bottom w:val="none" w:sz="0" w:space="0" w:color="auto"/>
                    <w:right w:val="none" w:sz="0" w:space="0" w:color="auto"/>
                  </w:divBdr>
                  <w:divsChild>
                    <w:div w:id="1835607514">
                      <w:marLeft w:val="0"/>
                      <w:marRight w:val="0"/>
                      <w:marTop w:val="0"/>
                      <w:marBottom w:val="0"/>
                      <w:divBdr>
                        <w:top w:val="none" w:sz="0" w:space="0" w:color="auto"/>
                        <w:left w:val="none" w:sz="0" w:space="0" w:color="auto"/>
                        <w:bottom w:val="none" w:sz="0" w:space="0" w:color="auto"/>
                        <w:right w:val="none" w:sz="0" w:space="0" w:color="auto"/>
                      </w:divBdr>
                    </w:div>
                  </w:divsChild>
                </w:div>
                <w:div w:id="693531950">
                  <w:marLeft w:val="0"/>
                  <w:marRight w:val="0"/>
                  <w:marTop w:val="0"/>
                  <w:marBottom w:val="0"/>
                  <w:divBdr>
                    <w:top w:val="none" w:sz="0" w:space="0" w:color="auto"/>
                    <w:left w:val="none" w:sz="0" w:space="0" w:color="auto"/>
                    <w:bottom w:val="none" w:sz="0" w:space="0" w:color="auto"/>
                    <w:right w:val="none" w:sz="0" w:space="0" w:color="auto"/>
                  </w:divBdr>
                  <w:divsChild>
                    <w:div w:id="99424272">
                      <w:marLeft w:val="0"/>
                      <w:marRight w:val="0"/>
                      <w:marTop w:val="0"/>
                      <w:marBottom w:val="0"/>
                      <w:divBdr>
                        <w:top w:val="none" w:sz="0" w:space="0" w:color="auto"/>
                        <w:left w:val="none" w:sz="0" w:space="0" w:color="auto"/>
                        <w:bottom w:val="none" w:sz="0" w:space="0" w:color="auto"/>
                        <w:right w:val="none" w:sz="0" w:space="0" w:color="auto"/>
                      </w:divBdr>
                    </w:div>
                  </w:divsChild>
                </w:div>
                <w:div w:id="711464110">
                  <w:marLeft w:val="0"/>
                  <w:marRight w:val="0"/>
                  <w:marTop w:val="0"/>
                  <w:marBottom w:val="0"/>
                  <w:divBdr>
                    <w:top w:val="none" w:sz="0" w:space="0" w:color="auto"/>
                    <w:left w:val="none" w:sz="0" w:space="0" w:color="auto"/>
                    <w:bottom w:val="none" w:sz="0" w:space="0" w:color="auto"/>
                    <w:right w:val="none" w:sz="0" w:space="0" w:color="auto"/>
                  </w:divBdr>
                  <w:divsChild>
                    <w:div w:id="632442493">
                      <w:marLeft w:val="0"/>
                      <w:marRight w:val="0"/>
                      <w:marTop w:val="0"/>
                      <w:marBottom w:val="0"/>
                      <w:divBdr>
                        <w:top w:val="none" w:sz="0" w:space="0" w:color="auto"/>
                        <w:left w:val="none" w:sz="0" w:space="0" w:color="auto"/>
                        <w:bottom w:val="none" w:sz="0" w:space="0" w:color="auto"/>
                        <w:right w:val="none" w:sz="0" w:space="0" w:color="auto"/>
                      </w:divBdr>
                    </w:div>
                  </w:divsChild>
                </w:div>
                <w:div w:id="748187559">
                  <w:marLeft w:val="0"/>
                  <w:marRight w:val="0"/>
                  <w:marTop w:val="0"/>
                  <w:marBottom w:val="0"/>
                  <w:divBdr>
                    <w:top w:val="none" w:sz="0" w:space="0" w:color="auto"/>
                    <w:left w:val="none" w:sz="0" w:space="0" w:color="auto"/>
                    <w:bottom w:val="none" w:sz="0" w:space="0" w:color="auto"/>
                    <w:right w:val="none" w:sz="0" w:space="0" w:color="auto"/>
                  </w:divBdr>
                  <w:divsChild>
                    <w:div w:id="414742891">
                      <w:marLeft w:val="0"/>
                      <w:marRight w:val="0"/>
                      <w:marTop w:val="0"/>
                      <w:marBottom w:val="0"/>
                      <w:divBdr>
                        <w:top w:val="none" w:sz="0" w:space="0" w:color="auto"/>
                        <w:left w:val="none" w:sz="0" w:space="0" w:color="auto"/>
                        <w:bottom w:val="none" w:sz="0" w:space="0" w:color="auto"/>
                        <w:right w:val="none" w:sz="0" w:space="0" w:color="auto"/>
                      </w:divBdr>
                    </w:div>
                  </w:divsChild>
                </w:div>
                <w:div w:id="762192775">
                  <w:marLeft w:val="0"/>
                  <w:marRight w:val="0"/>
                  <w:marTop w:val="0"/>
                  <w:marBottom w:val="0"/>
                  <w:divBdr>
                    <w:top w:val="none" w:sz="0" w:space="0" w:color="auto"/>
                    <w:left w:val="none" w:sz="0" w:space="0" w:color="auto"/>
                    <w:bottom w:val="none" w:sz="0" w:space="0" w:color="auto"/>
                    <w:right w:val="none" w:sz="0" w:space="0" w:color="auto"/>
                  </w:divBdr>
                  <w:divsChild>
                    <w:div w:id="2025092352">
                      <w:marLeft w:val="0"/>
                      <w:marRight w:val="0"/>
                      <w:marTop w:val="0"/>
                      <w:marBottom w:val="0"/>
                      <w:divBdr>
                        <w:top w:val="none" w:sz="0" w:space="0" w:color="auto"/>
                        <w:left w:val="none" w:sz="0" w:space="0" w:color="auto"/>
                        <w:bottom w:val="none" w:sz="0" w:space="0" w:color="auto"/>
                        <w:right w:val="none" w:sz="0" w:space="0" w:color="auto"/>
                      </w:divBdr>
                    </w:div>
                  </w:divsChild>
                </w:div>
                <w:div w:id="862863821">
                  <w:marLeft w:val="0"/>
                  <w:marRight w:val="0"/>
                  <w:marTop w:val="0"/>
                  <w:marBottom w:val="0"/>
                  <w:divBdr>
                    <w:top w:val="none" w:sz="0" w:space="0" w:color="auto"/>
                    <w:left w:val="none" w:sz="0" w:space="0" w:color="auto"/>
                    <w:bottom w:val="none" w:sz="0" w:space="0" w:color="auto"/>
                    <w:right w:val="none" w:sz="0" w:space="0" w:color="auto"/>
                  </w:divBdr>
                  <w:divsChild>
                    <w:div w:id="1768967141">
                      <w:marLeft w:val="0"/>
                      <w:marRight w:val="0"/>
                      <w:marTop w:val="0"/>
                      <w:marBottom w:val="0"/>
                      <w:divBdr>
                        <w:top w:val="none" w:sz="0" w:space="0" w:color="auto"/>
                        <w:left w:val="none" w:sz="0" w:space="0" w:color="auto"/>
                        <w:bottom w:val="none" w:sz="0" w:space="0" w:color="auto"/>
                        <w:right w:val="none" w:sz="0" w:space="0" w:color="auto"/>
                      </w:divBdr>
                    </w:div>
                  </w:divsChild>
                </w:div>
                <w:div w:id="1011376070">
                  <w:marLeft w:val="0"/>
                  <w:marRight w:val="0"/>
                  <w:marTop w:val="0"/>
                  <w:marBottom w:val="0"/>
                  <w:divBdr>
                    <w:top w:val="none" w:sz="0" w:space="0" w:color="auto"/>
                    <w:left w:val="none" w:sz="0" w:space="0" w:color="auto"/>
                    <w:bottom w:val="none" w:sz="0" w:space="0" w:color="auto"/>
                    <w:right w:val="none" w:sz="0" w:space="0" w:color="auto"/>
                  </w:divBdr>
                  <w:divsChild>
                    <w:div w:id="102574054">
                      <w:marLeft w:val="0"/>
                      <w:marRight w:val="0"/>
                      <w:marTop w:val="0"/>
                      <w:marBottom w:val="0"/>
                      <w:divBdr>
                        <w:top w:val="none" w:sz="0" w:space="0" w:color="auto"/>
                        <w:left w:val="none" w:sz="0" w:space="0" w:color="auto"/>
                        <w:bottom w:val="none" w:sz="0" w:space="0" w:color="auto"/>
                        <w:right w:val="none" w:sz="0" w:space="0" w:color="auto"/>
                      </w:divBdr>
                    </w:div>
                  </w:divsChild>
                </w:div>
                <w:div w:id="1135637670">
                  <w:marLeft w:val="0"/>
                  <w:marRight w:val="0"/>
                  <w:marTop w:val="0"/>
                  <w:marBottom w:val="0"/>
                  <w:divBdr>
                    <w:top w:val="none" w:sz="0" w:space="0" w:color="auto"/>
                    <w:left w:val="none" w:sz="0" w:space="0" w:color="auto"/>
                    <w:bottom w:val="none" w:sz="0" w:space="0" w:color="auto"/>
                    <w:right w:val="none" w:sz="0" w:space="0" w:color="auto"/>
                  </w:divBdr>
                  <w:divsChild>
                    <w:div w:id="1943805916">
                      <w:marLeft w:val="0"/>
                      <w:marRight w:val="0"/>
                      <w:marTop w:val="0"/>
                      <w:marBottom w:val="0"/>
                      <w:divBdr>
                        <w:top w:val="none" w:sz="0" w:space="0" w:color="auto"/>
                        <w:left w:val="none" w:sz="0" w:space="0" w:color="auto"/>
                        <w:bottom w:val="none" w:sz="0" w:space="0" w:color="auto"/>
                        <w:right w:val="none" w:sz="0" w:space="0" w:color="auto"/>
                      </w:divBdr>
                    </w:div>
                  </w:divsChild>
                </w:div>
                <w:div w:id="1138646649">
                  <w:marLeft w:val="0"/>
                  <w:marRight w:val="0"/>
                  <w:marTop w:val="0"/>
                  <w:marBottom w:val="0"/>
                  <w:divBdr>
                    <w:top w:val="none" w:sz="0" w:space="0" w:color="auto"/>
                    <w:left w:val="none" w:sz="0" w:space="0" w:color="auto"/>
                    <w:bottom w:val="none" w:sz="0" w:space="0" w:color="auto"/>
                    <w:right w:val="none" w:sz="0" w:space="0" w:color="auto"/>
                  </w:divBdr>
                  <w:divsChild>
                    <w:div w:id="192546117">
                      <w:marLeft w:val="0"/>
                      <w:marRight w:val="0"/>
                      <w:marTop w:val="0"/>
                      <w:marBottom w:val="0"/>
                      <w:divBdr>
                        <w:top w:val="none" w:sz="0" w:space="0" w:color="auto"/>
                        <w:left w:val="none" w:sz="0" w:space="0" w:color="auto"/>
                        <w:bottom w:val="none" w:sz="0" w:space="0" w:color="auto"/>
                        <w:right w:val="none" w:sz="0" w:space="0" w:color="auto"/>
                      </w:divBdr>
                    </w:div>
                  </w:divsChild>
                </w:div>
                <w:div w:id="1156385297">
                  <w:marLeft w:val="0"/>
                  <w:marRight w:val="0"/>
                  <w:marTop w:val="0"/>
                  <w:marBottom w:val="0"/>
                  <w:divBdr>
                    <w:top w:val="none" w:sz="0" w:space="0" w:color="auto"/>
                    <w:left w:val="none" w:sz="0" w:space="0" w:color="auto"/>
                    <w:bottom w:val="none" w:sz="0" w:space="0" w:color="auto"/>
                    <w:right w:val="none" w:sz="0" w:space="0" w:color="auto"/>
                  </w:divBdr>
                  <w:divsChild>
                    <w:div w:id="1959600686">
                      <w:marLeft w:val="0"/>
                      <w:marRight w:val="0"/>
                      <w:marTop w:val="0"/>
                      <w:marBottom w:val="0"/>
                      <w:divBdr>
                        <w:top w:val="none" w:sz="0" w:space="0" w:color="auto"/>
                        <w:left w:val="none" w:sz="0" w:space="0" w:color="auto"/>
                        <w:bottom w:val="none" w:sz="0" w:space="0" w:color="auto"/>
                        <w:right w:val="none" w:sz="0" w:space="0" w:color="auto"/>
                      </w:divBdr>
                    </w:div>
                  </w:divsChild>
                </w:div>
                <w:div w:id="1314985031">
                  <w:marLeft w:val="0"/>
                  <w:marRight w:val="0"/>
                  <w:marTop w:val="0"/>
                  <w:marBottom w:val="0"/>
                  <w:divBdr>
                    <w:top w:val="none" w:sz="0" w:space="0" w:color="auto"/>
                    <w:left w:val="none" w:sz="0" w:space="0" w:color="auto"/>
                    <w:bottom w:val="none" w:sz="0" w:space="0" w:color="auto"/>
                    <w:right w:val="none" w:sz="0" w:space="0" w:color="auto"/>
                  </w:divBdr>
                  <w:divsChild>
                    <w:div w:id="1151948091">
                      <w:marLeft w:val="0"/>
                      <w:marRight w:val="0"/>
                      <w:marTop w:val="0"/>
                      <w:marBottom w:val="0"/>
                      <w:divBdr>
                        <w:top w:val="none" w:sz="0" w:space="0" w:color="auto"/>
                        <w:left w:val="none" w:sz="0" w:space="0" w:color="auto"/>
                        <w:bottom w:val="none" w:sz="0" w:space="0" w:color="auto"/>
                        <w:right w:val="none" w:sz="0" w:space="0" w:color="auto"/>
                      </w:divBdr>
                    </w:div>
                  </w:divsChild>
                </w:div>
                <w:div w:id="1447118911">
                  <w:marLeft w:val="0"/>
                  <w:marRight w:val="0"/>
                  <w:marTop w:val="0"/>
                  <w:marBottom w:val="0"/>
                  <w:divBdr>
                    <w:top w:val="none" w:sz="0" w:space="0" w:color="auto"/>
                    <w:left w:val="none" w:sz="0" w:space="0" w:color="auto"/>
                    <w:bottom w:val="none" w:sz="0" w:space="0" w:color="auto"/>
                    <w:right w:val="none" w:sz="0" w:space="0" w:color="auto"/>
                  </w:divBdr>
                  <w:divsChild>
                    <w:div w:id="1098595661">
                      <w:marLeft w:val="0"/>
                      <w:marRight w:val="0"/>
                      <w:marTop w:val="0"/>
                      <w:marBottom w:val="0"/>
                      <w:divBdr>
                        <w:top w:val="none" w:sz="0" w:space="0" w:color="auto"/>
                        <w:left w:val="none" w:sz="0" w:space="0" w:color="auto"/>
                        <w:bottom w:val="none" w:sz="0" w:space="0" w:color="auto"/>
                        <w:right w:val="none" w:sz="0" w:space="0" w:color="auto"/>
                      </w:divBdr>
                    </w:div>
                  </w:divsChild>
                </w:div>
                <w:div w:id="1451584552">
                  <w:marLeft w:val="0"/>
                  <w:marRight w:val="0"/>
                  <w:marTop w:val="0"/>
                  <w:marBottom w:val="0"/>
                  <w:divBdr>
                    <w:top w:val="none" w:sz="0" w:space="0" w:color="auto"/>
                    <w:left w:val="none" w:sz="0" w:space="0" w:color="auto"/>
                    <w:bottom w:val="none" w:sz="0" w:space="0" w:color="auto"/>
                    <w:right w:val="none" w:sz="0" w:space="0" w:color="auto"/>
                  </w:divBdr>
                  <w:divsChild>
                    <w:div w:id="567615295">
                      <w:marLeft w:val="0"/>
                      <w:marRight w:val="0"/>
                      <w:marTop w:val="0"/>
                      <w:marBottom w:val="0"/>
                      <w:divBdr>
                        <w:top w:val="none" w:sz="0" w:space="0" w:color="auto"/>
                        <w:left w:val="none" w:sz="0" w:space="0" w:color="auto"/>
                        <w:bottom w:val="none" w:sz="0" w:space="0" w:color="auto"/>
                        <w:right w:val="none" w:sz="0" w:space="0" w:color="auto"/>
                      </w:divBdr>
                    </w:div>
                  </w:divsChild>
                </w:div>
                <w:div w:id="1500777009">
                  <w:marLeft w:val="0"/>
                  <w:marRight w:val="0"/>
                  <w:marTop w:val="0"/>
                  <w:marBottom w:val="0"/>
                  <w:divBdr>
                    <w:top w:val="none" w:sz="0" w:space="0" w:color="auto"/>
                    <w:left w:val="none" w:sz="0" w:space="0" w:color="auto"/>
                    <w:bottom w:val="none" w:sz="0" w:space="0" w:color="auto"/>
                    <w:right w:val="none" w:sz="0" w:space="0" w:color="auto"/>
                  </w:divBdr>
                  <w:divsChild>
                    <w:div w:id="1852454114">
                      <w:marLeft w:val="0"/>
                      <w:marRight w:val="0"/>
                      <w:marTop w:val="0"/>
                      <w:marBottom w:val="0"/>
                      <w:divBdr>
                        <w:top w:val="none" w:sz="0" w:space="0" w:color="auto"/>
                        <w:left w:val="none" w:sz="0" w:space="0" w:color="auto"/>
                        <w:bottom w:val="none" w:sz="0" w:space="0" w:color="auto"/>
                        <w:right w:val="none" w:sz="0" w:space="0" w:color="auto"/>
                      </w:divBdr>
                    </w:div>
                  </w:divsChild>
                </w:div>
                <w:div w:id="1581939998">
                  <w:marLeft w:val="0"/>
                  <w:marRight w:val="0"/>
                  <w:marTop w:val="0"/>
                  <w:marBottom w:val="0"/>
                  <w:divBdr>
                    <w:top w:val="none" w:sz="0" w:space="0" w:color="auto"/>
                    <w:left w:val="none" w:sz="0" w:space="0" w:color="auto"/>
                    <w:bottom w:val="none" w:sz="0" w:space="0" w:color="auto"/>
                    <w:right w:val="none" w:sz="0" w:space="0" w:color="auto"/>
                  </w:divBdr>
                  <w:divsChild>
                    <w:div w:id="1727532229">
                      <w:marLeft w:val="0"/>
                      <w:marRight w:val="0"/>
                      <w:marTop w:val="0"/>
                      <w:marBottom w:val="0"/>
                      <w:divBdr>
                        <w:top w:val="none" w:sz="0" w:space="0" w:color="auto"/>
                        <w:left w:val="none" w:sz="0" w:space="0" w:color="auto"/>
                        <w:bottom w:val="none" w:sz="0" w:space="0" w:color="auto"/>
                        <w:right w:val="none" w:sz="0" w:space="0" w:color="auto"/>
                      </w:divBdr>
                    </w:div>
                  </w:divsChild>
                </w:div>
                <w:div w:id="1619288806">
                  <w:marLeft w:val="0"/>
                  <w:marRight w:val="0"/>
                  <w:marTop w:val="0"/>
                  <w:marBottom w:val="0"/>
                  <w:divBdr>
                    <w:top w:val="none" w:sz="0" w:space="0" w:color="auto"/>
                    <w:left w:val="none" w:sz="0" w:space="0" w:color="auto"/>
                    <w:bottom w:val="none" w:sz="0" w:space="0" w:color="auto"/>
                    <w:right w:val="none" w:sz="0" w:space="0" w:color="auto"/>
                  </w:divBdr>
                  <w:divsChild>
                    <w:div w:id="146636388">
                      <w:marLeft w:val="0"/>
                      <w:marRight w:val="0"/>
                      <w:marTop w:val="0"/>
                      <w:marBottom w:val="0"/>
                      <w:divBdr>
                        <w:top w:val="none" w:sz="0" w:space="0" w:color="auto"/>
                        <w:left w:val="none" w:sz="0" w:space="0" w:color="auto"/>
                        <w:bottom w:val="none" w:sz="0" w:space="0" w:color="auto"/>
                        <w:right w:val="none" w:sz="0" w:space="0" w:color="auto"/>
                      </w:divBdr>
                    </w:div>
                  </w:divsChild>
                </w:div>
                <w:div w:id="1637375721">
                  <w:marLeft w:val="0"/>
                  <w:marRight w:val="0"/>
                  <w:marTop w:val="0"/>
                  <w:marBottom w:val="0"/>
                  <w:divBdr>
                    <w:top w:val="none" w:sz="0" w:space="0" w:color="auto"/>
                    <w:left w:val="none" w:sz="0" w:space="0" w:color="auto"/>
                    <w:bottom w:val="none" w:sz="0" w:space="0" w:color="auto"/>
                    <w:right w:val="none" w:sz="0" w:space="0" w:color="auto"/>
                  </w:divBdr>
                  <w:divsChild>
                    <w:div w:id="809399106">
                      <w:marLeft w:val="0"/>
                      <w:marRight w:val="0"/>
                      <w:marTop w:val="0"/>
                      <w:marBottom w:val="0"/>
                      <w:divBdr>
                        <w:top w:val="none" w:sz="0" w:space="0" w:color="auto"/>
                        <w:left w:val="none" w:sz="0" w:space="0" w:color="auto"/>
                        <w:bottom w:val="none" w:sz="0" w:space="0" w:color="auto"/>
                        <w:right w:val="none" w:sz="0" w:space="0" w:color="auto"/>
                      </w:divBdr>
                    </w:div>
                  </w:divsChild>
                </w:div>
                <w:div w:id="1664042814">
                  <w:marLeft w:val="0"/>
                  <w:marRight w:val="0"/>
                  <w:marTop w:val="0"/>
                  <w:marBottom w:val="0"/>
                  <w:divBdr>
                    <w:top w:val="none" w:sz="0" w:space="0" w:color="auto"/>
                    <w:left w:val="none" w:sz="0" w:space="0" w:color="auto"/>
                    <w:bottom w:val="none" w:sz="0" w:space="0" w:color="auto"/>
                    <w:right w:val="none" w:sz="0" w:space="0" w:color="auto"/>
                  </w:divBdr>
                  <w:divsChild>
                    <w:div w:id="845629334">
                      <w:marLeft w:val="0"/>
                      <w:marRight w:val="0"/>
                      <w:marTop w:val="0"/>
                      <w:marBottom w:val="0"/>
                      <w:divBdr>
                        <w:top w:val="none" w:sz="0" w:space="0" w:color="auto"/>
                        <w:left w:val="none" w:sz="0" w:space="0" w:color="auto"/>
                        <w:bottom w:val="none" w:sz="0" w:space="0" w:color="auto"/>
                        <w:right w:val="none" w:sz="0" w:space="0" w:color="auto"/>
                      </w:divBdr>
                    </w:div>
                  </w:divsChild>
                </w:div>
                <w:div w:id="1729113294">
                  <w:marLeft w:val="0"/>
                  <w:marRight w:val="0"/>
                  <w:marTop w:val="0"/>
                  <w:marBottom w:val="0"/>
                  <w:divBdr>
                    <w:top w:val="none" w:sz="0" w:space="0" w:color="auto"/>
                    <w:left w:val="none" w:sz="0" w:space="0" w:color="auto"/>
                    <w:bottom w:val="none" w:sz="0" w:space="0" w:color="auto"/>
                    <w:right w:val="none" w:sz="0" w:space="0" w:color="auto"/>
                  </w:divBdr>
                  <w:divsChild>
                    <w:div w:id="986478119">
                      <w:marLeft w:val="0"/>
                      <w:marRight w:val="0"/>
                      <w:marTop w:val="0"/>
                      <w:marBottom w:val="0"/>
                      <w:divBdr>
                        <w:top w:val="none" w:sz="0" w:space="0" w:color="auto"/>
                        <w:left w:val="none" w:sz="0" w:space="0" w:color="auto"/>
                        <w:bottom w:val="none" w:sz="0" w:space="0" w:color="auto"/>
                        <w:right w:val="none" w:sz="0" w:space="0" w:color="auto"/>
                      </w:divBdr>
                    </w:div>
                  </w:divsChild>
                </w:div>
                <w:div w:id="1762486706">
                  <w:marLeft w:val="0"/>
                  <w:marRight w:val="0"/>
                  <w:marTop w:val="0"/>
                  <w:marBottom w:val="0"/>
                  <w:divBdr>
                    <w:top w:val="none" w:sz="0" w:space="0" w:color="auto"/>
                    <w:left w:val="none" w:sz="0" w:space="0" w:color="auto"/>
                    <w:bottom w:val="none" w:sz="0" w:space="0" w:color="auto"/>
                    <w:right w:val="none" w:sz="0" w:space="0" w:color="auto"/>
                  </w:divBdr>
                  <w:divsChild>
                    <w:div w:id="1790395936">
                      <w:marLeft w:val="0"/>
                      <w:marRight w:val="0"/>
                      <w:marTop w:val="0"/>
                      <w:marBottom w:val="0"/>
                      <w:divBdr>
                        <w:top w:val="none" w:sz="0" w:space="0" w:color="auto"/>
                        <w:left w:val="none" w:sz="0" w:space="0" w:color="auto"/>
                        <w:bottom w:val="none" w:sz="0" w:space="0" w:color="auto"/>
                        <w:right w:val="none" w:sz="0" w:space="0" w:color="auto"/>
                      </w:divBdr>
                    </w:div>
                  </w:divsChild>
                </w:div>
                <w:div w:id="1818649300">
                  <w:marLeft w:val="0"/>
                  <w:marRight w:val="0"/>
                  <w:marTop w:val="0"/>
                  <w:marBottom w:val="0"/>
                  <w:divBdr>
                    <w:top w:val="none" w:sz="0" w:space="0" w:color="auto"/>
                    <w:left w:val="none" w:sz="0" w:space="0" w:color="auto"/>
                    <w:bottom w:val="none" w:sz="0" w:space="0" w:color="auto"/>
                    <w:right w:val="none" w:sz="0" w:space="0" w:color="auto"/>
                  </w:divBdr>
                  <w:divsChild>
                    <w:div w:id="1148783559">
                      <w:marLeft w:val="0"/>
                      <w:marRight w:val="0"/>
                      <w:marTop w:val="0"/>
                      <w:marBottom w:val="0"/>
                      <w:divBdr>
                        <w:top w:val="none" w:sz="0" w:space="0" w:color="auto"/>
                        <w:left w:val="none" w:sz="0" w:space="0" w:color="auto"/>
                        <w:bottom w:val="none" w:sz="0" w:space="0" w:color="auto"/>
                        <w:right w:val="none" w:sz="0" w:space="0" w:color="auto"/>
                      </w:divBdr>
                    </w:div>
                  </w:divsChild>
                </w:div>
                <w:div w:id="1848010419">
                  <w:marLeft w:val="0"/>
                  <w:marRight w:val="0"/>
                  <w:marTop w:val="0"/>
                  <w:marBottom w:val="0"/>
                  <w:divBdr>
                    <w:top w:val="none" w:sz="0" w:space="0" w:color="auto"/>
                    <w:left w:val="none" w:sz="0" w:space="0" w:color="auto"/>
                    <w:bottom w:val="none" w:sz="0" w:space="0" w:color="auto"/>
                    <w:right w:val="none" w:sz="0" w:space="0" w:color="auto"/>
                  </w:divBdr>
                  <w:divsChild>
                    <w:div w:id="933127168">
                      <w:marLeft w:val="0"/>
                      <w:marRight w:val="0"/>
                      <w:marTop w:val="0"/>
                      <w:marBottom w:val="0"/>
                      <w:divBdr>
                        <w:top w:val="none" w:sz="0" w:space="0" w:color="auto"/>
                        <w:left w:val="none" w:sz="0" w:space="0" w:color="auto"/>
                        <w:bottom w:val="none" w:sz="0" w:space="0" w:color="auto"/>
                        <w:right w:val="none" w:sz="0" w:space="0" w:color="auto"/>
                      </w:divBdr>
                    </w:div>
                  </w:divsChild>
                </w:div>
                <w:div w:id="1902671584">
                  <w:marLeft w:val="0"/>
                  <w:marRight w:val="0"/>
                  <w:marTop w:val="0"/>
                  <w:marBottom w:val="0"/>
                  <w:divBdr>
                    <w:top w:val="none" w:sz="0" w:space="0" w:color="auto"/>
                    <w:left w:val="none" w:sz="0" w:space="0" w:color="auto"/>
                    <w:bottom w:val="none" w:sz="0" w:space="0" w:color="auto"/>
                    <w:right w:val="none" w:sz="0" w:space="0" w:color="auto"/>
                  </w:divBdr>
                  <w:divsChild>
                    <w:div w:id="232274961">
                      <w:marLeft w:val="0"/>
                      <w:marRight w:val="0"/>
                      <w:marTop w:val="0"/>
                      <w:marBottom w:val="0"/>
                      <w:divBdr>
                        <w:top w:val="none" w:sz="0" w:space="0" w:color="auto"/>
                        <w:left w:val="none" w:sz="0" w:space="0" w:color="auto"/>
                        <w:bottom w:val="none" w:sz="0" w:space="0" w:color="auto"/>
                        <w:right w:val="none" w:sz="0" w:space="0" w:color="auto"/>
                      </w:divBdr>
                    </w:div>
                  </w:divsChild>
                </w:div>
                <w:div w:id="1924947689">
                  <w:marLeft w:val="0"/>
                  <w:marRight w:val="0"/>
                  <w:marTop w:val="0"/>
                  <w:marBottom w:val="0"/>
                  <w:divBdr>
                    <w:top w:val="none" w:sz="0" w:space="0" w:color="auto"/>
                    <w:left w:val="none" w:sz="0" w:space="0" w:color="auto"/>
                    <w:bottom w:val="none" w:sz="0" w:space="0" w:color="auto"/>
                    <w:right w:val="none" w:sz="0" w:space="0" w:color="auto"/>
                  </w:divBdr>
                  <w:divsChild>
                    <w:div w:id="226691963">
                      <w:marLeft w:val="0"/>
                      <w:marRight w:val="0"/>
                      <w:marTop w:val="0"/>
                      <w:marBottom w:val="0"/>
                      <w:divBdr>
                        <w:top w:val="none" w:sz="0" w:space="0" w:color="auto"/>
                        <w:left w:val="none" w:sz="0" w:space="0" w:color="auto"/>
                        <w:bottom w:val="none" w:sz="0" w:space="0" w:color="auto"/>
                        <w:right w:val="none" w:sz="0" w:space="0" w:color="auto"/>
                      </w:divBdr>
                    </w:div>
                  </w:divsChild>
                </w:div>
                <w:div w:id="1961644509">
                  <w:marLeft w:val="0"/>
                  <w:marRight w:val="0"/>
                  <w:marTop w:val="0"/>
                  <w:marBottom w:val="0"/>
                  <w:divBdr>
                    <w:top w:val="none" w:sz="0" w:space="0" w:color="auto"/>
                    <w:left w:val="none" w:sz="0" w:space="0" w:color="auto"/>
                    <w:bottom w:val="none" w:sz="0" w:space="0" w:color="auto"/>
                    <w:right w:val="none" w:sz="0" w:space="0" w:color="auto"/>
                  </w:divBdr>
                  <w:divsChild>
                    <w:div w:id="6467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136432">
          <w:marLeft w:val="0"/>
          <w:marRight w:val="0"/>
          <w:marTop w:val="0"/>
          <w:marBottom w:val="0"/>
          <w:divBdr>
            <w:top w:val="none" w:sz="0" w:space="0" w:color="auto"/>
            <w:left w:val="none" w:sz="0" w:space="0" w:color="auto"/>
            <w:bottom w:val="none" w:sz="0" w:space="0" w:color="auto"/>
            <w:right w:val="none" w:sz="0" w:space="0" w:color="auto"/>
          </w:divBdr>
        </w:div>
        <w:div w:id="565651071">
          <w:marLeft w:val="0"/>
          <w:marRight w:val="0"/>
          <w:marTop w:val="0"/>
          <w:marBottom w:val="0"/>
          <w:divBdr>
            <w:top w:val="none" w:sz="0" w:space="0" w:color="auto"/>
            <w:left w:val="none" w:sz="0" w:space="0" w:color="auto"/>
            <w:bottom w:val="none" w:sz="0" w:space="0" w:color="auto"/>
            <w:right w:val="none" w:sz="0" w:space="0" w:color="auto"/>
          </w:divBdr>
        </w:div>
        <w:div w:id="607810430">
          <w:marLeft w:val="0"/>
          <w:marRight w:val="0"/>
          <w:marTop w:val="0"/>
          <w:marBottom w:val="0"/>
          <w:divBdr>
            <w:top w:val="none" w:sz="0" w:space="0" w:color="auto"/>
            <w:left w:val="none" w:sz="0" w:space="0" w:color="auto"/>
            <w:bottom w:val="none" w:sz="0" w:space="0" w:color="auto"/>
            <w:right w:val="none" w:sz="0" w:space="0" w:color="auto"/>
          </w:divBdr>
        </w:div>
        <w:div w:id="939289777">
          <w:marLeft w:val="0"/>
          <w:marRight w:val="0"/>
          <w:marTop w:val="0"/>
          <w:marBottom w:val="0"/>
          <w:divBdr>
            <w:top w:val="none" w:sz="0" w:space="0" w:color="auto"/>
            <w:left w:val="none" w:sz="0" w:space="0" w:color="auto"/>
            <w:bottom w:val="none" w:sz="0" w:space="0" w:color="auto"/>
            <w:right w:val="none" w:sz="0" w:space="0" w:color="auto"/>
          </w:divBdr>
        </w:div>
        <w:div w:id="945962698">
          <w:marLeft w:val="0"/>
          <w:marRight w:val="0"/>
          <w:marTop w:val="0"/>
          <w:marBottom w:val="0"/>
          <w:divBdr>
            <w:top w:val="none" w:sz="0" w:space="0" w:color="auto"/>
            <w:left w:val="none" w:sz="0" w:space="0" w:color="auto"/>
            <w:bottom w:val="none" w:sz="0" w:space="0" w:color="auto"/>
            <w:right w:val="none" w:sz="0" w:space="0" w:color="auto"/>
          </w:divBdr>
          <w:divsChild>
            <w:div w:id="30308132">
              <w:marLeft w:val="0"/>
              <w:marRight w:val="0"/>
              <w:marTop w:val="0"/>
              <w:marBottom w:val="0"/>
              <w:divBdr>
                <w:top w:val="none" w:sz="0" w:space="0" w:color="auto"/>
                <w:left w:val="none" w:sz="0" w:space="0" w:color="auto"/>
                <w:bottom w:val="none" w:sz="0" w:space="0" w:color="auto"/>
                <w:right w:val="none" w:sz="0" w:space="0" w:color="auto"/>
              </w:divBdr>
            </w:div>
            <w:div w:id="47069609">
              <w:marLeft w:val="0"/>
              <w:marRight w:val="0"/>
              <w:marTop w:val="0"/>
              <w:marBottom w:val="0"/>
              <w:divBdr>
                <w:top w:val="none" w:sz="0" w:space="0" w:color="auto"/>
                <w:left w:val="none" w:sz="0" w:space="0" w:color="auto"/>
                <w:bottom w:val="none" w:sz="0" w:space="0" w:color="auto"/>
                <w:right w:val="none" w:sz="0" w:space="0" w:color="auto"/>
              </w:divBdr>
            </w:div>
            <w:div w:id="365833308">
              <w:marLeft w:val="0"/>
              <w:marRight w:val="0"/>
              <w:marTop w:val="0"/>
              <w:marBottom w:val="0"/>
              <w:divBdr>
                <w:top w:val="none" w:sz="0" w:space="0" w:color="auto"/>
                <w:left w:val="none" w:sz="0" w:space="0" w:color="auto"/>
                <w:bottom w:val="none" w:sz="0" w:space="0" w:color="auto"/>
                <w:right w:val="none" w:sz="0" w:space="0" w:color="auto"/>
              </w:divBdr>
            </w:div>
            <w:div w:id="631712008">
              <w:marLeft w:val="0"/>
              <w:marRight w:val="0"/>
              <w:marTop w:val="0"/>
              <w:marBottom w:val="0"/>
              <w:divBdr>
                <w:top w:val="none" w:sz="0" w:space="0" w:color="auto"/>
                <w:left w:val="none" w:sz="0" w:space="0" w:color="auto"/>
                <w:bottom w:val="none" w:sz="0" w:space="0" w:color="auto"/>
                <w:right w:val="none" w:sz="0" w:space="0" w:color="auto"/>
              </w:divBdr>
            </w:div>
            <w:div w:id="677468362">
              <w:marLeft w:val="0"/>
              <w:marRight w:val="0"/>
              <w:marTop w:val="0"/>
              <w:marBottom w:val="0"/>
              <w:divBdr>
                <w:top w:val="none" w:sz="0" w:space="0" w:color="auto"/>
                <w:left w:val="none" w:sz="0" w:space="0" w:color="auto"/>
                <w:bottom w:val="none" w:sz="0" w:space="0" w:color="auto"/>
                <w:right w:val="none" w:sz="0" w:space="0" w:color="auto"/>
              </w:divBdr>
            </w:div>
            <w:div w:id="728193235">
              <w:marLeft w:val="0"/>
              <w:marRight w:val="0"/>
              <w:marTop w:val="0"/>
              <w:marBottom w:val="0"/>
              <w:divBdr>
                <w:top w:val="none" w:sz="0" w:space="0" w:color="auto"/>
                <w:left w:val="none" w:sz="0" w:space="0" w:color="auto"/>
                <w:bottom w:val="none" w:sz="0" w:space="0" w:color="auto"/>
                <w:right w:val="none" w:sz="0" w:space="0" w:color="auto"/>
              </w:divBdr>
            </w:div>
            <w:div w:id="822820609">
              <w:marLeft w:val="0"/>
              <w:marRight w:val="0"/>
              <w:marTop w:val="0"/>
              <w:marBottom w:val="0"/>
              <w:divBdr>
                <w:top w:val="none" w:sz="0" w:space="0" w:color="auto"/>
                <w:left w:val="none" w:sz="0" w:space="0" w:color="auto"/>
                <w:bottom w:val="none" w:sz="0" w:space="0" w:color="auto"/>
                <w:right w:val="none" w:sz="0" w:space="0" w:color="auto"/>
              </w:divBdr>
            </w:div>
            <w:div w:id="931090177">
              <w:marLeft w:val="0"/>
              <w:marRight w:val="0"/>
              <w:marTop w:val="0"/>
              <w:marBottom w:val="0"/>
              <w:divBdr>
                <w:top w:val="none" w:sz="0" w:space="0" w:color="auto"/>
                <w:left w:val="none" w:sz="0" w:space="0" w:color="auto"/>
                <w:bottom w:val="none" w:sz="0" w:space="0" w:color="auto"/>
                <w:right w:val="none" w:sz="0" w:space="0" w:color="auto"/>
              </w:divBdr>
            </w:div>
            <w:div w:id="939601585">
              <w:marLeft w:val="0"/>
              <w:marRight w:val="0"/>
              <w:marTop w:val="0"/>
              <w:marBottom w:val="0"/>
              <w:divBdr>
                <w:top w:val="none" w:sz="0" w:space="0" w:color="auto"/>
                <w:left w:val="none" w:sz="0" w:space="0" w:color="auto"/>
                <w:bottom w:val="none" w:sz="0" w:space="0" w:color="auto"/>
                <w:right w:val="none" w:sz="0" w:space="0" w:color="auto"/>
              </w:divBdr>
            </w:div>
            <w:div w:id="1000037956">
              <w:marLeft w:val="0"/>
              <w:marRight w:val="0"/>
              <w:marTop w:val="0"/>
              <w:marBottom w:val="0"/>
              <w:divBdr>
                <w:top w:val="none" w:sz="0" w:space="0" w:color="auto"/>
                <w:left w:val="none" w:sz="0" w:space="0" w:color="auto"/>
                <w:bottom w:val="none" w:sz="0" w:space="0" w:color="auto"/>
                <w:right w:val="none" w:sz="0" w:space="0" w:color="auto"/>
              </w:divBdr>
            </w:div>
            <w:div w:id="1140150587">
              <w:marLeft w:val="0"/>
              <w:marRight w:val="0"/>
              <w:marTop w:val="0"/>
              <w:marBottom w:val="0"/>
              <w:divBdr>
                <w:top w:val="none" w:sz="0" w:space="0" w:color="auto"/>
                <w:left w:val="none" w:sz="0" w:space="0" w:color="auto"/>
                <w:bottom w:val="none" w:sz="0" w:space="0" w:color="auto"/>
                <w:right w:val="none" w:sz="0" w:space="0" w:color="auto"/>
              </w:divBdr>
            </w:div>
            <w:div w:id="1253853729">
              <w:marLeft w:val="0"/>
              <w:marRight w:val="0"/>
              <w:marTop w:val="0"/>
              <w:marBottom w:val="0"/>
              <w:divBdr>
                <w:top w:val="none" w:sz="0" w:space="0" w:color="auto"/>
                <w:left w:val="none" w:sz="0" w:space="0" w:color="auto"/>
                <w:bottom w:val="none" w:sz="0" w:space="0" w:color="auto"/>
                <w:right w:val="none" w:sz="0" w:space="0" w:color="auto"/>
              </w:divBdr>
            </w:div>
            <w:div w:id="1314869874">
              <w:marLeft w:val="0"/>
              <w:marRight w:val="0"/>
              <w:marTop w:val="0"/>
              <w:marBottom w:val="0"/>
              <w:divBdr>
                <w:top w:val="none" w:sz="0" w:space="0" w:color="auto"/>
                <w:left w:val="none" w:sz="0" w:space="0" w:color="auto"/>
                <w:bottom w:val="none" w:sz="0" w:space="0" w:color="auto"/>
                <w:right w:val="none" w:sz="0" w:space="0" w:color="auto"/>
              </w:divBdr>
            </w:div>
            <w:div w:id="1373963242">
              <w:marLeft w:val="0"/>
              <w:marRight w:val="0"/>
              <w:marTop w:val="0"/>
              <w:marBottom w:val="0"/>
              <w:divBdr>
                <w:top w:val="none" w:sz="0" w:space="0" w:color="auto"/>
                <w:left w:val="none" w:sz="0" w:space="0" w:color="auto"/>
                <w:bottom w:val="none" w:sz="0" w:space="0" w:color="auto"/>
                <w:right w:val="none" w:sz="0" w:space="0" w:color="auto"/>
              </w:divBdr>
            </w:div>
            <w:div w:id="1597472568">
              <w:marLeft w:val="0"/>
              <w:marRight w:val="0"/>
              <w:marTop w:val="0"/>
              <w:marBottom w:val="0"/>
              <w:divBdr>
                <w:top w:val="none" w:sz="0" w:space="0" w:color="auto"/>
                <w:left w:val="none" w:sz="0" w:space="0" w:color="auto"/>
                <w:bottom w:val="none" w:sz="0" w:space="0" w:color="auto"/>
                <w:right w:val="none" w:sz="0" w:space="0" w:color="auto"/>
              </w:divBdr>
            </w:div>
            <w:div w:id="1644505612">
              <w:marLeft w:val="0"/>
              <w:marRight w:val="0"/>
              <w:marTop w:val="0"/>
              <w:marBottom w:val="0"/>
              <w:divBdr>
                <w:top w:val="none" w:sz="0" w:space="0" w:color="auto"/>
                <w:left w:val="none" w:sz="0" w:space="0" w:color="auto"/>
                <w:bottom w:val="none" w:sz="0" w:space="0" w:color="auto"/>
                <w:right w:val="none" w:sz="0" w:space="0" w:color="auto"/>
              </w:divBdr>
            </w:div>
            <w:div w:id="1770464727">
              <w:marLeft w:val="0"/>
              <w:marRight w:val="0"/>
              <w:marTop w:val="0"/>
              <w:marBottom w:val="0"/>
              <w:divBdr>
                <w:top w:val="none" w:sz="0" w:space="0" w:color="auto"/>
                <w:left w:val="none" w:sz="0" w:space="0" w:color="auto"/>
                <w:bottom w:val="none" w:sz="0" w:space="0" w:color="auto"/>
                <w:right w:val="none" w:sz="0" w:space="0" w:color="auto"/>
              </w:divBdr>
            </w:div>
            <w:div w:id="1789623206">
              <w:marLeft w:val="0"/>
              <w:marRight w:val="0"/>
              <w:marTop w:val="0"/>
              <w:marBottom w:val="0"/>
              <w:divBdr>
                <w:top w:val="none" w:sz="0" w:space="0" w:color="auto"/>
                <w:left w:val="none" w:sz="0" w:space="0" w:color="auto"/>
                <w:bottom w:val="none" w:sz="0" w:space="0" w:color="auto"/>
                <w:right w:val="none" w:sz="0" w:space="0" w:color="auto"/>
              </w:divBdr>
            </w:div>
            <w:div w:id="2011061165">
              <w:marLeft w:val="0"/>
              <w:marRight w:val="0"/>
              <w:marTop w:val="0"/>
              <w:marBottom w:val="0"/>
              <w:divBdr>
                <w:top w:val="none" w:sz="0" w:space="0" w:color="auto"/>
                <w:left w:val="none" w:sz="0" w:space="0" w:color="auto"/>
                <w:bottom w:val="none" w:sz="0" w:space="0" w:color="auto"/>
                <w:right w:val="none" w:sz="0" w:space="0" w:color="auto"/>
              </w:divBdr>
            </w:div>
            <w:div w:id="2038895926">
              <w:marLeft w:val="0"/>
              <w:marRight w:val="0"/>
              <w:marTop w:val="0"/>
              <w:marBottom w:val="0"/>
              <w:divBdr>
                <w:top w:val="none" w:sz="0" w:space="0" w:color="auto"/>
                <w:left w:val="none" w:sz="0" w:space="0" w:color="auto"/>
                <w:bottom w:val="none" w:sz="0" w:space="0" w:color="auto"/>
                <w:right w:val="none" w:sz="0" w:space="0" w:color="auto"/>
              </w:divBdr>
            </w:div>
          </w:divsChild>
        </w:div>
        <w:div w:id="993491693">
          <w:marLeft w:val="0"/>
          <w:marRight w:val="0"/>
          <w:marTop w:val="0"/>
          <w:marBottom w:val="0"/>
          <w:divBdr>
            <w:top w:val="none" w:sz="0" w:space="0" w:color="auto"/>
            <w:left w:val="none" w:sz="0" w:space="0" w:color="auto"/>
            <w:bottom w:val="none" w:sz="0" w:space="0" w:color="auto"/>
            <w:right w:val="none" w:sz="0" w:space="0" w:color="auto"/>
          </w:divBdr>
          <w:divsChild>
            <w:div w:id="48504086">
              <w:marLeft w:val="0"/>
              <w:marRight w:val="0"/>
              <w:marTop w:val="0"/>
              <w:marBottom w:val="0"/>
              <w:divBdr>
                <w:top w:val="none" w:sz="0" w:space="0" w:color="auto"/>
                <w:left w:val="none" w:sz="0" w:space="0" w:color="auto"/>
                <w:bottom w:val="none" w:sz="0" w:space="0" w:color="auto"/>
                <w:right w:val="none" w:sz="0" w:space="0" w:color="auto"/>
              </w:divBdr>
            </w:div>
            <w:div w:id="56323693">
              <w:marLeft w:val="0"/>
              <w:marRight w:val="0"/>
              <w:marTop w:val="0"/>
              <w:marBottom w:val="0"/>
              <w:divBdr>
                <w:top w:val="none" w:sz="0" w:space="0" w:color="auto"/>
                <w:left w:val="none" w:sz="0" w:space="0" w:color="auto"/>
                <w:bottom w:val="none" w:sz="0" w:space="0" w:color="auto"/>
                <w:right w:val="none" w:sz="0" w:space="0" w:color="auto"/>
              </w:divBdr>
            </w:div>
            <w:div w:id="84497190">
              <w:marLeft w:val="0"/>
              <w:marRight w:val="0"/>
              <w:marTop w:val="0"/>
              <w:marBottom w:val="0"/>
              <w:divBdr>
                <w:top w:val="none" w:sz="0" w:space="0" w:color="auto"/>
                <w:left w:val="none" w:sz="0" w:space="0" w:color="auto"/>
                <w:bottom w:val="none" w:sz="0" w:space="0" w:color="auto"/>
                <w:right w:val="none" w:sz="0" w:space="0" w:color="auto"/>
              </w:divBdr>
            </w:div>
            <w:div w:id="195966674">
              <w:marLeft w:val="0"/>
              <w:marRight w:val="0"/>
              <w:marTop w:val="0"/>
              <w:marBottom w:val="0"/>
              <w:divBdr>
                <w:top w:val="none" w:sz="0" w:space="0" w:color="auto"/>
                <w:left w:val="none" w:sz="0" w:space="0" w:color="auto"/>
                <w:bottom w:val="none" w:sz="0" w:space="0" w:color="auto"/>
                <w:right w:val="none" w:sz="0" w:space="0" w:color="auto"/>
              </w:divBdr>
            </w:div>
            <w:div w:id="522015877">
              <w:marLeft w:val="0"/>
              <w:marRight w:val="0"/>
              <w:marTop w:val="0"/>
              <w:marBottom w:val="0"/>
              <w:divBdr>
                <w:top w:val="none" w:sz="0" w:space="0" w:color="auto"/>
                <w:left w:val="none" w:sz="0" w:space="0" w:color="auto"/>
                <w:bottom w:val="none" w:sz="0" w:space="0" w:color="auto"/>
                <w:right w:val="none" w:sz="0" w:space="0" w:color="auto"/>
              </w:divBdr>
            </w:div>
            <w:div w:id="686366607">
              <w:marLeft w:val="0"/>
              <w:marRight w:val="0"/>
              <w:marTop w:val="0"/>
              <w:marBottom w:val="0"/>
              <w:divBdr>
                <w:top w:val="none" w:sz="0" w:space="0" w:color="auto"/>
                <w:left w:val="none" w:sz="0" w:space="0" w:color="auto"/>
                <w:bottom w:val="none" w:sz="0" w:space="0" w:color="auto"/>
                <w:right w:val="none" w:sz="0" w:space="0" w:color="auto"/>
              </w:divBdr>
            </w:div>
            <w:div w:id="734938795">
              <w:marLeft w:val="0"/>
              <w:marRight w:val="0"/>
              <w:marTop w:val="0"/>
              <w:marBottom w:val="0"/>
              <w:divBdr>
                <w:top w:val="none" w:sz="0" w:space="0" w:color="auto"/>
                <w:left w:val="none" w:sz="0" w:space="0" w:color="auto"/>
                <w:bottom w:val="none" w:sz="0" w:space="0" w:color="auto"/>
                <w:right w:val="none" w:sz="0" w:space="0" w:color="auto"/>
              </w:divBdr>
            </w:div>
            <w:div w:id="917523299">
              <w:marLeft w:val="0"/>
              <w:marRight w:val="0"/>
              <w:marTop w:val="0"/>
              <w:marBottom w:val="0"/>
              <w:divBdr>
                <w:top w:val="none" w:sz="0" w:space="0" w:color="auto"/>
                <w:left w:val="none" w:sz="0" w:space="0" w:color="auto"/>
                <w:bottom w:val="none" w:sz="0" w:space="0" w:color="auto"/>
                <w:right w:val="none" w:sz="0" w:space="0" w:color="auto"/>
              </w:divBdr>
            </w:div>
            <w:div w:id="1125081039">
              <w:marLeft w:val="0"/>
              <w:marRight w:val="0"/>
              <w:marTop w:val="0"/>
              <w:marBottom w:val="0"/>
              <w:divBdr>
                <w:top w:val="none" w:sz="0" w:space="0" w:color="auto"/>
                <w:left w:val="none" w:sz="0" w:space="0" w:color="auto"/>
                <w:bottom w:val="none" w:sz="0" w:space="0" w:color="auto"/>
                <w:right w:val="none" w:sz="0" w:space="0" w:color="auto"/>
              </w:divBdr>
            </w:div>
            <w:div w:id="1185897236">
              <w:marLeft w:val="0"/>
              <w:marRight w:val="0"/>
              <w:marTop w:val="0"/>
              <w:marBottom w:val="0"/>
              <w:divBdr>
                <w:top w:val="none" w:sz="0" w:space="0" w:color="auto"/>
                <w:left w:val="none" w:sz="0" w:space="0" w:color="auto"/>
                <w:bottom w:val="none" w:sz="0" w:space="0" w:color="auto"/>
                <w:right w:val="none" w:sz="0" w:space="0" w:color="auto"/>
              </w:divBdr>
            </w:div>
            <w:div w:id="1425952312">
              <w:marLeft w:val="0"/>
              <w:marRight w:val="0"/>
              <w:marTop w:val="0"/>
              <w:marBottom w:val="0"/>
              <w:divBdr>
                <w:top w:val="none" w:sz="0" w:space="0" w:color="auto"/>
                <w:left w:val="none" w:sz="0" w:space="0" w:color="auto"/>
                <w:bottom w:val="none" w:sz="0" w:space="0" w:color="auto"/>
                <w:right w:val="none" w:sz="0" w:space="0" w:color="auto"/>
              </w:divBdr>
            </w:div>
            <w:div w:id="1523394041">
              <w:marLeft w:val="0"/>
              <w:marRight w:val="0"/>
              <w:marTop w:val="0"/>
              <w:marBottom w:val="0"/>
              <w:divBdr>
                <w:top w:val="none" w:sz="0" w:space="0" w:color="auto"/>
                <w:left w:val="none" w:sz="0" w:space="0" w:color="auto"/>
                <w:bottom w:val="none" w:sz="0" w:space="0" w:color="auto"/>
                <w:right w:val="none" w:sz="0" w:space="0" w:color="auto"/>
              </w:divBdr>
            </w:div>
            <w:div w:id="1545559482">
              <w:marLeft w:val="0"/>
              <w:marRight w:val="0"/>
              <w:marTop w:val="0"/>
              <w:marBottom w:val="0"/>
              <w:divBdr>
                <w:top w:val="none" w:sz="0" w:space="0" w:color="auto"/>
                <w:left w:val="none" w:sz="0" w:space="0" w:color="auto"/>
                <w:bottom w:val="none" w:sz="0" w:space="0" w:color="auto"/>
                <w:right w:val="none" w:sz="0" w:space="0" w:color="auto"/>
              </w:divBdr>
            </w:div>
            <w:div w:id="1603805259">
              <w:marLeft w:val="0"/>
              <w:marRight w:val="0"/>
              <w:marTop w:val="0"/>
              <w:marBottom w:val="0"/>
              <w:divBdr>
                <w:top w:val="none" w:sz="0" w:space="0" w:color="auto"/>
                <w:left w:val="none" w:sz="0" w:space="0" w:color="auto"/>
                <w:bottom w:val="none" w:sz="0" w:space="0" w:color="auto"/>
                <w:right w:val="none" w:sz="0" w:space="0" w:color="auto"/>
              </w:divBdr>
            </w:div>
            <w:div w:id="1664745512">
              <w:marLeft w:val="0"/>
              <w:marRight w:val="0"/>
              <w:marTop w:val="0"/>
              <w:marBottom w:val="0"/>
              <w:divBdr>
                <w:top w:val="none" w:sz="0" w:space="0" w:color="auto"/>
                <w:left w:val="none" w:sz="0" w:space="0" w:color="auto"/>
                <w:bottom w:val="none" w:sz="0" w:space="0" w:color="auto"/>
                <w:right w:val="none" w:sz="0" w:space="0" w:color="auto"/>
              </w:divBdr>
            </w:div>
            <w:div w:id="1847861848">
              <w:marLeft w:val="0"/>
              <w:marRight w:val="0"/>
              <w:marTop w:val="0"/>
              <w:marBottom w:val="0"/>
              <w:divBdr>
                <w:top w:val="none" w:sz="0" w:space="0" w:color="auto"/>
                <w:left w:val="none" w:sz="0" w:space="0" w:color="auto"/>
                <w:bottom w:val="none" w:sz="0" w:space="0" w:color="auto"/>
                <w:right w:val="none" w:sz="0" w:space="0" w:color="auto"/>
              </w:divBdr>
            </w:div>
            <w:div w:id="1875994385">
              <w:marLeft w:val="0"/>
              <w:marRight w:val="0"/>
              <w:marTop w:val="0"/>
              <w:marBottom w:val="0"/>
              <w:divBdr>
                <w:top w:val="none" w:sz="0" w:space="0" w:color="auto"/>
                <w:left w:val="none" w:sz="0" w:space="0" w:color="auto"/>
                <w:bottom w:val="none" w:sz="0" w:space="0" w:color="auto"/>
                <w:right w:val="none" w:sz="0" w:space="0" w:color="auto"/>
              </w:divBdr>
            </w:div>
            <w:div w:id="1974170181">
              <w:marLeft w:val="0"/>
              <w:marRight w:val="0"/>
              <w:marTop w:val="0"/>
              <w:marBottom w:val="0"/>
              <w:divBdr>
                <w:top w:val="none" w:sz="0" w:space="0" w:color="auto"/>
                <w:left w:val="none" w:sz="0" w:space="0" w:color="auto"/>
                <w:bottom w:val="none" w:sz="0" w:space="0" w:color="auto"/>
                <w:right w:val="none" w:sz="0" w:space="0" w:color="auto"/>
              </w:divBdr>
            </w:div>
            <w:div w:id="2024236448">
              <w:marLeft w:val="0"/>
              <w:marRight w:val="0"/>
              <w:marTop w:val="0"/>
              <w:marBottom w:val="0"/>
              <w:divBdr>
                <w:top w:val="none" w:sz="0" w:space="0" w:color="auto"/>
                <w:left w:val="none" w:sz="0" w:space="0" w:color="auto"/>
                <w:bottom w:val="none" w:sz="0" w:space="0" w:color="auto"/>
                <w:right w:val="none" w:sz="0" w:space="0" w:color="auto"/>
              </w:divBdr>
            </w:div>
            <w:div w:id="2031254850">
              <w:marLeft w:val="0"/>
              <w:marRight w:val="0"/>
              <w:marTop w:val="0"/>
              <w:marBottom w:val="0"/>
              <w:divBdr>
                <w:top w:val="none" w:sz="0" w:space="0" w:color="auto"/>
                <w:left w:val="none" w:sz="0" w:space="0" w:color="auto"/>
                <w:bottom w:val="none" w:sz="0" w:space="0" w:color="auto"/>
                <w:right w:val="none" w:sz="0" w:space="0" w:color="auto"/>
              </w:divBdr>
            </w:div>
          </w:divsChild>
        </w:div>
        <w:div w:id="1033387229">
          <w:marLeft w:val="0"/>
          <w:marRight w:val="0"/>
          <w:marTop w:val="0"/>
          <w:marBottom w:val="0"/>
          <w:divBdr>
            <w:top w:val="none" w:sz="0" w:space="0" w:color="auto"/>
            <w:left w:val="none" w:sz="0" w:space="0" w:color="auto"/>
            <w:bottom w:val="none" w:sz="0" w:space="0" w:color="auto"/>
            <w:right w:val="none" w:sz="0" w:space="0" w:color="auto"/>
          </w:divBdr>
        </w:div>
        <w:div w:id="1070228987">
          <w:marLeft w:val="0"/>
          <w:marRight w:val="0"/>
          <w:marTop w:val="0"/>
          <w:marBottom w:val="0"/>
          <w:divBdr>
            <w:top w:val="none" w:sz="0" w:space="0" w:color="auto"/>
            <w:left w:val="none" w:sz="0" w:space="0" w:color="auto"/>
            <w:bottom w:val="none" w:sz="0" w:space="0" w:color="auto"/>
            <w:right w:val="none" w:sz="0" w:space="0" w:color="auto"/>
          </w:divBdr>
        </w:div>
        <w:div w:id="1152066632">
          <w:marLeft w:val="0"/>
          <w:marRight w:val="0"/>
          <w:marTop w:val="0"/>
          <w:marBottom w:val="0"/>
          <w:divBdr>
            <w:top w:val="none" w:sz="0" w:space="0" w:color="auto"/>
            <w:left w:val="none" w:sz="0" w:space="0" w:color="auto"/>
            <w:bottom w:val="none" w:sz="0" w:space="0" w:color="auto"/>
            <w:right w:val="none" w:sz="0" w:space="0" w:color="auto"/>
          </w:divBdr>
        </w:div>
        <w:div w:id="1170679666">
          <w:marLeft w:val="0"/>
          <w:marRight w:val="0"/>
          <w:marTop w:val="0"/>
          <w:marBottom w:val="0"/>
          <w:divBdr>
            <w:top w:val="none" w:sz="0" w:space="0" w:color="auto"/>
            <w:left w:val="none" w:sz="0" w:space="0" w:color="auto"/>
            <w:bottom w:val="none" w:sz="0" w:space="0" w:color="auto"/>
            <w:right w:val="none" w:sz="0" w:space="0" w:color="auto"/>
          </w:divBdr>
          <w:divsChild>
            <w:div w:id="561870479">
              <w:marLeft w:val="0"/>
              <w:marRight w:val="0"/>
              <w:marTop w:val="0"/>
              <w:marBottom w:val="0"/>
              <w:divBdr>
                <w:top w:val="none" w:sz="0" w:space="0" w:color="auto"/>
                <w:left w:val="none" w:sz="0" w:space="0" w:color="auto"/>
                <w:bottom w:val="none" w:sz="0" w:space="0" w:color="auto"/>
                <w:right w:val="none" w:sz="0" w:space="0" w:color="auto"/>
              </w:divBdr>
            </w:div>
            <w:div w:id="567419782">
              <w:marLeft w:val="0"/>
              <w:marRight w:val="0"/>
              <w:marTop w:val="0"/>
              <w:marBottom w:val="0"/>
              <w:divBdr>
                <w:top w:val="none" w:sz="0" w:space="0" w:color="auto"/>
                <w:left w:val="none" w:sz="0" w:space="0" w:color="auto"/>
                <w:bottom w:val="none" w:sz="0" w:space="0" w:color="auto"/>
                <w:right w:val="none" w:sz="0" w:space="0" w:color="auto"/>
              </w:divBdr>
            </w:div>
            <w:div w:id="876627045">
              <w:marLeft w:val="0"/>
              <w:marRight w:val="0"/>
              <w:marTop w:val="0"/>
              <w:marBottom w:val="0"/>
              <w:divBdr>
                <w:top w:val="none" w:sz="0" w:space="0" w:color="auto"/>
                <w:left w:val="none" w:sz="0" w:space="0" w:color="auto"/>
                <w:bottom w:val="none" w:sz="0" w:space="0" w:color="auto"/>
                <w:right w:val="none" w:sz="0" w:space="0" w:color="auto"/>
              </w:divBdr>
            </w:div>
            <w:div w:id="878514386">
              <w:marLeft w:val="0"/>
              <w:marRight w:val="0"/>
              <w:marTop w:val="0"/>
              <w:marBottom w:val="0"/>
              <w:divBdr>
                <w:top w:val="none" w:sz="0" w:space="0" w:color="auto"/>
                <w:left w:val="none" w:sz="0" w:space="0" w:color="auto"/>
                <w:bottom w:val="none" w:sz="0" w:space="0" w:color="auto"/>
                <w:right w:val="none" w:sz="0" w:space="0" w:color="auto"/>
              </w:divBdr>
            </w:div>
            <w:div w:id="981428680">
              <w:marLeft w:val="0"/>
              <w:marRight w:val="0"/>
              <w:marTop w:val="0"/>
              <w:marBottom w:val="0"/>
              <w:divBdr>
                <w:top w:val="none" w:sz="0" w:space="0" w:color="auto"/>
                <w:left w:val="none" w:sz="0" w:space="0" w:color="auto"/>
                <w:bottom w:val="none" w:sz="0" w:space="0" w:color="auto"/>
                <w:right w:val="none" w:sz="0" w:space="0" w:color="auto"/>
              </w:divBdr>
            </w:div>
            <w:div w:id="1170025375">
              <w:marLeft w:val="0"/>
              <w:marRight w:val="0"/>
              <w:marTop w:val="0"/>
              <w:marBottom w:val="0"/>
              <w:divBdr>
                <w:top w:val="none" w:sz="0" w:space="0" w:color="auto"/>
                <w:left w:val="none" w:sz="0" w:space="0" w:color="auto"/>
                <w:bottom w:val="none" w:sz="0" w:space="0" w:color="auto"/>
                <w:right w:val="none" w:sz="0" w:space="0" w:color="auto"/>
              </w:divBdr>
            </w:div>
            <w:div w:id="1207835359">
              <w:marLeft w:val="0"/>
              <w:marRight w:val="0"/>
              <w:marTop w:val="0"/>
              <w:marBottom w:val="0"/>
              <w:divBdr>
                <w:top w:val="none" w:sz="0" w:space="0" w:color="auto"/>
                <w:left w:val="none" w:sz="0" w:space="0" w:color="auto"/>
                <w:bottom w:val="none" w:sz="0" w:space="0" w:color="auto"/>
                <w:right w:val="none" w:sz="0" w:space="0" w:color="auto"/>
              </w:divBdr>
            </w:div>
            <w:div w:id="1313364985">
              <w:marLeft w:val="0"/>
              <w:marRight w:val="0"/>
              <w:marTop w:val="0"/>
              <w:marBottom w:val="0"/>
              <w:divBdr>
                <w:top w:val="none" w:sz="0" w:space="0" w:color="auto"/>
                <w:left w:val="none" w:sz="0" w:space="0" w:color="auto"/>
                <w:bottom w:val="none" w:sz="0" w:space="0" w:color="auto"/>
                <w:right w:val="none" w:sz="0" w:space="0" w:color="auto"/>
              </w:divBdr>
            </w:div>
            <w:div w:id="1356079190">
              <w:marLeft w:val="0"/>
              <w:marRight w:val="0"/>
              <w:marTop w:val="0"/>
              <w:marBottom w:val="0"/>
              <w:divBdr>
                <w:top w:val="none" w:sz="0" w:space="0" w:color="auto"/>
                <w:left w:val="none" w:sz="0" w:space="0" w:color="auto"/>
                <w:bottom w:val="none" w:sz="0" w:space="0" w:color="auto"/>
                <w:right w:val="none" w:sz="0" w:space="0" w:color="auto"/>
              </w:divBdr>
            </w:div>
            <w:div w:id="1410426930">
              <w:marLeft w:val="0"/>
              <w:marRight w:val="0"/>
              <w:marTop w:val="0"/>
              <w:marBottom w:val="0"/>
              <w:divBdr>
                <w:top w:val="none" w:sz="0" w:space="0" w:color="auto"/>
                <w:left w:val="none" w:sz="0" w:space="0" w:color="auto"/>
                <w:bottom w:val="none" w:sz="0" w:space="0" w:color="auto"/>
                <w:right w:val="none" w:sz="0" w:space="0" w:color="auto"/>
              </w:divBdr>
            </w:div>
            <w:div w:id="1546216931">
              <w:marLeft w:val="0"/>
              <w:marRight w:val="0"/>
              <w:marTop w:val="0"/>
              <w:marBottom w:val="0"/>
              <w:divBdr>
                <w:top w:val="none" w:sz="0" w:space="0" w:color="auto"/>
                <w:left w:val="none" w:sz="0" w:space="0" w:color="auto"/>
                <w:bottom w:val="none" w:sz="0" w:space="0" w:color="auto"/>
                <w:right w:val="none" w:sz="0" w:space="0" w:color="auto"/>
              </w:divBdr>
            </w:div>
            <w:div w:id="1614556733">
              <w:marLeft w:val="0"/>
              <w:marRight w:val="0"/>
              <w:marTop w:val="0"/>
              <w:marBottom w:val="0"/>
              <w:divBdr>
                <w:top w:val="none" w:sz="0" w:space="0" w:color="auto"/>
                <w:left w:val="none" w:sz="0" w:space="0" w:color="auto"/>
                <w:bottom w:val="none" w:sz="0" w:space="0" w:color="auto"/>
                <w:right w:val="none" w:sz="0" w:space="0" w:color="auto"/>
              </w:divBdr>
            </w:div>
            <w:div w:id="1690059229">
              <w:marLeft w:val="0"/>
              <w:marRight w:val="0"/>
              <w:marTop w:val="0"/>
              <w:marBottom w:val="0"/>
              <w:divBdr>
                <w:top w:val="none" w:sz="0" w:space="0" w:color="auto"/>
                <w:left w:val="none" w:sz="0" w:space="0" w:color="auto"/>
                <w:bottom w:val="none" w:sz="0" w:space="0" w:color="auto"/>
                <w:right w:val="none" w:sz="0" w:space="0" w:color="auto"/>
              </w:divBdr>
            </w:div>
            <w:div w:id="1710955533">
              <w:marLeft w:val="0"/>
              <w:marRight w:val="0"/>
              <w:marTop w:val="0"/>
              <w:marBottom w:val="0"/>
              <w:divBdr>
                <w:top w:val="none" w:sz="0" w:space="0" w:color="auto"/>
                <w:left w:val="none" w:sz="0" w:space="0" w:color="auto"/>
                <w:bottom w:val="none" w:sz="0" w:space="0" w:color="auto"/>
                <w:right w:val="none" w:sz="0" w:space="0" w:color="auto"/>
              </w:divBdr>
            </w:div>
            <w:div w:id="2014644992">
              <w:marLeft w:val="0"/>
              <w:marRight w:val="0"/>
              <w:marTop w:val="0"/>
              <w:marBottom w:val="0"/>
              <w:divBdr>
                <w:top w:val="none" w:sz="0" w:space="0" w:color="auto"/>
                <w:left w:val="none" w:sz="0" w:space="0" w:color="auto"/>
                <w:bottom w:val="none" w:sz="0" w:space="0" w:color="auto"/>
                <w:right w:val="none" w:sz="0" w:space="0" w:color="auto"/>
              </w:divBdr>
            </w:div>
            <w:div w:id="2041739898">
              <w:marLeft w:val="0"/>
              <w:marRight w:val="0"/>
              <w:marTop w:val="0"/>
              <w:marBottom w:val="0"/>
              <w:divBdr>
                <w:top w:val="none" w:sz="0" w:space="0" w:color="auto"/>
                <w:left w:val="none" w:sz="0" w:space="0" w:color="auto"/>
                <w:bottom w:val="none" w:sz="0" w:space="0" w:color="auto"/>
                <w:right w:val="none" w:sz="0" w:space="0" w:color="auto"/>
              </w:divBdr>
            </w:div>
            <w:div w:id="2105413896">
              <w:marLeft w:val="0"/>
              <w:marRight w:val="0"/>
              <w:marTop w:val="0"/>
              <w:marBottom w:val="0"/>
              <w:divBdr>
                <w:top w:val="none" w:sz="0" w:space="0" w:color="auto"/>
                <w:left w:val="none" w:sz="0" w:space="0" w:color="auto"/>
                <w:bottom w:val="none" w:sz="0" w:space="0" w:color="auto"/>
                <w:right w:val="none" w:sz="0" w:space="0" w:color="auto"/>
              </w:divBdr>
            </w:div>
            <w:div w:id="2119445989">
              <w:marLeft w:val="0"/>
              <w:marRight w:val="0"/>
              <w:marTop w:val="0"/>
              <w:marBottom w:val="0"/>
              <w:divBdr>
                <w:top w:val="none" w:sz="0" w:space="0" w:color="auto"/>
                <w:left w:val="none" w:sz="0" w:space="0" w:color="auto"/>
                <w:bottom w:val="none" w:sz="0" w:space="0" w:color="auto"/>
                <w:right w:val="none" w:sz="0" w:space="0" w:color="auto"/>
              </w:divBdr>
            </w:div>
            <w:div w:id="2119450595">
              <w:marLeft w:val="0"/>
              <w:marRight w:val="0"/>
              <w:marTop w:val="0"/>
              <w:marBottom w:val="0"/>
              <w:divBdr>
                <w:top w:val="none" w:sz="0" w:space="0" w:color="auto"/>
                <w:left w:val="none" w:sz="0" w:space="0" w:color="auto"/>
                <w:bottom w:val="none" w:sz="0" w:space="0" w:color="auto"/>
                <w:right w:val="none" w:sz="0" w:space="0" w:color="auto"/>
              </w:divBdr>
            </w:div>
            <w:div w:id="2146073355">
              <w:marLeft w:val="0"/>
              <w:marRight w:val="0"/>
              <w:marTop w:val="0"/>
              <w:marBottom w:val="0"/>
              <w:divBdr>
                <w:top w:val="none" w:sz="0" w:space="0" w:color="auto"/>
                <w:left w:val="none" w:sz="0" w:space="0" w:color="auto"/>
                <w:bottom w:val="none" w:sz="0" w:space="0" w:color="auto"/>
                <w:right w:val="none" w:sz="0" w:space="0" w:color="auto"/>
              </w:divBdr>
            </w:div>
          </w:divsChild>
        </w:div>
        <w:div w:id="1198396310">
          <w:marLeft w:val="0"/>
          <w:marRight w:val="0"/>
          <w:marTop w:val="0"/>
          <w:marBottom w:val="0"/>
          <w:divBdr>
            <w:top w:val="none" w:sz="0" w:space="0" w:color="auto"/>
            <w:left w:val="none" w:sz="0" w:space="0" w:color="auto"/>
            <w:bottom w:val="none" w:sz="0" w:space="0" w:color="auto"/>
            <w:right w:val="none" w:sz="0" w:space="0" w:color="auto"/>
          </w:divBdr>
        </w:div>
        <w:div w:id="1261064495">
          <w:marLeft w:val="0"/>
          <w:marRight w:val="0"/>
          <w:marTop w:val="0"/>
          <w:marBottom w:val="0"/>
          <w:divBdr>
            <w:top w:val="none" w:sz="0" w:space="0" w:color="auto"/>
            <w:left w:val="none" w:sz="0" w:space="0" w:color="auto"/>
            <w:bottom w:val="none" w:sz="0" w:space="0" w:color="auto"/>
            <w:right w:val="none" w:sz="0" w:space="0" w:color="auto"/>
          </w:divBdr>
        </w:div>
        <w:div w:id="1265268383">
          <w:marLeft w:val="0"/>
          <w:marRight w:val="0"/>
          <w:marTop w:val="0"/>
          <w:marBottom w:val="0"/>
          <w:divBdr>
            <w:top w:val="none" w:sz="0" w:space="0" w:color="auto"/>
            <w:left w:val="none" w:sz="0" w:space="0" w:color="auto"/>
            <w:bottom w:val="none" w:sz="0" w:space="0" w:color="auto"/>
            <w:right w:val="none" w:sz="0" w:space="0" w:color="auto"/>
          </w:divBdr>
        </w:div>
        <w:div w:id="1277181404">
          <w:marLeft w:val="0"/>
          <w:marRight w:val="0"/>
          <w:marTop w:val="0"/>
          <w:marBottom w:val="0"/>
          <w:divBdr>
            <w:top w:val="none" w:sz="0" w:space="0" w:color="auto"/>
            <w:left w:val="none" w:sz="0" w:space="0" w:color="auto"/>
            <w:bottom w:val="none" w:sz="0" w:space="0" w:color="auto"/>
            <w:right w:val="none" w:sz="0" w:space="0" w:color="auto"/>
          </w:divBdr>
          <w:divsChild>
            <w:div w:id="119079181">
              <w:marLeft w:val="0"/>
              <w:marRight w:val="0"/>
              <w:marTop w:val="0"/>
              <w:marBottom w:val="0"/>
              <w:divBdr>
                <w:top w:val="none" w:sz="0" w:space="0" w:color="auto"/>
                <w:left w:val="none" w:sz="0" w:space="0" w:color="auto"/>
                <w:bottom w:val="none" w:sz="0" w:space="0" w:color="auto"/>
                <w:right w:val="none" w:sz="0" w:space="0" w:color="auto"/>
              </w:divBdr>
            </w:div>
            <w:div w:id="120734112">
              <w:marLeft w:val="0"/>
              <w:marRight w:val="0"/>
              <w:marTop w:val="0"/>
              <w:marBottom w:val="0"/>
              <w:divBdr>
                <w:top w:val="none" w:sz="0" w:space="0" w:color="auto"/>
                <w:left w:val="none" w:sz="0" w:space="0" w:color="auto"/>
                <w:bottom w:val="none" w:sz="0" w:space="0" w:color="auto"/>
                <w:right w:val="none" w:sz="0" w:space="0" w:color="auto"/>
              </w:divBdr>
            </w:div>
            <w:div w:id="242183928">
              <w:marLeft w:val="0"/>
              <w:marRight w:val="0"/>
              <w:marTop w:val="0"/>
              <w:marBottom w:val="0"/>
              <w:divBdr>
                <w:top w:val="none" w:sz="0" w:space="0" w:color="auto"/>
                <w:left w:val="none" w:sz="0" w:space="0" w:color="auto"/>
                <w:bottom w:val="none" w:sz="0" w:space="0" w:color="auto"/>
                <w:right w:val="none" w:sz="0" w:space="0" w:color="auto"/>
              </w:divBdr>
            </w:div>
            <w:div w:id="289672337">
              <w:marLeft w:val="0"/>
              <w:marRight w:val="0"/>
              <w:marTop w:val="0"/>
              <w:marBottom w:val="0"/>
              <w:divBdr>
                <w:top w:val="none" w:sz="0" w:space="0" w:color="auto"/>
                <w:left w:val="none" w:sz="0" w:space="0" w:color="auto"/>
                <w:bottom w:val="none" w:sz="0" w:space="0" w:color="auto"/>
                <w:right w:val="none" w:sz="0" w:space="0" w:color="auto"/>
              </w:divBdr>
            </w:div>
            <w:div w:id="327297073">
              <w:marLeft w:val="0"/>
              <w:marRight w:val="0"/>
              <w:marTop w:val="0"/>
              <w:marBottom w:val="0"/>
              <w:divBdr>
                <w:top w:val="none" w:sz="0" w:space="0" w:color="auto"/>
                <w:left w:val="none" w:sz="0" w:space="0" w:color="auto"/>
                <w:bottom w:val="none" w:sz="0" w:space="0" w:color="auto"/>
                <w:right w:val="none" w:sz="0" w:space="0" w:color="auto"/>
              </w:divBdr>
            </w:div>
            <w:div w:id="334040543">
              <w:marLeft w:val="0"/>
              <w:marRight w:val="0"/>
              <w:marTop w:val="0"/>
              <w:marBottom w:val="0"/>
              <w:divBdr>
                <w:top w:val="none" w:sz="0" w:space="0" w:color="auto"/>
                <w:left w:val="none" w:sz="0" w:space="0" w:color="auto"/>
                <w:bottom w:val="none" w:sz="0" w:space="0" w:color="auto"/>
                <w:right w:val="none" w:sz="0" w:space="0" w:color="auto"/>
              </w:divBdr>
            </w:div>
            <w:div w:id="581719591">
              <w:marLeft w:val="0"/>
              <w:marRight w:val="0"/>
              <w:marTop w:val="0"/>
              <w:marBottom w:val="0"/>
              <w:divBdr>
                <w:top w:val="none" w:sz="0" w:space="0" w:color="auto"/>
                <w:left w:val="none" w:sz="0" w:space="0" w:color="auto"/>
                <w:bottom w:val="none" w:sz="0" w:space="0" w:color="auto"/>
                <w:right w:val="none" w:sz="0" w:space="0" w:color="auto"/>
              </w:divBdr>
            </w:div>
            <w:div w:id="584268006">
              <w:marLeft w:val="0"/>
              <w:marRight w:val="0"/>
              <w:marTop w:val="0"/>
              <w:marBottom w:val="0"/>
              <w:divBdr>
                <w:top w:val="none" w:sz="0" w:space="0" w:color="auto"/>
                <w:left w:val="none" w:sz="0" w:space="0" w:color="auto"/>
                <w:bottom w:val="none" w:sz="0" w:space="0" w:color="auto"/>
                <w:right w:val="none" w:sz="0" w:space="0" w:color="auto"/>
              </w:divBdr>
            </w:div>
            <w:div w:id="694498258">
              <w:marLeft w:val="0"/>
              <w:marRight w:val="0"/>
              <w:marTop w:val="0"/>
              <w:marBottom w:val="0"/>
              <w:divBdr>
                <w:top w:val="none" w:sz="0" w:space="0" w:color="auto"/>
                <w:left w:val="none" w:sz="0" w:space="0" w:color="auto"/>
                <w:bottom w:val="none" w:sz="0" w:space="0" w:color="auto"/>
                <w:right w:val="none" w:sz="0" w:space="0" w:color="auto"/>
              </w:divBdr>
            </w:div>
            <w:div w:id="891312200">
              <w:marLeft w:val="0"/>
              <w:marRight w:val="0"/>
              <w:marTop w:val="0"/>
              <w:marBottom w:val="0"/>
              <w:divBdr>
                <w:top w:val="none" w:sz="0" w:space="0" w:color="auto"/>
                <w:left w:val="none" w:sz="0" w:space="0" w:color="auto"/>
                <w:bottom w:val="none" w:sz="0" w:space="0" w:color="auto"/>
                <w:right w:val="none" w:sz="0" w:space="0" w:color="auto"/>
              </w:divBdr>
            </w:div>
            <w:div w:id="1165393050">
              <w:marLeft w:val="0"/>
              <w:marRight w:val="0"/>
              <w:marTop w:val="0"/>
              <w:marBottom w:val="0"/>
              <w:divBdr>
                <w:top w:val="none" w:sz="0" w:space="0" w:color="auto"/>
                <w:left w:val="none" w:sz="0" w:space="0" w:color="auto"/>
                <w:bottom w:val="none" w:sz="0" w:space="0" w:color="auto"/>
                <w:right w:val="none" w:sz="0" w:space="0" w:color="auto"/>
              </w:divBdr>
            </w:div>
            <w:div w:id="1326516312">
              <w:marLeft w:val="0"/>
              <w:marRight w:val="0"/>
              <w:marTop w:val="0"/>
              <w:marBottom w:val="0"/>
              <w:divBdr>
                <w:top w:val="none" w:sz="0" w:space="0" w:color="auto"/>
                <w:left w:val="none" w:sz="0" w:space="0" w:color="auto"/>
                <w:bottom w:val="none" w:sz="0" w:space="0" w:color="auto"/>
                <w:right w:val="none" w:sz="0" w:space="0" w:color="auto"/>
              </w:divBdr>
            </w:div>
            <w:div w:id="1338532814">
              <w:marLeft w:val="0"/>
              <w:marRight w:val="0"/>
              <w:marTop w:val="0"/>
              <w:marBottom w:val="0"/>
              <w:divBdr>
                <w:top w:val="none" w:sz="0" w:space="0" w:color="auto"/>
                <w:left w:val="none" w:sz="0" w:space="0" w:color="auto"/>
                <w:bottom w:val="none" w:sz="0" w:space="0" w:color="auto"/>
                <w:right w:val="none" w:sz="0" w:space="0" w:color="auto"/>
              </w:divBdr>
            </w:div>
            <w:div w:id="1407264294">
              <w:marLeft w:val="0"/>
              <w:marRight w:val="0"/>
              <w:marTop w:val="0"/>
              <w:marBottom w:val="0"/>
              <w:divBdr>
                <w:top w:val="none" w:sz="0" w:space="0" w:color="auto"/>
                <w:left w:val="none" w:sz="0" w:space="0" w:color="auto"/>
                <w:bottom w:val="none" w:sz="0" w:space="0" w:color="auto"/>
                <w:right w:val="none" w:sz="0" w:space="0" w:color="auto"/>
              </w:divBdr>
            </w:div>
            <w:div w:id="1535268772">
              <w:marLeft w:val="0"/>
              <w:marRight w:val="0"/>
              <w:marTop w:val="0"/>
              <w:marBottom w:val="0"/>
              <w:divBdr>
                <w:top w:val="none" w:sz="0" w:space="0" w:color="auto"/>
                <w:left w:val="none" w:sz="0" w:space="0" w:color="auto"/>
                <w:bottom w:val="none" w:sz="0" w:space="0" w:color="auto"/>
                <w:right w:val="none" w:sz="0" w:space="0" w:color="auto"/>
              </w:divBdr>
            </w:div>
            <w:div w:id="1625381126">
              <w:marLeft w:val="0"/>
              <w:marRight w:val="0"/>
              <w:marTop w:val="0"/>
              <w:marBottom w:val="0"/>
              <w:divBdr>
                <w:top w:val="none" w:sz="0" w:space="0" w:color="auto"/>
                <w:left w:val="none" w:sz="0" w:space="0" w:color="auto"/>
                <w:bottom w:val="none" w:sz="0" w:space="0" w:color="auto"/>
                <w:right w:val="none" w:sz="0" w:space="0" w:color="auto"/>
              </w:divBdr>
            </w:div>
            <w:div w:id="1739547710">
              <w:marLeft w:val="0"/>
              <w:marRight w:val="0"/>
              <w:marTop w:val="0"/>
              <w:marBottom w:val="0"/>
              <w:divBdr>
                <w:top w:val="none" w:sz="0" w:space="0" w:color="auto"/>
                <w:left w:val="none" w:sz="0" w:space="0" w:color="auto"/>
                <w:bottom w:val="none" w:sz="0" w:space="0" w:color="auto"/>
                <w:right w:val="none" w:sz="0" w:space="0" w:color="auto"/>
              </w:divBdr>
            </w:div>
            <w:div w:id="1871720362">
              <w:marLeft w:val="0"/>
              <w:marRight w:val="0"/>
              <w:marTop w:val="0"/>
              <w:marBottom w:val="0"/>
              <w:divBdr>
                <w:top w:val="none" w:sz="0" w:space="0" w:color="auto"/>
                <w:left w:val="none" w:sz="0" w:space="0" w:color="auto"/>
                <w:bottom w:val="none" w:sz="0" w:space="0" w:color="auto"/>
                <w:right w:val="none" w:sz="0" w:space="0" w:color="auto"/>
              </w:divBdr>
            </w:div>
            <w:div w:id="1879318016">
              <w:marLeft w:val="0"/>
              <w:marRight w:val="0"/>
              <w:marTop w:val="0"/>
              <w:marBottom w:val="0"/>
              <w:divBdr>
                <w:top w:val="none" w:sz="0" w:space="0" w:color="auto"/>
                <w:left w:val="none" w:sz="0" w:space="0" w:color="auto"/>
                <w:bottom w:val="none" w:sz="0" w:space="0" w:color="auto"/>
                <w:right w:val="none" w:sz="0" w:space="0" w:color="auto"/>
              </w:divBdr>
            </w:div>
            <w:div w:id="1987590348">
              <w:marLeft w:val="0"/>
              <w:marRight w:val="0"/>
              <w:marTop w:val="0"/>
              <w:marBottom w:val="0"/>
              <w:divBdr>
                <w:top w:val="none" w:sz="0" w:space="0" w:color="auto"/>
                <w:left w:val="none" w:sz="0" w:space="0" w:color="auto"/>
                <w:bottom w:val="none" w:sz="0" w:space="0" w:color="auto"/>
                <w:right w:val="none" w:sz="0" w:space="0" w:color="auto"/>
              </w:divBdr>
            </w:div>
          </w:divsChild>
        </w:div>
        <w:div w:id="1279222814">
          <w:marLeft w:val="0"/>
          <w:marRight w:val="0"/>
          <w:marTop w:val="0"/>
          <w:marBottom w:val="0"/>
          <w:divBdr>
            <w:top w:val="none" w:sz="0" w:space="0" w:color="auto"/>
            <w:left w:val="none" w:sz="0" w:space="0" w:color="auto"/>
            <w:bottom w:val="none" w:sz="0" w:space="0" w:color="auto"/>
            <w:right w:val="none" w:sz="0" w:space="0" w:color="auto"/>
          </w:divBdr>
        </w:div>
        <w:div w:id="1502115060">
          <w:marLeft w:val="0"/>
          <w:marRight w:val="0"/>
          <w:marTop w:val="0"/>
          <w:marBottom w:val="0"/>
          <w:divBdr>
            <w:top w:val="none" w:sz="0" w:space="0" w:color="auto"/>
            <w:left w:val="none" w:sz="0" w:space="0" w:color="auto"/>
            <w:bottom w:val="none" w:sz="0" w:space="0" w:color="auto"/>
            <w:right w:val="none" w:sz="0" w:space="0" w:color="auto"/>
          </w:divBdr>
        </w:div>
        <w:div w:id="1539510585">
          <w:marLeft w:val="0"/>
          <w:marRight w:val="0"/>
          <w:marTop w:val="0"/>
          <w:marBottom w:val="0"/>
          <w:divBdr>
            <w:top w:val="none" w:sz="0" w:space="0" w:color="auto"/>
            <w:left w:val="none" w:sz="0" w:space="0" w:color="auto"/>
            <w:bottom w:val="none" w:sz="0" w:space="0" w:color="auto"/>
            <w:right w:val="none" w:sz="0" w:space="0" w:color="auto"/>
          </w:divBdr>
        </w:div>
        <w:div w:id="1590456511">
          <w:marLeft w:val="0"/>
          <w:marRight w:val="0"/>
          <w:marTop w:val="0"/>
          <w:marBottom w:val="0"/>
          <w:divBdr>
            <w:top w:val="none" w:sz="0" w:space="0" w:color="auto"/>
            <w:left w:val="none" w:sz="0" w:space="0" w:color="auto"/>
            <w:bottom w:val="none" w:sz="0" w:space="0" w:color="auto"/>
            <w:right w:val="none" w:sz="0" w:space="0" w:color="auto"/>
          </w:divBdr>
        </w:div>
        <w:div w:id="1594237160">
          <w:marLeft w:val="0"/>
          <w:marRight w:val="0"/>
          <w:marTop w:val="0"/>
          <w:marBottom w:val="0"/>
          <w:divBdr>
            <w:top w:val="none" w:sz="0" w:space="0" w:color="auto"/>
            <w:left w:val="none" w:sz="0" w:space="0" w:color="auto"/>
            <w:bottom w:val="none" w:sz="0" w:space="0" w:color="auto"/>
            <w:right w:val="none" w:sz="0" w:space="0" w:color="auto"/>
          </w:divBdr>
        </w:div>
        <w:div w:id="1597443874">
          <w:marLeft w:val="0"/>
          <w:marRight w:val="0"/>
          <w:marTop w:val="0"/>
          <w:marBottom w:val="0"/>
          <w:divBdr>
            <w:top w:val="none" w:sz="0" w:space="0" w:color="auto"/>
            <w:left w:val="none" w:sz="0" w:space="0" w:color="auto"/>
            <w:bottom w:val="none" w:sz="0" w:space="0" w:color="auto"/>
            <w:right w:val="none" w:sz="0" w:space="0" w:color="auto"/>
          </w:divBdr>
        </w:div>
        <w:div w:id="1648704190">
          <w:marLeft w:val="0"/>
          <w:marRight w:val="0"/>
          <w:marTop w:val="0"/>
          <w:marBottom w:val="0"/>
          <w:divBdr>
            <w:top w:val="none" w:sz="0" w:space="0" w:color="auto"/>
            <w:left w:val="none" w:sz="0" w:space="0" w:color="auto"/>
            <w:bottom w:val="none" w:sz="0" w:space="0" w:color="auto"/>
            <w:right w:val="none" w:sz="0" w:space="0" w:color="auto"/>
          </w:divBdr>
        </w:div>
        <w:div w:id="1696924141">
          <w:marLeft w:val="0"/>
          <w:marRight w:val="0"/>
          <w:marTop w:val="0"/>
          <w:marBottom w:val="0"/>
          <w:divBdr>
            <w:top w:val="none" w:sz="0" w:space="0" w:color="auto"/>
            <w:left w:val="none" w:sz="0" w:space="0" w:color="auto"/>
            <w:bottom w:val="none" w:sz="0" w:space="0" w:color="auto"/>
            <w:right w:val="none" w:sz="0" w:space="0" w:color="auto"/>
          </w:divBdr>
        </w:div>
        <w:div w:id="1711806010">
          <w:marLeft w:val="0"/>
          <w:marRight w:val="0"/>
          <w:marTop w:val="0"/>
          <w:marBottom w:val="0"/>
          <w:divBdr>
            <w:top w:val="none" w:sz="0" w:space="0" w:color="auto"/>
            <w:left w:val="none" w:sz="0" w:space="0" w:color="auto"/>
            <w:bottom w:val="none" w:sz="0" w:space="0" w:color="auto"/>
            <w:right w:val="none" w:sz="0" w:space="0" w:color="auto"/>
          </w:divBdr>
        </w:div>
        <w:div w:id="1784811974">
          <w:marLeft w:val="0"/>
          <w:marRight w:val="0"/>
          <w:marTop w:val="0"/>
          <w:marBottom w:val="0"/>
          <w:divBdr>
            <w:top w:val="none" w:sz="0" w:space="0" w:color="auto"/>
            <w:left w:val="none" w:sz="0" w:space="0" w:color="auto"/>
            <w:bottom w:val="none" w:sz="0" w:space="0" w:color="auto"/>
            <w:right w:val="none" w:sz="0" w:space="0" w:color="auto"/>
          </w:divBdr>
        </w:div>
        <w:div w:id="1842426274">
          <w:marLeft w:val="0"/>
          <w:marRight w:val="0"/>
          <w:marTop w:val="0"/>
          <w:marBottom w:val="0"/>
          <w:divBdr>
            <w:top w:val="none" w:sz="0" w:space="0" w:color="auto"/>
            <w:left w:val="none" w:sz="0" w:space="0" w:color="auto"/>
            <w:bottom w:val="none" w:sz="0" w:space="0" w:color="auto"/>
            <w:right w:val="none" w:sz="0" w:space="0" w:color="auto"/>
          </w:divBdr>
        </w:div>
        <w:div w:id="1876888074">
          <w:marLeft w:val="0"/>
          <w:marRight w:val="0"/>
          <w:marTop w:val="0"/>
          <w:marBottom w:val="0"/>
          <w:divBdr>
            <w:top w:val="none" w:sz="0" w:space="0" w:color="auto"/>
            <w:left w:val="none" w:sz="0" w:space="0" w:color="auto"/>
            <w:bottom w:val="none" w:sz="0" w:space="0" w:color="auto"/>
            <w:right w:val="none" w:sz="0" w:space="0" w:color="auto"/>
          </w:divBdr>
        </w:div>
        <w:div w:id="1918399707">
          <w:marLeft w:val="0"/>
          <w:marRight w:val="0"/>
          <w:marTop w:val="0"/>
          <w:marBottom w:val="0"/>
          <w:divBdr>
            <w:top w:val="none" w:sz="0" w:space="0" w:color="auto"/>
            <w:left w:val="none" w:sz="0" w:space="0" w:color="auto"/>
            <w:bottom w:val="none" w:sz="0" w:space="0" w:color="auto"/>
            <w:right w:val="none" w:sz="0" w:space="0" w:color="auto"/>
          </w:divBdr>
        </w:div>
        <w:div w:id="1956709922">
          <w:marLeft w:val="0"/>
          <w:marRight w:val="0"/>
          <w:marTop w:val="0"/>
          <w:marBottom w:val="0"/>
          <w:divBdr>
            <w:top w:val="none" w:sz="0" w:space="0" w:color="auto"/>
            <w:left w:val="none" w:sz="0" w:space="0" w:color="auto"/>
            <w:bottom w:val="none" w:sz="0" w:space="0" w:color="auto"/>
            <w:right w:val="none" w:sz="0" w:space="0" w:color="auto"/>
          </w:divBdr>
        </w:div>
        <w:div w:id="1981031715">
          <w:marLeft w:val="0"/>
          <w:marRight w:val="0"/>
          <w:marTop w:val="0"/>
          <w:marBottom w:val="0"/>
          <w:divBdr>
            <w:top w:val="none" w:sz="0" w:space="0" w:color="auto"/>
            <w:left w:val="none" w:sz="0" w:space="0" w:color="auto"/>
            <w:bottom w:val="none" w:sz="0" w:space="0" w:color="auto"/>
            <w:right w:val="none" w:sz="0" w:space="0" w:color="auto"/>
          </w:divBdr>
          <w:divsChild>
            <w:div w:id="572660030">
              <w:marLeft w:val="0"/>
              <w:marRight w:val="0"/>
              <w:marTop w:val="0"/>
              <w:marBottom w:val="0"/>
              <w:divBdr>
                <w:top w:val="none" w:sz="0" w:space="0" w:color="auto"/>
                <w:left w:val="none" w:sz="0" w:space="0" w:color="auto"/>
                <w:bottom w:val="none" w:sz="0" w:space="0" w:color="auto"/>
                <w:right w:val="none" w:sz="0" w:space="0" w:color="auto"/>
              </w:divBdr>
            </w:div>
            <w:div w:id="601035047">
              <w:marLeft w:val="0"/>
              <w:marRight w:val="0"/>
              <w:marTop w:val="0"/>
              <w:marBottom w:val="0"/>
              <w:divBdr>
                <w:top w:val="none" w:sz="0" w:space="0" w:color="auto"/>
                <w:left w:val="none" w:sz="0" w:space="0" w:color="auto"/>
                <w:bottom w:val="none" w:sz="0" w:space="0" w:color="auto"/>
                <w:right w:val="none" w:sz="0" w:space="0" w:color="auto"/>
              </w:divBdr>
            </w:div>
            <w:div w:id="681971913">
              <w:marLeft w:val="0"/>
              <w:marRight w:val="0"/>
              <w:marTop w:val="0"/>
              <w:marBottom w:val="0"/>
              <w:divBdr>
                <w:top w:val="none" w:sz="0" w:space="0" w:color="auto"/>
                <w:left w:val="none" w:sz="0" w:space="0" w:color="auto"/>
                <w:bottom w:val="none" w:sz="0" w:space="0" w:color="auto"/>
                <w:right w:val="none" w:sz="0" w:space="0" w:color="auto"/>
              </w:divBdr>
            </w:div>
            <w:div w:id="735594473">
              <w:marLeft w:val="0"/>
              <w:marRight w:val="0"/>
              <w:marTop w:val="0"/>
              <w:marBottom w:val="0"/>
              <w:divBdr>
                <w:top w:val="none" w:sz="0" w:space="0" w:color="auto"/>
                <w:left w:val="none" w:sz="0" w:space="0" w:color="auto"/>
                <w:bottom w:val="none" w:sz="0" w:space="0" w:color="auto"/>
                <w:right w:val="none" w:sz="0" w:space="0" w:color="auto"/>
              </w:divBdr>
            </w:div>
            <w:div w:id="741751937">
              <w:marLeft w:val="0"/>
              <w:marRight w:val="0"/>
              <w:marTop w:val="0"/>
              <w:marBottom w:val="0"/>
              <w:divBdr>
                <w:top w:val="none" w:sz="0" w:space="0" w:color="auto"/>
                <w:left w:val="none" w:sz="0" w:space="0" w:color="auto"/>
                <w:bottom w:val="none" w:sz="0" w:space="0" w:color="auto"/>
                <w:right w:val="none" w:sz="0" w:space="0" w:color="auto"/>
              </w:divBdr>
            </w:div>
            <w:div w:id="935746729">
              <w:marLeft w:val="0"/>
              <w:marRight w:val="0"/>
              <w:marTop w:val="0"/>
              <w:marBottom w:val="0"/>
              <w:divBdr>
                <w:top w:val="none" w:sz="0" w:space="0" w:color="auto"/>
                <w:left w:val="none" w:sz="0" w:space="0" w:color="auto"/>
                <w:bottom w:val="none" w:sz="0" w:space="0" w:color="auto"/>
                <w:right w:val="none" w:sz="0" w:space="0" w:color="auto"/>
              </w:divBdr>
            </w:div>
            <w:div w:id="1177117965">
              <w:marLeft w:val="0"/>
              <w:marRight w:val="0"/>
              <w:marTop w:val="0"/>
              <w:marBottom w:val="0"/>
              <w:divBdr>
                <w:top w:val="none" w:sz="0" w:space="0" w:color="auto"/>
                <w:left w:val="none" w:sz="0" w:space="0" w:color="auto"/>
                <w:bottom w:val="none" w:sz="0" w:space="0" w:color="auto"/>
                <w:right w:val="none" w:sz="0" w:space="0" w:color="auto"/>
              </w:divBdr>
            </w:div>
            <w:div w:id="1306009681">
              <w:marLeft w:val="0"/>
              <w:marRight w:val="0"/>
              <w:marTop w:val="0"/>
              <w:marBottom w:val="0"/>
              <w:divBdr>
                <w:top w:val="none" w:sz="0" w:space="0" w:color="auto"/>
                <w:left w:val="none" w:sz="0" w:space="0" w:color="auto"/>
                <w:bottom w:val="none" w:sz="0" w:space="0" w:color="auto"/>
                <w:right w:val="none" w:sz="0" w:space="0" w:color="auto"/>
              </w:divBdr>
            </w:div>
            <w:div w:id="1367831319">
              <w:marLeft w:val="0"/>
              <w:marRight w:val="0"/>
              <w:marTop w:val="0"/>
              <w:marBottom w:val="0"/>
              <w:divBdr>
                <w:top w:val="none" w:sz="0" w:space="0" w:color="auto"/>
                <w:left w:val="none" w:sz="0" w:space="0" w:color="auto"/>
                <w:bottom w:val="none" w:sz="0" w:space="0" w:color="auto"/>
                <w:right w:val="none" w:sz="0" w:space="0" w:color="auto"/>
              </w:divBdr>
            </w:div>
            <w:div w:id="1406487476">
              <w:marLeft w:val="0"/>
              <w:marRight w:val="0"/>
              <w:marTop w:val="0"/>
              <w:marBottom w:val="0"/>
              <w:divBdr>
                <w:top w:val="none" w:sz="0" w:space="0" w:color="auto"/>
                <w:left w:val="none" w:sz="0" w:space="0" w:color="auto"/>
                <w:bottom w:val="none" w:sz="0" w:space="0" w:color="auto"/>
                <w:right w:val="none" w:sz="0" w:space="0" w:color="auto"/>
              </w:divBdr>
            </w:div>
            <w:div w:id="1495679395">
              <w:marLeft w:val="0"/>
              <w:marRight w:val="0"/>
              <w:marTop w:val="0"/>
              <w:marBottom w:val="0"/>
              <w:divBdr>
                <w:top w:val="none" w:sz="0" w:space="0" w:color="auto"/>
                <w:left w:val="none" w:sz="0" w:space="0" w:color="auto"/>
                <w:bottom w:val="none" w:sz="0" w:space="0" w:color="auto"/>
                <w:right w:val="none" w:sz="0" w:space="0" w:color="auto"/>
              </w:divBdr>
            </w:div>
            <w:div w:id="1568494717">
              <w:marLeft w:val="0"/>
              <w:marRight w:val="0"/>
              <w:marTop w:val="0"/>
              <w:marBottom w:val="0"/>
              <w:divBdr>
                <w:top w:val="none" w:sz="0" w:space="0" w:color="auto"/>
                <w:left w:val="none" w:sz="0" w:space="0" w:color="auto"/>
                <w:bottom w:val="none" w:sz="0" w:space="0" w:color="auto"/>
                <w:right w:val="none" w:sz="0" w:space="0" w:color="auto"/>
              </w:divBdr>
            </w:div>
            <w:div w:id="1584602929">
              <w:marLeft w:val="0"/>
              <w:marRight w:val="0"/>
              <w:marTop w:val="0"/>
              <w:marBottom w:val="0"/>
              <w:divBdr>
                <w:top w:val="none" w:sz="0" w:space="0" w:color="auto"/>
                <w:left w:val="none" w:sz="0" w:space="0" w:color="auto"/>
                <w:bottom w:val="none" w:sz="0" w:space="0" w:color="auto"/>
                <w:right w:val="none" w:sz="0" w:space="0" w:color="auto"/>
              </w:divBdr>
            </w:div>
            <w:div w:id="1599100944">
              <w:marLeft w:val="0"/>
              <w:marRight w:val="0"/>
              <w:marTop w:val="0"/>
              <w:marBottom w:val="0"/>
              <w:divBdr>
                <w:top w:val="none" w:sz="0" w:space="0" w:color="auto"/>
                <w:left w:val="none" w:sz="0" w:space="0" w:color="auto"/>
                <w:bottom w:val="none" w:sz="0" w:space="0" w:color="auto"/>
                <w:right w:val="none" w:sz="0" w:space="0" w:color="auto"/>
              </w:divBdr>
            </w:div>
            <w:div w:id="1929193436">
              <w:marLeft w:val="0"/>
              <w:marRight w:val="0"/>
              <w:marTop w:val="0"/>
              <w:marBottom w:val="0"/>
              <w:divBdr>
                <w:top w:val="none" w:sz="0" w:space="0" w:color="auto"/>
                <w:left w:val="none" w:sz="0" w:space="0" w:color="auto"/>
                <w:bottom w:val="none" w:sz="0" w:space="0" w:color="auto"/>
                <w:right w:val="none" w:sz="0" w:space="0" w:color="auto"/>
              </w:divBdr>
            </w:div>
            <w:div w:id="2018118277">
              <w:marLeft w:val="0"/>
              <w:marRight w:val="0"/>
              <w:marTop w:val="0"/>
              <w:marBottom w:val="0"/>
              <w:divBdr>
                <w:top w:val="none" w:sz="0" w:space="0" w:color="auto"/>
                <w:left w:val="none" w:sz="0" w:space="0" w:color="auto"/>
                <w:bottom w:val="none" w:sz="0" w:space="0" w:color="auto"/>
                <w:right w:val="none" w:sz="0" w:space="0" w:color="auto"/>
              </w:divBdr>
            </w:div>
            <w:div w:id="2115900217">
              <w:marLeft w:val="0"/>
              <w:marRight w:val="0"/>
              <w:marTop w:val="0"/>
              <w:marBottom w:val="0"/>
              <w:divBdr>
                <w:top w:val="none" w:sz="0" w:space="0" w:color="auto"/>
                <w:left w:val="none" w:sz="0" w:space="0" w:color="auto"/>
                <w:bottom w:val="none" w:sz="0" w:space="0" w:color="auto"/>
                <w:right w:val="none" w:sz="0" w:space="0" w:color="auto"/>
              </w:divBdr>
            </w:div>
            <w:div w:id="2116636461">
              <w:marLeft w:val="0"/>
              <w:marRight w:val="0"/>
              <w:marTop w:val="0"/>
              <w:marBottom w:val="0"/>
              <w:divBdr>
                <w:top w:val="none" w:sz="0" w:space="0" w:color="auto"/>
                <w:left w:val="none" w:sz="0" w:space="0" w:color="auto"/>
                <w:bottom w:val="none" w:sz="0" w:space="0" w:color="auto"/>
                <w:right w:val="none" w:sz="0" w:space="0" w:color="auto"/>
              </w:divBdr>
            </w:div>
            <w:div w:id="2117752401">
              <w:marLeft w:val="0"/>
              <w:marRight w:val="0"/>
              <w:marTop w:val="0"/>
              <w:marBottom w:val="0"/>
              <w:divBdr>
                <w:top w:val="none" w:sz="0" w:space="0" w:color="auto"/>
                <w:left w:val="none" w:sz="0" w:space="0" w:color="auto"/>
                <w:bottom w:val="none" w:sz="0" w:space="0" w:color="auto"/>
                <w:right w:val="none" w:sz="0" w:space="0" w:color="auto"/>
              </w:divBdr>
            </w:div>
            <w:div w:id="2134322213">
              <w:marLeft w:val="0"/>
              <w:marRight w:val="0"/>
              <w:marTop w:val="0"/>
              <w:marBottom w:val="0"/>
              <w:divBdr>
                <w:top w:val="none" w:sz="0" w:space="0" w:color="auto"/>
                <w:left w:val="none" w:sz="0" w:space="0" w:color="auto"/>
                <w:bottom w:val="none" w:sz="0" w:space="0" w:color="auto"/>
                <w:right w:val="none" w:sz="0" w:space="0" w:color="auto"/>
              </w:divBdr>
            </w:div>
          </w:divsChild>
        </w:div>
        <w:div w:id="2032876512">
          <w:marLeft w:val="0"/>
          <w:marRight w:val="0"/>
          <w:marTop w:val="0"/>
          <w:marBottom w:val="0"/>
          <w:divBdr>
            <w:top w:val="none" w:sz="0" w:space="0" w:color="auto"/>
            <w:left w:val="none" w:sz="0" w:space="0" w:color="auto"/>
            <w:bottom w:val="none" w:sz="0" w:space="0" w:color="auto"/>
            <w:right w:val="none" w:sz="0" w:space="0" w:color="auto"/>
          </w:divBdr>
        </w:div>
        <w:div w:id="2082676223">
          <w:marLeft w:val="0"/>
          <w:marRight w:val="0"/>
          <w:marTop w:val="0"/>
          <w:marBottom w:val="0"/>
          <w:divBdr>
            <w:top w:val="none" w:sz="0" w:space="0" w:color="auto"/>
            <w:left w:val="none" w:sz="0" w:space="0" w:color="auto"/>
            <w:bottom w:val="none" w:sz="0" w:space="0" w:color="auto"/>
            <w:right w:val="none" w:sz="0" w:space="0" w:color="auto"/>
          </w:divBdr>
        </w:div>
        <w:div w:id="2118022711">
          <w:marLeft w:val="0"/>
          <w:marRight w:val="0"/>
          <w:marTop w:val="0"/>
          <w:marBottom w:val="0"/>
          <w:divBdr>
            <w:top w:val="none" w:sz="0" w:space="0" w:color="auto"/>
            <w:left w:val="none" w:sz="0" w:space="0" w:color="auto"/>
            <w:bottom w:val="none" w:sz="0" w:space="0" w:color="auto"/>
            <w:right w:val="none" w:sz="0" w:space="0" w:color="auto"/>
          </w:divBdr>
        </w:div>
        <w:div w:id="2120683469">
          <w:marLeft w:val="0"/>
          <w:marRight w:val="0"/>
          <w:marTop w:val="0"/>
          <w:marBottom w:val="0"/>
          <w:divBdr>
            <w:top w:val="none" w:sz="0" w:space="0" w:color="auto"/>
            <w:left w:val="none" w:sz="0" w:space="0" w:color="auto"/>
            <w:bottom w:val="none" w:sz="0" w:space="0" w:color="auto"/>
            <w:right w:val="none" w:sz="0" w:space="0" w:color="auto"/>
          </w:divBdr>
        </w:div>
        <w:div w:id="2139301423">
          <w:marLeft w:val="0"/>
          <w:marRight w:val="0"/>
          <w:marTop w:val="0"/>
          <w:marBottom w:val="0"/>
          <w:divBdr>
            <w:top w:val="none" w:sz="0" w:space="0" w:color="auto"/>
            <w:left w:val="none" w:sz="0" w:space="0" w:color="auto"/>
            <w:bottom w:val="none" w:sz="0" w:space="0" w:color="auto"/>
            <w:right w:val="none" w:sz="0" w:space="0" w:color="auto"/>
          </w:divBdr>
        </w:div>
      </w:divsChild>
    </w:div>
    <w:div w:id="1251430317">
      <w:bodyDiv w:val="1"/>
      <w:marLeft w:val="0"/>
      <w:marRight w:val="0"/>
      <w:marTop w:val="0"/>
      <w:marBottom w:val="0"/>
      <w:divBdr>
        <w:top w:val="none" w:sz="0" w:space="0" w:color="auto"/>
        <w:left w:val="none" w:sz="0" w:space="0" w:color="auto"/>
        <w:bottom w:val="none" w:sz="0" w:space="0" w:color="auto"/>
        <w:right w:val="none" w:sz="0" w:space="0" w:color="auto"/>
      </w:divBdr>
      <w:divsChild>
        <w:div w:id="119350921">
          <w:marLeft w:val="0"/>
          <w:marRight w:val="0"/>
          <w:marTop w:val="0"/>
          <w:marBottom w:val="0"/>
          <w:divBdr>
            <w:top w:val="none" w:sz="0" w:space="0" w:color="auto"/>
            <w:left w:val="none" w:sz="0" w:space="0" w:color="auto"/>
            <w:bottom w:val="none" w:sz="0" w:space="0" w:color="auto"/>
            <w:right w:val="none" w:sz="0" w:space="0" w:color="auto"/>
          </w:divBdr>
          <w:divsChild>
            <w:div w:id="1089736869">
              <w:marLeft w:val="0"/>
              <w:marRight w:val="0"/>
              <w:marTop w:val="0"/>
              <w:marBottom w:val="0"/>
              <w:divBdr>
                <w:top w:val="none" w:sz="0" w:space="0" w:color="auto"/>
                <w:left w:val="none" w:sz="0" w:space="0" w:color="auto"/>
                <w:bottom w:val="none" w:sz="0" w:space="0" w:color="auto"/>
                <w:right w:val="none" w:sz="0" w:space="0" w:color="auto"/>
              </w:divBdr>
            </w:div>
          </w:divsChild>
        </w:div>
        <w:div w:id="163513127">
          <w:marLeft w:val="0"/>
          <w:marRight w:val="0"/>
          <w:marTop w:val="0"/>
          <w:marBottom w:val="0"/>
          <w:divBdr>
            <w:top w:val="none" w:sz="0" w:space="0" w:color="auto"/>
            <w:left w:val="none" w:sz="0" w:space="0" w:color="auto"/>
            <w:bottom w:val="none" w:sz="0" w:space="0" w:color="auto"/>
            <w:right w:val="none" w:sz="0" w:space="0" w:color="auto"/>
          </w:divBdr>
          <w:divsChild>
            <w:div w:id="350689629">
              <w:marLeft w:val="0"/>
              <w:marRight w:val="0"/>
              <w:marTop w:val="0"/>
              <w:marBottom w:val="0"/>
              <w:divBdr>
                <w:top w:val="none" w:sz="0" w:space="0" w:color="auto"/>
                <w:left w:val="none" w:sz="0" w:space="0" w:color="auto"/>
                <w:bottom w:val="none" w:sz="0" w:space="0" w:color="auto"/>
                <w:right w:val="none" w:sz="0" w:space="0" w:color="auto"/>
              </w:divBdr>
            </w:div>
          </w:divsChild>
        </w:div>
        <w:div w:id="329795965">
          <w:marLeft w:val="0"/>
          <w:marRight w:val="0"/>
          <w:marTop w:val="0"/>
          <w:marBottom w:val="0"/>
          <w:divBdr>
            <w:top w:val="none" w:sz="0" w:space="0" w:color="auto"/>
            <w:left w:val="none" w:sz="0" w:space="0" w:color="auto"/>
            <w:bottom w:val="none" w:sz="0" w:space="0" w:color="auto"/>
            <w:right w:val="none" w:sz="0" w:space="0" w:color="auto"/>
          </w:divBdr>
          <w:divsChild>
            <w:div w:id="1313749246">
              <w:marLeft w:val="0"/>
              <w:marRight w:val="0"/>
              <w:marTop w:val="0"/>
              <w:marBottom w:val="0"/>
              <w:divBdr>
                <w:top w:val="none" w:sz="0" w:space="0" w:color="auto"/>
                <w:left w:val="none" w:sz="0" w:space="0" w:color="auto"/>
                <w:bottom w:val="none" w:sz="0" w:space="0" w:color="auto"/>
                <w:right w:val="none" w:sz="0" w:space="0" w:color="auto"/>
              </w:divBdr>
            </w:div>
          </w:divsChild>
        </w:div>
        <w:div w:id="369035503">
          <w:marLeft w:val="0"/>
          <w:marRight w:val="0"/>
          <w:marTop w:val="0"/>
          <w:marBottom w:val="0"/>
          <w:divBdr>
            <w:top w:val="none" w:sz="0" w:space="0" w:color="auto"/>
            <w:left w:val="none" w:sz="0" w:space="0" w:color="auto"/>
            <w:bottom w:val="none" w:sz="0" w:space="0" w:color="auto"/>
            <w:right w:val="none" w:sz="0" w:space="0" w:color="auto"/>
          </w:divBdr>
          <w:divsChild>
            <w:div w:id="1317804681">
              <w:marLeft w:val="0"/>
              <w:marRight w:val="0"/>
              <w:marTop w:val="0"/>
              <w:marBottom w:val="0"/>
              <w:divBdr>
                <w:top w:val="none" w:sz="0" w:space="0" w:color="auto"/>
                <w:left w:val="none" w:sz="0" w:space="0" w:color="auto"/>
                <w:bottom w:val="none" w:sz="0" w:space="0" w:color="auto"/>
                <w:right w:val="none" w:sz="0" w:space="0" w:color="auto"/>
              </w:divBdr>
            </w:div>
          </w:divsChild>
        </w:div>
        <w:div w:id="432483523">
          <w:marLeft w:val="0"/>
          <w:marRight w:val="0"/>
          <w:marTop w:val="0"/>
          <w:marBottom w:val="0"/>
          <w:divBdr>
            <w:top w:val="none" w:sz="0" w:space="0" w:color="auto"/>
            <w:left w:val="none" w:sz="0" w:space="0" w:color="auto"/>
            <w:bottom w:val="none" w:sz="0" w:space="0" w:color="auto"/>
            <w:right w:val="none" w:sz="0" w:space="0" w:color="auto"/>
          </w:divBdr>
          <w:divsChild>
            <w:div w:id="1156341987">
              <w:marLeft w:val="0"/>
              <w:marRight w:val="0"/>
              <w:marTop w:val="0"/>
              <w:marBottom w:val="0"/>
              <w:divBdr>
                <w:top w:val="none" w:sz="0" w:space="0" w:color="auto"/>
                <w:left w:val="none" w:sz="0" w:space="0" w:color="auto"/>
                <w:bottom w:val="none" w:sz="0" w:space="0" w:color="auto"/>
                <w:right w:val="none" w:sz="0" w:space="0" w:color="auto"/>
              </w:divBdr>
            </w:div>
          </w:divsChild>
        </w:div>
        <w:div w:id="644314287">
          <w:marLeft w:val="0"/>
          <w:marRight w:val="0"/>
          <w:marTop w:val="0"/>
          <w:marBottom w:val="0"/>
          <w:divBdr>
            <w:top w:val="none" w:sz="0" w:space="0" w:color="auto"/>
            <w:left w:val="none" w:sz="0" w:space="0" w:color="auto"/>
            <w:bottom w:val="none" w:sz="0" w:space="0" w:color="auto"/>
            <w:right w:val="none" w:sz="0" w:space="0" w:color="auto"/>
          </w:divBdr>
          <w:divsChild>
            <w:div w:id="283728740">
              <w:marLeft w:val="0"/>
              <w:marRight w:val="0"/>
              <w:marTop w:val="0"/>
              <w:marBottom w:val="0"/>
              <w:divBdr>
                <w:top w:val="none" w:sz="0" w:space="0" w:color="auto"/>
                <w:left w:val="none" w:sz="0" w:space="0" w:color="auto"/>
                <w:bottom w:val="none" w:sz="0" w:space="0" w:color="auto"/>
                <w:right w:val="none" w:sz="0" w:space="0" w:color="auto"/>
              </w:divBdr>
            </w:div>
          </w:divsChild>
        </w:div>
        <w:div w:id="696320488">
          <w:marLeft w:val="0"/>
          <w:marRight w:val="0"/>
          <w:marTop w:val="0"/>
          <w:marBottom w:val="0"/>
          <w:divBdr>
            <w:top w:val="none" w:sz="0" w:space="0" w:color="auto"/>
            <w:left w:val="none" w:sz="0" w:space="0" w:color="auto"/>
            <w:bottom w:val="none" w:sz="0" w:space="0" w:color="auto"/>
            <w:right w:val="none" w:sz="0" w:space="0" w:color="auto"/>
          </w:divBdr>
          <w:divsChild>
            <w:div w:id="333648928">
              <w:marLeft w:val="0"/>
              <w:marRight w:val="0"/>
              <w:marTop w:val="0"/>
              <w:marBottom w:val="0"/>
              <w:divBdr>
                <w:top w:val="none" w:sz="0" w:space="0" w:color="auto"/>
                <w:left w:val="none" w:sz="0" w:space="0" w:color="auto"/>
                <w:bottom w:val="none" w:sz="0" w:space="0" w:color="auto"/>
                <w:right w:val="none" w:sz="0" w:space="0" w:color="auto"/>
              </w:divBdr>
            </w:div>
            <w:div w:id="2125804044">
              <w:marLeft w:val="0"/>
              <w:marRight w:val="0"/>
              <w:marTop w:val="0"/>
              <w:marBottom w:val="0"/>
              <w:divBdr>
                <w:top w:val="none" w:sz="0" w:space="0" w:color="auto"/>
                <w:left w:val="none" w:sz="0" w:space="0" w:color="auto"/>
                <w:bottom w:val="none" w:sz="0" w:space="0" w:color="auto"/>
                <w:right w:val="none" w:sz="0" w:space="0" w:color="auto"/>
              </w:divBdr>
            </w:div>
          </w:divsChild>
        </w:div>
        <w:div w:id="717438889">
          <w:marLeft w:val="0"/>
          <w:marRight w:val="0"/>
          <w:marTop w:val="0"/>
          <w:marBottom w:val="0"/>
          <w:divBdr>
            <w:top w:val="none" w:sz="0" w:space="0" w:color="auto"/>
            <w:left w:val="none" w:sz="0" w:space="0" w:color="auto"/>
            <w:bottom w:val="none" w:sz="0" w:space="0" w:color="auto"/>
            <w:right w:val="none" w:sz="0" w:space="0" w:color="auto"/>
          </w:divBdr>
          <w:divsChild>
            <w:div w:id="1240482144">
              <w:marLeft w:val="0"/>
              <w:marRight w:val="0"/>
              <w:marTop w:val="0"/>
              <w:marBottom w:val="0"/>
              <w:divBdr>
                <w:top w:val="none" w:sz="0" w:space="0" w:color="auto"/>
                <w:left w:val="none" w:sz="0" w:space="0" w:color="auto"/>
                <w:bottom w:val="none" w:sz="0" w:space="0" w:color="auto"/>
                <w:right w:val="none" w:sz="0" w:space="0" w:color="auto"/>
              </w:divBdr>
            </w:div>
          </w:divsChild>
        </w:div>
        <w:div w:id="795177266">
          <w:marLeft w:val="0"/>
          <w:marRight w:val="0"/>
          <w:marTop w:val="0"/>
          <w:marBottom w:val="0"/>
          <w:divBdr>
            <w:top w:val="none" w:sz="0" w:space="0" w:color="auto"/>
            <w:left w:val="none" w:sz="0" w:space="0" w:color="auto"/>
            <w:bottom w:val="none" w:sz="0" w:space="0" w:color="auto"/>
            <w:right w:val="none" w:sz="0" w:space="0" w:color="auto"/>
          </w:divBdr>
          <w:divsChild>
            <w:div w:id="1224486793">
              <w:marLeft w:val="0"/>
              <w:marRight w:val="0"/>
              <w:marTop w:val="0"/>
              <w:marBottom w:val="0"/>
              <w:divBdr>
                <w:top w:val="none" w:sz="0" w:space="0" w:color="auto"/>
                <w:left w:val="none" w:sz="0" w:space="0" w:color="auto"/>
                <w:bottom w:val="none" w:sz="0" w:space="0" w:color="auto"/>
                <w:right w:val="none" w:sz="0" w:space="0" w:color="auto"/>
              </w:divBdr>
            </w:div>
          </w:divsChild>
        </w:div>
        <w:div w:id="987247444">
          <w:marLeft w:val="0"/>
          <w:marRight w:val="0"/>
          <w:marTop w:val="0"/>
          <w:marBottom w:val="0"/>
          <w:divBdr>
            <w:top w:val="none" w:sz="0" w:space="0" w:color="auto"/>
            <w:left w:val="none" w:sz="0" w:space="0" w:color="auto"/>
            <w:bottom w:val="none" w:sz="0" w:space="0" w:color="auto"/>
            <w:right w:val="none" w:sz="0" w:space="0" w:color="auto"/>
          </w:divBdr>
          <w:divsChild>
            <w:div w:id="1621646164">
              <w:marLeft w:val="0"/>
              <w:marRight w:val="0"/>
              <w:marTop w:val="0"/>
              <w:marBottom w:val="0"/>
              <w:divBdr>
                <w:top w:val="none" w:sz="0" w:space="0" w:color="auto"/>
                <w:left w:val="none" w:sz="0" w:space="0" w:color="auto"/>
                <w:bottom w:val="none" w:sz="0" w:space="0" w:color="auto"/>
                <w:right w:val="none" w:sz="0" w:space="0" w:color="auto"/>
              </w:divBdr>
            </w:div>
          </w:divsChild>
        </w:div>
        <w:div w:id="1106927223">
          <w:marLeft w:val="0"/>
          <w:marRight w:val="0"/>
          <w:marTop w:val="0"/>
          <w:marBottom w:val="0"/>
          <w:divBdr>
            <w:top w:val="none" w:sz="0" w:space="0" w:color="auto"/>
            <w:left w:val="none" w:sz="0" w:space="0" w:color="auto"/>
            <w:bottom w:val="none" w:sz="0" w:space="0" w:color="auto"/>
            <w:right w:val="none" w:sz="0" w:space="0" w:color="auto"/>
          </w:divBdr>
          <w:divsChild>
            <w:div w:id="350841431">
              <w:marLeft w:val="0"/>
              <w:marRight w:val="0"/>
              <w:marTop w:val="0"/>
              <w:marBottom w:val="0"/>
              <w:divBdr>
                <w:top w:val="none" w:sz="0" w:space="0" w:color="auto"/>
                <w:left w:val="none" w:sz="0" w:space="0" w:color="auto"/>
                <w:bottom w:val="none" w:sz="0" w:space="0" w:color="auto"/>
                <w:right w:val="none" w:sz="0" w:space="0" w:color="auto"/>
              </w:divBdr>
            </w:div>
          </w:divsChild>
        </w:div>
        <w:div w:id="1132558559">
          <w:marLeft w:val="0"/>
          <w:marRight w:val="0"/>
          <w:marTop w:val="0"/>
          <w:marBottom w:val="0"/>
          <w:divBdr>
            <w:top w:val="none" w:sz="0" w:space="0" w:color="auto"/>
            <w:left w:val="none" w:sz="0" w:space="0" w:color="auto"/>
            <w:bottom w:val="none" w:sz="0" w:space="0" w:color="auto"/>
            <w:right w:val="none" w:sz="0" w:space="0" w:color="auto"/>
          </w:divBdr>
          <w:divsChild>
            <w:div w:id="586496039">
              <w:marLeft w:val="0"/>
              <w:marRight w:val="0"/>
              <w:marTop w:val="0"/>
              <w:marBottom w:val="0"/>
              <w:divBdr>
                <w:top w:val="none" w:sz="0" w:space="0" w:color="auto"/>
                <w:left w:val="none" w:sz="0" w:space="0" w:color="auto"/>
                <w:bottom w:val="none" w:sz="0" w:space="0" w:color="auto"/>
                <w:right w:val="none" w:sz="0" w:space="0" w:color="auto"/>
              </w:divBdr>
            </w:div>
          </w:divsChild>
        </w:div>
        <w:div w:id="1146554564">
          <w:marLeft w:val="0"/>
          <w:marRight w:val="0"/>
          <w:marTop w:val="0"/>
          <w:marBottom w:val="0"/>
          <w:divBdr>
            <w:top w:val="none" w:sz="0" w:space="0" w:color="auto"/>
            <w:left w:val="none" w:sz="0" w:space="0" w:color="auto"/>
            <w:bottom w:val="none" w:sz="0" w:space="0" w:color="auto"/>
            <w:right w:val="none" w:sz="0" w:space="0" w:color="auto"/>
          </w:divBdr>
          <w:divsChild>
            <w:div w:id="878207755">
              <w:marLeft w:val="0"/>
              <w:marRight w:val="0"/>
              <w:marTop w:val="0"/>
              <w:marBottom w:val="0"/>
              <w:divBdr>
                <w:top w:val="none" w:sz="0" w:space="0" w:color="auto"/>
                <w:left w:val="none" w:sz="0" w:space="0" w:color="auto"/>
                <w:bottom w:val="none" w:sz="0" w:space="0" w:color="auto"/>
                <w:right w:val="none" w:sz="0" w:space="0" w:color="auto"/>
              </w:divBdr>
            </w:div>
          </w:divsChild>
        </w:div>
        <w:div w:id="1191067551">
          <w:marLeft w:val="0"/>
          <w:marRight w:val="0"/>
          <w:marTop w:val="0"/>
          <w:marBottom w:val="0"/>
          <w:divBdr>
            <w:top w:val="none" w:sz="0" w:space="0" w:color="auto"/>
            <w:left w:val="none" w:sz="0" w:space="0" w:color="auto"/>
            <w:bottom w:val="none" w:sz="0" w:space="0" w:color="auto"/>
            <w:right w:val="none" w:sz="0" w:space="0" w:color="auto"/>
          </w:divBdr>
          <w:divsChild>
            <w:div w:id="137302870">
              <w:marLeft w:val="0"/>
              <w:marRight w:val="0"/>
              <w:marTop w:val="0"/>
              <w:marBottom w:val="0"/>
              <w:divBdr>
                <w:top w:val="none" w:sz="0" w:space="0" w:color="auto"/>
                <w:left w:val="none" w:sz="0" w:space="0" w:color="auto"/>
                <w:bottom w:val="none" w:sz="0" w:space="0" w:color="auto"/>
                <w:right w:val="none" w:sz="0" w:space="0" w:color="auto"/>
              </w:divBdr>
            </w:div>
          </w:divsChild>
        </w:div>
        <w:div w:id="1389458234">
          <w:marLeft w:val="0"/>
          <w:marRight w:val="0"/>
          <w:marTop w:val="0"/>
          <w:marBottom w:val="0"/>
          <w:divBdr>
            <w:top w:val="none" w:sz="0" w:space="0" w:color="auto"/>
            <w:left w:val="none" w:sz="0" w:space="0" w:color="auto"/>
            <w:bottom w:val="none" w:sz="0" w:space="0" w:color="auto"/>
            <w:right w:val="none" w:sz="0" w:space="0" w:color="auto"/>
          </w:divBdr>
          <w:divsChild>
            <w:div w:id="900362200">
              <w:marLeft w:val="0"/>
              <w:marRight w:val="0"/>
              <w:marTop w:val="0"/>
              <w:marBottom w:val="0"/>
              <w:divBdr>
                <w:top w:val="none" w:sz="0" w:space="0" w:color="auto"/>
                <w:left w:val="none" w:sz="0" w:space="0" w:color="auto"/>
                <w:bottom w:val="none" w:sz="0" w:space="0" w:color="auto"/>
                <w:right w:val="none" w:sz="0" w:space="0" w:color="auto"/>
              </w:divBdr>
            </w:div>
          </w:divsChild>
        </w:div>
        <w:div w:id="1391460673">
          <w:marLeft w:val="0"/>
          <w:marRight w:val="0"/>
          <w:marTop w:val="0"/>
          <w:marBottom w:val="0"/>
          <w:divBdr>
            <w:top w:val="none" w:sz="0" w:space="0" w:color="auto"/>
            <w:left w:val="none" w:sz="0" w:space="0" w:color="auto"/>
            <w:bottom w:val="none" w:sz="0" w:space="0" w:color="auto"/>
            <w:right w:val="none" w:sz="0" w:space="0" w:color="auto"/>
          </w:divBdr>
          <w:divsChild>
            <w:div w:id="464472335">
              <w:marLeft w:val="0"/>
              <w:marRight w:val="0"/>
              <w:marTop w:val="0"/>
              <w:marBottom w:val="0"/>
              <w:divBdr>
                <w:top w:val="none" w:sz="0" w:space="0" w:color="auto"/>
                <w:left w:val="none" w:sz="0" w:space="0" w:color="auto"/>
                <w:bottom w:val="none" w:sz="0" w:space="0" w:color="auto"/>
                <w:right w:val="none" w:sz="0" w:space="0" w:color="auto"/>
              </w:divBdr>
            </w:div>
          </w:divsChild>
        </w:div>
        <w:div w:id="1508861804">
          <w:marLeft w:val="0"/>
          <w:marRight w:val="0"/>
          <w:marTop w:val="0"/>
          <w:marBottom w:val="0"/>
          <w:divBdr>
            <w:top w:val="none" w:sz="0" w:space="0" w:color="auto"/>
            <w:left w:val="none" w:sz="0" w:space="0" w:color="auto"/>
            <w:bottom w:val="none" w:sz="0" w:space="0" w:color="auto"/>
            <w:right w:val="none" w:sz="0" w:space="0" w:color="auto"/>
          </w:divBdr>
          <w:divsChild>
            <w:div w:id="994720778">
              <w:marLeft w:val="0"/>
              <w:marRight w:val="0"/>
              <w:marTop w:val="0"/>
              <w:marBottom w:val="0"/>
              <w:divBdr>
                <w:top w:val="none" w:sz="0" w:space="0" w:color="auto"/>
                <w:left w:val="none" w:sz="0" w:space="0" w:color="auto"/>
                <w:bottom w:val="none" w:sz="0" w:space="0" w:color="auto"/>
                <w:right w:val="none" w:sz="0" w:space="0" w:color="auto"/>
              </w:divBdr>
            </w:div>
          </w:divsChild>
        </w:div>
        <w:div w:id="1527789441">
          <w:marLeft w:val="0"/>
          <w:marRight w:val="0"/>
          <w:marTop w:val="0"/>
          <w:marBottom w:val="0"/>
          <w:divBdr>
            <w:top w:val="none" w:sz="0" w:space="0" w:color="auto"/>
            <w:left w:val="none" w:sz="0" w:space="0" w:color="auto"/>
            <w:bottom w:val="none" w:sz="0" w:space="0" w:color="auto"/>
            <w:right w:val="none" w:sz="0" w:space="0" w:color="auto"/>
          </w:divBdr>
          <w:divsChild>
            <w:div w:id="617840347">
              <w:marLeft w:val="0"/>
              <w:marRight w:val="0"/>
              <w:marTop w:val="0"/>
              <w:marBottom w:val="0"/>
              <w:divBdr>
                <w:top w:val="none" w:sz="0" w:space="0" w:color="auto"/>
                <w:left w:val="none" w:sz="0" w:space="0" w:color="auto"/>
                <w:bottom w:val="none" w:sz="0" w:space="0" w:color="auto"/>
                <w:right w:val="none" w:sz="0" w:space="0" w:color="auto"/>
              </w:divBdr>
            </w:div>
            <w:div w:id="972171523">
              <w:marLeft w:val="0"/>
              <w:marRight w:val="0"/>
              <w:marTop w:val="0"/>
              <w:marBottom w:val="0"/>
              <w:divBdr>
                <w:top w:val="none" w:sz="0" w:space="0" w:color="auto"/>
                <w:left w:val="none" w:sz="0" w:space="0" w:color="auto"/>
                <w:bottom w:val="none" w:sz="0" w:space="0" w:color="auto"/>
                <w:right w:val="none" w:sz="0" w:space="0" w:color="auto"/>
              </w:divBdr>
            </w:div>
          </w:divsChild>
        </w:div>
        <w:div w:id="1570262540">
          <w:marLeft w:val="0"/>
          <w:marRight w:val="0"/>
          <w:marTop w:val="0"/>
          <w:marBottom w:val="0"/>
          <w:divBdr>
            <w:top w:val="none" w:sz="0" w:space="0" w:color="auto"/>
            <w:left w:val="none" w:sz="0" w:space="0" w:color="auto"/>
            <w:bottom w:val="none" w:sz="0" w:space="0" w:color="auto"/>
            <w:right w:val="none" w:sz="0" w:space="0" w:color="auto"/>
          </w:divBdr>
          <w:divsChild>
            <w:div w:id="686103179">
              <w:marLeft w:val="0"/>
              <w:marRight w:val="0"/>
              <w:marTop w:val="0"/>
              <w:marBottom w:val="0"/>
              <w:divBdr>
                <w:top w:val="none" w:sz="0" w:space="0" w:color="auto"/>
                <w:left w:val="none" w:sz="0" w:space="0" w:color="auto"/>
                <w:bottom w:val="none" w:sz="0" w:space="0" w:color="auto"/>
                <w:right w:val="none" w:sz="0" w:space="0" w:color="auto"/>
              </w:divBdr>
            </w:div>
          </w:divsChild>
        </w:div>
        <w:div w:id="1698042456">
          <w:marLeft w:val="0"/>
          <w:marRight w:val="0"/>
          <w:marTop w:val="0"/>
          <w:marBottom w:val="0"/>
          <w:divBdr>
            <w:top w:val="none" w:sz="0" w:space="0" w:color="auto"/>
            <w:left w:val="none" w:sz="0" w:space="0" w:color="auto"/>
            <w:bottom w:val="none" w:sz="0" w:space="0" w:color="auto"/>
            <w:right w:val="none" w:sz="0" w:space="0" w:color="auto"/>
          </w:divBdr>
          <w:divsChild>
            <w:div w:id="1244267082">
              <w:marLeft w:val="0"/>
              <w:marRight w:val="0"/>
              <w:marTop w:val="0"/>
              <w:marBottom w:val="0"/>
              <w:divBdr>
                <w:top w:val="none" w:sz="0" w:space="0" w:color="auto"/>
                <w:left w:val="none" w:sz="0" w:space="0" w:color="auto"/>
                <w:bottom w:val="none" w:sz="0" w:space="0" w:color="auto"/>
                <w:right w:val="none" w:sz="0" w:space="0" w:color="auto"/>
              </w:divBdr>
            </w:div>
            <w:div w:id="1465193288">
              <w:marLeft w:val="0"/>
              <w:marRight w:val="0"/>
              <w:marTop w:val="0"/>
              <w:marBottom w:val="0"/>
              <w:divBdr>
                <w:top w:val="none" w:sz="0" w:space="0" w:color="auto"/>
                <w:left w:val="none" w:sz="0" w:space="0" w:color="auto"/>
                <w:bottom w:val="none" w:sz="0" w:space="0" w:color="auto"/>
                <w:right w:val="none" w:sz="0" w:space="0" w:color="auto"/>
              </w:divBdr>
            </w:div>
          </w:divsChild>
        </w:div>
        <w:div w:id="1816489972">
          <w:marLeft w:val="0"/>
          <w:marRight w:val="0"/>
          <w:marTop w:val="0"/>
          <w:marBottom w:val="0"/>
          <w:divBdr>
            <w:top w:val="none" w:sz="0" w:space="0" w:color="auto"/>
            <w:left w:val="none" w:sz="0" w:space="0" w:color="auto"/>
            <w:bottom w:val="none" w:sz="0" w:space="0" w:color="auto"/>
            <w:right w:val="none" w:sz="0" w:space="0" w:color="auto"/>
          </w:divBdr>
          <w:divsChild>
            <w:div w:id="497117067">
              <w:marLeft w:val="0"/>
              <w:marRight w:val="0"/>
              <w:marTop w:val="0"/>
              <w:marBottom w:val="0"/>
              <w:divBdr>
                <w:top w:val="none" w:sz="0" w:space="0" w:color="auto"/>
                <w:left w:val="none" w:sz="0" w:space="0" w:color="auto"/>
                <w:bottom w:val="none" w:sz="0" w:space="0" w:color="auto"/>
                <w:right w:val="none" w:sz="0" w:space="0" w:color="auto"/>
              </w:divBdr>
            </w:div>
          </w:divsChild>
        </w:div>
        <w:div w:id="1843928994">
          <w:marLeft w:val="0"/>
          <w:marRight w:val="0"/>
          <w:marTop w:val="0"/>
          <w:marBottom w:val="0"/>
          <w:divBdr>
            <w:top w:val="none" w:sz="0" w:space="0" w:color="auto"/>
            <w:left w:val="none" w:sz="0" w:space="0" w:color="auto"/>
            <w:bottom w:val="none" w:sz="0" w:space="0" w:color="auto"/>
            <w:right w:val="none" w:sz="0" w:space="0" w:color="auto"/>
          </w:divBdr>
          <w:divsChild>
            <w:div w:id="339084905">
              <w:marLeft w:val="0"/>
              <w:marRight w:val="0"/>
              <w:marTop w:val="0"/>
              <w:marBottom w:val="0"/>
              <w:divBdr>
                <w:top w:val="none" w:sz="0" w:space="0" w:color="auto"/>
                <w:left w:val="none" w:sz="0" w:space="0" w:color="auto"/>
                <w:bottom w:val="none" w:sz="0" w:space="0" w:color="auto"/>
                <w:right w:val="none" w:sz="0" w:space="0" w:color="auto"/>
              </w:divBdr>
            </w:div>
            <w:div w:id="1883983758">
              <w:marLeft w:val="0"/>
              <w:marRight w:val="0"/>
              <w:marTop w:val="0"/>
              <w:marBottom w:val="0"/>
              <w:divBdr>
                <w:top w:val="none" w:sz="0" w:space="0" w:color="auto"/>
                <w:left w:val="none" w:sz="0" w:space="0" w:color="auto"/>
                <w:bottom w:val="none" w:sz="0" w:space="0" w:color="auto"/>
                <w:right w:val="none" w:sz="0" w:space="0" w:color="auto"/>
              </w:divBdr>
            </w:div>
          </w:divsChild>
        </w:div>
        <w:div w:id="1881436258">
          <w:marLeft w:val="0"/>
          <w:marRight w:val="0"/>
          <w:marTop w:val="0"/>
          <w:marBottom w:val="0"/>
          <w:divBdr>
            <w:top w:val="none" w:sz="0" w:space="0" w:color="auto"/>
            <w:left w:val="none" w:sz="0" w:space="0" w:color="auto"/>
            <w:bottom w:val="none" w:sz="0" w:space="0" w:color="auto"/>
            <w:right w:val="none" w:sz="0" w:space="0" w:color="auto"/>
          </w:divBdr>
          <w:divsChild>
            <w:div w:id="953361957">
              <w:marLeft w:val="0"/>
              <w:marRight w:val="0"/>
              <w:marTop w:val="0"/>
              <w:marBottom w:val="0"/>
              <w:divBdr>
                <w:top w:val="none" w:sz="0" w:space="0" w:color="auto"/>
                <w:left w:val="none" w:sz="0" w:space="0" w:color="auto"/>
                <w:bottom w:val="none" w:sz="0" w:space="0" w:color="auto"/>
                <w:right w:val="none" w:sz="0" w:space="0" w:color="auto"/>
              </w:divBdr>
            </w:div>
          </w:divsChild>
        </w:div>
        <w:div w:id="1954053426">
          <w:marLeft w:val="0"/>
          <w:marRight w:val="0"/>
          <w:marTop w:val="0"/>
          <w:marBottom w:val="0"/>
          <w:divBdr>
            <w:top w:val="none" w:sz="0" w:space="0" w:color="auto"/>
            <w:left w:val="none" w:sz="0" w:space="0" w:color="auto"/>
            <w:bottom w:val="none" w:sz="0" w:space="0" w:color="auto"/>
            <w:right w:val="none" w:sz="0" w:space="0" w:color="auto"/>
          </w:divBdr>
          <w:divsChild>
            <w:div w:id="64651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21971">
      <w:bodyDiv w:val="1"/>
      <w:marLeft w:val="0"/>
      <w:marRight w:val="0"/>
      <w:marTop w:val="0"/>
      <w:marBottom w:val="0"/>
      <w:divBdr>
        <w:top w:val="none" w:sz="0" w:space="0" w:color="auto"/>
        <w:left w:val="none" w:sz="0" w:space="0" w:color="auto"/>
        <w:bottom w:val="none" w:sz="0" w:space="0" w:color="auto"/>
        <w:right w:val="none" w:sz="0" w:space="0" w:color="auto"/>
      </w:divBdr>
      <w:divsChild>
        <w:div w:id="478811730">
          <w:marLeft w:val="0"/>
          <w:marRight w:val="0"/>
          <w:marTop w:val="0"/>
          <w:marBottom w:val="0"/>
          <w:divBdr>
            <w:top w:val="none" w:sz="0" w:space="0" w:color="auto"/>
            <w:left w:val="none" w:sz="0" w:space="0" w:color="auto"/>
            <w:bottom w:val="none" w:sz="0" w:space="0" w:color="auto"/>
            <w:right w:val="none" w:sz="0" w:space="0" w:color="auto"/>
          </w:divBdr>
          <w:divsChild>
            <w:div w:id="841745381">
              <w:marLeft w:val="0"/>
              <w:marRight w:val="0"/>
              <w:marTop w:val="0"/>
              <w:marBottom w:val="0"/>
              <w:divBdr>
                <w:top w:val="none" w:sz="0" w:space="0" w:color="auto"/>
                <w:left w:val="none" w:sz="0" w:space="0" w:color="auto"/>
                <w:bottom w:val="none" w:sz="0" w:space="0" w:color="auto"/>
                <w:right w:val="none" w:sz="0" w:space="0" w:color="auto"/>
              </w:divBdr>
            </w:div>
            <w:div w:id="1456867456">
              <w:marLeft w:val="0"/>
              <w:marRight w:val="0"/>
              <w:marTop w:val="0"/>
              <w:marBottom w:val="0"/>
              <w:divBdr>
                <w:top w:val="none" w:sz="0" w:space="0" w:color="auto"/>
                <w:left w:val="none" w:sz="0" w:space="0" w:color="auto"/>
                <w:bottom w:val="none" w:sz="0" w:space="0" w:color="auto"/>
                <w:right w:val="none" w:sz="0" w:space="0" w:color="auto"/>
              </w:divBdr>
            </w:div>
          </w:divsChild>
        </w:div>
        <w:div w:id="1933465623">
          <w:marLeft w:val="0"/>
          <w:marRight w:val="0"/>
          <w:marTop w:val="0"/>
          <w:marBottom w:val="0"/>
          <w:divBdr>
            <w:top w:val="none" w:sz="0" w:space="0" w:color="auto"/>
            <w:left w:val="none" w:sz="0" w:space="0" w:color="auto"/>
            <w:bottom w:val="none" w:sz="0" w:space="0" w:color="auto"/>
            <w:right w:val="none" w:sz="0" w:space="0" w:color="auto"/>
          </w:divBdr>
          <w:divsChild>
            <w:div w:id="192309620">
              <w:marLeft w:val="0"/>
              <w:marRight w:val="0"/>
              <w:marTop w:val="0"/>
              <w:marBottom w:val="0"/>
              <w:divBdr>
                <w:top w:val="none" w:sz="0" w:space="0" w:color="auto"/>
                <w:left w:val="none" w:sz="0" w:space="0" w:color="auto"/>
                <w:bottom w:val="none" w:sz="0" w:space="0" w:color="auto"/>
                <w:right w:val="none" w:sz="0" w:space="0" w:color="auto"/>
              </w:divBdr>
            </w:div>
            <w:div w:id="681394786">
              <w:marLeft w:val="0"/>
              <w:marRight w:val="0"/>
              <w:marTop w:val="0"/>
              <w:marBottom w:val="0"/>
              <w:divBdr>
                <w:top w:val="none" w:sz="0" w:space="0" w:color="auto"/>
                <w:left w:val="none" w:sz="0" w:space="0" w:color="auto"/>
                <w:bottom w:val="none" w:sz="0" w:space="0" w:color="auto"/>
                <w:right w:val="none" w:sz="0" w:space="0" w:color="auto"/>
              </w:divBdr>
            </w:div>
            <w:div w:id="980502231">
              <w:marLeft w:val="0"/>
              <w:marRight w:val="0"/>
              <w:marTop w:val="0"/>
              <w:marBottom w:val="0"/>
              <w:divBdr>
                <w:top w:val="none" w:sz="0" w:space="0" w:color="auto"/>
                <w:left w:val="none" w:sz="0" w:space="0" w:color="auto"/>
                <w:bottom w:val="none" w:sz="0" w:space="0" w:color="auto"/>
                <w:right w:val="none" w:sz="0" w:space="0" w:color="auto"/>
              </w:divBdr>
            </w:div>
            <w:div w:id="1785691838">
              <w:marLeft w:val="0"/>
              <w:marRight w:val="0"/>
              <w:marTop w:val="0"/>
              <w:marBottom w:val="0"/>
              <w:divBdr>
                <w:top w:val="none" w:sz="0" w:space="0" w:color="auto"/>
                <w:left w:val="none" w:sz="0" w:space="0" w:color="auto"/>
                <w:bottom w:val="none" w:sz="0" w:space="0" w:color="auto"/>
                <w:right w:val="none" w:sz="0" w:space="0" w:color="auto"/>
              </w:divBdr>
            </w:div>
            <w:div w:id="19071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6113">
      <w:bodyDiv w:val="1"/>
      <w:marLeft w:val="0"/>
      <w:marRight w:val="0"/>
      <w:marTop w:val="0"/>
      <w:marBottom w:val="0"/>
      <w:divBdr>
        <w:top w:val="none" w:sz="0" w:space="0" w:color="auto"/>
        <w:left w:val="none" w:sz="0" w:space="0" w:color="auto"/>
        <w:bottom w:val="none" w:sz="0" w:space="0" w:color="auto"/>
        <w:right w:val="none" w:sz="0" w:space="0" w:color="auto"/>
      </w:divBdr>
      <w:divsChild>
        <w:div w:id="108092008">
          <w:marLeft w:val="0"/>
          <w:marRight w:val="0"/>
          <w:marTop w:val="0"/>
          <w:marBottom w:val="0"/>
          <w:divBdr>
            <w:top w:val="none" w:sz="0" w:space="0" w:color="auto"/>
            <w:left w:val="none" w:sz="0" w:space="0" w:color="auto"/>
            <w:bottom w:val="none" w:sz="0" w:space="0" w:color="auto"/>
            <w:right w:val="none" w:sz="0" w:space="0" w:color="auto"/>
          </w:divBdr>
        </w:div>
        <w:div w:id="116873891">
          <w:marLeft w:val="0"/>
          <w:marRight w:val="0"/>
          <w:marTop w:val="0"/>
          <w:marBottom w:val="0"/>
          <w:divBdr>
            <w:top w:val="none" w:sz="0" w:space="0" w:color="auto"/>
            <w:left w:val="none" w:sz="0" w:space="0" w:color="auto"/>
            <w:bottom w:val="none" w:sz="0" w:space="0" w:color="auto"/>
            <w:right w:val="none" w:sz="0" w:space="0" w:color="auto"/>
          </w:divBdr>
        </w:div>
        <w:div w:id="212696131">
          <w:marLeft w:val="0"/>
          <w:marRight w:val="0"/>
          <w:marTop w:val="0"/>
          <w:marBottom w:val="0"/>
          <w:divBdr>
            <w:top w:val="none" w:sz="0" w:space="0" w:color="auto"/>
            <w:left w:val="none" w:sz="0" w:space="0" w:color="auto"/>
            <w:bottom w:val="none" w:sz="0" w:space="0" w:color="auto"/>
            <w:right w:val="none" w:sz="0" w:space="0" w:color="auto"/>
          </w:divBdr>
        </w:div>
        <w:div w:id="249432028">
          <w:marLeft w:val="0"/>
          <w:marRight w:val="0"/>
          <w:marTop w:val="0"/>
          <w:marBottom w:val="0"/>
          <w:divBdr>
            <w:top w:val="none" w:sz="0" w:space="0" w:color="auto"/>
            <w:left w:val="none" w:sz="0" w:space="0" w:color="auto"/>
            <w:bottom w:val="none" w:sz="0" w:space="0" w:color="auto"/>
            <w:right w:val="none" w:sz="0" w:space="0" w:color="auto"/>
          </w:divBdr>
        </w:div>
        <w:div w:id="315568851">
          <w:marLeft w:val="0"/>
          <w:marRight w:val="0"/>
          <w:marTop w:val="0"/>
          <w:marBottom w:val="0"/>
          <w:divBdr>
            <w:top w:val="none" w:sz="0" w:space="0" w:color="auto"/>
            <w:left w:val="none" w:sz="0" w:space="0" w:color="auto"/>
            <w:bottom w:val="none" w:sz="0" w:space="0" w:color="auto"/>
            <w:right w:val="none" w:sz="0" w:space="0" w:color="auto"/>
          </w:divBdr>
        </w:div>
        <w:div w:id="397434463">
          <w:marLeft w:val="0"/>
          <w:marRight w:val="0"/>
          <w:marTop w:val="0"/>
          <w:marBottom w:val="0"/>
          <w:divBdr>
            <w:top w:val="none" w:sz="0" w:space="0" w:color="auto"/>
            <w:left w:val="none" w:sz="0" w:space="0" w:color="auto"/>
            <w:bottom w:val="none" w:sz="0" w:space="0" w:color="auto"/>
            <w:right w:val="none" w:sz="0" w:space="0" w:color="auto"/>
          </w:divBdr>
        </w:div>
        <w:div w:id="534394333">
          <w:marLeft w:val="0"/>
          <w:marRight w:val="0"/>
          <w:marTop w:val="0"/>
          <w:marBottom w:val="0"/>
          <w:divBdr>
            <w:top w:val="none" w:sz="0" w:space="0" w:color="auto"/>
            <w:left w:val="none" w:sz="0" w:space="0" w:color="auto"/>
            <w:bottom w:val="none" w:sz="0" w:space="0" w:color="auto"/>
            <w:right w:val="none" w:sz="0" w:space="0" w:color="auto"/>
          </w:divBdr>
        </w:div>
        <w:div w:id="596711316">
          <w:marLeft w:val="0"/>
          <w:marRight w:val="0"/>
          <w:marTop w:val="0"/>
          <w:marBottom w:val="0"/>
          <w:divBdr>
            <w:top w:val="none" w:sz="0" w:space="0" w:color="auto"/>
            <w:left w:val="none" w:sz="0" w:space="0" w:color="auto"/>
            <w:bottom w:val="none" w:sz="0" w:space="0" w:color="auto"/>
            <w:right w:val="none" w:sz="0" w:space="0" w:color="auto"/>
          </w:divBdr>
        </w:div>
        <w:div w:id="603071249">
          <w:marLeft w:val="0"/>
          <w:marRight w:val="0"/>
          <w:marTop w:val="0"/>
          <w:marBottom w:val="0"/>
          <w:divBdr>
            <w:top w:val="none" w:sz="0" w:space="0" w:color="auto"/>
            <w:left w:val="none" w:sz="0" w:space="0" w:color="auto"/>
            <w:bottom w:val="none" w:sz="0" w:space="0" w:color="auto"/>
            <w:right w:val="none" w:sz="0" w:space="0" w:color="auto"/>
          </w:divBdr>
          <w:divsChild>
            <w:div w:id="118691389">
              <w:marLeft w:val="0"/>
              <w:marRight w:val="0"/>
              <w:marTop w:val="0"/>
              <w:marBottom w:val="0"/>
              <w:divBdr>
                <w:top w:val="none" w:sz="0" w:space="0" w:color="auto"/>
                <w:left w:val="none" w:sz="0" w:space="0" w:color="auto"/>
                <w:bottom w:val="none" w:sz="0" w:space="0" w:color="auto"/>
                <w:right w:val="none" w:sz="0" w:space="0" w:color="auto"/>
              </w:divBdr>
            </w:div>
            <w:div w:id="145820945">
              <w:marLeft w:val="0"/>
              <w:marRight w:val="0"/>
              <w:marTop w:val="0"/>
              <w:marBottom w:val="0"/>
              <w:divBdr>
                <w:top w:val="none" w:sz="0" w:space="0" w:color="auto"/>
                <w:left w:val="none" w:sz="0" w:space="0" w:color="auto"/>
                <w:bottom w:val="none" w:sz="0" w:space="0" w:color="auto"/>
                <w:right w:val="none" w:sz="0" w:space="0" w:color="auto"/>
              </w:divBdr>
            </w:div>
            <w:div w:id="163058626">
              <w:marLeft w:val="0"/>
              <w:marRight w:val="0"/>
              <w:marTop w:val="0"/>
              <w:marBottom w:val="0"/>
              <w:divBdr>
                <w:top w:val="none" w:sz="0" w:space="0" w:color="auto"/>
                <w:left w:val="none" w:sz="0" w:space="0" w:color="auto"/>
                <w:bottom w:val="none" w:sz="0" w:space="0" w:color="auto"/>
                <w:right w:val="none" w:sz="0" w:space="0" w:color="auto"/>
              </w:divBdr>
            </w:div>
            <w:div w:id="453184408">
              <w:marLeft w:val="0"/>
              <w:marRight w:val="0"/>
              <w:marTop w:val="0"/>
              <w:marBottom w:val="0"/>
              <w:divBdr>
                <w:top w:val="none" w:sz="0" w:space="0" w:color="auto"/>
                <w:left w:val="none" w:sz="0" w:space="0" w:color="auto"/>
                <w:bottom w:val="none" w:sz="0" w:space="0" w:color="auto"/>
                <w:right w:val="none" w:sz="0" w:space="0" w:color="auto"/>
              </w:divBdr>
            </w:div>
            <w:div w:id="551580657">
              <w:marLeft w:val="0"/>
              <w:marRight w:val="0"/>
              <w:marTop w:val="0"/>
              <w:marBottom w:val="0"/>
              <w:divBdr>
                <w:top w:val="none" w:sz="0" w:space="0" w:color="auto"/>
                <w:left w:val="none" w:sz="0" w:space="0" w:color="auto"/>
                <w:bottom w:val="none" w:sz="0" w:space="0" w:color="auto"/>
                <w:right w:val="none" w:sz="0" w:space="0" w:color="auto"/>
              </w:divBdr>
            </w:div>
            <w:div w:id="580717485">
              <w:marLeft w:val="0"/>
              <w:marRight w:val="0"/>
              <w:marTop w:val="0"/>
              <w:marBottom w:val="0"/>
              <w:divBdr>
                <w:top w:val="none" w:sz="0" w:space="0" w:color="auto"/>
                <w:left w:val="none" w:sz="0" w:space="0" w:color="auto"/>
                <w:bottom w:val="none" w:sz="0" w:space="0" w:color="auto"/>
                <w:right w:val="none" w:sz="0" w:space="0" w:color="auto"/>
              </w:divBdr>
            </w:div>
            <w:div w:id="636565389">
              <w:marLeft w:val="0"/>
              <w:marRight w:val="0"/>
              <w:marTop w:val="0"/>
              <w:marBottom w:val="0"/>
              <w:divBdr>
                <w:top w:val="none" w:sz="0" w:space="0" w:color="auto"/>
                <w:left w:val="none" w:sz="0" w:space="0" w:color="auto"/>
                <w:bottom w:val="none" w:sz="0" w:space="0" w:color="auto"/>
                <w:right w:val="none" w:sz="0" w:space="0" w:color="auto"/>
              </w:divBdr>
            </w:div>
            <w:div w:id="805053505">
              <w:marLeft w:val="0"/>
              <w:marRight w:val="0"/>
              <w:marTop w:val="0"/>
              <w:marBottom w:val="0"/>
              <w:divBdr>
                <w:top w:val="none" w:sz="0" w:space="0" w:color="auto"/>
                <w:left w:val="none" w:sz="0" w:space="0" w:color="auto"/>
                <w:bottom w:val="none" w:sz="0" w:space="0" w:color="auto"/>
                <w:right w:val="none" w:sz="0" w:space="0" w:color="auto"/>
              </w:divBdr>
            </w:div>
            <w:div w:id="914629194">
              <w:marLeft w:val="0"/>
              <w:marRight w:val="0"/>
              <w:marTop w:val="0"/>
              <w:marBottom w:val="0"/>
              <w:divBdr>
                <w:top w:val="none" w:sz="0" w:space="0" w:color="auto"/>
                <w:left w:val="none" w:sz="0" w:space="0" w:color="auto"/>
                <w:bottom w:val="none" w:sz="0" w:space="0" w:color="auto"/>
                <w:right w:val="none" w:sz="0" w:space="0" w:color="auto"/>
              </w:divBdr>
            </w:div>
            <w:div w:id="987902988">
              <w:marLeft w:val="0"/>
              <w:marRight w:val="0"/>
              <w:marTop w:val="0"/>
              <w:marBottom w:val="0"/>
              <w:divBdr>
                <w:top w:val="none" w:sz="0" w:space="0" w:color="auto"/>
                <w:left w:val="none" w:sz="0" w:space="0" w:color="auto"/>
                <w:bottom w:val="none" w:sz="0" w:space="0" w:color="auto"/>
                <w:right w:val="none" w:sz="0" w:space="0" w:color="auto"/>
              </w:divBdr>
            </w:div>
            <w:div w:id="1000425638">
              <w:marLeft w:val="0"/>
              <w:marRight w:val="0"/>
              <w:marTop w:val="0"/>
              <w:marBottom w:val="0"/>
              <w:divBdr>
                <w:top w:val="none" w:sz="0" w:space="0" w:color="auto"/>
                <w:left w:val="none" w:sz="0" w:space="0" w:color="auto"/>
                <w:bottom w:val="none" w:sz="0" w:space="0" w:color="auto"/>
                <w:right w:val="none" w:sz="0" w:space="0" w:color="auto"/>
              </w:divBdr>
            </w:div>
            <w:div w:id="1079063236">
              <w:marLeft w:val="0"/>
              <w:marRight w:val="0"/>
              <w:marTop w:val="0"/>
              <w:marBottom w:val="0"/>
              <w:divBdr>
                <w:top w:val="none" w:sz="0" w:space="0" w:color="auto"/>
                <w:left w:val="none" w:sz="0" w:space="0" w:color="auto"/>
                <w:bottom w:val="none" w:sz="0" w:space="0" w:color="auto"/>
                <w:right w:val="none" w:sz="0" w:space="0" w:color="auto"/>
              </w:divBdr>
            </w:div>
            <w:div w:id="1348292794">
              <w:marLeft w:val="0"/>
              <w:marRight w:val="0"/>
              <w:marTop w:val="0"/>
              <w:marBottom w:val="0"/>
              <w:divBdr>
                <w:top w:val="none" w:sz="0" w:space="0" w:color="auto"/>
                <w:left w:val="none" w:sz="0" w:space="0" w:color="auto"/>
                <w:bottom w:val="none" w:sz="0" w:space="0" w:color="auto"/>
                <w:right w:val="none" w:sz="0" w:space="0" w:color="auto"/>
              </w:divBdr>
            </w:div>
            <w:div w:id="1527332548">
              <w:marLeft w:val="0"/>
              <w:marRight w:val="0"/>
              <w:marTop w:val="0"/>
              <w:marBottom w:val="0"/>
              <w:divBdr>
                <w:top w:val="none" w:sz="0" w:space="0" w:color="auto"/>
                <w:left w:val="none" w:sz="0" w:space="0" w:color="auto"/>
                <w:bottom w:val="none" w:sz="0" w:space="0" w:color="auto"/>
                <w:right w:val="none" w:sz="0" w:space="0" w:color="auto"/>
              </w:divBdr>
            </w:div>
            <w:div w:id="1528518301">
              <w:marLeft w:val="0"/>
              <w:marRight w:val="0"/>
              <w:marTop w:val="0"/>
              <w:marBottom w:val="0"/>
              <w:divBdr>
                <w:top w:val="none" w:sz="0" w:space="0" w:color="auto"/>
                <w:left w:val="none" w:sz="0" w:space="0" w:color="auto"/>
                <w:bottom w:val="none" w:sz="0" w:space="0" w:color="auto"/>
                <w:right w:val="none" w:sz="0" w:space="0" w:color="auto"/>
              </w:divBdr>
            </w:div>
            <w:div w:id="1537892566">
              <w:marLeft w:val="0"/>
              <w:marRight w:val="0"/>
              <w:marTop w:val="0"/>
              <w:marBottom w:val="0"/>
              <w:divBdr>
                <w:top w:val="none" w:sz="0" w:space="0" w:color="auto"/>
                <w:left w:val="none" w:sz="0" w:space="0" w:color="auto"/>
                <w:bottom w:val="none" w:sz="0" w:space="0" w:color="auto"/>
                <w:right w:val="none" w:sz="0" w:space="0" w:color="auto"/>
              </w:divBdr>
            </w:div>
            <w:div w:id="1693535870">
              <w:marLeft w:val="0"/>
              <w:marRight w:val="0"/>
              <w:marTop w:val="0"/>
              <w:marBottom w:val="0"/>
              <w:divBdr>
                <w:top w:val="none" w:sz="0" w:space="0" w:color="auto"/>
                <w:left w:val="none" w:sz="0" w:space="0" w:color="auto"/>
                <w:bottom w:val="none" w:sz="0" w:space="0" w:color="auto"/>
                <w:right w:val="none" w:sz="0" w:space="0" w:color="auto"/>
              </w:divBdr>
            </w:div>
            <w:div w:id="1693795775">
              <w:marLeft w:val="0"/>
              <w:marRight w:val="0"/>
              <w:marTop w:val="0"/>
              <w:marBottom w:val="0"/>
              <w:divBdr>
                <w:top w:val="none" w:sz="0" w:space="0" w:color="auto"/>
                <w:left w:val="none" w:sz="0" w:space="0" w:color="auto"/>
                <w:bottom w:val="none" w:sz="0" w:space="0" w:color="auto"/>
                <w:right w:val="none" w:sz="0" w:space="0" w:color="auto"/>
              </w:divBdr>
            </w:div>
            <w:div w:id="1701127507">
              <w:marLeft w:val="0"/>
              <w:marRight w:val="0"/>
              <w:marTop w:val="0"/>
              <w:marBottom w:val="0"/>
              <w:divBdr>
                <w:top w:val="none" w:sz="0" w:space="0" w:color="auto"/>
                <w:left w:val="none" w:sz="0" w:space="0" w:color="auto"/>
                <w:bottom w:val="none" w:sz="0" w:space="0" w:color="auto"/>
                <w:right w:val="none" w:sz="0" w:space="0" w:color="auto"/>
              </w:divBdr>
            </w:div>
            <w:div w:id="1918704996">
              <w:marLeft w:val="0"/>
              <w:marRight w:val="0"/>
              <w:marTop w:val="0"/>
              <w:marBottom w:val="0"/>
              <w:divBdr>
                <w:top w:val="none" w:sz="0" w:space="0" w:color="auto"/>
                <w:left w:val="none" w:sz="0" w:space="0" w:color="auto"/>
                <w:bottom w:val="none" w:sz="0" w:space="0" w:color="auto"/>
                <w:right w:val="none" w:sz="0" w:space="0" w:color="auto"/>
              </w:divBdr>
            </w:div>
          </w:divsChild>
        </w:div>
        <w:div w:id="684944200">
          <w:marLeft w:val="0"/>
          <w:marRight w:val="0"/>
          <w:marTop w:val="0"/>
          <w:marBottom w:val="0"/>
          <w:divBdr>
            <w:top w:val="none" w:sz="0" w:space="0" w:color="auto"/>
            <w:left w:val="none" w:sz="0" w:space="0" w:color="auto"/>
            <w:bottom w:val="none" w:sz="0" w:space="0" w:color="auto"/>
            <w:right w:val="none" w:sz="0" w:space="0" w:color="auto"/>
          </w:divBdr>
        </w:div>
        <w:div w:id="729575207">
          <w:marLeft w:val="0"/>
          <w:marRight w:val="0"/>
          <w:marTop w:val="0"/>
          <w:marBottom w:val="0"/>
          <w:divBdr>
            <w:top w:val="none" w:sz="0" w:space="0" w:color="auto"/>
            <w:left w:val="none" w:sz="0" w:space="0" w:color="auto"/>
            <w:bottom w:val="none" w:sz="0" w:space="0" w:color="auto"/>
            <w:right w:val="none" w:sz="0" w:space="0" w:color="auto"/>
          </w:divBdr>
        </w:div>
        <w:div w:id="798063233">
          <w:marLeft w:val="0"/>
          <w:marRight w:val="0"/>
          <w:marTop w:val="0"/>
          <w:marBottom w:val="0"/>
          <w:divBdr>
            <w:top w:val="none" w:sz="0" w:space="0" w:color="auto"/>
            <w:left w:val="none" w:sz="0" w:space="0" w:color="auto"/>
            <w:bottom w:val="none" w:sz="0" w:space="0" w:color="auto"/>
            <w:right w:val="none" w:sz="0" w:space="0" w:color="auto"/>
          </w:divBdr>
        </w:div>
        <w:div w:id="1040588712">
          <w:marLeft w:val="0"/>
          <w:marRight w:val="0"/>
          <w:marTop w:val="0"/>
          <w:marBottom w:val="0"/>
          <w:divBdr>
            <w:top w:val="none" w:sz="0" w:space="0" w:color="auto"/>
            <w:left w:val="none" w:sz="0" w:space="0" w:color="auto"/>
            <w:bottom w:val="none" w:sz="0" w:space="0" w:color="auto"/>
            <w:right w:val="none" w:sz="0" w:space="0" w:color="auto"/>
          </w:divBdr>
        </w:div>
        <w:div w:id="1042562321">
          <w:marLeft w:val="0"/>
          <w:marRight w:val="0"/>
          <w:marTop w:val="0"/>
          <w:marBottom w:val="0"/>
          <w:divBdr>
            <w:top w:val="none" w:sz="0" w:space="0" w:color="auto"/>
            <w:left w:val="none" w:sz="0" w:space="0" w:color="auto"/>
            <w:bottom w:val="none" w:sz="0" w:space="0" w:color="auto"/>
            <w:right w:val="none" w:sz="0" w:space="0" w:color="auto"/>
          </w:divBdr>
        </w:div>
        <w:div w:id="1110929063">
          <w:marLeft w:val="0"/>
          <w:marRight w:val="0"/>
          <w:marTop w:val="0"/>
          <w:marBottom w:val="0"/>
          <w:divBdr>
            <w:top w:val="none" w:sz="0" w:space="0" w:color="auto"/>
            <w:left w:val="none" w:sz="0" w:space="0" w:color="auto"/>
            <w:bottom w:val="none" w:sz="0" w:space="0" w:color="auto"/>
            <w:right w:val="none" w:sz="0" w:space="0" w:color="auto"/>
          </w:divBdr>
        </w:div>
        <w:div w:id="1157187865">
          <w:marLeft w:val="0"/>
          <w:marRight w:val="0"/>
          <w:marTop w:val="0"/>
          <w:marBottom w:val="0"/>
          <w:divBdr>
            <w:top w:val="none" w:sz="0" w:space="0" w:color="auto"/>
            <w:left w:val="none" w:sz="0" w:space="0" w:color="auto"/>
            <w:bottom w:val="none" w:sz="0" w:space="0" w:color="auto"/>
            <w:right w:val="none" w:sz="0" w:space="0" w:color="auto"/>
          </w:divBdr>
        </w:div>
        <w:div w:id="1161500972">
          <w:marLeft w:val="0"/>
          <w:marRight w:val="0"/>
          <w:marTop w:val="0"/>
          <w:marBottom w:val="0"/>
          <w:divBdr>
            <w:top w:val="none" w:sz="0" w:space="0" w:color="auto"/>
            <w:left w:val="none" w:sz="0" w:space="0" w:color="auto"/>
            <w:bottom w:val="none" w:sz="0" w:space="0" w:color="auto"/>
            <w:right w:val="none" w:sz="0" w:space="0" w:color="auto"/>
          </w:divBdr>
          <w:divsChild>
            <w:div w:id="1262688329">
              <w:marLeft w:val="-75"/>
              <w:marRight w:val="0"/>
              <w:marTop w:val="30"/>
              <w:marBottom w:val="30"/>
              <w:divBdr>
                <w:top w:val="none" w:sz="0" w:space="0" w:color="auto"/>
                <w:left w:val="none" w:sz="0" w:space="0" w:color="auto"/>
                <w:bottom w:val="none" w:sz="0" w:space="0" w:color="auto"/>
                <w:right w:val="none" w:sz="0" w:space="0" w:color="auto"/>
              </w:divBdr>
              <w:divsChild>
                <w:div w:id="414783186">
                  <w:marLeft w:val="0"/>
                  <w:marRight w:val="0"/>
                  <w:marTop w:val="0"/>
                  <w:marBottom w:val="0"/>
                  <w:divBdr>
                    <w:top w:val="none" w:sz="0" w:space="0" w:color="auto"/>
                    <w:left w:val="none" w:sz="0" w:space="0" w:color="auto"/>
                    <w:bottom w:val="none" w:sz="0" w:space="0" w:color="auto"/>
                    <w:right w:val="none" w:sz="0" w:space="0" w:color="auto"/>
                  </w:divBdr>
                  <w:divsChild>
                    <w:div w:id="457727904">
                      <w:marLeft w:val="0"/>
                      <w:marRight w:val="0"/>
                      <w:marTop w:val="0"/>
                      <w:marBottom w:val="0"/>
                      <w:divBdr>
                        <w:top w:val="none" w:sz="0" w:space="0" w:color="auto"/>
                        <w:left w:val="none" w:sz="0" w:space="0" w:color="auto"/>
                        <w:bottom w:val="none" w:sz="0" w:space="0" w:color="auto"/>
                        <w:right w:val="none" w:sz="0" w:space="0" w:color="auto"/>
                      </w:divBdr>
                    </w:div>
                  </w:divsChild>
                </w:div>
                <w:div w:id="467361029">
                  <w:marLeft w:val="0"/>
                  <w:marRight w:val="0"/>
                  <w:marTop w:val="0"/>
                  <w:marBottom w:val="0"/>
                  <w:divBdr>
                    <w:top w:val="none" w:sz="0" w:space="0" w:color="auto"/>
                    <w:left w:val="none" w:sz="0" w:space="0" w:color="auto"/>
                    <w:bottom w:val="none" w:sz="0" w:space="0" w:color="auto"/>
                    <w:right w:val="none" w:sz="0" w:space="0" w:color="auto"/>
                  </w:divBdr>
                  <w:divsChild>
                    <w:div w:id="1327906017">
                      <w:marLeft w:val="0"/>
                      <w:marRight w:val="0"/>
                      <w:marTop w:val="0"/>
                      <w:marBottom w:val="0"/>
                      <w:divBdr>
                        <w:top w:val="none" w:sz="0" w:space="0" w:color="auto"/>
                        <w:left w:val="none" w:sz="0" w:space="0" w:color="auto"/>
                        <w:bottom w:val="none" w:sz="0" w:space="0" w:color="auto"/>
                        <w:right w:val="none" w:sz="0" w:space="0" w:color="auto"/>
                      </w:divBdr>
                    </w:div>
                  </w:divsChild>
                </w:div>
                <w:div w:id="657224463">
                  <w:marLeft w:val="0"/>
                  <w:marRight w:val="0"/>
                  <w:marTop w:val="0"/>
                  <w:marBottom w:val="0"/>
                  <w:divBdr>
                    <w:top w:val="none" w:sz="0" w:space="0" w:color="auto"/>
                    <w:left w:val="none" w:sz="0" w:space="0" w:color="auto"/>
                    <w:bottom w:val="none" w:sz="0" w:space="0" w:color="auto"/>
                    <w:right w:val="none" w:sz="0" w:space="0" w:color="auto"/>
                  </w:divBdr>
                  <w:divsChild>
                    <w:div w:id="1291321678">
                      <w:marLeft w:val="0"/>
                      <w:marRight w:val="0"/>
                      <w:marTop w:val="0"/>
                      <w:marBottom w:val="0"/>
                      <w:divBdr>
                        <w:top w:val="none" w:sz="0" w:space="0" w:color="auto"/>
                        <w:left w:val="none" w:sz="0" w:space="0" w:color="auto"/>
                        <w:bottom w:val="none" w:sz="0" w:space="0" w:color="auto"/>
                        <w:right w:val="none" w:sz="0" w:space="0" w:color="auto"/>
                      </w:divBdr>
                    </w:div>
                  </w:divsChild>
                </w:div>
                <w:div w:id="724841857">
                  <w:marLeft w:val="0"/>
                  <w:marRight w:val="0"/>
                  <w:marTop w:val="0"/>
                  <w:marBottom w:val="0"/>
                  <w:divBdr>
                    <w:top w:val="none" w:sz="0" w:space="0" w:color="auto"/>
                    <w:left w:val="none" w:sz="0" w:space="0" w:color="auto"/>
                    <w:bottom w:val="none" w:sz="0" w:space="0" w:color="auto"/>
                    <w:right w:val="none" w:sz="0" w:space="0" w:color="auto"/>
                  </w:divBdr>
                  <w:divsChild>
                    <w:div w:id="1177302548">
                      <w:marLeft w:val="0"/>
                      <w:marRight w:val="0"/>
                      <w:marTop w:val="0"/>
                      <w:marBottom w:val="0"/>
                      <w:divBdr>
                        <w:top w:val="none" w:sz="0" w:space="0" w:color="auto"/>
                        <w:left w:val="none" w:sz="0" w:space="0" w:color="auto"/>
                        <w:bottom w:val="none" w:sz="0" w:space="0" w:color="auto"/>
                        <w:right w:val="none" w:sz="0" w:space="0" w:color="auto"/>
                      </w:divBdr>
                    </w:div>
                  </w:divsChild>
                </w:div>
                <w:div w:id="813526626">
                  <w:marLeft w:val="0"/>
                  <w:marRight w:val="0"/>
                  <w:marTop w:val="0"/>
                  <w:marBottom w:val="0"/>
                  <w:divBdr>
                    <w:top w:val="none" w:sz="0" w:space="0" w:color="auto"/>
                    <w:left w:val="none" w:sz="0" w:space="0" w:color="auto"/>
                    <w:bottom w:val="none" w:sz="0" w:space="0" w:color="auto"/>
                    <w:right w:val="none" w:sz="0" w:space="0" w:color="auto"/>
                  </w:divBdr>
                  <w:divsChild>
                    <w:div w:id="606425749">
                      <w:marLeft w:val="0"/>
                      <w:marRight w:val="0"/>
                      <w:marTop w:val="0"/>
                      <w:marBottom w:val="0"/>
                      <w:divBdr>
                        <w:top w:val="none" w:sz="0" w:space="0" w:color="auto"/>
                        <w:left w:val="none" w:sz="0" w:space="0" w:color="auto"/>
                        <w:bottom w:val="none" w:sz="0" w:space="0" w:color="auto"/>
                        <w:right w:val="none" w:sz="0" w:space="0" w:color="auto"/>
                      </w:divBdr>
                    </w:div>
                  </w:divsChild>
                </w:div>
                <w:div w:id="908884716">
                  <w:marLeft w:val="0"/>
                  <w:marRight w:val="0"/>
                  <w:marTop w:val="0"/>
                  <w:marBottom w:val="0"/>
                  <w:divBdr>
                    <w:top w:val="none" w:sz="0" w:space="0" w:color="auto"/>
                    <w:left w:val="none" w:sz="0" w:space="0" w:color="auto"/>
                    <w:bottom w:val="none" w:sz="0" w:space="0" w:color="auto"/>
                    <w:right w:val="none" w:sz="0" w:space="0" w:color="auto"/>
                  </w:divBdr>
                  <w:divsChild>
                    <w:div w:id="1944262339">
                      <w:marLeft w:val="0"/>
                      <w:marRight w:val="0"/>
                      <w:marTop w:val="0"/>
                      <w:marBottom w:val="0"/>
                      <w:divBdr>
                        <w:top w:val="none" w:sz="0" w:space="0" w:color="auto"/>
                        <w:left w:val="none" w:sz="0" w:space="0" w:color="auto"/>
                        <w:bottom w:val="none" w:sz="0" w:space="0" w:color="auto"/>
                        <w:right w:val="none" w:sz="0" w:space="0" w:color="auto"/>
                      </w:divBdr>
                    </w:div>
                  </w:divsChild>
                </w:div>
                <w:div w:id="1027372383">
                  <w:marLeft w:val="0"/>
                  <w:marRight w:val="0"/>
                  <w:marTop w:val="0"/>
                  <w:marBottom w:val="0"/>
                  <w:divBdr>
                    <w:top w:val="none" w:sz="0" w:space="0" w:color="auto"/>
                    <w:left w:val="none" w:sz="0" w:space="0" w:color="auto"/>
                    <w:bottom w:val="none" w:sz="0" w:space="0" w:color="auto"/>
                    <w:right w:val="none" w:sz="0" w:space="0" w:color="auto"/>
                  </w:divBdr>
                  <w:divsChild>
                    <w:div w:id="1566915226">
                      <w:marLeft w:val="0"/>
                      <w:marRight w:val="0"/>
                      <w:marTop w:val="0"/>
                      <w:marBottom w:val="0"/>
                      <w:divBdr>
                        <w:top w:val="none" w:sz="0" w:space="0" w:color="auto"/>
                        <w:left w:val="none" w:sz="0" w:space="0" w:color="auto"/>
                        <w:bottom w:val="none" w:sz="0" w:space="0" w:color="auto"/>
                        <w:right w:val="none" w:sz="0" w:space="0" w:color="auto"/>
                      </w:divBdr>
                    </w:div>
                  </w:divsChild>
                </w:div>
                <w:div w:id="1052116044">
                  <w:marLeft w:val="0"/>
                  <w:marRight w:val="0"/>
                  <w:marTop w:val="0"/>
                  <w:marBottom w:val="0"/>
                  <w:divBdr>
                    <w:top w:val="none" w:sz="0" w:space="0" w:color="auto"/>
                    <w:left w:val="none" w:sz="0" w:space="0" w:color="auto"/>
                    <w:bottom w:val="none" w:sz="0" w:space="0" w:color="auto"/>
                    <w:right w:val="none" w:sz="0" w:space="0" w:color="auto"/>
                  </w:divBdr>
                  <w:divsChild>
                    <w:div w:id="654644614">
                      <w:marLeft w:val="0"/>
                      <w:marRight w:val="0"/>
                      <w:marTop w:val="0"/>
                      <w:marBottom w:val="0"/>
                      <w:divBdr>
                        <w:top w:val="none" w:sz="0" w:space="0" w:color="auto"/>
                        <w:left w:val="none" w:sz="0" w:space="0" w:color="auto"/>
                        <w:bottom w:val="none" w:sz="0" w:space="0" w:color="auto"/>
                        <w:right w:val="none" w:sz="0" w:space="0" w:color="auto"/>
                      </w:divBdr>
                    </w:div>
                  </w:divsChild>
                </w:div>
                <w:div w:id="1054232674">
                  <w:marLeft w:val="0"/>
                  <w:marRight w:val="0"/>
                  <w:marTop w:val="0"/>
                  <w:marBottom w:val="0"/>
                  <w:divBdr>
                    <w:top w:val="none" w:sz="0" w:space="0" w:color="auto"/>
                    <w:left w:val="none" w:sz="0" w:space="0" w:color="auto"/>
                    <w:bottom w:val="none" w:sz="0" w:space="0" w:color="auto"/>
                    <w:right w:val="none" w:sz="0" w:space="0" w:color="auto"/>
                  </w:divBdr>
                  <w:divsChild>
                    <w:div w:id="1828087883">
                      <w:marLeft w:val="0"/>
                      <w:marRight w:val="0"/>
                      <w:marTop w:val="0"/>
                      <w:marBottom w:val="0"/>
                      <w:divBdr>
                        <w:top w:val="none" w:sz="0" w:space="0" w:color="auto"/>
                        <w:left w:val="none" w:sz="0" w:space="0" w:color="auto"/>
                        <w:bottom w:val="none" w:sz="0" w:space="0" w:color="auto"/>
                        <w:right w:val="none" w:sz="0" w:space="0" w:color="auto"/>
                      </w:divBdr>
                    </w:div>
                  </w:divsChild>
                </w:div>
                <w:div w:id="1104181175">
                  <w:marLeft w:val="0"/>
                  <w:marRight w:val="0"/>
                  <w:marTop w:val="0"/>
                  <w:marBottom w:val="0"/>
                  <w:divBdr>
                    <w:top w:val="none" w:sz="0" w:space="0" w:color="auto"/>
                    <w:left w:val="none" w:sz="0" w:space="0" w:color="auto"/>
                    <w:bottom w:val="none" w:sz="0" w:space="0" w:color="auto"/>
                    <w:right w:val="none" w:sz="0" w:space="0" w:color="auto"/>
                  </w:divBdr>
                  <w:divsChild>
                    <w:div w:id="1378702220">
                      <w:marLeft w:val="0"/>
                      <w:marRight w:val="0"/>
                      <w:marTop w:val="0"/>
                      <w:marBottom w:val="0"/>
                      <w:divBdr>
                        <w:top w:val="none" w:sz="0" w:space="0" w:color="auto"/>
                        <w:left w:val="none" w:sz="0" w:space="0" w:color="auto"/>
                        <w:bottom w:val="none" w:sz="0" w:space="0" w:color="auto"/>
                        <w:right w:val="none" w:sz="0" w:space="0" w:color="auto"/>
                      </w:divBdr>
                    </w:div>
                  </w:divsChild>
                </w:div>
                <w:div w:id="1265918704">
                  <w:marLeft w:val="0"/>
                  <w:marRight w:val="0"/>
                  <w:marTop w:val="0"/>
                  <w:marBottom w:val="0"/>
                  <w:divBdr>
                    <w:top w:val="none" w:sz="0" w:space="0" w:color="auto"/>
                    <w:left w:val="none" w:sz="0" w:space="0" w:color="auto"/>
                    <w:bottom w:val="none" w:sz="0" w:space="0" w:color="auto"/>
                    <w:right w:val="none" w:sz="0" w:space="0" w:color="auto"/>
                  </w:divBdr>
                  <w:divsChild>
                    <w:div w:id="257567215">
                      <w:marLeft w:val="0"/>
                      <w:marRight w:val="0"/>
                      <w:marTop w:val="0"/>
                      <w:marBottom w:val="0"/>
                      <w:divBdr>
                        <w:top w:val="none" w:sz="0" w:space="0" w:color="auto"/>
                        <w:left w:val="none" w:sz="0" w:space="0" w:color="auto"/>
                        <w:bottom w:val="none" w:sz="0" w:space="0" w:color="auto"/>
                        <w:right w:val="none" w:sz="0" w:space="0" w:color="auto"/>
                      </w:divBdr>
                    </w:div>
                  </w:divsChild>
                </w:div>
                <w:div w:id="1562132265">
                  <w:marLeft w:val="0"/>
                  <w:marRight w:val="0"/>
                  <w:marTop w:val="0"/>
                  <w:marBottom w:val="0"/>
                  <w:divBdr>
                    <w:top w:val="none" w:sz="0" w:space="0" w:color="auto"/>
                    <w:left w:val="none" w:sz="0" w:space="0" w:color="auto"/>
                    <w:bottom w:val="none" w:sz="0" w:space="0" w:color="auto"/>
                    <w:right w:val="none" w:sz="0" w:space="0" w:color="auto"/>
                  </w:divBdr>
                  <w:divsChild>
                    <w:div w:id="611284619">
                      <w:marLeft w:val="0"/>
                      <w:marRight w:val="0"/>
                      <w:marTop w:val="0"/>
                      <w:marBottom w:val="0"/>
                      <w:divBdr>
                        <w:top w:val="none" w:sz="0" w:space="0" w:color="auto"/>
                        <w:left w:val="none" w:sz="0" w:space="0" w:color="auto"/>
                        <w:bottom w:val="none" w:sz="0" w:space="0" w:color="auto"/>
                        <w:right w:val="none" w:sz="0" w:space="0" w:color="auto"/>
                      </w:divBdr>
                    </w:div>
                  </w:divsChild>
                </w:div>
                <w:div w:id="1579249228">
                  <w:marLeft w:val="0"/>
                  <w:marRight w:val="0"/>
                  <w:marTop w:val="0"/>
                  <w:marBottom w:val="0"/>
                  <w:divBdr>
                    <w:top w:val="none" w:sz="0" w:space="0" w:color="auto"/>
                    <w:left w:val="none" w:sz="0" w:space="0" w:color="auto"/>
                    <w:bottom w:val="none" w:sz="0" w:space="0" w:color="auto"/>
                    <w:right w:val="none" w:sz="0" w:space="0" w:color="auto"/>
                  </w:divBdr>
                  <w:divsChild>
                    <w:div w:id="1090007963">
                      <w:marLeft w:val="0"/>
                      <w:marRight w:val="0"/>
                      <w:marTop w:val="0"/>
                      <w:marBottom w:val="0"/>
                      <w:divBdr>
                        <w:top w:val="none" w:sz="0" w:space="0" w:color="auto"/>
                        <w:left w:val="none" w:sz="0" w:space="0" w:color="auto"/>
                        <w:bottom w:val="none" w:sz="0" w:space="0" w:color="auto"/>
                        <w:right w:val="none" w:sz="0" w:space="0" w:color="auto"/>
                      </w:divBdr>
                    </w:div>
                  </w:divsChild>
                </w:div>
                <w:div w:id="1588273672">
                  <w:marLeft w:val="0"/>
                  <w:marRight w:val="0"/>
                  <w:marTop w:val="0"/>
                  <w:marBottom w:val="0"/>
                  <w:divBdr>
                    <w:top w:val="none" w:sz="0" w:space="0" w:color="auto"/>
                    <w:left w:val="none" w:sz="0" w:space="0" w:color="auto"/>
                    <w:bottom w:val="none" w:sz="0" w:space="0" w:color="auto"/>
                    <w:right w:val="none" w:sz="0" w:space="0" w:color="auto"/>
                  </w:divBdr>
                  <w:divsChild>
                    <w:div w:id="1646085774">
                      <w:marLeft w:val="0"/>
                      <w:marRight w:val="0"/>
                      <w:marTop w:val="0"/>
                      <w:marBottom w:val="0"/>
                      <w:divBdr>
                        <w:top w:val="none" w:sz="0" w:space="0" w:color="auto"/>
                        <w:left w:val="none" w:sz="0" w:space="0" w:color="auto"/>
                        <w:bottom w:val="none" w:sz="0" w:space="0" w:color="auto"/>
                        <w:right w:val="none" w:sz="0" w:space="0" w:color="auto"/>
                      </w:divBdr>
                    </w:div>
                  </w:divsChild>
                </w:div>
                <w:div w:id="1622951589">
                  <w:marLeft w:val="0"/>
                  <w:marRight w:val="0"/>
                  <w:marTop w:val="0"/>
                  <w:marBottom w:val="0"/>
                  <w:divBdr>
                    <w:top w:val="none" w:sz="0" w:space="0" w:color="auto"/>
                    <w:left w:val="none" w:sz="0" w:space="0" w:color="auto"/>
                    <w:bottom w:val="none" w:sz="0" w:space="0" w:color="auto"/>
                    <w:right w:val="none" w:sz="0" w:space="0" w:color="auto"/>
                  </w:divBdr>
                  <w:divsChild>
                    <w:div w:id="1761371332">
                      <w:marLeft w:val="0"/>
                      <w:marRight w:val="0"/>
                      <w:marTop w:val="0"/>
                      <w:marBottom w:val="0"/>
                      <w:divBdr>
                        <w:top w:val="none" w:sz="0" w:space="0" w:color="auto"/>
                        <w:left w:val="none" w:sz="0" w:space="0" w:color="auto"/>
                        <w:bottom w:val="none" w:sz="0" w:space="0" w:color="auto"/>
                        <w:right w:val="none" w:sz="0" w:space="0" w:color="auto"/>
                      </w:divBdr>
                    </w:div>
                  </w:divsChild>
                </w:div>
                <w:div w:id="1717659584">
                  <w:marLeft w:val="0"/>
                  <w:marRight w:val="0"/>
                  <w:marTop w:val="0"/>
                  <w:marBottom w:val="0"/>
                  <w:divBdr>
                    <w:top w:val="none" w:sz="0" w:space="0" w:color="auto"/>
                    <w:left w:val="none" w:sz="0" w:space="0" w:color="auto"/>
                    <w:bottom w:val="none" w:sz="0" w:space="0" w:color="auto"/>
                    <w:right w:val="none" w:sz="0" w:space="0" w:color="auto"/>
                  </w:divBdr>
                  <w:divsChild>
                    <w:div w:id="128941951">
                      <w:marLeft w:val="0"/>
                      <w:marRight w:val="0"/>
                      <w:marTop w:val="0"/>
                      <w:marBottom w:val="0"/>
                      <w:divBdr>
                        <w:top w:val="none" w:sz="0" w:space="0" w:color="auto"/>
                        <w:left w:val="none" w:sz="0" w:space="0" w:color="auto"/>
                        <w:bottom w:val="none" w:sz="0" w:space="0" w:color="auto"/>
                        <w:right w:val="none" w:sz="0" w:space="0" w:color="auto"/>
                      </w:divBdr>
                    </w:div>
                  </w:divsChild>
                </w:div>
                <w:div w:id="1764181216">
                  <w:marLeft w:val="0"/>
                  <w:marRight w:val="0"/>
                  <w:marTop w:val="0"/>
                  <w:marBottom w:val="0"/>
                  <w:divBdr>
                    <w:top w:val="none" w:sz="0" w:space="0" w:color="auto"/>
                    <w:left w:val="none" w:sz="0" w:space="0" w:color="auto"/>
                    <w:bottom w:val="none" w:sz="0" w:space="0" w:color="auto"/>
                    <w:right w:val="none" w:sz="0" w:space="0" w:color="auto"/>
                  </w:divBdr>
                  <w:divsChild>
                    <w:div w:id="1067384888">
                      <w:marLeft w:val="0"/>
                      <w:marRight w:val="0"/>
                      <w:marTop w:val="0"/>
                      <w:marBottom w:val="0"/>
                      <w:divBdr>
                        <w:top w:val="none" w:sz="0" w:space="0" w:color="auto"/>
                        <w:left w:val="none" w:sz="0" w:space="0" w:color="auto"/>
                        <w:bottom w:val="none" w:sz="0" w:space="0" w:color="auto"/>
                        <w:right w:val="none" w:sz="0" w:space="0" w:color="auto"/>
                      </w:divBdr>
                    </w:div>
                  </w:divsChild>
                </w:div>
                <w:div w:id="1875192573">
                  <w:marLeft w:val="0"/>
                  <w:marRight w:val="0"/>
                  <w:marTop w:val="0"/>
                  <w:marBottom w:val="0"/>
                  <w:divBdr>
                    <w:top w:val="none" w:sz="0" w:space="0" w:color="auto"/>
                    <w:left w:val="none" w:sz="0" w:space="0" w:color="auto"/>
                    <w:bottom w:val="none" w:sz="0" w:space="0" w:color="auto"/>
                    <w:right w:val="none" w:sz="0" w:space="0" w:color="auto"/>
                  </w:divBdr>
                  <w:divsChild>
                    <w:div w:id="11048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3948">
          <w:marLeft w:val="0"/>
          <w:marRight w:val="0"/>
          <w:marTop w:val="0"/>
          <w:marBottom w:val="0"/>
          <w:divBdr>
            <w:top w:val="none" w:sz="0" w:space="0" w:color="auto"/>
            <w:left w:val="none" w:sz="0" w:space="0" w:color="auto"/>
            <w:bottom w:val="none" w:sz="0" w:space="0" w:color="auto"/>
            <w:right w:val="none" w:sz="0" w:space="0" w:color="auto"/>
          </w:divBdr>
        </w:div>
        <w:div w:id="1265846765">
          <w:marLeft w:val="0"/>
          <w:marRight w:val="0"/>
          <w:marTop w:val="0"/>
          <w:marBottom w:val="0"/>
          <w:divBdr>
            <w:top w:val="none" w:sz="0" w:space="0" w:color="auto"/>
            <w:left w:val="none" w:sz="0" w:space="0" w:color="auto"/>
            <w:bottom w:val="none" w:sz="0" w:space="0" w:color="auto"/>
            <w:right w:val="none" w:sz="0" w:space="0" w:color="auto"/>
          </w:divBdr>
        </w:div>
        <w:div w:id="1284113912">
          <w:marLeft w:val="0"/>
          <w:marRight w:val="0"/>
          <w:marTop w:val="0"/>
          <w:marBottom w:val="0"/>
          <w:divBdr>
            <w:top w:val="none" w:sz="0" w:space="0" w:color="auto"/>
            <w:left w:val="none" w:sz="0" w:space="0" w:color="auto"/>
            <w:bottom w:val="none" w:sz="0" w:space="0" w:color="auto"/>
            <w:right w:val="none" w:sz="0" w:space="0" w:color="auto"/>
          </w:divBdr>
          <w:divsChild>
            <w:div w:id="51928100">
              <w:marLeft w:val="0"/>
              <w:marRight w:val="0"/>
              <w:marTop w:val="0"/>
              <w:marBottom w:val="0"/>
              <w:divBdr>
                <w:top w:val="none" w:sz="0" w:space="0" w:color="auto"/>
                <w:left w:val="none" w:sz="0" w:space="0" w:color="auto"/>
                <w:bottom w:val="none" w:sz="0" w:space="0" w:color="auto"/>
                <w:right w:val="none" w:sz="0" w:space="0" w:color="auto"/>
              </w:divBdr>
            </w:div>
            <w:div w:id="123499132">
              <w:marLeft w:val="0"/>
              <w:marRight w:val="0"/>
              <w:marTop w:val="0"/>
              <w:marBottom w:val="0"/>
              <w:divBdr>
                <w:top w:val="none" w:sz="0" w:space="0" w:color="auto"/>
                <w:left w:val="none" w:sz="0" w:space="0" w:color="auto"/>
                <w:bottom w:val="none" w:sz="0" w:space="0" w:color="auto"/>
                <w:right w:val="none" w:sz="0" w:space="0" w:color="auto"/>
              </w:divBdr>
            </w:div>
            <w:div w:id="213582777">
              <w:marLeft w:val="0"/>
              <w:marRight w:val="0"/>
              <w:marTop w:val="0"/>
              <w:marBottom w:val="0"/>
              <w:divBdr>
                <w:top w:val="none" w:sz="0" w:space="0" w:color="auto"/>
                <w:left w:val="none" w:sz="0" w:space="0" w:color="auto"/>
                <w:bottom w:val="none" w:sz="0" w:space="0" w:color="auto"/>
                <w:right w:val="none" w:sz="0" w:space="0" w:color="auto"/>
              </w:divBdr>
            </w:div>
            <w:div w:id="270868876">
              <w:marLeft w:val="0"/>
              <w:marRight w:val="0"/>
              <w:marTop w:val="0"/>
              <w:marBottom w:val="0"/>
              <w:divBdr>
                <w:top w:val="none" w:sz="0" w:space="0" w:color="auto"/>
                <w:left w:val="none" w:sz="0" w:space="0" w:color="auto"/>
                <w:bottom w:val="none" w:sz="0" w:space="0" w:color="auto"/>
                <w:right w:val="none" w:sz="0" w:space="0" w:color="auto"/>
              </w:divBdr>
            </w:div>
            <w:div w:id="282620440">
              <w:marLeft w:val="0"/>
              <w:marRight w:val="0"/>
              <w:marTop w:val="0"/>
              <w:marBottom w:val="0"/>
              <w:divBdr>
                <w:top w:val="none" w:sz="0" w:space="0" w:color="auto"/>
                <w:left w:val="none" w:sz="0" w:space="0" w:color="auto"/>
                <w:bottom w:val="none" w:sz="0" w:space="0" w:color="auto"/>
                <w:right w:val="none" w:sz="0" w:space="0" w:color="auto"/>
              </w:divBdr>
            </w:div>
            <w:div w:id="304701476">
              <w:marLeft w:val="0"/>
              <w:marRight w:val="0"/>
              <w:marTop w:val="0"/>
              <w:marBottom w:val="0"/>
              <w:divBdr>
                <w:top w:val="none" w:sz="0" w:space="0" w:color="auto"/>
                <w:left w:val="none" w:sz="0" w:space="0" w:color="auto"/>
                <w:bottom w:val="none" w:sz="0" w:space="0" w:color="auto"/>
                <w:right w:val="none" w:sz="0" w:space="0" w:color="auto"/>
              </w:divBdr>
            </w:div>
            <w:div w:id="641615786">
              <w:marLeft w:val="0"/>
              <w:marRight w:val="0"/>
              <w:marTop w:val="0"/>
              <w:marBottom w:val="0"/>
              <w:divBdr>
                <w:top w:val="none" w:sz="0" w:space="0" w:color="auto"/>
                <w:left w:val="none" w:sz="0" w:space="0" w:color="auto"/>
                <w:bottom w:val="none" w:sz="0" w:space="0" w:color="auto"/>
                <w:right w:val="none" w:sz="0" w:space="0" w:color="auto"/>
              </w:divBdr>
            </w:div>
            <w:div w:id="665792253">
              <w:marLeft w:val="0"/>
              <w:marRight w:val="0"/>
              <w:marTop w:val="0"/>
              <w:marBottom w:val="0"/>
              <w:divBdr>
                <w:top w:val="none" w:sz="0" w:space="0" w:color="auto"/>
                <w:left w:val="none" w:sz="0" w:space="0" w:color="auto"/>
                <w:bottom w:val="none" w:sz="0" w:space="0" w:color="auto"/>
                <w:right w:val="none" w:sz="0" w:space="0" w:color="auto"/>
              </w:divBdr>
            </w:div>
            <w:div w:id="715852579">
              <w:marLeft w:val="0"/>
              <w:marRight w:val="0"/>
              <w:marTop w:val="0"/>
              <w:marBottom w:val="0"/>
              <w:divBdr>
                <w:top w:val="none" w:sz="0" w:space="0" w:color="auto"/>
                <w:left w:val="none" w:sz="0" w:space="0" w:color="auto"/>
                <w:bottom w:val="none" w:sz="0" w:space="0" w:color="auto"/>
                <w:right w:val="none" w:sz="0" w:space="0" w:color="auto"/>
              </w:divBdr>
            </w:div>
            <w:div w:id="751514281">
              <w:marLeft w:val="0"/>
              <w:marRight w:val="0"/>
              <w:marTop w:val="0"/>
              <w:marBottom w:val="0"/>
              <w:divBdr>
                <w:top w:val="none" w:sz="0" w:space="0" w:color="auto"/>
                <w:left w:val="none" w:sz="0" w:space="0" w:color="auto"/>
                <w:bottom w:val="none" w:sz="0" w:space="0" w:color="auto"/>
                <w:right w:val="none" w:sz="0" w:space="0" w:color="auto"/>
              </w:divBdr>
            </w:div>
            <w:div w:id="904026015">
              <w:marLeft w:val="0"/>
              <w:marRight w:val="0"/>
              <w:marTop w:val="0"/>
              <w:marBottom w:val="0"/>
              <w:divBdr>
                <w:top w:val="none" w:sz="0" w:space="0" w:color="auto"/>
                <w:left w:val="none" w:sz="0" w:space="0" w:color="auto"/>
                <w:bottom w:val="none" w:sz="0" w:space="0" w:color="auto"/>
                <w:right w:val="none" w:sz="0" w:space="0" w:color="auto"/>
              </w:divBdr>
            </w:div>
            <w:div w:id="1042556324">
              <w:marLeft w:val="0"/>
              <w:marRight w:val="0"/>
              <w:marTop w:val="0"/>
              <w:marBottom w:val="0"/>
              <w:divBdr>
                <w:top w:val="none" w:sz="0" w:space="0" w:color="auto"/>
                <w:left w:val="none" w:sz="0" w:space="0" w:color="auto"/>
                <w:bottom w:val="none" w:sz="0" w:space="0" w:color="auto"/>
                <w:right w:val="none" w:sz="0" w:space="0" w:color="auto"/>
              </w:divBdr>
            </w:div>
            <w:div w:id="1195507990">
              <w:marLeft w:val="0"/>
              <w:marRight w:val="0"/>
              <w:marTop w:val="0"/>
              <w:marBottom w:val="0"/>
              <w:divBdr>
                <w:top w:val="none" w:sz="0" w:space="0" w:color="auto"/>
                <w:left w:val="none" w:sz="0" w:space="0" w:color="auto"/>
                <w:bottom w:val="none" w:sz="0" w:space="0" w:color="auto"/>
                <w:right w:val="none" w:sz="0" w:space="0" w:color="auto"/>
              </w:divBdr>
            </w:div>
            <w:div w:id="1290209833">
              <w:marLeft w:val="0"/>
              <w:marRight w:val="0"/>
              <w:marTop w:val="0"/>
              <w:marBottom w:val="0"/>
              <w:divBdr>
                <w:top w:val="none" w:sz="0" w:space="0" w:color="auto"/>
                <w:left w:val="none" w:sz="0" w:space="0" w:color="auto"/>
                <w:bottom w:val="none" w:sz="0" w:space="0" w:color="auto"/>
                <w:right w:val="none" w:sz="0" w:space="0" w:color="auto"/>
              </w:divBdr>
            </w:div>
            <w:div w:id="1636718336">
              <w:marLeft w:val="0"/>
              <w:marRight w:val="0"/>
              <w:marTop w:val="0"/>
              <w:marBottom w:val="0"/>
              <w:divBdr>
                <w:top w:val="none" w:sz="0" w:space="0" w:color="auto"/>
                <w:left w:val="none" w:sz="0" w:space="0" w:color="auto"/>
                <w:bottom w:val="none" w:sz="0" w:space="0" w:color="auto"/>
                <w:right w:val="none" w:sz="0" w:space="0" w:color="auto"/>
              </w:divBdr>
            </w:div>
            <w:div w:id="1751462683">
              <w:marLeft w:val="0"/>
              <w:marRight w:val="0"/>
              <w:marTop w:val="0"/>
              <w:marBottom w:val="0"/>
              <w:divBdr>
                <w:top w:val="none" w:sz="0" w:space="0" w:color="auto"/>
                <w:left w:val="none" w:sz="0" w:space="0" w:color="auto"/>
                <w:bottom w:val="none" w:sz="0" w:space="0" w:color="auto"/>
                <w:right w:val="none" w:sz="0" w:space="0" w:color="auto"/>
              </w:divBdr>
            </w:div>
            <w:div w:id="2006860050">
              <w:marLeft w:val="0"/>
              <w:marRight w:val="0"/>
              <w:marTop w:val="0"/>
              <w:marBottom w:val="0"/>
              <w:divBdr>
                <w:top w:val="none" w:sz="0" w:space="0" w:color="auto"/>
                <w:left w:val="none" w:sz="0" w:space="0" w:color="auto"/>
                <w:bottom w:val="none" w:sz="0" w:space="0" w:color="auto"/>
                <w:right w:val="none" w:sz="0" w:space="0" w:color="auto"/>
              </w:divBdr>
            </w:div>
            <w:div w:id="2024239726">
              <w:marLeft w:val="0"/>
              <w:marRight w:val="0"/>
              <w:marTop w:val="0"/>
              <w:marBottom w:val="0"/>
              <w:divBdr>
                <w:top w:val="none" w:sz="0" w:space="0" w:color="auto"/>
                <w:left w:val="none" w:sz="0" w:space="0" w:color="auto"/>
                <w:bottom w:val="none" w:sz="0" w:space="0" w:color="auto"/>
                <w:right w:val="none" w:sz="0" w:space="0" w:color="auto"/>
              </w:divBdr>
            </w:div>
            <w:div w:id="2120954224">
              <w:marLeft w:val="0"/>
              <w:marRight w:val="0"/>
              <w:marTop w:val="0"/>
              <w:marBottom w:val="0"/>
              <w:divBdr>
                <w:top w:val="none" w:sz="0" w:space="0" w:color="auto"/>
                <w:left w:val="none" w:sz="0" w:space="0" w:color="auto"/>
                <w:bottom w:val="none" w:sz="0" w:space="0" w:color="auto"/>
                <w:right w:val="none" w:sz="0" w:space="0" w:color="auto"/>
              </w:divBdr>
            </w:div>
            <w:div w:id="2143842479">
              <w:marLeft w:val="0"/>
              <w:marRight w:val="0"/>
              <w:marTop w:val="0"/>
              <w:marBottom w:val="0"/>
              <w:divBdr>
                <w:top w:val="none" w:sz="0" w:space="0" w:color="auto"/>
                <w:left w:val="none" w:sz="0" w:space="0" w:color="auto"/>
                <w:bottom w:val="none" w:sz="0" w:space="0" w:color="auto"/>
                <w:right w:val="none" w:sz="0" w:space="0" w:color="auto"/>
              </w:divBdr>
            </w:div>
          </w:divsChild>
        </w:div>
        <w:div w:id="1292320328">
          <w:marLeft w:val="0"/>
          <w:marRight w:val="0"/>
          <w:marTop w:val="0"/>
          <w:marBottom w:val="0"/>
          <w:divBdr>
            <w:top w:val="none" w:sz="0" w:space="0" w:color="auto"/>
            <w:left w:val="none" w:sz="0" w:space="0" w:color="auto"/>
            <w:bottom w:val="none" w:sz="0" w:space="0" w:color="auto"/>
            <w:right w:val="none" w:sz="0" w:space="0" w:color="auto"/>
          </w:divBdr>
        </w:div>
        <w:div w:id="1346636750">
          <w:marLeft w:val="0"/>
          <w:marRight w:val="0"/>
          <w:marTop w:val="0"/>
          <w:marBottom w:val="0"/>
          <w:divBdr>
            <w:top w:val="none" w:sz="0" w:space="0" w:color="auto"/>
            <w:left w:val="none" w:sz="0" w:space="0" w:color="auto"/>
            <w:bottom w:val="none" w:sz="0" w:space="0" w:color="auto"/>
            <w:right w:val="none" w:sz="0" w:space="0" w:color="auto"/>
          </w:divBdr>
        </w:div>
        <w:div w:id="1385062600">
          <w:marLeft w:val="0"/>
          <w:marRight w:val="0"/>
          <w:marTop w:val="0"/>
          <w:marBottom w:val="0"/>
          <w:divBdr>
            <w:top w:val="none" w:sz="0" w:space="0" w:color="auto"/>
            <w:left w:val="none" w:sz="0" w:space="0" w:color="auto"/>
            <w:bottom w:val="none" w:sz="0" w:space="0" w:color="auto"/>
            <w:right w:val="none" w:sz="0" w:space="0" w:color="auto"/>
          </w:divBdr>
        </w:div>
        <w:div w:id="1425607079">
          <w:marLeft w:val="0"/>
          <w:marRight w:val="0"/>
          <w:marTop w:val="0"/>
          <w:marBottom w:val="0"/>
          <w:divBdr>
            <w:top w:val="none" w:sz="0" w:space="0" w:color="auto"/>
            <w:left w:val="none" w:sz="0" w:space="0" w:color="auto"/>
            <w:bottom w:val="none" w:sz="0" w:space="0" w:color="auto"/>
            <w:right w:val="none" w:sz="0" w:space="0" w:color="auto"/>
          </w:divBdr>
        </w:div>
        <w:div w:id="1489713669">
          <w:marLeft w:val="0"/>
          <w:marRight w:val="0"/>
          <w:marTop w:val="0"/>
          <w:marBottom w:val="0"/>
          <w:divBdr>
            <w:top w:val="none" w:sz="0" w:space="0" w:color="auto"/>
            <w:left w:val="none" w:sz="0" w:space="0" w:color="auto"/>
            <w:bottom w:val="none" w:sz="0" w:space="0" w:color="auto"/>
            <w:right w:val="none" w:sz="0" w:space="0" w:color="auto"/>
          </w:divBdr>
        </w:div>
        <w:div w:id="1601717864">
          <w:marLeft w:val="0"/>
          <w:marRight w:val="0"/>
          <w:marTop w:val="0"/>
          <w:marBottom w:val="0"/>
          <w:divBdr>
            <w:top w:val="none" w:sz="0" w:space="0" w:color="auto"/>
            <w:left w:val="none" w:sz="0" w:space="0" w:color="auto"/>
            <w:bottom w:val="none" w:sz="0" w:space="0" w:color="auto"/>
            <w:right w:val="none" w:sz="0" w:space="0" w:color="auto"/>
          </w:divBdr>
          <w:divsChild>
            <w:div w:id="1771123645">
              <w:marLeft w:val="-75"/>
              <w:marRight w:val="0"/>
              <w:marTop w:val="30"/>
              <w:marBottom w:val="30"/>
              <w:divBdr>
                <w:top w:val="none" w:sz="0" w:space="0" w:color="auto"/>
                <w:left w:val="none" w:sz="0" w:space="0" w:color="auto"/>
                <w:bottom w:val="none" w:sz="0" w:space="0" w:color="auto"/>
                <w:right w:val="none" w:sz="0" w:space="0" w:color="auto"/>
              </w:divBdr>
              <w:divsChild>
                <w:div w:id="76832129">
                  <w:marLeft w:val="0"/>
                  <w:marRight w:val="0"/>
                  <w:marTop w:val="0"/>
                  <w:marBottom w:val="0"/>
                  <w:divBdr>
                    <w:top w:val="none" w:sz="0" w:space="0" w:color="auto"/>
                    <w:left w:val="none" w:sz="0" w:space="0" w:color="auto"/>
                    <w:bottom w:val="none" w:sz="0" w:space="0" w:color="auto"/>
                    <w:right w:val="none" w:sz="0" w:space="0" w:color="auto"/>
                  </w:divBdr>
                  <w:divsChild>
                    <w:div w:id="1373652340">
                      <w:marLeft w:val="0"/>
                      <w:marRight w:val="0"/>
                      <w:marTop w:val="0"/>
                      <w:marBottom w:val="0"/>
                      <w:divBdr>
                        <w:top w:val="none" w:sz="0" w:space="0" w:color="auto"/>
                        <w:left w:val="none" w:sz="0" w:space="0" w:color="auto"/>
                        <w:bottom w:val="none" w:sz="0" w:space="0" w:color="auto"/>
                        <w:right w:val="none" w:sz="0" w:space="0" w:color="auto"/>
                      </w:divBdr>
                    </w:div>
                  </w:divsChild>
                </w:div>
                <w:div w:id="111826030">
                  <w:marLeft w:val="0"/>
                  <w:marRight w:val="0"/>
                  <w:marTop w:val="0"/>
                  <w:marBottom w:val="0"/>
                  <w:divBdr>
                    <w:top w:val="none" w:sz="0" w:space="0" w:color="auto"/>
                    <w:left w:val="none" w:sz="0" w:space="0" w:color="auto"/>
                    <w:bottom w:val="none" w:sz="0" w:space="0" w:color="auto"/>
                    <w:right w:val="none" w:sz="0" w:space="0" w:color="auto"/>
                  </w:divBdr>
                  <w:divsChild>
                    <w:div w:id="1541354800">
                      <w:marLeft w:val="0"/>
                      <w:marRight w:val="0"/>
                      <w:marTop w:val="0"/>
                      <w:marBottom w:val="0"/>
                      <w:divBdr>
                        <w:top w:val="none" w:sz="0" w:space="0" w:color="auto"/>
                        <w:left w:val="none" w:sz="0" w:space="0" w:color="auto"/>
                        <w:bottom w:val="none" w:sz="0" w:space="0" w:color="auto"/>
                        <w:right w:val="none" w:sz="0" w:space="0" w:color="auto"/>
                      </w:divBdr>
                    </w:div>
                  </w:divsChild>
                </w:div>
                <w:div w:id="133524544">
                  <w:marLeft w:val="0"/>
                  <w:marRight w:val="0"/>
                  <w:marTop w:val="0"/>
                  <w:marBottom w:val="0"/>
                  <w:divBdr>
                    <w:top w:val="none" w:sz="0" w:space="0" w:color="auto"/>
                    <w:left w:val="none" w:sz="0" w:space="0" w:color="auto"/>
                    <w:bottom w:val="none" w:sz="0" w:space="0" w:color="auto"/>
                    <w:right w:val="none" w:sz="0" w:space="0" w:color="auto"/>
                  </w:divBdr>
                  <w:divsChild>
                    <w:div w:id="802305265">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9074911">
                  <w:marLeft w:val="0"/>
                  <w:marRight w:val="0"/>
                  <w:marTop w:val="0"/>
                  <w:marBottom w:val="0"/>
                  <w:divBdr>
                    <w:top w:val="none" w:sz="0" w:space="0" w:color="auto"/>
                    <w:left w:val="none" w:sz="0" w:space="0" w:color="auto"/>
                    <w:bottom w:val="none" w:sz="0" w:space="0" w:color="auto"/>
                    <w:right w:val="none" w:sz="0" w:space="0" w:color="auto"/>
                  </w:divBdr>
                  <w:divsChild>
                    <w:div w:id="543709961">
                      <w:marLeft w:val="0"/>
                      <w:marRight w:val="0"/>
                      <w:marTop w:val="0"/>
                      <w:marBottom w:val="0"/>
                      <w:divBdr>
                        <w:top w:val="none" w:sz="0" w:space="0" w:color="auto"/>
                        <w:left w:val="none" w:sz="0" w:space="0" w:color="auto"/>
                        <w:bottom w:val="none" w:sz="0" w:space="0" w:color="auto"/>
                        <w:right w:val="none" w:sz="0" w:space="0" w:color="auto"/>
                      </w:divBdr>
                    </w:div>
                  </w:divsChild>
                </w:div>
                <w:div w:id="210044548">
                  <w:marLeft w:val="0"/>
                  <w:marRight w:val="0"/>
                  <w:marTop w:val="0"/>
                  <w:marBottom w:val="0"/>
                  <w:divBdr>
                    <w:top w:val="none" w:sz="0" w:space="0" w:color="auto"/>
                    <w:left w:val="none" w:sz="0" w:space="0" w:color="auto"/>
                    <w:bottom w:val="none" w:sz="0" w:space="0" w:color="auto"/>
                    <w:right w:val="none" w:sz="0" w:space="0" w:color="auto"/>
                  </w:divBdr>
                  <w:divsChild>
                    <w:div w:id="2052340967">
                      <w:marLeft w:val="0"/>
                      <w:marRight w:val="0"/>
                      <w:marTop w:val="0"/>
                      <w:marBottom w:val="0"/>
                      <w:divBdr>
                        <w:top w:val="none" w:sz="0" w:space="0" w:color="auto"/>
                        <w:left w:val="none" w:sz="0" w:space="0" w:color="auto"/>
                        <w:bottom w:val="none" w:sz="0" w:space="0" w:color="auto"/>
                        <w:right w:val="none" w:sz="0" w:space="0" w:color="auto"/>
                      </w:divBdr>
                    </w:div>
                  </w:divsChild>
                </w:div>
                <w:div w:id="240524371">
                  <w:marLeft w:val="0"/>
                  <w:marRight w:val="0"/>
                  <w:marTop w:val="0"/>
                  <w:marBottom w:val="0"/>
                  <w:divBdr>
                    <w:top w:val="none" w:sz="0" w:space="0" w:color="auto"/>
                    <w:left w:val="none" w:sz="0" w:space="0" w:color="auto"/>
                    <w:bottom w:val="none" w:sz="0" w:space="0" w:color="auto"/>
                    <w:right w:val="none" w:sz="0" w:space="0" w:color="auto"/>
                  </w:divBdr>
                  <w:divsChild>
                    <w:div w:id="1275401805">
                      <w:marLeft w:val="0"/>
                      <w:marRight w:val="0"/>
                      <w:marTop w:val="0"/>
                      <w:marBottom w:val="0"/>
                      <w:divBdr>
                        <w:top w:val="none" w:sz="0" w:space="0" w:color="auto"/>
                        <w:left w:val="none" w:sz="0" w:space="0" w:color="auto"/>
                        <w:bottom w:val="none" w:sz="0" w:space="0" w:color="auto"/>
                        <w:right w:val="none" w:sz="0" w:space="0" w:color="auto"/>
                      </w:divBdr>
                    </w:div>
                  </w:divsChild>
                </w:div>
                <w:div w:id="356858986">
                  <w:marLeft w:val="0"/>
                  <w:marRight w:val="0"/>
                  <w:marTop w:val="0"/>
                  <w:marBottom w:val="0"/>
                  <w:divBdr>
                    <w:top w:val="none" w:sz="0" w:space="0" w:color="auto"/>
                    <w:left w:val="none" w:sz="0" w:space="0" w:color="auto"/>
                    <w:bottom w:val="none" w:sz="0" w:space="0" w:color="auto"/>
                    <w:right w:val="none" w:sz="0" w:space="0" w:color="auto"/>
                  </w:divBdr>
                  <w:divsChild>
                    <w:div w:id="1773476272">
                      <w:marLeft w:val="0"/>
                      <w:marRight w:val="0"/>
                      <w:marTop w:val="0"/>
                      <w:marBottom w:val="0"/>
                      <w:divBdr>
                        <w:top w:val="none" w:sz="0" w:space="0" w:color="auto"/>
                        <w:left w:val="none" w:sz="0" w:space="0" w:color="auto"/>
                        <w:bottom w:val="none" w:sz="0" w:space="0" w:color="auto"/>
                        <w:right w:val="none" w:sz="0" w:space="0" w:color="auto"/>
                      </w:divBdr>
                    </w:div>
                  </w:divsChild>
                </w:div>
                <w:div w:id="537472893">
                  <w:marLeft w:val="0"/>
                  <w:marRight w:val="0"/>
                  <w:marTop w:val="0"/>
                  <w:marBottom w:val="0"/>
                  <w:divBdr>
                    <w:top w:val="none" w:sz="0" w:space="0" w:color="auto"/>
                    <w:left w:val="none" w:sz="0" w:space="0" w:color="auto"/>
                    <w:bottom w:val="none" w:sz="0" w:space="0" w:color="auto"/>
                    <w:right w:val="none" w:sz="0" w:space="0" w:color="auto"/>
                  </w:divBdr>
                  <w:divsChild>
                    <w:div w:id="66272908">
                      <w:marLeft w:val="0"/>
                      <w:marRight w:val="0"/>
                      <w:marTop w:val="0"/>
                      <w:marBottom w:val="0"/>
                      <w:divBdr>
                        <w:top w:val="none" w:sz="0" w:space="0" w:color="auto"/>
                        <w:left w:val="none" w:sz="0" w:space="0" w:color="auto"/>
                        <w:bottom w:val="none" w:sz="0" w:space="0" w:color="auto"/>
                        <w:right w:val="none" w:sz="0" w:space="0" w:color="auto"/>
                      </w:divBdr>
                    </w:div>
                  </w:divsChild>
                </w:div>
                <w:div w:id="583681433">
                  <w:marLeft w:val="0"/>
                  <w:marRight w:val="0"/>
                  <w:marTop w:val="0"/>
                  <w:marBottom w:val="0"/>
                  <w:divBdr>
                    <w:top w:val="none" w:sz="0" w:space="0" w:color="auto"/>
                    <w:left w:val="none" w:sz="0" w:space="0" w:color="auto"/>
                    <w:bottom w:val="none" w:sz="0" w:space="0" w:color="auto"/>
                    <w:right w:val="none" w:sz="0" w:space="0" w:color="auto"/>
                  </w:divBdr>
                  <w:divsChild>
                    <w:div w:id="250165953">
                      <w:marLeft w:val="0"/>
                      <w:marRight w:val="0"/>
                      <w:marTop w:val="0"/>
                      <w:marBottom w:val="0"/>
                      <w:divBdr>
                        <w:top w:val="none" w:sz="0" w:space="0" w:color="auto"/>
                        <w:left w:val="none" w:sz="0" w:space="0" w:color="auto"/>
                        <w:bottom w:val="none" w:sz="0" w:space="0" w:color="auto"/>
                        <w:right w:val="none" w:sz="0" w:space="0" w:color="auto"/>
                      </w:divBdr>
                    </w:div>
                  </w:divsChild>
                </w:div>
                <w:div w:id="670328750">
                  <w:marLeft w:val="0"/>
                  <w:marRight w:val="0"/>
                  <w:marTop w:val="0"/>
                  <w:marBottom w:val="0"/>
                  <w:divBdr>
                    <w:top w:val="none" w:sz="0" w:space="0" w:color="auto"/>
                    <w:left w:val="none" w:sz="0" w:space="0" w:color="auto"/>
                    <w:bottom w:val="none" w:sz="0" w:space="0" w:color="auto"/>
                    <w:right w:val="none" w:sz="0" w:space="0" w:color="auto"/>
                  </w:divBdr>
                  <w:divsChild>
                    <w:div w:id="1124620959">
                      <w:marLeft w:val="0"/>
                      <w:marRight w:val="0"/>
                      <w:marTop w:val="0"/>
                      <w:marBottom w:val="0"/>
                      <w:divBdr>
                        <w:top w:val="none" w:sz="0" w:space="0" w:color="auto"/>
                        <w:left w:val="none" w:sz="0" w:space="0" w:color="auto"/>
                        <w:bottom w:val="none" w:sz="0" w:space="0" w:color="auto"/>
                        <w:right w:val="none" w:sz="0" w:space="0" w:color="auto"/>
                      </w:divBdr>
                    </w:div>
                  </w:divsChild>
                </w:div>
                <w:div w:id="676033978">
                  <w:marLeft w:val="0"/>
                  <w:marRight w:val="0"/>
                  <w:marTop w:val="0"/>
                  <w:marBottom w:val="0"/>
                  <w:divBdr>
                    <w:top w:val="none" w:sz="0" w:space="0" w:color="auto"/>
                    <w:left w:val="none" w:sz="0" w:space="0" w:color="auto"/>
                    <w:bottom w:val="none" w:sz="0" w:space="0" w:color="auto"/>
                    <w:right w:val="none" w:sz="0" w:space="0" w:color="auto"/>
                  </w:divBdr>
                  <w:divsChild>
                    <w:div w:id="1231886505">
                      <w:marLeft w:val="0"/>
                      <w:marRight w:val="0"/>
                      <w:marTop w:val="0"/>
                      <w:marBottom w:val="0"/>
                      <w:divBdr>
                        <w:top w:val="none" w:sz="0" w:space="0" w:color="auto"/>
                        <w:left w:val="none" w:sz="0" w:space="0" w:color="auto"/>
                        <w:bottom w:val="none" w:sz="0" w:space="0" w:color="auto"/>
                        <w:right w:val="none" w:sz="0" w:space="0" w:color="auto"/>
                      </w:divBdr>
                    </w:div>
                  </w:divsChild>
                </w:div>
                <w:div w:id="734160213">
                  <w:marLeft w:val="0"/>
                  <w:marRight w:val="0"/>
                  <w:marTop w:val="0"/>
                  <w:marBottom w:val="0"/>
                  <w:divBdr>
                    <w:top w:val="none" w:sz="0" w:space="0" w:color="auto"/>
                    <w:left w:val="none" w:sz="0" w:space="0" w:color="auto"/>
                    <w:bottom w:val="none" w:sz="0" w:space="0" w:color="auto"/>
                    <w:right w:val="none" w:sz="0" w:space="0" w:color="auto"/>
                  </w:divBdr>
                  <w:divsChild>
                    <w:div w:id="456528631">
                      <w:marLeft w:val="0"/>
                      <w:marRight w:val="0"/>
                      <w:marTop w:val="0"/>
                      <w:marBottom w:val="0"/>
                      <w:divBdr>
                        <w:top w:val="none" w:sz="0" w:space="0" w:color="auto"/>
                        <w:left w:val="none" w:sz="0" w:space="0" w:color="auto"/>
                        <w:bottom w:val="none" w:sz="0" w:space="0" w:color="auto"/>
                        <w:right w:val="none" w:sz="0" w:space="0" w:color="auto"/>
                      </w:divBdr>
                    </w:div>
                  </w:divsChild>
                </w:div>
                <w:div w:id="803735509">
                  <w:marLeft w:val="0"/>
                  <w:marRight w:val="0"/>
                  <w:marTop w:val="0"/>
                  <w:marBottom w:val="0"/>
                  <w:divBdr>
                    <w:top w:val="none" w:sz="0" w:space="0" w:color="auto"/>
                    <w:left w:val="none" w:sz="0" w:space="0" w:color="auto"/>
                    <w:bottom w:val="none" w:sz="0" w:space="0" w:color="auto"/>
                    <w:right w:val="none" w:sz="0" w:space="0" w:color="auto"/>
                  </w:divBdr>
                  <w:divsChild>
                    <w:div w:id="927613224">
                      <w:marLeft w:val="0"/>
                      <w:marRight w:val="0"/>
                      <w:marTop w:val="0"/>
                      <w:marBottom w:val="0"/>
                      <w:divBdr>
                        <w:top w:val="none" w:sz="0" w:space="0" w:color="auto"/>
                        <w:left w:val="none" w:sz="0" w:space="0" w:color="auto"/>
                        <w:bottom w:val="none" w:sz="0" w:space="0" w:color="auto"/>
                        <w:right w:val="none" w:sz="0" w:space="0" w:color="auto"/>
                      </w:divBdr>
                    </w:div>
                  </w:divsChild>
                </w:div>
                <w:div w:id="853417442">
                  <w:marLeft w:val="0"/>
                  <w:marRight w:val="0"/>
                  <w:marTop w:val="0"/>
                  <w:marBottom w:val="0"/>
                  <w:divBdr>
                    <w:top w:val="none" w:sz="0" w:space="0" w:color="auto"/>
                    <w:left w:val="none" w:sz="0" w:space="0" w:color="auto"/>
                    <w:bottom w:val="none" w:sz="0" w:space="0" w:color="auto"/>
                    <w:right w:val="none" w:sz="0" w:space="0" w:color="auto"/>
                  </w:divBdr>
                  <w:divsChild>
                    <w:div w:id="768309324">
                      <w:marLeft w:val="0"/>
                      <w:marRight w:val="0"/>
                      <w:marTop w:val="0"/>
                      <w:marBottom w:val="0"/>
                      <w:divBdr>
                        <w:top w:val="none" w:sz="0" w:space="0" w:color="auto"/>
                        <w:left w:val="none" w:sz="0" w:space="0" w:color="auto"/>
                        <w:bottom w:val="none" w:sz="0" w:space="0" w:color="auto"/>
                        <w:right w:val="none" w:sz="0" w:space="0" w:color="auto"/>
                      </w:divBdr>
                    </w:div>
                  </w:divsChild>
                </w:div>
                <w:div w:id="913782656">
                  <w:marLeft w:val="0"/>
                  <w:marRight w:val="0"/>
                  <w:marTop w:val="0"/>
                  <w:marBottom w:val="0"/>
                  <w:divBdr>
                    <w:top w:val="none" w:sz="0" w:space="0" w:color="auto"/>
                    <w:left w:val="none" w:sz="0" w:space="0" w:color="auto"/>
                    <w:bottom w:val="none" w:sz="0" w:space="0" w:color="auto"/>
                    <w:right w:val="none" w:sz="0" w:space="0" w:color="auto"/>
                  </w:divBdr>
                  <w:divsChild>
                    <w:div w:id="602953222">
                      <w:marLeft w:val="0"/>
                      <w:marRight w:val="0"/>
                      <w:marTop w:val="0"/>
                      <w:marBottom w:val="0"/>
                      <w:divBdr>
                        <w:top w:val="none" w:sz="0" w:space="0" w:color="auto"/>
                        <w:left w:val="none" w:sz="0" w:space="0" w:color="auto"/>
                        <w:bottom w:val="none" w:sz="0" w:space="0" w:color="auto"/>
                        <w:right w:val="none" w:sz="0" w:space="0" w:color="auto"/>
                      </w:divBdr>
                    </w:div>
                  </w:divsChild>
                </w:div>
                <w:div w:id="1178346619">
                  <w:marLeft w:val="0"/>
                  <w:marRight w:val="0"/>
                  <w:marTop w:val="0"/>
                  <w:marBottom w:val="0"/>
                  <w:divBdr>
                    <w:top w:val="none" w:sz="0" w:space="0" w:color="auto"/>
                    <w:left w:val="none" w:sz="0" w:space="0" w:color="auto"/>
                    <w:bottom w:val="none" w:sz="0" w:space="0" w:color="auto"/>
                    <w:right w:val="none" w:sz="0" w:space="0" w:color="auto"/>
                  </w:divBdr>
                  <w:divsChild>
                    <w:div w:id="893003043">
                      <w:marLeft w:val="0"/>
                      <w:marRight w:val="0"/>
                      <w:marTop w:val="0"/>
                      <w:marBottom w:val="0"/>
                      <w:divBdr>
                        <w:top w:val="none" w:sz="0" w:space="0" w:color="auto"/>
                        <w:left w:val="none" w:sz="0" w:space="0" w:color="auto"/>
                        <w:bottom w:val="none" w:sz="0" w:space="0" w:color="auto"/>
                        <w:right w:val="none" w:sz="0" w:space="0" w:color="auto"/>
                      </w:divBdr>
                    </w:div>
                  </w:divsChild>
                </w:div>
                <w:div w:id="1382635409">
                  <w:marLeft w:val="0"/>
                  <w:marRight w:val="0"/>
                  <w:marTop w:val="0"/>
                  <w:marBottom w:val="0"/>
                  <w:divBdr>
                    <w:top w:val="none" w:sz="0" w:space="0" w:color="auto"/>
                    <w:left w:val="none" w:sz="0" w:space="0" w:color="auto"/>
                    <w:bottom w:val="none" w:sz="0" w:space="0" w:color="auto"/>
                    <w:right w:val="none" w:sz="0" w:space="0" w:color="auto"/>
                  </w:divBdr>
                  <w:divsChild>
                    <w:div w:id="1000044214">
                      <w:marLeft w:val="0"/>
                      <w:marRight w:val="0"/>
                      <w:marTop w:val="0"/>
                      <w:marBottom w:val="0"/>
                      <w:divBdr>
                        <w:top w:val="none" w:sz="0" w:space="0" w:color="auto"/>
                        <w:left w:val="none" w:sz="0" w:space="0" w:color="auto"/>
                        <w:bottom w:val="none" w:sz="0" w:space="0" w:color="auto"/>
                        <w:right w:val="none" w:sz="0" w:space="0" w:color="auto"/>
                      </w:divBdr>
                    </w:div>
                  </w:divsChild>
                </w:div>
                <w:div w:id="1405688239">
                  <w:marLeft w:val="0"/>
                  <w:marRight w:val="0"/>
                  <w:marTop w:val="0"/>
                  <w:marBottom w:val="0"/>
                  <w:divBdr>
                    <w:top w:val="none" w:sz="0" w:space="0" w:color="auto"/>
                    <w:left w:val="none" w:sz="0" w:space="0" w:color="auto"/>
                    <w:bottom w:val="none" w:sz="0" w:space="0" w:color="auto"/>
                    <w:right w:val="none" w:sz="0" w:space="0" w:color="auto"/>
                  </w:divBdr>
                  <w:divsChild>
                    <w:div w:id="63724049">
                      <w:marLeft w:val="0"/>
                      <w:marRight w:val="0"/>
                      <w:marTop w:val="0"/>
                      <w:marBottom w:val="0"/>
                      <w:divBdr>
                        <w:top w:val="none" w:sz="0" w:space="0" w:color="auto"/>
                        <w:left w:val="none" w:sz="0" w:space="0" w:color="auto"/>
                        <w:bottom w:val="none" w:sz="0" w:space="0" w:color="auto"/>
                        <w:right w:val="none" w:sz="0" w:space="0" w:color="auto"/>
                      </w:divBdr>
                    </w:div>
                  </w:divsChild>
                </w:div>
                <w:div w:id="1416511396">
                  <w:marLeft w:val="0"/>
                  <w:marRight w:val="0"/>
                  <w:marTop w:val="0"/>
                  <w:marBottom w:val="0"/>
                  <w:divBdr>
                    <w:top w:val="none" w:sz="0" w:space="0" w:color="auto"/>
                    <w:left w:val="none" w:sz="0" w:space="0" w:color="auto"/>
                    <w:bottom w:val="none" w:sz="0" w:space="0" w:color="auto"/>
                    <w:right w:val="none" w:sz="0" w:space="0" w:color="auto"/>
                  </w:divBdr>
                  <w:divsChild>
                    <w:div w:id="1685787878">
                      <w:marLeft w:val="0"/>
                      <w:marRight w:val="0"/>
                      <w:marTop w:val="0"/>
                      <w:marBottom w:val="0"/>
                      <w:divBdr>
                        <w:top w:val="none" w:sz="0" w:space="0" w:color="auto"/>
                        <w:left w:val="none" w:sz="0" w:space="0" w:color="auto"/>
                        <w:bottom w:val="none" w:sz="0" w:space="0" w:color="auto"/>
                        <w:right w:val="none" w:sz="0" w:space="0" w:color="auto"/>
                      </w:divBdr>
                    </w:div>
                  </w:divsChild>
                </w:div>
                <w:div w:id="1435059000">
                  <w:marLeft w:val="0"/>
                  <w:marRight w:val="0"/>
                  <w:marTop w:val="0"/>
                  <w:marBottom w:val="0"/>
                  <w:divBdr>
                    <w:top w:val="none" w:sz="0" w:space="0" w:color="auto"/>
                    <w:left w:val="none" w:sz="0" w:space="0" w:color="auto"/>
                    <w:bottom w:val="none" w:sz="0" w:space="0" w:color="auto"/>
                    <w:right w:val="none" w:sz="0" w:space="0" w:color="auto"/>
                  </w:divBdr>
                  <w:divsChild>
                    <w:div w:id="2076972329">
                      <w:marLeft w:val="0"/>
                      <w:marRight w:val="0"/>
                      <w:marTop w:val="0"/>
                      <w:marBottom w:val="0"/>
                      <w:divBdr>
                        <w:top w:val="none" w:sz="0" w:space="0" w:color="auto"/>
                        <w:left w:val="none" w:sz="0" w:space="0" w:color="auto"/>
                        <w:bottom w:val="none" w:sz="0" w:space="0" w:color="auto"/>
                        <w:right w:val="none" w:sz="0" w:space="0" w:color="auto"/>
                      </w:divBdr>
                    </w:div>
                  </w:divsChild>
                </w:div>
                <w:div w:id="1452558092">
                  <w:marLeft w:val="0"/>
                  <w:marRight w:val="0"/>
                  <w:marTop w:val="0"/>
                  <w:marBottom w:val="0"/>
                  <w:divBdr>
                    <w:top w:val="none" w:sz="0" w:space="0" w:color="auto"/>
                    <w:left w:val="none" w:sz="0" w:space="0" w:color="auto"/>
                    <w:bottom w:val="none" w:sz="0" w:space="0" w:color="auto"/>
                    <w:right w:val="none" w:sz="0" w:space="0" w:color="auto"/>
                  </w:divBdr>
                  <w:divsChild>
                    <w:div w:id="2003850712">
                      <w:marLeft w:val="0"/>
                      <w:marRight w:val="0"/>
                      <w:marTop w:val="0"/>
                      <w:marBottom w:val="0"/>
                      <w:divBdr>
                        <w:top w:val="none" w:sz="0" w:space="0" w:color="auto"/>
                        <w:left w:val="none" w:sz="0" w:space="0" w:color="auto"/>
                        <w:bottom w:val="none" w:sz="0" w:space="0" w:color="auto"/>
                        <w:right w:val="none" w:sz="0" w:space="0" w:color="auto"/>
                      </w:divBdr>
                    </w:div>
                  </w:divsChild>
                </w:div>
                <w:div w:id="1459494052">
                  <w:marLeft w:val="0"/>
                  <w:marRight w:val="0"/>
                  <w:marTop w:val="0"/>
                  <w:marBottom w:val="0"/>
                  <w:divBdr>
                    <w:top w:val="none" w:sz="0" w:space="0" w:color="auto"/>
                    <w:left w:val="none" w:sz="0" w:space="0" w:color="auto"/>
                    <w:bottom w:val="none" w:sz="0" w:space="0" w:color="auto"/>
                    <w:right w:val="none" w:sz="0" w:space="0" w:color="auto"/>
                  </w:divBdr>
                  <w:divsChild>
                    <w:div w:id="104621199">
                      <w:marLeft w:val="0"/>
                      <w:marRight w:val="0"/>
                      <w:marTop w:val="0"/>
                      <w:marBottom w:val="0"/>
                      <w:divBdr>
                        <w:top w:val="none" w:sz="0" w:space="0" w:color="auto"/>
                        <w:left w:val="none" w:sz="0" w:space="0" w:color="auto"/>
                        <w:bottom w:val="none" w:sz="0" w:space="0" w:color="auto"/>
                        <w:right w:val="none" w:sz="0" w:space="0" w:color="auto"/>
                      </w:divBdr>
                    </w:div>
                  </w:divsChild>
                </w:div>
                <w:div w:id="1472479171">
                  <w:marLeft w:val="0"/>
                  <w:marRight w:val="0"/>
                  <w:marTop w:val="0"/>
                  <w:marBottom w:val="0"/>
                  <w:divBdr>
                    <w:top w:val="none" w:sz="0" w:space="0" w:color="auto"/>
                    <w:left w:val="none" w:sz="0" w:space="0" w:color="auto"/>
                    <w:bottom w:val="none" w:sz="0" w:space="0" w:color="auto"/>
                    <w:right w:val="none" w:sz="0" w:space="0" w:color="auto"/>
                  </w:divBdr>
                  <w:divsChild>
                    <w:div w:id="700206428">
                      <w:marLeft w:val="0"/>
                      <w:marRight w:val="0"/>
                      <w:marTop w:val="0"/>
                      <w:marBottom w:val="0"/>
                      <w:divBdr>
                        <w:top w:val="none" w:sz="0" w:space="0" w:color="auto"/>
                        <w:left w:val="none" w:sz="0" w:space="0" w:color="auto"/>
                        <w:bottom w:val="none" w:sz="0" w:space="0" w:color="auto"/>
                        <w:right w:val="none" w:sz="0" w:space="0" w:color="auto"/>
                      </w:divBdr>
                    </w:div>
                  </w:divsChild>
                </w:div>
                <w:div w:id="1500467035">
                  <w:marLeft w:val="0"/>
                  <w:marRight w:val="0"/>
                  <w:marTop w:val="0"/>
                  <w:marBottom w:val="0"/>
                  <w:divBdr>
                    <w:top w:val="none" w:sz="0" w:space="0" w:color="auto"/>
                    <w:left w:val="none" w:sz="0" w:space="0" w:color="auto"/>
                    <w:bottom w:val="none" w:sz="0" w:space="0" w:color="auto"/>
                    <w:right w:val="none" w:sz="0" w:space="0" w:color="auto"/>
                  </w:divBdr>
                  <w:divsChild>
                    <w:div w:id="1851600645">
                      <w:marLeft w:val="0"/>
                      <w:marRight w:val="0"/>
                      <w:marTop w:val="0"/>
                      <w:marBottom w:val="0"/>
                      <w:divBdr>
                        <w:top w:val="none" w:sz="0" w:space="0" w:color="auto"/>
                        <w:left w:val="none" w:sz="0" w:space="0" w:color="auto"/>
                        <w:bottom w:val="none" w:sz="0" w:space="0" w:color="auto"/>
                        <w:right w:val="none" w:sz="0" w:space="0" w:color="auto"/>
                      </w:divBdr>
                    </w:div>
                  </w:divsChild>
                </w:div>
                <w:div w:id="1504665675">
                  <w:marLeft w:val="0"/>
                  <w:marRight w:val="0"/>
                  <w:marTop w:val="0"/>
                  <w:marBottom w:val="0"/>
                  <w:divBdr>
                    <w:top w:val="none" w:sz="0" w:space="0" w:color="auto"/>
                    <w:left w:val="none" w:sz="0" w:space="0" w:color="auto"/>
                    <w:bottom w:val="none" w:sz="0" w:space="0" w:color="auto"/>
                    <w:right w:val="none" w:sz="0" w:space="0" w:color="auto"/>
                  </w:divBdr>
                  <w:divsChild>
                    <w:div w:id="1307786013">
                      <w:marLeft w:val="0"/>
                      <w:marRight w:val="0"/>
                      <w:marTop w:val="0"/>
                      <w:marBottom w:val="0"/>
                      <w:divBdr>
                        <w:top w:val="none" w:sz="0" w:space="0" w:color="auto"/>
                        <w:left w:val="none" w:sz="0" w:space="0" w:color="auto"/>
                        <w:bottom w:val="none" w:sz="0" w:space="0" w:color="auto"/>
                        <w:right w:val="none" w:sz="0" w:space="0" w:color="auto"/>
                      </w:divBdr>
                    </w:div>
                  </w:divsChild>
                </w:div>
                <w:div w:id="1578395959">
                  <w:marLeft w:val="0"/>
                  <w:marRight w:val="0"/>
                  <w:marTop w:val="0"/>
                  <w:marBottom w:val="0"/>
                  <w:divBdr>
                    <w:top w:val="none" w:sz="0" w:space="0" w:color="auto"/>
                    <w:left w:val="none" w:sz="0" w:space="0" w:color="auto"/>
                    <w:bottom w:val="none" w:sz="0" w:space="0" w:color="auto"/>
                    <w:right w:val="none" w:sz="0" w:space="0" w:color="auto"/>
                  </w:divBdr>
                  <w:divsChild>
                    <w:div w:id="335424517">
                      <w:marLeft w:val="0"/>
                      <w:marRight w:val="0"/>
                      <w:marTop w:val="0"/>
                      <w:marBottom w:val="0"/>
                      <w:divBdr>
                        <w:top w:val="none" w:sz="0" w:space="0" w:color="auto"/>
                        <w:left w:val="none" w:sz="0" w:space="0" w:color="auto"/>
                        <w:bottom w:val="none" w:sz="0" w:space="0" w:color="auto"/>
                        <w:right w:val="none" w:sz="0" w:space="0" w:color="auto"/>
                      </w:divBdr>
                    </w:div>
                  </w:divsChild>
                </w:div>
                <w:div w:id="1615557437">
                  <w:marLeft w:val="0"/>
                  <w:marRight w:val="0"/>
                  <w:marTop w:val="0"/>
                  <w:marBottom w:val="0"/>
                  <w:divBdr>
                    <w:top w:val="none" w:sz="0" w:space="0" w:color="auto"/>
                    <w:left w:val="none" w:sz="0" w:space="0" w:color="auto"/>
                    <w:bottom w:val="none" w:sz="0" w:space="0" w:color="auto"/>
                    <w:right w:val="none" w:sz="0" w:space="0" w:color="auto"/>
                  </w:divBdr>
                  <w:divsChild>
                    <w:div w:id="299771325">
                      <w:marLeft w:val="0"/>
                      <w:marRight w:val="0"/>
                      <w:marTop w:val="0"/>
                      <w:marBottom w:val="0"/>
                      <w:divBdr>
                        <w:top w:val="none" w:sz="0" w:space="0" w:color="auto"/>
                        <w:left w:val="none" w:sz="0" w:space="0" w:color="auto"/>
                        <w:bottom w:val="none" w:sz="0" w:space="0" w:color="auto"/>
                        <w:right w:val="none" w:sz="0" w:space="0" w:color="auto"/>
                      </w:divBdr>
                    </w:div>
                  </w:divsChild>
                </w:div>
                <w:div w:id="1695382132">
                  <w:marLeft w:val="0"/>
                  <w:marRight w:val="0"/>
                  <w:marTop w:val="0"/>
                  <w:marBottom w:val="0"/>
                  <w:divBdr>
                    <w:top w:val="none" w:sz="0" w:space="0" w:color="auto"/>
                    <w:left w:val="none" w:sz="0" w:space="0" w:color="auto"/>
                    <w:bottom w:val="none" w:sz="0" w:space="0" w:color="auto"/>
                    <w:right w:val="none" w:sz="0" w:space="0" w:color="auto"/>
                  </w:divBdr>
                  <w:divsChild>
                    <w:div w:id="917325291">
                      <w:marLeft w:val="0"/>
                      <w:marRight w:val="0"/>
                      <w:marTop w:val="0"/>
                      <w:marBottom w:val="0"/>
                      <w:divBdr>
                        <w:top w:val="none" w:sz="0" w:space="0" w:color="auto"/>
                        <w:left w:val="none" w:sz="0" w:space="0" w:color="auto"/>
                        <w:bottom w:val="none" w:sz="0" w:space="0" w:color="auto"/>
                        <w:right w:val="none" w:sz="0" w:space="0" w:color="auto"/>
                      </w:divBdr>
                    </w:div>
                  </w:divsChild>
                </w:div>
                <w:div w:id="1717385332">
                  <w:marLeft w:val="0"/>
                  <w:marRight w:val="0"/>
                  <w:marTop w:val="0"/>
                  <w:marBottom w:val="0"/>
                  <w:divBdr>
                    <w:top w:val="none" w:sz="0" w:space="0" w:color="auto"/>
                    <w:left w:val="none" w:sz="0" w:space="0" w:color="auto"/>
                    <w:bottom w:val="none" w:sz="0" w:space="0" w:color="auto"/>
                    <w:right w:val="none" w:sz="0" w:space="0" w:color="auto"/>
                  </w:divBdr>
                  <w:divsChild>
                    <w:div w:id="115107072">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1449157818">
                      <w:marLeft w:val="0"/>
                      <w:marRight w:val="0"/>
                      <w:marTop w:val="0"/>
                      <w:marBottom w:val="0"/>
                      <w:divBdr>
                        <w:top w:val="none" w:sz="0" w:space="0" w:color="auto"/>
                        <w:left w:val="none" w:sz="0" w:space="0" w:color="auto"/>
                        <w:bottom w:val="none" w:sz="0" w:space="0" w:color="auto"/>
                        <w:right w:val="none" w:sz="0" w:space="0" w:color="auto"/>
                      </w:divBdr>
                    </w:div>
                  </w:divsChild>
                </w:div>
                <w:div w:id="2035185365">
                  <w:marLeft w:val="0"/>
                  <w:marRight w:val="0"/>
                  <w:marTop w:val="0"/>
                  <w:marBottom w:val="0"/>
                  <w:divBdr>
                    <w:top w:val="none" w:sz="0" w:space="0" w:color="auto"/>
                    <w:left w:val="none" w:sz="0" w:space="0" w:color="auto"/>
                    <w:bottom w:val="none" w:sz="0" w:space="0" w:color="auto"/>
                    <w:right w:val="none" w:sz="0" w:space="0" w:color="auto"/>
                  </w:divBdr>
                  <w:divsChild>
                    <w:div w:id="676545881">
                      <w:marLeft w:val="0"/>
                      <w:marRight w:val="0"/>
                      <w:marTop w:val="0"/>
                      <w:marBottom w:val="0"/>
                      <w:divBdr>
                        <w:top w:val="none" w:sz="0" w:space="0" w:color="auto"/>
                        <w:left w:val="none" w:sz="0" w:space="0" w:color="auto"/>
                        <w:bottom w:val="none" w:sz="0" w:space="0" w:color="auto"/>
                        <w:right w:val="none" w:sz="0" w:space="0" w:color="auto"/>
                      </w:divBdr>
                    </w:div>
                  </w:divsChild>
                </w:div>
                <w:div w:id="2037656383">
                  <w:marLeft w:val="0"/>
                  <w:marRight w:val="0"/>
                  <w:marTop w:val="0"/>
                  <w:marBottom w:val="0"/>
                  <w:divBdr>
                    <w:top w:val="none" w:sz="0" w:space="0" w:color="auto"/>
                    <w:left w:val="none" w:sz="0" w:space="0" w:color="auto"/>
                    <w:bottom w:val="none" w:sz="0" w:space="0" w:color="auto"/>
                    <w:right w:val="none" w:sz="0" w:space="0" w:color="auto"/>
                  </w:divBdr>
                  <w:divsChild>
                    <w:div w:id="1004278915">
                      <w:marLeft w:val="0"/>
                      <w:marRight w:val="0"/>
                      <w:marTop w:val="0"/>
                      <w:marBottom w:val="0"/>
                      <w:divBdr>
                        <w:top w:val="none" w:sz="0" w:space="0" w:color="auto"/>
                        <w:left w:val="none" w:sz="0" w:space="0" w:color="auto"/>
                        <w:bottom w:val="none" w:sz="0" w:space="0" w:color="auto"/>
                        <w:right w:val="none" w:sz="0" w:space="0" w:color="auto"/>
                      </w:divBdr>
                    </w:div>
                  </w:divsChild>
                </w:div>
                <w:div w:id="2051219503">
                  <w:marLeft w:val="0"/>
                  <w:marRight w:val="0"/>
                  <w:marTop w:val="0"/>
                  <w:marBottom w:val="0"/>
                  <w:divBdr>
                    <w:top w:val="none" w:sz="0" w:space="0" w:color="auto"/>
                    <w:left w:val="none" w:sz="0" w:space="0" w:color="auto"/>
                    <w:bottom w:val="none" w:sz="0" w:space="0" w:color="auto"/>
                    <w:right w:val="none" w:sz="0" w:space="0" w:color="auto"/>
                  </w:divBdr>
                  <w:divsChild>
                    <w:div w:id="21978839">
                      <w:marLeft w:val="0"/>
                      <w:marRight w:val="0"/>
                      <w:marTop w:val="0"/>
                      <w:marBottom w:val="0"/>
                      <w:divBdr>
                        <w:top w:val="none" w:sz="0" w:space="0" w:color="auto"/>
                        <w:left w:val="none" w:sz="0" w:space="0" w:color="auto"/>
                        <w:bottom w:val="none" w:sz="0" w:space="0" w:color="auto"/>
                        <w:right w:val="none" w:sz="0" w:space="0" w:color="auto"/>
                      </w:divBdr>
                    </w:div>
                  </w:divsChild>
                </w:div>
                <w:div w:id="2111003580">
                  <w:marLeft w:val="0"/>
                  <w:marRight w:val="0"/>
                  <w:marTop w:val="0"/>
                  <w:marBottom w:val="0"/>
                  <w:divBdr>
                    <w:top w:val="none" w:sz="0" w:space="0" w:color="auto"/>
                    <w:left w:val="none" w:sz="0" w:space="0" w:color="auto"/>
                    <w:bottom w:val="none" w:sz="0" w:space="0" w:color="auto"/>
                    <w:right w:val="none" w:sz="0" w:space="0" w:color="auto"/>
                  </w:divBdr>
                  <w:divsChild>
                    <w:div w:id="1092554806">
                      <w:marLeft w:val="0"/>
                      <w:marRight w:val="0"/>
                      <w:marTop w:val="0"/>
                      <w:marBottom w:val="0"/>
                      <w:divBdr>
                        <w:top w:val="none" w:sz="0" w:space="0" w:color="auto"/>
                        <w:left w:val="none" w:sz="0" w:space="0" w:color="auto"/>
                        <w:bottom w:val="none" w:sz="0" w:space="0" w:color="auto"/>
                        <w:right w:val="none" w:sz="0" w:space="0" w:color="auto"/>
                      </w:divBdr>
                    </w:div>
                  </w:divsChild>
                </w:div>
                <w:div w:id="2112047481">
                  <w:marLeft w:val="0"/>
                  <w:marRight w:val="0"/>
                  <w:marTop w:val="0"/>
                  <w:marBottom w:val="0"/>
                  <w:divBdr>
                    <w:top w:val="none" w:sz="0" w:space="0" w:color="auto"/>
                    <w:left w:val="none" w:sz="0" w:space="0" w:color="auto"/>
                    <w:bottom w:val="none" w:sz="0" w:space="0" w:color="auto"/>
                    <w:right w:val="none" w:sz="0" w:space="0" w:color="auto"/>
                  </w:divBdr>
                  <w:divsChild>
                    <w:div w:id="8700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15752">
          <w:marLeft w:val="0"/>
          <w:marRight w:val="0"/>
          <w:marTop w:val="0"/>
          <w:marBottom w:val="0"/>
          <w:divBdr>
            <w:top w:val="none" w:sz="0" w:space="0" w:color="auto"/>
            <w:left w:val="none" w:sz="0" w:space="0" w:color="auto"/>
            <w:bottom w:val="none" w:sz="0" w:space="0" w:color="auto"/>
            <w:right w:val="none" w:sz="0" w:space="0" w:color="auto"/>
          </w:divBdr>
        </w:div>
        <w:div w:id="1642463769">
          <w:marLeft w:val="0"/>
          <w:marRight w:val="0"/>
          <w:marTop w:val="0"/>
          <w:marBottom w:val="0"/>
          <w:divBdr>
            <w:top w:val="none" w:sz="0" w:space="0" w:color="auto"/>
            <w:left w:val="none" w:sz="0" w:space="0" w:color="auto"/>
            <w:bottom w:val="none" w:sz="0" w:space="0" w:color="auto"/>
            <w:right w:val="none" w:sz="0" w:space="0" w:color="auto"/>
          </w:divBdr>
        </w:div>
        <w:div w:id="1776095684">
          <w:marLeft w:val="0"/>
          <w:marRight w:val="0"/>
          <w:marTop w:val="0"/>
          <w:marBottom w:val="0"/>
          <w:divBdr>
            <w:top w:val="none" w:sz="0" w:space="0" w:color="auto"/>
            <w:left w:val="none" w:sz="0" w:space="0" w:color="auto"/>
            <w:bottom w:val="none" w:sz="0" w:space="0" w:color="auto"/>
            <w:right w:val="none" w:sz="0" w:space="0" w:color="auto"/>
          </w:divBdr>
          <w:divsChild>
            <w:div w:id="587155934">
              <w:marLeft w:val="-75"/>
              <w:marRight w:val="0"/>
              <w:marTop w:val="30"/>
              <w:marBottom w:val="30"/>
              <w:divBdr>
                <w:top w:val="none" w:sz="0" w:space="0" w:color="auto"/>
                <w:left w:val="none" w:sz="0" w:space="0" w:color="auto"/>
                <w:bottom w:val="none" w:sz="0" w:space="0" w:color="auto"/>
                <w:right w:val="none" w:sz="0" w:space="0" w:color="auto"/>
              </w:divBdr>
              <w:divsChild>
                <w:div w:id="48462013">
                  <w:marLeft w:val="0"/>
                  <w:marRight w:val="0"/>
                  <w:marTop w:val="0"/>
                  <w:marBottom w:val="0"/>
                  <w:divBdr>
                    <w:top w:val="none" w:sz="0" w:space="0" w:color="auto"/>
                    <w:left w:val="none" w:sz="0" w:space="0" w:color="auto"/>
                    <w:bottom w:val="none" w:sz="0" w:space="0" w:color="auto"/>
                    <w:right w:val="none" w:sz="0" w:space="0" w:color="auto"/>
                  </w:divBdr>
                  <w:divsChild>
                    <w:div w:id="1917593025">
                      <w:marLeft w:val="0"/>
                      <w:marRight w:val="0"/>
                      <w:marTop w:val="0"/>
                      <w:marBottom w:val="0"/>
                      <w:divBdr>
                        <w:top w:val="none" w:sz="0" w:space="0" w:color="auto"/>
                        <w:left w:val="none" w:sz="0" w:space="0" w:color="auto"/>
                        <w:bottom w:val="none" w:sz="0" w:space="0" w:color="auto"/>
                        <w:right w:val="none" w:sz="0" w:space="0" w:color="auto"/>
                      </w:divBdr>
                    </w:div>
                  </w:divsChild>
                </w:div>
                <w:div w:id="76101335">
                  <w:marLeft w:val="0"/>
                  <w:marRight w:val="0"/>
                  <w:marTop w:val="0"/>
                  <w:marBottom w:val="0"/>
                  <w:divBdr>
                    <w:top w:val="none" w:sz="0" w:space="0" w:color="auto"/>
                    <w:left w:val="none" w:sz="0" w:space="0" w:color="auto"/>
                    <w:bottom w:val="none" w:sz="0" w:space="0" w:color="auto"/>
                    <w:right w:val="none" w:sz="0" w:space="0" w:color="auto"/>
                  </w:divBdr>
                  <w:divsChild>
                    <w:div w:id="437485370">
                      <w:marLeft w:val="0"/>
                      <w:marRight w:val="0"/>
                      <w:marTop w:val="0"/>
                      <w:marBottom w:val="0"/>
                      <w:divBdr>
                        <w:top w:val="none" w:sz="0" w:space="0" w:color="auto"/>
                        <w:left w:val="none" w:sz="0" w:space="0" w:color="auto"/>
                        <w:bottom w:val="none" w:sz="0" w:space="0" w:color="auto"/>
                        <w:right w:val="none" w:sz="0" w:space="0" w:color="auto"/>
                      </w:divBdr>
                    </w:div>
                  </w:divsChild>
                </w:div>
                <w:div w:id="107047988">
                  <w:marLeft w:val="0"/>
                  <w:marRight w:val="0"/>
                  <w:marTop w:val="0"/>
                  <w:marBottom w:val="0"/>
                  <w:divBdr>
                    <w:top w:val="none" w:sz="0" w:space="0" w:color="auto"/>
                    <w:left w:val="none" w:sz="0" w:space="0" w:color="auto"/>
                    <w:bottom w:val="none" w:sz="0" w:space="0" w:color="auto"/>
                    <w:right w:val="none" w:sz="0" w:space="0" w:color="auto"/>
                  </w:divBdr>
                  <w:divsChild>
                    <w:div w:id="1663466561">
                      <w:marLeft w:val="0"/>
                      <w:marRight w:val="0"/>
                      <w:marTop w:val="0"/>
                      <w:marBottom w:val="0"/>
                      <w:divBdr>
                        <w:top w:val="none" w:sz="0" w:space="0" w:color="auto"/>
                        <w:left w:val="none" w:sz="0" w:space="0" w:color="auto"/>
                        <w:bottom w:val="none" w:sz="0" w:space="0" w:color="auto"/>
                        <w:right w:val="none" w:sz="0" w:space="0" w:color="auto"/>
                      </w:divBdr>
                    </w:div>
                  </w:divsChild>
                </w:div>
                <w:div w:id="142813403">
                  <w:marLeft w:val="0"/>
                  <w:marRight w:val="0"/>
                  <w:marTop w:val="0"/>
                  <w:marBottom w:val="0"/>
                  <w:divBdr>
                    <w:top w:val="none" w:sz="0" w:space="0" w:color="auto"/>
                    <w:left w:val="none" w:sz="0" w:space="0" w:color="auto"/>
                    <w:bottom w:val="none" w:sz="0" w:space="0" w:color="auto"/>
                    <w:right w:val="none" w:sz="0" w:space="0" w:color="auto"/>
                  </w:divBdr>
                  <w:divsChild>
                    <w:div w:id="921185163">
                      <w:marLeft w:val="0"/>
                      <w:marRight w:val="0"/>
                      <w:marTop w:val="0"/>
                      <w:marBottom w:val="0"/>
                      <w:divBdr>
                        <w:top w:val="none" w:sz="0" w:space="0" w:color="auto"/>
                        <w:left w:val="none" w:sz="0" w:space="0" w:color="auto"/>
                        <w:bottom w:val="none" w:sz="0" w:space="0" w:color="auto"/>
                        <w:right w:val="none" w:sz="0" w:space="0" w:color="auto"/>
                      </w:divBdr>
                    </w:div>
                  </w:divsChild>
                </w:div>
                <w:div w:id="184054905">
                  <w:marLeft w:val="0"/>
                  <w:marRight w:val="0"/>
                  <w:marTop w:val="0"/>
                  <w:marBottom w:val="0"/>
                  <w:divBdr>
                    <w:top w:val="none" w:sz="0" w:space="0" w:color="auto"/>
                    <w:left w:val="none" w:sz="0" w:space="0" w:color="auto"/>
                    <w:bottom w:val="none" w:sz="0" w:space="0" w:color="auto"/>
                    <w:right w:val="none" w:sz="0" w:space="0" w:color="auto"/>
                  </w:divBdr>
                  <w:divsChild>
                    <w:div w:id="577708525">
                      <w:marLeft w:val="0"/>
                      <w:marRight w:val="0"/>
                      <w:marTop w:val="0"/>
                      <w:marBottom w:val="0"/>
                      <w:divBdr>
                        <w:top w:val="none" w:sz="0" w:space="0" w:color="auto"/>
                        <w:left w:val="none" w:sz="0" w:space="0" w:color="auto"/>
                        <w:bottom w:val="none" w:sz="0" w:space="0" w:color="auto"/>
                        <w:right w:val="none" w:sz="0" w:space="0" w:color="auto"/>
                      </w:divBdr>
                    </w:div>
                  </w:divsChild>
                </w:div>
                <w:div w:id="193469375">
                  <w:marLeft w:val="0"/>
                  <w:marRight w:val="0"/>
                  <w:marTop w:val="0"/>
                  <w:marBottom w:val="0"/>
                  <w:divBdr>
                    <w:top w:val="none" w:sz="0" w:space="0" w:color="auto"/>
                    <w:left w:val="none" w:sz="0" w:space="0" w:color="auto"/>
                    <w:bottom w:val="none" w:sz="0" w:space="0" w:color="auto"/>
                    <w:right w:val="none" w:sz="0" w:space="0" w:color="auto"/>
                  </w:divBdr>
                  <w:divsChild>
                    <w:div w:id="160782329">
                      <w:marLeft w:val="0"/>
                      <w:marRight w:val="0"/>
                      <w:marTop w:val="0"/>
                      <w:marBottom w:val="0"/>
                      <w:divBdr>
                        <w:top w:val="none" w:sz="0" w:space="0" w:color="auto"/>
                        <w:left w:val="none" w:sz="0" w:space="0" w:color="auto"/>
                        <w:bottom w:val="none" w:sz="0" w:space="0" w:color="auto"/>
                        <w:right w:val="none" w:sz="0" w:space="0" w:color="auto"/>
                      </w:divBdr>
                    </w:div>
                  </w:divsChild>
                </w:div>
                <w:div w:id="207109497">
                  <w:marLeft w:val="0"/>
                  <w:marRight w:val="0"/>
                  <w:marTop w:val="0"/>
                  <w:marBottom w:val="0"/>
                  <w:divBdr>
                    <w:top w:val="none" w:sz="0" w:space="0" w:color="auto"/>
                    <w:left w:val="none" w:sz="0" w:space="0" w:color="auto"/>
                    <w:bottom w:val="none" w:sz="0" w:space="0" w:color="auto"/>
                    <w:right w:val="none" w:sz="0" w:space="0" w:color="auto"/>
                  </w:divBdr>
                  <w:divsChild>
                    <w:div w:id="802306206">
                      <w:marLeft w:val="0"/>
                      <w:marRight w:val="0"/>
                      <w:marTop w:val="0"/>
                      <w:marBottom w:val="0"/>
                      <w:divBdr>
                        <w:top w:val="none" w:sz="0" w:space="0" w:color="auto"/>
                        <w:left w:val="none" w:sz="0" w:space="0" w:color="auto"/>
                        <w:bottom w:val="none" w:sz="0" w:space="0" w:color="auto"/>
                        <w:right w:val="none" w:sz="0" w:space="0" w:color="auto"/>
                      </w:divBdr>
                    </w:div>
                  </w:divsChild>
                </w:div>
                <w:div w:id="214200159">
                  <w:marLeft w:val="0"/>
                  <w:marRight w:val="0"/>
                  <w:marTop w:val="0"/>
                  <w:marBottom w:val="0"/>
                  <w:divBdr>
                    <w:top w:val="none" w:sz="0" w:space="0" w:color="auto"/>
                    <w:left w:val="none" w:sz="0" w:space="0" w:color="auto"/>
                    <w:bottom w:val="none" w:sz="0" w:space="0" w:color="auto"/>
                    <w:right w:val="none" w:sz="0" w:space="0" w:color="auto"/>
                  </w:divBdr>
                  <w:divsChild>
                    <w:div w:id="1059593271">
                      <w:marLeft w:val="0"/>
                      <w:marRight w:val="0"/>
                      <w:marTop w:val="0"/>
                      <w:marBottom w:val="0"/>
                      <w:divBdr>
                        <w:top w:val="none" w:sz="0" w:space="0" w:color="auto"/>
                        <w:left w:val="none" w:sz="0" w:space="0" w:color="auto"/>
                        <w:bottom w:val="none" w:sz="0" w:space="0" w:color="auto"/>
                        <w:right w:val="none" w:sz="0" w:space="0" w:color="auto"/>
                      </w:divBdr>
                    </w:div>
                  </w:divsChild>
                </w:div>
                <w:div w:id="287276080">
                  <w:marLeft w:val="0"/>
                  <w:marRight w:val="0"/>
                  <w:marTop w:val="0"/>
                  <w:marBottom w:val="0"/>
                  <w:divBdr>
                    <w:top w:val="none" w:sz="0" w:space="0" w:color="auto"/>
                    <w:left w:val="none" w:sz="0" w:space="0" w:color="auto"/>
                    <w:bottom w:val="none" w:sz="0" w:space="0" w:color="auto"/>
                    <w:right w:val="none" w:sz="0" w:space="0" w:color="auto"/>
                  </w:divBdr>
                  <w:divsChild>
                    <w:div w:id="510460201">
                      <w:marLeft w:val="0"/>
                      <w:marRight w:val="0"/>
                      <w:marTop w:val="0"/>
                      <w:marBottom w:val="0"/>
                      <w:divBdr>
                        <w:top w:val="none" w:sz="0" w:space="0" w:color="auto"/>
                        <w:left w:val="none" w:sz="0" w:space="0" w:color="auto"/>
                        <w:bottom w:val="none" w:sz="0" w:space="0" w:color="auto"/>
                        <w:right w:val="none" w:sz="0" w:space="0" w:color="auto"/>
                      </w:divBdr>
                    </w:div>
                  </w:divsChild>
                </w:div>
                <w:div w:id="394133790">
                  <w:marLeft w:val="0"/>
                  <w:marRight w:val="0"/>
                  <w:marTop w:val="0"/>
                  <w:marBottom w:val="0"/>
                  <w:divBdr>
                    <w:top w:val="none" w:sz="0" w:space="0" w:color="auto"/>
                    <w:left w:val="none" w:sz="0" w:space="0" w:color="auto"/>
                    <w:bottom w:val="none" w:sz="0" w:space="0" w:color="auto"/>
                    <w:right w:val="none" w:sz="0" w:space="0" w:color="auto"/>
                  </w:divBdr>
                  <w:divsChild>
                    <w:div w:id="1609435521">
                      <w:marLeft w:val="0"/>
                      <w:marRight w:val="0"/>
                      <w:marTop w:val="0"/>
                      <w:marBottom w:val="0"/>
                      <w:divBdr>
                        <w:top w:val="none" w:sz="0" w:space="0" w:color="auto"/>
                        <w:left w:val="none" w:sz="0" w:space="0" w:color="auto"/>
                        <w:bottom w:val="none" w:sz="0" w:space="0" w:color="auto"/>
                        <w:right w:val="none" w:sz="0" w:space="0" w:color="auto"/>
                      </w:divBdr>
                    </w:div>
                  </w:divsChild>
                </w:div>
                <w:div w:id="439959289">
                  <w:marLeft w:val="0"/>
                  <w:marRight w:val="0"/>
                  <w:marTop w:val="0"/>
                  <w:marBottom w:val="0"/>
                  <w:divBdr>
                    <w:top w:val="none" w:sz="0" w:space="0" w:color="auto"/>
                    <w:left w:val="none" w:sz="0" w:space="0" w:color="auto"/>
                    <w:bottom w:val="none" w:sz="0" w:space="0" w:color="auto"/>
                    <w:right w:val="none" w:sz="0" w:space="0" w:color="auto"/>
                  </w:divBdr>
                  <w:divsChild>
                    <w:div w:id="1447039315">
                      <w:marLeft w:val="0"/>
                      <w:marRight w:val="0"/>
                      <w:marTop w:val="0"/>
                      <w:marBottom w:val="0"/>
                      <w:divBdr>
                        <w:top w:val="none" w:sz="0" w:space="0" w:color="auto"/>
                        <w:left w:val="none" w:sz="0" w:space="0" w:color="auto"/>
                        <w:bottom w:val="none" w:sz="0" w:space="0" w:color="auto"/>
                        <w:right w:val="none" w:sz="0" w:space="0" w:color="auto"/>
                      </w:divBdr>
                    </w:div>
                  </w:divsChild>
                </w:div>
                <w:div w:id="490366418">
                  <w:marLeft w:val="0"/>
                  <w:marRight w:val="0"/>
                  <w:marTop w:val="0"/>
                  <w:marBottom w:val="0"/>
                  <w:divBdr>
                    <w:top w:val="none" w:sz="0" w:space="0" w:color="auto"/>
                    <w:left w:val="none" w:sz="0" w:space="0" w:color="auto"/>
                    <w:bottom w:val="none" w:sz="0" w:space="0" w:color="auto"/>
                    <w:right w:val="none" w:sz="0" w:space="0" w:color="auto"/>
                  </w:divBdr>
                  <w:divsChild>
                    <w:div w:id="1800950590">
                      <w:marLeft w:val="0"/>
                      <w:marRight w:val="0"/>
                      <w:marTop w:val="0"/>
                      <w:marBottom w:val="0"/>
                      <w:divBdr>
                        <w:top w:val="none" w:sz="0" w:space="0" w:color="auto"/>
                        <w:left w:val="none" w:sz="0" w:space="0" w:color="auto"/>
                        <w:bottom w:val="none" w:sz="0" w:space="0" w:color="auto"/>
                        <w:right w:val="none" w:sz="0" w:space="0" w:color="auto"/>
                      </w:divBdr>
                    </w:div>
                  </w:divsChild>
                </w:div>
                <w:div w:id="591862633">
                  <w:marLeft w:val="0"/>
                  <w:marRight w:val="0"/>
                  <w:marTop w:val="0"/>
                  <w:marBottom w:val="0"/>
                  <w:divBdr>
                    <w:top w:val="none" w:sz="0" w:space="0" w:color="auto"/>
                    <w:left w:val="none" w:sz="0" w:space="0" w:color="auto"/>
                    <w:bottom w:val="none" w:sz="0" w:space="0" w:color="auto"/>
                    <w:right w:val="none" w:sz="0" w:space="0" w:color="auto"/>
                  </w:divBdr>
                  <w:divsChild>
                    <w:div w:id="710810093">
                      <w:marLeft w:val="0"/>
                      <w:marRight w:val="0"/>
                      <w:marTop w:val="0"/>
                      <w:marBottom w:val="0"/>
                      <w:divBdr>
                        <w:top w:val="none" w:sz="0" w:space="0" w:color="auto"/>
                        <w:left w:val="none" w:sz="0" w:space="0" w:color="auto"/>
                        <w:bottom w:val="none" w:sz="0" w:space="0" w:color="auto"/>
                        <w:right w:val="none" w:sz="0" w:space="0" w:color="auto"/>
                      </w:divBdr>
                    </w:div>
                  </w:divsChild>
                </w:div>
                <w:div w:id="600069057">
                  <w:marLeft w:val="0"/>
                  <w:marRight w:val="0"/>
                  <w:marTop w:val="0"/>
                  <w:marBottom w:val="0"/>
                  <w:divBdr>
                    <w:top w:val="none" w:sz="0" w:space="0" w:color="auto"/>
                    <w:left w:val="none" w:sz="0" w:space="0" w:color="auto"/>
                    <w:bottom w:val="none" w:sz="0" w:space="0" w:color="auto"/>
                    <w:right w:val="none" w:sz="0" w:space="0" w:color="auto"/>
                  </w:divBdr>
                  <w:divsChild>
                    <w:div w:id="115804955">
                      <w:marLeft w:val="0"/>
                      <w:marRight w:val="0"/>
                      <w:marTop w:val="0"/>
                      <w:marBottom w:val="0"/>
                      <w:divBdr>
                        <w:top w:val="none" w:sz="0" w:space="0" w:color="auto"/>
                        <w:left w:val="none" w:sz="0" w:space="0" w:color="auto"/>
                        <w:bottom w:val="none" w:sz="0" w:space="0" w:color="auto"/>
                        <w:right w:val="none" w:sz="0" w:space="0" w:color="auto"/>
                      </w:divBdr>
                    </w:div>
                  </w:divsChild>
                </w:div>
                <w:div w:id="807163669">
                  <w:marLeft w:val="0"/>
                  <w:marRight w:val="0"/>
                  <w:marTop w:val="0"/>
                  <w:marBottom w:val="0"/>
                  <w:divBdr>
                    <w:top w:val="none" w:sz="0" w:space="0" w:color="auto"/>
                    <w:left w:val="none" w:sz="0" w:space="0" w:color="auto"/>
                    <w:bottom w:val="none" w:sz="0" w:space="0" w:color="auto"/>
                    <w:right w:val="none" w:sz="0" w:space="0" w:color="auto"/>
                  </w:divBdr>
                  <w:divsChild>
                    <w:div w:id="1736515150">
                      <w:marLeft w:val="0"/>
                      <w:marRight w:val="0"/>
                      <w:marTop w:val="0"/>
                      <w:marBottom w:val="0"/>
                      <w:divBdr>
                        <w:top w:val="none" w:sz="0" w:space="0" w:color="auto"/>
                        <w:left w:val="none" w:sz="0" w:space="0" w:color="auto"/>
                        <w:bottom w:val="none" w:sz="0" w:space="0" w:color="auto"/>
                        <w:right w:val="none" w:sz="0" w:space="0" w:color="auto"/>
                      </w:divBdr>
                    </w:div>
                  </w:divsChild>
                </w:div>
                <w:div w:id="809252227">
                  <w:marLeft w:val="0"/>
                  <w:marRight w:val="0"/>
                  <w:marTop w:val="0"/>
                  <w:marBottom w:val="0"/>
                  <w:divBdr>
                    <w:top w:val="none" w:sz="0" w:space="0" w:color="auto"/>
                    <w:left w:val="none" w:sz="0" w:space="0" w:color="auto"/>
                    <w:bottom w:val="none" w:sz="0" w:space="0" w:color="auto"/>
                    <w:right w:val="none" w:sz="0" w:space="0" w:color="auto"/>
                  </w:divBdr>
                  <w:divsChild>
                    <w:div w:id="1919709793">
                      <w:marLeft w:val="0"/>
                      <w:marRight w:val="0"/>
                      <w:marTop w:val="0"/>
                      <w:marBottom w:val="0"/>
                      <w:divBdr>
                        <w:top w:val="none" w:sz="0" w:space="0" w:color="auto"/>
                        <w:left w:val="none" w:sz="0" w:space="0" w:color="auto"/>
                        <w:bottom w:val="none" w:sz="0" w:space="0" w:color="auto"/>
                        <w:right w:val="none" w:sz="0" w:space="0" w:color="auto"/>
                      </w:divBdr>
                    </w:div>
                  </w:divsChild>
                </w:div>
                <w:div w:id="831796109">
                  <w:marLeft w:val="0"/>
                  <w:marRight w:val="0"/>
                  <w:marTop w:val="0"/>
                  <w:marBottom w:val="0"/>
                  <w:divBdr>
                    <w:top w:val="none" w:sz="0" w:space="0" w:color="auto"/>
                    <w:left w:val="none" w:sz="0" w:space="0" w:color="auto"/>
                    <w:bottom w:val="none" w:sz="0" w:space="0" w:color="auto"/>
                    <w:right w:val="none" w:sz="0" w:space="0" w:color="auto"/>
                  </w:divBdr>
                  <w:divsChild>
                    <w:div w:id="42023324">
                      <w:marLeft w:val="0"/>
                      <w:marRight w:val="0"/>
                      <w:marTop w:val="0"/>
                      <w:marBottom w:val="0"/>
                      <w:divBdr>
                        <w:top w:val="none" w:sz="0" w:space="0" w:color="auto"/>
                        <w:left w:val="none" w:sz="0" w:space="0" w:color="auto"/>
                        <w:bottom w:val="none" w:sz="0" w:space="0" w:color="auto"/>
                        <w:right w:val="none" w:sz="0" w:space="0" w:color="auto"/>
                      </w:divBdr>
                    </w:div>
                  </w:divsChild>
                </w:div>
                <w:div w:id="839345474">
                  <w:marLeft w:val="0"/>
                  <w:marRight w:val="0"/>
                  <w:marTop w:val="0"/>
                  <w:marBottom w:val="0"/>
                  <w:divBdr>
                    <w:top w:val="none" w:sz="0" w:space="0" w:color="auto"/>
                    <w:left w:val="none" w:sz="0" w:space="0" w:color="auto"/>
                    <w:bottom w:val="none" w:sz="0" w:space="0" w:color="auto"/>
                    <w:right w:val="none" w:sz="0" w:space="0" w:color="auto"/>
                  </w:divBdr>
                  <w:divsChild>
                    <w:div w:id="895698079">
                      <w:marLeft w:val="0"/>
                      <w:marRight w:val="0"/>
                      <w:marTop w:val="0"/>
                      <w:marBottom w:val="0"/>
                      <w:divBdr>
                        <w:top w:val="none" w:sz="0" w:space="0" w:color="auto"/>
                        <w:left w:val="none" w:sz="0" w:space="0" w:color="auto"/>
                        <w:bottom w:val="none" w:sz="0" w:space="0" w:color="auto"/>
                        <w:right w:val="none" w:sz="0" w:space="0" w:color="auto"/>
                      </w:divBdr>
                    </w:div>
                  </w:divsChild>
                </w:div>
                <w:div w:id="1166826649">
                  <w:marLeft w:val="0"/>
                  <w:marRight w:val="0"/>
                  <w:marTop w:val="0"/>
                  <w:marBottom w:val="0"/>
                  <w:divBdr>
                    <w:top w:val="none" w:sz="0" w:space="0" w:color="auto"/>
                    <w:left w:val="none" w:sz="0" w:space="0" w:color="auto"/>
                    <w:bottom w:val="none" w:sz="0" w:space="0" w:color="auto"/>
                    <w:right w:val="none" w:sz="0" w:space="0" w:color="auto"/>
                  </w:divBdr>
                  <w:divsChild>
                    <w:div w:id="1280187052">
                      <w:marLeft w:val="0"/>
                      <w:marRight w:val="0"/>
                      <w:marTop w:val="0"/>
                      <w:marBottom w:val="0"/>
                      <w:divBdr>
                        <w:top w:val="none" w:sz="0" w:space="0" w:color="auto"/>
                        <w:left w:val="none" w:sz="0" w:space="0" w:color="auto"/>
                        <w:bottom w:val="none" w:sz="0" w:space="0" w:color="auto"/>
                        <w:right w:val="none" w:sz="0" w:space="0" w:color="auto"/>
                      </w:divBdr>
                    </w:div>
                  </w:divsChild>
                </w:div>
                <w:div w:id="1220436307">
                  <w:marLeft w:val="0"/>
                  <w:marRight w:val="0"/>
                  <w:marTop w:val="0"/>
                  <w:marBottom w:val="0"/>
                  <w:divBdr>
                    <w:top w:val="none" w:sz="0" w:space="0" w:color="auto"/>
                    <w:left w:val="none" w:sz="0" w:space="0" w:color="auto"/>
                    <w:bottom w:val="none" w:sz="0" w:space="0" w:color="auto"/>
                    <w:right w:val="none" w:sz="0" w:space="0" w:color="auto"/>
                  </w:divBdr>
                  <w:divsChild>
                    <w:div w:id="511340450">
                      <w:marLeft w:val="0"/>
                      <w:marRight w:val="0"/>
                      <w:marTop w:val="0"/>
                      <w:marBottom w:val="0"/>
                      <w:divBdr>
                        <w:top w:val="none" w:sz="0" w:space="0" w:color="auto"/>
                        <w:left w:val="none" w:sz="0" w:space="0" w:color="auto"/>
                        <w:bottom w:val="none" w:sz="0" w:space="0" w:color="auto"/>
                        <w:right w:val="none" w:sz="0" w:space="0" w:color="auto"/>
                      </w:divBdr>
                    </w:div>
                  </w:divsChild>
                </w:div>
                <w:div w:id="1246451670">
                  <w:marLeft w:val="0"/>
                  <w:marRight w:val="0"/>
                  <w:marTop w:val="0"/>
                  <w:marBottom w:val="0"/>
                  <w:divBdr>
                    <w:top w:val="none" w:sz="0" w:space="0" w:color="auto"/>
                    <w:left w:val="none" w:sz="0" w:space="0" w:color="auto"/>
                    <w:bottom w:val="none" w:sz="0" w:space="0" w:color="auto"/>
                    <w:right w:val="none" w:sz="0" w:space="0" w:color="auto"/>
                  </w:divBdr>
                  <w:divsChild>
                    <w:div w:id="2113472067">
                      <w:marLeft w:val="0"/>
                      <w:marRight w:val="0"/>
                      <w:marTop w:val="0"/>
                      <w:marBottom w:val="0"/>
                      <w:divBdr>
                        <w:top w:val="none" w:sz="0" w:space="0" w:color="auto"/>
                        <w:left w:val="none" w:sz="0" w:space="0" w:color="auto"/>
                        <w:bottom w:val="none" w:sz="0" w:space="0" w:color="auto"/>
                        <w:right w:val="none" w:sz="0" w:space="0" w:color="auto"/>
                      </w:divBdr>
                    </w:div>
                  </w:divsChild>
                </w:div>
                <w:div w:id="1290285033">
                  <w:marLeft w:val="0"/>
                  <w:marRight w:val="0"/>
                  <w:marTop w:val="0"/>
                  <w:marBottom w:val="0"/>
                  <w:divBdr>
                    <w:top w:val="none" w:sz="0" w:space="0" w:color="auto"/>
                    <w:left w:val="none" w:sz="0" w:space="0" w:color="auto"/>
                    <w:bottom w:val="none" w:sz="0" w:space="0" w:color="auto"/>
                    <w:right w:val="none" w:sz="0" w:space="0" w:color="auto"/>
                  </w:divBdr>
                  <w:divsChild>
                    <w:div w:id="1746104413">
                      <w:marLeft w:val="0"/>
                      <w:marRight w:val="0"/>
                      <w:marTop w:val="0"/>
                      <w:marBottom w:val="0"/>
                      <w:divBdr>
                        <w:top w:val="none" w:sz="0" w:space="0" w:color="auto"/>
                        <w:left w:val="none" w:sz="0" w:space="0" w:color="auto"/>
                        <w:bottom w:val="none" w:sz="0" w:space="0" w:color="auto"/>
                        <w:right w:val="none" w:sz="0" w:space="0" w:color="auto"/>
                      </w:divBdr>
                    </w:div>
                  </w:divsChild>
                </w:div>
                <w:div w:id="1314022090">
                  <w:marLeft w:val="0"/>
                  <w:marRight w:val="0"/>
                  <w:marTop w:val="0"/>
                  <w:marBottom w:val="0"/>
                  <w:divBdr>
                    <w:top w:val="none" w:sz="0" w:space="0" w:color="auto"/>
                    <w:left w:val="none" w:sz="0" w:space="0" w:color="auto"/>
                    <w:bottom w:val="none" w:sz="0" w:space="0" w:color="auto"/>
                    <w:right w:val="none" w:sz="0" w:space="0" w:color="auto"/>
                  </w:divBdr>
                  <w:divsChild>
                    <w:div w:id="1884097362">
                      <w:marLeft w:val="0"/>
                      <w:marRight w:val="0"/>
                      <w:marTop w:val="0"/>
                      <w:marBottom w:val="0"/>
                      <w:divBdr>
                        <w:top w:val="none" w:sz="0" w:space="0" w:color="auto"/>
                        <w:left w:val="none" w:sz="0" w:space="0" w:color="auto"/>
                        <w:bottom w:val="none" w:sz="0" w:space="0" w:color="auto"/>
                        <w:right w:val="none" w:sz="0" w:space="0" w:color="auto"/>
                      </w:divBdr>
                    </w:div>
                  </w:divsChild>
                </w:div>
                <w:div w:id="1318924952">
                  <w:marLeft w:val="0"/>
                  <w:marRight w:val="0"/>
                  <w:marTop w:val="0"/>
                  <w:marBottom w:val="0"/>
                  <w:divBdr>
                    <w:top w:val="none" w:sz="0" w:space="0" w:color="auto"/>
                    <w:left w:val="none" w:sz="0" w:space="0" w:color="auto"/>
                    <w:bottom w:val="none" w:sz="0" w:space="0" w:color="auto"/>
                    <w:right w:val="none" w:sz="0" w:space="0" w:color="auto"/>
                  </w:divBdr>
                  <w:divsChild>
                    <w:div w:id="2005544228">
                      <w:marLeft w:val="0"/>
                      <w:marRight w:val="0"/>
                      <w:marTop w:val="0"/>
                      <w:marBottom w:val="0"/>
                      <w:divBdr>
                        <w:top w:val="none" w:sz="0" w:space="0" w:color="auto"/>
                        <w:left w:val="none" w:sz="0" w:space="0" w:color="auto"/>
                        <w:bottom w:val="none" w:sz="0" w:space="0" w:color="auto"/>
                        <w:right w:val="none" w:sz="0" w:space="0" w:color="auto"/>
                      </w:divBdr>
                    </w:div>
                  </w:divsChild>
                </w:div>
                <w:div w:id="1437092375">
                  <w:marLeft w:val="0"/>
                  <w:marRight w:val="0"/>
                  <w:marTop w:val="0"/>
                  <w:marBottom w:val="0"/>
                  <w:divBdr>
                    <w:top w:val="none" w:sz="0" w:space="0" w:color="auto"/>
                    <w:left w:val="none" w:sz="0" w:space="0" w:color="auto"/>
                    <w:bottom w:val="none" w:sz="0" w:space="0" w:color="auto"/>
                    <w:right w:val="none" w:sz="0" w:space="0" w:color="auto"/>
                  </w:divBdr>
                  <w:divsChild>
                    <w:div w:id="1589268571">
                      <w:marLeft w:val="0"/>
                      <w:marRight w:val="0"/>
                      <w:marTop w:val="0"/>
                      <w:marBottom w:val="0"/>
                      <w:divBdr>
                        <w:top w:val="none" w:sz="0" w:space="0" w:color="auto"/>
                        <w:left w:val="none" w:sz="0" w:space="0" w:color="auto"/>
                        <w:bottom w:val="none" w:sz="0" w:space="0" w:color="auto"/>
                        <w:right w:val="none" w:sz="0" w:space="0" w:color="auto"/>
                      </w:divBdr>
                    </w:div>
                  </w:divsChild>
                </w:div>
                <w:div w:id="1460949281">
                  <w:marLeft w:val="0"/>
                  <w:marRight w:val="0"/>
                  <w:marTop w:val="0"/>
                  <w:marBottom w:val="0"/>
                  <w:divBdr>
                    <w:top w:val="none" w:sz="0" w:space="0" w:color="auto"/>
                    <w:left w:val="none" w:sz="0" w:space="0" w:color="auto"/>
                    <w:bottom w:val="none" w:sz="0" w:space="0" w:color="auto"/>
                    <w:right w:val="none" w:sz="0" w:space="0" w:color="auto"/>
                  </w:divBdr>
                  <w:divsChild>
                    <w:div w:id="1503739610">
                      <w:marLeft w:val="0"/>
                      <w:marRight w:val="0"/>
                      <w:marTop w:val="0"/>
                      <w:marBottom w:val="0"/>
                      <w:divBdr>
                        <w:top w:val="none" w:sz="0" w:space="0" w:color="auto"/>
                        <w:left w:val="none" w:sz="0" w:space="0" w:color="auto"/>
                        <w:bottom w:val="none" w:sz="0" w:space="0" w:color="auto"/>
                        <w:right w:val="none" w:sz="0" w:space="0" w:color="auto"/>
                      </w:divBdr>
                    </w:div>
                  </w:divsChild>
                </w:div>
                <w:div w:id="1502700182">
                  <w:marLeft w:val="0"/>
                  <w:marRight w:val="0"/>
                  <w:marTop w:val="0"/>
                  <w:marBottom w:val="0"/>
                  <w:divBdr>
                    <w:top w:val="none" w:sz="0" w:space="0" w:color="auto"/>
                    <w:left w:val="none" w:sz="0" w:space="0" w:color="auto"/>
                    <w:bottom w:val="none" w:sz="0" w:space="0" w:color="auto"/>
                    <w:right w:val="none" w:sz="0" w:space="0" w:color="auto"/>
                  </w:divBdr>
                  <w:divsChild>
                    <w:div w:id="1747991578">
                      <w:marLeft w:val="0"/>
                      <w:marRight w:val="0"/>
                      <w:marTop w:val="0"/>
                      <w:marBottom w:val="0"/>
                      <w:divBdr>
                        <w:top w:val="none" w:sz="0" w:space="0" w:color="auto"/>
                        <w:left w:val="none" w:sz="0" w:space="0" w:color="auto"/>
                        <w:bottom w:val="none" w:sz="0" w:space="0" w:color="auto"/>
                        <w:right w:val="none" w:sz="0" w:space="0" w:color="auto"/>
                      </w:divBdr>
                    </w:div>
                  </w:divsChild>
                </w:div>
                <w:div w:id="1506241059">
                  <w:marLeft w:val="0"/>
                  <w:marRight w:val="0"/>
                  <w:marTop w:val="0"/>
                  <w:marBottom w:val="0"/>
                  <w:divBdr>
                    <w:top w:val="none" w:sz="0" w:space="0" w:color="auto"/>
                    <w:left w:val="none" w:sz="0" w:space="0" w:color="auto"/>
                    <w:bottom w:val="none" w:sz="0" w:space="0" w:color="auto"/>
                    <w:right w:val="none" w:sz="0" w:space="0" w:color="auto"/>
                  </w:divBdr>
                  <w:divsChild>
                    <w:div w:id="1441491310">
                      <w:marLeft w:val="0"/>
                      <w:marRight w:val="0"/>
                      <w:marTop w:val="0"/>
                      <w:marBottom w:val="0"/>
                      <w:divBdr>
                        <w:top w:val="none" w:sz="0" w:space="0" w:color="auto"/>
                        <w:left w:val="none" w:sz="0" w:space="0" w:color="auto"/>
                        <w:bottom w:val="none" w:sz="0" w:space="0" w:color="auto"/>
                        <w:right w:val="none" w:sz="0" w:space="0" w:color="auto"/>
                      </w:divBdr>
                    </w:div>
                  </w:divsChild>
                </w:div>
                <w:div w:id="1587883986">
                  <w:marLeft w:val="0"/>
                  <w:marRight w:val="0"/>
                  <w:marTop w:val="0"/>
                  <w:marBottom w:val="0"/>
                  <w:divBdr>
                    <w:top w:val="none" w:sz="0" w:space="0" w:color="auto"/>
                    <w:left w:val="none" w:sz="0" w:space="0" w:color="auto"/>
                    <w:bottom w:val="none" w:sz="0" w:space="0" w:color="auto"/>
                    <w:right w:val="none" w:sz="0" w:space="0" w:color="auto"/>
                  </w:divBdr>
                  <w:divsChild>
                    <w:div w:id="92897108">
                      <w:marLeft w:val="0"/>
                      <w:marRight w:val="0"/>
                      <w:marTop w:val="0"/>
                      <w:marBottom w:val="0"/>
                      <w:divBdr>
                        <w:top w:val="none" w:sz="0" w:space="0" w:color="auto"/>
                        <w:left w:val="none" w:sz="0" w:space="0" w:color="auto"/>
                        <w:bottom w:val="none" w:sz="0" w:space="0" w:color="auto"/>
                        <w:right w:val="none" w:sz="0" w:space="0" w:color="auto"/>
                      </w:divBdr>
                    </w:div>
                  </w:divsChild>
                </w:div>
                <w:div w:id="1605841080">
                  <w:marLeft w:val="0"/>
                  <w:marRight w:val="0"/>
                  <w:marTop w:val="0"/>
                  <w:marBottom w:val="0"/>
                  <w:divBdr>
                    <w:top w:val="none" w:sz="0" w:space="0" w:color="auto"/>
                    <w:left w:val="none" w:sz="0" w:space="0" w:color="auto"/>
                    <w:bottom w:val="none" w:sz="0" w:space="0" w:color="auto"/>
                    <w:right w:val="none" w:sz="0" w:space="0" w:color="auto"/>
                  </w:divBdr>
                  <w:divsChild>
                    <w:div w:id="1431897571">
                      <w:marLeft w:val="0"/>
                      <w:marRight w:val="0"/>
                      <w:marTop w:val="0"/>
                      <w:marBottom w:val="0"/>
                      <w:divBdr>
                        <w:top w:val="none" w:sz="0" w:space="0" w:color="auto"/>
                        <w:left w:val="none" w:sz="0" w:space="0" w:color="auto"/>
                        <w:bottom w:val="none" w:sz="0" w:space="0" w:color="auto"/>
                        <w:right w:val="none" w:sz="0" w:space="0" w:color="auto"/>
                      </w:divBdr>
                    </w:div>
                  </w:divsChild>
                </w:div>
                <w:div w:id="1703096095">
                  <w:marLeft w:val="0"/>
                  <w:marRight w:val="0"/>
                  <w:marTop w:val="0"/>
                  <w:marBottom w:val="0"/>
                  <w:divBdr>
                    <w:top w:val="none" w:sz="0" w:space="0" w:color="auto"/>
                    <w:left w:val="none" w:sz="0" w:space="0" w:color="auto"/>
                    <w:bottom w:val="none" w:sz="0" w:space="0" w:color="auto"/>
                    <w:right w:val="none" w:sz="0" w:space="0" w:color="auto"/>
                  </w:divBdr>
                  <w:divsChild>
                    <w:div w:id="987052512">
                      <w:marLeft w:val="0"/>
                      <w:marRight w:val="0"/>
                      <w:marTop w:val="0"/>
                      <w:marBottom w:val="0"/>
                      <w:divBdr>
                        <w:top w:val="none" w:sz="0" w:space="0" w:color="auto"/>
                        <w:left w:val="none" w:sz="0" w:space="0" w:color="auto"/>
                        <w:bottom w:val="none" w:sz="0" w:space="0" w:color="auto"/>
                        <w:right w:val="none" w:sz="0" w:space="0" w:color="auto"/>
                      </w:divBdr>
                    </w:div>
                  </w:divsChild>
                </w:div>
                <w:div w:id="1744251506">
                  <w:marLeft w:val="0"/>
                  <w:marRight w:val="0"/>
                  <w:marTop w:val="0"/>
                  <w:marBottom w:val="0"/>
                  <w:divBdr>
                    <w:top w:val="none" w:sz="0" w:space="0" w:color="auto"/>
                    <w:left w:val="none" w:sz="0" w:space="0" w:color="auto"/>
                    <w:bottom w:val="none" w:sz="0" w:space="0" w:color="auto"/>
                    <w:right w:val="none" w:sz="0" w:space="0" w:color="auto"/>
                  </w:divBdr>
                  <w:divsChild>
                    <w:div w:id="1155563221">
                      <w:marLeft w:val="0"/>
                      <w:marRight w:val="0"/>
                      <w:marTop w:val="0"/>
                      <w:marBottom w:val="0"/>
                      <w:divBdr>
                        <w:top w:val="none" w:sz="0" w:space="0" w:color="auto"/>
                        <w:left w:val="none" w:sz="0" w:space="0" w:color="auto"/>
                        <w:bottom w:val="none" w:sz="0" w:space="0" w:color="auto"/>
                        <w:right w:val="none" w:sz="0" w:space="0" w:color="auto"/>
                      </w:divBdr>
                    </w:div>
                  </w:divsChild>
                </w:div>
                <w:div w:id="1773015229">
                  <w:marLeft w:val="0"/>
                  <w:marRight w:val="0"/>
                  <w:marTop w:val="0"/>
                  <w:marBottom w:val="0"/>
                  <w:divBdr>
                    <w:top w:val="none" w:sz="0" w:space="0" w:color="auto"/>
                    <w:left w:val="none" w:sz="0" w:space="0" w:color="auto"/>
                    <w:bottom w:val="none" w:sz="0" w:space="0" w:color="auto"/>
                    <w:right w:val="none" w:sz="0" w:space="0" w:color="auto"/>
                  </w:divBdr>
                  <w:divsChild>
                    <w:div w:id="1287547641">
                      <w:marLeft w:val="0"/>
                      <w:marRight w:val="0"/>
                      <w:marTop w:val="0"/>
                      <w:marBottom w:val="0"/>
                      <w:divBdr>
                        <w:top w:val="none" w:sz="0" w:space="0" w:color="auto"/>
                        <w:left w:val="none" w:sz="0" w:space="0" w:color="auto"/>
                        <w:bottom w:val="none" w:sz="0" w:space="0" w:color="auto"/>
                        <w:right w:val="none" w:sz="0" w:space="0" w:color="auto"/>
                      </w:divBdr>
                    </w:div>
                  </w:divsChild>
                </w:div>
                <w:div w:id="1829176652">
                  <w:marLeft w:val="0"/>
                  <w:marRight w:val="0"/>
                  <w:marTop w:val="0"/>
                  <w:marBottom w:val="0"/>
                  <w:divBdr>
                    <w:top w:val="none" w:sz="0" w:space="0" w:color="auto"/>
                    <w:left w:val="none" w:sz="0" w:space="0" w:color="auto"/>
                    <w:bottom w:val="none" w:sz="0" w:space="0" w:color="auto"/>
                    <w:right w:val="none" w:sz="0" w:space="0" w:color="auto"/>
                  </w:divBdr>
                  <w:divsChild>
                    <w:div w:id="1494686641">
                      <w:marLeft w:val="0"/>
                      <w:marRight w:val="0"/>
                      <w:marTop w:val="0"/>
                      <w:marBottom w:val="0"/>
                      <w:divBdr>
                        <w:top w:val="none" w:sz="0" w:space="0" w:color="auto"/>
                        <w:left w:val="none" w:sz="0" w:space="0" w:color="auto"/>
                        <w:bottom w:val="none" w:sz="0" w:space="0" w:color="auto"/>
                        <w:right w:val="none" w:sz="0" w:space="0" w:color="auto"/>
                      </w:divBdr>
                    </w:div>
                  </w:divsChild>
                </w:div>
                <w:div w:id="1839613554">
                  <w:marLeft w:val="0"/>
                  <w:marRight w:val="0"/>
                  <w:marTop w:val="0"/>
                  <w:marBottom w:val="0"/>
                  <w:divBdr>
                    <w:top w:val="none" w:sz="0" w:space="0" w:color="auto"/>
                    <w:left w:val="none" w:sz="0" w:space="0" w:color="auto"/>
                    <w:bottom w:val="none" w:sz="0" w:space="0" w:color="auto"/>
                    <w:right w:val="none" w:sz="0" w:space="0" w:color="auto"/>
                  </w:divBdr>
                  <w:divsChild>
                    <w:div w:id="97332266">
                      <w:marLeft w:val="0"/>
                      <w:marRight w:val="0"/>
                      <w:marTop w:val="0"/>
                      <w:marBottom w:val="0"/>
                      <w:divBdr>
                        <w:top w:val="none" w:sz="0" w:space="0" w:color="auto"/>
                        <w:left w:val="none" w:sz="0" w:space="0" w:color="auto"/>
                        <w:bottom w:val="none" w:sz="0" w:space="0" w:color="auto"/>
                        <w:right w:val="none" w:sz="0" w:space="0" w:color="auto"/>
                      </w:divBdr>
                    </w:div>
                  </w:divsChild>
                </w:div>
                <w:div w:id="1874925497">
                  <w:marLeft w:val="0"/>
                  <w:marRight w:val="0"/>
                  <w:marTop w:val="0"/>
                  <w:marBottom w:val="0"/>
                  <w:divBdr>
                    <w:top w:val="none" w:sz="0" w:space="0" w:color="auto"/>
                    <w:left w:val="none" w:sz="0" w:space="0" w:color="auto"/>
                    <w:bottom w:val="none" w:sz="0" w:space="0" w:color="auto"/>
                    <w:right w:val="none" w:sz="0" w:space="0" w:color="auto"/>
                  </w:divBdr>
                  <w:divsChild>
                    <w:div w:id="200671872">
                      <w:marLeft w:val="0"/>
                      <w:marRight w:val="0"/>
                      <w:marTop w:val="0"/>
                      <w:marBottom w:val="0"/>
                      <w:divBdr>
                        <w:top w:val="none" w:sz="0" w:space="0" w:color="auto"/>
                        <w:left w:val="none" w:sz="0" w:space="0" w:color="auto"/>
                        <w:bottom w:val="none" w:sz="0" w:space="0" w:color="auto"/>
                        <w:right w:val="none" w:sz="0" w:space="0" w:color="auto"/>
                      </w:divBdr>
                    </w:div>
                  </w:divsChild>
                </w:div>
                <w:div w:id="1898587562">
                  <w:marLeft w:val="0"/>
                  <w:marRight w:val="0"/>
                  <w:marTop w:val="0"/>
                  <w:marBottom w:val="0"/>
                  <w:divBdr>
                    <w:top w:val="none" w:sz="0" w:space="0" w:color="auto"/>
                    <w:left w:val="none" w:sz="0" w:space="0" w:color="auto"/>
                    <w:bottom w:val="none" w:sz="0" w:space="0" w:color="auto"/>
                    <w:right w:val="none" w:sz="0" w:space="0" w:color="auto"/>
                  </w:divBdr>
                  <w:divsChild>
                    <w:div w:id="1654989899">
                      <w:marLeft w:val="0"/>
                      <w:marRight w:val="0"/>
                      <w:marTop w:val="0"/>
                      <w:marBottom w:val="0"/>
                      <w:divBdr>
                        <w:top w:val="none" w:sz="0" w:space="0" w:color="auto"/>
                        <w:left w:val="none" w:sz="0" w:space="0" w:color="auto"/>
                        <w:bottom w:val="none" w:sz="0" w:space="0" w:color="auto"/>
                        <w:right w:val="none" w:sz="0" w:space="0" w:color="auto"/>
                      </w:divBdr>
                    </w:div>
                  </w:divsChild>
                </w:div>
                <w:div w:id="1987542216">
                  <w:marLeft w:val="0"/>
                  <w:marRight w:val="0"/>
                  <w:marTop w:val="0"/>
                  <w:marBottom w:val="0"/>
                  <w:divBdr>
                    <w:top w:val="none" w:sz="0" w:space="0" w:color="auto"/>
                    <w:left w:val="none" w:sz="0" w:space="0" w:color="auto"/>
                    <w:bottom w:val="none" w:sz="0" w:space="0" w:color="auto"/>
                    <w:right w:val="none" w:sz="0" w:space="0" w:color="auto"/>
                  </w:divBdr>
                  <w:divsChild>
                    <w:div w:id="298655002">
                      <w:marLeft w:val="0"/>
                      <w:marRight w:val="0"/>
                      <w:marTop w:val="0"/>
                      <w:marBottom w:val="0"/>
                      <w:divBdr>
                        <w:top w:val="none" w:sz="0" w:space="0" w:color="auto"/>
                        <w:left w:val="none" w:sz="0" w:space="0" w:color="auto"/>
                        <w:bottom w:val="none" w:sz="0" w:space="0" w:color="auto"/>
                        <w:right w:val="none" w:sz="0" w:space="0" w:color="auto"/>
                      </w:divBdr>
                    </w:div>
                  </w:divsChild>
                </w:div>
                <w:div w:id="2027974687">
                  <w:marLeft w:val="0"/>
                  <w:marRight w:val="0"/>
                  <w:marTop w:val="0"/>
                  <w:marBottom w:val="0"/>
                  <w:divBdr>
                    <w:top w:val="none" w:sz="0" w:space="0" w:color="auto"/>
                    <w:left w:val="none" w:sz="0" w:space="0" w:color="auto"/>
                    <w:bottom w:val="none" w:sz="0" w:space="0" w:color="auto"/>
                    <w:right w:val="none" w:sz="0" w:space="0" w:color="auto"/>
                  </w:divBdr>
                  <w:divsChild>
                    <w:div w:id="1692804215">
                      <w:marLeft w:val="0"/>
                      <w:marRight w:val="0"/>
                      <w:marTop w:val="0"/>
                      <w:marBottom w:val="0"/>
                      <w:divBdr>
                        <w:top w:val="none" w:sz="0" w:space="0" w:color="auto"/>
                        <w:left w:val="none" w:sz="0" w:space="0" w:color="auto"/>
                        <w:bottom w:val="none" w:sz="0" w:space="0" w:color="auto"/>
                        <w:right w:val="none" w:sz="0" w:space="0" w:color="auto"/>
                      </w:divBdr>
                    </w:div>
                  </w:divsChild>
                </w:div>
                <w:div w:id="2043048033">
                  <w:marLeft w:val="0"/>
                  <w:marRight w:val="0"/>
                  <w:marTop w:val="0"/>
                  <w:marBottom w:val="0"/>
                  <w:divBdr>
                    <w:top w:val="none" w:sz="0" w:space="0" w:color="auto"/>
                    <w:left w:val="none" w:sz="0" w:space="0" w:color="auto"/>
                    <w:bottom w:val="none" w:sz="0" w:space="0" w:color="auto"/>
                    <w:right w:val="none" w:sz="0" w:space="0" w:color="auto"/>
                  </w:divBdr>
                  <w:divsChild>
                    <w:div w:id="114913631">
                      <w:marLeft w:val="0"/>
                      <w:marRight w:val="0"/>
                      <w:marTop w:val="0"/>
                      <w:marBottom w:val="0"/>
                      <w:divBdr>
                        <w:top w:val="none" w:sz="0" w:space="0" w:color="auto"/>
                        <w:left w:val="none" w:sz="0" w:space="0" w:color="auto"/>
                        <w:bottom w:val="none" w:sz="0" w:space="0" w:color="auto"/>
                        <w:right w:val="none" w:sz="0" w:space="0" w:color="auto"/>
                      </w:divBdr>
                    </w:div>
                  </w:divsChild>
                </w:div>
                <w:div w:id="2087072254">
                  <w:marLeft w:val="0"/>
                  <w:marRight w:val="0"/>
                  <w:marTop w:val="0"/>
                  <w:marBottom w:val="0"/>
                  <w:divBdr>
                    <w:top w:val="none" w:sz="0" w:space="0" w:color="auto"/>
                    <w:left w:val="none" w:sz="0" w:space="0" w:color="auto"/>
                    <w:bottom w:val="none" w:sz="0" w:space="0" w:color="auto"/>
                    <w:right w:val="none" w:sz="0" w:space="0" w:color="auto"/>
                  </w:divBdr>
                  <w:divsChild>
                    <w:div w:id="870996601">
                      <w:marLeft w:val="0"/>
                      <w:marRight w:val="0"/>
                      <w:marTop w:val="0"/>
                      <w:marBottom w:val="0"/>
                      <w:divBdr>
                        <w:top w:val="none" w:sz="0" w:space="0" w:color="auto"/>
                        <w:left w:val="none" w:sz="0" w:space="0" w:color="auto"/>
                        <w:bottom w:val="none" w:sz="0" w:space="0" w:color="auto"/>
                        <w:right w:val="none" w:sz="0" w:space="0" w:color="auto"/>
                      </w:divBdr>
                    </w:div>
                  </w:divsChild>
                </w:div>
                <w:div w:id="2119984536">
                  <w:marLeft w:val="0"/>
                  <w:marRight w:val="0"/>
                  <w:marTop w:val="0"/>
                  <w:marBottom w:val="0"/>
                  <w:divBdr>
                    <w:top w:val="none" w:sz="0" w:space="0" w:color="auto"/>
                    <w:left w:val="none" w:sz="0" w:space="0" w:color="auto"/>
                    <w:bottom w:val="none" w:sz="0" w:space="0" w:color="auto"/>
                    <w:right w:val="none" w:sz="0" w:space="0" w:color="auto"/>
                  </w:divBdr>
                  <w:divsChild>
                    <w:div w:id="1020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654446">
          <w:marLeft w:val="0"/>
          <w:marRight w:val="0"/>
          <w:marTop w:val="0"/>
          <w:marBottom w:val="0"/>
          <w:divBdr>
            <w:top w:val="none" w:sz="0" w:space="0" w:color="auto"/>
            <w:left w:val="none" w:sz="0" w:space="0" w:color="auto"/>
            <w:bottom w:val="none" w:sz="0" w:space="0" w:color="auto"/>
            <w:right w:val="none" w:sz="0" w:space="0" w:color="auto"/>
          </w:divBdr>
          <w:divsChild>
            <w:div w:id="1505826680">
              <w:marLeft w:val="-75"/>
              <w:marRight w:val="0"/>
              <w:marTop w:val="30"/>
              <w:marBottom w:val="30"/>
              <w:divBdr>
                <w:top w:val="none" w:sz="0" w:space="0" w:color="auto"/>
                <w:left w:val="none" w:sz="0" w:space="0" w:color="auto"/>
                <w:bottom w:val="none" w:sz="0" w:space="0" w:color="auto"/>
                <w:right w:val="none" w:sz="0" w:space="0" w:color="auto"/>
              </w:divBdr>
              <w:divsChild>
                <w:div w:id="205918263">
                  <w:marLeft w:val="0"/>
                  <w:marRight w:val="0"/>
                  <w:marTop w:val="0"/>
                  <w:marBottom w:val="0"/>
                  <w:divBdr>
                    <w:top w:val="none" w:sz="0" w:space="0" w:color="auto"/>
                    <w:left w:val="none" w:sz="0" w:space="0" w:color="auto"/>
                    <w:bottom w:val="none" w:sz="0" w:space="0" w:color="auto"/>
                    <w:right w:val="none" w:sz="0" w:space="0" w:color="auto"/>
                  </w:divBdr>
                  <w:divsChild>
                    <w:div w:id="911082330">
                      <w:marLeft w:val="0"/>
                      <w:marRight w:val="0"/>
                      <w:marTop w:val="0"/>
                      <w:marBottom w:val="0"/>
                      <w:divBdr>
                        <w:top w:val="none" w:sz="0" w:space="0" w:color="auto"/>
                        <w:left w:val="none" w:sz="0" w:space="0" w:color="auto"/>
                        <w:bottom w:val="none" w:sz="0" w:space="0" w:color="auto"/>
                        <w:right w:val="none" w:sz="0" w:space="0" w:color="auto"/>
                      </w:divBdr>
                    </w:div>
                  </w:divsChild>
                </w:div>
                <w:div w:id="247275359">
                  <w:marLeft w:val="0"/>
                  <w:marRight w:val="0"/>
                  <w:marTop w:val="0"/>
                  <w:marBottom w:val="0"/>
                  <w:divBdr>
                    <w:top w:val="none" w:sz="0" w:space="0" w:color="auto"/>
                    <w:left w:val="none" w:sz="0" w:space="0" w:color="auto"/>
                    <w:bottom w:val="none" w:sz="0" w:space="0" w:color="auto"/>
                    <w:right w:val="none" w:sz="0" w:space="0" w:color="auto"/>
                  </w:divBdr>
                  <w:divsChild>
                    <w:div w:id="880554435">
                      <w:marLeft w:val="0"/>
                      <w:marRight w:val="0"/>
                      <w:marTop w:val="0"/>
                      <w:marBottom w:val="0"/>
                      <w:divBdr>
                        <w:top w:val="none" w:sz="0" w:space="0" w:color="auto"/>
                        <w:left w:val="none" w:sz="0" w:space="0" w:color="auto"/>
                        <w:bottom w:val="none" w:sz="0" w:space="0" w:color="auto"/>
                        <w:right w:val="none" w:sz="0" w:space="0" w:color="auto"/>
                      </w:divBdr>
                    </w:div>
                  </w:divsChild>
                </w:div>
                <w:div w:id="353266234">
                  <w:marLeft w:val="0"/>
                  <w:marRight w:val="0"/>
                  <w:marTop w:val="0"/>
                  <w:marBottom w:val="0"/>
                  <w:divBdr>
                    <w:top w:val="none" w:sz="0" w:space="0" w:color="auto"/>
                    <w:left w:val="none" w:sz="0" w:space="0" w:color="auto"/>
                    <w:bottom w:val="none" w:sz="0" w:space="0" w:color="auto"/>
                    <w:right w:val="none" w:sz="0" w:space="0" w:color="auto"/>
                  </w:divBdr>
                  <w:divsChild>
                    <w:div w:id="1396078991">
                      <w:marLeft w:val="0"/>
                      <w:marRight w:val="0"/>
                      <w:marTop w:val="0"/>
                      <w:marBottom w:val="0"/>
                      <w:divBdr>
                        <w:top w:val="none" w:sz="0" w:space="0" w:color="auto"/>
                        <w:left w:val="none" w:sz="0" w:space="0" w:color="auto"/>
                        <w:bottom w:val="none" w:sz="0" w:space="0" w:color="auto"/>
                        <w:right w:val="none" w:sz="0" w:space="0" w:color="auto"/>
                      </w:divBdr>
                    </w:div>
                  </w:divsChild>
                </w:div>
                <w:div w:id="365524799">
                  <w:marLeft w:val="0"/>
                  <w:marRight w:val="0"/>
                  <w:marTop w:val="0"/>
                  <w:marBottom w:val="0"/>
                  <w:divBdr>
                    <w:top w:val="none" w:sz="0" w:space="0" w:color="auto"/>
                    <w:left w:val="none" w:sz="0" w:space="0" w:color="auto"/>
                    <w:bottom w:val="none" w:sz="0" w:space="0" w:color="auto"/>
                    <w:right w:val="none" w:sz="0" w:space="0" w:color="auto"/>
                  </w:divBdr>
                  <w:divsChild>
                    <w:div w:id="1028599565">
                      <w:marLeft w:val="0"/>
                      <w:marRight w:val="0"/>
                      <w:marTop w:val="0"/>
                      <w:marBottom w:val="0"/>
                      <w:divBdr>
                        <w:top w:val="none" w:sz="0" w:space="0" w:color="auto"/>
                        <w:left w:val="none" w:sz="0" w:space="0" w:color="auto"/>
                        <w:bottom w:val="none" w:sz="0" w:space="0" w:color="auto"/>
                        <w:right w:val="none" w:sz="0" w:space="0" w:color="auto"/>
                      </w:divBdr>
                    </w:div>
                  </w:divsChild>
                </w:div>
                <w:div w:id="390077904">
                  <w:marLeft w:val="0"/>
                  <w:marRight w:val="0"/>
                  <w:marTop w:val="0"/>
                  <w:marBottom w:val="0"/>
                  <w:divBdr>
                    <w:top w:val="none" w:sz="0" w:space="0" w:color="auto"/>
                    <w:left w:val="none" w:sz="0" w:space="0" w:color="auto"/>
                    <w:bottom w:val="none" w:sz="0" w:space="0" w:color="auto"/>
                    <w:right w:val="none" w:sz="0" w:space="0" w:color="auto"/>
                  </w:divBdr>
                  <w:divsChild>
                    <w:div w:id="1302224813">
                      <w:marLeft w:val="0"/>
                      <w:marRight w:val="0"/>
                      <w:marTop w:val="0"/>
                      <w:marBottom w:val="0"/>
                      <w:divBdr>
                        <w:top w:val="none" w:sz="0" w:space="0" w:color="auto"/>
                        <w:left w:val="none" w:sz="0" w:space="0" w:color="auto"/>
                        <w:bottom w:val="none" w:sz="0" w:space="0" w:color="auto"/>
                        <w:right w:val="none" w:sz="0" w:space="0" w:color="auto"/>
                      </w:divBdr>
                    </w:div>
                  </w:divsChild>
                </w:div>
                <w:div w:id="422990913">
                  <w:marLeft w:val="0"/>
                  <w:marRight w:val="0"/>
                  <w:marTop w:val="0"/>
                  <w:marBottom w:val="0"/>
                  <w:divBdr>
                    <w:top w:val="none" w:sz="0" w:space="0" w:color="auto"/>
                    <w:left w:val="none" w:sz="0" w:space="0" w:color="auto"/>
                    <w:bottom w:val="none" w:sz="0" w:space="0" w:color="auto"/>
                    <w:right w:val="none" w:sz="0" w:space="0" w:color="auto"/>
                  </w:divBdr>
                  <w:divsChild>
                    <w:div w:id="1338145784">
                      <w:marLeft w:val="0"/>
                      <w:marRight w:val="0"/>
                      <w:marTop w:val="0"/>
                      <w:marBottom w:val="0"/>
                      <w:divBdr>
                        <w:top w:val="none" w:sz="0" w:space="0" w:color="auto"/>
                        <w:left w:val="none" w:sz="0" w:space="0" w:color="auto"/>
                        <w:bottom w:val="none" w:sz="0" w:space="0" w:color="auto"/>
                        <w:right w:val="none" w:sz="0" w:space="0" w:color="auto"/>
                      </w:divBdr>
                    </w:div>
                  </w:divsChild>
                </w:div>
                <w:div w:id="499850448">
                  <w:marLeft w:val="0"/>
                  <w:marRight w:val="0"/>
                  <w:marTop w:val="0"/>
                  <w:marBottom w:val="0"/>
                  <w:divBdr>
                    <w:top w:val="none" w:sz="0" w:space="0" w:color="auto"/>
                    <w:left w:val="none" w:sz="0" w:space="0" w:color="auto"/>
                    <w:bottom w:val="none" w:sz="0" w:space="0" w:color="auto"/>
                    <w:right w:val="none" w:sz="0" w:space="0" w:color="auto"/>
                  </w:divBdr>
                  <w:divsChild>
                    <w:div w:id="1759016212">
                      <w:marLeft w:val="0"/>
                      <w:marRight w:val="0"/>
                      <w:marTop w:val="0"/>
                      <w:marBottom w:val="0"/>
                      <w:divBdr>
                        <w:top w:val="none" w:sz="0" w:space="0" w:color="auto"/>
                        <w:left w:val="none" w:sz="0" w:space="0" w:color="auto"/>
                        <w:bottom w:val="none" w:sz="0" w:space="0" w:color="auto"/>
                        <w:right w:val="none" w:sz="0" w:space="0" w:color="auto"/>
                      </w:divBdr>
                    </w:div>
                  </w:divsChild>
                </w:div>
                <w:div w:id="731657127">
                  <w:marLeft w:val="0"/>
                  <w:marRight w:val="0"/>
                  <w:marTop w:val="0"/>
                  <w:marBottom w:val="0"/>
                  <w:divBdr>
                    <w:top w:val="none" w:sz="0" w:space="0" w:color="auto"/>
                    <w:left w:val="none" w:sz="0" w:space="0" w:color="auto"/>
                    <w:bottom w:val="none" w:sz="0" w:space="0" w:color="auto"/>
                    <w:right w:val="none" w:sz="0" w:space="0" w:color="auto"/>
                  </w:divBdr>
                  <w:divsChild>
                    <w:div w:id="140582925">
                      <w:marLeft w:val="0"/>
                      <w:marRight w:val="0"/>
                      <w:marTop w:val="0"/>
                      <w:marBottom w:val="0"/>
                      <w:divBdr>
                        <w:top w:val="none" w:sz="0" w:space="0" w:color="auto"/>
                        <w:left w:val="none" w:sz="0" w:space="0" w:color="auto"/>
                        <w:bottom w:val="none" w:sz="0" w:space="0" w:color="auto"/>
                        <w:right w:val="none" w:sz="0" w:space="0" w:color="auto"/>
                      </w:divBdr>
                    </w:div>
                  </w:divsChild>
                </w:div>
                <w:div w:id="783964939">
                  <w:marLeft w:val="0"/>
                  <w:marRight w:val="0"/>
                  <w:marTop w:val="0"/>
                  <w:marBottom w:val="0"/>
                  <w:divBdr>
                    <w:top w:val="none" w:sz="0" w:space="0" w:color="auto"/>
                    <w:left w:val="none" w:sz="0" w:space="0" w:color="auto"/>
                    <w:bottom w:val="none" w:sz="0" w:space="0" w:color="auto"/>
                    <w:right w:val="none" w:sz="0" w:space="0" w:color="auto"/>
                  </w:divBdr>
                  <w:divsChild>
                    <w:div w:id="1573277272">
                      <w:marLeft w:val="0"/>
                      <w:marRight w:val="0"/>
                      <w:marTop w:val="0"/>
                      <w:marBottom w:val="0"/>
                      <w:divBdr>
                        <w:top w:val="none" w:sz="0" w:space="0" w:color="auto"/>
                        <w:left w:val="none" w:sz="0" w:space="0" w:color="auto"/>
                        <w:bottom w:val="none" w:sz="0" w:space="0" w:color="auto"/>
                        <w:right w:val="none" w:sz="0" w:space="0" w:color="auto"/>
                      </w:divBdr>
                    </w:div>
                  </w:divsChild>
                </w:div>
                <w:div w:id="871304568">
                  <w:marLeft w:val="0"/>
                  <w:marRight w:val="0"/>
                  <w:marTop w:val="0"/>
                  <w:marBottom w:val="0"/>
                  <w:divBdr>
                    <w:top w:val="none" w:sz="0" w:space="0" w:color="auto"/>
                    <w:left w:val="none" w:sz="0" w:space="0" w:color="auto"/>
                    <w:bottom w:val="none" w:sz="0" w:space="0" w:color="auto"/>
                    <w:right w:val="none" w:sz="0" w:space="0" w:color="auto"/>
                  </w:divBdr>
                  <w:divsChild>
                    <w:div w:id="1679115427">
                      <w:marLeft w:val="0"/>
                      <w:marRight w:val="0"/>
                      <w:marTop w:val="0"/>
                      <w:marBottom w:val="0"/>
                      <w:divBdr>
                        <w:top w:val="none" w:sz="0" w:space="0" w:color="auto"/>
                        <w:left w:val="none" w:sz="0" w:space="0" w:color="auto"/>
                        <w:bottom w:val="none" w:sz="0" w:space="0" w:color="auto"/>
                        <w:right w:val="none" w:sz="0" w:space="0" w:color="auto"/>
                      </w:divBdr>
                    </w:div>
                  </w:divsChild>
                </w:div>
                <w:div w:id="982975737">
                  <w:marLeft w:val="0"/>
                  <w:marRight w:val="0"/>
                  <w:marTop w:val="0"/>
                  <w:marBottom w:val="0"/>
                  <w:divBdr>
                    <w:top w:val="none" w:sz="0" w:space="0" w:color="auto"/>
                    <w:left w:val="none" w:sz="0" w:space="0" w:color="auto"/>
                    <w:bottom w:val="none" w:sz="0" w:space="0" w:color="auto"/>
                    <w:right w:val="none" w:sz="0" w:space="0" w:color="auto"/>
                  </w:divBdr>
                  <w:divsChild>
                    <w:div w:id="570236661">
                      <w:marLeft w:val="0"/>
                      <w:marRight w:val="0"/>
                      <w:marTop w:val="0"/>
                      <w:marBottom w:val="0"/>
                      <w:divBdr>
                        <w:top w:val="none" w:sz="0" w:space="0" w:color="auto"/>
                        <w:left w:val="none" w:sz="0" w:space="0" w:color="auto"/>
                        <w:bottom w:val="none" w:sz="0" w:space="0" w:color="auto"/>
                        <w:right w:val="none" w:sz="0" w:space="0" w:color="auto"/>
                      </w:divBdr>
                    </w:div>
                  </w:divsChild>
                </w:div>
                <w:div w:id="1165048443">
                  <w:marLeft w:val="0"/>
                  <w:marRight w:val="0"/>
                  <w:marTop w:val="0"/>
                  <w:marBottom w:val="0"/>
                  <w:divBdr>
                    <w:top w:val="none" w:sz="0" w:space="0" w:color="auto"/>
                    <w:left w:val="none" w:sz="0" w:space="0" w:color="auto"/>
                    <w:bottom w:val="none" w:sz="0" w:space="0" w:color="auto"/>
                    <w:right w:val="none" w:sz="0" w:space="0" w:color="auto"/>
                  </w:divBdr>
                  <w:divsChild>
                    <w:div w:id="1609972518">
                      <w:marLeft w:val="0"/>
                      <w:marRight w:val="0"/>
                      <w:marTop w:val="0"/>
                      <w:marBottom w:val="0"/>
                      <w:divBdr>
                        <w:top w:val="none" w:sz="0" w:space="0" w:color="auto"/>
                        <w:left w:val="none" w:sz="0" w:space="0" w:color="auto"/>
                        <w:bottom w:val="none" w:sz="0" w:space="0" w:color="auto"/>
                        <w:right w:val="none" w:sz="0" w:space="0" w:color="auto"/>
                      </w:divBdr>
                    </w:div>
                  </w:divsChild>
                </w:div>
                <w:div w:id="1186602362">
                  <w:marLeft w:val="0"/>
                  <w:marRight w:val="0"/>
                  <w:marTop w:val="0"/>
                  <w:marBottom w:val="0"/>
                  <w:divBdr>
                    <w:top w:val="none" w:sz="0" w:space="0" w:color="auto"/>
                    <w:left w:val="none" w:sz="0" w:space="0" w:color="auto"/>
                    <w:bottom w:val="none" w:sz="0" w:space="0" w:color="auto"/>
                    <w:right w:val="none" w:sz="0" w:space="0" w:color="auto"/>
                  </w:divBdr>
                  <w:divsChild>
                    <w:div w:id="726684092">
                      <w:marLeft w:val="0"/>
                      <w:marRight w:val="0"/>
                      <w:marTop w:val="0"/>
                      <w:marBottom w:val="0"/>
                      <w:divBdr>
                        <w:top w:val="none" w:sz="0" w:space="0" w:color="auto"/>
                        <w:left w:val="none" w:sz="0" w:space="0" w:color="auto"/>
                        <w:bottom w:val="none" w:sz="0" w:space="0" w:color="auto"/>
                        <w:right w:val="none" w:sz="0" w:space="0" w:color="auto"/>
                      </w:divBdr>
                    </w:div>
                  </w:divsChild>
                </w:div>
                <w:div w:id="1287078586">
                  <w:marLeft w:val="0"/>
                  <w:marRight w:val="0"/>
                  <w:marTop w:val="0"/>
                  <w:marBottom w:val="0"/>
                  <w:divBdr>
                    <w:top w:val="none" w:sz="0" w:space="0" w:color="auto"/>
                    <w:left w:val="none" w:sz="0" w:space="0" w:color="auto"/>
                    <w:bottom w:val="none" w:sz="0" w:space="0" w:color="auto"/>
                    <w:right w:val="none" w:sz="0" w:space="0" w:color="auto"/>
                  </w:divBdr>
                  <w:divsChild>
                    <w:div w:id="2118522003">
                      <w:marLeft w:val="0"/>
                      <w:marRight w:val="0"/>
                      <w:marTop w:val="0"/>
                      <w:marBottom w:val="0"/>
                      <w:divBdr>
                        <w:top w:val="none" w:sz="0" w:space="0" w:color="auto"/>
                        <w:left w:val="none" w:sz="0" w:space="0" w:color="auto"/>
                        <w:bottom w:val="none" w:sz="0" w:space="0" w:color="auto"/>
                        <w:right w:val="none" w:sz="0" w:space="0" w:color="auto"/>
                      </w:divBdr>
                    </w:div>
                  </w:divsChild>
                </w:div>
                <w:div w:id="1324699578">
                  <w:marLeft w:val="0"/>
                  <w:marRight w:val="0"/>
                  <w:marTop w:val="0"/>
                  <w:marBottom w:val="0"/>
                  <w:divBdr>
                    <w:top w:val="none" w:sz="0" w:space="0" w:color="auto"/>
                    <w:left w:val="none" w:sz="0" w:space="0" w:color="auto"/>
                    <w:bottom w:val="none" w:sz="0" w:space="0" w:color="auto"/>
                    <w:right w:val="none" w:sz="0" w:space="0" w:color="auto"/>
                  </w:divBdr>
                  <w:divsChild>
                    <w:div w:id="1254632480">
                      <w:marLeft w:val="0"/>
                      <w:marRight w:val="0"/>
                      <w:marTop w:val="0"/>
                      <w:marBottom w:val="0"/>
                      <w:divBdr>
                        <w:top w:val="none" w:sz="0" w:space="0" w:color="auto"/>
                        <w:left w:val="none" w:sz="0" w:space="0" w:color="auto"/>
                        <w:bottom w:val="none" w:sz="0" w:space="0" w:color="auto"/>
                        <w:right w:val="none" w:sz="0" w:space="0" w:color="auto"/>
                      </w:divBdr>
                    </w:div>
                  </w:divsChild>
                </w:div>
                <w:div w:id="1492404910">
                  <w:marLeft w:val="0"/>
                  <w:marRight w:val="0"/>
                  <w:marTop w:val="0"/>
                  <w:marBottom w:val="0"/>
                  <w:divBdr>
                    <w:top w:val="none" w:sz="0" w:space="0" w:color="auto"/>
                    <w:left w:val="none" w:sz="0" w:space="0" w:color="auto"/>
                    <w:bottom w:val="none" w:sz="0" w:space="0" w:color="auto"/>
                    <w:right w:val="none" w:sz="0" w:space="0" w:color="auto"/>
                  </w:divBdr>
                  <w:divsChild>
                    <w:div w:id="863371650">
                      <w:marLeft w:val="0"/>
                      <w:marRight w:val="0"/>
                      <w:marTop w:val="0"/>
                      <w:marBottom w:val="0"/>
                      <w:divBdr>
                        <w:top w:val="none" w:sz="0" w:space="0" w:color="auto"/>
                        <w:left w:val="none" w:sz="0" w:space="0" w:color="auto"/>
                        <w:bottom w:val="none" w:sz="0" w:space="0" w:color="auto"/>
                        <w:right w:val="none" w:sz="0" w:space="0" w:color="auto"/>
                      </w:divBdr>
                    </w:div>
                  </w:divsChild>
                </w:div>
                <w:div w:id="1689988635">
                  <w:marLeft w:val="0"/>
                  <w:marRight w:val="0"/>
                  <w:marTop w:val="0"/>
                  <w:marBottom w:val="0"/>
                  <w:divBdr>
                    <w:top w:val="none" w:sz="0" w:space="0" w:color="auto"/>
                    <w:left w:val="none" w:sz="0" w:space="0" w:color="auto"/>
                    <w:bottom w:val="none" w:sz="0" w:space="0" w:color="auto"/>
                    <w:right w:val="none" w:sz="0" w:space="0" w:color="auto"/>
                  </w:divBdr>
                  <w:divsChild>
                    <w:div w:id="492375781">
                      <w:marLeft w:val="0"/>
                      <w:marRight w:val="0"/>
                      <w:marTop w:val="0"/>
                      <w:marBottom w:val="0"/>
                      <w:divBdr>
                        <w:top w:val="none" w:sz="0" w:space="0" w:color="auto"/>
                        <w:left w:val="none" w:sz="0" w:space="0" w:color="auto"/>
                        <w:bottom w:val="none" w:sz="0" w:space="0" w:color="auto"/>
                        <w:right w:val="none" w:sz="0" w:space="0" w:color="auto"/>
                      </w:divBdr>
                    </w:div>
                  </w:divsChild>
                </w:div>
                <w:div w:id="1774787424">
                  <w:marLeft w:val="0"/>
                  <w:marRight w:val="0"/>
                  <w:marTop w:val="0"/>
                  <w:marBottom w:val="0"/>
                  <w:divBdr>
                    <w:top w:val="none" w:sz="0" w:space="0" w:color="auto"/>
                    <w:left w:val="none" w:sz="0" w:space="0" w:color="auto"/>
                    <w:bottom w:val="none" w:sz="0" w:space="0" w:color="auto"/>
                    <w:right w:val="none" w:sz="0" w:space="0" w:color="auto"/>
                  </w:divBdr>
                  <w:divsChild>
                    <w:div w:id="2144732884">
                      <w:marLeft w:val="0"/>
                      <w:marRight w:val="0"/>
                      <w:marTop w:val="0"/>
                      <w:marBottom w:val="0"/>
                      <w:divBdr>
                        <w:top w:val="none" w:sz="0" w:space="0" w:color="auto"/>
                        <w:left w:val="none" w:sz="0" w:space="0" w:color="auto"/>
                        <w:bottom w:val="none" w:sz="0" w:space="0" w:color="auto"/>
                        <w:right w:val="none" w:sz="0" w:space="0" w:color="auto"/>
                      </w:divBdr>
                    </w:div>
                  </w:divsChild>
                </w:div>
                <w:div w:id="1976139316">
                  <w:marLeft w:val="0"/>
                  <w:marRight w:val="0"/>
                  <w:marTop w:val="0"/>
                  <w:marBottom w:val="0"/>
                  <w:divBdr>
                    <w:top w:val="none" w:sz="0" w:space="0" w:color="auto"/>
                    <w:left w:val="none" w:sz="0" w:space="0" w:color="auto"/>
                    <w:bottom w:val="none" w:sz="0" w:space="0" w:color="auto"/>
                    <w:right w:val="none" w:sz="0" w:space="0" w:color="auto"/>
                  </w:divBdr>
                  <w:divsChild>
                    <w:div w:id="1368874407">
                      <w:marLeft w:val="0"/>
                      <w:marRight w:val="0"/>
                      <w:marTop w:val="0"/>
                      <w:marBottom w:val="0"/>
                      <w:divBdr>
                        <w:top w:val="none" w:sz="0" w:space="0" w:color="auto"/>
                        <w:left w:val="none" w:sz="0" w:space="0" w:color="auto"/>
                        <w:bottom w:val="none" w:sz="0" w:space="0" w:color="auto"/>
                        <w:right w:val="none" w:sz="0" w:space="0" w:color="auto"/>
                      </w:divBdr>
                    </w:div>
                  </w:divsChild>
                </w:div>
                <w:div w:id="2142379987">
                  <w:marLeft w:val="0"/>
                  <w:marRight w:val="0"/>
                  <w:marTop w:val="0"/>
                  <w:marBottom w:val="0"/>
                  <w:divBdr>
                    <w:top w:val="none" w:sz="0" w:space="0" w:color="auto"/>
                    <w:left w:val="none" w:sz="0" w:space="0" w:color="auto"/>
                    <w:bottom w:val="none" w:sz="0" w:space="0" w:color="auto"/>
                    <w:right w:val="none" w:sz="0" w:space="0" w:color="auto"/>
                  </w:divBdr>
                  <w:divsChild>
                    <w:div w:id="13298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40192">
          <w:marLeft w:val="0"/>
          <w:marRight w:val="0"/>
          <w:marTop w:val="0"/>
          <w:marBottom w:val="0"/>
          <w:divBdr>
            <w:top w:val="none" w:sz="0" w:space="0" w:color="auto"/>
            <w:left w:val="none" w:sz="0" w:space="0" w:color="auto"/>
            <w:bottom w:val="none" w:sz="0" w:space="0" w:color="auto"/>
            <w:right w:val="none" w:sz="0" w:space="0" w:color="auto"/>
          </w:divBdr>
        </w:div>
        <w:div w:id="1907958213">
          <w:marLeft w:val="0"/>
          <w:marRight w:val="0"/>
          <w:marTop w:val="0"/>
          <w:marBottom w:val="0"/>
          <w:divBdr>
            <w:top w:val="none" w:sz="0" w:space="0" w:color="auto"/>
            <w:left w:val="none" w:sz="0" w:space="0" w:color="auto"/>
            <w:bottom w:val="none" w:sz="0" w:space="0" w:color="auto"/>
            <w:right w:val="none" w:sz="0" w:space="0" w:color="auto"/>
          </w:divBdr>
        </w:div>
        <w:div w:id="1946840993">
          <w:marLeft w:val="0"/>
          <w:marRight w:val="0"/>
          <w:marTop w:val="0"/>
          <w:marBottom w:val="0"/>
          <w:divBdr>
            <w:top w:val="none" w:sz="0" w:space="0" w:color="auto"/>
            <w:left w:val="none" w:sz="0" w:space="0" w:color="auto"/>
            <w:bottom w:val="none" w:sz="0" w:space="0" w:color="auto"/>
            <w:right w:val="none" w:sz="0" w:space="0" w:color="auto"/>
          </w:divBdr>
        </w:div>
        <w:div w:id="2138643583">
          <w:marLeft w:val="0"/>
          <w:marRight w:val="0"/>
          <w:marTop w:val="0"/>
          <w:marBottom w:val="0"/>
          <w:divBdr>
            <w:top w:val="none" w:sz="0" w:space="0" w:color="auto"/>
            <w:left w:val="none" w:sz="0" w:space="0" w:color="auto"/>
            <w:bottom w:val="none" w:sz="0" w:space="0" w:color="auto"/>
            <w:right w:val="none" w:sz="0" w:space="0" w:color="auto"/>
          </w:divBdr>
        </w:div>
      </w:divsChild>
    </w:div>
    <w:div w:id="1266113634">
      <w:bodyDiv w:val="1"/>
      <w:marLeft w:val="0"/>
      <w:marRight w:val="0"/>
      <w:marTop w:val="0"/>
      <w:marBottom w:val="0"/>
      <w:divBdr>
        <w:top w:val="none" w:sz="0" w:space="0" w:color="auto"/>
        <w:left w:val="none" w:sz="0" w:space="0" w:color="auto"/>
        <w:bottom w:val="none" w:sz="0" w:space="0" w:color="auto"/>
        <w:right w:val="none" w:sz="0" w:space="0" w:color="auto"/>
      </w:divBdr>
      <w:divsChild>
        <w:div w:id="1199315318">
          <w:marLeft w:val="0"/>
          <w:marRight w:val="0"/>
          <w:marTop w:val="0"/>
          <w:marBottom w:val="0"/>
          <w:divBdr>
            <w:top w:val="none" w:sz="0" w:space="0" w:color="auto"/>
            <w:left w:val="none" w:sz="0" w:space="0" w:color="auto"/>
            <w:bottom w:val="none" w:sz="0" w:space="0" w:color="auto"/>
            <w:right w:val="none" w:sz="0" w:space="0" w:color="auto"/>
          </w:divBdr>
        </w:div>
        <w:div w:id="1473710246">
          <w:marLeft w:val="0"/>
          <w:marRight w:val="0"/>
          <w:marTop w:val="0"/>
          <w:marBottom w:val="0"/>
          <w:divBdr>
            <w:top w:val="none" w:sz="0" w:space="0" w:color="auto"/>
            <w:left w:val="none" w:sz="0" w:space="0" w:color="auto"/>
            <w:bottom w:val="none" w:sz="0" w:space="0" w:color="auto"/>
            <w:right w:val="none" w:sz="0" w:space="0" w:color="auto"/>
          </w:divBdr>
        </w:div>
        <w:div w:id="1484851386">
          <w:marLeft w:val="0"/>
          <w:marRight w:val="0"/>
          <w:marTop w:val="0"/>
          <w:marBottom w:val="0"/>
          <w:divBdr>
            <w:top w:val="none" w:sz="0" w:space="0" w:color="auto"/>
            <w:left w:val="none" w:sz="0" w:space="0" w:color="auto"/>
            <w:bottom w:val="none" w:sz="0" w:space="0" w:color="auto"/>
            <w:right w:val="none" w:sz="0" w:space="0" w:color="auto"/>
          </w:divBdr>
        </w:div>
        <w:div w:id="1551771706">
          <w:marLeft w:val="0"/>
          <w:marRight w:val="0"/>
          <w:marTop w:val="0"/>
          <w:marBottom w:val="0"/>
          <w:divBdr>
            <w:top w:val="none" w:sz="0" w:space="0" w:color="auto"/>
            <w:left w:val="none" w:sz="0" w:space="0" w:color="auto"/>
            <w:bottom w:val="none" w:sz="0" w:space="0" w:color="auto"/>
            <w:right w:val="none" w:sz="0" w:space="0" w:color="auto"/>
          </w:divBdr>
        </w:div>
        <w:div w:id="1575311028">
          <w:marLeft w:val="0"/>
          <w:marRight w:val="0"/>
          <w:marTop w:val="0"/>
          <w:marBottom w:val="0"/>
          <w:divBdr>
            <w:top w:val="none" w:sz="0" w:space="0" w:color="auto"/>
            <w:left w:val="none" w:sz="0" w:space="0" w:color="auto"/>
            <w:bottom w:val="none" w:sz="0" w:space="0" w:color="auto"/>
            <w:right w:val="none" w:sz="0" w:space="0" w:color="auto"/>
          </w:divBdr>
        </w:div>
        <w:div w:id="1588542097">
          <w:marLeft w:val="0"/>
          <w:marRight w:val="0"/>
          <w:marTop w:val="0"/>
          <w:marBottom w:val="0"/>
          <w:divBdr>
            <w:top w:val="none" w:sz="0" w:space="0" w:color="auto"/>
            <w:left w:val="none" w:sz="0" w:space="0" w:color="auto"/>
            <w:bottom w:val="none" w:sz="0" w:space="0" w:color="auto"/>
            <w:right w:val="none" w:sz="0" w:space="0" w:color="auto"/>
          </w:divBdr>
        </w:div>
      </w:divsChild>
    </w:div>
    <w:div w:id="1266233850">
      <w:bodyDiv w:val="1"/>
      <w:marLeft w:val="0"/>
      <w:marRight w:val="0"/>
      <w:marTop w:val="0"/>
      <w:marBottom w:val="0"/>
      <w:divBdr>
        <w:top w:val="none" w:sz="0" w:space="0" w:color="auto"/>
        <w:left w:val="none" w:sz="0" w:space="0" w:color="auto"/>
        <w:bottom w:val="none" w:sz="0" w:space="0" w:color="auto"/>
        <w:right w:val="none" w:sz="0" w:space="0" w:color="auto"/>
      </w:divBdr>
    </w:div>
    <w:div w:id="1266883664">
      <w:bodyDiv w:val="1"/>
      <w:marLeft w:val="0"/>
      <w:marRight w:val="0"/>
      <w:marTop w:val="0"/>
      <w:marBottom w:val="0"/>
      <w:divBdr>
        <w:top w:val="none" w:sz="0" w:space="0" w:color="auto"/>
        <w:left w:val="none" w:sz="0" w:space="0" w:color="auto"/>
        <w:bottom w:val="none" w:sz="0" w:space="0" w:color="auto"/>
        <w:right w:val="none" w:sz="0" w:space="0" w:color="auto"/>
      </w:divBdr>
      <w:divsChild>
        <w:div w:id="112290873">
          <w:marLeft w:val="0"/>
          <w:marRight w:val="0"/>
          <w:marTop w:val="0"/>
          <w:marBottom w:val="0"/>
          <w:divBdr>
            <w:top w:val="none" w:sz="0" w:space="0" w:color="auto"/>
            <w:left w:val="none" w:sz="0" w:space="0" w:color="auto"/>
            <w:bottom w:val="none" w:sz="0" w:space="0" w:color="auto"/>
            <w:right w:val="none" w:sz="0" w:space="0" w:color="auto"/>
          </w:divBdr>
        </w:div>
        <w:div w:id="116997527">
          <w:marLeft w:val="0"/>
          <w:marRight w:val="0"/>
          <w:marTop w:val="0"/>
          <w:marBottom w:val="0"/>
          <w:divBdr>
            <w:top w:val="none" w:sz="0" w:space="0" w:color="auto"/>
            <w:left w:val="none" w:sz="0" w:space="0" w:color="auto"/>
            <w:bottom w:val="none" w:sz="0" w:space="0" w:color="auto"/>
            <w:right w:val="none" w:sz="0" w:space="0" w:color="auto"/>
          </w:divBdr>
        </w:div>
        <w:div w:id="154343005">
          <w:marLeft w:val="0"/>
          <w:marRight w:val="0"/>
          <w:marTop w:val="0"/>
          <w:marBottom w:val="0"/>
          <w:divBdr>
            <w:top w:val="none" w:sz="0" w:space="0" w:color="auto"/>
            <w:left w:val="none" w:sz="0" w:space="0" w:color="auto"/>
            <w:bottom w:val="none" w:sz="0" w:space="0" w:color="auto"/>
            <w:right w:val="none" w:sz="0" w:space="0" w:color="auto"/>
          </w:divBdr>
        </w:div>
        <w:div w:id="162624754">
          <w:marLeft w:val="0"/>
          <w:marRight w:val="0"/>
          <w:marTop w:val="0"/>
          <w:marBottom w:val="0"/>
          <w:divBdr>
            <w:top w:val="none" w:sz="0" w:space="0" w:color="auto"/>
            <w:left w:val="none" w:sz="0" w:space="0" w:color="auto"/>
            <w:bottom w:val="none" w:sz="0" w:space="0" w:color="auto"/>
            <w:right w:val="none" w:sz="0" w:space="0" w:color="auto"/>
          </w:divBdr>
        </w:div>
        <w:div w:id="177931725">
          <w:marLeft w:val="0"/>
          <w:marRight w:val="0"/>
          <w:marTop w:val="0"/>
          <w:marBottom w:val="0"/>
          <w:divBdr>
            <w:top w:val="none" w:sz="0" w:space="0" w:color="auto"/>
            <w:left w:val="none" w:sz="0" w:space="0" w:color="auto"/>
            <w:bottom w:val="none" w:sz="0" w:space="0" w:color="auto"/>
            <w:right w:val="none" w:sz="0" w:space="0" w:color="auto"/>
          </w:divBdr>
        </w:div>
        <w:div w:id="215089386">
          <w:marLeft w:val="0"/>
          <w:marRight w:val="0"/>
          <w:marTop w:val="0"/>
          <w:marBottom w:val="0"/>
          <w:divBdr>
            <w:top w:val="none" w:sz="0" w:space="0" w:color="auto"/>
            <w:left w:val="none" w:sz="0" w:space="0" w:color="auto"/>
            <w:bottom w:val="none" w:sz="0" w:space="0" w:color="auto"/>
            <w:right w:val="none" w:sz="0" w:space="0" w:color="auto"/>
          </w:divBdr>
        </w:div>
        <w:div w:id="234709992">
          <w:marLeft w:val="0"/>
          <w:marRight w:val="0"/>
          <w:marTop w:val="0"/>
          <w:marBottom w:val="0"/>
          <w:divBdr>
            <w:top w:val="none" w:sz="0" w:space="0" w:color="auto"/>
            <w:left w:val="none" w:sz="0" w:space="0" w:color="auto"/>
            <w:bottom w:val="none" w:sz="0" w:space="0" w:color="auto"/>
            <w:right w:val="none" w:sz="0" w:space="0" w:color="auto"/>
          </w:divBdr>
        </w:div>
        <w:div w:id="252016722">
          <w:marLeft w:val="0"/>
          <w:marRight w:val="0"/>
          <w:marTop w:val="0"/>
          <w:marBottom w:val="0"/>
          <w:divBdr>
            <w:top w:val="none" w:sz="0" w:space="0" w:color="auto"/>
            <w:left w:val="none" w:sz="0" w:space="0" w:color="auto"/>
            <w:bottom w:val="none" w:sz="0" w:space="0" w:color="auto"/>
            <w:right w:val="none" w:sz="0" w:space="0" w:color="auto"/>
          </w:divBdr>
        </w:div>
        <w:div w:id="330066324">
          <w:marLeft w:val="0"/>
          <w:marRight w:val="0"/>
          <w:marTop w:val="0"/>
          <w:marBottom w:val="0"/>
          <w:divBdr>
            <w:top w:val="none" w:sz="0" w:space="0" w:color="auto"/>
            <w:left w:val="none" w:sz="0" w:space="0" w:color="auto"/>
            <w:bottom w:val="none" w:sz="0" w:space="0" w:color="auto"/>
            <w:right w:val="none" w:sz="0" w:space="0" w:color="auto"/>
          </w:divBdr>
        </w:div>
        <w:div w:id="331185105">
          <w:marLeft w:val="0"/>
          <w:marRight w:val="0"/>
          <w:marTop w:val="0"/>
          <w:marBottom w:val="0"/>
          <w:divBdr>
            <w:top w:val="none" w:sz="0" w:space="0" w:color="auto"/>
            <w:left w:val="none" w:sz="0" w:space="0" w:color="auto"/>
            <w:bottom w:val="none" w:sz="0" w:space="0" w:color="auto"/>
            <w:right w:val="none" w:sz="0" w:space="0" w:color="auto"/>
          </w:divBdr>
        </w:div>
        <w:div w:id="356657078">
          <w:marLeft w:val="0"/>
          <w:marRight w:val="0"/>
          <w:marTop w:val="0"/>
          <w:marBottom w:val="0"/>
          <w:divBdr>
            <w:top w:val="none" w:sz="0" w:space="0" w:color="auto"/>
            <w:left w:val="none" w:sz="0" w:space="0" w:color="auto"/>
            <w:bottom w:val="none" w:sz="0" w:space="0" w:color="auto"/>
            <w:right w:val="none" w:sz="0" w:space="0" w:color="auto"/>
          </w:divBdr>
        </w:div>
        <w:div w:id="376395313">
          <w:marLeft w:val="0"/>
          <w:marRight w:val="0"/>
          <w:marTop w:val="0"/>
          <w:marBottom w:val="0"/>
          <w:divBdr>
            <w:top w:val="none" w:sz="0" w:space="0" w:color="auto"/>
            <w:left w:val="none" w:sz="0" w:space="0" w:color="auto"/>
            <w:bottom w:val="none" w:sz="0" w:space="0" w:color="auto"/>
            <w:right w:val="none" w:sz="0" w:space="0" w:color="auto"/>
          </w:divBdr>
        </w:div>
        <w:div w:id="385030870">
          <w:marLeft w:val="0"/>
          <w:marRight w:val="0"/>
          <w:marTop w:val="0"/>
          <w:marBottom w:val="0"/>
          <w:divBdr>
            <w:top w:val="none" w:sz="0" w:space="0" w:color="auto"/>
            <w:left w:val="none" w:sz="0" w:space="0" w:color="auto"/>
            <w:bottom w:val="none" w:sz="0" w:space="0" w:color="auto"/>
            <w:right w:val="none" w:sz="0" w:space="0" w:color="auto"/>
          </w:divBdr>
        </w:div>
        <w:div w:id="402022844">
          <w:marLeft w:val="0"/>
          <w:marRight w:val="0"/>
          <w:marTop w:val="0"/>
          <w:marBottom w:val="0"/>
          <w:divBdr>
            <w:top w:val="none" w:sz="0" w:space="0" w:color="auto"/>
            <w:left w:val="none" w:sz="0" w:space="0" w:color="auto"/>
            <w:bottom w:val="none" w:sz="0" w:space="0" w:color="auto"/>
            <w:right w:val="none" w:sz="0" w:space="0" w:color="auto"/>
          </w:divBdr>
        </w:div>
        <w:div w:id="407583931">
          <w:marLeft w:val="0"/>
          <w:marRight w:val="0"/>
          <w:marTop w:val="0"/>
          <w:marBottom w:val="0"/>
          <w:divBdr>
            <w:top w:val="none" w:sz="0" w:space="0" w:color="auto"/>
            <w:left w:val="none" w:sz="0" w:space="0" w:color="auto"/>
            <w:bottom w:val="none" w:sz="0" w:space="0" w:color="auto"/>
            <w:right w:val="none" w:sz="0" w:space="0" w:color="auto"/>
          </w:divBdr>
        </w:div>
        <w:div w:id="417016987">
          <w:marLeft w:val="0"/>
          <w:marRight w:val="0"/>
          <w:marTop w:val="0"/>
          <w:marBottom w:val="0"/>
          <w:divBdr>
            <w:top w:val="none" w:sz="0" w:space="0" w:color="auto"/>
            <w:left w:val="none" w:sz="0" w:space="0" w:color="auto"/>
            <w:bottom w:val="none" w:sz="0" w:space="0" w:color="auto"/>
            <w:right w:val="none" w:sz="0" w:space="0" w:color="auto"/>
          </w:divBdr>
        </w:div>
        <w:div w:id="434248674">
          <w:marLeft w:val="0"/>
          <w:marRight w:val="0"/>
          <w:marTop w:val="0"/>
          <w:marBottom w:val="0"/>
          <w:divBdr>
            <w:top w:val="none" w:sz="0" w:space="0" w:color="auto"/>
            <w:left w:val="none" w:sz="0" w:space="0" w:color="auto"/>
            <w:bottom w:val="none" w:sz="0" w:space="0" w:color="auto"/>
            <w:right w:val="none" w:sz="0" w:space="0" w:color="auto"/>
          </w:divBdr>
          <w:divsChild>
            <w:div w:id="306134368">
              <w:marLeft w:val="0"/>
              <w:marRight w:val="0"/>
              <w:marTop w:val="0"/>
              <w:marBottom w:val="0"/>
              <w:divBdr>
                <w:top w:val="none" w:sz="0" w:space="0" w:color="auto"/>
                <w:left w:val="none" w:sz="0" w:space="0" w:color="auto"/>
                <w:bottom w:val="none" w:sz="0" w:space="0" w:color="auto"/>
                <w:right w:val="none" w:sz="0" w:space="0" w:color="auto"/>
              </w:divBdr>
            </w:div>
            <w:div w:id="378283388">
              <w:marLeft w:val="0"/>
              <w:marRight w:val="0"/>
              <w:marTop w:val="0"/>
              <w:marBottom w:val="0"/>
              <w:divBdr>
                <w:top w:val="none" w:sz="0" w:space="0" w:color="auto"/>
                <w:left w:val="none" w:sz="0" w:space="0" w:color="auto"/>
                <w:bottom w:val="none" w:sz="0" w:space="0" w:color="auto"/>
                <w:right w:val="none" w:sz="0" w:space="0" w:color="auto"/>
              </w:divBdr>
            </w:div>
            <w:div w:id="402993601">
              <w:marLeft w:val="0"/>
              <w:marRight w:val="0"/>
              <w:marTop w:val="0"/>
              <w:marBottom w:val="0"/>
              <w:divBdr>
                <w:top w:val="none" w:sz="0" w:space="0" w:color="auto"/>
                <w:left w:val="none" w:sz="0" w:space="0" w:color="auto"/>
                <w:bottom w:val="none" w:sz="0" w:space="0" w:color="auto"/>
                <w:right w:val="none" w:sz="0" w:space="0" w:color="auto"/>
              </w:divBdr>
            </w:div>
            <w:div w:id="484010455">
              <w:marLeft w:val="0"/>
              <w:marRight w:val="0"/>
              <w:marTop w:val="0"/>
              <w:marBottom w:val="0"/>
              <w:divBdr>
                <w:top w:val="none" w:sz="0" w:space="0" w:color="auto"/>
                <w:left w:val="none" w:sz="0" w:space="0" w:color="auto"/>
                <w:bottom w:val="none" w:sz="0" w:space="0" w:color="auto"/>
                <w:right w:val="none" w:sz="0" w:space="0" w:color="auto"/>
              </w:divBdr>
            </w:div>
            <w:div w:id="551774789">
              <w:marLeft w:val="0"/>
              <w:marRight w:val="0"/>
              <w:marTop w:val="0"/>
              <w:marBottom w:val="0"/>
              <w:divBdr>
                <w:top w:val="none" w:sz="0" w:space="0" w:color="auto"/>
                <w:left w:val="none" w:sz="0" w:space="0" w:color="auto"/>
                <w:bottom w:val="none" w:sz="0" w:space="0" w:color="auto"/>
                <w:right w:val="none" w:sz="0" w:space="0" w:color="auto"/>
              </w:divBdr>
            </w:div>
            <w:div w:id="582954137">
              <w:marLeft w:val="0"/>
              <w:marRight w:val="0"/>
              <w:marTop w:val="0"/>
              <w:marBottom w:val="0"/>
              <w:divBdr>
                <w:top w:val="none" w:sz="0" w:space="0" w:color="auto"/>
                <w:left w:val="none" w:sz="0" w:space="0" w:color="auto"/>
                <w:bottom w:val="none" w:sz="0" w:space="0" w:color="auto"/>
                <w:right w:val="none" w:sz="0" w:space="0" w:color="auto"/>
              </w:divBdr>
            </w:div>
            <w:div w:id="666514221">
              <w:marLeft w:val="0"/>
              <w:marRight w:val="0"/>
              <w:marTop w:val="0"/>
              <w:marBottom w:val="0"/>
              <w:divBdr>
                <w:top w:val="none" w:sz="0" w:space="0" w:color="auto"/>
                <w:left w:val="none" w:sz="0" w:space="0" w:color="auto"/>
                <w:bottom w:val="none" w:sz="0" w:space="0" w:color="auto"/>
                <w:right w:val="none" w:sz="0" w:space="0" w:color="auto"/>
              </w:divBdr>
            </w:div>
            <w:div w:id="678704753">
              <w:marLeft w:val="0"/>
              <w:marRight w:val="0"/>
              <w:marTop w:val="0"/>
              <w:marBottom w:val="0"/>
              <w:divBdr>
                <w:top w:val="none" w:sz="0" w:space="0" w:color="auto"/>
                <w:left w:val="none" w:sz="0" w:space="0" w:color="auto"/>
                <w:bottom w:val="none" w:sz="0" w:space="0" w:color="auto"/>
                <w:right w:val="none" w:sz="0" w:space="0" w:color="auto"/>
              </w:divBdr>
            </w:div>
            <w:div w:id="710418722">
              <w:marLeft w:val="0"/>
              <w:marRight w:val="0"/>
              <w:marTop w:val="0"/>
              <w:marBottom w:val="0"/>
              <w:divBdr>
                <w:top w:val="none" w:sz="0" w:space="0" w:color="auto"/>
                <w:left w:val="none" w:sz="0" w:space="0" w:color="auto"/>
                <w:bottom w:val="none" w:sz="0" w:space="0" w:color="auto"/>
                <w:right w:val="none" w:sz="0" w:space="0" w:color="auto"/>
              </w:divBdr>
            </w:div>
            <w:div w:id="923221746">
              <w:marLeft w:val="0"/>
              <w:marRight w:val="0"/>
              <w:marTop w:val="0"/>
              <w:marBottom w:val="0"/>
              <w:divBdr>
                <w:top w:val="none" w:sz="0" w:space="0" w:color="auto"/>
                <w:left w:val="none" w:sz="0" w:space="0" w:color="auto"/>
                <w:bottom w:val="none" w:sz="0" w:space="0" w:color="auto"/>
                <w:right w:val="none" w:sz="0" w:space="0" w:color="auto"/>
              </w:divBdr>
            </w:div>
            <w:div w:id="991832351">
              <w:marLeft w:val="0"/>
              <w:marRight w:val="0"/>
              <w:marTop w:val="0"/>
              <w:marBottom w:val="0"/>
              <w:divBdr>
                <w:top w:val="none" w:sz="0" w:space="0" w:color="auto"/>
                <w:left w:val="none" w:sz="0" w:space="0" w:color="auto"/>
                <w:bottom w:val="none" w:sz="0" w:space="0" w:color="auto"/>
                <w:right w:val="none" w:sz="0" w:space="0" w:color="auto"/>
              </w:divBdr>
            </w:div>
            <w:div w:id="1014190084">
              <w:marLeft w:val="0"/>
              <w:marRight w:val="0"/>
              <w:marTop w:val="0"/>
              <w:marBottom w:val="0"/>
              <w:divBdr>
                <w:top w:val="none" w:sz="0" w:space="0" w:color="auto"/>
                <w:left w:val="none" w:sz="0" w:space="0" w:color="auto"/>
                <w:bottom w:val="none" w:sz="0" w:space="0" w:color="auto"/>
                <w:right w:val="none" w:sz="0" w:space="0" w:color="auto"/>
              </w:divBdr>
            </w:div>
            <w:div w:id="1016691110">
              <w:marLeft w:val="0"/>
              <w:marRight w:val="0"/>
              <w:marTop w:val="0"/>
              <w:marBottom w:val="0"/>
              <w:divBdr>
                <w:top w:val="none" w:sz="0" w:space="0" w:color="auto"/>
                <w:left w:val="none" w:sz="0" w:space="0" w:color="auto"/>
                <w:bottom w:val="none" w:sz="0" w:space="0" w:color="auto"/>
                <w:right w:val="none" w:sz="0" w:space="0" w:color="auto"/>
              </w:divBdr>
            </w:div>
            <w:div w:id="1117262507">
              <w:marLeft w:val="0"/>
              <w:marRight w:val="0"/>
              <w:marTop w:val="0"/>
              <w:marBottom w:val="0"/>
              <w:divBdr>
                <w:top w:val="none" w:sz="0" w:space="0" w:color="auto"/>
                <w:left w:val="none" w:sz="0" w:space="0" w:color="auto"/>
                <w:bottom w:val="none" w:sz="0" w:space="0" w:color="auto"/>
                <w:right w:val="none" w:sz="0" w:space="0" w:color="auto"/>
              </w:divBdr>
            </w:div>
            <w:div w:id="1495293823">
              <w:marLeft w:val="0"/>
              <w:marRight w:val="0"/>
              <w:marTop w:val="0"/>
              <w:marBottom w:val="0"/>
              <w:divBdr>
                <w:top w:val="none" w:sz="0" w:space="0" w:color="auto"/>
                <w:left w:val="none" w:sz="0" w:space="0" w:color="auto"/>
                <w:bottom w:val="none" w:sz="0" w:space="0" w:color="auto"/>
                <w:right w:val="none" w:sz="0" w:space="0" w:color="auto"/>
              </w:divBdr>
            </w:div>
            <w:div w:id="1512526149">
              <w:marLeft w:val="0"/>
              <w:marRight w:val="0"/>
              <w:marTop w:val="0"/>
              <w:marBottom w:val="0"/>
              <w:divBdr>
                <w:top w:val="none" w:sz="0" w:space="0" w:color="auto"/>
                <w:left w:val="none" w:sz="0" w:space="0" w:color="auto"/>
                <w:bottom w:val="none" w:sz="0" w:space="0" w:color="auto"/>
                <w:right w:val="none" w:sz="0" w:space="0" w:color="auto"/>
              </w:divBdr>
            </w:div>
            <w:div w:id="1852407734">
              <w:marLeft w:val="0"/>
              <w:marRight w:val="0"/>
              <w:marTop w:val="0"/>
              <w:marBottom w:val="0"/>
              <w:divBdr>
                <w:top w:val="none" w:sz="0" w:space="0" w:color="auto"/>
                <w:left w:val="none" w:sz="0" w:space="0" w:color="auto"/>
                <w:bottom w:val="none" w:sz="0" w:space="0" w:color="auto"/>
                <w:right w:val="none" w:sz="0" w:space="0" w:color="auto"/>
              </w:divBdr>
            </w:div>
            <w:div w:id="1874149333">
              <w:marLeft w:val="0"/>
              <w:marRight w:val="0"/>
              <w:marTop w:val="0"/>
              <w:marBottom w:val="0"/>
              <w:divBdr>
                <w:top w:val="none" w:sz="0" w:space="0" w:color="auto"/>
                <w:left w:val="none" w:sz="0" w:space="0" w:color="auto"/>
                <w:bottom w:val="none" w:sz="0" w:space="0" w:color="auto"/>
                <w:right w:val="none" w:sz="0" w:space="0" w:color="auto"/>
              </w:divBdr>
            </w:div>
            <w:div w:id="1952977518">
              <w:marLeft w:val="0"/>
              <w:marRight w:val="0"/>
              <w:marTop w:val="0"/>
              <w:marBottom w:val="0"/>
              <w:divBdr>
                <w:top w:val="none" w:sz="0" w:space="0" w:color="auto"/>
                <w:left w:val="none" w:sz="0" w:space="0" w:color="auto"/>
                <w:bottom w:val="none" w:sz="0" w:space="0" w:color="auto"/>
                <w:right w:val="none" w:sz="0" w:space="0" w:color="auto"/>
              </w:divBdr>
            </w:div>
            <w:div w:id="2126534055">
              <w:marLeft w:val="0"/>
              <w:marRight w:val="0"/>
              <w:marTop w:val="0"/>
              <w:marBottom w:val="0"/>
              <w:divBdr>
                <w:top w:val="none" w:sz="0" w:space="0" w:color="auto"/>
                <w:left w:val="none" w:sz="0" w:space="0" w:color="auto"/>
                <w:bottom w:val="none" w:sz="0" w:space="0" w:color="auto"/>
                <w:right w:val="none" w:sz="0" w:space="0" w:color="auto"/>
              </w:divBdr>
            </w:div>
          </w:divsChild>
        </w:div>
        <w:div w:id="685179315">
          <w:marLeft w:val="0"/>
          <w:marRight w:val="0"/>
          <w:marTop w:val="0"/>
          <w:marBottom w:val="0"/>
          <w:divBdr>
            <w:top w:val="none" w:sz="0" w:space="0" w:color="auto"/>
            <w:left w:val="none" w:sz="0" w:space="0" w:color="auto"/>
            <w:bottom w:val="none" w:sz="0" w:space="0" w:color="auto"/>
            <w:right w:val="none" w:sz="0" w:space="0" w:color="auto"/>
          </w:divBdr>
        </w:div>
        <w:div w:id="760179560">
          <w:marLeft w:val="0"/>
          <w:marRight w:val="0"/>
          <w:marTop w:val="0"/>
          <w:marBottom w:val="0"/>
          <w:divBdr>
            <w:top w:val="none" w:sz="0" w:space="0" w:color="auto"/>
            <w:left w:val="none" w:sz="0" w:space="0" w:color="auto"/>
            <w:bottom w:val="none" w:sz="0" w:space="0" w:color="auto"/>
            <w:right w:val="none" w:sz="0" w:space="0" w:color="auto"/>
          </w:divBdr>
        </w:div>
        <w:div w:id="828135222">
          <w:marLeft w:val="0"/>
          <w:marRight w:val="0"/>
          <w:marTop w:val="0"/>
          <w:marBottom w:val="0"/>
          <w:divBdr>
            <w:top w:val="none" w:sz="0" w:space="0" w:color="auto"/>
            <w:left w:val="none" w:sz="0" w:space="0" w:color="auto"/>
            <w:bottom w:val="none" w:sz="0" w:space="0" w:color="auto"/>
            <w:right w:val="none" w:sz="0" w:space="0" w:color="auto"/>
          </w:divBdr>
        </w:div>
        <w:div w:id="845442580">
          <w:marLeft w:val="0"/>
          <w:marRight w:val="0"/>
          <w:marTop w:val="0"/>
          <w:marBottom w:val="0"/>
          <w:divBdr>
            <w:top w:val="none" w:sz="0" w:space="0" w:color="auto"/>
            <w:left w:val="none" w:sz="0" w:space="0" w:color="auto"/>
            <w:bottom w:val="none" w:sz="0" w:space="0" w:color="auto"/>
            <w:right w:val="none" w:sz="0" w:space="0" w:color="auto"/>
          </w:divBdr>
        </w:div>
        <w:div w:id="851915370">
          <w:marLeft w:val="0"/>
          <w:marRight w:val="0"/>
          <w:marTop w:val="0"/>
          <w:marBottom w:val="0"/>
          <w:divBdr>
            <w:top w:val="none" w:sz="0" w:space="0" w:color="auto"/>
            <w:left w:val="none" w:sz="0" w:space="0" w:color="auto"/>
            <w:bottom w:val="none" w:sz="0" w:space="0" w:color="auto"/>
            <w:right w:val="none" w:sz="0" w:space="0" w:color="auto"/>
          </w:divBdr>
        </w:div>
        <w:div w:id="860358297">
          <w:marLeft w:val="0"/>
          <w:marRight w:val="0"/>
          <w:marTop w:val="0"/>
          <w:marBottom w:val="0"/>
          <w:divBdr>
            <w:top w:val="none" w:sz="0" w:space="0" w:color="auto"/>
            <w:left w:val="none" w:sz="0" w:space="0" w:color="auto"/>
            <w:bottom w:val="none" w:sz="0" w:space="0" w:color="auto"/>
            <w:right w:val="none" w:sz="0" w:space="0" w:color="auto"/>
          </w:divBdr>
        </w:div>
        <w:div w:id="958532756">
          <w:marLeft w:val="0"/>
          <w:marRight w:val="0"/>
          <w:marTop w:val="0"/>
          <w:marBottom w:val="0"/>
          <w:divBdr>
            <w:top w:val="none" w:sz="0" w:space="0" w:color="auto"/>
            <w:left w:val="none" w:sz="0" w:space="0" w:color="auto"/>
            <w:bottom w:val="none" w:sz="0" w:space="0" w:color="auto"/>
            <w:right w:val="none" w:sz="0" w:space="0" w:color="auto"/>
          </w:divBdr>
        </w:div>
        <w:div w:id="961351553">
          <w:marLeft w:val="0"/>
          <w:marRight w:val="0"/>
          <w:marTop w:val="0"/>
          <w:marBottom w:val="0"/>
          <w:divBdr>
            <w:top w:val="none" w:sz="0" w:space="0" w:color="auto"/>
            <w:left w:val="none" w:sz="0" w:space="0" w:color="auto"/>
            <w:bottom w:val="none" w:sz="0" w:space="0" w:color="auto"/>
            <w:right w:val="none" w:sz="0" w:space="0" w:color="auto"/>
          </w:divBdr>
        </w:div>
        <w:div w:id="963269199">
          <w:marLeft w:val="0"/>
          <w:marRight w:val="0"/>
          <w:marTop w:val="0"/>
          <w:marBottom w:val="0"/>
          <w:divBdr>
            <w:top w:val="none" w:sz="0" w:space="0" w:color="auto"/>
            <w:left w:val="none" w:sz="0" w:space="0" w:color="auto"/>
            <w:bottom w:val="none" w:sz="0" w:space="0" w:color="auto"/>
            <w:right w:val="none" w:sz="0" w:space="0" w:color="auto"/>
          </w:divBdr>
        </w:div>
        <w:div w:id="975795373">
          <w:marLeft w:val="0"/>
          <w:marRight w:val="0"/>
          <w:marTop w:val="0"/>
          <w:marBottom w:val="0"/>
          <w:divBdr>
            <w:top w:val="none" w:sz="0" w:space="0" w:color="auto"/>
            <w:left w:val="none" w:sz="0" w:space="0" w:color="auto"/>
            <w:bottom w:val="none" w:sz="0" w:space="0" w:color="auto"/>
            <w:right w:val="none" w:sz="0" w:space="0" w:color="auto"/>
          </w:divBdr>
        </w:div>
        <w:div w:id="1046294970">
          <w:marLeft w:val="0"/>
          <w:marRight w:val="0"/>
          <w:marTop w:val="0"/>
          <w:marBottom w:val="0"/>
          <w:divBdr>
            <w:top w:val="none" w:sz="0" w:space="0" w:color="auto"/>
            <w:left w:val="none" w:sz="0" w:space="0" w:color="auto"/>
            <w:bottom w:val="none" w:sz="0" w:space="0" w:color="auto"/>
            <w:right w:val="none" w:sz="0" w:space="0" w:color="auto"/>
          </w:divBdr>
        </w:div>
        <w:div w:id="1084230814">
          <w:marLeft w:val="0"/>
          <w:marRight w:val="0"/>
          <w:marTop w:val="0"/>
          <w:marBottom w:val="0"/>
          <w:divBdr>
            <w:top w:val="none" w:sz="0" w:space="0" w:color="auto"/>
            <w:left w:val="none" w:sz="0" w:space="0" w:color="auto"/>
            <w:bottom w:val="none" w:sz="0" w:space="0" w:color="auto"/>
            <w:right w:val="none" w:sz="0" w:space="0" w:color="auto"/>
          </w:divBdr>
        </w:div>
        <w:div w:id="1091778150">
          <w:marLeft w:val="0"/>
          <w:marRight w:val="0"/>
          <w:marTop w:val="0"/>
          <w:marBottom w:val="0"/>
          <w:divBdr>
            <w:top w:val="none" w:sz="0" w:space="0" w:color="auto"/>
            <w:left w:val="none" w:sz="0" w:space="0" w:color="auto"/>
            <w:bottom w:val="none" w:sz="0" w:space="0" w:color="auto"/>
            <w:right w:val="none" w:sz="0" w:space="0" w:color="auto"/>
          </w:divBdr>
        </w:div>
        <w:div w:id="1111364709">
          <w:marLeft w:val="0"/>
          <w:marRight w:val="0"/>
          <w:marTop w:val="0"/>
          <w:marBottom w:val="0"/>
          <w:divBdr>
            <w:top w:val="none" w:sz="0" w:space="0" w:color="auto"/>
            <w:left w:val="none" w:sz="0" w:space="0" w:color="auto"/>
            <w:bottom w:val="none" w:sz="0" w:space="0" w:color="auto"/>
            <w:right w:val="none" w:sz="0" w:space="0" w:color="auto"/>
          </w:divBdr>
          <w:divsChild>
            <w:div w:id="250744061">
              <w:marLeft w:val="0"/>
              <w:marRight w:val="0"/>
              <w:marTop w:val="0"/>
              <w:marBottom w:val="0"/>
              <w:divBdr>
                <w:top w:val="none" w:sz="0" w:space="0" w:color="auto"/>
                <w:left w:val="none" w:sz="0" w:space="0" w:color="auto"/>
                <w:bottom w:val="none" w:sz="0" w:space="0" w:color="auto"/>
                <w:right w:val="none" w:sz="0" w:space="0" w:color="auto"/>
              </w:divBdr>
            </w:div>
            <w:div w:id="343826276">
              <w:marLeft w:val="0"/>
              <w:marRight w:val="0"/>
              <w:marTop w:val="0"/>
              <w:marBottom w:val="0"/>
              <w:divBdr>
                <w:top w:val="none" w:sz="0" w:space="0" w:color="auto"/>
                <w:left w:val="none" w:sz="0" w:space="0" w:color="auto"/>
                <w:bottom w:val="none" w:sz="0" w:space="0" w:color="auto"/>
                <w:right w:val="none" w:sz="0" w:space="0" w:color="auto"/>
              </w:divBdr>
            </w:div>
            <w:div w:id="459417991">
              <w:marLeft w:val="0"/>
              <w:marRight w:val="0"/>
              <w:marTop w:val="0"/>
              <w:marBottom w:val="0"/>
              <w:divBdr>
                <w:top w:val="none" w:sz="0" w:space="0" w:color="auto"/>
                <w:left w:val="none" w:sz="0" w:space="0" w:color="auto"/>
                <w:bottom w:val="none" w:sz="0" w:space="0" w:color="auto"/>
                <w:right w:val="none" w:sz="0" w:space="0" w:color="auto"/>
              </w:divBdr>
            </w:div>
            <w:div w:id="464615600">
              <w:marLeft w:val="0"/>
              <w:marRight w:val="0"/>
              <w:marTop w:val="0"/>
              <w:marBottom w:val="0"/>
              <w:divBdr>
                <w:top w:val="none" w:sz="0" w:space="0" w:color="auto"/>
                <w:left w:val="none" w:sz="0" w:space="0" w:color="auto"/>
                <w:bottom w:val="none" w:sz="0" w:space="0" w:color="auto"/>
                <w:right w:val="none" w:sz="0" w:space="0" w:color="auto"/>
              </w:divBdr>
            </w:div>
            <w:div w:id="664211788">
              <w:marLeft w:val="0"/>
              <w:marRight w:val="0"/>
              <w:marTop w:val="0"/>
              <w:marBottom w:val="0"/>
              <w:divBdr>
                <w:top w:val="none" w:sz="0" w:space="0" w:color="auto"/>
                <w:left w:val="none" w:sz="0" w:space="0" w:color="auto"/>
                <w:bottom w:val="none" w:sz="0" w:space="0" w:color="auto"/>
                <w:right w:val="none" w:sz="0" w:space="0" w:color="auto"/>
              </w:divBdr>
            </w:div>
            <w:div w:id="738013515">
              <w:marLeft w:val="0"/>
              <w:marRight w:val="0"/>
              <w:marTop w:val="0"/>
              <w:marBottom w:val="0"/>
              <w:divBdr>
                <w:top w:val="none" w:sz="0" w:space="0" w:color="auto"/>
                <w:left w:val="none" w:sz="0" w:space="0" w:color="auto"/>
                <w:bottom w:val="none" w:sz="0" w:space="0" w:color="auto"/>
                <w:right w:val="none" w:sz="0" w:space="0" w:color="auto"/>
              </w:divBdr>
            </w:div>
            <w:div w:id="741831968">
              <w:marLeft w:val="0"/>
              <w:marRight w:val="0"/>
              <w:marTop w:val="0"/>
              <w:marBottom w:val="0"/>
              <w:divBdr>
                <w:top w:val="none" w:sz="0" w:space="0" w:color="auto"/>
                <w:left w:val="none" w:sz="0" w:space="0" w:color="auto"/>
                <w:bottom w:val="none" w:sz="0" w:space="0" w:color="auto"/>
                <w:right w:val="none" w:sz="0" w:space="0" w:color="auto"/>
              </w:divBdr>
            </w:div>
            <w:div w:id="774982213">
              <w:marLeft w:val="0"/>
              <w:marRight w:val="0"/>
              <w:marTop w:val="0"/>
              <w:marBottom w:val="0"/>
              <w:divBdr>
                <w:top w:val="none" w:sz="0" w:space="0" w:color="auto"/>
                <w:left w:val="none" w:sz="0" w:space="0" w:color="auto"/>
                <w:bottom w:val="none" w:sz="0" w:space="0" w:color="auto"/>
                <w:right w:val="none" w:sz="0" w:space="0" w:color="auto"/>
              </w:divBdr>
            </w:div>
            <w:div w:id="864908005">
              <w:marLeft w:val="0"/>
              <w:marRight w:val="0"/>
              <w:marTop w:val="0"/>
              <w:marBottom w:val="0"/>
              <w:divBdr>
                <w:top w:val="none" w:sz="0" w:space="0" w:color="auto"/>
                <w:left w:val="none" w:sz="0" w:space="0" w:color="auto"/>
                <w:bottom w:val="none" w:sz="0" w:space="0" w:color="auto"/>
                <w:right w:val="none" w:sz="0" w:space="0" w:color="auto"/>
              </w:divBdr>
            </w:div>
            <w:div w:id="871694988">
              <w:marLeft w:val="0"/>
              <w:marRight w:val="0"/>
              <w:marTop w:val="0"/>
              <w:marBottom w:val="0"/>
              <w:divBdr>
                <w:top w:val="none" w:sz="0" w:space="0" w:color="auto"/>
                <w:left w:val="none" w:sz="0" w:space="0" w:color="auto"/>
                <w:bottom w:val="none" w:sz="0" w:space="0" w:color="auto"/>
                <w:right w:val="none" w:sz="0" w:space="0" w:color="auto"/>
              </w:divBdr>
            </w:div>
            <w:div w:id="1266620003">
              <w:marLeft w:val="0"/>
              <w:marRight w:val="0"/>
              <w:marTop w:val="0"/>
              <w:marBottom w:val="0"/>
              <w:divBdr>
                <w:top w:val="none" w:sz="0" w:space="0" w:color="auto"/>
                <w:left w:val="none" w:sz="0" w:space="0" w:color="auto"/>
                <w:bottom w:val="none" w:sz="0" w:space="0" w:color="auto"/>
                <w:right w:val="none" w:sz="0" w:space="0" w:color="auto"/>
              </w:divBdr>
            </w:div>
            <w:div w:id="1330132995">
              <w:marLeft w:val="0"/>
              <w:marRight w:val="0"/>
              <w:marTop w:val="0"/>
              <w:marBottom w:val="0"/>
              <w:divBdr>
                <w:top w:val="none" w:sz="0" w:space="0" w:color="auto"/>
                <w:left w:val="none" w:sz="0" w:space="0" w:color="auto"/>
                <w:bottom w:val="none" w:sz="0" w:space="0" w:color="auto"/>
                <w:right w:val="none" w:sz="0" w:space="0" w:color="auto"/>
              </w:divBdr>
            </w:div>
            <w:div w:id="1483501196">
              <w:marLeft w:val="0"/>
              <w:marRight w:val="0"/>
              <w:marTop w:val="0"/>
              <w:marBottom w:val="0"/>
              <w:divBdr>
                <w:top w:val="none" w:sz="0" w:space="0" w:color="auto"/>
                <w:left w:val="none" w:sz="0" w:space="0" w:color="auto"/>
                <w:bottom w:val="none" w:sz="0" w:space="0" w:color="auto"/>
                <w:right w:val="none" w:sz="0" w:space="0" w:color="auto"/>
              </w:divBdr>
            </w:div>
            <w:div w:id="1530794341">
              <w:marLeft w:val="0"/>
              <w:marRight w:val="0"/>
              <w:marTop w:val="0"/>
              <w:marBottom w:val="0"/>
              <w:divBdr>
                <w:top w:val="none" w:sz="0" w:space="0" w:color="auto"/>
                <w:left w:val="none" w:sz="0" w:space="0" w:color="auto"/>
                <w:bottom w:val="none" w:sz="0" w:space="0" w:color="auto"/>
                <w:right w:val="none" w:sz="0" w:space="0" w:color="auto"/>
              </w:divBdr>
            </w:div>
            <w:div w:id="1573199503">
              <w:marLeft w:val="0"/>
              <w:marRight w:val="0"/>
              <w:marTop w:val="0"/>
              <w:marBottom w:val="0"/>
              <w:divBdr>
                <w:top w:val="none" w:sz="0" w:space="0" w:color="auto"/>
                <w:left w:val="none" w:sz="0" w:space="0" w:color="auto"/>
                <w:bottom w:val="none" w:sz="0" w:space="0" w:color="auto"/>
                <w:right w:val="none" w:sz="0" w:space="0" w:color="auto"/>
              </w:divBdr>
            </w:div>
            <w:div w:id="1613170593">
              <w:marLeft w:val="0"/>
              <w:marRight w:val="0"/>
              <w:marTop w:val="0"/>
              <w:marBottom w:val="0"/>
              <w:divBdr>
                <w:top w:val="none" w:sz="0" w:space="0" w:color="auto"/>
                <w:left w:val="none" w:sz="0" w:space="0" w:color="auto"/>
                <w:bottom w:val="none" w:sz="0" w:space="0" w:color="auto"/>
                <w:right w:val="none" w:sz="0" w:space="0" w:color="auto"/>
              </w:divBdr>
            </w:div>
            <w:div w:id="1668556277">
              <w:marLeft w:val="0"/>
              <w:marRight w:val="0"/>
              <w:marTop w:val="0"/>
              <w:marBottom w:val="0"/>
              <w:divBdr>
                <w:top w:val="none" w:sz="0" w:space="0" w:color="auto"/>
                <w:left w:val="none" w:sz="0" w:space="0" w:color="auto"/>
                <w:bottom w:val="none" w:sz="0" w:space="0" w:color="auto"/>
                <w:right w:val="none" w:sz="0" w:space="0" w:color="auto"/>
              </w:divBdr>
            </w:div>
            <w:div w:id="1683899407">
              <w:marLeft w:val="0"/>
              <w:marRight w:val="0"/>
              <w:marTop w:val="0"/>
              <w:marBottom w:val="0"/>
              <w:divBdr>
                <w:top w:val="none" w:sz="0" w:space="0" w:color="auto"/>
                <w:left w:val="none" w:sz="0" w:space="0" w:color="auto"/>
                <w:bottom w:val="none" w:sz="0" w:space="0" w:color="auto"/>
                <w:right w:val="none" w:sz="0" w:space="0" w:color="auto"/>
              </w:divBdr>
            </w:div>
            <w:div w:id="1807626117">
              <w:marLeft w:val="0"/>
              <w:marRight w:val="0"/>
              <w:marTop w:val="0"/>
              <w:marBottom w:val="0"/>
              <w:divBdr>
                <w:top w:val="none" w:sz="0" w:space="0" w:color="auto"/>
                <w:left w:val="none" w:sz="0" w:space="0" w:color="auto"/>
                <w:bottom w:val="none" w:sz="0" w:space="0" w:color="auto"/>
                <w:right w:val="none" w:sz="0" w:space="0" w:color="auto"/>
              </w:divBdr>
            </w:div>
            <w:div w:id="2030599829">
              <w:marLeft w:val="0"/>
              <w:marRight w:val="0"/>
              <w:marTop w:val="0"/>
              <w:marBottom w:val="0"/>
              <w:divBdr>
                <w:top w:val="none" w:sz="0" w:space="0" w:color="auto"/>
                <w:left w:val="none" w:sz="0" w:space="0" w:color="auto"/>
                <w:bottom w:val="none" w:sz="0" w:space="0" w:color="auto"/>
                <w:right w:val="none" w:sz="0" w:space="0" w:color="auto"/>
              </w:divBdr>
            </w:div>
          </w:divsChild>
        </w:div>
        <w:div w:id="1188250765">
          <w:marLeft w:val="0"/>
          <w:marRight w:val="0"/>
          <w:marTop w:val="0"/>
          <w:marBottom w:val="0"/>
          <w:divBdr>
            <w:top w:val="none" w:sz="0" w:space="0" w:color="auto"/>
            <w:left w:val="none" w:sz="0" w:space="0" w:color="auto"/>
            <w:bottom w:val="none" w:sz="0" w:space="0" w:color="auto"/>
            <w:right w:val="none" w:sz="0" w:space="0" w:color="auto"/>
          </w:divBdr>
        </w:div>
        <w:div w:id="1234121323">
          <w:marLeft w:val="0"/>
          <w:marRight w:val="0"/>
          <w:marTop w:val="0"/>
          <w:marBottom w:val="0"/>
          <w:divBdr>
            <w:top w:val="none" w:sz="0" w:space="0" w:color="auto"/>
            <w:left w:val="none" w:sz="0" w:space="0" w:color="auto"/>
            <w:bottom w:val="none" w:sz="0" w:space="0" w:color="auto"/>
            <w:right w:val="none" w:sz="0" w:space="0" w:color="auto"/>
          </w:divBdr>
          <w:divsChild>
            <w:div w:id="659892692">
              <w:marLeft w:val="-75"/>
              <w:marRight w:val="0"/>
              <w:marTop w:val="30"/>
              <w:marBottom w:val="30"/>
              <w:divBdr>
                <w:top w:val="none" w:sz="0" w:space="0" w:color="auto"/>
                <w:left w:val="none" w:sz="0" w:space="0" w:color="auto"/>
                <w:bottom w:val="none" w:sz="0" w:space="0" w:color="auto"/>
                <w:right w:val="none" w:sz="0" w:space="0" w:color="auto"/>
              </w:divBdr>
              <w:divsChild>
                <w:div w:id="94177238">
                  <w:marLeft w:val="0"/>
                  <w:marRight w:val="0"/>
                  <w:marTop w:val="0"/>
                  <w:marBottom w:val="0"/>
                  <w:divBdr>
                    <w:top w:val="none" w:sz="0" w:space="0" w:color="auto"/>
                    <w:left w:val="none" w:sz="0" w:space="0" w:color="auto"/>
                    <w:bottom w:val="none" w:sz="0" w:space="0" w:color="auto"/>
                    <w:right w:val="none" w:sz="0" w:space="0" w:color="auto"/>
                  </w:divBdr>
                  <w:divsChild>
                    <w:div w:id="635992066">
                      <w:marLeft w:val="0"/>
                      <w:marRight w:val="0"/>
                      <w:marTop w:val="0"/>
                      <w:marBottom w:val="0"/>
                      <w:divBdr>
                        <w:top w:val="none" w:sz="0" w:space="0" w:color="auto"/>
                        <w:left w:val="none" w:sz="0" w:space="0" w:color="auto"/>
                        <w:bottom w:val="none" w:sz="0" w:space="0" w:color="auto"/>
                        <w:right w:val="none" w:sz="0" w:space="0" w:color="auto"/>
                      </w:divBdr>
                    </w:div>
                  </w:divsChild>
                </w:div>
                <w:div w:id="104351804">
                  <w:marLeft w:val="0"/>
                  <w:marRight w:val="0"/>
                  <w:marTop w:val="0"/>
                  <w:marBottom w:val="0"/>
                  <w:divBdr>
                    <w:top w:val="none" w:sz="0" w:space="0" w:color="auto"/>
                    <w:left w:val="none" w:sz="0" w:space="0" w:color="auto"/>
                    <w:bottom w:val="none" w:sz="0" w:space="0" w:color="auto"/>
                    <w:right w:val="none" w:sz="0" w:space="0" w:color="auto"/>
                  </w:divBdr>
                  <w:divsChild>
                    <w:div w:id="354156911">
                      <w:marLeft w:val="0"/>
                      <w:marRight w:val="0"/>
                      <w:marTop w:val="0"/>
                      <w:marBottom w:val="0"/>
                      <w:divBdr>
                        <w:top w:val="none" w:sz="0" w:space="0" w:color="auto"/>
                        <w:left w:val="none" w:sz="0" w:space="0" w:color="auto"/>
                        <w:bottom w:val="none" w:sz="0" w:space="0" w:color="auto"/>
                        <w:right w:val="none" w:sz="0" w:space="0" w:color="auto"/>
                      </w:divBdr>
                    </w:div>
                  </w:divsChild>
                </w:div>
                <w:div w:id="117259694">
                  <w:marLeft w:val="0"/>
                  <w:marRight w:val="0"/>
                  <w:marTop w:val="0"/>
                  <w:marBottom w:val="0"/>
                  <w:divBdr>
                    <w:top w:val="none" w:sz="0" w:space="0" w:color="auto"/>
                    <w:left w:val="none" w:sz="0" w:space="0" w:color="auto"/>
                    <w:bottom w:val="none" w:sz="0" w:space="0" w:color="auto"/>
                    <w:right w:val="none" w:sz="0" w:space="0" w:color="auto"/>
                  </w:divBdr>
                  <w:divsChild>
                    <w:div w:id="1420252092">
                      <w:marLeft w:val="0"/>
                      <w:marRight w:val="0"/>
                      <w:marTop w:val="0"/>
                      <w:marBottom w:val="0"/>
                      <w:divBdr>
                        <w:top w:val="none" w:sz="0" w:space="0" w:color="auto"/>
                        <w:left w:val="none" w:sz="0" w:space="0" w:color="auto"/>
                        <w:bottom w:val="none" w:sz="0" w:space="0" w:color="auto"/>
                        <w:right w:val="none" w:sz="0" w:space="0" w:color="auto"/>
                      </w:divBdr>
                    </w:div>
                  </w:divsChild>
                </w:div>
                <w:div w:id="189729284">
                  <w:marLeft w:val="0"/>
                  <w:marRight w:val="0"/>
                  <w:marTop w:val="0"/>
                  <w:marBottom w:val="0"/>
                  <w:divBdr>
                    <w:top w:val="none" w:sz="0" w:space="0" w:color="auto"/>
                    <w:left w:val="none" w:sz="0" w:space="0" w:color="auto"/>
                    <w:bottom w:val="none" w:sz="0" w:space="0" w:color="auto"/>
                    <w:right w:val="none" w:sz="0" w:space="0" w:color="auto"/>
                  </w:divBdr>
                  <w:divsChild>
                    <w:div w:id="1879779411">
                      <w:marLeft w:val="0"/>
                      <w:marRight w:val="0"/>
                      <w:marTop w:val="0"/>
                      <w:marBottom w:val="0"/>
                      <w:divBdr>
                        <w:top w:val="none" w:sz="0" w:space="0" w:color="auto"/>
                        <w:left w:val="none" w:sz="0" w:space="0" w:color="auto"/>
                        <w:bottom w:val="none" w:sz="0" w:space="0" w:color="auto"/>
                        <w:right w:val="none" w:sz="0" w:space="0" w:color="auto"/>
                      </w:divBdr>
                    </w:div>
                  </w:divsChild>
                </w:div>
                <w:div w:id="224610206">
                  <w:marLeft w:val="0"/>
                  <w:marRight w:val="0"/>
                  <w:marTop w:val="0"/>
                  <w:marBottom w:val="0"/>
                  <w:divBdr>
                    <w:top w:val="none" w:sz="0" w:space="0" w:color="auto"/>
                    <w:left w:val="none" w:sz="0" w:space="0" w:color="auto"/>
                    <w:bottom w:val="none" w:sz="0" w:space="0" w:color="auto"/>
                    <w:right w:val="none" w:sz="0" w:space="0" w:color="auto"/>
                  </w:divBdr>
                  <w:divsChild>
                    <w:div w:id="353043670">
                      <w:marLeft w:val="0"/>
                      <w:marRight w:val="0"/>
                      <w:marTop w:val="0"/>
                      <w:marBottom w:val="0"/>
                      <w:divBdr>
                        <w:top w:val="none" w:sz="0" w:space="0" w:color="auto"/>
                        <w:left w:val="none" w:sz="0" w:space="0" w:color="auto"/>
                        <w:bottom w:val="none" w:sz="0" w:space="0" w:color="auto"/>
                        <w:right w:val="none" w:sz="0" w:space="0" w:color="auto"/>
                      </w:divBdr>
                    </w:div>
                  </w:divsChild>
                </w:div>
                <w:div w:id="226034359">
                  <w:marLeft w:val="0"/>
                  <w:marRight w:val="0"/>
                  <w:marTop w:val="0"/>
                  <w:marBottom w:val="0"/>
                  <w:divBdr>
                    <w:top w:val="none" w:sz="0" w:space="0" w:color="auto"/>
                    <w:left w:val="none" w:sz="0" w:space="0" w:color="auto"/>
                    <w:bottom w:val="none" w:sz="0" w:space="0" w:color="auto"/>
                    <w:right w:val="none" w:sz="0" w:space="0" w:color="auto"/>
                  </w:divBdr>
                  <w:divsChild>
                    <w:div w:id="1391617618">
                      <w:marLeft w:val="0"/>
                      <w:marRight w:val="0"/>
                      <w:marTop w:val="0"/>
                      <w:marBottom w:val="0"/>
                      <w:divBdr>
                        <w:top w:val="none" w:sz="0" w:space="0" w:color="auto"/>
                        <w:left w:val="none" w:sz="0" w:space="0" w:color="auto"/>
                        <w:bottom w:val="none" w:sz="0" w:space="0" w:color="auto"/>
                        <w:right w:val="none" w:sz="0" w:space="0" w:color="auto"/>
                      </w:divBdr>
                    </w:div>
                  </w:divsChild>
                </w:div>
                <w:div w:id="227425495">
                  <w:marLeft w:val="0"/>
                  <w:marRight w:val="0"/>
                  <w:marTop w:val="0"/>
                  <w:marBottom w:val="0"/>
                  <w:divBdr>
                    <w:top w:val="none" w:sz="0" w:space="0" w:color="auto"/>
                    <w:left w:val="none" w:sz="0" w:space="0" w:color="auto"/>
                    <w:bottom w:val="none" w:sz="0" w:space="0" w:color="auto"/>
                    <w:right w:val="none" w:sz="0" w:space="0" w:color="auto"/>
                  </w:divBdr>
                  <w:divsChild>
                    <w:div w:id="1857882927">
                      <w:marLeft w:val="0"/>
                      <w:marRight w:val="0"/>
                      <w:marTop w:val="0"/>
                      <w:marBottom w:val="0"/>
                      <w:divBdr>
                        <w:top w:val="none" w:sz="0" w:space="0" w:color="auto"/>
                        <w:left w:val="none" w:sz="0" w:space="0" w:color="auto"/>
                        <w:bottom w:val="none" w:sz="0" w:space="0" w:color="auto"/>
                        <w:right w:val="none" w:sz="0" w:space="0" w:color="auto"/>
                      </w:divBdr>
                    </w:div>
                  </w:divsChild>
                </w:div>
                <w:div w:id="295138816">
                  <w:marLeft w:val="0"/>
                  <w:marRight w:val="0"/>
                  <w:marTop w:val="0"/>
                  <w:marBottom w:val="0"/>
                  <w:divBdr>
                    <w:top w:val="none" w:sz="0" w:space="0" w:color="auto"/>
                    <w:left w:val="none" w:sz="0" w:space="0" w:color="auto"/>
                    <w:bottom w:val="none" w:sz="0" w:space="0" w:color="auto"/>
                    <w:right w:val="none" w:sz="0" w:space="0" w:color="auto"/>
                  </w:divBdr>
                  <w:divsChild>
                    <w:div w:id="778180443">
                      <w:marLeft w:val="0"/>
                      <w:marRight w:val="0"/>
                      <w:marTop w:val="0"/>
                      <w:marBottom w:val="0"/>
                      <w:divBdr>
                        <w:top w:val="none" w:sz="0" w:space="0" w:color="auto"/>
                        <w:left w:val="none" w:sz="0" w:space="0" w:color="auto"/>
                        <w:bottom w:val="none" w:sz="0" w:space="0" w:color="auto"/>
                        <w:right w:val="none" w:sz="0" w:space="0" w:color="auto"/>
                      </w:divBdr>
                    </w:div>
                  </w:divsChild>
                </w:div>
                <w:div w:id="568660729">
                  <w:marLeft w:val="0"/>
                  <w:marRight w:val="0"/>
                  <w:marTop w:val="0"/>
                  <w:marBottom w:val="0"/>
                  <w:divBdr>
                    <w:top w:val="none" w:sz="0" w:space="0" w:color="auto"/>
                    <w:left w:val="none" w:sz="0" w:space="0" w:color="auto"/>
                    <w:bottom w:val="none" w:sz="0" w:space="0" w:color="auto"/>
                    <w:right w:val="none" w:sz="0" w:space="0" w:color="auto"/>
                  </w:divBdr>
                  <w:divsChild>
                    <w:div w:id="1275287759">
                      <w:marLeft w:val="0"/>
                      <w:marRight w:val="0"/>
                      <w:marTop w:val="0"/>
                      <w:marBottom w:val="0"/>
                      <w:divBdr>
                        <w:top w:val="none" w:sz="0" w:space="0" w:color="auto"/>
                        <w:left w:val="none" w:sz="0" w:space="0" w:color="auto"/>
                        <w:bottom w:val="none" w:sz="0" w:space="0" w:color="auto"/>
                        <w:right w:val="none" w:sz="0" w:space="0" w:color="auto"/>
                      </w:divBdr>
                    </w:div>
                  </w:divsChild>
                </w:div>
                <w:div w:id="585961377">
                  <w:marLeft w:val="0"/>
                  <w:marRight w:val="0"/>
                  <w:marTop w:val="0"/>
                  <w:marBottom w:val="0"/>
                  <w:divBdr>
                    <w:top w:val="none" w:sz="0" w:space="0" w:color="auto"/>
                    <w:left w:val="none" w:sz="0" w:space="0" w:color="auto"/>
                    <w:bottom w:val="none" w:sz="0" w:space="0" w:color="auto"/>
                    <w:right w:val="none" w:sz="0" w:space="0" w:color="auto"/>
                  </w:divBdr>
                  <w:divsChild>
                    <w:div w:id="480779814">
                      <w:marLeft w:val="0"/>
                      <w:marRight w:val="0"/>
                      <w:marTop w:val="0"/>
                      <w:marBottom w:val="0"/>
                      <w:divBdr>
                        <w:top w:val="none" w:sz="0" w:space="0" w:color="auto"/>
                        <w:left w:val="none" w:sz="0" w:space="0" w:color="auto"/>
                        <w:bottom w:val="none" w:sz="0" w:space="0" w:color="auto"/>
                        <w:right w:val="none" w:sz="0" w:space="0" w:color="auto"/>
                      </w:divBdr>
                    </w:div>
                  </w:divsChild>
                </w:div>
                <w:div w:id="657736153">
                  <w:marLeft w:val="0"/>
                  <w:marRight w:val="0"/>
                  <w:marTop w:val="0"/>
                  <w:marBottom w:val="0"/>
                  <w:divBdr>
                    <w:top w:val="none" w:sz="0" w:space="0" w:color="auto"/>
                    <w:left w:val="none" w:sz="0" w:space="0" w:color="auto"/>
                    <w:bottom w:val="none" w:sz="0" w:space="0" w:color="auto"/>
                    <w:right w:val="none" w:sz="0" w:space="0" w:color="auto"/>
                  </w:divBdr>
                  <w:divsChild>
                    <w:div w:id="396439329">
                      <w:marLeft w:val="0"/>
                      <w:marRight w:val="0"/>
                      <w:marTop w:val="0"/>
                      <w:marBottom w:val="0"/>
                      <w:divBdr>
                        <w:top w:val="none" w:sz="0" w:space="0" w:color="auto"/>
                        <w:left w:val="none" w:sz="0" w:space="0" w:color="auto"/>
                        <w:bottom w:val="none" w:sz="0" w:space="0" w:color="auto"/>
                        <w:right w:val="none" w:sz="0" w:space="0" w:color="auto"/>
                      </w:divBdr>
                    </w:div>
                  </w:divsChild>
                </w:div>
                <w:div w:id="754134688">
                  <w:marLeft w:val="0"/>
                  <w:marRight w:val="0"/>
                  <w:marTop w:val="0"/>
                  <w:marBottom w:val="0"/>
                  <w:divBdr>
                    <w:top w:val="none" w:sz="0" w:space="0" w:color="auto"/>
                    <w:left w:val="none" w:sz="0" w:space="0" w:color="auto"/>
                    <w:bottom w:val="none" w:sz="0" w:space="0" w:color="auto"/>
                    <w:right w:val="none" w:sz="0" w:space="0" w:color="auto"/>
                  </w:divBdr>
                  <w:divsChild>
                    <w:div w:id="246813455">
                      <w:marLeft w:val="0"/>
                      <w:marRight w:val="0"/>
                      <w:marTop w:val="0"/>
                      <w:marBottom w:val="0"/>
                      <w:divBdr>
                        <w:top w:val="none" w:sz="0" w:space="0" w:color="auto"/>
                        <w:left w:val="none" w:sz="0" w:space="0" w:color="auto"/>
                        <w:bottom w:val="none" w:sz="0" w:space="0" w:color="auto"/>
                        <w:right w:val="none" w:sz="0" w:space="0" w:color="auto"/>
                      </w:divBdr>
                    </w:div>
                  </w:divsChild>
                </w:div>
                <w:div w:id="759450200">
                  <w:marLeft w:val="0"/>
                  <w:marRight w:val="0"/>
                  <w:marTop w:val="0"/>
                  <w:marBottom w:val="0"/>
                  <w:divBdr>
                    <w:top w:val="none" w:sz="0" w:space="0" w:color="auto"/>
                    <w:left w:val="none" w:sz="0" w:space="0" w:color="auto"/>
                    <w:bottom w:val="none" w:sz="0" w:space="0" w:color="auto"/>
                    <w:right w:val="none" w:sz="0" w:space="0" w:color="auto"/>
                  </w:divBdr>
                  <w:divsChild>
                    <w:div w:id="699480156">
                      <w:marLeft w:val="0"/>
                      <w:marRight w:val="0"/>
                      <w:marTop w:val="0"/>
                      <w:marBottom w:val="0"/>
                      <w:divBdr>
                        <w:top w:val="none" w:sz="0" w:space="0" w:color="auto"/>
                        <w:left w:val="none" w:sz="0" w:space="0" w:color="auto"/>
                        <w:bottom w:val="none" w:sz="0" w:space="0" w:color="auto"/>
                        <w:right w:val="none" w:sz="0" w:space="0" w:color="auto"/>
                      </w:divBdr>
                    </w:div>
                  </w:divsChild>
                </w:div>
                <w:div w:id="769199913">
                  <w:marLeft w:val="0"/>
                  <w:marRight w:val="0"/>
                  <w:marTop w:val="0"/>
                  <w:marBottom w:val="0"/>
                  <w:divBdr>
                    <w:top w:val="none" w:sz="0" w:space="0" w:color="auto"/>
                    <w:left w:val="none" w:sz="0" w:space="0" w:color="auto"/>
                    <w:bottom w:val="none" w:sz="0" w:space="0" w:color="auto"/>
                    <w:right w:val="none" w:sz="0" w:space="0" w:color="auto"/>
                  </w:divBdr>
                  <w:divsChild>
                    <w:div w:id="569853798">
                      <w:marLeft w:val="0"/>
                      <w:marRight w:val="0"/>
                      <w:marTop w:val="0"/>
                      <w:marBottom w:val="0"/>
                      <w:divBdr>
                        <w:top w:val="none" w:sz="0" w:space="0" w:color="auto"/>
                        <w:left w:val="none" w:sz="0" w:space="0" w:color="auto"/>
                        <w:bottom w:val="none" w:sz="0" w:space="0" w:color="auto"/>
                        <w:right w:val="none" w:sz="0" w:space="0" w:color="auto"/>
                      </w:divBdr>
                    </w:div>
                  </w:divsChild>
                </w:div>
                <w:div w:id="979769411">
                  <w:marLeft w:val="0"/>
                  <w:marRight w:val="0"/>
                  <w:marTop w:val="0"/>
                  <w:marBottom w:val="0"/>
                  <w:divBdr>
                    <w:top w:val="none" w:sz="0" w:space="0" w:color="auto"/>
                    <w:left w:val="none" w:sz="0" w:space="0" w:color="auto"/>
                    <w:bottom w:val="none" w:sz="0" w:space="0" w:color="auto"/>
                    <w:right w:val="none" w:sz="0" w:space="0" w:color="auto"/>
                  </w:divBdr>
                  <w:divsChild>
                    <w:div w:id="338586399">
                      <w:marLeft w:val="0"/>
                      <w:marRight w:val="0"/>
                      <w:marTop w:val="0"/>
                      <w:marBottom w:val="0"/>
                      <w:divBdr>
                        <w:top w:val="none" w:sz="0" w:space="0" w:color="auto"/>
                        <w:left w:val="none" w:sz="0" w:space="0" w:color="auto"/>
                        <w:bottom w:val="none" w:sz="0" w:space="0" w:color="auto"/>
                        <w:right w:val="none" w:sz="0" w:space="0" w:color="auto"/>
                      </w:divBdr>
                    </w:div>
                  </w:divsChild>
                </w:div>
                <w:div w:id="1031298462">
                  <w:marLeft w:val="0"/>
                  <w:marRight w:val="0"/>
                  <w:marTop w:val="0"/>
                  <w:marBottom w:val="0"/>
                  <w:divBdr>
                    <w:top w:val="none" w:sz="0" w:space="0" w:color="auto"/>
                    <w:left w:val="none" w:sz="0" w:space="0" w:color="auto"/>
                    <w:bottom w:val="none" w:sz="0" w:space="0" w:color="auto"/>
                    <w:right w:val="none" w:sz="0" w:space="0" w:color="auto"/>
                  </w:divBdr>
                  <w:divsChild>
                    <w:div w:id="1105465357">
                      <w:marLeft w:val="0"/>
                      <w:marRight w:val="0"/>
                      <w:marTop w:val="0"/>
                      <w:marBottom w:val="0"/>
                      <w:divBdr>
                        <w:top w:val="none" w:sz="0" w:space="0" w:color="auto"/>
                        <w:left w:val="none" w:sz="0" w:space="0" w:color="auto"/>
                        <w:bottom w:val="none" w:sz="0" w:space="0" w:color="auto"/>
                        <w:right w:val="none" w:sz="0" w:space="0" w:color="auto"/>
                      </w:divBdr>
                    </w:div>
                  </w:divsChild>
                </w:div>
                <w:div w:id="1031758249">
                  <w:marLeft w:val="0"/>
                  <w:marRight w:val="0"/>
                  <w:marTop w:val="0"/>
                  <w:marBottom w:val="0"/>
                  <w:divBdr>
                    <w:top w:val="none" w:sz="0" w:space="0" w:color="auto"/>
                    <w:left w:val="none" w:sz="0" w:space="0" w:color="auto"/>
                    <w:bottom w:val="none" w:sz="0" w:space="0" w:color="auto"/>
                    <w:right w:val="none" w:sz="0" w:space="0" w:color="auto"/>
                  </w:divBdr>
                  <w:divsChild>
                    <w:div w:id="1175925582">
                      <w:marLeft w:val="0"/>
                      <w:marRight w:val="0"/>
                      <w:marTop w:val="0"/>
                      <w:marBottom w:val="0"/>
                      <w:divBdr>
                        <w:top w:val="none" w:sz="0" w:space="0" w:color="auto"/>
                        <w:left w:val="none" w:sz="0" w:space="0" w:color="auto"/>
                        <w:bottom w:val="none" w:sz="0" w:space="0" w:color="auto"/>
                        <w:right w:val="none" w:sz="0" w:space="0" w:color="auto"/>
                      </w:divBdr>
                    </w:div>
                  </w:divsChild>
                </w:div>
                <w:div w:id="1049960100">
                  <w:marLeft w:val="0"/>
                  <w:marRight w:val="0"/>
                  <w:marTop w:val="0"/>
                  <w:marBottom w:val="0"/>
                  <w:divBdr>
                    <w:top w:val="none" w:sz="0" w:space="0" w:color="auto"/>
                    <w:left w:val="none" w:sz="0" w:space="0" w:color="auto"/>
                    <w:bottom w:val="none" w:sz="0" w:space="0" w:color="auto"/>
                    <w:right w:val="none" w:sz="0" w:space="0" w:color="auto"/>
                  </w:divBdr>
                  <w:divsChild>
                    <w:div w:id="897782980">
                      <w:marLeft w:val="0"/>
                      <w:marRight w:val="0"/>
                      <w:marTop w:val="0"/>
                      <w:marBottom w:val="0"/>
                      <w:divBdr>
                        <w:top w:val="none" w:sz="0" w:space="0" w:color="auto"/>
                        <w:left w:val="none" w:sz="0" w:space="0" w:color="auto"/>
                        <w:bottom w:val="none" w:sz="0" w:space="0" w:color="auto"/>
                        <w:right w:val="none" w:sz="0" w:space="0" w:color="auto"/>
                      </w:divBdr>
                    </w:div>
                  </w:divsChild>
                </w:div>
                <w:div w:id="1082527938">
                  <w:marLeft w:val="0"/>
                  <w:marRight w:val="0"/>
                  <w:marTop w:val="0"/>
                  <w:marBottom w:val="0"/>
                  <w:divBdr>
                    <w:top w:val="none" w:sz="0" w:space="0" w:color="auto"/>
                    <w:left w:val="none" w:sz="0" w:space="0" w:color="auto"/>
                    <w:bottom w:val="none" w:sz="0" w:space="0" w:color="auto"/>
                    <w:right w:val="none" w:sz="0" w:space="0" w:color="auto"/>
                  </w:divBdr>
                  <w:divsChild>
                    <w:div w:id="748770535">
                      <w:marLeft w:val="0"/>
                      <w:marRight w:val="0"/>
                      <w:marTop w:val="0"/>
                      <w:marBottom w:val="0"/>
                      <w:divBdr>
                        <w:top w:val="none" w:sz="0" w:space="0" w:color="auto"/>
                        <w:left w:val="none" w:sz="0" w:space="0" w:color="auto"/>
                        <w:bottom w:val="none" w:sz="0" w:space="0" w:color="auto"/>
                        <w:right w:val="none" w:sz="0" w:space="0" w:color="auto"/>
                      </w:divBdr>
                    </w:div>
                  </w:divsChild>
                </w:div>
                <w:div w:id="1179126798">
                  <w:marLeft w:val="0"/>
                  <w:marRight w:val="0"/>
                  <w:marTop w:val="0"/>
                  <w:marBottom w:val="0"/>
                  <w:divBdr>
                    <w:top w:val="none" w:sz="0" w:space="0" w:color="auto"/>
                    <w:left w:val="none" w:sz="0" w:space="0" w:color="auto"/>
                    <w:bottom w:val="none" w:sz="0" w:space="0" w:color="auto"/>
                    <w:right w:val="none" w:sz="0" w:space="0" w:color="auto"/>
                  </w:divBdr>
                  <w:divsChild>
                    <w:div w:id="635841911">
                      <w:marLeft w:val="0"/>
                      <w:marRight w:val="0"/>
                      <w:marTop w:val="0"/>
                      <w:marBottom w:val="0"/>
                      <w:divBdr>
                        <w:top w:val="none" w:sz="0" w:space="0" w:color="auto"/>
                        <w:left w:val="none" w:sz="0" w:space="0" w:color="auto"/>
                        <w:bottom w:val="none" w:sz="0" w:space="0" w:color="auto"/>
                        <w:right w:val="none" w:sz="0" w:space="0" w:color="auto"/>
                      </w:divBdr>
                    </w:div>
                  </w:divsChild>
                </w:div>
                <w:div w:id="1204904621">
                  <w:marLeft w:val="0"/>
                  <w:marRight w:val="0"/>
                  <w:marTop w:val="0"/>
                  <w:marBottom w:val="0"/>
                  <w:divBdr>
                    <w:top w:val="none" w:sz="0" w:space="0" w:color="auto"/>
                    <w:left w:val="none" w:sz="0" w:space="0" w:color="auto"/>
                    <w:bottom w:val="none" w:sz="0" w:space="0" w:color="auto"/>
                    <w:right w:val="none" w:sz="0" w:space="0" w:color="auto"/>
                  </w:divBdr>
                  <w:divsChild>
                    <w:div w:id="1421948727">
                      <w:marLeft w:val="0"/>
                      <w:marRight w:val="0"/>
                      <w:marTop w:val="0"/>
                      <w:marBottom w:val="0"/>
                      <w:divBdr>
                        <w:top w:val="none" w:sz="0" w:space="0" w:color="auto"/>
                        <w:left w:val="none" w:sz="0" w:space="0" w:color="auto"/>
                        <w:bottom w:val="none" w:sz="0" w:space="0" w:color="auto"/>
                        <w:right w:val="none" w:sz="0" w:space="0" w:color="auto"/>
                      </w:divBdr>
                    </w:div>
                  </w:divsChild>
                </w:div>
                <w:div w:id="1213543454">
                  <w:marLeft w:val="0"/>
                  <w:marRight w:val="0"/>
                  <w:marTop w:val="0"/>
                  <w:marBottom w:val="0"/>
                  <w:divBdr>
                    <w:top w:val="none" w:sz="0" w:space="0" w:color="auto"/>
                    <w:left w:val="none" w:sz="0" w:space="0" w:color="auto"/>
                    <w:bottom w:val="none" w:sz="0" w:space="0" w:color="auto"/>
                    <w:right w:val="none" w:sz="0" w:space="0" w:color="auto"/>
                  </w:divBdr>
                  <w:divsChild>
                    <w:div w:id="844588184">
                      <w:marLeft w:val="0"/>
                      <w:marRight w:val="0"/>
                      <w:marTop w:val="0"/>
                      <w:marBottom w:val="0"/>
                      <w:divBdr>
                        <w:top w:val="none" w:sz="0" w:space="0" w:color="auto"/>
                        <w:left w:val="none" w:sz="0" w:space="0" w:color="auto"/>
                        <w:bottom w:val="none" w:sz="0" w:space="0" w:color="auto"/>
                        <w:right w:val="none" w:sz="0" w:space="0" w:color="auto"/>
                      </w:divBdr>
                    </w:div>
                  </w:divsChild>
                </w:div>
                <w:div w:id="1228566980">
                  <w:marLeft w:val="0"/>
                  <w:marRight w:val="0"/>
                  <w:marTop w:val="0"/>
                  <w:marBottom w:val="0"/>
                  <w:divBdr>
                    <w:top w:val="none" w:sz="0" w:space="0" w:color="auto"/>
                    <w:left w:val="none" w:sz="0" w:space="0" w:color="auto"/>
                    <w:bottom w:val="none" w:sz="0" w:space="0" w:color="auto"/>
                    <w:right w:val="none" w:sz="0" w:space="0" w:color="auto"/>
                  </w:divBdr>
                  <w:divsChild>
                    <w:div w:id="661158025">
                      <w:marLeft w:val="0"/>
                      <w:marRight w:val="0"/>
                      <w:marTop w:val="0"/>
                      <w:marBottom w:val="0"/>
                      <w:divBdr>
                        <w:top w:val="none" w:sz="0" w:space="0" w:color="auto"/>
                        <w:left w:val="none" w:sz="0" w:space="0" w:color="auto"/>
                        <w:bottom w:val="none" w:sz="0" w:space="0" w:color="auto"/>
                        <w:right w:val="none" w:sz="0" w:space="0" w:color="auto"/>
                      </w:divBdr>
                    </w:div>
                  </w:divsChild>
                </w:div>
                <w:div w:id="1368599362">
                  <w:marLeft w:val="0"/>
                  <w:marRight w:val="0"/>
                  <w:marTop w:val="0"/>
                  <w:marBottom w:val="0"/>
                  <w:divBdr>
                    <w:top w:val="none" w:sz="0" w:space="0" w:color="auto"/>
                    <w:left w:val="none" w:sz="0" w:space="0" w:color="auto"/>
                    <w:bottom w:val="none" w:sz="0" w:space="0" w:color="auto"/>
                    <w:right w:val="none" w:sz="0" w:space="0" w:color="auto"/>
                  </w:divBdr>
                  <w:divsChild>
                    <w:div w:id="611672223">
                      <w:marLeft w:val="0"/>
                      <w:marRight w:val="0"/>
                      <w:marTop w:val="0"/>
                      <w:marBottom w:val="0"/>
                      <w:divBdr>
                        <w:top w:val="none" w:sz="0" w:space="0" w:color="auto"/>
                        <w:left w:val="none" w:sz="0" w:space="0" w:color="auto"/>
                        <w:bottom w:val="none" w:sz="0" w:space="0" w:color="auto"/>
                        <w:right w:val="none" w:sz="0" w:space="0" w:color="auto"/>
                      </w:divBdr>
                    </w:div>
                  </w:divsChild>
                </w:div>
                <w:div w:id="1387293509">
                  <w:marLeft w:val="0"/>
                  <w:marRight w:val="0"/>
                  <w:marTop w:val="0"/>
                  <w:marBottom w:val="0"/>
                  <w:divBdr>
                    <w:top w:val="none" w:sz="0" w:space="0" w:color="auto"/>
                    <w:left w:val="none" w:sz="0" w:space="0" w:color="auto"/>
                    <w:bottom w:val="none" w:sz="0" w:space="0" w:color="auto"/>
                    <w:right w:val="none" w:sz="0" w:space="0" w:color="auto"/>
                  </w:divBdr>
                  <w:divsChild>
                    <w:div w:id="106394864">
                      <w:marLeft w:val="0"/>
                      <w:marRight w:val="0"/>
                      <w:marTop w:val="0"/>
                      <w:marBottom w:val="0"/>
                      <w:divBdr>
                        <w:top w:val="none" w:sz="0" w:space="0" w:color="auto"/>
                        <w:left w:val="none" w:sz="0" w:space="0" w:color="auto"/>
                        <w:bottom w:val="none" w:sz="0" w:space="0" w:color="auto"/>
                        <w:right w:val="none" w:sz="0" w:space="0" w:color="auto"/>
                      </w:divBdr>
                    </w:div>
                  </w:divsChild>
                </w:div>
                <w:div w:id="1392268098">
                  <w:marLeft w:val="0"/>
                  <w:marRight w:val="0"/>
                  <w:marTop w:val="0"/>
                  <w:marBottom w:val="0"/>
                  <w:divBdr>
                    <w:top w:val="none" w:sz="0" w:space="0" w:color="auto"/>
                    <w:left w:val="none" w:sz="0" w:space="0" w:color="auto"/>
                    <w:bottom w:val="none" w:sz="0" w:space="0" w:color="auto"/>
                    <w:right w:val="none" w:sz="0" w:space="0" w:color="auto"/>
                  </w:divBdr>
                  <w:divsChild>
                    <w:div w:id="1578007976">
                      <w:marLeft w:val="0"/>
                      <w:marRight w:val="0"/>
                      <w:marTop w:val="0"/>
                      <w:marBottom w:val="0"/>
                      <w:divBdr>
                        <w:top w:val="none" w:sz="0" w:space="0" w:color="auto"/>
                        <w:left w:val="none" w:sz="0" w:space="0" w:color="auto"/>
                        <w:bottom w:val="none" w:sz="0" w:space="0" w:color="auto"/>
                        <w:right w:val="none" w:sz="0" w:space="0" w:color="auto"/>
                      </w:divBdr>
                    </w:div>
                  </w:divsChild>
                </w:div>
                <w:div w:id="1401638357">
                  <w:marLeft w:val="0"/>
                  <w:marRight w:val="0"/>
                  <w:marTop w:val="0"/>
                  <w:marBottom w:val="0"/>
                  <w:divBdr>
                    <w:top w:val="none" w:sz="0" w:space="0" w:color="auto"/>
                    <w:left w:val="none" w:sz="0" w:space="0" w:color="auto"/>
                    <w:bottom w:val="none" w:sz="0" w:space="0" w:color="auto"/>
                    <w:right w:val="none" w:sz="0" w:space="0" w:color="auto"/>
                  </w:divBdr>
                  <w:divsChild>
                    <w:div w:id="961957278">
                      <w:marLeft w:val="0"/>
                      <w:marRight w:val="0"/>
                      <w:marTop w:val="0"/>
                      <w:marBottom w:val="0"/>
                      <w:divBdr>
                        <w:top w:val="none" w:sz="0" w:space="0" w:color="auto"/>
                        <w:left w:val="none" w:sz="0" w:space="0" w:color="auto"/>
                        <w:bottom w:val="none" w:sz="0" w:space="0" w:color="auto"/>
                        <w:right w:val="none" w:sz="0" w:space="0" w:color="auto"/>
                      </w:divBdr>
                    </w:div>
                  </w:divsChild>
                </w:div>
                <w:div w:id="1428498461">
                  <w:marLeft w:val="0"/>
                  <w:marRight w:val="0"/>
                  <w:marTop w:val="0"/>
                  <w:marBottom w:val="0"/>
                  <w:divBdr>
                    <w:top w:val="none" w:sz="0" w:space="0" w:color="auto"/>
                    <w:left w:val="none" w:sz="0" w:space="0" w:color="auto"/>
                    <w:bottom w:val="none" w:sz="0" w:space="0" w:color="auto"/>
                    <w:right w:val="none" w:sz="0" w:space="0" w:color="auto"/>
                  </w:divBdr>
                  <w:divsChild>
                    <w:div w:id="539438509">
                      <w:marLeft w:val="0"/>
                      <w:marRight w:val="0"/>
                      <w:marTop w:val="0"/>
                      <w:marBottom w:val="0"/>
                      <w:divBdr>
                        <w:top w:val="none" w:sz="0" w:space="0" w:color="auto"/>
                        <w:left w:val="none" w:sz="0" w:space="0" w:color="auto"/>
                        <w:bottom w:val="none" w:sz="0" w:space="0" w:color="auto"/>
                        <w:right w:val="none" w:sz="0" w:space="0" w:color="auto"/>
                      </w:divBdr>
                    </w:div>
                  </w:divsChild>
                </w:div>
                <w:div w:id="1466657335">
                  <w:marLeft w:val="0"/>
                  <w:marRight w:val="0"/>
                  <w:marTop w:val="0"/>
                  <w:marBottom w:val="0"/>
                  <w:divBdr>
                    <w:top w:val="none" w:sz="0" w:space="0" w:color="auto"/>
                    <w:left w:val="none" w:sz="0" w:space="0" w:color="auto"/>
                    <w:bottom w:val="none" w:sz="0" w:space="0" w:color="auto"/>
                    <w:right w:val="none" w:sz="0" w:space="0" w:color="auto"/>
                  </w:divBdr>
                  <w:divsChild>
                    <w:div w:id="1237089334">
                      <w:marLeft w:val="0"/>
                      <w:marRight w:val="0"/>
                      <w:marTop w:val="0"/>
                      <w:marBottom w:val="0"/>
                      <w:divBdr>
                        <w:top w:val="none" w:sz="0" w:space="0" w:color="auto"/>
                        <w:left w:val="none" w:sz="0" w:space="0" w:color="auto"/>
                        <w:bottom w:val="none" w:sz="0" w:space="0" w:color="auto"/>
                        <w:right w:val="none" w:sz="0" w:space="0" w:color="auto"/>
                      </w:divBdr>
                    </w:div>
                  </w:divsChild>
                </w:div>
                <w:div w:id="1477140821">
                  <w:marLeft w:val="0"/>
                  <w:marRight w:val="0"/>
                  <w:marTop w:val="0"/>
                  <w:marBottom w:val="0"/>
                  <w:divBdr>
                    <w:top w:val="none" w:sz="0" w:space="0" w:color="auto"/>
                    <w:left w:val="none" w:sz="0" w:space="0" w:color="auto"/>
                    <w:bottom w:val="none" w:sz="0" w:space="0" w:color="auto"/>
                    <w:right w:val="none" w:sz="0" w:space="0" w:color="auto"/>
                  </w:divBdr>
                  <w:divsChild>
                    <w:div w:id="1141844350">
                      <w:marLeft w:val="0"/>
                      <w:marRight w:val="0"/>
                      <w:marTop w:val="0"/>
                      <w:marBottom w:val="0"/>
                      <w:divBdr>
                        <w:top w:val="none" w:sz="0" w:space="0" w:color="auto"/>
                        <w:left w:val="none" w:sz="0" w:space="0" w:color="auto"/>
                        <w:bottom w:val="none" w:sz="0" w:space="0" w:color="auto"/>
                        <w:right w:val="none" w:sz="0" w:space="0" w:color="auto"/>
                      </w:divBdr>
                    </w:div>
                  </w:divsChild>
                </w:div>
                <w:div w:id="1478108495">
                  <w:marLeft w:val="0"/>
                  <w:marRight w:val="0"/>
                  <w:marTop w:val="0"/>
                  <w:marBottom w:val="0"/>
                  <w:divBdr>
                    <w:top w:val="none" w:sz="0" w:space="0" w:color="auto"/>
                    <w:left w:val="none" w:sz="0" w:space="0" w:color="auto"/>
                    <w:bottom w:val="none" w:sz="0" w:space="0" w:color="auto"/>
                    <w:right w:val="none" w:sz="0" w:space="0" w:color="auto"/>
                  </w:divBdr>
                  <w:divsChild>
                    <w:div w:id="101609585">
                      <w:marLeft w:val="0"/>
                      <w:marRight w:val="0"/>
                      <w:marTop w:val="0"/>
                      <w:marBottom w:val="0"/>
                      <w:divBdr>
                        <w:top w:val="none" w:sz="0" w:space="0" w:color="auto"/>
                        <w:left w:val="none" w:sz="0" w:space="0" w:color="auto"/>
                        <w:bottom w:val="none" w:sz="0" w:space="0" w:color="auto"/>
                        <w:right w:val="none" w:sz="0" w:space="0" w:color="auto"/>
                      </w:divBdr>
                    </w:div>
                  </w:divsChild>
                </w:div>
                <w:div w:id="1568298361">
                  <w:marLeft w:val="0"/>
                  <w:marRight w:val="0"/>
                  <w:marTop w:val="0"/>
                  <w:marBottom w:val="0"/>
                  <w:divBdr>
                    <w:top w:val="none" w:sz="0" w:space="0" w:color="auto"/>
                    <w:left w:val="none" w:sz="0" w:space="0" w:color="auto"/>
                    <w:bottom w:val="none" w:sz="0" w:space="0" w:color="auto"/>
                    <w:right w:val="none" w:sz="0" w:space="0" w:color="auto"/>
                  </w:divBdr>
                  <w:divsChild>
                    <w:div w:id="1812404128">
                      <w:marLeft w:val="0"/>
                      <w:marRight w:val="0"/>
                      <w:marTop w:val="0"/>
                      <w:marBottom w:val="0"/>
                      <w:divBdr>
                        <w:top w:val="none" w:sz="0" w:space="0" w:color="auto"/>
                        <w:left w:val="none" w:sz="0" w:space="0" w:color="auto"/>
                        <w:bottom w:val="none" w:sz="0" w:space="0" w:color="auto"/>
                        <w:right w:val="none" w:sz="0" w:space="0" w:color="auto"/>
                      </w:divBdr>
                    </w:div>
                  </w:divsChild>
                </w:div>
                <w:div w:id="1748112727">
                  <w:marLeft w:val="0"/>
                  <w:marRight w:val="0"/>
                  <w:marTop w:val="0"/>
                  <w:marBottom w:val="0"/>
                  <w:divBdr>
                    <w:top w:val="none" w:sz="0" w:space="0" w:color="auto"/>
                    <w:left w:val="none" w:sz="0" w:space="0" w:color="auto"/>
                    <w:bottom w:val="none" w:sz="0" w:space="0" w:color="auto"/>
                    <w:right w:val="none" w:sz="0" w:space="0" w:color="auto"/>
                  </w:divBdr>
                  <w:divsChild>
                    <w:div w:id="577330812">
                      <w:marLeft w:val="0"/>
                      <w:marRight w:val="0"/>
                      <w:marTop w:val="0"/>
                      <w:marBottom w:val="0"/>
                      <w:divBdr>
                        <w:top w:val="none" w:sz="0" w:space="0" w:color="auto"/>
                        <w:left w:val="none" w:sz="0" w:space="0" w:color="auto"/>
                        <w:bottom w:val="none" w:sz="0" w:space="0" w:color="auto"/>
                        <w:right w:val="none" w:sz="0" w:space="0" w:color="auto"/>
                      </w:divBdr>
                    </w:div>
                  </w:divsChild>
                </w:div>
                <w:div w:id="1807550259">
                  <w:marLeft w:val="0"/>
                  <w:marRight w:val="0"/>
                  <w:marTop w:val="0"/>
                  <w:marBottom w:val="0"/>
                  <w:divBdr>
                    <w:top w:val="none" w:sz="0" w:space="0" w:color="auto"/>
                    <w:left w:val="none" w:sz="0" w:space="0" w:color="auto"/>
                    <w:bottom w:val="none" w:sz="0" w:space="0" w:color="auto"/>
                    <w:right w:val="none" w:sz="0" w:space="0" w:color="auto"/>
                  </w:divBdr>
                  <w:divsChild>
                    <w:div w:id="2019844356">
                      <w:marLeft w:val="0"/>
                      <w:marRight w:val="0"/>
                      <w:marTop w:val="0"/>
                      <w:marBottom w:val="0"/>
                      <w:divBdr>
                        <w:top w:val="none" w:sz="0" w:space="0" w:color="auto"/>
                        <w:left w:val="none" w:sz="0" w:space="0" w:color="auto"/>
                        <w:bottom w:val="none" w:sz="0" w:space="0" w:color="auto"/>
                        <w:right w:val="none" w:sz="0" w:space="0" w:color="auto"/>
                      </w:divBdr>
                    </w:div>
                  </w:divsChild>
                </w:div>
                <w:div w:id="1809086244">
                  <w:marLeft w:val="0"/>
                  <w:marRight w:val="0"/>
                  <w:marTop w:val="0"/>
                  <w:marBottom w:val="0"/>
                  <w:divBdr>
                    <w:top w:val="none" w:sz="0" w:space="0" w:color="auto"/>
                    <w:left w:val="none" w:sz="0" w:space="0" w:color="auto"/>
                    <w:bottom w:val="none" w:sz="0" w:space="0" w:color="auto"/>
                    <w:right w:val="none" w:sz="0" w:space="0" w:color="auto"/>
                  </w:divBdr>
                  <w:divsChild>
                    <w:div w:id="1437404864">
                      <w:marLeft w:val="0"/>
                      <w:marRight w:val="0"/>
                      <w:marTop w:val="0"/>
                      <w:marBottom w:val="0"/>
                      <w:divBdr>
                        <w:top w:val="none" w:sz="0" w:space="0" w:color="auto"/>
                        <w:left w:val="none" w:sz="0" w:space="0" w:color="auto"/>
                        <w:bottom w:val="none" w:sz="0" w:space="0" w:color="auto"/>
                        <w:right w:val="none" w:sz="0" w:space="0" w:color="auto"/>
                      </w:divBdr>
                    </w:div>
                  </w:divsChild>
                </w:div>
                <w:div w:id="1872258099">
                  <w:marLeft w:val="0"/>
                  <w:marRight w:val="0"/>
                  <w:marTop w:val="0"/>
                  <w:marBottom w:val="0"/>
                  <w:divBdr>
                    <w:top w:val="none" w:sz="0" w:space="0" w:color="auto"/>
                    <w:left w:val="none" w:sz="0" w:space="0" w:color="auto"/>
                    <w:bottom w:val="none" w:sz="0" w:space="0" w:color="auto"/>
                    <w:right w:val="none" w:sz="0" w:space="0" w:color="auto"/>
                  </w:divBdr>
                  <w:divsChild>
                    <w:div w:id="1935046570">
                      <w:marLeft w:val="0"/>
                      <w:marRight w:val="0"/>
                      <w:marTop w:val="0"/>
                      <w:marBottom w:val="0"/>
                      <w:divBdr>
                        <w:top w:val="none" w:sz="0" w:space="0" w:color="auto"/>
                        <w:left w:val="none" w:sz="0" w:space="0" w:color="auto"/>
                        <w:bottom w:val="none" w:sz="0" w:space="0" w:color="auto"/>
                        <w:right w:val="none" w:sz="0" w:space="0" w:color="auto"/>
                      </w:divBdr>
                    </w:div>
                  </w:divsChild>
                </w:div>
                <w:div w:id="1954900738">
                  <w:marLeft w:val="0"/>
                  <w:marRight w:val="0"/>
                  <w:marTop w:val="0"/>
                  <w:marBottom w:val="0"/>
                  <w:divBdr>
                    <w:top w:val="none" w:sz="0" w:space="0" w:color="auto"/>
                    <w:left w:val="none" w:sz="0" w:space="0" w:color="auto"/>
                    <w:bottom w:val="none" w:sz="0" w:space="0" w:color="auto"/>
                    <w:right w:val="none" w:sz="0" w:space="0" w:color="auto"/>
                  </w:divBdr>
                  <w:divsChild>
                    <w:div w:id="2007005672">
                      <w:marLeft w:val="0"/>
                      <w:marRight w:val="0"/>
                      <w:marTop w:val="0"/>
                      <w:marBottom w:val="0"/>
                      <w:divBdr>
                        <w:top w:val="none" w:sz="0" w:space="0" w:color="auto"/>
                        <w:left w:val="none" w:sz="0" w:space="0" w:color="auto"/>
                        <w:bottom w:val="none" w:sz="0" w:space="0" w:color="auto"/>
                        <w:right w:val="none" w:sz="0" w:space="0" w:color="auto"/>
                      </w:divBdr>
                    </w:div>
                  </w:divsChild>
                </w:div>
                <w:div w:id="2017658524">
                  <w:marLeft w:val="0"/>
                  <w:marRight w:val="0"/>
                  <w:marTop w:val="0"/>
                  <w:marBottom w:val="0"/>
                  <w:divBdr>
                    <w:top w:val="none" w:sz="0" w:space="0" w:color="auto"/>
                    <w:left w:val="none" w:sz="0" w:space="0" w:color="auto"/>
                    <w:bottom w:val="none" w:sz="0" w:space="0" w:color="auto"/>
                    <w:right w:val="none" w:sz="0" w:space="0" w:color="auto"/>
                  </w:divBdr>
                  <w:divsChild>
                    <w:div w:id="1707094726">
                      <w:marLeft w:val="0"/>
                      <w:marRight w:val="0"/>
                      <w:marTop w:val="0"/>
                      <w:marBottom w:val="0"/>
                      <w:divBdr>
                        <w:top w:val="none" w:sz="0" w:space="0" w:color="auto"/>
                        <w:left w:val="none" w:sz="0" w:space="0" w:color="auto"/>
                        <w:bottom w:val="none" w:sz="0" w:space="0" w:color="auto"/>
                        <w:right w:val="none" w:sz="0" w:space="0" w:color="auto"/>
                      </w:divBdr>
                    </w:div>
                  </w:divsChild>
                </w:div>
                <w:div w:id="2101294279">
                  <w:marLeft w:val="0"/>
                  <w:marRight w:val="0"/>
                  <w:marTop w:val="0"/>
                  <w:marBottom w:val="0"/>
                  <w:divBdr>
                    <w:top w:val="none" w:sz="0" w:space="0" w:color="auto"/>
                    <w:left w:val="none" w:sz="0" w:space="0" w:color="auto"/>
                    <w:bottom w:val="none" w:sz="0" w:space="0" w:color="auto"/>
                    <w:right w:val="none" w:sz="0" w:space="0" w:color="auto"/>
                  </w:divBdr>
                  <w:divsChild>
                    <w:div w:id="893153875">
                      <w:marLeft w:val="0"/>
                      <w:marRight w:val="0"/>
                      <w:marTop w:val="0"/>
                      <w:marBottom w:val="0"/>
                      <w:divBdr>
                        <w:top w:val="none" w:sz="0" w:space="0" w:color="auto"/>
                        <w:left w:val="none" w:sz="0" w:space="0" w:color="auto"/>
                        <w:bottom w:val="none" w:sz="0" w:space="0" w:color="auto"/>
                        <w:right w:val="none" w:sz="0" w:space="0" w:color="auto"/>
                      </w:divBdr>
                    </w:div>
                  </w:divsChild>
                </w:div>
                <w:div w:id="2115858351">
                  <w:marLeft w:val="0"/>
                  <w:marRight w:val="0"/>
                  <w:marTop w:val="0"/>
                  <w:marBottom w:val="0"/>
                  <w:divBdr>
                    <w:top w:val="none" w:sz="0" w:space="0" w:color="auto"/>
                    <w:left w:val="none" w:sz="0" w:space="0" w:color="auto"/>
                    <w:bottom w:val="none" w:sz="0" w:space="0" w:color="auto"/>
                    <w:right w:val="none" w:sz="0" w:space="0" w:color="auto"/>
                  </w:divBdr>
                  <w:divsChild>
                    <w:div w:id="1774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7938">
          <w:marLeft w:val="0"/>
          <w:marRight w:val="0"/>
          <w:marTop w:val="0"/>
          <w:marBottom w:val="0"/>
          <w:divBdr>
            <w:top w:val="none" w:sz="0" w:space="0" w:color="auto"/>
            <w:left w:val="none" w:sz="0" w:space="0" w:color="auto"/>
            <w:bottom w:val="none" w:sz="0" w:space="0" w:color="auto"/>
            <w:right w:val="none" w:sz="0" w:space="0" w:color="auto"/>
          </w:divBdr>
        </w:div>
        <w:div w:id="1266691957">
          <w:marLeft w:val="0"/>
          <w:marRight w:val="0"/>
          <w:marTop w:val="0"/>
          <w:marBottom w:val="0"/>
          <w:divBdr>
            <w:top w:val="none" w:sz="0" w:space="0" w:color="auto"/>
            <w:left w:val="none" w:sz="0" w:space="0" w:color="auto"/>
            <w:bottom w:val="none" w:sz="0" w:space="0" w:color="auto"/>
            <w:right w:val="none" w:sz="0" w:space="0" w:color="auto"/>
          </w:divBdr>
        </w:div>
        <w:div w:id="1335525107">
          <w:marLeft w:val="0"/>
          <w:marRight w:val="0"/>
          <w:marTop w:val="0"/>
          <w:marBottom w:val="0"/>
          <w:divBdr>
            <w:top w:val="none" w:sz="0" w:space="0" w:color="auto"/>
            <w:left w:val="none" w:sz="0" w:space="0" w:color="auto"/>
            <w:bottom w:val="none" w:sz="0" w:space="0" w:color="auto"/>
            <w:right w:val="none" w:sz="0" w:space="0" w:color="auto"/>
          </w:divBdr>
        </w:div>
        <w:div w:id="1455713415">
          <w:marLeft w:val="0"/>
          <w:marRight w:val="0"/>
          <w:marTop w:val="0"/>
          <w:marBottom w:val="0"/>
          <w:divBdr>
            <w:top w:val="none" w:sz="0" w:space="0" w:color="auto"/>
            <w:left w:val="none" w:sz="0" w:space="0" w:color="auto"/>
            <w:bottom w:val="none" w:sz="0" w:space="0" w:color="auto"/>
            <w:right w:val="none" w:sz="0" w:space="0" w:color="auto"/>
          </w:divBdr>
        </w:div>
        <w:div w:id="1459571031">
          <w:marLeft w:val="0"/>
          <w:marRight w:val="0"/>
          <w:marTop w:val="0"/>
          <w:marBottom w:val="0"/>
          <w:divBdr>
            <w:top w:val="none" w:sz="0" w:space="0" w:color="auto"/>
            <w:left w:val="none" w:sz="0" w:space="0" w:color="auto"/>
            <w:bottom w:val="none" w:sz="0" w:space="0" w:color="auto"/>
            <w:right w:val="none" w:sz="0" w:space="0" w:color="auto"/>
          </w:divBdr>
          <w:divsChild>
            <w:div w:id="583150070">
              <w:marLeft w:val="-75"/>
              <w:marRight w:val="0"/>
              <w:marTop w:val="30"/>
              <w:marBottom w:val="30"/>
              <w:divBdr>
                <w:top w:val="none" w:sz="0" w:space="0" w:color="auto"/>
                <w:left w:val="none" w:sz="0" w:space="0" w:color="auto"/>
                <w:bottom w:val="none" w:sz="0" w:space="0" w:color="auto"/>
                <w:right w:val="none" w:sz="0" w:space="0" w:color="auto"/>
              </w:divBdr>
              <w:divsChild>
                <w:div w:id="338583604">
                  <w:marLeft w:val="0"/>
                  <w:marRight w:val="0"/>
                  <w:marTop w:val="0"/>
                  <w:marBottom w:val="0"/>
                  <w:divBdr>
                    <w:top w:val="none" w:sz="0" w:space="0" w:color="auto"/>
                    <w:left w:val="none" w:sz="0" w:space="0" w:color="auto"/>
                    <w:bottom w:val="none" w:sz="0" w:space="0" w:color="auto"/>
                    <w:right w:val="none" w:sz="0" w:space="0" w:color="auto"/>
                  </w:divBdr>
                  <w:divsChild>
                    <w:div w:id="125007328">
                      <w:marLeft w:val="0"/>
                      <w:marRight w:val="0"/>
                      <w:marTop w:val="0"/>
                      <w:marBottom w:val="0"/>
                      <w:divBdr>
                        <w:top w:val="none" w:sz="0" w:space="0" w:color="auto"/>
                        <w:left w:val="none" w:sz="0" w:space="0" w:color="auto"/>
                        <w:bottom w:val="none" w:sz="0" w:space="0" w:color="auto"/>
                        <w:right w:val="none" w:sz="0" w:space="0" w:color="auto"/>
                      </w:divBdr>
                    </w:div>
                    <w:div w:id="148911854">
                      <w:marLeft w:val="0"/>
                      <w:marRight w:val="0"/>
                      <w:marTop w:val="0"/>
                      <w:marBottom w:val="0"/>
                      <w:divBdr>
                        <w:top w:val="none" w:sz="0" w:space="0" w:color="auto"/>
                        <w:left w:val="none" w:sz="0" w:space="0" w:color="auto"/>
                        <w:bottom w:val="none" w:sz="0" w:space="0" w:color="auto"/>
                        <w:right w:val="none" w:sz="0" w:space="0" w:color="auto"/>
                      </w:divBdr>
                    </w:div>
                    <w:div w:id="333531581">
                      <w:marLeft w:val="0"/>
                      <w:marRight w:val="0"/>
                      <w:marTop w:val="0"/>
                      <w:marBottom w:val="0"/>
                      <w:divBdr>
                        <w:top w:val="none" w:sz="0" w:space="0" w:color="auto"/>
                        <w:left w:val="none" w:sz="0" w:space="0" w:color="auto"/>
                        <w:bottom w:val="none" w:sz="0" w:space="0" w:color="auto"/>
                        <w:right w:val="none" w:sz="0" w:space="0" w:color="auto"/>
                      </w:divBdr>
                    </w:div>
                    <w:div w:id="377633853">
                      <w:marLeft w:val="0"/>
                      <w:marRight w:val="0"/>
                      <w:marTop w:val="0"/>
                      <w:marBottom w:val="0"/>
                      <w:divBdr>
                        <w:top w:val="none" w:sz="0" w:space="0" w:color="auto"/>
                        <w:left w:val="none" w:sz="0" w:space="0" w:color="auto"/>
                        <w:bottom w:val="none" w:sz="0" w:space="0" w:color="auto"/>
                        <w:right w:val="none" w:sz="0" w:space="0" w:color="auto"/>
                      </w:divBdr>
                    </w:div>
                    <w:div w:id="732239345">
                      <w:marLeft w:val="0"/>
                      <w:marRight w:val="0"/>
                      <w:marTop w:val="0"/>
                      <w:marBottom w:val="0"/>
                      <w:divBdr>
                        <w:top w:val="none" w:sz="0" w:space="0" w:color="auto"/>
                        <w:left w:val="none" w:sz="0" w:space="0" w:color="auto"/>
                        <w:bottom w:val="none" w:sz="0" w:space="0" w:color="auto"/>
                        <w:right w:val="none" w:sz="0" w:space="0" w:color="auto"/>
                      </w:divBdr>
                    </w:div>
                    <w:div w:id="799689683">
                      <w:marLeft w:val="0"/>
                      <w:marRight w:val="0"/>
                      <w:marTop w:val="0"/>
                      <w:marBottom w:val="0"/>
                      <w:divBdr>
                        <w:top w:val="none" w:sz="0" w:space="0" w:color="auto"/>
                        <w:left w:val="none" w:sz="0" w:space="0" w:color="auto"/>
                        <w:bottom w:val="none" w:sz="0" w:space="0" w:color="auto"/>
                        <w:right w:val="none" w:sz="0" w:space="0" w:color="auto"/>
                      </w:divBdr>
                    </w:div>
                    <w:div w:id="1097015952">
                      <w:marLeft w:val="0"/>
                      <w:marRight w:val="0"/>
                      <w:marTop w:val="0"/>
                      <w:marBottom w:val="0"/>
                      <w:divBdr>
                        <w:top w:val="none" w:sz="0" w:space="0" w:color="auto"/>
                        <w:left w:val="none" w:sz="0" w:space="0" w:color="auto"/>
                        <w:bottom w:val="none" w:sz="0" w:space="0" w:color="auto"/>
                        <w:right w:val="none" w:sz="0" w:space="0" w:color="auto"/>
                      </w:divBdr>
                    </w:div>
                    <w:div w:id="1131753763">
                      <w:marLeft w:val="0"/>
                      <w:marRight w:val="0"/>
                      <w:marTop w:val="0"/>
                      <w:marBottom w:val="0"/>
                      <w:divBdr>
                        <w:top w:val="none" w:sz="0" w:space="0" w:color="auto"/>
                        <w:left w:val="none" w:sz="0" w:space="0" w:color="auto"/>
                        <w:bottom w:val="none" w:sz="0" w:space="0" w:color="auto"/>
                        <w:right w:val="none" w:sz="0" w:space="0" w:color="auto"/>
                      </w:divBdr>
                    </w:div>
                    <w:div w:id="1233001938">
                      <w:marLeft w:val="0"/>
                      <w:marRight w:val="0"/>
                      <w:marTop w:val="0"/>
                      <w:marBottom w:val="0"/>
                      <w:divBdr>
                        <w:top w:val="none" w:sz="0" w:space="0" w:color="auto"/>
                        <w:left w:val="none" w:sz="0" w:space="0" w:color="auto"/>
                        <w:bottom w:val="none" w:sz="0" w:space="0" w:color="auto"/>
                        <w:right w:val="none" w:sz="0" w:space="0" w:color="auto"/>
                      </w:divBdr>
                    </w:div>
                    <w:div w:id="1305886113">
                      <w:marLeft w:val="0"/>
                      <w:marRight w:val="0"/>
                      <w:marTop w:val="0"/>
                      <w:marBottom w:val="0"/>
                      <w:divBdr>
                        <w:top w:val="none" w:sz="0" w:space="0" w:color="auto"/>
                        <w:left w:val="none" w:sz="0" w:space="0" w:color="auto"/>
                        <w:bottom w:val="none" w:sz="0" w:space="0" w:color="auto"/>
                        <w:right w:val="none" w:sz="0" w:space="0" w:color="auto"/>
                      </w:divBdr>
                    </w:div>
                    <w:div w:id="1351950707">
                      <w:marLeft w:val="0"/>
                      <w:marRight w:val="0"/>
                      <w:marTop w:val="0"/>
                      <w:marBottom w:val="0"/>
                      <w:divBdr>
                        <w:top w:val="none" w:sz="0" w:space="0" w:color="auto"/>
                        <w:left w:val="none" w:sz="0" w:space="0" w:color="auto"/>
                        <w:bottom w:val="none" w:sz="0" w:space="0" w:color="auto"/>
                        <w:right w:val="none" w:sz="0" w:space="0" w:color="auto"/>
                      </w:divBdr>
                    </w:div>
                    <w:div w:id="1359812782">
                      <w:marLeft w:val="0"/>
                      <w:marRight w:val="0"/>
                      <w:marTop w:val="0"/>
                      <w:marBottom w:val="0"/>
                      <w:divBdr>
                        <w:top w:val="none" w:sz="0" w:space="0" w:color="auto"/>
                        <w:left w:val="none" w:sz="0" w:space="0" w:color="auto"/>
                        <w:bottom w:val="none" w:sz="0" w:space="0" w:color="auto"/>
                        <w:right w:val="none" w:sz="0" w:space="0" w:color="auto"/>
                      </w:divBdr>
                    </w:div>
                    <w:div w:id="1636721145">
                      <w:marLeft w:val="0"/>
                      <w:marRight w:val="0"/>
                      <w:marTop w:val="0"/>
                      <w:marBottom w:val="0"/>
                      <w:divBdr>
                        <w:top w:val="none" w:sz="0" w:space="0" w:color="auto"/>
                        <w:left w:val="none" w:sz="0" w:space="0" w:color="auto"/>
                        <w:bottom w:val="none" w:sz="0" w:space="0" w:color="auto"/>
                        <w:right w:val="none" w:sz="0" w:space="0" w:color="auto"/>
                      </w:divBdr>
                    </w:div>
                    <w:div w:id="1984964502">
                      <w:marLeft w:val="0"/>
                      <w:marRight w:val="0"/>
                      <w:marTop w:val="0"/>
                      <w:marBottom w:val="0"/>
                      <w:divBdr>
                        <w:top w:val="none" w:sz="0" w:space="0" w:color="auto"/>
                        <w:left w:val="none" w:sz="0" w:space="0" w:color="auto"/>
                        <w:bottom w:val="none" w:sz="0" w:space="0" w:color="auto"/>
                        <w:right w:val="none" w:sz="0" w:space="0" w:color="auto"/>
                      </w:divBdr>
                    </w:div>
                    <w:div w:id="2028552936">
                      <w:marLeft w:val="0"/>
                      <w:marRight w:val="0"/>
                      <w:marTop w:val="0"/>
                      <w:marBottom w:val="0"/>
                      <w:divBdr>
                        <w:top w:val="none" w:sz="0" w:space="0" w:color="auto"/>
                        <w:left w:val="none" w:sz="0" w:space="0" w:color="auto"/>
                        <w:bottom w:val="none" w:sz="0" w:space="0" w:color="auto"/>
                        <w:right w:val="none" w:sz="0" w:space="0" w:color="auto"/>
                      </w:divBdr>
                    </w:div>
                  </w:divsChild>
                </w:div>
                <w:div w:id="507721222">
                  <w:marLeft w:val="0"/>
                  <w:marRight w:val="0"/>
                  <w:marTop w:val="0"/>
                  <w:marBottom w:val="0"/>
                  <w:divBdr>
                    <w:top w:val="none" w:sz="0" w:space="0" w:color="auto"/>
                    <w:left w:val="none" w:sz="0" w:space="0" w:color="auto"/>
                    <w:bottom w:val="none" w:sz="0" w:space="0" w:color="auto"/>
                    <w:right w:val="none" w:sz="0" w:space="0" w:color="auto"/>
                  </w:divBdr>
                  <w:divsChild>
                    <w:div w:id="213347316">
                      <w:marLeft w:val="0"/>
                      <w:marRight w:val="0"/>
                      <w:marTop w:val="0"/>
                      <w:marBottom w:val="0"/>
                      <w:divBdr>
                        <w:top w:val="none" w:sz="0" w:space="0" w:color="auto"/>
                        <w:left w:val="none" w:sz="0" w:space="0" w:color="auto"/>
                        <w:bottom w:val="none" w:sz="0" w:space="0" w:color="auto"/>
                        <w:right w:val="none" w:sz="0" w:space="0" w:color="auto"/>
                      </w:divBdr>
                    </w:div>
                  </w:divsChild>
                </w:div>
                <w:div w:id="588346783">
                  <w:marLeft w:val="0"/>
                  <w:marRight w:val="0"/>
                  <w:marTop w:val="0"/>
                  <w:marBottom w:val="0"/>
                  <w:divBdr>
                    <w:top w:val="none" w:sz="0" w:space="0" w:color="auto"/>
                    <w:left w:val="none" w:sz="0" w:space="0" w:color="auto"/>
                    <w:bottom w:val="none" w:sz="0" w:space="0" w:color="auto"/>
                    <w:right w:val="none" w:sz="0" w:space="0" w:color="auto"/>
                  </w:divBdr>
                  <w:divsChild>
                    <w:div w:id="658119963">
                      <w:marLeft w:val="0"/>
                      <w:marRight w:val="0"/>
                      <w:marTop w:val="0"/>
                      <w:marBottom w:val="0"/>
                      <w:divBdr>
                        <w:top w:val="none" w:sz="0" w:space="0" w:color="auto"/>
                        <w:left w:val="none" w:sz="0" w:space="0" w:color="auto"/>
                        <w:bottom w:val="none" w:sz="0" w:space="0" w:color="auto"/>
                        <w:right w:val="none" w:sz="0" w:space="0" w:color="auto"/>
                      </w:divBdr>
                    </w:div>
                  </w:divsChild>
                </w:div>
                <w:div w:id="694968762">
                  <w:marLeft w:val="0"/>
                  <w:marRight w:val="0"/>
                  <w:marTop w:val="0"/>
                  <w:marBottom w:val="0"/>
                  <w:divBdr>
                    <w:top w:val="none" w:sz="0" w:space="0" w:color="auto"/>
                    <w:left w:val="none" w:sz="0" w:space="0" w:color="auto"/>
                    <w:bottom w:val="none" w:sz="0" w:space="0" w:color="auto"/>
                    <w:right w:val="none" w:sz="0" w:space="0" w:color="auto"/>
                  </w:divBdr>
                  <w:divsChild>
                    <w:div w:id="144711857">
                      <w:marLeft w:val="0"/>
                      <w:marRight w:val="0"/>
                      <w:marTop w:val="0"/>
                      <w:marBottom w:val="0"/>
                      <w:divBdr>
                        <w:top w:val="none" w:sz="0" w:space="0" w:color="auto"/>
                        <w:left w:val="none" w:sz="0" w:space="0" w:color="auto"/>
                        <w:bottom w:val="none" w:sz="0" w:space="0" w:color="auto"/>
                        <w:right w:val="none" w:sz="0" w:space="0" w:color="auto"/>
                      </w:divBdr>
                    </w:div>
                    <w:div w:id="623771914">
                      <w:marLeft w:val="0"/>
                      <w:marRight w:val="0"/>
                      <w:marTop w:val="0"/>
                      <w:marBottom w:val="0"/>
                      <w:divBdr>
                        <w:top w:val="none" w:sz="0" w:space="0" w:color="auto"/>
                        <w:left w:val="none" w:sz="0" w:space="0" w:color="auto"/>
                        <w:bottom w:val="none" w:sz="0" w:space="0" w:color="auto"/>
                        <w:right w:val="none" w:sz="0" w:space="0" w:color="auto"/>
                      </w:divBdr>
                    </w:div>
                    <w:div w:id="730808149">
                      <w:marLeft w:val="0"/>
                      <w:marRight w:val="0"/>
                      <w:marTop w:val="0"/>
                      <w:marBottom w:val="0"/>
                      <w:divBdr>
                        <w:top w:val="none" w:sz="0" w:space="0" w:color="auto"/>
                        <w:left w:val="none" w:sz="0" w:space="0" w:color="auto"/>
                        <w:bottom w:val="none" w:sz="0" w:space="0" w:color="auto"/>
                        <w:right w:val="none" w:sz="0" w:space="0" w:color="auto"/>
                      </w:divBdr>
                    </w:div>
                    <w:div w:id="775446100">
                      <w:marLeft w:val="0"/>
                      <w:marRight w:val="0"/>
                      <w:marTop w:val="0"/>
                      <w:marBottom w:val="0"/>
                      <w:divBdr>
                        <w:top w:val="none" w:sz="0" w:space="0" w:color="auto"/>
                        <w:left w:val="none" w:sz="0" w:space="0" w:color="auto"/>
                        <w:bottom w:val="none" w:sz="0" w:space="0" w:color="auto"/>
                        <w:right w:val="none" w:sz="0" w:space="0" w:color="auto"/>
                      </w:divBdr>
                    </w:div>
                    <w:div w:id="820000536">
                      <w:marLeft w:val="0"/>
                      <w:marRight w:val="0"/>
                      <w:marTop w:val="0"/>
                      <w:marBottom w:val="0"/>
                      <w:divBdr>
                        <w:top w:val="none" w:sz="0" w:space="0" w:color="auto"/>
                        <w:left w:val="none" w:sz="0" w:space="0" w:color="auto"/>
                        <w:bottom w:val="none" w:sz="0" w:space="0" w:color="auto"/>
                        <w:right w:val="none" w:sz="0" w:space="0" w:color="auto"/>
                      </w:divBdr>
                    </w:div>
                    <w:div w:id="870996279">
                      <w:marLeft w:val="0"/>
                      <w:marRight w:val="0"/>
                      <w:marTop w:val="0"/>
                      <w:marBottom w:val="0"/>
                      <w:divBdr>
                        <w:top w:val="none" w:sz="0" w:space="0" w:color="auto"/>
                        <w:left w:val="none" w:sz="0" w:space="0" w:color="auto"/>
                        <w:bottom w:val="none" w:sz="0" w:space="0" w:color="auto"/>
                        <w:right w:val="none" w:sz="0" w:space="0" w:color="auto"/>
                      </w:divBdr>
                    </w:div>
                    <w:div w:id="991984663">
                      <w:marLeft w:val="0"/>
                      <w:marRight w:val="0"/>
                      <w:marTop w:val="0"/>
                      <w:marBottom w:val="0"/>
                      <w:divBdr>
                        <w:top w:val="none" w:sz="0" w:space="0" w:color="auto"/>
                        <w:left w:val="none" w:sz="0" w:space="0" w:color="auto"/>
                        <w:bottom w:val="none" w:sz="0" w:space="0" w:color="auto"/>
                        <w:right w:val="none" w:sz="0" w:space="0" w:color="auto"/>
                      </w:divBdr>
                    </w:div>
                    <w:div w:id="1511992631">
                      <w:marLeft w:val="0"/>
                      <w:marRight w:val="0"/>
                      <w:marTop w:val="0"/>
                      <w:marBottom w:val="0"/>
                      <w:divBdr>
                        <w:top w:val="none" w:sz="0" w:space="0" w:color="auto"/>
                        <w:left w:val="none" w:sz="0" w:space="0" w:color="auto"/>
                        <w:bottom w:val="none" w:sz="0" w:space="0" w:color="auto"/>
                        <w:right w:val="none" w:sz="0" w:space="0" w:color="auto"/>
                      </w:divBdr>
                    </w:div>
                    <w:div w:id="1733774851">
                      <w:marLeft w:val="0"/>
                      <w:marRight w:val="0"/>
                      <w:marTop w:val="0"/>
                      <w:marBottom w:val="0"/>
                      <w:divBdr>
                        <w:top w:val="none" w:sz="0" w:space="0" w:color="auto"/>
                        <w:left w:val="none" w:sz="0" w:space="0" w:color="auto"/>
                        <w:bottom w:val="none" w:sz="0" w:space="0" w:color="auto"/>
                        <w:right w:val="none" w:sz="0" w:space="0" w:color="auto"/>
                      </w:divBdr>
                    </w:div>
                    <w:div w:id="1867597018">
                      <w:marLeft w:val="0"/>
                      <w:marRight w:val="0"/>
                      <w:marTop w:val="0"/>
                      <w:marBottom w:val="0"/>
                      <w:divBdr>
                        <w:top w:val="none" w:sz="0" w:space="0" w:color="auto"/>
                        <w:left w:val="none" w:sz="0" w:space="0" w:color="auto"/>
                        <w:bottom w:val="none" w:sz="0" w:space="0" w:color="auto"/>
                        <w:right w:val="none" w:sz="0" w:space="0" w:color="auto"/>
                      </w:divBdr>
                    </w:div>
                    <w:div w:id="1980766083">
                      <w:marLeft w:val="0"/>
                      <w:marRight w:val="0"/>
                      <w:marTop w:val="0"/>
                      <w:marBottom w:val="0"/>
                      <w:divBdr>
                        <w:top w:val="none" w:sz="0" w:space="0" w:color="auto"/>
                        <w:left w:val="none" w:sz="0" w:space="0" w:color="auto"/>
                        <w:bottom w:val="none" w:sz="0" w:space="0" w:color="auto"/>
                        <w:right w:val="none" w:sz="0" w:space="0" w:color="auto"/>
                      </w:divBdr>
                    </w:div>
                    <w:div w:id="1999796756">
                      <w:marLeft w:val="0"/>
                      <w:marRight w:val="0"/>
                      <w:marTop w:val="0"/>
                      <w:marBottom w:val="0"/>
                      <w:divBdr>
                        <w:top w:val="none" w:sz="0" w:space="0" w:color="auto"/>
                        <w:left w:val="none" w:sz="0" w:space="0" w:color="auto"/>
                        <w:bottom w:val="none" w:sz="0" w:space="0" w:color="auto"/>
                        <w:right w:val="none" w:sz="0" w:space="0" w:color="auto"/>
                      </w:divBdr>
                    </w:div>
                    <w:div w:id="2033221332">
                      <w:marLeft w:val="0"/>
                      <w:marRight w:val="0"/>
                      <w:marTop w:val="0"/>
                      <w:marBottom w:val="0"/>
                      <w:divBdr>
                        <w:top w:val="none" w:sz="0" w:space="0" w:color="auto"/>
                        <w:left w:val="none" w:sz="0" w:space="0" w:color="auto"/>
                        <w:bottom w:val="none" w:sz="0" w:space="0" w:color="auto"/>
                        <w:right w:val="none" w:sz="0" w:space="0" w:color="auto"/>
                      </w:divBdr>
                    </w:div>
                  </w:divsChild>
                </w:div>
                <w:div w:id="777411860">
                  <w:marLeft w:val="0"/>
                  <w:marRight w:val="0"/>
                  <w:marTop w:val="0"/>
                  <w:marBottom w:val="0"/>
                  <w:divBdr>
                    <w:top w:val="none" w:sz="0" w:space="0" w:color="auto"/>
                    <w:left w:val="none" w:sz="0" w:space="0" w:color="auto"/>
                    <w:bottom w:val="none" w:sz="0" w:space="0" w:color="auto"/>
                    <w:right w:val="none" w:sz="0" w:space="0" w:color="auto"/>
                  </w:divBdr>
                  <w:divsChild>
                    <w:div w:id="325980759">
                      <w:marLeft w:val="0"/>
                      <w:marRight w:val="0"/>
                      <w:marTop w:val="0"/>
                      <w:marBottom w:val="0"/>
                      <w:divBdr>
                        <w:top w:val="none" w:sz="0" w:space="0" w:color="auto"/>
                        <w:left w:val="none" w:sz="0" w:space="0" w:color="auto"/>
                        <w:bottom w:val="none" w:sz="0" w:space="0" w:color="auto"/>
                        <w:right w:val="none" w:sz="0" w:space="0" w:color="auto"/>
                      </w:divBdr>
                    </w:div>
                    <w:div w:id="819155555">
                      <w:marLeft w:val="0"/>
                      <w:marRight w:val="0"/>
                      <w:marTop w:val="0"/>
                      <w:marBottom w:val="0"/>
                      <w:divBdr>
                        <w:top w:val="none" w:sz="0" w:space="0" w:color="auto"/>
                        <w:left w:val="none" w:sz="0" w:space="0" w:color="auto"/>
                        <w:bottom w:val="none" w:sz="0" w:space="0" w:color="auto"/>
                        <w:right w:val="none" w:sz="0" w:space="0" w:color="auto"/>
                      </w:divBdr>
                    </w:div>
                    <w:div w:id="1244609303">
                      <w:marLeft w:val="0"/>
                      <w:marRight w:val="0"/>
                      <w:marTop w:val="0"/>
                      <w:marBottom w:val="0"/>
                      <w:divBdr>
                        <w:top w:val="none" w:sz="0" w:space="0" w:color="auto"/>
                        <w:left w:val="none" w:sz="0" w:space="0" w:color="auto"/>
                        <w:bottom w:val="none" w:sz="0" w:space="0" w:color="auto"/>
                        <w:right w:val="none" w:sz="0" w:space="0" w:color="auto"/>
                      </w:divBdr>
                    </w:div>
                    <w:div w:id="1379470005">
                      <w:marLeft w:val="0"/>
                      <w:marRight w:val="0"/>
                      <w:marTop w:val="0"/>
                      <w:marBottom w:val="0"/>
                      <w:divBdr>
                        <w:top w:val="none" w:sz="0" w:space="0" w:color="auto"/>
                        <w:left w:val="none" w:sz="0" w:space="0" w:color="auto"/>
                        <w:bottom w:val="none" w:sz="0" w:space="0" w:color="auto"/>
                        <w:right w:val="none" w:sz="0" w:space="0" w:color="auto"/>
                      </w:divBdr>
                    </w:div>
                    <w:div w:id="1403916047">
                      <w:marLeft w:val="0"/>
                      <w:marRight w:val="0"/>
                      <w:marTop w:val="0"/>
                      <w:marBottom w:val="0"/>
                      <w:divBdr>
                        <w:top w:val="none" w:sz="0" w:space="0" w:color="auto"/>
                        <w:left w:val="none" w:sz="0" w:space="0" w:color="auto"/>
                        <w:bottom w:val="none" w:sz="0" w:space="0" w:color="auto"/>
                        <w:right w:val="none" w:sz="0" w:space="0" w:color="auto"/>
                      </w:divBdr>
                    </w:div>
                    <w:div w:id="2081249974">
                      <w:marLeft w:val="0"/>
                      <w:marRight w:val="0"/>
                      <w:marTop w:val="0"/>
                      <w:marBottom w:val="0"/>
                      <w:divBdr>
                        <w:top w:val="none" w:sz="0" w:space="0" w:color="auto"/>
                        <w:left w:val="none" w:sz="0" w:space="0" w:color="auto"/>
                        <w:bottom w:val="none" w:sz="0" w:space="0" w:color="auto"/>
                        <w:right w:val="none" w:sz="0" w:space="0" w:color="auto"/>
                      </w:divBdr>
                    </w:div>
                  </w:divsChild>
                </w:div>
                <w:div w:id="804276491">
                  <w:marLeft w:val="0"/>
                  <w:marRight w:val="0"/>
                  <w:marTop w:val="0"/>
                  <w:marBottom w:val="0"/>
                  <w:divBdr>
                    <w:top w:val="none" w:sz="0" w:space="0" w:color="auto"/>
                    <w:left w:val="none" w:sz="0" w:space="0" w:color="auto"/>
                    <w:bottom w:val="none" w:sz="0" w:space="0" w:color="auto"/>
                    <w:right w:val="none" w:sz="0" w:space="0" w:color="auto"/>
                  </w:divBdr>
                  <w:divsChild>
                    <w:div w:id="53235755">
                      <w:marLeft w:val="0"/>
                      <w:marRight w:val="0"/>
                      <w:marTop w:val="0"/>
                      <w:marBottom w:val="0"/>
                      <w:divBdr>
                        <w:top w:val="none" w:sz="0" w:space="0" w:color="auto"/>
                        <w:left w:val="none" w:sz="0" w:space="0" w:color="auto"/>
                        <w:bottom w:val="none" w:sz="0" w:space="0" w:color="auto"/>
                        <w:right w:val="none" w:sz="0" w:space="0" w:color="auto"/>
                      </w:divBdr>
                    </w:div>
                    <w:div w:id="226577557">
                      <w:marLeft w:val="0"/>
                      <w:marRight w:val="0"/>
                      <w:marTop w:val="0"/>
                      <w:marBottom w:val="0"/>
                      <w:divBdr>
                        <w:top w:val="none" w:sz="0" w:space="0" w:color="auto"/>
                        <w:left w:val="none" w:sz="0" w:space="0" w:color="auto"/>
                        <w:bottom w:val="none" w:sz="0" w:space="0" w:color="auto"/>
                        <w:right w:val="none" w:sz="0" w:space="0" w:color="auto"/>
                      </w:divBdr>
                    </w:div>
                  </w:divsChild>
                </w:div>
                <w:div w:id="860317056">
                  <w:marLeft w:val="0"/>
                  <w:marRight w:val="0"/>
                  <w:marTop w:val="0"/>
                  <w:marBottom w:val="0"/>
                  <w:divBdr>
                    <w:top w:val="none" w:sz="0" w:space="0" w:color="auto"/>
                    <w:left w:val="none" w:sz="0" w:space="0" w:color="auto"/>
                    <w:bottom w:val="none" w:sz="0" w:space="0" w:color="auto"/>
                    <w:right w:val="none" w:sz="0" w:space="0" w:color="auto"/>
                  </w:divBdr>
                  <w:divsChild>
                    <w:div w:id="1410811473">
                      <w:marLeft w:val="0"/>
                      <w:marRight w:val="0"/>
                      <w:marTop w:val="0"/>
                      <w:marBottom w:val="0"/>
                      <w:divBdr>
                        <w:top w:val="none" w:sz="0" w:space="0" w:color="auto"/>
                        <w:left w:val="none" w:sz="0" w:space="0" w:color="auto"/>
                        <w:bottom w:val="none" w:sz="0" w:space="0" w:color="auto"/>
                        <w:right w:val="none" w:sz="0" w:space="0" w:color="auto"/>
                      </w:divBdr>
                    </w:div>
                  </w:divsChild>
                </w:div>
                <w:div w:id="889001652">
                  <w:marLeft w:val="0"/>
                  <w:marRight w:val="0"/>
                  <w:marTop w:val="0"/>
                  <w:marBottom w:val="0"/>
                  <w:divBdr>
                    <w:top w:val="none" w:sz="0" w:space="0" w:color="auto"/>
                    <w:left w:val="none" w:sz="0" w:space="0" w:color="auto"/>
                    <w:bottom w:val="none" w:sz="0" w:space="0" w:color="auto"/>
                    <w:right w:val="none" w:sz="0" w:space="0" w:color="auto"/>
                  </w:divBdr>
                  <w:divsChild>
                    <w:div w:id="656693205">
                      <w:marLeft w:val="0"/>
                      <w:marRight w:val="0"/>
                      <w:marTop w:val="0"/>
                      <w:marBottom w:val="0"/>
                      <w:divBdr>
                        <w:top w:val="none" w:sz="0" w:space="0" w:color="auto"/>
                        <w:left w:val="none" w:sz="0" w:space="0" w:color="auto"/>
                        <w:bottom w:val="none" w:sz="0" w:space="0" w:color="auto"/>
                        <w:right w:val="none" w:sz="0" w:space="0" w:color="auto"/>
                      </w:divBdr>
                    </w:div>
                    <w:div w:id="1714695155">
                      <w:marLeft w:val="0"/>
                      <w:marRight w:val="0"/>
                      <w:marTop w:val="0"/>
                      <w:marBottom w:val="0"/>
                      <w:divBdr>
                        <w:top w:val="none" w:sz="0" w:space="0" w:color="auto"/>
                        <w:left w:val="none" w:sz="0" w:space="0" w:color="auto"/>
                        <w:bottom w:val="none" w:sz="0" w:space="0" w:color="auto"/>
                        <w:right w:val="none" w:sz="0" w:space="0" w:color="auto"/>
                      </w:divBdr>
                    </w:div>
                  </w:divsChild>
                </w:div>
                <w:div w:id="925573279">
                  <w:marLeft w:val="0"/>
                  <w:marRight w:val="0"/>
                  <w:marTop w:val="0"/>
                  <w:marBottom w:val="0"/>
                  <w:divBdr>
                    <w:top w:val="none" w:sz="0" w:space="0" w:color="auto"/>
                    <w:left w:val="none" w:sz="0" w:space="0" w:color="auto"/>
                    <w:bottom w:val="none" w:sz="0" w:space="0" w:color="auto"/>
                    <w:right w:val="none" w:sz="0" w:space="0" w:color="auto"/>
                  </w:divBdr>
                  <w:divsChild>
                    <w:div w:id="526481821">
                      <w:marLeft w:val="0"/>
                      <w:marRight w:val="0"/>
                      <w:marTop w:val="0"/>
                      <w:marBottom w:val="0"/>
                      <w:divBdr>
                        <w:top w:val="none" w:sz="0" w:space="0" w:color="auto"/>
                        <w:left w:val="none" w:sz="0" w:space="0" w:color="auto"/>
                        <w:bottom w:val="none" w:sz="0" w:space="0" w:color="auto"/>
                        <w:right w:val="none" w:sz="0" w:space="0" w:color="auto"/>
                      </w:divBdr>
                    </w:div>
                    <w:div w:id="1517234610">
                      <w:marLeft w:val="0"/>
                      <w:marRight w:val="0"/>
                      <w:marTop w:val="0"/>
                      <w:marBottom w:val="0"/>
                      <w:divBdr>
                        <w:top w:val="none" w:sz="0" w:space="0" w:color="auto"/>
                        <w:left w:val="none" w:sz="0" w:space="0" w:color="auto"/>
                        <w:bottom w:val="none" w:sz="0" w:space="0" w:color="auto"/>
                        <w:right w:val="none" w:sz="0" w:space="0" w:color="auto"/>
                      </w:divBdr>
                    </w:div>
                  </w:divsChild>
                </w:div>
                <w:div w:id="1160655497">
                  <w:marLeft w:val="0"/>
                  <w:marRight w:val="0"/>
                  <w:marTop w:val="0"/>
                  <w:marBottom w:val="0"/>
                  <w:divBdr>
                    <w:top w:val="none" w:sz="0" w:space="0" w:color="auto"/>
                    <w:left w:val="none" w:sz="0" w:space="0" w:color="auto"/>
                    <w:bottom w:val="none" w:sz="0" w:space="0" w:color="auto"/>
                    <w:right w:val="none" w:sz="0" w:space="0" w:color="auto"/>
                  </w:divBdr>
                  <w:divsChild>
                    <w:div w:id="1120227986">
                      <w:marLeft w:val="0"/>
                      <w:marRight w:val="0"/>
                      <w:marTop w:val="0"/>
                      <w:marBottom w:val="0"/>
                      <w:divBdr>
                        <w:top w:val="none" w:sz="0" w:space="0" w:color="auto"/>
                        <w:left w:val="none" w:sz="0" w:space="0" w:color="auto"/>
                        <w:bottom w:val="none" w:sz="0" w:space="0" w:color="auto"/>
                        <w:right w:val="none" w:sz="0" w:space="0" w:color="auto"/>
                      </w:divBdr>
                    </w:div>
                    <w:div w:id="1404252325">
                      <w:marLeft w:val="0"/>
                      <w:marRight w:val="0"/>
                      <w:marTop w:val="0"/>
                      <w:marBottom w:val="0"/>
                      <w:divBdr>
                        <w:top w:val="none" w:sz="0" w:space="0" w:color="auto"/>
                        <w:left w:val="none" w:sz="0" w:space="0" w:color="auto"/>
                        <w:bottom w:val="none" w:sz="0" w:space="0" w:color="auto"/>
                        <w:right w:val="none" w:sz="0" w:space="0" w:color="auto"/>
                      </w:divBdr>
                    </w:div>
                  </w:divsChild>
                </w:div>
                <w:div w:id="1480421872">
                  <w:marLeft w:val="0"/>
                  <w:marRight w:val="0"/>
                  <w:marTop w:val="0"/>
                  <w:marBottom w:val="0"/>
                  <w:divBdr>
                    <w:top w:val="none" w:sz="0" w:space="0" w:color="auto"/>
                    <w:left w:val="none" w:sz="0" w:space="0" w:color="auto"/>
                    <w:bottom w:val="none" w:sz="0" w:space="0" w:color="auto"/>
                    <w:right w:val="none" w:sz="0" w:space="0" w:color="auto"/>
                  </w:divBdr>
                  <w:divsChild>
                    <w:div w:id="217976498">
                      <w:marLeft w:val="0"/>
                      <w:marRight w:val="0"/>
                      <w:marTop w:val="0"/>
                      <w:marBottom w:val="0"/>
                      <w:divBdr>
                        <w:top w:val="none" w:sz="0" w:space="0" w:color="auto"/>
                        <w:left w:val="none" w:sz="0" w:space="0" w:color="auto"/>
                        <w:bottom w:val="none" w:sz="0" w:space="0" w:color="auto"/>
                        <w:right w:val="none" w:sz="0" w:space="0" w:color="auto"/>
                      </w:divBdr>
                    </w:div>
                  </w:divsChild>
                </w:div>
                <w:div w:id="1589928045">
                  <w:marLeft w:val="0"/>
                  <w:marRight w:val="0"/>
                  <w:marTop w:val="0"/>
                  <w:marBottom w:val="0"/>
                  <w:divBdr>
                    <w:top w:val="none" w:sz="0" w:space="0" w:color="auto"/>
                    <w:left w:val="none" w:sz="0" w:space="0" w:color="auto"/>
                    <w:bottom w:val="none" w:sz="0" w:space="0" w:color="auto"/>
                    <w:right w:val="none" w:sz="0" w:space="0" w:color="auto"/>
                  </w:divBdr>
                  <w:divsChild>
                    <w:div w:id="280503187">
                      <w:marLeft w:val="0"/>
                      <w:marRight w:val="0"/>
                      <w:marTop w:val="0"/>
                      <w:marBottom w:val="0"/>
                      <w:divBdr>
                        <w:top w:val="none" w:sz="0" w:space="0" w:color="auto"/>
                        <w:left w:val="none" w:sz="0" w:space="0" w:color="auto"/>
                        <w:bottom w:val="none" w:sz="0" w:space="0" w:color="auto"/>
                        <w:right w:val="none" w:sz="0" w:space="0" w:color="auto"/>
                      </w:divBdr>
                    </w:div>
                    <w:div w:id="339351374">
                      <w:marLeft w:val="0"/>
                      <w:marRight w:val="0"/>
                      <w:marTop w:val="0"/>
                      <w:marBottom w:val="0"/>
                      <w:divBdr>
                        <w:top w:val="none" w:sz="0" w:space="0" w:color="auto"/>
                        <w:left w:val="none" w:sz="0" w:space="0" w:color="auto"/>
                        <w:bottom w:val="none" w:sz="0" w:space="0" w:color="auto"/>
                        <w:right w:val="none" w:sz="0" w:space="0" w:color="auto"/>
                      </w:divBdr>
                    </w:div>
                  </w:divsChild>
                </w:div>
                <w:div w:id="1665350338">
                  <w:marLeft w:val="0"/>
                  <w:marRight w:val="0"/>
                  <w:marTop w:val="0"/>
                  <w:marBottom w:val="0"/>
                  <w:divBdr>
                    <w:top w:val="none" w:sz="0" w:space="0" w:color="auto"/>
                    <w:left w:val="none" w:sz="0" w:space="0" w:color="auto"/>
                    <w:bottom w:val="none" w:sz="0" w:space="0" w:color="auto"/>
                    <w:right w:val="none" w:sz="0" w:space="0" w:color="auto"/>
                  </w:divBdr>
                  <w:divsChild>
                    <w:div w:id="60370259">
                      <w:marLeft w:val="0"/>
                      <w:marRight w:val="0"/>
                      <w:marTop w:val="0"/>
                      <w:marBottom w:val="0"/>
                      <w:divBdr>
                        <w:top w:val="none" w:sz="0" w:space="0" w:color="auto"/>
                        <w:left w:val="none" w:sz="0" w:space="0" w:color="auto"/>
                        <w:bottom w:val="none" w:sz="0" w:space="0" w:color="auto"/>
                        <w:right w:val="none" w:sz="0" w:space="0" w:color="auto"/>
                      </w:divBdr>
                    </w:div>
                    <w:div w:id="339432020">
                      <w:marLeft w:val="0"/>
                      <w:marRight w:val="0"/>
                      <w:marTop w:val="0"/>
                      <w:marBottom w:val="0"/>
                      <w:divBdr>
                        <w:top w:val="none" w:sz="0" w:space="0" w:color="auto"/>
                        <w:left w:val="none" w:sz="0" w:space="0" w:color="auto"/>
                        <w:bottom w:val="none" w:sz="0" w:space="0" w:color="auto"/>
                        <w:right w:val="none" w:sz="0" w:space="0" w:color="auto"/>
                      </w:divBdr>
                    </w:div>
                  </w:divsChild>
                </w:div>
                <w:div w:id="1731034016">
                  <w:marLeft w:val="0"/>
                  <w:marRight w:val="0"/>
                  <w:marTop w:val="0"/>
                  <w:marBottom w:val="0"/>
                  <w:divBdr>
                    <w:top w:val="none" w:sz="0" w:space="0" w:color="auto"/>
                    <w:left w:val="none" w:sz="0" w:space="0" w:color="auto"/>
                    <w:bottom w:val="none" w:sz="0" w:space="0" w:color="auto"/>
                    <w:right w:val="none" w:sz="0" w:space="0" w:color="auto"/>
                  </w:divBdr>
                  <w:divsChild>
                    <w:div w:id="285044669">
                      <w:marLeft w:val="0"/>
                      <w:marRight w:val="0"/>
                      <w:marTop w:val="0"/>
                      <w:marBottom w:val="0"/>
                      <w:divBdr>
                        <w:top w:val="none" w:sz="0" w:space="0" w:color="auto"/>
                        <w:left w:val="none" w:sz="0" w:space="0" w:color="auto"/>
                        <w:bottom w:val="none" w:sz="0" w:space="0" w:color="auto"/>
                        <w:right w:val="none" w:sz="0" w:space="0" w:color="auto"/>
                      </w:divBdr>
                    </w:div>
                    <w:div w:id="296952394">
                      <w:marLeft w:val="0"/>
                      <w:marRight w:val="0"/>
                      <w:marTop w:val="0"/>
                      <w:marBottom w:val="0"/>
                      <w:divBdr>
                        <w:top w:val="none" w:sz="0" w:space="0" w:color="auto"/>
                        <w:left w:val="none" w:sz="0" w:space="0" w:color="auto"/>
                        <w:bottom w:val="none" w:sz="0" w:space="0" w:color="auto"/>
                        <w:right w:val="none" w:sz="0" w:space="0" w:color="auto"/>
                      </w:divBdr>
                    </w:div>
                    <w:div w:id="857279134">
                      <w:marLeft w:val="0"/>
                      <w:marRight w:val="0"/>
                      <w:marTop w:val="0"/>
                      <w:marBottom w:val="0"/>
                      <w:divBdr>
                        <w:top w:val="none" w:sz="0" w:space="0" w:color="auto"/>
                        <w:left w:val="none" w:sz="0" w:space="0" w:color="auto"/>
                        <w:bottom w:val="none" w:sz="0" w:space="0" w:color="auto"/>
                        <w:right w:val="none" w:sz="0" w:space="0" w:color="auto"/>
                      </w:divBdr>
                    </w:div>
                    <w:div w:id="888348399">
                      <w:marLeft w:val="0"/>
                      <w:marRight w:val="0"/>
                      <w:marTop w:val="0"/>
                      <w:marBottom w:val="0"/>
                      <w:divBdr>
                        <w:top w:val="none" w:sz="0" w:space="0" w:color="auto"/>
                        <w:left w:val="none" w:sz="0" w:space="0" w:color="auto"/>
                        <w:bottom w:val="none" w:sz="0" w:space="0" w:color="auto"/>
                        <w:right w:val="none" w:sz="0" w:space="0" w:color="auto"/>
                      </w:divBdr>
                    </w:div>
                    <w:div w:id="1128670865">
                      <w:marLeft w:val="0"/>
                      <w:marRight w:val="0"/>
                      <w:marTop w:val="0"/>
                      <w:marBottom w:val="0"/>
                      <w:divBdr>
                        <w:top w:val="none" w:sz="0" w:space="0" w:color="auto"/>
                        <w:left w:val="none" w:sz="0" w:space="0" w:color="auto"/>
                        <w:bottom w:val="none" w:sz="0" w:space="0" w:color="auto"/>
                        <w:right w:val="none" w:sz="0" w:space="0" w:color="auto"/>
                      </w:divBdr>
                    </w:div>
                    <w:div w:id="1146896093">
                      <w:marLeft w:val="0"/>
                      <w:marRight w:val="0"/>
                      <w:marTop w:val="0"/>
                      <w:marBottom w:val="0"/>
                      <w:divBdr>
                        <w:top w:val="none" w:sz="0" w:space="0" w:color="auto"/>
                        <w:left w:val="none" w:sz="0" w:space="0" w:color="auto"/>
                        <w:bottom w:val="none" w:sz="0" w:space="0" w:color="auto"/>
                        <w:right w:val="none" w:sz="0" w:space="0" w:color="auto"/>
                      </w:divBdr>
                    </w:div>
                  </w:divsChild>
                </w:div>
                <w:div w:id="1743991919">
                  <w:marLeft w:val="0"/>
                  <w:marRight w:val="0"/>
                  <w:marTop w:val="0"/>
                  <w:marBottom w:val="0"/>
                  <w:divBdr>
                    <w:top w:val="none" w:sz="0" w:space="0" w:color="auto"/>
                    <w:left w:val="none" w:sz="0" w:space="0" w:color="auto"/>
                    <w:bottom w:val="none" w:sz="0" w:space="0" w:color="auto"/>
                    <w:right w:val="none" w:sz="0" w:space="0" w:color="auto"/>
                  </w:divBdr>
                  <w:divsChild>
                    <w:div w:id="2560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0516">
          <w:marLeft w:val="0"/>
          <w:marRight w:val="0"/>
          <w:marTop w:val="0"/>
          <w:marBottom w:val="0"/>
          <w:divBdr>
            <w:top w:val="none" w:sz="0" w:space="0" w:color="auto"/>
            <w:left w:val="none" w:sz="0" w:space="0" w:color="auto"/>
            <w:bottom w:val="none" w:sz="0" w:space="0" w:color="auto"/>
            <w:right w:val="none" w:sz="0" w:space="0" w:color="auto"/>
          </w:divBdr>
          <w:divsChild>
            <w:div w:id="67308881">
              <w:marLeft w:val="0"/>
              <w:marRight w:val="0"/>
              <w:marTop w:val="0"/>
              <w:marBottom w:val="0"/>
              <w:divBdr>
                <w:top w:val="none" w:sz="0" w:space="0" w:color="auto"/>
                <w:left w:val="none" w:sz="0" w:space="0" w:color="auto"/>
                <w:bottom w:val="none" w:sz="0" w:space="0" w:color="auto"/>
                <w:right w:val="none" w:sz="0" w:space="0" w:color="auto"/>
              </w:divBdr>
            </w:div>
            <w:div w:id="167789270">
              <w:marLeft w:val="0"/>
              <w:marRight w:val="0"/>
              <w:marTop w:val="0"/>
              <w:marBottom w:val="0"/>
              <w:divBdr>
                <w:top w:val="none" w:sz="0" w:space="0" w:color="auto"/>
                <w:left w:val="none" w:sz="0" w:space="0" w:color="auto"/>
                <w:bottom w:val="none" w:sz="0" w:space="0" w:color="auto"/>
                <w:right w:val="none" w:sz="0" w:space="0" w:color="auto"/>
              </w:divBdr>
            </w:div>
            <w:div w:id="202209497">
              <w:marLeft w:val="0"/>
              <w:marRight w:val="0"/>
              <w:marTop w:val="0"/>
              <w:marBottom w:val="0"/>
              <w:divBdr>
                <w:top w:val="none" w:sz="0" w:space="0" w:color="auto"/>
                <w:left w:val="none" w:sz="0" w:space="0" w:color="auto"/>
                <w:bottom w:val="none" w:sz="0" w:space="0" w:color="auto"/>
                <w:right w:val="none" w:sz="0" w:space="0" w:color="auto"/>
              </w:divBdr>
            </w:div>
            <w:div w:id="437724310">
              <w:marLeft w:val="0"/>
              <w:marRight w:val="0"/>
              <w:marTop w:val="0"/>
              <w:marBottom w:val="0"/>
              <w:divBdr>
                <w:top w:val="none" w:sz="0" w:space="0" w:color="auto"/>
                <w:left w:val="none" w:sz="0" w:space="0" w:color="auto"/>
                <w:bottom w:val="none" w:sz="0" w:space="0" w:color="auto"/>
                <w:right w:val="none" w:sz="0" w:space="0" w:color="auto"/>
              </w:divBdr>
            </w:div>
            <w:div w:id="678629460">
              <w:marLeft w:val="0"/>
              <w:marRight w:val="0"/>
              <w:marTop w:val="0"/>
              <w:marBottom w:val="0"/>
              <w:divBdr>
                <w:top w:val="none" w:sz="0" w:space="0" w:color="auto"/>
                <w:left w:val="none" w:sz="0" w:space="0" w:color="auto"/>
                <w:bottom w:val="none" w:sz="0" w:space="0" w:color="auto"/>
                <w:right w:val="none" w:sz="0" w:space="0" w:color="auto"/>
              </w:divBdr>
            </w:div>
            <w:div w:id="715737826">
              <w:marLeft w:val="0"/>
              <w:marRight w:val="0"/>
              <w:marTop w:val="0"/>
              <w:marBottom w:val="0"/>
              <w:divBdr>
                <w:top w:val="none" w:sz="0" w:space="0" w:color="auto"/>
                <w:left w:val="none" w:sz="0" w:space="0" w:color="auto"/>
                <w:bottom w:val="none" w:sz="0" w:space="0" w:color="auto"/>
                <w:right w:val="none" w:sz="0" w:space="0" w:color="auto"/>
              </w:divBdr>
            </w:div>
            <w:div w:id="876968418">
              <w:marLeft w:val="0"/>
              <w:marRight w:val="0"/>
              <w:marTop w:val="0"/>
              <w:marBottom w:val="0"/>
              <w:divBdr>
                <w:top w:val="none" w:sz="0" w:space="0" w:color="auto"/>
                <w:left w:val="none" w:sz="0" w:space="0" w:color="auto"/>
                <w:bottom w:val="none" w:sz="0" w:space="0" w:color="auto"/>
                <w:right w:val="none" w:sz="0" w:space="0" w:color="auto"/>
              </w:divBdr>
            </w:div>
            <w:div w:id="877159401">
              <w:marLeft w:val="0"/>
              <w:marRight w:val="0"/>
              <w:marTop w:val="0"/>
              <w:marBottom w:val="0"/>
              <w:divBdr>
                <w:top w:val="none" w:sz="0" w:space="0" w:color="auto"/>
                <w:left w:val="none" w:sz="0" w:space="0" w:color="auto"/>
                <w:bottom w:val="none" w:sz="0" w:space="0" w:color="auto"/>
                <w:right w:val="none" w:sz="0" w:space="0" w:color="auto"/>
              </w:divBdr>
            </w:div>
            <w:div w:id="1089548694">
              <w:marLeft w:val="0"/>
              <w:marRight w:val="0"/>
              <w:marTop w:val="0"/>
              <w:marBottom w:val="0"/>
              <w:divBdr>
                <w:top w:val="none" w:sz="0" w:space="0" w:color="auto"/>
                <w:left w:val="none" w:sz="0" w:space="0" w:color="auto"/>
                <w:bottom w:val="none" w:sz="0" w:space="0" w:color="auto"/>
                <w:right w:val="none" w:sz="0" w:space="0" w:color="auto"/>
              </w:divBdr>
            </w:div>
            <w:div w:id="1099717933">
              <w:marLeft w:val="0"/>
              <w:marRight w:val="0"/>
              <w:marTop w:val="0"/>
              <w:marBottom w:val="0"/>
              <w:divBdr>
                <w:top w:val="none" w:sz="0" w:space="0" w:color="auto"/>
                <w:left w:val="none" w:sz="0" w:space="0" w:color="auto"/>
                <w:bottom w:val="none" w:sz="0" w:space="0" w:color="auto"/>
                <w:right w:val="none" w:sz="0" w:space="0" w:color="auto"/>
              </w:divBdr>
            </w:div>
            <w:div w:id="1129280138">
              <w:marLeft w:val="0"/>
              <w:marRight w:val="0"/>
              <w:marTop w:val="0"/>
              <w:marBottom w:val="0"/>
              <w:divBdr>
                <w:top w:val="none" w:sz="0" w:space="0" w:color="auto"/>
                <w:left w:val="none" w:sz="0" w:space="0" w:color="auto"/>
                <w:bottom w:val="none" w:sz="0" w:space="0" w:color="auto"/>
                <w:right w:val="none" w:sz="0" w:space="0" w:color="auto"/>
              </w:divBdr>
            </w:div>
            <w:div w:id="1289552518">
              <w:marLeft w:val="0"/>
              <w:marRight w:val="0"/>
              <w:marTop w:val="0"/>
              <w:marBottom w:val="0"/>
              <w:divBdr>
                <w:top w:val="none" w:sz="0" w:space="0" w:color="auto"/>
                <w:left w:val="none" w:sz="0" w:space="0" w:color="auto"/>
                <w:bottom w:val="none" w:sz="0" w:space="0" w:color="auto"/>
                <w:right w:val="none" w:sz="0" w:space="0" w:color="auto"/>
              </w:divBdr>
            </w:div>
            <w:div w:id="1368676178">
              <w:marLeft w:val="0"/>
              <w:marRight w:val="0"/>
              <w:marTop w:val="0"/>
              <w:marBottom w:val="0"/>
              <w:divBdr>
                <w:top w:val="none" w:sz="0" w:space="0" w:color="auto"/>
                <w:left w:val="none" w:sz="0" w:space="0" w:color="auto"/>
                <w:bottom w:val="none" w:sz="0" w:space="0" w:color="auto"/>
                <w:right w:val="none" w:sz="0" w:space="0" w:color="auto"/>
              </w:divBdr>
            </w:div>
            <w:div w:id="1458061235">
              <w:marLeft w:val="0"/>
              <w:marRight w:val="0"/>
              <w:marTop w:val="0"/>
              <w:marBottom w:val="0"/>
              <w:divBdr>
                <w:top w:val="none" w:sz="0" w:space="0" w:color="auto"/>
                <w:left w:val="none" w:sz="0" w:space="0" w:color="auto"/>
                <w:bottom w:val="none" w:sz="0" w:space="0" w:color="auto"/>
                <w:right w:val="none" w:sz="0" w:space="0" w:color="auto"/>
              </w:divBdr>
            </w:div>
            <w:div w:id="1513497147">
              <w:marLeft w:val="0"/>
              <w:marRight w:val="0"/>
              <w:marTop w:val="0"/>
              <w:marBottom w:val="0"/>
              <w:divBdr>
                <w:top w:val="none" w:sz="0" w:space="0" w:color="auto"/>
                <w:left w:val="none" w:sz="0" w:space="0" w:color="auto"/>
                <w:bottom w:val="none" w:sz="0" w:space="0" w:color="auto"/>
                <w:right w:val="none" w:sz="0" w:space="0" w:color="auto"/>
              </w:divBdr>
            </w:div>
            <w:div w:id="1563055393">
              <w:marLeft w:val="0"/>
              <w:marRight w:val="0"/>
              <w:marTop w:val="0"/>
              <w:marBottom w:val="0"/>
              <w:divBdr>
                <w:top w:val="none" w:sz="0" w:space="0" w:color="auto"/>
                <w:left w:val="none" w:sz="0" w:space="0" w:color="auto"/>
                <w:bottom w:val="none" w:sz="0" w:space="0" w:color="auto"/>
                <w:right w:val="none" w:sz="0" w:space="0" w:color="auto"/>
              </w:divBdr>
            </w:div>
            <w:div w:id="1644459285">
              <w:marLeft w:val="0"/>
              <w:marRight w:val="0"/>
              <w:marTop w:val="0"/>
              <w:marBottom w:val="0"/>
              <w:divBdr>
                <w:top w:val="none" w:sz="0" w:space="0" w:color="auto"/>
                <w:left w:val="none" w:sz="0" w:space="0" w:color="auto"/>
                <w:bottom w:val="none" w:sz="0" w:space="0" w:color="auto"/>
                <w:right w:val="none" w:sz="0" w:space="0" w:color="auto"/>
              </w:divBdr>
            </w:div>
            <w:div w:id="1716200859">
              <w:marLeft w:val="0"/>
              <w:marRight w:val="0"/>
              <w:marTop w:val="0"/>
              <w:marBottom w:val="0"/>
              <w:divBdr>
                <w:top w:val="none" w:sz="0" w:space="0" w:color="auto"/>
                <w:left w:val="none" w:sz="0" w:space="0" w:color="auto"/>
                <w:bottom w:val="none" w:sz="0" w:space="0" w:color="auto"/>
                <w:right w:val="none" w:sz="0" w:space="0" w:color="auto"/>
              </w:divBdr>
            </w:div>
            <w:div w:id="1852332085">
              <w:marLeft w:val="0"/>
              <w:marRight w:val="0"/>
              <w:marTop w:val="0"/>
              <w:marBottom w:val="0"/>
              <w:divBdr>
                <w:top w:val="none" w:sz="0" w:space="0" w:color="auto"/>
                <w:left w:val="none" w:sz="0" w:space="0" w:color="auto"/>
                <w:bottom w:val="none" w:sz="0" w:space="0" w:color="auto"/>
                <w:right w:val="none" w:sz="0" w:space="0" w:color="auto"/>
              </w:divBdr>
            </w:div>
            <w:div w:id="2098475846">
              <w:marLeft w:val="0"/>
              <w:marRight w:val="0"/>
              <w:marTop w:val="0"/>
              <w:marBottom w:val="0"/>
              <w:divBdr>
                <w:top w:val="none" w:sz="0" w:space="0" w:color="auto"/>
                <w:left w:val="none" w:sz="0" w:space="0" w:color="auto"/>
                <w:bottom w:val="none" w:sz="0" w:space="0" w:color="auto"/>
                <w:right w:val="none" w:sz="0" w:space="0" w:color="auto"/>
              </w:divBdr>
            </w:div>
          </w:divsChild>
        </w:div>
        <w:div w:id="1503542962">
          <w:marLeft w:val="0"/>
          <w:marRight w:val="0"/>
          <w:marTop w:val="0"/>
          <w:marBottom w:val="0"/>
          <w:divBdr>
            <w:top w:val="none" w:sz="0" w:space="0" w:color="auto"/>
            <w:left w:val="none" w:sz="0" w:space="0" w:color="auto"/>
            <w:bottom w:val="none" w:sz="0" w:space="0" w:color="auto"/>
            <w:right w:val="none" w:sz="0" w:space="0" w:color="auto"/>
          </w:divBdr>
        </w:div>
        <w:div w:id="1599823460">
          <w:marLeft w:val="0"/>
          <w:marRight w:val="0"/>
          <w:marTop w:val="0"/>
          <w:marBottom w:val="0"/>
          <w:divBdr>
            <w:top w:val="none" w:sz="0" w:space="0" w:color="auto"/>
            <w:left w:val="none" w:sz="0" w:space="0" w:color="auto"/>
            <w:bottom w:val="none" w:sz="0" w:space="0" w:color="auto"/>
            <w:right w:val="none" w:sz="0" w:space="0" w:color="auto"/>
          </w:divBdr>
        </w:div>
        <w:div w:id="1600285831">
          <w:marLeft w:val="0"/>
          <w:marRight w:val="0"/>
          <w:marTop w:val="0"/>
          <w:marBottom w:val="0"/>
          <w:divBdr>
            <w:top w:val="none" w:sz="0" w:space="0" w:color="auto"/>
            <w:left w:val="none" w:sz="0" w:space="0" w:color="auto"/>
            <w:bottom w:val="none" w:sz="0" w:space="0" w:color="auto"/>
            <w:right w:val="none" w:sz="0" w:space="0" w:color="auto"/>
          </w:divBdr>
        </w:div>
        <w:div w:id="1631549063">
          <w:marLeft w:val="0"/>
          <w:marRight w:val="0"/>
          <w:marTop w:val="0"/>
          <w:marBottom w:val="0"/>
          <w:divBdr>
            <w:top w:val="none" w:sz="0" w:space="0" w:color="auto"/>
            <w:left w:val="none" w:sz="0" w:space="0" w:color="auto"/>
            <w:bottom w:val="none" w:sz="0" w:space="0" w:color="auto"/>
            <w:right w:val="none" w:sz="0" w:space="0" w:color="auto"/>
          </w:divBdr>
        </w:div>
        <w:div w:id="1646736411">
          <w:marLeft w:val="0"/>
          <w:marRight w:val="0"/>
          <w:marTop w:val="0"/>
          <w:marBottom w:val="0"/>
          <w:divBdr>
            <w:top w:val="none" w:sz="0" w:space="0" w:color="auto"/>
            <w:left w:val="none" w:sz="0" w:space="0" w:color="auto"/>
            <w:bottom w:val="none" w:sz="0" w:space="0" w:color="auto"/>
            <w:right w:val="none" w:sz="0" w:space="0" w:color="auto"/>
          </w:divBdr>
        </w:div>
        <w:div w:id="1669864593">
          <w:marLeft w:val="0"/>
          <w:marRight w:val="0"/>
          <w:marTop w:val="0"/>
          <w:marBottom w:val="0"/>
          <w:divBdr>
            <w:top w:val="none" w:sz="0" w:space="0" w:color="auto"/>
            <w:left w:val="none" w:sz="0" w:space="0" w:color="auto"/>
            <w:bottom w:val="none" w:sz="0" w:space="0" w:color="auto"/>
            <w:right w:val="none" w:sz="0" w:space="0" w:color="auto"/>
          </w:divBdr>
        </w:div>
        <w:div w:id="1691636302">
          <w:marLeft w:val="0"/>
          <w:marRight w:val="0"/>
          <w:marTop w:val="0"/>
          <w:marBottom w:val="0"/>
          <w:divBdr>
            <w:top w:val="none" w:sz="0" w:space="0" w:color="auto"/>
            <w:left w:val="none" w:sz="0" w:space="0" w:color="auto"/>
            <w:bottom w:val="none" w:sz="0" w:space="0" w:color="auto"/>
            <w:right w:val="none" w:sz="0" w:space="0" w:color="auto"/>
          </w:divBdr>
        </w:div>
        <w:div w:id="1783963633">
          <w:marLeft w:val="0"/>
          <w:marRight w:val="0"/>
          <w:marTop w:val="0"/>
          <w:marBottom w:val="0"/>
          <w:divBdr>
            <w:top w:val="none" w:sz="0" w:space="0" w:color="auto"/>
            <w:left w:val="none" w:sz="0" w:space="0" w:color="auto"/>
            <w:bottom w:val="none" w:sz="0" w:space="0" w:color="auto"/>
            <w:right w:val="none" w:sz="0" w:space="0" w:color="auto"/>
          </w:divBdr>
        </w:div>
        <w:div w:id="1796754110">
          <w:marLeft w:val="0"/>
          <w:marRight w:val="0"/>
          <w:marTop w:val="0"/>
          <w:marBottom w:val="0"/>
          <w:divBdr>
            <w:top w:val="none" w:sz="0" w:space="0" w:color="auto"/>
            <w:left w:val="none" w:sz="0" w:space="0" w:color="auto"/>
            <w:bottom w:val="none" w:sz="0" w:space="0" w:color="auto"/>
            <w:right w:val="none" w:sz="0" w:space="0" w:color="auto"/>
          </w:divBdr>
        </w:div>
        <w:div w:id="1907646586">
          <w:marLeft w:val="0"/>
          <w:marRight w:val="0"/>
          <w:marTop w:val="0"/>
          <w:marBottom w:val="0"/>
          <w:divBdr>
            <w:top w:val="none" w:sz="0" w:space="0" w:color="auto"/>
            <w:left w:val="none" w:sz="0" w:space="0" w:color="auto"/>
            <w:bottom w:val="none" w:sz="0" w:space="0" w:color="auto"/>
            <w:right w:val="none" w:sz="0" w:space="0" w:color="auto"/>
          </w:divBdr>
        </w:div>
        <w:div w:id="1951739762">
          <w:marLeft w:val="0"/>
          <w:marRight w:val="0"/>
          <w:marTop w:val="0"/>
          <w:marBottom w:val="0"/>
          <w:divBdr>
            <w:top w:val="none" w:sz="0" w:space="0" w:color="auto"/>
            <w:left w:val="none" w:sz="0" w:space="0" w:color="auto"/>
            <w:bottom w:val="none" w:sz="0" w:space="0" w:color="auto"/>
            <w:right w:val="none" w:sz="0" w:space="0" w:color="auto"/>
          </w:divBdr>
        </w:div>
        <w:div w:id="1987660152">
          <w:marLeft w:val="0"/>
          <w:marRight w:val="0"/>
          <w:marTop w:val="0"/>
          <w:marBottom w:val="0"/>
          <w:divBdr>
            <w:top w:val="none" w:sz="0" w:space="0" w:color="auto"/>
            <w:left w:val="none" w:sz="0" w:space="0" w:color="auto"/>
            <w:bottom w:val="none" w:sz="0" w:space="0" w:color="auto"/>
            <w:right w:val="none" w:sz="0" w:space="0" w:color="auto"/>
          </w:divBdr>
        </w:div>
        <w:div w:id="2025863948">
          <w:marLeft w:val="0"/>
          <w:marRight w:val="0"/>
          <w:marTop w:val="0"/>
          <w:marBottom w:val="0"/>
          <w:divBdr>
            <w:top w:val="none" w:sz="0" w:space="0" w:color="auto"/>
            <w:left w:val="none" w:sz="0" w:space="0" w:color="auto"/>
            <w:bottom w:val="none" w:sz="0" w:space="0" w:color="auto"/>
            <w:right w:val="none" w:sz="0" w:space="0" w:color="auto"/>
          </w:divBdr>
        </w:div>
        <w:div w:id="2040815840">
          <w:marLeft w:val="0"/>
          <w:marRight w:val="0"/>
          <w:marTop w:val="0"/>
          <w:marBottom w:val="0"/>
          <w:divBdr>
            <w:top w:val="none" w:sz="0" w:space="0" w:color="auto"/>
            <w:left w:val="none" w:sz="0" w:space="0" w:color="auto"/>
            <w:bottom w:val="none" w:sz="0" w:space="0" w:color="auto"/>
            <w:right w:val="none" w:sz="0" w:space="0" w:color="auto"/>
          </w:divBdr>
        </w:div>
        <w:div w:id="2124373738">
          <w:marLeft w:val="0"/>
          <w:marRight w:val="0"/>
          <w:marTop w:val="0"/>
          <w:marBottom w:val="0"/>
          <w:divBdr>
            <w:top w:val="none" w:sz="0" w:space="0" w:color="auto"/>
            <w:left w:val="none" w:sz="0" w:space="0" w:color="auto"/>
            <w:bottom w:val="none" w:sz="0" w:space="0" w:color="auto"/>
            <w:right w:val="none" w:sz="0" w:space="0" w:color="auto"/>
          </w:divBdr>
        </w:div>
      </w:divsChild>
    </w:div>
    <w:div w:id="1267931201">
      <w:bodyDiv w:val="1"/>
      <w:marLeft w:val="0"/>
      <w:marRight w:val="0"/>
      <w:marTop w:val="0"/>
      <w:marBottom w:val="0"/>
      <w:divBdr>
        <w:top w:val="none" w:sz="0" w:space="0" w:color="auto"/>
        <w:left w:val="none" w:sz="0" w:space="0" w:color="auto"/>
        <w:bottom w:val="none" w:sz="0" w:space="0" w:color="auto"/>
        <w:right w:val="none" w:sz="0" w:space="0" w:color="auto"/>
      </w:divBdr>
      <w:divsChild>
        <w:div w:id="251744327">
          <w:marLeft w:val="0"/>
          <w:marRight w:val="0"/>
          <w:marTop w:val="0"/>
          <w:marBottom w:val="0"/>
          <w:divBdr>
            <w:top w:val="none" w:sz="0" w:space="0" w:color="auto"/>
            <w:left w:val="none" w:sz="0" w:space="0" w:color="auto"/>
            <w:bottom w:val="none" w:sz="0" w:space="0" w:color="auto"/>
            <w:right w:val="none" w:sz="0" w:space="0" w:color="auto"/>
          </w:divBdr>
        </w:div>
        <w:div w:id="1661083459">
          <w:marLeft w:val="0"/>
          <w:marRight w:val="0"/>
          <w:marTop w:val="0"/>
          <w:marBottom w:val="0"/>
          <w:divBdr>
            <w:top w:val="none" w:sz="0" w:space="0" w:color="auto"/>
            <w:left w:val="none" w:sz="0" w:space="0" w:color="auto"/>
            <w:bottom w:val="none" w:sz="0" w:space="0" w:color="auto"/>
            <w:right w:val="none" w:sz="0" w:space="0" w:color="auto"/>
          </w:divBdr>
        </w:div>
      </w:divsChild>
    </w:div>
    <w:div w:id="1280067004">
      <w:bodyDiv w:val="1"/>
      <w:marLeft w:val="0"/>
      <w:marRight w:val="0"/>
      <w:marTop w:val="0"/>
      <w:marBottom w:val="0"/>
      <w:divBdr>
        <w:top w:val="none" w:sz="0" w:space="0" w:color="auto"/>
        <w:left w:val="none" w:sz="0" w:space="0" w:color="auto"/>
        <w:bottom w:val="none" w:sz="0" w:space="0" w:color="auto"/>
        <w:right w:val="none" w:sz="0" w:space="0" w:color="auto"/>
      </w:divBdr>
      <w:divsChild>
        <w:div w:id="17512250">
          <w:marLeft w:val="0"/>
          <w:marRight w:val="0"/>
          <w:marTop w:val="0"/>
          <w:marBottom w:val="0"/>
          <w:divBdr>
            <w:top w:val="none" w:sz="0" w:space="0" w:color="auto"/>
            <w:left w:val="none" w:sz="0" w:space="0" w:color="auto"/>
            <w:bottom w:val="none" w:sz="0" w:space="0" w:color="auto"/>
            <w:right w:val="none" w:sz="0" w:space="0" w:color="auto"/>
          </w:divBdr>
        </w:div>
        <w:div w:id="54135305">
          <w:marLeft w:val="0"/>
          <w:marRight w:val="0"/>
          <w:marTop w:val="0"/>
          <w:marBottom w:val="0"/>
          <w:divBdr>
            <w:top w:val="none" w:sz="0" w:space="0" w:color="auto"/>
            <w:left w:val="none" w:sz="0" w:space="0" w:color="auto"/>
            <w:bottom w:val="none" w:sz="0" w:space="0" w:color="auto"/>
            <w:right w:val="none" w:sz="0" w:space="0" w:color="auto"/>
          </w:divBdr>
        </w:div>
        <w:div w:id="76287144">
          <w:marLeft w:val="0"/>
          <w:marRight w:val="0"/>
          <w:marTop w:val="0"/>
          <w:marBottom w:val="0"/>
          <w:divBdr>
            <w:top w:val="none" w:sz="0" w:space="0" w:color="auto"/>
            <w:left w:val="none" w:sz="0" w:space="0" w:color="auto"/>
            <w:bottom w:val="none" w:sz="0" w:space="0" w:color="auto"/>
            <w:right w:val="none" w:sz="0" w:space="0" w:color="auto"/>
          </w:divBdr>
        </w:div>
        <w:div w:id="134759845">
          <w:marLeft w:val="0"/>
          <w:marRight w:val="0"/>
          <w:marTop w:val="0"/>
          <w:marBottom w:val="0"/>
          <w:divBdr>
            <w:top w:val="none" w:sz="0" w:space="0" w:color="auto"/>
            <w:left w:val="none" w:sz="0" w:space="0" w:color="auto"/>
            <w:bottom w:val="none" w:sz="0" w:space="0" w:color="auto"/>
            <w:right w:val="none" w:sz="0" w:space="0" w:color="auto"/>
          </w:divBdr>
        </w:div>
        <w:div w:id="222375648">
          <w:marLeft w:val="0"/>
          <w:marRight w:val="0"/>
          <w:marTop w:val="0"/>
          <w:marBottom w:val="0"/>
          <w:divBdr>
            <w:top w:val="none" w:sz="0" w:space="0" w:color="auto"/>
            <w:left w:val="none" w:sz="0" w:space="0" w:color="auto"/>
            <w:bottom w:val="none" w:sz="0" w:space="0" w:color="auto"/>
            <w:right w:val="none" w:sz="0" w:space="0" w:color="auto"/>
          </w:divBdr>
        </w:div>
        <w:div w:id="283272607">
          <w:marLeft w:val="0"/>
          <w:marRight w:val="0"/>
          <w:marTop w:val="0"/>
          <w:marBottom w:val="0"/>
          <w:divBdr>
            <w:top w:val="none" w:sz="0" w:space="0" w:color="auto"/>
            <w:left w:val="none" w:sz="0" w:space="0" w:color="auto"/>
            <w:bottom w:val="none" w:sz="0" w:space="0" w:color="auto"/>
            <w:right w:val="none" w:sz="0" w:space="0" w:color="auto"/>
          </w:divBdr>
        </w:div>
        <w:div w:id="389840690">
          <w:marLeft w:val="0"/>
          <w:marRight w:val="0"/>
          <w:marTop w:val="0"/>
          <w:marBottom w:val="0"/>
          <w:divBdr>
            <w:top w:val="none" w:sz="0" w:space="0" w:color="auto"/>
            <w:left w:val="none" w:sz="0" w:space="0" w:color="auto"/>
            <w:bottom w:val="none" w:sz="0" w:space="0" w:color="auto"/>
            <w:right w:val="none" w:sz="0" w:space="0" w:color="auto"/>
          </w:divBdr>
        </w:div>
        <w:div w:id="426313653">
          <w:marLeft w:val="0"/>
          <w:marRight w:val="0"/>
          <w:marTop w:val="0"/>
          <w:marBottom w:val="0"/>
          <w:divBdr>
            <w:top w:val="none" w:sz="0" w:space="0" w:color="auto"/>
            <w:left w:val="none" w:sz="0" w:space="0" w:color="auto"/>
            <w:bottom w:val="none" w:sz="0" w:space="0" w:color="auto"/>
            <w:right w:val="none" w:sz="0" w:space="0" w:color="auto"/>
          </w:divBdr>
        </w:div>
        <w:div w:id="433673646">
          <w:marLeft w:val="0"/>
          <w:marRight w:val="0"/>
          <w:marTop w:val="0"/>
          <w:marBottom w:val="0"/>
          <w:divBdr>
            <w:top w:val="none" w:sz="0" w:space="0" w:color="auto"/>
            <w:left w:val="none" w:sz="0" w:space="0" w:color="auto"/>
            <w:bottom w:val="none" w:sz="0" w:space="0" w:color="auto"/>
            <w:right w:val="none" w:sz="0" w:space="0" w:color="auto"/>
          </w:divBdr>
        </w:div>
        <w:div w:id="440565741">
          <w:marLeft w:val="0"/>
          <w:marRight w:val="0"/>
          <w:marTop w:val="0"/>
          <w:marBottom w:val="0"/>
          <w:divBdr>
            <w:top w:val="none" w:sz="0" w:space="0" w:color="auto"/>
            <w:left w:val="none" w:sz="0" w:space="0" w:color="auto"/>
            <w:bottom w:val="none" w:sz="0" w:space="0" w:color="auto"/>
            <w:right w:val="none" w:sz="0" w:space="0" w:color="auto"/>
          </w:divBdr>
        </w:div>
        <w:div w:id="457995541">
          <w:marLeft w:val="0"/>
          <w:marRight w:val="0"/>
          <w:marTop w:val="0"/>
          <w:marBottom w:val="0"/>
          <w:divBdr>
            <w:top w:val="none" w:sz="0" w:space="0" w:color="auto"/>
            <w:left w:val="none" w:sz="0" w:space="0" w:color="auto"/>
            <w:bottom w:val="none" w:sz="0" w:space="0" w:color="auto"/>
            <w:right w:val="none" w:sz="0" w:space="0" w:color="auto"/>
          </w:divBdr>
        </w:div>
        <w:div w:id="473256732">
          <w:marLeft w:val="0"/>
          <w:marRight w:val="0"/>
          <w:marTop w:val="0"/>
          <w:marBottom w:val="0"/>
          <w:divBdr>
            <w:top w:val="none" w:sz="0" w:space="0" w:color="auto"/>
            <w:left w:val="none" w:sz="0" w:space="0" w:color="auto"/>
            <w:bottom w:val="none" w:sz="0" w:space="0" w:color="auto"/>
            <w:right w:val="none" w:sz="0" w:space="0" w:color="auto"/>
          </w:divBdr>
        </w:div>
        <w:div w:id="552541179">
          <w:marLeft w:val="0"/>
          <w:marRight w:val="0"/>
          <w:marTop w:val="0"/>
          <w:marBottom w:val="0"/>
          <w:divBdr>
            <w:top w:val="none" w:sz="0" w:space="0" w:color="auto"/>
            <w:left w:val="none" w:sz="0" w:space="0" w:color="auto"/>
            <w:bottom w:val="none" w:sz="0" w:space="0" w:color="auto"/>
            <w:right w:val="none" w:sz="0" w:space="0" w:color="auto"/>
          </w:divBdr>
        </w:div>
        <w:div w:id="601113319">
          <w:marLeft w:val="0"/>
          <w:marRight w:val="0"/>
          <w:marTop w:val="0"/>
          <w:marBottom w:val="0"/>
          <w:divBdr>
            <w:top w:val="none" w:sz="0" w:space="0" w:color="auto"/>
            <w:left w:val="none" w:sz="0" w:space="0" w:color="auto"/>
            <w:bottom w:val="none" w:sz="0" w:space="0" w:color="auto"/>
            <w:right w:val="none" w:sz="0" w:space="0" w:color="auto"/>
          </w:divBdr>
        </w:div>
        <w:div w:id="604967622">
          <w:marLeft w:val="0"/>
          <w:marRight w:val="0"/>
          <w:marTop w:val="0"/>
          <w:marBottom w:val="0"/>
          <w:divBdr>
            <w:top w:val="none" w:sz="0" w:space="0" w:color="auto"/>
            <w:left w:val="none" w:sz="0" w:space="0" w:color="auto"/>
            <w:bottom w:val="none" w:sz="0" w:space="0" w:color="auto"/>
            <w:right w:val="none" w:sz="0" w:space="0" w:color="auto"/>
          </w:divBdr>
          <w:divsChild>
            <w:div w:id="72557997">
              <w:marLeft w:val="0"/>
              <w:marRight w:val="0"/>
              <w:marTop w:val="0"/>
              <w:marBottom w:val="0"/>
              <w:divBdr>
                <w:top w:val="none" w:sz="0" w:space="0" w:color="auto"/>
                <w:left w:val="none" w:sz="0" w:space="0" w:color="auto"/>
                <w:bottom w:val="none" w:sz="0" w:space="0" w:color="auto"/>
                <w:right w:val="none" w:sz="0" w:space="0" w:color="auto"/>
              </w:divBdr>
            </w:div>
            <w:div w:id="282081740">
              <w:marLeft w:val="0"/>
              <w:marRight w:val="0"/>
              <w:marTop w:val="0"/>
              <w:marBottom w:val="0"/>
              <w:divBdr>
                <w:top w:val="none" w:sz="0" w:space="0" w:color="auto"/>
                <w:left w:val="none" w:sz="0" w:space="0" w:color="auto"/>
                <w:bottom w:val="none" w:sz="0" w:space="0" w:color="auto"/>
                <w:right w:val="none" w:sz="0" w:space="0" w:color="auto"/>
              </w:divBdr>
            </w:div>
            <w:div w:id="417141952">
              <w:marLeft w:val="0"/>
              <w:marRight w:val="0"/>
              <w:marTop w:val="0"/>
              <w:marBottom w:val="0"/>
              <w:divBdr>
                <w:top w:val="none" w:sz="0" w:space="0" w:color="auto"/>
                <w:left w:val="none" w:sz="0" w:space="0" w:color="auto"/>
                <w:bottom w:val="none" w:sz="0" w:space="0" w:color="auto"/>
                <w:right w:val="none" w:sz="0" w:space="0" w:color="auto"/>
              </w:divBdr>
            </w:div>
            <w:div w:id="501504604">
              <w:marLeft w:val="0"/>
              <w:marRight w:val="0"/>
              <w:marTop w:val="0"/>
              <w:marBottom w:val="0"/>
              <w:divBdr>
                <w:top w:val="none" w:sz="0" w:space="0" w:color="auto"/>
                <w:left w:val="none" w:sz="0" w:space="0" w:color="auto"/>
                <w:bottom w:val="none" w:sz="0" w:space="0" w:color="auto"/>
                <w:right w:val="none" w:sz="0" w:space="0" w:color="auto"/>
              </w:divBdr>
            </w:div>
            <w:div w:id="535628889">
              <w:marLeft w:val="0"/>
              <w:marRight w:val="0"/>
              <w:marTop w:val="0"/>
              <w:marBottom w:val="0"/>
              <w:divBdr>
                <w:top w:val="none" w:sz="0" w:space="0" w:color="auto"/>
                <w:left w:val="none" w:sz="0" w:space="0" w:color="auto"/>
                <w:bottom w:val="none" w:sz="0" w:space="0" w:color="auto"/>
                <w:right w:val="none" w:sz="0" w:space="0" w:color="auto"/>
              </w:divBdr>
            </w:div>
            <w:div w:id="575674858">
              <w:marLeft w:val="0"/>
              <w:marRight w:val="0"/>
              <w:marTop w:val="0"/>
              <w:marBottom w:val="0"/>
              <w:divBdr>
                <w:top w:val="none" w:sz="0" w:space="0" w:color="auto"/>
                <w:left w:val="none" w:sz="0" w:space="0" w:color="auto"/>
                <w:bottom w:val="none" w:sz="0" w:space="0" w:color="auto"/>
                <w:right w:val="none" w:sz="0" w:space="0" w:color="auto"/>
              </w:divBdr>
            </w:div>
            <w:div w:id="637147240">
              <w:marLeft w:val="0"/>
              <w:marRight w:val="0"/>
              <w:marTop w:val="0"/>
              <w:marBottom w:val="0"/>
              <w:divBdr>
                <w:top w:val="none" w:sz="0" w:space="0" w:color="auto"/>
                <w:left w:val="none" w:sz="0" w:space="0" w:color="auto"/>
                <w:bottom w:val="none" w:sz="0" w:space="0" w:color="auto"/>
                <w:right w:val="none" w:sz="0" w:space="0" w:color="auto"/>
              </w:divBdr>
            </w:div>
            <w:div w:id="703364404">
              <w:marLeft w:val="0"/>
              <w:marRight w:val="0"/>
              <w:marTop w:val="0"/>
              <w:marBottom w:val="0"/>
              <w:divBdr>
                <w:top w:val="none" w:sz="0" w:space="0" w:color="auto"/>
                <w:left w:val="none" w:sz="0" w:space="0" w:color="auto"/>
                <w:bottom w:val="none" w:sz="0" w:space="0" w:color="auto"/>
                <w:right w:val="none" w:sz="0" w:space="0" w:color="auto"/>
              </w:divBdr>
            </w:div>
            <w:div w:id="956451702">
              <w:marLeft w:val="0"/>
              <w:marRight w:val="0"/>
              <w:marTop w:val="0"/>
              <w:marBottom w:val="0"/>
              <w:divBdr>
                <w:top w:val="none" w:sz="0" w:space="0" w:color="auto"/>
                <w:left w:val="none" w:sz="0" w:space="0" w:color="auto"/>
                <w:bottom w:val="none" w:sz="0" w:space="0" w:color="auto"/>
                <w:right w:val="none" w:sz="0" w:space="0" w:color="auto"/>
              </w:divBdr>
            </w:div>
            <w:div w:id="975716719">
              <w:marLeft w:val="0"/>
              <w:marRight w:val="0"/>
              <w:marTop w:val="0"/>
              <w:marBottom w:val="0"/>
              <w:divBdr>
                <w:top w:val="none" w:sz="0" w:space="0" w:color="auto"/>
                <w:left w:val="none" w:sz="0" w:space="0" w:color="auto"/>
                <w:bottom w:val="none" w:sz="0" w:space="0" w:color="auto"/>
                <w:right w:val="none" w:sz="0" w:space="0" w:color="auto"/>
              </w:divBdr>
            </w:div>
            <w:div w:id="1211302073">
              <w:marLeft w:val="0"/>
              <w:marRight w:val="0"/>
              <w:marTop w:val="0"/>
              <w:marBottom w:val="0"/>
              <w:divBdr>
                <w:top w:val="none" w:sz="0" w:space="0" w:color="auto"/>
                <w:left w:val="none" w:sz="0" w:space="0" w:color="auto"/>
                <w:bottom w:val="none" w:sz="0" w:space="0" w:color="auto"/>
                <w:right w:val="none" w:sz="0" w:space="0" w:color="auto"/>
              </w:divBdr>
            </w:div>
            <w:div w:id="1360083005">
              <w:marLeft w:val="0"/>
              <w:marRight w:val="0"/>
              <w:marTop w:val="0"/>
              <w:marBottom w:val="0"/>
              <w:divBdr>
                <w:top w:val="none" w:sz="0" w:space="0" w:color="auto"/>
                <w:left w:val="none" w:sz="0" w:space="0" w:color="auto"/>
                <w:bottom w:val="none" w:sz="0" w:space="0" w:color="auto"/>
                <w:right w:val="none" w:sz="0" w:space="0" w:color="auto"/>
              </w:divBdr>
            </w:div>
            <w:div w:id="1407537044">
              <w:marLeft w:val="0"/>
              <w:marRight w:val="0"/>
              <w:marTop w:val="0"/>
              <w:marBottom w:val="0"/>
              <w:divBdr>
                <w:top w:val="none" w:sz="0" w:space="0" w:color="auto"/>
                <w:left w:val="none" w:sz="0" w:space="0" w:color="auto"/>
                <w:bottom w:val="none" w:sz="0" w:space="0" w:color="auto"/>
                <w:right w:val="none" w:sz="0" w:space="0" w:color="auto"/>
              </w:divBdr>
            </w:div>
            <w:div w:id="1827553532">
              <w:marLeft w:val="0"/>
              <w:marRight w:val="0"/>
              <w:marTop w:val="0"/>
              <w:marBottom w:val="0"/>
              <w:divBdr>
                <w:top w:val="none" w:sz="0" w:space="0" w:color="auto"/>
                <w:left w:val="none" w:sz="0" w:space="0" w:color="auto"/>
                <w:bottom w:val="none" w:sz="0" w:space="0" w:color="auto"/>
                <w:right w:val="none" w:sz="0" w:space="0" w:color="auto"/>
              </w:divBdr>
            </w:div>
            <w:div w:id="1834446923">
              <w:marLeft w:val="0"/>
              <w:marRight w:val="0"/>
              <w:marTop w:val="0"/>
              <w:marBottom w:val="0"/>
              <w:divBdr>
                <w:top w:val="none" w:sz="0" w:space="0" w:color="auto"/>
                <w:left w:val="none" w:sz="0" w:space="0" w:color="auto"/>
                <w:bottom w:val="none" w:sz="0" w:space="0" w:color="auto"/>
                <w:right w:val="none" w:sz="0" w:space="0" w:color="auto"/>
              </w:divBdr>
            </w:div>
            <w:div w:id="1835534328">
              <w:marLeft w:val="0"/>
              <w:marRight w:val="0"/>
              <w:marTop w:val="0"/>
              <w:marBottom w:val="0"/>
              <w:divBdr>
                <w:top w:val="none" w:sz="0" w:space="0" w:color="auto"/>
                <w:left w:val="none" w:sz="0" w:space="0" w:color="auto"/>
                <w:bottom w:val="none" w:sz="0" w:space="0" w:color="auto"/>
                <w:right w:val="none" w:sz="0" w:space="0" w:color="auto"/>
              </w:divBdr>
            </w:div>
            <w:div w:id="1854104334">
              <w:marLeft w:val="0"/>
              <w:marRight w:val="0"/>
              <w:marTop w:val="0"/>
              <w:marBottom w:val="0"/>
              <w:divBdr>
                <w:top w:val="none" w:sz="0" w:space="0" w:color="auto"/>
                <w:left w:val="none" w:sz="0" w:space="0" w:color="auto"/>
                <w:bottom w:val="none" w:sz="0" w:space="0" w:color="auto"/>
                <w:right w:val="none" w:sz="0" w:space="0" w:color="auto"/>
              </w:divBdr>
            </w:div>
            <w:div w:id="1886289383">
              <w:marLeft w:val="0"/>
              <w:marRight w:val="0"/>
              <w:marTop w:val="0"/>
              <w:marBottom w:val="0"/>
              <w:divBdr>
                <w:top w:val="none" w:sz="0" w:space="0" w:color="auto"/>
                <w:left w:val="none" w:sz="0" w:space="0" w:color="auto"/>
                <w:bottom w:val="none" w:sz="0" w:space="0" w:color="auto"/>
                <w:right w:val="none" w:sz="0" w:space="0" w:color="auto"/>
              </w:divBdr>
            </w:div>
            <w:div w:id="1895769608">
              <w:marLeft w:val="0"/>
              <w:marRight w:val="0"/>
              <w:marTop w:val="0"/>
              <w:marBottom w:val="0"/>
              <w:divBdr>
                <w:top w:val="none" w:sz="0" w:space="0" w:color="auto"/>
                <w:left w:val="none" w:sz="0" w:space="0" w:color="auto"/>
                <w:bottom w:val="none" w:sz="0" w:space="0" w:color="auto"/>
                <w:right w:val="none" w:sz="0" w:space="0" w:color="auto"/>
              </w:divBdr>
            </w:div>
            <w:div w:id="1953199362">
              <w:marLeft w:val="0"/>
              <w:marRight w:val="0"/>
              <w:marTop w:val="0"/>
              <w:marBottom w:val="0"/>
              <w:divBdr>
                <w:top w:val="none" w:sz="0" w:space="0" w:color="auto"/>
                <w:left w:val="none" w:sz="0" w:space="0" w:color="auto"/>
                <w:bottom w:val="none" w:sz="0" w:space="0" w:color="auto"/>
                <w:right w:val="none" w:sz="0" w:space="0" w:color="auto"/>
              </w:divBdr>
            </w:div>
          </w:divsChild>
        </w:div>
        <w:div w:id="621425851">
          <w:marLeft w:val="0"/>
          <w:marRight w:val="0"/>
          <w:marTop w:val="0"/>
          <w:marBottom w:val="0"/>
          <w:divBdr>
            <w:top w:val="none" w:sz="0" w:space="0" w:color="auto"/>
            <w:left w:val="none" w:sz="0" w:space="0" w:color="auto"/>
            <w:bottom w:val="none" w:sz="0" w:space="0" w:color="auto"/>
            <w:right w:val="none" w:sz="0" w:space="0" w:color="auto"/>
          </w:divBdr>
        </w:div>
        <w:div w:id="822896656">
          <w:marLeft w:val="0"/>
          <w:marRight w:val="0"/>
          <w:marTop w:val="0"/>
          <w:marBottom w:val="0"/>
          <w:divBdr>
            <w:top w:val="none" w:sz="0" w:space="0" w:color="auto"/>
            <w:left w:val="none" w:sz="0" w:space="0" w:color="auto"/>
            <w:bottom w:val="none" w:sz="0" w:space="0" w:color="auto"/>
            <w:right w:val="none" w:sz="0" w:space="0" w:color="auto"/>
          </w:divBdr>
        </w:div>
        <w:div w:id="858936073">
          <w:marLeft w:val="0"/>
          <w:marRight w:val="0"/>
          <w:marTop w:val="0"/>
          <w:marBottom w:val="0"/>
          <w:divBdr>
            <w:top w:val="none" w:sz="0" w:space="0" w:color="auto"/>
            <w:left w:val="none" w:sz="0" w:space="0" w:color="auto"/>
            <w:bottom w:val="none" w:sz="0" w:space="0" w:color="auto"/>
            <w:right w:val="none" w:sz="0" w:space="0" w:color="auto"/>
          </w:divBdr>
        </w:div>
        <w:div w:id="938414796">
          <w:marLeft w:val="0"/>
          <w:marRight w:val="0"/>
          <w:marTop w:val="0"/>
          <w:marBottom w:val="0"/>
          <w:divBdr>
            <w:top w:val="none" w:sz="0" w:space="0" w:color="auto"/>
            <w:left w:val="none" w:sz="0" w:space="0" w:color="auto"/>
            <w:bottom w:val="none" w:sz="0" w:space="0" w:color="auto"/>
            <w:right w:val="none" w:sz="0" w:space="0" w:color="auto"/>
          </w:divBdr>
        </w:div>
        <w:div w:id="1038311672">
          <w:marLeft w:val="0"/>
          <w:marRight w:val="0"/>
          <w:marTop w:val="0"/>
          <w:marBottom w:val="0"/>
          <w:divBdr>
            <w:top w:val="none" w:sz="0" w:space="0" w:color="auto"/>
            <w:left w:val="none" w:sz="0" w:space="0" w:color="auto"/>
            <w:bottom w:val="none" w:sz="0" w:space="0" w:color="auto"/>
            <w:right w:val="none" w:sz="0" w:space="0" w:color="auto"/>
          </w:divBdr>
        </w:div>
        <w:div w:id="1084452458">
          <w:marLeft w:val="0"/>
          <w:marRight w:val="0"/>
          <w:marTop w:val="0"/>
          <w:marBottom w:val="0"/>
          <w:divBdr>
            <w:top w:val="none" w:sz="0" w:space="0" w:color="auto"/>
            <w:left w:val="none" w:sz="0" w:space="0" w:color="auto"/>
            <w:bottom w:val="none" w:sz="0" w:space="0" w:color="auto"/>
            <w:right w:val="none" w:sz="0" w:space="0" w:color="auto"/>
          </w:divBdr>
        </w:div>
        <w:div w:id="1298955026">
          <w:marLeft w:val="0"/>
          <w:marRight w:val="0"/>
          <w:marTop w:val="0"/>
          <w:marBottom w:val="0"/>
          <w:divBdr>
            <w:top w:val="none" w:sz="0" w:space="0" w:color="auto"/>
            <w:left w:val="none" w:sz="0" w:space="0" w:color="auto"/>
            <w:bottom w:val="none" w:sz="0" w:space="0" w:color="auto"/>
            <w:right w:val="none" w:sz="0" w:space="0" w:color="auto"/>
          </w:divBdr>
        </w:div>
        <w:div w:id="1324166761">
          <w:marLeft w:val="0"/>
          <w:marRight w:val="0"/>
          <w:marTop w:val="0"/>
          <w:marBottom w:val="0"/>
          <w:divBdr>
            <w:top w:val="none" w:sz="0" w:space="0" w:color="auto"/>
            <w:left w:val="none" w:sz="0" w:space="0" w:color="auto"/>
            <w:bottom w:val="none" w:sz="0" w:space="0" w:color="auto"/>
            <w:right w:val="none" w:sz="0" w:space="0" w:color="auto"/>
          </w:divBdr>
          <w:divsChild>
            <w:div w:id="980503890">
              <w:marLeft w:val="-75"/>
              <w:marRight w:val="0"/>
              <w:marTop w:val="30"/>
              <w:marBottom w:val="30"/>
              <w:divBdr>
                <w:top w:val="none" w:sz="0" w:space="0" w:color="auto"/>
                <w:left w:val="none" w:sz="0" w:space="0" w:color="auto"/>
                <w:bottom w:val="none" w:sz="0" w:space="0" w:color="auto"/>
                <w:right w:val="none" w:sz="0" w:space="0" w:color="auto"/>
              </w:divBdr>
              <w:divsChild>
                <w:div w:id="75709597">
                  <w:marLeft w:val="0"/>
                  <w:marRight w:val="0"/>
                  <w:marTop w:val="0"/>
                  <w:marBottom w:val="0"/>
                  <w:divBdr>
                    <w:top w:val="none" w:sz="0" w:space="0" w:color="auto"/>
                    <w:left w:val="none" w:sz="0" w:space="0" w:color="auto"/>
                    <w:bottom w:val="none" w:sz="0" w:space="0" w:color="auto"/>
                    <w:right w:val="none" w:sz="0" w:space="0" w:color="auto"/>
                  </w:divBdr>
                  <w:divsChild>
                    <w:div w:id="149057474">
                      <w:marLeft w:val="0"/>
                      <w:marRight w:val="0"/>
                      <w:marTop w:val="0"/>
                      <w:marBottom w:val="0"/>
                      <w:divBdr>
                        <w:top w:val="none" w:sz="0" w:space="0" w:color="auto"/>
                        <w:left w:val="none" w:sz="0" w:space="0" w:color="auto"/>
                        <w:bottom w:val="none" w:sz="0" w:space="0" w:color="auto"/>
                        <w:right w:val="none" w:sz="0" w:space="0" w:color="auto"/>
                      </w:divBdr>
                    </w:div>
                    <w:div w:id="385490008">
                      <w:marLeft w:val="0"/>
                      <w:marRight w:val="0"/>
                      <w:marTop w:val="0"/>
                      <w:marBottom w:val="0"/>
                      <w:divBdr>
                        <w:top w:val="none" w:sz="0" w:space="0" w:color="auto"/>
                        <w:left w:val="none" w:sz="0" w:space="0" w:color="auto"/>
                        <w:bottom w:val="none" w:sz="0" w:space="0" w:color="auto"/>
                        <w:right w:val="none" w:sz="0" w:space="0" w:color="auto"/>
                      </w:divBdr>
                    </w:div>
                    <w:div w:id="510488420">
                      <w:marLeft w:val="0"/>
                      <w:marRight w:val="0"/>
                      <w:marTop w:val="0"/>
                      <w:marBottom w:val="0"/>
                      <w:divBdr>
                        <w:top w:val="none" w:sz="0" w:space="0" w:color="auto"/>
                        <w:left w:val="none" w:sz="0" w:space="0" w:color="auto"/>
                        <w:bottom w:val="none" w:sz="0" w:space="0" w:color="auto"/>
                        <w:right w:val="none" w:sz="0" w:space="0" w:color="auto"/>
                      </w:divBdr>
                    </w:div>
                    <w:div w:id="676273039">
                      <w:marLeft w:val="0"/>
                      <w:marRight w:val="0"/>
                      <w:marTop w:val="0"/>
                      <w:marBottom w:val="0"/>
                      <w:divBdr>
                        <w:top w:val="none" w:sz="0" w:space="0" w:color="auto"/>
                        <w:left w:val="none" w:sz="0" w:space="0" w:color="auto"/>
                        <w:bottom w:val="none" w:sz="0" w:space="0" w:color="auto"/>
                        <w:right w:val="none" w:sz="0" w:space="0" w:color="auto"/>
                      </w:divBdr>
                    </w:div>
                    <w:div w:id="1201556649">
                      <w:marLeft w:val="0"/>
                      <w:marRight w:val="0"/>
                      <w:marTop w:val="0"/>
                      <w:marBottom w:val="0"/>
                      <w:divBdr>
                        <w:top w:val="none" w:sz="0" w:space="0" w:color="auto"/>
                        <w:left w:val="none" w:sz="0" w:space="0" w:color="auto"/>
                        <w:bottom w:val="none" w:sz="0" w:space="0" w:color="auto"/>
                        <w:right w:val="none" w:sz="0" w:space="0" w:color="auto"/>
                      </w:divBdr>
                    </w:div>
                  </w:divsChild>
                </w:div>
                <w:div w:id="89937411">
                  <w:marLeft w:val="0"/>
                  <w:marRight w:val="0"/>
                  <w:marTop w:val="0"/>
                  <w:marBottom w:val="0"/>
                  <w:divBdr>
                    <w:top w:val="none" w:sz="0" w:space="0" w:color="auto"/>
                    <w:left w:val="none" w:sz="0" w:space="0" w:color="auto"/>
                    <w:bottom w:val="none" w:sz="0" w:space="0" w:color="auto"/>
                    <w:right w:val="none" w:sz="0" w:space="0" w:color="auto"/>
                  </w:divBdr>
                  <w:divsChild>
                    <w:div w:id="700589202">
                      <w:marLeft w:val="0"/>
                      <w:marRight w:val="0"/>
                      <w:marTop w:val="0"/>
                      <w:marBottom w:val="0"/>
                      <w:divBdr>
                        <w:top w:val="none" w:sz="0" w:space="0" w:color="auto"/>
                        <w:left w:val="none" w:sz="0" w:space="0" w:color="auto"/>
                        <w:bottom w:val="none" w:sz="0" w:space="0" w:color="auto"/>
                        <w:right w:val="none" w:sz="0" w:space="0" w:color="auto"/>
                      </w:divBdr>
                    </w:div>
                    <w:div w:id="899679957">
                      <w:marLeft w:val="0"/>
                      <w:marRight w:val="0"/>
                      <w:marTop w:val="0"/>
                      <w:marBottom w:val="0"/>
                      <w:divBdr>
                        <w:top w:val="none" w:sz="0" w:space="0" w:color="auto"/>
                        <w:left w:val="none" w:sz="0" w:space="0" w:color="auto"/>
                        <w:bottom w:val="none" w:sz="0" w:space="0" w:color="auto"/>
                        <w:right w:val="none" w:sz="0" w:space="0" w:color="auto"/>
                      </w:divBdr>
                    </w:div>
                    <w:div w:id="1168977928">
                      <w:marLeft w:val="0"/>
                      <w:marRight w:val="0"/>
                      <w:marTop w:val="0"/>
                      <w:marBottom w:val="0"/>
                      <w:divBdr>
                        <w:top w:val="none" w:sz="0" w:space="0" w:color="auto"/>
                        <w:left w:val="none" w:sz="0" w:space="0" w:color="auto"/>
                        <w:bottom w:val="none" w:sz="0" w:space="0" w:color="auto"/>
                        <w:right w:val="none" w:sz="0" w:space="0" w:color="auto"/>
                      </w:divBdr>
                    </w:div>
                  </w:divsChild>
                </w:div>
                <w:div w:id="213394731">
                  <w:marLeft w:val="0"/>
                  <w:marRight w:val="0"/>
                  <w:marTop w:val="0"/>
                  <w:marBottom w:val="0"/>
                  <w:divBdr>
                    <w:top w:val="none" w:sz="0" w:space="0" w:color="auto"/>
                    <w:left w:val="none" w:sz="0" w:space="0" w:color="auto"/>
                    <w:bottom w:val="none" w:sz="0" w:space="0" w:color="auto"/>
                    <w:right w:val="none" w:sz="0" w:space="0" w:color="auto"/>
                  </w:divBdr>
                  <w:divsChild>
                    <w:div w:id="388915974">
                      <w:marLeft w:val="0"/>
                      <w:marRight w:val="0"/>
                      <w:marTop w:val="0"/>
                      <w:marBottom w:val="0"/>
                      <w:divBdr>
                        <w:top w:val="none" w:sz="0" w:space="0" w:color="auto"/>
                        <w:left w:val="none" w:sz="0" w:space="0" w:color="auto"/>
                        <w:bottom w:val="none" w:sz="0" w:space="0" w:color="auto"/>
                        <w:right w:val="none" w:sz="0" w:space="0" w:color="auto"/>
                      </w:divBdr>
                    </w:div>
                    <w:div w:id="629554648">
                      <w:marLeft w:val="0"/>
                      <w:marRight w:val="0"/>
                      <w:marTop w:val="0"/>
                      <w:marBottom w:val="0"/>
                      <w:divBdr>
                        <w:top w:val="none" w:sz="0" w:space="0" w:color="auto"/>
                        <w:left w:val="none" w:sz="0" w:space="0" w:color="auto"/>
                        <w:bottom w:val="none" w:sz="0" w:space="0" w:color="auto"/>
                        <w:right w:val="none" w:sz="0" w:space="0" w:color="auto"/>
                      </w:divBdr>
                    </w:div>
                    <w:div w:id="815729245">
                      <w:marLeft w:val="0"/>
                      <w:marRight w:val="0"/>
                      <w:marTop w:val="0"/>
                      <w:marBottom w:val="0"/>
                      <w:divBdr>
                        <w:top w:val="none" w:sz="0" w:space="0" w:color="auto"/>
                        <w:left w:val="none" w:sz="0" w:space="0" w:color="auto"/>
                        <w:bottom w:val="none" w:sz="0" w:space="0" w:color="auto"/>
                        <w:right w:val="none" w:sz="0" w:space="0" w:color="auto"/>
                      </w:divBdr>
                    </w:div>
                  </w:divsChild>
                </w:div>
                <w:div w:id="261189597">
                  <w:marLeft w:val="0"/>
                  <w:marRight w:val="0"/>
                  <w:marTop w:val="0"/>
                  <w:marBottom w:val="0"/>
                  <w:divBdr>
                    <w:top w:val="none" w:sz="0" w:space="0" w:color="auto"/>
                    <w:left w:val="none" w:sz="0" w:space="0" w:color="auto"/>
                    <w:bottom w:val="none" w:sz="0" w:space="0" w:color="auto"/>
                    <w:right w:val="none" w:sz="0" w:space="0" w:color="auto"/>
                  </w:divBdr>
                  <w:divsChild>
                    <w:div w:id="1900480920">
                      <w:marLeft w:val="0"/>
                      <w:marRight w:val="0"/>
                      <w:marTop w:val="0"/>
                      <w:marBottom w:val="0"/>
                      <w:divBdr>
                        <w:top w:val="none" w:sz="0" w:space="0" w:color="auto"/>
                        <w:left w:val="none" w:sz="0" w:space="0" w:color="auto"/>
                        <w:bottom w:val="none" w:sz="0" w:space="0" w:color="auto"/>
                        <w:right w:val="none" w:sz="0" w:space="0" w:color="auto"/>
                      </w:divBdr>
                    </w:div>
                  </w:divsChild>
                </w:div>
                <w:div w:id="279999442">
                  <w:marLeft w:val="0"/>
                  <w:marRight w:val="0"/>
                  <w:marTop w:val="0"/>
                  <w:marBottom w:val="0"/>
                  <w:divBdr>
                    <w:top w:val="none" w:sz="0" w:space="0" w:color="auto"/>
                    <w:left w:val="none" w:sz="0" w:space="0" w:color="auto"/>
                    <w:bottom w:val="none" w:sz="0" w:space="0" w:color="auto"/>
                    <w:right w:val="none" w:sz="0" w:space="0" w:color="auto"/>
                  </w:divBdr>
                  <w:divsChild>
                    <w:div w:id="275599211">
                      <w:marLeft w:val="0"/>
                      <w:marRight w:val="0"/>
                      <w:marTop w:val="0"/>
                      <w:marBottom w:val="0"/>
                      <w:divBdr>
                        <w:top w:val="none" w:sz="0" w:space="0" w:color="auto"/>
                        <w:left w:val="none" w:sz="0" w:space="0" w:color="auto"/>
                        <w:bottom w:val="none" w:sz="0" w:space="0" w:color="auto"/>
                        <w:right w:val="none" w:sz="0" w:space="0" w:color="auto"/>
                      </w:divBdr>
                    </w:div>
                    <w:div w:id="348682200">
                      <w:marLeft w:val="0"/>
                      <w:marRight w:val="0"/>
                      <w:marTop w:val="0"/>
                      <w:marBottom w:val="0"/>
                      <w:divBdr>
                        <w:top w:val="none" w:sz="0" w:space="0" w:color="auto"/>
                        <w:left w:val="none" w:sz="0" w:space="0" w:color="auto"/>
                        <w:bottom w:val="none" w:sz="0" w:space="0" w:color="auto"/>
                        <w:right w:val="none" w:sz="0" w:space="0" w:color="auto"/>
                      </w:divBdr>
                    </w:div>
                    <w:div w:id="423041989">
                      <w:marLeft w:val="0"/>
                      <w:marRight w:val="0"/>
                      <w:marTop w:val="0"/>
                      <w:marBottom w:val="0"/>
                      <w:divBdr>
                        <w:top w:val="none" w:sz="0" w:space="0" w:color="auto"/>
                        <w:left w:val="none" w:sz="0" w:space="0" w:color="auto"/>
                        <w:bottom w:val="none" w:sz="0" w:space="0" w:color="auto"/>
                        <w:right w:val="none" w:sz="0" w:space="0" w:color="auto"/>
                      </w:divBdr>
                    </w:div>
                    <w:div w:id="561991210">
                      <w:marLeft w:val="0"/>
                      <w:marRight w:val="0"/>
                      <w:marTop w:val="0"/>
                      <w:marBottom w:val="0"/>
                      <w:divBdr>
                        <w:top w:val="none" w:sz="0" w:space="0" w:color="auto"/>
                        <w:left w:val="none" w:sz="0" w:space="0" w:color="auto"/>
                        <w:bottom w:val="none" w:sz="0" w:space="0" w:color="auto"/>
                        <w:right w:val="none" w:sz="0" w:space="0" w:color="auto"/>
                      </w:divBdr>
                    </w:div>
                    <w:div w:id="910846677">
                      <w:marLeft w:val="0"/>
                      <w:marRight w:val="0"/>
                      <w:marTop w:val="0"/>
                      <w:marBottom w:val="0"/>
                      <w:divBdr>
                        <w:top w:val="none" w:sz="0" w:space="0" w:color="auto"/>
                        <w:left w:val="none" w:sz="0" w:space="0" w:color="auto"/>
                        <w:bottom w:val="none" w:sz="0" w:space="0" w:color="auto"/>
                        <w:right w:val="none" w:sz="0" w:space="0" w:color="auto"/>
                      </w:divBdr>
                    </w:div>
                    <w:div w:id="1417899299">
                      <w:marLeft w:val="0"/>
                      <w:marRight w:val="0"/>
                      <w:marTop w:val="0"/>
                      <w:marBottom w:val="0"/>
                      <w:divBdr>
                        <w:top w:val="none" w:sz="0" w:space="0" w:color="auto"/>
                        <w:left w:val="none" w:sz="0" w:space="0" w:color="auto"/>
                        <w:bottom w:val="none" w:sz="0" w:space="0" w:color="auto"/>
                        <w:right w:val="none" w:sz="0" w:space="0" w:color="auto"/>
                      </w:divBdr>
                    </w:div>
                    <w:div w:id="1705521446">
                      <w:marLeft w:val="0"/>
                      <w:marRight w:val="0"/>
                      <w:marTop w:val="0"/>
                      <w:marBottom w:val="0"/>
                      <w:divBdr>
                        <w:top w:val="none" w:sz="0" w:space="0" w:color="auto"/>
                        <w:left w:val="none" w:sz="0" w:space="0" w:color="auto"/>
                        <w:bottom w:val="none" w:sz="0" w:space="0" w:color="auto"/>
                        <w:right w:val="none" w:sz="0" w:space="0" w:color="auto"/>
                      </w:divBdr>
                    </w:div>
                    <w:div w:id="1906142761">
                      <w:marLeft w:val="0"/>
                      <w:marRight w:val="0"/>
                      <w:marTop w:val="0"/>
                      <w:marBottom w:val="0"/>
                      <w:divBdr>
                        <w:top w:val="none" w:sz="0" w:space="0" w:color="auto"/>
                        <w:left w:val="none" w:sz="0" w:space="0" w:color="auto"/>
                        <w:bottom w:val="none" w:sz="0" w:space="0" w:color="auto"/>
                        <w:right w:val="none" w:sz="0" w:space="0" w:color="auto"/>
                      </w:divBdr>
                    </w:div>
                  </w:divsChild>
                </w:div>
                <w:div w:id="322010713">
                  <w:marLeft w:val="0"/>
                  <w:marRight w:val="0"/>
                  <w:marTop w:val="0"/>
                  <w:marBottom w:val="0"/>
                  <w:divBdr>
                    <w:top w:val="none" w:sz="0" w:space="0" w:color="auto"/>
                    <w:left w:val="none" w:sz="0" w:space="0" w:color="auto"/>
                    <w:bottom w:val="none" w:sz="0" w:space="0" w:color="auto"/>
                    <w:right w:val="none" w:sz="0" w:space="0" w:color="auto"/>
                  </w:divBdr>
                  <w:divsChild>
                    <w:div w:id="445737225">
                      <w:marLeft w:val="0"/>
                      <w:marRight w:val="0"/>
                      <w:marTop w:val="0"/>
                      <w:marBottom w:val="0"/>
                      <w:divBdr>
                        <w:top w:val="none" w:sz="0" w:space="0" w:color="auto"/>
                        <w:left w:val="none" w:sz="0" w:space="0" w:color="auto"/>
                        <w:bottom w:val="none" w:sz="0" w:space="0" w:color="auto"/>
                        <w:right w:val="none" w:sz="0" w:space="0" w:color="auto"/>
                      </w:divBdr>
                    </w:div>
                    <w:div w:id="1496797223">
                      <w:marLeft w:val="0"/>
                      <w:marRight w:val="0"/>
                      <w:marTop w:val="0"/>
                      <w:marBottom w:val="0"/>
                      <w:divBdr>
                        <w:top w:val="none" w:sz="0" w:space="0" w:color="auto"/>
                        <w:left w:val="none" w:sz="0" w:space="0" w:color="auto"/>
                        <w:bottom w:val="none" w:sz="0" w:space="0" w:color="auto"/>
                        <w:right w:val="none" w:sz="0" w:space="0" w:color="auto"/>
                      </w:divBdr>
                    </w:div>
                  </w:divsChild>
                </w:div>
                <w:div w:id="327443817">
                  <w:marLeft w:val="0"/>
                  <w:marRight w:val="0"/>
                  <w:marTop w:val="0"/>
                  <w:marBottom w:val="0"/>
                  <w:divBdr>
                    <w:top w:val="none" w:sz="0" w:space="0" w:color="auto"/>
                    <w:left w:val="none" w:sz="0" w:space="0" w:color="auto"/>
                    <w:bottom w:val="none" w:sz="0" w:space="0" w:color="auto"/>
                    <w:right w:val="none" w:sz="0" w:space="0" w:color="auto"/>
                  </w:divBdr>
                  <w:divsChild>
                    <w:div w:id="420025555">
                      <w:marLeft w:val="0"/>
                      <w:marRight w:val="0"/>
                      <w:marTop w:val="0"/>
                      <w:marBottom w:val="0"/>
                      <w:divBdr>
                        <w:top w:val="none" w:sz="0" w:space="0" w:color="auto"/>
                        <w:left w:val="none" w:sz="0" w:space="0" w:color="auto"/>
                        <w:bottom w:val="none" w:sz="0" w:space="0" w:color="auto"/>
                        <w:right w:val="none" w:sz="0" w:space="0" w:color="auto"/>
                      </w:divBdr>
                    </w:div>
                    <w:div w:id="499007226">
                      <w:marLeft w:val="0"/>
                      <w:marRight w:val="0"/>
                      <w:marTop w:val="0"/>
                      <w:marBottom w:val="0"/>
                      <w:divBdr>
                        <w:top w:val="none" w:sz="0" w:space="0" w:color="auto"/>
                        <w:left w:val="none" w:sz="0" w:space="0" w:color="auto"/>
                        <w:bottom w:val="none" w:sz="0" w:space="0" w:color="auto"/>
                        <w:right w:val="none" w:sz="0" w:space="0" w:color="auto"/>
                      </w:divBdr>
                    </w:div>
                    <w:div w:id="629437382">
                      <w:marLeft w:val="0"/>
                      <w:marRight w:val="0"/>
                      <w:marTop w:val="0"/>
                      <w:marBottom w:val="0"/>
                      <w:divBdr>
                        <w:top w:val="none" w:sz="0" w:space="0" w:color="auto"/>
                        <w:left w:val="none" w:sz="0" w:space="0" w:color="auto"/>
                        <w:bottom w:val="none" w:sz="0" w:space="0" w:color="auto"/>
                        <w:right w:val="none" w:sz="0" w:space="0" w:color="auto"/>
                      </w:divBdr>
                    </w:div>
                    <w:div w:id="680355617">
                      <w:marLeft w:val="0"/>
                      <w:marRight w:val="0"/>
                      <w:marTop w:val="0"/>
                      <w:marBottom w:val="0"/>
                      <w:divBdr>
                        <w:top w:val="none" w:sz="0" w:space="0" w:color="auto"/>
                        <w:left w:val="none" w:sz="0" w:space="0" w:color="auto"/>
                        <w:bottom w:val="none" w:sz="0" w:space="0" w:color="auto"/>
                        <w:right w:val="none" w:sz="0" w:space="0" w:color="auto"/>
                      </w:divBdr>
                    </w:div>
                    <w:div w:id="829366044">
                      <w:marLeft w:val="0"/>
                      <w:marRight w:val="0"/>
                      <w:marTop w:val="0"/>
                      <w:marBottom w:val="0"/>
                      <w:divBdr>
                        <w:top w:val="none" w:sz="0" w:space="0" w:color="auto"/>
                        <w:left w:val="none" w:sz="0" w:space="0" w:color="auto"/>
                        <w:bottom w:val="none" w:sz="0" w:space="0" w:color="auto"/>
                        <w:right w:val="none" w:sz="0" w:space="0" w:color="auto"/>
                      </w:divBdr>
                    </w:div>
                    <w:div w:id="829709844">
                      <w:marLeft w:val="0"/>
                      <w:marRight w:val="0"/>
                      <w:marTop w:val="0"/>
                      <w:marBottom w:val="0"/>
                      <w:divBdr>
                        <w:top w:val="none" w:sz="0" w:space="0" w:color="auto"/>
                        <w:left w:val="none" w:sz="0" w:space="0" w:color="auto"/>
                        <w:bottom w:val="none" w:sz="0" w:space="0" w:color="auto"/>
                        <w:right w:val="none" w:sz="0" w:space="0" w:color="auto"/>
                      </w:divBdr>
                    </w:div>
                    <w:div w:id="1032807715">
                      <w:marLeft w:val="0"/>
                      <w:marRight w:val="0"/>
                      <w:marTop w:val="0"/>
                      <w:marBottom w:val="0"/>
                      <w:divBdr>
                        <w:top w:val="none" w:sz="0" w:space="0" w:color="auto"/>
                        <w:left w:val="none" w:sz="0" w:space="0" w:color="auto"/>
                        <w:bottom w:val="none" w:sz="0" w:space="0" w:color="auto"/>
                        <w:right w:val="none" w:sz="0" w:space="0" w:color="auto"/>
                      </w:divBdr>
                    </w:div>
                    <w:div w:id="1201478846">
                      <w:marLeft w:val="0"/>
                      <w:marRight w:val="0"/>
                      <w:marTop w:val="0"/>
                      <w:marBottom w:val="0"/>
                      <w:divBdr>
                        <w:top w:val="none" w:sz="0" w:space="0" w:color="auto"/>
                        <w:left w:val="none" w:sz="0" w:space="0" w:color="auto"/>
                        <w:bottom w:val="none" w:sz="0" w:space="0" w:color="auto"/>
                        <w:right w:val="none" w:sz="0" w:space="0" w:color="auto"/>
                      </w:divBdr>
                    </w:div>
                    <w:div w:id="1627812841">
                      <w:marLeft w:val="0"/>
                      <w:marRight w:val="0"/>
                      <w:marTop w:val="0"/>
                      <w:marBottom w:val="0"/>
                      <w:divBdr>
                        <w:top w:val="none" w:sz="0" w:space="0" w:color="auto"/>
                        <w:left w:val="none" w:sz="0" w:space="0" w:color="auto"/>
                        <w:bottom w:val="none" w:sz="0" w:space="0" w:color="auto"/>
                        <w:right w:val="none" w:sz="0" w:space="0" w:color="auto"/>
                      </w:divBdr>
                    </w:div>
                    <w:div w:id="1803111568">
                      <w:marLeft w:val="0"/>
                      <w:marRight w:val="0"/>
                      <w:marTop w:val="0"/>
                      <w:marBottom w:val="0"/>
                      <w:divBdr>
                        <w:top w:val="none" w:sz="0" w:space="0" w:color="auto"/>
                        <w:left w:val="none" w:sz="0" w:space="0" w:color="auto"/>
                        <w:bottom w:val="none" w:sz="0" w:space="0" w:color="auto"/>
                        <w:right w:val="none" w:sz="0" w:space="0" w:color="auto"/>
                      </w:divBdr>
                    </w:div>
                    <w:div w:id="1860048202">
                      <w:marLeft w:val="0"/>
                      <w:marRight w:val="0"/>
                      <w:marTop w:val="0"/>
                      <w:marBottom w:val="0"/>
                      <w:divBdr>
                        <w:top w:val="none" w:sz="0" w:space="0" w:color="auto"/>
                        <w:left w:val="none" w:sz="0" w:space="0" w:color="auto"/>
                        <w:bottom w:val="none" w:sz="0" w:space="0" w:color="auto"/>
                        <w:right w:val="none" w:sz="0" w:space="0" w:color="auto"/>
                      </w:divBdr>
                    </w:div>
                  </w:divsChild>
                </w:div>
                <w:div w:id="415901871">
                  <w:marLeft w:val="0"/>
                  <w:marRight w:val="0"/>
                  <w:marTop w:val="0"/>
                  <w:marBottom w:val="0"/>
                  <w:divBdr>
                    <w:top w:val="none" w:sz="0" w:space="0" w:color="auto"/>
                    <w:left w:val="none" w:sz="0" w:space="0" w:color="auto"/>
                    <w:bottom w:val="none" w:sz="0" w:space="0" w:color="auto"/>
                    <w:right w:val="none" w:sz="0" w:space="0" w:color="auto"/>
                  </w:divBdr>
                  <w:divsChild>
                    <w:div w:id="105001448">
                      <w:marLeft w:val="0"/>
                      <w:marRight w:val="0"/>
                      <w:marTop w:val="0"/>
                      <w:marBottom w:val="0"/>
                      <w:divBdr>
                        <w:top w:val="none" w:sz="0" w:space="0" w:color="auto"/>
                        <w:left w:val="none" w:sz="0" w:space="0" w:color="auto"/>
                        <w:bottom w:val="none" w:sz="0" w:space="0" w:color="auto"/>
                        <w:right w:val="none" w:sz="0" w:space="0" w:color="auto"/>
                      </w:divBdr>
                    </w:div>
                    <w:div w:id="662317253">
                      <w:marLeft w:val="0"/>
                      <w:marRight w:val="0"/>
                      <w:marTop w:val="0"/>
                      <w:marBottom w:val="0"/>
                      <w:divBdr>
                        <w:top w:val="none" w:sz="0" w:space="0" w:color="auto"/>
                        <w:left w:val="none" w:sz="0" w:space="0" w:color="auto"/>
                        <w:bottom w:val="none" w:sz="0" w:space="0" w:color="auto"/>
                        <w:right w:val="none" w:sz="0" w:space="0" w:color="auto"/>
                      </w:divBdr>
                    </w:div>
                    <w:div w:id="1385719745">
                      <w:marLeft w:val="0"/>
                      <w:marRight w:val="0"/>
                      <w:marTop w:val="0"/>
                      <w:marBottom w:val="0"/>
                      <w:divBdr>
                        <w:top w:val="none" w:sz="0" w:space="0" w:color="auto"/>
                        <w:left w:val="none" w:sz="0" w:space="0" w:color="auto"/>
                        <w:bottom w:val="none" w:sz="0" w:space="0" w:color="auto"/>
                        <w:right w:val="none" w:sz="0" w:space="0" w:color="auto"/>
                      </w:divBdr>
                    </w:div>
                  </w:divsChild>
                </w:div>
                <w:div w:id="506678693">
                  <w:marLeft w:val="0"/>
                  <w:marRight w:val="0"/>
                  <w:marTop w:val="0"/>
                  <w:marBottom w:val="0"/>
                  <w:divBdr>
                    <w:top w:val="none" w:sz="0" w:space="0" w:color="auto"/>
                    <w:left w:val="none" w:sz="0" w:space="0" w:color="auto"/>
                    <w:bottom w:val="none" w:sz="0" w:space="0" w:color="auto"/>
                    <w:right w:val="none" w:sz="0" w:space="0" w:color="auto"/>
                  </w:divBdr>
                  <w:divsChild>
                    <w:div w:id="1035539694">
                      <w:marLeft w:val="0"/>
                      <w:marRight w:val="0"/>
                      <w:marTop w:val="0"/>
                      <w:marBottom w:val="0"/>
                      <w:divBdr>
                        <w:top w:val="none" w:sz="0" w:space="0" w:color="auto"/>
                        <w:left w:val="none" w:sz="0" w:space="0" w:color="auto"/>
                        <w:bottom w:val="none" w:sz="0" w:space="0" w:color="auto"/>
                        <w:right w:val="none" w:sz="0" w:space="0" w:color="auto"/>
                      </w:divBdr>
                    </w:div>
                    <w:div w:id="1974404237">
                      <w:marLeft w:val="0"/>
                      <w:marRight w:val="0"/>
                      <w:marTop w:val="0"/>
                      <w:marBottom w:val="0"/>
                      <w:divBdr>
                        <w:top w:val="none" w:sz="0" w:space="0" w:color="auto"/>
                        <w:left w:val="none" w:sz="0" w:space="0" w:color="auto"/>
                        <w:bottom w:val="none" w:sz="0" w:space="0" w:color="auto"/>
                        <w:right w:val="none" w:sz="0" w:space="0" w:color="auto"/>
                      </w:divBdr>
                    </w:div>
                  </w:divsChild>
                </w:div>
                <w:div w:id="534929596">
                  <w:marLeft w:val="0"/>
                  <w:marRight w:val="0"/>
                  <w:marTop w:val="0"/>
                  <w:marBottom w:val="0"/>
                  <w:divBdr>
                    <w:top w:val="none" w:sz="0" w:space="0" w:color="auto"/>
                    <w:left w:val="none" w:sz="0" w:space="0" w:color="auto"/>
                    <w:bottom w:val="none" w:sz="0" w:space="0" w:color="auto"/>
                    <w:right w:val="none" w:sz="0" w:space="0" w:color="auto"/>
                  </w:divBdr>
                  <w:divsChild>
                    <w:div w:id="104278862">
                      <w:marLeft w:val="0"/>
                      <w:marRight w:val="0"/>
                      <w:marTop w:val="0"/>
                      <w:marBottom w:val="0"/>
                      <w:divBdr>
                        <w:top w:val="none" w:sz="0" w:space="0" w:color="auto"/>
                        <w:left w:val="none" w:sz="0" w:space="0" w:color="auto"/>
                        <w:bottom w:val="none" w:sz="0" w:space="0" w:color="auto"/>
                        <w:right w:val="none" w:sz="0" w:space="0" w:color="auto"/>
                      </w:divBdr>
                    </w:div>
                    <w:div w:id="731388066">
                      <w:marLeft w:val="0"/>
                      <w:marRight w:val="0"/>
                      <w:marTop w:val="0"/>
                      <w:marBottom w:val="0"/>
                      <w:divBdr>
                        <w:top w:val="none" w:sz="0" w:space="0" w:color="auto"/>
                        <w:left w:val="none" w:sz="0" w:space="0" w:color="auto"/>
                        <w:bottom w:val="none" w:sz="0" w:space="0" w:color="auto"/>
                        <w:right w:val="none" w:sz="0" w:space="0" w:color="auto"/>
                      </w:divBdr>
                    </w:div>
                    <w:div w:id="1622221120">
                      <w:marLeft w:val="0"/>
                      <w:marRight w:val="0"/>
                      <w:marTop w:val="0"/>
                      <w:marBottom w:val="0"/>
                      <w:divBdr>
                        <w:top w:val="none" w:sz="0" w:space="0" w:color="auto"/>
                        <w:left w:val="none" w:sz="0" w:space="0" w:color="auto"/>
                        <w:bottom w:val="none" w:sz="0" w:space="0" w:color="auto"/>
                        <w:right w:val="none" w:sz="0" w:space="0" w:color="auto"/>
                      </w:divBdr>
                    </w:div>
                  </w:divsChild>
                </w:div>
                <w:div w:id="691302459">
                  <w:marLeft w:val="0"/>
                  <w:marRight w:val="0"/>
                  <w:marTop w:val="0"/>
                  <w:marBottom w:val="0"/>
                  <w:divBdr>
                    <w:top w:val="none" w:sz="0" w:space="0" w:color="auto"/>
                    <w:left w:val="none" w:sz="0" w:space="0" w:color="auto"/>
                    <w:bottom w:val="none" w:sz="0" w:space="0" w:color="auto"/>
                    <w:right w:val="none" w:sz="0" w:space="0" w:color="auto"/>
                  </w:divBdr>
                  <w:divsChild>
                    <w:div w:id="77601168">
                      <w:marLeft w:val="0"/>
                      <w:marRight w:val="0"/>
                      <w:marTop w:val="0"/>
                      <w:marBottom w:val="0"/>
                      <w:divBdr>
                        <w:top w:val="none" w:sz="0" w:space="0" w:color="auto"/>
                        <w:left w:val="none" w:sz="0" w:space="0" w:color="auto"/>
                        <w:bottom w:val="none" w:sz="0" w:space="0" w:color="auto"/>
                        <w:right w:val="none" w:sz="0" w:space="0" w:color="auto"/>
                      </w:divBdr>
                    </w:div>
                    <w:div w:id="422728925">
                      <w:marLeft w:val="0"/>
                      <w:marRight w:val="0"/>
                      <w:marTop w:val="0"/>
                      <w:marBottom w:val="0"/>
                      <w:divBdr>
                        <w:top w:val="none" w:sz="0" w:space="0" w:color="auto"/>
                        <w:left w:val="none" w:sz="0" w:space="0" w:color="auto"/>
                        <w:bottom w:val="none" w:sz="0" w:space="0" w:color="auto"/>
                        <w:right w:val="none" w:sz="0" w:space="0" w:color="auto"/>
                      </w:divBdr>
                    </w:div>
                    <w:div w:id="798261105">
                      <w:marLeft w:val="0"/>
                      <w:marRight w:val="0"/>
                      <w:marTop w:val="0"/>
                      <w:marBottom w:val="0"/>
                      <w:divBdr>
                        <w:top w:val="none" w:sz="0" w:space="0" w:color="auto"/>
                        <w:left w:val="none" w:sz="0" w:space="0" w:color="auto"/>
                        <w:bottom w:val="none" w:sz="0" w:space="0" w:color="auto"/>
                        <w:right w:val="none" w:sz="0" w:space="0" w:color="auto"/>
                      </w:divBdr>
                    </w:div>
                    <w:div w:id="1545293990">
                      <w:marLeft w:val="0"/>
                      <w:marRight w:val="0"/>
                      <w:marTop w:val="0"/>
                      <w:marBottom w:val="0"/>
                      <w:divBdr>
                        <w:top w:val="none" w:sz="0" w:space="0" w:color="auto"/>
                        <w:left w:val="none" w:sz="0" w:space="0" w:color="auto"/>
                        <w:bottom w:val="none" w:sz="0" w:space="0" w:color="auto"/>
                        <w:right w:val="none" w:sz="0" w:space="0" w:color="auto"/>
                      </w:divBdr>
                    </w:div>
                    <w:div w:id="1850634518">
                      <w:marLeft w:val="0"/>
                      <w:marRight w:val="0"/>
                      <w:marTop w:val="0"/>
                      <w:marBottom w:val="0"/>
                      <w:divBdr>
                        <w:top w:val="none" w:sz="0" w:space="0" w:color="auto"/>
                        <w:left w:val="none" w:sz="0" w:space="0" w:color="auto"/>
                        <w:bottom w:val="none" w:sz="0" w:space="0" w:color="auto"/>
                        <w:right w:val="none" w:sz="0" w:space="0" w:color="auto"/>
                      </w:divBdr>
                    </w:div>
                    <w:div w:id="1884831849">
                      <w:marLeft w:val="0"/>
                      <w:marRight w:val="0"/>
                      <w:marTop w:val="0"/>
                      <w:marBottom w:val="0"/>
                      <w:divBdr>
                        <w:top w:val="none" w:sz="0" w:space="0" w:color="auto"/>
                        <w:left w:val="none" w:sz="0" w:space="0" w:color="auto"/>
                        <w:bottom w:val="none" w:sz="0" w:space="0" w:color="auto"/>
                        <w:right w:val="none" w:sz="0" w:space="0" w:color="auto"/>
                      </w:divBdr>
                    </w:div>
                    <w:div w:id="2127313442">
                      <w:marLeft w:val="0"/>
                      <w:marRight w:val="0"/>
                      <w:marTop w:val="0"/>
                      <w:marBottom w:val="0"/>
                      <w:divBdr>
                        <w:top w:val="none" w:sz="0" w:space="0" w:color="auto"/>
                        <w:left w:val="none" w:sz="0" w:space="0" w:color="auto"/>
                        <w:bottom w:val="none" w:sz="0" w:space="0" w:color="auto"/>
                        <w:right w:val="none" w:sz="0" w:space="0" w:color="auto"/>
                      </w:divBdr>
                    </w:div>
                  </w:divsChild>
                </w:div>
                <w:div w:id="698092254">
                  <w:marLeft w:val="0"/>
                  <w:marRight w:val="0"/>
                  <w:marTop w:val="0"/>
                  <w:marBottom w:val="0"/>
                  <w:divBdr>
                    <w:top w:val="none" w:sz="0" w:space="0" w:color="auto"/>
                    <w:left w:val="none" w:sz="0" w:space="0" w:color="auto"/>
                    <w:bottom w:val="none" w:sz="0" w:space="0" w:color="auto"/>
                    <w:right w:val="none" w:sz="0" w:space="0" w:color="auto"/>
                  </w:divBdr>
                  <w:divsChild>
                    <w:div w:id="1893036428">
                      <w:marLeft w:val="0"/>
                      <w:marRight w:val="0"/>
                      <w:marTop w:val="0"/>
                      <w:marBottom w:val="0"/>
                      <w:divBdr>
                        <w:top w:val="none" w:sz="0" w:space="0" w:color="auto"/>
                        <w:left w:val="none" w:sz="0" w:space="0" w:color="auto"/>
                        <w:bottom w:val="none" w:sz="0" w:space="0" w:color="auto"/>
                        <w:right w:val="none" w:sz="0" w:space="0" w:color="auto"/>
                      </w:divBdr>
                    </w:div>
                  </w:divsChild>
                </w:div>
                <w:div w:id="830412796">
                  <w:marLeft w:val="0"/>
                  <w:marRight w:val="0"/>
                  <w:marTop w:val="0"/>
                  <w:marBottom w:val="0"/>
                  <w:divBdr>
                    <w:top w:val="none" w:sz="0" w:space="0" w:color="auto"/>
                    <w:left w:val="none" w:sz="0" w:space="0" w:color="auto"/>
                    <w:bottom w:val="none" w:sz="0" w:space="0" w:color="auto"/>
                    <w:right w:val="none" w:sz="0" w:space="0" w:color="auto"/>
                  </w:divBdr>
                  <w:divsChild>
                    <w:div w:id="1110473382">
                      <w:marLeft w:val="0"/>
                      <w:marRight w:val="0"/>
                      <w:marTop w:val="0"/>
                      <w:marBottom w:val="0"/>
                      <w:divBdr>
                        <w:top w:val="none" w:sz="0" w:space="0" w:color="auto"/>
                        <w:left w:val="none" w:sz="0" w:space="0" w:color="auto"/>
                        <w:bottom w:val="none" w:sz="0" w:space="0" w:color="auto"/>
                        <w:right w:val="none" w:sz="0" w:space="0" w:color="auto"/>
                      </w:divBdr>
                    </w:div>
                    <w:div w:id="1527601026">
                      <w:marLeft w:val="0"/>
                      <w:marRight w:val="0"/>
                      <w:marTop w:val="0"/>
                      <w:marBottom w:val="0"/>
                      <w:divBdr>
                        <w:top w:val="none" w:sz="0" w:space="0" w:color="auto"/>
                        <w:left w:val="none" w:sz="0" w:space="0" w:color="auto"/>
                        <w:bottom w:val="none" w:sz="0" w:space="0" w:color="auto"/>
                        <w:right w:val="none" w:sz="0" w:space="0" w:color="auto"/>
                      </w:divBdr>
                    </w:div>
                  </w:divsChild>
                </w:div>
                <w:div w:id="937562806">
                  <w:marLeft w:val="0"/>
                  <w:marRight w:val="0"/>
                  <w:marTop w:val="0"/>
                  <w:marBottom w:val="0"/>
                  <w:divBdr>
                    <w:top w:val="none" w:sz="0" w:space="0" w:color="auto"/>
                    <w:left w:val="none" w:sz="0" w:space="0" w:color="auto"/>
                    <w:bottom w:val="none" w:sz="0" w:space="0" w:color="auto"/>
                    <w:right w:val="none" w:sz="0" w:space="0" w:color="auto"/>
                  </w:divBdr>
                  <w:divsChild>
                    <w:div w:id="801726902">
                      <w:marLeft w:val="0"/>
                      <w:marRight w:val="0"/>
                      <w:marTop w:val="0"/>
                      <w:marBottom w:val="0"/>
                      <w:divBdr>
                        <w:top w:val="none" w:sz="0" w:space="0" w:color="auto"/>
                        <w:left w:val="none" w:sz="0" w:space="0" w:color="auto"/>
                        <w:bottom w:val="none" w:sz="0" w:space="0" w:color="auto"/>
                        <w:right w:val="none" w:sz="0" w:space="0" w:color="auto"/>
                      </w:divBdr>
                    </w:div>
                  </w:divsChild>
                </w:div>
                <w:div w:id="1158378501">
                  <w:marLeft w:val="0"/>
                  <w:marRight w:val="0"/>
                  <w:marTop w:val="0"/>
                  <w:marBottom w:val="0"/>
                  <w:divBdr>
                    <w:top w:val="none" w:sz="0" w:space="0" w:color="auto"/>
                    <w:left w:val="none" w:sz="0" w:space="0" w:color="auto"/>
                    <w:bottom w:val="none" w:sz="0" w:space="0" w:color="auto"/>
                    <w:right w:val="none" w:sz="0" w:space="0" w:color="auto"/>
                  </w:divBdr>
                  <w:divsChild>
                    <w:div w:id="352148788">
                      <w:marLeft w:val="0"/>
                      <w:marRight w:val="0"/>
                      <w:marTop w:val="0"/>
                      <w:marBottom w:val="0"/>
                      <w:divBdr>
                        <w:top w:val="none" w:sz="0" w:space="0" w:color="auto"/>
                        <w:left w:val="none" w:sz="0" w:space="0" w:color="auto"/>
                        <w:bottom w:val="none" w:sz="0" w:space="0" w:color="auto"/>
                        <w:right w:val="none" w:sz="0" w:space="0" w:color="auto"/>
                      </w:divBdr>
                    </w:div>
                    <w:div w:id="1089472997">
                      <w:marLeft w:val="0"/>
                      <w:marRight w:val="0"/>
                      <w:marTop w:val="0"/>
                      <w:marBottom w:val="0"/>
                      <w:divBdr>
                        <w:top w:val="none" w:sz="0" w:space="0" w:color="auto"/>
                        <w:left w:val="none" w:sz="0" w:space="0" w:color="auto"/>
                        <w:bottom w:val="none" w:sz="0" w:space="0" w:color="auto"/>
                        <w:right w:val="none" w:sz="0" w:space="0" w:color="auto"/>
                      </w:divBdr>
                    </w:div>
                  </w:divsChild>
                </w:div>
                <w:div w:id="1235552952">
                  <w:marLeft w:val="0"/>
                  <w:marRight w:val="0"/>
                  <w:marTop w:val="0"/>
                  <w:marBottom w:val="0"/>
                  <w:divBdr>
                    <w:top w:val="none" w:sz="0" w:space="0" w:color="auto"/>
                    <w:left w:val="none" w:sz="0" w:space="0" w:color="auto"/>
                    <w:bottom w:val="none" w:sz="0" w:space="0" w:color="auto"/>
                    <w:right w:val="none" w:sz="0" w:space="0" w:color="auto"/>
                  </w:divBdr>
                  <w:divsChild>
                    <w:div w:id="1031417667">
                      <w:marLeft w:val="0"/>
                      <w:marRight w:val="0"/>
                      <w:marTop w:val="0"/>
                      <w:marBottom w:val="0"/>
                      <w:divBdr>
                        <w:top w:val="none" w:sz="0" w:space="0" w:color="auto"/>
                        <w:left w:val="none" w:sz="0" w:space="0" w:color="auto"/>
                        <w:bottom w:val="none" w:sz="0" w:space="0" w:color="auto"/>
                        <w:right w:val="none" w:sz="0" w:space="0" w:color="auto"/>
                      </w:divBdr>
                    </w:div>
                    <w:div w:id="1119956603">
                      <w:marLeft w:val="0"/>
                      <w:marRight w:val="0"/>
                      <w:marTop w:val="0"/>
                      <w:marBottom w:val="0"/>
                      <w:divBdr>
                        <w:top w:val="none" w:sz="0" w:space="0" w:color="auto"/>
                        <w:left w:val="none" w:sz="0" w:space="0" w:color="auto"/>
                        <w:bottom w:val="none" w:sz="0" w:space="0" w:color="auto"/>
                        <w:right w:val="none" w:sz="0" w:space="0" w:color="auto"/>
                      </w:divBdr>
                    </w:div>
                    <w:div w:id="1877086658">
                      <w:marLeft w:val="0"/>
                      <w:marRight w:val="0"/>
                      <w:marTop w:val="0"/>
                      <w:marBottom w:val="0"/>
                      <w:divBdr>
                        <w:top w:val="none" w:sz="0" w:space="0" w:color="auto"/>
                        <w:left w:val="none" w:sz="0" w:space="0" w:color="auto"/>
                        <w:bottom w:val="none" w:sz="0" w:space="0" w:color="auto"/>
                        <w:right w:val="none" w:sz="0" w:space="0" w:color="auto"/>
                      </w:divBdr>
                    </w:div>
                  </w:divsChild>
                </w:div>
                <w:div w:id="1256741932">
                  <w:marLeft w:val="0"/>
                  <w:marRight w:val="0"/>
                  <w:marTop w:val="0"/>
                  <w:marBottom w:val="0"/>
                  <w:divBdr>
                    <w:top w:val="none" w:sz="0" w:space="0" w:color="auto"/>
                    <w:left w:val="none" w:sz="0" w:space="0" w:color="auto"/>
                    <w:bottom w:val="none" w:sz="0" w:space="0" w:color="auto"/>
                    <w:right w:val="none" w:sz="0" w:space="0" w:color="auto"/>
                  </w:divBdr>
                  <w:divsChild>
                    <w:div w:id="57286790">
                      <w:marLeft w:val="0"/>
                      <w:marRight w:val="0"/>
                      <w:marTop w:val="0"/>
                      <w:marBottom w:val="0"/>
                      <w:divBdr>
                        <w:top w:val="none" w:sz="0" w:space="0" w:color="auto"/>
                        <w:left w:val="none" w:sz="0" w:space="0" w:color="auto"/>
                        <w:bottom w:val="none" w:sz="0" w:space="0" w:color="auto"/>
                        <w:right w:val="none" w:sz="0" w:space="0" w:color="auto"/>
                      </w:divBdr>
                    </w:div>
                    <w:div w:id="325520275">
                      <w:marLeft w:val="0"/>
                      <w:marRight w:val="0"/>
                      <w:marTop w:val="0"/>
                      <w:marBottom w:val="0"/>
                      <w:divBdr>
                        <w:top w:val="none" w:sz="0" w:space="0" w:color="auto"/>
                        <w:left w:val="none" w:sz="0" w:space="0" w:color="auto"/>
                        <w:bottom w:val="none" w:sz="0" w:space="0" w:color="auto"/>
                        <w:right w:val="none" w:sz="0" w:space="0" w:color="auto"/>
                      </w:divBdr>
                    </w:div>
                    <w:div w:id="332951209">
                      <w:marLeft w:val="0"/>
                      <w:marRight w:val="0"/>
                      <w:marTop w:val="0"/>
                      <w:marBottom w:val="0"/>
                      <w:divBdr>
                        <w:top w:val="none" w:sz="0" w:space="0" w:color="auto"/>
                        <w:left w:val="none" w:sz="0" w:space="0" w:color="auto"/>
                        <w:bottom w:val="none" w:sz="0" w:space="0" w:color="auto"/>
                        <w:right w:val="none" w:sz="0" w:space="0" w:color="auto"/>
                      </w:divBdr>
                    </w:div>
                    <w:div w:id="419834204">
                      <w:marLeft w:val="0"/>
                      <w:marRight w:val="0"/>
                      <w:marTop w:val="0"/>
                      <w:marBottom w:val="0"/>
                      <w:divBdr>
                        <w:top w:val="none" w:sz="0" w:space="0" w:color="auto"/>
                        <w:left w:val="none" w:sz="0" w:space="0" w:color="auto"/>
                        <w:bottom w:val="none" w:sz="0" w:space="0" w:color="auto"/>
                        <w:right w:val="none" w:sz="0" w:space="0" w:color="auto"/>
                      </w:divBdr>
                    </w:div>
                    <w:div w:id="478426671">
                      <w:marLeft w:val="0"/>
                      <w:marRight w:val="0"/>
                      <w:marTop w:val="0"/>
                      <w:marBottom w:val="0"/>
                      <w:divBdr>
                        <w:top w:val="none" w:sz="0" w:space="0" w:color="auto"/>
                        <w:left w:val="none" w:sz="0" w:space="0" w:color="auto"/>
                        <w:bottom w:val="none" w:sz="0" w:space="0" w:color="auto"/>
                        <w:right w:val="none" w:sz="0" w:space="0" w:color="auto"/>
                      </w:divBdr>
                    </w:div>
                    <w:div w:id="952593092">
                      <w:marLeft w:val="0"/>
                      <w:marRight w:val="0"/>
                      <w:marTop w:val="0"/>
                      <w:marBottom w:val="0"/>
                      <w:divBdr>
                        <w:top w:val="none" w:sz="0" w:space="0" w:color="auto"/>
                        <w:left w:val="none" w:sz="0" w:space="0" w:color="auto"/>
                        <w:bottom w:val="none" w:sz="0" w:space="0" w:color="auto"/>
                        <w:right w:val="none" w:sz="0" w:space="0" w:color="auto"/>
                      </w:divBdr>
                    </w:div>
                    <w:div w:id="993531205">
                      <w:marLeft w:val="0"/>
                      <w:marRight w:val="0"/>
                      <w:marTop w:val="0"/>
                      <w:marBottom w:val="0"/>
                      <w:divBdr>
                        <w:top w:val="none" w:sz="0" w:space="0" w:color="auto"/>
                        <w:left w:val="none" w:sz="0" w:space="0" w:color="auto"/>
                        <w:bottom w:val="none" w:sz="0" w:space="0" w:color="auto"/>
                        <w:right w:val="none" w:sz="0" w:space="0" w:color="auto"/>
                      </w:divBdr>
                    </w:div>
                    <w:div w:id="1016422914">
                      <w:marLeft w:val="0"/>
                      <w:marRight w:val="0"/>
                      <w:marTop w:val="0"/>
                      <w:marBottom w:val="0"/>
                      <w:divBdr>
                        <w:top w:val="none" w:sz="0" w:space="0" w:color="auto"/>
                        <w:left w:val="none" w:sz="0" w:space="0" w:color="auto"/>
                        <w:bottom w:val="none" w:sz="0" w:space="0" w:color="auto"/>
                        <w:right w:val="none" w:sz="0" w:space="0" w:color="auto"/>
                      </w:divBdr>
                    </w:div>
                    <w:div w:id="1337803080">
                      <w:marLeft w:val="0"/>
                      <w:marRight w:val="0"/>
                      <w:marTop w:val="0"/>
                      <w:marBottom w:val="0"/>
                      <w:divBdr>
                        <w:top w:val="none" w:sz="0" w:space="0" w:color="auto"/>
                        <w:left w:val="none" w:sz="0" w:space="0" w:color="auto"/>
                        <w:bottom w:val="none" w:sz="0" w:space="0" w:color="auto"/>
                        <w:right w:val="none" w:sz="0" w:space="0" w:color="auto"/>
                      </w:divBdr>
                    </w:div>
                    <w:div w:id="1415471311">
                      <w:marLeft w:val="0"/>
                      <w:marRight w:val="0"/>
                      <w:marTop w:val="0"/>
                      <w:marBottom w:val="0"/>
                      <w:divBdr>
                        <w:top w:val="none" w:sz="0" w:space="0" w:color="auto"/>
                        <w:left w:val="none" w:sz="0" w:space="0" w:color="auto"/>
                        <w:bottom w:val="none" w:sz="0" w:space="0" w:color="auto"/>
                        <w:right w:val="none" w:sz="0" w:space="0" w:color="auto"/>
                      </w:divBdr>
                    </w:div>
                    <w:div w:id="1601990462">
                      <w:marLeft w:val="0"/>
                      <w:marRight w:val="0"/>
                      <w:marTop w:val="0"/>
                      <w:marBottom w:val="0"/>
                      <w:divBdr>
                        <w:top w:val="none" w:sz="0" w:space="0" w:color="auto"/>
                        <w:left w:val="none" w:sz="0" w:space="0" w:color="auto"/>
                        <w:bottom w:val="none" w:sz="0" w:space="0" w:color="auto"/>
                        <w:right w:val="none" w:sz="0" w:space="0" w:color="auto"/>
                      </w:divBdr>
                    </w:div>
                    <w:div w:id="1728794514">
                      <w:marLeft w:val="0"/>
                      <w:marRight w:val="0"/>
                      <w:marTop w:val="0"/>
                      <w:marBottom w:val="0"/>
                      <w:divBdr>
                        <w:top w:val="none" w:sz="0" w:space="0" w:color="auto"/>
                        <w:left w:val="none" w:sz="0" w:space="0" w:color="auto"/>
                        <w:bottom w:val="none" w:sz="0" w:space="0" w:color="auto"/>
                        <w:right w:val="none" w:sz="0" w:space="0" w:color="auto"/>
                      </w:divBdr>
                    </w:div>
                    <w:div w:id="1844587891">
                      <w:marLeft w:val="0"/>
                      <w:marRight w:val="0"/>
                      <w:marTop w:val="0"/>
                      <w:marBottom w:val="0"/>
                      <w:divBdr>
                        <w:top w:val="none" w:sz="0" w:space="0" w:color="auto"/>
                        <w:left w:val="none" w:sz="0" w:space="0" w:color="auto"/>
                        <w:bottom w:val="none" w:sz="0" w:space="0" w:color="auto"/>
                        <w:right w:val="none" w:sz="0" w:space="0" w:color="auto"/>
                      </w:divBdr>
                    </w:div>
                    <w:div w:id="1850950154">
                      <w:marLeft w:val="0"/>
                      <w:marRight w:val="0"/>
                      <w:marTop w:val="0"/>
                      <w:marBottom w:val="0"/>
                      <w:divBdr>
                        <w:top w:val="none" w:sz="0" w:space="0" w:color="auto"/>
                        <w:left w:val="none" w:sz="0" w:space="0" w:color="auto"/>
                        <w:bottom w:val="none" w:sz="0" w:space="0" w:color="auto"/>
                        <w:right w:val="none" w:sz="0" w:space="0" w:color="auto"/>
                      </w:divBdr>
                    </w:div>
                    <w:div w:id="1885362867">
                      <w:marLeft w:val="0"/>
                      <w:marRight w:val="0"/>
                      <w:marTop w:val="0"/>
                      <w:marBottom w:val="0"/>
                      <w:divBdr>
                        <w:top w:val="none" w:sz="0" w:space="0" w:color="auto"/>
                        <w:left w:val="none" w:sz="0" w:space="0" w:color="auto"/>
                        <w:bottom w:val="none" w:sz="0" w:space="0" w:color="auto"/>
                        <w:right w:val="none" w:sz="0" w:space="0" w:color="auto"/>
                      </w:divBdr>
                    </w:div>
                    <w:div w:id="1888757735">
                      <w:marLeft w:val="0"/>
                      <w:marRight w:val="0"/>
                      <w:marTop w:val="0"/>
                      <w:marBottom w:val="0"/>
                      <w:divBdr>
                        <w:top w:val="none" w:sz="0" w:space="0" w:color="auto"/>
                        <w:left w:val="none" w:sz="0" w:space="0" w:color="auto"/>
                        <w:bottom w:val="none" w:sz="0" w:space="0" w:color="auto"/>
                        <w:right w:val="none" w:sz="0" w:space="0" w:color="auto"/>
                      </w:divBdr>
                    </w:div>
                    <w:div w:id="2131704098">
                      <w:marLeft w:val="0"/>
                      <w:marRight w:val="0"/>
                      <w:marTop w:val="0"/>
                      <w:marBottom w:val="0"/>
                      <w:divBdr>
                        <w:top w:val="none" w:sz="0" w:space="0" w:color="auto"/>
                        <w:left w:val="none" w:sz="0" w:space="0" w:color="auto"/>
                        <w:bottom w:val="none" w:sz="0" w:space="0" w:color="auto"/>
                        <w:right w:val="none" w:sz="0" w:space="0" w:color="auto"/>
                      </w:divBdr>
                    </w:div>
                  </w:divsChild>
                </w:div>
                <w:div w:id="1307540864">
                  <w:marLeft w:val="0"/>
                  <w:marRight w:val="0"/>
                  <w:marTop w:val="0"/>
                  <w:marBottom w:val="0"/>
                  <w:divBdr>
                    <w:top w:val="none" w:sz="0" w:space="0" w:color="auto"/>
                    <w:left w:val="none" w:sz="0" w:space="0" w:color="auto"/>
                    <w:bottom w:val="none" w:sz="0" w:space="0" w:color="auto"/>
                    <w:right w:val="none" w:sz="0" w:space="0" w:color="auto"/>
                  </w:divBdr>
                  <w:divsChild>
                    <w:div w:id="813958002">
                      <w:marLeft w:val="0"/>
                      <w:marRight w:val="0"/>
                      <w:marTop w:val="0"/>
                      <w:marBottom w:val="0"/>
                      <w:divBdr>
                        <w:top w:val="none" w:sz="0" w:space="0" w:color="auto"/>
                        <w:left w:val="none" w:sz="0" w:space="0" w:color="auto"/>
                        <w:bottom w:val="none" w:sz="0" w:space="0" w:color="auto"/>
                        <w:right w:val="none" w:sz="0" w:space="0" w:color="auto"/>
                      </w:divBdr>
                    </w:div>
                    <w:div w:id="1104882941">
                      <w:marLeft w:val="0"/>
                      <w:marRight w:val="0"/>
                      <w:marTop w:val="0"/>
                      <w:marBottom w:val="0"/>
                      <w:divBdr>
                        <w:top w:val="none" w:sz="0" w:space="0" w:color="auto"/>
                        <w:left w:val="none" w:sz="0" w:space="0" w:color="auto"/>
                        <w:bottom w:val="none" w:sz="0" w:space="0" w:color="auto"/>
                        <w:right w:val="none" w:sz="0" w:space="0" w:color="auto"/>
                      </w:divBdr>
                    </w:div>
                    <w:div w:id="2035110730">
                      <w:marLeft w:val="0"/>
                      <w:marRight w:val="0"/>
                      <w:marTop w:val="0"/>
                      <w:marBottom w:val="0"/>
                      <w:divBdr>
                        <w:top w:val="none" w:sz="0" w:space="0" w:color="auto"/>
                        <w:left w:val="none" w:sz="0" w:space="0" w:color="auto"/>
                        <w:bottom w:val="none" w:sz="0" w:space="0" w:color="auto"/>
                        <w:right w:val="none" w:sz="0" w:space="0" w:color="auto"/>
                      </w:divBdr>
                    </w:div>
                  </w:divsChild>
                </w:div>
                <w:div w:id="1310207491">
                  <w:marLeft w:val="0"/>
                  <w:marRight w:val="0"/>
                  <w:marTop w:val="0"/>
                  <w:marBottom w:val="0"/>
                  <w:divBdr>
                    <w:top w:val="none" w:sz="0" w:space="0" w:color="auto"/>
                    <w:left w:val="none" w:sz="0" w:space="0" w:color="auto"/>
                    <w:bottom w:val="none" w:sz="0" w:space="0" w:color="auto"/>
                    <w:right w:val="none" w:sz="0" w:space="0" w:color="auto"/>
                  </w:divBdr>
                  <w:divsChild>
                    <w:div w:id="330328096">
                      <w:marLeft w:val="0"/>
                      <w:marRight w:val="0"/>
                      <w:marTop w:val="0"/>
                      <w:marBottom w:val="0"/>
                      <w:divBdr>
                        <w:top w:val="none" w:sz="0" w:space="0" w:color="auto"/>
                        <w:left w:val="none" w:sz="0" w:space="0" w:color="auto"/>
                        <w:bottom w:val="none" w:sz="0" w:space="0" w:color="auto"/>
                        <w:right w:val="none" w:sz="0" w:space="0" w:color="auto"/>
                      </w:divBdr>
                    </w:div>
                    <w:div w:id="1274630426">
                      <w:marLeft w:val="0"/>
                      <w:marRight w:val="0"/>
                      <w:marTop w:val="0"/>
                      <w:marBottom w:val="0"/>
                      <w:divBdr>
                        <w:top w:val="none" w:sz="0" w:space="0" w:color="auto"/>
                        <w:left w:val="none" w:sz="0" w:space="0" w:color="auto"/>
                        <w:bottom w:val="none" w:sz="0" w:space="0" w:color="auto"/>
                        <w:right w:val="none" w:sz="0" w:space="0" w:color="auto"/>
                      </w:divBdr>
                    </w:div>
                    <w:div w:id="1699696324">
                      <w:marLeft w:val="0"/>
                      <w:marRight w:val="0"/>
                      <w:marTop w:val="0"/>
                      <w:marBottom w:val="0"/>
                      <w:divBdr>
                        <w:top w:val="none" w:sz="0" w:space="0" w:color="auto"/>
                        <w:left w:val="none" w:sz="0" w:space="0" w:color="auto"/>
                        <w:bottom w:val="none" w:sz="0" w:space="0" w:color="auto"/>
                        <w:right w:val="none" w:sz="0" w:space="0" w:color="auto"/>
                      </w:divBdr>
                    </w:div>
                  </w:divsChild>
                </w:div>
                <w:div w:id="1330251575">
                  <w:marLeft w:val="0"/>
                  <w:marRight w:val="0"/>
                  <w:marTop w:val="0"/>
                  <w:marBottom w:val="0"/>
                  <w:divBdr>
                    <w:top w:val="none" w:sz="0" w:space="0" w:color="auto"/>
                    <w:left w:val="none" w:sz="0" w:space="0" w:color="auto"/>
                    <w:bottom w:val="none" w:sz="0" w:space="0" w:color="auto"/>
                    <w:right w:val="none" w:sz="0" w:space="0" w:color="auto"/>
                  </w:divBdr>
                  <w:divsChild>
                    <w:div w:id="85000887">
                      <w:marLeft w:val="0"/>
                      <w:marRight w:val="0"/>
                      <w:marTop w:val="0"/>
                      <w:marBottom w:val="0"/>
                      <w:divBdr>
                        <w:top w:val="none" w:sz="0" w:space="0" w:color="auto"/>
                        <w:left w:val="none" w:sz="0" w:space="0" w:color="auto"/>
                        <w:bottom w:val="none" w:sz="0" w:space="0" w:color="auto"/>
                        <w:right w:val="none" w:sz="0" w:space="0" w:color="auto"/>
                      </w:divBdr>
                    </w:div>
                    <w:div w:id="490490800">
                      <w:marLeft w:val="0"/>
                      <w:marRight w:val="0"/>
                      <w:marTop w:val="0"/>
                      <w:marBottom w:val="0"/>
                      <w:divBdr>
                        <w:top w:val="none" w:sz="0" w:space="0" w:color="auto"/>
                        <w:left w:val="none" w:sz="0" w:space="0" w:color="auto"/>
                        <w:bottom w:val="none" w:sz="0" w:space="0" w:color="auto"/>
                        <w:right w:val="none" w:sz="0" w:space="0" w:color="auto"/>
                      </w:divBdr>
                    </w:div>
                    <w:div w:id="749890094">
                      <w:marLeft w:val="0"/>
                      <w:marRight w:val="0"/>
                      <w:marTop w:val="0"/>
                      <w:marBottom w:val="0"/>
                      <w:divBdr>
                        <w:top w:val="none" w:sz="0" w:space="0" w:color="auto"/>
                        <w:left w:val="none" w:sz="0" w:space="0" w:color="auto"/>
                        <w:bottom w:val="none" w:sz="0" w:space="0" w:color="auto"/>
                        <w:right w:val="none" w:sz="0" w:space="0" w:color="auto"/>
                      </w:divBdr>
                    </w:div>
                  </w:divsChild>
                </w:div>
                <w:div w:id="1499887979">
                  <w:marLeft w:val="0"/>
                  <w:marRight w:val="0"/>
                  <w:marTop w:val="0"/>
                  <w:marBottom w:val="0"/>
                  <w:divBdr>
                    <w:top w:val="none" w:sz="0" w:space="0" w:color="auto"/>
                    <w:left w:val="none" w:sz="0" w:space="0" w:color="auto"/>
                    <w:bottom w:val="none" w:sz="0" w:space="0" w:color="auto"/>
                    <w:right w:val="none" w:sz="0" w:space="0" w:color="auto"/>
                  </w:divBdr>
                  <w:divsChild>
                    <w:div w:id="72894915">
                      <w:marLeft w:val="0"/>
                      <w:marRight w:val="0"/>
                      <w:marTop w:val="0"/>
                      <w:marBottom w:val="0"/>
                      <w:divBdr>
                        <w:top w:val="none" w:sz="0" w:space="0" w:color="auto"/>
                        <w:left w:val="none" w:sz="0" w:space="0" w:color="auto"/>
                        <w:bottom w:val="none" w:sz="0" w:space="0" w:color="auto"/>
                        <w:right w:val="none" w:sz="0" w:space="0" w:color="auto"/>
                      </w:divBdr>
                    </w:div>
                    <w:div w:id="261760689">
                      <w:marLeft w:val="0"/>
                      <w:marRight w:val="0"/>
                      <w:marTop w:val="0"/>
                      <w:marBottom w:val="0"/>
                      <w:divBdr>
                        <w:top w:val="none" w:sz="0" w:space="0" w:color="auto"/>
                        <w:left w:val="none" w:sz="0" w:space="0" w:color="auto"/>
                        <w:bottom w:val="none" w:sz="0" w:space="0" w:color="auto"/>
                        <w:right w:val="none" w:sz="0" w:space="0" w:color="auto"/>
                      </w:divBdr>
                    </w:div>
                    <w:div w:id="261961599">
                      <w:marLeft w:val="0"/>
                      <w:marRight w:val="0"/>
                      <w:marTop w:val="0"/>
                      <w:marBottom w:val="0"/>
                      <w:divBdr>
                        <w:top w:val="none" w:sz="0" w:space="0" w:color="auto"/>
                        <w:left w:val="none" w:sz="0" w:space="0" w:color="auto"/>
                        <w:bottom w:val="none" w:sz="0" w:space="0" w:color="auto"/>
                        <w:right w:val="none" w:sz="0" w:space="0" w:color="auto"/>
                      </w:divBdr>
                    </w:div>
                    <w:div w:id="298657529">
                      <w:marLeft w:val="0"/>
                      <w:marRight w:val="0"/>
                      <w:marTop w:val="0"/>
                      <w:marBottom w:val="0"/>
                      <w:divBdr>
                        <w:top w:val="none" w:sz="0" w:space="0" w:color="auto"/>
                        <w:left w:val="none" w:sz="0" w:space="0" w:color="auto"/>
                        <w:bottom w:val="none" w:sz="0" w:space="0" w:color="auto"/>
                        <w:right w:val="none" w:sz="0" w:space="0" w:color="auto"/>
                      </w:divBdr>
                    </w:div>
                    <w:div w:id="368847519">
                      <w:marLeft w:val="0"/>
                      <w:marRight w:val="0"/>
                      <w:marTop w:val="0"/>
                      <w:marBottom w:val="0"/>
                      <w:divBdr>
                        <w:top w:val="none" w:sz="0" w:space="0" w:color="auto"/>
                        <w:left w:val="none" w:sz="0" w:space="0" w:color="auto"/>
                        <w:bottom w:val="none" w:sz="0" w:space="0" w:color="auto"/>
                        <w:right w:val="none" w:sz="0" w:space="0" w:color="auto"/>
                      </w:divBdr>
                    </w:div>
                    <w:div w:id="938563420">
                      <w:marLeft w:val="0"/>
                      <w:marRight w:val="0"/>
                      <w:marTop w:val="0"/>
                      <w:marBottom w:val="0"/>
                      <w:divBdr>
                        <w:top w:val="none" w:sz="0" w:space="0" w:color="auto"/>
                        <w:left w:val="none" w:sz="0" w:space="0" w:color="auto"/>
                        <w:bottom w:val="none" w:sz="0" w:space="0" w:color="auto"/>
                        <w:right w:val="none" w:sz="0" w:space="0" w:color="auto"/>
                      </w:divBdr>
                    </w:div>
                    <w:div w:id="1116103486">
                      <w:marLeft w:val="0"/>
                      <w:marRight w:val="0"/>
                      <w:marTop w:val="0"/>
                      <w:marBottom w:val="0"/>
                      <w:divBdr>
                        <w:top w:val="none" w:sz="0" w:space="0" w:color="auto"/>
                        <w:left w:val="none" w:sz="0" w:space="0" w:color="auto"/>
                        <w:bottom w:val="none" w:sz="0" w:space="0" w:color="auto"/>
                        <w:right w:val="none" w:sz="0" w:space="0" w:color="auto"/>
                      </w:divBdr>
                    </w:div>
                    <w:div w:id="1263489487">
                      <w:marLeft w:val="0"/>
                      <w:marRight w:val="0"/>
                      <w:marTop w:val="0"/>
                      <w:marBottom w:val="0"/>
                      <w:divBdr>
                        <w:top w:val="none" w:sz="0" w:space="0" w:color="auto"/>
                        <w:left w:val="none" w:sz="0" w:space="0" w:color="auto"/>
                        <w:bottom w:val="none" w:sz="0" w:space="0" w:color="auto"/>
                        <w:right w:val="none" w:sz="0" w:space="0" w:color="auto"/>
                      </w:divBdr>
                    </w:div>
                    <w:div w:id="1392339836">
                      <w:marLeft w:val="0"/>
                      <w:marRight w:val="0"/>
                      <w:marTop w:val="0"/>
                      <w:marBottom w:val="0"/>
                      <w:divBdr>
                        <w:top w:val="none" w:sz="0" w:space="0" w:color="auto"/>
                        <w:left w:val="none" w:sz="0" w:space="0" w:color="auto"/>
                        <w:bottom w:val="none" w:sz="0" w:space="0" w:color="auto"/>
                        <w:right w:val="none" w:sz="0" w:space="0" w:color="auto"/>
                      </w:divBdr>
                    </w:div>
                    <w:div w:id="1546527352">
                      <w:marLeft w:val="0"/>
                      <w:marRight w:val="0"/>
                      <w:marTop w:val="0"/>
                      <w:marBottom w:val="0"/>
                      <w:divBdr>
                        <w:top w:val="none" w:sz="0" w:space="0" w:color="auto"/>
                        <w:left w:val="none" w:sz="0" w:space="0" w:color="auto"/>
                        <w:bottom w:val="none" w:sz="0" w:space="0" w:color="auto"/>
                        <w:right w:val="none" w:sz="0" w:space="0" w:color="auto"/>
                      </w:divBdr>
                    </w:div>
                    <w:div w:id="1624116726">
                      <w:marLeft w:val="0"/>
                      <w:marRight w:val="0"/>
                      <w:marTop w:val="0"/>
                      <w:marBottom w:val="0"/>
                      <w:divBdr>
                        <w:top w:val="none" w:sz="0" w:space="0" w:color="auto"/>
                        <w:left w:val="none" w:sz="0" w:space="0" w:color="auto"/>
                        <w:bottom w:val="none" w:sz="0" w:space="0" w:color="auto"/>
                        <w:right w:val="none" w:sz="0" w:space="0" w:color="auto"/>
                      </w:divBdr>
                    </w:div>
                    <w:div w:id="1648051196">
                      <w:marLeft w:val="0"/>
                      <w:marRight w:val="0"/>
                      <w:marTop w:val="0"/>
                      <w:marBottom w:val="0"/>
                      <w:divBdr>
                        <w:top w:val="none" w:sz="0" w:space="0" w:color="auto"/>
                        <w:left w:val="none" w:sz="0" w:space="0" w:color="auto"/>
                        <w:bottom w:val="none" w:sz="0" w:space="0" w:color="auto"/>
                        <w:right w:val="none" w:sz="0" w:space="0" w:color="auto"/>
                      </w:divBdr>
                    </w:div>
                    <w:div w:id="1677415128">
                      <w:marLeft w:val="0"/>
                      <w:marRight w:val="0"/>
                      <w:marTop w:val="0"/>
                      <w:marBottom w:val="0"/>
                      <w:divBdr>
                        <w:top w:val="none" w:sz="0" w:space="0" w:color="auto"/>
                        <w:left w:val="none" w:sz="0" w:space="0" w:color="auto"/>
                        <w:bottom w:val="none" w:sz="0" w:space="0" w:color="auto"/>
                        <w:right w:val="none" w:sz="0" w:space="0" w:color="auto"/>
                      </w:divBdr>
                    </w:div>
                    <w:div w:id="1813207636">
                      <w:marLeft w:val="0"/>
                      <w:marRight w:val="0"/>
                      <w:marTop w:val="0"/>
                      <w:marBottom w:val="0"/>
                      <w:divBdr>
                        <w:top w:val="none" w:sz="0" w:space="0" w:color="auto"/>
                        <w:left w:val="none" w:sz="0" w:space="0" w:color="auto"/>
                        <w:bottom w:val="none" w:sz="0" w:space="0" w:color="auto"/>
                        <w:right w:val="none" w:sz="0" w:space="0" w:color="auto"/>
                      </w:divBdr>
                    </w:div>
                    <w:div w:id="1908876865">
                      <w:marLeft w:val="0"/>
                      <w:marRight w:val="0"/>
                      <w:marTop w:val="0"/>
                      <w:marBottom w:val="0"/>
                      <w:divBdr>
                        <w:top w:val="none" w:sz="0" w:space="0" w:color="auto"/>
                        <w:left w:val="none" w:sz="0" w:space="0" w:color="auto"/>
                        <w:bottom w:val="none" w:sz="0" w:space="0" w:color="auto"/>
                        <w:right w:val="none" w:sz="0" w:space="0" w:color="auto"/>
                      </w:divBdr>
                    </w:div>
                    <w:div w:id="1947420686">
                      <w:marLeft w:val="0"/>
                      <w:marRight w:val="0"/>
                      <w:marTop w:val="0"/>
                      <w:marBottom w:val="0"/>
                      <w:divBdr>
                        <w:top w:val="none" w:sz="0" w:space="0" w:color="auto"/>
                        <w:left w:val="none" w:sz="0" w:space="0" w:color="auto"/>
                        <w:bottom w:val="none" w:sz="0" w:space="0" w:color="auto"/>
                        <w:right w:val="none" w:sz="0" w:space="0" w:color="auto"/>
                      </w:divBdr>
                    </w:div>
                    <w:div w:id="2044867731">
                      <w:marLeft w:val="0"/>
                      <w:marRight w:val="0"/>
                      <w:marTop w:val="0"/>
                      <w:marBottom w:val="0"/>
                      <w:divBdr>
                        <w:top w:val="none" w:sz="0" w:space="0" w:color="auto"/>
                        <w:left w:val="none" w:sz="0" w:space="0" w:color="auto"/>
                        <w:bottom w:val="none" w:sz="0" w:space="0" w:color="auto"/>
                        <w:right w:val="none" w:sz="0" w:space="0" w:color="auto"/>
                      </w:divBdr>
                    </w:div>
                  </w:divsChild>
                </w:div>
                <w:div w:id="1508322154">
                  <w:marLeft w:val="0"/>
                  <w:marRight w:val="0"/>
                  <w:marTop w:val="0"/>
                  <w:marBottom w:val="0"/>
                  <w:divBdr>
                    <w:top w:val="none" w:sz="0" w:space="0" w:color="auto"/>
                    <w:left w:val="none" w:sz="0" w:space="0" w:color="auto"/>
                    <w:bottom w:val="none" w:sz="0" w:space="0" w:color="auto"/>
                    <w:right w:val="none" w:sz="0" w:space="0" w:color="auto"/>
                  </w:divBdr>
                  <w:divsChild>
                    <w:div w:id="1022899610">
                      <w:marLeft w:val="0"/>
                      <w:marRight w:val="0"/>
                      <w:marTop w:val="0"/>
                      <w:marBottom w:val="0"/>
                      <w:divBdr>
                        <w:top w:val="none" w:sz="0" w:space="0" w:color="auto"/>
                        <w:left w:val="none" w:sz="0" w:space="0" w:color="auto"/>
                        <w:bottom w:val="none" w:sz="0" w:space="0" w:color="auto"/>
                        <w:right w:val="none" w:sz="0" w:space="0" w:color="auto"/>
                      </w:divBdr>
                    </w:div>
                  </w:divsChild>
                </w:div>
                <w:div w:id="1675373447">
                  <w:marLeft w:val="0"/>
                  <w:marRight w:val="0"/>
                  <w:marTop w:val="0"/>
                  <w:marBottom w:val="0"/>
                  <w:divBdr>
                    <w:top w:val="none" w:sz="0" w:space="0" w:color="auto"/>
                    <w:left w:val="none" w:sz="0" w:space="0" w:color="auto"/>
                    <w:bottom w:val="none" w:sz="0" w:space="0" w:color="auto"/>
                    <w:right w:val="none" w:sz="0" w:space="0" w:color="auto"/>
                  </w:divBdr>
                  <w:divsChild>
                    <w:div w:id="168716798">
                      <w:marLeft w:val="0"/>
                      <w:marRight w:val="0"/>
                      <w:marTop w:val="0"/>
                      <w:marBottom w:val="0"/>
                      <w:divBdr>
                        <w:top w:val="none" w:sz="0" w:space="0" w:color="auto"/>
                        <w:left w:val="none" w:sz="0" w:space="0" w:color="auto"/>
                        <w:bottom w:val="none" w:sz="0" w:space="0" w:color="auto"/>
                        <w:right w:val="none" w:sz="0" w:space="0" w:color="auto"/>
                      </w:divBdr>
                    </w:div>
                  </w:divsChild>
                </w:div>
                <w:div w:id="1800613810">
                  <w:marLeft w:val="0"/>
                  <w:marRight w:val="0"/>
                  <w:marTop w:val="0"/>
                  <w:marBottom w:val="0"/>
                  <w:divBdr>
                    <w:top w:val="none" w:sz="0" w:space="0" w:color="auto"/>
                    <w:left w:val="none" w:sz="0" w:space="0" w:color="auto"/>
                    <w:bottom w:val="none" w:sz="0" w:space="0" w:color="auto"/>
                    <w:right w:val="none" w:sz="0" w:space="0" w:color="auto"/>
                  </w:divBdr>
                  <w:divsChild>
                    <w:div w:id="242952783">
                      <w:marLeft w:val="0"/>
                      <w:marRight w:val="0"/>
                      <w:marTop w:val="0"/>
                      <w:marBottom w:val="0"/>
                      <w:divBdr>
                        <w:top w:val="none" w:sz="0" w:space="0" w:color="auto"/>
                        <w:left w:val="none" w:sz="0" w:space="0" w:color="auto"/>
                        <w:bottom w:val="none" w:sz="0" w:space="0" w:color="auto"/>
                        <w:right w:val="none" w:sz="0" w:space="0" w:color="auto"/>
                      </w:divBdr>
                    </w:div>
                    <w:div w:id="349457573">
                      <w:marLeft w:val="0"/>
                      <w:marRight w:val="0"/>
                      <w:marTop w:val="0"/>
                      <w:marBottom w:val="0"/>
                      <w:divBdr>
                        <w:top w:val="none" w:sz="0" w:space="0" w:color="auto"/>
                        <w:left w:val="none" w:sz="0" w:space="0" w:color="auto"/>
                        <w:bottom w:val="none" w:sz="0" w:space="0" w:color="auto"/>
                        <w:right w:val="none" w:sz="0" w:space="0" w:color="auto"/>
                      </w:divBdr>
                    </w:div>
                    <w:div w:id="868297621">
                      <w:marLeft w:val="0"/>
                      <w:marRight w:val="0"/>
                      <w:marTop w:val="0"/>
                      <w:marBottom w:val="0"/>
                      <w:divBdr>
                        <w:top w:val="none" w:sz="0" w:space="0" w:color="auto"/>
                        <w:left w:val="none" w:sz="0" w:space="0" w:color="auto"/>
                        <w:bottom w:val="none" w:sz="0" w:space="0" w:color="auto"/>
                        <w:right w:val="none" w:sz="0" w:space="0" w:color="auto"/>
                      </w:divBdr>
                    </w:div>
                    <w:div w:id="1303118681">
                      <w:marLeft w:val="0"/>
                      <w:marRight w:val="0"/>
                      <w:marTop w:val="0"/>
                      <w:marBottom w:val="0"/>
                      <w:divBdr>
                        <w:top w:val="none" w:sz="0" w:space="0" w:color="auto"/>
                        <w:left w:val="none" w:sz="0" w:space="0" w:color="auto"/>
                        <w:bottom w:val="none" w:sz="0" w:space="0" w:color="auto"/>
                        <w:right w:val="none" w:sz="0" w:space="0" w:color="auto"/>
                      </w:divBdr>
                    </w:div>
                    <w:div w:id="1489712745">
                      <w:marLeft w:val="0"/>
                      <w:marRight w:val="0"/>
                      <w:marTop w:val="0"/>
                      <w:marBottom w:val="0"/>
                      <w:divBdr>
                        <w:top w:val="none" w:sz="0" w:space="0" w:color="auto"/>
                        <w:left w:val="none" w:sz="0" w:space="0" w:color="auto"/>
                        <w:bottom w:val="none" w:sz="0" w:space="0" w:color="auto"/>
                        <w:right w:val="none" w:sz="0" w:space="0" w:color="auto"/>
                      </w:divBdr>
                    </w:div>
                    <w:div w:id="1619336410">
                      <w:marLeft w:val="0"/>
                      <w:marRight w:val="0"/>
                      <w:marTop w:val="0"/>
                      <w:marBottom w:val="0"/>
                      <w:divBdr>
                        <w:top w:val="none" w:sz="0" w:space="0" w:color="auto"/>
                        <w:left w:val="none" w:sz="0" w:space="0" w:color="auto"/>
                        <w:bottom w:val="none" w:sz="0" w:space="0" w:color="auto"/>
                        <w:right w:val="none" w:sz="0" w:space="0" w:color="auto"/>
                      </w:divBdr>
                    </w:div>
                    <w:div w:id="1666977299">
                      <w:marLeft w:val="0"/>
                      <w:marRight w:val="0"/>
                      <w:marTop w:val="0"/>
                      <w:marBottom w:val="0"/>
                      <w:divBdr>
                        <w:top w:val="none" w:sz="0" w:space="0" w:color="auto"/>
                        <w:left w:val="none" w:sz="0" w:space="0" w:color="auto"/>
                        <w:bottom w:val="none" w:sz="0" w:space="0" w:color="auto"/>
                        <w:right w:val="none" w:sz="0" w:space="0" w:color="auto"/>
                      </w:divBdr>
                    </w:div>
                    <w:div w:id="1932471930">
                      <w:marLeft w:val="0"/>
                      <w:marRight w:val="0"/>
                      <w:marTop w:val="0"/>
                      <w:marBottom w:val="0"/>
                      <w:divBdr>
                        <w:top w:val="none" w:sz="0" w:space="0" w:color="auto"/>
                        <w:left w:val="none" w:sz="0" w:space="0" w:color="auto"/>
                        <w:bottom w:val="none" w:sz="0" w:space="0" w:color="auto"/>
                        <w:right w:val="none" w:sz="0" w:space="0" w:color="auto"/>
                      </w:divBdr>
                    </w:div>
                  </w:divsChild>
                </w:div>
                <w:div w:id="1815873342">
                  <w:marLeft w:val="0"/>
                  <w:marRight w:val="0"/>
                  <w:marTop w:val="0"/>
                  <w:marBottom w:val="0"/>
                  <w:divBdr>
                    <w:top w:val="none" w:sz="0" w:space="0" w:color="auto"/>
                    <w:left w:val="none" w:sz="0" w:space="0" w:color="auto"/>
                    <w:bottom w:val="none" w:sz="0" w:space="0" w:color="auto"/>
                    <w:right w:val="none" w:sz="0" w:space="0" w:color="auto"/>
                  </w:divBdr>
                  <w:divsChild>
                    <w:div w:id="147867257">
                      <w:marLeft w:val="0"/>
                      <w:marRight w:val="0"/>
                      <w:marTop w:val="0"/>
                      <w:marBottom w:val="0"/>
                      <w:divBdr>
                        <w:top w:val="none" w:sz="0" w:space="0" w:color="auto"/>
                        <w:left w:val="none" w:sz="0" w:space="0" w:color="auto"/>
                        <w:bottom w:val="none" w:sz="0" w:space="0" w:color="auto"/>
                        <w:right w:val="none" w:sz="0" w:space="0" w:color="auto"/>
                      </w:divBdr>
                    </w:div>
                    <w:div w:id="790242246">
                      <w:marLeft w:val="0"/>
                      <w:marRight w:val="0"/>
                      <w:marTop w:val="0"/>
                      <w:marBottom w:val="0"/>
                      <w:divBdr>
                        <w:top w:val="none" w:sz="0" w:space="0" w:color="auto"/>
                        <w:left w:val="none" w:sz="0" w:space="0" w:color="auto"/>
                        <w:bottom w:val="none" w:sz="0" w:space="0" w:color="auto"/>
                        <w:right w:val="none" w:sz="0" w:space="0" w:color="auto"/>
                      </w:divBdr>
                    </w:div>
                    <w:div w:id="1123771402">
                      <w:marLeft w:val="0"/>
                      <w:marRight w:val="0"/>
                      <w:marTop w:val="0"/>
                      <w:marBottom w:val="0"/>
                      <w:divBdr>
                        <w:top w:val="none" w:sz="0" w:space="0" w:color="auto"/>
                        <w:left w:val="none" w:sz="0" w:space="0" w:color="auto"/>
                        <w:bottom w:val="none" w:sz="0" w:space="0" w:color="auto"/>
                        <w:right w:val="none" w:sz="0" w:space="0" w:color="auto"/>
                      </w:divBdr>
                    </w:div>
                  </w:divsChild>
                </w:div>
                <w:div w:id="1846047055">
                  <w:marLeft w:val="0"/>
                  <w:marRight w:val="0"/>
                  <w:marTop w:val="0"/>
                  <w:marBottom w:val="0"/>
                  <w:divBdr>
                    <w:top w:val="none" w:sz="0" w:space="0" w:color="auto"/>
                    <w:left w:val="none" w:sz="0" w:space="0" w:color="auto"/>
                    <w:bottom w:val="none" w:sz="0" w:space="0" w:color="auto"/>
                    <w:right w:val="none" w:sz="0" w:space="0" w:color="auto"/>
                  </w:divBdr>
                  <w:divsChild>
                    <w:div w:id="297296634">
                      <w:marLeft w:val="0"/>
                      <w:marRight w:val="0"/>
                      <w:marTop w:val="0"/>
                      <w:marBottom w:val="0"/>
                      <w:divBdr>
                        <w:top w:val="none" w:sz="0" w:space="0" w:color="auto"/>
                        <w:left w:val="none" w:sz="0" w:space="0" w:color="auto"/>
                        <w:bottom w:val="none" w:sz="0" w:space="0" w:color="auto"/>
                        <w:right w:val="none" w:sz="0" w:space="0" w:color="auto"/>
                      </w:divBdr>
                    </w:div>
                    <w:div w:id="388961658">
                      <w:marLeft w:val="0"/>
                      <w:marRight w:val="0"/>
                      <w:marTop w:val="0"/>
                      <w:marBottom w:val="0"/>
                      <w:divBdr>
                        <w:top w:val="none" w:sz="0" w:space="0" w:color="auto"/>
                        <w:left w:val="none" w:sz="0" w:space="0" w:color="auto"/>
                        <w:bottom w:val="none" w:sz="0" w:space="0" w:color="auto"/>
                        <w:right w:val="none" w:sz="0" w:space="0" w:color="auto"/>
                      </w:divBdr>
                    </w:div>
                    <w:div w:id="552889389">
                      <w:marLeft w:val="0"/>
                      <w:marRight w:val="0"/>
                      <w:marTop w:val="0"/>
                      <w:marBottom w:val="0"/>
                      <w:divBdr>
                        <w:top w:val="none" w:sz="0" w:space="0" w:color="auto"/>
                        <w:left w:val="none" w:sz="0" w:space="0" w:color="auto"/>
                        <w:bottom w:val="none" w:sz="0" w:space="0" w:color="auto"/>
                        <w:right w:val="none" w:sz="0" w:space="0" w:color="auto"/>
                      </w:divBdr>
                    </w:div>
                    <w:div w:id="583270862">
                      <w:marLeft w:val="0"/>
                      <w:marRight w:val="0"/>
                      <w:marTop w:val="0"/>
                      <w:marBottom w:val="0"/>
                      <w:divBdr>
                        <w:top w:val="none" w:sz="0" w:space="0" w:color="auto"/>
                        <w:left w:val="none" w:sz="0" w:space="0" w:color="auto"/>
                        <w:bottom w:val="none" w:sz="0" w:space="0" w:color="auto"/>
                        <w:right w:val="none" w:sz="0" w:space="0" w:color="auto"/>
                      </w:divBdr>
                    </w:div>
                    <w:div w:id="947734603">
                      <w:marLeft w:val="0"/>
                      <w:marRight w:val="0"/>
                      <w:marTop w:val="0"/>
                      <w:marBottom w:val="0"/>
                      <w:divBdr>
                        <w:top w:val="none" w:sz="0" w:space="0" w:color="auto"/>
                        <w:left w:val="none" w:sz="0" w:space="0" w:color="auto"/>
                        <w:bottom w:val="none" w:sz="0" w:space="0" w:color="auto"/>
                        <w:right w:val="none" w:sz="0" w:space="0" w:color="auto"/>
                      </w:divBdr>
                    </w:div>
                    <w:div w:id="950941018">
                      <w:marLeft w:val="0"/>
                      <w:marRight w:val="0"/>
                      <w:marTop w:val="0"/>
                      <w:marBottom w:val="0"/>
                      <w:divBdr>
                        <w:top w:val="none" w:sz="0" w:space="0" w:color="auto"/>
                        <w:left w:val="none" w:sz="0" w:space="0" w:color="auto"/>
                        <w:bottom w:val="none" w:sz="0" w:space="0" w:color="auto"/>
                        <w:right w:val="none" w:sz="0" w:space="0" w:color="auto"/>
                      </w:divBdr>
                    </w:div>
                    <w:div w:id="1330212322">
                      <w:marLeft w:val="0"/>
                      <w:marRight w:val="0"/>
                      <w:marTop w:val="0"/>
                      <w:marBottom w:val="0"/>
                      <w:divBdr>
                        <w:top w:val="none" w:sz="0" w:space="0" w:color="auto"/>
                        <w:left w:val="none" w:sz="0" w:space="0" w:color="auto"/>
                        <w:bottom w:val="none" w:sz="0" w:space="0" w:color="auto"/>
                        <w:right w:val="none" w:sz="0" w:space="0" w:color="auto"/>
                      </w:divBdr>
                    </w:div>
                    <w:div w:id="1557741458">
                      <w:marLeft w:val="0"/>
                      <w:marRight w:val="0"/>
                      <w:marTop w:val="0"/>
                      <w:marBottom w:val="0"/>
                      <w:divBdr>
                        <w:top w:val="none" w:sz="0" w:space="0" w:color="auto"/>
                        <w:left w:val="none" w:sz="0" w:space="0" w:color="auto"/>
                        <w:bottom w:val="none" w:sz="0" w:space="0" w:color="auto"/>
                        <w:right w:val="none" w:sz="0" w:space="0" w:color="auto"/>
                      </w:divBdr>
                    </w:div>
                    <w:div w:id="1686898842">
                      <w:marLeft w:val="0"/>
                      <w:marRight w:val="0"/>
                      <w:marTop w:val="0"/>
                      <w:marBottom w:val="0"/>
                      <w:divBdr>
                        <w:top w:val="none" w:sz="0" w:space="0" w:color="auto"/>
                        <w:left w:val="none" w:sz="0" w:space="0" w:color="auto"/>
                        <w:bottom w:val="none" w:sz="0" w:space="0" w:color="auto"/>
                        <w:right w:val="none" w:sz="0" w:space="0" w:color="auto"/>
                      </w:divBdr>
                    </w:div>
                    <w:div w:id="1802916580">
                      <w:marLeft w:val="0"/>
                      <w:marRight w:val="0"/>
                      <w:marTop w:val="0"/>
                      <w:marBottom w:val="0"/>
                      <w:divBdr>
                        <w:top w:val="none" w:sz="0" w:space="0" w:color="auto"/>
                        <w:left w:val="none" w:sz="0" w:space="0" w:color="auto"/>
                        <w:bottom w:val="none" w:sz="0" w:space="0" w:color="auto"/>
                        <w:right w:val="none" w:sz="0" w:space="0" w:color="auto"/>
                      </w:divBdr>
                    </w:div>
                  </w:divsChild>
                </w:div>
                <w:div w:id="1902515673">
                  <w:marLeft w:val="0"/>
                  <w:marRight w:val="0"/>
                  <w:marTop w:val="0"/>
                  <w:marBottom w:val="0"/>
                  <w:divBdr>
                    <w:top w:val="none" w:sz="0" w:space="0" w:color="auto"/>
                    <w:left w:val="none" w:sz="0" w:space="0" w:color="auto"/>
                    <w:bottom w:val="none" w:sz="0" w:space="0" w:color="auto"/>
                    <w:right w:val="none" w:sz="0" w:space="0" w:color="auto"/>
                  </w:divBdr>
                  <w:divsChild>
                    <w:div w:id="355615586">
                      <w:marLeft w:val="0"/>
                      <w:marRight w:val="0"/>
                      <w:marTop w:val="0"/>
                      <w:marBottom w:val="0"/>
                      <w:divBdr>
                        <w:top w:val="none" w:sz="0" w:space="0" w:color="auto"/>
                        <w:left w:val="none" w:sz="0" w:space="0" w:color="auto"/>
                        <w:bottom w:val="none" w:sz="0" w:space="0" w:color="auto"/>
                        <w:right w:val="none" w:sz="0" w:space="0" w:color="auto"/>
                      </w:divBdr>
                    </w:div>
                    <w:div w:id="459036843">
                      <w:marLeft w:val="0"/>
                      <w:marRight w:val="0"/>
                      <w:marTop w:val="0"/>
                      <w:marBottom w:val="0"/>
                      <w:divBdr>
                        <w:top w:val="none" w:sz="0" w:space="0" w:color="auto"/>
                        <w:left w:val="none" w:sz="0" w:space="0" w:color="auto"/>
                        <w:bottom w:val="none" w:sz="0" w:space="0" w:color="auto"/>
                        <w:right w:val="none" w:sz="0" w:space="0" w:color="auto"/>
                      </w:divBdr>
                    </w:div>
                    <w:div w:id="474415717">
                      <w:marLeft w:val="0"/>
                      <w:marRight w:val="0"/>
                      <w:marTop w:val="0"/>
                      <w:marBottom w:val="0"/>
                      <w:divBdr>
                        <w:top w:val="none" w:sz="0" w:space="0" w:color="auto"/>
                        <w:left w:val="none" w:sz="0" w:space="0" w:color="auto"/>
                        <w:bottom w:val="none" w:sz="0" w:space="0" w:color="auto"/>
                        <w:right w:val="none" w:sz="0" w:space="0" w:color="auto"/>
                      </w:divBdr>
                    </w:div>
                    <w:div w:id="509878874">
                      <w:marLeft w:val="0"/>
                      <w:marRight w:val="0"/>
                      <w:marTop w:val="0"/>
                      <w:marBottom w:val="0"/>
                      <w:divBdr>
                        <w:top w:val="none" w:sz="0" w:space="0" w:color="auto"/>
                        <w:left w:val="none" w:sz="0" w:space="0" w:color="auto"/>
                        <w:bottom w:val="none" w:sz="0" w:space="0" w:color="auto"/>
                        <w:right w:val="none" w:sz="0" w:space="0" w:color="auto"/>
                      </w:divBdr>
                    </w:div>
                    <w:div w:id="987634801">
                      <w:marLeft w:val="0"/>
                      <w:marRight w:val="0"/>
                      <w:marTop w:val="0"/>
                      <w:marBottom w:val="0"/>
                      <w:divBdr>
                        <w:top w:val="none" w:sz="0" w:space="0" w:color="auto"/>
                        <w:left w:val="none" w:sz="0" w:space="0" w:color="auto"/>
                        <w:bottom w:val="none" w:sz="0" w:space="0" w:color="auto"/>
                        <w:right w:val="none" w:sz="0" w:space="0" w:color="auto"/>
                      </w:divBdr>
                    </w:div>
                    <w:div w:id="1754938191">
                      <w:marLeft w:val="0"/>
                      <w:marRight w:val="0"/>
                      <w:marTop w:val="0"/>
                      <w:marBottom w:val="0"/>
                      <w:divBdr>
                        <w:top w:val="none" w:sz="0" w:space="0" w:color="auto"/>
                        <w:left w:val="none" w:sz="0" w:space="0" w:color="auto"/>
                        <w:bottom w:val="none" w:sz="0" w:space="0" w:color="auto"/>
                        <w:right w:val="none" w:sz="0" w:space="0" w:color="auto"/>
                      </w:divBdr>
                    </w:div>
                  </w:divsChild>
                </w:div>
                <w:div w:id="1921712221">
                  <w:marLeft w:val="0"/>
                  <w:marRight w:val="0"/>
                  <w:marTop w:val="0"/>
                  <w:marBottom w:val="0"/>
                  <w:divBdr>
                    <w:top w:val="none" w:sz="0" w:space="0" w:color="auto"/>
                    <w:left w:val="none" w:sz="0" w:space="0" w:color="auto"/>
                    <w:bottom w:val="none" w:sz="0" w:space="0" w:color="auto"/>
                    <w:right w:val="none" w:sz="0" w:space="0" w:color="auto"/>
                  </w:divBdr>
                  <w:divsChild>
                    <w:div w:id="1040860254">
                      <w:marLeft w:val="0"/>
                      <w:marRight w:val="0"/>
                      <w:marTop w:val="0"/>
                      <w:marBottom w:val="0"/>
                      <w:divBdr>
                        <w:top w:val="none" w:sz="0" w:space="0" w:color="auto"/>
                        <w:left w:val="none" w:sz="0" w:space="0" w:color="auto"/>
                        <w:bottom w:val="none" w:sz="0" w:space="0" w:color="auto"/>
                        <w:right w:val="none" w:sz="0" w:space="0" w:color="auto"/>
                      </w:divBdr>
                    </w:div>
                    <w:div w:id="1121916854">
                      <w:marLeft w:val="0"/>
                      <w:marRight w:val="0"/>
                      <w:marTop w:val="0"/>
                      <w:marBottom w:val="0"/>
                      <w:divBdr>
                        <w:top w:val="none" w:sz="0" w:space="0" w:color="auto"/>
                        <w:left w:val="none" w:sz="0" w:space="0" w:color="auto"/>
                        <w:bottom w:val="none" w:sz="0" w:space="0" w:color="auto"/>
                        <w:right w:val="none" w:sz="0" w:space="0" w:color="auto"/>
                      </w:divBdr>
                    </w:div>
                    <w:div w:id="1280332602">
                      <w:marLeft w:val="0"/>
                      <w:marRight w:val="0"/>
                      <w:marTop w:val="0"/>
                      <w:marBottom w:val="0"/>
                      <w:divBdr>
                        <w:top w:val="none" w:sz="0" w:space="0" w:color="auto"/>
                        <w:left w:val="none" w:sz="0" w:space="0" w:color="auto"/>
                        <w:bottom w:val="none" w:sz="0" w:space="0" w:color="auto"/>
                        <w:right w:val="none" w:sz="0" w:space="0" w:color="auto"/>
                      </w:divBdr>
                    </w:div>
                    <w:div w:id="1448743910">
                      <w:marLeft w:val="0"/>
                      <w:marRight w:val="0"/>
                      <w:marTop w:val="0"/>
                      <w:marBottom w:val="0"/>
                      <w:divBdr>
                        <w:top w:val="none" w:sz="0" w:space="0" w:color="auto"/>
                        <w:left w:val="none" w:sz="0" w:space="0" w:color="auto"/>
                        <w:bottom w:val="none" w:sz="0" w:space="0" w:color="auto"/>
                        <w:right w:val="none" w:sz="0" w:space="0" w:color="auto"/>
                      </w:divBdr>
                    </w:div>
                    <w:div w:id="1460303173">
                      <w:marLeft w:val="0"/>
                      <w:marRight w:val="0"/>
                      <w:marTop w:val="0"/>
                      <w:marBottom w:val="0"/>
                      <w:divBdr>
                        <w:top w:val="none" w:sz="0" w:space="0" w:color="auto"/>
                        <w:left w:val="none" w:sz="0" w:space="0" w:color="auto"/>
                        <w:bottom w:val="none" w:sz="0" w:space="0" w:color="auto"/>
                        <w:right w:val="none" w:sz="0" w:space="0" w:color="auto"/>
                      </w:divBdr>
                    </w:div>
                    <w:div w:id="1901821422">
                      <w:marLeft w:val="0"/>
                      <w:marRight w:val="0"/>
                      <w:marTop w:val="0"/>
                      <w:marBottom w:val="0"/>
                      <w:divBdr>
                        <w:top w:val="none" w:sz="0" w:space="0" w:color="auto"/>
                        <w:left w:val="none" w:sz="0" w:space="0" w:color="auto"/>
                        <w:bottom w:val="none" w:sz="0" w:space="0" w:color="auto"/>
                        <w:right w:val="none" w:sz="0" w:space="0" w:color="auto"/>
                      </w:divBdr>
                    </w:div>
                  </w:divsChild>
                </w:div>
                <w:div w:id="1945458173">
                  <w:marLeft w:val="0"/>
                  <w:marRight w:val="0"/>
                  <w:marTop w:val="0"/>
                  <w:marBottom w:val="0"/>
                  <w:divBdr>
                    <w:top w:val="none" w:sz="0" w:space="0" w:color="auto"/>
                    <w:left w:val="none" w:sz="0" w:space="0" w:color="auto"/>
                    <w:bottom w:val="none" w:sz="0" w:space="0" w:color="auto"/>
                    <w:right w:val="none" w:sz="0" w:space="0" w:color="auto"/>
                  </w:divBdr>
                  <w:divsChild>
                    <w:div w:id="604652822">
                      <w:marLeft w:val="0"/>
                      <w:marRight w:val="0"/>
                      <w:marTop w:val="0"/>
                      <w:marBottom w:val="0"/>
                      <w:divBdr>
                        <w:top w:val="none" w:sz="0" w:space="0" w:color="auto"/>
                        <w:left w:val="none" w:sz="0" w:space="0" w:color="auto"/>
                        <w:bottom w:val="none" w:sz="0" w:space="0" w:color="auto"/>
                        <w:right w:val="none" w:sz="0" w:space="0" w:color="auto"/>
                      </w:divBdr>
                    </w:div>
                  </w:divsChild>
                </w:div>
                <w:div w:id="2097556050">
                  <w:marLeft w:val="0"/>
                  <w:marRight w:val="0"/>
                  <w:marTop w:val="0"/>
                  <w:marBottom w:val="0"/>
                  <w:divBdr>
                    <w:top w:val="none" w:sz="0" w:space="0" w:color="auto"/>
                    <w:left w:val="none" w:sz="0" w:space="0" w:color="auto"/>
                    <w:bottom w:val="none" w:sz="0" w:space="0" w:color="auto"/>
                    <w:right w:val="none" w:sz="0" w:space="0" w:color="auto"/>
                  </w:divBdr>
                  <w:divsChild>
                    <w:div w:id="314650632">
                      <w:marLeft w:val="0"/>
                      <w:marRight w:val="0"/>
                      <w:marTop w:val="0"/>
                      <w:marBottom w:val="0"/>
                      <w:divBdr>
                        <w:top w:val="none" w:sz="0" w:space="0" w:color="auto"/>
                        <w:left w:val="none" w:sz="0" w:space="0" w:color="auto"/>
                        <w:bottom w:val="none" w:sz="0" w:space="0" w:color="auto"/>
                        <w:right w:val="none" w:sz="0" w:space="0" w:color="auto"/>
                      </w:divBdr>
                    </w:div>
                    <w:div w:id="525407960">
                      <w:marLeft w:val="0"/>
                      <w:marRight w:val="0"/>
                      <w:marTop w:val="0"/>
                      <w:marBottom w:val="0"/>
                      <w:divBdr>
                        <w:top w:val="none" w:sz="0" w:space="0" w:color="auto"/>
                        <w:left w:val="none" w:sz="0" w:space="0" w:color="auto"/>
                        <w:bottom w:val="none" w:sz="0" w:space="0" w:color="auto"/>
                        <w:right w:val="none" w:sz="0" w:space="0" w:color="auto"/>
                      </w:divBdr>
                    </w:div>
                    <w:div w:id="86810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9170">
          <w:marLeft w:val="0"/>
          <w:marRight w:val="0"/>
          <w:marTop w:val="0"/>
          <w:marBottom w:val="0"/>
          <w:divBdr>
            <w:top w:val="none" w:sz="0" w:space="0" w:color="auto"/>
            <w:left w:val="none" w:sz="0" w:space="0" w:color="auto"/>
            <w:bottom w:val="none" w:sz="0" w:space="0" w:color="auto"/>
            <w:right w:val="none" w:sz="0" w:space="0" w:color="auto"/>
          </w:divBdr>
        </w:div>
        <w:div w:id="1420827294">
          <w:marLeft w:val="0"/>
          <w:marRight w:val="0"/>
          <w:marTop w:val="0"/>
          <w:marBottom w:val="0"/>
          <w:divBdr>
            <w:top w:val="none" w:sz="0" w:space="0" w:color="auto"/>
            <w:left w:val="none" w:sz="0" w:space="0" w:color="auto"/>
            <w:bottom w:val="none" w:sz="0" w:space="0" w:color="auto"/>
            <w:right w:val="none" w:sz="0" w:space="0" w:color="auto"/>
          </w:divBdr>
        </w:div>
        <w:div w:id="1601991288">
          <w:marLeft w:val="0"/>
          <w:marRight w:val="0"/>
          <w:marTop w:val="0"/>
          <w:marBottom w:val="0"/>
          <w:divBdr>
            <w:top w:val="none" w:sz="0" w:space="0" w:color="auto"/>
            <w:left w:val="none" w:sz="0" w:space="0" w:color="auto"/>
            <w:bottom w:val="none" w:sz="0" w:space="0" w:color="auto"/>
            <w:right w:val="none" w:sz="0" w:space="0" w:color="auto"/>
          </w:divBdr>
        </w:div>
        <w:div w:id="1731539154">
          <w:marLeft w:val="0"/>
          <w:marRight w:val="0"/>
          <w:marTop w:val="0"/>
          <w:marBottom w:val="0"/>
          <w:divBdr>
            <w:top w:val="none" w:sz="0" w:space="0" w:color="auto"/>
            <w:left w:val="none" w:sz="0" w:space="0" w:color="auto"/>
            <w:bottom w:val="none" w:sz="0" w:space="0" w:color="auto"/>
            <w:right w:val="none" w:sz="0" w:space="0" w:color="auto"/>
          </w:divBdr>
        </w:div>
        <w:div w:id="1741246625">
          <w:marLeft w:val="0"/>
          <w:marRight w:val="0"/>
          <w:marTop w:val="0"/>
          <w:marBottom w:val="0"/>
          <w:divBdr>
            <w:top w:val="none" w:sz="0" w:space="0" w:color="auto"/>
            <w:left w:val="none" w:sz="0" w:space="0" w:color="auto"/>
            <w:bottom w:val="none" w:sz="0" w:space="0" w:color="auto"/>
            <w:right w:val="none" w:sz="0" w:space="0" w:color="auto"/>
          </w:divBdr>
        </w:div>
        <w:div w:id="1762215881">
          <w:marLeft w:val="0"/>
          <w:marRight w:val="0"/>
          <w:marTop w:val="0"/>
          <w:marBottom w:val="0"/>
          <w:divBdr>
            <w:top w:val="none" w:sz="0" w:space="0" w:color="auto"/>
            <w:left w:val="none" w:sz="0" w:space="0" w:color="auto"/>
            <w:bottom w:val="none" w:sz="0" w:space="0" w:color="auto"/>
            <w:right w:val="none" w:sz="0" w:space="0" w:color="auto"/>
          </w:divBdr>
        </w:div>
        <w:div w:id="1781101243">
          <w:marLeft w:val="0"/>
          <w:marRight w:val="0"/>
          <w:marTop w:val="0"/>
          <w:marBottom w:val="0"/>
          <w:divBdr>
            <w:top w:val="none" w:sz="0" w:space="0" w:color="auto"/>
            <w:left w:val="none" w:sz="0" w:space="0" w:color="auto"/>
            <w:bottom w:val="none" w:sz="0" w:space="0" w:color="auto"/>
            <w:right w:val="none" w:sz="0" w:space="0" w:color="auto"/>
          </w:divBdr>
        </w:div>
        <w:div w:id="1931040725">
          <w:marLeft w:val="0"/>
          <w:marRight w:val="0"/>
          <w:marTop w:val="0"/>
          <w:marBottom w:val="0"/>
          <w:divBdr>
            <w:top w:val="none" w:sz="0" w:space="0" w:color="auto"/>
            <w:left w:val="none" w:sz="0" w:space="0" w:color="auto"/>
            <w:bottom w:val="none" w:sz="0" w:space="0" w:color="auto"/>
            <w:right w:val="none" w:sz="0" w:space="0" w:color="auto"/>
          </w:divBdr>
        </w:div>
        <w:div w:id="1967394206">
          <w:marLeft w:val="0"/>
          <w:marRight w:val="0"/>
          <w:marTop w:val="0"/>
          <w:marBottom w:val="0"/>
          <w:divBdr>
            <w:top w:val="none" w:sz="0" w:space="0" w:color="auto"/>
            <w:left w:val="none" w:sz="0" w:space="0" w:color="auto"/>
            <w:bottom w:val="none" w:sz="0" w:space="0" w:color="auto"/>
            <w:right w:val="none" w:sz="0" w:space="0" w:color="auto"/>
          </w:divBdr>
        </w:div>
        <w:div w:id="2086343575">
          <w:marLeft w:val="0"/>
          <w:marRight w:val="0"/>
          <w:marTop w:val="0"/>
          <w:marBottom w:val="0"/>
          <w:divBdr>
            <w:top w:val="none" w:sz="0" w:space="0" w:color="auto"/>
            <w:left w:val="none" w:sz="0" w:space="0" w:color="auto"/>
            <w:bottom w:val="none" w:sz="0" w:space="0" w:color="auto"/>
            <w:right w:val="none" w:sz="0" w:space="0" w:color="auto"/>
          </w:divBdr>
        </w:div>
      </w:divsChild>
    </w:div>
    <w:div w:id="1288045336">
      <w:bodyDiv w:val="1"/>
      <w:marLeft w:val="0"/>
      <w:marRight w:val="0"/>
      <w:marTop w:val="0"/>
      <w:marBottom w:val="0"/>
      <w:divBdr>
        <w:top w:val="none" w:sz="0" w:space="0" w:color="auto"/>
        <w:left w:val="none" w:sz="0" w:space="0" w:color="auto"/>
        <w:bottom w:val="none" w:sz="0" w:space="0" w:color="auto"/>
        <w:right w:val="none" w:sz="0" w:space="0" w:color="auto"/>
      </w:divBdr>
      <w:divsChild>
        <w:div w:id="116291075">
          <w:marLeft w:val="0"/>
          <w:marRight w:val="0"/>
          <w:marTop w:val="0"/>
          <w:marBottom w:val="0"/>
          <w:divBdr>
            <w:top w:val="none" w:sz="0" w:space="0" w:color="auto"/>
            <w:left w:val="none" w:sz="0" w:space="0" w:color="auto"/>
            <w:bottom w:val="none" w:sz="0" w:space="0" w:color="auto"/>
            <w:right w:val="none" w:sz="0" w:space="0" w:color="auto"/>
          </w:divBdr>
          <w:divsChild>
            <w:div w:id="3243002">
              <w:marLeft w:val="0"/>
              <w:marRight w:val="0"/>
              <w:marTop w:val="0"/>
              <w:marBottom w:val="0"/>
              <w:divBdr>
                <w:top w:val="none" w:sz="0" w:space="0" w:color="auto"/>
                <w:left w:val="none" w:sz="0" w:space="0" w:color="auto"/>
                <w:bottom w:val="none" w:sz="0" w:space="0" w:color="auto"/>
                <w:right w:val="none" w:sz="0" w:space="0" w:color="auto"/>
              </w:divBdr>
            </w:div>
            <w:div w:id="160127558">
              <w:marLeft w:val="0"/>
              <w:marRight w:val="0"/>
              <w:marTop w:val="0"/>
              <w:marBottom w:val="0"/>
              <w:divBdr>
                <w:top w:val="none" w:sz="0" w:space="0" w:color="auto"/>
                <w:left w:val="none" w:sz="0" w:space="0" w:color="auto"/>
                <w:bottom w:val="none" w:sz="0" w:space="0" w:color="auto"/>
                <w:right w:val="none" w:sz="0" w:space="0" w:color="auto"/>
              </w:divBdr>
            </w:div>
            <w:div w:id="212158715">
              <w:marLeft w:val="0"/>
              <w:marRight w:val="0"/>
              <w:marTop w:val="0"/>
              <w:marBottom w:val="0"/>
              <w:divBdr>
                <w:top w:val="none" w:sz="0" w:space="0" w:color="auto"/>
                <w:left w:val="none" w:sz="0" w:space="0" w:color="auto"/>
                <w:bottom w:val="none" w:sz="0" w:space="0" w:color="auto"/>
                <w:right w:val="none" w:sz="0" w:space="0" w:color="auto"/>
              </w:divBdr>
            </w:div>
            <w:div w:id="396049725">
              <w:marLeft w:val="0"/>
              <w:marRight w:val="0"/>
              <w:marTop w:val="0"/>
              <w:marBottom w:val="0"/>
              <w:divBdr>
                <w:top w:val="none" w:sz="0" w:space="0" w:color="auto"/>
                <w:left w:val="none" w:sz="0" w:space="0" w:color="auto"/>
                <w:bottom w:val="none" w:sz="0" w:space="0" w:color="auto"/>
                <w:right w:val="none" w:sz="0" w:space="0" w:color="auto"/>
              </w:divBdr>
            </w:div>
            <w:div w:id="538324338">
              <w:marLeft w:val="0"/>
              <w:marRight w:val="0"/>
              <w:marTop w:val="0"/>
              <w:marBottom w:val="0"/>
              <w:divBdr>
                <w:top w:val="none" w:sz="0" w:space="0" w:color="auto"/>
                <w:left w:val="none" w:sz="0" w:space="0" w:color="auto"/>
                <w:bottom w:val="none" w:sz="0" w:space="0" w:color="auto"/>
                <w:right w:val="none" w:sz="0" w:space="0" w:color="auto"/>
              </w:divBdr>
            </w:div>
            <w:div w:id="826946112">
              <w:marLeft w:val="0"/>
              <w:marRight w:val="0"/>
              <w:marTop w:val="0"/>
              <w:marBottom w:val="0"/>
              <w:divBdr>
                <w:top w:val="none" w:sz="0" w:space="0" w:color="auto"/>
                <w:left w:val="none" w:sz="0" w:space="0" w:color="auto"/>
                <w:bottom w:val="none" w:sz="0" w:space="0" w:color="auto"/>
                <w:right w:val="none" w:sz="0" w:space="0" w:color="auto"/>
              </w:divBdr>
            </w:div>
            <w:div w:id="1165975867">
              <w:marLeft w:val="0"/>
              <w:marRight w:val="0"/>
              <w:marTop w:val="0"/>
              <w:marBottom w:val="0"/>
              <w:divBdr>
                <w:top w:val="none" w:sz="0" w:space="0" w:color="auto"/>
                <w:left w:val="none" w:sz="0" w:space="0" w:color="auto"/>
                <w:bottom w:val="none" w:sz="0" w:space="0" w:color="auto"/>
                <w:right w:val="none" w:sz="0" w:space="0" w:color="auto"/>
              </w:divBdr>
            </w:div>
            <w:div w:id="1190100217">
              <w:marLeft w:val="0"/>
              <w:marRight w:val="0"/>
              <w:marTop w:val="0"/>
              <w:marBottom w:val="0"/>
              <w:divBdr>
                <w:top w:val="none" w:sz="0" w:space="0" w:color="auto"/>
                <w:left w:val="none" w:sz="0" w:space="0" w:color="auto"/>
                <w:bottom w:val="none" w:sz="0" w:space="0" w:color="auto"/>
                <w:right w:val="none" w:sz="0" w:space="0" w:color="auto"/>
              </w:divBdr>
            </w:div>
            <w:div w:id="1306591893">
              <w:marLeft w:val="0"/>
              <w:marRight w:val="0"/>
              <w:marTop w:val="0"/>
              <w:marBottom w:val="0"/>
              <w:divBdr>
                <w:top w:val="none" w:sz="0" w:space="0" w:color="auto"/>
                <w:left w:val="none" w:sz="0" w:space="0" w:color="auto"/>
                <w:bottom w:val="none" w:sz="0" w:space="0" w:color="auto"/>
                <w:right w:val="none" w:sz="0" w:space="0" w:color="auto"/>
              </w:divBdr>
            </w:div>
            <w:div w:id="1354306280">
              <w:marLeft w:val="0"/>
              <w:marRight w:val="0"/>
              <w:marTop w:val="0"/>
              <w:marBottom w:val="0"/>
              <w:divBdr>
                <w:top w:val="none" w:sz="0" w:space="0" w:color="auto"/>
                <w:left w:val="none" w:sz="0" w:space="0" w:color="auto"/>
                <w:bottom w:val="none" w:sz="0" w:space="0" w:color="auto"/>
                <w:right w:val="none" w:sz="0" w:space="0" w:color="auto"/>
              </w:divBdr>
            </w:div>
            <w:div w:id="1354383669">
              <w:marLeft w:val="0"/>
              <w:marRight w:val="0"/>
              <w:marTop w:val="0"/>
              <w:marBottom w:val="0"/>
              <w:divBdr>
                <w:top w:val="none" w:sz="0" w:space="0" w:color="auto"/>
                <w:left w:val="none" w:sz="0" w:space="0" w:color="auto"/>
                <w:bottom w:val="none" w:sz="0" w:space="0" w:color="auto"/>
                <w:right w:val="none" w:sz="0" w:space="0" w:color="auto"/>
              </w:divBdr>
            </w:div>
            <w:div w:id="1432891540">
              <w:marLeft w:val="0"/>
              <w:marRight w:val="0"/>
              <w:marTop w:val="0"/>
              <w:marBottom w:val="0"/>
              <w:divBdr>
                <w:top w:val="none" w:sz="0" w:space="0" w:color="auto"/>
                <w:left w:val="none" w:sz="0" w:space="0" w:color="auto"/>
                <w:bottom w:val="none" w:sz="0" w:space="0" w:color="auto"/>
                <w:right w:val="none" w:sz="0" w:space="0" w:color="auto"/>
              </w:divBdr>
            </w:div>
            <w:div w:id="1564177080">
              <w:marLeft w:val="0"/>
              <w:marRight w:val="0"/>
              <w:marTop w:val="0"/>
              <w:marBottom w:val="0"/>
              <w:divBdr>
                <w:top w:val="none" w:sz="0" w:space="0" w:color="auto"/>
                <w:left w:val="none" w:sz="0" w:space="0" w:color="auto"/>
                <w:bottom w:val="none" w:sz="0" w:space="0" w:color="auto"/>
                <w:right w:val="none" w:sz="0" w:space="0" w:color="auto"/>
              </w:divBdr>
            </w:div>
            <w:div w:id="1619292064">
              <w:marLeft w:val="0"/>
              <w:marRight w:val="0"/>
              <w:marTop w:val="0"/>
              <w:marBottom w:val="0"/>
              <w:divBdr>
                <w:top w:val="none" w:sz="0" w:space="0" w:color="auto"/>
                <w:left w:val="none" w:sz="0" w:space="0" w:color="auto"/>
                <w:bottom w:val="none" w:sz="0" w:space="0" w:color="auto"/>
                <w:right w:val="none" w:sz="0" w:space="0" w:color="auto"/>
              </w:divBdr>
            </w:div>
            <w:div w:id="1634214667">
              <w:marLeft w:val="0"/>
              <w:marRight w:val="0"/>
              <w:marTop w:val="0"/>
              <w:marBottom w:val="0"/>
              <w:divBdr>
                <w:top w:val="none" w:sz="0" w:space="0" w:color="auto"/>
                <w:left w:val="none" w:sz="0" w:space="0" w:color="auto"/>
                <w:bottom w:val="none" w:sz="0" w:space="0" w:color="auto"/>
                <w:right w:val="none" w:sz="0" w:space="0" w:color="auto"/>
              </w:divBdr>
            </w:div>
            <w:div w:id="1723285871">
              <w:marLeft w:val="0"/>
              <w:marRight w:val="0"/>
              <w:marTop w:val="0"/>
              <w:marBottom w:val="0"/>
              <w:divBdr>
                <w:top w:val="none" w:sz="0" w:space="0" w:color="auto"/>
                <w:left w:val="none" w:sz="0" w:space="0" w:color="auto"/>
                <w:bottom w:val="none" w:sz="0" w:space="0" w:color="auto"/>
                <w:right w:val="none" w:sz="0" w:space="0" w:color="auto"/>
              </w:divBdr>
            </w:div>
            <w:div w:id="1728992345">
              <w:marLeft w:val="0"/>
              <w:marRight w:val="0"/>
              <w:marTop w:val="0"/>
              <w:marBottom w:val="0"/>
              <w:divBdr>
                <w:top w:val="none" w:sz="0" w:space="0" w:color="auto"/>
                <w:left w:val="none" w:sz="0" w:space="0" w:color="auto"/>
                <w:bottom w:val="none" w:sz="0" w:space="0" w:color="auto"/>
                <w:right w:val="none" w:sz="0" w:space="0" w:color="auto"/>
              </w:divBdr>
            </w:div>
            <w:div w:id="1849326559">
              <w:marLeft w:val="0"/>
              <w:marRight w:val="0"/>
              <w:marTop w:val="0"/>
              <w:marBottom w:val="0"/>
              <w:divBdr>
                <w:top w:val="none" w:sz="0" w:space="0" w:color="auto"/>
                <w:left w:val="none" w:sz="0" w:space="0" w:color="auto"/>
                <w:bottom w:val="none" w:sz="0" w:space="0" w:color="auto"/>
                <w:right w:val="none" w:sz="0" w:space="0" w:color="auto"/>
              </w:divBdr>
            </w:div>
            <w:div w:id="1987707539">
              <w:marLeft w:val="0"/>
              <w:marRight w:val="0"/>
              <w:marTop w:val="0"/>
              <w:marBottom w:val="0"/>
              <w:divBdr>
                <w:top w:val="none" w:sz="0" w:space="0" w:color="auto"/>
                <w:left w:val="none" w:sz="0" w:space="0" w:color="auto"/>
                <w:bottom w:val="none" w:sz="0" w:space="0" w:color="auto"/>
                <w:right w:val="none" w:sz="0" w:space="0" w:color="auto"/>
              </w:divBdr>
            </w:div>
            <w:div w:id="2054571901">
              <w:marLeft w:val="0"/>
              <w:marRight w:val="0"/>
              <w:marTop w:val="0"/>
              <w:marBottom w:val="0"/>
              <w:divBdr>
                <w:top w:val="none" w:sz="0" w:space="0" w:color="auto"/>
                <w:left w:val="none" w:sz="0" w:space="0" w:color="auto"/>
                <w:bottom w:val="none" w:sz="0" w:space="0" w:color="auto"/>
                <w:right w:val="none" w:sz="0" w:space="0" w:color="auto"/>
              </w:divBdr>
            </w:div>
          </w:divsChild>
        </w:div>
        <w:div w:id="496576404">
          <w:marLeft w:val="0"/>
          <w:marRight w:val="0"/>
          <w:marTop w:val="0"/>
          <w:marBottom w:val="0"/>
          <w:divBdr>
            <w:top w:val="none" w:sz="0" w:space="0" w:color="auto"/>
            <w:left w:val="none" w:sz="0" w:space="0" w:color="auto"/>
            <w:bottom w:val="none" w:sz="0" w:space="0" w:color="auto"/>
            <w:right w:val="none" w:sz="0" w:space="0" w:color="auto"/>
          </w:divBdr>
          <w:divsChild>
            <w:div w:id="95374434">
              <w:marLeft w:val="0"/>
              <w:marRight w:val="0"/>
              <w:marTop w:val="0"/>
              <w:marBottom w:val="0"/>
              <w:divBdr>
                <w:top w:val="none" w:sz="0" w:space="0" w:color="auto"/>
                <w:left w:val="none" w:sz="0" w:space="0" w:color="auto"/>
                <w:bottom w:val="none" w:sz="0" w:space="0" w:color="auto"/>
                <w:right w:val="none" w:sz="0" w:space="0" w:color="auto"/>
              </w:divBdr>
            </w:div>
            <w:div w:id="114642536">
              <w:marLeft w:val="0"/>
              <w:marRight w:val="0"/>
              <w:marTop w:val="0"/>
              <w:marBottom w:val="0"/>
              <w:divBdr>
                <w:top w:val="none" w:sz="0" w:space="0" w:color="auto"/>
                <w:left w:val="none" w:sz="0" w:space="0" w:color="auto"/>
                <w:bottom w:val="none" w:sz="0" w:space="0" w:color="auto"/>
                <w:right w:val="none" w:sz="0" w:space="0" w:color="auto"/>
              </w:divBdr>
            </w:div>
            <w:div w:id="181549460">
              <w:marLeft w:val="0"/>
              <w:marRight w:val="0"/>
              <w:marTop w:val="0"/>
              <w:marBottom w:val="0"/>
              <w:divBdr>
                <w:top w:val="none" w:sz="0" w:space="0" w:color="auto"/>
                <w:left w:val="none" w:sz="0" w:space="0" w:color="auto"/>
                <w:bottom w:val="none" w:sz="0" w:space="0" w:color="auto"/>
                <w:right w:val="none" w:sz="0" w:space="0" w:color="auto"/>
              </w:divBdr>
            </w:div>
            <w:div w:id="223761733">
              <w:marLeft w:val="0"/>
              <w:marRight w:val="0"/>
              <w:marTop w:val="0"/>
              <w:marBottom w:val="0"/>
              <w:divBdr>
                <w:top w:val="none" w:sz="0" w:space="0" w:color="auto"/>
                <w:left w:val="none" w:sz="0" w:space="0" w:color="auto"/>
                <w:bottom w:val="none" w:sz="0" w:space="0" w:color="auto"/>
                <w:right w:val="none" w:sz="0" w:space="0" w:color="auto"/>
              </w:divBdr>
            </w:div>
            <w:div w:id="337276919">
              <w:marLeft w:val="0"/>
              <w:marRight w:val="0"/>
              <w:marTop w:val="0"/>
              <w:marBottom w:val="0"/>
              <w:divBdr>
                <w:top w:val="none" w:sz="0" w:space="0" w:color="auto"/>
                <w:left w:val="none" w:sz="0" w:space="0" w:color="auto"/>
                <w:bottom w:val="none" w:sz="0" w:space="0" w:color="auto"/>
                <w:right w:val="none" w:sz="0" w:space="0" w:color="auto"/>
              </w:divBdr>
            </w:div>
            <w:div w:id="428084226">
              <w:marLeft w:val="0"/>
              <w:marRight w:val="0"/>
              <w:marTop w:val="0"/>
              <w:marBottom w:val="0"/>
              <w:divBdr>
                <w:top w:val="none" w:sz="0" w:space="0" w:color="auto"/>
                <w:left w:val="none" w:sz="0" w:space="0" w:color="auto"/>
                <w:bottom w:val="none" w:sz="0" w:space="0" w:color="auto"/>
                <w:right w:val="none" w:sz="0" w:space="0" w:color="auto"/>
              </w:divBdr>
            </w:div>
            <w:div w:id="460003120">
              <w:marLeft w:val="0"/>
              <w:marRight w:val="0"/>
              <w:marTop w:val="0"/>
              <w:marBottom w:val="0"/>
              <w:divBdr>
                <w:top w:val="none" w:sz="0" w:space="0" w:color="auto"/>
                <w:left w:val="none" w:sz="0" w:space="0" w:color="auto"/>
                <w:bottom w:val="none" w:sz="0" w:space="0" w:color="auto"/>
                <w:right w:val="none" w:sz="0" w:space="0" w:color="auto"/>
              </w:divBdr>
            </w:div>
            <w:div w:id="612371940">
              <w:marLeft w:val="0"/>
              <w:marRight w:val="0"/>
              <w:marTop w:val="0"/>
              <w:marBottom w:val="0"/>
              <w:divBdr>
                <w:top w:val="none" w:sz="0" w:space="0" w:color="auto"/>
                <w:left w:val="none" w:sz="0" w:space="0" w:color="auto"/>
                <w:bottom w:val="none" w:sz="0" w:space="0" w:color="auto"/>
                <w:right w:val="none" w:sz="0" w:space="0" w:color="auto"/>
              </w:divBdr>
            </w:div>
            <w:div w:id="1004550542">
              <w:marLeft w:val="0"/>
              <w:marRight w:val="0"/>
              <w:marTop w:val="0"/>
              <w:marBottom w:val="0"/>
              <w:divBdr>
                <w:top w:val="none" w:sz="0" w:space="0" w:color="auto"/>
                <w:left w:val="none" w:sz="0" w:space="0" w:color="auto"/>
                <w:bottom w:val="none" w:sz="0" w:space="0" w:color="auto"/>
                <w:right w:val="none" w:sz="0" w:space="0" w:color="auto"/>
              </w:divBdr>
            </w:div>
            <w:div w:id="1268809091">
              <w:marLeft w:val="0"/>
              <w:marRight w:val="0"/>
              <w:marTop w:val="0"/>
              <w:marBottom w:val="0"/>
              <w:divBdr>
                <w:top w:val="none" w:sz="0" w:space="0" w:color="auto"/>
                <w:left w:val="none" w:sz="0" w:space="0" w:color="auto"/>
                <w:bottom w:val="none" w:sz="0" w:space="0" w:color="auto"/>
                <w:right w:val="none" w:sz="0" w:space="0" w:color="auto"/>
              </w:divBdr>
            </w:div>
            <w:div w:id="1325743121">
              <w:marLeft w:val="0"/>
              <w:marRight w:val="0"/>
              <w:marTop w:val="0"/>
              <w:marBottom w:val="0"/>
              <w:divBdr>
                <w:top w:val="none" w:sz="0" w:space="0" w:color="auto"/>
                <w:left w:val="none" w:sz="0" w:space="0" w:color="auto"/>
                <w:bottom w:val="none" w:sz="0" w:space="0" w:color="auto"/>
                <w:right w:val="none" w:sz="0" w:space="0" w:color="auto"/>
              </w:divBdr>
            </w:div>
            <w:div w:id="1378234300">
              <w:marLeft w:val="0"/>
              <w:marRight w:val="0"/>
              <w:marTop w:val="0"/>
              <w:marBottom w:val="0"/>
              <w:divBdr>
                <w:top w:val="none" w:sz="0" w:space="0" w:color="auto"/>
                <w:left w:val="none" w:sz="0" w:space="0" w:color="auto"/>
                <w:bottom w:val="none" w:sz="0" w:space="0" w:color="auto"/>
                <w:right w:val="none" w:sz="0" w:space="0" w:color="auto"/>
              </w:divBdr>
            </w:div>
            <w:div w:id="1383140894">
              <w:marLeft w:val="0"/>
              <w:marRight w:val="0"/>
              <w:marTop w:val="0"/>
              <w:marBottom w:val="0"/>
              <w:divBdr>
                <w:top w:val="none" w:sz="0" w:space="0" w:color="auto"/>
                <w:left w:val="none" w:sz="0" w:space="0" w:color="auto"/>
                <w:bottom w:val="none" w:sz="0" w:space="0" w:color="auto"/>
                <w:right w:val="none" w:sz="0" w:space="0" w:color="auto"/>
              </w:divBdr>
            </w:div>
            <w:div w:id="1387412005">
              <w:marLeft w:val="0"/>
              <w:marRight w:val="0"/>
              <w:marTop w:val="0"/>
              <w:marBottom w:val="0"/>
              <w:divBdr>
                <w:top w:val="none" w:sz="0" w:space="0" w:color="auto"/>
                <w:left w:val="none" w:sz="0" w:space="0" w:color="auto"/>
                <w:bottom w:val="none" w:sz="0" w:space="0" w:color="auto"/>
                <w:right w:val="none" w:sz="0" w:space="0" w:color="auto"/>
              </w:divBdr>
            </w:div>
            <w:div w:id="1522283526">
              <w:marLeft w:val="0"/>
              <w:marRight w:val="0"/>
              <w:marTop w:val="0"/>
              <w:marBottom w:val="0"/>
              <w:divBdr>
                <w:top w:val="none" w:sz="0" w:space="0" w:color="auto"/>
                <w:left w:val="none" w:sz="0" w:space="0" w:color="auto"/>
                <w:bottom w:val="none" w:sz="0" w:space="0" w:color="auto"/>
                <w:right w:val="none" w:sz="0" w:space="0" w:color="auto"/>
              </w:divBdr>
            </w:div>
            <w:div w:id="1574772862">
              <w:marLeft w:val="0"/>
              <w:marRight w:val="0"/>
              <w:marTop w:val="0"/>
              <w:marBottom w:val="0"/>
              <w:divBdr>
                <w:top w:val="none" w:sz="0" w:space="0" w:color="auto"/>
                <w:left w:val="none" w:sz="0" w:space="0" w:color="auto"/>
                <w:bottom w:val="none" w:sz="0" w:space="0" w:color="auto"/>
                <w:right w:val="none" w:sz="0" w:space="0" w:color="auto"/>
              </w:divBdr>
            </w:div>
            <w:div w:id="1759016491">
              <w:marLeft w:val="0"/>
              <w:marRight w:val="0"/>
              <w:marTop w:val="0"/>
              <w:marBottom w:val="0"/>
              <w:divBdr>
                <w:top w:val="none" w:sz="0" w:space="0" w:color="auto"/>
                <w:left w:val="none" w:sz="0" w:space="0" w:color="auto"/>
                <w:bottom w:val="none" w:sz="0" w:space="0" w:color="auto"/>
                <w:right w:val="none" w:sz="0" w:space="0" w:color="auto"/>
              </w:divBdr>
            </w:div>
            <w:div w:id="1857302155">
              <w:marLeft w:val="0"/>
              <w:marRight w:val="0"/>
              <w:marTop w:val="0"/>
              <w:marBottom w:val="0"/>
              <w:divBdr>
                <w:top w:val="none" w:sz="0" w:space="0" w:color="auto"/>
                <w:left w:val="none" w:sz="0" w:space="0" w:color="auto"/>
                <w:bottom w:val="none" w:sz="0" w:space="0" w:color="auto"/>
                <w:right w:val="none" w:sz="0" w:space="0" w:color="auto"/>
              </w:divBdr>
            </w:div>
            <w:div w:id="1913614366">
              <w:marLeft w:val="0"/>
              <w:marRight w:val="0"/>
              <w:marTop w:val="0"/>
              <w:marBottom w:val="0"/>
              <w:divBdr>
                <w:top w:val="none" w:sz="0" w:space="0" w:color="auto"/>
                <w:left w:val="none" w:sz="0" w:space="0" w:color="auto"/>
                <w:bottom w:val="none" w:sz="0" w:space="0" w:color="auto"/>
                <w:right w:val="none" w:sz="0" w:space="0" w:color="auto"/>
              </w:divBdr>
            </w:div>
            <w:div w:id="2038769659">
              <w:marLeft w:val="0"/>
              <w:marRight w:val="0"/>
              <w:marTop w:val="0"/>
              <w:marBottom w:val="0"/>
              <w:divBdr>
                <w:top w:val="none" w:sz="0" w:space="0" w:color="auto"/>
                <w:left w:val="none" w:sz="0" w:space="0" w:color="auto"/>
                <w:bottom w:val="none" w:sz="0" w:space="0" w:color="auto"/>
                <w:right w:val="none" w:sz="0" w:space="0" w:color="auto"/>
              </w:divBdr>
            </w:div>
          </w:divsChild>
        </w:div>
        <w:div w:id="1273634566">
          <w:marLeft w:val="0"/>
          <w:marRight w:val="0"/>
          <w:marTop w:val="0"/>
          <w:marBottom w:val="0"/>
          <w:divBdr>
            <w:top w:val="none" w:sz="0" w:space="0" w:color="auto"/>
            <w:left w:val="none" w:sz="0" w:space="0" w:color="auto"/>
            <w:bottom w:val="none" w:sz="0" w:space="0" w:color="auto"/>
            <w:right w:val="none" w:sz="0" w:space="0" w:color="auto"/>
          </w:divBdr>
          <w:divsChild>
            <w:div w:id="24209668">
              <w:marLeft w:val="0"/>
              <w:marRight w:val="0"/>
              <w:marTop w:val="0"/>
              <w:marBottom w:val="0"/>
              <w:divBdr>
                <w:top w:val="none" w:sz="0" w:space="0" w:color="auto"/>
                <w:left w:val="none" w:sz="0" w:space="0" w:color="auto"/>
                <w:bottom w:val="none" w:sz="0" w:space="0" w:color="auto"/>
                <w:right w:val="none" w:sz="0" w:space="0" w:color="auto"/>
              </w:divBdr>
            </w:div>
            <w:div w:id="181863926">
              <w:marLeft w:val="0"/>
              <w:marRight w:val="0"/>
              <w:marTop w:val="0"/>
              <w:marBottom w:val="0"/>
              <w:divBdr>
                <w:top w:val="none" w:sz="0" w:space="0" w:color="auto"/>
                <w:left w:val="none" w:sz="0" w:space="0" w:color="auto"/>
                <w:bottom w:val="none" w:sz="0" w:space="0" w:color="auto"/>
                <w:right w:val="none" w:sz="0" w:space="0" w:color="auto"/>
              </w:divBdr>
            </w:div>
            <w:div w:id="477848624">
              <w:marLeft w:val="0"/>
              <w:marRight w:val="0"/>
              <w:marTop w:val="0"/>
              <w:marBottom w:val="0"/>
              <w:divBdr>
                <w:top w:val="none" w:sz="0" w:space="0" w:color="auto"/>
                <w:left w:val="none" w:sz="0" w:space="0" w:color="auto"/>
                <w:bottom w:val="none" w:sz="0" w:space="0" w:color="auto"/>
                <w:right w:val="none" w:sz="0" w:space="0" w:color="auto"/>
              </w:divBdr>
            </w:div>
            <w:div w:id="602304232">
              <w:marLeft w:val="0"/>
              <w:marRight w:val="0"/>
              <w:marTop w:val="0"/>
              <w:marBottom w:val="0"/>
              <w:divBdr>
                <w:top w:val="none" w:sz="0" w:space="0" w:color="auto"/>
                <w:left w:val="none" w:sz="0" w:space="0" w:color="auto"/>
                <w:bottom w:val="none" w:sz="0" w:space="0" w:color="auto"/>
                <w:right w:val="none" w:sz="0" w:space="0" w:color="auto"/>
              </w:divBdr>
            </w:div>
            <w:div w:id="750616190">
              <w:marLeft w:val="0"/>
              <w:marRight w:val="0"/>
              <w:marTop w:val="0"/>
              <w:marBottom w:val="0"/>
              <w:divBdr>
                <w:top w:val="none" w:sz="0" w:space="0" w:color="auto"/>
                <w:left w:val="none" w:sz="0" w:space="0" w:color="auto"/>
                <w:bottom w:val="none" w:sz="0" w:space="0" w:color="auto"/>
                <w:right w:val="none" w:sz="0" w:space="0" w:color="auto"/>
              </w:divBdr>
            </w:div>
            <w:div w:id="988748649">
              <w:marLeft w:val="0"/>
              <w:marRight w:val="0"/>
              <w:marTop w:val="0"/>
              <w:marBottom w:val="0"/>
              <w:divBdr>
                <w:top w:val="none" w:sz="0" w:space="0" w:color="auto"/>
                <w:left w:val="none" w:sz="0" w:space="0" w:color="auto"/>
                <w:bottom w:val="none" w:sz="0" w:space="0" w:color="auto"/>
                <w:right w:val="none" w:sz="0" w:space="0" w:color="auto"/>
              </w:divBdr>
            </w:div>
            <w:div w:id="1040320179">
              <w:marLeft w:val="0"/>
              <w:marRight w:val="0"/>
              <w:marTop w:val="0"/>
              <w:marBottom w:val="0"/>
              <w:divBdr>
                <w:top w:val="none" w:sz="0" w:space="0" w:color="auto"/>
                <w:left w:val="none" w:sz="0" w:space="0" w:color="auto"/>
                <w:bottom w:val="none" w:sz="0" w:space="0" w:color="auto"/>
                <w:right w:val="none" w:sz="0" w:space="0" w:color="auto"/>
              </w:divBdr>
            </w:div>
            <w:div w:id="1050375409">
              <w:marLeft w:val="0"/>
              <w:marRight w:val="0"/>
              <w:marTop w:val="0"/>
              <w:marBottom w:val="0"/>
              <w:divBdr>
                <w:top w:val="none" w:sz="0" w:space="0" w:color="auto"/>
                <w:left w:val="none" w:sz="0" w:space="0" w:color="auto"/>
                <w:bottom w:val="none" w:sz="0" w:space="0" w:color="auto"/>
                <w:right w:val="none" w:sz="0" w:space="0" w:color="auto"/>
              </w:divBdr>
            </w:div>
            <w:div w:id="1175612421">
              <w:marLeft w:val="0"/>
              <w:marRight w:val="0"/>
              <w:marTop w:val="0"/>
              <w:marBottom w:val="0"/>
              <w:divBdr>
                <w:top w:val="none" w:sz="0" w:space="0" w:color="auto"/>
                <w:left w:val="none" w:sz="0" w:space="0" w:color="auto"/>
                <w:bottom w:val="none" w:sz="0" w:space="0" w:color="auto"/>
                <w:right w:val="none" w:sz="0" w:space="0" w:color="auto"/>
              </w:divBdr>
            </w:div>
            <w:div w:id="1200899859">
              <w:marLeft w:val="0"/>
              <w:marRight w:val="0"/>
              <w:marTop w:val="0"/>
              <w:marBottom w:val="0"/>
              <w:divBdr>
                <w:top w:val="none" w:sz="0" w:space="0" w:color="auto"/>
                <w:left w:val="none" w:sz="0" w:space="0" w:color="auto"/>
                <w:bottom w:val="none" w:sz="0" w:space="0" w:color="auto"/>
                <w:right w:val="none" w:sz="0" w:space="0" w:color="auto"/>
              </w:divBdr>
            </w:div>
            <w:div w:id="1214345003">
              <w:marLeft w:val="0"/>
              <w:marRight w:val="0"/>
              <w:marTop w:val="0"/>
              <w:marBottom w:val="0"/>
              <w:divBdr>
                <w:top w:val="none" w:sz="0" w:space="0" w:color="auto"/>
                <w:left w:val="none" w:sz="0" w:space="0" w:color="auto"/>
                <w:bottom w:val="none" w:sz="0" w:space="0" w:color="auto"/>
                <w:right w:val="none" w:sz="0" w:space="0" w:color="auto"/>
              </w:divBdr>
            </w:div>
            <w:div w:id="1284993641">
              <w:marLeft w:val="0"/>
              <w:marRight w:val="0"/>
              <w:marTop w:val="0"/>
              <w:marBottom w:val="0"/>
              <w:divBdr>
                <w:top w:val="none" w:sz="0" w:space="0" w:color="auto"/>
                <w:left w:val="none" w:sz="0" w:space="0" w:color="auto"/>
                <w:bottom w:val="none" w:sz="0" w:space="0" w:color="auto"/>
                <w:right w:val="none" w:sz="0" w:space="0" w:color="auto"/>
              </w:divBdr>
            </w:div>
            <w:div w:id="1468546962">
              <w:marLeft w:val="0"/>
              <w:marRight w:val="0"/>
              <w:marTop w:val="0"/>
              <w:marBottom w:val="0"/>
              <w:divBdr>
                <w:top w:val="none" w:sz="0" w:space="0" w:color="auto"/>
                <w:left w:val="none" w:sz="0" w:space="0" w:color="auto"/>
                <w:bottom w:val="none" w:sz="0" w:space="0" w:color="auto"/>
                <w:right w:val="none" w:sz="0" w:space="0" w:color="auto"/>
              </w:divBdr>
            </w:div>
            <w:div w:id="1487818716">
              <w:marLeft w:val="0"/>
              <w:marRight w:val="0"/>
              <w:marTop w:val="0"/>
              <w:marBottom w:val="0"/>
              <w:divBdr>
                <w:top w:val="none" w:sz="0" w:space="0" w:color="auto"/>
                <w:left w:val="none" w:sz="0" w:space="0" w:color="auto"/>
                <w:bottom w:val="none" w:sz="0" w:space="0" w:color="auto"/>
                <w:right w:val="none" w:sz="0" w:space="0" w:color="auto"/>
              </w:divBdr>
            </w:div>
            <w:div w:id="1563057349">
              <w:marLeft w:val="0"/>
              <w:marRight w:val="0"/>
              <w:marTop w:val="0"/>
              <w:marBottom w:val="0"/>
              <w:divBdr>
                <w:top w:val="none" w:sz="0" w:space="0" w:color="auto"/>
                <w:left w:val="none" w:sz="0" w:space="0" w:color="auto"/>
                <w:bottom w:val="none" w:sz="0" w:space="0" w:color="auto"/>
                <w:right w:val="none" w:sz="0" w:space="0" w:color="auto"/>
              </w:divBdr>
            </w:div>
            <w:div w:id="1611467420">
              <w:marLeft w:val="0"/>
              <w:marRight w:val="0"/>
              <w:marTop w:val="0"/>
              <w:marBottom w:val="0"/>
              <w:divBdr>
                <w:top w:val="none" w:sz="0" w:space="0" w:color="auto"/>
                <w:left w:val="none" w:sz="0" w:space="0" w:color="auto"/>
                <w:bottom w:val="none" w:sz="0" w:space="0" w:color="auto"/>
                <w:right w:val="none" w:sz="0" w:space="0" w:color="auto"/>
              </w:divBdr>
            </w:div>
            <w:div w:id="1648780706">
              <w:marLeft w:val="0"/>
              <w:marRight w:val="0"/>
              <w:marTop w:val="0"/>
              <w:marBottom w:val="0"/>
              <w:divBdr>
                <w:top w:val="none" w:sz="0" w:space="0" w:color="auto"/>
                <w:left w:val="none" w:sz="0" w:space="0" w:color="auto"/>
                <w:bottom w:val="none" w:sz="0" w:space="0" w:color="auto"/>
                <w:right w:val="none" w:sz="0" w:space="0" w:color="auto"/>
              </w:divBdr>
            </w:div>
            <w:div w:id="1695232241">
              <w:marLeft w:val="0"/>
              <w:marRight w:val="0"/>
              <w:marTop w:val="0"/>
              <w:marBottom w:val="0"/>
              <w:divBdr>
                <w:top w:val="none" w:sz="0" w:space="0" w:color="auto"/>
                <w:left w:val="none" w:sz="0" w:space="0" w:color="auto"/>
                <w:bottom w:val="none" w:sz="0" w:space="0" w:color="auto"/>
                <w:right w:val="none" w:sz="0" w:space="0" w:color="auto"/>
              </w:divBdr>
            </w:div>
            <w:div w:id="2016953812">
              <w:marLeft w:val="0"/>
              <w:marRight w:val="0"/>
              <w:marTop w:val="0"/>
              <w:marBottom w:val="0"/>
              <w:divBdr>
                <w:top w:val="none" w:sz="0" w:space="0" w:color="auto"/>
                <w:left w:val="none" w:sz="0" w:space="0" w:color="auto"/>
                <w:bottom w:val="none" w:sz="0" w:space="0" w:color="auto"/>
                <w:right w:val="none" w:sz="0" w:space="0" w:color="auto"/>
              </w:divBdr>
            </w:div>
            <w:div w:id="2041931151">
              <w:marLeft w:val="0"/>
              <w:marRight w:val="0"/>
              <w:marTop w:val="0"/>
              <w:marBottom w:val="0"/>
              <w:divBdr>
                <w:top w:val="none" w:sz="0" w:space="0" w:color="auto"/>
                <w:left w:val="none" w:sz="0" w:space="0" w:color="auto"/>
                <w:bottom w:val="none" w:sz="0" w:space="0" w:color="auto"/>
                <w:right w:val="none" w:sz="0" w:space="0" w:color="auto"/>
              </w:divBdr>
            </w:div>
          </w:divsChild>
        </w:div>
        <w:div w:id="1453091990">
          <w:marLeft w:val="0"/>
          <w:marRight w:val="0"/>
          <w:marTop w:val="0"/>
          <w:marBottom w:val="0"/>
          <w:divBdr>
            <w:top w:val="none" w:sz="0" w:space="0" w:color="auto"/>
            <w:left w:val="none" w:sz="0" w:space="0" w:color="auto"/>
            <w:bottom w:val="none" w:sz="0" w:space="0" w:color="auto"/>
            <w:right w:val="none" w:sz="0" w:space="0" w:color="auto"/>
          </w:divBdr>
          <w:divsChild>
            <w:div w:id="72119608">
              <w:marLeft w:val="0"/>
              <w:marRight w:val="0"/>
              <w:marTop w:val="0"/>
              <w:marBottom w:val="0"/>
              <w:divBdr>
                <w:top w:val="none" w:sz="0" w:space="0" w:color="auto"/>
                <w:left w:val="none" w:sz="0" w:space="0" w:color="auto"/>
                <w:bottom w:val="none" w:sz="0" w:space="0" w:color="auto"/>
                <w:right w:val="none" w:sz="0" w:space="0" w:color="auto"/>
              </w:divBdr>
            </w:div>
            <w:div w:id="104270461">
              <w:marLeft w:val="0"/>
              <w:marRight w:val="0"/>
              <w:marTop w:val="0"/>
              <w:marBottom w:val="0"/>
              <w:divBdr>
                <w:top w:val="none" w:sz="0" w:space="0" w:color="auto"/>
                <w:left w:val="none" w:sz="0" w:space="0" w:color="auto"/>
                <w:bottom w:val="none" w:sz="0" w:space="0" w:color="auto"/>
                <w:right w:val="none" w:sz="0" w:space="0" w:color="auto"/>
              </w:divBdr>
            </w:div>
            <w:div w:id="350834850">
              <w:marLeft w:val="0"/>
              <w:marRight w:val="0"/>
              <w:marTop w:val="0"/>
              <w:marBottom w:val="0"/>
              <w:divBdr>
                <w:top w:val="none" w:sz="0" w:space="0" w:color="auto"/>
                <w:left w:val="none" w:sz="0" w:space="0" w:color="auto"/>
                <w:bottom w:val="none" w:sz="0" w:space="0" w:color="auto"/>
                <w:right w:val="none" w:sz="0" w:space="0" w:color="auto"/>
              </w:divBdr>
            </w:div>
            <w:div w:id="561210479">
              <w:marLeft w:val="0"/>
              <w:marRight w:val="0"/>
              <w:marTop w:val="0"/>
              <w:marBottom w:val="0"/>
              <w:divBdr>
                <w:top w:val="none" w:sz="0" w:space="0" w:color="auto"/>
                <w:left w:val="none" w:sz="0" w:space="0" w:color="auto"/>
                <w:bottom w:val="none" w:sz="0" w:space="0" w:color="auto"/>
                <w:right w:val="none" w:sz="0" w:space="0" w:color="auto"/>
              </w:divBdr>
            </w:div>
            <w:div w:id="615259156">
              <w:marLeft w:val="0"/>
              <w:marRight w:val="0"/>
              <w:marTop w:val="0"/>
              <w:marBottom w:val="0"/>
              <w:divBdr>
                <w:top w:val="none" w:sz="0" w:space="0" w:color="auto"/>
                <w:left w:val="none" w:sz="0" w:space="0" w:color="auto"/>
                <w:bottom w:val="none" w:sz="0" w:space="0" w:color="auto"/>
                <w:right w:val="none" w:sz="0" w:space="0" w:color="auto"/>
              </w:divBdr>
            </w:div>
            <w:div w:id="668216284">
              <w:marLeft w:val="0"/>
              <w:marRight w:val="0"/>
              <w:marTop w:val="0"/>
              <w:marBottom w:val="0"/>
              <w:divBdr>
                <w:top w:val="none" w:sz="0" w:space="0" w:color="auto"/>
                <w:left w:val="none" w:sz="0" w:space="0" w:color="auto"/>
                <w:bottom w:val="none" w:sz="0" w:space="0" w:color="auto"/>
                <w:right w:val="none" w:sz="0" w:space="0" w:color="auto"/>
              </w:divBdr>
            </w:div>
            <w:div w:id="834300399">
              <w:marLeft w:val="0"/>
              <w:marRight w:val="0"/>
              <w:marTop w:val="0"/>
              <w:marBottom w:val="0"/>
              <w:divBdr>
                <w:top w:val="none" w:sz="0" w:space="0" w:color="auto"/>
                <w:left w:val="none" w:sz="0" w:space="0" w:color="auto"/>
                <w:bottom w:val="none" w:sz="0" w:space="0" w:color="auto"/>
                <w:right w:val="none" w:sz="0" w:space="0" w:color="auto"/>
              </w:divBdr>
            </w:div>
            <w:div w:id="950281520">
              <w:marLeft w:val="0"/>
              <w:marRight w:val="0"/>
              <w:marTop w:val="0"/>
              <w:marBottom w:val="0"/>
              <w:divBdr>
                <w:top w:val="none" w:sz="0" w:space="0" w:color="auto"/>
                <w:left w:val="none" w:sz="0" w:space="0" w:color="auto"/>
                <w:bottom w:val="none" w:sz="0" w:space="0" w:color="auto"/>
                <w:right w:val="none" w:sz="0" w:space="0" w:color="auto"/>
              </w:divBdr>
            </w:div>
            <w:div w:id="1272203281">
              <w:marLeft w:val="0"/>
              <w:marRight w:val="0"/>
              <w:marTop w:val="0"/>
              <w:marBottom w:val="0"/>
              <w:divBdr>
                <w:top w:val="none" w:sz="0" w:space="0" w:color="auto"/>
                <w:left w:val="none" w:sz="0" w:space="0" w:color="auto"/>
                <w:bottom w:val="none" w:sz="0" w:space="0" w:color="auto"/>
                <w:right w:val="none" w:sz="0" w:space="0" w:color="auto"/>
              </w:divBdr>
            </w:div>
            <w:div w:id="1551454893">
              <w:marLeft w:val="0"/>
              <w:marRight w:val="0"/>
              <w:marTop w:val="0"/>
              <w:marBottom w:val="0"/>
              <w:divBdr>
                <w:top w:val="none" w:sz="0" w:space="0" w:color="auto"/>
                <w:left w:val="none" w:sz="0" w:space="0" w:color="auto"/>
                <w:bottom w:val="none" w:sz="0" w:space="0" w:color="auto"/>
                <w:right w:val="none" w:sz="0" w:space="0" w:color="auto"/>
              </w:divBdr>
            </w:div>
            <w:div w:id="1608149183">
              <w:marLeft w:val="0"/>
              <w:marRight w:val="0"/>
              <w:marTop w:val="0"/>
              <w:marBottom w:val="0"/>
              <w:divBdr>
                <w:top w:val="none" w:sz="0" w:space="0" w:color="auto"/>
                <w:left w:val="none" w:sz="0" w:space="0" w:color="auto"/>
                <w:bottom w:val="none" w:sz="0" w:space="0" w:color="auto"/>
                <w:right w:val="none" w:sz="0" w:space="0" w:color="auto"/>
              </w:divBdr>
            </w:div>
            <w:div w:id="1628387735">
              <w:marLeft w:val="0"/>
              <w:marRight w:val="0"/>
              <w:marTop w:val="0"/>
              <w:marBottom w:val="0"/>
              <w:divBdr>
                <w:top w:val="none" w:sz="0" w:space="0" w:color="auto"/>
                <w:left w:val="none" w:sz="0" w:space="0" w:color="auto"/>
                <w:bottom w:val="none" w:sz="0" w:space="0" w:color="auto"/>
                <w:right w:val="none" w:sz="0" w:space="0" w:color="auto"/>
              </w:divBdr>
            </w:div>
            <w:div w:id="1741755439">
              <w:marLeft w:val="0"/>
              <w:marRight w:val="0"/>
              <w:marTop w:val="0"/>
              <w:marBottom w:val="0"/>
              <w:divBdr>
                <w:top w:val="none" w:sz="0" w:space="0" w:color="auto"/>
                <w:left w:val="none" w:sz="0" w:space="0" w:color="auto"/>
                <w:bottom w:val="none" w:sz="0" w:space="0" w:color="auto"/>
                <w:right w:val="none" w:sz="0" w:space="0" w:color="auto"/>
              </w:divBdr>
            </w:div>
            <w:div w:id="1755516496">
              <w:marLeft w:val="0"/>
              <w:marRight w:val="0"/>
              <w:marTop w:val="0"/>
              <w:marBottom w:val="0"/>
              <w:divBdr>
                <w:top w:val="none" w:sz="0" w:space="0" w:color="auto"/>
                <w:left w:val="none" w:sz="0" w:space="0" w:color="auto"/>
                <w:bottom w:val="none" w:sz="0" w:space="0" w:color="auto"/>
                <w:right w:val="none" w:sz="0" w:space="0" w:color="auto"/>
              </w:divBdr>
            </w:div>
            <w:div w:id="1829176213">
              <w:marLeft w:val="0"/>
              <w:marRight w:val="0"/>
              <w:marTop w:val="0"/>
              <w:marBottom w:val="0"/>
              <w:divBdr>
                <w:top w:val="none" w:sz="0" w:space="0" w:color="auto"/>
                <w:left w:val="none" w:sz="0" w:space="0" w:color="auto"/>
                <w:bottom w:val="none" w:sz="0" w:space="0" w:color="auto"/>
                <w:right w:val="none" w:sz="0" w:space="0" w:color="auto"/>
              </w:divBdr>
            </w:div>
            <w:div w:id="1997491486">
              <w:marLeft w:val="0"/>
              <w:marRight w:val="0"/>
              <w:marTop w:val="0"/>
              <w:marBottom w:val="0"/>
              <w:divBdr>
                <w:top w:val="none" w:sz="0" w:space="0" w:color="auto"/>
                <w:left w:val="none" w:sz="0" w:space="0" w:color="auto"/>
                <w:bottom w:val="none" w:sz="0" w:space="0" w:color="auto"/>
                <w:right w:val="none" w:sz="0" w:space="0" w:color="auto"/>
              </w:divBdr>
            </w:div>
            <w:div w:id="2086293684">
              <w:marLeft w:val="0"/>
              <w:marRight w:val="0"/>
              <w:marTop w:val="0"/>
              <w:marBottom w:val="0"/>
              <w:divBdr>
                <w:top w:val="none" w:sz="0" w:space="0" w:color="auto"/>
                <w:left w:val="none" w:sz="0" w:space="0" w:color="auto"/>
                <w:bottom w:val="none" w:sz="0" w:space="0" w:color="auto"/>
                <w:right w:val="none" w:sz="0" w:space="0" w:color="auto"/>
              </w:divBdr>
            </w:div>
            <w:div w:id="2101632741">
              <w:marLeft w:val="0"/>
              <w:marRight w:val="0"/>
              <w:marTop w:val="0"/>
              <w:marBottom w:val="0"/>
              <w:divBdr>
                <w:top w:val="none" w:sz="0" w:space="0" w:color="auto"/>
                <w:left w:val="none" w:sz="0" w:space="0" w:color="auto"/>
                <w:bottom w:val="none" w:sz="0" w:space="0" w:color="auto"/>
                <w:right w:val="none" w:sz="0" w:space="0" w:color="auto"/>
              </w:divBdr>
            </w:div>
            <w:div w:id="2127196475">
              <w:marLeft w:val="0"/>
              <w:marRight w:val="0"/>
              <w:marTop w:val="0"/>
              <w:marBottom w:val="0"/>
              <w:divBdr>
                <w:top w:val="none" w:sz="0" w:space="0" w:color="auto"/>
                <w:left w:val="none" w:sz="0" w:space="0" w:color="auto"/>
                <w:bottom w:val="none" w:sz="0" w:space="0" w:color="auto"/>
                <w:right w:val="none" w:sz="0" w:space="0" w:color="auto"/>
              </w:divBdr>
            </w:div>
            <w:div w:id="2146389793">
              <w:marLeft w:val="0"/>
              <w:marRight w:val="0"/>
              <w:marTop w:val="0"/>
              <w:marBottom w:val="0"/>
              <w:divBdr>
                <w:top w:val="none" w:sz="0" w:space="0" w:color="auto"/>
                <w:left w:val="none" w:sz="0" w:space="0" w:color="auto"/>
                <w:bottom w:val="none" w:sz="0" w:space="0" w:color="auto"/>
                <w:right w:val="none" w:sz="0" w:space="0" w:color="auto"/>
              </w:divBdr>
            </w:div>
          </w:divsChild>
        </w:div>
        <w:div w:id="1468470358">
          <w:marLeft w:val="0"/>
          <w:marRight w:val="0"/>
          <w:marTop w:val="0"/>
          <w:marBottom w:val="0"/>
          <w:divBdr>
            <w:top w:val="none" w:sz="0" w:space="0" w:color="auto"/>
            <w:left w:val="none" w:sz="0" w:space="0" w:color="auto"/>
            <w:bottom w:val="none" w:sz="0" w:space="0" w:color="auto"/>
            <w:right w:val="none" w:sz="0" w:space="0" w:color="auto"/>
          </w:divBdr>
          <w:divsChild>
            <w:div w:id="282464098">
              <w:marLeft w:val="0"/>
              <w:marRight w:val="0"/>
              <w:marTop w:val="0"/>
              <w:marBottom w:val="0"/>
              <w:divBdr>
                <w:top w:val="none" w:sz="0" w:space="0" w:color="auto"/>
                <w:left w:val="none" w:sz="0" w:space="0" w:color="auto"/>
                <w:bottom w:val="none" w:sz="0" w:space="0" w:color="auto"/>
                <w:right w:val="none" w:sz="0" w:space="0" w:color="auto"/>
              </w:divBdr>
            </w:div>
            <w:div w:id="698241750">
              <w:marLeft w:val="0"/>
              <w:marRight w:val="0"/>
              <w:marTop w:val="0"/>
              <w:marBottom w:val="0"/>
              <w:divBdr>
                <w:top w:val="none" w:sz="0" w:space="0" w:color="auto"/>
                <w:left w:val="none" w:sz="0" w:space="0" w:color="auto"/>
                <w:bottom w:val="none" w:sz="0" w:space="0" w:color="auto"/>
                <w:right w:val="none" w:sz="0" w:space="0" w:color="auto"/>
              </w:divBdr>
            </w:div>
            <w:div w:id="724186158">
              <w:marLeft w:val="0"/>
              <w:marRight w:val="0"/>
              <w:marTop w:val="0"/>
              <w:marBottom w:val="0"/>
              <w:divBdr>
                <w:top w:val="none" w:sz="0" w:space="0" w:color="auto"/>
                <w:left w:val="none" w:sz="0" w:space="0" w:color="auto"/>
                <w:bottom w:val="none" w:sz="0" w:space="0" w:color="auto"/>
                <w:right w:val="none" w:sz="0" w:space="0" w:color="auto"/>
              </w:divBdr>
            </w:div>
            <w:div w:id="819813277">
              <w:marLeft w:val="0"/>
              <w:marRight w:val="0"/>
              <w:marTop w:val="0"/>
              <w:marBottom w:val="0"/>
              <w:divBdr>
                <w:top w:val="none" w:sz="0" w:space="0" w:color="auto"/>
                <w:left w:val="none" w:sz="0" w:space="0" w:color="auto"/>
                <w:bottom w:val="none" w:sz="0" w:space="0" w:color="auto"/>
                <w:right w:val="none" w:sz="0" w:space="0" w:color="auto"/>
              </w:divBdr>
            </w:div>
            <w:div w:id="935747764">
              <w:marLeft w:val="0"/>
              <w:marRight w:val="0"/>
              <w:marTop w:val="0"/>
              <w:marBottom w:val="0"/>
              <w:divBdr>
                <w:top w:val="none" w:sz="0" w:space="0" w:color="auto"/>
                <w:left w:val="none" w:sz="0" w:space="0" w:color="auto"/>
                <w:bottom w:val="none" w:sz="0" w:space="0" w:color="auto"/>
                <w:right w:val="none" w:sz="0" w:space="0" w:color="auto"/>
              </w:divBdr>
            </w:div>
            <w:div w:id="946037350">
              <w:marLeft w:val="0"/>
              <w:marRight w:val="0"/>
              <w:marTop w:val="0"/>
              <w:marBottom w:val="0"/>
              <w:divBdr>
                <w:top w:val="none" w:sz="0" w:space="0" w:color="auto"/>
                <w:left w:val="none" w:sz="0" w:space="0" w:color="auto"/>
                <w:bottom w:val="none" w:sz="0" w:space="0" w:color="auto"/>
                <w:right w:val="none" w:sz="0" w:space="0" w:color="auto"/>
              </w:divBdr>
            </w:div>
            <w:div w:id="1014456145">
              <w:marLeft w:val="0"/>
              <w:marRight w:val="0"/>
              <w:marTop w:val="0"/>
              <w:marBottom w:val="0"/>
              <w:divBdr>
                <w:top w:val="none" w:sz="0" w:space="0" w:color="auto"/>
                <w:left w:val="none" w:sz="0" w:space="0" w:color="auto"/>
                <w:bottom w:val="none" w:sz="0" w:space="0" w:color="auto"/>
                <w:right w:val="none" w:sz="0" w:space="0" w:color="auto"/>
              </w:divBdr>
            </w:div>
            <w:div w:id="1289819247">
              <w:marLeft w:val="0"/>
              <w:marRight w:val="0"/>
              <w:marTop w:val="0"/>
              <w:marBottom w:val="0"/>
              <w:divBdr>
                <w:top w:val="none" w:sz="0" w:space="0" w:color="auto"/>
                <w:left w:val="none" w:sz="0" w:space="0" w:color="auto"/>
                <w:bottom w:val="none" w:sz="0" w:space="0" w:color="auto"/>
                <w:right w:val="none" w:sz="0" w:space="0" w:color="auto"/>
              </w:divBdr>
            </w:div>
            <w:div w:id="1492914475">
              <w:marLeft w:val="0"/>
              <w:marRight w:val="0"/>
              <w:marTop w:val="0"/>
              <w:marBottom w:val="0"/>
              <w:divBdr>
                <w:top w:val="none" w:sz="0" w:space="0" w:color="auto"/>
                <w:left w:val="none" w:sz="0" w:space="0" w:color="auto"/>
                <w:bottom w:val="none" w:sz="0" w:space="0" w:color="auto"/>
                <w:right w:val="none" w:sz="0" w:space="0" w:color="auto"/>
              </w:divBdr>
            </w:div>
            <w:div w:id="1500998941">
              <w:marLeft w:val="0"/>
              <w:marRight w:val="0"/>
              <w:marTop w:val="0"/>
              <w:marBottom w:val="0"/>
              <w:divBdr>
                <w:top w:val="none" w:sz="0" w:space="0" w:color="auto"/>
                <w:left w:val="none" w:sz="0" w:space="0" w:color="auto"/>
                <w:bottom w:val="none" w:sz="0" w:space="0" w:color="auto"/>
                <w:right w:val="none" w:sz="0" w:space="0" w:color="auto"/>
              </w:divBdr>
            </w:div>
            <w:div w:id="1544444801">
              <w:marLeft w:val="0"/>
              <w:marRight w:val="0"/>
              <w:marTop w:val="0"/>
              <w:marBottom w:val="0"/>
              <w:divBdr>
                <w:top w:val="none" w:sz="0" w:space="0" w:color="auto"/>
                <w:left w:val="none" w:sz="0" w:space="0" w:color="auto"/>
                <w:bottom w:val="none" w:sz="0" w:space="0" w:color="auto"/>
                <w:right w:val="none" w:sz="0" w:space="0" w:color="auto"/>
              </w:divBdr>
            </w:div>
            <w:div w:id="1584529611">
              <w:marLeft w:val="0"/>
              <w:marRight w:val="0"/>
              <w:marTop w:val="0"/>
              <w:marBottom w:val="0"/>
              <w:divBdr>
                <w:top w:val="none" w:sz="0" w:space="0" w:color="auto"/>
                <w:left w:val="none" w:sz="0" w:space="0" w:color="auto"/>
                <w:bottom w:val="none" w:sz="0" w:space="0" w:color="auto"/>
                <w:right w:val="none" w:sz="0" w:space="0" w:color="auto"/>
              </w:divBdr>
            </w:div>
            <w:div w:id="1650204604">
              <w:marLeft w:val="0"/>
              <w:marRight w:val="0"/>
              <w:marTop w:val="0"/>
              <w:marBottom w:val="0"/>
              <w:divBdr>
                <w:top w:val="none" w:sz="0" w:space="0" w:color="auto"/>
                <w:left w:val="none" w:sz="0" w:space="0" w:color="auto"/>
                <w:bottom w:val="none" w:sz="0" w:space="0" w:color="auto"/>
                <w:right w:val="none" w:sz="0" w:space="0" w:color="auto"/>
              </w:divBdr>
            </w:div>
            <w:div w:id="1770933631">
              <w:marLeft w:val="0"/>
              <w:marRight w:val="0"/>
              <w:marTop w:val="0"/>
              <w:marBottom w:val="0"/>
              <w:divBdr>
                <w:top w:val="none" w:sz="0" w:space="0" w:color="auto"/>
                <w:left w:val="none" w:sz="0" w:space="0" w:color="auto"/>
                <w:bottom w:val="none" w:sz="0" w:space="0" w:color="auto"/>
                <w:right w:val="none" w:sz="0" w:space="0" w:color="auto"/>
              </w:divBdr>
            </w:div>
            <w:div w:id="1773433109">
              <w:marLeft w:val="0"/>
              <w:marRight w:val="0"/>
              <w:marTop w:val="0"/>
              <w:marBottom w:val="0"/>
              <w:divBdr>
                <w:top w:val="none" w:sz="0" w:space="0" w:color="auto"/>
                <w:left w:val="none" w:sz="0" w:space="0" w:color="auto"/>
                <w:bottom w:val="none" w:sz="0" w:space="0" w:color="auto"/>
                <w:right w:val="none" w:sz="0" w:space="0" w:color="auto"/>
              </w:divBdr>
            </w:div>
            <w:div w:id="1773821772">
              <w:marLeft w:val="0"/>
              <w:marRight w:val="0"/>
              <w:marTop w:val="0"/>
              <w:marBottom w:val="0"/>
              <w:divBdr>
                <w:top w:val="none" w:sz="0" w:space="0" w:color="auto"/>
                <w:left w:val="none" w:sz="0" w:space="0" w:color="auto"/>
                <w:bottom w:val="none" w:sz="0" w:space="0" w:color="auto"/>
                <w:right w:val="none" w:sz="0" w:space="0" w:color="auto"/>
              </w:divBdr>
            </w:div>
            <w:div w:id="1828403446">
              <w:marLeft w:val="0"/>
              <w:marRight w:val="0"/>
              <w:marTop w:val="0"/>
              <w:marBottom w:val="0"/>
              <w:divBdr>
                <w:top w:val="none" w:sz="0" w:space="0" w:color="auto"/>
                <w:left w:val="none" w:sz="0" w:space="0" w:color="auto"/>
                <w:bottom w:val="none" w:sz="0" w:space="0" w:color="auto"/>
                <w:right w:val="none" w:sz="0" w:space="0" w:color="auto"/>
              </w:divBdr>
            </w:div>
            <w:div w:id="1898082034">
              <w:marLeft w:val="0"/>
              <w:marRight w:val="0"/>
              <w:marTop w:val="0"/>
              <w:marBottom w:val="0"/>
              <w:divBdr>
                <w:top w:val="none" w:sz="0" w:space="0" w:color="auto"/>
                <w:left w:val="none" w:sz="0" w:space="0" w:color="auto"/>
                <w:bottom w:val="none" w:sz="0" w:space="0" w:color="auto"/>
                <w:right w:val="none" w:sz="0" w:space="0" w:color="auto"/>
              </w:divBdr>
            </w:div>
            <w:div w:id="1923103552">
              <w:marLeft w:val="0"/>
              <w:marRight w:val="0"/>
              <w:marTop w:val="0"/>
              <w:marBottom w:val="0"/>
              <w:divBdr>
                <w:top w:val="none" w:sz="0" w:space="0" w:color="auto"/>
                <w:left w:val="none" w:sz="0" w:space="0" w:color="auto"/>
                <w:bottom w:val="none" w:sz="0" w:space="0" w:color="auto"/>
                <w:right w:val="none" w:sz="0" w:space="0" w:color="auto"/>
              </w:divBdr>
            </w:div>
            <w:div w:id="2079477083">
              <w:marLeft w:val="0"/>
              <w:marRight w:val="0"/>
              <w:marTop w:val="0"/>
              <w:marBottom w:val="0"/>
              <w:divBdr>
                <w:top w:val="none" w:sz="0" w:space="0" w:color="auto"/>
                <w:left w:val="none" w:sz="0" w:space="0" w:color="auto"/>
                <w:bottom w:val="none" w:sz="0" w:space="0" w:color="auto"/>
                <w:right w:val="none" w:sz="0" w:space="0" w:color="auto"/>
              </w:divBdr>
            </w:div>
          </w:divsChild>
        </w:div>
        <w:div w:id="1900900488">
          <w:marLeft w:val="0"/>
          <w:marRight w:val="0"/>
          <w:marTop w:val="0"/>
          <w:marBottom w:val="0"/>
          <w:divBdr>
            <w:top w:val="none" w:sz="0" w:space="0" w:color="auto"/>
            <w:left w:val="none" w:sz="0" w:space="0" w:color="auto"/>
            <w:bottom w:val="none" w:sz="0" w:space="0" w:color="auto"/>
            <w:right w:val="none" w:sz="0" w:space="0" w:color="auto"/>
          </w:divBdr>
          <w:divsChild>
            <w:div w:id="72166591">
              <w:marLeft w:val="0"/>
              <w:marRight w:val="0"/>
              <w:marTop w:val="0"/>
              <w:marBottom w:val="0"/>
              <w:divBdr>
                <w:top w:val="none" w:sz="0" w:space="0" w:color="auto"/>
                <w:left w:val="none" w:sz="0" w:space="0" w:color="auto"/>
                <w:bottom w:val="none" w:sz="0" w:space="0" w:color="auto"/>
                <w:right w:val="none" w:sz="0" w:space="0" w:color="auto"/>
              </w:divBdr>
            </w:div>
            <w:div w:id="143202620">
              <w:marLeft w:val="0"/>
              <w:marRight w:val="0"/>
              <w:marTop w:val="0"/>
              <w:marBottom w:val="0"/>
              <w:divBdr>
                <w:top w:val="none" w:sz="0" w:space="0" w:color="auto"/>
                <w:left w:val="none" w:sz="0" w:space="0" w:color="auto"/>
                <w:bottom w:val="none" w:sz="0" w:space="0" w:color="auto"/>
                <w:right w:val="none" w:sz="0" w:space="0" w:color="auto"/>
              </w:divBdr>
            </w:div>
            <w:div w:id="298269211">
              <w:marLeft w:val="0"/>
              <w:marRight w:val="0"/>
              <w:marTop w:val="0"/>
              <w:marBottom w:val="0"/>
              <w:divBdr>
                <w:top w:val="none" w:sz="0" w:space="0" w:color="auto"/>
                <w:left w:val="none" w:sz="0" w:space="0" w:color="auto"/>
                <w:bottom w:val="none" w:sz="0" w:space="0" w:color="auto"/>
                <w:right w:val="none" w:sz="0" w:space="0" w:color="auto"/>
              </w:divBdr>
            </w:div>
            <w:div w:id="326977465">
              <w:marLeft w:val="0"/>
              <w:marRight w:val="0"/>
              <w:marTop w:val="0"/>
              <w:marBottom w:val="0"/>
              <w:divBdr>
                <w:top w:val="none" w:sz="0" w:space="0" w:color="auto"/>
                <w:left w:val="none" w:sz="0" w:space="0" w:color="auto"/>
                <w:bottom w:val="none" w:sz="0" w:space="0" w:color="auto"/>
                <w:right w:val="none" w:sz="0" w:space="0" w:color="auto"/>
              </w:divBdr>
            </w:div>
            <w:div w:id="517545863">
              <w:marLeft w:val="0"/>
              <w:marRight w:val="0"/>
              <w:marTop w:val="0"/>
              <w:marBottom w:val="0"/>
              <w:divBdr>
                <w:top w:val="none" w:sz="0" w:space="0" w:color="auto"/>
                <w:left w:val="none" w:sz="0" w:space="0" w:color="auto"/>
                <w:bottom w:val="none" w:sz="0" w:space="0" w:color="auto"/>
                <w:right w:val="none" w:sz="0" w:space="0" w:color="auto"/>
              </w:divBdr>
            </w:div>
            <w:div w:id="558443182">
              <w:marLeft w:val="0"/>
              <w:marRight w:val="0"/>
              <w:marTop w:val="0"/>
              <w:marBottom w:val="0"/>
              <w:divBdr>
                <w:top w:val="none" w:sz="0" w:space="0" w:color="auto"/>
                <w:left w:val="none" w:sz="0" w:space="0" w:color="auto"/>
                <w:bottom w:val="none" w:sz="0" w:space="0" w:color="auto"/>
                <w:right w:val="none" w:sz="0" w:space="0" w:color="auto"/>
              </w:divBdr>
            </w:div>
            <w:div w:id="589655804">
              <w:marLeft w:val="0"/>
              <w:marRight w:val="0"/>
              <w:marTop w:val="0"/>
              <w:marBottom w:val="0"/>
              <w:divBdr>
                <w:top w:val="none" w:sz="0" w:space="0" w:color="auto"/>
                <w:left w:val="none" w:sz="0" w:space="0" w:color="auto"/>
                <w:bottom w:val="none" w:sz="0" w:space="0" w:color="auto"/>
                <w:right w:val="none" w:sz="0" w:space="0" w:color="auto"/>
              </w:divBdr>
            </w:div>
            <w:div w:id="656344563">
              <w:marLeft w:val="0"/>
              <w:marRight w:val="0"/>
              <w:marTop w:val="0"/>
              <w:marBottom w:val="0"/>
              <w:divBdr>
                <w:top w:val="none" w:sz="0" w:space="0" w:color="auto"/>
                <w:left w:val="none" w:sz="0" w:space="0" w:color="auto"/>
                <w:bottom w:val="none" w:sz="0" w:space="0" w:color="auto"/>
                <w:right w:val="none" w:sz="0" w:space="0" w:color="auto"/>
              </w:divBdr>
            </w:div>
            <w:div w:id="781730341">
              <w:marLeft w:val="0"/>
              <w:marRight w:val="0"/>
              <w:marTop w:val="0"/>
              <w:marBottom w:val="0"/>
              <w:divBdr>
                <w:top w:val="none" w:sz="0" w:space="0" w:color="auto"/>
                <w:left w:val="none" w:sz="0" w:space="0" w:color="auto"/>
                <w:bottom w:val="none" w:sz="0" w:space="0" w:color="auto"/>
                <w:right w:val="none" w:sz="0" w:space="0" w:color="auto"/>
              </w:divBdr>
            </w:div>
            <w:div w:id="997655260">
              <w:marLeft w:val="0"/>
              <w:marRight w:val="0"/>
              <w:marTop w:val="0"/>
              <w:marBottom w:val="0"/>
              <w:divBdr>
                <w:top w:val="none" w:sz="0" w:space="0" w:color="auto"/>
                <w:left w:val="none" w:sz="0" w:space="0" w:color="auto"/>
                <w:bottom w:val="none" w:sz="0" w:space="0" w:color="auto"/>
                <w:right w:val="none" w:sz="0" w:space="0" w:color="auto"/>
              </w:divBdr>
            </w:div>
            <w:div w:id="1016229697">
              <w:marLeft w:val="0"/>
              <w:marRight w:val="0"/>
              <w:marTop w:val="0"/>
              <w:marBottom w:val="0"/>
              <w:divBdr>
                <w:top w:val="none" w:sz="0" w:space="0" w:color="auto"/>
                <w:left w:val="none" w:sz="0" w:space="0" w:color="auto"/>
                <w:bottom w:val="none" w:sz="0" w:space="0" w:color="auto"/>
                <w:right w:val="none" w:sz="0" w:space="0" w:color="auto"/>
              </w:divBdr>
            </w:div>
            <w:div w:id="1073773466">
              <w:marLeft w:val="0"/>
              <w:marRight w:val="0"/>
              <w:marTop w:val="0"/>
              <w:marBottom w:val="0"/>
              <w:divBdr>
                <w:top w:val="none" w:sz="0" w:space="0" w:color="auto"/>
                <w:left w:val="none" w:sz="0" w:space="0" w:color="auto"/>
                <w:bottom w:val="none" w:sz="0" w:space="0" w:color="auto"/>
                <w:right w:val="none" w:sz="0" w:space="0" w:color="auto"/>
              </w:divBdr>
            </w:div>
            <w:div w:id="1086459849">
              <w:marLeft w:val="0"/>
              <w:marRight w:val="0"/>
              <w:marTop w:val="0"/>
              <w:marBottom w:val="0"/>
              <w:divBdr>
                <w:top w:val="none" w:sz="0" w:space="0" w:color="auto"/>
                <w:left w:val="none" w:sz="0" w:space="0" w:color="auto"/>
                <w:bottom w:val="none" w:sz="0" w:space="0" w:color="auto"/>
                <w:right w:val="none" w:sz="0" w:space="0" w:color="auto"/>
              </w:divBdr>
            </w:div>
            <w:div w:id="1222332373">
              <w:marLeft w:val="0"/>
              <w:marRight w:val="0"/>
              <w:marTop w:val="0"/>
              <w:marBottom w:val="0"/>
              <w:divBdr>
                <w:top w:val="none" w:sz="0" w:space="0" w:color="auto"/>
                <w:left w:val="none" w:sz="0" w:space="0" w:color="auto"/>
                <w:bottom w:val="none" w:sz="0" w:space="0" w:color="auto"/>
                <w:right w:val="none" w:sz="0" w:space="0" w:color="auto"/>
              </w:divBdr>
            </w:div>
            <w:div w:id="1278367497">
              <w:marLeft w:val="0"/>
              <w:marRight w:val="0"/>
              <w:marTop w:val="0"/>
              <w:marBottom w:val="0"/>
              <w:divBdr>
                <w:top w:val="none" w:sz="0" w:space="0" w:color="auto"/>
                <w:left w:val="none" w:sz="0" w:space="0" w:color="auto"/>
                <w:bottom w:val="none" w:sz="0" w:space="0" w:color="auto"/>
                <w:right w:val="none" w:sz="0" w:space="0" w:color="auto"/>
              </w:divBdr>
            </w:div>
            <w:div w:id="1470781698">
              <w:marLeft w:val="0"/>
              <w:marRight w:val="0"/>
              <w:marTop w:val="0"/>
              <w:marBottom w:val="0"/>
              <w:divBdr>
                <w:top w:val="none" w:sz="0" w:space="0" w:color="auto"/>
                <w:left w:val="none" w:sz="0" w:space="0" w:color="auto"/>
                <w:bottom w:val="none" w:sz="0" w:space="0" w:color="auto"/>
                <w:right w:val="none" w:sz="0" w:space="0" w:color="auto"/>
              </w:divBdr>
            </w:div>
            <w:div w:id="1500851022">
              <w:marLeft w:val="0"/>
              <w:marRight w:val="0"/>
              <w:marTop w:val="0"/>
              <w:marBottom w:val="0"/>
              <w:divBdr>
                <w:top w:val="none" w:sz="0" w:space="0" w:color="auto"/>
                <w:left w:val="none" w:sz="0" w:space="0" w:color="auto"/>
                <w:bottom w:val="none" w:sz="0" w:space="0" w:color="auto"/>
                <w:right w:val="none" w:sz="0" w:space="0" w:color="auto"/>
              </w:divBdr>
            </w:div>
            <w:div w:id="1774090246">
              <w:marLeft w:val="0"/>
              <w:marRight w:val="0"/>
              <w:marTop w:val="0"/>
              <w:marBottom w:val="0"/>
              <w:divBdr>
                <w:top w:val="none" w:sz="0" w:space="0" w:color="auto"/>
                <w:left w:val="none" w:sz="0" w:space="0" w:color="auto"/>
                <w:bottom w:val="none" w:sz="0" w:space="0" w:color="auto"/>
                <w:right w:val="none" w:sz="0" w:space="0" w:color="auto"/>
              </w:divBdr>
            </w:div>
            <w:div w:id="1899630382">
              <w:marLeft w:val="0"/>
              <w:marRight w:val="0"/>
              <w:marTop w:val="0"/>
              <w:marBottom w:val="0"/>
              <w:divBdr>
                <w:top w:val="none" w:sz="0" w:space="0" w:color="auto"/>
                <w:left w:val="none" w:sz="0" w:space="0" w:color="auto"/>
                <w:bottom w:val="none" w:sz="0" w:space="0" w:color="auto"/>
                <w:right w:val="none" w:sz="0" w:space="0" w:color="auto"/>
              </w:divBdr>
            </w:div>
            <w:div w:id="2078169225">
              <w:marLeft w:val="0"/>
              <w:marRight w:val="0"/>
              <w:marTop w:val="0"/>
              <w:marBottom w:val="0"/>
              <w:divBdr>
                <w:top w:val="none" w:sz="0" w:space="0" w:color="auto"/>
                <w:left w:val="none" w:sz="0" w:space="0" w:color="auto"/>
                <w:bottom w:val="none" w:sz="0" w:space="0" w:color="auto"/>
                <w:right w:val="none" w:sz="0" w:space="0" w:color="auto"/>
              </w:divBdr>
            </w:div>
          </w:divsChild>
        </w:div>
        <w:div w:id="1911302299">
          <w:marLeft w:val="0"/>
          <w:marRight w:val="0"/>
          <w:marTop w:val="0"/>
          <w:marBottom w:val="0"/>
          <w:divBdr>
            <w:top w:val="none" w:sz="0" w:space="0" w:color="auto"/>
            <w:left w:val="none" w:sz="0" w:space="0" w:color="auto"/>
            <w:bottom w:val="none" w:sz="0" w:space="0" w:color="auto"/>
            <w:right w:val="none" w:sz="0" w:space="0" w:color="auto"/>
          </w:divBdr>
          <w:divsChild>
            <w:div w:id="164396060">
              <w:marLeft w:val="0"/>
              <w:marRight w:val="0"/>
              <w:marTop w:val="0"/>
              <w:marBottom w:val="0"/>
              <w:divBdr>
                <w:top w:val="none" w:sz="0" w:space="0" w:color="auto"/>
                <w:left w:val="none" w:sz="0" w:space="0" w:color="auto"/>
                <w:bottom w:val="none" w:sz="0" w:space="0" w:color="auto"/>
                <w:right w:val="none" w:sz="0" w:space="0" w:color="auto"/>
              </w:divBdr>
            </w:div>
            <w:div w:id="584992119">
              <w:marLeft w:val="0"/>
              <w:marRight w:val="0"/>
              <w:marTop w:val="0"/>
              <w:marBottom w:val="0"/>
              <w:divBdr>
                <w:top w:val="none" w:sz="0" w:space="0" w:color="auto"/>
                <w:left w:val="none" w:sz="0" w:space="0" w:color="auto"/>
                <w:bottom w:val="none" w:sz="0" w:space="0" w:color="auto"/>
                <w:right w:val="none" w:sz="0" w:space="0" w:color="auto"/>
              </w:divBdr>
            </w:div>
            <w:div w:id="1155341056">
              <w:marLeft w:val="0"/>
              <w:marRight w:val="0"/>
              <w:marTop w:val="0"/>
              <w:marBottom w:val="0"/>
              <w:divBdr>
                <w:top w:val="none" w:sz="0" w:space="0" w:color="auto"/>
                <w:left w:val="none" w:sz="0" w:space="0" w:color="auto"/>
                <w:bottom w:val="none" w:sz="0" w:space="0" w:color="auto"/>
                <w:right w:val="none" w:sz="0" w:space="0" w:color="auto"/>
              </w:divBdr>
            </w:div>
            <w:div w:id="1416248083">
              <w:marLeft w:val="0"/>
              <w:marRight w:val="0"/>
              <w:marTop w:val="0"/>
              <w:marBottom w:val="0"/>
              <w:divBdr>
                <w:top w:val="none" w:sz="0" w:space="0" w:color="auto"/>
                <w:left w:val="none" w:sz="0" w:space="0" w:color="auto"/>
                <w:bottom w:val="none" w:sz="0" w:space="0" w:color="auto"/>
                <w:right w:val="none" w:sz="0" w:space="0" w:color="auto"/>
              </w:divBdr>
            </w:div>
            <w:div w:id="1443766828">
              <w:marLeft w:val="0"/>
              <w:marRight w:val="0"/>
              <w:marTop w:val="0"/>
              <w:marBottom w:val="0"/>
              <w:divBdr>
                <w:top w:val="none" w:sz="0" w:space="0" w:color="auto"/>
                <w:left w:val="none" w:sz="0" w:space="0" w:color="auto"/>
                <w:bottom w:val="none" w:sz="0" w:space="0" w:color="auto"/>
                <w:right w:val="none" w:sz="0" w:space="0" w:color="auto"/>
              </w:divBdr>
            </w:div>
            <w:div w:id="2090536437">
              <w:marLeft w:val="0"/>
              <w:marRight w:val="0"/>
              <w:marTop w:val="0"/>
              <w:marBottom w:val="0"/>
              <w:divBdr>
                <w:top w:val="none" w:sz="0" w:space="0" w:color="auto"/>
                <w:left w:val="none" w:sz="0" w:space="0" w:color="auto"/>
                <w:bottom w:val="none" w:sz="0" w:space="0" w:color="auto"/>
                <w:right w:val="none" w:sz="0" w:space="0" w:color="auto"/>
              </w:divBdr>
            </w:div>
            <w:div w:id="21029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7056">
      <w:bodyDiv w:val="1"/>
      <w:marLeft w:val="0"/>
      <w:marRight w:val="0"/>
      <w:marTop w:val="0"/>
      <w:marBottom w:val="0"/>
      <w:divBdr>
        <w:top w:val="none" w:sz="0" w:space="0" w:color="auto"/>
        <w:left w:val="none" w:sz="0" w:space="0" w:color="auto"/>
        <w:bottom w:val="none" w:sz="0" w:space="0" w:color="auto"/>
        <w:right w:val="none" w:sz="0" w:space="0" w:color="auto"/>
      </w:divBdr>
      <w:divsChild>
        <w:div w:id="121924358">
          <w:marLeft w:val="0"/>
          <w:marRight w:val="0"/>
          <w:marTop w:val="0"/>
          <w:marBottom w:val="0"/>
          <w:divBdr>
            <w:top w:val="none" w:sz="0" w:space="0" w:color="auto"/>
            <w:left w:val="none" w:sz="0" w:space="0" w:color="auto"/>
            <w:bottom w:val="none" w:sz="0" w:space="0" w:color="auto"/>
            <w:right w:val="none" w:sz="0" w:space="0" w:color="auto"/>
          </w:divBdr>
        </w:div>
        <w:div w:id="164176034">
          <w:marLeft w:val="0"/>
          <w:marRight w:val="0"/>
          <w:marTop w:val="0"/>
          <w:marBottom w:val="0"/>
          <w:divBdr>
            <w:top w:val="none" w:sz="0" w:space="0" w:color="auto"/>
            <w:left w:val="none" w:sz="0" w:space="0" w:color="auto"/>
            <w:bottom w:val="none" w:sz="0" w:space="0" w:color="auto"/>
            <w:right w:val="none" w:sz="0" w:space="0" w:color="auto"/>
          </w:divBdr>
        </w:div>
        <w:div w:id="214586678">
          <w:marLeft w:val="0"/>
          <w:marRight w:val="0"/>
          <w:marTop w:val="0"/>
          <w:marBottom w:val="0"/>
          <w:divBdr>
            <w:top w:val="none" w:sz="0" w:space="0" w:color="auto"/>
            <w:left w:val="none" w:sz="0" w:space="0" w:color="auto"/>
            <w:bottom w:val="none" w:sz="0" w:space="0" w:color="auto"/>
            <w:right w:val="none" w:sz="0" w:space="0" w:color="auto"/>
          </w:divBdr>
          <w:divsChild>
            <w:div w:id="63994692">
              <w:marLeft w:val="-75"/>
              <w:marRight w:val="0"/>
              <w:marTop w:val="30"/>
              <w:marBottom w:val="30"/>
              <w:divBdr>
                <w:top w:val="none" w:sz="0" w:space="0" w:color="auto"/>
                <w:left w:val="none" w:sz="0" w:space="0" w:color="auto"/>
                <w:bottom w:val="none" w:sz="0" w:space="0" w:color="auto"/>
                <w:right w:val="none" w:sz="0" w:space="0" w:color="auto"/>
              </w:divBdr>
              <w:divsChild>
                <w:div w:id="24018640">
                  <w:marLeft w:val="0"/>
                  <w:marRight w:val="0"/>
                  <w:marTop w:val="0"/>
                  <w:marBottom w:val="0"/>
                  <w:divBdr>
                    <w:top w:val="none" w:sz="0" w:space="0" w:color="auto"/>
                    <w:left w:val="none" w:sz="0" w:space="0" w:color="auto"/>
                    <w:bottom w:val="none" w:sz="0" w:space="0" w:color="auto"/>
                    <w:right w:val="none" w:sz="0" w:space="0" w:color="auto"/>
                  </w:divBdr>
                  <w:divsChild>
                    <w:div w:id="1120102367">
                      <w:marLeft w:val="0"/>
                      <w:marRight w:val="0"/>
                      <w:marTop w:val="0"/>
                      <w:marBottom w:val="0"/>
                      <w:divBdr>
                        <w:top w:val="none" w:sz="0" w:space="0" w:color="auto"/>
                        <w:left w:val="none" w:sz="0" w:space="0" w:color="auto"/>
                        <w:bottom w:val="none" w:sz="0" w:space="0" w:color="auto"/>
                        <w:right w:val="none" w:sz="0" w:space="0" w:color="auto"/>
                      </w:divBdr>
                    </w:div>
                  </w:divsChild>
                </w:div>
                <w:div w:id="93018343">
                  <w:marLeft w:val="0"/>
                  <w:marRight w:val="0"/>
                  <w:marTop w:val="0"/>
                  <w:marBottom w:val="0"/>
                  <w:divBdr>
                    <w:top w:val="none" w:sz="0" w:space="0" w:color="auto"/>
                    <w:left w:val="none" w:sz="0" w:space="0" w:color="auto"/>
                    <w:bottom w:val="none" w:sz="0" w:space="0" w:color="auto"/>
                    <w:right w:val="none" w:sz="0" w:space="0" w:color="auto"/>
                  </w:divBdr>
                  <w:divsChild>
                    <w:div w:id="354237701">
                      <w:marLeft w:val="0"/>
                      <w:marRight w:val="0"/>
                      <w:marTop w:val="0"/>
                      <w:marBottom w:val="0"/>
                      <w:divBdr>
                        <w:top w:val="none" w:sz="0" w:space="0" w:color="auto"/>
                        <w:left w:val="none" w:sz="0" w:space="0" w:color="auto"/>
                        <w:bottom w:val="none" w:sz="0" w:space="0" w:color="auto"/>
                        <w:right w:val="none" w:sz="0" w:space="0" w:color="auto"/>
                      </w:divBdr>
                    </w:div>
                  </w:divsChild>
                </w:div>
                <w:div w:id="249238213">
                  <w:marLeft w:val="0"/>
                  <w:marRight w:val="0"/>
                  <w:marTop w:val="0"/>
                  <w:marBottom w:val="0"/>
                  <w:divBdr>
                    <w:top w:val="none" w:sz="0" w:space="0" w:color="auto"/>
                    <w:left w:val="none" w:sz="0" w:space="0" w:color="auto"/>
                    <w:bottom w:val="none" w:sz="0" w:space="0" w:color="auto"/>
                    <w:right w:val="none" w:sz="0" w:space="0" w:color="auto"/>
                  </w:divBdr>
                  <w:divsChild>
                    <w:div w:id="273824212">
                      <w:marLeft w:val="0"/>
                      <w:marRight w:val="0"/>
                      <w:marTop w:val="0"/>
                      <w:marBottom w:val="0"/>
                      <w:divBdr>
                        <w:top w:val="none" w:sz="0" w:space="0" w:color="auto"/>
                        <w:left w:val="none" w:sz="0" w:space="0" w:color="auto"/>
                        <w:bottom w:val="none" w:sz="0" w:space="0" w:color="auto"/>
                        <w:right w:val="none" w:sz="0" w:space="0" w:color="auto"/>
                      </w:divBdr>
                    </w:div>
                  </w:divsChild>
                </w:div>
                <w:div w:id="657616791">
                  <w:marLeft w:val="0"/>
                  <w:marRight w:val="0"/>
                  <w:marTop w:val="0"/>
                  <w:marBottom w:val="0"/>
                  <w:divBdr>
                    <w:top w:val="none" w:sz="0" w:space="0" w:color="auto"/>
                    <w:left w:val="none" w:sz="0" w:space="0" w:color="auto"/>
                    <w:bottom w:val="none" w:sz="0" w:space="0" w:color="auto"/>
                    <w:right w:val="none" w:sz="0" w:space="0" w:color="auto"/>
                  </w:divBdr>
                  <w:divsChild>
                    <w:div w:id="605697696">
                      <w:marLeft w:val="0"/>
                      <w:marRight w:val="0"/>
                      <w:marTop w:val="0"/>
                      <w:marBottom w:val="0"/>
                      <w:divBdr>
                        <w:top w:val="none" w:sz="0" w:space="0" w:color="auto"/>
                        <w:left w:val="none" w:sz="0" w:space="0" w:color="auto"/>
                        <w:bottom w:val="none" w:sz="0" w:space="0" w:color="auto"/>
                        <w:right w:val="none" w:sz="0" w:space="0" w:color="auto"/>
                      </w:divBdr>
                    </w:div>
                  </w:divsChild>
                </w:div>
                <w:div w:id="702941140">
                  <w:marLeft w:val="0"/>
                  <w:marRight w:val="0"/>
                  <w:marTop w:val="0"/>
                  <w:marBottom w:val="0"/>
                  <w:divBdr>
                    <w:top w:val="none" w:sz="0" w:space="0" w:color="auto"/>
                    <w:left w:val="none" w:sz="0" w:space="0" w:color="auto"/>
                    <w:bottom w:val="none" w:sz="0" w:space="0" w:color="auto"/>
                    <w:right w:val="none" w:sz="0" w:space="0" w:color="auto"/>
                  </w:divBdr>
                  <w:divsChild>
                    <w:div w:id="2048793376">
                      <w:marLeft w:val="0"/>
                      <w:marRight w:val="0"/>
                      <w:marTop w:val="0"/>
                      <w:marBottom w:val="0"/>
                      <w:divBdr>
                        <w:top w:val="none" w:sz="0" w:space="0" w:color="auto"/>
                        <w:left w:val="none" w:sz="0" w:space="0" w:color="auto"/>
                        <w:bottom w:val="none" w:sz="0" w:space="0" w:color="auto"/>
                        <w:right w:val="none" w:sz="0" w:space="0" w:color="auto"/>
                      </w:divBdr>
                    </w:div>
                  </w:divsChild>
                </w:div>
                <w:div w:id="707023636">
                  <w:marLeft w:val="0"/>
                  <w:marRight w:val="0"/>
                  <w:marTop w:val="0"/>
                  <w:marBottom w:val="0"/>
                  <w:divBdr>
                    <w:top w:val="none" w:sz="0" w:space="0" w:color="auto"/>
                    <w:left w:val="none" w:sz="0" w:space="0" w:color="auto"/>
                    <w:bottom w:val="none" w:sz="0" w:space="0" w:color="auto"/>
                    <w:right w:val="none" w:sz="0" w:space="0" w:color="auto"/>
                  </w:divBdr>
                  <w:divsChild>
                    <w:div w:id="1648509207">
                      <w:marLeft w:val="0"/>
                      <w:marRight w:val="0"/>
                      <w:marTop w:val="0"/>
                      <w:marBottom w:val="0"/>
                      <w:divBdr>
                        <w:top w:val="none" w:sz="0" w:space="0" w:color="auto"/>
                        <w:left w:val="none" w:sz="0" w:space="0" w:color="auto"/>
                        <w:bottom w:val="none" w:sz="0" w:space="0" w:color="auto"/>
                        <w:right w:val="none" w:sz="0" w:space="0" w:color="auto"/>
                      </w:divBdr>
                    </w:div>
                  </w:divsChild>
                </w:div>
                <w:div w:id="739907475">
                  <w:marLeft w:val="0"/>
                  <w:marRight w:val="0"/>
                  <w:marTop w:val="0"/>
                  <w:marBottom w:val="0"/>
                  <w:divBdr>
                    <w:top w:val="none" w:sz="0" w:space="0" w:color="auto"/>
                    <w:left w:val="none" w:sz="0" w:space="0" w:color="auto"/>
                    <w:bottom w:val="none" w:sz="0" w:space="0" w:color="auto"/>
                    <w:right w:val="none" w:sz="0" w:space="0" w:color="auto"/>
                  </w:divBdr>
                  <w:divsChild>
                    <w:div w:id="837426683">
                      <w:marLeft w:val="0"/>
                      <w:marRight w:val="0"/>
                      <w:marTop w:val="0"/>
                      <w:marBottom w:val="0"/>
                      <w:divBdr>
                        <w:top w:val="none" w:sz="0" w:space="0" w:color="auto"/>
                        <w:left w:val="none" w:sz="0" w:space="0" w:color="auto"/>
                        <w:bottom w:val="none" w:sz="0" w:space="0" w:color="auto"/>
                        <w:right w:val="none" w:sz="0" w:space="0" w:color="auto"/>
                      </w:divBdr>
                    </w:div>
                  </w:divsChild>
                </w:div>
                <w:div w:id="755322019">
                  <w:marLeft w:val="0"/>
                  <w:marRight w:val="0"/>
                  <w:marTop w:val="0"/>
                  <w:marBottom w:val="0"/>
                  <w:divBdr>
                    <w:top w:val="none" w:sz="0" w:space="0" w:color="auto"/>
                    <w:left w:val="none" w:sz="0" w:space="0" w:color="auto"/>
                    <w:bottom w:val="none" w:sz="0" w:space="0" w:color="auto"/>
                    <w:right w:val="none" w:sz="0" w:space="0" w:color="auto"/>
                  </w:divBdr>
                  <w:divsChild>
                    <w:div w:id="1051538882">
                      <w:marLeft w:val="0"/>
                      <w:marRight w:val="0"/>
                      <w:marTop w:val="0"/>
                      <w:marBottom w:val="0"/>
                      <w:divBdr>
                        <w:top w:val="none" w:sz="0" w:space="0" w:color="auto"/>
                        <w:left w:val="none" w:sz="0" w:space="0" w:color="auto"/>
                        <w:bottom w:val="none" w:sz="0" w:space="0" w:color="auto"/>
                        <w:right w:val="none" w:sz="0" w:space="0" w:color="auto"/>
                      </w:divBdr>
                    </w:div>
                    <w:div w:id="1532456682">
                      <w:marLeft w:val="0"/>
                      <w:marRight w:val="0"/>
                      <w:marTop w:val="0"/>
                      <w:marBottom w:val="0"/>
                      <w:divBdr>
                        <w:top w:val="none" w:sz="0" w:space="0" w:color="auto"/>
                        <w:left w:val="none" w:sz="0" w:space="0" w:color="auto"/>
                        <w:bottom w:val="none" w:sz="0" w:space="0" w:color="auto"/>
                        <w:right w:val="none" w:sz="0" w:space="0" w:color="auto"/>
                      </w:divBdr>
                    </w:div>
                  </w:divsChild>
                </w:div>
                <w:div w:id="846290876">
                  <w:marLeft w:val="0"/>
                  <w:marRight w:val="0"/>
                  <w:marTop w:val="0"/>
                  <w:marBottom w:val="0"/>
                  <w:divBdr>
                    <w:top w:val="none" w:sz="0" w:space="0" w:color="auto"/>
                    <w:left w:val="none" w:sz="0" w:space="0" w:color="auto"/>
                    <w:bottom w:val="none" w:sz="0" w:space="0" w:color="auto"/>
                    <w:right w:val="none" w:sz="0" w:space="0" w:color="auto"/>
                  </w:divBdr>
                  <w:divsChild>
                    <w:div w:id="694617723">
                      <w:marLeft w:val="0"/>
                      <w:marRight w:val="0"/>
                      <w:marTop w:val="0"/>
                      <w:marBottom w:val="0"/>
                      <w:divBdr>
                        <w:top w:val="none" w:sz="0" w:space="0" w:color="auto"/>
                        <w:left w:val="none" w:sz="0" w:space="0" w:color="auto"/>
                        <w:bottom w:val="none" w:sz="0" w:space="0" w:color="auto"/>
                        <w:right w:val="none" w:sz="0" w:space="0" w:color="auto"/>
                      </w:divBdr>
                    </w:div>
                  </w:divsChild>
                </w:div>
                <w:div w:id="897940312">
                  <w:marLeft w:val="0"/>
                  <w:marRight w:val="0"/>
                  <w:marTop w:val="0"/>
                  <w:marBottom w:val="0"/>
                  <w:divBdr>
                    <w:top w:val="none" w:sz="0" w:space="0" w:color="auto"/>
                    <w:left w:val="none" w:sz="0" w:space="0" w:color="auto"/>
                    <w:bottom w:val="none" w:sz="0" w:space="0" w:color="auto"/>
                    <w:right w:val="none" w:sz="0" w:space="0" w:color="auto"/>
                  </w:divBdr>
                  <w:divsChild>
                    <w:div w:id="1075202935">
                      <w:marLeft w:val="0"/>
                      <w:marRight w:val="0"/>
                      <w:marTop w:val="0"/>
                      <w:marBottom w:val="0"/>
                      <w:divBdr>
                        <w:top w:val="none" w:sz="0" w:space="0" w:color="auto"/>
                        <w:left w:val="none" w:sz="0" w:space="0" w:color="auto"/>
                        <w:bottom w:val="none" w:sz="0" w:space="0" w:color="auto"/>
                        <w:right w:val="none" w:sz="0" w:space="0" w:color="auto"/>
                      </w:divBdr>
                    </w:div>
                  </w:divsChild>
                </w:div>
                <w:div w:id="990254652">
                  <w:marLeft w:val="0"/>
                  <w:marRight w:val="0"/>
                  <w:marTop w:val="0"/>
                  <w:marBottom w:val="0"/>
                  <w:divBdr>
                    <w:top w:val="none" w:sz="0" w:space="0" w:color="auto"/>
                    <w:left w:val="none" w:sz="0" w:space="0" w:color="auto"/>
                    <w:bottom w:val="none" w:sz="0" w:space="0" w:color="auto"/>
                    <w:right w:val="none" w:sz="0" w:space="0" w:color="auto"/>
                  </w:divBdr>
                  <w:divsChild>
                    <w:div w:id="604386025">
                      <w:marLeft w:val="0"/>
                      <w:marRight w:val="0"/>
                      <w:marTop w:val="0"/>
                      <w:marBottom w:val="0"/>
                      <w:divBdr>
                        <w:top w:val="none" w:sz="0" w:space="0" w:color="auto"/>
                        <w:left w:val="none" w:sz="0" w:space="0" w:color="auto"/>
                        <w:bottom w:val="none" w:sz="0" w:space="0" w:color="auto"/>
                        <w:right w:val="none" w:sz="0" w:space="0" w:color="auto"/>
                      </w:divBdr>
                    </w:div>
                  </w:divsChild>
                </w:div>
                <w:div w:id="995953726">
                  <w:marLeft w:val="0"/>
                  <w:marRight w:val="0"/>
                  <w:marTop w:val="0"/>
                  <w:marBottom w:val="0"/>
                  <w:divBdr>
                    <w:top w:val="none" w:sz="0" w:space="0" w:color="auto"/>
                    <w:left w:val="none" w:sz="0" w:space="0" w:color="auto"/>
                    <w:bottom w:val="none" w:sz="0" w:space="0" w:color="auto"/>
                    <w:right w:val="none" w:sz="0" w:space="0" w:color="auto"/>
                  </w:divBdr>
                  <w:divsChild>
                    <w:div w:id="149489476">
                      <w:marLeft w:val="0"/>
                      <w:marRight w:val="0"/>
                      <w:marTop w:val="0"/>
                      <w:marBottom w:val="0"/>
                      <w:divBdr>
                        <w:top w:val="none" w:sz="0" w:space="0" w:color="auto"/>
                        <w:left w:val="none" w:sz="0" w:space="0" w:color="auto"/>
                        <w:bottom w:val="none" w:sz="0" w:space="0" w:color="auto"/>
                        <w:right w:val="none" w:sz="0" w:space="0" w:color="auto"/>
                      </w:divBdr>
                    </w:div>
                  </w:divsChild>
                </w:div>
                <w:div w:id="1071274231">
                  <w:marLeft w:val="0"/>
                  <w:marRight w:val="0"/>
                  <w:marTop w:val="0"/>
                  <w:marBottom w:val="0"/>
                  <w:divBdr>
                    <w:top w:val="none" w:sz="0" w:space="0" w:color="auto"/>
                    <w:left w:val="none" w:sz="0" w:space="0" w:color="auto"/>
                    <w:bottom w:val="none" w:sz="0" w:space="0" w:color="auto"/>
                    <w:right w:val="none" w:sz="0" w:space="0" w:color="auto"/>
                  </w:divBdr>
                  <w:divsChild>
                    <w:div w:id="1641038033">
                      <w:marLeft w:val="0"/>
                      <w:marRight w:val="0"/>
                      <w:marTop w:val="0"/>
                      <w:marBottom w:val="0"/>
                      <w:divBdr>
                        <w:top w:val="none" w:sz="0" w:space="0" w:color="auto"/>
                        <w:left w:val="none" w:sz="0" w:space="0" w:color="auto"/>
                        <w:bottom w:val="none" w:sz="0" w:space="0" w:color="auto"/>
                        <w:right w:val="none" w:sz="0" w:space="0" w:color="auto"/>
                      </w:divBdr>
                    </w:div>
                  </w:divsChild>
                </w:div>
                <w:div w:id="1155872152">
                  <w:marLeft w:val="0"/>
                  <w:marRight w:val="0"/>
                  <w:marTop w:val="0"/>
                  <w:marBottom w:val="0"/>
                  <w:divBdr>
                    <w:top w:val="none" w:sz="0" w:space="0" w:color="auto"/>
                    <w:left w:val="none" w:sz="0" w:space="0" w:color="auto"/>
                    <w:bottom w:val="none" w:sz="0" w:space="0" w:color="auto"/>
                    <w:right w:val="none" w:sz="0" w:space="0" w:color="auto"/>
                  </w:divBdr>
                  <w:divsChild>
                    <w:div w:id="1157308123">
                      <w:marLeft w:val="0"/>
                      <w:marRight w:val="0"/>
                      <w:marTop w:val="0"/>
                      <w:marBottom w:val="0"/>
                      <w:divBdr>
                        <w:top w:val="none" w:sz="0" w:space="0" w:color="auto"/>
                        <w:left w:val="none" w:sz="0" w:space="0" w:color="auto"/>
                        <w:bottom w:val="none" w:sz="0" w:space="0" w:color="auto"/>
                        <w:right w:val="none" w:sz="0" w:space="0" w:color="auto"/>
                      </w:divBdr>
                    </w:div>
                  </w:divsChild>
                </w:div>
                <w:div w:id="1182209334">
                  <w:marLeft w:val="0"/>
                  <w:marRight w:val="0"/>
                  <w:marTop w:val="0"/>
                  <w:marBottom w:val="0"/>
                  <w:divBdr>
                    <w:top w:val="none" w:sz="0" w:space="0" w:color="auto"/>
                    <w:left w:val="none" w:sz="0" w:space="0" w:color="auto"/>
                    <w:bottom w:val="none" w:sz="0" w:space="0" w:color="auto"/>
                    <w:right w:val="none" w:sz="0" w:space="0" w:color="auto"/>
                  </w:divBdr>
                  <w:divsChild>
                    <w:div w:id="276379697">
                      <w:marLeft w:val="0"/>
                      <w:marRight w:val="0"/>
                      <w:marTop w:val="0"/>
                      <w:marBottom w:val="0"/>
                      <w:divBdr>
                        <w:top w:val="none" w:sz="0" w:space="0" w:color="auto"/>
                        <w:left w:val="none" w:sz="0" w:space="0" w:color="auto"/>
                        <w:bottom w:val="none" w:sz="0" w:space="0" w:color="auto"/>
                        <w:right w:val="none" w:sz="0" w:space="0" w:color="auto"/>
                      </w:divBdr>
                    </w:div>
                  </w:divsChild>
                </w:div>
                <w:div w:id="1211500305">
                  <w:marLeft w:val="0"/>
                  <w:marRight w:val="0"/>
                  <w:marTop w:val="0"/>
                  <w:marBottom w:val="0"/>
                  <w:divBdr>
                    <w:top w:val="none" w:sz="0" w:space="0" w:color="auto"/>
                    <w:left w:val="none" w:sz="0" w:space="0" w:color="auto"/>
                    <w:bottom w:val="none" w:sz="0" w:space="0" w:color="auto"/>
                    <w:right w:val="none" w:sz="0" w:space="0" w:color="auto"/>
                  </w:divBdr>
                  <w:divsChild>
                    <w:div w:id="240649585">
                      <w:marLeft w:val="0"/>
                      <w:marRight w:val="0"/>
                      <w:marTop w:val="0"/>
                      <w:marBottom w:val="0"/>
                      <w:divBdr>
                        <w:top w:val="none" w:sz="0" w:space="0" w:color="auto"/>
                        <w:left w:val="none" w:sz="0" w:space="0" w:color="auto"/>
                        <w:bottom w:val="none" w:sz="0" w:space="0" w:color="auto"/>
                        <w:right w:val="none" w:sz="0" w:space="0" w:color="auto"/>
                      </w:divBdr>
                    </w:div>
                  </w:divsChild>
                </w:div>
                <w:div w:id="1225214358">
                  <w:marLeft w:val="0"/>
                  <w:marRight w:val="0"/>
                  <w:marTop w:val="0"/>
                  <w:marBottom w:val="0"/>
                  <w:divBdr>
                    <w:top w:val="none" w:sz="0" w:space="0" w:color="auto"/>
                    <w:left w:val="none" w:sz="0" w:space="0" w:color="auto"/>
                    <w:bottom w:val="none" w:sz="0" w:space="0" w:color="auto"/>
                    <w:right w:val="none" w:sz="0" w:space="0" w:color="auto"/>
                  </w:divBdr>
                  <w:divsChild>
                    <w:div w:id="863439918">
                      <w:marLeft w:val="0"/>
                      <w:marRight w:val="0"/>
                      <w:marTop w:val="0"/>
                      <w:marBottom w:val="0"/>
                      <w:divBdr>
                        <w:top w:val="none" w:sz="0" w:space="0" w:color="auto"/>
                        <w:left w:val="none" w:sz="0" w:space="0" w:color="auto"/>
                        <w:bottom w:val="none" w:sz="0" w:space="0" w:color="auto"/>
                        <w:right w:val="none" w:sz="0" w:space="0" w:color="auto"/>
                      </w:divBdr>
                    </w:div>
                  </w:divsChild>
                </w:div>
                <w:div w:id="1294095124">
                  <w:marLeft w:val="0"/>
                  <w:marRight w:val="0"/>
                  <w:marTop w:val="0"/>
                  <w:marBottom w:val="0"/>
                  <w:divBdr>
                    <w:top w:val="none" w:sz="0" w:space="0" w:color="auto"/>
                    <w:left w:val="none" w:sz="0" w:space="0" w:color="auto"/>
                    <w:bottom w:val="none" w:sz="0" w:space="0" w:color="auto"/>
                    <w:right w:val="none" w:sz="0" w:space="0" w:color="auto"/>
                  </w:divBdr>
                  <w:divsChild>
                    <w:div w:id="539392961">
                      <w:marLeft w:val="0"/>
                      <w:marRight w:val="0"/>
                      <w:marTop w:val="0"/>
                      <w:marBottom w:val="0"/>
                      <w:divBdr>
                        <w:top w:val="none" w:sz="0" w:space="0" w:color="auto"/>
                        <w:left w:val="none" w:sz="0" w:space="0" w:color="auto"/>
                        <w:bottom w:val="none" w:sz="0" w:space="0" w:color="auto"/>
                        <w:right w:val="none" w:sz="0" w:space="0" w:color="auto"/>
                      </w:divBdr>
                    </w:div>
                  </w:divsChild>
                </w:div>
                <w:div w:id="1426609928">
                  <w:marLeft w:val="0"/>
                  <w:marRight w:val="0"/>
                  <w:marTop w:val="0"/>
                  <w:marBottom w:val="0"/>
                  <w:divBdr>
                    <w:top w:val="none" w:sz="0" w:space="0" w:color="auto"/>
                    <w:left w:val="none" w:sz="0" w:space="0" w:color="auto"/>
                    <w:bottom w:val="none" w:sz="0" w:space="0" w:color="auto"/>
                    <w:right w:val="none" w:sz="0" w:space="0" w:color="auto"/>
                  </w:divBdr>
                  <w:divsChild>
                    <w:div w:id="1469006024">
                      <w:marLeft w:val="0"/>
                      <w:marRight w:val="0"/>
                      <w:marTop w:val="0"/>
                      <w:marBottom w:val="0"/>
                      <w:divBdr>
                        <w:top w:val="none" w:sz="0" w:space="0" w:color="auto"/>
                        <w:left w:val="none" w:sz="0" w:space="0" w:color="auto"/>
                        <w:bottom w:val="none" w:sz="0" w:space="0" w:color="auto"/>
                        <w:right w:val="none" w:sz="0" w:space="0" w:color="auto"/>
                      </w:divBdr>
                    </w:div>
                  </w:divsChild>
                </w:div>
                <w:div w:id="1439911161">
                  <w:marLeft w:val="0"/>
                  <w:marRight w:val="0"/>
                  <w:marTop w:val="0"/>
                  <w:marBottom w:val="0"/>
                  <w:divBdr>
                    <w:top w:val="none" w:sz="0" w:space="0" w:color="auto"/>
                    <w:left w:val="none" w:sz="0" w:space="0" w:color="auto"/>
                    <w:bottom w:val="none" w:sz="0" w:space="0" w:color="auto"/>
                    <w:right w:val="none" w:sz="0" w:space="0" w:color="auto"/>
                  </w:divBdr>
                  <w:divsChild>
                    <w:div w:id="428744285">
                      <w:marLeft w:val="0"/>
                      <w:marRight w:val="0"/>
                      <w:marTop w:val="0"/>
                      <w:marBottom w:val="0"/>
                      <w:divBdr>
                        <w:top w:val="none" w:sz="0" w:space="0" w:color="auto"/>
                        <w:left w:val="none" w:sz="0" w:space="0" w:color="auto"/>
                        <w:bottom w:val="none" w:sz="0" w:space="0" w:color="auto"/>
                        <w:right w:val="none" w:sz="0" w:space="0" w:color="auto"/>
                      </w:divBdr>
                    </w:div>
                  </w:divsChild>
                </w:div>
                <w:div w:id="1462000235">
                  <w:marLeft w:val="0"/>
                  <w:marRight w:val="0"/>
                  <w:marTop w:val="0"/>
                  <w:marBottom w:val="0"/>
                  <w:divBdr>
                    <w:top w:val="none" w:sz="0" w:space="0" w:color="auto"/>
                    <w:left w:val="none" w:sz="0" w:space="0" w:color="auto"/>
                    <w:bottom w:val="none" w:sz="0" w:space="0" w:color="auto"/>
                    <w:right w:val="none" w:sz="0" w:space="0" w:color="auto"/>
                  </w:divBdr>
                  <w:divsChild>
                    <w:div w:id="474418626">
                      <w:marLeft w:val="0"/>
                      <w:marRight w:val="0"/>
                      <w:marTop w:val="0"/>
                      <w:marBottom w:val="0"/>
                      <w:divBdr>
                        <w:top w:val="none" w:sz="0" w:space="0" w:color="auto"/>
                        <w:left w:val="none" w:sz="0" w:space="0" w:color="auto"/>
                        <w:bottom w:val="none" w:sz="0" w:space="0" w:color="auto"/>
                        <w:right w:val="none" w:sz="0" w:space="0" w:color="auto"/>
                      </w:divBdr>
                    </w:div>
                    <w:div w:id="1259025887">
                      <w:marLeft w:val="0"/>
                      <w:marRight w:val="0"/>
                      <w:marTop w:val="0"/>
                      <w:marBottom w:val="0"/>
                      <w:divBdr>
                        <w:top w:val="none" w:sz="0" w:space="0" w:color="auto"/>
                        <w:left w:val="none" w:sz="0" w:space="0" w:color="auto"/>
                        <w:bottom w:val="none" w:sz="0" w:space="0" w:color="auto"/>
                        <w:right w:val="none" w:sz="0" w:space="0" w:color="auto"/>
                      </w:divBdr>
                    </w:div>
                  </w:divsChild>
                </w:div>
                <w:div w:id="1671830305">
                  <w:marLeft w:val="0"/>
                  <w:marRight w:val="0"/>
                  <w:marTop w:val="0"/>
                  <w:marBottom w:val="0"/>
                  <w:divBdr>
                    <w:top w:val="none" w:sz="0" w:space="0" w:color="auto"/>
                    <w:left w:val="none" w:sz="0" w:space="0" w:color="auto"/>
                    <w:bottom w:val="none" w:sz="0" w:space="0" w:color="auto"/>
                    <w:right w:val="none" w:sz="0" w:space="0" w:color="auto"/>
                  </w:divBdr>
                  <w:divsChild>
                    <w:div w:id="2043088783">
                      <w:marLeft w:val="0"/>
                      <w:marRight w:val="0"/>
                      <w:marTop w:val="0"/>
                      <w:marBottom w:val="0"/>
                      <w:divBdr>
                        <w:top w:val="none" w:sz="0" w:space="0" w:color="auto"/>
                        <w:left w:val="none" w:sz="0" w:space="0" w:color="auto"/>
                        <w:bottom w:val="none" w:sz="0" w:space="0" w:color="auto"/>
                        <w:right w:val="none" w:sz="0" w:space="0" w:color="auto"/>
                      </w:divBdr>
                    </w:div>
                  </w:divsChild>
                </w:div>
                <w:div w:id="1731230462">
                  <w:marLeft w:val="0"/>
                  <w:marRight w:val="0"/>
                  <w:marTop w:val="0"/>
                  <w:marBottom w:val="0"/>
                  <w:divBdr>
                    <w:top w:val="none" w:sz="0" w:space="0" w:color="auto"/>
                    <w:left w:val="none" w:sz="0" w:space="0" w:color="auto"/>
                    <w:bottom w:val="none" w:sz="0" w:space="0" w:color="auto"/>
                    <w:right w:val="none" w:sz="0" w:space="0" w:color="auto"/>
                  </w:divBdr>
                  <w:divsChild>
                    <w:div w:id="1430783212">
                      <w:marLeft w:val="0"/>
                      <w:marRight w:val="0"/>
                      <w:marTop w:val="0"/>
                      <w:marBottom w:val="0"/>
                      <w:divBdr>
                        <w:top w:val="none" w:sz="0" w:space="0" w:color="auto"/>
                        <w:left w:val="none" w:sz="0" w:space="0" w:color="auto"/>
                        <w:bottom w:val="none" w:sz="0" w:space="0" w:color="auto"/>
                        <w:right w:val="none" w:sz="0" w:space="0" w:color="auto"/>
                      </w:divBdr>
                    </w:div>
                  </w:divsChild>
                </w:div>
                <w:div w:id="1753355101">
                  <w:marLeft w:val="0"/>
                  <w:marRight w:val="0"/>
                  <w:marTop w:val="0"/>
                  <w:marBottom w:val="0"/>
                  <w:divBdr>
                    <w:top w:val="none" w:sz="0" w:space="0" w:color="auto"/>
                    <w:left w:val="none" w:sz="0" w:space="0" w:color="auto"/>
                    <w:bottom w:val="none" w:sz="0" w:space="0" w:color="auto"/>
                    <w:right w:val="none" w:sz="0" w:space="0" w:color="auto"/>
                  </w:divBdr>
                  <w:divsChild>
                    <w:div w:id="746727273">
                      <w:marLeft w:val="0"/>
                      <w:marRight w:val="0"/>
                      <w:marTop w:val="0"/>
                      <w:marBottom w:val="0"/>
                      <w:divBdr>
                        <w:top w:val="none" w:sz="0" w:space="0" w:color="auto"/>
                        <w:left w:val="none" w:sz="0" w:space="0" w:color="auto"/>
                        <w:bottom w:val="none" w:sz="0" w:space="0" w:color="auto"/>
                        <w:right w:val="none" w:sz="0" w:space="0" w:color="auto"/>
                      </w:divBdr>
                    </w:div>
                  </w:divsChild>
                </w:div>
                <w:div w:id="1850945047">
                  <w:marLeft w:val="0"/>
                  <w:marRight w:val="0"/>
                  <w:marTop w:val="0"/>
                  <w:marBottom w:val="0"/>
                  <w:divBdr>
                    <w:top w:val="none" w:sz="0" w:space="0" w:color="auto"/>
                    <w:left w:val="none" w:sz="0" w:space="0" w:color="auto"/>
                    <w:bottom w:val="none" w:sz="0" w:space="0" w:color="auto"/>
                    <w:right w:val="none" w:sz="0" w:space="0" w:color="auto"/>
                  </w:divBdr>
                  <w:divsChild>
                    <w:div w:id="1727025407">
                      <w:marLeft w:val="0"/>
                      <w:marRight w:val="0"/>
                      <w:marTop w:val="0"/>
                      <w:marBottom w:val="0"/>
                      <w:divBdr>
                        <w:top w:val="none" w:sz="0" w:space="0" w:color="auto"/>
                        <w:left w:val="none" w:sz="0" w:space="0" w:color="auto"/>
                        <w:bottom w:val="none" w:sz="0" w:space="0" w:color="auto"/>
                        <w:right w:val="none" w:sz="0" w:space="0" w:color="auto"/>
                      </w:divBdr>
                    </w:div>
                    <w:div w:id="2030523341">
                      <w:marLeft w:val="0"/>
                      <w:marRight w:val="0"/>
                      <w:marTop w:val="0"/>
                      <w:marBottom w:val="0"/>
                      <w:divBdr>
                        <w:top w:val="none" w:sz="0" w:space="0" w:color="auto"/>
                        <w:left w:val="none" w:sz="0" w:space="0" w:color="auto"/>
                        <w:bottom w:val="none" w:sz="0" w:space="0" w:color="auto"/>
                        <w:right w:val="none" w:sz="0" w:space="0" w:color="auto"/>
                      </w:divBdr>
                    </w:div>
                  </w:divsChild>
                </w:div>
                <w:div w:id="1891182155">
                  <w:marLeft w:val="0"/>
                  <w:marRight w:val="0"/>
                  <w:marTop w:val="0"/>
                  <w:marBottom w:val="0"/>
                  <w:divBdr>
                    <w:top w:val="none" w:sz="0" w:space="0" w:color="auto"/>
                    <w:left w:val="none" w:sz="0" w:space="0" w:color="auto"/>
                    <w:bottom w:val="none" w:sz="0" w:space="0" w:color="auto"/>
                    <w:right w:val="none" w:sz="0" w:space="0" w:color="auto"/>
                  </w:divBdr>
                  <w:divsChild>
                    <w:div w:id="2106337986">
                      <w:marLeft w:val="0"/>
                      <w:marRight w:val="0"/>
                      <w:marTop w:val="0"/>
                      <w:marBottom w:val="0"/>
                      <w:divBdr>
                        <w:top w:val="none" w:sz="0" w:space="0" w:color="auto"/>
                        <w:left w:val="none" w:sz="0" w:space="0" w:color="auto"/>
                        <w:bottom w:val="none" w:sz="0" w:space="0" w:color="auto"/>
                        <w:right w:val="none" w:sz="0" w:space="0" w:color="auto"/>
                      </w:divBdr>
                    </w:div>
                  </w:divsChild>
                </w:div>
                <w:div w:id="1991210840">
                  <w:marLeft w:val="0"/>
                  <w:marRight w:val="0"/>
                  <w:marTop w:val="0"/>
                  <w:marBottom w:val="0"/>
                  <w:divBdr>
                    <w:top w:val="none" w:sz="0" w:space="0" w:color="auto"/>
                    <w:left w:val="none" w:sz="0" w:space="0" w:color="auto"/>
                    <w:bottom w:val="none" w:sz="0" w:space="0" w:color="auto"/>
                    <w:right w:val="none" w:sz="0" w:space="0" w:color="auto"/>
                  </w:divBdr>
                  <w:divsChild>
                    <w:div w:id="57213635">
                      <w:marLeft w:val="0"/>
                      <w:marRight w:val="0"/>
                      <w:marTop w:val="0"/>
                      <w:marBottom w:val="0"/>
                      <w:divBdr>
                        <w:top w:val="none" w:sz="0" w:space="0" w:color="auto"/>
                        <w:left w:val="none" w:sz="0" w:space="0" w:color="auto"/>
                        <w:bottom w:val="none" w:sz="0" w:space="0" w:color="auto"/>
                        <w:right w:val="none" w:sz="0" w:space="0" w:color="auto"/>
                      </w:divBdr>
                    </w:div>
                  </w:divsChild>
                </w:div>
                <w:div w:id="2053460777">
                  <w:marLeft w:val="0"/>
                  <w:marRight w:val="0"/>
                  <w:marTop w:val="0"/>
                  <w:marBottom w:val="0"/>
                  <w:divBdr>
                    <w:top w:val="none" w:sz="0" w:space="0" w:color="auto"/>
                    <w:left w:val="none" w:sz="0" w:space="0" w:color="auto"/>
                    <w:bottom w:val="none" w:sz="0" w:space="0" w:color="auto"/>
                    <w:right w:val="none" w:sz="0" w:space="0" w:color="auto"/>
                  </w:divBdr>
                  <w:divsChild>
                    <w:div w:id="14237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98135">
          <w:marLeft w:val="0"/>
          <w:marRight w:val="0"/>
          <w:marTop w:val="0"/>
          <w:marBottom w:val="0"/>
          <w:divBdr>
            <w:top w:val="none" w:sz="0" w:space="0" w:color="auto"/>
            <w:left w:val="none" w:sz="0" w:space="0" w:color="auto"/>
            <w:bottom w:val="none" w:sz="0" w:space="0" w:color="auto"/>
            <w:right w:val="none" w:sz="0" w:space="0" w:color="auto"/>
          </w:divBdr>
        </w:div>
        <w:div w:id="483667542">
          <w:marLeft w:val="0"/>
          <w:marRight w:val="0"/>
          <w:marTop w:val="0"/>
          <w:marBottom w:val="0"/>
          <w:divBdr>
            <w:top w:val="none" w:sz="0" w:space="0" w:color="auto"/>
            <w:left w:val="none" w:sz="0" w:space="0" w:color="auto"/>
            <w:bottom w:val="none" w:sz="0" w:space="0" w:color="auto"/>
            <w:right w:val="none" w:sz="0" w:space="0" w:color="auto"/>
          </w:divBdr>
          <w:divsChild>
            <w:div w:id="1189948576">
              <w:marLeft w:val="-75"/>
              <w:marRight w:val="0"/>
              <w:marTop w:val="30"/>
              <w:marBottom w:val="30"/>
              <w:divBdr>
                <w:top w:val="none" w:sz="0" w:space="0" w:color="auto"/>
                <w:left w:val="none" w:sz="0" w:space="0" w:color="auto"/>
                <w:bottom w:val="none" w:sz="0" w:space="0" w:color="auto"/>
                <w:right w:val="none" w:sz="0" w:space="0" w:color="auto"/>
              </w:divBdr>
              <w:divsChild>
                <w:div w:id="247930311">
                  <w:marLeft w:val="0"/>
                  <w:marRight w:val="0"/>
                  <w:marTop w:val="0"/>
                  <w:marBottom w:val="0"/>
                  <w:divBdr>
                    <w:top w:val="none" w:sz="0" w:space="0" w:color="auto"/>
                    <w:left w:val="none" w:sz="0" w:space="0" w:color="auto"/>
                    <w:bottom w:val="none" w:sz="0" w:space="0" w:color="auto"/>
                    <w:right w:val="none" w:sz="0" w:space="0" w:color="auto"/>
                  </w:divBdr>
                  <w:divsChild>
                    <w:div w:id="2104957934">
                      <w:marLeft w:val="0"/>
                      <w:marRight w:val="0"/>
                      <w:marTop w:val="0"/>
                      <w:marBottom w:val="0"/>
                      <w:divBdr>
                        <w:top w:val="none" w:sz="0" w:space="0" w:color="auto"/>
                        <w:left w:val="none" w:sz="0" w:space="0" w:color="auto"/>
                        <w:bottom w:val="none" w:sz="0" w:space="0" w:color="auto"/>
                        <w:right w:val="none" w:sz="0" w:space="0" w:color="auto"/>
                      </w:divBdr>
                    </w:div>
                  </w:divsChild>
                </w:div>
                <w:div w:id="349336224">
                  <w:marLeft w:val="0"/>
                  <w:marRight w:val="0"/>
                  <w:marTop w:val="0"/>
                  <w:marBottom w:val="0"/>
                  <w:divBdr>
                    <w:top w:val="none" w:sz="0" w:space="0" w:color="auto"/>
                    <w:left w:val="none" w:sz="0" w:space="0" w:color="auto"/>
                    <w:bottom w:val="none" w:sz="0" w:space="0" w:color="auto"/>
                    <w:right w:val="none" w:sz="0" w:space="0" w:color="auto"/>
                  </w:divBdr>
                  <w:divsChild>
                    <w:div w:id="1322656397">
                      <w:marLeft w:val="0"/>
                      <w:marRight w:val="0"/>
                      <w:marTop w:val="0"/>
                      <w:marBottom w:val="0"/>
                      <w:divBdr>
                        <w:top w:val="none" w:sz="0" w:space="0" w:color="auto"/>
                        <w:left w:val="none" w:sz="0" w:space="0" w:color="auto"/>
                        <w:bottom w:val="none" w:sz="0" w:space="0" w:color="auto"/>
                        <w:right w:val="none" w:sz="0" w:space="0" w:color="auto"/>
                      </w:divBdr>
                    </w:div>
                  </w:divsChild>
                </w:div>
                <w:div w:id="380715280">
                  <w:marLeft w:val="0"/>
                  <w:marRight w:val="0"/>
                  <w:marTop w:val="0"/>
                  <w:marBottom w:val="0"/>
                  <w:divBdr>
                    <w:top w:val="none" w:sz="0" w:space="0" w:color="auto"/>
                    <w:left w:val="none" w:sz="0" w:space="0" w:color="auto"/>
                    <w:bottom w:val="none" w:sz="0" w:space="0" w:color="auto"/>
                    <w:right w:val="none" w:sz="0" w:space="0" w:color="auto"/>
                  </w:divBdr>
                  <w:divsChild>
                    <w:div w:id="1303661283">
                      <w:marLeft w:val="0"/>
                      <w:marRight w:val="0"/>
                      <w:marTop w:val="0"/>
                      <w:marBottom w:val="0"/>
                      <w:divBdr>
                        <w:top w:val="none" w:sz="0" w:space="0" w:color="auto"/>
                        <w:left w:val="none" w:sz="0" w:space="0" w:color="auto"/>
                        <w:bottom w:val="none" w:sz="0" w:space="0" w:color="auto"/>
                        <w:right w:val="none" w:sz="0" w:space="0" w:color="auto"/>
                      </w:divBdr>
                    </w:div>
                  </w:divsChild>
                </w:div>
                <w:div w:id="550652424">
                  <w:marLeft w:val="0"/>
                  <w:marRight w:val="0"/>
                  <w:marTop w:val="0"/>
                  <w:marBottom w:val="0"/>
                  <w:divBdr>
                    <w:top w:val="none" w:sz="0" w:space="0" w:color="auto"/>
                    <w:left w:val="none" w:sz="0" w:space="0" w:color="auto"/>
                    <w:bottom w:val="none" w:sz="0" w:space="0" w:color="auto"/>
                    <w:right w:val="none" w:sz="0" w:space="0" w:color="auto"/>
                  </w:divBdr>
                  <w:divsChild>
                    <w:div w:id="1621649279">
                      <w:marLeft w:val="0"/>
                      <w:marRight w:val="0"/>
                      <w:marTop w:val="0"/>
                      <w:marBottom w:val="0"/>
                      <w:divBdr>
                        <w:top w:val="none" w:sz="0" w:space="0" w:color="auto"/>
                        <w:left w:val="none" w:sz="0" w:space="0" w:color="auto"/>
                        <w:bottom w:val="none" w:sz="0" w:space="0" w:color="auto"/>
                        <w:right w:val="none" w:sz="0" w:space="0" w:color="auto"/>
                      </w:divBdr>
                    </w:div>
                  </w:divsChild>
                </w:div>
                <w:div w:id="551306059">
                  <w:marLeft w:val="0"/>
                  <w:marRight w:val="0"/>
                  <w:marTop w:val="0"/>
                  <w:marBottom w:val="0"/>
                  <w:divBdr>
                    <w:top w:val="none" w:sz="0" w:space="0" w:color="auto"/>
                    <w:left w:val="none" w:sz="0" w:space="0" w:color="auto"/>
                    <w:bottom w:val="none" w:sz="0" w:space="0" w:color="auto"/>
                    <w:right w:val="none" w:sz="0" w:space="0" w:color="auto"/>
                  </w:divBdr>
                  <w:divsChild>
                    <w:div w:id="2067023868">
                      <w:marLeft w:val="0"/>
                      <w:marRight w:val="0"/>
                      <w:marTop w:val="0"/>
                      <w:marBottom w:val="0"/>
                      <w:divBdr>
                        <w:top w:val="none" w:sz="0" w:space="0" w:color="auto"/>
                        <w:left w:val="none" w:sz="0" w:space="0" w:color="auto"/>
                        <w:bottom w:val="none" w:sz="0" w:space="0" w:color="auto"/>
                        <w:right w:val="none" w:sz="0" w:space="0" w:color="auto"/>
                      </w:divBdr>
                    </w:div>
                  </w:divsChild>
                </w:div>
                <w:div w:id="965896052">
                  <w:marLeft w:val="0"/>
                  <w:marRight w:val="0"/>
                  <w:marTop w:val="0"/>
                  <w:marBottom w:val="0"/>
                  <w:divBdr>
                    <w:top w:val="none" w:sz="0" w:space="0" w:color="auto"/>
                    <w:left w:val="none" w:sz="0" w:space="0" w:color="auto"/>
                    <w:bottom w:val="none" w:sz="0" w:space="0" w:color="auto"/>
                    <w:right w:val="none" w:sz="0" w:space="0" w:color="auto"/>
                  </w:divBdr>
                  <w:divsChild>
                    <w:div w:id="324435238">
                      <w:marLeft w:val="0"/>
                      <w:marRight w:val="0"/>
                      <w:marTop w:val="0"/>
                      <w:marBottom w:val="0"/>
                      <w:divBdr>
                        <w:top w:val="none" w:sz="0" w:space="0" w:color="auto"/>
                        <w:left w:val="none" w:sz="0" w:space="0" w:color="auto"/>
                        <w:bottom w:val="none" w:sz="0" w:space="0" w:color="auto"/>
                        <w:right w:val="none" w:sz="0" w:space="0" w:color="auto"/>
                      </w:divBdr>
                    </w:div>
                  </w:divsChild>
                </w:div>
                <w:div w:id="1314262129">
                  <w:marLeft w:val="0"/>
                  <w:marRight w:val="0"/>
                  <w:marTop w:val="0"/>
                  <w:marBottom w:val="0"/>
                  <w:divBdr>
                    <w:top w:val="none" w:sz="0" w:space="0" w:color="auto"/>
                    <w:left w:val="none" w:sz="0" w:space="0" w:color="auto"/>
                    <w:bottom w:val="none" w:sz="0" w:space="0" w:color="auto"/>
                    <w:right w:val="none" w:sz="0" w:space="0" w:color="auto"/>
                  </w:divBdr>
                  <w:divsChild>
                    <w:div w:id="1070270463">
                      <w:marLeft w:val="0"/>
                      <w:marRight w:val="0"/>
                      <w:marTop w:val="0"/>
                      <w:marBottom w:val="0"/>
                      <w:divBdr>
                        <w:top w:val="none" w:sz="0" w:space="0" w:color="auto"/>
                        <w:left w:val="none" w:sz="0" w:space="0" w:color="auto"/>
                        <w:bottom w:val="none" w:sz="0" w:space="0" w:color="auto"/>
                        <w:right w:val="none" w:sz="0" w:space="0" w:color="auto"/>
                      </w:divBdr>
                    </w:div>
                  </w:divsChild>
                </w:div>
                <w:div w:id="2092193053">
                  <w:marLeft w:val="0"/>
                  <w:marRight w:val="0"/>
                  <w:marTop w:val="0"/>
                  <w:marBottom w:val="0"/>
                  <w:divBdr>
                    <w:top w:val="none" w:sz="0" w:space="0" w:color="auto"/>
                    <w:left w:val="none" w:sz="0" w:space="0" w:color="auto"/>
                    <w:bottom w:val="none" w:sz="0" w:space="0" w:color="auto"/>
                    <w:right w:val="none" w:sz="0" w:space="0" w:color="auto"/>
                  </w:divBdr>
                  <w:divsChild>
                    <w:div w:id="18471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9383">
          <w:marLeft w:val="0"/>
          <w:marRight w:val="0"/>
          <w:marTop w:val="0"/>
          <w:marBottom w:val="0"/>
          <w:divBdr>
            <w:top w:val="none" w:sz="0" w:space="0" w:color="auto"/>
            <w:left w:val="none" w:sz="0" w:space="0" w:color="auto"/>
            <w:bottom w:val="none" w:sz="0" w:space="0" w:color="auto"/>
            <w:right w:val="none" w:sz="0" w:space="0" w:color="auto"/>
          </w:divBdr>
        </w:div>
        <w:div w:id="691567243">
          <w:marLeft w:val="0"/>
          <w:marRight w:val="0"/>
          <w:marTop w:val="0"/>
          <w:marBottom w:val="0"/>
          <w:divBdr>
            <w:top w:val="none" w:sz="0" w:space="0" w:color="auto"/>
            <w:left w:val="none" w:sz="0" w:space="0" w:color="auto"/>
            <w:bottom w:val="none" w:sz="0" w:space="0" w:color="auto"/>
            <w:right w:val="none" w:sz="0" w:space="0" w:color="auto"/>
          </w:divBdr>
        </w:div>
        <w:div w:id="701906184">
          <w:marLeft w:val="0"/>
          <w:marRight w:val="0"/>
          <w:marTop w:val="0"/>
          <w:marBottom w:val="0"/>
          <w:divBdr>
            <w:top w:val="none" w:sz="0" w:space="0" w:color="auto"/>
            <w:left w:val="none" w:sz="0" w:space="0" w:color="auto"/>
            <w:bottom w:val="none" w:sz="0" w:space="0" w:color="auto"/>
            <w:right w:val="none" w:sz="0" w:space="0" w:color="auto"/>
          </w:divBdr>
        </w:div>
        <w:div w:id="857499802">
          <w:marLeft w:val="0"/>
          <w:marRight w:val="0"/>
          <w:marTop w:val="0"/>
          <w:marBottom w:val="0"/>
          <w:divBdr>
            <w:top w:val="none" w:sz="0" w:space="0" w:color="auto"/>
            <w:left w:val="none" w:sz="0" w:space="0" w:color="auto"/>
            <w:bottom w:val="none" w:sz="0" w:space="0" w:color="auto"/>
            <w:right w:val="none" w:sz="0" w:space="0" w:color="auto"/>
          </w:divBdr>
        </w:div>
        <w:div w:id="900091914">
          <w:marLeft w:val="0"/>
          <w:marRight w:val="0"/>
          <w:marTop w:val="0"/>
          <w:marBottom w:val="0"/>
          <w:divBdr>
            <w:top w:val="none" w:sz="0" w:space="0" w:color="auto"/>
            <w:left w:val="none" w:sz="0" w:space="0" w:color="auto"/>
            <w:bottom w:val="none" w:sz="0" w:space="0" w:color="auto"/>
            <w:right w:val="none" w:sz="0" w:space="0" w:color="auto"/>
          </w:divBdr>
        </w:div>
        <w:div w:id="1007905201">
          <w:marLeft w:val="0"/>
          <w:marRight w:val="0"/>
          <w:marTop w:val="0"/>
          <w:marBottom w:val="0"/>
          <w:divBdr>
            <w:top w:val="none" w:sz="0" w:space="0" w:color="auto"/>
            <w:left w:val="none" w:sz="0" w:space="0" w:color="auto"/>
            <w:bottom w:val="none" w:sz="0" w:space="0" w:color="auto"/>
            <w:right w:val="none" w:sz="0" w:space="0" w:color="auto"/>
          </w:divBdr>
          <w:divsChild>
            <w:div w:id="49496329">
              <w:marLeft w:val="0"/>
              <w:marRight w:val="0"/>
              <w:marTop w:val="0"/>
              <w:marBottom w:val="0"/>
              <w:divBdr>
                <w:top w:val="none" w:sz="0" w:space="0" w:color="auto"/>
                <w:left w:val="none" w:sz="0" w:space="0" w:color="auto"/>
                <w:bottom w:val="none" w:sz="0" w:space="0" w:color="auto"/>
                <w:right w:val="none" w:sz="0" w:space="0" w:color="auto"/>
              </w:divBdr>
            </w:div>
            <w:div w:id="473717290">
              <w:marLeft w:val="0"/>
              <w:marRight w:val="0"/>
              <w:marTop w:val="0"/>
              <w:marBottom w:val="0"/>
              <w:divBdr>
                <w:top w:val="none" w:sz="0" w:space="0" w:color="auto"/>
                <w:left w:val="none" w:sz="0" w:space="0" w:color="auto"/>
                <w:bottom w:val="none" w:sz="0" w:space="0" w:color="auto"/>
                <w:right w:val="none" w:sz="0" w:space="0" w:color="auto"/>
              </w:divBdr>
            </w:div>
            <w:div w:id="486168378">
              <w:marLeft w:val="0"/>
              <w:marRight w:val="0"/>
              <w:marTop w:val="0"/>
              <w:marBottom w:val="0"/>
              <w:divBdr>
                <w:top w:val="none" w:sz="0" w:space="0" w:color="auto"/>
                <w:left w:val="none" w:sz="0" w:space="0" w:color="auto"/>
                <w:bottom w:val="none" w:sz="0" w:space="0" w:color="auto"/>
                <w:right w:val="none" w:sz="0" w:space="0" w:color="auto"/>
              </w:divBdr>
            </w:div>
            <w:div w:id="554238977">
              <w:marLeft w:val="0"/>
              <w:marRight w:val="0"/>
              <w:marTop w:val="0"/>
              <w:marBottom w:val="0"/>
              <w:divBdr>
                <w:top w:val="none" w:sz="0" w:space="0" w:color="auto"/>
                <w:left w:val="none" w:sz="0" w:space="0" w:color="auto"/>
                <w:bottom w:val="none" w:sz="0" w:space="0" w:color="auto"/>
                <w:right w:val="none" w:sz="0" w:space="0" w:color="auto"/>
              </w:divBdr>
            </w:div>
            <w:div w:id="616524390">
              <w:marLeft w:val="0"/>
              <w:marRight w:val="0"/>
              <w:marTop w:val="0"/>
              <w:marBottom w:val="0"/>
              <w:divBdr>
                <w:top w:val="none" w:sz="0" w:space="0" w:color="auto"/>
                <w:left w:val="none" w:sz="0" w:space="0" w:color="auto"/>
                <w:bottom w:val="none" w:sz="0" w:space="0" w:color="auto"/>
                <w:right w:val="none" w:sz="0" w:space="0" w:color="auto"/>
              </w:divBdr>
            </w:div>
            <w:div w:id="689113094">
              <w:marLeft w:val="0"/>
              <w:marRight w:val="0"/>
              <w:marTop w:val="0"/>
              <w:marBottom w:val="0"/>
              <w:divBdr>
                <w:top w:val="none" w:sz="0" w:space="0" w:color="auto"/>
                <w:left w:val="none" w:sz="0" w:space="0" w:color="auto"/>
                <w:bottom w:val="none" w:sz="0" w:space="0" w:color="auto"/>
                <w:right w:val="none" w:sz="0" w:space="0" w:color="auto"/>
              </w:divBdr>
            </w:div>
            <w:div w:id="720399646">
              <w:marLeft w:val="0"/>
              <w:marRight w:val="0"/>
              <w:marTop w:val="0"/>
              <w:marBottom w:val="0"/>
              <w:divBdr>
                <w:top w:val="none" w:sz="0" w:space="0" w:color="auto"/>
                <w:left w:val="none" w:sz="0" w:space="0" w:color="auto"/>
                <w:bottom w:val="none" w:sz="0" w:space="0" w:color="auto"/>
                <w:right w:val="none" w:sz="0" w:space="0" w:color="auto"/>
              </w:divBdr>
            </w:div>
            <w:div w:id="733622589">
              <w:marLeft w:val="0"/>
              <w:marRight w:val="0"/>
              <w:marTop w:val="0"/>
              <w:marBottom w:val="0"/>
              <w:divBdr>
                <w:top w:val="none" w:sz="0" w:space="0" w:color="auto"/>
                <w:left w:val="none" w:sz="0" w:space="0" w:color="auto"/>
                <w:bottom w:val="none" w:sz="0" w:space="0" w:color="auto"/>
                <w:right w:val="none" w:sz="0" w:space="0" w:color="auto"/>
              </w:divBdr>
            </w:div>
            <w:div w:id="869612244">
              <w:marLeft w:val="0"/>
              <w:marRight w:val="0"/>
              <w:marTop w:val="0"/>
              <w:marBottom w:val="0"/>
              <w:divBdr>
                <w:top w:val="none" w:sz="0" w:space="0" w:color="auto"/>
                <w:left w:val="none" w:sz="0" w:space="0" w:color="auto"/>
                <w:bottom w:val="none" w:sz="0" w:space="0" w:color="auto"/>
                <w:right w:val="none" w:sz="0" w:space="0" w:color="auto"/>
              </w:divBdr>
            </w:div>
            <w:div w:id="1590196283">
              <w:marLeft w:val="0"/>
              <w:marRight w:val="0"/>
              <w:marTop w:val="0"/>
              <w:marBottom w:val="0"/>
              <w:divBdr>
                <w:top w:val="none" w:sz="0" w:space="0" w:color="auto"/>
                <w:left w:val="none" w:sz="0" w:space="0" w:color="auto"/>
                <w:bottom w:val="none" w:sz="0" w:space="0" w:color="auto"/>
                <w:right w:val="none" w:sz="0" w:space="0" w:color="auto"/>
              </w:divBdr>
            </w:div>
            <w:div w:id="1619490007">
              <w:marLeft w:val="0"/>
              <w:marRight w:val="0"/>
              <w:marTop w:val="0"/>
              <w:marBottom w:val="0"/>
              <w:divBdr>
                <w:top w:val="none" w:sz="0" w:space="0" w:color="auto"/>
                <w:left w:val="none" w:sz="0" w:space="0" w:color="auto"/>
                <w:bottom w:val="none" w:sz="0" w:space="0" w:color="auto"/>
                <w:right w:val="none" w:sz="0" w:space="0" w:color="auto"/>
              </w:divBdr>
            </w:div>
            <w:div w:id="1677615600">
              <w:marLeft w:val="0"/>
              <w:marRight w:val="0"/>
              <w:marTop w:val="0"/>
              <w:marBottom w:val="0"/>
              <w:divBdr>
                <w:top w:val="none" w:sz="0" w:space="0" w:color="auto"/>
                <w:left w:val="none" w:sz="0" w:space="0" w:color="auto"/>
                <w:bottom w:val="none" w:sz="0" w:space="0" w:color="auto"/>
                <w:right w:val="none" w:sz="0" w:space="0" w:color="auto"/>
              </w:divBdr>
            </w:div>
            <w:div w:id="1852375618">
              <w:marLeft w:val="0"/>
              <w:marRight w:val="0"/>
              <w:marTop w:val="0"/>
              <w:marBottom w:val="0"/>
              <w:divBdr>
                <w:top w:val="none" w:sz="0" w:space="0" w:color="auto"/>
                <w:left w:val="none" w:sz="0" w:space="0" w:color="auto"/>
                <w:bottom w:val="none" w:sz="0" w:space="0" w:color="auto"/>
                <w:right w:val="none" w:sz="0" w:space="0" w:color="auto"/>
              </w:divBdr>
            </w:div>
            <w:div w:id="2075590768">
              <w:marLeft w:val="0"/>
              <w:marRight w:val="0"/>
              <w:marTop w:val="0"/>
              <w:marBottom w:val="0"/>
              <w:divBdr>
                <w:top w:val="none" w:sz="0" w:space="0" w:color="auto"/>
                <w:left w:val="none" w:sz="0" w:space="0" w:color="auto"/>
                <w:bottom w:val="none" w:sz="0" w:space="0" w:color="auto"/>
                <w:right w:val="none" w:sz="0" w:space="0" w:color="auto"/>
              </w:divBdr>
            </w:div>
          </w:divsChild>
        </w:div>
        <w:div w:id="1021514242">
          <w:marLeft w:val="0"/>
          <w:marRight w:val="0"/>
          <w:marTop w:val="0"/>
          <w:marBottom w:val="0"/>
          <w:divBdr>
            <w:top w:val="none" w:sz="0" w:space="0" w:color="auto"/>
            <w:left w:val="none" w:sz="0" w:space="0" w:color="auto"/>
            <w:bottom w:val="none" w:sz="0" w:space="0" w:color="auto"/>
            <w:right w:val="none" w:sz="0" w:space="0" w:color="auto"/>
          </w:divBdr>
        </w:div>
        <w:div w:id="1093163929">
          <w:marLeft w:val="0"/>
          <w:marRight w:val="0"/>
          <w:marTop w:val="0"/>
          <w:marBottom w:val="0"/>
          <w:divBdr>
            <w:top w:val="none" w:sz="0" w:space="0" w:color="auto"/>
            <w:left w:val="none" w:sz="0" w:space="0" w:color="auto"/>
            <w:bottom w:val="none" w:sz="0" w:space="0" w:color="auto"/>
            <w:right w:val="none" w:sz="0" w:space="0" w:color="auto"/>
          </w:divBdr>
        </w:div>
        <w:div w:id="1196113253">
          <w:marLeft w:val="0"/>
          <w:marRight w:val="0"/>
          <w:marTop w:val="0"/>
          <w:marBottom w:val="0"/>
          <w:divBdr>
            <w:top w:val="none" w:sz="0" w:space="0" w:color="auto"/>
            <w:left w:val="none" w:sz="0" w:space="0" w:color="auto"/>
            <w:bottom w:val="none" w:sz="0" w:space="0" w:color="auto"/>
            <w:right w:val="none" w:sz="0" w:space="0" w:color="auto"/>
          </w:divBdr>
        </w:div>
        <w:div w:id="1415787409">
          <w:marLeft w:val="0"/>
          <w:marRight w:val="0"/>
          <w:marTop w:val="0"/>
          <w:marBottom w:val="0"/>
          <w:divBdr>
            <w:top w:val="none" w:sz="0" w:space="0" w:color="auto"/>
            <w:left w:val="none" w:sz="0" w:space="0" w:color="auto"/>
            <w:bottom w:val="none" w:sz="0" w:space="0" w:color="auto"/>
            <w:right w:val="none" w:sz="0" w:space="0" w:color="auto"/>
          </w:divBdr>
        </w:div>
        <w:div w:id="1429543295">
          <w:marLeft w:val="0"/>
          <w:marRight w:val="0"/>
          <w:marTop w:val="0"/>
          <w:marBottom w:val="0"/>
          <w:divBdr>
            <w:top w:val="none" w:sz="0" w:space="0" w:color="auto"/>
            <w:left w:val="none" w:sz="0" w:space="0" w:color="auto"/>
            <w:bottom w:val="none" w:sz="0" w:space="0" w:color="auto"/>
            <w:right w:val="none" w:sz="0" w:space="0" w:color="auto"/>
          </w:divBdr>
        </w:div>
        <w:div w:id="1496066431">
          <w:marLeft w:val="0"/>
          <w:marRight w:val="0"/>
          <w:marTop w:val="0"/>
          <w:marBottom w:val="0"/>
          <w:divBdr>
            <w:top w:val="none" w:sz="0" w:space="0" w:color="auto"/>
            <w:left w:val="none" w:sz="0" w:space="0" w:color="auto"/>
            <w:bottom w:val="none" w:sz="0" w:space="0" w:color="auto"/>
            <w:right w:val="none" w:sz="0" w:space="0" w:color="auto"/>
          </w:divBdr>
        </w:div>
        <w:div w:id="1504012471">
          <w:marLeft w:val="0"/>
          <w:marRight w:val="0"/>
          <w:marTop w:val="0"/>
          <w:marBottom w:val="0"/>
          <w:divBdr>
            <w:top w:val="none" w:sz="0" w:space="0" w:color="auto"/>
            <w:left w:val="none" w:sz="0" w:space="0" w:color="auto"/>
            <w:bottom w:val="none" w:sz="0" w:space="0" w:color="auto"/>
            <w:right w:val="none" w:sz="0" w:space="0" w:color="auto"/>
          </w:divBdr>
        </w:div>
        <w:div w:id="1512602948">
          <w:marLeft w:val="0"/>
          <w:marRight w:val="0"/>
          <w:marTop w:val="0"/>
          <w:marBottom w:val="0"/>
          <w:divBdr>
            <w:top w:val="none" w:sz="0" w:space="0" w:color="auto"/>
            <w:left w:val="none" w:sz="0" w:space="0" w:color="auto"/>
            <w:bottom w:val="none" w:sz="0" w:space="0" w:color="auto"/>
            <w:right w:val="none" w:sz="0" w:space="0" w:color="auto"/>
          </w:divBdr>
        </w:div>
        <w:div w:id="1515726056">
          <w:marLeft w:val="0"/>
          <w:marRight w:val="0"/>
          <w:marTop w:val="0"/>
          <w:marBottom w:val="0"/>
          <w:divBdr>
            <w:top w:val="none" w:sz="0" w:space="0" w:color="auto"/>
            <w:left w:val="none" w:sz="0" w:space="0" w:color="auto"/>
            <w:bottom w:val="none" w:sz="0" w:space="0" w:color="auto"/>
            <w:right w:val="none" w:sz="0" w:space="0" w:color="auto"/>
          </w:divBdr>
        </w:div>
        <w:div w:id="1638609952">
          <w:marLeft w:val="0"/>
          <w:marRight w:val="0"/>
          <w:marTop w:val="0"/>
          <w:marBottom w:val="0"/>
          <w:divBdr>
            <w:top w:val="none" w:sz="0" w:space="0" w:color="auto"/>
            <w:left w:val="none" w:sz="0" w:space="0" w:color="auto"/>
            <w:bottom w:val="none" w:sz="0" w:space="0" w:color="auto"/>
            <w:right w:val="none" w:sz="0" w:space="0" w:color="auto"/>
          </w:divBdr>
          <w:divsChild>
            <w:div w:id="53285193">
              <w:marLeft w:val="0"/>
              <w:marRight w:val="0"/>
              <w:marTop w:val="0"/>
              <w:marBottom w:val="0"/>
              <w:divBdr>
                <w:top w:val="none" w:sz="0" w:space="0" w:color="auto"/>
                <w:left w:val="none" w:sz="0" w:space="0" w:color="auto"/>
                <w:bottom w:val="none" w:sz="0" w:space="0" w:color="auto"/>
                <w:right w:val="none" w:sz="0" w:space="0" w:color="auto"/>
              </w:divBdr>
            </w:div>
            <w:div w:id="113061093">
              <w:marLeft w:val="0"/>
              <w:marRight w:val="0"/>
              <w:marTop w:val="0"/>
              <w:marBottom w:val="0"/>
              <w:divBdr>
                <w:top w:val="none" w:sz="0" w:space="0" w:color="auto"/>
                <w:left w:val="none" w:sz="0" w:space="0" w:color="auto"/>
                <w:bottom w:val="none" w:sz="0" w:space="0" w:color="auto"/>
                <w:right w:val="none" w:sz="0" w:space="0" w:color="auto"/>
              </w:divBdr>
            </w:div>
            <w:div w:id="161896178">
              <w:marLeft w:val="0"/>
              <w:marRight w:val="0"/>
              <w:marTop w:val="0"/>
              <w:marBottom w:val="0"/>
              <w:divBdr>
                <w:top w:val="none" w:sz="0" w:space="0" w:color="auto"/>
                <w:left w:val="none" w:sz="0" w:space="0" w:color="auto"/>
                <w:bottom w:val="none" w:sz="0" w:space="0" w:color="auto"/>
                <w:right w:val="none" w:sz="0" w:space="0" w:color="auto"/>
              </w:divBdr>
            </w:div>
            <w:div w:id="284820803">
              <w:marLeft w:val="0"/>
              <w:marRight w:val="0"/>
              <w:marTop w:val="0"/>
              <w:marBottom w:val="0"/>
              <w:divBdr>
                <w:top w:val="none" w:sz="0" w:space="0" w:color="auto"/>
                <w:left w:val="none" w:sz="0" w:space="0" w:color="auto"/>
                <w:bottom w:val="none" w:sz="0" w:space="0" w:color="auto"/>
                <w:right w:val="none" w:sz="0" w:space="0" w:color="auto"/>
              </w:divBdr>
            </w:div>
            <w:div w:id="494762347">
              <w:marLeft w:val="0"/>
              <w:marRight w:val="0"/>
              <w:marTop w:val="0"/>
              <w:marBottom w:val="0"/>
              <w:divBdr>
                <w:top w:val="none" w:sz="0" w:space="0" w:color="auto"/>
                <w:left w:val="none" w:sz="0" w:space="0" w:color="auto"/>
                <w:bottom w:val="none" w:sz="0" w:space="0" w:color="auto"/>
                <w:right w:val="none" w:sz="0" w:space="0" w:color="auto"/>
              </w:divBdr>
            </w:div>
            <w:div w:id="642468294">
              <w:marLeft w:val="0"/>
              <w:marRight w:val="0"/>
              <w:marTop w:val="0"/>
              <w:marBottom w:val="0"/>
              <w:divBdr>
                <w:top w:val="none" w:sz="0" w:space="0" w:color="auto"/>
                <w:left w:val="none" w:sz="0" w:space="0" w:color="auto"/>
                <w:bottom w:val="none" w:sz="0" w:space="0" w:color="auto"/>
                <w:right w:val="none" w:sz="0" w:space="0" w:color="auto"/>
              </w:divBdr>
            </w:div>
            <w:div w:id="664169054">
              <w:marLeft w:val="0"/>
              <w:marRight w:val="0"/>
              <w:marTop w:val="0"/>
              <w:marBottom w:val="0"/>
              <w:divBdr>
                <w:top w:val="none" w:sz="0" w:space="0" w:color="auto"/>
                <w:left w:val="none" w:sz="0" w:space="0" w:color="auto"/>
                <w:bottom w:val="none" w:sz="0" w:space="0" w:color="auto"/>
                <w:right w:val="none" w:sz="0" w:space="0" w:color="auto"/>
              </w:divBdr>
            </w:div>
            <w:div w:id="676888260">
              <w:marLeft w:val="0"/>
              <w:marRight w:val="0"/>
              <w:marTop w:val="0"/>
              <w:marBottom w:val="0"/>
              <w:divBdr>
                <w:top w:val="none" w:sz="0" w:space="0" w:color="auto"/>
                <w:left w:val="none" w:sz="0" w:space="0" w:color="auto"/>
                <w:bottom w:val="none" w:sz="0" w:space="0" w:color="auto"/>
                <w:right w:val="none" w:sz="0" w:space="0" w:color="auto"/>
              </w:divBdr>
            </w:div>
            <w:div w:id="944726440">
              <w:marLeft w:val="0"/>
              <w:marRight w:val="0"/>
              <w:marTop w:val="0"/>
              <w:marBottom w:val="0"/>
              <w:divBdr>
                <w:top w:val="none" w:sz="0" w:space="0" w:color="auto"/>
                <w:left w:val="none" w:sz="0" w:space="0" w:color="auto"/>
                <w:bottom w:val="none" w:sz="0" w:space="0" w:color="auto"/>
                <w:right w:val="none" w:sz="0" w:space="0" w:color="auto"/>
              </w:divBdr>
            </w:div>
            <w:div w:id="1220896948">
              <w:marLeft w:val="0"/>
              <w:marRight w:val="0"/>
              <w:marTop w:val="0"/>
              <w:marBottom w:val="0"/>
              <w:divBdr>
                <w:top w:val="none" w:sz="0" w:space="0" w:color="auto"/>
                <w:left w:val="none" w:sz="0" w:space="0" w:color="auto"/>
                <w:bottom w:val="none" w:sz="0" w:space="0" w:color="auto"/>
                <w:right w:val="none" w:sz="0" w:space="0" w:color="auto"/>
              </w:divBdr>
            </w:div>
            <w:div w:id="1281376999">
              <w:marLeft w:val="0"/>
              <w:marRight w:val="0"/>
              <w:marTop w:val="0"/>
              <w:marBottom w:val="0"/>
              <w:divBdr>
                <w:top w:val="none" w:sz="0" w:space="0" w:color="auto"/>
                <w:left w:val="none" w:sz="0" w:space="0" w:color="auto"/>
                <w:bottom w:val="none" w:sz="0" w:space="0" w:color="auto"/>
                <w:right w:val="none" w:sz="0" w:space="0" w:color="auto"/>
              </w:divBdr>
            </w:div>
            <w:div w:id="1469399068">
              <w:marLeft w:val="0"/>
              <w:marRight w:val="0"/>
              <w:marTop w:val="0"/>
              <w:marBottom w:val="0"/>
              <w:divBdr>
                <w:top w:val="none" w:sz="0" w:space="0" w:color="auto"/>
                <w:left w:val="none" w:sz="0" w:space="0" w:color="auto"/>
                <w:bottom w:val="none" w:sz="0" w:space="0" w:color="auto"/>
                <w:right w:val="none" w:sz="0" w:space="0" w:color="auto"/>
              </w:divBdr>
            </w:div>
            <w:div w:id="1508717586">
              <w:marLeft w:val="0"/>
              <w:marRight w:val="0"/>
              <w:marTop w:val="0"/>
              <w:marBottom w:val="0"/>
              <w:divBdr>
                <w:top w:val="none" w:sz="0" w:space="0" w:color="auto"/>
                <w:left w:val="none" w:sz="0" w:space="0" w:color="auto"/>
                <w:bottom w:val="none" w:sz="0" w:space="0" w:color="auto"/>
                <w:right w:val="none" w:sz="0" w:space="0" w:color="auto"/>
              </w:divBdr>
            </w:div>
            <w:div w:id="1511795005">
              <w:marLeft w:val="0"/>
              <w:marRight w:val="0"/>
              <w:marTop w:val="0"/>
              <w:marBottom w:val="0"/>
              <w:divBdr>
                <w:top w:val="none" w:sz="0" w:space="0" w:color="auto"/>
                <w:left w:val="none" w:sz="0" w:space="0" w:color="auto"/>
                <w:bottom w:val="none" w:sz="0" w:space="0" w:color="auto"/>
                <w:right w:val="none" w:sz="0" w:space="0" w:color="auto"/>
              </w:divBdr>
            </w:div>
            <w:div w:id="1515728600">
              <w:marLeft w:val="0"/>
              <w:marRight w:val="0"/>
              <w:marTop w:val="0"/>
              <w:marBottom w:val="0"/>
              <w:divBdr>
                <w:top w:val="none" w:sz="0" w:space="0" w:color="auto"/>
                <w:left w:val="none" w:sz="0" w:space="0" w:color="auto"/>
                <w:bottom w:val="none" w:sz="0" w:space="0" w:color="auto"/>
                <w:right w:val="none" w:sz="0" w:space="0" w:color="auto"/>
              </w:divBdr>
            </w:div>
            <w:div w:id="1666204421">
              <w:marLeft w:val="0"/>
              <w:marRight w:val="0"/>
              <w:marTop w:val="0"/>
              <w:marBottom w:val="0"/>
              <w:divBdr>
                <w:top w:val="none" w:sz="0" w:space="0" w:color="auto"/>
                <w:left w:val="none" w:sz="0" w:space="0" w:color="auto"/>
                <w:bottom w:val="none" w:sz="0" w:space="0" w:color="auto"/>
                <w:right w:val="none" w:sz="0" w:space="0" w:color="auto"/>
              </w:divBdr>
            </w:div>
            <w:div w:id="1772583714">
              <w:marLeft w:val="0"/>
              <w:marRight w:val="0"/>
              <w:marTop w:val="0"/>
              <w:marBottom w:val="0"/>
              <w:divBdr>
                <w:top w:val="none" w:sz="0" w:space="0" w:color="auto"/>
                <w:left w:val="none" w:sz="0" w:space="0" w:color="auto"/>
                <w:bottom w:val="none" w:sz="0" w:space="0" w:color="auto"/>
                <w:right w:val="none" w:sz="0" w:space="0" w:color="auto"/>
              </w:divBdr>
            </w:div>
            <w:div w:id="1790933643">
              <w:marLeft w:val="0"/>
              <w:marRight w:val="0"/>
              <w:marTop w:val="0"/>
              <w:marBottom w:val="0"/>
              <w:divBdr>
                <w:top w:val="none" w:sz="0" w:space="0" w:color="auto"/>
                <w:left w:val="none" w:sz="0" w:space="0" w:color="auto"/>
                <w:bottom w:val="none" w:sz="0" w:space="0" w:color="auto"/>
                <w:right w:val="none" w:sz="0" w:space="0" w:color="auto"/>
              </w:divBdr>
            </w:div>
            <w:div w:id="1862278581">
              <w:marLeft w:val="0"/>
              <w:marRight w:val="0"/>
              <w:marTop w:val="0"/>
              <w:marBottom w:val="0"/>
              <w:divBdr>
                <w:top w:val="none" w:sz="0" w:space="0" w:color="auto"/>
                <w:left w:val="none" w:sz="0" w:space="0" w:color="auto"/>
                <w:bottom w:val="none" w:sz="0" w:space="0" w:color="auto"/>
                <w:right w:val="none" w:sz="0" w:space="0" w:color="auto"/>
              </w:divBdr>
            </w:div>
            <w:div w:id="1876690847">
              <w:marLeft w:val="0"/>
              <w:marRight w:val="0"/>
              <w:marTop w:val="0"/>
              <w:marBottom w:val="0"/>
              <w:divBdr>
                <w:top w:val="none" w:sz="0" w:space="0" w:color="auto"/>
                <w:left w:val="none" w:sz="0" w:space="0" w:color="auto"/>
                <w:bottom w:val="none" w:sz="0" w:space="0" w:color="auto"/>
                <w:right w:val="none" w:sz="0" w:space="0" w:color="auto"/>
              </w:divBdr>
            </w:div>
          </w:divsChild>
        </w:div>
        <w:div w:id="1811096871">
          <w:marLeft w:val="0"/>
          <w:marRight w:val="0"/>
          <w:marTop w:val="0"/>
          <w:marBottom w:val="0"/>
          <w:divBdr>
            <w:top w:val="none" w:sz="0" w:space="0" w:color="auto"/>
            <w:left w:val="none" w:sz="0" w:space="0" w:color="auto"/>
            <w:bottom w:val="none" w:sz="0" w:space="0" w:color="auto"/>
            <w:right w:val="none" w:sz="0" w:space="0" w:color="auto"/>
          </w:divBdr>
        </w:div>
        <w:div w:id="1823810117">
          <w:marLeft w:val="0"/>
          <w:marRight w:val="0"/>
          <w:marTop w:val="0"/>
          <w:marBottom w:val="0"/>
          <w:divBdr>
            <w:top w:val="none" w:sz="0" w:space="0" w:color="auto"/>
            <w:left w:val="none" w:sz="0" w:space="0" w:color="auto"/>
            <w:bottom w:val="none" w:sz="0" w:space="0" w:color="auto"/>
            <w:right w:val="none" w:sz="0" w:space="0" w:color="auto"/>
          </w:divBdr>
        </w:div>
        <w:div w:id="1878810669">
          <w:marLeft w:val="0"/>
          <w:marRight w:val="0"/>
          <w:marTop w:val="0"/>
          <w:marBottom w:val="0"/>
          <w:divBdr>
            <w:top w:val="none" w:sz="0" w:space="0" w:color="auto"/>
            <w:left w:val="none" w:sz="0" w:space="0" w:color="auto"/>
            <w:bottom w:val="none" w:sz="0" w:space="0" w:color="auto"/>
            <w:right w:val="none" w:sz="0" w:space="0" w:color="auto"/>
          </w:divBdr>
        </w:div>
        <w:div w:id="2021396415">
          <w:marLeft w:val="0"/>
          <w:marRight w:val="0"/>
          <w:marTop w:val="0"/>
          <w:marBottom w:val="0"/>
          <w:divBdr>
            <w:top w:val="none" w:sz="0" w:space="0" w:color="auto"/>
            <w:left w:val="none" w:sz="0" w:space="0" w:color="auto"/>
            <w:bottom w:val="none" w:sz="0" w:space="0" w:color="auto"/>
            <w:right w:val="none" w:sz="0" w:space="0" w:color="auto"/>
          </w:divBdr>
        </w:div>
        <w:div w:id="2060548766">
          <w:marLeft w:val="0"/>
          <w:marRight w:val="0"/>
          <w:marTop w:val="0"/>
          <w:marBottom w:val="0"/>
          <w:divBdr>
            <w:top w:val="none" w:sz="0" w:space="0" w:color="auto"/>
            <w:left w:val="none" w:sz="0" w:space="0" w:color="auto"/>
            <w:bottom w:val="none" w:sz="0" w:space="0" w:color="auto"/>
            <w:right w:val="none" w:sz="0" w:space="0" w:color="auto"/>
          </w:divBdr>
        </w:div>
      </w:divsChild>
    </w:div>
    <w:div w:id="1302812277">
      <w:bodyDiv w:val="1"/>
      <w:marLeft w:val="0"/>
      <w:marRight w:val="0"/>
      <w:marTop w:val="0"/>
      <w:marBottom w:val="0"/>
      <w:divBdr>
        <w:top w:val="none" w:sz="0" w:space="0" w:color="auto"/>
        <w:left w:val="none" w:sz="0" w:space="0" w:color="auto"/>
        <w:bottom w:val="none" w:sz="0" w:space="0" w:color="auto"/>
        <w:right w:val="none" w:sz="0" w:space="0" w:color="auto"/>
      </w:divBdr>
      <w:divsChild>
        <w:div w:id="309748975">
          <w:marLeft w:val="0"/>
          <w:marRight w:val="0"/>
          <w:marTop w:val="0"/>
          <w:marBottom w:val="0"/>
          <w:divBdr>
            <w:top w:val="none" w:sz="0" w:space="0" w:color="auto"/>
            <w:left w:val="none" w:sz="0" w:space="0" w:color="auto"/>
            <w:bottom w:val="none" w:sz="0" w:space="0" w:color="auto"/>
            <w:right w:val="none" w:sz="0" w:space="0" w:color="auto"/>
          </w:divBdr>
          <w:divsChild>
            <w:div w:id="380717411">
              <w:marLeft w:val="0"/>
              <w:marRight w:val="0"/>
              <w:marTop w:val="0"/>
              <w:marBottom w:val="0"/>
              <w:divBdr>
                <w:top w:val="none" w:sz="0" w:space="0" w:color="auto"/>
                <w:left w:val="none" w:sz="0" w:space="0" w:color="auto"/>
                <w:bottom w:val="none" w:sz="0" w:space="0" w:color="auto"/>
                <w:right w:val="none" w:sz="0" w:space="0" w:color="auto"/>
              </w:divBdr>
            </w:div>
            <w:div w:id="605306105">
              <w:marLeft w:val="0"/>
              <w:marRight w:val="0"/>
              <w:marTop w:val="0"/>
              <w:marBottom w:val="0"/>
              <w:divBdr>
                <w:top w:val="none" w:sz="0" w:space="0" w:color="auto"/>
                <w:left w:val="none" w:sz="0" w:space="0" w:color="auto"/>
                <w:bottom w:val="none" w:sz="0" w:space="0" w:color="auto"/>
                <w:right w:val="none" w:sz="0" w:space="0" w:color="auto"/>
              </w:divBdr>
            </w:div>
            <w:div w:id="607087215">
              <w:marLeft w:val="0"/>
              <w:marRight w:val="0"/>
              <w:marTop w:val="0"/>
              <w:marBottom w:val="0"/>
              <w:divBdr>
                <w:top w:val="none" w:sz="0" w:space="0" w:color="auto"/>
                <w:left w:val="none" w:sz="0" w:space="0" w:color="auto"/>
                <w:bottom w:val="none" w:sz="0" w:space="0" w:color="auto"/>
                <w:right w:val="none" w:sz="0" w:space="0" w:color="auto"/>
              </w:divBdr>
            </w:div>
            <w:div w:id="1114639458">
              <w:marLeft w:val="0"/>
              <w:marRight w:val="0"/>
              <w:marTop w:val="0"/>
              <w:marBottom w:val="0"/>
              <w:divBdr>
                <w:top w:val="none" w:sz="0" w:space="0" w:color="auto"/>
                <w:left w:val="none" w:sz="0" w:space="0" w:color="auto"/>
                <w:bottom w:val="none" w:sz="0" w:space="0" w:color="auto"/>
                <w:right w:val="none" w:sz="0" w:space="0" w:color="auto"/>
              </w:divBdr>
            </w:div>
            <w:div w:id="1202547483">
              <w:marLeft w:val="0"/>
              <w:marRight w:val="0"/>
              <w:marTop w:val="0"/>
              <w:marBottom w:val="0"/>
              <w:divBdr>
                <w:top w:val="none" w:sz="0" w:space="0" w:color="auto"/>
                <w:left w:val="none" w:sz="0" w:space="0" w:color="auto"/>
                <w:bottom w:val="none" w:sz="0" w:space="0" w:color="auto"/>
                <w:right w:val="none" w:sz="0" w:space="0" w:color="auto"/>
              </w:divBdr>
            </w:div>
            <w:div w:id="1809737271">
              <w:marLeft w:val="0"/>
              <w:marRight w:val="0"/>
              <w:marTop w:val="0"/>
              <w:marBottom w:val="0"/>
              <w:divBdr>
                <w:top w:val="none" w:sz="0" w:space="0" w:color="auto"/>
                <w:left w:val="none" w:sz="0" w:space="0" w:color="auto"/>
                <w:bottom w:val="none" w:sz="0" w:space="0" w:color="auto"/>
                <w:right w:val="none" w:sz="0" w:space="0" w:color="auto"/>
              </w:divBdr>
            </w:div>
            <w:div w:id="1839349479">
              <w:marLeft w:val="0"/>
              <w:marRight w:val="0"/>
              <w:marTop w:val="0"/>
              <w:marBottom w:val="0"/>
              <w:divBdr>
                <w:top w:val="none" w:sz="0" w:space="0" w:color="auto"/>
                <w:left w:val="none" w:sz="0" w:space="0" w:color="auto"/>
                <w:bottom w:val="none" w:sz="0" w:space="0" w:color="auto"/>
                <w:right w:val="none" w:sz="0" w:space="0" w:color="auto"/>
              </w:divBdr>
            </w:div>
            <w:div w:id="1988169813">
              <w:marLeft w:val="0"/>
              <w:marRight w:val="0"/>
              <w:marTop w:val="0"/>
              <w:marBottom w:val="0"/>
              <w:divBdr>
                <w:top w:val="none" w:sz="0" w:space="0" w:color="auto"/>
                <w:left w:val="none" w:sz="0" w:space="0" w:color="auto"/>
                <w:bottom w:val="none" w:sz="0" w:space="0" w:color="auto"/>
                <w:right w:val="none" w:sz="0" w:space="0" w:color="auto"/>
              </w:divBdr>
            </w:div>
            <w:div w:id="2009206155">
              <w:marLeft w:val="0"/>
              <w:marRight w:val="0"/>
              <w:marTop w:val="0"/>
              <w:marBottom w:val="0"/>
              <w:divBdr>
                <w:top w:val="none" w:sz="0" w:space="0" w:color="auto"/>
                <w:left w:val="none" w:sz="0" w:space="0" w:color="auto"/>
                <w:bottom w:val="none" w:sz="0" w:space="0" w:color="auto"/>
                <w:right w:val="none" w:sz="0" w:space="0" w:color="auto"/>
              </w:divBdr>
            </w:div>
            <w:div w:id="2069067308">
              <w:marLeft w:val="0"/>
              <w:marRight w:val="0"/>
              <w:marTop w:val="0"/>
              <w:marBottom w:val="0"/>
              <w:divBdr>
                <w:top w:val="none" w:sz="0" w:space="0" w:color="auto"/>
                <w:left w:val="none" w:sz="0" w:space="0" w:color="auto"/>
                <w:bottom w:val="none" w:sz="0" w:space="0" w:color="auto"/>
                <w:right w:val="none" w:sz="0" w:space="0" w:color="auto"/>
              </w:divBdr>
            </w:div>
          </w:divsChild>
        </w:div>
        <w:div w:id="377167739">
          <w:marLeft w:val="0"/>
          <w:marRight w:val="0"/>
          <w:marTop w:val="0"/>
          <w:marBottom w:val="0"/>
          <w:divBdr>
            <w:top w:val="none" w:sz="0" w:space="0" w:color="auto"/>
            <w:left w:val="none" w:sz="0" w:space="0" w:color="auto"/>
            <w:bottom w:val="none" w:sz="0" w:space="0" w:color="auto"/>
            <w:right w:val="none" w:sz="0" w:space="0" w:color="auto"/>
          </w:divBdr>
        </w:div>
        <w:div w:id="457646205">
          <w:marLeft w:val="0"/>
          <w:marRight w:val="0"/>
          <w:marTop w:val="0"/>
          <w:marBottom w:val="0"/>
          <w:divBdr>
            <w:top w:val="none" w:sz="0" w:space="0" w:color="auto"/>
            <w:left w:val="none" w:sz="0" w:space="0" w:color="auto"/>
            <w:bottom w:val="none" w:sz="0" w:space="0" w:color="auto"/>
            <w:right w:val="none" w:sz="0" w:space="0" w:color="auto"/>
          </w:divBdr>
          <w:divsChild>
            <w:div w:id="1867014178">
              <w:marLeft w:val="-75"/>
              <w:marRight w:val="0"/>
              <w:marTop w:val="30"/>
              <w:marBottom w:val="30"/>
              <w:divBdr>
                <w:top w:val="none" w:sz="0" w:space="0" w:color="auto"/>
                <w:left w:val="none" w:sz="0" w:space="0" w:color="auto"/>
                <w:bottom w:val="none" w:sz="0" w:space="0" w:color="auto"/>
                <w:right w:val="none" w:sz="0" w:space="0" w:color="auto"/>
              </w:divBdr>
              <w:divsChild>
                <w:div w:id="5179163">
                  <w:marLeft w:val="0"/>
                  <w:marRight w:val="0"/>
                  <w:marTop w:val="0"/>
                  <w:marBottom w:val="0"/>
                  <w:divBdr>
                    <w:top w:val="none" w:sz="0" w:space="0" w:color="auto"/>
                    <w:left w:val="none" w:sz="0" w:space="0" w:color="auto"/>
                    <w:bottom w:val="none" w:sz="0" w:space="0" w:color="auto"/>
                    <w:right w:val="none" w:sz="0" w:space="0" w:color="auto"/>
                  </w:divBdr>
                  <w:divsChild>
                    <w:div w:id="867840207">
                      <w:marLeft w:val="0"/>
                      <w:marRight w:val="0"/>
                      <w:marTop w:val="0"/>
                      <w:marBottom w:val="0"/>
                      <w:divBdr>
                        <w:top w:val="none" w:sz="0" w:space="0" w:color="auto"/>
                        <w:left w:val="none" w:sz="0" w:space="0" w:color="auto"/>
                        <w:bottom w:val="none" w:sz="0" w:space="0" w:color="auto"/>
                        <w:right w:val="none" w:sz="0" w:space="0" w:color="auto"/>
                      </w:divBdr>
                    </w:div>
                  </w:divsChild>
                </w:div>
                <w:div w:id="25913693">
                  <w:marLeft w:val="0"/>
                  <w:marRight w:val="0"/>
                  <w:marTop w:val="0"/>
                  <w:marBottom w:val="0"/>
                  <w:divBdr>
                    <w:top w:val="none" w:sz="0" w:space="0" w:color="auto"/>
                    <w:left w:val="none" w:sz="0" w:space="0" w:color="auto"/>
                    <w:bottom w:val="none" w:sz="0" w:space="0" w:color="auto"/>
                    <w:right w:val="none" w:sz="0" w:space="0" w:color="auto"/>
                  </w:divBdr>
                  <w:divsChild>
                    <w:div w:id="786656964">
                      <w:marLeft w:val="0"/>
                      <w:marRight w:val="0"/>
                      <w:marTop w:val="0"/>
                      <w:marBottom w:val="0"/>
                      <w:divBdr>
                        <w:top w:val="none" w:sz="0" w:space="0" w:color="auto"/>
                        <w:left w:val="none" w:sz="0" w:space="0" w:color="auto"/>
                        <w:bottom w:val="none" w:sz="0" w:space="0" w:color="auto"/>
                        <w:right w:val="none" w:sz="0" w:space="0" w:color="auto"/>
                      </w:divBdr>
                    </w:div>
                  </w:divsChild>
                </w:div>
                <w:div w:id="126095437">
                  <w:marLeft w:val="0"/>
                  <w:marRight w:val="0"/>
                  <w:marTop w:val="0"/>
                  <w:marBottom w:val="0"/>
                  <w:divBdr>
                    <w:top w:val="none" w:sz="0" w:space="0" w:color="auto"/>
                    <w:left w:val="none" w:sz="0" w:space="0" w:color="auto"/>
                    <w:bottom w:val="none" w:sz="0" w:space="0" w:color="auto"/>
                    <w:right w:val="none" w:sz="0" w:space="0" w:color="auto"/>
                  </w:divBdr>
                  <w:divsChild>
                    <w:div w:id="2019035050">
                      <w:marLeft w:val="0"/>
                      <w:marRight w:val="0"/>
                      <w:marTop w:val="0"/>
                      <w:marBottom w:val="0"/>
                      <w:divBdr>
                        <w:top w:val="none" w:sz="0" w:space="0" w:color="auto"/>
                        <w:left w:val="none" w:sz="0" w:space="0" w:color="auto"/>
                        <w:bottom w:val="none" w:sz="0" w:space="0" w:color="auto"/>
                        <w:right w:val="none" w:sz="0" w:space="0" w:color="auto"/>
                      </w:divBdr>
                    </w:div>
                  </w:divsChild>
                </w:div>
                <w:div w:id="159128789">
                  <w:marLeft w:val="0"/>
                  <w:marRight w:val="0"/>
                  <w:marTop w:val="0"/>
                  <w:marBottom w:val="0"/>
                  <w:divBdr>
                    <w:top w:val="none" w:sz="0" w:space="0" w:color="auto"/>
                    <w:left w:val="none" w:sz="0" w:space="0" w:color="auto"/>
                    <w:bottom w:val="none" w:sz="0" w:space="0" w:color="auto"/>
                    <w:right w:val="none" w:sz="0" w:space="0" w:color="auto"/>
                  </w:divBdr>
                  <w:divsChild>
                    <w:div w:id="1299608331">
                      <w:marLeft w:val="0"/>
                      <w:marRight w:val="0"/>
                      <w:marTop w:val="0"/>
                      <w:marBottom w:val="0"/>
                      <w:divBdr>
                        <w:top w:val="none" w:sz="0" w:space="0" w:color="auto"/>
                        <w:left w:val="none" w:sz="0" w:space="0" w:color="auto"/>
                        <w:bottom w:val="none" w:sz="0" w:space="0" w:color="auto"/>
                        <w:right w:val="none" w:sz="0" w:space="0" w:color="auto"/>
                      </w:divBdr>
                    </w:div>
                  </w:divsChild>
                </w:div>
                <w:div w:id="181090646">
                  <w:marLeft w:val="0"/>
                  <w:marRight w:val="0"/>
                  <w:marTop w:val="0"/>
                  <w:marBottom w:val="0"/>
                  <w:divBdr>
                    <w:top w:val="none" w:sz="0" w:space="0" w:color="auto"/>
                    <w:left w:val="none" w:sz="0" w:space="0" w:color="auto"/>
                    <w:bottom w:val="none" w:sz="0" w:space="0" w:color="auto"/>
                    <w:right w:val="none" w:sz="0" w:space="0" w:color="auto"/>
                  </w:divBdr>
                  <w:divsChild>
                    <w:div w:id="1043554244">
                      <w:marLeft w:val="0"/>
                      <w:marRight w:val="0"/>
                      <w:marTop w:val="0"/>
                      <w:marBottom w:val="0"/>
                      <w:divBdr>
                        <w:top w:val="none" w:sz="0" w:space="0" w:color="auto"/>
                        <w:left w:val="none" w:sz="0" w:space="0" w:color="auto"/>
                        <w:bottom w:val="none" w:sz="0" w:space="0" w:color="auto"/>
                        <w:right w:val="none" w:sz="0" w:space="0" w:color="auto"/>
                      </w:divBdr>
                    </w:div>
                  </w:divsChild>
                </w:div>
                <w:div w:id="196041198">
                  <w:marLeft w:val="0"/>
                  <w:marRight w:val="0"/>
                  <w:marTop w:val="0"/>
                  <w:marBottom w:val="0"/>
                  <w:divBdr>
                    <w:top w:val="none" w:sz="0" w:space="0" w:color="auto"/>
                    <w:left w:val="none" w:sz="0" w:space="0" w:color="auto"/>
                    <w:bottom w:val="none" w:sz="0" w:space="0" w:color="auto"/>
                    <w:right w:val="none" w:sz="0" w:space="0" w:color="auto"/>
                  </w:divBdr>
                  <w:divsChild>
                    <w:div w:id="1848865877">
                      <w:marLeft w:val="0"/>
                      <w:marRight w:val="0"/>
                      <w:marTop w:val="0"/>
                      <w:marBottom w:val="0"/>
                      <w:divBdr>
                        <w:top w:val="none" w:sz="0" w:space="0" w:color="auto"/>
                        <w:left w:val="none" w:sz="0" w:space="0" w:color="auto"/>
                        <w:bottom w:val="none" w:sz="0" w:space="0" w:color="auto"/>
                        <w:right w:val="none" w:sz="0" w:space="0" w:color="auto"/>
                      </w:divBdr>
                    </w:div>
                  </w:divsChild>
                </w:div>
                <w:div w:id="228420082">
                  <w:marLeft w:val="0"/>
                  <w:marRight w:val="0"/>
                  <w:marTop w:val="0"/>
                  <w:marBottom w:val="0"/>
                  <w:divBdr>
                    <w:top w:val="none" w:sz="0" w:space="0" w:color="auto"/>
                    <w:left w:val="none" w:sz="0" w:space="0" w:color="auto"/>
                    <w:bottom w:val="none" w:sz="0" w:space="0" w:color="auto"/>
                    <w:right w:val="none" w:sz="0" w:space="0" w:color="auto"/>
                  </w:divBdr>
                  <w:divsChild>
                    <w:div w:id="1226335189">
                      <w:marLeft w:val="0"/>
                      <w:marRight w:val="0"/>
                      <w:marTop w:val="0"/>
                      <w:marBottom w:val="0"/>
                      <w:divBdr>
                        <w:top w:val="none" w:sz="0" w:space="0" w:color="auto"/>
                        <w:left w:val="none" w:sz="0" w:space="0" w:color="auto"/>
                        <w:bottom w:val="none" w:sz="0" w:space="0" w:color="auto"/>
                        <w:right w:val="none" w:sz="0" w:space="0" w:color="auto"/>
                      </w:divBdr>
                    </w:div>
                  </w:divsChild>
                </w:div>
                <w:div w:id="371731663">
                  <w:marLeft w:val="0"/>
                  <w:marRight w:val="0"/>
                  <w:marTop w:val="0"/>
                  <w:marBottom w:val="0"/>
                  <w:divBdr>
                    <w:top w:val="none" w:sz="0" w:space="0" w:color="auto"/>
                    <w:left w:val="none" w:sz="0" w:space="0" w:color="auto"/>
                    <w:bottom w:val="none" w:sz="0" w:space="0" w:color="auto"/>
                    <w:right w:val="none" w:sz="0" w:space="0" w:color="auto"/>
                  </w:divBdr>
                  <w:divsChild>
                    <w:div w:id="1856267965">
                      <w:marLeft w:val="0"/>
                      <w:marRight w:val="0"/>
                      <w:marTop w:val="0"/>
                      <w:marBottom w:val="0"/>
                      <w:divBdr>
                        <w:top w:val="none" w:sz="0" w:space="0" w:color="auto"/>
                        <w:left w:val="none" w:sz="0" w:space="0" w:color="auto"/>
                        <w:bottom w:val="none" w:sz="0" w:space="0" w:color="auto"/>
                        <w:right w:val="none" w:sz="0" w:space="0" w:color="auto"/>
                      </w:divBdr>
                    </w:div>
                  </w:divsChild>
                </w:div>
                <w:div w:id="613754170">
                  <w:marLeft w:val="0"/>
                  <w:marRight w:val="0"/>
                  <w:marTop w:val="0"/>
                  <w:marBottom w:val="0"/>
                  <w:divBdr>
                    <w:top w:val="none" w:sz="0" w:space="0" w:color="auto"/>
                    <w:left w:val="none" w:sz="0" w:space="0" w:color="auto"/>
                    <w:bottom w:val="none" w:sz="0" w:space="0" w:color="auto"/>
                    <w:right w:val="none" w:sz="0" w:space="0" w:color="auto"/>
                  </w:divBdr>
                  <w:divsChild>
                    <w:div w:id="1419595005">
                      <w:marLeft w:val="0"/>
                      <w:marRight w:val="0"/>
                      <w:marTop w:val="0"/>
                      <w:marBottom w:val="0"/>
                      <w:divBdr>
                        <w:top w:val="none" w:sz="0" w:space="0" w:color="auto"/>
                        <w:left w:val="none" w:sz="0" w:space="0" w:color="auto"/>
                        <w:bottom w:val="none" w:sz="0" w:space="0" w:color="auto"/>
                        <w:right w:val="none" w:sz="0" w:space="0" w:color="auto"/>
                      </w:divBdr>
                    </w:div>
                  </w:divsChild>
                </w:div>
                <w:div w:id="776877291">
                  <w:marLeft w:val="0"/>
                  <w:marRight w:val="0"/>
                  <w:marTop w:val="0"/>
                  <w:marBottom w:val="0"/>
                  <w:divBdr>
                    <w:top w:val="none" w:sz="0" w:space="0" w:color="auto"/>
                    <w:left w:val="none" w:sz="0" w:space="0" w:color="auto"/>
                    <w:bottom w:val="none" w:sz="0" w:space="0" w:color="auto"/>
                    <w:right w:val="none" w:sz="0" w:space="0" w:color="auto"/>
                  </w:divBdr>
                  <w:divsChild>
                    <w:div w:id="78334245">
                      <w:marLeft w:val="0"/>
                      <w:marRight w:val="0"/>
                      <w:marTop w:val="0"/>
                      <w:marBottom w:val="0"/>
                      <w:divBdr>
                        <w:top w:val="none" w:sz="0" w:space="0" w:color="auto"/>
                        <w:left w:val="none" w:sz="0" w:space="0" w:color="auto"/>
                        <w:bottom w:val="none" w:sz="0" w:space="0" w:color="auto"/>
                        <w:right w:val="none" w:sz="0" w:space="0" w:color="auto"/>
                      </w:divBdr>
                    </w:div>
                  </w:divsChild>
                </w:div>
                <w:div w:id="836502478">
                  <w:marLeft w:val="0"/>
                  <w:marRight w:val="0"/>
                  <w:marTop w:val="0"/>
                  <w:marBottom w:val="0"/>
                  <w:divBdr>
                    <w:top w:val="none" w:sz="0" w:space="0" w:color="auto"/>
                    <w:left w:val="none" w:sz="0" w:space="0" w:color="auto"/>
                    <w:bottom w:val="none" w:sz="0" w:space="0" w:color="auto"/>
                    <w:right w:val="none" w:sz="0" w:space="0" w:color="auto"/>
                  </w:divBdr>
                  <w:divsChild>
                    <w:div w:id="1797530257">
                      <w:marLeft w:val="0"/>
                      <w:marRight w:val="0"/>
                      <w:marTop w:val="0"/>
                      <w:marBottom w:val="0"/>
                      <w:divBdr>
                        <w:top w:val="none" w:sz="0" w:space="0" w:color="auto"/>
                        <w:left w:val="none" w:sz="0" w:space="0" w:color="auto"/>
                        <w:bottom w:val="none" w:sz="0" w:space="0" w:color="auto"/>
                        <w:right w:val="none" w:sz="0" w:space="0" w:color="auto"/>
                      </w:divBdr>
                    </w:div>
                  </w:divsChild>
                </w:div>
                <w:div w:id="862134520">
                  <w:marLeft w:val="0"/>
                  <w:marRight w:val="0"/>
                  <w:marTop w:val="0"/>
                  <w:marBottom w:val="0"/>
                  <w:divBdr>
                    <w:top w:val="none" w:sz="0" w:space="0" w:color="auto"/>
                    <w:left w:val="none" w:sz="0" w:space="0" w:color="auto"/>
                    <w:bottom w:val="none" w:sz="0" w:space="0" w:color="auto"/>
                    <w:right w:val="none" w:sz="0" w:space="0" w:color="auto"/>
                  </w:divBdr>
                  <w:divsChild>
                    <w:div w:id="261304885">
                      <w:marLeft w:val="0"/>
                      <w:marRight w:val="0"/>
                      <w:marTop w:val="0"/>
                      <w:marBottom w:val="0"/>
                      <w:divBdr>
                        <w:top w:val="none" w:sz="0" w:space="0" w:color="auto"/>
                        <w:left w:val="none" w:sz="0" w:space="0" w:color="auto"/>
                        <w:bottom w:val="none" w:sz="0" w:space="0" w:color="auto"/>
                        <w:right w:val="none" w:sz="0" w:space="0" w:color="auto"/>
                      </w:divBdr>
                    </w:div>
                  </w:divsChild>
                </w:div>
                <w:div w:id="1007443445">
                  <w:marLeft w:val="0"/>
                  <w:marRight w:val="0"/>
                  <w:marTop w:val="0"/>
                  <w:marBottom w:val="0"/>
                  <w:divBdr>
                    <w:top w:val="none" w:sz="0" w:space="0" w:color="auto"/>
                    <w:left w:val="none" w:sz="0" w:space="0" w:color="auto"/>
                    <w:bottom w:val="none" w:sz="0" w:space="0" w:color="auto"/>
                    <w:right w:val="none" w:sz="0" w:space="0" w:color="auto"/>
                  </w:divBdr>
                  <w:divsChild>
                    <w:div w:id="2051105607">
                      <w:marLeft w:val="0"/>
                      <w:marRight w:val="0"/>
                      <w:marTop w:val="0"/>
                      <w:marBottom w:val="0"/>
                      <w:divBdr>
                        <w:top w:val="none" w:sz="0" w:space="0" w:color="auto"/>
                        <w:left w:val="none" w:sz="0" w:space="0" w:color="auto"/>
                        <w:bottom w:val="none" w:sz="0" w:space="0" w:color="auto"/>
                        <w:right w:val="none" w:sz="0" w:space="0" w:color="auto"/>
                      </w:divBdr>
                    </w:div>
                  </w:divsChild>
                </w:div>
                <w:div w:id="1015964327">
                  <w:marLeft w:val="0"/>
                  <w:marRight w:val="0"/>
                  <w:marTop w:val="0"/>
                  <w:marBottom w:val="0"/>
                  <w:divBdr>
                    <w:top w:val="none" w:sz="0" w:space="0" w:color="auto"/>
                    <w:left w:val="none" w:sz="0" w:space="0" w:color="auto"/>
                    <w:bottom w:val="none" w:sz="0" w:space="0" w:color="auto"/>
                    <w:right w:val="none" w:sz="0" w:space="0" w:color="auto"/>
                  </w:divBdr>
                  <w:divsChild>
                    <w:div w:id="149832764">
                      <w:marLeft w:val="0"/>
                      <w:marRight w:val="0"/>
                      <w:marTop w:val="0"/>
                      <w:marBottom w:val="0"/>
                      <w:divBdr>
                        <w:top w:val="none" w:sz="0" w:space="0" w:color="auto"/>
                        <w:left w:val="none" w:sz="0" w:space="0" w:color="auto"/>
                        <w:bottom w:val="none" w:sz="0" w:space="0" w:color="auto"/>
                        <w:right w:val="none" w:sz="0" w:space="0" w:color="auto"/>
                      </w:divBdr>
                    </w:div>
                  </w:divsChild>
                </w:div>
                <w:div w:id="1020936981">
                  <w:marLeft w:val="0"/>
                  <w:marRight w:val="0"/>
                  <w:marTop w:val="0"/>
                  <w:marBottom w:val="0"/>
                  <w:divBdr>
                    <w:top w:val="none" w:sz="0" w:space="0" w:color="auto"/>
                    <w:left w:val="none" w:sz="0" w:space="0" w:color="auto"/>
                    <w:bottom w:val="none" w:sz="0" w:space="0" w:color="auto"/>
                    <w:right w:val="none" w:sz="0" w:space="0" w:color="auto"/>
                  </w:divBdr>
                  <w:divsChild>
                    <w:div w:id="374239615">
                      <w:marLeft w:val="0"/>
                      <w:marRight w:val="0"/>
                      <w:marTop w:val="0"/>
                      <w:marBottom w:val="0"/>
                      <w:divBdr>
                        <w:top w:val="none" w:sz="0" w:space="0" w:color="auto"/>
                        <w:left w:val="none" w:sz="0" w:space="0" w:color="auto"/>
                        <w:bottom w:val="none" w:sz="0" w:space="0" w:color="auto"/>
                        <w:right w:val="none" w:sz="0" w:space="0" w:color="auto"/>
                      </w:divBdr>
                    </w:div>
                  </w:divsChild>
                </w:div>
                <w:div w:id="1192111244">
                  <w:marLeft w:val="0"/>
                  <w:marRight w:val="0"/>
                  <w:marTop w:val="0"/>
                  <w:marBottom w:val="0"/>
                  <w:divBdr>
                    <w:top w:val="none" w:sz="0" w:space="0" w:color="auto"/>
                    <w:left w:val="none" w:sz="0" w:space="0" w:color="auto"/>
                    <w:bottom w:val="none" w:sz="0" w:space="0" w:color="auto"/>
                    <w:right w:val="none" w:sz="0" w:space="0" w:color="auto"/>
                  </w:divBdr>
                  <w:divsChild>
                    <w:div w:id="658578566">
                      <w:marLeft w:val="0"/>
                      <w:marRight w:val="0"/>
                      <w:marTop w:val="0"/>
                      <w:marBottom w:val="0"/>
                      <w:divBdr>
                        <w:top w:val="none" w:sz="0" w:space="0" w:color="auto"/>
                        <w:left w:val="none" w:sz="0" w:space="0" w:color="auto"/>
                        <w:bottom w:val="none" w:sz="0" w:space="0" w:color="auto"/>
                        <w:right w:val="none" w:sz="0" w:space="0" w:color="auto"/>
                      </w:divBdr>
                    </w:div>
                  </w:divsChild>
                </w:div>
                <w:div w:id="1212418551">
                  <w:marLeft w:val="0"/>
                  <w:marRight w:val="0"/>
                  <w:marTop w:val="0"/>
                  <w:marBottom w:val="0"/>
                  <w:divBdr>
                    <w:top w:val="none" w:sz="0" w:space="0" w:color="auto"/>
                    <w:left w:val="none" w:sz="0" w:space="0" w:color="auto"/>
                    <w:bottom w:val="none" w:sz="0" w:space="0" w:color="auto"/>
                    <w:right w:val="none" w:sz="0" w:space="0" w:color="auto"/>
                  </w:divBdr>
                  <w:divsChild>
                    <w:div w:id="470558584">
                      <w:marLeft w:val="0"/>
                      <w:marRight w:val="0"/>
                      <w:marTop w:val="0"/>
                      <w:marBottom w:val="0"/>
                      <w:divBdr>
                        <w:top w:val="none" w:sz="0" w:space="0" w:color="auto"/>
                        <w:left w:val="none" w:sz="0" w:space="0" w:color="auto"/>
                        <w:bottom w:val="none" w:sz="0" w:space="0" w:color="auto"/>
                        <w:right w:val="none" w:sz="0" w:space="0" w:color="auto"/>
                      </w:divBdr>
                    </w:div>
                  </w:divsChild>
                </w:div>
                <w:div w:id="1232472820">
                  <w:marLeft w:val="0"/>
                  <w:marRight w:val="0"/>
                  <w:marTop w:val="0"/>
                  <w:marBottom w:val="0"/>
                  <w:divBdr>
                    <w:top w:val="none" w:sz="0" w:space="0" w:color="auto"/>
                    <w:left w:val="none" w:sz="0" w:space="0" w:color="auto"/>
                    <w:bottom w:val="none" w:sz="0" w:space="0" w:color="auto"/>
                    <w:right w:val="none" w:sz="0" w:space="0" w:color="auto"/>
                  </w:divBdr>
                  <w:divsChild>
                    <w:div w:id="596720075">
                      <w:marLeft w:val="0"/>
                      <w:marRight w:val="0"/>
                      <w:marTop w:val="0"/>
                      <w:marBottom w:val="0"/>
                      <w:divBdr>
                        <w:top w:val="none" w:sz="0" w:space="0" w:color="auto"/>
                        <w:left w:val="none" w:sz="0" w:space="0" w:color="auto"/>
                        <w:bottom w:val="none" w:sz="0" w:space="0" w:color="auto"/>
                        <w:right w:val="none" w:sz="0" w:space="0" w:color="auto"/>
                      </w:divBdr>
                    </w:div>
                  </w:divsChild>
                </w:div>
                <w:div w:id="1238903023">
                  <w:marLeft w:val="0"/>
                  <w:marRight w:val="0"/>
                  <w:marTop w:val="0"/>
                  <w:marBottom w:val="0"/>
                  <w:divBdr>
                    <w:top w:val="none" w:sz="0" w:space="0" w:color="auto"/>
                    <w:left w:val="none" w:sz="0" w:space="0" w:color="auto"/>
                    <w:bottom w:val="none" w:sz="0" w:space="0" w:color="auto"/>
                    <w:right w:val="none" w:sz="0" w:space="0" w:color="auto"/>
                  </w:divBdr>
                  <w:divsChild>
                    <w:div w:id="1432314685">
                      <w:marLeft w:val="0"/>
                      <w:marRight w:val="0"/>
                      <w:marTop w:val="0"/>
                      <w:marBottom w:val="0"/>
                      <w:divBdr>
                        <w:top w:val="none" w:sz="0" w:space="0" w:color="auto"/>
                        <w:left w:val="none" w:sz="0" w:space="0" w:color="auto"/>
                        <w:bottom w:val="none" w:sz="0" w:space="0" w:color="auto"/>
                        <w:right w:val="none" w:sz="0" w:space="0" w:color="auto"/>
                      </w:divBdr>
                    </w:div>
                  </w:divsChild>
                </w:div>
                <w:div w:id="1324510871">
                  <w:marLeft w:val="0"/>
                  <w:marRight w:val="0"/>
                  <w:marTop w:val="0"/>
                  <w:marBottom w:val="0"/>
                  <w:divBdr>
                    <w:top w:val="none" w:sz="0" w:space="0" w:color="auto"/>
                    <w:left w:val="none" w:sz="0" w:space="0" w:color="auto"/>
                    <w:bottom w:val="none" w:sz="0" w:space="0" w:color="auto"/>
                    <w:right w:val="none" w:sz="0" w:space="0" w:color="auto"/>
                  </w:divBdr>
                  <w:divsChild>
                    <w:div w:id="1091467852">
                      <w:marLeft w:val="0"/>
                      <w:marRight w:val="0"/>
                      <w:marTop w:val="0"/>
                      <w:marBottom w:val="0"/>
                      <w:divBdr>
                        <w:top w:val="none" w:sz="0" w:space="0" w:color="auto"/>
                        <w:left w:val="none" w:sz="0" w:space="0" w:color="auto"/>
                        <w:bottom w:val="none" w:sz="0" w:space="0" w:color="auto"/>
                        <w:right w:val="none" w:sz="0" w:space="0" w:color="auto"/>
                      </w:divBdr>
                    </w:div>
                  </w:divsChild>
                </w:div>
                <w:div w:id="1352757615">
                  <w:marLeft w:val="0"/>
                  <w:marRight w:val="0"/>
                  <w:marTop w:val="0"/>
                  <w:marBottom w:val="0"/>
                  <w:divBdr>
                    <w:top w:val="none" w:sz="0" w:space="0" w:color="auto"/>
                    <w:left w:val="none" w:sz="0" w:space="0" w:color="auto"/>
                    <w:bottom w:val="none" w:sz="0" w:space="0" w:color="auto"/>
                    <w:right w:val="none" w:sz="0" w:space="0" w:color="auto"/>
                  </w:divBdr>
                  <w:divsChild>
                    <w:div w:id="1329675043">
                      <w:marLeft w:val="0"/>
                      <w:marRight w:val="0"/>
                      <w:marTop w:val="0"/>
                      <w:marBottom w:val="0"/>
                      <w:divBdr>
                        <w:top w:val="none" w:sz="0" w:space="0" w:color="auto"/>
                        <w:left w:val="none" w:sz="0" w:space="0" w:color="auto"/>
                        <w:bottom w:val="none" w:sz="0" w:space="0" w:color="auto"/>
                        <w:right w:val="none" w:sz="0" w:space="0" w:color="auto"/>
                      </w:divBdr>
                    </w:div>
                  </w:divsChild>
                </w:div>
                <w:div w:id="1413888391">
                  <w:marLeft w:val="0"/>
                  <w:marRight w:val="0"/>
                  <w:marTop w:val="0"/>
                  <w:marBottom w:val="0"/>
                  <w:divBdr>
                    <w:top w:val="none" w:sz="0" w:space="0" w:color="auto"/>
                    <w:left w:val="none" w:sz="0" w:space="0" w:color="auto"/>
                    <w:bottom w:val="none" w:sz="0" w:space="0" w:color="auto"/>
                    <w:right w:val="none" w:sz="0" w:space="0" w:color="auto"/>
                  </w:divBdr>
                  <w:divsChild>
                    <w:div w:id="1166507025">
                      <w:marLeft w:val="0"/>
                      <w:marRight w:val="0"/>
                      <w:marTop w:val="0"/>
                      <w:marBottom w:val="0"/>
                      <w:divBdr>
                        <w:top w:val="none" w:sz="0" w:space="0" w:color="auto"/>
                        <w:left w:val="none" w:sz="0" w:space="0" w:color="auto"/>
                        <w:bottom w:val="none" w:sz="0" w:space="0" w:color="auto"/>
                        <w:right w:val="none" w:sz="0" w:space="0" w:color="auto"/>
                      </w:divBdr>
                    </w:div>
                  </w:divsChild>
                </w:div>
                <w:div w:id="1452020487">
                  <w:marLeft w:val="0"/>
                  <w:marRight w:val="0"/>
                  <w:marTop w:val="0"/>
                  <w:marBottom w:val="0"/>
                  <w:divBdr>
                    <w:top w:val="none" w:sz="0" w:space="0" w:color="auto"/>
                    <w:left w:val="none" w:sz="0" w:space="0" w:color="auto"/>
                    <w:bottom w:val="none" w:sz="0" w:space="0" w:color="auto"/>
                    <w:right w:val="none" w:sz="0" w:space="0" w:color="auto"/>
                  </w:divBdr>
                  <w:divsChild>
                    <w:div w:id="1502969110">
                      <w:marLeft w:val="0"/>
                      <w:marRight w:val="0"/>
                      <w:marTop w:val="0"/>
                      <w:marBottom w:val="0"/>
                      <w:divBdr>
                        <w:top w:val="none" w:sz="0" w:space="0" w:color="auto"/>
                        <w:left w:val="none" w:sz="0" w:space="0" w:color="auto"/>
                        <w:bottom w:val="none" w:sz="0" w:space="0" w:color="auto"/>
                        <w:right w:val="none" w:sz="0" w:space="0" w:color="auto"/>
                      </w:divBdr>
                    </w:div>
                  </w:divsChild>
                </w:div>
                <w:div w:id="1492985109">
                  <w:marLeft w:val="0"/>
                  <w:marRight w:val="0"/>
                  <w:marTop w:val="0"/>
                  <w:marBottom w:val="0"/>
                  <w:divBdr>
                    <w:top w:val="none" w:sz="0" w:space="0" w:color="auto"/>
                    <w:left w:val="none" w:sz="0" w:space="0" w:color="auto"/>
                    <w:bottom w:val="none" w:sz="0" w:space="0" w:color="auto"/>
                    <w:right w:val="none" w:sz="0" w:space="0" w:color="auto"/>
                  </w:divBdr>
                  <w:divsChild>
                    <w:div w:id="787091956">
                      <w:marLeft w:val="0"/>
                      <w:marRight w:val="0"/>
                      <w:marTop w:val="0"/>
                      <w:marBottom w:val="0"/>
                      <w:divBdr>
                        <w:top w:val="none" w:sz="0" w:space="0" w:color="auto"/>
                        <w:left w:val="none" w:sz="0" w:space="0" w:color="auto"/>
                        <w:bottom w:val="none" w:sz="0" w:space="0" w:color="auto"/>
                        <w:right w:val="none" w:sz="0" w:space="0" w:color="auto"/>
                      </w:divBdr>
                    </w:div>
                  </w:divsChild>
                </w:div>
                <w:div w:id="1727605331">
                  <w:marLeft w:val="0"/>
                  <w:marRight w:val="0"/>
                  <w:marTop w:val="0"/>
                  <w:marBottom w:val="0"/>
                  <w:divBdr>
                    <w:top w:val="none" w:sz="0" w:space="0" w:color="auto"/>
                    <w:left w:val="none" w:sz="0" w:space="0" w:color="auto"/>
                    <w:bottom w:val="none" w:sz="0" w:space="0" w:color="auto"/>
                    <w:right w:val="none" w:sz="0" w:space="0" w:color="auto"/>
                  </w:divBdr>
                  <w:divsChild>
                    <w:div w:id="1626698863">
                      <w:marLeft w:val="0"/>
                      <w:marRight w:val="0"/>
                      <w:marTop w:val="0"/>
                      <w:marBottom w:val="0"/>
                      <w:divBdr>
                        <w:top w:val="none" w:sz="0" w:space="0" w:color="auto"/>
                        <w:left w:val="none" w:sz="0" w:space="0" w:color="auto"/>
                        <w:bottom w:val="none" w:sz="0" w:space="0" w:color="auto"/>
                        <w:right w:val="none" w:sz="0" w:space="0" w:color="auto"/>
                      </w:divBdr>
                    </w:div>
                  </w:divsChild>
                </w:div>
                <w:div w:id="1782147574">
                  <w:marLeft w:val="0"/>
                  <w:marRight w:val="0"/>
                  <w:marTop w:val="0"/>
                  <w:marBottom w:val="0"/>
                  <w:divBdr>
                    <w:top w:val="none" w:sz="0" w:space="0" w:color="auto"/>
                    <w:left w:val="none" w:sz="0" w:space="0" w:color="auto"/>
                    <w:bottom w:val="none" w:sz="0" w:space="0" w:color="auto"/>
                    <w:right w:val="none" w:sz="0" w:space="0" w:color="auto"/>
                  </w:divBdr>
                  <w:divsChild>
                    <w:div w:id="935022193">
                      <w:marLeft w:val="0"/>
                      <w:marRight w:val="0"/>
                      <w:marTop w:val="0"/>
                      <w:marBottom w:val="0"/>
                      <w:divBdr>
                        <w:top w:val="none" w:sz="0" w:space="0" w:color="auto"/>
                        <w:left w:val="none" w:sz="0" w:space="0" w:color="auto"/>
                        <w:bottom w:val="none" w:sz="0" w:space="0" w:color="auto"/>
                        <w:right w:val="none" w:sz="0" w:space="0" w:color="auto"/>
                      </w:divBdr>
                    </w:div>
                  </w:divsChild>
                </w:div>
                <w:div w:id="1790733135">
                  <w:marLeft w:val="0"/>
                  <w:marRight w:val="0"/>
                  <w:marTop w:val="0"/>
                  <w:marBottom w:val="0"/>
                  <w:divBdr>
                    <w:top w:val="none" w:sz="0" w:space="0" w:color="auto"/>
                    <w:left w:val="none" w:sz="0" w:space="0" w:color="auto"/>
                    <w:bottom w:val="none" w:sz="0" w:space="0" w:color="auto"/>
                    <w:right w:val="none" w:sz="0" w:space="0" w:color="auto"/>
                  </w:divBdr>
                  <w:divsChild>
                    <w:div w:id="469715569">
                      <w:marLeft w:val="0"/>
                      <w:marRight w:val="0"/>
                      <w:marTop w:val="0"/>
                      <w:marBottom w:val="0"/>
                      <w:divBdr>
                        <w:top w:val="none" w:sz="0" w:space="0" w:color="auto"/>
                        <w:left w:val="none" w:sz="0" w:space="0" w:color="auto"/>
                        <w:bottom w:val="none" w:sz="0" w:space="0" w:color="auto"/>
                        <w:right w:val="none" w:sz="0" w:space="0" w:color="auto"/>
                      </w:divBdr>
                    </w:div>
                  </w:divsChild>
                </w:div>
                <w:div w:id="1937447077">
                  <w:marLeft w:val="0"/>
                  <w:marRight w:val="0"/>
                  <w:marTop w:val="0"/>
                  <w:marBottom w:val="0"/>
                  <w:divBdr>
                    <w:top w:val="none" w:sz="0" w:space="0" w:color="auto"/>
                    <w:left w:val="none" w:sz="0" w:space="0" w:color="auto"/>
                    <w:bottom w:val="none" w:sz="0" w:space="0" w:color="auto"/>
                    <w:right w:val="none" w:sz="0" w:space="0" w:color="auto"/>
                  </w:divBdr>
                  <w:divsChild>
                    <w:div w:id="1251356762">
                      <w:marLeft w:val="0"/>
                      <w:marRight w:val="0"/>
                      <w:marTop w:val="0"/>
                      <w:marBottom w:val="0"/>
                      <w:divBdr>
                        <w:top w:val="none" w:sz="0" w:space="0" w:color="auto"/>
                        <w:left w:val="none" w:sz="0" w:space="0" w:color="auto"/>
                        <w:bottom w:val="none" w:sz="0" w:space="0" w:color="auto"/>
                        <w:right w:val="none" w:sz="0" w:space="0" w:color="auto"/>
                      </w:divBdr>
                    </w:div>
                  </w:divsChild>
                </w:div>
                <w:div w:id="1941260745">
                  <w:marLeft w:val="0"/>
                  <w:marRight w:val="0"/>
                  <w:marTop w:val="0"/>
                  <w:marBottom w:val="0"/>
                  <w:divBdr>
                    <w:top w:val="none" w:sz="0" w:space="0" w:color="auto"/>
                    <w:left w:val="none" w:sz="0" w:space="0" w:color="auto"/>
                    <w:bottom w:val="none" w:sz="0" w:space="0" w:color="auto"/>
                    <w:right w:val="none" w:sz="0" w:space="0" w:color="auto"/>
                  </w:divBdr>
                  <w:divsChild>
                    <w:div w:id="589234749">
                      <w:marLeft w:val="0"/>
                      <w:marRight w:val="0"/>
                      <w:marTop w:val="0"/>
                      <w:marBottom w:val="0"/>
                      <w:divBdr>
                        <w:top w:val="none" w:sz="0" w:space="0" w:color="auto"/>
                        <w:left w:val="none" w:sz="0" w:space="0" w:color="auto"/>
                        <w:bottom w:val="none" w:sz="0" w:space="0" w:color="auto"/>
                        <w:right w:val="none" w:sz="0" w:space="0" w:color="auto"/>
                      </w:divBdr>
                    </w:div>
                  </w:divsChild>
                </w:div>
                <w:div w:id="2000452288">
                  <w:marLeft w:val="0"/>
                  <w:marRight w:val="0"/>
                  <w:marTop w:val="0"/>
                  <w:marBottom w:val="0"/>
                  <w:divBdr>
                    <w:top w:val="none" w:sz="0" w:space="0" w:color="auto"/>
                    <w:left w:val="none" w:sz="0" w:space="0" w:color="auto"/>
                    <w:bottom w:val="none" w:sz="0" w:space="0" w:color="auto"/>
                    <w:right w:val="none" w:sz="0" w:space="0" w:color="auto"/>
                  </w:divBdr>
                  <w:divsChild>
                    <w:div w:id="395012220">
                      <w:marLeft w:val="0"/>
                      <w:marRight w:val="0"/>
                      <w:marTop w:val="0"/>
                      <w:marBottom w:val="0"/>
                      <w:divBdr>
                        <w:top w:val="none" w:sz="0" w:space="0" w:color="auto"/>
                        <w:left w:val="none" w:sz="0" w:space="0" w:color="auto"/>
                        <w:bottom w:val="none" w:sz="0" w:space="0" w:color="auto"/>
                        <w:right w:val="none" w:sz="0" w:space="0" w:color="auto"/>
                      </w:divBdr>
                    </w:div>
                  </w:divsChild>
                </w:div>
                <w:div w:id="2015305523">
                  <w:marLeft w:val="0"/>
                  <w:marRight w:val="0"/>
                  <w:marTop w:val="0"/>
                  <w:marBottom w:val="0"/>
                  <w:divBdr>
                    <w:top w:val="none" w:sz="0" w:space="0" w:color="auto"/>
                    <w:left w:val="none" w:sz="0" w:space="0" w:color="auto"/>
                    <w:bottom w:val="none" w:sz="0" w:space="0" w:color="auto"/>
                    <w:right w:val="none" w:sz="0" w:space="0" w:color="auto"/>
                  </w:divBdr>
                  <w:divsChild>
                    <w:div w:id="160314151">
                      <w:marLeft w:val="0"/>
                      <w:marRight w:val="0"/>
                      <w:marTop w:val="0"/>
                      <w:marBottom w:val="0"/>
                      <w:divBdr>
                        <w:top w:val="none" w:sz="0" w:space="0" w:color="auto"/>
                        <w:left w:val="none" w:sz="0" w:space="0" w:color="auto"/>
                        <w:bottom w:val="none" w:sz="0" w:space="0" w:color="auto"/>
                        <w:right w:val="none" w:sz="0" w:space="0" w:color="auto"/>
                      </w:divBdr>
                    </w:div>
                  </w:divsChild>
                </w:div>
                <w:div w:id="2026708144">
                  <w:marLeft w:val="0"/>
                  <w:marRight w:val="0"/>
                  <w:marTop w:val="0"/>
                  <w:marBottom w:val="0"/>
                  <w:divBdr>
                    <w:top w:val="none" w:sz="0" w:space="0" w:color="auto"/>
                    <w:left w:val="none" w:sz="0" w:space="0" w:color="auto"/>
                    <w:bottom w:val="none" w:sz="0" w:space="0" w:color="auto"/>
                    <w:right w:val="none" w:sz="0" w:space="0" w:color="auto"/>
                  </w:divBdr>
                  <w:divsChild>
                    <w:div w:id="1083181553">
                      <w:marLeft w:val="0"/>
                      <w:marRight w:val="0"/>
                      <w:marTop w:val="0"/>
                      <w:marBottom w:val="0"/>
                      <w:divBdr>
                        <w:top w:val="none" w:sz="0" w:space="0" w:color="auto"/>
                        <w:left w:val="none" w:sz="0" w:space="0" w:color="auto"/>
                        <w:bottom w:val="none" w:sz="0" w:space="0" w:color="auto"/>
                        <w:right w:val="none" w:sz="0" w:space="0" w:color="auto"/>
                      </w:divBdr>
                    </w:div>
                  </w:divsChild>
                </w:div>
                <w:div w:id="2052344817">
                  <w:marLeft w:val="0"/>
                  <w:marRight w:val="0"/>
                  <w:marTop w:val="0"/>
                  <w:marBottom w:val="0"/>
                  <w:divBdr>
                    <w:top w:val="none" w:sz="0" w:space="0" w:color="auto"/>
                    <w:left w:val="none" w:sz="0" w:space="0" w:color="auto"/>
                    <w:bottom w:val="none" w:sz="0" w:space="0" w:color="auto"/>
                    <w:right w:val="none" w:sz="0" w:space="0" w:color="auto"/>
                  </w:divBdr>
                  <w:divsChild>
                    <w:div w:id="196243430">
                      <w:marLeft w:val="0"/>
                      <w:marRight w:val="0"/>
                      <w:marTop w:val="0"/>
                      <w:marBottom w:val="0"/>
                      <w:divBdr>
                        <w:top w:val="none" w:sz="0" w:space="0" w:color="auto"/>
                        <w:left w:val="none" w:sz="0" w:space="0" w:color="auto"/>
                        <w:bottom w:val="none" w:sz="0" w:space="0" w:color="auto"/>
                        <w:right w:val="none" w:sz="0" w:space="0" w:color="auto"/>
                      </w:divBdr>
                    </w:div>
                  </w:divsChild>
                </w:div>
                <w:div w:id="2077391362">
                  <w:marLeft w:val="0"/>
                  <w:marRight w:val="0"/>
                  <w:marTop w:val="0"/>
                  <w:marBottom w:val="0"/>
                  <w:divBdr>
                    <w:top w:val="none" w:sz="0" w:space="0" w:color="auto"/>
                    <w:left w:val="none" w:sz="0" w:space="0" w:color="auto"/>
                    <w:bottom w:val="none" w:sz="0" w:space="0" w:color="auto"/>
                    <w:right w:val="none" w:sz="0" w:space="0" w:color="auto"/>
                  </w:divBdr>
                  <w:divsChild>
                    <w:div w:id="1794404616">
                      <w:marLeft w:val="0"/>
                      <w:marRight w:val="0"/>
                      <w:marTop w:val="0"/>
                      <w:marBottom w:val="0"/>
                      <w:divBdr>
                        <w:top w:val="none" w:sz="0" w:space="0" w:color="auto"/>
                        <w:left w:val="none" w:sz="0" w:space="0" w:color="auto"/>
                        <w:bottom w:val="none" w:sz="0" w:space="0" w:color="auto"/>
                        <w:right w:val="none" w:sz="0" w:space="0" w:color="auto"/>
                      </w:divBdr>
                    </w:div>
                  </w:divsChild>
                </w:div>
                <w:div w:id="2083484375">
                  <w:marLeft w:val="0"/>
                  <w:marRight w:val="0"/>
                  <w:marTop w:val="0"/>
                  <w:marBottom w:val="0"/>
                  <w:divBdr>
                    <w:top w:val="none" w:sz="0" w:space="0" w:color="auto"/>
                    <w:left w:val="none" w:sz="0" w:space="0" w:color="auto"/>
                    <w:bottom w:val="none" w:sz="0" w:space="0" w:color="auto"/>
                    <w:right w:val="none" w:sz="0" w:space="0" w:color="auto"/>
                  </w:divBdr>
                  <w:divsChild>
                    <w:div w:id="918245932">
                      <w:marLeft w:val="0"/>
                      <w:marRight w:val="0"/>
                      <w:marTop w:val="0"/>
                      <w:marBottom w:val="0"/>
                      <w:divBdr>
                        <w:top w:val="none" w:sz="0" w:space="0" w:color="auto"/>
                        <w:left w:val="none" w:sz="0" w:space="0" w:color="auto"/>
                        <w:bottom w:val="none" w:sz="0" w:space="0" w:color="auto"/>
                        <w:right w:val="none" w:sz="0" w:space="0" w:color="auto"/>
                      </w:divBdr>
                    </w:div>
                  </w:divsChild>
                </w:div>
                <w:div w:id="2113626770">
                  <w:marLeft w:val="0"/>
                  <w:marRight w:val="0"/>
                  <w:marTop w:val="0"/>
                  <w:marBottom w:val="0"/>
                  <w:divBdr>
                    <w:top w:val="none" w:sz="0" w:space="0" w:color="auto"/>
                    <w:left w:val="none" w:sz="0" w:space="0" w:color="auto"/>
                    <w:bottom w:val="none" w:sz="0" w:space="0" w:color="auto"/>
                    <w:right w:val="none" w:sz="0" w:space="0" w:color="auto"/>
                  </w:divBdr>
                  <w:divsChild>
                    <w:div w:id="6636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3309">
          <w:marLeft w:val="0"/>
          <w:marRight w:val="0"/>
          <w:marTop w:val="0"/>
          <w:marBottom w:val="0"/>
          <w:divBdr>
            <w:top w:val="none" w:sz="0" w:space="0" w:color="auto"/>
            <w:left w:val="none" w:sz="0" w:space="0" w:color="auto"/>
            <w:bottom w:val="none" w:sz="0" w:space="0" w:color="auto"/>
            <w:right w:val="none" w:sz="0" w:space="0" w:color="auto"/>
          </w:divBdr>
          <w:divsChild>
            <w:div w:id="138689783">
              <w:marLeft w:val="0"/>
              <w:marRight w:val="0"/>
              <w:marTop w:val="0"/>
              <w:marBottom w:val="0"/>
              <w:divBdr>
                <w:top w:val="none" w:sz="0" w:space="0" w:color="auto"/>
                <w:left w:val="none" w:sz="0" w:space="0" w:color="auto"/>
                <w:bottom w:val="none" w:sz="0" w:space="0" w:color="auto"/>
                <w:right w:val="none" w:sz="0" w:space="0" w:color="auto"/>
              </w:divBdr>
            </w:div>
            <w:div w:id="399980267">
              <w:marLeft w:val="0"/>
              <w:marRight w:val="0"/>
              <w:marTop w:val="0"/>
              <w:marBottom w:val="0"/>
              <w:divBdr>
                <w:top w:val="none" w:sz="0" w:space="0" w:color="auto"/>
                <w:left w:val="none" w:sz="0" w:space="0" w:color="auto"/>
                <w:bottom w:val="none" w:sz="0" w:space="0" w:color="auto"/>
                <w:right w:val="none" w:sz="0" w:space="0" w:color="auto"/>
              </w:divBdr>
            </w:div>
            <w:div w:id="400522477">
              <w:marLeft w:val="0"/>
              <w:marRight w:val="0"/>
              <w:marTop w:val="0"/>
              <w:marBottom w:val="0"/>
              <w:divBdr>
                <w:top w:val="none" w:sz="0" w:space="0" w:color="auto"/>
                <w:left w:val="none" w:sz="0" w:space="0" w:color="auto"/>
                <w:bottom w:val="none" w:sz="0" w:space="0" w:color="auto"/>
                <w:right w:val="none" w:sz="0" w:space="0" w:color="auto"/>
              </w:divBdr>
            </w:div>
            <w:div w:id="474372761">
              <w:marLeft w:val="0"/>
              <w:marRight w:val="0"/>
              <w:marTop w:val="0"/>
              <w:marBottom w:val="0"/>
              <w:divBdr>
                <w:top w:val="none" w:sz="0" w:space="0" w:color="auto"/>
                <w:left w:val="none" w:sz="0" w:space="0" w:color="auto"/>
                <w:bottom w:val="none" w:sz="0" w:space="0" w:color="auto"/>
                <w:right w:val="none" w:sz="0" w:space="0" w:color="auto"/>
              </w:divBdr>
            </w:div>
            <w:div w:id="515461484">
              <w:marLeft w:val="0"/>
              <w:marRight w:val="0"/>
              <w:marTop w:val="0"/>
              <w:marBottom w:val="0"/>
              <w:divBdr>
                <w:top w:val="none" w:sz="0" w:space="0" w:color="auto"/>
                <w:left w:val="none" w:sz="0" w:space="0" w:color="auto"/>
                <w:bottom w:val="none" w:sz="0" w:space="0" w:color="auto"/>
                <w:right w:val="none" w:sz="0" w:space="0" w:color="auto"/>
              </w:divBdr>
            </w:div>
            <w:div w:id="557594466">
              <w:marLeft w:val="0"/>
              <w:marRight w:val="0"/>
              <w:marTop w:val="0"/>
              <w:marBottom w:val="0"/>
              <w:divBdr>
                <w:top w:val="none" w:sz="0" w:space="0" w:color="auto"/>
                <w:left w:val="none" w:sz="0" w:space="0" w:color="auto"/>
                <w:bottom w:val="none" w:sz="0" w:space="0" w:color="auto"/>
                <w:right w:val="none" w:sz="0" w:space="0" w:color="auto"/>
              </w:divBdr>
            </w:div>
            <w:div w:id="767388070">
              <w:marLeft w:val="0"/>
              <w:marRight w:val="0"/>
              <w:marTop w:val="0"/>
              <w:marBottom w:val="0"/>
              <w:divBdr>
                <w:top w:val="none" w:sz="0" w:space="0" w:color="auto"/>
                <w:left w:val="none" w:sz="0" w:space="0" w:color="auto"/>
                <w:bottom w:val="none" w:sz="0" w:space="0" w:color="auto"/>
                <w:right w:val="none" w:sz="0" w:space="0" w:color="auto"/>
              </w:divBdr>
            </w:div>
            <w:div w:id="896432409">
              <w:marLeft w:val="0"/>
              <w:marRight w:val="0"/>
              <w:marTop w:val="0"/>
              <w:marBottom w:val="0"/>
              <w:divBdr>
                <w:top w:val="none" w:sz="0" w:space="0" w:color="auto"/>
                <w:left w:val="none" w:sz="0" w:space="0" w:color="auto"/>
                <w:bottom w:val="none" w:sz="0" w:space="0" w:color="auto"/>
                <w:right w:val="none" w:sz="0" w:space="0" w:color="auto"/>
              </w:divBdr>
            </w:div>
            <w:div w:id="917714657">
              <w:marLeft w:val="0"/>
              <w:marRight w:val="0"/>
              <w:marTop w:val="0"/>
              <w:marBottom w:val="0"/>
              <w:divBdr>
                <w:top w:val="none" w:sz="0" w:space="0" w:color="auto"/>
                <w:left w:val="none" w:sz="0" w:space="0" w:color="auto"/>
                <w:bottom w:val="none" w:sz="0" w:space="0" w:color="auto"/>
                <w:right w:val="none" w:sz="0" w:space="0" w:color="auto"/>
              </w:divBdr>
            </w:div>
            <w:div w:id="961115429">
              <w:marLeft w:val="0"/>
              <w:marRight w:val="0"/>
              <w:marTop w:val="0"/>
              <w:marBottom w:val="0"/>
              <w:divBdr>
                <w:top w:val="none" w:sz="0" w:space="0" w:color="auto"/>
                <w:left w:val="none" w:sz="0" w:space="0" w:color="auto"/>
                <w:bottom w:val="none" w:sz="0" w:space="0" w:color="auto"/>
                <w:right w:val="none" w:sz="0" w:space="0" w:color="auto"/>
              </w:divBdr>
            </w:div>
            <w:div w:id="1171873512">
              <w:marLeft w:val="0"/>
              <w:marRight w:val="0"/>
              <w:marTop w:val="0"/>
              <w:marBottom w:val="0"/>
              <w:divBdr>
                <w:top w:val="none" w:sz="0" w:space="0" w:color="auto"/>
                <w:left w:val="none" w:sz="0" w:space="0" w:color="auto"/>
                <w:bottom w:val="none" w:sz="0" w:space="0" w:color="auto"/>
                <w:right w:val="none" w:sz="0" w:space="0" w:color="auto"/>
              </w:divBdr>
            </w:div>
            <w:div w:id="1258518849">
              <w:marLeft w:val="0"/>
              <w:marRight w:val="0"/>
              <w:marTop w:val="0"/>
              <w:marBottom w:val="0"/>
              <w:divBdr>
                <w:top w:val="none" w:sz="0" w:space="0" w:color="auto"/>
                <w:left w:val="none" w:sz="0" w:space="0" w:color="auto"/>
                <w:bottom w:val="none" w:sz="0" w:space="0" w:color="auto"/>
                <w:right w:val="none" w:sz="0" w:space="0" w:color="auto"/>
              </w:divBdr>
            </w:div>
            <w:div w:id="1588690500">
              <w:marLeft w:val="0"/>
              <w:marRight w:val="0"/>
              <w:marTop w:val="0"/>
              <w:marBottom w:val="0"/>
              <w:divBdr>
                <w:top w:val="none" w:sz="0" w:space="0" w:color="auto"/>
                <w:left w:val="none" w:sz="0" w:space="0" w:color="auto"/>
                <w:bottom w:val="none" w:sz="0" w:space="0" w:color="auto"/>
                <w:right w:val="none" w:sz="0" w:space="0" w:color="auto"/>
              </w:divBdr>
            </w:div>
            <w:div w:id="1652320573">
              <w:marLeft w:val="0"/>
              <w:marRight w:val="0"/>
              <w:marTop w:val="0"/>
              <w:marBottom w:val="0"/>
              <w:divBdr>
                <w:top w:val="none" w:sz="0" w:space="0" w:color="auto"/>
                <w:left w:val="none" w:sz="0" w:space="0" w:color="auto"/>
                <w:bottom w:val="none" w:sz="0" w:space="0" w:color="auto"/>
                <w:right w:val="none" w:sz="0" w:space="0" w:color="auto"/>
              </w:divBdr>
            </w:div>
            <w:div w:id="1694845180">
              <w:marLeft w:val="0"/>
              <w:marRight w:val="0"/>
              <w:marTop w:val="0"/>
              <w:marBottom w:val="0"/>
              <w:divBdr>
                <w:top w:val="none" w:sz="0" w:space="0" w:color="auto"/>
                <w:left w:val="none" w:sz="0" w:space="0" w:color="auto"/>
                <w:bottom w:val="none" w:sz="0" w:space="0" w:color="auto"/>
                <w:right w:val="none" w:sz="0" w:space="0" w:color="auto"/>
              </w:divBdr>
            </w:div>
            <w:div w:id="1745760342">
              <w:marLeft w:val="0"/>
              <w:marRight w:val="0"/>
              <w:marTop w:val="0"/>
              <w:marBottom w:val="0"/>
              <w:divBdr>
                <w:top w:val="none" w:sz="0" w:space="0" w:color="auto"/>
                <w:left w:val="none" w:sz="0" w:space="0" w:color="auto"/>
                <w:bottom w:val="none" w:sz="0" w:space="0" w:color="auto"/>
                <w:right w:val="none" w:sz="0" w:space="0" w:color="auto"/>
              </w:divBdr>
            </w:div>
            <w:div w:id="1758283977">
              <w:marLeft w:val="0"/>
              <w:marRight w:val="0"/>
              <w:marTop w:val="0"/>
              <w:marBottom w:val="0"/>
              <w:divBdr>
                <w:top w:val="none" w:sz="0" w:space="0" w:color="auto"/>
                <w:left w:val="none" w:sz="0" w:space="0" w:color="auto"/>
                <w:bottom w:val="none" w:sz="0" w:space="0" w:color="auto"/>
                <w:right w:val="none" w:sz="0" w:space="0" w:color="auto"/>
              </w:divBdr>
            </w:div>
            <w:div w:id="1842234231">
              <w:marLeft w:val="0"/>
              <w:marRight w:val="0"/>
              <w:marTop w:val="0"/>
              <w:marBottom w:val="0"/>
              <w:divBdr>
                <w:top w:val="none" w:sz="0" w:space="0" w:color="auto"/>
                <w:left w:val="none" w:sz="0" w:space="0" w:color="auto"/>
                <w:bottom w:val="none" w:sz="0" w:space="0" w:color="auto"/>
                <w:right w:val="none" w:sz="0" w:space="0" w:color="auto"/>
              </w:divBdr>
            </w:div>
            <w:div w:id="2006855127">
              <w:marLeft w:val="0"/>
              <w:marRight w:val="0"/>
              <w:marTop w:val="0"/>
              <w:marBottom w:val="0"/>
              <w:divBdr>
                <w:top w:val="none" w:sz="0" w:space="0" w:color="auto"/>
                <w:left w:val="none" w:sz="0" w:space="0" w:color="auto"/>
                <w:bottom w:val="none" w:sz="0" w:space="0" w:color="auto"/>
                <w:right w:val="none" w:sz="0" w:space="0" w:color="auto"/>
              </w:divBdr>
            </w:div>
            <w:div w:id="2036690118">
              <w:marLeft w:val="0"/>
              <w:marRight w:val="0"/>
              <w:marTop w:val="0"/>
              <w:marBottom w:val="0"/>
              <w:divBdr>
                <w:top w:val="none" w:sz="0" w:space="0" w:color="auto"/>
                <w:left w:val="none" w:sz="0" w:space="0" w:color="auto"/>
                <w:bottom w:val="none" w:sz="0" w:space="0" w:color="auto"/>
                <w:right w:val="none" w:sz="0" w:space="0" w:color="auto"/>
              </w:divBdr>
            </w:div>
          </w:divsChild>
        </w:div>
        <w:div w:id="844512645">
          <w:marLeft w:val="0"/>
          <w:marRight w:val="0"/>
          <w:marTop w:val="0"/>
          <w:marBottom w:val="0"/>
          <w:divBdr>
            <w:top w:val="none" w:sz="0" w:space="0" w:color="auto"/>
            <w:left w:val="none" w:sz="0" w:space="0" w:color="auto"/>
            <w:bottom w:val="none" w:sz="0" w:space="0" w:color="auto"/>
            <w:right w:val="none" w:sz="0" w:space="0" w:color="auto"/>
          </w:divBdr>
        </w:div>
        <w:div w:id="881019437">
          <w:marLeft w:val="0"/>
          <w:marRight w:val="0"/>
          <w:marTop w:val="0"/>
          <w:marBottom w:val="0"/>
          <w:divBdr>
            <w:top w:val="none" w:sz="0" w:space="0" w:color="auto"/>
            <w:left w:val="none" w:sz="0" w:space="0" w:color="auto"/>
            <w:bottom w:val="none" w:sz="0" w:space="0" w:color="auto"/>
            <w:right w:val="none" w:sz="0" w:space="0" w:color="auto"/>
          </w:divBdr>
        </w:div>
        <w:div w:id="944187752">
          <w:marLeft w:val="0"/>
          <w:marRight w:val="0"/>
          <w:marTop w:val="0"/>
          <w:marBottom w:val="0"/>
          <w:divBdr>
            <w:top w:val="none" w:sz="0" w:space="0" w:color="auto"/>
            <w:left w:val="none" w:sz="0" w:space="0" w:color="auto"/>
            <w:bottom w:val="none" w:sz="0" w:space="0" w:color="auto"/>
            <w:right w:val="none" w:sz="0" w:space="0" w:color="auto"/>
          </w:divBdr>
          <w:divsChild>
            <w:div w:id="138573897">
              <w:marLeft w:val="0"/>
              <w:marRight w:val="0"/>
              <w:marTop w:val="0"/>
              <w:marBottom w:val="0"/>
              <w:divBdr>
                <w:top w:val="none" w:sz="0" w:space="0" w:color="auto"/>
                <w:left w:val="none" w:sz="0" w:space="0" w:color="auto"/>
                <w:bottom w:val="none" w:sz="0" w:space="0" w:color="auto"/>
                <w:right w:val="none" w:sz="0" w:space="0" w:color="auto"/>
              </w:divBdr>
            </w:div>
            <w:div w:id="270208878">
              <w:marLeft w:val="0"/>
              <w:marRight w:val="0"/>
              <w:marTop w:val="0"/>
              <w:marBottom w:val="0"/>
              <w:divBdr>
                <w:top w:val="none" w:sz="0" w:space="0" w:color="auto"/>
                <w:left w:val="none" w:sz="0" w:space="0" w:color="auto"/>
                <w:bottom w:val="none" w:sz="0" w:space="0" w:color="auto"/>
                <w:right w:val="none" w:sz="0" w:space="0" w:color="auto"/>
              </w:divBdr>
            </w:div>
            <w:div w:id="292447867">
              <w:marLeft w:val="0"/>
              <w:marRight w:val="0"/>
              <w:marTop w:val="0"/>
              <w:marBottom w:val="0"/>
              <w:divBdr>
                <w:top w:val="none" w:sz="0" w:space="0" w:color="auto"/>
                <w:left w:val="none" w:sz="0" w:space="0" w:color="auto"/>
                <w:bottom w:val="none" w:sz="0" w:space="0" w:color="auto"/>
                <w:right w:val="none" w:sz="0" w:space="0" w:color="auto"/>
              </w:divBdr>
            </w:div>
            <w:div w:id="440145419">
              <w:marLeft w:val="0"/>
              <w:marRight w:val="0"/>
              <w:marTop w:val="0"/>
              <w:marBottom w:val="0"/>
              <w:divBdr>
                <w:top w:val="none" w:sz="0" w:space="0" w:color="auto"/>
                <w:left w:val="none" w:sz="0" w:space="0" w:color="auto"/>
                <w:bottom w:val="none" w:sz="0" w:space="0" w:color="auto"/>
                <w:right w:val="none" w:sz="0" w:space="0" w:color="auto"/>
              </w:divBdr>
            </w:div>
            <w:div w:id="456149203">
              <w:marLeft w:val="0"/>
              <w:marRight w:val="0"/>
              <w:marTop w:val="0"/>
              <w:marBottom w:val="0"/>
              <w:divBdr>
                <w:top w:val="none" w:sz="0" w:space="0" w:color="auto"/>
                <w:left w:val="none" w:sz="0" w:space="0" w:color="auto"/>
                <w:bottom w:val="none" w:sz="0" w:space="0" w:color="auto"/>
                <w:right w:val="none" w:sz="0" w:space="0" w:color="auto"/>
              </w:divBdr>
            </w:div>
            <w:div w:id="466162859">
              <w:marLeft w:val="0"/>
              <w:marRight w:val="0"/>
              <w:marTop w:val="0"/>
              <w:marBottom w:val="0"/>
              <w:divBdr>
                <w:top w:val="none" w:sz="0" w:space="0" w:color="auto"/>
                <w:left w:val="none" w:sz="0" w:space="0" w:color="auto"/>
                <w:bottom w:val="none" w:sz="0" w:space="0" w:color="auto"/>
                <w:right w:val="none" w:sz="0" w:space="0" w:color="auto"/>
              </w:divBdr>
            </w:div>
            <w:div w:id="575555480">
              <w:marLeft w:val="0"/>
              <w:marRight w:val="0"/>
              <w:marTop w:val="0"/>
              <w:marBottom w:val="0"/>
              <w:divBdr>
                <w:top w:val="none" w:sz="0" w:space="0" w:color="auto"/>
                <w:left w:val="none" w:sz="0" w:space="0" w:color="auto"/>
                <w:bottom w:val="none" w:sz="0" w:space="0" w:color="auto"/>
                <w:right w:val="none" w:sz="0" w:space="0" w:color="auto"/>
              </w:divBdr>
            </w:div>
            <w:div w:id="596451266">
              <w:marLeft w:val="0"/>
              <w:marRight w:val="0"/>
              <w:marTop w:val="0"/>
              <w:marBottom w:val="0"/>
              <w:divBdr>
                <w:top w:val="none" w:sz="0" w:space="0" w:color="auto"/>
                <w:left w:val="none" w:sz="0" w:space="0" w:color="auto"/>
                <w:bottom w:val="none" w:sz="0" w:space="0" w:color="auto"/>
                <w:right w:val="none" w:sz="0" w:space="0" w:color="auto"/>
              </w:divBdr>
            </w:div>
            <w:div w:id="765687883">
              <w:marLeft w:val="0"/>
              <w:marRight w:val="0"/>
              <w:marTop w:val="0"/>
              <w:marBottom w:val="0"/>
              <w:divBdr>
                <w:top w:val="none" w:sz="0" w:space="0" w:color="auto"/>
                <w:left w:val="none" w:sz="0" w:space="0" w:color="auto"/>
                <w:bottom w:val="none" w:sz="0" w:space="0" w:color="auto"/>
                <w:right w:val="none" w:sz="0" w:space="0" w:color="auto"/>
              </w:divBdr>
            </w:div>
            <w:div w:id="951863893">
              <w:marLeft w:val="0"/>
              <w:marRight w:val="0"/>
              <w:marTop w:val="0"/>
              <w:marBottom w:val="0"/>
              <w:divBdr>
                <w:top w:val="none" w:sz="0" w:space="0" w:color="auto"/>
                <w:left w:val="none" w:sz="0" w:space="0" w:color="auto"/>
                <w:bottom w:val="none" w:sz="0" w:space="0" w:color="auto"/>
                <w:right w:val="none" w:sz="0" w:space="0" w:color="auto"/>
              </w:divBdr>
            </w:div>
            <w:div w:id="1015762713">
              <w:marLeft w:val="0"/>
              <w:marRight w:val="0"/>
              <w:marTop w:val="0"/>
              <w:marBottom w:val="0"/>
              <w:divBdr>
                <w:top w:val="none" w:sz="0" w:space="0" w:color="auto"/>
                <w:left w:val="none" w:sz="0" w:space="0" w:color="auto"/>
                <w:bottom w:val="none" w:sz="0" w:space="0" w:color="auto"/>
                <w:right w:val="none" w:sz="0" w:space="0" w:color="auto"/>
              </w:divBdr>
            </w:div>
            <w:div w:id="1127353287">
              <w:marLeft w:val="0"/>
              <w:marRight w:val="0"/>
              <w:marTop w:val="0"/>
              <w:marBottom w:val="0"/>
              <w:divBdr>
                <w:top w:val="none" w:sz="0" w:space="0" w:color="auto"/>
                <w:left w:val="none" w:sz="0" w:space="0" w:color="auto"/>
                <w:bottom w:val="none" w:sz="0" w:space="0" w:color="auto"/>
                <w:right w:val="none" w:sz="0" w:space="0" w:color="auto"/>
              </w:divBdr>
            </w:div>
            <w:div w:id="1135491112">
              <w:marLeft w:val="0"/>
              <w:marRight w:val="0"/>
              <w:marTop w:val="0"/>
              <w:marBottom w:val="0"/>
              <w:divBdr>
                <w:top w:val="none" w:sz="0" w:space="0" w:color="auto"/>
                <w:left w:val="none" w:sz="0" w:space="0" w:color="auto"/>
                <w:bottom w:val="none" w:sz="0" w:space="0" w:color="auto"/>
                <w:right w:val="none" w:sz="0" w:space="0" w:color="auto"/>
              </w:divBdr>
            </w:div>
            <w:div w:id="1149515677">
              <w:marLeft w:val="0"/>
              <w:marRight w:val="0"/>
              <w:marTop w:val="0"/>
              <w:marBottom w:val="0"/>
              <w:divBdr>
                <w:top w:val="none" w:sz="0" w:space="0" w:color="auto"/>
                <w:left w:val="none" w:sz="0" w:space="0" w:color="auto"/>
                <w:bottom w:val="none" w:sz="0" w:space="0" w:color="auto"/>
                <w:right w:val="none" w:sz="0" w:space="0" w:color="auto"/>
              </w:divBdr>
            </w:div>
            <w:div w:id="1461261611">
              <w:marLeft w:val="0"/>
              <w:marRight w:val="0"/>
              <w:marTop w:val="0"/>
              <w:marBottom w:val="0"/>
              <w:divBdr>
                <w:top w:val="none" w:sz="0" w:space="0" w:color="auto"/>
                <w:left w:val="none" w:sz="0" w:space="0" w:color="auto"/>
                <w:bottom w:val="none" w:sz="0" w:space="0" w:color="auto"/>
                <w:right w:val="none" w:sz="0" w:space="0" w:color="auto"/>
              </w:divBdr>
            </w:div>
            <w:div w:id="1467316710">
              <w:marLeft w:val="0"/>
              <w:marRight w:val="0"/>
              <w:marTop w:val="0"/>
              <w:marBottom w:val="0"/>
              <w:divBdr>
                <w:top w:val="none" w:sz="0" w:space="0" w:color="auto"/>
                <w:left w:val="none" w:sz="0" w:space="0" w:color="auto"/>
                <w:bottom w:val="none" w:sz="0" w:space="0" w:color="auto"/>
                <w:right w:val="none" w:sz="0" w:space="0" w:color="auto"/>
              </w:divBdr>
            </w:div>
            <w:div w:id="1933001568">
              <w:marLeft w:val="0"/>
              <w:marRight w:val="0"/>
              <w:marTop w:val="0"/>
              <w:marBottom w:val="0"/>
              <w:divBdr>
                <w:top w:val="none" w:sz="0" w:space="0" w:color="auto"/>
                <w:left w:val="none" w:sz="0" w:space="0" w:color="auto"/>
                <w:bottom w:val="none" w:sz="0" w:space="0" w:color="auto"/>
                <w:right w:val="none" w:sz="0" w:space="0" w:color="auto"/>
              </w:divBdr>
            </w:div>
            <w:div w:id="1944917109">
              <w:marLeft w:val="0"/>
              <w:marRight w:val="0"/>
              <w:marTop w:val="0"/>
              <w:marBottom w:val="0"/>
              <w:divBdr>
                <w:top w:val="none" w:sz="0" w:space="0" w:color="auto"/>
                <w:left w:val="none" w:sz="0" w:space="0" w:color="auto"/>
                <w:bottom w:val="none" w:sz="0" w:space="0" w:color="auto"/>
                <w:right w:val="none" w:sz="0" w:space="0" w:color="auto"/>
              </w:divBdr>
            </w:div>
            <w:div w:id="1946575228">
              <w:marLeft w:val="0"/>
              <w:marRight w:val="0"/>
              <w:marTop w:val="0"/>
              <w:marBottom w:val="0"/>
              <w:divBdr>
                <w:top w:val="none" w:sz="0" w:space="0" w:color="auto"/>
                <w:left w:val="none" w:sz="0" w:space="0" w:color="auto"/>
                <w:bottom w:val="none" w:sz="0" w:space="0" w:color="auto"/>
                <w:right w:val="none" w:sz="0" w:space="0" w:color="auto"/>
              </w:divBdr>
            </w:div>
            <w:div w:id="1971594217">
              <w:marLeft w:val="0"/>
              <w:marRight w:val="0"/>
              <w:marTop w:val="0"/>
              <w:marBottom w:val="0"/>
              <w:divBdr>
                <w:top w:val="none" w:sz="0" w:space="0" w:color="auto"/>
                <w:left w:val="none" w:sz="0" w:space="0" w:color="auto"/>
                <w:bottom w:val="none" w:sz="0" w:space="0" w:color="auto"/>
                <w:right w:val="none" w:sz="0" w:space="0" w:color="auto"/>
              </w:divBdr>
            </w:div>
          </w:divsChild>
        </w:div>
        <w:div w:id="946810084">
          <w:marLeft w:val="0"/>
          <w:marRight w:val="0"/>
          <w:marTop w:val="0"/>
          <w:marBottom w:val="0"/>
          <w:divBdr>
            <w:top w:val="none" w:sz="0" w:space="0" w:color="auto"/>
            <w:left w:val="none" w:sz="0" w:space="0" w:color="auto"/>
            <w:bottom w:val="none" w:sz="0" w:space="0" w:color="auto"/>
            <w:right w:val="none" w:sz="0" w:space="0" w:color="auto"/>
          </w:divBdr>
        </w:div>
        <w:div w:id="1115635417">
          <w:marLeft w:val="0"/>
          <w:marRight w:val="0"/>
          <w:marTop w:val="0"/>
          <w:marBottom w:val="0"/>
          <w:divBdr>
            <w:top w:val="none" w:sz="0" w:space="0" w:color="auto"/>
            <w:left w:val="none" w:sz="0" w:space="0" w:color="auto"/>
            <w:bottom w:val="none" w:sz="0" w:space="0" w:color="auto"/>
            <w:right w:val="none" w:sz="0" w:space="0" w:color="auto"/>
          </w:divBdr>
        </w:div>
        <w:div w:id="1161888900">
          <w:marLeft w:val="0"/>
          <w:marRight w:val="0"/>
          <w:marTop w:val="0"/>
          <w:marBottom w:val="0"/>
          <w:divBdr>
            <w:top w:val="none" w:sz="0" w:space="0" w:color="auto"/>
            <w:left w:val="none" w:sz="0" w:space="0" w:color="auto"/>
            <w:bottom w:val="none" w:sz="0" w:space="0" w:color="auto"/>
            <w:right w:val="none" w:sz="0" w:space="0" w:color="auto"/>
          </w:divBdr>
        </w:div>
        <w:div w:id="1641305403">
          <w:marLeft w:val="0"/>
          <w:marRight w:val="0"/>
          <w:marTop w:val="0"/>
          <w:marBottom w:val="0"/>
          <w:divBdr>
            <w:top w:val="none" w:sz="0" w:space="0" w:color="auto"/>
            <w:left w:val="none" w:sz="0" w:space="0" w:color="auto"/>
            <w:bottom w:val="none" w:sz="0" w:space="0" w:color="auto"/>
            <w:right w:val="none" w:sz="0" w:space="0" w:color="auto"/>
          </w:divBdr>
          <w:divsChild>
            <w:div w:id="1663241683">
              <w:marLeft w:val="-75"/>
              <w:marRight w:val="0"/>
              <w:marTop w:val="30"/>
              <w:marBottom w:val="30"/>
              <w:divBdr>
                <w:top w:val="none" w:sz="0" w:space="0" w:color="auto"/>
                <w:left w:val="none" w:sz="0" w:space="0" w:color="auto"/>
                <w:bottom w:val="none" w:sz="0" w:space="0" w:color="auto"/>
                <w:right w:val="none" w:sz="0" w:space="0" w:color="auto"/>
              </w:divBdr>
              <w:divsChild>
                <w:div w:id="20867167">
                  <w:marLeft w:val="0"/>
                  <w:marRight w:val="0"/>
                  <w:marTop w:val="0"/>
                  <w:marBottom w:val="0"/>
                  <w:divBdr>
                    <w:top w:val="none" w:sz="0" w:space="0" w:color="auto"/>
                    <w:left w:val="none" w:sz="0" w:space="0" w:color="auto"/>
                    <w:bottom w:val="none" w:sz="0" w:space="0" w:color="auto"/>
                    <w:right w:val="none" w:sz="0" w:space="0" w:color="auto"/>
                  </w:divBdr>
                  <w:divsChild>
                    <w:div w:id="1702433343">
                      <w:marLeft w:val="0"/>
                      <w:marRight w:val="0"/>
                      <w:marTop w:val="0"/>
                      <w:marBottom w:val="0"/>
                      <w:divBdr>
                        <w:top w:val="none" w:sz="0" w:space="0" w:color="auto"/>
                        <w:left w:val="none" w:sz="0" w:space="0" w:color="auto"/>
                        <w:bottom w:val="none" w:sz="0" w:space="0" w:color="auto"/>
                        <w:right w:val="none" w:sz="0" w:space="0" w:color="auto"/>
                      </w:divBdr>
                    </w:div>
                  </w:divsChild>
                </w:div>
                <w:div w:id="25061551">
                  <w:marLeft w:val="0"/>
                  <w:marRight w:val="0"/>
                  <w:marTop w:val="0"/>
                  <w:marBottom w:val="0"/>
                  <w:divBdr>
                    <w:top w:val="none" w:sz="0" w:space="0" w:color="auto"/>
                    <w:left w:val="none" w:sz="0" w:space="0" w:color="auto"/>
                    <w:bottom w:val="none" w:sz="0" w:space="0" w:color="auto"/>
                    <w:right w:val="none" w:sz="0" w:space="0" w:color="auto"/>
                  </w:divBdr>
                  <w:divsChild>
                    <w:div w:id="1699162802">
                      <w:marLeft w:val="0"/>
                      <w:marRight w:val="0"/>
                      <w:marTop w:val="0"/>
                      <w:marBottom w:val="0"/>
                      <w:divBdr>
                        <w:top w:val="none" w:sz="0" w:space="0" w:color="auto"/>
                        <w:left w:val="none" w:sz="0" w:space="0" w:color="auto"/>
                        <w:bottom w:val="none" w:sz="0" w:space="0" w:color="auto"/>
                        <w:right w:val="none" w:sz="0" w:space="0" w:color="auto"/>
                      </w:divBdr>
                    </w:div>
                  </w:divsChild>
                </w:div>
                <w:div w:id="45568590">
                  <w:marLeft w:val="0"/>
                  <w:marRight w:val="0"/>
                  <w:marTop w:val="0"/>
                  <w:marBottom w:val="0"/>
                  <w:divBdr>
                    <w:top w:val="none" w:sz="0" w:space="0" w:color="auto"/>
                    <w:left w:val="none" w:sz="0" w:space="0" w:color="auto"/>
                    <w:bottom w:val="none" w:sz="0" w:space="0" w:color="auto"/>
                    <w:right w:val="none" w:sz="0" w:space="0" w:color="auto"/>
                  </w:divBdr>
                  <w:divsChild>
                    <w:div w:id="160698853">
                      <w:marLeft w:val="0"/>
                      <w:marRight w:val="0"/>
                      <w:marTop w:val="0"/>
                      <w:marBottom w:val="0"/>
                      <w:divBdr>
                        <w:top w:val="none" w:sz="0" w:space="0" w:color="auto"/>
                        <w:left w:val="none" w:sz="0" w:space="0" w:color="auto"/>
                        <w:bottom w:val="none" w:sz="0" w:space="0" w:color="auto"/>
                        <w:right w:val="none" w:sz="0" w:space="0" w:color="auto"/>
                      </w:divBdr>
                    </w:div>
                  </w:divsChild>
                </w:div>
                <w:div w:id="434062137">
                  <w:marLeft w:val="0"/>
                  <w:marRight w:val="0"/>
                  <w:marTop w:val="0"/>
                  <w:marBottom w:val="0"/>
                  <w:divBdr>
                    <w:top w:val="none" w:sz="0" w:space="0" w:color="auto"/>
                    <w:left w:val="none" w:sz="0" w:space="0" w:color="auto"/>
                    <w:bottom w:val="none" w:sz="0" w:space="0" w:color="auto"/>
                    <w:right w:val="none" w:sz="0" w:space="0" w:color="auto"/>
                  </w:divBdr>
                  <w:divsChild>
                    <w:div w:id="757941577">
                      <w:marLeft w:val="0"/>
                      <w:marRight w:val="0"/>
                      <w:marTop w:val="0"/>
                      <w:marBottom w:val="0"/>
                      <w:divBdr>
                        <w:top w:val="none" w:sz="0" w:space="0" w:color="auto"/>
                        <w:left w:val="none" w:sz="0" w:space="0" w:color="auto"/>
                        <w:bottom w:val="none" w:sz="0" w:space="0" w:color="auto"/>
                        <w:right w:val="none" w:sz="0" w:space="0" w:color="auto"/>
                      </w:divBdr>
                    </w:div>
                  </w:divsChild>
                </w:div>
                <w:div w:id="436297582">
                  <w:marLeft w:val="0"/>
                  <w:marRight w:val="0"/>
                  <w:marTop w:val="0"/>
                  <w:marBottom w:val="0"/>
                  <w:divBdr>
                    <w:top w:val="none" w:sz="0" w:space="0" w:color="auto"/>
                    <w:left w:val="none" w:sz="0" w:space="0" w:color="auto"/>
                    <w:bottom w:val="none" w:sz="0" w:space="0" w:color="auto"/>
                    <w:right w:val="none" w:sz="0" w:space="0" w:color="auto"/>
                  </w:divBdr>
                  <w:divsChild>
                    <w:div w:id="2044554578">
                      <w:marLeft w:val="0"/>
                      <w:marRight w:val="0"/>
                      <w:marTop w:val="0"/>
                      <w:marBottom w:val="0"/>
                      <w:divBdr>
                        <w:top w:val="none" w:sz="0" w:space="0" w:color="auto"/>
                        <w:left w:val="none" w:sz="0" w:space="0" w:color="auto"/>
                        <w:bottom w:val="none" w:sz="0" w:space="0" w:color="auto"/>
                        <w:right w:val="none" w:sz="0" w:space="0" w:color="auto"/>
                      </w:divBdr>
                    </w:div>
                  </w:divsChild>
                </w:div>
                <w:div w:id="441414437">
                  <w:marLeft w:val="0"/>
                  <w:marRight w:val="0"/>
                  <w:marTop w:val="0"/>
                  <w:marBottom w:val="0"/>
                  <w:divBdr>
                    <w:top w:val="none" w:sz="0" w:space="0" w:color="auto"/>
                    <w:left w:val="none" w:sz="0" w:space="0" w:color="auto"/>
                    <w:bottom w:val="none" w:sz="0" w:space="0" w:color="auto"/>
                    <w:right w:val="none" w:sz="0" w:space="0" w:color="auto"/>
                  </w:divBdr>
                  <w:divsChild>
                    <w:div w:id="921794489">
                      <w:marLeft w:val="0"/>
                      <w:marRight w:val="0"/>
                      <w:marTop w:val="0"/>
                      <w:marBottom w:val="0"/>
                      <w:divBdr>
                        <w:top w:val="none" w:sz="0" w:space="0" w:color="auto"/>
                        <w:left w:val="none" w:sz="0" w:space="0" w:color="auto"/>
                        <w:bottom w:val="none" w:sz="0" w:space="0" w:color="auto"/>
                        <w:right w:val="none" w:sz="0" w:space="0" w:color="auto"/>
                      </w:divBdr>
                    </w:div>
                  </w:divsChild>
                </w:div>
                <w:div w:id="550117898">
                  <w:marLeft w:val="0"/>
                  <w:marRight w:val="0"/>
                  <w:marTop w:val="0"/>
                  <w:marBottom w:val="0"/>
                  <w:divBdr>
                    <w:top w:val="none" w:sz="0" w:space="0" w:color="auto"/>
                    <w:left w:val="none" w:sz="0" w:space="0" w:color="auto"/>
                    <w:bottom w:val="none" w:sz="0" w:space="0" w:color="auto"/>
                    <w:right w:val="none" w:sz="0" w:space="0" w:color="auto"/>
                  </w:divBdr>
                  <w:divsChild>
                    <w:div w:id="107553482">
                      <w:marLeft w:val="0"/>
                      <w:marRight w:val="0"/>
                      <w:marTop w:val="0"/>
                      <w:marBottom w:val="0"/>
                      <w:divBdr>
                        <w:top w:val="none" w:sz="0" w:space="0" w:color="auto"/>
                        <w:left w:val="none" w:sz="0" w:space="0" w:color="auto"/>
                        <w:bottom w:val="none" w:sz="0" w:space="0" w:color="auto"/>
                        <w:right w:val="none" w:sz="0" w:space="0" w:color="auto"/>
                      </w:divBdr>
                    </w:div>
                  </w:divsChild>
                </w:div>
                <w:div w:id="717508074">
                  <w:marLeft w:val="0"/>
                  <w:marRight w:val="0"/>
                  <w:marTop w:val="0"/>
                  <w:marBottom w:val="0"/>
                  <w:divBdr>
                    <w:top w:val="none" w:sz="0" w:space="0" w:color="auto"/>
                    <w:left w:val="none" w:sz="0" w:space="0" w:color="auto"/>
                    <w:bottom w:val="none" w:sz="0" w:space="0" w:color="auto"/>
                    <w:right w:val="none" w:sz="0" w:space="0" w:color="auto"/>
                  </w:divBdr>
                  <w:divsChild>
                    <w:div w:id="1831602598">
                      <w:marLeft w:val="0"/>
                      <w:marRight w:val="0"/>
                      <w:marTop w:val="0"/>
                      <w:marBottom w:val="0"/>
                      <w:divBdr>
                        <w:top w:val="none" w:sz="0" w:space="0" w:color="auto"/>
                        <w:left w:val="none" w:sz="0" w:space="0" w:color="auto"/>
                        <w:bottom w:val="none" w:sz="0" w:space="0" w:color="auto"/>
                        <w:right w:val="none" w:sz="0" w:space="0" w:color="auto"/>
                      </w:divBdr>
                    </w:div>
                  </w:divsChild>
                </w:div>
                <w:div w:id="791098477">
                  <w:marLeft w:val="0"/>
                  <w:marRight w:val="0"/>
                  <w:marTop w:val="0"/>
                  <w:marBottom w:val="0"/>
                  <w:divBdr>
                    <w:top w:val="none" w:sz="0" w:space="0" w:color="auto"/>
                    <w:left w:val="none" w:sz="0" w:space="0" w:color="auto"/>
                    <w:bottom w:val="none" w:sz="0" w:space="0" w:color="auto"/>
                    <w:right w:val="none" w:sz="0" w:space="0" w:color="auto"/>
                  </w:divBdr>
                  <w:divsChild>
                    <w:div w:id="1431390568">
                      <w:marLeft w:val="0"/>
                      <w:marRight w:val="0"/>
                      <w:marTop w:val="0"/>
                      <w:marBottom w:val="0"/>
                      <w:divBdr>
                        <w:top w:val="none" w:sz="0" w:space="0" w:color="auto"/>
                        <w:left w:val="none" w:sz="0" w:space="0" w:color="auto"/>
                        <w:bottom w:val="none" w:sz="0" w:space="0" w:color="auto"/>
                        <w:right w:val="none" w:sz="0" w:space="0" w:color="auto"/>
                      </w:divBdr>
                    </w:div>
                  </w:divsChild>
                </w:div>
                <w:div w:id="795374435">
                  <w:marLeft w:val="0"/>
                  <w:marRight w:val="0"/>
                  <w:marTop w:val="0"/>
                  <w:marBottom w:val="0"/>
                  <w:divBdr>
                    <w:top w:val="none" w:sz="0" w:space="0" w:color="auto"/>
                    <w:left w:val="none" w:sz="0" w:space="0" w:color="auto"/>
                    <w:bottom w:val="none" w:sz="0" w:space="0" w:color="auto"/>
                    <w:right w:val="none" w:sz="0" w:space="0" w:color="auto"/>
                  </w:divBdr>
                  <w:divsChild>
                    <w:div w:id="1571963366">
                      <w:marLeft w:val="0"/>
                      <w:marRight w:val="0"/>
                      <w:marTop w:val="0"/>
                      <w:marBottom w:val="0"/>
                      <w:divBdr>
                        <w:top w:val="none" w:sz="0" w:space="0" w:color="auto"/>
                        <w:left w:val="none" w:sz="0" w:space="0" w:color="auto"/>
                        <w:bottom w:val="none" w:sz="0" w:space="0" w:color="auto"/>
                        <w:right w:val="none" w:sz="0" w:space="0" w:color="auto"/>
                      </w:divBdr>
                    </w:div>
                  </w:divsChild>
                </w:div>
                <w:div w:id="982781980">
                  <w:marLeft w:val="0"/>
                  <w:marRight w:val="0"/>
                  <w:marTop w:val="0"/>
                  <w:marBottom w:val="0"/>
                  <w:divBdr>
                    <w:top w:val="none" w:sz="0" w:space="0" w:color="auto"/>
                    <w:left w:val="none" w:sz="0" w:space="0" w:color="auto"/>
                    <w:bottom w:val="none" w:sz="0" w:space="0" w:color="auto"/>
                    <w:right w:val="none" w:sz="0" w:space="0" w:color="auto"/>
                  </w:divBdr>
                  <w:divsChild>
                    <w:div w:id="670302977">
                      <w:marLeft w:val="0"/>
                      <w:marRight w:val="0"/>
                      <w:marTop w:val="0"/>
                      <w:marBottom w:val="0"/>
                      <w:divBdr>
                        <w:top w:val="none" w:sz="0" w:space="0" w:color="auto"/>
                        <w:left w:val="none" w:sz="0" w:space="0" w:color="auto"/>
                        <w:bottom w:val="none" w:sz="0" w:space="0" w:color="auto"/>
                        <w:right w:val="none" w:sz="0" w:space="0" w:color="auto"/>
                      </w:divBdr>
                    </w:div>
                  </w:divsChild>
                </w:div>
                <w:div w:id="999774029">
                  <w:marLeft w:val="0"/>
                  <w:marRight w:val="0"/>
                  <w:marTop w:val="0"/>
                  <w:marBottom w:val="0"/>
                  <w:divBdr>
                    <w:top w:val="none" w:sz="0" w:space="0" w:color="auto"/>
                    <w:left w:val="none" w:sz="0" w:space="0" w:color="auto"/>
                    <w:bottom w:val="none" w:sz="0" w:space="0" w:color="auto"/>
                    <w:right w:val="none" w:sz="0" w:space="0" w:color="auto"/>
                  </w:divBdr>
                  <w:divsChild>
                    <w:div w:id="372312837">
                      <w:marLeft w:val="0"/>
                      <w:marRight w:val="0"/>
                      <w:marTop w:val="0"/>
                      <w:marBottom w:val="0"/>
                      <w:divBdr>
                        <w:top w:val="none" w:sz="0" w:space="0" w:color="auto"/>
                        <w:left w:val="none" w:sz="0" w:space="0" w:color="auto"/>
                        <w:bottom w:val="none" w:sz="0" w:space="0" w:color="auto"/>
                        <w:right w:val="none" w:sz="0" w:space="0" w:color="auto"/>
                      </w:divBdr>
                    </w:div>
                  </w:divsChild>
                </w:div>
                <w:div w:id="1058700172">
                  <w:marLeft w:val="0"/>
                  <w:marRight w:val="0"/>
                  <w:marTop w:val="0"/>
                  <w:marBottom w:val="0"/>
                  <w:divBdr>
                    <w:top w:val="none" w:sz="0" w:space="0" w:color="auto"/>
                    <w:left w:val="none" w:sz="0" w:space="0" w:color="auto"/>
                    <w:bottom w:val="none" w:sz="0" w:space="0" w:color="auto"/>
                    <w:right w:val="none" w:sz="0" w:space="0" w:color="auto"/>
                  </w:divBdr>
                  <w:divsChild>
                    <w:div w:id="88356109">
                      <w:marLeft w:val="0"/>
                      <w:marRight w:val="0"/>
                      <w:marTop w:val="0"/>
                      <w:marBottom w:val="0"/>
                      <w:divBdr>
                        <w:top w:val="none" w:sz="0" w:space="0" w:color="auto"/>
                        <w:left w:val="none" w:sz="0" w:space="0" w:color="auto"/>
                        <w:bottom w:val="none" w:sz="0" w:space="0" w:color="auto"/>
                        <w:right w:val="none" w:sz="0" w:space="0" w:color="auto"/>
                      </w:divBdr>
                    </w:div>
                  </w:divsChild>
                </w:div>
                <w:div w:id="1102998074">
                  <w:marLeft w:val="0"/>
                  <w:marRight w:val="0"/>
                  <w:marTop w:val="0"/>
                  <w:marBottom w:val="0"/>
                  <w:divBdr>
                    <w:top w:val="none" w:sz="0" w:space="0" w:color="auto"/>
                    <w:left w:val="none" w:sz="0" w:space="0" w:color="auto"/>
                    <w:bottom w:val="none" w:sz="0" w:space="0" w:color="auto"/>
                    <w:right w:val="none" w:sz="0" w:space="0" w:color="auto"/>
                  </w:divBdr>
                  <w:divsChild>
                    <w:div w:id="244072057">
                      <w:marLeft w:val="0"/>
                      <w:marRight w:val="0"/>
                      <w:marTop w:val="0"/>
                      <w:marBottom w:val="0"/>
                      <w:divBdr>
                        <w:top w:val="none" w:sz="0" w:space="0" w:color="auto"/>
                        <w:left w:val="none" w:sz="0" w:space="0" w:color="auto"/>
                        <w:bottom w:val="none" w:sz="0" w:space="0" w:color="auto"/>
                        <w:right w:val="none" w:sz="0" w:space="0" w:color="auto"/>
                      </w:divBdr>
                    </w:div>
                  </w:divsChild>
                </w:div>
                <w:div w:id="1116634643">
                  <w:marLeft w:val="0"/>
                  <w:marRight w:val="0"/>
                  <w:marTop w:val="0"/>
                  <w:marBottom w:val="0"/>
                  <w:divBdr>
                    <w:top w:val="none" w:sz="0" w:space="0" w:color="auto"/>
                    <w:left w:val="none" w:sz="0" w:space="0" w:color="auto"/>
                    <w:bottom w:val="none" w:sz="0" w:space="0" w:color="auto"/>
                    <w:right w:val="none" w:sz="0" w:space="0" w:color="auto"/>
                  </w:divBdr>
                  <w:divsChild>
                    <w:div w:id="1721855706">
                      <w:marLeft w:val="0"/>
                      <w:marRight w:val="0"/>
                      <w:marTop w:val="0"/>
                      <w:marBottom w:val="0"/>
                      <w:divBdr>
                        <w:top w:val="none" w:sz="0" w:space="0" w:color="auto"/>
                        <w:left w:val="none" w:sz="0" w:space="0" w:color="auto"/>
                        <w:bottom w:val="none" w:sz="0" w:space="0" w:color="auto"/>
                        <w:right w:val="none" w:sz="0" w:space="0" w:color="auto"/>
                      </w:divBdr>
                    </w:div>
                  </w:divsChild>
                </w:div>
                <w:div w:id="1136022395">
                  <w:marLeft w:val="0"/>
                  <w:marRight w:val="0"/>
                  <w:marTop w:val="0"/>
                  <w:marBottom w:val="0"/>
                  <w:divBdr>
                    <w:top w:val="none" w:sz="0" w:space="0" w:color="auto"/>
                    <w:left w:val="none" w:sz="0" w:space="0" w:color="auto"/>
                    <w:bottom w:val="none" w:sz="0" w:space="0" w:color="auto"/>
                    <w:right w:val="none" w:sz="0" w:space="0" w:color="auto"/>
                  </w:divBdr>
                  <w:divsChild>
                    <w:div w:id="893393790">
                      <w:marLeft w:val="0"/>
                      <w:marRight w:val="0"/>
                      <w:marTop w:val="0"/>
                      <w:marBottom w:val="0"/>
                      <w:divBdr>
                        <w:top w:val="none" w:sz="0" w:space="0" w:color="auto"/>
                        <w:left w:val="none" w:sz="0" w:space="0" w:color="auto"/>
                        <w:bottom w:val="none" w:sz="0" w:space="0" w:color="auto"/>
                        <w:right w:val="none" w:sz="0" w:space="0" w:color="auto"/>
                      </w:divBdr>
                    </w:div>
                  </w:divsChild>
                </w:div>
                <w:div w:id="1299264899">
                  <w:marLeft w:val="0"/>
                  <w:marRight w:val="0"/>
                  <w:marTop w:val="0"/>
                  <w:marBottom w:val="0"/>
                  <w:divBdr>
                    <w:top w:val="none" w:sz="0" w:space="0" w:color="auto"/>
                    <w:left w:val="none" w:sz="0" w:space="0" w:color="auto"/>
                    <w:bottom w:val="none" w:sz="0" w:space="0" w:color="auto"/>
                    <w:right w:val="none" w:sz="0" w:space="0" w:color="auto"/>
                  </w:divBdr>
                  <w:divsChild>
                    <w:div w:id="1084454846">
                      <w:marLeft w:val="0"/>
                      <w:marRight w:val="0"/>
                      <w:marTop w:val="0"/>
                      <w:marBottom w:val="0"/>
                      <w:divBdr>
                        <w:top w:val="none" w:sz="0" w:space="0" w:color="auto"/>
                        <w:left w:val="none" w:sz="0" w:space="0" w:color="auto"/>
                        <w:bottom w:val="none" w:sz="0" w:space="0" w:color="auto"/>
                        <w:right w:val="none" w:sz="0" w:space="0" w:color="auto"/>
                      </w:divBdr>
                    </w:div>
                  </w:divsChild>
                </w:div>
                <w:div w:id="1313868153">
                  <w:marLeft w:val="0"/>
                  <w:marRight w:val="0"/>
                  <w:marTop w:val="0"/>
                  <w:marBottom w:val="0"/>
                  <w:divBdr>
                    <w:top w:val="none" w:sz="0" w:space="0" w:color="auto"/>
                    <w:left w:val="none" w:sz="0" w:space="0" w:color="auto"/>
                    <w:bottom w:val="none" w:sz="0" w:space="0" w:color="auto"/>
                    <w:right w:val="none" w:sz="0" w:space="0" w:color="auto"/>
                  </w:divBdr>
                  <w:divsChild>
                    <w:div w:id="928346876">
                      <w:marLeft w:val="0"/>
                      <w:marRight w:val="0"/>
                      <w:marTop w:val="0"/>
                      <w:marBottom w:val="0"/>
                      <w:divBdr>
                        <w:top w:val="none" w:sz="0" w:space="0" w:color="auto"/>
                        <w:left w:val="none" w:sz="0" w:space="0" w:color="auto"/>
                        <w:bottom w:val="none" w:sz="0" w:space="0" w:color="auto"/>
                        <w:right w:val="none" w:sz="0" w:space="0" w:color="auto"/>
                      </w:divBdr>
                    </w:div>
                  </w:divsChild>
                </w:div>
                <w:div w:id="1327442588">
                  <w:marLeft w:val="0"/>
                  <w:marRight w:val="0"/>
                  <w:marTop w:val="0"/>
                  <w:marBottom w:val="0"/>
                  <w:divBdr>
                    <w:top w:val="none" w:sz="0" w:space="0" w:color="auto"/>
                    <w:left w:val="none" w:sz="0" w:space="0" w:color="auto"/>
                    <w:bottom w:val="none" w:sz="0" w:space="0" w:color="auto"/>
                    <w:right w:val="none" w:sz="0" w:space="0" w:color="auto"/>
                  </w:divBdr>
                  <w:divsChild>
                    <w:div w:id="1746296310">
                      <w:marLeft w:val="0"/>
                      <w:marRight w:val="0"/>
                      <w:marTop w:val="0"/>
                      <w:marBottom w:val="0"/>
                      <w:divBdr>
                        <w:top w:val="none" w:sz="0" w:space="0" w:color="auto"/>
                        <w:left w:val="none" w:sz="0" w:space="0" w:color="auto"/>
                        <w:bottom w:val="none" w:sz="0" w:space="0" w:color="auto"/>
                        <w:right w:val="none" w:sz="0" w:space="0" w:color="auto"/>
                      </w:divBdr>
                    </w:div>
                  </w:divsChild>
                </w:div>
                <w:div w:id="1329475979">
                  <w:marLeft w:val="0"/>
                  <w:marRight w:val="0"/>
                  <w:marTop w:val="0"/>
                  <w:marBottom w:val="0"/>
                  <w:divBdr>
                    <w:top w:val="none" w:sz="0" w:space="0" w:color="auto"/>
                    <w:left w:val="none" w:sz="0" w:space="0" w:color="auto"/>
                    <w:bottom w:val="none" w:sz="0" w:space="0" w:color="auto"/>
                    <w:right w:val="none" w:sz="0" w:space="0" w:color="auto"/>
                  </w:divBdr>
                  <w:divsChild>
                    <w:div w:id="1075858806">
                      <w:marLeft w:val="0"/>
                      <w:marRight w:val="0"/>
                      <w:marTop w:val="0"/>
                      <w:marBottom w:val="0"/>
                      <w:divBdr>
                        <w:top w:val="none" w:sz="0" w:space="0" w:color="auto"/>
                        <w:left w:val="none" w:sz="0" w:space="0" w:color="auto"/>
                        <w:bottom w:val="none" w:sz="0" w:space="0" w:color="auto"/>
                        <w:right w:val="none" w:sz="0" w:space="0" w:color="auto"/>
                      </w:divBdr>
                    </w:div>
                  </w:divsChild>
                </w:div>
                <w:div w:id="1376275012">
                  <w:marLeft w:val="0"/>
                  <w:marRight w:val="0"/>
                  <w:marTop w:val="0"/>
                  <w:marBottom w:val="0"/>
                  <w:divBdr>
                    <w:top w:val="none" w:sz="0" w:space="0" w:color="auto"/>
                    <w:left w:val="none" w:sz="0" w:space="0" w:color="auto"/>
                    <w:bottom w:val="none" w:sz="0" w:space="0" w:color="auto"/>
                    <w:right w:val="none" w:sz="0" w:space="0" w:color="auto"/>
                  </w:divBdr>
                  <w:divsChild>
                    <w:div w:id="1503468838">
                      <w:marLeft w:val="0"/>
                      <w:marRight w:val="0"/>
                      <w:marTop w:val="0"/>
                      <w:marBottom w:val="0"/>
                      <w:divBdr>
                        <w:top w:val="none" w:sz="0" w:space="0" w:color="auto"/>
                        <w:left w:val="none" w:sz="0" w:space="0" w:color="auto"/>
                        <w:bottom w:val="none" w:sz="0" w:space="0" w:color="auto"/>
                        <w:right w:val="none" w:sz="0" w:space="0" w:color="auto"/>
                      </w:divBdr>
                    </w:div>
                  </w:divsChild>
                </w:div>
                <w:div w:id="1536842342">
                  <w:marLeft w:val="0"/>
                  <w:marRight w:val="0"/>
                  <w:marTop w:val="0"/>
                  <w:marBottom w:val="0"/>
                  <w:divBdr>
                    <w:top w:val="none" w:sz="0" w:space="0" w:color="auto"/>
                    <w:left w:val="none" w:sz="0" w:space="0" w:color="auto"/>
                    <w:bottom w:val="none" w:sz="0" w:space="0" w:color="auto"/>
                    <w:right w:val="none" w:sz="0" w:space="0" w:color="auto"/>
                  </w:divBdr>
                  <w:divsChild>
                    <w:div w:id="1160120323">
                      <w:marLeft w:val="0"/>
                      <w:marRight w:val="0"/>
                      <w:marTop w:val="0"/>
                      <w:marBottom w:val="0"/>
                      <w:divBdr>
                        <w:top w:val="none" w:sz="0" w:space="0" w:color="auto"/>
                        <w:left w:val="none" w:sz="0" w:space="0" w:color="auto"/>
                        <w:bottom w:val="none" w:sz="0" w:space="0" w:color="auto"/>
                        <w:right w:val="none" w:sz="0" w:space="0" w:color="auto"/>
                      </w:divBdr>
                    </w:div>
                  </w:divsChild>
                </w:div>
                <w:div w:id="1640987418">
                  <w:marLeft w:val="0"/>
                  <w:marRight w:val="0"/>
                  <w:marTop w:val="0"/>
                  <w:marBottom w:val="0"/>
                  <w:divBdr>
                    <w:top w:val="none" w:sz="0" w:space="0" w:color="auto"/>
                    <w:left w:val="none" w:sz="0" w:space="0" w:color="auto"/>
                    <w:bottom w:val="none" w:sz="0" w:space="0" w:color="auto"/>
                    <w:right w:val="none" w:sz="0" w:space="0" w:color="auto"/>
                  </w:divBdr>
                  <w:divsChild>
                    <w:div w:id="1278411689">
                      <w:marLeft w:val="0"/>
                      <w:marRight w:val="0"/>
                      <w:marTop w:val="0"/>
                      <w:marBottom w:val="0"/>
                      <w:divBdr>
                        <w:top w:val="none" w:sz="0" w:space="0" w:color="auto"/>
                        <w:left w:val="none" w:sz="0" w:space="0" w:color="auto"/>
                        <w:bottom w:val="none" w:sz="0" w:space="0" w:color="auto"/>
                        <w:right w:val="none" w:sz="0" w:space="0" w:color="auto"/>
                      </w:divBdr>
                    </w:div>
                  </w:divsChild>
                </w:div>
                <w:div w:id="1711296538">
                  <w:marLeft w:val="0"/>
                  <w:marRight w:val="0"/>
                  <w:marTop w:val="0"/>
                  <w:marBottom w:val="0"/>
                  <w:divBdr>
                    <w:top w:val="none" w:sz="0" w:space="0" w:color="auto"/>
                    <w:left w:val="none" w:sz="0" w:space="0" w:color="auto"/>
                    <w:bottom w:val="none" w:sz="0" w:space="0" w:color="auto"/>
                    <w:right w:val="none" w:sz="0" w:space="0" w:color="auto"/>
                  </w:divBdr>
                  <w:divsChild>
                    <w:div w:id="1100031041">
                      <w:marLeft w:val="0"/>
                      <w:marRight w:val="0"/>
                      <w:marTop w:val="0"/>
                      <w:marBottom w:val="0"/>
                      <w:divBdr>
                        <w:top w:val="none" w:sz="0" w:space="0" w:color="auto"/>
                        <w:left w:val="none" w:sz="0" w:space="0" w:color="auto"/>
                        <w:bottom w:val="none" w:sz="0" w:space="0" w:color="auto"/>
                        <w:right w:val="none" w:sz="0" w:space="0" w:color="auto"/>
                      </w:divBdr>
                    </w:div>
                  </w:divsChild>
                </w:div>
                <w:div w:id="1735006046">
                  <w:marLeft w:val="0"/>
                  <w:marRight w:val="0"/>
                  <w:marTop w:val="0"/>
                  <w:marBottom w:val="0"/>
                  <w:divBdr>
                    <w:top w:val="none" w:sz="0" w:space="0" w:color="auto"/>
                    <w:left w:val="none" w:sz="0" w:space="0" w:color="auto"/>
                    <w:bottom w:val="none" w:sz="0" w:space="0" w:color="auto"/>
                    <w:right w:val="none" w:sz="0" w:space="0" w:color="auto"/>
                  </w:divBdr>
                  <w:divsChild>
                    <w:div w:id="553811826">
                      <w:marLeft w:val="0"/>
                      <w:marRight w:val="0"/>
                      <w:marTop w:val="0"/>
                      <w:marBottom w:val="0"/>
                      <w:divBdr>
                        <w:top w:val="none" w:sz="0" w:space="0" w:color="auto"/>
                        <w:left w:val="none" w:sz="0" w:space="0" w:color="auto"/>
                        <w:bottom w:val="none" w:sz="0" w:space="0" w:color="auto"/>
                        <w:right w:val="none" w:sz="0" w:space="0" w:color="auto"/>
                      </w:divBdr>
                    </w:div>
                  </w:divsChild>
                </w:div>
                <w:div w:id="1740252078">
                  <w:marLeft w:val="0"/>
                  <w:marRight w:val="0"/>
                  <w:marTop w:val="0"/>
                  <w:marBottom w:val="0"/>
                  <w:divBdr>
                    <w:top w:val="none" w:sz="0" w:space="0" w:color="auto"/>
                    <w:left w:val="none" w:sz="0" w:space="0" w:color="auto"/>
                    <w:bottom w:val="none" w:sz="0" w:space="0" w:color="auto"/>
                    <w:right w:val="none" w:sz="0" w:space="0" w:color="auto"/>
                  </w:divBdr>
                  <w:divsChild>
                    <w:div w:id="761529330">
                      <w:marLeft w:val="0"/>
                      <w:marRight w:val="0"/>
                      <w:marTop w:val="0"/>
                      <w:marBottom w:val="0"/>
                      <w:divBdr>
                        <w:top w:val="none" w:sz="0" w:space="0" w:color="auto"/>
                        <w:left w:val="none" w:sz="0" w:space="0" w:color="auto"/>
                        <w:bottom w:val="none" w:sz="0" w:space="0" w:color="auto"/>
                        <w:right w:val="none" w:sz="0" w:space="0" w:color="auto"/>
                      </w:divBdr>
                    </w:div>
                  </w:divsChild>
                </w:div>
                <w:div w:id="1757900731">
                  <w:marLeft w:val="0"/>
                  <w:marRight w:val="0"/>
                  <w:marTop w:val="0"/>
                  <w:marBottom w:val="0"/>
                  <w:divBdr>
                    <w:top w:val="none" w:sz="0" w:space="0" w:color="auto"/>
                    <w:left w:val="none" w:sz="0" w:space="0" w:color="auto"/>
                    <w:bottom w:val="none" w:sz="0" w:space="0" w:color="auto"/>
                    <w:right w:val="none" w:sz="0" w:space="0" w:color="auto"/>
                  </w:divBdr>
                  <w:divsChild>
                    <w:div w:id="1294677195">
                      <w:marLeft w:val="0"/>
                      <w:marRight w:val="0"/>
                      <w:marTop w:val="0"/>
                      <w:marBottom w:val="0"/>
                      <w:divBdr>
                        <w:top w:val="none" w:sz="0" w:space="0" w:color="auto"/>
                        <w:left w:val="none" w:sz="0" w:space="0" w:color="auto"/>
                        <w:bottom w:val="none" w:sz="0" w:space="0" w:color="auto"/>
                        <w:right w:val="none" w:sz="0" w:space="0" w:color="auto"/>
                      </w:divBdr>
                    </w:div>
                  </w:divsChild>
                </w:div>
                <w:div w:id="1843660775">
                  <w:marLeft w:val="0"/>
                  <w:marRight w:val="0"/>
                  <w:marTop w:val="0"/>
                  <w:marBottom w:val="0"/>
                  <w:divBdr>
                    <w:top w:val="none" w:sz="0" w:space="0" w:color="auto"/>
                    <w:left w:val="none" w:sz="0" w:space="0" w:color="auto"/>
                    <w:bottom w:val="none" w:sz="0" w:space="0" w:color="auto"/>
                    <w:right w:val="none" w:sz="0" w:space="0" w:color="auto"/>
                  </w:divBdr>
                  <w:divsChild>
                    <w:div w:id="1792361323">
                      <w:marLeft w:val="0"/>
                      <w:marRight w:val="0"/>
                      <w:marTop w:val="0"/>
                      <w:marBottom w:val="0"/>
                      <w:divBdr>
                        <w:top w:val="none" w:sz="0" w:space="0" w:color="auto"/>
                        <w:left w:val="none" w:sz="0" w:space="0" w:color="auto"/>
                        <w:bottom w:val="none" w:sz="0" w:space="0" w:color="auto"/>
                        <w:right w:val="none" w:sz="0" w:space="0" w:color="auto"/>
                      </w:divBdr>
                    </w:div>
                  </w:divsChild>
                </w:div>
                <w:div w:id="1850942596">
                  <w:marLeft w:val="0"/>
                  <w:marRight w:val="0"/>
                  <w:marTop w:val="0"/>
                  <w:marBottom w:val="0"/>
                  <w:divBdr>
                    <w:top w:val="none" w:sz="0" w:space="0" w:color="auto"/>
                    <w:left w:val="none" w:sz="0" w:space="0" w:color="auto"/>
                    <w:bottom w:val="none" w:sz="0" w:space="0" w:color="auto"/>
                    <w:right w:val="none" w:sz="0" w:space="0" w:color="auto"/>
                  </w:divBdr>
                  <w:divsChild>
                    <w:div w:id="505634996">
                      <w:marLeft w:val="0"/>
                      <w:marRight w:val="0"/>
                      <w:marTop w:val="0"/>
                      <w:marBottom w:val="0"/>
                      <w:divBdr>
                        <w:top w:val="none" w:sz="0" w:space="0" w:color="auto"/>
                        <w:left w:val="none" w:sz="0" w:space="0" w:color="auto"/>
                        <w:bottom w:val="none" w:sz="0" w:space="0" w:color="auto"/>
                        <w:right w:val="none" w:sz="0" w:space="0" w:color="auto"/>
                      </w:divBdr>
                    </w:div>
                  </w:divsChild>
                </w:div>
                <w:div w:id="1852913658">
                  <w:marLeft w:val="0"/>
                  <w:marRight w:val="0"/>
                  <w:marTop w:val="0"/>
                  <w:marBottom w:val="0"/>
                  <w:divBdr>
                    <w:top w:val="none" w:sz="0" w:space="0" w:color="auto"/>
                    <w:left w:val="none" w:sz="0" w:space="0" w:color="auto"/>
                    <w:bottom w:val="none" w:sz="0" w:space="0" w:color="auto"/>
                    <w:right w:val="none" w:sz="0" w:space="0" w:color="auto"/>
                  </w:divBdr>
                  <w:divsChild>
                    <w:div w:id="208155070">
                      <w:marLeft w:val="0"/>
                      <w:marRight w:val="0"/>
                      <w:marTop w:val="0"/>
                      <w:marBottom w:val="0"/>
                      <w:divBdr>
                        <w:top w:val="none" w:sz="0" w:space="0" w:color="auto"/>
                        <w:left w:val="none" w:sz="0" w:space="0" w:color="auto"/>
                        <w:bottom w:val="none" w:sz="0" w:space="0" w:color="auto"/>
                        <w:right w:val="none" w:sz="0" w:space="0" w:color="auto"/>
                      </w:divBdr>
                    </w:div>
                  </w:divsChild>
                </w:div>
                <w:div w:id="1934586489">
                  <w:marLeft w:val="0"/>
                  <w:marRight w:val="0"/>
                  <w:marTop w:val="0"/>
                  <w:marBottom w:val="0"/>
                  <w:divBdr>
                    <w:top w:val="none" w:sz="0" w:space="0" w:color="auto"/>
                    <w:left w:val="none" w:sz="0" w:space="0" w:color="auto"/>
                    <w:bottom w:val="none" w:sz="0" w:space="0" w:color="auto"/>
                    <w:right w:val="none" w:sz="0" w:space="0" w:color="auto"/>
                  </w:divBdr>
                  <w:divsChild>
                    <w:div w:id="730232673">
                      <w:marLeft w:val="0"/>
                      <w:marRight w:val="0"/>
                      <w:marTop w:val="0"/>
                      <w:marBottom w:val="0"/>
                      <w:divBdr>
                        <w:top w:val="none" w:sz="0" w:space="0" w:color="auto"/>
                        <w:left w:val="none" w:sz="0" w:space="0" w:color="auto"/>
                        <w:bottom w:val="none" w:sz="0" w:space="0" w:color="auto"/>
                        <w:right w:val="none" w:sz="0" w:space="0" w:color="auto"/>
                      </w:divBdr>
                    </w:div>
                  </w:divsChild>
                </w:div>
                <w:div w:id="1934975021">
                  <w:marLeft w:val="0"/>
                  <w:marRight w:val="0"/>
                  <w:marTop w:val="0"/>
                  <w:marBottom w:val="0"/>
                  <w:divBdr>
                    <w:top w:val="none" w:sz="0" w:space="0" w:color="auto"/>
                    <w:left w:val="none" w:sz="0" w:space="0" w:color="auto"/>
                    <w:bottom w:val="none" w:sz="0" w:space="0" w:color="auto"/>
                    <w:right w:val="none" w:sz="0" w:space="0" w:color="auto"/>
                  </w:divBdr>
                  <w:divsChild>
                    <w:div w:id="1593276661">
                      <w:marLeft w:val="0"/>
                      <w:marRight w:val="0"/>
                      <w:marTop w:val="0"/>
                      <w:marBottom w:val="0"/>
                      <w:divBdr>
                        <w:top w:val="none" w:sz="0" w:space="0" w:color="auto"/>
                        <w:left w:val="none" w:sz="0" w:space="0" w:color="auto"/>
                        <w:bottom w:val="none" w:sz="0" w:space="0" w:color="auto"/>
                        <w:right w:val="none" w:sz="0" w:space="0" w:color="auto"/>
                      </w:divBdr>
                    </w:div>
                  </w:divsChild>
                </w:div>
                <w:div w:id="1960607461">
                  <w:marLeft w:val="0"/>
                  <w:marRight w:val="0"/>
                  <w:marTop w:val="0"/>
                  <w:marBottom w:val="0"/>
                  <w:divBdr>
                    <w:top w:val="none" w:sz="0" w:space="0" w:color="auto"/>
                    <w:left w:val="none" w:sz="0" w:space="0" w:color="auto"/>
                    <w:bottom w:val="none" w:sz="0" w:space="0" w:color="auto"/>
                    <w:right w:val="none" w:sz="0" w:space="0" w:color="auto"/>
                  </w:divBdr>
                  <w:divsChild>
                    <w:div w:id="389810967">
                      <w:marLeft w:val="0"/>
                      <w:marRight w:val="0"/>
                      <w:marTop w:val="0"/>
                      <w:marBottom w:val="0"/>
                      <w:divBdr>
                        <w:top w:val="none" w:sz="0" w:space="0" w:color="auto"/>
                        <w:left w:val="none" w:sz="0" w:space="0" w:color="auto"/>
                        <w:bottom w:val="none" w:sz="0" w:space="0" w:color="auto"/>
                        <w:right w:val="none" w:sz="0" w:space="0" w:color="auto"/>
                      </w:divBdr>
                    </w:div>
                  </w:divsChild>
                </w:div>
                <w:div w:id="1978802090">
                  <w:marLeft w:val="0"/>
                  <w:marRight w:val="0"/>
                  <w:marTop w:val="0"/>
                  <w:marBottom w:val="0"/>
                  <w:divBdr>
                    <w:top w:val="none" w:sz="0" w:space="0" w:color="auto"/>
                    <w:left w:val="none" w:sz="0" w:space="0" w:color="auto"/>
                    <w:bottom w:val="none" w:sz="0" w:space="0" w:color="auto"/>
                    <w:right w:val="none" w:sz="0" w:space="0" w:color="auto"/>
                  </w:divBdr>
                  <w:divsChild>
                    <w:div w:id="939223034">
                      <w:marLeft w:val="0"/>
                      <w:marRight w:val="0"/>
                      <w:marTop w:val="0"/>
                      <w:marBottom w:val="0"/>
                      <w:divBdr>
                        <w:top w:val="none" w:sz="0" w:space="0" w:color="auto"/>
                        <w:left w:val="none" w:sz="0" w:space="0" w:color="auto"/>
                        <w:bottom w:val="none" w:sz="0" w:space="0" w:color="auto"/>
                        <w:right w:val="none" w:sz="0" w:space="0" w:color="auto"/>
                      </w:divBdr>
                    </w:div>
                  </w:divsChild>
                </w:div>
                <w:div w:id="2016683183">
                  <w:marLeft w:val="0"/>
                  <w:marRight w:val="0"/>
                  <w:marTop w:val="0"/>
                  <w:marBottom w:val="0"/>
                  <w:divBdr>
                    <w:top w:val="none" w:sz="0" w:space="0" w:color="auto"/>
                    <w:left w:val="none" w:sz="0" w:space="0" w:color="auto"/>
                    <w:bottom w:val="none" w:sz="0" w:space="0" w:color="auto"/>
                    <w:right w:val="none" w:sz="0" w:space="0" w:color="auto"/>
                  </w:divBdr>
                  <w:divsChild>
                    <w:div w:id="1400247177">
                      <w:marLeft w:val="0"/>
                      <w:marRight w:val="0"/>
                      <w:marTop w:val="0"/>
                      <w:marBottom w:val="0"/>
                      <w:divBdr>
                        <w:top w:val="none" w:sz="0" w:space="0" w:color="auto"/>
                        <w:left w:val="none" w:sz="0" w:space="0" w:color="auto"/>
                        <w:bottom w:val="none" w:sz="0" w:space="0" w:color="auto"/>
                        <w:right w:val="none" w:sz="0" w:space="0" w:color="auto"/>
                      </w:divBdr>
                    </w:div>
                  </w:divsChild>
                </w:div>
                <w:div w:id="2118016799">
                  <w:marLeft w:val="0"/>
                  <w:marRight w:val="0"/>
                  <w:marTop w:val="0"/>
                  <w:marBottom w:val="0"/>
                  <w:divBdr>
                    <w:top w:val="none" w:sz="0" w:space="0" w:color="auto"/>
                    <w:left w:val="none" w:sz="0" w:space="0" w:color="auto"/>
                    <w:bottom w:val="none" w:sz="0" w:space="0" w:color="auto"/>
                    <w:right w:val="none" w:sz="0" w:space="0" w:color="auto"/>
                  </w:divBdr>
                  <w:divsChild>
                    <w:div w:id="29537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5810">
          <w:marLeft w:val="0"/>
          <w:marRight w:val="0"/>
          <w:marTop w:val="0"/>
          <w:marBottom w:val="0"/>
          <w:divBdr>
            <w:top w:val="none" w:sz="0" w:space="0" w:color="auto"/>
            <w:left w:val="none" w:sz="0" w:space="0" w:color="auto"/>
            <w:bottom w:val="none" w:sz="0" w:space="0" w:color="auto"/>
            <w:right w:val="none" w:sz="0" w:space="0" w:color="auto"/>
          </w:divBdr>
          <w:divsChild>
            <w:div w:id="284117880">
              <w:marLeft w:val="0"/>
              <w:marRight w:val="0"/>
              <w:marTop w:val="0"/>
              <w:marBottom w:val="0"/>
              <w:divBdr>
                <w:top w:val="none" w:sz="0" w:space="0" w:color="auto"/>
                <w:left w:val="none" w:sz="0" w:space="0" w:color="auto"/>
                <w:bottom w:val="none" w:sz="0" w:space="0" w:color="auto"/>
                <w:right w:val="none" w:sz="0" w:space="0" w:color="auto"/>
              </w:divBdr>
            </w:div>
            <w:div w:id="403260284">
              <w:marLeft w:val="0"/>
              <w:marRight w:val="0"/>
              <w:marTop w:val="0"/>
              <w:marBottom w:val="0"/>
              <w:divBdr>
                <w:top w:val="none" w:sz="0" w:space="0" w:color="auto"/>
                <w:left w:val="none" w:sz="0" w:space="0" w:color="auto"/>
                <w:bottom w:val="none" w:sz="0" w:space="0" w:color="auto"/>
                <w:right w:val="none" w:sz="0" w:space="0" w:color="auto"/>
              </w:divBdr>
            </w:div>
            <w:div w:id="590551710">
              <w:marLeft w:val="0"/>
              <w:marRight w:val="0"/>
              <w:marTop w:val="0"/>
              <w:marBottom w:val="0"/>
              <w:divBdr>
                <w:top w:val="none" w:sz="0" w:space="0" w:color="auto"/>
                <w:left w:val="none" w:sz="0" w:space="0" w:color="auto"/>
                <w:bottom w:val="none" w:sz="0" w:space="0" w:color="auto"/>
                <w:right w:val="none" w:sz="0" w:space="0" w:color="auto"/>
              </w:divBdr>
            </w:div>
            <w:div w:id="640696333">
              <w:marLeft w:val="0"/>
              <w:marRight w:val="0"/>
              <w:marTop w:val="0"/>
              <w:marBottom w:val="0"/>
              <w:divBdr>
                <w:top w:val="none" w:sz="0" w:space="0" w:color="auto"/>
                <w:left w:val="none" w:sz="0" w:space="0" w:color="auto"/>
                <w:bottom w:val="none" w:sz="0" w:space="0" w:color="auto"/>
                <w:right w:val="none" w:sz="0" w:space="0" w:color="auto"/>
              </w:divBdr>
            </w:div>
            <w:div w:id="749813716">
              <w:marLeft w:val="0"/>
              <w:marRight w:val="0"/>
              <w:marTop w:val="0"/>
              <w:marBottom w:val="0"/>
              <w:divBdr>
                <w:top w:val="none" w:sz="0" w:space="0" w:color="auto"/>
                <w:left w:val="none" w:sz="0" w:space="0" w:color="auto"/>
                <w:bottom w:val="none" w:sz="0" w:space="0" w:color="auto"/>
                <w:right w:val="none" w:sz="0" w:space="0" w:color="auto"/>
              </w:divBdr>
            </w:div>
            <w:div w:id="768232211">
              <w:marLeft w:val="0"/>
              <w:marRight w:val="0"/>
              <w:marTop w:val="0"/>
              <w:marBottom w:val="0"/>
              <w:divBdr>
                <w:top w:val="none" w:sz="0" w:space="0" w:color="auto"/>
                <w:left w:val="none" w:sz="0" w:space="0" w:color="auto"/>
                <w:bottom w:val="none" w:sz="0" w:space="0" w:color="auto"/>
                <w:right w:val="none" w:sz="0" w:space="0" w:color="auto"/>
              </w:divBdr>
            </w:div>
            <w:div w:id="840850079">
              <w:marLeft w:val="0"/>
              <w:marRight w:val="0"/>
              <w:marTop w:val="0"/>
              <w:marBottom w:val="0"/>
              <w:divBdr>
                <w:top w:val="none" w:sz="0" w:space="0" w:color="auto"/>
                <w:left w:val="none" w:sz="0" w:space="0" w:color="auto"/>
                <w:bottom w:val="none" w:sz="0" w:space="0" w:color="auto"/>
                <w:right w:val="none" w:sz="0" w:space="0" w:color="auto"/>
              </w:divBdr>
            </w:div>
            <w:div w:id="914625653">
              <w:marLeft w:val="0"/>
              <w:marRight w:val="0"/>
              <w:marTop w:val="0"/>
              <w:marBottom w:val="0"/>
              <w:divBdr>
                <w:top w:val="none" w:sz="0" w:space="0" w:color="auto"/>
                <w:left w:val="none" w:sz="0" w:space="0" w:color="auto"/>
                <w:bottom w:val="none" w:sz="0" w:space="0" w:color="auto"/>
                <w:right w:val="none" w:sz="0" w:space="0" w:color="auto"/>
              </w:divBdr>
            </w:div>
            <w:div w:id="1028068654">
              <w:marLeft w:val="0"/>
              <w:marRight w:val="0"/>
              <w:marTop w:val="0"/>
              <w:marBottom w:val="0"/>
              <w:divBdr>
                <w:top w:val="none" w:sz="0" w:space="0" w:color="auto"/>
                <w:left w:val="none" w:sz="0" w:space="0" w:color="auto"/>
                <w:bottom w:val="none" w:sz="0" w:space="0" w:color="auto"/>
                <w:right w:val="none" w:sz="0" w:space="0" w:color="auto"/>
              </w:divBdr>
            </w:div>
            <w:div w:id="1194537343">
              <w:marLeft w:val="0"/>
              <w:marRight w:val="0"/>
              <w:marTop w:val="0"/>
              <w:marBottom w:val="0"/>
              <w:divBdr>
                <w:top w:val="none" w:sz="0" w:space="0" w:color="auto"/>
                <w:left w:val="none" w:sz="0" w:space="0" w:color="auto"/>
                <w:bottom w:val="none" w:sz="0" w:space="0" w:color="auto"/>
                <w:right w:val="none" w:sz="0" w:space="0" w:color="auto"/>
              </w:divBdr>
            </w:div>
            <w:div w:id="1206410194">
              <w:marLeft w:val="0"/>
              <w:marRight w:val="0"/>
              <w:marTop w:val="0"/>
              <w:marBottom w:val="0"/>
              <w:divBdr>
                <w:top w:val="none" w:sz="0" w:space="0" w:color="auto"/>
                <w:left w:val="none" w:sz="0" w:space="0" w:color="auto"/>
                <w:bottom w:val="none" w:sz="0" w:space="0" w:color="auto"/>
                <w:right w:val="none" w:sz="0" w:space="0" w:color="auto"/>
              </w:divBdr>
            </w:div>
            <w:div w:id="1216043564">
              <w:marLeft w:val="0"/>
              <w:marRight w:val="0"/>
              <w:marTop w:val="0"/>
              <w:marBottom w:val="0"/>
              <w:divBdr>
                <w:top w:val="none" w:sz="0" w:space="0" w:color="auto"/>
                <w:left w:val="none" w:sz="0" w:space="0" w:color="auto"/>
                <w:bottom w:val="none" w:sz="0" w:space="0" w:color="auto"/>
                <w:right w:val="none" w:sz="0" w:space="0" w:color="auto"/>
              </w:divBdr>
            </w:div>
            <w:div w:id="1321348048">
              <w:marLeft w:val="0"/>
              <w:marRight w:val="0"/>
              <w:marTop w:val="0"/>
              <w:marBottom w:val="0"/>
              <w:divBdr>
                <w:top w:val="none" w:sz="0" w:space="0" w:color="auto"/>
                <w:left w:val="none" w:sz="0" w:space="0" w:color="auto"/>
                <w:bottom w:val="none" w:sz="0" w:space="0" w:color="auto"/>
                <w:right w:val="none" w:sz="0" w:space="0" w:color="auto"/>
              </w:divBdr>
            </w:div>
            <w:div w:id="1379276401">
              <w:marLeft w:val="0"/>
              <w:marRight w:val="0"/>
              <w:marTop w:val="0"/>
              <w:marBottom w:val="0"/>
              <w:divBdr>
                <w:top w:val="none" w:sz="0" w:space="0" w:color="auto"/>
                <w:left w:val="none" w:sz="0" w:space="0" w:color="auto"/>
                <w:bottom w:val="none" w:sz="0" w:space="0" w:color="auto"/>
                <w:right w:val="none" w:sz="0" w:space="0" w:color="auto"/>
              </w:divBdr>
            </w:div>
            <w:div w:id="1423987038">
              <w:marLeft w:val="0"/>
              <w:marRight w:val="0"/>
              <w:marTop w:val="0"/>
              <w:marBottom w:val="0"/>
              <w:divBdr>
                <w:top w:val="none" w:sz="0" w:space="0" w:color="auto"/>
                <w:left w:val="none" w:sz="0" w:space="0" w:color="auto"/>
                <w:bottom w:val="none" w:sz="0" w:space="0" w:color="auto"/>
                <w:right w:val="none" w:sz="0" w:space="0" w:color="auto"/>
              </w:divBdr>
            </w:div>
            <w:div w:id="1813280801">
              <w:marLeft w:val="0"/>
              <w:marRight w:val="0"/>
              <w:marTop w:val="0"/>
              <w:marBottom w:val="0"/>
              <w:divBdr>
                <w:top w:val="none" w:sz="0" w:space="0" w:color="auto"/>
                <w:left w:val="none" w:sz="0" w:space="0" w:color="auto"/>
                <w:bottom w:val="none" w:sz="0" w:space="0" w:color="auto"/>
                <w:right w:val="none" w:sz="0" w:space="0" w:color="auto"/>
              </w:divBdr>
            </w:div>
            <w:div w:id="1831016685">
              <w:marLeft w:val="0"/>
              <w:marRight w:val="0"/>
              <w:marTop w:val="0"/>
              <w:marBottom w:val="0"/>
              <w:divBdr>
                <w:top w:val="none" w:sz="0" w:space="0" w:color="auto"/>
                <w:left w:val="none" w:sz="0" w:space="0" w:color="auto"/>
                <w:bottom w:val="none" w:sz="0" w:space="0" w:color="auto"/>
                <w:right w:val="none" w:sz="0" w:space="0" w:color="auto"/>
              </w:divBdr>
            </w:div>
            <w:div w:id="1919053124">
              <w:marLeft w:val="0"/>
              <w:marRight w:val="0"/>
              <w:marTop w:val="0"/>
              <w:marBottom w:val="0"/>
              <w:divBdr>
                <w:top w:val="none" w:sz="0" w:space="0" w:color="auto"/>
                <w:left w:val="none" w:sz="0" w:space="0" w:color="auto"/>
                <w:bottom w:val="none" w:sz="0" w:space="0" w:color="auto"/>
                <w:right w:val="none" w:sz="0" w:space="0" w:color="auto"/>
              </w:divBdr>
            </w:div>
            <w:div w:id="1989284319">
              <w:marLeft w:val="0"/>
              <w:marRight w:val="0"/>
              <w:marTop w:val="0"/>
              <w:marBottom w:val="0"/>
              <w:divBdr>
                <w:top w:val="none" w:sz="0" w:space="0" w:color="auto"/>
                <w:left w:val="none" w:sz="0" w:space="0" w:color="auto"/>
                <w:bottom w:val="none" w:sz="0" w:space="0" w:color="auto"/>
                <w:right w:val="none" w:sz="0" w:space="0" w:color="auto"/>
              </w:divBdr>
            </w:div>
            <w:div w:id="2121991220">
              <w:marLeft w:val="0"/>
              <w:marRight w:val="0"/>
              <w:marTop w:val="0"/>
              <w:marBottom w:val="0"/>
              <w:divBdr>
                <w:top w:val="none" w:sz="0" w:space="0" w:color="auto"/>
                <w:left w:val="none" w:sz="0" w:space="0" w:color="auto"/>
                <w:bottom w:val="none" w:sz="0" w:space="0" w:color="auto"/>
                <w:right w:val="none" w:sz="0" w:space="0" w:color="auto"/>
              </w:divBdr>
            </w:div>
          </w:divsChild>
        </w:div>
        <w:div w:id="1773430022">
          <w:marLeft w:val="0"/>
          <w:marRight w:val="0"/>
          <w:marTop w:val="0"/>
          <w:marBottom w:val="0"/>
          <w:divBdr>
            <w:top w:val="none" w:sz="0" w:space="0" w:color="auto"/>
            <w:left w:val="none" w:sz="0" w:space="0" w:color="auto"/>
            <w:bottom w:val="none" w:sz="0" w:space="0" w:color="auto"/>
            <w:right w:val="none" w:sz="0" w:space="0" w:color="auto"/>
          </w:divBdr>
        </w:div>
        <w:div w:id="1906066168">
          <w:marLeft w:val="0"/>
          <w:marRight w:val="0"/>
          <w:marTop w:val="0"/>
          <w:marBottom w:val="0"/>
          <w:divBdr>
            <w:top w:val="none" w:sz="0" w:space="0" w:color="auto"/>
            <w:left w:val="none" w:sz="0" w:space="0" w:color="auto"/>
            <w:bottom w:val="none" w:sz="0" w:space="0" w:color="auto"/>
            <w:right w:val="none" w:sz="0" w:space="0" w:color="auto"/>
          </w:divBdr>
          <w:divsChild>
            <w:div w:id="6098788">
              <w:marLeft w:val="0"/>
              <w:marRight w:val="0"/>
              <w:marTop w:val="0"/>
              <w:marBottom w:val="0"/>
              <w:divBdr>
                <w:top w:val="none" w:sz="0" w:space="0" w:color="auto"/>
                <w:left w:val="none" w:sz="0" w:space="0" w:color="auto"/>
                <w:bottom w:val="none" w:sz="0" w:space="0" w:color="auto"/>
                <w:right w:val="none" w:sz="0" w:space="0" w:color="auto"/>
              </w:divBdr>
            </w:div>
            <w:div w:id="7097292">
              <w:marLeft w:val="0"/>
              <w:marRight w:val="0"/>
              <w:marTop w:val="0"/>
              <w:marBottom w:val="0"/>
              <w:divBdr>
                <w:top w:val="none" w:sz="0" w:space="0" w:color="auto"/>
                <w:left w:val="none" w:sz="0" w:space="0" w:color="auto"/>
                <w:bottom w:val="none" w:sz="0" w:space="0" w:color="auto"/>
                <w:right w:val="none" w:sz="0" w:space="0" w:color="auto"/>
              </w:divBdr>
            </w:div>
            <w:div w:id="49774403">
              <w:marLeft w:val="0"/>
              <w:marRight w:val="0"/>
              <w:marTop w:val="0"/>
              <w:marBottom w:val="0"/>
              <w:divBdr>
                <w:top w:val="none" w:sz="0" w:space="0" w:color="auto"/>
                <w:left w:val="none" w:sz="0" w:space="0" w:color="auto"/>
                <w:bottom w:val="none" w:sz="0" w:space="0" w:color="auto"/>
                <w:right w:val="none" w:sz="0" w:space="0" w:color="auto"/>
              </w:divBdr>
            </w:div>
            <w:div w:id="63382250">
              <w:marLeft w:val="0"/>
              <w:marRight w:val="0"/>
              <w:marTop w:val="0"/>
              <w:marBottom w:val="0"/>
              <w:divBdr>
                <w:top w:val="none" w:sz="0" w:space="0" w:color="auto"/>
                <w:left w:val="none" w:sz="0" w:space="0" w:color="auto"/>
                <w:bottom w:val="none" w:sz="0" w:space="0" w:color="auto"/>
                <w:right w:val="none" w:sz="0" w:space="0" w:color="auto"/>
              </w:divBdr>
            </w:div>
            <w:div w:id="115754608">
              <w:marLeft w:val="0"/>
              <w:marRight w:val="0"/>
              <w:marTop w:val="0"/>
              <w:marBottom w:val="0"/>
              <w:divBdr>
                <w:top w:val="none" w:sz="0" w:space="0" w:color="auto"/>
                <w:left w:val="none" w:sz="0" w:space="0" w:color="auto"/>
                <w:bottom w:val="none" w:sz="0" w:space="0" w:color="auto"/>
                <w:right w:val="none" w:sz="0" w:space="0" w:color="auto"/>
              </w:divBdr>
            </w:div>
            <w:div w:id="175266509">
              <w:marLeft w:val="0"/>
              <w:marRight w:val="0"/>
              <w:marTop w:val="0"/>
              <w:marBottom w:val="0"/>
              <w:divBdr>
                <w:top w:val="none" w:sz="0" w:space="0" w:color="auto"/>
                <w:left w:val="none" w:sz="0" w:space="0" w:color="auto"/>
                <w:bottom w:val="none" w:sz="0" w:space="0" w:color="auto"/>
                <w:right w:val="none" w:sz="0" w:space="0" w:color="auto"/>
              </w:divBdr>
            </w:div>
            <w:div w:id="219024678">
              <w:marLeft w:val="0"/>
              <w:marRight w:val="0"/>
              <w:marTop w:val="0"/>
              <w:marBottom w:val="0"/>
              <w:divBdr>
                <w:top w:val="none" w:sz="0" w:space="0" w:color="auto"/>
                <w:left w:val="none" w:sz="0" w:space="0" w:color="auto"/>
                <w:bottom w:val="none" w:sz="0" w:space="0" w:color="auto"/>
                <w:right w:val="none" w:sz="0" w:space="0" w:color="auto"/>
              </w:divBdr>
            </w:div>
            <w:div w:id="298190805">
              <w:marLeft w:val="0"/>
              <w:marRight w:val="0"/>
              <w:marTop w:val="0"/>
              <w:marBottom w:val="0"/>
              <w:divBdr>
                <w:top w:val="none" w:sz="0" w:space="0" w:color="auto"/>
                <w:left w:val="none" w:sz="0" w:space="0" w:color="auto"/>
                <w:bottom w:val="none" w:sz="0" w:space="0" w:color="auto"/>
                <w:right w:val="none" w:sz="0" w:space="0" w:color="auto"/>
              </w:divBdr>
            </w:div>
            <w:div w:id="371393462">
              <w:marLeft w:val="0"/>
              <w:marRight w:val="0"/>
              <w:marTop w:val="0"/>
              <w:marBottom w:val="0"/>
              <w:divBdr>
                <w:top w:val="none" w:sz="0" w:space="0" w:color="auto"/>
                <w:left w:val="none" w:sz="0" w:space="0" w:color="auto"/>
                <w:bottom w:val="none" w:sz="0" w:space="0" w:color="auto"/>
                <w:right w:val="none" w:sz="0" w:space="0" w:color="auto"/>
              </w:divBdr>
            </w:div>
            <w:div w:id="433940938">
              <w:marLeft w:val="0"/>
              <w:marRight w:val="0"/>
              <w:marTop w:val="0"/>
              <w:marBottom w:val="0"/>
              <w:divBdr>
                <w:top w:val="none" w:sz="0" w:space="0" w:color="auto"/>
                <w:left w:val="none" w:sz="0" w:space="0" w:color="auto"/>
                <w:bottom w:val="none" w:sz="0" w:space="0" w:color="auto"/>
                <w:right w:val="none" w:sz="0" w:space="0" w:color="auto"/>
              </w:divBdr>
            </w:div>
            <w:div w:id="463811626">
              <w:marLeft w:val="0"/>
              <w:marRight w:val="0"/>
              <w:marTop w:val="0"/>
              <w:marBottom w:val="0"/>
              <w:divBdr>
                <w:top w:val="none" w:sz="0" w:space="0" w:color="auto"/>
                <w:left w:val="none" w:sz="0" w:space="0" w:color="auto"/>
                <w:bottom w:val="none" w:sz="0" w:space="0" w:color="auto"/>
                <w:right w:val="none" w:sz="0" w:space="0" w:color="auto"/>
              </w:divBdr>
            </w:div>
            <w:div w:id="797602974">
              <w:marLeft w:val="0"/>
              <w:marRight w:val="0"/>
              <w:marTop w:val="0"/>
              <w:marBottom w:val="0"/>
              <w:divBdr>
                <w:top w:val="none" w:sz="0" w:space="0" w:color="auto"/>
                <w:left w:val="none" w:sz="0" w:space="0" w:color="auto"/>
                <w:bottom w:val="none" w:sz="0" w:space="0" w:color="auto"/>
                <w:right w:val="none" w:sz="0" w:space="0" w:color="auto"/>
              </w:divBdr>
            </w:div>
            <w:div w:id="857427178">
              <w:marLeft w:val="0"/>
              <w:marRight w:val="0"/>
              <w:marTop w:val="0"/>
              <w:marBottom w:val="0"/>
              <w:divBdr>
                <w:top w:val="none" w:sz="0" w:space="0" w:color="auto"/>
                <w:left w:val="none" w:sz="0" w:space="0" w:color="auto"/>
                <w:bottom w:val="none" w:sz="0" w:space="0" w:color="auto"/>
                <w:right w:val="none" w:sz="0" w:space="0" w:color="auto"/>
              </w:divBdr>
            </w:div>
            <w:div w:id="883181535">
              <w:marLeft w:val="0"/>
              <w:marRight w:val="0"/>
              <w:marTop w:val="0"/>
              <w:marBottom w:val="0"/>
              <w:divBdr>
                <w:top w:val="none" w:sz="0" w:space="0" w:color="auto"/>
                <w:left w:val="none" w:sz="0" w:space="0" w:color="auto"/>
                <w:bottom w:val="none" w:sz="0" w:space="0" w:color="auto"/>
                <w:right w:val="none" w:sz="0" w:space="0" w:color="auto"/>
              </w:divBdr>
            </w:div>
            <w:div w:id="1090396191">
              <w:marLeft w:val="0"/>
              <w:marRight w:val="0"/>
              <w:marTop w:val="0"/>
              <w:marBottom w:val="0"/>
              <w:divBdr>
                <w:top w:val="none" w:sz="0" w:space="0" w:color="auto"/>
                <w:left w:val="none" w:sz="0" w:space="0" w:color="auto"/>
                <w:bottom w:val="none" w:sz="0" w:space="0" w:color="auto"/>
                <w:right w:val="none" w:sz="0" w:space="0" w:color="auto"/>
              </w:divBdr>
            </w:div>
            <w:div w:id="1200701482">
              <w:marLeft w:val="0"/>
              <w:marRight w:val="0"/>
              <w:marTop w:val="0"/>
              <w:marBottom w:val="0"/>
              <w:divBdr>
                <w:top w:val="none" w:sz="0" w:space="0" w:color="auto"/>
                <w:left w:val="none" w:sz="0" w:space="0" w:color="auto"/>
                <w:bottom w:val="none" w:sz="0" w:space="0" w:color="auto"/>
                <w:right w:val="none" w:sz="0" w:space="0" w:color="auto"/>
              </w:divBdr>
            </w:div>
            <w:div w:id="1242712412">
              <w:marLeft w:val="0"/>
              <w:marRight w:val="0"/>
              <w:marTop w:val="0"/>
              <w:marBottom w:val="0"/>
              <w:divBdr>
                <w:top w:val="none" w:sz="0" w:space="0" w:color="auto"/>
                <w:left w:val="none" w:sz="0" w:space="0" w:color="auto"/>
                <w:bottom w:val="none" w:sz="0" w:space="0" w:color="auto"/>
                <w:right w:val="none" w:sz="0" w:space="0" w:color="auto"/>
              </w:divBdr>
            </w:div>
            <w:div w:id="1351764541">
              <w:marLeft w:val="0"/>
              <w:marRight w:val="0"/>
              <w:marTop w:val="0"/>
              <w:marBottom w:val="0"/>
              <w:divBdr>
                <w:top w:val="none" w:sz="0" w:space="0" w:color="auto"/>
                <w:left w:val="none" w:sz="0" w:space="0" w:color="auto"/>
                <w:bottom w:val="none" w:sz="0" w:space="0" w:color="auto"/>
                <w:right w:val="none" w:sz="0" w:space="0" w:color="auto"/>
              </w:divBdr>
            </w:div>
            <w:div w:id="1670521763">
              <w:marLeft w:val="0"/>
              <w:marRight w:val="0"/>
              <w:marTop w:val="0"/>
              <w:marBottom w:val="0"/>
              <w:divBdr>
                <w:top w:val="none" w:sz="0" w:space="0" w:color="auto"/>
                <w:left w:val="none" w:sz="0" w:space="0" w:color="auto"/>
                <w:bottom w:val="none" w:sz="0" w:space="0" w:color="auto"/>
                <w:right w:val="none" w:sz="0" w:space="0" w:color="auto"/>
              </w:divBdr>
            </w:div>
            <w:div w:id="1856965974">
              <w:marLeft w:val="0"/>
              <w:marRight w:val="0"/>
              <w:marTop w:val="0"/>
              <w:marBottom w:val="0"/>
              <w:divBdr>
                <w:top w:val="none" w:sz="0" w:space="0" w:color="auto"/>
                <w:left w:val="none" w:sz="0" w:space="0" w:color="auto"/>
                <w:bottom w:val="none" w:sz="0" w:space="0" w:color="auto"/>
                <w:right w:val="none" w:sz="0" w:space="0" w:color="auto"/>
              </w:divBdr>
            </w:div>
          </w:divsChild>
        </w:div>
        <w:div w:id="1975714598">
          <w:marLeft w:val="0"/>
          <w:marRight w:val="0"/>
          <w:marTop w:val="0"/>
          <w:marBottom w:val="0"/>
          <w:divBdr>
            <w:top w:val="none" w:sz="0" w:space="0" w:color="auto"/>
            <w:left w:val="none" w:sz="0" w:space="0" w:color="auto"/>
            <w:bottom w:val="none" w:sz="0" w:space="0" w:color="auto"/>
            <w:right w:val="none" w:sz="0" w:space="0" w:color="auto"/>
          </w:divBdr>
          <w:divsChild>
            <w:div w:id="681781170">
              <w:marLeft w:val="-75"/>
              <w:marRight w:val="0"/>
              <w:marTop w:val="30"/>
              <w:marBottom w:val="30"/>
              <w:divBdr>
                <w:top w:val="none" w:sz="0" w:space="0" w:color="auto"/>
                <w:left w:val="none" w:sz="0" w:space="0" w:color="auto"/>
                <w:bottom w:val="none" w:sz="0" w:space="0" w:color="auto"/>
                <w:right w:val="none" w:sz="0" w:space="0" w:color="auto"/>
              </w:divBdr>
              <w:divsChild>
                <w:div w:id="34741604">
                  <w:marLeft w:val="0"/>
                  <w:marRight w:val="0"/>
                  <w:marTop w:val="0"/>
                  <w:marBottom w:val="0"/>
                  <w:divBdr>
                    <w:top w:val="none" w:sz="0" w:space="0" w:color="auto"/>
                    <w:left w:val="none" w:sz="0" w:space="0" w:color="auto"/>
                    <w:bottom w:val="none" w:sz="0" w:space="0" w:color="auto"/>
                    <w:right w:val="none" w:sz="0" w:space="0" w:color="auto"/>
                  </w:divBdr>
                  <w:divsChild>
                    <w:div w:id="1013918206">
                      <w:marLeft w:val="0"/>
                      <w:marRight w:val="0"/>
                      <w:marTop w:val="0"/>
                      <w:marBottom w:val="0"/>
                      <w:divBdr>
                        <w:top w:val="none" w:sz="0" w:space="0" w:color="auto"/>
                        <w:left w:val="none" w:sz="0" w:space="0" w:color="auto"/>
                        <w:bottom w:val="none" w:sz="0" w:space="0" w:color="auto"/>
                        <w:right w:val="none" w:sz="0" w:space="0" w:color="auto"/>
                      </w:divBdr>
                    </w:div>
                  </w:divsChild>
                </w:div>
                <w:div w:id="74985739">
                  <w:marLeft w:val="0"/>
                  <w:marRight w:val="0"/>
                  <w:marTop w:val="0"/>
                  <w:marBottom w:val="0"/>
                  <w:divBdr>
                    <w:top w:val="none" w:sz="0" w:space="0" w:color="auto"/>
                    <w:left w:val="none" w:sz="0" w:space="0" w:color="auto"/>
                    <w:bottom w:val="none" w:sz="0" w:space="0" w:color="auto"/>
                    <w:right w:val="none" w:sz="0" w:space="0" w:color="auto"/>
                  </w:divBdr>
                  <w:divsChild>
                    <w:div w:id="182405332">
                      <w:marLeft w:val="0"/>
                      <w:marRight w:val="0"/>
                      <w:marTop w:val="0"/>
                      <w:marBottom w:val="0"/>
                      <w:divBdr>
                        <w:top w:val="none" w:sz="0" w:space="0" w:color="auto"/>
                        <w:left w:val="none" w:sz="0" w:space="0" w:color="auto"/>
                        <w:bottom w:val="none" w:sz="0" w:space="0" w:color="auto"/>
                        <w:right w:val="none" w:sz="0" w:space="0" w:color="auto"/>
                      </w:divBdr>
                    </w:div>
                  </w:divsChild>
                </w:div>
                <w:div w:id="88084675">
                  <w:marLeft w:val="0"/>
                  <w:marRight w:val="0"/>
                  <w:marTop w:val="0"/>
                  <w:marBottom w:val="0"/>
                  <w:divBdr>
                    <w:top w:val="none" w:sz="0" w:space="0" w:color="auto"/>
                    <w:left w:val="none" w:sz="0" w:space="0" w:color="auto"/>
                    <w:bottom w:val="none" w:sz="0" w:space="0" w:color="auto"/>
                    <w:right w:val="none" w:sz="0" w:space="0" w:color="auto"/>
                  </w:divBdr>
                  <w:divsChild>
                    <w:div w:id="708914543">
                      <w:marLeft w:val="0"/>
                      <w:marRight w:val="0"/>
                      <w:marTop w:val="0"/>
                      <w:marBottom w:val="0"/>
                      <w:divBdr>
                        <w:top w:val="none" w:sz="0" w:space="0" w:color="auto"/>
                        <w:left w:val="none" w:sz="0" w:space="0" w:color="auto"/>
                        <w:bottom w:val="none" w:sz="0" w:space="0" w:color="auto"/>
                        <w:right w:val="none" w:sz="0" w:space="0" w:color="auto"/>
                      </w:divBdr>
                    </w:div>
                  </w:divsChild>
                </w:div>
                <w:div w:id="116991788">
                  <w:marLeft w:val="0"/>
                  <w:marRight w:val="0"/>
                  <w:marTop w:val="0"/>
                  <w:marBottom w:val="0"/>
                  <w:divBdr>
                    <w:top w:val="none" w:sz="0" w:space="0" w:color="auto"/>
                    <w:left w:val="none" w:sz="0" w:space="0" w:color="auto"/>
                    <w:bottom w:val="none" w:sz="0" w:space="0" w:color="auto"/>
                    <w:right w:val="none" w:sz="0" w:space="0" w:color="auto"/>
                  </w:divBdr>
                  <w:divsChild>
                    <w:div w:id="2088067990">
                      <w:marLeft w:val="0"/>
                      <w:marRight w:val="0"/>
                      <w:marTop w:val="0"/>
                      <w:marBottom w:val="0"/>
                      <w:divBdr>
                        <w:top w:val="none" w:sz="0" w:space="0" w:color="auto"/>
                        <w:left w:val="none" w:sz="0" w:space="0" w:color="auto"/>
                        <w:bottom w:val="none" w:sz="0" w:space="0" w:color="auto"/>
                        <w:right w:val="none" w:sz="0" w:space="0" w:color="auto"/>
                      </w:divBdr>
                    </w:div>
                  </w:divsChild>
                </w:div>
                <w:div w:id="175458754">
                  <w:marLeft w:val="0"/>
                  <w:marRight w:val="0"/>
                  <w:marTop w:val="0"/>
                  <w:marBottom w:val="0"/>
                  <w:divBdr>
                    <w:top w:val="none" w:sz="0" w:space="0" w:color="auto"/>
                    <w:left w:val="none" w:sz="0" w:space="0" w:color="auto"/>
                    <w:bottom w:val="none" w:sz="0" w:space="0" w:color="auto"/>
                    <w:right w:val="none" w:sz="0" w:space="0" w:color="auto"/>
                  </w:divBdr>
                  <w:divsChild>
                    <w:div w:id="990909959">
                      <w:marLeft w:val="0"/>
                      <w:marRight w:val="0"/>
                      <w:marTop w:val="0"/>
                      <w:marBottom w:val="0"/>
                      <w:divBdr>
                        <w:top w:val="none" w:sz="0" w:space="0" w:color="auto"/>
                        <w:left w:val="none" w:sz="0" w:space="0" w:color="auto"/>
                        <w:bottom w:val="none" w:sz="0" w:space="0" w:color="auto"/>
                        <w:right w:val="none" w:sz="0" w:space="0" w:color="auto"/>
                      </w:divBdr>
                    </w:div>
                  </w:divsChild>
                </w:div>
                <w:div w:id="264389948">
                  <w:marLeft w:val="0"/>
                  <w:marRight w:val="0"/>
                  <w:marTop w:val="0"/>
                  <w:marBottom w:val="0"/>
                  <w:divBdr>
                    <w:top w:val="none" w:sz="0" w:space="0" w:color="auto"/>
                    <w:left w:val="none" w:sz="0" w:space="0" w:color="auto"/>
                    <w:bottom w:val="none" w:sz="0" w:space="0" w:color="auto"/>
                    <w:right w:val="none" w:sz="0" w:space="0" w:color="auto"/>
                  </w:divBdr>
                  <w:divsChild>
                    <w:div w:id="288979029">
                      <w:marLeft w:val="0"/>
                      <w:marRight w:val="0"/>
                      <w:marTop w:val="0"/>
                      <w:marBottom w:val="0"/>
                      <w:divBdr>
                        <w:top w:val="none" w:sz="0" w:space="0" w:color="auto"/>
                        <w:left w:val="none" w:sz="0" w:space="0" w:color="auto"/>
                        <w:bottom w:val="none" w:sz="0" w:space="0" w:color="auto"/>
                        <w:right w:val="none" w:sz="0" w:space="0" w:color="auto"/>
                      </w:divBdr>
                    </w:div>
                  </w:divsChild>
                </w:div>
                <w:div w:id="330065260">
                  <w:marLeft w:val="0"/>
                  <w:marRight w:val="0"/>
                  <w:marTop w:val="0"/>
                  <w:marBottom w:val="0"/>
                  <w:divBdr>
                    <w:top w:val="none" w:sz="0" w:space="0" w:color="auto"/>
                    <w:left w:val="none" w:sz="0" w:space="0" w:color="auto"/>
                    <w:bottom w:val="none" w:sz="0" w:space="0" w:color="auto"/>
                    <w:right w:val="none" w:sz="0" w:space="0" w:color="auto"/>
                  </w:divBdr>
                  <w:divsChild>
                    <w:div w:id="2072845918">
                      <w:marLeft w:val="0"/>
                      <w:marRight w:val="0"/>
                      <w:marTop w:val="0"/>
                      <w:marBottom w:val="0"/>
                      <w:divBdr>
                        <w:top w:val="none" w:sz="0" w:space="0" w:color="auto"/>
                        <w:left w:val="none" w:sz="0" w:space="0" w:color="auto"/>
                        <w:bottom w:val="none" w:sz="0" w:space="0" w:color="auto"/>
                        <w:right w:val="none" w:sz="0" w:space="0" w:color="auto"/>
                      </w:divBdr>
                    </w:div>
                  </w:divsChild>
                </w:div>
                <w:div w:id="431054451">
                  <w:marLeft w:val="0"/>
                  <w:marRight w:val="0"/>
                  <w:marTop w:val="0"/>
                  <w:marBottom w:val="0"/>
                  <w:divBdr>
                    <w:top w:val="none" w:sz="0" w:space="0" w:color="auto"/>
                    <w:left w:val="none" w:sz="0" w:space="0" w:color="auto"/>
                    <w:bottom w:val="none" w:sz="0" w:space="0" w:color="auto"/>
                    <w:right w:val="none" w:sz="0" w:space="0" w:color="auto"/>
                  </w:divBdr>
                  <w:divsChild>
                    <w:div w:id="574585381">
                      <w:marLeft w:val="0"/>
                      <w:marRight w:val="0"/>
                      <w:marTop w:val="0"/>
                      <w:marBottom w:val="0"/>
                      <w:divBdr>
                        <w:top w:val="none" w:sz="0" w:space="0" w:color="auto"/>
                        <w:left w:val="none" w:sz="0" w:space="0" w:color="auto"/>
                        <w:bottom w:val="none" w:sz="0" w:space="0" w:color="auto"/>
                        <w:right w:val="none" w:sz="0" w:space="0" w:color="auto"/>
                      </w:divBdr>
                    </w:div>
                  </w:divsChild>
                </w:div>
                <w:div w:id="477379184">
                  <w:marLeft w:val="0"/>
                  <w:marRight w:val="0"/>
                  <w:marTop w:val="0"/>
                  <w:marBottom w:val="0"/>
                  <w:divBdr>
                    <w:top w:val="none" w:sz="0" w:space="0" w:color="auto"/>
                    <w:left w:val="none" w:sz="0" w:space="0" w:color="auto"/>
                    <w:bottom w:val="none" w:sz="0" w:space="0" w:color="auto"/>
                    <w:right w:val="none" w:sz="0" w:space="0" w:color="auto"/>
                  </w:divBdr>
                  <w:divsChild>
                    <w:div w:id="646786682">
                      <w:marLeft w:val="0"/>
                      <w:marRight w:val="0"/>
                      <w:marTop w:val="0"/>
                      <w:marBottom w:val="0"/>
                      <w:divBdr>
                        <w:top w:val="none" w:sz="0" w:space="0" w:color="auto"/>
                        <w:left w:val="none" w:sz="0" w:space="0" w:color="auto"/>
                        <w:bottom w:val="none" w:sz="0" w:space="0" w:color="auto"/>
                        <w:right w:val="none" w:sz="0" w:space="0" w:color="auto"/>
                      </w:divBdr>
                    </w:div>
                  </w:divsChild>
                </w:div>
                <w:div w:id="481194657">
                  <w:marLeft w:val="0"/>
                  <w:marRight w:val="0"/>
                  <w:marTop w:val="0"/>
                  <w:marBottom w:val="0"/>
                  <w:divBdr>
                    <w:top w:val="none" w:sz="0" w:space="0" w:color="auto"/>
                    <w:left w:val="none" w:sz="0" w:space="0" w:color="auto"/>
                    <w:bottom w:val="none" w:sz="0" w:space="0" w:color="auto"/>
                    <w:right w:val="none" w:sz="0" w:space="0" w:color="auto"/>
                  </w:divBdr>
                  <w:divsChild>
                    <w:div w:id="1501316488">
                      <w:marLeft w:val="0"/>
                      <w:marRight w:val="0"/>
                      <w:marTop w:val="0"/>
                      <w:marBottom w:val="0"/>
                      <w:divBdr>
                        <w:top w:val="none" w:sz="0" w:space="0" w:color="auto"/>
                        <w:left w:val="none" w:sz="0" w:space="0" w:color="auto"/>
                        <w:bottom w:val="none" w:sz="0" w:space="0" w:color="auto"/>
                        <w:right w:val="none" w:sz="0" w:space="0" w:color="auto"/>
                      </w:divBdr>
                    </w:div>
                  </w:divsChild>
                </w:div>
                <w:div w:id="609776225">
                  <w:marLeft w:val="0"/>
                  <w:marRight w:val="0"/>
                  <w:marTop w:val="0"/>
                  <w:marBottom w:val="0"/>
                  <w:divBdr>
                    <w:top w:val="none" w:sz="0" w:space="0" w:color="auto"/>
                    <w:left w:val="none" w:sz="0" w:space="0" w:color="auto"/>
                    <w:bottom w:val="none" w:sz="0" w:space="0" w:color="auto"/>
                    <w:right w:val="none" w:sz="0" w:space="0" w:color="auto"/>
                  </w:divBdr>
                  <w:divsChild>
                    <w:div w:id="555047413">
                      <w:marLeft w:val="0"/>
                      <w:marRight w:val="0"/>
                      <w:marTop w:val="0"/>
                      <w:marBottom w:val="0"/>
                      <w:divBdr>
                        <w:top w:val="none" w:sz="0" w:space="0" w:color="auto"/>
                        <w:left w:val="none" w:sz="0" w:space="0" w:color="auto"/>
                        <w:bottom w:val="none" w:sz="0" w:space="0" w:color="auto"/>
                        <w:right w:val="none" w:sz="0" w:space="0" w:color="auto"/>
                      </w:divBdr>
                    </w:div>
                  </w:divsChild>
                </w:div>
                <w:div w:id="649359952">
                  <w:marLeft w:val="0"/>
                  <w:marRight w:val="0"/>
                  <w:marTop w:val="0"/>
                  <w:marBottom w:val="0"/>
                  <w:divBdr>
                    <w:top w:val="none" w:sz="0" w:space="0" w:color="auto"/>
                    <w:left w:val="none" w:sz="0" w:space="0" w:color="auto"/>
                    <w:bottom w:val="none" w:sz="0" w:space="0" w:color="auto"/>
                    <w:right w:val="none" w:sz="0" w:space="0" w:color="auto"/>
                  </w:divBdr>
                  <w:divsChild>
                    <w:div w:id="2095742936">
                      <w:marLeft w:val="0"/>
                      <w:marRight w:val="0"/>
                      <w:marTop w:val="0"/>
                      <w:marBottom w:val="0"/>
                      <w:divBdr>
                        <w:top w:val="none" w:sz="0" w:space="0" w:color="auto"/>
                        <w:left w:val="none" w:sz="0" w:space="0" w:color="auto"/>
                        <w:bottom w:val="none" w:sz="0" w:space="0" w:color="auto"/>
                        <w:right w:val="none" w:sz="0" w:space="0" w:color="auto"/>
                      </w:divBdr>
                    </w:div>
                  </w:divsChild>
                </w:div>
                <w:div w:id="701129825">
                  <w:marLeft w:val="0"/>
                  <w:marRight w:val="0"/>
                  <w:marTop w:val="0"/>
                  <w:marBottom w:val="0"/>
                  <w:divBdr>
                    <w:top w:val="none" w:sz="0" w:space="0" w:color="auto"/>
                    <w:left w:val="none" w:sz="0" w:space="0" w:color="auto"/>
                    <w:bottom w:val="none" w:sz="0" w:space="0" w:color="auto"/>
                    <w:right w:val="none" w:sz="0" w:space="0" w:color="auto"/>
                  </w:divBdr>
                  <w:divsChild>
                    <w:div w:id="1256866848">
                      <w:marLeft w:val="0"/>
                      <w:marRight w:val="0"/>
                      <w:marTop w:val="0"/>
                      <w:marBottom w:val="0"/>
                      <w:divBdr>
                        <w:top w:val="none" w:sz="0" w:space="0" w:color="auto"/>
                        <w:left w:val="none" w:sz="0" w:space="0" w:color="auto"/>
                        <w:bottom w:val="none" w:sz="0" w:space="0" w:color="auto"/>
                        <w:right w:val="none" w:sz="0" w:space="0" w:color="auto"/>
                      </w:divBdr>
                    </w:div>
                  </w:divsChild>
                </w:div>
                <w:div w:id="746345668">
                  <w:marLeft w:val="0"/>
                  <w:marRight w:val="0"/>
                  <w:marTop w:val="0"/>
                  <w:marBottom w:val="0"/>
                  <w:divBdr>
                    <w:top w:val="none" w:sz="0" w:space="0" w:color="auto"/>
                    <w:left w:val="none" w:sz="0" w:space="0" w:color="auto"/>
                    <w:bottom w:val="none" w:sz="0" w:space="0" w:color="auto"/>
                    <w:right w:val="none" w:sz="0" w:space="0" w:color="auto"/>
                  </w:divBdr>
                  <w:divsChild>
                    <w:div w:id="85688053">
                      <w:marLeft w:val="0"/>
                      <w:marRight w:val="0"/>
                      <w:marTop w:val="0"/>
                      <w:marBottom w:val="0"/>
                      <w:divBdr>
                        <w:top w:val="none" w:sz="0" w:space="0" w:color="auto"/>
                        <w:left w:val="none" w:sz="0" w:space="0" w:color="auto"/>
                        <w:bottom w:val="none" w:sz="0" w:space="0" w:color="auto"/>
                        <w:right w:val="none" w:sz="0" w:space="0" w:color="auto"/>
                      </w:divBdr>
                    </w:div>
                  </w:divsChild>
                </w:div>
                <w:div w:id="783888533">
                  <w:marLeft w:val="0"/>
                  <w:marRight w:val="0"/>
                  <w:marTop w:val="0"/>
                  <w:marBottom w:val="0"/>
                  <w:divBdr>
                    <w:top w:val="none" w:sz="0" w:space="0" w:color="auto"/>
                    <w:left w:val="none" w:sz="0" w:space="0" w:color="auto"/>
                    <w:bottom w:val="none" w:sz="0" w:space="0" w:color="auto"/>
                    <w:right w:val="none" w:sz="0" w:space="0" w:color="auto"/>
                  </w:divBdr>
                  <w:divsChild>
                    <w:div w:id="169950177">
                      <w:marLeft w:val="0"/>
                      <w:marRight w:val="0"/>
                      <w:marTop w:val="0"/>
                      <w:marBottom w:val="0"/>
                      <w:divBdr>
                        <w:top w:val="none" w:sz="0" w:space="0" w:color="auto"/>
                        <w:left w:val="none" w:sz="0" w:space="0" w:color="auto"/>
                        <w:bottom w:val="none" w:sz="0" w:space="0" w:color="auto"/>
                        <w:right w:val="none" w:sz="0" w:space="0" w:color="auto"/>
                      </w:divBdr>
                    </w:div>
                  </w:divsChild>
                </w:div>
                <w:div w:id="852693665">
                  <w:marLeft w:val="0"/>
                  <w:marRight w:val="0"/>
                  <w:marTop w:val="0"/>
                  <w:marBottom w:val="0"/>
                  <w:divBdr>
                    <w:top w:val="none" w:sz="0" w:space="0" w:color="auto"/>
                    <w:left w:val="none" w:sz="0" w:space="0" w:color="auto"/>
                    <w:bottom w:val="none" w:sz="0" w:space="0" w:color="auto"/>
                    <w:right w:val="none" w:sz="0" w:space="0" w:color="auto"/>
                  </w:divBdr>
                  <w:divsChild>
                    <w:div w:id="1181049500">
                      <w:marLeft w:val="0"/>
                      <w:marRight w:val="0"/>
                      <w:marTop w:val="0"/>
                      <w:marBottom w:val="0"/>
                      <w:divBdr>
                        <w:top w:val="none" w:sz="0" w:space="0" w:color="auto"/>
                        <w:left w:val="none" w:sz="0" w:space="0" w:color="auto"/>
                        <w:bottom w:val="none" w:sz="0" w:space="0" w:color="auto"/>
                        <w:right w:val="none" w:sz="0" w:space="0" w:color="auto"/>
                      </w:divBdr>
                    </w:div>
                  </w:divsChild>
                </w:div>
                <w:div w:id="859319510">
                  <w:marLeft w:val="0"/>
                  <w:marRight w:val="0"/>
                  <w:marTop w:val="0"/>
                  <w:marBottom w:val="0"/>
                  <w:divBdr>
                    <w:top w:val="none" w:sz="0" w:space="0" w:color="auto"/>
                    <w:left w:val="none" w:sz="0" w:space="0" w:color="auto"/>
                    <w:bottom w:val="none" w:sz="0" w:space="0" w:color="auto"/>
                    <w:right w:val="none" w:sz="0" w:space="0" w:color="auto"/>
                  </w:divBdr>
                  <w:divsChild>
                    <w:div w:id="158540003">
                      <w:marLeft w:val="0"/>
                      <w:marRight w:val="0"/>
                      <w:marTop w:val="0"/>
                      <w:marBottom w:val="0"/>
                      <w:divBdr>
                        <w:top w:val="none" w:sz="0" w:space="0" w:color="auto"/>
                        <w:left w:val="none" w:sz="0" w:space="0" w:color="auto"/>
                        <w:bottom w:val="none" w:sz="0" w:space="0" w:color="auto"/>
                        <w:right w:val="none" w:sz="0" w:space="0" w:color="auto"/>
                      </w:divBdr>
                    </w:div>
                  </w:divsChild>
                </w:div>
                <w:div w:id="863523021">
                  <w:marLeft w:val="0"/>
                  <w:marRight w:val="0"/>
                  <w:marTop w:val="0"/>
                  <w:marBottom w:val="0"/>
                  <w:divBdr>
                    <w:top w:val="none" w:sz="0" w:space="0" w:color="auto"/>
                    <w:left w:val="none" w:sz="0" w:space="0" w:color="auto"/>
                    <w:bottom w:val="none" w:sz="0" w:space="0" w:color="auto"/>
                    <w:right w:val="none" w:sz="0" w:space="0" w:color="auto"/>
                  </w:divBdr>
                  <w:divsChild>
                    <w:div w:id="1733774436">
                      <w:marLeft w:val="0"/>
                      <w:marRight w:val="0"/>
                      <w:marTop w:val="0"/>
                      <w:marBottom w:val="0"/>
                      <w:divBdr>
                        <w:top w:val="none" w:sz="0" w:space="0" w:color="auto"/>
                        <w:left w:val="none" w:sz="0" w:space="0" w:color="auto"/>
                        <w:bottom w:val="none" w:sz="0" w:space="0" w:color="auto"/>
                        <w:right w:val="none" w:sz="0" w:space="0" w:color="auto"/>
                      </w:divBdr>
                    </w:div>
                  </w:divsChild>
                </w:div>
                <w:div w:id="876821048">
                  <w:marLeft w:val="0"/>
                  <w:marRight w:val="0"/>
                  <w:marTop w:val="0"/>
                  <w:marBottom w:val="0"/>
                  <w:divBdr>
                    <w:top w:val="none" w:sz="0" w:space="0" w:color="auto"/>
                    <w:left w:val="none" w:sz="0" w:space="0" w:color="auto"/>
                    <w:bottom w:val="none" w:sz="0" w:space="0" w:color="auto"/>
                    <w:right w:val="none" w:sz="0" w:space="0" w:color="auto"/>
                  </w:divBdr>
                  <w:divsChild>
                    <w:div w:id="929433528">
                      <w:marLeft w:val="0"/>
                      <w:marRight w:val="0"/>
                      <w:marTop w:val="0"/>
                      <w:marBottom w:val="0"/>
                      <w:divBdr>
                        <w:top w:val="none" w:sz="0" w:space="0" w:color="auto"/>
                        <w:left w:val="none" w:sz="0" w:space="0" w:color="auto"/>
                        <w:bottom w:val="none" w:sz="0" w:space="0" w:color="auto"/>
                        <w:right w:val="none" w:sz="0" w:space="0" w:color="auto"/>
                      </w:divBdr>
                    </w:div>
                  </w:divsChild>
                </w:div>
                <w:div w:id="879823262">
                  <w:marLeft w:val="0"/>
                  <w:marRight w:val="0"/>
                  <w:marTop w:val="0"/>
                  <w:marBottom w:val="0"/>
                  <w:divBdr>
                    <w:top w:val="none" w:sz="0" w:space="0" w:color="auto"/>
                    <w:left w:val="none" w:sz="0" w:space="0" w:color="auto"/>
                    <w:bottom w:val="none" w:sz="0" w:space="0" w:color="auto"/>
                    <w:right w:val="none" w:sz="0" w:space="0" w:color="auto"/>
                  </w:divBdr>
                  <w:divsChild>
                    <w:div w:id="589776258">
                      <w:marLeft w:val="0"/>
                      <w:marRight w:val="0"/>
                      <w:marTop w:val="0"/>
                      <w:marBottom w:val="0"/>
                      <w:divBdr>
                        <w:top w:val="none" w:sz="0" w:space="0" w:color="auto"/>
                        <w:left w:val="none" w:sz="0" w:space="0" w:color="auto"/>
                        <w:bottom w:val="none" w:sz="0" w:space="0" w:color="auto"/>
                        <w:right w:val="none" w:sz="0" w:space="0" w:color="auto"/>
                      </w:divBdr>
                    </w:div>
                  </w:divsChild>
                </w:div>
                <w:div w:id="921064714">
                  <w:marLeft w:val="0"/>
                  <w:marRight w:val="0"/>
                  <w:marTop w:val="0"/>
                  <w:marBottom w:val="0"/>
                  <w:divBdr>
                    <w:top w:val="none" w:sz="0" w:space="0" w:color="auto"/>
                    <w:left w:val="none" w:sz="0" w:space="0" w:color="auto"/>
                    <w:bottom w:val="none" w:sz="0" w:space="0" w:color="auto"/>
                    <w:right w:val="none" w:sz="0" w:space="0" w:color="auto"/>
                  </w:divBdr>
                  <w:divsChild>
                    <w:div w:id="535629266">
                      <w:marLeft w:val="0"/>
                      <w:marRight w:val="0"/>
                      <w:marTop w:val="0"/>
                      <w:marBottom w:val="0"/>
                      <w:divBdr>
                        <w:top w:val="none" w:sz="0" w:space="0" w:color="auto"/>
                        <w:left w:val="none" w:sz="0" w:space="0" w:color="auto"/>
                        <w:bottom w:val="none" w:sz="0" w:space="0" w:color="auto"/>
                        <w:right w:val="none" w:sz="0" w:space="0" w:color="auto"/>
                      </w:divBdr>
                    </w:div>
                  </w:divsChild>
                </w:div>
                <w:div w:id="948049312">
                  <w:marLeft w:val="0"/>
                  <w:marRight w:val="0"/>
                  <w:marTop w:val="0"/>
                  <w:marBottom w:val="0"/>
                  <w:divBdr>
                    <w:top w:val="none" w:sz="0" w:space="0" w:color="auto"/>
                    <w:left w:val="none" w:sz="0" w:space="0" w:color="auto"/>
                    <w:bottom w:val="none" w:sz="0" w:space="0" w:color="auto"/>
                    <w:right w:val="none" w:sz="0" w:space="0" w:color="auto"/>
                  </w:divBdr>
                  <w:divsChild>
                    <w:div w:id="182986656">
                      <w:marLeft w:val="0"/>
                      <w:marRight w:val="0"/>
                      <w:marTop w:val="0"/>
                      <w:marBottom w:val="0"/>
                      <w:divBdr>
                        <w:top w:val="none" w:sz="0" w:space="0" w:color="auto"/>
                        <w:left w:val="none" w:sz="0" w:space="0" w:color="auto"/>
                        <w:bottom w:val="none" w:sz="0" w:space="0" w:color="auto"/>
                        <w:right w:val="none" w:sz="0" w:space="0" w:color="auto"/>
                      </w:divBdr>
                    </w:div>
                  </w:divsChild>
                </w:div>
                <w:div w:id="951673651">
                  <w:marLeft w:val="0"/>
                  <w:marRight w:val="0"/>
                  <w:marTop w:val="0"/>
                  <w:marBottom w:val="0"/>
                  <w:divBdr>
                    <w:top w:val="none" w:sz="0" w:space="0" w:color="auto"/>
                    <w:left w:val="none" w:sz="0" w:space="0" w:color="auto"/>
                    <w:bottom w:val="none" w:sz="0" w:space="0" w:color="auto"/>
                    <w:right w:val="none" w:sz="0" w:space="0" w:color="auto"/>
                  </w:divBdr>
                  <w:divsChild>
                    <w:div w:id="132867514">
                      <w:marLeft w:val="0"/>
                      <w:marRight w:val="0"/>
                      <w:marTop w:val="0"/>
                      <w:marBottom w:val="0"/>
                      <w:divBdr>
                        <w:top w:val="none" w:sz="0" w:space="0" w:color="auto"/>
                        <w:left w:val="none" w:sz="0" w:space="0" w:color="auto"/>
                        <w:bottom w:val="none" w:sz="0" w:space="0" w:color="auto"/>
                        <w:right w:val="none" w:sz="0" w:space="0" w:color="auto"/>
                      </w:divBdr>
                    </w:div>
                  </w:divsChild>
                </w:div>
                <w:div w:id="1126511143">
                  <w:marLeft w:val="0"/>
                  <w:marRight w:val="0"/>
                  <w:marTop w:val="0"/>
                  <w:marBottom w:val="0"/>
                  <w:divBdr>
                    <w:top w:val="none" w:sz="0" w:space="0" w:color="auto"/>
                    <w:left w:val="none" w:sz="0" w:space="0" w:color="auto"/>
                    <w:bottom w:val="none" w:sz="0" w:space="0" w:color="auto"/>
                    <w:right w:val="none" w:sz="0" w:space="0" w:color="auto"/>
                  </w:divBdr>
                  <w:divsChild>
                    <w:div w:id="2078702572">
                      <w:marLeft w:val="0"/>
                      <w:marRight w:val="0"/>
                      <w:marTop w:val="0"/>
                      <w:marBottom w:val="0"/>
                      <w:divBdr>
                        <w:top w:val="none" w:sz="0" w:space="0" w:color="auto"/>
                        <w:left w:val="none" w:sz="0" w:space="0" w:color="auto"/>
                        <w:bottom w:val="none" w:sz="0" w:space="0" w:color="auto"/>
                        <w:right w:val="none" w:sz="0" w:space="0" w:color="auto"/>
                      </w:divBdr>
                    </w:div>
                  </w:divsChild>
                </w:div>
                <w:div w:id="1146360411">
                  <w:marLeft w:val="0"/>
                  <w:marRight w:val="0"/>
                  <w:marTop w:val="0"/>
                  <w:marBottom w:val="0"/>
                  <w:divBdr>
                    <w:top w:val="none" w:sz="0" w:space="0" w:color="auto"/>
                    <w:left w:val="none" w:sz="0" w:space="0" w:color="auto"/>
                    <w:bottom w:val="none" w:sz="0" w:space="0" w:color="auto"/>
                    <w:right w:val="none" w:sz="0" w:space="0" w:color="auto"/>
                  </w:divBdr>
                  <w:divsChild>
                    <w:div w:id="1918131115">
                      <w:marLeft w:val="0"/>
                      <w:marRight w:val="0"/>
                      <w:marTop w:val="0"/>
                      <w:marBottom w:val="0"/>
                      <w:divBdr>
                        <w:top w:val="none" w:sz="0" w:space="0" w:color="auto"/>
                        <w:left w:val="none" w:sz="0" w:space="0" w:color="auto"/>
                        <w:bottom w:val="none" w:sz="0" w:space="0" w:color="auto"/>
                        <w:right w:val="none" w:sz="0" w:space="0" w:color="auto"/>
                      </w:divBdr>
                    </w:div>
                  </w:divsChild>
                </w:div>
                <w:div w:id="1182817537">
                  <w:marLeft w:val="0"/>
                  <w:marRight w:val="0"/>
                  <w:marTop w:val="0"/>
                  <w:marBottom w:val="0"/>
                  <w:divBdr>
                    <w:top w:val="none" w:sz="0" w:space="0" w:color="auto"/>
                    <w:left w:val="none" w:sz="0" w:space="0" w:color="auto"/>
                    <w:bottom w:val="none" w:sz="0" w:space="0" w:color="auto"/>
                    <w:right w:val="none" w:sz="0" w:space="0" w:color="auto"/>
                  </w:divBdr>
                  <w:divsChild>
                    <w:div w:id="534197370">
                      <w:marLeft w:val="0"/>
                      <w:marRight w:val="0"/>
                      <w:marTop w:val="0"/>
                      <w:marBottom w:val="0"/>
                      <w:divBdr>
                        <w:top w:val="none" w:sz="0" w:space="0" w:color="auto"/>
                        <w:left w:val="none" w:sz="0" w:space="0" w:color="auto"/>
                        <w:bottom w:val="none" w:sz="0" w:space="0" w:color="auto"/>
                        <w:right w:val="none" w:sz="0" w:space="0" w:color="auto"/>
                      </w:divBdr>
                    </w:div>
                  </w:divsChild>
                </w:div>
                <w:div w:id="1244605527">
                  <w:marLeft w:val="0"/>
                  <w:marRight w:val="0"/>
                  <w:marTop w:val="0"/>
                  <w:marBottom w:val="0"/>
                  <w:divBdr>
                    <w:top w:val="none" w:sz="0" w:space="0" w:color="auto"/>
                    <w:left w:val="none" w:sz="0" w:space="0" w:color="auto"/>
                    <w:bottom w:val="none" w:sz="0" w:space="0" w:color="auto"/>
                    <w:right w:val="none" w:sz="0" w:space="0" w:color="auto"/>
                  </w:divBdr>
                  <w:divsChild>
                    <w:div w:id="1267076352">
                      <w:marLeft w:val="0"/>
                      <w:marRight w:val="0"/>
                      <w:marTop w:val="0"/>
                      <w:marBottom w:val="0"/>
                      <w:divBdr>
                        <w:top w:val="none" w:sz="0" w:space="0" w:color="auto"/>
                        <w:left w:val="none" w:sz="0" w:space="0" w:color="auto"/>
                        <w:bottom w:val="none" w:sz="0" w:space="0" w:color="auto"/>
                        <w:right w:val="none" w:sz="0" w:space="0" w:color="auto"/>
                      </w:divBdr>
                    </w:div>
                  </w:divsChild>
                </w:div>
                <w:div w:id="1404138166">
                  <w:marLeft w:val="0"/>
                  <w:marRight w:val="0"/>
                  <w:marTop w:val="0"/>
                  <w:marBottom w:val="0"/>
                  <w:divBdr>
                    <w:top w:val="none" w:sz="0" w:space="0" w:color="auto"/>
                    <w:left w:val="none" w:sz="0" w:space="0" w:color="auto"/>
                    <w:bottom w:val="none" w:sz="0" w:space="0" w:color="auto"/>
                    <w:right w:val="none" w:sz="0" w:space="0" w:color="auto"/>
                  </w:divBdr>
                  <w:divsChild>
                    <w:div w:id="1144782917">
                      <w:marLeft w:val="0"/>
                      <w:marRight w:val="0"/>
                      <w:marTop w:val="0"/>
                      <w:marBottom w:val="0"/>
                      <w:divBdr>
                        <w:top w:val="none" w:sz="0" w:space="0" w:color="auto"/>
                        <w:left w:val="none" w:sz="0" w:space="0" w:color="auto"/>
                        <w:bottom w:val="none" w:sz="0" w:space="0" w:color="auto"/>
                        <w:right w:val="none" w:sz="0" w:space="0" w:color="auto"/>
                      </w:divBdr>
                    </w:div>
                  </w:divsChild>
                </w:div>
                <w:div w:id="1426614890">
                  <w:marLeft w:val="0"/>
                  <w:marRight w:val="0"/>
                  <w:marTop w:val="0"/>
                  <w:marBottom w:val="0"/>
                  <w:divBdr>
                    <w:top w:val="none" w:sz="0" w:space="0" w:color="auto"/>
                    <w:left w:val="none" w:sz="0" w:space="0" w:color="auto"/>
                    <w:bottom w:val="none" w:sz="0" w:space="0" w:color="auto"/>
                    <w:right w:val="none" w:sz="0" w:space="0" w:color="auto"/>
                  </w:divBdr>
                  <w:divsChild>
                    <w:div w:id="1008210834">
                      <w:marLeft w:val="0"/>
                      <w:marRight w:val="0"/>
                      <w:marTop w:val="0"/>
                      <w:marBottom w:val="0"/>
                      <w:divBdr>
                        <w:top w:val="none" w:sz="0" w:space="0" w:color="auto"/>
                        <w:left w:val="none" w:sz="0" w:space="0" w:color="auto"/>
                        <w:bottom w:val="none" w:sz="0" w:space="0" w:color="auto"/>
                        <w:right w:val="none" w:sz="0" w:space="0" w:color="auto"/>
                      </w:divBdr>
                    </w:div>
                  </w:divsChild>
                </w:div>
                <w:div w:id="1597515847">
                  <w:marLeft w:val="0"/>
                  <w:marRight w:val="0"/>
                  <w:marTop w:val="0"/>
                  <w:marBottom w:val="0"/>
                  <w:divBdr>
                    <w:top w:val="none" w:sz="0" w:space="0" w:color="auto"/>
                    <w:left w:val="none" w:sz="0" w:space="0" w:color="auto"/>
                    <w:bottom w:val="none" w:sz="0" w:space="0" w:color="auto"/>
                    <w:right w:val="none" w:sz="0" w:space="0" w:color="auto"/>
                  </w:divBdr>
                  <w:divsChild>
                    <w:div w:id="408309951">
                      <w:marLeft w:val="0"/>
                      <w:marRight w:val="0"/>
                      <w:marTop w:val="0"/>
                      <w:marBottom w:val="0"/>
                      <w:divBdr>
                        <w:top w:val="none" w:sz="0" w:space="0" w:color="auto"/>
                        <w:left w:val="none" w:sz="0" w:space="0" w:color="auto"/>
                        <w:bottom w:val="none" w:sz="0" w:space="0" w:color="auto"/>
                        <w:right w:val="none" w:sz="0" w:space="0" w:color="auto"/>
                      </w:divBdr>
                    </w:div>
                  </w:divsChild>
                </w:div>
                <w:div w:id="1659845898">
                  <w:marLeft w:val="0"/>
                  <w:marRight w:val="0"/>
                  <w:marTop w:val="0"/>
                  <w:marBottom w:val="0"/>
                  <w:divBdr>
                    <w:top w:val="none" w:sz="0" w:space="0" w:color="auto"/>
                    <w:left w:val="none" w:sz="0" w:space="0" w:color="auto"/>
                    <w:bottom w:val="none" w:sz="0" w:space="0" w:color="auto"/>
                    <w:right w:val="none" w:sz="0" w:space="0" w:color="auto"/>
                  </w:divBdr>
                  <w:divsChild>
                    <w:div w:id="981035768">
                      <w:marLeft w:val="0"/>
                      <w:marRight w:val="0"/>
                      <w:marTop w:val="0"/>
                      <w:marBottom w:val="0"/>
                      <w:divBdr>
                        <w:top w:val="none" w:sz="0" w:space="0" w:color="auto"/>
                        <w:left w:val="none" w:sz="0" w:space="0" w:color="auto"/>
                        <w:bottom w:val="none" w:sz="0" w:space="0" w:color="auto"/>
                        <w:right w:val="none" w:sz="0" w:space="0" w:color="auto"/>
                      </w:divBdr>
                    </w:div>
                  </w:divsChild>
                </w:div>
                <w:div w:id="1689718512">
                  <w:marLeft w:val="0"/>
                  <w:marRight w:val="0"/>
                  <w:marTop w:val="0"/>
                  <w:marBottom w:val="0"/>
                  <w:divBdr>
                    <w:top w:val="none" w:sz="0" w:space="0" w:color="auto"/>
                    <w:left w:val="none" w:sz="0" w:space="0" w:color="auto"/>
                    <w:bottom w:val="none" w:sz="0" w:space="0" w:color="auto"/>
                    <w:right w:val="none" w:sz="0" w:space="0" w:color="auto"/>
                  </w:divBdr>
                  <w:divsChild>
                    <w:div w:id="649140705">
                      <w:marLeft w:val="0"/>
                      <w:marRight w:val="0"/>
                      <w:marTop w:val="0"/>
                      <w:marBottom w:val="0"/>
                      <w:divBdr>
                        <w:top w:val="none" w:sz="0" w:space="0" w:color="auto"/>
                        <w:left w:val="none" w:sz="0" w:space="0" w:color="auto"/>
                        <w:bottom w:val="none" w:sz="0" w:space="0" w:color="auto"/>
                        <w:right w:val="none" w:sz="0" w:space="0" w:color="auto"/>
                      </w:divBdr>
                    </w:div>
                  </w:divsChild>
                </w:div>
                <w:div w:id="1708332198">
                  <w:marLeft w:val="0"/>
                  <w:marRight w:val="0"/>
                  <w:marTop w:val="0"/>
                  <w:marBottom w:val="0"/>
                  <w:divBdr>
                    <w:top w:val="none" w:sz="0" w:space="0" w:color="auto"/>
                    <w:left w:val="none" w:sz="0" w:space="0" w:color="auto"/>
                    <w:bottom w:val="none" w:sz="0" w:space="0" w:color="auto"/>
                    <w:right w:val="none" w:sz="0" w:space="0" w:color="auto"/>
                  </w:divBdr>
                  <w:divsChild>
                    <w:div w:id="711420785">
                      <w:marLeft w:val="0"/>
                      <w:marRight w:val="0"/>
                      <w:marTop w:val="0"/>
                      <w:marBottom w:val="0"/>
                      <w:divBdr>
                        <w:top w:val="none" w:sz="0" w:space="0" w:color="auto"/>
                        <w:left w:val="none" w:sz="0" w:space="0" w:color="auto"/>
                        <w:bottom w:val="none" w:sz="0" w:space="0" w:color="auto"/>
                        <w:right w:val="none" w:sz="0" w:space="0" w:color="auto"/>
                      </w:divBdr>
                    </w:div>
                  </w:divsChild>
                </w:div>
                <w:div w:id="1806510501">
                  <w:marLeft w:val="0"/>
                  <w:marRight w:val="0"/>
                  <w:marTop w:val="0"/>
                  <w:marBottom w:val="0"/>
                  <w:divBdr>
                    <w:top w:val="none" w:sz="0" w:space="0" w:color="auto"/>
                    <w:left w:val="none" w:sz="0" w:space="0" w:color="auto"/>
                    <w:bottom w:val="none" w:sz="0" w:space="0" w:color="auto"/>
                    <w:right w:val="none" w:sz="0" w:space="0" w:color="auto"/>
                  </w:divBdr>
                  <w:divsChild>
                    <w:div w:id="305285441">
                      <w:marLeft w:val="0"/>
                      <w:marRight w:val="0"/>
                      <w:marTop w:val="0"/>
                      <w:marBottom w:val="0"/>
                      <w:divBdr>
                        <w:top w:val="none" w:sz="0" w:space="0" w:color="auto"/>
                        <w:left w:val="none" w:sz="0" w:space="0" w:color="auto"/>
                        <w:bottom w:val="none" w:sz="0" w:space="0" w:color="auto"/>
                        <w:right w:val="none" w:sz="0" w:space="0" w:color="auto"/>
                      </w:divBdr>
                    </w:div>
                  </w:divsChild>
                </w:div>
                <w:div w:id="1881625687">
                  <w:marLeft w:val="0"/>
                  <w:marRight w:val="0"/>
                  <w:marTop w:val="0"/>
                  <w:marBottom w:val="0"/>
                  <w:divBdr>
                    <w:top w:val="none" w:sz="0" w:space="0" w:color="auto"/>
                    <w:left w:val="none" w:sz="0" w:space="0" w:color="auto"/>
                    <w:bottom w:val="none" w:sz="0" w:space="0" w:color="auto"/>
                    <w:right w:val="none" w:sz="0" w:space="0" w:color="auto"/>
                  </w:divBdr>
                  <w:divsChild>
                    <w:div w:id="397367395">
                      <w:marLeft w:val="0"/>
                      <w:marRight w:val="0"/>
                      <w:marTop w:val="0"/>
                      <w:marBottom w:val="0"/>
                      <w:divBdr>
                        <w:top w:val="none" w:sz="0" w:space="0" w:color="auto"/>
                        <w:left w:val="none" w:sz="0" w:space="0" w:color="auto"/>
                        <w:bottom w:val="none" w:sz="0" w:space="0" w:color="auto"/>
                        <w:right w:val="none" w:sz="0" w:space="0" w:color="auto"/>
                      </w:divBdr>
                    </w:div>
                  </w:divsChild>
                </w:div>
                <w:div w:id="1912232713">
                  <w:marLeft w:val="0"/>
                  <w:marRight w:val="0"/>
                  <w:marTop w:val="0"/>
                  <w:marBottom w:val="0"/>
                  <w:divBdr>
                    <w:top w:val="none" w:sz="0" w:space="0" w:color="auto"/>
                    <w:left w:val="none" w:sz="0" w:space="0" w:color="auto"/>
                    <w:bottom w:val="none" w:sz="0" w:space="0" w:color="auto"/>
                    <w:right w:val="none" w:sz="0" w:space="0" w:color="auto"/>
                  </w:divBdr>
                  <w:divsChild>
                    <w:div w:id="14242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639732">
      <w:bodyDiv w:val="1"/>
      <w:marLeft w:val="0"/>
      <w:marRight w:val="0"/>
      <w:marTop w:val="0"/>
      <w:marBottom w:val="0"/>
      <w:divBdr>
        <w:top w:val="none" w:sz="0" w:space="0" w:color="auto"/>
        <w:left w:val="none" w:sz="0" w:space="0" w:color="auto"/>
        <w:bottom w:val="none" w:sz="0" w:space="0" w:color="auto"/>
        <w:right w:val="none" w:sz="0" w:space="0" w:color="auto"/>
      </w:divBdr>
      <w:divsChild>
        <w:div w:id="43218444">
          <w:marLeft w:val="0"/>
          <w:marRight w:val="0"/>
          <w:marTop w:val="0"/>
          <w:marBottom w:val="0"/>
          <w:divBdr>
            <w:top w:val="none" w:sz="0" w:space="0" w:color="auto"/>
            <w:left w:val="none" w:sz="0" w:space="0" w:color="auto"/>
            <w:bottom w:val="none" w:sz="0" w:space="0" w:color="auto"/>
            <w:right w:val="none" w:sz="0" w:space="0" w:color="auto"/>
          </w:divBdr>
          <w:divsChild>
            <w:div w:id="977497763">
              <w:marLeft w:val="0"/>
              <w:marRight w:val="0"/>
              <w:marTop w:val="0"/>
              <w:marBottom w:val="0"/>
              <w:divBdr>
                <w:top w:val="none" w:sz="0" w:space="0" w:color="auto"/>
                <w:left w:val="none" w:sz="0" w:space="0" w:color="auto"/>
                <w:bottom w:val="none" w:sz="0" w:space="0" w:color="auto"/>
                <w:right w:val="none" w:sz="0" w:space="0" w:color="auto"/>
              </w:divBdr>
            </w:div>
          </w:divsChild>
        </w:div>
        <w:div w:id="85883719">
          <w:marLeft w:val="0"/>
          <w:marRight w:val="0"/>
          <w:marTop w:val="0"/>
          <w:marBottom w:val="0"/>
          <w:divBdr>
            <w:top w:val="none" w:sz="0" w:space="0" w:color="auto"/>
            <w:left w:val="none" w:sz="0" w:space="0" w:color="auto"/>
            <w:bottom w:val="none" w:sz="0" w:space="0" w:color="auto"/>
            <w:right w:val="none" w:sz="0" w:space="0" w:color="auto"/>
          </w:divBdr>
          <w:divsChild>
            <w:div w:id="1197155024">
              <w:marLeft w:val="0"/>
              <w:marRight w:val="0"/>
              <w:marTop w:val="0"/>
              <w:marBottom w:val="0"/>
              <w:divBdr>
                <w:top w:val="none" w:sz="0" w:space="0" w:color="auto"/>
                <w:left w:val="none" w:sz="0" w:space="0" w:color="auto"/>
                <w:bottom w:val="none" w:sz="0" w:space="0" w:color="auto"/>
                <w:right w:val="none" w:sz="0" w:space="0" w:color="auto"/>
              </w:divBdr>
            </w:div>
          </w:divsChild>
        </w:div>
        <w:div w:id="94599573">
          <w:marLeft w:val="0"/>
          <w:marRight w:val="0"/>
          <w:marTop w:val="0"/>
          <w:marBottom w:val="0"/>
          <w:divBdr>
            <w:top w:val="none" w:sz="0" w:space="0" w:color="auto"/>
            <w:left w:val="none" w:sz="0" w:space="0" w:color="auto"/>
            <w:bottom w:val="none" w:sz="0" w:space="0" w:color="auto"/>
            <w:right w:val="none" w:sz="0" w:space="0" w:color="auto"/>
          </w:divBdr>
          <w:divsChild>
            <w:div w:id="1011838337">
              <w:marLeft w:val="0"/>
              <w:marRight w:val="0"/>
              <w:marTop w:val="0"/>
              <w:marBottom w:val="0"/>
              <w:divBdr>
                <w:top w:val="none" w:sz="0" w:space="0" w:color="auto"/>
                <w:left w:val="none" w:sz="0" w:space="0" w:color="auto"/>
                <w:bottom w:val="none" w:sz="0" w:space="0" w:color="auto"/>
                <w:right w:val="none" w:sz="0" w:space="0" w:color="auto"/>
              </w:divBdr>
            </w:div>
          </w:divsChild>
        </w:div>
        <w:div w:id="106317436">
          <w:marLeft w:val="0"/>
          <w:marRight w:val="0"/>
          <w:marTop w:val="0"/>
          <w:marBottom w:val="0"/>
          <w:divBdr>
            <w:top w:val="none" w:sz="0" w:space="0" w:color="auto"/>
            <w:left w:val="none" w:sz="0" w:space="0" w:color="auto"/>
            <w:bottom w:val="none" w:sz="0" w:space="0" w:color="auto"/>
            <w:right w:val="none" w:sz="0" w:space="0" w:color="auto"/>
          </w:divBdr>
          <w:divsChild>
            <w:div w:id="967051705">
              <w:marLeft w:val="0"/>
              <w:marRight w:val="0"/>
              <w:marTop w:val="0"/>
              <w:marBottom w:val="0"/>
              <w:divBdr>
                <w:top w:val="none" w:sz="0" w:space="0" w:color="auto"/>
                <w:left w:val="none" w:sz="0" w:space="0" w:color="auto"/>
                <w:bottom w:val="none" w:sz="0" w:space="0" w:color="auto"/>
                <w:right w:val="none" w:sz="0" w:space="0" w:color="auto"/>
              </w:divBdr>
            </w:div>
          </w:divsChild>
        </w:div>
        <w:div w:id="162430877">
          <w:marLeft w:val="0"/>
          <w:marRight w:val="0"/>
          <w:marTop w:val="0"/>
          <w:marBottom w:val="0"/>
          <w:divBdr>
            <w:top w:val="none" w:sz="0" w:space="0" w:color="auto"/>
            <w:left w:val="none" w:sz="0" w:space="0" w:color="auto"/>
            <w:bottom w:val="none" w:sz="0" w:space="0" w:color="auto"/>
            <w:right w:val="none" w:sz="0" w:space="0" w:color="auto"/>
          </w:divBdr>
          <w:divsChild>
            <w:div w:id="86081495">
              <w:marLeft w:val="0"/>
              <w:marRight w:val="0"/>
              <w:marTop w:val="0"/>
              <w:marBottom w:val="0"/>
              <w:divBdr>
                <w:top w:val="none" w:sz="0" w:space="0" w:color="auto"/>
                <w:left w:val="none" w:sz="0" w:space="0" w:color="auto"/>
                <w:bottom w:val="none" w:sz="0" w:space="0" w:color="auto"/>
                <w:right w:val="none" w:sz="0" w:space="0" w:color="auto"/>
              </w:divBdr>
            </w:div>
          </w:divsChild>
        </w:div>
        <w:div w:id="164710981">
          <w:marLeft w:val="0"/>
          <w:marRight w:val="0"/>
          <w:marTop w:val="0"/>
          <w:marBottom w:val="0"/>
          <w:divBdr>
            <w:top w:val="none" w:sz="0" w:space="0" w:color="auto"/>
            <w:left w:val="none" w:sz="0" w:space="0" w:color="auto"/>
            <w:bottom w:val="none" w:sz="0" w:space="0" w:color="auto"/>
            <w:right w:val="none" w:sz="0" w:space="0" w:color="auto"/>
          </w:divBdr>
          <w:divsChild>
            <w:div w:id="1806119439">
              <w:marLeft w:val="0"/>
              <w:marRight w:val="0"/>
              <w:marTop w:val="0"/>
              <w:marBottom w:val="0"/>
              <w:divBdr>
                <w:top w:val="none" w:sz="0" w:space="0" w:color="auto"/>
                <w:left w:val="none" w:sz="0" w:space="0" w:color="auto"/>
                <w:bottom w:val="none" w:sz="0" w:space="0" w:color="auto"/>
                <w:right w:val="none" w:sz="0" w:space="0" w:color="auto"/>
              </w:divBdr>
            </w:div>
          </w:divsChild>
        </w:div>
        <w:div w:id="167986734">
          <w:marLeft w:val="0"/>
          <w:marRight w:val="0"/>
          <w:marTop w:val="0"/>
          <w:marBottom w:val="0"/>
          <w:divBdr>
            <w:top w:val="none" w:sz="0" w:space="0" w:color="auto"/>
            <w:left w:val="none" w:sz="0" w:space="0" w:color="auto"/>
            <w:bottom w:val="none" w:sz="0" w:space="0" w:color="auto"/>
            <w:right w:val="none" w:sz="0" w:space="0" w:color="auto"/>
          </w:divBdr>
          <w:divsChild>
            <w:div w:id="1844709887">
              <w:marLeft w:val="0"/>
              <w:marRight w:val="0"/>
              <w:marTop w:val="0"/>
              <w:marBottom w:val="0"/>
              <w:divBdr>
                <w:top w:val="none" w:sz="0" w:space="0" w:color="auto"/>
                <w:left w:val="none" w:sz="0" w:space="0" w:color="auto"/>
                <w:bottom w:val="none" w:sz="0" w:space="0" w:color="auto"/>
                <w:right w:val="none" w:sz="0" w:space="0" w:color="auto"/>
              </w:divBdr>
            </w:div>
          </w:divsChild>
        </w:div>
        <w:div w:id="226721363">
          <w:marLeft w:val="0"/>
          <w:marRight w:val="0"/>
          <w:marTop w:val="0"/>
          <w:marBottom w:val="0"/>
          <w:divBdr>
            <w:top w:val="none" w:sz="0" w:space="0" w:color="auto"/>
            <w:left w:val="none" w:sz="0" w:space="0" w:color="auto"/>
            <w:bottom w:val="none" w:sz="0" w:space="0" w:color="auto"/>
            <w:right w:val="none" w:sz="0" w:space="0" w:color="auto"/>
          </w:divBdr>
          <w:divsChild>
            <w:div w:id="906111840">
              <w:marLeft w:val="0"/>
              <w:marRight w:val="0"/>
              <w:marTop w:val="0"/>
              <w:marBottom w:val="0"/>
              <w:divBdr>
                <w:top w:val="none" w:sz="0" w:space="0" w:color="auto"/>
                <w:left w:val="none" w:sz="0" w:space="0" w:color="auto"/>
                <w:bottom w:val="none" w:sz="0" w:space="0" w:color="auto"/>
                <w:right w:val="none" w:sz="0" w:space="0" w:color="auto"/>
              </w:divBdr>
            </w:div>
          </w:divsChild>
        </w:div>
        <w:div w:id="240481730">
          <w:marLeft w:val="0"/>
          <w:marRight w:val="0"/>
          <w:marTop w:val="0"/>
          <w:marBottom w:val="0"/>
          <w:divBdr>
            <w:top w:val="none" w:sz="0" w:space="0" w:color="auto"/>
            <w:left w:val="none" w:sz="0" w:space="0" w:color="auto"/>
            <w:bottom w:val="none" w:sz="0" w:space="0" w:color="auto"/>
            <w:right w:val="none" w:sz="0" w:space="0" w:color="auto"/>
          </w:divBdr>
          <w:divsChild>
            <w:div w:id="539125681">
              <w:marLeft w:val="0"/>
              <w:marRight w:val="0"/>
              <w:marTop w:val="0"/>
              <w:marBottom w:val="0"/>
              <w:divBdr>
                <w:top w:val="none" w:sz="0" w:space="0" w:color="auto"/>
                <w:left w:val="none" w:sz="0" w:space="0" w:color="auto"/>
                <w:bottom w:val="none" w:sz="0" w:space="0" w:color="auto"/>
                <w:right w:val="none" w:sz="0" w:space="0" w:color="auto"/>
              </w:divBdr>
            </w:div>
          </w:divsChild>
        </w:div>
        <w:div w:id="275337653">
          <w:marLeft w:val="0"/>
          <w:marRight w:val="0"/>
          <w:marTop w:val="0"/>
          <w:marBottom w:val="0"/>
          <w:divBdr>
            <w:top w:val="none" w:sz="0" w:space="0" w:color="auto"/>
            <w:left w:val="none" w:sz="0" w:space="0" w:color="auto"/>
            <w:bottom w:val="none" w:sz="0" w:space="0" w:color="auto"/>
            <w:right w:val="none" w:sz="0" w:space="0" w:color="auto"/>
          </w:divBdr>
          <w:divsChild>
            <w:div w:id="622809431">
              <w:marLeft w:val="0"/>
              <w:marRight w:val="0"/>
              <w:marTop w:val="0"/>
              <w:marBottom w:val="0"/>
              <w:divBdr>
                <w:top w:val="none" w:sz="0" w:space="0" w:color="auto"/>
                <w:left w:val="none" w:sz="0" w:space="0" w:color="auto"/>
                <w:bottom w:val="none" w:sz="0" w:space="0" w:color="auto"/>
                <w:right w:val="none" w:sz="0" w:space="0" w:color="auto"/>
              </w:divBdr>
            </w:div>
          </w:divsChild>
        </w:div>
        <w:div w:id="314455944">
          <w:marLeft w:val="0"/>
          <w:marRight w:val="0"/>
          <w:marTop w:val="0"/>
          <w:marBottom w:val="0"/>
          <w:divBdr>
            <w:top w:val="none" w:sz="0" w:space="0" w:color="auto"/>
            <w:left w:val="none" w:sz="0" w:space="0" w:color="auto"/>
            <w:bottom w:val="none" w:sz="0" w:space="0" w:color="auto"/>
            <w:right w:val="none" w:sz="0" w:space="0" w:color="auto"/>
          </w:divBdr>
          <w:divsChild>
            <w:div w:id="2130001748">
              <w:marLeft w:val="0"/>
              <w:marRight w:val="0"/>
              <w:marTop w:val="0"/>
              <w:marBottom w:val="0"/>
              <w:divBdr>
                <w:top w:val="none" w:sz="0" w:space="0" w:color="auto"/>
                <w:left w:val="none" w:sz="0" w:space="0" w:color="auto"/>
                <w:bottom w:val="none" w:sz="0" w:space="0" w:color="auto"/>
                <w:right w:val="none" w:sz="0" w:space="0" w:color="auto"/>
              </w:divBdr>
            </w:div>
          </w:divsChild>
        </w:div>
        <w:div w:id="324936586">
          <w:marLeft w:val="0"/>
          <w:marRight w:val="0"/>
          <w:marTop w:val="0"/>
          <w:marBottom w:val="0"/>
          <w:divBdr>
            <w:top w:val="none" w:sz="0" w:space="0" w:color="auto"/>
            <w:left w:val="none" w:sz="0" w:space="0" w:color="auto"/>
            <w:bottom w:val="none" w:sz="0" w:space="0" w:color="auto"/>
            <w:right w:val="none" w:sz="0" w:space="0" w:color="auto"/>
          </w:divBdr>
          <w:divsChild>
            <w:div w:id="603848998">
              <w:marLeft w:val="0"/>
              <w:marRight w:val="0"/>
              <w:marTop w:val="0"/>
              <w:marBottom w:val="0"/>
              <w:divBdr>
                <w:top w:val="none" w:sz="0" w:space="0" w:color="auto"/>
                <w:left w:val="none" w:sz="0" w:space="0" w:color="auto"/>
                <w:bottom w:val="none" w:sz="0" w:space="0" w:color="auto"/>
                <w:right w:val="none" w:sz="0" w:space="0" w:color="auto"/>
              </w:divBdr>
            </w:div>
          </w:divsChild>
        </w:div>
        <w:div w:id="408700298">
          <w:marLeft w:val="0"/>
          <w:marRight w:val="0"/>
          <w:marTop w:val="0"/>
          <w:marBottom w:val="0"/>
          <w:divBdr>
            <w:top w:val="none" w:sz="0" w:space="0" w:color="auto"/>
            <w:left w:val="none" w:sz="0" w:space="0" w:color="auto"/>
            <w:bottom w:val="none" w:sz="0" w:space="0" w:color="auto"/>
            <w:right w:val="none" w:sz="0" w:space="0" w:color="auto"/>
          </w:divBdr>
          <w:divsChild>
            <w:div w:id="727996383">
              <w:marLeft w:val="0"/>
              <w:marRight w:val="0"/>
              <w:marTop w:val="0"/>
              <w:marBottom w:val="0"/>
              <w:divBdr>
                <w:top w:val="none" w:sz="0" w:space="0" w:color="auto"/>
                <w:left w:val="none" w:sz="0" w:space="0" w:color="auto"/>
                <w:bottom w:val="none" w:sz="0" w:space="0" w:color="auto"/>
                <w:right w:val="none" w:sz="0" w:space="0" w:color="auto"/>
              </w:divBdr>
            </w:div>
          </w:divsChild>
        </w:div>
        <w:div w:id="452604260">
          <w:marLeft w:val="0"/>
          <w:marRight w:val="0"/>
          <w:marTop w:val="0"/>
          <w:marBottom w:val="0"/>
          <w:divBdr>
            <w:top w:val="none" w:sz="0" w:space="0" w:color="auto"/>
            <w:left w:val="none" w:sz="0" w:space="0" w:color="auto"/>
            <w:bottom w:val="none" w:sz="0" w:space="0" w:color="auto"/>
            <w:right w:val="none" w:sz="0" w:space="0" w:color="auto"/>
          </w:divBdr>
          <w:divsChild>
            <w:div w:id="2072460573">
              <w:marLeft w:val="0"/>
              <w:marRight w:val="0"/>
              <w:marTop w:val="0"/>
              <w:marBottom w:val="0"/>
              <w:divBdr>
                <w:top w:val="none" w:sz="0" w:space="0" w:color="auto"/>
                <w:left w:val="none" w:sz="0" w:space="0" w:color="auto"/>
                <w:bottom w:val="none" w:sz="0" w:space="0" w:color="auto"/>
                <w:right w:val="none" w:sz="0" w:space="0" w:color="auto"/>
              </w:divBdr>
            </w:div>
          </w:divsChild>
        </w:div>
        <w:div w:id="511264153">
          <w:marLeft w:val="0"/>
          <w:marRight w:val="0"/>
          <w:marTop w:val="0"/>
          <w:marBottom w:val="0"/>
          <w:divBdr>
            <w:top w:val="none" w:sz="0" w:space="0" w:color="auto"/>
            <w:left w:val="none" w:sz="0" w:space="0" w:color="auto"/>
            <w:bottom w:val="none" w:sz="0" w:space="0" w:color="auto"/>
            <w:right w:val="none" w:sz="0" w:space="0" w:color="auto"/>
          </w:divBdr>
          <w:divsChild>
            <w:div w:id="279069878">
              <w:marLeft w:val="0"/>
              <w:marRight w:val="0"/>
              <w:marTop w:val="0"/>
              <w:marBottom w:val="0"/>
              <w:divBdr>
                <w:top w:val="none" w:sz="0" w:space="0" w:color="auto"/>
                <w:left w:val="none" w:sz="0" w:space="0" w:color="auto"/>
                <w:bottom w:val="none" w:sz="0" w:space="0" w:color="auto"/>
                <w:right w:val="none" w:sz="0" w:space="0" w:color="auto"/>
              </w:divBdr>
            </w:div>
          </w:divsChild>
        </w:div>
        <w:div w:id="537471689">
          <w:marLeft w:val="0"/>
          <w:marRight w:val="0"/>
          <w:marTop w:val="0"/>
          <w:marBottom w:val="0"/>
          <w:divBdr>
            <w:top w:val="none" w:sz="0" w:space="0" w:color="auto"/>
            <w:left w:val="none" w:sz="0" w:space="0" w:color="auto"/>
            <w:bottom w:val="none" w:sz="0" w:space="0" w:color="auto"/>
            <w:right w:val="none" w:sz="0" w:space="0" w:color="auto"/>
          </w:divBdr>
          <w:divsChild>
            <w:div w:id="28335315">
              <w:marLeft w:val="0"/>
              <w:marRight w:val="0"/>
              <w:marTop w:val="0"/>
              <w:marBottom w:val="0"/>
              <w:divBdr>
                <w:top w:val="none" w:sz="0" w:space="0" w:color="auto"/>
                <w:left w:val="none" w:sz="0" w:space="0" w:color="auto"/>
                <w:bottom w:val="none" w:sz="0" w:space="0" w:color="auto"/>
                <w:right w:val="none" w:sz="0" w:space="0" w:color="auto"/>
              </w:divBdr>
            </w:div>
          </w:divsChild>
        </w:div>
        <w:div w:id="770004326">
          <w:marLeft w:val="0"/>
          <w:marRight w:val="0"/>
          <w:marTop w:val="0"/>
          <w:marBottom w:val="0"/>
          <w:divBdr>
            <w:top w:val="none" w:sz="0" w:space="0" w:color="auto"/>
            <w:left w:val="none" w:sz="0" w:space="0" w:color="auto"/>
            <w:bottom w:val="none" w:sz="0" w:space="0" w:color="auto"/>
            <w:right w:val="none" w:sz="0" w:space="0" w:color="auto"/>
          </w:divBdr>
          <w:divsChild>
            <w:div w:id="1533617973">
              <w:marLeft w:val="0"/>
              <w:marRight w:val="0"/>
              <w:marTop w:val="0"/>
              <w:marBottom w:val="0"/>
              <w:divBdr>
                <w:top w:val="none" w:sz="0" w:space="0" w:color="auto"/>
                <w:left w:val="none" w:sz="0" w:space="0" w:color="auto"/>
                <w:bottom w:val="none" w:sz="0" w:space="0" w:color="auto"/>
                <w:right w:val="none" w:sz="0" w:space="0" w:color="auto"/>
              </w:divBdr>
            </w:div>
          </w:divsChild>
        </w:div>
        <w:div w:id="834760254">
          <w:marLeft w:val="0"/>
          <w:marRight w:val="0"/>
          <w:marTop w:val="0"/>
          <w:marBottom w:val="0"/>
          <w:divBdr>
            <w:top w:val="none" w:sz="0" w:space="0" w:color="auto"/>
            <w:left w:val="none" w:sz="0" w:space="0" w:color="auto"/>
            <w:bottom w:val="none" w:sz="0" w:space="0" w:color="auto"/>
            <w:right w:val="none" w:sz="0" w:space="0" w:color="auto"/>
          </w:divBdr>
          <w:divsChild>
            <w:div w:id="1044671307">
              <w:marLeft w:val="0"/>
              <w:marRight w:val="0"/>
              <w:marTop w:val="0"/>
              <w:marBottom w:val="0"/>
              <w:divBdr>
                <w:top w:val="none" w:sz="0" w:space="0" w:color="auto"/>
                <w:left w:val="none" w:sz="0" w:space="0" w:color="auto"/>
                <w:bottom w:val="none" w:sz="0" w:space="0" w:color="auto"/>
                <w:right w:val="none" w:sz="0" w:space="0" w:color="auto"/>
              </w:divBdr>
            </w:div>
          </w:divsChild>
        </w:div>
        <w:div w:id="957176689">
          <w:marLeft w:val="0"/>
          <w:marRight w:val="0"/>
          <w:marTop w:val="0"/>
          <w:marBottom w:val="0"/>
          <w:divBdr>
            <w:top w:val="none" w:sz="0" w:space="0" w:color="auto"/>
            <w:left w:val="none" w:sz="0" w:space="0" w:color="auto"/>
            <w:bottom w:val="none" w:sz="0" w:space="0" w:color="auto"/>
            <w:right w:val="none" w:sz="0" w:space="0" w:color="auto"/>
          </w:divBdr>
          <w:divsChild>
            <w:div w:id="1618179602">
              <w:marLeft w:val="0"/>
              <w:marRight w:val="0"/>
              <w:marTop w:val="0"/>
              <w:marBottom w:val="0"/>
              <w:divBdr>
                <w:top w:val="none" w:sz="0" w:space="0" w:color="auto"/>
                <w:left w:val="none" w:sz="0" w:space="0" w:color="auto"/>
                <w:bottom w:val="none" w:sz="0" w:space="0" w:color="auto"/>
                <w:right w:val="none" w:sz="0" w:space="0" w:color="auto"/>
              </w:divBdr>
            </w:div>
          </w:divsChild>
        </w:div>
        <w:div w:id="1030187913">
          <w:marLeft w:val="0"/>
          <w:marRight w:val="0"/>
          <w:marTop w:val="0"/>
          <w:marBottom w:val="0"/>
          <w:divBdr>
            <w:top w:val="none" w:sz="0" w:space="0" w:color="auto"/>
            <w:left w:val="none" w:sz="0" w:space="0" w:color="auto"/>
            <w:bottom w:val="none" w:sz="0" w:space="0" w:color="auto"/>
            <w:right w:val="none" w:sz="0" w:space="0" w:color="auto"/>
          </w:divBdr>
          <w:divsChild>
            <w:div w:id="538669559">
              <w:marLeft w:val="0"/>
              <w:marRight w:val="0"/>
              <w:marTop w:val="0"/>
              <w:marBottom w:val="0"/>
              <w:divBdr>
                <w:top w:val="none" w:sz="0" w:space="0" w:color="auto"/>
                <w:left w:val="none" w:sz="0" w:space="0" w:color="auto"/>
                <w:bottom w:val="none" w:sz="0" w:space="0" w:color="auto"/>
                <w:right w:val="none" w:sz="0" w:space="0" w:color="auto"/>
              </w:divBdr>
            </w:div>
          </w:divsChild>
        </w:div>
        <w:div w:id="1095784140">
          <w:marLeft w:val="0"/>
          <w:marRight w:val="0"/>
          <w:marTop w:val="0"/>
          <w:marBottom w:val="0"/>
          <w:divBdr>
            <w:top w:val="none" w:sz="0" w:space="0" w:color="auto"/>
            <w:left w:val="none" w:sz="0" w:space="0" w:color="auto"/>
            <w:bottom w:val="none" w:sz="0" w:space="0" w:color="auto"/>
            <w:right w:val="none" w:sz="0" w:space="0" w:color="auto"/>
          </w:divBdr>
          <w:divsChild>
            <w:div w:id="1687059146">
              <w:marLeft w:val="0"/>
              <w:marRight w:val="0"/>
              <w:marTop w:val="0"/>
              <w:marBottom w:val="0"/>
              <w:divBdr>
                <w:top w:val="none" w:sz="0" w:space="0" w:color="auto"/>
                <w:left w:val="none" w:sz="0" w:space="0" w:color="auto"/>
                <w:bottom w:val="none" w:sz="0" w:space="0" w:color="auto"/>
                <w:right w:val="none" w:sz="0" w:space="0" w:color="auto"/>
              </w:divBdr>
            </w:div>
          </w:divsChild>
        </w:div>
        <w:div w:id="1134904824">
          <w:marLeft w:val="0"/>
          <w:marRight w:val="0"/>
          <w:marTop w:val="0"/>
          <w:marBottom w:val="0"/>
          <w:divBdr>
            <w:top w:val="none" w:sz="0" w:space="0" w:color="auto"/>
            <w:left w:val="none" w:sz="0" w:space="0" w:color="auto"/>
            <w:bottom w:val="none" w:sz="0" w:space="0" w:color="auto"/>
            <w:right w:val="none" w:sz="0" w:space="0" w:color="auto"/>
          </w:divBdr>
          <w:divsChild>
            <w:div w:id="1151408939">
              <w:marLeft w:val="0"/>
              <w:marRight w:val="0"/>
              <w:marTop w:val="0"/>
              <w:marBottom w:val="0"/>
              <w:divBdr>
                <w:top w:val="none" w:sz="0" w:space="0" w:color="auto"/>
                <w:left w:val="none" w:sz="0" w:space="0" w:color="auto"/>
                <w:bottom w:val="none" w:sz="0" w:space="0" w:color="auto"/>
                <w:right w:val="none" w:sz="0" w:space="0" w:color="auto"/>
              </w:divBdr>
            </w:div>
          </w:divsChild>
        </w:div>
        <w:div w:id="1147863133">
          <w:marLeft w:val="0"/>
          <w:marRight w:val="0"/>
          <w:marTop w:val="0"/>
          <w:marBottom w:val="0"/>
          <w:divBdr>
            <w:top w:val="none" w:sz="0" w:space="0" w:color="auto"/>
            <w:left w:val="none" w:sz="0" w:space="0" w:color="auto"/>
            <w:bottom w:val="none" w:sz="0" w:space="0" w:color="auto"/>
            <w:right w:val="none" w:sz="0" w:space="0" w:color="auto"/>
          </w:divBdr>
          <w:divsChild>
            <w:div w:id="581794443">
              <w:marLeft w:val="0"/>
              <w:marRight w:val="0"/>
              <w:marTop w:val="0"/>
              <w:marBottom w:val="0"/>
              <w:divBdr>
                <w:top w:val="none" w:sz="0" w:space="0" w:color="auto"/>
                <w:left w:val="none" w:sz="0" w:space="0" w:color="auto"/>
                <w:bottom w:val="none" w:sz="0" w:space="0" w:color="auto"/>
                <w:right w:val="none" w:sz="0" w:space="0" w:color="auto"/>
              </w:divBdr>
            </w:div>
          </w:divsChild>
        </w:div>
        <w:div w:id="1160585523">
          <w:marLeft w:val="0"/>
          <w:marRight w:val="0"/>
          <w:marTop w:val="0"/>
          <w:marBottom w:val="0"/>
          <w:divBdr>
            <w:top w:val="none" w:sz="0" w:space="0" w:color="auto"/>
            <w:left w:val="none" w:sz="0" w:space="0" w:color="auto"/>
            <w:bottom w:val="none" w:sz="0" w:space="0" w:color="auto"/>
            <w:right w:val="none" w:sz="0" w:space="0" w:color="auto"/>
          </w:divBdr>
          <w:divsChild>
            <w:div w:id="2091583430">
              <w:marLeft w:val="0"/>
              <w:marRight w:val="0"/>
              <w:marTop w:val="0"/>
              <w:marBottom w:val="0"/>
              <w:divBdr>
                <w:top w:val="none" w:sz="0" w:space="0" w:color="auto"/>
                <w:left w:val="none" w:sz="0" w:space="0" w:color="auto"/>
                <w:bottom w:val="none" w:sz="0" w:space="0" w:color="auto"/>
                <w:right w:val="none" w:sz="0" w:space="0" w:color="auto"/>
              </w:divBdr>
            </w:div>
          </w:divsChild>
        </w:div>
        <w:div w:id="1305357520">
          <w:marLeft w:val="0"/>
          <w:marRight w:val="0"/>
          <w:marTop w:val="0"/>
          <w:marBottom w:val="0"/>
          <w:divBdr>
            <w:top w:val="none" w:sz="0" w:space="0" w:color="auto"/>
            <w:left w:val="none" w:sz="0" w:space="0" w:color="auto"/>
            <w:bottom w:val="none" w:sz="0" w:space="0" w:color="auto"/>
            <w:right w:val="none" w:sz="0" w:space="0" w:color="auto"/>
          </w:divBdr>
          <w:divsChild>
            <w:div w:id="856191179">
              <w:marLeft w:val="0"/>
              <w:marRight w:val="0"/>
              <w:marTop w:val="0"/>
              <w:marBottom w:val="0"/>
              <w:divBdr>
                <w:top w:val="none" w:sz="0" w:space="0" w:color="auto"/>
                <w:left w:val="none" w:sz="0" w:space="0" w:color="auto"/>
                <w:bottom w:val="none" w:sz="0" w:space="0" w:color="auto"/>
                <w:right w:val="none" w:sz="0" w:space="0" w:color="auto"/>
              </w:divBdr>
            </w:div>
          </w:divsChild>
        </w:div>
        <w:div w:id="1345011126">
          <w:marLeft w:val="0"/>
          <w:marRight w:val="0"/>
          <w:marTop w:val="0"/>
          <w:marBottom w:val="0"/>
          <w:divBdr>
            <w:top w:val="none" w:sz="0" w:space="0" w:color="auto"/>
            <w:left w:val="none" w:sz="0" w:space="0" w:color="auto"/>
            <w:bottom w:val="none" w:sz="0" w:space="0" w:color="auto"/>
            <w:right w:val="none" w:sz="0" w:space="0" w:color="auto"/>
          </w:divBdr>
          <w:divsChild>
            <w:div w:id="1257714587">
              <w:marLeft w:val="0"/>
              <w:marRight w:val="0"/>
              <w:marTop w:val="0"/>
              <w:marBottom w:val="0"/>
              <w:divBdr>
                <w:top w:val="none" w:sz="0" w:space="0" w:color="auto"/>
                <w:left w:val="none" w:sz="0" w:space="0" w:color="auto"/>
                <w:bottom w:val="none" w:sz="0" w:space="0" w:color="auto"/>
                <w:right w:val="none" w:sz="0" w:space="0" w:color="auto"/>
              </w:divBdr>
            </w:div>
          </w:divsChild>
        </w:div>
        <w:div w:id="1428230503">
          <w:marLeft w:val="0"/>
          <w:marRight w:val="0"/>
          <w:marTop w:val="0"/>
          <w:marBottom w:val="0"/>
          <w:divBdr>
            <w:top w:val="none" w:sz="0" w:space="0" w:color="auto"/>
            <w:left w:val="none" w:sz="0" w:space="0" w:color="auto"/>
            <w:bottom w:val="none" w:sz="0" w:space="0" w:color="auto"/>
            <w:right w:val="none" w:sz="0" w:space="0" w:color="auto"/>
          </w:divBdr>
          <w:divsChild>
            <w:div w:id="280500988">
              <w:marLeft w:val="0"/>
              <w:marRight w:val="0"/>
              <w:marTop w:val="0"/>
              <w:marBottom w:val="0"/>
              <w:divBdr>
                <w:top w:val="none" w:sz="0" w:space="0" w:color="auto"/>
                <w:left w:val="none" w:sz="0" w:space="0" w:color="auto"/>
                <w:bottom w:val="none" w:sz="0" w:space="0" w:color="auto"/>
                <w:right w:val="none" w:sz="0" w:space="0" w:color="auto"/>
              </w:divBdr>
            </w:div>
          </w:divsChild>
        </w:div>
        <w:div w:id="1478693296">
          <w:marLeft w:val="0"/>
          <w:marRight w:val="0"/>
          <w:marTop w:val="0"/>
          <w:marBottom w:val="0"/>
          <w:divBdr>
            <w:top w:val="none" w:sz="0" w:space="0" w:color="auto"/>
            <w:left w:val="none" w:sz="0" w:space="0" w:color="auto"/>
            <w:bottom w:val="none" w:sz="0" w:space="0" w:color="auto"/>
            <w:right w:val="none" w:sz="0" w:space="0" w:color="auto"/>
          </w:divBdr>
          <w:divsChild>
            <w:div w:id="1978954856">
              <w:marLeft w:val="0"/>
              <w:marRight w:val="0"/>
              <w:marTop w:val="0"/>
              <w:marBottom w:val="0"/>
              <w:divBdr>
                <w:top w:val="none" w:sz="0" w:space="0" w:color="auto"/>
                <w:left w:val="none" w:sz="0" w:space="0" w:color="auto"/>
                <w:bottom w:val="none" w:sz="0" w:space="0" w:color="auto"/>
                <w:right w:val="none" w:sz="0" w:space="0" w:color="auto"/>
              </w:divBdr>
            </w:div>
          </w:divsChild>
        </w:div>
        <w:div w:id="1485391974">
          <w:marLeft w:val="0"/>
          <w:marRight w:val="0"/>
          <w:marTop w:val="0"/>
          <w:marBottom w:val="0"/>
          <w:divBdr>
            <w:top w:val="none" w:sz="0" w:space="0" w:color="auto"/>
            <w:left w:val="none" w:sz="0" w:space="0" w:color="auto"/>
            <w:bottom w:val="none" w:sz="0" w:space="0" w:color="auto"/>
            <w:right w:val="none" w:sz="0" w:space="0" w:color="auto"/>
          </w:divBdr>
          <w:divsChild>
            <w:div w:id="1310943362">
              <w:marLeft w:val="0"/>
              <w:marRight w:val="0"/>
              <w:marTop w:val="0"/>
              <w:marBottom w:val="0"/>
              <w:divBdr>
                <w:top w:val="none" w:sz="0" w:space="0" w:color="auto"/>
                <w:left w:val="none" w:sz="0" w:space="0" w:color="auto"/>
                <w:bottom w:val="none" w:sz="0" w:space="0" w:color="auto"/>
                <w:right w:val="none" w:sz="0" w:space="0" w:color="auto"/>
              </w:divBdr>
            </w:div>
          </w:divsChild>
        </w:div>
        <w:div w:id="1546484829">
          <w:marLeft w:val="0"/>
          <w:marRight w:val="0"/>
          <w:marTop w:val="0"/>
          <w:marBottom w:val="0"/>
          <w:divBdr>
            <w:top w:val="none" w:sz="0" w:space="0" w:color="auto"/>
            <w:left w:val="none" w:sz="0" w:space="0" w:color="auto"/>
            <w:bottom w:val="none" w:sz="0" w:space="0" w:color="auto"/>
            <w:right w:val="none" w:sz="0" w:space="0" w:color="auto"/>
          </w:divBdr>
          <w:divsChild>
            <w:div w:id="1366634789">
              <w:marLeft w:val="0"/>
              <w:marRight w:val="0"/>
              <w:marTop w:val="0"/>
              <w:marBottom w:val="0"/>
              <w:divBdr>
                <w:top w:val="none" w:sz="0" w:space="0" w:color="auto"/>
                <w:left w:val="none" w:sz="0" w:space="0" w:color="auto"/>
                <w:bottom w:val="none" w:sz="0" w:space="0" w:color="auto"/>
                <w:right w:val="none" w:sz="0" w:space="0" w:color="auto"/>
              </w:divBdr>
            </w:div>
          </w:divsChild>
        </w:div>
        <w:div w:id="1591039773">
          <w:marLeft w:val="0"/>
          <w:marRight w:val="0"/>
          <w:marTop w:val="0"/>
          <w:marBottom w:val="0"/>
          <w:divBdr>
            <w:top w:val="none" w:sz="0" w:space="0" w:color="auto"/>
            <w:left w:val="none" w:sz="0" w:space="0" w:color="auto"/>
            <w:bottom w:val="none" w:sz="0" w:space="0" w:color="auto"/>
            <w:right w:val="none" w:sz="0" w:space="0" w:color="auto"/>
          </w:divBdr>
          <w:divsChild>
            <w:div w:id="71322768">
              <w:marLeft w:val="0"/>
              <w:marRight w:val="0"/>
              <w:marTop w:val="0"/>
              <w:marBottom w:val="0"/>
              <w:divBdr>
                <w:top w:val="none" w:sz="0" w:space="0" w:color="auto"/>
                <w:left w:val="none" w:sz="0" w:space="0" w:color="auto"/>
                <w:bottom w:val="none" w:sz="0" w:space="0" w:color="auto"/>
                <w:right w:val="none" w:sz="0" w:space="0" w:color="auto"/>
              </w:divBdr>
            </w:div>
          </w:divsChild>
        </w:div>
        <w:div w:id="1595432461">
          <w:marLeft w:val="0"/>
          <w:marRight w:val="0"/>
          <w:marTop w:val="0"/>
          <w:marBottom w:val="0"/>
          <w:divBdr>
            <w:top w:val="none" w:sz="0" w:space="0" w:color="auto"/>
            <w:left w:val="none" w:sz="0" w:space="0" w:color="auto"/>
            <w:bottom w:val="none" w:sz="0" w:space="0" w:color="auto"/>
            <w:right w:val="none" w:sz="0" w:space="0" w:color="auto"/>
          </w:divBdr>
          <w:divsChild>
            <w:div w:id="1826050276">
              <w:marLeft w:val="0"/>
              <w:marRight w:val="0"/>
              <w:marTop w:val="0"/>
              <w:marBottom w:val="0"/>
              <w:divBdr>
                <w:top w:val="none" w:sz="0" w:space="0" w:color="auto"/>
                <w:left w:val="none" w:sz="0" w:space="0" w:color="auto"/>
                <w:bottom w:val="none" w:sz="0" w:space="0" w:color="auto"/>
                <w:right w:val="none" w:sz="0" w:space="0" w:color="auto"/>
              </w:divBdr>
            </w:div>
          </w:divsChild>
        </w:div>
        <w:div w:id="1639990947">
          <w:marLeft w:val="0"/>
          <w:marRight w:val="0"/>
          <w:marTop w:val="0"/>
          <w:marBottom w:val="0"/>
          <w:divBdr>
            <w:top w:val="none" w:sz="0" w:space="0" w:color="auto"/>
            <w:left w:val="none" w:sz="0" w:space="0" w:color="auto"/>
            <w:bottom w:val="none" w:sz="0" w:space="0" w:color="auto"/>
            <w:right w:val="none" w:sz="0" w:space="0" w:color="auto"/>
          </w:divBdr>
          <w:divsChild>
            <w:div w:id="2010674800">
              <w:marLeft w:val="0"/>
              <w:marRight w:val="0"/>
              <w:marTop w:val="0"/>
              <w:marBottom w:val="0"/>
              <w:divBdr>
                <w:top w:val="none" w:sz="0" w:space="0" w:color="auto"/>
                <w:left w:val="none" w:sz="0" w:space="0" w:color="auto"/>
                <w:bottom w:val="none" w:sz="0" w:space="0" w:color="auto"/>
                <w:right w:val="none" w:sz="0" w:space="0" w:color="auto"/>
              </w:divBdr>
            </w:div>
          </w:divsChild>
        </w:div>
        <w:div w:id="1654597647">
          <w:marLeft w:val="0"/>
          <w:marRight w:val="0"/>
          <w:marTop w:val="0"/>
          <w:marBottom w:val="0"/>
          <w:divBdr>
            <w:top w:val="none" w:sz="0" w:space="0" w:color="auto"/>
            <w:left w:val="none" w:sz="0" w:space="0" w:color="auto"/>
            <w:bottom w:val="none" w:sz="0" w:space="0" w:color="auto"/>
            <w:right w:val="none" w:sz="0" w:space="0" w:color="auto"/>
          </w:divBdr>
          <w:divsChild>
            <w:div w:id="1341078708">
              <w:marLeft w:val="0"/>
              <w:marRight w:val="0"/>
              <w:marTop w:val="0"/>
              <w:marBottom w:val="0"/>
              <w:divBdr>
                <w:top w:val="none" w:sz="0" w:space="0" w:color="auto"/>
                <w:left w:val="none" w:sz="0" w:space="0" w:color="auto"/>
                <w:bottom w:val="none" w:sz="0" w:space="0" w:color="auto"/>
                <w:right w:val="none" w:sz="0" w:space="0" w:color="auto"/>
              </w:divBdr>
            </w:div>
          </w:divsChild>
        </w:div>
        <w:div w:id="1713070882">
          <w:marLeft w:val="0"/>
          <w:marRight w:val="0"/>
          <w:marTop w:val="0"/>
          <w:marBottom w:val="0"/>
          <w:divBdr>
            <w:top w:val="none" w:sz="0" w:space="0" w:color="auto"/>
            <w:left w:val="none" w:sz="0" w:space="0" w:color="auto"/>
            <w:bottom w:val="none" w:sz="0" w:space="0" w:color="auto"/>
            <w:right w:val="none" w:sz="0" w:space="0" w:color="auto"/>
          </w:divBdr>
          <w:divsChild>
            <w:div w:id="1980453272">
              <w:marLeft w:val="0"/>
              <w:marRight w:val="0"/>
              <w:marTop w:val="0"/>
              <w:marBottom w:val="0"/>
              <w:divBdr>
                <w:top w:val="none" w:sz="0" w:space="0" w:color="auto"/>
                <w:left w:val="none" w:sz="0" w:space="0" w:color="auto"/>
                <w:bottom w:val="none" w:sz="0" w:space="0" w:color="auto"/>
                <w:right w:val="none" w:sz="0" w:space="0" w:color="auto"/>
              </w:divBdr>
            </w:div>
          </w:divsChild>
        </w:div>
        <w:div w:id="1835564277">
          <w:marLeft w:val="0"/>
          <w:marRight w:val="0"/>
          <w:marTop w:val="0"/>
          <w:marBottom w:val="0"/>
          <w:divBdr>
            <w:top w:val="none" w:sz="0" w:space="0" w:color="auto"/>
            <w:left w:val="none" w:sz="0" w:space="0" w:color="auto"/>
            <w:bottom w:val="none" w:sz="0" w:space="0" w:color="auto"/>
            <w:right w:val="none" w:sz="0" w:space="0" w:color="auto"/>
          </w:divBdr>
          <w:divsChild>
            <w:div w:id="1292787601">
              <w:marLeft w:val="0"/>
              <w:marRight w:val="0"/>
              <w:marTop w:val="0"/>
              <w:marBottom w:val="0"/>
              <w:divBdr>
                <w:top w:val="none" w:sz="0" w:space="0" w:color="auto"/>
                <w:left w:val="none" w:sz="0" w:space="0" w:color="auto"/>
                <w:bottom w:val="none" w:sz="0" w:space="0" w:color="auto"/>
                <w:right w:val="none" w:sz="0" w:space="0" w:color="auto"/>
              </w:divBdr>
            </w:div>
          </w:divsChild>
        </w:div>
        <w:div w:id="1878737936">
          <w:marLeft w:val="0"/>
          <w:marRight w:val="0"/>
          <w:marTop w:val="0"/>
          <w:marBottom w:val="0"/>
          <w:divBdr>
            <w:top w:val="none" w:sz="0" w:space="0" w:color="auto"/>
            <w:left w:val="none" w:sz="0" w:space="0" w:color="auto"/>
            <w:bottom w:val="none" w:sz="0" w:space="0" w:color="auto"/>
            <w:right w:val="none" w:sz="0" w:space="0" w:color="auto"/>
          </w:divBdr>
          <w:divsChild>
            <w:div w:id="219441069">
              <w:marLeft w:val="0"/>
              <w:marRight w:val="0"/>
              <w:marTop w:val="0"/>
              <w:marBottom w:val="0"/>
              <w:divBdr>
                <w:top w:val="none" w:sz="0" w:space="0" w:color="auto"/>
                <w:left w:val="none" w:sz="0" w:space="0" w:color="auto"/>
                <w:bottom w:val="none" w:sz="0" w:space="0" w:color="auto"/>
                <w:right w:val="none" w:sz="0" w:space="0" w:color="auto"/>
              </w:divBdr>
            </w:div>
          </w:divsChild>
        </w:div>
        <w:div w:id="1968388260">
          <w:marLeft w:val="0"/>
          <w:marRight w:val="0"/>
          <w:marTop w:val="0"/>
          <w:marBottom w:val="0"/>
          <w:divBdr>
            <w:top w:val="none" w:sz="0" w:space="0" w:color="auto"/>
            <w:left w:val="none" w:sz="0" w:space="0" w:color="auto"/>
            <w:bottom w:val="none" w:sz="0" w:space="0" w:color="auto"/>
            <w:right w:val="none" w:sz="0" w:space="0" w:color="auto"/>
          </w:divBdr>
          <w:divsChild>
            <w:div w:id="1476608882">
              <w:marLeft w:val="0"/>
              <w:marRight w:val="0"/>
              <w:marTop w:val="0"/>
              <w:marBottom w:val="0"/>
              <w:divBdr>
                <w:top w:val="none" w:sz="0" w:space="0" w:color="auto"/>
                <w:left w:val="none" w:sz="0" w:space="0" w:color="auto"/>
                <w:bottom w:val="none" w:sz="0" w:space="0" w:color="auto"/>
                <w:right w:val="none" w:sz="0" w:space="0" w:color="auto"/>
              </w:divBdr>
            </w:div>
          </w:divsChild>
        </w:div>
        <w:div w:id="1973173981">
          <w:marLeft w:val="0"/>
          <w:marRight w:val="0"/>
          <w:marTop w:val="0"/>
          <w:marBottom w:val="0"/>
          <w:divBdr>
            <w:top w:val="none" w:sz="0" w:space="0" w:color="auto"/>
            <w:left w:val="none" w:sz="0" w:space="0" w:color="auto"/>
            <w:bottom w:val="none" w:sz="0" w:space="0" w:color="auto"/>
            <w:right w:val="none" w:sz="0" w:space="0" w:color="auto"/>
          </w:divBdr>
          <w:divsChild>
            <w:div w:id="323818550">
              <w:marLeft w:val="0"/>
              <w:marRight w:val="0"/>
              <w:marTop w:val="0"/>
              <w:marBottom w:val="0"/>
              <w:divBdr>
                <w:top w:val="none" w:sz="0" w:space="0" w:color="auto"/>
                <w:left w:val="none" w:sz="0" w:space="0" w:color="auto"/>
                <w:bottom w:val="none" w:sz="0" w:space="0" w:color="auto"/>
                <w:right w:val="none" w:sz="0" w:space="0" w:color="auto"/>
              </w:divBdr>
            </w:div>
          </w:divsChild>
        </w:div>
        <w:div w:id="2019770417">
          <w:marLeft w:val="0"/>
          <w:marRight w:val="0"/>
          <w:marTop w:val="0"/>
          <w:marBottom w:val="0"/>
          <w:divBdr>
            <w:top w:val="none" w:sz="0" w:space="0" w:color="auto"/>
            <w:left w:val="none" w:sz="0" w:space="0" w:color="auto"/>
            <w:bottom w:val="none" w:sz="0" w:space="0" w:color="auto"/>
            <w:right w:val="none" w:sz="0" w:space="0" w:color="auto"/>
          </w:divBdr>
          <w:divsChild>
            <w:div w:id="766078306">
              <w:marLeft w:val="0"/>
              <w:marRight w:val="0"/>
              <w:marTop w:val="0"/>
              <w:marBottom w:val="0"/>
              <w:divBdr>
                <w:top w:val="none" w:sz="0" w:space="0" w:color="auto"/>
                <w:left w:val="none" w:sz="0" w:space="0" w:color="auto"/>
                <w:bottom w:val="none" w:sz="0" w:space="0" w:color="auto"/>
                <w:right w:val="none" w:sz="0" w:space="0" w:color="auto"/>
              </w:divBdr>
            </w:div>
          </w:divsChild>
        </w:div>
        <w:div w:id="2051805360">
          <w:marLeft w:val="0"/>
          <w:marRight w:val="0"/>
          <w:marTop w:val="0"/>
          <w:marBottom w:val="0"/>
          <w:divBdr>
            <w:top w:val="none" w:sz="0" w:space="0" w:color="auto"/>
            <w:left w:val="none" w:sz="0" w:space="0" w:color="auto"/>
            <w:bottom w:val="none" w:sz="0" w:space="0" w:color="auto"/>
            <w:right w:val="none" w:sz="0" w:space="0" w:color="auto"/>
          </w:divBdr>
          <w:divsChild>
            <w:div w:id="1796635706">
              <w:marLeft w:val="0"/>
              <w:marRight w:val="0"/>
              <w:marTop w:val="0"/>
              <w:marBottom w:val="0"/>
              <w:divBdr>
                <w:top w:val="none" w:sz="0" w:space="0" w:color="auto"/>
                <w:left w:val="none" w:sz="0" w:space="0" w:color="auto"/>
                <w:bottom w:val="none" w:sz="0" w:space="0" w:color="auto"/>
                <w:right w:val="none" w:sz="0" w:space="0" w:color="auto"/>
              </w:divBdr>
            </w:div>
          </w:divsChild>
        </w:div>
        <w:div w:id="2114158334">
          <w:marLeft w:val="0"/>
          <w:marRight w:val="0"/>
          <w:marTop w:val="0"/>
          <w:marBottom w:val="0"/>
          <w:divBdr>
            <w:top w:val="none" w:sz="0" w:space="0" w:color="auto"/>
            <w:left w:val="none" w:sz="0" w:space="0" w:color="auto"/>
            <w:bottom w:val="none" w:sz="0" w:space="0" w:color="auto"/>
            <w:right w:val="none" w:sz="0" w:space="0" w:color="auto"/>
          </w:divBdr>
          <w:divsChild>
            <w:div w:id="5138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033673">
      <w:bodyDiv w:val="1"/>
      <w:marLeft w:val="0"/>
      <w:marRight w:val="0"/>
      <w:marTop w:val="0"/>
      <w:marBottom w:val="0"/>
      <w:divBdr>
        <w:top w:val="none" w:sz="0" w:space="0" w:color="auto"/>
        <w:left w:val="none" w:sz="0" w:space="0" w:color="auto"/>
        <w:bottom w:val="none" w:sz="0" w:space="0" w:color="auto"/>
        <w:right w:val="none" w:sz="0" w:space="0" w:color="auto"/>
      </w:divBdr>
      <w:divsChild>
        <w:div w:id="8794979">
          <w:marLeft w:val="0"/>
          <w:marRight w:val="0"/>
          <w:marTop w:val="0"/>
          <w:marBottom w:val="0"/>
          <w:divBdr>
            <w:top w:val="none" w:sz="0" w:space="0" w:color="auto"/>
            <w:left w:val="none" w:sz="0" w:space="0" w:color="auto"/>
            <w:bottom w:val="none" w:sz="0" w:space="0" w:color="auto"/>
            <w:right w:val="none" w:sz="0" w:space="0" w:color="auto"/>
          </w:divBdr>
        </w:div>
        <w:div w:id="28796821">
          <w:marLeft w:val="0"/>
          <w:marRight w:val="0"/>
          <w:marTop w:val="0"/>
          <w:marBottom w:val="0"/>
          <w:divBdr>
            <w:top w:val="none" w:sz="0" w:space="0" w:color="auto"/>
            <w:left w:val="none" w:sz="0" w:space="0" w:color="auto"/>
            <w:bottom w:val="none" w:sz="0" w:space="0" w:color="auto"/>
            <w:right w:val="none" w:sz="0" w:space="0" w:color="auto"/>
          </w:divBdr>
        </w:div>
        <w:div w:id="66997643">
          <w:marLeft w:val="0"/>
          <w:marRight w:val="0"/>
          <w:marTop w:val="0"/>
          <w:marBottom w:val="0"/>
          <w:divBdr>
            <w:top w:val="none" w:sz="0" w:space="0" w:color="auto"/>
            <w:left w:val="none" w:sz="0" w:space="0" w:color="auto"/>
            <w:bottom w:val="none" w:sz="0" w:space="0" w:color="auto"/>
            <w:right w:val="none" w:sz="0" w:space="0" w:color="auto"/>
          </w:divBdr>
        </w:div>
        <w:div w:id="76363162">
          <w:marLeft w:val="0"/>
          <w:marRight w:val="0"/>
          <w:marTop w:val="0"/>
          <w:marBottom w:val="0"/>
          <w:divBdr>
            <w:top w:val="none" w:sz="0" w:space="0" w:color="auto"/>
            <w:left w:val="none" w:sz="0" w:space="0" w:color="auto"/>
            <w:bottom w:val="none" w:sz="0" w:space="0" w:color="auto"/>
            <w:right w:val="none" w:sz="0" w:space="0" w:color="auto"/>
          </w:divBdr>
        </w:div>
        <w:div w:id="82268827">
          <w:marLeft w:val="0"/>
          <w:marRight w:val="0"/>
          <w:marTop w:val="0"/>
          <w:marBottom w:val="0"/>
          <w:divBdr>
            <w:top w:val="none" w:sz="0" w:space="0" w:color="auto"/>
            <w:left w:val="none" w:sz="0" w:space="0" w:color="auto"/>
            <w:bottom w:val="none" w:sz="0" w:space="0" w:color="auto"/>
            <w:right w:val="none" w:sz="0" w:space="0" w:color="auto"/>
          </w:divBdr>
        </w:div>
        <w:div w:id="92282110">
          <w:marLeft w:val="0"/>
          <w:marRight w:val="0"/>
          <w:marTop w:val="0"/>
          <w:marBottom w:val="0"/>
          <w:divBdr>
            <w:top w:val="none" w:sz="0" w:space="0" w:color="auto"/>
            <w:left w:val="none" w:sz="0" w:space="0" w:color="auto"/>
            <w:bottom w:val="none" w:sz="0" w:space="0" w:color="auto"/>
            <w:right w:val="none" w:sz="0" w:space="0" w:color="auto"/>
          </w:divBdr>
        </w:div>
        <w:div w:id="96684889">
          <w:marLeft w:val="0"/>
          <w:marRight w:val="0"/>
          <w:marTop w:val="0"/>
          <w:marBottom w:val="0"/>
          <w:divBdr>
            <w:top w:val="none" w:sz="0" w:space="0" w:color="auto"/>
            <w:left w:val="none" w:sz="0" w:space="0" w:color="auto"/>
            <w:bottom w:val="none" w:sz="0" w:space="0" w:color="auto"/>
            <w:right w:val="none" w:sz="0" w:space="0" w:color="auto"/>
          </w:divBdr>
        </w:div>
        <w:div w:id="99111540">
          <w:marLeft w:val="0"/>
          <w:marRight w:val="0"/>
          <w:marTop w:val="0"/>
          <w:marBottom w:val="0"/>
          <w:divBdr>
            <w:top w:val="none" w:sz="0" w:space="0" w:color="auto"/>
            <w:left w:val="none" w:sz="0" w:space="0" w:color="auto"/>
            <w:bottom w:val="none" w:sz="0" w:space="0" w:color="auto"/>
            <w:right w:val="none" w:sz="0" w:space="0" w:color="auto"/>
          </w:divBdr>
          <w:divsChild>
            <w:div w:id="76946555">
              <w:marLeft w:val="0"/>
              <w:marRight w:val="0"/>
              <w:marTop w:val="0"/>
              <w:marBottom w:val="0"/>
              <w:divBdr>
                <w:top w:val="none" w:sz="0" w:space="0" w:color="auto"/>
                <w:left w:val="none" w:sz="0" w:space="0" w:color="auto"/>
                <w:bottom w:val="none" w:sz="0" w:space="0" w:color="auto"/>
                <w:right w:val="none" w:sz="0" w:space="0" w:color="auto"/>
              </w:divBdr>
            </w:div>
            <w:div w:id="129330456">
              <w:marLeft w:val="0"/>
              <w:marRight w:val="0"/>
              <w:marTop w:val="0"/>
              <w:marBottom w:val="0"/>
              <w:divBdr>
                <w:top w:val="none" w:sz="0" w:space="0" w:color="auto"/>
                <w:left w:val="none" w:sz="0" w:space="0" w:color="auto"/>
                <w:bottom w:val="none" w:sz="0" w:space="0" w:color="auto"/>
                <w:right w:val="none" w:sz="0" w:space="0" w:color="auto"/>
              </w:divBdr>
            </w:div>
            <w:div w:id="143353848">
              <w:marLeft w:val="0"/>
              <w:marRight w:val="0"/>
              <w:marTop w:val="0"/>
              <w:marBottom w:val="0"/>
              <w:divBdr>
                <w:top w:val="none" w:sz="0" w:space="0" w:color="auto"/>
                <w:left w:val="none" w:sz="0" w:space="0" w:color="auto"/>
                <w:bottom w:val="none" w:sz="0" w:space="0" w:color="auto"/>
                <w:right w:val="none" w:sz="0" w:space="0" w:color="auto"/>
              </w:divBdr>
            </w:div>
            <w:div w:id="181474449">
              <w:marLeft w:val="0"/>
              <w:marRight w:val="0"/>
              <w:marTop w:val="0"/>
              <w:marBottom w:val="0"/>
              <w:divBdr>
                <w:top w:val="none" w:sz="0" w:space="0" w:color="auto"/>
                <w:left w:val="none" w:sz="0" w:space="0" w:color="auto"/>
                <w:bottom w:val="none" w:sz="0" w:space="0" w:color="auto"/>
                <w:right w:val="none" w:sz="0" w:space="0" w:color="auto"/>
              </w:divBdr>
            </w:div>
            <w:div w:id="184633897">
              <w:marLeft w:val="0"/>
              <w:marRight w:val="0"/>
              <w:marTop w:val="0"/>
              <w:marBottom w:val="0"/>
              <w:divBdr>
                <w:top w:val="none" w:sz="0" w:space="0" w:color="auto"/>
                <w:left w:val="none" w:sz="0" w:space="0" w:color="auto"/>
                <w:bottom w:val="none" w:sz="0" w:space="0" w:color="auto"/>
                <w:right w:val="none" w:sz="0" w:space="0" w:color="auto"/>
              </w:divBdr>
            </w:div>
            <w:div w:id="284624686">
              <w:marLeft w:val="0"/>
              <w:marRight w:val="0"/>
              <w:marTop w:val="0"/>
              <w:marBottom w:val="0"/>
              <w:divBdr>
                <w:top w:val="none" w:sz="0" w:space="0" w:color="auto"/>
                <w:left w:val="none" w:sz="0" w:space="0" w:color="auto"/>
                <w:bottom w:val="none" w:sz="0" w:space="0" w:color="auto"/>
                <w:right w:val="none" w:sz="0" w:space="0" w:color="auto"/>
              </w:divBdr>
            </w:div>
            <w:div w:id="410087017">
              <w:marLeft w:val="0"/>
              <w:marRight w:val="0"/>
              <w:marTop w:val="0"/>
              <w:marBottom w:val="0"/>
              <w:divBdr>
                <w:top w:val="none" w:sz="0" w:space="0" w:color="auto"/>
                <w:left w:val="none" w:sz="0" w:space="0" w:color="auto"/>
                <w:bottom w:val="none" w:sz="0" w:space="0" w:color="auto"/>
                <w:right w:val="none" w:sz="0" w:space="0" w:color="auto"/>
              </w:divBdr>
            </w:div>
            <w:div w:id="597641572">
              <w:marLeft w:val="0"/>
              <w:marRight w:val="0"/>
              <w:marTop w:val="0"/>
              <w:marBottom w:val="0"/>
              <w:divBdr>
                <w:top w:val="none" w:sz="0" w:space="0" w:color="auto"/>
                <w:left w:val="none" w:sz="0" w:space="0" w:color="auto"/>
                <w:bottom w:val="none" w:sz="0" w:space="0" w:color="auto"/>
                <w:right w:val="none" w:sz="0" w:space="0" w:color="auto"/>
              </w:divBdr>
            </w:div>
            <w:div w:id="599335849">
              <w:marLeft w:val="0"/>
              <w:marRight w:val="0"/>
              <w:marTop w:val="0"/>
              <w:marBottom w:val="0"/>
              <w:divBdr>
                <w:top w:val="none" w:sz="0" w:space="0" w:color="auto"/>
                <w:left w:val="none" w:sz="0" w:space="0" w:color="auto"/>
                <w:bottom w:val="none" w:sz="0" w:space="0" w:color="auto"/>
                <w:right w:val="none" w:sz="0" w:space="0" w:color="auto"/>
              </w:divBdr>
            </w:div>
            <w:div w:id="884216264">
              <w:marLeft w:val="0"/>
              <w:marRight w:val="0"/>
              <w:marTop w:val="0"/>
              <w:marBottom w:val="0"/>
              <w:divBdr>
                <w:top w:val="none" w:sz="0" w:space="0" w:color="auto"/>
                <w:left w:val="none" w:sz="0" w:space="0" w:color="auto"/>
                <w:bottom w:val="none" w:sz="0" w:space="0" w:color="auto"/>
                <w:right w:val="none" w:sz="0" w:space="0" w:color="auto"/>
              </w:divBdr>
            </w:div>
            <w:div w:id="935942381">
              <w:marLeft w:val="0"/>
              <w:marRight w:val="0"/>
              <w:marTop w:val="0"/>
              <w:marBottom w:val="0"/>
              <w:divBdr>
                <w:top w:val="none" w:sz="0" w:space="0" w:color="auto"/>
                <w:left w:val="none" w:sz="0" w:space="0" w:color="auto"/>
                <w:bottom w:val="none" w:sz="0" w:space="0" w:color="auto"/>
                <w:right w:val="none" w:sz="0" w:space="0" w:color="auto"/>
              </w:divBdr>
            </w:div>
            <w:div w:id="1088306275">
              <w:marLeft w:val="0"/>
              <w:marRight w:val="0"/>
              <w:marTop w:val="0"/>
              <w:marBottom w:val="0"/>
              <w:divBdr>
                <w:top w:val="none" w:sz="0" w:space="0" w:color="auto"/>
                <w:left w:val="none" w:sz="0" w:space="0" w:color="auto"/>
                <w:bottom w:val="none" w:sz="0" w:space="0" w:color="auto"/>
                <w:right w:val="none" w:sz="0" w:space="0" w:color="auto"/>
              </w:divBdr>
            </w:div>
            <w:div w:id="1102413523">
              <w:marLeft w:val="0"/>
              <w:marRight w:val="0"/>
              <w:marTop w:val="0"/>
              <w:marBottom w:val="0"/>
              <w:divBdr>
                <w:top w:val="none" w:sz="0" w:space="0" w:color="auto"/>
                <w:left w:val="none" w:sz="0" w:space="0" w:color="auto"/>
                <w:bottom w:val="none" w:sz="0" w:space="0" w:color="auto"/>
                <w:right w:val="none" w:sz="0" w:space="0" w:color="auto"/>
              </w:divBdr>
            </w:div>
            <w:div w:id="1161697337">
              <w:marLeft w:val="0"/>
              <w:marRight w:val="0"/>
              <w:marTop w:val="0"/>
              <w:marBottom w:val="0"/>
              <w:divBdr>
                <w:top w:val="none" w:sz="0" w:space="0" w:color="auto"/>
                <w:left w:val="none" w:sz="0" w:space="0" w:color="auto"/>
                <w:bottom w:val="none" w:sz="0" w:space="0" w:color="auto"/>
                <w:right w:val="none" w:sz="0" w:space="0" w:color="auto"/>
              </w:divBdr>
            </w:div>
            <w:div w:id="1279333457">
              <w:marLeft w:val="0"/>
              <w:marRight w:val="0"/>
              <w:marTop w:val="0"/>
              <w:marBottom w:val="0"/>
              <w:divBdr>
                <w:top w:val="none" w:sz="0" w:space="0" w:color="auto"/>
                <w:left w:val="none" w:sz="0" w:space="0" w:color="auto"/>
                <w:bottom w:val="none" w:sz="0" w:space="0" w:color="auto"/>
                <w:right w:val="none" w:sz="0" w:space="0" w:color="auto"/>
              </w:divBdr>
            </w:div>
            <w:div w:id="1472208560">
              <w:marLeft w:val="0"/>
              <w:marRight w:val="0"/>
              <w:marTop w:val="0"/>
              <w:marBottom w:val="0"/>
              <w:divBdr>
                <w:top w:val="none" w:sz="0" w:space="0" w:color="auto"/>
                <w:left w:val="none" w:sz="0" w:space="0" w:color="auto"/>
                <w:bottom w:val="none" w:sz="0" w:space="0" w:color="auto"/>
                <w:right w:val="none" w:sz="0" w:space="0" w:color="auto"/>
              </w:divBdr>
            </w:div>
            <w:div w:id="1509249086">
              <w:marLeft w:val="0"/>
              <w:marRight w:val="0"/>
              <w:marTop w:val="0"/>
              <w:marBottom w:val="0"/>
              <w:divBdr>
                <w:top w:val="none" w:sz="0" w:space="0" w:color="auto"/>
                <w:left w:val="none" w:sz="0" w:space="0" w:color="auto"/>
                <w:bottom w:val="none" w:sz="0" w:space="0" w:color="auto"/>
                <w:right w:val="none" w:sz="0" w:space="0" w:color="auto"/>
              </w:divBdr>
            </w:div>
            <w:div w:id="1626543435">
              <w:marLeft w:val="0"/>
              <w:marRight w:val="0"/>
              <w:marTop w:val="0"/>
              <w:marBottom w:val="0"/>
              <w:divBdr>
                <w:top w:val="none" w:sz="0" w:space="0" w:color="auto"/>
                <w:left w:val="none" w:sz="0" w:space="0" w:color="auto"/>
                <w:bottom w:val="none" w:sz="0" w:space="0" w:color="auto"/>
                <w:right w:val="none" w:sz="0" w:space="0" w:color="auto"/>
              </w:divBdr>
            </w:div>
            <w:div w:id="1931891424">
              <w:marLeft w:val="0"/>
              <w:marRight w:val="0"/>
              <w:marTop w:val="0"/>
              <w:marBottom w:val="0"/>
              <w:divBdr>
                <w:top w:val="none" w:sz="0" w:space="0" w:color="auto"/>
                <w:left w:val="none" w:sz="0" w:space="0" w:color="auto"/>
                <w:bottom w:val="none" w:sz="0" w:space="0" w:color="auto"/>
                <w:right w:val="none" w:sz="0" w:space="0" w:color="auto"/>
              </w:divBdr>
            </w:div>
            <w:div w:id="2121558941">
              <w:marLeft w:val="0"/>
              <w:marRight w:val="0"/>
              <w:marTop w:val="0"/>
              <w:marBottom w:val="0"/>
              <w:divBdr>
                <w:top w:val="none" w:sz="0" w:space="0" w:color="auto"/>
                <w:left w:val="none" w:sz="0" w:space="0" w:color="auto"/>
                <w:bottom w:val="none" w:sz="0" w:space="0" w:color="auto"/>
                <w:right w:val="none" w:sz="0" w:space="0" w:color="auto"/>
              </w:divBdr>
            </w:div>
          </w:divsChild>
        </w:div>
        <w:div w:id="115024846">
          <w:marLeft w:val="0"/>
          <w:marRight w:val="0"/>
          <w:marTop w:val="0"/>
          <w:marBottom w:val="0"/>
          <w:divBdr>
            <w:top w:val="none" w:sz="0" w:space="0" w:color="auto"/>
            <w:left w:val="none" w:sz="0" w:space="0" w:color="auto"/>
            <w:bottom w:val="none" w:sz="0" w:space="0" w:color="auto"/>
            <w:right w:val="none" w:sz="0" w:space="0" w:color="auto"/>
          </w:divBdr>
        </w:div>
        <w:div w:id="120416810">
          <w:marLeft w:val="0"/>
          <w:marRight w:val="0"/>
          <w:marTop w:val="0"/>
          <w:marBottom w:val="0"/>
          <w:divBdr>
            <w:top w:val="none" w:sz="0" w:space="0" w:color="auto"/>
            <w:left w:val="none" w:sz="0" w:space="0" w:color="auto"/>
            <w:bottom w:val="none" w:sz="0" w:space="0" w:color="auto"/>
            <w:right w:val="none" w:sz="0" w:space="0" w:color="auto"/>
          </w:divBdr>
        </w:div>
        <w:div w:id="127826954">
          <w:marLeft w:val="0"/>
          <w:marRight w:val="0"/>
          <w:marTop w:val="0"/>
          <w:marBottom w:val="0"/>
          <w:divBdr>
            <w:top w:val="none" w:sz="0" w:space="0" w:color="auto"/>
            <w:left w:val="none" w:sz="0" w:space="0" w:color="auto"/>
            <w:bottom w:val="none" w:sz="0" w:space="0" w:color="auto"/>
            <w:right w:val="none" w:sz="0" w:space="0" w:color="auto"/>
          </w:divBdr>
        </w:div>
        <w:div w:id="149954952">
          <w:marLeft w:val="0"/>
          <w:marRight w:val="0"/>
          <w:marTop w:val="0"/>
          <w:marBottom w:val="0"/>
          <w:divBdr>
            <w:top w:val="none" w:sz="0" w:space="0" w:color="auto"/>
            <w:left w:val="none" w:sz="0" w:space="0" w:color="auto"/>
            <w:bottom w:val="none" w:sz="0" w:space="0" w:color="auto"/>
            <w:right w:val="none" w:sz="0" w:space="0" w:color="auto"/>
          </w:divBdr>
        </w:div>
        <w:div w:id="186137235">
          <w:marLeft w:val="0"/>
          <w:marRight w:val="0"/>
          <w:marTop w:val="0"/>
          <w:marBottom w:val="0"/>
          <w:divBdr>
            <w:top w:val="none" w:sz="0" w:space="0" w:color="auto"/>
            <w:left w:val="none" w:sz="0" w:space="0" w:color="auto"/>
            <w:bottom w:val="none" w:sz="0" w:space="0" w:color="auto"/>
            <w:right w:val="none" w:sz="0" w:space="0" w:color="auto"/>
          </w:divBdr>
        </w:div>
        <w:div w:id="193929793">
          <w:marLeft w:val="0"/>
          <w:marRight w:val="0"/>
          <w:marTop w:val="0"/>
          <w:marBottom w:val="0"/>
          <w:divBdr>
            <w:top w:val="none" w:sz="0" w:space="0" w:color="auto"/>
            <w:left w:val="none" w:sz="0" w:space="0" w:color="auto"/>
            <w:bottom w:val="none" w:sz="0" w:space="0" w:color="auto"/>
            <w:right w:val="none" w:sz="0" w:space="0" w:color="auto"/>
          </w:divBdr>
        </w:div>
        <w:div w:id="224220412">
          <w:marLeft w:val="0"/>
          <w:marRight w:val="0"/>
          <w:marTop w:val="0"/>
          <w:marBottom w:val="0"/>
          <w:divBdr>
            <w:top w:val="none" w:sz="0" w:space="0" w:color="auto"/>
            <w:left w:val="none" w:sz="0" w:space="0" w:color="auto"/>
            <w:bottom w:val="none" w:sz="0" w:space="0" w:color="auto"/>
            <w:right w:val="none" w:sz="0" w:space="0" w:color="auto"/>
          </w:divBdr>
        </w:div>
        <w:div w:id="239561074">
          <w:marLeft w:val="0"/>
          <w:marRight w:val="0"/>
          <w:marTop w:val="0"/>
          <w:marBottom w:val="0"/>
          <w:divBdr>
            <w:top w:val="none" w:sz="0" w:space="0" w:color="auto"/>
            <w:left w:val="none" w:sz="0" w:space="0" w:color="auto"/>
            <w:bottom w:val="none" w:sz="0" w:space="0" w:color="auto"/>
            <w:right w:val="none" w:sz="0" w:space="0" w:color="auto"/>
          </w:divBdr>
        </w:div>
        <w:div w:id="248469202">
          <w:marLeft w:val="0"/>
          <w:marRight w:val="0"/>
          <w:marTop w:val="0"/>
          <w:marBottom w:val="0"/>
          <w:divBdr>
            <w:top w:val="none" w:sz="0" w:space="0" w:color="auto"/>
            <w:left w:val="none" w:sz="0" w:space="0" w:color="auto"/>
            <w:bottom w:val="none" w:sz="0" w:space="0" w:color="auto"/>
            <w:right w:val="none" w:sz="0" w:space="0" w:color="auto"/>
          </w:divBdr>
          <w:divsChild>
            <w:div w:id="162673786">
              <w:marLeft w:val="0"/>
              <w:marRight w:val="0"/>
              <w:marTop w:val="0"/>
              <w:marBottom w:val="0"/>
              <w:divBdr>
                <w:top w:val="none" w:sz="0" w:space="0" w:color="auto"/>
                <w:left w:val="none" w:sz="0" w:space="0" w:color="auto"/>
                <w:bottom w:val="none" w:sz="0" w:space="0" w:color="auto"/>
                <w:right w:val="none" w:sz="0" w:space="0" w:color="auto"/>
              </w:divBdr>
            </w:div>
            <w:div w:id="403843399">
              <w:marLeft w:val="0"/>
              <w:marRight w:val="0"/>
              <w:marTop w:val="0"/>
              <w:marBottom w:val="0"/>
              <w:divBdr>
                <w:top w:val="none" w:sz="0" w:space="0" w:color="auto"/>
                <w:left w:val="none" w:sz="0" w:space="0" w:color="auto"/>
                <w:bottom w:val="none" w:sz="0" w:space="0" w:color="auto"/>
                <w:right w:val="none" w:sz="0" w:space="0" w:color="auto"/>
              </w:divBdr>
            </w:div>
            <w:div w:id="411661894">
              <w:marLeft w:val="0"/>
              <w:marRight w:val="0"/>
              <w:marTop w:val="0"/>
              <w:marBottom w:val="0"/>
              <w:divBdr>
                <w:top w:val="none" w:sz="0" w:space="0" w:color="auto"/>
                <w:left w:val="none" w:sz="0" w:space="0" w:color="auto"/>
                <w:bottom w:val="none" w:sz="0" w:space="0" w:color="auto"/>
                <w:right w:val="none" w:sz="0" w:space="0" w:color="auto"/>
              </w:divBdr>
            </w:div>
            <w:div w:id="579562224">
              <w:marLeft w:val="0"/>
              <w:marRight w:val="0"/>
              <w:marTop w:val="0"/>
              <w:marBottom w:val="0"/>
              <w:divBdr>
                <w:top w:val="none" w:sz="0" w:space="0" w:color="auto"/>
                <w:left w:val="none" w:sz="0" w:space="0" w:color="auto"/>
                <w:bottom w:val="none" w:sz="0" w:space="0" w:color="auto"/>
                <w:right w:val="none" w:sz="0" w:space="0" w:color="auto"/>
              </w:divBdr>
            </w:div>
            <w:div w:id="597983207">
              <w:marLeft w:val="0"/>
              <w:marRight w:val="0"/>
              <w:marTop w:val="0"/>
              <w:marBottom w:val="0"/>
              <w:divBdr>
                <w:top w:val="none" w:sz="0" w:space="0" w:color="auto"/>
                <w:left w:val="none" w:sz="0" w:space="0" w:color="auto"/>
                <w:bottom w:val="none" w:sz="0" w:space="0" w:color="auto"/>
                <w:right w:val="none" w:sz="0" w:space="0" w:color="auto"/>
              </w:divBdr>
            </w:div>
            <w:div w:id="831675371">
              <w:marLeft w:val="0"/>
              <w:marRight w:val="0"/>
              <w:marTop w:val="0"/>
              <w:marBottom w:val="0"/>
              <w:divBdr>
                <w:top w:val="none" w:sz="0" w:space="0" w:color="auto"/>
                <w:left w:val="none" w:sz="0" w:space="0" w:color="auto"/>
                <w:bottom w:val="none" w:sz="0" w:space="0" w:color="auto"/>
                <w:right w:val="none" w:sz="0" w:space="0" w:color="auto"/>
              </w:divBdr>
            </w:div>
            <w:div w:id="834878189">
              <w:marLeft w:val="0"/>
              <w:marRight w:val="0"/>
              <w:marTop w:val="0"/>
              <w:marBottom w:val="0"/>
              <w:divBdr>
                <w:top w:val="none" w:sz="0" w:space="0" w:color="auto"/>
                <w:left w:val="none" w:sz="0" w:space="0" w:color="auto"/>
                <w:bottom w:val="none" w:sz="0" w:space="0" w:color="auto"/>
                <w:right w:val="none" w:sz="0" w:space="0" w:color="auto"/>
              </w:divBdr>
            </w:div>
            <w:div w:id="874997741">
              <w:marLeft w:val="0"/>
              <w:marRight w:val="0"/>
              <w:marTop w:val="0"/>
              <w:marBottom w:val="0"/>
              <w:divBdr>
                <w:top w:val="none" w:sz="0" w:space="0" w:color="auto"/>
                <w:left w:val="none" w:sz="0" w:space="0" w:color="auto"/>
                <w:bottom w:val="none" w:sz="0" w:space="0" w:color="auto"/>
                <w:right w:val="none" w:sz="0" w:space="0" w:color="auto"/>
              </w:divBdr>
            </w:div>
            <w:div w:id="880821760">
              <w:marLeft w:val="0"/>
              <w:marRight w:val="0"/>
              <w:marTop w:val="0"/>
              <w:marBottom w:val="0"/>
              <w:divBdr>
                <w:top w:val="none" w:sz="0" w:space="0" w:color="auto"/>
                <w:left w:val="none" w:sz="0" w:space="0" w:color="auto"/>
                <w:bottom w:val="none" w:sz="0" w:space="0" w:color="auto"/>
                <w:right w:val="none" w:sz="0" w:space="0" w:color="auto"/>
              </w:divBdr>
            </w:div>
            <w:div w:id="977807916">
              <w:marLeft w:val="0"/>
              <w:marRight w:val="0"/>
              <w:marTop w:val="0"/>
              <w:marBottom w:val="0"/>
              <w:divBdr>
                <w:top w:val="none" w:sz="0" w:space="0" w:color="auto"/>
                <w:left w:val="none" w:sz="0" w:space="0" w:color="auto"/>
                <w:bottom w:val="none" w:sz="0" w:space="0" w:color="auto"/>
                <w:right w:val="none" w:sz="0" w:space="0" w:color="auto"/>
              </w:divBdr>
            </w:div>
            <w:div w:id="999967100">
              <w:marLeft w:val="0"/>
              <w:marRight w:val="0"/>
              <w:marTop w:val="0"/>
              <w:marBottom w:val="0"/>
              <w:divBdr>
                <w:top w:val="none" w:sz="0" w:space="0" w:color="auto"/>
                <w:left w:val="none" w:sz="0" w:space="0" w:color="auto"/>
                <w:bottom w:val="none" w:sz="0" w:space="0" w:color="auto"/>
                <w:right w:val="none" w:sz="0" w:space="0" w:color="auto"/>
              </w:divBdr>
            </w:div>
            <w:div w:id="1066025235">
              <w:marLeft w:val="0"/>
              <w:marRight w:val="0"/>
              <w:marTop w:val="0"/>
              <w:marBottom w:val="0"/>
              <w:divBdr>
                <w:top w:val="none" w:sz="0" w:space="0" w:color="auto"/>
                <w:left w:val="none" w:sz="0" w:space="0" w:color="auto"/>
                <w:bottom w:val="none" w:sz="0" w:space="0" w:color="auto"/>
                <w:right w:val="none" w:sz="0" w:space="0" w:color="auto"/>
              </w:divBdr>
            </w:div>
            <w:div w:id="1093821721">
              <w:marLeft w:val="0"/>
              <w:marRight w:val="0"/>
              <w:marTop w:val="0"/>
              <w:marBottom w:val="0"/>
              <w:divBdr>
                <w:top w:val="none" w:sz="0" w:space="0" w:color="auto"/>
                <w:left w:val="none" w:sz="0" w:space="0" w:color="auto"/>
                <w:bottom w:val="none" w:sz="0" w:space="0" w:color="auto"/>
                <w:right w:val="none" w:sz="0" w:space="0" w:color="auto"/>
              </w:divBdr>
            </w:div>
            <w:div w:id="1181621885">
              <w:marLeft w:val="0"/>
              <w:marRight w:val="0"/>
              <w:marTop w:val="0"/>
              <w:marBottom w:val="0"/>
              <w:divBdr>
                <w:top w:val="none" w:sz="0" w:space="0" w:color="auto"/>
                <w:left w:val="none" w:sz="0" w:space="0" w:color="auto"/>
                <w:bottom w:val="none" w:sz="0" w:space="0" w:color="auto"/>
                <w:right w:val="none" w:sz="0" w:space="0" w:color="auto"/>
              </w:divBdr>
            </w:div>
            <w:div w:id="1565213053">
              <w:marLeft w:val="0"/>
              <w:marRight w:val="0"/>
              <w:marTop w:val="0"/>
              <w:marBottom w:val="0"/>
              <w:divBdr>
                <w:top w:val="none" w:sz="0" w:space="0" w:color="auto"/>
                <w:left w:val="none" w:sz="0" w:space="0" w:color="auto"/>
                <w:bottom w:val="none" w:sz="0" w:space="0" w:color="auto"/>
                <w:right w:val="none" w:sz="0" w:space="0" w:color="auto"/>
              </w:divBdr>
            </w:div>
            <w:div w:id="1839684554">
              <w:marLeft w:val="0"/>
              <w:marRight w:val="0"/>
              <w:marTop w:val="0"/>
              <w:marBottom w:val="0"/>
              <w:divBdr>
                <w:top w:val="none" w:sz="0" w:space="0" w:color="auto"/>
                <w:left w:val="none" w:sz="0" w:space="0" w:color="auto"/>
                <w:bottom w:val="none" w:sz="0" w:space="0" w:color="auto"/>
                <w:right w:val="none" w:sz="0" w:space="0" w:color="auto"/>
              </w:divBdr>
            </w:div>
            <w:div w:id="1850216862">
              <w:marLeft w:val="0"/>
              <w:marRight w:val="0"/>
              <w:marTop w:val="0"/>
              <w:marBottom w:val="0"/>
              <w:divBdr>
                <w:top w:val="none" w:sz="0" w:space="0" w:color="auto"/>
                <w:left w:val="none" w:sz="0" w:space="0" w:color="auto"/>
                <w:bottom w:val="none" w:sz="0" w:space="0" w:color="auto"/>
                <w:right w:val="none" w:sz="0" w:space="0" w:color="auto"/>
              </w:divBdr>
            </w:div>
            <w:div w:id="1870214652">
              <w:marLeft w:val="0"/>
              <w:marRight w:val="0"/>
              <w:marTop w:val="0"/>
              <w:marBottom w:val="0"/>
              <w:divBdr>
                <w:top w:val="none" w:sz="0" w:space="0" w:color="auto"/>
                <w:left w:val="none" w:sz="0" w:space="0" w:color="auto"/>
                <w:bottom w:val="none" w:sz="0" w:space="0" w:color="auto"/>
                <w:right w:val="none" w:sz="0" w:space="0" w:color="auto"/>
              </w:divBdr>
            </w:div>
            <w:div w:id="1944458454">
              <w:marLeft w:val="0"/>
              <w:marRight w:val="0"/>
              <w:marTop w:val="0"/>
              <w:marBottom w:val="0"/>
              <w:divBdr>
                <w:top w:val="none" w:sz="0" w:space="0" w:color="auto"/>
                <w:left w:val="none" w:sz="0" w:space="0" w:color="auto"/>
                <w:bottom w:val="none" w:sz="0" w:space="0" w:color="auto"/>
                <w:right w:val="none" w:sz="0" w:space="0" w:color="auto"/>
              </w:divBdr>
            </w:div>
            <w:div w:id="2078748900">
              <w:marLeft w:val="0"/>
              <w:marRight w:val="0"/>
              <w:marTop w:val="0"/>
              <w:marBottom w:val="0"/>
              <w:divBdr>
                <w:top w:val="none" w:sz="0" w:space="0" w:color="auto"/>
                <w:left w:val="none" w:sz="0" w:space="0" w:color="auto"/>
                <w:bottom w:val="none" w:sz="0" w:space="0" w:color="auto"/>
                <w:right w:val="none" w:sz="0" w:space="0" w:color="auto"/>
              </w:divBdr>
            </w:div>
          </w:divsChild>
        </w:div>
        <w:div w:id="270163837">
          <w:marLeft w:val="0"/>
          <w:marRight w:val="0"/>
          <w:marTop w:val="0"/>
          <w:marBottom w:val="0"/>
          <w:divBdr>
            <w:top w:val="none" w:sz="0" w:space="0" w:color="auto"/>
            <w:left w:val="none" w:sz="0" w:space="0" w:color="auto"/>
            <w:bottom w:val="none" w:sz="0" w:space="0" w:color="auto"/>
            <w:right w:val="none" w:sz="0" w:space="0" w:color="auto"/>
          </w:divBdr>
        </w:div>
        <w:div w:id="283313518">
          <w:marLeft w:val="0"/>
          <w:marRight w:val="0"/>
          <w:marTop w:val="0"/>
          <w:marBottom w:val="0"/>
          <w:divBdr>
            <w:top w:val="none" w:sz="0" w:space="0" w:color="auto"/>
            <w:left w:val="none" w:sz="0" w:space="0" w:color="auto"/>
            <w:bottom w:val="none" w:sz="0" w:space="0" w:color="auto"/>
            <w:right w:val="none" w:sz="0" w:space="0" w:color="auto"/>
          </w:divBdr>
          <w:divsChild>
            <w:div w:id="105852772">
              <w:marLeft w:val="0"/>
              <w:marRight w:val="0"/>
              <w:marTop w:val="0"/>
              <w:marBottom w:val="0"/>
              <w:divBdr>
                <w:top w:val="none" w:sz="0" w:space="0" w:color="auto"/>
                <w:left w:val="none" w:sz="0" w:space="0" w:color="auto"/>
                <w:bottom w:val="none" w:sz="0" w:space="0" w:color="auto"/>
                <w:right w:val="none" w:sz="0" w:space="0" w:color="auto"/>
              </w:divBdr>
            </w:div>
            <w:div w:id="229193559">
              <w:marLeft w:val="0"/>
              <w:marRight w:val="0"/>
              <w:marTop w:val="0"/>
              <w:marBottom w:val="0"/>
              <w:divBdr>
                <w:top w:val="none" w:sz="0" w:space="0" w:color="auto"/>
                <w:left w:val="none" w:sz="0" w:space="0" w:color="auto"/>
                <w:bottom w:val="none" w:sz="0" w:space="0" w:color="auto"/>
                <w:right w:val="none" w:sz="0" w:space="0" w:color="auto"/>
              </w:divBdr>
            </w:div>
            <w:div w:id="287859665">
              <w:marLeft w:val="0"/>
              <w:marRight w:val="0"/>
              <w:marTop w:val="0"/>
              <w:marBottom w:val="0"/>
              <w:divBdr>
                <w:top w:val="none" w:sz="0" w:space="0" w:color="auto"/>
                <w:left w:val="none" w:sz="0" w:space="0" w:color="auto"/>
                <w:bottom w:val="none" w:sz="0" w:space="0" w:color="auto"/>
                <w:right w:val="none" w:sz="0" w:space="0" w:color="auto"/>
              </w:divBdr>
            </w:div>
            <w:div w:id="370300546">
              <w:marLeft w:val="0"/>
              <w:marRight w:val="0"/>
              <w:marTop w:val="0"/>
              <w:marBottom w:val="0"/>
              <w:divBdr>
                <w:top w:val="none" w:sz="0" w:space="0" w:color="auto"/>
                <w:left w:val="none" w:sz="0" w:space="0" w:color="auto"/>
                <w:bottom w:val="none" w:sz="0" w:space="0" w:color="auto"/>
                <w:right w:val="none" w:sz="0" w:space="0" w:color="auto"/>
              </w:divBdr>
            </w:div>
            <w:div w:id="407771786">
              <w:marLeft w:val="0"/>
              <w:marRight w:val="0"/>
              <w:marTop w:val="0"/>
              <w:marBottom w:val="0"/>
              <w:divBdr>
                <w:top w:val="none" w:sz="0" w:space="0" w:color="auto"/>
                <w:left w:val="none" w:sz="0" w:space="0" w:color="auto"/>
                <w:bottom w:val="none" w:sz="0" w:space="0" w:color="auto"/>
                <w:right w:val="none" w:sz="0" w:space="0" w:color="auto"/>
              </w:divBdr>
            </w:div>
            <w:div w:id="583033543">
              <w:marLeft w:val="0"/>
              <w:marRight w:val="0"/>
              <w:marTop w:val="0"/>
              <w:marBottom w:val="0"/>
              <w:divBdr>
                <w:top w:val="none" w:sz="0" w:space="0" w:color="auto"/>
                <w:left w:val="none" w:sz="0" w:space="0" w:color="auto"/>
                <w:bottom w:val="none" w:sz="0" w:space="0" w:color="auto"/>
                <w:right w:val="none" w:sz="0" w:space="0" w:color="auto"/>
              </w:divBdr>
            </w:div>
            <w:div w:id="629825411">
              <w:marLeft w:val="0"/>
              <w:marRight w:val="0"/>
              <w:marTop w:val="0"/>
              <w:marBottom w:val="0"/>
              <w:divBdr>
                <w:top w:val="none" w:sz="0" w:space="0" w:color="auto"/>
                <w:left w:val="none" w:sz="0" w:space="0" w:color="auto"/>
                <w:bottom w:val="none" w:sz="0" w:space="0" w:color="auto"/>
                <w:right w:val="none" w:sz="0" w:space="0" w:color="auto"/>
              </w:divBdr>
            </w:div>
            <w:div w:id="942687489">
              <w:marLeft w:val="0"/>
              <w:marRight w:val="0"/>
              <w:marTop w:val="0"/>
              <w:marBottom w:val="0"/>
              <w:divBdr>
                <w:top w:val="none" w:sz="0" w:space="0" w:color="auto"/>
                <w:left w:val="none" w:sz="0" w:space="0" w:color="auto"/>
                <w:bottom w:val="none" w:sz="0" w:space="0" w:color="auto"/>
                <w:right w:val="none" w:sz="0" w:space="0" w:color="auto"/>
              </w:divBdr>
            </w:div>
            <w:div w:id="1024789833">
              <w:marLeft w:val="0"/>
              <w:marRight w:val="0"/>
              <w:marTop w:val="0"/>
              <w:marBottom w:val="0"/>
              <w:divBdr>
                <w:top w:val="none" w:sz="0" w:space="0" w:color="auto"/>
                <w:left w:val="none" w:sz="0" w:space="0" w:color="auto"/>
                <w:bottom w:val="none" w:sz="0" w:space="0" w:color="auto"/>
                <w:right w:val="none" w:sz="0" w:space="0" w:color="auto"/>
              </w:divBdr>
            </w:div>
            <w:div w:id="1135098296">
              <w:marLeft w:val="0"/>
              <w:marRight w:val="0"/>
              <w:marTop w:val="0"/>
              <w:marBottom w:val="0"/>
              <w:divBdr>
                <w:top w:val="none" w:sz="0" w:space="0" w:color="auto"/>
                <w:left w:val="none" w:sz="0" w:space="0" w:color="auto"/>
                <w:bottom w:val="none" w:sz="0" w:space="0" w:color="auto"/>
                <w:right w:val="none" w:sz="0" w:space="0" w:color="auto"/>
              </w:divBdr>
            </w:div>
            <w:div w:id="1242523619">
              <w:marLeft w:val="0"/>
              <w:marRight w:val="0"/>
              <w:marTop w:val="0"/>
              <w:marBottom w:val="0"/>
              <w:divBdr>
                <w:top w:val="none" w:sz="0" w:space="0" w:color="auto"/>
                <w:left w:val="none" w:sz="0" w:space="0" w:color="auto"/>
                <w:bottom w:val="none" w:sz="0" w:space="0" w:color="auto"/>
                <w:right w:val="none" w:sz="0" w:space="0" w:color="auto"/>
              </w:divBdr>
            </w:div>
            <w:div w:id="1257245890">
              <w:marLeft w:val="0"/>
              <w:marRight w:val="0"/>
              <w:marTop w:val="0"/>
              <w:marBottom w:val="0"/>
              <w:divBdr>
                <w:top w:val="none" w:sz="0" w:space="0" w:color="auto"/>
                <w:left w:val="none" w:sz="0" w:space="0" w:color="auto"/>
                <w:bottom w:val="none" w:sz="0" w:space="0" w:color="auto"/>
                <w:right w:val="none" w:sz="0" w:space="0" w:color="auto"/>
              </w:divBdr>
            </w:div>
            <w:div w:id="1271398955">
              <w:marLeft w:val="0"/>
              <w:marRight w:val="0"/>
              <w:marTop w:val="0"/>
              <w:marBottom w:val="0"/>
              <w:divBdr>
                <w:top w:val="none" w:sz="0" w:space="0" w:color="auto"/>
                <w:left w:val="none" w:sz="0" w:space="0" w:color="auto"/>
                <w:bottom w:val="none" w:sz="0" w:space="0" w:color="auto"/>
                <w:right w:val="none" w:sz="0" w:space="0" w:color="auto"/>
              </w:divBdr>
            </w:div>
            <w:div w:id="1345354535">
              <w:marLeft w:val="0"/>
              <w:marRight w:val="0"/>
              <w:marTop w:val="0"/>
              <w:marBottom w:val="0"/>
              <w:divBdr>
                <w:top w:val="none" w:sz="0" w:space="0" w:color="auto"/>
                <w:left w:val="none" w:sz="0" w:space="0" w:color="auto"/>
                <w:bottom w:val="none" w:sz="0" w:space="0" w:color="auto"/>
                <w:right w:val="none" w:sz="0" w:space="0" w:color="auto"/>
              </w:divBdr>
            </w:div>
            <w:div w:id="1358845767">
              <w:marLeft w:val="0"/>
              <w:marRight w:val="0"/>
              <w:marTop w:val="0"/>
              <w:marBottom w:val="0"/>
              <w:divBdr>
                <w:top w:val="none" w:sz="0" w:space="0" w:color="auto"/>
                <w:left w:val="none" w:sz="0" w:space="0" w:color="auto"/>
                <w:bottom w:val="none" w:sz="0" w:space="0" w:color="auto"/>
                <w:right w:val="none" w:sz="0" w:space="0" w:color="auto"/>
              </w:divBdr>
            </w:div>
            <w:div w:id="1386221580">
              <w:marLeft w:val="0"/>
              <w:marRight w:val="0"/>
              <w:marTop w:val="0"/>
              <w:marBottom w:val="0"/>
              <w:divBdr>
                <w:top w:val="none" w:sz="0" w:space="0" w:color="auto"/>
                <w:left w:val="none" w:sz="0" w:space="0" w:color="auto"/>
                <w:bottom w:val="none" w:sz="0" w:space="0" w:color="auto"/>
                <w:right w:val="none" w:sz="0" w:space="0" w:color="auto"/>
              </w:divBdr>
            </w:div>
            <w:div w:id="1614939263">
              <w:marLeft w:val="0"/>
              <w:marRight w:val="0"/>
              <w:marTop w:val="0"/>
              <w:marBottom w:val="0"/>
              <w:divBdr>
                <w:top w:val="none" w:sz="0" w:space="0" w:color="auto"/>
                <w:left w:val="none" w:sz="0" w:space="0" w:color="auto"/>
                <w:bottom w:val="none" w:sz="0" w:space="0" w:color="auto"/>
                <w:right w:val="none" w:sz="0" w:space="0" w:color="auto"/>
              </w:divBdr>
            </w:div>
            <w:div w:id="1667174009">
              <w:marLeft w:val="0"/>
              <w:marRight w:val="0"/>
              <w:marTop w:val="0"/>
              <w:marBottom w:val="0"/>
              <w:divBdr>
                <w:top w:val="none" w:sz="0" w:space="0" w:color="auto"/>
                <w:left w:val="none" w:sz="0" w:space="0" w:color="auto"/>
                <w:bottom w:val="none" w:sz="0" w:space="0" w:color="auto"/>
                <w:right w:val="none" w:sz="0" w:space="0" w:color="auto"/>
              </w:divBdr>
            </w:div>
            <w:div w:id="1800997974">
              <w:marLeft w:val="0"/>
              <w:marRight w:val="0"/>
              <w:marTop w:val="0"/>
              <w:marBottom w:val="0"/>
              <w:divBdr>
                <w:top w:val="none" w:sz="0" w:space="0" w:color="auto"/>
                <w:left w:val="none" w:sz="0" w:space="0" w:color="auto"/>
                <w:bottom w:val="none" w:sz="0" w:space="0" w:color="auto"/>
                <w:right w:val="none" w:sz="0" w:space="0" w:color="auto"/>
              </w:divBdr>
            </w:div>
            <w:div w:id="2045207309">
              <w:marLeft w:val="0"/>
              <w:marRight w:val="0"/>
              <w:marTop w:val="0"/>
              <w:marBottom w:val="0"/>
              <w:divBdr>
                <w:top w:val="none" w:sz="0" w:space="0" w:color="auto"/>
                <w:left w:val="none" w:sz="0" w:space="0" w:color="auto"/>
                <w:bottom w:val="none" w:sz="0" w:space="0" w:color="auto"/>
                <w:right w:val="none" w:sz="0" w:space="0" w:color="auto"/>
              </w:divBdr>
            </w:div>
          </w:divsChild>
        </w:div>
        <w:div w:id="287014712">
          <w:marLeft w:val="0"/>
          <w:marRight w:val="0"/>
          <w:marTop w:val="0"/>
          <w:marBottom w:val="0"/>
          <w:divBdr>
            <w:top w:val="none" w:sz="0" w:space="0" w:color="auto"/>
            <w:left w:val="none" w:sz="0" w:space="0" w:color="auto"/>
            <w:bottom w:val="none" w:sz="0" w:space="0" w:color="auto"/>
            <w:right w:val="none" w:sz="0" w:space="0" w:color="auto"/>
          </w:divBdr>
        </w:div>
        <w:div w:id="294259877">
          <w:marLeft w:val="0"/>
          <w:marRight w:val="0"/>
          <w:marTop w:val="0"/>
          <w:marBottom w:val="0"/>
          <w:divBdr>
            <w:top w:val="none" w:sz="0" w:space="0" w:color="auto"/>
            <w:left w:val="none" w:sz="0" w:space="0" w:color="auto"/>
            <w:bottom w:val="none" w:sz="0" w:space="0" w:color="auto"/>
            <w:right w:val="none" w:sz="0" w:space="0" w:color="auto"/>
          </w:divBdr>
          <w:divsChild>
            <w:div w:id="1277354">
              <w:marLeft w:val="0"/>
              <w:marRight w:val="0"/>
              <w:marTop w:val="0"/>
              <w:marBottom w:val="0"/>
              <w:divBdr>
                <w:top w:val="none" w:sz="0" w:space="0" w:color="auto"/>
                <w:left w:val="none" w:sz="0" w:space="0" w:color="auto"/>
                <w:bottom w:val="none" w:sz="0" w:space="0" w:color="auto"/>
                <w:right w:val="none" w:sz="0" w:space="0" w:color="auto"/>
              </w:divBdr>
            </w:div>
            <w:div w:id="50691574">
              <w:marLeft w:val="0"/>
              <w:marRight w:val="0"/>
              <w:marTop w:val="0"/>
              <w:marBottom w:val="0"/>
              <w:divBdr>
                <w:top w:val="none" w:sz="0" w:space="0" w:color="auto"/>
                <w:left w:val="none" w:sz="0" w:space="0" w:color="auto"/>
                <w:bottom w:val="none" w:sz="0" w:space="0" w:color="auto"/>
                <w:right w:val="none" w:sz="0" w:space="0" w:color="auto"/>
              </w:divBdr>
            </w:div>
            <w:div w:id="105855229">
              <w:marLeft w:val="0"/>
              <w:marRight w:val="0"/>
              <w:marTop w:val="0"/>
              <w:marBottom w:val="0"/>
              <w:divBdr>
                <w:top w:val="none" w:sz="0" w:space="0" w:color="auto"/>
                <w:left w:val="none" w:sz="0" w:space="0" w:color="auto"/>
                <w:bottom w:val="none" w:sz="0" w:space="0" w:color="auto"/>
                <w:right w:val="none" w:sz="0" w:space="0" w:color="auto"/>
              </w:divBdr>
            </w:div>
            <w:div w:id="192617078">
              <w:marLeft w:val="0"/>
              <w:marRight w:val="0"/>
              <w:marTop w:val="0"/>
              <w:marBottom w:val="0"/>
              <w:divBdr>
                <w:top w:val="none" w:sz="0" w:space="0" w:color="auto"/>
                <w:left w:val="none" w:sz="0" w:space="0" w:color="auto"/>
                <w:bottom w:val="none" w:sz="0" w:space="0" w:color="auto"/>
                <w:right w:val="none" w:sz="0" w:space="0" w:color="auto"/>
              </w:divBdr>
            </w:div>
            <w:div w:id="413355937">
              <w:marLeft w:val="0"/>
              <w:marRight w:val="0"/>
              <w:marTop w:val="0"/>
              <w:marBottom w:val="0"/>
              <w:divBdr>
                <w:top w:val="none" w:sz="0" w:space="0" w:color="auto"/>
                <w:left w:val="none" w:sz="0" w:space="0" w:color="auto"/>
                <w:bottom w:val="none" w:sz="0" w:space="0" w:color="auto"/>
                <w:right w:val="none" w:sz="0" w:space="0" w:color="auto"/>
              </w:divBdr>
            </w:div>
            <w:div w:id="423692263">
              <w:marLeft w:val="0"/>
              <w:marRight w:val="0"/>
              <w:marTop w:val="0"/>
              <w:marBottom w:val="0"/>
              <w:divBdr>
                <w:top w:val="none" w:sz="0" w:space="0" w:color="auto"/>
                <w:left w:val="none" w:sz="0" w:space="0" w:color="auto"/>
                <w:bottom w:val="none" w:sz="0" w:space="0" w:color="auto"/>
                <w:right w:val="none" w:sz="0" w:space="0" w:color="auto"/>
              </w:divBdr>
            </w:div>
            <w:div w:id="705107185">
              <w:marLeft w:val="0"/>
              <w:marRight w:val="0"/>
              <w:marTop w:val="0"/>
              <w:marBottom w:val="0"/>
              <w:divBdr>
                <w:top w:val="none" w:sz="0" w:space="0" w:color="auto"/>
                <w:left w:val="none" w:sz="0" w:space="0" w:color="auto"/>
                <w:bottom w:val="none" w:sz="0" w:space="0" w:color="auto"/>
                <w:right w:val="none" w:sz="0" w:space="0" w:color="auto"/>
              </w:divBdr>
            </w:div>
            <w:div w:id="877159273">
              <w:marLeft w:val="0"/>
              <w:marRight w:val="0"/>
              <w:marTop w:val="0"/>
              <w:marBottom w:val="0"/>
              <w:divBdr>
                <w:top w:val="none" w:sz="0" w:space="0" w:color="auto"/>
                <w:left w:val="none" w:sz="0" w:space="0" w:color="auto"/>
                <w:bottom w:val="none" w:sz="0" w:space="0" w:color="auto"/>
                <w:right w:val="none" w:sz="0" w:space="0" w:color="auto"/>
              </w:divBdr>
            </w:div>
            <w:div w:id="1011684874">
              <w:marLeft w:val="0"/>
              <w:marRight w:val="0"/>
              <w:marTop w:val="0"/>
              <w:marBottom w:val="0"/>
              <w:divBdr>
                <w:top w:val="none" w:sz="0" w:space="0" w:color="auto"/>
                <w:left w:val="none" w:sz="0" w:space="0" w:color="auto"/>
                <w:bottom w:val="none" w:sz="0" w:space="0" w:color="auto"/>
                <w:right w:val="none" w:sz="0" w:space="0" w:color="auto"/>
              </w:divBdr>
            </w:div>
            <w:div w:id="1281374386">
              <w:marLeft w:val="0"/>
              <w:marRight w:val="0"/>
              <w:marTop w:val="0"/>
              <w:marBottom w:val="0"/>
              <w:divBdr>
                <w:top w:val="none" w:sz="0" w:space="0" w:color="auto"/>
                <w:left w:val="none" w:sz="0" w:space="0" w:color="auto"/>
                <w:bottom w:val="none" w:sz="0" w:space="0" w:color="auto"/>
                <w:right w:val="none" w:sz="0" w:space="0" w:color="auto"/>
              </w:divBdr>
            </w:div>
            <w:div w:id="1331909207">
              <w:marLeft w:val="0"/>
              <w:marRight w:val="0"/>
              <w:marTop w:val="0"/>
              <w:marBottom w:val="0"/>
              <w:divBdr>
                <w:top w:val="none" w:sz="0" w:space="0" w:color="auto"/>
                <w:left w:val="none" w:sz="0" w:space="0" w:color="auto"/>
                <w:bottom w:val="none" w:sz="0" w:space="0" w:color="auto"/>
                <w:right w:val="none" w:sz="0" w:space="0" w:color="auto"/>
              </w:divBdr>
            </w:div>
            <w:div w:id="1517310460">
              <w:marLeft w:val="0"/>
              <w:marRight w:val="0"/>
              <w:marTop w:val="0"/>
              <w:marBottom w:val="0"/>
              <w:divBdr>
                <w:top w:val="none" w:sz="0" w:space="0" w:color="auto"/>
                <w:left w:val="none" w:sz="0" w:space="0" w:color="auto"/>
                <w:bottom w:val="none" w:sz="0" w:space="0" w:color="auto"/>
                <w:right w:val="none" w:sz="0" w:space="0" w:color="auto"/>
              </w:divBdr>
            </w:div>
            <w:div w:id="1736080964">
              <w:marLeft w:val="0"/>
              <w:marRight w:val="0"/>
              <w:marTop w:val="0"/>
              <w:marBottom w:val="0"/>
              <w:divBdr>
                <w:top w:val="none" w:sz="0" w:space="0" w:color="auto"/>
                <w:left w:val="none" w:sz="0" w:space="0" w:color="auto"/>
                <w:bottom w:val="none" w:sz="0" w:space="0" w:color="auto"/>
                <w:right w:val="none" w:sz="0" w:space="0" w:color="auto"/>
              </w:divBdr>
            </w:div>
            <w:div w:id="1759985910">
              <w:marLeft w:val="0"/>
              <w:marRight w:val="0"/>
              <w:marTop w:val="0"/>
              <w:marBottom w:val="0"/>
              <w:divBdr>
                <w:top w:val="none" w:sz="0" w:space="0" w:color="auto"/>
                <w:left w:val="none" w:sz="0" w:space="0" w:color="auto"/>
                <w:bottom w:val="none" w:sz="0" w:space="0" w:color="auto"/>
                <w:right w:val="none" w:sz="0" w:space="0" w:color="auto"/>
              </w:divBdr>
            </w:div>
            <w:div w:id="1765493636">
              <w:marLeft w:val="0"/>
              <w:marRight w:val="0"/>
              <w:marTop w:val="0"/>
              <w:marBottom w:val="0"/>
              <w:divBdr>
                <w:top w:val="none" w:sz="0" w:space="0" w:color="auto"/>
                <w:left w:val="none" w:sz="0" w:space="0" w:color="auto"/>
                <w:bottom w:val="none" w:sz="0" w:space="0" w:color="auto"/>
                <w:right w:val="none" w:sz="0" w:space="0" w:color="auto"/>
              </w:divBdr>
            </w:div>
            <w:div w:id="1864635771">
              <w:marLeft w:val="0"/>
              <w:marRight w:val="0"/>
              <w:marTop w:val="0"/>
              <w:marBottom w:val="0"/>
              <w:divBdr>
                <w:top w:val="none" w:sz="0" w:space="0" w:color="auto"/>
                <w:left w:val="none" w:sz="0" w:space="0" w:color="auto"/>
                <w:bottom w:val="none" w:sz="0" w:space="0" w:color="auto"/>
                <w:right w:val="none" w:sz="0" w:space="0" w:color="auto"/>
              </w:divBdr>
            </w:div>
            <w:div w:id="1949848853">
              <w:marLeft w:val="0"/>
              <w:marRight w:val="0"/>
              <w:marTop w:val="0"/>
              <w:marBottom w:val="0"/>
              <w:divBdr>
                <w:top w:val="none" w:sz="0" w:space="0" w:color="auto"/>
                <w:left w:val="none" w:sz="0" w:space="0" w:color="auto"/>
                <w:bottom w:val="none" w:sz="0" w:space="0" w:color="auto"/>
                <w:right w:val="none" w:sz="0" w:space="0" w:color="auto"/>
              </w:divBdr>
            </w:div>
            <w:div w:id="2028097702">
              <w:marLeft w:val="0"/>
              <w:marRight w:val="0"/>
              <w:marTop w:val="0"/>
              <w:marBottom w:val="0"/>
              <w:divBdr>
                <w:top w:val="none" w:sz="0" w:space="0" w:color="auto"/>
                <w:left w:val="none" w:sz="0" w:space="0" w:color="auto"/>
                <w:bottom w:val="none" w:sz="0" w:space="0" w:color="auto"/>
                <w:right w:val="none" w:sz="0" w:space="0" w:color="auto"/>
              </w:divBdr>
            </w:div>
            <w:div w:id="2044863193">
              <w:marLeft w:val="0"/>
              <w:marRight w:val="0"/>
              <w:marTop w:val="0"/>
              <w:marBottom w:val="0"/>
              <w:divBdr>
                <w:top w:val="none" w:sz="0" w:space="0" w:color="auto"/>
                <w:left w:val="none" w:sz="0" w:space="0" w:color="auto"/>
                <w:bottom w:val="none" w:sz="0" w:space="0" w:color="auto"/>
                <w:right w:val="none" w:sz="0" w:space="0" w:color="auto"/>
              </w:divBdr>
            </w:div>
            <w:div w:id="2140033233">
              <w:marLeft w:val="0"/>
              <w:marRight w:val="0"/>
              <w:marTop w:val="0"/>
              <w:marBottom w:val="0"/>
              <w:divBdr>
                <w:top w:val="none" w:sz="0" w:space="0" w:color="auto"/>
                <w:left w:val="none" w:sz="0" w:space="0" w:color="auto"/>
                <w:bottom w:val="none" w:sz="0" w:space="0" w:color="auto"/>
                <w:right w:val="none" w:sz="0" w:space="0" w:color="auto"/>
              </w:divBdr>
            </w:div>
          </w:divsChild>
        </w:div>
        <w:div w:id="299768011">
          <w:marLeft w:val="0"/>
          <w:marRight w:val="0"/>
          <w:marTop w:val="0"/>
          <w:marBottom w:val="0"/>
          <w:divBdr>
            <w:top w:val="none" w:sz="0" w:space="0" w:color="auto"/>
            <w:left w:val="none" w:sz="0" w:space="0" w:color="auto"/>
            <w:bottom w:val="none" w:sz="0" w:space="0" w:color="auto"/>
            <w:right w:val="none" w:sz="0" w:space="0" w:color="auto"/>
          </w:divBdr>
        </w:div>
        <w:div w:id="303511032">
          <w:marLeft w:val="0"/>
          <w:marRight w:val="0"/>
          <w:marTop w:val="0"/>
          <w:marBottom w:val="0"/>
          <w:divBdr>
            <w:top w:val="none" w:sz="0" w:space="0" w:color="auto"/>
            <w:left w:val="none" w:sz="0" w:space="0" w:color="auto"/>
            <w:bottom w:val="none" w:sz="0" w:space="0" w:color="auto"/>
            <w:right w:val="none" w:sz="0" w:space="0" w:color="auto"/>
          </w:divBdr>
        </w:div>
        <w:div w:id="350112399">
          <w:marLeft w:val="0"/>
          <w:marRight w:val="0"/>
          <w:marTop w:val="0"/>
          <w:marBottom w:val="0"/>
          <w:divBdr>
            <w:top w:val="none" w:sz="0" w:space="0" w:color="auto"/>
            <w:left w:val="none" w:sz="0" w:space="0" w:color="auto"/>
            <w:bottom w:val="none" w:sz="0" w:space="0" w:color="auto"/>
            <w:right w:val="none" w:sz="0" w:space="0" w:color="auto"/>
          </w:divBdr>
        </w:div>
        <w:div w:id="357662697">
          <w:marLeft w:val="0"/>
          <w:marRight w:val="0"/>
          <w:marTop w:val="0"/>
          <w:marBottom w:val="0"/>
          <w:divBdr>
            <w:top w:val="none" w:sz="0" w:space="0" w:color="auto"/>
            <w:left w:val="none" w:sz="0" w:space="0" w:color="auto"/>
            <w:bottom w:val="none" w:sz="0" w:space="0" w:color="auto"/>
            <w:right w:val="none" w:sz="0" w:space="0" w:color="auto"/>
          </w:divBdr>
        </w:div>
        <w:div w:id="362367741">
          <w:marLeft w:val="0"/>
          <w:marRight w:val="0"/>
          <w:marTop w:val="0"/>
          <w:marBottom w:val="0"/>
          <w:divBdr>
            <w:top w:val="none" w:sz="0" w:space="0" w:color="auto"/>
            <w:left w:val="none" w:sz="0" w:space="0" w:color="auto"/>
            <w:bottom w:val="none" w:sz="0" w:space="0" w:color="auto"/>
            <w:right w:val="none" w:sz="0" w:space="0" w:color="auto"/>
          </w:divBdr>
        </w:div>
        <w:div w:id="382801588">
          <w:marLeft w:val="0"/>
          <w:marRight w:val="0"/>
          <w:marTop w:val="0"/>
          <w:marBottom w:val="0"/>
          <w:divBdr>
            <w:top w:val="none" w:sz="0" w:space="0" w:color="auto"/>
            <w:left w:val="none" w:sz="0" w:space="0" w:color="auto"/>
            <w:bottom w:val="none" w:sz="0" w:space="0" w:color="auto"/>
            <w:right w:val="none" w:sz="0" w:space="0" w:color="auto"/>
          </w:divBdr>
        </w:div>
        <w:div w:id="434860935">
          <w:marLeft w:val="0"/>
          <w:marRight w:val="0"/>
          <w:marTop w:val="0"/>
          <w:marBottom w:val="0"/>
          <w:divBdr>
            <w:top w:val="none" w:sz="0" w:space="0" w:color="auto"/>
            <w:left w:val="none" w:sz="0" w:space="0" w:color="auto"/>
            <w:bottom w:val="none" w:sz="0" w:space="0" w:color="auto"/>
            <w:right w:val="none" w:sz="0" w:space="0" w:color="auto"/>
          </w:divBdr>
          <w:divsChild>
            <w:div w:id="36786544">
              <w:marLeft w:val="0"/>
              <w:marRight w:val="0"/>
              <w:marTop w:val="0"/>
              <w:marBottom w:val="0"/>
              <w:divBdr>
                <w:top w:val="none" w:sz="0" w:space="0" w:color="auto"/>
                <w:left w:val="none" w:sz="0" w:space="0" w:color="auto"/>
                <w:bottom w:val="none" w:sz="0" w:space="0" w:color="auto"/>
                <w:right w:val="none" w:sz="0" w:space="0" w:color="auto"/>
              </w:divBdr>
            </w:div>
            <w:div w:id="71859125">
              <w:marLeft w:val="0"/>
              <w:marRight w:val="0"/>
              <w:marTop w:val="0"/>
              <w:marBottom w:val="0"/>
              <w:divBdr>
                <w:top w:val="none" w:sz="0" w:space="0" w:color="auto"/>
                <w:left w:val="none" w:sz="0" w:space="0" w:color="auto"/>
                <w:bottom w:val="none" w:sz="0" w:space="0" w:color="auto"/>
                <w:right w:val="none" w:sz="0" w:space="0" w:color="auto"/>
              </w:divBdr>
            </w:div>
            <w:div w:id="230504986">
              <w:marLeft w:val="0"/>
              <w:marRight w:val="0"/>
              <w:marTop w:val="0"/>
              <w:marBottom w:val="0"/>
              <w:divBdr>
                <w:top w:val="none" w:sz="0" w:space="0" w:color="auto"/>
                <w:left w:val="none" w:sz="0" w:space="0" w:color="auto"/>
                <w:bottom w:val="none" w:sz="0" w:space="0" w:color="auto"/>
                <w:right w:val="none" w:sz="0" w:space="0" w:color="auto"/>
              </w:divBdr>
            </w:div>
            <w:div w:id="389235406">
              <w:marLeft w:val="0"/>
              <w:marRight w:val="0"/>
              <w:marTop w:val="0"/>
              <w:marBottom w:val="0"/>
              <w:divBdr>
                <w:top w:val="none" w:sz="0" w:space="0" w:color="auto"/>
                <w:left w:val="none" w:sz="0" w:space="0" w:color="auto"/>
                <w:bottom w:val="none" w:sz="0" w:space="0" w:color="auto"/>
                <w:right w:val="none" w:sz="0" w:space="0" w:color="auto"/>
              </w:divBdr>
            </w:div>
            <w:div w:id="507598261">
              <w:marLeft w:val="0"/>
              <w:marRight w:val="0"/>
              <w:marTop w:val="0"/>
              <w:marBottom w:val="0"/>
              <w:divBdr>
                <w:top w:val="none" w:sz="0" w:space="0" w:color="auto"/>
                <w:left w:val="none" w:sz="0" w:space="0" w:color="auto"/>
                <w:bottom w:val="none" w:sz="0" w:space="0" w:color="auto"/>
                <w:right w:val="none" w:sz="0" w:space="0" w:color="auto"/>
              </w:divBdr>
            </w:div>
            <w:div w:id="590283853">
              <w:marLeft w:val="0"/>
              <w:marRight w:val="0"/>
              <w:marTop w:val="0"/>
              <w:marBottom w:val="0"/>
              <w:divBdr>
                <w:top w:val="none" w:sz="0" w:space="0" w:color="auto"/>
                <w:left w:val="none" w:sz="0" w:space="0" w:color="auto"/>
                <w:bottom w:val="none" w:sz="0" w:space="0" w:color="auto"/>
                <w:right w:val="none" w:sz="0" w:space="0" w:color="auto"/>
              </w:divBdr>
            </w:div>
            <w:div w:id="1075082215">
              <w:marLeft w:val="0"/>
              <w:marRight w:val="0"/>
              <w:marTop w:val="0"/>
              <w:marBottom w:val="0"/>
              <w:divBdr>
                <w:top w:val="none" w:sz="0" w:space="0" w:color="auto"/>
                <w:left w:val="none" w:sz="0" w:space="0" w:color="auto"/>
                <w:bottom w:val="none" w:sz="0" w:space="0" w:color="auto"/>
                <w:right w:val="none" w:sz="0" w:space="0" w:color="auto"/>
              </w:divBdr>
            </w:div>
            <w:div w:id="1273051155">
              <w:marLeft w:val="0"/>
              <w:marRight w:val="0"/>
              <w:marTop w:val="0"/>
              <w:marBottom w:val="0"/>
              <w:divBdr>
                <w:top w:val="none" w:sz="0" w:space="0" w:color="auto"/>
                <w:left w:val="none" w:sz="0" w:space="0" w:color="auto"/>
                <w:bottom w:val="none" w:sz="0" w:space="0" w:color="auto"/>
                <w:right w:val="none" w:sz="0" w:space="0" w:color="auto"/>
              </w:divBdr>
            </w:div>
            <w:div w:id="1419787922">
              <w:marLeft w:val="0"/>
              <w:marRight w:val="0"/>
              <w:marTop w:val="0"/>
              <w:marBottom w:val="0"/>
              <w:divBdr>
                <w:top w:val="none" w:sz="0" w:space="0" w:color="auto"/>
                <w:left w:val="none" w:sz="0" w:space="0" w:color="auto"/>
                <w:bottom w:val="none" w:sz="0" w:space="0" w:color="auto"/>
                <w:right w:val="none" w:sz="0" w:space="0" w:color="auto"/>
              </w:divBdr>
            </w:div>
            <w:div w:id="1626111091">
              <w:marLeft w:val="0"/>
              <w:marRight w:val="0"/>
              <w:marTop w:val="0"/>
              <w:marBottom w:val="0"/>
              <w:divBdr>
                <w:top w:val="none" w:sz="0" w:space="0" w:color="auto"/>
                <w:left w:val="none" w:sz="0" w:space="0" w:color="auto"/>
                <w:bottom w:val="none" w:sz="0" w:space="0" w:color="auto"/>
                <w:right w:val="none" w:sz="0" w:space="0" w:color="auto"/>
              </w:divBdr>
            </w:div>
            <w:div w:id="1646546184">
              <w:marLeft w:val="0"/>
              <w:marRight w:val="0"/>
              <w:marTop w:val="0"/>
              <w:marBottom w:val="0"/>
              <w:divBdr>
                <w:top w:val="none" w:sz="0" w:space="0" w:color="auto"/>
                <w:left w:val="none" w:sz="0" w:space="0" w:color="auto"/>
                <w:bottom w:val="none" w:sz="0" w:space="0" w:color="auto"/>
                <w:right w:val="none" w:sz="0" w:space="0" w:color="auto"/>
              </w:divBdr>
            </w:div>
            <w:div w:id="1713653513">
              <w:marLeft w:val="0"/>
              <w:marRight w:val="0"/>
              <w:marTop w:val="0"/>
              <w:marBottom w:val="0"/>
              <w:divBdr>
                <w:top w:val="none" w:sz="0" w:space="0" w:color="auto"/>
                <w:left w:val="none" w:sz="0" w:space="0" w:color="auto"/>
                <w:bottom w:val="none" w:sz="0" w:space="0" w:color="auto"/>
                <w:right w:val="none" w:sz="0" w:space="0" w:color="auto"/>
              </w:divBdr>
            </w:div>
            <w:div w:id="1784303151">
              <w:marLeft w:val="0"/>
              <w:marRight w:val="0"/>
              <w:marTop w:val="0"/>
              <w:marBottom w:val="0"/>
              <w:divBdr>
                <w:top w:val="none" w:sz="0" w:space="0" w:color="auto"/>
                <w:left w:val="none" w:sz="0" w:space="0" w:color="auto"/>
                <w:bottom w:val="none" w:sz="0" w:space="0" w:color="auto"/>
                <w:right w:val="none" w:sz="0" w:space="0" w:color="auto"/>
              </w:divBdr>
            </w:div>
            <w:div w:id="1805805422">
              <w:marLeft w:val="0"/>
              <w:marRight w:val="0"/>
              <w:marTop w:val="0"/>
              <w:marBottom w:val="0"/>
              <w:divBdr>
                <w:top w:val="none" w:sz="0" w:space="0" w:color="auto"/>
                <w:left w:val="none" w:sz="0" w:space="0" w:color="auto"/>
                <w:bottom w:val="none" w:sz="0" w:space="0" w:color="auto"/>
                <w:right w:val="none" w:sz="0" w:space="0" w:color="auto"/>
              </w:divBdr>
            </w:div>
            <w:div w:id="1841850934">
              <w:marLeft w:val="0"/>
              <w:marRight w:val="0"/>
              <w:marTop w:val="0"/>
              <w:marBottom w:val="0"/>
              <w:divBdr>
                <w:top w:val="none" w:sz="0" w:space="0" w:color="auto"/>
                <w:left w:val="none" w:sz="0" w:space="0" w:color="auto"/>
                <w:bottom w:val="none" w:sz="0" w:space="0" w:color="auto"/>
                <w:right w:val="none" w:sz="0" w:space="0" w:color="auto"/>
              </w:divBdr>
            </w:div>
            <w:div w:id="1847288075">
              <w:marLeft w:val="0"/>
              <w:marRight w:val="0"/>
              <w:marTop w:val="0"/>
              <w:marBottom w:val="0"/>
              <w:divBdr>
                <w:top w:val="none" w:sz="0" w:space="0" w:color="auto"/>
                <w:left w:val="none" w:sz="0" w:space="0" w:color="auto"/>
                <w:bottom w:val="none" w:sz="0" w:space="0" w:color="auto"/>
                <w:right w:val="none" w:sz="0" w:space="0" w:color="auto"/>
              </w:divBdr>
            </w:div>
            <w:div w:id="1849372553">
              <w:marLeft w:val="0"/>
              <w:marRight w:val="0"/>
              <w:marTop w:val="0"/>
              <w:marBottom w:val="0"/>
              <w:divBdr>
                <w:top w:val="none" w:sz="0" w:space="0" w:color="auto"/>
                <w:left w:val="none" w:sz="0" w:space="0" w:color="auto"/>
                <w:bottom w:val="none" w:sz="0" w:space="0" w:color="auto"/>
                <w:right w:val="none" w:sz="0" w:space="0" w:color="auto"/>
              </w:divBdr>
            </w:div>
            <w:div w:id="1951282102">
              <w:marLeft w:val="0"/>
              <w:marRight w:val="0"/>
              <w:marTop w:val="0"/>
              <w:marBottom w:val="0"/>
              <w:divBdr>
                <w:top w:val="none" w:sz="0" w:space="0" w:color="auto"/>
                <w:left w:val="none" w:sz="0" w:space="0" w:color="auto"/>
                <w:bottom w:val="none" w:sz="0" w:space="0" w:color="auto"/>
                <w:right w:val="none" w:sz="0" w:space="0" w:color="auto"/>
              </w:divBdr>
            </w:div>
            <w:div w:id="2133398652">
              <w:marLeft w:val="0"/>
              <w:marRight w:val="0"/>
              <w:marTop w:val="0"/>
              <w:marBottom w:val="0"/>
              <w:divBdr>
                <w:top w:val="none" w:sz="0" w:space="0" w:color="auto"/>
                <w:left w:val="none" w:sz="0" w:space="0" w:color="auto"/>
                <w:bottom w:val="none" w:sz="0" w:space="0" w:color="auto"/>
                <w:right w:val="none" w:sz="0" w:space="0" w:color="auto"/>
              </w:divBdr>
            </w:div>
          </w:divsChild>
        </w:div>
        <w:div w:id="445733496">
          <w:marLeft w:val="0"/>
          <w:marRight w:val="0"/>
          <w:marTop w:val="0"/>
          <w:marBottom w:val="0"/>
          <w:divBdr>
            <w:top w:val="none" w:sz="0" w:space="0" w:color="auto"/>
            <w:left w:val="none" w:sz="0" w:space="0" w:color="auto"/>
            <w:bottom w:val="none" w:sz="0" w:space="0" w:color="auto"/>
            <w:right w:val="none" w:sz="0" w:space="0" w:color="auto"/>
          </w:divBdr>
        </w:div>
        <w:div w:id="478305462">
          <w:marLeft w:val="0"/>
          <w:marRight w:val="0"/>
          <w:marTop w:val="0"/>
          <w:marBottom w:val="0"/>
          <w:divBdr>
            <w:top w:val="none" w:sz="0" w:space="0" w:color="auto"/>
            <w:left w:val="none" w:sz="0" w:space="0" w:color="auto"/>
            <w:bottom w:val="none" w:sz="0" w:space="0" w:color="auto"/>
            <w:right w:val="none" w:sz="0" w:space="0" w:color="auto"/>
          </w:divBdr>
          <w:divsChild>
            <w:div w:id="238560545">
              <w:marLeft w:val="0"/>
              <w:marRight w:val="0"/>
              <w:marTop w:val="0"/>
              <w:marBottom w:val="0"/>
              <w:divBdr>
                <w:top w:val="none" w:sz="0" w:space="0" w:color="auto"/>
                <w:left w:val="none" w:sz="0" w:space="0" w:color="auto"/>
                <w:bottom w:val="none" w:sz="0" w:space="0" w:color="auto"/>
                <w:right w:val="none" w:sz="0" w:space="0" w:color="auto"/>
              </w:divBdr>
            </w:div>
            <w:div w:id="981932633">
              <w:marLeft w:val="0"/>
              <w:marRight w:val="0"/>
              <w:marTop w:val="0"/>
              <w:marBottom w:val="0"/>
              <w:divBdr>
                <w:top w:val="none" w:sz="0" w:space="0" w:color="auto"/>
                <w:left w:val="none" w:sz="0" w:space="0" w:color="auto"/>
                <w:bottom w:val="none" w:sz="0" w:space="0" w:color="auto"/>
                <w:right w:val="none" w:sz="0" w:space="0" w:color="auto"/>
              </w:divBdr>
            </w:div>
            <w:div w:id="1331832625">
              <w:marLeft w:val="0"/>
              <w:marRight w:val="0"/>
              <w:marTop w:val="0"/>
              <w:marBottom w:val="0"/>
              <w:divBdr>
                <w:top w:val="none" w:sz="0" w:space="0" w:color="auto"/>
                <w:left w:val="none" w:sz="0" w:space="0" w:color="auto"/>
                <w:bottom w:val="none" w:sz="0" w:space="0" w:color="auto"/>
                <w:right w:val="none" w:sz="0" w:space="0" w:color="auto"/>
              </w:divBdr>
            </w:div>
            <w:div w:id="1546912737">
              <w:marLeft w:val="0"/>
              <w:marRight w:val="0"/>
              <w:marTop w:val="0"/>
              <w:marBottom w:val="0"/>
              <w:divBdr>
                <w:top w:val="none" w:sz="0" w:space="0" w:color="auto"/>
                <w:left w:val="none" w:sz="0" w:space="0" w:color="auto"/>
                <w:bottom w:val="none" w:sz="0" w:space="0" w:color="auto"/>
                <w:right w:val="none" w:sz="0" w:space="0" w:color="auto"/>
              </w:divBdr>
            </w:div>
            <w:div w:id="1693342464">
              <w:marLeft w:val="0"/>
              <w:marRight w:val="0"/>
              <w:marTop w:val="0"/>
              <w:marBottom w:val="0"/>
              <w:divBdr>
                <w:top w:val="none" w:sz="0" w:space="0" w:color="auto"/>
                <w:left w:val="none" w:sz="0" w:space="0" w:color="auto"/>
                <w:bottom w:val="none" w:sz="0" w:space="0" w:color="auto"/>
                <w:right w:val="none" w:sz="0" w:space="0" w:color="auto"/>
              </w:divBdr>
            </w:div>
          </w:divsChild>
        </w:div>
        <w:div w:id="492180387">
          <w:marLeft w:val="0"/>
          <w:marRight w:val="0"/>
          <w:marTop w:val="0"/>
          <w:marBottom w:val="0"/>
          <w:divBdr>
            <w:top w:val="none" w:sz="0" w:space="0" w:color="auto"/>
            <w:left w:val="none" w:sz="0" w:space="0" w:color="auto"/>
            <w:bottom w:val="none" w:sz="0" w:space="0" w:color="auto"/>
            <w:right w:val="none" w:sz="0" w:space="0" w:color="auto"/>
          </w:divBdr>
        </w:div>
        <w:div w:id="560360934">
          <w:marLeft w:val="0"/>
          <w:marRight w:val="0"/>
          <w:marTop w:val="0"/>
          <w:marBottom w:val="0"/>
          <w:divBdr>
            <w:top w:val="none" w:sz="0" w:space="0" w:color="auto"/>
            <w:left w:val="none" w:sz="0" w:space="0" w:color="auto"/>
            <w:bottom w:val="none" w:sz="0" w:space="0" w:color="auto"/>
            <w:right w:val="none" w:sz="0" w:space="0" w:color="auto"/>
          </w:divBdr>
        </w:div>
        <w:div w:id="560478712">
          <w:marLeft w:val="0"/>
          <w:marRight w:val="0"/>
          <w:marTop w:val="0"/>
          <w:marBottom w:val="0"/>
          <w:divBdr>
            <w:top w:val="none" w:sz="0" w:space="0" w:color="auto"/>
            <w:left w:val="none" w:sz="0" w:space="0" w:color="auto"/>
            <w:bottom w:val="none" w:sz="0" w:space="0" w:color="auto"/>
            <w:right w:val="none" w:sz="0" w:space="0" w:color="auto"/>
          </w:divBdr>
        </w:div>
        <w:div w:id="592974358">
          <w:marLeft w:val="0"/>
          <w:marRight w:val="0"/>
          <w:marTop w:val="0"/>
          <w:marBottom w:val="0"/>
          <w:divBdr>
            <w:top w:val="none" w:sz="0" w:space="0" w:color="auto"/>
            <w:left w:val="none" w:sz="0" w:space="0" w:color="auto"/>
            <w:bottom w:val="none" w:sz="0" w:space="0" w:color="auto"/>
            <w:right w:val="none" w:sz="0" w:space="0" w:color="auto"/>
          </w:divBdr>
          <w:divsChild>
            <w:div w:id="115681829">
              <w:marLeft w:val="0"/>
              <w:marRight w:val="0"/>
              <w:marTop w:val="0"/>
              <w:marBottom w:val="0"/>
              <w:divBdr>
                <w:top w:val="none" w:sz="0" w:space="0" w:color="auto"/>
                <w:left w:val="none" w:sz="0" w:space="0" w:color="auto"/>
                <w:bottom w:val="none" w:sz="0" w:space="0" w:color="auto"/>
                <w:right w:val="none" w:sz="0" w:space="0" w:color="auto"/>
              </w:divBdr>
            </w:div>
            <w:div w:id="345717392">
              <w:marLeft w:val="0"/>
              <w:marRight w:val="0"/>
              <w:marTop w:val="0"/>
              <w:marBottom w:val="0"/>
              <w:divBdr>
                <w:top w:val="none" w:sz="0" w:space="0" w:color="auto"/>
                <w:left w:val="none" w:sz="0" w:space="0" w:color="auto"/>
                <w:bottom w:val="none" w:sz="0" w:space="0" w:color="auto"/>
                <w:right w:val="none" w:sz="0" w:space="0" w:color="auto"/>
              </w:divBdr>
            </w:div>
            <w:div w:id="505479465">
              <w:marLeft w:val="0"/>
              <w:marRight w:val="0"/>
              <w:marTop w:val="0"/>
              <w:marBottom w:val="0"/>
              <w:divBdr>
                <w:top w:val="none" w:sz="0" w:space="0" w:color="auto"/>
                <w:left w:val="none" w:sz="0" w:space="0" w:color="auto"/>
                <w:bottom w:val="none" w:sz="0" w:space="0" w:color="auto"/>
                <w:right w:val="none" w:sz="0" w:space="0" w:color="auto"/>
              </w:divBdr>
            </w:div>
            <w:div w:id="516817634">
              <w:marLeft w:val="0"/>
              <w:marRight w:val="0"/>
              <w:marTop w:val="0"/>
              <w:marBottom w:val="0"/>
              <w:divBdr>
                <w:top w:val="none" w:sz="0" w:space="0" w:color="auto"/>
                <w:left w:val="none" w:sz="0" w:space="0" w:color="auto"/>
                <w:bottom w:val="none" w:sz="0" w:space="0" w:color="auto"/>
                <w:right w:val="none" w:sz="0" w:space="0" w:color="auto"/>
              </w:divBdr>
            </w:div>
            <w:div w:id="638998035">
              <w:marLeft w:val="0"/>
              <w:marRight w:val="0"/>
              <w:marTop w:val="0"/>
              <w:marBottom w:val="0"/>
              <w:divBdr>
                <w:top w:val="none" w:sz="0" w:space="0" w:color="auto"/>
                <w:left w:val="none" w:sz="0" w:space="0" w:color="auto"/>
                <w:bottom w:val="none" w:sz="0" w:space="0" w:color="auto"/>
                <w:right w:val="none" w:sz="0" w:space="0" w:color="auto"/>
              </w:divBdr>
            </w:div>
            <w:div w:id="683477519">
              <w:marLeft w:val="0"/>
              <w:marRight w:val="0"/>
              <w:marTop w:val="0"/>
              <w:marBottom w:val="0"/>
              <w:divBdr>
                <w:top w:val="none" w:sz="0" w:space="0" w:color="auto"/>
                <w:left w:val="none" w:sz="0" w:space="0" w:color="auto"/>
                <w:bottom w:val="none" w:sz="0" w:space="0" w:color="auto"/>
                <w:right w:val="none" w:sz="0" w:space="0" w:color="auto"/>
              </w:divBdr>
            </w:div>
            <w:div w:id="793989257">
              <w:marLeft w:val="0"/>
              <w:marRight w:val="0"/>
              <w:marTop w:val="0"/>
              <w:marBottom w:val="0"/>
              <w:divBdr>
                <w:top w:val="none" w:sz="0" w:space="0" w:color="auto"/>
                <w:left w:val="none" w:sz="0" w:space="0" w:color="auto"/>
                <w:bottom w:val="none" w:sz="0" w:space="0" w:color="auto"/>
                <w:right w:val="none" w:sz="0" w:space="0" w:color="auto"/>
              </w:divBdr>
            </w:div>
            <w:div w:id="835926908">
              <w:marLeft w:val="0"/>
              <w:marRight w:val="0"/>
              <w:marTop w:val="0"/>
              <w:marBottom w:val="0"/>
              <w:divBdr>
                <w:top w:val="none" w:sz="0" w:space="0" w:color="auto"/>
                <w:left w:val="none" w:sz="0" w:space="0" w:color="auto"/>
                <w:bottom w:val="none" w:sz="0" w:space="0" w:color="auto"/>
                <w:right w:val="none" w:sz="0" w:space="0" w:color="auto"/>
              </w:divBdr>
            </w:div>
            <w:div w:id="914583411">
              <w:marLeft w:val="0"/>
              <w:marRight w:val="0"/>
              <w:marTop w:val="0"/>
              <w:marBottom w:val="0"/>
              <w:divBdr>
                <w:top w:val="none" w:sz="0" w:space="0" w:color="auto"/>
                <w:left w:val="none" w:sz="0" w:space="0" w:color="auto"/>
                <w:bottom w:val="none" w:sz="0" w:space="0" w:color="auto"/>
                <w:right w:val="none" w:sz="0" w:space="0" w:color="auto"/>
              </w:divBdr>
            </w:div>
            <w:div w:id="916212257">
              <w:marLeft w:val="0"/>
              <w:marRight w:val="0"/>
              <w:marTop w:val="0"/>
              <w:marBottom w:val="0"/>
              <w:divBdr>
                <w:top w:val="none" w:sz="0" w:space="0" w:color="auto"/>
                <w:left w:val="none" w:sz="0" w:space="0" w:color="auto"/>
                <w:bottom w:val="none" w:sz="0" w:space="0" w:color="auto"/>
                <w:right w:val="none" w:sz="0" w:space="0" w:color="auto"/>
              </w:divBdr>
            </w:div>
            <w:div w:id="1003971353">
              <w:marLeft w:val="0"/>
              <w:marRight w:val="0"/>
              <w:marTop w:val="0"/>
              <w:marBottom w:val="0"/>
              <w:divBdr>
                <w:top w:val="none" w:sz="0" w:space="0" w:color="auto"/>
                <w:left w:val="none" w:sz="0" w:space="0" w:color="auto"/>
                <w:bottom w:val="none" w:sz="0" w:space="0" w:color="auto"/>
                <w:right w:val="none" w:sz="0" w:space="0" w:color="auto"/>
              </w:divBdr>
            </w:div>
            <w:div w:id="1016691161">
              <w:marLeft w:val="0"/>
              <w:marRight w:val="0"/>
              <w:marTop w:val="0"/>
              <w:marBottom w:val="0"/>
              <w:divBdr>
                <w:top w:val="none" w:sz="0" w:space="0" w:color="auto"/>
                <w:left w:val="none" w:sz="0" w:space="0" w:color="auto"/>
                <w:bottom w:val="none" w:sz="0" w:space="0" w:color="auto"/>
                <w:right w:val="none" w:sz="0" w:space="0" w:color="auto"/>
              </w:divBdr>
            </w:div>
            <w:div w:id="1226909876">
              <w:marLeft w:val="0"/>
              <w:marRight w:val="0"/>
              <w:marTop w:val="0"/>
              <w:marBottom w:val="0"/>
              <w:divBdr>
                <w:top w:val="none" w:sz="0" w:space="0" w:color="auto"/>
                <w:left w:val="none" w:sz="0" w:space="0" w:color="auto"/>
                <w:bottom w:val="none" w:sz="0" w:space="0" w:color="auto"/>
                <w:right w:val="none" w:sz="0" w:space="0" w:color="auto"/>
              </w:divBdr>
            </w:div>
            <w:div w:id="1425568934">
              <w:marLeft w:val="0"/>
              <w:marRight w:val="0"/>
              <w:marTop w:val="0"/>
              <w:marBottom w:val="0"/>
              <w:divBdr>
                <w:top w:val="none" w:sz="0" w:space="0" w:color="auto"/>
                <w:left w:val="none" w:sz="0" w:space="0" w:color="auto"/>
                <w:bottom w:val="none" w:sz="0" w:space="0" w:color="auto"/>
                <w:right w:val="none" w:sz="0" w:space="0" w:color="auto"/>
              </w:divBdr>
            </w:div>
            <w:div w:id="1713797994">
              <w:marLeft w:val="0"/>
              <w:marRight w:val="0"/>
              <w:marTop w:val="0"/>
              <w:marBottom w:val="0"/>
              <w:divBdr>
                <w:top w:val="none" w:sz="0" w:space="0" w:color="auto"/>
                <w:left w:val="none" w:sz="0" w:space="0" w:color="auto"/>
                <w:bottom w:val="none" w:sz="0" w:space="0" w:color="auto"/>
                <w:right w:val="none" w:sz="0" w:space="0" w:color="auto"/>
              </w:divBdr>
            </w:div>
            <w:div w:id="1718047397">
              <w:marLeft w:val="0"/>
              <w:marRight w:val="0"/>
              <w:marTop w:val="0"/>
              <w:marBottom w:val="0"/>
              <w:divBdr>
                <w:top w:val="none" w:sz="0" w:space="0" w:color="auto"/>
                <w:left w:val="none" w:sz="0" w:space="0" w:color="auto"/>
                <w:bottom w:val="none" w:sz="0" w:space="0" w:color="auto"/>
                <w:right w:val="none" w:sz="0" w:space="0" w:color="auto"/>
              </w:divBdr>
            </w:div>
            <w:div w:id="1809396910">
              <w:marLeft w:val="0"/>
              <w:marRight w:val="0"/>
              <w:marTop w:val="0"/>
              <w:marBottom w:val="0"/>
              <w:divBdr>
                <w:top w:val="none" w:sz="0" w:space="0" w:color="auto"/>
                <w:left w:val="none" w:sz="0" w:space="0" w:color="auto"/>
                <w:bottom w:val="none" w:sz="0" w:space="0" w:color="auto"/>
                <w:right w:val="none" w:sz="0" w:space="0" w:color="auto"/>
              </w:divBdr>
            </w:div>
            <w:div w:id="1894121665">
              <w:marLeft w:val="0"/>
              <w:marRight w:val="0"/>
              <w:marTop w:val="0"/>
              <w:marBottom w:val="0"/>
              <w:divBdr>
                <w:top w:val="none" w:sz="0" w:space="0" w:color="auto"/>
                <w:left w:val="none" w:sz="0" w:space="0" w:color="auto"/>
                <w:bottom w:val="none" w:sz="0" w:space="0" w:color="auto"/>
                <w:right w:val="none" w:sz="0" w:space="0" w:color="auto"/>
              </w:divBdr>
            </w:div>
            <w:div w:id="1935940671">
              <w:marLeft w:val="0"/>
              <w:marRight w:val="0"/>
              <w:marTop w:val="0"/>
              <w:marBottom w:val="0"/>
              <w:divBdr>
                <w:top w:val="none" w:sz="0" w:space="0" w:color="auto"/>
                <w:left w:val="none" w:sz="0" w:space="0" w:color="auto"/>
                <w:bottom w:val="none" w:sz="0" w:space="0" w:color="auto"/>
                <w:right w:val="none" w:sz="0" w:space="0" w:color="auto"/>
              </w:divBdr>
            </w:div>
            <w:div w:id="2122724060">
              <w:marLeft w:val="0"/>
              <w:marRight w:val="0"/>
              <w:marTop w:val="0"/>
              <w:marBottom w:val="0"/>
              <w:divBdr>
                <w:top w:val="none" w:sz="0" w:space="0" w:color="auto"/>
                <w:left w:val="none" w:sz="0" w:space="0" w:color="auto"/>
                <w:bottom w:val="none" w:sz="0" w:space="0" w:color="auto"/>
                <w:right w:val="none" w:sz="0" w:space="0" w:color="auto"/>
              </w:divBdr>
            </w:div>
          </w:divsChild>
        </w:div>
        <w:div w:id="612635490">
          <w:marLeft w:val="0"/>
          <w:marRight w:val="0"/>
          <w:marTop w:val="0"/>
          <w:marBottom w:val="0"/>
          <w:divBdr>
            <w:top w:val="none" w:sz="0" w:space="0" w:color="auto"/>
            <w:left w:val="none" w:sz="0" w:space="0" w:color="auto"/>
            <w:bottom w:val="none" w:sz="0" w:space="0" w:color="auto"/>
            <w:right w:val="none" w:sz="0" w:space="0" w:color="auto"/>
          </w:divBdr>
        </w:div>
        <w:div w:id="623926490">
          <w:marLeft w:val="0"/>
          <w:marRight w:val="0"/>
          <w:marTop w:val="0"/>
          <w:marBottom w:val="0"/>
          <w:divBdr>
            <w:top w:val="none" w:sz="0" w:space="0" w:color="auto"/>
            <w:left w:val="none" w:sz="0" w:space="0" w:color="auto"/>
            <w:bottom w:val="none" w:sz="0" w:space="0" w:color="auto"/>
            <w:right w:val="none" w:sz="0" w:space="0" w:color="auto"/>
          </w:divBdr>
        </w:div>
        <w:div w:id="666593169">
          <w:marLeft w:val="0"/>
          <w:marRight w:val="0"/>
          <w:marTop w:val="0"/>
          <w:marBottom w:val="0"/>
          <w:divBdr>
            <w:top w:val="none" w:sz="0" w:space="0" w:color="auto"/>
            <w:left w:val="none" w:sz="0" w:space="0" w:color="auto"/>
            <w:bottom w:val="none" w:sz="0" w:space="0" w:color="auto"/>
            <w:right w:val="none" w:sz="0" w:space="0" w:color="auto"/>
          </w:divBdr>
        </w:div>
        <w:div w:id="686638051">
          <w:marLeft w:val="0"/>
          <w:marRight w:val="0"/>
          <w:marTop w:val="0"/>
          <w:marBottom w:val="0"/>
          <w:divBdr>
            <w:top w:val="none" w:sz="0" w:space="0" w:color="auto"/>
            <w:left w:val="none" w:sz="0" w:space="0" w:color="auto"/>
            <w:bottom w:val="none" w:sz="0" w:space="0" w:color="auto"/>
            <w:right w:val="none" w:sz="0" w:space="0" w:color="auto"/>
          </w:divBdr>
          <w:divsChild>
            <w:div w:id="6642936">
              <w:marLeft w:val="0"/>
              <w:marRight w:val="0"/>
              <w:marTop w:val="0"/>
              <w:marBottom w:val="0"/>
              <w:divBdr>
                <w:top w:val="none" w:sz="0" w:space="0" w:color="auto"/>
                <w:left w:val="none" w:sz="0" w:space="0" w:color="auto"/>
                <w:bottom w:val="none" w:sz="0" w:space="0" w:color="auto"/>
                <w:right w:val="none" w:sz="0" w:space="0" w:color="auto"/>
              </w:divBdr>
            </w:div>
            <w:div w:id="133765754">
              <w:marLeft w:val="0"/>
              <w:marRight w:val="0"/>
              <w:marTop w:val="0"/>
              <w:marBottom w:val="0"/>
              <w:divBdr>
                <w:top w:val="none" w:sz="0" w:space="0" w:color="auto"/>
                <w:left w:val="none" w:sz="0" w:space="0" w:color="auto"/>
                <w:bottom w:val="none" w:sz="0" w:space="0" w:color="auto"/>
                <w:right w:val="none" w:sz="0" w:space="0" w:color="auto"/>
              </w:divBdr>
            </w:div>
            <w:div w:id="209727792">
              <w:marLeft w:val="0"/>
              <w:marRight w:val="0"/>
              <w:marTop w:val="0"/>
              <w:marBottom w:val="0"/>
              <w:divBdr>
                <w:top w:val="none" w:sz="0" w:space="0" w:color="auto"/>
                <w:left w:val="none" w:sz="0" w:space="0" w:color="auto"/>
                <w:bottom w:val="none" w:sz="0" w:space="0" w:color="auto"/>
                <w:right w:val="none" w:sz="0" w:space="0" w:color="auto"/>
              </w:divBdr>
            </w:div>
            <w:div w:id="271861587">
              <w:marLeft w:val="0"/>
              <w:marRight w:val="0"/>
              <w:marTop w:val="0"/>
              <w:marBottom w:val="0"/>
              <w:divBdr>
                <w:top w:val="none" w:sz="0" w:space="0" w:color="auto"/>
                <w:left w:val="none" w:sz="0" w:space="0" w:color="auto"/>
                <w:bottom w:val="none" w:sz="0" w:space="0" w:color="auto"/>
                <w:right w:val="none" w:sz="0" w:space="0" w:color="auto"/>
              </w:divBdr>
            </w:div>
            <w:div w:id="310670347">
              <w:marLeft w:val="0"/>
              <w:marRight w:val="0"/>
              <w:marTop w:val="0"/>
              <w:marBottom w:val="0"/>
              <w:divBdr>
                <w:top w:val="none" w:sz="0" w:space="0" w:color="auto"/>
                <w:left w:val="none" w:sz="0" w:space="0" w:color="auto"/>
                <w:bottom w:val="none" w:sz="0" w:space="0" w:color="auto"/>
                <w:right w:val="none" w:sz="0" w:space="0" w:color="auto"/>
              </w:divBdr>
            </w:div>
            <w:div w:id="529342434">
              <w:marLeft w:val="0"/>
              <w:marRight w:val="0"/>
              <w:marTop w:val="0"/>
              <w:marBottom w:val="0"/>
              <w:divBdr>
                <w:top w:val="none" w:sz="0" w:space="0" w:color="auto"/>
                <w:left w:val="none" w:sz="0" w:space="0" w:color="auto"/>
                <w:bottom w:val="none" w:sz="0" w:space="0" w:color="auto"/>
                <w:right w:val="none" w:sz="0" w:space="0" w:color="auto"/>
              </w:divBdr>
            </w:div>
            <w:div w:id="530800800">
              <w:marLeft w:val="0"/>
              <w:marRight w:val="0"/>
              <w:marTop w:val="0"/>
              <w:marBottom w:val="0"/>
              <w:divBdr>
                <w:top w:val="none" w:sz="0" w:space="0" w:color="auto"/>
                <w:left w:val="none" w:sz="0" w:space="0" w:color="auto"/>
                <w:bottom w:val="none" w:sz="0" w:space="0" w:color="auto"/>
                <w:right w:val="none" w:sz="0" w:space="0" w:color="auto"/>
              </w:divBdr>
            </w:div>
            <w:div w:id="543323230">
              <w:marLeft w:val="0"/>
              <w:marRight w:val="0"/>
              <w:marTop w:val="0"/>
              <w:marBottom w:val="0"/>
              <w:divBdr>
                <w:top w:val="none" w:sz="0" w:space="0" w:color="auto"/>
                <w:left w:val="none" w:sz="0" w:space="0" w:color="auto"/>
                <w:bottom w:val="none" w:sz="0" w:space="0" w:color="auto"/>
                <w:right w:val="none" w:sz="0" w:space="0" w:color="auto"/>
              </w:divBdr>
            </w:div>
            <w:div w:id="776097297">
              <w:marLeft w:val="0"/>
              <w:marRight w:val="0"/>
              <w:marTop w:val="0"/>
              <w:marBottom w:val="0"/>
              <w:divBdr>
                <w:top w:val="none" w:sz="0" w:space="0" w:color="auto"/>
                <w:left w:val="none" w:sz="0" w:space="0" w:color="auto"/>
                <w:bottom w:val="none" w:sz="0" w:space="0" w:color="auto"/>
                <w:right w:val="none" w:sz="0" w:space="0" w:color="auto"/>
              </w:divBdr>
            </w:div>
            <w:div w:id="800195860">
              <w:marLeft w:val="0"/>
              <w:marRight w:val="0"/>
              <w:marTop w:val="0"/>
              <w:marBottom w:val="0"/>
              <w:divBdr>
                <w:top w:val="none" w:sz="0" w:space="0" w:color="auto"/>
                <w:left w:val="none" w:sz="0" w:space="0" w:color="auto"/>
                <w:bottom w:val="none" w:sz="0" w:space="0" w:color="auto"/>
                <w:right w:val="none" w:sz="0" w:space="0" w:color="auto"/>
              </w:divBdr>
            </w:div>
            <w:div w:id="825704630">
              <w:marLeft w:val="0"/>
              <w:marRight w:val="0"/>
              <w:marTop w:val="0"/>
              <w:marBottom w:val="0"/>
              <w:divBdr>
                <w:top w:val="none" w:sz="0" w:space="0" w:color="auto"/>
                <w:left w:val="none" w:sz="0" w:space="0" w:color="auto"/>
                <w:bottom w:val="none" w:sz="0" w:space="0" w:color="auto"/>
                <w:right w:val="none" w:sz="0" w:space="0" w:color="auto"/>
              </w:divBdr>
            </w:div>
            <w:div w:id="900672377">
              <w:marLeft w:val="0"/>
              <w:marRight w:val="0"/>
              <w:marTop w:val="0"/>
              <w:marBottom w:val="0"/>
              <w:divBdr>
                <w:top w:val="none" w:sz="0" w:space="0" w:color="auto"/>
                <w:left w:val="none" w:sz="0" w:space="0" w:color="auto"/>
                <w:bottom w:val="none" w:sz="0" w:space="0" w:color="auto"/>
                <w:right w:val="none" w:sz="0" w:space="0" w:color="auto"/>
              </w:divBdr>
            </w:div>
            <w:div w:id="1174954933">
              <w:marLeft w:val="0"/>
              <w:marRight w:val="0"/>
              <w:marTop w:val="0"/>
              <w:marBottom w:val="0"/>
              <w:divBdr>
                <w:top w:val="none" w:sz="0" w:space="0" w:color="auto"/>
                <w:left w:val="none" w:sz="0" w:space="0" w:color="auto"/>
                <w:bottom w:val="none" w:sz="0" w:space="0" w:color="auto"/>
                <w:right w:val="none" w:sz="0" w:space="0" w:color="auto"/>
              </w:divBdr>
            </w:div>
            <w:div w:id="1232498057">
              <w:marLeft w:val="0"/>
              <w:marRight w:val="0"/>
              <w:marTop w:val="0"/>
              <w:marBottom w:val="0"/>
              <w:divBdr>
                <w:top w:val="none" w:sz="0" w:space="0" w:color="auto"/>
                <w:left w:val="none" w:sz="0" w:space="0" w:color="auto"/>
                <w:bottom w:val="none" w:sz="0" w:space="0" w:color="auto"/>
                <w:right w:val="none" w:sz="0" w:space="0" w:color="auto"/>
              </w:divBdr>
            </w:div>
            <w:div w:id="1441607389">
              <w:marLeft w:val="0"/>
              <w:marRight w:val="0"/>
              <w:marTop w:val="0"/>
              <w:marBottom w:val="0"/>
              <w:divBdr>
                <w:top w:val="none" w:sz="0" w:space="0" w:color="auto"/>
                <w:left w:val="none" w:sz="0" w:space="0" w:color="auto"/>
                <w:bottom w:val="none" w:sz="0" w:space="0" w:color="auto"/>
                <w:right w:val="none" w:sz="0" w:space="0" w:color="auto"/>
              </w:divBdr>
            </w:div>
            <w:div w:id="1796825728">
              <w:marLeft w:val="0"/>
              <w:marRight w:val="0"/>
              <w:marTop w:val="0"/>
              <w:marBottom w:val="0"/>
              <w:divBdr>
                <w:top w:val="none" w:sz="0" w:space="0" w:color="auto"/>
                <w:left w:val="none" w:sz="0" w:space="0" w:color="auto"/>
                <w:bottom w:val="none" w:sz="0" w:space="0" w:color="auto"/>
                <w:right w:val="none" w:sz="0" w:space="0" w:color="auto"/>
              </w:divBdr>
            </w:div>
            <w:div w:id="1932349480">
              <w:marLeft w:val="0"/>
              <w:marRight w:val="0"/>
              <w:marTop w:val="0"/>
              <w:marBottom w:val="0"/>
              <w:divBdr>
                <w:top w:val="none" w:sz="0" w:space="0" w:color="auto"/>
                <w:left w:val="none" w:sz="0" w:space="0" w:color="auto"/>
                <w:bottom w:val="none" w:sz="0" w:space="0" w:color="auto"/>
                <w:right w:val="none" w:sz="0" w:space="0" w:color="auto"/>
              </w:divBdr>
            </w:div>
            <w:div w:id="1932352573">
              <w:marLeft w:val="0"/>
              <w:marRight w:val="0"/>
              <w:marTop w:val="0"/>
              <w:marBottom w:val="0"/>
              <w:divBdr>
                <w:top w:val="none" w:sz="0" w:space="0" w:color="auto"/>
                <w:left w:val="none" w:sz="0" w:space="0" w:color="auto"/>
                <w:bottom w:val="none" w:sz="0" w:space="0" w:color="auto"/>
                <w:right w:val="none" w:sz="0" w:space="0" w:color="auto"/>
              </w:divBdr>
            </w:div>
            <w:div w:id="1961375869">
              <w:marLeft w:val="0"/>
              <w:marRight w:val="0"/>
              <w:marTop w:val="0"/>
              <w:marBottom w:val="0"/>
              <w:divBdr>
                <w:top w:val="none" w:sz="0" w:space="0" w:color="auto"/>
                <w:left w:val="none" w:sz="0" w:space="0" w:color="auto"/>
                <w:bottom w:val="none" w:sz="0" w:space="0" w:color="auto"/>
                <w:right w:val="none" w:sz="0" w:space="0" w:color="auto"/>
              </w:divBdr>
            </w:div>
            <w:div w:id="2009477682">
              <w:marLeft w:val="0"/>
              <w:marRight w:val="0"/>
              <w:marTop w:val="0"/>
              <w:marBottom w:val="0"/>
              <w:divBdr>
                <w:top w:val="none" w:sz="0" w:space="0" w:color="auto"/>
                <w:left w:val="none" w:sz="0" w:space="0" w:color="auto"/>
                <w:bottom w:val="none" w:sz="0" w:space="0" w:color="auto"/>
                <w:right w:val="none" w:sz="0" w:space="0" w:color="auto"/>
              </w:divBdr>
            </w:div>
          </w:divsChild>
        </w:div>
        <w:div w:id="728116182">
          <w:marLeft w:val="0"/>
          <w:marRight w:val="0"/>
          <w:marTop w:val="0"/>
          <w:marBottom w:val="0"/>
          <w:divBdr>
            <w:top w:val="none" w:sz="0" w:space="0" w:color="auto"/>
            <w:left w:val="none" w:sz="0" w:space="0" w:color="auto"/>
            <w:bottom w:val="none" w:sz="0" w:space="0" w:color="auto"/>
            <w:right w:val="none" w:sz="0" w:space="0" w:color="auto"/>
          </w:divBdr>
        </w:div>
        <w:div w:id="743576393">
          <w:marLeft w:val="0"/>
          <w:marRight w:val="0"/>
          <w:marTop w:val="0"/>
          <w:marBottom w:val="0"/>
          <w:divBdr>
            <w:top w:val="none" w:sz="0" w:space="0" w:color="auto"/>
            <w:left w:val="none" w:sz="0" w:space="0" w:color="auto"/>
            <w:bottom w:val="none" w:sz="0" w:space="0" w:color="auto"/>
            <w:right w:val="none" w:sz="0" w:space="0" w:color="auto"/>
          </w:divBdr>
        </w:div>
        <w:div w:id="787623189">
          <w:marLeft w:val="0"/>
          <w:marRight w:val="0"/>
          <w:marTop w:val="0"/>
          <w:marBottom w:val="0"/>
          <w:divBdr>
            <w:top w:val="none" w:sz="0" w:space="0" w:color="auto"/>
            <w:left w:val="none" w:sz="0" w:space="0" w:color="auto"/>
            <w:bottom w:val="none" w:sz="0" w:space="0" w:color="auto"/>
            <w:right w:val="none" w:sz="0" w:space="0" w:color="auto"/>
          </w:divBdr>
        </w:div>
        <w:div w:id="790704633">
          <w:marLeft w:val="0"/>
          <w:marRight w:val="0"/>
          <w:marTop w:val="0"/>
          <w:marBottom w:val="0"/>
          <w:divBdr>
            <w:top w:val="none" w:sz="0" w:space="0" w:color="auto"/>
            <w:left w:val="none" w:sz="0" w:space="0" w:color="auto"/>
            <w:bottom w:val="none" w:sz="0" w:space="0" w:color="auto"/>
            <w:right w:val="none" w:sz="0" w:space="0" w:color="auto"/>
          </w:divBdr>
          <w:divsChild>
            <w:div w:id="71007180">
              <w:marLeft w:val="0"/>
              <w:marRight w:val="0"/>
              <w:marTop w:val="0"/>
              <w:marBottom w:val="0"/>
              <w:divBdr>
                <w:top w:val="none" w:sz="0" w:space="0" w:color="auto"/>
                <w:left w:val="none" w:sz="0" w:space="0" w:color="auto"/>
                <w:bottom w:val="none" w:sz="0" w:space="0" w:color="auto"/>
                <w:right w:val="none" w:sz="0" w:space="0" w:color="auto"/>
              </w:divBdr>
            </w:div>
            <w:div w:id="405031997">
              <w:marLeft w:val="0"/>
              <w:marRight w:val="0"/>
              <w:marTop w:val="0"/>
              <w:marBottom w:val="0"/>
              <w:divBdr>
                <w:top w:val="none" w:sz="0" w:space="0" w:color="auto"/>
                <w:left w:val="none" w:sz="0" w:space="0" w:color="auto"/>
                <w:bottom w:val="none" w:sz="0" w:space="0" w:color="auto"/>
                <w:right w:val="none" w:sz="0" w:space="0" w:color="auto"/>
              </w:divBdr>
            </w:div>
            <w:div w:id="632909591">
              <w:marLeft w:val="0"/>
              <w:marRight w:val="0"/>
              <w:marTop w:val="0"/>
              <w:marBottom w:val="0"/>
              <w:divBdr>
                <w:top w:val="none" w:sz="0" w:space="0" w:color="auto"/>
                <w:left w:val="none" w:sz="0" w:space="0" w:color="auto"/>
                <w:bottom w:val="none" w:sz="0" w:space="0" w:color="auto"/>
                <w:right w:val="none" w:sz="0" w:space="0" w:color="auto"/>
              </w:divBdr>
            </w:div>
            <w:div w:id="906185413">
              <w:marLeft w:val="0"/>
              <w:marRight w:val="0"/>
              <w:marTop w:val="0"/>
              <w:marBottom w:val="0"/>
              <w:divBdr>
                <w:top w:val="none" w:sz="0" w:space="0" w:color="auto"/>
                <w:left w:val="none" w:sz="0" w:space="0" w:color="auto"/>
                <w:bottom w:val="none" w:sz="0" w:space="0" w:color="auto"/>
                <w:right w:val="none" w:sz="0" w:space="0" w:color="auto"/>
              </w:divBdr>
            </w:div>
            <w:div w:id="976958158">
              <w:marLeft w:val="0"/>
              <w:marRight w:val="0"/>
              <w:marTop w:val="0"/>
              <w:marBottom w:val="0"/>
              <w:divBdr>
                <w:top w:val="none" w:sz="0" w:space="0" w:color="auto"/>
                <w:left w:val="none" w:sz="0" w:space="0" w:color="auto"/>
                <w:bottom w:val="none" w:sz="0" w:space="0" w:color="auto"/>
                <w:right w:val="none" w:sz="0" w:space="0" w:color="auto"/>
              </w:divBdr>
            </w:div>
            <w:div w:id="1303078394">
              <w:marLeft w:val="0"/>
              <w:marRight w:val="0"/>
              <w:marTop w:val="0"/>
              <w:marBottom w:val="0"/>
              <w:divBdr>
                <w:top w:val="none" w:sz="0" w:space="0" w:color="auto"/>
                <w:left w:val="none" w:sz="0" w:space="0" w:color="auto"/>
                <w:bottom w:val="none" w:sz="0" w:space="0" w:color="auto"/>
                <w:right w:val="none" w:sz="0" w:space="0" w:color="auto"/>
              </w:divBdr>
            </w:div>
            <w:div w:id="1319917580">
              <w:marLeft w:val="0"/>
              <w:marRight w:val="0"/>
              <w:marTop w:val="0"/>
              <w:marBottom w:val="0"/>
              <w:divBdr>
                <w:top w:val="none" w:sz="0" w:space="0" w:color="auto"/>
                <w:left w:val="none" w:sz="0" w:space="0" w:color="auto"/>
                <w:bottom w:val="none" w:sz="0" w:space="0" w:color="auto"/>
                <w:right w:val="none" w:sz="0" w:space="0" w:color="auto"/>
              </w:divBdr>
            </w:div>
            <w:div w:id="1342389162">
              <w:marLeft w:val="0"/>
              <w:marRight w:val="0"/>
              <w:marTop w:val="0"/>
              <w:marBottom w:val="0"/>
              <w:divBdr>
                <w:top w:val="none" w:sz="0" w:space="0" w:color="auto"/>
                <w:left w:val="none" w:sz="0" w:space="0" w:color="auto"/>
                <w:bottom w:val="none" w:sz="0" w:space="0" w:color="auto"/>
                <w:right w:val="none" w:sz="0" w:space="0" w:color="auto"/>
              </w:divBdr>
            </w:div>
            <w:div w:id="1393382454">
              <w:marLeft w:val="0"/>
              <w:marRight w:val="0"/>
              <w:marTop w:val="0"/>
              <w:marBottom w:val="0"/>
              <w:divBdr>
                <w:top w:val="none" w:sz="0" w:space="0" w:color="auto"/>
                <w:left w:val="none" w:sz="0" w:space="0" w:color="auto"/>
                <w:bottom w:val="none" w:sz="0" w:space="0" w:color="auto"/>
                <w:right w:val="none" w:sz="0" w:space="0" w:color="auto"/>
              </w:divBdr>
            </w:div>
            <w:div w:id="1439789332">
              <w:marLeft w:val="0"/>
              <w:marRight w:val="0"/>
              <w:marTop w:val="0"/>
              <w:marBottom w:val="0"/>
              <w:divBdr>
                <w:top w:val="none" w:sz="0" w:space="0" w:color="auto"/>
                <w:left w:val="none" w:sz="0" w:space="0" w:color="auto"/>
                <w:bottom w:val="none" w:sz="0" w:space="0" w:color="auto"/>
                <w:right w:val="none" w:sz="0" w:space="0" w:color="auto"/>
              </w:divBdr>
            </w:div>
            <w:div w:id="1589270329">
              <w:marLeft w:val="0"/>
              <w:marRight w:val="0"/>
              <w:marTop w:val="0"/>
              <w:marBottom w:val="0"/>
              <w:divBdr>
                <w:top w:val="none" w:sz="0" w:space="0" w:color="auto"/>
                <w:left w:val="none" w:sz="0" w:space="0" w:color="auto"/>
                <w:bottom w:val="none" w:sz="0" w:space="0" w:color="auto"/>
                <w:right w:val="none" w:sz="0" w:space="0" w:color="auto"/>
              </w:divBdr>
            </w:div>
            <w:div w:id="1702903261">
              <w:marLeft w:val="0"/>
              <w:marRight w:val="0"/>
              <w:marTop w:val="0"/>
              <w:marBottom w:val="0"/>
              <w:divBdr>
                <w:top w:val="none" w:sz="0" w:space="0" w:color="auto"/>
                <w:left w:val="none" w:sz="0" w:space="0" w:color="auto"/>
                <w:bottom w:val="none" w:sz="0" w:space="0" w:color="auto"/>
                <w:right w:val="none" w:sz="0" w:space="0" w:color="auto"/>
              </w:divBdr>
            </w:div>
            <w:div w:id="1781754953">
              <w:marLeft w:val="0"/>
              <w:marRight w:val="0"/>
              <w:marTop w:val="0"/>
              <w:marBottom w:val="0"/>
              <w:divBdr>
                <w:top w:val="none" w:sz="0" w:space="0" w:color="auto"/>
                <w:left w:val="none" w:sz="0" w:space="0" w:color="auto"/>
                <w:bottom w:val="none" w:sz="0" w:space="0" w:color="auto"/>
                <w:right w:val="none" w:sz="0" w:space="0" w:color="auto"/>
              </w:divBdr>
            </w:div>
            <w:div w:id="1953243767">
              <w:marLeft w:val="0"/>
              <w:marRight w:val="0"/>
              <w:marTop w:val="0"/>
              <w:marBottom w:val="0"/>
              <w:divBdr>
                <w:top w:val="none" w:sz="0" w:space="0" w:color="auto"/>
                <w:left w:val="none" w:sz="0" w:space="0" w:color="auto"/>
                <w:bottom w:val="none" w:sz="0" w:space="0" w:color="auto"/>
                <w:right w:val="none" w:sz="0" w:space="0" w:color="auto"/>
              </w:divBdr>
            </w:div>
            <w:div w:id="2001081707">
              <w:marLeft w:val="0"/>
              <w:marRight w:val="0"/>
              <w:marTop w:val="0"/>
              <w:marBottom w:val="0"/>
              <w:divBdr>
                <w:top w:val="none" w:sz="0" w:space="0" w:color="auto"/>
                <w:left w:val="none" w:sz="0" w:space="0" w:color="auto"/>
                <w:bottom w:val="none" w:sz="0" w:space="0" w:color="auto"/>
                <w:right w:val="none" w:sz="0" w:space="0" w:color="auto"/>
              </w:divBdr>
            </w:div>
          </w:divsChild>
        </w:div>
        <w:div w:id="801001862">
          <w:marLeft w:val="0"/>
          <w:marRight w:val="0"/>
          <w:marTop w:val="0"/>
          <w:marBottom w:val="0"/>
          <w:divBdr>
            <w:top w:val="none" w:sz="0" w:space="0" w:color="auto"/>
            <w:left w:val="none" w:sz="0" w:space="0" w:color="auto"/>
            <w:bottom w:val="none" w:sz="0" w:space="0" w:color="auto"/>
            <w:right w:val="none" w:sz="0" w:space="0" w:color="auto"/>
          </w:divBdr>
        </w:div>
        <w:div w:id="804352063">
          <w:marLeft w:val="0"/>
          <w:marRight w:val="0"/>
          <w:marTop w:val="0"/>
          <w:marBottom w:val="0"/>
          <w:divBdr>
            <w:top w:val="none" w:sz="0" w:space="0" w:color="auto"/>
            <w:left w:val="none" w:sz="0" w:space="0" w:color="auto"/>
            <w:bottom w:val="none" w:sz="0" w:space="0" w:color="auto"/>
            <w:right w:val="none" w:sz="0" w:space="0" w:color="auto"/>
          </w:divBdr>
        </w:div>
        <w:div w:id="836772777">
          <w:marLeft w:val="0"/>
          <w:marRight w:val="0"/>
          <w:marTop w:val="0"/>
          <w:marBottom w:val="0"/>
          <w:divBdr>
            <w:top w:val="none" w:sz="0" w:space="0" w:color="auto"/>
            <w:left w:val="none" w:sz="0" w:space="0" w:color="auto"/>
            <w:bottom w:val="none" w:sz="0" w:space="0" w:color="auto"/>
            <w:right w:val="none" w:sz="0" w:space="0" w:color="auto"/>
          </w:divBdr>
        </w:div>
        <w:div w:id="861357210">
          <w:marLeft w:val="0"/>
          <w:marRight w:val="0"/>
          <w:marTop w:val="0"/>
          <w:marBottom w:val="0"/>
          <w:divBdr>
            <w:top w:val="none" w:sz="0" w:space="0" w:color="auto"/>
            <w:left w:val="none" w:sz="0" w:space="0" w:color="auto"/>
            <w:bottom w:val="none" w:sz="0" w:space="0" w:color="auto"/>
            <w:right w:val="none" w:sz="0" w:space="0" w:color="auto"/>
          </w:divBdr>
        </w:div>
        <w:div w:id="885023410">
          <w:marLeft w:val="0"/>
          <w:marRight w:val="0"/>
          <w:marTop w:val="0"/>
          <w:marBottom w:val="0"/>
          <w:divBdr>
            <w:top w:val="none" w:sz="0" w:space="0" w:color="auto"/>
            <w:left w:val="none" w:sz="0" w:space="0" w:color="auto"/>
            <w:bottom w:val="none" w:sz="0" w:space="0" w:color="auto"/>
            <w:right w:val="none" w:sz="0" w:space="0" w:color="auto"/>
          </w:divBdr>
        </w:div>
        <w:div w:id="902914435">
          <w:marLeft w:val="0"/>
          <w:marRight w:val="0"/>
          <w:marTop w:val="0"/>
          <w:marBottom w:val="0"/>
          <w:divBdr>
            <w:top w:val="none" w:sz="0" w:space="0" w:color="auto"/>
            <w:left w:val="none" w:sz="0" w:space="0" w:color="auto"/>
            <w:bottom w:val="none" w:sz="0" w:space="0" w:color="auto"/>
            <w:right w:val="none" w:sz="0" w:space="0" w:color="auto"/>
          </w:divBdr>
        </w:div>
        <w:div w:id="912157145">
          <w:marLeft w:val="0"/>
          <w:marRight w:val="0"/>
          <w:marTop w:val="0"/>
          <w:marBottom w:val="0"/>
          <w:divBdr>
            <w:top w:val="none" w:sz="0" w:space="0" w:color="auto"/>
            <w:left w:val="none" w:sz="0" w:space="0" w:color="auto"/>
            <w:bottom w:val="none" w:sz="0" w:space="0" w:color="auto"/>
            <w:right w:val="none" w:sz="0" w:space="0" w:color="auto"/>
          </w:divBdr>
        </w:div>
        <w:div w:id="936864564">
          <w:marLeft w:val="0"/>
          <w:marRight w:val="0"/>
          <w:marTop w:val="0"/>
          <w:marBottom w:val="0"/>
          <w:divBdr>
            <w:top w:val="none" w:sz="0" w:space="0" w:color="auto"/>
            <w:left w:val="none" w:sz="0" w:space="0" w:color="auto"/>
            <w:bottom w:val="none" w:sz="0" w:space="0" w:color="auto"/>
            <w:right w:val="none" w:sz="0" w:space="0" w:color="auto"/>
          </w:divBdr>
        </w:div>
        <w:div w:id="942304393">
          <w:marLeft w:val="0"/>
          <w:marRight w:val="0"/>
          <w:marTop w:val="0"/>
          <w:marBottom w:val="0"/>
          <w:divBdr>
            <w:top w:val="none" w:sz="0" w:space="0" w:color="auto"/>
            <w:left w:val="none" w:sz="0" w:space="0" w:color="auto"/>
            <w:bottom w:val="none" w:sz="0" w:space="0" w:color="auto"/>
            <w:right w:val="none" w:sz="0" w:space="0" w:color="auto"/>
          </w:divBdr>
        </w:div>
        <w:div w:id="961421030">
          <w:marLeft w:val="0"/>
          <w:marRight w:val="0"/>
          <w:marTop w:val="0"/>
          <w:marBottom w:val="0"/>
          <w:divBdr>
            <w:top w:val="none" w:sz="0" w:space="0" w:color="auto"/>
            <w:left w:val="none" w:sz="0" w:space="0" w:color="auto"/>
            <w:bottom w:val="none" w:sz="0" w:space="0" w:color="auto"/>
            <w:right w:val="none" w:sz="0" w:space="0" w:color="auto"/>
          </w:divBdr>
        </w:div>
        <w:div w:id="970676229">
          <w:marLeft w:val="0"/>
          <w:marRight w:val="0"/>
          <w:marTop w:val="0"/>
          <w:marBottom w:val="0"/>
          <w:divBdr>
            <w:top w:val="none" w:sz="0" w:space="0" w:color="auto"/>
            <w:left w:val="none" w:sz="0" w:space="0" w:color="auto"/>
            <w:bottom w:val="none" w:sz="0" w:space="0" w:color="auto"/>
            <w:right w:val="none" w:sz="0" w:space="0" w:color="auto"/>
          </w:divBdr>
        </w:div>
        <w:div w:id="984311383">
          <w:marLeft w:val="0"/>
          <w:marRight w:val="0"/>
          <w:marTop w:val="0"/>
          <w:marBottom w:val="0"/>
          <w:divBdr>
            <w:top w:val="none" w:sz="0" w:space="0" w:color="auto"/>
            <w:left w:val="none" w:sz="0" w:space="0" w:color="auto"/>
            <w:bottom w:val="none" w:sz="0" w:space="0" w:color="auto"/>
            <w:right w:val="none" w:sz="0" w:space="0" w:color="auto"/>
          </w:divBdr>
          <w:divsChild>
            <w:div w:id="32586557">
              <w:marLeft w:val="0"/>
              <w:marRight w:val="0"/>
              <w:marTop w:val="0"/>
              <w:marBottom w:val="0"/>
              <w:divBdr>
                <w:top w:val="none" w:sz="0" w:space="0" w:color="auto"/>
                <w:left w:val="none" w:sz="0" w:space="0" w:color="auto"/>
                <w:bottom w:val="none" w:sz="0" w:space="0" w:color="auto"/>
                <w:right w:val="none" w:sz="0" w:space="0" w:color="auto"/>
              </w:divBdr>
            </w:div>
            <w:div w:id="83847141">
              <w:marLeft w:val="0"/>
              <w:marRight w:val="0"/>
              <w:marTop w:val="0"/>
              <w:marBottom w:val="0"/>
              <w:divBdr>
                <w:top w:val="none" w:sz="0" w:space="0" w:color="auto"/>
                <w:left w:val="none" w:sz="0" w:space="0" w:color="auto"/>
                <w:bottom w:val="none" w:sz="0" w:space="0" w:color="auto"/>
                <w:right w:val="none" w:sz="0" w:space="0" w:color="auto"/>
              </w:divBdr>
            </w:div>
            <w:div w:id="185338865">
              <w:marLeft w:val="0"/>
              <w:marRight w:val="0"/>
              <w:marTop w:val="0"/>
              <w:marBottom w:val="0"/>
              <w:divBdr>
                <w:top w:val="none" w:sz="0" w:space="0" w:color="auto"/>
                <w:left w:val="none" w:sz="0" w:space="0" w:color="auto"/>
                <w:bottom w:val="none" w:sz="0" w:space="0" w:color="auto"/>
                <w:right w:val="none" w:sz="0" w:space="0" w:color="auto"/>
              </w:divBdr>
            </w:div>
            <w:div w:id="242490070">
              <w:marLeft w:val="0"/>
              <w:marRight w:val="0"/>
              <w:marTop w:val="0"/>
              <w:marBottom w:val="0"/>
              <w:divBdr>
                <w:top w:val="none" w:sz="0" w:space="0" w:color="auto"/>
                <w:left w:val="none" w:sz="0" w:space="0" w:color="auto"/>
                <w:bottom w:val="none" w:sz="0" w:space="0" w:color="auto"/>
                <w:right w:val="none" w:sz="0" w:space="0" w:color="auto"/>
              </w:divBdr>
            </w:div>
            <w:div w:id="254094059">
              <w:marLeft w:val="0"/>
              <w:marRight w:val="0"/>
              <w:marTop w:val="0"/>
              <w:marBottom w:val="0"/>
              <w:divBdr>
                <w:top w:val="none" w:sz="0" w:space="0" w:color="auto"/>
                <w:left w:val="none" w:sz="0" w:space="0" w:color="auto"/>
                <w:bottom w:val="none" w:sz="0" w:space="0" w:color="auto"/>
                <w:right w:val="none" w:sz="0" w:space="0" w:color="auto"/>
              </w:divBdr>
            </w:div>
            <w:div w:id="636958077">
              <w:marLeft w:val="0"/>
              <w:marRight w:val="0"/>
              <w:marTop w:val="0"/>
              <w:marBottom w:val="0"/>
              <w:divBdr>
                <w:top w:val="none" w:sz="0" w:space="0" w:color="auto"/>
                <w:left w:val="none" w:sz="0" w:space="0" w:color="auto"/>
                <w:bottom w:val="none" w:sz="0" w:space="0" w:color="auto"/>
                <w:right w:val="none" w:sz="0" w:space="0" w:color="auto"/>
              </w:divBdr>
            </w:div>
            <w:div w:id="668484093">
              <w:marLeft w:val="0"/>
              <w:marRight w:val="0"/>
              <w:marTop w:val="0"/>
              <w:marBottom w:val="0"/>
              <w:divBdr>
                <w:top w:val="none" w:sz="0" w:space="0" w:color="auto"/>
                <w:left w:val="none" w:sz="0" w:space="0" w:color="auto"/>
                <w:bottom w:val="none" w:sz="0" w:space="0" w:color="auto"/>
                <w:right w:val="none" w:sz="0" w:space="0" w:color="auto"/>
              </w:divBdr>
            </w:div>
            <w:div w:id="800416268">
              <w:marLeft w:val="0"/>
              <w:marRight w:val="0"/>
              <w:marTop w:val="0"/>
              <w:marBottom w:val="0"/>
              <w:divBdr>
                <w:top w:val="none" w:sz="0" w:space="0" w:color="auto"/>
                <w:left w:val="none" w:sz="0" w:space="0" w:color="auto"/>
                <w:bottom w:val="none" w:sz="0" w:space="0" w:color="auto"/>
                <w:right w:val="none" w:sz="0" w:space="0" w:color="auto"/>
              </w:divBdr>
            </w:div>
            <w:div w:id="916673868">
              <w:marLeft w:val="0"/>
              <w:marRight w:val="0"/>
              <w:marTop w:val="0"/>
              <w:marBottom w:val="0"/>
              <w:divBdr>
                <w:top w:val="none" w:sz="0" w:space="0" w:color="auto"/>
                <w:left w:val="none" w:sz="0" w:space="0" w:color="auto"/>
                <w:bottom w:val="none" w:sz="0" w:space="0" w:color="auto"/>
                <w:right w:val="none" w:sz="0" w:space="0" w:color="auto"/>
              </w:divBdr>
            </w:div>
            <w:div w:id="974220689">
              <w:marLeft w:val="0"/>
              <w:marRight w:val="0"/>
              <w:marTop w:val="0"/>
              <w:marBottom w:val="0"/>
              <w:divBdr>
                <w:top w:val="none" w:sz="0" w:space="0" w:color="auto"/>
                <w:left w:val="none" w:sz="0" w:space="0" w:color="auto"/>
                <w:bottom w:val="none" w:sz="0" w:space="0" w:color="auto"/>
                <w:right w:val="none" w:sz="0" w:space="0" w:color="auto"/>
              </w:divBdr>
            </w:div>
            <w:div w:id="1036395912">
              <w:marLeft w:val="0"/>
              <w:marRight w:val="0"/>
              <w:marTop w:val="0"/>
              <w:marBottom w:val="0"/>
              <w:divBdr>
                <w:top w:val="none" w:sz="0" w:space="0" w:color="auto"/>
                <w:left w:val="none" w:sz="0" w:space="0" w:color="auto"/>
                <w:bottom w:val="none" w:sz="0" w:space="0" w:color="auto"/>
                <w:right w:val="none" w:sz="0" w:space="0" w:color="auto"/>
              </w:divBdr>
            </w:div>
            <w:div w:id="1259824992">
              <w:marLeft w:val="0"/>
              <w:marRight w:val="0"/>
              <w:marTop w:val="0"/>
              <w:marBottom w:val="0"/>
              <w:divBdr>
                <w:top w:val="none" w:sz="0" w:space="0" w:color="auto"/>
                <w:left w:val="none" w:sz="0" w:space="0" w:color="auto"/>
                <w:bottom w:val="none" w:sz="0" w:space="0" w:color="auto"/>
                <w:right w:val="none" w:sz="0" w:space="0" w:color="auto"/>
              </w:divBdr>
            </w:div>
            <w:div w:id="1402098314">
              <w:marLeft w:val="0"/>
              <w:marRight w:val="0"/>
              <w:marTop w:val="0"/>
              <w:marBottom w:val="0"/>
              <w:divBdr>
                <w:top w:val="none" w:sz="0" w:space="0" w:color="auto"/>
                <w:left w:val="none" w:sz="0" w:space="0" w:color="auto"/>
                <w:bottom w:val="none" w:sz="0" w:space="0" w:color="auto"/>
                <w:right w:val="none" w:sz="0" w:space="0" w:color="auto"/>
              </w:divBdr>
            </w:div>
            <w:div w:id="1488015958">
              <w:marLeft w:val="0"/>
              <w:marRight w:val="0"/>
              <w:marTop w:val="0"/>
              <w:marBottom w:val="0"/>
              <w:divBdr>
                <w:top w:val="none" w:sz="0" w:space="0" w:color="auto"/>
                <w:left w:val="none" w:sz="0" w:space="0" w:color="auto"/>
                <w:bottom w:val="none" w:sz="0" w:space="0" w:color="auto"/>
                <w:right w:val="none" w:sz="0" w:space="0" w:color="auto"/>
              </w:divBdr>
            </w:div>
            <w:div w:id="1543397835">
              <w:marLeft w:val="0"/>
              <w:marRight w:val="0"/>
              <w:marTop w:val="0"/>
              <w:marBottom w:val="0"/>
              <w:divBdr>
                <w:top w:val="none" w:sz="0" w:space="0" w:color="auto"/>
                <w:left w:val="none" w:sz="0" w:space="0" w:color="auto"/>
                <w:bottom w:val="none" w:sz="0" w:space="0" w:color="auto"/>
                <w:right w:val="none" w:sz="0" w:space="0" w:color="auto"/>
              </w:divBdr>
            </w:div>
            <w:div w:id="1719431961">
              <w:marLeft w:val="0"/>
              <w:marRight w:val="0"/>
              <w:marTop w:val="0"/>
              <w:marBottom w:val="0"/>
              <w:divBdr>
                <w:top w:val="none" w:sz="0" w:space="0" w:color="auto"/>
                <w:left w:val="none" w:sz="0" w:space="0" w:color="auto"/>
                <w:bottom w:val="none" w:sz="0" w:space="0" w:color="auto"/>
                <w:right w:val="none" w:sz="0" w:space="0" w:color="auto"/>
              </w:divBdr>
            </w:div>
            <w:div w:id="1726447042">
              <w:marLeft w:val="0"/>
              <w:marRight w:val="0"/>
              <w:marTop w:val="0"/>
              <w:marBottom w:val="0"/>
              <w:divBdr>
                <w:top w:val="none" w:sz="0" w:space="0" w:color="auto"/>
                <w:left w:val="none" w:sz="0" w:space="0" w:color="auto"/>
                <w:bottom w:val="none" w:sz="0" w:space="0" w:color="auto"/>
                <w:right w:val="none" w:sz="0" w:space="0" w:color="auto"/>
              </w:divBdr>
            </w:div>
            <w:div w:id="1736975654">
              <w:marLeft w:val="0"/>
              <w:marRight w:val="0"/>
              <w:marTop w:val="0"/>
              <w:marBottom w:val="0"/>
              <w:divBdr>
                <w:top w:val="none" w:sz="0" w:space="0" w:color="auto"/>
                <w:left w:val="none" w:sz="0" w:space="0" w:color="auto"/>
                <w:bottom w:val="none" w:sz="0" w:space="0" w:color="auto"/>
                <w:right w:val="none" w:sz="0" w:space="0" w:color="auto"/>
              </w:divBdr>
            </w:div>
            <w:div w:id="1738624471">
              <w:marLeft w:val="0"/>
              <w:marRight w:val="0"/>
              <w:marTop w:val="0"/>
              <w:marBottom w:val="0"/>
              <w:divBdr>
                <w:top w:val="none" w:sz="0" w:space="0" w:color="auto"/>
                <w:left w:val="none" w:sz="0" w:space="0" w:color="auto"/>
                <w:bottom w:val="none" w:sz="0" w:space="0" w:color="auto"/>
                <w:right w:val="none" w:sz="0" w:space="0" w:color="auto"/>
              </w:divBdr>
            </w:div>
            <w:div w:id="1945383454">
              <w:marLeft w:val="0"/>
              <w:marRight w:val="0"/>
              <w:marTop w:val="0"/>
              <w:marBottom w:val="0"/>
              <w:divBdr>
                <w:top w:val="none" w:sz="0" w:space="0" w:color="auto"/>
                <w:left w:val="none" w:sz="0" w:space="0" w:color="auto"/>
                <w:bottom w:val="none" w:sz="0" w:space="0" w:color="auto"/>
                <w:right w:val="none" w:sz="0" w:space="0" w:color="auto"/>
              </w:divBdr>
            </w:div>
          </w:divsChild>
        </w:div>
        <w:div w:id="990989226">
          <w:marLeft w:val="0"/>
          <w:marRight w:val="0"/>
          <w:marTop w:val="0"/>
          <w:marBottom w:val="0"/>
          <w:divBdr>
            <w:top w:val="none" w:sz="0" w:space="0" w:color="auto"/>
            <w:left w:val="none" w:sz="0" w:space="0" w:color="auto"/>
            <w:bottom w:val="none" w:sz="0" w:space="0" w:color="auto"/>
            <w:right w:val="none" w:sz="0" w:space="0" w:color="auto"/>
          </w:divBdr>
          <w:divsChild>
            <w:div w:id="13193955">
              <w:marLeft w:val="0"/>
              <w:marRight w:val="0"/>
              <w:marTop w:val="0"/>
              <w:marBottom w:val="0"/>
              <w:divBdr>
                <w:top w:val="none" w:sz="0" w:space="0" w:color="auto"/>
                <w:left w:val="none" w:sz="0" w:space="0" w:color="auto"/>
                <w:bottom w:val="none" w:sz="0" w:space="0" w:color="auto"/>
                <w:right w:val="none" w:sz="0" w:space="0" w:color="auto"/>
              </w:divBdr>
            </w:div>
            <w:div w:id="24839931">
              <w:marLeft w:val="0"/>
              <w:marRight w:val="0"/>
              <w:marTop w:val="0"/>
              <w:marBottom w:val="0"/>
              <w:divBdr>
                <w:top w:val="none" w:sz="0" w:space="0" w:color="auto"/>
                <w:left w:val="none" w:sz="0" w:space="0" w:color="auto"/>
                <w:bottom w:val="none" w:sz="0" w:space="0" w:color="auto"/>
                <w:right w:val="none" w:sz="0" w:space="0" w:color="auto"/>
              </w:divBdr>
            </w:div>
            <w:div w:id="86850618">
              <w:marLeft w:val="0"/>
              <w:marRight w:val="0"/>
              <w:marTop w:val="0"/>
              <w:marBottom w:val="0"/>
              <w:divBdr>
                <w:top w:val="none" w:sz="0" w:space="0" w:color="auto"/>
                <w:left w:val="none" w:sz="0" w:space="0" w:color="auto"/>
                <w:bottom w:val="none" w:sz="0" w:space="0" w:color="auto"/>
                <w:right w:val="none" w:sz="0" w:space="0" w:color="auto"/>
              </w:divBdr>
            </w:div>
            <w:div w:id="163251546">
              <w:marLeft w:val="0"/>
              <w:marRight w:val="0"/>
              <w:marTop w:val="0"/>
              <w:marBottom w:val="0"/>
              <w:divBdr>
                <w:top w:val="none" w:sz="0" w:space="0" w:color="auto"/>
                <w:left w:val="none" w:sz="0" w:space="0" w:color="auto"/>
                <w:bottom w:val="none" w:sz="0" w:space="0" w:color="auto"/>
                <w:right w:val="none" w:sz="0" w:space="0" w:color="auto"/>
              </w:divBdr>
            </w:div>
            <w:div w:id="305473618">
              <w:marLeft w:val="0"/>
              <w:marRight w:val="0"/>
              <w:marTop w:val="0"/>
              <w:marBottom w:val="0"/>
              <w:divBdr>
                <w:top w:val="none" w:sz="0" w:space="0" w:color="auto"/>
                <w:left w:val="none" w:sz="0" w:space="0" w:color="auto"/>
                <w:bottom w:val="none" w:sz="0" w:space="0" w:color="auto"/>
                <w:right w:val="none" w:sz="0" w:space="0" w:color="auto"/>
              </w:divBdr>
            </w:div>
            <w:div w:id="441995271">
              <w:marLeft w:val="0"/>
              <w:marRight w:val="0"/>
              <w:marTop w:val="0"/>
              <w:marBottom w:val="0"/>
              <w:divBdr>
                <w:top w:val="none" w:sz="0" w:space="0" w:color="auto"/>
                <w:left w:val="none" w:sz="0" w:space="0" w:color="auto"/>
                <w:bottom w:val="none" w:sz="0" w:space="0" w:color="auto"/>
                <w:right w:val="none" w:sz="0" w:space="0" w:color="auto"/>
              </w:divBdr>
            </w:div>
            <w:div w:id="625742618">
              <w:marLeft w:val="0"/>
              <w:marRight w:val="0"/>
              <w:marTop w:val="0"/>
              <w:marBottom w:val="0"/>
              <w:divBdr>
                <w:top w:val="none" w:sz="0" w:space="0" w:color="auto"/>
                <w:left w:val="none" w:sz="0" w:space="0" w:color="auto"/>
                <w:bottom w:val="none" w:sz="0" w:space="0" w:color="auto"/>
                <w:right w:val="none" w:sz="0" w:space="0" w:color="auto"/>
              </w:divBdr>
            </w:div>
            <w:div w:id="819545251">
              <w:marLeft w:val="0"/>
              <w:marRight w:val="0"/>
              <w:marTop w:val="0"/>
              <w:marBottom w:val="0"/>
              <w:divBdr>
                <w:top w:val="none" w:sz="0" w:space="0" w:color="auto"/>
                <w:left w:val="none" w:sz="0" w:space="0" w:color="auto"/>
                <w:bottom w:val="none" w:sz="0" w:space="0" w:color="auto"/>
                <w:right w:val="none" w:sz="0" w:space="0" w:color="auto"/>
              </w:divBdr>
            </w:div>
            <w:div w:id="970937380">
              <w:marLeft w:val="0"/>
              <w:marRight w:val="0"/>
              <w:marTop w:val="0"/>
              <w:marBottom w:val="0"/>
              <w:divBdr>
                <w:top w:val="none" w:sz="0" w:space="0" w:color="auto"/>
                <w:left w:val="none" w:sz="0" w:space="0" w:color="auto"/>
                <w:bottom w:val="none" w:sz="0" w:space="0" w:color="auto"/>
                <w:right w:val="none" w:sz="0" w:space="0" w:color="auto"/>
              </w:divBdr>
            </w:div>
            <w:div w:id="1171139967">
              <w:marLeft w:val="0"/>
              <w:marRight w:val="0"/>
              <w:marTop w:val="0"/>
              <w:marBottom w:val="0"/>
              <w:divBdr>
                <w:top w:val="none" w:sz="0" w:space="0" w:color="auto"/>
                <w:left w:val="none" w:sz="0" w:space="0" w:color="auto"/>
                <w:bottom w:val="none" w:sz="0" w:space="0" w:color="auto"/>
                <w:right w:val="none" w:sz="0" w:space="0" w:color="auto"/>
              </w:divBdr>
            </w:div>
            <w:div w:id="1266188161">
              <w:marLeft w:val="0"/>
              <w:marRight w:val="0"/>
              <w:marTop w:val="0"/>
              <w:marBottom w:val="0"/>
              <w:divBdr>
                <w:top w:val="none" w:sz="0" w:space="0" w:color="auto"/>
                <w:left w:val="none" w:sz="0" w:space="0" w:color="auto"/>
                <w:bottom w:val="none" w:sz="0" w:space="0" w:color="auto"/>
                <w:right w:val="none" w:sz="0" w:space="0" w:color="auto"/>
              </w:divBdr>
            </w:div>
            <w:div w:id="1366977016">
              <w:marLeft w:val="0"/>
              <w:marRight w:val="0"/>
              <w:marTop w:val="0"/>
              <w:marBottom w:val="0"/>
              <w:divBdr>
                <w:top w:val="none" w:sz="0" w:space="0" w:color="auto"/>
                <w:left w:val="none" w:sz="0" w:space="0" w:color="auto"/>
                <w:bottom w:val="none" w:sz="0" w:space="0" w:color="auto"/>
                <w:right w:val="none" w:sz="0" w:space="0" w:color="auto"/>
              </w:divBdr>
            </w:div>
            <w:div w:id="1381510836">
              <w:marLeft w:val="0"/>
              <w:marRight w:val="0"/>
              <w:marTop w:val="0"/>
              <w:marBottom w:val="0"/>
              <w:divBdr>
                <w:top w:val="none" w:sz="0" w:space="0" w:color="auto"/>
                <w:left w:val="none" w:sz="0" w:space="0" w:color="auto"/>
                <w:bottom w:val="none" w:sz="0" w:space="0" w:color="auto"/>
                <w:right w:val="none" w:sz="0" w:space="0" w:color="auto"/>
              </w:divBdr>
            </w:div>
            <w:div w:id="1388719205">
              <w:marLeft w:val="0"/>
              <w:marRight w:val="0"/>
              <w:marTop w:val="0"/>
              <w:marBottom w:val="0"/>
              <w:divBdr>
                <w:top w:val="none" w:sz="0" w:space="0" w:color="auto"/>
                <w:left w:val="none" w:sz="0" w:space="0" w:color="auto"/>
                <w:bottom w:val="none" w:sz="0" w:space="0" w:color="auto"/>
                <w:right w:val="none" w:sz="0" w:space="0" w:color="auto"/>
              </w:divBdr>
            </w:div>
            <w:div w:id="1517814123">
              <w:marLeft w:val="0"/>
              <w:marRight w:val="0"/>
              <w:marTop w:val="0"/>
              <w:marBottom w:val="0"/>
              <w:divBdr>
                <w:top w:val="none" w:sz="0" w:space="0" w:color="auto"/>
                <w:left w:val="none" w:sz="0" w:space="0" w:color="auto"/>
                <w:bottom w:val="none" w:sz="0" w:space="0" w:color="auto"/>
                <w:right w:val="none" w:sz="0" w:space="0" w:color="auto"/>
              </w:divBdr>
            </w:div>
            <w:div w:id="1610965716">
              <w:marLeft w:val="0"/>
              <w:marRight w:val="0"/>
              <w:marTop w:val="0"/>
              <w:marBottom w:val="0"/>
              <w:divBdr>
                <w:top w:val="none" w:sz="0" w:space="0" w:color="auto"/>
                <w:left w:val="none" w:sz="0" w:space="0" w:color="auto"/>
                <w:bottom w:val="none" w:sz="0" w:space="0" w:color="auto"/>
                <w:right w:val="none" w:sz="0" w:space="0" w:color="auto"/>
              </w:divBdr>
            </w:div>
            <w:div w:id="1733387913">
              <w:marLeft w:val="0"/>
              <w:marRight w:val="0"/>
              <w:marTop w:val="0"/>
              <w:marBottom w:val="0"/>
              <w:divBdr>
                <w:top w:val="none" w:sz="0" w:space="0" w:color="auto"/>
                <w:left w:val="none" w:sz="0" w:space="0" w:color="auto"/>
                <w:bottom w:val="none" w:sz="0" w:space="0" w:color="auto"/>
                <w:right w:val="none" w:sz="0" w:space="0" w:color="auto"/>
              </w:divBdr>
            </w:div>
            <w:div w:id="1923298038">
              <w:marLeft w:val="0"/>
              <w:marRight w:val="0"/>
              <w:marTop w:val="0"/>
              <w:marBottom w:val="0"/>
              <w:divBdr>
                <w:top w:val="none" w:sz="0" w:space="0" w:color="auto"/>
                <w:left w:val="none" w:sz="0" w:space="0" w:color="auto"/>
                <w:bottom w:val="none" w:sz="0" w:space="0" w:color="auto"/>
                <w:right w:val="none" w:sz="0" w:space="0" w:color="auto"/>
              </w:divBdr>
            </w:div>
            <w:div w:id="2043050850">
              <w:marLeft w:val="0"/>
              <w:marRight w:val="0"/>
              <w:marTop w:val="0"/>
              <w:marBottom w:val="0"/>
              <w:divBdr>
                <w:top w:val="none" w:sz="0" w:space="0" w:color="auto"/>
                <w:left w:val="none" w:sz="0" w:space="0" w:color="auto"/>
                <w:bottom w:val="none" w:sz="0" w:space="0" w:color="auto"/>
                <w:right w:val="none" w:sz="0" w:space="0" w:color="auto"/>
              </w:divBdr>
            </w:div>
          </w:divsChild>
        </w:div>
        <w:div w:id="998653586">
          <w:marLeft w:val="0"/>
          <w:marRight w:val="0"/>
          <w:marTop w:val="0"/>
          <w:marBottom w:val="0"/>
          <w:divBdr>
            <w:top w:val="none" w:sz="0" w:space="0" w:color="auto"/>
            <w:left w:val="none" w:sz="0" w:space="0" w:color="auto"/>
            <w:bottom w:val="none" w:sz="0" w:space="0" w:color="auto"/>
            <w:right w:val="none" w:sz="0" w:space="0" w:color="auto"/>
          </w:divBdr>
        </w:div>
        <w:div w:id="1005673863">
          <w:marLeft w:val="0"/>
          <w:marRight w:val="0"/>
          <w:marTop w:val="0"/>
          <w:marBottom w:val="0"/>
          <w:divBdr>
            <w:top w:val="none" w:sz="0" w:space="0" w:color="auto"/>
            <w:left w:val="none" w:sz="0" w:space="0" w:color="auto"/>
            <w:bottom w:val="none" w:sz="0" w:space="0" w:color="auto"/>
            <w:right w:val="none" w:sz="0" w:space="0" w:color="auto"/>
          </w:divBdr>
        </w:div>
        <w:div w:id="1006640062">
          <w:marLeft w:val="0"/>
          <w:marRight w:val="0"/>
          <w:marTop w:val="0"/>
          <w:marBottom w:val="0"/>
          <w:divBdr>
            <w:top w:val="none" w:sz="0" w:space="0" w:color="auto"/>
            <w:left w:val="none" w:sz="0" w:space="0" w:color="auto"/>
            <w:bottom w:val="none" w:sz="0" w:space="0" w:color="auto"/>
            <w:right w:val="none" w:sz="0" w:space="0" w:color="auto"/>
          </w:divBdr>
          <w:divsChild>
            <w:div w:id="31880630">
              <w:marLeft w:val="0"/>
              <w:marRight w:val="0"/>
              <w:marTop w:val="0"/>
              <w:marBottom w:val="0"/>
              <w:divBdr>
                <w:top w:val="none" w:sz="0" w:space="0" w:color="auto"/>
                <w:left w:val="none" w:sz="0" w:space="0" w:color="auto"/>
                <w:bottom w:val="none" w:sz="0" w:space="0" w:color="auto"/>
                <w:right w:val="none" w:sz="0" w:space="0" w:color="auto"/>
              </w:divBdr>
            </w:div>
            <w:div w:id="41098624">
              <w:marLeft w:val="0"/>
              <w:marRight w:val="0"/>
              <w:marTop w:val="0"/>
              <w:marBottom w:val="0"/>
              <w:divBdr>
                <w:top w:val="none" w:sz="0" w:space="0" w:color="auto"/>
                <w:left w:val="none" w:sz="0" w:space="0" w:color="auto"/>
                <w:bottom w:val="none" w:sz="0" w:space="0" w:color="auto"/>
                <w:right w:val="none" w:sz="0" w:space="0" w:color="auto"/>
              </w:divBdr>
            </w:div>
            <w:div w:id="227419113">
              <w:marLeft w:val="0"/>
              <w:marRight w:val="0"/>
              <w:marTop w:val="0"/>
              <w:marBottom w:val="0"/>
              <w:divBdr>
                <w:top w:val="none" w:sz="0" w:space="0" w:color="auto"/>
                <w:left w:val="none" w:sz="0" w:space="0" w:color="auto"/>
                <w:bottom w:val="none" w:sz="0" w:space="0" w:color="auto"/>
                <w:right w:val="none" w:sz="0" w:space="0" w:color="auto"/>
              </w:divBdr>
            </w:div>
            <w:div w:id="367026722">
              <w:marLeft w:val="0"/>
              <w:marRight w:val="0"/>
              <w:marTop w:val="0"/>
              <w:marBottom w:val="0"/>
              <w:divBdr>
                <w:top w:val="none" w:sz="0" w:space="0" w:color="auto"/>
                <w:left w:val="none" w:sz="0" w:space="0" w:color="auto"/>
                <w:bottom w:val="none" w:sz="0" w:space="0" w:color="auto"/>
                <w:right w:val="none" w:sz="0" w:space="0" w:color="auto"/>
              </w:divBdr>
            </w:div>
            <w:div w:id="429936071">
              <w:marLeft w:val="0"/>
              <w:marRight w:val="0"/>
              <w:marTop w:val="0"/>
              <w:marBottom w:val="0"/>
              <w:divBdr>
                <w:top w:val="none" w:sz="0" w:space="0" w:color="auto"/>
                <w:left w:val="none" w:sz="0" w:space="0" w:color="auto"/>
                <w:bottom w:val="none" w:sz="0" w:space="0" w:color="auto"/>
                <w:right w:val="none" w:sz="0" w:space="0" w:color="auto"/>
              </w:divBdr>
            </w:div>
            <w:div w:id="432364511">
              <w:marLeft w:val="0"/>
              <w:marRight w:val="0"/>
              <w:marTop w:val="0"/>
              <w:marBottom w:val="0"/>
              <w:divBdr>
                <w:top w:val="none" w:sz="0" w:space="0" w:color="auto"/>
                <w:left w:val="none" w:sz="0" w:space="0" w:color="auto"/>
                <w:bottom w:val="none" w:sz="0" w:space="0" w:color="auto"/>
                <w:right w:val="none" w:sz="0" w:space="0" w:color="auto"/>
              </w:divBdr>
            </w:div>
            <w:div w:id="493106746">
              <w:marLeft w:val="0"/>
              <w:marRight w:val="0"/>
              <w:marTop w:val="0"/>
              <w:marBottom w:val="0"/>
              <w:divBdr>
                <w:top w:val="none" w:sz="0" w:space="0" w:color="auto"/>
                <w:left w:val="none" w:sz="0" w:space="0" w:color="auto"/>
                <w:bottom w:val="none" w:sz="0" w:space="0" w:color="auto"/>
                <w:right w:val="none" w:sz="0" w:space="0" w:color="auto"/>
              </w:divBdr>
            </w:div>
            <w:div w:id="643585487">
              <w:marLeft w:val="0"/>
              <w:marRight w:val="0"/>
              <w:marTop w:val="0"/>
              <w:marBottom w:val="0"/>
              <w:divBdr>
                <w:top w:val="none" w:sz="0" w:space="0" w:color="auto"/>
                <w:left w:val="none" w:sz="0" w:space="0" w:color="auto"/>
                <w:bottom w:val="none" w:sz="0" w:space="0" w:color="auto"/>
                <w:right w:val="none" w:sz="0" w:space="0" w:color="auto"/>
              </w:divBdr>
            </w:div>
            <w:div w:id="664818115">
              <w:marLeft w:val="0"/>
              <w:marRight w:val="0"/>
              <w:marTop w:val="0"/>
              <w:marBottom w:val="0"/>
              <w:divBdr>
                <w:top w:val="none" w:sz="0" w:space="0" w:color="auto"/>
                <w:left w:val="none" w:sz="0" w:space="0" w:color="auto"/>
                <w:bottom w:val="none" w:sz="0" w:space="0" w:color="auto"/>
                <w:right w:val="none" w:sz="0" w:space="0" w:color="auto"/>
              </w:divBdr>
            </w:div>
            <w:div w:id="703292293">
              <w:marLeft w:val="0"/>
              <w:marRight w:val="0"/>
              <w:marTop w:val="0"/>
              <w:marBottom w:val="0"/>
              <w:divBdr>
                <w:top w:val="none" w:sz="0" w:space="0" w:color="auto"/>
                <w:left w:val="none" w:sz="0" w:space="0" w:color="auto"/>
                <w:bottom w:val="none" w:sz="0" w:space="0" w:color="auto"/>
                <w:right w:val="none" w:sz="0" w:space="0" w:color="auto"/>
              </w:divBdr>
            </w:div>
            <w:div w:id="731194671">
              <w:marLeft w:val="0"/>
              <w:marRight w:val="0"/>
              <w:marTop w:val="0"/>
              <w:marBottom w:val="0"/>
              <w:divBdr>
                <w:top w:val="none" w:sz="0" w:space="0" w:color="auto"/>
                <w:left w:val="none" w:sz="0" w:space="0" w:color="auto"/>
                <w:bottom w:val="none" w:sz="0" w:space="0" w:color="auto"/>
                <w:right w:val="none" w:sz="0" w:space="0" w:color="auto"/>
              </w:divBdr>
            </w:div>
            <w:div w:id="844396571">
              <w:marLeft w:val="0"/>
              <w:marRight w:val="0"/>
              <w:marTop w:val="0"/>
              <w:marBottom w:val="0"/>
              <w:divBdr>
                <w:top w:val="none" w:sz="0" w:space="0" w:color="auto"/>
                <w:left w:val="none" w:sz="0" w:space="0" w:color="auto"/>
                <w:bottom w:val="none" w:sz="0" w:space="0" w:color="auto"/>
                <w:right w:val="none" w:sz="0" w:space="0" w:color="auto"/>
              </w:divBdr>
            </w:div>
            <w:div w:id="864170469">
              <w:marLeft w:val="0"/>
              <w:marRight w:val="0"/>
              <w:marTop w:val="0"/>
              <w:marBottom w:val="0"/>
              <w:divBdr>
                <w:top w:val="none" w:sz="0" w:space="0" w:color="auto"/>
                <w:left w:val="none" w:sz="0" w:space="0" w:color="auto"/>
                <w:bottom w:val="none" w:sz="0" w:space="0" w:color="auto"/>
                <w:right w:val="none" w:sz="0" w:space="0" w:color="auto"/>
              </w:divBdr>
            </w:div>
            <w:div w:id="899828089">
              <w:marLeft w:val="0"/>
              <w:marRight w:val="0"/>
              <w:marTop w:val="0"/>
              <w:marBottom w:val="0"/>
              <w:divBdr>
                <w:top w:val="none" w:sz="0" w:space="0" w:color="auto"/>
                <w:left w:val="none" w:sz="0" w:space="0" w:color="auto"/>
                <w:bottom w:val="none" w:sz="0" w:space="0" w:color="auto"/>
                <w:right w:val="none" w:sz="0" w:space="0" w:color="auto"/>
              </w:divBdr>
            </w:div>
            <w:div w:id="1088111412">
              <w:marLeft w:val="0"/>
              <w:marRight w:val="0"/>
              <w:marTop w:val="0"/>
              <w:marBottom w:val="0"/>
              <w:divBdr>
                <w:top w:val="none" w:sz="0" w:space="0" w:color="auto"/>
                <w:left w:val="none" w:sz="0" w:space="0" w:color="auto"/>
                <w:bottom w:val="none" w:sz="0" w:space="0" w:color="auto"/>
                <w:right w:val="none" w:sz="0" w:space="0" w:color="auto"/>
              </w:divBdr>
            </w:div>
            <w:div w:id="1107844921">
              <w:marLeft w:val="0"/>
              <w:marRight w:val="0"/>
              <w:marTop w:val="0"/>
              <w:marBottom w:val="0"/>
              <w:divBdr>
                <w:top w:val="none" w:sz="0" w:space="0" w:color="auto"/>
                <w:left w:val="none" w:sz="0" w:space="0" w:color="auto"/>
                <w:bottom w:val="none" w:sz="0" w:space="0" w:color="auto"/>
                <w:right w:val="none" w:sz="0" w:space="0" w:color="auto"/>
              </w:divBdr>
            </w:div>
            <w:div w:id="1227036121">
              <w:marLeft w:val="0"/>
              <w:marRight w:val="0"/>
              <w:marTop w:val="0"/>
              <w:marBottom w:val="0"/>
              <w:divBdr>
                <w:top w:val="none" w:sz="0" w:space="0" w:color="auto"/>
                <w:left w:val="none" w:sz="0" w:space="0" w:color="auto"/>
                <w:bottom w:val="none" w:sz="0" w:space="0" w:color="auto"/>
                <w:right w:val="none" w:sz="0" w:space="0" w:color="auto"/>
              </w:divBdr>
            </w:div>
            <w:div w:id="1378629734">
              <w:marLeft w:val="0"/>
              <w:marRight w:val="0"/>
              <w:marTop w:val="0"/>
              <w:marBottom w:val="0"/>
              <w:divBdr>
                <w:top w:val="none" w:sz="0" w:space="0" w:color="auto"/>
                <w:left w:val="none" w:sz="0" w:space="0" w:color="auto"/>
                <w:bottom w:val="none" w:sz="0" w:space="0" w:color="auto"/>
                <w:right w:val="none" w:sz="0" w:space="0" w:color="auto"/>
              </w:divBdr>
            </w:div>
            <w:div w:id="1705330458">
              <w:marLeft w:val="0"/>
              <w:marRight w:val="0"/>
              <w:marTop w:val="0"/>
              <w:marBottom w:val="0"/>
              <w:divBdr>
                <w:top w:val="none" w:sz="0" w:space="0" w:color="auto"/>
                <w:left w:val="none" w:sz="0" w:space="0" w:color="auto"/>
                <w:bottom w:val="none" w:sz="0" w:space="0" w:color="auto"/>
                <w:right w:val="none" w:sz="0" w:space="0" w:color="auto"/>
              </w:divBdr>
            </w:div>
            <w:div w:id="1715303611">
              <w:marLeft w:val="0"/>
              <w:marRight w:val="0"/>
              <w:marTop w:val="0"/>
              <w:marBottom w:val="0"/>
              <w:divBdr>
                <w:top w:val="none" w:sz="0" w:space="0" w:color="auto"/>
                <w:left w:val="none" w:sz="0" w:space="0" w:color="auto"/>
                <w:bottom w:val="none" w:sz="0" w:space="0" w:color="auto"/>
                <w:right w:val="none" w:sz="0" w:space="0" w:color="auto"/>
              </w:divBdr>
            </w:div>
          </w:divsChild>
        </w:div>
        <w:div w:id="1019506734">
          <w:marLeft w:val="0"/>
          <w:marRight w:val="0"/>
          <w:marTop w:val="0"/>
          <w:marBottom w:val="0"/>
          <w:divBdr>
            <w:top w:val="none" w:sz="0" w:space="0" w:color="auto"/>
            <w:left w:val="none" w:sz="0" w:space="0" w:color="auto"/>
            <w:bottom w:val="none" w:sz="0" w:space="0" w:color="auto"/>
            <w:right w:val="none" w:sz="0" w:space="0" w:color="auto"/>
          </w:divBdr>
          <w:divsChild>
            <w:div w:id="174924848">
              <w:marLeft w:val="0"/>
              <w:marRight w:val="0"/>
              <w:marTop w:val="0"/>
              <w:marBottom w:val="0"/>
              <w:divBdr>
                <w:top w:val="none" w:sz="0" w:space="0" w:color="auto"/>
                <w:left w:val="none" w:sz="0" w:space="0" w:color="auto"/>
                <w:bottom w:val="none" w:sz="0" w:space="0" w:color="auto"/>
                <w:right w:val="none" w:sz="0" w:space="0" w:color="auto"/>
              </w:divBdr>
            </w:div>
            <w:div w:id="270629788">
              <w:marLeft w:val="0"/>
              <w:marRight w:val="0"/>
              <w:marTop w:val="0"/>
              <w:marBottom w:val="0"/>
              <w:divBdr>
                <w:top w:val="none" w:sz="0" w:space="0" w:color="auto"/>
                <w:left w:val="none" w:sz="0" w:space="0" w:color="auto"/>
                <w:bottom w:val="none" w:sz="0" w:space="0" w:color="auto"/>
                <w:right w:val="none" w:sz="0" w:space="0" w:color="auto"/>
              </w:divBdr>
            </w:div>
            <w:div w:id="274334336">
              <w:marLeft w:val="0"/>
              <w:marRight w:val="0"/>
              <w:marTop w:val="0"/>
              <w:marBottom w:val="0"/>
              <w:divBdr>
                <w:top w:val="none" w:sz="0" w:space="0" w:color="auto"/>
                <w:left w:val="none" w:sz="0" w:space="0" w:color="auto"/>
                <w:bottom w:val="none" w:sz="0" w:space="0" w:color="auto"/>
                <w:right w:val="none" w:sz="0" w:space="0" w:color="auto"/>
              </w:divBdr>
            </w:div>
            <w:div w:id="276449546">
              <w:marLeft w:val="0"/>
              <w:marRight w:val="0"/>
              <w:marTop w:val="0"/>
              <w:marBottom w:val="0"/>
              <w:divBdr>
                <w:top w:val="none" w:sz="0" w:space="0" w:color="auto"/>
                <w:left w:val="none" w:sz="0" w:space="0" w:color="auto"/>
                <w:bottom w:val="none" w:sz="0" w:space="0" w:color="auto"/>
                <w:right w:val="none" w:sz="0" w:space="0" w:color="auto"/>
              </w:divBdr>
            </w:div>
            <w:div w:id="322204301">
              <w:marLeft w:val="0"/>
              <w:marRight w:val="0"/>
              <w:marTop w:val="0"/>
              <w:marBottom w:val="0"/>
              <w:divBdr>
                <w:top w:val="none" w:sz="0" w:space="0" w:color="auto"/>
                <w:left w:val="none" w:sz="0" w:space="0" w:color="auto"/>
                <w:bottom w:val="none" w:sz="0" w:space="0" w:color="auto"/>
                <w:right w:val="none" w:sz="0" w:space="0" w:color="auto"/>
              </w:divBdr>
            </w:div>
            <w:div w:id="465053436">
              <w:marLeft w:val="0"/>
              <w:marRight w:val="0"/>
              <w:marTop w:val="0"/>
              <w:marBottom w:val="0"/>
              <w:divBdr>
                <w:top w:val="none" w:sz="0" w:space="0" w:color="auto"/>
                <w:left w:val="none" w:sz="0" w:space="0" w:color="auto"/>
                <w:bottom w:val="none" w:sz="0" w:space="0" w:color="auto"/>
                <w:right w:val="none" w:sz="0" w:space="0" w:color="auto"/>
              </w:divBdr>
            </w:div>
            <w:div w:id="479418536">
              <w:marLeft w:val="0"/>
              <w:marRight w:val="0"/>
              <w:marTop w:val="0"/>
              <w:marBottom w:val="0"/>
              <w:divBdr>
                <w:top w:val="none" w:sz="0" w:space="0" w:color="auto"/>
                <w:left w:val="none" w:sz="0" w:space="0" w:color="auto"/>
                <w:bottom w:val="none" w:sz="0" w:space="0" w:color="auto"/>
                <w:right w:val="none" w:sz="0" w:space="0" w:color="auto"/>
              </w:divBdr>
            </w:div>
            <w:div w:id="554707015">
              <w:marLeft w:val="0"/>
              <w:marRight w:val="0"/>
              <w:marTop w:val="0"/>
              <w:marBottom w:val="0"/>
              <w:divBdr>
                <w:top w:val="none" w:sz="0" w:space="0" w:color="auto"/>
                <w:left w:val="none" w:sz="0" w:space="0" w:color="auto"/>
                <w:bottom w:val="none" w:sz="0" w:space="0" w:color="auto"/>
                <w:right w:val="none" w:sz="0" w:space="0" w:color="auto"/>
              </w:divBdr>
            </w:div>
            <w:div w:id="640501126">
              <w:marLeft w:val="0"/>
              <w:marRight w:val="0"/>
              <w:marTop w:val="0"/>
              <w:marBottom w:val="0"/>
              <w:divBdr>
                <w:top w:val="none" w:sz="0" w:space="0" w:color="auto"/>
                <w:left w:val="none" w:sz="0" w:space="0" w:color="auto"/>
                <w:bottom w:val="none" w:sz="0" w:space="0" w:color="auto"/>
                <w:right w:val="none" w:sz="0" w:space="0" w:color="auto"/>
              </w:divBdr>
            </w:div>
            <w:div w:id="1038748244">
              <w:marLeft w:val="0"/>
              <w:marRight w:val="0"/>
              <w:marTop w:val="0"/>
              <w:marBottom w:val="0"/>
              <w:divBdr>
                <w:top w:val="none" w:sz="0" w:space="0" w:color="auto"/>
                <w:left w:val="none" w:sz="0" w:space="0" w:color="auto"/>
                <w:bottom w:val="none" w:sz="0" w:space="0" w:color="auto"/>
                <w:right w:val="none" w:sz="0" w:space="0" w:color="auto"/>
              </w:divBdr>
            </w:div>
            <w:div w:id="1119834053">
              <w:marLeft w:val="0"/>
              <w:marRight w:val="0"/>
              <w:marTop w:val="0"/>
              <w:marBottom w:val="0"/>
              <w:divBdr>
                <w:top w:val="none" w:sz="0" w:space="0" w:color="auto"/>
                <w:left w:val="none" w:sz="0" w:space="0" w:color="auto"/>
                <w:bottom w:val="none" w:sz="0" w:space="0" w:color="auto"/>
                <w:right w:val="none" w:sz="0" w:space="0" w:color="auto"/>
              </w:divBdr>
            </w:div>
            <w:div w:id="1149247480">
              <w:marLeft w:val="0"/>
              <w:marRight w:val="0"/>
              <w:marTop w:val="0"/>
              <w:marBottom w:val="0"/>
              <w:divBdr>
                <w:top w:val="none" w:sz="0" w:space="0" w:color="auto"/>
                <w:left w:val="none" w:sz="0" w:space="0" w:color="auto"/>
                <w:bottom w:val="none" w:sz="0" w:space="0" w:color="auto"/>
                <w:right w:val="none" w:sz="0" w:space="0" w:color="auto"/>
              </w:divBdr>
            </w:div>
            <w:div w:id="1187252811">
              <w:marLeft w:val="0"/>
              <w:marRight w:val="0"/>
              <w:marTop w:val="0"/>
              <w:marBottom w:val="0"/>
              <w:divBdr>
                <w:top w:val="none" w:sz="0" w:space="0" w:color="auto"/>
                <w:left w:val="none" w:sz="0" w:space="0" w:color="auto"/>
                <w:bottom w:val="none" w:sz="0" w:space="0" w:color="auto"/>
                <w:right w:val="none" w:sz="0" w:space="0" w:color="auto"/>
              </w:divBdr>
            </w:div>
            <w:div w:id="1231618387">
              <w:marLeft w:val="0"/>
              <w:marRight w:val="0"/>
              <w:marTop w:val="0"/>
              <w:marBottom w:val="0"/>
              <w:divBdr>
                <w:top w:val="none" w:sz="0" w:space="0" w:color="auto"/>
                <w:left w:val="none" w:sz="0" w:space="0" w:color="auto"/>
                <w:bottom w:val="none" w:sz="0" w:space="0" w:color="auto"/>
                <w:right w:val="none" w:sz="0" w:space="0" w:color="auto"/>
              </w:divBdr>
            </w:div>
            <w:div w:id="1614823449">
              <w:marLeft w:val="0"/>
              <w:marRight w:val="0"/>
              <w:marTop w:val="0"/>
              <w:marBottom w:val="0"/>
              <w:divBdr>
                <w:top w:val="none" w:sz="0" w:space="0" w:color="auto"/>
                <w:left w:val="none" w:sz="0" w:space="0" w:color="auto"/>
                <w:bottom w:val="none" w:sz="0" w:space="0" w:color="auto"/>
                <w:right w:val="none" w:sz="0" w:space="0" w:color="auto"/>
              </w:divBdr>
            </w:div>
            <w:div w:id="1619070624">
              <w:marLeft w:val="0"/>
              <w:marRight w:val="0"/>
              <w:marTop w:val="0"/>
              <w:marBottom w:val="0"/>
              <w:divBdr>
                <w:top w:val="none" w:sz="0" w:space="0" w:color="auto"/>
                <w:left w:val="none" w:sz="0" w:space="0" w:color="auto"/>
                <w:bottom w:val="none" w:sz="0" w:space="0" w:color="auto"/>
                <w:right w:val="none" w:sz="0" w:space="0" w:color="auto"/>
              </w:divBdr>
            </w:div>
            <w:div w:id="1774283366">
              <w:marLeft w:val="0"/>
              <w:marRight w:val="0"/>
              <w:marTop w:val="0"/>
              <w:marBottom w:val="0"/>
              <w:divBdr>
                <w:top w:val="none" w:sz="0" w:space="0" w:color="auto"/>
                <w:left w:val="none" w:sz="0" w:space="0" w:color="auto"/>
                <w:bottom w:val="none" w:sz="0" w:space="0" w:color="auto"/>
                <w:right w:val="none" w:sz="0" w:space="0" w:color="auto"/>
              </w:divBdr>
            </w:div>
            <w:div w:id="1942444018">
              <w:marLeft w:val="0"/>
              <w:marRight w:val="0"/>
              <w:marTop w:val="0"/>
              <w:marBottom w:val="0"/>
              <w:divBdr>
                <w:top w:val="none" w:sz="0" w:space="0" w:color="auto"/>
                <w:left w:val="none" w:sz="0" w:space="0" w:color="auto"/>
                <w:bottom w:val="none" w:sz="0" w:space="0" w:color="auto"/>
                <w:right w:val="none" w:sz="0" w:space="0" w:color="auto"/>
              </w:divBdr>
            </w:div>
            <w:div w:id="1989624675">
              <w:marLeft w:val="0"/>
              <w:marRight w:val="0"/>
              <w:marTop w:val="0"/>
              <w:marBottom w:val="0"/>
              <w:divBdr>
                <w:top w:val="none" w:sz="0" w:space="0" w:color="auto"/>
                <w:left w:val="none" w:sz="0" w:space="0" w:color="auto"/>
                <w:bottom w:val="none" w:sz="0" w:space="0" w:color="auto"/>
                <w:right w:val="none" w:sz="0" w:space="0" w:color="auto"/>
              </w:divBdr>
            </w:div>
            <w:div w:id="2057195783">
              <w:marLeft w:val="0"/>
              <w:marRight w:val="0"/>
              <w:marTop w:val="0"/>
              <w:marBottom w:val="0"/>
              <w:divBdr>
                <w:top w:val="none" w:sz="0" w:space="0" w:color="auto"/>
                <w:left w:val="none" w:sz="0" w:space="0" w:color="auto"/>
                <w:bottom w:val="none" w:sz="0" w:space="0" w:color="auto"/>
                <w:right w:val="none" w:sz="0" w:space="0" w:color="auto"/>
              </w:divBdr>
            </w:div>
          </w:divsChild>
        </w:div>
        <w:div w:id="1083643480">
          <w:marLeft w:val="0"/>
          <w:marRight w:val="0"/>
          <w:marTop w:val="0"/>
          <w:marBottom w:val="0"/>
          <w:divBdr>
            <w:top w:val="none" w:sz="0" w:space="0" w:color="auto"/>
            <w:left w:val="none" w:sz="0" w:space="0" w:color="auto"/>
            <w:bottom w:val="none" w:sz="0" w:space="0" w:color="auto"/>
            <w:right w:val="none" w:sz="0" w:space="0" w:color="auto"/>
          </w:divBdr>
          <w:divsChild>
            <w:div w:id="65568578">
              <w:marLeft w:val="0"/>
              <w:marRight w:val="0"/>
              <w:marTop w:val="0"/>
              <w:marBottom w:val="0"/>
              <w:divBdr>
                <w:top w:val="none" w:sz="0" w:space="0" w:color="auto"/>
                <w:left w:val="none" w:sz="0" w:space="0" w:color="auto"/>
                <w:bottom w:val="none" w:sz="0" w:space="0" w:color="auto"/>
                <w:right w:val="none" w:sz="0" w:space="0" w:color="auto"/>
              </w:divBdr>
            </w:div>
            <w:div w:id="99493055">
              <w:marLeft w:val="0"/>
              <w:marRight w:val="0"/>
              <w:marTop w:val="0"/>
              <w:marBottom w:val="0"/>
              <w:divBdr>
                <w:top w:val="none" w:sz="0" w:space="0" w:color="auto"/>
                <w:left w:val="none" w:sz="0" w:space="0" w:color="auto"/>
                <w:bottom w:val="none" w:sz="0" w:space="0" w:color="auto"/>
                <w:right w:val="none" w:sz="0" w:space="0" w:color="auto"/>
              </w:divBdr>
            </w:div>
            <w:div w:id="129443860">
              <w:marLeft w:val="0"/>
              <w:marRight w:val="0"/>
              <w:marTop w:val="0"/>
              <w:marBottom w:val="0"/>
              <w:divBdr>
                <w:top w:val="none" w:sz="0" w:space="0" w:color="auto"/>
                <w:left w:val="none" w:sz="0" w:space="0" w:color="auto"/>
                <w:bottom w:val="none" w:sz="0" w:space="0" w:color="auto"/>
                <w:right w:val="none" w:sz="0" w:space="0" w:color="auto"/>
              </w:divBdr>
            </w:div>
            <w:div w:id="368529708">
              <w:marLeft w:val="0"/>
              <w:marRight w:val="0"/>
              <w:marTop w:val="0"/>
              <w:marBottom w:val="0"/>
              <w:divBdr>
                <w:top w:val="none" w:sz="0" w:space="0" w:color="auto"/>
                <w:left w:val="none" w:sz="0" w:space="0" w:color="auto"/>
                <w:bottom w:val="none" w:sz="0" w:space="0" w:color="auto"/>
                <w:right w:val="none" w:sz="0" w:space="0" w:color="auto"/>
              </w:divBdr>
            </w:div>
            <w:div w:id="812605922">
              <w:marLeft w:val="0"/>
              <w:marRight w:val="0"/>
              <w:marTop w:val="0"/>
              <w:marBottom w:val="0"/>
              <w:divBdr>
                <w:top w:val="none" w:sz="0" w:space="0" w:color="auto"/>
                <w:left w:val="none" w:sz="0" w:space="0" w:color="auto"/>
                <w:bottom w:val="none" w:sz="0" w:space="0" w:color="auto"/>
                <w:right w:val="none" w:sz="0" w:space="0" w:color="auto"/>
              </w:divBdr>
            </w:div>
            <w:div w:id="1017852363">
              <w:marLeft w:val="0"/>
              <w:marRight w:val="0"/>
              <w:marTop w:val="0"/>
              <w:marBottom w:val="0"/>
              <w:divBdr>
                <w:top w:val="none" w:sz="0" w:space="0" w:color="auto"/>
                <w:left w:val="none" w:sz="0" w:space="0" w:color="auto"/>
                <w:bottom w:val="none" w:sz="0" w:space="0" w:color="auto"/>
                <w:right w:val="none" w:sz="0" w:space="0" w:color="auto"/>
              </w:divBdr>
            </w:div>
            <w:div w:id="1110859588">
              <w:marLeft w:val="0"/>
              <w:marRight w:val="0"/>
              <w:marTop w:val="0"/>
              <w:marBottom w:val="0"/>
              <w:divBdr>
                <w:top w:val="none" w:sz="0" w:space="0" w:color="auto"/>
                <w:left w:val="none" w:sz="0" w:space="0" w:color="auto"/>
                <w:bottom w:val="none" w:sz="0" w:space="0" w:color="auto"/>
                <w:right w:val="none" w:sz="0" w:space="0" w:color="auto"/>
              </w:divBdr>
            </w:div>
            <w:div w:id="1141078269">
              <w:marLeft w:val="0"/>
              <w:marRight w:val="0"/>
              <w:marTop w:val="0"/>
              <w:marBottom w:val="0"/>
              <w:divBdr>
                <w:top w:val="none" w:sz="0" w:space="0" w:color="auto"/>
                <w:left w:val="none" w:sz="0" w:space="0" w:color="auto"/>
                <w:bottom w:val="none" w:sz="0" w:space="0" w:color="auto"/>
                <w:right w:val="none" w:sz="0" w:space="0" w:color="auto"/>
              </w:divBdr>
            </w:div>
            <w:div w:id="1231573851">
              <w:marLeft w:val="0"/>
              <w:marRight w:val="0"/>
              <w:marTop w:val="0"/>
              <w:marBottom w:val="0"/>
              <w:divBdr>
                <w:top w:val="none" w:sz="0" w:space="0" w:color="auto"/>
                <w:left w:val="none" w:sz="0" w:space="0" w:color="auto"/>
                <w:bottom w:val="none" w:sz="0" w:space="0" w:color="auto"/>
                <w:right w:val="none" w:sz="0" w:space="0" w:color="auto"/>
              </w:divBdr>
            </w:div>
            <w:div w:id="1402019485">
              <w:marLeft w:val="0"/>
              <w:marRight w:val="0"/>
              <w:marTop w:val="0"/>
              <w:marBottom w:val="0"/>
              <w:divBdr>
                <w:top w:val="none" w:sz="0" w:space="0" w:color="auto"/>
                <w:left w:val="none" w:sz="0" w:space="0" w:color="auto"/>
                <w:bottom w:val="none" w:sz="0" w:space="0" w:color="auto"/>
                <w:right w:val="none" w:sz="0" w:space="0" w:color="auto"/>
              </w:divBdr>
            </w:div>
            <w:div w:id="1521436088">
              <w:marLeft w:val="0"/>
              <w:marRight w:val="0"/>
              <w:marTop w:val="0"/>
              <w:marBottom w:val="0"/>
              <w:divBdr>
                <w:top w:val="none" w:sz="0" w:space="0" w:color="auto"/>
                <w:left w:val="none" w:sz="0" w:space="0" w:color="auto"/>
                <w:bottom w:val="none" w:sz="0" w:space="0" w:color="auto"/>
                <w:right w:val="none" w:sz="0" w:space="0" w:color="auto"/>
              </w:divBdr>
            </w:div>
            <w:div w:id="1589776859">
              <w:marLeft w:val="0"/>
              <w:marRight w:val="0"/>
              <w:marTop w:val="0"/>
              <w:marBottom w:val="0"/>
              <w:divBdr>
                <w:top w:val="none" w:sz="0" w:space="0" w:color="auto"/>
                <w:left w:val="none" w:sz="0" w:space="0" w:color="auto"/>
                <w:bottom w:val="none" w:sz="0" w:space="0" w:color="auto"/>
                <w:right w:val="none" w:sz="0" w:space="0" w:color="auto"/>
              </w:divBdr>
            </w:div>
            <w:div w:id="1733889996">
              <w:marLeft w:val="0"/>
              <w:marRight w:val="0"/>
              <w:marTop w:val="0"/>
              <w:marBottom w:val="0"/>
              <w:divBdr>
                <w:top w:val="none" w:sz="0" w:space="0" w:color="auto"/>
                <w:left w:val="none" w:sz="0" w:space="0" w:color="auto"/>
                <w:bottom w:val="none" w:sz="0" w:space="0" w:color="auto"/>
                <w:right w:val="none" w:sz="0" w:space="0" w:color="auto"/>
              </w:divBdr>
            </w:div>
            <w:div w:id="1734548668">
              <w:marLeft w:val="0"/>
              <w:marRight w:val="0"/>
              <w:marTop w:val="0"/>
              <w:marBottom w:val="0"/>
              <w:divBdr>
                <w:top w:val="none" w:sz="0" w:space="0" w:color="auto"/>
                <w:left w:val="none" w:sz="0" w:space="0" w:color="auto"/>
                <w:bottom w:val="none" w:sz="0" w:space="0" w:color="auto"/>
                <w:right w:val="none" w:sz="0" w:space="0" w:color="auto"/>
              </w:divBdr>
            </w:div>
            <w:div w:id="1735466663">
              <w:marLeft w:val="0"/>
              <w:marRight w:val="0"/>
              <w:marTop w:val="0"/>
              <w:marBottom w:val="0"/>
              <w:divBdr>
                <w:top w:val="none" w:sz="0" w:space="0" w:color="auto"/>
                <w:left w:val="none" w:sz="0" w:space="0" w:color="auto"/>
                <w:bottom w:val="none" w:sz="0" w:space="0" w:color="auto"/>
                <w:right w:val="none" w:sz="0" w:space="0" w:color="auto"/>
              </w:divBdr>
            </w:div>
            <w:div w:id="1853106225">
              <w:marLeft w:val="0"/>
              <w:marRight w:val="0"/>
              <w:marTop w:val="0"/>
              <w:marBottom w:val="0"/>
              <w:divBdr>
                <w:top w:val="none" w:sz="0" w:space="0" w:color="auto"/>
                <w:left w:val="none" w:sz="0" w:space="0" w:color="auto"/>
                <w:bottom w:val="none" w:sz="0" w:space="0" w:color="auto"/>
                <w:right w:val="none" w:sz="0" w:space="0" w:color="auto"/>
              </w:divBdr>
            </w:div>
            <w:div w:id="2017266444">
              <w:marLeft w:val="0"/>
              <w:marRight w:val="0"/>
              <w:marTop w:val="0"/>
              <w:marBottom w:val="0"/>
              <w:divBdr>
                <w:top w:val="none" w:sz="0" w:space="0" w:color="auto"/>
                <w:left w:val="none" w:sz="0" w:space="0" w:color="auto"/>
                <w:bottom w:val="none" w:sz="0" w:space="0" w:color="auto"/>
                <w:right w:val="none" w:sz="0" w:space="0" w:color="auto"/>
              </w:divBdr>
            </w:div>
            <w:div w:id="2035037930">
              <w:marLeft w:val="0"/>
              <w:marRight w:val="0"/>
              <w:marTop w:val="0"/>
              <w:marBottom w:val="0"/>
              <w:divBdr>
                <w:top w:val="none" w:sz="0" w:space="0" w:color="auto"/>
                <w:left w:val="none" w:sz="0" w:space="0" w:color="auto"/>
                <w:bottom w:val="none" w:sz="0" w:space="0" w:color="auto"/>
                <w:right w:val="none" w:sz="0" w:space="0" w:color="auto"/>
              </w:divBdr>
            </w:div>
            <w:div w:id="2063600727">
              <w:marLeft w:val="0"/>
              <w:marRight w:val="0"/>
              <w:marTop w:val="0"/>
              <w:marBottom w:val="0"/>
              <w:divBdr>
                <w:top w:val="none" w:sz="0" w:space="0" w:color="auto"/>
                <w:left w:val="none" w:sz="0" w:space="0" w:color="auto"/>
                <w:bottom w:val="none" w:sz="0" w:space="0" w:color="auto"/>
                <w:right w:val="none" w:sz="0" w:space="0" w:color="auto"/>
              </w:divBdr>
            </w:div>
            <w:div w:id="2129472430">
              <w:marLeft w:val="0"/>
              <w:marRight w:val="0"/>
              <w:marTop w:val="0"/>
              <w:marBottom w:val="0"/>
              <w:divBdr>
                <w:top w:val="none" w:sz="0" w:space="0" w:color="auto"/>
                <w:left w:val="none" w:sz="0" w:space="0" w:color="auto"/>
                <w:bottom w:val="none" w:sz="0" w:space="0" w:color="auto"/>
                <w:right w:val="none" w:sz="0" w:space="0" w:color="auto"/>
              </w:divBdr>
            </w:div>
          </w:divsChild>
        </w:div>
        <w:div w:id="1138304893">
          <w:marLeft w:val="0"/>
          <w:marRight w:val="0"/>
          <w:marTop w:val="0"/>
          <w:marBottom w:val="0"/>
          <w:divBdr>
            <w:top w:val="none" w:sz="0" w:space="0" w:color="auto"/>
            <w:left w:val="none" w:sz="0" w:space="0" w:color="auto"/>
            <w:bottom w:val="none" w:sz="0" w:space="0" w:color="auto"/>
            <w:right w:val="none" w:sz="0" w:space="0" w:color="auto"/>
          </w:divBdr>
        </w:div>
        <w:div w:id="1147237329">
          <w:marLeft w:val="0"/>
          <w:marRight w:val="0"/>
          <w:marTop w:val="0"/>
          <w:marBottom w:val="0"/>
          <w:divBdr>
            <w:top w:val="none" w:sz="0" w:space="0" w:color="auto"/>
            <w:left w:val="none" w:sz="0" w:space="0" w:color="auto"/>
            <w:bottom w:val="none" w:sz="0" w:space="0" w:color="auto"/>
            <w:right w:val="none" w:sz="0" w:space="0" w:color="auto"/>
          </w:divBdr>
        </w:div>
        <w:div w:id="1191575729">
          <w:marLeft w:val="0"/>
          <w:marRight w:val="0"/>
          <w:marTop w:val="0"/>
          <w:marBottom w:val="0"/>
          <w:divBdr>
            <w:top w:val="none" w:sz="0" w:space="0" w:color="auto"/>
            <w:left w:val="none" w:sz="0" w:space="0" w:color="auto"/>
            <w:bottom w:val="none" w:sz="0" w:space="0" w:color="auto"/>
            <w:right w:val="none" w:sz="0" w:space="0" w:color="auto"/>
          </w:divBdr>
          <w:divsChild>
            <w:div w:id="117645609">
              <w:marLeft w:val="0"/>
              <w:marRight w:val="0"/>
              <w:marTop w:val="0"/>
              <w:marBottom w:val="0"/>
              <w:divBdr>
                <w:top w:val="none" w:sz="0" w:space="0" w:color="auto"/>
                <w:left w:val="none" w:sz="0" w:space="0" w:color="auto"/>
                <w:bottom w:val="none" w:sz="0" w:space="0" w:color="auto"/>
                <w:right w:val="none" w:sz="0" w:space="0" w:color="auto"/>
              </w:divBdr>
            </w:div>
            <w:div w:id="339354345">
              <w:marLeft w:val="0"/>
              <w:marRight w:val="0"/>
              <w:marTop w:val="0"/>
              <w:marBottom w:val="0"/>
              <w:divBdr>
                <w:top w:val="none" w:sz="0" w:space="0" w:color="auto"/>
                <w:left w:val="none" w:sz="0" w:space="0" w:color="auto"/>
                <w:bottom w:val="none" w:sz="0" w:space="0" w:color="auto"/>
                <w:right w:val="none" w:sz="0" w:space="0" w:color="auto"/>
              </w:divBdr>
            </w:div>
            <w:div w:id="498547350">
              <w:marLeft w:val="0"/>
              <w:marRight w:val="0"/>
              <w:marTop w:val="0"/>
              <w:marBottom w:val="0"/>
              <w:divBdr>
                <w:top w:val="none" w:sz="0" w:space="0" w:color="auto"/>
                <w:left w:val="none" w:sz="0" w:space="0" w:color="auto"/>
                <w:bottom w:val="none" w:sz="0" w:space="0" w:color="auto"/>
                <w:right w:val="none" w:sz="0" w:space="0" w:color="auto"/>
              </w:divBdr>
            </w:div>
            <w:div w:id="766461078">
              <w:marLeft w:val="0"/>
              <w:marRight w:val="0"/>
              <w:marTop w:val="0"/>
              <w:marBottom w:val="0"/>
              <w:divBdr>
                <w:top w:val="none" w:sz="0" w:space="0" w:color="auto"/>
                <w:left w:val="none" w:sz="0" w:space="0" w:color="auto"/>
                <w:bottom w:val="none" w:sz="0" w:space="0" w:color="auto"/>
                <w:right w:val="none" w:sz="0" w:space="0" w:color="auto"/>
              </w:divBdr>
            </w:div>
            <w:div w:id="870266863">
              <w:marLeft w:val="0"/>
              <w:marRight w:val="0"/>
              <w:marTop w:val="0"/>
              <w:marBottom w:val="0"/>
              <w:divBdr>
                <w:top w:val="none" w:sz="0" w:space="0" w:color="auto"/>
                <w:left w:val="none" w:sz="0" w:space="0" w:color="auto"/>
                <w:bottom w:val="none" w:sz="0" w:space="0" w:color="auto"/>
                <w:right w:val="none" w:sz="0" w:space="0" w:color="auto"/>
              </w:divBdr>
            </w:div>
            <w:div w:id="922909344">
              <w:marLeft w:val="0"/>
              <w:marRight w:val="0"/>
              <w:marTop w:val="0"/>
              <w:marBottom w:val="0"/>
              <w:divBdr>
                <w:top w:val="none" w:sz="0" w:space="0" w:color="auto"/>
                <w:left w:val="none" w:sz="0" w:space="0" w:color="auto"/>
                <w:bottom w:val="none" w:sz="0" w:space="0" w:color="auto"/>
                <w:right w:val="none" w:sz="0" w:space="0" w:color="auto"/>
              </w:divBdr>
            </w:div>
            <w:div w:id="990253731">
              <w:marLeft w:val="0"/>
              <w:marRight w:val="0"/>
              <w:marTop w:val="0"/>
              <w:marBottom w:val="0"/>
              <w:divBdr>
                <w:top w:val="none" w:sz="0" w:space="0" w:color="auto"/>
                <w:left w:val="none" w:sz="0" w:space="0" w:color="auto"/>
                <w:bottom w:val="none" w:sz="0" w:space="0" w:color="auto"/>
                <w:right w:val="none" w:sz="0" w:space="0" w:color="auto"/>
              </w:divBdr>
            </w:div>
            <w:div w:id="1016150626">
              <w:marLeft w:val="0"/>
              <w:marRight w:val="0"/>
              <w:marTop w:val="0"/>
              <w:marBottom w:val="0"/>
              <w:divBdr>
                <w:top w:val="none" w:sz="0" w:space="0" w:color="auto"/>
                <w:left w:val="none" w:sz="0" w:space="0" w:color="auto"/>
                <w:bottom w:val="none" w:sz="0" w:space="0" w:color="auto"/>
                <w:right w:val="none" w:sz="0" w:space="0" w:color="auto"/>
              </w:divBdr>
            </w:div>
            <w:div w:id="1196113183">
              <w:marLeft w:val="0"/>
              <w:marRight w:val="0"/>
              <w:marTop w:val="0"/>
              <w:marBottom w:val="0"/>
              <w:divBdr>
                <w:top w:val="none" w:sz="0" w:space="0" w:color="auto"/>
                <w:left w:val="none" w:sz="0" w:space="0" w:color="auto"/>
                <w:bottom w:val="none" w:sz="0" w:space="0" w:color="auto"/>
                <w:right w:val="none" w:sz="0" w:space="0" w:color="auto"/>
              </w:divBdr>
            </w:div>
            <w:div w:id="1460683095">
              <w:marLeft w:val="0"/>
              <w:marRight w:val="0"/>
              <w:marTop w:val="0"/>
              <w:marBottom w:val="0"/>
              <w:divBdr>
                <w:top w:val="none" w:sz="0" w:space="0" w:color="auto"/>
                <w:left w:val="none" w:sz="0" w:space="0" w:color="auto"/>
                <w:bottom w:val="none" w:sz="0" w:space="0" w:color="auto"/>
                <w:right w:val="none" w:sz="0" w:space="0" w:color="auto"/>
              </w:divBdr>
            </w:div>
            <w:div w:id="1513716904">
              <w:marLeft w:val="0"/>
              <w:marRight w:val="0"/>
              <w:marTop w:val="0"/>
              <w:marBottom w:val="0"/>
              <w:divBdr>
                <w:top w:val="none" w:sz="0" w:space="0" w:color="auto"/>
                <w:left w:val="none" w:sz="0" w:space="0" w:color="auto"/>
                <w:bottom w:val="none" w:sz="0" w:space="0" w:color="auto"/>
                <w:right w:val="none" w:sz="0" w:space="0" w:color="auto"/>
              </w:divBdr>
            </w:div>
            <w:div w:id="1528253231">
              <w:marLeft w:val="0"/>
              <w:marRight w:val="0"/>
              <w:marTop w:val="0"/>
              <w:marBottom w:val="0"/>
              <w:divBdr>
                <w:top w:val="none" w:sz="0" w:space="0" w:color="auto"/>
                <w:left w:val="none" w:sz="0" w:space="0" w:color="auto"/>
                <w:bottom w:val="none" w:sz="0" w:space="0" w:color="auto"/>
                <w:right w:val="none" w:sz="0" w:space="0" w:color="auto"/>
              </w:divBdr>
            </w:div>
            <w:div w:id="1619028746">
              <w:marLeft w:val="0"/>
              <w:marRight w:val="0"/>
              <w:marTop w:val="0"/>
              <w:marBottom w:val="0"/>
              <w:divBdr>
                <w:top w:val="none" w:sz="0" w:space="0" w:color="auto"/>
                <w:left w:val="none" w:sz="0" w:space="0" w:color="auto"/>
                <w:bottom w:val="none" w:sz="0" w:space="0" w:color="auto"/>
                <w:right w:val="none" w:sz="0" w:space="0" w:color="auto"/>
              </w:divBdr>
            </w:div>
            <w:div w:id="1689680219">
              <w:marLeft w:val="0"/>
              <w:marRight w:val="0"/>
              <w:marTop w:val="0"/>
              <w:marBottom w:val="0"/>
              <w:divBdr>
                <w:top w:val="none" w:sz="0" w:space="0" w:color="auto"/>
                <w:left w:val="none" w:sz="0" w:space="0" w:color="auto"/>
                <w:bottom w:val="none" w:sz="0" w:space="0" w:color="auto"/>
                <w:right w:val="none" w:sz="0" w:space="0" w:color="auto"/>
              </w:divBdr>
            </w:div>
            <w:div w:id="1767916247">
              <w:marLeft w:val="0"/>
              <w:marRight w:val="0"/>
              <w:marTop w:val="0"/>
              <w:marBottom w:val="0"/>
              <w:divBdr>
                <w:top w:val="none" w:sz="0" w:space="0" w:color="auto"/>
                <w:left w:val="none" w:sz="0" w:space="0" w:color="auto"/>
                <w:bottom w:val="none" w:sz="0" w:space="0" w:color="auto"/>
                <w:right w:val="none" w:sz="0" w:space="0" w:color="auto"/>
              </w:divBdr>
            </w:div>
            <w:div w:id="1924876098">
              <w:marLeft w:val="0"/>
              <w:marRight w:val="0"/>
              <w:marTop w:val="0"/>
              <w:marBottom w:val="0"/>
              <w:divBdr>
                <w:top w:val="none" w:sz="0" w:space="0" w:color="auto"/>
                <w:left w:val="none" w:sz="0" w:space="0" w:color="auto"/>
                <w:bottom w:val="none" w:sz="0" w:space="0" w:color="auto"/>
                <w:right w:val="none" w:sz="0" w:space="0" w:color="auto"/>
              </w:divBdr>
            </w:div>
            <w:div w:id="1978410997">
              <w:marLeft w:val="0"/>
              <w:marRight w:val="0"/>
              <w:marTop w:val="0"/>
              <w:marBottom w:val="0"/>
              <w:divBdr>
                <w:top w:val="none" w:sz="0" w:space="0" w:color="auto"/>
                <w:left w:val="none" w:sz="0" w:space="0" w:color="auto"/>
                <w:bottom w:val="none" w:sz="0" w:space="0" w:color="auto"/>
                <w:right w:val="none" w:sz="0" w:space="0" w:color="auto"/>
              </w:divBdr>
            </w:div>
            <w:div w:id="2000310389">
              <w:marLeft w:val="0"/>
              <w:marRight w:val="0"/>
              <w:marTop w:val="0"/>
              <w:marBottom w:val="0"/>
              <w:divBdr>
                <w:top w:val="none" w:sz="0" w:space="0" w:color="auto"/>
                <w:left w:val="none" w:sz="0" w:space="0" w:color="auto"/>
                <w:bottom w:val="none" w:sz="0" w:space="0" w:color="auto"/>
                <w:right w:val="none" w:sz="0" w:space="0" w:color="auto"/>
              </w:divBdr>
            </w:div>
            <w:div w:id="2011133656">
              <w:marLeft w:val="0"/>
              <w:marRight w:val="0"/>
              <w:marTop w:val="0"/>
              <w:marBottom w:val="0"/>
              <w:divBdr>
                <w:top w:val="none" w:sz="0" w:space="0" w:color="auto"/>
                <w:left w:val="none" w:sz="0" w:space="0" w:color="auto"/>
                <w:bottom w:val="none" w:sz="0" w:space="0" w:color="auto"/>
                <w:right w:val="none" w:sz="0" w:space="0" w:color="auto"/>
              </w:divBdr>
            </w:div>
            <w:div w:id="2136558661">
              <w:marLeft w:val="0"/>
              <w:marRight w:val="0"/>
              <w:marTop w:val="0"/>
              <w:marBottom w:val="0"/>
              <w:divBdr>
                <w:top w:val="none" w:sz="0" w:space="0" w:color="auto"/>
                <w:left w:val="none" w:sz="0" w:space="0" w:color="auto"/>
                <w:bottom w:val="none" w:sz="0" w:space="0" w:color="auto"/>
                <w:right w:val="none" w:sz="0" w:space="0" w:color="auto"/>
              </w:divBdr>
            </w:div>
          </w:divsChild>
        </w:div>
        <w:div w:id="1199001872">
          <w:marLeft w:val="0"/>
          <w:marRight w:val="0"/>
          <w:marTop w:val="0"/>
          <w:marBottom w:val="0"/>
          <w:divBdr>
            <w:top w:val="none" w:sz="0" w:space="0" w:color="auto"/>
            <w:left w:val="none" w:sz="0" w:space="0" w:color="auto"/>
            <w:bottom w:val="none" w:sz="0" w:space="0" w:color="auto"/>
            <w:right w:val="none" w:sz="0" w:space="0" w:color="auto"/>
          </w:divBdr>
        </w:div>
        <w:div w:id="1223062246">
          <w:marLeft w:val="0"/>
          <w:marRight w:val="0"/>
          <w:marTop w:val="0"/>
          <w:marBottom w:val="0"/>
          <w:divBdr>
            <w:top w:val="none" w:sz="0" w:space="0" w:color="auto"/>
            <w:left w:val="none" w:sz="0" w:space="0" w:color="auto"/>
            <w:bottom w:val="none" w:sz="0" w:space="0" w:color="auto"/>
            <w:right w:val="none" w:sz="0" w:space="0" w:color="auto"/>
          </w:divBdr>
        </w:div>
        <w:div w:id="1224752354">
          <w:marLeft w:val="0"/>
          <w:marRight w:val="0"/>
          <w:marTop w:val="0"/>
          <w:marBottom w:val="0"/>
          <w:divBdr>
            <w:top w:val="none" w:sz="0" w:space="0" w:color="auto"/>
            <w:left w:val="none" w:sz="0" w:space="0" w:color="auto"/>
            <w:bottom w:val="none" w:sz="0" w:space="0" w:color="auto"/>
            <w:right w:val="none" w:sz="0" w:space="0" w:color="auto"/>
          </w:divBdr>
        </w:div>
        <w:div w:id="1235118706">
          <w:marLeft w:val="0"/>
          <w:marRight w:val="0"/>
          <w:marTop w:val="0"/>
          <w:marBottom w:val="0"/>
          <w:divBdr>
            <w:top w:val="none" w:sz="0" w:space="0" w:color="auto"/>
            <w:left w:val="none" w:sz="0" w:space="0" w:color="auto"/>
            <w:bottom w:val="none" w:sz="0" w:space="0" w:color="auto"/>
            <w:right w:val="none" w:sz="0" w:space="0" w:color="auto"/>
          </w:divBdr>
        </w:div>
        <w:div w:id="1242106485">
          <w:marLeft w:val="0"/>
          <w:marRight w:val="0"/>
          <w:marTop w:val="0"/>
          <w:marBottom w:val="0"/>
          <w:divBdr>
            <w:top w:val="none" w:sz="0" w:space="0" w:color="auto"/>
            <w:left w:val="none" w:sz="0" w:space="0" w:color="auto"/>
            <w:bottom w:val="none" w:sz="0" w:space="0" w:color="auto"/>
            <w:right w:val="none" w:sz="0" w:space="0" w:color="auto"/>
          </w:divBdr>
        </w:div>
        <w:div w:id="1265768139">
          <w:marLeft w:val="0"/>
          <w:marRight w:val="0"/>
          <w:marTop w:val="0"/>
          <w:marBottom w:val="0"/>
          <w:divBdr>
            <w:top w:val="none" w:sz="0" w:space="0" w:color="auto"/>
            <w:left w:val="none" w:sz="0" w:space="0" w:color="auto"/>
            <w:bottom w:val="none" w:sz="0" w:space="0" w:color="auto"/>
            <w:right w:val="none" w:sz="0" w:space="0" w:color="auto"/>
          </w:divBdr>
        </w:div>
        <w:div w:id="1270088417">
          <w:marLeft w:val="0"/>
          <w:marRight w:val="0"/>
          <w:marTop w:val="0"/>
          <w:marBottom w:val="0"/>
          <w:divBdr>
            <w:top w:val="none" w:sz="0" w:space="0" w:color="auto"/>
            <w:left w:val="none" w:sz="0" w:space="0" w:color="auto"/>
            <w:bottom w:val="none" w:sz="0" w:space="0" w:color="auto"/>
            <w:right w:val="none" w:sz="0" w:space="0" w:color="auto"/>
          </w:divBdr>
          <w:divsChild>
            <w:div w:id="106778503">
              <w:marLeft w:val="0"/>
              <w:marRight w:val="0"/>
              <w:marTop w:val="0"/>
              <w:marBottom w:val="0"/>
              <w:divBdr>
                <w:top w:val="none" w:sz="0" w:space="0" w:color="auto"/>
                <w:left w:val="none" w:sz="0" w:space="0" w:color="auto"/>
                <w:bottom w:val="none" w:sz="0" w:space="0" w:color="auto"/>
                <w:right w:val="none" w:sz="0" w:space="0" w:color="auto"/>
              </w:divBdr>
            </w:div>
            <w:div w:id="384526024">
              <w:marLeft w:val="0"/>
              <w:marRight w:val="0"/>
              <w:marTop w:val="0"/>
              <w:marBottom w:val="0"/>
              <w:divBdr>
                <w:top w:val="none" w:sz="0" w:space="0" w:color="auto"/>
                <w:left w:val="none" w:sz="0" w:space="0" w:color="auto"/>
                <w:bottom w:val="none" w:sz="0" w:space="0" w:color="auto"/>
                <w:right w:val="none" w:sz="0" w:space="0" w:color="auto"/>
              </w:divBdr>
            </w:div>
            <w:div w:id="443693112">
              <w:marLeft w:val="0"/>
              <w:marRight w:val="0"/>
              <w:marTop w:val="0"/>
              <w:marBottom w:val="0"/>
              <w:divBdr>
                <w:top w:val="none" w:sz="0" w:space="0" w:color="auto"/>
                <w:left w:val="none" w:sz="0" w:space="0" w:color="auto"/>
                <w:bottom w:val="none" w:sz="0" w:space="0" w:color="auto"/>
                <w:right w:val="none" w:sz="0" w:space="0" w:color="auto"/>
              </w:divBdr>
            </w:div>
            <w:div w:id="512185211">
              <w:marLeft w:val="0"/>
              <w:marRight w:val="0"/>
              <w:marTop w:val="0"/>
              <w:marBottom w:val="0"/>
              <w:divBdr>
                <w:top w:val="none" w:sz="0" w:space="0" w:color="auto"/>
                <w:left w:val="none" w:sz="0" w:space="0" w:color="auto"/>
                <w:bottom w:val="none" w:sz="0" w:space="0" w:color="auto"/>
                <w:right w:val="none" w:sz="0" w:space="0" w:color="auto"/>
              </w:divBdr>
            </w:div>
            <w:div w:id="581764363">
              <w:marLeft w:val="0"/>
              <w:marRight w:val="0"/>
              <w:marTop w:val="0"/>
              <w:marBottom w:val="0"/>
              <w:divBdr>
                <w:top w:val="none" w:sz="0" w:space="0" w:color="auto"/>
                <w:left w:val="none" w:sz="0" w:space="0" w:color="auto"/>
                <w:bottom w:val="none" w:sz="0" w:space="0" w:color="auto"/>
                <w:right w:val="none" w:sz="0" w:space="0" w:color="auto"/>
              </w:divBdr>
            </w:div>
            <w:div w:id="785271148">
              <w:marLeft w:val="0"/>
              <w:marRight w:val="0"/>
              <w:marTop w:val="0"/>
              <w:marBottom w:val="0"/>
              <w:divBdr>
                <w:top w:val="none" w:sz="0" w:space="0" w:color="auto"/>
                <w:left w:val="none" w:sz="0" w:space="0" w:color="auto"/>
                <w:bottom w:val="none" w:sz="0" w:space="0" w:color="auto"/>
                <w:right w:val="none" w:sz="0" w:space="0" w:color="auto"/>
              </w:divBdr>
            </w:div>
            <w:div w:id="794829885">
              <w:marLeft w:val="0"/>
              <w:marRight w:val="0"/>
              <w:marTop w:val="0"/>
              <w:marBottom w:val="0"/>
              <w:divBdr>
                <w:top w:val="none" w:sz="0" w:space="0" w:color="auto"/>
                <w:left w:val="none" w:sz="0" w:space="0" w:color="auto"/>
                <w:bottom w:val="none" w:sz="0" w:space="0" w:color="auto"/>
                <w:right w:val="none" w:sz="0" w:space="0" w:color="auto"/>
              </w:divBdr>
            </w:div>
            <w:div w:id="1112358735">
              <w:marLeft w:val="0"/>
              <w:marRight w:val="0"/>
              <w:marTop w:val="0"/>
              <w:marBottom w:val="0"/>
              <w:divBdr>
                <w:top w:val="none" w:sz="0" w:space="0" w:color="auto"/>
                <w:left w:val="none" w:sz="0" w:space="0" w:color="auto"/>
                <w:bottom w:val="none" w:sz="0" w:space="0" w:color="auto"/>
                <w:right w:val="none" w:sz="0" w:space="0" w:color="auto"/>
              </w:divBdr>
            </w:div>
            <w:div w:id="1134711344">
              <w:marLeft w:val="0"/>
              <w:marRight w:val="0"/>
              <w:marTop w:val="0"/>
              <w:marBottom w:val="0"/>
              <w:divBdr>
                <w:top w:val="none" w:sz="0" w:space="0" w:color="auto"/>
                <w:left w:val="none" w:sz="0" w:space="0" w:color="auto"/>
                <w:bottom w:val="none" w:sz="0" w:space="0" w:color="auto"/>
                <w:right w:val="none" w:sz="0" w:space="0" w:color="auto"/>
              </w:divBdr>
            </w:div>
            <w:div w:id="1168787498">
              <w:marLeft w:val="0"/>
              <w:marRight w:val="0"/>
              <w:marTop w:val="0"/>
              <w:marBottom w:val="0"/>
              <w:divBdr>
                <w:top w:val="none" w:sz="0" w:space="0" w:color="auto"/>
                <w:left w:val="none" w:sz="0" w:space="0" w:color="auto"/>
                <w:bottom w:val="none" w:sz="0" w:space="0" w:color="auto"/>
                <w:right w:val="none" w:sz="0" w:space="0" w:color="auto"/>
              </w:divBdr>
            </w:div>
            <w:div w:id="1180199968">
              <w:marLeft w:val="0"/>
              <w:marRight w:val="0"/>
              <w:marTop w:val="0"/>
              <w:marBottom w:val="0"/>
              <w:divBdr>
                <w:top w:val="none" w:sz="0" w:space="0" w:color="auto"/>
                <w:left w:val="none" w:sz="0" w:space="0" w:color="auto"/>
                <w:bottom w:val="none" w:sz="0" w:space="0" w:color="auto"/>
                <w:right w:val="none" w:sz="0" w:space="0" w:color="auto"/>
              </w:divBdr>
            </w:div>
            <w:div w:id="1195311478">
              <w:marLeft w:val="0"/>
              <w:marRight w:val="0"/>
              <w:marTop w:val="0"/>
              <w:marBottom w:val="0"/>
              <w:divBdr>
                <w:top w:val="none" w:sz="0" w:space="0" w:color="auto"/>
                <w:left w:val="none" w:sz="0" w:space="0" w:color="auto"/>
                <w:bottom w:val="none" w:sz="0" w:space="0" w:color="auto"/>
                <w:right w:val="none" w:sz="0" w:space="0" w:color="auto"/>
              </w:divBdr>
            </w:div>
            <w:div w:id="1195731698">
              <w:marLeft w:val="0"/>
              <w:marRight w:val="0"/>
              <w:marTop w:val="0"/>
              <w:marBottom w:val="0"/>
              <w:divBdr>
                <w:top w:val="none" w:sz="0" w:space="0" w:color="auto"/>
                <w:left w:val="none" w:sz="0" w:space="0" w:color="auto"/>
                <w:bottom w:val="none" w:sz="0" w:space="0" w:color="auto"/>
                <w:right w:val="none" w:sz="0" w:space="0" w:color="auto"/>
              </w:divBdr>
            </w:div>
            <w:div w:id="1239290754">
              <w:marLeft w:val="0"/>
              <w:marRight w:val="0"/>
              <w:marTop w:val="0"/>
              <w:marBottom w:val="0"/>
              <w:divBdr>
                <w:top w:val="none" w:sz="0" w:space="0" w:color="auto"/>
                <w:left w:val="none" w:sz="0" w:space="0" w:color="auto"/>
                <w:bottom w:val="none" w:sz="0" w:space="0" w:color="auto"/>
                <w:right w:val="none" w:sz="0" w:space="0" w:color="auto"/>
              </w:divBdr>
            </w:div>
            <w:div w:id="1263996197">
              <w:marLeft w:val="0"/>
              <w:marRight w:val="0"/>
              <w:marTop w:val="0"/>
              <w:marBottom w:val="0"/>
              <w:divBdr>
                <w:top w:val="none" w:sz="0" w:space="0" w:color="auto"/>
                <w:left w:val="none" w:sz="0" w:space="0" w:color="auto"/>
                <w:bottom w:val="none" w:sz="0" w:space="0" w:color="auto"/>
                <w:right w:val="none" w:sz="0" w:space="0" w:color="auto"/>
              </w:divBdr>
            </w:div>
            <w:div w:id="1478575027">
              <w:marLeft w:val="0"/>
              <w:marRight w:val="0"/>
              <w:marTop w:val="0"/>
              <w:marBottom w:val="0"/>
              <w:divBdr>
                <w:top w:val="none" w:sz="0" w:space="0" w:color="auto"/>
                <w:left w:val="none" w:sz="0" w:space="0" w:color="auto"/>
                <w:bottom w:val="none" w:sz="0" w:space="0" w:color="auto"/>
                <w:right w:val="none" w:sz="0" w:space="0" w:color="auto"/>
              </w:divBdr>
            </w:div>
            <w:div w:id="1557425151">
              <w:marLeft w:val="0"/>
              <w:marRight w:val="0"/>
              <w:marTop w:val="0"/>
              <w:marBottom w:val="0"/>
              <w:divBdr>
                <w:top w:val="none" w:sz="0" w:space="0" w:color="auto"/>
                <w:left w:val="none" w:sz="0" w:space="0" w:color="auto"/>
                <w:bottom w:val="none" w:sz="0" w:space="0" w:color="auto"/>
                <w:right w:val="none" w:sz="0" w:space="0" w:color="auto"/>
              </w:divBdr>
            </w:div>
            <w:div w:id="1658339509">
              <w:marLeft w:val="0"/>
              <w:marRight w:val="0"/>
              <w:marTop w:val="0"/>
              <w:marBottom w:val="0"/>
              <w:divBdr>
                <w:top w:val="none" w:sz="0" w:space="0" w:color="auto"/>
                <w:left w:val="none" w:sz="0" w:space="0" w:color="auto"/>
                <w:bottom w:val="none" w:sz="0" w:space="0" w:color="auto"/>
                <w:right w:val="none" w:sz="0" w:space="0" w:color="auto"/>
              </w:divBdr>
            </w:div>
            <w:div w:id="1675914282">
              <w:marLeft w:val="0"/>
              <w:marRight w:val="0"/>
              <w:marTop w:val="0"/>
              <w:marBottom w:val="0"/>
              <w:divBdr>
                <w:top w:val="none" w:sz="0" w:space="0" w:color="auto"/>
                <w:left w:val="none" w:sz="0" w:space="0" w:color="auto"/>
                <w:bottom w:val="none" w:sz="0" w:space="0" w:color="auto"/>
                <w:right w:val="none" w:sz="0" w:space="0" w:color="auto"/>
              </w:divBdr>
            </w:div>
            <w:div w:id="2038575350">
              <w:marLeft w:val="0"/>
              <w:marRight w:val="0"/>
              <w:marTop w:val="0"/>
              <w:marBottom w:val="0"/>
              <w:divBdr>
                <w:top w:val="none" w:sz="0" w:space="0" w:color="auto"/>
                <w:left w:val="none" w:sz="0" w:space="0" w:color="auto"/>
                <w:bottom w:val="none" w:sz="0" w:space="0" w:color="auto"/>
                <w:right w:val="none" w:sz="0" w:space="0" w:color="auto"/>
              </w:divBdr>
            </w:div>
          </w:divsChild>
        </w:div>
        <w:div w:id="1300765780">
          <w:marLeft w:val="0"/>
          <w:marRight w:val="0"/>
          <w:marTop w:val="0"/>
          <w:marBottom w:val="0"/>
          <w:divBdr>
            <w:top w:val="none" w:sz="0" w:space="0" w:color="auto"/>
            <w:left w:val="none" w:sz="0" w:space="0" w:color="auto"/>
            <w:bottom w:val="none" w:sz="0" w:space="0" w:color="auto"/>
            <w:right w:val="none" w:sz="0" w:space="0" w:color="auto"/>
          </w:divBdr>
        </w:div>
        <w:div w:id="1307205978">
          <w:marLeft w:val="0"/>
          <w:marRight w:val="0"/>
          <w:marTop w:val="0"/>
          <w:marBottom w:val="0"/>
          <w:divBdr>
            <w:top w:val="none" w:sz="0" w:space="0" w:color="auto"/>
            <w:left w:val="none" w:sz="0" w:space="0" w:color="auto"/>
            <w:bottom w:val="none" w:sz="0" w:space="0" w:color="auto"/>
            <w:right w:val="none" w:sz="0" w:space="0" w:color="auto"/>
          </w:divBdr>
        </w:div>
        <w:div w:id="1307659266">
          <w:marLeft w:val="0"/>
          <w:marRight w:val="0"/>
          <w:marTop w:val="0"/>
          <w:marBottom w:val="0"/>
          <w:divBdr>
            <w:top w:val="none" w:sz="0" w:space="0" w:color="auto"/>
            <w:left w:val="none" w:sz="0" w:space="0" w:color="auto"/>
            <w:bottom w:val="none" w:sz="0" w:space="0" w:color="auto"/>
            <w:right w:val="none" w:sz="0" w:space="0" w:color="auto"/>
          </w:divBdr>
        </w:div>
        <w:div w:id="1313024289">
          <w:marLeft w:val="0"/>
          <w:marRight w:val="0"/>
          <w:marTop w:val="0"/>
          <w:marBottom w:val="0"/>
          <w:divBdr>
            <w:top w:val="none" w:sz="0" w:space="0" w:color="auto"/>
            <w:left w:val="none" w:sz="0" w:space="0" w:color="auto"/>
            <w:bottom w:val="none" w:sz="0" w:space="0" w:color="auto"/>
            <w:right w:val="none" w:sz="0" w:space="0" w:color="auto"/>
          </w:divBdr>
        </w:div>
        <w:div w:id="1313412835">
          <w:marLeft w:val="0"/>
          <w:marRight w:val="0"/>
          <w:marTop w:val="0"/>
          <w:marBottom w:val="0"/>
          <w:divBdr>
            <w:top w:val="none" w:sz="0" w:space="0" w:color="auto"/>
            <w:left w:val="none" w:sz="0" w:space="0" w:color="auto"/>
            <w:bottom w:val="none" w:sz="0" w:space="0" w:color="auto"/>
            <w:right w:val="none" w:sz="0" w:space="0" w:color="auto"/>
          </w:divBdr>
          <w:divsChild>
            <w:div w:id="894585546">
              <w:marLeft w:val="-75"/>
              <w:marRight w:val="0"/>
              <w:marTop w:val="30"/>
              <w:marBottom w:val="30"/>
              <w:divBdr>
                <w:top w:val="none" w:sz="0" w:space="0" w:color="auto"/>
                <w:left w:val="none" w:sz="0" w:space="0" w:color="auto"/>
                <w:bottom w:val="none" w:sz="0" w:space="0" w:color="auto"/>
                <w:right w:val="none" w:sz="0" w:space="0" w:color="auto"/>
              </w:divBdr>
              <w:divsChild>
                <w:div w:id="5712000">
                  <w:marLeft w:val="0"/>
                  <w:marRight w:val="0"/>
                  <w:marTop w:val="0"/>
                  <w:marBottom w:val="0"/>
                  <w:divBdr>
                    <w:top w:val="none" w:sz="0" w:space="0" w:color="auto"/>
                    <w:left w:val="none" w:sz="0" w:space="0" w:color="auto"/>
                    <w:bottom w:val="none" w:sz="0" w:space="0" w:color="auto"/>
                    <w:right w:val="none" w:sz="0" w:space="0" w:color="auto"/>
                  </w:divBdr>
                  <w:divsChild>
                    <w:div w:id="1567957811">
                      <w:marLeft w:val="0"/>
                      <w:marRight w:val="0"/>
                      <w:marTop w:val="0"/>
                      <w:marBottom w:val="0"/>
                      <w:divBdr>
                        <w:top w:val="none" w:sz="0" w:space="0" w:color="auto"/>
                        <w:left w:val="none" w:sz="0" w:space="0" w:color="auto"/>
                        <w:bottom w:val="none" w:sz="0" w:space="0" w:color="auto"/>
                        <w:right w:val="none" w:sz="0" w:space="0" w:color="auto"/>
                      </w:divBdr>
                    </w:div>
                  </w:divsChild>
                </w:div>
                <w:div w:id="63720562">
                  <w:marLeft w:val="0"/>
                  <w:marRight w:val="0"/>
                  <w:marTop w:val="0"/>
                  <w:marBottom w:val="0"/>
                  <w:divBdr>
                    <w:top w:val="none" w:sz="0" w:space="0" w:color="auto"/>
                    <w:left w:val="none" w:sz="0" w:space="0" w:color="auto"/>
                    <w:bottom w:val="none" w:sz="0" w:space="0" w:color="auto"/>
                    <w:right w:val="none" w:sz="0" w:space="0" w:color="auto"/>
                  </w:divBdr>
                  <w:divsChild>
                    <w:div w:id="1666324255">
                      <w:marLeft w:val="0"/>
                      <w:marRight w:val="0"/>
                      <w:marTop w:val="0"/>
                      <w:marBottom w:val="0"/>
                      <w:divBdr>
                        <w:top w:val="none" w:sz="0" w:space="0" w:color="auto"/>
                        <w:left w:val="none" w:sz="0" w:space="0" w:color="auto"/>
                        <w:bottom w:val="none" w:sz="0" w:space="0" w:color="auto"/>
                        <w:right w:val="none" w:sz="0" w:space="0" w:color="auto"/>
                      </w:divBdr>
                    </w:div>
                  </w:divsChild>
                </w:div>
                <w:div w:id="109708793">
                  <w:marLeft w:val="0"/>
                  <w:marRight w:val="0"/>
                  <w:marTop w:val="0"/>
                  <w:marBottom w:val="0"/>
                  <w:divBdr>
                    <w:top w:val="none" w:sz="0" w:space="0" w:color="auto"/>
                    <w:left w:val="none" w:sz="0" w:space="0" w:color="auto"/>
                    <w:bottom w:val="none" w:sz="0" w:space="0" w:color="auto"/>
                    <w:right w:val="none" w:sz="0" w:space="0" w:color="auto"/>
                  </w:divBdr>
                  <w:divsChild>
                    <w:div w:id="1599828897">
                      <w:marLeft w:val="0"/>
                      <w:marRight w:val="0"/>
                      <w:marTop w:val="0"/>
                      <w:marBottom w:val="0"/>
                      <w:divBdr>
                        <w:top w:val="none" w:sz="0" w:space="0" w:color="auto"/>
                        <w:left w:val="none" w:sz="0" w:space="0" w:color="auto"/>
                        <w:bottom w:val="none" w:sz="0" w:space="0" w:color="auto"/>
                        <w:right w:val="none" w:sz="0" w:space="0" w:color="auto"/>
                      </w:divBdr>
                    </w:div>
                  </w:divsChild>
                </w:div>
                <w:div w:id="202138287">
                  <w:marLeft w:val="0"/>
                  <w:marRight w:val="0"/>
                  <w:marTop w:val="0"/>
                  <w:marBottom w:val="0"/>
                  <w:divBdr>
                    <w:top w:val="none" w:sz="0" w:space="0" w:color="auto"/>
                    <w:left w:val="none" w:sz="0" w:space="0" w:color="auto"/>
                    <w:bottom w:val="none" w:sz="0" w:space="0" w:color="auto"/>
                    <w:right w:val="none" w:sz="0" w:space="0" w:color="auto"/>
                  </w:divBdr>
                  <w:divsChild>
                    <w:div w:id="1089160561">
                      <w:marLeft w:val="0"/>
                      <w:marRight w:val="0"/>
                      <w:marTop w:val="0"/>
                      <w:marBottom w:val="0"/>
                      <w:divBdr>
                        <w:top w:val="none" w:sz="0" w:space="0" w:color="auto"/>
                        <w:left w:val="none" w:sz="0" w:space="0" w:color="auto"/>
                        <w:bottom w:val="none" w:sz="0" w:space="0" w:color="auto"/>
                        <w:right w:val="none" w:sz="0" w:space="0" w:color="auto"/>
                      </w:divBdr>
                    </w:div>
                  </w:divsChild>
                </w:div>
                <w:div w:id="206571071">
                  <w:marLeft w:val="0"/>
                  <w:marRight w:val="0"/>
                  <w:marTop w:val="0"/>
                  <w:marBottom w:val="0"/>
                  <w:divBdr>
                    <w:top w:val="none" w:sz="0" w:space="0" w:color="auto"/>
                    <w:left w:val="none" w:sz="0" w:space="0" w:color="auto"/>
                    <w:bottom w:val="none" w:sz="0" w:space="0" w:color="auto"/>
                    <w:right w:val="none" w:sz="0" w:space="0" w:color="auto"/>
                  </w:divBdr>
                  <w:divsChild>
                    <w:div w:id="16080966">
                      <w:marLeft w:val="0"/>
                      <w:marRight w:val="0"/>
                      <w:marTop w:val="0"/>
                      <w:marBottom w:val="0"/>
                      <w:divBdr>
                        <w:top w:val="none" w:sz="0" w:space="0" w:color="auto"/>
                        <w:left w:val="none" w:sz="0" w:space="0" w:color="auto"/>
                        <w:bottom w:val="none" w:sz="0" w:space="0" w:color="auto"/>
                        <w:right w:val="none" w:sz="0" w:space="0" w:color="auto"/>
                      </w:divBdr>
                    </w:div>
                  </w:divsChild>
                </w:div>
                <w:div w:id="220100292">
                  <w:marLeft w:val="0"/>
                  <w:marRight w:val="0"/>
                  <w:marTop w:val="0"/>
                  <w:marBottom w:val="0"/>
                  <w:divBdr>
                    <w:top w:val="none" w:sz="0" w:space="0" w:color="auto"/>
                    <w:left w:val="none" w:sz="0" w:space="0" w:color="auto"/>
                    <w:bottom w:val="none" w:sz="0" w:space="0" w:color="auto"/>
                    <w:right w:val="none" w:sz="0" w:space="0" w:color="auto"/>
                  </w:divBdr>
                  <w:divsChild>
                    <w:div w:id="197548856">
                      <w:marLeft w:val="0"/>
                      <w:marRight w:val="0"/>
                      <w:marTop w:val="0"/>
                      <w:marBottom w:val="0"/>
                      <w:divBdr>
                        <w:top w:val="none" w:sz="0" w:space="0" w:color="auto"/>
                        <w:left w:val="none" w:sz="0" w:space="0" w:color="auto"/>
                        <w:bottom w:val="none" w:sz="0" w:space="0" w:color="auto"/>
                        <w:right w:val="none" w:sz="0" w:space="0" w:color="auto"/>
                      </w:divBdr>
                    </w:div>
                  </w:divsChild>
                </w:div>
                <w:div w:id="229922642">
                  <w:marLeft w:val="0"/>
                  <w:marRight w:val="0"/>
                  <w:marTop w:val="0"/>
                  <w:marBottom w:val="0"/>
                  <w:divBdr>
                    <w:top w:val="none" w:sz="0" w:space="0" w:color="auto"/>
                    <w:left w:val="none" w:sz="0" w:space="0" w:color="auto"/>
                    <w:bottom w:val="none" w:sz="0" w:space="0" w:color="auto"/>
                    <w:right w:val="none" w:sz="0" w:space="0" w:color="auto"/>
                  </w:divBdr>
                  <w:divsChild>
                    <w:div w:id="1819686883">
                      <w:marLeft w:val="0"/>
                      <w:marRight w:val="0"/>
                      <w:marTop w:val="0"/>
                      <w:marBottom w:val="0"/>
                      <w:divBdr>
                        <w:top w:val="none" w:sz="0" w:space="0" w:color="auto"/>
                        <w:left w:val="none" w:sz="0" w:space="0" w:color="auto"/>
                        <w:bottom w:val="none" w:sz="0" w:space="0" w:color="auto"/>
                        <w:right w:val="none" w:sz="0" w:space="0" w:color="auto"/>
                      </w:divBdr>
                    </w:div>
                  </w:divsChild>
                </w:div>
                <w:div w:id="241137475">
                  <w:marLeft w:val="0"/>
                  <w:marRight w:val="0"/>
                  <w:marTop w:val="0"/>
                  <w:marBottom w:val="0"/>
                  <w:divBdr>
                    <w:top w:val="none" w:sz="0" w:space="0" w:color="auto"/>
                    <w:left w:val="none" w:sz="0" w:space="0" w:color="auto"/>
                    <w:bottom w:val="none" w:sz="0" w:space="0" w:color="auto"/>
                    <w:right w:val="none" w:sz="0" w:space="0" w:color="auto"/>
                  </w:divBdr>
                  <w:divsChild>
                    <w:div w:id="582026774">
                      <w:marLeft w:val="0"/>
                      <w:marRight w:val="0"/>
                      <w:marTop w:val="0"/>
                      <w:marBottom w:val="0"/>
                      <w:divBdr>
                        <w:top w:val="none" w:sz="0" w:space="0" w:color="auto"/>
                        <w:left w:val="none" w:sz="0" w:space="0" w:color="auto"/>
                        <w:bottom w:val="none" w:sz="0" w:space="0" w:color="auto"/>
                        <w:right w:val="none" w:sz="0" w:space="0" w:color="auto"/>
                      </w:divBdr>
                    </w:div>
                  </w:divsChild>
                </w:div>
                <w:div w:id="262298750">
                  <w:marLeft w:val="0"/>
                  <w:marRight w:val="0"/>
                  <w:marTop w:val="0"/>
                  <w:marBottom w:val="0"/>
                  <w:divBdr>
                    <w:top w:val="none" w:sz="0" w:space="0" w:color="auto"/>
                    <w:left w:val="none" w:sz="0" w:space="0" w:color="auto"/>
                    <w:bottom w:val="none" w:sz="0" w:space="0" w:color="auto"/>
                    <w:right w:val="none" w:sz="0" w:space="0" w:color="auto"/>
                  </w:divBdr>
                  <w:divsChild>
                    <w:div w:id="1880775300">
                      <w:marLeft w:val="0"/>
                      <w:marRight w:val="0"/>
                      <w:marTop w:val="0"/>
                      <w:marBottom w:val="0"/>
                      <w:divBdr>
                        <w:top w:val="none" w:sz="0" w:space="0" w:color="auto"/>
                        <w:left w:val="none" w:sz="0" w:space="0" w:color="auto"/>
                        <w:bottom w:val="none" w:sz="0" w:space="0" w:color="auto"/>
                        <w:right w:val="none" w:sz="0" w:space="0" w:color="auto"/>
                      </w:divBdr>
                    </w:div>
                  </w:divsChild>
                </w:div>
                <w:div w:id="290133944">
                  <w:marLeft w:val="0"/>
                  <w:marRight w:val="0"/>
                  <w:marTop w:val="0"/>
                  <w:marBottom w:val="0"/>
                  <w:divBdr>
                    <w:top w:val="none" w:sz="0" w:space="0" w:color="auto"/>
                    <w:left w:val="none" w:sz="0" w:space="0" w:color="auto"/>
                    <w:bottom w:val="none" w:sz="0" w:space="0" w:color="auto"/>
                    <w:right w:val="none" w:sz="0" w:space="0" w:color="auto"/>
                  </w:divBdr>
                  <w:divsChild>
                    <w:div w:id="1450780168">
                      <w:marLeft w:val="0"/>
                      <w:marRight w:val="0"/>
                      <w:marTop w:val="0"/>
                      <w:marBottom w:val="0"/>
                      <w:divBdr>
                        <w:top w:val="none" w:sz="0" w:space="0" w:color="auto"/>
                        <w:left w:val="none" w:sz="0" w:space="0" w:color="auto"/>
                        <w:bottom w:val="none" w:sz="0" w:space="0" w:color="auto"/>
                        <w:right w:val="none" w:sz="0" w:space="0" w:color="auto"/>
                      </w:divBdr>
                    </w:div>
                  </w:divsChild>
                </w:div>
                <w:div w:id="302542223">
                  <w:marLeft w:val="0"/>
                  <w:marRight w:val="0"/>
                  <w:marTop w:val="0"/>
                  <w:marBottom w:val="0"/>
                  <w:divBdr>
                    <w:top w:val="none" w:sz="0" w:space="0" w:color="auto"/>
                    <w:left w:val="none" w:sz="0" w:space="0" w:color="auto"/>
                    <w:bottom w:val="none" w:sz="0" w:space="0" w:color="auto"/>
                    <w:right w:val="none" w:sz="0" w:space="0" w:color="auto"/>
                  </w:divBdr>
                  <w:divsChild>
                    <w:div w:id="786237891">
                      <w:marLeft w:val="0"/>
                      <w:marRight w:val="0"/>
                      <w:marTop w:val="0"/>
                      <w:marBottom w:val="0"/>
                      <w:divBdr>
                        <w:top w:val="none" w:sz="0" w:space="0" w:color="auto"/>
                        <w:left w:val="none" w:sz="0" w:space="0" w:color="auto"/>
                        <w:bottom w:val="none" w:sz="0" w:space="0" w:color="auto"/>
                        <w:right w:val="none" w:sz="0" w:space="0" w:color="auto"/>
                      </w:divBdr>
                    </w:div>
                  </w:divsChild>
                </w:div>
                <w:div w:id="306054231">
                  <w:marLeft w:val="0"/>
                  <w:marRight w:val="0"/>
                  <w:marTop w:val="0"/>
                  <w:marBottom w:val="0"/>
                  <w:divBdr>
                    <w:top w:val="none" w:sz="0" w:space="0" w:color="auto"/>
                    <w:left w:val="none" w:sz="0" w:space="0" w:color="auto"/>
                    <w:bottom w:val="none" w:sz="0" w:space="0" w:color="auto"/>
                    <w:right w:val="none" w:sz="0" w:space="0" w:color="auto"/>
                  </w:divBdr>
                  <w:divsChild>
                    <w:div w:id="1108115389">
                      <w:marLeft w:val="0"/>
                      <w:marRight w:val="0"/>
                      <w:marTop w:val="0"/>
                      <w:marBottom w:val="0"/>
                      <w:divBdr>
                        <w:top w:val="none" w:sz="0" w:space="0" w:color="auto"/>
                        <w:left w:val="none" w:sz="0" w:space="0" w:color="auto"/>
                        <w:bottom w:val="none" w:sz="0" w:space="0" w:color="auto"/>
                        <w:right w:val="none" w:sz="0" w:space="0" w:color="auto"/>
                      </w:divBdr>
                    </w:div>
                  </w:divsChild>
                </w:div>
                <w:div w:id="313292507">
                  <w:marLeft w:val="0"/>
                  <w:marRight w:val="0"/>
                  <w:marTop w:val="0"/>
                  <w:marBottom w:val="0"/>
                  <w:divBdr>
                    <w:top w:val="none" w:sz="0" w:space="0" w:color="auto"/>
                    <w:left w:val="none" w:sz="0" w:space="0" w:color="auto"/>
                    <w:bottom w:val="none" w:sz="0" w:space="0" w:color="auto"/>
                    <w:right w:val="none" w:sz="0" w:space="0" w:color="auto"/>
                  </w:divBdr>
                  <w:divsChild>
                    <w:div w:id="2126729519">
                      <w:marLeft w:val="0"/>
                      <w:marRight w:val="0"/>
                      <w:marTop w:val="0"/>
                      <w:marBottom w:val="0"/>
                      <w:divBdr>
                        <w:top w:val="none" w:sz="0" w:space="0" w:color="auto"/>
                        <w:left w:val="none" w:sz="0" w:space="0" w:color="auto"/>
                        <w:bottom w:val="none" w:sz="0" w:space="0" w:color="auto"/>
                        <w:right w:val="none" w:sz="0" w:space="0" w:color="auto"/>
                      </w:divBdr>
                    </w:div>
                  </w:divsChild>
                </w:div>
                <w:div w:id="316417100">
                  <w:marLeft w:val="0"/>
                  <w:marRight w:val="0"/>
                  <w:marTop w:val="0"/>
                  <w:marBottom w:val="0"/>
                  <w:divBdr>
                    <w:top w:val="none" w:sz="0" w:space="0" w:color="auto"/>
                    <w:left w:val="none" w:sz="0" w:space="0" w:color="auto"/>
                    <w:bottom w:val="none" w:sz="0" w:space="0" w:color="auto"/>
                    <w:right w:val="none" w:sz="0" w:space="0" w:color="auto"/>
                  </w:divBdr>
                  <w:divsChild>
                    <w:div w:id="631136447">
                      <w:marLeft w:val="0"/>
                      <w:marRight w:val="0"/>
                      <w:marTop w:val="0"/>
                      <w:marBottom w:val="0"/>
                      <w:divBdr>
                        <w:top w:val="none" w:sz="0" w:space="0" w:color="auto"/>
                        <w:left w:val="none" w:sz="0" w:space="0" w:color="auto"/>
                        <w:bottom w:val="none" w:sz="0" w:space="0" w:color="auto"/>
                        <w:right w:val="none" w:sz="0" w:space="0" w:color="auto"/>
                      </w:divBdr>
                    </w:div>
                  </w:divsChild>
                </w:div>
                <w:div w:id="319774443">
                  <w:marLeft w:val="0"/>
                  <w:marRight w:val="0"/>
                  <w:marTop w:val="0"/>
                  <w:marBottom w:val="0"/>
                  <w:divBdr>
                    <w:top w:val="none" w:sz="0" w:space="0" w:color="auto"/>
                    <w:left w:val="none" w:sz="0" w:space="0" w:color="auto"/>
                    <w:bottom w:val="none" w:sz="0" w:space="0" w:color="auto"/>
                    <w:right w:val="none" w:sz="0" w:space="0" w:color="auto"/>
                  </w:divBdr>
                  <w:divsChild>
                    <w:div w:id="2109691754">
                      <w:marLeft w:val="0"/>
                      <w:marRight w:val="0"/>
                      <w:marTop w:val="0"/>
                      <w:marBottom w:val="0"/>
                      <w:divBdr>
                        <w:top w:val="none" w:sz="0" w:space="0" w:color="auto"/>
                        <w:left w:val="none" w:sz="0" w:space="0" w:color="auto"/>
                        <w:bottom w:val="none" w:sz="0" w:space="0" w:color="auto"/>
                        <w:right w:val="none" w:sz="0" w:space="0" w:color="auto"/>
                      </w:divBdr>
                    </w:div>
                  </w:divsChild>
                </w:div>
                <w:div w:id="334191786">
                  <w:marLeft w:val="0"/>
                  <w:marRight w:val="0"/>
                  <w:marTop w:val="0"/>
                  <w:marBottom w:val="0"/>
                  <w:divBdr>
                    <w:top w:val="none" w:sz="0" w:space="0" w:color="auto"/>
                    <w:left w:val="none" w:sz="0" w:space="0" w:color="auto"/>
                    <w:bottom w:val="none" w:sz="0" w:space="0" w:color="auto"/>
                    <w:right w:val="none" w:sz="0" w:space="0" w:color="auto"/>
                  </w:divBdr>
                  <w:divsChild>
                    <w:div w:id="137109206">
                      <w:marLeft w:val="0"/>
                      <w:marRight w:val="0"/>
                      <w:marTop w:val="0"/>
                      <w:marBottom w:val="0"/>
                      <w:divBdr>
                        <w:top w:val="none" w:sz="0" w:space="0" w:color="auto"/>
                        <w:left w:val="none" w:sz="0" w:space="0" w:color="auto"/>
                        <w:bottom w:val="none" w:sz="0" w:space="0" w:color="auto"/>
                        <w:right w:val="none" w:sz="0" w:space="0" w:color="auto"/>
                      </w:divBdr>
                    </w:div>
                  </w:divsChild>
                </w:div>
                <w:div w:id="396628242">
                  <w:marLeft w:val="0"/>
                  <w:marRight w:val="0"/>
                  <w:marTop w:val="0"/>
                  <w:marBottom w:val="0"/>
                  <w:divBdr>
                    <w:top w:val="none" w:sz="0" w:space="0" w:color="auto"/>
                    <w:left w:val="none" w:sz="0" w:space="0" w:color="auto"/>
                    <w:bottom w:val="none" w:sz="0" w:space="0" w:color="auto"/>
                    <w:right w:val="none" w:sz="0" w:space="0" w:color="auto"/>
                  </w:divBdr>
                  <w:divsChild>
                    <w:div w:id="2101639741">
                      <w:marLeft w:val="0"/>
                      <w:marRight w:val="0"/>
                      <w:marTop w:val="0"/>
                      <w:marBottom w:val="0"/>
                      <w:divBdr>
                        <w:top w:val="none" w:sz="0" w:space="0" w:color="auto"/>
                        <w:left w:val="none" w:sz="0" w:space="0" w:color="auto"/>
                        <w:bottom w:val="none" w:sz="0" w:space="0" w:color="auto"/>
                        <w:right w:val="none" w:sz="0" w:space="0" w:color="auto"/>
                      </w:divBdr>
                    </w:div>
                  </w:divsChild>
                </w:div>
                <w:div w:id="401292763">
                  <w:marLeft w:val="0"/>
                  <w:marRight w:val="0"/>
                  <w:marTop w:val="0"/>
                  <w:marBottom w:val="0"/>
                  <w:divBdr>
                    <w:top w:val="none" w:sz="0" w:space="0" w:color="auto"/>
                    <w:left w:val="none" w:sz="0" w:space="0" w:color="auto"/>
                    <w:bottom w:val="none" w:sz="0" w:space="0" w:color="auto"/>
                    <w:right w:val="none" w:sz="0" w:space="0" w:color="auto"/>
                  </w:divBdr>
                  <w:divsChild>
                    <w:div w:id="1457017959">
                      <w:marLeft w:val="0"/>
                      <w:marRight w:val="0"/>
                      <w:marTop w:val="0"/>
                      <w:marBottom w:val="0"/>
                      <w:divBdr>
                        <w:top w:val="none" w:sz="0" w:space="0" w:color="auto"/>
                        <w:left w:val="none" w:sz="0" w:space="0" w:color="auto"/>
                        <w:bottom w:val="none" w:sz="0" w:space="0" w:color="auto"/>
                        <w:right w:val="none" w:sz="0" w:space="0" w:color="auto"/>
                      </w:divBdr>
                    </w:div>
                  </w:divsChild>
                </w:div>
                <w:div w:id="405885834">
                  <w:marLeft w:val="0"/>
                  <w:marRight w:val="0"/>
                  <w:marTop w:val="0"/>
                  <w:marBottom w:val="0"/>
                  <w:divBdr>
                    <w:top w:val="none" w:sz="0" w:space="0" w:color="auto"/>
                    <w:left w:val="none" w:sz="0" w:space="0" w:color="auto"/>
                    <w:bottom w:val="none" w:sz="0" w:space="0" w:color="auto"/>
                    <w:right w:val="none" w:sz="0" w:space="0" w:color="auto"/>
                  </w:divBdr>
                  <w:divsChild>
                    <w:div w:id="557280871">
                      <w:marLeft w:val="0"/>
                      <w:marRight w:val="0"/>
                      <w:marTop w:val="0"/>
                      <w:marBottom w:val="0"/>
                      <w:divBdr>
                        <w:top w:val="none" w:sz="0" w:space="0" w:color="auto"/>
                        <w:left w:val="none" w:sz="0" w:space="0" w:color="auto"/>
                        <w:bottom w:val="none" w:sz="0" w:space="0" w:color="auto"/>
                        <w:right w:val="none" w:sz="0" w:space="0" w:color="auto"/>
                      </w:divBdr>
                    </w:div>
                  </w:divsChild>
                </w:div>
                <w:div w:id="420221683">
                  <w:marLeft w:val="0"/>
                  <w:marRight w:val="0"/>
                  <w:marTop w:val="0"/>
                  <w:marBottom w:val="0"/>
                  <w:divBdr>
                    <w:top w:val="none" w:sz="0" w:space="0" w:color="auto"/>
                    <w:left w:val="none" w:sz="0" w:space="0" w:color="auto"/>
                    <w:bottom w:val="none" w:sz="0" w:space="0" w:color="auto"/>
                    <w:right w:val="none" w:sz="0" w:space="0" w:color="auto"/>
                  </w:divBdr>
                  <w:divsChild>
                    <w:div w:id="1583175747">
                      <w:marLeft w:val="0"/>
                      <w:marRight w:val="0"/>
                      <w:marTop w:val="0"/>
                      <w:marBottom w:val="0"/>
                      <w:divBdr>
                        <w:top w:val="none" w:sz="0" w:space="0" w:color="auto"/>
                        <w:left w:val="none" w:sz="0" w:space="0" w:color="auto"/>
                        <w:bottom w:val="none" w:sz="0" w:space="0" w:color="auto"/>
                        <w:right w:val="none" w:sz="0" w:space="0" w:color="auto"/>
                      </w:divBdr>
                    </w:div>
                  </w:divsChild>
                </w:div>
                <w:div w:id="427697267">
                  <w:marLeft w:val="0"/>
                  <w:marRight w:val="0"/>
                  <w:marTop w:val="0"/>
                  <w:marBottom w:val="0"/>
                  <w:divBdr>
                    <w:top w:val="none" w:sz="0" w:space="0" w:color="auto"/>
                    <w:left w:val="none" w:sz="0" w:space="0" w:color="auto"/>
                    <w:bottom w:val="none" w:sz="0" w:space="0" w:color="auto"/>
                    <w:right w:val="none" w:sz="0" w:space="0" w:color="auto"/>
                  </w:divBdr>
                  <w:divsChild>
                    <w:div w:id="588275582">
                      <w:marLeft w:val="0"/>
                      <w:marRight w:val="0"/>
                      <w:marTop w:val="0"/>
                      <w:marBottom w:val="0"/>
                      <w:divBdr>
                        <w:top w:val="none" w:sz="0" w:space="0" w:color="auto"/>
                        <w:left w:val="none" w:sz="0" w:space="0" w:color="auto"/>
                        <w:bottom w:val="none" w:sz="0" w:space="0" w:color="auto"/>
                        <w:right w:val="none" w:sz="0" w:space="0" w:color="auto"/>
                      </w:divBdr>
                    </w:div>
                  </w:divsChild>
                </w:div>
                <w:div w:id="429745163">
                  <w:marLeft w:val="0"/>
                  <w:marRight w:val="0"/>
                  <w:marTop w:val="0"/>
                  <w:marBottom w:val="0"/>
                  <w:divBdr>
                    <w:top w:val="none" w:sz="0" w:space="0" w:color="auto"/>
                    <w:left w:val="none" w:sz="0" w:space="0" w:color="auto"/>
                    <w:bottom w:val="none" w:sz="0" w:space="0" w:color="auto"/>
                    <w:right w:val="none" w:sz="0" w:space="0" w:color="auto"/>
                  </w:divBdr>
                  <w:divsChild>
                    <w:div w:id="547303511">
                      <w:marLeft w:val="0"/>
                      <w:marRight w:val="0"/>
                      <w:marTop w:val="0"/>
                      <w:marBottom w:val="0"/>
                      <w:divBdr>
                        <w:top w:val="none" w:sz="0" w:space="0" w:color="auto"/>
                        <w:left w:val="none" w:sz="0" w:space="0" w:color="auto"/>
                        <w:bottom w:val="none" w:sz="0" w:space="0" w:color="auto"/>
                        <w:right w:val="none" w:sz="0" w:space="0" w:color="auto"/>
                      </w:divBdr>
                    </w:div>
                  </w:divsChild>
                </w:div>
                <w:div w:id="437481682">
                  <w:marLeft w:val="0"/>
                  <w:marRight w:val="0"/>
                  <w:marTop w:val="0"/>
                  <w:marBottom w:val="0"/>
                  <w:divBdr>
                    <w:top w:val="none" w:sz="0" w:space="0" w:color="auto"/>
                    <w:left w:val="none" w:sz="0" w:space="0" w:color="auto"/>
                    <w:bottom w:val="none" w:sz="0" w:space="0" w:color="auto"/>
                    <w:right w:val="none" w:sz="0" w:space="0" w:color="auto"/>
                  </w:divBdr>
                  <w:divsChild>
                    <w:div w:id="1929802691">
                      <w:marLeft w:val="0"/>
                      <w:marRight w:val="0"/>
                      <w:marTop w:val="0"/>
                      <w:marBottom w:val="0"/>
                      <w:divBdr>
                        <w:top w:val="none" w:sz="0" w:space="0" w:color="auto"/>
                        <w:left w:val="none" w:sz="0" w:space="0" w:color="auto"/>
                        <w:bottom w:val="none" w:sz="0" w:space="0" w:color="auto"/>
                        <w:right w:val="none" w:sz="0" w:space="0" w:color="auto"/>
                      </w:divBdr>
                    </w:div>
                  </w:divsChild>
                </w:div>
                <w:div w:id="460541840">
                  <w:marLeft w:val="0"/>
                  <w:marRight w:val="0"/>
                  <w:marTop w:val="0"/>
                  <w:marBottom w:val="0"/>
                  <w:divBdr>
                    <w:top w:val="none" w:sz="0" w:space="0" w:color="auto"/>
                    <w:left w:val="none" w:sz="0" w:space="0" w:color="auto"/>
                    <w:bottom w:val="none" w:sz="0" w:space="0" w:color="auto"/>
                    <w:right w:val="none" w:sz="0" w:space="0" w:color="auto"/>
                  </w:divBdr>
                  <w:divsChild>
                    <w:div w:id="1999767093">
                      <w:marLeft w:val="0"/>
                      <w:marRight w:val="0"/>
                      <w:marTop w:val="0"/>
                      <w:marBottom w:val="0"/>
                      <w:divBdr>
                        <w:top w:val="none" w:sz="0" w:space="0" w:color="auto"/>
                        <w:left w:val="none" w:sz="0" w:space="0" w:color="auto"/>
                        <w:bottom w:val="none" w:sz="0" w:space="0" w:color="auto"/>
                        <w:right w:val="none" w:sz="0" w:space="0" w:color="auto"/>
                      </w:divBdr>
                    </w:div>
                  </w:divsChild>
                </w:div>
                <w:div w:id="480733920">
                  <w:marLeft w:val="0"/>
                  <w:marRight w:val="0"/>
                  <w:marTop w:val="0"/>
                  <w:marBottom w:val="0"/>
                  <w:divBdr>
                    <w:top w:val="none" w:sz="0" w:space="0" w:color="auto"/>
                    <w:left w:val="none" w:sz="0" w:space="0" w:color="auto"/>
                    <w:bottom w:val="none" w:sz="0" w:space="0" w:color="auto"/>
                    <w:right w:val="none" w:sz="0" w:space="0" w:color="auto"/>
                  </w:divBdr>
                  <w:divsChild>
                    <w:div w:id="316149361">
                      <w:marLeft w:val="0"/>
                      <w:marRight w:val="0"/>
                      <w:marTop w:val="0"/>
                      <w:marBottom w:val="0"/>
                      <w:divBdr>
                        <w:top w:val="none" w:sz="0" w:space="0" w:color="auto"/>
                        <w:left w:val="none" w:sz="0" w:space="0" w:color="auto"/>
                        <w:bottom w:val="none" w:sz="0" w:space="0" w:color="auto"/>
                        <w:right w:val="none" w:sz="0" w:space="0" w:color="auto"/>
                      </w:divBdr>
                    </w:div>
                  </w:divsChild>
                </w:div>
                <w:div w:id="488205460">
                  <w:marLeft w:val="0"/>
                  <w:marRight w:val="0"/>
                  <w:marTop w:val="0"/>
                  <w:marBottom w:val="0"/>
                  <w:divBdr>
                    <w:top w:val="none" w:sz="0" w:space="0" w:color="auto"/>
                    <w:left w:val="none" w:sz="0" w:space="0" w:color="auto"/>
                    <w:bottom w:val="none" w:sz="0" w:space="0" w:color="auto"/>
                    <w:right w:val="none" w:sz="0" w:space="0" w:color="auto"/>
                  </w:divBdr>
                  <w:divsChild>
                    <w:div w:id="643655848">
                      <w:marLeft w:val="0"/>
                      <w:marRight w:val="0"/>
                      <w:marTop w:val="0"/>
                      <w:marBottom w:val="0"/>
                      <w:divBdr>
                        <w:top w:val="none" w:sz="0" w:space="0" w:color="auto"/>
                        <w:left w:val="none" w:sz="0" w:space="0" w:color="auto"/>
                        <w:bottom w:val="none" w:sz="0" w:space="0" w:color="auto"/>
                        <w:right w:val="none" w:sz="0" w:space="0" w:color="auto"/>
                      </w:divBdr>
                    </w:div>
                  </w:divsChild>
                </w:div>
                <w:div w:id="509300858">
                  <w:marLeft w:val="0"/>
                  <w:marRight w:val="0"/>
                  <w:marTop w:val="0"/>
                  <w:marBottom w:val="0"/>
                  <w:divBdr>
                    <w:top w:val="none" w:sz="0" w:space="0" w:color="auto"/>
                    <w:left w:val="none" w:sz="0" w:space="0" w:color="auto"/>
                    <w:bottom w:val="none" w:sz="0" w:space="0" w:color="auto"/>
                    <w:right w:val="none" w:sz="0" w:space="0" w:color="auto"/>
                  </w:divBdr>
                  <w:divsChild>
                    <w:div w:id="1136604328">
                      <w:marLeft w:val="0"/>
                      <w:marRight w:val="0"/>
                      <w:marTop w:val="0"/>
                      <w:marBottom w:val="0"/>
                      <w:divBdr>
                        <w:top w:val="none" w:sz="0" w:space="0" w:color="auto"/>
                        <w:left w:val="none" w:sz="0" w:space="0" w:color="auto"/>
                        <w:bottom w:val="none" w:sz="0" w:space="0" w:color="auto"/>
                        <w:right w:val="none" w:sz="0" w:space="0" w:color="auto"/>
                      </w:divBdr>
                    </w:div>
                  </w:divsChild>
                </w:div>
                <w:div w:id="554001607">
                  <w:marLeft w:val="0"/>
                  <w:marRight w:val="0"/>
                  <w:marTop w:val="0"/>
                  <w:marBottom w:val="0"/>
                  <w:divBdr>
                    <w:top w:val="none" w:sz="0" w:space="0" w:color="auto"/>
                    <w:left w:val="none" w:sz="0" w:space="0" w:color="auto"/>
                    <w:bottom w:val="none" w:sz="0" w:space="0" w:color="auto"/>
                    <w:right w:val="none" w:sz="0" w:space="0" w:color="auto"/>
                  </w:divBdr>
                  <w:divsChild>
                    <w:div w:id="385571627">
                      <w:marLeft w:val="0"/>
                      <w:marRight w:val="0"/>
                      <w:marTop w:val="0"/>
                      <w:marBottom w:val="0"/>
                      <w:divBdr>
                        <w:top w:val="none" w:sz="0" w:space="0" w:color="auto"/>
                        <w:left w:val="none" w:sz="0" w:space="0" w:color="auto"/>
                        <w:bottom w:val="none" w:sz="0" w:space="0" w:color="auto"/>
                        <w:right w:val="none" w:sz="0" w:space="0" w:color="auto"/>
                      </w:divBdr>
                    </w:div>
                  </w:divsChild>
                </w:div>
                <w:div w:id="557979871">
                  <w:marLeft w:val="0"/>
                  <w:marRight w:val="0"/>
                  <w:marTop w:val="0"/>
                  <w:marBottom w:val="0"/>
                  <w:divBdr>
                    <w:top w:val="none" w:sz="0" w:space="0" w:color="auto"/>
                    <w:left w:val="none" w:sz="0" w:space="0" w:color="auto"/>
                    <w:bottom w:val="none" w:sz="0" w:space="0" w:color="auto"/>
                    <w:right w:val="none" w:sz="0" w:space="0" w:color="auto"/>
                  </w:divBdr>
                  <w:divsChild>
                    <w:div w:id="306209533">
                      <w:marLeft w:val="0"/>
                      <w:marRight w:val="0"/>
                      <w:marTop w:val="0"/>
                      <w:marBottom w:val="0"/>
                      <w:divBdr>
                        <w:top w:val="none" w:sz="0" w:space="0" w:color="auto"/>
                        <w:left w:val="none" w:sz="0" w:space="0" w:color="auto"/>
                        <w:bottom w:val="none" w:sz="0" w:space="0" w:color="auto"/>
                        <w:right w:val="none" w:sz="0" w:space="0" w:color="auto"/>
                      </w:divBdr>
                    </w:div>
                  </w:divsChild>
                </w:div>
                <w:div w:id="572348966">
                  <w:marLeft w:val="0"/>
                  <w:marRight w:val="0"/>
                  <w:marTop w:val="0"/>
                  <w:marBottom w:val="0"/>
                  <w:divBdr>
                    <w:top w:val="none" w:sz="0" w:space="0" w:color="auto"/>
                    <w:left w:val="none" w:sz="0" w:space="0" w:color="auto"/>
                    <w:bottom w:val="none" w:sz="0" w:space="0" w:color="auto"/>
                    <w:right w:val="none" w:sz="0" w:space="0" w:color="auto"/>
                  </w:divBdr>
                  <w:divsChild>
                    <w:div w:id="650451006">
                      <w:marLeft w:val="0"/>
                      <w:marRight w:val="0"/>
                      <w:marTop w:val="0"/>
                      <w:marBottom w:val="0"/>
                      <w:divBdr>
                        <w:top w:val="none" w:sz="0" w:space="0" w:color="auto"/>
                        <w:left w:val="none" w:sz="0" w:space="0" w:color="auto"/>
                        <w:bottom w:val="none" w:sz="0" w:space="0" w:color="auto"/>
                        <w:right w:val="none" w:sz="0" w:space="0" w:color="auto"/>
                      </w:divBdr>
                    </w:div>
                  </w:divsChild>
                </w:div>
                <w:div w:id="602878333">
                  <w:marLeft w:val="0"/>
                  <w:marRight w:val="0"/>
                  <w:marTop w:val="0"/>
                  <w:marBottom w:val="0"/>
                  <w:divBdr>
                    <w:top w:val="none" w:sz="0" w:space="0" w:color="auto"/>
                    <w:left w:val="none" w:sz="0" w:space="0" w:color="auto"/>
                    <w:bottom w:val="none" w:sz="0" w:space="0" w:color="auto"/>
                    <w:right w:val="none" w:sz="0" w:space="0" w:color="auto"/>
                  </w:divBdr>
                  <w:divsChild>
                    <w:div w:id="1814985871">
                      <w:marLeft w:val="0"/>
                      <w:marRight w:val="0"/>
                      <w:marTop w:val="0"/>
                      <w:marBottom w:val="0"/>
                      <w:divBdr>
                        <w:top w:val="none" w:sz="0" w:space="0" w:color="auto"/>
                        <w:left w:val="none" w:sz="0" w:space="0" w:color="auto"/>
                        <w:bottom w:val="none" w:sz="0" w:space="0" w:color="auto"/>
                        <w:right w:val="none" w:sz="0" w:space="0" w:color="auto"/>
                      </w:divBdr>
                    </w:div>
                  </w:divsChild>
                </w:div>
                <w:div w:id="603735058">
                  <w:marLeft w:val="0"/>
                  <w:marRight w:val="0"/>
                  <w:marTop w:val="0"/>
                  <w:marBottom w:val="0"/>
                  <w:divBdr>
                    <w:top w:val="none" w:sz="0" w:space="0" w:color="auto"/>
                    <w:left w:val="none" w:sz="0" w:space="0" w:color="auto"/>
                    <w:bottom w:val="none" w:sz="0" w:space="0" w:color="auto"/>
                    <w:right w:val="none" w:sz="0" w:space="0" w:color="auto"/>
                  </w:divBdr>
                  <w:divsChild>
                    <w:div w:id="1696036156">
                      <w:marLeft w:val="0"/>
                      <w:marRight w:val="0"/>
                      <w:marTop w:val="0"/>
                      <w:marBottom w:val="0"/>
                      <w:divBdr>
                        <w:top w:val="none" w:sz="0" w:space="0" w:color="auto"/>
                        <w:left w:val="none" w:sz="0" w:space="0" w:color="auto"/>
                        <w:bottom w:val="none" w:sz="0" w:space="0" w:color="auto"/>
                        <w:right w:val="none" w:sz="0" w:space="0" w:color="auto"/>
                      </w:divBdr>
                    </w:div>
                  </w:divsChild>
                </w:div>
                <w:div w:id="618756743">
                  <w:marLeft w:val="0"/>
                  <w:marRight w:val="0"/>
                  <w:marTop w:val="0"/>
                  <w:marBottom w:val="0"/>
                  <w:divBdr>
                    <w:top w:val="none" w:sz="0" w:space="0" w:color="auto"/>
                    <w:left w:val="none" w:sz="0" w:space="0" w:color="auto"/>
                    <w:bottom w:val="none" w:sz="0" w:space="0" w:color="auto"/>
                    <w:right w:val="none" w:sz="0" w:space="0" w:color="auto"/>
                  </w:divBdr>
                  <w:divsChild>
                    <w:div w:id="740099003">
                      <w:marLeft w:val="0"/>
                      <w:marRight w:val="0"/>
                      <w:marTop w:val="0"/>
                      <w:marBottom w:val="0"/>
                      <w:divBdr>
                        <w:top w:val="none" w:sz="0" w:space="0" w:color="auto"/>
                        <w:left w:val="none" w:sz="0" w:space="0" w:color="auto"/>
                        <w:bottom w:val="none" w:sz="0" w:space="0" w:color="auto"/>
                        <w:right w:val="none" w:sz="0" w:space="0" w:color="auto"/>
                      </w:divBdr>
                    </w:div>
                  </w:divsChild>
                </w:div>
                <w:div w:id="647318262">
                  <w:marLeft w:val="0"/>
                  <w:marRight w:val="0"/>
                  <w:marTop w:val="0"/>
                  <w:marBottom w:val="0"/>
                  <w:divBdr>
                    <w:top w:val="none" w:sz="0" w:space="0" w:color="auto"/>
                    <w:left w:val="none" w:sz="0" w:space="0" w:color="auto"/>
                    <w:bottom w:val="none" w:sz="0" w:space="0" w:color="auto"/>
                    <w:right w:val="none" w:sz="0" w:space="0" w:color="auto"/>
                  </w:divBdr>
                  <w:divsChild>
                    <w:div w:id="604505570">
                      <w:marLeft w:val="0"/>
                      <w:marRight w:val="0"/>
                      <w:marTop w:val="0"/>
                      <w:marBottom w:val="0"/>
                      <w:divBdr>
                        <w:top w:val="none" w:sz="0" w:space="0" w:color="auto"/>
                        <w:left w:val="none" w:sz="0" w:space="0" w:color="auto"/>
                        <w:bottom w:val="none" w:sz="0" w:space="0" w:color="auto"/>
                        <w:right w:val="none" w:sz="0" w:space="0" w:color="auto"/>
                      </w:divBdr>
                    </w:div>
                  </w:divsChild>
                </w:div>
                <w:div w:id="647712875">
                  <w:marLeft w:val="0"/>
                  <w:marRight w:val="0"/>
                  <w:marTop w:val="0"/>
                  <w:marBottom w:val="0"/>
                  <w:divBdr>
                    <w:top w:val="none" w:sz="0" w:space="0" w:color="auto"/>
                    <w:left w:val="none" w:sz="0" w:space="0" w:color="auto"/>
                    <w:bottom w:val="none" w:sz="0" w:space="0" w:color="auto"/>
                    <w:right w:val="none" w:sz="0" w:space="0" w:color="auto"/>
                  </w:divBdr>
                  <w:divsChild>
                    <w:div w:id="1629431421">
                      <w:marLeft w:val="0"/>
                      <w:marRight w:val="0"/>
                      <w:marTop w:val="0"/>
                      <w:marBottom w:val="0"/>
                      <w:divBdr>
                        <w:top w:val="none" w:sz="0" w:space="0" w:color="auto"/>
                        <w:left w:val="none" w:sz="0" w:space="0" w:color="auto"/>
                        <w:bottom w:val="none" w:sz="0" w:space="0" w:color="auto"/>
                        <w:right w:val="none" w:sz="0" w:space="0" w:color="auto"/>
                      </w:divBdr>
                    </w:div>
                  </w:divsChild>
                </w:div>
                <w:div w:id="718438306">
                  <w:marLeft w:val="0"/>
                  <w:marRight w:val="0"/>
                  <w:marTop w:val="0"/>
                  <w:marBottom w:val="0"/>
                  <w:divBdr>
                    <w:top w:val="none" w:sz="0" w:space="0" w:color="auto"/>
                    <w:left w:val="none" w:sz="0" w:space="0" w:color="auto"/>
                    <w:bottom w:val="none" w:sz="0" w:space="0" w:color="auto"/>
                    <w:right w:val="none" w:sz="0" w:space="0" w:color="auto"/>
                  </w:divBdr>
                  <w:divsChild>
                    <w:div w:id="986475348">
                      <w:marLeft w:val="0"/>
                      <w:marRight w:val="0"/>
                      <w:marTop w:val="0"/>
                      <w:marBottom w:val="0"/>
                      <w:divBdr>
                        <w:top w:val="none" w:sz="0" w:space="0" w:color="auto"/>
                        <w:left w:val="none" w:sz="0" w:space="0" w:color="auto"/>
                        <w:bottom w:val="none" w:sz="0" w:space="0" w:color="auto"/>
                        <w:right w:val="none" w:sz="0" w:space="0" w:color="auto"/>
                      </w:divBdr>
                    </w:div>
                  </w:divsChild>
                </w:div>
                <w:div w:id="732044194">
                  <w:marLeft w:val="0"/>
                  <w:marRight w:val="0"/>
                  <w:marTop w:val="0"/>
                  <w:marBottom w:val="0"/>
                  <w:divBdr>
                    <w:top w:val="none" w:sz="0" w:space="0" w:color="auto"/>
                    <w:left w:val="none" w:sz="0" w:space="0" w:color="auto"/>
                    <w:bottom w:val="none" w:sz="0" w:space="0" w:color="auto"/>
                    <w:right w:val="none" w:sz="0" w:space="0" w:color="auto"/>
                  </w:divBdr>
                  <w:divsChild>
                    <w:div w:id="1971519853">
                      <w:marLeft w:val="0"/>
                      <w:marRight w:val="0"/>
                      <w:marTop w:val="0"/>
                      <w:marBottom w:val="0"/>
                      <w:divBdr>
                        <w:top w:val="none" w:sz="0" w:space="0" w:color="auto"/>
                        <w:left w:val="none" w:sz="0" w:space="0" w:color="auto"/>
                        <w:bottom w:val="none" w:sz="0" w:space="0" w:color="auto"/>
                        <w:right w:val="none" w:sz="0" w:space="0" w:color="auto"/>
                      </w:divBdr>
                    </w:div>
                  </w:divsChild>
                </w:div>
                <w:div w:id="732579271">
                  <w:marLeft w:val="0"/>
                  <w:marRight w:val="0"/>
                  <w:marTop w:val="0"/>
                  <w:marBottom w:val="0"/>
                  <w:divBdr>
                    <w:top w:val="none" w:sz="0" w:space="0" w:color="auto"/>
                    <w:left w:val="none" w:sz="0" w:space="0" w:color="auto"/>
                    <w:bottom w:val="none" w:sz="0" w:space="0" w:color="auto"/>
                    <w:right w:val="none" w:sz="0" w:space="0" w:color="auto"/>
                  </w:divBdr>
                  <w:divsChild>
                    <w:div w:id="417992476">
                      <w:marLeft w:val="0"/>
                      <w:marRight w:val="0"/>
                      <w:marTop w:val="0"/>
                      <w:marBottom w:val="0"/>
                      <w:divBdr>
                        <w:top w:val="none" w:sz="0" w:space="0" w:color="auto"/>
                        <w:left w:val="none" w:sz="0" w:space="0" w:color="auto"/>
                        <w:bottom w:val="none" w:sz="0" w:space="0" w:color="auto"/>
                        <w:right w:val="none" w:sz="0" w:space="0" w:color="auto"/>
                      </w:divBdr>
                    </w:div>
                  </w:divsChild>
                </w:div>
                <w:div w:id="745953783">
                  <w:marLeft w:val="0"/>
                  <w:marRight w:val="0"/>
                  <w:marTop w:val="0"/>
                  <w:marBottom w:val="0"/>
                  <w:divBdr>
                    <w:top w:val="none" w:sz="0" w:space="0" w:color="auto"/>
                    <w:left w:val="none" w:sz="0" w:space="0" w:color="auto"/>
                    <w:bottom w:val="none" w:sz="0" w:space="0" w:color="auto"/>
                    <w:right w:val="none" w:sz="0" w:space="0" w:color="auto"/>
                  </w:divBdr>
                  <w:divsChild>
                    <w:div w:id="1482430467">
                      <w:marLeft w:val="0"/>
                      <w:marRight w:val="0"/>
                      <w:marTop w:val="0"/>
                      <w:marBottom w:val="0"/>
                      <w:divBdr>
                        <w:top w:val="none" w:sz="0" w:space="0" w:color="auto"/>
                        <w:left w:val="none" w:sz="0" w:space="0" w:color="auto"/>
                        <w:bottom w:val="none" w:sz="0" w:space="0" w:color="auto"/>
                        <w:right w:val="none" w:sz="0" w:space="0" w:color="auto"/>
                      </w:divBdr>
                    </w:div>
                  </w:divsChild>
                </w:div>
                <w:div w:id="753480325">
                  <w:marLeft w:val="0"/>
                  <w:marRight w:val="0"/>
                  <w:marTop w:val="0"/>
                  <w:marBottom w:val="0"/>
                  <w:divBdr>
                    <w:top w:val="none" w:sz="0" w:space="0" w:color="auto"/>
                    <w:left w:val="none" w:sz="0" w:space="0" w:color="auto"/>
                    <w:bottom w:val="none" w:sz="0" w:space="0" w:color="auto"/>
                    <w:right w:val="none" w:sz="0" w:space="0" w:color="auto"/>
                  </w:divBdr>
                  <w:divsChild>
                    <w:div w:id="580649822">
                      <w:marLeft w:val="0"/>
                      <w:marRight w:val="0"/>
                      <w:marTop w:val="0"/>
                      <w:marBottom w:val="0"/>
                      <w:divBdr>
                        <w:top w:val="none" w:sz="0" w:space="0" w:color="auto"/>
                        <w:left w:val="none" w:sz="0" w:space="0" w:color="auto"/>
                        <w:bottom w:val="none" w:sz="0" w:space="0" w:color="auto"/>
                        <w:right w:val="none" w:sz="0" w:space="0" w:color="auto"/>
                      </w:divBdr>
                    </w:div>
                  </w:divsChild>
                </w:div>
                <w:div w:id="850220860">
                  <w:marLeft w:val="0"/>
                  <w:marRight w:val="0"/>
                  <w:marTop w:val="0"/>
                  <w:marBottom w:val="0"/>
                  <w:divBdr>
                    <w:top w:val="none" w:sz="0" w:space="0" w:color="auto"/>
                    <w:left w:val="none" w:sz="0" w:space="0" w:color="auto"/>
                    <w:bottom w:val="none" w:sz="0" w:space="0" w:color="auto"/>
                    <w:right w:val="none" w:sz="0" w:space="0" w:color="auto"/>
                  </w:divBdr>
                  <w:divsChild>
                    <w:div w:id="1385443923">
                      <w:marLeft w:val="0"/>
                      <w:marRight w:val="0"/>
                      <w:marTop w:val="0"/>
                      <w:marBottom w:val="0"/>
                      <w:divBdr>
                        <w:top w:val="none" w:sz="0" w:space="0" w:color="auto"/>
                        <w:left w:val="none" w:sz="0" w:space="0" w:color="auto"/>
                        <w:bottom w:val="none" w:sz="0" w:space="0" w:color="auto"/>
                        <w:right w:val="none" w:sz="0" w:space="0" w:color="auto"/>
                      </w:divBdr>
                    </w:div>
                  </w:divsChild>
                </w:div>
                <w:div w:id="865102206">
                  <w:marLeft w:val="0"/>
                  <w:marRight w:val="0"/>
                  <w:marTop w:val="0"/>
                  <w:marBottom w:val="0"/>
                  <w:divBdr>
                    <w:top w:val="none" w:sz="0" w:space="0" w:color="auto"/>
                    <w:left w:val="none" w:sz="0" w:space="0" w:color="auto"/>
                    <w:bottom w:val="none" w:sz="0" w:space="0" w:color="auto"/>
                    <w:right w:val="none" w:sz="0" w:space="0" w:color="auto"/>
                  </w:divBdr>
                  <w:divsChild>
                    <w:div w:id="75782688">
                      <w:marLeft w:val="0"/>
                      <w:marRight w:val="0"/>
                      <w:marTop w:val="0"/>
                      <w:marBottom w:val="0"/>
                      <w:divBdr>
                        <w:top w:val="none" w:sz="0" w:space="0" w:color="auto"/>
                        <w:left w:val="none" w:sz="0" w:space="0" w:color="auto"/>
                        <w:bottom w:val="none" w:sz="0" w:space="0" w:color="auto"/>
                        <w:right w:val="none" w:sz="0" w:space="0" w:color="auto"/>
                      </w:divBdr>
                    </w:div>
                  </w:divsChild>
                </w:div>
                <w:div w:id="872813993">
                  <w:marLeft w:val="0"/>
                  <w:marRight w:val="0"/>
                  <w:marTop w:val="0"/>
                  <w:marBottom w:val="0"/>
                  <w:divBdr>
                    <w:top w:val="none" w:sz="0" w:space="0" w:color="auto"/>
                    <w:left w:val="none" w:sz="0" w:space="0" w:color="auto"/>
                    <w:bottom w:val="none" w:sz="0" w:space="0" w:color="auto"/>
                    <w:right w:val="none" w:sz="0" w:space="0" w:color="auto"/>
                  </w:divBdr>
                  <w:divsChild>
                    <w:div w:id="1201943287">
                      <w:marLeft w:val="0"/>
                      <w:marRight w:val="0"/>
                      <w:marTop w:val="0"/>
                      <w:marBottom w:val="0"/>
                      <w:divBdr>
                        <w:top w:val="none" w:sz="0" w:space="0" w:color="auto"/>
                        <w:left w:val="none" w:sz="0" w:space="0" w:color="auto"/>
                        <w:bottom w:val="none" w:sz="0" w:space="0" w:color="auto"/>
                        <w:right w:val="none" w:sz="0" w:space="0" w:color="auto"/>
                      </w:divBdr>
                    </w:div>
                  </w:divsChild>
                </w:div>
                <w:div w:id="924680143">
                  <w:marLeft w:val="0"/>
                  <w:marRight w:val="0"/>
                  <w:marTop w:val="0"/>
                  <w:marBottom w:val="0"/>
                  <w:divBdr>
                    <w:top w:val="none" w:sz="0" w:space="0" w:color="auto"/>
                    <w:left w:val="none" w:sz="0" w:space="0" w:color="auto"/>
                    <w:bottom w:val="none" w:sz="0" w:space="0" w:color="auto"/>
                    <w:right w:val="none" w:sz="0" w:space="0" w:color="auto"/>
                  </w:divBdr>
                  <w:divsChild>
                    <w:div w:id="16736414">
                      <w:marLeft w:val="0"/>
                      <w:marRight w:val="0"/>
                      <w:marTop w:val="0"/>
                      <w:marBottom w:val="0"/>
                      <w:divBdr>
                        <w:top w:val="none" w:sz="0" w:space="0" w:color="auto"/>
                        <w:left w:val="none" w:sz="0" w:space="0" w:color="auto"/>
                        <w:bottom w:val="none" w:sz="0" w:space="0" w:color="auto"/>
                        <w:right w:val="none" w:sz="0" w:space="0" w:color="auto"/>
                      </w:divBdr>
                    </w:div>
                  </w:divsChild>
                </w:div>
                <w:div w:id="934367906">
                  <w:marLeft w:val="0"/>
                  <w:marRight w:val="0"/>
                  <w:marTop w:val="0"/>
                  <w:marBottom w:val="0"/>
                  <w:divBdr>
                    <w:top w:val="none" w:sz="0" w:space="0" w:color="auto"/>
                    <w:left w:val="none" w:sz="0" w:space="0" w:color="auto"/>
                    <w:bottom w:val="none" w:sz="0" w:space="0" w:color="auto"/>
                    <w:right w:val="none" w:sz="0" w:space="0" w:color="auto"/>
                  </w:divBdr>
                  <w:divsChild>
                    <w:div w:id="1556427367">
                      <w:marLeft w:val="0"/>
                      <w:marRight w:val="0"/>
                      <w:marTop w:val="0"/>
                      <w:marBottom w:val="0"/>
                      <w:divBdr>
                        <w:top w:val="none" w:sz="0" w:space="0" w:color="auto"/>
                        <w:left w:val="none" w:sz="0" w:space="0" w:color="auto"/>
                        <w:bottom w:val="none" w:sz="0" w:space="0" w:color="auto"/>
                        <w:right w:val="none" w:sz="0" w:space="0" w:color="auto"/>
                      </w:divBdr>
                    </w:div>
                  </w:divsChild>
                </w:div>
                <w:div w:id="943610915">
                  <w:marLeft w:val="0"/>
                  <w:marRight w:val="0"/>
                  <w:marTop w:val="0"/>
                  <w:marBottom w:val="0"/>
                  <w:divBdr>
                    <w:top w:val="none" w:sz="0" w:space="0" w:color="auto"/>
                    <w:left w:val="none" w:sz="0" w:space="0" w:color="auto"/>
                    <w:bottom w:val="none" w:sz="0" w:space="0" w:color="auto"/>
                    <w:right w:val="none" w:sz="0" w:space="0" w:color="auto"/>
                  </w:divBdr>
                  <w:divsChild>
                    <w:div w:id="1514344013">
                      <w:marLeft w:val="0"/>
                      <w:marRight w:val="0"/>
                      <w:marTop w:val="0"/>
                      <w:marBottom w:val="0"/>
                      <w:divBdr>
                        <w:top w:val="none" w:sz="0" w:space="0" w:color="auto"/>
                        <w:left w:val="none" w:sz="0" w:space="0" w:color="auto"/>
                        <w:bottom w:val="none" w:sz="0" w:space="0" w:color="auto"/>
                        <w:right w:val="none" w:sz="0" w:space="0" w:color="auto"/>
                      </w:divBdr>
                    </w:div>
                  </w:divsChild>
                </w:div>
                <w:div w:id="949431798">
                  <w:marLeft w:val="0"/>
                  <w:marRight w:val="0"/>
                  <w:marTop w:val="0"/>
                  <w:marBottom w:val="0"/>
                  <w:divBdr>
                    <w:top w:val="none" w:sz="0" w:space="0" w:color="auto"/>
                    <w:left w:val="none" w:sz="0" w:space="0" w:color="auto"/>
                    <w:bottom w:val="none" w:sz="0" w:space="0" w:color="auto"/>
                    <w:right w:val="none" w:sz="0" w:space="0" w:color="auto"/>
                  </w:divBdr>
                  <w:divsChild>
                    <w:div w:id="1837257805">
                      <w:marLeft w:val="0"/>
                      <w:marRight w:val="0"/>
                      <w:marTop w:val="0"/>
                      <w:marBottom w:val="0"/>
                      <w:divBdr>
                        <w:top w:val="none" w:sz="0" w:space="0" w:color="auto"/>
                        <w:left w:val="none" w:sz="0" w:space="0" w:color="auto"/>
                        <w:bottom w:val="none" w:sz="0" w:space="0" w:color="auto"/>
                        <w:right w:val="none" w:sz="0" w:space="0" w:color="auto"/>
                      </w:divBdr>
                    </w:div>
                  </w:divsChild>
                </w:div>
                <w:div w:id="959457236">
                  <w:marLeft w:val="0"/>
                  <w:marRight w:val="0"/>
                  <w:marTop w:val="0"/>
                  <w:marBottom w:val="0"/>
                  <w:divBdr>
                    <w:top w:val="none" w:sz="0" w:space="0" w:color="auto"/>
                    <w:left w:val="none" w:sz="0" w:space="0" w:color="auto"/>
                    <w:bottom w:val="none" w:sz="0" w:space="0" w:color="auto"/>
                    <w:right w:val="none" w:sz="0" w:space="0" w:color="auto"/>
                  </w:divBdr>
                  <w:divsChild>
                    <w:div w:id="73211430">
                      <w:marLeft w:val="0"/>
                      <w:marRight w:val="0"/>
                      <w:marTop w:val="0"/>
                      <w:marBottom w:val="0"/>
                      <w:divBdr>
                        <w:top w:val="none" w:sz="0" w:space="0" w:color="auto"/>
                        <w:left w:val="none" w:sz="0" w:space="0" w:color="auto"/>
                        <w:bottom w:val="none" w:sz="0" w:space="0" w:color="auto"/>
                        <w:right w:val="none" w:sz="0" w:space="0" w:color="auto"/>
                      </w:divBdr>
                    </w:div>
                  </w:divsChild>
                </w:div>
                <w:div w:id="966591976">
                  <w:marLeft w:val="0"/>
                  <w:marRight w:val="0"/>
                  <w:marTop w:val="0"/>
                  <w:marBottom w:val="0"/>
                  <w:divBdr>
                    <w:top w:val="none" w:sz="0" w:space="0" w:color="auto"/>
                    <w:left w:val="none" w:sz="0" w:space="0" w:color="auto"/>
                    <w:bottom w:val="none" w:sz="0" w:space="0" w:color="auto"/>
                    <w:right w:val="none" w:sz="0" w:space="0" w:color="auto"/>
                  </w:divBdr>
                  <w:divsChild>
                    <w:div w:id="2089962202">
                      <w:marLeft w:val="0"/>
                      <w:marRight w:val="0"/>
                      <w:marTop w:val="0"/>
                      <w:marBottom w:val="0"/>
                      <w:divBdr>
                        <w:top w:val="none" w:sz="0" w:space="0" w:color="auto"/>
                        <w:left w:val="none" w:sz="0" w:space="0" w:color="auto"/>
                        <w:bottom w:val="none" w:sz="0" w:space="0" w:color="auto"/>
                        <w:right w:val="none" w:sz="0" w:space="0" w:color="auto"/>
                      </w:divBdr>
                    </w:div>
                  </w:divsChild>
                </w:div>
                <w:div w:id="975719269">
                  <w:marLeft w:val="0"/>
                  <w:marRight w:val="0"/>
                  <w:marTop w:val="0"/>
                  <w:marBottom w:val="0"/>
                  <w:divBdr>
                    <w:top w:val="none" w:sz="0" w:space="0" w:color="auto"/>
                    <w:left w:val="none" w:sz="0" w:space="0" w:color="auto"/>
                    <w:bottom w:val="none" w:sz="0" w:space="0" w:color="auto"/>
                    <w:right w:val="none" w:sz="0" w:space="0" w:color="auto"/>
                  </w:divBdr>
                  <w:divsChild>
                    <w:div w:id="2098869473">
                      <w:marLeft w:val="0"/>
                      <w:marRight w:val="0"/>
                      <w:marTop w:val="0"/>
                      <w:marBottom w:val="0"/>
                      <w:divBdr>
                        <w:top w:val="none" w:sz="0" w:space="0" w:color="auto"/>
                        <w:left w:val="none" w:sz="0" w:space="0" w:color="auto"/>
                        <w:bottom w:val="none" w:sz="0" w:space="0" w:color="auto"/>
                        <w:right w:val="none" w:sz="0" w:space="0" w:color="auto"/>
                      </w:divBdr>
                    </w:div>
                  </w:divsChild>
                </w:div>
                <w:div w:id="1015040316">
                  <w:marLeft w:val="0"/>
                  <w:marRight w:val="0"/>
                  <w:marTop w:val="0"/>
                  <w:marBottom w:val="0"/>
                  <w:divBdr>
                    <w:top w:val="none" w:sz="0" w:space="0" w:color="auto"/>
                    <w:left w:val="none" w:sz="0" w:space="0" w:color="auto"/>
                    <w:bottom w:val="none" w:sz="0" w:space="0" w:color="auto"/>
                    <w:right w:val="none" w:sz="0" w:space="0" w:color="auto"/>
                  </w:divBdr>
                  <w:divsChild>
                    <w:div w:id="1354763847">
                      <w:marLeft w:val="0"/>
                      <w:marRight w:val="0"/>
                      <w:marTop w:val="0"/>
                      <w:marBottom w:val="0"/>
                      <w:divBdr>
                        <w:top w:val="none" w:sz="0" w:space="0" w:color="auto"/>
                        <w:left w:val="none" w:sz="0" w:space="0" w:color="auto"/>
                        <w:bottom w:val="none" w:sz="0" w:space="0" w:color="auto"/>
                        <w:right w:val="none" w:sz="0" w:space="0" w:color="auto"/>
                      </w:divBdr>
                    </w:div>
                  </w:divsChild>
                </w:div>
                <w:div w:id="1051615866">
                  <w:marLeft w:val="0"/>
                  <w:marRight w:val="0"/>
                  <w:marTop w:val="0"/>
                  <w:marBottom w:val="0"/>
                  <w:divBdr>
                    <w:top w:val="none" w:sz="0" w:space="0" w:color="auto"/>
                    <w:left w:val="none" w:sz="0" w:space="0" w:color="auto"/>
                    <w:bottom w:val="none" w:sz="0" w:space="0" w:color="auto"/>
                    <w:right w:val="none" w:sz="0" w:space="0" w:color="auto"/>
                  </w:divBdr>
                  <w:divsChild>
                    <w:div w:id="1108741563">
                      <w:marLeft w:val="0"/>
                      <w:marRight w:val="0"/>
                      <w:marTop w:val="0"/>
                      <w:marBottom w:val="0"/>
                      <w:divBdr>
                        <w:top w:val="none" w:sz="0" w:space="0" w:color="auto"/>
                        <w:left w:val="none" w:sz="0" w:space="0" w:color="auto"/>
                        <w:bottom w:val="none" w:sz="0" w:space="0" w:color="auto"/>
                        <w:right w:val="none" w:sz="0" w:space="0" w:color="auto"/>
                      </w:divBdr>
                    </w:div>
                  </w:divsChild>
                </w:div>
                <w:div w:id="1064716823">
                  <w:marLeft w:val="0"/>
                  <w:marRight w:val="0"/>
                  <w:marTop w:val="0"/>
                  <w:marBottom w:val="0"/>
                  <w:divBdr>
                    <w:top w:val="none" w:sz="0" w:space="0" w:color="auto"/>
                    <w:left w:val="none" w:sz="0" w:space="0" w:color="auto"/>
                    <w:bottom w:val="none" w:sz="0" w:space="0" w:color="auto"/>
                    <w:right w:val="none" w:sz="0" w:space="0" w:color="auto"/>
                  </w:divBdr>
                  <w:divsChild>
                    <w:div w:id="1007289659">
                      <w:marLeft w:val="0"/>
                      <w:marRight w:val="0"/>
                      <w:marTop w:val="0"/>
                      <w:marBottom w:val="0"/>
                      <w:divBdr>
                        <w:top w:val="none" w:sz="0" w:space="0" w:color="auto"/>
                        <w:left w:val="none" w:sz="0" w:space="0" w:color="auto"/>
                        <w:bottom w:val="none" w:sz="0" w:space="0" w:color="auto"/>
                        <w:right w:val="none" w:sz="0" w:space="0" w:color="auto"/>
                      </w:divBdr>
                    </w:div>
                  </w:divsChild>
                </w:div>
                <w:div w:id="1084912242">
                  <w:marLeft w:val="0"/>
                  <w:marRight w:val="0"/>
                  <w:marTop w:val="0"/>
                  <w:marBottom w:val="0"/>
                  <w:divBdr>
                    <w:top w:val="none" w:sz="0" w:space="0" w:color="auto"/>
                    <w:left w:val="none" w:sz="0" w:space="0" w:color="auto"/>
                    <w:bottom w:val="none" w:sz="0" w:space="0" w:color="auto"/>
                    <w:right w:val="none" w:sz="0" w:space="0" w:color="auto"/>
                  </w:divBdr>
                  <w:divsChild>
                    <w:div w:id="1864319312">
                      <w:marLeft w:val="0"/>
                      <w:marRight w:val="0"/>
                      <w:marTop w:val="0"/>
                      <w:marBottom w:val="0"/>
                      <w:divBdr>
                        <w:top w:val="none" w:sz="0" w:space="0" w:color="auto"/>
                        <w:left w:val="none" w:sz="0" w:space="0" w:color="auto"/>
                        <w:bottom w:val="none" w:sz="0" w:space="0" w:color="auto"/>
                        <w:right w:val="none" w:sz="0" w:space="0" w:color="auto"/>
                      </w:divBdr>
                    </w:div>
                  </w:divsChild>
                </w:div>
                <w:div w:id="1101687614">
                  <w:marLeft w:val="0"/>
                  <w:marRight w:val="0"/>
                  <w:marTop w:val="0"/>
                  <w:marBottom w:val="0"/>
                  <w:divBdr>
                    <w:top w:val="none" w:sz="0" w:space="0" w:color="auto"/>
                    <w:left w:val="none" w:sz="0" w:space="0" w:color="auto"/>
                    <w:bottom w:val="none" w:sz="0" w:space="0" w:color="auto"/>
                    <w:right w:val="none" w:sz="0" w:space="0" w:color="auto"/>
                  </w:divBdr>
                  <w:divsChild>
                    <w:div w:id="2094617964">
                      <w:marLeft w:val="0"/>
                      <w:marRight w:val="0"/>
                      <w:marTop w:val="0"/>
                      <w:marBottom w:val="0"/>
                      <w:divBdr>
                        <w:top w:val="none" w:sz="0" w:space="0" w:color="auto"/>
                        <w:left w:val="none" w:sz="0" w:space="0" w:color="auto"/>
                        <w:bottom w:val="none" w:sz="0" w:space="0" w:color="auto"/>
                        <w:right w:val="none" w:sz="0" w:space="0" w:color="auto"/>
                      </w:divBdr>
                    </w:div>
                  </w:divsChild>
                </w:div>
                <w:div w:id="1106391743">
                  <w:marLeft w:val="0"/>
                  <w:marRight w:val="0"/>
                  <w:marTop w:val="0"/>
                  <w:marBottom w:val="0"/>
                  <w:divBdr>
                    <w:top w:val="none" w:sz="0" w:space="0" w:color="auto"/>
                    <w:left w:val="none" w:sz="0" w:space="0" w:color="auto"/>
                    <w:bottom w:val="none" w:sz="0" w:space="0" w:color="auto"/>
                    <w:right w:val="none" w:sz="0" w:space="0" w:color="auto"/>
                  </w:divBdr>
                  <w:divsChild>
                    <w:div w:id="1619801460">
                      <w:marLeft w:val="0"/>
                      <w:marRight w:val="0"/>
                      <w:marTop w:val="0"/>
                      <w:marBottom w:val="0"/>
                      <w:divBdr>
                        <w:top w:val="none" w:sz="0" w:space="0" w:color="auto"/>
                        <w:left w:val="none" w:sz="0" w:space="0" w:color="auto"/>
                        <w:bottom w:val="none" w:sz="0" w:space="0" w:color="auto"/>
                        <w:right w:val="none" w:sz="0" w:space="0" w:color="auto"/>
                      </w:divBdr>
                    </w:div>
                  </w:divsChild>
                </w:div>
                <w:div w:id="1134131762">
                  <w:marLeft w:val="0"/>
                  <w:marRight w:val="0"/>
                  <w:marTop w:val="0"/>
                  <w:marBottom w:val="0"/>
                  <w:divBdr>
                    <w:top w:val="none" w:sz="0" w:space="0" w:color="auto"/>
                    <w:left w:val="none" w:sz="0" w:space="0" w:color="auto"/>
                    <w:bottom w:val="none" w:sz="0" w:space="0" w:color="auto"/>
                    <w:right w:val="none" w:sz="0" w:space="0" w:color="auto"/>
                  </w:divBdr>
                  <w:divsChild>
                    <w:div w:id="806818862">
                      <w:marLeft w:val="0"/>
                      <w:marRight w:val="0"/>
                      <w:marTop w:val="0"/>
                      <w:marBottom w:val="0"/>
                      <w:divBdr>
                        <w:top w:val="none" w:sz="0" w:space="0" w:color="auto"/>
                        <w:left w:val="none" w:sz="0" w:space="0" w:color="auto"/>
                        <w:bottom w:val="none" w:sz="0" w:space="0" w:color="auto"/>
                        <w:right w:val="none" w:sz="0" w:space="0" w:color="auto"/>
                      </w:divBdr>
                    </w:div>
                  </w:divsChild>
                </w:div>
                <w:div w:id="1157956739">
                  <w:marLeft w:val="0"/>
                  <w:marRight w:val="0"/>
                  <w:marTop w:val="0"/>
                  <w:marBottom w:val="0"/>
                  <w:divBdr>
                    <w:top w:val="none" w:sz="0" w:space="0" w:color="auto"/>
                    <w:left w:val="none" w:sz="0" w:space="0" w:color="auto"/>
                    <w:bottom w:val="none" w:sz="0" w:space="0" w:color="auto"/>
                    <w:right w:val="none" w:sz="0" w:space="0" w:color="auto"/>
                  </w:divBdr>
                  <w:divsChild>
                    <w:div w:id="1300918618">
                      <w:marLeft w:val="0"/>
                      <w:marRight w:val="0"/>
                      <w:marTop w:val="0"/>
                      <w:marBottom w:val="0"/>
                      <w:divBdr>
                        <w:top w:val="none" w:sz="0" w:space="0" w:color="auto"/>
                        <w:left w:val="none" w:sz="0" w:space="0" w:color="auto"/>
                        <w:bottom w:val="none" w:sz="0" w:space="0" w:color="auto"/>
                        <w:right w:val="none" w:sz="0" w:space="0" w:color="auto"/>
                      </w:divBdr>
                    </w:div>
                  </w:divsChild>
                </w:div>
                <w:div w:id="1171988488">
                  <w:marLeft w:val="0"/>
                  <w:marRight w:val="0"/>
                  <w:marTop w:val="0"/>
                  <w:marBottom w:val="0"/>
                  <w:divBdr>
                    <w:top w:val="none" w:sz="0" w:space="0" w:color="auto"/>
                    <w:left w:val="none" w:sz="0" w:space="0" w:color="auto"/>
                    <w:bottom w:val="none" w:sz="0" w:space="0" w:color="auto"/>
                    <w:right w:val="none" w:sz="0" w:space="0" w:color="auto"/>
                  </w:divBdr>
                  <w:divsChild>
                    <w:div w:id="387580563">
                      <w:marLeft w:val="0"/>
                      <w:marRight w:val="0"/>
                      <w:marTop w:val="0"/>
                      <w:marBottom w:val="0"/>
                      <w:divBdr>
                        <w:top w:val="none" w:sz="0" w:space="0" w:color="auto"/>
                        <w:left w:val="none" w:sz="0" w:space="0" w:color="auto"/>
                        <w:bottom w:val="none" w:sz="0" w:space="0" w:color="auto"/>
                        <w:right w:val="none" w:sz="0" w:space="0" w:color="auto"/>
                      </w:divBdr>
                    </w:div>
                  </w:divsChild>
                </w:div>
                <w:div w:id="1179856770">
                  <w:marLeft w:val="0"/>
                  <w:marRight w:val="0"/>
                  <w:marTop w:val="0"/>
                  <w:marBottom w:val="0"/>
                  <w:divBdr>
                    <w:top w:val="none" w:sz="0" w:space="0" w:color="auto"/>
                    <w:left w:val="none" w:sz="0" w:space="0" w:color="auto"/>
                    <w:bottom w:val="none" w:sz="0" w:space="0" w:color="auto"/>
                    <w:right w:val="none" w:sz="0" w:space="0" w:color="auto"/>
                  </w:divBdr>
                  <w:divsChild>
                    <w:div w:id="627704871">
                      <w:marLeft w:val="0"/>
                      <w:marRight w:val="0"/>
                      <w:marTop w:val="0"/>
                      <w:marBottom w:val="0"/>
                      <w:divBdr>
                        <w:top w:val="none" w:sz="0" w:space="0" w:color="auto"/>
                        <w:left w:val="none" w:sz="0" w:space="0" w:color="auto"/>
                        <w:bottom w:val="none" w:sz="0" w:space="0" w:color="auto"/>
                        <w:right w:val="none" w:sz="0" w:space="0" w:color="auto"/>
                      </w:divBdr>
                    </w:div>
                  </w:divsChild>
                </w:div>
                <w:div w:id="1210067343">
                  <w:marLeft w:val="0"/>
                  <w:marRight w:val="0"/>
                  <w:marTop w:val="0"/>
                  <w:marBottom w:val="0"/>
                  <w:divBdr>
                    <w:top w:val="none" w:sz="0" w:space="0" w:color="auto"/>
                    <w:left w:val="none" w:sz="0" w:space="0" w:color="auto"/>
                    <w:bottom w:val="none" w:sz="0" w:space="0" w:color="auto"/>
                    <w:right w:val="none" w:sz="0" w:space="0" w:color="auto"/>
                  </w:divBdr>
                  <w:divsChild>
                    <w:div w:id="961496714">
                      <w:marLeft w:val="0"/>
                      <w:marRight w:val="0"/>
                      <w:marTop w:val="0"/>
                      <w:marBottom w:val="0"/>
                      <w:divBdr>
                        <w:top w:val="none" w:sz="0" w:space="0" w:color="auto"/>
                        <w:left w:val="none" w:sz="0" w:space="0" w:color="auto"/>
                        <w:bottom w:val="none" w:sz="0" w:space="0" w:color="auto"/>
                        <w:right w:val="none" w:sz="0" w:space="0" w:color="auto"/>
                      </w:divBdr>
                    </w:div>
                  </w:divsChild>
                </w:div>
                <w:div w:id="1251163018">
                  <w:marLeft w:val="0"/>
                  <w:marRight w:val="0"/>
                  <w:marTop w:val="0"/>
                  <w:marBottom w:val="0"/>
                  <w:divBdr>
                    <w:top w:val="none" w:sz="0" w:space="0" w:color="auto"/>
                    <w:left w:val="none" w:sz="0" w:space="0" w:color="auto"/>
                    <w:bottom w:val="none" w:sz="0" w:space="0" w:color="auto"/>
                    <w:right w:val="none" w:sz="0" w:space="0" w:color="auto"/>
                  </w:divBdr>
                  <w:divsChild>
                    <w:div w:id="451287888">
                      <w:marLeft w:val="0"/>
                      <w:marRight w:val="0"/>
                      <w:marTop w:val="0"/>
                      <w:marBottom w:val="0"/>
                      <w:divBdr>
                        <w:top w:val="none" w:sz="0" w:space="0" w:color="auto"/>
                        <w:left w:val="none" w:sz="0" w:space="0" w:color="auto"/>
                        <w:bottom w:val="none" w:sz="0" w:space="0" w:color="auto"/>
                        <w:right w:val="none" w:sz="0" w:space="0" w:color="auto"/>
                      </w:divBdr>
                    </w:div>
                  </w:divsChild>
                </w:div>
                <w:div w:id="1258253890">
                  <w:marLeft w:val="0"/>
                  <w:marRight w:val="0"/>
                  <w:marTop w:val="0"/>
                  <w:marBottom w:val="0"/>
                  <w:divBdr>
                    <w:top w:val="none" w:sz="0" w:space="0" w:color="auto"/>
                    <w:left w:val="none" w:sz="0" w:space="0" w:color="auto"/>
                    <w:bottom w:val="none" w:sz="0" w:space="0" w:color="auto"/>
                    <w:right w:val="none" w:sz="0" w:space="0" w:color="auto"/>
                  </w:divBdr>
                  <w:divsChild>
                    <w:div w:id="1722514269">
                      <w:marLeft w:val="0"/>
                      <w:marRight w:val="0"/>
                      <w:marTop w:val="0"/>
                      <w:marBottom w:val="0"/>
                      <w:divBdr>
                        <w:top w:val="none" w:sz="0" w:space="0" w:color="auto"/>
                        <w:left w:val="none" w:sz="0" w:space="0" w:color="auto"/>
                        <w:bottom w:val="none" w:sz="0" w:space="0" w:color="auto"/>
                        <w:right w:val="none" w:sz="0" w:space="0" w:color="auto"/>
                      </w:divBdr>
                    </w:div>
                  </w:divsChild>
                </w:div>
                <w:div w:id="1289357794">
                  <w:marLeft w:val="0"/>
                  <w:marRight w:val="0"/>
                  <w:marTop w:val="0"/>
                  <w:marBottom w:val="0"/>
                  <w:divBdr>
                    <w:top w:val="none" w:sz="0" w:space="0" w:color="auto"/>
                    <w:left w:val="none" w:sz="0" w:space="0" w:color="auto"/>
                    <w:bottom w:val="none" w:sz="0" w:space="0" w:color="auto"/>
                    <w:right w:val="none" w:sz="0" w:space="0" w:color="auto"/>
                  </w:divBdr>
                  <w:divsChild>
                    <w:div w:id="1858763203">
                      <w:marLeft w:val="0"/>
                      <w:marRight w:val="0"/>
                      <w:marTop w:val="0"/>
                      <w:marBottom w:val="0"/>
                      <w:divBdr>
                        <w:top w:val="none" w:sz="0" w:space="0" w:color="auto"/>
                        <w:left w:val="none" w:sz="0" w:space="0" w:color="auto"/>
                        <w:bottom w:val="none" w:sz="0" w:space="0" w:color="auto"/>
                        <w:right w:val="none" w:sz="0" w:space="0" w:color="auto"/>
                      </w:divBdr>
                    </w:div>
                  </w:divsChild>
                </w:div>
                <w:div w:id="1314796795">
                  <w:marLeft w:val="0"/>
                  <w:marRight w:val="0"/>
                  <w:marTop w:val="0"/>
                  <w:marBottom w:val="0"/>
                  <w:divBdr>
                    <w:top w:val="none" w:sz="0" w:space="0" w:color="auto"/>
                    <w:left w:val="none" w:sz="0" w:space="0" w:color="auto"/>
                    <w:bottom w:val="none" w:sz="0" w:space="0" w:color="auto"/>
                    <w:right w:val="none" w:sz="0" w:space="0" w:color="auto"/>
                  </w:divBdr>
                  <w:divsChild>
                    <w:div w:id="115956224">
                      <w:marLeft w:val="0"/>
                      <w:marRight w:val="0"/>
                      <w:marTop w:val="0"/>
                      <w:marBottom w:val="0"/>
                      <w:divBdr>
                        <w:top w:val="none" w:sz="0" w:space="0" w:color="auto"/>
                        <w:left w:val="none" w:sz="0" w:space="0" w:color="auto"/>
                        <w:bottom w:val="none" w:sz="0" w:space="0" w:color="auto"/>
                        <w:right w:val="none" w:sz="0" w:space="0" w:color="auto"/>
                      </w:divBdr>
                    </w:div>
                  </w:divsChild>
                </w:div>
                <w:div w:id="1314917466">
                  <w:marLeft w:val="0"/>
                  <w:marRight w:val="0"/>
                  <w:marTop w:val="0"/>
                  <w:marBottom w:val="0"/>
                  <w:divBdr>
                    <w:top w:val="none" w:sz="0" w:space="0" w:color="auto"/>
                    <w:left w:val="none" w:sz="0" w:space="0" w:color="auto"/>
                    <w:bottom w:val="none" w:sz="0" w:space="0" w:color="auto"/>
                    <w:right w:val="none" w:sz="0" w:space="0" w:color="auto"/>
                  </w:divBdr>
                  <w:divsChild>
                    <w:div w:id="2003584404">
                      <w:marLeft w:val="0"/>
                      <w:marRight w:val="0"/>
                      <w:marTop w:val="0"/>
                      <w:marBottom w:val="0"/>
                      <w:divBdr>
                        <w:top w:val="none" w:sz="0" w:space="0" w:color="auto"/>
                        <w:left w:val="none" w:sz="0" w:space="0" w:color="auto"/>
                        <w:bottom w:val="none" w:sz="0" w:space="0" w:color="auto"/>
                        <w:right w:val="none" w:sz="0" w:space="0" w:color="auto"/>
                      </w:divBdr>
                    </w:div>
                  </w:divsChild>
                </w:div>
                <w:div w:id="1321499562">
                  <w:marLeft w:val="0"/>
                  <w:marRight w:val="0"/>
                  <w:marTop w:val="0"/>
                  <w:marBottom w:val="0"/>
                  <w:divBdr>
                    <w:top w:val="none" w:sz="0" w:space="0" w:color="auto"/>
                    <w:left w:val="none" w:sz="0" w:space="0" w:color="auto"/>
                    <w:bottom w:val="none" w:sz="0" w:space="0" w:color="auto"/>
                    <w:right w:val="none" w:sz="0" w:space="0" w:color="auto"/>
                  </w:divBdr>
                  <w:divsChild>
                    <w:div w:id="796796392">
                      <w:marLeft w:val="0"/>
                      <w:marRight w:val="0"/>
                      <w:marTop w:val="0"/>
                      <w:marBottom w:val="0"/>
                      <w:divBdr>
                        <w:top w:val="none" w:sz="0" w:space="0" w:color="auto"/>
                        <w:left w:val="none" w:sz="0" w:space="0" w:color="auto"/>
                        <w:bottom w:val="none" w:sz="0" w:space="0" w:color="auto"/>
                        <w:right w:val="none" w:sz="0" w:space="0" w:color="auto"/>
                      </w:divBdr>
                    </w:div>
                  </w:divsChild>
                </w:div>
                <w:div w:id="1372683450">
                  <w:marLeft w:val="0"/>
                  <w:marRight w:val="0"/>
                  <w:marTop w:val="0"/>
                  <w:marBottom w:val="0"/>
                  <w:divBdr>
                    <w:top w:val="none" w:sz="0" w:space="0" w:color="auto"/>
                    <w:left w:val="none" w:sz="0" w:space="0" w:color="auto"/>
                    <w:bottom w:val="none" w:sz="0" w:space="0" w:color="auto"/>
                    <w:right w:val="none" w:sz="0" w:space="0" w:color="auto"/>
                  </w:divBdr>
                  <w:divsChild>
                    <w:div w:id="590702301">
                      <w:marLeft w:val="0"/>
                      <w:marRight w:val="0"/>
                      <w:marTop w:val="0"/>
                      <w:marBottom w:val="0"/>
                      <w:divBdr>
                        <w:top w:val="none" w:sz="0" w:space="0" w:color="auto"/>
                        <w:left w:val="none" w:sz="0" w:space="0" w:color="auto"/>
                        <w:bottom w:val="none" w:sz="0" w:space="0" w:color="auto"/>
                        <w:right w:val="none" w:sz="0" w:space="0" w:color="auto"/>
                      </w:divBdr>
                    </w:div>
                  </w:divsChild>
                </w:div>
                <w:div w:id="1384713715">
                  <w:marLeft w:val="0"/>
                  <w:marRight w:val="0"/>
                  <w:marTop w:val="0"/>
                  <w:marBottom w:val="0"/>
                  <w:divBdr>
                    <w:top w:val="none" w:sz="0" w:space="0" w:color="auto"/>
                    <w:left w:val="none" w:sz="0" w:space="0" w:color="auto"/>
                    <w:bottom w:val="none" w:sz="0" w:space="0" w:color="auto"/>
                    <w:right w:val="none" w:sz="0" w:space="0" w:color="auto"/>
                  </w:divBdr>
                  <w:divsChild>
                    <w:div w:id="370498101">
                      <w:marLeft w:val="0"/>
                      <w:marRight w:val="0"/>
                      <w:marTop w:val="0"/>
                      <w:marBottom w:val="0"/>
                      <w:divBdr>
                        <w:top w:val="none" w:sz="0" w:space="0" w:color="auto"/>
                        <w:left w:val="none" w:sz="0" w:space="0" w:color="auto"/>
                        <w:bottom w:val="none" w:sz="0" w:space="0" w:color="auto"/>
                        <w:right w:val="none" w:sz="0" w:space="0" w:color="auto"/>
                      </w:divBdr>
                    </w:div>
                  </w:divsChild>
                </w:div>
                <w:div w:id="1384792058">
                  <w:marLeft w:val="0"/>
                  <w:marRight w:val="0"/>
                  <w:marTop w:val="0"/>
                  <w:marBottom w:val="0"/>
                  <w:divBdr>
                    <w:top w:val="none" w:sz="0" w:space="0" w:color="auto"/>
                    <w:left w:val="none" w:sz="0" w:space="0" w:color="auto"/>
                    <w:bottom w:val="none" w:sz="0" w:space="0" w:color="auto"/>
                    <w:right w:val="none" w:sz="0" w:space="0" w:color="auto"/>
                  </w:divBdr>
                  <w:divsChild>
                    <w:div w:id="754787016">
                      <w:marLeft w:val="0"/>
                      <w:marRight w:val="0"/>
                      <w:marTop w:val="0"/>
                      <w:marBottom w:val="0"/>
                      <w:divBdr>
                        <w:top w:val="none" w:sz="0" w:space="0" w:color="auto"/>
                        <w:left w:val="none" w:sz="0" w:space="0" w:color="auto"/>
                        <w:bottom w:val="none" w:sz="0" w:space="0" w:color="auto"/>
                        <w:right w:val="none" w:sz="0" w:space="0" w:color="auto"/>
                      </w:divBdr>
                    </w:div>
                  </w:divsChild>
                </w:div>
                <w:div w:id="1388651966">
                  <w:marLeft w:val="0"/>
                  <w:marRight w:val="0"/>
                  <w:marTop w:val="0"/>
                  <w:marBottom w:val="0"/>
                  <w:divBdr>
                    <w:top w:val="none" w:sz="0" w:space="0" w:color="auto"/>
                    <w:left w:val="none" w:sz="0" w:space="0" w:color="auto"/>
                    <w:bottom w:val="none" w:sz="0" w:space="0" w:color="auto"/>
                    <w:right w:val="none" w:sz="0" w:space="0" w:color="auto"/>
                  </w:divBdr>
                  <w:divsChild>
                    <w:div w:id="390423868">
                      <w:marLeft w:val="0"/>
                      <w:marRight w:val="0"/>
                      <w:marTop w:val="0"/>
                      <w:marBottom w:val="0"/>
                      <w:divBdr>
                        <w:top w:val="none" w:sz="0" w:space="0" w:color="auto"/>
                        <w:left w:val="none" w:sz="0" w:space="0" w:color="auto"/>
                        <w:bottom w:val="none" w:sz="0" w:space="0" w:color="auto"/>
                        <w:right w:val="none" w:sz="0" w:space="0" w:color="auto"/>
                      </w:divBdr>
                    </w:div>
                  </w:divsChild>
                </w:div>
                <w:div w:id="1391146424">
                  <w:marLeft w:val="0"/>
                  <w:marRight w:val="0"/>
                  <w:marTop w:val="0"/>
                  <w:marBottom w:val="0"/>
                  <w:divBdr>
                    <w:top w:val="none" w:sz="0" w:space="0" w:color="auto"/>
                    <w:left w:val="none" w:sz="0" w:space="0" w:color="auto"/>
                    <w:bottom w:val="none" w:sz="0" w:space="0" w:color="auto"/>
                    <w:right w:val="none" w:sz="0" w:space="0" w:color="auto"/>
                  </w:divBdr>
                  <w:divsChild>
                    <w:div w:id="1681421946">
                      <w:marLeft w:val="0"/>
                      <w:marRight w:val="0"/>
                      <w:marTop w:val="0"/>
                      <w:marBottom w:val="0"/>
                      <w:divBdr>
                        <w:top w:val="none" w:sz="0" w:space="0" w:color="auto"/>
                        <w:left w:val="none" w:sz="0" w:space="0" w:color="auto"/>
                        <w:bottom w:val="none" w:sz="0" w:space="0" w:color="auto"/>
                        <w:right w:val="none" w:sz="0" w:space="0" w:color="auto"/>
                      </w:divBdr>
                    </w:div>
                  </w:divsChild>
                </w:div>
                <w:div w:id="1395398752">
                  <w:marLeft w:val="0"/>
                  <w:marRight w:val="0"/>
                  <w:marTop w:val="0"/>
                  <w:marBottom w:val="0"/>
                  <w:divBdr>
                    <w:top w:val="none" w:sz="0" w:space="0" w:color="auto"/>
                    <w:left w:val="none" w:sz="0" w:space="0" w:color="auto"/>
                    <w:bottom w:val="none" w:sz="0" w:space="0" w:color="auto"/>
                    <w:right w:val="none" w:sz="0" w:space="0" w:color="auto"/>
                  </w:divBdr>
                  <w:divsChild>
                    <w:div w:id="353266087">
                      <w:marLeft w:val="0"/>
                      <w:marRight w:val="0"/>
                      <w:marTop w:val="0"/>
                      <w:marBottom w:val="0"/>
                      <w:divBdr>
                        <w:top w:val="none" w:sz="0" w:space="0" w:color="auto"/>
                        <w:left w:val="none" w:sz="0" w:space="0" w:color="auto"/>
                        <w:bottom w:val="none" w:sz="0" w:space="0" w:color="auto"/>
                        <w:right w:val="none" w:sz="0" w:space="0" w:color="auto"/>
                      </w:divBdr>
                    </w:div>
                  </w:divsChild>
                </w:div>
                <w:div w:id="1399792440">
                  <w:marLeft w:val="0"/>
                  <w:marRight w:val="0"/>
                  <w:marTop w:val="0"/>
                  <w:marBottom w:val="0"/>
                  <w:divBdr>
                    <w:top w:val="none" w:sz="0" w:space="0" w:color="auto"/>
                    <w:left w:val="none" w:sz="0" w:space="0" w:color="auto"/>
                    <w:bottom w:val="none" w:sz="0" w:space="0" w:color="auto"/>
                    <w:right w:val="none" w:sz="0" w:space="0" w:color="auto"/>
                  </w:divBdr>
                  <w:divsChild>
                    <w:div w:id="309869931">
                      <w:marLeft w:val="0"/>
                      <w:marRight w:val="0"/>
                      <w:marTop w:val="0"/>
                      <w:marBottom w:val="0"/>
                      <w:divBdr>
                        <w:top w:val="none" w:sz="0" w:space="0" w:color="auto"/>
                        <w:left w:val="none" w:sz="0" w:space="0" w:color="auto"/>
                        <w:bottom w:val="none" w:sz="0" w:space="0" w:color="auto"/>
                        <w:right w:val="none" w:sz="0" w:space="0" w:color="auto"/>
                      </w:divBdr>
                    </w:div>
                  </w:divsChild>
                </w:div>
                <w:div w:id="1404182266">
                  <w:marLeft w:val="0"/>
                  <w:marRight w:val="0"/>
                  <w:marTop w:val="0"/>
                  <w:marBottom w:val="0"/>
                  <w:divBdr>
                    <w:top w:val="none" w:sz="0" w:space="0" w:color="auto"/>
                    <w:left w:val="none" w:sz="0" w:space="0" w:color="auto"/>
                    <w:bottom w:val="none" w:sz="0" w:space="0" w:color="auto"/>
                    <w:right w:val="none" w:sz="0" w:space="0" w:color="auto"/>
                  </w:divBdr>
                  <w:divsChild>
                    <w:div w:id="216670349">
                      <w:marLeft w:val="0"/>
                      <w:marRight w:val="0"/>
                      <w:marTop w:val="0"/>
                      <w:marBottom w:val="0"/>
                      <w:divBdr>
                        <w:top w:val="none" w:sz="0" w:space="0" w:color="auto"/>
                        <w:left w:val="none" w:sz="0" w:space="0" w:color="auto"/>
                        <w:bottom w:val="none" w:sz="0" w:space="0" w:color="auto"/>
                        <w:right w:val="none" w:sz="0" w:space="0" w:color="auto"/>
                      </w:divBdr>
                    </w:div>
                  </w:divsChild>
                </w:div>
                <w:div w:id="1404523151">
                  <w:marLeft w:val="0"/>
                  <w:marRight w:val="0"/>
                  <w:marTop w:val="0"/>
                  <w:marBottom w:val="0"/>
                  <w:divBdr>
                    <w:top w:val="none" w:sz="0" w:space="0" w:color="auto"/>
                    <w:left w:val="none" w:sz="0" w:space="0" w:color="auto"/>
                    <w:bottom w:val="none" w:sz="0" w:space="0" w:color="auto"/>
                    <w:right w:val="none" w:sz="0" w:space="0" w:color="auto"/>
                  </w:divBdr>
                  <w:divsChild>
                    <w:div w:id="1730956325">
                      <w:marLeft w:val="0"/>
                      <w:marRight w:val="0"/>
                      <w:marTop w:val="0"/>
                      <w:marBottom w:val="0"/>
                      <w:divBdr>
                        <w:top w:val="none" w:sz="0" w:space="0" w:color="auto"/>
                        <w:left w:val="none" w:sz="0" w:space="0" w:color="auto"/>
                        <w:bottom w:val="none" w:sz="0" w:space="0" w:color="auto"/>
                        <w:right w:val="none" w:sz="0" w:space="0" w:color="auto"/>
                      </w:divBdr>
                    </w:div>
                  </w:divsChild>
                </w:div>
                <w:div w:id="1421564845">
                  <w:marLeft w:val="0"/>
                  <w:marRight w:val="0"/>
                  <w:marTop w:val="0"/>
                  <w:marBottom w:val="0"/>
                  <w:divBdr>
                    <w:top w:val="none" w:sz="0" w:space="0" w:color="auto"/>
                    <w:left w:val="none" w:sz="0" w:space="0" w:color="auto"/>
                    <w:bottom w:val="none" w:sz="0" w:space="0" w:color="auto"/>
                    <w:right w:val="none" w:sz="0" w:space="0" w:color="auto"/>
                  </w:divBdr>
                  <w:divsChild>
                    <w:div w:id="1725330105">
                      <w:marLeft w:val="0"/>
                      <w:marRight w:val="0"/>
                      <w:marTop w:val="0"/>
                      <w:marBottom w:val="0"/>
                      <w:divBdr>
                        <w:top w:val="none" w:sz="0" w:space="0" w:color="auto"/>
                        <w:left w:val="none" w:sz="0" w:space="0" w:color="auto"/>
                        <w:bottom w:val="none" w:sz="0" w:space="0" w:color="auto"/>
                        <w:right w:val="none" w:sz="0" w:space="0" w:color="auto"/>
                      </w:divBdr>
                    </w:div>
                  </w:divsChild>
                </w:div>
                <w:div w:id="1456369955">
                  <w:marLeft w:val="0"/>
                  <w:marRight w:val="0"/>
                  <w:marTop w:val="0"/>
                  <w:marBottom w:val="0"/>
                  <w:divBdr>
                    <w:top w:val="none" w:sz="0" w:space="0" w:color="auto"/>
                    <w:left w:val="none" w:sz="0" w:space="0" w:color="auto"/>
                    <w:bottom w:val="none" w:sz="0" w:space="0" w:color="auto"/>
                    <w:right w:val="none" w:sz="0" w:space="0" w:color="auto"/>
                  </w:divBdr>
                  <w:divsChild>
                    <w:div w:id="1651862451">
                      <w:marLeft w:val="0"/>
                      <w:marRight w:val="0"/>
                      <w:marTop w:val="0"/>
                      <w:marBottom w:val="0"/>
                      <w:divBdr>
                        <w:top w:val="none" w:sz="0" w:space="0" w:color="auto"/>
                        <w:left w:val="none" w:sz="0" w:space="0" w:color="auto"/>
                        <w:bottom w:val="none" w:sz="0" w:space="0" w:color="auto"/>
                        <w:right w:val="none" w:sz="0" w:space="0" w:color="auto"/>
                      </w:divBdr>
                    </w:div>
                  </w:divsChild>
                </w:div>
                <w:div w:id="1486126637">
                  <w:marLeft w:val="0"/>
                  <w:marRight w:val="0"/>
                  <w:marTop w:val="0"/>
                  <w:marBottom w:val="0"/>
                  <w:divBdr>
                    <w:top w:val="none" w:sz="0" w:space="0" w:color="auto"/>
                    <w:left w:val="none" w:sz="0" w:space="0" w:color="auto"/>
                    <w:bottom w:val="none" w:sz="0" w:space="0" w:color="auto"/>
                    <w:right w:val="none" w:sz="0" w:space="0" w:color="auto"/>
                  </w:divBdr>
                  <w:divsChild>
                    <w:div w:id="1878859353">
                      <w:marLeft w:val="0"/>
                      <w:marRight w:val="0"/>
                      <w:marTop w:val="0"/>
                      <w:marBottom w:val="0"/>
                      <w:divBdr>
                        <w:top w:val="none" w:sz="0" w:space="0" w:color="auto"/>
                        <w:left w:val="none" w:sz="0" w:space="0" w:color="auto"/>
                        <w:bottom w:val="none" w:sz="0" w:space="0" w:color="auto"/>
                        <w:right w:val="none" w:sz="0" w:space="0" w:color="auto"/>
                      </w:divBdr>
                    </w:div>
                  </w:divsChild>
                </w:div>
                <w:div w:id="1508446919">
                  <w:marLeft w:val="0"/>
                  <w:marRight w:val="0"/>
                  <w:marTop w:val="0"/>
                  <w:marBottom w:val="0"/>
                  <w:divBdr>
                    <w:top w:val="none" w:sz="0" w:space="0" w:color="auto"/>
                    <w:left w:val="none" w:sz="0" w:space="0" w:color="auto"/>
                    <w:bottom w:val="none" w:sz="0" w:space="0" w:color="auto"/>
                    <w:right w:val="none" w:sz="0" w:space="0" w:color="auto"/>
                  </w:divBdr>
                  <w:divsChild>
                    <w:div w:id="2014333462">
                      <w:marLeft w:val="0"/>
                      <w:marRight w:val="0"/>
                      <w:marTop w:val="0"/>
                      <w:marBottom w:val="0"/>
                      <w:divBdr>
                        <w:top w:val="none" w:sz="0" w:space="0" w:color="auto"/>
                        <w:left w:val="none" w:sz="0" w:space="0" w:color="auto"/>
                        <w:bottom w:val="none" w:sz="0" w:space="0" w:color="auto"/>
                        <w:right w:val="none" w:sz="0" w:space="0" w:color="auto"/>
                      </w:divBdr>
                    </w:div>
                  </w:divsChild>
                </w:div>
                <w:div w:id="1527326459">
                  <w:marLeft w:val="0"/>
                  <w:marRight w:val="0"/>
                  <w:marTop w:val="0"/>
                  <w:marBottom w:val="0"/>
                  <w:divBdr>
                    <w:top w:val="none" w:sz="0" w:space="0" w:color="auto"/>
                    <w:left w:val="none" w:sz="0" w:space="0" w:color="auto"/>
                    <w:bottom w:val="none" w:sz="0" w:space="0" w:color="auto"/>
                    <w:right w:val="none" w:sz="0" w:space="0" w:color="auto"/>
                  </w:divBdr>
                  <w:divsChild>
                    <w:div w:id="2054693589">
                      <w:marLeft w:val="0"/>
                      <w:marRight w:val="0"/>
                      <w:marTop w:val="0"/>
                      <w:marBottom w:val="0"/>
                      <w:divBdr>
                        <w:top w:val="none" w:sz="0" w:space="0" w:color="auto"/>
                        <w:left w:val="none" w:sz="0" w:space="0" w:color="auto"/>
                        <w:bottom w:val="none" w:sz="0" w:space="0" w:color="auto"/>
                        <w:right w:val="none" w:sz="0" w:space="0" w:color="auto"/>
                      </w:divBdr>
                    </w:div>
                  </w:divsChild>
                </w:div>
                <w:div w:id="1529220295">
                  <w:marLeft w:val="0"/>
                  <w:marRight w:val="0"/>
                  <w:marTop w:val="0"/>
                  <w:marBottom w:val="0"/>
                  <w:divBdr>
                    <w:top w:val="none" w:sz="0" w:space="0" w:color="auto"/>
                    <w:left w:val="none" w:sz="0" w:space="0" w:color="auto"/>
                    <w:bottom w:val="none" w:sz="0" w:space="0" w:color="auto"/>
                    <w:right w:val="none" w:sz="0" w:space="0" w:color="auto"/>
                  </w:divBdr>
                  <w:divsChild>
                    <w:div w:id="703679145">
                      <w:marLeft w:val="0"/>
                      <w:marRight w:val="0"/>
                      <w:marTop w:val="0"/>
                      <w:marBottom w:val="0"/>
                      <w:divBdr>
                        <w:top w:val="none" w:sz="0" w:space="0" w:color="auto"/>
                        <w:left w:val="none" w:sz="0" w:space="0" w:color="auto"/>
                        <w:bottom w:val="none" w:sz="0" w:space="0" w:color="auto"/>
                        <w:right w:val="none" w:sz="0" w:space="0" w:color="auto"/>
                      </w:divBdr>
                    </w:div>
                  </w:divsChild>
                </w:div>
                <w:div w:id="1533690547">
                  <w:marLeft w:val="0"/>
                  <w:marRight w:val="0"/>
                  <w:marTop w:val="0"/>
                  <w:marBottom w:val="0"/>
                  <w:divBdr>
                    <w:top w:val="none" w:sz="0" w:space="0" w:color="auto"/>
                    <w:left w:val="none" w:sz="0" w:space="0" w:color="auto"/>
                    <w:bottom w:val="none" w:sz="0" w:space="0" w:color="auto"/>
                    <w:right w:val="none" w:sz="0" w:space="0" w:color="auto"/>
                  </w:divBdr>
                  <w:divsChild>
                    <w:div w:id="510684840">
                      <w:marLeft w:val="0"/>
                      <w:marRight w:val="0"/>
                      <w:marTop w:val="0"/>
                      <w:marBottom w:val="0"/>
                      <w:divBdr>
                        <w:top w:val="none" w:sz="0" w:space="0" w:color="auto"/>
                        <w:left w:val="none" w:sz="0" w:space="0" w:color="auto"/>
                        <w:bottom w:val="none" w:sz="0" w:space="0" w:color="auto"/>
                        <w:right w:val="none" w:sz="0" w:space="0" w:color="auto"/>
                      </w:divBdr>
                    </w:div>
                  </w:divsChild>
                </w:div>
                <w:div w:id="1550069553">
                  <w:marLeft w:val="0"/>
                  <w:marRight w:val="0"/>
                  <w:marTop w:val="0"/>
                  <w:marBottom w:val="0"/>
                  <w:divBdr>
                    <w:top w:val="none" w:sz="0" w:space="0" w:color="auto"/>
                    <w:left w:val="none" w:sz="0" w:space="0" w:color="auto"/>
                    <w:bottom w:val="none" w:sz="0" w:space="0" w:color="auto"/>
                    <w:right w:val="none" w:sz="0" w:space="0" w:color="auto"/>
                  </w:divBdr>
                  <w:divsChild>
                    <w:div w:id="1755054629">
                      <w:marLeft w:val="0"/>
                      <w:marRight w:val="0"/>
                      <w:marTop w:val="0"/>
                      <w:marBottom w:val="0"/>
                      <w:divBdr>
                        <w:top w:val="none" w:sz="0" w:space="0" w:color="auto"/>
                        <w:left w:val="none" w:sz="0" w:space="0" w:color="auto"/>
                        <w:bottom w:val="none" w:sz="0" w:space="0" w:color="auto"/>
                        <w:right w:val="none" w:sz="0" w:space="0" w:color="auto"/>
                      </w:divBdr>
                    </w:div>
                  </w:divsChild>
                </w:div>
                <w:div w:id="1562400149">
                  <w:marLeft w:val="0"/>
                  <w:marRight w:val="0"/>
                  <w:marTop w:val="0"/>
                  <w:marBottom w:val="0"/>
                  <w:divBdr>
                    <w:top w:val="none" w:sz="0" w:space="0" w:color="auto"/>
                    <w:left w:val="none" w:sz="0" w:space="0" w:color="auto"/>
                    <w:bottom w:val="none" w:sz="0" w:space="0" w:color="auto"/>
                    <w:right w:val="none" w:sz="0" w:space="0" w:color="auto"/>
                  </w:divBdr>
                  <w:divsChild>
                    <w:div w:id="425538252">
                      <w:marLeft w:val="0"/>
                      <w:marRight w:val="0"/>
                      <w:marTop w:val="0"/>
                      <w:marBottom w:val="0"/>
                      <w:divBdr>
                        <w:top w:val="none" w:sz="0" w:space="0" w:color="auto"/>
                        <w:left w:val="none" w:sz="0" w:space="0" w:color="auto"/>
                        <w:bottom w:val="none" w:sz="0" w:space="0" w:color="auto"/>
                        <w:right w:val="none" w:sz="0" w:space="0" w:color="auto"/>
                      </w:divBdr>
                    </w:div>
                  </w:divsChild>
                </w:div>
                <w:div w:id="1590966195">
                  <w:marLeft w:val="0"/>
                  <w:marRight w:val="0"/>
                  <w:marTop w:val="0"/>
                  <w:marBottom w:val="0"/>
                  <w:divBdr>
                    <w:top w:val="none" w:sz="0" w:space="0" w:color="auto"/>
                    <w:left w:val="none" w:sz="0" w:space="0" w:color="auto"/>
                    <w:bottom w:val="none" w:sz="0" w:space="0" w:color="auto"/>
                    <w:right w:val="none" w:sz="0" w:space="0" w:color="auto"/>
                  </w:divBdr>
                  <w:divsChild>
                    <w:div w:id="645938526">
                      <w:marLeft w:val="0"/>
                      <w:marRight w:val="0"/>
                      <w:marTop w:val="0"/>
                      <w:marBottom w:val="0"/>
                      <w:divBdr>
                        <w:top w:val="none" w:sz="0" w:space="0" w:color="auto"/>
                        <w:left w:val="none" w:sz="0" w:space="0" w:color="auto"/>
                        <w:bottom w:val="none" w:sz="0" w:space="0" w:color="auto"/>
                        <w:right w:val="none" w:sz="0" w:space="0" w:color="auto"/>
                      </w:divBdr>
                    </w:div>
                  </w:divsChild>
                </w:div>
                <w:div w:id="1628001688">
                  <w:marLeft w:val="0"/>
                  <w:marRight w:val="0"/>
                  <w:marTop w:val="0"/>
                  <w:marBottom w:val="0"/>
                  <w:divBdr>
                    <w:top w:val="none" w:sz="0" w:space="0" w:color="auto"/>
                    <w:left w:val="none" w:sz="0" w:space="0" w:color="auto"/>
                    <w:bottom w:val="none" w:sz="0" w:space="0" w:color="auto"/>
                    <w:right w:val="none" w:sz="0" w:space="0" w:color="auto"/>
                  </w:divBdr>
                  <w:divsChild>
                    <w:div w:id="322782839">
                      <w:marLeft w:val="0"/>
                      <w:marRight w:val="0"/>
                      <w:marTop w:val="0"/>
                      <w:marBottom w:val="0"/>
                      <w:divBdr>
                        <w:top w:val="none" w:sz="0" w:space="0" w:color="auto"/>
                        <w:left w:val="none" w:sz="0" w:space="0" w:color="auto"/>
                        <w:bottom w:val="none" w:sz="0" w:space="0" w:color="auto"/>
                        <w:right w:val="none" w:sz="0" w:space="0" w:color="auto"/>
                      </w:divBdr>
                    </w:div>
                  </w:divsChild>
                </w:div>
                <w:div w:id="1630042415">
                  <w:marLeft w:val="0"/>
                  <w:marRight w:val="0"/>
                  <w:marTop w:val="0"/>
                  <w:marBottom w:val="0"/>
                  <w:divBdr>
                    <w:top w:val="none" w:sz="0" w:space="0" w:color="auto"/>
                    <w:left w:val="none" w:sz="0" w:space="0" w:color="auto"/>
                    <w:bottom w:val="none" w:sz="0" w:space="0" w:color="auto"/>
                    <w:right w:val="none" w:sz="0" w:space="0" w:color="auto"/>
                  </w:divBdr>
                  <w:divsChild>
                    <w:div w:id="1349791413">
                      <w:marLeft w:val="0"/>
                      <w:marRight w:val="0"/>
                      <w:marTop w:val="0"/>
                      <w:marBottom w:val="0"/>
                      <w:divBdr>
                        <w:top w:val="none" w:sz="0" w:space="0" w:color="auto"/>
                        <w:left w:val="none" w:sz="0" w:space="0" w:color="auto"/>
                        <w:bottom w:val="none" w:sz="0" w:space="0" w:color="auto"/>
                        <w:right w:val="none" w:sz="0" w:space="0" w:color="auto"/>
                      </w:divBdr>
                    </w:div>
                  </w:divsChild>
                </w:div>
                <w:div w:id="1632787349">
                  <w:marLeft w:val="0"/>
                  <w:marRight w:val="0"/>
                  <w:marTop w:val="0"/>
                  <w:marBottom w:val="0"/>
                  <w:divBdr>
                    <w:top w:val="none" w:sz="0" w:space="0" w:color="auto"/>
                    <w:left w:val="none" w:sz="0" w:space="0" w:color="auto"/>
                    <w:bottom w:val="none" w:sz="0" w:space="0" w:color="auto"/>
                    <w:right w:val="none" w:sz="0" w:space="0" w:color="auto"/>
                  </w:divBdr>
                  <w:divsChild>
                    <w:div w:id="1921794288">
                      <w:marLeft w:val="0"/>
                      <w:marRight w:val="0"/>
                      <w:marTop w:val="0"/>
                      <w:marBottom w:val="0"/>
                      <w:divBdr>
                        <w:top w:val="none" w:sz="0" w:space="0" w:color="auto"/>
                        <w:left w:val="none" w:sz="0" w:space="0" w:color="auto"/>
                        <w:bottom w:val="none" w:sz="0" w:space="0" w:color="auto"/>
                        <w:right w:val="none" w:sz="0" w:space="0" w:color="auto"/>
                      </w:divBdr>
                    </w:div>
                  </w:divsChild>
                </w:div>
                <w:div w:id="1644121450">
                  <w:marLeft w:val="0"/>
                  <w:marRight w:val="0"/>
                  <w:marTop w:val="0"/>
                  <w:marBottom w:val="0"/>
                  <w:divBdr>
                    <w:top w:val="none" w:sz="0" w:space="0" w:color="auto"/>
                    <w:left w:val="none" w:sz="0" w:space="0" w:color="auto"/>
                    <w:bottom w:val="none" w:sz="0" w:space="0" w:color="auto"/>
                    <w:right w:val="none" w:sz="0" w:space="0" w:color="auto"/>
                  </w:divBdr>
                  <w:divsChild>
                    <w:div w:id="1586456075">
                      <w:marLeft w:val="0"/>
                      <w:marRight w:val="0"/>
                      <w:marTop w:val="0"/>
                      <w:marBottom w:val="0"/>
                      <w:divBdr>
                        <w:top w:val="none" w:sz="0" w:space="0" w:color="auto"/>
                        <w:left w:val="none" w:sz="0" w:space="0" w:color="auto"/>
                        <w:bottom w:val="none" w:sz="0" w:space="0" w:color="auto"/>
                        <w:right w:val="none" w:sz="0" w:space="0" w:color="auto"/>
                      </w:divBdr>
                    </w:div>
                  </w:divsChild>
                </w:div>
                <w:div w:id="1648971208">
                  <w:marLeft w:val="0"/>
                  <w:marRight w:val="0"/>
                  <w:marTop w:val="0"/>
                  <w:marBottom w:val="0"/>
                  <w:divBdr>
                    <w:top w:val="none" w:sz="0" w:space="0" w:color="auto"/>
                    <w:left w:val="none" w:sz="0" w:space="0" w:color="auto"/>
                    <w:bottom w:val="none" w:sz="0" w:space="0" w:color="auto"/>
                    <w:right w:val="none" w:sz="0" w:space="0" w:color="auto"/>
                  </w:divBdr>
                  <w:divsChild>
                    <w:div w:id="12801106">
                      <w:marLeft w:val="0"/>
                      <w:marRight w:val="0"/>
                      <w:marTop w:val="0"/>
                      <w:marBottom w:val="0"/>
                      <w:divBdr>
                        <w:top w:val="none" w:sz="0" w:space="0" w:color="auto"/>
                        <w:left w:val="none" w:sz="0" w:space="0" w:color="auto"/>
                        <w:bottom w:val="none" w:sz="0" w:space="0" w:color="auto"/>
                        <w:right w:val="none" w:sz="0" w:space="0" w:color="auto"/>
                      </w:divBdr>
                    </w:div>
                  </w:divsChild>
                </w:div>
                <w:div w:id="1661351303">
                  <w:marLeft w:val="0"/>
                  <w:marRight w:val="0"/>
                  <w:marTop w:val="0"/>
                  <w:marBottom w:val="0"/>
                  <w:divBdr>
                    <w:top w:val="none" w:sz="0" w:space="0" w:color="auto"/>
                    <w:left w:val="none" w:sz="0" w:space="0" w:color="auto"/>
                    <w:bottom w:val="none" w:sz="0" w:space="0" w:color="auto"/>
                    <w:right w:val="none" w:sz="0" w:space="0" w:color="auto"/>
                  </w:divBdr>
                  <w:divsChild>
                    <w:div w:id="2052420542">
                      <w:marLeft w:val="0"/>
                      <w:marRight w:val="0"/>
                      <w:marTop w:val="0"/>
                      <w:marBottom w:val="0"/>
                      <w:divBdr>
                        <w:top w:val="none" w:sz="0" w:space="0" w:color="auto"/>
                        <w:left w:val="none" w:sz="0" w:space="0" w:color="auto"/>
                        <w:bottom w:val="none" w:sz="0" w:space="0" w:color="auto"/>
                        <w:right w:val="none" w:sz="0" w:space="0" w:color="auto"/>
                      </w:divBdr>
                    </w:div>
                  </w:divsChild>
                </w:div>
                <w:div w:id="1670911220">
                  <w:marLeft w:val="0"/>
                  <w:marRight w:val="0"/>
                  <w:marTop w:val="0"/>
                  <w:marBottom w:val="0"/>
                  <w:divBdr>
                    <w:top w:val="none" w:sz="0" w:space="0" w:color="auto"/>
                    <w:left w:val="none" w:sz="0" w:space="0" w:color="auto"/>
                    <w:bottom w:val="none" w:sz="0" w:space="0" w:color="auto"/>
                    <w:right w:val="none" w:sz="0" w:space="0" w:color="auto"/>
                  </w:divBdr>
                  <w:divsChild>
                    <w:div w:id="69618609">
                      <w:marLeft w:val="0"/>
                      <w:marRight w:val="0"/>
                      <w:marTop w:val="0"/>
                      <w:marBottom w:val="0"/>
                      <w:divBdr>
                        <w:top w:val="none" w:sz="0" w:space="0" w:color="auto"/>
                        <w:left w:val="none" w:sz="0" w:space="0" w:color="auto"/>
                        <w:bottom w:val="none" w:sz="0" w:space="0" w:color="auto"/>
                        <w:right w:val="none" w:sz="0" w:space="0" w:color="auto"/>
                      </w:divBdr>
                    </w:div>
                  </w:divsChild>
                </w:div>
                <w:div w:id="1704595138">
                  <w:marLeft w:val="0"/>
                  <w:marRight w:val="0"/>
                  <w:marTop w:val="0"/>
                  <w:marBottom w:val="0"/>
                  <w:divBdr>
                    <w:top w:val="none" w:sz="0" w:space="0" w:color="auto"/>
                    <w:left w:val="none" w:sz="0" w:space="0" w:color="auto"/>
                    <w:bottom w:val="none" w:sz="0" w:space="0" w:color="auto"/>
                    <w:right w:val="none" w:sz="0" w:space="0" w:color="auto"/>
                  </w:divBdr>
                  <w:divsChild>
                    <w:div w:id="721517489">
                      <w:marLeft w:val="0"/>
                      <w:marRight w:val="0"/>
                      <w:marTop w:val="0"/>
                      <w:marBottom w:val="0"/>
                      <w:divBdr>
                        <w:top w:val="none" w:sz="0" w:space="0" w:color="auto"/>
                        <w:left w:val="none" w:sz="0" w:space="0" w:color="auto"/>
                        <w:bottom w:val="none" w:sz="0" w:space="0" w:color="auto"/>
                        <w:right w:val="none" w:sz="0" w:space="0" w:color="auto"/>
                      </w:divBdr>
                    </w:div>
                  </w:divsChild>
                </w:div>
                <w:div w:id="1753237534">
                  <w:marLeft w:val="0"/>
                  <w:marRight w:val="0"/>
                  <w:marTop w:val="0"/>
                  <w:marBottom w:val="0"/>
                  <w:divBdr>
                    <w:top w:val="none" w:sz="0" w:space="0" w:color="auto"/>
                    <w:left w:val="none" w:sz="0" w:space="0" w:color="auto"/>
                    <w:bottom w:val="none" w:sz="0" w:space="0" w:color="auto"/>
                    <w:right w:val="none" w:sz="0" w:space="0" w:color="auto"/>
                  </w:divBdr>
                  <w:divsChild>
                    <w:div w:id="1367215524">
                      <w:marLeft w:val="0"/>
                      <w:marRight w:val="0"/>
                      <w:marTop w:val="0"/>
                      <w:marBottom w:val="0"/>
                      <w:divBdr>
                        <w:top w:val="none" w:sz="0" w:space="0" w:color="auto"/>
                        <w:left w:val="none" w:sz="0" w:space="0" w:color="auto"/>
                        <w:bottom w:val="none" w:sz="0" w:space="0" w:color="auto"/>
                        <w:right w:val="none" w:sz="0" w:space="0" w:color="auto"/>
                      </w:divBdr>
                    </w:div>
                  </w:divsChild>
                </w:div>
                <w:div w:id="1830748720">
                  <w:marLeft w:val="0"/>
                  <w:marRight w:val="0"/>
                  <w:marTop w:val="0"/>
                  <w:marBottom w:val="0"/>
                  <w:divBdr>
                    <w:top w:val="none" w:sz="0" w:space="0" w:color="auto"/>
                    <w:left w:val="none" w:sz="0" w:space="0" w:color="auto"/>
                    <w:bottom w:val="none" w:sz="0" w:space="0" w:color="auto"/>
                    <w:right w:val="none" w:sz="0" w:space="0" w:color="auto"/>
                  </w:divBdr>
                  <w:divsChild>
                    <w:div w:id="1684359766">
                      <w:marLeft w:val="0"/>
                      <w:marRight w:val="0"/>
                      <w:marTop w:val="0"/>
                      <w:marBottom w:val="0"/>
                      <w:divBdr>
                        <w:top w:val="none" w:sz="0" w:space="0" w:color="auto"/>
                        <w:left w:val="none" w:sz="0" w:space="0" w:color="auto"/>
                        <w:bottom w:val="none" w:sz="0" w:space="0" w:color="auto"/>
                        <w:right w:val="none" w:sz="0" w:space="0" w:color="auto"/>
                      </w:divBdr>
                    </w:div>
                  </w:divsChild>
                </w:div>
                <w:div w:id="1853259254">
                  <w:marLeft w:val="0"/>
                  <w:marRight w:val="0"/>
                  <w:marTop w:val="0"/>
                  <w:marBottom w:val="0"/>
                  <w:divBdr>
                    <w:top w:val="none" w:sz="0" w:space="0" w:color="auto"/>
                    <w:left w:val="none" w:sz="0" w:space="0" w:color="auto"/>
                    <w:bottom w:val="none" w:sz="0" w:space="0" w:color="auto"/>
                    <w:right w:val="none" w:sz="0" w:space="0" w:color="auto"/>
                  </w:divBdr>
                  <w:divsChild>
                    <w:div w:id="352194047">
                      <w:marLeft w:val="0"/>
                      <w:marRight w:val="0"/>
                      <w:marTop w:val="0"/>
                      <w:marBottom w:val="0"/>
                      <w:divBdr>
                        <w:top w:val="none" w:sz="0" w:space="0" w:color="auto"/>
                        <w:left w:val="none" w:sz="0" w:space="0" w:color="auto"/>
                        <w:bottom w:val="none" w:sz="0" w:space="0" w:color="auto"/>
                        <w:right w:val="none" w:sz="0" w:space="0" w:color="auto"/>
                      </w:divBdr>
                    </w:div>
                  </w:divsChild>
                </w:div>
                <w:div w:id="1869685519">
                  <w:marLeft w:val="0"/>
                  <w:marRight w:val="0"/>
                  <w:marTop w:val="0"/>
                  <w:marBottom w:val="0"/>
                  <w:divBdr>
                    <w:top w:val="none" w:sz="0" w:space="0" w:color="auto"/>
                    <w:left w:val="none" w:sz="0" w:space="0" w:color="auto"/>
                    <w:bottom w:val="none" w:sz="0" w:space="0" w:color="auto"/>
                    <w:right w:val="none" w:sz="0" w:space="0" w:color="auto"/>
                  </w:divBdr>
                  <w:divsChild>
                    <w:div w:id="2003120024">
                      <w:marLeft w:val="0"/>
                      <w:marRight w:val="0"/>
                      <w:marTop w:val="0"/>
                      <w:marBottom w:val="0"/>
                      <w:divBdr>
                        <w:top w:val="none" w:sz="0" w:space="0" w:color="auto"/>
                        <w:left w:val="none" w:sz="0" w:space="0" w:color="auto"/>
                        <w:bottom w:val="none" w:sz="0" w:space="0" w:color="auto"/>
                        <w:right w:val="none" w:sz="0" w:space="0" w:color="auto"/>
                      </w:divBdr>
                    </w:div>
                  </w:divsChild>
                </w:div>
                <w:div w:id="1869832891">
                  <w:marLeft w:val="0"/>
                  <w:marRight w:val="0"/>
                  <w:marTop w:val="0"/>
                  <w:marBottom w:val="0"/>
                  <w:divBdr>
                    <w:top w:val="none" w:sz="0" w:space="0" w:color="auto"/>
                    <w:left w:val="none" w:sz="0" w:space="0" w:color="auto"/>
                    <w:bottom w:val="none" w:sz="0" w:space="0" w:color="auto"/>
                    <w:right w:val="none" w:sz="0" w:space="0" w:color="auto"/>
                  </w:divBdr>
                  <w:divsChild>
                    <w:div w:id="271597262">
                      <w:marLeft w:val="0"/>
                      <w:marRight w:val="0"/>
                      <w:marTop w:val="0"/>
                      <w:marBottom w:val="0"/>
                      <w:divBdr>
                        <w:top w:val="none" w:sz="0" w:space="0" w:color="auto"/>
                        <w:left w:val="none" w:sz="0" w:space="0" w:color="auto"/>
                        <w:bottom w:val="none" w:sz="0" w:space="0" w:color="auto"/>
                        <w:right w:val="none" w:sz="0" w:space="0" w:color="auto"/>
                      </w:divBdr>
                    </w:div>
                  </w:divsChild>
                </w:div>
                <w:div w:id="1872919126">
                  <w:marLeft w:val="0"/>
                  <w:marRight w:val="0"/>
                  <w:marTop w:val="0"/>
                  <w:marBottom w:val="0"/>
                  <w:divBdr>
                    <w:top w:val="none" w:sz="0" w:space="0" w:color="auto"/>
                    <w:left w:val="none" w:sz="0" w:space="0" w:color="auto"/>
                    <w:bottom w:val="none" w:sz="0" w:space="0" w:color="auto"/>
                    <w:right w:val="none" w:sz="0" w:space="0" w:color="auto"/>
                  </w:divBdr>
                  <w:divsChild>
                    <w:div w:id="626855373">
                      <w:marLeft w:val="0"/>
                      <w:marRight w:val="0"/>
                      <w:marTop w:val="0"/>
                      <w:marBottom w:val="0"/>
                      <w:divBdr>
                        <w:top w:val="none" w:sz="0" w:space="0" w:color="auto"/>
                        <w:left w:val="none" w:sz="0" w:space="0" w:color="auto"/>
                        <w:bottom w:val="none" w:sz="0" w:space="0" w:color="auto"/>
                        <w:right w:val="none" w:sz="0" w:space="0" w:color="auto"/>
                      </w:divBdr>
                    </w:div>
                  </w:divsChild>
                </w:div>
                <w:div w:id="1879855434">
                  <w:marLeft w:val="0"/>
                  <w:marRight w:val="0"/>
                  <w:marTop w:val="0"/>
                  <w:marBottom w:val="0"/>
                  <w:divBdr>
                    <w:top w:val="none" w:sz="0" w:space="0" w:color="auto"/>
                    <w:left w:val="none" w:sz="0" w:space="0" w:color="auto"/>
                    <w:bottom w:val="none" w:sz="0" w:space="0" w:color="auto"/>
                    <w:right w:val="none" w:sz="0" w:space="0" w:color="auto"/>
                  </w:divBdr>
                  <w:divsChild>
                    <w:div w:id="2011445378">
                      <w:marLeft w:val="0"/>
                      <w:marRight w:val="0"/>
                      <w:marTop w:val="0"/>
                      <w:marBottom w:val="0"/>
                      <w:divBdr>
                        <w:top w:val="none" w:sz="0" w:space="0" w:color="auto"/>
                        <w:left w:val="none" w:sz="0" w:space="0" w:color="auto"/>
                        <w:bottom w:val="none" w:sz="0" w:space="0" w:color="auto"/>
                        <w:right w:val="none" w:sz="0" w:space="0" w:color="auto"/>
                      </w:divBdr>
                    </w:div>
                  </w:divsChild>
                </w:div>
                <w:div w:id="1907568257">
                  <w:marLeft w:val="0"/>
                  <w:marRight w:val="0"/>
                  <w:marTop w:val="0"/>
                  <w:marBottom w:val="0"/>
                  <w:divBdr>
                    <w:top w:val="none" w:sz="0" w:space="0" w:color="auto"/>
                    <w:left w:val="none" w:sz="0" w:space="0" w:color="auto"/>
                    <w:bottom w:val="none" w:sz="0" w:space="0" w:color="auto"/>
                    <w:right w:val="none" w:sz="0" w:space="0" w:color="auto"/>
                  </w:divBdr>
                  <w:divsChild>
                    <w:div w:id="1025985541">
                      <w:marLeft w:val="0"/>
                      <w:marRight w:val="0"/>
                      <w:marTop w:val="0"/>
                      <w:marBottom w:val="0"/>
                      <w:divBdr>
                        <w:top w:val="none" w:sz="0" w:space="0" w:color="auto"/>
                        <w:left w:val="none" w:sz="0" w:space="0" w:color="auto"/>
                        <w:bottom w:val="none" w:sz="0" w:space="0" w:color="auto"/>
                        <w:right w:val="none" w:sz="0" w:space="0" w:color="auto"/>
                      </w:divBdr>
                    </w:div>
                  </w:divsChild>
                </w:div>
                <w:div w:id="1931810153">
                  <w:marLeft w:val="0"/>
                  <w:marRight w:val="0"/>
                  <w:marTop w:val="0"/>
                  <w:marBottom w:val="0"/>
                  <w:divBdr>
                    <w:top w:val="none" w:sz="0" w:space="0" w:color="auto"/>
                    <w:left w:val="none" w:sz="0" w:space="0" w:color="auto"/>
                    <w:bottom w:val="none" w:sz="0" w:space="0" w:color="auto"/>
                    <w:right w:val="none" w:sz="0" w:space="0" w:color="auto"/>
                  </w:divBdr>
                  <w:divsChild>
                    <w:div w:id="1418139906">
                      <w:marLeft w:val="0"/>
                      <w:marRight w:val="0"/>
                      <w:marTop w:val="0"/>
                      <w:marBottom w:val="0"/>
                      <w:divBdr>
                        <w:top w:val="none" w:sz="0" w:space="0" w:color="auto"/>
                        <w:left w:val="none" w:sz="0" w:space="0" w:color="auto"/>
                        <w:bottom w:val="none" w:sz="0" w:space="0" w:color="auto"/>
                        <w:right w:val="none" w:sz="0" w:space="0" w:color="auto"/>
                      </w:divBdr>
                    </w:div>
                  </w:divsChild>
                </w:div>
                <w:div w:id="1950888612">
                  <w:marLeft w:val="0"/>
                  <w:marRight w:val="0"/>
                  <w:marTop w:val="0"/>
                  <w:marBottom w:val="0"/>
                  <w:divBdr>
                    <w:top w:val="none" w:sz="0" w:space="0" w:color="auto"/>
                    <w:left w:val="none" w:sz="0" w:space="0" w:color="auto"/>
                    <w:bottom w:val="none" w:sz="0" w:space="0" w:color="auto"/>
                    <w:right w:val="none" w:sz="0" w:space="0" w:color="auto"/>
                  </w:divBdr>
                  <w:divsChild>
                    <w:div w:id="545991943">
                      <w:marLeft w:val="0"/>
                      <w:marRight w:val="0"/>
                      <w:marTop w:val="0"/>
                      <w:marBottom w:val="0"/>
                      <w:divBdr>
                        <w:top w:val="none" w:sz="0" w:space="0" w:color="auto"/>
                        <w:left w:val="none" w:sz="0" w:space="0" w:color="auto"/>
                        <w:bottom w:val="none" w:sz="0" w:space="0" w:color="auto"/>
                        <w:right w:val="none" w:sz="0" w:space="0" w:color="auto"/>
                      </w:divBdr>
                    </w:div>
                  </w:divsChild>
                </w:div>
                <w:div w:id="1970625660">
                  <w:marLeft w:val="0"/>
                  <w:marRight w:val="0"/>
                  <w:marTop w:val="0"/>
                  <w:marBottom w:val="0"/>
                  <w:divBdr>
                    <w:top w:val="none" w:sz="0" w:space="0" w:color="auto"/>
                    <w:left w:val="none" w:sz="0" w:space="0" w:color="auto"/>
                    <w:bottom w:val="none" w:sz="0" w:space="0" w:color="auto"/>
                    <w:right w:val="none" w:sz="0" w:space="0" w:color="auto"/>
                  </w:divBdr>
                  <w:divsChild>
                    <w:div w:id="1980956932">
                      <w:marLeft w:val="0"/>
                      <w:marRight w:val="0"/>
                      <w:marTop w:val="0"/>
                      <w:marBottom w:val="0"/>
                      <w:divBdr>
                        <w:top w:val="none" w:sz="0" w:space="0" w:color="auto"/>
                        <w:left w:val="none" w:sz="0" w:space="0" w:color="auto"/>
                        <w:bottom w:val="none" w:sz="0" w:space="0" w:color="auto"/>
                        <w:right w:val="none" w:sz="0" w:space="0" w:color="auto"/>
                      </w:divBdr>
                    </w:div>
                  </w:divsChild>
                </w:div>
                <w:div w:id="1996370793">
                  <w:marLeft w:val="0"/>
                  <w:marRight w:val="0"/>
                  <w:marTop w:val="0"/>
                  <w:marBottom w:val="0"/>
                  <w:divBdr>
                    <w:top w:val="none" w:sz="0" w:space="0" w:color="auto"/>
                    <w:left w:val="none" w:sz="0" w:space="0" w:color="auto"/>
                    <w:bottom w:val="none" w:sz="0" w:space="0" w:color="auto"/>
                    <w:right w:val="none" w:sz="0" w:space="0" w:color="auto"/>
                  </w:divBdr>
                  <w:divsChild>
                    <w:div w:id="705329654">
                      <w:marLeft w:val="0"/>
                      <w:marRight w:val="0"/>
                      <w:marTop w:val="0"/>
                      <w:marBottom w:val="0"/>
                      <w:divBdr>
                        <w:top w:val="none" w:sz="0" w:space="0" w:color="auto"/>
                        <w:left w:val="none" w:sz="0" w:space="0" w:color="auto"/>
                        <w:bottom w:val="none" w:sz="0" w:space="0" w:color="auto"/>
                        <w:right w:val="none" w:sz="0" w:space="0" w:color="auto"/>
                      </w:divBdr>
                    </w:div>
                  </w:divsChild>
                </w:div>
                <w:div w:id="2038847684">
                  <w:marLeft w:val="0"/>
                  <w:marRight w:val="0"/>
                  <w:marTop w:val="0"/>
                  <w:marBottom w:val="0"/>
                  <w:divBdr>
                    <w:top w:val="none" w:sz="0" w:space="0" w:color="auto"/>
                    <w:left w:val="none" w:sz="0" w:space="0" w:color="auto"/>
                    <w:bottom w:val="none" w:sz="0" w:space="0" w:color="auto"/>
                    <w:right w:val="none" w:sz="0" w:space="0" w:color="auto"/>
                  </w:divBdr>
                  <w:divsChild>
                    <w:div w:id="1617441695">
                      <w:marLeft w:val="0"/>
                      <w:marRight w:val="0"/>
                      <w:marTop w:val="0"/>
                      <w:marBottom w:val="0"/>
                      <w:divBdr>
                        <w:top w:val="none" w:sz="0" w:space="0" w:color="auto"/>
                        <w:left w:val="none" w:sz="0" w:space="0" w:color="auto"/>
                        <w:bottom w:val="none" w:sz="0" w:space="0" w:color="auto"/>
                        <w:right w:val="none" w:sz="0" w:space="0" w:color="auto"/>
                      </w:divBdr>
                    </w:div>
                  </w:divsChild>
                </w:div>
                <w:div w:id="2054768967">
                  <w:marLeft w:val="0"/>
                  <w:marRight w:val="0"/>
                  <w:marTop w:val="0"/>
                  <w:marBottom w:val="0"/>
                  <w:divBdr>
                    <w:top w:val="none" w:sz="0" w:space="0" w:color="auto"/>
                    <w:left w:val="none" w:sz="0" w:space="0" w:color="auto"/>
                    <w:bottom w:val="none" w:sz="0" w:space="0" w:color="auto"/>
                    <w:right w:val="none" w:sz="0" w:space="0" w:color="auto"/>
                  </w:divBdr>
                  <w:divsChild>
                    <w:div w:id="1029843834">
                      <w:marLeft w:val="0"/>
                      <w:marRight w:val="0"/>
                      <w:marTop w:val="0"/>
                      <w:marBottom w:val="0"/>
                      <w:divBdr>
                        <w:top w:val="none" w:sz="0" w:space="0" w:color="auto"/>
                        <w:left w:val="none" w:sz="0" w:space="0" w:color="auto"/>
                        <w:bottom w:val="none" w:sz="0" w:space="0" w:color="auto"/>
                        <w:right w:val="none" w:sz="0" w:space="0" w:color="auto"/>
                      </w:divBdr>
                    </w:div>
                  </w:divsChild>
                </w:div>
                <w:div w:id="2061778539">
                  <w:marLeft w:val="0"/>
                  <w:marRight w:val="0"/>
                  <w:marTop w:val="0"/>
                  <w:marBottom w:val="0"/>
                  <w:divBdr>
                    <w:top w:val="none" w:sz="0" w:space="0" w:color="auto"/>
                    <w:left w:val="none" w:sz="0" w:space="0" w:color="auto"/>
                    <w:bottom w:val="none" w:sz="0" w:space="0" w:color="auto"/>
                    <w:right w:val="none" w:sz="0" w:space="0" w:color="auto"/>
                  </w:divBdr>
                  <w:divsChild>
                    <w:div w:id="298807250">
                      <w:marLeft w:val="0"/>
                      <w:marRight w:val="0"/>
                      <w:marTop w:val="0"/>
                      <w:marBottom w:val="0"/>
                      <w:divBdr>
                        <w:top w:val="none" w:sz="0" w:space="0" w:color="auto"/>
                        <w:left w:val="none" w:sz="0" w:space="0" w:color="auto"/>
                        <w:bottom w:val="none" w:sz="0" w:space="0" w:color="auto"/>
                        <w:right w:val="none" w:sz="0" w:space="0" w:color="auto"/>
                      </w:divBdr>
                    </w:div>
                  </w:divsChild>
                </w:div>
                <w:div w:id="2105883611">
                  <w:marLeft w:val="0"/>
                  <w:marRight w:val="0"/>
                  <w:marTop w:val="0"/>
                  <w:marBottom w:val="0"/>
                  <w:divBdr>
                    <w:top w:val="none" w:sz="0" w:space="0" w:color="auto"/>
                    <w:left w:val="none" w:sz="0" w:space="0" w:color="auto"/>
                    <w:bottom w:val="none" w:sz="0" w:space="0" w:color="auto"/>
                    <w:right w:val="none" w:sz="0" w:space="0" w:color="auto"/>
                  </w:divBdr>
                  <w:divsChild>
                    <w:div w:id="831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710353">
          <w:marLeft w:val="0"/>
          <w:marRight w:val="0"/>
          <w:marTop w:val="0"/>
          <w:marBottom w:val="0"/>
          <w:divBdr>
            <w:top w:val="none" w:sz="0" w:space="0" w:color="auto"/>
            <w:left w:val="none" w:sz="0" w:space="0" w:color="auto"/>
            <w:bottom w:val="none" w:sz="0" w:space="0" w:color="auto"/>
            <w:right w:val="none" w:sz="0" w:space="0" w:color="auto"/>
          </w:divBdr>
        </w:div>
        <w:div w:id="1341539821">
          <w:marLeft w:val="0"/>
          <w:marRight w:val="0"/>
          <w:marTop w:val="0"/>
          <w:marBottom w:val="0"/>
          <w:divBdr>
            <w:top w:val="none" w:sz="0" w:space="0" w:color="auto"/>
            <w:left w:val="none" w:sz="0" w:space="0" w:color="auto"/>
            <w:bottom w:val="none" w:sz="0" w:space="0" w:color="auto"/>
            <w:right w:val="none" w:sz="0" w:space="0" w:color="auto"/>
          </w:divBdr>
          <w:divsChild>
            <w:div w:id="241063114">
              <w:marLeft w:val="0"/>
              <w:marRight w:val="0"/>
              <w:marTop w:val="0"/>
              <w:marBottom w:val="0"/>
              <w:divBdr>
                <w:top w:val="none" w:sz="0" w:space="0" w:color="auto"/>
                <w:left w:val="none" w:sz="0" w:space="0" w:color="auto"/>
                <w:bottom w:val="none" w:sz="0" w:space="0" w:color="auto"/>
                <w:right w:val="none" w:sz="0" w:space="0" w:color="auto"/>
              </w:divBdr>
            </w:div>
            <w:div w:id="321079462">
              <w:marLeft w:val="0"/>
              <w:marRight w:val="0"/>
              <w:marTop w:val="0"/>
              <w:marBottom w:val="0"/>
              <w:divBdr>
                <w:top w:val="none" w:sz="0" w:space="0" w:color="auto"/>
                <w:left w:val="none" w:sz="0" w:space="0" w:color="auto"/>
                <w:bottom w:val="none" w:sz="0" w:space="0" w:color="auto"/>
                <w:right w:val="none" w:sz="0" w:space="0" w:color="auto"/>
              </w:divBdr>
            </w:div>
            <w:div w:id="414130761">
              <w:marLeft w:val="0"/>
              <w:marRight w:val="0"/>
              <w:marTop w:val="0"/>
              <w:marBottom w:val="0"/>
              <w:divBdr>
                <w:top w:val="none" w:sz="0" w:space="0" w:color="auto"/>
                <w:left w:val="none" w:sz="0" w:space="0" w:color="auto"/>
                <w:bottom w:val="none" w:sz="0" w:space="0" w:color="auto"/>
                <w:right w:val="none" w:sz="0" w:space="0" w:color="auto"/>
              </w:divBdr>
            </w:div>
            <w:div w:id="473185009">
              <w:marLeft w:val="0"/>
              <w:marRight w:val="0"/>
              <w:marTop w:val="0"/>
              <w:marBottom w:val="0"/>
              <w:divBdr>
                <w:top w:val="none" w:sz="0" w:space="0" w:color="auto"/>
                <w:left w:val="none" w:sz="0" w:space="0" w:color="auto"/>
                <w:bottom w:val="none" w:sz="0" w:space="0" w:color="auto"/>
                <w:right w:val="none" w:sz="0" w:space="0" w:color="auto"/>
              </w:divBdr>
            </w:div>
            <w:div w:id="510919209">
              <w:marLeft w:val="0"/>
              <w:marRight w:val="0"/>
              <w:marTop w:val="0"/>
              <w:marBottom w:val="0"/>
              <w:divBdr>
                <w:top w:val="none" w:sz="0" w:space="0" w:color="auto"/>
                <w:left w:val="none" w:sz="0" w:space="0" w:color="auto"/>
                <w:bottom w:val="none" w:sz="0" w:space="0" w:color="auto"/>
                <w:right w:val="none" w:sz="0" w:space="0" w:color="auto"/>
              </w:divBdr>
            </w:div>
            <w:div w:id="567303756">
              <w:marLeft w:val="0"/>
              <w:marRight w:val="0"/>
              <w:marTop w:val="0"/>
              <w:marBottom w:val="0"/>
              <w:divBdr>
                <w:top w:val="none" w:sz="0" w:space="0" w:color="auto"/>
                <w:left w:val="none" w:sz="0" w:space="0" w:color="auto"/>
                <w:bottom w:val="none" w:sz="0" w:space="0" w:color="auto"/>
                <w:right w:val="none" w:sz="0" w:space="0" w:color="auto"/>
              </w:divBdr>
            </w:div>
            <w:div w:id="678431281">
              <w:marLeft w:val="0"/>
              <w:marRight w:val="0"/>
              <w:marTop w:val="0"/>
              <w:marBottom w:val="0"/>
              <w:divBdr>
                <w:top w:val="none" w:sz="0" w:space="0" w:color="auto"/>
                <w:left w:val="none" w:sz="0" w:space="0" w:color="auto"/>
                <w:bottom w:val="none" w:sz="0" w:space="0" w:color="auto"/>
                <w:right w:val="none" w:sz="0" w:space="0" w:color="auto"/>
              </w:divBdr>
            </w:div>
            <w:div w:id="895701840">
              <w:marLeft w:val="0"/>
              <w:marRight w:val="0"/>
              <w:marTop w:val="0"/>
              <w:marBottom w:val="0"/>
              <w:divBdr>
                <w:top w:val="none" w:sz="0" w:space="0" w:color="auto"/>
                <w:left w:val="none" w:sz="0" w:space="0" w:color="auto"/>
                <w:bottom w:val="none" w:sz="0" w:space="0" w:color="auto"/>
                <w:right w:val="none" w:sz="0" w:space="0" w:color="auto"/>
              </w:divBdr>
            </w:div>
            <w:div w:id="991517779">
              <w:marLeft w:val="0"/>
              <w:marRight w:val="0"/>
              <w:marTop w:val="0"/>
              <w:marBottom w:val="0"/>
              <w:divBdr>
                <w:top w:val="none" w:sz="0" w:space="0" w:color="auto"/>
                <w:left w:val="none" w:sz="0" w:space="0" w:color="auto"/>
                <w:bottom w:val="none" w:sz="0" w:space="0" w:color="auto"/>
                <w:right w:val="none" w:sz="0" w:space="0" w:color="auto"/>
              </w:divBdr>
            </w:div>
            <w:div w:id="1099524022">
              <w:marLeft w:val="0"/>
              <w:marRight w:val="0"/>
              <w:marTop w:val="0"/>
              <w:marBottom w:val="0"/>
              <w:divBdr>
                <w:top w:val="none" w:sz="0" w:space="0" w:color="auto"/>
                <w:left w:val="none" w:sz="0" w:space="0" w:color="auto"/>
                <w:bottom w:val="none" w:sz="0" w:space="0" w:color="auto"/>
                <w:right w:val="none" w:sz="0" w:space="0" w:color="auto"/>
              </w:divBdr>
            </w:div>
            <w:div w:id="1121650492">
              <w:marLeft w:val="0"/>
              <w:marRight w:val="0"/>
              <w:marTop w:val="0"/>
              <w:marBottom w:val="0"/>
              <w:divBdr>
                <w:top w:val="none" w:sz="0" w:space="0" w:color="auto"/>
                <w:left w:val="none" w:sz="0" w:space="0" w:color="auto"/>
                <w:bottom w:val="none" w:sz="0" w:space="0" w:color="auto"/>
                <w:right w:val="none" w:sz="0" w:space="0" w:color="auto"/>
              </w:divBdr>
            </w:div>
            <w:div w:id="1226256739">
              <w:marLeft w:val="0"/>
              <w:marRight w:val="0"/>
              <w:marTop w:val="0"/>
              <w:marBottom w:val="0"/>
              <w:divBdr>
                <w:top w:val="none" w:sz="0" w:space="0" w:color="auto"/>
                <w:left w:val="none" w:sz="0" w:space="0" w:color="auto"/>
                <w:bottom w:val="none" w:sz="0" w:space="0" w:color="auto"/>
                <w:right w:val="none" w:sz="0" w:space="0" w:color="auto"/>
              </w:divBdr>
            </w:div>
            <w:div w:id="1363677160">
              <w:marLeft w:val="0"/>
              <w:marRight w:val="0"/>
              <w:marTop w:val="0"/>
              <w:marBottom w:val="0"/>
              <w:divBdr>
                <w:top w:val="none" w:sz="0" w:space="0" w:color="auto"/>
                <w:left w:val="none" w:sz="0" w:space="0" w:color="auto"/>
                <w:bottom w:val="none" w:sz="0" w:space="0" w:color="auto"/>
                <w:right w:val="none" w:sz="0" w:space="0" w:color="auto"/>
              </w:divBdr>
            </w:div>
            <w:div w:id="1438870549">
              <w:marLeft w:val="0"/>
              <w:marRight w:val="0"/>
              <w:marTop w:val="0"/>
              <w:marBottom w:val="0"/>
              <w:divBdr>
                <w:top w:val="none" w:sz="0" w:space="0" w:color="auto"/>
                <w:left w:val="none" w:sz="0" w:space="0" w:color="auto"/>
                <w:bottom w:val="none" w:sz="0" w:space="0" w:color="auto"/>
                <w:right w:val="none" w:sz="0" w:space="0" w:color="auto"/>
              </w:divBdr>
            </w:div>
            <w:div w:id="1510867509">
              <w:marLeft w:val="0"/>
              <w:marRight w:val="0"/>
              <w:marTop w:val="0"/>
              <w:marBottom w:val="0"/>
              <w:divBdr>
                <w:top w:val="none" w:sz="0" w:space="0" w:color="auto"/>
                <w:left w:val="none" w:sz="0" w:space="0" w:color="auto"/>
                <w:bottom w:val="none" w:sz="0" w:space="0" w:color="auto"/>
                <w:right w:val="none" w:sz="0" w:space="0" w:color="auto"/>
              </w:divBdr>
            </w:div>
            <w:div w:id="1636445758">
              <w:marLeft w:val="0"/>
              <w:marRight w:val="0"/>
              <w:marTop w:val="0"/>
              <w:marBottom w:val="0"/>
              <w:divBdr>
                <w:top w:val="none" w:sz="0" w:space="0" w:color="auto"/>
                <w:left w:val="none" w:sz="0" w:space="0" w:color="auto"/>
                <w:bottom w:val="none" w:sz="0" w:space="0" w:color="auto"/>
                <w:right w:val="none" w:sz="0" w:space="0" w:color="auto"/>
              </w:divBdr>
            </w:div>
            <w:div w:id="1649482360">
              <w:marLeft w:val="0"/>
              <w:marRight w:val="0"/>
              <w:marTop w:val="0"/>
              <w:marBottom w:val="0"/>
              <w:divBdr>
                <w:top w:val="none" w:sz="0" w:space="0" w:color="auto"/>
                <w:left w:val="none" w:sz="0" w:space="0" w:color="auto"/>
                <w:bottom w:val="none" w:sz="0" w:space="0" w:color="auto"/>
                <w:right w:val="none" w:sz="0" w:space="0" w:color="auto"/>
              </w:divBdr>
            </w:div>
            <w:div w:id="1745108614">
              <w:marLeft w:val="0"/>
              <w:marRight w:val="0"/>
              <w:marTop w:val="0"/>
              <w:marBottom w:val="0"/>
              <w:divBdr>
                <w:top w:val="none" w:sz="0" w:space="0" w:color="auto"/>
                <w:left w:val="none" w:sz="0" w:space="0" w:color="auto"/>
                <w:bottom w:val="none" w:sz="0" w:space="0" w:color="auto"/>
                <w:right w:val="none" w:sz="0" w:space="0" w:color="auto"/>
              </w:divBdr>
            </w:div>
            <w:div w:id="1882669588">
              <w:marLeft w:val="0"/>
              <w:marRight w:val="0"/>
              <w:marTop w:val="0"/>
              <w:marBottom w:val="0"/>
              <w:divBdr>
                <w:top w:val="none" w:sz="0" w:space="0" w:color="auto"/>
                <w:left w:val="none" w:sz="0" w:space="0" w:color="auto"/>
                <w:bottom w:val="none" w:sz="0" w:space="0" w:color="auto"/>
                <w:right w:val="none" w:sz="0" w:space="0" w:color="auto"/>
              </w:divBdr>
            </w:div>
            <w:div w:id="1976056560">
              <w:marLeft w:val="0"/>
              <w:marRight w:val="0"/>
              <w:marTop w:val="0"/>
              <w:marBottom w:val="0"/>
              <w:divBdr>
                <w:top w:val="none" w:sz="0" w:space="0" w:color="auto"/>
                <w:left w:val="none" w:sz="0" w:space="0" w:color="auto"/>
                <w:bottom w:val="none" w:sz="0" w:space="0" w:color="auto"/>
                <w:right w:val="none" w:sz="0" w:space="0" w:color="auto"/>
              </w:divBdr>
            </w:div>
          </w:divsChild>
        </w:div>
        <w:div w:id="1348750829">
          <w:marLeft w:val="0"/>
          <w:marRight w:val="0"/>
          <w:marTop w:val="0"/>
          <w:marBottom w:val="0"/>
          <w:divBdr>
            <w:top w:val="none" w:sz="0" w:space="0" w:color="auto"/>
            <w:left w:val="none" w:sz="0" w:space="0" w:color="auto"/>
            <w:bottom w:val="none" w:sz="0" w:space="0" w:color="auto"/>
            <w:right w:val="none" w:sz="0" w:space="0" w:color="auto"/>
          </w:divBdr>
        </w:div>
        <w:div w:id="1375156415">
          <w:marLeft w:val="0"/>
          <w:marRight w:val="0"/>
          <w:marTop w:val="0"/>
          <w:marBottom w:val="0"/>
          <w:divBdr>
            <w:top w:val="none" w:sz="0" w:space="0" w:color="auto"/>
            <w:left w:val="none" w:sz="0" w:space="0" w:color="auto"/>
            <w:bottom w:val="none" w:sz="0" w:space="0" w:color="auto"/>
            <w:right w:val="none" w:sz="0" w:space="0" w:color="auto"/>
          </w:divBdr>
          <w:divsChild>
            <w:div w:id="113328108">
              <w:marLeft w:val="0"/>
              <w:marRight w:val="0"/>
              <w:marTop w:val="0"/>
              <w:marBottom w:val="0"/>
              <w:divBdr>
                <w:top w:val="none" w:sz="0" w:space="0" w:color="auto"/>
                <w:left w:val="none" w:sz="0" w:space="0" w:color="auto"/>
                <w:bottom w:val="none" w:sz="0" w:space="0" w:color="auto"/>
                <w:right w:val="none" w:sz="0" w:space="0" w:color="auto"/>
              </w:divBdr>
            </w:div>
            <w:div w:id="257755823">
              <w:marLeft w:val="0"/>
              <w:marRight w:val="0"/>
              <w:marTop w:val="0"/>
              <w:marBottom w:val="0"/>
              <w:divBdr>
                <w:top w:val="none" w:sz="0" w:space="0" w:color="auto"/>
                <w:left w:val="none" w:sz="0" w:space="0" w:color="auto"/>
                <w:bottom w:val="none" w:sz="0" w:space="0" w:color="auto"/>
                <w:right w:val="none" w:sz="0" w:space="0" w:color="auto"/>
              </w:divBdr>
            </w:div>
            <w:div w:id="339428879">
              <w:marLeft w:val="0"/>
              <w:marRight w:val="0"/>
              <w:marTop w:val="0"/>
              <w:marBottom w:val="0"/>
              <w:divBdr>
                <w:top w:val="none" w:sz="0" w:space="0" w:color="auto"/>
                <w:left w:val="none" w:sz="0" w:space="0" w:color="auto"/>
                <w:bottom w:val="none" w:sz="0" w:space="0" w:color="auto"/>
                <w:right w:val="none" w:sz="0" w:space="0" w:color="auto"/>
              </w:divBdr>
            </w:div>
            <w:div w:id="341783182">
              <w:marLeft w:val="0"/>
              <w:marRight w:val="0"/>
              <w:marTop w:val="0"/>
              <w:marBottom w:val="0"/>
              <w:divBdr>
                <w:top w:val="none" w:sz="0" w:space="0" w:color="auto"/>
                <w:left w:val="none" w:sz="0" w:space="0" w:color="auto"/>
                <w:bottom w:val="none" w:sz="0" w:space="0" w:color="auto"/>
                <w:right w:val="none" w:sz="0" w:space="0" w:color="auto"/>
              </w:divBdr>
            </w:div>
            <w:div w:id="511147014">
              <w:marLeft w:val="0"/>
              <w:marRight w:val="0"/>
              <w:marTop w:val="0"/>
              <w:marBottom w:val="0"/>
              <w:divBdr>
                <w:top w:val="none" w:sz="0" w:space="0" w:color="auto"/>
                <w:left w:val="none" w:sz="0" w:space="0" w:color="auto"/>
                <w:bottom w:val="none" w:sz="0" w:space="0" w:color="auto"/>
                <w:right w:val="none" w:sz="0" w:space="0" w:color="auto"/>
              </w:divBdr>
            </w:div>
            <w:div w:id="565071240">
              <w:marLeft w:val="0"/>
              <w:marRight w:val="0"/>
              <w:marTop w:val="0"/>
              <w:marBottom w:val="0"/>
              <w:divBdr>
                <w:top w:val="none" w:sz="0" w:space="0" w:color="auto"/>
                <w:left w:val="none" w:sz="0" w:space="0" w:color="auto"/>
                <w:bottom w:val="none" w:sz="0" w:space="0" w:color="auto"/>
                <w:right w:val="none" w:sz="0" w:space="0" w:color="auto"/>
              </w:divBdr>
            </w:div>
            <w:div w:id="693917194">
              <w:marLeft w:val="0"/>
              <w:marRight w:val="0"/>
              <w:marTop w:val="0"/>
              <w:marBottom w:val="0"/>
              <w:divBdr>
                <w:top w:val="none" w:sz="0" w:space="0" w:color="auto"/>
                <w:left w:val="none" w:sz="0" w:space="0" w:color="auto"/>
                <w:bottom w:val="none" w:sz="0" w:space="0" w:color="auto"/>
                <w:right w:val="none" w:sz="0" w:space="0" w:color="auto"/>
              </w:divBdr>
            </w:div>
            <w:div w:id="715201221">
              <w:marLeft w:val="0"/>
              <w:marRight w:val="0"/>
              <w:marTop w:val="0"/>
              <w:marBottom w:val="0"/>
              <w:divBdr>
                <w:top w:val="none" w:sz="0" w:space="0" w:color="auto"/>
                <w:left w:val="none" w:sz="0" w:space="0" w:color="auto"/>
                <w:bottom w:val="none" w:sz="0" w:space="0" w:color="auto"/>
                <w:right w:val="none" w:sz="0" w:space="0" w:color="auto"/>
              </w:divBdr>
            </w:div>
            <w:div w:id="795298307">
              <w:marLeft w:val="0"/>
              <w:marRight w:val="0"/>
              <w:marTop w:val="0"/>
              <w:marBottom w:val="0"/>
              <w:divBdr>
                <w:top w:val="none" w:sz="0" w:space="0" w:color="auto"/>
                <w:left w:val="none" w:sz="0" w:space="0" w:color="auto"/>
                <w:bottom w:val="none" w:sz="0" w:space="0" w:color="auto"/>
                <w:right w:val="none" w:sz="0" w:space="0" w:color="auto"/>
              </w:divBdr>
            </w:div>
            <w:div w:id="814644309">
              <w:marLeft w:val="0"/>
              <w:marRight w:val="0"/>
              <w:marTop w:val="0"/>
              <w:marBottom w:val="0"/>
              <w:divBdr>
                <w:top w:val="none" w:sz="0" w:space="0" w:color="auto"/>
                <w:left w:val="none" w:sz="0" w:space="0" w:color="auto"/>
                <w:bottom w:val="none" w:sz="0" w:space="0" w:color="auto"/>
                <w:right w:val="none" w:sz="0" w:space="0" w:color="auto"/>
              </w:divBdr>
            </w:div>
            <w:div w:id="834298945">
              <w:marLeft w:val="0"/>
              <w:marRight w:val="0"/>
              <w:marTop w:val="0"/>
              <w:marBottom w:val="0"/>
              <w:divBdr>
                <w:top w:val="none" w:sz="0" w:space="0" w:color="auto"/>
                <w:left w:val="none" w:sz="0" w:space="0" w:color="auto"/>
                <w:bottom w:val="none" w:sz="0" w:space="0" w:color="auto"/>
                <w:right w:val="none" w:sz="0" w:space="0" w:color="auto"/>
              </w:divBdr>
            </w:div>
            <w:div w:id="1177690414">
              <w:marLeft w:val="0"/>
              <w:marRight w:val="0"/>
              <w:marTop w:val="0"/>
              <w:marBottom w:val="0"/>
              <w:divBdr>
                <w:top w:val="none" w:sz="0" w:space="0" w:color="auto"/>
                <w:left w:val="none" w:sz="0" w:space="0" w:color="auto"/>
                <w:bottom w:val="none" w:sz="0" w:space="0" w:color="auto"/>
                <w:right w:val="none" w:sz="0" w:space="0" w:color="auto"/>
              </w:divBdr>
            </w:div>
            <w:div w:id="1276251481">
              <w:marLeft w:val="0"/>
              <w:marRight w:val="0"/>
              <w:marTop w:val="0"/>
              <w:marBottom w:val="0"/>
              <w:divBdr>
                <w:top w:val="none" w:sz="0" w:space="0" w:color="auto"/>
                <w:left w:val="none" w:sz="0" w:space="0" w:color="auto"/>
                <w:bottom w:val="none" w:sz="0" w:space="0" w:color="auto"/>
                <w:right w:val="none" w:sz="0" w:space="0" w:color="auto"/>
              </w:divBdr>
            </w:div>
            <w:div w:id="1276986601">
              <w:marLeft w:val="0"/>
              <w:marRight w:val="0"/>
              <w:marTop w:val="0"/>
              <w:marBottom w:val="0"/>
              <w:divBdr>
                <w:top w:val="none" w:sz="0" w:space="0" w:color="auto"/>
                <w:left w:val="none" w:sz="0" w:space="0" w:color="auto"/>
                <w:bottom w:val="none" w:sz="0" w:space="0" w:color="auto"/>
                <w:right w:val="none" w:sz="0" w:space="0" w:color="auto"/>
              </w:divBdr>
            </w:div>
            <w:div w:id="1495294976">
              <w:marLeft w:val="0"/>
              <w:marRight w:val="0"/>
              <w:marTop w:val="0"/>
              <w:marBottom w:val="0"/>
              <w:divBdr>
                <w:top w:val="none" w:sz="0" w:space="0" w:color="auto"/>
                <w:left w:val="none" w:sz="0" w:space="0" w:color="auto"/>
                <w:bottom w:val="none" w:sz="0" w:space="0" w:color="auto"/>
                <w:right w:val="none" w:sz="0" w:space="0" w:color="auto"/>
              </w:divBdr>
            </w:div>
            <w:div w:id="1639190104">
              <w:marLeft w:val="0"/>
              <w:marRight w:val="0"/>
              <w:marTop w:val="0"/>
              <w:marBottom w:val="0"/>
              <w:divBdr>
                <w:top w:val="none" w:sz="0" w:space="0" w:color="auto"/>
                <w:left w:val="none" w:sz="0" w:space="0" w:color="auto"/>
                <w:bottom w:val="none" w:sz="0" w:space="0" w:color="auto"/>
                <w:right w:val="none" w:sz="0" w:space="0" w:color="auto"/>
              </w:divBdr>
            </w:div>
            <w:div w:id="1879852093">
              <w:marLeft w:val="0"/>
              <w:marRight w:val="0"/>
              <w:marTop w:val="0"/>
              <w:marBottom w:val="0"/>
              <w:divBdr>
                <w:top w:val="none" w:sz="0" w:space="0" w:color="auto"/>
                <w:left w:val="none" w:sz="0" w:space="0" w:color="auto"/>
                <w:bottom w:val="none" w:sz="0" w:space="0" w:color="auto"/>
                <w:right w:val="none" w:sz="0" w:space="0" w:color="auto"/>
              </w:divBdr>
            </w:div>
            <w:div w:id="1886941962">
              <w:marLeft w:val="0"/>
              <w:marRight w:val="0"/>
              <w:marTop w:val="0"/>
              <w:marBottom w:val="0"/>
              <w:divBdr>
                <w:top w:val="none" w:sz="0" w:space="0" w:color="auto"/>
                <w:left w:val="none" w:sz="0" w:space="0" w:color="auto"/>
                <w:bottom w:val="none" w:sz="0" w:space="0" w:color="auto"/>
                <w:right w:val="none" w:sz="0" w:space="0" w:color="auto"/>
              </w:divBdr>
            </w:div>
            <w:div w:id="1970739005">
              <w:marLeft w:val="0"/>
              <w:marRight w:val="0"/>
              <w:marTop w:val="0"/>
              <w:marBottom w:val="0"/>
              <w:divBdr>
                <w:top w:val="none" w:sz="0" w:space="0" w:color="auto"/>
                <w:left w:val="none" w:sz="0" w:space="0" w:color="auto"/>
                <w:bottom w:val="none" w:sz="0" w:space="0" w:color="auto"/>
                <w:right w:val="none" w:sz="0" w:space="0" w:color="auto"/>
              </w:divBdr>
            </w:div>
            <w:div w:id="2144688552">
              <w:marLeft w:val="0"/>
              <w:marRight w:val="0"/>
              <w:marTop w:val="0"/>
              <w:marBottom w:val="0"/>
              <w:divBdr>
                <w:top w:val="none" w:sz="0" w:space="0" w:color="auto"/>
                <w:left w:val="none" w:sz="0" w:space="0" w:color="auto"/>
                <w:bottom w:val="none" w:sz="0" w:space="0" w:color="auto"/>
                <w:right w:val="none" w:sz="0" w:space="0" w:color="auto"/>
              </w:divBdr>
            </w:div>
          </w:divsChild>
        </w:div>
        <w:div w:id="1409838352">
          <w:marLeft w:val="0"/>
          <w:marRight w:val="0"/>
          <w:marTop w:val="0"/>
          <w:marBottom w:val="0"/>
          <w:divBdr>
            <w:top w:val="none" w:sz="0" w:space="0" w:color="auto"/>
            <w:left w:val="none" w:sz="0" w:space="0" w:color="auto"/>
            <w:bottom w:val="none" w:sz="0" w:space="0" w:color="auto"/>
            <w:right w:val="none" w:sz="0" w:space="0" w:color="auto"/>
          </w:divBdr>
        </w:div>
        <w:div w:id="1422023779">
          <w:marLeft w:val="0"/>
          <w:marRight w:val="0"/>
          <w:marTop w:val="0"/>
          <w:marBottom w:val="0"/>
          <w:divBdr>
            <w:top w:val="none" w:sz="0" w:space="0" w:color="auto"/>
            <w:left w:val="none" w:sz="0" w:space="0" w:color="auto"/>
            <w:bottom w:val="none" w:sz="0" w:space="0" w:color="auto"/>
            <w:right w:val="none" w:sz="0" w:space="0" w:color="auto"/>
          </w:divBdr>
        </w:div>
        <w:div w:id="1447309964">
          <w:marLeft w:val="0"/>
          <w:marRight w:val="0"/>
          <w:marTop w:val="0"/>
          <w:marBottom w:val="0"/>
          <w:divBdr>
            <w:top w:val="none" w:sz="0" w:space="0" w:color="auto"/>
            <w:left w:val="none" w:sz="0" w:space="0" w:color="auto"/>
            <w:bottom w:val="none" w:sz="0" w:space="0" w:color="auto"/>
            <w:right w:val="none" w:sz="0" w:space="0" w:color="auto"/>
          </w:divBdr>
          <w:divsChild>
            <w:div w:id="6562917">
              <w:marLeft w:val="0"/>
              <w:marRight w:val="0"/>
              <w:marTop w:val="0"/>
              <w:marBottom w:val="0"/>
              <w:divBdr>
                <w:top w:val="none" w:sz="0" w:space="0" w:color="auto"/>
                <w:left w:val="none" w:sz="0" w:space="0" w:color="auto"/>
                <w:bottom w:val="none" w:sz="0" w:space="0" w:color="auto"/>
                <w:right w:val="none" w:sz="0" w:space="0" w:color="auto"/>
              </w:divBdr>
            </w:div>
            <w:div w:id="16464108">
              <w:marLeft w:val="0"/>
              <w:marRight w:val="0"/>
              <w:marTop w:val="0"/>
              <w:marBottom w:val="0"/>
              <w:divBdr>
                <w:top w:val="none" w:sz="0" w:space="0" w:color="auto"/>
                <w:left w:val="none" w:sz="0" w:space="0" w:color="auto"/>
                <w:bottom w:val="none" w:sz="0" w:space="0" w:color="auto"/>
                <w:right w:val="none" w:sz="0" w:space="0" w:color="auto"/>
              </w:divBdr>
            </w:div>
            <w:div w:id="29963514">
              <w:marLeft w:val="0"/>
              <w:marRight w:val="0"/>
              <w:marTop w:val="0"/>
              <w:marBottom w:val="0"/>
              <w:divBdr>
                <w:top w:val="none" w:sz="0" w:space="0" w:color="auto"/>
                <w:left w:val="none" w:sz="0" w:space="0" w:color="auto"/>
                <w:bottom w:val="none" w:sz="0" w:space="0" w:color="auto"/>
                <w:right w:val="none" w:sz="0" w:space="0" w:color="auto"/>
              </w:divBdr>
            </w:div>
            <w:div w:id="336075823">
              <w:marLeft w:val="0"/>
              <w:marRight w:val="0"/>
              <w:marTop w:val="0"/>
              <w:marBottom w:val="0"/>
              <w:divBdr>
                <w:top w:val="none" w:sz="0" w:space="0" w:color="auto"/>
                <w:left w:val="none" w:sz="0" w:space="0" w:color="auto"/>
                <w:bottom w:val="none" w:sz="0" w:space="0" w:color="auto"/>
                <w:right w:val="none" w:sz="0" w:space="0" w:color="auto"/>
              </w:divBdr>
            </w:div>
            <w:div w:id="419254696">
              <w:marLeft w:val="0"/>
              <w:marRight w:val="0"/>
              <w:marTop w:val="0"/>
              <w:marBottom w:val="0"/>
              <w:divBdr>
                <w:top w:val="none" w:sz="0" w:space="0" w:color="auto"/>
                <w:left w:val="none" w:sz="0" w:space="0" w:color="auto"/>
                <w:bottom w:val="none" w:sz="0" w:space="0" w:color="auto"/>
                <w:right w:val="none" w:sz="0" w:space="0" w:color="auto"/>
              </w:divBdr>
            </w:div>
            <w:div w:id="551424936">
              <w:marLeft w:val="0"/>
              <w:marRight w:val="0"/>
              <w:marTop w:val="0"/>
              <w:marBottom w:val="0"/>
              <w:divBdr>
                <w:top w:val="none" w:sz="0" w:space="0" w:color="auto"/>
                <w:left w:val="none" w:sz="0" w:space="0" w:color="auto"/>
                <w:bottom w:val="none" w:sz="0" w:space="0" w:color="auto"/>
                <w:right w:val="none" w:sz="0" w:space="0" w:color="auto"/>
              </w:divBdr>
            </w:div>
            <w:div w:id="640812517">
              <w:marLeft w:val="0"/>
              <w:marRight w:val="0"/>
              <w:marTop w:val="0"/>
              <w:marBottom w:val="0"/>
              <w:divBdr>
                <w:top w:val="none" w:sz="0" w:space="0" w:color="auto"/>
                <w:left w:val="none" w:sz="0" w:space="0" w:color="auto"/>
                <w:bottom w:val="none" w:sz="0" w:space="0" w:color="auto"/>
                <w:right w:val="none" w:sz="0" w:space="0" w:color="auto"/>
              </w:divBdr>
            </w:div>
            <w:div w:id="663555456">
              <w:marLeft w:val="0"/>
              <w:marRight w:val="0"/>
              <w:marTop w:val="0"/>
              <w:marBottom w:val="0"/>
              <w:divBdr>
                <w:top w:val="none" w:sz="0" w:space="0" w:color="auto"/>
                <w:left w:val="none" w:sz="0" w:space="0" w:color="auto"/>
                <w:bottom w:val="none" w:sz="0" w:space="0" w:color="auto"/>
                <w:right w:val="none" w:sz="0" w:space="0" w:color="auto"/>
              </w:divBdr>
            </w:div>
            <w:div w:id="672025619">
              <w:marLeft w:val="0"/>
              <w:marRight w:val="0"/>
              <w:marTop w:val="0"/>
              <w:marBottom w:val="0"/>
              <w:divBdr>
                <w:top w:val="none" w:sz="0" w:space="0" w:color="auto"/>
                <w:left w:val="none" w:sz="0" w:space="0" w:color="auto"/>
                <w:bottom w:val="none" w:sz="0" w:space="0" w:color="auto"/>
                <w:right w:val="none" w:sz="0" w:space="0" w:color="auto"/>
              </w:divBdr>
            </w:div>
            <w:div w:id="818227256">
              <w:marLeft w:val="0"/>
              <w:marRight w:val="0"/>
              <w:marTop w:val="0"/>
              <w:marBottom w:val="0"/>
              <w:divBdr>
                <w:top w:val="none" w:sz="0" w:space="0" w:color="auto"/>
                <w:left w:val="none" w:sz="0" w:space="0" w:color="auto"/>
                <w:bottom w:val="none" w:sz="0" w:space="0" w:color="auto"/>
                <w:right w:val="none" w:sz="0" w:space="0" w:color="auto"/>
              </w:divBdr>
            </w:div>
            <w:div w:id="1000544641">
              <w:marLeft w:val="0"/>
              <w:marRight w:val="0"/>
              <w:marTop w:val="0"/>
              <w:marBottom w:val="0"/>
              <w:divBdr>
                <w:top w:val="none" w:sz="0" w:space="0" w:color="auto"/>
                <w:left w:val="none" w:sz="0" w:space="0" w:color="auto"/>
                <w:bottom w:val="none" w:sz="0" w:space="0" w:color="auto"/>
                <w:right w:val="none" w:sz="0" w:space="0" w:color="auto"/>
              </w:divBdr>
            </w:div>
            <w:div w:id="1003045136">
              <w:marLeft w:val="0"/>
              <w:marRight w:val="0"/>
              <w:marTop w:val="0"/>
              <w:marBottom w:val="0"/>
              <w:divBdr>
                <w:top w:val="none" w:sz="0" w:space="0" w:color="auto"/>
                <w:left w:val="none" w:sz="0" w:space="0" w:color="auto"/>
                <w:bottom w:val="none" w:sz="0" w:space="0" w:color="auto"/>
                <w:right w:val="none" w:sz="0" w:space="0" w:color="auto"/>
              </w:divBdr>
            </w:div>
            <w:div w:id="1060516025">
              <w:marLeft w:val="0"/>
              <w:marRight w:val="0"/>
              <w:marTop w:val="0"/>
              <w:marBottom w:val="0"/>
              <w:divBdr>
                <w:top w:val="none" w:sz="0" w:space="0" w:color="auto"/>
                <w:left w:val="none" w:sz="0" w:space="0" w:color="auto"/>
                <w:bottom w:val="none" w:sz="0" w:space="0" w:color="auto"/>
                <w:right w:val="none" w:sz="0" w:space="0" w:color="auto"/>
              </w:divBdr>
            </w:div>
            <w:div w:id="1105032148">
              <w:marLeft w:val="0"/>
              <w:marRight w:val="0"/>
              <w:marTop w:val="0"/>
              <w:marBottom w:val="0"/>
              <w:divBdr>
                <w:top w:val="none" w:sz="0" w:space="0" w:color="auto"/>
                <w:left w:val="none" w:sz="0" w:space="0" w:color="auto"/>
                <w:bottom w:val="none" w:sz="0" w:space="0" w:color="auto"/>
                <w:right w:val="none" w:sz="0" w:space="0" w:color="auto"/>
              </w:divBdr>
            </w:div>
            <w:div w:id="1120077454">
              <w:marLeft w:val="0"/>
              <w:marRight w:val="0"/>
              <w:marTop w:val="0"/>
              <w:marBottom w:val="0"/>
              <w:divBdr>
                <w:top w:val="none" w:sz="0" w:space="0" w:color="auto"/>
                <w:left w:val="none" w:sz="0" w:space="0" w:color="auto"/>
                <w:bottom w:val="none" w:sz="0" w:space="0" w:color="auto"/>
                <w:right w:val="none" w:sz="0" w:space="0" w:color="auto"/>
              </w:divBdr>
            </w:div>
            <w:div w:id="1177573216">
              <w:marLeft w:val="0"/>
              <w:marRight w:val="0"/>
              <w:marTop w:val="0"/>
              <w:marBottom w:val="0"/>
              <w:divBdr>
                <w:top w:val="none" w:sz="0" w:space="0" w:color="auto"/>
                <w:left w:val="none" w:sz="0" w:space="0" w:color="auto"/>
                <w:bottom w:val="none" w:sz="0" w:space="0" w:color="auto"/>
                <w:right w:val="none" w:sz="0" w:space="0" w:color="auto"/>
              </w:divBdr>
            </w:div>
            <w:div w:id="1202085957">
              <w:marLeft w:val="0"/>
              <w:marRight w:val="0"/>
              <w:marTop w:val="0"/>
              <w:marBottom w:val="0"/>
              <w:divBdr>
                <w:top w:val="none" w:sz="0" w:space="0" w:color="auto"/>
                <w:left w:val="none" w:sz="0" w:space="0" w:color="auto"/>
                <w:bottom w:val="none" w:sz="0" w:space="0" w:color="auto"/>
                <w:right w:val="none" w:sz="0" w:space="0" w:color="auto"/>
              </w:divBdr>
            </w:div>
            <w:div w:id="1478300224">
              <w:marLeft w:val="0"/>
              <w:marRight w:val="0"/>
              <w:marTop w:val="0"/>
              <w:marBottom w:val="0"/>
              <w:divBdr>
                <w:top w:val="none" w:sz="0" w:space="0" w:color="auto"/>
                <w:left w:val="none" w:sz="0" w:space="0" w:color="auto"/>
                <w:bottom w:val="none" w:sz="0" w:space="0" w:color="auto"/>
                <w:right w:val="none" w:sz="0" w:space="0" w:color="auto"/>
              </w:divBdr>
            </w:div>
            <w:div w:id="1522475032">
              <w:marLeft w:val="0"/>
              <w:marRight w:val="0"/>
              <w:marTop w:val="0"/>
              <w:marBottom w:val="0"/>
              <w:divBdr>
                <w:top w:val="none" w:sz="0" w:space="0" w:color="auto"/>
                <w:left w:val="none" w:sz="0" w:space="0" w:color="auto"/>
                <w:bottom w:val="none" w:sz="0" w:space="0" w:color="auto"/>
                <w:right w:val="none" w:sz="0" w:space="0" w:color="auto"/>
              </w:divBdr>
            </w:div>
            <w:div w:id="1948390669">
              <w:marLeft w:val="0"/>
              <w:marRight w:val="0"/>
              <w:marTop w:val="0"/>
              <w:marBottom w:val="0"/>
              <w:divBdr>
                <w:top w:val="none" w:sz="0" w:space="0" w:color="auto"/>
                <w:left w:val="none" w:sz="0" w:space="0" w:color="auto"/>
                <w:bottom w:val="none" w:sz="0" w:space="0" w:color="auto"/>
                <w:right w:val="none" w:sz="0" w:space="0" w:color="auto"/>
              </w:divBdr>
            </w:div>
          </w:divsChild>
        </w:div>
        <w:div w:id="1447314953">
          <w:marLeft w:val="0"/>
          <w:marRight w:val="0"/>
          <w:marTop w:val="0"/>
          <w:marBottom w:val="0"/>
          <w:divBdr>
            <w:top w:val="none" w:sz="0" w:space="0" w:color="auto"/>
            <w:left w:val="none" w:sz="0" w:space="0" w:color="auto"/>
            <w:bottom w:val="none" w:sz="0" w:space="0" w:color="auto"/>
            <w:right w:val="none" w:sz="0" w:space="0" w:color="auto"/>
          </w:divBdr>
          <w:divsChild>
            <w:div w:id="8264398">
              <w:marLeft w:val="-75"/>
              <w:marRight w:val="0"/>
              <w:marTop w:val="30"/>
              <w:marBottom w:val="30"/>
              <w:divBdr>
                <w:top w:val="none" w:sz="0" w:space="0" w:color="auto"/>
                <w:left w:val="none" w:sz="0" w:space="0" w:color="auto"/>
                <w:bottom w:val="none" w:sz="0" w:space="0" w:color="auto"/>
                <w:right w:val="none" w:sz="0" w:space="0" w:color="auto"/>
              </w:divBdr>
              <w:divsChild>
                <w:div w:id="39593258">
                  <w:marLeft w:val="0"/>
                  <w:marRight w:val="0"/>
                  <w:marTop w:val="0"/>
                  <w:marBottom w:val="0"/>
                  <w:divBdr>
                    <w:top w:val="none" w:sz="0" w:space="0" w:color="auto"/>
                    <w:left w:val="none" w:sz="0" w:space="0" w:color="auto"/>
                    <w:bottom w:val="none" w:sz="0" w:space="0" w:color="auto"/>
                    <w:right w:val="none" w:sz="0" w:space="0" w:color="auto"/>
                  </w:divBdr>
                  <w:divsChild>
                    <w:div w:id="873155416">
                      <w:marLeft w:val="0"/>
                      <w:marRight w:val="0"/>
                      <w:marTop w:val="0"/>
                      <w:marBottom w:val="0"/>
                      <w:divBdr>
                        <w:top w:val="none" w:sz="0" w:space="0" w:color="auto"/>
                        <w:left w:val="none" w:sz="0" w:space="0" w:color="auto"/>
                        <w:bottom w:val="none" w:sz="0" w:space="0" w:color="auto"/>
                        <w:right w:val="none" w:sz="0" w:space="0" w:color="auto"/>
                      </w:divBdr>
                    </w:div>
                  </w:divsChild>
                </w:div>
                <w:div w:id="162011837">
                  <w:marLeft w:val="0"/>
                  <w:marRight w:val="0"/>
                  <w:marTop w:val="0"/>
                  <w:marBottom w:val="0"/>
                  <w:divBdr>
                    <w:top w:val="none" w:sz="0" w:space="0" w:color="auto"/>
                    <w:left w:val="none" w:sz="0" w:space="0" w:color="auto"/>
                    <w:bottom w:val="none" w:sz="0" w:space="0" w:color="auto"/>
                    <w:right w:val="none" w:sz="0" w:space="0" w:color="auto"/>
                  </w:divBdr>
                  <w:divsChild>
                    <w:div w:id="966737544">
                      <w:marLeft w:val="0"/>
                      <w:marRight w:val="0"/>
                      <w:marTop w:val="0"/>
                      <w:marBottom w:val="0"/>
                      <w:divBdr>
                        <w:top w:val="none" w:sz="0" w:space="0" w:color="auto"/>
                        <w:left w:val="none" w:sz="0" w:space="0" w:color="auto"/>
                        <w:bottom w:val="none" w:sz="0" w:space="0" w:color="auto"/>
                        <w:right w:val="none" w:sz="0" w:space="0" w:color="auto"/>
                      </w:divBdr>
                    </w:div>
                  </w:divsChild>
                </w:div>
                <w:div w:id="246157936">
                  <w:marLeft w:val="0"/>
                  <w:marRight w:val="0"/>
                  <w:marTop w:val="0"/>
                  <w:marBottom w:val="0"/>
                  <w:divBdr>
                    <w:top w:val="none" w:sz="0" w:space="0" w:color="auto"/>
                    <w:left w:val="none" w:sz="0" w:space="0" w:color="auto"/>
                    <w:bottom w:val="none" w:sz="0" w:space="0" w:color="auto"/>
                    <w:right w:val="none" w:sz="0" w:space="0" w:color="auto"/>
                  </w:divBdr>
                  <w:divsChild>
                    <w:div w:id="610553565">
                      <w:marLeft w:val="0"/>
                      <w:marRight w:val="0"/>
                      <w:marTop w:val="0"/>
                      <w:marBottom w:val="0"/>
                      <w:divBdr>
                        <w:top w:val="none" w:sz="0" w:space="0" w:color="auto"/>
                        <w:left w:val="none" w:sz="0" w:space="0" w:color="auto"/>
                        <w:bottom w:val="none" w:sz="0" w:space="0" w:color="auto"/>
                        <w:right w:val="none" w:sz="0" w:space="0" w:color="auto"/>
                      </w:divBdr>
                    </w:div>
                  </w:divsChild>
                </w:div>
                <w:div w:id="323240119">
                  <w:marLeft w:val="0"/>
                  <w:marRight w:val="0"/>
                  <w:marTop w:val="0"/>
                  <w:marBottom w:val="0"/>
                  <w:divBdr>
                    <w:top w:val="none" w:sz="0" w:space="0" w:color="auto"/>
                    <w:left w:val="none" w:sz="0" w:space="0" w:color="auto"/>
                    <w:bottom w:val="none" w:sz="0" w:space="0" w:color="auto"/>
                    <w:right w:val="none" w:sz="0" w:space="0" w:color="auto"/>
                  </w:divBdr>
                  <w:divsChild>
                    <w:div w:id="148177727">
                      <w:marLeft w:val="0"/>
                      <w:marRight w:val="0"/>
                      <w:marTop w:val="0"/>
                      <w:marBottom w:val="0"/>
                      <w:divBdr>
                        <w:top w:val="none" w:sz="0" w:space="0" w:color="auto"/>
                        <w:left w:val="none" w:sz="0" w:space="0" w:color="auto"/>
                        <w:bottom w:val="none" w:sz="0" w:space="0" w:color="auto"/>
                        <w:right w:val="none" w:sz="0" w:space="0" w:color="auto"/>
                      </w:divBdr>
                    </w:div>
                  </w:divsChild>
                </w:div>
                <w:div w:id="337386417">
                  <w:marLeft w:val="0"/>
                  <w:marRight w:val="0"/>
                  <w:marTop w:val="0"/>
                  <w:marBottom w:val="0"/>
                  <w:divBdr>
                    <w:top w:val="none" w:sz="0" w:space="0" w:color="auto"/>
                    <w:left w:val="none" w:sz="0" w:space="0" w:color="auto"/>
                    <w:bottom w:val="none" w:sz="0" w:space="0" w:color="auto"/>
                    <w:right w:val="none" w:sz="0" w:space="0" w:color="auto"/>
                  </w:divBdr>
                  <w:divsChild>
                    <w:div w:id="1620452792">
                      <w:marLeft w:val="0"/>
                      <w:marRight w:val="0"/>
                      <w:marTop w:val="0"/>
                      <w:marBottom w:val="0"/>
                      <w:divBdr>
                        <w:top w:val="none" w:sz="0" w:space="0" w:color="auto"/>
                        <w:left w:val="none" w:sz="0" w:space="0" w:color="auto"/>
                        <w:bottom w:val="none" w:sz="0" w:space="0" w:color="auto"/>
                        <w:right w:val="none" w:sz="0" w:space="0" w:color="auto"/>
                      </w:divBdr>
                    </w:div>
                  </w:divsChild>
                </w:div>
                <w:div w:id="354771112">
                  <w:marLeft w:val="0"/>
                  <w:marRight w:val="0"/>
                  <w:marTop w:val="0"/>
                  <w:marBottom w:val="0"/>
                  <w:divBdr>
                    <w:top w:val="none" w:sz="0" w:space="0" w:color="auto"/>
                    <w:left w:val="none" w:sz="0" w:space="0" w:color="auto"/>
                    <w:bottom w:val="none" w:sz="0" w:space="0" w:color="auto"/>
                    <w:right w:val="none" w:sz="0" w:space="0" w:color="auto"/>
                  </w:divBdr>
                  <w:divsChild>
                    <w:div w:id="992834949">
                      <w:marLeft w:val="0"/>
                      <w:marRight w:val="0"/>
                      <w:marTop w:val="0"/>
                      <w:marBottom w:val="0"/>
                      <w:divBdr>
                        <w:top w:val="none" w:sz="0" w:space="0" w:color="auto"/>
                        <w:left w:val="none" w:sz="0" w:space="0" w:color="auto"/>
                        <w:bottom w:val="none" w:sz="0" w:space="0" w:color="auto"/>
                        <w:right w:val="none" w:sz="0" w:space="0" w:color="auto"/>
                      </w:divBdr>
                    </w:div>
                  </w:divsChild>
                </w:div>
                <w:div w:id="366029044">
                  <w:marLeft w:val="0"/>
                  <w:marRight w:val="0"/>
                  <w:marTop w:val="0"/>
                  <w:marBottom w:val="0"/>
                  <w:divBdr>
                    <w:top w:val="none" w:sz="0" w:space="0" w:color="auto"/>
                    <w:left w:val="none" w:sz="0" w:space="0" w:color="auto"/>
                    <w:bottom w:val="none" w:sz="0" w:space="0" w:color="auto"/>
                    <w:right w:val="none" w:sz="0" w:space="0" w:color="auto"/>
                  </w:divBdr>
                  <w:divsChild>
                    <w:div w:id="541408090">
                      <w:marLeft w:val="0"/>
                      <w:marRight w:val="0"/>
                      <w:marTop w:val="0"/>
                      <w:marBottom w:val="0"/>
                      <w:divBdr>
                        <w:top w:val="none" w:sz="0" w:space="0" w:color="auto"/>
                        <w:left w:val="none" w:sz="0" w:space="0" w:color="auto"/>
                        <w:bottom w:val="none" w:sz="0" w:space="0" w:color="auto"/>
                        <w:right w:val="none" w:sz="0" w:space="0" w:color="auto"/>
                      </w:divBdr>
                    </w:div>
                  </w:divsChild>
                </w:div>
                <w:div w:id="441151751">
                  <w:marLeft w:val="0"/>
                  <w:marRight w:val="0"/>
                  <w:marTop w:val="0"/>
                  <w:marBottom w:val="0"/>
                  <w:divBdr>
                    <w:top w:val="none" w:sz="0" w:space="0" w:color="auto"/>
                    <w:left w:val="none" w:sz="0" w:space="0" w:color="auto"/>
                    <w:bottom w:val="none" w:sz="0" w:space="0" w:color="auto"/>
                    <w:right w:val="none" w:sz="0" w:space="0" w:color="auto"/>
                  </w:divBdr>
                  <w:divsChild>
                    <w:div w:id="1890455981">
                      <w:marLeft w:val="0"/>
                      <w:marRight w:val="0"/>
                      <w:marTop w:val="0"/>
                      <w:marBottom w:val="0"/>
                      <w:divBdr>
                        <w:top w:val="none" w:sz="0" w:space="0" w:color="auto"/>
                        <w:left w:val="none" w:sz="0" w:space="0" w:color="auto"/>
                        <w:bottom w:val="none" w:sz="0" w:space="0" w:color="auto"/>
                        <w:right w:val="none" w:sz="0" w:space="0" w:color="auto"/>
                      </w:divBdr>
                    </w:div>
                  </w:divsChild>
                </w:div>
                <w:div w:id="492992368">
                  <w:marLeft w:val="0"/>
                  <w:marRight w:val="0"/>
                  <w:marTop w:val="0"/>
                  <w:marBottom w:val="0"/>
                  <w:divBdr>
                    <w:top w:val="none" w:sz="0" w:space="0" w:color="auto"/>
                    <w:left w:val="none" w:sz="0" w:space="0" w:color="auto"/>
                    <w:bottom w:val="none" w:sz="0" w:space="0" w:color="auto"/>
                    <w:right w:val="none" w:sz="0" w:space="0" w:color="auto"/>
                  </w:divBdr>
                  <w:divsChild>
                    <w:div w:id="1598710294">
                      <w:marLeft w:val="0"/>
                      <w:marRight w:val="0"/>
                      <w:marTop w:val="0"/>
                      <w:marBottom w:val="0"/>
                      <w:divBdr>
                        <w:top w:val="none" w:sz="0" w:space="0" w:color="auto"/>
                        <w:left w:val="none" w:sz="0" w:space="0" w:color="auto"/>
                        <w:bottom w:val="none" w:sz="0" w:space="0" w:color="auto"/>
                        <w:right w:val="none" w:sz="0" w:space="0" w:color="auto"/>
                      </w:divBdr>
                    </w:div>
                  </w:divsChild>
                </w:div>
                <w:div w:id="834958767">
                  <w:marLeft w:val="0"/>
                  <w:marRight w:val="0"/>
                  <w:marTop w:val="0"/>
                  <w:marBottom w:val="0"/>
                  <w:divBdr>
                    <w:top w:val="none" w:sz="0" w:space="0" w:color="auto"/>
                    <w:left w:val="none" w:sz="0" w:space="0" w:color="auto"/>
                    <w:bottom w:val="none" w:sz="0" w:space="0" w:color="auto"/>
                    <w:right w:val="none" w:sz="0" w:space="0" w:color="auto"/>
                  </w:divBdr>
                  <w:divsChild>
                    <w:div w:id="1637102897">
                      <w:marLeft w:val="0"/>
                      <w:marRight w:val="0"/>
                      <w:marTop w:val="0"/>
                      <w:marBottom w:val="0"/>
                      <w:divBdr>
                        <w:top w:val="none" w:sz="0" w:space="0" w:color="auto"/>
                        <w:left w:val="none" w:sz="0" w:space="0" w:color="auto"/>
                        <w:bottom w:val="none" w:sz="0" w:space="0" w:color="auto"/>
                        <w:right w:val="none" w:sz="0" w:space="0" w:color="auto"/>
                      </w:divBdr>
                    </w:div>
                  </w:divsChild>
                </w:div>
                <w:div w:id="924800292">
                  <w:marLeft w:val="0"/>
                  <w:marRight w:val="0"/>
                  <w:marTop w:val="0"/>
                  <w:marBottom w:val="0"/>
                  <w:divBdr>
                    <w:top w:val="none" w:sz="0" w:space="0" w:color="auto"/>
                    <w:left w:val="none" w:sz="0" w:space="0" w:color="auto"/>
                    <w:bottom w:val="none" w:sz="0" w:space="0" w:color="auto"/>
                    <w:right w:val="none" w:sz="0" w:space="0" w:color="auto"/>
                  </w:divBdr>
                  <w:divsChild>
                    <w:div w:id="1485007330">
                      <w:marLeft w:val="0"/>
                      <w:marRight w:val="0"/>
                      <w:marTop w:val="0"/>
                      <w:marBottom w:val="0"/>
                      <w:divBdr>
                        <w:top w:val="none" w:sz="0" w:space="0" w:color="auto"/>
                        <w:left w:val="none" w:sz="0" w:space="0" w:color="auto"/>
                        <w:bottom w:val="none" w:sz="0" w:space="0" w:color="auto"/>
                        <w:right w:val="none" w:sz="0" w:space="0" w:color="auto"/>
                      </w:divBdr>
                    </w:div>
                  </w:divsChild>
                </w:div>
                <w:div w:id="965235256">
                  <w:marLeft w:val="0"/>
                  <w:marRight w:val="0"/>
                  <w:marTop w:val="0"/>
                  <w:marBottom w:val="0"/>
                  <w:divBdr>
                    <w:top w:val="none" w:sz="0" w:space="0" w:color="auto"/>
                    <w:left w:val="none" w:sz="0" w:space="0" w:color="auto"/>
                    <w:bottom w:val="none" w:sz="0" w:space="0" w:color="auto"/>
                    <w:right w:val="none" w:sz="0" w:space="0" w:color="auto"/>
                  </w:divBdr>
                  <w:divsChild>
                    <w:div w:id="1457413154">
                      <w:marLeft w:val="0"/>
                      <w:marRight w:val="0"/>
                      <w:marTop w:val="0"/>
                      <w:marBottom w:val="0"/>
                      <w:divBdr>
                        <w:top w:val="none" w:sz="0" w:space="0" w:color="auto"/>
                        <w:left w:val="none" w:sz="0" w:space="0" w:color="auto"/>
                        <w:bottom w:val="none" w:sz="0" w:space="0" w:color="auto"/>
                        <w:right w:val="none" w:sz="0" w:space="0" w:color="auto"/>
                      </w:divBdr>
                    </w:div>
                  </w:divsChild>
                </w:div>
                <w:div w:id="1118766683">
                  <w:marLeft w:val="0"/>
                  <w:marRight w:val="0"/>
                  <w:marTop w:val="0"/>
                  <w:marBottom w:val="0"/>
                  <w:divBdr>
                    <w:top w:val="none" w:sz="0" w:space="0" w:color="auto"/>
                    <w:left w:val="none" w:sz="0" w:space="0" w:color="auto"/>
                    <w:bottom w:val="none" w:sz="0" w:space="0" w:color="auto"/>
                    <w:right w:val="none" w:sz="0" w:space="0" w:color="auto"/>
                  </w:divBdr>
                  <w:divsChild>
                    <w:div w:id="1605308098">
                      <w:marLeft w:val="0"/>
                      <w:marRight w:val="0"/>
                      <w:marTop w:val="0"/>
                      <w:marBottom w:val="0"/>
                      <w:divBdr>
                        <w:top w:val="none" w:sz="0" w:space="0" w:color="auto"/>
                        <w:left w:val="none" w:sz="0" w:space="0" w:color="auto"/>
                        <w:bottom w:val="none" w:sz="0" w:space="0" w:color="auto"/>
                        <w:right w:val="none" w:sz="0" w:space="0" w:color="auto"/>
                      </w:divBdr>
                    </w:div>
                  </w:divsChild>
                </w:div>
                <w:div w:id="1167594734">
                  <w:marLeft w:val="0"/>
                  <w:marRight w:val="0"/>
                  <w:marTop w:val="0"/>
                  <w:marBottom w:val="0"/>
                  <w:divBdr>
                    <w:top w:val="none" w:sz="0" w:space="0" w:color="auto"/>
                    <w:left w:val="none" w:sz="0" w:space="0" w:color="auto"/>
                    <w:bottom w:val="none" w:sz="0" w:space="0" w:color="auto"/>
                    <w:right w:val="none" w:sz="0" w:space="0" w:color="auto"/>
                  </w:divBdr>
                  <w:divsChild>
                    <w:div w:id="1905682578">
                      <w:marLeft w:val="0"/>
                      <w:marRight w:val="0"/>
                      <w:marTop w:val="0"/>
                      <w:marBottom w:val="0"/>
                      <w:divBdr>
                        <w:top w:val="none" w:sz="0" w:space="0" w:color="auto"/>
                        <w:left w:val="none" w:sz="0" w:space="0" w:color="auto"/>
                        <w:bottom w:val="none" w:sz="0" w:space="0" w:color="auto"/>
                        <w:right w:val="none" w:sz="0" w:space="0" w:color="auto"/>
                      </w:divBdr>
                    </w:div>
                  </w:divsChild>
                </w:div>
                <w:div w:id="1175614461">
                  <w:marLeft w:val="0"/>
                  <w:marRight w:val="0"/>
                  <w:marTop w:val="0"/>
                  <w:marBottom w:val="0"/>
                  <w:divBdr>
                    <w:top w:val="none" w:sz="0" w:space="0" w:color="auto"/>
                    <w:left w:val="none" w:sz="0" w:space="0" w:color="auto"/>
                    <w:bottom w:val="none" w:sz="0" w:space="0" w:color="auto"/>
                    <w:right w:val="none" w:sz="0" w:space="0" w:color="auto"/>
                  </w:divBdr>
                  <w:divsChild>
                    <w:div w:id="777455722">
                      <w:marLeft w:val="0"/>
                      <w:marRight w:val="0"/>
                      <w:marTop w:val="0"/>
                      <w:marBottom w:val="0"/>
                      <w:divBdr>
                        <w:top w:val="none" w:sz="0" w:space="0" w:color="auto"/>
                        <w:left w:val="none" w:sz="0" w:space="0" w:color="auto"/>
                        <w:bottom w:val="none" w:sz="0" w:space="0" w:color="auto"/>
                        <w:right w:val="none" w:sz="0" w:space="0" w:color="auto"/>
                      </w:divBdr>
                    </w:div>
                  </w:divsChild>
                </w:div>
                <w:div w:id="1200900056">
                  <w:marLeft w:val="0"/>
                  <w:marRight w:val="0"/>
                  <w:marTop w:val="0"/>
                  <w:marBottom w:val="0"/>
                  <w:divBdr>
                    <w:top w:val="none" w:sz="0" w:space="0" w:color="auto"/>
                    <w:left w:val="none" w:sz="0" w:space="0" w:color="auto"/>
                    <w:bottom w:val="none" w:sz="0" w:space="0" w:color="auto"/>
                    <w:right w:val="none" w:sz="0" w:space="0" w:color="auto"/>
                  </w:divBdr>
                  <w:divsChild>
                    <w:div w:id="1843004918">
                      <w:marLeft w:val="0"/>
                      <w:marRight w:val="0"/>
                      <w:marTop w:val="0"/>
                      <w:marBottom w:val="0"/>
                      <w:divBdr>
                        <w:top w:val="none" w:sz="0" w:space="0" w:color="auto"/>
                        <w:left w:val="none" w:sz="0" w:space="0" w:color="auto"/>
                        <w:bottom w:val="none" w:sz="0" w:space="0" w:color="auto"/>
                        <w:right w:val="none" w:sz="0" w:space="0" w:color="auto"/>
                      </w:divBdr>
                    </w:div>
                  </w:divsChild>
                </w:div>
                <w:div w:id="1216504459">
                  <w:marLeft w:val="0"/>
                  <w:marRight w:val="0"/>
                  <w:marTop w:val="0"/>
                  <w:marBottom w:val="0"/>
                  <w:divBdr>
                    <w:top w:val="none" w:sz="0" w:space="0" w:color="auto"/>
                    <w:left w:val="none" w:sz="0" w:space="0" w:color="auto"/>
                    <w:bottom w:val="none" w:sz="0" w:space="0" w:color="auto"/>
                    <w:right w:val="none" w:sz="0" w:space="0" w:color="auto"/>
                  </w:divBdr>
                  <w:divsChild>
                    <w:div w:id="1882473709">
                      <w:marLeft w:val="0"/>
                      <w:marRight w:val="0"/>
                      <w:marTop w:val="0"/>
                      <w:marBottom w:val="0"/>
                      <w:divBdr>
                        <w:top w:val="none" w:sz="0" w:space="0" w:color="auto"/>
                        <w:left w:val="none" w:sz="0" w:space="0" w:color="auto"/>
                        <w:bottom w:val="none" w:sz="0" w:space="0" w:color="auto"/>
                        <w:right w:val="none" w:sz="0" w:space="0" w:color="auto"/>
                      </w:divBdr>
                    </w:div>
                  </w:divsChild>
                </w:div>
                <w:div w:id="1414274615">
                  <w:marLeft w:val="0"/>
                  <w:marRight w:val="0"/>
                  <w:marTop w:val="0"/>
                  <w:marBottom w:val="0"/>
                  <w:divBdr>
                    <w:top w:val="none" w:sz="0" w:space="0" w:color="auto"/>
                    <w:left w:val="none" w:sz="0" w:space="0" w:color="auto"/>
                    <w:bottom w:val="none" w:sz="0" w:space="0" w:color="auto"/>
                    <w:right w:val="none" w:sz="0" w:space="0" w:color="auto"/>
                  </w:divBdr>
                  <w:divsChild>
                    <w:div w:id="1694191654">
                      <w:marLeft w:val="0"/>
                      <w:marRight w:val="0"/>
                      <w:marTop w:val="0"/>
                      <w:marBottom w:val="0"/>
                      <w:divBdr>
                        <w:top w:val="none" w:sz="0" w:space="0" w:color="auto"/>
                        <w:left w:val="none" w:sz="0" w:space="0" w:color="auto"/>
                        <w:bottom w:val="none" w:sz="0" w:space="0" w:color="auto"/>
                        <w:right w:val="none" w:sz="0" w:space="0" w:color="auto"/>
                      </w:divBdr>
                    </w:div>
                  </w:divsChild>
                </w:div>
                <w:div w:id="1454205001">
                  <w:marLeft w:val="0"/>
                  <w:marRight w:val="0"/>
                  <w:marTop w:val="0"/>
                  <w:marBottom w:val="0"/>
                  <w:divBdr>
                    <w:top w:val="none" w:sz="0" w:space="0" w:color="auto"/>
                    <w:left w:val="none" w:sz="0" w:space="0" w:color="auto"/>
                    <w:bottom w:val="none" w:sz="0" w:space="0" w:color="auto"/>
                    <w:right w:val="none" w:sz="0" w:space="0" w:color="auto"/>
                  </w:divBdr>
                  <w:divsChild>
                    <w:div w:id="1049065606">
                      <w:marLeft w:val="0"/>
                      <w:marRight w:val="0"/>
                      <w:marTop w:val="0"/>
                      <w:marBottom w:val="0"/>
                      <w:divBdr>
                        <w:top w:val="none" w:sz="0" w:space="0" w:color="auto"/>
                        <w:left w:val="none" w:sz="0" w:space="0" w:color="auto"/>
                        <w:bottom w:val="none" w:sz="0" w:space="0" w:color="auto"/>
                        <w:right w:val="none" w:sz="0" w:space="0" w:color="auto"/>
                      </w:divBdr>
                    </w:div>
                  </w:divsChild>
                </w:div>
                <w:div w:id="1501389947">
                  <w:marLeft w:val="0"/>
                  <w:marRight w:val="0"/>
                  <w:marTop w:val="0"/>
                  <w:marBottom w:val="0"/>
                  <w:divBdr>
                    <w:top w:val="none" w:sz="0" w:space="0" w:color="auto"/>
                    <w:left w:val="none" w:sz="0" w:space="0" w:color="auto"/>
                    <w:bottom w:val="none" w:sz="0" w:space="0" w:color="auto"/>
                    <w:right w:val="none" w:sz="0" w:space="0" w:color="auto"/>
                  </w:divBdr>
                  <w:divsChild>
                    <w:div w:id="1076052168">
                      <w:marLeft w:val="0"/>
                      <w:marRight w:val="0"/>
                      <w:marTop w:val="0"/>
                      <w:marBottom w:val="0"/>
                      <w:divBdr>
                        <w:top w:val="none" w:sz="0" w:space="0" w:color="auto"/>
                        <w:left w:val="none" w:sz="0" w:space="0" w:color="auto"/>
                        <w:bottom w:val="none" w:sz="0" w:space="0" w:color="auto"/>
                        <w:right w:val="none" w:sz="0" w:space="0" w:color="auto"/>
                      </w:divBdr>
                    </w:div>
                  </w:divsChild>
                </w:div>
                <w:div w:id="1533229354">
                  <w:marLeft w:val="0"/>
                  <w:marRight w:val="0"/>
                  <w:marTop w:val="0"/>
                  <w:marBottom w:val="0"/>
                  <w:divBdr>
                    <w:top w:val="none" w:sz="0" w:space="0" w:color="auto"/>
                    <w:left w:val="none" w:sz="0" w:space="0" w:color="auto"/>
                    <w:bottom w:val="none" w:sz="0" w:space="0" w:color="auto"/>
                    <w:right w:val="none" w:sz="0" w:space="0" w:color="auto"/>
                  </w:divBdr>
                  <w:divsChild>
                    <w:div w:id="1434325906">
                      <w:marLeft w:val="0"/>
                      <w:marRight w:val="0"/>
                      <w:marTop w:val="0"/>
                      <w:marBottom w:val="0"/>
                      <w:divBdr>
                        <w:top w:val="none" w:sz="0" w:space="0" w:color="auto"/>
                        <w:left w:val="none" w:sz="0" w:space="0" w:color="auto"/>
                        <w:bottom w:val="none" w:sz="0" w:space="0" w:color="auto"/>
                        <w:right w:val="none" w:sz="0" w:space="0" w:color="auto"/>
                      </w:divBdr>
                    </w:div>
                  </w:divsChild>
                </w:div>
                <w:div w:id="1547331790">
                  <w:marLeft w:val="0"/>
                  <w:marRight w:val="0"/>
                  <w:marTop w:val="0"/>
                  <w:marBottom w:val="0"/>
                  <w:divBdr>
                    <w:top w:val="none" w:sz="0" w:space="0" w:color="auto"/>
                    <w:left w:val="none" w:sz="0" w:space="0" w:color="auto"/>
                    <w:bottom w:val="none" w:sz="0" w:space="0" w:color="auto"/>
                    <w:right w:val="none" w:sz="0" w:space="0" w:color="auto"/>
                  </w:divBdr>
                  <w:divsChild>
                    <w:div w:id="1638341246">
                      <w:marLeft w:val="0"/>
                      <w:marRight w:val="0"/>
                      <w:marTop w:val="0"/>
                      <w:marBottom w:val="0"/>
                      <w:divBdr>
                        <w:top w:val="none" w:sz="0" w:space="0" w:color="auto"/>
                        <w:left w:val="none" w:sz="0" w:space="0" w:color="auto"/>
                        <w:bottom w:val="none" w:sz="0" w:space="0" w:color="auto"/>
                        <w:right w:val="none" w:sz="0" w:space="0" w:color="auto"/>
                      </w:divBdr>
                    </w:div>
                  </w:divsChild>
                </w:div>
                <w:div w:id="1886017475">
                  <w:marLeft w:val="0"/>
                  <w:marRight w:val="0"/>
                  <w:marTop w:val="0"/>
                  <w:marBottom w:val="0"/>
                  <w:divBdr>
                    <w:top w:val="none" w:sz="0" w:space="0" w:color="auto"/>
                    <w:left w:val="none" w:sz="0" w:space="0" w:color="auto"/>
                    <w:bottom w:val="none" w:sz="0" w:space="0" w:color="auto"/>
                    <w:right w:val="none" w:sz="0" w:space="0" w:color="auto"/>
                  </w:divBdr>
                  <w:divsChild>
                    <w:div w:id="348413618">
                      <w:marLeft w:val="0"/>
                      <w:marRight w:val="0"/>
                      <w:marTop w:val="0"/>
                      <w:marBottom w:val="0"/>
                      <w:divBdr>
                        <w:top w:val="none" w:sz="0" w:space="0" w:color="auto"/>
                        <w:left w:val="none" w:sz="0" w:space="0" w:color="auto"/>
                        <w:bottom w:val="none" w:sz="0" w:space="0" w:color="auto"/>
                        <w:right w:val="none" w:sz="0" w:space="0" w:color="auto"/>
                      </w:divBdr>
                    </w:div>
                  </w:divsChild>
                </w:div>
                <w:div w:id="2087532053">
                  <w:marLeft w:val="0"/>
                  <w:marRight w:val="0"/>
                  <w:marTop w:val="0"/>
                  <w:marBottom w:val="0"/>
                  <w:divBdr>
                    <w:top w:val="none" w:sz="0" w:space="0" w:color="auto"/>
                    <w:left w:val="none" w:sz="0" w:space="0" w:color="auto"/>
                    <w:bottom w:val="none" w:sz="0" w:space="0" w:color="auto"/>
                    <w:right w:val="none" w:sz="0" w:space="0" w:color="auto"/>
                  </w:divBdr>
                  <w:divsChild>
                    <w:div w:id="17240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1431">
          <w:marLeft w:val="0"/>
          <w:marRight w:val="0"/>
          <w:marTop w:val="0"/>
          <w:marBottom w:val="0"/>
          <w:divBdr>
            <w:top w:val="none" w:sz="0" w:space="0" w:color="auto"/>
            <w:left w:val="none" w:sz="0" w:space="0" w:color="auto"/>
            <w:bottom w:val="none" w:sz="0" w:space="0" w:color="auto"/>
            <w:right w:val="none" w:sz="0" w:space="0" w:color="auto"/>
          </w:divBdr>
        </w:div>
        <w:div w:id="1478840769">
          <w:marLeft w:val="0"/>
          <w:marRight w:val="0"/>
          <w:marTop w:val="0"/>
          <w:marBottom w:val="0"/>
          <w:divBdr>
            <w:top w:val="none" w:sz="0" w:space="0" w:color="auto"/>
            <w:left w:val="none" w:sz="0" w:space="0" w:color="auto"/>
            <w:bottom w:val="none" w:sz="0" w:space="0" w:color="auto"/>
            <w:right w:val="none" w:sz="0" w:space="0" w:color="auto"/>
          </w:divBdr>
        </w:div>
        <w:div w:id="1513566678">
          <w:marLeft w:val="0"/>
          <w:marRight w:val="0"/>
          <w:marTop w:val="0"/>
          <w:marBottom w:val="0"/>
          <w:divBdr>
            <w:top w:val="none" w:sz="0" w:space="0" w:color="auto"/>
            <w:left w:val="none" w:sz="0" w:space="0" w:color="auto"/>
            <w:bottom w:val="none" w:sz="0" w:space="0" w:color="auto"/>
            <w:right w:val="none" w:sz="0" w:space="0" w:color="auto"/>
          </w:divBdr>
        </w:div>
        <w:div w:id="1539471682">
          <w:marLeft w:val="0"/>
          <w:marRight w:val="0"/>
          <w:marTop w:val="0"/>
          <w:marBottom w:val="0"/>
          <w:divBdr>
            <w:top w:val="none" w:sz="0" w:space="0" w:color="auto"/>
            <w:left w:val="none" w:sz="0" w:space="0" w:color="auto"/>
            <w:bottom w:val="none" w:sz="0" w:space="0" w:color="auto"/>
            <w:right w:val="none" w:sz="0" w:space="0" w:color="auto"/>
          </w:divBdr>
        </w:div>
        <w:div w:id="1541699401">
          <w:marLeft w:val="0"/>
          <w:marRight w:val="0"/>
          <w:marTop w:val="0"/>
          <w:marBottom w:val="0"/>
          <w:divBdr>
            <w:top w:val="none" w:sz="0" w:space="0" w:color="auto"/>
            <w:left w:val="none" w:sz="0" w:space="0" w:color="auto"/>
            <w:bottom w:val="none" w:sz="0" w:space="0" w:color="auto"/>
            <w:right w:val="none" w:sz="0" w:space="0" w:color="auto"/>
          </w:divBdr>
        </w:div>
        <w:div w:id="1551843518">
          <w:marLeft w:val="0"/>
          <w:marRight w:val="0"/>
          <w:marTop w:val="0"/>
          <w:marBottom w:val="0"/>
          <w:divBdr>
            <w:top w:val="none" w:sz="0" w:space="0" w:color="auto"/>
            <w:left w:val="none" w:sz="0" w:space="0" w:color="auto"/>
            <w:bottom w:val="none" w:sz="0" w:space="0" w:color="auto"/>
            <w:right w:val="none" w:sz="0" w:space="0" w:color="auto"/>
          </w:divBdr>
        </w:div>
        <w:div w:id="1552232820">
          <w:marLeft w:val="0"/>
          <w:marRight w:val="0"/>
          <w:marTop w:val="0"/>
          <w:marBottom w:val="0"/>
          <w:divBdr>
            <w:top w:val="none" w:sz="0" w:space="0" w:color="auto"/>
            <w:left w:val="none" w:sz="0" w:space="0" w:color="auto"/>
            <w:bottom w:val="none" w:sz="0" w:space="0" w:color="auto"/>
            <w:right w:val="none" w:sz="0" w:space="0" w:color="auto"/>
          </w:divBdr>
          <w:divsChild>
            <w:div w:id="183444692">
              <w:marLeft w:val="0"/>
              <w:marRight w:val="0"/>
              <w:marTop w:val="0"/>
              <w:marBottom w:val="0"/>
              <w:divBdr>
                <w:top w:val="none" w:sz="0" w:space="0" w:color="auto"/>
                <w:left w:val="none" w:sz="0" w:space="0" w:color="auto"/>
                <w:bottom w:val="none" w:sz="0" w:space="0" w:color="auto"/>
                <w:right w:val="none" w:sz="0" w:space="0" w:color="auto"/>
              </w:divBdr>
            </w:div>
            <w:div w:id="233976051">
              <w:marLeft w:val="0"/>
              <w:marRight w:val="0"/>
              <w:marTop w:val="0"/>
              <w:marBottom w:val="0"/>
              <w:divBdr>
                <w:top w:val="none" w:sz="0" w:space="0" w:color="auto"/>
                <w:left w:val="none" w:sz="0" w:space="0" w:color="auto"/>
                <w:bottom w:val="none" w:sz="0" w:space="0" w:color="auto"/>
                <w:right w:val="none" w:sz="0" w:space="0" w:color="auto"/>
              </w:divBdr>
            </w:div>
            <w:div w:id="319776061">
              <w:marLeft w:val="0"/>
              <w:marRight w:val="0"/>
              <w:marTop w:val="0"/>
              <w:marBottom w:val="0"/>
              <w:divBdr>
                <w:top w:val="none" w:sz="0" w:space="0" w:color="auto"/>
                <w:left w:val="none" w:sz="0" w:space="0" w:color="auto"/>
                <w:bottom w:val="none" w:sz="0" w:space="0" w:color="auto"/>
                <w:right w:val="none" w:sz="0" w:space="0" w:color="auto"/>
              </w:divBdr>
            </w:div>
            <w:div w:id="408307472">
              <w:marLeft w:val="0"/>
              <w:marRight w:val="0"/>
              <w:marTop w:val="0"/>
              <w:marBottom w:val="0"/>
              <w:divBdr>
                <w:top w:val="none" w:sz="0" w:space="0" w:color="auto"/>
                <w:left w:val="none" w:sz="0" w:space="0" w:color="auto"/>
                <w:bottom w:val="none" w:sz="0" w:space="0" w:color="auto"/>
                <w:right w:val="none" w:sz="0" w:space="0" w:color="auto"/>
              </w:divBdr>
            </w:div>
            <w:div w:id="494153466">
              <w:marLeft w:val="0"/>
              <w:marRight w:val="0"/>
              <w:marTop w:val="0"/>
              <w:marBottom w:val="0"/>
              <w:divBdr>
                <w:top w:val="none" w:sz="0" w:space="0" w:color="auto"/>
                <w:left w:val="none" w:sz="0" w:space="0" w:color="auto"/>
                <w:bottom w:val="none" w:sz="0" w:space="0" w:color="auto"/>
                <w:right w:val="none" w:sz="0" w:space="0" w:color="auto"/>
              </w:divBdr>
            </w:div>
            <w:div w:id="723605448">
              <w:marLeft w:val="0"/>
              <w:marRight w:val="0"/>
              <w:marTop w:val="0"/>
              <w:marBottom w:val="0"/>
              <w:divBdr>
                <w:top w:val="none" w:sz="0" w:space="0" w:color="auto"/>
                <w:left w:val="none" w:sz="0" w:space="0" w:color="auto"/>
                <w:bottom w:val="none" w:sz="0" w:space="0" w:color="auto"/>
                <w:right w:val="none" w:sz="0" w:space="0" w:color="auto"/>
              </w:divBdr>
            </w:div>
            <w:div w:id="962734316">
              <w:marLeft w:val="0"/>
              <w:marRight w:val="0"/>
              <w:marTop w:val="0"/>
              <w:marBottom w:val="0"/>
              <w:divBdr>
                <w:top w:val="none" w:sz="0" w:space="0" w:color="auto"/>
                <w:left w:val="none" w:sz="0" w:space="0" w:color="auto"/>
                <w:bottom w:val="none" w:sz="0" w:space="0" w:color="auto"/>
                <w:right w:val="none" w:sz="0" w:space="0" w:color="auto"/>
              </w:divBdr>
            </w:div>
            <w:div w:id="1040276755">
              <w:marLeft w:val="0"/>
              <w:marRight w:val="0"/>
              <w:marTop w:val="0"/>
              <w:marBottom w:val="0"/>
              <w:divBdr>
                <w:top w:val="none" w:sz="0" w:space="0" w:color="auto"/>
                <w:left w:val="none" w:sz="0" w:space="0" w:color="auto"/>
                <w:bottom w:val="none" w:sz="0" w:space="0" w:color="auto"/>
                <w:right w:val="none" w:sz="0" w:space="0" w:color="auto"/>
              </w:divBdr>
            </w:div>
            <w:div w:id="1084766649">
              <w:marLeft w:val="0"/>
              <w:marRight w:val="0"/>
              <w:marTop w:val="0"/>
              <w:marBottom w:val="0"/>
              <w:divBdr>
                <w:top w:val="none" w:sz="0" w:space="0" w:color="auto"/>
                <w:left w:val="none" w:sz="0" w:space="0" w:color="auto"/>
                <w:bottom w:val="none" w:sz="0" w:space="0" w:color="auto"/>
                <w:right w:val="none" w:sz="0" w:space="0" w:color="auto"/>
              </w:divBdr>
            </w:div>
            <w:div w:id="1185093914">
              <w:marLeft w:val="0"/>
              <w:marRight w:val="0"/>
              <w:marTop w:val="0"/>
              <w:marBottom w:val="0"/>
              <w:divBdr>
                <w:top w:val="none" w:sz="0" w:space="0" w:color="auto"/>
                <w:left w:val="none" w:sz="0" w:space="0" w:color="auto"/>
                <w:bottom w:val="none" w:sz="0" w:space="0" w:color="auto"/>
                <w:right w:val="none" w:sz="0" w:space="0" w:color="auto"/>
              </w:divBdr>
            </w:div>
            <w:div w:id="1455557197">
              <w:marLeft w:val="0"/>
              <w:marRight w:val="0"/>
              <w:marTop w:val="0"/>
              <w:marBottom w:val="0"/>
              <w:divBdr>
                <w:top w:val="none" w:sz="0" w:space="0" w:color="auto"/>
                <w:left w:val="none" w:sz="0" w:space="0" w:color="auto"/>
                <w:bottom w:val="none" w:sz="0" w:space="0" w:color="auto"/>
                <w:right w:val="none" w:sz="0" w:space="0" w:color="auto"/>
              </w:divBdr>
            </w:div>
            <w:div w:id="1458181224">
              <w:marLeft w:val="0"/>
              <w:marRight w:val="0"/>
              <w:marTop w:val="0"/>
              <w:marBottom w:val="0"/>
              <w:divBdr>
                <w:top w:val="none" w:sz="0" w:space="0" w:color="auto"/>
                <w:left w:val="none" w:sz="0" w:space="0" w:color="auto"/>
                <w:bottom w:val="none" w:sz="0" w:space="0" w:color="auto"/>
                <w:right w:val="none" w:sz="0" w:space="0" w:color="auto"/>
              </w:divBdr>
            </w:div>
            <w:div w:id="1467971081">
              <w:marLeft w:val="0"/>
              <w:marRight w:val="0"/>
              <w:marTop w:val="0"/>
              <w:marBottom w:val="0"/>
              <w:divBdr>
                <w:top w:val="none" w:sz="0" w:space="0" w:color="auto"/>
                <w:left w:val="none" w:sz="0" w:space="0" w:color="auto"/>
                <w:bottom w:val="none" w:sz="0" w:space="0" w:color="auto"/>
                <w:right w:val="none" w:sz="0" w:space="0" w:color="auto"/>
              </w:divBdr>
            </w:div>
            <w:div w:id="1597522273">
              <w:marLeft w:val="0"/>
              <w:marRight w:val="0"/>
              <w:marTop w:val="0"/>
              <w:marBottom w:val="0"/>
              <w:divBdr>
                <w:top w:val="none" w:sz="0" w:space="0" w:color="auto"/>
                <w:left w:val="none" w:sz="0" w:space="0" w:color="auto"/>
                <w:bottom w:val="none" w:sz="0" w:space="0" w:color="auto"/>
                <w:right w:val="none" w:sz="0" w:space="0" w:color="auto"/>
              </w:divBdr>
            </w:div>
            <w:div w:id="1709647230">
              <w:marLeft w:val="0"/>
              <w:marRight w:val="0"/>
              <w:marTop w:val="0"/>
              <w:marBottom w:val="0"/>
              <w:divBdr>
                <w:top w:val="none" w:sz="0" w:space="0" w:color="auto"/>
                <w:left w:val="none" w:sz="0" w:space="0" w:color="auto"/>
                <w:bottom w:val="none" w:sz="0" w:space="0" w:color="auto"/>
                <w:right w:val="none" w:sz="0" w:space="0" w:color="auto"/>
              </w:divBdr>
            </w:div>
            <w:div w:id="1766146860">
              <w:marLeft w:val="0"/>
              <w:marRight w:val="0"/>
              <w:marTop w:val="0"/>
              <w:marBottom w:val="0"/>
              <w:divBdr>
                <w:top w:val="none" w:sz="0" w:space="0" w:color="auto"/>
                <w:left w:val="none" w:sz="0" w:space="0" w:color="auto"/>
                <w:bottom w:val="none" w:sz="0" w:space="0" w:color="auto"/>
                <w:right w:val="none" w:sz="0" w:space="0" w:color="auto"/>
              </w:divBdr>
            </w:div>
            <w:div w:id="1814329426">
              <w:marLeft w:val="0"/>
              <w:marRight w:val="0"/>
              <w:marTop w:val="0"/>
              <w:marBottom w:val="0"/>
              <w:divBdr>
                <w:top w:val="none" w:sz="0" w:space="0" w:color="auto"/>
                <w:left w:val="none" w:sz="0" w:space="0" w:color="auto"/>
                <w:bottom w:val="none" w:sz="0" w:space="0" w:color="auto"/>
                <w:right w:val="none" w:sz="0" w:space="0" w:color="auto"/>
              </w:divBdr>
            </w:div>
            <w:div w:id="1855731994">
              <w:marLeft w:val="0"/>
              <w:marRight w:val="0"/>
              <w:marTop w:val="0"/>
              <w:marBottom w:val="0"/>
              <w:divBdr>
                <w:top w:val="none" w:sz="0" w:space="0" w:color="auto"/>
                <w:left w:val="none" w:sz="0" w:space="0" w:color="auto"/>
                <w:bottom w:val="none" w:sz="0" w:space="0" w:color="auto"/>
                <w:right w:val="none" w:sz="0" w:space="0" w:color="auto"/>
              </w:divBdr>
            </w:div>
            <w:div w:id="1929457029">
              <w:marLeft w:val="0"/>
              <w:marRight w:val="0"/>
              <w:marTop w:val="0"/>
              <w:marBottom w:val="0"/>
              <w:divBdr>
                <w:top w:val="none" w:sz="0" w:space="0" w:color="auto"/>
                <w:left w:val="none" w:sz="0" w:space="0" w:color="auto"/>
                <w:bottom w:val="none" w:sz="0" w:space="0" w:color="auto"/>
                <w:right w:val="none" w:sz="0" w:space="0" w:color="auto"/>
              </w:divBdr>
            </w:div>
            <w:div w:id="2071541337">
              <w:marLeft w:val="0"/>
              <w:marRight w:val="0"/>
              <w:marTop w:val="0"/>
              <w:marBottom w:val="0"/>
              <w:divBdr>
                <w:top w:val="none" w:sz="0" w:space="0" w:color="auto"/>
                <w:left w:val="none" w:sz="0" w:space="0" w:color="auto"/>
                <w:bottom w:val="none" w:sz="0" w:space="0" w:color="auto"/>
                <w:right w:val="none" w:sz="0" w:space="0" w:color="auto"/>
              </w:divBdr>
            </w:div>
          </w:divsChild>
        </w:div>
        <w:div w:id="1563054282">
          <w:marLeft w:val="0"/>
          <w:marRight w:val="0"/>
          <w:marTop w:val="0"/>
          <w:marBottom w:val="0"/>
          <w:divBdr>
            <w:top w:val="none" w:sz="0" w:space="0" w:color="auto"/>
            <w:left w:val="none" w:sz="0" w:space="0" w:color="auto"/>
            <w:bottom w:val="none" w:sz="0" w:space="0" w:color="auto"/>
            <w:right w:val="none" w:sz="0" w:space="0" w:color="auto"/>
          </w:divBdr>
        </w:div>
        <w:div w:id="1567371598">
          <w:marLeft w:val="0"/>
          <w:marRight w:val="0"/>
          <w:marTop w:val="0"/>
          <w:marBottom w:val="0"/>
          <w:divBdr>
            <w:top w:val="none" w:sz="0" w:space="0" w:color="auto"/>
            <w:left w:val="none" w:sz="0" w:space="0" w:color="auto"/>
            <w:bottom w:val="none" w:sz="0" w:space="0" w:color="auto"/>
            <w:right w:val="none" w:sz="0" w:space="0" w:color="auto"/>
          </w:divBdr>
        </w:div>
        <w:div w:id="1568034567">
          <w:marLeft w:val="0"/>
          <w:marRight w:val="0"/>
          <w:marTop w:val="0"/>
          <w:marBottom w:val="0"/>
          <w:divBdr>
            <w:top w:val="none" w:sz="0" w:space="0" w:color="auto"/>
            <w:left w:val="none" w:sz="0" w:space="0" w:color="auto"/>
            <w:bottom w:val="none" w:sz="0" w:space="0" w:color="auto"/>
            <w:right w:val="none" w:sz="0" w:space="0" w:color="auto"/>
          </w:divBdr>
        </w:div>
        <w:div w:id="1576276766">
          <w:marLeft w:val="0"/>
          <w:marRight w:val="0"/>
          <w:marTop w:val="0"/>
          <w:marBottom w:val="0"/>
          <w:divBdr>
            <w:top w:val="none" w:sz="0" w:space="0" w:color="auto"/>
            <w:left w:val="none" w:sz="0" w:space="0" w:color="auto"/>
            <w:bottom w:val="none" w:sz="0" w:space="0" w:color="auto"/>
            <w:right w:val="none" w:sz="0" w:space="0" w:color="auto"/>
          </w:divBdr>
        </w:div>
        <w:div w:id="1577590464">
          <w:marLeft w:val="0"/>
          <w:marRight w:val="0"/>
          <w:marTop w:val="0"/>
          <w:marBottom w:val="0"/>
          <w:divBdr>
            <w:top w:val="none" w:sz="0" w:space="0" w:color="auto"/>
            <w:left w:val="none" w:sz="0" w:space="0" w:color="auto"/>
            <w:bottom w:val="none" w:sz="0" w:space="0" w:color="auto"/>
            <w:right w:val="none" w:sz="0" w:space="0" w:color="auto"/>
          </w:divBdr>
        </w:div>
        <w:div w:id="1580018841">
          <w:marLeft w:val="0"/>
          <w:marRight w:val="0"/>
          <w:marTop w:val="0"/>
          <w:marBottom w:val="0"/>
          <w:divBdr>
            <w:top w:val="none" w:sz="0" w:space="0" w:color="auto"/>
            <w:left w:val="none" w:sz="0" w:space="0" w:color="auto"/>
            <w:bottom w:val="none" w:sz="0" w:space="0" w:color="auto"/>
            <w:right w:val="none" w:sz="0" w:space="0" w:color="auto"/>
          </w:divBdr>
        </w:div>
        <w:div w:id="1604923094">
          <w:marLeft w:val="0"/>
          <w:marRight w:val="0"/>
          <w:marTop w:val="0"/>
          <w:marBottom w:val="0"/>
          <w:divBdr>
            <w:top w:val="none" w:sz="0" w:space="0" w:color="auto"/>
            <w:left w:val="none" w:sz="0" w:space="0" w:color="auto"/>
            <w:bottom w:val="none" w:sz="0" w:space="0" w:color="auto"/>
            <w:right w:val="none" w:sz="0" w:space="0" w:color="auto"/>
          </w:divBdr>
        </w:div>
        <w:div w:id="1613588344">
          <w:marLeft w:val="0"/>
          <w:marRight w:val="0"/>
          <w:marTop w:val="0"/>
          <w:marBottom w:val="0"/>
          <w:divBdr>
            <w:top w:val="none" w:sz="0" w:space="0" w:color="auto"/>
            <w:left w:val="none" w:sz="0" w:space="0" w:color="auto"/>
            <w:bottom w:val="none" w:sz="0" w:space="0" w:color="auto"/>
            <w:right w:val="none" w:sz="0" w:space="0" w:color="auto"/>
          </w:divBdr>
        </w:div>
        <w:div w:id="1623728196">
          <w:marLeft w:val="0"/>
          <w:marRight w:val="0"/>
          <w:marTop w:val="0"/>
          <w:marBottom w:val="0"/>
          <w:divBdr>
            <w:top w:val="none" w:sz="0" w:space="0" w:color="auto"/>
            <w:left w:val="none" w:sz="0" w:space="0" w:color="auto"/>
            <w:bottom w:val="none" w:sz="0" w:space="0" w:color="auto"/>
            <w:right w:val="none" w:sz="0" w:space="0" w:color="auto"/>
          </w:divBdr>
          <w:divsChild>
            <w:div w:id="91292084">
              <w:marLeft w:val="0"/>
              <w:marRight w:val="0"/>
              <w:marTop w:val="0"/>
              <w:marBottom w:val="0"/>
              <w:divBdr>
                <w:top w:val="none" w:sz="0" w:space="0" w:color="auto"/>
                <w:left w:val="none" w:sz="0" w:space="0" w:color="auto"/>
                <w:bottom w:val="none" w:sz="0" w:space="0" w:color="auto"/>
                <w:right w:val="none" w:sz="0" w:space="0" w:color="auto"/>
              </w:divBdr>
            </w:div>
            <w:div w:id="206458667">
              <w:marLeft w:val="0"/>
              <w:marRight w:val="0"/>
              <w:marTop w:val="0"/>
              <w:marBottom w:val="0"/>
              <w:divBdr>
                <w:top w:val="none" w:sz="0" w:space="0" w:color="auto"/>
                <w:left w:val="none" w:sz="0" w:space="0" w:color="auto"/>
                <w:bottom w:val="none" w:sz="0" w:space="0" w:color="auto"/>
                <w:right w:val="none" w:sz="0" w:space="0" w:color="auto"/>
              </w:divBdr>
            </w:div>
            <w:div w:id="379400092">
              <w:marLeft w:val="0"/>
              <w:marRight w:val="0"/>
              <w:marTop w:val="0"/>
              <w:marBottom w:val="0"/>
              <w:divBdr>
                <w:top w:val="none" w:sz="0" w:space="0" w:color="auto"/>
                <w:left w:val="none" w:sz="0" w:space="0" w:color="auto"/>
                <w:bottom w:val="none" w:sz="0" w:space="0" w:color="auto"/>
                <w:right w:val="none" w:sz="0" w:space="0" w:color="auto"/>
              </w:divBdr>
            </w:div>
            <w:div w:id="413278825">
              <w:marLeft w:val="0"/>
              <w:marRight w:val="0"/>
              <w:marTop w:val="0"/>
              <w:marBottom w:val="0"/>
              <w:divBdr>
                <w:top w:val="none" w:sz="0" w:space="0" w:color="auto"/>
                <w:left w:val="none" w:sz="0" w:space="0" w:color="auto"/>
                <w:bottom w:val="none" w:sz="0" w:space="0" w:color="auto"/>
                <w:right w:val="none" w:sz="0" w:space="0" w:color="auto"/>
              </w:divBdr>
            </w:div>
            <w:div w:id="479736662">
              <w:marLeft w:val="0"/>
              <w:marRight w:val="0"/>
              <w:marTop w:val="0"/>
              <w:marBottom w:val="0"/>
              <w:divBdr>
                <w:top w:val="none" w:sz="0" w:space="0" w:color="auto"/>
                <w:left w:val="none" w:sz="0" w:space="0" w:color="auto"/>
                <w:bottom w:val="none" w:sz="0" w:space="0" w:color="auto"/>
                <w:right w:val="none" w:sz="0" w:space="0" w:color="auto"/>
              </w:divBdr>
            </w:div>
            <w:div w:id="506873333">
              <w:marLeft w:val="0"/>
              <w:marRight w:val="0"/>
              <w:marTop w:val="0"/>
              <w:marBottom w:val="0"/>
              <w:divBdr>
                <w:top w:val="none" w:sz="0" w:space="0" w:color="auto"/>
                <w:left w:val="none" w:sz="0" w:space="0" w:color="auto"/>
                <w:bottom w:val="none" w:sz="0" w:space="0" w:color="auto"/>
                <w:right w:val="none" w:sz="0" w:space="0" w:color="auto"/>
              </w:divBdr>
            </w:div>
            <w:div w:id="793258923">
              <w:marLeft w:val="0"/>
              <w:marRight w:val="0"/>
              <w:marTop w:val="0"/>
              <w:marBottom w:val="0"/>
              <w:divBdr>
                <w:top w:val="none" w:sz="0" w:space="0" w:color="auto"/>
                <w:left w:val="none" w:sz="0" w:space="0" w:color="auto"/>
                <w:bottom w:val="none" w:sz="0" w:space="0" w:color="auto"/>
                <w:right w:val="none" w:sz="0" w:space="0" w:color="auto"/>
              </w:divBdr>
            </w:div>
            <w:div w:id="862062155">
              <w:marLeft w:val="0"/>
              <w:marRight w:val="0"/>
              <w:marTop w:val="0"/>
              <w:marBottom w:val="0"/>
              <w:divBdr>
                <w:top w:val="none" w:sz="0" w:space="0" w:color="auto"/>
                <w:left w:val="none" w:sz="0" w:space="0" w:color="auto"/>
                <w:bottom w:val="none" w:sz="0" w:space="0" w:color="auto"/>
                <w:right w:val="none" w:sz="0" w:space="0" w:color="auto"/>
              </w:divBdr>
            </w:div>
            <w:div w:id="1108307609">
              <w:marLeft w:val="0"/>
              <w:marRight w:val="0"/>
              <w:marTop w:val="0"/>
              <w:marBottom w:val="0"/>
              <w:divBdr>
                <w:top w:val="none" w:sz="0" w:space="0" w:color="auto"/>
                <w:left w:val="none" w:sz="0" w:space="0" w:color="auto"/>
                <w:bottom w:val="none" w:sz="0" w:space="0" w:color="auto"/>
                <w:right w:val="none" w:sz="0" w:space="0" w:color="auto"/>
              </w:divBdr>
            </w:div>
            <w:div w:id="1185750087">
              <w:marLeft w:val="0"/>
              <w:marRight w:val="0"/>
              <w:marTop w:val="0"/>
              <w:marBottom w:val="0"/>
              <w:divBdr>
                <w:top w:val="none" w:sz="0" w:space="0" w:color="auto"/>
                <w:left w:val="none" w:sz="0" w:space="0" w:color="auto"/>
                <w:bottom w:val="none" w:sz="0" w:space="0" w:color="auto"/>
                <w:right w:val="none" w:sz="0" w:space="0" w:color="auto"/>
              </w:divBdr>
            </w:div>
            <w:div w:id="1320766658">
              <w:marLeft w:val="0"/>
              <w:marRight w:val="0"/>
              <w:marTop w:val="0"/>
              <w:marBottom w:val="0"/>
              <w:divBdr>
                <w:top w:val="none" w:sz="0" w:space="0" w:color="auto"/>
                <w:left w:val="none" w:sz="0" w:space="0" w:color="auto"/>
                <w:bottom w:val="none" w:sz="0" w:space="0" w:color="auto"/>
                <w:right w:val="none" w:sz="0" w:space="0" w:color="auto"/>
              </w:divBdr>
            </w:div>
            <w:div w:id="1398743117">
              <w:marLeft w:val="0"/>
              <w:marRight w:val="0"/>
              <w:marTop w:val="0"/>
              <w:marBottom w:val="0"/>
              <w:divBdr>
                <w:top w:val="none" w:sz="0" w:space="0" w:color="auto"/>
                <w:left w:val="none" w:sz="0" w:space="0" w:color="auto"/>
                <w:bottom w:val="none" w:sz="0" w:space="0" w:color="auto"/>
                <w:right w:val="none" w:sz="0" w:space="0" w:color="auto"/>
              </w:divBdr>
            </w:div>
            <w:div w:id="1588348336">
              <w:marLeft w:val="0"/>
              <w:marRight w:val="0"/>
              <w:marTop w:val="0"/>
              <w:marBottom w:val="0"/>
              <w:divBdr>
                <w:top w:val="none" w:sz="0" w:space="0" w:color="auto"/>
                <w:left w:val="none" w:sz="0" w:space="0" w:color="auto"/>
                <w:bottom w:val="none" w:sz="0" w:space="0" w:color="auto"/>
                <w:right w:val="none" w:sz="0" w:space="0" w:color="auto"/>
              </w:divBdr>
            </w:div>
            <w:div w:id="1628198000">
              <w:marLeft w:val="0"/>
              <w:marRight w:val="0"/>
              <w:marTop w:val="0"/>
              <w:marBottom w:val="0"/>
              <w:divBdr>
                <w:top w:val="none" w:sz="0" w:space="0" w:color="auto"/>
                <w:left w:val="none" w:sz="0" w:space="0" w:color="auto"/>
                <w:bottom w:val="none" w:sz="0" w:space="0" w:color="auto"/>
                <w:right w:val="none" w:sz="0" w:space="0" w:color="auto"/>
              </w:divBdr>
            </w:div>
            <w:div w:id="1630435011">
              <w:marLeft w:val="0"/>
              <w:marRight w:val="0"/>
              <w:marTop w:val="0"/>
              <w:marBottom w:val="0"/>
              <w:divBdr>
                <w:top w:val="none" w:sz="0" w:space="0" w:color="auto"/>
                <w:left w:val="none" w:sz="0" w:space="0" w:color="auto"/>
                <w:bottom w:val="none" w:sz="0" w:space="0" w:color="auto"/>
                <w:right w:val="none" w:sz="0" w:space="0" w:color="auto"/>
              </w:divBdr>
            </w:div>
            <w:div w:id="1753696179">
              <w:marLeft w:val="0"/>
              <w:marRight w:val="0"/>
              <w:marTop w:val="0"/>
              <w:marBottom w:val="0"/>
              <w:divBdr>
                <w:top w:val="none" w:sz="0" w:space="0" w:color="auto"/>
                <w:left w:val="none" w:sz="0" w:space="0" w:color="auto"/>
                <w:bottom w:val="none" w:sz="0" w:space="0" w:color="auto"/>
                <w:right w:val="none" w:sz="0" w:space="0" w:color="auto"/>
              </w:divBdr>
            </w:div>
            <w:div w:id="1773549969">
              <w:marLeft w:val="0"/>
              <w:marRight w:val="0"/>
              <w:marTop w:val="0"/>
              <w:marBottom w:val="0"/>
              <w:divBdr>
                <w:top w:val="none" w:sz="0" w:space="0" w:color="auto"/>
                <w:left w:val="none" w:sz="0" w:space="0" w:color="auto"/>
                <w:bottom w:val="none" w:sz="0" w:space="0" w:color="auto"/>
                <w:right w:val="none" w:sz="0" w:space="0" w:color="auto"/>
              </w:divBdr>
            </w:div>
            <w:div w:id="1778214508">
              <w:marLeft w:val="0"/>
              <w:marRight w:val="0"/>
              <w:marTop w:val="0"/>
              <w:marBottom w:val="0"/>
              <w:divBdr>
                <w:top w:val="none" w:sz="0" w:space="0" w:color="auto"/>
                <w:left w:val="none" w:sz="0" w:space="0" w:color="auto"/>
                <w:bottom w:val="none" w:sz="0" w:space="0" w:color="auto"/>
                <w:right w:val="none" w:sz="0" w:space="0" w:color="auto"/>
              </w:divBdr>
            </w:div>
            <w:div w:id="2006088902">
              <w:marLeft w:val="0"/>
              <w:marRight w:val="0"/>
              <w:marTop w:val="0"/>
              <w:marBottom w:val="0"/>
              <w:divBdr>
                <w:top w:val="none" w:sz="0" w:space="0" w:color="auto"/>
                <w:left w:val="none" w:sz="0" w:space="0" w:color="auto"/>
                <w:bottom w:val="none" w:sz="0" w:space="0" w:color="auto"/>
                <w:right w:val="none" w:sz="0" w:space="0" w:color="auto"/>
              </w:divBdr>
            </w:div>
            <w:div w:id="2038388838">
              <w:marLeft w:val="0"/>
              <w:marRight w:val="0"/>
              <w:marTop w:val="0"/>
              <w:marBottom w:val="0"/>
              <w:divBdr>
                <w:top w:val="none" w:sz="0" w:space="0" w:color="auto"/>
                <w:left w:val="none" w:sz="0" w:space="0" w:color="auto"/>
                <w:bottom w:val="none" w:sz="0" w:space="0" w:color="auto"/>
                <w:right w:val="none" w:sz="0" w:space="0" w:color="auto"/>
              </w:divBdr>
            </w:div>
          </w:divsChild>
        </w:div>
        <w:div w:id="1691490898">
          <w:marLeft w:val="0"/>
          <w:marRight w:val="0"/>
          <w:marTop w:val="0"/>
          <w:marBottom w:val="0"/>
          <w:divBdr>
            <w:top w:val="none" w:sz="0" w:space="0" w:color="auto"/>
            <w:left w:val="none" w:sz="0" w:space="0" w:color="auto"/>
            <w:bottom w:val="none" w:sz="0" w:space="0" w:color="auto"/>
            <w:right w:val="none" w:sz="0" w:space="0" w:color="auto"/>
          </w:divBdr>
          <w:divsChild>
            <w:div w:id="36703929">
              <w:marLeft w:val="0"/>
              <w:marRight w:val="0"/>
              <w:marTop w:val="0"/>
              <w:marBottom w:val="0"/>
              <w:divBdr>
                <w:top w:val="none" w:sz="0" w:space="0" w:color="auto"/>
                <w:left w:val="none" w:sz="0" w:space="0" w:color="auto"/>
                <w:bottom w:val="none" w:sz="0" w:space="0" w:color="auto"/>
                <w:right w:val="none" w:sz="0" w:space="0" w:color="auto"/>
              </w:divBdr>
            </w:div>
            <w:div w:id="169299485">
              <w:marLeft w:val="0"/>
              <w:marRight w:val="0"/>
              <w:marTop w:val="0"/>
              <w:marBottom w:val="0"/>
              <w:divBdr>
                <w:top w:val="none" w:sz="0" w:space="0" w:color="auto"/>
                <w:left w:val="none" w:sz="0" w:space="0" w:color="auto"/>
                <w:bottom w:val="none" w:sz="0" w:space="0" w:color="auto"/>
                <w:right w:val="none" w:sz="0" w:space="0" w:color="auto"/>
              </w:divBdr>
            </w:div>
            <w:div w:id="550192815">
              <w:marLeft w:val="0"/>
              <w:marRight w:val="0"/>
              <w:marTop w:val="0"/>
              <w:marBottom w:val="0"/>
              <w:divBdr>
                <w:top w:val="none" w:sz="0" w:space="0" w:color="auto"/>
                <w:left w:val="none" w:sz="0" w:space="0" w:color="auto"/>
                <w:bottom w:val="none" w:sz="0" w:space="0" w:color="auto"/>
                <w:right w:val="none" w:sz="0" w:space="0" w:color="auto"/>
              </w:divBdr>
            </w:div>
            <w:div w:id="734594096">
              <w:marLeft w:val="0"/>
              <w:marRight w:val="0"/>
              <w:marTop w:val="0"/>
              <w:marBottom w:val="0"/>
              <w:divBdr>
                <w:top w:val="none" w:sz="0" w:space="0" w:color="auto"/>
                <w:left w:val="none" w:sz="0" w:space="0" w:color="auto"/>
                <w:bottom w:val="none" w:sz="0" w:space="0" w:color="auto"/>
                <w:right w:val="none" w:sz="0" w:space="0" w:color="auto"/>
              </w:divBdr>
            </w:div>
            <w:div w:id="759331864">
              <w:marLeft w:val="0"/>
              <w:marRight w:val="0"/>
              <w:marTop w:val="0"/>
              <w:marBottom w:val="0"/>
              <w:divBdr>
                <w:top w:val="none" w:sz="0" w:space="0" w:color="auto"/>
                <w:left w:val="none" w:sz="0" w:space="0" w:color="auto"/>
                <w:bottom w:val="none" w:sz="0" w:space="0" w:color="auto"/>
                <w:right w:val="none" w:sz="0" w:space="0" w:color="auto"/>
              </w:divBdr>
            </w:div>
            <w:div w:id="819856413">
              <w:marLeft w:val="0"/>
              <w:marRight w:val="0"/>
              <w:marTop w:val="0"/>
              <w:marBottom w:val="0"/>
              <w:divBdr>
                <w:top w:val="none" w:sz="0" w:space="0" w:color="auto"/>
                <w:left w:val="none" w:sz="0" w:space="0" w:color="auto"/>
                <w:bottom w:val="none" w:sz="0" w:space="0" w:color="auto"/>
                <w:right w:val="none" w:sz="0" w:space="0" w:color="auto"/>
              </w:divBdr>
            </w:div>
            <w:div w:id="953054531">
              <w:marLeft w:val="0"/>
              <w:marRight w:val="0"/>
              <w:marTop w:val="0"/>
              <w:marBottom w:val="0"/>
              <w:divBdr>
                <w:top w:val="none" w:sz="0" w:space="0" w:color="auto"/>
                <w:left w:val="none" w:sz="0" w:space="0" w:color="auto"/>
                <w:bottom w:val="none" w:sz="0" w:space="0" w:color="auto"/>
                <w:right w:val="none" w:sz="0" w:space="0" w:color="auto"/>
              </w:divBdr>
            </w:div>
            <w:div w:id="1017581148">
              <w:marLeft w:val="0"/>
              <w:marRight w:val="0"/>
              <w:marTop w:val="0"/>
              <w:marBottom w:val="0"/>
              <w:divBdr>
                <w:top w:val="none" w:sz="0" w:space="0" w:color="auto"/>
                <w:left w:val="none" w:sz="0" w:space="0" w:color="auto"/>
                <w:bottom w:val="none" w:sz="0" w:space="0" w:color="auto"/>
                <w:right w:val="none" w:sz="0" w:space="0" w:color="auto"/>
              </w:divBdr>
            </w:div>
            <w:div w:id="1121725645">
              <w:marLeft w:val="0"/>
              <w:marRight w:val="0"/>
              <w:marTop w:val="0"/>
              <w:marBottom w:val="0"/>
              <w:divBdr>
                <w:top w:val="none" w:sz="0" w:space="0" w:color="auto"/>
                <w:left w:val="none" w:sz="0" w:space="0" w:color="auto"/>
                <w:bottom w:val="none" w:sz="0" w:space="0" w:color="auto"/>
                <w:right w:val="none" w:sz="0" w:space="0" w:color="auto"/>
              </w:divBdr>
            </w:div>
            <w:div w:id="1182277032">
              <w:marLeft w:val="0"/>
              <w:marRight w:val="0"/>
              <w:marTop w:val="0"/>
              <w:marBottom w:val="0"/>
              <w:divBdr>
                <w:top w:val="none" w:sz="0" w:space="0" w:color="auto"/>
                <w:left w:val="none" w:sz="0" w:space="0" w:color="auto"/>
                <w:bottom w:val="none" w:sz="0" w:space="0" w:color="auto"/>
                <w:right w:val="none" w:sz="0" w:space="0" w:color="auto"/>
              </w:divBdr>
            </w:div>
            <w:div w:id="1192457954">
              <w:marLeft w:val="0"/>
              <w:marRight w:val="0"/>
              <w:marTop w:val="0"/>
              <w:marBottom w:val="0"/>
              <w:divBdr>
                <w:top w:val="none" w:sz="0" w:space="0" w:color="auto"/>
                <w:left w:val="none" w:sz="0" w:space="0" w:color="auto"/>
                <w:bottom w:val="none" w:sz="0" w:space="0" w:color="auto"/>
                <w:right w:val="none" w:sz="0" w:space="0" w:color="auto"/>
              </w:divBdr>
            </w:div>
            <w:div w:id="1231116032">
              <w:marLeft w:val="0"/>
              <w:marRight w:val="0"/>
              <w:marTop w:val="0"/>
              <w:marBottom w:val="0"/>
              <w:divBdr>
                <w:top w:val="none" w:sz="0" w:space="0" w:color="auto"/>
                <w:left w:val="none" w:sz="0" w:space="0" w:color="auto"/>
                <w:bottom w:val="none" w:sz="0" w:space="0" w:color="auto"/>
                <w:right w:val="none" w:sz="0" w:space="0" w:color="auto"/>
              </w:divBdr>
            </w:div>
            <w:div w:id="1304233447">
              <w:marLeft w:val="0"/>
              <w:marRight w:val="0"/>
              <w:marTop w:val="0"/>
              <w:marBottom w:val="0"/>
              <w:divBdr>
                <w:top w:val="none" w:sz="0" w:space="0" w:color="auto"/>
                <w:left w:val="none" w:sz="0" w:space="0" w:color="auto"/>
                <w:bottom w:val="none" w:sz="0" w:space="0" w:color="auto"/>
                <w:right w:val="none" w:sz="0" w:space="0" w:color="auto"/>
              </w:divBdr>
            </w:div>
            <w:div w:id="1327054746">
              <w:marLeft w:val="0"/>
              <w:marRight w:val="0"/>
              <w:marTop w:val="0"/>
              <w:marBottom w:val="0"/>
              <w:divBdr>
                <w:top w:val="none" w:sz="0" w:space="0" w:color="auto"/>
                <w:left w:val="none" w:sz="0" w:space="0" w:color="auto"/>
                <w:bottom w:val="none" w:sz="0" w:space="0" w:color="auto"/>
                <w:right w:val="none" w:sz="0" w:space="0" w:color="auto"/>
              </w:divBdr>
            </w:div>
            <w:div w:id="1433671832">
              <w:marLeft w:val="0"/>
              <w:marRight w:val="0"/>
              <w:marTop w:val="0"/>
              <w:marBottom w:val="0"/>
              <w:divBdr>
                <w:top w:val="none" w:sz="0" w:space="0" w:color="auto"/>
                <w:left w:val="none" w:sz="0" w:space="0" w:color="auto"/>
                <w:bottom w:val="none" w:sz="0" w:space="0" w:color="auto"/>
                <w:right w:val="none" w:sz="0" w:space="0" w:color="auto"/>
              </w:divBdr>
            </w:div>
            <w:div w:id="1504276585">
              <w:marLeft w:val="0"/>
              <w:marRight w:val="0"/>
              <w:marTop w:val="0"/>
              <w:marBottom w:val="0"/>
              <w:divBdr>
                <w:top w:val="none" w:sz="0" w:space="0" w:color="auto"/>
                <w:left w:val="none" w:sz="0" w:space="0" w:color="auto"/>
                <w:bottom w:val="none" w:sz="0" w:space="0" w:color="auto"/>
                <w:right w:val="none" w:sz="0" w:space="0" w:color="auto"/>
              </w:divBdr>
            </w:div>
            <w:div w:id="1602760034">
              <w:marLeft w:val="0"/>
              <w:marRight w:val="0"/>
              <w:marTop w:val="0"/>
              <w:marBottom w:val="0"/>
              <w:divBdr>
                <w:top w:val="none" w:sz="0" w:space="0" w:color="auto"/>
                <w:left w:val="none" w:sz="0" w:space="0" w:color="auto"/>
                <w:bottom w:val="none" w:sz="0" w:space="0" w:color="auto"/>
                <w:right w:val="none" w:sz="0" w:space="0" w:color="auto"/>
              </w:divBdr>
            </w:div>
            <w:div w:id="1631276861">
              <w:marLeft w:val="0"/>
              <w:marRight w:val="0"/>
              <w:marTop w:val="0"/>
              <w:marBottom w:val="0"/>
              <w:divBdr>
                <w:top w:val="none" w:sz="0" w:space="0" w:color="auto"/>
                <w:left w:val="none" w:sz="0" w:space="0" w:color="auto"/>
                <w:bottom w:val="none" w:sz="0" w:space="0" w:color="auto"/>
                <w:right w:val="none" w:sz="0" w:space="0" w:color="auto"/>
              </w:divBdr>
            </w:div>
            <w:div w:id="1735204106">
              <w:marLeft w:val="0"/>
              <w:marRight w:val="0"/>
              <w:marTop w:val="0"/>
              <w:marBottom w:val="0"/>
              <w:divBdr>
                <w:top w:val="none" w:sz="0" w:space="0" w:color="auto"/>
                <w:left w:val="none" w:sz="0" w:space="0" w:color="auto"/>
                <w:bottom w:val="none" w:sz="0" w:space="0" w:color="auto"/>
                <w:right w:val="none" w:sz="0" w:space="0" w:color="auto"/>
              </w:divBdr>
            </w:div>
            <w:div w:id="1914314450">
              <w:marLeft w:val="0"/>
              <w:marRight w:val="0"/>
              <w:marTop w:val="0"/>
              <w:marBottom w:val="0"/>
              <w:divBdr>
                <w:top w:val="none" w:sz="0" w:space="0" w:color="auto"/>
                <w:left w:val="none" w:sz="0" w:space="0" w:color="auto"/>
                <w:bottom w:val="none" w:sz="0" w:space="0" w:color="auto"/>
                <w:right w:val="none" w:sz="0" w:space="0" w:color="auto"/>
              </w:divBdr>
            </w:div>
          </w:divsChild>
        </w:div>
        <w:div w:id="1717698651">
          <w:marLeft w:val="0"/>
          <w:marRight w:val="0"/>
          <w:marTop w:val="0"/>
          <w:marBottom w:val="0"/>
          <w:divBdr>
            <w:top w:val="none" w:sz="0" w:space="0" w:color="auto"/>
            <w:left w:val="none" w:sz="0" w:space="0" w:color="auto"/>
            <w:bottom w:val="none" w:sz="0" w:space="0" w:color="auto"/>
            <w:right w:val="none" w:sz="0" w:space="0" w:color="auto"/>
          </w:divBdr>
          <w:divsChild>
            <w:div w:id="46222150">
              <w:marLeft w:val="0"/>
              <w:marRight w:val="0"/>
              <w:marTop w:val="0"/>
              <w:marBottom w:val="0"/>
              <w:divBdr>
                <w:top w:val="none" w:sz="0" w:space="0" w:color="auto"/>
                <w:left w:val="none" w:sz="0" w:space="0" w:color="auto"/>
                <w:bottom w:val="none" w:sz="0" w:space="0" w:color="auto"/>
                <w:right w:val="none" w:sz="0" w:space="0" w:color="auto"/>
              </w:divBdr>
            </w:div>
            <w:div w:id="97023555">
              <w:marLeft w:val="0"/>
              <w:marRight w:val="0"/>
              <w:marTop w:val="0"/>
              <w:marBottom w:val="0"/>
              <w:divBdr>
                <w:top w:val="none" w:sz="0" w:space="0" w:color="auto"/>
                <w:left w:val="none" w:sz="0" w:space="0" w:color="auto"/>
                <w:bottom w:val="none" w:sz="0" w:space="0" w:color="auto"/>
                <w:right w:val="none" w:sz="0" w:space="0" w:color="auto"/>
              </w:divBdr>
            </w:div>
            <w:div w:id="171799305">
              <w:marLeft w:val="0"/>
              <w:marRight w:val="0"/>
              <w:marTop w:val="0"/>
              <w:marBottom w:val="0"/>
              <w:divBdr>
                <w:top w:val="none" w:sz="0" w:space="0" w:color="auto"/>
                <w:left w:val="none" w:sz="0" w:space="0" w:color="auto"/>
                <w:bottom w:val="none" w:sz="0" w:space="0" w:color="auto"/>
                <w:right w:val="none" w:sz="0" w:space="0" w:color="auto"/>
              </w:divBdr>
            </w:div>
            <w:div w:id="267544893">
              <w:marLeft w:val="0"/>
              <w:marRight w:val="0"/>
              <w:marTop w:val="0"/>
              <w:marBottom w:val="0"/>
              <w:divBdr>
                <w:top w:val="none" w:sz="0" w:space="0" w:color="auto"/>
                <w:left w:val="none" w:sz="0" w:space="0" w:color="auto"/>
                <w:bottom w:val="none" w:sz="0" w:space="0" w:color="auto"/>
                <w:right w:val="none" w:sz="0" w:space="0" w:color="auto"/>
              </w:divBdr>
            </w:div>
            <w:div w:id="351955317">
              <w:marLeft w:val="0"/>
              <w:marRight w:val="0"/>
              <w:marTop w:val="0"/>
              <w:marBottom w:val="0"/>
              <w:divBdr>
                <w:top w:val="none" w:sz="0" w:space="0" w:color="auto"/>
                <w:left w:val="none" w:sz="0" w:space="0" w:color="auto"/>
                <w:bottom w:val="none" w:sz="0" w:space="0" w:color="auto"/>
                <w:right w:val="none" w:sz="0" w:space="0" w:color="auto"/>
              </w:divBdr>
            </w:div>
            <w:div w:id="358044675">
              <w:marLeft w:val="0"/>
              <w:marRight w:val="0"/>
              <w:marTop w:val="0"/>
              <w:marBottom w:val="0"/>
              <w:divBdr>
                <w:top w:val="none" w:sz="0" w:space="0" w:color="auto"/>
                <w:left w:val="none" w:sz="0" w:space="0" w:color="auto"/>
                <w:bottom w:val="none" w:sz="0" w:space="0" w:color="auto"/>
                <w:right w:val="none" w:sz="0" w:space="0" w:color="auto"/>
              </w:divBdr>
            </w:div>
            <w:div w:id="469521231">
              <w:marLeft w:val="0"/>
              <w:marRight w:val="0"/>
              <w:marTop w:val="0"/>
              <w:marBottom w:val="0"/>
              <w:divBdr>
                <w:top w:val="none" w:sz="0" w:space="0" w:color="auto"/>
                <w:left w:val="none" w:sz="0" w:space="0" w:color="auto"/>
                <w:bottom w:val="none" w:sz="0" w:space="0" w:color="auto"/>
                <w:right w:val="none" w:sz="0" w:space="0" w:color="auto"/>
              </w:divBdr>
            </w:div>
            <w:div w:id="549460925">
              <w:marLeft w:val="0"/>
              <w:marRight w:val="0"/>
              <w:marTop w:val="0"/>
              <w:marBottom w:val="0"/>
              <w:divBdr>
                <w:top w:val="none" w:sz="0" w:space="0" w:color="auto"/>
                <w:left w:val="none" w:sz="0" w:space="0" w:color="auto"/>
                <w:bottom w:val="none" w:sz="0" w:space="0" w:color="auto"/>
                <w:right w:val="none" w:sz="0" w:space="0" w:color="auto"/>
              </w:divBdr>
            </w:div>
            <w:div w:id="600602954">
              <w:marLeft w:val="0"/>
              <w:marRight w:val="0"/>
              <w:marTop w:val="0"/>
              <w:marBottom w:val="0"/>
              <w:divBdr>
                <w:top w:val="none" w:sz="0" w:space="0" w:color="auto"/>
                <w:left w:val="none" w:sz="0" w:space="0" w:color="auto"/>
                <w:bottom w:val="none" w:sz="0" w:space="0" w:color="auto"/>
                <w:right w:val="none" w:sz="0" w:space="0" w:color="auto"/>
              </w:divBdr>
            </w:div>
            <w:div w:id="718744179">
              <w:marLeft w:val="0"/>
              <w:marRight w:val="0"/>
              <w:marTop w:val="0"/>
              <w:marBottom w:val="0"/>
              <w:divBdr>
                <w:top w:val="none" w:sz="0" w:space="0" w:color="auto"/>
                <w:left w:val="none" w:sz="0" w:space="0" w:color="auto"/>
                <w:bottom w:val="none" w:sz="0" w:space="0" w:color="auto"/>
                <w:right w:val="none" w:sz="0" w:space="0" w:color="auto"/>
              </w:divBdr>
            </w:div>
            <w:div w:id="742218727">
              <w:marLeft w:val="0"/>
              <w:marRight w:val="0"/>
              <w:marTop w:val="0"/>
              <w:marBottom w:val="0"/>
              <w:divBdr>
                <w:top w:val="none" w:sz="0" w:space="0" w:color="auto"/>
                <w:left w:val="none" w:sz="0" w:space="0" w:color="auto"/>
                <w:bottom w:val="none" w:sz="0" w:space="0" w:color="auto"/>
                <w:right w:val="none" w:sz="0" w:space="0" w:color="auto"/>
              </w:divBdr>
            </w:div>
            <w:div w:id="912200860">
              <w:marLeft w:val="0"/>
              <w:marRight w:val="0"/>
              <w:marTop w:val="0"/>
              <w:marBottom w:val="0"/>
              <w:divBdr>
                <w:top w:val="none" w:sz="0" w:space="0" w:color="auto"/>
                <w:left w:val="none" w:sz="0" w:space="0" w:color="auto"/>
                <w:bottom w:val="none" w:sz="0" w:space="0" w:color="auto"/>
                <w:right w:val="none" w:sz="0" w:space="0" w:color="auto"/>
              </w:divBdr>
            </w:div>
            <w:div w:id="974675787">
              <w:marLeft w:val="0"/>
              <w:marRight w:val="0"/>
              <w:marTop w:val="0"/>
              <w:marBottom w:val="0"/>
              <w:divBdr>
                <w:top w:val="none" w:sz="0" w:space="0" w:color="auto"/>
                <w:left w:val="none" w:sz="0" w:space="0" w:color="auto"/>
                <w:bottom w:val="none" w:sz="0" w:space="0" w:color="auto"/>
                <w:right w:val="none" w:sz="0" w:space="0" w:color="auto"/>
              </w:divBdr>
            </w:div>
            <w:div w:id="1070930943">
              <w:marLeft w:val="0"/>
              <w:marRight w:val="0"/>
              <w:marTop w:val="0"/>
              <w:marBottom w:val="0"/>
              <w:divBdr>
                <w:top w:val="none" w:sz="0" w:space="0" w:color="auto"/>
                <w:left w:val="none" w:sz="0" w:space="0" w:color="auto"/>
                <w:bottom w:val="none" w:sz="0" w:space="0" w:color="auto"/>
                <w:right w:val="none" w:sz="0" w:space="0" w:color="auto"/>
              </w:divBdr>
            </w:div>
            <w:div w:id="1073232880">
              <w:marLeft w:val="0"/>
              <w:marRight w:val="0"/>
              <w:marTop w:val="0"/>
              <w:marBottom w:val="0"/>
              <w:divBdr>
                <w:top w:val="none" w:sz="0" w:space="0" w:color="auto"/>
                <w:left w:val="none" w:sz="0" w:space="0" w:color="auto"/>
                <w:bottom w:val="none" w:sz="0" w:space="0" w:color="auto"/>
                <w:right w:val="none" w:sz="0" w:space="0" w:color="auto"/>
              </w:divBdr>
            </w:div>
            <w:div w:id="1330600236">
              <w:marLeft w:val="0"/>
              <w:marRight w:val="0"/>
              <w:marTop w:val="0"/>
              <w:marBottom w:val="0"/>
              <w:divBdr>
                <w:top w:val="none" w:sz="0" w:space="0" w:color="auto"/>
                <w:left w:val="none" w:sz="0" w:space="0" w:color="auto"/>
                <w:bottom w:val="none" w:sz="0" w:space="0" w:color="auto"/>
                <w:right w:val="none" w:sz="0" w:space="0" w:color="auto"/>
              </w:divBdr>
            </w:div>
            <w:div w:id="1439255992">
              <w:marLeft w:val="0"/>
              <w:marRight w:val="0"/>
              <w:marTop w:val="0"/>
              <w:marBottom w:val="0"/>
              <w:divBdr>
                <w:top w:val="none" w:sz="0" w:space="0" w:color="auto"/>
                <w:left w:val="none" w:sz="0" w:space="0" w:color="auto"/>
                <w:bottom w:val="none" w:sz="0" w:space="0" w:color="auto"/>
                <w:right w:val="none" w:sz="0" w:space="0" w:color="auto"/>
              </w:divBdr>
            </w:div>
            <w:div w:id="1740471535">
              <w:marLeft w:val="0"/>
              <w:marRight w:val="0"/>
              <w:marTop w:val="0"/>
              <w:marBottom w:val="0"/>
              <w:divBdr>
                <w:top w:val="none" w:sz="0" w:space="0" w:color="auto"/>
                <w:left w:val="none" w:sz="0" w:space="0" w:color="auto"/>
                <w:bottom w:val="none" w:sz="0" w:space="0" w:color="auto"/>
                <w:right w:val="none" w:sz="0" w:space="0" w:color="auto"/>
              </w:divBdr>
            </w:div>
            <w:div w:id="1967808294">
              <w:marLeft w:val="0"/>
              <w:marRight w:val="0"/>
              <w:marTop w:val="0"/>
              <w:marBottom w:val="0"/>
              <w:divBdr>
                <w:top w:val="none" w:sz="0" w:space="0" w:color="auto"/>
                <w:left w:val="none" w:sz="0" w:space="0" w:color="auto"/>
                <w:bottom w:val="none" w:sz="0" w:space="0" w:color="auto"/>
                <w:right w:val="none" w:sz="0" w:space="0" w:color="auto"/>
              </w:divBdr>
            </w:div>
            <w:div w:id="2034303959">
              <w:marLeft w:val="0"/>
              <w:marRight w:val="0"/>
              <w:marTop w:val="0"/>
              <w:marBottom w:val="0"/>
              <w:divBdr>
                <w:top w:val="none" w:sz="0" w:space="0" w:color="auto"/>
                <w:left w:val="none" w:sz="0" w:space="0" w:color="auto"/>
                <w:bottom w:val="none" w:sz="0" w:space="0" w:color="auto"/>
                <w:right w:val="none" w:sz="0" w:space="0" w:color="auto"/>
              </w:divBdr>
            </w:div>
          </w:divsChild>
        </w:div>
        <w:div w:id="1726873631">
          <w:marLeft w:val="0"/>
          <w:marRight w:val="0"/>
          <w:marTop w:val="0"/>
          <w:marBottom w:val="0"/>
          <w:divBdr>
            <w:top w:val="none" w:sz="0" w:space="0" w:color="auto"/>
            <w:left w:val="none" w:sz="0" w:space="0" w:color="auto"/>
            <w:bottom w:val="none" w:sz="0" w:space="0" w:color="auto"/>
            <w:right w:val="none" w:sz="0" w:space="0" w:color="auto"/>
          </w:divBdr>
        </w:div>
        <w:div w:id="1727097824">
          <w:marLeft w:val="0"/>
          <w:marRight w:val="0"/>
          <w:marTop w:val="0"/>
          <w:marBottom w:val="0"/>
          <w:divBdr>
            <w:top w:val="none" w:sz="0" w:space="0" w:color="auto"/>
            <w:left w:val="none" w:sz="0" w:space="0" w:color="auto"/>
            <w:bottom w:val="none" w:sz="0" w:space="0" w:color="auto"/>
            <w:right w:val="none" w:sz="0" w:space="0" w:color="auto"/>
          </w:divBdr>
        </w:div>
        <w:div w:id="1730156158">
          <w:marLeft w:val="0"/>
          <w:marRight w:val="0"/>
          <w:marTop w:val="0"/>
          <w:marBottom w:val="0"/>
          <w:divBdr>
            <w:top w:val="none" w:sz="0" w:space="0" w:color="auto"/>
            <w:left w:val="none" w:sz="0" w:space="0" w:color="auto"/>
            <w:bottom w:val="none" w:sz="0" w:space="0" w:color="auto"/>
            <w:right w:val="none" w:sz="0" w:space="0" w:color="auto"/>
          </w:divBdr>
        </w:div>
        <w:div w:id="1750229785">
          <w:marLeft w:val="0"/>
          <w:marRight w:val="0"/>
          <w:marTop w:val="0"/>
          <w:marBottom w:val="0"/>
          <w:divBdr>
            <w:top w:val="none" w:sz="0" w:space="0" w:color="auto"/>
            <w:left w:val="none" w:sz="0" w:space="0" w:color="auto"/>
            <w:bottom w:val="none" w:sz="0" w:space="0" w:color="auto"/>
            <w:right w:val="none" w:sz="0" w:space="0" w:color="auto"/>
          </w:divBdr>
          <w:divsChild>
            <w:div w:id="20084513">
              <w:marLeft w:val="0"/>
              <w:marRight w:val="0"/>
              <w:marTop w:val="0"/>
              <w:marBottom w:val="0"/>
              <w:divBdr>
                <w:top w:val="none" w:sz="0" w:space="0" w:color="auto"/>
                <w:left w:val="none" w:sz="0" w:space="0" w:color="auto"/>
                <w:bottom w:val="none" w:sz="0" w:space="0" w:color="auto"/>
                <w:right w:val="none" w:sz="0" w:space="0" w:color="auto"/>
              </w:divBdr>
            </w:div>
            <w:div w:id="82533122">
              <w:marLeft w:val="0"/>
              <w:marRight w:val="0"/>
              <w:marTop w:val="0"/>
              <w:marBottom w:val="0"/>
              <w:divBdr>
                <w:top w:val="none" w:sz="0" w:space="0" w:color="auto"/>
                <w:left w:val="none" w:sz="0" w:space="0" w:color="auto"/>
                <w:bottom w:val="none" w:sz="0" w:space="0" w:color="auto"/>
                <w:right w:val="none" w:sz="0" w:space="0" w:color="auto"/>
              </w:divBdr>
            </w:div>
            <w:div w:id="223762653">
              <w:marLeft w:val="0"/>
              <w:marRight w:val="0"/>
              <w:marTop w:val="0"/>
              <w:marBottom w:val="0"/>
              <w:divBdr>
                <w:top w:val="none" w:sz="0" w:space="0" w:color="auto"/>
                <w:left w:val="none" w:sz="0" w:space="0" w:color="auto"/>
                <w:bottom w:val="none" w:sz="0" w:space="0" w:color="auto"/>
                <w:right w:val="none" w:sz="0" w:space="0" w:color="auto"/>
              </w:divBdr>
            </w:div>
            <w:div w:id="352464370">
              <w:marLeft w:val="0"/>
              <w:marRight w:val="0"/>
              <w:marTop w:val="0"/>
              <w:marBottom w:val="0"/>
              <w:divBdr>
                <w:top w:val="none" w:sz="0" w:space="0" w:color="auto"/>
                <w:left w:val="none" w:sz="0" w:space="0" w:color="auto"/>
                <w:bottom w:val="none" w:sz="0" w:space="0" w:color="auto"/>
                <w:right w:val="none" w:sz="0" w:space="0" w:color="auto"/>
              </w:divBdr>
            </w:div>
            <w:div w:id="739985786">
              <w:marLeft w:val="0"/>
              <w:marRight w:val="0"/>
              <w:marTop w:val="0"/>
              <w:marBottom w:val="0"/>
              <w:divBdr>
                <w:top w:val="none" w:sz="0" w:space="0" w:color="auto"/>
                <w:left w:val="none" w:sz="0" w:space="0" w:color="auto"/>
                <w:bottom w:val="none" w:sz="0" w:space="0" w:color="auto"/>
                <w:right w:val="none" w:sz="0" w:space="0" w:color="auto"/>
              </w:divBdr>
            </w:div>
            <w:div w:id="943416896">
              <w:marLeft w:val="0"/>
              <w:marRight w:val="0"/>
              <w:marTop w:val="0"/>
              <w:marBottom w:val="0"/>
              <w:divBdr>
                <w:top w:val="none" w:sz="0" w:space="0" w:color="auto"/>
                <w:left w:val="none" w:sz="0" w:space="0" w:color="auto"/>
                <w:bottom w:val="none" w:sz="0" w:space="0" w:color="auto"/>
                <w:right w:val="none" w:sz="0" w:space="0" w:color="auto"/>
              </w:divBdr>
            </w:div>
            <w:div w:id="970669623">
              <w:marLeft w:val="0"/>
              <w:marRight w:val="0"/>
              <w:marTop w:val="0"/>
              <w:marBottom w:val="0"/>
              <w:divBdr>
                <w:top w:val="none" w:sz="0" w:space="0" w:color="auto"/>
                <w:left w:val="none" w:sz="0" w:space="0" w:color="auto"/>
                <w:bottom w:val="none" w:sz="0" w:space="0" w:color="auto"/>
                <w:right w:val="none" w:sz="0" w:space="0" w:color="auto"/>
              </w:divBdr>
            </w:div>
            <w:div w:id="1056512757">
              <w:marLeft w:val="0"/>
              <w:marRight w:val="0"/>
              <w:marTop w:val="0"/>
              <w:marBottom w:val="0"/>
              <w:divBdr>
                <w:top w:val="none" w:sz="0" w:space="0" w:color="auto"/>
                <w:left w:val="none" w:sz="0" w:space="0" w:color="auto"/>
                <w:bottom w:val="none" w:sz="0" w:space="0" w:color="auto"/>
                <w:right w:val="none" w:sz="0" w:space="0" w:color="auto"/>
              </w:divBdr>
            </w:div>
            <w:div w:id="1274363607">
              <w:marLeft w:val="0"/>
              <w:marRight w:val="0"/>
              <w:marTop w:val="0"/>
              <w:marBottom w:val="0"/>
              <w:divBdr>
                <w:top w:val="none" w:sz="0" w:space="0" w:color="auto"/>
                <w:left w:val="none" w:sz="0" w:space="0" w:color="auto"/>
                <w:bottom w:val="none" w:sz="0" w:space="0" w:color="auto"/>
                <w:right w:val="none" w:sz="0" w:space="0" w:color="auto"/>
              </w:divBdr>
            </w:div>
            <w:div w:id="1428841633">
              <w:marLeft w:val="0"/>
              <w:marRight w:val="0"/>
              <w:marTop w:val="0"/>
              <w:marBottom w:val="0"/>
              <w:divBdr>
                <w:top w:val="none" w:sz="0" w:space="0" w:color="auto"/>
                <w:left w:val="none" w:sz="0" w:space="0" w:color="auto"/>
                <w:bottom w:val="none" w:sz="0" w:space="0" w:color="auto"/>
                <w:right w:val="none" w:sz="0" w:space="0" w:color="auto"/>
              </w:divBdr>
            </w:div>
            <w:div w:id="1549760346">
              <w:marLeft w:val="0"/>
              <w:marRight w:val="0"/>
              <w:marTop w:val="0"/>
              <w:marBottom w:val="0"/>
              <w:divBdr>
                <w:top w:val="none" w:sz="0" w:space="0" w:color="auto"/>
                <w:left w:val="none" w:sz="0" w:space="0" w:color="auto"/>
                <w:bottom w:val="none" w:sz="0" w:space="0" w:color="auto"/>
                <w:right w:val="none" w:sz="0" w:space="0" w:color="auto"/>
              </w:divBdr>
            </w:div>
            <w:div w:id="1596790138">
              <w:marLeft w:val="0"/>
              <w:marRight w:val="0"/>
              <w:marTop w:val="0"/>
              <w:marBottom w:val="0"/>
              <w:divBdr>
                <w:top w:val="none" w:sz="0" w:space="0" w:color="auto"/>
                <w:left w:val="none" w:sz="0" w:space="0" w:color="auto"/>
                <w:bottom w:val="none" w:sz="0" w:space="0" w:color="auto"/>
                <w:right w:val="none" w:sz="0" w:space="0" w:color="auto"/>
              </w:divBdr>
            </w:div>
            <w:div w:id="1706174313">
              <w:marLeft w:val="0"/>
              <w:marRight w:val="0"/>
              <w:marTop w:val="0"/>
              <w:marBottom w:val="0"/>
              <w:divBdr>
                <w:top w:val="none" w:sz="0" w:space="0" w:color="auto"/>
                <w:left w:val="none" w:sz="0" w:space="0" w:color="auto"/>
                <w:bottom w:val="none" w:sz="0" w:space="0" w:color="auto"/>
                <w:right w:val="none" w:sz="0" w:space="0" w:color="auto"/>
              </w:divBdr>
            </w:div>
            <w:div w:id="1852523087">
              <w:marLeft w:val="0"/>
              <w:marRight w:val="0"/>
              <w:marTop w:val="0"/>
              <w:marBottom w:val="0"/>
              <w:divBdr>
                <w:top w:val="none" w:sz="0" w:space="0" w:color="auto"/>
                <w:left w:val="none" w:sz="0" w:space="0" w:color="auto"/>
                <w:bottom w:val="none" w:sz="0" w:space="0" w:color="auto"/>
                <w:right w:val="none" w:sz="0" w:space="0" w:color="auto"/>
              </w:divBdr>
            </w:div>
            <w:div w:id="1890454065">
              <w:marLeft w:val="0"/>
              <w:marRight w:val="0"/>
              <w:marTop w:val="0"/>
              <w:marBottom w:val="0"/>
              <w:divBdr>
                <w:top w:val="none" w:sz="0" w:space="0" w:color="auto"/>
                <w:left w:val="none" w:sz="0" w:space="0" w:color="auto"/>
                <w:bottom w:val="none" w:sz="0" w:space="0" w:color="auto"/>
                <w:right w:val="none" w:sz="0" w:space="0" w:color="auto"/>
              </w:divBdr>
            </w:div>
            <w:div w:id="1914313980">
              <w:marLeft w:val="0"/>
              <w:marRight w:val="0"/>
              <w:marTop w:val="0"/>
              <w:marBottom w:val="0"/>
              <w:divBdr>
                <w:top w:val="none" w:sz="0" w:space="0" w:color="auto"/>
                <w:left w:val="none" w:sz="0" w:space="0" w:color="auto"/>
                <w:bottom w:val="none" w:sz="0" w:space="0" w:color="auto"/>
                <w:right w:val="none" w:sz="0" w:space="0" w:color="auto"/>
              </w:divBdr>
            </w:div>
            <w:div w:id="1941913898">
              <w:marLeft w:val="0"/>
              <w:marRight w:val="0"/>
              <w:marTop w:val="0"/>
              <w:marBottom w:val="0"/>
              <w:divBdr>
                <w:top w:val="none" w:sz="0" w:space="0" w:color="auto"/>
                <w:left w:val="none" w:sz="0" w:space="0" w:color="auto"/>
                <w:bottom w:val="none" w:sz="0" w:space="0" w:color="auto"/>
                <w:right w:val="none" w:sz="0" w:space="0" w:color="auto"/>
              </w:divBdr>
            </w:div>
            <w:div w:id="2001352375">
              <w:marLeft w:val="0"/>
              <w:marRight w:val="0"/>
              <w:marTop w:val="0"/>
              <w:marBottom w:val="0"/>
              <w:divBdr>
                <w:top w:val="none" w:sz="0" w:space="0" w:color="auto"/>
                <w:left w:val="none" w:sz="0" w:space="0" w:color="auto"/>
                <w:bottom w:val="none" w:sz="0" w:space="0" w:color="auto"/>
                <w:right w:val="none" w:sz="0" w:space="0" w:color="auto"/>
              </w:divBdr>
            </w:div>
            <w:div w:id="2097744011">
              <w:marLeft w:val="0"/>
              <w:marRight w:val="0"/>
              <w:marTop w:val="0"/>
              <w:marBottom w:val="0"/>
              <w:divBdr>
                <w:top w:val="none" w:sz="0" w:space="0" w:color="auto"/>
                <w:left w:val="none" w:sz="0" w:space="0" w:color="auto"/>
                <w:bottom w:val="none" w:sz="0" w:space="0" w:color="auto"/>
                <w:right w:val="none" w:sz="0" w:space="0" w:color="auto"/>
              </w:divBdr>
            </w:div>
            <w:div w:id="2119333264">
              <w:marLeft w:val="0"/>
              <w:marRight w:val="0"/>
              <w:marTop w:val="0"/>
              <w:marBottom w:val="0"/>
              <w:divBdr>
                <w:top w:val="none" w:sz="0" w:space="0" w:color="auto"/>
                <w:left w:val="none" w:sz="0" w:space="0" w:color="auto"/>
                <w:bottom w:val="none" w:sz="0" w:space="0" w:color="auto"/>
                <w:right w:val="none" w:sz="0" w:space="0" w:color="auto"/>
              </w:divBdr>
            </w:div>
          </w:divsChild>
        </w:div>
        <w:div w:id="1761683973">
          <w:marLeft w:val="0"/>
          <w:marRight w:val="0"/>
          <w:marTop w:val="0"/>
          <w:marBottom w:val="0"/>
          <w:divBdr>
            <w:top w:val="none" w:sz="0" w:space="0" w:color="auto"/>
            <w:left w:val="none" w:sz="0" w:space="0" w:color="auto"/>
            <w:bottom w:val="none" w:sz="0" w:space="0" w:color="auto"/>
            <w:right w:val="none" w:sz="0" w:space="0" w:color="auto"/>
          </w:divBdr>
        </w:div>
        <w:div w:id="1768303995">
          <w:marLeft w:val="0"/>
          <w:marRight w:val="0"/>
          <w:marTop w:val="0"/>
          <w:marBottom w:val="0"/>
          <w:divBdr>
            <w:top w:val="none" w:sz="0" w:space="0" w:color="auto"/>
            <w:left w:val="none" w:sz="0" w:space="0" w:color="auto"/>
            <w:bottom w:val="none" w:sz="0" w:space="0" w:color="auto"/>
            <w:right w:val="none" w:sz="0" w:space="0" w:color="auto"/>
          </w:divBdr>
        </w:div>
        <w:div w:id="1775664442">
          <w:marLeft w:val="0"/>
          <w:marRight w:val="0"/>
          <w:marTop w:val="0"/>
          <w:marBottom w:val="0"/>
          <w:divBdr>
            <w:top w:val="none" w:sz="0" w:space="0" w:color="auto"/>
            <w:left w:val="none" w:sz="0" w:space="0" w:color="auto"/>
            <w:bottom w:val="none" w:sz="0" w:space="0" w:color="auto"/>
            <w:right w:val="none" w:sz="0" w:space="0" w:color="auto"/>
          </w:divBdr>
        </w:div>
        <w:div w:id="1788353520">
          <w:marLeft w:val="0"/>
          <w:marRight w:val="0"/>
          <w:marTop w:val="0"/>
          <w:marBottom w:val="0"/>
          <w:divBdr>
            <w:top w:val="none" w:sz="0" w:space="0" w:color="auto"/>
            <w:left w:val="none" w:sz="0" w:space="0" w:color="auto"/>
            <w:bottom w:val="none" w:sz="0" w:space="0" w:color="auto"/>
            <w:right w:val="none" w:sz="0" w:space="0" w:color="auto"/>
          </w:divBdr>
        </w:div>
        <w:div w:id="1806511062">
          <w:marLeft w:val="0"/>
          <w:marRight w:val="0"/>
          <w:marTop w:val="0"/>
          <w:marBottom w:val="0"/>
          <w:divBdr>
            <w:top w:val="none" w:sz="0" w:space="0" w:color="auto"/>
            <w:left w:val="none" w:sz="0" w:space="0" w:color="auto"/>
            <w:bottom w:val="none" w:sz="0" w:space="0" w:color="auto"/>
            <w:right w:val="none" w:sz="0" w:space="0" w:color="auto"/>
          </w:divBdr>
        </w:div>
        <w:div w:id="1833255786">
          <w:marLeft w:val="0"/>
          <w:marRight w:val="0"/>
          <w:marTop w:val="0"/>
          <w:marBottom w:val="0"/>
          <w:divBdr>
            <w:top w:val="none" w:sz="0" w:space="0" w:color="auto"/>
            <w:left w:val="none" w:sz="0" w:space="0" w:color="auto"/>
            <w:bottom w:val="none" w:sz="0" w:space="0" w:color="auto"/>
            <w:right w:val="none" w:sz="0" w:space="0" w:color="auto"/>
          </w:divBdr>
          <w:divsChild>
            <w:div w:id="111243876">
              <w:marLeft w:val="0"/>
              <w:marRight w:val="0"/>
              <w:marTop w:val="0"/>
              <w:marBottom w:val="0"/>
              <w:divBdr>
                <w:top w:val="none" w:sz="0" w:space="0" w:color="auto"/>
                <w:left w:val="none" w:sz="0" w:space="0" w:color="auto"/>
                <w:bottom w:val="none" w:sz="0" w:space="0" w:color="auto"/>
                <w:right w:val="none" w:sz="0" w:space="0" w:color="auto"/>
              </w:divBdr>
            </w:div>
            <w:div w:id="137653151">
              <w:marLeft w:val="0"/>
              <w:marRight w:val="0"/>
              <w:marTop w:val="0"/>
              <w:marBottom w:val="0"/>
              <w:divBdr>
                <w:top w:val="none" w:sz="0" w:space="0" w:color="auto"/>
                <w:left w:val="none" w:sz="0" w:space="0" w:color="auto"/>
                <w:bottom w:val="none" w:sz="0" w:space="0" w:color="auto"/>
                <w:right w:val="none" w:sz="0" w:space="0" w:color="auto"/>
              </w:divBdr>
            </w:div>
            <w:div w:id="154495250">
              <w:marLeft w:val="0"/>
              <w:marRight w:val="0"/>
              <w:marTop w:val="0"/>
              <w:marBottom w:val="0"/>
              <w:divBdr>
                <w:top w:val="none" w:sz="0" w:space="0" w:color="auto"/>
                <w:left w:val="none" w:sz="0" w:space="0" w:color="auto"/>
                <w:bottom w:val="none" w:sz="0" w:space="0" w:color="auto"/>
                <w:right w:val="none" w:sz="0" w:space="0" w:color="auto"/>
              </w:divBdr>
            </w:div>
            <w:div w:id="155531984">
              <w:marLeft w:val="0"/>
              <w:marRight w:val="0"/>
              <w:marTop w:val="0"/>
              <w:marBottom w:val="0"/>
              <w:divBdr>
                <w:top w:val="none" w:sz="0" w:space="0" w:color="auto"/>
                <w:left w:val="none" w:sz="0" w:space="0" w:color="auto"/>
                <w:bottom w:val="none" w:sz="0" w:space="0" w:color="auto"/>
                <w:right w:val="none" w:sz="0" w:space="0" w:color="auto"/>
              </w:divBdr>
            </w:div>
            <w:div w:id="260572804">
              <w:marLeft w:val="0"/>
              <w:marRight w:val="0"/>
              <w:marTop w:val="0"/>
              <w:marBottom w:val="0"/>
              <w:divBdr>
                <w:top w:val="none" w:sz="0" w:space="0" w:color="auto"/>
                <w:left w:val="none" w:sz="0" w:space="0" w:color="auto"/>
                <w:bottom w:val="none" w:sz="0" w:space="0" w:color="auto"/>
                <w:right w:val="none" w:sz="0" w:space="0" w:color="auto"/>
              </w:divBdr>
            </w:div>
            <w:div w:id="275985271">
              <w:marLeft w:val="0"/>
              <w:marRight w:val="0"/>
              <w:marTop w:val="0"/>
              <w:marBottom w:val="0"/>
              <w:divBdr>
                <w:top w:val="none" w:sz="0" w:space="0" w:color="auto"/>
                <w:left w:val="none" w:sz="0" w:space="0" w:color="auto"/>
                <w:bottom w:val="none" w:sz="0" w:space="0" w:color="auto"/>
                <w:right w:val="none" w:sz="0" w:space="0" w:color="auto"/>
              </w:divBdr>
            </w:div>
            <w:div w:id="561017726">
              <w:marLeft w:val="0"/>
              <w:marRight w:val="0"/>
              <w:marTop w:val="0"/>
              <w:marBottom w:val="0"/>
              <w:divBdr>
                <w:top w:val="none" w:sz="0" w:space="0" w:color="auto"/>
                <w:left w:val="none" w:sz="0" w:space="0" w:color="auto"/>
                <w:bottom w:val="none" w:sz="0" w:space="0" w:color="auto"/>
                <w:right w:val="none" w:sz="0" w:space="0" w:color="auto"/>
              </w:divBdr>
            </w:div>
            <w:div w:id="627322299">
              <w:marLeft w:val="0"/>
              <w:marRight w:val="0"/>
              <w:marTop w:val="0"/>
              <w:marBottom w:val="0"/>
              <w:divBdr>
                <w:top w:val="none" w:sz="0" w:space="0" w:color="auto"/>
                <w:left w:val="none" w:sz="0" w:space="0" w:color="auto"/>
                <w:bottom w:val="none" w:sz="0" w:space="0" w:color="auto"/>
                <w:right w:val="none" w:sz="0" w:space="0" w:color="auto"/>
              </w:divBdr>
            </w:div>
            <w:div w:id="858739460">
              <w:marLeft w:val="0"/>
              <w:marRight w:val="0"/>
              <w:marTop w:val="0"/>
              <w:marBottom w:val="0"/>
              <w:divBdr>
                <w:top w:val="none" w:sz="0" w:space="0" w:color="auto"/>
                <w:left w:val="none" w:sz="0" w:space="0" w:color="auto"/>
                <w:bottom w:val="none" w:sz="0" w:space="0" w:color="auto"/>
                <w:right w:val="none" w:sz="0" w:space="0" w:color="auto"/>
              </w:divBdr>
            </w:div>
            <w:div w:id="904491640">
              <w:marLeft w:val="0"/>
              <w:marRight w:val="0"/>
              <w:marTop w:val="0"/>
              <w:marBottom w:val="0"/>
              <w:divBdr>
                <w:top w:val="none" w:sz="0" w:space="0" w:color="auto"/>
                <w:left w:val="none" w:sz="0" w:space="0" w:color="auto"/>
                <w:bottom w:val="none" w:sz="0" w:space="0" w:color="auto"/>
                <w:right w:val="none" w:sz="0" w:space="0" w:color="auto"/>
              </w:divBdr>
            </w:div>
            <w:div w:id="1076901878">
              <w:marLeft w:val="0"/>
              <w:marRight w:val="0"/>
              <w:marTop w:val="0"/>
              <w:marBottom w:val="0"/>
              <w:divBdr>
                <w:top w:val="none" w:sz="0" w:space="0" w:color="auto"/>
                <w:left w:val="none" w:sz="0" w:space="0" w:color="auto"/>
                <w:bottom w:val="none" w:sz="0" w:space="0" w:color="auto"/>
                <w:right w:val="none" w:sz="0" w:space="0" w:color="auto"/>
              </w:divBdr>
            </w:div>
            <w:div w:id="1322349192">
              <w:marLeft w:val="0"/>
              <w:marRight w:val="0"/>
              <w:marTop w:val="0"/>
              <w:marBottom w:val="0"/>
              <w:divBdr>
                <w:top w:val="none" w:sz="0" w:space="0" w:color="auto"/>
                <w:left w:val="none" w:sz="0" w:space="0" w:color="auto"/>
                <w:bottom w:val="none" w:sz="0" w:space="0" w:color="auto"/>
                <w:right w:val="none" w:sz="0" w:space="0" w:color="auto"/>
              </w:divBdr>
            </w:div>
            <w:div w:id="1423649520">
              <w:marLeft w:val="0"/>
              <w:marRight w:val="0"/>
              <w:marTop w:val="0"/>
              <w:marBottom w:val="0"/>
              <w:divBdr>
                <w:top w:val="none" w:sz="0" w:space="0" w:color="auto"/>
                <w:left w:val="none" w:sz="0" w:space="0" w:color="auto"/>
                <w:bottom w:val="none" w:sz="0" w:space="0" w:color="auto"/>
                <w:right w:val="none" w:sz="0" w:space="0" w:color="auto"/>
              </w:divBdr>
            </w:div>
            <w:div w:id="1454011821">
              <w:marLeft w:val="0"/>
              <w:marRight w:val="0"/>
              <w:marTop w:val="0"/>
              <w:marBottom w:val="0"/>
              <w:divBdr>
                <w:top w:val="none" w:sz="0" w:space="0" w:color="auto"/>
                <w:left w:val="none" w:sz="0" w:space="0" w:color="auto"/>
                <w:bottom w:val="none" w:sz="0" w:space="0" w:color="auto"/>
                <w:right w:val="none" w:sz="0" w:space="0" w:color="auto"/>
              </w:divBdr>
            </w:div>
            <w:div w:id="1699938435">
              <w:marLeft w:val="0"/>
              <w:marRight w:val="0"/>
              <w:marTop w:val="0"/>
              <w:marBottom w:val="0"/>
              <w:divBdr>
                <w:top w:val="none" w:sz="0" w:space="0" w:color="auto"/>
                <w:left w:val="none" w:sz="0" w:space="0" w:color="auto"/>
                <w:bottom w:val="none" w:sz="0" w:space="0" w:color="auto"/>
                <w:right w:val="none" w:sz="0" w:space="0" w:color="auto"/>
              </w:divBdr>
            </w:div>
            <w:div w:id="1703554554">
              <w:marLeft w:val="0"/>
              <w:marRight w:val="0"/>
              <w:marTop w:val="0"/>
              <w:marBottom w:val="0"/>
              <w:divBdr>
                <w:top w:val="none" w:sz="0" w:space="0" w:color="auto"/>
                <w:left w:val="none" w:sz="0" w:space="0" w:color="auto"/>
                <w:bottom w:val="none" w:sz="0" w:space="0" w:color="auto"/>
                <w:right w:val="none" w:sz="0" w:space="0" w:color="auto"/>
              </w:divBdr>
            </w:div>
            <w:div w:id="1774088281">
              <w:marLeft w:val="0"/>
              <w:marRight w:val="0"/>
              <w:marTop w:val="0"/>
              <w:marBottom w:val="0"/>
              <w:divBdr>
                <w:top w:val="none" w:sz="0" w:space="0" w:color="auto"/>
                <w:left w:val="none" w:sz="0" w:space="0" w:color="auto"/>
                <w:bottom w:val="none" w:sz="0" w:space="0" w:color="auto"/>
                <w:right w:val="none" w:sz="0" w:space="0" w:color="auto"/>
              </w:divBdr>
            </w:div>
            <w:div w:id="1824278146">
              <w:marLeft w:val="0"/>
              <w:marRight w:val="0"/>
              <w:marTop w:val="0"/>
              <w:marBottom w:val="0"/>
              <w:divBdr>
                <w:top w:val="none" w:sz="0" w:space="0" w:color="auto"/>
                <w:left w:val="none" w:sz="0" w:space="0" w:color="auto"/>
                <w:bottom w:val="none" w:sz="0" w:space="0" w:color="auto"/>
                <w:right w:val="none" w:sz="0" w:space="0" w:color="auto"/>
              </w:divBdr>
            </w:div>
            <w:div w:id="1869558852">
              <w:marLeft w:val="0"/>
              <w:marRight w:val="0"/>
              <w:marTop w:val="0"/>
              <w:marBottom w:val="0"/>
              <w:divBdr>
                <w:top w:val="none" w:sz="0" w:space="0" w:color="auto"/>
                <w:left w:val="none" w:sz="0" w:space="0" w:color="auto"/>
                <w:bottom w:val="none" w:sz="0" w:space="0" w:color="auto"/>
                <w:right w:val="none" w:sz="0" w:space="0" w:color="auto"/>
              </w:divBdr>
            </w:div>
            <w:div w:id="1894460821">
              <w:marLeft w:val="0"/>
              <w:marRight w:val="0"/>
              <w:marTop w:val="0"/>
              <w:marBottom w:val="0"/>
              <w:divBdr>
                <w:top w:val="none" w:sz="0" w:space="0" w:color="auto"/>
                <w:left w:val="none" w:sz="0" w:space="0" w:color="auto"/>
                <w:bottom w:val="none" w:sz="0" w:space="0" w:color="auto"/>
                <w:right w:val="none" w:sz="0" w:space="0" w:color="auto"/>
              </w:divBdr>
            </w:div>
          </w:divsChild>
        </w:div>
        <w:div w:id="1835603269">
          <w:marLeft w:val="0"/>
          <w:marRight w:val="0"/>
          <w:marTop w:val="0"/>
          <w:marBottom w:val="0"/>
          <w:divBdr>
            <w:top w:val="none" w:sz="0" w:space="0" w:color="auto"/>
            <w:left w:val="none" w:sz="0" w:space="0" w:color="auto"/>
            <w:bottom w:val="none" w:sz="0" w:space="0" w:color="auto"/>
            <w:right w:val="none" w:sz="0" w:space="0" w:color="auto"/>
          </w:divBdr>
        </w:div>
        <w:div w:id="1862745251">
          <w:marLeft w:val="0"/>
          <w:marRight w:val="0"/>
          <w:marTop w:val="0"/>
          <w:marBottom w:val="0"/>
          <w:divBdr>
            <w:top w:val="none" w:sz="0" w:space="0" w:color="auto"/>
            <w:left w:val="none" w:sz="0" w:space="0" w:color="auto"/>
            <w:bottom w:val="none" w:sz="0" w:space="0" w:color="auto"/>
            <w:right w:val="none" w:sz="0" w:space="0" w:color="auto"/>
          </w:divBdr>
        </w:div>
        <w:div w:id="1866165467">
          <w:marLeft w:val="0"/>
          <w:marRight w:val="0"/>
          <w:marTop w:val="0"/>
          <w:marBottom w:val="0"/>
          <w:divBdr>
            <w:top w:val="none" w:sz="0" w:space="0" w:color="auto"/>
            <w:left w:val="none" w:sz="0" w:space="0" w:color="auto"/>
            <w:bottom w:val="none" w:sz="0" w:space="0" w:color="auto"/>
            <w:right w:val="none" w:sz="0" w:space="0" w:color="auto"/>
          </w:divBdr>
        </w:div>
        <w:div w:id="1866943046">
          <w:marLeft w:val="0"/>
          <w:marRight w:val="0"/>
          <w:marTop w:val="0"/>
          <w:marBottom w:val="0"/>
          <w:divBdr>
            <w:top w:val="none" w:sz="0" w:space="0" w:color="auto"/>
            <w:left w:val="none" w:sz="0" w:space="0" w:color="auto"/>
            <w:bottom w:val="none" w:sz="0" w:space="0" w:color="auto"/>
            <w:right w:val="none" w:sz="0" w:space="0" w:color="auto"/>
          </w:divBdr>
        </w:div>
        <w:div w:id="1870296631">
          <w:marLeft w:val="0"/>
          <w:marRight w:val="0"/>
          <w:marTop w:val="0"/>
          <w:marBottom w:val="0"/>
          <w:divBdr>
            <w:top w:val="none" w:sz="0" w:space="0" w:color="auto"/>
            <w:left w:val="none" w:sz="0" w:space="0" w:color="auto"/>
            <w:bottom w:val="none" w:sz="0" w:space="0" w:color="auto"/>
            <w:right w:val="none" w:sz="0" w:space="0" w:color="auto"/>
          </w:divBdr>
        </w:div>
        <w:div w:id="1880124214">
          <w:marLeft w:val="0"/>
          <w:marRight w:val="0"/>
          <w:marTop w:val="0"/>
          <w:marBottom w:val="0"/>
          <w:divBdr>
            <w:top w:val="none" w:sz="0" w:space="0" w:color="auto"/>
            <w:left w:val="none" w:sz="0" w:space="0" w:color="auto"/>
            <w:bottom w:val="none" w:sz="0" w:space="0" w:color="auto"/>
            <w:right w:val="none" w:sz="0" w:space="0" w:color="auto"/>
          </w:divBdr>
        </w:div>
        <w:div w:id="1891921067">
          <w:marLeft w:val="0"/>
          <w:marRight w:val="0"/>
          <w:marTop w:val="0"/>
          <w:marBottom w:val="0"/>
          <w:divBdr>
            <w:top w:val="none" w:sz="0" w:space="0" w:color="auto"/>
            <w:left w:val="none" w:sz="0" w:space="0" w:color="auto"/>
            <w:bottom w:val="none" w:sz="0" w:space="0" w:color="auto"/>
            <w:right w:val="none" w:sz="0" w:space="0" w:color="auto"/>
          </w:divBdr>
        </w:div>
        <w:div w:id="1895457777">
          <w:marLeft w:val="0"/>
          <w:marRight w:val="0"/>
          <w:marTop w:val="0"/>
          <w:marBottom w:val="0"/>
          <w:divBdr>
            <w:top w:val="none" w:sz="0" w:space="0" w:color="auto"/>
            <w:left w:val="none" w:sz="0" w:space="0" w:color="auto"/>
            <w:bottom w:val="none" w:sz="0" w:space="0" w:color="auto"/>
            <w:right w:val="none" w:sz="0" w:space="0" w:color="auto"/>
          </w:divBdr>
        </w:div>
        <w:div w:id="1906142532">
          <w:marLeft w:val="0"/>
          <w:marRight w:val="0"/>
          <w:marTop w:val="0"/>
          <w:marBottom w:val="0"/>
          <w:divBdr>
            <w:top w:val="none" w:sz="0" w:space="0" w:color="auto"/>
            <w:left w:val="none" w:sz="0" w:space="0" w:color="auto"/>
            <w:bottom w:val="none" w:sz="0" w:space="0" w:color="auto"/>
            <w:right w:val="none" w:sz="0" w:space="0" w:color="auto"/>
          </w:divBdr>
        </w:div>
        <w:div w:id="1910651375">
          <w:marLeft w:val="0"/>
          <w:marRight w:val="0"/>
          <w:marTop w:val="0"/>
          <w:marBottom w:val="0"/>
          <w:divBdr>
            <w:top w:val="none" w:sz="0" w:space="0" w:color="auto"/>
            <w:left w:val="none" w:sz="0" w:space="0" w:color="auto"/>
            <w:bottom w:val="none" w:sz="0" w:space="0" w:color="auto"/>
            <w:right w:val="none" w:sz="0" w:space="0" w:color="auto"/>
          </w:divBdr>
        </w:div>
        <w:div w:id="1913657485">
          <w:marLeft w:val="0"/>
          <w:marRight w:val="0"/>
          <w:marTop w:val="0"/>
          <w:marBottom w:val="0"/>
          <w:divBdr>
            <w:top w:val="none" w:sz="0" w:space="0" w:color="auto"/>
            <w:left w:val="none" w:sz="0" w:space="0" w:color="auto"/>
            <w:bottom w:val="none" w:sz="0" w:space="0" w:color="auto"/>
            <w:right w:val="none" w:sz="0" w:space="0" w:color="auto"/>
          </w:divBdr>
        </w:div>
        <w:div w:id="1927760420">
          <w:marLeft w:val="0"/>
          <w:marRight w:val="0"/>
          <w:marTop w:val="0"/>
          <w:marBottom w:val="0"/>
          <w:divBdr>
            <w:top w:val="none" w:sz="0" w:space="0" w:color="auto"/>
            <w:left w:val="none" w:sz="0" w:space="0" w:color="auto"/>
            <w:bottom w:val="none" w:sz="0" w:space="0" w:color="auto"/>
            <w:right w:val="none" w:sz="0" w:space="0" w:color="auto"/>
          </w:divBdr>
        </w:div>
        <w:div w:id="1956863767">
          <w:marLeft w:val="0"/>
          <w:marRight w:val="0"/>
          <w:marTop w:val="0"/>
          <w:marBottom w:val="0"/>
          <w:divBdr>
            <w:top w:val="none" w:sz="0" w:space="0" w:color="auto"/>
            <w:left w:val="none" w:sz="0" w:space="0" w:color="auto"/>
            <w:bottom w:val="none" w:sz="0" w:space="0" w:color="auto"/>
            <w:right w:val="none" w:sz="0" w:space="0" w:color="auto"/>
          </w:divBdr>
          <w:divsChild>
            <w:div w:id="118426355">
              <w:marLeft w:val="0"/>
              <w:marRight w:val="0"/>
              <w:marTop w:val="0"/>
              <w:marBottom w:val="0"/>
              <w:divBdr>
                <w:top w:val="none" w:sz="0" w:space="0" w:color="auto"/>
                <w:left w:val="none" w:sz="0" w:space="0" w:color="auto"/>
                <w:bottom w:val="none" w:sz="0" w:space="0" w:color="auto"/>
                <w:right w:val="none" w:sz="0" w:space="0" w:color="auto"/>
              </w:divBdr>
            </w:div>
            <w:div w:id="244459063">
              <w:marLeft w:val="0"/>
              <w:marRight w:val="0"/>
              <w:marTop w:val="0"/>
              <w:marBottom w:val="0"/>
              <w:divBdr>
                <w:top w:val="none" w:sz="0" w:space="0" w:color="auto"/>
                <w:left w:val="none" w:sz="0" w:space="0" w:color="auto"/>
                <w:bottom w:val="none" w:sz="0" w:space="0" w:color="auto"/>
                <w:right w:val="none" w:sz="0" w:space="0" w:color="auto"/>
              </w:divBdr>
            </w:div>
            <w:div w:id="248538085">
              <w:marLeft w:val="0"/>
              <w:marRight w:val="0"/>
              <w:marTop w:val="0"/>
              <w:marBottom w:val="0"/>
              <w:divBdr>
                <w:top w:val="none" w:sz="0" w:space="0" w:color="auto"/>
                <w:left w:val="none" w:sz="0" w:space="0" w:color="auto"/>
                <w:bottom w:val="none" w:sz="0" w:space="0" w:color="auto"/>
                <w:right w:val="none" w:sz="0" w:space="0" w:color="auto"/>
              </w:divBdr>
            </w:div>
            <w:div w:id="282419926">
              <w:marLeft w:val="0"/>
              <w:marRight w:val="0"/>
              <w:marTop w:val="0"/>
              <w:marBottom w:val="0"/>
              <w:divBdr>
                <w:top w:val="none" w:sz="0" w:space="0" w:color="auto"/>
                <w:left w:val="none" w:sz="0" w:space="0" w:color="auto"/>
                <w:bottom w:val="none" w:sz="0" w:space="0" w:color="auto"/>
                <w:right w:val="none" w:sz="0" w:space="0" w:color="auto"/>
              </w:divBdr>
            </w:div>
            <w:div w:id="430124771">
              <w:marLeft w:val="0"/>
              <w:marRight w:val="0"/>
              <w:marTop w:val="0"/>
              <w:marBottom w:val="0"/>
              <w:divBdr>
                <w:top w:val="none" w:sz="0" w:space="0" w:color="auto"/>
                <w:left w:val="none" w:sz="0" w:space="0" w:color="auto"/>
                <w:bottom w:val="none" w:sz="0" w:space="0" w:color="auto"/>
                <w:right w:val="none" w:sz="0" w:space="0" w:color="auto"/>
              </w:divBdr>
            </w:div>
            <w:div w:id="599945574">
              <w:marLeft w:val="0"/>
              <w:marRight w:val="0"/>
              <w:marTop w:val="0"/>
              <w:marBottom w:val="0"/>
              <w:divBdr>
                <w:top w:val="none" w:sz="0" w:space="0" w:color="auto"/>
                <w:left w:val="none" w:sz="0" w:space="0" w:color="auto"/>
                <w:bottom w:val="none" w:sz="0" w:space="0" w:color="auto"/>
                <w:right w:val="none" w:sz="0" w:space="0" w:color="auto"/>
              </w:divBdr>
            </w:div>
            <w:div w:id="635841651">
              <w:marLeft w:val="0"/>
              <w:marRight w:val="0"/>
              <w:marTop w:val="0"/>
              <w:marBottom w:val="0"/>
              <w:divBdr>
                <w:top w:val="none" w:sz="0" w:space="0" w:color="auto"/>
                <w:left w:val="none" w:sz="0" w:space="0" w:color="auto"/>
                <w:bottom w:val="none" w:sz="0" w:space="0" w:color="auto"/>
                <w:right w:val="none" w:sz="0" w:space="0" w:color="auto"/>
              </w:divBdr>
            </w:div>
            <w:div w:id="803540916">
              <w:marLeft w:val="0"/>
              <w:marRight w:val="0"/>
              <w:marTop w:val="0"/>
              <w:marBottom w:val="0"/>
              <w:divBdr>
                <w:top w:val="none" w:sz="0" w:space="0" w:color="auto"/>
                <w:left w:val="none" w:sz="0" w:space="0" w:color="auto"/>
                <w:bottom w:val="none" w:sz="0" w:space="0" w:color="auto"/>
                <w:right w:val="none" w:sz="0" w:space="0" w:color="auto"/>
              </w:divBdr>
            </w:div>
            <w:div w:id="1079329192">
              <w:marLeft w:val="0"/>
              <w:marRight w:val="0"/>
              <w:marTop w:val="0"/>
              <w:marBottom w:val="0"/>
              <w:divBdr>
                <w:top w:val="none" w:sz="0" w:space="0" w:color="auto"/>
                <w:left w:val="none" w:sz="0" w:space="0" w:color="auto"/>
                <w:bottom w:val="none" w:sz="0" w:space="0" w:color="auto"/>
                <w:right w:val="none" w:sz="0" w:space="0" w:color="auto"/>
              </w:divBdr>
            </w:div>
            <w:div w:id="1116564240">
              <w:marLeft w:val="0"/>
              <w:marRight w:val="0"/>
              <w:marTop w:val="0"/>
              <w:marBottom w:val="0"/>
              <w:divBdr>
                <w:top w:val="none" w:sz="0" w:space="0" w:color="auto"/>
                <w:left w:val="none" w:sz="0" w:space="0" w:color="auto"/>
                <w:bottom w:val="none" w:sz="0" w:space="0" w:color="auto"/>
                <w:right w:val="none" w:sz="0" w:space="0" w:color="auto"/>
              </w:divBdr>
            </w:div>
            <w:div w:id="1160392850">
              <w:marLeft w:val="0"/>
              <w:marRight w:val="0"/>
              <w:marTop w:val="0"/>
              <w:marBottom w:val="0"/>
              <w:divBdr>
                <w:top w:val="none" w:sz="0" w:space="0" w:color="auto"/>
                <w:left w:val="none" w:sz="0" w:space="0" w:color="auto"/>
                <w:bottom w:val="none" w:sz="0" w:space="0" w:color="auto"/>
                <w:right w:val="none" w:sz="0" w:space="0" w:color="auto"/>
              </w:divBdr>
            </w:div>
            <w:div w:id="1162114544">
              <w:marLeft w:val="0"/>
              <w:marRight w:val="0"/>
              <w:marTop w:val="0"/>
              <w:marBottom w:val="0"/>
              <w:divBdr>
                <w:top w:val="none" w:sz="0" w:space="0" w:color="auto"/>
                <w:left w:val="none" w:sz="0" w:space="0" w:color="auto"/>
                <w:bottom w:val="none" w:sz="0" w:space="0" w:color="auto"/>
                <w:right w:val="none" w:sz="0" w:space="0" w:color="auto"/>
              </w:divBdr>
            </w:div>
            <w:div w:id="1223445993">
              <w:marLeft w:val="0"/>
              <w:marRight w:val="0"/>
              <w:marTop w:val="0"/>
              <w:marBottom w:val="0"/>
              <w:divBdr>
                <w:top w:val="none" w:sz="0" w:space="0" w:color="auto"/>
                <w:left w:val="none" w:sz="0" w:space="0" w:color="auto"/>
                <w:bottom w:val="none" w:sz="0" w:space="0" w:color="auto"/>
                <w:right w:val="none" w:sz="0" w:space="0" w:color="auto"/>
              </w:divBdr>
            </w:div>
            <w:div w:id="1310750389">
              <w:marLeft w:val="0"/>
              <w:marRight w:val="0"/>
              <w:marTop w:val="0"/>
              <w:marBottom w:val="0"/>
              <w:divBdr>
                <w:top w:val="none" w:sz="0" w:space="0" w:color="auto"/>
                <w:left w:val="none" w:sz="0" w:space="0" w:color="auto"/>
                <w:bottom w:val="none" w:sz="0" w:space="0" w:color="auto"/>
                <w:right w:val="none" w:sz="0" w:space="0" w:color="auto"/>
              </w:divBdr>
            </w:div>
            <w:div w:id="1339850074">
              <w:marLeft w:val="0"/>
              <w:marRight w:val="0"/>
              <w:marTop w:val="0"/>
              <w:marBottom w:val="0"/>
              <w:divBdr>
                <w:top w:val="none" w:sz="0" w:space="0" w:color="auto"/>
                <w:left w:val="none" w:sz="0" w:space="0" w:color="auto"/>
                <w:bottom w:val="none" w:sz="0" w:space="0" w:color="auto"/>
                <w:right w:val="none" w:sz="0" w:space="0" w:color="auto"/>
              </w:divBdr>
            </w:div>
            <w:div w:id="1346596666">
              <w:marLeft w:val="0"/>
              <w:marRight w:val="0"/>
              <w:marTop w:val="0"/>
              <w:marBottom w:val="0"/>
              <w:divBdr>
                <w:top w:val="none" w:sz="0" w:space="0" w:color="auto"/>
                <w:left w:val="none" w:sz="0" w:space="0" w:color="auto"/>
                <w:bottom w:val="none" w:sz="0" w:space="0" w:color="auto"/>
                <w:right w:val="none" w:sz="0" w:space="0" w:color="auto"/>
              </w:divBdr>
            </w:div>
            <w:div w:id="1572962156">
              <w:marLeft w:val="0"/>
              <w:marRight w:val="0"/>
              <w:marTop w:val="0"/>
              <w:marBottom w:val="0"/>
              <w:divBdr>
                <w:top w:val="none" w:sz="0" w:space="0" w:color="auto"/>
                <w:left w:val="none" w:sz="0" w:space="0" w:color="auto"/>
                <w:bottom w:val="none" w:sz="0" w:space="0" w:color="auto"/>
                <w:right w:val="none" w:sz="0" w:space="0" w:color="auto"/>
              </w:divBdr>
            </w:div>
            <w:div w:id="1656641007">
              <w:marLeft w:val="0"/>
              <w:marRight w:val="0"/>
              <w:marTop w:val="0"/>
              <w:marBottom w:val="0"/>
              <w:divBdr>
                <w:top w:val="none" w:sz="0" w:space="0" w:color="auto"/>
                <w:left w:val="none" w:sz="0" w:space="0" w:color="auto"/>
                <w:bottom w:val="none" w:sz="0" w:space="0" w:color="auto"/>
                <w:right w:val="none" w:sz="0" w:space="0" w:color="auto"/>
              </w:divBdr>
            </w:div>
            <w:div w:id="1841577725">
              <w:marLeft w:val="0"/>
              <w:marRight w:val="0"/>
              <w:marTop w:val="0"/>
              <w:marBottom w:val="0"/>
              <w:divBdr>
                <w:top w:val="none" w:sz="0" w:space="0" w:color="auto"/>
                <w:left w:val="none" w:sz="0" w:space="0" w:color="auto"/>
                <w:bottom w:val="none" w:sz="0" w:space="0" w:color="auto"/>
                <w:right w:val="none" w:sz="0" w:space="0" w:color="auto"/>
              </w:divBdr>
            </w:div>
            <w:div w:id="1928882969">
              <w:marLeft w:val="0"/>
              <w:marRight w:val="0"/>
              <w:marTop w:val="0"/>
              <w:marBottom w:val="0"/>
              <w:divBdr>
                <w:top w:val="none" w:sz="0" w:space="0" w:color="auto"/>
                <w:left w:val="none" w:sz="0" w:space="0" w:color="auto"/>
                <w:bottom w:val="none" w:sz="0" w:space="0" w:color="auto"/>
                <w:right w:val="none" w:sz="0" w:space="0" w:color="auto"/>
              </w:divBdr>
            </w:div>
          </w:divsChild>
        </w:div>
        <w:div w:id="2009137893">
          <w:marLeft w:val="0"/>
          <w:marRight w:val="0"/>
          <w:marTop w:val="0"/>
          <w:marBottom w:val="0"/>
          <w:divBdr>
            <w:top w:val="none" w:sz="0" w:space="0" w:color="auto"/>
            <w:left w:val="none" w:sz="0" w:space="0" w:color="auto"/>
            <w:bottom w:val="none" w:sz="0" w:space="0" w:color="auto"/>
            <w:right w:val="none" w:sz="0" w:space="0" w:color="auto"/>
          </w:divBdr>
        </w:div>
        <w:div w:id="2065712048">
          <w:marLeft w:val="0"/>
          <w:marRight w:val="0"/>
          <w:marTop w:val="0"/>
          <w:marBottom w:val="0"/>
          <w:divBdr>
            <w:top w:val="none" w:sz="0" w:space="0" w:color="auto"/>
            <w:left w:val="none" w:sz="0" w:space="0" w:color="auto"/>
            <w:bottom w:val="none" w:sz="0" w:space="0" w:color="auto"/>
            <w:right w:val="none" w:sz="0" w:space="0" w:color="auto"/>
          </w:divBdr>
          <w:divsChild>
            <w:div w:id="59210305">
              <w:marLeft w:val="0"/>
              <w:marRight w:val="0"/>
              <w:marTop w:val="0"/>
              <w:marBottom w:val="0"/>
              <w:divBdr>
                <w:top w:val="none" w:sz="0" w:space="0" w:color="auto"/>
                <w:left w:val="none" w:sz="0" w:space="0" w:color="auto"/>
                <w:bottom w:val="none" w:sz="0" w:space="0" w:color="auto"/>
                <w:right w:val="none" w:sz="0" w:space="0" w:color="auto"/>
              </w:divBdr>
            </w:div>
            <w:div w:id="129371267">
              <w:marLeft w:val="0"/>
              <w:marRight w:val="0"/>
              <w:marTop w:val="0"/>
              <w:marBottom w:val="0"/>
              <w:divBdr>
                <w:top w:val="none" w:sz="0" w:space="0" w:color="auto"/>
                <w:left w:val="none" w:sz="0" w:space="0" w:color="auto"/>
                <w:bottom w:val="none" w:sz="0" w:space="0" w:color="auto"/>
                <w:right w:val="none" w:sz="0" w:space="0" w:color="auto"/>
              </w:divBdr>
            </w:div>
            <w:div w:id="245773465">
              <w:marLeft w:val="0"/>
              <w:marRight w:val="0"/>
              <w:marTop w:val="0"/>
              <w:marBottom w:val="0"/>
              <w:divBdr>
                <w:top w:val="none" w:sz="0" w:space="0" w:color="auto"/>
                <w:left w:val="none" w:sz="0" w:space="0" w:color="auto"/>
                <w:bottom w:val="none" w:sz="0" w:space="0" w:color="auto"/>
                <w:right w:val="none" w:sz="0" w:space="0" w:color="auto"/>
              </w:divBdr>
            </w:div>
            <w:div w:id="456680373">
              <w:marLeft w:val="0"/>
              <w:marRight w:val="0"/>
              <w:marTop w:val="0"/>
              <w:marBottom w:val="0"/>
              <w:divBdr>
                <w:top w:val="none" w:sz="0" w:space="0" w:color="auto"/>
                <w:left w:val="none" w:sz="0" w:space="0" w:color="auto"/>
                <w:bottom w:val="none" w:sz="0" w:space="0" w:color="auto"/>
                <w:right w:val="none" w:sz="0" w:space="0" w:color="auto"/>
              </w:divBdr>
            </w:div>
            <w:div w:id="488836185">
              <w:marLeft w:val="0"/>
              <w:marRight w:val="0"/>
              <w:marTop w:val="0"/>
              <w:marBottom w:val="0"/>
              <w:divBdr>
                <w:top w:val="none" w:sz="0" w:space="0" w:color="auto"/>
                <w:left w:val="none" w:sz="0" w:space="0" w:color="auto"/>
                <w:bottom w:val="none" w:sz="0" w:space="0" w:color="auto"/>
                <w:right w:val="none" w:sz="0" w:space="0" w:color="auto"/>
              </w:divBdr>
            </w:div>
            <w:div w:id="542593904">
              <w:marLeft w:val="0"/>
              <w:marRight w:val="0"/>
              <w:marTop w:val="0"/>
              <w:marBottom w:val="0"/>
              <w:divBdr>
                <w:top w:val="none" w:sz="0" w:space="0" w:color="auto"/>
                <w:left w:val="none" w:sz="0" w:space="0" w:color="auto"/>
                <w:bottom w:val="none" w:sz="0" w:space="0" w:color="auto"/>
                <w:right w:val="none" w:sz="0" w:space="0" w:color="auto"/>
              </w:divBdr>
            </w:div>
            <w:div w:id="819887439">
              <w:marLeft w:val="0"/>
              <w:marRight w:val="0"/>
              <w:marTop w:val="0"/>
              <w:marBottom w:val="0"/>
              <w:divBdr>
                <w:top w:val="none" w:sz="0" w:space="0" w:color="auto"/>
                <w:left w:val="none" w:sz="0" w:space="0" w:color="auto"/>
                <w:bottom w:val="none" w:sz="0" w:space="0" w:color="auto"/>
                <w:right w:val="none" w:sz="0" w:space="0" w:color="auto"/>
              </w:divBdr>
            </w:div>
            <w:div w:id="902637037">
              <w:marLeft w:val="0"/>
              <w:marRight w:val="0"/>
              <w:marTop w:val="0"/>
              <w:marBottom w:val="0"/>
              <w:divBdr>
                <w:top w:val="none" w:sz="0" w:space="0" w:color="auto"/>
                <w:left w:val="none" w:sz="0" w:space="0" w:color="auto"/>
                <w:bottom w:val="none" w:sz="0" w:space="0" w:color="auto"/>
                <w:right w:val="none" w:sz="0" w:space="0" w:color="auto"/>
              </w:divBdr>
            </w:div>
            <w:div w:id="1024868652">
              <w:marLeft w:val="0"/>
              <w:marRight w:val="0"/>
              <w:marTop w:val="0"/>
              <w:marBottom w:val="0"/>
              <w:divBdr>
                <w:top w:val="none" w:sz="0" w:space="0" w:color="auto"/>
                <w:left w:val="none" w:sz="0" w:space="0" w:color="auto"/>
                <w:bottom w:val="none" w:sz="0" w:space="0" w:color="auto"/>
                <w:right w:val="none" w:sz="0" w:space="0" w:color="auto"/>
              </w:divBdr>
            </w:div>
            <w:div w:id="1109819251">
              <w:marLeft w:val="0"/>
              <w:marRight w:val="0"/>
              <w:marTop w:val="0"/>
              <w:marBottom w:val="0"/>
              <w:divBdr>
                <w:top w:val="none" w:sz="0" w:space="0" w:color="auto"/>
                <w:left w:val="none" w:sz="0" w:space="0" w:color="auto"/>
                <w:bottom w:val="none" w:sz="0" w:space="0" w:color="auto"/>
                <w:right w:val="none" w:sz="0" w:space="0" w:color="auto"/>
              </w:divBdr>
            </w:div>
            <w:div w:id="1134056597">
              <w:marLeft w:val="0"/>
              <w:marRight w:val="0"/>
              <w:marTop w:val="0"/>
              <w:marBottom w:val="0"/>
              <w:divBdr>
                <w:top w:val="none" w:sz="0" w:space="0" w:color="auto"/>
                <w:left w:val="none" w:sz="0" w:space="0" w:color="auto"/>
                <w:bottom w:val="none" w:sz="0" w:space="0" w:color="auto"/>
                <w:right w:val="none" w:sz="0" w:space="0" w:color="auto"/>
              </w:divBdr>
            </w:div>
            <w:div w:id="1302156739">
              <w:marLeft w:val="0"/>
              <w:marRight w:val="0"/>
              <w:marTop w:val="0"/>
              <w:marBottom w:val="0"/>
              <w:divBdr>
                <w:top w:val="none" w:sz="0" w:space="0" w:color="auto"/>
                <w:left w:val="none" w:sz="0" w:space="0" w:color="auto"/>
                <w:bottom w:val="none" w:sz="0" w:space="0" w:color="auto"/>
                <w:right w:val="none" w:sz="0" w:space="0" w:color="auto"/>
              </w:divBdr>
            </w:div>
            <w:div w:id="1315602327">
              <w:marLeft w:val="0"/>
              <w:marRight w:val="0"/>
              <w:marTop w:val="0"/>
              <w:marBottom w:val="0"/>
              <w:divBdr>
                <w:top w:val="none" w:sz="0" w:space="0" w:color="auto"/>
                <w:left w:val="none" w:sz="0" w:space="0" w:color="auto"/>
                <w:bottom w:val="none" w:sz="0" w:space="0" w:color="auto"/>
                <w:right w:val="none" w:sz="0" w:space="0" w:color="auto"/>
              </w:divBdr>
            </w:div>
            <w:div w:id="1324360772">
              <w:marLeft w:val="0"/>
              <w:marRight w:val="0"/>
              <w:marTop w:val="0"/>
              <w:marBottom w:val="0"/>
              <w:divBdr>
                <w:top w:val="none" w:sz="0" w:space="0" w:color="auto"/>
                <w:left w:val="none" w:sz="0" w:space="0" w:color="auto"/>
                <w:bottom w:val="none" w:sz="0" w:space="0" w:color="auto"/>
                <w:right w:val="none" w:sz="0" w:space="0" w:color="auto"/>
              </w:divBdr>
            </w:div>
            <w:div w:id="1527255638">
              <w:marLeft w:val="0"/>
              <w:marRight w:val="0"/>
              <w:marTop w:val="0"/>
              <w:marBottom w:val="0"/>
              <w:divBdr>
                <w:top w:val="none" w:sz="0" w:space="0" w:color="auto"/>
                <w:left w:val="none" w:sz="0" w:space="0" w:color="auto"/>
                <w:bottom w:val="none" w:sz="0" w:space="0" w:color="auto"/>
                <w:right w:val="none" w:sz="0" w:space="0" w:color="auto"/>
              </w:divBdr>
            </w:div>
            <w:div w:id="1620409594">
              <w:marLeft w:val="0"/>
              <w:marRight w:val="0"/>
              <w:marTop w:val="0"/>
              <w:marBottom w:val="0"/>
              <w:divBdr>
                <w:top w:val="none" w:sz="0" w:space="0" w:color="auto"/>
                <w:left w:val="none" w:sz="0" w:space="0" w:color="auto"/>
                <w:bottom w:val="none" w:sz="0" w:space="0" w:color="auto"/>
                <w:right w:val="none" w:sz="0" w:space="0" w:color="auto"/>
              </w:divBdr>
            </w:div>
            <w:div w:id="1770195700">
              <w:marLeft w:val="0"/>
              <w:marRight w:val="0"/>
              <w:marTop w:val="0"/>
              <w:marBottom w:val="0"/>
              <w:divBdr>
                <w:top w:val="none" w:sz="0" w:space="0" w:color="auto"/>
                <w:left w:val="none" w:sz="0" w:space="0" w:color="auto"/>
                <w:bottom w:val="none" w:sz="0" w:space="0" w:color="auto"/>
                <w:right w:val="none" w:sz="0" w:space="0" w:color="auto"/>
              </w:divBdr>
            </w:div>
            <w:div w:id="1941794253">
              <w:marLeft w:val="0"/>
              <w:marRight w:val="0"/>
              <w:marTop w:val="0"/>
              <w:marBottom w:val="0"/>
              <w:divBdr>
                <w:top w:val="none" w:sz="0" w:space="0" w:color="auto"/>
                <w:left w:val="none" w:sz="0" w:space="0" w:color="auto"/>
                <w:bottom w:val="none" w:sz="0" w:space="0" w:color="auto"/>
                <w:right w:val="none" w:sz="0" w:space="0" w:color="auto"/>
              </w:divBdr>
            </w:div>
            <w:div w:id="1954435106">
              <w:marLeft w:val="0"/>
              <w:marRight w:val="0"/>
              <w:marTop w:val="0"/>
              <w:marBottom w:val="0"/>
              <w:divBdr>
                <w:top w:val="none" w:sz="0" w:space="0" w:color="auto"/>
                <w:left w:val="none" w:sz="0" w:space="0" w:color="auto"/>
                <w:bottom w:val="none" w:sz="0" w:space="0" w:color="auto"/>
                <w:right w:val="none" w:sz="0" w:space="0" w:color="auto"/>
              </w:divBdr>
            </w:div>
            <w:div w:id="1962296757">
              <w:marLeft w:val="0"/>
              <w:marRight w:val="0"/>
              <w:marTop w:val="0"/>
              <w:marBottom w:val="0"/>
              <w:divBdr>
                <w:top w:val="none" w:sz="0" w:space="0" w:color="auto"/>
                <w:left w:val="none" w:sz="0" w:space="0" w:color="auto"/>
                <w:bottom w:val="none" w:sz="0" w:space="0" w:color="auto"/>
                <w:right w:val="none" w:sz="0" w:space="0" w:color="auto"/>
              </w:divBdr>
            </w:div>
          </w:divsChild>
        </w:div>
        <w:div w:id="2068330812">
          <w:marLeft w:val="0"/>
          <w:marRight w:val="0"/>
          <w:marTop w:val="0"/>
          <w:marBottom w:val="0"/>
          <w:divBdr>
            <w:top w:val="none" w:sz="0" w:space="0" w:color="auto"/>
            <w:left w:val="none" w:sz="0" w:space="0" w:color="auto"/>
            <w:bottom w:val="none" w:sz="0" w:space="0" w:color="auto"/>
            <w:right w:val="none" w:sz="0" w:space="0" w:color="auto"/>
          </w:divBdr>
        </w:div>
        <w:div w:id="2093161917">
          <w:marLeft w:val="0"/>
          <w:marRight w:val="0"/>
          <w:marTop w:val="0"/>
          <w:marBottom w:val="0"/>
          <w:divBdr>
            <w:top w:val="none" w:sz="0" w:space="0" w:color="auto"/>
            <w:left w:val="none" w:sz="0" w:space="0" w:color="auto"/>
            <w:bottom w:val="none" w:sz="0" w:space="0" w:color="auto"/>
            <w:right w:val="none" w:sz="0" w:space="0" w:color="auto"/>
          </w:divBdr>
        </w:div>
        <w:div w:id="2099133912">
          <w:marLeft w:val="0"/>
          <w:marRight w:val="0"/>
          <w:marTop w:val="0"/>
          <w:marBottom w:val="0"/>
          <w:divBdr>
            <w:top w:val="none" w:sz="0" w:space="0" w:color="auto"/>
            <w:left w:val="none" w:sz="0" w:space="0" w:color="auto"/>
            <w:bottom w:val="none" w:sz="0" w:space="0" w:color="auto"/>
            <w:right w:val="none" w:sz="0" w:space="0" w:color="auto"/>
          </w:divBdr>
        </w:div>
        <w:div w:id="2136411846">
          <w:marLeft w:val="0"/>
          <w:marRight w:val="0"/>
          <w:marTop w:val="0"/>
          <w:marBottom w:val="0"/>
          <w:divBdr>
            <w:top w:val="none" w:sz="0" w:space="0" w:color="auto"/>
            <w:left w:val="none" w:sz="0" w:space="0" w:color="auto"/>
            <w:bottom w:val="none" w:sz="0" w:space="0" w:color="auto"/>
            <w:right w:val="none" w:sz="0" w:space="0" w:color="auto"/>
          </w:divBdr>
          <w:divsChild>
            <w:div w:id="18435657">
              <w:marLeft w:val="0"/>
              <w:marRight w:val="0"/>
              <w:marTop w:val="0"/>
              <w:marBottom w:val="0"/>
              <w:divBdr>
                <w:top w:val="none" w:sz="0" w:space="0" w:color="auto"/>
                <w:left w:val="none" w:sz="0" w:space="0" w:color="auto"/>
                <w:bottom w:val="none" w:sz="0" w:space="0" w:color="auto"/>
                <w:right w:val="none" w:sz="0" w:space="0" w:color="auto"/>
              </w:divBdr>
            </w:div>
            <w:div w:id="31005608">
              <w:marLeft w:val="0"/>
              <w:marRight w:val="0"/>
              <w:marTop w:val="0"/>
              <w:marBottom w:val="0"/>
              <w:divBdr>
                <w:top w:val="none" w:sz="0" w:space="0" w:color="auto"/>
                <w:left w:val="none" w:sz="0" w:space="0" w:color="auto"/>
                <w:bottom w:val="none" w:sz="0" w:space="0" w:color="auto"/>
                <w:right w:val="none" w:sz="0" w:space="0" w:color="auto"/>
              </w:divBdr>
            </w:div>
            <w:div w:id="40716538">
              <w:marLeft w:val="0"/>
              <w:marRight w:val="0"/>
              <w:marTop w:val="0"/>
              <w:marBottom w:val="0"/>
              <w:divBdr>
                <w:top w:val="none" w:sz="0" w:space="0" w:color="auto"/>
                <w:left w:val="none" w:sz="0" w:space="0" w:color="auto"/>
                <w:bottom w:val="none" w:sz="0" w:space="0" w:color="auto"/>
                <w:right w:val="none" w:sz="0" w:space="0" w:color="auto"/>
              </w:divBdr>
            </w:div>
            <w:div w:id="136454716">
              <w:marLeft w:val="0"/>
              <w:marRight w:val="0"/>
              <w:marTop w:val="0"/>
              <w:marBottom w:val="0"/>
              <w:divBdr>
                <w:top w:val="none" w:sz="0" w:space="0" w:color="auto"/>
                <w:left w:val="none" w:sz="0" w:space="0" w:color="auto"/>
                <w:bottom w:val="none" w:sz="0" w:space="0" w:color="auto"/>
                <w:right w:val="none" w:sz="0" w:space="0" w:color="auto"/>
              </w:divBdr>
            </w:div>
            <w:div w:id="236522737">
              <w:marLeft w:val="0"/>
              <w:marRight w:val="0"/>
              <w:marTop w:val="0"/>
              <w:marBottom w:val="0"/>
              <w:divBdr>
                <w:top w:val="none" w:sz="0" w:space="0" w:color="auto"/>
                <w:left w:val="none" w:sz="0" w:space="0" w:color="auto"/>
                <w:bottom w:val="none" w:sz="0" w:space="0" w:color="auto"/>
                <w:right w:val="none" w:sz="0" w:space="0" w:color="auto"/>
              </w:divBdr>
            </w:div>
            <w:div w:id="308096025">
              <w:marLeft w:val="0"/>
              <w:marRight w:val="0"/>
              <w:marTop w:val="0"/>
              <w:marBottom w:val="0"/>
              <w:divBdr>
                <w:top w:val="none" w:sz="0" w:space="0" w:color="auto"/>
                <w:left w:val="none" w:sz="0" w:space="0" w:color="auto"/>
                <w:bottom w:val="none" w:sz="0" w:space="0" w:color="auto"/>
                <w:right w:val="none" w:sz="0" w:space="0" w:color="auto"/>
              </w:divBdr>
            </w:div>
            <w:div w:id="387806254">
              <w:marLeft w:val="0"/>
              <w:marRight w:val="0"/>
              <w:marTop w:val="0"/>
              <w:marBottom w:val="0"/>
              <w:divBdr>
                <w:top w:val="none" w:sz="0" w:space="0" w:color="auto"/>
                <w:left w:val="none" w:sz="0" w:space="0" w:color="auto"/>
                <w:bottom w:val="none" w:sz="0" w:space="0" w:color="auto"/>
                <w:right w:val="none" w:sz="0" w:space="0" w:color="auto"/>
              </w:divBdr>
            </w:div>
            <w:div w:id="516432207">
              <w:marLeft w:val="0"/>
              <w:marRight w:val="0"/>
              <w:marTop w:val="0"/>
              <w:marBottom w:val="0"/>
              <w:divBdr>
                <w:top w:val="none" w:sz="0" w:space="0" w:color="auto"/>
                <w:left w:val="none" w:sz="0" w:space="0" w:color="auto"/>
                <w:bottom w:val="none" w:sz="0" w:space="0" w:color="auto"/>
                <w:right w:val="none" w:sz="0" w:space="0" w:color="auto"/>
              </w:divBdr>
            </w:div>
            <w:div w:id="711541640">
              <w:marLeft w:val="0"/>
              <w:marRight w:val="0"/>
              <w:marTop w:val="0"/>
              <w:marBottom w:val="0"/>
              <w:divBdr>
                <w:top w:val="none" w:sz="0" w:space="0" w:color="auto"/>
                <w:left w:val="none" w:sz="0" w:space="0" w:color="auto"/>
                <w:bottom w:val="none" w:sz="0" w:space="0" w:color="auto"/>
                <w:right w:val="none" w:sz="0" w:space="0" w:color="auto"/>
              </w:divBdr>
            </w:div>
            <w:div w:id="827478659">
              <w:marLeft w:val="0"/>
              <w:marRight w:val="0"/>
              <w:marTop w:val="0"/>
              <w:marBottom w:val="0"/>
              <w:divBdr>
                <w:top w:val="none" w:sz="0" w:space="0" w:color="auto"/>
                <w:left w:val="none" w:sz="0" w:space="0" w:color="auto"/>
                <w:bottom w:val="none" w:sz="0" w:space="0" w:color="auto"/>
                <w:right w:val="none" w:sz="0" w:space="0" w:color="auto"/>
              </w:divBdr>
            </w:div>
            <w:div w:id="986593704">
              <w:marLeft w:val="0"/>
              <w:marRight w:val="0"/>
              <w:marTop w:val="0"/>
              <w:marBottom w:val="0"/>
              <w:divBdr>
                <w:top w:val="none" w:sz="0" w:space="0" w:color="auto"/>
                <w:left w:val="none" w:sz="0" w:space="0" w:color="auto"/>
                <w:bottom w:val="none" w:sz="0" w:space="0" w:color="auto"/>
                <w:right w:val="none" w:sz="0" w:space="0" w:color="auto"/>
              </w:divBdr>
            </w:div>
            <w:div w:id="1277372773">
              <w:marLeft w:val="0"/>
              <w:marRight w:val="0"/>
              <w:marTop w:val="0"/>
              <w:marBottom w:val="0"/>
              <w:divBdr>
                <w:top w:val="none" w:sz="0" w:space="0" w:color="auto"/>
                <w:left w:val="none" w:sz="0" w:space="0" w:color="auto"/>
                <w:bottom w:val="none" w:sz="0" w:space="0" w:color="auto"/>
                <w:right w:val="none" w:sz="0" w:space="0" w:color="auto"/>
              </w:divBdr>
            </w:div>
            <w:div w:id="1356617467">
              <w:marLeft w:val="0"/>
              <w:marRight w:val="0"/>
              <w:marTop w:val="0"/>
              <w:marBottom w:val="0"/>
              <w:divBdr>
                <w:top w:val="none" w:sz="0" w:space="0" w:color="auto"/>
                <w:left w:val="none" w:sz="0" w:space="0" w:color="auto"/>
                <w:bottom w:val="none" w:sz="0" w:space="0" w:color="auto"/>
                <w:right w:val="none" w:sz="0" w:space="0" w:color="auto"/>
              </w:divBdr>
            </w:div>
            <w:div w:id="1521621905">
              <w:marLeft w:val="0"/>
              <w:marRight w:val="0"/>
              <w:marTop w:val="0"/>
              <w:marBottom w:val="0"/>
              <w:divBdr>
                <w:top w:val="none" w:sz="0" w:space="0" w:color="auto"/>
                <w:left w:val="none" w:sz="0" w:space="0" w:color="auto"/>
                <w:bottom w:val="none" w:sz="0" w:space="0" w:color="auto"/>
                <w:right w:val="none" w:sz="0" w:space="0" w:color="auto"/>
              </w:divBdr>
            </w:div>
            <w:div w:id="1761947873">
              <w:marLeft w:val="0"/>
              <w:marRight w:val="0"/>
              <w:marTop w:val="0"/>
              <w:marBottom w:val="0"/>
              <w:divBdr>
                <w:top w:val="none" w:sz="0" w:space="0" w:color="auto"/>
                <w:left w:val="none" w:sz="0" w:space="0" w:color="auto"/>
                <w:bottom w:val="none" w:sz="0" w:space="0" w:color="auto"/>
                <w:right w:val="none" w:sz="0" w:space="0" w:color="auto"/>
              </w:divBdr>
            </w:div>
            <w:div w:id="1779131614">
              <w:marLeft w:val="0"/>
              <w:marRight w:val="0"/>
              <w:marTop w:val="0"/>
              <w:marBottom w:val="0"/>
              <w:divBdr>
                <w:top w:val="none" w:sz="0" w:space="0" w:color="auto"/>
                <w:left w:val="none" w:sz="0" w:space="0" w:color="auto"/>
                <w:bottom w:val="none" w:sz="0" w:space="0" w:color="auto"/>
                <w:right w:val="none" w:sz="0" w:space="0" w:color="auto"/>
              </w:divBdr>
            </w:div>
            <w:div w:id="1851990789">
              <w:marLeft w:val="0"/>
              <w:marRight w:val="0"/>
              <w:marTop w:val="0"/>
              <w:marBottom w:val="0"/>
              <w:divBdr>
                <w:top w:val="none" w:sz="0" w:space="0" w:color="auto"/>
                <w:left w:val="none" w:sz="0" w:space="0" w:color="auto"/>
                <w:bottom w:val="none" w:sz="0" w:space="0" w:color="auto"/>
                <w:right w:val="none" w:sz="0" w:space="0" w:color="auto"/>
              </w:divBdr>
            </w:div>
            <w:div w:id="1925334091">
              <w:marLeft w:val="0"/>
              <w:marRight w:val="0"/>
              <w:marTop w:val="0"/>
              <w:marBottom w:val="0"/>
              <w:divBdr>
                <w:top w:val="none" w:sz="0" w:space="0" w:color="auto"/>
                <w:left w:val="none" w:sz="0" w:space="0" w:color="auto"/>
                <w:bottom w:val="none" w:sz="0" w:space="0" w:color="auto"/>
                <w:right w:val="none" w:sz="0" w:space="0" w:color="auto"/>
              </w:divBdr>
            </w:div>
            <w:div w:id="2102068247">
              <w:marLeft w:val="0"/>
              <w:marRight w:val="0"/>
              <w:marTop w:val="0"/>
              <w:marBottom w:val="0"/>
              <w:divBdr>
                <w:top w:val="none" w:sz="0" w:space="0" w:color="auto"/>
                <w:left w:val="none" w:sz="0" w:space="0" w:color="auto"/>
                <w:bottom w:val="none" w:sz="0" w:space="0" w:color="auto"/>
                <w:right w:val="none" w:sz="0" w:space="0" w:color="auto"/>
              </w:divBdr>
            </w:div>
            <w:div w:id="214626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4427">
      <w:bodyDiv w:val="1"/>
      <w:marLeft w:val="0"/>
      <w:marRight w:val="0"/>
      <w:marTop w:val="0"/>
      <w:marBottom w:val="0"/>
      <w:divBdr>
        <w:top w:val="none" w:sz="0" w:space="0" w:color="auto"/>
        <w:left w:val="none" w:sz="0" w:space="0" w:color="auto"/>
        <w:bottom w:val="none" w:sz="0" w:space="0" w:color="auto"/>
        <w:right w:val="none" w:sz="0" w:space="0" w:color="auto"/>
      </w:divBdr>
      <w:divsChild>
        <w:div w:id="1593652">
          <w:marLeft w:val="0"/>
          <w:marRight w:val="0"/>
          <w:marTop w:val="0"/>
          <w:marBottom w:val="0"/>
          <w:divBdr>
            <w:top w:val="none" w:sz="0" w:space="0" w:color="auto"/>
            <w:left w:val="none" w:sz="0" w:space="0" w:color="auto"/>
            <w:bottom w:val="none" w:sz="0" w:space="0" w:color="auto"/>
            <w:right w:val="none" w:sz="0" w:space="0" w:color="auto"/>
          </w:divBdr>
        </w:div>
        <w:div w:id="12659716">
          <w:marLeft w:val="0"/>
          <w:marRight w:val="0"/>
          <w:marTop w:val="0"/>
          <w:marBottom w:val="0"/>
          <w:divBdr>
            <w:top w:val="none" w:sz="0" w:space="0" w:color="auto"/>
            <w:left w:val="none" w:sz="0" w:space="0" w:color="auto"/>
            <w:bottom w:val="none" w:sz="0" w:space="0" w:color="auto"/>
            <w:right w:val="none" w:sz="0" w:space="0" w:color="auto"/>
          </w:divBdr>
        </w:div>
        <w:div w:id="13653964">
          <w:marLeft w:val="0"/>
          <w:marRight w:val="0"/>
          <w:marTop w:val="0"/>
          <w:marBottom w:val="0"/>
          <w:divBdr>
            <w:top w:val="none" w:sz="0" w:space="0" w:color="auto"/>
            <w:left w:val="none" w:sz="0" w:space="0" w:color="auto"/>
            <w:bottom w:val="none" w:sz="0" w:space="0" w:color="auto"/>
            <w:right w:val="none" w:sz="0" w:space="0" w:color="auto"/>
          </w:divBdr>
        </w:div>
        <w:div w:id="52241813">
          <w:marLeft w:val="0"/>
          <w:marRight w:val="0"/>
          <w:marTop w:val="0"/>
          <w:marBottom w:val="0"/>
          <w:divBdr>
            <w:top w:val="none" w:sz="0" w:space="0" w:color="auto"/>
            <w:left w:val="none" w:sz="0" w:space="0" w:color="auto"/>
            <w:bottom w:val="none" w:sz="0" w:space="0" w:color="auto"/>
            <w:right w:val="none" w:sz="0" w:space="0" w:color="auto"/>
          </w:divBdr>
          <w:divsChild>
            <w:div w:id="219367609">
              <w:marLeft w:val="-75"/>
              <w:marRight w:val="0"/>
              <w:marTop w:val="30"/>
              <w:marBottom w:val="30"/>
              <w:divBdr>
                <w:top w:val="none" w:sz="0" w:space="0" w:color="auto"/>
                <w:left w:val="none" w:sz="0" w:space="0" w:color="auto"/>
                <w:bottom w:val="none" w:sz="0" w:space="0" w:color="auto"/>
                <w:right w:val="none" w:sz="0" w:space="0" w:color="auto"/>
              </w:divBdr>
              <w:divsChild>
                <w:div w:id="12805583">
                  <w:marLeft w:val="0"/>
                  <w:marRight w:val="0"/>
                  <w:marTop w:val="0"/>
                  <w:marBottom w:val="0"/>
                  <w:divBdr>
                    <w:top w:val="none" w:sz="0" w:space="0" w:color="auto"/>
                    <w:left w:val="none" w:sz="0" w:space="0" w:color="auto"/>
                    <w:bottom w:val="none" w:sz="0" w:space="0" w:color="auto"/>
                    <w:right w:val="none" w:sz="0" w:space="0" w:color="auto"/>
                  </w:divBdr>
                  <w:divsChild>
                    <w:div w:id="1953631746">
                      <w:marLeft w:val="0"/>
                      <w:marRight w:val="0"/>
                      <w:marTop w:val="0"/>
                      <w:marBottom w:val="0"/>
                      <w:divBdr>
                        <w:top w:val="none" w:sz="0" w:space="0" w:color="auto"/>
                        <w:left w:val="none" w:sz="0" w:space="0" w:color="auto"/>
                        <w:bottom w:val="none" w:sz="0" w:space="0" w:color="auto"/>
                        <w:right w:val="none" w:sz="0" w:space="0" w:color="auto"/>
                      </w:divBdr>
                    </w:div>
                  </w:divsChild>
                </w:div>
                <w:div w:id="76556678">
                  <w:marLeft w:val="0"/>
                  <w:marRight w:val="0"/>
                  <w:marTop w:val="0"/>
                  <w:marBottom w:val="0"/>
                  <w:divBdr>
                    <w:top w:val="none" w:sz="0" w:space="0" w:color="auto"/>
                    <w:left w:val="none" w:sz="0" w:space="0" w:color="auto"/>
                    <w:bottom w:val="none" w:sz="0" w:space="0" w:color="auto"/>
                    <w:right w:val="none" w:sz="0" w:space="0" w:color="auto"/>
                  </w:divBdr>
                  <w:divsChild>
                    <w:div w:id="337969439">
                      <w:marLeft w:val="0"/>
                      <w:marRight w:val="0"/>
                      <w:marTop w:val="0"/>
                      <w:marBottom w:val="0"/>
                      <w:divBdr>
                        <w:top w:val="none" w:sz="0" w:space="0" w:color="auto"/>
                        <w:left w:val="none" w:sz="0" w:space="0" w:color="auto"/>
                        <w:bottom w:val="none" w:sz="0" w:space="0" w:color="auto"/>
                        <w:right w:val="none" w:sz="0" w:space="0" w:color="auto"/>
                      </w:divBdr>
                    </w:div>
                  </w:divsChild>
                </w:div>
                <w:div w:id="125128962">
                  <w:marLeft w:val="0"/>
                  <w:marRight w:val="0"/>
                  <w:marTop w:val="0"/>
                  <w:marBottom w:val="0"/>
                  <w:divBdr>
                    <w:top w:val="none" w:sz="0" w:space="0" w:color="auto"/>
                    <w:left w:val="none" w:sz="0" w:space="0" w:color="auto"/>
                    <w:bottom w:val="none" w:sz="0" w:space="0" w:color="auto"/>
                    <w:right w:val="none" w:sz="0" w:space="0" w:color="auto"/>
                  </w:divBdr>
                  <w:divsChild>
                    <w:div w:id="43064082">
                      <w:marLeft w:val="0"/>
                      <w:marRight w:val="0"/>
                      <w:marTop w:val="0"/>
                      <w:marBottom w:val="0"/>
                      <w:divBdr>
                        <w:top w:val="none" w:sz="0" w:space="0" w:color="auto"/>
                        <w:left w:val="none" w:sz="0" w:space="0" w:color="auto"/>
                        <w:bottom w:val="none" w:sz="0" w:space="0" w:color="auto"/>
                        <w:right w:val="none" w:sz="0" w:space="0" w:color="auto"/>
                      </w:divBdr>
                    </w:div>
                  </w:divsChild>
                </w:div>
                <w:div w:id="207300183">
                  <w:marLeft w:val="0"/>
                  <w:marRight w:val="0"/>
                  <w:marTop w:val="0"/>
                  <w:marBottom w:val="0"/>
                  <w:divBdr>
                    <w:top w:val="none" w:sz="0" w:space="0" w:color="auto"/>
                    <w:left w:val="none" w:sz="0" w:space="0" w:color="auto"/>
                    <w:bottom w:val="none" w:sz="0" w:space="0" w:color="auto"/>
                    <w:right w:val="none" w:sz="0" w:space="0" w:color="auto"/>
                  </w:divBdr>
                  <w:divsChild>
                    <w:div w:id="1535462402">
                      <w:marLeft w:val="0"/>
                      <w:marRight w:val="0"/>
                      <w:marTop w:val="0"/>
                      <w:marBottom w:val="0"/>
                      <w:divBdr>
                        <w:top w:val="none" w:sz="0" w:space="0" w:color="auto"/>
                        <w:left w:val="none" w:sz="0" w:space="0" w:color="auto"/>
                        <w:bottom w:val="none" w:sz="0" w:space="0" w:color="auto"/>
                        <w:right w:val="none" w:sz="0" w:space="0" w:color="auto"/>
                      </w:divBdr>
                    </w:div>
                  </w:divsChild>
                </w:div>
                <w:div w:id="222184369">
                  <w:marLeft w:val="0"/>
                  <w:marRight w:val="0"/>
                  <w:marTop w:val="0"/>
                  <w:marBottom w:val="0"/>
                  <w:divBdr>
                    <w:top w:val="none" w:sz="0" w:space="0" w:color="auto"/>
                    <w:left w:val="none" w:sz="0" w:space="0" w:color="auto"/>
                    <w:bottom w:val="none" w:sz="0" w:space="0" w:color="auto"/>
                    <w:right w:val="none" w:sz="0" w:space="0" w:color="auto"/>
                  </w:divBdr>
                  <w:divsChild>
                    <w:div w:id="1768039840">
                      <w:marLeft w:val="0"/>
                      <w:marRight w:val="0"/>
                      <w:marTop w:val="0"/>
                      <w:marBottom w:val="0"/>
                      <w:divBdr>
                        <w:top w:val="none" w:sz="0" w:space="0" w:color="auto"/>
                        <w:left w:val="none" w:sz="0" w:space="0" w:color="auto"/>
                        <w:bottom w:val="none" w:sz="0" w:space="0" w:color="auto"/>
                        <w:right w:val="none" w:sz="0" w:space="0" w:color="auto"/>
                      </w:divBdr>
                    </w:div>
                  </w:divsChild>
                </w:div>
                <w:div w:id="310333764">
                  <w:marLeft w:val="0"/>
                  <w:marRight w:val="0"/>
                  <w:marTop w:val="0"/>
                  <w:marBottom w:val="0"/>
                  <w:divBdr>
                    <w:top w:val="none" w:sz="0" w:space="0" w:color="auto"/>
                    <w:left w:val="none" w:sz="0" w:space="0" w:color="auto"/>
                    <w:bottom w:val="none" w:sz="0" w:space="0" w:color="auto"/>
                    <w:right w:val="none" w:sz="0" w:space="0" w:color="auto"/>
                  </w:divBdr>
                  <w:divsChild>
                    <w:div w:id="245113629">
                      <w:marLeft w:val="0"/>
                      <w:marRight w:val="0"/>
                      <w:marTop w:val="0"/>
                      <w:marBottom w:val="0"/>
                      <w:divBdr>
                        <w:top w:val="none" w:sz="0" w:space="0" w:color="auto"/>
                        <w:left w:val="none" w:sz="0" w:space="0" w:color="auto"/>
                        <w:bottom w:val="none" w:sz="0" w:space="0" w:color="auto"/>
                        <w:right w:val="none" w:sz="0" w:space="0" w:color="auto"/>
                      </w:divBdr>
                    </w:div>
                  </w:divsChild>
                </w:div>
                <w:div w:id="349794451">
                  <w:marLeft w:val="0"/>
                  <w:marRight w:val="0"/>
                  <w:marTop w:val="0"/>
                  <w:marBottom w:val="0"/>
                  <w:divBdr>
                    <w:top w:val="none" w:sz="0" w:space="0" w:color="auto"/>
                    <w:left w:val="none" w:sz="0" w:space="0" w:color="auto"/>
                    <w:bottom w:val="none" w:sz="0" w:space="0" w:color="auto"/>
                    <w:right w:val="none" w:sz="0" w:space="0" w:color="auto"/>
                  </w:divBdr>
                  <w:divsChild>
                    <w:div w:id="2014187024">
                      <w:marLeft w:val="0"/>
                      <w:marRight w:val="0"/>
                      <w:marTop w:val="0"/>
                      <w:marBottom w:val="0"/>
                      <w:divBdr>
                        <w:top w:val="none" w:sz="0" w:space="0" w:color="auto"/>
                        <w:left w:val="none" w:sz="0" w:space="0" w:color="auto"/>
                        <w:bottom w:val="none" w:sz="0" w:space="0" w:color="auto"/>
                        <w:right w:val="none" w:sz="0" w:space="0" w:color="auto"/>
                      </w:divBdr>
                    </w:div>
                  </w:divsChild>
                </w:div>
                <w:div w:id="482084227">
                  <w:marLeft w:val="0"/>
                  <w:marRight w:val="0"/>
                  <w:marTop w:val="0"/>
                  <w:marBottom w:val="0"/>
                  <w:divBdr>
                    <w:top w:val="none" w:sz="0" w:space="0" w:color="auto"/>
                    <w:left w:val="none" w:sz="0" w:space="0" w:color="auto"/>
                    <w:bottom w:val="none" w:sz="0" w:space="0" w:color="auto"/>
                    <w:right w:val="none" w:sz="0" w:space="0" w:color="auto"/>
                  </w:divBdr>
                  <w:divsChild>
                    <w:div w:id="806626888">
                      <w:marLeft w:val="0"/>
                      <w:marRight w:val="0"/>
                      <w:marTop w:val="0"/>
                      <w:marBottom w:val="0"/>
                      <w:divBdr>
                        <w:top w:val="none" w:sz="0" w:space="0" w:color="auto"/>
                        <w:left w:val="none" w:sz="0" w:space="0" w:color="auto"/>
                        <w:bottom w:val="none" w:sz="0" w:space="0" w:color="auto"/>
                        <w:right w:val="none" w:sz="0" w:space="0" w:color="auto"/>
                      </w:divBdr>
                    </w:div>
                  </w:divsChild>
                </w:div>
                <w:div w:id="526990901">
                  <w:marLeft w:val="0"/>
                  <w:marRight w:val="0"/>
                  <w:marTop w:val="0"/>
                  <w:marBottom w:val="0"/>
                  <w:divBdr>
                    <w:top w:val="none" w:sz="0" w:space="0" w:color="auto"/>
                    <w:left w:val="none" w:sz="0" w:space="0" w:color="auto"/>
                    <w:bottom w:val="none" w:sz="0" w:space="0" w:color="auto"/>
                    <w:right w:val="none" w:sz="0" w:space="0" w:color="auto"/>
                  </w:divBdr>
                  <w:divsChild>
                    <w:div w:id="1362438585">
                      <w:marLeft w:val="0"/>
                      <w:marRight w:val="0"/>
                      <w:marTop w:val="0"/>
                      <w:marBottom w:val="0"/>
                      <w:divBdr>
                        <w:top w:val="none" w:sz="0" w:space="0" w:color="auto"/>
                        <w:left w:val="none" w:sz="0" w:space="0" w:color="auto"/>
                        <w:bottom w:val="none" w:sz="0" w:space="0" w:color="auto"/>
                        <w:right w:val="none" w:sz="0" w:space="0" w:color="auto"/>
                      </w:divBdr>
                    </w:div>
                  </w:divsChild>
                </w:div>
                <w:div w:id="613562368">
                  <w:marLeft w:val="0"/>
                  <w:marRight w:val="0"/>
                  <w:marTop w:val="0"/>
                  <w:marBottom w:val="0"/>
                  <w:divBdr>
                    <w:top w:val="none" w:sz="0" w:space="0" w:color="auto"/>
                    <w:left w:val="none" w:sz="0" w:space="0" w:color="auto"/>
                    <w:bottom w:val="none" w:sz="0" w:space="0" w:color="auto"/>
                    <w:right w:val="none" w:sz="0" w:space="0" w:color="auto"/>
                  </w:divBdr>
                  <w:divsChild>
                    <w:div w:id="1407533128">
                      <w:marLeft w:val="0"/>
                      <w:marRight w:val="0"/>
                      <w:marTop w:val="0"/>
                      <w:marBottom w:val="0"/>
                      <w:divBdr>
                        <w:top w:val="none" w:sz="0" w:space="0" w:color="auto"/>
                        <w:left w:val="none" w:sz="0" w:space="0" w:color="auto"/>
                        <w:bottom w:val="none" w:sz="0" w:space="0" w:color="auto"/>
                        <w:right w:val="none" w:sz="0" w:space="0" w:color="auto"/>
                      </w:divBdr>
                    </w:div>
                  </w:divsChild>
                </w:div>
                <w:div w:id="648367218">
                  <w:marLeft w:val="0"/>
                  <w:marRight w:val="0"/>
                  <w:marTop w:val="0"/>
                  <w:marBottom w:val="0"/>
                  <w:divBdr>
                    <w:top w:val="none" w:sz="0" w:space="0" w:color="auto"/>
                    <w:left w:val="none" w:sz="0" w:space="0" w:color="auto"/>
                    <w:bottom w:val="none" w:sz="0" w:space="0" w:color="auto"/>
                    <w:right w:val="none" w:sz="0" w:space="0" w:color="auto"/>
                  </w:divBdr>
                  <w:divsChild>
                    <w:div w:id="2046907849">
                      <w:marLeft w:val="0"/>
                      <w:marRight w:val="0"/>
                      <w:marTop w:val="0"/>
                      <w:marBottom w:val="0"/>
                      <w:divBdr>
                        <w:top w:val="none" w:sz="0" w:space="0" w:color="auto"/>
                        <w:left w:val="none" w:sz="0" w:space="0" w:color="auto"/>
                        <w:bottom w:val="none" w:sz="0" w:space="0" w:color="auto"/>
                        <w:right w:val="none" w:sz="0" w:space="0" w:color="auto"/>
                      </w:divBdr>
                    </w:div>
                  </w:divsChild>
                </w:div>
                <w:div w:id="791290512">
                  <w:marLeft w:val="0"/>
                  <w:marRight w:val="0"/>
                  <w:marTop w:val="0"/>
                  <w:marBottom w:val="0"/>
                  <w:divBdr>
                    <w:top w:val="none" w:sz="0" w:space="0" w:color="auto"/>
                    <w:left w:val="none" w:sz="0" w:space="0" w:color="auto"/>
                    <w:bottom w:val="none" w:sz="0" w:space="0" w:color="auto"/>
                    <w:right w:val="none" w:sz="0" w:space="0" w:color="auto"/>
                  </w:divBdr>
                  <w:divsChild>
                    <w:div w:id="1939822729">
                      <w:marLeft w:val="0"/>
                      <w:marRight w:val="0"/>
                      <w:marTop w:val="0"/>
                      <w:marBottom w:val="0"/>
                      <w:divBdr>
                        <w:top w:val="none" w:sz="0" w:space="0" w:color="auto"/>
                        <w:left w:val="none" w:sz="0" w:space="0" w:color="auto"/>
                        <w:bottom w:val="none" w:sz="0" w:space="0" w:color="auto"/>
                        <w:right w:val="none" w:sz="0" w:space="0" w:color="auto"/>
                      </w:divBdr>
                    </w:div>
                  </w:divsChild>
                </w:div>
                <w:div w:id="820073806">
                  <w:marLeft w:val="0"/>
                  <w:marRight w:val="0"/>
                  <w:marTop w:val="0"/>
                  <w:marBottom w:val="0"/>
                  <w:divBdr>
                    <w:top w:val="none" w:sz="0" w:space="0" w:color="auto"/>
                    <w:left w:val="none" w:sz="0" w:space="0" w:color="auto"/>
                    <w:bottom w:val="none" w:sz="0" w:space="0" w:color="auto"/>
                    <w:right w:val="none" w:sz="0" w:space="0" w:color="auto"/>
                  </w:divBdr>
                  <w:divsChild>
                    <w:div w:id="267931067">
                      <w:marLeft w:val="0"/>
                      <w:marRight w:val="0"/>
                      <w:marTop w:val="0"/>
                      <w:marBottom w:val="0"/>
                      <w:divBdr>
                        <w:top w:val="none" w:sz="0" w:space="0" w:color="auto"/>
                        <w:left w:val="none" w:sz="0" w:space="0" w:color="auto"/>
                        <w:bottom w:val="none" w:sz="0" w:space="0" w:color="auto"/>
                        <w:right w:val="none" w:sz="0" w:space="0" w:color="auto"/>
                      </w:divBdr>
                    </w:div>
                  </w:divsChild>
                </w:div>
                <w:div w:id="849485103">
                  <w:marLeft w:val="0"/>
                  <w:marRight w:val="0"/>
                  <w:marTop w:val="0"/>
                  <w:marBottom w:val="0"/>
                  <w:divBdr>
                    <w:top w:val="none" w:sz="0" w:space="0" w:color="auto"/>
                    <w:left w:val="none" w:sz="0" w:space="0" w:color="auto"/>
                    <w:bottom w:val="none" w:sz="0" w:space="0" w:color="auto"/>
                    <w:right w:val="none" w:sz="0" w:space="0" w:color="auto"/>
                  </w:divBdr>
                  <w:divsChild>
                    <w:div w:id="728379243">
                      <w:marLeft w:val="0"/>
                      <w:marRight w:val="0"/>
                      <w:marTop w:val="0"/>
                      <w:marBottom w:val="0"/>
                      <w:divBdr>
                        <w:top w:val="none" w:sz="0" w:space="0" w:color="auto"/>
                        <w:left w:val="none" w:sz="0" w:space="0" w:color="auto"/>
                        <w:bottom w:val="none" w:sz="0" w:space="0" w:color="auto"/>
                        <w:right w:val="none" w:sz="0" w:space="0" w:color="auto"/>
                      </w:divBdr>
                    </w:div>
                  </w:divsChild>
                </w:div>
                <w:div w:id="881672150">
                  <w:marLeft w:val="0"/>
                  <w:marRight w:val="0"/>
                  <w:marTop w:val="0"/>
                  <w:marBottom w:val="0"/>
                  <w:divBdr>
                    <w:top w:val="none" w:sz="0" w:space="0" w:color="auto"/>
                    <w:left w:val="none" w:sz="0" w:space="0" w:color="auto"/>
                    <w:bottom w:val="none" w:sz="0" w:space="0" w:color="auto"/>
                    <w:right w:val="none" w:sz="0" w:space="0" w:color="auto"/>
                  </w:divBdr>
                  <w:divsChild>
                    <w:div w:id="374426831">
                      <w:marLeft w:val="0"/>
                      <w:marRight w:val="0"/>
                      <w:marTop w:val="0"/>
                      <w:marBottom w:val="0"/>
                      <w:divBdr>
                        <w:top w:val="none" w:sz="0" w:space="0" w:color="auto"/>
                        <w:left w:val="none" w:sz="0" w:space="0" w:color="auto"/>
                        <w:bottom w:val="none" w:sz="0" w:space="0" w:color="auto"/>
                        <w:right w:val="none" w:sz="0" w:space="0" w:color="auto"/>
                      </w:divBdr>
                    </w:div>
                  </w:divsChild>
                </w:div>
                <w:div w:id="939989825">
                  <w:marLeft w:val="0"/>
                  <w:marRight w:val="0"/>
                  <w:marTop w:val="0"/>
                  <w:marBottom w:val="0"/>
                  <w:divBdr>
                    <w:top w:val="none" w:sz="0" w:space="0" w:color="auto"/>
                    <w:left w:val="none" w:sz="0" w:space="0" w:color="auto"/>
                    <w:bottom w:val="none" w:sz="0" w:space="0" w:color="auto"/>
                    <w:right w:val="none" w:sz="0" w:space="0" w:color="auto"/>
                  </w:divBdr>
                  <w:divsChild>
                    <w:div w:id="371659448">
                      <w:marLeft w:val="0"/>
                      <w:marRight w:val="0"/>
                      <w:marTop w:val="0"/>
                      <w:marBottom w:val="0"/>
                      <w:divBdr>
                        <w:top w:val="none" w:sz="0" w:space="0" w:color="auto"/>
                        <w:left w:val="none" w:sz="0" w:space="0" w:color="auto"/>
                        <w:bottom w:val="none" w:sz="0" w:space="0" w:color="auto"/>
                        <w:right w:val="none" w:sz="0" w:space="0" w:color="auto"/>
                      </w:divBdr>
                    </w:div>
                  </w:divsChild>
                </w:div>
                <w:div w:id="980883312">
                  <w:marLeft w:val="0"/>
                  <w:marRight w:val="0"/>
                  <w:marTop w:val="0"/>
                  <w:marBottom w:val="0"/>
                  <w:divBdr>
                    <w:top w:val="none" w:sz="0" w:space="0" w:color="auto"/>
                    <w:left w:val="none" w:sz="0" w:space="0" w:color="auto"/>
                    <w:bottom w:val="none" w:sz="0" w:space="0" w:color="auto"/>
                    <w:right w:val="none" w:sz="0" w:space="0" w:color="auto"/>
                  </w:divBdr>
                  <w:divsChild>
                    <w:div w:id="2043705511">
                      <w:marLeft w:val="0"/>
                      <w:marRight w:val="0"/>
                      <w:marTop w:val="0"/>
                      <w:marBottom w:val="0"/>
                      <w:divBdr>
                        <w:top w:val="none" w:sz="0" w:space="0" w:color="auto"/>
                        <w:left w:val="none" w:sz="0" w:space="0" w:color="auto"/>
                        <w:bottom w:val="none" w:sz="0" w:space="0" w:color="auto"/>
                        <w:right w:val="none" w:sz="0" w:space="0" w:color="auto"/>
                      </w:divBdr>
                    </w:div>
                  </w:divsChild>
                </w:div>
                <w:div w:id="1161311862">
                  <w:marLeft w:val="0"/>
                  <w:marRight w:val="0"/>
                  <w:marTop w:val="0"/>
                  <w:marBottom w:val="0"/>
                  <w:divBdr>
                    <w:top w:val="none" w:sz="0" w:space="0" w:color="auto"/>
                    <w:left w:val="none" w:sz="0" w:space="0" w:color="auto"/>
                    <w:bottom w:val="none" w:sz="0" w:space="0" w:color="auto"/>
                    <w:right w:val="none" w:sz="0" w:space="0" w:color="auto"/>
                  </w:divBdr>
                  <w:divsChild>
                    <w:div w:id="1048336555">
                      <w:marLeft w:val="0"/>
                      <w:marRight w:val="0"/>
                      <w:marTop w:val="0"/>
                      <w:marBottom w:val="0"/>
                      <w:divBdr>
                        <w:top w:val="none" w:sz="0" w:space="0" w:color="auto"/>
                        <w:left w:val="none" w:sz="0" w:space="0" w:color="auto"/>
                        <w:bottom w:val="none" w:sz="0" w:space="0" w:color="auto"/>
                        <w:right w:val="none" w:sz="0" w:space="0" w:color="auto"/>
                      </w:divBdr>
                    </w:div>
                  </w:divsChild>
                </w:div>
                <w:div w:id="1289705607">
                  <w:marLeft w:val="0"/>
                  <w:marRight w:val="0"/>
                  <w:marTop w:val="0"/>
                  <w:marBottom w:val="0"/>
                  <w:divBdr>
                    <w:top w:val="none" w:sz="0" w:space="0" w:color="auto"/>
                    <w:left w:val="none" w:sz="0" w:space="0" w:color="auto"/>
                    <w:bottom w:val="none" w:sz="0" w:space="0" w:color="auto"/>
                    <w:right w:val="none" w:sz="0" w:space="0" w:color="auto"/>
                  </w:divBdr>
                  <w:divsChild>
                    <w:div w:id="1929265088">
                      <w:marLeft w:val="0"/>
                      <w:marRight w:val="0"/>
                      <w:marTop w:val="0"/>
                      <w:marBottom w:val="0"/>
                      <w:divBdr>
                        <w:top w:val="none" w:sz="0" w:space="0" w:color="auto"/>
                        <w:left w:val="none" w:sz="0" w:space="0" w:color="auto"/>
                        <w:bottom w:val="none" w:sz="0" w:space="0" w:color="auto"/>
                        <w:right w:val="none" w:sz="0" w:space="0" w:color="auto"/>
                      </w:divBdr>
                    </w:div>
                  </w:divsChild>
                </w:div>
                <w:div w:id="1314062749">
                  <w:marLeft w:val="0"/>
                  <w:marRight w:val="0"/>
                  <w:marTop w:val="0"/>
                  <w:marBottom w:val="0"/>
                  <w:divBdr>
                    <w:top w:val="none" w:sz="0" w:space="0" w:color="auto"/>
                    <w:left w:val="none" w:sz="0" w:space="0" w:color="auto"/>
                    <w:bottom w:val="none" w:sz="0" w:space="0" w:color="auto"/>
                    <w:right w:val="none" w:sz="0" w:space="0" w:color="auto"/>
                  </w:divBdr>
                  <w:divsChild>
                    <w:div w:id="382023075">
                      <w:marLeft w:val="0"/>
                      <w:marRight w:val="0"/>
                      <w:marTop w:val="0"/>
                      <w:marBottom w:val="0"/>
                      <w:divBdr>
                        <w:top w:val="none" w:sz="0" w:space="0" w:color="auto"/>
                        <w:left w:val="none" w:sz="0" w:space="0" w:color="auto"/>
                        <w:bottom w:val="none" w:sz="0" w:space="0" w:color="auto"/>
                        <w:right w:val="none" w:sz="0" w:space="0" w:color="auto"/>
                      </w:divBdr>
                    </w:div>
                  </w:divsChild>
                </w:div>
                <w:div w:id="1340890326">
                  <w:marLeft w:val="0"/>
                  <w:marRight w:val="0"/>
                  <w:marTop w:val="0"/>
                  <w:marBottom w:val="0"/>
                  <w:divBdr>
                    <w:top w:val="none" w:sz="0" w:space="0" w:color="auto"/>
                    <w:left w:val="none" w:sz="0" w:space="0" w:color="auto"/>
                    <w:bottom w:val="none" w:sz="0" w:space="0" w:color="auto"/>
                    <w:right w:val="none" w:sz="0" w:space="0" w:color="auto"/>
                  </w:divBdr>
                  <w:divsChild>
                    <w:div w:id="172032709">
                      <w:marLeft w:val="0"/>
                      <w:marRight w:val="0"/>
                      <w:marTop w:val="0"/>
                      <w:marBottom w:val="0"/>
                      <w:divBdr>
                        <w:top w:val="none" w:sz="0" w:space="0" w:color="auto"/>
                        <w:left w:val="none" w:sz="0" w:space="0" w:color="auto"/>
                        <w:bottom w:val="none" w:sz="0" w:space="0" w:color="auto"/>
                        <w:right w:val="none" w:sz="0" w:space="0" w:color="auto"/>
                      </w:divBdr>
                    </w:div>
                  </w:divsChild>
                </w:div>
                <w:div w:id="1394809280">
                  <w:marLeft w:val="0"/>
                  <w:marRight w:val="0"/>
                  <w:marTop w:val="0"/>
                  <w:marBottom w:val="0"/>
                  <w:divBdr>
                    <w:top w:val="none" w:sz="0" w:space="0" w:color="auto"/>
                    <w:left w:val="none" w:sz="0" w:space="0" w:color="auto"/>
                    <w:bottom w:val="none" w:sz="0" w:space="0" w:color="auto"/>
                    <w:right w:val="none" w:sz="0" w:space="0" w:color="auto"/>
                  </w:divBdr>
                  <w:divsChild>
                    <w:div w:id="760878464">
                      <w:marLeft w:val="0"/>
                      <w:marRight w:val="0"/>
                      <w:marTop w:val="0"/>
                      <w:marBottom w:val="0"/>
                      <w:divBdr>
                        <w:top w:val="none" w:sz="0" w:space="0" w:color="auto"/>
                        <w:left w:val="none" w:sz="0" w:space="0" w:color="auto"/>
                        <w:bottom w:val="none" w:sz="0" w:space="0" w:color="auto"/>
                        <w:right w:val="none" w:sz="0" w:space="0" w:color="auto"/>
                      </w:divBdr>
                    </w:div>
                  </w:divsChild>
                </w:div>
                <w:div w:id="1460611609">
                  <w:marLeft w:val="0"/>
                  <w:marRight w:val="0"/>
                  <w:marTop w:val="0"/>
                  <w:marBottom w:val="0"/>
                  <w:divBdr>
                    <w:top w:val="none" w:sz="0" w:space="0" w:color="auto"/>
                    <w:left w:val="none" w:sz="0" w:space="0" w:color="auto"/>
                    <w:bottom w:val="none" w:sz="0" w:space="0" w:color="auto"/>
                    <w:right w:val="none" w:sz="0" w:space="0" w:color="auto"/>
                  </w:divBdr>
                  <w:divsChild>
                    <w:div w:id="1161698261">
                      <w:marLeft w:val="0"/>
                      <w:marRight w:val="0"/>
                      <w:marTop w:val="0"/>
                      <w:marBottom w:val="0"/>
                      <w:divBdr>
                        <w:top w:val="none" w:sz="0" w:space="0" w:color="auto"/>
                        <w:left w:val="none" w:sz="0" w:space="0" w:color="auto"/>
                        <w:bottom w:val="none" w:sz="0" w:space="0" w:color="auto"/>
                        <w:right w:val="none" w:sz="0" w:space="0" w:color="auto"/>
                      </w:divBdr>
                    </w:div>
                  </w:divsChild>
                </w:div>
                <w:div w:id="1656563770">
                  <w:marLeft w:val="0"/>
                  <w:marRight w:val="0"/>
                  <w:marTop w:val="0"/>
                  <w:marBottom w:val="0"/>
                  <w:divBdr>
                    <w:top w:val="none" w:sz="0" w:space="0" w:color="auto"/>
                    <w:left w:val="none" w:sz="0" w:space="0" w:color="auto"/>
                    <w:bottom w:val="none" w:sz="0" w:space="0" w:color="auto"/>
                    <w:right w:val="none" w:sz="0" w:space="0" w:color="auto"/>
                  </w:divBdr>
                  <w:divsChild>
                    <w:div w:id="861555106">
                      <w:marLeft w:val="0"/>
                      <w:marRight w:val="0"/>
                      <w:marTop w:val="0"/>
                      <w:marBottom w:val="0"/>
                      <w:divBdr>
                        <w:top w:val="none" w:sz="0" w:space="0" w:color="auto"/>
                        <w:left w:val="none" w:sz="0" w:space="0" w:color="auto"/>
                        <w:bottom w:val="none" w:sz="0" w:space="0" w:color="auto"/>
                        <w:right w:val="none" w:sz="0" w:space="0" w:color="auto"/>
                      </w:divBdr>
                    </w:div>
                  </w:divsChild>
                </w:div>
                <w:div w:id="1685670002">
                  <w:marLeft w:val="0"/>
                  <w:marRight w:val="0"/>
                  <w:marTop w:val="0"/>
                  <w:marBottom w:val="0"/>
                  <w:divBdr>
                    <w:top w:val="none" w:sz="0" w:space="0" w:color="auto"/>
                    <w:left w:val="none" w:sz="0" w:space="0" w:color="auto"/>
                    <w:bottom w:val="none" w:sz="0" w:space="0" w:color="auto"/>
                    <w:right w:val="none" w:sz="0" w:space="0" w:color="auto"/>
                  </w:divBdr>
                  <w:divsChild>
                    <w:div w:id="2021277406">
                      <w:marLeft w:val="0"/>
                      <w:marRight w:val="0"/>
                      <w:marTop w:val="0"/>
                      <w:marBottom w:val="0"/>
                      <w:divBdr>
                        <w:top w:val="none" w:sz="0" w:space="0" w:color="auto"/>
                        <w:left w:val="none" w:sz="0" w:space="0" w:color="auto"/>
                        <w:bottom w:val="none" w:sz="0" w:space="0" w:color="auto"/>
                        <w:right w:val="none" w:sz="0" w:space="0" w:color="auto"/>
                      </w:divBdr>
                    </w:div>
                  </w:divsChild>
                </w:div>
                <w:div w:id="1688100644">
                  <w:marLeft w:val="0"/>
                  <w:marRight w:val="0"/>
                  <w:marTop w:val="0"/>
                  <w:marBottom w:val="0"/>
                  <w:divBdr>
                    <w:top w:val="none" w:sz="0" w:space="0" w:color="auto"/>
                    <w:left w:val="none" w:sz="0" w:space="0" w:color="auto"/>
                    <w:bottom w:val="none" w:sz="0" w:space="0" w:color="auto"/>
                    <w:right w:val="none" w:sz="0" w:space="0" w:color="auto"/>
                  </w:divBdr>
                  <w:divsChild>
                    <w:div w:id="476076021">
                      <w:marLeft w:val="0"/>
                      <w:marRight w:val="0"/>
                      <w:marTop w:val="0"/>
                      <w:marBottom w:val="0"/>
                      <w:divBdr>
                        <w:top w:val="none" w:sz="0" w:space="0" w:color="auto"/>
                        <w:left w:val="none" w:sz="0" w:space="0" w:color="auto"/>
                        <w:bottom w:val="none" w:sz="0" w:space="0" w:color="auto"/>
                        <w:right w:val="none" w:sz="0" w:space="0" w:color="auto"/>
                      </w:divBdr>
                    </w:div>
                  </w:divsChild>
                </w:div>
                <w:div w:id="1699500923">
                  <w:marLeft w:val="0"/>
                  <w:marRight w:val="0"/>
                  <w:marTop w:val="0"/>
                  <w:marBottom w:val="0"/>
                  <w:divBdr>
                    <w:top w:val="none" w:sz="0" w:space="0" w:color="auto"/>
                    <w:left w:val="none" w:sz="0" w:space="0" w:color="auto"/>
                    <w:bottom w:val="none" w:sz="0" w:space="0" w:color="auto"/>
                    <w:right w:val="none" w:sz="0" w:space="0" w:color="auto"/>
                  </w:divBdr>
                  <w:divsChild>
                    <w:div w:id="20937903">
                      <w:marLeft w:val="0"/>
                      <w:marRight w:val="0"/>
                      <w:marTop w:val="0"/>
                      <w:marBottom w:val="0"/>
                      <w:divBdr>
                        <w:top w:val="none" w:sz="0" w:space="0" w:color="auto"/>
                        <w:left w:val="none" w:sz="0" w:space="0" w:color="auto"/>
                        <w:bottom w:val="none" w:sz="0" w:space="0" w:color="auto"/>
                        <w:right w:val="none" w:sz="0" w:space="0" w:color="auto"/>
                      </w:divBdr>
                    </w:div>
                  </w:divsChild>
                </w:div>
                <w:div w:id="1760254465">
                  <w:marLeft w:val="0"/>
                  <w:marRight w:val="0"/>
                  <w:marTop w:val="0"/>
                  <w:marBottom w:val="0"/>
                  <w:divBdr>
                    <w:top w:val="none" w:sz="0" w:space="0" w:color="auto"/>
                    <w:left w:val="none" w:sz="0" w:space="0" w:color="auto"/>
                    <w:bottom w:val="none" w:sz="0" w:space="0" w:color="auto"/>
                    <w:right w:val="none" w:sz="0" w:space="0" w:color="auto"/>
                  </w:divBdr>
                  <w:divsChild>
                    <w:div w:id="1778986797">
                      <w:marLeft w:val="0"/>
                      <w:marRight w:val="0"/>
                      <w:marTop w:val="0"/>
                      <w:marBottom w:val="0"/>
                      <w:divBdr>
                        <w:top w:val="none" w:sz="0" w:space="0" w:color="auto"/>
                        <w:left w:val="none" w:sz="0" w:space="0" w:color="auto"/>
                        <w:bottom w:val="none" w:sz="0" w:space="0" w:color="auto"/>
                        <w:right w:val="none" w:sz="0" w:space="0" w:color="auto"/>
                      </w:divBdr>
                    </w:div>
                  </w:divsChild>
                </w:div>
                <w:div w:id="1780370715">
                  <w:marLeft w:val="0"/>
                  <w:marRight w:val="0"/>
                  <w:marTop w:val="0"/>
                  <w:marBottom w:val="0"/>
                  <w:divBdr>
                    <w:top w:val="none" w:sz="0" w:space="0" w:color="auto"/>
                    <w:left w:val="none" w:sz="0" w:space="0" w:color="auto"/>
                    <w:bottom w:val="none" w:sz="0" w:space="0" w:color="auto"/>
                    <w:right w:val="none" w:sz="0" w:space="0" w:color="auto"/>
                  </w:divBdr>
                  <w:divsChild>
                    <w:div w:id="1723945849">
                      <w:marLeft w:val="0"/>
                      <w:marRight w:val="0"/>
                      <w:marTop w:val="0"/>
                      <w:marBottom w:val="0"/>
                      <w:divBdr>
                        <w:top w:val="none" w:sz="0" w:space="0" w:color="auto"/>
                        <w:left w:val="none" w:sz="0" w:space="0" w:color="auto"/>
                        <w:bottom w:val="none" w:sz="0" w:space="0" w:color="auto"/>
                        <w:right w:val="none" w:sz="0" w:space="0" w:color="auto"/>
                      </w:divBdr>
                    </w:div>
                  </w:divsChild>
                </w:div>
                <w:div w:id="1945457336">
                  <w:marLeft w:val="0"/>
                  <w:marRight w:val="0"/>
                  <w:marTop w:val="0"/>
                  <w:marBottom w:val="0"/>
                  <w:divBdr>
                    <w:top w:val="none" w:sz="0" w:space="0" w:color="auto"/>
                    <w:left w:val="none" w:sz="0" w:space="0" w:color="auto"/>
                    <w:bottom w:val="none" w:sz="0" w:space="0" w:color="auto"/>
                    <w:right w:val="none" w:sz="0" w:space="0" w:color="auto"/>
                  </w:divBdr>
                  <w:divsChild>
                    <w:div w:id="13755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58059">
          <w:marLeft w:val="0"/>
          <w:marRight w:val="0"/>
          <w:marTop w:val="0"/>
          <w:marBottom w:val="0"/>
          <w:divBdr>
            <w:top w:val="none" w:sz="0" w:space="0" w:color="auto"/>
            <w:left w:val="none" w:sz="0" w:space="0" w:color="auto"/>
            <w:bottom w:val="none" w:sz="0" w:space="0" w:color="auto"/>
            <w:right w:val="none" w:sz="0" w:space="0" w:color="auto"/>
          </w:divBdr>
        </w:div>
        <w:div w:id="73548805">
          <w:marLeft w:val="0"/>
          <w:marRight w:val="0"/>
          <w:marTop w:val="0"/>
          <w:marBottom w:val="0"/>
          <w:divBdr>
            <w:top w:val="none" w:sz="0" w:space="0" w:color="auto"/>
            <w:left w:val="none" w:sz="0" w:space="0" w:color="auto"/>
            <w:bottom w:val="none" w:sz="0" w:space="0" w:color="auto"/>
            <w:right w:val="none" w:sz="0" w:space="0" w:color="auto"/>
          </w:divBdr>
        </w:div>
        <w:div w:id="80686133">
          <w:marLeft w:val="0"/>
          <w:marRight w:val="0"/>
          <w:marTop w:val="0"/>
          <w:marBottom w:val="0"/>
          <w:divBdr>
            <w:top w:val="none" w:sz="0" w:space="0" w:color="auto"/>
            <w:left w:val="none" w:sz="0" w:space="0" w:color="auto"/>
            <w:bottom w:val="none" w:sz="0" w:space="0" w:color="auto"/>
            <w:right w:val="none" w:sz="0" w:space="0" w:color="auto"/>
          </w:divBdr>
        </w:div>
        <w:div w:id="91630010">
          <w:marLeft w:val="0"/>
          <w:marRight w:val="0"/>
          <w:marTop w:val="0"/>
          <w:marBottom w:val="0"/>
          <w:divBdr>
            <w:top w:val="none" w:sz="0" w:space="0" w:color="auto"/>
            <w:left w:val="none" w:sz="0" w:space="0" w:color="auto"/>
            <w:bottom w:val="none" w:sz="0" w:space="0" w:color="auto"/>
            <w:right w:val="none" w:sz="0" w:space="0" w:color="auto"/>
          </w:divBdr>
        </w:div>
        <w:div w:id="95179692">
          <w:marLeft w:val="0"/>
          <w:marRight w:val="0"/>
          <w:marTop w:val="0"/>
          <w:marBottom w:val="0"/>
          <w:divBdr>
            <w:top w:val="none" w:sz="0" w:space="0" w:color="auto"/>
            <w:left w:val="none" w:sz="0" w:space="0" w:color="auto"/>
            <w:bottom w:val="none" w:sz="0" w:space="0" w:color="auto"/>
            <w:right w:val="none" w:sz="0" w:space="0" w:color="auto"/>
          </w:divBdr>
        </w:div>
        <w:div w:id="95827193">
          <w:marLeft w:val="0"/>
          <w:marRight w:val="0"/>
          <w:marTop w:val="0"/>
          <w:marBottom w:val="0"/>
          <w:divBdr>
            <w:top w:val="none" w:sz="0" w:space="0" w:color="auto"/>
            <w:left w:val="none" w:sz="0" w:space="0" w:color="auto"/>
            <w:bottom w:val="none" w:sz="0" w:space="0" w:color="auto"/>
            <w:right w:val="none" w:sz="0" w:space="0" w:color="auto"/>
          </w:divBdr>
        </w:div>
        <w:div w:id="128128703">
          <w:marLeft w:val="0"/>
          <w:marRight w:val="0"/>
          <w:marTop w:val="0"/>
          <w:marBottom w:val="0"/>
          <w:divBdr>
            <w:top w:val="none" w:sz="0" w:space="0" w:color="auto"/>
            <w:left w:val="none" w:sz="0" w:space="0" w:color="auto"/>
            <w:bottom w:val="none" w:sz="0" w:space="0" w:color="auto"/>
            <w:right w:val="none" w:sz="0" w:space="0" w:color="auto"/>
          </w:divBdr>
        </w:div>
        <w:div w:id="141778909">
          <w:marLeft w:val="0"/>
          <w:marRight w:val="0"/>
          <w:marTop w:val="0"/>
          <w:marBottom w:val="0"/>
          <w:divBdr>
            <w:top w:val="none" w:sz="0" w:space="0" w:color="auto"/>
            <w:left w:val="none" w:sz="0" w:space="0" w:color="auto"/>
            <w:bottom w:val="none" w:sz="0" w:space="0" w:color="auto"/>
            <w:right w:val="none" w:sz="0" w:space="0" w:color="auto"/>
          </w:divBdr>
        </w:div>
        <w:div w:id="144057314">
          <w:marLeft w:val="0"/>
          <w:marRight w:val="0"/>
          <w:marTop w:val="0"/>
          <w:marBottom w:val="0"/>
          <w:divBdr>
            <w:top w:val="none" w:sz="0" w:space="0" w:color="auto"/>
            <w:left w:val="none" w:sz="0" w:space="0" w:color="auto"/>
            <w:bottom w:val="none" w:sz="0" w:space="0" w:color="auto"/>
            <w:right w:val="none" w:sz="0" w:space="0" w:color="auto"/>
          </w:divBdr>
        </w:div>
        <w:div w:id="144932303">
          <w:marLeft w:val="0"/>
          <w:marRight w:val="0"/>
          <w:marTop w:val="0"/>
          <w:marBottom w:val="0"/>
          <w:divBdr>
            <w:top w:val="none" w:sz="0" w:space="0" w:color="auto"/>
            <w:left w:val="none" w:sz="0" w:space="0" w:color="auto"/>
            <w:bottom w:val="none" w:sz="0" w:space="0" w:color="auto"/>
            <w:right w:val="none" w:sz="0" w:space="0" w:color="auto"/>
          </w:divBdr>
        </w:div>
        <w:div w:id="154075924">
          <w:marLeft w:val="0"/>
          <w:marRight w:val="0"/>
          <w:marTop w:val="0"/>
          <w:marBottom w:val="0"/>
          <w:divBdr>
            <w:top w:val="none" w:sz="0" w:space="0" w:color="auto"/>
            <w:left w:val="none" w:sz="0" w:space="0" w:color="auto"/>
            <w:bottom w:val="none" w:sz="0" w:space="0" w:color="auto"/>
            <w:right w:val="none" w:sz="0" w:space="0" w:color="auto"/>
          </w:divBdr>
        </w:div>
        <w:div w:id="173112868">
          <w:marLeft w:val="0"/>
          <w:marRight w:val="0"/>
          <w:marTop w:val="0"/>
          <w:marBottom w:val="0"/>
          <w:divBdr>
            <w:top w:val="none" w:sz="0" w:space="0" w:color="auto"/>
            <w:left w:val="none" w:sz="0" w:space="0" w:color="auto"/>
            <w:bottom w:val="none" w:sz="0" w:space="0" w:color="auto"/>
            <w:right w:val="none" w:sz="0" w:space="0" w:color="auto"/>
          </w:divBdr>
        </w:div>
        <w:div w:id="178547057">
          <w:marLeft w:val="0"/>
          <w:marRight w:val="0"/>
          <w:marTop w:val="0"/>
          <w:marBottom w:val="0"/>
          <w:divBdr>
            <w:top w:val="none" w:sz="0" w:space="0" w:color="auto"/>
            <w:left w:val="none" w:sz="0" w:space="0" w:color="auto"/>
            <w:bottom w:val="none" w:sz="0" w:space="0" w:color="auto"/>
            <w:right w:val="none" w:sz="0" w:space="0" w:color="auto"/>
          </w:divBdr>
        </w:div>
        <w:div w:id="184372468">
          <w:marLeft w:val="0"/>
          <w:marRight w:val="0"/>
          <w:marTop w:val="0"/>
          <w:marBottom w:val="0"/>
          <w:divBdr>
            <w:top w:val="none" w:sz="0" w:space="0" w:color="auto"/>
            <w:left w:val="none" w:sz="0" w:space="0" w:color="auto"/>
            <w:bottom w:val="none" w:sz="0" w:space="0" w:color="auto"/>
            <w:right w:val="none" w:sz="0" w:space="0" w:color="auto"/>
          </w:divBdr>
        </w:div>
        <w:div w:id="189339732">
          <w:marLeft w:val="0"/>
          <w:marRight w:val="0"/>
          <w:marTop w:val="0"/>
          <w:marBottom w:val="0"/>
          <w:divBdr>
            <w:top w:val="none" w:sz="0" w:space="0" w:color="auto"/>
            <w:left w:val="none" w:sz="0" w:space="0" w:color="auto"/>
            <w:bottom w:val="none" w:sz="0" w:space="0" w:color="auto"/>
            <w:right w:val="none" w:sz="0" w:space="0" w:color="auto"/>
          </w:divBdr>
          <w:divsChild>
            <w:div w:id="101388298">
              <w:marLeft w:val="0"/>
              <w:marRight w:val="0"/>
              <w:marTop w:val="0"/>
              <w:marBottom w:val="0"/>
              <w:divBdr>
                <w:top w:val="none" w:sz="0" w:space="0" w:color="auto"/>
                <w:left w:val="none" w:sz="0" w:space="0" w:color="auto"/>
                <w:bottom w:val="none" w:sz="0" w:space="0" w:color="auto"/>
                <w:right w:val="none" w:sz="0" w:space="0" w:color="auto"/>
              </w:divBdr>
            </w:div>
            <w:div w:id="128481081">
              <w:marLeft w:val="0"/>
              <w:marRight w:val="0"/>
              <w:marTop w:val="0"/>
              <w:marBottom w:val="0"/>
              <w:divBdr>
                <w:top w:val="none" w:sz="0" w:space="0" w:color="auto"/>
                <w:left w:val="none" w:sz="0" w:space="0" w:color="auto"/>
                <w:bottom w:val="none" w:sz="0" w:space="0" w:color="auto"/>
                <w:right w:val="none" w:sz="0" w:space="0" w:color="auto"/>
              </w:divBdr>
            </w:div>
            <w:div w:id="320429777">
              <w:marLeft w:val="0"/>
              <w:marRight w:val="0"/>
              <w:marTop w:val="0"/>
              <w:marBottom w:val="0"/>
              <w:divBdr>
                <w:top w:val="none" w:sz="0" w:space="0" w:color="auto"/>
                <w:left w:val="none" w:sz="0" w:space="0" w:color="auto"/>
                <w:bottom w:val="none" w:sz="0" w:space="0" w:color="auto"/>
                <w:right w:val="none" w:sz="0" w:space="0" w:color="auto"/>
              </w:divBdr>
            </w:div>
            <w:div w:id="458383149">
              <w:marLeft w:val="0"/>
              <w:marRight w:val="0"/>
              <w:marTop w:val="0"/>
              <w:marBottom w:val="0"/>
              <w:divBdr>
                <w:top w:val="none" w:sz="0" w:space="0" w:color="auto"/>
                <w:left w:val="none" w:sz="0" w:space="0" w:color="auto"/>
                <w:bottom w:val="none" w:sz="0" w:space="0" w:color="auto"/>
                <w:right w:val="none" w:sz="0" w:space="0" w:color="auto"/>
              </w:divBdr>
            </w:div>
            <w:div w:id="584265225">
              <w:marLeft w:val="0"/>
              <w:marRight w:val="0"/>
              <w:marTop w:val="0"/>
              <w:marBottom w:val="0"/>
              <w:divBdr>
                <w:top w:val="none" w:sz="0" w:space="0" w:color="auto"/>
                <w:left w:val="none" w:sz="0" w:space="0" w:color="auto"/>
                <w:bottom w:val="none" w:sz="0" w:space="0" w:color="auto"/>
                <w:right w:val="none" w:sz="0" w:space="0" w:color="auto"/>
              </w:divBdr>
            </w:div>
            <w:div w:id="591083461">
              <w:marLeft w:val="0"/>
              <w:marRight w:val="0"/>
              <w:marTop w:val="0"/>
              <w:marBottom w:val="0"/>
              <w:divBdr>
                <w:top w:val="none" w:sz="0" w:space="0" w:color="auto"/>
                <w:left w:val="none" w:sz="0" w:space="0" w:color="auto"/>
                <w:bottom w:val="none" w:sz="0" w:space="0" w:color="auto"/>
                <w:right w:val="none" w:sz="0" w:space="0" w:color="auto"/>
              </w:divBdr>
            </w:div>
            <w:div w:id="636296324">
              <w:marLeft w:val="0"/>
              <w:marRight w:val="0"/>
              <w:marTop w:val="0"/>
              <w:marBottom w:val="0"/>
              <w:divBdr>
                <w:top w:val="none" w:sz="0" w:space="0" w:color="auto"/>
                <w:left w:val="none" w:sz="0" w:space="0" w:color="auto"/>
                <w:bottom w:val="none" w:sz="0" w:space="0" w:color="auto"/>
                <w:right w:val="none" w:sz="0" w:space="0" w:color="auto"/>
              </w:divBdr>
            </w:div>
            <w:div w:id="666250708">
              <w:marLeft w:val="0"/>
              <w:marRight w:val="0"/>
              <w:marTop w:val="0"/>
              <w:marBottom w:val="0"/>
              <w:divBdr>
                <w:top w:val="none" w:sz="0" w:space="0" w:color="auto"/>
                <w:left w:val="none" w:sz="0" w:space="0" w:color="auto"/>
                <w:bottom w:val="none" w:sz="0" w:space="0" w:color="auto"/>
                <w:right w:val="none" w:sz="0" w:space="0" w:color="auto"/>
              </w:divBdr>
            </w:div>
            <w:div w:id="746607973">
              <w:marLeft w:val="0"/>
              <w:marRight w:val="0"/>
              <w:marTop w:val="0"/>
              <w:marBottom w:val="0"/>
              <w:divBdr>
                <w:top w:val="none" w:sz="0" w:space="0" w:color="auto"/>
                <w:left w:val="none" w:sz="0" w:space="0" w:color="auto"/>
                <w:bottom w:val="none" w:sz="0" w:space="0" w:color="auto"/>
                <w:right w:val="none" w:sz="0" w:space="0" w:color="auto"/>
              </w:divBdr>
            </w:div>
            <w:div w:id="982975652">
              <w:marLeft w:val="0"/>
              <w:marRight w:val="0"/>
              <w:marTop w:val="0"/>
              <w:marBottom w:val="0"/>
              <w:divBdr>
                <w:top w:val="none" w:sz="0" w:space="0" w:color="auto"/>
                <w:left w:val="none" w:sz="0" w:space="0" w:color="auto"/>
                <w:bottom w:val="none" w:sz="0" w:space="0" w:color="auto"/>
                <w:right w:val="none" w:sz="0" w:space="0" w:color="auto"/>
              </w:divBdr>
            </w:div>
            <w:div w:id="1078867403">
              <w:marLeft w:val="0"/>
              <w:marRight w:val="0"/>
              <w:marTop w:val="0"/>
              <w:marBottom w:val="0"/>
              <w:divBdr>
                <w:top w:val="none" w:sz="0" w:space="0" w:color="auto"/>
                <w:left w:val="none" w:sz="0" w:space="0" w:color="auto"/>
                <w:bottom w:val="none" w:sz="0" w:space="0" w:color="auto"/>
                <w:right w:val="none" w:sz="0" w:space="0" w:color="auto"/>
              </w:divBdr>
            </w:div>
            <w:div w:id="1255555135">
              <w:marLeft w:val="0"/>
              <w:marRight w:val="0"/>
              <w:marTop w:val="0"/>
              <w:marBottom w:val="0"/>
              <w:divBdr>
                <w:top w:val="none" w:sz="0" w:space="0" w:color="auto"/>
                <w:left w:val="none" w:sz="0" w:space="0" w:color="auto"/>
                <w:bottom w:val="none" w:sz="0" w:space="0" w:color="auto"/>
                <w:right w:val="none" w:sz="0" w:space="0" w:color="auto"/>
              </w:divBdr>
            </w:div>
            <w:div w:id="1301036480">
              <w:marLeft w:val="0"/>
              <w:marRight w:val="0"/>
              <w:marTop w:val="0"/>
              <w:marBottom w:val="0"/>
              <w:divBdr>
                <w:top w:val="none" w:sz="0" w:space="0" w:color="auto"/>
                <w:left w:val="none" w:sz="0" w:space="0" w:color="auto"/>
                <w:bottom w:val="none" w:sz="0" w:space="0" w:color="auto"/>
                <w:right w:val="none" w:sz="0" w:space="0" w:color="auto"/>
              </w:divBdr>
            </w:div>
            <w:div w:id="1307932667">
              <w:marLeft w:val="0"/>
              <w:marRight w:val="0"/>
              <w:marTop w:val="0"/>
              <w:marBottom w:val="0"/>
              <w:divBdr>
                <w:top w:val="none" w:sz="0" w:space="0" w:color="auto"/>
                <w:left w:val="none" w:sz="0" w:space="0" w:color="auto"/>
                <w:bottom w:val="none" w:sz="0" w:space="0" w:color="auto"/>
                <w:right w:val="none" w:sz="0" w:space="0" w:color="auto"/>
              </w:divBdr>
            </w:div>
            <w:div w:id="1331718827">
              <w:marLeft w:val="0"/>
              <w:marRight w:val="0"/>
              <w:marTop w:val="0"/>
              <w:marBottom w:val="0"/>
              <w:divBdr>
                <w:top w:val="none" w:sz="0" w:space="0" w:color="auto"/>
                <w:left w:val="none" w:sz="0" w:space="0" w:color="auto"/>
                <w:bottom w:val="none" w:sz="0" w:space="0" w:color="auto"/>
                <w:right w:val="none" w:sz="0" w:space="0" w:color="auto"/>
              </w:divBdr>
            </w:div>
            <w:div w:id="1362173009">
              <w:marLeft w:val="0"/>
              <w:marRight w:val="0"/>
              <w:marTop w:val="0"/>
              <w:marBottom w:val="0"/>
              <w:divBdr>
                <w:top w:val="none" w:sz="0" w:space="0" w:color="auto"/>
                <w:left w:val="none" w:sz="0" w:space="0" w:color="auto"/>
                <w:bottom w:val="none" w:sz="0" w:space="0" w:color="auto"/>
                <w:right w:val="none" w:sz="0" w:space="0" w:color="auto"/>
              </w:divBdr>
            </w:div>
            <w:div w:id="1419136202">
              <w:marLeft w:val="0"/>
              <w:marRight w:val="0"/>
              <w:marTop w:val="0"/>
              <w:marBottom w:val="0"/>
              <w:divBdr>
                <w:top w:val="none" w:sz="0" w:space="0" w:color="auto"/>
                <w:left w:val="none" w:sz="0" w:space="0" w:color="auto"/>
                <w:bottom w:val="none" w:sz="0" w:space="0" w:color="auto"/>
                <w:right w:val="none" w:sz="0" w:space="0" w:color="auto"/>
              </w:divBdr>
            </w:div>
            <w:div w:id="1656911525">
              <w:marLeft w:val="0"/>
              <w:marRight w:val="0"/>
              <w:marTop w:val="0"/>
              <w:marBottom w:val="0"/>
              <w:divBdr>
                <w:top w:val="none" w:sz="0" w:space="0" w:color="auto"/>
                <w:left w:val="none" w:sz="0" w:space="0" w:color="auto"/>
                <w:bottom w:val="none" w:sz="0" w:space="0" w:color="auto"/>
                <w:right w:val="none" w:sz="0" w:space="0" w:color="auto"/>
              </w:divBdr>
            </w:div>
            <w:div w:id="2020227930">
              <w:marLeft w:val="0"/>
              <w:marRight w:val="0"/>
              <w:marTop w:val="0"/>
              <w:marBottom w:val="0"/>
              <w:divBdr>
                <w:top w:val="none" w:sz="0" w:space="0" w:color="auto"/>
                <w:left w:val="none" w:sz="0" w:space="0" w:color="auto"/>
                <w:bottom w:val="none" w:sz="0" w:space="0" w:color="auto"/>
                <w:right w:val="none" w:sz="0" w:space="0" w:color="auto"/>
              </w:divBdr>
            </w:div>
            <w:div w:id="2079553207">
              <w:marLeft w:val="0"/>
              <w:marRight w:val="0"/>
              <w:marTop w:val="0"/>
              <w:marBottom w:val="0"/>
              <w:divBdr>
                <w:top w:val="none" w:sz="0" w:space="0" w:color="auto"/>
                <w:left w:val="none" w:sz="0" w:space="0" w:color="auto"/>
                <w:bottom w:val="none" w:sz="0" w:space="0" w:color="auto"/>
                <w:right w:val="none" w:sz="0" w:space="0" w:color="auto"/>
              </w:divBdr>
            </w:div>
          </w:divsChild>
        </w:div>
        <w:div w:id="198710315">
          <w:marLeft w:val="0"/>
          <w:marRight w:val="0"/>
          <w:marTop w:val="0"/>
          <w:marBottom w:val="0"/>
          <w:divBdr>
            <w:top w:val="none" w:sz="0" w:space="0" w:color="auto"/>
            <w:left w:val="none" w:sz="0" w:space="0" w:color="auto"/>
            <w:bottom w:val="none" w:sz="0" w:space="0" w:color="auto"/>
            <w:right w:val="none" w:sz="0" w:space="0" w:color="auto"/>
          </w:divBdr>
        </w:div>
        <w:div w:id="199821529">
          <w:marLeft w:val="0"/>
          <w:marRight w:val="0"/>
          <w:marTop w:val="0"/>
          <w:marBottom w:val="0"/>
          <w:divBdr>
            <w:top w:val="none" w:sz="0" w:space="0" w:color="auto"/>
            <w:left w:val="none" w:sz="0" w:space="0" w:color="auto"/>
            <w:bottom w:val="none" w:sz="0" w:space="0" w:color="auto"/>
            <w:right w:val="none" w:sz="0" w:space="0" w:color="auto"/>
          </w:divBdr>
          <w:divsChild>
            <w:div w:id="1460804263">
              <w:marLeft w:val="-75"/>
              <w:marRight w:val="0"/>
              <w:marTop w:val="30"/>
              <w:marBottom w:val="30"/>
              <w:divBdr>
                <w:top w:val="none" w:sz="0" w:space="0" w:color="auto"/>
                <w:left w:val="none" w:sz="0" w:space="0" w:color="auto"/>
                <w:bottom w:val="none" w:sz="0" w:space="0" w:color="auto"/>
                <w:right w:val="none" w:sz="0" w:space="0" w:color="auto"/>
              </w:divBdr>
              <w:divsChild>
                <w:div w:id="92946681">
                  <w:marLeft w:val="0"/>
                  <w:marRight w:val="0"/>
                  <w:marTop w:val="0"/>
                  <w:marBottom w:val="0"/>
                  <w:divBdr>
                    <w:top w:val="none" w:sz="0" w:space="0" w:color="auto"/>
                    <w:left w:val="none" w:sz="0" w:space="0" w:color="auto"/>
                    <w:bottom w:val="none" w:sz="0" w:space="0" w:color="auto"/>
                    <w:right w:val="none" w:sz="0" w:space="0" w:color="auto"/>
                  </w:divBdr>
                  <w:divsChild>
                    <w:div w:id="962805948">
                      <w:marLeft w:val="0"/>
                      <w:marRight w:val="0"/>
                      <w:marTop w:val="0"/>
                      <w:marBottom w:val="0"/>
                      <w:divBdr>
                        <w:top w:val="none" w:sz="0" w:space="0" w:color="auto"/>
                        <w:left w:val="none" w:sz="0" w:space="0" w:color="auto"/>
                        <w:bottom w:val="none" w:sz="0" w:space="0" w:color="auto"/>
                        <w:right w:val="none" w:sz="0" w:space="0" w:color="auto"/>
                      </w:divBdr>
                    </w:div>
                  </w:divsChild>
                </w:div>
                <w:div w:id="120149890">
                  <w:marLeft w:val="0"/>
                  <w:marRight w:val="0"/>
                  <w:marTop w:val="0"/>
                  <w:marBottom w:val="0"/>
                  <w:divBdr>
                    <w:top w:val="none" w:sz="0" w:space="0" w:color="auto"/>
                    <w:left w:val="none" w:sz="0" w:space="0" w:color="auto"/>
                    <w:bottom w:val="none" w:sz="0" w:space="0" w:color="auto"/>
                    <w:right w:val="none" w:sz="0" w:space="0" w:color="auto"/>
                  </w:divBdr>
                  <w:divsChild>
                    <w:div w:id="893081256">
                      <w:marLeft w:val="0"/>
                      <w:marRight w:val="0"/>
                      <w:marTop w:val="0"/>
                      <w:marBottom w:val="0"/>
                      <w:divBdr>
                        <w:top w:val="none" w:sz="0" w:space="0" w:color="auto"/>
                        <w:left w:val="none" w:sz="0" w:space="0" w:color="auto"/>
                        <w:bottom w:val="none" w:sz="0" w:space="0" w:color="auto"/>
                        <w:right w:val="none" w:sz="0" w:space="0" w:color="auto"/>
                      </w:divBdr>
                    </w:div>
                  </w:divsChild>
                </w:div>
                <w:div w:id="287126152">
                  <w:marLeft w:val="0"/>
                  <w:marRight w:val="0"/>
                  <w:marTop w:val="0"/>
                  <w:marBottom w:val="0"/>
                  <w:divBdr>
                    <w:top w:val="none" w:sz="0" w:space="0" w:color="auto"/>
                    <w:left w:val="none" w:sz="0" w:space="0" w:color="auto"/>
                    <w:bottom w:val="none" w:sz="0" w:space="0" w:color="auto"/>
                    <w:right w:val="none" w:sz="0" w:space="0" w:color="auto"/>
                  </w:divBdr>
                  <w:divsChild>
                    <w:div w:id="1548107814">
                      <w:marLeft w:val="0"/>
                      <w:marRight w:val="0"/>
                      <w:marTop w:val="0"/>
                      <w:marBottom w:val="0"/>
                      <w:divBdr>
                        <w:top w:val="none" w:sz="0" w:space="0" w:color="auto"/>
                        <w:left w:val="none" w:sz="0" w:space="0" w:color="auto"/>
                        <w:bottom w:val="none" w:sz="0" w:space="0" w:color="auto"/>
                        <w:right w:val="none" w:sz="0" w:space="0" w:color="auto"/>
                      </w:divBdr>
                    </w:div>
                  </w:divsChild>
                </w:div>
                <w:div w:id="337850106">
                  <w:marLeft w:val="0"/>
                  <w:marRight w:val="0"/>
                  <w:marTop w:val="0"/>
                  <w:marBottom w:val="0"/>
                  <w:divBdr>
                    <w:top w:val="none" w:sz="0" w:space="0" w:color="auto"/>
                    <w:left w:val="none" w:sz="0" w:space="0" w:color="auto"/>
                    <w:bottom w:val="none" w:sz="0" w:space="0" w:color="auto"/>
                    <w:right w:val="none" w:sz="0" w:space="0" w:color="auto"/>
                  </w:divBdr>
                  <w:divsChild>
                    <w:div w:id="2076779476">
                      <w:marLeft w:val="0"/>
                      <w:marRight w:val="0"/>
                      <w:marTop w:val="0"/>
                      <w:marBottom w:val="0"/>
                      <w:divBdr>
                        <w:top w:val="none" w:sz="0" w:space="0" w:color="auto"/>
                        <w:left w:val="none" w:sz="0" w:space="0" w:color="auto"/>
                        <w:bottom w:val="none" w:sz="0" w:space="0" w:color="auto"/>
                        <w:right w:val="none" w:sz="0" w:space="0" w:color="auto"/>
                      </w:divBdr>
                    </w:div>
                  </w:divsChild>
                </w:div>
                <w:div w:id="501892750">
                  <w:marLeft w:val="0"/>
                  <w:marRight w:val="0"/>
                  <w:marTop w:val="0"/>
                  <w:marBottom w:val="0"/>
                  <w:divBdr>
                    <w:top w:val="none" w:sz="0" w:space="0" w:color="auto"/>
                    <w:left w:val="none" w:sz="0" w:space="0" w:color="auto"/>
                    <w:bottom w:val="none" w:sz="0" w:space="0" w:color="auto"/>
                    <w:right w:val="none" w:sz="0" w:space="0" w:color="auto"/>
                  </w:divBdr>
                  <w:divsChild>
                    <w:div w:id="1421366619">
                      <w:marLeft w:val="0"/>
                      <w:marRight w:val="0"/>
                      <w:marTop w:val="0"/>
                      <w:marBottom w:val="0"/>
                      <w:divBdr>
                        <w:top w:val="none" w:sz="0" w:space="0" w:color="auto"/>
                        <w:left w:val="none" w:sz="0" w:space="0" w:color="auto"/>
                        <w:bottom w:val="none" w:sz="0" w:space="0" w:color="auto"/>
                        <w:right w:val="none" w:sz="0" w:space="0" w:color="auto"/>
                      </w:divBdr>
                    </w:div>
                  </w:divsChild>
                </w:div>
                <w:div w:id="526527974">
                  <w:marLeft w:val="0"/>
                  <w:marRight w:val="0"/>
                  <w:marTop w:val="0"/>
                  <w:marBottom w:val="0"/>
                  <w:divBdr>
                    <w:top w:val="none" w:sz="0" w:space="0" w:color="auto"/>
                    <w:left w:val="none" w:sz="0" w:space="0" w:color="auto"/>
                    <w:bottom w:val="none" w:sz="0" w:space="0" w:color="auto"/>
                    <w:right w:val="none" w:sz="0" w:space="0" w:color="auto"/>
                  </w:divBdr>
                  <w:divsChild>
                    <w:div w:id="162362597">
                      <w:marLeft w:val="0"/>
                      <w:marRight w:val="0"/>
                      <w:marTop w:val="0"/>
                      <w:marBottom w:val="0"/>
                      <w:divBdr>
                        <w:top w:val="none" w:sz="0" w:space="0" w:color="auto"/>
                        <w:left w:val="none" w:sz="0" w:space="0" w:color="auto"/>
                        <w:bottom w:val="none" w:sz="0" w:space="0" w:color="auto"/>
                        <w:right w:val="none" w:sz="0" w:space="0" w:color="auto"/>
                      </w:divBdr>
                    </w:div>
                  </w:divsChild>
                </w:div>
                <w:div w:id="773865196">
                  <w:marLeft w:val="0"/>
                  <w:marRight w:val="0"/>
                  <w:marTop w:val="0"/>
                  <w:marBottom w:val="0"/>
                  <w:divBdr>
                    <w:top w:val="none" w:sz="0" w:space="0" w:color="auto"/>
                    <w:left w:val="none" w:sz="0" w:space="0" w:color="auto"/>
                    <w:bottom w:val="none" w:sz="0" w:space="0" w:color="auto"/>
                    <w:right w:val="none" w:sz="0" w:space="0" w:color="auto"/>
                  </w:divBdr>
                  <w:divsChild>
                    <w:div w:id="1194075113">
                      <w:marLeft w:val="0"/>
                      <w:marRight w:val="0"/>
                      <w:marTop w:val="0"/>
                      <w:marBottom w:val="0"/>
                      <w:divBdr>
                        <w:top w:val="none" w:sz="0" w:space="0" w:color="auto"/>
                        <w:left w:val="none" w:sz="0" w:space="0" w:color="auto"/>
                        <w:bottom w:val="none" w:sz="0" w:space="0" w:color="auto"/>
                        <w:right w:val="none" w:sz="0" w:space="0" w:color="auto"/>
                      </w:divBdr>
                    </w:div>
                  </w:divsChild>
                </w:div>
                <w:div w:id="1120492337">
                  <w:marLeft w:val="0"/>
                  <w:marRight w:val="0"/>
                  <w:marTop w:val="0"/>
                  <w:marBottom w:val="0"/>
                  <w:divBdr>
                    <w:top w:val="none" w:sz="0" w:space="0" w:color="auto"/>
                    <w:left w:val="none" w:sz="0" w:space="0" w:color="auto"/>
                    <w:bottom w:val="none" w:sz="0" w:space="0" w:color="auto"/>
                    <w:right w:val="none" w:sz="0" w:space="0" w:color="auto"/>
                  </w:divBdr>
                  <w:divsChild>
                    <w:div w:id="1420756514">
                      <w:marLeft w:val="0"/>
                      <w:marRight w:val="0"/>
                      <w:marTop w:val="0"/>
                      <w:marBottom w:val="0"/>
                      <w:divBdr>
                        <w:top w:val="none" w:sz="0" w:space="0" w:color="auto"/>
                        <w:left w:val="none" w:sz="0" w:space="0" w:color="auto"/>
                        <w:bottom w:val="none" w:sz="0" w:space="0" w:color="auto"/>
                        <w:right w:val="none" w:sz="0" w:space="0" w:color="auto"/>
                      </w:divBdr>
                    </w:div>
                  </w:divsChild>
                </w:div>
                <w:div w:id="1202128270">
                  <w:marLeft w:val="0"/>
                  <w:marRight w:val="0"/>
                  <w:marTop w:val="0"/>
                  <w:marBottom w:val="0"/>
                  <w:divBdr>
                    <w:top w:val="none" w:sz="0" w:space="0" w:color="auto"/>
                    <w:left w:val="none" w:sz="0" w:space="0" w:color="auto"/>
                    <w:bottom w:val="none" w:sz="0" w:space="0" w:color="auto"/>
                    <w:right w:val="none" w:sz="0" w:space="0" w:color="auto"/>
                  </w:divBdr>
                  <w:divsChild>
                    <w:div w:id="1661884481">
                      <w:marLeft w:val="0"/>
                      <w:marRight w:val="0"/>
                      <w:marTop w:val="0"/>
                      <w:marBottom w:val="0"/>
                      <w:divBdr>
                        <w:top w:val="none" w:sz="0" w:space="0" w:color="auto"/>
                        <w:left w:val="none" w:sz="0" w:space="0" w:color="auto"/>
                        <w:bottom w:val="none" w:sz="0" w:space="0" w:color="auto"/>
                        <w:right w:val="none" w:sz="0" w:space="0" w:color="auto"/>
                      </w:divBdr>
                    </w:div>
                  </w:divsChild>
                </w:div>
                <w:div w:id="1237474330">
                  <w:marLeft w:val="0"/>
                  <w:marRight w:val="0"/>
                  <w:marTop w:val="0"/>
                  <w:marBottom w:val="0"/>
                  <w:divBdr>
                    <w:top w:val="none" w:sz="0" w:space="0" w:color="auto"/>
                    <w:left w:val="none" w:sz="0" w:space="0" w:color="auto"/>
                    <w:bottom w:val="none" w:sz="0" w:space="0" w:color="auto"/>
                    <w:right w:val="none" w:sz="0" w:space="0" w:color="auto"/>
                  </w:divBdr>
                  <w:divsChild>
                    <w:div w:id="802114997">
                      <w:marLeft w:val="0"/>
                      <w:marRight w:val="0"/>
                      <w:marTop w:val="0"/>
                      <w:marBottom w:val="0"/>
                      <w:divBdr>
                        <w:top w:val="none" w:sz="0" w:space="0" w:color="auto"/>
                        <w:left w:val="none" w:sz="0" w:space="0" w:color="auto"/>
                        <w:bottom w:val="none" w:sz="0" w:space="0" w:color="auto"/>
                        <w:right w:val="none" w:sz="0" w:space="0" w:color="auto"/>
                      </w:divBdr>
                    </w:div>
                  </w:divsChild>
                </w:div>
                <w:div w:id="1315842131">
                  <w:marLeft w:val="0"/>
                  <w:marRight w:val="0"/>
                  <w:marTop w:val="0"/>
                  <w:marBottom w:val="0"/>
                  <w:divBdr>
                    <w:top w:val="none" w:sz="0" w:space="0" w:color="auto"/>
                    <w:left w:val="none" w:sz="0" w:space="0" w:color="auto"/>
                    <w:bottom w:val="none" w:sz="0" w:space="0" w:color="auto"/>
                    <w:right w:val="none" w:sz="0" w:space="0" w:color="auto"/>
                  </w:divBdr>
                  <w:divsChild>
                    <w:div w:id="1658533974">
                      <w:marLeft w:val="0"/>
                      <w:marRight w:val="0"/>
                      <w:marTop w:val="0"/>
                      <w:marBottom w:val="0"/>
                      <w:divBdr>
                        <w:top w:val="none" w:sz="0" w:space="0" w:color="auto"/>
                        <w:left w:val="none" w:sz="0" w:space="0" w:color="auto"/>
                        <w:bottom w:val="none" w:sz="0" w:space="0" w:color="auto"/>
                        <w:right w:val="none" w:sz="0" w:space="0" w:color="auto"/>
                      </w:divBdr>
                    </w:div>
                  </w:divsChild>
                </w:div>
                <w:div w:id="1425763329">
                  <w:marLeft w:val="0"/>
                  <w:marRight w:val="0"/>
                  <w:marTop w:val="0"/>
                  <w:marBottom w:val="0"/>
                  <w:divBdr>
                    <w:top w:val="none" w:sz="0" w:space="0" w:color="auto"/>
                    <w:left w:val="none" w:sz="0" w:space="0" w:color="auto"/>
                    <w:bottom w:val="none" w:sz="0" w:space="0" w:color="auto"/>
                    <w:right w:val="none" w:sz="0" w:space="0" w:color="auto"/>
                  </w:divBdr>
                  <w:divsChild>
                    <w:div w:id="1615165871">
                      <w:marLeft w:val="0"/>
                      <w:marRight w:val="0"/>
                      <w:marTop w:val="0"/>
                      <w:marBottom w:val="0"/>
                      <w:divBdr>
                        <w:top w:val="none" w:sz="0" w:space="0" w:color="auto"/>
                        <w:left w:val="none" w:sz="0" w:space="0" w:color="auto"/>
                        <w:bottom w:val="none" w:sz="0" w:space="0" w:color="auto"/>
                        <w:right w:val="none" w:sz="0" w:space="0" w:color="auto"/>
                      </w:divBdr>
                    </w:div>
                  </w:divsChild>
                </w:div>
                <w:div w:id="1480725170">
                  <w:marLeft w:val="0"/>
                  <w:marRight w:val="0"/>
                  <w:marTop w:val="0"/>
                  <w:marBottom w:val="0"/>
                  <w:divBdr>
                    <w:top w:val="none" w:sz="0" w:space="0" w:color="auto"/>
                    <w:left w:val="none" w:sz="0" w:space="0" w:color="auto"/>
                    <w:bottom w:val="none" w:sz="0" w:space="0" w:color="auto"/>
                    <w:right w:val="none" w:sz="0" w:space="0" w:color="auto"/>
                  </w:divBdr>
                  <w:divsChild>
                    <w:div w:id="458763106">
                      <w:marLeft w:val="0"/>
                      <w:marRight w:val="0"/>
                      <w:marTop w:val="0"/>
                      <w:marBottom w:val="0"/>
                      <w:divBdr>
                        <w:top w:val="none" w:sz="0" w:space="0" w:color="auto"/>
                        <w:left w:val="none" w:sz="0" w:space="0" w:color="auto"/>
                        <w:bottom w:val="none" w:sz="0" w:space="0" w:color="auto"/>
                        <w:right w:val="none" w:sz="0" w:space="0" w:color="auto"/>
                      </w:divBdr>
                    </w:div>
                  </w:divsChild>
                </w:div>
                <w:div w:id="1486045647">
                  <w:marLeft w:val="0"/>
                  <w:marRight w:val="0"/>
                  <w:marTop w:val="0"/>
                  <w:marBottom w:val="0"/>
                  <w:divBdr>
                    <w:top w:val="none" w:sz="0" w:space="0" w:color="auto"/>
                    <w:left w:val="none" w:sz="0" w:space="0" w:color="auto"/>
                    <w:bottom w:val="none" w:sz="0" w:space="0" w:color="auto"/>
                    <w:right w:val="none" w:sz="0" w:space="0" w:color="auto"/>
                  </w:divBdr>
                  <w:divsChild>
                    <w:div w:id="787158830">
                      <w:marLeft w:val="0"/>
                      <w:marRight w:val="0"/>
                      <w:marTop w:val="0"/>
                      <w:marBottom w:val="0"/>
                      <w:divBdr>
                        <w:top w:val="none" w:sz="0" w:space="0" w:color="auto"/>
                        <w:left w:val="none" w:sz="0" w:space="0" w:color="auto"/>
                        <w:bottom w:val="none" w:sz="0" w:space="0" w:color="auto"/>
                        <w:right w:val="none" w:sz="0" w:space="0" w:color="auto"/>
                      </w:divBdr>
                    </w:div>
                  </w:divsChild>
                </w:div>
                <w:div w:id="1658681902">
                  <w:marLeft w:val="0"/>
                  <w:marRight w:val="0"/>
                  <w:marTop w:val="0"/>
                  <w:marBottom w:val="0"/>
                  <w:divBdr>
                    <w:top w:val="none" w:sz="0" w:space="0" w:color="auto"/>
                    <w:left w:val="none" w:sz="0" w:space="0" w:color="auto"/>
                    <w:bottom w:val="none" w:sz="0" w:space="0" w:color="auto"/>
                    <w:right w:val="none" w:sz="0" w:space="0" w:color="auto"/>
                  </w:divBdr>
                  <w:divsChild>
                    <w:div w:id="1098872853">
                      <w:marLeft w:val="0"/>
                      <w:marRight w:val="0"/>
                      <w:marTop w:val="0"/>
                      <w:marBottom w:val="0"/>
                      <w:divBdr>
                        <w:top w:val="none" w:sz="0" w:space="0" w:color="auto"/>
                        <w:left w:val="none" w:sz="0" w:space="0" w:color="auto"/>
                        <w:bottom w:val="none" w:sz="0" w:space="0" w:color="auto"/>
                        <w:right w:val="none" w:sz="0" w:space="0" w:color="auto"/>
                      </w:divBdr>
                    </w:div>
                  </w:divsChild>
                </w:div>
                <w:div w:id="1733506681">
                  <w:marLeft w:val="0"/>
                  <w:marRight w:val="0"/>
                  <w:marTop w:val="0"/>
                  <w:marBottom w:val="0"/>
                  <w:divBdr>
                    <w:top w:val="none" w:sz="0" w:space="0" w:color="auto"/>
                    <w:left w:val="none" w:sz="0" w:space="0" w:color="auto"/>
                    <w:bottom w:val="none" w:sz="0" w:space="0" w:color="auto"/>
                    <w:right w:val="none" w:sz="0" w:space="0" w:color="auto"/>
                  </w:divBdr>
                  <w:divsChild>
                    <w:div w:id="1293681326">
                      <w:marLeft w:val="0"/>
                      <w:marRight w:val="0"/>
                      <w:marTop w:val="0"/>
                      <w:marBottom w:val="0"/>
                      <w:divBdr>
                        <w:top w:val="none" w:sz="0" w:space="0" w:color="auto"/>
                        <w:left w:val="none" w:sz="0" w:space="0" w:color="auto"/>
                        <w:bottom w:val="none" w:sz="0" w:space="0" w:color="auto"/>
                        <w:right w:val="none" w:sz="0" w:space="0" w:color="auto"/>
                      </w:divBdr>
                    </w:div>
                  </w:divsChild>
                </w:div>
                <w:div w:id="1766339880">
                  <w:marLeft w:val="0"/>
                  <w:marRight w:val="0"/>
                  <w:marTop w:val="0"/>
                  <w:marBottom w:val="0"/>
                  <w:divBdr>
                    <w:top w:val="none" w:sz="0" w:space="0" w:color="auto"/>
                    <w:left w:val="none" w:sz="0" w:space="0" w:color="auto"/>
                    <w:bottom w:val="none" w:sz="0" w:space="0" w:color="auto"/>
                    <w:right w:val="none" w:sz="0" w:space="0" w:color="auto"/>
                  </w:divBdr>
                  <w:divsChild>
                    <w:div w:id="1901070">
                      <w:marLeft w:val="0"/>
                      <w:marRight w:val="0"/>
                      <w:marTop w:val="0"/>
                      <w:marBottom w:val="0"/>
                      <w:divBdr>
                        <w:top w:val="none" w:sz="0" w:space="0" w:color="auto"/>
                        <w:left w:val="none" w:sz="0" w:space="0" w:color="auto"/>
                        <w:bottom w:val="none" w:sz="0" w:space="0" w:color="auto"/>
                        <w:right w:val="none" w:sz="0" w:space="0" w:color="auto"/>
                      </w:divBdr>
                    </w:div>
                  </w:divsChild>
                </w:div>
                <w:div w:id="2015913850">
                  <w:marLeft w:val="0"/>
                  <w:marRight w:val="0"/>
                  <w:marTop w:val="0"/>
                  <w:marBottom w:val="0"/>
                  <w:divBdr>
                    <w:top w:val="none" w:sz="0" w:space="0" w:color="auto"/>
                    <w:left w:val="none" w:sz="0" w:space="0" w:color="auto"/>
                    <w:bottom w:val="none" w:sz="0" w:space="0" w:color="auto"/>
                    <w:right w:val="none" w:sz="0" w:space="0" w:color="auto"/>
                  </w:divBdr>
                  <w:divsChild>
                    <w:div w:id="21465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4157">
          <w:marLeft w:val="0"/>
          <w:marRight w:val="0"/>
          <w:marTop w:val="0"/>
          <w:marBottom w:val="0"/>
          <w:divBdr>
            <w:top w:val="none" w:sz="0" w:space="0" w:color="auto"/>
            <w:left w:val="none" w:sz="0" w:space="0" w:color="auto"/>
            <w:bottom w:val="none" w:sz="0" w:space="0" w:color="auto"/>
            <w:right w:val="none" w:sz="0" w:space="0" w:color="auto"/>
          </w:divBdr>
        </w:div>
        <w:div w:id="216864067">
          <w:marLeft w:val="0"/>
          <w:marRight w:val="0"/>
          <w:marTop w:val="0"/>
          <w:marBottom w:val="0"/>
          <w:divBdr>
            <w:top w:val="none" w:sz="0" w:space="0" w:color="auto"/>
            <w:left w:val="none" w:sz="0" w:space="0" w:color="auto"/>
            <w:bottom w:val="none" w:sz="0" w:space="0" w:color="auto"/>
            <w:right w:val="none" w:sz="0" w:space="0" w:color="auto"/>
          </w:divBdr>
        </w:div>
        <w:div w:id="253562539">
          <w:marLeft w:val="0"/>
          <w:marRight w:val="0"/>
          <w:marTop w:val="0"/>
          <w:marBottom w:val="0"/>
          <w:divBdr>
            <w:top w:val="none" w:sz="0" w:space="0" w:color="auto"/>
            <w:left w:val="none" w:sz="0" w:space="0" w:color="auto"/>
            <w:bottom w:val="none" w:sz="0" w:space="0" w:color="auto"/>
            <w:right w:val="none" w:sz="0" w:space="0" w:color="auto"/>
          </w:divBdr>
        </w:div>
        <w:div w:id="255602432">
          <w:marLeft w:val="0"/>
          <w:marRight w:val="0"/>
          <w:marTop w:val="0"/>
          <w:marBottom w:val="0"/>
          <w:divBdr>
            <w:top w:val="none" w:sz="0" w:space="0" w:color="auto"/>
            <w:left w:val="none" w:sz="0" w:space="0" w:color="auto"/>
            <w:bottom w:val="none" w:sz="0" w:space="0" w:color="auto"/>
            <w:right w:val="none" w:sz="0" w:space="0" w:color="auto"/>
          </w:divBdr>
          <w:divsChild>
            <w:div w:id="937293">
              <w:marLeft w:val="-75"/>
              <w:marRight w:val="0"/>
              <w:marTop w:val="30"/>
              <w:marBottom w:val="30"/>
              <w:divBdr>
                <w:top w:val="none" w:sz="0" w:space="0" w:color="auto"/>
                <w:left w:val="none" w:sz="0" w:space="0" w:color="auto"/>
                <w:bottom w:val="none" w:sz="0" w:space="0" w:color="auto"/>
                <w:right w:val="none" w:sz="0" w:space="0" w:color="auto"/>
              </w:divBdr>
              <w:divsChild>
                <w:div w:id="274798637">
                  <w:marLeft w:val="0"/>
                  <w:marRight w:val="0"/>
                  <w:marTop w:val="0"/>
                  <w:marBottom w:val="0"/>
                  <w:divBdr>
                    <w:top w:val="none" w:sz="0" w:space="0" w:color="auto"/>
                    <w:left w:val="none" w:sz="0" w:space="0" w:color="auto"/>
                    <w:bottom w:val="none" w:sz="0" w:space="0" w:color="auto"/>
                    <w:right w:val="none" w:sz="0" w:space="0" w:color="auto"/>
                  </w:divBdr>
                  <w:divsChild>
                    <w:div w:id="1311909594">
                      <w:marLeft w:val="0"/>
                      <w:marRight w:val="0"/>
                      <w:marTop w:val="0"/>
                      <w:marBottom w:val="0"/>
                      <w:divBdr>
                        <w:top w:val="none" w:sz="0" w:space="0" w:color="auto"/>
                        <w:left w:val="none" w:sz="0" w:space="0" w:color="auto"/>
                        <w:bottom w:val="none" w:sz="0" w:space="0" w:color="auto"/>
                        <w:right w:val="none" w:sz="0" w:space="0" w:color="auto"/>
                      </w:divBdr>
                    </w:div>
                  </w:divsChild>
                </w:div>
                <w:div w:id="278873328">
                  <w:marLeft w:val="0"/>
                  <w:marRight w:val="0"/>
                  <w:marTop w:val="0"/>
                  <w:marBottom w:val="0"/>
                  <w:divBdr>
                    <w:top w:val="none" w:sz="0" w:space="0" w:color="auto"/>
                    <w:left w:val="none" w:sz="0" w:space="0" w:color="auto"/>
                    <w:bottom w:val="none" w:sz="0" w:space="0" w:color="auto"/>
                    <w:right w:val="none" w:sz="0" w:space="0" w:color="auto"/>
                  </w:divBdr>
                  <w:divsChild>
                    <w:div w:id="200941504">
                      <w:marLeft w:val="0"/>
                      <w:marRight w:val="0"/>
                      <w:marTop w:val="0"/>
                      <w:marBottom w:val="0"/>
                      <w:divBdr>
                        <w:top w:val="none" w:sz="0" w:space="0" w:color="auto"/>
                        <w:left w:val="none" w:sz="0" w:space="0" w:color="auto"/>
                        <w:bottom w:val="none" w:sz="0" w:space="0" w:color="auto"/>
                        <w:right w:val="none" w:sz="0" w:space="0" w:color="auto"/>
                      </w:divBdr>
                    </w:div>
                  </w:divsChild>
                </w:div>
                <w:div w:id="318920772">
                  <w:marLeft w:val="0"/>
                  <w:marRight w:val="0"/>
                  <w:marTop w:val="0"/>
                  <w:marBottom w:val="0"/>
                  <w:divBdr>
                    <w:top w:val="none" w:sz="0" w:space="0" w:color="auto"/>
                    <w:left w:val="none" w:sz="0" w:space="0" w:color="auto"/>
                    <w:bottom w:val="none" w:sz="0" w:space="0" w:color="auto"/>
                    <w:right w:val="none" w:sz="0" w:space="0" w:color="auto"/>
                  </w:divBdr>
                  <w:divsChild>
                    <w:div w:id="1147361630">
                      <w:marLeft w:val="0"/>
                      <w:marRight w:val="0"/>
                      <w:marTop w:val="0"/>
                      <w:marBottom w:val="0"/>
                      <w:divBdr>
                        <w:top w:val="none" w:sz="0" w:space="0" w:color="auto"/>
                        <w:left w:val="none" w:sz="0" w:space="0" w:color="auto"/>
                        <w:bottom w:val="none" w:sz="0" w:space="0" w:color="auto"/>
                        <w:right w:val="none" w:sz="0" w:space="0" w:color="auto"/>
                      </w:divBdr>
                    </w:div>
                  </w:divsChild>
                </w:div>
                <w:div w:id="409040074">
                  <w:marLeft w:val="0"/>
                  <w:marRight w:val="0"/>
                  <w:marTop w:val="0"/>
                  <w:marBottom w:val="0"/>
                  <w:divBdr>
                    <w:top w:val="none" w:sz="0" w:space="0" w:color="auto"/>
                    <w:left w:val="none" w:sz="0" w:space="0" w:color="auto"/>
                    <w:bottom w:val="none" w:sz="0" w:space="0" w:color="auto"/>
                    <w:right w:val="none" w:sz="0" w:space="0" w:color="auto"/>
                  </w:divBdr>
                  <w:divsChild>
                    <w:div w:id="1052074308">
                      <w:marLeft w:val="0"/>
                      <w:marRight w:val="0"/>
                      <w:marTop w:val="0"/>
                      <w:marBottom w:val="0"/>
                      <w:divBdr>
                        <w:top w:val="none" w:sz="0" w:space="0" w:color="auto"/>
                        <w:left w:val="none" w:sz="0" w:space="0" w:color="auto"/>
                        <w:bottom w:val="none" w:sz="0" w:space="0" w:color="auto"/>
                        <w:right w:val="none" w:sz="0" w:space="0" w:color="auto"/>
                      </w:divBdr>
                    </w:div>
                  </w:divsChild>
                </w:div>
                <w:div w:id="767190982">
                  <w:marLeft w:val="0"/>
                  <w:marRight w:val="0"/>
                  <w:marTop w:val="0"/>
                  <w:marBottom w:val="0"/>
                  <w:divBdr>
                    <w:top w:val="none" w:sz="0" w:space="0" w:color="auto"/>
                    <w:left w:val="none" w:sz="0" w:space="0" w:color="auto"/>
                    <w:bottom w:val="none" w:sz="0" w:space="0" w:color="auto"/>
                    <w:right w:val="none" w:sz="0" w:space="0" w:color="auto"/>
                  </w:divBdr>
                  <w:divsChild>
                    <w:div w:id="2131312492">
                      <w:marLeft w:val="0"/>
                      <w:marRight w:val="0"/>
                      <w:marTop w:val="0"/>
                      <w:marBottom w:val="0"/>
                      <w:divBdr>
                        <w:top w:val="none" w:sz="0" w:space="0" w:color="auto"/>
                        <w:left w:val="none" w:sz="0" w:space="0" w:color="auto"/>
                        <w:bottom w:val="none" w:sz="0" w:space="0" w:color="auto"/>
                        <w:right w:val="none" w:sz="0" w:space="0" w:color="auto"/>
                      </w:divBdr>
                    </w:div>
                  </w:divsChild>
                </w:div>
                <w:div w:id="886141580">
                  <w:marLeft w:val="0"/>
                  <w:marRight w:val="0"/>
                  <w:marTop w:val="0"/>
                  <w:marBottom w:val="0"/>
                  <w:divBdr>
                    <w:top w:val="none" w:sz="0" w:space="0" w:color="auto"/>
                    <w:left w:val="none" w:sz="0" w:space="0" w:color="auto"/>
                    <w:bottom w:val="none" w:sz="0" w:space="0" w:color="auto"/>
                    <w:right w:val="none" w:sz="0" w:space="0" w:color="auto"/>
                  </w:divBdr>
                  <w:divsChild>
                    <w:div w:id="1576014167">
                      <w:marLeft w:val="0"/>
                      <w:marRight w:val="0"/>
                      <w:marTop w:val="0"/>
                      <w:marBottom w:val="0"/>
                      <w:divBdr>
                        <w:top w:val="none" w:sz="0" w:space="0" w:color="auto"/>
                        <w:left w:val="none" w:sz="0" w:space="0" w:color="auto"/>
                        <w:bottom w:val="none" w:sz="0" w:space="0" w:color="auto"/>
                        <w:right w:val="none" w:sz="0" w:space="0" w:color="auto"/>
                      </w:divBdr>
                    </w:div>
                  </w:divsChild>
                </w:div>
                <w:div w:id="886180670">
                  <w:marLeft w:val="0"/>
                  <w:marRight w:val="0"/>
                  <w:marTop w:val="0"/>
                  <w:marBottom w:val="0"/>
                  <w:divBdr>
                    <w:top w:val="none" w:sz="0" w:space="0" w:color="auto"/>
                    <w:left w:val="none" w:sz="0" w:space="0" w:color="auto"/>
                    <w:bottom w:val="none" w:sz="0" w:space="0" w:color="auto"/>
                    <w:right w:val="none" w:sz="0" w:space="0" w:color="auto"/>
                  </w:divBdr>
                  <w:divsChild>
                    <w:div w:id="1626616410">
                      <w:marLeft w:val="0"/>
                      <w:marRight w:val="0"/>
                      <w:marTop w:val="0"/>
                      <w:marBottom w:val="0"/>
                      <w:divBdr>
                        <w:top w:val="none" w:sz="0" w:space="0" w:color="auto"/>
                        <w:left w:val="none" w:sz="0" w:space="0" w:color="auto"/>
                        <w:bottom w:val="none" w:sz="0" w:space="0" w:color="auto"/>
                        <w:right w:val="none" w:sz="0" w:space="0" w:color="auto"/>
                      </w:divBdr>
                    </w:div>
                  </w:divsChild>
                </w:div>
                <w:div w:id="929192963">
                  <w:marLeft w:val="0"/>
                  <w:marRight w:val="0"/>
                  <w:marTop w:val="0"/>
                  <w:marBottom w:val="0"/>
                  <w:divBdr>
                    <w:top w:val="none" w:sz="0" w:space="0" w:color="auto"/>
                    <w:left w:val="none" w:sz="0" w:space="0" w:color="auto"/>
                    <w:bottom w:val="none" w:sz="0" w:space="0" w:color="auto"/>
                    <w:right w:val="none" w:sz="0" w:space="0" w:color="auto"/>
                  </w:divBdr>
                  <w:divsChild>
                    <w:div w:id="481701449">
                      <w:marLeft w:val="0"/>
                      <w:marRight w:val="0"/>
                      <w:marTop w:val="0"/>
                      <w:marBottom w:val="0"/>
                      <w:divBdr>
                        <w:top w:val="none" w:sz="0" w:space="0" w:color="auto"/>
                        <w:left w:val="none" w:sz="0" w:space="0" w:color="auto"/>
                        <w:bottom w:val="none" w:sz="0" w:space="0" w:color="auto"/>
                        <w:right w:val="none" w:sz="0" w:space="0" w:color="auto"/>
                      </w:divBdr>
                    </w:div>
                  </w:divsChild>
                </w:div>
                <w:div w:id="972638901">
                  <w:marLeft w:val="0"/>
                  <w:marRight w:val="0"/>
                  <w:marTop w:val="0"/>
                  <w:marBottom w:val="0"/>
                  <w:divBdr>
                    <w:top w:val="none" w:sz="0" w:space="0" w:color="auto"/>
                    <w:left w:val="none" w:sz="0" w:space="0" w:color="auto"/>
                    <w:bottom w:val="none" w:sz="0" w:space="0" w:color="auto"/>
                    <w:right w:val="none" w:sz="0" w:space="0" w:color="auto"/>
                  </w:divBdr>
                  <w:divsChild>
                    <w:div w:id="2004578977">
                      <w:marLeft w:val="0"/>
                      <w:marRight w:val="0"/>
                      <w:marTop w:val="0"/>
                      <w:marBottom w:val="0"/>
                      <w:divBdr>
                        <w:top w:val="none" w:sz="0" w:space="0" w:color="auto"/>
                        <w:left w:val="none" w:sz="0" w:space="0" w:color="auto"/>
                        <w:bottom w:val="none" w:sz="0" w:space="0" w:color="auto"/>
                        <w:right w:val="none" w:sz="0" w:space="0" w:color="auto"/>
                      </w:divBdr>
                    </w:div>
                  </w:divsChild>
                </w:div>
                <w:div w:id="1075124421">
                  <w:marLeft w:val="0"/>
                  <w:marRight w:val="0"/>
                  <w:marTop w:val="0"/>
                  <w:marBottom w:val="0"/>
                  <w:divBdr>
                    <w:top w:val="none" w:sz="0" w:space="0" w:color="auto"/>
                    <w:left w:val="none" w:sz="0" w:space="0" w:color="auto"/>
                    <w:bottom w:val="none" w:sz="0" w:space="0" w:color="auto"/>
                    <w:right w:val="none" w:sz="0" w:space="0" w:color="auto"/>
                  </w:divBdr>
                  <w:divsChild>
                    <w:div w:id="920524880">
                      <w:marLeft w:val="0"/>
                      <w:marRight w:val="0"/>
                      <w:marTop w:val="0"/>
                      <w:marBottom w:val="0"/>
                      <w:divBdr>
                        <w:top w:val="none" w:sz="0" w:space="0" w:color="auto"/>
                        <w:left w:val="none" w:sz="0" w:space="0" w:color="auto"/>
                        <w:bottom w:val="none" w:sz="0" w:space="0" w:color="auto"/>
                        <w:right w:val="none" w:sz="0" w:space="0" w:color="auto"/>
                      </w:divBdr>
                    </w:div>
                  </w:divsChild>
                </w:div>
                <w:div w:id="1178350410">
                  <w:marLeft w:val="0"/>
                  <w:marRight w:val="0"/>
                  <w:marTop w:val="0"/>
                  <w:marBottom w:val="0"/>
                  <w:divBdr>
                    <w:top w:val="none" w:sz="0" w:space="0" w:color="auto"/>
                    <w:left w:val="none" w:sz="0" w:space="0" w:color="auto"/>
                    <w:bottom w:val="none" w:sz="0" w:space="0" w:color="auto"/>
                    <w:right w:val="none" w:sz="0" w:space="0" w:color="auto"/>
                  </w:divBdr>
                  <w:divsChild>
                    <w:div w:id="1561284445">
                      <w:marLeft w:val="0"/>
                      <w:marRight w:val="0"/>
                      <w:marTop w:val="0"/>
                      <w:marBottom w:val="0"/>
                      <w:divBdr>
                        <w:top w:val="none" w:sz="0" w:space="0" w:color="auto"/>
                        <w:left w:val="none" w:sz="0" w:space="0" w:color="auto"/>
                        <w:bottom w:val="none" w:sz="0" w:space="0" w:color="auto"/>
                        <w:right w:val="none" w:sz="0" w:space="0" w:color="auto"/>
                      </w:divBdr>
                    </w:div>
                  </w:divsChild>
                </w:div>
                <w:div w:id="1363479995">
                  <w:marLeft w:val="0"/>
                  <w:marRight w:val="0"/>
                  <w:marTop w:val="0"/>
                  <w:marBottom w:val="0"/>
                  <w:divBdr>
                    <w:top w:val="none" w:sz="0" w:space="0" w:color="auto"/>
                    <w:left w:val="none" w:sz="0" w:space="0" w:color="auto"/>
                    <w:bottom w:val="none" w:sz="0" w:space="0" w:color="auto"/>
                    <w:right w:val="none" w:sz="0" w:space="0" w:color="auto"/>
                  </w:divBdr>
                  <w:divsChild>
                    <w:div w:id="656306052">
                      <w:marLeft w:val="0"/>
                      <w:marRight w:val="0"/>
                      <w:marTop w:val="0"/>
                      <w:marBottom w:val="0"/>
                      <w:divBdr>
                        <w:top w:val="none" w:sz="0" w:space="0" w:color="auto"/>
                        <w:left w:val="none" w:sz="0" w:space="0" w:color="auto"/>
                        <w:bottom w:val="none" w:sz="0" w:space="0" w:color="auto"/>
                        <w:right w:val="none" w:sz="0" w:space="0" w:color="auto"/>
                      </w:divBdr>
                    </w:div>
                  </w:divsChild>
                </w:div>
                <w:div w:id="1548374498">
                  <w:marLeft w:val="0"/>
                  <w:marRight w:val="0"/>
                  <w:marTop w:val="0"/>
                  <w:marBottom w:val="0"/>
                  <w:divBdr>
                    <w:top w:val="none" w:sz="0" w:space="0" w:color="auto"/>
                    <w:left w:val="none" w:sz="0" w:space="0" w:color="auto"/>
                    <w:bottom w:val="none" w:sz="0" w:space="0" w:color="auto"/>
                    <w:right w:val="none" w:sz="0" w:space="0" w:color="auto"/>
                  </w:divBdr>
                  <w:divsChild>
                    <w:div w:id="938100994">
                      <w:marLeft w:val="0"/>
                      <w:marRight w:val="0"/>
                      <w:marTop w:val="0"/>
                      <w:marBottom w:val="0"/>
                      <w:divBdr>
                        <w:top w:val="none" w:sz="0" w:space="0" w:color="auto"/>
                        <w:left w:val="none" w:sz="0" w:space="0" w:color="auto"/>
                        <w:bottom w:val="none" w:sz="0" w:space="0" w:color="auto"/>
                        <w:right w:val="none" w:sz="0" w:space="0" w:color="auto"/>
                      </w:divBdr>
                    </w:div>
                  </w:divsChild>
                </w:div>
                <w:div w:id="1748336538">
                  <w:marLeft w:val="0"/>
                  <w:marRight w:val="0"/>
                  <w:marTop w:val="0"/>
                  <w:marBottom w:val="0"/>
                  <w:divBdr>
                    <w:top w:val="none" w:sz="0" w:space="0" w:color="auto"/>
                    <w:left w:val="none" w:sz="0" w:space="0" w:color="auto"/>
                    <w:bottom w:val="none" w:sz="0" w:space="0" w:color="auto"/>
                    <w:right w:val="none" w:sz="0" w:space="0" w:color="auto"/>
                  </w:divBdr>
                  <w:divsChild>
                    <w:div w:id="504520416">
                      <w:marLeft w:val="0"/>
                      <w:marRight w:val="0"/>
                      <w:marTop w:val="0"/>
                      <w:marBottom w:val="0"/>
                      <w:divBdr>
                        <w:top w:val="none" w:sz="0" w:space="0" w:color="auto"/>
                        <w:left w:val="none" w:sz="0" w:space="0" w:color="auto"/>
                        <w:bottom w:val="none" w:sz="0" w:space="0" w:color="auto"/>
                        <w:right w:val="none" w:sz="0" w:space="0" w:color="auto"/>
                      </w:divBdr>
                    </w:div>
                  </w:divsChild>
                </w:div>
                <w:div w:id="2136942247">
                  <w:marLeft w:val="0"/>
                  <w:marRight w:val="0"/>
                  <w:marTop w:val="0"/>
                  <w:marBottom w:val="0"/>
                  <w:divBdr>
                    <w:top w:val="none" w:sz="0" w:space="0" w:color="auto"/>
                    <w:left w:val="none" w:sz="0" w:space="0" w:color="auto"/>
                    <w:bottom w:val="none" w:sz="0" w:space="0" w:color="auto"/>
                    <w:right w:val="none" w:sz="0" w:space="0" w:color="auto"/>
                  </w:divBdr>
                  <w:divsChild>
                    <w:div w:id="13127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2351">
          <w:marLeft w:val="0"/>
          <w:marRight w:val="0"/>
          <w:marTop w:val="0"/>
          <w:marBottom w:val="0"/>
          <w:divBdr>
            <w:top w:val="none" w:sz="0" w:space="0" w:color="auto"/>
            <w:left w:val="none" w:sz="0" w:space="0" w:color="auto"/>
            <w:bottom w:val="none" w:sz="0" w:space="0" w:color="auto"/>
            <w:right w:val="none" w:sz="0" w:space="0" w:color="auto"/>
          </w:divBdr>
        </w:div>
        <w:div w:id="273055369">
          <w:marLeft w:val="0"/>
          <w:marRight w:val="0"/>
          <w:marTop w:val="0"/>
          <w:marBottom w:val="0"/>
          <w:divBdr>
            <w:top w:val="none" w:sz="0" w:space="0" w:color="auto"/>
            <w:left w:val="none" w:sz="0" w:space="0" w:color="auto"/>
            <w:bottom w:val="none" w:sz="0" w:space="0" w:color="auto"/>
            <w:right w:val="none" w:sz="0" w:space="0" w:color="auto"/>
          </w:divBdr>
        </w:div>
        <w:div w:id="277839788">
          <w:marLeft w:val="0"/>
          <w:marRight w:val="0"/>
          <w:marTop w:val="0"/>
          <w:marBottom w:val="0"/>
          <w:divBdr>
            <w:top w:val="none" w:sz="0" w:space="0" w:color="auto"/>
            <w:left w:val="none" w:sz="0" w:space="0" w:color="auto"/>
            <w:bottom w:val="none" w:sz="0" w:space="0" w:color="auto"/>
            <w:right w:val="none" w:sz="0" w:space="0" w:color="auto"/>
          </w:divBdr>
        </w:div>
        <w:div w:id="318968762">
          <w:marLeft w:val="0"/>
          <w:marRight w:val="0"/>
          <w:marTop w:val="0"/>
          <w:marBottom w:val="0"/>
          <w:divBdr>
            <w:top w:val="none" w:sz="0" w:space="0" w:color="auto"/>
            <w:left w:val="none" w:sz="0" w:space="0" w:color="auto"/>
            <w:bottom w:val="none" w:sz="0" w:space="0" w:color="auto"/>
            <w:right w:val="none" w:sz="0" w:space="0" w:color="auto"/>
          </w:divBdr>
        </w:div>
        <w:div w:id="319816180">
          <w:marLeft w:val="0"/>
          <w:marRight w:val="0"/>
          <w:marTop w:val="0"/>
          <w:marBottom w:val="0"/>
          <w:divBdr>
            <w:top w:val="none" w:sz="0" w:space="0" w:color="auto"/>
            <w:left w:val="none" w:sz="0" w:space="0" w:color="auto"/>
            <w:bottom w:val="none" w:sz="0" w:space="0" w:color="auto"/>
            <w:right w:val="none" w:sz="0" w:space="0" w:color="auto"/>
          </w:divBdr>
        </w:div>
        <w:div w:id="324014137">
          <w:marLeft w:val="0"/>
          <w:marRight w:val="0"/>
          <w:marTop w:val="0"/>
          <w:marBottom w:val="0"/>
          <w:divBdr>
            <w:top w:val="none" w:sz="0" w:space="0" w:color="auto"/>
            <w:left w:val="none" w:sz="0" w:space="0" w:color="auto"/>
            <w:bottom w:val="none" w:sz="0" w:space="0" w:color="auto"/>
            <w:right w:val="none" w:sz="0" w:space="0" w:color="auto"/>
          </w:divBdr>
        </w:div>
        <w:div w:id="330567776">
          <w:marLeft w:val="0"/>
          <w:marRight w:val="0"/>
          <w:marTop w:val="0"/>
          <w:marBottom w:val="0"/>
          <w:divBdr>
            <w:top w:val="none" w:sz="0" w:space="0" w:color="auto"/>
            <w:left w:val="none" w:sz="0" w:space="0" w:color="auto"/>
            <w:bottom w:val="none" w:sz="0" w:space="0" w:color="auto"/>
            <w:right w:val="none" w:sz="0" w:space="0" w:color="auto"/>
          </w:divBdr>
        </w:div>
        <w:div w:id="340200475">
          <w:marLeft w:val="0"/>
          <w:marRight w:val="0"/>
          <w:marTop w:val="0"/>
          <w:marBottom w:val="0"/>
          <w:divBdr>
            <w:top w:val="none" w:sz="0" w:space="0" w:color="auto"/>
            <w:left w:val="none" w:sz="0" w:space="0" w:color="auto"/>
            <w:bottom w:val="none" w:sz="0" w:space="0" w:color="auto"/>
            <w:right w:val="none" w:sz="0" w:space="0" w:color="auto"/>
          </w:divBdr>
          <w:divsChild>
            <w:div w:id="216361458">
              <w:marLeft w:val="-75"/>
              <w:marRight w:val="0"/>
              <w:marTop w:val="30"/>
              <w:marBottom w:val="30"/>
              <w:divBdr>
                <w:top w:val="none" w:sz="0" w:space="0" w:color="auto"/>
                <w:left w:val="none" w:sz="0" w:space="0" w:color="auto"/>
                <w:bottom w:val="none" w:sz="0" w:space="0" w:color="auto"/>
                <w:right w:val="none" w:sz="0" w:space="0" w:color="auto"/>
              </w:divBdr>
              <w:divsChild>
                <w:div w:id="12539834">
                  <w:marLeft w:val="0"/>
                  <w:marRight w:val="0"/>
                  <w:marTop w:val="0"/>
                  <w:marBottom w:val="0"/>
                  <w:divBdr>
                    <w:top w:val="none" w:sz="0" w:space="0" w:color="auto"/>
                    <w:left w:val="none" w:sz="0" w:space="0" w:color="auto"/>
                    <w:bottom w:val="none" w:sz="0" w:space="0" w:color="auto"/>
                    <w:right w:val="none" w:sz="0" w:space="0" w:color="auto"/>
                  </w:divBdr>
                  <w:divsChild>
                    <w:div w:id="1562213191">
                      <w:marLeft w:val="0"/>
                      <w:marRight w:val="0"/>
                      <w:marTop w:val="0"/>
                      <w:marBottom w:val="0"/>
                      <w:divBdr>
                        <w:top w:val="none" w:sz="0" w:space="0" w:color="auto"/>
                        <w:left w:val="none" w:sz="0" w:space="0" w:color="auto"/>
                        <w:bottom w:val="none" w:sz="0" w:space="0" w:color="auto"/>
                        <w:right w:val="none" w:sz="0" w:space="0" w:color="auto"/>
                      </w:divBdr>
                    </w:div>
                  </w:divsChild>
                </w:div>
                <w:div w:id="17515042">
                  <w:marLeft w:val="0"/>
                  <w:marRight w:val="0"/>
                  <w:marTop w:val="0"/>
                  <w:marBottom w:val="0"/>
                  <w:divBdr>
                    <w:top w:val="none" w:sz="0" w:space="0" w:color="auto"/>
                    <w:left w:val="none" w:sz="0" w:space="0" w:color="auto"/>
                    <w:bottom w:val="none" w:sz="0" w:space="0" w:color="auto"/>
                    <w:right w:val="none" w:sz="0" w:space="0" w:color="auto"/>
                  </w:divBdr>
                  <w:divsChild>
                    <w:div w:id="2118714728">
                      <w:marLeft w:val="0"/>
                      <w:marRight w:val="0"/>
                      <w:marTop w:val="0"/>
                      <w:marBottom w:val="0"/>
                      <w:divBdr>
                        <w:top w:val="none" w:sz="0" w:space="0" w:color="auto"/>
                        <w:left w:val="none" w:sz="0" w:space="0" w:color="auto"/>
                        <w:bottom w:val="none" w:sz="0" w:space="0" w:color="auto"/>
                        <w:right w:val="none" w:sz="0" w:space="0" w:color="auto"/>
                      </w:divBdr>
                    </w:div>
                  </w:divsChild>
                </w:div>
                <w:div w:id="304971187">
                  <w:marLeft w:val="0"/>
                  <w:marRight w:val="0"/>
                  <w:marTop w:val="0"/>
                  <w:marBottom w:val="0"/>
                  <w:divBdr>
                    <w:top w:val="none" w:sz="0" w:space="0" w:color="auto"/>
                    <w:left w:val="none" w:sz="0" w:space="0" w:color="auto"/>
                    <w:bottom w:val="none" w:sz="0" w:space="0" w:color="auto"/>
                    <w:right w:val="none" w:sz="0" w:space="0" w:color="auto"/>
                  </w:divBdr>
                  <w:divsChild>
                    <w:div w:id="574703374">
                      <w:marLeft w:val="0"/>
                      <w:marRight w:val="0"/>
                      <w:marTop w:val="0"/>
                      <w:marBottom w:val="0"/>
                      <w:divBdr>
                        <w:top w:val="none" w:sz="0" w:space="0" w:color="auto"/>
                        <w:left w:val="none" w:sz="0" w:space="0" w:color="auto"/>
                        <w:bottom w:val="none" w:sz="0" w:space="0" w:color="auto"/>
                        <w:right w:val="none" w:sz="0" w:space="0" w:color="auto"/>
                      </w:divBdr>
                    </w:div>
                  </w:divsChild>
                </w:div>
                <w:div w:id="454300279">
                  <w:marLeft w:val="0"/>
                  <w:marRight w:val="0"/>
                  <w:marTop w:val="0"/>
                  <w:marBottom w:val="0"/>
                  <w:divBdr>
                    <w:top w:val="none" w:sz="0" w:space="0" w:color="auto"/>
                    <w:left w:val="none" w:sz="0" w:space="0" w:color="auto"/>
                    <w:bottom w:val="none" w:sz="0" w:space="0" w:color="auto"/>
                    <w:right w:val="none" w:sz="0" w:space="0" w:color="auto"/>
                  </w:divBdr>
                  <w:divsChild>
                    <w:div w:id="1897398690">
                      <w:marLeft w:val="0"/>
                      <w:marRight w:val="0"/>
                      <w:marTop w:val="0"/>
                      <w:marBottom w:val="0"/>
                      <w:divBdr>
                        <w:top w:val="none" w:sz="0" w:space="0" w:color="auto"/>
                        <w:left w:val="none" w:sz="0" w:space="0" w:color="auto"/>
                        <w:bottom w:val="none" w:sz="0" w:space="0" w:color="auto"/>
                        <w:right w:val="none" w:sz="0" w:space="0" w:color="auto"/>
                      </w:divBdr>
                    </w:div>
                  </w:divsChild>
                </w:div>
                <w:div w:id="877356638">
                  <w:marLeft w:val="0"/>
                  <w:marRight w:val="0"/>
                  <w:marTop w:val="0"/>
                  <w:marBottom w:val="0"/>
                  <w:divBdr>
                    <w:top w:val="none" w:sz="0" w:space="0" w:color="auto"/>
                    <w:left w:val="none" w:sz="0" w:space="0" w:color="auto"/>
                    <w:bottom w:val="none" w:sz="0" w:space="0" w:color="auto"/>
                    <w:right w:val="none" w:sz="0" w:space="0" w:color="auto"/>
                  </w:divBdr>
                  <w:divsChild>
                    <w:div w:id="1012948933">
                      <w:marLeft w:val="0"/>
                      <w:marRight w:val="0"/>
                      <w:marTop w:val="0"/>
                      <w:marBottom w:val="0"/>
                      <w:divBdr>
                        <w:top w:val="none" w:sz="0" w:space="0" w:color="auto"/>
                        <w:left w:val="none" w:sz="0" w:space="0" w:color="auto"/>
                        <w:bottom w:val="none" w:sz="0" w:space="0" w:color="auto"/>
                        <w:right w:val="none" w:sz="0" w:space="0" w:color="auto"/>
                      </w:divBdr>
                    </w:div>
                  </w:divsChild>
                </w:div>
                <w:div w:id="1064378093">
                  <w:marLeft w:val="0"/>
                  <w:marRight w:val="0"/>
                  <w:marTop w:val="0"/>
                  <w:marBottom w:val="0"/>
                  <w:divBdr>
                    <w:top w:val="none" w:sz="0" w:space="0" w:color="auto"/>
                    <w:left w:val="none" w:sz="0" w:space="0" w:color="auto"/>
                    <w:bottom w:val="none" w:sz="0" w:space="0" w:color="auto"/>
                    <w:right w:val="none" w:sz="0" w:space="0" w:color="auto"/>
                  </w:divBdr>
                  <w:divsChild>
                    <w:div w:id="1642613780">
                      <w:marLeft w:val="0"/>
                      <w:marRight w:val="0"/>
                      <w:marTop w:val="0"/>
                      <w:marBottom w:val="0"/>
                      <w:divBdr>
                        <w:top w:val="none" w:sz="0" w:space="0" w:color="auto"/>
                        <w:left w:val="none" w:sz="0" w:space="0" w:color="auto"/>
                        <w:bottom w:val="none" w:sz="0" w:space="0" w:color="auto"/>
                        <w:right w:val="none" w:sz="0" w:space="0" w:color="auto"/>
                      </w:divBdr>
                    </w:div>
                  </w:divsChild>
                </w:div>
                <w:div w:id="1641878829">
                  <w:marLeft w:val="0"/>
                  <w:marRight w:val="0"/>
                  <w:marTop w:val="0"/>
                  <w:marBottom w:val="0"/>
                  <w:divBdr>
                    <w:top w:val="none" w:sz="0" w:space="0" w:color="auto"/>
                    <w:left w:val="none" w:sz="0" w:space="0" w:color="auto"/>
                    <w:bottom w:val="none" w:sz="0" w:space="0" w:color="auto"/>
                    <w:right w:val="none" w:sz="0" w:space="0" w:color="auto"/>
                  </w:divBdr>
                  <w:divsChild>
                    <w:div w:id="1106003592">
                      <w:marLeft w:val="0"/>
                      <w:marRight w:val="0"/>
                      <w:marTop w:val="0"/>
                      <w:marBottom w:val="0"/>
                      <w:divBdr>
                        <w:top w:val="none" w:sz="0" w:space="0" w:color="auto"/>
                        <w:left w:val="none" w:sz="0" w:space="0" w:color="auto"/>
                        <w:bottom w:val="none" w:sz="0" w:space="0" w:color="auto"/>
                        <w:right w:val="none" w:sz="0" w:space="0" w:color="auto"/>
                      </w:divBdr>
                    </w:div>
                  </w:divsChild>
                </w:div>
                <w:div w:id="2110614701">
                  <w:marLeft w:val="0"/>
                  <w:marRight w:val="0"/>
                  <w:marTop w:val="0"/>
                  <w:marBottom w:val="0"/>
                  <w:divBdr>
                    <w:top w:val="none" w:sz="0" w:space="0" w:color="auto"/>
                    <w:left w:val="none" w:sz="0" w:space="0" w:color="auto"/>
                    <w:bottom w:val="none" w:sz="0" w:space="0" w:color="auto"/>
                    <w:right w:val="none" w:sz="0" w:space="0" w:color="auto"/>
                  </w:divBdr>
                  <w:divsChild>
                    <w:div w:id="160441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6822">
          <w:marLeft w:val="0"/>
          <w:marRight w:val="0"/>
          <w:marTop w:val="0"/>
          <w:marBottom w:val="0"/>
          <w:divBdr>
            <w:top w:val="none" w:sz="0" w:space="0" w:color="auto"/>
            <w:left w:val="none" w:sz="0" w:space="0" w:color="auto"/>
            <w:bottom w:val="none" w:sz="0" w:space="0" w:color="auto"/>
            <w:right w:val="none" w:sz="0" w:space="0" w:color="auto"/>
          </w:divBdr>
          <w:divsChild>
            <w:div w:id="19623064">
              <w:marLeft w:val="0"/>
              <w:marRight w:val="0"/>
              <w:marTop w:val="0"/>
              <w:marBottom w:val="0"/>
              <w:divBdr>
                <w:top w:val="none" w:sz="0" w:space="0" w:color="auto"/>
                <w:left w:val="none" w:sz="0" w:space="0" w:color="auto"/>
                <w:bottom w:val="none" w:sz="0" w:space="0" w:color="auto"/>
                <w:right w:val="none" w:sz="0" w:space="0" w:color="auto"/>
              </w:divBdr>
            </w:div>
            <w:div w:id="32275623">
              <w:marLeft w:val="0"/>
              <w:marRight w:val="0"/>
              <w:marTop w:val="0"/>
              <w:marBottom w:val="0"/>
              <w:divBdr>
                <w:top w:val="none" w:sz="0" w:space="0" w:color="auto"/>
                <w:left w:val="none" w:sz="0" w:space="0" w:color="auto"/>
                <w:bottom w:val="none" w:sz="0" w:space="0" w:color="auto"/>
                <w:right w:val="none" w:sz="0" w:space="0" w:color="auto"/>
              </w:divBdr>
            </w:div>
            <w:div w:id="44763540">
              <w:marLeft w:val="0"/>
              <w:marRight w:val="0"/>
              <w:marTop w:val="0"/>
              <w:marBottom w:val="0"/>
              <w:divBdr>
                <w:top w:val="none" w:sz="0" w:space="0" w:color="auto"/>
                <w:left w:val="none" w:sz="0" w:space="0" w:color="auto"/>
                <w:bottom w:val="none" w:sz="0" w:space="0" w:color="auto"/>
                <w:right w:val="none" w:sz="0" w:space="0" w:color="auto"/>
              </w:divBdr>
            </w:div>
            <w:div w:id="473181600">
              <w:marLeft w:val="0"/>
              <w:marRight w:val="0"/>
              <w:marTop w:val="0"/>
              <w:marBottom w:val="0"/>
              <w:divBdr>
                <w:top w:val="none" w:sz="0" w:space="0" w:color="auto"/>
                <w:left w:val="none" w:sz="0" w:space="0" w:color="auto"/>
                <w:bottom w:val="none" w:sz="0" w:space="0" w:color="auto"/>
                <w:right w:val="none" w:sz="0" w:space="0" w:color="auto"/>
              </w:divBdr>
            </w:div>
            <w:div w:id="581380303">
              <w:marLeft w:val="0"/>
              <w:marRight w:val="0"/>
              <w:marTop w:val="0"/>
              <w:marBottom w:val="0"/>
              <w:divBdr>
                <w:top w:val="none" w:sz="0" w:space="0" w:color="auto"/>
                <w:left w:val="none" w:sz="0" w:space="0" w:color="auto"/>
                <w:bottom w:val="none" w:sz="0" w:space="0" w:color="auto"/>
                <w:right w:val="none" w:sz="0" w:space="0" w:color="auto"/>
              </w:divBdr>
            </w:div>
            <w:div w:id="593247147">
              <w:marLeft w:val="0"/>
              <w:marRight w:val="0"/>
              <w:marTop w:val="0"/>
              <w:marBottom w:val="0"/>
              <w:divBdr>
                <w:top w:val="none" w:sz="0" w:space="0" w:color="auto"/>
                <w:left w:val="none" w:sz="0" w:space="0" w:color="auto"/>
                <w:bottom w:val="none" w:sz="0" w:space="0" w:color="auto"/>
                <w:right w:val="none" w:sz="0" w:space="0" w:color="auto"/>
              </w:divBdr>
            </w:div>
            <w:div w:id="735081349">
              <w:marLeft w:val="0"/>
              <w:marRight w:val="0"/>
              <w:marTop w:val="0"/>
              <w:marBottom w:val="0"/>
              <w:divBdr>
                <w:top w:val="none" w:sz="0" w:space="0" w:color="auto"/>
                <w:left w:val="none" w:sz="0" w:space="0" w:color="auto"/>
                <w:bottom w:val="none" w:sz="0" w:space="0" w:color="auto"/>
                <w:right w:val="none" w:sz="0" w:space="0" w:color="auto"/>
              </w:divBdr>
            </w:div>
            <w:div w:id="770858400">
              <w:marLeft w:val="0"/>
              <w:marRight w:val="0"/>
              <w:marTop w:val="0"/>
              <w:marBottom w:val="0"/>
              <w:divBdr>
                <w:top w:val="none" w:sz="0" w:space="0" w:color="auto"/>
                <w:left w:val="none" w:sz="0" w:space="0" w:color="auto"/>
                <w:bottom w:val="none" w:sz="0" w:space="0" w:color="auto"/>
                <w:right w:val="none" w:sz="0" w:space="0" w:color="auto"/>
              </w:divBdr>
            </w:div>
            <w:div w:id="818300961">
              <w:marLeft w:val="0"/>
              <w:marRight w:val="0"/>
              <w:marTop w:val="0"/>
              <w:marBottom w:val="0"/>
              <w:divBdr>
                <w:top w:val="none" w:sz="0" w:space="0" w:color="auto"/>
                <w:left w:val="none" w:sz="0" w:space="0" w:color="auto"/>
                <w:bottom w:val="none" w:sz="0" w:space="0" w:color="auto"/>
                <w:right w:val="none" w:sz="0" w:space="0" w:color="auto"/>
              </w:divBdr>
            </w:div>
            <w:div w:id="830098487">
              <w:marLeft w:val="0"/>
              <w:marRight w:val="0"/>
              <w:marTop w:val="0"/>
              <w:marBottom w:val="0"/>
              <w:divBdr>
                <w:top w:val="none" w:sz="0" w:space="0" w:color="auto"/>
                <w:left w:val="none" w:sz="0" w:space="0" w:color="auto"/>
                <w:bottom w:val="none" w:sz="0" w:space="0" w:color="auto"/>
                <w:right w:val="none" w:sz="0" w:space="0" w:color="auto"/>
              </w:divBdr>
            </w:div>
            <w:div w:id="859508617">
              <w:marLeft w:val="0"/>
              <w:marRight w:val="0"/>
              <w:marTop w:val="0"/>
              <w:marBottom w:val="0"/>
              <w:divBdr>
                <w:top w:val="none" w:sz="0" w:space="0" w:color="auto"/>
                <w:left w:val="none" w:sz="0" w:space="0" w:color="auto"/>
                <w:bottom w:val="none" w:sz="0" w:space="0" w:color="auto"/>
                <w:right w:val="none" w:sz="0" w:space="0" w:color="auto"/>
              </w:divBdr>
            </w:div>
            <w:div w:id="940801823">
              <w:marLeft w:val="0"/>
              <w:marRight w:val="0"/>
              <w:marTop w:val="0"/>
              <w:marBottom w:val="0"/>
              <w:divBdr>
                <w:top w:val="none" w:sz="0" w:space="0" w:color="auto"/>
                <w:left w:val="none" w:sz="0" w:space="0" w:color="auto"/>
                <w:bottom w:val="none" w:sz="0" w:space="0" w:color="auto"/>
                <w:right w:val="none" w:sz="0" w:space="0" w:color="auto"/>
              </w:divBdr>
            </w:div>
            <w:div w:id="1551499400">
              <w:marLeft w:val="0"/>
              <w:marRight w:val="0"/>
              <w:marTop w:val="0"/>
              <w:marBottom w:val="0"/>
              <w:divBdr>
                <w:top w:val="none" w:sz="0" w:space="0" w:color="auto"/>
                <w:left w:val="none" w:sz="0" w:space="0" w:color="auto"/>
                <w:bottom w:val="none" w:sz="0" w:space="0" w:color="auto"/>
                <w:right w:val="none" w:sz="0" w:space="0" w:color="auto"/>
              </w:divBdr>
            </w:div>
            <w:div w:id="1594194862">
              <w:marLeft w:val="0"/>
              <w:marRight w:val="0"/>
              <w:marTop w:val="0"/>
              <w:marBottom w:val="0"/>
              <w:divBdr>
                <w:top w:val="none" w:sz="0" w:space="0" w:color="auto"/>
                <w:left w:val="none" w:sz="0" w:space="0" w:color="auto"/>
                <w:bottom w:val="none" w:sz="0" w:space="0" w:color="auto"/>
                <w:right w:val="none" w:sz="0" w:space="0" w:color="auto"/>
              </w:divBdr>
            </w:div>
            <w:div w:id="1742365920">
              <w:marLeft w:val="0"/>
              <w:marRight w:val="0"/>
              <w:marTop w:val="0"/>
              <w:marBottom w:val="0"/>
              <w:divBdr>
                <w:top w:val="none" w:sz="0" w:space="0" w:color="auto"/>
                <w:left w:val="none" w:sz="0" w:space="0" w:color="auto"/>
                <w:bottom w:val="none" w:sz="0" w:space="0" w:color="auto"/>
                <w:right w:val="none" w:sz="0" w:space="0" w:color="auto"/>
              </w:divBdr>
            </w:div>
            <w:div w:id="1799034694">
              <w:marLeft w:val="0"/>
              <w:marRight w:val="0"/>
              <w:marTop w:val="0"/>
              <w:marBottom w:val="0"/>
              <w:divBdr>
                <w:top w:val="none" w:sz="0" w:space="0" w:color="auto"/>
                <w:left w:val="none" w:sz="0" w:space="0" w:color="auto"/>
                <w:bottom w:val="none" w:sz="0" w:space="0" w:color="auto"/>
                <w:right w:val="none" w:sz="0" w:space="0" w:color="auto"/>
              </w:divBdr>
            </w:div>
            <w:div w:id="1893954762">
              <w:marLeft w:val="0"/>
              <w:marRight w:val="0"/>
              <w:marTop w:val="0"/>
              <w:marBottom w:val="0"/>
              <w:divBdr>
                <w:top w:val="none" w:sz="0" w:space="0" w:color="auto"/>
                <w:left w:val="none" w:sz="0" w:space="0" w:color="auto"/>
                <w:bottom w:val="none" w:sz="0" w:space="0" w:color="auto"/>
                <w:right w:val="none" w:sz="0" w:space="0" w:color="auto"/>
              </w:divBdr>
            </w:div>
            <w:div w:id="1968195001">
              <w:marLeft w:val="0"/>
              <w:marRight w:val="0"/>
              <w:marTop w:val="0"/>
              <w:marBottom w:val="0"/>
              <w:divBdr>
                <w:top w:val="none" w:sz="0" w:space="0" w:color="auto"/>
                <w:left w:val="none" w:sz="0" w:space="0" w:color="auto"/>
                <w:bottom w:val="none" w:sz="0" w:space="0" w:color="auto"/>
                <w:right w:val="none" w:sz="0" w:space="0" w:color="auto"/>
              </w:divBdr>
            </w:div>
            <w:div w:id="2109110908">
              <w:marLeft w:val="0"/>
              <w:marRight w:val="0"/>
              <w:marTop w:val="0"/>
              <w:marBottom w:val="0"/>
              <w:divBdr>
                <w:top w:val="none" w:sz="0" w:space="0" w:color="auto"/>
                <w:left w:val="none" w:sz="0" w:space="0" w:color="auto"/>
                <w:bottom w:val="none" w:sz="0" w:space="0" w:color="auto"/>
                <w:right w:val="none" w:sz="0" w:space="0" w:color="auto"/>
              </w:divBdr>
            </w:div>
            <w:div w:id="2115587494">
              <w:marLeft w:val="0"/>
              <w:marRight w:val="0"/>
              <w:marTop w:val="0"/>
              <w:marBottom w:val="0"/>
              <w:divBdr>
                <w:top w:val="none" w:sz="0" w:space="0" w:color="auto"/>
                <w:left w:val="none" w:sz="0" w:space="0" w:color="auto"/>
                <w:bottom w:val="none" w:sz="0" w:space="0" w:color="auto"/>
                <w:right w:val="none" w:sz="0" w:space="0" w:color="auto"/>
              </w:divBdr>
            </w:div>
          </w:divsChild>
        </w:div>
        <w:div w:id="397827752">
          <w:marLeft w:val="0"/>
          <w:marRight w:val="0"/>
          <w:marTop w:val="0"/>
          <w:marBottom w:val="0"/>
          <w:divBdr>
            <w:top w:val="none" w:sz="0" w:space="0" w:color="auto"/>
            <w:left w:val="none" w:sz="0" w:space="0" w:color="auto"/>
            <w:bottom w:val="none" w:sz="0" w:space="0" w:color="auto"/>
            <w:right w:val="none" w:sz="0" w:space="0" w:color="auto"/>
          </w:divBdr>
        </w:div>
        <w:div w:id="399013940">
          <w:marLeft w:val="0"/>
          <w:marRight w:val="0"/>
          <w:marTop w:val="0"/>
          <w:marBottom w:val="0"/>
          <w:divBdr>
            <w:top w:val="none" w:sz="0" w:space="0" w:color="auto"/>
            <w:left w:val="none" w:sz="0" w:space="0" w:color="auto"/>
            <w:bottom w:val="none" w:sz="0" w:space="0" w:color="auto"/>
            <w:right w:val="none" w:sz="0" w:space="0" w:color="auto"/>
          </w:divBdr>
        </w:div>
        <w:div w:id="405151492">
          <w:marLeft w:val="0"/>
          <w:marRight w:val="0"/>
          <w:marTop w:val="0"/>
          <w:marBottom w:val="0"/>
          <w:divBdr>
            <w:top w:val="none" w:sz="0" w:space="0" w:color="auto"/>
            <w:left w:val="none" w:sz="0" w:space="0" w:color="auto"/>
            <w:bottom w:val="none" w:sz="0" w:space="0" w:color="auto"/>
            <w:right w:val="none" w:sz="0" w:space="0" w:color="auto"/>
          </w:divBdr>
          <w:divsChild>
            <w:div w:id="204871091">
              <w:marLeft w:val="0"/>
              <w:marRight w:val="0"/>
              <w:marTop w:val="0"/>
              <w:marBottom w:val="0"/>
              <w:divBdr>
                <w:top w:val="none" w:sz="0" w:space="0" w:color="auto"/>
                <w:left w:val="none" w:sz="0" w:space="0" w:color="auto"/>
                <w:bottom w:val="none" w:sz="0" w:space="0" w:color="auto"/>
                <w:right w:val="none" w:sz="0" w:space="0" w:color="auto"/>
              </w:divBdr>
            </w:div>
            <w:div w:id="558595285">
              <w:marLeft w:val="0"/>
              <w:marRight w:val="0"/>
              <w:marTop w:val="0"/>
              <w:marBottom w:val="0"/>
              <w:divBdr>
                <w:top w:val="none" w:sz="0" w:space="0" w:color="auto"/>
                <w:left w:val="none" w:sz="0" w:space="0" w:color="auto"/>
                <w:bottom w:val="none" w:sz="0" w:space="0" w:color="auto"/>
                <w:right w:val="none" w:sz="0" w:space="0" w:color="auto"/>
              </w:divBdr>
            </w:div>
            <w:div w:id="687291482">
              <w:marLeft w:val="0"/>
              <w:marRight w:val="0"/>
              <w:marTop w:val="0"/>
              <w:marBottom w:val="0"/>
              <w:divBdr>
                <w:top w:val="none" w:sz="0" w:space="0" w:color="auto"/>
                <w:left w:val="none" w:sz="0" w:space="0" w:color="auto"/>
                <w:bottom w:val="none" w:sz="0" w:space="0" w:color="auto"/>
                <w:right w:val="none" w:sz="0" w:space="0" w:color="auto"/>
              </w:divBdr>
            </w:div>
            <w:div w:id="723405494">
              <w:marLeft w:val="0"/>
              <w:marRight w:val="0"/>
              <w:marTop w:val="0"/>
              <w:marBottom w:val="0"/>
              <w:divBdr>
                <w:top w:val="none" w:sz="0" w:space="0" w:color="auto"/>
                <w:left w:val="none" w:sz="0" w:space="0" w:color="auto"/>
                <w:bottom w:val="none" w:sz="0" w:space="0" w:color="auto"/>
                <w:right w:val="none" w:sz="0" w:space="0" w:color="auto"/>
              </w:divBdr>
            </w:div>
            <w:div w:id="915746980">
              <w:marLeft w:val="0"/>
              <w:marRight w:val="0"/>
              <w:marTop w:val="0"/>
              <w:marBottom w:val="0"/>
              <w:divBdr>
                <w:top w:val="none" w:sz="0" w:space="0" w:color="auto"/>
                <w:left w:val="none" w:sz="0" w:space="0" w:color="auto"/>
                <w:bottom w:val="none" w:sz="0" w:space="0" w:color="auto"/>
                <w:right w:val="none" w:sz="0" w:space="0" w:color="auto"/>
              </w:divBdr>
            </w:div>
            <w:div w:id="1484391409">
              <w:marLeft w:val="0"/>
              <w:marRight w:val="0"/>
              <w:marTop w:val="0"/>
              <w:marBottom w:val="0"/>
              <w:divBdr>
                <w:top w:val="none" w:sz="0" w:space="0" w:color="auto"/>
                <w:left w:val="none" w:sz="0" w:space="0" w:color="auto"/>
                <w:bottom w:val="none" w:sz="0" w:space="0" w:color="auto"/>
                <w:right w:val="none" w:sz="0" w:space="0" w:color="auto"/>
              </w:divBdr>
            </w:div>
            <w:div w:id="1789424867">
              <w:marLeft w:val="0"/>
              <w:marRight w:val="0"/>
              <w:marTop w:val="0"/>
              <w:marBottom w:val="0"/>
              <w:divBdr>
                <w:top w:val="none" w:sz="0" w:space="0" w:color="auto"/>
                <w:left w:val="none" w:sz="0" w:space="0" w:color="auto"/>
                <w:bottom w:val="none" w:sz="0" w:space="0" w:color="auto"/>
                <w:right w:val="none" w:sz="0" w:space="0" w:color="auto"/>
              </w:divBdr>
            </w:div>
            <w:div w:id="1856066842">
              <w:marLeft w:val="0"/>
              <w:marRight w:val="0"/>
              <w:marTop w:val="0"/>
              <w:marBottom w:val="0"/>
              <w:divBdr>
                <w:top w:val="none" w:sz="0" w:space="0" w:color="auto"/>
                <w:left w:val="none" w:sz="0" w:space="0" w:color="auto"/>
                <w:bottom w:val="none" w:sz="0" w:space="0" w:color="auto"/>
                <w:right w:val="none" w:sz="0" w:space="0" w:color="auto"/>
              </w:divBdr>
            </w:div>
            <w:div w:id="1873229148">
              <w:marLeft w:val="0"/>
              <w:marRight w:val="0"/>
              <w:marTop w:val="0"/>
              <w:marBottom w:val="0"/>
              <w:divBdr>
                <w:top w:val="none" w:sz="0" w:space="0" w:color="auto"/>
                <w:left w:val="none" w:sz="0" w:space="0" w:color="auto"/>
                <w:bottom w:val="none" w:sz="0" w:space="0" w:color="auto"/>
                <w:right w:val="none" w:sz="0" w:space="0" w:color="auto"/>
              </w:divBdr>
            </w:div>
            <w:div w:id="2127851865">
              <w:marLeft w:val="0"/>
              <w:marRight w:val="0"/>
              <w:marTop w:val="0"/>
              <w:marBottom w:val="0"/>
              <w:divBdr>
                <w:top w:val="none" w:sz="0" w:space="0" w:color="auto"/>
                <w:left w:val="none" w:sz="0" w:space="0" w:color="auto"/>
                <w:bottom w:val="none" w:sz="0" w:space="0" w:color="auto"/>
                <w:right w:val="none" w:sz="0" w:space="0" w:color="auto"/>
              </w:divBdr>
            </w:div>
          </w:divsChild>
        </w:div>
        <w:div w:id="406617115">
          <w:marLeft w:val="0"/>
          <w:marRight w:val="0"/>
          <w:marTop w:val="0"/>
          <w:marBottom w:val="0"/>
          <w:divBdr>
            <w:top w:val="none" w:sz="0" w:space="0" w:color="auto"/>
            <w:left w:val="none" w:sz="0" w:space="0" w:color="auto"/>
            <w:bottom w:val="none" w:sz="0" w:space="0" w:color="auto"/>
            <w:right w:val="none" w:sz="0" w:space="0" w:color="auto"/>
          </w:divBdr>
        </w:div>
        <w:div w:id="415247258">
          <w:marLeft w:val="0"/>
          <w:marRight w:val="0"/>
          <w:marTop w:val="0"/>
          <w:marBottom w:val="0"/>
          <w:divBdr>
            <w:top w:val="none" w:sz="0" w:space="0" w:color="auto"/>
            <w:left w:val="none" w:sz="0" w:space="0" w:color="auto"/>
            <w:bottom w:val="none" w:sz="0" w:space="0" w:color="auto"/>
            <w:right w:val="none" w:sz="0" w:space="0" w:color="auto"/>
          </w:divBdr>
        </w:div>
        <w:div w:id="417289133">
          <w:marLeft w:val="0"/>
          <w:marRight w:val="0"/>
          <w:marTop w:val="0"/>
          <w:marBottom w:val="0"/>
          <w:divBdr>
            <w:top w:val="none" w:sz="0" w:space="0" w:color="auto"/>
            <w:left w:val="none" w:sz="0" w:space="0" w:color="auto"/>
            <w:bottom w:val="none" w:sz="0" w:space="0" w:color="auto"/>
            <w:right w:val="none" w:sz="0" w:space="0" w:color="auto"/>
          </w:divBdr>
        </w:div>
        <w:div w:id="434248632">
          <w:marLeft w:val="0"/>
          <w:marRight w:val="0"/>
          <w:marTop w:val="0"/>
          <w:marBottom w:val="0"/>
          <w:divBdr>
            <w:top w:val="none" w:sz="0" w:space="0" w:color="auto"/>
            <w:left w:val="none" w:sz="0" w:space="0" w:color="auto"/>
            <w:bottom w:val="none" w:sz="0" w:space="0" w:color="auto"/>
            <w:right w:val="none" w:sz="0" w:space="0" w:color="auto"/>
          </w:divBdr>
          <w:divsChild>
            <w:div w:id="1787657659">
              <w:marLeft w:val="-75"/>
              <w:marRight w:val="0"/>
              <w:marTop w:val="30"/>
              <w:marBottom w:val="30"/>
              <w:divBdr>
                <w:top w:val="none" w:sz="0" w:space="0" w:color="auto"/>
                <w:left w:val="none" w:sz="0" w:space="0" w:color="auto"/>
                <w:bottom w:val="none" w:sz="0" w:space="0" w:color="auto"/>
                <w:right w:val="none" w:sz="0" w:space="0" w:color="auto"/>
              </w:divBdr>
              <w:divsChild>
                <w:div w:id="20207180">
                  <w:marLeft w:val="0"/>
                  <w:marRight w:val="0"/>
                  <w:marTop w:val="0"/>
                  <w:marBottom w:val="0"/>
                  <w:divBdr>
                    <w:top w:val="none" w:sz="0" w:space="0" w:color="auto"/>
                    <w:left w:val="none" w:sz="0" w:space="0" w:color="auto"/>
                    <w:bottom w:val="none" w:sz="0" w:space="0" w:color="auto"/>
                    <w:right w:val="none" w:sz="0" w:space="0" w:color="auto"/>
                  </w:divBdr>
                  <w:divsChild>
                    <w:div w:id="1798837339">
                      <w:marLeft w:val="0"/>
                      <w:marRight w:val="0"/>
                      <w:marTop w:val="0"/>
                      <w:marBottom w:val="0"/>
                      <w:divBdr>
                        <w:top w:val="none" w:sz="0" w:space="0" w:color="auto"/>
                        <w:left w:val="none" w:sz="0" w:space="0" w:color="auto"/>
                        <w:bottom w:val="none" w:sz="0" w:space="0" w:color="auto"/>
                        <w:right w:val="none" w:sz="0" w:space="0" w:color="auto"/>
                      </w:divBdr>
                    </w:div>
                  </w:divsChild>
                </w:div>
                <w:div w:id="88739939">
                  <w:marLeft w:val="0"/>
                  <w:marRight w:val="0"/>
                  <w:marTop w:val="0"/>
                  <w:marBottom w:val="0"/>
                  <w:divBdr>
                    <w:top w:val="none" w:sz="0" w:space="0" w:color="auto"/>
                    <w:left w:val="none" w:sz="0" w:space="0" w:color="auto"/>
                    <w:bottom w:val="none" w:sz="0" w:space="0" w:color="auto"/>
                    <w:right w:val="none" w:sz="0" w:space="0" w:color="auto"/>
                  </w:divBdr>
                  <w:divsChild>
                    <w:div w:id="791871721">
                      <w:marLeft w:val="0"/>
                      <w:marRight w:val="0"/>
                      <w:marTop w:val="0"/>
                      <w:marBottom w:val="0"/>
                      <w:divBdr>
                        <w:top w:val="none" w:sz="0" w:space="0" w:color="auto"/>
                        <w:left w:val="none" w:sz="0" w:space="0" w:color="auto"/>
                        <w:bottom w:val="none" w:sz="0" w:space="0" w:color="auto"/>
                        <w:right w:val="none" w:sz="0" w:space="0" w:color="auto"/>
                      </w:divBdr>
                    </w:div>
                  </w:divsChild>
                </w:div>
                <w:div w:id="123083537">
                  <w:marLeft w:val="0"/>
                  <w:marRight w:val="0"/>
                  <w:marTop w:val="0"/>
                  <w:marBottom w:val="0"/>
                  <w:divBdr>
                    <w:top w:val="none" w:sz="0" w:space="0" w:color="auto"/>
                    <w:left w:val="none" w:sz="0" w:space="0" w:color="auto"/>
                    <w:bottom w:val="none" w:sz="0" w:space="0" w:color="auto"/>
                    <w:right w:val="none" w:sz="0" w:space="0" w:color="auto"/>
                  </w:divBdr>
                  <w:divsChild>
                    <w:div w:id="1413701512">
                      <w:marLeft w:val="0"/>
                      <w:marRight w:val="0"/>
                      <w:marTop w:val="0"/>
                      <w:marBottom w:val="0"/>
                      <w:divBdr>
                        <w:top w:val="none" w:sz="0" w:space="0" w:color="auto"/>
                        <w:left w:val="none" w:sz="0" w:space="0" w:color="auto"/>
                        <w:bottom w:val="none" w:sz="0" w:space="0" w:color="auto"/>
                        <w:right w:val="none" w:sz="0" w:space="0" w:color="auto"/>
                      </w:divBdr>
                    </w:div>
                  </w:divsChild>
                </w:div>
                <w:div w:id="126049589">
                  <w:marLeft w:val="0"/>
                  <w:marRight w:val="0"/>
                  <w:marTop w:val="0"/>
                  <w:marBottom w:val="0"/>
                  <w:divBdr>
                    <w:top w:val="none" w:sz="0" w:space="0" w:color="auto"/>
                    <w:left w:val="none" w:sz="0" w:space="0" w:color="auto"/>
                    <w:bottom w:val="none" w:sz="0" w:space="0" w:color="auto"/>
                    <w:right w:val="none" w:sz="0" w:space="0" w:color="auto"/>
                  </w:divBdr>
                  <w:divsChild>
                    <w:div w:id="339358684">
                      <w:marLeft w:val="0"/>
                      <w:marRight w:val="0"/>
                      <w:marTop w:val="0"/>
                      <w:marBottom w:val="0"/>
                      <w:divBdr>
                        <w:top w:val="none" w:sz="0" w:space="0" w:color="auto"/>
                        <w:left w:val="none" w:sz="0" w:space="0" w:color="auto"/>
                        <w:bottom w:val="none" w:sz="0" w:space="0" w:color="auto"/>
                        <w:right w:val="none" w:sz="0" w:space="0" w:color="auto"/>
                      </w:divBdr>
                    </w:div>
                  </w:divsChild>
                </w:div>
                <w:div w:id="217479796">
                  <w:marLeft w:val="0"/>
                  <w:marRight w:val="0"/>
                  <w:marTop w:val="0"/>
                  <w:marBottom w:val="0"/>
                  <w:divBdr>
                    <w:top w:val="none" w:sz="0" w:space="0" w:color="auto"/>
                    <w:left w:val="none" w:sz="0" w:space="0" w:color="auto"/>
                    <w:bottom w:val="none" w:sz="0" w:space="0" w:color="auto"/>
                    <w:right w:val="none" w:sz="0" w:space="0" w:color="auto"/>
                  </w:divBdr>
                  <w:divsChild>
                    <w:div w:id="1894149622">
                      <w:marLeft w:val="0"/>
                      <w:marRight w:val="0"/>
                      <w:marTop w:val="0"/>
                      <w:marBottom w:val="0"/>
                      <w:divBdr>
                        <w:top w:val="none" w:sz="0" w:space="0" w:color="auto"/>
                        <w:left w:val="none" w:sz="0" w:space="0" w:color="auto"/>
                        <w:bottom w:val="none" w:sz="0" w:space="0" w:color="auto"/>
                        <w:right w:val="none" w:sz="0" w:space="0" w:color="auto"/>
                      </w:divBdr>
                    </w:div>
                  </w:divsChild>
                </w:div>
                <w:div w:id="266738157">
                  <w:marLeft w:val="0"/>
                  <w:marRight w:val="0"/>
                  <w:marTop w:val="0"/>
                  <w:marBottom w:val="0"/>
                  <w:divBdr>
                    <w:top w:val="none" w:sz="0" w:space="0" w:color="auto"/>
                    <w:left w:val="none" w:sz="0" w:space="0" w:color="auto"/>
                    <w:bottom w:val="none" w:sz="0" w:space="0" w:color="auto"/>
                    <w:right w:val="none" w:sz="0" w:space="0" w:color="auto"/>
                  </w:divBdr>
                  <w:divsChild>
                    <w:div w:id="285698359">
                      <w:marLeft w:val="0"/>
                      <w:marRight w:val="0"/>
                      <w:marTop w:val="0"/>
                      <w:marBottom w:val="0"/>
                      <w:divBdr>
                        <w:top w:val="none" w:sz="0" w:space="0" w:color="auto"/>
                        <w:left w:val="none" w:sz="0" w:space="0" w:color="auto"/>
                        <w:bottom w:val="none" w:sz="0" w:space="0" w:color="auto"/>
                        <w:right w:val="none" w:sz="0" w:space="0" w:color="auto"/>
                      </w:divBdr>
                    </w:div>
                    <w:div w:id="1289823862">
                      <w:marLeft w:val="0"/>
                      <w:marRight w:val="0"/>
                      <w:marTop w:val="0"/>
                      <w:marBottom w:val="0"/>
                      <w:divBdr>
                        <w:top w:val="none" w:sz="0" w:space="0" w:color="auto"/>
                        <w:left w:val="none" w:sz="0" w:space="0" w:color="auto"/>
                        <w:bottom w:val="none" w:sz="0" w:space="0" w:color="auto"/>
                        <w:right w:val="none" w:sz="0" w:space="0" w:color="auto"/>
                      </w:divBdr>
                    </w:div>
                  </w:divsChild>
                </w:div>
                <w:div w:id="444734580">
                  <w:marLeft w:val="0"/>
                  <w:marRight w:val="0"/>
                  <w:marTop w:val="0"/>
                  <w:marBottom w:val="0"/>
                  <w:divBdr>
                    <w:top w:val="none" w:sz="0" w:space="0" w:color="auto"/>
                    <w:left w:val="none" w:sz="0" w:space="0" w:color="auto"/>
                    <w:bottom w:val="none" w:sz="0" w:space="0" w:color="auto"/>
                    <w:right w:val="none" w:sz="0" w:space="0" w:color="auto"/>
                  </w:divBdr>
                  <w:divsChild>
                    <w:div w:id="1336035721">
                      <w:marLeft w:val="0"/>
                      <w:marRight w:val="0"/>
                      <w:marTop w:val="0"/>
                      <w:marBottom w:val="0"/>
                      <w:divBdr>
                        <w:top w:val="none" w:sz="0" w:space="0" w:color="auto"/>
                        <w:left w:val="none" w:sz="0" w:space="0" w:color="auto"/>
                        <w:bottom w:val="none" w:sz="0" w:space="0" w:color="auto"/>
                        <w:right w:val="none" w:sz="0" w:space="0" w:color="auto"/>
                      </w:divBdr>
                    </w:div>
                  </w:divsChild>
                </w:div>
                <w:div w:id="458501572">
                  <w:marLeft w:val="0"/>
                  <w:marRight w:val="0"/>
                  <w:marTop w:val="0"/>
                  <w:marBottom w:val="0"/>
                  <w:divBdr>
                    <w:top w:val="none" w:sz="0" w:space="0" w:color="auto"/>
                    <w:left w:val="none" w:sz="0" w:space="0" w:color="auto"/>
                    <w:bottom w:val="none" w:sz="0" w:space="0" w:color="auto"/>
                    <w:right w:val="none" w:sz="0" w:space="0" w:color="auto"/>
                  </w:divBdr>
                  <w:divsChild>
                    <w:div w:id="948122151">
                      <w:marLeft w:val="0"/>
                      <w:marRight w:val="0"/>
                      <w:marTop w:val="0"/>
                      <w:marBottom w:val="0"/>
                      <w:divBdr>
                        <w:top w:val="none" w:sz="0" w:space="0" w:color="auto"/>
                        <w:left w:val="none" w:sz="0" w:space="0" w:color="auto"/>
                        <w:bottom w:val="none" w:sz="0" w:space="0" w:color="auto"/>
                        <w:right w:val="none" w:sz="0" w:space="0" w:color="auto"/>
                      </w:divBdr>
                    </w:div>
                  </w:divsChild>
                </w:div>
                <w:div w:id="519011907">
                  <w:marLeft w:val="0"/>
                  <w:marRight w:val="0"/>
                  <w:marTop w:val="0"/>
                  <w:marBottom w:val="0"/>
                  <w:divBdr>
                    <w:top w:val="none" w:sz="0" w:space="0" w:color="auto"/>
                    <w:left w:val="none" w:sz="0" w:space="0" w:color="auto"/>
                    <w:bottom w:val="none" w:sz="0" w:space="0" w:color="auto"/>
                    <w:right w:val="none" w:sz="0" w:space="0" w:color="auto"/>
                  </w:divBdr>
                  <w:divsChild>
                    <w:div w:id="327639915">
                      <w:marLeft w:val="0"/>
                      <w:marRight w:val="0"/>
                      <w:marTop w:val="0"/>
                      <w:marBottom w:val="0"/>
                      <w:divBdr>
                        <w:top w:val="none" w:sz="0" w:space="0" w:color="auto"/>
                        <w:left w:val="none" w:sz="0" w:space="0" w:color="auto"/>
                        <w:bottom w:val="none" w:sz="0" w:space="0" w:color="auto"/>
                        <w:right w:val="none" w:sz="0" w:space="0" w:color="auto"/>
                      </w:divBdr>
                    </w:div>
                  </w:divsChild>
                </w:div>
                <w:div w:id="735519247">
                  <w:marLeft w:val="0"/>
                  <w:marRight w:val="0"/>
                  <w:marTop w:val="0"/>
                  <w:marBottom w:val="0"/>
                  <w:divBdr>
                    <w:top w:val="none" w:sz="0" w:space="0" w:color="auto"/>
                    <w:left w:val="none" w:sz="0" w:space="0" w:color="auto"/>
                    <w:bottom w:val="none" w:sz="0" w:space="0" w:color="auto"/>
                    <w:right w:val="none" w:sz="0" w:space="0" w:color="auto"/>
                  </w:divBdr>
                  <w:divsChild>
                    <w:div w:id="840581406">
                      <w:marLeft w:val="0"/>
                      <w:marRight w:val="0"/>
                      <w:marTop w:val="0"/>
                      <w:marBottom w:val="0"/>
                      <w:divBdr>
                        <w:top w:val="none" w:sz="0" w:space="0" w:color="auto"/>
                        <w:left w:val="none" w:sz="0" w:space="0" w:color="auto"/>
                        <w:bottom w:val="none" w:sz="0" w:space="0" w:color="auto"/>
                        <w:right w:val="none" w:sz="0" w:space="0" w:color="auto"/>
                      </w:divBdr>
                    </w:div>
                  </w:divsChild>
                </w:div>
                <w:div w:id="740130173">
                  <w:marLeft w:val="0"/>
                  <w:marRight w:val="0"/>
                  <w:marTop w:val="0"/>
                  <w:marBottom w:val="0"/>
                  <w:divBdr>
                    <w:top w:val="none" w:sz="0" w:space="0" w:color="auto"/>
                    <w:left w:val="none" w:sz="0" w:space="0" w:color="auto"/>
                    <w:bottom w:val="none" w:sz="0" w:space="0" w:color="auto"/>
                    <w:right w:val="none" w:sz="0" w:space="0" w:color="auto"/>
                  </w:divBdr>
                  <w:divsChild>
                    <w:div w:id="1858619518">
                      <w:marLeft w:val="0"/>
                      <w:marRight w:val="0"/>
                      <w:marTop w:val="0"/>
                      <w:marBottom w:val="0"/>
                      <w:divBdr>
                        <w:top w:val="none" w:sz="0" w:space="0" w:color="auto"/>
                        <w:left w:val="none" w:sz="0" w:space="0" w:color="auto"/>
                        <w:bottom w:val="none" w:sz="0" w:space="0" w:color="auto"/>
                        <w:right w:val="none" w:sz="0" w:space="0" w:color="auto"/>
                      </w:divBdr>
                    </w:div>
                  </w:divsChild>
                </w:div>
                <w:div w:id="788744472">
                  <w:marLeft w:val="0"/>
                  <w:marRight w:val="0"/>
                  <w:marTop w:val="0"/>
                  <w:marBottom w:val="0"/>
                  <w:divBdr>
                    <w:top w:val="none" w:sz="0" w:space="0" w:color="auto"/>
                    <w:left w:val="none" w:sz="0" w:space="0" w:color="auto"/>
                    <w:bottom w:val="none" w:sz="0" w:space="0" w:color="auto"/>
                    <w:right w:val="none" w:sz="0" w:space="0" w:color="auto"/>
                  </w:divBdr>
                  <w:divsChild>
                    <w:div w:id="1894852752">
                      <w:marLeft w:val="0"/>
                      <w:marRight w:val="0"/>
                      <w:marTop w:val="0"/>
                      <w:marBottom w:val="0"/>
                      <w:divBdr>
                        <w:top w:val="none" w:sz="0" w:space="0" w:color="auto"/>
                        <w:left w:val="none" w:sz="0" w:space="0" w:color="auto"/>
                        <w:bottom w:val="none" w:sz="0" w:space="0" w:color="auto"/>
                        <w:right w:val="none" w:sz="0" w:space="0" w:color="auto"/>
                      </w:divBdr>
                    </w:div>
                  </w:divsChild>
                </w:div>
                <w:div w:id="789477966">
                  <w:marLeft w:val="0"/>
                  <w:marRight w:val="0"/>
                  <w:marTop w:val="0"/>
                  <w:marBottom w:val="0"/>
                  <w:divBdr>
                    <w:top w:val="none" w:sz="0" w:space="0" w:color="auto"/>
                    <w:left w:val="none" w:sz="0" w:space="0" w:color="auto"/>
                    <w:bottom w:val="none" w:sz="0" w:space="0" w:color="auto"/>
                    <w:right w:val="none" w:sz="0" w:space="0" w:color="auto"/>
                  </w:divBdr>
                  <w:divsChild>
                    <w:div w:id="1049918447">
                      <w:marLeft w:val="0"/>
                      <w:marRight w:val="0"/>
                      <w:marTop w:val="0"/>
                      <w:marBottom w:val="0"/>
                      <w:divBdr>
                        <w:top w:val="none" w:sz="0" w:space="0" w:color="auto"/>
                        <w:left w:val="none" w:sz="0" w:space="0" w:color="auto"/>
                        <w:bottom w:val="none" w:sz="0" w:space="0" w:color="auto"/>
                        <w:right w:val="none" w:sz="0" w:space="0" w:color="auto"/>
                      </w:divBdr>
                    </w:div>
                  </w:divsChild>
                </w:div>
                <w:div w:id="793912945">
                  <w:marLeft w:val="0"/>
                  <w:marRight w:val="0"/>
                  <w:marTop w:val="0"/>
                  <w:marBottom w:val="0"/>
                  <w:divBdr>
                    <w:top w:val="none" w:sz="0" w:space="0" w:color="auto"/>
                    <w:left w:val="none" w:sz="0" w:space="0" w:color="auto"/>
                    <w:bottom w:val="none" w:sz="0" w:space="0" w:color="auto"/>
                    <w:right w:val="none" w:sz="0" w:space="0" w:color="auto"/>
                  </w:divBdr>
                  <w:divsChild>
                    <w:div w:id="1473328983">
                      <w:marLeft w:val="0"/>
                      <w:marRight w:val="0"/>
                      <w:marTop w:val="0"/>
                      <w:marBottom w:val="0"/>
                      <w:divBdr>
                        <w:top w:val="none" w:sz="0" w:space="0" w:color="auto"/>
                        <w:left w:val="none" w:sz="0" w:space="0" w:color="auto"/>
                        <w:bottom w:val="none" w:sz="0" w:space="0" w:color="auto"/>
                        <w:right w:val="none" w:sz="0" w:space="0" w:color="auto"/>
                      </w:divBdr>
                    </w:div>
                  </w:divsChild>
                </w:div>
                <w:div w:id="804472260">
                  <w:marLeft w:val="0"/>
                  <w:marRight w:val="0"/>
                  <w:marTop w:val="0"/>
                  <w:marBottom w:val="0"/>
                  <w:divBdr>
                    <w:top w:val="none" w:sz="0" w:space="0" w:color="auto"/>
                    <w:left w:val="none" w:sz="0" w:space="0" w:color="auto"/>
                    <w:bottom w:val="none" w:sz="0" w:space="0" w:color="auto"/>
                    <w:right w:val="none" w:sz="0" w:space="0" w:color="auto"/>
                  </w:divBdr>
                  <w:divsChild>
                    <w:div w:id="1566648751">
                      <w:marLeft w:val="0"/>
                      <w:marRight w:val="0"/>
                      <w:marTop w:val="0"/>
                      <w:marBottom w:val="0"/>
                      <w:divBdr>
                        <w:top w:val="none" w:sz="0" w:space="0" w:color="auto"/>
                        <w:left w:val="none" w:sz="0" w:space="0" w:color="auto"/>
                        <w:bottom w:val="none" w:sz="0" w:space="0" w:color="auto"/>
                        <w:right w:val="none" w:sz="0" w:space="0" w:color="auto"/>
                      </w:divBdr>
                    </w:div>
                  </w:divsChild>
                </w:div>
                <w:div w:id="830370890">
                  <w:marLeft w:val="0"/>
                  <w:marRight w:val="0"/>
                  <w:marTop w:val="0"/>
                  <w:marBottom w:val="0"/>
                  <w:divBdr>
                    <w:top w:val="none" w:sz="0" w:space="0" w:color="auto"/>
                    <w:left w:val="none" w:sz="0" w:space="0" w:color="auto"/>
                    <w:bottom w:val="none" w:sz="0" w:space="0" w:color="auto"/>
                    <w:right w:val="none" w:sz="0" w:space="0" w:color="auto"/>
                  </w:divBdr>
                  <w:divsChild>
                    <w:div w:id="1980064893">
                      <w:marLeft w:val="0"/>
                      <w:marRight w:val="0"/>
                      <w:marTop w:val="0"/>
                      <w:marBottom w:val="0"/>
                      <w:divBdr>
                        <w:top w:val="none" w:sz="0" w:space="0" w:color="auto"/>
                        <w:left w:val="none" w:sz="0" w:space="0" w:color="auto"/>
                        <w:bottom w:val="none" w:sz="0" w:space="0" w:color="auto"/>
                        <w:right w:val="none" w:sz="0" w:space="0" w:color="auto"/>
                      </w:divBdr>
                    </w:div>
                  </w:divsChild>
                </w:div>
                <w:div w:id="890730964">
                  <w:marLeft w:val="0"/>
                  <w:marRight w:val="0"/>
                  <w:marTop w:val="0"/>
                  <w:marBottom w:val="0"/>
                  <w:divBdr>
                    <w:top w:val="none" w:sz="0" w:space="0" w:color="auto"/>
                    <w:left w:val="none" w:sz="0" w:space="0" w:color="auto"/>
                    <w:bottom w:val="none" w:sz="0" w:space="0" w:color="auto"/>
                    <w:right w:val="none" w:sz="0" w:space="0" w:color="auto"/>
                  </w:divBdr>
                  <w:divsChild>
                    <w:div w:id="1208178272">
                      <w:marLeft w:val="0"/>
                      <w:marRight w:val="0"/>
                      <w:marTop w:val="0"/>
                      <w:marBottom w:val="0"/>
                      <w:divBdr>
                        <w:top w:val="none" w:sz="0" w:space="0" w:color="auto"/>
                        <w:left w:val="none" w:sz="0" w:space="0" w:color="auto"/>
                        <w:bottom w:val="none" w:sz="0" w:space="0" w:color="auto"/>
                        <w:right w:val="none" w:sz="0" w:space="0" w:color="auto"/>
                      </w:divBdr>
                    </w:div>
                  </w:divsChild>
                </w:div>
                <w:div w:id="902104098">
                  <w:marLeft w:val="0"/>
                  <w:marRight w:val="0"/>
                  <w:marTop w:val="0"/>
                  <w:marBottom w:val="0"/>
                  <w:divBdr>
                    <w:top w:val="none" w:sz="0" w:space="0" w:color="auto"/>
                    <w:left w:val="none" w:sz="0" w:space="0" w:color="auto"/>
                    <w:bottom w:val="none" w:sz="0" w:space="0" w:color="auto"/>
                    <w:right w:val="none" w:sz="0" w:space="0" w:color="auto"/>
                  </w:divBdr>
                  <w:divsChild>
                    <w:div w:id="2039307095">
                      <w:marLeft w:val="0"/>
                      <w:marRight w:val="0"/>
                      <w:marTop w:val="0"/>
                      <w:marBottom w:val="0"/>
                      <w:divBdr>
                        <w:top w:val="none" w:sz="0" w:space="0" w:color="auto"/>
                        <w:left w:val="none" w:sz="0" w:space="0" w:color="auto"/>
                        <w:bottom w:val="none" w:sz="0" w:space="0" w:color="auto"/>
                        <w:right w:val="none" w:sz="0" w:space="0" w:color="auto"/>
                      </w:divBdr>
                    </w:div>
                  </w:divsChild>
                </w:div>
                <w:div w:id="909462314">
                  <w:marLeft w:val="0"/>
                  <w:marRight w:val="0"/>
                  <w:marTop w:val="0"/>
                  <w:marBottom w:val="0"/>
                  <w:divBdr>
                    <w:top w:val="none" w:sz="0" w:space="0" w:color="auto"/>
                    <w:left w:val="none" w:sz="0" w:space="0" w:color="auto"/>
                    <w:bottom w:val="none" w:sz="0" w:space="0" w:color="auto"/>
                    <w:right w:val="none" w:sz="0" w:space="0" w:color="auto"/>
                  </w:divBdr>
                  <w:divsChild>
                    <w:div w:id="1819300060">
                      <w:marLeft w:val="0"/>
                      <w:marRight w:val="0"/>
                      <w:marTop w:val="0"/>
                      <w:marBottom w:val="0"/>
                      <w:divBdr>
                        <w:top w:val="none" w:sz="0" w:space="0" w:color="auto"/>
                        <w:left w:val="none" w:sz="0" w:space="0" w:color="auto"/>
                        <w:bottom w:val="none" w:sz="0" w:space="0" w:color="auto"/>
                        <w:right w:val="none" w:sz="0" w:space="0" w:color="auto"/>
                      </w:divBdr>
                    </w:div>
                  </w:divsChild>
                </w:div>
                <w:div w:id="921715061">
                  <w:marLeft w:val="0"/>
                  <w:marRight w:val="0"/>
                  <w:marTop w:val="0"/>
                  <w:marBottom w:val="0"/>
                  <w:divBdr>
                    <w:top w:val="none" w:sz="0" w:space="0" w:color="auto"/>
                    <w:left w:val="none" w:sz="0" w:space="0" w:color="auto"/>
                    <w:bottom w:val="none" w:sz="0" w:space="0" w:color="auto"/>
                    <w:right w:val="none" w:sz="0" w:space="0" w:color="auto"/>
                  </w:divBdr>
                  <w:divsChild>
                    <w:div w:id="530076439">
                      <w:marLeft w:val="0"/>
                      <w:marRight w:val="0"/>
                      <w:marTop w:val="0"/>
                      <w:marBottom w:val="0"/>
                      <w:divBdr>
                        <w:top w:val="none" w:sz="0" w:space="0" w:color="auto"/>
                        <w:left w:val="none" w:sz="0" w:space="0" w:color="auto"/>
                        <w:bottom w:val="none" w:sz="0" w:space="0" w:color="auto"/>
                        <w:right w:val="none" w:sz="0" w:space="0" w:color="auto"/>
                      </w:divBdr>
                    </w:div>
                  </w:divsChild>
                </w:div>
                <w:div w:id="1096289694">
                  <w:marLeft w:val="0"/>
                  <w:marRight w:val="0"/>
                  <w:marTop w:val="0"/>
                  <w:marBottom w:val="0"/>
                  <w:divBdr>
                    <w:top w:val="none" w:sz="0" w:space="0" w:color="auto"/>
                    <w:left w:val="none" w:sz="0" w:space="0" w:color="auto"/>
                    <w:bottom w:val="none" w:sz="0" w:space="0" w:color="auto"/>
                    <w:right w:val="none" w:sz="0" w:space="0" w:color="auto"/>
                  </w:divBdr>
                  <w:divsChild>
                    <w:div w:id="1705986085">
                      <w:marLeft w:val="0"/>
                      <w:marRight w:val="0"/>
                      <w:marTop w:val="0"/>
                      <w:marBottom w:val="0"/>
                      <w:divBdr>
                        <w:top w:val="none" w:sz="0" w:space="0" w:color="auto"/>
                        <w:left w:val="none" w:sz="0" w:space="0" w:color="auto"/>
                        <w:bottom w:val="none" w:sz="0" w:space="0" w:color="auto"/>
                        <w:right w:val="none" w:sz="0" w:space="0" w:color="auto"/>
                      </w:divBdr>
                    </w:div>
                  </w:divsChild>
                </w:div>
                <w:div w:id="1130048075">
                  <w:marLeft w:val="0"/>
                  <w:marRight w:val="0"/>
                  <w:marTop w:val="0"/>
                  <w:marBottom w:val="0"/>
                  <w:divBdr>
                    <w:top w:val="none" w:sz="0" w:space="0" w:color="auto"/>
                    <w:left w:val="none" w:sz="0" w:space="0" w:color="auto"/>
                    <w:bottom w:val="none" w:sz="0" w:space="0" w:color="auto"/>
                    <w:right w:val="none" w:sz="0" w:space="0" w:color="auto"/>
                  </w:divBdr>
                  <w:divsChild>
                    <w:div w:id="809250487">
                      <w:marLeft w:val="0"/>
                      <w:marRight w:val="0"/>
                      <w:marTop w:val="0"/>
                      <w:marBottom w:val="0"/>
                      <w:divBdr>
                        <w:top w:val="none" w:sz="0" w:space="0" w:color="auto"/>
                        <w:left w:val="none" w:sz="0" w:space="0" w:color="auto"/>
                        <w:bottom w:val="none" w:sz="0" w:space="0" w:color="auto"/>
                        <w:right w:val="none" w:sz="0" w:space="0" w:color="auto"/>
                      </w:divBdr>
                    </w:div>
                  </w:divsChild>
                </w:div>
                <w:div w:id="1238519311">
                  <w:marLeft w:val="0"/>
                  <w:marRight w:val="0"/>
                  <w:marTop w:val="0"/>
                  <w:marBottom w:val="0"/>
                  <w:divBdr>
                    <w:top w:val="none" w:sz="0" w:space="0" w:color="auto"/>
                    <w:left w:val="none" w:sz="0" w:space="0" w:color="auto"/>
                    <w:bottom w:val="none" w:sz="0" w:space="0" w:color="auto"/>
                    <w:right w:val="none" w:sz="0" w:space="0" w:color="auto"/>
                  </w:divBdr>
                  <w:divsChild>
                    <w:div w:id="1694113135">
                      <w:marLeft w:val="0"/>
                      <w:marRight w:val="0"/>
                      <w:marTop w:val="0"/>
                      <w:marBottom w:val="0"/>
                      <w:divBdr>
                        <w:top w:val="none" w:sz="0" w:space="0" w:color="auto"/>
                        <w:left w:val="none" w:sz="0" w:space="0" w:color="auto"/>
                        <w:bottom w:val="none" w:sz="0" w:space="0" w:color="auto"/>
                        <w:right w:val="none" w:sz="0" w:space="0" w:color="auto"/>
                      </w:divBdr>
                    </w:div>
                  </w:divsChild>
                </w:div>
                <w:div w:id="1338190286">
                  <w:marLeft w:val="0"/>
                  <w:marRight w:val="0"/>
                  <w:marTop w:val="0"/>
                  <w:marBottom w:val="0"/>
                  <w:divBdr>
                    <w:top w:val="none" w:sz="0" w:space="0" w:color="auto"/>
                    <w:left w:val="none" w:sz="0" w:space="0" w:color="auto"/>
                    <w:bottom w:val="none" w:sz="0" w:space="0" w:color="auto"/>
                    <w:right w:val="none" w:sz="0" w:space="0" w:color="auto"/>
                  </w:divBdr>
                  <w:divsChild>
                    <w:div w:id="329064385">
                      <w:marLeft w:val="0"/>
                      <w:marRight w:val="0"/>
                      <w:marTop w:val="0"/>
                      <w:marBottom w:val="0"/>
                      <w:divBdr>
                        <w:top w:val="none" w:sz="0" w:space="0" w:color="auto"/>
                        <w:left w:val="none" w:sz="0" w:space="0" w:color="auto"/>
                        <w:bottom w:val="none" w:sz="0" w:space="0" w:color="auto"/>
                        <w:right w:val="none" w:sz="0" w:space="0" w:color="auto"/>
                      </w:divBdr>
                    </w:div>
                  </w:divsChild>
                </w:div>
                <w:div w:id="1373728181">
                  <w:marLeft w:val="0"/>
                  <w:marRight w:val="0"/>
                  <w:marTop w:val="0"/>
                  <w:marBottom w:val="0"/>
                  <w:divBdr>
                    <w:top w:val="none" w:sz="0" w:space="0" w:color="auto"/>
                    <w:left w:val="none" w:sz="0" w:space="0" w:color="auto"/>
                    <w:bottom w:val="none" w:sz="0" w:space="0" w:color="auto"/>
                    <w:right w:val="none" w:sz="0" w:space="0" w:color="auto"/>
                  </w:divBdr>
                  <w:divsChild>
                    <w:div w:id="22096731">
                      <w:marLeft w:val="0"/>
                      <w:marRight w:val="0"/>
                      <w:marTop w:val="0"/>
                      <w:marBottom w:val="0"/>
                      <w:divBdr>
                        <w:top w:val="none" w:sz="0" w:space="0" w:color="auto"/>
                        <w:left w:val="none" w:sz="0" w:space="0" w:color="auto"/>
                        <w:bottom w:val="none" w:sz="0" w:space="0" w:color="auto"/>
                        <w:right w:val="none" w:sz="0" w:space="0" w:color="auto"/>
                      </w:divBdr>
                    </w:div>
                  </w:divsChild>
                </w:div>
                <w:div w:id="1686978205">
                  <w:marLeft w:val="0"/>
                  <w:marRight w:val="0"/>
                  <w:marTop w:val="0"/>
                  <w:marBottom w:val="0"/>
                  <w:divBdr>
                    <w:top w:val="none" w:sz="0" w:space="0" w:color="auto"/>
                    <w:left w:val="none" w:sz="0" w:space="0" w:color="auto"/>
                    <w:bottom w:val="none" w:sz="0" w:space="0" w:color="auto"/>
                    <w:right w:val="none" w:sz="0" w:space="0" w:color="auto"/>
                  </w:divBdr>
                  <w:divsChild>
                    <w:div w:id="212229166">
                      <w:marLeft w:val="0"/>
                      <w:marRight w:val="0"/>
                      <w:marTop w:val="0"/>
                      <w:marBottom w:val="0"/>
                      <w:divBdr>
                        <w:top w:val="none" w:sz="0" w:space="0" w:color="auto"/>
                        <w:left w:val="none" w:sz="0" w:space="0" w:color="auto"/>
                        <w:bottom w:val="none" w:sz="0" w:space="0" w:color="auto"/>
                        <w:right w:val="none" w:sz="0" w:space="0" w:color="auto"/>
                      </w:divBdr>
                    </w:div>
                  </w:divsChild>
                </w:div>
                <w:div w:id="1705401107">
                  <w:marLeft w:val="0"/>
                  <w:marRight w:val="0"/>
                  <w:marTop w:val="0"/>
                  <w:marBottom w:val="0"/>
                  <w:divBdr>
                    <w:top w:val="none" w:sz="0" w:space="0" w:color="auto"/>
                    <w:left w:val="none" w:sz="0" w:space="0" w:color="auto"/>
                    <w:bottom w:val="none" w:sz="0" w:space="0" w:color="auto"/>
                    <w:right w:val="none" w:sz="0" w:space="0" w:color="auto"/>
                  </w:divBdr>
                  <w:divsChild>
                    <w:div w:id="811601507">
                      <w:marLeft w:val="0"/>
                      <w:marRight w:val="0"/>
                      <w:marTop w:val="0"/>
                      <w:marBottom w:val="0"/>
                      <w:divBdr>
                        <w:top w:val="none" w:sz="0" w:space="0" w:color="auto"/>
                        <w:left w:val="none" w:sz="0" w:space="0" w:color="auto"/>
                        <w:bottom w:val="none" w:sz="0" w:space="0" w:color="auto"/>
                        <w:right w:val="none" w:sz="0" w:space="0" w:color="auto"/>
                      </w:divBdr>
                    </w:div>
                  </w:divsChild>
                </w:div>
                <w:div w:id="1810439932">
                  <w:marLeft w:val="0"/>
                  <w:marRight w:val="0"/>
                  <w:marTop w:val="0"/>
                  <w:marBottom w:val="0"/>
                  <w:divBdr>
                    <w:top w:val="none" w:sz="0" w:space="0" w:color="auto"/>
                    <w:left w:val="none" w:sz="0" w:space="0" w:color="auto"/>
                    <w:bottom w:val="none" w:sz="0" w:space="0" w:color="auto"/>
                    <w:right w:val="none" w:sz="0" w:space="0" w:color="auto"/>
                  </w:divBdr>
                  <w:divsChild>
                    <w:div w:id="1017464926">
                      <w:marLeft w:val="0"/>
                      <w:marRight w:val="0"/>
                      <w:marTop w:val="0"/>
                      <w:marBottom w:val="0"/>
                      <w:divBdr>
                        <w:top w:val="none" w:sz="0" w:space="0" w:color="auto"/>
                        <w:left w:val="none" w:sz="0" w:space="0" w:color="auto"/>
                        <w:bottom w:val="none" w:sz="0" w:space="0" w:color="auto"/>
                        <w:right w:val="none" w:sz="0" w:space="0" w:color="auto"/>
                      </w:divBdr>
                    </w:div>
                  </w:divsChild>
                </w:div>
                <w:div w:id="1830093628">
                  <w:marLeft w:val="0"/>
                  <w:marRight w:val="0"/>
                  <w:marTop w:val="0"/>
                  <w:marBottom w:val="0"/>
                  <w:divBdr>
                    <w:top w:val="none" w:sz="0" w:space="0" w:color="auto"/>
                    <w:left w:val="none" w:sz="0" w:space="0" w:color="auto"/>
                    <w:bottom w:val="none" w:sz="0" w:space="0" w:color="auto"/>
                    <w:right w:val="none" w:sz="0" w:space="0" w:color="auto"/>
                  </w:divBdr>
                  <w:divsChild>
                    <w:div w:id="1685209873">
                      <w:marLeft w:val="0"/>
                      <w:marRight w:val="0"/>
                      <w:marTop w:val="0"/>
                      <w:marBottom w:val="0"/>
                      <w:divBdr>
                        <w:top w:val="none" w:sz="0" w:space="0" w:color="auto"/>
                        <w:left w:val="none" w:sz="0" w:space="0" w:color="auto"/>
                        <w:bottom w:val="none" w:sz="0" w:space="0" w:color="auto"/>
                        <w:right w:val="none" w:sz="0" w:space="0" w:color="auto"/>
                      </w:divBdr>
                    </w:div>
                  </w:divsChild>
                </w:div>
                <w:div w:id="1947999886">
                  <w:marLeft w:val="0"/>
                  <w:marRight w:val="0"/>
                  <w:marTop w:val="0"/>
                  <w:marBottom w:val="0"/>
                  <w:divBdr>
                    <w:top w:val="none" w:sz="0" w:space="0" w:color="auto"/>
                    <w:left w:val="none" w:sz="0" w:space="0" w:color="auto"/>
                    <w:bottom w:val="none" w:sz="0" w:space="0" w:color="auto"/>
                    <w:right w:val="none" w:sz="0" w:space="0" w:color="auto"/>
                  </w:divBdr>
                  <w:divsChild>
                    <w:div w:id="186599325">
                      <w:marLeft w:val="0"/>
                      <w:marRight w:val="0"/>
                      <w:marTop w:val="0"/>
                      <w:marBottom w:val="0"/>
                      <w:divBdr>
                        <w:top w:val="none" w:sz="0" w:space="0" w:color="auto"/>
                        <w:left w:val="none" w:sz="0" w:space="0" w:color="auto"/>
                        <w:bottom w:val="none" w:sz="0" w:space="0" w:color="auto"/>
                        <w:right w:val="none" w:sz="0" w:space="0" w:color="auto"/>
                      </w:divBdr>
                    </w:div>
                  </w:divsChild>
                </w:div>
                <w:div w:id="1975326931">
                  <w:marLeft w:val="0"/>
                  <w:marRight w:val="0"/>
                  <w:marTop w:val="0"/>
                  <w:marBottom w:val="0"/>
                  <w:divBdr>
                    <w:top w:val="none" w:sz="0" w:space="0" w:color="auto"/>
                    <w:left w:val="none" w:sz="0" w:space="0" w:color="auto"/>
                    <w:bottom w:val="none" w:sz="0" w:space="0" w:color="auto"/>
                    <w:right w:val="none" w:sz="0" w:space="0" w:color="auto"/>
                  </w:divBdr>
                  <w:divsChild>
                    <w:div w:id="680275217">
                      <w:marLeft w:val="0"/>
                      <w:marRight w:val="0"/>
                      <w:marTop w:val="0"/>
                      <w:marBottom w:val="0"/>
                      <w:divBdr>
                        <w:top w:val="none" w:sz="0" w:space="0" w:color="auto"/>
                        <w:left w:val="none" w:sz="0" w:space="0" w:color="auto"/>
                        <w:bottom w:val="none" w:sz="0" w:space="0" w:color="auto"/>
                        <w:right w:val="none" w:sz="0" w:space="0" w:color="auto"/>
                      </w:divBdr>
                    </w:div>
                  </w:divsChild>
                </w:div>
                <w:div w:id="2032759662">
                  <w:marLeft w:val="0"/>
                  <w:marRight w:val="0"/>
                  <w:marTop w:val="0"/>
                  <w:marBottom w:val="0"/>
                  <w:divBdr>
                    <w:top w:val="none" w:sz="0" w:space="0" w:color="auto"/>
                    <w:left w:val="none" w:sz="0" w:space="0" w:color="auto"/>
                    <w:bottom w:val="none" w:sz="0" w:space="0" w:color="auto"/>
                    <w:right w:val="none" w:sz="0" w:space="0" w:color="auto"/>
                  </w:divBdr>
                  <w:divsChild>
                    <w:div w:id="303126544">
                      <w:marLeft w:val="0"/>
                      <w:marRight w:val="0"/>
                      <w:marTop w:val="0"/>
                      <w:marBottom w:val="0"/>
                      <w:divBdr>
                        <w:top w:val="none" w:sz="0" w:space="0" w:color="auto"/>
                        <w:left w:val="none" w:sz="0" w:space="0" w:color="auto"/>
                        <w:bottom w:val="none" w:sz="0" w:space="0" w:color="auto"/>
                        <w:right w:val="none" w:sz="0" w:space="0" w:color="auto"/>
                      </w:divBdr>
                    </w:div>
                  </w:divsChild>
                </w:div>
                <w:div w:id="2046980600">
                  <w:marLeft w:val="0"/>
                  <w:marRight w:val="0"/>
                  <w:marTop w:val="0"/>
                  <w:marBottom w:val="0"/>
                  <w:divBdr>
                    <w:top w:val="none" w:sz="0" w:space="0" w:color="auto"/>
                    <w:left w:val="none" w:sz="0" w:space="0" w:color="auto"/>
                    <w:bottom w:val="none" w:sz="0" w:space="0" w:color="auto"/>
                    <w:right w:val="none" w:sz="0" w:space="0" w:color="auto"/>
                  </w:divBdr>
                  <w:divsChild>
                    <w:div w:id="489365282">
                      <w:marLeft w:val="0"/>
                      <w:marRight w:val="0"/>
                      <w:marTop w:val="0"/>
                      <w:marBottom w:val="0"/>
                      <w:divBdr>
                        <w:top w:val="none" w:sz="0" w:space="0" w:color="auto"/>
                        <w:left w:val="none" w:sz="0" w:space="0" w:color="auto"/>
                        <w:bottom w:val="none" w:sz="0" w:space="0" w:color="auto"/>
                        <w:right w:val="none" w:sz="0" w:space="0" w:color="auto"/>
                      </w:divBdr>
                    </w:div>
                  </w:divsChild>
                </w:div>
                <w:div w:id="2051103901">
                  <w:marLeft w:val="0"/>
                  <w:marRight w:val="0"/>
                  <w:marTop w:val="0"/>
                  <w:marBottom w:val="0"/>
                  <w:divBdr>
                    <w:top w:val="none" w:sz="0" w:space="0" w:color="auto"/>
                    <w:left w:val="none" w:sz="0" w:space="0" w:color="auto"/>
                    <w:bottom w:val="none" w:sz="0" w:space="0" w:color="auto"/>
                    <w:right w:val="none" w:sz="0" w:space="0" w:color="auto"/>
                  </w:divBdr>
                  <w:divsChild>
                    <w:div w:id="1020202562">
                      <w:marLeft w:val="0"/>
                      <w:marRight w:val="0"/>
                      <w:marTop w:val="0"/>
                      <w:marBottom w:val="0"/>
                      <w:divBdr>
                        <w:top w:val="none" w:sz="0" w:space="0" w:color="auto"/>
                        <w:left w:val="none" w:sz="0" w:space="0" w:color="auto"/>
                        <w:bottom w:val="none" w:sz="0" w:space="0" w:color="auto"/>
                        <w:right w:val="none" w:sz="0" w:space="0" w:color="auto"/>
                      </w:divBdr>
                    </w:div>
                  </w:divsChild>
                </w:div>
                <w:div w:id="2140953669">
                  <w:marLeft w:val="0"/>
                  <w:marRight w:val="0"/>
                  <w:marTop w:val="0"/>
                  <w:marBottom w:val="0"/>
                  <w:divBdr>
                    <w:top w:val="none" w:sz="0" w:space="0" w:color="auto"/>
                    <w:left w:val="none" w:sz="0" w:space="0" w:color="auto"/>
                    <w:bottom w:val="none" w:sz="0" w:space="0" w:color="auto"/>
                    <w:right w:val="none" w:sz="0" w:space="0" w:color="auto"/>
                  </w:divBdr>
                  <w:divsChild>
                    <w:div w:id="17297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04985">
          <w:marLeft w:val="0"/>
          <w:marRight w:val="0"/>
          <w:marTop w:val="0"/>
          <w:marBottom w:val="0"/>
          <w:divBdr>
            <w:top w:val="none" w:sz="0" w:space="0" w:color="auto"/>
            <w:left w:val="none" w:sz="0" w:space="0" w:color="auto"/>
            <w:bottom w:val="none" w:sz="0" w:space="0" w:color="auto"/>
            <w:right w:val="none" w:sz="0" w:space="0" w:color="auto"/>
          </w:divBdr>
        </w:div>
        <w:div w:id="466358291">
          <w:marLeft w:val="0"/>
          <w:marRight w:val="0"/>
          <w:marTop w:val="0"/>
          <w:marBottom w:val="0"/>
          <w:divBdr>
            <w:top w:val="none" w:sz="0" w:space="0" w:color="auto"/>
            <w:left w:val="none" w:sz="0" w:space="0" w:color="auto"/>
            <w:bottom w:val="none" w:sz="0" w:space="0" w:color="auto"/>
            <w:right w:val="none" w:sz="0" w:space="0" w:color="auto"/>
          </w:divBdr>
          <w:divsChild>
            <w:div w:id="250506739">
              <w:marLeft w:val="0"/>
              <w:marRight w:val="0"/>
              <w:marTop w:val="0"/>
              <w:marBottom w:val="0"/>
              <w:divBdr>
                <w:top w:val="none" w:sz="0" w:space="0" w:color="auto"/>
                <w:left w:val="none" w:sz="0" w:space="0" w:color="auto"/>
                <w:bottom w:val="none" w:sz="0" w:space="0" w:color="auto"/>
                <w:right w:val="none" w:sz="0" w:space="0" w:color="auto"/>
              </w:divBdr>
            </w:div>
            <w:div w:id="259261472">
              <w:marLeft w:val="0"/>
              <w:marRight w:val="0"/>
              <w:marTop w:val="0"/>
              <w:marBottom w:val="0"/>
              <w:divBdr>
                <w:top w:val="none" w:sz="0" w:space="0" w:color="auto"/>
                <w:left w:val="none" w:sz="0" w:space="0" w:color="auto"/>
                <w:bottom w:val="none" w:sz="0" w:space="0" w:color="auto"/>
                <w:right w:val="none" w:sz="0" w:space="0" w:color="auto"/>
              </w:divBdr>
            </w:div>
            <w:div w:id="453014358">
              <w:marLeft w:val="0"/>
              <w:marRight w:val="0"/>
              <w:marTop w:val="0"/>
              <w:marBottom w:val="0"/>
              <w:divBdr>
                <w:top w:val="none" w:sz="0" w:space="0" w:color="auto"/>
                <w:left w:val="none" w:sz="0" w:space="0" w:color="auto"/>
                <w:bottom w:val="none" w:sz="0" w:space="0" w:color="auto"/>
                <w:right w:val="none" w:sz="0" w:space="0" w:color="auto"/>
              </w:divBdr>
            </w:div>
            <w:div w:id="610817162">
              <w:marLeft w:val="0"/>
              <w:marRight w:val="0"/>
              <w:marTop w:val="0"/>
              <w:marBottom w:val="0"/>
              <w:divBdr>
                <w:top w:val="none" w:sz="0" w:space="0" w:color="auto"/>
                <w:left w:val="none" w:sz="0" w:space="0" w:color="auto"/>
                <w:bottom w:val="none" w:sz="0" w:space="0" w:color="auto"/>
                <w:right w:val="none" w:sz="0" w:space="0" w:color="auto"/>
              </w:divBdr>
            </w:div>
            <w:div w:id="756171419">
              <w:marLeft w:val="0"/>
              <w:marRight w:val="0"/>
              <w:marTop w:val="0"/>
              <w:marBottom w:val="0"/>
              <w:divBdr>
                <w:top w:val="none" w:sz="0" w:space="0" w:color="auto"/>
                <w:left w:val="none" w:sz="0" w:space="0" w:color="auto"/>
                <w:bottom w:val="none" w:sz="0" w:space="0" w:color="auto"/>
                <w:right w:val="none" w:sz="0" w:space="0" w:color="auto"/>
              </w:divBdr>
            </w:div>
            <w:div w:id="783619176">
              <w:marLeft w:val="0"/>
              <w:marRight w:val="0"/>
              <w:marTop w:val="0"/>
              <w:marBottom w:val="0"/>
              <w:divBdr>
                <w:top w:val="none" w:sz="0" w:space="0" w:color="auto"/>
                <w:left w:val="none" w:sz="0" w:space="0" w:color="auto"/>
                <w:bottom w:val="none" w:sz="0" w:space="0" w:color="auto"/>
                <w:right w:val="none" w:sz="0" w:space="0" w:color="auto"/>
              </w:divBdr>
            </w:div>
            <w:div w:id="873880490">
              <w:marLeft w:val="0"/>
              <w:marRight w:val="0"/>
              <w:marTop w:val="0"/>
              <w:marBottom w:val="0"/>
              <w:divBdr>
                <w:top w:val="none" w:sz="0" w:space="0" w:color="auto"/>
                <w:left w:val="none" w:sz="0" w:space="0" w:color="auto"/>
                <w:bottom w:val="none" w:sz="0" w:space="0" w:color="auto"/>
                <w:right w:val="none" w:sz="0" w:space="0" w:color="auto"/>
              </w:divBdr>
            </w:div>
            <w:div w:id="986202444">
              <w:marLeft w:val="0"/>
              <w:marRight w:val="0"/>
              <w:marTop w:val="0"/>
              <w:marBottom w:val="0"/>
              <w:divBdr>
                <w:top w:val="none" w:sz="0" w:space="0" w:color="auto"/>
                <w:left w:val="none" w:sz="0" w:space="0" w:color="auto"/>
                <w:bottom w:val="none" w:sz="0" w:space="0" w:color="auto"/>
                <w:right w:val="none" w:sz="0" w:space="0" w:color="auto"/>
              </w:divBdr>
            </w:div>
            <w:div w:id="1037462940">
              <w:marLeft w:val="0"/>
              <w:marRight w:val="0"/>
              <w:marTop w:val="0"/>
              <w:marBottom w:val="0"/>
              <w:divBdr>
                <w:top w:val="none" w:sz="0" w:space="0" w:color="auto"/>
                <w:left w:val="none" w:sz="0" w:space="0" w:color="auto"/>
                <w:bottom w:val="none" w:sz="0" w:space="0" w:color="auto"/>
                <w:right w:val="none" w:sz="0" w:space="0" w:color="auto"/>
              </w:divBdr>
            </w:div>
            <w:div w:id="1071654469">
              <w:marLeft w:val="0"/>
              <w:marRight w:val="0"/>
              <w:marTop w:val="0"/>
              <w:marBottom w:val="0"/>
              <w:divBdr>
                <w:top w:val="none" w:sz="0" w:space="0" w:color="auto"/>
                <w:left w:val="none" w:sz="0" w:space="0" w:color="auto"/>
                <w:bottom w:val="none" w:sz="0" w:space="0" w:color="auto"/>
                <w:right w:val="none" w:sz="0" w:space="0" w:color="auto"/>
              </w:divBdr>
            </w:div>
            <w:div w:id="1121532950">
              <w:marLeft w:val="0"/>
              <w:marRight w:val="0"/>
              <w:marTop w:val="0"/>
              <w:marBottom w:val="0"/>
              <w:divBdr>
                <w:top w:val="none" w:sz="0" w:space="0" w:color="auto"/>
                <w:left w:val="none" w:sz="0" w:space="0" w:color="auto"/>
                <w:bottom w:val="none" w:sz="0" w:space="0" w:color="auto"/>
                <w:right w:val="none" w:sz="0" w:space="0" w:color="auto"/>
              </w:divBdr>
            </w:div>
            <w:div w:id="1124153102">
              <w:marLeft w:val="0"/>
              <w:marRight w:val="0"/>
              <w:marTop w:val="0"/>
              <w:marBottom w:val="0"/>
              <w:divBdr>
                <w:top w:val="none" w:sz="0" w:space="0" w:color="auto"/>
                <w:left w:val="none" w:sz="0" w:space="0" w:color="auto"/>
                <w:bottom w:val="none" w:sz="0" w:space="0" w:color="auto"/>
                <w:right w:val="none" w:sz="0" w:space="0" w:color="auto"/>
              </w:divBdr>
            </w:div>
            <w:div w:id="1132090524">
              <w:marLeft w:val="0"/>
              <w:marRight w:val="0"/>
              <w:marTop w:val="0"/>
              <w:marBottom w:val="0"/>
              <w:divBdr>
                <w:top w:val="none" w:sz="0" w:space="0" w:color="auto"/>
                <w:left w:val="none" w:sz="0" w:space="0" w:color="auto"/>
                <w:bottom w:val="none" w:sz="0" w:space="0" w:color="auto"/>
                <w:right w:val="none" w:sz="0" w:space="0" w:color="auto"/>
              </w:divBdr>
            </w:div>
            <w:div w:id="1144658794">
              <w:marLeft w:val="0"/>
              <w:marRight w:val="0"/>
              <w:marTop w:val="0"/>
              <w:marBottom w:val="0"/>
              <w:divBdr>
                <w:top w:val="none" w:sz="0" w:space="0" w:color="auto"/>
                <w:left w:val="none" w:sz="0" w:space="0" w:color="auto"/>
                <w:bottom w:val="none" w:sz="0" w:space="0" w:color="auto"/>
                <w:right w:val="none" w:sz="0" w:space="0" w:color="auto"/>
              </w:divBdr>
            </w:div>
            <w:div w:id="1175068305">
              <w:marLeft w:val="0"/>
              <w:marRight w:val="0"/>
              <w:marTop w:val="0"/>
              <w:marBottom w:val="0"/>
              <w:divBdr>
                <w:top w:val="none" w:sz="0" w:space="0" w:color="auto"/>
                <w:left w:val="none" w:sz="0" w:space="0" w:color="auto"/>
                <w:bottom w:val="none" w:sz="0" w:space="0" w:color="auto"/>
                <w:right w:val="none" w:sz="0" w:space="0" w:color="auto"/>
              </w:divBdr>
            </w:div>
            <w:div w:id="1182553448">
              <w:marLeft w:val="0"/>
              <w:marRight w:val="0"/>
              <w:marTop w:val="0"/>
              <w:marBottom w:val="0"/>
              <w:divBdr>
                <w:top w:val="none" w:sz="0" w:space="0" w:color="auto"/>
                <w:left w:val="none" w:sz="0" w:space="0" w:color="auto"/>
                <w:bottom w:val="none" w:sz="0" w:space="0" w:color="auto"/>
                <w:right w:val="none" w:sz="0" w:space="0" w:color="auto"/>
              </w:divBdr>
            </w:div>
            <w:div w:id="1501702515">
              <w:marLeft w:val="0"/>
              <w:marRight w:val="0"/>
              <w:marTop w:val="0"/>
              <w:marBottom w:val="0"/>
              <w:divBdr>
                <w:top w:val="none" w:sz="0" w:space="0" w:color="auto"/>
                <w:left w:val="none" w:sz="0" w:space="0" w:color="auto"/>
                <w:bottom w:val="none" w:sz="0" w:space="0" w:color="auto"/>
                <w:right w:val="none" w:sz="0" w:space="0" w:color="auto"/>
              </w:divBdr>
            </w:div>
            <w:div w:id="1567377711">
              <w:marLeft w:val="0"/>
              <w:marRight w:val="0"/>
              <w:marTop w:val="0"/>
              <w:marBottom w:val="0"/>
              <w:divBdr>
                <w:top w:val="none" w:sz="0" w:space="0" w:color="auto"/>
                <w:left w:val="none" w:sz="0" w:space="0" w:color="auto"/>
                <w:bottom w:val="none" w:sz="0" w:space="0" w:color="auto"/>
                <w:right w:val="none" w:sz="0" w:space="0" w:color="auto"/>
              </w:divBdr>
            </w:div>
            <w:div w:id="1680308466">
              <w:marLeft w:val="0"/>
              <w:marRight w:val="0"/>
              <w:marTop w:val="0"/>
              <w:marBottom w:val="0"/>
              <w:divBdr>
                <w:top w:val="none" w:sz="0" w:space="0" w:color="auto"/>
                <w:left w:val="none" w:sz="0" w:space="0" w:color="auto"/>
                <w:bottom w:val="none" w:sz="0" w:space="0" w:color="auto"/>
                <w:right w:val="none" w:sz="0" w:space="0" w:color="auto"/>
              </w:divBdr>
            </w:div>
            <w:div w:id="1974172114">
              <w:marLeft w:val="0"/>
              <w:marRight w:val="0"/>
              <w:marTop w:val="0"/>
              <w:marBottom w:val="0"/>
              <w:divBdr>
                <w:top w:val="none" w:sz="0" w:space="0" w:color="auto"/>
                <w:left w:val="none" w:sz="0" w:space="0" w:color="auto"/>
                <w:bottom w:val="none" w:sz="0" w:space="0" w:color="auto"/>
                <w:right w:val="none" w:sz="0" w:space="0" w:color="auto"/>
              </w:divBdr>
            </w:div>
          </w:divsChild>
        </w:div>
        <w:div w:id="470631092">
          <w:marLeft w:val="0"/>
          <w:marRight w:val="0"/>
          <w:marTop w:val="0"/>
          <w:marBottom w:val="0"/>
          <w:divBdr>
            <w:top w:val="none" w:sz="0" w:space="0" w:color="auto"/>
            <w:left w:val="none" w:sz="0" w:space="0" w:color="auto"/>
            <w:bottom w:val="none" w:sz="0" w:space="0" w:color="auto"/>
            <w:right w:val="none" w:sz="0" w:space="0" w:color="auto"/>
          </w:divBdr>
          <w:divsChild>
            <w:div w:id="1025134608">
              <w:marLeft w:val="-75"/>
              <w:marRight w:val="0"/>
              <w:marTop w:val="30"/>
              <w:marBottom w:val="30"/>
              <w:divBdr>
                <w:top w:val="none" w:sz="0" w:space="0" w:color="auto"/>
                <w:left w:val="none" w:sz="0" w:space="0" w:color="auto"/>
                <w:bottom w:val="none" w:sz="0" w:space="0" w:color="auto"/>
                <w:right w:val="none" w:sz="0" w:space="0" w:color="auto"/>
              </w:divBdr>
              <w:divsChild>
                <w:div w:id="658387875">
                  <w:marLeft w:val="0"/>
                  <w:marRight w:val="0"/>
                  <w:marTop w:val="0"/>
                  <w:marBottom w:val="0"/>
                  <w:divBdr>
                    <w:top w:val="none" w:sz="0" w:space="0" w:color="auto"/>
                    <w:left w:val="none" w:sz="0" w:space="0" w:color="auto"/>
                    <w:bottom w:val="none" w:sz="0" w:space="0" w:color="auto"/>
                    <w:right w:val="none" w:sz="0" w:space="0" w:color="auto"/>
                  </w:divBdr>
                  <w:divsChild>
                    <w:div w:id="928388976">
                      <w:marLeft w:val="0"/>
                      <w:marRight w:val="0"/>
                      <w:marTop w:val="0"/>
                      <w:marBottom w:val="0"/>
                      <w:divBdr>
                        <w:top w:val="none" w:sz="0" w:space="0" w:color="auto"/>
                        <w:left w:val="none" w:sz="0" w:space="0" w:color="auto"/>
                        <w:bottom w:val="none" w:sz="0" w:space="0" w:color="auto"/>
                        <w:right w:val="none" w:sz="0" w:space="0" w:color="auto"/>
                      </w:divBdr>
                    </w:div>
                  </w:divsChild>
                </w:div>
                <w:div w:id="798375549">
                  <w:marLeft w:val="0"/>
                  <w:marRight w:val="0"/>
                  <w:marTop w:val="0"/>
                  <w:marBottom w:val="0"/>
                  <w:divBdr>
                    <w:top w:val="none" w:sz="0" w:space="0" w:color="auto"/>
                    <w:left w:val="none" w:sz="0" w:space="0" w:color="auto"/>
                    <w:bottom w:val="none" w:sz="0" w:space="0" w:color="auto"/>
                    <w:right w:val="none" w:sz="0" w:space="0" w:color="auto"/>
                  </w:divBdr>
                  <w:divsChild>
                    <w:div w:id="1044872042">
                      <w:marLeft w:val="0"/>
                      <w:marRight w:val="0"/>
                      <w:marTop w:val="0"/>
                      <w:marBottom w:val="0"/>
                      <w:divBdr>
                        <w:top w:val="none" w:sz="0" w:space="0" w:color="auto"/>
                        <w:left w:val="none" w:sz="0" w:space="0" w:color="auto"/>
                        <w:bottom w:val="none" w:sz="0" w:space="0" w:color="auto"/>
                        <w:right w:val="none" w:sz="0" w:space="0" w:color="auto"/>
                      </w:divBdr>
                    </w:div>
                  </w:divsChild>
                </w:div>
                <w:div w:id="809399303">
                  <w:marLeft w:val="0"/>
                  <w:marRight w:val="0"/>
                  <w:marTop w:val="0"/>
                  <w:marBottom w:val="0"/>
                  <w:divBdr>
                    <w:top w:val="none" w:sz="0" w:space="0" w:color="auto"/>
                    <w:left w:val="none" w:sz="0" w:space="0" w:color="auto"/>
                    <w:bottom w:val="none" w:sz="0" w:space="0" w:color="auto"/>
                    <w:right w:val="none" w:sz="0" w:space="0" w:color="auto"/>
                  </w:divBdr>
                  <w:divsChild>
                    <w:div w:id="65154830">
                      <w:marLeft w:val="0"/>
                      <w:marRight w:val="0"/>
                      <w:marTop w:val="0"/>
                      <w:marBottom w:val="0"/>
                      <w:divBdr>
                        <w:top w:val="none" w:sz="0" w:space="0" w:color="auto"/>
                        <w:left w:val="none" w:sz="0" w:space="0" w:color="auto"/>
                        <w:bottom w:val="none" w:sz="0" w:space="0" w:color="auto"/>
                        <w:right w:val="none" w:sz="0" w:space="0" w:color="auto"/>
                      </w:divBdr>
                    </w:div>
                  </w:divsChild>
                </w:div>
                <w:div w:id="820584193">
                  <w:marLeft w:val="0"/>
                  <w:marRight w:val="0"/>
                  <w:marTop w:val="0"/>
                  <w:marBottom w:val="0"/>
                  <w:divBdr>
                    <w:top w:val="none" w:sz="0" w:space="0" w:color="auto"/>
                    <w:left w:val="none" w:sz="0" w:space="0" w:color="auto"/>
                    <w:bottom w:val="none" w:sz="0" w:space="0" w:color="auto"/>
                    <w:right w:val="none" w:sz="0" w:space="0" w:color="auto"/>
                  </w:divBdr>
                  <w:divsChild>
                    <w:div w:id="1694650605">
                      <w:marLeft w:val="0"/>
                      <w:marRight w:val="0"/>
                      <w:marTop w:val="0"/>
                      <w:marBottom w:val="0"/>
                      <w:divBdr>
                        <w:top w:val="none" w:sz="0" w:space="0" w:color="auto"/>
                        <w:left w:val="none" w:sz="0" w:space="0" w:color="auto"/>
                        <w:bottom w:val="none" w:sz="0" w:space="0" w:color="auto"/>
                        <w:right w:val="none" w:sz="0" w:space="0" w:color="auto"/>
                      </w:divBdr>
                    </w:div>
                  </w:divsChild>
                </w:div>
                <w:div w:id="825589231">
                  <w:marLeft w:val="0"/>
                  <w:marRight w:val="0"/>
                  <w:marTop w:val="0"/>
                  <w:marBottom w:val="0"/>
                  <w:divBdr>
                    <w:top w:val="none" w:sz="0" w:space="0" w:color="auto"/>
                    <w:left w:val="none" w:sz="0" w:space="0" w:color="auto"/>
                    <w:bottom w:val="none" w:sz="0" w:space="0" w:color="auto"/>
                    <w:right w:val="none" w:sz="0" w:space="0" w:color="auto"/>
                  </w:divBdr>
                  <w:divsChild>
                    <w:div w:id="1542551612">
                      <w:marLeft w:val="0"/>
                      <w:marRight w:val="0"/>
                      <w:marTop w:val="0"/>
                      <w:marBottom w:val="0"/>
                      <w:divBdr>
                        <w:top w:val="none" w:sz="0" w:space="0" w:color="auto"/>
                        <w:left w:val="none" w:sz="0" w:space="0" w:color="auto"/>
                        <w:bottom w:val="none" w:sz="0" w:space="0" w:color="auto"/>
                        <w:right w:val="none" w:sz="0" w:space="0" w:color="auto"/>
                      </w:divBdr>
                    </w:div>
                  </w:divsChild>
                </w:div>
                <w:div w:id="948663901">
                  <w:marLeft w:val="0"/>
                  <w:marRight w:val="0"/>
                  <w:marTop w:val="0"/>
                  <w:marBottom w:val="0"/>
                  <w:divBdr>
                    <w:top w:val="none" w:sz="0" w:space="0" w:color="auto"/>
                    <w:left w:val="none" w:sz="0" w:space="0" w:color="auto"/>
                    <w:bottom w:val="none" w:sz="0" w:space="0" w:color="auto"/>
                    <w:right w:val="none" w:sz="0" w:space="0" w:color="auto"/>
                  </w:divBdr>
                  <w:divsChild>
                    <w:div w:id="1136874637">
                      <w:marLeft w:val="0"/>
                      <w:marRight w:val="0"/>
                      <w:marTop w:val="0"/>
                      <w:marBottom w:val="0"/>
                      <w:divBdr>
                        <w:top w:val="none" w:sz="0" w:space="0" w:color="auto"/>
                        <w:left w:val="none" w:sz="0" w:space="0" w:color="auto"/>
                        <w:bottom w:val="none" w:sz="0" w:space="0" w:color="auto"/>
                        <w:right w:val="none" w:sz="0" w:space="0" w:color="auto"/>
                      </w:divBdr>
                    </w:div>
                  </w:divsChild>
                </w:div>
                <w:div w:id="960305757">
                  <w:marLeft w:val="0"/>
                  <w:marRight w:val="0"/>
                  <w:marTop w:val="0"/>
                  <w:marBottom w:val="0"/>
                  <w:divBdr>
                    <w:top w:val="none" w:sz="0" w:space="0" w:color="auto"/>
                    <w:left w:val="none" w:sz="0" w:space="0" w:color="auto"/>
                    <w:bottom w:val="none" w:sz="0" w:space="0" w:color="auto"/>
                    <w:right w:val="none" w:sz="0" w:space="0" w:color="auto"/>
                  </w:divBdr>
                  <w:divsChild>
                    <w:div w:id="1938051913">
                      <w:marLeft w:val="0"/>
                      <w:marRight w:val="0"/>
                      <w:marTop w:val="0"/>
                      <w:marBottom w:val="0"/>
                      <w:divBdr>
                        <w:top w:val="none" w:sz="0" w:space="0" w:color="auto"/>
                        <w:left w:val="none" w:sz="0" w:space="0" w:color="auto"/>
                        <w:bottom w:val="none" w:sz="0" w:space="0" w:color="auto"/>
                        <w:right w:val="none" w:sz="0" w:space="0" w:color="auto"/>
                      </w:divBdr>
                    </w:div>
                  </w:divsChild>
                </w:div>
                <w:div w:id="1086147164">
                  <w:marLeft w:val="0"/>
                  <w:marRight w:val="0"/>
                  <w:marTop w:val="0"/>
                  <w:marBottom w:val="0"/>
                  <w:divBdr>
                    <w:top w:val="none" w:sz="0" w:space="0" w:color="auto"/>
                    <w:left w:val="none" w:sz="0" w:space="0" w:color="auto"/>
                    <w:bottom w:val="none" w:sz="0" w:space="0" w:color="auto"/>
                    <w:right w:val="none" w:sz="0" w:space="0" w:color="auto"/>
                  </w:divBdr>
                  <w:divsChild>
                    <w:div w:id="25644830">
                      <w:marLeft w:val="0"/>
                      <w:marRight w:val="0"/>
                      <w:marTop w:val="0"/>
                      <w:marBottom w:val="0"/>
                      <w:divBdr>
                        <w:top w:val="none" w:sz="0" w:space="0" w:color="auto"/>
                        <w:left w:val="none" w:sz="0" w:space="0" w:color="auto"/>
                        <w:bottom w:val="none" w:sz="0" w:space="0" w:color="auto"/>
                        <w:right w:val="none" w:sz="0" w:space="0" w:color="auto"/>
                      </w:divBdr>
                    </w:div>
                  </w:divsChild>
                </w:div>
                <w:div w:id="1223981386">
                  <w:marLeft w:val="0"/>
                  <w:marRight w:val="0"/>
                  <w:marTop w:val="0"/>
                  <w:marBottom w:val="0"/>
                  <w:divBdr>
                    <w:top w:val="none" w:sz="0" w:space="0" w:color="auto"/>
                    <w:left w:val="none" w:sz="0" w:space="0" w:color="auto"/>
                    <w:bottom w:val="none" w:sz="0" w:space="0" w:color="auto"/>
                    <w:right w:val="none" w:sz="0" w:space="0" w:color="auto"/>
                  </w:divBdr>
                  <w:divsChild>
                    <w:div w:id="1072968546">
                      <w:marLeft w:val="0"/>
                      <w:marRight w:val="0"/>
                      <w:marTop w:val="0"/>
                      <w:marBottom w:val="0"/>
                      <w:divBdr>
                        <w:top w:val="none" w:sz="0" w:space="0" w:color="auto"/>
                        <w:left w:val="none" w:sz="0" w:space="0" w:color="auto"/>
                        <w:bottom w:val="none" w:sz="0" w:space="0" w:color="auto"/>
                        <w:right w:val="none" w:sz="0" w:space="0" w:color="auto"/>
                      </w:divBdr>
                    </w:div>
                  </w:divsChild>
                </w:div>
                <w:div w:id="1357996504">
                  <w:marLeft w:val="0"/>
                  <w:marRight w:val="0"/>
                  <w:marTop w:val="0"/>
                  <w:marBottom w:val="0"/>
                  <w:divBdr>
                    <w:top w:val="none" w:sz="0" w:space="0" w:color="auto"/>
                    <w:left w:val="none" w:sz="0" w:space="0" w:color="auto"/>
                    <w:bottom w:val="none" w:sz="0" w:space="0" w:color="auto"/>
                    <w:right w:val="none" w:sz="0" w:space="0" w:color="auto"/>
                  </w:divBdr>
                  <w:divsChild>
                    <w:div w:id="431248382">
                      <w:marLeft w:val="0"/>
                      <w:marRight w:val="0"/>
                      <w:marTop w:val="0"/>
                      <w:marBottom w:val="0"/>
                      <w:divBdr>
                        <w:top w:val="none" w:sz="0" w:space="0" w:color="auto"/>
                        <w:left w:val="none" w:sz="0" w:space="0" w:color="auto"/>
                        <w:bottom w:val="none" w:sz="0" w:space="0" w:color="auto"/>
                        <w:right w:val="none" w:sz="0" w:space="0" w:color="auto"/>
                      </w:divBdr>
                    </w:div>
                  </w:divsChild>
                </w:div>
                <w:div w:id="1382822610">
                  <w:marLeft w:val="0"/>
                  <w:marRight w:val="0"/>
                  <w:marTop w:val="0"/>
                  <w:marBottom w:val="0"/>
                  <w:divBdr>
                    <w:top w:val="none" w:sz="0" w:space="0" w:color="auto"/>
                    <w:left w:val="none" w:sz="0" w:space="0" w:color="auto"/>
                    <w:bottom w:val="none" w:sz="0" w:space="0" w:color="auto"/>
                    <w:right w:val="none" w:sz="0" w:space="0" w:color="auto"/>
                  </w:divBdr>
                  <w:divsChild>
                    <w:div w:id="1031492866">
                      <w:marLeft w:val="0"/>
                      <w:marRight w:val="0"/>
                      <w:marTop w:val="0"/>
                      <w:marBottom w:val="0"/>
                      <w:divBdr>
                        <w:top w:val="none" w:sz="0" w:space="0" w:color="auto"/>
                        <w:left w:val="none" w:sz="0" w:space="0" w:color="auto"/>
                        <w:bottom w:val="none" w:sz="0" w:space="0" w:color="auto"/>
                        <w:right w:val="none" w:sz="0" w:space="0" w:color="auto"/>
                      </w:divBdr>
                    </w:div>
                  </w:divsChild>
                </w:div>
                <w:div w:id="1453864887">
                  <w:marLeft w:val="0"/>
                  <w:marRight w:val="0"/>
                  <w:marTop w:val="0"/>
                  <w:marBottom w:val="0"/>
                  <w:divBdr>
                    <w:top w:val="none" w:sz="0" w:space="0" w:color="auto"/>
                    <w:left w:val="none" w:sz="0" w:space="0" w:color="auto"/>
                    <w:bottom w:val="none" w:sz="0" w:space="0" w:color="auto"/>
                    <w:right w:val="none" w:sz="0" w:space="0" w:color="auto"/>
                  </w:divBdr>
                  <w:divsChild>
                    <w:div w:id="45446735">
                      <w:marLeft w:val="0"/>
                      <w:marRight w:val="0"/>
                      <w:marTop w:val="0"/>
                      <w:marBottom w:val="0"/>
                      <w:divBdr>
                        <w:top w:val="none" w:sz="0" w:space="0" w:color="auto"/>
                        <w:left w:val="none" w:sz="0" w:space="0" w:color="auto"/>
                        <w:bottom w:val="none" w:sz="0" w:space="0" w:color="auto"/>
                        <w:right w:val="none" w:sz="0" w:space="0" w:color="auto"/>
                      </w:divBdr>
                    </w:div>
                  </w:divsChild>
                </w:div>
                <w:div w:id="1594583369">
                  <w:marLeft w:val="0"/>
                  <w:marRight w:val="0"/>
                  <w:marTop w:val="0"/>
                  <w:marBottom w:val="0"/>
                  <w:divBdr>
                    <w:top w:val="none" w:sz="0" w:space="0" w:color="auto"/>
                    <w:left w:val="none" w:sz="0" w:space="0" w:color="auto"/>
                    <w:bottom w:val="none" w:sz="0" w:space="0" w:color="auto"/>
                    <w:right w:val="none" w:sz="0" w:space="0" w:color="auto"/>
                  </w:divBdr>
                  <w:divsChild>
                    <w:div w:id="763916091">
                      <w:marLeft w:val="0"/>
                      <w:marRight w:val="0"/>
                      <w:marTop w:val="0"/>
                      <w:marBottom w:val="0"/>
                      <w:divBdr>
                        <w:top w:val="none" w:sz="0" w:space="0" w:color="auto"/>
                        <w:left w:val="none" w:sz="0" w:space="0" w:color="auto"/>
                        <w:bottom w:val="none" w:sz="0" w:space="0" w:color="auto"/>
                        <w:right w:val="none" w:sz="0" w:space="0" w:color="auto"/>
                      </w:divBdr>
                    </w:div>
                  </w:divsChild>
                </w:div>
                <w:div w:id="1642422985">
                  <w:marLeft w:val="0"/>
                  <w:marRight w:val="0"/>
                  <w:marTop w:val="0"/>
                  <w:marBottom w:val="0"/>
                  <w:divBdr>
                    <w:top w:val="none" w:sz="0" w:space="0" w:color="auto"/>
                    <w:left w:val="none" w:sz="0" w:space="0" w:color="auto"/>
                    <w:bottom w:val="none" w:sz="0" w:space="0" w:color="auto"/>
                    <w:right w:val="none" w:sz="0" w:space="0" w:color="auto"/>
                  </w:divBdr>
                  <w:divsChild>
                    <w:div w:id="105738817">
                      <w:marLeft w:val="0"/>
                      <w:marRight w:val="0"/>
                      <w:marTop w:val="0"/>
                      <w:marBottom w:val="0"/>
                      <w:divBdr>
                        <w:top w:val="none" w:sz="0" w:space="0" w:color="auto"/>
                        <w:left w:val="none" w:sz="0" w:space="0" w:color="auto"/>
                        <w:bottom w:val="none" w:sz="0" w:space="0" w:color="auto"/>
                        <w:right w:val="none" w:sz="0" w:space="0" w:color="auto"/>
                      </w:divBdr>
                    </w:div>
                  </w:divsChild>
                </w:div>
                <w:div w:id="1768502284">
                  <w:marLeft w:val="0"/>
                  <w:marRight w:val="0"/>
                  <w:marTop w:val="0"/>
                  <w:marBottom w:val="0"/>
                  <w:divBdr>
                    <w:top w:val="none" w:sz="0" w:space="0" w:color="auto"/>
                    <w:left w:val="none" w:sz="0" w:space="0" w:color="auto"/>
                    <w:bottom w:val="none" w:sz="0" w:space="0" w:color="auto"/>
                    <w:right w:val="none" w:sz="0" w:space="0" w:color="auto"/>
                  </w:divBdr>
                  <w:divsChild>
                    <w:div w:id="1447430661">
                      <w:marLeft w:val="0"/>
                      <w:marRight w:val="0"/>
                      <w:marTop w:val="0"/>
                      <w:marBottom w:val="0"/>
                      <w:divBdr>
                        <w:top w:val="none" w:sz="0" w:space="0" w:color="auto"/>
                        <w:left w:val="none" w:sz="0" w:space="0" w:color="auto"/>
                        <w:bottom w:val="none" w:sz="0" w:space="0" w:color="auto"/>
                        <w:right w:val="none" w:sz="0" w:space="0" w:color="auto"/>
                      </w:divBdr>
                    </w:div>
                  </w:divsChild>
                </w:div>
                <w:div w:id="1795320093">
                  <w:marLeft w:val="0"/>
                  <w:marRight w:val="0"/>
                  <w:marTop w:val="0"/>
                  <w:marBottom w:val="0"/>
                  <w:divBdr>
                    <w:top w:val="none" w:sz="0" w:space="0" w:color="auto"/>
                    <w:left w:val="none" w:sz="0" w:space="0" w:color="auto"/>
                    <w:bottom w:val="none" w:sz="0" w:space="0" w:color="auto"/>
                    <w:right w:val="none" w:sz="0" w:space="0" w:color="auto"/>
                  </w:divBdr>
                  <w:divsChild>
                    <w:div w:id="1142842805">
                      <w:marLeft w:val="0"/>
                      <w:marRight w:val="0"/>
                      <w:marTop w:val="0"/>
                      <w:marBottom w:val="0"/>
                      <w:divBdr>
                        <w:top w:val="none" w:sz="0" w:space="0" w:color="auto"/>
                        <w:left w:val="none" w:sz="0" w:space="0" w:color="auto"/>
                        <w:bottom w:val="none" w:sz="0" w:space="0" w:color="auto"/>
                        <w:right w:val="none" w:sz="0" w:space="0" w:color="auto"/>
                      </w:divBdr>
                    </w:div>
                  </w:divsChild>
                </w:div>
                <w:div w:id="1816870126">
                  <w:marLeft w:val="0"/>
                  <w:marRight w:val="0"/>
                  <w:marTop w:val="0"/>
                  <w:marBottom w:val="0"/>
                  <w:divBdr>
                    <w:top w:val="none" w:sz="0" w:space="0" w:color="auto"/>
                    <w:left w:val="none" w:sz="0" w:space="0" w:color="auto"/>
                    <w:bottom w:val="none" w:sz="0" w:space="0" w:color="auto"/>
                    <w:right w:val="none" w:sz="0" w:space="0" w:color="auto"/>
                  </w:divBdr>
                  <w:divsChild>
                    <w:div w:id="1457333824">
                      <w:marLeft w:val="0"/>
                      <w:marRight w:val="0"/>
                      <w:marTop w:val="0"/>
                      <w:marBottom w:val="0"/>
                      <w:divBdr>
                        <w:top w:val="none" w:sz="0" w:space="0" w:color="auto"/>
                        <w:left w:val="none" w:sz="0" w:space="0" w:color="auto"/>
                        <w:bottom w:val="none" w:sz="0" w:space="0" w:color="auto"/>
                        <w:right w:val="none" w:sz="0" w:space="0" w:color="auto"/>
                      </w:divBdr>
                    </w:div>
                  </w:divsChild>
                </w:div>
                <w:div w:id="2085253169">
                  <w:marLeft w:val="0"/>
                  <w:marRight w:val="0"/>
                  <w:marTop w:val="0"/>
                  <w:marBottom w:val="0"/>
                  <w:divBdr>
                    <w:top w:val="none" w:sz="0" w:space="0" w:color="auto"/>
                    <w:left w:val="none" w:sz="0" w:space="0" w:color="auto"/>
                    <w:bottom w:val="none" w:sz="0" w:space="0" w:color="auto"/>
                    <w:right w:val="none" w:sz="0" w:space="0" w:color="auto"/>
                  </w:divBdr>
                  <w:divsChild>
                    <w:div w:id="9529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6218">
          <w:marLeft w:val="0"/>
          <w:marRight w:val="0"/>
          <w:marTop w:val="0"/>
          <w:marBottom w:val="0"/>
          <w:divBdr>
            <w:top w:val="none" w:sz="0" w:space="0" w:color="auto"/>
            <w:left w:val="none" w:sz="0" w:space="0" w:color="auto"/>
            <w:bottom w:val="none" w:sz="0" w:space="0" w:color="auto"/>
            <w:right w:val="none" w:sz="0" w:space="0" w:color="auto"/>
          </w:divBdr>
          <w:divsChild>
            <w:div w:id="240918704">
              <w:marLeft w:val="-75"/>
              <w:marRight w:val="0"/>
              <w:marTop w:val="30"/>
              <w:marBottom w:val="30"/>
              <w:divBdr>
                <w:top w:val="none" w:sz="0" w:space="0" w:color="auto"/>
                <w:left w:val="none" w:sz="0" w:space="0" w:color="auto"/>
                <w:bottom w:val="none" w:sz="0" w:space="0" w:color="auto"/>
                <w:right w:val="none" w:sz="0" w:space="0" w:color="auto"/>
              </w:divBdr>
              <w:divsChild>
                <w:div w:id="97481742">
                  <w:marLeft w:val="0"/>
                  <w:marRight w:val="0"/>
                  <w:marTop w:val="0"/>
                  <w:marBottom w:val="0"/>
                  <w:divBdr>
                    <w:top w:val="none" w:sz="0" w:space="0" w:color="auto"/>
                    <w:left w:val="none" w:sz="0" w:space="0" w:color="auto"/>
                    <w:bottom w:val="none" w:sz="0" w:space="0" w:color="auto"/>
                    <w:right w:val="none" w:sz="0" w:space="0" w:color="auto"/>
                  </w:divBdr>
                  <w:divsChild>
                    <w:div w:id="1178273886">
                      <w:marLeft w:val="0"/>
                      <w:marRight w:val="0"/>
                      <w:marTop w:val="0"/>
                      <w:marBottom w:val="0"/>
                      <w:divBdr>
                        <w:top w:val="none" w:sz="0" w:space="0" w:color="auto"/>
                        <w:left w:val="none" w:sz="0" w:space="0" w:color="auto"/>
                        <w:bottom w:val="none" w:sz="0" w:space="0" w:color="auto"/>
                        <w:right w:val="none" w:sz="0" w:space="0" w:color="auto"/>
                      </w:divBdr>
                    </w:div>
                  </w:divsChild>
                </w:div>
                <w:div w:id="202643323">
                  <w:marLeft w:val="0"/>
                  <w:marRight w:val="0"/>
                  <w:marTop w:val="0"/>
                  <w:marBottom w:val="0"/>
                  <w:divBdr>
                    <w:top w:val="none" w:sz="0" w:space="0" w:color="auto"/>
                    <w:left w:val="none" w:sz="0" w:space="0" w:color="auto"/>
                    <w:bottom w:val="none" w:sz="0" w:space="0" w:color="auto"/>
                    <w:right w:val="none" w:sz="0" w:space="0" w:color="auto"/>
                  </w:divBdr>
                  <w:divsChild>
                    <w:div w:id="1448041735">
                      <w:marLeft w:val="0"/>
                      <w:marRight w:val="0"/>
                      <w:marTop w:val="0"/>
                      <w:marBottom w:val="0"/>
                      <w:divBdr>
                        <w:top w:val="none" w:sz="0" w:space="0" w:color="auto"/>
                        <w:left w:val="none" w:sz="0" w:space="0" w:color="auto"/>
                        <w:bottom w:val="none" w:sz="0" w:space="0" w:color="auto"/>
                        <w:right w:val="none" w:sz="0" w:space="0" w:color="auto"/>
                      </w:divBdr>
                    </w:div>
                  </w:divsChild>
                </w:div>
                <w:div w:id="358049046">
                  <w:marLeft w:val="0"/>
                  <w:marRight w:val="0"/>
                  <w:marTop w:val="0"/>
                  <w:marBottom w:val="0"/>
                  <w:divBdr>
                    <w:top w:val="none" w:sz="0" w:space="0" w:color="auto"/>
                    <w:left w:val="none" w:sz="0" w:space="0" w:color="auto"/>
                    <w:bottom w:val="none" w:sz="0" w:space="0" w:color="auto"/>
                    <w:right w:val="none" w:sz="0" w:space="0" w:color="auto"/>
                  </w:divBdr>
                  <w:divsChild>
                    <w:div w:id="908074687">
                      <w:marLeft w:val="0"/>
                      <w:marRight w:val="0"/>
                      <w:marTop w:val="0"/>
                      <w:marBottom w:val="0"/>
                      <w:divBdr>
                        <w:top w:val="none" w:sz="0" w:space="0" w:color="auto"/>
                        <w:left w:val="none" w:sz="0" w:space="0" w:color="auto"/>
                        <w:bottom w:val="none" w:sz="0" w:space="0" w:color="auto"/>
                        <w:right w:val="none" w:sz="0" w:space="0" w:color="auto"/>
                      </w:divBdr>
                    </w:div>
                    <w:div w:id="1077244273">
                      <w:marLeft w:val="0"/>
                      <w:marRight w:val="0"/>
                      <w:marTop w:val="0"/>
                      <w:marBottom w:val="0"/>
                      <w:divBdr>
                        <w:top w:val="none" w:sz="0" w:space="0" w:color="auto"/>
                        <w:left w:val="none" w:sz="0" w:space="0" w:color="auto"/>
                        <w:bottom w:val="none" w:sz="0" w:space="0" w:color="auto"/>
                        <w:right w:val="none" w:sz="0" w:space="0" w:color="auto"/>
                      </w:divBdr>
                    </w:div>
                    <w:div w:id="1676033714">
                      <w:marLeft w:val="0"/>
                      <w:marRight w:val="0"/>
                      <w:marTop w:val="0"/>
                      <w:marBottom w:val="0"/>
                      <w:divBdr>
                        <w:top w:val="none" w:sz="0" w:space="0" w:color="auto"/>
                        <w:left w:val="none" w:sz="0" w:space="0" w:color="auto"/>
                        <w:bottom w:val="none" w:sz="0" w:space="0" w:color="auto"/>
                        <w:right w:val="none" w:sz="0" w:space="0" w:color="auto"/>
                      </w:divBdr>
                    </w:div>
                  </w:divsChild>
                </w:div>
                <w:div w:id="378211134">
                  <w:marLeft w:val="0"/>
                  <w:marRight w:val="0"/>
                  <w:marTop w:val="0"/>
                  <w:marBottom w:val="0"/>
                  <w:divBdr>
                    <w:top w:val="none" w:sz="0" w:space="0" w:color="auto"/>
                    <w:left w:val="none" w:sz="0" w:space="0" w:color="auto"/>
                    <w:bottom w:val="none" w:sz="0" w:space="0" w:color="auto"/>
                    <w:right w:val="none" w:sz="0" w:space="0" w:color="auto"/>
                  </w:divBdr>
                  <w:divsChild>
                    <w:div w:id="208540130">
                      <w:marLeft w:val="0"/>
                      <w:marRight w:val="0"/>
                      <w:marTop w:val="0"/>
                      <w:marBottom w:val="0"/>
                      <w:divBdr>
                        <w:top w:val="none" w:sz="0" w:space="0" w:color="auto"/>
                        <w:left w:val="none" w:sz="0" w:space="0" w:color="auto"/>
                        <w:bottom w:val="none" w:sz="0" w:space="0" w:color="auto"/>
                        <w:right w:val="none" w:sz="0" w:space="0" w:color="auto"/>
                      </w:divBdr>
                    </w:div>
                  </w:divsChild>
                </w:div>
                <w:div w:id="394091159">
                  <w:marLeft w:val="0"/>
                  <w:marRight w:val="0"/>
                  <w:marTop w:val="0"/>
                  <w:marBottom w:val="0"/>
                  <w:divBdr>
                    <w:top w:val="none" w:sz="0" w:space="0" w:color="auto"/>
                    <w:left w:val="none" w:sz="0" w:space="0" w:color="auto"/>
                    <w:bottom w:val="none" w:sz="0" w:space="0" w:color="auto"/>
                    <w:right w:val="none" w:sz="0" w:space="0" w:color="auto"/>
                  </w:divBdr>
                  <w:divsChild>
                    <w:div w:id="1897936336">
                      <w:marLeft w:val="0"/>
                      <w:marRight w:val="0"/>
                      <w:marTop w:val="0"/>
                      <w:marBottom w:val="0"/>
                      <w:divBdr>
                        <w:top w:val="none" w:sz="0" w:space="0" w:color="auto"/>
                        <w:left w:val="none" w:sz="0" w:space="0" w:color="auto"/>
                        <w:bottom w:val="none" w:sz="0" w:space="0" w:color="auto"/>
                        <w:right w:val="none" w:sz="0" w:space="0" w:color="auto"/>
                      </w:divBdr>
                    </w:div>
                  </w:divsChild>
                </w:div>
                <w:div w:id="434863357">
                  <w:marLeft w:val="0"/>
                  <w:marRight w:val="0"/>
                  <w:marTop w:val="0"/>
                  <w:marBottom w:val="0"/>
                  <w:divBdr>
                    <w:top w:val="none" w:sz="0" w:space="0" w:color="auto"/>
                    <w:left w:val="none" w:sz="0" w:space="0" w:color="auto"/>
                    <w:bottom w:val="none" w:sz="0" w:space="0" w:color="auto"/>
                    <w:right w:val="none" w:sz="0" w:space="0" w:color="auto"/>
                  </w:divBdr>
                  <w:divsChild>
                    <w:div w:id="947081516">
                      <w:marLeft w:val="0"/>
                      <w:marRight w:val="0"/>
                      <w:marTop w:val="0"/>
                      <w:marBottom w:val="0"/>
                      <w:divBdr>
                        <w:top w:val="none" w:sz="0" w:space="0" w:color="auto"/>
                        <w:left w:val="none" w:sz="0" w:space="0" w:color="auto"/>
                        <w:bottom w:val="none" w:sz="0" w:space="0" w:color="auto"/>
                        <w:right w:val="none" w:sz="0" w:space="0" w:color="auto"/>
                      </w:divBdr>
                    </w:div>
                  </w:divsChild>
                </w:div>
                <w:div w:id="528032008">
                  <w:marLeft w:val="0"/>
                  <w:marRight w:val="0"/>
                  <w:marTop w:val="0"/>
                  <w:marBottom w:val="0"/>
                  <w:divBdr>
                    <w:top w:val="none" w:sz="0" w:space="0" w:color="auto"/>
                    <w:left w:val="none" w:sz="0" w:space="0" w:color="auto"/>
                    <w:bottom w:val="none" w:sz="0" w:space="0" w:color="auto"/>
                    <w:right w:val="none" w:sz="0" w:space="0" w:color="auto"/>
                  </w:divBdr>
                  <w:divsChild>
                    <w:div w:id="608271203">
                      <w:marLeft w:val="0"/>
                      <w:marRight w:val="0"/>
                      <w:marTop w:val="0"/>
                      <w:marBottom w:val="0"/>
                      <w:divBdr>
                        <w:top w:val="none" w:sz="0" w:space="0" w:color="auto"/>
                        <w:left w:val="none" w:sz="0" w:space="0" w:color="auto"/>
                        <w:bottom w:val="none" w:sz="0" w:space="0" w:color="auto"/>
                        <w:right w:val="none" w:sz="0" w:space="0" w:color="auto"/>
                      </w:divBdr>
                    </w:div>
                  </w:divsChild>
                </w:div>
                <w:div w:id="676077236">
                  <w:marLeft w:val="0"/>
                  <w:marRight w:val="0"/>
                  <w:marTop w:val="0"/>
                  <w:marBottom w:val="0"/>
                  <w:divBdr>
                    <w:top w:val="none" w:sz="0" w:space="0" w:color="auto"/>
                    <w:left w:val="none" w:sz="0" w:space="0" w:color="auto"/>
                    <w:bottom w:val="none" w:sz="0" w:space="0" w:color="auto"/>
                    <w:right w:val="none" w:sz="0" w:space="0" w:color="auto"/>
                  </w:divBdr>
                  <w:divsChild>
                    <w:div w:id="1191643745">
                      <w:marLeft w:val="0"/>
                      <w:marRight w:val="0"/>
                      <w:marTop w:val="0"/>
                      <w:marBottom w:val="0"/>
                      <w:divBdr>
                        <w:top w:val="none" w:sz="0" w:space="0" w:color="auto"/>
                        <w:left w:val="none" w:sz="0" w:space="0" w:color="auto"/>
                        <w:bottom w:val="none" w:sz="0" w:space="0" w:color="auto"/>
                        <w:right w:val="none" w:sz="0" w:space="0" w:color="auto"/>
                      </w:divBdr>
                    </w:div>
                  </w:divsChild>
                </w:div>
                <w:div w:id="700783876">
                  <w:marLeft w:val="0"/>
                  <w:marRight w:val="0"/>
                  <w:marTop w:val="0"/>
                  <w:marBottom w:val="0"/>
                  <w:divBdr>
                    <w:top w:val="none" w:sz="0" w:space="0" w:color="auto"/>
                    <w:left w:val="none" w:sz="0" w:space="0" w:color="auto"/>
                    <w:bottom w:val="none" w:sz="0" w:space="0" w:color="auto"/>
                    <w:right w:val="none" w:sz="0" w:space="0" w:color="auto"/>
                  </w:divBdr>
                  <w:divsChild>
                    <w:div w:id="76293807">
                      <w:marLeft w:val="0"/>
                      <w:marRight w:val="0"/>
                      <w:marTop w:val="0"/>
                      <w:marBottom w:val="0"/>
                      <w:divBdr>
                        <w:top w:val="none" w:sz="0" w:space="0" w:color="auto"/>
                        <w:left w:val="none" w:sz="0" w:space="0" w:color="auto"/>
                        <w:bottom w:val="none" w:sz="0" w:space="0" w:color="auto"/>
                        <w:right w:val="none" w:sz="0" w:space="0" w:color="auto"/>
                      </w:divBdr>
                    </w:div>
                  </w:divsChild>
                </w:div>
                <w:div w:id="738599599">
                  <w:marLeft w:val="0"/>
                  <w:marRight w:val="0"/>
                  <w:marTop w:val="0"/>
                  <w:marBottom w:val="0"/>
                  <w:divBdr>
                    <w:top w:val="none" w:sz="0" w:space="0" w:color="auto"/>
                    <w:left w:val="none" w:sz="0" w:space="0" w:color="auto"/>
                    <w:bottom w:val="none" w:sz="0" w:space="0" w:color="auto"/>
                    <w:right w:val="none" w:sz="0" w:space="0" w:color="auto"/>
                  </w:divBdr>
                  <w:divsChild>
                    <w:div w:id="606931896">
                      <w:marLeft w:val="0"/>
                      <w:marRight w:val="0"/>
                      <w:marTop w:val="0"/>
                      <w:marBottom w:val="0"/>
                      <w:divBdr>
                        <w:top w:val="none" w:sz="0" w:space="0" w:color="auto"/>
                        <w:left w:val="none" w:sz="0" w:space="0" w:color="auto"/>
                        <w:bottom w:val="none" w:sz="0" w:space="0" w:color="auto"/>
                        <w:right w:val="none" w:sz="0" w:space="0" w:color="auto"/>
                      </w:divBdr>
                    </w:div>
                  </w:divsChild>
                </w:div>
                <w:div w:id="824055096">
                  <w:marLeft w:val="0"/>
                  <w:marRight w:val="0"/>
                  <w:marTop w:val="0"/>
                  <w:marBottom w:val="0"/>
                  <w:divBdr>
                    <w:top w:val="none" w:sz="0" w:space="0" w:color="auto"/>
                    <w:left w:val="none" w:sz="0" w:space="0" w:color="auto"/>
                    <w:bottom w:val="none" w:sz="0" w:space="0" w:color="auto"/>
                    <w:right w:val="none" w:sz="0" w:space="0" w:color="auto"/>
                  </w:divBdr>
                  <w:divsChild>
                    <w:div w:id="186332130">
                      <w:marLeft w:val="0"/>
                      <w:marRight w:val="0"/>
                      <w:marTop w:val="0"/>
                      <w:marBottom w:val="0"/>
                      <w:divBdr>
                        <w:top w:val="none" w:sz="0" w:space="0" w:color="auto"/>
                        <w:left w:val="none" w:sz="0" w:space="0" w:color="auto"/>
                        <w:bottom w:val="none" w:sz="0" w:space="0" w:color="auto"/>
                        <w:right w:val="none" w:sz="0" w:space="0" w:color="auto"/>
                      </w:divBdr>
                    </w:div>
                    <w:div w:id="753479538">
                      <w:marLeft w:val="0"/>
                      <w:marRight w:val="0"/>
                      <w:marTop w:val="0"/>
                      <w:marBottom w:val="0"/>
                      <w:divBdr>
                        <w:top w:val="none" w:sz="0" w:space="0" w:color="auto"/>
                        <w:left w:val="none" w:sz="0" w:space="0" w:color="auto"/>
                        <w:bottom w:val="none" w:sz="0" w:space="0" w:color="auto"/>
                        <w:right w:val="none" w:sz="0" w:space="0" w:color="auto"/>
                      </w:divBdr>
                    </w:div>
                    <w:div w:id="2070374795">
                      <w:marLeft w:val="0"/>
                      <w:marRight w:val="0"/>
                      <w:marTop w:val="0"/>
                      <w:marBottom w:val="0"/>
                      <w:divBdr>
                        <w:top w:val="none" w:sz="0" w:space="0" w:color="auto"/>
                        <w:left w:val="none" w:sz="0" w:space="0" w:color="auto"/>
                        <w:bottom w:val="none" w:sz="0" w:space="0" w:color="auto"/>
                        <w:right w:val="none" w:sz="0" w:space="0" w:color="auto"/>
                      </w:divBdr>
                    </w:div>
                  </w:divsChild>
                </w:div>
                <w:div w:id="848787229">
                  <w:marLeft w:val="0"/>
                  <w:marRight w:val="0"/>
                  <w:marTop w:val="0"/>
                  <w:marBottom w:val="0"/>
                  <w:divBdr>
                    <w:top w:val="none" w:sz="0" w:space="0" w:color="auto"/>
                    <w:left w:val="none" w:sz="0" w:space="0" w:color="auto"/>
                    <w:bottom w:val="none" w:sz="0" w:space="0" w:color="auto"/>
                    <w:right w:val="none" w:sz="0" w:space="0" w:color="auto"/>
                  </w:divBdr>
                  <w:divsChild>
                    <w:div w:id="876623266">
                      <w:marLeft w:val="0"/>
                      <w:marRight w:val="0"/>
                      <w:marTop w:val="0"/>
                      <w:marBottom w:val="0"/>
                      <w:divBdr>
                        <w:top w:val="none" w:sz="0" w:space="0" w:color="auto"/>
                        <w:left w:val="none" w:sz="0" w:space="0" w:color="auto"/>
                        <w:bottom w:val="none" w:sz="0" w:space="0" w:color="auto"/>
                        <w:right w:val="none" w:sz="0" w:space="0" w:color="auto"/>
                      </w:divBdr>
                    </w:div>
                  </w:divsChild>
                </w:div>
                <w:div w:id="907035505">
                  <w:marLeft w:val="0"/>
                  <w:marRight w:val="0"/>
                  <w:marTop w:val="0"/>
                  <w:marBottom w:val="0"/>
                  <w:divBdr>
                    <w:top w:val="none" w:sz="0" w:space="0" w:color="auto"/>
                    <w:left w:val="none" w:sz="0" w:space="0" w:color="auto"/>
                    <w:bottom w:val="none" w:sz="0" w:space="0" w:color="auto"/>
                    <w:right w:val="none" w:sz="0" w:space="0" w:color="auto"/>
                  </w:divBdr>
                  <w:divsChild>
                    <w:div w:id="1160194072">
                      <w:marLeft w:val="0"/>
                      <w:marRight w:val="0"/>
                      <w:marTop w:val="0"/>
                      <w:marBottom w:val="0"/>
                      <w:divBdr>
                        <w:top w:val="none" w:sz="0" w:space="0" w:color="auto"/>
                        <w:left w:val="none" w:sz="0" w:space="0" w:color="auto"/>
                        <w:bottom w:val="none" w:sz="0" w:space="0" w:color="auto"/>
                        <w:right w:val="none" w:sz="0" w:space="0" w:color="auto"/>
                      </w:divBdr>
                    </w:div>
                  </w:divsChild>
                </w:div>
                <w:div w:id="1046560791">
                  <w:marLeft w:val="0"/>
                  <w:marRight w:val="0"/>
                  <w:marTop w:val="0"/>
                  <w:marBottom w:val="0"/>
                  <w:divBdr>
                    <w:top w:val="none" w:sz="0" w:space="0" w:color="auto"/>
                    <w:left w:val="none" w:sz="0" w:space="0" w:color="auto"/>
                    <w:bottom w:val="none" w:sz="0" w:space="0" w:color="auto"/>
                    <w:right w:val="none" w:sz="0" w:space="0" w:color="auto"/>
                  </w:divBdr>
                  <w:divsChild>
                    <w:div w:id="749891113">
                      <w:marLeft w:val="0"/>
                      <w:marRight w:val="0"/>
                      <w:marTop w:val="0"/>
                      <w:marBottom w:val="0"/>
                      <w:divBdr>
                        <w:top w:val="none" w:sz="0" w:space="0" w:color="auto"/>
                        <w:left w:val="none" w:sz="0" w:space="0" w:color="auto"/>
                        <w:bottom w:val="none" w:sz="0" w:space="0" w:color="auto"/>
                        <w:right w:val="none" w:sz="0" w:space="0" w:color="auto"/>
                      </w:divBdr>
                    </w:div>
                  </w:divsChild>
                </w:div>
                <w:div w:id="1131947688">
                  <w:marLeft w:val="0"/>
                  <w:marRight w:val="0"/>
                  <w:marTop w:val="0"/>
                  <w:marBottom w:val="0"/>
                  <w:divBdr>
                    <w:top w:val="none" w:sz="0" w:space="0" w:color="auto"/>
                    <w:left w:val="none" w:sz="0" w:space="0" w:color="auto"/>
                    <w:bottom w:val="none" w:sz="0" w:space="0" w:color="auto"/>
                    <w:right w:val="none" w:sz="0" w:space="0" w:color="auto"/>
                  </w:divBdr>
                  <w:divsChild>
                    <w:div w:id="1080056066">
                      <w:marLeft w:val="0"/>
                      <w:marRight w:val="0"/>
                      <w:marTop w:val="0"/>
                      <w:marBottom w:val="0"/>
                      <w:divBdr>
                        <w:top w:val="none" w:sz="0" w:space="0" w:color="auto"/>
                        <w:left w:val="none" w:sz="0" w:space="0" w:color="auto"/>
                        <w:bottom w:val="none" w:sz="0" w:space="0" w:color="auto"/>
                        <w:right w:val="none" w:sz="0" w:space="0" w:color="auto"/>
                      </w:divBdr>
                    </w:div>
                  </w:divsChild>
                </w:div>
                <w:div w:id="1136336511">
                  <w:marLeft w:val="0"/>
                  <w:marRight w:val="0"/>
                  <w:marTop w:val="0"/>
                  <w:marBottom w:val="0"/>
                  <w:divBdr>
                    <w:top w:val="none" w:sz="0" w:space="0" w:color="auto"/>
                    <w:left w:val="none" w:sz="0" w:space="0" w:color="auto"/>
                    <w:bottom w:val="none" w:sz="0" w:space="0" w:color="auto"/>
                    <w:right w:val="none" w:sz="0" w:space="0" w:color="auto"/>
                  </w:divBdr>
                  <w:divsChild>
                    <w:div w:id="1673874599">
                      <w:marLeft w:val="0"/>
                      <w:marRight w:val="0"/>
                      <w:marTop w:val="0"/>
                      <w:marBottom w:val="0"/>
                      <w:divBdr>
                        <w:top w:val="none" w:sz="0" w:space="0" w:color="auto"/>
                        <w:left w:val="none" w:sz="0" w:space="0" w:color="auto"/>
                        <w:bottom w:val="none" w:sz="0" w:space="0" w:color="auto"/>
                        <w:right w:val="none" w:sz="0" w:space="0" w:color="auto"/>
                      </w:divBdr>
                    </w:div>
                  </w:divsChild>
                </w:div>
                <w:div w:id="1186600449">
                  <w:marLeft w:val="0"/>
                  <w:marRight w:val="0"/>
                  <w:marTop w:val="0"/>
                  <w:marBottom w:val="0"/>
                  <w:divBdr>
                    <w:top w:val="none" w:sz="0" w:space="0" w:color="auto"/>
                    <w:left w:val="none" w:sz="0" w:space="0" w:color="auto"/>
                    <w:bottom w:val="none" w:sz="0" w:space="0" w:color="auto"/>
                    <w:right w:val="none" w:sz="0" w:space="0" w:color="auto"/>
                  </w:divBdr>
                  <w:divsChild>
                    <w:div w:id="654379447">
                      <w:marLeft w:val="0"/>
                      <w:marRight w:val="0"/>
                      <w:marTop w:val="0"/>
                      <w:marBottom w:val="0"/>
                      <w:divBdr>
                        <w:top w:val="none" w:sz="0" w:space="0" w:color="auto"/>
                        <w:left w:val="none" w:sz="0" w:space="0" w:color="auto"/>
                        <w:bottom w:val="none" w:sz="0" w:space="0" w:color="auto"/>
                        <w:right w:val="none" w:sz="0" w:space="0" w:color="auto"/>
                      </w:divBdr>
                    </w:div>
                  </w:divsChild>
                </w:div>
                <w:div w:id="1208449533">
                  <w:marLeft w:val="0"/>
                  <w:marRight w:val="0"/>
                  <w:marTop w:val="0"/>
                  <w:marBottom w:val="0"/>
                  <w:divBdr>
                    <w:top w:val="none" w:sz="0" w:space="0" w:color="auto"/>
                    <w:left w:val="none" w:sz="0" w:space="0" w:color="auto"/>
                    <w:bottom w:val="none" w:sz="0" w:space="0" w:color="auto"/>
                    <w:right w:val="none" w:sz="0" w:space="0" w:color="auto"/>
                  </w:divBdr>
                  <w:divsChild>
                    <w:div w:id="645663670">
                      <w:marLeft w:val="0"/>
                      <w:marRight w:val="0"/>
                      <w:marTop w:val="0"/>
                      <w:marBottom w:val="0"/>
                      <w:divBdr>
                        <w:top w:val="none" w:sz="0" w:space="0" w:color="auto"/>
                        <w:left w:val="none" w:sz="0" w:space="0" w:color="auto"/>
                        <w:bottom w:val="none" w:sz="0" w:space="0" w:color="auto"/>
                        <w:right w:val="none" w:sz="0" w:space="0" w:color="auto"/>
                      </w:divBdr>
                    </w:div>
                  </w:divsChild>
                </w:div>
                <w:div w:id="1210265563">
                  <w:marLeft w:val="0"/>
                  <w:marRight w:val="0"/>
                  <w:marTop w:val="0"/>
                  <w:marBottom w:val="0"/>
                  <w:divBdr>
                    <w:top w:val="none" w:sz="0" w:space="0" w:color="auto"/>
                    <w:left w:val="none" w:sz="0" w:space="0" w:color="auto"/>
                    <w:bottom w:val="none" w:sz="0" w:space="0" w:color="auto"/>
                    <w:right w:val="none" w:sz="0" w:space="0" w:color="auto"/>
                  </w:divBdr>
                  <w:divsChild>
                    <w:div w:id="1556548537">
                      <w:marLeft w:val="0"/>
                      <w:marRight w:val="0"/>
                      <w:marTop w:val="0"/>
                      <w:marBottom w:val="0"/>
                      <w:divBdr>
                        <w:top w:val="none" w:sz="0" w:space="0" w:color="auto"/>
                        <w:left w:val="none" w:sz="0" w:space="0" w:color="auto"/>
                        <w:bottom w:val="none" w:sz="0" w:space="0" w:color="auto"/>
                        <w:right w:val="none" w:sz="0" w:space="0" w:color="auto"/>
                      </w:divBdr>
                    </w:div>
                  </w:divsChild>
                </w:div>
                <w:div w:id="1232541992">
                  <w:marLeft w:val="0"/>
                  <w:marRight w:val="0"/>
                  <w:marTop w:val="0"/>
                  <w:marBottom w:val="0"/>
                  <w:divBdr>
                    <w:top w:val="none" w:sz="0" w:space="0" w:color="auto"/>
                    <w:left w:val="none" w:sz="0" w:space="0" w:color="auto"/>
                    <w:bottom w:val="none" w:sz="0" w:space="0" w:color="auto"/>
                    <w:right w:val="none" w:sz="0" w:space="0" w:color="auto"/>
                  </w:divBdr>
                  <w:divsChild>
                    <w:div w:id="1950575699">
                      <w:marLeft w:val="0"/>
                      <w:marRight w:val="0"/>
                      <w:marTop w:val="0"/>
                      <w:marBottom w:val="0"/>
                      <w:divBdr>
                        <w:top w:val="none" w:sz="0" w:space="0" w:color="auto"/>
                        <w:left w:val="none" w:sz="0" w:space="0" w:color="auto"/>
                        <w:bottom w:val="none" w:sz="0" w:space="0" w:color="auto"/>
                        <w:right w:val="none" w:sz="0" w:space="0" w:color="auto"/>
                      </w:divBdr>
                    </w:div>
                  </w:divsChild>
                </w:div>
                <w:div w:id="1236167891">
                  <w:marLeft w:val="0"/>
                  <w:marRight w:val="0"/>
                  <w:marTop w:val="0"/>
                  <w:marBottom w:val="0"/>
                  <w:divBdr>
                    <w:top w:val="none" w:sz="0" w:space="0" w:color="auto"/>
                    <w:left w:val="none" w:sz="0" w:space="0" w:color="auto"/>
                    <w:bottom w:val="none" w:sz="0" w:space="0" w:color="auto"/>
                    <w:right w:val="none" w:sz="0" w:space="0" w:color="auto"/>
                  </w:divBdr>
                  <w:divsChild>
                    <w:div w:id="1726443309">
                      <w:marLeft w:val="0"/>
                      <w:marRight w:val="0"/>
                      <w:marTop w:val="0"/>
                      <w:marBottom w:val="0"/>
                      <w:divBdr>
                        <w:top w:val="none" w:sz="0" w:space="0" w:color="auto"/>
                        <w:left w:val="none" w:sz="0" w:space="0" w:color="auto"/>
                        <w:bottom w:val="none" w:sz="0" w:space="0" w:color="auto"/>
                        <w:right w:val="none" w:sz="0" w:space="0" w:color="auto"/>
                      </w:divBdr>
                    </w:div>
                  </w:divsChild>
                </w:div>
                <w:div w:id="1277524787">
                  <w:marLeft w:val="0"/>
                  <w:marRight w:val="0"/>
                  <w:marTop w:val="0"/>
                  <w:marBottom w:val="0"/>
                  <w:divBdr>
                    <w:top w:val="none" w:sz="0" w:space="0" w:color="auto"/>
                    <w:left w:val="none" w:sz="0" w:space="0" w:color="auto"/>
                    <w:bottom w:val="none" w:sz="0" w:space="0" w:color="auto"/>
                    <w:right w:val="none" w:sz="0" w:space="0" w:color="auto"/>
                  </w:divBdr>
                  <w:divsChild>
                    <w:div w:id="201216538">
                      <w:marLeft w:val="0"/>
                      <w:marRight w:val="0"/>
                      <w:marTop w:val="0"/>
                      <w:marBottom w:val="0"/>
                      <w:divBdr>
                        <w:top w:val="none" w:sz="0" w:space="0" w:color="auto"/>
                        <w:left w:val="none" w:sz="0" w:space="0" w:color="auto"/>
                        <w:bottom w:val="none" w:sz="0" w:space="0" w:color="auto"/>
                        <w:right w:val="none" w:sz="0" w:space="0" w:color="auto"/>
                      </w:divBdr>
                    </w:div>
                  </w:divsChild>
                </w:div>
                <w:div w:id="1293949396">
                  <w:marLeft w:val="0"/>
                  <w:marRight w:val="0"/>
                  <w:marTop w:val="0"/>
                  <w:marBottom w:val="0"/>
                  <w:divBdr>
                    <w:top w:val="none" w:sz="0" w:space="0" w:color="auto"/>
                    <w:left w:val="none" w:sz="0" w:space="0" w:color="auto"/>
                    <w:bottom w:val="none" w:sz="0" w:space="0" w:color="auto"/>
                    <w:right w:val="none" w:sz="0" w:space="0" w:color="auto"/>
                  </w:divBdr>
                  <w:divsChild>
                    <w:div w:id="1364399471">
                      <w:marLeft w:val="0"/>
                      <w:marRight w:val="0"/>
                      <w:marTop w:val="0"/>
                      <w:marBottom w:val="0"/>
                      <w:divBdr>
                        <w:top w:val="none" w:sz="0" w:space="0" w:color="auto"/>
                        <w:left w:val="none" w:sz="0" w:space="0" w:color="auto"/>
                        <w:bottom w:val="none" w:sz="0" w:space="0" w:color="auto"/>
                        <w:right w:val="none" w:sz="0" w:space="0" w:color="auto"/>
                      </w:divBdr>
                    </w:div>
                  </w:divsChild>
                </w:div>
                <w:div w:id="1535583506">
                  <w:marLeft w:val="0"/>
                  <w:marRight w:val="0"/>
                  <w:marTop w:val="0"/>
                  <w:marBottom w:val="0"/>
                  <w:divBdr>
                    <w:top w:val="none" w:sz="0" w:space="0" w:color="auto"/>
                    <w:left w:val="none" w:sz="0" w:space="0" w:color="auto"/>
                    <w:bottom w:val="none" w:sz="0" w:space="0" w:color="auto"/>
                    <w:right w:val="none" w:sz="0" w:space="0" w:color="auto"/>
                  </w:divBdr>
                  <w:divsChild>
                    <w:div w:id="16200443">
                      <w:marLeft w:val="0"/>
                      <w:marRight w:val="0"/>
                      <w:marTop w:val="0"/>
                      <w:marBottom w:val="0"/>
                      <w:divBdr>
                        <w:top w:val="none" w:sz="0" w:space="0" w:color="auto"/>
                        <w:left w:val="none" w:sz="0" w:space="0" w:color="auto"/>
                        <w:bottom w:val="none" w:sz="0" w:space="0" w:color="auto"/>
                        <w:right w:val="none" w:sz="0" w:space="0" w:color="auto"/>
                      </w:divBdr>
                    </w:div>
                  </w:divsChild>
                </w:div>
                <w:div w:id="1573156022">
                  <w:marLeft w:val="0"/>
                  <w:marRight w:val="0"/>
                  <w:marTop w:val="0"/>
                  <w:marBottom w:val="0"/>
                  <w:divBdr>
                    <w:top w:val="none" w:sz="0" w:space="0" w:color="auto"/>
                    <w:left w:val="none" w:sz="0" w:space="0" w:color="auto"/>
                    <w:bottom w:val="none" w:sz="0" w:space="0" w:color="auto"/>
                    <w:right w:val="none" w:sz="0" w:space="0" w:color="auto"/>
                  </w:divBdr>
                  <w:divsChild>
                    <w:div w:id="1884126873">
                      <w:marLeft w:val="0"/>
                      <w:marRight w:val="0"/>
                      <w:marTop w:val="0"/>
                      <w:marBottom w:val="0"/>
                      <w:divBdr>
                        <w:top w:val="none" w:sz="0" w:space="0" w:color="auto"/>
                        <w:left w:val="none" w:sz="0" w:space="0" w:color="auto"/>
                        <w:bottom w:val="none" w:sz="0" w:space="0" w:color="auto"/>
                        <w:right w:val="none" w:sz="0" w:space="0" w:color="auto"/>
                      </w:divBdr>
                    </w:div>
                  </w:divsChild>
                </w:div>
                <w:div w:id="1678850551">
                  <w:marLeft w:val="0"/>
                  <w:marRight w:val="0"/>
                  <w:marTop w:val="0"/>
                  <w:marBottom w:val="0"/>
                  <w:divBdr>
                    <w:top w:val="none" w:sz="0" w:space="0" w:color="auto"/>
                    <w:left w:val="none" w:sz="0" w:space="0" w:color="auto"/>
                    <w:bottom w:val="none" w:sz="0" w:space="0" w:color="auto"/>
                    <w:right w:val="none" w:sz="0" w:space="0" w:color="auto"/>
                  </w:divBdr>
                  <w:divsChild>
                    <w:div w:id="1762870816">
                      <w:marLeft w:val="0"/>
                      <w:marRight w:val="0"/>
                      <w:marTop w:val="0"/>
                      <w:marBottom w:val="0"/>
                      <w:divBdr>
                        <w:top w:val="none" w:sz="0" w:space="0" w:color="auto"/>
                        <w:left w:val="none" w:sz="0" w:space="0" w:color="auto"/>
                        <w:bottom w:val="none" w:sz="0" w:space="0" w:color="auto"/>
                        <w:right w:val="none" w:sz="0" w:space="0" w:color="auto"/>
                      </w:divBdr>
                    </w:div>
                  </w:divsChild>
                </w:div>
                <w:div w:id="1702167706">
                  <w:marLeft w:val="0"/>
                  <w:marRight w:val="0"/>
                  <w:marTop w:val="0"/>
                  <w:marBottom w:val="0"/>
                  <w:divBdr>
                    <w:top w:val="none" w:sz="0" w:space="0" w:color="auto"/>
                    <w:left w:val="none" w:sz="0" w:space="0" w:color="auto"/>
                    <w:bottom w:val="none" w:sz="0" w:space="0" w:color="auto"/>
                    <w:right w:val="none" w:sz="0" w:space="0" w:color="auto"/>
                  </w:divBdr>
                  <w:divsChild>
                    <w:div w:id="2107461623">
                      <w:marLeft w:val="0"/>
                      <w:marRight w:val="0"/>
                      <w:marTop w:val="0"/>
                      <w:marBottom w:val="0"/>
                      <w:divBdr>
                        <w:top w:val="none" w:sz="0" w:space="0" w:color="auto"/>
                        <w:left w:val="none" w:sz="0" w:space="0" w:color="auto"/>
                        <w:bottom w:val="none" w:sz="0" w:space="0" w:color="auto"/>
                        <w:right w:val="none" w:sz="0" w:space="0" w:color="auto"/>
                      </w:divBdr>
                    </w:div>
                  </w:divsChild>
                </w:div>
                <w:div w:id="1728844167">
                  <w:marLeft w:val="0"/>
                  <w:marRight w:val="0"/>
                  <w:marTop w:val="0"/>
                  <w:marBottom w:val="0"/>
                  <w:divBdr>
                    <w:top w:val="none" w:sz="0" w:space="0" w:color="auto"/>
                    <w:left w:val="none" w:sz="0" w:space="0" w:color="auto"/>
                    <w:bottom w:val="none" w:sz="0" w:space="0" w:color="auto"/>
                    <w:right w:val="none" w:sz="0" w:space="0" w:color="auto"/>
                  </w:divBdr>
                  <w:divsChild>
                    <w:div w:id="489323551">
                      <w:marLeft w:val="0"/>
                      <w:marRight w:val="0"/>
                      <w:marTop w:val="0"/>
                      <w:marBottom w:val="0"/>
                      <w:divBdr>
                        <w:top w:val="none" w:sz="0" w:space="0" w:color="auto"/>
                        <w:left w:val="none" w:sz="0" w:space="0" w:color="auto"/>
                        <w:bottom w:val="none" w:sz="0" w:space="0" w:color="auto"/>
                        <w:right w:val="none" w:sz="0" w:space="0" w:color="auto"/>
                      </w:divBdr>
                    </w:div>
                  </w:divsChild>
                </w:div>
                <w:div w:id="1787238780">
                  <w:marLeft w:val="0"/>
                  <w:marRight w:val="0"/>
                  <w:marTop w:val="0"/>
                  <w:marBottom w:val="0"/>
                  <w:divBdr>
                    <w:top w:val="none" w:sz="0" w:space="0" w:color="auto"/>
                    <w:left w:val="none" w:sz="0" w:space="0" w:color="auto"/>
                    <w:bottom w:val="none" w:sz="0" w:space="0" w:color="auto"/>
                    <w:right w:val="none" w:sz="0" w:space="0" w:color="auto"/>
                  </w:divBdr>
                  <w:divsChild>
                    <w:div w:id="80881296">
                      <w:marLeft w:val="0"/>
                      <w:marRight w:val="0"/>
                      <w:marTop w:val="0"/>
                      <w:marBottom w:val="0"/>
                      <w:divBdr>
                        <w:top w:val="none" w:sz="0" w:space="0" w:color="auto"/>
                        <w:left w:val="none" w:sz="0" w:space="0" w:color="auto"/>
                        <w:bottom w:val="none" w:sz="0" w:space="0" w:color="auto"/>
                        <w:right w:val="none" w:sz="0" w:space="0" w:color="auto"/>
                      </w:divBdr>
                    </w:div>
                  </w:divsChild>
                </w:div>
                <w:div w:id="1818260973">
                  <w:marLeft w:val="0"/>
                  <w:marRight w:val="0"/>
                  <w:marTop w:val="0"/>
                  <w:marBottom w:val="0"/>
                  <w:divBdr>
                    <w:top w:val="none" w:sz="0" w:space="0" w:color="auto"/>
                    <w:left w:val="none" w:sz="0" w:space="0" w:color="auto"/>
                    <w:bottom w:val="none" w:sz="0" w:space="0" w:color="auto"/>
                    <w:right w:val="none" w:sz="0" w:space="0" w:color="auto"/>
                  </w:divBdr>
                  <w:divsChild>
                    <w:div w:id="1795564923">
                      <w:marLeft w:val="0"/>
                      <w:marRight w:val="0"/>
                      <w:marTop w:val="0"/>
                      <w:marBottom w:val="0"/>
                      <w:divBdr>
                        <w:top w:val="none" w:sz="0" w:space="0" w:color="auto"/>
                        <w:left w:val="none" w:sz="0" w:space="0" w:color="auto"/>
                        <w:bottom w:val="none" w:sz="0" w:space="0" w:color="auto"/>
                        <w:right w:val="none" w:sz="0" w:space="0" w:color="auto"/>
                      </w:divBdr>
                    </w:div>
                  </w:divsChild>
                </w:div>
                <w:div w:id="1899896053">
                  <w:marLeft w:val="0"/>
                  <w:marRight w:val="0"/>
                  <w:marTop w:val="0"/>
                  <w:marBottom w:val="0"/>
                  <w:divBdr>
                    <w:top w:val="none" w:sz="0" w:space="0" w:color="auto"/>
                    <w:left w:val="none" w:sz="0" w:space="0" w:color="auto"/>
                    <w:bottom w:val="none" w:sz="0" w:space="0" w:color="auto"/>
                    <w:right w:val="none" w:sz="0" w:space="0" w:color="auto"/>
                  </w:divBdr>
                  <w:divsChild>
                    <w:div w:id="626786437">
                      <w:marLeft w:val="0"/>
                      <w:marRight w:val="0"/>
                      <w:marTop w:val="0"/>
                      <w:marBottom w:val="0"/>
                      <w:divBdr>
                        <w:top w:val="none" w:sz="0" w:space="0" w:color="auto"/>
                        <w:left w:val="none" w:sz="0" w:space="0" w:color="auto"/>
                        <w:bottom w:val="none" w:sz="0" w:space="0" w:color="auto"/>
                        <w:right w:val="none" w:sz="0" w:space="0" w:color="auto"/>
                      </w:divBdr>
                    </w:div>
                  </w:divsChild>
                </w:div>
                <w:div w:id="2079934703">
                  <w:marLeft w:val="0"/>
                  <w:marRight w:val="0"/>
                  <w:marTop w:val="0"/>
                  <w:marBottom w:val="0"/>
                  <w:divBdr>
                    <w:top w:val="none" w:sz="0" w:space="0" w:color="auto"/>
                    <w:left w:val="none" w:sz="0" w:space="0" w:color="auto"/>
                    <w:bottom w:val="none" w:sz="0" w:space="0" w:color="auto"/>
                    <w:right w:val="none" w:sz="0" w:space="0" w:color="auto"/>
                  </w:divBdr>
                  <w:divsChild>
                    <w:div w:id="4784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6633">
          <w:marLeft w:val="0"/>
          <w:marRight w:val="0"/>
          <w:marTop w:val="0"/>
          <w:marBottom w:val="0"/>
          <w:divBdr>
            <w:top w:val="none" w:sz="0" w:space="0" w:color="auto"/>
            <w:left w:val="none" w:sz="0" w:space="0" w:color="auto"/>
            <w:bottom w:val="none" w:sz="0" w:space="0" w:color="auto"/>
            <w:right w:val="none" w:sz="0" w:space="0" w:color="auto"/>
          </w:divBdr>
        </w:div>
        <w:div w:id="501236927">
          <w:marLeft w:val="0"/>
          <w:marRight w:val="0"/>
          <w:marTop w:val="0"/>
          <w:marBottom w:val="0"/>
          <w:divBdr>
            <w:top w:val="none" w:sz="0" w:space="0" w:color="auto"/>
            <w:left w:val="none" w:sz="0" w:space="0" w:color="auto"/>
            <w:bottom w:val="none" w:sz="0" w:space="0" w:color="auto"/>
            <w:right w:val="none" w:sz="0" w:space="0" w:color="auto"/>
          </w:divBdr>
        </w:div>
        <w:div w:id="510602615">
          <w:marLeft w:val="0"/>
          <w:marRight w:val="0"/>
          <w:marTop w:val="0"/>
          <w:marBottom w:val="0"/>
          <w:divBdr>
            <w:top w:val="none" w:sz="0" w:space="0" w:color="auto"/>
            <w:left w:val="none" w:sz="0" w:space="0" w:color="auto"/>
            <w:bottom w:val="none" w:sz="0" w:space="0" w:color="auto"/>
            <w:right w:val="none" w:sz="0" w:space="0" w:color="auto"/>
          </w:divBdr>
        </w:div>
        <w:div w:id="514197578">
          <w:marLeft w:val="0"/>
          <w:marRight w:val="0"/>
          <w:marTop w:val="0"/>
          <w:marBottom w:val="0"/>
          <w:divBdr>
            <w:top w:val="none" w:sz="0" w:space="0" w:color="auto"/>
            <w:left w:val="none" w:sz="0" w:space="0" w:color="auto"/>
            <w:bottom w:val="none" w:sz="0" w:space="0" w:color="auto"/>
            <w:right w:val="none" w:sz="0" w:space="0" w:color="auto"/>
          </w:divBdr>
        </w:div>
        <w:div w:id="519201255">
          <w:marLeft w:val="0"/>
          <w:marRight w:val="0"/>
          <w:marTop w:val="0"/>
          <w:marBottom w:val="0"/>
          <w:divBdr>
            <w:top w:val="none" w:sz="0" w:space="0" w:color="auto"/>
            <w:left w:val="none" w:sz="0" w:space="0" w:color="auto"/>
            <w:bottom w:val="none" w:sz="0" w:space="0" w:color="auto"/>
            <w:right w:val="none" w:sz="0" w:space="0" w:color="auto"/>
          </w:divBdr>
        </w:div>
        <w:div w:id="522593966">
          <w:marLeft w:val="0"/>
          <w:marRight w:val="0"/>
          <w:marTop w:val="0"/>
          <w:marBottom w:val="0"/>
          <w:divBdr>
            <w:top w:val="none" w:sz="0" w:space="0" w:color="auto"/>
            <w:left w:val="none" w:sz="0" w:space="0" w:color="auto"/>
            <w:bottom w:val="none" w:sz="0" w:space="0" w:color="auto"/>
            <w:right w:val="none" w:sz="0" w:space="0" w:color="auto"/>
          </w:divBdr>
          <w:divsChild>
            <w:div w:id="28576115">
              <w:marLeft w:val="0"/>
              <w:marRight w:val="0"/>
              <w:marTop w:val="0"/>
              <w:marBottom w:val="0"/>
              <w:divBdr>
                <w:top w:val="none" w:sz="0" w:space="0" w:color="auto"/>
                <w:left w:val="none" w:sz="0" w:space="0" w:color="auto"/>
                <w:bottom w:val="none" w:sz="0" w:space="0" w:color="auto"/>
                <w:right w:val="none" w:sz="0" w:space="0" w:color="auto"/>
              </w:divBdr>
            </w:div>
            <w:div w:id="36321834">
              <w:marLeft w:val="0"/>
              <w:marRight w:val="0"/>
              <w:marTop w:val="0"/>
              <w:marBottom w:val="0"/>
              <w:divBdr>
                <w:top w:val="none" w:sz="0" w:space="0" w:color="auto"/>
                <w:left w:val="none" w:sz="0" w:space="0" w:color="auto"/>
                <w:bottom w:val="none" w:sz="0" w:space="0" w:color="auto"/>
                <w:right w:val="none" w:sz="0" w:space="0" w:color="auto"/>
              </w:divBdr>
            </w:div>
            <w:div w:id="205022194">
              <w:marLeft w:val="0"/>
              <w:marRight w:val="0"/>
              <w:marTop w:val="0"/>
              <w:marBottom w:val="0"/>
              <w:divBdr>
                <w:top w:val="none" w:sz="0" w:space="0" w:color="auto"/>
                <w:left w:val="none" w:sz="0" w:space="0" w:color="auto"/>
                <w:bottom w:val="none" w:sz="0" w:space="0" w:color="auto"/>
                <w:right w:val="none" w:sz="0" w:space="0" w:color="auto"/>
              </w:divBdr>
            </w:div>
            <w:div w:id="260845262">
              <w:marLeft w:val="0"/>
              <w:marRight w:val="0"/>
              <w:marTop w:val="0"/>
              <w:marBottom w:val="0"/>
              <w:divBdr>
                <w:top w:val="none" w:sz="0" w:space="0" w:color="auto"/>
                <w:left w:val="none" w:sz="0" w:space="0" w:color="auto"/>
                <w:bottom w:val="none" w:sz="0" w:space="0" w:color="auto"/>
                <w:right w:val="none" w:sz="0" w:space="0" w:color="auto"/>
              </w:divBdr>
            </w:div>
            <w:div w:id="451557949">
              <w:marLeft w:val="0"/>
              <w:marRight w:val="0"/>
              <w:marTop w:val="0"/>
              <w:marBottom w:val="0"/>
              <w:divBdr>
                <w:top w:val="none" w:sz="0" w:space="0" w:color="auto"/>
                <w:left w:val="none" w:sz="0" w:space="0" w:color="auto"/>
                <w:bottom w:val="none" w:sz="0" w:space="0" w:color="auto"/>
                <w:right w:val="none" w:sz="0" w:space="0" w:color="auto"/>
              </w:divBdr>
            </w:div>
            <w:div w:id="575240630">
              <w:marLeft w:val="0"/>
              <w:marRight w:val="0"/>
              <w:marTop w:val="0"/>
              <w:marBottom w:val="0"/>
              <w:divBdr>
                <w:top w:val="none" w:sz="0" w:space="0" w:color="auto"/>
                <w:left w:val="none" w:sz="0" w:space="0" w:color="auto"/>
                <w:bottom w:val="none" w:sz="0" w:space="0" w:color="auto"/>
                <w:right w:val="none" w:sz="0" w:space="0" w:color="auto"/>
              </w:divBdr>
            </w:div>
            <w:div w:id="862786594">
              <w:marLeft w:val="0"/>
              <w:marRight w:val="0"/>
              <w:marTop w:val="0"/>
              <w:marBottom w:val="0"/>
              <w:divBdr>
                <w:top w:val="none" w:sz="0" w:space="0" w:color="auto"/>
                <w:left w:val="none" w:sz="0" w:space="0" w:color="auto"/>
                <w:bottom w:val="none" w:sz="0" w:space="0" w:color="auto"/>
                <w:right w:val="none" w:sz="0" w:space="0" w:color="auto"/>
              </w:divBdr>
            </w:div>
            <w:div w:id="870345007">
              <w:marLeft w:val="0"/>
              <w:marRight w:val="0"/>
              <w:marTop w:val="0"/>
              <w:marBottom w:val="0"/>
              <w:divBdr>
                <w:top w:val="none" w:sz="0" w:space="0" w:color="auto"/>
                <w:left w:val="none" w:sz="0" w:space="0" w:color="auto"/>
                <w:bottom w:val="none" w:sz="0" w:space="0" w:color="auto"/>
                <w:right w:val="none" w:sz="0" w:space="0" w:color="auto"/>
              </w:divBdr>
            </w:div>
            <w:div w:id="1014114221">
              <w:marLeft w:val="0"/>
              <w:marRight w:val="0"/>
              <w:marTop w:val="0"/>
              <w:marBottom w:val="0"/>
              <w:divBdr>
                <w:top w:val="none" w:sz="0" w:space="0" w:color="auto"/>
                <w:left w:val="none" w:sz="0" w:space="0" w:color="auto"/>
                <w:bottom w:val="none" w:sz="0" w:space="0" w:color="auto"/>
                <w:right w:val="none" w:sz="0" w:space="0" w:color="auto"/>
              </w:divBdr>
            </w:div>
            <w:div w:id="1150829893">
              <w:marLeft w:val="0"/>
              <w:marRight w:val="0"/>
              <w:marTop w:val="0"/>
              <w:marBottom w:val="0"/>
              <w:divBdr>
                <w:top w:val="none" w:sz="0" w:space="0" w:color="auto"/>
                <w:left w:val="none" w:sz="0" w:space="0" w:color="auto"/>
                <w:bottom w:val="none" w:sz="0" w:space="0" w:color="auto"/>
                <w:right w:val="none" w:sz="0" w:space="0" w:color="auto"/>
              </w:divBdr>
            </w:div>
            <w:div w:id="1395737297">
              <w:marLeft w:val="0"/>
              <w:marRight w:val="0"/>
              <w:marTop w:val="0"/>
              <w:marBottom w:val="0"/>
              <w:divBdr>
                <w:top w:val="none" w:sz="0" w:space="0" w:color="auto"/>
                <w:left w:val="none" w:sz="0" w:space="0" w:color="auto"/>
                <w:bottom w:val="none" w:sz="0" w:space="0" w:color="auto"/>
                <w:right w:val="none" w:sz="0" w:space="0" w:color="auto"/>
              </w:divBdr>
            </w:div>
            <w:div w:id="1409495889">
              <w:marLeft w:val="0"/>
              <w:marRight w:val="0"/>
              <w:marTop w:val="0"/>
              <w:marBottom w:val="0"/>
              <w:divBdr>
                <w:top w:val="none" w:sz="0" w:space="0" w:color="auto"/>
                <w:left w:val="none" w:sz="0" w:space="0" w:color="auto"/>
                <w:bottom w:val="none" w:sz="0" w:space="0" w:color="auto"/>
                <w:right w:val="none" w:sz="0" w:space="0" w:color="auto"/>
              </w:divBdr>
            </w:div>
            <w:div w:id="1600869397">
              <w:marLeft w:val="0"/>
              <w:marRight w:val="0"/>
              <w:marTop w:val="0"/>
              <w:marBottom w:val="0"/>
              <w:divBdr>
                <w:top w:val="none" w:sz="0" w:space="0" w:color="auto"/>
                <w:left w:val="none" w:sz="0" w:space="0" w:color="auto"/>
                <w:bottom w:val="none" w:sz="0" w:space="0" w:color="auto"/>
                <w:right w:val="none" w:sz="0" w:space="0" w:color="auto"/>
              </w:divBdr>
            </w:div>
            <w:div w:id="1696542559">
              <w:marLeft w:val="0"/>
              <w:marRight w:val="0"/>
              <w:marTop w:val="0"/>
              <w:marBottom w:val="0"/>
              <w:divBdr>
                <w:top w:val="none" w:sz="0" w:space="0" w:color="auto"/>
                <w:left w:val="none" w:sz="0" w:space="0" w:color="auto"/>
                <w:bottom w:val="none" w:sz="0" w:space="0" w:color="auto"/>
                <w:right w:val="none" w:sz="0" w:space="0" w:color="auto"/>
              </w:divBdr>
            </w:div>
            <w:div w:id="1754163515">
              <w:marLeft w:val="0"/>
              <w:marRight w:val="0"/>
              <w:marTop w:val="0"/>
              <w:marBottom w:val="0"/>
              <w:divBdr>
                <w:top w:val="none" w:sz="0" w:space="0" w:color="auto"/>
                <w:left w:val="none" w:sz="0" w:space="0" w:color="auto"/>
                <w:bottom w:val="none" w:sz="0" w:space="0" w:color="auto"/>
                <w:right w:val="none" w:sz="0" w:space="0" w:color="auto"/>
              </w:divBdr>
            </w:div>
            <w:div w:id="1819109153">
              <w:marLeft w:val="0"/>
              <w:marRight w:val="0"/>
              <w:marTop w:val="0"/>
              <w:marBottom w:val="0"/>
              <w:divBdr>
                <w:top w:val="none" w:sz="0" w:space="0" w:color="auto"/>
                <w:left w:val="none" w:sz="0" w:space="0" w:color="auto"/>
                <w:bottom w:val="none" w:sz="0" w:space="0" w:color="auto"/>
                <w:right w:val="none" w:sz="0" w:space="0" w:color="auto"/>
              </w:divBdr>
            </w:div>
            <w:div w:id="1841234249">
              <w:marLeft w:val="0"/>
              <w:marRight w:val="0"/>
              <w:marTop w:val="0"/>
              <w:marBottom w:val="0"/>
              <w:divBdr>
                <w:top w:val="none" w:sz="0" w:space="0" w:color="auto"/>
                <w:left w:val="none" w:sz="0" w:space="0" w:color="auto"/>
                <w:bottom w:val="none" w:sz="0" w:space="0" w:color="auto"/>
                <w:right w:val="none" w:sz="0" w:space="0" w:color="auto"/>
              </w:divBdr>
            </w:div>
            <w:div w:id="1913007785">
              <w:marLeft w:val="0"/>
              <w:marRight w:val="0"/>
              <w:marTop w:val="0"/>
              <w:marBottom w:val="0"/>
              <w:divBdr>
                <w:top w:val="none" w:sz="0" w:space="0" w:color="auto"/>
                <w:left w:val="none" w:sz="0" w:space="0" w:color="auto"/>
                <w:bottom w:val="none" w:sz="0" w:space="0" w:color="auto"/>
                <w:right w:val="none" w:sz="0" w:space="0" w:color="auto"/>
              </w:divBdr>
            </w:div>
            <w:div w:id="2059815287">
              <w:marLeft w:val="0"/>
              <w:marRight w:val="0"/>
              <w:marTop w:val="0"/>
              <w:marBottom w:val="0"/>
              <w:divBdr>
                <w:top w:val="none" w:sz="0" w:space="0" w:color="auto"/>
                <w:left w:val="none" w:sz="0" w:space="0" w:color="auto"/>
                <w:bottom w:val="none" w:sz="0" w:space="0" w:color="auto"/>
                <w:right w:val="none" w:sz="0" w:space="0" w:color="auto"/>
              </w:divBdr>
            </w:div>
            <w:div w:id="2138601269">
              <w:marLeft w:val="0"/>
              <w:marRight w:val="0"/>
              <w:marTop w:val="0"/>
              <w:marBottom w:val="0"/>
              <w:divBdr>
                <w:top w:val="none" w:sz="0" w:space="0" w:color="auto"/>
                <w:left w:val="none" w:sz="0" w:space="0" w:color="auto"/>
                <w:bottom w:val="none" w:sz="0" w:space="0" w:color="auto"/>
                <w:right w:val="none" w:sz="0" w:space="0" w:color="auto"/>
              </w:divBdr>
            </w:div>
          </w:divsChild>
        </w:div>
        <w:div w:id="522983195">
          <w:marLeft w:val="0"/>
          <w:marRight w:val="0"/>
          <w:marTop w:val="0"/>
          <w:marBottom w:val="0"/>
          <w:divBdr>
            <w:top w:val="none" w:sz="0" w:space="0" w:color="auto"/>
            <w:left w:val="none" w:sz="0" w:space="0" w:color="auto"/>
            <w:bottom w:val="none" w:sz="0" w:space="0" w:color="auto"/>
            <w:right w:val="none" w:sz="0" w:space="0" w:color="auto"/>
          </w:divBdr>
        </w:div>
        <w:div w:id="526797236">
          <w:marLeft w:val="0"/>
          <w:marRight w:val="0"/>
          <w:marTop w:val="0"/>
          <w:marBottom w:val="0"/>
          <w:divBdr>
            <w:top w:val="none" w:sz="0" w:space="0" w:color="auto"/>
            <w:left w:val="none" w:sz="0" w:space="0" w:color="auto"/>
            <w:bottom w:val="none" w:sz="0" w:space="0" w:color="auto"/>
            <w:right w:val="none" w:sz="0" w:space="0" w:color="auto"/>
          </w:divBdr>
          <w:divsChild>
            <w:div w:id="235870355">
              <w:marLeft w:val="0"/>
              <w:marRight w:val="0"/>
              <w:marTop w:val="0"/>
              <w:marBottom w:val="0"/>
              <w:divBdr>
                <w:top w:val="none" w:sz="0" w:space="0" w:color="auto"/>
                <w:left w:val="none" w:sz="0" w:space="0" w:color="auto"/>
                <w:bottom w:val="none" w:sz="0" w:space="0" w:color="auto"/>
                <w:right w:val="none" w:sz="0" w:space="0" w:color="auto"/>
              </w:divBdr>
            </w:div>
            <w:div w:id="343095712">
              <w:marLeft w:val="0"/>
              <w:marRight w:val="0"/>
              <w:marTop w:val="0"/>
              <w:marBottom w:val="0"/>
              <w:divBdr>
                <w:top w:val="none" w:sz="0" w:space="0" w:color="auto"/>
                <w:left w:val="none" w:sz="0" w:space="0" w:color="auto"/>
                <w:bottom w:val="none" w:sz="0" w:space="0" w:color="auto"/>
                <w:right w:val="none" w:sz="0" w:space="0" w:color="auto"/>
              </w:divBdr>
            </w:div>
            <w:div w:id="438791827">
              <w:marLeft w:val="0"/>
              <w:marRight w:val="0"/>
              <w:marTop w:val="0"/>
              <w:marBottom w:val="0"/>
              <w:divBdr>
                <w:top w:val="none" w:sz="0" w:space="0" w:color="auto"/>
                <w:left w:val="none" w:sz="0" w:space="0" w:color="auto"/>
                <w:bottom w:val="none" w:sz="0" w:space="0" w:color="auto"/>
                <w:right w:val="none" w:sz="0" w:space="0" w:color="auto"/>
              </w:divBdr>
            </w:div>
            <w:div w:id="572784752">
              <w:marLeft w:val="0"/>
              <w:marRight w:val="0"/>
              <w:marTop w:val="0"/>
              <w:marBottom w:val="0"/>
              <w:divBdr>
                <w:top w:val="none" w:sz="0" w:space="0" w:color="auto"/>
                <w:left w:val="none" w:sz="0" w:space="0" w:color="auto"/>
                <w:bottom w:val="none" w:sz="0" w:space="0" w:color="auto"/>
                <w:right w:val="none" w:sz="0" w:space="0" w:color="auto"/>
              </w:divBdr>
            </w:div>
            <w:div w:id="893127142">
              <w:marLeft w:val="0"/>
              <w:marRight w:val="0"/>
              <w:marTop w:val="0"/>
              <w:marBottom w:val="0"/>
              <w:divBdr>
                <w:top w:val="none" w:sz="0" w:space="0" w:color="auto"/>
                <w:left w:val="none" w:sz="0" w:space="0" w:color="auto"/>
                <w:bottom w:val="none" w:sz="0" w:space="0" w:color="auto"/>
                <w:right w:val="none" w:sz="0" w:space="0" w:color="auto"/>
              </w:divBdr>
            </w:div>
            <w:div w:id="921066280">
              <w:marLeft w:val="0"/>
              <w:marRight w:val="0"/>
              <w:marTop w:val="0"/>
              <w:marBottom w:val="0"/>
              <w:divBdr>
                <w:top w:val="none" w:sz="0" w:space="0" w:color="auto"/>
                <w:left w:val="none" w:sz="0" w:space="0" w:color="auto"/>
                <w:bottom w:val="none" w:sz="0" w:space="0" w:color="auto"/>
                <w:right w:val="none" w:sz="0" w:space="0" w:color="auto"/>
              </w:divBdr>
            </w:div>
            <w:div w:id="983853509">
              <w:marLeft w:val="0"/>
              <w:marRight w:val="0"/>
              <w:marTop w:val="0"/>
              <w:marBottom w:val="0"/>
              <w:divBdr>
                <w:top w:val="none" w:sz="0" w:space="0" w:color="auto"/>
                <w:left w:val="none" w:sz="0" w:space="0" w:color="auto"/>
                <w:bottom w:val="none" w:sz="0" w:space="0" w:color="auto"/>
                <w:right w:val="none" w:sz="0" w:space="0" w:color="auto"/>
              </w:divBdr>
            </w:div>
            <w:div w:id="1134056337">
              <w:marLeft w:val="0"/>
              <w:marRight w:val="0"/>
              <w:marTop w:val="0"/>
              <w:marBottom w:val="0"/>
              <w:divBdr>
                <w:top w:val="none" w:sz="0" w:space="0" w:color="auto"/>
                <w:left w:val="none" w:sz="0" w:space="0" w:color="auto"/>
                <w:bottom w:val="none" w:sz="0" w:space="0" w:color="auto"/>
                <w:right w:val="none" w:sz="0" w:space="0" w:color="auto"/>
              </w:divBdr>
            </w:div>
            <w:div w:id="1241793055">
              <w:marLeft w:val="0"/>
              <w:marRight w:val="0"/>
              <w:marTop w:val="0"/>
              <w:marBottom w:val="0"/>
              <w:divBdr>
                <w:top w:val="none" w:sz="0" w:space="0" w:color="auto"/>
                <w:left w:val="none" w:sz="0" w:space="0" w:color="auto"/>
                <w:bottom w:val="none" w:sz="0" w:space="0" w:color="auto"/>
                <w:right w:val="none" w:sz="0" w:space="0" w:color="auto"/>
              </w:divBdr>
            </w:div>
            <w:div w:id="1296326995">
              <w:marLeft w:val="0"/>
              <w:marRight w:val="0"/>
              <w:marTop w:val="0"/>
              <w:marBottom w:val="0"/>
              <w:divBdr>
                <w:top w:val="none" w:sz="0" w:space="0" w:color="auto"/>
                <w:left w:val="none" w:sz="0" w:space="0" w:color="auto"/>
                <w:bottom w:val="none" w:sz="0" w:space="0" w:color="auto"/>
                <w:right w:val="none" w:sz="0" w:space="0" w:color="auto"/>
              </w:divBdr>
            </w:div>
            <w:div w:id="1316257778">
              <w:marLeft w:val="0"/>
              <w:marRight w:val="0"/>
              <w:marTop w:val="0"/>
              <w:marBottom w:val="0"/>
              <w:divBdr>
                <w:top w:val="none" w:sz="0" w:space="0" w:color="auto"/>
                <w:left w:val="none" w:sz="0" w:space="0" w:color="auto"/>
                <w:bottom w:val="none" w:sz="0" w:space="0" w:color="auto"/>
                <w:right w:val="none" w:sz="0" w:space="0" w:color="auto"/>
              </w:divBdr>
            </w:div>
            <w:div w:id="1335184627">
              <w:marLeft w:val="0"/>
              <w:marRight w:val="0"/>
              <w:marTop w:val="0"/>
              <w:marBottom w:val="0"/>
              <w:divBdr>
                <w:top w:val="none" w:sz="0" w:space="0" w:color="auto"/>
                <w:left w:val="none" w:sz="0" w:space="0" w:color="auto"/>
                <w:bottom w:val="none" w:sz="0" w:space="0" w:color="auto"/>
                <w:right w:val="none" w:sz="0" w:space="0" w:color="auto"/>
              </w:divBdr>
            </w:div>
            <w:div w:id="1471362742">
              <w:marLeft w:val="0"/>
              <w:marRight w:val="0"/>
              <w:marTop w:val="0"/>
              <w:marBottom w:val="0"/>
              <w:divBdr>
                <w:top w:val="none" w:sz="0" w:space="0" w:color="auto"/>
                <w:left w:val="none" w:sz="0" w:space="0" w:color="auto"/>
                <w:bottom w:val="none" w:sz="0" w:space="0" w:color="auto"/>
                <w:right w:val="none" w:sz="0" w:space="0" w:color="auto"/>
              </w:divBdr>
            </w:div>
            <w:div w:id="1566529884">
              <w:marLeft w:val="0"/>
              <w:marRight w:val="0"/>
              <w:marTop w:val="0"/>
              <w:marBottom w:val="0"/>
              <w:divBdr>
                <w:top w:val="none" w:sz="0" w:space="0" w:color="auto"/>
                <w:left w:val="none" w:sz="0" w:space="0" w:color="auto"/>
                <w:bottom w:val="none" w:sz="0" w:space="0" w:color="auto"/>
                <w:right w:val="none" w:sz="0" w:space="0" w:color="auto"/>
              </w:divBdr>
            </w:div>
            <w:div w:id="1588032312">
              <w:marLeft w:val="0"/>
              <w:marRight w:val="0"/>
              <w:marTop w:val="0"/>
              <w:marBottom w:val="0"/>
              <w:divBdr>
                <w:top w:val="none" w:sz="0" w:space="0" w:color="auto"/>
                <w:left w:val="none" w:sz="0" w:space="0" w:color="auto"/>
                <w:bottom w:val="none" w:sz="0" w:space="0" w:color="auto"/>
                <w:right w:val="none" w:sz="0" w:space="0" w:color="auto"/>
              </w:divBdr>
            </w:div>
            <w:div w:id="1661618818">
              <w:marLeft w:val="0"/>
              <w:marRight w:val="0"/>
              <w:marTop w:val="0"/>
              <w:marBottom w:val="0"/>
              <w:divBdr>
                <w:top w:val="none" w:sz="0" w:space="0" w:color="auto"/>
                <w:left w:val="none" w:sz="0" w:space="0" w:color="auto"/>
                <w:bottom w:val="none" w:sz="0" w:space="0" w:color="auto"/>
                <w:right w:val="none" w:sz="0" w:space="0" w:color="auto"/>
              </w:divBdr>
            </w:div>
            <w:div w:id="1667706678">
              <w:marLeft w:val="0"/>
              <w:marRight w:val="0"/>
              <w:marTop w:val="0"/>
              <w:marBottom w:val="0"/>
              <w:divBdr>
                <w:top w:val="none" w:sz="0" w:space="0" w:color="auto"/>
                <w:left w:val="none" w:sz="0" w:space="0" w:color="auto"/>
                <w:bottom w:val="none" w:sz="0" w:space="0" w:color="auto"/>
                <w:right w:val="none" w:sz="0" w:space="0" w:color="auto"/>
              </w:divBdr>
            </w:div>
            <w:div w:id="1830362633">
              <w:marLeft w:val="0"/>
              <w:marRight w:val="0"/>
              <w:marTop w:val="0"/>
              <w:marBottom w:val="0"/>
              <w:divBdr>
                <w:top w:val="none" w:sz="0" w:space="0" w:color="auto"/>
                <w:left w:val="none" w:sz="0" w:space="0" w:color="auto"/>
                <w:bottom w:val="none" w:sz="0" w:space="0" w:color="auto"/>
                <w:right w:val="none" w:sz="0" w:space="0" w:color="auto"/>
              </w:divBdr>
            </w:div>
            <w:div w:id="1974361541">
              <w:marLeft w:val="0"/>
              <w:marRight w:val="0"/>
              <w:marTop w:val="0"/>
              <w:marBottom w:val="0"/>
              <w:divBdr>
                <w:top w:val="none" w:sz="0" w:space="0" w:color="auto"/>
                <w:left w:val="none" w:sz="0" w:space="0" w:color="auto"/>
                <w:bottom w:val="none" w:sz="0" w:space="0" w:color="auto"/>
                <w:right w:val="none" w:sz="0" w:space="0" w:color="auto"/>
              </w:divBdr>
            </w:div>
            <w:div w:id="2071610462">
              <w:marLeft w:val="0"/>
              <w:marRight w:val="0"/>
              <w:marTop w:val="0"/>
              <w:marBottom w:val="0"/>
              <w:divBdr>
                <w:top w:val="none" w:sz="0" w:space="0" w:color="auto"/>
                <w:left w:val="none" w:sz="0" w:space="0" w:color="auto"/>
                <w:bottom w:val="none" w:sz="0" w:space="0" w:color="auto"/>
                <w:right w:val="none" w:sz="0" w:space="0" w:color="auto"/>
              </w:divBdr>
            </w:div>
          </w:divsChild>
        </w:div>
        <w:div w:id="531696350">
          <w:marLeft w:val="0"/>
          <w:marRight w:val="0"/>
          <w:marTop w:val="0"/>
          <w:marBottom w:val="0"/>
          <w:divBdr>
            <w:top w:val="none" w:sz="0" w:space="0" w:color="auto"/>
            <w:left w:val="none" w:sz="0" w:space="0" w:color="auto"/>
            <w:bottom w:val="none" w:sz="0" w:space="0" w:color="auto"/>
            <w:right w:val="none" w:sz="0" w:space="0" w:color="auto"/>
          </w:divBdr>
        </w:div>
        <w:div w:id="536940356">
          <w:marLeft w:val="0"/>
          <w:marRight w:val="0"/>
          <w:marTop w:val="0"/>
          <w:marBottom w:val="0"/>
          <w:divBdr>
            <w:top w:val="none" w:sz="0" w:space="0" w:color="auto"/>
            <w:left w:val="none" w:sz="0" w:space="0" w:color="auto"/>
            <w:bottom w:val="none" w:sz="0" w:space="0" w:color="auto"/>
            <w:right w:val="none" w:sz="0" w:space="0" w:color="auto"/>
          </w:divBdr>
        </w:div>
        <w:div w:id="551574275">
          <w:marLeft w:val="0"/>
          <w:marRight w:val="0"/>
          <w:marTop w:val="0"/>
          <w:marBottom w:val="0"/>
          <w:divBdr>
            <w:top w:val="none" w:sz="0" w:space="0" w:color="auto"/>
            <w:left w:val="none" w:sz="0" w:space="0" w:color="auto"/>
            <w:bottom w:val="none" w:sz="0" w:space="0" w:color="auto"/>
            <w:right w:val="none" w:sz="0" w:space="0" w:color="auto"/>
          </w:divBdr>
        </w:div>
        <w:div w:id="566720921">
          <w:marLeft w:val="0"/>
          <w:marRight w:val="0"/>
          <w:marTop w:val="0"/>
          <w:marBottom w:val="0"/>
          <w:divBdr>
            <w:top w:val="none" w:sz="0" w:space="0" w:color="auto"/>
            <w:left w:val="none" w:sz="0" w:space="0" w:color="auto"/>
            <w:bottom w:val="none" w:sz="0" w:space="0" w:color="auto"/>
            <w:right w:val="none" w:sz="0" w:space="0" w:color="auto"/>
          </w:divBdr>
        </w:div>
        <w:div w:id="575749716">
          <w:marLeft w:val="0"/>
          <w:marRight w:val="0"/>
          <w:marTop w:val="0"/>
          <w:marBottom w:val="0"/>
          <w:divBdr>
            <w:top w:val="none" w:sz="0" w:space="0" w:color="auto"/>
            <w:left w:val="none" w:sz="0" w:space="0" w:color="auto"/>
            <w:bottom w:val="none" w:sz="0" w:space="0" w:color="auto"/>
            <w:right w:val="none" w:sz="0" w:space="0" w:color="auto"/>
          </w:divBdr>
        </w:div>
        <w:div w:id="585265444">
          <w:marLeft w:val="0"/>
          <w:marRight w:val="0"/>
          <w:marTop w:val="0"/>
          <w:marBottom w:val="0"/>
          <w:divBdr>
            <w:top w:val="none" w:sz="0" w:space="0" w:color="auto"/>
            <w:left w:val="none" w:sz="0" w:space="0" w:color="auto"/>
            <w:bottom w:val="none" w:sz="0" w:space="0" w:color="auto"/>
            <w:right w:val="none" w:sz="0" w:space="0" w:color="auto"/>
          </w:divBdr>
        </w:div>
        <w:div w:id="586159830">
          <w:marLeft w:val="0"/>
          <w:marRight w:val="0"/>
          <w:marTop w:val="0"/>
          <w:marBottom w:val="0"/>
          <w:divBdr>
            <w:top w:val="none" w:sz="0" w:space="0" w:color="auto"/>
            <w:left w:val="none" w:sz="0" w:space="0" w:color="auto"/>
            <w:bottom w:val="none" w:sz="0" w:space="0" w:color="auto"/>
            <w:right w:val="none" w:sz="0" w:space="0" w:color="auto"/>
          </w:divBdr>
          <w:divsChild>
            <w:div w:id="17630844">
              <w:marLeft w:val="0"/>
              <w:marRight w:val="0"/>
              <w:marTop w:val="0"/>
              <w:marBottom w:val="0"/>
              <w:divBdr>
                <w:top w:val="none" w:sz="0" w:space="0" w:color="auto"/>
                <w:left w:val="none" w:sz="0" w:space="0" w:color="auto"/>
                <w:bottom w:val="none" w:sz="0" w:space="0" w:color="auto"/>
                <w:right w:val="none" w:sz="0" w:space="0" w:color="auto"/>
              </w:divBdr>
            </w:div>
            <w:div w:id="121534191">
              <w:marLeft w:val="0"/>
              <w:marRight w:val="0"/>
              <w:marTop w:val="0"/>
              <w:marBottom w:val="0"/>
              <w:divBdr>
                <w:top w:val="none" w:sz="0" w:space="0" w:color="auto"/>
                <w:left w:val="none" w:sz="0" w:space="0" w:color="auto"/>
                <w:bottom w:val="none" w:sz="0" w:space="0" w:color="auto"/>
                <w:right w:val="none" w:sz="0" w:space="0" w:color="auto"/>
              </w:divBdr>
            </w:div>
            <w:div w:id="206913875">
              <w:marLeft w:val="0"/>
              <w:marRight w:val="0"/>
              <w:marTop w:val="0"/>
              <w:marBottom w:val="0"/>
              <w:divBdr>
                <w:top w:val="none" w:sz="0" w:space="0" w:color="auto"/>
                <w:left w:val="none" w:sz="0" w:space="0" w:color="auto"/>
                <w:bottom w:val="none" w:sz="0" w:space="0" w:color="auto"/>
                <w:right w:val="none" w:sz="0" w:space="0" w:color="auto"/>
              </w:divBdr>
            </w:div>
            <w:div w:id="337393358">
              <w:marLeft w:val="0"/>
              <w:marRight w:val="0"/>
              <w:marTop w:val="0"/>
              <w:marBottom w:val="0"/>
              <w:divBdr>
                <w:top w:val="none" w:sz="0" w:space="0" w:color="auto"/>
                <w:left w:val="none" w:sz="0" w:space="0" w:color="auto"/>
                <w:bottom w:val="none" w:sz="0" w:space="0" w:color="auto"/>
                <w:right w:val="none" w:sz="0" w:space="0" w:color="auto"/>
              </w:divBdr>
            </w:div>
            <w:div w:id="461119904">
              <w:marLeft w:val="0"/>
              <w:marRight w:val="0"/>
              <w:marTop w:val="0"/>
              <w:marBottom w:val="0"/>
              <w:divBdr>
                <w:top w:val="none" w:sz="0" w:space="0" w:color="auto"/>
                <w:left w:val="none" w:sz="0" w:space="0" w:color="auto"/>
                <w:bottom w:val="none" w:sz="0" w:space="0" w:color="auto"/>
                <w:right w:val="none" w:sz="0" w:space="0" w:color="auto"/>
              </w:divBdr>
            </w:div>
            <w:div w:id="477771676">
              <w:marLeft w:val="0"/>
              <w:marRight w:val="0"/>
              <w:marTop w:val="0"/>
              <w:marBottom w:val="0"/>
              <w:divBdr>
                <w:top w:val="none" w:sz="0" w:space="0" w:color="auto"/>
                <w:left w:val="none" w:sz="0" w:space="0" w:color="auto"/>
                <w:bottom w:val="none" w:sz="0" w:space="0" w:color="auto"/>
                <w:right w:val="none" w:sz="0" w:space="0" w:color="auto"/>
              </w:divBdr>
            </w:div>
            <w:div w:id="788210019">
              <w:marLeft w:val="0"/>
              <w:marRight w:val="0"/>
              <w:marTop w:val="0"/>
              <w:marBottom w:val="0"/>
              <w:divBdr>
                <w:top w:val="none" w:sz="0" w:space="0" w:color="auto"/>
                <w:left w:val="none" w:sz="0" w:space="0" w:color="auto"/>
                <w:bottom w:val="none" w:sz="0" w:space="0" w:color="auto"/>
                <w:right w:val="none" w:sz="0" w:space="0" w:color="auto"/>
              </w:divBdr>
            </w:div>
            <w:div w:id="847019277">
              <w:marLeft w:val="0"/>
              <w:marRight w:val="0"/>
              <w:marTop w:val="0"/>
              <w:marBottom w:val="0"/>
              <w:divBdr>
                <w:top w:val="none" w:sz="0" w:space="0" w:color="auto"/>
                <w:left w:val="none" w:sz="0" w:space="0" w:color="auto"/>
                <w:bottom w:val="none" w:sz="0" w:space="0" w:color="auto"/>
                <w:right w:val="none" w:sz="0" w:space="0" w:color="auto"/>
              </w:divBdr>
            </w:div>
            <w:div w:id="1035890784">
              <w:marLeft w:val="0"/>
              <w:marRight w:val="0"/>
              <w:marTop w:val="0"/>
              <w:marBottom w:val="0"/>
              <w:divBdr>
                <w:top w:val="none" w:sz="0" w:space="0" w:color="auto"/>
                <w:left w:val="none" w:sz="0" w:space="0" w:color="auto"/>
                <w:bottom w:val="none" w:sz="0" w:space="0" w:color="auto"/>
                <w:right w:val="none" w:sz="0" w:space="0" w:color="auto"/>
              </w:divBdr>
            </w:div>
            <w:div w:id="1137845387">
              <w:marLeft w:val="0"/>
              <w:marRight w:val="0"/>
              <w:marTop w:val="0"/>
              <w:marBottom w:val="0"/>
              <w:divBdr>
                <w:top w:val="none" w:sz="0" w:space="0" w:color="auto"/>
                <w:left w:val="none" w:sz="0" w:space="0" w:color="auto"/>
                <w:bottom w:val="none" w:sz="0" w:space="0" w:color="auto"/>
                <w:right w:val="none" w:sz="0" w:space="0" w:color="auto"/>
              </w:divBdr>
            </w:div>
            <w:div w:id="1253665477">
              <w:marLeft w:val="0"/>
              <w:marRight w:val="0"/>
              <w:marTop w:val="0"/>
              <w:marBottom w:val="0"/>
              <w:divBdr>
                <w:top w:val="none" w:sz="0" w:space="0" w:color="auto"/>
                <w:left w:val="none" w:sz="0" w:space="0" w:color="auto"/>
                <w:bottom w:val="none" w:sz="0" w:space="0" w:color="auto"/>
                <w:right w:val="none" w:sz="0" w:space="0" w:color="auto"/>
              </w:divBdr>
            </w:div>
            <w:div w:id="1436243012">
              <w:marLeft w:val="0"/>
              <w:marRight w:val="0"/>
              <w:marTop w:val="0"/>
              <w:marBottom w:val="0"/>
              <w:divBdr>
                <w:top w:val="none" w:sz="0" w:space="0" w:color="auto"/>
                <w:left w:val="none" w:sz="0" w:space="0" w:color="auto"/>
                <w:bottom w:val="none" w:sz="0" w:space="0" w:color="auto"/>
                <w:right w:val="none" w:sz="0" w:space="0" w:color="auto"/>
              </w:divBdr>
            </w:div>
            <w:div w:id="1661544238">
              <w:marLeft w:val="0"/>
              <w:marRight w:val="0"/>
              <w:marTop w:val="0"/>
              <w:marBottom w:val="0"/>
              <w:divBdr>
                <w:top w:val="none" w:sz="0" w:space="0" w:color="auto"/>
                <w:left w:val="none" w:sz="0" w:space="0" w:color="auto"/>
                <w:bottom w:val="none" w:sz="0" w:space="0" w:color="auto"/>
                <w:right w:val="none" w:sz="0" w:space="0" w:color="auto"/>
              </w:divBdr>
            </w:div>
            <w:div w:id="1756315467">
              <w:marLeft w:val="0"/>
              <w:marRight w:val="0"/>
              <w:marTop w:val="0"/>
              <w:marBottom w:val="0"/>
              <w:divBdr>
                <w:top w:val="none" w:sz="0" w:space="0" w:color="auto"/>
                <w:left w:val="none" w:sz="0" w:space="0" w:color="auto"/>
                <w:bottom w:val="none" w:sz="0" w:space="0" w:color="auto"/>
                <w:right w:val="none" w:sz="0" w:space="0" w:color="auto"/>
              </w:divBdr>
            </w:div>
            <w:div w:id="1765103977">
              <w:marLeft w:val="0"/>
              <w:marRight w:val="0"/>
              <w:marTop w:val="0"/>
              <w:marBottom w:val="0"/>
              <w:divBdr>
                <w:top w:val="none" w:sz="0" w:space="0" w:color="auto"/>
                <w:left w:val="none" w:sz="0" w:space="0" w:color="auto"/>
                <w:bottom w:val="none" w:sz="0" w:space="0" w:color="auto"/>
                <w:right w:val="none" w:sz="0" w:space="0" w:color="auto"/>
              </w:divBdr>
            </w:div>
            <w:div w:id="1767189862">
              <w:marLeft w:val="0"/>
              <w:marRight w:val="0"/>
              <w:marTop w:val="0"/>
              <w:marBottom w:val="0"/>
              <w:divBdr>
                <w:top w:val="none" w:sz="0" w:space="0" w:color="auto"/>
                <w:left w:val="none" w:sz="0" w:space="0" w:color="auto"/>
                <w:bottom w:val="none" w:sz="0" w:space="0" w:color="auto"/>
                <w:right w:val="none" w:sz="0" w:space="0" w:color="auto"/>
              </w:divBdr>
            </w:div>
            <w:div w:id="1824350225">
              <w:marLeft w:val="0"/>
              <w:marRight w:val="0"/>
              <w:marTop w:val="0"/>
              <w:marBottom w:val="0"/>
              <w:divBdr>
                <w:top w:val="none" w:sz="0" w:space="0" w:color="auto"/>
                <w:left w:val="none" w:sz="0" w:space="0" w:color="auto"/>
                <w:bottom w:val="none" w:sz="0" w:space="0" w:color="auto"/>
                <w:right w:val="none" w:sz="0" w:space="0" w:color="auto"/>
              </w:divBdr>
            </w:div>
            <w:div w:id="1942109230">
              <w:marLeft w:val="0"/>
              <w:marRight w:val="0"/>
              <w:marTop w:val="0"/>
              <w:marBottom w:val="0"/>
              <w:divBdr>
                <w:top w:val="none" w:sz="0" w:space="0" w:color="auto"/>
                <w:left w:val="none" w:sz="0" w:space="0" w:color="auto"/>
                <w:bottom w:val="none" w:sz="0" w:space="0" w:color="auto"/>
                <w:right w:val="none" w:sz="0" w:space="0" w:color="auto"/>
              </w:divBdr>
            </w:div>
            <w:div w:id="1997225880">
              <w:marLeft w:val="0"/>
              <w:marRight w:val="0"/>
              <w:marTop w:val="0"/>
              <w:marBottom w:val="0"/>
              <w:divBdr>
                <w:top w:val="none" w:sz="0" w:space="0" w:color="auto"/>
                <w:left w:val="none" w:sz="0" w:space="0" w:color="auto"/>
                <w:bottom w:val="none" w:sz="0" w:space="0" w:color="auto"/>
                <w:right w:val="none" w:sz="0" w:space="0" w:color="auto"/>
              </w:divBdr>
            </w:div>
            <w:div w:id="1999652437">
              <w:marLeft w:val="0"/>
              <w:marRight w:val="0"/>
              <w:marTop w:val="0"/>
              <w:marBottom w:val="0"/>
              <w:divBdr>
                <w:top w:val="none" w:sz="0" w:space="0" w:color="auto"/>
                <w:left w:val="none" w:sz="0" w:space="0" w:color="auto"/>
                <w:bottom w:val="none" w:sz="0" w:space="0" w:color="auto"/>
                <w:right w:val="none" w:sz="0" w:space="0" w:color="auto"/>
              </w:divBdr>
            </w:div>
          </w:divsChild>
        </w:div>
        <w:div w:id="602568329">
          <w:marLeft w:val="0"/>
          <w:marRight w:val="0"/>
          <w:marTop w:val="0"/>
          <w:marBottom w:val="0"/>
          <w:divBdr>
            <w:top w:val="none" w:sz="0" w:space="0" w:color="auto"/>
            <w:left w:val="none" w:sz="0" w:space="0" w:color="auto"/>
            <w:bottom w:val="none" w:sz="0" w:space="0" w:color="auto"/>
            <w:right w:val="none" w:sz="0" w:space="0" w:color="auto"/>
          </w:divBdr>
        </w:div>
        <w:div w:id="630326831">
          <w:marLeft w:val="0"/>
          <w:marRight w:val="0"/>
          <w:marTop w:val="0"/>
          <w:marBottom w:val="0"/>
          <w:divBdr>
            <w:top w:val="none" w:sz="0" w:space="0" w:color="auto"/>
            <w:left w:val="none" w:sz="0" w:space="0" w:color="auto"/>
            <w:bottom w:val="none" w:sz="0" w:space="0" w:color="auto"/>
            <w:right w:val="none" w:sz="0" w:space="0" w:color="auto"/>
          </w:divBdr>
        </w:div>
        <w:div w:id="641270259">
          <w:marLeft w:val="0"/>
          <w:marRight w:val="0"/>
          <w:marTop w:val="0"/>
          <w:marBottom w:val="0"/>
          <w:divBdr>
            <w:top w:val="none" w:sz="0" w:space="0" w:color="auto"/>
            <w:left w:val="none" w:sz="0" w:space="0" w:color="auto"/>
            <w:bottom w:val="none" w:sz="0" w:space="0" w:color="auto"/>
            <w:right w:val="none" w:sz="0" w:space="0" w:color="auto"/>
          </w:divBdr>
          <w:divsChild>
            <w:div w:id="1134836604">
              <w:marLeft w:val="-75"/>
              <w:marRight w:val="0"/>
              <w:marTop w:val="30"/>
              <w:marBottom w:val="30"/>
              <w:divBdr>
                <w:top w:val="none" w:sz="0" w:space="0" w:color="auto"/>
                <w:left w:val="none" w:sz="0" w:space="0" w:color="auto"/>
                <w:bottom w:val="none" w:sz="0" w:space="0" w:color="auto"/>
                <w:right w:val="none" w:sz="0" w:space="0" w:color="auto"/>
              </w:divBdr>
              <w:divsChild>
                <w:div w:id="241642611">
                  <w:marLeft w:val="0"/>
                  <w:marRight w:val="0"/>
                  <w:marTop w:val="0"/>
                  <w:marBottom w:val="0"/>
                  <w:divBdr>
                    <w:top w:val="none" w:sz="0" w:space="0" w:color="auto"/>
                    <w:left w:val="none" w:sz="0" w:space="0" w:color="auto"/>
                    <w:bottom w:val="none" w:sz="0" w:space="0" w:color="auto"/>
                    <w:right w:val="none" w:sz="0" w:space="0" w:color="auto"/>
                  </w:divBdr>
                  <w:divsChild>
                    <w:div w:id="461461851">
                      <w:marLeft w:val="0"/>
                      <w:marRight w:val="0"/>
                      <w:marTop w:val="0"/>
                      <w:marBottom w:val="0"/>
                      <w:divBdr>
                        <w:top w:val="none" w:sz="0" w:space="0" w:color="auto"/>
                        <w:left w:val="none" w:sz="0" w:space="0" w:color="auto"/>
                        <w:bottom w:val="none" w:sz="0" w:space="0" w:color="auto"/>
                        <w:right w:val="none" w:sz="0" w:space="0" w:color="auto"/>
                      </w:divBdr>
                    </w:div>
                  </w:divsChild>
                </w:div>
                <w:div w:id="550653035">
                  <w:marLeft w:val="0"/>
                  <w:marRight w:val="0"/>
                  <w:marTop w:val="0"/>
                  <w:marBottom w:val="0"/>
                  <w:divBdr>
                    <w:top w:val="none" w:sz="0" w:space="0" w:color="auto"/>
                    <w:left w:val="none" w:sz="0" w:space="0" w:color="auto"/>
                    <w:bottom w:val="none" w:sz="0" w:space="0" w:color="auto"/>
                    <w:right w:val="none" w:sz="0" w:space="0" w:color="auto"/>
                  </w:divBdr>
                  <w:divsChild>
                    <w:div w:id="1416171535">
                      <w:marLeft w:val="0"/>
                      <w:marRight w:val="0"/>
                      <w:marTop w:val="0"/>
                      <w:marBottom w:val="0"/>
                      <w:divBdr>
                        <w:top w:val="none" w:sz="0" w:space="0" w:color="auto"/>
                        <w:left w:val="none" w:sz="0" w:space="0" w:color="auto"/>
                        <w:bottom w:val="none" w:sz="0" w:space="0" w:color="auto"/>
                        <w:right w:val="none" w:sz="0" w:space="0" w:color="auto"/>
                      </w:divBdr>
                    </w:div>
                  </w:divsChild>
                </w:div>
                <w:div w:id="565845535">
                  <w:marLeft w:val="0"/>
                  <w:marRight w:val="0"/>
                  <w:marTop w:val="0"/>
                  <w:marBottom w:val="0"/>
                  <w:divBdr>
                    <w:top w:val="none" w:sz="0" w:space="0" w:color="auto"/>
                    <w:left w:val="none" w:sz="0" w:space="0" w:color="auto"/>
                    <w:bottom w:val="none" w:sz="0" w:space="0" w:color="auto"/>
                    <w:right w:val="none" w:sz="0" w:space="0" w:color="auto"/>
                  </w:divBdr>
                  <w:divsChild>
                    <w:div w:id="1572884109">
                      <w:marLeft w:val="0"/>
                      <w:marRight w:val="0"/>
                      <w:marTop w:val="0"/>
                      <w:marBottom w:val="0"/>
                      <w:divBdr>
                        <w:top w:val="none" w:sz="0" w:space="0" w:color="auto"/>
                        <w:left w:val="none" w:sz="0" w:space="0" w:color="auto"/>
                        <w:bottom w:val="none" w:sz="0" w:space="0" w:color="auto"/>
                        <w:right w:val="none" w:sz="0" w:space="0" w:color="auto"/>
                      </w:divBdr>
                    </w:div>
                  </w:divsChild>
                </w:div>
                <w:div w:id="684600146">
                  <w:marLeft w:val="0"/>
                  <w:marRight w:val="0"/>
                  <w:marTop w:val="0"/>
                  <w:marBottom w:val="0"/>
                  <w:divBdr>
                    <w:top w:val="none" w:sz="0" w:space="0" w:color="auto"/>
                    <w:left w:val="none" w:sz="0" w:space="0" w:color="auto"/>
                    <w:bottom w:val="none" w:sz="0" w:space="0" w:color="auto"/>
                    <w:right w:val="none" w:sz="0" w:space="0" w:color="auto"/>
                  </w:divBdr>
                  <w:divsChild>
                    <w:div w:id="1565408071">
                      <w:marLeft w:val="0"/>
                      <w:marRight w:val="0"/>
                      <w:marTop w:val="0"/>
                      <w:marBottom w:val="0"/>
                      <w:divBdr>
                        <w:top w:val="none" w:sz="0" w:space="0" w:color="auto"/>
                        <w:left w:val="none" w:sz="0" w:space="0" w:color="auto"/>
                        <w:bottom w:val="none" w:sz="0" w:space="0" w:color="auto"/>
                        <w:right w:val="none" w:sz="0" w:space="0" w:color="auto"/>
                      </w:divBdr>
                    </w:div>
                  </w:divsChild>
                </w:div>
                <w:div w:id="710541895">
                  <w:marLeft w:val="0"/>
                  <w:marRight w:val="0"/>
                  <w:marTop w:val="0"/>
                  <w:marBottom w:val="0"/>
                  <w:divBdr>
                    <w:top w:val="none" w:sz="0" w:space="0" w:color="auto"/>
                    <w:left w:val="none" w:sz="0" w:space="0" w:color="auto"/>
                    <w:bottom w:val="none" w:sz="0" w:space="0" w:color="auto"/>
                    <w:right w:val="none" w:sz="0" w:space="0" w:color="auto"/>
                  </w:divBdr>
                  <w:divsChild>
                    <w:div w:id="587234093">
                      <w:marLeft w:val="0"/>
                      <w:marRight w:val="0"/>
                      <w:marTop w:val="0"/>
                      <w:marBottom w:val="0"/>
                      <w:divBdr>
                        <w:top w:val="none" w:sz="0" w:space="0" w:color="auto"/>
                        <w:left w:val="none" w:sz="0" w:space="0" w:color="auto"/>
                        <w:bottom w:val="none" w:sz="0" w:space="0" w:color="auto"/>
                        <w:right w:val="none" w:sz="0" w:space="0" w:color="auto"/>
                      </w:divBdr>
                    </w:div>
                  </w:divsChild>
                </w:div>
                <w:div w:id="1144348481">
                  <w:marLeft w:val="0"/>
                  <w:marRight w:val="0"/>
                  <w:marTop w:val="0"/>
                  <w:marBottom w:val="0"/>
                  <w:divBdr>
                    <w:top w:val="none" w:sz="0" w:space="0" w:color="auto"/>
                    <w:left w:val="none" w:sz="0" w:space="0" w:color="auto"/>
                    <w:bottom w:val="none" w:sz="0" w:space="0" w:color="auto"/>
                    <w:right w:val="none" w:sz="0" w:space="0" w:color="auto"/>
                  </w:divBdr>
                  <w:divsChild>
                    <w:div w:id="1865055356">
                      <w:marLeft w:val="0"/>
                      <w:marRight w:val="0"/>
                      <w:marTop w:val="0"/>
                      <w:marBottom w:val="0"/>
                      <w:divBdr>
                        <w:top w:val="none" w:sz="0" w:space="0" w:color="auto"/>
                        <w:left w:val="none" w:sz="0" w:space="0" w:color="auto"/>
                        <w:bottom w:val="none" w:sz="0" w:space="0" w:color="auto"/>
                        <w:right w:val="none" w:sz="0" w:space="0" w:color="auto"/>
                      </w:divBdr>
                    </w:div>
                  </w:divsChild>
                </w:div>
                <w:div w:id="1258949640">
                  <w:marLeft w:val="0"/>
                  <w:marRight w:val="0"/>
                  <w:marTop w:val="0"/>
                  <w:marBottom w:val="0"/>
                  <w:divBdr>
                    <w:top w:val="none" w:sz="0" w:space="0" w:color="auto"/>
                    <w:left w:val="none" w:sz="0" w:space="0" w:color="auto"/>
                    <w:bottom w:val="none" w:sz="0" w:space="0" w:color="auto"/>
                    <w:right w:val="none" w:sz="0" w:space="0" w:color="auto"/>
                  </w:divBdr>
                  <w:divsChild>
                    <w:div w:id="165904305">
                      <w:marLeft w:val="0"/>
                      <w:marRight w:val="0"/>
                      <w:marTop w:val="0"/>
                      <w:marBottom w:val="0"/>
                      <w:divBdr>
                        <w:top w:val="none" w:sz="0" w:space="0" w:color="auto"/>
                        <w:left w:val="none" w:sz="0" w:space="0" w:color="auto"/>
                        <w:bottom w:val="none" w:sz="0" w:space="0" w:color="auto"/>
                        <w:right w:val="none" w:sz="0" w:space="0" w:color="auto"/>
                      </w:divBdr>
                    </w:div>
                  </w:divsChild>
                </w:div>
                <w:div w:id="1356737641">
                  <w:marLeft w:val="0"/>
                  <w:marRight w:val="0"/>
                  <w:marTop w:val="0"/>
                  <w:marBottom w:val="0"/>
                  <w:divBdr>
                    <w:top w:val="none" w:sz="0" w:space="0" w:color="auto"/>
                    <w:left w:val="none" w:sz="0" w:space="0" w:color="auto"/>
                    <w:bottom w:val="none" w:sz="0" w:space="0" w:color="auto"/>
                    <w:right w:val="none" w:sz="0" w:space="0" w:color="auto"/>
                  </w:divBdr>
                  <w:divsChild>
                    <w:div w:id="1800417696">
                      <w:marLeft w:val="0"/>
                      <w:marRight w:val="0"/>
                      <w:marTop w:val="0"/>
                      <w:marBottom w:val="0"/>
                      <w:divBdr>
                        <w:top w:val="none" w:sz="0" w:space="0" w:color="auto"/>
                        <w:left w:val="none" w:sz="0" w:space="0" w:color="auto"/>
                        <w:bottom w:val="none" w:sz="0" w:space="0" w:color="auto"/>
                        <w:right w:val="none" w:sz="0" w:space="0" w:color="auto"/>
                      </w:divBdr>
                    </w:div>
                  </w:divsChild>
                </w:div>
                <w:div w:id="1458376423">
                  <w:marLeft w:val="0"/>
                  <w:marRight w:val="0"/>
                  <w:marTop w:val="0"/>
                  <w:marBottom w:val="0"/>
                  <w:divBdr>
                    <w:top w:val="none" w:sz="0" w:space="0" w:color="auto"/>
                    <w:left w:val="none" w:sz="0" w:space="0" w:color="auto"/>
                    <w:bottom w:val="none" w:sz="0" w:space="0" w:color="auto"/>
                    <w:right w:val="none" w:sz="0" w:space="0" w:color="auto"/>
                  </w:divBdr>
                  <w:divsChild>
                    <w:div w:id="85855559">
                      <w:marLeft w:val="0"/>
                      <w:marRight w:val="0"/>
                      <w:marTop w:val="0"/>
                      <w:marBottom w:val="0"/>
                      <w:divBdr>
                        <w:top w:val="none" w:sz="0" w:space="0" w:color="auto"/>
                        <w:left w:val="none" w:sz="0" w:space="0" w:color="auto"/>
                        <w:bottom w:val="none" w:sz="0" w:space="0" w:color="auto"/>
                        <w:right w:val="none" w:sz="0" w:space="0" w:color="auto"/>
                      </w:divBdr>
                    </w:div>
                  </w:divsChild>
                </w:div>
                <w:div w:id="1471511519">
                  <w:marLeft w:val="0"/>
                  <w:marRight w:val="0"/>
                  <w:marTop w:val="0"/>
                  <w:marBottom w:val="0"/>
                  <w:divBdr>
                    <w:top w:val="none" w:sz="0" w:space="0" w:color="auto"/>
                    <w:left w:val="none" w:sz="0" w:space="0" w:color="auto"/>
                    <w:bottom w:val="none" w:sz="0" w:space="0" w:color="auto"/>
                    <w:right w:val="none" w:sz="0" w:space="0" w:color="auto"/>
                  </w:divBdr>
                  <w:divsChild>
                    <w:div w:id="1245607533">
                      <w:marLeft w:val="0"/>
                      <w:marRight w:val="0"/>
                      <w:marTop w:val="0"/>
                      <w:marBottom w:val="0"/>
                      <w:divBdr>
                        <w:top w:val="none" w:sz="0" w:space="0" w:color="auto"/>
                        <w:left w:val="none" w:sz="0" w:space="0" w:color="auto"/>
                        <w:bottom w:val="none" w:sz="0" w:space="0" w:color="auto"/>
                        <w:right w:val="none" w:sz="0" w:space="0" w:color="auto"/>
                      </w:divBdr>
                    </w:div>
                  </w:divsChild>
                </w:div>
                <w:div w:id="1481732087">
                  <w:marLeft w:val="0"/>
                  <w:marRight w:val="0"/>
                  <w:marTop w:val="0"/>
                  <w:marBottom w:val="0"/>
                  <w:divBdr>
                    <w:top w:val="none" w:sz="0" w:space="0" w:color="auto"/>
                    <w:left w:val="none" w:sz="0" w:space="0" w:color="auto"/>
                    <w:bottom w:val="none" w:sz="0" w:space="0" w:color="auto"/>
                    <w:right w:val="none" w:sz="0" w:space="0" w:color="auto"/>
                  </w:divBdr>
                  <w:divsChild>
                    <w:div w:id="1585333308">
                      <w:marLeft w:val="0"/>
                      <w:marRight w:val="0"/>
                      <w:marTop w:val="0"/>
                      <w:marBottom w:val="0"/>
                      <w:divBdr>
                        <w:top w:val="none" w:sz="0" w:space="0" w:color="auto"/>
                        <w:left w:val="none" w:sz="0" w:space="0" w:color="auto"/>
                        <w:bottom w:val="none" w:sz="0" w:space="0" w:color="auto"/>
                        <w:right w:val="none" w:sz="0" w:space="0" w:color="auto"/>
                      </w:divBdr>
                    </w:div>
                  </w:divsChild>
                </w:div>
                <w:div w:id="1685209963">
                  <w:marLeft w:val="0"/>
                  <w:marRight w:val="0"/>
                  <w:marTop w:val="0"/>
                  <w:marBottom w:val="0"/>
                  <w:divBdr>
                    <w:top w:val="none" w:sz="0" w:space="0" w:color="auto"/>
                    <w:left w:val="none" w:sz="0" w:space="0" w:color="auto"/>
                    <w:bottom w:val="none" w:sz="0" w:space="0" w:color="auto"/>
                    <w:right w:val="none" w:sz="0" w:space="0" w:color="auto"/>
                  </w:divBdr>
                  <w:divsChild>
                    <w:div w:id="8317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85541">
          <w:marLeft w:val="0"/>
          <w:marRight w:val="0"/>
          <w:marTop w:val="0"/>
          <w:marBottom w:val="0"/>
          <w:divBdr>
            <w:top w:val="none" w:sz="0" w:space="0" w:color="auto"/>
            <w:left w:val="none" w:sz="0" w:space="0" w:color="auto"/>
            <w:bottom w:val="none" w:sz="0" w:space="0" w:color="auto"/>
            <w:right w:val="none" w:sz="0" w:space="0" w:color="auto"/>
          </w:divBdr>
        </w:div>
        <w:div w:id="661784745">
          <w:marLeft w:val="0"/>
          <w:marRight w:val="0"/>
          <w:marTop w:val="0"/>
          <w:marBottom w:val="0"/>
          <w:divBdr>
            <w:top w:val="none" w:sz="0" w:space="0" w:color="auto"/>
            <w:left w:val="none" w:sz="0" w:space="0" w:color="auto"/>
            <w:bottom w:val="none" w:sz="0" w:space="0" w:color="auto"/>
            <w:right w:val="none" w:sz="0" w:space="0" w:color="auto"/>
          </w:divBdr>
        </w:div>
        <w:div w:id="673918169">
          <w:marLeft w:val="0"/>
          <w:marRight w:val="0"/>
          <w:marTop w:val="0"/>
          <w:marBottom w:val="0"/>
          <w:divBdr>
            <w:top w:val="none" w:sz="0" w:space="0" w:color="auto"/>
            <w:left w:val="none" w:sz="0" w:space="0" w:color="auto"/>
            <w:bottom w:val="none" w:sz="0" w:space="0" w:color="auto"/>
            <w:right w:val="none" w:sz="0" w:space="0" w:color="auto"/>
          </w:divBdr>
          <w:divsChild>
            <w:div w:id="11802248">
              <w:marLeft w:val="0"/>
              <w:marRight w:val="0"/>
              <w:marTop w:val="0"/>
              <w:marBottom w:val="0"/>
              <w:divBdr>
                <w:top w:val="none" w:sz="0" w:space="0" w:color="auto"/>
                <w:left w:val="none" w:sz="0" w:space="0" w:color="auto"/>
                <w:bottom w:val="none" w:sz="0" w:space="0" w:color="auto"/>
                <w:right w:val="none" w:sz="0" w:space="0" w:color="auto"/>
              </w:divBdr>
            </w:div>
            <w:div w:id="172957566">
              <w:marLeft w:val="0"/>
              <w:marRight w:val="0"/>
              <w:marTop w:val="0"/>
              <w:marBottom w:val="0"/>
              <w:divBdr>
                <w:top w:val="none" w:sz="0" w:space="0" w:color="auto"/>
                <w:left w:val="none" w:sz="0" w:space="0" w:color="auto"/>
                <w:bottom w:val="none" w:sz="0" w:space="0" w:color="auto"/>
                <w:right w:val="none" w:sz="0" w:space="0" w:color="auto"/>
              </w:divBdr>
            </w:div>
            <w:div w:id="229466473">
              <w:marLeft w:val="0"/>
              <w:marRight w:val="0"/>
              <w:marTop w:val="0"/>
              <w:marBottom w:val="0"/>
              <w:divBdr>
                <w:top w:val="none" w:sz="0" w:space="0" w:color="auto"/>
                <w:left w:val="none" w:sz="0" w:space="0" w:color="auto"/>
                <w:bottom w:val="none" w:sz="0" w:space="0" w:color="auto"/>
                <w:right w:val="none" w:sz="0" w:space="0" w:color="auto"/>
              </w:divBdr>
            </w:div>
            <w:div w:id="239100895">
              <w:marLeft w:val="0"/>
              <w:marRight w:val="0"/>
              <w:marTop w:val="0"/>
              <w:marBottom w:val="0"/>
              <w:divBdr>
                <w:top w:val="none" w:sz="0" w:space="0" w:color="auto"/>
                <w:left w:val="none" w:sz="0" w:space="0" w:color="auto"/>
                <w:bottom w:val="none" w:sz="0" w:space="0" w:color="auto"/>
                <w:right w:val="none" w:sz="0" w:space="0" w:color="auto"/>
              </w:divBdr>
            </w:div>
            <w:div w:id="250819186">
              <w:marLeft w:val="0"/>
              <w:marRight w:val="0"/>
              <w:marTop w:val="0"/>
              <w:marBottom w:val="0"/>
              <w:divBdr>
                <w:top w:val="none" w:sz="0" w:space="0" w:color="auto"/>
                <w:left w:val="none" w:sz="0" w:space="0" w:color="auto"/>
                <w:bottom w:val="none" w:sz="0" w:space="0" w:color="auto"/>
                <w:right w:val="none" w:sz="0" w:space="0" w:color="auto"/>
              </w:divBdr>
            </w:div>
            <w:div w:id="436827873">
              <w:marLeft w:val="0"/>
              <w:marRight w:val="0"/>
              <w:marTop w:val="0"/>
              <w:marBottom w:val="0"/>
              <w:divBdr>
                <w:top w:val="none" w:sz="0" w:space="0" w:color="auto"/>
                <w:left w:val="none" w:sz="0" w:space="0" w:color="auto"/>
                <w:bottom w:val="none" w:sz="0" w:space="0" w:color="auto"/>
                <w:right w:val="none" w:sz="0" w:space="0" w:color="auto"/>
              </w:divBdr>
            </w:div>
            <w:div w:id="443769929">
              <w:marLeft w:val="0"/>
              <w:marRight w:val="0"/>
              <w:marTop w:val="0"/>
              <w:marBottom w:val="0"/>
              <w:divBdr>
                <w:top w:val="none" w:sz="0" w:space="0" w:color="auto"/>
                <w:left w:val="none" w:sz="0" w:space="0" w:color="auto"/>
                <w:bottom w:val="none" w:sz="0" w:space="0" w:color="auto"/>
                <w:right w:val="none" w:sz="0" w:space="0" w:color="auto"/>
              </w:divBdr>
            </w:div>
            <w:div w:id="482352442">
              <w:marLeft w:val="0"/>
              <w:marRight w:val="0"/>
              <w:marTop w:val="0"/>
              <w:marBottom w:val="0"/>
              <w:divBdr>
                <w:top w:val="none" w:sz="0" w:space="0" w:color="auto"/>
                <w:left w:val="none" w:sz="0" w:space="0" w:color="auto"/>
                <w:bottom w:val="none" w:sz="0" w:space="0" w:color="auto"/>
                <w:right w:val="none" w:sz="0" w:space="0" w:color="auto"/>
              </w:divBdr>
            </w:div>
            <w:div w:id="541022101">
              <w:marLeft w:val="0"/>
              <w:marRight w:val="0"/>
              <w:marTop w:val="0"/>
              <w:marBottom w:val="0"/>
              <w:divBdr>
                <w:top w:val="none" w:sz="0" w:space="0" w:color="auto"/>
                <w:left w:val="none" w:sz="0" w:space="0" w:color="auto"/>
                <w:bottom w:val="none" w:sz="0" w:space="0" w:color="auto"/>
                <w:right w:val="none" w:sz="0" w:space="0" w:color="auto"/>
              </w:divBdr>
            </w:div>
            <w:div w:id="659231052">
              <w:marLeft w:val="0"/>
              <w:marRight w:val="0"/>
              <w:marTop w:val="0"/>
              <w:marBottom w:val="0"/>
              <w:divBdr>
                <w:top w:val="none" w:sz="0" w:space="0" w:color="auto"/>
                <w:left w:val="none" w:sz="0" w:space="0" w:color="auto"/>
                <w:bottom w:val="none" w:sz="0" w:space="0" w:color="auto"/>
                <w:right w:val="none" w:sz="0" w:space="0" w:color="auto"/>
              </w:divBdr>
            </w:div>
            <w:div w:id="859004814">
              <w:marLeft w:val="0"/>
              <w:marRight w:val="0"/>
              <w:marTop w:val="0"/>
              <w:marBottom w:val="0"/>
              <w:divBdr>
                <w:top w:val="none" w:sz="0" w:space="0" w:color="auto"/>
                <w:left w:val="none" w:sz="0" w:space="0" w:color="auto"/>
                <w:bottom w:val="none" w:sz="0" w:space="0" w:color="auto"/>
                <w:right w:val="none" w:sz="0" w:space="0" w:color="auto"/>
              </w:divBdr>
            </w:div>
            <w:div w:id="1045257058">
              <w:marLeft w:val="0"/>
              <w:marRight w:val="0"/>
              <w:marTop w:val="0"/>
              <w:marBottom w:val="0"/>
              <w:divBdr>
                <w:top w:val="none" w:sz="0" w:space="0" w:color="auto"/>
                <w:left w:val="none" w:sz="0" w:space="0" w:color="auto"/>
                <w:bottom w:val="none" w:sz="0" w:space="0" w:color="auto"/>
                <w:right w:val="none" w:sz="0" w:space="0" w:color="auto"/>
              </w:divBdr>
            </w:div>
            <w:div w:id="1194148779">
              <w:marLeft w:val="0"/>
              <w:marRight w:val="0"/>
              <w:marTop w:val="0"/>
              <w:marBottom w:val="0"/>
              <w:divBdr>
                <w:top w:val="none" w:sz="0" w:space="0" w:color="auto"/>
                <w:left w:val="none" w:sz="0" w:space="0" w:color="auto"/>
                <w:bottom w:val="none" w:sz="0" w:space="0" w:color="auto"/>
                <w:right w:val="none" w:sz="0" w:space="0" w:color="auto"/>
              </w:divBdr>
            </w:div>
            <w:div w:id="1200750975">
              <w:marLeft w:val="0"/>
              <w:marRight w:val="0"/>
              <w:marTop w:val="0"/>
              <w:marBottom w:val="0"/>
              <w:divBdr>
                <w:top w:val="none" w:sz="0" w:space="0" w:color="auto"/>
                <w:left w:val="none" w:sz="0" w:space="0" w:color="auto"/>
                <w:bottom w:val="none" w:sz="0" w:space="0" w:color="auto"/>
                <w:right w:val="none" w:sz="0" w:space="0" w:color="auto"/>
              </w:divBdr>
            </w:div>
            <w:div w:id="1234396097">
              <w:marLeft w:val="0"/>
              <w:marRight w:val="0"/>
              <w:marTop w:val="0"/>
              <w:marBottom w:val="0"/>
              <w:divBdr>
                <w:top w:val="none" w:sz="0" w:space="0" w:color="auto"/>
                <w:left w:val="none" w:sz="0" w:space="0" w:color="auto"/>
                <w:bottom w:val="none" w:sz="0" w:space="0" w:color="auto"/>
                <w:right w:val="none" w:sz="0" w:space="0" w:color="auto"/>
              </w:divBdr>
            </w:div>
            <w:div w:id="1441484494">
              <w:marLeft w:val="0"/>
              <w:marRight w:val="0"/>
              <w:marTop w:val="0"/>
              <w:marBottom w:val="0"/>
              <w:divBdr>
                <w:top w:val="none" w:sz="0" w:space="0" w:color="auto"/>
                <w:left w:val="none" w:sz="0" w:space="0" w:color="auto"/>
                <w:bottom w:val="none" w:sz="0" w:space="0" w:color="auto"/>
                <w:right w:val="none" w:sz="0" w:space="0" w:color="auto"/>
              </w:divBdr>
            </w:div>
            <w:div w:id="1481074512">
              <w:marLeft w:val="0"/>
              <w:marRight w:val="0"/>
              <w:marTop w:val="0"/>
              <w:marBottom w:val="0"/>
              <w:divBdr>
                <w:top w:val="none" w:sz="0" w:space="0" w:color="auto"/>
                <w:left w:val="none" w:sz="0" w:space="0" w:color="auto"/>
                <w:bottom w:val="none" w:sz="0" w:space="0" w:color="auto"/>
                <w:right w:val="none" w:sz="0" w:space="0" w:color="auto"/>
              </w:divBdr>
            </w:div>
            <w:div w:id="1751847238">
              <w:marLeft w:val="0"/>
              <w:marRight w:val="0"/>
              <w:marTop w:val="0"/>
              <w:marBottom w:val="0"/>
              <w:divBdr>
                <w:top w:val="none" w:sz="0" w:space="0" w:color="auto"/>
                <w:left w:val="none" w:sz="0" w:space="0" w:color="auto"/>
                <w:bottom w:val="none" w:sz="0" w:space="0" w:color="auto"/>
                <w:right w:val="none" w:sz="0" w:space="0" w:color="auto"/>
              </w:divBdr>
            </w:div>
            <w:div w:id="1989357311">
              <w:marLeft w:val="0"/>
              <w:marRight w:val="0"/>
              <w:marTop w:val="0"/>
              <w:marBottom w:val="0"/>
              <w:divBdr>
                <w:top w:val="none" w:sz="0" w:space="0" w:color="auto"/>
                <w:left w:val="none" w:sz="0" w:space="0" w:color="auto"/>
                <w:bottom w:val="none" w:sz="0" w:space="0" w:color="auto"/>
                <w:right w:val="none" w:sz="0" w:space="0" w:color="auto"/>
              </w:divBdr>
            </w:div>
            <w:div w:id="1998880214">
              <w:marLeft w:val="0"/>
              <w:marRight w:val="0"/>
              <w:marTop w:val="0"/>
              <w:marBottom w:val="0"/>
              <w:divBdr>
                <w:top w:val="none" w:sz="0" w:space="0" w:color="auto"/>
                <w:left w:val="none" w:sz="0" w:space="0" w:color="auto"/>
                <w:bottom w:val="none" w:sz="0" w:space="0" w:color="auto"/>
                <w:right w:val="none" w:sz="0" w:space="0" w:color="auto"/>
              </w:divBdr>
            </w:div>
          </w:divsChild>
        </w:div>
        <w:div w:id="677344071">
          <w:marLeft w:val="0"/>
          <w:marRight w:val="0"/>
          <w:marTop w:val="0"/>
          <w:marBottom w:val="0"/>
          <w:divBdr>
            <w:top w:val="none" w:sz="0" w:space="0" w:color="auto"/>
            <w:left w:val="none" w:sz="0" w:space="0" w:color="auto"/>
            <w:bottom w:val="none" w:sz="0" w:space="0" w:color="auto"/>
            <w:right w:val="none" w:sz="0" w:space="0" w:color="auto"/>
          </w:divBdr>
          <w:divsChild>
            <w:div w:id="1223060569">
              <w:marLeft w:val="-75"/>
              <w:marRight w:val="0"/>
              <w:marTop w:val="30"/>
              <w:marBottom w:val="30"/>
              <w:divBdr>
                <w:top w:val="none" w:sz="0" w:space="0" w:color="auto"/>
                <w:left w:val="none" w:sz="0" w:space="0" w:color="auto"/>
                <w:bottom w:val="none" w:sz="0" w:space="0" w:color="auto"/>
                <w:right w:val="none" w:sz="0" w:space="0" w:color="auto"/>
              </w:divBdr>
              <w:divsChild>
                <w:div w:id="12147380">
                  <w:marLeft w:val="0"/>
                  <w:marRight w:val="0"/>
                  <w:marTop w:val="0"/>
                  <w:marBottom w:val="0"/>
                  <w:divBdr>
                    <w:top w:val="none" w:sz="0" w:space="0" w:color="auto"/>
                    <w:left w:val="none" w:sz="0" w:space="0" w:color="auto"/>
                    <w:bottom w:val="none" w:sz="0" w:space="0" w:color="auto"/>
                    <w:right w:val="none" w:sz="0" w:space="0" w:color="auto"/>
                  </w:divBdr>
                  <w:divsChild>
                    <w:div w:id="152919647">
                      <w:marLeft w:val="0"/>
                      <w:marRight w:val="0"/>
                      <w:marTop w:val="0"/>
                      <w:marBottom w:val="0"/>
                      <w:divBdr>
                        <w:top w:val="none" w:sz="0" w:space="0" w:color="auto"/>
                        <w:left w:val="none" w:sz="0" w:space="0" w:color="auto"/>
                        <w:bottom w:val="none" w:sz="0" w:space="0" w:color="auto"/>
                        <w:right w:val="none" w:sz="0" w:space="0" w:color="auto"/>
                      </w:divBdr>
                    </w:div>
                  </w:divsChild>
                </w:div>
                <w:div w:id="72748576">
                  <w:marLeft w:val="0"/>
                  <w:marRight w:val="0"/>
                  <w:marTop w:val="0"/>
                  <w:marBottom w:val="0"/>
                  <w:divBdr>
                    <w:top w:val="none" w:sz="0" w:space="0" w:color="auto"/>
                    <w:left w:val="none" w:sz="0" w:space="0" w:color="auto"/>
                    <w:bottom w:val="none" w:sz="0" w:space="0" w:color="auto"/>
                    <w:right w:val="none" w:sz="0" w:space="0" w:color="auto"/>
                  </w:divBdr>
                  <w:divsChild>
                    <w:div w:id="1458908050">
                      <w:marLeft w:val="0"/>
                      <w:marRight w:val="0"/>
                      <w:marTop w:val="0"/>
                      <w:marBottom w:val="0"/>
                      <w:divBdr>
                        <w:top w:val="none" w:sz="0" w:space="0" w:color="auto"/>
                        <w:left w:val="none" w:sz="0" w:space="0" w:color="auto"/>
                        <w:bottom w:val="none" w:sz="0" w:space="0" w:color="auto"/>
                        <w:right w:val="none" w:sz="0" w:space="0" w:color="auto"/>
                      </w:divBdr>
                    </w:div>
                  </w:divsChild>
                </w:div>
                <w:div w:id="133108417">
                  <w:marLeft w:val="0"/>
                  <w:marRight w:val="0"/>
                  <w:marTop w:val="0"/>
                  <w:marBottom w:val="0"/>
                  <w:divBdr>
                    <w:top w:val="none" w:sz="0" w:space="0" w:color="auto"/>
                    <w:left w:val="none" w:sz="0" w:space="0" w:color="auto"/>
                    <w:bottom w:val="none" w:sz="0" w:space="0" w:color="auto"/>
                    <w:right w:val="none" w:sz="0" w:space="0" w:color="auto"/>
                  </w:divBdr>
                  <w:divsChild>
                    <w:div w:id="318585216">
                      <w:marLeft w:val="0"/>
                      <w:marRight w:val="0"/>
                      <w:marTop w:val="0"/>
                      <w:marBottom w:val="0"/>
                      <w:divBdr>
                        <w:top w:val="none" w:sz="0" w:space="0" w:color="auto"/>
                        <w:left w:val="none" w:sz="0" w:space="0" w:color="auto"/>
                        <w:bottom w:val="none" w:sz="0" w:space="0" w:color="auto"/>
                        <w:right w:val="none" w:sz="0" w:space="0" w:color="auto"/>
                      </w:divBdr>
                    </w:div>
                  </w:divsChild>
                </w:div>
                <w:div w:id="169762364">
                  <w:marLeft w:val="0"/>
                  <w:marRight w:val="0"/>
                  <w:marTop w:val="0"/>
                  <w:marBottom w:val="0"/>
                  <w:divBdr>
                    <w:top w:val="none" w:sz="0" w:space="0" w:color="auto"/>
                    <w:left w:val="none" w:sz="0" w:space="0" w:color="auto"/>
                    <w:bottom w:val="none" w:sz="0" w:space="0" w:color="auto"/>
                    <w:right w:val="none" w:sz="0" w:space="0" w:color="auto"/>
                  </w:divBdr>
                  <w:divsChild>
                    <w:div w:id="765732587">
                      <w:marLeft w:val="0"/>
                      <w:marRight w:val="0"/>
                      <w:marTop w:val="0"/>
                      <w:marBottom w:val="0"/>
                      <w:divBdr>
                        <w:top w:val="none" w:sz="0" w:space="0" w:color="auto"/>
                        <w:left w:val="none" w:sz="0" w:space="0" w:color="auto"/>
                        <w:bottom w:val="none" w:sz="0" w:space="0" w:color="auto"/>
                        <w:right w:val="none" w:sz="0" w:space="0" w:color="auto"/>
                      </w:divBdr>
                    </w:div>
                  </w:divsChild>
                </w:div>
                <w:div w:id="193808720">
                  <w:marLeft w:val="0"/>
                  <w:marRight w:val="0"/>
                  <w:marTop w:val="0"/>
                  <w:marBottom w:val="0"/>
                  <w:divBdr>
                    <w:top w:val="none" w:sz="0" w:space="0" w:color="auto"/>
                    <w:left w:val="none" w:sz="0" w:space="0" w:color="auto"/>
                    <w:bottom w:val="none" w:sz="0" w:space="0" w:color="auto"/>
                    <w:right w:val="none" w:sz="0" w:space="0" w:color="auto"/>
                  </w:divBdr>
                  <w:divsChild>
                    <w:div w:id="935329989">
                      <w:marLeft w:val="0"/>
                      <w:marRight w:val="0"/>
                      <w:marTop w:val="0"/>
                      <w:marBottom w:val="0"/>
                      <w:divBdr>
                        <w:top w:val="none" w:sz="0" w:space="0" w:color="auto"/>
                        <w:left w:val="none" w:sz="0" w:space="0" w:color="auto"/>
                        <w:bottom w:val="none" w:sz="0" w:space="0" w:color="auto"/>
                        <w:right w:val="none" w:sz="0" w:space="0" w:color="auto"/>
                      </w:divBdr>
                    </w:div>
                  </w:divsChild>
                </w:div>
                <w:div w:id="306083328">
                  <w:marLeft w:val="0"/>
                  <w:marRight w:val="0"/>
                  <w:marTop w:val="0"/>
                  <w:marBottom w:val="0"/>
                  <w:divBdr>
                    <w:top w:val="none" w:sz="0" w:space="0" w:color="auto"/>
                    <w:left w:val="none" w:sz="0" w:space="0" w:color="auto"/>
                    <w:bottom w:val="none" w:sz="0" w:space="0" w:color="auto"/>
                    <w:right w:val="none" w:sz="0" w:space="0" w:color="auto"/>
                  </w:divBdr>
                  <w:divsChild>
                    <w:div w:id="558828108">
                      <w:marLeft w:val="0"/>
                      <w:marRight w:val="0"/>
                      <w:marTop w:val="0"/>
                      <w:marBottom w:val="0"/>
                      <w:divBdr>
                        <w:top w:val="none" w:sz="0" w:space="0" w:color="auto"/>
                        <w:left w:val="none" w:sz="0" w:space="0" w:color="auto"/>
                        <w:bottom w:val="none" w:sz="0" w:space="0" w:color="auto"/>
                        <w:right w:val="none" w:sz="0" w:space="0" w:color="auto"/>
                      </w:divBdr>
                    </w:div>
                  </w:divsChild>
                </w:div>
                <w:div w:id="349644037">
                  <w:marLeft w:val="0"/>
                  <w:marRight w:val="0"/>
                  <w:marTop w:val="0"/>
                  <w:marBottom w:val="0"/>
                  <w:divBdr>
                    <w:top w:val="none" w:sz="0" w:space="0" w:color="auto"/>
                    <w:left w:val="none" w:sz="0" w:space="0" w:color="auto"/>
                    <w:bottom w:val="none" w:sz="0" w:space="0" w:color="auto"/>
                    <w:right w:val="none" w:sz="0" w:space="0" w:color="auto"/>
                  </w:divBdr>
                  <w:divsChild>
                    <w:div w:id="2038191741">
                      <w:marLeft w:val="0"/>
                      <w:marRight w:val="0"/>
                      <w:marTop w:val="0"/>
                      <w:marBottom w:val="0"/>
                      <w:divBdr>
                        <w:top w:val="none" w:sz="0" w:space="0" w:color="auto"/>
                        <w:left w:val="none" w:sz="0" w:space="0" w:color="auto"/>
                        <w:bottom w:val="none" w:sz="0" w:space="0" w:color="auto"/>
                        <w:right w:val="none" w:sz="0" w:space="0" w:color="auto"/>
                      </w:divBdr>
                    </w:div>
                  </w:divsChild>
                </w:div>
                <w:div w:id="412167120">
                  <w:marLeft w:val="0"/>
                  <w:marRight w:val="0"/>
                  <w:marTop w:val="0"/>
                  <w:marBottom w:val="0"/>
                  <w:divBdr>
                    <w:top w:val="none" w:sz="0" w:space="0" w:color="auto"/>
                    <w:left w:val="none" w:sz="0" w:space="0" w:color="auto"/>
                    <w:bottom w:val="none" w:sz="0" w:space="0" w:color="auto"/>
                    <w:right w:val="none" w:sz="0" w:space="0" w:color="auto"/>
                  </w:divBdr>
                  <w:divsChild>
                    <w:div w:id="503861574">
                      <w:marLeft w:val="0"/>
                      <w:marRight w:val="0"/>
                      <w:marTop w:val="0"/>
                      <w:marBottom w:val="0"/>
                      <w:divBdr>
                        <w:top w:val="none" w:sz="0" w:space="0" w:color="auto"/>
                        <w:left w:val="none" w:sz="0" w:space="0" w:color="auto"/>
                        <w:bottom w:val="none" w:sz="0" w:space="0" w:color="auto"/>
                        <w:right w:val="none" w:sz="0" w:space="0" w:color="auto"/>
                      </w:divBdr>
                    </w:div>
                  </w:divsChild>
                </w:div>
                <w:div w:id="419567352">
                  <w:marLeft w:val="0"/>
                  <w:marRight w:val="0"/>
                  <w:marTop w:val="0"/>
                  <w:marBottom w:val="0"/>
                  <w:divBdr>
                    <w:top w:val="none" w:sz="0" w:space="0" w:color="auto"/>
                    <w:left w:val="none" w:sz="0" w:space="0" w:color="auto"/>
                    <w:bottom w:val="none" w:sz="0" w:space="0" w:color="auto"/>
                    <w:right w:val="none" w:sz="0" w:space="0" w:color="auto"/>
                  </w:divBdr>
                  <w:divsChild>
                    <w:div w:id="1757481371">
                      <w:marLeft w:val="0"/>
                      <w:marRight w:val="0"/>
                      <w:marTop w:val="0"/>
                      <w:marBottom w:val="0"/>
                      <w:divBdr>
                        <w:top w:val="none" w:sz="0" w:space="0" w:color="auto"/>
                        <w:left w:val="none" w:sz="0" w:space="0" w:color="auto"/>
                        <w:bottom w:val="none" w:sz="0" w:space="0" w:color="auto"/>
                        <w:right w:val="none" w:sz="0" w:space="0" w:color="auto"/>
                      </w:divBdr>
                    </w:div>
                  </w:divsChild>
                </w:div>
                <w:div w:id="489568194">
                  <w:marLeft w:val="0"/>
                  <w:marRight w:val="0"/>
                  <w:marTop w:val="0"/>
                  <w:marBottom w:val="0"/>
                  <w:divBdr>
                    <w:top w:val="none" w:sz="0" w:space="0" w:color="auto"/>
                    <w:left w:val="none" w:sz="0" w:space="0" w:color="auto"/>
                    <w:bottom w:val="none" w:sz="0" w:space="0" w:color="auto"/>
                    <w:right w:val="none" w:sz="0" w:space="0" w:color="auto"/>
                  </w:divBdr>
                  <w:divsChild>
                    <w:div w:id="543565580">
                      <w:marLeft w:val="0"/>
                      <w:marRight w:val="0"/>
                      <w:marTop w:val="0"/>
                      <w:marBottom w:val="0"/>
                      <w:divBdr>
                        <w:top w:val="none" w:sz="0" w:space="0" w:color="auto"/>
                        <w:left w:val="none" w:sz="0" w:space="0" w:color="auto"/>
                        <w:bottom w:val="none" w:sz="0" w:space="0" w:color="auto"/>
                        <w:right w:val="none" w:sz="0" w:space="0" w:color="auto"/>
                      </w:divBdr>
                    </w:div>
                  </w:divsChild>
                </w:div>
                <w:div w:id="548149566">
                  <w:marLeft w:val="0"/>
                  <w:marRight w:val="0"/>
                  <w:marTop w:val="0"/>
                  <w:marBottom w:val="0"/>
                  <w:divBdr>
                    <w:top w:val="none" w:sz="0" w:space="0" w:color="auto"/>
                    <w:left w:val="none" w:sz="0" w:space="0" w:color="auto"/>
                    <w:bottom w:val="none" w:sz="0" w:space="0" w:color="auto"/>
                    <w:right w:val="none" w:sz="0" w:space="0" w:color="auto"/>
                  </w:divBdr>
                  <w:divsChild>
                    <w:div w:id="74474020">
                      <w:marLeft w:val="0"/>
                      <w:marRight w:val="0"/>
                      <w:marTop w:val="0"/>
                      <w:marBottom w:val="0"/>
                      <w:divBdr>
                        <w:top w:val="none" w:sz="0" w:space="0" w:color="auto"/>
                        <w:left w:val="none" w:sz="0" w:space="0" w:color="auto"/>
                        <w:bottom w:val="none" w:sz="0" w:space="0" w:color="auto"/>
                        <w:right w:val="none" w:sz="0" w:space="0" w:color="auto"/>
                      </w:divBdr>
                    </w:div>
                  </w:divsChild>
                </w:div>
                <w:div w:id="662970662">
                  <w:marLeft w:val="0"/>
                  <w:marRight w:val="0"/>
                  <w:marTop w:val="0"/>
                  <w:marBottom w:val="0"/>
                  <w:divBdr>
                    <w:top w:val="none" w:sz="0" w:space="0" w:color="auto"/>
                    <w:left w:val="none" w:sz="0" w:space="0" w:color="auto"/>
                    <w:bottom w:val="none" w:sz="0" w:space="0" w:color="auto"/>
                    <w:right w:val="none" w:sz="0" w:space="0" w:color="auto"/>
                  </w:divBdr>
                  <w:divsChild>
                    <w:div w:id="1959486455">
                      <w:marLeft w:val="0"/>
                      <w:marRight w:val="0"/>
                      <w:marTop w:val="0"/>
                      <w:marBottom w:val="0"/>
                      <w:divBdr>
                        <w:top w:val="none" w:sz="0" w:space="0" w:color="auto"/>
                        <w:left w:val="none" w:sz="0" w:space="0" w:color="auto"/>
                        <w:bottom w:val="none" w:sz="0" w:space="0" w:color="auto"/>
                        <w:right w:val="none" w:sz="0" w:space="0" w:color="auto"/>
                      </w:divBdr>
                    </w:div>
                  </w:divsChild>
                </w:div>
                <w:div w:id="721246773">
                  <w:marLeft w:val="0"/>
                  <w:marRight w:val="0"/>
                  <w:marTop w:val="0"/>
                  <w:marBottom w:val="0"/>
                  <w:divBdr>
                    <w:top w:val="none" w:sz="0" w:space="0" w:color="auto"/>
                    <w:left w:val="none" w:sz="0" w:space="0" w:color="auto"/>
                    <w:bottom w:val="none" w:sz="0" w:space="0" w:color="auto"/>
                    <w:right w:val="none" w:sz="0" w:space="0" w:color="auto"/>
                  </w:divBdr>
                  <w:divsChild>
                    <w:div w:id="2050446747">
                      <w:marLeft w:val="0"/>
                      <w:marRight w:val="0"/>
                      <w:marTop w:val="0"/>
                      <w:marBottom w:val="0"/>
                      <w:divBdr>
                        <w:top w:val="none" w:sz="0" w:space="0" w:color="auto"/>
                        <w:left w:val="none" w:sz="0" w:space="0" w:color="auto"/>
                        <w:bottom w:val="none" w:sz="0" w:space="0" w:color="auto"/>
                        <w:right w:val="none" w:sz="0" w:space="0" w:color="auto"/>
                      </w:divBdr>
                    </w:div>
                  </w:divsChild>
                </w:div>
                <w:div w:id="731390991">
                  <w:marLeft w:val="0"/>
                  <w:marRight w:val="0"/>
                  <w:marTop w:val="0"/>
                  <w:marBottom w:val="0"/>
                  <w:divBdr>
                    <w:top w:val="none" w:sz="0" w:space="0" w:color="auto"/>
                    <w:left w:val="none" w:sz="0" w:space="0" w:color="auto"/>
                    <w:bottom w:val="none" w:sz="0" w:space="0" w:color="auto"/>
                    <w:right w:val="none" w:sz="0" w:space="0" w:color="auto"/>
                  </w:divBdr>
                  <w:divsChild>
                    <w:div w:id="1505052565">
                      <w:marLeft w:val="0"/>
                      <w:marRight w:val="0"/>
                      <w:marTop w:val="0"/>
                      <w:marBottom w:val="0"/>
                      <w:divBdr>
                        <w:top w:val="none" w:sz="0" w:space="0" w:color="auto"/>
                        <w:left w:val="none" w:sz="0" w:space="0" w:color="auto"/>
                        <w:bottom w:val="none" w:sz="0" w:space="0" w:color="auto"/>
                        <w:right w:val="none" w:sz="0" w:space="0" w:color="auto"/>
                      </w:divBdr>
                    </w:div>
                  </w:divsChild>
                </w:div>
                <w:div w:id="779301565">
                  <w:marLeft w:val="0"/>
                  <w:marRight w:val="0"/>
                  <w:marTop w:val="0"/>
                  <w:marBottom w:val="0"/>
                  <w:divBdr>
                    <w:top w:val="none" w:sz="0" w:space="0" w:color="auto"/>
                    <w:left w:val="none" w:sz="0" w:space="0" w:color="auto"/>
                    <w:bottom w:val="none" w:sz="0" w:space="0" w:color="auto"/>
                    <w:right w:val="none" w:sz="0" w:space="0" w:color="auto"/>
                  </w:divBdr>
                  <w:divsChild>
                    <w:div w:id="1094545367">
                      <w:marLeft w:val="0"/>
                      <w:marRight w:val="0"/>
                      <w:marTop w:val="0"/>
                      <w:marBottom w:val="0"/>
                      <w:divBdr>
                        <w:top w:val="none" w:sz="0" w:space="0" w:color="auto"/>
                        <w:left w:val="none" w:sz="0" w:space="0" w:color="auto"/>
                        <w:bottom w:val="none" w:sz="0" w:space="0" w:color="auto"/>
                        <w:right w:val="none" w:sz="0" w:space="0" w:color="auto"/>
                      </w:divBdr>
                    </w:div>
                  </w:divsChild>
                </w:div>
                <w:div w:id="866983747">
                  <w:marLeft w:val="0"/>
                  <w:marRight w:val="0"/>
                  <w:marTop w:val="0"/>
                  <w:marBottom w:val="0"/>
                  <w:divBdr>
                    <w:top w:val="none" w:sz="0" w:space="0" w:color="auto"/>
                    <w:left w:val="none" w:sz="0" w:space="0" w:color="auto"/>
                    <w:bottom w:val="none" w:sz="0" w:space="0" w:color="auto"/>
                    <w:right w:val="none" w:sz="0" w:space="0" w:color="auto"/>
                  </w:divBdr>
                  <w:divsChild>
                    <w:div w:id="510336861">
                      <w:marLeft w:val="0"/>
                      <w:marRight w:val="0"/>
                      <w:marTop w:val="0"/>
                      <w:marBottom w:val="0"/>
                      <w:divBdr>
                        <w:top w:val="none" w:sz="0" w:space="0" w:color="auto"/>
                        <w:left w:val="none" w:sz="0" w:space="0" w:color="auto"/>
                        <w:bottom w:val="none" w:sz="0" w:space="0" w:color="auto"/>
                        <w:right w:val="none" w:sz="0" w:space="0" w:color="auto"/>
                      </w:divBdr>
                    </w:div>
                  </w:divsChild>
                </w:div>
                <w:div w:id="915482033">
                  <w:marLeft w:val="0"/>
                  <w:marRight w:val="0"/>
                  <w:marTop w:val="0"/>
                  <w:marBottom w:val="0"/>
                  <w:divBdr>
                    <w:top w:val="none" w:sz="0" w:space="0" w:color="auto"/>
                    <w:left w:val="none" w:sz="0" w:space="0" w:color="auto"/>
                    <w:bottom w:val="none" w:sz="0" w:space="0" w:color="auto"/>
                    <w:right w:val="none" w:sz="0" w:space="0" w:color="auto"/>
                  </w:divBdr>
                  <w:divsChild>
                    <w:div w:id="1125729650">
                      <w:marLeft w:val="0"/>
                      <w:marRight w:val="0"/>
                      <w:marTop w:val="0"/>
                      <w:marBottom w:val="0"/>
                      <w:divBdr>
                        <w:top w:val="none" w:sz="0" w:space="0" w:color="auto"/>
                        <w:left w:val="none" w:sz="0" w:space="0" w:color="auto"/>
                        <w:bottom w:val="none" w:sz="0" w:space="0" w:color="auto"/>
                        <w:right w:val="none" w:sz="0" w:space="0" w:color="auto"/>
                      </w:divBdr>
                    </w:div>
                  </w:divsChild>
                </w:div>
                <w:div w:id="928848617">
                  <w:marLeft w:val="0"/>
                  <w:marRight w:val="0"/>
                  <w:marTop w:val="0"/>
                  <w:marBottom w:val="0"/>
                  <w:divBdr>
                    <w:top w:val="none" w:sz="0" w:space="0" w:color="auto"/>
                    <w:left w:val="none" w:sz="0" w:space="0" w:color="auto"/>
                    <w:bottom w:val="none" w:sz="0" w:space="0" w:color="auto"/>
                    <w:right w:val="none" w:sz="0" w:space="0" w:color="auto"/>
                  </w:divBdr>
                  <w:divsChild>
                    <w:div w:id="806318323">
                      <w:marLeft w:val="0"/>
                      <w:marRight w:val="0"/>
                      <w:marTop w:val="0"/>
                      <w:marBottom w:val="0"/>
                      <w:divBdr>
                        <w:top w:val="none" w:sz="0" w:space="0" w:color="auto"/>
                        <w:left w:val="none" w:sz="0" w:space="0" w:color="auto"/>
                        <w:bottom w:val="none" w:sz="0" w:space="0" w:color="auto"/>
                        <w:right w:val="none" w:sz="0" w:space="0" w:color="auto"/>
                      </w:divBdr>
                    </w:div>
                  </w:divsChild>
                </w:div>
                <w:div w:id="934938829">
                  <w:marLeft w:val="0"/>
                  <w:marRight w:val="0"/>
                  <w:marTop w:val="0"/>
                  <w:marBottom w:val="0"/>
                  <w:divBdr>
                    <w:top w:val="none" w:sz="0" w:space="0" w:color="auto"/>
                    <w:left w:val="none" w:sz="0" w:space="0" w:color="auto"/>
                    <w:bottom w:val="none" w:sz="0" w:space="0" w:color="auto"/>
                    <w:right w:val="none" w:sz="0" w:space="0" w:color="auto"/>
                  </w:divBdr>
                  <w:divsChild>
                    <w:div w:id="1468814530">
                      <w:marLeft w:val="0"/>
                      <w:marRight w:val="0"/>
                      <w:marTop w:val="0"/>
                      <w:marBottom w:val="0"/>
                      <w:divBdr>
                        <w:top w:val="none" w:sz="0" w:space="0" w:color="auto"/>
                        <w:left w:val="none" w:sz="0" w:space="0" w:color="auto"/>
                        <w:bottom w:val="none" w:sz="0" w:space="0" w:color="auto"/>
                        <w:right w:val="none" w:sz="0" w:space="0" w:color="auto"/>
                      </w:divBdr>
                    </w:div>
                  </w:divsChild>
                </w:div>
                <w:div w:id="936328394">
                  <w:marLeft w:val="0"/>
                  <w:marRight w:val="0"/>
                  <w:marTop w:val="0"/>
                  <w:marBottom w:val="0"/>
                  <w:divBdr>
                    <w:top w:val="none" w:sz="0" w:space="0" w:color="auto"/>
                    <w:left w:val="none" w:sz="0" w:space="0" w:color="auto"/>
                    <w:bottom w:val="none" w:sz="0" w:space="0" w:color="auto"/>
                    <w:right w:val="none" w:sz="0" w:space="0" w:color="auto"/>
                  </w:divBdr>
                  <w:divsChild>
                    <w:div w:id="1443836666">
                      <w:marLeft w:val="0"/>
                      <w:marRight w:val="0"/>
                      <w:marTop w:val="0"/>
                      <w:marBottom w:val="0"/>
                      <w:divBdr>
                        <w:top w:val="none" w:sz="0" w:space="0" w:color="auto"/>
                        <w:left w:val="none" w:sz="0" w:space="0" w:color="auto"/>
                        <w:bottom w:val="none" w:sz="0" w:space="0" w:color="auto"/>
                        <w:right w:val="none" w:sz="0" w:space="0" w:color="auto"/>
                      </w:divBdr>
                    </w:div>
                  </w:divsChild>
                </w:div>
                <w:div w:id="945698883">
                  <w:marLeft w:val="0"/>
                  <w:marRight w:val="0"/>
                  <w:marTop w:val="0"/>
                  <w:marBottom w:val="0"/>
                  <w:divBdr>
                    <w:top w:val="none" w:sz="0" w:space="0" w:color="auto"/>
                    <w:left w:val="none" w:sz="0" w:space="0" w:color="auto"/>
                    <w:bottom w:val="none" w:sz="0" w:space="0" w:color="auto"/>
                    <w:right w:val="none" w:sz="0" w:space="0" w:color="auto"/>
                  </w:divBdr>
                  <w:divsChild>
                    <w:div w:id="795369417">
                      <w:marLeft w:val="0"/>
                      <w:marRight w:val="0"/>
                      <w:marTop w:val="0"/>
                      <w:marBottom w:val="0"/>
                      <w:divBdr>
                        <w:top w:val="none" w:sz="0" w:space="0" w:color="auto"/>
                        <w:left w:val="none" w:sz="0" w:space="0" w:color="auto"/>
                        <w:bottom w:val="none" w:sz="0" w:space="0" w:color="auto"/>
                        <w:right w:val="none" w:sz="0" w:space="0" w:color="auto"/>
                      </w:divBdr>
                    </w:div>
                  </w:divsChild>
                </w:div>
                <w:div w:id="957613415">
                  <w:marLeft w:val="0"/>
                  <w:marRight w:val="0"/>
                  <w:marTop w:val="0"/>
                  <w:marBottom w:val="0"/>
                  <w:divBdr>
                    <w:top w:val="none" w:sz="0" w:space="0" w:color="auto"/>
                    <w:left w:val="none" w:sz="0" w:space="0" w:color="auto"/>
                    <w:bottom w:val="none" w:sz="0" w:space="0" w:color="auto"/>
                    <w:right w:val="none" w:sz="0" w:space="0" w:color="auto"/>
                  </w:divBdr>
                  <w:divsChild>
                    <w:div w:id="726732252">
                      <w:marLeft w:val="0"/>
                      <w:marRight w:val="0"/>
                      <w:marTop w:val="0"/>
                      <w:marBottom w:val="0"/>
                      <w:divBdr>
                        <w:top w:val="none" w:sz="0" w:space="0" w:color="auto"/>
                        <w:left w:val="none" w:sz="0" w:space="0" w:color="auto"/>
                        <w:bottom w:val="none" w:sz="0" w:space="0" w:color="auto"/>
                        <w:right w:val="none" w:sz="0" w:space="0" w:color="auto"/>
                      </w:divBdr>
                    </w:div>
                  </w:divsChild>
                </w:div>
                <w:div w:id="966855953">
                  <w:marLeft w:val="0"/>
                  <w:marRight w:val="0"/>
                  <w:marTop w:val="0"/>
                  <w:marBottom w:val="0"/>
                  <w:divBdr>
                    <w:top w:val="none" w:sz="0" w:space="0" w:color="auto"/>
                    <w:left w:val="none" w:sz="0" w:space="0" w:color="auto"/>
                    <w:bottom w:val="none" w:sz="0" w:space="0" w:color="auto"/>
                    <w:right w:val="none" w:sz="0" w:space="0" w:color="auto"/>
                  </w:divBdr>
                  <w:divsChild>
                    <w:div w:id="842014874">
                      <w:marLeft w:val="0"/>
                      <w:marRight w:val="0"/>
                      <w:marTop w:val="0"/>
                      <w:marBottom w:val="0"/>
                      <w:divBdr>
                        <w:top w:val="none" w:sz="0" w:space="0" w:color="auto"/>
                        <w:left w:val="none" w:sz="0" w:space="0" w:color="auto"/>
                        <w:bottom w:val="none" w:sz="0" w:space="0" w:color="auto"/>
                        <w:right w:val="none" w:sz="0" w:space="0" w:color="auto"/>
                      </w:divBdr>
                    </w:div>
                  </w:divsChild>
                </w:div>
                <w:div w:id="992492524">
                  <w:marLeft w:val="0"/>
                  <w:marRight w:val="0"/>
                  <w:marTop w:val="0"/>
                  <w:marBottom w:val="0"/>
                  <w:divBdr>
                    <w:top w:val="none" w:sz="0" w:space="0" w:color="auto"/>
                    <w:left w:val="none" w:sz="0" w:space="0" w:color="auto"/>
                    <w:bottom w:val="none" w:sz="0" w:space="0" w:color="auto"/>
                    <w:right w:val="none" w:sz="0" w:space="0" w:color="auto"/>
                  </w:divBdr>
                  <w:divsChild>
                    <w:div w:id="906458962">
                      <w:marLeft w:val="0"/>
                      <w:marRight w:val="0"/>
                      <w:marTop w:val="0"/>
                      <w:marBottom w:val="0"/>
                      <w:divBdr>
                        <w:top w:val="none" w:sz="0" w:space="0" w:color="auto"/>
                        <w:left w:val="none" w:sz="0" w:space="0" w:color="auto"/>
                        <w:bottom w:val="none" w:sz="0" w:space="0" w:color="auto"/>
                        <w:right w:val="none" w:sz="0" w:space="0" w:color="auto"/>
                      </w:divBdr>
                    </w:div>
                  </w:divsChild>
                </w:div>
                <w:div w:id="997995213">
                  <w:marLeft w:val="0"/>
                  <w:marRight w:val="0"/>
                  <w:marTop w:val="0"/>
                  <w:marBottom w:val="0"/>
                  <w:divBdr>
                    <w:top w:val="none" w:sz="0" w:space="0" w:color="auto"/>
                    <w:left w:val="none" w:sz="0" w:space="0" w:color="auto"/>
                    <w:bottom w:val="none" w:sz="0" w:space="0" w:color="auto"/>
                    <w:right w:val="none" w:sz="0" w:space="0" w:color="auto"/>
                  </w:divBdr>
                  <w:divsChild>
                    <w:div w:id="519666424">
                      <w:marLeft w:val="0"/>
                      <w:marRight w:val="0"/>
                      <w:marTop w:val="0"/>
                      <w:marBottom w:val="0"/>
                      <w:divBdr>
                        <w:top w:val="none" w:sz="0" w:space="0" w:color="auto"/>
                        <w:left w:val="none" w:sz="0" w:space="0" w:color="auto"/>
                        <w:bottom w:val="none" w:sz="0" w:space="0" w:color="auto"/>
                        <w:right w:val="none" w:sz="0" w:space="0" w:color="auto"/>
                      </w:divBdr>
                    </w:div>
                  </w:divsChild>
                </w:div>
                <w:div w:id="1023633300">
                  <w:marLeft w:val="0"/>
                  <w:marRight w:val="0"/>
                  <w:marTop w:val="0"/>
                  <w:marBottom w:val="0"/>
                  <w:divBdr>
                    <w:top w:val="none" w:sz="0" w:space="0" w:color="auto"/>
                    <w:left w:val="none" w:sz="0" w:space="0" w:color="auto"/>
                    <w:bottom w:val="none" w:sz="0" w:space="0" w:color="auto"/>
                    <w:right w:val="none" w:sz="0" w:space="0" w:color="auto"/>
                  </w:divBdr>
                  <w:divsChild>
                    <w:div w:id="302125252">
                      <w:marLeft w:val="0"/>
                      <w:marRight w:val="0"/>
                      <w:marTop w:val="0"/>
                      <w:marBottom w:val="0"/>
                      <w:divBdr>
                        <w:top w:val="none" w:sz="0" w:space="0" w:color="auto"/>
                        <w:left w:val="none" w:sz="0" w:space="0" w:color="auto"/>
                        <w:bottom w:val="none" w:sz="0" w:space="0" w:color="auto"/>
                        <w:right w:val="none" w:sz="0" w:space="0" w:color="auto"/>
                      </w:divBdr>
                    </w:div>
                  </w:divsChild>
                </w:div>
                <w:div w:id="1035354740">
                  <w:marLeft w:val="0"/>
                  <w:marRight w:val="0"/>
                  <w:marTop w:val="0"/>
                  <w:marBottom w:val="0"/>
                  <w:divBdr>
                    <w:top w:val="none" w:sz="0" w:space="0" w:color="auto"/>
                    <w:left w:val="none" w:sz="0" w:space="0" w:color="auto"/>
                    <w:bottom w:val="none" w:sz="0" w:space="0" w:color="auto"/>
                    <w:right w:val="none" w:sz="0" w:space="0" w:color="auto"/>
                  </w:divBdr>
                  <w:divsChild>
                    <w:div w:id="1576431569">
                      <w:marLeft w:val="0"/>
                      <w:marRight w:val="0"/>
                      <w:marTop w:val="0"/>
                      <w:marBottom w:val="0"/>
                      <w:divBdr>
                        <w:top w:val="none" w:sz="0" w:space="0" w:color="auto"/>
                        <w:left w:val="none" w:sz="0" w:space="0" w:color="auto"/>
                        <w:bottom w:val="none" w:sz="0" w:space="0" w:color="auto"/>
                        <w:right w:val="none" w:sz="0" w:space="0" w:color="auto"/>
                      </w:divBdr>
                    </w:div>
                  </w:divsChild>
                </w:div>
                <w:div w:id="1078135020">
                  <w:marLeft w:val="0"/>
                  <w:marRight w:val="0"/>
                  <w:marTop w:val="0"/>
                  <w:marBottom w:val="0"/>
                  <w:divBdr>
                    <w:top w:val="none" w:sz="0" w:space="0" w:color="auto"/>
                    <w:left w:val="none" w:sz="0" w:space="0" w:color="auto"/>
                    <w:bottom w:val="none" w:sz="0" w:space="0" w:color="auto"/>
                    <w:right w:val="none" w:sz="0" w:space="0" w:color="auto"/>
                  </w:divBdr>
                  <w:divsChild>
                    <w:div w:id="177471987">
                      <w:marLeft w:val="0"/>
                      <w:marRight w:val="0"/>
                      <w:marTop w:val="0"/>
                      <w:marBottom w:val="0"/>
                      <w:divBdr>
                        <w:top w:val="none" w:sz="0" w:space="0" w:color="auto"/>
                        <w:left w:val="none" w:sz="0" w:space="0" w:color="auto"/>
                        <w:bottom w:val="none" w:sz="0" w:space="0" w:color="auto"/>
                        <w:right w:val="none" w:sz="0" w:space="0" w:color="auto"/>
                      </w:divBdr>
                    </w:div>
                  </w:divsChild>
                </w:div>
                <w:div w:id="1087535233">
                  <w:marLeft w:val="0"/>
                  <w:marRight w:val="0"/>
                  <w:marTop w:val="0"/>
                  <w:marBottom w:val="0"/>
                  <w:divBdr>
                    <w:top w:val="none" w:sz="0" w:space="0" w:color="auto"/>
                    <w:left w:val="none" w:sz="0" w:space="0" w:color="auto"/>
                    <w:bottom w:val="none" w:sz="0" w:space="0" w:color="auto"/>
                    <w:right w:val="none" w:sz="0" w:space="0" w:color="auto"/>
                  </w:divBdr>
                  <w:divsChild>
                    <w:div w:id="1388842243">
                      <w:marLeft w:val="0"/>
                      <w:marRight w:val="0"/>
                      <w:marTop w:val="0"/>
                      <w:marBottom w:val="0"/>
                      <w:divBdr>
                        <w:top w:val="none" w:sz="0" w:space="0" w:color="auto"/>
                        <w:left w:val="none" w:sz="0" w:space="0" w:color="auto"/>
                        <w:bottom w:val="none" w:sz="0" w:space="0" w:color="auto"/>
                        <w:right w:val="none" w:sz="0" w:space="0" w:color="auto"/>
                      </w:divBdr>
                    </w:div>
                  </w:divsChild>
                </w:div>
                <w:div w:id="1109352184">
                  <w:marLeft w:val="0"/>
                  <w:marRight w:val="0"/>
                  <w:marTop w:val="0"/>
                  <w:marBottom w:val="0"/>
                  <w:divBdr>
                    <w:top w:val="none" w:sz="0" w:space="0" w:color="auto"/>
                    <w:left w:val="none" w:sz="0" w:space="0" w:color="auto"/>
                    <w:bottom w:val="none" w:sz="0" w:space="0" w:color="auto"/>
                    <w:right w:val="none" w:sz="0" w:space="0" w:color="auto"/>
                  </w:divBdr>
                  <w:divsChild>
                    <w:div w:id="916212216">
                      <w:marLeft w:val="0"/>
                      <w:marRight w:val="0"/>
                      <w:marTop w:val="0"/>
                      <w:marBottom w:val="0"/>
                      <w:divBdr>
                        <w:top w:val="none" w:sz="0" w:space="0" w:color="auto"/>
                        <w:left w:val="none" w:sz="0" w:space="0" w:color="auto"/>
                        <w:bottom w:val="none" w:sz="0" w:space="0" w:color="auto"/>
                        <w:right w:val="none" w:sz="0" w:space="0" w:color="auto"/>
                      </w:divBdr>
                    </w:div>
                  </w:divsChild>
                </w:div>
                <w:div w:id="1124811460">
                  <w:marLeft w:val="0"/>
                  <w:marRight w:val="0"/>
                  <w:marTop w:val="0"/>
                  <w:marBottom w:val="0"/>
                  <w:divBdr>
                    <w:top w:val="none" w:sz="0" w:space="0" w:color="auto"/>
                    <w:left w:val="none" w:sz="0" w:space="0" w:color="auto"/>
                    <w:bottom w:val="none" w:sz="0" w:space="0" w:color="auto"/>
                    <w:right w:val="none" w:sz="0" w:space="0" w:color="auto"/>
                  </w:divBdr>
                  <w:divsChild>
                    <w:div w:id="255139674">
                      <w:marLeft w:val="0"/>
                      <w:marRight w:val="0"/>
                      <w:marTop w:val="0"/>
                      <w:marBottom w:val="0"/>
                      <w:divBdr>
                        <w:top w:val="none" w:sz="0" w:space="0" w:color="auto"/>
                        <w:left w:val="none" w:sz="0" w:space="0" w:color="auto"/>
                        <w:bottom w:val="none" w:sz="0" w:space="0" w:color="auto"/>
                        <w:right w:val="none" w:sz="0" w:space="0" w:color="auto"/>
                      </w:divBdr>
                    </w:div>
                  </w:divsChild>
                </w:div>
                <w:div w:id="1139880006">
                  <w:marLeft w:val="0"/>
                  <w:marRight w:val="0"/>
                  <w:marTop w:val="0"/>
                  <w:marBottom w:val="0"/>
                  <w:divBdr>
                    <w:top w:val="none" w:sz="0" w:space="0" w:color="auto"/>
                    <w:left w:val="none" w:sz="0" w:space="0" w:color="auto"/>
                    <w:bottom w:val="none" w:sz="0" w:space="0" w:color="auto"/>
                    <w:right w:val="none" w:sz="0" w:space="0" w:color="auto"/>
                  </w:divBdr>
                  <w:divsChild>
                    <w:div w:id="348334658">
                      <w:marLeft w:val="0"/>
                      <w:marRight w:val="0"/>
                      <w:marTop w:val="0"/>
                      <w:marBottom w:val="0"/>
                      <w:divBdr>
                        <w:top w:val="none" w:sz="0" w:space="0" w:color="auto"/>
                        <w:left w:val="none" w:sz="0" w:space="0" w:color="auto"/>
                        <w:bottom w:val="none" w:sz="0" w:space="0" w:color="auto"/>
                        <w:right w:val="none" w:sz="0" w:space="0" w:color="auto"/>
                      </w:divBdr>
                    </w:div>
                  </w:divsChild>
                </w:div>
                <w:div w:id="1254775064">
                  <w:marLeft w:val="0"/>
                  <w:marRight w:val="0"/>
                  <w:marTop w:val="0"/>
                  <w:marBottom w:val="0"/>
                  <w:divBdr>
                    <w:top w:val="none" w:sz="0" w:space="0" w:color="auto"/>
                    <w:left w:val="none" w:sz="0" w:space="0" w:color="auto"/>
                    <w:bottom w:val="none" w:sz="0" w:space="0" w:color="auto"/>
                    <w:right w:val="none" w:sz="0" w:space="0" w:color="auto"/>
                  </w:divBdr>
                  <w:divsChild>
                    <w:div w:id="834952794">
                      <w:marLeft w:val="0"/>
                      <w:marRight w:val="0"/>
                      <w:marTop w:val="0"/>
                      <w:marBottom w:val="0"/>
                      <w:divBdr>
                        <w:top w:val="none" w:sz="0" w:space="0" w:color="auto"/>
                        <w:left w:val="none" w:sz="0" w:space="0" w:color="auto"/>
                        <w:bottom w:val="none" w:sz="0" w:space="0" w:color="auto"/>
                        <w:right w:val="none" w:sz="0" w:space="0" w:color="auto"/>
                      </w:divBdr>
                    </w:div>
                  </w:divsChild>
                </w:div>
                <w:div w:id="1257789517">
                  <w:marLeft w:val="0"/>
                  <w:marRight w:val="0"/>
                  <w:marTop w:val="0"/>
                  <w:marBottom w:val="0"/>
                  <w:divBdr>
                    <w:top w:val="none" w:sz="0" w:space="0" w:color="auto"/>
                    <w:left w:val="none" w:sz="0" w:space="0" w:color="auto"/>
                    <w:bottom w:val="none" w:sz="0" w:space="0" w:color="auto"/>
                    <w:right w:val="none" w:sz="0" w:space="0" w:color="auto"/>
                  </w:divBdr>
                  <w:divsChild>
                    <w:div w:id="881021516">
                      <w:marLeft w:val="0"/>
                      <w:marRight w:val="0"/>
                      <w:marTop w:val="0"/>
                      <w:marBottom w:val="0"/>
                      <w:divBdr>
                        <w:top w:val="none" w:sz="0" w:space="0" w:color="auto"/>
                        <w:left w:val="none" w:sz="0" w:space="0" w:color="auto"/>
                        <w:bottom w:val="none" w:sz="0" w:space="0" w:color="auto"/>
                        <w:right w:val="none" w:sz="0" w:space="0" w:color="auto"/>
                      </w:divBdr>
                    </w:div>
                  </w:divsChild>
                </w:div>
                <w:div w:id="1335643478">
                  <w:marLeft w:val="0"/>
                  <w:marRight w:val="0"/>
                  <w:marTop w:val="0"/>
                  <w:marBottom w:val="0"/>
                  <w:divBdr>
                    <w:top w:val="none" w:sz="0" w:space="0" w:color="auto"/>
                    <w:left w:val="none" w:sz="0" w:space="0" w:color="auto"/>
                    <w:bottom w:val="none" w:sz="0" w:space="0" w:color="auto"/>
                    <w:right w:val="none" w:sz="0" w:space="0" w:color="auto"/>
                  </w:divBdr>
                  <w:divsChild>
                    <w:div w:id="577399294">
                      <w:marLeft w:val="0"/>
                      <w:marRight w:val="0"/>
                      <w:marTop w:val="0"/>
                      <w:marBottom w:val="0"/>
                      <w:divBdr>
                        <w:top w:val="none" w:sz="0" w:space="0" w:color="auto"/>
                        <w:left w:val="none" w:sz="0" w:space="0" w:color="auto"/>
                        <w:bottom w:val="none" w:sz="0" w:space="0" w:color="auto"/>
                        <w:right w:val="none" w:sz="0" w:space="0" w:color="auto"/>
                      </w:divBdr>
                    </w:div>
                  </w:divsChild>
                </w:div>
                <w:div w:id="1356075194">
                  <w:marLeft w:val="0"/>
                  <w:marRight w:val="0"/>
                  <w:marTop w:val="0"/>
                  <w:marBottom w:val="0"/>
                  <w:divBdr>
                    <w:top w:val="none" w:sz="0" w:space="0" w:color="auto"/>
                    <w:left w:val="none" w:sz="0" w:space="0" w:color="auto"/>
                    <w:bottom w:val="none" w:sz="0" w:space="0" w:color="auto"/>
                    <w:right w:val="none" w:sz="0" w:space="0" w:color="auto"/>
                  </w:divBdr>
                  <w:divsChild>
                    <w:div w:id="143931985">
                      <w:marLeft w:val="0"/>
                      <w:marRight w:val="0"/>
                      <w:marTop w:val="0"/>
                      <w:marBottom w:val="0"/>
                      <w:divBdr>
                        <w:top w:val="none" w:sz="0" w:space="0" w:color="auto"/>
                        <w:left w:val="none" w:sz="0" w:space="0" w:color="auto"/>
                        <w:bottom w:val="none" w:sz="0" w:space="0" w:color="auto"/>
                        <w:right w:val="none" w:sz="0" w:space="0" w:color="auto"/>
                      </w:divBdr>
                    </w:div>
                  </w:divsChild>
                </w:div>
                <w:div w:id="1415778553">
                  <w:marLeft w:val="0"/>
                  <w:marRight w:val="0"/>
                  <w:marTop w:val="0"/>
                  <w:marBottom w:val="0"/>
                  <w:divBdr>
                    <w:top w:val="none" w:sz="0" w:space="0" w:color="auto"/>
                    <w:left w:val="none" w:sz="0" w:space="0" w:color="auto"/>
                    <w:bottom w:val="none" w:sz="0" w:space="0" w:color="auto"/>
                    <w:right w:val="none" w:sz="0" w:space="0" w:color="auto"/>
                  </w:divBdr>
                  <w:divsChild>
                    <w:div w:id="1891572493">
                      <w:marLeft w:val="0"/>
                      <w:marRight w:val="0"/>
                      <w:marTop w:val="0"/>
                      <w:marBottom w:val="0"/>
                      <w:divBdr>
                        <w:top w:val="none" w:sz="0" w:space="0" w:color="auto"/>
                        <w:left w:val="none" w:sz="0" w:space="0" w:color="auto"/>
                        <w:bottom w:val="none" w:sz="0" w:space="0" w:color="auto"/>
                        <w:right w:val="none" w:sz="0" w:space="0" w:color="auto"/>
                      </w:divBdr>
                    </w:div>
                  </w:divsChild>
                </w:div>
                <w:div w:id="1428847079">
                  <w:marLeft w:val="0"/>
                  <w:marRight w:val="0"/>
                  <w:marTop w:val="0"/>
                  <w:marBottom w:val="0"/>
                  <w:divBdr>
                    <w:top w:val="none" w:sz="0" w:space="0" w:color="auto"/>
                    <w:left w:val="none" w:sz="0" w:space="0" w:color="auto"/>
                    <w:bottom w:val="none" w:sz="0" w:space="0" w:color="auto"/>
                    <w:right w:val="none" w:sz="0" w:space="0" w:color="auto"/>
                  </w:divBdr>
                  <w:divsChild>
                    <w:div w:id="1869677874">
                      <w:marLeft w:val="0"/>
                      <w:marRight w:val="0"/>
                      <w:marTop w:val="0"/>
                      <w:marBottom w:val="0"/>
                      <w:divBdr>
                        <w:top w:val="none" w:sz="0" w:space="0" w:color="auto"/>
                        <w:left w:val="none" w:sz="0" w:space="0" w:color="auto"/>
                        <w:bottom w:val="none" w:sz="0" w:space="0" w:color="auto"/>
                        <w:right w:val="none" w:sz="0" w:space="0" w:color="auto"/>
                      </w:divBdr>
                    </w:div>
                  </w:divsChild>
                </w:div>
                <w:div w:id="1466511618">
                  <w:marLeft w:val="0"/>
                  <w:marRight w:val="0"/>
                  <w:marTop w:val="0"/>
                  <w:marBottom w:val="0"/>
                  <w:divBdr>
                    <w:top w:val="none" w:sz="0" w:space="0" w:color="auto"/>
                    <w:left w:val="none" w:sz="0" w:space="0" w:color="auto"/>
                    <w:bottom w:val="none" w:sz="0" w:space="0" w:color="auto"/>
                    <w:right w:val="none" w:sz="0" w:space="0" w:color="auto"/>
                  </w:divBdr>
                  <w:divsChild>
                    <w:div w:id="2063943303">
                      <w:marLeft w:val="0"/>
                      <w:marRight w:val="0"/>
                      <w:marTop w:val="0"/>
                      <w:marBottom w:val="0"/>
                      <w:divBdr>
                        <w:top w:val="none" w:sz="0" w:space="0" w:color="auto"/>
                        <w:left w:val="none" w:sz="0" w:space="0" w:color="auto"/>
                        <w:bottom w:val="none" w:sz="0" w:space="0" w:color="auto"/>
                        <w:right w:val="none" w:sz="0" w:space="0" w:color="auto"/>
                      </w:divBdr>
                    </w:div>
                  </w:divsChild>
                </w:div>
                <w:div w:id="1479347895">
                  <w:marLeft w:val="0"/>
                  <w:marRight w:val="0"/>
                  <w:marTop w:val="0"/>
                  <w:marBottom w:val="0"/>
                  <w:divBdr>
                    <w:top w:val="none" w:sz="0" w:space="0" w:color="auto"/>
                    <w:left w:val="none" w:sz="0" w:space="0" w:color="auto"/>
                    <w:bottom w:val="none" w:sz="0" w:space="0" w:color="auto"/>
                    <w:right w:val="none" w:sz="0" w:space="0" w:color="auto"/>
                  </w:divBdr>
                  <w:divsChild>
                    <w:div w:id="1300457225">
                      <w:marLeft w:val="0"/>
                      <w:marRight w:val="0"/>
                      <w:marTop w:val="0"/>
                      <w:marBottom w:val="0"/>
                      <w:divBdr>
                        <w:top w:val="none" w:sz="0" w:space="0" w:color="auto"/>
                        <w:left w:val="none" w:sz="0" w:space="0" w:color="auto"/>
                        <w:bottom w:val="none" w:sz="0" w:space="0" w:color="auto"/>
                        <w:right w:val="none" w:sz="0" w:space="0" w:color="auto"/>
                      </w:divBdr>
                    </w:div>
                  </w:divsChild>
                </w:div>
                <w:div w:id="1599829309">
                  <w:marLeft w:val="0"/>
                  <w:marRight w:val="0"/>
                  <w:marTop w:val="0"/>
                  <w:marBottom w:val="0"/>
                  <w:divBdr>
                    <w:top w:val="none" w:sz="0" w:space="0" w:color="auto"/>
                    <w:left w:val="none" w:sz="0" w:space="0" w:color="auto"/>
                    <w:bottom w:val="none" w:sz="0" w:space="0" w:color="auto"/>
                    <w:right w:val="none" w:sz="0" w:space="0" w:color="auto"/>
                  </w:divBdr>
                  <w:divsChild>
                    <w:div w:id="114836968">
                      <w:marLeft w:val="0"/>
                      <w:marRight w:val="0"/>
                      <w:marTop w:val="0"/>
                      <w:marBottom w:val="0"/>
                      <w:divBdr>
                        <w:top w:val="none" w:sz="0" w:space="0" w:color="auto"/>
                        <w:left w:val="none" w:sz="0" w:space="0" w:color="auto"/>
                        <w:bottom w:val="none" w:sz="0" w:space="0" w:color="auto"/>
                        <w:right w:val="none" w:sz="0" w:space="0" w:color="auto"/>
                      </w:divBdr>
                    </w:div>
                  </w:divsChild>
                </w:div>
                <w:div w:id="1715544491">
                  <w:marLeft w:val="0"/>
                  <w:marRight w:val="0"/>
                  <w:marTop w:val="0"/>
                  <w:marBottom w:val="0"/>
                  <w:divBdr>
                    <w:top w:val="none" w:sz="0" w:space="0" w:color="auto"/>
                    <w:left w:val="none" w:sz="0" w:space="0" w:color="auto"/>
                    <w:bottom w:val="none" w:sz="0" w:space="0" w:color="auto"/>
                    <w:right w:val="none" w:sz="0" w:space="0" w:color="auto"/>
                  </w:divBdr>
                  <w:divsChild>
                    <w:div w:id="2010212018">
                      <w:marLeft w:val="0"/>
                      <w:marRight w:val="0"/>
                      <w:marTop w:val="0"/>
                      <w:marBottom w:val="0"/>
                      <w:divBdr>
                        <w:top w:val="none" w:sz="0" w:space="0" w:color="auto"/>
                        <w:left w:val="none" w:sz="0" w:space="0" w:color="auto"/>
                        <w:bottom w:val="none" w:sz="0" w:space="0" w:color="auto"/>
                        <w:right w:val="none" w:sz="0" w:space="0" w:color="auto"/>
                      </w:divBdr>
                    </w:div>
                  </w:divsChild>
                </w:div>
                <w:div w:id="1728527744">
                  <w:marLeft w:val="0"/>
                  <w:marRight w:val="0"/>
                  <w:marTop w:val="0"/>
                  <w:marBottom w:val="0"/>
                  <w:divBdr>
                    <w:top w:val="none" w:sz="0" w:space="0" w:color="auto"/>
                    <w:left w:val="none" w:sz="0" w:space="0" w:color="auto"/>
                    <w:bottom w:val="none" w:sz="0" w:space="0" w:color="auto"/>
                    <w:right w:val="none" w:sz="0" w:space="0" w:color="auto"/>
                  </w:divBdr>
                  <w:divsChild>
                    <w:div w:id="2004552244">
                      <w:marLeft w:val="0"/>
                      <w:marRight w:val="0"/>
                      <w:marTop w:val="0"/>
                      <w:marBottom w:val="0"/>
                      <w:divBdr>
                        <w:top w:val="none" w:sz="0" w:space="0" w:color="auto"/>
                        <w:left w:val="none" w:sz="0" w:space="0" w:color="auto"/>
                        <w:bottom w:val="none" w:sz="0" w:space="0" w:color="auto"/>
                        <w:right w:val="none" w:sz="0" w:space="0" w:color="auto"/>
                      </w:divBdr>
                    </w:div>
                  </w:divsChild>
                </w:div>
                <w:div w:id="1812626015">
                  <w:marLeft w:val="0"/>
                  <w:marRight w:val="0"/>
                  <w:marTop w:val="0"/>
                  <w:marBottom w:val="0"/>
                  <w:divBdr>
                    <w:top w:val="none" w:sz="0" w:space="0" w:color="auto"/>
                    <w:left w:val="none" w:sz="0" w:space="0" w:color="auto"/>
                    <w:bottom w:val="none" w:sz="0" w:space="0" w:color="auto"/>
                    <w:right w:val="none" w:sz="0" w:space="0" w:color="auto"/>
                  </w:divBdr>
                  <w:divsChild>
                    <w:div w:id="1096633405">
                      <w:marLeft w:val="0"/>
                      <w:marRight w:val="0"/>
                      <w:marTop w:val="0"/>
                      <w:marBottom w:val="0"/>
                      <w:divBdr>
                        <w:top w:val="none" w:sz="0" w:space="0" w:color="auto"/>
                        <w:left w:val="none" w:sz="0" w:space="0" w:color="auto"/>
                        <w:bottom w:val="none" w:sz="0" w:space="0" w:color="auto"/>
                        <w:right w:val="none" w:sz="0" w:space="0" w:color="auto"/>
                      </w:divBdr>
                    </w:div>
                  </w:divsChild>
                </w:div>
                <w:div w:id="1880818127">
                  <w:marLeft w:val="0"/>
                  <w:marRight w:val="0"/>
                  <w:marTop w:val="0"/>
                  <w:marBottom w:val="0"/>
                  <w:divBdr>
                    <w:top w:val="none" w:sz="0" w:space="0" w:color="auto"/>
                    <w:left w:val="none" w:sz="0" w:space="0" w:color="auto"/>
                    <w:bottom w:val="none" w:sz="0" w:space="0" w:color="auto"/>
                    <w:right w:val="none" w:sz="0" w:space="0" w:color="auto"/>
                  </w:divBdr>
                  <w:divsChild>
                    <w:div w:id="2139104802">
                      <w:marLeft w:val="0"/>
                      <w:marRight w:val="0"/>
                      <w:marTop w:val="0"/>
                      <w:marBottom w:val="0"/>
                      <w:divBdr>
                        <w:top w:val="none" w:sz="0" w:space="0" w:color="auto"/>
                        <w:left w:val="none" w:sz="0" w:space="0" w:color="auto"/>
                        <w:bottom w:val="none" w:sz="0" w:space="0" w:color="auto"/>
                        <w:right w:val="none" w:sz="0" w:space="0" w:color="auto"/>
                      </w:divBdr>
                    </w:div>
                  </w:divsChild>
                </w:div>
                <w:div w:id="1907568091">
                  <w:marLeft w:val="0"/>
                  <w:marRight w:val="0"/>
                  <w:marTop w:val="0"/>
                  <w:marBottom w:val="0"/>
                  <w:divBdr>
                    <w:top w:val="none" w:sz="0" w:space="0" w:color="auto"/>
                    <w:left w:val="none" w:sz="0" w:space="0" w:color="auto"/>
                    <w:bottom w:val="none" w:sz="0" w:space="0" w:color="auto"/>
                    <w:right w:val="none" w:sz="0" w:space="0" w:color="auto"/>
                  </w:divBdr>
                  <w:divsChild>
                    <w:div w:id="718165514">
                      <w:marLeft w:val="0"/>
                      <w:marRight w:val="0"/>
                      <w:marTop w:val="0"/>
                      <w:marBottom w:val="0"/>
                      <w:divBdr>
                        <w:top w:val="none" w:sz="0" w:space="0" w:color="auto"/>
                        <w:left w:val="none" w:sz="0" w:space="0" w:color="auto"/>
                        <w:bottom w:val="none" w:sz="0" w:space="0" w:color="auto"/>
                        <w:right w:val="none" w:sz="0" w:space="0" w:color="auto"/>
                      </w:divBdr>
                    </w:div>
                  </w:divsChild>
                </w:div>
                <w:div w:id="1913194694">
                  <w:marLeft w:val="0"/>
                  <w:marRight w:val="0"/>
                  <w:marTop w:val="0"/>
                  <w:marBottom w:val="0"/>
                  <w:divBdr>
                    <w:top w:val="none" w:sz="0" w:space="0" w:color="auto"/>
                    <w:left w:val="none" w:sz="0" w:space="0" w:color="auto"/>
                    <w:bottom w:val="none" w:sz="0" w:space="0" w:color="auto"/>
                    <w:right w:val="none" w:sz="0" w:space="0" w:color="auto"/>
                  </w:divBdr>
                  <w:divsChild>
                    <w:div w:id="324209384">
                      <w:marLeft w:val="0"/>
                      <w:marRight w:val="0"/>
                      <w:marTop w:val="0"/>
                      <w:marBottom w:val="0"/>
                      <w:divBdr>
                        <w:top w:val="none" w:sz="0" w:space="0" w:color="auto"/>
                        <w:left w:val="none" w:sz="0" w:space="0" w:color="auto"/>
                        <w:bottom w:val="none" w:sz="0" w:space="0" w:color="auto"/>
                        <w:right w:val="none" w:sz="0" w:space="0" w:color="auto"/>
                      </w:divBdr>
                    </w:div>
                  </w:divsChild>
                </w:div>
                <w:div w:id="1941988264">
                  <w:marLeft w:val="0"/>
                  <w:marRight w:val="0"/>
                  <w:marTop w:val="0"/>
                  <w:marBottom w:val="0"/>
                  <w:divBdr>
                    <w:top w:val="none" w:sz="0" w:space="0" w:color="auto"/>
                    <w:left w:val="none" w:sz="0" w:space="0" w:color="auto"/>
                    <w:bottom w:val="none" w:sz="0" w:space="0" w:color="auto"/>
                    <w:right w:val="none" w:sz="0" w:space="0" w:color="auto"/>
                  </w:divBdr>
                  <w:divsChild>
                    <w:div w:id="1573546895">
                      <w:marLeft w:val="0"/>
                      <w:marRight w:val="0"/>
                      <w:marTop w:val="0"/>
                      <w:marBottom w:val="0"/>
                      <w:divBdr>
                        <w:top w:val="none" w:sz="0" w:space="0" w:color="auto"/>
                        <w:left w:val="none" w:sz="0" w:space="0" w:color="auto"/>
                        <w:bottom w:val="none" w:sz="0" w:space="0" w:color="auto"/>
                        <w:right w:val="none" w:sz="0" w:space="0" w:color="auto"/>
                      </w:divBdr>
                    </w:div>
                  </w:divsChild>
                </w:div>
                <w:div w:id="1972905174">
                  <w:marLeft w:val="0"/>
                  <w:marRight w:val="0"/>
                  <w:marTop w:val="0"/>
                  <w:marBottom w:val="0"/>
                  <w:divBdr>
                    <w:top w:val="none" w:sz="0" w:space="0" w:color="auto"/>
                    <w:left w:val="none" w:sz="0" w:space="0" w:color="auto"/>
                    <w:bottom w:val="none" w:sz="0" w:space="0" w:color="auto"/>
                    <w:right w:val="none" w:sz="0" w:space="0" w:color="auto"/>
                  </w:divBdr>
                  <w:divsChild>
                    <w:div w:id="1442845090">
                      <w:marLeft w:val="0"/>
                      <w:marRight w:val="0"/>
                      <w:marTop w:val="0"/>
                      <w:marBottom w:val="0"/>
                      <w:divBdr>
                        <w:top w:val="none" w:sz="0" w:space="0" w:color="auto"/>
                        <w:left w:val="none" w:sz="0" w:space="0" w:color="auto"/>
                        <w:bottom w:val="none" w:sz="0" w:space="0" w:color="auto"/>
                        <w:right w:val="none" w:sz="0" w:space="0" w:color="auto"/>
                      </w:divBdr>
                    </w:div>
                  </w:divsChild>
                </w:div>
                <w:div w:id="1989700897">
                  <w:marLeft w:val="0"/>
                  <w:marRight w:val="0"/>
                  <w:marTop w:val="0"/>
                  <w:marBottom w:val="0"/>
                  <w:divBdr>
                    <w:top w:val="none" w:sz="0" w:space="0" w:color="auto"/>
                    <w:left w:val="none" w:sz="0" w:space="0" w:color="auto"/>
                    <w:bottom w:val="none" w:sz="0" w:space="0" w:color="auto"/>
                    <w:right w:val="none" w:sz="0" w:space="0" w:color="auto"/>
                  </w:divBdr>
                  <w:divsChild>
                    <w:div w:id="2029063809">
                      <w:marLeft w:val="0"/>
                      <w:marRight w:val="0"/>
                      <w:marTop w:val="0"/>
                      <w:marBottom w:val="0"/>
                      <w:divBdr>
                        <w:top w:val="none" w:sz="0" w:space="0" w:color="auto"/>
                        <w:left w:val="none" w:sz="0" w:space="0" w:color="auto"/>
                        <w:bottom w:val="none" w:sz="0" w:space="0" w:color="auto"/>
                        <w:right w:val="none" w:sz="0" w:space="0" w:color="auto"/>
                      </w:divBdr>
                    </w:div>
                  </w:divsChild>
                </w:div>
                <w:div w:id="2052609523">
                  <w:marLeft w:val="0"/>
                  <w:marRight w:val="0"/>
                  <w:marTop w:val="0"/>
                  <w:marBottom w:val="0"/>
                  <w:divBdr>
                    <w:top w:val="none" w:sz="0" w:space="0" w:color="auto"/>
                    <w:left w:val="none" w:sz="0" w:space="0" w:color="auto"/>
                    <w:bottom w:val="none" w:sz="0" w:space="0" w:color="auto"/>
                    <w:right w:val="none" w:sz="0" w:space="0" w:color="auto"/>
                  </w:divBdr>
                  <w:divsChild>
                    <w:div w:id="2032686029">
                      <w:marLeft w:val="0"/>
                      <w:marRight w:val="0"/>
                      <w:marTop w:val="0"/>
                      <w:marBottom w:val="0"/>
                      <w:divBdr>
                        <w:top w:val="none" w:sz="0" w:space="0" w:color="auto"/>
                        <w:left w:val="none" w:sz="0" w:space="0" w:color="auto"/>
                        <w:bottom w:val="none" w:sz="0" w:space="0" w:color="auto"/>
                        <w:right w:val="none" w:sz="0" w:space="0" w:color="auto"/>
                      </w:divBdr>
                    </w:div>
                  </w:divsChild>
                </w:div>
                <w:div w:id="2052991840">
                  <w:marLeft w:val="0"/>
                  <w:marRight w:val="0"/>
                  <w:marTop w:val="0"/>
                  <w:marBottom w:val="0"/>
                  <w:divBdr>
                    <w:top w:val="none" w:sz="0" w:space="0" w:color="auto"/>
                    <w:left w:val="none" w:sz="0" w:space="0" w:color="auto"/>
                    <w:bottom w:val="none" w:sz="0" w:space="0" w:color="auto"/>
                    <w:right w:val="none" w:sz="0" w:space="0" w:color="auto"/>
                  </w:divBdr>
                  <w:divsChild>
                    <w:div w:id="924144372">
                      <w:marLeft w:val="0"/>
                      <w:marRight w:val="0"/>
                      <w:marTop w:val="0"/>
                      <w:marBottom w:val="0"/>
                      <w:divBdr>
                        <w:top w:val="none" w:sz="0" w:space="0" w:color="auto"/>
                        <w:left w:val="none" w:sz="0" w:space="0" w:color="auto"/>
                        <w:bottom w:val="none" w:sz="0" w:space="0" w:color="auto"/>
                        <w:right w:val="none" w:sz="0" w:space="0" w:color="auto"/>
                      </w:divBdr>
                    </w:div>
                  </w:divsChild>
                </w:div>
                <w:div w:id="2060207281">
                  <w:marLeft w:val="0"/>
                  <w:marRight w:val="0"/>
                  <w:marTop w:val="0"/>
                  <w:marBottom w:val="0"/>
                  <w:divBdr>
                    <w:top w:val="none" w:sz="0" w:space="0" w:color="auto"/>
                    <w:left w:val="none" w:sz="0" w:space="0" w:color="auto"/>
                    <w:bottom w:val="none" w:sz="0" w:space="0" w:color="auto"/>
                    <w:right w:val="none" w:sz="0" w:space="0" w:color="auto"/>
                  </w:divBdr>
                  <w:divsChild>
                    <w:div w:id="1411005911">
                      <w:marLeft w:val="0"/>
                      <w:marRight w:val="0"/>
                      <w:marTop w:val="0"/>
                      <w:marBottom w:val="0"/>
                      <w:divBdr>
                        <w:top w:val="none" w:sz="0" w:space="0" w:color="auto"/>
                        <w:left w:val="none" w:sz="0" w:space="0" w:color="auto"/>
                        <w:bottom w:val="none" w:sz="0" w:space="0" w:color="auto"/>
                        <w:right w:val="none" w:sz="0" w:space="0" w:color="auto"/>
                      </w:divBdr>
                    </w:div>
                  </w:divsChild>
                </w:div>
                <w:div w:id="2076469510">
                  <w:marLeft w:val="0"/>
                  <w:marRight w:val="0"/>
                  <w:marTop w:val="0"/>
                  <w:marBottom w:val="0"/>
                  <w:divBdr>
                    <w:top w:val="none" w:sz="0" w:space="0" w:color="auto"/>
                    <w:left w:val="none" w:sz="0" w:space="0" w:color="auto"/>
                    <w:bottom w:val="none" w:sz="0" w:space="0" w:color="auto"/>
                    <w:right w:val="none" w:sz="0" w:space="0" w:color="auto"/>
                  </w:divBdr>
                  <w:divsChild>
                    <w:div w:id="1964194530">
                      <w:marLeft w:val="0"/>
                      <w:marRight w:val="0"/>
                      <w:marTop w:val="0"/>
                      <w:marBottom w:val="0"/>
                      <w:divBdr>
                        <w:top w:val="none" w:sz="0" w:space="0" w:color="auto"/>
                        <w:left w:val="none" w:sz="0" w:space="0" w:color="auto"/>
                        <w:bottom w:val="none" w:sz="0" w:space="0" w:color="auto"/>
                        <w:right w:val="none" w:sz="0" w:space="0" w:color="auto"/>
                      </w:divBdr>
                    </w:div>
                  </w:divsChild>
                </w:div>
                <w:div w:id="2107992765">
                  <w:marLeft w:val="0"/>
                  <w:marRight w:val="0"/>
                  <w:marTop w:val="0"/>
                  <w:marBottom w:val="0"/>
                  <w:divBdr>
                    <w:top w:val="none" w:sz="0" w:space="0" w:color="auto"/>
                    <w:left w:val="none" w:sz="0" w:space="0" w:color="auto"/>
                    <w:bottom w:val="none" w:sz="0" w:space="0" w:color="auto"/>
                    <w:right w:val="none" w:sz="0" w:space="0" w:color="auto"/>
                  </w:divBdr>
                  <w:divsChild>
                    <w:div w:id="833684910">
                      <w:marLeft w:val="0"/>
                      <w:marRight w:val="0"/>
                      <w:marTop w:val="0"/>
                      <w:marBottom w:val="0"/>
                      <w:divBdr>
                        <w:top w:val="none" w:sz="0" w:space="0" w:color="auto"/>
                        <w:left w:val="none" w:sz="0" w:space="0" w:color="auto"/>
                        <w:bottom w:val="none" w:sz="0" w:space="0" w:color="auto"/>
                        <w:right w:val="none" w:sz="0" w:space="0" w:color="auto"/>
                      </w:divBdr>
                    </w:div>
                  </w:divsChild>
                </w:div>
                <w:div w:id="2122651733">
                  <w:marLeft w:val="0"/>
                  <w:marRight w:val="0"/>
                  <w:marTop w:val="0"/>
                  <w:marBottom w:val="0"/>
                  <w:divBdr>
                    <w:top w:val="none" w:sz="0" w:space="0" w:color="auto"/>
                    <w:left w:val="none" w:sz="0" w:space="0" w:color="auto"/>
                    <w:bottom w:val="none" w:sz="0" w:space="0" w:color="auto"/>
                    <w:right w:val="none" w:sz="0" w:space="0" w:color="auto"/>
                  </w:divBdr>
                  <w:divsChild>
                    <w:div w:id="3541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4562">
          <w:marLeft w:val="0"/>
          <w:marRight w:val="0"/>
          <w:marTop w:val="0"/>
          <w:marBottom w:val="0"/>
          <w:divBdr>
            <w:top w:val="none" w:sz="0" w:space="0" w:color="auto"/>
            <w:left w:val="none" w:sz="0" w:space="0" w:color="auto"/>
            <w:bottom w:val="none" w:sz="0" w:space="0" w:color="auto"/>
            <w:right w:val="none" w:sz="0" w:space="0" w:color="auto"/>
          </w:divBdr>
        </w:div>
        <w:div w:id="706486041">
          <w:marLeft w:val="0"/>
          <w:marRight w:val="0"/>
          <w:marTop w:val="0"/>
          <w:marBottom w:val="0"/>
          <w:divBdr>
            <w:top w:val="none" w:sz="0" w:space="0" w:color="auto"/>
            <w:left w:val="none" w:sz="0" w:space="0" w:color="auto"/>
            <w:bottom w:val="none" w:sz="0" w:space="0" w:color="auto"/>
            <w:right w:val="none" w:sz="0" w:space="0" w:color="auto"/>
          </w:divBdr>
          <w:divsChild>
            <w:div w:id="39131833">
              <w:marLeft w:val="0"/>
              <w:marRight w:val="0"/>
              <w:marTop w:val="0"/>
              <w:marBottom w:val="0"/>
              <w:divBdr>
                <w:top w:val="none" w:sz="0" w:space="0" w:color="auto"/>
                <w:left w:val="none" w:sz="0" w:space="0" w:color="auto"/>
                <w:bottom w:val="none" w:sz="0" w:space="0" w:color="auto"/>
                <w:right w:val="none" w:sz="0" w:space="0" w:color="auto"/>
              </w:divBdr>
            </w:div>
            <w:div w:id="65616716">
              <w:marLeft w:val="0"/>
              <w:marRight w:val="0"/>
              <w:marTop w:val="0"/>
              <w:marBottom w:val="0"/>
              <w:divBdr>
                <w:top w:val="none" w:sz="0" w:space="0" w:color="auto"/>
                <w:left w:val="none" w:sz="0" w:space="0" w:color="auto"/>
                <w:bottom w:val="none" w:sz="0" w:space="0" w:color="auto"/>
                <w:right w:val="none" w:sz="0" w:space="0" w:color="auto"/>
              </w:divBdr>
            </w:div>
            <w:div w:id="117143594">
              <w:marLeft w:val="0"/>
              <w:marRight w:val="0"/>
              <w:marTop w:val="0"/>
              <w:marBottom w:val="0"/>
              <w:divBdr>
                <w:top w:val="none" w:sz="0" w:space="0" w:color="auto"/>
                <w:left w:val="none" w:sz="0" w:space="0" w:color="auto"/>
                <w:bottom w:val="none" w:sz="0" w:space="0" w:color="auto"/>
                <w:right w:val="none" w:sz="0" w:space="0" w:color="auto"/>
              </w:divBdr>
            </w:div>
            <w:div w:id="173540635">
              <w:marLeft w:val="0"/>
              <w:marRight w:val="0"/>
              <w:marTop w:val="0"/>
              <w:marBottom w:val="0"/>
              <w:divBdr>
                <w:top w:val="none" w:sz="0" w:space="0" w:color="auto"/>
                <w:left w:val="none" w:sz="0" w:space="0" w:color="auto"/>
                <w:bottom w:val="none" w:sz="0" w:space="0" w:color="auto"/>
                <w:right w:val="none" w:sz="0" w:space="0" w:color="auto"/>
              </w:divBdr>
            </w:div>
            <w:div w:id="240875809">
              <w:marLeft w:val="0"/>
              <w:marRight w:val="0"/>
              <w:marTop w:val="0"/>
              <w:marBottom w:val="0"/>
              <w:divBdr>
                <w:top w:val="none" w:sz="0" w:space="0" w:color="auto"/>
                <w:left w:val="none" w:sz="0" w:space="0" w:color="auto"/>
                <w:bottom w:val="none" w:sz="0" w:space="0" w:color="auto"/>
                <w:right w:val="none" w:sz="0" w:space="0" w:color="auto"/>
              </w:divBdr>
            </w:div>
            <w:div w:id="277639801">
              <w:marLeft w:val="0"/>
              <w:marRight w:val="0"/>
              <w:marTop w:val="0"/>
              <w:marBottom w:val="0"/>
              <w:divBdr>
                <w:top w:val="none" w:sz="0" w:space="0" w:color="auto"/>
                <w:left w:val="none" w:sz="0" w:space="0" w:color="auto"/>
                <w:bottom w:val="none" w:sz="0" w:space="0" w:color="auto"/>
                <w:right w:val="none" w:sz="0" w:space="0" w:color="auto"/>
              </w:divBdr>
            </w:div>
            <w:div w:id="476187672">
              <w:marLeft w:val="0"/>
              <w:marRight w:val="0"/>
              <w:marTop w:val="0"/>
              <w:marBottom w:val="0"/>
              <w:divBdr>
                <w:top w:val="none" w:sz="0" w:space="0" w:color="auto"/>
                <w:left w:val="none" w:sz="0" w:space="0" w:color="auto"/>
                <w:bottom w:val="none" w:sz="0" w:space="0" w:color="auto"/>
                <w:right w:val="none" w:sz="0" w:space="0" w:color="auto"/>
              </w:divBdr>
            </w:div>
            <w:div w:id="544173555">
              <w:marLeft w:val="0"/>
              <w:marRight w:val="0"/>
              <w:marTop w:val="0"/>
              <w:marBottom w:val="0"/>
              <w:divBdr>
                <w:top w:val="none" w:sz="0" w:space="0" w:color="auto"/>
                <w:left w:val="none" w:sz="0" w:space="0" w:color="auto"/>
                <w:bottom w:val="none" w:sz="0" w:space="0" w:color="auto"/>
                <w:right w:val="none" w:sz="0" w:space="0" w:color="auto"/>
              </w:divBdr>
            </w:div>
            <w:div w:id="567376796">
              <w:marLeft w:val="0"/>
              <w:marRight w:val="0"/>
              <w:marTop w:val="0"/>
              <w:marBottom w:val="0"/>
              <w:divBdr>
                <w:top w:val="none" w:sz="0" w:space="0" w:color="auto"/>
                <w:left w:val="none" w:sz="0" w:space="0" w:color="auto"/>
                <w:bottom w:val="none" w:sz="0" w:space="0" w:color="auto"/>
                <w:right w:val="none" w:sz="0" w:space="0" w:color="auto"/>
              </w:divBdr>
            </w:div>
            <w:div w:id="662128855">
              <w:marLeft w:val="0"/>
              <w:marRight w:val="0"/>
              <w:marTop w:val="0"/>
              <w:marBottom w:val="0"/>
              <w:divBdr>
                <w:top w:val="none" w:sz="0" w:space="0" w:color="auto"/>
                <w:left w:val="none" w:sz="0" w:space="0" w:color="auto"/>
                <w:bottom w:val="none" w:sz="0" w:space="0" w:color="auto"/>
                <w:right w:val="none" w:sz="0" w:space="0" w:color="auto"/>
              </w:divBdr>
            </w:div>
            <w:div w:id="683021411">
              <w:marLeft w:val="0"/>
              <w:marRight w:val="0"/>
              <w:marTop w:val="0"/>
              <w:marBottom w:val="0"/>
              <w:divBdr>
                <w:top w:val="none" w:sz="0" w:space="0" w:color="auto"/>
                <w:left w:val="none" w:sz="0" w:space="0" w:color="auto"/>
                <w:bottom w:val="none" w:sz="0" w:space="0" w:color="auto"/>
                <w:right w:val="none" w:sz="0" w:space="0" w:color="auto"/>
              </w:divBdr>
            </w:div>
            <w:div w:id="790242471">
              <w:marLeft w:val="0"/>
              <w:marRight w:val="0"/>
              <w:marTop w:val="0"/>
              <w:marBottom w:val="0"/>
              <w:divBdr>
                <w:top w:val="none" w:sz="0" w:space="0" w:color="auto"/>
                <w:left w:val="none" w:sz="0" w:space="0" w:color="auto"/>
                <w:bottom w:val="none" w:sz="0" w:space="0" w:color="auto"/>
                <w:right w:val="none" w:sz="0" w:space="0" w:color="auto"/>
              </w:divBdr>
            </w:div>
            <w:div w:id="832837043">
              <w:marLeft w:val="0"/>
              <w:marRight w:val="0"/>
              <w:marTop w:val="0"/>
              <w:marBottom w:val="0"/>
              <w:divBdr>
                <w:top w:val="none" w:sz="0" w:space="0" w:color="auto"/>
                <w:left w:val="none" w:sz="0" w:space="0" w:color="auto"/>
                <w:bottom w:val="none" w:sz="0" w:space="0" w:color="auto"/>
                <w:right w:val="none" w:sz="0" w:space="0" w:color="auto"/>
              </w:divBdr>
            </w:div>
            <w:div w:id="867789859">
              <w:marLeft w:val="0"/>
              <w:marRight w:val="0"/>
              <w:marTop w:val="0"/>
              <w:marBottom w:val="0"/>
              <w:divBdr>
                <w:top w:val="none" w:sz="0" w:space="0" w:color="auto"/>
                <w:left w:val="none" w:sz="0" w:space="0" w:color="auto"/>
                <w:bottom w:val="none" w:sz="0" w:space="0" w:color="auto"/>
                <w:right w:val="none" w:sz="0" w:space="0" w:color="auto"/>
              </w:divBdr>
            </w:div>
            <w:div w:id="944850866">
              <w:marLeft w:val="0"/>
              <w:marRight w:val="0"/>
              <w:marTop w:val="0"/>
              <w:marBottom w:val="0"/>
              <w:divBdr>
                <w:top w:val="none" w:sz="0" w:space="0" w:color="auto"/>
                <w:left w:val="none" w:sz="0" w:space="0" w:color="auto"/>
                <w:bottom w:val="none" w:sz="0" w:space="0" w:color="auto"/>
                <w:right w:val="none" w:sz="0" w:space="0" w:color="auto"/>
              </w:divBdr>
            </w:div>
            <w:div w:id="1420642957">
              <w:marLeft w:val="0"/>
              <w:marRight w:val="0"/>
              <w:marTop w:val="0"/>
              <w:marBottom w:val="0"/>
              <w:divBdr>
                <w:top w:val="none" w:sz="0" w:space="0" w:color="auto"/>
                <w:left w:val="none" w:sz="0" w:space="0" w:color="auto"/>
                <w:bottom w:val="none" w:sz="0" w:space="0" w:color="auto"/>
                <w:right w:val="none" w:sz="0" w:space="0" w:color="auto"/>
              </w:divBdr>
            </w:div>
            <w:div w:id="1749644221">
              <w:marLeft w:val="0"/>
              <w:marRight w:val="0"/>
              <w:marTop w:val="0"/>
              <w:marBottom w:val="0"/>
              <w:divBdr>
                <w:top w:val="none" w:sz="0" w:space="0" w:color="auto"/>
                <w:left w:val="none" w:sz="0" w:space="0" w:color="auto"/>
                <w:bottom w:val="none" w:sz="0" w:space="0" w:color="auto"/>
                <w:right w:val="none" w:sz="0" w:space="0" w:color="auto"/>
              </w:divBdr>
            </w:div>
            <w:div w:id="1842232382">
              <w:marLeft w:val="0"/>
              <w:marRight w:val="0"/>
              <w:marTop w:val="0"/>
              <w:marBottom w:val="0"/>
              <w:divBdr>
                <w:top w:val="none" w:sz="0" w:space="0" w:color="auto"/>
                <w:left w:val="none" w:sz="0" w:space="0" w:color="auto"/>
                <w:bottom w:val="none" w:sz="0" w:space="0" w:color="auto"/>
                <w:right w:val="none" w:sz="0" w:space="0" w:color="auto"/>
              </w:divBdr>
            </w:div>
            <w:div w:id="1884175558">
              <w:marLeft w:val="0"/>
              <w:marRight w:val="0"/>
              <w:marTop w:val="0"/>
              <w:marBottom w:val="0"/>
              <w:divBdr>
                <w:top w:val="none" w:sz="0" w:space="0" w:color="auto"/>
                <w:left w:val="none" w:sz="0" w:space="0" w:color="auto"/>
                <w:bottom w:val="none" w:sz="0" w:space="0" w:color="auto"/>
                <w:right w:val="none" w:sz="0" w:space="0" w:color="auto"/>
              </w:divBdr>
            </w:div>
            <w:div w:id="1962301979">
              <w:marLeft w:val="0"/>
              <w:marRight w:val="0"/>
              <w:marTop w:val="0"/>
              <w:marBottom w:val="0"/>
              <w:divBdr>
                <w:top w:val="none" w:sz="0" w:space="0" w:color="auto"/>
                <w:left w:val="none" w:sz="0" w:space="0" w:color="auto"/>
                <w:bottom w:val="none" w:sz="0" w:space="0" w:color="auto"/>
                <w:right w:val="none" w:sz="0" w:space="0" w:color="auto"/>
              </w:divBdr>
            </w:div>
          </w:divsChild>
        </w:div>
        <w:div w:id="708914172">
          <w:marLeft w:val="0"/>
          <w:marRight w:val="0"/>
          <w:marTop w:val="0"/>
          <w:marBottom w:val="0"/>
          <w:divBdr>
            <w:top w:val="none" w:sz="0" w:space="0" w:color="auto"/>
            <w:left w:val="none" w:sz="0" w:space="0" w:color="auto"/>
            <w:bottom w:val="none" w:sz="0" w:space="0" w:color="auto"/>
            <w:right w:val="none" w:sz="0" w:space="0" w:color="auto"/>
          </w:divBdr>
          <w:divsChild>
            <w:div w:id="259069929">
              <w:marLeft w:val="0"/>
              <w:marRight w:val="0"/>
              <w:marTop w:val="0"/>
              <w:marBottom w:val="0"/>
              <w:divBdr>
                <w:top w:val="none" w:sz="0" w:space="0" w:color="auto"/>
                <w:left w:val="none" w:sz="0" w:space="0" w:color="auto"/>
                <w:bottom w:val="none" w:sz="0" w:space="0" w:color="auto"/>
                <w:right w:val="none" w:sz="0" w:space="0" w:color="auto"/>
              </w:divBdr>
            </w:div>
            <w:div w:id="326792212">
              <w:marLeft w:val="0"/>
              <w:marRight w:val="0"/>
              <w:marTop w:val="0"/>
              <w:marBottom w:val="0"/>
              <w:divBdr>
                <w:top w:val="none" w:sz="0" w:space="0" w:color="auto"/>
                <w:left w:val="none" w:sz="0" w:space="0" w:color="auto"/>
                <w:bottom w:val="none" w:sz="0" w:space="0" w:color="auto"/>
                <w:right w:val="none" w:sz="0" w:space="0" w:color="auto"/>
              </w:divBdr>
            </w:div>
            <w:div w:id="400103701">
              <w:marLeft w:val="0"/>
              <w:marRight w:val="0"/>
              <w:marTop w:val="0"/>
              <w:marBottom w:val="0"/>
              <w:divBdr>
                <w:top w:val="none" w:sz="0" w:space="0" w:color="auto"/>
                <w:left w:val="none" w:sz="0" w:space="0" w:color="auto"/>
                <w:bottom w:val="none" w:sz="0" w:space="0" w:color="auto"/>
                <w:right w:val="none" w:sz="0" w:space="0" w:color="auto"/>
              </w:divBdr>
            </w:div>
            <w:div w:id="642463793">
              <w:marLeft w:val="0"/>
              <w:marRight w:val="0"/>
              <w:marTop w:val="0"/>
              <w:marBottom w:val="0"/>
              <w:divBdr>
                <w:top w:val="none" w:sz="0" w:space="0" w:color="auto"/>
                <w:left w:val="none" w:sz="0" w:space="0" w:color="auto"/>
                <w:bottom w:val="none" w:sz="0" w:space="0" w:color="auto"/>
                <w:right w:val="none" w:sz="0" w:space="0" w:color="auto"/>
              </w:divBdr>
            </w:div>
            <w:div w:id="699085571">
              <w:marLeft w:val="0"/>
              <w:marRight w:val="0"/>
              <w:marTop w:val="0"/>
              <w:marBottom w:val="0"/>
              <w:divBdr>
                <w:top w:val="none" w:sz="0" w:space="0" w:color="auto"/>
                <w:left w:val="none" w:sz="0" w:space="0" w:color="auto"/>
                <w:bottom w:val="none" w:sz="0" w:space="0" w:color="auto"/>
                <w:right w:val="none" w:sz="0" w:space="0" w:color="auto"/>
              </w:divBdr>
            </w:div>
            <w:div w:id="735780092">
              <w:marLeft w:val="0"/>
              <w:marRight w:val="0"/>
              <w:marTop w:val="0"/>
              <w:marBottom w:val="0"/>
              <w:divBdr>
                <w:top w:val="none" w:sz="0" w:space="0" w:color="auto"/>
                <w:left w:val="none" w:sz="0" w:space="0" w:color="auto"/>
                <w:bottom w:val="none" w:sz="0" w:space="0" w:color="auto"/>
                <w:right w:val="none" w:sz="0" w:space="0" w:color="auto"/>
              </w:divBdr>
            </w:div>
            <w:div w:id="865826607">
              <w:marLeft w:val="0"/>
              <w:marRight w:val="0"/>
              <w:marTop w:val="0"/>
              <w:marBottom w:val="0"/>
              <w:divBdr>
                <w:top w:val="none" w:sz="0" w:space="0" w:color="auto"/>
                <w:left w:val="none" w:sz="0" w:space="0" w:color="auto"/>
                <w:bottom w:val="none" w:sz="0" w:space="0" w:color="auto"/>
                <w:right w:val="none" w:sz="0" w:space="0" w:color="auto"/>
              </w:divBdr>
            </w:div>
            <w:div w:id="1026255900">
              <w:marLeft w:val="0"/>
              <w:marRight w:val="0"/>
              <w:marTop w:val="0"/>
              <w:marBottom w:val="0"/>
              <w:divBdr>
                <w:top w:val="none" w:sz="0" w:space="0" w:color="auto"/>
                <w:left w:val="none" w:sz="0" w:space="0" w:color="auto"/>
                <w:bottom w:val="none" w:sz="0" w:space="0" w:color="auto"/>
                <w:right w:val="none" w:sz="0" w:space="0" w:color="auto"/>
              </w:divBdr>
            </w:div>
            <w:div w:id="1052191485">
              <w:marLeft w:val="0"/>
              <w:marRight w:val="0"/>
              <w:marTop w:val="0"/>
              <w:marBottom w:val="0"/>
              <w:divBdr>
                <w:top w:val="none" w:sz="0" w:space="0" w:color="auto"/>
                <w:left w:val="none" w:sz="0" w:space="0" w:color="auto"/>
                <w:bottom w:val="none" w:sz="0" w:space="0" w:color="auto"/>
                <w:right w:val="none" w:sz="0" w:space="0" w:color="auto"/>
              </w:divBdr>
            </w:div>
            <w:div w:id="1158381039">
              <w:marLeft w:val="0"/>
              <w:marRight w:val="0"/>
              <w:marTop w:val="0"/>
              <w:marBottom w:val="0"/>
              <w:divBdr>
                <w:top w:val="none" w:sz="0" w:space="0" w:color="auto"/>
                <w:left w:val="none" w:sz="0" w:space="0" w:color="auto"/>
                <w:bottom w:val="none" w:sz="0" w:space="0" w:color="auto"/>
                <w:right w:val="none" w:sz="0" w:space="0" w:color="auto"/>
              </w:divBdr>
            </w:div>
            <w:div w:id="1172380416">
              <w:marLeft w:val="0"/>
              <w:marRight w:val="0"/>
              <w:marTop w:val="0"/>
              <w:marBottom w:val="0"/>
              <w:divBdr>
                <w:top w:val="none" w:sz="0" w:space="0" w:color="auto"/>
                <w:left w:val="none" w:sz="0" w:space="0" w:color="auto"/>
                <w:bottom w:val="none" w:sz="0" w:space="0" w:color="auto"/>
                <w:right w:val="none" w:sz="0" w:space="0" w:color="auto"/>
              </w:divBdr>
            </w:div>
            <w:div w:id="1181702070">
              <w:marLeft w:val="0"/>
              <w:marRight w:val="0"/>
              <w:marTop w:val="0"/>
              <w:marBottom w:val="0"/>
              <w:divBdr>
                <w:top w:val="none" w:sz="0" w:space="0" w:color="auto"/>
                <w:left w:val="none" w:sz="0" w:space="0" w:color="auto"/>
                <w:bottom w:val="none" w:sz="0" w:space="0" w:color="auto"/>
                <w:right w:val="none" w:sz="0" w:space="0" w:color="auto"/>
              </w:divBdr>
            </w:div>
            <w:div w:id="1273127131">
              <w:marLeft w:val="0"/>
              <w:marRight w:val="0"/>
              <w:marTop w:val="0"/>
              <w:marBottom w:val="0"/>
              <w:divBdr>
                <w:top w:val="none" w:sz="0" w:space="0" w:color="auto"/>
                <w:left w:val="none" w:sz="0" w:space="0" w:color="auto"/>
                <w:bottom w:val="none" w:sz="0" w:space="0" w:color="auto"/>
                <w:right w:val="none" w:sz="0" w:space="0" w:color="auto"/>
              </w:divBdr>
            </w:div>
            <w:div w:id="1395927351">
              <w:marLeft w:val="0"/>
              <w:marRight w:val="0"/>
              <w:marTop w:val="0"/>
              <w:marBottom w:val="0"/>
              <w:divBdr>
                <w:top w:val="none" w:sz="0" w:space="0" w:color="auto"/>
                <w:left w:val="none" w:sz="0" w:space="0" w:color="auto"/>
                <w:bottom w:val="none" w:sz="0" w:space="0" w:color="auto"/>
                <w:right w:val="none" w:sz="0" w:space="0" w:color="auto"/>
              </w:divBdr>
            </w:div>
            <w:div w:id="1562517562">
              <w:marLeft w:val="0"/>
              <w:marRight w:val="0"/>
              <w:marTop w:val="0"/>
              <w:marBottom w:val="0"/>
              <w:divBdr>
                <w:top w:val="none" w:sz="0" w:space="0" w:color="auto"/>
                <w:left w:val="none" w:sz="0" w:space="0" w:color="auto"/>
                <w:bottom w:val="none" w:sz="0" w:space="0" w:color="auto"/>
                <w:right w:val="none" w:sz="0" w:space="0" w:color="auto"/>
              </w:divBdr>
            </w:div>
            <w:div w:id="1588923988">
              <w:marLeft w:val="0"/>
              <w:marRight w:val="0"/>
              <w:marTop w:val="0"/>
              <w:marBottom w:val="0"/>
              <w:divBdr>
                <w:top w:val="none" w:sz="0" w:space="0" w:color="auto"/>
                <w:left w:val="none" w:sz="0" w:space="0" w:color="auto"/>
                <w:bottom w:val="none" w:sz="0" w:space="0" w:color="auto"/>
                <w:right w:val="none" w:sz="0" w:space="0" w:color="auto"/>
              </w:divBdr>
            </w:div>
            <w:div w:id="1603487811">
              <w:marLeft w:val="0"/>
              <w:marRight w:val="0"/>
              <w:marTop w:val="0"/>
              <w:marBottom w:val="0"/>
              <w:divBdr>
                <w:top w:val="none" w:sz="0" w:space="0" w:color="auto"/>
                <w:left w:val="none" w:sz="0" w:space="0" w:color="auto"/>
                <w:bottom w:val="none" w:sz="0" w:space="0" w:color="auto"/>
                <w:right w:val="none" w:sz="0" w:space="0" w:color="auto"/>
              </w:divBdr>
            </w:div>
            <w:div w:id="1672488960">
              <w:marLeft w:val="0"/>
              <w:marRight w:val="0"/>
              <w:marTop w:val="0"/>
              <w:marBottom w:val="0"/>
              <w:divBdr>
                <w:top w:val="none" w:sz="0" w:space="0" w:color="auto"/>
                <w:left w:val="none" w:sz="0" w:space="0" w:color="auto"/>
                <w:bottom w:val="none" w:sz="0" w:space="0" w:color="auto"/>
                <w:right w:val="none" w:sz="0" w:space="0" w:color="auto"/>
              </w:divBdr>
            </w:div>
            <w:div w:id="1892421377">
              <w:marLeft w:val="0"/>
              <w:marRight w:val="0"/>
              <w:marTop w:val="0"/>
              <w:marBottom w:val="0"/>
              <w:divBdr>
                <w:top w:val="none" w:sz="0" w:space="0" w:color="auto"/>
                <w:left w:val="none" w:sz="0" w:space="0" w:color="auto"/>
                <w:bottom w:val="none" w:sz="0" w:space="0" w:color="auto"/>
                <w:right w:val="none" w:sz="0" w:space="0" w:color="auto"/>
              </w:divBdr>
            </w:div>
            <w:div w:id="2144611642">
              <w:marLeft w:val="0"/>
              <w:marRight w:val="0"/>
              <w:marTop w:val="0"/>
              <w:marBottom w:val="0"/>
              <w:divBdr>
                <w:top w:val="none" w:sz="0" w:space="0" w:color="auto"/>
                <w:left w:val="none" w:sz="0" w:space="0" w:color="auto"/>
                <w:bottom w:val="none" w:sz="0" w:space="0" w:color="auto"/>
                <w:right w:val="none" w:sz="0" w:space="0" w:color="auto"/>
              </w:divBdr>
            </w:div>
          </w:divsChild>
        </w:div>
        <w:div w:id="724572772">
          <w:marLeft w:val="0"/>
          <w:marRight w:val="0"/>
          <w:marTop w:val="0"/>
          <w:marBottom w:val="0"/>
          <w:divBdr>
            <w:top w:val="none" w:sz="0" w:space="0" w:color="auto"/>
            <w:left w:val="none" w:sz="0" w:space="0" w:color="auto"/>
            <w:bottom w:val="none" w:sz="0" w:space="0" w:color="auto"/>
            <w:right w:val="none" w:sz="0" w:space="0" w:color="auto"/>
          </w:divBdr>
        </w:div>
        <w:div w:id="728461736">
          <w:marLeft w:val="0"/>
          <w:marRight w:val="0"/>
          <w:marTop w:val="0"/>
          <w:marBottom w:val="0"/>
          <w:divBdr>
            <w:top w:val="none" w:sz="0" w:space="0" w:color="auto"/>
            <w:left w:val="none" w:sz="0" w:space="0" w:color="auto"/>
            <w:bottom w:val="none" w:sz="0" w:space="0" w:color="auto"/>
            <w:right w:val="none" w:sz="0" w:space="0" w:color="auto"/>
          </w:divBdr>
        </w:div>
        <w:div w:id="730155121">
          <w:marLeft w:val="0"/>
          <w:marRight w:val="0"/>
          <w:marTop w:val="0"/>
          <w:marBottom w:val="0"/>
          <w:divBdr>
            <w:top w:val="none" w:sz="0" w:space="0" w:color="auto"/>
            <w:left w:val="none" w:sz="0" w:space="0" w:color="auto"/>
            <w:bottom w:val="none" w:sz="0" w:space="0" w:color="auto"/>
            <w:right w:val="none" w:sz="0" w:space="0" w:color="auto"/>
          </w:divBdr>
        </w:div>
        <w:div w:id="757602211">
          <w:marLeft w:val="0"/>
          <w:marRight w:val="0"/>
          <w:marTop w:val="0"/>
          <w:marBottom w:val="0"/>
          <w:divBdr>
            <w:top w:val="none" w:sz="0" w:space="0" w:color="auto"/>
            <w:left w:val="none" w:sz="0" w:space="0" w:color="auto"/>
            <w:bottom w:val="none" w:sz="0" w:space="0" w:color="auto"/>
            <w:right w:val="none" w:sz="0" w:space="0" w:color="auto"/>
          </w:divBdr>
        </w:div>
        <w:div w:id="760612675">
          <w:marLeft w:val="0"/>
          <w:marRight w:val="0"/>
          <w:marTop w:val="0"/>
          <w:marBottom w:val="0"/>
          <w:divBdr>
            <w:top w:val="none" w:sz="0" w:space="0" w:color="auto"/>
            <w:left w:val="none" w:sz="0" w:space="0" w:color="auto"/>
            <w:bottom w:val="none" w:sz="0" w:space="0" w:color="auto"/>
            <w:right w:val="none" w:sz="0" w:space="0" w:color="auto"/>
          </w:divBdr>
        </w:div>
        <w:div w:id="799297662">
          <w:marLeft w:val="0"/>
          <w:marRight w:val="0"/>
          <w:marTop w:val="0"/>
          <w:marBottom w:val="0"/>
          <w:divBdr>
            <w:top w:val="none" w:sz="0" w:space="0" w:color="auto"/>
            <w:left w:val="none" w:sz="0" w:space="0" w:color="auto"/>
            <w:bottom w:val="none" w:sz="0" w:space="0" w:color="auto"/>
            <w:right w:val="none" w:sz="0" w:space="0" w:color="auto"/>
          </w:divBdr>
        </w:div>
        <w:div w:id="804004722">
          <w:marLeft w:val="0"/>
          <w:marRight w:val="0"/>
          <w:marTop w:val="0"/>
          <w:marBottom w:val="0"/>
          <w:divBdr>
            <w:top w:val="none" w:sz="0" w:space="0" w:color="auto"/>
            <w:left w:val="none" w:sz="0" w:space="0" w:color="auto"/>
            <w:bottom w:val="none" w:sz="0" w:space="0" w:color="auto"/>
            <w:right w:val="none" w:sz="0" w:space="0" w:color="auto"/>
          </w:divBdr>
        </w:div>
        <w:div w:id="809640130">
          <w:marLeft w:val="0"/>
          <w:marRight w:val="0"/>
          <w:marTop w:val="0"/>
          <w:marBottom w:val="0"/>
          <w:divBdr>
            <w:top w:val="none" w:sz="0" w:space="0" w:color="auto"/>
            <w:left w:val="none" w:sz="0" w:space="0" w:color="auto"/>
            <w:bottom w:val="none" w:sz="0" w:space="0" w:color="auto"/>
            <w:right w:val="none" w:sz="0" w:space="0" w:color="auto"/>
          </w:divBdr>
          <w:divsChild>
            <w:div w:id="6449337">
              <w:marLeft w:val="0"/>
              <w:marRight w:val="0"/>
              <w:marTop w:val="0"/>
              <w:marBottom w:val="0"/>
              <w:divBdr>
                <w:top w:val="none" w:sz="0" w:space="0" w:color="auto"/>
                <w:left w:val="none" w:sz="0" w:space="0" w:color="auto"/>
                <w:bottom w:val="none" w:sz="0" w:space="0" w:color="auto"/>
                <w:right w:val="none" w:sz="0" w:space="0" w:color="auto"/>
              </w:divBdr>
            </w:div>
            <w:div w:id="63065990">
              <w:marLeft w:val="0"/>
              <w:marRight w:val="0"/>
              <w:marTop w:val="0"/>
              <w:marBottom w:val="0"/>
              <w:divBdr>
                <w:top w:val="none" w:sz="0" w:space="0" w:color="auto"/>
                <w:left w:val="none" w:sz="0" w:space="0" w:color="auto"/>
                <w:bottom w:val="none" w:sz="0" w:space="0" w:color="auto"/>
                <w:right w:val="none" w:sz="0" w:space="0" w:color="auto"/>
              </w:divBdr>
            </w:div>
            <w:div w:id="145509728">
              <w:marLeft w:val="0"/>
              <w:marRight w:val="0"/>
              <w:marTop w:val="0"/>
              <w:marBottom w:val="0"/>
              <w:divBdr>
                <w:top w:val="none" w:sz="0" w:space="0" w:color="auto"/>
                <w:left w:val="none" w:sz="0" w:space="0" w:color="auto"/>
                <w:bottom w:val="none" w:sz="0" w:space="0" w:color="auto"/>
                <w:right w:val="none" w:sz="0" w:space="0" w:color="auto"/>
              </w:divBdr>
            </w:div>
            <w:div w:id="239216528">
              <w:marLeft w:val="0"/>
              <w:marRight w:val="0"/>
              <w:marTop w:val="0"/>
              <w:marBottom w:val="0"/>
              <w:divBdr>
                <w:top w:val="none" w:sz="0" w:space="0" w:color="auto"/>
                <w:left w:val="none" w:sz="0" w:space="0" w:color="auto"/>
                <w:bottom w:val="none" w:sz="0" w:space="0" w:color="auto"/>
                <w:right w:val="none" w:sz="0" w:space="0" w:color="auto"/>
              </w:divBdr>
            </w:div>
            <w:div w:id="390810727">
              <w:marLeft w:val="0"/>
              <w:marRight w:val="0"/>
              <w:marTop w:val="0"/>
              <w:marBottom w:val="0"/>
              <w:divBdr>
                <w:top w:val="none" w:sz="0" w:space="0" w:color="auto"/>
                <w:left w:val="none" w:sz="0" w:space="0" w:color="auto"/>
                <w:bottom w:val="none" w:sz="0" w:space="0" w:color="auto"/>
                <w:right w:val="none" w:sz="0" w:space="0" w:color="auto"/>
              </w:divBdr>
            </w:div>
            <w:div w:id="422259908">
              <w:marLeft w:val="0"/>
              <w:marRight w:val="0"/>
              <w:marTop w:val="0"/>
              <w:marBottom w:val="0"/>
              <w:divBdr>
                <w:top w:val="none" w:sz="0" w:space="0" w:color="auto"/>
                <w:left w:val="none" w:sz="0" w:space="0" w:color="auto"/>
                <w:bottom w:val="none" w:sz="0" w:space="0" w:color="auto"/>
                <w:right w:val="none" w:sz="0" w:space="0" w:color="auto"/>
              </w:divBdr>
            </w:div>
            <w:div w:id="441191187">
              <w:marLeft w:val="0"/>
              <w:marRight w:val="0"/>
              <w:marTop w:val="0"/>
              <w:marBottom w:val="0"/>
              <w:divBdr>
                <w:top w:val="none" w:sz="0" w:space="0" w:color="auto"/>
                <w:left w:val="none" w:sz="0" w:space="0" w:color="auto"/>
                <w:bottom w:val="none" w:sz="0" w:space="0" w:color="auto"/>
                <w:right w:val="none" w:sz="0" w:space="0" w:color="auto"/>
              </w:divBdr>
            </w:div>
            <w:div w:id="480120166">
              <w:marLeft w:val="0"/>
              <w:marRight w:val="0"/>
              <w:marTop w:val="0"/>
              <w:marBottom w:val="0"/>
              <w:divBdr>
                <w:top w:val="none" w:sz="0" w:space="0" w:color="auto"/>
                <w:left w:val="none" w:sz="0" w:space="0" w:color="auto"/>
                <w:bottom w:val="none" w:sz="0" w:space="0" w:color="auto"/>
                <w:right w:val="none" w:sz="0" w:space="0" w:color="auto"/>
              </w:divBdr>
            </w:div>
            <w:div w:id="691489933">
              <w:marLeft w:val="0"/>
              <w:marRight w:val="0"/>
              <w:marTop w:val="0"/>
              <w:marBottom w:val="0"/>
              <w:divBdr>
                <w:top w:val="none" w:sz="0" w:space="0" w:color="auto"/>
                <w:left w:val="none" w:sz="0" w:space="0" w:color="auto"/>
                <w:bottom w:val="none" w:sz="0" w:space="0" w:color="auto"/>
                <w:right w:val="none" w:sz="0" w:space="0" w:color="auto"/>
              </w:divBdr>
            </w:div>
            <w:div w:id="796027716">
              <w:marLeft w:val="0"/>
              <w:marRight w:val="0"/>
              <w:marTop w:val="0"/>
              <w:marBottom w:val="0"/>
              <w:divBdr>
                <w:top w:val="none" w:sz="0" w:space="0" w:color="auto"/>
                <w:left w:val="none" w:sz="0" w:space="0" w:color="auto"/>
                <w:bottom w:val="none" w:sz="0" w:space="0" w:color="auto"/>
                <w:right w:val="none" w:sz="0" w:space="0" w:color="auto"/>
              </w:divBdr>
            </w:div>
            <w:div w:id="1058091775">
              <w:marLeft w:val="0"/>
              <w:marRight w:val="0"/>
              <w:marTop w:val="0"/>
              <w:marBottom w:val="0"/>
              <w:divBdr>
                <w:top w:val="none" w:sz="0" w:space="0" w:color="auto"/>
                <w:left w:val="none" w:sz="0" w:space="0" w:color="auto"/>
                <w:bottom w:val="none" w:sz="0" w:space="0" w:color="auto"/>
                <w:right w:val="none" w:sz="0" w:space="0" w:color="auto"/>
              </w:divBdr>
            </w:div>
            <w:div w:id="1225457993">
              <w:marLeft w:val="0"/>
              <w:marRight w:val="0"/>
              <w:marTop w:val="0"/>
              <w:marBottom w:val="0"/>
              <w:divBdr>
                <w:top w:val="none" w:sz="0" w:space="0" w:color="auto"/>
                <w:left w:val="none" w:sz="0" w:space="0" w:color="auto"/>
                <w:bottom w:val="none" w:sz="0" w:space="0" w:color="auto"/>
                <w:right w:val="none" w:sz="0" w:space="0" w:color="auto"/>
              </w:divBdr>
            </w:div>
            <w:div w:id="1516923081">
              <w:marLeft w:val="0"/>
              <w:marRight w:val="0"/>
              <w:marTop w:val="0"/>
              <w:marBottom w:val="0"/>
              <w:divBdr>
                <w:top w:val="none" w:sz="0" w:space="0" w:color="auto"/>
                <w:left w:val="none" w:sz="0" w:space="0" w:color="auto"/>
                <w:bottom w:val="none" w:sz="0" w:space="0" w:color="auto"/>
                <w:right w:val="none" w:sz="0" w:space="0" w:color="auto"/>
              </w:divBdr>
            </w:div>
            <w:div w:id="1520046541">
              <w:marLeft w:val="0"/>
              <w:marRight w:val="0"/>
              <w:marTop w:val="0"/>
              <w:marBottom w:val="0"/>
              <w:divBdr>
                <w:top w:val="none" w:sz="0" w:space="0" w:color="auto"/>
                <w:left w:val="none" w:sz="0" w:space="0" w:color="auto"/>
                <w:bottom w:val="none" w:sz="0" w:space="0" w:color="auto"/>
                <w:right w:val="none" w:sz="0" w:space="0" w:color="auto"/>
              </w:divBdr>
            </w:div>
            <w:div w:id="1609385906">
              <w:marLeft w:val="0"/>
              <w:marRight w:val="0"/>
              <w:marTop w:val="0"/>
              <w:marBottom w:val="0"/>
              <w:divBdr>
                <w:top w:val="none" w:sz="0" w:space="0" w:color="auto"/>
                <w:left w:val="none" w:sz="0" w:space="0" w:color="auto"/>
                <w:bottom w:val="none" w:sz="0" w:space="0" w:color="auto"/>
                <w:right w:val="none" w:sz="0" w:space="0" w:color="auto"/>
              </w:divBdr>
            </w:div>
            <w:div w:id="1712195242">
              <w:marLeft w:val="0"/>
              <w:marRight w:val="0"/>
              <w:marTop w:val="0"/>
              <w:marBottom w:val="0"/>
              <w:divBdr>
                <w:top w:val="none" w:sz="0" w:space="0" w:color="auto"/>
                <w:left w:val="none" w:sz="0" w:space="0" w:color="auto"/>
                <w:bottom w:val="none" w:sz="0" w:space="0" w:color="auto"/>
                <w:right w:val="none" w:sz="0" w:space="0" w:color="auto"/>
              </w:divBdr>
            </w:div>
            <w:div w:id="1748071110">
              <w:marLeft w:val="0"/>
              <w:marRight w:val="0"/>
              <w:marTop w:val="0"/>
              <w:marBottom w:val="0"/>
              <w:divBdr>
                <w:top w:val="none" w:sz="0" w:space="0" w:color="auto"/>
                <w:left w:val="none" w:sz="0" w:space="0" w:color="auto"/>
                <w:bottom w:val="none" w:sz="0" w:space="0" w:color="auto"/>
                <w:right w:val="none" w:sz="0" w:space="0" w:color="auto"/>
              </w:divBdr>
            </w:div>
            <w:div w:id="1768230251">
              <w:marLeft w:val="0"/>
              <w:marRight w:val="0"/>
              <w:marTop w:val="0"/>
              <w:marBottom w:val="0"/>
              <w:divBdr>
                <w:top w:val="none" w:sz="0" w:space="0" w:color="auto"/>
                <w:left w:val="none" w:sz="0" w:space="0" w:color="auto"/>
                <w:bottom w:val="none" w:sz="0" w:space="0" w:color="auto"/>
                <w:right w:val="none" w:sz="0" w:space="0" w:color="auto"/>
              </w:divBdr>
            </w:div>
            <w:div w:id="1891072946">
              <w:marLeft w:val="0"/>
              <w:marRight w:val="0"/>
              <w:marTop w:val="0"/>
              <w:marBottom w:val="0"/>
              <w:divBdr>
                <w:top w:val="none" w:sz="0" w:space="0" w:color="auto"/>
                <w:left w:val="none" w:sz="0" w:space="0" w:color="auto"/>
                <w:bottom w:val="none" w:sz="0" w:space="0" w:color="auto"/>
                <w:right w:val="none" w:sz="0" w:space="0" w:color="auto"/>
              </w:divBdr>
            </w:div>
            <w:div w:id="2124883777">
              <w:marLeft w:val="0"/>
              <w:marRight w:val="0"/>
              <w:marTop w:val="0"/>
              <w:marBottom w:val="0"/>
              <w:divBdr>
                <w:top w:val="none" w:sz="0" w:space="0" w:color="auto"/>
                <w:left w:val="none" w:sz="0" w:space="0" w:color="auto"/>
                <w:bottom w:val="none" w:sz="0" w:space="0" w:color="auto"/>
                <w:right w:val="none" w:sz="0" w:space="0" w:color="auto"/>
              </w:divBdr>
            </w:div>
          </w:divsChild>
        </w:div>
        <w:div w:id="812253711">
          <w:marLeft w:val="0"/>
          <w:marRight w:val="0"/>
          <w:marTop w:val="0"/>
          <w:marBottom w:val="0"/>
          <w:divBdr>
            <w:top w:val="none" w:sz="0" w:space="0" w:color="auto"/>
            <w:left w:val="none" w:sz="0" w:space="0" w:color="auto"/>
            <w:bottom w:val="none" w:sz="0" w:space="0" w:color="auto"/>
            <w:right w:val="none" w:sz="0" w:space="0" w:color="auto"/>
          </w:divBdr>
        </w:div>
        <w:div w:id="820343180">
          <w:marLeft w:val="0"/>
          <w:marRight w:val="0"/>
          <w:marTop w:val="0"/>
          <w:marBottom w:val="0"/>
          <w:divBdr>
            <w:top w:val="none" w:sz="0" w:space="0" w:color="auto"/>
            <w:left w:val="none" w:sz="0" w:space="0" w:color="auto"/>
            <w:bottom w:val="none" w:sz="0" w:space="0" w:color="auto"/>
            <w:right w:val="none" w:sz="0" w:space="0" w:color="auto"/>
          </w:divBdr>
        </w:div>
        <w:div w:id="827138725">
          <w:marLeft w:val="0"/>
          <w:marRight w:val="0"/>
          <w:marTop w:val="0"/>
          <w:marBottom w:val="0"/>
          <w:divBdr>
            <w:top w:val="none" w:sz="0" w:space="0" w:color="auto"/>
            <w:left w:val="none" w:sz="0" w:space="0" w:color="auto"/>
            <w:bottom w:val="none" w:sz="0" w:space="0" w:color="auto"/>
            <w:right w:val="none" w:sz="0" w:space="0" w:color="auto"/>
          </w:divBdr>
        </w:div>
        <w:div w:id="831718252">
          <w:marLeft w:val="0"/>
          <w:marRight w:val="0"/>
          <w:marTop w:val="0"/>
          <w:marBottom w:val="0"/>
          <w:divBdr>
            <w:top w:val="none" w:sz="0" w:space="0" w:color="auto"/>
            <w:left w:val="none" w:sz="0" w:space="0" w:color="auto"/>
            <w:bottom w:val="none" w:sz="0" w:space="0" w:color="auto"/>
            <w:right w:val="none" w:sz="0" w:space="0" w:color="auto"/>
          </w:divBdr>
        </w:div>
        <w:div w:id="833451883">
          <w:marLeft w:val="0"/>
          <w:marRight w:val="0"/>
          <w:marTop w:val="0"/>
          <w:marBottom w:val="0"/>
          <w:divBdr>
            <w:top w:val="none" w:sz="0" w:space="0" w:color="auto"/>
            <w:left w:val="none" w:sz="0" w:space="0" w:color="auto"/>
            <w:bottom w:val="none" w:sz="0" w:space="0" w:color="auto"/>
            <w:right w:val="none" w:sz="0" w:space="0" w:color="auto"/>
          </w:divBdr>
        </w:div>
        <w:div w:id="837769819">
          <w:marLeft w:val="0"/>
          <w:marRight w:val="0"/>
          <w:marTop w:val="0"/>
          <w:marBottom w:val="0"/>
          <w:divBdr>
            <w:top w:val="none" w:sz="0" w:space="0" w:color="auto"/>
            <w:left w:val="none" w:sz="0" w:space="0" w:color="auto"/>
            <w:bottom w:val="none" w:sz="0" w:space="0" w:color="auto"/>
            <w:right w:val="none" w:sz="0" w:space="0" w:color="auto"/>
          </w:divBdr>
          <w:divsChild>
            <w:div w:id="1896887131">
              <w:marLeft w:val="-75"/>
              <w:marRight w:val="0"/>
              <w:marTop w:val="30"/>
              <w:marBottom w:val="30"/>
              <w:divBdr>
                <w:top w:val="none" w:sz="0" w:space="0" w:color="auto"/>
                <w:left w:val="none" w:sz="0" w:space="0" w:color="auto"/>
                <w:bottom w:val="none" w:sz="0" w:space="0" w:color="auto"/>
                <w:right w:val="none" w:sz="0" w:space="0" w:color="auto"/>
              </w:divBdr>
              <w:divsChild>
                <w:div w:id="81730107">
                  <w:marLeft w:val="0"/>
                  <w:marRight w:val="0"/>
                  <w:marTop w:val="0"/>
                  <w:marBottom w:val="0"/>
                  <w:divBdr>
                    <w:top w:val="none" w:sz="0" w:space="0" w:color="auto"/>
                    <w:left w:val="none" w:sz="0" w:space="0" w:color="auto"/>
                    <w:bottom w:val="none" w:sz="0" w:space="0" w:color="auto"/>
                    <w:right w:val="none" w:sz="0" w:space="0" w:color="auto"/>
                  </w:divBdr>
                  <w:divsChild>
                    <w:div w:id="1592810169">
                      <w:marLeft w:val="0"/>
                      <w:marRight w:val="0"/>
                      <w:marTop w:val="0"/>
                      <w:marBottom w:val="0"/>
                      <w:divBdr>
                        <w:top w:val="none" w:sz="0" w:space="0" w:color="auto"/>
                        <w:left w:val="none" w:sz="0" w:space="0" w:color="auto"/>
                        <w:bottom w:val="none" w:sz="0" w:space="0" w:color="auto"/>
                        <w:right w:val="none" w:sz="0" w:space="0" w:color="auto"/>
                      </w:divBdr>
                    </w:div>
                  </w:divsChild>
                </w:div>
                <w:div w:id="324088346">
                  <w:marLeft w:val="0"/>
                  <w:marRight w:val="0"/>
                  <w:marTop w:val="0"/>
                  <w:marBottom w:val="0"/>
                  <w:divBdr>
                    <w:top w:val="none" w:sz="0" w:space="0" w:color="auto"/>
                    <w:left w:val="none" w:sz="0" w:space="0" w:color="auto"/>
                    <w:bottom w:val="none" w:sz="0" w:space="0" w:color="auto"/>
                    <w:right w:val="none" w:sz="0" w:space="0" w:color="auto"/>
                  </w:divBdr>
                  <w:divsChild>
                    <w:div w:id="115761102">
                      <w:marLeft w:val="0"/>
                      <w:marRight w:val="0"/>
                      <w:marTop w:val="0"/>
                      <w:marBottom w:val="0"/>
                      <w:divBdr>
                        <w:top w:val="none" w:sz="0" w:space="0" w:color="auto"/>
                        <w:left w:val="none" w:sz="0" w:space="0" w:color="auto"/>
                        <w:bottom w:val="none" w:sz="0" w:space="0" w:color="auto"/>
                        <w:right w:val="none" w:sz="0" w:space="0" w:color="auto"/>
                      </w:divBdr>
                    </w:div>
                  </w:divsChild>
                </w:div>
                <w:div w:id="426313177">
                  <w:marLeft w:val="0"/>
                  <w:marRight w:val="0"/>
                  <w:marTop w:val="0"/>
                  <w:marBottom w:val="0"/>
                  <w:divBdr>
                    <w:top w:val="none" w:sz="0" w:space="0" w:color="auto"/>
                    <w:left w:val="none" w:sz="0" w:space="0" w:color="auto"/>
                    <w:bottom w:val="none" w:sz="0" w:space="0" w:color="auto"/>
                    <w:right w:val="none" w:sz="0" w:space="0" w:color="auto"/>
                  </w:divBdr>
                  <w:divsChild>
                    <w:div w:id="299649740">
                      <w:marLeft w:val="0"/>
                      <w:marRight w:val="0"/>
                      <w:marTop w:val="0"/>
                      <w:marBottom w:val="0"/>
                      <w:divBdr>
                        <w:top w:val="none" w:sz="0" w:space="0" w:color="auto"/>
                        <w:left w:val="none" w:sz="0" w:space="0" w:color="auto"/>
                        <w:bottom w:val="none" w:sz="0" w:space="0" w:color="auto"/>
                        <w:right w:val="none" w:sz="0" w:space="0" w:color="auto"/>
                      </w:divBdr>
                    </w:div>
                  </w:divsChild>
                </w:div>
                <w:div w:id="734470602">
                  <w:marLeft w:val="0"/>
                  <w:marRight w:val="0"/>
                  <w:marTop w:val="0"/>
                  <w:marBottom w:val="0"/>
                  <w:divBdr>
                    <w:top w:val="none" w:sz="0" w:space="0" w:color="auto"/>
                    <w:left w:val="none" w:sz="0" w:space="0" w:color="auto"/>
                    <w:bottom w:val="none" w:sz="0" w:space="0" w:color="auto"/>
                    <w:right w:val="none" w:sz="0" w:space="0" w:color="auto"/>
                  </w:divBdr>
                  <w:divsChild>
                    <w:div w:id="1912160355">
                      <w:marLeft w:val="0"/>
                      <w:marRight w:val="0"/>
                      <w:marTop w:val="0"/>
                      <w:marBottom w:val="0"/>
                      <w:divBdr>
                        <w:top w:val="none" w:sz="0" w:space="0" w:color="auto"/>
                        <w:left w:val="none" w:sz="0" w:space="0" w:color="auto"/>
                        <w:bottom w:val="none" w:sz="0" w:space="0" w:color="auto"/>
                        <w:right w:val="none" w:sz="0" w:space="0" w:color="auto"/>
                      </w:divBdr>
                    </w:div>
                  </w:divsChild>
                </w:div>
                <w:div w:id="779110795">
                  <w:marLeft w:val="0"/>
                  <w:marRight w:val="0"/>
                  <w:marTop w:val="0"/>
                  <w:marBottom w:val="0"/>
                  <w:divBdr>
                    <w:top w:val="none" w:sz="0" w:space="0" w:color="auto"/>
                    <w:left w:val="none" w:sz="0" w:space="0" w:color="auto"/>
                    <w:bottom w:val="none" w:sz="0" w:space="0" w:color="auto"/>
                    <w:right w:val="none" w:sz="0" w:space="0" w:color="auto"/>
                  </w:divBdr>
                  <w:divsChild>
                    <w:div w:id="1457526623">
                      <w:marLeft w:val="0"/>
                      <w:marRight w:val="0"/>
                      <w:marTop w:val="0"/>
                      <w:marBottom w:val="0"/>
                      <w:divBdr>
                        <w:top w:val="none" w:sz="0" w:space="0" w:color="auto"/>
                        <w:left w:val="none" w:sz="0" w:space="0" w:color="auto"/>
                        <w:bottom w:val="none" w:sz="0" w:space="0" w:color="auto"/>
                        <w:right w:val="none" w:sz="0" w:space="0" w:color="auto"/>
                      </w:divBdr>
                    </w:div>
                  </w:divsChild>
                </w:div>
                <w:div w:id="901138143">
                  <w:marLeft w:val="0"/>
                  <w:marRight w:val="0"/>
                  <w:marTop w:val="0"/>
                  <w:marBottom w:val="0"/>
                  <w:divBdr>
                    <w:top w:val="none" w:sz="0" w:space="0" w:color="auto"/>
                    <w:left w:val="none" w:sz="0" w:space="0" w:color="auto"/>
                    <w:bottom w:val="none" w:sz="0" w:space="0" w:color="auto"/>
                    <w:right w:val="none" w:sz="0" w:space="0" w:color="auto"/>
                  </w:divBdr>
                  <w:divsChild>
                    <w:div w:id="741174194">
                      <w:marLeft w:val="0"/>
                      <w:marRight w:val="0"/>
                      <w:marTop w:val="0"/>
                      <w:marBottom w:val="0"/>
                      <w:divBdr>
                        <w:top w:val="none" w:sz="0" w:space="0" w:color="auto"/>
                        <w:left w:val="none" w:sz="0" w:space="0" w:color="auto"/>
                        <w:bottom w:val="none" w:sz="0" w:space="0" w:color="auto"/>
                        <w:right w:val="none" w:sz="0" w:space="0" w:color="auto"/>
                      </w:divBdr>
                    </w:div>
                  </w:divsChild>
                </w:div>
                <w:div w:id="944339184">
                  <w:marLeft w:val="0"/>
                  <w:marRight w:val="0"/>
                  <w:marTop w:val="0"/>
                  <w:marBottom w:val="0"/>
                  <w:divBdr>
                    <w:top w:val="none" w:sz="0" w:space="0" w:color="auto"/>
                    <w:left w:val="none" w:sz="0" w:space="0" w:color="auto"/>
                    <w:bottom w:val="none" w:sz="0" w:space="0" w:color="auto"/>
                    <w:right w:val="none" w:sz="0" w:space="0" w:color="auto"/>
                  </w:divBdr>
                  <w:divsChild>
                    <w:div w:id="1021933411">
                      <w:marLeft w:val="0"/>
                      <w:marRight w:val="0"/>
                      <w:marTop w:val="0"/>
                      <w:marBottom w:val="0"/>
                      <w:divBdr>
                        <w:top w:val="none" w:sz="0" w:space="0" w:color="auto"/>
                        <w:left w:val="none" w:sz="0" w:space="0" w:color="auto"/>
                        <w:bottom w:val="none" w:sz="0" w:space="0" w:color="auto"/>
                        <w:right w:val="none" w:sz="0" w:space="0" w:color="auto"/>
                      </w:divBdr>
                    </w:div>
                  </w:divsChild>
                </w:div>
                <w:div w:id="1146975001">
                  <w:marLeft w:val="0"/>
                  <w:marRight w:val="0"/>
                  <w:marTop w:val="0"/>
                  <w:marBottom w:val="0"/>
                  <w:divBdr>
                    <w:top w:val="none" w:sz="0" w:space="0" w:color="auto"/>
                    <w:left w:val="none" w:sz="0" w:space="0" w:color="auto"/>
                    <w:bottom w:val="none" w:sz="0" w:space="0" w:color="auto"/>
                    <w:right w:val="none" w:sz="0" w:space="0" w:color="auto"/>
                  </w:divBdr>
                  <w:divsChild>
                    <w:div w:id="1724989273">
                      <w:marLeft w:val="0"/>
                      <w:marRight w:val="0"/>
                      <w:marTop w:val="0"/>
                      <w:marBottom w:val="0"/>
                      <w:divBdr>
                        <w:top w:val="none" w:sz="0" w:space="0" w:color="auto"/>
                        <w:left w:val="none" w:sz="0" w:space="0" w:color="auto"/>
                        <w:bottom w:val="none" w:sz="0" w:space="0" w:color="auto"/>
                        <w:right w:val="none" w:sz="0" w:space="0" w:color="auto"/>
                      </w:divBdr>
                    </w:div>
                  </w:divsChild>
                </w:div>
                <w:div w:id="1157307865">
                  <w:marLeft w:val="0"/>
                  <w:marRight w:val="0"/>
                  <w:marTop w:val="0"/>
                  <w:marBottom w:val="0"/>
                  <w:divBdr>
                    <w:top w:val="none" w:sz="0" w:space="0" w:color="auto"/>
                    <w:left w:val="none" w:sz="0" w:space="0" w:color="auto"/>
                    <w:bottom w:val="none" w:sz="0" w:space="0" w:color="auto"/>
                    <w:right w:val="none" w:sz="0" w:space="0" w:color="auto"/>
                  </w:divBdr>
                  <w:divsChild>
                    <w:div w:id="876891333">
                      <w:marLeft w:val="0"/>
                      <w:marRight w:val="0"/>
                      <w:marTop w:val="0"/>
                      <w:marBottom w:val="0"/>
                      <w:divBdr>
                        <w:top w:val="none" w:sz="0" w:space="0" w:color="auto"/>
                        <w:left w:val="none" w:sz="0" w:space="0" w:color="auto"/>
                        <w:bottom w:val="none" w:sz="0" w:space="0" w:color="auto"/>
                        <w:right w:val="none" w:sz="0" w:space="0" w:color="auto"/>
                      </w:divBdr>
                    </w:div>
                  </w:divsChild>
                </w:div>
                <w:div w:id="1316446565">
                  <w:marLeft w:val="0"/>
                  <w:marRight w:val="0"/>
                  <w:marTop w:val="0"/>
                  <w:marBottom w:val="0"/>
                  <w:divBdr>
                    <w:top w:val="none" w:sz="0" w:space="0" w:color="auto"/>
                    <w:left w:val="none" w:sz="0" w:space="0" w:color="auto"/>
                    <w:bottom w:val="none" w:sz="0" w:space="0" w:color="auto"/>
                    <w:right w:val="none" w:sz="0" w:space="0" w:color="auto"/>
                  </w:divBdr>
                  <w:divsChild>
                    <w:div w:id="1082486560">
                      <w:marLeft w:val="0"/>
                      <w:marRight w:val="0"/>
                      <w:marTop w:val="0"/>
                      <w:marBottom w:val="0"/>
                      <w:divBdr>
                        <w:top w:val="none" w:sz="0" w:space="0" w:color="auto"/>
                        <w:left w:val="none" w:sz="0" w:space="0" w:color="auto"/>
                        <w:bottom w:val="none" w:sz="0" w:space="0" w:color="auto"/>
                        <w:right w:val="none" w:sz="0" w:space="0" w:color="auto"/>
                      </w:divBdr>
                    </w:div>
                  </w:divsChild>
                </w:div>
                <w:div w:id="1517618475">
                  <w:marLeft w:val="0"/>
                  <w:marRight w:val="0"/>
                  <w:marTop w:val="0"/>
                  <w:marBottom w:val="0"/>
                  <w:divBdr>
                    <w:top w:val="none" w:sz="0" w:space="0" w:color="auto"/>
                    <w:left w:val="none" w:sz="0" w:space="0" w:color="auto"/>
                    <w:bottom w:val="none" w:sz="0" w:space="0" w:color="auto"/>
                    <w:right w:val="none" w:sz="0" w:space="0" w:color="auto"/>
                  </w:divBdr>
                  <w:divsChild>
                    <w:div w:id="1433161392">
                      <w:marLeft w:val="0"/>
                      <w:marRight w:val="0"/>
                      <w:marTop w:val="0"/>
                      <w:marBottom w:val="0"/>
                      <w:divBdr>
                        <w:top w:val="none" w:sz="0" w:space="0" w:color="auto"/>
                        <w:left w:val="none" w:sz="0" w:space="0" w:color="auto"/>
                        <w:bottom w:val="none" w:sz="0" w:space="0" w:color="auto"/>
                        <w:right w:val="none" w:sz="0" w:space="0" w:color="auto"/>
                      </w:divBdr>
                    </w:div>
                  </w:divsChild>
                </w:div>
                <w:div w:id="1762868641">
                  <w:marLeft w:val="0"/>
                  <w:marRight w:val="0"/>
                  <w:marTop w:val="0"/>
                  <w:marBottom w:val="0"/>
                  <w:divBdr>
                    <w:top w:val="none" w:sz="0" w:space="0" w:color="auto"/>
                    <w:left w:val="none" w:sz="0" w:space="0" w:color="auto"/>
                    <w:bottom w:val="none" w:sz="0" w:space="0" w:color="auto"/>
                    <w:right w:val="none" w:sz="0" w:space="0" w:color="auto"/>
                  </w:divBdr>
                  <w:divsChild>
                    <w:div w:id="583494413">
                      <w:marLeft w:val="0"/>
                      <w:marRight w:val="0"/>
                      <w:marTop w:val="0"/>
                      <w:marBottom w:val="0"/>
                      <w:divBdr>
                        <w:top w:val="none" w:sz="0" w:space="0" w:color="auto"/>
                        <w:left w:val="none" w:sz="0" w:space="0" w:color="auto"/>
                        <w:bottom w:val="none" w:sz="0" w:space="0" w:color="auto"/>
                        <w:right w:val="none" w:sz="0" w:space="0" w:color="auto"/>
                      </w:divBdr>
                    </w:div>
                    <w:div w:id="1456021277">
                      <w:marLeft w:val="0"/>
                      <w:marRight w:val="0"/>
                      <w:marTop w:val="0"/>
                      <w:marBottom w:val="0"/>
                      <w:divBdr>
                        <w:top w:val="none" w:sz="0" w:space="0" w:color="auto"/>
                        <w:left w:val="none" w:sz="0" w:space="0" w:color="auto"/>
                        <w:bottom w:val="none" w:sz="0" w:space="0" w:color="auto"/>
                        <w:right w:val="none" w:sz="0" w:space="0" w:color="auto"/>
                      </w:divBdr>
                    </w:div>
                  </w:divsChild>
                </w:div>
                <w:div w:id="1794248160">
                  <w:marLeft w:val="0"/>
                  <w:marRight w:val="0"/>
                  <w:marTop w:val="0"/>
                  <w:marBottom w:val="0"/>
                  <w:divBdr>
                    <w:top w:val="none" w:sz="0" w:space="0" w:color="auto"/>
                    <w:left w:val="none" w:sz="0" w:space="0" w:color="auto"/>
                    <w:bottom w:val="none" w:sz="0" w:space="0" w:color="auto"/>
                    <w:right w:val="none" w:sz="0" w:space="0" w:color="auto"/>
                  </w:divBdr>
                  <w:divsChild>
                    <w:div w:id="121967059">
                      <w:marLeft w:val="0"/>
                      <w:marRight w:val="0"/>
                      <w:marTop w:val="0"/>
                      <w:marBottom w:val="0"/>
                      <w:divBdr>
                        <w:top w:val="none" w:sz="0" w:space="0" w:color="auto"/>
                        <w:left w:val="none" w:sz="0" w:space="0" w:color="auto"/>
                        <w:bottom w:val="none" w:sz="0" w:space="0" w:color="auto"/>
                        <w:right w:val="none" w:sz="0" w:space="0" w:color="auto"/>
                      </w:divBdr>
                    </w:div>
                  </w:divsChild>
                </w:div>
                <w:div w:id="1889339469">
                  <w:marLeft w:val="0"/>
                  <w:marRight w:val="0"/>
                  <w:marTop w:val="0"/>
                  <w:marBottom w:val="0"/>
                  <w:divBdr>
                    <w:top w:val="none" w:sz="0" w:space="0" w:color="auto"/>
                    <w:left w:val="none" w:sz="0" w:space="0" w:color="auto"/>
                    <w:bottom w:val="none" w:sz="0" w:space="0" w:color="auto"/>
                    <w:right w:val="none" w:sz="0" w:space="0" w:color="auto"/>
                  </w:divBdr>
                  <w:divsChild>
                    <w:div w:id="1218585886">
                      <w:marLeft w:val="0"/>
                      <w:marRight w:val="0"/>
                      <w:marTop w:val="0"/>
                      <w:marBottom w:val="0"/>
                      <w:divBdr>
                        <w:top w:val="none" w:sz="0" w:space="0" w:color="auto"/>
                        <w:left w:val="none" w:sz="0" w:space="0" w:color="auto"/>
                        <w:bottom w:val="none" w:sz="0" w:space="0" w:color="auto"/>
                        <w:right w:val="none" w:sz="0" w:space="0" w:color="auto"/>
                      </w:divBdr>
                    </w:div>
                  </w:divsChild>
                </w:div>
                <w:div w:id="2062361317">
                  <w:marLeft w:val="0"/>
                  <w:marRight w:val="0"/>
                  <w:marTop w:val="0"/>
                  <w:marBottom w:val="0"/>
                  <w:divBdr>
                    <w:top w:val="none" w:sz="0" w:space="0" w:color="auto"/>
                    <w:left w:val="none" w:sz="0" w:space="0" w:color="auto"/>
                    <w:bottom w:val="none" w:sz="0" w:space="0" w:color="auto"/>
                    <w:right w:val="none" w:sz="0" w:space="0" w:color="auto"/>
                  </w:divBdr>
                  <w:divsChild>
                    <w:div w:id="15370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7246">
          <w:marLeft w:val="0"/>
          <w:marRight w:val="0"/>
          <w:marTop w:val="0"/>
          <w:marBottom w:val="0"/>
          <w:divBdr>
            <w:top w:val="none" w:sz="0" w:space="0" w:color="auto"/>
            <w:left w:val="none" w:sz="0" w:space="0" w:color="auto"/>
            <w:bottom w:val="none" w:sz="0" w:space="0" w:color="auto"/>
            <w:right w:val="none" w:sz="0" w:space="0" w:color="auto"/>
          </w:divBdr>
        </w:div>
        <w:div w:id="843520991">
          <w:marLeft w:val="0"/>
          <w:marRight w:val="0"/>
          <w:marTop w:val="0"/>
          <w:marBottom w:val="0"/>
          <w:divBdr>
            <w:top w:val="none" w:sz="0" w:space="0" w:color="auto"/>
            <w:left w:val="none" w:sz="0" w:space="0" w:color="auto"/>
            <w:bottom w:val="none" w:sz="0" w:space="0" w:color="auto"/>
            <w:right w:val="none" w:sz="0" w:space="0" w:color="auto"/>
          </w:divBdr>
        </w:div>
        <w:div w:id="850215466">
          <w:marLeft w:val="0"/>
          <w:marRight w:val="0"/>
          <w:marTop w:val="0"/>
          <w:marBottom w:val="0"/>
          <w:divBdr>
            <w:top w:val="none" w:sz="0" w:space="0" w:color="auto"/>
            <w:left w:val="none" w:sz="0" w:space="0" w:color="auto"/>
            <w:bottom w:val="none" w:sz="0" w:space="0" w:color="auto"/>
            <w:right w:val="none" w:sz="0" w:space="0" w:color="auto"/>
          </w:divBdr>
          <w:divsChild>
            <w:div w:id="11611060">
              <w:marLeft w:val="0"/>
              <w:marRight w:val="0"/>
              <w:marTop w:val="0"/>
              <w:marBottom w:val="0"/>
              <w:divBdr>
                <w:top w:val="none" w:sz="0" w:space="0" w:color="auto"/>
                <w:left w:val="none" w:sz="0" w:space="0" w:color="auto"/>
                <w:bottom w:val="none" w:sz="0" w:space="0" w:color="auto"/>
                <w:right w:val="none" w:sz="0" w:space="0" w:color="auto"/>
              </w:divBdr>
            </w:div>
            <w:div w:id="173881891">
              <w:marLeft w:val="0"/>
              <w:marRight w:val="0"/>
              <w:marTop w:val="0"/>
              <w:marBottom w:val="0"/>
              <w:divBdr>
                <w:top w:val="none" w:sz="0" w:space="0" w:color="auto"/>
                <w:left w:val="none" w:sz="0" w:space="0" w:color="auto"/>
                <w:bottom w:val="none" w:sz="0" w:space="0" w:color="auto"/>
                <w:right w:val="none" w:sz="0" w:space="0" w:color="auto"/>
              </w:divBdr>
            </w:div>
            <w:div w:id="564680901">
              <w:marLeft w:val="0"/>
              <w:marRight w:val="0"/>
              <w:marTop w:val="0"/>
              <w:marBottom w:val="0"/>
              <w:divBdr>
                <w:top w:val="none" w:sz="0" w:space="0" w:color="auto"/>
                <w:left w:val="none" w:sz="0" w:space="0" w:color="auto"/>
                <w:bottom w:val="none" w:sz="0" w:space="0" w:color="auto"/>
                <w:right w:val="none" w:sz="0" w:space="0" w:color="auto"/>
              </w:divBdr>
            </w:div>
            <w:div w:id="610358838">
              <w:marLeft w:val="0"/>
              <w:marRight w:val="0"/>
              <w:marTop w:val="0"/>
              <w:marBottom w:val="0"/>
              <w:divBdr>
                <w:top w:val="none" w:sz="0" w:space="0" w:color="auto"/>
                <w:left w:val="none" w:sz="0" w:space="0" w:color="auto"/>
                <w:bottom w:val="none" w:sz="0" w:space="0" w:color="auto"/>
                <w:right w:val="none" w:sz="0" w:space="0" w:color="auto"/>
              </w:divBdr>
            </w:div>
            <w:div w:id="647394957">
              <w:marLeft w:val="0"/>
              <w:marRight w:val="0"/>
              <w:marTop w:val="0"/>
              <w:marBottom w:val="0"/>
              <w:divBdr>
                <w:top w:val="none" w:sz="0" w:space="0" w:color="auto"/>
                <w:left w:val="none" w:sz="0" w:space="0" w:color="auto"/>
                <w:bottom w:val="none" w:sz="0" w:space="0" w:color="auto"/>
                <w:right w:val="none" w:sz="0" w:space="0" w:color="auto"/>
              </w:divBdr>
            </w:div>
            <w:div w:id="702440729">
              <w:marLeft w:val="0"/>
              <w:marRight w:val="0"/>
              <w:marTop w:val="0"/>
              <w:marBottom w:val="0"/>
              <w:divBdr>
                <w:top w:val="none" w:sz="0" w:space="0" w:color="auto"/>
                <w:left w:val="none" w:sz="0" w:space="0" w:color="auto"/>
                <w:bottom w:val="none" w:sz="0" w:space="0" w:color="auto"/>
                <w:right w:val="none" w:sz="0" w:space="0" w:color="auto"/>
              </w:divBdr>
            </w:div>
            <w:div w:id="815998884">
              <w:marLeft w:val="0"/>
              <w:marRight w:val="0"/>
              <w:marTop w:val="0"/>
              <w:marBottom w:val="0"/>
              <w:divBdr>
                <w:top w:val="none" w:sz="0" w:space="0" w:color="auto"/>
                <w:left w:val="none" w:sz="0" w:space="0" w:color="auto"/>
                <w:bottom w:val="none" w:sz="0" w:space="0" w:color="auto"/>
                <w:right w:val="none" w:sz="0" w:space="0" w:color="auto"/>
              </w:divBdr>
            </w:div>
            <w:div w:id="833107565">
              <w:marLeft w:val="0"/>
              <w:marRight w:val="0"/>
              <w:marTop w:val="0"/>
              <w:marBottom w:val="0"/>
              <w:divBdr>
                <w:top w:val="none" w:sz="0" w:space="0" w:color="auto"/>
                <w:left w:val="none" w:sz="0" w:space="0" w:color="auto"/>
                <w:bottom w:val="none" w:sz="0" w:space="0" w:color="auto"/>
                <w:right w:val="none" w:sz="0" w:space="0" w:color="auto"/>
              </w:divBdr>
            </w:div>
            <w:div w:id="922106652">
              <w:marLeft w:val="0"/>
              <w:marRight w:val="0"/>
              <w:marTop w:val="0"/>
              <w:marBottom w:val="0"/>
              <w:divBdr>
                <w:top w:val="none" w:sz="0" w:space="0" w:color="auto"/>
                <w:left w:val="none" w:sz="0" w:space="0" w:color="auto"/>
                <w:bottom w:val="none" w:sz="0" w:space="0" w:color="auto"/>
                <w:right w:val="none" w:sz="0" w:space="0" w:color="auto"/>
              </w:divBdr>
            </w:div>
            <w:div w:id="1553613040">
              <w:marLeft w:val="0"/>
              <w:marRight w:val="0"/>
              <w:marTop w:val="0"/>
              <w:marBottom w:val="0"/>
              <w:divBdr>
                <w:top w:val="none" w:sz="0" w:space="0" w:color="auto"/>
                <w:left w:val="none" w:sz="0" w:space="0" w:color="auto"/>
                <w:bottom w:val="none" w:sz="0" w:space="0" w:color="auto"/>
                <w:right w:val="none" w:sz="0" w:space="0" w:color="auto"/>
              </w:divBdr>
            </w:div>
            <w:div w:id="1555962923">
              <w:marLeft w:val="0"/>
              <w:marRight w:val="0"/>
              <w:marTop w:val="0"/>
              <w:marBottom w:val="0"/>
              <w:divBdr>
                <w:top w:val="none" w:sz="0" w:space="0" w:color="auto"/>
                <w:left w:val="none" w:sz="0" w:space="0" w:color="auto"/>
                <w:bottom w:val="none" w:sz="0" w:space="0" w:color="auto"/>
                <w:right w:val="none" w:sz="0" w:space="0" w:color="auto"/>
              </w:divBdr>
            </w:div>
            <w:div w:id="1605923715">
              <w:marLeft w:val="0"/>
              <w:marRight w:val="0"/>
              <w:marTop w:val="0"/>
              <w:marBottom w:val="0"/>
              <w:divBdr>
                <w:top w:val="none" w:sz="0" w:space="0" w:color="auto"/>
                <w:left w:val="none" w:sz="0" w:space="0" w:color="auto"/>
                <w:bottom w:val="none" w:sz="0" w:space="0" w:color="auto"/>
                <w:right w:val="none" w:sz="0" w:space="0" w:color="auto"/>
              </w:divBdr>
            </w:div>
            <w:div w:id="1659840410">
              <w:marLeft w:val="0"/>
              <w:marRight w:val="0"/>
              <w:marTop w:val="0"/>
              <w:marBottom w:val="0"/>
              <w:divBdr>
                <w:top w:val="none" w:sz="0" w:space="0" w:color="auto"/>
                <w:left w:val="none" w:sz="0" w:space="0" w:color="auto"/>
                <w:bottom w:val="none" w:sz="0" w:space="0" w:color="auto"/>
                <w:right w:val="none" w:sz="0" w:space="0" w:color="auto"/>
              </w:divBdr>
            </w:div>
            <w:div w:id="1686131300">
              <w:marLeft w:val="0"/>
              <w:marRight w:val="0"/>
              <w:marTop w:val="0"/>
              <w:marBottom w:val="0"/>
              <w:divBdr>
                <w:top w:val="none" w:sz="0" w:space="0" w:color="auto"/>
                <w:left w:val="none" w:sz="0" w:space="0" w:color="auto"/>
                <w:bottom w:val="none" w:sz="0" w:space="0" w:color="auto"/>
                <w:right w:val="none" w:sz="0" w:space="0" w:color="auto"/>
              </w:divBdr>
            </w:div>
            <w:div w:id="1731809602">
              <w:marLeft w:val="0"/>
              <w:marRight w:val="0"/>
              <w:marTop w:val="0"/>
              <w:marBottom w:val="0"/>
              <w:divBdr>
                <w:top w:val="none" w:sz="0" w:space="0" w:color="auto"/>
                <w:left w:val="none" w:sz="0" w:space="0" w:color="auto"/>
                <w:bottom w:val="none" w:sz="0" w:space="0" w:color="auto"/>
                <w:right w:val="none" w:sz="0" w:space="0" w:color="auto"/>
              </w:divBdr>
            </w:div>
            <w:div w:id="1806269385">
              <w:marLeft w:val="0"/>
              <w:marRight w:val="0"/>
              <w:marTop w:val="0"/>
              <w:marBottom w:val="0"/>
              <w:divBdr>
                <w:top w:val="none" w:sz="0" w:space="0" w:color="auto"/>
                <w:left w:val="none" w:sz="0" w:space="0" w:color="auto"/>
                <w:bottom w:val="none" w:sz="0" w:space="0" w:color="auto"/>
                <w:right w:val="none" w:sz="0" w:space="0" w:color="auto"/>
              </w:divBdr>
            </w:div>
            <w:div w:id="1839999975">
              <w:marLeft w:val="0"/>
              <w:marRight w:val="0"/>
              <w:marTop w:val="0"/>
              <w:marBottom w:val="0"/>
              <w:divBdr>
                <w:top w:val="none" w:sz="0" w:space="0" w:color="auto"/>
                <w:left w:val="none" w:sz="0" w:space="0" w:color="auto"/>
                <w:bottom w:val="none" w:sz="0" w:space="0" w:color="auto"/>
                <w:right w:val="none" w:sz="0" w:space="0" w:color="auto"/>
              </w:divBdr>
            </w:div>
            <w:div w:id="1849441210">
              <w:marLeft w:val="0"/>
              <w:marRight w:val="0"/>
              <w:marTop w:val="0"/>
              <w:marBottom w:val="0"/>
              <w:divBdr>
                <w:top w:val="none" w:sz="0" w:space="0" w:color="auto"/>
                <w:left w:val="none" w:sz="0" w:space="0" w:color="auto"/>
                <w:bottom w:val="none" w:sz="0" w:space="0" w:color="auto"/>
                <w:right w:val="none" w:sz="0" w:space="0" w:color="auto"/>
              </w:divBdr>
            </w:div>
            <w:div w:id="2107648938">
              <w:marLeft w:val="0"/>
              <w:marRight w:val="0"/>
              <w:marTop w:val="0"/>
              <w:marBottom w:val="0"/>
              <w:divBdr>
                <w:top w:val="none" w:sz="0" w:space="0" w:color="auto"/>
                <w:left w:val="none" w:sz="0" w:space="0" w:color="auto"/>
                <w:bottom w:val="none" w:sz="0" w:space="0" w:color="auto"/>
                <w:right w:val="none" w:sz="0" w:space="0" w:color="auto"/>
              </w:divBdr>
            </w:div>
            <w:div w:id="2118022198">
              <w:marLeft w:val="0"/>
              <w:marRight w:val="0"/>
              <w:marTop w:val="0"/>
              <w:marBottom w:val="0"/>
              <w:divBdr>
                <w:top w:val="none" w:sz="0" w:space="0" w:color="auto"/>
                <w:left w:val="none" w:sz="0" w:space="0" w:color="auto"/>
                <w:bottom w:val="none" w:sz="0" w:space="0" w:color="auto"/>
                <w:right w:val="none" w:sz="0" w:space="0" w:color="auto"/>
              </w:divBdr>
            </w:div>
          </w:divsChild>
        </w:div>
        <w:div w:id="867259152">
          <w:marLeft w:val="0"/>
          <w:marRight w:val="0"/>
          <w:marTop w:val="0"/>
          <w:marBottom w:val="0"/>
          <w:divBdr>
            <w:top w:val="none" w:sz="0" w:space="0" w:color="auto"/>
            <w:left w:val="none" w:sz="0" w:space="0" w:color="auto"/>
            <w:bottom w:val="none" w:sz="0" w:space="0" w:color="auto"/>
            <w:right w:val="none" w:sz="0" w:space="0" w:color="auto"/>
          </w:divBdr>
        </w:div>
        <w:div w:id="867304295">
          <w:marLeft w:val="0"/>
          <w:marRight w:val="0"/>
          <w:marTop w:val="0"/>
          <w:marBottom w:val="0"/>
          <w:divBdr>
            <w:top w:val="none" w:sz="0" w:space="0" w:color="auto"/>
            <w:left w:val="none" w:sz="0" w:space="0" w:color="auto"/>
            <w:bottom w:val="none" w:sz="0" w:space="0" w:color="auto"/>
            <w:right w:val="none" w:sz="0" w:space="0" w:color="auto"/>
          </w:divBdr>
        </w:div>
        <w:div w:id="869339799">
          <w:marLeft w:val="0"/>
          <w:marRight w:val="0"/>
          <w:marTop w:val="0"/>
          <w:marBottom w:val="0"/>
          <w:divBdr>
            <w:top w:val="none" w:sz="0" w:space="0" w:color="auto"/>
            <w:left w:val="none" w:sz="0" w:space="0" w:color="auto"/>
            <w:bottom w:val="none" w:sz="0" w:space="0" w:color="auto"/>
            <w:right w:val="none" w:sz="0" w:space="0" w:color="auto"/>
          </w:divBdr>
          <w:divsChild>
            <w:div w:id="11732440">
              <w:marLeft w:val="0"/>
              <w:marRight w:val="0"/>
              <w:marTop w:val="0"/>
              <w:marBottom w:val="0"/>
              <w:divBdr>
                <w:top w:val="none" w:sz="0" w:space="0" w:color="auto"/>
                <w:left w:val="none" w:sz="0" w:space="0" w:color="auto"/>
                <w:bottom w:val="none" w:sz="0" w:space="0" w:color="auto"/>
                <w:right w:val="none" w:sz="0" w:space="0" w:color="auto"/>
              </w:divBdr>
            </w:div>
            <w:div w:id="70583386">
              <w:marLeft w:val="0"/>
              <w:marRight w:val="0"/>
              <w:marTop w:val="0"/>
              <w:marBottom w:val="0"/>
              <w:divBdr>
                <w:top w:val="none" w:sz="0" w:space="0" w:color="auto"/>
                <w:left w:val="none" w:sz="0" w:space="0" w:color="auto"/>
                <w:bottom w:val="none" w:sz="0" w:space="0" w:color="auto"/>
                <w:right w:val="none" w:sz="0" w:space="0" w:color="auto"/>
              </w:divBdr>
            </w:div>
            <w:div w:id="75833416">
              <w:marLeft w:val="0"/>
              <w:marRight w:val="0"/>
              <w:marTop w:val="0"/>
              <w:marBottom w:val="0"/>
              <w:divBdr>
                <w:top w:val="none" w:sz="0" w:space="0" w:color="auto"/>
                <w:left w:val="none" w:sz="0" w:space="0" w:color="auto"/>
                <w:bottom w:val="none" w:sz="0" w:space="0" w:color="auto"/>
                <w:right w:val="none" w:sz="0" w:space="0" w:color="auto"/>
              </w:divBdr>
            </w:div>
            <w:div w:id="376662769">
              <w:marLeft w:val="0"/>
              <w:marRight w:val="0"/>
              <w:marTop w:val="0"/>
              <w:marBottom w:val="0"/>
              <w:divBdr>
                <w:top w:val="none" w:sz="0" w:space="0" w:color="auto"/>
                <w:left w:val="none" w:sz="0" w:space="0" w:color="auto"/>
                <w:bottom w:val="none" w:sz="0" w:space="0" w:color="auto"/>
                <w:right w:val="none" w:sz="0" w:space="0" w:color="auto"/>
              </w:divBdr>
            </w:div>
            <w:div w:id="402802754">
              <w:marLeft w:val="0"/>
              <w:marRight w:val="0"/>
              <w:marTop w:val="0"/>
              <w:marBottom w:val="0"/>
              <w:divBdr>
                <w:top w:val="none" w:sz="0" w:space="0" w:color="auto"/>
                <w:left w:val="none" w:sz="0" w:space="0" w:color="auto"/>
                <w:bottom w:val="none" w:sz="0" w:space="0" w:color="auto"/>
                <w:right w:val="none" w:sz="0" w:space="0" w:color="auto"/>
              </w:divBdr>
            </w:div>
            <w:div w:id="445853423">
              <w:marLeft w:val="0"/>
              <w:marRight w:val="0"/>
              <w:marTop w:val="0"/>
              <w:marBottom w:val="0"/>
              <w:divBdr>
                <w:top w:val="none" w:sz="0" w:space="0" w:color="auto"/>
                <w:left w:val="none" w:sz="0" w:space="0" w:color="auto"/>
                <w:bottom w:val="none" w:sz="0" w:space="0" w:color="auto"/>
                <w:right w:val="none" w:sz="0" w:space="0" w:color="auto"/>
              </w:divBdr>
            </w:div>
            <w:div w:id="535387094">
              <w:marLeft w:val="0"/>
              <w:marRight w:val="0"/>
              <w:marTop w:val="0"/>
              <w:marBottom w:val="0"/>
              <w:divBdr>
                <w:top w:val="none" w:sz="0" w:space="0" w:color="auto"/>
                <w:left w:val="none" w:sz="0" w:space="0" w:color="auto"/>
                <w:bottom w:val="none" w:sz="0" w:space="0" w:color="auto"/>
                <w:right w:val="none" w:sz="0" w:space="0" w:color="auto"/>
              </w:divBdr>
            </w:div>
            <w:div w:id="647243387">
              <w:marLeft w:val="0"/>
              <w:marRight w:val="0"/>
              <w:marTop w:val="0"/>
              <w:marBottom w:val="0"/>
              <w:divBdr>
                <w:top w:val="none" w:sz="0" w:space="0" w:color="auto"/>
                <w:left w:val="none" w:sz="0" w:space="0" w:color="auto"/>
                <w:bottom w:val="none" w:sz="0" w:space="0" w:color="auto"/>
                <w:right w:val="none" w:sz="0" w:space="0" w:color="auto"/>
              </w:divBdr>
            </w:div>
            <w:div w:id="676925470">
              <w:marLeft w:val="0"/>
              <w:marRight w:val="0"/>
              <w:marTop w:val="0"/>
              <w:marBottom w:val="0"/>
              <w:divBdr>
                <w:top w:val="none" w:sz="0" w:space="0" w:color="auto"/>
                <w:left w:val="none" w:sz="0" w:space="0" w:color="auto"/>
                <w:bottom w:val="none" w:sz="0" w:space="0" w:color="auto"/>
                <w:right w:val="none" w:sz="0" w:space="0" w:color="auto"/>
              </w:divBdr>
            </w:div>
            <w:div w:id="678773017">
              <w:marLeft w:val="0"/>
              <w:marRight w:val="0"/>
              <w:marTop w:val="0"/>
              <w:marBottom w:val="0"/>
              <w:divBdr>
                <w:top w:val="none" w:sz="0" w:space="0" w:color="auto"/>
                <w:left w:val="none" w:sz="0" w:space="0" w:color="auto"/>
                <w:bottom w:val="none" w:sz="0" w:space="0" w:color="auto"/>
                <w:right w:val="none" w:sz="0" w:space="0" w:color="auto"/>
              </w:divBdr>
            </w:div>
            <w:div w:id="934556498">
              <w:marLeft w:val="0"/>
              <w:marRight w:val="0"/>
              <w:marTop w:val="0"/>
              <w:marBottom w:val="0"/>
              <w:divBdr>
                <w:top w:val="none" w:sz="0" w:space="0" w:color="auto"/>
                <w:left w:val="none" w:sz="0" w:space="0" w:color="auto"/>
                <w:bottom w:val="none" w:sz="0" w:space="0" w:color="auto"/>
                <w:right w:val="none" w:sz="0" w:space="0" w:color="auto"/>
              </w:divBdr>
            </w:div>
            <w:div w:id="1068260683">
              <w:marLeft w:val="0"/>
              <w:marRight w:val="0"/>
              <w:marTop w:val="0"/>
              <w:marBottom w:val="0"/>
              <w:divBdr>
                <w:top w:val="none" w:sz="0" w:space="0" w:color="auto"/>
                <w:left w:val="none" w:sz="0" w:space="0" w:color="auto"/>
                <w:bottom w:val="none" w:sz="0" w:space="0" w:color="auto"/>
                <w:right w:val="none" w:sz="0" w:space="0" w:color="auto"/>
              </w:divBdr>
            </w:div>
            <w:div w:id="1342900392">
              <w:marLeft w:val="0"/>
              <w:marRight w:val="0"/>
              <w:marTop w:val="0"/>
              <w:marBottom w:val="0"/>
              <w:divBdr>
                <w:top w:val="none" w:sz="0" w:space="0" w:color="auto"/>
                <w:left w:val="none" w:sz="0" w:space="0" w:color="auto"/>
                <w:bottom w:val="none" w:sz="0" w:space="0" w:color="auto"/>
                <w:right w:val="none" w:sz="0" w:space="0" w:color="auto"/>
              </w:divBdr>
            </w:div>
            <w:div w:id="1457067546">
              <w:marLeft w:val="0"/>
              <w:marRight w:val="0"/>
              <w:marTop w:val="0"/>
              <w:marBottom w:val="0"/>
              <w:divBdr>
                <w:top w:val="none" w:sz="0" w:space="0" w:color="auto"/>
                <w:left w:val="none" w:sz="0" w:space="0" w:color="auto"/>
                <w:bottom w:val="none" w:sz="0" w:space="0" w:color="auto"/>
                <w:right w:val="none" w:sz="0" w:space="0" w:color="auto"/>
              </w:divBdr>
            </w:div>
            <w:div w:id="1556358979">
              <w:marLeft w:val="0"/>
              <w:marRight w:val="0"/>
              <w:marTop w:val="0"/>
              <w:marBottom w:val="0"/>
              <w:divBdr>
                <w:top w:val="none" w:sz="0" w:space="0" w:color="auto"/>
                <w:left w:val="none" w:sz="0" w:space="0" w:color="auto"/>
                <w:bottom w:val="none" w:sz="0" w:space="0" w:color="auto"/>
                <w:right w:val="none" w:sz="0" w:space="0" w:color="auto"/>
              </w:divBdr>
            </w:div>
            <w:div w:id="1619027376">
              <w:marLeft w:val="0"/>
              <w:marRight w:val="0"/>
              <w:marTop w:val="0"/>
              <w:marBottom w:val="0"/>
              <w:divBdr>
                <w:top w:val="none" w:sz="0" w:space="0" w:color="auto"/>
                <w:left w:val="none" w:sz="0" w:space="0" w:color="auto"/>
                <w:bottom w:val="none" w:sz="0" w:space="0" w:color="auto"/>
                <w:right w:val="none" w:sz="0" w:space="0" w:color="auto"/>
              </w:divBdr>
            </w:div>
            <w:div w:id="1656370756">
              <w:marLeft w:val="0"/>
              <w:marRight w:val="0"/>
              <w:marTop w:val="0"/>
              <w:marBottom w:val="0"/>
              <w:divBdr>
                <w:top w:val="none" w:sz="0" w:space="0" w:color="auto"/>
                <w:left w:val="none" w:sz="0" w:space="0" w:color="auto"/>
                <w:bottom w:val="none" w:sz="0" w:space="0" w:color="auto"/>
                <w:right w:val="none" w:sz="0" w:space="0" w:color="auto"/>
              </w:divBdr>
            </w:div>
            <w:div w:id="1705977763">
              <w:marLeft w:val="0"/>
              <w:marRight w:val="0"/>
              <w:marTop w:val="0"/>
              <w:marBottom w:val="0"/>
              <w:divBdr>
                <w:top w:val="none" w:sz="0" w:space="0" w:color="auto"/>
                <w:left w:val="none" w:sz="0" w:space="0" w:color="auto"/>
                <w:bottom w:val="none" w:sz="0" w:space="0" w:color="auto"/>
                <w:right w:val="none" w:sz="0" w:space="0" w:color="auto"/>
              </w:divBdr>
            </w:div>
            <w:div w:id="1941405141">
              <w:marLeft w:val="0"/>
              <w:marRight w:val="0"/>
              <w:marTop w:val="0"/>
              <w:marBottom w:val="0"/>
              <w:divBdr>
                <w:top w:val="none" w:sz="0" w:space="0" w:color="auto"/>
                <w:left w:val="none" w:sz="0" w:space="0" w:color="auto"/>
                <w:bottom w:val="none" w:sz="0" w:space="0" w:color="auto"/>
                <w:right w:val="none" w:sz="0" w:space="0" w:color="auto"/>
              </w:divBdr>
            </w:div>
            <w:div w:id="2024239026">
              <w:marLeft w:val="0"/>
              <w:marRight w:val="0"/>
              <w:marTop w:val="0"/>
              <w:marBottom w:val="0"/>
              <w:divBdr>
                <w:top w:val="none" w:sz="0" w:space="0" w:color="auto"/>
                <w:left w:val="none" w:sz="0" w:space="0" w:color="auto"/>
                <w:bottom w:val="none" w:sz="0" w:space="0" w:color="auto"/>
                <w:right w:val="none" w:sz="0" w:space="0" w:color="auto"/>
              </w:divBdr>
            </w:div>
          </w:divsChild>
        </w:div>
        <w:div w:id="893934236">
          <w:marLeft w:val="0"/>
          <w:marRight w:val="0"/>
          <w:marTop w:val="0"/>
          <w:marBottom w:val="0"/>
          <w:divBdr>
            <w:top w:val="none" w:sz="0" w:space="0" w:color="auto"/>
            <w:left w:val="none" w:sz="0" w:space="0" w:color="auto"/>
            <w:bottom w:val="none" w:sz="0" w:space="0" w:color="auto"/>
            <w:right w:val="none" w:sz="0" w:space="0" w:color="auto"/>
          </w:divBdr>
        </w:div>
        <w:div w:id="897518799">
          <w:marLeft w:val="0"/>
          <w:marRight w:val="0"/>
          <w:marTop w:val="0"/>
          <w:marBottom w:val="0"/>
          <w:divBdr>
            <w:top w:val="none" w:sz="0" w:space="0" w:color="auto"/>
            <w:left w:val="none" w:sz="0" w:space="0" w:color="auto"/>
            <w:bottom w:val="none" w:sz="0" w:space="0" w:color="auto"/>
            <w:right w:val="none" w:sz="0" w:space="0" w:color="auto"/>
          </w:divBdr>
        </w:div>
        <w:div w:id="907348026">
          <w:marLeft w:val="0"/>
          <w:marRight w:val="0"/>
          <w:marTop w:val="0"/>
          <w:marBottom w:val="0"/>
          <w:divBdr>
            <w:top w:val="none" w:sz="0" w:space="0" w:color="auto"/>
            <w:left w:val="none" w:sz="0" w:space="0" w:color="auto"/>
            <w:bottom w:val="none" w:sz="0" w:space="0" w:color="auto"/>
            <w:right w:val="none" w:sz="0" w:space="0" w:color="auto"/>
          </w:divBdr>
        </w:div>
        <w:div w:id="912394768">
          <w:marLeft w:val="0"/>
          <w:marRight w:val="0"/>
          <w:marTop w:val="0"/>
          <w:marBottom w:val="0"/>
          <w:divBdr>
            <w:top w:val="none" w:sz="0" w:space="0" w:color="auto"/>
            <w:left w:val="none" w:sz="0" w:space="0" w:color="auto"/>
            <w:bottom w:val="none" w:sz="0" w:space="0" w:color="auto"/>
            <w:right w:val="none" w:sz="0" w:space="0" w:color="auto"/>
          </w:divBdr>
        </w:div>
        <w:div w:id="913852648">
          <w:marLeft w:val="0"/>
          <w:marRight w:val="0"/>
          <w:marTop w:val="0"/>
          <w:marBottom w:val="0"/>
          <w:divBdr>
            <w:top w:val="none" w:sz="0" w:space="0" w:color="auto"/>
            <w:left w:val="none" w:sz="0" w:space="0" w:color="auto"/>
            <w:bottom w:val="none" w:sz="0" w:space="0" w:color="auto"/>
            <w:right w:val="none" w:sz="0" w:space="0" w:color="auto"/>
          </w:divBdr>
        </w:div>
        <w:div w:id="947851067">
          <w:marLeft w:val="0"/>
          <w:marRight w:val="0"/>
          <w:marTop w:val="0"/>
          <w:marBottom w:val="0"/>
          <w:divBdr>
            <w:top w:val="none" w:sz="0" w:space="0" w:color="auto"/>
            <w:left w:val="none" w:sz="0" w:space="0" w:color="auto"/>
            <w:bottom w:val="none" w:sz="0" w:space="0" w:color="auto"/>
            <w:right w:val="none" w:sz="0" w:space="0" w:color="auto"/>
          </w:divBdr>
          <w:divsChild>
            <w:div w:id="48461844">
              <w:marLeft w:val="0"/>
              <w:marRight w:val="0"/>
              <w:marTop w:val="0"/>
              <w:marBottom w:val="0"/>
              <w:divBdr>
                <w:top w:val="none" w:sz="0" w:space="0" w:color="auto"/>
                <w:left w:val="none" w:sz="0" w:space="0" w:color="auto"/>
                <w:bottom w:val="none" w:sz="0" w:space="0" w:color="auto"/>
                <w:right w:val="none" w:sz="0" w:space="0" w:color="auto"/>
              </w:divBdr>
            </w:div>
            <w:div w:id="279069912">
              <w:marLeft w:val="0"/>
              <w:marRight w:val="0"/>
              <w:marTop w:val="0"/>
              <w:marBottom w:val="0"/>
              <w:divBdr>
                <w:top w:val="none" w:sz="0" w:space="0" w:color="auto"/>
                <w:left w:val="none" w:sz="0" w:space="0" w:color="auto"/>
                <w:bottom w:val="none" w:sz="0" w:space="0" w:color="auto"/>
                <w:right w:val="none" w:sz="0" w:space="0" w:color="auto"/>
              </w:divBdr>
            </w:div>
            <w:div w:id="283276238">
              <w:marLeft w:val="0"/>
              <w:marRight w:val="0"/>
              <w:marTop w:val="0"/>
              <w:marBottom w:val="0"/>
              <w:divBdr>
                <w:top w:val="none" w:sz="0" w:space="0" w:color="auto"/>
                <w:left w:val="none" w:sz="0" w:space="0" w:color="auto"/>
                <w:bottom w:val="none" w:sz="0" w:space="0" w:color="auto"/>
                <w:right w:val="none" w:sz="0" w:space="0" w:color="auto"/>
              </w:divBdr>
            </w:div>
            <w:div w:id="303506706">
              <w:marLeft w:val="0"/>
              <w:marRight w:val="0"/>
              <w:marTop w:val="0"/>
              <w:marBottom w:val="0"/>
              <w:divBdr>
                <w:top w:val="none" w:sz="0" w:space="0" w:color="auto"/>
                <w:left w:val="none" w:sz="0" w:space="0" w:color="auto"/>
                <w:bottom w:val="none" w:sz="0" w:space="0" w:color="auto"/>
                <w:right w:val="none" w:sz="0" w:space="0" w:color="auto"/>
              </w:divBdr>
            </w:div>
            <w:div w:id="330527667">
              <w:marLeft w:val="0"/>
              <w:marRight w:val="0"/>
              <w:marTop w:val="0"/>
              <w:marBottom w:val="0"/>
              <w:divBdr>
                <w:top w:val="none" w:sz="0" w:space="0" w:color="auto"/>
                <w:left w:val="none" w:sz="0" w:space="0" w:color="auto"/>
                <w:bottom w:val="none" w:sz="0" w:space="0" w:color="auto"/>
                <w:right w:val="none" w:sz="0" w:space="0" w:color="auto"/>
              </w:divBdr>
            </w:div>
            <w:div w:id="472062851">
              <w:marLeft w:val="0"/>
              <w:marRight w:val="0"/>
              <w:marTop w:val="0"/>
              <w:marBottom w:val="0"/>
              <w:divBdr>
                <w:top w:val="none" w:sz="0" w:space="0" w:color="auto"/>
                <w:left w:val="none" w:sz="0" w:space="0" w:color="auto"/>
                <w:bottom w:val="none" w:sz="0" w:space="0" w:color="auto"/>
                <w:right w:val="none" w:sz="0" w:space="0" w:color="auto"/>
              </w:divBdr>
            </w:div>
            <w:div w:id="559250138">
              <w:marLeft w:val="0"/>
              <w:marRight w:val="0"/>
              <w:marTop w:val="0"/>
              <w:marBottom w:val="0"/>
              <w:divBdr>
                <w:top w:val="none" w:sz="0" w:space="0" w:color="auto"/>
                <w:left w:val="none" w:sz="0" w:space="0" w:color="auto"/>
                <w:bottom w:val="none" w:sz="0" w:space="0" w:color="auto"/>
                <w:right w:val="none" w:sz="0" w:space="0" w:color="auto"/>
              </w:divBdr>
            </w:div>
            <w:div w:id="713623231">
              <w:marLeft w:val="0"/>
              <w:marRight w:val="0"/>
              <w:marTop w:val="0"/>
              <w:marBottom w:val="0"/>
              <w:divBdr>
                <w:top w:val="none" w:sz="0" w:space="0" w:color="auto"/>
                <w:left w:val="none" w:sz="0" w:space="0" w:color="auto"/>
                <w:bottom w:val="none" w:sz="0" w:space="0" w:color="auto"/>
                <w:right w:val="none" w:sz="0" w:space="0" w:color="auto"/>
              </w:divBdr>
            </w:div>
            <w:div w:id="881941638">
              <w:marLeft w:val="0"/>
              <w:marRight w:val="0"/>
              <w:marTop w:val="0"/>
              <w:marBottom w:val="0"/>
              <w:divBdr>
                <w:top w:val="none" w:sz="0" w:space="0" w:color="auto"/>
                <w:left w:val="none" w:sz="0" w:space="0" w:color="auto"/>
                <w:bottom w:val="none" w:sz="0" w:space="0" w:color="auto"/>
                <w:right w:val="none" w:sz="0" w:space="0" w:color="auto"/>
              </w:divBdr>
            </w:div>
            <w:div w:id="1164784020">
              <w:marLeft w:val="0"/>
              <w:marRight w:val="0"/>
              <w:marTop w:val="0"/>
              <w:marBottom w:val="0"/>
              <w:divBdr>
                <w:top w:val="none" w:sz="0" w:space="0" w:color="auto"/>
                <w:left w:val="none" w:sz="0" w:space="0" w:color="auto"/>
                <w:bottom w:val="none" w:sz="0" w:space="0" w:color="auto"/>
                <w:right w:val="none" w:sz="0" w:space="0" w:color="auto"/>
              </w:divBdr>
            </w:div>
            <w:div w:id="1188103254">
              <w:marLeft w:val="0"/>
              <w:marRight w:val="0"/>
              <w:marTop w:val="0"/>
              <w:marBottom w:val="0"/>
              <w:divBdr>
                <w:top w:val="none" w:sz="0" w:space="0" w:color="auto"/>
                <w:left w:val="none" w:sz="0" w:space="0" w:color="auto"/>
                <w:bottom w:val="none" w:sz="0" w:space="0" w:color="auto"/>
                <w:right w:val="none" w:sz="0" w:space="0" w:color="auto"/>
              </w:divBdr>
            </w:div>
            <w:div w:id="1393506460">
              <w:marLeft w:val="0"/>
              <w:marRight w:val="0"/>
              <w:marTop w:val="0"/>
              <w:marBottom w:val="0"/>
              <w:divBdr>
                <w:top w:val="none" w:sz="0" w:space="0" w:color="auto"/>
                <w:left w:val="none" w:sz="0" w:space="0" w:color="auto"/>
                <w:bottom w:val="none" w:sz="0" w:space="0" w:color="auto"/>
                <w:right w:val="none" w:sz="0" w:space="0" w:color="auto"/>
              </w:divBdr>
            </w:div>
            <w:div w:id="1400981515">
              <w:marLeft w:val="0"/>
              <w:marRight w:val="0"/>
              <w:marTop w:val="0"/>
              <w:marBottom w:val="0"/>
              <w:divBdr>
                <w:top w:val="none" w:sz="0" w:space="0" w:color="auto"/>
                <w:left w:val="none" w:sz="0" w:space="0" w:color="auto"/>
                <w:bottom w:val="none" w:sz="0" w:space="0" w:color="auto"/>
                <w:right w:val="none" w:sz="0" w:space="0" w:color="auto"/>
              </w:divBdr>
            </w:div>
            <w:div w:id="1502618202">
              <w:marLeft w:val="0"/>
              <w:marRight w:val="0"/>
              <w:marTop w:val="0"/>
              <w:marBottom w:val="0"/>
              <w:divBdr>
                <w:top w:val="none" w:sz="0" w:space="0" w:color="auto"/>
                <w:left w:val="none" w:sz="0" w:space="0" w:color="auto"/>
                <w:bottom w:val="none" w:sz="0" w:space="0" w:color="auto"/>
                <w:right w:val="none" w:sz="0" w:space="0" w:color="auto"/>
              </w:divBdr>
            </w:div>
            <w:div w:id="1511869308">
              <w:marLeft w:val="0"/>
              <w:marRight w:val="0"/>
              <w:marTop w:val="0"/>
              <w:marBottom w:val="0"/>
              <w:divBdr>
                <w:top w:val="none" w:sz="0" w:space="0" w:color="auto"/>
                <w:left w:val="none" w:sz="0" w:space="0" w:color="auto"/>
                <w:bottom w:val="none" w:sz="0" w:space="0" w:color="auto"/>
                <w:right w:val="none" w:sz="0" w:space="0" w:color="auto"/>
              </w:divBdr>
            </w:div>
            <w:div w:id="1558511911">
              <w:marLeft w:val="0"/>
              <w:marRight w:val="0"/>
              <w:marTop w:val="0"/>
              <w:marBottom w:val="0"/>
              <w:divBdr>
                <w:top w:val="none" w:sz="0" w:space="0" w:color="auto"/>
                <w:left w:val="none" w:sz="0" w:space="0" w:color="auto"/>
                <w:bottom w:val="none" w:sz="0" w:space="0" w:color="auto"/>
                <w:right w:val="none" w:sz="0" w:space="0" w:color="auto"/>
              </w:divBdr>
            </w:div>
            <w:div w:id="1707871033">
              <w:marLeft w:val="0"/>
              <w:marRight w:val="0"/>
              <w:marTop w:val="0"/>
              <w:marBottom w:val="0"/>
              <w:divBdr>
                <w:top w:val="none" w:sz="0" w:space="0" w:color="auto"/>
                <w:left w:val="none" w:sz="0" w:space="0" w:color="auto"/>
                <w:bottom w:val="none" w:sz="0" w:space="0" w:color="auto"/>
                <w:right w:val="none" w:sz="0" w:space="0" w:color="auto"/>
              </w:divBdr>
            </w:div>
            <w:div w:id="1718964354">
              <w:marLeft w:val="0"/>
              <w:marRight w:val="0"/>
              <w:marTop w:val="0"/>
              <w:marBottom w:val="0"/>
              <w:divBdr>
                <w:top w:val="none" w:sz="0" w:space="0" w:color="auto"/>
                <w:left w:val="none" w:sz="0" w:space="0" w:color="auto"/>
                <w:bottom w:val="none" w:sz="0" w:space="0" w:color="auto"/>
                <w:right w:val="none" w:sz="0" w:space="0" w:color="auto"/>
              </w:divBdr>
            </w:div>
            <w:div w:id="1930263117">
              <w:marLeft w:val="0"/>
              <w:marRight w:val="0"/>
              <w:marTop w:val="0"/>
              <w:marBottom w:val="0"/>
              <w:divBdr>
                <w:top w:val="none" w:sz="0" w:space="0" w:color="auto"/>
                <w:left w:val="none" w:sz="0" w:space="0" w:color="auto"/>
                <w:bottom w:val="none" w:sz="0" w:space="0" w:color="auto"/>
                <w:right w:val="none" w:sz="0" w:space="0" w:color="auto"/>
              </w:divBdr>
            </w:div>
            <w:div w:id="2123256701">
              <w:marLeft w:val="0"/>
              <w:marRight w:val="0"/>
              <w:marTop w:val="0"/>
              <w:marBottom w:val="0"/>
              <w:divBdr>
                <w:top w:val="none" w:sz="0" w:space="0" w:color="auto"/>
                <w:left w:val="none" w:sz="0" w:space="0" w:color="auto"/>
                <w:bottom w:val="none" w:sz="0" w:space="0" w:color="auto"/>
                <w:right w:val="none" w:sz="0" w:space="0" w:color="auto"/>
              </w:divBdr>
            </w:div>
          </w:divsChild>
        </w:div>
        <w:div w:id="967783394">
          <w:marLeft w:val="0"/>
          <w:marRight w:val="0"/>
          <w:marTop w:val="0"/>
          <w:marBottom w:val="0"/>
          <w:divBdr>
            <w:top w:val="none" w:sz="0" w:space="0" w:color="auto"/>
            <w:left w:val="none" w:sz="0" w:space="0" w:color="auto"/>
            <w:bottom w:val="none" w:sz="0" w:space="0" w:color="auto"/>
            <w:right w:val="none" w:sz="0" w:space="0" w:color="auto"/>
          </w:divBdr>
          <w:divsChild>
            <w:div w:id="55209220">
              <w:marLeft w:val="0"/>
              <w:marRight w:val="0"/>
              <w:marTop w:val="0"/>
              <w:marBottom w:val="0"/>
              <w:divBdr>
                <w:top w:val="none" w:sz="0" w:space="0" w:color="auto"/>
                <w:left w:val="none" w:sz="0" w:space="0" w:color="auto"/>
                <w:bottom w:val="none" w:sz="0" w:space="0" w:color="auto"/>
                <w:right w:val="none" w:sz="0" w:space="0" w:color="auto"/>
              </w:divBdr>
            </w:div>
            <w:div w:id="65761857">
              <w:marLeft w:val="0"/>
              <w:marRight w:val="0"/>
              <w:marTop w:val="0"/>
              <w:marBottom w:val="0"/>
              <w:divBdr>
                <w:top w:val="none" w:sz="0" w:space="0" w:color="auto"/>
                <w:left w:val="none" w:sz="0" w:space="0" w:color="auto"/>
                <w:bottom w:val="none" w:sz="0" w:space="0" w:color="auto"/>
                <w:right w:val="none" w:sz="0" w:space="0" w:color="auto"/>
              </w:divBdr>
            </w:div>
            <w:div w:id="240917121">
              <w:marLeft w:val="0"/>
              <w:marRight w:val="0"/>
              <w:marTop w:val="0"/>
              <w:marBottom w:val="0"/>
              <w:divBdr>
                <w:top w:val="none" w:sz="0" w:space="0" w:color="auto"/>
                <w:left w:val="none" w:sz="0" w:space="0" w:color="auto"/>
                <w:bottom w:val="none" w:sz="0" w:space="0" w:color="auto"/>
                <w:right w:val="none" w:sz="0" w:space="0" w:color="auto"/>
              </w:divBdr>
            </w:div>
            <w:div w:id="293297343">
              <w:marLeft w:val="0"/>
              <w:marRight w:val="0"/>
              <w:marTop w:val="0"/>
              <w:marBottom w:val="0"/>
              <w:divBdr>
                <w:top w:val="none" w:sz="0" w:space="0" w:color="auto"/>
                <w:left w:val="none" w:sz="0" w:space="0" w:color="auto"/>
                <w:bottom w:val="none" w:sz="0" w:space="0" w:color="auto"/>
                <w:right w:val="none" w:sz="0" w:space="0" w:color="auto"/>
              </w:divBdr>
            </w:div>
            <w:div w:id="328365987">
              <w:marLeft w:val="0"/>
              <w:marRight w:val="0"/>
              <w:marTop w:val="0"/>
              <w:marBottom w:val="0"/>
              <w:divBdr>
                <w:top w:val="none" w:sz="0" w:space="0" w:color="auto"/>
                <w:left w:val="none" w:sz="0" w:space="0" w:color="auto"/>
                <w:bottom w:val="none" w:sz="0" w:space="0" w:color="auto"/>
                <w:right w:val="none" w:sz="0" w:space="0" w:color="auto"/>
              </w:divBdr>
            </w:div>
            <w:div w:id="508566910">
              <w:marLeft w:val="0"/>
              <w:marRight w:val="0"/>
              <w:marTop w:val="0"/>
              <w:marBottom w:val="0"/>
              <w:divBdr>
                <w:top w:val="none" w:sz="0" w:space="0" w:color="auto"/>
                <w:left w:val="none" w:sz="0" w:space="0" w:color="auto"/>
                <w:bottom w:val="none" w:sz="0" w:space="0" w:color="auto"/>
                <w:right w:val="none" w:sz="0" w:space="0" w:color="auto"/>
              </w:divBdr>
            </w:div>
            <w:div w:id="619455609">
              <w:marLeft w:val="0"/>
              <w:marRight w:val="0"/>
              <w:marTop w:val="0"/>
              <w:marBottom w:val="0"/>
              <w:divBdr>
                <w:top w:val="none" w:sz="0" w:space="0" w:color="auto"/>
                <w:left w:val="none" w:sz="0" w:space="0" w:color="auto"/>
                <w:bottom w:val="none" w:sz="0" w:space="0" w:color="auto"/>
                <w:right w:val="none" w:sz="0" w:space="0" w:color="auto"/>
              </w:divBdr>
            </w:div>
            <w:div w:id="1051805494">
              <w:marLeft w:val="0"/>
              <w:marRight w:val="0"/>
              <w:marTop w:val="0"/>
              <w:marBottom w:val="0"/>
              <w:divBdr>
                <w:top w:val="none" w:sz="0" w:space="0" w:color="auto"/>
                <w:left w:val="none" w:sz="0" w:space="0" w:color="auto"/>
                <w:bottom w:val="none" w:sz="0" w:space="0" w:color="auto"/>
                <w:right w:val="none" w:sz="0" w:space="0" w:color="auto"/>
              </w:divBdr>
            </w:div>
            <w:div w:id="1231429910">
              <w:marLeft w:val="0"/>
              <w:marRight w:val="0"/>
              <w:marTop w:val="0"/>
              <w:marBottom w:val="0"/>
              <w:divBdr>
                <w:top w:val="none" w:sz="0" w:space="0" w:color="auto"/>
                <w:left w:val="none" w:sz="0" w:space="0" w:color="auto"/>
                <w:bottom w:val="none" w:sz="0" w:space="0" w:color="auto"/>
                <w:right w:val="none" w:sz="0" w:space="0" w:color="auto"/>
              </w:divBdr>
            </w:div>
            <w:div w:id="1541699258">
              <w:marLeft w:val="0"/>
              <w:marRight w:val="0"/>
              <w:marTop w:val="0"/>
              <w:marBottom w:val="0"/>
              <w:divBdr>
                <w:top w:val="none" w:sz="0" w:space="0" w:color="auto"/>
                <w:left w:val="none" w:sz="0" w:space="0" w:color="auto"/>
                <w:bottom w:val="none" w:sz="0" w:space="0" w:color="auto"/>
                <w:right w:val="none" w:sz="0" w:space="0" w:color="auto"/>
              </w:divBdr>
            </w:div>
            <w:div w:id="1560094602">
              <w:marLeft w:val="0"/>
              <w:marRight w:val="0"/>
              <w:marTop w:val="0"/>
              <w:marBottom w:val="0"/>
              <w:divBdr>
                <w:top w:val="none" w:sz="0" w:space="0" w:color="auto"/>
                <w:left w:val="none" w:sz="0" w:space="0" w:color="auto"/>
                <w:bottom w:val="none" w:sz="0" w:space="0" w:color="auto"/>
                <w:right w:val="none" w:sz="0" w:space="0" w:color="auto"/>
              </w:divBdr>
            </w:div>
            <w:div w:id="1671365729">
              <w:marLeft w:val="0"/>
              <w:marRight w:val="0"/>
              <w:marTop w:val="0"/>
              <w:marBottom w:val="0"/>
              <w:divBdr>
                <w:top w:val="none" w:sz="0" w:space="0" w:color="auto"/>
                <w:left w:val="none" w:sz="0" w:space="0" w:color="auto"/>
                <w:bottom w:val="none" w:sz="0" w:space="0" w:color="auto"/>
                <w:right w:val="none" w:sz="0" w:space="0" w:color="auto"/>
              </w:divBdr>
            </w:div>
            <w:div w:id="1789355470">
              <w:marLeft w:val="0"/>
              <w:marRight w:val="0"/>
              <w:marTop w:val="0"/>
              <w:marBottom w:val="0"/>
              <w:divBdr>
                <w:top w:val="none" w:sz="0" w:space="0" w:color="auto"/>
                <w:left w:val="none" w:sz="0" w:space="0" w:color="auto"/>
                <w:bottom w:val="none" w:sz="0" w:space="0" w:color="auto"/>
                <w:right w:val="none" w:sz="0" w:space="0" w:color="auto"/>
              </w:divBdr>
            </w:div>
            <w:div w:id="1825508203">
              <w:marLeft w:val="0"/>
              <w:marRight w:val="0"/>
              <w:marTop w:val="0"/>
              <w:marBottom w:val="0"/>
              <w:divBdr>
                <w:top w:val="none" w:sz="0" w:space="0" w:color="auto"/>
                <w:left w:val="none" w:sz="0" w:space="0" w:color="auto"/>
                <w:bottom w:val="none" w:sz="0" w:space="0" w:color="auto"/>
                <w:right w:val="none" w:sz="0" w:space="0" w:color="auto"/>
              </w:divBdr>
            </w:div>
            <w:div w:id="1839230317">
              <w:marLeft w:val="0"/>
              <w:marRight w:val="0"/>
              <w:marTop w:val="0"/>
              <w:marBottom w:val="0"/>
              <w:divBdr>
                <w:top w:val="none" w:sz="0" w:space="0" w:color="auto"/>
                <w:left w:val="none" w:sz="0" w:space="0" w:color="auto"/>
                <w:bottom w:val="none" w:sz="0" w:space="0" w:color="auto"/>
                <w:right w:val="none" w:sz="0" w:space="0" w:color="auto"/>
              </w:divBdr>
            </w:div>
            <w:div w:id="1856722669">
              <w:marLeft w:val="0"/>
              <w:marRight w:val="0"/>
              <w:marTop w:val="0"/>
              <w:marBottom w:val="0"/>
              <w:divBdr>
                <w:top w:val="none" w:sz="0" w:space="0" w:color="auto"/>
                <w:left w:val="none" w:sz="0" w:space="0" w:color="auto"/>
                <w:bottom w:val="none" w:sz="0" w:space="0" w:color="auto"/>
                <w:right w:val="none" w:sz="0" w:space="0" w:color="auto"/>
              </w:divBdr>
            </w:div>
            <w:div w:id="1877766926">
              <w:marLeft w:val="0"/>
              <w:marRight w:val="0"/>
              <w:marTop w:val="0"/>
              <w:marBottom w:val="0"/>
              <w:divBdr>
                <w:top w:val="none" w:sz="0" w:space="0" w:color="auto"/>
                <w:left w:val="none" w:sz="0" w:space="0" w:color="auto"/>
                <w:bottom w:val="none" w:sz="0" w:space="0" w:color="auto"/>
                <w:right w:val="none" w:sz="0" w:space="0" w:color="auto"/>
              </w:divBdr>
            </w:div>
            <w:div w:id="1957176588">
              <w:marLeft w:val="0"/>
              <w:marRight w:val="0"/>
              <w:marTop w:val="0"/>
              <w:marBottom w:val="0"/>
              <w:divBdr>
                <w:top w:val="none" w:sz="0" w:space="0" w:color="auto"/>
                <w:left w:val="none" w:sz="0" w:space="0" w:color="auto"/>
                <w:bottom w:val="none" w:sz="0" w:space="0" w:color="auto"/>
                <w:right w:val="none" w:sz="0" w:space="0" w:color="auto"/>
              </w:divBdr>
            </w:div>
            <w:div w:id="2008896558">
              <w:marLeft w:val="0"/>
              <w:marRight w:val="0"/>
              <w:marTop w:val="0"/>
              <w:marBottom w:val="0"/>
              <w:divBdr>
                <w:top w:val="none" w:sz="0" w:space="0" w:color="auto"/>
                <w:left w:val="none" w:sz="0" w:space="0" w:color="auto"/>
                <w:bottom w:val="none" w:sz="0" w:space="0" w:color="auto"/>
                <w:right w:val="none" w:sz="0" w:space="0" w:color="auto"/>
              </w:divBdr>
            </w:div>
            <w:div w:id="2032795807">
              <w:marLeft w:val="0"/>
              <w:marRight w:val="0"/>
              <w:marTop w:val="0"/>
              <w:marBottom w:val="0"/>
              <w:divBdr>
                <w:top w:val="none" w:sz="0" w:space="0" w:color="auto"/>
                <w:left w:val="none" w:sz="0" w:space="0" w:color="auto"/>
                <w:bottom w:val="none" w:sz="0" w:space="0" w:color="auto"/>
                <w:right w:val="none" w:sz="0" w:space="0" w:color="auto"/>
              </w:divBdr>
            </w:div>
          </w:divsChild>
        </w:div>
        <w:div w:id="981886792">
          <w:marLeft w:val="0"/>
          <w:marRight w:val="0"/>
          <w:marTop w:val="0"/>
          <w:marBottom w:val="0"/>
          <w:divBdr>
            <w:top w:val="none" w:sz="0" w:space="0" w:color="auto"/>
            <w:left w:val="none" w:sz="0" w:space="0" w:color="auto"/>
            <w:bottom w:val="none" w:sz="0" w:space="0" w:color="auto"/>
            <w:right w:val="none" w:sz="0" w:space="0" w:color="auto"/>
          </w:divBdr>
        </w:div>
        <w:div w:id="995835914">
          <w:marLeft w:val="0"/>
          <w:marRight w:val="0"/>
          <w:marTop w:val="0"/>
          <w:marBottom w:val="0"/>
          <w:divBdr>
            <w:top w:val="none" w:sz="0" w:space="0" w:color="auto"/>
            <w:left w:val="none" w:sz="0" w:space="0" w:color="auto"/>
            <w:bottom w:val="none" w:sz="0" w:space="0" w:color="auto"/>
            <w:right w:val="none" w:sz="0" w:space="0" w:color="auto"/>
          </w:divBdr>
        </w:div>
        <w:div w:id="997228212">
          <w:marLeft w:val="0"/>
          <w:marRight w:val="0"/>
          <w:marTop w:val="0"/>
          <w:marBottom w:val="0"/>
          <w:divBdr>
            <w:top w:val="none" w:sz="0" w:space="0" w:color="auto"/>
            <w:left w:val="none" w:sz="0" w:space="0" w:color="auto"/>
            <w:bottom w:val="none" w:sz="0" w:space="0" w:color="auto"/>
            <w:right w:val="none" w:sz="0" w:space="0" w:color="auto"/>
          </w:divBdr>
        </w:div>
        <w:div w:id="1000079713">
          <w:marLeft w:val="0"/>
          <w:marRight w:val="0"/>
          <w:marTop w:val="0"/>
          <w:marBottom w:val="0"/>
          <w:divBdr>
            <w:top w:val="none" w:sz="0" w:space="0" w:color="auto"/>
            <w:left w:val="none" w:sz="0" w:space="0" w:color="auto"/>
            <w:bottom w:val="none" w:sz="0" w:space="0" w:color="auto"/>
            <w:right w:val="none" w:sz="0" w:space="0" w:color="auto"/>
          </w:divBdr>
        </w:div>
        <w:div w:id="1001734837">
          <w:marLeft w:val="0"/>
          <w:marRight w:val="0"/>
          <w:marTop w:val="0"/>
          <w:marBottom w:val="0"/>
          <w:divBdr>
            <w:top w:val="none" w:sz="0" w:space="0" w:color="auto"/>
            <w:left w:val="none" w:sz="0" w:space="0" w:color="auto"/>
            <w:bottom w:val="none" w:sz="0" w:space="0" w:color="auto"/>
            <w:right w:val="none" w:sz="0" w:space="0" w:color="auto"/>
          </w:divBdr>
        </w:div>
        <w:div w:id="1006637018">
          <w:marLeft w:val="0"/>
          <w:marRight w:val="0"/>
          <w:marTop w:val="0"/>
          <w:marBottom w:val="0"/>
          <w:divBdr>
            <w:top w:val="none" w:sz="0" w:space="0" w:color="auto"/>
            <w:left w:val="none" w:sz="0" w:space="0" w:color="auto"/>
            <w:bottom w:val="none" w:sz="0" w:space="0" w:color="auto"/>
            <w:right w:val="none" w:sz="0" w:space="0" w:color="auto"/>
          </w:divBdr>
        </w:div>
        <w:div w:id="1013921976">
          <w:marLeft w:val="0"/>
          <w:marRight w:val="0"/>
          <w:marTop w:val="0"/>
          <w:marBottom w:val="0"/>
          <w:divBdr>
            <w:top w:val="none" w:sz="0" w:space="0" w:color="auto"/>
            <w:left w:val="none" w:sz="0" w:space="0" w:color="auto"/>
            <w:bottom w:val="none" w:sz="0" w:space="0" w:color="auto"/>
            <w:right w:val="none" w:sz="0" w:space="0" w:color="auto"/>
          </w:divBdr>
        </w:div>
        <w:div w:id="1024942101">
          <w:marLeft w:val="0"/>
          <w:marRight w:val="0"/>
          <w:marTop w:val="0"/>
          <w:marBottom w:val="0"/>
          <w:divBdr>
            <w:top w:val="none" w:sz="0" w:space="0" w:color="auto"/>
            <w:left w:val="none" w:sz="0" w:space="0" w:color="auto"/>
            <w:bottom w:val="none" w:sz="0" w:space="0" w:color="auto"/>
            <w:right w:val="none" w:sz="0" w:space="0" w:color="auto"/>
          </w:divBdr>
        </w:div>
        <w:div w:id="1036585906">
          <w:marLeft w:val="0"/>
          <w:marRight w:val="0"/>
          <w:marTop w:val="0"/>
          <w:marBottom w:val="0"/>
          <w:divBdr>
            <w:top w:val="none" w:sz="0" w:space="0" w:color="auto"/>
            <w:left w:val="none" w:sz="0" w:space="0" w:color="auto"/>
            <w:bottom w:val="none" w:sz="0" w:space="0" w:color="auto"/>
            <w:right w:val="none" w:sz="0" w:space="0" w:color="auto"/>
          </w:divBdr>
          <w:divsChild>
            <w:div w:id="243996803">
              <w:marLeft w:val="0"/>
              <w:marRight w:val="0"/>
              <w:marTop w:val="0"/>
              <w:marBottom w:val="0"/>
              <w:divBdr>
                <w:top w:val="none" w:sz="0" w:space="0" w:color="auto"/>
                <w:left w:val="none" w:sz="0" w:space="0" w:color="auto"/>
                <w:bottom w:val="none" w:sz="0" w:space="0" w:color="auto"/>
                <w:right w:val="none" w:sz="0" w:space="0" w:color="auto"/>
              </w:divBdr>
            </w:div>
            <w:div w:id="433284522">
              <w:marLeft w:val="0"/>
              <w:marRight w:val="0"/>
              <w:marTop w:val="0"/>
              <w:marBottom w:val="0"/>
              <w:divBdr>
                <w:top w:val="none" w:sz="0" w:space="0" w:color="auto"/>
                <w:left w:val="none" w:sz="0" w:space="0" w:color="auto"/>
                <w:bottom w:val="none" w:sz="0" w:space="0" w:color="auto"/>
                <w:right w:val="none" w:sz="0" w:space="0" w:color="auto"/>
              </w:divBdr>
            </w:div>
            <w:div w:id="474952249">
              <w:marLeft w:val="0"/>
              <w:marRight w:val="0"/>
              <w:marTop w:val="0"/>
              <w:marBottom w:val="0"/>
              <w:divBdr>
                <w:top w:val="none" w:sz="0" w:space="0" w:color="auto"/>
                <w:left w:val="none" w:sz="0" w:space="0" w:color="auto"/>
                <w:bottom w:val="none" w:sz="0" w:space="0" w:color="auto"/>
                <w:right w:val="none" w:sz="0" w:space="0" w:color="auto"/>
              </w:divBdr>
            </w:div>
            <w:div w:id="1155493027">
              <w:marLeft w:val="0"/>
              <w:marRight w:val="0"/>
              <w:marTop w:val="0"/>
              <w:marBottom w:val="0"/>
              <w:divBdr>
                <w:top w:val="none" w:sz="0" w:space="0" w:color="auto"/>
                <w:left w:val="none" w:sz="0" w:space="0" w:color="auto"/>
                <w:bottom w:val="none" w:sz="0" w:space="0" w:color="auto"/>
                <w:right w:val="none" w:sz="0" w:space="0" w:color="auto"/>
              </w:divBdr>
            </w:div>
            <w:div w:id="1258446344">
              <w:marLeft w:val="0"/>
              <w:marRight w:val="0"/>
              <w:marTop w:val="0"/>
              <w:marBottom w:val="0"/>
              <w:divBdr>
                <w:top w:val="none" w:sz="0" w:space="0" w:color="auto"/>
                <w:left w:val="none" w:sz="0" w:space="0" w:color="auto"/>
                <w:bottom w:val="none" w:sz="0" w:space="0" w:color="auto"/>
                <w:right w:val="none" w:sz="0" w:space="0" w:color="auto"/>
              </w:divBdr>
            </w:div>
            <w:div w:id="1585842516">
              <w:marLeft w:val="0"/>
              <w:marRight w:val="0"/>
              <w:marTop w:val="0"/>
              <w:marBottom w:val="0"/>
              <w:divBdr>
                <w:top w:val="none" w:sz="0" w:space="0" w:color="auto"/>
                <w:left w:val="none" w:sz="0" w:space="0" w:color="auto"/>
                <w:bottom w:val="none" w:sz="0" w:space="0" w:color="auto"/>
                <w:right w:val="none" w:sz="0" w:space="0" w:color="auto"/>
              </w:divBdr>
            </w:div>
            <w:div w:id="1764689486">
              <w:marLeft w:val="0"/>
              <w:marRight w:val="0"/>
              <w:marTop w:val="0"/>
              <w:marBottom w:val="0"/>
              <w:divBdr>
                <w:top w:val="none" w:sz="0" w:space="0" w:color="auto"/>
                <w:left w:val="none" w:sz="0" w:space="0" w:color="auto"/>
                <w:bottom w:val="none" w:sz="0" w:space="0" w:color="auto"/>
                <w:right w:val="none" w:sz="0" w:space="0" w:color="auto"/>
              </w:divBdr>
            </w:div>
            <w:div w:id="1930431901">
              <w:marLeft w:val="0"/>
              <w:marRight w:val="0"/>
              <w:marTop w:val="0"/>
              <w:marBottom w:val="0"/>
              <w:divBdr>
                <w:top w:val="none" w:sz="0" w:space="0" w:color="auto"/>
                <w:left w:val="none" w:sz="0" w:space="0" w:color="auto"/>
                <w:bottom w:val="none" w:sz="0" w:space="0" w:color="auto"/>
                <w:right w:val="none" w:sz="0" w:space="0" w:color="auto"/>
              </w:divBdr>
            </w:div>
            <w:div w:id="1942565560">
              <w:marLeft w:val="0"/>
              <w:marRight w:val="0"/>
              <w:marTop w:val="0"/>
              <w:marBottom w:val="0"/>
              <w:divBdr>
                <w:top w:val="none" w:sz="0" w:space="0" w:color="auto"/>
                <w:left w:val="none" w:sz="0" w:space="0" w:color="auto"/>
                <w:bottom w:val="none" w:sz="0" w:space="0" w:color="auto"/>
                <w:right w:val="none" w:sz="0" w:space="0" w:color="auto"/>
              </w:divBdr>
            </w:div>
          </w:divsChild>
        </w:div>
        <w:div w:id="1040056896">
          <w:marLeft w:val="0"/>
          <w:marRight w:val="0"/>
          <w:marTop w:val="0"/>
          <w:marBottom w:val="0"/>
          <w:divBdr>
            <w:top w:val="none" w:sz="0" w:space="0" w:color="auto"/>
            <w:left w:val="none" w:sz="0" w:space="0" w:color="auto"/>
            <w:bottom w:val="none" w:sz="0" w:space="0" w:color="auto"/>
            <w:right w:val="none" w:sz="0" w:space="0" w:color="auto"/>
          </w:divBdr>
        </w:div>
        <w:div w:id="1040667546">
          <w:marLeft w:val="0"/>
          <w:marRight w:val="0"/>
          <w:marTop w:val="0"/>
          <w:marBottom w:val="0"/>
          <w:divBdr>
            <w:top w:val="none" w:sz="0" w:space="0" w:color="auto"/>
            <w:left w:val="none" w:sz="0" w:space="0" w:color="auto"/>
            <w:bottom w:val="none" w:sz="0" w:space="0" w:color="auto"/>
            <w:right w:val="none" w:sz="0" w:space="0" w:color="auto"/>
          </w:divBdr>
        </w:div>
        <w:div w:id="1054893925">
          <w:marLeft w:val="0"/>
          <w:marRight w:val="0"/>
          <w:marTop w:val="0"/>
          <w:marBottom w:val="0"/>
          <w:divBdr>
            <w:top w:val="none" w:sz="0" w:space="0" w:color="auto"/>
            <w:left w:val="none" w:sz="0" w:space="0" w:color="auto"/>
            <w:bottom w:val="none" w:sz="0" w:space="0" w:color="auto"/>
            <w:right w:val="none" w:sz="0" w:space="0" w:color="auto"/>
          </w:divBdr>
        </w:div>
        <w:div w:id="1060178466">
          <w:marLeft w:val="0"/>
          <w:marRight w:val="0"/>
          <w:marTop w:val="0"/>
          <w:marBottom w:val="0"/>
          <w:divBdr>
            <w:top w:val="none" w:sz="0" w:space="0" w:color="auto"/>
            <w:left w:val="none" w:sz="0" w:space="0" w:color="auto"/>
            <w:bottom w:val="none" w:sz="0" w:space="0" w:color="auto"/>
            <w:right w:val="none" w:sz="0" w:space="0" w:color="auto"/>
          </w:divBdr>
        </w:div>
        <w:div w:id="1064990422">
          <w:marLeft w:val="0"/>
          <w:marRight w:val="0"/>
          <w:marTop w:val="0"/>
          <w:marBottom w:val="0"/>
          <w:divBdr>
            <w:top w:val="none" w:sz="0" w:space="0" w:color="auto"/>
            <w:left w:val="none" w:sz="0" w:space="0" w:color="auto"/>
            <w:bottom w:val="none" w:sz="0" w:space="0" w:color="auto"/>
            <w:right w:val="none" w:sz="0" w:space="0" w:color="auto"/>
          </w:divBdr>
        </w:div>
        <w:div w:id="1070424602">
          <w:marLeft w:val="0"/>
          <w:marRight w:val="0"/>
          <w:marTop w:val="0"/>
          <w:marBottom w:val="0"/>
          <w:divBdr>
            <w:top w:val="none" w:sz="0" w:space="0" w:color="auto"/>
            <w:left w:val="none" w:sz="0" w:space="0" w:color="auto"/>
            <w:bottom w:val="none" w:sz="0" w:space="0" w:color="auto"/>
            <w:right w:val="none" w:sz="0" w:space="0" w:color="auto"/>
          </w:divBdr>
          <w:divsChild>
            <w:div w:id="52166989">
              <w:marLeft w:val="0"/>
              <w:marRight w:val="0"/>
              <w:marTop w:val="0"/>
              <w:marBottom w:val="0"/>
              <w:divBdr>
                <w:top w:val="none" w:sz="0" w:space="0" w:color="auto"/>
                <w:left w:val="none" w:sz="0" w:space="0" w:color="auto"/>
                <w:bottom w:val="none" w:sz="0" w:space="0" w:color="auto"/>
                <w:right w:val="none" w:sz="0" w:space="0" w:color="auto"/>
              </w:divBdr>
            </w:div>
            <w:div w:id="101342170">
              <w:marLeft w:val="0"/>
              <w:marRight w:val="0"/>
              <w:marTop w:val="0"/>
              <w:marBottom w:val="0"/>
              <w:divBdr>
                <w:top w:val="none" w:sz="0" w:space="0" w:color="auto"/>
                <w:left w:val="none" w:sz="0" w:space="0" w:color="auto"/>
                <w:bottom w:val="none" w:sz="0" w:space="0" w:color="auto"/>
                <w:right w:val="none" w:sz="0" w:space="0" w:color="auto"/>
              </w:divBdr>
            </w:div>
            <w:div w:id="187762035">
              <w:marLeft w:val="0"/>
              <w:marRight w:val="0"/>
              <w:marTop w:val="0"/>
              <w:marBottom w:val="0"/>
              <w:divBdr>
                <w:top w:val="none" w:sz="0" w:space="0" w:color="auto"/>
                <w:left w:val="none" w:sz="0" w:space="0" w:color="auto"/>
                <w:bottom w:val="none" w:sz="0" w:space="0" w:color="auto"/>
                <w:right w:val="none" w:sz="0" w:space="0" w:color="auto"/>
              </w:divBdr>
            </w:div>
            <w:div w:id="204831747">
              <w:marLeft w:val="0"/>
              <w:marRight w:val="0"/>
              <w:marTop w:val="0"/>
              <w:marBottom w:val="0"/>
              <w:divBdr>
                <w:top w:val="none" w:sz="0" w:space="0" w:color="auto"/>
                <w:left w:val="none" w:sz="0" w:space="0" w:color="auto"/>
                <w:bottom w:val="none" w:sz="0" w:space="0" w:color="auto"/>
                <w:right w:val="none" w:sz="0" w:space="0" w:color="auto"/>
              </w:divBdr>
            </w:div>
            <w:div w:id="215897696">
              <w:marLeft w:val="0"/>
              <w:marRight w:val="0"/>
              <w:marTop w:val="0"/>
              <w:marBottom w:val="0"/>
              <w:divBdr>
                <w:top w:val="none" w:sz="0" w:space="0" w:color="auto"/>
                <w:left w:val="none" w:sz="0" w:space="0" w:color="auto"/>
                <w:bottom w:val="none" w:sz="0" w:space="0" w:color="auto"/>
                <w:right w:val="none" w:sz="0" w:space="0" w:color="auto"/>
              </w:divBdr>
            </w:div>
            <w:div w:id="429593342">
              <w:marLeft w:val="0"/>
              <w:marRight w:val="0"/>
              <w:marTop w:val="0"/>
              <w:marBottom w:val="0"/>
              <w:divBdr>
                <w:top w:val="none" w:sz="0" w:space="0" w:color="auto"/>
                <w:left w:val="none" w:sz="0" w:space="0" w:color="auto"/>
                <w:bottom w:val="none" w:sz="0" w:space="0" w:color="auto"/>
                <w:right w:val="none" w:sz="0" w:space="0" w:color="auto"/>
              </w:divBdr>
            </w:div>
            <w:div w:id="498039379">
              <w:marLeft w:val="0"/>
              <w:marRight w:val="0"/>
              <w:marTop w:val="0"/>
              <w:marBottom w:val="0"/>
              <w:divBdr>
                <w:top w:val="none" w:sz="0" w:space="0" w:color="auto"/>
                <w:left w:val="none" w:sz="0" w:space="0" w:color="auto"/>
                <w:bottom w:val="none" w:sz="0" w:space="0" w:color="auto"/>
                <w:right w:val="none" w:sz="0" w:space="0" w:color="auto"/>
              </w:divBdr>
            </w:div>
            <w:div w:id="524951426">
              <w:marLeft w:val="0"/>
              <w:marRight w:val="0"/>
              <w:marTop w:val="0"/>
              <w:marBottom w:val="0"/>
              <w:divBdr>
                <w:top w:val="none" w:sz="0" w:space="0" w:color="auto"/>
                <w:left w:val="none" w:sz="0" w:space="0" w:color="auto"/>
                <w:bottom w:val="none" w:sz="0" w:space="0" w:color="auto"/>
                <w:right w:val="none" w:sz="0" w:space="0" w:color="auto"/>
              </w:divBdr>
            </w:div>
            <w:div w:id="542906956">
              <w:marLeft w:val="0"/>
              <w:marRight w:val="0"/>
              <w:marTop w:val="0"/>
              <w:marBottom w:val="0"/>
              <w:divBdr>
                <w:top w:val="none" w:sz="0" w:space="0" w:color="auto"/>
                <w:left w:val="none" w:sz="0" w:space="0" w:color="auto"/>
                <w:bottom w:val="none" w:sz="0" w:space="0" w:color="auto"/>
                <w:right w:val="none" w:sz="0" w:space="0" w:color="auto"/>
              </w:divBdr>
            </w:div>
            <w:div w:id="704139519">
              <w:marLeft w:val="0"/>
              <w:marRight w:val="0"/>
              <w:marTop w:val="0"/>
              <w:marBottom w:val="0"/>
              <w:divBdr>
                <w:top w:val="none" w:sz="0" w:space="0" w:color="auto"/>
                <w:left w:val="none" w:sz="0" w:space="0" w:color="auto"/>
                <w:bottom w:val="none" w:sz="0" w:space="0" w:color="auto"/>
                <w:right w:val="none" w:sz="0" w:space="0" w:color="auto"/>
              </w:divBdr>
            </w:div>
            <w:div w:id="815294084">
              <w:marLeft w:val="0"/>
              <w:marRight w:val="0"/>
              <w:marTop w:val="0"/>
              <w:marBottom w:val="0"/>
              <w:divBdr>
                <w:top w:val="none" w:sz="0" w:space="0" w:color="auto"/>
                <w:left w:val="none" w:sz="0" w:space="0" w:color="auto"/>
                <w:bottom w:val="none" w:sz="0" w:space="0" w:color="auto"/>
                <w:right w:val="none" w:sz="0" w:space="0" w:color="auto"/>
              </w:divBdr>
            </w:div>
            <w:div w:id="946159351">
              <w:marLeft w:val="0"/>
              <w:marRight w:val="0"/>
              <w:marTop w:val="0"/>
              <w:marBottom w:val="0"/>
              <w:divBdr>
                <w:top w:val="none" w:sz="0" w:space="0" w:color="auto"/>
                <w:left w:val="none" w:sz="0" w:space="0" w:color="auto"/>
                <w:bottom w:val="none" w:sz="0" w:space="0" w:color="auto"/>
                <w:right w:val="none" w:sz="0" w:space="0" w:color="auto"/>
              </w:divBdr>
            </w:div>
            <w:div w:id="956183900">
              <w:marLeft w:val="0"/>
              <w:marRight w:val="0"/>
              <w:marTop w:val="0"/>
              <w:marBottom w:val="0"/>
              <w:divBdr>
                <w:top w:val="none" w:sz="0" w:space="0" w:color="auto"/>
                <w:left w:val="none" w:sz="0" w:space="0" w:color="auto"/>
                <w:bottom w:val="none" w:sz="0" w:space="0" w:color="auto"/>
                <w:right w:val="none" w:sz="0" w:space="0" w:color="auto"/>
              </w:divBdr>
            </w:div>
            <w:div w:id="1592813834">
              <w:marLeft w:val="0"/>
              <w:marRight w:val="0"/>
              <w:marTop w:val="0"/>
              <w:marBottom w:val="0"/>
              <w:divBdr>
                <w:top w:val="none" w:sz="0" w:space="0" w:color="auto"/>
                <w:left w:val="none" w:sz="0" w:space="0" w:color="auto"/>
                <w:bottom w:val="none" w:sz="0" w:space="0" w:color="auto"/>
                <w:right w:val="none" w:sz="0" w:space="0" w:color="auto"/>
              </w:divBdr>
            </w:div>
            <w:div w:id="1622297593">
              <w:marLeft w:val="0"/>
              <w:marRight w:val="0"/>
              <w:marTop w:val="0"/>
              <w:marBottom w:val="0"/>
              <w:divBdr>
                <w:top w:val="none" w:sz="0" w:space="0" w:color="auto"/>
                <w:left w:val="none" w:sz="0" w:space="0" w:color="auto"/>
                <w:bottom w:val="none" w:sz="0" w:space="0" w:color="auto"/>
                <w:right w:val="none" w:sz="0" w:space="0" w:color="auto"/>
              </w:divBdr>
            </w:div>
            <w:div w:id="1742406993">
              <w:marLeft w:val="0"/>
              <w:marRight w:val="0"/>
              <w:marTop w:val="0"/>
              <w:marBottom w:val="0"/>
              <w:divBdr>
                <w:top w:val="none" w:sz="0" w:space="0" w:color="auto"/>
                <w:left w:val="none" w:sz="0" w:space="0" w:color="auto"/>
                <w:bottom w:val="none" w:sz="0" w:space="0" w:color="auto"/>
                <w:right w:val="none" w:sz="0" w:space="0" w:color="auto"/>
              </w:divBdr>
            </w:div>
            <w:div w:id="1920208311">
              <w:marLeft w:val="0"/>
              <w:marRight w:val="0"/>
              <w:marTop w:val="0"/>
              <w:marBottom w:val="0"/>
              <w:divBdr>
                <w:top w:val="none" w:sz="0" w:space="0" w:color="auto"/>
                <w:left w:val="none" w:sz="0" w:space="0" w:color="auto"/>
                <w:bottom w:val="none" w:sz="0" w:space="0" w:color="auto"/>
                <w:right w:val="none" w:sz="0" w:space="0" w:color="auto"/>
              </w:divBdr>
            </w:div>
            <w:div w:id="1937395291">
              <w:marLeft w:val="0"/>
              <w:marRight w:val="0"/>
              <w:marTop w:val="0"/>
              <w:marBottom w:val="0"/>
              <w:divBdr>
                <w:top w:val="none" w:sz="0" w:space="0" w:color="auto"/>
                <w:left w:val="none" w:sz="0" w:space="0" w:color="auto"/>
                <w:bottom w:val="none" w:sz="0" w:space="0" w:color="auto"/>
                <w:right w:val="none" w:sz="0" w:space="0" w:color="auto"/>
              </w:divBdr>
            </w:div>
            <w:div w:id="2083797717">
              <w:marLeft w:val="0"/>
              <w:marRight w:val="0"/>
              <w:marTop w:val="0"/>
              <w:marBottom w:val="0"/>
              <w:divBdr>
                <w:top w:val="none" w:sz="0" w:space="0" w:color="auto"/>
                <w:left w:val="none" w:sz="0" w:space="0" w:color="auto"/>
                <w:bottom w:val="none" w:sz="0" w:space="0" w:color="auto"/>
                <w:right w:val="none" w:sz="0" w:space="0" w:color="auto"/>
              </w:divBdr>
            </w:div>
            <w:div w:id="2108385699">
              <w:marLeft w:val="0"/>
              <w:marRight w:val="0"/>
              <w:marTop w:val="0"/>
              <w:marBottom w:val="0"/>
              <w:divBdr>
                <w:top w:val="none" w:sz="0" w:space="0" w:color="auto"/>
                <w:left w:val="none" w:sz="0" w:space="0" w:color="auto"/>
                <w:bottom w:val="none" w:sz="0" w:space="0" w:color="auto"/>
                <w:right w:val="none" w:sz="0" w:space="0" w:color="auto"/>
              </w:divBdr>
            </w:div>
          </w:divsChild>
        </w:div>
        <w:div w:id="1078331273">
          <w:marLeft w:val="0"/>
          <w:marRight w:val="0"/>
          <w:marTop w:val="0"/>
          <w:marBottom w:val="0"/>
          <w:divBdr>
            <w:top w:val="none" w:sz="0" w:space="0" w:color="auto"/>
            <w:left w:val="none" w:sz="0" w:space="0" w:color="auto"/>
            <w:bottom w:val="none" w:sz="0" w:space="0" w:color="auto"/>
            <w:right w:val="none" w:sz="0" w:space="0" w:color="auto"/>
          </w:divBdr>
        </w:div>
        <w:div w:id="1081103892">
          <w:marLeft w:val="0"/>
          <w:marRight w:val="0"/>
          <w:marTop w:val="0"/>
          <w:marBottom w:val="0"/>
          <w:divBdr>
            <w:top w:val="none" w:sz="0" w:space="0" w:color="auto"/>
            <w:left w:val="none" w:sz="0" w:space="0" w:color="auto"/>
            <w:bottom w:val="none" w:sz="0" w:space="0" w:color="auto"/>
            <w:right w:val="none" w:sz="0" w:space="0" w:color="auto"/>
          </w:divBdr>
        </w:div>
        <w:div w:id="1081483891">
          <w:marLeft w:val="0"/>
          <w:marRight w:val="0"/>
          <w:marTop w:val="0"/>
          <w:marBottom w:val="0"/>
          <w:divBdr>
            <w:top w:val="none" w:sz="0" w:space="0" w:color="auto"/>
            <w:left w:val="none" w:sz="0" w:space="0" w:color="auto"/>
            <w:bottom w:val="none" w:sz="0" w:space="0" w:color="auto"/>
            <w:right w:val="none" w:sz="0" w:space="0" w:color="auto"/>
          </w:divBdr>
          <w:divsChild>
            <w:div w:id="1467888141">
              <w:marLeft w:val="-75"/>
              <w:marRight w:val="0"/>
              <w:marTop w:val="30"/>
              <w:marBottom w:val="30"/>
              <w:divBdr>
                <w:top w:val="none" w:sz="0" w:space="0" w:color="auto"/>
                <w:left w:val="none" w:sz="0" w:space="0" w:color="auto"/>
                <w:bottom w:val="none" w:sz="0" w:space="0" w:color="auto"/>
                <w:right w:val="none" w:sz="0" w:space="0" w:color="auto"/>
              </w:divBdr>
              <w:divsChild>
                <w:div w:id="56049592">
                  <w:marLeft w:val="0"/>
                  <w:marRight w:val="0"/>
                  <w:marTop w:val="0"/>
                  <w:marBottom w:val="0"/>
                  <w:divBdr>
                    <w:top w:val="none" w:sz="0" w:space="0" w:color="auto"/>
                    <w:left w:val="none" w:sz="0" w:space="0" w:color="auto"/>
                    <w:bottom w:val="none" w:sz="0" w:space="0" w:color="auto"/>
                    <w:right w:val="none" w:sz="0" w:space="0" w:color="auto"/>
                  </w:divBdr>
                  <w:divsChild>
                    <w:div w:id="633561552">
                      <w:marLeft w:val="0"/>
                      <w:marRight w:val="0"/>
                      <w:marTop w:val="0"/>
                      <w:marBottom w:val="0"/>
                      <w:divBdr>
                        <w:top w:val="none" w:sz="0" w:space="0" w:color="auto"/>
                        <w:left w:val="none" w:sz="0" w:space="0" w:color="auto"/>
                        <w:bottom w:val="none" w:sz="0" w:space="0" w:color="auto"/>
                        <w:right w:val="none" w:sz="0" w:space="0" w:color="auto"/>
                      </w:divBdr>
                    </w:div>
                  </w:divsChild>
                </w:div>
                <w:div w:id="112947843">
                  <w:marLeft w:val="0"/>
                  <w:marRight w:val="0"/>
                  <w:marTop w:val="0"/>
                  <w:marBottom w:val="0"/>
                  <w:divBdr>
                    <w:top w:val="none" w:sz="0" w:space="0" w:color="auto"/>
                    <w:left w:val="none" w:sz="0" w:space="0" w:color="auto"/>
                    <w:bottom w:val="none" w:sz="0" w:space="0" w:color="auto"/>
                    <w:right w:val="none" w:sz="0" w:space="0" w:color="auto"/>
                  </w:divBdr>
                  <w:divsChild>
                    <w:div w:id="1851411331">
                      <w:marLeft w:val="0"/>
                      <w:marRight w:val="0"/>
                      <w:marTop w:val="0"/>
                      <w:marBottom w:val="0"/>
                      <w:divBdr>
                        <w:top w:val="none" w:sz="0" w:space="0" w:color="auto"/>
                        <w:left w:val="none" w:sz="0" w:space="0" w:color="auto"/>
                        <w:bottom w:val="none" w:sz="0" w:space="0" w:color="auto"/>
                        <w:right w:val="none" w:sz="0" w:space="0" w:color="auto"/>
                      </w:divBdr>
                    </w:div>
                  </w:divsChild>
                </w:div>
                <w:div w:id="226380873">
                  <w:marLeft w:val="0"/>
                  <w:marRight w:val="0"/>
                  <w:marTop w:val="0"/>
                  <w:marBottom w:val="0"/>
                  <w:divBdr>
                    <w:top w:val="none" w:sz="0" w:space="0" w:color="auto"/>
                    <w:left w:val="none" w:sz="0" w:space="0" w:color="auto"/>
                    <w:bottom w:val="none" w:sz="0" w:space="0" w:color="auto"/>
                    <w:right w:val="none" w:sz="0" w:space="0" w:color="auto"/>
                  </w:divBdr>
                  <w:divsChild>
                    <w:div w:id="853962703">
                      <w:marLeft w:val="0"/>
                      <w:marRight w:val="0"/>
                      <w:marTop w:val="0"/>
                      <w:marBottom w:val="0"/>
                      <w:divBdr>
                        <w:top w:val="none" w:sz="0" w:space="0" w:color="auto"/>
                        <w:left w:val="none" w:sz="0" w:space="0" w:color="auto"/>
                        <w:bottom w:val="none" w:sz="0" w:space="0" w:color="auto"/>
                        <w:right w:val="none" w:sz="0" w:space="0" w:color="auto"/>
                      </w:divBdr>
                    </w:div>
                  </w:divsChild>
                </w:div>
                <w:div w:id="297733005">
                  <w:marLeft w:val="0"/>
                  <w:marRight w:val="0"/>
                  <w:marTop w:val="0"/>
                  <w:marBottom w:val="0"/>
                  <w:divBdr>
                    <w:top w:val="none" w:sz="0" w:space="0" w:color="auto"/>
                    <w:left w:val="none" w:sz="0" w:space="0" w:color="auto"/>
                    <w:bottom w:val="none" w:sz="0" w:space="0" w:color="auto"/>
                    <w:right w:val="none" w:sz="0" w:space="0" w:color="auto"/>
                  </w:divBdr>
                  <w:divsChild>
                    <w:div w:id="1668559002">
                      <w:marLeft w:val="0"/>
                      <w:marRight w:val="0"/>
                      <w:marTop w:val="0"/>
                      <w:marBottom w:val="0"/>
                      <w:divBdr>
                        <w:top w:val="none" w:sz="0" w:space="0" w:color="auto"/>
                        <w:left w:val="none" w:sz="0" w:space="0" w:color="auto"/>
                        <w:bottom w:val="none" w:sz="0" w:space="0" w:color="auto"/>
                        <w:right w:val="none" w:sz="0" w:space="0" w:color="auto"/>
                      </w:divBdr>
                    </w:div>
                  </w:divsChild>
                </w:div>
                <w:div w:id="797531121">
                  <w:marLeft w:val="0"/>
                  <w:marRight w:val="0"/>
                  <w:marTop w:val="0"/>
                  <w:marBottom w:val="0"/>
                  <w:divBdr>
                    <w:top w:val="none" w:sz="0" w:space="0" w:color="auto"/>
                    <w:left w:val="none" w:sz="0" w:space="0" w:color="auto"/>
                    <w:bottom w:val="none" w:sz="0" w:space="0" w:color="auto"/>
                    <w:right w:val="none" w:sz="0" w:space="0" w:color="auto"/>
                  </w:divBdr>
                  <w:divsChild>
                    <w:div w:id="980042014">
                      <w:marLeft w:val="0"/>
                      <w:marRight w:val="0"/>
                      <w:marTop w:val="0"/>
                      <w:marBottom w:val="0"/>
                      <w:divBdr>
                        <w:top w:val="none" w:sz="0" w:space="0" w:color="auto"/>
                        <w:left w:val="none" w:sz="0" w:space="0" w:color="auto"/>
                        <w:bottom w:val="none" w:sz="0" w:space="0" w:color="auto"/>
                        <w:right w:val="none" w:sz="0" w:space="0" w:color="auto"/>
                      </w:divBdr>
                    </w:div>
                  </w:divsChild>
                </w:div>
                <w:div w:id="895358814">
                  <w:marLeft w:val="0"/>
                  <w:marRight w:val="0"/>
                  <w:marTop w:val="0"/>
                  <w:marBottom w:val="0"/>
                  <w:divBdr>
                    <w:top w:val="none" w:sz="0" w:space="0" w:color="auto"/>
                    <w:left w:val="none" w:sz="0" w:space="0" w:color="auto"/>
                    <w:bottom w:val="none" w:sz="0" w:space="0" w:color="auto"/>
                    <w:right w:val="none" w:sz="0" w:space="0" w:color="auto"/>
                  </w:divBdr>
                  <w:divsChild>
                    <w:div w:id="425464277">
                      <w:marLeft w:val="0"/>
                      <w:marRight w:val="0"/>
                      <w:marTop w:val="0"/>
                      <w:marBottom w:val="0"/>
                      <w:divBdr>
                        <w:top w:val="none" w:sz="0" w:space="0" w:color="auto"/>
                        <w:left w:val="none" w:sz="0" w:space="0" w:color="auto"/>
                        <w:bottom w:val="none" w:sz="0" w:space="0" w:color="auto"/>
                        <w:right w:val="none" w:sz="0" w:space="0" w:color="auto"/>
                      </w:divBdr>
                    </w:div>
                  </w:divsChild>
                </w:div>
                <w:div w:id="895358832">
                  <w:marLeft w:val="0"/>
                  <w:marRight w:val="0"/>
                  <w:marTop w:val="0"/>
                  <w:marBottom w:val="0"/>
                  <w:divBdr>
                    <w:top w:val="none" w:sz="0" w:space="0" w:color="auto"/>
                    <w:left w:val="none" w:sz="0" w:space="0" w:color="auto"/>
                    <w:bottom w:val="none" w:sz="0" w:space="0" w:color="auto"/>
                    <w:right w:val="none" w:sz="0" w:space="0" w:color="auto"/>
                  </w:divBdr>
                  <w:divsChild>
                    <w:div w:id="656299482">
                      <w:marLeft w:val="0"/>
                      <w:marRight w:val="0"/>
                      <w:marTop w:val="0"/>
                      <w:marBottom w:val="0"/>
                      <w:divBdr>
                        <w:top w:val="none" w:sz="0" w:space="0" w:color="auto"/>
                        <w:left w:val="none" w:sz="0" w:space="0" w:color="auto"/>
                        <w:bottom w:val="none" w:sz="0" w:space="0" w:color="auto"/>
                        <w:right w:val="none" w:sz="0" w:space="0" w:color="auto"/>
                      </w:divBdr>
                    </w:div>
                  </w:divsChild>
                </w:div>
                <w:div w:id="923883526">
                  <w:marLeft w:val="0"/>
                  <w:marRight w:val="0"/>
                  <w:marTop w:val="0"/>
                  <w:marBottom w:val="0"/>
                  <w:divBdr>
                    <w:top w:val="none" w:sz="0" w:space="0" w:color="auto"/>
                    <w:left w:val="none" w:sz="0" w:space="0" w:color="auto"/>
                    <w:bottom w:val="none" w:sz="0" w:space="0" w:color="auto"/>
                    <w:right w:val="none" w:sz="0" w:space="0" w:color="auto"/>
                  </w:divBdr>
                  <w:divsChild>
                    <w:div w:id="1337608892">
                      <w:marLeft w:val="0"/>
                      <w:marRight w:val="0"/>
                      <w:marTop w:val="0"/>
                      <w:marBottom w:val="0"/>
                      <w:divBdr>
                        <w:top w:val="none" w:sz="0" w:space="0" w:color="auto"/>
                        <w:left w:val="none" w:sz="0" w:space="0" w:color="auto"/>
                        <w:bottom w:val="none" w:sz="0" w:space="0" w:color="auto"/>
                        <w:right w:val="none" w:sz="0" w:space="0" w:color="auto"/>
                      </w:divBdr>
                    </w:div>
                  </w:divsChild>
                </w:div>
                <w:div w:id="946889045">
                  <w:marLeft w:val="0"/>
                  <w:marRight w:val="0"/>
                  <w:marTop w:val="0"/>
                  <w:marBottom w:val="0"/>
                  <w:divBdr>
                    <w:top w:val="none" w:sz="0" w:space="0" w:color="auto"/>
                    <w:left w:val="none" w:sz="0" w:space="0" w:color="auto"/>
                    <w:bottom w:val="none" w:sz="0" w:space="0" w:color="auto"/>
                    <w:right w:val="none" w:sz="0" w:space="0" w:color="auto"/>
                  </w:divBdr>
                  <w:divsChild>
                    <w:div w:id="41951072">
                      <w:marLeft w:val="0"/>
                      <w:marRight w:val="0"/>
                      <w:marTop w:val="0"/>
                      <w:marBottom w:val="0"/>
                      <w:divBdr>
                        <w:top w:val="none" w:sz="0" w:space="0" w:color="auto"/>
                        <w:left w:val="none" w:sz="0" w:space="0" w:color="auto"/>
                        <w:bottom w:val="none" w:sz="0" w:space="0" w:color="auto"/>
                        <w:right w:val="none" w:sz="0" w:space="0" w:color="auto"/>
                      </w:divBdr>
                    </w:div>
                  </w:divsChild>
                </w:div>
                <w:div w:id="1247811323">
                  <w:marLeft w:val="0"/>
                  <w:marRight w:val="0"/>
                  <w:marTop w:val="0"/>
                  <w:marBottom w:val="0"/>
                  <w:divBdr>
                    <w:top w:val="none" w:sz="0" w:space="0" w:color="auto"/>
                    <w:left w:val="none" w:sz="0" w:space="0" w:color="auto"/>
                    <w:bottom w:val="none" w:sz="0" w:space="0" w:color="auto"/>
                    <w:right w:val="none" w:sz="0" w:space="0" w:color="auto"/>
                  </w:divBdr>
                  <w:divsChild>
                    <w:div w:id="1075395900">
                      <w:marLeft w:val="0"/>
                      <w:marRight w:val="0"/>
                      <w:marTop w:val="0"/>
                      <w:marBottom w:val="0"/>
                      <w:divBdr>
                        <w:top w:val="none" w:sz="0" w:space="0" w:color="auto"/>
                        <w:left w:val="none" w:sz="0" w:space="0" w:color="auto"/>
                        <w:bottom w:val="none" w:sz="0" w:space="0" w:color="auto"/>
                        <w:right w:val="none" w:sz="0" w:space="0" w:color="auto"/>
                      </w:divBdr>
                    </w:div>
                  </w:divsChild>
                </w:div>
                <w:div w:id="1272740479">
                  <w:marLeft w:val="0"/>
                  <w:marRight w:val="0"/>
                  <w:marTop w:val="0"/>
                  <w:marBottom w:val="0"/>
                  <w:divBdr>
                    <w:top w:val="none" w:sz="0" w:space="0" w:color="auto"/>
                    <w:left w:val="none" w:sz="0" w:space="0" w:color="auto"/>
                    <w:bottom w:val="none" w:sz="0" w:space="0" w:color="auto"/>
                    <w:right w:val="none" w:sz="0" w:space="0" w:color="auto"/>
                  </w:divBdr>
                  <w:divsChild>
                    <w:div w:id="1300497497">
                      <w:marLeft w:val="0"/>
                      <w:marRight w:val="0"/>
                      <w:marTop w:val="0"/>
                      <w:marBottom w:val="0"/>
                      <w:divBdr>
                        <w:top w:val="none" w:sz="0" w:space="0" w:color="auto"/>
                        <w:left w:val="none" w:sz="0" w:space="0" w:color="auto"/>
                        <w:bottom w:val="none" w:sz="0" w:space="0" w:color="auto"/>
                        <w:right w:val="none" w:sz="0" w:space="0" w:color="auto"/>
                      </w:divBdr>
                    </w:div>
                  </w:divsChild>
                </w:div>
                <w:div w:id="1312247469">
                  <w:marLeft w:val="0"/>
                  <w:marRight w:val="0"/>
                  <w:marTop w:val="0"/>
                  <w:marBottom w:val="0"/>
                  <w:divBdr>
                    <w:top w:val="none" w:sz="0" w:space="0" w:color="auto"/>
                    <w:left w:val="none" w:sz="0" w:space="0" w:color="auto"/>
                    <w:bottom w:val="none" w:sz="0" w:space="0" w:color="auto"/>
                    <w:right w:val="none" w:sz="0" w:space="0" w:color="auto"/>
                  </w:divBdr>
                  <w:divsChild>
                    <w:div w:id="1257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41597">
          <w:marLeft w:val="0"/>
          <w:marRight w:val="0"/>
          <w:marTop w:val="0"/>
          <w:marBottom w:val="0"/>
          <w:divBdr>
            <w:top w:val="none" w:sz="0" w:space="0" w:color="auto"/>
            <w:left w:val="none" w:sz="0" w:space="0" w:color="auto"/>
            <w:bottom w:val="none" w:sz="0" w:space="0" w:color="auto"/>
            <w:right w:val="none" w:sz="0" w:space="0" w:color="auto"/>
          </w:divBdr>
          <w:divsChild>
            <w:div w:id="320624386">
              <w:marLeft w:val="0"/>
              <w:marRight w:val="0"/>
              <w:marTop w:val="0"/>
              <w:marBottom w:val="0"/>
              <w:divBdr>
                <w:top w:val="none" w:sz="0" w:space="0" w:color="auto"/>
                <w:left w:val="none" w:sz="0" w:space="0" w:color="auto"/>
                <w:bottom w:val="none" w:sz="0" w:space="0" w:color="auto"/>
                <w:right w:val="none" w:sz="0" w:space="0" w:color="auto"/>
              </w:divBdr>
            </w:div>
            <w:div w:id="328487203">
              <w:marLeft w:val="0"/>
              <w:marRight w:val="0"/>
              <w:marTop w:val="0"/>
              <w:marBottom w:val="0"/>
              <w:divBdr>
                <w:top w:val="none" w:sz="0" w:space="0" w:color="auto"/>
                <w:left w:val="none" w:sz="0" w:space="0" w:color="auto"/>
                <w:bottom w:val="none" w:sz="0" w:space="0" w:color="auto"/>
                <w:right w:val="none" w:sz="0" w:space="0" w:color="auto"/>
              </w:divBdr>
            </w:div>
            <w:div w:id="381564269">
              <w:marLeft w:val="0"/>
              <w:marRight w:val="0"/>
              <w:marTop w:val="0"/>
              <w:marBottom w:val="0"/>
              <w:divBdr>
                <w:top w:val="none" w:sz="0" w:space="0" w:color="auto"/>
                <w:left w:val="none" w:sz="0" w:space="0" w:color="auto"/>
                <w:bottom w:val="none" w:sz="0" w:space="0" w:color="auto"/>
                <w:right w:val="none" w:sz="0" w:space="0" w:color="auto"/>
              </w:divBdr>
            </w:div>
            <w:div w:id="441189233">
              <w:marLeft w:val="0"/>
              <w:marRight w:val="0"/>
              <w:marTop w:val="0"/>
              <w:marBottom w:val="0"/>
              <w:divBdr>
                <w:top w:val="none" w:sz="0" w:space="0" w:color="auto"/>
                <w:left w:val="none" w:sz="0" w:space="0" w:color="auto"/>
                <w:bottom w:val="none" w:sz="0" w:space="0" w:color="auto"/>
                <w:right w:val="none" w:sz="0" w:space="0" w:color="auto"/>
              </w:divBdr>
            </w:div>
            <w:div w:id="597759501">
              <w:marLeft w:val="0"/>
              <w:marRight w:val="0"/>
              <w:marTop w:val="0"/>
              <w:marBottom w:val="0"/>
              <w:divBdr>
                <w:top w:val="none" w:sz="0" w:space="0" w:color="auto"/>
                <w:left w:val="none" w:sz="0" w:space="0" w:color="auto"/>
                <w:bottom w:val="none" w:sz="0" w:space="0" w:color="auto"/>
                <w:right w:val="none" w:sz="0" w:space="0" w:color="auto"/>
              </w:divBdr>
            </w:div>
            <w:div w:id="639991807">
              <w:marLeft w:val="0"/>
              <w:marRight w:val="0"/>
              <w:marTop w:val="0"/>
              <w:marBottom w:val="0"/>
              <w:divBdr>
                <w:top w:val="none" w:sz="0" w:space="0" w:color="auto"/>
                <w:left w:val="none" w:sz="0" w:space="0" w:color="auto"/>
                <w:bottom w:val="none" w:sz="0" w:space="0" w:color="auto"/>
                <w:right w:val="none" w:sz="0" w:space="0" w:color="auto"/>
              </w:divBdr>
            </w:div>
            <w:div w:id="668799572">
              <w:marLeft w:val="0"/>
              <w:marRight w:val="0"/>
              <w:marTop w:val="0"/>
              <w:marBottom w:val="0"/>
              <w:divBdr>
                <w:top w:val="none" w:sz="0" w:space="0" w:color="auto"/>
                <w:left w:val="none" w:sz="0" w:space="0" w:color="auto"/>
                <w:bottom w:val="none" w:sz="0" w:space="0" w:color="auto"/>
                <w:right w:val="none" w:sz="0" w:space="0" w:color="auto"/>
              </w:divBdr>
            </w:div>
            <w:div w:id="722562084">
              <w:marLeft w:val="0"/>
              <w:marRight w:val="0"/>
              <w:marTop w:val="0"/>
              <w:marBottom w:val="0"/>
              <w:divBdr>
                <w:top w:val="none" w:sz="0" w:space="0" w:color="auto"/>
                <w:left w:val="none" w:sz="0" w:space="0" w:color="auto"/>
                <w:bottom w:val="none" w:sz="0" w:space="0" w:color="auto"/>
                <w:right w:val="none" w:sz="0" w:space="0" w:color="auto"/>
              </w:divBdr>
            </w:div>
            <w:div w:id="735979899">
              <w:marLeft w:val="0"/>
              <w:marRight w:val="0"/>
              <w:marTop w:val="0"/>
              <w:marBottom w:val="0"/>
              <w:divBdr>
                <w:top w:val="none" w:sz="0" w:space="0" w:color="auto"/>
                <w:left w:val="none" w:sz="0" w:space="0" w:color="auto"/>
                <w:bottom w:val="none" w:sz="0" w:space="0" w:color="auto"/>
                <w:right w:val="none" w:sz="0" w:space="0" w:color="auto"/>
              </w:divBdr>
            </w:div>
            <w:div w:id="984168154">
              <w:marLeft w:val="0"/>
              <w:marRight w:val="0"/>
              <w:marTop w:val="0"/>
              <w:marBottom w:val="0"/>
              <w:divBdr>
                <w:top w:val="none" w:sz="0" w:space="0" w:color="auto"/>
                <w:left w:val="none" w:sz="0" w:space="0" w:color="auto"/>
                <w:bottom w:val="none" w:sz="0" w:space="0" w:color="auto"/>
                <w:right w:val="none" w:sz="0" w:space="0" w:color="auto"/>
              </w:divBdr>
            </w:div>
            <w:div w:id="1152723182">
              <w:marLeft w:val="0"/>
              <w:marRight w:val="0"/>
              <w:marTop w:val="0"/>
              <w:marBottom w:val="0"/>
              <w:divBdr>
                <w:top w:val="none" w:sz="0" w:space="0" w:color="auto"/>
                <w:left w:val="none" w:sz="0" w:space="0" w:color="auto"/>
                <w:bottom w:val="none" w:sz="0" w:space="0" w:color="auto"/>
                <w:right w:val="none" w:sz="0" w:space="0" w:color="auto"/>
              </w:divBdr>
            </w:div>
            <w:div w:id="1178499040">
              <w:marLeft w:val="0"/>
              <w:marRight w:val="0"/>
              <w:marTop w:val="0"/>
              <w:marBottom w:val="0"/>
              <w:divBdr>
                <w:top w:val="none" w:sz="0" w:space="0" w:color="auto"/>
                <w:left w:val="none" w:sz="0" w:space="0" w:color="auto"/>
                <w:bottom w:val="none" w:sz="0" w:space="0" w:color="auto"/>
                <w:right w:val="none" w:sz="0" w:space="0" w:color="auto"/>
              </w:divBdr>
            </w:div>
            <w:div w:id="1337076109">
              <w:marLeft w:val="0"/>
              <w:marRight w:val="0"/>
              <w:marTop w:val="0"/>
              <w:marBottom w:val="0"/>
              <w:divBdr>
                <w:top w:val="none" w:sz="0" w:space="0" w:color="auto"/>
                <w:left w:val="none" w:sz="0" w:space="0" w:color="auto"/>
                <w:bottom w:val="none" w:sz="0" w:space="0" w:color="auto"/>
                <w:right w:val="none" w:sz="0" w:space="0" w:color="auto"/>
              </w:divBdr>
            </w:div>
            <w:div w:id="1439527385">
              <w:marLeft w:val="0"/>
              <w:marRight w:val="0"/>
              <w:marTop w:val="0"/>
              <w:marBottom w:val="0"/>
              <w:divBdr>
                <w:top w:val="none" w:sz="0" w:space="0" w:color="auto"/>
                <w:left w:val="none" w:sz="0" w:space="0" w:color="auto"/>
                <w:bottom w:val="none" w:sz="0" w:space="0" w:color="auto"/>
                <w:right w:val="none" w:sz="0" w:space="0" w:color="auto"/>
              </w:divBdr>
            </w:div>
            <w:div w:id="1641185160">
              <w:marLeft w:val="0"/>
              <w:marRight w:val="0"/>
              <w:marTop w:val="0"/>
              <w:marBottom w:val="0"/>
              <w:divBdr>
                <w:top w:val="none" w:sz="0" w:space="0" w:color="auto"/>
                <w:left w:val="none" w:sz="0" w:space="0" w:color="auto"/>
                <w:bottom w:val="none" w:sz="0" w:space="0" w:color="auto"/>
                <w:right w:val="none" w:sz="0" w:space="0" w:color="auto"/>
              </w:divBdr>
            </w:div>
            <w:div w:id="1691057740">
              <w:marLeft w:val="0"/>
              <w:marRight w:val="0"/>
              <w:marTop w:val="0"/>
              <w:marBottom w:val="0"/>
              <w:divBdr>
                <w:top w:val="none" w:sz="0" w:space="0" w:color="auto"/>
                <w:left w:val="none" w:sz="0" w:space="0" w:color="auto"/>
                <w:bottom w:val="none" w:sz="0" w:space="0" w:color="auto"/>
                <w:right w:val="none" w:sz="0" w:space="0" w:color="auto"/>
              </w:divBdr>
            </w:div>
            <w:div w:id="1774545358">
              <w:marLeft w:val="0"/>
              <w:marRight w:val="0"/>
              <w:marTop w:val="0"/>
              <w:marBottom w:val="0"/>
              <w:divBdr>
                <w:top w:val="none" w:sz="0" w:space="0" w:color="auto"/>
                <w:left w:val="none" w:sz="0" w:space="0" w:color="auto"/>
                <w:bottom w:val="none" w:sz="0" w:space="0" w:color="auto"/>
                <w:right w:val="none" w:sz="0" w:space="0" w:color="auto"/>
              </w:divBdr>
            </w:div>
            <w:div w:id="1931809521">
              <w:marLeft w:val="0"/>
              <w:marRight w:val="0"/>
              <w:marTop w:val="0"/>
              <w:marBottom w:val="0"/>
              <w:divBdr>
                <w:top w:val="none" w:sz="0" w:space="0" w:color="auto"/>
                <w:left w:val="none" w:sz="0" w:space="0" w:color="auto"/>
                <w:bottom w:val="none" w:sz="0" w:space="0" w:color="auto"/>
                <w:right w:val="none" w:sz="0" w:space="0" w:color="auto"/>
              </w:divBdr>
            </w:div>
            <w:div w:id="2040663250">
              <w:marLeft w:val="0"/>
              <w:marRight w:val="0"/>
              <w:marTop w:val="0"/>
              <w:marBottom w:val="0"/>
              <w:divBdr>
                <w:top w:val="none" w:sz="0" w:space="0" w:color="auto"/>
                <w:left w:val="none" w:sz="0" w:space="0" w:color="auto"/>
                <w:bottom w:val="none" w:sz="0" w:space="0" w:color="auto"/>
                <w:right w:val="none" w:sz="0" w:space="0" w:color="auto"/>
              </w:divBdr>
            </w:div>
            <w:div w:id="2128963452">
              <w:marLeft w:val="0"/>
              <w:marRight w:val="0"/>
              <w:marTop w:val="0"/>
              <w:marBottom w:val="0"/>
              <w:divBdr>
                <w:top w:val="none" w:sz="0" w:space="0" w:color="auto"/>
                <w:left w:val="none" w:sz="0" w:space="0" w:color="auto"/>
                <w:bottom w:val="none" w:sz="0" w:space="0" w:color="auto"/>
                <w:right w:val="none" w:sz="0" w:space="0" w:color="auto"/>
              </w:divBdr>
            </w:div>
          </w:divsChild>
        </w:div>
        <w:div w:id="1085422539">
          <w:marLeft w:val="0"/>
          <w:marRight w:val="0"/>
          <w:marTop w:val="0"/>
          <w:marBottom w:val="0"/>
          <w:divBdr>
            <w:top w:val="none" w:sz="0" w:space="0" w:color="auto"/>
            <w:left w:val="none" w:sz="0" w:space="0" w:color="auto"/>
            <w:bottom w:val="none" w:sz="0" w:space="0" w:color="auto"/>
            <w:right w:val="none" w:sz="0" w:space="0" w:color="auto"/>
          </w:divBdr>
        </w:div>
        <w:div w:id="1093477207">
          <w:marLeft w:val="0"/>
          <w:marRight w:val="0"/>
          <w:marTop w:val="0"/>
          <w:marBottom w:val="0"/>
          <w:divBdr>
            <w:top w:val="none" w:sz="0" w:space="0" w:color="auto"/>
            <w:left w:val="none" w:sz="0" w:space="0" w:color="auto"/>
            <w:bottom w:val="none" w:sz="0" w:space="0" w:color="auto"/>
            <w:right w:val="none" w:sz="0" w:space="0" w:color="auto"/>
          </w:divBdr>
        </w:div>
        <w:div w:id="1099984869">
          <w:marLeft w:val="0"/>
          <w:marRight w:val="0"/>
          <w:marTop w:val="0"/>
          <w:marBottom w:val="0"/>
          <w:divBdr>
            <w:top w:val="none" w:sz="0" w:space="0" w:color="auto"/>
            <w:left w:val="none" w:sz="0" w:space="0" w:color="auto"/>
            <w:bottom w:val="none" w:sz="0" w:space="0" w:color="auto"/>
            <w:right w:val="none" w:sz="0" w:space="0" w:color="auto"/>
          </w:divBdr>
        </w:div>
        <w:div w:id="1114445997">
          <w:marLeft w:val="0"/>
          <w:marRight w:val="0"/>
          <w:marTop w:val="0"/>
          <w:marBottom w:val="0"/>
          <w:divBdr>
            <w:top w:val="none" w:sz="0" w:space="0" w:color="auto"/>
            <w:left w:val="none" w:sz="0" w:space="0" w:color="auto"/>
            <w:bottom w:val="none" w:sz="0" w:space="0" w:color="auto"/>
            <w:right w:val="none" w:sz="0" w:space="0" w:color="auto"/>
          </w:divBdr>
          <w:divsChild>
            <w:div w:id="3362339">
              <w:marLeft w:val="0"/>
              <w:marRight w:val="0"/>
              <w:marTop w:val="0"/>
              <w:marBottom w:val="0"/>
              <w:divBdr>
                <w:top w:val="none" w:sz="0" w:space="0" w:color="auto"/>
                <w:left w:val="none" w:sz="0" w:space="0" w:color="auto"/>
                <w:bottom w:val="none" w:sz="0" w:space="0" w:color="auto"/>
                <w:right w:val="none" w:sz="0" w:space="0" w:color="auto"/>
              </w:divBdr>
            </w:div>
            <w:div w:id="183830310">
              <w:marLeft w:val="0"/>
              <w:marRight w:val="0"/>
              <w:marTop w:val="0"/>
              <w:marBottom w:val="0"/>
              <w:divBdr>
                <w:top w:val="none" w:sz="0" w:space="0" w:color="auto"/>
                <w:left w:val="none" w:sz="0" w:space="0" w:color="auto"/>
                <w:bottom w:val="none" w:sz="0" w:space="0" w:color="auto"/>
                <w:right w:val="none" w:sz="0" w:space="0" w:color="auto"/>
              </w:divBdr>
            </w:div>
            <w:div w:id="393043907">
              <w:marLeft w:val="0"/>
              <w:marRight w:val="0"/>
              <w:marTop w:val="0"/>
              <w:marBottom w:val="0"/>
              <w:divBdr>
                <w:top w:val="none" w:sz="0" w:space="0" w:color="auto"/>
                <w:left w:val="none" w:sz="0" w:space="0" w:color="auto"/>
                <w:bottom w:val="none" w:sz="0" w:space="0" w:color="auto"/>
                <w:right w:val="none" w:sz="0" w:space="0" w:color="auto"/>
              </w:divBdr>
            </w:div>
            <w:div w:id="455762218">
              <w:marLeft w:val="0"/>
              <w:marRight w:val="0"/>
              <w:marTop w:val="0"/>
              <w:marBottom w:val="0"/>
              <w:divBdr>
                <w:top w:val="none" w:sz="0" w:space="0" w:color="auto"/>
                <w:left w:val="none" w:sz="0" w:space="0" w:color="auto"/>
                <w:bottom w:val="none" w:sz="0" w:space="0" w:color="auto"/>
                <w:right w:val="none" w:sz="0" w:space="0" w:color="auto"/>
              </w:divBdr>
            </w:div>
            <w:div w:id="510922174">
              <w:marLeft w:val="0"/>
              <w:marRight w:val="0"/>
              <w:marTop w:val="0"/>
              <w:marBottom w:val="0"/>
              <w:divBdr>
                <w:top w:val="none" w:sz="0" w:space="0" w:color="auto"/>
                <w:left w:val="none" w:sz="0" w:space="0" w:color="auto"/>
                <w:bottom w:val="none" w:sz="0" w:space="0" w:color="auto"/>
                <w:right w:val="none" w:sz="0" w:space="0" w:color="auto"/>
              </w:divBdr>
            </w:div>
            <w:div w:id="570850601">
              <w:marLeft w:val="0"/>
              <w:marRight w:val="0"/>
              <w:marTop w:val="0"/>
              <w:marBottom w:val="0"/>
              <w:divBdr>
                <w:top w:val="none" w:sz="0" w:space="0" w:color="auto"/>
                <w:left w:val="none" w:sz="0" w:space="0" w:color="auto"/>
                <w:bottom w:val="none" w:sz="0" w:space="0" w:color="auto"/>
                <w:right w:val="none" w:sz="0" w:space="0" w:color="auto"/>
              </w:divBdr>
            </w:div>
            <w:div w:id="634405808">
              <w:marLeft w:val="0"/>
              <w:marRight w:val="0"/>
              <w:marTop w:val="0"/>
              <w:marBottom w:val="0"/>
              <w:divBdr>
                <w:top w:val="none" w:sz="0" w:space="0" w:color="auto"/>
                <w:left w:val="none" w:sz="0" w:space="0" w:color="auto"/>
                <w:bottom w:val="none" w:sz="0" w:space="0" w:color="auto"/>
                <w:right w:val="none" w:sz="0" w:space="0" w:color="auto"/>
              </w:divBdr>
            </w:div>
            <w:div w:id="745610306">
              <w:marLeft w:val="0"/>
              <w:marRight w:val="0"/>
              <w:marTop w:val="0"/>
              <w:marBottom w:val="0"/>
              <w:divBdr>
                <w:top w:val="none" w:sz="0" w:space="0" w:color="auto"/>
                <w:left w:val="none" w:sz="0" w:space="0" w:color="auto"/>
                <w:bottom w:val="none" w:sz="0" w:space="0" w:color="auto"/>
                <w:right w:val="none" w:sz="0" w:space="0" w:color="auto"/>
              </w:divBdr>
            </w:div>
            <w:div w:id="754209014">
              <w:marLeft w:val="0"/>
              <w:marRight w:val="0"/>
              <w:marTop w:val="0"/>
              <w:marBottom w:val="0"/>
              <w:divBdr>
                <w:top w:val="none" w:sz="0" w:space="0" w:color="auto"/>
                <w:left w:val="none" w:sz="0" w:space="0" w:color="auto"/>
                <w:bottom w:val="none" w:sz="0" w:space="0" w:color="auto"/>
                <w:right w:val="none" w:sz="0" w:space="0" w:color="auto"/>
              </w:divBdr>
            </w:div>
            <w:div w:id="839856604">
              <w:marLeft w:val="0"/>
              <w:marRight w:val="0"/>
              <w:marTop w:val="0"/>
              <w:marBottom w:val="0"/>
              <w:divBdr>
                <w:top w:val="none" w:sz="0" w:space="0" w:color="auto"/>
                <w:left w:val="none" w:sz="0" w:space="0" w:color="auto"/>
                <w:bottom w:val="none" w:sz="0" w:space="0" w:color="auto"/>
                <w:right w:val="none" w:sz="0" w:space="0" w:color="auto"/>
              </w:divBdr>
            </w:div>
            <w:div w:id="913205423">
              <w:marLeft w:val="0"/>
              <w:marRight w:val="0"/>
              <w:marTop w:val="0"/>
              <w:marBottom w:val="0"/>
              <w:divBdr>
                <w:top w:val="none" w:sz="0" w:space="0" w:color="auto"/>
                <w:left w:val="none" w:sz="0" w:space="0" w:color="auto"/>
                <w:bottom w:val="none" w:sz="0" w:space="0" w:color="auto"/>
                <w:right w:val="none" w:sz="0" w:space="0" w:color="auto"/>
              </w:divBdr>
            </w:div>
            <w:div w:id="923143946">
              <w:marLeft w:val="0"/>
              <w:marRight w:val="0"/>
              <w:marTop w:val="0"/>
              <w:marBottom w:val="0"/>
              <w:divBdr>
                <w:top w:val="none" w:sz="0" w:space="0" w:color="auto"/>
                <w:left w:val="none" w:sz="0" w:space="0" w:color="auto"/>
                <w:bottom w:val="none" w:sz="0" w:space="0" w:color="auto"/>
                <w:right w:val="none" w:sz="0" w:space="0" w:color="auto"/>
              </w:divBdr>
            </w:div>
            <w:div w:id="1293098137">
              <w:marLeft w:val="0"/>
              <w:marRight w:val="0"/>
              <w:marTop w:val="0"/>
              <w:marBottom w:val="0"/>
              <w:divBdr>
                <w:top w:val="none" w:sz="0" w:space="0" w:color="auto"/>
                <w:left w:val="none" w:sz="0" w:space="0" w:color="auto"/>
                <w:bottom w:val="none" w:sz="0" w:space="0" w:color="auto"/>
                <w:right w:val="none" w:sz="0" w:space="0" w:color="auto"/>
              </w:divBdr>
            </w:div>
            <w:div w:id="1294675258">
              <w:marLeft w:val="0"/>
              <w:marRight w:val="0"/>
              <w:marTop w:val="0"/>
              <w:marBottom w:val="0"/>
              <w:divBdr>
                <w:top w:val="none" w:sz="0" w:space="0" w:color="auto"/>
                <w:left w:val="none" w:sz="0" w:space="0" w:color="auto"/>
                <w:bottom w:val="none" w:sz="0" w:space="0" w:color="auto"/>
                <w:right w:val="none" w:sz="0" w:space="0" w:color="auto"/>
              </w:divBdr>
            </w:div>
            <w:div w:id="1298418305">
              <w:marLeft w:val="0"/>
              <w:marRight w:val="0"/>
              <w:marTop w:val="0"/>
              <w:marBottom w:val="0"/>
              <w:divBdr>
                <w:top w:val="none" w:sz="0" w:space="0" w:color="auto"/>
                <w:left w:val="none" w:sz="0" w:space="0" w:color="auto"/>
                <w:bottom w:val="none" w:sz="0" w:space="0" w:color="auto"/>
                <w:right w:val="none" w:sz="0" w:space="0" w:color="auto"/>
              </w:divBdr>
            </w:div>
            <w:div w:id="1391877353">
              <w:marLeft w:val="0"/>
              <w:marRight w:val="0"/>
              <w:marTop w:val="0"/>
              <w:marBottom w:val="0"/>
              <w:divBdr>
                <w:top w:val="none" w:sz="0" w:space="0" w:color="auto"/>
                <w:left w:val="none" w:sz="0" w:space="0" w:color="auto"/>
                <w:bottom w:val="none" w:sz="0" w:space="0" w:color="auto"/>
                <w:right w:val="none" w:sz="0" w:space="0" w:color="auto"/>
              </w:divBdr>
            </w:div>
            <w:div w:id="1453283102">
              <w:marLeft w:val="0"/>
              <w:marRight w:val="0"/>
              <w:marTop w:val="0"/>
              <w:marBottom w:val="0"/>
              <w:divBdr>
                <w:top w:val="none" w:sz="0" w:space="0" w:color="auto"/>
                <w:left w:val="none" w:sz="0" w:space="0" w:color="auto"/>
                <w:bottom w:val="none" w:sz="0" w:space="0" w:color="auto"/>
                <w:right w:val="none" w:sz="0" w:space="0" w:color="auto"/>
              </w:divBdr>
            </w:div>
            <w:div w:id="1872761032">
              <w:marLeft w:val="0"/>
              <w:marRight w:val="0"/>
              <w:marTop w:val="0"/>
              <w:marBottom w:val="0"/>
              <w:divBdr>
                <w:top w:val="none" w:sz="0" w:space="0" w:color="auto"/>
                <w:left w:val="none" w:sz="0" w:space="0" w:color="auto"/>
                <w:bottom w:val="none" w:sz="0" w:space="0" w:color="auto"/>
                <w:right w:val="none" w:sz="0" w:space="0" w:color="auto"/>
              </w:divBdr>
            </w:div>
            <w:div w:id="1963029219">
              <w:marLeft w:val="0"/>
              <w:marRight w:val="0"/>
              <w:marTop w:val="0"/>
              <w:marBottom w:val="0"/>
              <w:divBdr>
                <w:top w:val="none" w:sz="0" w:space="0" w:color="auto"/>
                <w:left w:val="none" w:sz="0" w:space="0" w:color="auto"/>
                <w:bottom w:val="none" w:sz="0" w:space="0" w:color="auto"/>
                <w:right w:val="none" w:sz="0" w:space="0" w:color="auto"/>
              </w:divBdr>
            </w:div>
            <w:div w:id="1983266988">
              <w:marLeft w:val="0"/>
              <w:marRight w:val="0"/>
              <w:marTop w:val="0"/>
              <w:marBottom w:val="0"/>
              <w:divBdr>
                <w:top w:val="none" w:sz="0" w:space="0" w:color="auto"/>
                <w:left w:val="none" w:sz="0" w:space="0" w:color="auto"/>
                <w:bottom w:val="none" w:sz="0" w:space="0" w:color="auto"/>
                <w:right w:val="none" w:sz="0" w:space="0" w:color="auto"/>
              </w:divBdr>
            </w:div>
          </w:divsChild>
        </w:div>
        <w:div w:id="1117723205">
          <w:marLeft w:val="0"/>
          <w:marRight w:val="0"/>
          <w:marTop w:val="0"/>
          <w:marBottom w:val="0"/>
          <w:divBdr>
            <w:top w:val="none" w:sz="0" w:space="0" w:color="auto"/>
            <w:left w:val="none" w:sz="0" w:space="0" w:color="auto"/>
            <w:bottom w:val="none" w:sz="0" w:space="0" w:color="auto"/>
            <w:right w:val="none" w:sz="0" w:space="0" w:color="auto"/>
          </w:divBdr>
        </w:div>
        <w:div w:id="1127814758">
          <w:marLeft w:val="0"/>
          <w:marRight w:val="0"/>
          <w:marTop w:val="0"/>
          <w:marBottom w:val="0"/>
          <w:divBdr>
            <w:top w:val="none" w:sz="0" w:space="0" w:color="auto"/>
            <w:left w:val="none" w:sz="0" w:space="0" w:color="auto"/>
            <w:bottom w:val="none" w:sz="0" w:space="0" w:color="auto"/>
            <w:right w:val="none" w:sz="0" w:space="0" w:color="auto"/>
          </w:divBdr>
        </w:div>
        <w:div w:id="1137213284">
          <w:marLeft w:val="0"/>
          <w:marRight w:val="0"/>
          <w:marTop w:val="0"/>
          <w:marBottom w:val="0"/>
          <w:divBdr>
            <w:top w:val="none" w:sz="0" w:space="0" w:color="auto"/>
            <w:left w:val="none" w:sz="0" w:space="0" w:color="auto"/>
            <w:bottom w:val="none" w:sz="0" w:space="0" w:color="auto"/>
            <w:right w:val="none" w:sz="0" w:space="0" w:color="auto"/>
          </w:divBdr>
          <w:divsChild>
            <w:div w:id="39522550">
              <w:marLeft w:val="0"/>
              <w:marRight w:val="0"/>
              <w:marTop w:val="0"/>
              <w:marBottom w:val="0"/>
              <w:divBdr>
                <w:top w:val="none" w:sz="0" w:space="0" w:color="auto"/>
                <w:left w:val="none" w:sz="0" w:space="0" w:color="auto"/>
                <w:bottom w:val="none" w:sz="0" w:space="0" w:color="auto"/>
                <w:right w:val="none" w:sz="0" w:space="0" w:color="auto"/>
              </w:divBdr>
            </w:div>
            <w:div w:id="59835593">
              <w:marLeft w:val="0"/>
              <w:marRight w:val="0"/>
              <w:marTop w:val="0"/>
              <w:marBottom w:val="0"/>
              <w:divBdr>
                <w:top w:val="none" w:sz="0" w:space="0" w:color="auto"/>
                <w:left w:val="none" w:sz="0" w:space="0" w:color="auto"/>
                <w:bottom w:val="none" w:sz="0" w:space="0" w:color="auto"/>
                <w:right w:val="none" w:sz="0" w:space="0" w:color="auto"/>
              </w:divBdr>
            </w:div>
            <w:div w:id="68311429">
              <w:marLeft w:val="0"/>
              <w:marRight w:val="0"/>
              <w:marTop w:val="0"/>
              <w:marBottom w:val="0"/>
              <w:divBdr>
                <w:top w:val="none" w:sz="0" w:space="0" w:color="auto"/>
                <w:left w:val="none" w:sz="0" w:space="0" w:color="auto"/>
                <w:bottom w:val="none" w:sz="0" w:space="0" w:color="auto"/>
                <w:right w:val="none" w:sz="0" w:space="0" w:color="auto"/>
              </w:divBdr>
            </w:div>
            <w:div w:id="106049191">
              <w:marLeft w:val="0"/>
              <w:marRight w:val="0"/>
              <w:marTop w:val="0"/>
              <w:marBottom w:val="0"/>
              <w:divBdr>
                <w:top w:val="none" w:sz="0" w:space="0" w:color="auto"/>
                <w:left w:val="none" w:sz="0" w:space="0" w:color="auto"/>
                <w:bottom w:val="none" w:sz="0" w:space="0" w:color="auto"/>
                <w:right w:val="none" w:sz="0" w:space="0" w:color="auto"/>
              </w:divBdr>
            </w:div>
            <w:div w:id="365450433">
              <w:marLeft w:val="0"/>
              <w:marRight w:val="0"/>
              <w:marTop w:val="0"/>
              <w:marBottom w:val="0"/>
              <w:divBdr>
                <w:top w:val="none" w:sz="0" w:space="0" w:color="auto"/>
                <w:left w:val="none" w:sz="0" w:space="0" w:color="auto"/>
                <w:bottom w:val="none" w:sz="0" w:space="0" w:color="auto"/>
                <w:right w:val="none" w:sz="0" w:space="0" w:color="auto"/>
              </w:divBdr>
            </w:div>
            <w:div w:id="387415925">
              <w:marLeft w:val="0"/>
              <w:marRight w:val="0"/>
              <w:marTop w:val="0"/>
              <w:marBottom w:val="0"/>
              <w:divBdr>
                <w:top w:val="none" w:sz="0" w:space="0" w:color="auto"/>
                <w:left w:val="none" w:sz="0" w:space="0" w:color="auto"/>
                <w:bottom w:val="none" w:sz="0" w:space="0" w:color="auto"/>
                <w:right w:val="none" w:sz="0" w:space="0" w:color="auto"/>
              </w:divBdr>
            </w:div>
            <w:div w:id="486631906">
              <w:marLeft w:val="0"/>
              <w:marRight w:val="0"/>
              <w:marTop w:val="0"/>
              <w:marBottom w:val="0"/>
              <w:divBdr>
                <w:top w:val="none" w:sz="0" w:space="0" w:color="auto"/>
                <w:left w:val="none" w:sz="0" w:space="0" w:color="auto"/>
                <w:bottom w:val="none" w:sz="0" w:space="0" w:color="auto"/>
                <w:right w:val="none" w:sz="0" w:space="0" w:color="auto"/>
              </w:divBdr>
            </w:div>
            <w:div w:id="497431114">
              <w:marLeft w:val="0"/>
              <w:marRight w:val="0"/>
              <w:marTop w:val="0"/>
              <w:marBottom w:val="0"/>
              <w:divBdr>
                <w:top w:val="none" w:sz="0" w:space="0" w:color="auto"/>
                <w:left w:val="none" w:sz="0" w:space="0" w:color="auto"/>
                <w:bottom w:val="none" w:sz="0" w:space="0" w:color="auto"/>
                <w:right w:val="none" w:sz="0" w:space="0" w:color="auto"/>
              </w:divBdr>
            </w:div>
            <w:div w:id="953902515">
              <w:marLeft w:val="0"/>
              <w:marRight w:val="0"/>
              <w:marTop w:val="0"/>
              <w:marBottom w:val="0"/>
              <w:divBdr>
                <w:top w:val="none" w:sz="0" w:space="0" w:color="auto"/>
                <w:left w:val="none" w:sz="0" w:space="0" w:color="auto"/>
                <w:bottom w:val="none" w:sz="0" w:space="0" w:color="auto"/>
                <w:right w:val="none" w:sz="0" w:space="0" w:color="auto"/>
              </w:divBdr>
            </w:div>
            <w:div w:id="1248996849">
              <w:marLeft w:val="0"/>
              <w:marRight w:val="0"/>
              <w:marTop w:val="0"/>
              <w:marBottom w:val="0"/>
              <w:divBdr>
                <w:top w:val="none" w:sz="0" w:space="0" w:color="auto"/>
                <w:left w:val="none" w:sz="0" w:space="0" w:color="auto"/>
                <w:bottom w:val="none" w:sz="0" w:space="0" w:color="auto"/>
                <w:right w:val="none" w:sz="0" w:space="0" w:color="auto"/>
              </w:divBdr>
            </w:div>
            <w:div w:id="1290089114">
              <w:marLeft w:val="0"/>
              <w:marRight w:val="0"/>
              <w:marTop w:val="0"/>
              <w:marBottom w:val="0"/>
              <w:divBdr>
                <w:top w:val="none" w:sz="0" w:space="0" w:color="auto"/>
                <w:left w:val="none" w:sz="0" w:space="0" w:color="auto"/>
                <w:bottom w:val="none" w:sz="0" w:space="0" w:color="auto"/>
                <w:right w:val="none" w:sz="0" w:space="0" w:color="auto"/>
              </w:divBdr>
            </w:div>
            <w:div w:id="1347176817">
              <w:marLeft w:val="0"/>
              <w:marRight w:val="0"/>
              <w:marTop w:val="0"/>
              <w:marBottom w:val="0"/>
              <w:divBdr>
                <w:top w:val="none" w:sz="0" w:space="0" w:color="auto"/>
                <w:left w:val="none" w:sz="0" w:space="0" w:color="auto"/>
                <w:bottom w:val="none" w:sz="0" w:space="0" w:color="auto"/>
                <w:right w:val="none" w:sz="0" w:space="0" w:color="auto"/>
              </w:divBdr>
            </w:div>
            <w:div w:id="1493836861">
              <w:marLeft w:val="0"/>
              <w:marRight w:val="0"/>
              <w:marTop w:val="0"/>
              <w:marBottom w:val="0"/>
              <w:divBdr>
                <w:top w:val="none" w:sz="0" w:space="0" w:color="auto"/>
                <w:left w:val="none" w:sz="0" w:space="0" w:color="auto"/>
                <w:bottom w:val="none" w:sz="0" w:space="0" w:color="auto"/>
                <w:right w:val="none" w:sz="0" w:space="0" w:color="auto"/>
              </w:divBdr>
            </w:div>
            <w:div w:id="1590656715">
              <w:marLeft w:val="0"/>
              <w:marRight w:val="0"/>
              <w:marTop w:val="0"/>
              <w:marBottom w:val="0"/>
              <w:divBdr>
                <w:top w:val="none" w:sz="0" w:space="0" w:color="auto"/>
                <w:left w:val="none" w:sz="0" w:space="0" w:color="auto"/>
                <w:bottom w:val="none" w:sz="0" w:space="0" w:color="auto"/>
                <w:right w:val="none" w:sz="0" w:space="0" w:color="auto"/>
              </w:divBdr>
            </w:div>
            <w:div w:id="1594439654">
              <w:marLeft w:val="0"/>
              <w:marRight w:val="0"/>
              <w:marTop w:val="0"/>
              <w:marBottom w:val="0"/>
              <w:divBdr>
                <w:top w:val="none" w:sz="0" w:space="0" w:color="auto"/>
                <w:left w:val="none" w:sz="0" w:space="0" w:color="auto"/>
                <w:bottom w:val="none" w:sz="0" w:space="0" w:color="auto"/>
                <w:right w:val="none" w:sz="0" w:space="0" w:color="auto"/>
              </w:divBdr>
            </w:div>
            <w:div w:id="1674600666">
              <w:marLeft w:val="0"/>
              <w:marRight w:val="0"/>
              <w:marTop w:val="0"/>
              <w:marBottom w:val="0"/>
              <w:divBdr>
                <w:top w:val="none" w:sz="0" w:space="0" w:color="auto"/>
                <w:left w:val="none" w:sz="0" w:space="0" w:color="auto"/>
                <w:bottom w:val="none" w:sz="0" w:space="0" w:color="auto"/>
                <w:right w:val="none" w:sz="0" w:space="0" w:color="auto"/>
              </w:divBdr>
            </w:div>
            <w:div w:id="1700085932">
              <w:marLeft w:val="0"/>
              <w:marRight w:val="0"/>
              <w:marTop w:val="0"/>
              <w:marBottom w:val="0"/>
              <w:divBdr>
                <w:top w:val="none" w:sz="0" w:space="0" w:color="auto"/>
                <w:left w:val="none" w:sz="0" w:space="0" w:color="auto"/>
                <w:bottom w:val="none" w:sz="0" w:space="0" w:color="auto"/>
                <w:right w:val="none" w:sz="0" w:space="0" w:color="auto"/>
              </w:divBdr>
            </w:div>
            <w:div w:id="1784425379">
              <w:marLeft w:val="0"/>
              <w:marRight w:val="0"/>
              <w:marTop w:val="0"/>
              <w:marBottom w:val="0"/>
              <w:divBdr>
                <w:top w:val="none" w:sz="0" w:space="0" w:color="auto"/>
                <w:left w:val="none" w:sz="0" w:space="0" w:color="auto"/>
                <w:bottom w:val="none" w:sz="0" w:space="0" w:color="auto"/>
                <w:right w:val="none" w:sz="0" w:space="0" w:color="auto"/>
              </w:divBdr>
            </w:div>
            <w:div w:id="1846943659">
              <w:marLeft w:val="0"/>
              <w:marRight w:val="0"/>
              <w:marTop w:val="0"/>
              <w:marBottom w:val="0"/>
              <w:divBdr>
                <w:top w:val="none" w:sz="0" w:space="0" w:color="auto"/>
                <w:left w:val="none" w:sz="0" w:space="0" w:color="auto"/>
                <w:bottom w:val="none" w:sz="0" w:space="0" w:color="auto"/>
                <w:right w:val="none" w:sz="0" w:space="0" w:color="auto"/>
              </w:divBdr>
            </w:div>
            <w:div w:id="1951349205">
              <w:marLeft w:val="0"/>
              <w:marRight w:val="0"/>
              <w:marTop w:val="0"/>
              <w:marBottom w:val="0"/>
              <w:divBdr>
                <w:top w:val="none" w:sz="0" w:space="0" w:color="auto"/>
                <w:left w:val="none" w:sz="0" w:space="0" w:color="auto"/>
                <w:bottom w:val="none" w:sz="0" w:space="0" w:color="auto"/>
                <w:right w:val="none" w:sz="0" w:space="0" w:color="auto"/>
              </w:divBdr>
            </w:div>
          </w:divsChild>
        </w:div>
        <w:div w:id="1142112367">
          <w:marLeft w:val="0"/>
          <w:marRight w:val="0"/>
          <w:marTop w:val="0"/>
          <w:marBottom w:val="0"/>
          <w:divBdr>
            <w:top w:val="none" w:sz="0" w:space="0" w:color="auto"/>
            <w:left w:val="none" w:sz="0" w:space="0" w:color="auto"/>
            <w:bottom w:val="none" w:sz="0" w:space="0" w:color="auto"/>
            <w:right w:val="none" w:sz="0" w:space="0" w:color="auto"/>
          </w:divBdr>
        </w:div>
        <w:div w:id="1172724792">
          <w:marLeft w:val="0"/>
          <w:marRight w:val="0"/>
          <w:marTop w:val="0"/>
          <w:marBottom w:val="0"/>
          <w:divBdr>
            <w:top w:val="none" w:sz="0" w:space="0" w:color="auto"/>
            <w:left w:val="none" w:sz="0" w:space="0" w:color="auto"/>
            <w:bottom w:val="none" w:sz="0" w:space="0" w:color="auto"/>
            <w:right w:val="none" w:sz="0" w:space="0" w:color="auto"/>
          </w:divBdr>
        </w:div>
        <w:div w:id="1173372144">
          <w:marLeft w:val="0"/>
          <w:marRight w:val="0"/>
          <w:marTop w:val="0"/>
          <w:marBottom w:val="0"/>
          <w:divBdr>
            <w:top w:val="none" w:sz="0" w:space="0" w:color="auto"/>
            <w:left w:val="none" w:sz="0" w:space="0" w:color="auto"/>
            <w:bottom w:val="none" w:sz="0" w:space="0" w:color="auto"/>
            <w:right w:val="none" w:sz="0" w:space="0" w:color="auto"/>
          </w:divBdr>
        </w:div>
        <w:div w:id="1184055562">
          <w:marLeft w:val="0"/>
          <w:marRight w:val="0"/>
          <w:marTop w:val="0"/>
          <w:marBottom w:val="0"/>
          <w:divBdr>
            <w:top w:val="none" w:sz="0" w:space="0" w:color="auto"/>
            <w:left w:val="none" w:sz="0" w:space="0" w:color="auto"/>
            <w:bottom w:val="none" w:sz="0" w:space="0" w:color="auto"/>
            <w:right w:val="none" w:sz="0" w:space="0" w:color="auto"/>
          </w:divBdr>
        </w:div>
        <w:div w:id="1188761571">
          <w:marLeft w:val="0"/>
          <w:marRight w:val="0"/>
          <w:marTop w:val="0"/>
          <w:marBottom w:val="0"/>
          <w:divBdr>
            <w:top w:val="none" w:sz="0" w:space="0" w:color="auto"/>
            <w:left w:val="none" w:sz="0" w:space="0" w:color="auto"/>
            <w:bottom w:val="none" w:sz="0" w:space="0" w:color="auto"/>
            <w:right w:val="none" w:sz="0" w:space="0" w:color="auto"/>
          </w:divBdr>
        </w:div>
        <w:div w:id="1192306217">
          <w:marLeft w:val="0"/>
          <w:marRight w:val="0"/>
          <w:marTop w:val="0"/>
          <w:marBottom w:val="0"/>
          <w:divBdr>
            <w:top w:val="none" w:sz="0" w:space="0" w:color="auto"/>
            <w:left w:val="none" w:sz="0" w:space="0" w:color="auto"/>
            <w:bottom w:val="none" w:sz="0" w:space="0" w:color="auto"/>
            <w:right w:val="none" w:sz="0" w:space="0" w:color="auto"/>
          </w:divBdr>
        </w:div>
        <w:div w:id="1219509714">
          <w:marLeft w:val="0"/>
          <w:marRight w:val="0"/>
          <w:marTop w:val="0"/>
          <w:marBottom w:val="0"/>
          <w:divBdr>
            <w:top w:val="none" w:sz="0" w:space="0" w:color="auto"/>
            <w:left w:val="none" w:sz="0" w:space="0" w:color="auto"/>
            <w:bottom w:val="none" w:sz="0" w:space="0" w:color="auto"/>
            <w:right w:val="none" w:sz="0" w:space="0" w:color="auto"/>
          </w:divBdr>
        </w:div>
        <w:div w:id="1228423053">
          <w:marLeft w:val="0"/>
          <w:marRight w:val="0"/>
          <w:marTop w:val="0"/>
          <w:marBottom w:val="0"/>
          <w:divBdr>
            <w:top w:val="none" w:sz="0" w:space="0" w:color="auto"/>
            <w:left w:val="none" w:sz="0" w:space="0" w:color="auto"/>
            <w:bottom w:val="none" w:sz="0" w:space="0" w:color="auto"/>
            <w:right w:val="none" w:sz="0" w:space="0" w:color="auto"/>
          </w:divBdr>
        </w:div>
        <w:div w:id="1243759579">
          <w:marLeft w:val="0"/>
          <w:marRight w:val="0"/>
          <w:marTop w:val="0"/>
          <w:marBottom w:val="0"/>
          <w:divBdr>
            <w:top w:val="none" w:sz="0" w:space="0" w:color="auto"/>
            <w:left w:val="none" w:sz="0" w:space="0" w:color="auto"/>
            <w:bottom w:val="none" w:sz="0" w:space="0" w:color="auto"/>
            <w:right w:val="none" w:sz="0" w:space="0" w:color="auto"/>
          </w:divBdr>
          <w:divsChild>
            <w:div w:id="760099642">
              <w:marLeft w:val="-75"/>
              <w:marRight w:val="0"/>
              <w:marTop w:val="30"/>
              <w:marBottom w:val="30"/>
              <w:divBdr>
                <w:top w:val="none" w:sz="0" w:space="0" w:color="auto"/>
                <w:left w:val="none" w:sz="0" w:space="0" w:color="auto"/>
                <w:bottom w:val="none" w:sz="0" w:space="0" w:color="auto"/>
                <w:right w:val="none" w:sz="0" w:space="0" w:color="auto"/>
              </w:divBdr>
              <w:divsChild>
                <w:div w:id="184368168">
                  <w:marLeft w:val="0"/>
                  <w:marRight w:val="0"/>
                  <w:marTop w:val="0"/>
                  <w:marBottom w:val="0"/>
                  <w:divBdr>
                    <w:top w:val="none" w:sz="0" w:space="0" w:color="auto"/>
                    <w:left w:val="none" w:sz="0" w:space="0" w:color="auto"/>
                    <w:bottom w:val="none" w:sz="0" w:space="0" w:color="auto"/>
                    <w:right w:val="none" w:sz="0" w:space="0" w:color="auto"/>
                  </w:divBdr>
                  <w:divsChild>
                    <w:div w:id="1035158309">
                      <w:marLeft w:val="0"/>
                      <w:marRight w:val="0"/>
                      <w:marTop w:val="0"/>
                      <w:marBottom w:val="0"/>
                      <w:divBdr>
                        <w:top w:val="none" w:sz="0" w:space="0" w:color="auto"/>
                        <w:left w:val="none" w:sz="0" w:space="0" w:color="auto"/>
                        <w:bottom w:val="none" w:sz="0" w:space="0" w:color="auto"/>
                        <w:right w:val="none" w:sz="0" w:space="0" w:color="auto"/>
                      </w:divBdr>
                    </w:div>
                  </w:divsChild>
                </w:div>
                <w:div w:id="243496229">
                  <w:marLeft w:val="0"/>
                  <w:marRight w:val="0"/>
                  <w:marTop w:val="0"/>
                  <w:marBottom w:val="0"/>
                  <w:divBdr>
                    <w:top w:val="none" w:sz="0" w:space="0" w:color="auto"/>
                    <w:left w:val="none" w:sz="0" w:space="0" w:color="auto"/>
                    <w:bottom w:val="none" w:sz="0" w:space="0" w:color="auto"/>
                    <w:right w:val="none" w:sz="0" w:space="0" w:color="auto"/>
                  </w:divBdr>
                  <w:divsChild>
                    <w:div w:id="173495516">
                      <w:marLeft w:val="0"/>
                      <w:marRight w:val="0"/>
                      <w:marTop w:val="0"/>
                      <w:marBottom w:val="0"/>
                      <w:divBdr>
                        <w:top w:val="none" w:sz="0" w:space="0" w:color="auto"/>
                        <w:left w:val="none" w:sz="0" w:space="0" w:color="auto"/>
                        <w:bottom w:val="none" w:sz="0" w:space="0" w:color="auto"/>
                        <w:right w:val="none" w:sz="0" w:space="0" w:color="auto"/>
                      </w:divBdr>
                    </w:div>
                  </w:divsChild>
                </w:div>
                <w:div w:id="259682106">
                  <w:marLeft w:val="0"/>
                  <w:marRight w:val="0"/>
                  <w:marTop w:val="0"/>
                  <w:marBottom w:val="0"/>
                  <w:divBdr>
                    <w:top w:val="none" w:sz="0" w:space="0" w:color="auto"/>
                    <w:left w:val="none" w:sz="0" w:space="0" w:color="auto"/>
                    <w:bottom w:val="none" w:sz="0" w:space="0" w:color="auto"/>
                    <w:right w:val="none" w:sz="0" w:space="0" w:color="auto"/>
                  </w:divBdr>
                  <w:divsChild>
                    <w:div w:id="1768620439">
                      <w:marLeft w:val="0"/>
                      <w:marRight w:val="0"/>
                      <w:marTop w:val="0"/>
                      <w:marBottom w:val="0"/>
                      <w:divBdr>
                        <w:top w:val="none" w:sz="0" w:space="0" w:color="auto"/>
                        <w:left w:val="none" w:sz="0" w:space="0" w:color="auto"/>
                        <w:bottom w:val="none" w:sz="0" w:space="0" w:color="auto"/>
                        <w:right w:val="none" w:sz="0" w:space="0" w:color="auto"/>
                      </w:divBdr>
                    </w:div>
                  </w:divsChild>
                </w:div>
                <w:div w:id="292636623">
                  <w:marLeft w:val="0"/>
                  <w:marRight w:val="0"/>
                  <w:marTop w:val="0"/>
                  <w:marBottom w:val="0"/>
                  <w:divBdr>
                    <w:top w:val="none" w:sz="0" w:space="0" w:color="auto"/>
                    <w:left w:val="none" w:sz="0" w:space="0" w:color="auto"/>
                    <w:bottom w:val="none" w:sz="0" w:space="0" w:color="auto"/>
                    <w:right w:val="none" w:sz="0" w:space="0" w:color="auto"/>
                  </w:divBdr>
                  <w:divsChild>
                    <w:div w:id="1518034861">
                      <w:marLeft w:val="0"/>
                      <w:marRight w:val="0"/>
                      <w:marTop w:val="0"/>
                      <w:marBottom w:val="0"/>
                      <w:divBdr>
                        <w:top w:val="none" w:sz="0" w:space="0" w:color="auto"/>
                        <w:left w:val="none" w:sz="0" w:space="0" w:color="auto"/>
                        <w:bottom w:val="none" w:sz="0" w:space="0" w:color="auto"/>
                        <w:right w:val="none" w:sz="0" w:space="0" w:color="auto"/>
                      </w:divBdr>
                    </w:div>
                  </w:divsChild>
                </w:div>
                <w:div w:id="420413927">
                  <w:marLeft w:val="0"/>
                  <w:marRight w:val="0"/>
                  <w:marTop w:val="0"/>
                  <w:marBottom w:val="0"/>
                  <w:divBdr>
                    <w:top w:val="none" w:sz="0" w:space="0" w:color="auto"/>
                    <w:left w:val="none" w:sz="0" w:space="0" w:color="auto"/>
                    <w:bottom w:val="none" w:sz="0" w:space="0" w:color="auto"/>
                    <w:right w:val="none" w:sz="0" w:space="0" w:color="auto"/>
                  </w:divBdr>
                  <w:divsChild>
                    <w:div w:id="14236406">
                      <w:marLeft w:val="0"/>
                      <w:marRight w:val="0"/>
                      <w:marTop w:val="0"/>
                      <w:marBottom w:val="0"/>
                      <w:divBdr>
                        <w:top w:val="none" w:sz="0" w:space="0" w:color="auto"/>
                        <w:left w:val="none" w:sz="0" w:space="0" w:color="auto"/>
                        <w:bottom w:val="none" w:sz="0" w:space="0" w:color="auto"/>
                        <w:right w:val="none" w:sz="0" w:space="0" w:color="auto"/>
                      </w:divBdr>
                    </w:div>
                  </w:divsChild>
                </w:div>
                <w:div w:id="448471340">
                  <w:marLeft w:val="0"/>
                  <w:marRight w:val="0"/>
                  <w:marTop w:val="0"/>
                  <w:marBottom w:val="0"/>
                  <w:divBdr>
                    <w:top w:val="none" w:sz="0" w:space="0" w:color="auto"/>
                    <w:left w:val="none" w:sz="0" w:space="0" w:color="auto"/>
                    <w:bottom w:val="none" w:sz="0" w:space="0" w:color="auto"/>
                    <w:right w:val="none" w:sz="0" w:space="0" w:color="auto"/>
                  </w:divBdr>
                  <w:divsChild>
                    <w:div w:id="626937168">
                      <w:marLeft w:val="0"/>
                      <w:marRight w:val="0"/>
                      <w:marTop w:val="0"/>
                      <w:marBottom w:val="0"/>
                      <w:divBdr>
                        <w:top w:val="none" w:sz="0" w:space="0" w:color="auto"/>
                        <w:left w:val="none" w:sz="0" w:space="0" w:color="auto"/>
                        <w:bottom w:val="none" w:sz="0" w:space="0" w:color="auto"/>
                        <w:right w:val="none" w:sz="0" w:space="0" w:color="auto"/>
                      </w:divBdr>
                    </w:div>
                  </w:divsChild>
                </w:div>
                <w:div w:id="470828270">
                  <w:marLeft w:val="0"/>
                  <w:marRight w:val="0"/>
                  <w:marTop w:val="0"/>
                  <w:marBottom w:val="0"/>
                  <w:divBdr>
                    <w:top w:val="none" w:sz="0" w:space="0" w:color="auto"/>
                    <w:left w:val="none" w:sz="0" w:space="0" w:color="auto"/>
                    <w:bottom w:val="none" w:sz="0" w:space="0" w:color="auto"/>
                    <w:right w:val="none" w:sz="0" w:space="0" w:color="auto"/>
                  </w:divBdr>
                  <w:divsChild>
                    <w:div w:id="1904178882">
                      <w:marLeft w:val="0"/>
                      <w:marRight w:val="0"/>
                      <w:marTop w:val="0"/>
                      <w:marBottom w:val="0"/>
                      <w:divBdr>
                        <w:top w:val="none" w:sz="0" w:space="0" w:color="auto"/>
                        <w:left w:val="none" w:sz="0" w:space="0" w:color="auto"/>
                        <w:bottom w:val="none" w:sz="0" w:space="0" w:color="auto"/>
                        <w:right w:val="none" w:sz="0" w:space="0" w:color="auto"/>
                      </w:divBdr>
                    </w:div>
                  </w:divsChild>
                </w:div>
                <w:div w:id="591206599">
                  <w:marLeft w:val="0"/>
                  <w:marRight w:val="0"/>
                  <w:marTop w:val="0"/>
                  <w:marBottom w:val="0"/>
                  <w:divBdr>
                    <w:top w:val="none" w:sz="0" w:space="0" w:color="auto"/>
                    <w:left w:val="none" w:sz="0" w:space="0" w:color="auto"/>
                    <w:bottom w:val="none" w:sz="0" w:space="0" w:color="auto"/>
                    <w:right w:val="none" w:sz="0" w:space="0" w:color="auto"/>
                  </w:divBdr>
                  <w:divsChild>
                    <w:div w:id="754860498">
                      <w:marLeft w:val="0"/>
                      <w:marRight w:val="0"/>
                      <w:marTop w:val="0"/>
                      <w:marBottom w:val="0"/>
                      <w:divBdr>
                        <w:top w:val="none" w:sz="0" w:space="0" w:color="auto"/>
                        <w:left w:val="none" w:sz="0" w:space="0" w:color="auto"/>
                        <w:bottom w:val="none" w:sz="0" w:space="0" w:color="auto"/>
                        <w:right w:val="none" w:sz="0" w:space="0" w:color="auto"/>
                      </w:divBdr>
                    </w:div>
                  </w:divsChild>
                </w:div>
                <w:div w:id="728652260">
                  <w:marLeft w:val="0"/>
                  <w:marRight w:val="0"/>
                  <w:marTop w:val="0"/>
                  <w:marBottom w:val="0"/>
                  <w:divBdr>
                    <w:top w:val="none" w:sz="0" w:space="0" w:color="auto"/>
                    <w:left w:val="none" w:sz="0" w:space="0" w:color="auto"/>
                    <w:bottom w:val="none" w:sz="0" w:space="0" w:color="auto"/>
                    <w:right w:val="none" w:sz="0" w:space="0" w:color="auto"/>
                  </w:divBdr>
                  <w:divsChild>
                    <w:div w:id="422532089">
                      <w:marLeft w:val="0"/>
                      <w:marRight w:val="0"/>
                      <w:marTop w:val="0"/>
                      <w:marBottom w:val="0"/>
                      <w:divBdr>
                        <w:top w:val="none" w:sz="0" w:space="0" w:color="auto"/>
                        <w:left w:val="none" w:sz="0" w:space="0" w:color="auto"/>
                        <w:bottom w:val="none" w:sz="0" w:space="0" w:color="auto"/>
                        <w:right w:val="none" w:sz="0" w:space="0" w:color="auto"/>
                      </w:divBdr>
                    </w:div>
                  </w:divsChild>
                </w:div>
                <w:div w:id="805582833">
                  <w:marLeft w:val="0"/>
                  <w:marRight w:val="0"/>
                  <w:marTop w:val="0"/>
                  <w:marBottom w:val="0"/>
                  <w:divBdr>
                    <w:top w:val="none" w:sz="0" w:space="0" w:color="auto"/>
                    <w:left w:val="none" w:sz="0" w:space="0" w:color="auto"/>
                    <w:bottom w:val="none" w:sz="0" w:space="0" w:color="auto"/>
                    <w:right w:val="none" w:sz="0" w:space="0" w:color="auto"/>
                  </w:divBdr>
                  <w:divsChild>
                    <w:div w:id="724060900">
                      <w:marLeft w:val="0"/>
                      <w:marRight w:val="0"/>
                      <w:marTop w:val="0"/>
                      <w:marBottom w:val="0"/>
                      <w:divBdr>
                        <w:top w:val="none" w:sz="0" w:space="0" w:color="auto"/>
                        <w:left w:val="none" w:sz="0" w:space="0" w:color="auto"/>
                        <w:bottom w:val="none" w:sz="0" w:space="0" w:color="auto"/>
                        <w:right w:val="none" w:sz="0" w:space="0" w:color="auto"/>
                      </w:divBdr>
                    </w:div>
                  </w:divsChild>
                </w:div>
                <w:div w:id="933173441">
                  <w:marLeft w:val="0"/>
                  <w:marRight w:val="0"/>
                  <w:marTop w:val="0"/>
                  <w:marBottom w:val="0"/>
                  <w:divBdr>
                    <w:top w:val="none" w:sz="0" w:space="0" w:color="auto"/>
                    <w:left w:val="none" w:sz="0" w:space="0" w:color="auto"/>
                    <w:bottom w:val="none" w:sz="0" w:space="0" w:color="auto"/>
                    <w:right w:val="none" w:sz="0" w:space="0" w:color="auto"/>
                  </w:divBdr>
                  <w:divsChild>
                    <w:div w:id="933979231">
                      <w:marLeft w:val="0"/>
                      <w:marRight w:val="0"/>
                      <w:marTop w:val="0"/>
                      <w:marBottom w:val="0"/>
                      <w:divBdr>
                        <w:top w:val="none" w:sz="0" w:space="0" w:color="auto"/>
                        <w:left w:val="none" w:sz="0" w:space="0" w:color="auto"/>
                        <w:bottom w:val="none" w:sz="0" w:space="0" w:color="auto"/>
                        <w:right w:val="none" w:sz="0" w:space="0" w:color="auto"/>
                      </w:divBdr>
                    </w:div>
                  </w:divsChild>
                </w:div>
                <w:div w:id="1154486183">
                  <w:marLeft w:val="0"/>
                  <w:marRight w:val="0"/>
                  <w:marTop w:val="0"/>
                  <w:marBottom w:val="0"/>
                  <w:divBdr>
                    <w:top w:val="none" w:sz="0" w:space="0" w:color="auto"/>
                    <w:left w:val="none" w:sz="0" w:space="0" w:color="auto"/>
                    <w:bottom w:val="none" w:sz="0" w:space="0" w:color="auto"/>
                    <w:right w:val="none" w:sz="0" w:space="0" w:color="auto"/>
                  </w:divBdr>
                  <w:divsChild>
                    <w:div w:id="939795447">
                      <w:marLeft w:val="0"/>
                      <w:marRight w:val="0"/>
                      <w:marTop w:val="0"/>
                      <w:marBottom w:val="0"/>
                      <w:divBdr>
                        <w:top w:val="none" w:sz="0" w:space="0" w:color="auto"/>
                        <w:left w:val="none" w:sz="0" w:space="0" w:color="auto"/>
                        <w:bottom w:val="none" w:sz="0" w:space="0" w:color="auto"/>
                        <w:right w:val="none" w:sz="0" w:space="0" w:color="auto"/>
                      </w:divBdr>
                    </w:div>
                  </w:divsChild>
                </w:div>
                <w:div w:id="1188518835">
                  <w:marLeft w:val="0"/>
                  <w:marRight w:val="0"/>
                  <w:marTop w:val="0"/>
                  <w:marBottom w:val="0"/>
                  <w:divBdr>
                    <w:top w:val="none" w:sz="0" w:space="0" w:color="auto"/>
                    <w:left w:val="none" w:sz="0" w:space="0" w:color="auto"/>
                    <w:bottom w:val="none" w:sz="0" w:space="0" w:color="auto"/>
                    <w:right w:val="none" w:sz="0" w:space="0" w:color="auto"/>
                  </w:divBdr>
                  <w:divsChild>
                    <w:div w:id="35471450">
                      <w:marLeft w:val="0"/>
                      <w:marRight w:val="0"/>
                      <w:marTop w:val="0"/>
                      <w:marBottom w:val="0"/>
                      <w:divBdr>
                        <w:top w:val="none" w:sz="0" w:space="0" w:color="auto"/>
                        <w:left w:val="none" w:sz="0" w:space="0" w:color="auto"/>
                        <w:bottom w:val="none" w:sz="0" w:space="0" w:color="auto"/>
                        <w:right w:val="none" w:sz="0" w:space="0" w:color="auto"/>
                      </w:divBdr>
                    </w:div>
                  </w:divsChild>
                </w:div>
                <w:div w:id="1287926984">
                  <w:marLeft w:val="0"/>
                  <w:marRight w:val="0"/>
                  <w:marTop w:val="0"/>
                  <w:marBottom w:val="0"/>
                  <w:divBdr>
                    <w:top w:val="none" w:sz="0" w:space="0" w:color="auto"/>
                    <w:left w:val="none" w:sz="0" w:space="0" w:color="auto"/>
                    <w:bottom w:val="none" w:sz="0" w:space="0" w:color="auto"/>
                    <w:right w:val="none" w:sz="0" w:space="0" w:color="auto"/>
                  </w:divBdr>
                  <w:divsChild>
                    <w:div w:id="106239630">
                      <w:marLeft w:val="0"/>
                      <w:marRight w:val="0"/>
                      <w:marTop w:val="0"/>
                      <w:marBottom w:val="0"/>
                      <w:divBdr>
                        <w:top w:val="none" w:sz="0" w:space="0" w:color="auto"/>
                        <w:left w:val="none" w:sz="0" w:space="0" w:color="auto"/>
                        <w:bottom w:val="none" w:sz="0" w:space="0" w:color="auto"/>
                        <w:right w:val="none" w:sz="0" w:space="0" w:color="auto"/>
                      </w:divBdr>
                    </w:div>
                  </w:divsChild>
                </w:div>
                <w:div w:id="1447654810">
                  <w:marLeft w:val="0"/>
                  <w:marRight w:val="0"/>
                  <w:marTop w:val="0"/>
                  <w:marBottom w:val="0"/>
                  <w:divBdr>
                    <w:top w:val="none" w:sz="0" w:space="0" w:color="auto"/>
                    <w:left w:val="none" w:sz="0" w:space="0" w:color="auto"/>
                    <w:bottom w:val="none" w:sz="0" w:space="0" w:color="auto"/>
                    <w:right w:val="none" w:sz="0" w:space="0" w:color="auto"/>
                  </w:divBdr>
                  <w:divsChild>
                    <w:div w:id="2130051571">
                      <w:marLeft w:val="0"/>
                      <w:marRight w:val="0"/>
                      <w:marTop w:val="0"/>
                      <w:marBottom w:val="0"/>
                      <w:divBdr>
                        <w:top w:val="none" w:sz="0" w:space="0" w:color="auto"/>
                        <w:left w:val="none" w:sz="0" w:space="0" w:color="auto"/>
                        <w:bottom w:val="none" w:sz="0" w:space="0" w:color="auto"/>
                        <w:right w:val="none" w:sz="0" w:space="0" w:color="auto"/>
                      </w:divBdr>
                    </w:div>
                  </w:divsChild>
                </w:div>
                <w:div w:id="1590116294">
                  <w:marLeft w:val="0"/>
                  <w:marRight w:val="0"/>
                  <w:marTop w:val="0"/>
                  <w:marBottom w:val="0"/>
                  <w:divBdr>
                    <w:top w:val="none" w:sz="0" w:space="0" w:color="auto"/>
                    <w:left w:val="none" w:sz="0" w:space="0" w:color="auto"/>
                    <w:bottom w:val="none" w:sz="0" w:space="0" w:color="auto"/>
                    <w:right w:val="none" w:sz="0" w:space="0" w:color="auto"/>
                  </w:divBdr>
                  <w:divsChild>
                    <w:div w:id="1046831340">
                      <w:marLeft w:val="0"/>
                      <w:marRight w:val="0"/>
                      <w:marTop w:val="0"/>
                      <w:marBottom w:val="0"/>
                      <w:divBdr>
                        <w:top w:val="none" w:sz="0" w:space="0" w:color="auto"/>
                        <w:left w:val="none" w:sz="0" w:space="0" w:color="auto"/>
                        <w:bottom w:val="none" w:sz="0" w:space="0" w:color="auto"/>
                        <w:right w:val="none" w:sz="0" w:space="0" w:color="auto"/>
                      </w:divBdr>
                    </w:div>
                  </w:divsChild>
                </w:div>
                <w:div w:id="1612205263">
                  <w:marLeft w:val="0"/>
                  <w:marRight w:val="0"/>
                  <w:marTop w:val="0"/>
                  <w:marBottom w:val="0"/>
                  <w:divBdr>
                    <w:top w:val="none" w:sz="0" w:space="0" w:color="auto"/>
                    <w:left w:val="none" w:sz="0" w:space="0" w:color="auto"/>
                    <w:bottom w:val="none" w:sz="0" w:space="0" w:color="auto"/>
                    <w:right w:val="none" w:sz="0" w:space="0" w:color="auto"/>
                  </w:divBdr>
                  <w:divsChild>
                    <w:div w:id="1881821853">
                      <w:marLeft w:val="0"/>
                      <w:marRight w:val="0"/>
                      <w:marTop w:val="0"/>
                      <w:marBottom w:val="0"/>
                      <w:divBdr>
                        <w:top w:val="none" w:sz="0" w:space="0" w:color="auto"/>
                        <w:left w:val="none" w:sz="0" w:space="0" w:color="auto"/>
                        <w:bottom w:val="none" w:sz="0" w:space="0" w:color="auto"/>
                        <w:right w:val="none" w:sz="0" w:space="0" w:color="auto"/>
                      </w:divBdr>
                    </w:div>
                  </w:divsChild>
                </w:div>
                <w:div w:id="1654941689">
                  <w:marLeft w:val="0"/>
                  <w:marRight w:val="0"/>
                  <w:marTop w:val="0"/>
                  <w:marBottom w:val="0"/>
                  <w:divBdr>
                    <w:top w:val="none" w:sz="0" w:space="0" w:color="auto"/>
                    <w:left w:val="none" w:sz="0" w:space="0" w:color="auto"/>
                    <w:bottom w:val="none" w:sz="0" w:space="0" w:color="auto"/>
                    <w:right w:val="none" w:sz="0" w:space="0" w:color="auto"/>
                  </w:divBdr>
                  <w:divsChild>
                    <w:div w:id="1363440460">
                      <w:marLeft w:val="0"/>
                      <w:marRight w:val="0"/>
                      <w:marTop w:val="0"/>
                      <w:marBottom w:val="0"/>
                      <w:divBdr>
                        <w:top w:val="none" w:sz="0" w:space="0" w:color="auto"/>
                        <w:left w:val="none" w:sz="0" w:space="0" w:color="auto"/>
                        <w:bottom w:val="none" w:sz="0" w:space="0" w:color="auto"/>
                        <w:right w:val="none" w:sz="0" w:space="0" w:color="auto"/>
                      </w:divBdr>
                    </w:div>
                  </w:divsChild>
                </w:div>
                <w:div w:id="1878620040">
                  <w:marLeft w:val="0"/>
                  <w:marRight w:val="0"/>
                  <w:marTop w:val="0"/>
                  <w:marBottom w:val="0"/>
                  <w:divBdr>
                    <w:top w:val="none" w:sz="0" w:space="0" w:color="auto"/>
                    <w:left w:val="none" w:sz="0" w:space="0" w:color="auto"/>
                    <w:bottom w:val="none" w:sz="0" w:space="0" w:color="auto"/>
                    <w:right w:val="none" w:sz="0" w:space="0" w:color="auto"/>
                  </w:divBdr>
                  <w:divsChild>
                    <w:div w:id="866138112">
                      <w:marLeft w:val="0"/>
                      <w:marRight w:val="0"/>
                      <w:marTop w:val="0"/>
                      <w:marBottom w:val="0"/>
                      <w:divBdr>
                        <w:top w:val="none" w:sz="0" w:space="0" w:color="auto"/>
                        <w:left w:val="none" w:sz="0" w:space="0" w:color="auto"/>
                        <w:bottom w:val="none" w:sz="0" w:space="0" w:color="auto"/>
                        <w:right w:val="none" w:sz="0" w:space="0" w:color="auto"/>
                      </w:divBdr>
                    </w:div>
                  </w:divsChild>
                </w:div>
                <w:div w:id="1881089020">
                  <w:marLeft w:val="0"/>
                  <w:marRight w:val="0"/>
                  <w:marTop w:val="0"/>
                  <w:marBottom w:val="0"/>
                  <w:divBdr>
                    <w:top w:val="none" w:sz="0" w:space="0" w:color="auto"/>
                    <w:left w:val="none" w:sz="0" w:space="0" w:color="auto"/>
                    <w:bottom w:val="none" w:sz="0" w:space="0" w:color="auto"/>
                    <w:right w:val="none" w:sz="0" w:space="0" w:color="auto"/>
                  </w:divBdr>
                  <w:divsChild>
                    <w:div w:id="20850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3160">
          <w:marLeft w:val="0"/>
          <w:marRight w:val="0"/>
          <w:marTop w:val="0"/>
          <w:marBottom w:val="0"/>
          <w:divBdr>
            <w:top w:val="none" w:sz="0" w:space="0" w:color="auto"/>
            <w:left w:val="none" w:sz="0" w:space="0" w:color="auto"/>
            <w:bottom w:val="none" w:sz="0" w:space="0" w:color="auto"/>
            <w:right w:val="none" w:sz="0" w:space="0" w:color="auto"/>
          </w:divBdr>
        </w:div>
        <w:div w:id="1249852445">
          <w:marLeft w:val="0"/>
          <w:marRight w:val="0"/>
          <w:marTop w:val="0"/>
          <w:marBottom w:val="0"/>
          <w:divBdr>
            <w:top w:val="none" w:sz="0" w:space="0" w:color="auto"/>
            <w:left w:val="none" w:sz="0" w:space="0" w:color="auto"/>
            <w:bottom w:val="none" w:sz="0" w:space="0" w:color="auto"/>
            <w:right w:val="none" w:sz="0" w:space="0" w:color="auto"/>
          </w:divBdr>
        </w:div>
        <w:div w:id="1254050391">
          <w:marLeft w:val="0"/>
          <w:marRight w:val="0"/>
          <w:marTop w:val="0"/>
          <w:marBottom w:val="0"/>
          <w:divBdr>
            <w:top w:val="none" w:sz="0" w:space="0" w:color="auto"/>
            <w:left w:val="none" w:sz="0" w:space="0" w:color="auto"/>
            <w:bottom w:val="none" w:sz="0" w:space="0" w:color="auto"/>
            <w:right w:val="none" w:sz="0" w:space="0" w:color="auto"/>
          </w:divBdr>
        </w:div>
        <w:div w:id="1270046058">
          <w:marLeft w:val="0"/>
          <w:marRight w:val="0"/>
          <w:marTop w:val="0"/>
          <w:marBottom w:val="0"/>
          <w:divBdr>
            <w:top w:val="none" w:sz="0" w:space="0" w:color="auto"/>
            <w:left w:val="none" w:sz="0" w:space="0" w:color="auto"/>
            <w:bottom w:val="none" w:sz="0" w:space="0" w:color="auto"/>
            <w:right w:val="none" w:sz="0" w:space="0" w:color="auto"/>
          </w:divBdr>
        </w:div>
        <w:div w:id="1271402016">
          <w:marLeft w:val="0"/>
          <w:marRight w:val="0"/>
          <w:marTop w:val="0"/>
          <w:marBottom w:val="0"/>
          <w:divBdr>
            <w:top w:val="none" w:sz="0" w:space="0" w:color="auto"/>
            <w:left w:val="none" w:sz="0" w:space="0" w:color="auto"/>
            <w:bottom w:val="none" w:sz="0" w:space="0" w:color="auto"/>
            <w:right w:val="none" w:sz="0" w:space="0" w:color="auto"/>
          </w:divBdr>
        </w:div>
        <w:div w:id="1272542868">
          <w:marLeft w:val="0"/>
          <w:marRight w:val="0"/>
          <w:marTop w:val="0"/>
          <w:marBottom w:val="0"/>
          <w:divBdr>
            <w:top w:val="none" w:sz="0" w:space="0" w:color="auto"/>
            <w:left w:val="none" w:sz="0" w:space="0" w:color="auto"/>
            <w:bottom w:val="none" w:sz="0" w:space="0" w:color="auto"/>
            <w:right w:val="none" w:sz="0" w:space="0" w:color="auto"/>
          </w:divBdr>
        </w:div>
        <w:div w:id="1276249481">
          <w:marLeft w:val="0"/>
          <w:marRight w:val="0"/>
          <w:marTop w:val="0"/>
          <w:marBottom w:val="0"/>
          <w:divBdr>
            <w:top w:val="none" w:sz="0" w:space="0" w:color="auto"/>
            <w:left w:val="none" w:sz="0" w:space="0" w:color="auto"/>
            <w:bottom w:val="none" w:sz="0" w:space="0" w:color="auto"/>
            <w:right w:val="none" w:sz="0" w:space="0" w:color="auto"/>
          </w:divBdr>
        </w:div>
        <w:div w:id="1282299664">
          <w:marLeft w:val="0"/>
          <w:marRight w:val="0"/>
          <w:marTop w:val="0"/>
          <w:marBottom w:val="0"/>
          <w:divBdr>
            <w:top w:val="none" w:sz="0" w:space="0" w:color="auto"/>
            <w:left w:val="none" w:sz="0" w:space="0" w:color="auto"/>
            <w:bottom w:val="none" w:sz="0" w:space="0" w:color="auto"/>
            <w:right w:val="none" w:sz="0" w:space="0" w:color="auto"/>
          </w:divBdr>
        </w:div>
        <w:div w:id="1294560685">
          <w:marLeft w:val="0"/>
          <w:marRight w:val="0"/>
          <w:marTop w:val="0"/>
          <w:marBottom w:val="0"/>
          <w:divBdr>
            <w:top w:val="none" w:sz="0" w:space="0" w:color="auto"/>
            <w:left w:val="none" w:sz="0" w:space="0" w:color="auto"/>
            <w:bottom w:val="none" w:sz="0" w:space="0" w:color="auto"/>
            <w:right w:val="none" w:sz="0" w:space="0" w:color="auto"/>
          </w:divBdr>
        </w:div>
        <w:div w:id="1295864567">
          <w:marLeft w:val="0"/>
          <w:marRight w:val="0"/>
          <w:marTop w:val="0"/>
          <w:marBottom w:val="0"/>
          <w:divBdr>
            <w:top w:val="none" w:sz="0" w:space="0" w:color="auto"/>
            <w:left w:val="none" w:sz="0" w:space="0" w:color="auto"/>
            <w:bottom w:val="none" w:sz="0" w:space="0" w:color="auto"/>
            <w:right w:val="none" w:sz="0" w:space="0" w:color="auto"/>
          </w:divBdr>
        </w:div>
        <w:div w:id="1295868700">
          <w:marLeft w:val="0"/>
          <w:marRight w:val="0"/>
          <w:marTop w:val="0"/>
          <w:marBottom w:val="0"/>
          <w:divBdr>
            <w:top w:val="none" w:sz="0" w:space="0" w:color="auto"/>
            <w:left w:val="none" w:sz="0" w:space="0" w:color="auto"/>
            <w:bottom w:val="none" w:sz="0" w:space="0" w:color="auto"/>
            <w:right w:val="none" w:sz="0" w:space="0" w:color="auto"/>
          </w:divBdr>
        </w:div>
        <w:div w:id="1302271989">
          <w:marLeft w:val="0"/>
          <w:marRight w:val="0"/>
          <w:marTop w:val="0"/>
          <w:marBottom w:val="0"/>
          <w:divBdr>
            <w:top w:val="none" w:sz="0" w:space="0" w:color="auto"/>
            <w:left w:val="none" w:sz="0" w:space="0" w:color="auto"/>
            <w:bottom w:val="none" w:sz="0" w:space="0" w:color="auto"/>
            <w:right w:val="none" w:sz="0" w:space="0" w:color="auto"/>
          </w:divBdr>
        </w:div>
        <w:div w:id="1304045182">
          <w:marLeft w:val="0"/>
          <w:marRight w:val="0"/>
          <w:marTop w:val="0"/>
          <w:marBottom w:val="0"/>
          <w:divBdr>
            <w:top w:val="none" w:sz="0" w:space="0" w:color="auto"/>
            <w:left w:val="none" w:sz="0" w:space="0" w:color="auto"/>
            <w:bottom w:val="none" w:sz="0" w:space="0" w:color="auto"/>
            <w:right w:val="none" w:sz="0" w:space="0" w:color="auto"/>
          </w:divBdr>
        </w:div>
        <w:div w:id="1314213362">
          <w:marLeft w:val="0"/>
          <w:marRight w:val="0"/>
          <w:marTop w:val="0"/>
          <w:marBottom w:val="0"/>
          <w:divBdr>
            <w:top w:val="none" w:sz="0" w:space="0" w:color="auto"/>
            <w:left w:val="none" w:sz="0" w:space="0" w:color="auto"/>
            <w:bottom w:val="none" w:sz="0" w:space="0" w:color="auto"/>
            <w:right w:val="none" w:sz="0" w:space="0" w:color="auto"/>
          </w:divBdr>
        </w:div>
        <w:div w:id="1314992322">
          <w:marLeft w:val="0"/>
          <w:marRight w:val="0"/>
          <w:marTop w:val="0"/>
          <w:marBottom w:val="0"/>
          <w:divBdr>
            <w:top w:val="none" w:sz="0" w:space="0" w:color="auto"/>
            <w:left w:val="none" w:sz="0" w:space="0" w:color="auto"/>
            <w:bottom w:val="none" w:sz="0" w:space="0" w:color="auto"/>
            <w:right w:val="none" w:sz="0" w:space="0" w:color="auto"/>
          </w:divBdr>
        </w:div>
        <w:div w:id="1341129014">
          <w:marLeft w:val="0"/>
          <w:marRight w:val="0"/>
          <w:marTop w:val="0"/>
          <w:marBottom w:val="0"/>
          <w:divBdr>
            <w:top w:val="none" w:sz="0" w:space="0" w:color="auto"/>
            <w:left w:val="none" w:sz="0" w:space="0" w:color="auto"/>
            <w:bottom w:val="none" w:sz="0" w:space="0" w:color="auto"/>
            <w:right w:val="none" w:sz="0" w:space="0" w:color="auto"/>
          </w:divBdr>
        </w:div>
        <w:div w:id="1346178080">
          <w:marLeft w:val="0"/>
          <w:marRight w:val="0"/>
          <w:marTop w:val="0"/>
          <w:marBottom w:val="0"/>
          <w:divBdr>
            <w:top w:val="none" w:sz="0" w:space="0" w:color="auto"/>
            <w:left w:val="none" w:sz="0" w:space="0" w:color="auto"/>
            <w:bottom w:val="none" w:sz="0" w:space="0" w:color="auto"/>
            <w:right w:val="none" w:sz="0" w:space="0" w:color="auto"/>
          </w:divBdr>
          <w:divsChild>
            <w:div w:id="299387874">
              <w:marLeft w:val="0"/>
              <w:marRight w:val="0"/>
              <w:marTop w:val="0"/>
              <w:marBottom w:val="0"/>
              <w:divBdr>
                <w:top w:val="none" w:sz="0" w:space="0" w:color="auto"/>
                <w:left w:val="none" w:sz="0" w:space="0" w:color="auto"/>
                <w:bottom w:val="none" w:sz="0" w:space="0" w:color="auto"/>
                <w:right w:val="none" w:sz="0" w:space="0" w:color="auto"/>
              </w:divBdr>
            </w:div>
            <w:div w:id="324743567">
              <w:marLeft w:val="0"/>
              <w:marRight w:val="0"/>
              <w:marTop w:val="0"/>
              <w:marBottom w:val="0"/>
              <w:divBdr>
                <w:top w:val="none" w:sz="0" w:space="0" w:color="auto"/>
                <w:left w:val="none" w:sz="0" w:space="0" w:color="auto"/>
                <w:bottom w:val="none" w:sz="0" w:space="0" w:color="auto"/>
                <w:right w:val="none" w:sz="0" w:space="0" w:color="auto"/>
              </w:divBdr>
            </w:div>
            <w:div w:id="488177676">
              <w:marLeft w:val="0"/>
              <w:marRight w:val="0"/>
              <w:marTop w:val="0"/>
              <w:marBottom w:val="0"/>
              <w:divBdr>
                <w:top w:val="none" w:sz="0" w:space="0" w:color="auto"/>
                <w:left w:val="none" w:sz="0" w:space="0" w:color="auto"/>
                <w:bottom w:val="none" w:sz="0" w:space="0" w:color="auto"/>
                <w:right w:val="none" w:sz="0" w:space="0" w:color="auto"/>
              </w:divBdr>
            </w:div>
            <w:div w:id="572351833">
              <w:marLeft w:val="0"/>
              <w:marRight w:val="0"/>
              <w:marTop w:val="0"/>
              <w:marBottom w:val="0"/>
              <w:divBdr>
                <w:top w:val="none" w:sz="0" w:space="0" w:color="auto"/>
                <w:left w:val="none" w:sz="0" w:space="0" w:color="auto"/>
                <w:bottom w:val="none" w:sz="0" w:space="0" w:color="auto"/>
                <w:right w:val="none" w:sz="0" w:space="0" w:color="auto"/>
              </w:divBdr>
            </w:div>
            <w:div w:id="612059430">
              <w:marLeft w:val="0"/>
              <w:marRight w:val="0"/>
              <w:marTop w:val="0"/>
              <w:marBottom w:val="0"/>
              <w:divBdr>
                <w:top w:val="none" w:sz="0" w:space="0" w:color="auto"/>
                <w:left w:val="none" w:sz="0" w:space="0" w:color="auto"/>
                <w:bottom w:val="none" w:sz="0" w:space="0" w:color="auto"/>
                <w:right w:val="none" w:sz="0" w:space="0" w:color="auto"/>
              </w:divBdr>
            </w:div>
            <w:div w:id="656762394">
              <w:marLeft w:val="0"/>
              <w:marRight w:val="0"/>
              <w:marTop w:val="0"/>
              <w:marBottom w:val="0"/>
              <w:divBdr>
                <w:top w:val="none" w:sz="0" w:space="0" w:color="auto"/>
                <w:left w:val="none" w:sz="0" w:space="0" w:color="auto"/>
                <w:bottom w:val="none" w:sz="0" w:space="0" w:color="auto"/>
                <w:right w:val="none" w:sz="0" w:space="0" w:color="auto"/>
              </w:divBdr>
            </w:div>
            <w:div w:id="669677914">
              <w:marLeft w:val="0"/>
              <w:marRight w:val="0"/>
              <w:marTop w:val="0"/>
              <w:marBottom w:val="0"/>
              <w:divBdr>
                <w:top w:val="none" w:sz="0" w:space="0" w:color="auto"/>
                <w:left w:val="none" w:sz="0" w:space="0" w:color="auto"/>
                <w:bottom w:val="none" w:sz="0" w:space="0" w:color="auto"/>
                <w:right w:val="none" w:sz="0" w:space="0" w:color="auto"/>
              </w:divBdr>
            </w:div>
            <w:div w:id="885263900">
              <w:marLeft w:val="0"/>
              <w:marRight w:val="0"/>
              <w:marTop w:val="0"/>
              <w:marBottom w:val="0"/>
              <w:divBdr>
                <w:top w:val="none" w:sz="0" w:space="0" w:color="auto"/>
                <w:left w:val="none" w:sz="0" w:space="0" w:color="auto"/>
                <w:bottom w:val="none" w:sz="0" w:space="0" w:color="auto"/>
                <w:right w:val="none" w:sz="0" w:space="0" w:color="auto"/>
              </w:divBdr>
            </w:div>
            <w:div w:id="1089502257">
              <w:marLeft w:val="0"/>
              <w:marRight w:val="0"/>
              <w:marTop w:val="0"/>
              <w:marBottom w:val="0"/>
              <w:divBdr>
                <w:top w:val="none" w:sz="0" w:space="0" w:color="auto"/>
                <w:left w:val="none" w:sz="0" w:space="0" w:color="auto"/>
                <w:bottom w:val="none" w:sz="0" w:space="0" w:color="auto"/>
                <w:right w:val="none" w:sz="0" w:space="0" w:color="auto"/>
              </w:divBdr>
            </w:div>
            <w:div w:id="1133521431">
              <w:marLeft w:val="0"/>
              <w:marRight w:val="0"/>
              <w:marTop w:val="0"/>
              <w:marBottom w:val="0"/>
              <w:divBdr>
                <w:top w:val="none" w:sz="0" w:space="0" w:color="auto"/>
                <w:left w:val="none" w:sz="0" w:space="0" w:color="auto"/>
                <w:bottom w:val="none" w:sz="0" w:space="0" w:color="auto"/>
                <w:right w:val="none" w:sz="0" w:space="0" w:color="auto"/>
              </w:divBdr>
            </w:div>
            <w:div w:id="1139765023">
              <w:marLeft w:val="0"/>
              <w:marRight w:val="0"/>
              <w:marTop w:val="0"/>
              <w:marBottom w:val="0"/>
              <w:divBdr>
                <w:top w:val="none" w:sz="0" w:space="0" w:color="auto"/>
                <w:left w:val="none" w:sz="0" w:space="0" w:color="auto"/>
                <w:bottom w:val="none" w:sz="0" w:space="0" w:color="auto"/>
                <w:right w:val="none" w:sz="0" w:space="0" w:color="auto"/>
              </w:divBdr>
            </w:div>
            <w:div w:id="1319654132">
              <w:marLeft w:val="0"/>
              <w:marRight w:val="0"/>
              <w:marTop w:val="0"/>
              <w:marBottom w:val="0"/>
              <w:divBdr>
                <w:top w:val="none" w:sz="0" w:space="0" w:color="auto"/>
                <w:left w:val="none" w:sz="0" w:space="0" w:color="auto"/>
                <w:bottom w:val="none" w:sz="0" w:space="0" w:color="auto"/>
                <w:right w:val="none" w:sz="0" w:space="0" w:color="auto"/>
              </w:divBdr>
            </w:div>
            <w:div w:id="1472092995">
              <w:marLeft w:val="0"/>
              <w:marRight w:val="0"/>
              <w:marTop w:val="0"/>
              <w:marBottom w:val="0"/>
              <w:divBdr>
                <w:top w:val="none" w:sz="0" w:space="0" w:color="auto"/>
                <w:left w:val="none" w:sz="0" w:space="0" w:color="auto"/>
                <w:bottom w:val="none" w:sz="0" w:space="0" w:color="auto"/>
                <w:right w:val="none" w:sz="0" w:space="0" w:color="auto"/>
              </w:divBdr>
            </w:div>
            <w:div w:id="1480344483">
              <w:marLeft w:val="0"/>
              <w:marRight w:val="0"/>
              <w:marTop w:val="0"/>
              <w:marBottom w:val="0"/>
              <w:divBdr>
                <w:top w:val="none" w:sz="0" w:space="0" w:color="auto"/>
                <w:left w:val="none" w:sz="0" w:space="0" w:color="auto"/>
                <w:bottom w:val="none" w:sz="0" w:space="0" w:color="auto"/>
                <w:right w:val="none" w:sz="0" w:space="0" w:color="auto"/>
              </w:divBdr>
            </w:div>
            <w:div w:id="1556114114">
              <w:marLeft w:val="0"/>
              <w:marRight w:val="0"/>
              <w:marTop w:val="0"/>
              <w:marBottom w:val="0"/>
              <w:divBdr>
                <w:top w:val="none" w:sz="0" w:space="0" w:color="auto"/>
                <w:left w:val="none" w:sz="0" w:space="0" w:color="auto"/>
                <w:bottom w:val="none" w:sz="0" w:space="0" w:color="auto"/>
                <w:right w:val="none" w:sz="0" w:space="0" w:color="auto"/>
              </w:divBdr>
            </w:div>
            <w:div w:id="1641308210">
              <w:marLeft w:val="0"/>
              <w:marRight w:val="0"/>
              <w:marTop w:val="0"/>
              <w:marBottom w:val="0"/>
              <w:divBdr>
                <w:top w:val="none" w:sz="0" w:space="0" w:color="auto"/>
                <w:left w:val="none" w:sz="0" w:space="0" w:color="auto"/>
                <w:bottom w:val="none" w:sz="0" w:space="0" w:color="auto"/>
                <w:right w:val="none" w:sz="0" w:space="0" w:color="auto"/>
              </w:divBdr>
            </w:div>
            <w:div w:id="1708752080">
              <w:marLeft w:val="0"/>
              <w:marRight w:val="0"/>
              <w:marTop w:val="0"/>
              <w:marBottom w:val="0"/>
              <w:divBdr>
                <w:top w:val="none" w:sz="0" w:space="0" w:color="auto"/>
                <w:left w:val="none" w:sz="0" w:space="0" w:color="auto"/>
                <w:bottom w:val="none" w:sz="0" w:space="0" w:color="auto"/>
                <w:right w:val="none" w:sz="0" w:space="0" w:color="auto"/>
              </w:divBdr>
            </w:div>
            <w:div w:id="1759251196">
              <w:marLeft w:val="0"/>
              <w:marRight w:val="0"/>
              <w:marTop w:val="0"/>
              <w:marBottom w:val="0"/>
              <w:divBdr>
                <w:top w:val="none" w:sz="0" w:space="0" w:color="auto"/>
                <w:left w:val="none" w:sz="0" w:space="0" w:color="auto"/>
                <w:bottom w:val="none" w:sz="0" w:space="0" w:color="auto"/>
                <w:right w:val="none" w:sz="0" w:space="0" w:color="auto"/>
              </w:divBdr>
            </w:div>
            <w:div w:id="1967349514">
              <w:marLeft w:val="0"/>
              <w:marRight w:val="0"/>
              <w:marTop w:val="0"/>
              <w:marBottom w:val="0"/>
              <w:divBdr>
                <w:top w:val="none" w:sz="0" w:space="0" w:color="auto"/>
                <w:left w:val="none" w:sz="0" w:space="0" w:color="auto"/>
                <w:bottom w:val="none" w:sz="0" w:space="0" w:color="auto"/>
                <w:right w:val="none" w:sz="0" w:space="0" w:color="auto"/>
              </w:divBdr>
            </w:div>
            <w:div w:id="2069263619">
              <w:marLeft w:val="0"/>
              <w:marRight w:val="0"/>
              <w:marTop w:val="0"/>
              <w:marBottom w:val="0"/>
              <w:divBdr>
                <w:top w:val="none" w:sz="0" w:space="0" w:color="auto"/>
                <w:left w:val="none" w:sz="0" w:space="0" w:color="auto"/>
                <w:bottom w:val="none" w:sz="0" w:space="0" w:color="auto"/>
                <w:right w:val="none" w:sz="0" w:space="0" w:color="auto"/>
              </w:divBdr>
            </w:div>
          </w:divsChild>
        </w:div>
        <w:div w:id="1399981585">
          <w:marLeft w:val="0"/>
          <w:marRight w:val="0"/>
          <w:marTop w:val="0"/>
          <w:marBottom w:val="0"/>
          <w:divBdr>
            <w:top w:val="none" w:sz="0" w:space="0" w:color="auto"/>
            <w:left w:val="none" w:sz="0" w:space="0" w:color="auto"/>
            <w:bottom w:val="none" w:sz="0" w:space="0" w:color="auto"/>
            <w:right w:val="none" w:sz="0" w:space="0" w:color="auto"/>
          </w:divBdr>
        </w:div>
        <w:div w:id="1400131780">
          <w:marLeft w:val="0"/>
          <w:marRight w:val="0"/>
          <w:marTop w:val="0"/>
          <w:marBottom w:val="0"/>
          <w:divBdr>
            <w:top w:val="none" w:sz="0" w:space="0" w:color="auto"/>
            <w:left w:val="none" w:sz="0" w:space="0" w:color="auto"/>
            <w:bottom w:val="none" w:sz="0" w:space="0" w:color="auto"/>
            <w:right w:val="none" w:sz="0" w:space="0" w:color="auto"/>
          </w:divBdr>
        </w:div>
        <w:div w:id="1420828571">
          <w:marLeft w:val="0"/>
          <w:marRight w:val="0"/>
          <w:marTop w:val="0"/>
          <w:marBottom w:val="0"/>
          <w:divBdr>
            <w:top w:val="none" w:sz="0" w:space="0" w:color="auto"/>
            <w:left w:val="none" w:sz="0" w:space="0" w:color="auto"/>
            <w:bottom w:val="none" w:sz="0" w:space="0" w:color="auto"/>
            <w:right w:val="none" w:sz="0" w:space="0" w:color="auto"/>
          </w:divBdr>
        </w:div>
        <w:div w:id="1427461677">
          <w:marLeft w:val="0"/>
          <w:marRight w:val="0"/>
          <w:marTop w:val="0"/>
          <w:marBottom w:val="0"/>
          <w:divBdr>
            <w:top w:val="none" w:sz="0" w:space="0" w:color="auto"/>
            <w:left w:val="none" w:sz="0" w:space="0" w:color="auto"/>
            <w:bottom w:val="none" w:sz="0" w:space="0" w:color="auto"/>
            <w:right w:val="none" w:sz="0" w:space="0" w:color="auto"/>
          </w:divBdr>
        </w:div>
        <w:div w:id="1452746647">
          <w:marLeft w:val="0"/>
          <w:marRight w:val="0"/>
          <w:marTop w:val="0"/>
          <w:marBottom w:val="0"/>
          <w:divBdr>
            <w:top w:val="none" w:sz="0" w:space="0" w:color="auto"/>
            <w:left w:val="none" w:sz="0" w:space="0" w:color="auto"/>
            <w:bottom w:val="none" w:sz="0" w:space="0" w:color="auto"/>
            <w:right w:val="none" w:sz="0" w:space="0" w:color="auto"/>
          </w:divBdr>
        </w:div>
        <w:div w:id="1459059332">
          <w:marLeft w:val="0"/>
          <w:marRight w:val="0"/>
          <w:marTop w:val="0"/>
          <w:marBottom w:val="0"/>
          <w:divBdr>
            <w:top w:val="none" w:sz="0" w:space="0" w:color="auto"/>
            <w:left w:val="none" w:sz="0" w:space="0" w:color="auto"/>
            <w:bottom w:val="none" w:sz="0" w:space="0" w:color="auto"/>
            <w:right w:val="none" w:sz="0" w:space="0" w:color="auto"/>
          </w:divBdr>
        </w:div>
        <w:div w:id="1464807624">
          <w:marLeft w:val="0"/>
          <w:marRight w:val="0"/>
          <w:marTop w:val="0"/>
          <w:marBottom w:val="0"/>
          <w:divBdr>
            <w:top w:val="none" w:sz="0" w:space="0" w:color="auto"/>
            <w:left w:val="none" w:sz="0" w:space="0" w:color="auto"/>
            <w:bottom w:val="none" w:sz="0" w:space="0" w:color="auto"/>
            <w:right w:val="none" w:sz="0" w:space="0" w:color="auto"/>
          </w:divBdr>
        </w:div>
        <w:div w:id="1468546366">
          <w:marLeft w:val="0"/>
          <w:marRight w:val="0"/>
          <w:marTop w:val="0"/>
          <w:marBottom w:val="0"/>
          <w:divBdr>
            <w:top w:val="none" w:sz="0" w:space="0" w:color="auto"/>
            <w:left w:val="none" w:sz="0" w:space="0" w:color="auto"/>
            <w:bottom w:val="none" w:sz="0" w:space="0" w:color="auto"/>
            <w:right w:val="none" w:sz="0" w:space="0" w:color="auto"/>
          </w:divBdr>
        </w:div>
        <w:div w:id="1471750302">
          <w:marLeft w:val="0"/>
          <w:marRight w:val="0"/>
          <w:marTop w:val="0"/>
          <w:marBottom w:val="0"/>
          <w:divBdr>
            <w:top w:val="none" w:sz="0" w:space="0" w:color="auto"/>
            <w:left w:val="none" w:sz="0" w:space="0" w:color="auto"/>
            <w:bottom w:val="none" w:sz="0" w:space="0" w:color="auto"/>
            <w:right w:val="none" w:sz="0" w:space="0" w:color="auto"/>
          </w:divBdr>
          <w:divsChild>
            <w:div w:id="268978160">
              <w:marLeft w:val="0"/>
              <w:marRight w:val="0"/>
              <w:marTop w:val="0"/>
              <w:marBottom w:val="0"/>
              <w:divBdr>
                <w:top w:val="none" w:sz="0" w:space="0" w:color="auto"/>
                <w:left w:val="none" w:sz="0" w:space="0" w:color="auto"/>
                <w:bottom w:val="none" w:sz="0" w:space="0" w:color="auto"/>
                <w:right w:val="none" w:sz="0" w:space="0" w:color="auto"/>
              </w:divBdr>
            </w:div>
            <w:div w:id="345667903">
              <w:marLeft w:val="0"/>
              <w:marRight w:val="0"/>
              <w:marTop w:val="0"/>
              <w:marBottom w:val="0"/>
              <w:divBdr>
                <w:top w:val="none" w:sz="0" w:space="0" w:color="auto"/>
                <w:left w:val="none" w:sz="0" w:space="0" w:color="auto"/>
                <w:bottom w:val="none" w:sz="0" w:space="0" w:color="auto"/>
                <w:right w:val="none" w:sz="0" w:space="0" w:color="auto"/>
              </w:divBdr>
            </w:div>
            <w:div w:id="516625817">
              <w:marLeft w:val="0"/>
              <w:marRight w:val="0"/>
              <w:marTop w:val="0"/>
              <w:marBottom w:val="0"/>
              <w:divBdr>
                <w:top w:val="none" w:sz="0" w:space="0" w:color="auto"/>
                <w:left w:val="none" w:sz="0" w:space="0" w:color="auto"/>
                <w:bottom w:val="none" w:sz="0" w:space="0" w:color="auto"/>
                <w:right w:val="none" w:sz="0" w:space="0" w:color="auto"/>
              </w:divBdr>
            </w:div>
            <w:div w:id="556553289">
              <w:marLeft w:val="0"/>
              <w:marRight w:val="0"/>
              <w:marTop w:val="0"/>
              <w:marBottom w:val="0"/>
              <w:divBdr>
                <w:top w:val="none" w:sz="0" w:space="0" w:color="auto"/>
                <w:left w:val="none" w:sz="0" w:space="0" w:color="auto"/>
                <w:bottom w:val="none" w:sz="0" w:space="0" w:color="auto"/>
                <w:right w:val="none" w:sz="0" w:space="0" w:color="auto"/>
              </w:divBdr>
            </w:div>
            <w:div w:id="578945431">
              <w:marLeft w:val="0"/>
              <w:marRight w:val="0"/>
              <w:marTop w:val="0"/>
              <w:marBottom w:val="0"/>
              <w:divBdr>
                <w:top w:val="none" w:sz="0" w:space="0" w:color="auto"/>
                <w:left w:val="none" w:sz="0" w:space="0" w:color="auto"/>
                <w:bottom w:val="none" w:sz="0" w:space="0" w:color="auto"/>
                <w:right w:val="none" w:sz="0" w:space="0" w:color="auto"/>
              </w:divBdr>
            </w:div>
            <w:div w:id="627316612">
              <w:marLeft w:val="0"/>
              <w:marRight w:val="0"/>
              <w:marTop w:val="0"/>
              <w:marBottom w:val="0"/>
              <w:divBdr>
                <w:top w:val="none" w:sz="0" w:space="0" w:color="auto"/>
                <w:left w:val="none" w:sz="0" w:space="0" w:color="auto"/>
                <w:bottom w:val="none" w:sz="0" w:space="0" w:color="auto"/>
                <w:right w:val="none" w:sz="0" w:space="0" w:color="auto"/>
              </w:divBdr>
            </w:div>
            <w:div w:id="647592765">
              <w:marLeft w:val="0"/>
              <w:marRight w:val="0"/>
              <w:marTop w:val="0"/>
              <w:marBottom w:val="0"/>
              <w:divBdr>
                <w:top w:val="none" w:sz="0" w:space="0" w:color="auto"/>
                <w:left w:val="none" w:sz="0" w:space="0" w:color="auto"/>
                <w:bottom w:val="none" w:sz="0" w:space="0" w:color="auto"/>
                <w:right w:val="none" w:sz="0" w:space="0" w:color="auto"/>
              </w:divBdr>
            </w:div>
            <w:div w:id="687485905">
              <w:marLeft w:val="0"/>
              <w:marRight w:val="0"/>
              <w:marTop w:val="0"/>
              <w:marBottom w:val="0"/>
              <w:divBdr>
                <w:top w:val="none" w:sz="0" w:space="0" w:color="auto"/>
                <w:left w:val="none" w:sz="0" w:space="0" w:color="auto"/>
                <w:bottom w:val="none" w:sz="0" w:space="0" w:color="auto"/>
                <w:right w:val="none" w:sz="0" w:space="0" w:color="auto"/>
              </w:divBdr>
            </w:div>
            <w:div w:id="755980741">
              <w:marLeft w:val="0"/>
              <w:marRight w:val="0"/>
              <w:marTop w:val="0"/>
              <w:marBottom w:val="0"/>
              <w:divBdr>
                <w:top w:val="none" w:sz="0" w:space="0" w:color="auto"/>
                <w:left w:val="none" w:sz="0" w:space="0" w:color="auto"/>
                <w:bottom w:val="none" w:sz="0" w:space="0" w:color="auto"/>
                <w:right w:val="none" w:sz="0" w:space="0" w:color="auto"/>
              </w:divBdr>
            </w:div>
            <w:div w:id="826944511">
              <w:marLeft w:val="0"/>
              <w:marRight w:val="0"/>
              <w:marTop w:val="0"/>
              <w:marBottom w:val="0"/>
              <w:divBdr>
                <w:top w:val="none" w:sz="0" w:space="0" w:color="auto"/>
                <w:left w:val="none" w:sz="0" w:space="0" w:color="auto"/>
                <w:bottom w:val="none" w:sz="0" w:space="0" w:color="auto"/>
                <w:right w:val="none" w:sz="0" w:space="0" w:color="auto"/>
              </w:divBdr>
            </w:div>
            <w:div w:id="1134831433">
              <w:marLeft w:val="0"/>
              <w:marRight w:val="0"/>
              <w:marTop w:val="0"/>
              <w:marBottom w:val="0"/>
              <w:divBdr>
                <w:top w:val="none" w:sz="0" w:space="0" w:color="auto"/>
                <w:left w:val="none" w:sz="0" w:space="0" w:color="auto"/>
                <w:bottom w:val="none" w:sz="0" w:space="0" w:color="auto"/>
                <w:right w:val="none" w:sz="0" w:space="0" w:color="auto"/>
              </w:divBdr>
            </w:div>
            <w:div w:id="1607930067">
              <w:marLeft w:val="0"/>
              <w:marRight w:val="0"/>
              <w:marTop w:val="0"/>
              <w:marBottom w:val="0"/>
              <w:divBdr>
                <w:top w:val="none" w:sz="0" w:space="0" w:color="auto"/>
                <w:left w:val="none" w:sz="0" w:space="0" w:color="auto"/>
                <w:bottom w:val="none" w:sz="0" w:space="0" w:color="auto"/>
                <w:right w:val="none" w:sz="0" w:space="0" w:color="auto"/>
              </w:divBdr>
            </w:div>
            <w:div w:id="1819107256">
              <w:marLeft w:val="0"/>
              <w:marRight w:val="0"/>
              <w:marTop w:val="0"/>
              <w:marBottom w:val="0"/>
              <w:divBdr>
                <w:top w:val="none" w:sz="0" w:space="0" w:color="auto"/>
                <w:left w:val="none" w:sz="0" w:space="0" w:color="auto"/>
                <w:bottom w:val="none" w:sz="0" w:space="0" w:color="auto"/>
                <w:right w:val="none" w:sz="0" w:space="0" w:color="auto"/>
              </w:divBdr>
            </w:div>
            <w:div w:id="1850291635">
              <w:marLeft w:val="0"/>
              <w:marRight w:val="0"/>
              <w:marTop w:val="0"/>
              <w:marBottom w:val="0"/>
              <w:divBdr>
                <w:top w:val="none" w:sz="0" w:space="0" w:color="auto"/>
                <w:left w:val="none" w:sz="0" w:space="0" w:color="auto"/>
                <w:bottom w:val="none" w:sz="0" w:space="0" w:color="auto"/>
                <w:right w:val="none" w:sz="0" w:space="0" w:color="auto"/>
              </w:divBdr>
            </w:div>
            <w:div w:id="1856453919">
              <w:marLeft w:val="0"/>
              <w:marRight w:val="0"/>
              <w:marTop w:val="0"/>
              <w:marBottom w:val="0"/>
              <w:divBdr>
                <w:top w:val="none" w:sz="0" w:space="0" w:color="auto"/>
                <w:left w:val="none" w:sz="0" w:space="0" w:color="auto"/>
                <w:bottom w:val="none" w:sz="0" w:space="0" w:color="auto"/>
                <w:right w:val="none" w:sz="0" w:space="0" w:color="auto"/>
              </w:divBdr>
            </w:div>
            <w:div w:id="1897889634">
              <w:marLeft w:val="0"/>
              <w:marRight w:val="0"/>
              <w:marTop w:val="0"/>
              <w:marBottom w:val="0"/>
              <w:divBdr>
                <w:top w:val="none" w:sz="0" w:space="0" w:color="auto"/>
                <w:left w:val="none" w:sz="0" w:space="0" w:color="auto"/>
                <w:bottom w:val="none" w:sz="0" w:space="0" w:color="auto"/>
                <w:right w:val="none" w:sz="0" w:space="0" w:color="auto"/>
              </w:divBdr>
            </w:div>
            <w:div w:id="1898972361">
              <w:marLeft w:val="0"/>
              <w:marRight w:val="0"/>
              <w:marTop w:val="0"/>
              <w:marBottom w:val="0"/>
              <w:divBdr>
                <w:top w:val="none" w:sz="0" w:space="0" w:color="auto"/>
                <w:left w:val="none" w:sz="0" w:space="0" w:color="auto"/>
                <w:bottom w:val="none" w:sz="0" w:space="0" w:color="auto"/>
                <w:right w:val="none" w:sz="0" w:space="0" w:color="auto"/>
              </w:divBdr>
            </w:div>
            <w:div w:id="2055347108">
              <w:marLeft w:val="0"/>
              <w:marRight w:val="0"/>
              <w:marTop w:val="0"/>
              <w:marBottom w:val="0"/>
              <w:divBdr>
                <w:top w:val="none" w:sz="0" w:space="0" w:color="auto"/>
                <w:left w:val="none" w:sz="0" w:space="0" w:color="auto"/>
                <w:bottom w:val="none" w:sz="0" w:space="0" w:color="auto"/>
                <w:right w:val="none" w:sz="0" w:space="0" w:color="auto"/>
              </w:divBdr>
            </w:div>
            <w:div w:id="2087414590">
              <w:marLeft w:val="0"/>
              <w:marRight w:val="0"/>
              <w:marTop w:val="0"/>
              <w:marBottom w:val="0"/>
              <w:divBdr>
                <w:top w:val="none" w:sz="0" w:space="0" w:color="auto"/>
                <w:left w:val="none" w:sz="0" w:space="0" w:color="auto"/>
                <w:bottom w:val="none" w:sz="0" w:space="0" w:color="auto"/>
                <w:right w:val="none" w:sz="0" w:space="0" w:color="auto"/>
              </w:divBdr>
            </w:div>
            <w:div w:id="2123571299">
              <w:marLeft w:val="0"/>
              <w:marRight w:val="0"/>
              <w:marTop w:val="0"/>
              <w:marBottom w:val="0"/>
              <w:divBdr>
                <w:top w:val="none" w:sz="0" w:space="0" w:color="auto"/>
                <w:left w:val="none" w:sz="0" w:space="0" w:color="auto"/>
                <w:bottom w:val="none" w:sz="0" w:space="0" w:color="auto"/>
                <w:right w:val="none" w:sz="0" w:space="0" w:color="auto"/>
              </w:divBdr>
            </w:div>
          </w:divsChild>
        </w:div>
        <w:div w:id="1475559011">
          <w:marLeft w:val="0"/>
          <w:marRight w:val="0"/>
          <w:marTop w:val="0"/>
          <w:marBottom w:val="0"/>
          <w:divBdr>
            <w:top w:val="none" w:sz="0" w:space="0" w:color="auto"/>
            <w:left w:val="none" w:sz="0" w:space="0" w:color="auto"/>
            <w:bottom w:val="none" w:sz="0" w:space="0" w:color="auto"/>
            <w:right w:val="none" w:sz="0" w:space="0" w:color="auto"/>
          </w:divBdr>
          <w:divsChild>
            <w:div w:id="71319420">
              <w:marLeft w:val="0"/>
              <w:marRight w:val="0"/>
              <w:marTop w:val="0"/>
              <w:marBottom w:val="0"/>
              <w:divBdr>
                <w:top w:val="none" w:sz="0" w:space="0" w:color="auto"/>
                <w:left w:val="none" w:sz="0" w:space="0" w:color="auto"/>
                <w:bottom w:val="none" w:sz="0" w:space="0" w:color="auto"/>
                <w:right w:val="none" w:sz="0" w:space="0" w:color="auto"/>
              </w:divBdr>
            </w:div>
            <w:div w:id="147131369">
              <w:marLeft w:val="0"/>
              <w:marRight w:val="0"/>
              <w:marTop w:val="0"/>
              <w:marBottom w:val="0"/>
              <w:divBdr>
                <w:top w:val="none" w:sz="0" w:space="0" w:color="auto"/>
                <w:left w:val="none" w:sz="0" w:space="0" w:color="auto"/>
                <w:bottom w:val="none" w:sz="0" w:space="0" w:color="auto"/>
                <w:right w:val="none" w:sz="0" w:space="0" w:color="auto"/>
              </w:divBdr>
            </w:div>
            <w:div w:id="270935754">
              <w:marLeft w:val="0"/>
              <w:marRight w:val="0"/>
              <w:marTop w:val="0"/>
              <w:marBottom w:val="0"/>
              <w:divBdr>
                <w:top w:val="none" w:sz="0" w:space="0" w:color="auto"/>
                <w:left w:val="none" w:sz="0" w:space="0" w:color="auto"/>
                <w:bottom w:val="none" w:sz="0" w:space="0" w:color="auto"/>
                <w:right w:val="none" w:sz="0" w:space="0" w:color="auto"/>
              </w:divBdr>
            </w:div>
            <w:div w:id="290015736">
              <w:marLeft w:val="0"/>
              <w:marRight w:val="0"/>
              <w:marTop w:val="0"/>
              <w:marBottom w:val="0"/>
              <w:divBdr>
                <w:top w:val="none" w:sz="0" w:space="0" w:color="auto"/>
                <w:left w:val="none" w:sz="0" w:space="0" w:color="auto"/>
                <w:bottom w:val="none" w:sz="0" w:space="0" w:color="auto"/>
                <w:right w:val="none" w:sz="0" w:space="0" w:color="auto"/>
              </w:divBdr>
            </w:div>
            <w:div w:id="361052577">
              <w:marLeft w:val="0"/>
              <w:marRight w:val="0"/>
              <w:marTop w:val="0"/>
              <w:marBottom w:val="0"/>
              <w:divBdr>
                <w:top w:val="none" w:sz="0" w:space="0" w:color="auto"/>
                <w:left w:val="none" w:sz="0" w:space="0" w:color="auto"/>
                <w:bottom w:val="none" w:sz="0" w:space="0" w:color="auto"/>
                <w:right w:val="none" w:sz="0" w:space="0" w:color="auto"/>
              </w:divBdr>
            </w:div>
            <w:div w:id="494690484">
              <w:marLeft w:val="0"/>
              <w:marRight w:val="0"/>
              <w:marTop w:val="0"/>
              <w:marBottom w:val="0"/>
              <w:divBdr>
                <w:top w:val="none" w:sz="0" w:space="0" w:color="auto"/>
                <w:left w:val="none" w:sz="0" w:space="0" w:color="auto"/>
                <w:bottom w:val="none" w:sz="0" w:space="0" w:color="auto"/>
                <w:right w:val="none" w:sz="0" w:space="0" w:color="auto"/>
              </w:divBdr>
            </w:div>
            <w:div w:id="506796838">
              <w:marLeft w:val="0"/>
              <w:marRight w:val="0"/>
              <w:marTop w:val="0"/>
              <w:marBottom w:val="0"/>
              <w:divBdr>
                <w:top w:val="none" w:sz="0" w:space="0" w:color="auto"/>
                <w:left w:val="none" w:sz="0" w:space="0" w:color="auto"/>
                <w:bottom w:val="none" w:sz="0" w:space="0" w:color="auto"/>
                <w:right w:val="none" w:sz="0" w:space="0" w:color="auto"/>
              </w:divBdr>
            </w:div>
            <w:div w:id="542443981">
              <w:marLeft w:val="0"/>
              <w:marRight w:val="0"/>
              <w:marTop w:val="0"/>
              <w:marBottom w:val="0"/>
              <w:divBdr>
                <w:top w:val="none" w:sz="0" w:space="0" w:color="auto"/>
                <w:left w:val="none" w:sz="0" w:space="0" w:color="auto"/>
                <w:bottom w:val="none" w:sz="0" w:space="0" w:color="auto"/>
                <w:right w:val="none" w:sz="0" w:space="0" w:color="auto"/>
              </w:divBdr>
            </w:div>
            <w:div w:id="601111683">
              <w:marLeft w:val="0"/>
              <w:marRight w:val="0"/>
              <w:marTop w:val="0"/>
              <w:marBottom w:val="0"/>
              <w:divBdr>
                <w:top w:val="none" w:sz="0" w:space="0" w:color="auto"/>
                <w:left w:val="none" w:sz="0" w:space="0" w:color="auto"/>
                <w:bottom w:val="none" w:sz="0" w:space="0" w:color="auto"/>
                <w:right w:val="none" w:sz="0" w:space="0" w:color="auto"/>
              </w:divBdr>
            </w:div>
            <w:div w:id="726882940">
              <w:marLeft w:val="0"/>
              <w:marRight w:val="0"/>
              <w:marTop w:val="0"/>
              <w:marBottom w:val="0"/>
              <w:divBdr>
                <w:top w:val="none" w:sz="0" w:space="0" w:color="auto"/>
                <w:left w:val="none" w:sz="0" w:space="0" w:color="auto"/>
                <w:bottom w:val="none" w:sz="0" w:space="0" w:color="auto"/>
                <w:right w:val="none" w:sz="0" w:space="0" w:color="auto"/>
              </w:divBdr>
            </w:div>
            <w:div w:id="767432065">
              <w:marLeft w:val="0"/>
              <w:marRight w:val="0"/>
              <w:marTop w:val="0"/>
              <w:marBottom w:val="0"/>
              <w:divBdr>
                <w:top w:val="none" w:sz="0" w:space="0" w:color="auto"/>
                <w:left w:val="none" w:sz="0" w:space="0" w:color="auto"/>
                <w:bottom w:val="none" w:sz="0" w:space="0" w:color="auto"/>
                <w:right w:val="none" w:sz="0" w:space="0" w:color="auto"/>
              </w:divBdr>
            </w:div>
            <w:div w:id="866722052">
              <w:marLeft w:val="0"/>
              <w:marRight w:val="0"/>
              <w:marTop w:val="0"/>
              <w:marBottom w:val="0"/>
              <w:divBdr>
                <w:top w:val="none" w:sz="0" w:space="0" w:color="auto"/>
                <w:left w:val="none" w:sz="0" w:space="0" w:color="auto"/>
                <w:bottom w:val="none" w:sz="0" w:space="0" w:color="auto"/>
                <w:right w:val="none" w:sz="0" w:space="0" w:color="auto"/>
              </w:divBdr>
            </w:div>
            <w:div w:id="871301957">
              <w:marLeft w:val="0"/>
              <w:marRight w:val="0"/>
              <w:marTop w:val="0"/>
              <w:marBottom w:val="0"/>
              <w:divBdr>
                <w:top w:val="none" w:sz="0" w:space="0" w:color="auto"/>
                <w:left w:val="none" w:sz="0" w:space="0" w:color="auto"/>
                <w:bottom w:val="none" w:sz="0" w:space="0" w:color="auto"/>
                <w:right w:val="none" w:sz="0" w:space="0" w:color="auto"/>
              </w:divBdr>
            </w:div>
            <w:div w:id="1236166627">
              <w:marLeft w:val="0"/>
              <w:marRight w:val="0"/>
              <w:marTop w:val="0"/>
              <w:marBottom w:val="0"/>
              <w:divBdr>
                <w:top w:val="none" w:sz="0" w:space="0" w:color="auto"/>
                <w:left w:val="none" w:sz="0" w:space="0" w:color="auto"/>
                <w:bottom w:val="none" w:sz="0" w:space="0" w:color="auto"/>
                <w:right w:val="none" w:sz="0" w:space="0" w:color="auto"/>
              </w:divBdr>
            </w:div>
            <w:div w:id="1624657709">
              <w:marLeft w:val="0"/>
              <w:marRight w:val="0"/>
              <w:marTop w:val="0"/>
              <w:marBottom w:val="0"/>
              <w:divBdr>
                <w:top w:val="none" w:sz="0" w:space="0" w:color="auto"/>
                <w:left w:val="none" w:sz="0" w:space="0" w:color="auto"/>
                <w:bottom w:val="none" w:sz="0" w:space="0" w:color="auto"/>
                <w:right w:val="none" w:sz="0" w:space="0" w:color="auto"/>
              </w:divBdr>
            </w:div>
            <w:div w:id="1715353234">
              <w:marLeft w:val="0"/>
              <w:marRight w:val="0"/>
              <w:marTop w:val="0"/>
              <w:marBottom w:val="0"/>
              <w:divBdr>
                <w:top w:val="none" w:sz="0" w:space="0" w:color="auto"/>
                <w:left w:val="none" w:sz="0" w:space="0" w:color="auto"/>
                <w:bottom w:val="none" w:sz="0" w:space="0" w:color="auto"/>
                <w:right w:val="none" w:sz="0" w:space="0" w:color="auto"/>
              </w:divBdr>
            </w:div>
            <w:div w:id="1874804641">
              <w:marLeft w:val="0"/>
              <w:marRight w:val="0"/>
              <w:marTop w:val="0"/>
              <w:marBottom w:val="0"/>
              <w:divBdr>
                <w:top w:val="none" w:sz="0" w:space="0" w:color="auto"/>
                <w:left w:val="none" w:sz="0" w:space="0" w:color="auto"/>
                <w:bottom w:val="none" w:sz="0" w:space="0" w:color="auto"/>
                <w:right w:val="none" w:sz="0" w:space="0" w:color="auto"/>
              </w:divBdr>
            </w:div>
            <w:div w:id="2021159207">
              <w:marLeft w:val="0"/>
              <w:marRight w:val="0"/>
              <w:marTop w:val="0"/>
              <w:marBottom w:val="0"/>
              <w:divBdr>
                <w:top w:val="none" w:sz="0" w:space="0" w:color="auto"/>
                <w:left w:val="none" w:sz="0" w:space="0" w:color="auto"/>
                <w:bottom w:val="none" w:sz="0" w:space="0" w:color="auto"/>
                <w:right w:val="none" w:sz="0" w:space="0" w:color="auto"/>
              </w:divBdr>
            </w:div>
            <w:div w:id="2032682306">
              <w:marLeft w:val="0"/>
              <w:marRight w:val="0"/>
              <w:marTop w:val="0"/>
              <w:marBottom w:val="0"/>
              <w:divBdr>
                <w:top w:val="none" w:sz="0" w:space="0" w:color="auto"/>
                <w:left w:val="none" w:sz="0" w:space="0" w:color="auto"/>
                <w:bottom w:val="none" w:sz="0" w:space="0" w:color="auto"/>
                <w:right w:val="none" w:sz="0" w:space="0" w:color="auto"/>
              </w:divBdr>
            </w:div>
            <w:div w:id="2092464175">
              <w:marLeft w:val="0"/>
              <w:marRight w:val="0"/>
              <w:marTop w:val="0"/>
              <w:marBottom w:val="0"/>
              <w:divBdr>
                <w:top w:val="none" w:sz="0" w:space="0" w:color="auto"/>
                <w:left w:val="none" w:sz="0" w:space="0" w:color="auto"/>
                <w:bottom w:val="none" w:sz="0" w:space="0" w:color="auto"/>
                <w:right w:val="none" w:sz="0" w:space="0" w:color="auto"/>
              </w:divBdr>
            </w:div>
          </w:divsChild>
        </w:div>
        <w:div w:id="1514419950">
          <w:marLeft w:val="0"/>
          <w:marRight w:val="0"/>
          <w:marTop w:val="0"/>
          <w:marBottom w:val="0"/>
          <w:divBdr>
            <w:top w:val="none" w:sz="0" w:space="0" w:color="auto"/>
            <w:left w:val="none" w:sz="0" w:space="0" w:color="auto"/>
            <w:bottom w:val="none" w:sz="0" w:space="0" w:color="auto"/>
            <w:right w:val="none" w:sz="0" w:space="0" w:color="auto"/>
          </w:divBdr>
        </w:div>
        <w:div w:id="1528178431">
          <w:marLeft w:val="0"/>
          <w:marRight w:val="0"/>
          <w:marTop w:val="0"/>
          <w:marBottom w:val="0"/>
          <w:divBdr>
            <w:top w:val="none" w:sz="0" w:space="0" w:color="auto"/>
            <w:left w:val="none" w:sz="0" w:space="0" w:color="auto"/>
            <w:bottom w:val="none" w:sz="0" w:space="0" w:color="auto"/>
            <w:right w:val="none" w:sz="0" w:space="0" w:color="auto"/>
          </w:divBdr>
          <w:divsChild>
            <w:div w:id="243800382">
              <w:marLeft w:val="0"/>
              <w:marRight w:val="0"/>
              <w:marTop w:val="0"/>
              <w:marBottom w:val="0"/>
              <w:divBdr>
                <w:top w:val="none" w:sz="0" w:space="0" w:color="auto"/>
                <w:left w:val="none" w:sz="0" w:space="0" w:color="auto"/>
                <w:bottom w:val="none" w:sz="0" w:space="0" w:color="auto"/>
                <w:right w:val="none" w:sz="0" w:space="0" w:color="auto"/>
              </w:divBdr>
            </w:div>
            <w:div w:id="884563537">
              <w:marLeft w:val="0"/>
              <w:marRight w:val="0"/>
              <w:marTop w:val="0"/>
              <w:marBottom w:val="0"/>
              <w:divBdr>
                <w:top w:val="none" w:sz="0" w:space="0" w:color="auto"/>
                <w:left w:val="none" w:sz="0" w:space="0" w:color="auto"/>
                <w:bottom w:val="none" w:sz="0" w:space="0" w:color="auto"/>
                <w:right w:val="none" w:sz="0" w:space="0" w:color="auto"/>
              </w:divBdr>
            </w:div>
            <w:div w:id="904493221">
              <w:marLeft w:val="0"/>
              <w:marRight w:val="0"/>
              <w:marTop w:val="0"/>
              <w:marBottom w:val="0"/>
              <w:divBdr>
                <w:top w:val="none" w:sz="0" w:space="0" w:color="auto"/>
                <w:left w:val="none" w:sz="0" w:space="0" w:color="auto"/>
                <w:bottom w:val="none" w:sz="0" w:space="0" w:color="auto"/>
                <w:right w:val="none" w:sz="0" w:space="0" w:color="auto"/>
              </w:divBdr>
            </w:div>
            <w:div w:id="1115949031">
              <w:marLeft w:val="0"/>
              <w:marRight w:val="0"/>
              <w:marTop w:val="0"/>
              <w:marBottom w:val="0"/>
              <w:divBdr>
                <w:top w:val="none" w:sz="0" w:space="0" w:color="auto"/>
                <w:left w:val="none" w:sz="0" w:space="0" w:color="auto"/>
                <w:bottom w:val="none" w:sz="0" w:space="0" w:color="auto"/>
                <w:right w:val="none" w:sz="0" w:space="0" w:color="auto"/>
              </w:divBdr>
            </w:div>
            <w:div w:id="1156916465">
              <w:marLeft w:val="0"/>
              <w:marRight w:val="0"/>
              <w:marTop w:val="0"/>
              <w:marBottom w:val="0"/>
              <w:divBdr>
                <w:top w:val="none" w:sz="0" w:space="0" w:color="auto"/>
                <w:left w:val="none" w:sz="0" w:space="0" w:color="auto"/>
                <w:bottom w:val="none" w:sz="0" w:space="0" w:color="auto"/>
                <w:right w:val="none" w:sz="0" w:space="0" w:color="auto"/>
              </w:divBdr>
            </w:div>
            <w:div w:id="1208298124">
              <w:marLeft w:val="0"/>
              <w:marRight w:val="0"/>
              <w:marTop w:val="0"/>
              <w:marBottom w:val="0"/>
              <w:divBdr>
                <w:top w:val="none" w:sz="0" w:space="0" w:color="auto"/>
                <w:left w:val="none" w:sz="0" w:space="0" w:color="auto"/>
                <w:bottom w:val="none" w:sz="0" w:space="0" w:color="auto"/>
                <w:right w:val="none" w:sz="0" w:space="0" w:color="auto"/>
              </w:divBdr>
            </w:div>
            <w:div w:id="1636712355">
              <w:marLeft w:val="0"/>
              <w:marRight w:val="0"/>
              <w:marTop w:val="0"/>
              <w:marBottom w:val="0"/>
              <w:divBdr>
                <w:top w:val="none" w:sz="0" w:space="0" w:color="auto"/>
                <w:left w:val="none" w:sz="0" w:space="0" w:color="auto"/>
                <w:bottom w:val="none" w:sz="0" w:space="0" w:color="auto"/>
                <w:right w:val="none" w:sz="0" w:space="0" w:color="auto"/>
              </w:divBdr>
            </w:div>
            <w:div w:id="1642537258">
              <w:marLeft w:val="0"/>
              <w:marRight w:val="0"/>
              <w:marTop w:val="0"/>
              <w:marBottom w:val="0"/>
              <w:divBdr>
                <w:top w:val="none" w:sz="0" w:space="0" w:color="auto"/>
                <w:left w:val="none" w:sz="0" w:space="0" w:color="auto"/>
                <w:bottom w:val="none" w:sz="0" w:space="0" w:color="auto"/>
                <w:right w:val="none" w:sz="0" w:space="0" w:color="auto"/>
              </w:divBdr>
            </w:div>
            <w:div w:id="1673098597">
              <w:marLeft w:val="0"/>
              <w:marRight w:val="0"/>
              <w:marTop w:val="0"/>
              <w:marBottom w:val="0"/>
              <w:divBdr>
                <w:top w:val="none" w:sz="0" w:space="0" w:color="auto"/>
                <w:left w:val="none" w:sz="0" w:space="0" w:color="auto"/>
                <w:bottom w:val="none" w:sz="0" w:space="0" w:color="auto"/>
                <w:right w:val="none" w:sz="0" w:space="0" w:color="auto"/>
              </w:divBdr>
            </w:div>
            <w:div w:id="1678076731">
              <w:marLeft w:val="0"/>
              <w:marRight w:val="0"/>
              <w:marTop w:val="0"/>
              <w:marBottom w:val="0"/>
              <w:divBdr>
                <w:top w:val="none" w:sz="0" w:space="0" w:color="auto"/>
                <w:left w:val="none" w:sz="0" w:space="0" w:color="auto"/>
                <w:bottom w:val="none" w:sz="0" w:space="0" w:color="auto"/>
                <w:right w:val="none" w:sz="0" w:space="0" w:color="auto"/>
              </w:divBdr>
            </w:div>
            <w:div w:id="1869024608">
              <w:marLeft w:val="0"/>
              <w:marRight w:val="0"/>
              <w:marTop w:val="0"/>
              <w:marBottom w:val="0"/>
              <w:divBdr>
                <w:top w:val="none" w:sz="0" w:space="0" w:color="auto"/>
                <w:left w:val="none" w:sz="0" w:space="0" w:color="auto"/>
                <w:bottom w:val="none" w:sz="0" w:space="0" w:color="auto"/>
                <w:right w:val="none" w:sz="0" w:space="0" w:color="auto"/>
              </w:divBdr>
            </w:div>
          </w:divsChild>
        </w:div>
        <w:div w:id="1533298144">
          <w:marLeft w:val="0"/>
          <w:marRight w:val="0"/>
          <w:marTop w:val="0"/>
          <w:marBottom w:val="0"/>
          <w:divBdr>
            <w:top w:val="none" w:sz="0" w:space="0" w:color="auto"/>
            <w:left w:val="none" w:sz="0" w:space="0" w:color="auto"/>
            <w:bottom w:val="none" w:sz="0" w:space="0" w:color="auto"/>
            <w:right w:val="none" w:sz="0" w:space="0" w:color="auto"/>
          </w:divBdr>
        </w:div>
        <w:div w:id="1559634252">
          <w:marLeft w:val="0"/>
          <w:marRight w:val="0"/>
          <w:marTop w:val="0"/>
          <w:marBottom w:val="0"/>
          <w:divBdr>
            <w:top w:val="none" w:sz="0" w:space="0" w:color="auto"/>
            <w:left w:val="none" w:sz="0" w:space="0" w:color="auto"/>
            <w:bottom w:val="none" w:sz="0" w:space="0" w:color="auto"/>
            <w:right w:val="none" w:sz="0" w:space="0" w:color="auto"/>
          </w:divBdr>
        </w:div>
        <w:div w:id="1581594175">
          <w:marLeft w:val="0"/>
          <w:marRight w:val="0"/>
          <w:marTop w:val="0"/>
          <w:marBottom w:val="0"/>
          <w:divBdr>
            <w:top w:val="none" w:sz="0" w:space="0" w:color="auto"/>
            <w:left w:val="none" w:sz="0" w:space="0" w:color="auto"/>
            <w:bottom w:val="none" w:sz="0" w:space="0" w:color="auto"/>
            <w:right w:val="none" w:sz="0" w:space="0" w:color="auto"/>
          </w:divBdr>
        </w:div>
        <w:div w:id="1624076740">
          <w:marLeft w:val="0"/>
          <w:marRight w:val="0"/>
          <w:marTop w:val="0"/>
          <w:marBottom w:val="0"/>
          <w:divBdr>
            <w:top w:val="none" w:sz="0" w:space="0" w:color="auto"/>
            <w:left w:val="none" w:sz="0" w:space="0" w:color="auto"/>
            <w:bottom w:val="none" w:sz="0" w:space="0" w:color="auto"/>
            <w:right w:val="none" w:sz="0" w:space="0" w:color="auto"/>
          </w:divBdr>
        </w:div>
        <w:div w:id="1624575164">
          <w:marLeft w:val="0"/>
          <w:marRight w:val="0"/>
          <w:marTop w:val="0"/>
          <w:marBottom w:val="0"/>
          <w:divBdr>
            <w:top w:val="none" w:sz="0" w:space="0" w:color="auto"/>
            <w:left w:val="none" w:sz="0" w:space="0" w:color="auto"/>
            <w:bottom w:val="none" w:sz="0" w:space="0" w:color="auto"/>
            <w:right w:val="none" w:sz="0" w:space="0" w:color="auto"/>
          </w:divBdr>
        </w:div>
        <w:div w:id="1629891843">
          <w:marLeft w:val="0"/>
          <w:marRight w:val="0"/>
          <w:marTop w:val="0"/>
          <w:marBottom w:val="0"/>
          <w:divBdr>
            <w:top w:val="none" w:sz="0" w:space="0" w:color="auto"/>
            <w:left w:val="none" w:sz="0" w:space="0" w:color="auto"/>
            <w:bottom w:val="none" w:sz="0" w:space="0" w:color="auto"/>
            <w:right w:val="none" w:sz="0" w:space="0" w:color="auto"/>
          </w:divBdr>
        </w:div>
        <w:div w:id="1636988022">
          <w:marLeft w:val="0"/>
          <w:marRight w:val="0"/>
          <w:marTop w:val="0"/>
          <w:marBottom w:val="0"/>
          <w:divBdr>
            <w:top w:val="none" w:sz="0" w:space="0" w:color="auto"/>
            <w:left w:val="none" w:sz="0" w:space="0" w:color="auto"/>
            <w:bottom w:val="none" w:sz="0" w:space="0" w:color="auto"/>
            <w:right w:val="none" w:sz="0" w:space="0" w:color="auto"/>
          </w:divBdr>
        </w:div>
        <w:div w:id="1644461864">
          <w:marLeft w:val="0"/>
          <w:marRight w:val="0"/>
          <w:marTop w:val="0"/>
          <w:marBottom w:val="0"/>
          <w:divBdr>
            <w:top w:val="none" w:sz="0" w:space="0" w:color="auto"/>
            <w:left w:val="none" w:sz="0" w:space="0" w:color="auto"/>
            <w:bottom w:val="none" w:sz="0" w:space="0" w:color="auto"/>
            <w:right w:val="none" w:sz="0" w:space="0" w:color="auto"/>
          </w:divBdr>
        </w:div>
        <w:div w:id="1647516521">
          <w:marLeft w:val="0"/>
          <w:marRight w:val="0"/>
          <w:marTop w:val="0"/>
          <w:marBottom w:val="0"/>
          <w:divBdr>
            <w:top w:val="none" w:sz="0" w:space="0" w:color="auto"/>
            <w:left w:val="none" w:sz="0" w:space="0" w:color="auto"/>
            <w:bottom w:val="none" w:sz="0" w:space="0" w:color="auto"/>
            <w:right w:val="none" w:sz="0" w:space="0" w:color="auto"/>
          </w:divBdr>
        </w:div>
        <w:div w:id="1651246335">
          <w:marLeft w:val="0"/>
          <w:marRight w:val="0"/>
          <w:marTop w:val="0"/>
          <w:marBottom w:val="0"/>
          <w:divBdr>
            <w:top w:val="none" w:sz="0" w:space="0" w:color="auto"/>
            <w:left w:val="none" w:sz="0" w:space="0" w:color="auto"/>
            <w:bottom w:val="none" w:sz="0" w:space="0" w:color="auto"/>
            <w:right w:val="none" w:sz="0" w:space="0" w:color="auto"/>
          </w:divBdr>
        </w:div>
        <w:div w:id="1652097611">
          <w:marLeft w:val="0"/>
          <w:marRight w:val="0"/>
          <w:marTop w:val="0"/>
          <w:marBottom w:val="0"/>
          <w:divBdr>
            <w:top w:val="none" w:sz="0" w:space="0" w:color="auto"/>
            <w:left w:val="none" w:sz="0" w:space="0" w:color="auto"/>
            <w:bottom w:val="none" w:sz="0" w:space="0" w:color="auto"/>
            <w:right w:val="none" w:sz="0" w:space="0" w:color="auto"/>
          </w:divBdr>
        </w:div>
        <w:div w:id="1655337331">
          <w:marLeft w:val="0"/>
          <w:marRight w:val="0"/>
          <w:marTop w:val="0"/>
          <w:marBottom w:val="0"/>
          <w:divBdr>
            <w:top w:val="none" w:sz="0" w:space="0" w:color="auto"/>
            <w:left w:val="none" w:sz="0" w:space="0" w:color="auto"/>
            <w:bottom w:val="none" w:sz="0" w:space="0" w:color="auto"/>
            <w:right w:val="none" w:sz="0" w:space="0" w:color="auto"/>
          </w:divBdr>
        </w:div>
        <w:div w:id="1655404671">
          <w:marLeft w:val="0"/>
          <w:marRight w:val="0"/>
          <w:marTop w:val="0"/>
          <w:marBottom w:val="0"/>
          <w:divBdr>
            <w:top w:val="none" w:sz="0" w:space="0" w:color="auto"/>
            <w:left w:val="none" w:sz="0" w:space="0" w:color="auto"/>
            <w:bottom w:val="none" w:sz="0" w:space="0" w:color="auto"/>
            <w:right w:val="none" w:sz="0" w:space="0" w:color="auto"/>
          </w:divBdr>
        </w:div>
        <w:div w:id="1668895923">
          <w:marLeft w:val="0"/>
          <w:marRight w:val="0"/>
          <w:marTop w:val="0"/>
          <w:marBottom w:val="0"/>
          <w:divBdr>
            <w:top w:val="none" w:sz="0" w:space="0" w:color="auto"/>
            <w:left w:val="none" w:sz="0" w:space="0" w:color="auto"/>
            <w:bottom w:val="none" w:sz="0" w:space="0" w:color="auto"/>
            <w:right w:val="none" w:sz="0" w:space="0" w:color="auto"/>
          </w:divBdr>
        </w:div>
        <w:div w:id="1672641826">
          <w:marLeft w:val="0"/>
          <w:marRight w:val="0"/>
          <w:marTop w:val="0"/>
          <w:marBottom w:val="0"/>
          <w:divBdr>
            <w:top w:val="none" w:sz="0" w:space="0" w:color="auto"/>
            <w:left w:val="none" w:sz="0" w:space="0" w:color="auto"/>
            <w:bottom w:val="none" w:sz="0" w:space="0" w:color="auto"/>
            <w:right w:val="none" w:sz="0" w:space="0" w:color="auto"/>
          </w:divBdr>
        </w:div>
        <w:div w:id="1702389827">
          <w:marLeft w:val="0"/>
          <w:marRight w:val="0"/>
          <w:marTop w:val="0"/>
          <w:marBottom w:val="0"/>
          <w:divBdr>
            <w:top w:val="none" w:sz="0" w:space="0" w:color="auto"/>
            <w:left w:val="none" w:sz="0" w:space="0" w:color="auto"/>
            <w:bottom w:val="none" w:sz="0" w:space="0" w:color="auto"/>
            <w:right w:val="none" w:sz="0" w:space="0" w:color="auto"/>
          </w:divBdr>
        </w:div>
        <w:div w:id="1708412505">
          <w:marLeft w:val="0"/>
          <w:marRight w:val="0"/>
          <w:marTop w:val="0"/>
          <w:marBottom w:val="0"/>
          <w:divBdr>
            <w:top w:val="none" w:sz="0" w:space="0" w:color="auto"/>
            <w:left w:val="none" w:sz="0" w:space="0" w:color="auto"/>
            <w:bottom w:val="none" w:sz="0" w:space="0" w:color="auto"/>
            <w:right w:val="none" w:sz="0" w:space="0" w:color="auto"/>
          </w:divBdr>
        </w:div>
        <w:div w:id="1726292206">
          <w:marLeft w:val="0"/>
          <w:marRight w:val="0"/>
          <w:marTop w:val="0"/>
          <w:marBottom w:val="0"/>
          <w:divBdr>
            <w:top w:val="none" w:sz="0" w:space="0" w:color="auto"/>
            <w:left w:val="none" w:sz="0" w:space="0" w:color="auto"/>
            <w:bottom w:val="none" w:sz="0" w:space="0" w:color="auto"/>
            <w:right w:val="none" w:sz="0" w:space="0" w:color="auto"/>
          </w:divBdr>
        </w:div>
        <w:div w:id="1741562376">
          <w:marLeft w:val="0"/>
          <w:marRight w:val="0"/>
          <w:marTop w:val="0"/>
          <w:marBottom w:val="0"/>
          <w:divBdr>
            <w:top w:val="none" w:sz="0" w:space="0" w:color="auto"/>
            <w:left w:val="none" w:sz="0" w:space="0" w:color="auto"/>
            <w:bottom w:val="none" w:sz="0" w:space="0" w:color="auto"/>
            <w:right w:val="none" w:sz="0" w:space="0" w:color="auto"/>
          </w:divBdr>
          <w:divsChild>
            <w:div w:id="1513494609">
              <w:marLeft w:val="-75"/>
              <w:marRight w:val="0"/>
              <w:marTop w:val="30"/>
              <w:marBottom w:val="30"/>
              <w:divBdr>
                <w:top w:val="none" w:sz="0" w:space="0" w:color="auto"/>
                <w:left w:val="none" w:sz="0" w:space="0" w:color="auto"/>
                <w:bottom w:val="none" w:sz="0" w:space="0" w:color="auto"/>
                <w:right w:val="none" w:sz="0" w:space="0" w:color="auto"/>
              </w:divBdr>
              <w:divsChild>
                <w:div w:id="45491587">
                  <w:marLeft w:val="0"/>
                  <w:marRight w:val="0"/>
                  <w:marTop w:val="0"/>
                  <w:marBottom w:val="0"/>
                  <w:divBdr>
                    <w:top w:val="none" w:sz="0" w:space="0" w:color="auto"/>
                    <w:left w:val="none" w:sz="0" w:space="0" w:color="auto"/>
                    <w:bottom w:val="none" w:sz="0" w:space="0" w:color="auto"/>
                    <w:right w:val="none" w:sz="0" w:space="0" w:color="auto"/>
                  </w:divBdr>
                  <w:divsChild>
                    <w:div w:id="541941533">
                      <w:marLeft w:val="0"/>
                      <w:marRight w:val="0"/>
                      <w:marTop w:val="0"/>
                      <w:marBottom w:val="0"/>
                      <w:divBdr>
                        <w:top w:val="none" w:sz="0" w:space="0" w:color="auto"/>
                        <w:left w:val="none" w:sz="0" w:space="0" w:color="auto"/>
                        <w:bottom w:val="none" w:sz="0" w:space="0" w:color="auto"/>
                        <w:right w:val="none" w:sz="0" w:space="0" w:color="auto"/>
                      </w:divBdr>
                    </w:div>
                  </w:divsChild>
                </w:div>
                <w:div w:id="68768356">
                  <w:marLeft w:val="0"/>
                  <w:marRight w:val="0"/>
                  <w:marTop w:val="0"/>
                  <w:marBottom w:val="0"/>
                  <w:divBdr>
                    <w:top w:val="none" w:sz="0" w:space="0" w:color="auto"/>
                    <w:left w:val="none" w:sz="0" w:space="0" w:color="auto"/>
                    <w:bottom w:val="none" w:sz="0" w:space="0" w:color="auto"/>
                    <w:right w:val="none" w:sz="0" w:space="0" w:color="auto"/>
                  </w:divBdr>
                  <w:divsChild>
                    <w:div w:id="1989236956">
                      <w:marLeft w:val="0"/>
                      <w:marRight w:val="0"/>
                      <w:marTop w:val="0"/>
                      <w:marBottom w:val="0"/>
                      <w:divBdr>
                        <w:top w:val="none" w:sz="0" w:space="0" w:color="auto"/>
                        <w:left w:val="none" w:sz="0" w:space="0" w:color="auto"/>
                        <w:bottom w:val="none" w:sz="0" w:space="0" w:color="auto"/>
                        <w:right w:val="none" w:sz="0" w:space="0" w:color="auto"/>
                      </w:divBdr>
                    </w:div>
                  </w:divsChild>
                </w:div>
                <w:div w:id="127012391">
                  <w:marLeft w:val="0"/>
                  <w:marRight w:val="0"/>
                  <w:marTop w:val="0"/>
                  <w:marBottom w:val="0"/>
                  <w:divBdr>
                    <w:top w:val="none" w:sz="0" w:space="0" w:color="auto"/>
                    <w:left w:val="none" w:sz="0" w:space="0" w:color="auto"/>
                    <w:bottom w:val="none" w:sz="0" w:space="0" w:color="auto"/>
                    <w:right w:val="none" w:sz="0" w:space="0" w:color="auto"/>
                  </w:divBdr>
                  <w:divsChild>
                    <w:div w:id="1860467761">
                      <w:marLeft w:val="0"/>
                      <w:marRight w:val="0"/>
                      <w:marTop w:val="0"/>
                      <w:marBottom w:val="0"/>
                      <w:divBdr>
                        <w:top w:val="none" w:sz="0" w:space="0" w:color="auto"/>
                        <w:left w:val="none" w:sz="0" w:space="0" w:color="auto"/>
                        <w:bottom w:val="none" w:sz="0" w:space="0" w:color="auto"/>
                        <w:right w:val="none" w:sz="0" w:space="0" w:color="auto"/>
                      </w:divBdr>
                    </w:div>
                  </w:divsChild>
                </w:div>
                <w:div w:id="197933821">
                  <w:marLeft w:val="0"/>
                  <w:marRight w:val="0"/>
                  <w:marTop w:val="0"/>
                  <w:marBottom w:val="0"/>
                  <w:divBdr>
                    <w:top w:val="none" w:sz="0" w:space="0" w:color="auto"/>
                    <w:left w:val="none" w:sz="0" w:space="0" w:color="auto"/>
                    <w:bottom w:val="none" w:sz="0" w:space="0" w:color="auto"/>
                    <w:right w:val="none" w:sz="0" w:space="0" w:color="auto"/>
                  </w:divBdr>
                  <w:divsChild>
                    <w:div w:id="1759210257">
                      <w:marLeft w:val="0"/>
                      <w:marRight w:val="0"/>
                      <w:marTop w:val="0"/>
                      <w:marBottom w:val="0"/>
                      <w:divBdr>
                        <w:top w:val="none" w:sz="0" w:space="0" w:color="auto"/>
                        <w:left w:val="none" w:sz="0" w:space="0" w:color="auto"/>
                        <w:bottom w:val="none" w:sz="0" w:space="0" w:color="auto"/>
                        <w:right w:val="none" w:sz="0" w:space="0" w:color="auto"/>
                      </w:divBdr>
                    </w:div>
                  </w:divsChild>
                </w:div>
                <w:div w:id="248932265">
                  <w:marLeft w:val="0"/>
                  <w:marRight w:val="0"/>
                  <w:marTop w:val="0"/>
                  <w:marBottom w:val="0"/>
                  <w:divBdr>
                    <w:top w:val="none" w:sz="0" w:space="0" w:color="auto"/>
                    <w:left w:val="none" w:sz="0" w:space="0" w:color="auto"/>
                    <w:bottom w:val="none" w:sz="0" w:space="0" w:color="auto"/>
                    <w:right w:val="none" w:sz="0" w:space="0" w:color="auto"/>
                  </w:divBdr>
                  <w:divsChild>
                    <w:div w:id="1959024433">
                      <w:marLeft w:val="0"/>
                      <w:marRight w:val="0"/>
                      <w:marTop w:val="0"/>
                      <w:marBottom w:val="0"/>
                      <w:divBdr>
                        <w:top w:val="none" w:sz="0" w:space="0" w:color="auto"/>
                        <w:left w:val="none" w:sz="0" w:space="0" w:color="auto"/>
                        <w:bottom w:val="none" w:sz="0" w:space="0" w:color="auto"/>
                        <w:right w:val="none" w:sz="0" w:space="0" w:color="auto"/>
                      </w:divBdr>
                    </w:div>
                  </w:divsChild>
                </w:div>
                <w:div w:id="267202875">
                  <w:marLeft w:val="0"/>
                  <w:marRight w:val="0"/>
                  <w:marTop w:val="0"/>
                  <w:marBottom w:val="0"/>
                  <w:divBdr>
                    <w:top w:val="none" w:sz="0" w:space="0" w:color="auto"/>
                    <w:left w:val="none" w:sz="0" w:space="0" w:color="auto"/>
                    <w:bottom w:val="none" w:sz="0" w:space="0" w:color="auto"/>
                    <w:right w:val="none" w:sz="0" w:space="0" w:color="auto"/>
                  </w:divBdr>
                  <w:divsChild>
                    <w:div w:id="1312715177">
                      <w:marLeft w:val="0"/>
                      <w:marRight w:val="0"/>
                      <w:marTop w:val="0"/>
                      <w:marBottom w:val="0"/>
                      <w:divBdr>
                        <w:top w:val="none" w:sz="0" w:space="0" w:color="auto"/>
                        <w:left w:val="none" w:sz="0" w:space="0" w:color="auto"/>
                        <w:bottom w:val="none" w:sz="0" w:space="0" w:color="auto"/>
                        <w:right w:val="none" w:sz="0" w:space="0" w:color="auto"/>
                      </w:divBdr>
                    </w:div>
                  </w:divsChild>
                </w:div>
                <w:div w:id="376512748">
                  <w:marLeft w:val="0"/>
                  <w:marRight w:val="0"/>
                  <w:marTop w:val="0"/>
                  <w:marBottom w:val="0"/>
                  <w:divBdr>
                    <w:top w:val="none" w:sz="0" w:space="0" w:color="auto"/>
                    <w:left w:val="none" w:sz="0" w:space="0" w:color="auto"/>
                    <w:bottom w:val="none" w:sz="0" w:space="0" w:color="auto"/>
                    <w:right w:val="none" w:sz="0" w:space="0" w:color="auto"/>
                  </w:divBdr>
                  <w:divsChild>
                    <w:div w:id="341444105">
                      <w:marLeft w:val="0"/>
                      <w:marRight w:val="0"/>
                      <w:marTop w:val="0"/>
                      <w:marBottom w:val="0"/>
                      <w:divBdr>
                        <w:top w:val="none" w:sz="0" w:space="0" w:color="auto"/>
                        <w:left w:val="none" w:sz="0" w:space="0" w:color="auto"/>
                        <w:bottom w:val="none" w:sz="0" w:space="0" w:color="auto"/>
                        <w:right w:val="none" w:sz="0" w:space="0" w:color="auto"/>
                      </w:divBdr>
                    </w:div>
                  </w:divsChild>
                </w:div>
                <w:div w:id="458768064">
                  <w:marLeft w:val="0"/>
                  <w:marRight w:val="0"/>
                  <w:marTop w:val="0"/>
                  <w:marBottom w:val="0"/>
                  <w:divBdr>
                    <w:top w:val="none" w:sz="0" w:space="0" w:color="auto"/>
                    <w:left w:val="none" w:sz="0" w:space="0" w:color="auto"/>
                    <w:bottom w:val="none" w:sz="0" w:space="0" w:color="auto"/>
                    <w:right w:val="none" w:sz="0" w:space="0" w:color="auto"/>
                  </w:divBdr>
                  <w:divsChild>
                    <w:div w:id="1150561153">
                      <w:marLeft w:val="0"/>
                      <w:marRight w:val="0"/>
                      <w:marTop w:val="0"/>
                      <w:marBottom w:val="0"/>
                      <w:divBdr>
                        <w:top w:val="none" w:sz="0" w:space="0" w:color="auto"/>
                        <w:left w:val="none" w:sz="0" w:space="0" w:color="auto"/>
                        <w:bottom w:val="none" w:sz="0" w:space="0" w:color="auto"/>
                        <w:right w:val="none" w:sz="0" w:space="0" w:color="auto"/>
                      </w:divBdr>
                    </w:div>
                  </w:divsChild>
                </w:div>
                <w:div w:id="472524856">
                  <w:marLeft w:val="0"/>
                  <w:marRight w:val="0"/>
                  <w:marTop w:val="0"/>
                  <w:marBottom w:val="0"/>
                  <w:divBdr>
                    <w:top w:val="none" w:sz="0" w:space="0" w:color="auto"/>
                    <w:left w:val="none" w:sz="0" w:space="0" w:color="auto"/>
                    <w:bottom w:val="none" w:sz="0" w:space="0" w:color="auto"/>
                    <w:right w:val="none" w:sz="0" w:space="0" w:color="auto"/>
                  </w:divBdr>
                  <w:divsChild>
                    <w:div w:id="21368380">
                      <w:marLeft w:val="0"/>
                      <w:marRight w:val="0"/>
                      <w:marTop w:val="0"/>
                      <w:marBottom w:val="0"/>
                      <w:divBdr>
                        <w:top w:val="none" w:sz="0" w:space="0" w:color="auto"/>
                        <w:left w:val="none" w:sz="0" w:space="0" w:color="auto"/>
                        <w:bottom w:val="none" w:sz="0" w:space="0" w:color="auto"/>
                        <w:right w:val="none" w:sz="0" w:space="0" w:color="auto"/>
                      </w:divBdr>
                    </w:div>
                  </w:divsChild>
                </w:div>
                <w:div w:id="478688292">
                  <w:marLeft w:val="0"/>
                  <w:marRight w:val="0"/>
                  <w:marTop w:val="0"/>
                  <w:marBottom w:val="0"/>
                  <w:divBdr>
                    <w:top w:val="none" w:sz="0" w:space="0" w:color="auto"/>
                    <w:left w:val="none" w:sz="0" w:space="0" w:color="auto"/>
                    <w:bottom w:val="none" w:sz="0" w:space="0" w:color="auto"/>
                    <w:right w:val="none" w:sz="0" w:space="0" w:color="auto"/>
                  </w:divBdr>
                  <w:divsChild>
                    <w:div w:id="1445688302">
                      <w:marLeft w:val="0"/>
                      <w:marRight w:val="0"/>
                      <w:marTop w:val="0"/>
                      <w:marBottom w:val="0"/>
                      <w:divBdr>
                        <w:top w:val="none" w:sz="0" w:space="0" w:color="auto"/>
                        <w:left w:val="none" w:sz="0" w:space="0" w:color="auto"/>
                        <w:bottom w:val="none" w:sz="0" w:space="0" w:color="auto"/>
                        <w:right w:val="none" w:sz="0" w:space="0" w:color="auto"/>
                      </w:divBdr>
                    </w:div>
                  </w:divsChild>
                </w:div>
                <w:div w:id="529949645">
                  <w:marLeft w:val="0"/>
                  <w:marRight w:val="0"/>
                  <w:marTop w:val="0"/>
                  <w:marBottom w:val="0"/>
                  <w:divBdr>
                    <w:top w:val="none" w:sz="0" w:space="0" w:color="auto"/>
                    <w:left w:val="none" w:sz="0" w:space="0" w:color="auto"/>
                    <w:bottom w:val="none" w:sz="0" w:space="0" w:color="auto"/>
                    <w:right w:val="none" w:sz="0" w:space="0" w:color="auto"/>
                  </w:divBdr>
                  <w:divsChild>
                    <w:div w:id="338045005">
                      <w:marLeft w:val="0"/>
                      <w:marRight w:val="0"/>
                      <w:marTop w:val="0"/>
                      <w:marBottom w:val="0"/>
                      <w:divBdr>
                        <w:top w:val="none" w:sz="0" w:space="0" w:color="auto"/>
                        <w:left w:val="none" w:sz="0" w:space="0" w:color="auto"/>
                        <w:bottom w:val="none" w:sz="0" w:space="0" w:color="auto"/>
                        <w:right w:val="none" w:sz="0" w:space="0" w:color="auto"/>
                      </w:divBdr>
                    </w:div>
                  </w:divsChild>
                </w:div>
                <w:div w:id="593131945">
                  <w:marLeft w:val="0"/>
                  <w:marRight w:val="0"/>
                  <w:marTop w:val="0"/>
                  <w:marBottom w:val="0"/>
                  <w:divBdr>
                    <w:top w:val="none" w:sz="0" w:space="0" w:color="auto"/>
                    <w:left w:val="none" w:sz="0" w:space="0" w:color="auto"/>
                    <w:bottom w:val="none" w:sz="0" w:space="0" w:color="auto"/>
                    <w:right w:val="none" w:sz="0" w:space="0" w:color="auto"/>
                  </w:divBdr>
                  <w:divsChild>
                    <w:div w:id="1614247805">
                      <w:marLeft w:val="0"/>
                      <w:marRight w:val="0"/>
                      <w:marTop w:val="0"/>
                      <w:marBottom w:val="0"/>
                      <w:divBdr>
                        <w:top w:val="none" w:sz="0" w:space="0" w:color="auto"/>
                        <w:left w:val="none" w:sz="0" w:space="0" w:color="auto"/>
                        <w:bottom w:val="none" w:sz="0" w:space="0" w:color="auto"/>
                        <w:right w:val="none" w:sz="0" w:space="0" w:color="auto"/>
                      </w:divBdr>
                    </w:div>
                  </w:divsChild>
                </w:div>
                <w:div w:id="652680964">
                  <w:marLeft w:val="0"/>
                  <w:marRight w:val="0"/>
                  <w:marTop w:val="0"/>
                  <w:marBottom w:val="0"/>
                  <w:divBdr>
                    <w:top w:val="none" w:sz="0" w:space="0" w:color="auto"/>
                    <w:left w:val="none" w:sz="0" w:space="0" w:color="auto"/>
                    <w:bottom w:val="none" w:sz="0" w:space="0" w:color="auto"/>
                    <w:right w:val="none" w:sz="0" w:space="0" w:color="auto"/>
                  </w:divBdr>
                  <w:divsChild>
                    <w:div w:id="92747180">
                      <w:marLeft w:val="0"/>
                      <w:marRight w:val="0"/>
                      <w:marTop w:val="0"/>
                      <w:marBottom w:val="0"/>
                      <w:divBdr>
                        <w:top w:val="none" w:sz="0" w:space="0" w:color="auto"/>
                        <w:left w:val="none" w:sz="0" w:space="0" w:color="auto"/>
                        <w:bottom w:val="none" w:sz="0" w:space="0" w:color="auto"/>
                        <w:right w:val="none" w:sz="0" w:space="0" w:color="auto"/>
                      </w:divBdr>
                    </w:div>
                  </w:divsChild>
                </w:div>
                <w:div w:id="676424373">
                  <w:marLeft w:val="0"/>
                  <w:marRight w:val="0"/>
                  <w:marTop w:val="0"/>
                  <w:marBottom w:val="0"/>
                  <w:divBdr>
                    <w:top w:val="none" w:sz="0" w:space="0" w:color="auto"/>
                    <w:left w:val="none" w:sz="0" w:space="0" w:color="auto"/>
                    <w:bottom w:val="none" w:sz="0" w:space="0" w:color="auto"/>
                    <w:right w:val="none" w:sz="0" w:space="0" w:color="auto"/>
                  </w:divBdr>
                  <w:divsChild>
                    <w:div w:id="984700805">
                      <w:marLeft w:val="0"/>
                      <w:marRight w:val="0"/>
                      <w:marTop w:val="0"/>
                      <w:marBottom w:val="0"/>
                      <w:divBdr>
                        <w:top w:val="none" w:sz="0" w:space="0" w:color="auto"/>
                        <w:left w:val="none" w:sz="0" w:space="0" w:color="auto"/>
                        <w:bottom w:val="none" w:sz="0" w:space="0" w:color="auto"/>
                        <w:right w:val="none" w:sz="0" w:space="0" w:color="auto"/>
                      </w:divBdr>
                    </w:div>
                  </w:divsChild>
                </w:div>
                <w:div w:id="762651489">
                  <w:marLeft w:val="0"/>
                  <w:marRight w:val="0"/>
                  <w:marTop w:val="0"/>
                  <w:marBottom w:val="0"/>
                  <w:divBdr>
                    <w:top w:val="none" w:sz="0" w:space="0" w:color="auto"/>
                    <w:left w:val="none" w:sz="0" w:space="0" w:color="auto"/>
                    <w:bottom w:val="none" w:sz="0" w:space="0" w:color="auto"/>
                    <w:right w:val="none" w:sz="0" w:space="0" w:color="auto"/>
                  </w:divBdr>
                  <w:divsChild>
                    <w:div w:id="100222765">
                      <w:marLeft w:val="0"/>
                      <w:marRight w:val="0"/>
                      <w:marTop w:val="0"/>
                      <w:marBottom w:val="0"/>
                      <w:divBdr>
                        <w:top w:val="none" w:sz="0" w:space="0" w:color="auto"/>
                        <w:left w:val="none" w:sz="0" w:space="0" w:color="auto"/>
                        <w:bottom w:val="none" w:sz="0" w:space="0" w:color="auto"/>
                        <w:right w:val="none" w:sz="0" w:space="0" w:color="auto"/>
                      </w:divBdr>
                    </w:div>
                  </w:divsChild>
                </w:div>
                <w:div w:id="834606811">
                  <w:marLeft w:val="0"/>
                  <w:marRight w:val="0"/>
                  <w:marTop w:val="0"/>
                  <w:marBottom w:val="0"/>
                  <w:divBdr>
                    <w:top w:val="none" w:sz="0" w:space="0" w:color="auto"/>
                    <w:left w:val="none" w:sz="0" w:space="0" w:color="auto"/>
                    <w:bottom w:val="none" w:sz="0" w:space="0" w:color="auto"/>
                    <w:right w:val="none" w:sz="0" w:space="0" w:color="auto"/>
                  </w:divBdr>
                  <w:divsChild>
                    <w:div w:id="544560669">
                      <w:marLeft w:val="0"/>
                      <w:marRight w:val="0"/>
                      <w:marTop w:val="0"/>
                      <w:marBottom w:val="0"/>
                      <w:divBdr>
                        <w:top w:val="none" w:sz="0" w:space="0" w:color="auto"/>
                        <w:left w:val="none" w:sz="0" w:space="0" w:color="auto"/>
                        <w:bottom w:val="none" w:sz="0" w:space="0" w:color="auto"/>
                        <w:right w:val="none" w:sz="0" w:space="0" w:color="auto"/>
                      </w:divBdr>
                    </w:div>
                  </w:divsChild>
                </w:div>
                <w:div w:id="880283364">
                  <w:marLeft w:val="0"/>
                  <w:marRight w:val="0"/>
                  <w:marTop w:val="0"/>
                  <w:marBottom w:val="0"/>
                  <w:divBdr>
                    <w:top w:val="none" w:sz="0" w:space="0" w:color="auto"/>
                    <w:left w:val="none" w:sz="0" w:space="0" w:color="auto"/>
                    <w:bottom w:val="none" w:sz="0" w:space="0" w:color="auto"/>
                    <w:right w:val="none" w:sz="0" w:space="0" w:color="auto"/>
                  </w:divBdr>
                  <w:divsChild>
                    <w:div w:id="2028479048">
                      <w:marLeft w:val="0"/>
                      <w:marRight w:val="0"/>
                      <w:marTop w:val="0"/>
                      <w:marBottom w:val="0"/>
                      <w:divBdr>
                        <w:top w:val="none" w:sz="0" w:space="0" w:color="auto"/>
                        <w:left w:val="none" w:sz="0" w:space="0" w:color="auto"/>
                        <w:bottom w:val="none" w:sz="0" w:space="0" w:color="auto"/>
                        <w:right w:val="none" w:sz="0" w:space="0" w:color="auto"/>
                      </w:divBdr>
                    </w:div>
                  </w:divsChild>
                </w:div>
                <w:div w:id="914361353">
                  <w:marLeft w:val="0"/>
                  <w:marRight w:val="0"/>
                  <w:marTop w:val="0"/>
                  <w:marBottom w:val="0"/>
                  <w:divBdr>
                    <w:top w:val="none" w:sz="0" w:space="0" w:color="auto"/>
                    <w:left w:val="none" w:sz="0" w:space="0" w:color="auto"/>
                    <w:bottom w:val="none" w:sz="0" w:space="0" w:color="auto"/>
                    <w:right w:val="none" w:sz="0" w:space="0" w:color="auto"/>
                  </w:divBdr>
                  <w:divsChild>
                    <w:div w:id="1616868318">
                      <w:marLeft w:val="0"/>
                      <w:marRight w:val="0"/>
                      <w:marTop w:val="0"/>
                      <w:marBottom w:val="0"/>
                      <w:divBdr>
                        <w:top w:val="none" w:sz="0" w:space="0" w:color="auto"/>
                        <w:left w:val="none" w:sz="0" w:space="0" w:color="auto"/>
                        <w:bottom w:val="none" w:sz="0" w:space="0" w:color="auto"/>
                        <w:right w:val="none" w:sz="0" w:space="0" w:color="auto"/>
                      </w:divBdr>
                    </w:div>
                  </w:divsChild>
                </w:div>
                <w:div w:id="922254537">
                  <w:marLeft w:val="0"/>
                  <w:marRight w:val="0"/>
                  <w:marTop w:val="0"/>
                  <w:marBottom w:val="0"/>
                  <w:divBdr>
                    <w:top w:val="none" w:sz="0" w:space="0" w:color="auto"/>
                    <w:left w:val="none" w:sz="0" w:space="0" w:color="auto"/>
                    <w:bottom w:val="none" w:sz="0" w:space="0" w:color="auto"/>
                    <w:right w:val="none" w:sz="0" w:space="0" w:color="auto"/>
                  </w:divBdr>
                  <w:divsChild>
                    <w:div w:id="1657414239">
                      <w:marLeft w:val="0"/>
                      <w:marRight w:val="0"/>
                      <w:marTop w:val="0"/>
                      <w:marBottom w:val="0"/>
                      <w:divBdr>
                        <w:top w:val="none" w:sz="0" w:space="0" w:color="auto"/>
                        <w:left w:val="none" w:sz="0" w:space="0" w:color="auto"/>
                        <w:bottom w:val="none" w:sz="0" w:space="0" w:color="auto"/>
                        <w:right w:val="none" w:sz="0" w:space="0" w:color="auto"/>
                      </w:divBdr>
                    </w:div>
                  </w:divsChild>
                </w:div>
                <w:div w:id="966357014">
                  <w:marLeft w:val="0"/>
                  <w:marRight w:val="0"/>
                  <w:marTop w:val="0"/>
                  <w:marBottom w:val="0"/>
                  <w:divBdr>
                    <w:top w:val="none" w:sz="0" w:space="0" w:color="auto"/>
                    <w:left w:val="none" w:sz="0" w:space="0" w:color="auto"/>
                    <w:bottom w:val="none" w:sz="0" w:space="0" w:color="auto"/>
                    <w:right w:val="none" w:sz="0" w:space="0" w:color="auto"/>
                  </w:divBdr>
                  <w:divsChild>
                    <w:div w:id="1738282918">
                      <w:marLeft w:val="0"/>
                      <w:marRight w:val="0"/>
                      <w:marTop w:val="0"/>
                      <w:marBottom w:val="0"/>
                      <w:divBdr>
                        <w:top w:val="none" w:sz="0" w:space="0" w:color="auto"/>
                        <w:left w:val="none" w:sz="0" w:space="0" w:color="auto"/>
                        <w:bottom w:val="none" w:sz="0" w:space="0" w:color="auto"/>
                        <w:right w:val="none" w:sz="0" w:space="0" w:color="auto"/>
                      </w:divBdr>
                    </w:div>
                  </w:divsChild>
                </w:div>
                <w:div w:id="1059746531">
                  <w:marLeft w:val="0"/>
                  <w:marRight w:val="0"/>
                  <w:marTop w:val="0"/>
                  <w:marBottom w:val="0"/>
                  <w:divBdr>
                    <w:top w:val="none" w:sz="0" w:space="0" w:color="auto"/>
                    <w:left w:val="none" w:sz="0" w:space="0" w:color="auto"/>
                    <w:bottom w:val="none" w:sz="0" w:space="0" w:color="auto"/>
                    <w:right w:val="none" w:sz="0" w:space="0" w:color="auto"/>
                  </w:divBdr>
                  <w:divsChild>
                    <w:div w:id="976834597">
                      <w:marLeft w:val="0"/>
                      <w:marRight w:val="0"/>
                      <w:marTop w:val="0"/>
                      <w:marBottom w:val="0"/>
                      <w:divBdr>
                        <w:top w:val="none" w:sz="0" w:space="0" w:color="auto"/>
                        <w:left w:val="none" w:sz="0" w:space="0" w:color="auto"/>
                        <w:bottom w:val="none" w:sz="0" w:space="0" w:color="auto"/>
                        <w:right w:val="none" w:sz="0" w:space="0" w:color="auto"/>
                      </w:divBdr>
                    </w:div>
                  </w:divsChild>
                </w:div>
                <w:div w:id="1181505200">
                  <w:marLeft w:val="0"/>
                  <w:marRight w:val="0"/>
                  <w:marTop w:val="0"/>
                  <w:marBottom w:val="0"/>
                  <w:divBdr>
                    <w:top w:val="none" w:sz="0" w:space="0" w:color="auto"/>
                    <w:left w:val="none" w:sz="0" w:space="0" w:color="auto"/>
                    <w:bottom w:val="none" w:sz="0" w:space="0" w:color="auto"/>
                    <w:right w:val="none" w:sz="0" w:space="0" w:color="auto"/>
                  </w:divBdr>
                  <w:divsChild>
                    <w:div w:id="869420997">
                      <w:marLeft w:val="0"/>
                      <w:marRight w:val="0"/>
                      <w:marTop w:val="0"/>
                      <w:marBottom w:val="0"/>
                      <w:divBdr>
                        <w:top w:val="none" w:sz="0" w:space="0" w:color="auto"/>
                        <w:left w:val="none" w:sz="0" w:space="0" w:color="auto"/>
                        <w:bottom w:val="none" w:sz="0" w:space="0" w:color="auto"/>
                        <w:right w:val="none" w:sz="0" w:space="0" w:color="auto"/>
                      </w:divBdr>
                    </w:div>
                  </w:divsChild>
                </w:div>
                <w:div w:id="1323198974">
                  <w:marLeft w:val="0"/>
                  <w:marRight w:val="0"/>
                  <w:marTop w:val="0"/>
                  <w:marBottom w:val="0"/>
                  <w:divBdr>
                    <w:top w:val="none" w:sz="0" w:space="0" w:color="auto"/>
                    <w:left w:val="none" w:sz="0" w:space="0" w:color="auto"/>
                    <w:bottom w:val="none" w:sz="0" w:space="0" w:color="auto"/>
                    <w:right w:val="none" w:sz="0" w:space="0" w:color="auto"/>
                  </w:divBdr>
                  <w:divsChild>
                    <w:div w:id="172497183">
                      <w:marLeft w:val="0"/>
                      <w:marRight w:val="0"/>
                      <w:marTop w:val="0"/>
                      <w:marBottom w:val="0"/>
                      <w:divBdr>
                        <w:top w:val="none" w:sz="0" w:space="0" w:color="auto"/>
                        <w:left w:val="none" w:sz="0" w:space="0" w:color="auto"/>
                        <w:bottom w:val="none" w:sz="0" w:space="0" w:color="auto"/>
                        <w:right w:val="none" w:sz="0" w:space="0" w:color="auto"/>
                      </w:divBdr>
                    </w:div>
                  </w:divsChild>
                </w:div>
                <w:div w:id="1352103479">
                  <w:marLeft w:val="0"/>
                  <w:marRight w:val="0"/>
                  <w:marTop w:val="0"/>
                  <w:marBottom w:val="0"/>
                  <w:divBdr>
                    <w:top w:val="none" w:sz="0" w:space="0" w:color="auto"/>
                    <w:left w:val="none" w:sz="0" w:space="0" w:color="auto"/>
                    <w:bottom w:val="none" w:sz="0" w:space="0" w:color="auto"/>
                    <w:right w:val="none" w:sz="0" w:space="0" w:color="auto"/>
                  </w:divBdr>
                  <w:divsChild>
                    <w:div w:id="1671909107">
                      <w:marLeft w:val="0"/>
                      <w:marRight w:val="0"/>
                      <w:marTop w:val="0"/>
                      <w:marBottom w:val="0"/>
                      <w:divBdr>
                        <w:top w:val="none" w:sz="0" w:space="0" w:color="auto"/>
                        <w:left w:val="none" w:sz="0" w:space="0" w:color="auto"/>
                        <w:bottom w:val="none" w:sz="0" w:space="0" w:color="auto"/>
                        <w:right w:val="none" w:sz="0" w:space="0" w:color="auto"/>
                      </w:divBdr>
                    </w:div>
                  </w:divsChild>
                </w:div>
                <w:div w:id="1385594805">
                  <w:marLeft w:val="0"/>
                  <w:marRight w:val="0"/>
                  <w:marTop w:val="0"/>
                  <w:marBottom w:val="0"/>
                  <w:divBdr>
                    <w:top w:val="none" w:sz="0" w:space="0" w:color="auto"/>
                    <w:left w:val="none" w:sz="0" w:space="0" w:color="auto"/>
                    <w:bottom w:val="none" w:sz="0" w:space="0" w:color="auto"/>
                    <w:right w:val="none" w:sz="0" w:space="0" w:color="auto"/>
                  </w:divBdr>
                  <w:divsChild>
                    <w:div w:id="1545290882">
                      <w:marLeft w:val="0"/>
                      <w:marRight w:val="0"/>
                      <w:marTop w:val="0"/>
                      <w:marBottom w:val="0"/>
                      <w:divBdr>
                        <w:top w:val="none" w:sz="0" w:space="0" w:color="auto"/>
                        <w:left w:val="none" w:sz="0" w:space="0" w:color="auto"/>
                        <w:bottom w:val="none" w:sz="0" w:space="0" w:color="auto"/>
                        <w:right w:val="none" w:sz="0" w:space="0" w:color="auto"/>
                      </w:divBdr>
                    </w:div>
                  </w:divsChild>
                </w:div>
                <w:div w:id="1407604338">
                  <w:marLeft w:val="0"/>
                  <w:marRight w:val="0"/>
                  <w:marTop w:val="0"/>
                  <w:marBottom w:val="0"/>
                  <w:divBdr>
                    <w:top w:val="none" w:sz="0" w:space="0" w:color="auto"/>
                    <w:left w:val="none" w:sz="0" w:space="0" w:color="auto"/>
                    <w:bottom w:val="none" w:sz="0" w:space="0" w:color="auto"/>
                    <w:right w:val="none" w:sz="0" w:space="0" w:color="auto"/>
                  </w:divBdr>
                  <w:divsChild>
                    <w:div w:id="706493870">
                      <w:marLeft w:val="0"/>
                      <w:marRight w:val="0"/>
                      <w:marTop w:val="0"/>
                      <w:marBottom w:val="0"/>
                      <w:divBdr>
                        <w:top w:val="none" w:sz="0" w:space="0" w:color="auto"/>
                        <w:left w:val="none" w:sz="0" w:space="0" w:color="auto"/>
                        <w:bottom w:val="none" w:sz="0" w:space="0" w:color="auto"/>
                        <w:right w:val="none" w:sz="0" w:space="0" w:color="auto"/>
                      </w:divBdr>
                    </w:div>
                  </w:divsChild>
                </w:div>
                <w:div w:id="1453749805">
                  <w:marLeft w:val="0"/>
                  <w:marRight w:val="0"/>
                  <w:marTop w:val="0"/>
                  <w:marBottom w:val="0"/>
                  <w:divBdr>
                    <w:top w:val="none" w:sz="0" w:space="0" w:color="auto"/>
                    <w:left w:val="none" w:sz="0" w:space="0" w:color="auto"/>
                    <w:bottom w:val="none" w:sz="0" w:space="0" w:color="auto"/>
                    <w:right w:val="none" w:sz="0" w:space="0" w:color="auto"/>
                  </w:divBdr>
                  <w:divsChild>
                    <w:div w:id="2026007728">
                      <w:marLeft w:val="0"/>
                      <w:marRight w:val="0"/>
                      <w:marTop w:val="0"/>
                      <w:marBottom w:val="0"/>
                      <w:divBdr>
                        <w:top w:val="none" w:sz="0" w:space="0" w:color="auto"/>
                        <w:left w:val="none" w:sz="0" w:space="0" w:color="auto"/>
                        <w:bottom w:val="none" w:sz="0" w:space="0" w:color="auto"/>
                        <w:right w:val="none" w:sz="0" w:space="0" w:color="auto"/>
                      </w:divBdr>
                    </w:div>
                  </w:divsChild>
                </w:div>
                <w:div w:id="1500341522">
                  <w:marLeft w:val="0"/>
                  <w:marRight w:val="0"/>
                  <w:marTop w:val="0"/>
                  <w:marBottom w:val="0"/>
                  <w:divBdr>
                    <w:top w:val="none" w:sz="0" w:space="0" w:color="auto"/>
                    <w:left w:val="none" w:sz="0" w:space="0" w:color="auto"/>
                    <w:bottom w:val="none" w:sz="0" w:space="0" w:color="auto"/>
                    <w:right w:val="none" w:sz="0" w:space="0" w:color="auto"/>
                  </w:divBdr>
                  <w:divsChild>
                    <w:div w:id="1356808742">
                      <w:marLeft w:val="0"/>
                      <w:marRight w:val="0"/>
                      <w:marTop w:val="0"/>
                      <w:marBottom w:val="0"/>
                      <w:divBdr>
                        <w:top w:val="none" w:sz="0" w:space="0" w:color="auto"/>
                        <w:left w:val="none" w:sz="0" w:space="0" w:color="auto"/>
                        <w:bottom w:val="none" w:sz="0" w:space="0" w:color="auto"/>
                        <w:right w:val="none" w:sz="0" w:space="0" w:color="auto"/>
                      </w:divBdr>
                    </w:div>
                  </w:divsChild>
                </w:div>
                <w:div w:id="1549803996">
                  <w:marLeft w:val="0"/>
                  <w:marRight w:val="0"/>
                  <w:marTop w:val="0"/>
                  <w:marBottom w:val="0"/>
                  <w:divBdr>
                    <w:top w:val="none" w:sz="0" w:space="0" w:color="auto"/>
                    <w:left w:val="none" w:sz="0" w:space="0" w:color="auto"/>
                    <w:bottom w:val="none" w:sz="0" w:space="0" w:color="auto"/>
                    <w:right w:val="none" w:sz="0" w:space="0" w:color="auto"/>
                  </w:divBdr>
                  <w:divsChild>
                    <w:div w:id="1745032112">
                      <w:marLeft w:val="0"/>
                      <w:marRight w:val="0"/>
                      <w:marTop w:val="0"/>
                      <w:marBottom w:val="0"/>
                      <w:divBdr>
                        <w:top w:val="none" w:sz="0" w:space="0" w:color="auto"/>
                        <w:left w:val="none" w:sz="0" w:space="0" w:color="auto"/>
                        <w:bottom w:val="none" w:sz="0" w:space="0" w:color="auto"/>
                        <w:right w:val="none" w:sz="0" w:space="0" w:color="auto"/>
                      </w:divBdr>
                    </w:div>
                  </w:divsChild>
                </w:div>
                <w:div w:id="1559391789">
                  <w:marLeft w:val="0"/>
                  <w:marRight w:val="0"/>
                  <w:marTop w:val="0"/>
                  <w:marBottom w:val="0"/>
                  <w:divBdr>
                    <w:top w:val="none" w:sz="0" w:space="0" w:color="auto"/>
                    <w:left w:val="none" w:sz="0" w:space="0" w:color="auto"/>
                    <w:bottom w:val="none" w:sz="0" w:space="0" w:color="auto"/>
                    <w:right w:val="none" w:sz="0" w:space="0" w:color="auto"/>
                  </w:divBdr>
                  <w:divsChild>
                    <w:div w:id="1938557785">
                      <w:marLeft w:val="0"/>
                      <w:marRight w:val="0"/>
                      <w:marTop w:val="0"/>
                      <w:marBottom w:val="0"/>
                      <w:divBdr>
                        <w:top w:val="none" w:sz="0" w:space="0" w:color="auto"/>
                        <w:left w:val="none" w:sz="0" w:space="0" w:color="auto"/>
                        <w:bottom w:val="none" w:sz="0" w:space="0" w:color="auto"/>
                        <w:right w:val="none" w:sz="0" w:space="0" w:color="auto"/>
                      </w:divBdr>
                    </w:div>
                  </w:divsChild>
                </w:div>
                <w:div w:id="1612125315">
                  <w:marLeft w:val="0"/>
                  <w:marRight w:val="0"/>
                  <w:marTop w:val="0"/>
                  <w:marBottom w:val="0"/>
                  <w:divBdr>
                    <w:top w:val="none" w:sz="0" w:space="0" w:color="auto"/>
                    <w:left w:val="none" w:sz="0" w:space="0" w:color="auto"/>
                    <w:bottom w:val="none" w:sz="0" w:space="0" w:color="auto"/>
                    <w:right w:val="none" w:sz="0" w:space="0" w:color="auto"/>
                  </w:divBdr>
                  <w:divsChild>
                    <w:div w:id="1645965439">
                      <w:marLeft w:val="0"/>
                      <w:marRight w:val="0"/>
                      <w:marTop w:val="0"/>
                      <w:marBottom w:val="0"/>
                      <w:divBdr>
                        <w:top w:val="none" w:sz="0" w:space="0" w:color="auto"/>
                        <w:left w:val="none" w:sz="0" w:space="0" w:color="auto"/>
                        <w:bottom w:val="none" w:sz="0" w:space="0" w:color="auto"/>
                        <w:right w:val="none" w:sz="0" w:space="0" w:color="auto"/>
                      </w:divBdr>
                    </w:div>
                  </w:divsChild>
                </w:div>
                <w:div w:id="1735930853">
                  <w:marLeft w:val="0"/>
                  <w:marRight w:val="0"/>
                  <w:marTop w:val="0"/>
                  <w:marBottom w:val="0"/>
                  <w:divBdr>
                    <w:top w:val="none" w:sz="0" w:space="0" w:color="auto"/>
                    <w:left w:val="none" w:sz="0" w:space="0" w:color="auto"/>
                    <w:bottom w:val="none" w:sz="0" w:space="0" w:color="auto"/>
                    <w:right w:val="none" w:sz="0" w:space="0" w:color="auto"/>
                  </w:divBdr>
                  <w:divsChild>
                    <w:div w:id="1370032351">
                      <w:marLeft w:val="0"/>
                      <w:marRight w:val="0"/>
                      <w:marTop w:val="0"/>
                      <w:marBottom w:val="0"/>
                      <w:divBdr>
                        <w:top w:val="none" w:sz="0" w:space="0" w:color="auto"/>
                        <w:left w:val="none" w:sz="0" w:space="0" w:color="auto"/>
                        <w:bottom w:val="none" w:sz="0" w:space="0" w:color="auto"/>
                        <w:right w:val="none" w:sz="0" w:space="0" w:color="auto"/>
                      </w:divBdr>
                    </w:div>
                  </w:divsChild>
                </w:div>
                <w:div w:id="1862205999">
                  <w:marLeft w:val="0"/>
                  <w:marRight w:val="0"/>
                  <w:marTop w:val="0"/>
                  <w:marBottom w:val="0"/>
                  <w:divBdr>
                    <w:top w:val="none" w:sz="0" w:space="0" w:color="auto"/>
                    <w:left w:val="none" w:sz="0" w:space="0" w:color="auto"/>
                    <w:bottom w:val="none" w:sz="0" w:space="0" w:color="auto"/>
                    <w:right w:val="none" w:sz="0" w:space="0" w:color="auto"/>
                  </w:divBdr>
                  <w:divsChild>
                    <w:div w:id="1101532390">
                      <w:marLeft w:val="0"/>
                      <w:marRight w:val="0"/>
                      <w:marTop w:val="0"/>
                      <w:marBottom w:val="0"/>
                      <w:divBdr>
                        <w:top w:val="none" w:sz="0" w:space="0" w:color="auto"/>
                        <w:left w:val="none" w:sz="0" w:space="0" w:color="auto"/>
                        <w:bottom w:val="none" w:sz="0" w:space="0" w:color="auto"/>
                        <w:right w:val="none" w:sz="0" w:space="0" w:color="auto"/>
                      </w:divBdr>
                    </w:div>
                  </w:divsChild>
                </w:div>
                <w:div w:id="1930851634">
                  <w:marLeft w:val="0"/>
                  <w:marRight w:val="0"/>
                  <w:marTop w:val="0"/>
                  <w:marBottom w:val="0"/>
                  <w:divBdr>
                    <w:top w:val="none" w:sz="0" w:space="0" w:color="auto"/>
                    <w:left w:val="none" w:sz="0" w:space="0" w:color="auto"/>
                    <w:bottom w:val="none" w:sz="0" w:space="0" w:color="auto"/>
                    <w:right w:val="none" w:sz="0" w:space="0" w:color="auto"/>
                  </w:divBdr>
                  <w:divsChild>
                    <w:div w:id="1502741123">
                      <w:marLeft w:val="0"/>
                      <w:marRight w:val="0"/>
                      <w:marTop w:val="0"/>
                      <w:marBottom w:val="0"/>
                      <w:divBdr>
                        <w:top w:val="none" w:sz="0" w:space="0" w:color="auto"/>
                        <w:left w:val="none" w:sz="0" w:space="0" w:color="auto"/>
                        <w:bottom w:val="none" w:sz="0" w:space="0" w:color="auto"/>
                        <w:right w:val="none" w:sz="0" w:space="0" w:color="auto"/>
                      </w:divBdr>
                    </w:div>
                  </w:divsChild>
                </w:div>
                <w:div w:id="2021276774">
                  <w:marLeft w:val="0"/>
                  <w:marRight w:val="0"/>
                  <w:marTop w:val="0"/>
                  <w:marBottom w:val="0"/>
                  <w:divBdr>
                    <w:top w:val="none" w:sz="0" w:space="0" w:color="auto"/>
                    <w:left w:val="none" w:sz="0" w:space="0" w:color="auto"/>
                    <w:bottom w:val="none" w:sz="0" w:space="0" w:color="auto"/>
                    <w:right w:val="none" w:sz="0" w:space="0" w:color="auto"/>
                  </w:divBdr>
                  <w:divsChild>
                    <w:div w:id="8049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2995">
          <w:marLeft w:val="0"/>
          <w:marRight w:val="0"/>
          <w:marTop w:val="0"/>
          <w:marBottom w:val="0"/>
          <w:divBdr>
            <w:top w:val="none" w:sz="0" w:space="0" w:color="auto"/>
            <w:left w:val="none" w:sz="0" w:space="0" w:color="auto"/>
            <w:bottom w:val="none" w:sz="0" w:space="0" w:color="auto"/>
            <w:right w:val="none" w:sz="0" w:space="0" w:color="auto"/>
          </w:divBdr>
        </w:div>
        <w:div w:id="1754202287">
          <w:marLeft w:val="0"/>
          <w:marRight w:val="0"/>
          <w:marTop w:val="0"/>
          <w:marBottom w:val="0"/>
          <w:divBdr>
            <w:top w:val="none" w:sz="0" w:space="0" w:color="auto"/>
            <w:left w:val="none" w:sz="0" w:space="0" w:color="auto"/>
            <w:bottom w:val="none" w:sz="0" w:space="0" w:color="auto"/>
            <w:right w:val="none" w:sz="0" w:space="0" w:color="auto"/>
          </w:divBdr>
        </w:div>
        <w:div w:id="1754430494">
          <w:marLeft w:val="0"/>
          <w:marRight w:val="0"/>
          <w:marTop w:val="0"/>
          <w:marBottom w:val="0"/>
          <w:divBdr>
            <w:top w:val="none" w:sz="0" w:space="0" w:color="auto"/>
            <w:left w:val="none" w:sz="0" w:space="0" w:color="auto"/>
            <w:bottom w:val="none" w:sz="0" w:space="0" w:color="auto"/>
            <w:right w:val="none" w:sz="0" w:space="0" w:color="auto"/>
          </w:divBdr>
        </w:div>
        <w:div w:id="1761096125">
          <w:marLeft w:val="0"/>
          <w:marRight w:val="0"/>
          <w:marTop w:val="0"/>
          <w:marBottom w:val="0"/>
          <w:divBdr>
            <w:top w:val="none" w:sz="0" w:space="0" w:color="auto"/>
            <w:left w:val="none" w:sz="0" w:space="0" w:color="auto"/>
            <w:bottom w:val="none" w:sz="0" w:space="0" w:color="auto"/>
            <w:right w:val="none" w:sz="0" w:space="0" w:color="auto"/>
          </w:divBdr>
          <w:divsChild>
            <w:div w:id="838035483">
              <w:marLeft w:val="-75"/>
              <w:marRight w:val="0"/>
              <w:marTop w:val="30"/>
              <w:marBottom w:val="30"/>
              <w:divBdr>
                <w:top w:val="none" w:sz="0" w:space="0" w:color="auto"/>
                <w:left w:val="none" w:sz="0" w:space="0" w:color="auto"/>
                <w:bottom w:val="none" w:sz="0" w:space="0" w:color="auto"/>
                <w:right w:val="none" w:sz="0" w:space="0" w:color="auto"/>
              </w:divBdr>
              <w:divsChild>
                <w:div w:id="7484973">
                  <w:marLeft w:val="0"/>
                  <w:marRight w:val="0"/>
                  <w:marTop w:val="0"/>
                  <w:marBottom w:val="0"/>
                  <w:divBdr>
                    <w:top w:val="none" w:sz="0" w:space="0" w:color="auto"/>
                    <w:left w:val="none" w:sz="0" w:space="0" w:color="auto"/>
                    <w:bottom w:val="none" w:sz="0" w:space="0" w:color="auto"/>
                    <w:right w:val="none" w:sz="0" w:space="0" w:color="auto"/>
                  </w:divBdr>
                  <w:divsChild>
                    <w:div w:id="1132678383">
                      <w:marLeft w:val="0"/>
                      <w:marRight w:val="0"/>
                      <w:marTop w:val="0"/>
                      <w:marBottom w:val="0"/>
                      <w:divBdr>
                        <w:top w:val="none" w:sz="0" w:space="0" w:color="auto"/>
                        <w:left w:val="none" w:sz="0" w:space="0" w:color="auto"/>
                        <w:bottom w:val="none" w:sz="0" w:space="0" w:color="auto"/>
                        <w:right w:val="none" w:sz="0" w:space="0" w:color="auto"/>
                      </w:divBdr>
                    </w:div>
                  </w:divsChild>
                </w:div>
                <w:div w:id="46269019">
                  <w:marLeft w:val="0"/>
                  <w:marRight w:val="0"/>
                  <w:marTop w:val="0"/>
                  <w:marBottom w:val="0"/>
                  <w:divBdr>
                    <w:top w:val="none" w:sz="0" w:space="0" w:color="auto"/>
                    <w:left w:val="none" w:sz="0" w:space="0" w:color="auto"/>
                    <w:bottom w:val="none" w:sz="0" w:space="0" w:color="auto"/>
                    <w:right w:val="none" w:sz="0" w:space="0" w:color="auto"/>
                  </w:divBdr>
                  <w:divsChild>
                    <w:div w:id="1685938063">
                      <w:marLeft w:val="0"/>
                      <w:marRight w:val="0"/>
                      <w:marTop w:val="0"/>
                      <w:marBottom w:val="0"/>
                      <w:divBdr>
                        <w:top w:val="none" w:sz="0" w:space="0" w:color="auto"/>
                        <w:left w:val="none" w:sz="0" w:space="0" w:color="auto"/>
                        <w:bottom w:val="none" w:sz="0" w:space="0" w:color="auto"/>
                        <w:right w:val="none" w:sz="0" w:space="0" w:color="auto"/>
                      </w:divBdr>
                    </w:div>
                  </w:divsChild>
                </w:div>
                <w:div w:id="64648269">
                  <w:marLeft w:val="0"/>
                  <w:marRight w:val="0"/>
                  <w:marTop w:val="0"/>
                  <w:marBottom w:val="0"/>
                  <w:divBdr>
                    <w:top w:val="none" w:sz="0" w:space="0" w:color="auto"/>
                    <w:left w:val="none" w:sz="0" w:space="0" w:color="auto"/>
                    <w:bottom w:val="none" w:sz="0" w:space="0" w:color="auto"/>
                    <w:right w:val="none" w:sz="0" w:space="0" w:color="auto"/>
                  </w:divBdr>
                  <w:divsChild>
                    <w:div w:id="419914369">
                      <w:marLeft w:val="0"/>
                      <w:marRight w:val="0"/>
                      <w:marTop w:val="0"/>
                      <w:marBottom w:val="0"/>
                      <w:divBdr>
                        <w:top w:val="none" w:sz="0" w:space="0" w:color="auto"/>
                        <w:left w:val="none" w:sz="0" w:space="0" w:color="auto"/>
                        <w:bottom w:val="none" w:sz="0" w:space="0" w:color="auto"/>
                        <w:right w:val="none" w:sz="0" w:space="0" w:color="auto"/>
                      </w:divBdr>
                    </w:div>
                  </w:divsChild>
                </w:div>
                <w:div w:id="252204296">
                  <w:marLeft w:val="0"/>
                  <w:marRight w:val="0"/>
                  <w:marTop w:val="0"/>
                  <w:marBottom w:val="0"/>
                  <w:divBdr>
                    <w:top w:val="none" w:sz="0" w:space="0" w:color="auto"/>
                    <w:left w:val="none" w:sz="0" w:space="0" w:color="auto"/>
                    <w:bottom w:val="none" w:sz="0" w:space="0" w:color="auto"/>
                    <w:right w:val="none" w:sz="0" w:space="0" w:color="auto"/>
                  </w:divBdr>
                  <w:divsChild>
                    <w:div w:id="1193765759">
                      <w:marLeft w:val="0"/>
                      <w:marRight w:val="0"/>
                      <w:marTop w:val="0"/>
                      <w:marBottom w:val="0"/>
                      <w:divBdr>
                        <w:top w:val="none" w:sz="0" w:space="0" w:color="auto"/>
                        <w:left w:val="none" w:sz="0" w:space="0" w:color="auto"/>
                        <w:bottom w:val="none" w:sz="0" w:space="0" w:color="auto"/>
                        <w:right w:val="none" w:sz="0" w:space="0" w:color="auto"/>
                      </w:divBdr>
                    </w:div>
                  </w:divsChild>
                </w:div>
                <w:div w:id="255941451">
                  <w:marLeft w:val="0"/>
                  <w:marRight w:val="0"/>
                  <w:marTop w:val="0"/>
                  <w:marBottom w:val="0"/>
                  <w:divBdr>
                    <w:top w:val="none" w:sz="0" w:space="0" w:color="auto"/>
                    <w:left w:val="none" w:sz="0" w:space="0" w:color="auto"/>
                    <w:bottom w:val="none" w:sz="0" w:space="0" w:color="auto"/>
                    <w:right w:val="none" w:sz="0" w:space="0" w:color="auto"/>
                  </w:divBdr>
                  <w:divsChild>
                    <w:div w:id="1809466863">
                      <w:marLeft w:val="0"/>
                      <w:marRight w:val="0"/>
                      <w:marTop w:val="0"/>
                      <w:marBottom w:val="0"/>
                      <w:divBdr>
                        <w:top w:val="none" w:sz="0" w:space="0" w:color="auto"/>
                        <w:left w:val="none" w:sz="0" w:space="0" w:color="auto"/>
                        <w:bottom w:val="none" w:sz="0" w:space="0" w:color="auto"/>
                        <w:right w:val="none" w:sz="0" w:space="0" w:color="auto"/>
                      </w:divBdr>
                    </w:div>
                  </w:divsChild>
                </w:div>
                <w:div w:id="274989264">
                  <w:marLeft w:val="0"/>
                  <w:marRight w:val="0"/>
                  <w:marTop w:val="0"/>
                  <w:marBottom w:val="0"/>
                  <w:divBdr>
                    <w:top w:val="none" w:sz="0" w:space="0" w:color="auto"/>
                    <w:left w:val="none" w:sz="0" w:space="0" w:color="auto"/>
                    <w:bottom w:val="none" w:sz="0" w:space="0" w:color="auto"/>
                    <w:right w:val="none" w:sz="0" w:space="0" w:color="auto"/>
                  </w:divBdr>
                  <w:divsChild>
                    <w:div w:id="1368262974">
                      <w:marLeft w:val="0"/>
                      <w:marRight w:val="0"/>
                      <w:marTop w:val="0"/>
                      <w:marBottom w:val="0"/>
                      <w:divBdr>
                        <w:top w:val="none" w:sz="0" w:space="0" w:color="auto"/>
                        <w:left w:val="none" w:sz="0" w:space="0" w:color="auto"/>
                        <w:bottom w:val="none" w:sz="0" w:space="0" w:color="auto"/>
                        <w:right w:val="none" w:sz="0" w:space="0" w:color="auto"/>
                      </w:divBdr>
                    </w:div>
                  </w:divsChild>
                </w:div>
                <w:div w:id="279917215">
                  <w:marLeft w:val="0"/>
                  <w:marRight w:val="0"/>
                  <w:marTop w:val="0"/>
                  <w:marBottom w:val="0"/>
                  <w:divBdr>
                    <w:top w:val="none" w:sz="0" w:space="0" w:color="auto"/>
                    <w:left w:val="none" w:sz="0" w:space="0" w:color="auto"/>
                    <w:bottom w:val="none" w:sz="0" w:space="0" w:color="auto"/>
                    <w:right w:val="none" w:sz="0" w:space="0" w:color="auto"/>
                  </w:divBdr>
                  <w:divsChild>
                    <w:div w:id="583077149">
                      <w:marLeft w:val="0"/>
                      <w:marRight w:val="0"/>
                      <w:marTop w:val="0"/>
                      <w:marBottom w:val="0"/>
                      <w:divBdr>
                        <w:top w:val="none" w:sz="0" w:space="0" w:color="auto"/>
                        <w:left w:val="none" w:sz="0" w:space="0" w:color="auto"/>
                        <w:bottom w:val="none" w:sz="0" w:space="0" w:color="auto"/>
                        <w:right w:val="none" w:sz="0" w:space="0" w:color="auto"/>
                      </w:divBdr>
                    </w:div>
                  </w:divsChild>
                </w:div>
                <w:div w:id="287324968">
                  <w:marLeft w:val="0"/>
                  <w:marRight w:val="0"/>
                  <w:marTop w:val="0"/>
                  <w:marBottom w:val="0"/>
                  <w:divBdr>
                    <w:top w:val="none" w:sz="0" w:space="0" w:color="auto"/>
                    <w:left w:val="none" w:sz="0" w:space="0" w:color="auto"/>
                    <w:bottom w:val="none" w:sz="0" w:space="0" w:color="auto"/>
                    <w:right w:val="none" w:sz="0" w:space="0" w:color="auto"/>
                  </w:divBdr>
                  <w:divsChild>
                    <w:div w:id="1561863738">
                      <w:marLeft w:val="0"/>
                      <w:marRight w:val="0"/>
                      <w:marTop w:val="0"/>
                      <w:marBottom w:val="0"/>
                      <w:divBdr>
                        <w:top w:val="none" w:sz="0" w:space="0" w:color="auto"/>
                        <w:left w:val="none" w:sz="0" w:space="0" w:color="auto"/>
                        <w:bottom w:val="none" w:sz="0" w:space="0" w:color="auto"/>
                        <w:right w:val="none" w:sz="0" w:space="0" w:color="auto"/>
                      </w:divBdr>
                    </w:div>
                  </w:divsChild>
                </w:div>
                <w:div w:id="611670266">
                  <w:marLeft w:val="0"/>
                  <w:marRight w:val="0"/>
                  <w:marTop w:val="0"/>
                  <w:marBottom w:val="0"/>
                  <w:divBdr>
                    <w:top w:val="none" w:sz="0" w:space="0" w:color="auto"/>
                    <w:left w:val="none" w:sz="0" w:space="0" w:color="auto"/>
                    <w:bottom w:val="none" w:sz="0" w:space="0" w:color="auto"/>
                    <w:right w:val="none" w:sz="0" w:space="0" w:color="auto"/>
                  </w:divBdr>
                  <w:divsChild>
                    <w:div w:id="825589423">
                      <w:marLeft w:val="0"/>
                      <w:marRight w:val="0"/>
                      <w:marTop w:val="0"/>
                      <w:marBottom w:val="0"/>
                      <w:divBdr>
                        <w:top w:val="none" w:sz="0" w:space="0" w:color="auto"/>
                        <w:left w:val="none" w:sz="0" w:space="0" w:color="auto"/>
                        <w:bottom w:val="none" w:sz="0" w:space="0" w:color="auto"/>
                        <w:right w:val="none" w:sz="0" w:space="0" w:color="auto"/>
                      </w:divBdr>
                    </w:div>
                  </w:divsChild>
                </w:div>
                <w:div w:id="625698456">
                  <w:marLeft w:val="0"/>
                  <w:marRight w:val="0"/>
                  <w:marTop w:val="0"/>
                  <w:marBottom w:val="0"/>
                  <w:divBdr>
                    <w:top w:val="none" w:sz="0" w:space="0" w:color="auto"/>
                    <w:left w:val="none" w:sz="0" w:space="0" w:color="auto"/>
                    <w:bottom w:val="none" w:sz="0" w:space="0" w:color="auto"/>
                    <w:right w:val="none" w:sz="0" w:space="0" w:color="auto"/>
                  </w:divBdr>
                  <w:divsChild>
                    <w:div w:id="1431776573">
                      <w:marLeft w:val="0"/>
                      <w:marRight w:val="0"/>
                      <w:marTop w:val="0"/>
                      <w:marBottom w:val="0"/>
                      <w:divBdr>
                        <w:top w:val="none" w:sz="0" w:space="0" w:color="auto"/>
                        <w:left w:val="none" w:sz="0" w:space="0" w:color="auto"/>
                        <w:bottom w:val="none" w:sz="0" w:space="0" w:color="auto"/>
                        <w:right w:val="none" w:sz="0" w:space="0" w:color="auto"/>
                      </w:divBdr>
                    </w:div>
                  </w:divsChild>
                </w:div>
                <w:div w:id="657224481">
                  <w:marLeft w:val="0"/>
                  <w:marRight w:val="0"/>
                  <w:marTop w:val="0"/>
                  <w:marBottom w:val="0"/>
                  <w:divBdr>
                    <w:top w:val="none" w:sz="0" w:space="0" w:color="auto"/>
                    <w:left w:val="none" w:sz="0" w:space="0" w:color="auto"/>
                    <w:bottom w:val="none" w:sz="0" w:space="0" w:color="auto"/>
                    <w:right w:val="none" w:sz="0" w:space="0" w:color="auto"/>
                  </w:divBdr>
                  <w:divsChild>
                    <w:div w:id="746146338">
                      <w:marLeft w:val="0"/>
                      <w:marRight w:val="0"/>
                      <w:marTop w:val="0"/>
                      <w:marBottom w:val="0"/>
                      <w:divBdr>
                        <w:top w:val="none" w:sz="0" w:space="0" w:color="auto"/>
                        <w:left w:val="none" w:sz="0" w:space="0" w:color="auto"/>
                        <w:bottom w:val="none" w:sz="0" w:space="0" w:color="auto"/>
                        <w:right w:val="none" w:sz="0" w:space="0" w:color="auto"/>
                      </w:divBdr>
                    </w:div>
                  </w:divsChild>
                </w:div>
                <w:div w:id="675037953">
                  <w:marLeft w:val="0"/>
                  <w:marRight w:val="0"/>
                  <w:marTop w:val="0"/>
                  <w:marBottom w:val="0"/>
                  <w:divBdr>
                    <w:top w:val="none" w:sz="0" w:space="0" w:color="auto"/>
                    <w:left w:val="none" w:sz="0" w:space="0" w:color="auto"/>
                    <w:bottom w:val="none" w:sz="0" w:space="0" w:color="auto"/>
                    <w:right w:val="none" w:sz="0" w:space="0" w:color="auto"/>
                  </w:divBdr>
                  <w:divsChild>
                    <w:div w:id="1959332632">
                      <w:marLeft w:val="0"/>
                      <w:marRight w:val="0"/>
                      <w:marTop w:val="0"/>
                      <w:marBottom w:val="0"/>
                      <w:divBdr>
                        <w:top w:val="none" w:sz="0" w:space="0" w:color="auto"/>
                        <w:left w:val="none" w:sz="0" w:space="0" w:color="auto"/>
                        <w:bottom w:val="none" w:sz="0" w:space="0" w:color="auto"/>
                        <w:right w:val="none" w:sz="0" w:space="0" w:color="auto"/>
                      </w:divBdr>
                    </w:div>
                  </w:divsChild>
                </w:div>
                <w:div w:id="724373067">
                  <w:marLeft w:val="0"/>
                  <w:marRight w:val="0"/>
                  <w:marTop w:val="0"/>
                  <w:marBottom w:val="0"/>
                  <w:divBdr>
                    <w:top w:val="none" w:sz="0" w:space="0" w:color="auto"/>
                    <w:left w:val="none" w:sz="0" w:space="0" w:color="auto"/>
                    <w:bottom w:val="none" w:sz="0" w:space="0" w:color="auto"/>
                    <w:right w:val="none" w:sz="0" w:space="0" w:color="auto"/>
                  </w:divBdr>
                  <w:divsChild>
                    <w:div w:id="635069104">
                      <w:marLeft w:val="0"/>
                      <w:marRight w:val="0"/>
                      <w:marTop w:val="0"/>
                      <w:marBottom w:val="0"/>
                      <w:divBdr>
                        <w:top w:val="none" w:sz="0" w:space="0" w:color="auto"/>
                        <w:left w:val="none" w:sz="0" w:space="0" w:color="auto"/>
                        <w:bottom w:val="none" w:sz="0" w:space="0" w:color="auto"/>
                        <w:right w:val="none" w:sz="0" w:space="0" w:color="auto"/>
                      </w:divBdr>
                    </w:div>
                  </w:divsChild>
                </w:div>
                <w:div w:id="777682454">
                  <w:marLeft w:val="0"/>
                  <w:marRight w:val="0"/>
                  <w:marTop w:val="0"/>
                  <w:marBottom w:val="0"/>
                  <w:divBdr>
                    <w:top w:val="none" w:sz="0" w:space="0" w:color="auto"/>
                    <w:left w:val="none" w:sz="0" w:space="0" w:color="auto"/>
                    <w:bottom w:val="none" w:sz="0" w:space="0" w:color="auto"/>
                    <w:right w:val="none" w:sz="0" w:space="0" w:color="auto"/>
                  </w:divBdr>
                  <w:divsChild>
                    <w:div w:id="1896116600">
                      <w:marLeft w:val="0"/>
                      <w:marRight w:val="0"/>
                      <w:marTop w:val="0"/>
                      <w:marBottom w:val="0"/>
                      <w:divBdr>
                        <w:top w:val="none" w:sz="0" w:space="0" w:color="auto"/>
                        <w:left w:val="none" w:sz="0" w:space="0" w:color="auto"/>
                        <w:bottom w:val="none" w:sz="0" w:space="0" w:color="auto"/>
                        <w:right w:val="none" w:sz="0" w:space="0" w:color="auto"/>
                      </w:divBdr>
                    </w:div>
                  </w:divsChild>
                </w:div>
                <w:div w:id="864442381">
                  <w:marLeft w:val="0"/>
                  <w:marRight w:val="0"/>
                  <w:marTop w:val="0"/>
                  <w:marBottom w:val="0"/>
                  <w:divBdr>
                    <w:top w:val="none" w:sz="0" w:space="0" w:color="auto"/>
                    <w:left w:val="none" w:sz="0" w:space="0" w:color="auto"/>
                    <w:bottom w:val="none" w:sz="0" w:space="0" w:color="auto"/>
                    <w:right w:val="none" w:sz="0" w:space="0" w:color="auto"/>
                  </w:divBdr>
                  <w:divsChild>
                    <w:div w:id="1570535644">
                      <w:marLeft w:val="0"/>
                      <w:marRight w:val="0"/>
                      <w:marTop w:val="0"/>
                      <w:marBottom w:val="0"/>
                      <w:divBdr>
                        <w:top w:val="none" w:sz="0" w:space="0" w:color="auto"/>
                        <w:left w:val="none" w:sz="0" w:space="0" w:color="auto"/>
                        <w:bottom w:val="none" w:sz="0" w:space="0" w:color="auto"/>
                        <w:right w:val="none" w:sz="0" w:space="0" w:color="auto"/>
                      </w:divBdr>
                    </w:div>
                  </w:divsChild>
                </w:div>
                <w:div w:id="933787979">
                  <w:marLeft w:val="0"/>
                  <w:marRight w:val="0"/>
                  <w:marTop w:val="0"/>
                  <w:marBottom w:val="0"/>
                  <w:divBdr>
                    <w:top w:val="none" w:sz="0" w:space="0" w:color="auto"/>
                    <w:left w:val="none" w:sz="0" w:space="0" w:color="auto"/>
                    <w:bottom w:val="none" w:sz="0" w:space="0" w:color="auto"/>
                    <w:right w:val="none" w:sz="0" w:space="0" w:color="auto"/>
                  </w:divBdr>
                  <w:divsChild>
                    <w:div w:id="142891119">
                      <w:marLeft w:val="0"/>
                      <w:marRight w:val="0"/>
                      <w:marTop w:val="0"/>
                      <w:marBottom w:val="0"/>
                      <w:divBdr>
                        <w:top w:val="none" w:sz="0" w:space="0" w:color="auto"/>
                        <w:left w:val="none" w:sz="0" w:space="0" w:color="auto"/>
                        <w:bottom w:val="none" w:sz="0" w:space="0" w:color="auto"/>
                        <w:right w:val="none" w:sz="0" w:space="0" w:color="auto"/>
                      </w:divBdr>
                    </w:div>
                  </w:divsChild>
                </w:div>
                <w:div w:id="1044519156">
                  <w:marLeft w:val="0"/>
                  <w:marRight w:val="0"/>
                  <w:marTop w:val="0"/>
                  <w:marBottom w:val="0"/>
                  <w:divBdr>
                    <w:top w:val="none" w:sz="0" w:space="0" w:color="auto"/>
                    <w:left w:val="none" w:sz="0" w:space="0" w:color="auto"/>
                    <w:bottom w:val="none" w:sz="0" w:space="0" w:color="auto"/>
                    <w:right w:val="none" w:sz="0" w:space="0" w:color="auto"/>
                  </w:divBdr>
                  <w:divsChild>
                    <w:div w:id="1230773008">
                      <w:marLeft w:val="0"/>
                      <w:marRight w:val="0"/>
                      <w:marTop w:val="0"/>
                      <w:marBottom w:val="0"/>
                      <w:divBdr>
                        <w:top w:val="none" w:sz="0" w:space="0" w:color="auto"/>
                        <w:left w:val="none" w:sz="0" w:space="0" w:color="auto"/>
                        <w:bottom w:val="none" w:sz="0" w:space="0" w:color="auto"/>
                        <w:right w:val="none" w:sz="0" w:space="0" w:color="auto"/>
                      </w:divBdr>
                    </w:div>
                  </w:divsChild>
                </w:div>
                <w:div w:id="1087196451">
                  <w:marLeft w:val="0"/>
                  <w:marRight w:val="0"/>
                  <w:marTop w:val="0"/>
                  <w:marBottom w:val="0"/>
                  <w:divBdr>
                    <w:top w:val="none" w:sz="0" w:space="0" w:color="auto"/>
                    <w:left w:val="none" w:sz="0" w:space="0" w:color="auto"/>
                    <w:bottom w:val="none" w:sz="0" w:space="0" w:color="auto"/>
                    <w:right w:val="none" w:sz="0" w:space="0" w:color="auto"/>
                  </w:divBdr>
                  <w:divsChild>
                    <w:div w:id="1603686494">
                      <w:marLeft w:val="0"/>
                      <w:marRight w:val="0"/>
                      <w:marTop w:val="0"/>
                      <w:marBottom w:val="0"/>
                      <w:divBdr>
                        <w:top w:val="none" w:sz="0" w:space="0" w:color="auto"/>
                        <w:left w:val="none" w:sz="0" w:space="0" w:color="auto"/>
                        <w:bottom w:val="none" w:sz="0" w:space="0" w:color="auto"/>
                        <w:right w:val="none" w:sz="0" w:space="0" w:color="auto"/>
                      </w:divBdr>
                    </w:div>
                  </w:divsChild>
                </w:div>
                <w:div w:id="1179080556">
                  <w:marLeft w:val="0"/>
                  <w:marRight w:val="0"/>
                  <w:marTop w:val="0"/>
                  <w:marBottom w:val="0"/>
                  <w:divBdr>
                    <w:top w:val="none" w:sz="0" w:space="0" w:color="auto"/>
                    <w:left w:val="none" w:sz="0" w:space="0" w:color="auto"/>
                    <w:bottom w:val="none" w:sz="0" w:space="0" w:color="auto"/>
                    <w:right w:val="none" w:sz="0" w:space="0" w:color="auto"/>
                  </w:divBdr>
                  <w:divsChild>
                    <w:div w:id="1465346507">
                      <w:marLeft w:val="0"/>
                      <w:marRight w:val="0"/>
                      <w:marTop w:val="0"/>
                      <w:marBottom w:val="0"/>
                      <w:divBdr>
                        <w:top w:val="none" w:sz="0" w:space="0" w:color="auto"/>
                        <w:left w:val="none" w:sz="0" w:space="0" w:color="auto"/>
                        <w:bottom w:val="none" w:sz="0" w:space="0" w:color="auto"/>
                        <w:right w:val="none" w:sz="0" w:space="0" w:color="auto"/>
                      </w:divBdr>
                    </w:div>
                  </w:divsChild>
                </w:div>
                <w:div w:id="1499929596">
                  <w:marLeft w:val="0"/>
                  <w:marRight w:val="0"/>
                  <w:marTop w:val="0"/>
                  <w:marBottom w:val="0"/>
                  <w:divBdr>
                    <w:top w:val="none" w:sz="0" w:space="0" w:color="auto"/>
                    <w:left w:val="none" w:sz="0" w:space="0" w:color="auto"/>
                    <w:bottom w:val="none" w:sz="0" w:space="0" w:color="auto"/>
                    <w:right w:val="none" w:sz="0" w:space="0" w:color="auto"/>
                  </w:divBdr>
                  <w:divsChild>
                    <w:div w:id="1511678775">
                      <w:marLeft w:val="0"/>
                      <w:marRight w:val="0"/>
                      <w:marTop w:val="0"/>
                      <w:marBottom w:val="0"/>
                      <w:divBdr>
                        <w:top w:val="none" w:sz="0" w:space="0" w:color="auto"/>
                        <w:left w:val="none" w:sz="0" w:space="0" w:color="auto"/>
                        <w:bottom w:val="none" w:sz="0" w:space="0" w:color="auto"/>
                        <w:right w:val="none" w:sz="0" w:space="0" w:color="auto"/>
                      </w:divBdr>
                    </w:div>
                  </w:divsChild>
                </w:div>
                <w:div w:id="1567494397">
                  <w:marLeft w:val="0"/>
                  <w:marRight w:val="0"/>
                  <w:marTop w:val="0"/>
                  <w:marBottom w:val="0"/>
                  <w:divBdr>
                    <w:top w:val="none" w:sz="0" w:space="0" w:color="auto"/>
                    <w:left w:val="none" w:sz="0" w:space="0" w:color="auto"/>
                    <w:bottom w:val="none" w:sz="0" w:space="0" w:color="auto"/>
                    <w:right w:val="none" w:sz="0" w:space="0" w:color="auto"/>
                  </w:divBdr>
                  <w:divsChild>
                    <w:div w:id="1903712485">
                      <w:marLeft w:val="0"/>
                      <w:marRight w:val="0"/>
                      <w:marTop w:val="0"/>
                      <w:marBottom w:val="0"/>
                      <w:divBdr>
                        <w:top w:val="none" w:sz="0" w:space="0" w:color="auto"/>
                        <w:left w:val="none" w:sz="0" w:space="0" w:color="auto"/>
                        <w:bottom w:val="none" w:sz="0" w:space="0" w:color="auto"/>
                        <w:right w:val="none" w:sz="0" w:space="0" w:color="auto"/>
                      </w:divBdr>
                    </w:div>
                  </w:divsChild>
                </w:div>
                <w:div w:id="1588493990">
                  <w:marLeft w:val="0"/>
                  <w:marRight w:val="0"/>
                  <w:marTop w:val="0"/>
                  <w:marBottom w:val="0"/>
                  <w:divBdr>
                    <w:top w:val="none" w:sz="0" w:space="0" w:color="auto"/>
                    <w:left w:val="none" w:sz="0" w:space="0" w:color="auto"/>
                    <w:bottom w:val="none" w:sz="0" w:space="0" w:color="auto"/>
                    <w:right w:val="none" w:sz="0" w:space="0" w:color="auto"/>
                  </w:divBdr>
                  <w:divsChild>
                    <w:div w:id="670060632">
                      <w:marLeft w:val="0"/>
                      <w:marRight w:val="0"/>
                      <w:marTop w:val="0"/>
                      <w:marBottom w:val="0"/>
                      <w:divBdr>
                        <w:top w:val="none" w:sz="0" w:space="0" w:color="auto"/>
                        <w:left w:val="none" w:sz="0" w:space="0" w:color="auto"/>
                        <w:bottom w:val="none" w:sz="0" w:space="0" w:color="auto"/>
                        <w:right w:val="none" w:sz="0" w:space="0" w:color="auto"/>
                      </w:divBdr>
                    </w:div>
                  </w:divsChild>
                </w:div>
                <w:div w:id="1805662250">
                  <w:marLeft w:val="0"/>
                  <w:marRight w:val="0"/>
                  <w:marTop w:val="0"/>
                  <w:marBottom w:val="0"/>
                  <w:divBdr>
                    <w:top w:val="none" w:sz="0" w:space="0" w:color="auto"/>
                    <w:left w:val="none" w:sz="0" w:space="0" w:color="auto"/>
                    <w:bottom w:val="none" w:sz="0" w:space="0" w:color="auto"/>
                    <w:right w:val="none" w:sz="0" w:space="0" w:color="auto"/>
                  </w:divBdr>
                  <w:divsChild>
                    <w:div w:id="854269543">
                      <w:marLeft w:val="0"/>
                      <w:marRight w:val="0"/>
                      <w:marTop w:val="0"/>
                      <w:marBottom w:val="0"/>
                      <w:divBdr>
                        <w:top w:val="none" w:sz="0" w:space="0" w:color="auto"/>
                        <w:left w:val="none" w:sz="0" w:space="0" w:color="auto"/>
                        <w:bottom w:val="none" w:sz="0" w:space="0" w:color="auto"/>
                        <w:right w:val="none" w:sz="0" w:space="0" w:color="auto"/>
                      </w:divBdr>
                    </w:div>
                  </w:divsChild>
                </w:div>
                <w:div w:id="1815757251">
                  <w:marLeft w:val="0"/>
                  <w:marRight w:val="0"/>
                  <w:marTop w:val="0"/>
                  <w:marBottom w:val="0"/>
                  <w:divBdr>
                    <w:top w:val="none" w:sz="0" w:space="0" w:color="auto"/>
                    <w:left w:val="none" w:sz="0" w:space="0" w:color="auto"/>
                    <w:bottom w:val="none" w:sz="0" w:space="0" w:color="auto"/>
                    <w:right w:val="none" w:sz="0" w:space="0" w:color="auto"/>
                  </w:divBdr>
                  <w:divsChild>
                    <w:div w:id="1420717423">
                      <w:marLeft w:val="0"/>
                      <w:marRight w:val="0"/>
                      <w:marTop w:val="0"/>
                      <w:marBottom w:val="0"/>
                      <w:divBdr>
                        <w:top w:val="none" w:sz="0" w:space="0" w:color="auto"/>
                        <w:left w:val="none" w:sz="0" w:space="0" w:color="auto"/>
                        <w:bottom w:val="none" w:sz="0" w:space="0" w:color="auto"/>
                        <w:right w:val="none" w:sz="0" w:space="0" w:color="auto"/>
                      </w:divBdr>
                    </w:div>
                  </w:divsChild>
                </w:div>
                <w:div w:id="1857504183">
                  <w:marLeft w:val="0"/>
                  <w:marRight w:val="0"/>
                  <w:marTop w:val="0"/>
                  <w:marBottom w:val="0"/>
                  <w:divBdr>
                    <w:top w:val="none" w:sz="0" w:space="0" w:color="auto"/>
                    <w:left w:val="none" w:sz="0" w:space="0" w:color="auto"/>
                    <w:bottom w:val="none" w:sz="0" w:space="0" w:color="auto"/>
                    <w:right w:val="none" w:sz="0" w:space="0" w:color="auto"/>
                  </w:divBdr>
                  <w:divsChild>
                    <w:div w:id="119735269">
                      <w:marLeft w:val="0"/>
                      <w:marRight w:val="0"/>
                      <w:marTop w:val="0"/>
                      <w:marBottom w:val="0"/>
                      <w:divBdr>
                        <w:top w:val="none" w:sz="0" w:space="0" w:color="auto"/>
                        <w:left w:val="none" w:sz="0" w:space="0" w:color="auto"/>
                        <w:bottom w:val="none" w:sz="0" w:space="0" w:color="auto"/>
                        <w:right w:val="none" w:sz="0" w:space="0" w:color="auto"/>
                      </w:divBdr>
                    </w:div>
                  </w:divsChild>
                </w:div>
                <w:div w:id="1878740667">
                  <w:marLeft w:val="0"/>
                  <w:marRight w:val="0"/>
                  <w:marTop w:val="0"/>
                  <w:marBottom w:val="0"/>
                  <w:divBdr>
                    <w:top w:val="none" w:sz="0" w:space="0" w:color="auto"/>
                    <w:left w:val="none" w:sz="0" w:space="0" w:color="auto"/>
                    <w:bottom w:val="none" w:sz="0" w:space="0" w:color="auto"/>
                    <w:right w:val="none" w:sz="0" w:space="0" w:color="auto"/>
                  </w:divBdr>
                  <w:divsChild>
                    <w:div w:id="264726838">
                      <w:marLeft w:val="0"/>
                      <w:marRight w:val="0"/>
                      <w:marTop w:val="0"/>
                      <w:marBottom w:val="0"/>
                      <w:divBdr>
                        <w:top w:val="none" w:sz="0" w:space="0" w:color="auto"/>
                        <w:left w:val="none" w:sz="0" w:space="0" w:color="auto"/>
                        <w:bottom w:val="none" w:sz="0" w:space="0" w:color="auto"/>
                        <w:right w:val="none" w:sz="0" w:space="0" w:color="auto"/>
                      </w:divBdr>
                    </w:div>
                  </w:divsChild>
                </w:div>
                <w:div w:id="2018728158">
                  <w:marLeft w:val="0"/>
                  <w:marRight w:val="0"/>
                  <w:marTop w:val="0"/>
                  <w:marBottom w:val="0"/>
                  <w:divBdr>
                    <w:top w:val="none" w:sz="0" w:space="0" w:color="auto"/>
                    <w:left w:val="none" w:sz="0" w:space="0" w:color="auto"/>
                    <w:bottom w:val="none" w:sz="0" w:space="0" w:color="auto"/>
                    <w:right w:val="none" w:sz="0" w:space="0" w:color="auto"/>
                  </w:divBdr>
                  <w:divsChild>
                    <w:div w:id="1762213545">
                      <w:marLeft w:val="0"/>
                      <w:marRight w:val="0"/>
                      <w:marTop w:val="0"/>
                      <w:marBottom w:val="0"/>
                      <w:divBdr>
                        <w:top w:val="none" w:sz="0" w:space="0" w:color="auto"/>
                        <w:left w:val="none" w:sz="0" w:space="0" w:color="auto"/>
                        <w:bottom w:val="none" w:sz="0" w:space="0" w:color="auto"/>
                        <w:right w:val="none" w:sz="0" w:space="0" w:color="auto"/>
                      </w:divBdr>
                    </w:div>
                  </w:divsChild>
                </w:div>
                <w:div w:id="2063476270">
                  <w:marLeft w:val="0"/>
                  <w:marRight w:val="0"/>
                  <w:marTop w:val="0"/>
                  <w:marBottom w:val="0"/>
                  <w:divBdr>
                    <w:top w:val="none" w:sz="0" w:space="0" w:color="auto"/>
                    <w:left w:val="none" w:sz="0" w:space="0" w:color="auto"/>
                    <w:bottom w:val="none" w:sz="0" w:space="0" w:color="auto"/>
                    <w:right w:val="none" w:sz="0" w:space="0" w:color="auto"/>
                  </w:divBdr>
                  <w:divsChild>
                    <w:div w:id="15445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945238">
          <w:marLeft w:val="0"/>
          <w:marRight w:val="0"/>
          <w:marTop w:val="0"/>
          <w:marBottom w:val="0"/>
          <w:divBdr>
            <w:top w:val="none" w:sz="0" w:space="0" w:color="auto"/>
            <w:left w:val="none" w:sz="0" w:space="0" w:color="auto"/>
            <w:bottom w:val="none" w:sz="0" w:space="0" w:color="auto"/>
            <w:right w:val="none" w:sz="0" w:space="0" w:color="auto"/>
          </w:divBdr>
        </w:div>
        <w:div w:id="1799765204">
          <w:marLeft w:val="0"/>
          <w:marRight w:val="0"/>
          <w:marTop w:val="0"/>
          <w:marBottom w:val="0"/>
          <w:divBdr>
            <w:top w:val="none" w:sz="0" w:space="0" w:color="auto"/>
            <w:left w:val="none" w:sz="0" w:space="0" w:color="auto"/>
            <w:bottom w:val="none" w:sz="0" w:space="0" w:color="auto"/>
            <w:right w:val="none" w:sz="0" w:space="0" w:color="auto"/>
          </w:divBdr>
        </w:div>
        <w:div w:id="1805731111">
          <w:marLeft w:val="0"/>
          <w:marRight w:val="0"/>
          <w:marTop w:val="0"/>
          <w:marBottom w:val="0"/>
          <w:divBdr>
            <w:top w:val="none" w:sz="0" w:space="0" w:color="auto"/>
            <w:left w:val="none" w:sz="0" w:space="0" w:color="auto"/>
            <w:bottom w:val="none" w:sz="0" w:space="0" w:color="auto"/>
            <w:right w:val="none" w:sz="0" w:space="0" w:color="auto"/>
          </w:divBdr>
          <w:divsChild>
            <w:div w:id="2066445273">
              <w:marLeft w:val="-75"/>
              <w:marRight w:val="0"/>
              <w:marTop w:val="30"/>
              <w:marBottom w:val="30"/>
              <w:divBdr>
                <w:top w:val="none" w:sz="0" w:space="0" w:color="auto"/>
                <w:left w:val="none" w:sz="0" w:space="0" w:color="auto"/>
                <w:bottom w:val="none" w:sz="0" w:space="0" w:color="auto"/>
                <w:right w:val="none" w:sz="0" w:space="0" w:color="auto"/>
              </w:divBdr>
              <w:divsChild>
                <w:div w:id="35276370">
                  <w:marLeft w:val="0"/>
                  <w:marRight w:val="0"/>
                  <w:marTop w:val="0"/>
                  <w:marBottom w:val="0"/>
                  <w:divBdr>
                    <w:top w:val="none" w:sz="0" w:space="0" w:color="auto"/>
                    <w:left w:val="none" w:sz="0" w:space="0" w:color="auto"/>
                    <w:bottom w:val="none" w:sz="0" w:space="0" w:color="auto"/>
                    <w:right w:val="none" w:sz="0" w:space="0" w:color="auto"/>
                  </w:divBdr>
                  <w:divsChild>
                    <w:div w:id="870842618">
                      <w:marLeft w:val="0"/>
                      <w:marRight w:val="0"/>
                      <w:marTop w:val="0"/>
                      <w:marBottom w:val="0"/>
                      <w:divBdr>
                        <w:top w:val="none" w:sz="0" w:space="0" w:color="auto"/>
                        <w:left w:val="none" w:sz="0" w:space="0" w:color="auto"/>
                        <w:bottom w:val="none" w:sz="0" w:space="0" w:color="auto"/>
                        <w:right w:val="none" w:sz="0" w:space="0" w:color="auto"/>
                      </w:divBdr>
                    </w:div>
                  </w:divsChild>
                </w:div>
                <w:div w:id="68624759">
                  <w:marLeft w:val="0"/>
                  <w:marRight w:val="0"/>
                  <w:marTop w:val="0"/>
                  <w:marBottom w:val="0"/>
                  <w:divBdr>
                    <w:top w:val="none" w:sz="0" w:space="0" w:color="auto"/>
                    <w:left w:val="none" w:sz="0" w:space="0" w:color="auto"/>
                    <w:bottom w:val="none" w:sz="0" w:space="0" w:color="auto"/>
                    <w:right w:val="none" w:sz="0" w:space="0" w:color="auto"/>
                  </w:divBdr>
                  <w:divsChild>
                    <w:div w:id="1400010353">
                      <w:marLeft w:val="0"/>
                      <w:marRight w:val="0"/>
                      <w:marTop w:val="0"/>
                      <w:marBottom w:val="0"/>
                      <w:divBdr>
                        <w:top w:val="none" w:sz="0" w:space="0" w:color="auto"/>
                        <w:left w:val="none" w:sz="0" w:space="0" w:color="auto"/>
                        <w:bottom w:val="none" w:sz="0" w:space="0" w:color="auto"/>
                        <w:right w:val="none" w:sz="0" w:space="0" w:color="auto"/>
                      </w:divBdr>
                    </w:div>
                    <w:div w:id="1477792566">
                      <w:marLeft w:val="0"/>
                      <w:marRight w:val="0"/>
                      <w:marTop w:val="0"/>
                      <w:marBottom w:val="0"/>
                      <w:divBdr>
                        <w:top w:val="none" w:sz="0" w:space="0" w:color="auto"/>
                        <w:left w:val="none" w:sz="0" w:space="0" w:color="auto"/>
                        <w:bottom w:val="none" w:sz="0" w:space="0" w:color="auto"/>
                        <w:right w:val="none" w:sz="0" w:space="0" w:color="auto"/>
                      </w:divBdr>
                    </w:div>
                  </w:divsChild>
                </w:div>
                <w:div w:id="106045528">
                  <w:marLeft w:val="0"/>
                  <w:marRight w:val="0"/>
                  <w:marTop w:val="0"/>
                  <w:marBottom w:val="0"/>
                  <w:divBdr>
                    <w:top w:val="none" w:sz="0" w:space="0" w:color="auto"/>
                    <w:left w:val="none" w:sz="0" w:space="0" w:color="auto"/>
                    <w:bottom w:val="none" w:sz="0" w:space="0" w:color="auto"/>
                    <w:right w:val="none" w:sz="0" w:space="0" w:color="auto"/>
                  </w:divBdr>
                  <w:divsChild>
                    <w:div w:id="978455263">
                      <w:marLeft w:val="0"/>
                      <w:marRight w:val="0"/>
                      <w:marTop w:val="0"/>
                      <w:marBottom w:val="0"/>
                      <w:divBdr>
                        <w:top w:val="none" w:sz="0" w:space="0" w:color="auto"/>
                        <w:left w:val="none" w:sz="0" w:space="0" w:color="auto"/>
                        <w:bottom w:val="none" w:sz="0" w:space="0" w:color="auto"/>
                        <w:right w:val="none" w:sz="0" w:space="0" w:color="auto"/>
                      </w:divBdr>
                    </w:div>
                  </w:divsChild>
                </w:div>
                <w:div w:id="276375376">
                  <w:marLeft w:val="0"/>
                  <w:marRight w:val="0"/>
                  <w:marTop w:val="0"/>
                  <w:marBottom w:val="0"/>
                  <w:divBdr>
                    <w:top w:val="none" w:sz="0" w:space="0" w:color="auto"/>
                    <w:left w:val="none" w:sz="0" w:space="0" w:color="auto"/>
                    <w:bottom w:val="none" w:sz="0" w:space="0" w:color="auto"/>
                    <w:right w:val="none" w:sz="0" w:space="0" w:color="auto"/>
                  </w:divBdr>
                  <w:divsChild>
                    <w:div w:id="419642116">
                      <w:marLeft w:val="0"/>
                      <w:marRight w:val="0"/>
                      <w:marTop w:val="0"/>
                      <w:marBottom w:val="0"/>
                      <w:divBdr>
                        <w:top w:val="none" w:sz="0" w:space="0" w:color="auto"/>
                        <w:left w:val="none" w:sz="0" w:space="0" w:color="auto"/>
                        <w:bottom w:val="none" w:sz="0" w:space="0" w:color="auto"/>
                        <w:right w:val="none" w:sz="0" w:space="0" w:color="auto"/>
                      </w:divBdr>
                    </w:div>
                  </w:divsChild>
                </w:div>
                <w:div w:id="396902220">
                  <w:marLeft w:val="0"/>
                  <w:marRight w:val="0"/>
                  <w:marTop w:val="0"/>
                  <w:marBottom w:val="0"/>
                  <w:divBdr>
                    <w:top w:val="none" w:sz="0" w:space="0" w:color="auto"/>
                    <w:left w:val="none" w:sz="0" w:space="0" w:color="auto"/>
                    <w:bottom w:val="none" w:sz="0" w:space="0" w:color="auto"/>
                    <w:right w:val="none" w:sz="0" w:space="0" w:color="auto"/>
                  </w:divBdr>
                  <w:divsChild>
                    <w:div w:id="286283155">
                      <w:marLeft w:val="0"/>
                      <w:marRight w:val="0"/>
                      <w:marTop w:val="0"/>
                      <w:marBottom w:val="0"/>
                      <w:divBdr>
                        <w:top w:val="none" w:sz="0" w:space="0" w:color="auto"/>
                        <w:left w:val="none" w:sz="0" w:space="0" w:color="auto"/>
                        <w:bottom w:val="none" w:sz="0" w:space="0" w:color="auto"/>
                        <w:right w:val="none" w:sz="0" w:space="0" w:color="auto"/>
                      </w:divBdr>
                    </w:div>
                  </w:divsChild>
                </w:div>
                <w:div w:id="616910784">
                  <w:marLeft w:val="0"/>
                  <w:marRight w:val="0"/>
                  <w:marTop w:val="0"/>
                  <w:marBottom w:val="0"/>
                  <w:divBdr>
                    <w:top w:val="none" w:sz="0" w:space="0" w:color="auto"/>
                    <w:left w:val="none" w:sz="0" w:space="0" w:color="auto"/>
                    <w:bottom w:val="none" w:sz="0" w:space="0" w:color="auto"/>
                    <w:right w:val="none" w:sz="0" w:space="0" w:color="auto"/>
                  </w:divBdr>
                  <w:divsChild>
                    <w:div w:id="57242910">
                      <w:marLeft w:val="0"/>
                      <w:marRight w:val="0"/>
                      <w:marTop w:val="0"/>
                      <w:marBottom w:val="0"/>
                      <w:divBdr>
                        <w:top w:val="none" w:sz="0" w:space="0" w:color="auto"/>
                        <w:left w:val="none" w:sz="0" w:space="0" w:color="auto"/>
                        <w:bottom w:val="none" w:sz="0" w:space="0" w:color="auto"/>
                        <w:right w:val="none" w:sz="0" w:space="0" w:color="auto"/>
                      </w:divBdr>
                    </w:div>
                  </w:divsChild>
                </w:div>
                <w:div w:id="952712821">
                  <w:marLeft w:val="0"/>
                  <w:marRight w:val="0"/>
                  <w:marTop w:val="0"/>
                  <w:marBottom w:val="0"/>
                  <w:divBdr>
                    <w:top w:val="none" w:sz="0" w:space="0" w:color="auto"/>
                    <w:left w:val="none" w:sz="0" w:space="0" w:color="auto"/>
                    <w:bottom w:val="none" w:sz="0" w:space="0" w:color="auto"/>
                    <w:right w:val="none" w:sz="0" w:space="0" w:color="auto"/>
                  </w:divBdr>
                  <w:divsChild>
                    <w:div w:id="1394347337">
                      <w:marLeft w:val="0"/>
                      <w:marRight w:val="0"/>
                      <w:marTop w:val="0"/>
                      <w:marBottom w:val="0"/>
                      <w:divBdr>
                        <w:top w:val="none" w:sz="0" w:space="0" w:color="auto"/>
                        <w:left w:val="none" w:sz="0" w:space="0" w:color="auto"/>
                        <w:bottom w:val="none" w:sz="0" w:space="0" w:color="auto"/>
                        <w:right w:val="none" w:sz="0" w:space="0" w:color="auto"/>
                      </w:divBdr>
                    </w:div>
                  </w:divsChild>
                </w:div>
                <w:div w:id="999386798">
                  <w:marLeft w:val="0"/>
                  <w:marRight w:val="0"/>
                  <w:marTop w:val="0"/>
                  <w:marBottom w:val="0"/>
                  <w:divBdr>
                    <w:top w:val="none" w:sz="0" w:space="0" w:color="auto"/>
                    <w:left w:val="none" w:sz="0" w:space="0" w:color="auto"/>
                    <w:bottom w:val="none" w:sz="0" w:space="0" w:color="auto"/>
                    <w:right w:val="none" w:sz="0" w:space="0" w:color="auto"/>
                  </w:divBdr>
                  <w:divsChild>
                    <w:div w:id="245652208">
                      <w:marLeft w:val="0"/>
                      <w:marRight w:val="0"/>
                      <w:marTop w:val="0"/>
                      <w:marBottom w:val="0"/>
                      <w:divBdr>
                        <w:top w:val="none" w:sz="0" w:space="0" w:color="auto"/>
                        <w:left w:val="none" w:sz="0" w:space="0" w:color="auto"/>
                        <w:bottom w:val="none" w:sz="0" w:space="0" w:color="auto"/>
                        <w:right w:val="none" w:sz="0" w:space="0" w:color="auto"/>
                      </w:divBdr>
                    </w:div>
                  </w:divsChild>
                </w:div>
                <w:div w:id="1028484354">
                  <w:marLeft w:val="0"/>
                  <w:marRight w:val="0"/>
                  <w:marTop w:val="0"/>
                  <w:marBottom w:val="0"/>
                  <w:divBdr>
                    <w:top w:val="none" w:sz="0" w:space="0" w:color="auto"/>
                    <w:left w:val="none" w:sz="0" w:space="0" w:color="auto"/>
                    <w:bottom w:val="none" w:sz="0" w:space="0" w:color="auto"/>
                    <w:right w:val="none" w:sz="0" w:space="0" w:color="auto"/>
                  </w:divBdr>
                  <w:divsChild>
                    <w:div w:id="1613856612">
                      <w:marLeft w:val="0"/>
                      <w:marRight w:val="0"/>
                      <w:marTop w:val="0"/>
                      <w:marBottom w:val="0"/>
                      <w:divBdr>
                        <w:top w:val="none" w:sz="0" w:space="0" w:color="auto"/>
                        <w:left w:val="none" w:sz="0" w:space="0" w:color="auto"/>
                        <w:bottom w:val="none" w:sz="0" w:space="0" w:color="auto"/>
                        <w:right w:val="none" w:sz="0" w:space="0" w:color="auto"/>
                      </w:divBdr>
                    </w:div>
                  </w:divsChild>
                </w:div>
                <w:div w:id="1321276815">
                  <w:marLeft w:val="0"/>
                  <w:marRight w:val="0"/>
                  <w:marTop w:val="0"/>
                  <w:marBottom w:val="0"/>
                  <w:divBdr>
                    <w:top w:val="none" w:sz="0" w:space="0" w:color="auto"/>
                    <w:left w:val="none" w:sz="0" w:space="0" w:color="auto"/>
                    <w:bottom w:val="none" w:sz="0" w:space="0" w:color="auto"/>
                    <w:right w:val="none" w:sz="0" w:space="0" w:color="auto"/>
                  </w:divBdr>
                  <w:divsChild>
                    <w:div w:id="1939171691">
                      <w:marLeft w:val="0"/>
                      <w:marRight w:val="0"/>
                      <w:marTop w:val="0"/>
                      <w:marBottom w:val="0"/>
                      <w:divBdr>
                        <w:top w:val="none" w:sz="0" w:space="0" w:color="auto"/>
                        <w:left w:val="none" w:sz="0" w:space="0" w:color="auto"/>
                        <w:bottom w:val="none" w:sz="0" w:space="0" w:color="auto"/>
                        <w:right w:val="none" w:sz="0" w:space="0" w:color="auto"/>
                      </w:divBdr>
                    </w:div>
                  </w:divsChild>
                </w:div>
                <w:div w:id="1331064169">
                  <w:marLeft w:val="0"/>
                  <w:marRight w:val="0"/>
                  <w:marTop w:val="0"/>
                  <w:marBottom w:val="0"/>
                  <w:divBdr>
                    <w:top w:val="none" w:sz="0" w:space="0" w:color="auto"/>
                    <w:left w:val="none" w:sz="0" w:space="0" w:color="auto"/>
                    <w:bottom w:val="none" w:sz="0" w:space="0" w:color="auto"/>
                    <w:right w:val="none" w:sz="0" w:space="0" w:color="auto"/>
                  </w:divBdr>
                  <w:divsChild>
                    <w:div w:id="665092094">
                      <w:marLeft w:val="0"/>
                      <w:marRight w:val="0"/>
                      <w:marTop w:val="0"/>
                      <w:marBottom w:val="0"/>
                      <w:divBdr>
                        <w:top w:val="none" w:sz="0" w:space="0" w:color="auto"/>
                        <w:left w:val="none" w:sz="0" w:space="0" w:color="auto"/>
                        <w:bottom w:val="none" w:sz="0" w:space="0" w:color="auto"/>
                        <w:right w:val="none" w:sz="0" w:space="0" w:color="auto"/>
                      </w:divBdr>
                    </w:div>
                  </w:divsChild>
                </w:div>
                <w:div w:id="1448041754">
                  <w:marLeft w:val="0"/>
                  <w:marRight w:val="0"/>
                  <w:marTop w:val="0"/>
                  <w:marBottom w:val="0"/>
                  <w:divBdr>
                    <w:top w:val="none" w:sz="0" w:space="0" w:color="auto"/>
                    <w:left w:val="none" w:sz="0" w:space="0" w:color="auto"/>
                    <w:bottom w:val="none" w:sz="0" w:space="0" w:color="auto"/>
                    <w:right w:val="none" w:sz="0" w:space="0" w:color="auto"/>
                  </w:divBdr>
                  <w:divsChild>
                    <w:div w:id="1411191925">
                      <w:marLeft w:val="0"/>
                      <w:marRight w:val="0"/>
                      <w:marTop w:val="0"/>
                      <w:marBottom w:val="0"/>
                      <w:divBdr>
                        <w:top w:val="none" w:sz="0" w:space="0" w:color="auto"/>
                        <w:left w:val="none" w:sz="0" w:space="0" w:color="auto"/>
                        <w:bottom w:val="none" w:sz="0" w:space="0" w:color="auto"/>
                        <w:right w:val="none" w:sz="0" w:space="0" w:color="auto"/>
                      </w:divBdr>
                    </w:div>
                  </w:divsChild>
                </w:div>
                <w:div w:id="1976138645">
                  <w:marLeft w:val="0"/>
                  <w:marRight w:val="0"/>
                  <w:marTop w:val="0"/>
                  <w:marBottom w:val="0"/>
                  <w:divBdr>
                    <w:top w:val="none" w:sz="0" w:space="0" w:color="auto"/>
                    <w:left w:val="none" w:sz="0" w:space="0" w:color="auto"/>
                    <w:bottom w:val="none" w:sz="0" w:space="0" w:color="auto"/>
                    <w:right w:val="none" w:sz="0" w:space="0" w:color="auto"/>
                  </w:divBdr>
                  <w:divsChild>
                    <w:div w:id="488793972">
                      <w:marLeft w:val="0"/>
                      <w:marRight w:val="0"/>
                      <w:marTop w:val="0"/>
                      <w:marBottom w:val="0"/>
                      <w:divBdr>
                        <w:top w:val="none" w:sz="0" w:space="0" w:color="auto"/>
                        <w:left w:val="none" w:sz="0" w:space="0" w:color="auto"/>
                        <w:bottom w:val="none" w:sz="0" w:space="0" w:color="auto"/>
                        <w:right w:val="none" w:sz="0" w:space="0" w:color="auto"/>
                      </w:divBdr>
                    </w:div>
                  </w:divsChild>
                </w:div>
                <w:div w:id="2120174048">
                  <w:marLeft w:val="0"/>
                  <w:marRight w:val="0"/>
                  <w:marTop w:val="0"/>
                  <w:marBottom w:val="0"/>
                  <w:divBdr>
                    <w:top w:val="none" w:sz="0" w:space="0" w:color="auto"/>
                    <w:left w:val="none" w:sz="0" w:space="0" w:color="auto"/>
                    <w:bottom w:val="none" w:sz="0" w:space="0" w:color="auto"/>
                    <w:right w:val="none" w:sz="0" w:space="0" w:color="auto"/>
                  </w:divBdr>
                  <w:divsChild>
                    <w:div w:id="1265990287">
                      <w:marLeft w:val="0"/>
                      <w:marRight w:val="0"/>
                      <w:marTop w:val="0"/>
                      <w:marBottom w:val="0"/>
                      <w:divBdr>
                        <w:top w:val="none" w:sz="0" w:space="0" w:color="auto"/>
                        <w:left w:val="none" w:sz="0" w:space="0" w:color="auto"/>
                        <w:bottom w:val="none" w:sz="0" w:space="0" w:color="auto"/>
                        <w:right w:val="none" w:sz="0" w:space="0" w:color="auto"/>
                      </w:divBdr>
                    </w:div>
                  </w:divsChild>
                </w:div>
                <w:div w:id="2126535712">
                  <w:marLeft w:val="0"/>
                  <w:marRight w:val="0"/>
                  <w:marTop w:val="0"/>
                  <w:marBottom w:val="0"/>
                  <w:divBdr>
                    <w:top w:val="none" w:sz="0" w:space="0" w:color="auto"/>
                    <w:left w:val="none" w:sz="0" w:space="0" w:color="auto"/>
                    <w:bottom w:val="none" w:sz="0" w:space="0" w:color="auto"/>
                    <w:right w:val="none" w:sz="0" w:space="0" w:color="auto"/>
                  </w:divBdr>
                  <w:divsChild>
                    <w:div w:id="8078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78981">
          <w:marLeft w:val="0"/>
          <w:marRight w:val="0"/>
          <w:marTop w:val="0"/>
          <w:marBottom w:val="0"/>
          <w:divBdr>
            <w:top w:val="none" w:sz="0" w:space="0" w:color="auto"/>
            <w:left w:val="none" w:sz="0" w:space="0" w:color="auto"/>
            <w:bottom w:val="none" w:sz="0" w:space="0" w:color="auto"/>
            <w:right w:val="none" w:sz="0" w:space="0" w:color="auto"/>
          </w:divBdr>
        </w:div>
        <w:div w:id="1825001330">
          <w:marLeft w:val="0"/>
          <w:marRight w:val="0"/>
          <w:marTop w:val="0"/>
          <w:marBottom w:val="0"/>
          <w:divBdr>
            <w:top w:val="none" w:sz="0" w:space="0" w:color="auto"/>
            <w:left w:val="none" w:sz="0" w:space="0" w:color="auto"/>
            <w:bottom w:val="none" w:sz="0" w:space="0" w:color="auto"/>
            <w:right w:val="none" w:sz="0" w:space="0" w:color="auto"/>
          </w:divBdr>
        </w:div>
        <w:div w:id="1841384639">
          <w:marLeft w:val="0"/>
          <w:marRight w:val="0"/>
          <w:marTop w:val="0"/>
          <w:marBottom w:val="0"/>
          <w:divBdr>
            <w:top w:val="none" w:sz="0" w:space="0" w:color="auto"/>
            <w:left w:val="none" w:sz="0" w:space="0" w:color="auto"/>
            <w:bottom w:val="none" w:sz="0" w:space="0" w:color="auto"/>
            <w:right w:val="none" w:sz="0" w:space="0" w:color="auto"/>
          </w:divBdr>
        </w:div>
        <w:div w:id="1845313453">
          <w:marLeft w:val="0"/>
          <w:marRight w:val="0"/>
          <w:marTop w:val="0"/>
          <w:marBottom w:val="0"/>
          <w:divBdr>
            <w:top w:val="none" w:sz="0" w:space="0" w:color="auto"/>
            <w:left w:val="none" w:sz="0" w:space="0" w:color="auto"/>
            <w:bottom w:val="none" w:sz="0" w:space="0" w:color="auto"/>
            <w:right w:val="none" w:sz="0" w:space="0" w:color="auto"/>
          </w:divBdr>
          <w:divsChild>
            <w:div w:id="84571523">
              <w:marLeft w:val="0"/>
              <w:marRight w:val="0"/>
              <w:marTop w:val="0"/>
              <w:marBottom w:val="0"/>
              <w:divBdr>
                <w:top w:val="none" w:sz="0" w:space="0" w:color="auto"/>
                <w:left w:val="none" w:sz="0" w:space="0" w:color="auto"/>
                <w:bottom w:val="none" w:sz="0" w:space="0" w:color="auto"/>
                <w:right w:val="none" w:sz="0" w:space="0" w:color="auto"/>
              </w:divBdr>
            </w:div>
            <w:div w:id="184485683">
              <w:marLeft w:val="0"/>
              <w:marRight w:val="0"/>
              <w:marTop w:val="0"/>
              <w:marBottom w:val="0"/>
              <w:divBdr>
                <w:top w:val="none" w:sz="0" w:space="0" w:color="auto"/>
                <w:left w:val="none" w:sz="0" w:space="0" w:color="auto"/>
                <w:bottom w:val="none" w:sz="0" w:space="0" w:color="auto"/>
                <w:right w:val="none" w:sz="0" w:space="0" w:color="auto"/>
              </w:divBdr>
            </w:div>
            <w:div w:id="349769443">
              <w:marLeft w:val="0"/>
              <w:marRight w:val="0"/>
              <w:marTop w:val="0"/>
              <w:marBottom w:val="0"/>
              <w:divBdr>
                <w:top w:val="none" w:sz="0" w:space="0" w:color="auto"/>
                <w:left w:val="none" w:sz="0" w:space="0" w:color="auto"/>
                <w:bottom w:val="none" w:sz="0" w:space="0" w:color="auto"/>
                <w:right w:val="none" w:sz="0" w:space="0" w:color="auto"/>
              </w:divBdr>
            </w:div>
            <w:div w:id="594824654">
              <w:marLeft w:val="0"/>
              <w:marRight w:val="0"/>
              <w:marTop w:val="0"/>
              <w:marBottom w:val="0"/>
              <w:divBdr>
                <w:top w:val="none" w:sz="0" w:space="0" w:color="auto"/>
                <w:left w:val="none" w:sz="0" w:space="0" w:color="auto"/>
                <w:bottom w:val="none" w:sz="0" w:space="0" w:color="auto"/>
                <w:right w:val="none" w:sz="0" w:space="0" w:color="auto"/>
              </w:divBdr>
            </w:div>
            <w:div w:id="940142195">
              <w:marLeft w:val="0"/>
              <w:marRight w:val="0"/>
              <w:marTop w:val="0"/>
              <w:marBottom w:val="0"/>
              <w:divBdr>
                <w:top w:val="none" w:sz="0" w:space="0" w:color="auto"/>
                <w:left w:val="none" w:sz="0" w:space="0" w:color="auto"/>
                <w:bottom w:val="none" w:sz="0" w:space="0" w:color="auto"/>
                <w:right w:val="none" w:sz="0" w:space="0" w:color="auto"/>
              </w:divBdr>
            </w:div>
            <w:div w:id="957444824">
              <w:marLeft w:val="0"/>
              <w:marRight w:val="0"/>
              <w:marTop w:val="0"/>
              <w:marBottom w:val="0"/>
              <w:divBdr>
                <w:top w:val="none" w:sz="0" w:space="0" w:color="auto"/>
                <w:left w:val="none" w:sz="0" w:space="0" w:color="auto"/>
                <w:bottom w:val="none" w:sz="0" w:space="0" w:color="auto"/>
                <w:right w:val="none" w:sz="0" w:space="0" w:color="auto"/>
              </w:divBdr>
            </w:div>
            <w:div w:id="967011098">
              <w:marLeft w:val="0"/>
              <w:marRight w:val="0"/>
              <w:marTop w:val="0"/>
              <w:marBottom w:val="0"/>
              <w:divBdr>
                <w:top w:val="none" w:sz="0" w:space="0" w:color="auto"/>
                <w:left w:val="none" w:sz="0" w:space="0" w:color="auto"/>
                <w:bottom w:val="none" w:sz="0" w:space="0" w:color="auto"/>
                <w:right w:val="none" w:sz="0" w:space="0" w:color="auto"/>
              </w:divBdr>
            </w:div>
            <w:div w:id="1106265939">
              <w:marLeft w:val="0"/>
              <w:marRight w:val="0"/>
              <w:marTop w:val="0"/>
              <w:marBottom w:val="0"/>
              <w:divBdr>
                <w:top w:val="none" w:sz="0" w:space="0" w:color="auto"/>
                <w:left w:val="none" w:sz="0" w:space="0" w:color="auto"/>
                <w:bottom w:val="none" w:sz="0" w:space="0" w:color="auto"/>
                <w:right w:val="none" w:sz="0" w:space="0" w:color="auto"/>
              </w:divBdr>
            </w:div>
            <w:div w:id="1200969375">
              <w:marLeft w:val="0"/>
              <w:marRight w:val="0"/>
              <w:marTop w:val="0"/>
              <w:marBottom w:val="0"/>
              <w:divBdr>
                <w:top w:val="none" w:sz="0" w:space="0" w:color="auto"/>
                <w:left w:val="none" w:sz="0" w:space="0" w:color="auto"/>
                <w:bottom w:val="none" w:sz="0" w:space="0" w:color="auto"/>
                <w:right w:val="none" w:sz="0" w:space="0" w:color="auto"/>
              </w:divBdr>
            </w:div>
            <w:div w:id="1288926054">
              <w:marLeft w:val="0"/>
              <w:marRight w:val="0"/>
              <w:marTop w:val="0"/>
              <w:marBottom w:val="0"/>
              <w:divBdr>
                <w:top w:val="none" w:sz="0" w:space="0" w:color="auto"/>
                <w:left w:val="none" w:sz="0" w:space="0" w:color="auto"/>
                <w:bottom w:val="none" w:sz="0" w:space="0" w:color="auto"/>
                <w:right w:val="none" w:sz="0" w:space="0" w:color="auto"/>
              </w:divBdr>
            </w:div>
            <w:div w:id="1359508443">
              <w:marLeft w:val="0"/>
              <w:marRight w:val="0"/>
              <w:marTop w:val="0"/>
              <w:marBottom w:val="0"/>
              <w:divBdr>
                <w:top w:val="none" w:sz="0" w:space="0" w:color="auto"/>
                <w:left w:val="none" w:sz="0" w:space="0" w:color="auto"/>
                <w:bottom w:val="none" w:sz="0" w:space="0" w:color="auto"/>
                <w:right w:val="none" w:sz="0" w:space="0" w:color="auto"/>
              </w:divBdr>
            </w:div>
            <w:div w:id="1407649109">
              <w:marLeft w:val="0"/>
              <w:marRight w:val="0"/>
              <w:marTop w:val="0"/>
              <w:marBottom w:val="0"/>
              <w:divBdr>
                <w:top w:val="none" w:sz="0" w:space="0" w:color="auto"/>
                <w:left w:val="none" w:sz="0" w:space="0" w:color="auto"/>
                <w:bottom w:val="none" w:sz="0" w:space="0" w:color="auto"/>
                <w:right w:val="none" w:sz="0" w:space="0" w:color="auto"/>
              </w:divBdr>
            </w:div>
            <w:div w:id="1495413995">
              <w:marLeft w:val="0"/>
              <w:marRight w:val="0"/>
              <w:marTop w:val="0"/>
              <w:marBottom w:val="0"/>
              <w:divBdr>
                <w:top w:val="none" w:sz="0" w:space="0" w:color="auto"/>
                <w:left w:val="none" w:sz="0" w:space="0" w:color="auto"/>
                <w:bottom w:val="none" w:sz="0" w:space="0" w:color="auto"/>
                <w:right w:val="none" w:sz="0" w:space="0" w:color="auto"/>
              </w:divBdr>
            </w:div>
            <w:div w:id="1734040512">
              <w:marLeft w:val="0"/>
              <w:marRight w:val="0"/>
              <w:marTop w:val="0"/>
              <w:marBottom w:val="0"/>
              <w:divBdr>
                <w:top w:val="none" w:sz="0" w:space="0" w:color="auto"/>
                <w:left w:val="none" w:sz="0" w:space="0" w:color="auto"/>
                <w:bottom w:val="none" w:sz="0" w:space="0" w:color="auto"/>
                <w:right w:val="none" w:sz="0" w:space="0" w:color="auto"/>
              </w:divBdr>
            </w:div>
            <w:div w:id="1845826347">
              <w:marLeft w:val="0"/>
              <w:marRight w:val="0"/>
              <w:marTop w:val="0"/>
              <w:marBottom w:val="0"/>
              <w:divBdr>
                <w:top w:val="none" w:sz="0" w:space="0" w:color="auto"/>
                <w:left w:val="none" w:sz="0" w:space="0" w:color="auto"/>
                <w:bottom w:val="none" w:sz="0" w:space="0" w:color="auto"/>
                <w:right w:val="none" w:sz="0" w:space="0" w:color="auto"/>
              </w:divBdr>
            </w:div>
            <w:div w:id="1924289793">
              <w:marLeft w:val="0"/>
              <w:marRight w:val="0"/>
              <w:marTop w:val="0"/>
              <w:marBottom w:val="0"/>
              <w:divBdr>
                <w:top w:val="none" w:sz="0" w:space="0" w:color="auto"/>
                <w:left w:val="none" w:sz="0" w:space="0" w:color="auto"/>
                <w:bottom w:val="none" w:sz="0" w:space="0" w:color="auto"/>
                <w:right w:val="none" w:sz="0" w:space="0" w:color="auto"/>
              </w:divBdr>
            </w:div>
            <w:div w:id="2000886542">
              <w:marLeft w:val="0"/>
              <w:marRight w:val="0"/>
              <w:marTop w:val="0"/>
              <w:marBottom w:val="0"/>
              <w:divBdr>
                <w:top w:val="none" w:sz="0" w:space="0" w:color="auto"/>
                <w:left w:val="none" w:sz="0" w:space="0" w:color="auto"/>
                <w:bottom w:val="none" w:sz="0" w:space="0" w:color="auto"/>
                <w:right w:val="none" w:sz="0" w:space="0" w:color="auto"/>
              </w:divBdr>
            </w:div>
            <w:div w:id="2002733073">
              <w:marLeft w:val="0"/>
              <w:marRight w:val="0"/>
              <w:marTop w:val="0"/>
              <w:marBottom w:val="0"/>
              <w:divBdr>
                <w:top w:val="none" w:sz="0" w:space="0" w:color="auto"/>
                <w:left w:val="none" w:sz="0" w:space="0" w:color="auto"/>
                <w:bottom w:val="none" w:sz="0" w:space="0" w:color="auto"/>
                <w:right w:val="none" w:sz="0" w:space="0" w:color="auto"/>
              </w:divBdr>
            </w:div>
            <w:div w:id="2003073910">
              <w:marLeft w:val="0"/>
              <w:marRight w:val="0"/>
              <w:marTop w:val="0"/>
              <w:marBottom w:val="0"/>
              <w:divBdr>
                <w:top w:val="none" w:sz="0" w:space="0" w:color="auto"/>
                <w:left w:val="none" w:sz="0" w:space="0" w:color="auto"/>
                <w:bottom w:val="none" w:sz="0" w:space="0" w:color="auto"/>
                <w:right w:val="none" w:sz="0" w:space="0" w:color="auto"/>
              </w:divBdr>
            </w:div>
            <w:div w:id="2046708725">
              <w:marLeft w:val="0"/>
              <w:marRight w:val="0"/>
              <w:marTop w:val="0"/>
              <w:marBottom w:val="0"/>
              <w:divBdr>
                <w:top w:val="none" w:sz="0" w:space="0" w:color="auto"/>
                <w:left w:val="none" w:sz="0" w:space="0" w:color="auto"/>
                <w:bottom w:val="none" w:sz="0" w:space="0" w:color="auto"/>
                <w:right w:val="none" w:sz="0" w:space="0" w:color="auto"/>
              </w:divBdr>
            </w:div>
          </w:divsChild>
        </w:div>
        <w:div w:id="1867524646">
          <w:marLeft w:val="0"/>
          <w:marRight w:val="0"/>
          <w:marTop w:val="0"/>
          <w:marBottom w:val="0"/>
          <w:divBdr>
            <w:top w:val="none" w:sz="0" w:space="0" w:color="auto"/>
            <w:left w:val="none" w:sz="0" w:space="0" w:color="auto"/>
            <w:bottom w:val="none" w:sz="0" w:space="0" w:color="auto"/>
            <w:right w:val="none" w:sz="0" w:space="0" w:color="auto"/>
          </w:divBdr>
        </w:div>
        <w:div w:id="1872303782">
          <w:marLeft w:val="0"/>
          <w:marRight w:val="0"/>
          <w:marTop w:val="0"/>
          <w:marBottom w:val="0"/>
          <w:divBdr>
            <w:top w:val="none" w:sz="0" w:space="0" w:color="auto"/>
            <w:left w:val="none" w:sz="0" w:space="0" w:color="auto"/>
            <w:bottom w:val="none" w:sz="0" w:space="0" w:color="auto"/>
            <w:right w:val="none" w:sz="0" w:space="0" w:color="auto"/>
          </w:divBdr>
        </w:div>
        <w:div w:id="1878081580">
          <w:marLeft w:val="0"/>
          <w:marRight w:val="0"/>
          <w:marTop w:val="0"/>
          <w:marBottom w:val="0"/>
          <w:divBdr>
            <w:top w:val="none" w:sz="0" w:space="0" w:color="auto"/>
            <w:left w:val="none" w:sz="0" w:space="0" w:color="auto"/>
            <w:bottom w:val="none" w:sz="0" w:space="0" w:color="auto"/>
            <w:right w:val="none" w:sz="0" w:space="0" w:color="auto"/>
          </w:divBdr>
        </w:div>
        <w:div w:id="1888878721">
          <w:marLeft w:val="0"/>
          <w:marRight w:val="0"/>
          <w:marTop w:val="0"/>
          <w:marBottom w:val="0"/>
          <w:divBdr>
            <w:top w:val="none" w:sz="0" w:space="0" w:color="auto"/>
            <w:left w:val="none" w:sz="0" w:space="0" w:color="auto"/>
            <w:bottom w:val="none" w:sz="0" w:space="0" w:color="auto"/>
            <w:right w:val="none" w:sz="0" w:space="0" w:color="auto"/>
          </w:divBdr>
        </w:div>
        <w:div w:id="1892114080">
          <w:marLeft w:val="0"/>
          <w:marRight w:val="0"/>
          <w:marTop w:val="0"/>
          <w:marBottom w:val="0"/>
          <w:divBdr>
            <w:top w:val="none" w:sz="0" w:space="0" w:color="auto"/>
            <w:left w:val="none" w:sz="0" w:space="0" w:color="auto"/>
            <w:bottom w:val="none" w:sz="0" w:space="0" w:color="auto"/>
            <w:right w:val="none" w:sz="0" w:space="0" w:color="auto"/>
          </w:divBdr>
        </w:div>
        <w:div w:id="1893417188">
          <w:marLeft w:val="0"/>
          <w:marRight w:val="0"/>
          <w:marTop w:val="0"/>
          <w:marBottom w:val="0"/>
          <w:divBdr>
            <w:top w:val="none" w:sz="0" w:space="0" w:color="auto"/>
            <w:left w:val="none" w:sz="0" w:space="0" w:color="auto"/>
            <w:bottom w:val="none" w:sz="0" w:space="0" w:color="auto"/>
            <w:right w:val="none" w:sz="0" w:space="0" w:color="auto"/>
          </w:divBdr>
          <w:divsChild>
            <w:div w:id="1735197032">
              <w:marLeft w:val="-75"/>
              <w:marRight w:val="0"/>
              <w:marTop w:val="30"/>
              <w:marBottom w:val="30"/>
              <w:divBdr>
                <w:top w:val="none" w:sz="0" w:space="0" w:color="auto"/>
                <w:left w:val="none" w:sz="0" w:space="0" w:color="auto"/>
                <w:bottom w:val="none" w:sz="0" w:space="0" w:color="auto"/>
                <w:right w:val="none" w:sz="0" w:space="0" w:color="auto"/>
              </w:divBdr>
              <w:divsChild>
                <w:div w:id="2324660">
                  <w:marLeft w:val="0"/>
                  <w:marRight w:val="0"/>
                  <w:marTop w:val="0"/>
                  <w:marBottom w:val="0"/>
                  <w:divBdr>
                    <w:top w:val="none" w:sz="0" w:space="0" w:color="auto"/>
                    <w:left w:val="none" w:sz="0" w:space="0" w:color="auto"/>
                    <w:bottom w:val="none" w:sz="0" w:space="0" w:color="auto"/>
                    <w:right w:val="none" w:sz="0" w:space="0" w:color="auto"/>
                  </w:divBdr>
                  <w:divsChild>
                    <w:div w:id="1205868339">
                      <w:marLeft w:val="0"/>
                      <w:marRight w:val="0"/>
                      <w:marTop w:val="0"/>
                      <w:marBottom w:val="0"/>
                      <w:divBdr>
                        <w:top w:val="none" w:sz="0" w:space="0" w:color="auto"/>
                        <w:left w:val="none" w:sz="0" w:space="0" w:color="auto"/>
                        <w:bottom w:val="none" w:sz="0" w:space="0" w:color="auto"/>
                        <w:right w:val="none" w:sz="0" w:space="0" w:color="auto"/>
                      </w:divBdr>
                    </w:div>
                  </w:divsChild>
                </w:div>
                <w:div w:id="22363138">
                  <w:marLeft w:val="0"/>
                  <w:marRight w:val="0"/>
                  <w:marTop w:val="0"/>
                  <w:marBottom w:val="0"/>
                  <w:divBdr>
                    <w:top w:val="none" w:sz="0" w:space="0" w:color="auto"/>
                    <w:left w:val="none" w:sz="0" w:space="0" w:color="auto"/>
                    <w:bottom w:val="none" w:sz="0" w:space="0" w:color="auto"/>
                    <w:right w:val="none" w:sz="0" w:space="0" w:color="auto"/>
                  </w:divBdr>
                  <w:divsChild>
                    <w:div w:id="1937517804">
                      <w:marLeft w:val="0"/>
                      <w:marRight w:val="0"/>
                      <w:marTop w:val="0"/>
                      <w:marBottom w:val="0"/>
                      <w:divBdr>
                        <w:top w:val="none" w:sz="0" w:space="0" w:color="auto"/>
                        <w:left w:val="none" w:sz="0" w:space="0" w:color="auto"/>
                        <w:bottom w:val="none" w:sz="0" w:space="0" w:color="auto"/>
                        <w:right w:val="none" w:sz="0" w:space="0" w:color="auto"/>
                      </w:divBdr>
                    </w:div>
                  </w:divsChild>
                </w:div>
                <w:div w:id="117601600">
                  <w:marLeft w:val="0"/>
                  <w:marRight w:val="0"/>
                  <w:marTop w:val="0"/>
                  <w:marBottom w:val="0"/>
                  <w:divBdr>
                    <w:top w:val="none" w:sz="0" w:space="0" w:color="auto"/>
                    <w:left w:val="none" w:sz="0" w:space="0" w:color="auto"/>
                    <w:bottom w:val="none" w:sz="0" w:space="0" w:color="auto"/>
                    <w:right w:val="none" w:sz="0" w:space="0" w:color="auto"/>
                  </w:divBdr>
                  <w:divsChild>
                    <w:div w:id="902836381">
                      <w:marLeft w:val="0"/>
                      <w:marRight w:val="0"/>
                      <w:marTop w:val="0"/>
                      <w:marBottom w:val="0"/>
                      <w:divBdr>
                        <w:top w:val="none" w:sz="0" w:space="0" w:color="auto"/>
                        <w:left w:val="none" w:sz="0" w:space="0" w:color="auto"/>
                        <w:bottom w:val="none" w:sz="0" w:space="0" w:color="auto"/>
                        <w:right w:val="none" w:sz="0" w:space="0" w:color="auto"/>
                      </w:divBdr>
                    </w:div>
                  </w:divsChild>
                </w:div>
                <w:div w:id="255290037">
                  <w:marLeft w:val="0"/>
                  <w:marRight w:val="0"/>
                  <w:marTop w:val="0"/>
                  <w:marBottom w:val="0"/>
                  <w:divBdr>
                    <w:top w:val="none" w:sz="0" w:space="0" w:color="auto"/>
                    <w:left w:val="none" w:sz="0" w:space="0" w:color="auto"/>
                    <w:bottom w:val="none" w:sz="0" w:space="0" w:color="auto"/>
                    <w:right w:val="none" w:sz="0" w:space="0" w:color="auto"/>
                  </w:divBdr>
                  <w:divsChild>
                    <w:div w:id="1514032561">
                      <w:marLeft w:val="0"/>
                      <w:marRight w:val="0"/>
                      <w:marTop w:val="0"/>
                      <w:marBottom w:val="0"/>
                      <w:divBdr>
                        <w:top w:val="none" w:sz="0" w:space="0" w:color="auto"/>
                        <w:left w:val="none" w:sz="0" w:space="0" w:color="auto"/>
                        <w:bottom w:val="none" w:sz="0" w:space="0" w:color="auto"/>
                        <w:right w:val="none" w:sz="0" w:space="0" w:color="auto"/>
                      </w:divBdr>
                    </w:div>
                  </w:divsChild>
                </w:div>
                <w:div w:id="280304941">
                  <w:marLeft w:val="0"/>
                  <w:marRight w:val="0"/>
                  <w:marTop w:val="0"/>
                  <w:marBottom w:val="0"/>
                  <w:divBdr>
                    <w:top w:val="none" w:sz="0" w:space="0" w:color="auto"/>
                    <w:left w:val="none" w:sz="0" w:space="0" w:color="auto"/>
                    <w:bottom w:val="none" w:sz="0" w:space="0" w:color="auto"/>
                    <w:right w:val="none" w:sz="0" w:space="0" w:color="auto"/>
                  </w:divBdr>
                  <w:divsChild>
                    <w:div w:id="905649234">
                      <w:marLeft w:val="0"/>
                      <w:marRight w:val="0"/>
                      <w:marTop w:val="0"/>
                      <w:marBottom w:val="0"/>
                      <w:divBdr>
                        <w:top w:val="none" w:sz="0" w:space="0" w:color="auto"/>
                        <w:left w:val="none" w:sz="0" w:space="0" w:color="auto"/>
                        <w:bottom w:val="none" w:sz="0" w:space="0" w:color="auto"/>
                        <w:right w:val="none" w:sz="0" w:space="0" w:color="auto"/>
                      </w:divBdr>
                    </w:div>
                  </w:divsChild>
                </w:div>
                <w:div w:id="400064229">
                  <w:marLeft w:val="0"/>
                  <w:marRight w:val="0"/>
                  <w:marTop w:val="0"/>
                  <w:marBottom w:val="0"/>
                  <w:divBdr>
                    <w:top w:val="none" w:sz="0" w:space="0" w:color="auto"/>
                    <w:left w:val="none" w:sz="0" w:space="0" w:color="auto"/>
                    <w:bottom w:val="none" w:sz="0" w:space="0" w:color="auto"/>
                    <w:right w:val="none" w:sz="0" w:space="0" w:color="auto"/>
                  </w:divBdr>
                  <w:divsChild>
                    <w:div w:id="557788988">
                      <w:marLeft w:val="0"/>
                      <w:marRight w:val="0"/>
                      <w:marTop w:val="0"/>
                      <w:marBottom w:val="0"/>
                      <w:divBdr>
                        <w:top w:val="none" w:sz="0" w:space="0" w:color="auto"/>
                        <w:left w:val="none" w:sz="0" w:space="0" w:color="auto"/>
                        <w:bottom w:val="none" w:sz="0" w:space="0" w:color="auto"/>
                        <w:right w:val="none" w:sz="0" w:space="0" w:color="auto"/>
                      </w:divBdr>
                    </w:div>
                  </w:divsChild>
                </w:div>
                <w:div w:id="412821432">
                  <w:marLeft w:val="0"/>
                  <w:marRight w:val="0"/>
                  <w:marTop w:val="0"/>
                  <w:marBottom w:val="0"/>
                  <w:divBdr>
                    <w:top w:val="none" w:sz="0" w:space="0" w:color="auto"/>
                    <w:left w:val="none" w:sz="0" w:space="0" w:color="auto"/>
                    <w:bottom w:val="none" w:sz="0" w:space="0" w:color="auto"/>
                    <w:right w:val="none" w:sz="0" w:space="0" w:color="auto"/>
                  </w:divBdr>
                  <w:divsChild>
                    <w:div w:id="930356390">
                      <w:marLeft w:val="0"/>
                      <w:marRight w:val="0"/>
                      <w:marTop w:val="0"/>
                      <w:marBottom w:val="0"/>
                      <w:divBdr>
                        <w:top w:val="none" w:sz="0" w:space="0" w:color="auto"/>
                        <w:left w:val="none" w:sz="0" w:space="0" w:color="auto"/>
                        <w:bottom w:val="none" w:sz="0" w:space="0" w:color="auto"/>
                        <w:right w:val="none" w:sz="0" w:space="0" w:color="auto"/>
                      </w:divBdr>
                    </w:div>
                  </w:divsChild>
                </w:div>
                <w:div w:id="494806460">
                  <w:marLeft w:val="0"/>
                  <w:marRight w:val="0"/>
                  <w:marTop w:val="0"/>
                  <w:marBottom w:val="0"/>
                  <w:divBdr>
                    <w:top w:val="none" w:sz="0" w:space="0" w:color="auto"/>
                    <w:left w:val="none" w:sz="0" w:space="0" w:color="auto"/>
                    <w:bottom w:val="none" w:sz="0" w:space="0" w:color="auto"/>
                    <w:right w:val="none" w:sz="0" w:space="0" w:color="auto"/>
                  </w:divBdr>
                  <w:divsChild>
                    <w:div w:id="1736390777">
                      <w:marLeft w:val="0"/>
                      <w:marRight w:val="0"/>
                      <w:marTop w:val="0"/>
                      <w:marBottom w:val="0"/>
                      <w:divBdr>
                        <w:top w:val="none" w:sz="0" w:space="0" w:color="auto"/>
                        <w:left w:val="none" w:sz="0" w:space="0" w:color="auto"/>
                        <w:bottom w:val="none" w:sz="0" w:space="0" w:color="auto"/>
                        <w:right w:val="none" w:sz="0" w:space="0" w:color="auto"/>
                      </w:divBdr>
                    </w:div>
                  </w:divsChild>
                </w:div>
                <w:div w:id="601032542">
                  <w:marLeft w:val="0"/>
                  <w:marRight w:val="0"/>
                  <w:marTop w:val="0"/>
                  <w:marBottom w:val="0"/>
                  <w:divBdr>
                    <w:top w:val="none" w:sz="0" w:space="0" w:color="auto"/>
                    <w:left w:val="none" w:sz="0" w:space="0" w:color="auto"/>
                    <w:bottom w:val="none" w:sz="0" w:space="0" w:color="auto"/>
                    <w:right w:val="none" w:sz="0" w:space="0" w:color="auto"/>
                  </w:divBdr>
                  <w:divsChild>
                    <w:div w:id="747382447">
                      <w:marLeft w:val="0"/>
                      <w:marRight w:val="0"/>
                      <w:marTop w:val="0"/>
                      <w:marBottom w:val="0"/>
                      <w:divBdr>
                        <w:top w:val="none" w:sz="0" w:space="0" w:color="auto"/>
                        <w:left w:val="none" w:sz="0" w:space="0" w:color="auto"/>
                        <w:bottom w:val="none" w:sz="0" w:space="0" w:color="auto"/>
                        <w:right w:val="none" w:sz="0" w:space="0" w:color="auto"/>
                      </w:divBdr>
                    </w:div>
                  </w:divsChild>
                </w:div>
                <w:div w:id="602153057">
                  <w:marLeft w:val="0"/>
                  <w:marRight w:val="0"/>
                  <w:marTop w:val="0"/>
                  <w:marBottom w:val="0"/>
                  <w:divBdr>
                    <w:top w:val="none" w:sz="0" w:space="0" w:color="auto"/>
                    <w:left w:val="none" w:sz="0" w:space="0" w:color="auto"/>
                    <w:bottom w:val="none" w:sz="0" w:space="0" w:color="auto"/>
                    <w:right w:val="none" w:sz="0" w:space="0" w:color="auto"/>
                  </w:divBdr>
                  <w:divsChild>
                    <w:div w:id="616719088">
                      <w:marLeft w:val="0"/>
                      <w:marRight w:val="0"/>
                      <w:marTop w:val="0"/>
                      <w:marBottom w:val="0"/>
                      <w:divBdr>
                        <w:top w:val="none" w:sz="0" w:space="0" w:color="auto"/>
                        <w:left w:val="none" w:sz="0" w:space="0" w:color="auto"/>
                        <w:bottom w:val="none" w:sz="0" w:space="0" w:color="auto"/>
                        <w:right w:val="none" w:sz="0" w:space="0" w:color="auto"/>
                      </w:divBdr>
                    </w:div>
                  </w:divsChild>
                </w:div>
                <w:div w:id="622465663">
                  <w:marLeft w:val="0"/>
                  <w:marRight w:val="0"/>
                  <w:marTop w:val="0"/>
                  <w:marBottom w:val="0"/>
                  <w:divBdr>
                    <w:top w:val="none" w:sz="0" w:space="0" w:color="auto"/>
                    <w:left w:val="none" w:sz="0" w:space="0" w:color="auto"/>
                    <w:bottom w:val="none" w:sz="0" w:space="0" w:color="auto"/>
                    <w:right w:val="none" w:sz="0" w:space="0" w:color="auto"/>
                  </w:divBdr>
                  <w:divsChild>
                    <w:div w:id="976108649">
                      <w:marLeft w:val="0"/>
                      <w:marRight w:val="0"/>
                      <w:marTop w:val="0"/>
                      <w:marBottom w:val="0"/>
                      <w:divBdr>
                        <w:top w:val="none" w:sz="0" w:space="0" w:color="auto"/>
                        <w:left w:val="none" w:sz="0" w:space="0" w:color="auto"/>
                        <w:bottom w:val="none" w:sz="0" w:space="0" w:color="auto"/>
                        <w:right w:val="none" w:sz="0" w:space="0" w:color="auto"/>
                      </w:divBdr>
                    </w:div>
                  </w:divsChild>
                </w:div>
                <w:div w:id="696662278">
                  <w:marLeft w:val="0"/>
                  <w:marRight w:val="0"/>
                  <w:marTop w:val="0"/>
                  <w:marBottom w:val="0"/>
                  <w:divBdr>
                    <w:top w:val="none" w:sz="0" w:space="0" w:color="auto"/>
                    <w:left w:val="none" w:sz="0" w:space="0" w:color="auto"/>
                    <w:bottom w:val="none" w:sz="0" w:space="0" w:color="auto"/>
                    <w:right w:val="none" w:sz="0" w:space="0" w:color="auto"/>
                  </w:divBdr>
                  <w:divsChild>
                    <w:div w:id="142507802">
                      <w:marLeft w:val="0"/>
                      <w:marRight w:val="0"/>
                      <w:marTop w:val="0"/>
                      <w:marBottom w:val="0"/>
                      <w:divBdr>
                        <w:top w:val="none" w:sz="0" w:space="0" w:color="auto"/>
                        <w:left w:val="none" w:sz="0" w:space="0" w:color="auto"/>
                        <w:bottom w:val="none" w:sz="0" w:space="0" w:color="auto"/>
                        <w:right w:val="none" w:sz="0" w:space="0" w:color="auto"/>
                      </w:divBdr>
                    </w:div>
                  </w:divsChild>
                </w:div>
                <w:div w:id="703478556">
                  <w:marLeft w:val="0"/>
                  <w:marRight w:val="0"/>
                  <w:marTop w:val="0"/>
                  <w:marBottom w:val="0"/>
                  <w:divBdr>
                    <w:top w:val="none" w:sz="0" w:space="0" w:color="auto"/>
                    <w:left w:val="none" w:sz="0" w:space="0" w:color="auto"/>
                    <w:bottom w:val="none" w:sz="0" w:space="0" w:color="auto"/>
                    <w:right w:val="none" w:sz="0" w:space="0" w:color="auto"/>
                  </w:divBdr>
                  <w:divsChild>
                    <w:div w:id="1744334450">
                      <w:marLeft w:val="0"/>
                      <w:marRight w:val="0"/>
                      <w:marTop w:val="0"/>
                      <w:marBottom w:val="0"/>
                      <w:divBdr>
                        <w:top w:val="none" w:sz="0" w:space="0" w:color="auto"/>
                        <w:left w:val="none" w:sz="0" w:space="0" w:color="auto"/>
                        <w:bottom w:val="none" w:sz="0" w:space="0" w:color="auto"/>
                        <w:right w:val="none" w:sz="0" w:space="0" w:color="auto"/>
                      </w:divBdr>
                    </w:div>
                  </w:divsChild>
                </w:div>
                <w:div w:id="735667482">
                  <w:marLeft w:val="0"/>
                  <w:marRight w:val="0"/>
                  <w:marTop w:val="0"/>
                  <w:marBottom w:val="0"/>
                  <w:divBdr>
                    <w:top w:val="none" w:sz="0" w:space="0" w:color="auto"/>
                    <w:left w:val="none" w:sz="0" w:space="0" w:color="auto"/>
                    <w:bottom w:val="none" w:sz="0" w:space="0" w:color="auto"/>
                    <w:right w:val="none" w:sz="0" w:space="0" w:color="auto"/>
                  </w:divBdr>
                  <w:divsChild>
                    <w:div w:id="1511262370">
                      <w:marLeft w:val="0"/>
                      <w:marRight w:val="0"/>
                      <w:marTop w:val="0"/>
                      <w:marBottom w:val="0"/>
                      <w:divBdr>
                        <w:top w:val="none" w:sz="0" w:space="0" w:color="auto"/>
                        <w:left w:val="none" w:sz="0" w:space="0" w:color="auto"/>
                        <w:bottom w:val="none" w:sz="0" w:space="0" w:color="auto"/>
                        <w:right w:val="none" w:sz="0" w:space="0" w:color="auto"/>
                      </w:divBdr>
                    </w:div>
                  </w:divsChild>
                </w:div>
                <w:div w:id="810832269">
                  <w:marLeft w:val="0"/>
                  <w:marRight w:val="0"/>
                  <w:marTop w:val="0"/>
                  <w:marBottom w:val="0"/>
                  <w:divBdr>
                    <w:top w:val="none" w:sz="0" w:space="0" w:color="auto"/>
                    <w:left w:val="none" w:sz="0" w:space="0" w:color="auto"/>
                    <w:bottom w:val="none" w:sz="0" w:space="0" w:color="auto"/>
                    <w:right w:val="none" w:sz="0" w:space="0" w:color="auto"/>
                  </w:divBdr>
                  <w:divsChild>
                    <w:div w:id="951546712">
                      <w:marLeft w:val="0"/>
                      <w:marRight w:val="0"/>
                      <w:marTop w:val="0"/>
                      <w:marBottom w:val="0"/>
                      <w:divBdr>
                        <w:top w:val="none" w:sz="0" w:space="0" w:color="auto"/>
                        <w:left w:val="none" w:sz="0" w:space="0" w:color="auto"/>
                        <w:bottom w:val="none" w:sz="0" w:space="0" w:color="auto"/>
                        <w:right w:val="none" w:sz="0" w:space="0" w:color="auto"/>
                      </w:divBdr>
                    </w:div>
                  </w:divsChild>
                </w:div>
                <w:div w:id="813376235">
                  <w:marLeft w:val="0"/>
                  <w:marRight w:val="0"/>
                  <w:marTop w:val="0"/>
                  <w:marBottom w:val="0"/>
                  <w:divBdr>
                    <w:top w:val="none" w:sz="0" w:space="0" w:color="auto"/>
                    <w:left w:val="none" w:sz="0" w:space="0" w:color="auto"/>
                    <w:bottom w:val="none" w:sz="0" w:space="0" w:color="auto"/>
                    <w:right w:val="none" w:sz="0" w:space="0" w:color="auto"/>
                  </w:divBdr>
                  <w:divsChild>
                    <w:div w:id="673335736">
                      <w:marLeft w:val="0"/>
                      <w:marRight w:val="0"/>
                      <w:marTop w:val="0"/>
                      <w:marBottom w:val="0"/>
                      <w:divBdr>
                        <w:top w:val="none" w:sz="0" w:space="0" w:color="auto"/>
                        <w:left w:val="none" w:sz="0" w:space="0" w:color="auto"/>
                        <w:bottom w:val="none" w:sz="0" w:space="0" w:color="auto"/>
                        <w:right w:val="none" w:sz="0" w:space="0" w:color="auto"/>
                      </w:divBdr>
                    </w:div>
                  </w:divsChild>
                </w:div>
                <w:div w:id="892734059">
                  <w:marLeft w:val="0"/>
                  <w:marRight w:val="0"/>
                  <w:marTop w:val="0"/>
                  <w:marBottom w:val="0"/>
                  <w:divBdr>
                    <w:top w:val="none" w:sz="0" w:space="0" w:color="auto"/>
                    <w:left w:val="none" w:sz="0" w:space="0" w:color="auto"/>
                    <w:bottom w:val="none" w:sz="0" w:space="0" w:color="auto"/>
                    <w:right w:val="none" w:sz="0" w:space="0" w:color="auto"/>
                  </w:divBdr>
                  <w:divsChild>
                    <w:div w:id="802692173">
                      <w:marLeft w:val="0"/>
                      <w:marRight w:val="0"/>
                      <w:marTop w:val="0"/>
                      <w:marBottom w:val="0"/>
                      <w:divBdr>
                        <w:top w:val="none" w:sz="0" w:space="0" w:color="auto"/>
                        <w:left w:val="none" w:sz="0" w:space="0" w:color="auto"/>
                        <w:bottom w:val="none" w:sz="0" w:space="0" w:color="auto"/>
                        <w:right w:val="none" w:sz="0" w:space="0" w:color="auto"/>
                      </w:divBdr>
                    </w:div>
                  </w:divsChild>
                </w:div>
                <w:div w:id="915897783">
                  <w:marLeft w:val="0"/>
                  <w:marRight w:val="0"/>
                  <w:marTop w:val="0"/>
                  <w:marBottom w:val="0"/>
                  <w:divBdr>
                    <w:top w:val="none" w:sz="0" w:space="0" w:color="auto"/>
                    <w:left w:val="none" w:sz="0" w:space="0" w:color="auto"/>
                    <w:bottom w:val="none" w:sz="0" w:space="0" w:color="auto"/>
                    <w:right w:val="none" w:sz="0" w:space="0" w:color="auto"/>
                  </w:divBdr>
                  <w:divsChild>
                    <w:div w:id="1127040183">
                      <w:marLeft w:val="0"/>
                      <w:marRight w:val="0"/>
                      <w:marTop w:val="0"/>
                      <w:marBottom w:val="0"/>
                      <w:divBdr>
                        <w:top w:val="none" w:sz="0" w:space="0" w:color="auto"/>
                        <w:left w:val="none" w:sz="0" w:space="0" w:color="auto"/>
                        <w:bottom w:val="none" w:sz="0" w:space="0" w:color="auto"/>
                        <w:right w:val="none" w:sz="0" w:space="0" w:color="auto"/>
                      </w:divBdr>
                    </w:div>
                  </w:divsChild>
                </w:div>
                <w:div w:id="924653214">
                  <w:marLeft w:val="0"/>
                  <w:marRight w:val="0"/>
                  <w:marTop w:val="0"/>
                  <w:marBottom w:val="0"/>
                  <w:divBdr>
                    <w:top w:val="none" w:sz="0" w:space="0" w:color="auto"/>
                    <w:left w:val="none" w:sz="0" w:space="0" w:color="auto"/>
                    <w:bottom w:val="none" w:sz="0" w:space="0" w:color="auto"/>
                    <w:right w:val="none" w:sz="0" w:space="0" w:color="auto"/>
                  </w:divBdr>
                  <w:divsChild>
                    <w:div w:id="825047532">
                      <w:marLeft w:val="0"/>
                      <w:marRight w:val="0"/>
                      <w:marTop w:val="0"/>
                      <w:marBottom w:val="0"/>
                      <w:divBdr>
                        <w:top w:val="none" w:sz="0" w:space="0" w:color="auto"/>
                        <w:left w:val="none" w:sz="0" w:space="0" w:color="auto"/>
                        <w:bottom w:val="none" w:sz="0" w:space="0" w:color="auto"/>
                        <w:right w:val="none" w:sz="0" w:space="0" w:color="auto"/>
                      </w:divBdr>
                    </w:div>
                  </w:divsChild>
                </w:div>
                <w:div w:id="1063211230">
                  <w:marLeft w:val="0"/>
                  <w:marRight w:val="0"/>
                  <w:marTop w:val="0"/>
                  <w:marBottom w:val="0"/>
                  <w:divBdr>
                    <w:top w:val="none" w:sz="0" w:space="0" w:color="auto"/>
                    <w:left w:val="none" w:sz="0" w:space="0" w:color="auto"/>
                    <w:bottom w:val="none" w:sz="0" w:space="0" w:color="auto"/>
                    <w:right w:val="none" w:sz="0" w:space="0" w:color="auto"/>
                  </w:divBdr>
                  <w:divsChild>
                    <w:div w:id="947010799">
                      <w:marLeft w:val="0"/>
                      <w:marRight w:val="0"/>
                      <w:marTop w:val="0"/>
                      <w:marBottom w:val="0"/>
                      <w:divBdr>
                        <w:top w:val="none" w:sz="0" w:space="0" w:color="auto"/>
                        <w:left w:val="none" w:sz="0" w:space="0" w:color="auto"/>
                        <w:bottom w:val="none" w:sz="0" w:space="0" w:color="auto"/>
                        <w:right w:val="none" w:sz="0" w:space="0" w:color="auto"/>
                      </w:divBdr>
                    </w:div>
                  </w:divsChild>
                </w:div>
                <w:div w:id="1302074561">
                  <w:marLeft w:val="0"/>
                  <w:marRight w:val="0"/>
                  <w:marTop w:val="0"/>
                  <w:marBottom w:val="0"/>
                  <w:divBdr>
                    <w:top w:val="none" w:sz="0" w:space="0" w:color="auto"/>
                    <w:left w:val="none" w:sz="0" w:space="0" w:color="auto"/>
                    <w:bottom w:val="none" w:sz="0" w:space="0" w:color="auto"/>
                    <w:right w:val="none" w:sz="0" w:space="0" w:color="auto"/>
                  </w:divBdr>
                  <w:divsChild>
                    <w:div w:id="1083259193">
                      <w:marLeft w:val="0"/>
                      <w:marRight w:val="0"/>
                      <w:marTop w:val="0"/>
                      <w:marBottom w:val="0"/>
                      <w:divBdr>
                        <w:top w:val="none" w:sz="0" w:space="0" w:color="auto"/>
                        <w:left w:val="none" w:sz="0" w:space="0" w:color="auto"/>
                        <w:bottom w:val="none" w:sz="0" w:space="0" w:color="auto"/>
                        <w:right w:val="none" w:sz="0" w:space="0" w:color="auto"/>
                      </w:divBdr>
                    </w:div>
                  </w:divsChild>
                </w:div>
                <w:div w:id="1347094262">
                  <w:marLeft w:val="0"/>
                  <w:marRight w:val="0"/>
                  <w:marTop w:val="0"/>
                  <w:marBottom w:val="0"/>
                  <w:divBdr>
                    <w:top w:val="none" w:sz="0" w:space="0" w:color="auto"/>
                    <w:left w:val="none" w:sz="0" w:space="0" w:color="auto"/>
                    <w:bottom w:val="none" w:sz="0" w:space="0" w:color="auto"/>
                    <w:right w:val="none" w:sz="0" w:space="0" w:color="auto"/>
                  </w:divBdr>
                  <w:divsChild>
                    <w:div w:id="1000548877">
                      <w:marLeft w:val="0"/>
                      <w:marRight w:val="0"/>
                      <w:marTop w:val="0"/>
                      <w:marBottom w:val="0"/>
                      <w:divBdr>
                        <w:top w:val="none" w:sz="0" w:space="0" w:color="auto"/>
                        <w:left w:val="none" w:sz="0" w:space="0" w:color="auto"/>
                        <w:bottom w:val="none" w:sz="0" w:space="0" w:color="auto"/>
                        <w:right w:val="none" w:sz="0" w:space="0" w:color="auto"/>
                      </w:divBdr>
                    </w:div>
                  </w:divsChild>
                </w:div>
                <w:div w:id="1352032064">
                  <w:marLeft w:val="0"/>
                  <w:marRight w:val="0"/>
                  <w:marTop w:val="0"/>
                  <w:marBottom w:val="0"/>
                  <w:divBdr>
                    <w:top w:val="none" w:sz="0" w:space="0" w:color="auto"/>
                    <w:left w:val="none" w:sz="0" w:space="0" w:color="auto"/>
                    <w:bottom w:val="none" w:sz="0" w:space="0" w:color="auto"/>
                    <w:right w:val="none" w:sz="0" w:space="0" w:color="auto"/>
                  </w:divBdr>
                  <w:divsChild>
                    <w:div w:id="2147039141">
                      <w:marLeft w:val="0"/>
                      <w:marRight w:val="0"/>
                      <w:marTop w:val="0"/>
                      <w:marBottom w:val="0"/>
                      <w:divBdr>
                        <w:top w:val="none" w:sz="0" w:space="0" w:color="auto"/>
                        <w:left w:val="none" w:sz="0" w:space="0" w:color="auto"/>
                        <w:bottom w:val="none" w:sz="0" w:space="0" w:color="auto"/>
                        <w:right w:val="none" w:sz="0" w:space="0" w:color="auto"/>
                      </w:divBdr>
                    </w:div>
                  </w:divsChild>
                </w:div>
                <w:div w:id="1361973124">
                  <w:marLeft w:val="0"/>
                  <w:marRight w:val="0"/>
                  <w:marTop w:val="0"/>
                  <w:marBottom w:val="0"/>
                  <w:divBdr>
                    <w:top w:val="none" w:sz="0" w:space="0" w:color="auto"/>
                    <w:left w:val="none" w:sz="0" w:space="0" w:color="auto"/>
                    <w:bottom w:val="none" w:sz="0" w:space="0" w:color="auto"/>
                    <w:right w:val="none" w:sz="0" w:space="0" w:color="auto"/>
                  </w:divBdr>
                  <w:divsChild>
                    <w:div w:id="1102459082">
                      <w:marLeft w:val="0"/>
                      <w:marRight w:val="0"/>
                      <w:marTop w:val="0"/>
                      <w:marBottom w:val="0"/>
                      <w:divBdr>
                        <w:top w:val="none" w:sz="0" w:space="0" w:color="auto"/>
                        <w:left w:val="none" w:sz="0" w:space="0" w:color="auto"/>
                        <w:bottom w:val="none" w:sz="0" w:space="0" w:color="auto"/>
                        <w:right w:val="none" w:sz="0" w:space="0" w:color="auto"/>
                      </w:divBdr>
                    </w:div>
                  </w:divsChild>
                </w:div>
                <w:div w:id="1404330076">
                  <w:marLeft w:val="0"/>
                  <w:marRight w:val="0"/>
                  <w:marTop w:val="0"/>
                  <w:marBottom w:val="0"/>
                  <w:divBdr>
                    <w:top w:val="none" w:sz="0" w:space="0" w:color="auto"/>
                    <w:left w:val="none" w:sz="0" w:space="0" w:color="auto"/>
                    <w:bottom w:val="none" w:sz="0" w:space="0" w:color="auto"/>
                    <w:right w:val="none" w:sz="0" w:space="0" w:color="auto"/>
                  </w:divBdr>
                  <w:divsChild>
                    <w:div w:id="254554064">
                      <w:marLeft w:val="0"/>
                      <w:marRight w:val="0"/>
                      <w:marTop w:val="0"/>
                      <w:marBottom w:val="0"/>
                      <w:divBdr>
                        <w:top w:val="none" w:sz="0" w:space="0" w:color="auto"/>
                        <w:left w:val="none" w:sz="0" w:space="0" w:color="auto"/>
                        <w:bottom w:val="none" w:sz="0" w:space="0" w:color="auto"/>
                        <w:right w:val="none" w:sz="0" w:space="0" w:color="auto"/>
                      </w:divBdr>
                    </w:div>
                  </w:divsChild>
                </w:div>
                <w:div w:id="1464233930">
                  <w:marLeft w:val="0"/>
                  <w:marRight w:val="0"/>
                  <w:marTop w:val="0"/>
                  <w:marBottom w:val="0"/>
                  <w:divBdr>
                    <w:top w:val="none" w:sz="0" w:space="0" w:color="auto"/>
                    <w:left w:val="none" w:sz="0" w:space="0" w:color="auto"/>
                    <w:bottom w:val="none" w:sz="0" w:space="0" w:color="auto"/>
                    <w:right w:val="none" w:sz="0" w:space="0" w:color="auto"/>
                  </w:divBdr>
                  <w:divsChild>
                    <w:div w:id="1528907693">
                      <w:marLeft w:val="0"/>
                      <w:marRight w:val="0"/>
                      <w:marTop w:val="0"/>
                      <w:marBottom w:val="0"/>
                      <w:divBdr>
                        <w:top w:val="none" w:sz="0" w:space="0" w:color="auto"/>
                        <w:left w:val="none" w:sz="0" w:space="0" w:color="auto"/>
                        <w:bottom w:val="none" w:sz="0" w:space="0" w:color="auto"/>
                        <w:right w:val="none" w:sz="0" w:space="0" w:color="auto"/>
                      </w:divBdr>
                    </w:div>
                  </w:divsChild>
                </w:div>
                <w:div w:id="1470199680">
                  <w:marLeft w:val="0"/>
                  <w:marRight w:val="0"/>
                  <w:marTop w:val="0"/>
                  <w:marBottom w:val="0"/>
                  <w:divBdr>
                    <w:top w:val="none" w:sz="0" w:space="0" w:color="auto"/>
                    <w:left w:val="none" w:sz="0" w:space="0" w:color="auto"/>
                    <w:bottom w:val="none" w:sz="0" w:space="0" w:color="auto"/>
                    <w:right w:val="none" w:sz="0" w:space="0" w:color="auto"/>
                  </w:divBdr>
                  <w:divsChild>
                    <w:div w:id="1124885193">
                      <w:marLeft w:val="0"/>
                      <w:marRight w:val="0"/>
                      <w:marTop w:val="0"/>
                      <w:marBottom w:val="0"/>
                      <w:divBdr>
                        <w:top w:val="none" w:sz="0" w:space="0" w:color="auto"/>
                        <w:left w:val="none" w:sz="0" w:space="0" w:color="auto"/>
                        <w:bottom w:val="none" w:sz="0" w:space="0" w:color="auto"/>
                        <w:right w:val="none" w:sz="0" w:space="0" w:color="auto"/>
                      </w:divBdr>
                    </w:div>
                  </w:divsChild>
                </w:div>
                <w:div w:id="1479421436">
                  <w:marLeft w:val="0"/>
                  <w:marRight w:val="0"/>
                  <w:marTop w:val="0"/>
                  <w:marBottom w:val="0"/>
                  <w:divBdr>
                    <w:top w:val="none" w:sz="0" w:space="0" w:color="auto"/>
                    <w:left w:val="none" w:sz="0" w:space="0" w:color="auto"/>
                    <w:bottom w:val="none" w:sz="0" w:space="0" w:color="auto"/>
                    <w:right w:val="none" w:sz="0" w:space="0" w:color="auto"/>
                  </w:divBdr>
                  <w:divsChild>
                    <w:div w:id="799104813">
                      <w:marLeft w:val="0"/>
                      <w:marRight w:val="0"/>
                      <w:marTop w:val="0"/>
                      <w:marBottom w:val="0"/>
                      <w:divBdr>
                        <w:top w:val="none" w:sz="0" w:space="0" w:color="auto"/>
                        <w:left w:val="none" w:sz="0" w:space="0" w:color="auto"/>
                        <w:bottom w:val="none" w:sz="0" w:space="0" w:color="auto"/>
                        <w:right w:val="none" w:sz="0" w:space="0" w:color="auto"/>
                      </w:divBdr>
                    </w:div>
                  </w:divsChild>
                </w:div>
                <w:div w:id="1506046600">
                  <w:marLeft w:val="0"/>
                  <w:marRight w:val="0"/>
                  <w:marTop w:val="0"/>
                  <w:marBottom w:val="0"/>
                  <w:divBdr>
                    <w:top w:val="none" w:sz="0" w:space="0" w:color="auto"/>
                    <w:left w:val="none" w:sz="0" w:space="0" w:color="auto"/>
                    <w:bottom w:val="none" w:sz="0" w:space="0" w:color="auto"/>
                    <w:right w:val="none" w:sz="0" w:space="0" w:color="auto"/>
                  </w:divBdr>
                  <w:divsChild>
                    <w:div w:id="776414420">
                      <w:marLeft w:val="0"/>
                      <w:marRight w:val="0"/>
                      <w:marTop w:val="0"/>
                      <w:marBottom w:val="0"/>
                      <w:divBdr>
                        <w:top w:val="none" w:sz="0" w:space="0" w:color="auto"/>
                        <w:left w:val="none" w:sz="0" w:space="0" w:color="auto"/>
                        <w:bottom w:val="none" w:sz="0" w:space="0" w:color="auto"/>
                        <w:right w:val="none" w:sz="0" w:space="0" w:color="auto"/>
                      </w:divBdr>
                    </w:div>
                  </w:divsChild>
                </w:div>
                <w:div w:id="1510410136">
                  <w:marLeft w:val="0"/>
                  <w:marRight w:val="0"/>
                  <w:marTop w:val="0"/>
                  <w:marBottom w:val="0"/>
                  <w:divBdr>
                    <w:top w:val="none" w:sz="0" w:space="0" w:color="auto"/>
                    <w:left w:val="none" w:sz="0" w:space="0" w:color="auto"/>
                    <w:bottom w:val="none" w:sz="0" w:space="0" w:color="auto"/>
                    <w:right w:val="none" w:sz="0" w:space="0" w:color="auto"/>
                  </w:divBdr>
                  <w:divsChild>
                    <w:div w:id="1894922980">
                      <w:marLeft w:val="0"/>
                      <w:marRight w:val="0"/>
                      <w:marTop w:val="0"/>
                      <w:marBottom w:val="0"/>
                      <w:divBdr>
                        <w:top w:val="none" w:sz="0" w:space="0" w:color="auto"/>
                        <w:left w:val="none" w:sz="0" w:space="0" w:color="auto"/>
                        <w:bottom w:val="none" w:sz="0" w:space="0" w:color="auto"/>
                        <w:right w:val="none" w:sz="0" w:space="0" w:color="auto"/>
                      </w:divBdr>
                    </w:div>
                  </w:divsChild>
                </w:div>
                <w:div w:id="1516378578">
                  <w:marLeft w:val="0"/>
                  <w:marRight w:val="0"/>
                  <w:marTop w:val="0"/>
                  <w:marBottom w:val="0"/>
                  <w:divBdr>
                    <w:top w:val="none" w:sz="0" w:space="0" w:color="auto"/>
                    <w:left w:val="none" w:sz="0" w:space="0" w:color="auto"/>
                    <w:bottom w:val="none" w:sz="0" w:space="0" w:color="auto"/>
                    <w:right w:val="none" w:sz="0" w:space="0" w:color="auto"/>
                  </w:divBdr>
                  <w:divsChild>
                    <w:div w:id="1347904358">
                      <w:marLeft w:val="0"/>
                      <w:marRight w:val="0"/>
                      <w:marTop w:val="0"/>
                      <w:marBottom w:val="0"/>
                      <w:divBdr>
                        <w:top w:val="none" w:sz="0" w:space="0" w:color="auto"/>
                        <w:left w:val="none" w:sz="0" w:space="0" w:color="auto"/>
                        <w:bottom w:val="none" w:sz="0" w:space="0" w:color="auto"/>
                        <w:right w:val="none" w:sz="0" w:space="0" w:color="auto"/>
                      </w:divBdr>
                    </w:div>
                  </w:divsChild>
                </w:div>
                <w:div w:id="1523939024">
                  <w:marLeft w:val="0"/>
                  <w:marRight w:val="0"/>
                  <w:marTop w:val="0"/>
                  <w:marBottom w:val="0"/>
                  <w:divBdr>
                    <w:top w:val="none" w:sz="0" w:space="0" w:color="auto"/>
                    <w:left w:val="none" w:sz="0" w:space="0" w:color="auto"/>
                    <w:bottom w:val="none" w:sz="0" w:space="0" w:color="auto"/>
                    <w:right w:val="none" w:sz="0" w:space="0" w:color="auto"/>
                  </w:divBdr>
                  <w:divsChild>
                    <w:div w:id="536164048">
                      <w:marLeft w:val="0"/>
                      <w:marRight w:val="0"/>
                      <w:marTop w:val="0"/>
                      <w:marBottom w:val="0"/>
                      <w:divBdr>
                        <w:top w:val="none" w:sz="0" w:space="0" w:color="auto"/>
                        <w:left w:val="none" w:sz="0" w:space="0" w:color="auto"/>
                        <w:bottom w:val="none" w:sz="0" w:space="0" w:color="auto"/>
                        <w:right w:val="none" w:sz="0" w:space="0" w:color="auto"/>
                      </w:divBdr>
                    </w:div>
                  </w:divsChild>
                </w:div>
                <w:div w:id="1653027225">
                  <w:marLeft w:val="0"/>
                  <w:marRight w:val="0"/>
                  <w:marTop w:val="0"/>
                  <w:marBottom w:val="0"/>
                  <w:divBdr>
                    <w:top w:val="none" w:sz="0" w:space="0" w:color="auto"/>
                    <w:left w:val="none" w:sz="0" w:space="0" w:color="auto"/>
                    <w:bottom w:val="none" w:sz="0" w:space="0" w:color="auto"/>
                    <w:right w:val="none" w:sz="0" w:space="0" w:color="auto"/>
                  </w:divBdr>
                  <w:divsChild>
                    <w:div w:id="795759814">
                      <w:marLeft w:val="0"/>
                      <w:marRight w:val="0"/>
                      <w:marTop w:val="0"/>
                      <w:marBottom w:val="0"/>
                      <w:divBdr>
                        <w:top w:val="none" w:sz="0" w:space="0" w:color="auto"/>
                        <w:left w:val="none" w:sz="0" w:space="0" w:color="auto"/>
                        <w:bottom w:val="none" w:sz="0" w:space="0" w:color="auto"/>
                        <w:right w:val="none" w:sz="0" w:space="0" w:color="auto"/>
                      </w:divBdr>
                    </w:div>
                  </w:divsChild>
                </w:div>
                <w:div w:id="1664158283">
                  <w:marLeft w:val="0"/>
                  <w:marRight w:val="0"/>
                  <w:marTop w:val="0"/>
                  <w:marBottom w:val="0"/>
                  <w:divBdr>
                    <w:top w:val="none" w:sz="0" w:space="0" w:color="auto"/>
                    <w:left w:val="none" w:sz="0" w:space="0" w:color="auto"/>
                    <w:bottom w:val="none" w:sz="0" w:space="0" w:color="auto"/>
                    <w:right w:val="none" w:sz="0" w:space="0" w:color="auto"/>
                  </w:divBdr>
                  <w:divsChild>
                    <w:div w:id="931662007">
                      <w:marLeft w:val="0"/>
                      <w:marRight w:val="0"/>
                      <w:marTop w:val="0"/>
                      <w:marBottom w:val="0"/>
                      <w:divBdr>
                        <w:top w:val="none" w:sz="0" w:space="0" w:color="auto"/>
                        <w:left w:val="none" w:sz="0" w:space="0" w:color="auto"/>
                        <w:bottom w:val="none" w:sz="0" w:space="0" w:color="auto"/>
                        <w:right w:val="none" w:sz="0" w:space="0" w:color="auto"/>
                      </w:divBdr>
                    </w:div>
                  </w:divsChild>
                </w:div>
                <w:div w:id="1664580202">
                  <w:marLeft w:val="0"/>
                  <w:marRight w:val="0"/>
                  <w:marTop w:val="0"/>
                  <w:marBottom w:val="0"/>
                  <w:divBdr>
                    <w:top w:val="none" w:sz="0" w:space="0" w:color="auto"/>
                    <w:left w:val="none" w:sz="0" w:space="0" w:color="auto"/>
                    <w:bottom w:val="none" w:sz="0" w:space="0" w:color="auto"/>
                    <w:right w:val="none" w:sz="0" w:space="0" w:color="auto"/>
                  </w:divBdr>
                  <w:divsChild>
                    <w:div w:id="892424083">
                      <w:marLeft w:val="0"/>
                      <w:marRight w:val="0"/>
                      <w:marTop w:val="0"/>
                      <w:marBottom w:val="0"/>
                      <w:divBdr>
                        <w:top w:val="none" w:sz="0" w:space="0" w:color="auto"/>
                        <w:left w:val="none" w:sz="0" w:space="0" w:color="auto"/>
                        <w:bottom w:val="none" w:sz="0" w:space="0" w:color="auto"/>
                        <w:right w:val="none" w:sz="0" w:space="0" w:color="auto"/>
                      </w:divBdr>
                    </w:div>
                  </w:divsChild>
                </w:div>
                <w:div w:id="1757167786">
                  <w:marLeft w:val="0"/>
                  <w:marRight w:val="0"/>
                  <w:marTop w:val="0"/>
                  <w:marBottom w:val="0"/>
                  <w:divBdr>
                    <w:top w:val="none" w:sz="0" w:space="0" w:color="auto"/>
                    <w:left w:val="none" w:sz="0" w:space="0" w:color="auto"/>
                    <w:bottom w:val="none" w:sz="0" w:space="0" w:color="auto"/>
                    <w:right w:val="none" w:sz="0" w:space="0" w:color="auto"/>
                  </w:divBdr>
                  <w:divsChild>
                    <w:div w:id="1314674850">
                      <w:marLeft w:val="0"/>
                      <w:marRight w:val="0"/>
                      <w:marTop w:val="0"/>
                      <w:marBottom w:val="0"/>
                      <w:divBdr>
                        <w:top w:val="none" w:sz="0" w:space="0" w:color="auto"/>
                        <w:left w:val="none" w:sz="0" w:space="0" w:color="auto"/>
                        <w:bottom w:val="none" w:sz="0" w:space="0" w:color="auto"/>
                        <w:right w:val="none" w:sz="0" w:space="0" w:color="auto"/>
                      </w:divBdr>
                    </w:div>
                  </w:divsChild>
                </w:div>
                <w:div w:id="1780417841">
                  <w:marLeft w:val="0"/>
                  <w:marRight w:val="0"/>
                  <w:marTop w:val="0"/>
                  <w:marBottom w:val="0"/>
                  <w:divBdr>
                    <w:top w:val="none" w:sz="0" w:space="0" w:color="auto"/>
                    <w:left w:val="none" w:sz="0" w:space="0" w:color="auto"/>
                    <w:bottom w:val="none" w:sz="0" w:space="0" w:color="auto"/>
                    <w:right w:val="none" w:sz="0" w:space="0" w:color="auto"/>
                  </w:divBdr>
                  <w:divsChild>
                    <w:div w:id="134681817">
                      <w:marLeft w:val="0"/>
                      <w:marRight w:val="0"/>
                      <w:marTop w:val="0"/>
                      <w:marBottom w:val="0"/>
                      <w:divBdr>
                        <w:top w:val="none" w:sz="0" w:space="0" w:color="auto"/>
                        <w:left w:val="none" w:sz="0" w:space="0" w:color="auto"/>
                        <w:bottom w:val="none" w:sz="0" w:space="0" w:color="auto"/>
                        <w:right w:val="none" w:sz="0" w:space="0" w:color="auto"/>
                      </w:divBdr>
                    </w:div>
                  </w:divsChild>
                </w:div>
                <w:div w:id="1865168453">
                  <w:marLeft w:val="0"/>
                  <w:marRight w:val="0"/>
                  <w:marTop w:val="0"/>
                  <w:marBottom w:val="0"/>
                  <w:divBdr>
                    <w:top w:val="none" w:sz="0" w:space="0" w:color="auto"/>
                    <w:left w:val="none" w:sz="0" w:space="0" w:color="auto"/>
                    <w:bottom w:val="none" w:sz="0" w:space="0" w:color="auto"/>
                    <w:right w:val="none" w:sz="0" w:space="0" w:color="auto"/>
                  </w:divBdr>
                  <w:divsChild>
                    <w:div w:id="1430933149">
                      <w:marLeft w:val="0"/>
                      <w:marRight w:val="0"/>
                      <w:marTop w:val="0"/>
                      <w:marBottom w:val="0"/>
                      <w:divBdr>
                        <w:top w:val="none" w:sz="0" w:space="0" w:color="auto"/>
                        <w:left w:val="none" w:sz="0" w:space="0" w:color="auto"/>
                        <w:bottom w:val="none" w:sz="0" w:space="0" w:color="auto"/>
                        <w:right w:val="none" w:sz="0" w:space="0" w:color="auto"/>
                      </w:divBdr>
                    </w:div>
                  </w:divsChild>
                </w:div>
                <w:div w:id="2010400250">
                  <w:marLeft w:val="0"/>
                  <w:marRight w:val="0"/>
                  <w:marTop w:val="0"/>
                  <w:marBottom w:val="0"/>
                  <w:divBdr>
                    <w:top w:val="none" w:sz="0" w:space="0" w:color="auto"/>
                    <w:left w:val="none" w:sz="0" w:space="0" w:color="auto"/>
                    <w:bottom w:val="none" w:sz="0" w:space="0" w:color="auto"/>
                    <w:right w:val="none" w:sz="0" w:space="0" w:color="auto"/>
                  </w:divBdr>
                  <w:divsChild>
                    <w:div w:id="435949505">
                      <w:marLeft w:val="0"/>
                      <w:marRight w:val="0"/>
                      <w:marTop w:val="0"/>
                      <w:marBottom w:val="0"/>
                      <w:divBdr>
                        <w:top w:val="none" w:sz="0" w:space="0" w:color="auto"/>
                        <w:left w:val="none" w:sz="0" w:space="0" w:color="auto"/>
                        <w:bottom w:val="none" w:sz="0" w:space="0" w:color="auto"/>
                        <w:right w:val="none" w:sz="0" w:space="0" w:color="auto"/>
                      </w:divBdr>
                    </w:div>
                  </w:divsChild>
                </w:div>
                <w:div w:id="2033066375">
                  <w:marLeft w:val="0"/>
                  <w:marRight w:val="0"/>
                  <w:marTop w:val="0"/>
                  <w:marBottom w:val="0"/>
                  <w:divBdr>
                    <w:top w:val="none" w:sz="0" w:space="0" w:color="auto"/>
                    <w:left w:val="none" w:sz="0" w:space="0" w:color="auto"/>
                    <w:bottom w:val="none" w:sz="0" w:space="0" w:color="auto"/>
                    <w:right w:val="none" w:sz="0" w:space="0" w:color="auto"/>
                  </w:divBdr>
                  <w:divsChild>
                    <w:div w:id="1551185623">
                      <w:marLeft w:val="0"/>
                      <w:marRight w:val="0"/>
                      <w:marTop w:val="0"/>
                      <w:marBottom w:val="0"/>
                      <w:divBdr>
                        <w:top w:val="none" w:sz="0" w:space="0" w:color="auto"/>
                        <w:left w:val="none" w:sz="0" w:space="0" w:color="auto"/>
                        <w:bottom w:val="none" w:sz="0" w:space="0" w:color="auto"/>
                        <w:right w:val="none" w:sz="0" w:space="0" w:color="auto"/>
                      </w:divBdr>
                    </w:div>
                  </w:divsChild>
                </w:div>
                <w:div w:id="2100177182">
                  <w:marLeft w:val="0"/>
                  <w:marRight w:val="0"/>
                  <w:marTop w:val="0"/>
                  <w:marBottom w:val="0"/>
                  <w:divBdr>
                    <w:top w:val="none" w:sz="0" w:space="0" w:color="auto"/>
                    <w:left w:val="none" w:sz="0" w:space="0" w:color="auto"/>
                    <w:bottom w:val="none" w:sz="0" w:space="0" w:color="auto"/>
                    <w:right w:val="none" w:sz="0" w:space="0" w:color="auto"/>
                  </w:divBdr>
                  <w:divsChild>
                    <w:div w:id="585193928">
                      <w:marLeft w:val="0"/>
                      <w:marRight w:val="0"/>
                      <w:marTop w:val="0"/>
                      <w:marBottom w:val="0"/>
                      <w:divBdr>
                        <w:top w:val="none" w:sz="0" w:space="0" w:color="auto"/>
                        <w:left w:val="none" w:sz="0" w:space="0" w:color="auto"/>
                        <w:bottom w:val="none" w:sz="0" w:space="0" w:color="auto"/>
                        <w:right w:val="none" w:sz="0" w:space="0" w:color="auto"/>
                      </w:divBdr>
                    </w:div>
                  </w:divsChild>
                </w:div>
                <w:div w:id="2133792099">
                  <w:marLeft w:val="0"/>
                  <w:marRight w:val="0"/>
                  <w:marTop w:val="0"/>
                  <w:marBottom w:val="0"/>
                  <w:divBdr>
                    <w:top w:val="none" w:sz="0" w:space="0" w:color="auto"/>
                    <w:left w:val="none" w:sz="0" w:space="0" w:color="auto"/>
                    <w:bottom w:val="none" w:sz="0" w:space="0" w:color="auto"/>
                    <w:right w:val="none" w:sz="0" w:space="0" w:color="auto"/>
                  </w:divBdr>
                  <w:divsChild>
                    <w:div w:id="12874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136321">
          <w:marLeft w:val="0"/>
          <w:marRight w:val="0"/>
          <w:marTop w:val="0"/>
          <w:marBottom w:val="0"/>
          <w:divBdr>
            <w:top w:val="none" w:sz="0" w:space="0" w:color="auto"/>
            <w:left w:val="none" w:sz="0" w:space="0" w:color="auto"/>
            <w:bottom w:val="none" w:sz="0" w:space="0" w:color="auto"/>
            <w:right w:val="none" w:sz="0" w:space="0" w:color="auto"/>
          </w:divBdr>
        </w:div>
        <w:div w:id="1905605004">
          <w:marLeft w:val="0"/>
          <w:marRight w:val="0"/>
          <w:marTop w:val="0"/>
          <w:marBottom w:val="0"/>
          <w:divBdr>
            <w:top w:val="none" w:sz="0" w:space="0" w:color="auto"/>
            <w:left w:val="none" w:sz="0" w:space="0" w:color="auto"/>
            <w:bottom w:val="none" w:sz="0" w:space="0" w:color="auto"/>
            <w:right w:val="none" w:sz="0" w:space="0" w:color="auto"/>
          </w:divBdr>
          <w:divsChild>
            <w:div w:id="54551497">
              <w:marLeft w:val="0"/>
              <w:marRight w:val="0"/>
              <w:marTop w:val="0"/>
              <w:marBottom w:val="0"/>
              <w:divBdr>
                <w:top w:val="none" w:sz="0" w:space="0" w:color="auto"/>
                <w:left w:val="none" w:sz="0" w:space="0" w:color="auto"/>
                <w:bottom w:val="none" w:sz="0" w:space="0" w:color="auto"/>
                <w:right w:val="none" w:sz="0" w:space="0" w:color="auto"/>
              </w:divBdr>
            </w:div>
            <w:div w:id="412287409">
              <w:marLeft w:val="0"/>
              <w:marRight w:val="0"/>
              <w:marTop w:val="0"/>
              <w:marBottom w:val="0"/>
              <w:divBdr>
                <w:top w:val="none" w:sz="0" w:space="0" w:color="auto"/>
                <w:left w:val="none" w:sz="0" w:space="0" w:color="auto"/>
                <w:bottom w:val="none" w:sz="0" w:space="0" w:color="auto"/>
                <w:right w:val="none" w:sz="0" w:space="0" w:color="auto"/>
              </w:divBdr>
            </w:div>
            <w:div w:id="466707668">
              <w:marLeft w:val="0"/>
              <w:marRight w:val="0"/>
              <w:marTop w:val="0"/>
              <w:marBottom w:val="0"/>
              <w:divBdr>
                <w:top w:val="none" w:sz="0" w:space="0" w:color="auto"/>
                <w:left w:val="none" w:sz="0" w:space="0" w:color="auto"/>
                <w:bottom w:val="none" w:sz="0" w:space="0" w:color="auto"/>
                <w:right w:val="none" w:sz="0" w:space="0" w:color="auto"/>
              </w:divBdr>
            </w:div>
            <w:div w:id="502089933">
              <w:marLeft w:val="0"/>
              <w:marRight w:val="0"/>
              <w:marTop w:val="0"/>
              <w:marBottom w:val="0"/>
              <w:divBdr>
                <w:top w:val="none" w:sz="0" w:space="0" w:color="auto"/>
                <w:left w:val="none" w:sz="0" w:space="0" w:color="auto"/>
                <w:bottom w:val="none" w:sz="0" w:space="0" w:color="auto"/>
                <w:right w:val="none" w:sz="0" w:space="0" w:color="auto"/>
              </w:divBdr>
            </w:div>
            <w:div w:id="618073213">
              <w:marLeft w:val="0"/>
              <w:marRight w:val="0"/>
              <w:marTop w:val="0"/>
              <w:marBottom w:val="0"/>
              <w:divBdr>
                <w:top w:val="none" w:sz="0" w:space="0" w:color="auto"/>
                <w:left w:val="none" w:sz="0" w:space="0" w:color="auto"/>
                <w:bottom w:val="none" w:sz="0" w:space="0" w:color="auto"/>
                <w:right w:val="none" w:sz="0" w:space="0" w:color="auto"/>
              </w:divBdr>
            </w:div>
            <w:div w:id="621496782">
              <w:marLeft w:val="0"/>
              <w:marRight w:val="0"/>
              <w:marTop w:val="0"/>
              <w:marBottom w:val="0"/>
              <w:divBdr>
                <w:top w:val="none" w:sz="0" w:space="0" w:color="auto"/>
                <w:left w:val="none" w:sz="0" w:space="0" w:color="auto"/>
                <w:bottom w:val="none" w:sz="0" w:space="0" w:color="auto"/>
                <w:right w:val="none" w:sz="0" w:space="0" w:color="auto"/>
              </w:divBdr>
            </w:div>
            <w:div w:id="629242542">
              <w:marLeft w:val="0"/>
              <w:marRight w:val="0"/>
              <w:marTop w:val="0"/>
              <w:marBottom w:val="0"/>
              <w:divBdr>
                <w:top w:val="none" w:sz="0" w:space="0" w:color="auto"/>
                <w:left w:val="none" w:sz="0" w:space="0" w:color="auto"/>
                <w:bottom w:val="none" w:sz="0" w:space="0" w:color="auto"/>
                <w:right w:val="none" w:sz="0" w:space="0" w:color="auto"/>
              </w:divBdr>
            </w:div>
            <w:div w:id="835799554">
              <w:marLeft w:val="0"/>
              <w:marRight w:val="0"/>
              <w:marTop w:val="0"/>
              <w:marBottom w:val="0"/>
              <w:divBdr>
                <w:top w:val="none" w:sz="0" w:space="0" w:color="auto"/>
                <w:left w:val="none" w:sz="0" w:space="0" w:color="auto"/>
                <w:bottom w:val="none" w:sz="0" w:space="0" w:color="auto"/>
                <w:right w:val="none" w:sz="0" w:space="0" w:color="auto"/>
              </w:divBdr>
            </w:div>
            <w:div w:id="1183207550">
              <w:marLeft w:val="0"/>
              <w:marRight w:val="0"/>
              <w:marTop w:val="0"/>
              <w:marBottom w:val="0"/>
              <w:divBdr>
                <w:top w:val="none" w:sz="0" w:space="0" w:color="auto"/>
                <w:left w:val="none" w:sz="0" w:space="0" w:color="auto"/>
                <w:bottom w:val="none" w:sz="0" w:space="0" w:color="auto"/>
                <w:right w:val="none" w:sz="0" w:space="0" w:color="auto"/>
              </w:divBdr>
            </w:div>
            <w:div w:id="1286540182">
              <w:marLeft w:val="0"/>
              <w:marRight w:val="0"/>
              <w:marTop w:val="0"/>
              <w:marBottom w:val="0"/>
              <w:divBdr>
                <w:top w:val="none" w:sz="0" w:space="0" w:color="auto"/>
                <w:left w:val="none" w:sz="0" w:space="0" w:color="auto"/>
                <w:bottom w:val="none" w:sz="0" w:space="0" w:color="auto"/>
                <w:right w:val="none" w:sz="0" w:space="0" w:color="auto"/>
              </w:divBdr>
            </w:div>
            <w:div w:id="1320034275">
              <w:marLeft w:val="0"/>
              <w:marRight w:val="0"/>
              <w:marTop w:val="0"/>
              <w:marBottom w:val="0"/>
              <w:divBdr>
                <w:top w:val="none" w:sz="0" w:space="0" w:color="auto"/>
                <w:left w:val="none" w:sz="0" w:space="0" w:color="auto"/>
                <w:bottom w:val="none" w:sz="0" w:space="0" w:color="auto"/>
                <w:right w:val="none" w:sz="0" w:space="0" w:color="auto"/>
              </w:divBdr>
            </w:div>
            <w:div w:id="1496410459">
              <w:marLeft w:val="0"/>
              <w:marRight w:val="0"/>
              <w:marTop w:val="0"/>
              <w:marBottom w:val="0"/>
              <w:divBdr>
                <w:top w:val="none" w:sz="0" w:space="0" w:color="auto"/>
                <w:left w:val="none" w:sz="0" w:space="0" w:color="auto"/>
                <w:bottom w:val="none" w:sz="0" w:space="0" w:color="auto"/>
                <w:right w:val="none" w:sz="0" w:space="0" w:color="auto"/>
              </w:divBdr>
            </w:div>
            <w:div w:id="1571883835">
              <w:marLeft w:val="0"/>
              <w:marRight w:val="0"/>
              <w:marTop w:val="0"/>
              <w:marBottom w:val="0"/>
              <w:divBdr>
                <w:top w:val="none" w:sz="0" w:space="0" w:color="auto"/>
                <w:left w:val="none" w:sz="0" w:space="0" w:color="auto"/>
                <w:bottom w:val="none" w:sz="0" w:space="0" w:color="auto"/>
                <w:right w:val="none" w:sz="0" w:space="0" w:color="auto"/>
              </w:divBdr>
            </w:div>
            <w:div w:id="1582447601">
              <w:marLeft w:val="0"/>
              <w:marRight w:val="0"/>
              <w:marTop w:val="0"/>
              <w:marBottom w:val="0"/>
              <w:divBdr>
                <w:top w:val="none" w:sz="0" w:space="0" w:color="auto"/>
                <w:left w:val="none" w:sz="0" w:space="0" w:color="auto"/>
                <w:bottom w:val="none" w:sz="0" w:space="0" w:color="auto"/>
                <w:right w:val="none" w:sz="0" w:space="0" w:color="auto"/>
              </w:divBdr>
            </w:div>
            <w:div w:id="1648975735">
              <w:marLeft w:val="0"/>
              <w:marRight w:val="0"/>
              <w:marTop w:val="0"/>
              <w:marBottom w:val="0"/>
              <w:divBdr>
                <w:top w:val="none" w:sz="0" w:space="0" w:color="auto"/>
                <w:left w:val="none" w:sz="0" w:space="0" w:color="auto"/>
                <w:bottom w:val="none" w:sz="0" w:space="0" w:color="auto"/>
                <w:right w:val="none" w:sz="0" w:space="0" w:color="auto"/>
              </w:divBdr>
            </w:div>
            <w:div w:id="1749115364">
              <w:marLeft w:val="0"/>
              <w:marRight w:val="0"/>
              <w:marTop w:val="0"/>
              <w:marBottom w:val="0"/>
              <w:divBdr>
                <w:top w:val="none" w:sz="0" w:space="0" w:color="auto"/>
                <w:left w:val="none" w:sz="0" w:space="0" w:color="auto"/>
                <w:bottom w:val="none" w:sz="0" w:space="0" w:color="auto"/>
                <w:right w:val="none" w:sz="0" w:space="0" w:color="auto"/>
              </w:divBdr>
            </w:div>
            <w:div w:id="1816337916">
              <w:marLeft w:val="0"/>
              <w:marRight w:val="0"/>
              <w:marTop w:val="0"/>
              <w:marBottom w:val="0"/>
              <w:divBdr>
                <w:top w:val="none" w:sz="0" w:space="0" w:color="auto"/>
                <w:left w:val="none" w:sz="0" w:space="0" w:color="auto"/>
                <w:bottom w:val="none" w:sz="0" w:space="0" w:color="auto"/>
                <w:right w:val="none" w:sz="0" w:space="0" w:color="auto"/>
              </w:divBdr>
            </w:div>
            <w:div w:id="1993172331">
              <w:marLeft w:val="0"/>
              <w:marRight w:val="0"/>
              <w:marTop w:val="0"/>
              <w:marBottom w:val="0"/>
              <w:divBdr>
                <w:top w:val="none" w:sz="0" w:space="0" w:color="auto"/>
                <w:left w:val="none" w:sz="0" w:space="0" w:color="auto"/>
                <w:bottom w:val="none" w:sz="0" w:space="0" w:color="auto"/>
                <w:right w:val="none" w:sz="0" w:space="0" w:color="auto"/>
              </w:divBdr>
            </w:div>
            <w:div w:id="2130584523">
              <w:marLeft w:val="0"/>
              <w:marRight w:val="0"/>
              <w:marTop w:val="0"/>
              <w:marBottom w:val="0"/>
              <w:divBdr>
                <w:top w:val="none" w:sz="0" w:space="0" w:color="auto"/>
                <w:left w:val="none" w:sz="0" w:space="0" w:color="auto"/>
                <w:bottom w:val="none" w:sz="0" w:space="0" w:color="auto"/>
                <w:right w:val="none" w:sz="0" w:space="0" w:color="auto"/>
              </w:divBdr>
            </w:div>
            <w:div w:id="2140875812">
              <w:marLeft w:val="0"/>
              <w:marRight w:val="0"/>
              <w:marTop w:val="0"/>
              <w:marBottom w:val="0"/>
              <w:divBdr>
                <w:top w:val="none" w:sz="0" w:space="0" w:color="auto"/>
                <w:left w:val="none" w:sz="0" w:space="0" w:color="auto"/>
                <w:bottom w:val="none" w:sz="0" w:space="0" w:color="auto"/>
                <w:right w:val="none" w:sz="0" w:space="0" w:color="auto"/>
              </w:divBdr>
            </w:div>
          </w:divsChild>
        </w:div>
        <w:div w:id="1907760447">
          <w:marLeft w:val="0"/>
          <w:marRight w:val="0"/>
          <w:marTop w:val="0"/>
          <w:marBottom w:val="0"/>
          <w:divBdr>
            <w:top w:val="none" w:sz="0" w:space="0" w:color="auto"/>
            <w:left w:val="none" w:sz="0" w:space="0" w:color="auto"/>
            <w:bottom w:val="none" w:sz="0" w:space="0" w:color="auto"/>
            <w:right w:val="none" w:sz="0" w:space="0" w:color="auto"/>
          </w:divBdr>
        </w:div>
        <w:div w:id="1910799247">
          <w:marLeft w:val="0"/>
          <w:marRight w:val="0"/>
          <w:marTop w:val="0"/>
          <w:marBottom w:val="0"/>
          <w:divBdr>
            <w:top w:val="none" w:sz="0" w:space="0" w:color="auto"/>
            <w:left w:val="none" w:sz="0" w:space="0" w:color="auto"/>
            <w:bottom w:val="none" w:sz="0" w:space="0" w:color="auto"/>
            <w:right w:val="none" w:sz="0" w:space="0" w:color="auto"/>
          </w:divBdr>
        </w:div>
        <w:div w:id="1913394487">
          <w:marLeft w:val="0"/>
          <w:marRight w:val="0"/>
          <w:marTop w:val="0"/>
          <w:marBottom w:val="0"/>
          <w:divBdr>
            <w:top w:val="none" w:sz="0" w:space="0" w:color="auto"/>
            <w:left w:val="none" w:sz="0" w:space="0" w:color="auto"/>
            <w:bottom w:val="none" w:sz="0" w:space="0" w:color="auto"/>
            <w:right w:val="none" w:sz="0" w:space="0" w:color="auto"/>
          </w:divBdr>
          <w:divsChild>
            <w:div w:id="632559143">
              <w:marLeft w:val="-75"/>
              <w:marRight w:val="0"/>
              <w:marTop w:val="30"/>
              <w:marBottom w:val="30"/>
              <w:divBdr>
                <w:top w:val="none" w:sz="0" w:space="0" w:color="auto"/>
                <w:left w:val="none" w:sz="0" w:space="0" w:color="auto"/>
                <w:bottom w:val="none" w:sz="0" w:space="0" w:color="auto"/>
                <w:right w:val="none" w:sz="0" w:space="0" w:color="auto"/>
              </w:divBdr>
              <w:divsChild>
                <w:div w:id="147013509">
                  <w:marLeft w:val="0"/>
                  <w:marRight w:val="0"/>
                  <w:marTop w:val="0"/>
                  <w:marBottom w:val="0"/>
                  <w:divBdr>
                    <w:top w:val="none" w:sz="0" w:space="0" w:color="auto"/>
                    <w:left w:val="none" w:sz="0" w:space="0" w:color="auto"/>
                    <w:bottom w:val="none" w:sz="0" w:space="0" w:color="auto"/>
                    <w:right w:val="none" w:sz="0" w:space="0" w:color="auto"/>
                  </w:divBdr>
                  <w:divsChild>
                    <w:div w:id="456490947">
                      <w:marLeft w:val="0"/>
                      <w:marRight w:val="0"/>
                      <w:marTop w:val="0"/>
                      <w:marBottom w:val="0"/>
                      <w:divBdr>
                        <w:top w:val="none" w:sz="0" w:space="0" w:color="auto"/>
                        <w:left w:val="none" w:sz="0" w:space="0" w:color="auto"/>
                        <w:bottom w:val="none" w:sz="0" w:space="0" w:color="auto"/>
                        <w:right w:val="none" w:sz="0" w:space="0" w:color="auto"/>
                      </w:divBdr>
                    </w:div>
                  </w:divsChild>
                </w:div>
                <w:div w:id="290602310">
                  <w:marLeft w:val="0"/>
                  <w:marRight w:val="0"/>
                  <w:marTop w:val="0"/>
                  <w:marBottom w:val="0"/>
                  <w:divBdr>
                    <w:top w:val="none" w:sz="0" w:space="0" w:color="auto"/>
                    <w:left w:val="none" w:sz="0" w:space="0" w:color="auto"/>
                    <w:bottom w:val="none" w:sz="0" w:space="0" w:color="auto"/>
                    <w:right w:val="none" w:sz="0" w:space="0" w:color="auto"/>
                  </w:divBdr>
                  <w:divsChild>
                    <w:div w:id="1706099846">
                      <w:marLeft w:val="0"/>
                      <w:marRight w:val="0"/>
                      <w:marTop w:val="0"/>
                      <w:marBottom w:val="0"/>
                      <w:divBdr>
                        <w:top w:val="none" w:sz="0" w:space="0" w:color="auto"/>
                        <w:left w:val="none" w:sz="0" w:space="0" w:color="auto"/>
                        <w:bottom w:val="none" w:sz="0" w:space="0" w:color="auto"/>
                        <w:right w:val="none" w:sz="0" w:space="0" w:color="auto"/>
                      </w:divBdr>
                    </w:div>
                  </w:divsChild>
                </w:div>
                <w:div w:id="873882693">
                  <w:marLeft w:val="0"/>
                  <w:marRight w:val="0"/>
                  <w:marTop w:val="0"/>
                  <w:marBottom w:val="0"/>
                  <w:divBdr>
                    <w:top w:val="none" w:sz="0" w:space="0" w:color="auto"/>
                    <w:left w:val="none" w:sz="0" w:space="0" w:color="auto"/>
                    <w:bottom w:val="none" w:sz="0" w:space="0" w:color="auto"/>
                    <w:right w:val="none" w:sz="0" w:space="0" w:color="auto"/>
                  </w:divBdr>
                  <w:divsChild>
                    <w:div w:id="1590654742">
                      <w:marLeft w:val="0"/>
                      <w:marRight w:val="0"/>
                      <w:marTop w:val="0"/>
                      <w:marBottom w:val="0"/>
                      <w:divBdr>
                        <w:top w:val="none" w:sz="0" w:space="0" w:color="auto"/>
                        <w:left w:val="none" w:sz="0" w:space="0" w:color="auto"/>
                        <w:bottom w:val="none" w:sz="0" w:space="0" w:color="auto"/>
                        <w:right w:val="none" w:sz="0" w:space="0" w:color="auto"/>
                      </w:divBdr>
                    </w:div>
                  </w:divsChild>
                </w:div>
                <w:div w:id="946696514">
                  <w:marLeft w:val="0"/>
                  <w:marRight w:val="0"/>
                  <w:marTop w:val="0"/>
                  <w:marBottom w:val="0"/>
                  <w:divBdr>
                    <w:top w:val="none" w:sz="0" w:space="0" w:color="auto"/>
                    <w:left w:val="none" w:sz="0" w:space="0" w:color="auto"/>
                    <w:bottom w:val="none" w:sz="0" w:space="0" w:color="auto"/>
                    <w:right w:val="none" w:sz="0" w:space="0" w:color="auto"/>
                  </w:divBdr>
                  <w:divsChild>
                    <w:div w:id="1163816712">
                      <w:marLeft w:val="0"/>
                      <w:marRight w:val="0"/>
                      <w:marTop w:val="0"/>
                      <w:marBottom w:val="0"/>
                      <w:divBdr>
                        <w:top w:val="none" w:sz="0" w:space="0" w:color="auto"/>
                        <w:left w:val="none" w:sz="0" w:space="0" w:color="auto"/>
                        <w:bottom w:val="none" w:sz="0" w:space="0" w:color="auto"/>
                        <w:right w:val="none" w:sz="0" w:space="0" w:color="auto"/>
                      </w:divBdr>
                    </w:div>
                  </w:divsChild>
                </w:div>
                <w:div w:id="1099907806">
                  <w:marLeft w:val="0"/>
                  <w:marRight w:val="0"/>
                  <w:marTop w:val="0"/>
                  <w:marBottom w:val="0"/>
                  <w:divBdr>
                    <w:top w:val="none" w:sz="0" w:space="0" w:color="auto"/>
                    <w:left w:val="none" w:sz="0" w:space="0" w:color="auto"/>
                    <w:bottom w:val="none" w:sz="0" w:space="0" w:color="auto"/>
                    <w:right w:val="none" w:sz="0" w:space="0" w:color="auto"/>
                  </w:divBdr>
                  <w:divsChild>
                    <w:div w:id="775292350">
                      <w:marLeft w:val="0"/>
                      <w:marRight w:val="0"/>
                      <w:marTop w:val="0"/>
                      <w:marBottom w:val="0"/>
                      <w:divBdr>
                        <w:top w:val="none" w:sz="0" w:space="0" w:color="auto"/>
                        <w:left w:val="none" w:sz="0" w:space="0" w:color="auto"/>
                        <w:bottom w:val="none" w:sz="0" w:space="0" w:color="auto"/>
                        <w:right w:val="none" w:sz="0" w:space="0" w:color="auto"/>
                      </w:divBdr>
                    </w:div>
                  </w:divsChild>
                </w:div>
                <w:div w:id="1342272692">
                  <w:marLeft w:val="0"/>
                  <w:marRight w:val="0"/>
                  <w:marTop w:val="0"/>
                  <w:marBottom w:val="0"/>
                  <w:divBdr>
                    <w:top w:val="none" w:sz="0" w:space="0" w:color="auto"/>
                    <w:left w:val="none" w:sz="0" w:space="0" w:color="auto"/>
                    <w:bottom w:val="none" w:sz="0" w:space="0" w:color="auto"/>
                    <w:right w:val="none" w:sz="0" w:space="0" w:color="auto"/>
                  </w:divBdr>
                  <w:divsChild>
                    <w:div w:id="446898417">
                      <w:marLeft w:val="0"/>
                      <w:marRight w:val="0"/>
                      <w:marTop w:val="0"/>
                      <w:marBottom w:val="0"/>
                      <w:divBdr>
                        <w:top w:val="none" w:sz="0" w:space="0" w:color="auto"/>
                        <w:left w:val="none" w:sz="0" w:space="0" w:color="auto"/>
                        <w:bottom w:val="none" w:sz="0" w:space="0" w:color="auto"/>
                        <w:right w:val="none" w:sz="0" w:space="0" w:color="auto"/>
                      </w:divBdr>
                    </w:div>
                  </w:divsChild>
                </w:div>
                <w:div w:id="1888027573">
                  <w:marLeft w:val="0"/>
                  <w:marRight w:val="0"/>
                  <w:marTop w:val="0"/>
                  <w:marBottom w:val="0"/>
                  <w:divBdr>
                    <w:top w:val="none" w:sz="0" w:space="0" w:color="auto"/>
                    <w:left w:val="none" w:sz="0" w:space="0" w:color="auto"/>
                    <w:bottom w:val="none" w:sz="0" w:space="0" w:color="auto"/>
                    <w:right w:val="none" w:sz="0" w:space="0" w:color="auto"/>
                  </w:divBdr>
                  <w:divsChild>
                    <w:div w:id="1080101808">
                      <w:marLeft w:val="0"/>
                      <w:marRight w:val="0"/>
                      <w:marTop w:val="0"/>
                      <w:marBottom w:val="0"/>
                      <w:divBdr>
                        <w:top w:val="none" w:sz="0" w:space="0" w:color="auto"/>
                        <w:left w:val="none" w:sz="0" w:space="0" w:color="auto"/>
                        <w:bottom w:val="none" w:sz="0" w:space="0" w:color="auto"/>
                        <w:right w:val="none" w:sz="0" w:space="0" w:color="auto"/>
                      </w:divBdr>
                    </w:div>
                  </w:divsChild>
                </w:div>
                <w:div w:id="1909606139">
                  <w:marLeft w:val="0"/>
                  <w:marRight w:val="0"/>
                  <w:marTop w:val="0"/>
                  <w:marBottom w:val="0"/>
                  <w:divBdr>
                    <w:top w:val="none" w:sz="0" w:space="0" w:color="auto"/>
                    <w:left w:val="none" w:sz="0" w:space="0" w:color="auto"/>
                    <w:bottom w:val="none" w:sz="0" w:space="0" w:color="auto"/>
                    <w:right w:val="none" w:sz="0" w:space="0" w:color="auto"/>
                  </w:divBdr>
                  <w:divsChild>
                    <w:div w:id="953557734">
                      <w:marLeft w:val="0"/>
                      <w:marRight w:val="0"/>
                      <w:marTop w:val="0"/>
                      <w:marBottom w:val="0"/>
                      <w:divBdr>
                        <w:top w:val="none" w:sz="0" w:space="0" w:color="auto"/>
                        <w:left w:val="none" w:sz="0" w:space="0" w:color="auto"/>
                        <w:bottom w:val="none" w:sz="0" w:space="0" w:color="auto"/>
                        <w:right w:val="none" w:sz="0" w:space="0" w:color="auto"/>
                      </w:divBdr>
                    </w:div>
                  </w:divsChild>
                </w:div>
                <w:div w:id="1917326243">
                  <w:marLeft w:val="0"/>
                  <w:marRight w:val="0"/>
                  <w:marTop w:val="0"/>
                  <w:marBottom w:val="0"/>
                  <w:divBdr>
                    <w:top w:val="none" w:sz="0" w:space="0" w:color="auto"/>
                    <w:left w:val="none" w:sz="0" w:space="0" w:color="auto"/>
                    <w:bottom w:val="none" w:sz="0" w:space="0" w:color="auto"/>
                    <w:right w:val="none" w:sz="0" w:space="0" w:color="auto"/>
                  </w:divBdr>
                  <w:divsChild>
                    <w:div w:id="1311054095">
                      <w:marLeft w:val="0"/>
                      <w:marRight w:val="0"/>
                      <w:marTop w:val="0"/>
                      <w:marBottom w:val="0"/>
                      <w:divBdr>
                        <w:top w:val="none" w:sz="0" w:space="0" w:color="auto"/>
                        <w:left w:val="none" w:sz="0" w:space="0" w:color="auto"/>
                        <w:bottom w:val="none" w:sz="0" w:space="0" w:color="auto"/>
                        <w:right w:val="none" w:sz="0" w:space="0" w:color="auto"/>
                      </w:divBdr>
                    </w:div>
                  </w:divsChild>
                </w:div>
                <w:div w:id="2021810895">
                  <w:marLeft w:val="0"/>
                  <w:marRight w:val="0"/>
                  <w:marTop w:val="0"/>
                  <w:marBottom w:val="0"/>
                  <w:divBdr>
                    <w:top w:val="none" w:sz="0" w:space="0" w:color="auto"/>
                    <w:left w:val="none" w:sz="0" w:space="0" w:color="auto"/>
                    <w:bottom w:val="none" w:sz="0" w:space="0" w:color="auto"/>
                    <w:right w:val="none" w:sz="0" w:space="0" w:color="auto"/>
                  </w:divBdr>
                  <w:divsChild>
                    <w:div w:id="4295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87879">
          <w:marLeft w:val="0"/>
          <w:marRight w:val="0"/>
          <w:marTop w:val="0"/>
          <w:marBottom w:val="0"/>
          <w:divBdr>
            <w:top w:val="none" w:sz="0" w:space="0" w:color="auto"/>
            <w:left w:val="none" w:sz="0" w:space="0" w:color="auto"/>
            <w:bottom w:val="none" w:sz="0" w:space="0" w:color="auto"/>
            <w:right w:val="none" w:sz="0" w:space="0" w:color="auto"/>
          </w:divBdr>
        </w:div>
        <w:div w:id="1945921520">
          <w:marLeft w:val="0"/>
          <w:marRight w:val="0"/>
          <w:marTop w:val="0"/>
          <w:marBottom w:val="0"/>
          <w:divBdr>
            <w:top w:val="none" w:sz="0" w:space="0" w:color="auto"/>
            <w:left w:val="none" w:sz="0" w:space="0" w:color="auto"/>
            <w:bottom w:val="none" w:sz="0" w:space="0" w:color="auto"/>
            <w:right w:val="none" w:sz="0" w:space="0" w:color="auto"/>
          </w:divBdr>
          <w:divsChild>
            <w:div w:id="261500083">
              <w:marLeft w:val="-75"/>
              <w:marRight w:val="0"/>
              <w:marTop w:val="30"/>
              <w:marBottom w:val="30"/>
              <w:divBdr>
                <w:top w:val="none" w:sz="0" w:space="0" w:color="auto"/>
                <w:left w:val="none" w:sz="0" w:space="0" w:color="auto"/>
                <w:bottom w:val="none" w:sz="0" w:space="0" w:color="auto"/>
                <w:right w:val="none" w:sz="0" w:space="0" w:color="auto"/>
              </w:divBdr>
              <w:divsChild>
                <w:div w:id="136144591">
                  <w:marLeft w:val="0"/>
                  <w:marRight w:val="0"/>
                  <w:marTop w:val="0"/>
                  <w:marBottom w:val="0"/>
                  <w:divBdr>
                    <w:top w:val="none" w:sz="0" w:space="0" w:color="auto"/>
                    <w:left w:val="none" w:sz="0" w:space="0" w:color="auto"/>
                    <w:bottom w:val="none" w:sz="0" w:space="0" w:color="auto"/>
                    <w:right w:val="none" w:sz="0" w:space="0" w:color="auto"/>
                  </w:divBdr>
                  <w:divsChild>
                    <w:div w:id="830145980">
                      <w:marLeft w:val="0"/>
                      <w:marRight w:val="0"/>
                      <w:marTop w:val="0"/>
                      <w:marBottom w:val="0"/>
                      <w:divBdr>
                        <w:top w:val="none" w:sz="0" w:space="0" w:color="auto"/>
                        <w:left w:val="none" w:sz="0" w:space="0" w:color="auto"/>
                        <w:bottom w:val="none" w:sz="0" w:space="0" w:color="auto"/>
                        <w:right w:val="none" w:sz="0" w:space="0" w:color="auto"/>
                      </w:divBdr>
                    </w:div>
                  </w:divsChild>
                </w:div>
                <w:div w:id="228154836">
                  <w:marLeft w:val="0"/>
                  <w:marRight w:val="0"/>
                  <w:marTop w:val="0"/>
                  <w:marBottom w:val="0"/>
                  <w:divBdr>
                    <w:top w:val="none" w:sz="0" w:space="0" w:color="auto"/>
                    <w:left w:val="none" w:sz="0" w:space="0" w:color="auto"/>
                    <w:bottom w:val="none" w:sz="0" w:space="0" w:color="auto"/>
                    <w:right w:val="none" w:sz="0" w:space="0" w:color="auto"/>
                  </w:divBdr>
                  <w:divsChild>
                    <w:div w:id="1546063436">
                      <w:marLeft w:val="0"/>
                      <w:marRight w:val="0"/>
                      <w:marTop w:val="0"/>
                      <w:marBottom w:val="0"/>
                      <w:divBdr>
                        <w:top w:val="none" w:sz="0" w:space="0" w:color="auto"/>
                        <w:left w:val="none" w:sz="0" w:space="0" w:color="auto"/>
                        <w:bottom w:val="none" w:sz="0" w:space="0" w:color="auto"/>
                        <w:right w:val="none" w:sz="0" w:space="0" w:color="auto"/>
                      </w:divBdr>
                    </w:div>
                  </w:divsChild>
                </w:div>
                <w:div w:id="350492218">
                  <w:marLeft w:val="0"/>
                  <w:marRight w:val="0"/>
                  <w:marTop w:val="0"/>
                  <w:marBottom w:val="0"/>
                  <w:divBdr>
                    <w:top w:val="none" w:sz="0" w:space="0" w:color="auto"/>
                    <w:left w:val="none" w:sz="0" w:space="0" w:color="auto"/>
                    <w:bottom w:val="none" w:sz="0" w:space="0" w:color="auto"/>
                    <w:right w:val="none" w:sz="0" w:space="0" w:color="auto"/>
                  </w:divBdr>
                  <w:divsChild>
                    <w:div w:id="2033914665">
                      <w:marLeft w:val="0"/>
                      <w:marRight w:val="0"/>
                      <w:marTop w:val="0"/>
                      <w:marBottom w:val="0"/>
                      <w:divBdr>
                        <w:top w:val="none" w:sz="0" w:space="0" w:color="auto"/>
                        <w:left w:val="none" w:sz="0" w:space="0" w:color="auto"/>
                        <w:bottom w:val="none" w:sz="0" w:space="0" w:color="auto"/>
                        <w:right w:val="none" w:sz="0" w:space="0" w:color="auto"/>
                      </w:divBdr>
                    </w:div>
                  </w:divsChild>
                </w:div>
                <w:div w:id="358509204">
                  <w:marLeft w:val="0"/>
                  <w:marRight w:val="0"/>
                  <w:marTop w:val="0"/>
                  <w:marBottom w:val="0"/>
                  <w:divBdr>
                    <w:top w:val="none" w:sz="0" w:space="0" w:color="auto"/>
                    <w:left w:val="none" w:sz="0" w:space="0" w:color="auto"/>
                    <w:bottom w:val="none" w:sz="0" w:space="0" w:color="auto"/>
                    <w:right w:val="none" w:sz="0" w:space="0" w:color="auto"/>
                  </w:divBdr>
                  <w:divsChild>
                    <w:div w:id="2126997145">
                      <w:marLeft w:val="0"/>
                      <w:marRight w:val="0"/>
                      <w:marTop w:val="0"/>
                      <w:marBottom w:val="0"/>
                      <w:divBdr>
                        <w:top w:val="none" w:sz="0" w:space="0" w:color="auto"/>
                        <w:left w:val="none" w:sz="0" w:space="0" w:color="auto"/>
                        <w:bottom w:val="none" w:sz="0" w:space="0" w:color="auto"/>
                        <w:right w:val="none" w:sz="0" w:space="0" w:color="auto"/>
                      </w:divBdr>
                    </w:div>
                  </w:divsChild>
                </w:div>
                <w:div w:id="495075190">
                  <w:marLeft w:val="0"/>
                  <w:marRight w:val="0"/>
                  <w:marTop w:val="0"/>
                  <w:marBottom w:val="0"/>
                  <w:divBdr>
                    <w:top w:val="none" w:sz="0" w:space="0" w:color="auto"/>
                    <w:left w:val="none" w:sz="0" w:space="0" w:color="auto"/>
                    <w:bottom w:val="none" w:sz="0" w:space="0" w:color="auto"/>
                    <w:right w:val="none" w:sz="0" w:space="0" w:color="auto"/>
                  </w:divBdr>
                  <w:divsChild>
                    <w:div w:id="733310300">
                      <w:marLeft w:val="0"/>
                      <w:marRight w:val="0"/>
                      <w:marTop w:val="0"/>
                      <w:marBottom w:val="0"/>
                      <w:divBdr>
                        <w:top w:val="none" w:sz="0" w:space="0" w:color="auto"/>
                        <w:left w:val="none" w:sz="0" w:space="0" w:color="auto"/>
                        <w:bottom w:val="none" w:sz="0" w:space="0" w:color="auto"/>
                        <w:right w:val="none" w:sz="0" w:space="0" w:color="auto"/>
                      </w:divBdr>
                    </w:div>
                  </w:divsChild>
                </w:div>
                <w:div w:id="593057718">
                  <w:marLeft w:val="0"/>
                  <w:marRight w:val="0"/>
                  <w:marTop w:val="0"/>
                  <w:marBottom w:val="0"/>
                  <w:divBdr>
                    <w:top w:val="none" w:sz="0" w:space="0" w:color="auto"/>
                    <w:left w:val="none" w:sz="0" w:space="0" w:color="auto"/>
                    <w:bottom w:val="none" w:sz="0" w:space="0" w:color="auto"/>
                    <w:right w:val="none" w:sz="0" w:space="0" w:color="auto"/>
                  </w:divBdr>
                  <w:divsChild>
                    <w:div w:id="691107516">
                      <w:marLeft w:val="0"/>
                      <w:marRight w:val="0"/>
                      <w:marTop w:val="0"/>
                      <w:marBottom w:val="0"/>
                      <w:divBdr>
                        <w:top w:val="none" w:sz="0" w:space="0" w:color="auto"/>
                        <w:left w:val="none" w:sz="0" w:space="0" w:color="auto"/>
                        <w:bottom w:val="none" w:sz="0" w:space="0" w:color="auto"/>
                        <w:right w:val="none" w:sz="0" w:space="0" w:color="auto"/>
                      </w:divBdr>
                    </w:div>
                  </w:divsChild>
                </w:div>
                <w:div w:id="613439318">
                  <w:marLeft w:val="0"/>
                  <w:marRight w:val="0"/>
                  <w:marTop w:val="0"/>
                  <w:marBottom w:val="0"/>
                  <w:divBdr>
                    <w:top w:val="none" w:sz="0" w:space="0" w:color="auto"/>
                    <w:left w:val="none" w:sz="0" w:space="0" w:color="auto"/>
                    <w:bottom w:val="none" w:sz="0" w:space="0" w:color="auto"/>
                    <w:right w:val="none" w:sz="0" w:space="0" w:color="auto"/>
                  </w:divBdr>
                  <w:divsChild>
                    <w:div w:id="1158494403">
                      <w:marLeft w:val="0"/>
                      <w:marRight w:val="0"/>
                      <w:marTop w:val="0"/>
                      <w:marBottom w:val="0"/>
                      <w:divBdr>
                        <w:top w:val="none" w:sz="0" w:space="0" w:color="auto"/>
                        <w:left w:val="none" w:sz="0" w:space="0" w:color="auto"/>
                        <w:bottom w:val="none" w:sz="0" w:space="0" w:color="auto"/>
                        <w:right w:val="none" w:sz="0" w:space="0" w:color="auto"/>
                      </w:divBdr>
                    </w:div>
                  </w:divsChild>
                </w:div>
                <w:div w:id="727267109">
                  <w:marLeft w:val="0"/>
                  <w:marRight w:val="0"/>
                  <w:marTop w:val="0"/>
                  <w:marBottom w:val="0"/>
                  <w:divBdr>
                    <w:top w:val="none" w:sz="0" w:space="0" w:color="auto"/>
                    <w:left w:val="none" w:sz="0" w:space="0" w:color="auto"/>
                    <w:bottom w:val="none" w:sz="0" w:space="0" w:color="auto"/>
                    <w:right w:val="none" w:sz="0" w:space="0" w:color="auto"/>
                  </w:divBdr>
                  <w:divsChild>
                    <w:div w:id="196239655">
                      <w:marLeft w:val="0"/>
                      <w:marRight w:val="0"/>
                      <w:marTop w:val="0"/>
                      <w:marBottom w:val="0"/>
                      <w:divBdr>
                        <w:top w:val="none" w:sz="0" w:space="0" w:color="auto"/>
                        <w:left w:val="none" w:sz="0" w:space="0" w:color="auto"/>
                        <w:bottom w:val="none" w:sz="0" w:space="0" w:color="auto"/>
                        <w:right w:val="none" w:sz="0" w:space="0" w:color="auto"/>
                      </w:divBdr>
                    </w:div>
                  </w:divsChild>
                </w:div>
                <w:div w:id="946737079">
                  <w:marLeft w:val="0"/>
                  <w:marRight w:val="0"/>
                  <w:marTop w:val="0"/>
                  <w:marBottom w:val="0"/>
                  <w:divBdr>
                    <w:top w:val="none" w:sz="0" w:space="0" w:color="auto"/>
                    <w:left w:val="none" w:sz="0" w:space="0" w:color="auto"/>
                    <w:bottom w:val="none" w:sz="0" w:space="0" w:color="auto"/>
                    <w:right w:val="none" w:sz="0" w:space="0" w:color="auto"/>
                  </w:divBdr>
                  <w:divsChild>
                    <w:div w:id="238255988">
                      <w:marLeft w:val="0"/>
                      <w:marRight w:val="0"/>
                      <w:marTop w:val="0"/>
                      <w:marBottom w:val="0"/>
                      <w:divBdr>
                        <w:top w:val="none" w:sz="0" w:space="0" w:color="auto"/>
                        <w:left w:val="none" w:sz="0" w:space="0" w:color="auto"/>
                        <w:bottom w:val="none" w:sz="0" w:space="0" w:color="auto"/>
                        <w:right w:val="none" w:sz="0" w:space="0" w:color="auto"/>
                      </w:divBdr>
                    </w:div>
                  </w:divsChild>
                </w:div>
                <w:div w:id="1004434005">
                  <w:marLeft w:val="0"/>
                  <w:marRight w:val="0"/>
                  <w:marTop w:val="0"/>
                  <w:marBottom w:val="0"/>
                  <w:divBdr>
                    <w:top w:val="none" w:sz="0" w:space="0" w:color="auto"/>
                    <w:left w:val="none" w:sz="0" w:space="0" w:color="auto"/>
                    <w:bottom w:val="none" w:sz="0" w:space="0" w:color="auto"/>
                    <w:right w:val="none" w:sz="0" w:space="0" w:color="auto"/>
                  </w:divBdr>
                  <w:divsChild>
                    <w:div w:id="690960830">
                      <w:marLeft w:val="0"/>
                      <w:marRight w:val="0"/>
                      <w:marTop w:val="0"/>
                      <w:marBottom w:val="0"/>
                      <w:divBdr>
                        <w:top w:val="none" w:sz="0" w:space="0" w:color="auto"/>
                        <w:left w:val="none" w:sz="0" w:space="0" w:color="auto"/>
                        <w:bottom w:val="none" w:sz="0" w:space="0" w:color="auto"/>
                        <w:right w:val="none" w:sz="0" w:space="0" w:color="auto"/>
                      </w:divBdr>
                    </w:div>
                  </w:divsChild>
                </w:div>
                <w:div w:id="1023475838">
                  <w:marLeft w:val="0"/>
                  <w:marRight w:val="0"/>
                  <w:marTop w:val="0"/>
                  <w:marBottom w:val="0"/>
                  <w:divBdr>
                    <w:top w:val="none" w:sz="0" w:space="0" w:color="auto"/>
                    <w:left w:val="none" w:sz="0" w:space="0" w:color="auto"/>
                    <w:bottom w:val="none" w:sz="0" w:space="0" w:color="auto"/>
                    <w:right w:val="none" w:sz="0" w:space="0" w:color="auto"/>
                  </w:divBdr>
                  <w:divsChild>
                    <w:div w:id="334770044">
                      <w:marLeft w:val="0"/>
                      <w:marRight w:val="0"/>
                      <w:marTop w:val="0"/>
                      <w:marBottom w:val="0"/>
                      <w:divBdr>
                        <w:top w:val="none" w:sz="0" w:space="0" w:color="auto"/>
                        <w:left w:val="none" w:sz="0" w:space="0" w:color="auto"/>
                        <w:bottom w:val="none" w:sz="0" w:space="0" w:color="auto"/>
                        <w:right w:val="none" w:sz="0" w:space="0" w:color="auto"/>
                      </w:divBdr>
                    </w:div>
                  </w:divsChild>
                </w:div>
                <w:div w:id="1412850478">
                  <w:marLeft w:val="0"/>
                  <w:marRight w:val="0"/>
                  <w:marTop w:val="0"/>
                  <w:marBottom w:val="0"/>
                  <w:divBdr>
                    <w:top w:val="none" w:sz="0" w:space="0" w:color="auto"/>
                    <w:left w:val="none" w:sz="0" w:space="0" w:color="auto"/>
                    <w:bottom w:val="none" w:sz="0" w:space="0" w:color="auto"/>
                    <w:right w:val="none" w:sz="0" w:space="0" w:color="auto"/>
                  </w:divBdr>
                  <w:divsChild>
                    <w:div w:id="1247770067">
                      <w:marLeft w:val="0"/>
                      <w:marRight w:val="0"/>
                      <w:marTop w:val="0"/>
                      <w:marBottom w:val="0"/>
                      <w:divBdr>
                        <w:top w:val="none" w:sz="0" w:space="0" w:color="auto"/>
                        <w:left w:val="none" w:sz="0" w:space="0" w:color="auto"/>
                        <w:bottom w:val="none" w:sz="0" w:space="0" w:color="auto"/>
                        <w:right w:val="none" w:sz="0" w:space="0" w:color="auto"/>
                      </w:divBdr>
                    </w:div>
                  </w:divsChild>
                </w:div>
                <w:div w:id="1613052903">
                  <w:marLeft w:val="0"/>
                  <w:marRight w:val="0"/>
                  <w:marTop w:val="0"/>
                  <w:marBottom w:val="0"/>
                  <w:divBdr>
                    <w:top w:val="none" w:sz="0" w:space="0" w:color="auto"/>
                    <w:left w:val="none" w:sz="0" w:space="0" w:color="auto"/>
                    <w:bottom w:val="none" w:sz="0" w:space="0" w:color="auto"/>
                    <w:right w:val="none" w:sz="0" w:space="0" w:color="auto"/>
                  </w:divBdr>
                  <w:divsChild>
                    <w:div w:id="90786920">
                      <w:marLeft w:val="0"/>
                      <w:marRight w:val="0"/>
                      <w:marTop w:val="0"/>
                      <w:marBottom w:val="0"/>
                      <w:divBdr>
                        <w:top w:val="none" w:sz="0" w:space="0" w:color="auto"/>
                        <w:left w:val="none" w:sz="0" w:space="0" w:color="auto"/>
                        <w:bottom w:val="none" w:sz="0" w:space="0" w:color="auto"/>
                        <w:right w:val="none" w:sz="0" w:space="0" w:color="auto"/>
                      </w:divBdr>
                    </w:div>
                  </w:divsChild>
                </w:div>
                <w:div w:id="1670214771">
                  <w:marLeft w:val="0"/>
                  <w:marRight w:val="0"/>
                  <w:marTop w:val="0"/>
                  <w:marBottom w:val="0"/>
                  <w:divBdr>
                    <w:top w:val="none" w:sz="0" w:space="0" w:color="auto"/>
                    <w:left w:val="none" w:sz="0" w:space="0" w:color="auto"/>
                    <w:bottom w:val="none" w:sz="0" w:space="0" w:color="auto"/>
                    <w:right w:val="none" w:sz="0" w:space="0" w:color="auto"/>
                  </w:divBdr>
                  <w:divsChild>
                    <w:div w:id="1089959637">
                      <w:marLeft w:val="0"/>
                      <w:marRight w:val="0"/>
                      <w:marTop w:val="0"/>
                      <w:marBottom w:val="0"/>
                      <w:divBdr>
                        <w:top w:val="none" w:sz="0" w:space="0" w:color="auto"/>
                        <w:left w:val="none" w:sz="0" w:space="0" w:color="auto"/>
                        <w:bottom w:val="none" w:sz="0" w:space="0" w:color="auto"/>
                        <w:right w:val="none" w:sz="0" w:space="0" w:color="auto"/>
                      </w:divBdr>
                    </w:div>
                  </w:divsChild>
                </w:div>
                <w:div w:id="1990591208">
                  <w:marLeft w:val="0"/>
                  <w:marRight w:val="0"/>
                  <w:marTop w:val="0"/>
                  <w:marBottom w:val="0"/>
                  <w:divBdr>
                    <w:top w:val="none" w:sz="0" w:space="0" w:color="auto"/>
                    <w:left w:val="none" w:sz="0" w:space="0" w:color="auto"/>
                    <w:bottom w:val="none" w:sz="0" w:space="0" w:color="auto"/>
                    <w:right w:val="none" w:sz="0" w:space="0" w:color="auto"/>
                  </w:divBdr>
                  <w:divsChild>
                    <w:div w:id="701982543">
                      <w:marLeft w:val="0"/>
                      <w:marRight w:val="0"/>
                      <w:marTop w:val="0"/>
                      <w:marBottom w:val="0"/>
                      <w:divBdr>
                        <w:top w:val="none" w:sz="0" w:space="0" w:color="auto"/>
                        <w:left w:val="none" w:sz="0" w:space="0" w:color="auto"/>
                        <w:bottom w:val="none" w:sz="0" w:space="0" w:color="auto"/>
                        <w:right w:val="none" w:sz="0" w:space="0" w:color="auto"/>
                      </w:divBdr>
                    </w:div>
                  </w:divsChild>
                </w:div>
                <w:div w:id="2051374471">
                  <w:marLeft w:val="0"/>
                  <w:marRight w:val="0"/>
                  <w:marTop w:val="0"/>
                  <w:marBottom w:val="0"/>
                  <w:divBdr>
                    <w:top w:val="none" w:sz="0" w:space="0" w:color="auto"/>
                    <w:left w:val="none" w:sz="0" w:space="0" w:color="auto"/>
                    <w:bottom w:val="none" w:sz="0" w:space="0" w:color="auto"/>
                    <w:right w:val="none" w:sz="0" w:space="0" w:color="auto"/>
                  </w:divBdr>
                  <w:divsChild>
                    <w:div w:id="4382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37732">
          <w:marLeft w:val="0"/>
          <w:marRight w:val="0"/>
          <w:marTop w:val="0"/>
          <w:marBottom w:val="0"/>
          <w:divBdr>
            <w:top w:val="none" w:sz="0" w:space="0" w:color="auto"/>
            <w:left w:val="none" w:sz="0" w:space="0" w:color="auto"/>
            <w:bottom w:val="none" w:sz="0" w:space="0" w:color="auto"/>
            <w:right w:val="none" w:sz="0" w:space="0" w:color="auto"/>
          </w:divBdr>
        </w:div>
        <w:div w:id="1949239755">
          <w:marLeft w:val="0"/>
          <w:marRight w:val="0"/>
          <w:marTop w:val="0"/>
          <w:marBottom w:val="0"/>
          <w:divBdr>
            <w:top w:val="none" w:sz="0" w:space="0" w:color="auto"/>
            <w:left w:val="none" w:sz="0" w:space="0" w:color="auto"/>
            <w:bottom w:val="none" w:sz="0" w:space="0" w:color="auto"/>
            <w:right w:val="none" w:sz="0" w:space="0" w:color="auto"/>
          </w:divBdr>
        </w:div>
        <w:div w:id="1960993674">
          <w:marLeft w:val="0"/>
          <w:marRight w:val="0"/>
          <w:marTop w:val="0"/>
          <w:marBottom w:val="0"/>
          <w:divBdr>
            <w:top w:val="none" w:sz="0" w:space="0" w:color="auto"/>
            <w:left w:val="none" w:sz="0" w:space="0" w:color="auto"/>
            <w:bottom w:val="none" w:sz="0" w:space="0" w:color="auto"/>
            <w:right w:val="none" w:sz="0" w:space="0" w:color="auto"/>
          </w:divBdr>
        </w:div>
        <w:div w:id="1964573842">
          <w:marLeft w:val="0"/>
          <w:marRight w:val="0"/>
          <w:marTop w:val="0"/>
          <w:marBottom w:val="0"/>
          <w:divBdr>
            <w:top w:val="none" w:sz="0" w:space="0" w:color="auto"/>
            <w:left w:val="none" w:sz="0" w:space="0" w:color="auto"/>
            <w:bottom w:val="none" w:sz="0" w:space="0" w:color="auto"/>
            <w:right w:val="none" w:sz="0" w:space="0" w:color="auto"/>
          </w:divBdr>
        </w:div>
        <w:div w:id="1986469847">
          <w:marLeft w:val="0"/>
          <w:marRight w:val="0"/>
          <w:marTop w:val="0"/>
          <w:marBottom w:val="0"/>
          <w:divBdr>
            <w:top w:val="none" w:sz="0" w:space="0" w:color="auto"/>
            <w:left w:val="none" w:sz="0" w:space="0" w:color="auto"/>
            <w:bottom w:val="none" w:sz="0" w:space="0" w:color="auto"/>
            <w:right w:val="none" w:sz="0" w:space="0" w:color="auto"/>
          </w:divBdr>
        </w:div>
        <w:div w:id="1988315717">
          <w:marLeft w:val="0"/>
          <w:marRight w:val="0"/>
          <w:marTop w:val="0"/>
          <w:marBottom w:val="0"/>
          <w:divBdr>
            <w:top w:val="none" w:sz="0" w:space="0" w:color="auto"/>
            <w:left w:val="none" w:sz="0" w:space="0" w:color="auto"/>
            <w:bottom w:val="none" w:sz="0" w:space="0" w:color="auto"/>
            <w:right w:val="none" w:sz="0" w:space="0" w:color="auto"/>
          </w:divBdr>
        </w:div>
        <w:div w:id="1998070390">
          <w:marLeft w:val="0"/>
          <w:marRight w:val="0"/>
          <w:marTop w:val="0"/>
          <w:marBottom w:val="0"/>
          <w:divBdr>
            <w:top w:val="none" w:sz="0" w:space="0" w:color="auto"/>
            <w:left w:val="none" w:sz="0" w:space="0" w:color="auto"/>
            <w:bottom w:val="none" w:sz="0" w:space="0" w:color="auto"/>
            <w:right w:val="none" w:sz="0" w:space="0" w:color="auto"/>
          </w:divBdr>
        </w:div>
        <w:div w:id="1998411106">
          <w:marLeft w:val="0"/>
          <w:marRight w:val="0"/>
          <w:marTop w:val="0"/>
          <w:marBottom w:val="0"/>
          <w:divBdr>
            <w:top w:val="none" w:sz="0" w:space="0" w:color="auto"/>
            <w:left w:val="none" w:sz="0" w:space="0" w:color="auto"/>
            <w:bottom w:val="none" w:sz="0" w:space="0" w:color="auto"/>
            <w:right w:val="none" w:sz="0" w:space="0" w:color="auto"/>
          </w:divBdr>
        </w:div>
        <w:div w:id="2007708512">
          <w:marLeft w:val="0"/>
          <w:marRight w:val="0"/>
          <w:marTop w:val="0"/>
          <w:marBottom w:val="0"/>
          <w:divBdr>
            <w:top w:val="none" w:sz="0" w:space="0" w:color="auto"/>
            <w:left w:val="none" w:sz="0" w:space="0" w:color="auto"/>
            <w:bottom w:val="none" w:sz="0" w:space="0" w:color="auto"/>
            <w:right w:val="none" w:sz="0" w:space="0" w:color="auto"/>
          </w:divBdr>
        </w:div>
        <w:div w:id="2010282432">
          <w:marLeft w:val="0"/>
          <w:marRight w:val="0"/>
          <w:marTop w:val="0"/>
          <w:marBottom w:val="0"/>
          <w:divBdr>
            <w:top w:val="none" w:sz="0" w:space="0" w:color="auto"/>
            <w:left w:val="none" w:sz="0" w:space="0" w:color="auto"/>
            <w:bottom w:val="none" w:sz="0" w:space="0" w:color="auto"/>
            <w:right w:val="none" w:sz="0" w:space="0" w:color="auto"/>
          </w:divBdr>
          <w:divsChild>
            <w:div w:id="156115380">
              <w:marLeft w:val="0"/>
              <w:marRight w:val="0"/>
              <w:marTop w:val="0"/>
              <w:marBottom w:val="0"/>
              <w:divBdr>
                <w:top w:val="none" w:sz="0" w:space="0" w:color="auto"/>
                <w:left w:val="none" w:sz="0" w:space="0" w:color="auto"/>
                <w:bottom w:val="none" w:sz="0" w:space="0" w:color="auto"/>
                <w:right w:val="none" w:sz="0" w:space="0" w:color="auto"/>
              </w:divBdr>
            </w:div>
            <w:div w:id="185364358">
              <w:marLeft w:val="0"/>
              <w:marRight w:val="0"/>
              <w:marTop w:val="0"/>
              <w:marBottom w:val="0"/>
              <w:divBdr>
                <w:top w:val="none" w:sz="0" w:space="0" w:color="auto"/>
                <w:left w:val="none" w:sz="0" w:space="0" w:color="auto"/>
                <w:bottom w:val="none" w:sz="0" w:space="0" w:color="auto"/>
                <w:right w:val="none" w:sz="0" w:space="0" w:color="auto"/>
              </w:divBdr>
            </w:div>
            <w:div w:id="322394926">
              <w:marLeft w:val="0"/>
              <w:marRight w:val="0"/>
              <w:marTop w:val="0"/>
              <w:marBottom w:val="0"/>
              <w:divBdr>
                <w:top w:val="none" w:sz="0" w:space="0" w:color="auto"/>
                <w:left w:val="none" w:sz="0" w:space="0" w:color="auto"/>
                <w:bottom w:val="none" w:sz="0" w:space="0" w:color="auto"/>
                <w:right w:val="none" w:sz="0" w:space="0" w:color="auto"/>
              </w:divBdr>
            </w:div>
            <w:div w:id="344672291">
              <w:marLeft w:val="0"/>
              <w:marRight w:val="0"/>
              <w:marTop w:val="0"/>
              <w:marBottom w:val="0"/>
              <w:divBdr>
                <w:top w:val="none" w:sz="0" w:space="0" w:color="auto"/>
                <w:left w:val="none" w:sz="0" w:space="0" w:color="auto"/>
                <w:bottom w:val="none" w:sz="0" w:space="0" w:color="auto"/>
                <w:right w:val="none" w:sz="0" w:space="0" w:color="auto"/>
              </w:divBdr>
            </w:div>
            <w:div w:id="432674149">
              <w:marLeft w:val="0"/>
              <w:marRight w:val="0"/>
              <w:marTop w:val="0"/>
              <w:marBottom w:val="0"/>
              <w:divBdr>
                <w:top w:val="none" w:sz="0" w:space="0" w:color="auto"/>
                <w:left w:val="none" w:sz="0" w:space="0" w:color="auto"/>
                <w:bottom w:val="none" w:sz="0" w:space="0" w:color="auto"/>
                <w:right w:val="none" w:sz="0" w:space="0" w:color="auto"/>
              </w:divBdr>
            </w:div>
            <w:div w:id="599069856">
              <w:marLeft w:val="0"/>
              <w:marRight w:val="0"/>
              <w:marTop w:val="0"/>
              <w:marBottom w:val="0"/>
              <w:divBdr>
                <w:top w:val="none" w:sz="0" w:space="0" w:color="auto"/>
                <w:left w:val="none" w:sz="0" w:space="0" w:color="auto"/>
                <w:bottom w:val="none" w:sz="0" w:space="0" w:color="auto"/>
                <w:right w:val="none" w:sz="0" w:space="0" w:color="auto"/>
              </w:divBdr>
            </w:div>
            <w:div w:id="756900308">
              <w:marLeft w:val="0"/>
              <w:marRight w:val="0"/>
              <w:marTop w:val="0"/>
              <w:marBottom w:val="0"/>
              <w:divBdr>
                <w:top w:val="none" w:sz="0" w:space="0" w:color="auto"/>
                <w:left w:val="none" w:sz="0" w:space="0" w:color="auto"/>
                <w:bottom w:val="none" w:sz="0" w:space="0" w:color="auto"/>
                <w:right w:val="none" w:sz="0" w:space="0" w:color="auto"/>
              </w:divBdr>
            </w:div>
            <w:div w:id="819344732">
              <w:marLeft w:val="0"/>
              <w:marRight w:val="0"/>
              <w:marTop w:val="0"/>
              <w:marBottom w:val="0"/>
              <w:divBdr>
                <w:top w:val="none" w:sz="0" w:space="0" w:color="auto"/>
                <w:left w:val="none" w:sz="0" w:space="0" w:color="auto"/>
                <w:bottom w:val="none" w:sz="0" w:space="0" w:color="auto"/>
                <w:right w:val="none" w:sz="0" w:space="0" w:color="auto"/>
              </w:divBdr>
            </w:div>
            <w:div w:id="839664763">
              <w:marLeft w:val="0"/>
              <w:marRight w:val="0"/>
              <w:marTop w:val="0"/>
              <w:marBottom w:val="0"/>
              <w:divBdr>
                <w:top w:val="none" w:sz="0" w:space="0" w:color="auto"/>
                <w:left w:val="none" w:sz="0" w:space="0" w:color="auto"/>
                <w:bottom w:val="none" w:sz="0" w:space="0" w:color="auto"/>
                <w:right w:val="none" w:sz="0" w:space="0" w:color="auto"/>
              </w:divBdr>
            </w:div>
            <w:div w:id="871187340">
              <w:marLeft w:val="0"/>
              <w:marRight w:val="0"/>
              <w:marTop w:val="0"/>
              <w:marBottom w:val="0"/>
              <w:divBdr>
                <w:top w:val="none" w:sz="0" w:space="0" w:color="auto"/>
                <w:left w:val="none" w:sz="0" w:space="0" w:color="auto"/>
                <w:bottom w:val="none" w:sz="0" w:space="0" w:color="auto"/>
                <w:right w:val="none" w:sz="0" w:space="0" w:color="auto"/>
              </w:divBdr>
            </w:div>
            <w:div w:id="884101714">
              <w:marLeft w:val="0"/>
              <w:marRight w:val="0"/>
              <w:marTop w:val="0"/>
              <w:marBottom w:val="0"/>
              <w:divBdr>
                <w:top w:val="none" w:sz="0" w:space="0" w:color="auto"/>
                <w:left w:val="none" w:sz="0" w:space="0" w:color="auto"/>
                <w:bottom w:val="none" w:sz="0" w:space="0" w:color="auto"/>
                <w:right w:val="none" w:sz="0" w:space="0" w:color="auto"/>
              </w:divBdr>
            </w:div>
            <w:div w:id="1090348232">
              <w:marLeft w:val="0"/>
              <w:marRight w:val="0"/>
              <w:marTop w:val="0"/>
              <w:marBottom w:val="0"/>
              <w:divBdr>
                <w:top w:val="none" w:sz="0" w:space="0" w:color="auto"/>
                <w:left w:val="none" w:sz="0" w:space="0" w:color="auto"/>
                <w:bottom w:val="none" w:sz="0" w:space="0" w:color="auto"/>
                <w:right w:val="none" w:sz="0" w:space="0" w:color="auto"/>
              </w:divBdr>
            </w:div>
            <w:div w:id="1209991604">
              <w:marLeft w:val="0"/>
              <w:marRight w:val="0"/>
              <w:marTop w:val="0"/>
              <w:marBottom w:val="0"/>
              <w:divBdr>
                <w:top w:val="none" w:sz="0" w:space="0" w:color="auto"/>
                <w:left w:val="none" w:sz="0" w:space="0" w:color="auto"/>
                <w:bottom w:val="none" w:sz="0" w:space="0" w:color="auto"/>
                <w:right w:val="none" w:sz="0" w:space="0" w:color="auto"/>
              </w:divBdr>
            </w:div>
            <w:div w:id="1416051162">
              <w:marLeft w:val="0"/>
              <w:marRight w:val="0"/>
              <w:marTop w:val="0"/>
              <w:marBottom w:val="0"/>
              <w:divBdr>
                <w:top w:val="none" w:sz="0" w:space="0" w:color="auto"/>
                <w:left w:val="none" w:sz="0" w:space="0" w:color="auto"/>
                <w:bottom w:val="none" w:sz="0" w:space="0" w:color="auto"/>
                <w:right w:val="none" w:sz="0" w:space="0" w:color="auto"/>
              </w:divBdr>
            </w:div>
            <w:div w:id="1472669710">
              <w:marLeft w:val="0"/>
              <w:marRight w:val="0"/>
              <w:marTop w:val="0"/>
              <w:marBottom w:val="0"/>
              <w:divBdr>
                <w:top w:val="none" w:sz="0" w:space="0" w:color="auto"/>
                <w:left w:val="none" w:sz="0" w:space="0" w:color="auto"/>
                <w:bottom w:val="none" w:sz="0" w:space="0" w:color="auto"/>
                <w:right w:val="none" w:sz="0" w:space="0" w:color="auto"/>
              </w:divBdr>
            </w:div>
            <w:div w:id="1675570963">
              <w:marLeft w:val="0"/>
              <w:marRight w:val="0"/>
              <w:marTop w:val="0"/>
              <w:marBottom w:val="0"/>
              <w:divBdr>
                <w:top w:val="none" w:sz="0" w:space="0" w:color="auto"/>
                <w:left w:val="none" w:sz="0" w:space="0" w:color="auto"/>
                <w:bottom w:val="none" w:sz="0" w:space="0" w:color="auto"/>
                <w:right w:val="none" w:sz="0" w:space="0" w:color="auto"/>
              </w:divBdr>
            </w:div>
            <w:div w:id="1756970667">
              <w:marLeft w:val="0"/>
              <w:marRight w:val="0"/>
              <w:marTop w:val="0"/>
              <w:marBottom w:val="0"/>
              <w:divBdr>
                <w:top w:val="none" w:sz="0" w:space="0" w:color="auto"/>
                <w:left w:val="none" w:sz="0" w:space="0" w:color="auto"/>
                <w:bottom w:val="none" w:sz="0" w:space="0" w:color="auto"/>
                <w:right w:val="none" w:sz="0" w:space="0" w:color="auto"/>
              </w:divBdr>
            </w:div>
            <w:div w:id="1848401244">
              <w:marLeft w:val="0"/>
              <w:marRight w:val="0"/>
              <w:marTop w:val="0"/>
              <w:marBottom w:val="0"/>
              <w:divBdr>
                <w:top w:val="none" w:sz="0" w:space="0" w:color="auto"/>
                <w:left w:val="none" w:sz="0" w:space="0" w:color="auto"/>
                <w:bottom w:val="none" w:sz="0" w:space="0" w:color="auto"/>
                <w:right w:val="none" w:sz="0" w:space="0" w:color="auto"/>
              </w:divBdr>
            </w:div>
            <w:div w:id="1984771486">
              <w:marLeft w:val="0"/>
              <w:marRight w:val="0"/>
              <w:marTop w:val="0"/>
              <w:marBottom w:val="0"/>
              <w:divBdr>
                <w:top w:val="none" w:sz="0" w:space="0" w:color="auto"/>
                <w:left w:val="none" w:sz="0" w:space="0" w:color="auto"/>
                <w:bottom w:val="none" w:sz="0" w:space="0" w:color="auto"/>
                <w:right w:val="none" w:sz="0" w:space="0" w:color="auto"/>
              </w:divBdr>
            </w:div>
            <w:div w:id="2112361326">
              <w:marLeft w:val="0"/>
              <w:marRight w:val="0"/>
              <w:marTop w:val="0"/>
              <w:marBottom w:val="0"/>
              <w:divBdr>
                <w:top w:val="none" w:sz="0" w:space="0" w:color="auto"/>
                <w:left w:val="none" w:sz="0" w:space="0" w:color="auto"/>
                <w:bottom w:val="none" w:sz="0" w:space="0" w:color="auto"/>
                <w:right w:val="none" w:sz="0" w:space="0" w:color="auto"/>
              </w:divBdr>
            </w:div>
          </w:divsChild>
        </w:div>
        <w:div w:id="2015717490">
          <w:marLeft w:val="0"/>
          <w:marRight w:val="0"/>
          <w:marTop w:val="0"/>
          <w:marBottom w:val="0"/>
          <w:divBdr>
            <w:top w:val="none" w:sz="0" w:space="0" w:color="auto"/>
            <w:left w:val="none" w:sz="0" w:space="0" w:color="auto"/>
            <w:bottom w:val="none" w:sz="0" w:space="0" w:color="auto"/>
            <w:right w:val="none" w:sz="0" w:space="0" w:color="auto"/>
          </w:divBdr>
        </w:div>
        <w:div w:id="2038654083">
          <w:marLeft w:val="0"/>
          <w:marRight w:val="0"/>
          <w:marTop w:val="0"/>
          <w:marBottom w:val="0"/>
          <w:divBdr>
            <w:top w:val="none" w:sz="0" w:space="0" w:color="auto"/>
            <w:left w:val="none" w:sz="0" w:space="0" w:color="auto"/>
            <w:bottom w:val="none" w:sz="0" w:space="0" w:color="auto"/>
            <w:right w:val="none" w:sz="0" w:space="0" w:color="auto"/>
          </w:divBdr>
        </w:div>
        <w:div w:id="2056612148">
          <w:marLeft w:val="0"/>
          <w:marRight w:val="0"/>
          <w:marTop w:val="0"/>
          <w:marBottom w:val="0"/>
          <w:divBdr>
            <w:top w:val="none" w:sz="0" w:space="0" w:color="auto"/>
            <w:left w:val="none" w:sz="0" w:space="0" w:color="auto"/>
            <w:bottom w:val="none" w:sz="0" w:space="0" w:color="auto"/>
            <w:right w:val="none" w:sz="0" w:space="0" w:color="auto"/>
          </w:divBdr>
        </w:div>
        <w:div w:id="2061399134">
          <w:marLeft w:val="0"/>
          <w:marRight w:val="0"/>
          <w:marTop w:val="0"/>
          <w:marBottom w:val="0"/>
          <w:divBdr>
            <w:top w:val="none" w:sz="0" w:space="0" w:color="auto"/>
            <w:left w:val="none" w:sz="0" w:space="0" w:color="auto"/>
            <w:bottom w:val="none" w:sz="0" w:space="0" w:color="auto"/>
            <w:right w:val="none" w:sz="0" w:space="0" w:color="auto"/>
          </w:divBdr>
        </w:div>
        <w:div w:id="2072390111">
          <w:marLeft w:val="0"/>
          <w:marRight w:val="0"/>
          <w:marTop w:val="0"/>
          <w:marBottom w:val="0"/>
          <w:divBdr>
            <w:top w:val="none" w:sz="0" w:space="0" w:color="auto"/>
            <w:left w:val="none" w:sz="0" w:space="0" w:color="auto"/>
            <w:bottom w:val="none" w:sz="0" w:space="0" w:color="auto"/>
            <w:right w:val="none" w:sz="0" w:space="0" w:color="auto"/>
          </w:divBdr>
        </w:div>
        <w:div w:id="2103717020">
          <w:marLeft w:val="0"/>
          <w:marRight w:val="0"/>
          <w:marTop w:val="0"/>
          <w:marBottom w:val="0"/>
          <w:divBdr>
            <w:top w:val="none" w:sz="0" w:space="0" w:color="auto"/>
            <w:left w:val="none" w:sz="0" w:space="0" w:color="auto"/>
            <w:bottom w:val="none" w:sz="0" w:space="0" w:color="auto"/>
            <w:right w:val="none" w:sz="0" w:space="0" w:color="auto"/>
          </w:divBdr>
        </w:div>
        <w:div w:id="2110614481">
          <w:marLeft w:val="0"/>
          <w:marRight w:val="0"/>
          <w:marTop w:val="0"/>
          <w:marBottom w:val="0"/>
          <w:divBdr>
            <w:top w:val="none" w:sz="0" w:space="0" w:color="auto"/>
            <w:left w:val="none" w:sz="0" w:space="0" w:color="auto"/>
            <w:bottom w:val="none" w:sz="0" w:space="0" w:color="auto"/>
            <w:right w:val="none" w:sz="0" w:space="0" w:color="auto"/>
          </w:divBdr>
        </w:div>
        <w:div w:id="2111313682">
          <w:marLeft w:val="0"/>
          <w:marRight w:val="0"/>
          <w:marTop w:val="0"/>
          <w:marBottom w:val="0"/>
          <w:divBdr>
            <w:top w:val="none" w:sz="0" w:space="0" w:color="auto"/>
            <w:left w:val="none" w:sz="0" w:space="0" w:color="auto"/>
            <w:bottom w:val="none" w:sz="0" w:space="0" w:color="auto"/>
            <w:right w:val="none" w:sz="0" w:space="0" w:color="auto"/>
          </w:divBdr>
        </w:div>
        <w:div w:id="2112823463">
          <w:marLeft w:val="0"/>
          <w:marRight w:val="0"/>
          <w:marTop w:val="0"/>
          <w:marBottom w:val="0"/>
          <w:divBdr>
            <w:top w:val="none" w:sz="0" w:space="0" w:color="auto"/>
            <w:left w:val="none" w:sz="0" w:space="0" w:color="auto"/>
            <w:bottom w:val="none" w:sz="0" w:space="0" w:color="auto"/>
            <w:right w:val="none" w:sz="0" w:space="0" w:color="auto"/>
          </w:divBdr>
          <w:divsChild>
            <w:div w:id="1862469459">
              <w:marLeft w:val="-75"/>
              <w:marRight w:val="0"/>
              <w:marTop w:val="30"/>
              <w:marBottom w:val="30"/>
              <w:divBdr>
                <w:top w:val="none" w:sz="0" w:space="0" w:color="auto"/>
                <w:left w:val="none" w:sz="0" w:space="0" w:color="auto"/>
                <w:bottom w:val="none" w:sz="0" w:space="0" w:color="auto"/>
                <w:right w:val="none" w:sz="0" w:space="0" w:color="auto"/>
              </w:divBdr>
              <w:divsChild>
                <w:div w:id="108354811">
                  <w:marLeft w:val="0"/>
                  <w:marRight w:val="0"/>
                  <w:marTop w:val="0"/>
                  <w:marBottom w:val="0"/>
                  <w:divBdr>
                    <w:top w:val="none" w:sz="0" w:space="0" w:color="auto"/>
                    <w:left w:val="none" w:sz="0" w:space="0" w:color="auto"/>
                    <w:bottom w:val="none" w:sz="0" w:space="0" w:color="auto"/>
                    <w:right w:val="none" w:sz="0" w:space="0" w:color="auto"/>
                  </w:divBdr>
                  <w:divsChild>
                    <w:div w:id="2060978300">
                      <w:marLeft w:val="0"/>
                      <w:marRight w:val="0"/>
                      <w:marTop w:val="0"/>
                      <w:marBottom w:val="0"/>
                      <w:divBdr>
                        <w:top w:val="none" w:sz="0" w:space="0" w:color="auto"/>
                        <w:left w:val="none" w:sz="0" w:space="0" w:color="auto"/>
                        <w:bottom w:val="none" w:sz="0" w:space="0" w:color="auto"/>
                        <w:right w:val="none" w:sz="0" w:space="0" w:color="auto"/>
                      </w:divBdr>
                    </w:div>
                  </w:divsChild>
                </w:div>
                <w:div w:id="283275998">
                  <w:marLeft w:val="0"/>
                  <w:marRight w:val="0"/>
                  <w:marTop w:val="0"/>
                  <w:marBottom w:val="0"/>
                  <w:divBdr>
                    <w:top w:val="none" w:sz="0" w:space="0" w:color="auto"/>
                    <w:left w:val="none" w:sz="0" w:space="0" w:color="auto"/>
                    <w:bottom w:val="none" w:sz="0" w:space="0" w:color="auto"/>
                    <w:right w:val="none" w:sz="0" w:space="0" w:color="auto"/>
                  </w:divBdr>
                  <w:divsChild>
                    <w:div w:id="1126897169">
                      <w:marLeft w:val="0"/>
                      <w:marRight w:val="0"/>
                      <w:marTop w:val="0"/>
                      <w:marBottom w:val="0"/>
                      <w:divBdr>
                        <w:top w:val="none" w:sz="0" w:space="0" w:color="auto"/>
                        <w:left w:val="none" w:sz="0" w:space="0" w:color="auto"/>
                        <w:bottom w:val="none" w:sz="0" w:space="0" w:color="auto"/>
                        <w:right w:val="none" w:sz="0" w:space="0" w:color="auto"/>
                      </w:divBdr>
                    </w:div>
                  </w:divsChild>
                </w:div>
                <w:div w:id="350689427">
                  <w:marLeft w:val="0"/>
                  <w:marRight w:val="0"/>
                  <w:marTop w:val="0"/>
                  <w:marBottom w:val="0"/>
                  <w:divBdr>
                    <w:top w:val="none" w:sz="0" w:space="0" w:color="auto"/>
                    <w:left w:val="none" w:sz="0" w:space="0" w:color="auto"/>
                    <w:bottom w:val="none" w:sz="0" w:space="0" w:color="auto"/>
                    <w:right w:val="none" w:sz="0" w:space="0" w:color="auto"/>
                  </w:divBdr>
                  <w:divsChild>
                    <w:div w:id="474184439">
                      <w:marLeft w:val="0"/>
                      <w:marRight w:val="0"/>
                      <w:marTop w:val="0"/>
                      <w:marBottom w:val="0"/>
                      <w:divBdr>
                        <w:top w:val="none" w:sz="0" w:space="0" w:color="auto"/>
                        <w:left w:val="none" w:sz="0" w:space="0" w:color="auto"/>
                        <w:bottom w:val="none" w:sz="0" w:space="0" w:color="auto"/>
                        <w:right w:val="none" w:sz="0" w:space="0" w:color="auto"/>
                      </w:divBdr>
                    </w:div>
                  </w:divsChild>
                </w:div>
                <w:div w:id="718557894">
                  <w:marLeft w:val="0"/>
                  <w:marRight w:val="0"/>
                  <w:marTop w:val="0"/>
                  <w:marBottom w:val="0"/>
                  <w:divBdr>
                    <w:top w:val="none" w:sz="0" w:space="0" w:color="auto"/>
                    <w:left w:val="none" w:sz="0" w:space="0" w:color="auto"/>
                    <w:bottom w:val="none" w:sz="0" w:space="0" w:color="auto"/>
                    <w:right w:val="none" w:sz="0" w:space="0" w:color="auto"/>
                  </w:divBdr>
                  <w:divsChild>
                    <w:div w:id="1767269487">
                      <w:marLeft w:val="0"/>
                      <w:marRight w:val="0"/>
                      <w:marTop w:val="0"/>
                      <w:marBottom w:val="0"/>
                      <w:divBdr>
                        <w:top w:val="none" w:sz="0" w:space="0" w:color="auto"/>
                        <w:left w:val="none" w:sz="0" w:space="0" w:color="auto"/>
                        <w:bottom w:val="none" w:sz="0" w:space="0" w:color="auto"/>
                        <w:right w:val="none" w:sz="0" w:space="0" w:color="auto"/>
                      </w:divBdr>
                    </w:div>
                  </w:divsChild>
                </w:div>
                <w:div w:id="879972550">
                  <w:marLeft w:val="0"/>
                  <w:marRight w:val="0"/>
                  <w:marTop w:val="0"/>
                  <w:marBottom w:val="0"/>
                  <w:divBdr>
                    <w:top w:val="none" w:sz="0" w:space="0" w:color="auto"/>
                    <w:left w:val="none" w:sz="0" w:space="0" w:color="auto"/>
                    <w:bottom w:val="none" w:sz="0" w:space="0" w:color="auto"/>
                    <w:right w:val="none" w:sz="0" w:space="0" w:color="auto"/>
                  </w:divBdr>
                  <w:divsChild>
                    <w:div w:id="1774008699">
                      <w:marLeft w:val="0"/>
                      <w:marRight w:val="0"/>
                      <w:marTop w:val="0"/>
                      <w:marBottom w:val="0"/>
                      <w:divBdr>
                        <w:top w:val="none" w:sz="0" w:space="0" w:color="auto"/>
                        <w:left w:val="none" w:sz="0" w:space="0" w:color="auto"/>
                        <w:bottom w:val="none" w:sz="0" w:space="0" w:color="auto"/>
                        <w:right w:val="none" w:sz="0" w:space="0" w:color="auto"/>
                      </w:divBdr>
                    </w:div>
                  </w:divsChild>
                </w:div>
                <w:div w:id="923565931">
                  <w:marLeft w:val="0"/>
                  <w:marRight w:val="0"/>
                  <w:marTop w:val="0"/>
                  <w:marBottom w:val="0"/>
                  <w:divBdr>
                    <w:top w:val="none" w:sz="0" w:space="0" w:color="auto"/>
                    <w:left w:val="none" w:sz="0" w:space="0" w:color="auto"/>
                    <w:bottom w:val="none" w:sz="0" w:space="0" w:color="auto"/>
                    <w:right w:val="none" w:sz="0" w:space="0" w:color="auto"/>
                  </w:divBdr>
                  <w:divsChild>
                    <w:div w:id="1356274978">
                      <w:marLeft w:val="0"/>
                      <w:marRight w:val="0"/>
                      <w:marTop w:val="0"/>
                      <w:marBottom w:val="0"/>
                      <w:divBdr>
                        <w:top w:val="none" w:sz="0" w:space="0" w:color="auto"/>
                        <w:left w:val="none" w:sz="0" w:space="0" w:color="auto"/>
                        <w:bottom w:val="none" w:sz="0" w:space="0" w:color="auto"/>
                        <w:right w:val="none" w:sz="0" w:space="0" w:color="auto"/>
                      </w:divBdr>
                    </w:div>
                  </w:divsChild>
                </w:div>
                <w:div w:id="1056398299">
                  <w:marLeft w:val="0"/>
                  <w:marRight w:val="0"/>
                  <w:marTop w:val="0"/>
                  <w:marBottom w:val="0"/>
                  <w:divBdr>
                    <w:top w:val="none" w:sz="0" w:space="0" w:color="auto"/>
                    <w:left w:val="none" w:sz="0" w:space="0" w:color="auto"/>
                    <w:bottom w:val="none" w:sz="0" w:space="0" w:color="auto"/>
                    <w:right w:val="none" w:sz="0" w:space="0" w:color="auto"/>
                  </w:divBdr>
                  <w:divsChild>
                    <w:div w:id="1538662661">
                      <w:marLeft w:val="0"/>
                      <w:marRight w:val="0"/>
                      <w:marTop w:val="0"/>
                      <w:marBottom w:val="0"/>
                      <w:divBdr>
                        <w:top w:val="none" w:sz="0" w:space="0" w:color="auto"/>
                        <w:left w:val="none" w:sz="0" w:space="0" w:color="auto"/>
                        <w:bottom w:val="none" w:sz="0" w:space="0" w:color="auto"/>
                        <w:right w:val="none" w:sz="0" w:space="0" w:color="auto"/>
                      </w:divBdr>
                    </w:div>
                  </w:divsChild>
                </w:div>
                <w:div w:id="1118988576">
                  <w:marLeft w:val="0"/>
                  <w:marRight w:val="0"/>
                  <w:marTop w:val="0"/>
                  <w:marBottom w:val="0"/>
                  <w:divBdr>
                    <w:top w:val="none" w:sz="0" w:space="0" w:color="auto"/>
                    <w:left w:val="none" w:sz="0" w:space="0" w:color="auto"/>
                    <w:bottom w:val="none" w:sz="0" w:space="0" w:color="auto"/>
                    <w:right w:val="none" w:sz="0" w:space="0" w:color="auto"/>
                  </w:divBdr>
                  <w:divsChild>
                    <w:div w:id="1328094235">
                      <w:marLeft w:val="0"/>
                      <w:marRight w:val="0"/>
                      <w:marTop w:val="0"/>
                      <w:marBottom w:val="0"/>
                      <w:divBdr>
                        <w:top w:val="none" w:sz="0" w:space="0" w:color="auto"/>
                        <w:left w:val="none" w:sz="0" w:space="0" w:color="auto"/>
                        <w:bottom w:val="none" w:sz="0" w:space="0" w:color="auto"/>
                        <w:right w:val="none" w:sz="0" w:space="0" w:color="auto"/>
                      </w:divBdr>
                    </w:div>
                  </w:divsChild>
                </w:div>
                <w:div w:id="1291667604">
                  <w:marLeft w:val="0"/>
                  <w:marRight w:val="0"/>
                  <w:marTop w:val="0"/>
                  <w:marBottom w:val="0"/>
                  <w:divBdr>
                    <w:top w:val="none" w:sz="0" w:space="0" w:color="auto"/>
                    <w:left w:val="none" w:sz="0" w:space="0" w:color="auto"/>
                    <w:bottom w:val="none" w:sz="0" w:space="0" w:color="auto"/>
                    <w:right w:val="none" w:sz="0" w:space="0" w:color="auto"/>
                  </w:divBdr>
                  <w:divsChild>
                    <w:div w:id="1745032062">
                      <w:marLeft w:val="0"/>
                      <w:marRight w:val="0"/>
                      <w:marTop w:val="0"/>
                      <w:marBottom w:val="0"/>
                      <w:divBdr>
                        <w:top w:val="none" w:sz="0" w:space="0" w:color="auto"/>
                        <w:left w:val="none" w:sz="0" w:space="0" w:color="auto"/>
                        <w:bottom w:val="none" w:sz="0" w:space="0" w:color="auto"/>
                        <w:right w:val="none" w:sz="0" w:space="0" w:color="auto"/>
                      </w:divBdr>
                    </w:div>
                  </w:divsChild>
                </w:div>
                <w:div w:id="1317807584">
                  <w:marLeft w:val="0"/>
                  <w:marRight w:val="0"/>
                  <w:marTop w:val="0"/>
                  <w:marBottom w:val="0"/>
                  <w:divBdr>
                    <w:top w:val="none" w:sz="0" w:space="0" w:color="auto"/>
                    <w:left w:val="none" w:sz="0" w:space="0" w:color="auto"/>
                    <w:bottom w:val="none" w:sz="0" w:space="0" w:color="auto"/>
                    <w:right w:val="none" w:sz="0" w:space="0" w:color="auto"/>
                  </w:divBdr>
                  <w:divsChild>
                    <w:div w:id="451635259">
                      <w:marLeft w:val="0"/>
                      <w:marRight w:val="0"/>
                      <w:marTop w:val="0"/>
                      <w:marBottom w:val="0"/>
                      <w:divBdr>
                        <w:top w:val="none" w:sz="0" w:space="0" w:color="auto"/>
                        <w:left w:val="none" w:sz="0" w:space="0" w:color="auto"/>
                        <w:bottom w:val="none" w:sz="0" w:space="0" w:color="auto"/>
                        <w:right w:val="none" w:sz="0" w:space="0" w:color="auto"/>
                      </w:divBdr>
                    </w:div>
                  </w:divsChild>
                </w:div>
                <w:div w:id="1346395040">
                  <w:marLeft w:val="0"/>
                  <w:marRight w:val="0"/>
                  <w:marTop w:val="0"/>
                  <w:marBottom w:val="0"/>
                  <w:divBdr>
                    <w:top w:val="none" w:sz="0" w:space="0" w:color="auto"/>
                    <w:left w:val="none" w:sz="0" w:space="0" w:color="auto"/>
                    <w:bottom w:val="none" w:sz="0" w:space="0" w:color="auto"/>
                    <w:right w:val="none" w:sz="0" w:space="0" w:color="auto"/>
                  </w:divBdr>
                  <w:divsChild>
                    <w:div w:id="1840390815">
                      <w:marLeft w:val="0"/>
                      <w:marRight w:val="0"/>
                      <w:marTop w:val="0"/>
                      <w:marBottom w:val="0"/>
                      <w:divBdr>
                        <w:top w:val="none" w:sz="0" w:space="0" w:color="auto"/>
                        <w:left w:val="none" w:sz="0" w:space="0" w:color="auto"/>
                        <w:bottom w:val="none" w:sz="0" w:space="0" w:color="auto"/>
                        <w:right w:val="none" w:sz="0" w:space="0" w:color="auto"/>
                      </w:divBdr>
                    </w:div>
                  </w:divsChild>
                </w:div>
                <w:div w:id="1411804435">
                  <w:marLeft w:val="0"/>
                  <w:marRight w:val="0"/>
                  <w:marTop w:val="0"/>
                  <w:marBottom w:val="0"/>
                  <w:divBdr>
                    <w:top w:val="none" w:sz="0" w:space="0" w:color="auto"/>
                    <w:left w:val="none" w:sz="0" w:space="0" w:color="auto"/>
                    <w:bottom w:val="none" w:sz="0" w:space="0" w:color="auto"/>
                    <w:right w:val="none" w:sz="0" w:space="0" w:color="auto"/>
                  </w:divBdr>
                  <w:divsChild>
                    <w:div w:id="728766364">
                      <w:marLeft w:val="0"/>
                      <w:marRight w:val="0"/>
                      <w:marTop w:val="0"/>
                      <w:marBottom w:val="0"/>
                      <w:divBdr>
                        <w:top w:val="none" w:sz="0" w:space="0" w:color="auto"/>
                        <w:left w:val="none" w:sz="0" w:space="0" w:color="auto"/>
                        <w:bottom w:val="none" w:sz="0" w:space="0" w:color="auto"/>
                        <w:right w:val="none" w:sz="0" w:space="0" w:color="auto"/>
                      </w:divBdr>
                    </w:div>
                  </w:divsChild>
                </w:div>
                <w:div w:id="1466510800">
                  <w:marLeft w:val="0"/>
                  <w:marRight w:val="0"/>
                  <w:marTop w:val="0"/>
                  <w:marBottom w:val="0"/>
                  <w:divBdr>
                    <w:top w:val="none" w:sz="0" w:space="0" w:color="auto"/>
                    <w:left w:val="none" w:sz="0" w:space="0" w:color="auto"/>
                    <w:bottom w:val="none" w:sz="0" w:space="0" w:color="auto"/>
                    <w:right w:val="none" w:sz="0" w:space="0" w:color="auto"/>
                  </w:divBdr>
                  <w:divsChild>
                    <w:div w:id="1337462941">
                      <w:marLeft w:val="0"/>
                      <w:marRight w:val="0"/>
                      <w:marTop w:val="0"/>
                      <w:marBottom w:val="0"/>
                      <w:divBdr>
                        <w:top w:val="none" w:sz="0" w:space="0" w:color="auto"/>
                        <w:left w:val="none" w:sz="0" w:space="0" w:color="auto"/>
                        <w:bottom w:val="none" w:sz="0" w:space="0" w:color="auto"/>
                        <w:right w:val="none" w:sz="0" w:space="0" w:color="auto"/>
                      </w:divBdr>
                    </w:div>
                  </w:divsChild>
                </w:div>
                <w:div w:id="1498572503">
                  <w:marLeft w:val="0"/>
                  <w:marRight w:val="0"/>
                  <w:marTop w:val="0"/>
                  <w:marBottom w:val="0"/>
                  <w:divBdr>
                    <w:top w:val="none" w:sz="0" w:space="0" w:color="auto"/>
                    <w:left w:val="none" w:sz="0" w:space="0" w:color="auto"/>
                    <w:bottom w:val="none" w:sz="0" w:space="0" w:color="auto"/>
                    <w:right w:val="none" w:sz="0" w:space="0" w:color="auto"/>
                  </w:divBdr>
                  <w:divsChild>
                    <w:div w:id="440953048">
                      <w:marLeft w:val="0"/>
                      <w:marRight w:val="0"/>
                      <w:marTop w:val="0"/>
                      <w:marBottom w:val="0"/>
                      <w:divBdr>
                        <w:top w:val="none" w:sz="0" w:space="0" w:color="auto"/>
                        <w:left w:val="none" w:sz="0" w:space="0" w:color="auto"/>
                        <w:bottom w:val="none" w:sz="0" w:space="0" w:color="auto"/>
                        <w:right w:val="none" w:sz="0" w:space="0" w:color="auto"/>
                      </w:divBdr>
                    </w:div>
                  </w:divsChild>
                </w:div>
                <w:div w:id="1605841005">
                  <w:marLeft w:val="0"/>
                  <w:marRight w:val="0"/>
                  <w:marTop w:val="0"/>
                  <w:marBottom w:val="0"/>
                  <w:divBdr>
                    <w:top w:val="none" w:sz="0" w:space="0" w:color="auto"/>
                    <w:left w:val="none" w:sz="0" w:space="0" w:color="auto"/>
                    <w:bottom w:val="none" w:sz="0" w:space="0" w:color="auto"/>
                    <w:right w:val="none" w:sz="0" w:space="0" w:color="auto"/>
                  </w:divBdr>
                  <w:divsChild>
                    <w:div w:id="259798546">
                      <w:marLeft w:val="0"/>
                      <w:marRight w:val="0"/>
                      <w:marTop w:val="0"/>
                      <w:marBottom w:val="0"/>
                      <w:divBdr>
                        <w:top w:val="none" w:sz="0" w:space="0" w:color="auto"/>
                        <w:left w:val="none" w:sz="0" w:space="0" w:color="auto"/>
                        <w:bottom w:val="none" w:sz="0" w:space="0" w:color="auto"/>
                        <w:right w:val="none" w:sz="0" w:space="0" w:color="auto"/>
                      </w:divBdr>
                    </w:div>
                  </w:divsChild>
                </w:div>
                <w:div w:id="1768961469">
                  <w:marLeft w:val="0"/>
                  <w:marRight w:val="0"/>
                  <w:marTop w:val="0"/>
                  <w:marBottom w:val="0"/>
                  <w:divBdr>
                    <w:top w:val="none" w:sz="0" w:space="0" w:color="auto"/>
                    <w:left w:val="none" w:sz="0" w:space="0" w:color="auto"/>
                    <w:bottom w:val="none" w:sz="0" w:space="0" w:color="auto"/>
                    <w:right w:val="none" w:sz="0" w:space="0" w:color="auto"/>
                  </w:divBdr>
                  <w:divsChild>
                    <w:div w:id="1171140237">
                      <w:marLeft w:val="0"/>
                      <w:marRight w:val="0"/>
                      <w:marTop w:val="0"/>
                      <w:marBottom w:val="0"/>
                      <w:divBdr>
                        <w:top w:val="none" w:sz="0" w:space="0" w:color="auto"/>
                        <w:left w:val="none" w:sz="0" w:space="0" w:color="auto"/>
                        <w:bottom w:val="none" w:sz="0" w:space="0" w:color="auto"/>
                        <w:right w:val="none" w:sz="0" w:space="0" w:color="auto"/>
                      </w:divBdr>
                    </w:div>
                  </w:divsChild>
                </w:div>
                <w:div w:id="1820073869">
                  <w:marLeft w:val="0"/>
                  <w:marRight w:val="0"/>
                  <w:marTop w:val="0"/>
                  <w:marBottom w:val="0"/>
                  <w:divBdr>
                    <w:top w:val="none" w:sz="0" w:space="0" w:color="auto"/>
                    <w:left w:val="none" w:sz="0" w:space="0" w:color="auto"/>
                    <w:bottom w:val="none" w:sz="0" w:space="0" w:color="auto"/>
                    <w:right w:val="none" w:sz="0" w:space="0" w:color="auto"/>
                  </w:divBdr>
                  <w:divsChild>
                    <w:div w:id="281696595">
                      <w:marLeft w:val="0"/>
                      <w:marRight w:val="0"/>
                      <w:marTop w:val="0"/>
                      <w:marBottom w:val="0"/>
                      <w:divBdr>
                        <w:top w:val="none" w:sz="0" w:space="0" w:color="auto"/>
                        <w:left w:val="none" w:sz="0" w:space="0" w:color="auto"/>
                        <w:bottom w:val="none" w:sz="0" w:space="0" w:color="auto"/>
                        <w:right w:val="none" w:sz="0" w:space="0" w:color="auto"/>
                      </w:divBdr>
                    </w:div>
                  </w:divsChild>
                </w:div>
                <w:div w:id="1855338245">
                  <w:marLeft w:val="0"/>
                  <w:marRight w:val="0"/>
                  <w:marTop w:val="0"/>
                  <w:marBottom w:val="0"/>
                  <w:divBdr>
                    <w:top w:val="none" w:sz="0" w:space="0" w:color="auto"/>
                    <w:left w:val="none" w:sz="0" w:space="0" w:color="auto"/>
                    <w:bottom w:val="none" w:sz="0" w:space="0" w:color="auto"/>
                    <w:right w:val="none" w:sz="0" w:space="0" w:color="auto"/>
                  </w:divBdr>
                  <w:divsChild>
                    <w:div w:id="1054305410">
                      <w:marLeft w:val="0"/>
                      <w:marRight w:val="0"/>
                      <w:marTop w:val="0"/>
                      <w:marBottom w:val="0"/>
                      <w:divBdr>
                        <w:top w:val="none" w:sz="0" w:space="0" w:color="auto"/>
                        <w:left w:val="none" w:sz="0" w:space="0" w:color="auto"/>
                        <w:bottom w:val="none" w:sz="0" w:space="0" w:color="auto"/>
                        <w:right w:val="none" w:sz="0" w:space="0" w:color="auto"/>
                      </w:divBdr>
                    </w:div>
                  </w:divsChild>
                </w:div>
                <w:div w:id="1893078487">
                  <w:marLeft w:val="0"/>
                  <w:marRight w:val="0"/>
                  <w:marTop w:val="0"/>
                  <w:marBottom w:val="0"/>
                  <w:divBdr>
                    <w:top w:val="none" w:sz="0" w:space="0" w:color="auto"/>
                    <w:left w:val="none" w:sz="0" w:space="0" w:color="auto"/>
                    <w:bottom w:val="none" w:sz="0" w:space="0" w:color="auto"/>
                    <w:right w:val="none" w:sz="0" w:space="0" w:color="auto"/>
                  </w:divBdr>
                  <w:divsChild>
                    <w:div w:id="919830066">
                      <w:marLeft w:val="0"/>
                      <w:marRight w:val="0"/>
                      <w:marTop w:val="0"/>
                      <w:marBottom w:val="0"/>
                      <w:divBdr>
                        <w:top w:val="none" w:sz="0" w:space="0" w:color="auto"/>
                        <w:left w:val="none" w:sz="0" w:space="0" w:color="auto"/>
                        <w:bottom w:val="none" w:sz="0" w:space="0" w:color="auto"/>
                        <w:right w:val="none" w:sz="0" w:space="0" w:color="auto"/>
                      </w:divBdr>
                    </w:div>
                  </w:divsChild>
                </w:div>
                <w:div w:id="1903979636">
                  <w:marLeft w:val="0"/>
                  <w:marRight w:val="0"/>
                  <w:marTop w:val="0"/>
                  <w:marBottom w:val="0"/>
                  <w:divBdr>
                    <w:top w:val="none" w:sz="0" w:space="0" w:color="auto"/>
                    <w:left w:val="none" w:sz="0" w:space="0" w:color="auto"/>
                    <w:bottom w:val="none" w:sz="0" w:space="0" w:color="auto"/>
                    <w:right w:val="none" w:sz="0" w:space="0" w:color="auto"/>
                  </w:divBdr>
                  <w:divsChild>
                    <w:div w:id="849177197">
                      <w:marLeft w:val="0"/>
                      <w:marRight w:val="0"/>
                      <w:marTop w:val="0"/>
                      <w:marBottom w:val="0"/>
                      <w:divBdr>
                        <w:top w:val="none" w:sz="0" w:space="0" w:color="auto"/>
                        <w:left w:val="none" w:sz="0" w:space="0" w:color="auto"/>
                        <w:bottom w:val="none" w:sz="0" w:space="0" w:color="auto"/>
                        <w:right w:val="none" w:sz="0" w:space="0" w:color="auto"/>
                      </w:divBdr>
                    </w:div>
                  </w:divsChild>
                </w:div>
                <w:div w:id="2052803317">
                  <w:marLeft w:val="0"/>
                  <w:marRight w:val="0"/>
                  <w:marTop w:val="0"/>
                  <w:marBottom w:val="0"/>
                  <w:divBdr>
                    <w:top w:val="none" w:sz="0" w:space="0" w:color="auto"/>
                    <w:left w:val="none" w:sz="0" w:space="0" w:color="auto"/>
                    <w:bottom w:val="none" w:sz="0" w:space="0" w:color="auto"/>
                    <w:right w:val="none" w:sz="0" w:space="0" w:color="auto"/>
                  </w:divBdr>
                  <w:divsChild>
                    <w:div w:id="1014116455">
                      <w:marLeft w:val="0"/>
                      <w:marRight w:val="0"/>
                      <w:marTop w:val="0"/>
                      <w:marBottom w:val="0"/>
                      <w:divBdr>
                        <w:top w:val="none" w:sz="0" w:space="0" w:color="auto"/>
                        <w:left w:val="none" w:sz="0" w:space="0" w:color="auto"/>
                        <w:bottom w:val="none" w:sz="0" w:space="0" w:color="auto"/>
                        <w:right w:val="none" w:sz="0" w:space="0" w:color="auto"/>
                      </w:divBdr>
                    </w:div>
                  </w:divsChild>
                </w:div>
                <w:div w:id="2057196205">
                  <w:marLeft w:val="0"/>
                  <w:marRight w:val="0"/>
                  <w:marTop w:val="0"/>
                  <w:marBottom w:val="0"/>
                  <w:divBdr>
                    <w:top w:val="none" w:sz="0" w:space="0" w:color="auto"/>
                    <w:left w:val="none" w:sz="0" w:space="0" w:color="auto"/>
                    <w:bottom w:val="none" w:sz="0" w:space="0" w:color="auto"/>
                    <w:right w:val="none" w:sz="0" w:space="0" w:color="auto"/>
                  </w:divBdr>
                  <w:divsChild>
                    <w:div w:id="1892109103">
                      <w:marLeft w:val="0"/>
                      <w:marRight w:val="0"/>
                      <w:marTop w:val="0"/>
                      <w:marBottom w:val="0"/>
                      <w:divBdr>
                        <w:top w:val="none" w:sz="0" w:space="0" w:color="auto"/>
                        <w:left w:val="none" w:sz="0" w:space="0" w:color="auto"/>
                        <w:bottom w:val="none" w:sz="0" w:space="0" w:color="auto"/>
                        <w:right w:val="none" w:sz="0" w:space="0" w:color="auto"/>
                      </w:divBdr>
                    </w:div>
                  </w:divsChild>
                </w:div>
                <w:div w:id="2128039125">
                  <w:marLeft w:val="0"/>
                  <w:marRight w:val="0"/>
                  <w:marTop w:val="0"/>
                  <w:marBottom w:val="0"/>
                  <w:divBdr>
                    <w:top w:val="none" w:sz="0" w:space="0" w:color="auto"/>
                    <w:left w:val="none" w:sz="0" w:space="0" w:color="auto"/>
                    <w:bottom w:val="none" w:sz="0" w:space="0" w:color="auto"/>
                    <w:right w:val="none" w:sz="0" w:space="0" w:color="auto"/>
                  </w:divBdr>
                  <w:divsChild>
                    <w:div w:id="1867936506">
                      <w:marLeft w:val="0"/>
                      <w:marRight w:val="0"/>
                      <w:marTop w:val="0"/>
                      <w:marBottom w:val="0"/>
                      <w:divBdr>
                        <w:top w:val="none" w:sz="0" w:space="0" w:color="auto"/>
                        <w:left w:val="none" w:sz="0" w:space="0" w:color="auto"/>
                        <w:bottom w:val="none" w:sz="0" w:space="0" w:color="auto"/>
                        <w:right w:val="none" w:sz="0" w:space="0" w:color="auto"/>
                      </w:divBdr>
                    </w:div>
                  </w:divsChild>
                </w:div>
                <w:div w:id="2135366274">
                  <w:marLeft w:val="0"/>
                  <w:marRight w:val="0"/>
                  <w:marTop w:val="0"/>
                  <w:marBottom w:val="0"/>
                  <w:divBdr>
                    <w:top w:val="none" w:sz="0" w:space="0" w:color="auto"/>
                    <w:left w:val="none" w:sz="0" w:space="0" w:color="auto"/>
                    <w:bottom w:val="none" w:sz="0" w:space="0" w:color="auto"/>
                    <w:right w:val="none" w:sz="0" w:space="0" w:color="auto"/>
                  </w:divBdr>
                  <w:divsChild>
                    <w:div w:id="147495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1105">
          <w:marLeft w:val="0"/>
          <w:marRight w:val="0"/>
          <w:marTop w:val="0"/>
          <w:marBottom w:val="0"/>
          <w:divBdr>
            <w:top w:val="none" w:sz="0" w:space="0" w:color="auto"/>
            <w:left w:val="none" w:sz="0" w:space="0" w:color="auto"/>
            <w:bottom w:val="none" w:sz="0" w:space="0" w:color="auto"/>
            <w:right w:val="none" w:sz="0" w:space="0" w:color="auto"/>
          </w:divBdr>
          <w:divsChild>
            <w:div w:id="111636911">
              <w:marLeft w:val="0"/>
              <w:marRight w:val="0"/>
              <w:marTop w:val="0"/>
              <w:marBottom w:val="0"/>
              <w:divBdr>
                <w:top w:val="none" w:sz="0" w:space="0" w:color="auto"/>
                <w:left w:val="none" w:sz="0" w:space="0" w:color="auto"/>
                <w:bottom w:val="none" w:sz="0" w:space="0" w:color="auto"/>
                <w:right w:val="none" w:sz="0" w:space="0" w:color="auto"/>
              </w:divBdr>
            </w:div>
            <w:div w:id="147941985">
              <w:marLeft w:val="0"/>
              <w:marRight w:val="0"/>
              <w:marTop w:val="0"/>
              <w:marBottom w:val="0"/>
              <w:divBdr>
                <w:top w:val="none" w:sz="0" w:space="0" w:color="auto"/>
                <w:left w:val="none" w:sz="0" w:space="0" w:color="auto"/>
                <w:bottom w:val="none" w:sz="0" w:space="0" w:color="auto"/>
                <w:right w:val="none" w:sz="0" w:space="0" w:color="auto"/>
              </w:divBdr>
            </w:div>
            <w:div w:id="163060674">
              <w:marLeft w:val="0"/>
              <w:marRight w:val="0"/>
              <w:marTop w:val="0"/>
              <w:marBottom w:val="0"/>
              <w:divBdr>
                <w:top w:val="none" w:sz="0" w:space="0" w:color="auto"/>
                <w:left w:val="none" w:sz="0" w:space="0" w:color="auto"/>
                <w:bottom w:val="none" w:sz="0" w:space="0" w:color="auto"/>
                <w:right w:val="none" w:sz="0" w:space="0" w:color="auto"/>
              </w:divBdr>
            </w:div>
            <w:div w:id="178980406">
              <w:marLeft w:val="0"/>
              <w:marRight w:val="0"/>
              <w:marTop w:val="0"/>
              <w:marBottom w:val="0"/>
              <w:divBdr>
                <w:top w:val="none" w:sz="0" w:space="0" w:color="auto"/>
                <w:left w:val="none" w:sz="0" w:space="0" w:color="auto"/>
                <w:bottom w:val="none" w:sz="0" w:space="0" w:color="auto"/>
                <w:right w:val="none" w:sz="0" w:space="0" w:color="auto"/>
              </w:divBdr>
            </w:div>
            <w:div w:id="357506620">
              <w:marLeft w:val="0"/>
              <w:marRight w:val="0"/>
              <w:marTop w:val="0"/>
              <w:marBottom w:val="0"/>
              <w:divBdr>
                <w:top w:val="none" w:sz="0" w:space="0" w:color="auto"/>
                <w:left w:val="none" w:sz="0" w:space="0" w:color="auto"/>
                <w:bottom w:val="none" w:sz="0" w:space="0" w:color="auto"/>
                <w:right w:val="none" w:sz="0" w:space="0" w:color="auto"/>
              </w:divBdr>
            </w:div>
            <w:div w:id="442386929">
              <w:marLeft w:val="0"/>
              <w:marRight w:val="0"/>
              <w:marTop w:val="0"/>
              <w:marBottom w:val="0"/>
              <w:divBdr>
                <w:top w:val="none" w:sz="0" w:space="0" w:color="auto"/>
                <w:left w:val="none" w:sz="0" w:space="0" w:color="auto"/>
                <w:bottom w:val="none" w:sz="0" w:space="0" w:color="auto"/>
                <w:right w:val="none" w:sz="0" w:space="0" w:color="auto"/>
              </w:divBdr>
            </w:div>
            <w:div w:id="495997688">
              <w:marLeft w:val="0"/>
              <w:marRight w:val="0"/>
              <w:marTop w:val="0"/>
              <w:marBottom w:val="0"/>
              <w:divBdr>
                <w:top w:val="none" w:sz="0" w:space="0" w:color="auto"/>
                <w:left w:val="none" w:sz="0" w:space="0" w:color="auto"/>
                <w:bottom w:val="none" w:sz="0" w:space="0" w:color="auto"/>
                <w:right w:val="none" w:sz="0" w:space="0" w:color="auto"/>
              </w:divBdr>
            </w:div>
            <w:div w:id="512299900">
              <w:marLeft w:val="0"/>
              <w:marRight w:val="0"/>
              <w:marTop w:val="0"/>
              <w:marBottom w:val="0"/>
              <w:divBdr>
                <w:top w:val="none" w:sz="0" w:space="0" w:color="auto"/>
                <w:left w:val="none" w:sz="0" w:space="0" w:color="auto"/>
                <w:bottom w:val="none" w:sz="0" w:space="0" w:color="auto"/>
                <w:right w:val="none" w:sz="0" w:space="0" w:color="auto"/>
              </w:divBdr>
            </w:div>
            <w:div w:id="677123093">
              <w:marLeft w:val="0"/>
              <w:marRight w:val="0"/>
              <w:marTop w:val="0"/>
              <w:marBottom w:val="0"/>
              <w:divBdr>
                <w:top w:val="none" w:sz="0" w:space="0" w:color="auto"/>
                <w:left w:val="none" w:sz="0" w:space="0" w:color="auto"/>
                <w:bottom w:val="none" w:sz="0" w:space="0" w:color="auto"/>
                <w:right w:val="none" w:sz="0" w:space="0" w:color="auto"/>
              </w:divBdr>
            </w:div>
            <w:div w:id="898587168">
              <w:marLeft w:val="0"/>
              <w:marRight w:val="0"/>
              <w:marTop w:val="0"/>
              <w:marBottom w:val="0"/>
              <w:divBdr>
                <w:top w:val="none" w:sz="0" w:space="0" w:color="auto"/>
                <w:left w:val="none" w:sz="0" w:space="0" w:color="auto"/>
                <w:bottom w:val="none" w:sz="0" w:space="0" w:color="auto"/>
                <w:right w:val="none" w:sz="0" w:space="0" w:color="auto"/>
              </w:divBdr>
            </w:div>
            <w:div w:id="945384323">
              <w:marLeft w:val="0"/>
              <w:marRight w:val="0"/>
              <w:marTop w:val="0"/>
              <w:marBottom w:val="0"/>
              <w:divBdr>
                <w:top w:val="none" w:sz="0" w:space="0" w:color="auto"/>
                <w:left w:val="none" w:sz="0" w:space="0" w:color="auto"/>
                <w:bottom w:val="none" w:sz="0" w:space="0" w:color="auto"/>
                <w:right w:val="none" w:sz="0" w:space="0" w:color="auto"/>
              </w:divBdr>
            </w:div>
            <w:div w:id="1175920470">
              <w:marLeft w:val="0"/>
              <w:marRight w:val="0"/>
              <w:marTop w:val="0"/>
              <w:marBottom w:val="0"/>
              <w:divBdr>
                <w:top w:val="none" w:sz="0" w:space="0" w:color="auto"/>
                <w:left w:val="none" w:sz="0" w:space="0" w:color="auto"/>
                <w:bottom w:val="none" w:sz="0" w:space="0" w:color="auto"/>
                <w:right w:val="none" w:sz="0" w:space="0" w:color="auto"/>
              </w:divBdr>
            </w:div>
            <w:div w:id="1201239607">
              <w:marLeft w:val="0"/>
              <w:marRight w:val="0"/>
              <w:marTop w:val="0"/>
              <w:marBottom w:val="0"/>
              <w:divBdr>
                <w:top w:val="none" w:sz="0" w:space="0" w:color="auto"/>
                <w:left w:val="none" w:sz="0" w:space="0" w:color="auto"/>
                <w:bottom w:val="none" w:sz="0" w:space="0" w:color="auto"/>
                <w:right w:val="none" w:sz="0" w:space="0" w:color="auto"/>
              </w:divBdr>
            </w:div>
            <w:div w:id="1632206213">
              <w:marLeft w:val="0"/>
              <w:marRight w:val="0"/>
              <w:marTop w:val="0"/>
              <w:marBottom w:val="0"/>
              <w:divBdr>
                <w:top w:val="none" w:sz="0" w:space="0" w:color="auto"/>
                <w:left w:val="none" w:sz="0" w:space="0" w:color="auto"/>
                <w:bottom w:val="none" w:sz="0" w:space="0" w:color="auto"/>
                <w:right w:val="none" w:sz="0" w:space="0" w:color="auto"/>
              </w:divBdr>
            </w:div>
            <w:div w:id="1689480390">
              <w:marLeft w:val="0"/>
              <w:marRight w:val="0"/>
              <w:marTop w:val="0"/>
              <w:marBottom w:val="0"/>
              <w:divBdr>
                <w:top w:val="none" w:sz="0" w:space="0" w:color="auto"/>
                <w:left w:val="none" w:sz="0" w:space="0" w:color="auto"/>
                <w:bottom w:val="none" w:sz="0" w:space="0" w:color="auto"/>
                <w:right w:val="none" w:sz="0" w:space="0" w:color="auto"/>
              </w:divBdr>
            </w:div>
            <w:div w:id="1702898734">
              <w:marLeft w:val="0"/>
              <w:marRight w:val="0"/>
              <w:marTop w:val="0"/>
              <w:marBottom w:val="0"/>
              <w:divBdr>
                <w:top w:val="none" w:sz="0" w:space="0" w:color="auto"/>
                <w:left w:val="none" w:sz="0" w:space="0" w:color="auto"/>
                <w:bottom w:val="none" w:sz="0" w:space="0" w:color="auto"/>
                <w:right w:val="none" w:sz="0" w:space="0" w:color="auto"/>
              </w:divBdr>
            </w:div>
            <w:div w:id="1705250132">
              <w:marLeft w:val="0"/>
              <w:marRight w:val="0"/>
              <w:marTop w:val="0"/>
              <w:marBottom w:val="0"/>
              <w:divBdr>
                <w:top w:val="none" w:sz="0" w:space="0" w:color="auto"/>
                <w:left w:val="none" w:sz="0" w:space="0" w:color="auto"/>
                <w:bottom w:val="none" w:sz="0" w:space="0" w:color="auto"/>
                <w:right w:val="none" w:sz="0" w:space="0" w:color="auto"/>
              </w:divBdr>
            </w:div>
            <w:div w:id="1732263740">
              <w:marLeft w:val="0"/>
              <w:marRight w:val="0"/>
              <w:marTop w:val="0"/>
              <w:marBottom w:val="0"/>
              <w:divBdr>
                <w:top w:val="none" w:sz="0" w:space="0" w:color="auto"/>
                <w:left w:val="none" w:sz="0" w:space="0" w:color="auto"/>
                <w:bottom w:val="none" w:sz="0" w:space="0" w:color="auto"/>
                <w:right w:val="none" w:sz="0" w:space="0" w:color="auto"/>
              </w:divBdr>
            </w:div>
            <w:div w:id="1946421808">
              <w:marLeft w:val="0"/>
              <w:marRight w:val="0"/>
              <w:marTop w:val="0"/>
              <w:marBottom w:val="0"/>
              <w:divBdr>
                <w:top w:val="none" w:sz="0" w:space="0" w:color="auto"/>
                <w:left w:val="none" w:sz="0" w:space="0" w:color="auto"/>
                <w:bottom w:val="none" w:sz="0" w:space="0" w:color="auto"/>
                <w:right w:val="none" w:sz="0" w:space="0" w:color="auto"/>
              </w:divBdr>
            </w:div>
            <w:div w:id="2056151840">
              <w:marLeft w:val="0"/>
              <w:marRight w:val="0"/>
              <w:marTop w:val="0"/>
              <w:marBottom w:val="0"/>
              <w:divBdr>
                <w:top w:val="none" w:sz="0" w:space="0" w:color="auto"/>
                <w:left w:val="none" w:sz="0" w:space="0" w:color="auto"/>
                <w:bottom w:val="none" w:sz="0" w:space="0" w:color="auto"/>
                <w:right w:val="none" w:sz="0" w:space="0" w:color="auto"/>
              </w:divBdr>
            </w:div>
          </w:divsChild>
        </w:div>
        <w:div w:id="2136216468">
          <w:marLeft w:val="0"/>
          <w:marRight w:val="0"/>
          <w:marTop w:val="0"/>
          <w:marBottom w:val="0"/>
          <w:divBdr>
            <w:top w:val="none" w:sz="0" w:space="0" w:color="auto"/>
            <w:left w:val="none" w:sz="0" w:space="0" w:color="auto"/>
            <w:bottom w:val="none" w:sz="0" w:space="0" w:color="auto"/>
            <w:right w:val="none" w:sz="0" w:space="0" w:color="auto"/>
          </w:divBdr>
        </w:div>
        <w:div w:id="2138599970">
          <w:marLeft w:val="0"/>
          <w:marRight w:val="0"/>
          <w:marTop w:val="0"/>
          <w:marBottom w:val="0"/>
          <w:divBdr>
            <w:top w:val="none" w:sz="0" w:space="0" w:color="auto"/>
            <w:left w:val="none" w:sz="0" w:space="0" w:color="auto"/>
            <w:bottom w:val="none" w:sz="0" w:space="0" w:color="auto"/>
            <w:right w:val="none" w:sz="0" w:space="0" w:color="auto"/>
          </w:divBdr>
        </w:div>
        <w:div w:id="2141724976">
          <w:marLeft w:val="0"/>
          <w:marRight w:val="0"/>
          <w:marTop w:val="0"/>
          <w:marBottom w:val="0"/>
          <w:divBdr>
            <w:top w:val="none" w:sz="0" w:space="0" w:color="auto"/>
            <w:left w:val="none" w:sz="0" w:space="0" w:color="auto"/>
            <w:bottom w:val="none" w:sz="0" w:space="0" w:color="auto"/>
            <w:right w:val="none" w:sz="0" w:space="0" w:color="auto"/>
          </w:divBdr>
        </w:div>
      </w:divsChild>
    </w:div>
    <w:div w:id="1367869036">
      <w:bodyDiv w:val="1"/>
      <w:marLeft w:val="0"/>
      <w:marRight w:val="0"/>
      <w:marTop w:val="0"/>
      <w:marBottom w:val="0"/>
      <w:divBdr>
        <w:top w:val="none" w:sz="0" w:space="0" w:color="auto"/>
        <w:left w:val="none" w:sz="0" w:space="0" w:color="auto"/>
        <w:bottom w:val="none" w:sz="0" w:space="0" w:color="auto"/>
        <w:right w:val="none" w:sz="0" w:space="0" w:color="auto"/>
      </w:divBdr>
      <w:divsChild>
        <w:div w:id="1518647">
          <w:marLeft w:val="0"/>
          <w:marRight w:val="0"/>
          <w:marTop w:val="0"/>
          <w:marBottom w:val="0"/>
          <w:divBdr>
            <w:top w:val="none" w:sz="0" w:space="0" w:color="auto"/>
            <w:left w:val="none" w:sz="0" w:space="0" w:color="auto"/>
            <w:bottom w:val="none" w:sz="0" w:space="0" w:color="auto"/>
            <w:right w:val="none" w:sz="0" w:space="0" w:color="auto"/>
          </w:divBdr>
        </w:div>
        <w:div w:id="21638733">
          <w:marLeft w:val="0"/>
          <w:marRight w:val="0"/>
          <w:marTop w:val="0"/>
          <w:marBottom w:val="0"/>
          <w:divBdr>
            <w:top w:val="none" w:sz="0" w:space="0" w:color="auto"/>
            <w:left w:val="none" w:sz="0" w:space="0" w:color="auto"/>
            <w:bottom w:val="none" w:sz="0" w:space="0" w:color="auto"/>
            <w:right w:val="none" w:sz="0" w:space="0" w:color="auto"/>
          </w:divBdr>
        </w:div>
        <w:div w:id="32124369">
          <w:marLeft w:val="0"/>
          <w:marRight w:val="0"/>
          <w:marTop w:val="0"/>
          <w:marBottom w:val="0"/>
          <w:divBdr>
            <w:top w:val="none" w:sz="0" w:space="0" w:color="auto"/>
            <w:left w:val="none" w:sz="0" w:space="0" w:color="auto"/>
            <w:bottom w:val="none" w:sz="0" w:space="0" w:color="auto"/>
            <w:right w:val="none" w:sz="0" w:space="0" w:color="auto"/>
          </w:divBdr>
        </w:div>
        <w:div w:id="51973998">
          <w:marLeft w:val="0"/>
          <w:marRight w:val="0"/>
          <w:marTop w:val="0"/>
          <w:marBottom w:val="0"/>
          <w:divBdr>
            <w:top w:val="none" w:sz="0" w:space="0" w:color="auto"/>
            <w:left w:val="none" w:sz="0" w:space="0" w:color="auto"/>
            <w:bottom w:val="none" w:sz="0" w:space="0" w:color="auto"/>
            <w:right w:val="none" w:sz="0" w:space="0" w:color="auto"/>
          </w:divBdr>
        </w:div>
        <w:div w:id="64039587">
          <w:marLeft w:val="0"/>
          <w:marRight w:val="0"/>
          <w:marTop w:val="0"/>
          <w:marBottom w:val="0"/>
          <w:divBdr>
            <w:top w:val="none" w:sz="0" w:space="0" w:color="auto"/>
            <w:left w:val="none" w:sz="0" w:space="0" w:color="auto"/>
            <w:bottom w:val="none" w:sz="0" w:space="0" w:color="auto"/>
            <w:right w:val="none" w:sz="0" w:space="0" w:color="auto"/>
          </w:divBdr>
        </w:div>
        <w:div w:id="92438311">
          <w:marLeft w:val="0"/>
          <w:marRight w:val="0"/>
          <w:marTop w:val="0"/>
          <w:marBottom w:val="0"/>
          <w:divBdr>
            <w:top w:val="none" w:sz="0" w:space="0" w:color="auto"/>
            <w:left w:val="none" w:sz="0" w:space="0" w:color="auto"/>
            <w:bottom w:val="none" w:sz="0" w:space="0" w:color="auto"/>
            <w:right w:val="none" w:sz="0" w:space="0" w:color="auto"/>
          </w:divBdr>
        </w:div>
        <w:div w:id="194124299">
          <w:marLeft w:val="0"/>
          <w:marRight w:val="0"/>
          <w:marTop w:val="0"/>
          <w:marBottom w:val="0"/>
          <w:divBdr>
            <w:top w:val="none" w:sz="0" w:space="0" w:color="auto"/>
            <w:left w:val="none" w:sz="0" w:space="0" w:color="auto"/>
            <w:bottom w:val="none" w:sz="0" w:space="0" w:color="auto"/>
            <w:right w:val="none" w:sz="0" w:space="0" w:color="auto"/>
          </w:divBdr>
        </w:div>
        <w:div w:id="285161205">
          <w:marLeft w:val="0"/>
          <w:marRight w:val="0"/>
          <w:marTop w:val="0"/>
          <w:marBottom w:val="0"/>
          <w:divBdr>
            <w:top w:val="none" w:sz="0" w:space="0" w:color="auto"/>
            <w:left w:val="none" w:sz="0" w:space="0" w:color="auto"/>
            <w:bottom w:val="none" w:sz="0" w:space="0" w:color="auto"/>
            <w:right w:val="none" w:sz="0" w:space="0" w:color="auto"/>
          </w:divBdr>
        </w:div>
        <w:div w:id="294339143">
          <w:marLeft w:val="0"/>
          <w:marRight w:val="0"/>
          <w:marTop w:val="0"/>
          <w:marBottom w:val="0"/>
          <w:divBdr>
            <w:top w:val="none" w:sz="0" w:space="0" w:color="auto"/>
            <w:left w:val="none" w:sz="0" w:space="0" w:color="auto"/>
            <w:bottom w:val="none" w:sz="0" w:space="0" w:color="auto"/>
            <w:right w:val="none" w:sz="0" w:space="0" w:color="auto"/>
          </w:divBdr>
        </w:div>
        <w:div w:id="310670126">
          <w:marLeft w:val="0"/>
          <w:marRight w:val="0"/>
          <w:marTop w:val="0"/>
          <w:marBottom w:val="0"/>
          <w:divBdr>
            <w:top w:val="none" w:sz="0" w:space="0" w:color="auto"/>
            <w:left w:val="none" w:sz="0" w:space="0" w:color="auto"/>
            <w:bottom w:val="none" w:sz="0" w:space="0" w:color="auto"/>
            <w:right w:val="none" w:sz="0" w:space="0" w:color="auto"/>
          </w:divBdr>
        </w:div>
        <w:div w:id="324017837">
          <w:marLeft w:val="0"/>
          <w:marRight w:val="0"/>
          <w:marTop w:val="0"/>
          <w:marBottom w:val="0"/>
          <w:divBdr>
            <w:top w:val="none" w:sz="0" w:space="0" w:color="auto"/>
            <w:left w:val="none" w:sz="0" w:space="0" w:color="auto"/>
            <w:bottom w:val="none" w:sz="0" w:space="0" w:color="auto"/>
            <w:right w:val="none" w:sz="0" w:space="0" w:color="auto"/>
          </w:divBdr>
        </w:div>
        <w:div w:id="342437872">
          <w:marLeft w:val="0"/>
          <w:marRight w:val="0"/>
          <w:marTop w:val="0"/>
          <w:marBottom w:val="0"/>
          <w:divBdr>
            <w:top w:val="none" w:sz="0" w:space="0" w:color="auto"/>
            <w:left w:val="none" w:sz="0" w:space="0" w:color="auto"/>
            <w:bottom w:val="none" w:sz="0" w:space="0" w:color="auto"/>
            <w:right w:val="none" w:sz="0" w:space="0" w:color="auto"/>
          </w:divBdr>
        </w:div>
        <w:div w:id="344095978">
          <w:marLeft w:val="0"/>
          <w:marRight w:val="0"/>
          <w:marTop w:val="0"/>
          <w:marBottom w:val="0"/>
          <w:divBdr>
            <w:top w:val="none" w:sz="0" w:space="0" w:color="auto"/>
            <w:left w:val="none" w:sz="0" w:space="0" w:color="auto"/>
            <w:bottom w:val="none" w:sz="0" w:space="0" w:color="auto"/>
            <w:right w:val="none" w:sz="0" w:space="0" w:color="auto"/>
          </w:divBdr>
        </w:div>
        <w:div w:id="371732098">
          <w:marLeft w:val="0"/>
          <w:marRight w:val="0"/>
          <w:marTop w:val="0"/>
          <w:marBottom w:val="0"/>
          <w:divBdr>
            <w:top w:val="none" w:sz="0" w:space="0" w:color="auto"/>
            <w:left w:val="none" w:sz="0" w:space="0" w:color="auto"/>
            <w:bottom w:val="none" w:sz="0" w:space="0" w:color="auto"/>
            <w:right w:val="none" w:sz="0" w:space="0" w:color="auto"/>
          </w:divBdr>
        </w:div>
        <w:div w:id="377629777">
          <w:marLeft w:val="0"/>
          <w:marRight w:val="0"/>
          <w:marTop w:val="0"/>
          <w:marBottom w:val="0"/>
          <w:divBdr>
            <w:top w:val="none" w:sz="0" w:space="0" w:color="auto"/>
            <w:left w:val="none" w:sz="0" w:space="0" w:color="auto"/>
            <w:bottom w:val="none" w:sz="0" w:space="0" w:color="auto"/>
            <w:right w:val="none" w:sz="0" w:space="0" w:color="auto"/>
          </w:divBdr>
        </w:div>
        <w:div w:id="379593059">
          <w:marLeft w:val="0"/>
          <w:marRight w:val="0"/>
          <w:marTop w:val="0"/>
          <w:marBottom w:val="0"/>
          <w:divBdr>
            <w:top w:val="none" w:sz="0" w:space="0" w:color="auto"/>
            <w:left w:val="none" w:sz="0" w:space="0" w:color="auto"/>
            <w:bottom w:val="none" w:sz="0" w:space="0" w:color="auto"/>
            <w:right w:val="none" w:sz="0" w:space="0" w:color="auto"/>
          </w:divBdr>
        </w:div>
        <w:div w:id="478956249">
          <w:marLeft w:val="0"/>
          <w:marRight w:val="0"/>
          <w:marTop w:val="0"/>
          <w:marBottom w:val="0"/>
          <w:divBdr>
            <w:top w:val="none" w:sz="0" w:space="0" w:color="auto"/>
            <w:left w:val="none" w:sz="0" w:space="0" w:color="auto"/>
            <w:bottom w:val="none" w:sz="0" w:space="0" w:color="auto"/>
            <w:right w:val="none" w:sz="0" w:space="0" w:color="auto"/>
          </w:divBdr>
        </w:div>
        <w:div w:id="540939554">
          <w:marLeft w:val="0"/>
          <w:marRight w:val="0"/>
          <w:marTop w:val="0"/>
          <w:marBottom w:val="0"/>
          <w:divBdr>
            <w:top w:val="none" w:sz="0" w:space="0" w:color="auto"/>
            <w:left w:val="none" w:sz="0" w:space="0" w:color="auto"/>
            <w:bottom w:val="none" w:sz="0" w:space="0" w:color="auto"/>
            <w:right w:val="none" w:sz="0" w:space="0" w:color="auto"/>
          </w:divBdr>
        </w:div>
        <w:div w:id="635331731">
          <w:marLeft w:val="0"/>
          <w:marRight w:val="0"/>
          <w:marTop w:val="0"/>
          <w:marBottom w:val="0"/>
          <w:divBdr>
            <w:top w:val="none" w:sz="0" w:space="0" w:color="auto"/>
            <w:left w:val="none" w:sz="0" w:space="0" w:color="auto"/>
            <w:bottom w:val="none" w:sz="0" w:space="0" w:color="auto"/>
            <w:right w:val="none" w:sz="0" w:space="0" w:color="auto"/>
          </w:divBdr>
        </w:div>
        <w:div w:id="678389788">
          <w:marLeft w:val="0"/>
          <w:marRight w:val="0"/>
          <w:marTop w:val="0"/>
          <w:marBottom w:val="0"/>
          <w:divBdr>
            <w:top w:val="none" w:sz="0" w:space="0" w:color="auto"/>
            <w:left w:val="none" w:sz="0" w:space="0" w:color="auto"/>
            <w:bottom w:val="none" w:sz="0" w:space="0" w:color="auto"/>
            <w:right w:val="none" w:sz="0" w:space="0" w:color="auto"/>
          </w:divBdr>
        </w:div>
        <w:div w:id="697002891">
          <w:marLeft w:val="0"/>
          <w:marRight w:val="0"/>
          <w:marTop w:val="0"/>
          <w:marBottom w:val="0"/>
          <w:divBdr>
            <w:top w:val="none" w:sz="0" w:space="0" w:color="auto"/>
            <w:left w:val="none" w:sz="0" w:space="0" w:color="auto"/>
            <w:bottom w:val="none" w:sz="0" w:space="0" w:color="auto"/>
            <w:right w:val="none" w:sz="0" w:space="0" w:color="auto"/>
          </w:divBdr>
        </w:div>
        <w:div w:id="697700402">
          <w:marLeft w:val="0"/>
          <w:marRight w:val="0"/>
          <w:marTop w:val="0"/>
          <w:marBottom w:val="0"/>
          <w:divBdr>
            <w:top w:val="none" w:sz="0" w:space="0" w:color="auto"/>
            <w:left w:val="none" w:sz="0" w:space="0" w:color="auto"/>
            <w:bottom w:val="none" w:sz="0" w:space="0" w:color="auto"/>
            <w:right w:val="none" w:sz="0" w:space="0" w:color="auto"/>
          </w:divBdr>
        </w:div>
        <w:div w:id="703408690">
          <w:marLeft w:val="0"/>
          <w:marRight w:val="0"/>
          <w:marTop w:val="0"/>
          <w:marBottom w:val="0"/>
          <w:divBdr>
            <w:top w:val="none" w:sz="0" w:space="0" w:color="auto"/>
            <w:left w:val="none" w:sz="0" w:space="0" w:color="auto"/>
            <w:bottom w:val="none" w:sz="0" w:space="0" w:color="auto"/>
            <w:right w:val="none" w:sz="0" w:space="0" w:color="auto"/>
          </w:divBdr>
        </w:div>
        <w:div w:id="733235488">
          <w:marLeft w:val="0"/>
          <w:marRight w:val="0"/>
          <w:marTop w:val="0"/>
          <w:marBottom w:val="0"/>
          <w:divBdr>
            <w:top w:val="none" w:sz="0" w:space="0" w:color="auto"/>
            <w:left w:val="none" w:sz="0" w:space="0" w:color="auto"/>
            <w:bottom w:val="none" w:sz="0" w:space="0" w:color="auto"/>
            <w:right w:val="none" w:sz="0" w:space="0" w:color="auto"/>
          </w:divBdr>
        </w:div>
        <w:div w:id="794635921">
          <w:marLeft w:val="0"/>
          <w:marRight w:val="0"/>
          <w:marTop w:val="0"/>
          <w:marBottom w:val="0"/>
          <w:divBdr>
            <w:top w:val="none" w:sz="0" w:space="0" w:color="auto"/>
            <w:left w:val="none" w:sz="0" w:space="0" w:color="auto"/>
            <w:bottom w:val="none" w:sz="0" w:space="0" w:color="auto"/>
            <w:right w:val="none" w:sz="0" w:space="0" w:color="auto"/>
          </w:divBdr>
        </w:div>
        <w:div w:id="812143272">
          <w:marLeft w:val="0"/>
          <w:marRight w:val="0"/>
          <w:marTop w:val="0"/>
          <w:marBottom w:val="0"/>
          <w:divBdr>
            <w:top w:val="none" w:sz="0" w:space="0" w:color="auto"/>
            <w:left w:val="none" w:sz="0" w:space="0" w:color="auto"/>
            <w:bottom w:val="none" w:sz="0" w:space="0" w:color="auto"/>
            <w:right w:val="none" w:sz="0" w:space="0" w:color="auto"/>
          </w:divBdr>
          <w:divsChild>
            <w:div w:id="273055701">
              <w:marLeft w:val="-75"/>
              <w:marRight w:val="0"/>
              <w:marTop w:val="30"/>
              <w:marBottom w:val="30"/>
              <w:divBdr>
                <w:top w:val="none" w:sz="0" w:space="0" w:color="auto"/>
                <w:left w:val="none" w:sz="0" w:space="0" w:color="auto"/>
                <w:bottom w:val="none" w:sz="0" w:space="0" w:color="auto"/>
                <w:right w:val="none" w:sz="0" w:space="0" w:color="auto"/>
              </w:divBdr>
              <w:divsChild>
                <w:div w:id="154809138">
                  <w:marLeft w:val="0"/>
                  <w:marRight w:val="0"/>
                  <w:marTop w:val="0"/>
                  <w:marBottom w:val="0"/>
                  <w:divBdr>
                    <w:top w:val="none" w:sz="0" w:space="0" w:color="auto"/>
                    <w:left w:val="none" w:sz="0" w:space="0" w:color="auto"/>
                    <w:bottom w:val="none" w:sz="0" w:space="0" w:color="auto"/>
                    <w:right w:val="none" w:sz="0" w:space="0" w:color="auto"/>
                  </w:divBdr>
                  <w:divsChild>
                    <w:div w:id="735972643">
                      <w:marLeft w:val="0"/>
                      <w:marRight w:val="0"/>
                      <w:marTop w:val="0"/>
                      <w:marBottom w:val="0"/>
                      <w:divBdr>
                        <w:top w:val="none" w:sz="0" w:space="0" w:color="auto"/>
                        <w:left w:val="none" w:sz="0" w:space="0" w:color="auto"/>
                        <w:bottom w:val="none" w:sz="0" w:space="0" w:color="auto"/>
                        <w:right w:val="none" w:sz="0" w:space="0" w:color="auto"/>
                      </w:divBdr>
                    </w:div>
                  </w:divsChild>
                </w:div>
                <w:div w:id="184516468">
                  <w:marLeft w:val="0"/>
                  <w:marRight w:val="0"/>
                  <w:marTop w:val="0"/>
                  <w:marBottom w:val="0"/>
                  <w:divBdr>
                    <w:top w:val="none" w:sz="0" w:space="0" w:color="auto"/>
                    <w:left w:val="none" w:sz="0" w:space="0" w:color="auto"/>
                    <w:bottom w:val="none" w:sz="0" w:space="0" w:color="auto"/>
                    <w:right w:val="none" w:sz="0" w:space="0" w:color="auto"/>
                  </w:divBdr>
                  <w:divsChild>
                    <w:div w:id="572354858">
                      <w:marLeft w:val="0"/>
                      <w:marRight w:val="0"/>
                      <w:marTop w:val="0"/>
                      <w:marBottom w:val="0"/>
                      <w:divBdr>
                        <w:top w:val="none" w:sz="0" w:space="0" w:color="auto"/>
                        <w:left w:val="none" w:sz="0" w:space="0" w:color="auto"/>
                        <w:bottom w:val="none" w:sz="0" w:space="0" w:color="auto"/>
                        <w:right w:val="none" w:sz="0" w:space="0" w:color="auto"/>
                      </w:divBdr>
                    </w:div>
                  </w:divsChild>
                </w:div>
                <w:div w:id="269312804">
                  <w:marLeft w:val="0"/>
                  <w:marRight w:val="0"/>
                  <w:marTop w:val="0"/>
                  <w:marBottom w:val="0"/>
                  <w:divBdr>
                    <w:top w:val="none" w:sz="0" w:space="0" w:color="auto"/>
                    <w:left w:val="none" w:sz="0" w:space="0" w:color="auto"/>
                    <w:bottom w:val="none" w:sz="0" w:space="0" w:color="auto"/>
                    <w:right w:val="none" w:sz="0" w:space="0" w:color="auto"/>
                  </w:divBdr>
                  <w:divsChild>
                    <w:div w:id="810630989">
                      <w:marLeft w:val="0"/>
                      <w:marRight w:val="0"/>
                      <w:marTop w:val="0"/>
                      <w:marBottom w:val="0"/>
                      <w:divBdr>
                        <w:top w:val="none" w:sz="0" w:space="0" w:color="auto"/>
                        <w:left w:val="none" w:sz="0" w:space="0" w:color="auto"/>
                        <w:bottom w:val="none" w:sz="0" w:space="0" w:color="auto"/>
                        <w:right w:val="none" w:sz="0" w:space="0" w:color="auto"/>
                      </w:divBdr>
                    </w:div>
                  </w:divsChild>
                </w:div>
                <w:div w:id="329256644">
                  <w:marLeft w:val="0"/>
                  <w:marRight w:val="0"/>
                  <w:marTop w:val="0"/>
                  <w:marBottom w:val="0"/>
                  <w:divBdr>
                    <w:top w:val="none" w:sz="0" w:space="0" w:color="auto"/>
                    <w:left w:val="none" w:sz="0" w:space="0" w:color="auto"/>
                    <w:bottom w:val="none" w:sz="0" w:space="0" w:color="auto"/>
                    <w:right w:val="none" w:sz="0" w:space="0" w:color="auto"/>
                  </w:divBdr>
                  <w:divsChild>
                    <w:div w:id="909314252">
                      <w:marLeft w:val="0"/>
                      <w:marRight w:val="0"/>
                      <w:marTop w:val="0"/>
                      <w:marBottom w:val="0"/>
                      <w:divBdr>
                        <w:top w:val="none" w:sz="0" w:space="0" w:color="auto"/>
                        <w:left w:val="none" w:sz="0" w:space="0" w:color="auto"/>
                        <w:bottom w:val="none" w:sz="0" w:space="0" w:color="auto"/>
                        <w:right w:val="none" w:sz="0" w:space="0" w:color="auto"/>
                      </w:divBdr>
                    </w:div>
                  </w:divsChild>
                </w:div>
                <w:div w:id="353966882">
                  <w:marLeft w:val="0"/>
                  <w:marRight w:val="0"/>
                  <w:marTop w:val="0"/>
                  <w:marBottom w:val="0"/>
                  <w:divBdr>
                    <w:top w:val="none" w:sz="0" w:space="0" w:color="auto"/>
                    <w:left w:val="none" w:sz="0" w:space="0" w:color="auto"/>
                    <w:bottom w:val="none" w:sz="0" w:space="0" w:color="auto"/>
                    <w:right w:val="none" w:sz="0" w:space="0" w:color="auto"/>
                  </w:divBdr>
                  <w:divsChild>
                    <w:div w:id="854731082">
                      <w:marLeft w:val="0"/>
                      <w:marRight w:val="0"/>
                      <w:marTop w:val="0"/>
                      <w:marBottom w:val="0"/>
                      <w:divBdr>
                        <w:top w:val="none" w:sz="0" w:space="0" w:color="auto"/>
                        <w:left w:val="none" w:sz="0" w:space="0" w:color="auto"/>
                        <w:bottom w:val="none" w:sz="0" w:space="0" w:color="auto"/>
                        <w:right w:val="none" w:sz="0" w:space="0" w:color="auto"/>
                      </w:divBdr>
                    </w:div>
                  </w:divsChild>
                </w:div>
                <w:div w:id="413625515">
                  <w:marLeft w:val="0"/>
                  <w:marRight w:val="0"/>
                  <w:marTop w:val="0"/>
                  <w:marBottom w:val="0"/>
                  <w:divBdr>
                    <w:top w:val="none" w:sz="0" w:space="0" w:color="auto"/>
                    <w:left w:val="none" w:sz="0" w:space="0" w:color="auto"/>
                    <w:bottom w:val="none" w:sz="0" w:space="0" w:color="auto"/>
                    <w:right w:val="none" w:sz="0" w:space="0" w:color="auto"/>
                  </w:divBdr>
                  <w:divsChild>
                    <w:div w:id="538205825">
                      <w:marLeft w:val="0"/>
                      <w:marRight w:val="0"/>
                      <w:marTop w:val="0"/>
                      <w:marBottom w:val="0"/>
                      <w:divBdr>
                        <w:top w:val="none" w:sz="0" w:space="0" w:color="auto"/>
                        <w:left w:val="none" w:sz="0" w:space="0" w:color="auto"/>
                        <w:bottom w:val="none" w:sz="0" w:space="0" w:color="auto"/>
                        <w:right w:val="none" w:sz="0" w:space="0" w:color="auto"/>
                      </w:divBdr>
                    </w:div>
                  </w:divsChild>
                </w:div>
                <w:div w:id="515114566">
                  <w:marLeft w:val="0"/>
                  <w:marRight w:val="0"/>
                  <w:marTop w:val="0"/>
                  <w:marBottom w:val="0"/>
                  <w:divBdr>
                    <w:top w:val="none" w:sz="0" w:space="0" w:color="auto"/>
                    <w:left w:val="none" w:sz="0" w:space="0" w:color="auto"/>
                    <w:bottom w:val="none" w:sz="0" w:space="0" w:color="auto"/>
                    <w:right w:val="none" w:sz="0" w:space="0" w:color="auto"/>
                  </w:divBdr>
                  <w:divsChild>
                    <w:div w:id="1118065510">
                      <w:marLeft w:val="0"/>
                      <w:marRight w:val="0"/>
                      <w:marTop w:val="0"/>
                      <w:marBottom w:val="0"/>
                      <w:divBdr>
                        <w:top w:val="none" w:sz="0" w:space="0" w:color="auto"/>
                        <w:left w:val="none" w:sz="0" w:space="0" w:color="auto"/>
                        <w:bottom w:val="none" w:sz="0" w:space="0" w:color="auto"/>
                        <w:right w:val="none" w:sz="0" w:space="0" w:color="auto"/>
                      </w:divBdr>
                    </w:div>
                  </w:divsChild>
                </w:div>
                <w:div w:id="652366972">
                  <w:marLeft w:val="0"/>
                  <w:marRight w:val="0"/>
                  <w:marTop w:val="0"/>
                  <w:marBottom w:val="0"/>
                  <w:divBdr>
                    <w:top w:val="none" w:sz="0" w:space="0" w:color="auto"/>
                    <w:left w:val="none" w:sz="0" w:space="0" w:color="auto"/>
                    <w:bottom w:val="none" w:sz="0" w:space="0" w:color="auto"/>
                    <w:right w:val="none" w:sz="0" w:space="0" w:color="auto"/>
                  </w:divBdr>
                  <w:divsChild>
                    <w:div w:id="465007121">
                      <w:marLeft w:val="0"/>
                      <w:marRight w:val="0"/>
                      <w:marTop w:val="0"/>
                      <w:marBottom w:val="0"/>
                      <w:divBdr>
                        <w:top w:val="none" w:sz="0" w:space="0" w:color="auto"/>
                        <w:left w:val="none" w:sz="0" w:space="0" w:color="auto"/>
                        <w:bottom w:val="none" w:sz="0" w:space="0" w:color="auto"/>
                        <w:right w:val="none" w:sz="0" w:space="0" w:color="auto"/>
                      </w:divBdr>
                    </w:div>
                  </w:divsChild>
                </w:div>
                <w:div w:id="654534300">
                  <w:marLeft w:val="0"/>
                  <w:marRight w:val="0"/>
                  <w:marTop w:val="0"/>
                  <w:marBottom w:val="0"/>
                  <w:divBdr>
                    <w:top w:val="none" w:sz="0" w:space="0" w:color="auto"/>
                    <w:left w:val="none" w:sz="0" w:space="0" w:color="auto"/>
                    <w:bottom w:val="none" w:sz="0" w:space="0" w:color="auto"/>
                    <w:right w:val="none" w:sz="0" w:space="0" w:color="auto"/>
                  </w:divBdr>
                  <w:divsChild>
                    <w:div w:id="1634018711">
                      <w:marLeft w:val="0"/>
                      <w:marRight w:val="0"/>
                      <w:marTop w:val="0"/>
                      <w:marBottom w:val="0"/>
                      <w:divBdr>
                        <w:top w:val="none" w:sz="0" w:space="0" w:color="auto"/>
                        <w:left w:val="none" w:sz="0" w:space="0" w:color="auto"/>
                        <w:bottom w:val="none" w:sz="0" w:space="0" w:color="auto"/>
                        <w:right w:val="none" w:sz="0" w:space="0" w:color="auto"/>
                      </w:divBdr>
                    </w:div>
                  </w:divsChild>
                </w:div>
                <w:div w:id="674453508">
                  <w:marLeft w:val="0"/>
                  <w:marRight w:val="0"/>
                  <w:marTop w:val="0"/>
                  <w:marBottom w:val="0"/>
                  <w:divBdr>
                    <w:top w:val="none" w:sz="0" w:space="0" w:color="auto"/>
                    <w:left w:val="none" w:sz="0" w:space="0" w:color="auto"/>
                    <w:bottom w:val="none" w:sz="0" w:space="0" w:color="auto"/>
                    <w:right w:val="none" w:sz="0" w:space="0" w:color="auto"/>
                  </w:divBdr>
                  <w:divsChild>
                    <w:div w:id="1672026535">
                      <w:marLeft w:val="0"/>
                      <w:marRight w:val="0"/>
                      <w:marTop w:val="0"/>
                      <w:marBottom w:val="0"/>
                      <w:divBdr>
                        <w:top w:val="none" w:sz="0" w:space="0" w:color="auto"/>
                        <w:left w:val="none" w:sz="0" w:space="0" w:color="auto"/>
                        <w:bottom w:val="none" w:sz="0" w:space="0" w:color="auto"/>
                        <w:right w:val="none" w:sz="0" w:space="0" w:color="auto"/>
                      </w:divBdr>
                    </w:div>
                  </w:divsChild>
                </w:div>
                <w:div w:id="708459590">
                  <w:marLeft w:val="0"/>
                  <w:marRight w:val="0"/>
                  <w:marTop w:val="0"/>
                  <w:marBottom w:val="0"/>
                  <w:divBdr>
                    <w:top w:val="none" w:sz="0" w:space="0" w:color="auto"/>
                    <w:left w:val="none" w:sz="0" w:space="0" w:color="auto"/>
                    <w:bottom w:val="none" w:sz="0" w:space="0" w:color="auto"/>
                    <w:right w:val="none" w:sz="0" w:space="0" w:color="auto"/>
                  </w:divBdr>
                  <w:divsChild>
                    <w:div w:id="539318539">
                      <w:marLeft w:val="0"/>
                      <w:marRight w:val="0"/>
                      <w:marTop w:val="0"/>
                      <w:marBottom w:val="0"/>
                      <w:divBdr>
                        <w:top w:val="none" w:sz="0" w:space="0" w:color="auto"/>
                        <w:left w:val="none" w:sz="0" w:space="0" w:color="auto"/>
                        <w:bottom w:val="none" w:sz="0" w:space="0" w:color="auto"/>
                        <w:right w:val="none" w:sz="0" w:space="0" w:color="auto"/>
                      </w:divBdr>
                    </w:div>
                  </w:divsChild>
                </w:div>
                <w:div w:id="803814655">
                  <w:marLeft w:val="0"/>
                  <w:marRight w:val="0"/>
                  <w:marTop w:val="0"/>
                  <w:marBottom w:val="0"/>
                  <w:divBdr>
                    <w:top w:val="none" w:sz="0" w:space="0" w:color="auto"/>
                    <w:left w:val="none" w:sz="0" w:space="0" w:color="auto"/>
                    <w:bottom w:val="none" w:sz="0" w:space="0" w:color="auto"/>
                    <w:right w:val="none" w:sz="0" w:space="0" w:color="auto"/>
                  </w:divBdr>
                  <w:divsChild>
                    <w:div w:id="1054161532">
                      <w:marLeft w:val="0"/>
                      <w:marRight w:val="0"/>
                      <w:marTop w:val="0"/>
                      <w:marBottom w:val="0"/>
                      <w:divBdr>
                        <w:top w:val="none" w:sz="0" w:space="0" w:color="auto"/>
                        <w:left w:val="none" w:sz="0" w:space="0" w:color="auto"/>
                        <w:bottom w:val="none" w:sz="0" w:space="0" w:color="auto"/>
                        <w:right w:val="none" w:sz="0" w:space="0" w:color="auto"/>
                      </w:divBdr>
                    </w:div>
                  </w:divsChild>
                </w:div>
                <w:div w:id="831725317">
                  <w:marLeft w:val="0"/>
                  <w:marRight w:val="0"/>
                  <w:marTop w:val="0"/>
                  <w:marBottom w:val="0"/>
                  <w:divBdr>
                    <w:top w:val="none" w:sz="0" w:space="0" w:color="auto"/>
                    <w:left w:val="none" w:sz="0" w:space="0" w:color="auto"/>
                    <w:bottom w:val="none" w:sz="0" w:space="0" w:color="auto"/>
                    <w:right w:val="none" w:sz="0" w:space="0" w:color="auto"/>
                  </w:divBdr>
                  <w:divsChild>
                    <w:div w:id="1001393201">
                      <w:marLeft w:val="0"/>
                      <w:marRight w:val="0"/>
                      <w:marTop w:val="0"/>
                      <w:marBottom w:val="0"/>
                      <w:divBdr>
                        <w:top w:val="none" w:sz="0" w:space="0" w:color="auto"/>
                        <w:left w:val="none" w:sz="0" w:space="0" w:color="auto"/>
                        <w:bottom w:val="none" w:sz="0" w:space="0" w:color="auto"/>
                        <w:right w:val="none" w:sz="0" w:space="0" w:color="auto"/>
                      </w:divBdr>
                    </w:div>
                  </w:divsChild>
                </w:div>
                <w:div w:id="912859717">
                  <w:marLeft w:val="0"/>
                  <w:marRight w:val="0"/>
                  <w:marTop w:val="0"/>
                  <w:marBottom w:val="0"/>
                  <w:divBdr>
                    <w:top w:val="none" w:sz="0" w:space="0" w:color="auto"/>
                    <w:left w:val="none" w:sz="0" w:space="0" w:color="auto"/>
                    <w:bottom w:val="none" w:sz="0" w:space="0" w:color="auto"/>
                    <w:right w:val="none" w:sz="0" w:space="0" w:color="auto"/>
                  </w:divBdr>
                  <w:divsChild>
                    <w:div w:id="2037148647">
                      <w:marLeft w:val="0"/>
                      <w:marRight w:val="0"/>
                      <w:marTop w:val="0"/>
                      <w:marBottom w:val="0"/>
                      <w:divBdr>
                        <w:top w:val="none" w:sz="0" w:space="0" w:color="auto"/>
                        <w:left w:val="none" w:sz="0" w:space="0" w:color="auto"/>
                        <w:bottom w:val="none" w:sz="0" w:space="0" w:color="auto"/>
                        <w:right w:val="none" w:sz="0" w:space="0" w:color="auto"/>
                      </w:divBdr>
                    </w:div>
                  </w:divsChild>
                </w:div>
                <w:div w:id="938830379">
                  <w:marLeft w:val="0"/>
                  <w:marRight w:val="0"/>
                  <w:marTop w:val="0"/>
                  <w:marBottom w:val="0"/>
                  <w:divBdr>
                    <w:top w:val="none" w:sz="0" w:space="0" w:color="auto"/>
                    <w:left w:val="none" w:sz="0" w:space="0" w:color="auto"/>
                    <w:bottom w:val="none" w:sz="0" w:space="0" w:color="auto"/>
                    <w:right w:val="none" w:sz="0" w:space="0" w:color="auto"/>
                  </w:divBdr>
                  <w:divsChild>
                    <w:div w:id="693070880">
                      <w:marLeft w:val="0"/>
                      <w:marRight w:val="0"/>
                      <w:marTop w:val="0"/>
                      <w:marBottom w:val="0"/>
                      <w:divBdr>
                        <w:top w:val="none" w:sz="0" w:space="0" w:color="auto"/>
                        <w:left w:val="none" w:sz="0" w:space="0" w:color="auto"/>
                        <w:bottom w:val="none" w:sz="0" w:space="0" w:color="auto"/>
                        <w:right w:val="none" w:sz="0" w:space="0" w:color="auto"/>
                      </w:divBdr>
                    </w:div>
                  </w:divsChild>
                </w:div>
                <w:div w:id="1004673464">
                  <w:marLeft w:val="0"/>
                  <w:marRight w:val="0"/>
                  <w:marTop w:val="0"/>
                  <w:marBottom w:val="0"/>
                  <w:divBdr>
                    <w:top w:val="none" w:sz="0" w:space="0" w:color="auto"/>
                    <w:left w:val="none" w:sz="0" w:space="0" w:color="auto"/>
                    <w:bottom w:val="none" w:sz="0" w:space="0" w:color="auto"/>
                    <w:right w:val="none" w:sz="0" w:space="0" w:color="auto"/>
                  </w:divBdr>
                  <w:divsChild>
                    <w:div w:id="251861592">
                      <w:marLeft w:val="0"/>
                      <w:marRight w:val="0"/>
                      <w:marTop w:val="0"/>
                      <w:marBottom w:val="0"/>
                      <w:divBdr>
                        <w:top w:val="none" w:sz="0" w:space="0" w:color="auto"/>
                        <w:left w:val="none" w:sz="0" w:space="0" w:color="auto"/>
                        <w:bottom w:val="none" w:sz="0" w:space="0" w:color="auto"/>
                        <w:right w:val="none" w:sz="0" w:space="0" w:color="auto"/>
                      </w:divBdr>
                    </w:div>
                  </w:divsChild>
                </w:div>
                <w:div w:id="1059938028">
                  <w:marLeft w:val="0"/>
                  <w:marRight w:val="0"/>
                  <w:marTop w:val="0"/>
                  <w:marBottom w:val="0"/>
                  <w:divBdr>
                    <w:top w:val="none" w:sz="0" w:space="0" w:color="auto"/>
                    <w:left w:val="none" w:sz="0" w:space="0" w:color="auto"/>
                    <w:bottom w:val="none" w:sz="0" w:space="0" w:color="auto"/>
                    <w:right w:val="none" w:sz="0" w:space="0" w:color="auto"/>
                  </w:divBdr>
                  <w:divsChild>
                    <w:div w:id="675814871">
                      <w:marLeft w:val="0"/>
                      <w:marRight w:val="0"/>
                      <w:marTop w:val="0"/>
                      <w:marBottom w:val="0"/>
                      <w:divBdr>
                        <w:top w:val="none" w:sz="0" w:space="0" w:color="auto"/>
                        <w:left w:val="none" w:sz="0" w:space="0" w:color="auto"/>
                        <w:bottom w:val="none" w:sz="0" w:space="0" w:color="auto"/>
                        <w:right w:val="none" w:sz="0" w:space="0" w:color="auto"/>
                      </w:divBdr>
                    </w:div>
                  </w:divsChild>
                </w:div>
                <w:div w:id="1150026691">
                  <w:marLeft w:val="0"/>
                  <w:marRight w:val="0"/>
                  <w:marTop w:val="0"/>
                  <w:marBottom w:val="0"/>
                  <w:divBdr>
                    <w:top w:val="none" w:sz="0" w:space="0" w:color="auto"/>
                    <w:left w:val="none" w:sz="0" w:space="0" w:color="auto"/>
                    <w:bottom w:val="none" w:sz="0" w:space="0" w:color="auto"/>
                    <w:right w:val="none" w:sz="0" w:space="0" w:color="auto"/>
                  </w:divBdr>
                  <w:divsChild>
                    <w:div w:id="1360080781">
                      <w:marLeft w:val="0"/>
                      <w:marRight w:val="0"/>
                      <w:marTop w:val="0"/>
                      <w:marBottom w:val="0"/>
                      <w:divBdr>
                        <w:top w:val="none" w:sz="0" w:space="0" w:color="auto"/>
                        <w:left w:val="none" w:sz="0" w:space="0" w:color="auto"/>
                        <w:bottom w:val="none" w:sz="0" w:space="0" w:color="auto"/>
                        <w:right w:val="none" w:sz="0" w:space="0" w:color="auto"/>
                      </w:divBdr>
                    </w:div>
                  </w:divsChild>
                </w:div>
                <w:div w:id="1170559796">
                  <w:marLeft w:val="0"/>
                  <w:marRight w:val="0"/>
                  <w:marTop w:val="0"/>
                  <w:marBottom w:val="0"/>
                  <w:divBdr>
                    <w:top w:val="none" w:sz="0" w:space="0" w:color="auto"/>
                    <w:left w:val="none" w:sz="0" w:space="0" w:color="auto"/>
                    <w:bottom w:val="none" w:sz="0" w:space="0" w:color="auto"/>
                    <w:right w:val="none" w:sz="0" w:space="0" w:color="auto"/>
                  </w:divBdr>
                  <w:divsChild>
                    <w:div w:id="1886670732">
                      <w:marLeft w:val="0"/>
                      <w:marRight w:val="0"/>
                      <w:marTop w:val="0"/>
                      <w:marBottom w:val="0"/>
                      <w:divBdr>
                        <w:top w:val="none" w:sz="0" w:space="0" w:color="auto"/>
                        <w:left w:val="none" w:sz="0" w:space="0" w:color="auto"/>
                        <w:bottom w:val="none" w:sz="0" w:space="0" w:color="auto"/>
                        <w:right w:val="none" w:sz="0" w:space="0" w:color="auto"/>
                      </w:divBdr>
                    </w:div>
                  </w:divsChild>
                </w:div>
                <w:div w:id="1225599429">
                  <w:marLeft w:val="0"/>
                  <w:marRight w:val="0"/>
                  <w:marTop w:val="0"/>
                  <w:marBottom w:val="0"/>
                  <w:divBdr>
                    <w:top w:val="none" w:sz="0" w:space="0" w:color="auto"/>
                    <w:left w:val="none" w:sz="0" w:space="0" w:color="auto"/>
                    <w:bottom w:val="none" w:sz="0" w:space="0" w:color="auto"/>
                    <w:right w:val="none" w:sz="0" w:space="0" w:color="auto"/>
                  </w:divBdr>
                  <w:divsChild>
                    <w:div w:id="1666857920">
                      <w:marLeft w:val="0"/>
                      <w:marRight w:val="0"/>
                      <w:marTop w:val="0"/>
                      <w:marBottom w:val="0"/>
                      <w:divBdr>
                        <w:top w:val="none" w:sz="0" w:space="0" w:color="auto"/>
                        <w:left w:val="none" w:sz="0" w:space="0" w:color="auto"/>
                        <w:bottom w:val="none" w:sz="0" w:space="0" w:color="auto"/>
                        <w:right w:val="none" w:sz="0" w:space="0" w:color="auto"/>
                      </w:divBdr>
                    </w:div>
                  </w:divsChild>
                </w:div>
                <w:div w:id="1255670203">
                  <w:marLeft w:val="0"/>
                  <w:marRight w:val="0"/>
                  <w:marTop w:val="0"/>
                  <w:marBottom w:val="0"/>
                  <w:divBdr>
                    <w:top w:val="none" w:sz="0" w:space="0" w:color="auto"/>
                    <w:left w:val="none" w:sz="0" w:space="0" w:color="auto"/>
                    <w:bottom w:val="none" w:sz="0" w:space="0" w:color="auto"/>
                    <w:right w:val="none" w:sz="0" w:space="0" w:color="auto"/>
                  </w:divBdr>
                  <w:divsChild>
                    <w:div w:id="477108321">
                      <w:marLeft w:val="0"/>
                      <w:marRight w:val="0"/>
                      <w:marTop w:val="0"/>
                      <w:marBottom w:val="0"/>
                      <w:divBdr>
                        <w:top w:val="none" w:sz="0" w:space="0" w:color="auto"/>
                        <w:left w:val="none" w:sz="0" w:space="0" w:color="auto"/>
                        <w:bottom w:val="none" w:sz="0" w:space="0" w:color="auto"/>
                        <w:right w:val="none" w:sz="0" w:space="0" w:color="auto"/>
                      </w:divBdr>
                    </w:div>
                  </w:divsChild>
                </w:div>
                <w:div w:id="1359157981">
                  <w:marLeft w:val="0"/>
                  <w:marRight w:val="0"/>
                  <w:marTop w:val="0"/>
                  <w:marBottom w:val="0"/>
                  <w:divBdr>
                    <w:top w:val="none" w:sz="0" w:space="0" w:color="auto"/>
                    <w:left w:val="none" w:sz="0" w:space="0" w:color="auto"/>
                    <w:bottom w:val="none" w:sz="0" w:space="0" w:color="auto"/>
                    <w:right w:val="none" w:sz="0" w:space="0" w:color="auto"/>
                  </w:divBdr>
                  <w:divsChild>
                    <w:div w:id="1109739404">
                      <w:marLeft w:val="0"/>
                      <w:marRight w:val="0"/>
                      <w:marTop w:val="0"/>
                      <w:marBottom w:val="0"/>
                      <w:divBdr>
                        <w:top w:val="none" w:sz="0" w:space="0" w:color="auto"/>
                        <w:left w:val="none" w:sz="0" w:space="0" w:color="auto"/>
                        <w:bottom w:val="none" w:sz="0" w:space="0" w:color="auto"/>
                        <w:right w:val="none" w:sz="0" w:space="0" w:color="auto"/>
                      </w:divBdr>
                    </w:div>
                  </w:divsChild>
                </w:div>
                <w:div w:id="1364018933">
                  <w:marLeft w:val="0"/>
                  <w:marRight w:val="0"/>
                  <w:marTop w:val="0"/>
                  <w:marBottom w:val="0"/>
                  <w:divBdr>
                    <w:top w:val="none" w:sz="0" w:space="0" w:color="auto"/>
                    <w:left w:val="none" w:sz="0" w:space="0" w:color="auto"/>
                    <w:bottom w:val="none" w:sz="0" w:space="0" w:color="auto"/>
                    <w:right w:val="none" w:sz="0" w:space="0" w:color="auto"/>
                  </w:divBdr>
                  <w:divsChild>
                    <w:div w:id="1136722289">
                      <w:marLeft w:val="0"/>
                      <w:marRight w:val="0"/>
                      <w:marTop w:val="0"/>
                      <w:marBottom w:val="0"/>
                      <w:divBdr>
                        <w:top w:val="none" w:sz="0" w:space="0" w:color="auto"/>
                        <w:left w:val="none" w:sz="0" w:space="0" w:color="auto"/>
                        <w:bottom w:val="none" w:sz="0" w:space="0" w:color="auto"/>
                        <w:right w:val="none" w:sz="0" w:space="0" w:color="auto"/>
                      </w:divBdr>
                    </w:div>
                  </w:divsChild>
                </w:div>
                <w:div w:id="1387946186">
                  <w:marLeft w:val="0"/>
                  <w:marRight w:val="0"/>
                  <w:marTop w:val="0"/>
                  <w:marBottom w:val="0"/>
                  <w:divBdr>
                    <w:top w:val="none" w:sz="0" w:space="0" w:color="auto"/>
                    <w:left w:val="none" w:sz="0" w:space="0" w:color="auto"/>
                    <w:bottom w:val="none" w:sz="0" w:space="0" w:color="auto"/>
                    <w:right w:val="none" w:sz="0" w:space="0" w:color="auto"/>
                  </w:divBdr>
                  <w:divsChild>
                    <w:div w:id="887572427">
                      <w:marLeft w:val="0"/>
                      <w:marRight w:val="0"/>
                      <w:marTop w:val="0"/>
                      <w:marBottom w:val="0"/>
                      <w:divBdr>
                        <w:top w:val="none" w:sz="0" w:space="0" w:color="auto"/>
                        <w:left w:val="none" w:sz="0" w:space="0" w:color="auto"/>
                        <w:bottom w:val="none" w:sz="0" w:space="0" w:color="auto"/>
                        <w:right w:val="none" w:sz="0" w:space="0" w:color="auto"/>
                      </w:divBdr>
                    </w:div>
                  </w:divsChild>
                </w:div>
                <w:div w:id="1429962242">
                  <w:marLeft w:val="0"/>
                  <w:marRight w:val="0"/>
                  <w:marTop w:val="0"/>
                  <w:marBottom w:val="0"/>
                  <w:divBdr>
                    <w:top w:val="none" w:sz="0" w:space="0" w:color="auto"/>
                    <w:left w:val="none" w:sz="0" w:space="0" w:color="auto"/>
                    <w:bottom w:val="none" w:sz="0" w:space="0" w:color="auto"/>
                    <w:right w:val="none" w:sz="0" w:space="0" w:color="auto"/>
                  </w:divBdr>
                  <w:divsChild>
                    <w:div w:id="157422796">
                      <w:marLeft w:val="0"/>
                      <w:marRight w:val="0"/>
                      <w:marTop w:val="0"/>
                      <w:marBottom w:val="0"/>
                      <w:divBdr>
                        <w:top w:val="none" w:sz="0" w:space="0" w:color="auto"/>
                        <w:left w:val="none" w:sz="0" w:space="0" w:color="auto"/>
                        <w:bottom w:val="none" w:sz="0" w:space="0" w:color="auto"/>
                        <w:right w:val="none" w:sz="0" w:space="0" w:color="auto"/>
                      </w:divBdr>
                    </w:div>
                  </w:divsChild>
                </w:div>
                <w:div w:id="1532232162">
                  <w:marLeft w:val="0"/>
                  <w:marRight w:val="0"/>
                  <w:marTop w:val="0"/>
                  <w:marBottom w:val="0"/>
                  <w:divBdr>
                    <w:top w:val="none" w:sz="0" w:space="0" w:color="auto"/>
                    <w:left w:val="none" w:sz="0" w:space="0" w:color="auto"/>
                    <w:bottom w:val="none" w:sz="0" w:space="0" w:color="auto"/>
                    <w:right w:val="none" w:sz="0" w:space="0" w:color="auto"/>
                  </w:divBdr>
                  <w:divsChild>
                    <w:div w:id="496459665">
                      <w:marLeft w:val="0"/>
                      <w:marRight w:val="0"/>
                      <w:marTop w:val="0"/>
                      <w:marBottom w:val="0"/>
                      <w:divBdr>
                        <w:top w:val="none" w:sz="0" w:space="0" w:color="auto"/>
                        <w:left w:val="none" w:sz="0" w:space="0" w:color="auto"/>
                        <w:bottom w:val="none" w:sz="0" w:space="0" w:color="auto"/>
                        <w:right w:val="none" w:sz="0" w:space="0" w:color="auto"/>
                      </w:divBdr>
                    </w:div>
                  </w:divsChild>
                </w:div>
                <w:div w:id="1548486893">
                  <w:marLeft w:val="0"/>
                  <w:marRight w:val="0"/>
                  <w:marTop w:val="0"/>
                  <w:marBottom w:val="0"/>
                  <w:divBdr>
                    <w:top w:val="none" w:sz="0" w:space="0" w:color="auto"/>
                    <w:left w:val="none" w:sz="0" w:space="0" w:color="auto"/>
                    <w:bottom w:val="none" w:sz="0" w:space="0" w:color="auto"/>
                    <w:right w:val="none" w:sz="0" w:space="0" w:color="auto"/>
                  </w:divBdr>
                  <w:divsChild>
                    <w:div w:id="1158229228">
                      <w:marLeft w:val="0"/>
                      <w:marRight w:val="0"/>
                      <w:marTop w:val="0"/>
                      <w:marBottom w:val="0"/>
                      <w:divBdr>
                        <w:top w:val="none" w:sz="0" w:space="0" w:color="auto"/>
                        <w:left w:val="none" w:sz="0" w:space="0" w:color="auto"/>
                        <w:bottom w:val="none" w:sz="0" w:space="0" w:color="auto"/>
                        <w:right w:val="none" w:sz="0" w:space="0" w:color="auto"/>
                      </w:divBdr>
                    </w:div>
                  </w:divsChild>
                </w:div>
                <w:div w:id="1663044283">
                  <w:marLeft w:val="0"/>
                  <w:marRight w:val="0"/>
                  <w:marTop w:val="0"/>
                  <w:marBottom w:val="0"/>
                  <w:divBdr>
                    <w:top w:val="none" w:sz="0" w:space="0" w:color="auto"/>
                    <w:left w:val="none" w:sz="0" w:space="0" w:color="auto"/>
                    <w:bottom w:val="none" w:sz="0" w:space="0" w:color="auto"/>
                    <w:right w:val="none" w:sz="0" w:space="0" w:color="auto"/>
                  </w:divBdr>
                  <w:divsChild>
                    <w:div w:id="877162920">
                      <w:marLeft w:val="0"/>
                      <w:marRight w:val="0"/>
                      <w:marTop w:val="0"/>
                      <w:marBottom w:val="0"/>
                      <w:divBdr>
                        <w:top w:val="none" w:sz="0" w:space="0" w:color="auto"/>
                        <w:left w:val="none" w:sz="0" w:space="0" w:color="auto"/>
                        <w:bottom w:val="none" w:sz="0" w:space="0" w:color="auto"/>
                        <w:right w:val="none" w:sz="0" w:space="0" w:color="auto"/>
                      </w:divBdr>
                    </w:div>
                  </w:divsChild>
                </w:div>
                <w:div w:id="1672370563">
                  <w:marLeft w:val="0"/>
                  <w:marRight w:val="0"/>
                  <w:marTop w:val="0"/>
                  <w:marBottom w:val="0"/>
                  <w:divBdr>
                    <w:top w:val="none" w:sz="0" w:space="0" w:color="auto"/>
                    <w:left w:val="none" w:sz="0" w:space="0" w:color="auto"/>
                    <w:bottom w:val="none" w:sz="0" w:space="0" w:color="auto"/>
                    <w:right w:val="none" w:sz="0" w:space="0" w:color="auto"/>
                  </w:divBdr>
                  <w:divsChild>
                    <w:div w:id="1163550142">
                      <w:marLeft w:val="0"/>
                      <w:marRight w:val="0"/>
                      <w:marTop w:val="0"/>
                      <w:marBottom w:val="0"/>
                      <w:divBdr>
                        <w:top w:val="none" w:sz="0" w:space="0" w:color="auto"/>
                        <w:left w:val="none" w:sz="0" w:space="0" w:color="auto"/>
                        <w:bottom w:val="none" w:sz="0" w:space="0" w:color="auto"/>
                        <w:right w:val="none" w:sz="0" w:space="0" w:color="auto"/>
                      </w:divBdr>
                    </w:div>
                  </w:divsChild>
                </w:div>
                <w:div w:id="1751003404">
                  <w:marLeft w:val="0"/>
                  <w:marRight w:val="0"/>
                  <w:marTop w:val="0"/>
                  <w:marBottom w:val="0"/>
                  <w:divBdr>
                    <w:top w:val="none" w:sz="0" w:space="0" w:color="auto"/>
                    <w:left w:val="none" w:sz="0" w:space="0" w:color="auto"/>
                    <w:bottom w:val="none" w:sz="0" w:space="0" w:color="auto"/>
                    <w:right w:val="none" w:sz="0" w:space="0" w:color="auto"/>
                  </w:divBdr>
                  <w:divsChild>
                    <w:div w:id="1772817748">
                      <w:marLeft w:val="0"/>
                      <w:marRight w:val="0"/>
                      <w:marTop w:val="0"/>
                      <w:marBottom w:val="0"/>
                      <w:divBdr>
                        <w:top w:val="none" w:sz="0" w:space="0" w:color="auto"/>
                        <w:left w:val="none" w:sz="0" w:space="0" w:color="auto"/>
                        <w:bottom w:val="none" w:sz="0" w:space="0" w:color="auto"/>
                        <w:right w:val="none" w:sz="0" w:space="0" w:color="auto"/>
                      </w:divBdr>
                    </w:div>
                  </w:divsChild>
                </w:div>
                <w:div w:id="1794396057">
                  <w:marLeft w:val="0"/>
                  <w:marRight w:val="0"/>
                  <w:marTop w:val="0"/>
                  <w:marBottom w:val="0"/>
                  <w:divBdr>
                    <w:top w:val="none" w:sz="0" w:space="0" w:color="auto"/>
                    <w:left w:val="none" w:sz="0" w:space="0" w:color="auto"/>
                    <w:bottom w:val="none" w:sz="0" w:space="0" w:color="auto"/>
                    <w:right w:val="none" w:sz="0" w:space="0" w:color="auto"/>
                  </w:divBdr>
                  <w:divsChild>
                    <w:div w:id="1875345340">
                      <w:marLeft w:val="0"/>
                      <w:marRight w:val="0"/>
                      <w:marTop w:val="0"/>
                      <w:marBottom w:val="0"/>
                      <w:divBdr>
                        <w:top w:val="none" w:sz="0" w:space="0" w:color="auto"/>
                        <w:left w:val="none" w:sz="0" w:space="0" w:color="auto"/>
                        <w:bottom w:val="none" w:sz="0" w:space="0" w:color="auto"/>
                        <w:right w:val="none" w:sz="0" w:space="0" w:color="auto"/>
                      </w:divBdr>
                    </w:div>
                  </w:divsChild>
                </w:div>
                <w:div w:id="1842743111">
                  <w:marLeft w:val="0"/>
                  <w:marRight w:val="0"/>
                  <w:marTop w:val="0"/>
                  <w:marBottom w:val="0"/>
                  <w:divBdr>
                    <w:top w:val="none" w:sz="0" w:space="0" w:color="auto"/>
                    <w:left w:val="none" w:sz="0" w:space="0" w:color="auto"/>
                    <w:bottom w:val="none" w:sz="0" w:space="0" w:color="auto"/>
                    <w:right w:val="none" w:sz="0" w:space="0" w:color="auto"/>
                  </w:divBdr>
                  <w:divsChild>
                    <w:div w:id="394358781">
                      <w:marLeft w:val="0"/>
                      <w:marRight w:val="0"/>
                      <w:marTop w:val="0"/>
                      <w:marBottom w:val="0"/>
                      <w:divBdr>
                        <w:top w:val="none" w:sz="0" w:space="0" w:color="auto"/>
                        <w:left w:val="none" w:sz="0" w:space="0" w:color="auto"/>
                        <w:bottom w:val="none" w:sz="0" w:space="0" w:color="auto"/>
                        <w:right w:val="none" w:sz="0" w:space="0" w:color="auto"/>
                      </w:divBdr>
                    </w:div>
                  </w:divsChild>
                </w:div>
                <w:div w:id="1969310972">
                  <w:marLeft w:val="0"/>
                  <w:marRight w:val="0"/>
                  <w:marTop w:val="0"/>
                  <w:marBottom w:val="0"/>
                  <w:divBdr>
                    <w:top w:val="none" w:sz="0" w:space="0" w:color="auto"/>
                    <w:left w:val="none" w:sz="0" w:space="0" w:color="auto"/>
                    <w:bottom w:val="none" w:sz="0" w:space="0" w:color="auto"/>
                    <w:right w:val="none" w:sz="0" w:space="0" w:color="auto"/>
                  </w:divBdr>
                  <w:divsChild>
                    <w:div w:id="1066535596">
                      <w:marLeft w:val="0"/>
                      <w:marRight w:val="0"/>
                      <w:marTop w:val="0"/>
                      <w:marBottom w:val="0"/>
                      <w:divBdr>
                        <w:top w:val="none" w:sz="0" w:space="0" w:color="auto"/>
                        <w:left w:val="none" w:sz="0" w:space="0" w:color="auto"/>
                        <w:bottom w:val="none" w:sz="0" w:space="0" w:color="auto"/>
                        <w:right w:val="none" w:sz="0" w:space="0" w:color="auto"/>
                      </w:divBdr>
                    </w:div>
                  </w:divsChild>
                </w:div>
                <w:div w:id="2051569845">
                  <w:marLeft w:val="0"/>
                  <w:marRight w:val="0"/>
                  <w:marTop w:val="0"/>
                  <w:marBottom w:val="0"/>
                  <w:divBdr>
                    <w:top w:val="none" w:sz="0" w:space="0" w:color="auto"/>
                    <w:left w:val="none" w:sz="0" w:space="0" w:color="auto"/>
                    <w:bottom w:val="none" w:sz="0" w:space="0" w:color="auto"/>
                    <w:right w:val="none" w:sz="0" w:space="0" w:color="auto"/>
                  </w:divBdr>
                  <w:divsChild>
                    <w:div w:id="523785262">
                      <w:marLeft w:val="0"/>
                      <w:marRight w:val="0"/>
                      <w:marTop w:val="0"/>
                      <w:marBottom w:val="0"/>
                      <w:divBdr>
                        <w:top w:val="none" w:sz="0" w:space="0" w:color="auto"/>
                        <w:left w:val="none" w:sz="0" w:space="0" w:color="auto"/>
                        <w:bottom w:val="none" w:sz="0" w:space="0" w:color="auto"/>
                        <w:right w:val="none" w:sz="0" w:space="0" w:color="auto"/>
                      </w:divBdr>
                    </w:div>
                  </w:divsChild>
                </w:div>
                <w:div w:id="2054890374">
                  <w:marLeft w:val="0"/>
                  <w:marRight w:val="0"/>
                  <w:marTop w:val="0"/>
                  <w:marBottom w:val="0"/>
                  <w:divBdr>
                    <w:top w:val="none" w:sz="0" w:space="0" w:color="auto"/>
                    <w:left w:val="none" w:sz="0" w:space="0" w:color="auto"/>
                    <w:bottom w:val="none" w:sz="0" w:space="0" w:color="auto"/>
                    <w:right w:val="none" w:sz="0" w:space="0" w:color="auto"/>
                  </w:divBdr>
                  <w:divsChild>
                    <w:div w:id="230039734">
                      <w:marLeft w:val="0"/>
                      <w:marRight w:val="0"/>
                      <w:marTop w:val="0"/>
                      <w:marBottom w:val="0"/>
                      <w:divBdr>
                        <w:top w:val="none" w:sz="0" w:space="0" w:color="auto"/>
                        <w:left w:val="none" w:sz="0" w:space="0" w:color="auto"/>
                        <w:bottom w:val="none" w:sz="0" w:space="0" w:color="auto"/>
                        <w:right w:val="none" w:sz="0" w:space="0" w:color="auto"/>
                      </w:divBdr>
                    </w:div>
                  </w:divsChild>
                </w:div>
                <w:div w:id="2113667894">
                  <w:marLeft w:val="0"/>
                  <w:marRight w:val="0"/>
                  <w:marTop w:val="0"/>
                  <w:marBottom w:val="0"/>
                  <w:divBdr>
                    <w:top w:val="none" w:sz="0" w:space="0" w:color="auto"/>
                    <w:left w:val="none" w:sz="0" w:space="0" w:color="auto"/>
                    <w:bottom w:val="none" w:sz="0" w:space="0" w:color="auto"/>
                    <w:right w:val="none" w:sz="0" w:space="0" w:color="auto"/>
                  </w:divBdr>
                  <w:divsChild>
                    <w:div w:id="197259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918">
          <w:marLeft w:val="0"/>
          <w:marRight w:val="0"/>
          <w:marTop w:val="0"/>
          <w:marBottom w:val="0"/>
          <w:divBdr>
            <w:top w:val="none" w:sz="0" w:space="0" w:color="auto"/>
            <w:left w:val="none" w:sz="0" w:space="0" w:color="auto"/>
            <w:bottom w:val="none" w:sz="0" w:space="0" w:color="auto"/>
            <w:right w:val="none" w:sz="0" w:space="0" w:color="auto"/>
          </w:divBdr>
        </w:div>
        <w:div w:id="862866283">
          <w:marLeft w:val="0"/>
          <w:marRight w:val="0"/>
          <w:marTop w:val="0"/>
          <w:marBottom w:val="0"/>
          <w:divBdr>
            <w:top w:val="none" w:sz="0" w:space="0" w:color="auto"/>
            <w:left w:val="none" w:sz="0" w:space="0" w:color="auto"/>
            <w:bottom w:val="none" w:sz="0" w:space="0" w:color="auto"/>
            <w:right w:val="none" w:sz="0" w:space="0" w:color="auto"/>
          </w:divBdr>
        </w:div>
        <w:div w:id="933514567">
          <w:marLeft w:val="0"/>
          <w:marRight w:val="0"/>
          <w:marTop w:val="0"/>
          <w:marBottom w:val="0"/>
          <w:divBdr>
            <w:top w:val="none" w:sz="0" w:space="0" w:color="auto"/>
            <w:left w:val="none" w:sz="0" w:space="0" w:color="auto"/>
            <w:bottom w:val="none" w:sz="0" w:space="0" w:color="auto"/>
            <w:right w:val="none" w:sz="0" w:space="0" w:color="auto"/>
          </w:divBdr>
        </w:div>
        <w:div w:id="968635122">
          <w:marLeft w:val="0"/>
          <w:marRight w:val="0"/>
          <w:marTop w:val="0"/>
          <w:marBottom w:val="0"/>
          <w:divBdr>
            <w:top w:val="none" w:sz="0" w:space="0" w:color="auto"/>
            <w:left w:val="none" w:sz="0" w:space="0" w:color="auto"/>
            <w:bottom w:val="none" w:sz="0" w:space="0" w:color="auto"/>
            <w:right w:val="none" w:sz="0" w:space="0" w:color="auto"/>
          </w:divBdr>
        </w:div>
        <w:div w:id="976109004">
          <w:marLeft w:val="0"/>
          <w:marRight w:val="0"/>
          <w:marTop w:val="0"/>
          <w:marBottom w:val="0"/>
          <w:divBdr>
            <w:top w:val="none" w:sz="0" w:space="0" w:color="auto"/>
            <w:left w:val="none" w:sz="0" w:space="0" w:color="auto"/>
            <w:bottom w:val="none" w:sz="0" w:space="0" w:color="auto"/>
            <w:right w:val="none" w:sz="0" w:space="0" w:color="auto"/>
          </w:divBdr>
        </w:div>
        <w:div w:id="986740139">
          <w:marLeft w:val="0"/>
          <w:marRight w:val="0"/>
          <w:marTop w:val="0"/>
          <w:marBottom w:val="0"/>
          <w:divBdr>
            <w:top w:val="none" w:sz="0" w:space="0" w:color="auto"/>
            <w:left w:val="none" w:sz="0" w:space="0" w:color="auto"/>
            <w:bottom w:val="none" w:sz="0" w:space="0" w:color="auto"/>
            <w:right w:val="none" w:sz="0" w:space="0" w:color="auto"/>
          </w:divBdr>
        </w:div>
        <w:div w:id="1035272638">
          <w:marLeft w:val="0"/>
          <w:marRight w:val="0"/>
          <w:marTop w:val="0"/>
          <w:marBottom w:val="0"/>
          <w:divBdr>
            <w:top w:val="none" w:sz="0" w:space="0" w:color="auto"/>
            <w:left w:val="none" w:sz="0" w:space="0" w:color="auto"/>
            <w:bottom w:val="none" w:sz="0" w:space="0" w:color="auto"/>
            <w:right w:val="none" w:sz="0" w:space="0" w:color="auto"/>
          </w:divBdr>
        </w:div>
        <w:div w:id="1041787089">
          <w:marLeft w:val="0"/>
          <w:marRight w:val="0"/>
          <w:marTop w:val="0"/>
          <w:marBottom w:val="0"/>
          <w:divBdr>
            <w:top w:val="none" w:sz="0" w:space="0" w:color="auto"/>
            <w:left w:val="none" w:sz="0" w:space="0" w:color="auto"/>
            <w:bottom w:val="none" w:sz="0" w:space="0" w:color="auto"/>
            <w:right w:val="none" w:sz="0" w:space="0" w:color="auto"/>
          </w:divBdr>
        </w:div>
        <w:div w:id="1069422746">
          <w:marLeft w:val="0"/>
          <w:marRight w:val="0"/>
          <w:marTop w:val="0"/>
          <w:marBottom w:val="0"/>
          <w:divBdr>
            <w:top w:val="none" w:sz="0" w:space="0" w:color="auto"/>
            <w:left w:val="none" w:sz="0" w:space="0" w:color="auto"/>
            <w:bottom w:val="none" w:sz="0" w:space="0" w:color="auto"/>
            <w:right w:val="none" w:sz="0" w:space="0" w:color="auto"/>
          </w:divBdr>
        </w:div>
        <w:div w:id="1094859807">
          <w:marLeft w:val="0"/>
          <w:marRight w:val="0"/>
          <w:marTop w:val="0"/>
          <w:marBottom w:val="0"/>
          <w:divBdr>
            <w:top w:val="none" w:sz="0" w:space="0" w:color="auto"/>
            <w:left w:val="none" w:sz="0" w:space="0" w:color="auto"/>
            <w:bottom w:val="none" w:sz="0" w:space="0" w:color="auto"/>
            <w:right w:val="none" w:sz="0" w:space="0" w:color="auto"/>
          </w:divBdr>
        </w:div>
        <w:div w:id="1099907172">
          <w:marLeft w:val="0"/>
          <w:marRight w:val="0"/>
          <w:marTop w:val="0"/>
          <w:marBottom w:val="0"/>
          <w:divBdr>
            <w:top w:val="none" w:sz="0" w:space="0" w:color="auto"/>
            <w:left w:val="none" w:sz="0" w:space="0" w:color="auto"/>
            <w:bottom w:val="none" w:sz="0" w:space="0" w:color="auto"/>
            <w:right w:val="none" w:sz="0" w:space="0" w:color="auto"/>
          </w:divBdr>
        </w:div>
        <w:div w:id="1104498639">
          <w:marLeft w:val="0"/>
          <w:marRight w:val="0"/>
          <w:marTop w:val="0"/>
          <w:marBottom w:val="0"/>
          <w:divBdr>
            <w:top w:val="none" w:sz="0" w:space="0" w:color="auto"/>
            <w:left w:val="none" w:sz="0" w:space="0" w:color="auto"/>
            <w:bottom w:val="none" w:sz="0" w:space="0" w:color="auto"/>
            <w:right w:val="none" w:sz="0" w:space="0" w:color="auto"/>
          </w:divBdr>
        </w:div>
        <w:div w:id="1125777993">
          <w:marLeft w:val="0"/>
          <w:marRight w:val="0"/>
          <w:marTop w:val="0"/>
          <w:marBottom w:val="0"/>
          <w:divBdr>
            <w:top w:val="none" w:sz="0" w:space="0" w:color="auto"/>
            <w:left w:val="none" w:sz="0" w:space="0" w:color="auto"/>
            <w:bottom w:val="none" w:sz="0" w:space="0" w:color="auto"/>
            <w:right w:val="none" w:sz="0" w:space="0" w:color="auto"/>
          </w:divBdr>
        </w:div>
        <w:div w:id="1136290813">
          <w:marLeft w:val="0"/>
          <w:marRight w:val="0"/>
          <w:marTop w:val="0"/>
          <w:marBottom w:val="0"/>
          <w:divBdr>
            <w:top w:val="none" w:sz="0" w:space="0" w:color="auto"/>
            <w:left w:val="none" w:sz="0" w:space="0" w:color="auto"/>
            <w:bottom w:val="none" w:sz="0" w:space="0" w:color="auto"/>
            <w:right w:val="none" w:sz="0" w:space="0" w:color="auto"/>
          </w:divBdr>
        </w:div>
        <w:div w:id="1180434852">
          <w:marLeft w:val="0"/>
          <w:marRight w:val="0"/>
          <w:marTop w:val="0"/>
          <w:marBottom w:val="0"/>
          <w:divBdr>
            <w:top w:val="none" w:sz="0" w:space="0" w:color="auto"/>
            <w:left w:val="none" w:sz="0" w:space="0" w:color="auto"/>
            <w:bottom w:val="none" w:sz="0" w:space="0" w:color="auto"/>
            <w:right w:val="none" w:sz="0" w:space="0" w:color="auto"/>
          </w:divBdr>
        </w:div>
        <w:div w:id="1180698616">
          <w:marLeft w:val="0"/>
          <w:marRight w:val="0"/>
          <w:marTop w:val="0"/>
          <w:marBottom w:val="0"/>
          <w:divBdr>
            <w:top w:val="none" w:sz="0" w:space="0" w:color="auto"/>
            <w:left w:val="none" w:sz="0" w:space="0" w:color="auto"/>
            <w:bottom w:val="none" w:sz="0" w:space="0" w:color="auto"/>
            <w:right w:val="none" w:sz="0" w:space="0" w:color="auto"/>
          </w:divBdr>
        </w:div>
        <w:div w:id="1189098051">
          <w:marLeft w:val="0"/>
          <w:marRight w:val="0"/>
          <w:marTop w:val="0"/>
          <w:marBottom w:val="0"/>
          <w:divBdr>
            <w:top w:val="none" w:sz="0" w:space="0" w:color="auto"/>
            <w:left w:val="none" w:sz="0" w:space="0" w:color="auto"/>
            <w:bottom w:val="none" w:sz="0" w:space="0" w:color="auto"/>
            <w:right w:val="none" w:sz="0" w:space="0" w:color="auto"/>
          </w:divBdr>
        </w:div>
        <w:div w:id="1195994455">
          <w:marLeft w:val="0"/>
          <w:marRight w:val="0"/>
          <w:marTop w:val="0"/>
          <w:marBottom w:val="0"/>
          <w:divBdr>
            <w:top w:val="none" w:sz="0" w:space="0" w:color="auto"/>
            <w:left w:val="none" w:sz="0" w:space="0" w:color="auto"/>
            <w:bottom w:val="none" w:sz="0" w:space="0" w:color="auto"/>
            <w:right w:val="none" w:sz="0" w:space="0" w:color="auto"/>
          </w:divBdr>
        </w:div>
        <w:div w:id="1232159553">
          <w:marLeft w:val="0"/>
          <w:marRight w:val="0"/>
          <w:marTop w:val="0"/>
          <w:marBottom w:val="0"/>
          <w:divBdr>
            <w:top w:val="none" w:sz="0" w:space="0" w:color="auto"/>
            <w:left w:val="none" w:sz="0" w:space="0" w:color="auto"/>
            <w:bottom w:val="none" w:sz="0" w:space="0" w:color="auto"/>
            <w:right w:val="none" w:sz="0" w:space="0" w:color="auto"/>
          </w:divBdr>
        </w:div>
        <w:div w:id="1294020501">
          <w:marLeft w:val="0"/>
          <w:marRight w:val="0"/>
          <w:marTop w:val="0"/>
          <w:marBottom w:val="0"/>
          <w:divBdr>
            <w:top w:val="none" w:sz="0" w:space="0" w:color="auto"/>
            <w:left w:val="none" w:sz="0" w:space="0" w:color="auto"/>
            <w:bottom w:val="none" w:sz="0" w:space="0" w:color="auto"/>
            <w:right w:val="none" w:sz="0" w:space="0" w:color="auto"/>
          </w:divBdr>
        </w:div>
        <w:div w:id="1303578671">
          <w:marLeft w:val="0"/>
          <w:marRight w:val="0"/>
          <w:marTop w:val="0"/>
          <w:marBottom w:val="0"/>
          <w:divBdr>
            <w:top w:val="none" w:sz="0" w:space="0" w:color="auto"/>
            <w:left w:val="none" w:sz="0" w:space="0" w:color="auto"/>
            <w:bottom w:val="none" w:sz="0" w:space="0" w:color="auto"/>
            <w:right w:val="none" w:sz="0" w:space="0" w:color="auto"/>
          </w:divBdr>
        </w:div>
        <w:div w:id="1365978461">
          <w:marLeft w:val="0"/>
          <w:marRight w:val="0"/>
          <w:marTop w:val="0"/>
          <w:marBottom w:val="0"/>
          <w:divBdr>
            <w:top w:val="none" w:sz="0" w:space="0" w:color="auto"/>
            <w:left w:val="none" w:sz="0" w:space="0" w:color="auto"/>
            <w:bottom w:val="none" w:sz="0" w:space="0" w:color="auto"/>
            <w:right w:val="none" w:sz="0" w:space="0" w:color="auto"/>
          </w:divBdr>
        </w:div>
        <w:div w:id="1368986686">
          <w:marLeft w:val="0"/>
          <w:marRight w:val="0"/>
          <w:marTop w:val="0"/>
          <w:marBottom w:val="0"/>
          <w:divBdr>
            <w:top w:val="none" w:sz="0" w:space="0" w:color="auto"/>
            <w:left w:val="none" w:sz="0" w:space="0" w:color="auto"/>
            <w:bottom w:val="none" w:sz="0" w:space="0" w:color="auto"/>
            <w:right w:val="none" w:sz="0" w:space="0" w:color="auto"/>
          </w:divBdr>
        </w:div>
        <w:div w:id="1373731508">
          <w:marLeft w:val="0"/>
          <w:marRight w:val="0"/>
          <w:marTop w:val="0"/>
          <w:marBottom w:val="0"/>
          <w:divBdr>
            <w:top w:val="none" w:sz="0" w:space="0" w:color="auto"/>
            <w:left w:val="none" w:sz="0" w:space="0" w:color="auto"/>
            <w:bottom w:val="none" w:sz="0" w:space="0" w:color="auto"/>
            <w:right w:val="none" w:sz="0" w:space="0" w:color="auto"/>
          </w:divBdr>
        </w:div>
        <w:div w:id="1374697423">
          <w:marLeft w:val="0"/>
          <w:marRight w:val="0"/>
          <w:marTop w:val="0"/>
          <w:marBottom w:val="0"/>
          <w:divBdr>
            <w:top w:val="none" w:sz="0" w:space="0" w:color="auto"/>
            <w:left w:val="none" w:sz="0" w:space="0" w:color="auto"/>
            <w:bottom w:val="none" w:sz="0" w:space="0" w:color="auto"/>
            <w:right w:val="none" w:sz="0" w:space="0" w:color="auto"/>
          </w:divBdr>
        </w:div>
        <w:div w:id="1426269103">
          <w:marLeft w:val="0"/>
          <w:marRight w:val="0"/>
          <w:marTop w:val="0"/>
          <w:marBottom w:val="0"/>
          <w:divBdr>
            <w:top w:val="none" w:sz="0" w:space="0" w:color="auto"/>
            <w:left w:val="none" w:sz="0" w:space="0" w:color="auto"/>
            <w:bottom w:val="none" w:sz="0" w:space="0" w:color="auto"/>
            <w:right w:val="none" w:sz="0" w:space="0" w:color="auto"/>
          </w:divBdr>
        </w:div>
        <w:div w:id="1504853206">
          <w:marLeft w:val="0"/>
          <w:marRight w:val="0"/>
          <w:marTop w:val="0"/>
          <w:marBottom w:val="0"/>
          <w:divBdr>
            <w:top w:val="none" w:sz="0" w:space="0" w:color="auto"/>
            <w:left w:val="none" w:sz="0" w:space="0" w:color="auto"/>
            <w:bottom w:val="none" w:sz="0" w:space="0" w:color="auto"/>
            <w:right w:val="none" w:sz="0" w:space="0" w:color="auto"/>
          </w:divBdr>
        </w:div>
        <w:div w:id="1513295769">
          <w:marLeft w:val="0"/>
          <w:marRight w:val="0"/>
          <w:marTop w:val="0"/>
          <w:marBottom w:val="0"/>
          <w:divBdr>
            <w:top w:val="none" w:sz="0" w:space="0" w:color="auto"/>
            <w:left w:val="none" w:sz="0" w:space="0" w:color="auto"/>
            <w:bottom w:val="none" w:sz="0" w:space="0" w:color="auto"/>
            <w:right w:val="none" w:sz="0" w:space="0" w:color="auto"/>
          </w:divBdr>
        </w:div>
        <w:div w:id="1526600183">
          <w:marLeft w:val="0"/>
          <w:marRight w:val="0"/>
          <w:marTop w:val="0"/>
          <w:marBottom w:val="0"/>
          <w:divBdr>
            <w:top w:val="none" w:sz="0" w:space="0" w:color="auto"/>
            <w:left w:val="none" w:sz="0" w:space="0" w:color="auto"/>
            <w:bottom w:val="none" w:sz="0" w:space="0" w:color="auto"/>
            <w:right w:val="none" w:sz="0" w:space="0" w:color="auto"/>
          </w:divBdr>
        </w:div>
        <w:div w:id="1565290018">
          <w:marLeft w:val="0"/>
          <w:marRight w:val="0"/>
          <w:marTop w:val="0"/>
          <w:marBottom w:val="0"/>
          <w:divBdr>
            <w:top w:val="none" w:sz="0" w:space="0" w:color="auto"/>
            <w:left w:val="none" w:sz="0" w:space="0" w:color="auto"/>
            <w:bottom w:val="none" w:sz="0" w:space="0" w:color="auto"/>
            <w:right w:val="none" w:sz="0" w:space="0" w:color="auto"/>
          </w:divBdr>
        </w:div>
        <w:div w:id="1570647612">
          <w:marLeft w:val="0"/>
          <w:marRight w:val="0"/>
          <w:marTop w:val="0"/>
          <w:marBottom w:val="0"/>
          <w:divBdr>
            <w:top w:val="none" w:sz="0" w:space="0" w:color="auto"/>
            <w:left w:val="none" w:sz="0" w:space="0" w:color="auto"/>
            <w:bottom w:val="none" w:sz="0" w:space="0" w:color="auto"/>
            <w:right w:val="none" w:sz="0" w:space="0" w:color="auto"/>
          </w:divBdr>
        </w:div>
        <w:div w:id="1609696403">
          <w:marLeft w:val="0"/>
          <w:marRight w:val="0"/>
          <w:marTop w:val="0"/>
          <w:marBottom w:val="0"/>
          <w:divBdr>
            <w:top w:val="none" w:sz="0" w:space="0" w:color="auto"/>
            <w:left w:val="none" w:sz="0" w:space="0" w:color="auto"/>
            <w:bottom w:val="none" w:sz="0" w:space="0" w:color="auto"/>
            <w:right w:val="none" w:sz="0" w:space="0" w:color="auto"/>
          </w:divBdr>
        </w:div>
        <w:div w:id="1656689987">
          <w:marLeft w:val="0"/>
          <w:marRight w:val="0"/>
          <w:marTop w:val="0"/>
          <w:marBottom w:val="0"/>
          <w:divBdr>
            <w:top w:val="none" w:sz="0" w:space="0" w:color="auto"/>
            <w:left w:val="none" w:sz="0" w:space="0" w:color="auto"/>
            <w:bottom w:val="none" w:sz="0" w:space="0" w:color="auto"/>
            <w:right w:val="none" w:sz="0" w:space="0" w:color="auto"/>
          </w:divBdr>
        </w:div>
        <w:div w:id="1744985233">
          <w:marLeft w:val="0"/>
          <w:marRight w:val="0"/>
          <w:marTop w:val="0"/>
          <w:marBottom w:val="0"/>
          <w:divBdr>
            <w:top w:val="none" w:sz="0" w:space="0" w:color="auto"/>
            <w:left w:val="none" w:sz="0" w:space="0" w:color="auto"/>
            <w:bottom w:val="none" w:sz="0" w:space="0" w:color="auto"/>
            <w:right w:val="none" w:sz="0" w:space="0" w:color="auto"/>
          </w:divBdr>
        </w:div>
        <w:div w:id="1747412846">
          <w:marLeft w:val="0"/>
          <w:marRight w:val="0"/>
          <w:marTop w:val="0"/>
          <w:marBottom w:val="0"/>
          <w:divBdr>
            <w:top w:val="none" w:sz="0" w:space="0" w:color="auto"/>
            <w:left w:val="none" w:sz="0" w:space="0" w:color="auto"/>
            <w:bottom w:val="none" w:sz="0" w:space="0" w:color="auto"/>
            <w:right w:val="none" w:sz="0" w:space="0" w:color="auto"/>
          </w:divBdr>
        </w:div>
        <w:div w:id="1748844561">
          <w:marLeft w:val="0"/>
          <w:marRight w:val="0"/>
          <w:marTop w:val="0"/>
          <w:marBottom w:val="0"/>
          <w:divBdr>
            <w:top w:val="none" w:sz="0" w:space="0" w:color="auto"/>
            <w:left w:val="none" w:sz="0" w:space="0" w:color="auto"/>
            <w:bottom w:val="none" w:sz="0" w:space="0" w:color="auto"/>
            <w:right w:val="none" w:sz="0" w:space="0" w:color="auto"/>
          </w:divBdr>
        </w:div>
        <w:div w:id="1756899439">
          <w:marLeft w:val="0"/>
          <w:marRight w:val="0"/>
          <w:marTop w:val="0"/>
          <w:marBottom w:val="0"/>
          <w:divBdr>
            <w:top w:val="none" w:sz="0" w:space="0" w:color="auto"/>
            <w:left w:val="none" w:sz="0" w:space="0" w:color="auto"/>
            <w:bottom w:val="none" w:sz="0" w:space="0" w:color="auto"/>
            <w:right w:val="none" w:sz="0" w:space="0" w:color="auto"/>
          </w:divBdr>
        </w:div>
        <w:div w:id="1785493306">
          <w:marLeft w:val="0"/>
          <w:marRight w:val="0"/>
          <w:marTop w:val="0"/>
          <w:marBottom w:val="0"/>
          <w:divBdr>
            <w:top w:val="none" w:sz="0" w:space="0" w:color="auto"/>
            <w:left w:val="none" w:sz="0" w:space="0" w:color="auto"/>
            <w:bottom w:val="none" w:sz="0" w:space="0" w:color="auto"/>
            <w:right w:val="none" w:sz="0" w:space="0" w:color="auto"/>
          </w:divBdr>
        </w:div>
        <w:div w:id="1800030108">
          <w:marLeft w:val="0"/>
          <w:marRight w:val="0"/>
          <w:marTop w:val="0"/>
          <w:marBottom w:val="0"/>
          <w:divBdr>
            <w:top w:val="none" w:sz="0" w:space="0" w:color="auto"/>
            <w:left w:val="none" w:sz="0" w:space="0" w:color="auto"/>
            <w:bottom w:val="none" w:sz="0" w:space="0" w:color="auto"/>
            <w:right w:val="none" w:sz="0" w:space="0" w:color="auto"/>
          </w:divBdr>
        </w:div>
        <w:div w:id="1825855907">
          <w:marLeft w:val="0"/>
          <w:marRight w:val="0"/>
          <w:marTop w:val="0"/>
          <w:marBottom w:val="0"/>
          <w:divBdr>
            <w:top w:val="none" w:sz="0" w:space="0" w:color="auto"/>
            <w:left w:val="none" w:sz="0" w:space="0" w:color="auto"/>
            <w:bottom w:val="none" w:sz="0" w:space="0" w:color="auto"/>
            <w:right w:val="none" w:sz="0" w:space="0" w:color="auto"/>
          </w:divBdr>
        </w:div>
        <w:div w:id="1852911413">
          <w:marLeft w:val="0"/>
          <w:marRight w:val="0"/>
          <w:marTop w:val="0"/>
          <w:marBottom w:val="0"/>
          <w:divBdr>
            <w:top w:val="none" w:sz="0" w:space="0" w:color="auto"/>
            <w:left w:val="none" w:sz="0" w:space="0" w:color="auto"/>
            <w:bottom w:val="none" w:sz="0" w:space="0" w:color="auto"/>
            <w:right w:val="none" w:sz="0" w:space="0" w:color="auto"/>
          </w:divBdr>
        </w:div>
        <w:div w:id="1859350324">
          <w:marLeft w:val="0"/>
          <w:marRight w:val="0"/>
          <w:marTop w:val="0"/>
          <w:marBottom w:val="0"/>
          <w:divBdr>
            <w:top w:val="none" w:sz="0" w:space="0" w:color="auto"/>
            <w:left w:val="none" w:sz="0" w:space="0" w:color="auto"/>
            <w:bottom w:val="none" w:sz="0" w:space="0" w:color="auto"/>
            <w:right w:val="none" w:sz="0" w:space="0" w:color="auto"/>
          </w:divBdr>
        </w:div>
        <w:div w:id="1904438347">
          <w:marLeft w:val="0"/>
          <w:marRight w:val="0"/>
          <w:marTop w:val="0"/>
          <w:marBottom w:val="0"/>
          <w:divBdr>
            <w:top w:val="none" w:sz="0" w:space="0" w:color="auto"/>
            <w:left w:val="none" w:sz="0" w:space="0" w:color="auto"/>
            <w:bottom w:val="none" w:sz="0" w:space="0" w:color="auto"/>
            <w:right w:val="none" w:sz="0" w:space="0" w:color="auto"/>
          </w:divBdr>
        </w:div>
        <w:div w:id="1912693113">
          <w:marLeft w:val="0"/>
          <w:marRight w:val="0"/>
          <w:marTop w:val="0"/>
          <w:marBottom w:val="0"/>
          <w:divBdr>
            <w:top w:val="none" w:sz="0" w:space="0" w:color="auto"/>
            <w:left w:val="none" w:sz="0" w:space="0" w:color="auto"/>
            <w:bottom w:val="none" w:sz="0" w:space="0" w:color="auto"/>
            <w:right w:val="none" w:sz="0" w:space="0" w:color="auto"/>
          </w:divBdr>
        </w:div>
        <w:div w:id="1915627574">
          <w:marLeft w:val="0"/>
          <w:marRight w:val="0"/>
          <w:marTop w:val="0"/>
          <w:marBottom w:val="0"/>
          <w:divBdr>
            <w:top w:val="none" w:sz="0" w:space="0" w:color="auto"/>
            <w:left w:val="none" w:sz="0" w:space="0" w:color="auto"/>
            <w:bottom w:val="none" w:sz="0" w:space="0" w:color="auto"/>
            <w:right w:val="none" w:sz="0" w:space="0" w:color="auto"/>
          </w:divBdr>
        </w:div>
        <w:div w:id="1971781689">
          <w:marLeft w:val="0"/>
          <w:marRight w:val="0"/>
          <w:marTop w:val="0"/>
          <w:marBottom w:val="0"/>
          <w:divBdr>
            <w:top w:val="none" w:sz="0" w:space="0" w:color="auto"/>
            <w:left w:val="none" w:sz="0" w:space="0" w:color="auto"/>
            <w:bottom w:val="none" w:sz="0" w:space="0" w:color="auto"/>
            <w:right w:val="none" w:sz="0" w:space="0" w:color="auto"/>
          </w:divBdr>
        </w:div>
        <w:div w:id="1974097309">
          <w:marLeft w:val="0"/>
          <w:marRight w:val="0"/>
          <w:marTop w:val="0"/>
          <w:marBottom w:val="0"/>
          <w:divBdr>
            <w:top w:val="none" w:sz="0" w:space="0" w:color="auto"/>
            <w:left w:val="none" w:sz="0" w:space="0" w:color="auto"/>
            <w:bottom w:val="none" w:sz="0" w:space="0" w:color="auto"/>
            <w:right w:val="none" w:sz="0" w:space="0" w:color="auto"/>
          </w:divBdr>
        </w:div>
        <w:div w:id="1977178074">
          <w:marLeft w:val="0"/>
          <w:marRight w:val="0"/>
          <w:marTop w:val="0"/>
          <w:marBottom w:val="0"/>
          <w:divBdr>
            <w:top w:val="none" w:sz="0" w:space="0" w:color="auto"/>
            <w:left w:val="none" w:sz="0" w:space="0" w:color="auto"/>
            <w:bottom w:val="none" w:sz="0" w:space="0" w:color="auto"/>
            <w:right w:val="none" w:sz="0" w:space="0" w:color="auto"/>
          </w:divBdr>
        </w:div>
        <w:div w:id="2001426271">
          <w:marLeft w:val="0"/>
          <w:marRight w:val="0"/>
          <w:marTop w:val="0"/>
          <w:marBottom w:val="0"/>
          <w:divBdr>
            <w:top w:val="none" w:sz="0" w:space="0" w:color="auto"/>
            <w:left w:val="none" w:sz="0" w:space="0" w:color="auto"/>
            <w:bottom w:val="none" w:sz="0" w:space="0" w:color="auto"/>
            <w:right w:val="none" w:sz="0" w:space="0" w:color="auto"/>
          </w:divBdr>
        </w:div>
      </w:divsChild>
    </w:div>
    <w:div w:id="1377392235">
      <w:bodyDiv w:val="1"/>
      <w:marLeft w:val="0"/>
      <w:marRight w:val="0"/>
      <w:marTop w:val="0"/>
      <w:marBottom w:val="0"/>
      <w:divBdr>
        <w:top w:val="none" w:sz="0" w:space="0" w:color="auto"/>
        <w:left w:val="none" w:sz="0" w:space="0" w:color="auto"/>
        <w:bottom w:val="none" w:sz="0" w:space="0" w:color="auto"/>
        <w:right w:val="none" w:sz="0" w:space="0" w:color="auto"/>
      </w:divBdr>
      <w:divsChild>
        <w:div w:id="16004922">
          <w:marLeft w:val="0"/>
          <w:marRight w:val="0"/>
          <w:marTop w:val="0"/>
          <w:marBottom w:val="0"/>
          <w:divBdr>
            <w:top w:val="none" w:sz="0" w:space="0" w:color="auto"/>
            <w:left w:val="none" w:sz="0" w:space="0" w:color="auto"/>
            <w:bottom w:val="none" w:sz="0" w:space="0" w:color="auto"/>
            <w:right w:val="none" w:sz="0" w:space="0" w:color="auto"/>
          </w:divBdr>
        </w:div>
        <w:div w:id="42338672">
          <w:marLeft w:val="0"/>
          <w:marRight w:val="0"/>
          <w:marTop w:val="0"/>
          <w:marBottom w:val="0"/>
          <w:divBdr>
            <w:top w:val="none" w:sz="0" w:space="0" w:color="auto"/>
            <w:left w:val="none" w:sz="0" w:space="0" w:color="auto"/>
            <w:bottom w:val="none" w:sz="0" w:space="0" w:color="auto"/>
            <w:right w:val="none" w:sz="0" w:space="0" w:color="auto"/>
          </w:divBdr>
        </w:div>
        <w:div w:id="44718962">
          <w:marLeft w:val="0"/>
          <w:marRight w:val="0"/>
          <w:marTop w:val="0"/>
          <w:marBottom w:val="0"/>
          <w:divBdr>
            <w:top w:val="none" w:sz="0" w:space="0" w:color="auto"/>
            <w:left w:val="none" w:sz="0" w:space="0" w:color="auto"/>
            <w:bottom w:val="none" w:sz="0" w:space="0" w:color="auto"/>
            <w:right w:val="none" w:sz="0" w:space="0" w:color="auto"/>
          </w:divBdr>
        </w:div>
        <w:div w:id="68046497">
          <w:marLeft w:val="0"/>
          <w:marRight w:val="0"/>
          <w:marTop w:val="0"/>
          <w:marBottom w:val="0"/>
          <w:divBdr>
            <w:top w:val="none" w:sz="0" w:space="0" w:color="auto"/>
            <w:left w:val="none" w:sz="0" w:space="0" w:color="auto"/>
            <w:bottom w:val="none" w:sz="0" w:space="0" w:color="auto"/>
            <w:right w:val="none" w:sz="0" w:space="0" w:color="auto"/>
          </w:divBdr>
          <w:divsChild>
            <w:div w:id="243807763">
              <w:marLeft w:val="-75"/>
              <w:marRight w:val="0"/>
              <w:marTop w:val="30"/>
              <w:marBottom w:val="30"/>
              <w:divBdr>
                <w:top w:val="none" w:sz="0" w:space="0" w:color="auto"/>
                <w:left w:val="none" w:sz="0" w:space="0" w:color="auto"/>
                <w:bottom w:val="none" w:sz="0" w:space="0" w:color="auto"/>
                <w:right w:val="none" w:sz="0" w:space="0" w:color="auto"/>
              </w:divBdr>
              <w:divsChild>
                <w:div w:id="34544391">
                  <w:marLeft w:val="0"/>
                  <w:marRight w:val="0"/>
                  <w:marTop w:val="0"/>
                  <w:marBottom w:val="0"/>
                  <w:divBdr>
                    <w:top w:val="none" w:sz="0" w:space="0" w:color="auto"/>
                    <w:left w:val="none" w:sz="0" w:space="0" w:color="auto"/>
                    <w:bottom w:val="none" w:sz="0" w:space="0" w:color="auto"/>
                    <w:right w:val="none" w:sz="0" w:space="0" w:color="auto"/>
                  </w:divBdr>
                  <w:divsChild>
                    <w:div w:id="1775712767">
                      <w:marLeft w:val="0"/>
                      <w:marRight w:val="0"/>
                      <w:marTop w:val="0"/>
                      <w:marBottom w:val="0"/>
                      <w:divBdr>
                        <w:top w:val="none" w:sz="0" w:space="0" w:color="auto"/>
                        <w:left w:val="none" w:sz="0" w:space="0" w:color="auto"/>
                        <w:bottom w:val="none" w:sz="0" w:space="0" w:color="auto"/>
                        <w:right w:val="none" w:sz="0" w:space="0" w:color="auto"/>
                      </w:divBdr>
                    </w:div>
                  </w:divsChild>
                </w:div>
                <w:div w:id="145628008">
                  <w:marLeft w:val="0"/>
                  <w:marRight w:val="0"/>
                  <w:marTop w:val="0"/>
                  <w:marBottom w:val="0"/>
                  <w:divBdr>
                    <w:top w:val="none" w:sz="0" w:space="0" w:color="auto"/>
                    <w:left w:val="none" w:sz="0" w:space="0" w:color="auto"/>
                    <w:bottom w:val="none" w:sz="0" w:space="0" w:color="auto"/>
                    <w:right w:val="none" w:sz="0" w:space="0" w:color="auto"/>
                  </w:divBdr>
                  <w:divsChild>
                    <w:div w:id="1704936236">
                      <w:marLeft w:val="0"/>
                      <w:marRight w:val="0"/>
                      <w:marTop w:val="0"/>
                      <w:marBottom w:val="0"/>
                      <w:divBdr>
                        <w:top w:val="none" w:sz="0" w:space="0" w:color="auto"/>
                        <w:left w:val="none" w:sz="0" w:space="0" w:color="auto"/>
                        <w:bottom w:val="none" w:sz="0" w:space="0" w:color="auto"/>
                        <w:right w:val="none" w:sz="0" w:space="0" w:color="auto"/>
                      </w:divBdr>
                    </w:div>
                  </w:divsChild>
                </w:div>
                <w:div w:id="221987218">
                  <w:marLeft w:val="0"/>
                  <w:marRight w:val="0"/>
                  <w:marTop w:val="0"/>
                  <w:marBottom w:val="0"/>
                  <w:divBdr>
                    <w:top w:val="none" w:sz="0" w:space="0" w:color="auto"/>
                    <w:left w:val="none" w:sz="0" w:space="0" w:color="auto"/>
                    <w:bottom w:val="none" w:sz="0" w:space="0" w:color="auto"/>
                    <w:right w:val="none" w:sz="0" w:space="0" w:color="auto"/>
                  </w:divBdr>
                  <w:divsChild>
                    <w:div w:id="1640189317">
                      <w:marLeft w:val="0"/>
                      <w:marRight w:val="0"/>
                      <w:marTop w:val="0"/>
                      <w:marBottom w:val="0"/>
                      <w:divBdr>
                        <w:top w:val="none" w:sz="0" w:space="0" w:color="auto"/>
                        <w:left w:val="none" w:sz="0" w:space="0" w:color="auto"/>
                        <w:bottom w:val="none" w:sz="0" w:space="0" w:color="auto"/>
                        <w:right w:val="none" w:sz="0" w:space="0" w:color="auto"/>
                      </w:divBdr>
                    </w:div>
                  </w:divsChild>
                </w:div>
                <w:div w:id="283928451">
                  <w:marLeft w:val="0"/>
                  <w:marRight w:val="0"/>
                  <w:marTop w:val="0"/>
                  <w:marBottom w:val="0"/>
                  <w:divBdr>
                    <w:top w:val="none" w:sz="0" w:space="0" w:color="auto"/>
                    <w:left w:val="none" w:sz="0" w:space="0" w:color="auto"/>
                    <w:bottom w:val="none" w:sz="0" w:space="0" w:color="auto"/>
                    <w:right w:val="none" w:sz="0" w:space="0" w:color="auto"/>
                  </w:divBdr>
                  <w:divsChild>
                    <w:div w:id="676419477">
                      <w:marLeft w:val="0"/>
                      <w:marRight w:val="0"/>
                      <w:marTop w:val="0"/>
                      <w:marBottom w:val="0"/>
                      <w:divBdr>
                        <w:top w:val="none" w:sz="0" w:space="0" w:color="auto"/>
                        <w:left w:val="none" w:sz="0" w:space="0" w:color="auto"/>
                        <w:bottom w:val="none" w:sz="0" w:space="0" w:color="auto"/>
                        <w:right w:val="none" w:sz="0" w:space="0" w:color="auto"/>
                      </w:divBdr>
                    </w:div>
                  </w:divsChild>
                </w:div>
                <w:div w:id="822159509">
                  <w:marLeft w:val="0"/>
                  <w:marRight w:val="0"/>
                  <w:marTop w:val="0"/>
                  <w:marBottom w:val="0"/>
                  <w:divBdr>
                    <w:top w:val="none" w:sz="0" w:space="0" w:color="auto"/>
                    <w:left w:val="none" w:sz="0" w:space="0" w:color="auto"/>
                    <w:bottom w:val="none" w:sz="0" w:space="0" w:color="auto"/>
                    <w:right w:val="none" w:sz="0" w:space="0" w:color="auto"/>
                  </w:divBdr>
                  <w:divsChild>
                    <w:div w:id="608776500">
                      <w:marLeft w:val="0"/>
                      <w:marRight w:val="0"/>
                      <w:marTop w:val="0"/>
                      <w:marBottom w:val="0"/>
                      <w:divBdr>
                        <w:top w:val="none" w:sz="0" w:space="0" w:color="auto"/>
                        <w:left w:val="none" w:sz="0" w:space="0" w:color="auto"/>
                        <w:bottom w:val="none" w:sz="0" w:space="0" w:color="auto"/>
                        <w:right w:val="none" w:sz="0" w:space="0" w:color="auto"/>
                      </w:divBdr>
                    </w:div>
                  </w:divsChild>
                </w:div>
                <w:div w:id="827746375">
                  <w:marLeft w:val="0"/>
                  <w:marRight w:val="0"/>
                  <w:marTop w:val="0"/>
                  <w:marBottom w:val="0"/>
                  <w:divBdr>
                    <w:top w:val="none" w:sz="0" w:space="0" w:color="auto"/>
                    <w:left w:val="none" w:sz="0" w:space="0" w:color="auto"/>
                    <w:bottom w:val="none" w:sz="0" w:space="0" w:color="auto"/>
                    <w:right w:val="none" w:sz="0" w:space="0" w:color="auto"/>
                  </w:divBdr>
                  <w:divsChild>
                    <w:div w:id="1219364649">
                      <w:marLeft w:val="0"/>
                      <w:marRight w:val="0"/>
                      <w:marTop w:val="0"/>
                      <w:marBottom w:val="0"/>
                      <w:divBdr>
                        <w:top w:val="none" w:sz="0" w:space="0" w:color="auto"/>
                        <w:left w:val="none" w:sz="0" w:space="0" w:color="auto"/>
                        <w:bottom w:val="none" w:sz="0" w:space="0" w:color="auto"/>
                        <w:right w:val="none" w:sz="0" w:space="0" w:color="auto"/>
                      </w:divBdr>
                    </w:div>
                  </w:divsChild>
                </w:div>
                <w:div w:id="965894663">
                  <w:marLeft w:val="0"/>
                  <w:marRight w:val="0"/>
                  <w:marTop w:val="0"/>
                  <w:marBottom w:val="0"/>
                  <w:divBdr>
                    <w:top w:val="none" w:sz="0" w:space="0" w:color="auto"/>
                    <w:left w:val="none" w:sz="0" w:space="0" w:color="auto"/>
                    <w:bottom w:val="none" w:sz="0" w:space="0" w:color="auto"/>
                    <w:right w:val="none" w:sz="0" w:space="0" w:color="auto"/>
                  </w:divBdr>
                  <w:divsChild>
                    <w:div w:id="673266897">
                      <w:marLeft w:val="0"/>
                      <w:marRight w:val="0"/>
                      <w:marTop w:val="0"/>
                      <w:marBottom w:val="0"/>
                      <w:divBdr>
                        <w:top w:val="none" w:sz="0" w:space="0" w:color="auto"/>
                        <w:left w:val="none" w:sz="0" w:space="0" w:color="auto"/>
                        <w:bottom w:val="none" w:sz="0" w:space="0" w:color="auto"/>
                        <w:right w:val="none" w:sz="0" w:space="0" w:color="auto"/>
                      </w:divBdr>
                    </w:div>
                  </w:divsChild>
                </w:div>
                <w:div w:id="986326895">
                  <w:marLeft w:val="0"/>
                  <w:marRight w:val="0"/>
                  <w:marTop w:val="0"/>
                  <w:marBottom w:val="0"/>
                  <w:divBdr>
                    <w:top w:val="none" w:sz="0" w:space="0" w:color="auto"/>
                    <w:left w:val="none" w:sz="0" w:space="0" w:color="auto"/>
                    <w:bottom w:val="none" w:sz="0" w:space="0" w:color="auto"/>
                    <w:right w:val="none" w:sz="0" w:space="0" w:color="auto"/>
                  </w:divBdr>
                  <w:divsChild>
                    <w:div w:id="1506095099">
                      <w:marLeft w:val="0"/>
                      <w:marRight w:val="0"/>
                      <w:marTop w:val="0"/>
                      <w:marBottom w:val="0"/>
                      <w:divBdr>
                        <w:top w:val="none" w:sz="0" w:space="0" w:color="auto"/>
                        <w:left w:val="none" w:sz="0" w:space="0" w:color="auto"/>
                        <w:bottom w:val="none" w:sz="0" w:space="0" w:color="auto"/>
                        <w:right w:val="none" w:sz="0" w:space="0" w:color="auto"/>
                      </w:divBdr>
                    </w:div>
                  </w:divsChild>
                </w:div>
                <w:div w:id="1256670071">
                  <w:marLeft w:val="0"/>
                  <w:marRight w:val="0"/>
                  <w:marTop w:val="0"/>
                  <w:marBottom w:val="0"/>
                  <w:divBdr>
                    <w:top w:val="none" w:sz="0" w:space="0" w:color="auto"/>
                    <w:left w:val="none" w:sz="0" w:space="0" w:color="auto"/>
                    <w:bottom w:val="none" w:sz="0" w:space="0" w:color="auto"/>
                    <w:right w:val="none" w:sz="0" w:space="0" w:color="auto"/>
                  </w:divBdr>
                  <w:divsChild>
                    <w:div w:id="474640794">
                      <w:marLeft w:val="0"/>
                      <w:marRight w:val="0"/>
                      <w:marTop w:val="0"/>
                      <w:marBottom w:val="0"/>
                      <w:divBdr>
                        <w:top w:val="none" w:sz="0" w:space="0" w:color="auto"/>
                        <w:left w:val="none" w:sz="0" w:space="0" w:color="auto"/>
                        <w:bottom w:val="none" w:sz="0" w:space="0" w:color="auto"/>
                        <w:right w:val="none" w:sz="0" w:space="0" w:color="auto"/>
                      </w:divBdr>
                    </w:div>
                  </w:divsChild>
                </w:div>
                <w:div w:id="1460758239">
                  <w:marLeft w:val="0"/>
                  <w:marRight w:val="0"/>
                  <w:marTop w:val="0"/>
                  <w:marBottom w:val="0"/>
                  <w:divBdr>
                    <w:top w:val="none" w:sz="0" w:space="0" w:color="auto"/>
                    <w:left w:val="none" w:sz="0" w:space="0" w:color="auto"/>
                    <w:bottom w:val="none" w:sz="0" w:space="0" w:color="auto"/>
                    <w:right w:val="none" w:sz="0" w:space="0" w:color="auto"/>
                  </w:divBdr>
                  <w:divsChild>
                    <w:div w:id="663046628">
                      <w:marLeft w:val="0"/>
                      <w:marRight w:val="0"/>
                      <w:marTop w:val="0"/>
                      <w:marBottom w:val="0"/>
                      <w:divBdr>
                        <w:top w:val="none" w:sz="0" w:space="0" w:color="auto"/>
                        <w:left w:val="none" w:sz="0" w:space="0" w:color="auto"/>
                        <w:bottom w:val="none" w:sz="0" w:space="0" w:color="auto"/>
                        <w:right w:val="none" w:sz="0" w:space="0" w:color="auto"/>
                      </w:divBdr>
                    </w:div>
                  </w:divsChild>
                </w:div>
                <w:div w:id="1476798916">
                  <w:marLeft w:val="0"/>
                  <w:marRight w:val="0"/>
                  <w:marTop w:val="0"/>
                  <w:marBottom w:val="0"/>
                  <w:divBdr>
                    <w:top w:val="none" w:sz="0" w:space="0" w:color="auto"/>
                    <w:left w:val="none" w:sz="0" w:space="0" w:color="auto"/>
                    <w:bottom w:val="none" w:sz="0" w:space="0" w:color="auto"/>
                    <w:right w:val="none" w:sz="0" w:space="0" w:color="auto"/>
                  </w:divBdr>
                  <w:divsChild>
                    <w:div w:id="406613289">
                      <w:marLeft w:val="0"/>
                      <w:marRight w:val="0"/>
                      <w:marTop w:val="0"/>
                      <w:marBottom w:val="0"/>
                      <w:divBdr>
                        <w:top w:val="none" w:sz="0" w:space="0" w:color="auto"/>
                        <w:left w:val="none" w:sz="0" w:space="0" w:color="auto"/>
                        <w:bottom w:val="none" w:sz="0" w:space="0" w:color="auto"/>
                        <w:right w:val="none" w:sz="0" w:space="0" w:color="auto"/>
                      </w:divBdr>
                    </w:div>
                  </w:divsChild>
                </w:div>
                <w:div w:id="1679846132">
                  <w:marLeft w:val="0"/>
                  <w:marRight w:val="0"/>
                  <w:marTop w:val="0"/>
                  <w:marBottom w:val="0"/>
                  <w:divBdr>
                    <w:top w:val="none" w:sz="0" w:space="0" w:color="auto"/>
                    <w:left w:val="none" w:sz="0" w:space="0" w:color="auto"/>
                    <w:bottom w:val="none" w:sz="0" w:space="0" w:color="auto"/>
                    <w:right w:val="none" w:sz="0" w:space="0" w:color="auto"/>
                  </w:divBdr>
                  <w:divsChild>
                    <w:div w:id="1659338533">
                      <w:marLeft w:val="0"/>
                      <w:marRight w:val="0"/>
                      <w:marTop w:val="0"/>
                      <w:marBottom w:val="0"/>
                      <w:divBdr>
                        <w:top w:val="none" w:sz="0" w:space="0" w:color="auto"/>
                        <w:left w:val="none" w:sz="0" w:space="0" w:color="auto"/>
                        <w:bottom w:val="none" w:sz="0" w:space="0" w:color="auto"/>
                        <w:right w:val="none" w:sz="0" w:space="0" w:color="auto"/>
                      </w:divBdr>
                    </w:div>
                  </w:divsChild>
                </w:div>
                <w:div w:id="1775129343">
                  <w:marLeft w:val="0"/>
                  <w:marRight w:val="0"/>
                  <w:marTop w:val="0"/>
                  <w:marBottom w:val="0"/>
                  <w:divBdr>
                    <w:top w:val="none" w:sz="0" w:space="0" w:color="auto"/>
                    <w:left w:val="none" w:sz="0" w:space="0" w:color="auto"/>
                    <w:bottom w:val="none" w:sz="0" w:space="0" w:color="auto"/>
                    <w:right w:val="none" w:sz="0" w:space="0" w:color="auto"/>
                  </w:divBdr>
                  <w:divsChild>
                    <w:div w:id="1698698774">
                      <w:marLeft w:val="0"/>
                      <w:marRight w:val="0"/>
                      <w:marTop w:val="0"/>
                      <w:marBottom w:val="0"/>
                      <w:divBdr>
                        <w:top w:val="none" w:sz="0" w:space="0" w:color="auto"/>
                        <w:left w:val="none" w:sz="0" w:space="0" w:color="auto"/>
                        <w:bottom w:val="none" w:sz="0" w:space="0" w:color="auto"/>
                        <w:right w:val="none" w:sz="0" w:space="0" w:color="auto"/>
                      </w:divBdr>
                    </w:div>
                  </w:divsChild>
                </w:div>
                <w:div w:id="1846092832">
                  <w:marLeft w:val="0"/>
                  <w:marRight w:val="0"/>
                  <w:marTop w:val="0"/>
                  <w:marBottom w:val="0"/>
                  <w:divBdr>
                    <w:top w:val="none" w:sz="0" w:space="0" w:color="auto"/>
                    <w:left w:val="none" w:sz="0" w:space="0" w:color="auto"/>
                    <w:bottom w:val="none" w:sz="0" w:space="0" w:color="auto"/>
                    <w:right w:val="none" w:sz="0" w:space="0" w:color="auto"/>
                  </w:divBdr>
                  <w:divsChild>
                    <w:div w:id="1857382277">
                      <w:marLeft w:val="0"/>
                      <w:marRight w:val="0"/>
                      <w:marTop w:val="0"/>
                      <w:marBottom w:val="0"/>
                      <w:divBdr>
                        <w:top w:val="none" w:sz="0" w:space="0" w:color="auto"/>
                        <w:left w:val="none" w:sz="0" w:space="0" w:color="auto"/>
                        <w:bottom w:val="none" w:sz="0" w:space="0" w:color="auto"/>
                        <w:right w:val="none" w:sz="0" w:space="0" w:color="auto"/>
                      </w:divBdr>
                    </w:div>
                  </w:divsChild>
                </w:div>
                <w:div w:id="1882670201">
                  <w:marLeft w:val="0"/>
                  <w:marRight w:val="0"/>
                  <w:marTop w:val="0"/>
                  <w:marBottom w:val="0"/>
                  <w:divBdr>
                    <w:top w:val="none" w:sz="0" w:space="0" w:color="auto"/>
                    <w:left w:val="none" w:sz="0" w:space="0" w:color="auto"/>
                    <w:bottom w:val="none" w:sz="0" w:space="0" w:color="auto"/>
                    <w:right w:val="none" w:sz="0" w:space="0" w:color="auto"/>
                  </w:divBdr>
                  <w:divsChild>
                    <w:div w:id="1182665395">
                      <w:marLeft w:val="0"/>
                      <w:marRight w:val="0"/>
                      <w:marTop w:val="0"/>
                      <w:marBottom w:val="0"/>
                      <w:divBdr>
                        <w:top w:val="none" w:sz="0" w:space="0" w:color="auto"/>
                        <w:left w:val="none" w:sz="0" w:space="0" w:color="auto"/>
                        <w:bottom w:val="none" w:sz="0" w:space="0" w:color="auto"/>
                        <w:right w:val="none" w:sz="0" w:space="0" w:color="auto"/>
                      </w:divBdr>
                    </w:div>
                  </w:divsChild>
                </w:div>
                <w:div w:id="2133286783">
                  <w:marLeft w:val="0"/>
                  <w:marRight w:val="0"/>
                  <w:marTop w:val="0"/>
                  <w:marBottom w:val="0"/>
                  <w:divBdr>
                    <w:top w:val="none" w:sz="0" w:space="0" w:color="auto"/>
                    <w:left w:val="none" w:sz="0" w:space="0" w:color="auto"/>
                    <w:bottom w:val="none" w:sz="0" w:space="0" w:color="auto"/>
                    <w:right w:val="none" w:sz="0" w:space="0" w:color="auto"/>
                  </w:divBdr>
                  <w:divsChild>
                    <w:div w:id="483863448">
                      <w:marLeft w:val="0"/>
                      <w:marRight w:val="0"/>
                      <w:marTop w:val="0"/>
                      <w:marBottom w:val="0"/>
                      <w:divBdr>
                        <w:top w:val="none" w:sz="0" w:space="0" w:color="auto"/>
                        <w:left w:val="none" w:sz="0" w:space="0" w:color="auto"/>
                        <w:bottom w:val="none" w:sz="0" w:space="0" w:color="auto"/>
                        <w:right w:val="none" w:sz="0" w:space="0" w:color="auto"/>
                      </w:divBdr>
                    </w:div>
                  </w:divsChild>
                </w:div>
                <w:div w:id="2138140332">
                  <w:marLeft w:val="0"/>
                  <w:marRight w:val="0"/>
                  <w:marTop w:val="0"/>
                  <w:marBottom w:val="0"/>
                  <w:divBdr>
                    <w:top w:val="none" w:sz="0" w:space="0" w:color="auto"/>
                    <w:left w:val="none" w:sz="0" w:space="0" w:color="auto"/>
                    <w:bottom w:val="none" w:sz="0" w:space="0" w:color="auto"/>
                    <w:right w:val="none" w:sz="0" w:space="0" w:color="auto"/>
                  </w:divBdr>
                  <w:divsChild>
                    <w:div w:id="1285578638">
                      <w:marLeft w:val="0"/>
                      <w:marRight w:val="0"/>
                      <w:marTop w:val="0"/>
                      <w:marBottom w:val="0"/>
                      <w:divBdr>
                        <w:top w:val="none" w:sz="0" w:space="0" w:color="auto"/>
                        <w:left w:val="none" w:sz="0" w:space="0" w:color="auto"/>
                        <w:bottom w:val="none" w:sz="0" w:space="0" w:color="auto"/>
                        <w:right w:val="none" w:sz="0" w:space="0" w:color="auto"/>
                      </w:divBdr>
                    </w:div>
                  </w:divsChild>
                </w:div>
                <w:div w:id="2141527828">
                  <w:marLeft w:val="0"/>
                  <w:marRight w:val="0"/>
                  <w:marTop w:val="0"/>
                  <w:marBottom w:val="0"/>
                  <w:divBdr>
                    <w:top w:val="none" w:sz="0" w:space="0" w:color="auto"/>
                    <w:left w:val="none" w:sz="0" w:space="0" w:color="auto"/>
                    <w:bottom w:val="none" w:sz="0" w:space="0" w:color="auto"/>
                    <w:right w:val="none" w:sz="0" w:space="0" w:color="auto"/>
                  </w:divBdr>
                  <w:divsChild>
                    <w:div w:id="17019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8875">
          <w:marLeft w:val="0"/>
          <w:marRight w:val="0"/>
          <w:marTop w:val="0"/>
          <w:marBottom w:val="0"/>
          <w:divBdr>
            <w:top w:val="none" w:sz="0" w:space="0" w:color="auto"/>
            <w:left w:val="none" w:sz="0" w:space="0" w:color="auto"/>
            <w:bottom w:val="none" w:sz="0" w:space="0" w:color="auto"/>
            <w:right w:val="none" w:sz="0" w:space="0" w:color="auto"/>
          </w:divBdr>
        </w:div>
        <w:div w:id="343871372">
          <w:marLeft w:val="0"/>
          <w:marRight w:val="0"/>
          <w:marTop w:val="0"/>
          <w:marBottom w:val="0"/>
          <w:divBdr>
            <w:top w:val="none" w:sz="0" w:space="0" w:color="auto"/>
            <w:left w:val="none" w:sz="0" w:space="0" w:color="auto"/>
            <w:bottom w:val="none" w:sz="0" w:space="0" w:color="auto"/>
            <w:right w:val="none" w:sz="0" w:space="0" w:color="auto"/>
          </w:divBdr>
          <w:divsChild>
            <w:div w:id="2012441902">
              <w:marLeft w:val="-75"/>
              <w:marRight w:val="0"/>
              <w:marTop w:val="30"/>
              <w:marBottom w:val="30"/>
              <w:divBdr>
                <w:top w:val="none" w:sz="0" w:space="0" w:color="auto"/>
                <w:left w:val="none" w:sz="0" w:space="0" w:color="auto"/>
                <w:bottom w:val="none" w:sz="0" w:space="0" w:color="auto"/>
                <w:right w:val="none" w:sz="0" w:space="0" w:color="auto"/>
              </w:divBdr>
              <w:divsChild>
                <w:div w:id="31268413">
                  <w:marLeft w:val="0"/>
                  <w:marRight w:val="0"/>
                  <w:marTop w:val="0"/>
                  <w:marBottom w:val="0"/>
                  <w:divBdr>
                    <w:top w:val="none" w:sz="0" w:space="0" w:color="auto"/>
                    <w:left w:val="none" w:sz="0" w:space="0" w:color="auto"/>
                    <w:bottom w:val="none" w:sz="0" w:space="0" w:color="auto"/>
                    <w:right w:val="none" w:sz="0" w:space="0" w:color="auto"/>
                  </w:divBdr>
                  <w:divsChild>
                    <w:div w:id="1675303434">
                      <w:marLeft w:val="0"/>
                      <w:marRight w:val="0"/>
                      <w:marTop w:val="0"/>
                      <w:marBottom w:val="0"/>
                      <w:divBdr>
                        <w:top w:val="none" w:sz="0" w:space="0" w:color="auto"/>
                        <w:left w:val="none" w:sz="0" w:space="0" w:color="auto"/>
                        <w:bottom w:val="none" w:sz="0" w:space="0" w:color="auto"/>
                        <w:right w:val="none" w:sz="0" w:space="0" w:color="auto"/>
                      </w:divBdr>
                    </w:div>
                  </w:divsChild>
                </w:div>
                <w:div w:id="51975540">
                  <w:marLeft w:val="0"/>
                  <w:marRight w:val="0"/>
                  <w:marTop w:val="0"/>
                  <w:marBottom w:val="0"/>
                  <w:divBdr>
                    <w:top w:val="none" w:sz="0" w:space="0" w:color="auto"/>
                    <w:left w:val="none" w:sz="0" w:space="0" w:color="auto"/>
                    <w:bottom w:val="none" w:sz="0" w:space="0" w:color="auto"/>
                    <w:right w:val="none" w:sz="0" w:space="0" w:color="auto"/>
                  </w:divBdr>
                  <w:divsChild>
                    <w:div w:id="1041252109">
                      <w:marLeft w:val="0"/>
                      <w:marRight w:val="0"/>
                      <w:marTop w:val="0"/>
                      <w:marBottom w:val="0"/>
                      <w:divBdr>
                        <w:top w:val="none" w:sz="0" w:space="0" w:color="auto"/>
                        <w:left w:val="none" w:sz="0" w:space="0" w:color="auto"/>
                        <w:bottom w:val="none" w:sz="0" w:space="0" w:color="auto"/>
                        <w:right w:val="none" w:sz="0" w:space="0" w:color="auto"/>
                      </w:divBdr>
                    </w:div>
                  </w:divsChild>
                </w:div>
                <w:div w:id="169101750">
                  <w:marLeft w:val="0"/>
                  <w:marRight w:val="0"/>
                  <w:marTop w:val="0"/>
                  <w:marBottom w:val="0"/>
                  <w:divBdr>
                    <w:top w:val="none" w:sz="0" w:space="0" w:color="auto"/>
                    <w:left w:val="none" w:sz="0" w:space="0" w:color="auto"/>
                    <w:bottom w:val="none" w:sz="0" w:space="0" w:color="auto"/>
                    <w:right w:val="none" w:sz="0" w:space="0" w:color="auto"/>
                  </w:divBdr>
                  <w:divsChild>
                    <w:div w:id="311759266">
                      <w:marLeft w:val="0"/>
                      <w:marRight w:val="0"/>
                      <w:marTop w:val="0"/>
                      <w:marBottom w:val="0"/>
                      <w:divBdr>
                        <w:top w:val="none" w:sz="0" w:space="0" w:color="auto"/>
                        <w:left w:val="none" w:sz="0" w:space="0" w:color="auto"/>
                        <w:bottom w:val="none" w:sz="0" w:space="0" w:color="auto"/>
                        <w:right w:val="none" w:sz="0" w:space="0" w:color="auto"/>
                      </w:divBdr>
                    </w:div>
                  </w:divsChild>
                </w:div>
                <w:div w:id="294797890">
                  <w:marLeft w:val="0"/>
                  <w:marRight w:val="0"/>
                  <w:marTop w:val="0"/>
                  <w:marBottom w:val="0"/>
                  <w:divBdr>
                    <w:top w:val="none" w:sz="0" w:space="0" w:color="auto"/>
                    <w:left w:val="none" w:sz="0" w:space="0" w:color="auto"/>
                    <w:bottom w:val="none" w:sz="0" w:space="0" w:color="auto"/>
                    <w:right w:val="none" w:sz="0" w:space="0" w:color="auto"/>
                  </w:divBdr>
                  <w:divsChild>
                    <w:div w:id="78479109">
                      <w:marLeft w:val="0"/>
                      <w:marRight w:val="0"/>
                      <w:marTop w:val="0"/>
                      <w:marBottom w:val="0"/>
                      <w:divBdr>
                        <w:top w:val="none" w:sz="0" w:space="0" w:color="auto"/>
                        <w:left w:val="none" w:sz="0" w:space="0" w:color="auto"/>
                        <w:bottom w:val="none" w:sz="0" w:space="0" w:color="auto"/>
                        <w:right w:val="none" w:sz="0" w:space="0" w:color="auto"/>
                      </w:divBdr>
                    </w:div>
                  </w:divsChild>
                </w:div>
                <w:div w:id="554127210">
                  <w:marLeft w:val="0"/>
                  <w:marRight w:val="0"/>
                  <w:marTop w:val="0"/>
                  <w:marBottom w:val="0"/>
                  <w:divBdr>
                    <w:top w:val="none" w:sz="0" w:space="0" w:color="auto"/>
                    <w:left w:val="none" w:sz="0" w:space="0" w:color="auto"/>
                    <w:bottom w:val="none" w:sz="0" w:space="0" w:color="auto"/>
                    <w:right w:val="none" w:sz="0" w:space="0" w:color="auto"/>
                  </w:divBdr>
                  <w:divsChild>
                    <w:div w:id="2115241895">
                      <w:marLeft w:val="0"/>
                      <w:marRight w:val="0"/>
                      <w:marTop w:val="0"/>
                      <w:marBottom w:val="0"/>
                      <w:divBdr>
                        <w:top w:val="none" w:sz="0" w:space="0" w:color="auto"/>
                        <w:left w:val="none" w:sz="0" w:space="0" w:color="auto"/>
                        <w:bottom w:val="none" w:sz="0" w:space="0" w:color="auto"/>
                        <w:right w:val="none" w:sz="0" w:space="0" w:color="auto"/>
                      </w:divBdr>
                    </w:div>
                  </w:divsChild>
                </w:div>
                <w:div w:id="578053810">
                  <w:marLeft w:val="0"/>
                  <w:marRight w:val="0"/>
                  <w:marTop w:val="0"/>
                  <w:marBottom w:val="0"/>
                  <w:divBdr>
                    <w:top w:val="none" w:sz="0" w:space="0" w:color="auto"/>
                    <w:left w:val="none" w:sz="0" w:space="0" w:color="auto"/>
                    <w:bottom w:val="none" w:sz="0" w:space="0" w:color="auto"/>
                    <w:right w:val="none" w:sz="0" w:space="0" w:color="auto"/>
                  </w:divBdr>
                  <w:divsChild>
                    <w:div w:id="217980721">
                      <w:marLeft w:val="0"/>
                      <w:marRight w:val="0"/>
                      <w:marTop w:val="0"/>
                      <w:marBottom w:val="0"/>
                      <w:divBdr>
                        <w:top w:val="none" w:sz="0" w:space="0" w:color="auto"/>
                        <w:left w:val="none" w:sz="0" w:space="0" w:color="auto"/>
                        <w:bottom w:val="none" w:sz="0" w:space="0" w:color="auto"/>
                        <w:right w:val="none" w:sz="0" w:space="0" w:color="auto"/>
                      </w:divBdr>
                    </w:div>
                  </w:divsChild>
                </w:div>
                <w:div w:id="678776629">
                  <w:marLeft w:val="0"/>
                  <w:marRight w:val="0"/>
                  <w:marTop w:val="0"/>
                  <w:marBottom w:val="0"/>
                  <w:divBdr>
                    <w:top w:val="none" w:sz="0" w:space="0" w:color="auto"/>
                    <w:left w:val="none" w:sz="0" w:space="0" w:color="auto"/>
                    <w:bottom w:val="none" w:sz="0" w:space="0" w:color="auto"/>
                    <w:right w:val="none" w:sz="0" w:space="0" w:color="auto"/>
                  </w:divBdr>
                  <w:divsChild>
                    <w:div w:id="1688020632">
                      <w:marLeft w:val="0"/>
                      <w:marRight w:val="0"/>
                      <w:marTop w:val="0"/>
                      <w:marBottom w:val="0"/>
                      <w:divBdr>
                        <w:top w:val="none" w:sz="0" w:space="0" w:color="auto"/>
                        <w:left w:val="none" w:sz="0" w:space="0" w:color="auto"/>
                        <w:bottom w:val="none" w:sz="0" w:space="0" w:color="auto"/>
                        <w:right w:val="none" w:sz="0" w:space="0" w:color="auto"/>
                      </w:divBdr>
                    </w:div>
                  </w:divsChild>
                </w:div>
                <w:div w:id="912082545">
                  <w:marLeft w:val="0"/>
                  <w:marRight w:val="0"/>
                  <w:marTop w:val="0"/>
                  <w:marBottom w:val="0"/>
                  <w:divBdr>
                    <w:top w:val="none" w:sz="0" w:space="0" w:color="auto"/>
                    <w:left w:val="none" w:sz="0" w:space="0" w:color="auto"/>
                    <w:bottom w:val="none" w:sz="0" w:space="0" w:color="auto"/>
                    <w:right w:val="none" w:sz="0" w:space="0" w:color="auto"/>
                  </w:divBdr>
                  <w:divsChild>
                    <w:div w:id="2587408">
                      <w:marLeft w:val="0"/>
                      <w:marRight w:val="0"/>
                      <w:marTop w:val="0"/>
                      <w:marBottom w:val="0"/>
                      <w:divBdr>
                        <w:top w:val="none" w:sz="0" w:space="0" w:color="auto"/>
                        <w:left w:val="none" w:sz="0" w:space="0" w:color="auto"/>
                        <w:bottom w:val="none" w:sz="0" w:space="0" w:color="auto"/>
                        <w:right w:val="none" w:sz="0" w:space="0" w:color="auto"/>
                      </w:divBdr>
                    </w:div>
                  </w:divsChild>
                </w:div>
                <w:div w:id="1305114107">
                  <w:marLeft w:val="0"/>
                  <w:marRight w:val="0"/>
                  <w:marTop w:val="0"/>
                  <w:marBottom w:val="0"/>
                  <w:divBdr>
                    <w:top w:val="none" w:sz="0" w:space="0" w:color="auto"/>
                    <w:left w:val="none" w:sz="0" w:space="0" w:color="auto"/>
                    <w:bottom w:val="none" w:sz="0" w:space="0" w:color="auto"/>
                    <w:right w:val="none" w:sz="0" w:space="0" w:color="auto"/>
                  </w:divBdr>
                  <w:divsChild>
                    <w:div w:id="159660445">
                      <w:marLeft w:val="0"/>
                      <w:marRight w:val="0"/>
                      <w:marTop w:val="0"/>
                      <w:marBottom w:val="0"/>
                      <w:divBdr>
                        <w:top w:val="none" w:sz="0" w:space="0" w:color="auto"/>
                        <w:left w:val="none" w:sz="0" w:space="0" w:color="auto"/>
                        <w:bottom w:val="none" w:sz="0" w:space="0" w:color="auto"/>
                        <w:right w:val="none" w:sz="0" w:space="0" w:color="auto"/>
                      </w:divBdr>
                    </w:div>
                  </w:divsChild>
                </w:div>
                <w:div w:id="1335721192">
                  <w:marLeft w:val="0"/>
                  <w:marRight w:val="0"/>
                  <w:marTop w:val="0"/>
                  <w:marBottom w:val="0"/>
                  <w:divBdr>
                    <w:top w:val="none" w:sz="0" w:space="0" w:color="auto"/>
                    <w:left w:val="none" w:sz="0" w:space="0" w:color="auto"/>
                    <w:bottom w:val="none" w:sz="0" w:space="0" w:color="auto"/>
                    <w:right w:val="none" w:sz="0" w:space="0" w:color="auto"/>
                  </w:divBdr>
                  <w:divsChild>
                    <w:div w:id="2029018437">
                      <w:marLeft w:val="0"/>
                      <w:marRight w:val="0"/>
                      <w:marTop w:val="0"/>
                      <w:marBottom w:val="0"/>
                      <w:divBdr>
                        <w:top w:val="none" w:sz="0" w:space="0" w:color="auto"/>
                        <w:left w:val="none" w:sz="0" w:space="0" w:color="auto"/>
                        <w:bottom w:val="none" w:sz="0" w:space="0" w:color="auto"/>
                        <w:right w:val="none" w:sz="0" w:space="0" w:color="auto"/>
                      </w:divBdr>
                    </w:div>
                  </w:divsChild>
                </w:div>
                <w:div w:id="1348751820">
                  <w:marLeft w:val="0"/>
                  <w:marRight w:val="0"/>
                  <w:marTop w:val="0"/>
                  <w:marBottom w:val="0"/>
                  <w:divBdr>
                    <w:top w:val="none" w:sz="0" w:space="0" w:color="auto"/>
                    <w:left w:val="none" w:sz="0" w:space="0" w:color="auto"/>
                    <w:bottom w:val="none" w:sz="0" w:space="0" w:color="auto"/>
                    <w:right w:val="none" w:sz="0" w:space="0" w:color="auto"/>
                  </w:divBdr>
                  <w:divsChild>
                    <w:div w:id="1653677210">
                      <w:marLeft w:val="0"/>
                      <w:marRight w:val="0"/>
                      <w:marTop w:val="0"/>
                      <w:marBottom w:val="0"/>
                      <w:divBdr>
                        <w:top w:val="none" w:sz="0" w:space="0" w:color="auto"/>
                        <w:left w:val="none" w:sz="0" w:space="0" w:color="auto"/>
                        <w:bottom w:val="none" w:sz="0" w:space="0" w:color="auto"/>
                        <w:right w:val="none" w:sz="0" w:space="0" w:color="auto"/>
                      </w:divBdr>
                    </w:div>
                  </w:divsChild>
                </w:div>
                <w:div w:id="1389691281">
                  <w:marLeft w:val="0"/>
                  <w:marRight w:val="0"/>
                  <w:marTop w:val="0"/>
                  <w:marBottom w:val="0"/>
                  <w:divBdr>
                    <w:top w:val="none" w:sz="0" w:space="0" w:color="auto"/>
                    <w:left w:val="none" w:sz="0" w:space="0" w:color="auto"/>
                    <w:bottom w:val="none" w:sz="0" w:space="0" w:color="auto"/>
                    <w:right w:val="none" w:sz="0" w:space="0" w:color="auto"/>
                  </w:divBdr>
                  <w:divsChild>
                    <w:div w:id="657459046">
                      <w:marLeft w:val="0"/>
                      <w:marRight w:val="0"/>
                      <w:marTop w:val="0"/>
                      <w:marBottom w:val="0"/>
                      <w:divBdr>
                        <w:top w:val="none" w:sz="0" w:space="0" w:color="auto"/>
                        <w:left w:val="none" w:sz="0" w:space="0" w:color="auto"/>
                        <w:bottom w:val="none" w:sz="0" w:space="0" w:color="auto"/>
                        <w:right w:val="none" w:sz="0" w:space="0" w:color="auto"/>
                      </w:divBdr>
                    </w:div>
                  </w:divsChild>
                </w:div>
                <w:div w:id="1516309954">
                  <w:marLeft w:val="0"/>
                  <w:marRight w:val="0"/>
                  <w:marTop w:val="0"/>
                  <w:marBottom w:val="0"/>
                  <w:divBdr>
                    <w:top w:val="none" w:sz="0" w:space="0" w:color="auto"/>
                    <w:left w:val="none" w:sz="0" w:space="0" w:color="auto"/>
                    <w:bottom w:val="none" w:sz="0" w:space="0" w:color="auto"/>
                    <w:right w:val="none" w:sz="0" w:space="0" w:color="auto"/>
                  </w:divBdr>
                  <w:divsChild>
                    <w:div w:id="711921364">
                      <w:marLeft w:val="0"/>
                      <w:marRight w:val="0"/>
                      <w:marTop w:val="0"/>
                      <w:marBottom w:val="0"/>
                      <w:divBdr>
                        <w:top w:val="none" w:sz="0" w:space="0" w:color="auto"/>
                        <w:left w:val="none" w:sz="0" w:space="0" w:color="auto"/>
                        <w:bottom w:val="none" w:sz="0" w:space="0" w:color="auto"/>
                        <w:right w:val="none" w:sz="0" w:space="0" w:color="auto"/>
                      </w:divBdr>
                    </w:div>
                  </w:divsChild>
                </w:div>
                <w:div w:id="1568492888">
                  <w:marLeft w:val="0"/>
                  <w:marRight w:val="0"/>
                  <w:marTop w:val="0"/>
                  <w:marBottom w:val="0"/>
                  <w:divBdr>
                    <w:top w:val="none" w:sz="0" w:space="0" w:color="auto"/>
                    <w:left w:val="none" w:sz="0" w:space="0" w:color="auto"/>
                    <w:bottom w:val="none" w:sz="0" w:space="0" w:color="auto"/>
                    <w:right w:val="none" w:sz="0" w:space="0" w:color="auto"/>
                  </w:divBdr>
                  <w:divsChild>
                    <w:div w:id="629826029">
                      <w:marLeft w:val="0"/>
                      <w:marRight w:val="0"/>
                      <w:marTop w:val="0"/>
                      <w:marBottom w:val="0"/>
                      <w:divBdr>
                        <w:top w:val="none" w:sz="0" w:space="0" w:color="auto"/>
                        <w:left w:val="none" w:sz="0" w:space="0" w:color="auto"/>
                        <w:bottom w:val="none" w:sz="0" w:space="0" w:color="auto"/>
                        <w:right w:val="none" w:sz="0" w:space="0" w:color="auto"/>
                      </w:divBdr>
                    </w:div>
                  </w:divsChild>
                </w:div>
                <w:div w:id="1612666155">
                  <w:marLeft w:val="0"/>
                  <w:marRight w:val="0"/>
                  <w:marTop w:val="0"/>
                  <w:marBottom w:val="0"/>
                  <w:divBdr>
                    <w:top w:val="none" w:sz="0" w:space="0" w:color="auto"/>
                    <w:left w:val="none" w:sz="0" w:space="0" w:color="auto"/>
                    <w:bottom w:val="none" w:sz="0" w:space="0" w:color="auto"/>
                    <w:right w:val="none" w:sz="0" w:space="0" w:color="auto"/>
                  </w:divBdr>
                  <w:divsChild>
                    <w:div w:id="1189875996">
                      <w:marLeft w:val="0"/>
                      <w:marRight w:val="0"/>
                      <w:marTop w:val="0"/>
                      <w:marBottom w:val="0"/>
                      <w:divBdr>
                        <w:top w:val="none" w:sz="0" w:space="0" w:color="auto"/>
                        <w:left w:val="none" w:sz="0" w:space="0" w:color="auto"/>
                        <w:bottom w:val="none" w:sz="0" w:space="0" w:color="auto"/>
                        <w:right w:val="none" w:sz="0" w:space="0" w:color="auto"/>
                      </w:divBdr>
                    </w:div>
                  </w:divsChild>
                </w:div>
                <w:div w:id="1662805273">
                  <w:marLeft w:val="0"/>
                  <w:marRight w:val="0"/>
                  <w:marTop w:val="0"/>
                  <w:marBottom w:val="0"/>
                  <w:divBdr>
                    <w:top w:val="none" w:sz="0" w:space="0" w:color="auto"/>
                    <w:left w:val="none" w:sz="0" w:space="0" w:color="auto"/>
                    <w:bottom w:val="none" w:sz="0" w:space="0" w:color="auto"/>
                    <w:right w:val="none" w:sz="0" w:space="0" w:color="auto"/>
                  </w:divBdr>
                  <w:divsChild>
                    <w:div w:id="1541241730">
                      <w:marLeft w:val="0"/>
                      <w:marRight w:val="0"/>
                      <w:marTop w:val="0"/>
                      <w:marBottom w:val="0"/>
                      <w:divBdr>
                        <w:top w:val="none" w:sz="0" w:space="0" w:color="auto"/>
                        <w:left w:val="none" w:sz="0" w:space="0" w:color="auto"/>
                        <w:bottom w:val="none" w:sz="0" w:space="0" w:color="auto"/>
                        <w:right w:val="none" w:sz="0" w:space="0" w:color="auto"/>
                      </w:divBdr>
                    </w:div>
                  </w:divsChild>
                </w:div>
                <w:div w:id="1848013033">
                  <w:marLeft w:val="0"/>
                  <w:marRight w:val="0"/>
                  <w:marTop w:val="0"/>
                  <w:marBottom w:val="0"/>
                  <w:divBdr>
                    <w:top w:val="none" w:sz="0" w:space="0" w:color="auto"/>
                    <w:left w:val="none" w:sz="0" w:space="0" w:color="auto"/>
                    <w:bottom w:val="none" w:sz="0" w:space="0" w:color="auto"/>
                    <w:right w:val="none" w:sz="0" w:space="0" w:color="auto"/>
                  </w:divBdr>
                  <w:divsChild>
                    <w:div w:id="976687748">
                      <w:marLeft w:val="0"/>
                      <w:marRight w:val="0"/>
                      <w:marTop w:val="0"/>
                      <w:marBottom w:val="0"/>
                      <w:divBdr>
                        <w:top w:val="none" w:sz="0" w:space="0" w:color="auto"/>
                        <w:left w:val="none" w:sz="0" w:space="0" w:color="auto"/>
                        <w:bottom w:val="none" w:sz="0" w:space="0" w:color="auto"/>
                        <w:right w:val="none" w:sz="0" w:space="0" w:color="auto"/>
                      </w:divBdr>
                    </w:div>
                  </w:divsChild>
                </w:div>
                <w:div w:id="2003581081">
                  <w:marLeft w:val="0"/>
                  <w:marRight w:val="0"/>
                  <w:marTop w:val="0"/>
                  <w:marBottom w:val="0"/>
                  <w:divBdr>
                    <w:top w:val="none" w:sz="0" w:space="0" w:color="auto"/>
                    <w:left w:val="none" w:sz="0" w:space="0" w:color="auto"/>
                    <w:bottom w:val="none" w:sz="0" w:space="0" w:color="auto"/>
                    <w:right w:val="none" w:sz="0" w:space="0" w:color="auto"/>
                  </w:divBdr>
                  <w:divsChild>
                    <w:div w:id="1383477097">
                      <w:marLeft w:val="0"/>
                      <w:marRight w:val="0"/>
                      <w:marTop w:val="0"/>
                      <w:marBottom w:val="0"/>
                      <w:divBdr>
                        <w:top w:val="none" w:sz="0" w:space="0" w:color="auto"/>
                        <w:left w:val="none" w:sz="0" w:space="0" w:color="auto"/>
                        <w:bottom w:val="none" w:sz="0" w:space="0" w:color="auto"/>
                        <w:right w:val="none" w:sz="0" w:space="0" w:color="auto"/>
                      </w:divBdr>
                    </w:div>
                  </w:divsChild>
                </w:div>
                <w:div w:id="2004040032">
                  <w:marLeft w:val="0"/>
                  <w:marRight w:val="0"/>
                  <w:marTop w:val="0"/>
                  <w:marBottom w:val="0"/>
                  <w:divBdr>
                    <w:top w:val="none" w:sz="0" w:space="0" w:color="auto"/>
                    <w:left w:val="none" w:sz="0" w:space="0" w:color="auto"/>
                    <w:bottom w:val="none" w:sz="0" w:space="0" w:color="auto"/>
                    <w:right w:val="none" w:sz="0" w:space="0" w:color="auto"/>
                  </w:divBdr>
                  <w:divsChild>
                    <w:div w:id="151258923">
                      <w:marLeft w:val="0"/>
                      <w:marRight w:val="0"/>
                      <w:marTop w:val="0"/>
                      <w:marBottom w:val="0"/>
                      <w:divBdr>
                        <w:top w:val="none" w:sz="0" w:space="0" w:color="auto"/>
                        <w:left w:val="none" w:sz="0" w:space="0" w:color="auto"/>
                        <w:bottom w:val="none" w:sz="0" w:space="0" w:color="auto"/>
                        <w:right w:val="none" w:sz="0" w:space="0" w:color="auto"/>
                      </w:divBdr>
                    </w:div>
                  </w:divsChild>
                </w:div>
                <w:div w:id="2129472611">
                  <w:marLeft w:val="0"/>
                  <w:marRight w:val="0"/>
                  <w:marTop w:val="0"/>
                  <w:marBottom w:val="0"/>
                  <w:divBdr>
                    <w:top w:val="none" w:sz="0" w:space="0" w:color="auto"/>
                    <w:left w:val="none" w:sz="0" w:space="0" w:color="auto"/>
                    <w:bottom w:val="none" w:sz="0" w:space="0" w:color="auto"/>
                    <w:right w:val="none" w:sz="0" w:space="0" w:color="auto"/>
                  </w:divBdr>
                  <w:divsChild>
                    <w:div w:id="18132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2221">
          <w:marLeft w:val="0"/>
          <w:marRight w:val="0"/>
          <w:marTop w:val="0"/>
          <w:marBottom w:val="0"/>
          <w:divBdr>
            <w:top w:val="none" w:sz="0" w:space="0" w:color="auto"/>
            <w:left w:val="none" w:sz="0" w:space="0" w:color="auto"/>
            <w:bottom w:val="none" w:sz="0" w:space="0" w:color="auto"/>
            <w:right w:val="none" w:sz="0" w:space="0" w:color="auto"/>
          </w:divBdr>
        </w:div>
        <w:div w:id="363679271">
          <w:marLeft w:val="0"/>
          <w:marRight w:val="0"/>
          <w:marTop w:val="0"/>
          <w:marBottom w:val="0"/>
          <w:divBdr>
            <w:top w:val="none" w:sz="0" w:space="0" w:color="auto"/>
            <w:left w:val="none" w:sz="0" w:space="0" w:color="auto"/>
            <w:bottom w:val="none" w:sz="0" w:space="0" w:color="auto"/>
            <w:right w:val="none" w:sz="0" w:space="0" w:color="auto"/>
          </w:divBdr>
        </w:div>
        <w:div w:id="375392334">
          <w:marLeft w:val="0"/>
          <w:marRight w:val="0"/>
          <w:marTop w:val="0"/>
          <w:marBottom w:val="0"/>
          <w:divBdr>
            <w:top w:val="none" w:sz="0" w:space="0" w:color="auto"/>
            <w:left w:val="none" w:sz="0" w:space="0" w:color="auto"/>
            <w:bottom w:val="none" w:sz="0" w:space="0" w:color="auto"/>
            <w:right w:val="none" w:sz="0" w:space="0" w:color="auto"/>
          </w:divBdr>
        </w:div>
        <w:div w:id="389109451">
          <w:marLeft w:val="0"/>
          <w:marRight w:val="0"/>
          <w:marTop w:val="0"/>
          <w:marBottom w:val="0"/>
          <w:divBdr>
            <w:top w:val="none" w:sz="0" w:space="0" w:color="auto"/>
            <w:left w:val="none" w:sz="0" w:space="0" w:color="auto"/>
            <w:bottom w:val="none" w:sz="0" w:space="0" w:color="auto"/>
            <w:right w:val="none" w:sz="0" w:space="0" w:color="auto"/>
          </w:divBdr>
        </w:div>
        <w:div w:id="477721615">
          <w:marLeft w:val="0"/>
          <w:marRight w:val="0"/>
          <w:marTop w:val="0"/>
          <w:marBottom w:val="0"/>
          <w:divBdr>
            <w:top w:val="none" w:sz="0" w:space="0" w:color="auto"/>
            <w:left w:val="none" w:sz="0" w:space="0" w:color="auto"/>
            <w:bottom w:val="none" w:sz="0" w:space="0" w:color="auto"/>
            <w:right w:val="none" w:sz="0" w:space="0" w:color="auto"/>
          </w:divBdr>
        </w:div>
        <w:div w:id="568424920">
          <w:marLeft w:val="0"/>
          <w:marRight w:val="0"/>
          <w:marTop w:val="0"/>
          <w:marBottom w:val="0"/>
          <w:divBdr>
            <w:top w:val="none" w:sz="0" w:space="0" w:color="auto"/>
            <w:left w:val="none" w:sz="0" w:space="0" w:color="auto"/>
            <w:bottom w:val="none" w:sz="0" w:space="0" w:color="auto"/>
            <w:right w:val="none" w:sz="0" w:space="0" w:color="auto"/>
          </w:divBdr>
        </w:div>
        <w:div w:id="589314038">
          <w:marLeft w:val="0"/>
          <w:marRight w:val="0"/>
          <w:marTop w:val="0"/>
          <w:marBottom w:val="0"/>
          <w:divBdr>
            <w:top w:val="none" w:sz="0" w:space="0" w:color="auto"/>
            <w:left w:val="none" w:sz="0" w:space="0" w:color="auto"/>
            <w:bottom w:val="none" w:sz="0" w:space="0" w:color="auto"/>
            <w:right w:val="none" w:sz="0" w:space="0" w:color="auto"/>
          </w:divBdr>
        </w:div>
        <w:div w:id="600797913">
          <w:marLeft w:val="0"/>
          <w:marRight w:val="0"/>
          <w:marTop w:val="0"/>
          <w:marBottom w:val="0"/>
          <w:divBdr>
            <w:top w:val="none" w:sz="0" w:space="0" w:color="auto"/>
            <w:left w:val="none" w:sz="0" w:space="0" w:color="auto"/>
            <w:bottom w:val="none" w:sz="0" w:space="0" w:color="auto"/>
            <w:right w:val="none" w:sz="0" w:space="0" w:color="auto"/>
          </w:divBdr>
          <w:divsChild>
            <w:div w:id="732847405">
              <w:marLeft w:val="-75"/>
              <w:marRight w:val="0"/>
              <w:marTop w:val="30"/>
              <w:marBottom w:val="30"/>
              <w:divBdr>
                <w:top w:val="none" w:sz="0" w:space="0" w:color="auto"/>
                <w:left w:val="none" w:sz="0" w:space="0" w:color="auto"/>
                <w:bottom w:val="none" w:sz="0" w:space="0" w:color="auto"/>
                <w:right w:val="none" w:sz="0" w:space="0" w:color="auto"/>
              </w:divBdr>
              <w:divsChild>
                <w:div w:id="98376385">
                  <w:marLeft w:val="0"/>
                  <w:marRight w:val="0"/>
                  <w:marTop w:val="0"/>
                  <w:marBottom w:val="0"/>
                  <w:divBdr>
                    <w:top w:val="none" w:sz="0" w:space="0" w:color="auto"/>
                    <w:left w:val="none" w:sz="0" w:space="0" w:color="auto"/>
                    <w:bottom w:val="none" w:sz="0" w:space="0" w:color="auto"/>
                    <w:right w:val="none" w:sz="0" w:space="0" w:color="auto"/>
                  </w:divBdr>
                  <w:divsChild>
                    <w:div w:id="1729962053">
                      <w:marLeft w:val="0"/>
                      <w:marRight w:val="0"/>
                      <w:marTop w:val="0"/>
                      <w:marBottom w:val="0"/>
                      <w:divBdr>
                        <w:top w:val="none" w:sz="0" w:space="0" w:color="auto"/>
                        <w:left w:val="none" w:sz="0" w:space="0" w:color="auto"/>
                        <w:bottom w:val="none" w:sz="0" w:space="0" w:color="auto"/>
                        <w:right w:val="none" w:sz="0" w:space="0" w:color="auto"/>
                      </w:divBdr>
                    </w:div>
                  </w:divsChild>
                </w:div>
                <w:div w:id="272831346">
                  <w:marLeft w:val="0"/>
                  <w:marRight w:val="0"/>
                  <w:marTop w:val="0"/>
                  <w:marBottom w:val="0"/>
                  <w:divBdr>
                    <w:top w:val="none" w:sz="0" w:space="0" w:color="auto"/>
                    <w:left w:val="none" w:sz="0" w:space="0" w:color="auto"/>
                    <w:bottom w:val="none" w:sz="0" w:space="0" w:color="auto"/>
                    <w:right w:val="none" w:sz="0" w:space="0" w:color="auto"/>
                  </w:divBdr>
                  <w:divsChild>
                    <w:div w:id="1125663212">
                      <w:marLeft w:val="0"/>
                      <w:marRight w:val="0"/>
                      <w:marTop w:val="0"/>
                      <w:marBottom w:val="0"/>
                      <w:divBdr>
                        <w:top w:val="none" w:sz="0" w:space="0" w:color="auto"/>
                        <w:left w:val="none" w:sz="0" w:space="0" w:color="auto"/>
                        <w:bottom w:val="none" w:sz="0" w:space="0" w:color="auto"/>
                        <w:right w:val="none" w:sz="0" w:space="0" w:color="auto"/>
                      </w:divBdr>
                    </w:div>
                  </w:divsChild>
                </w:div>
                <w:div w:id="439299557">
                  <w:marLeft w:val="0"/>
                  <w:marRight w:val="0"/>
                  <w:marTop w:val="0"/>
                  <w:marBottom w:val="0"/>
                  <w:divBdr>
                    <w:top w:val="none" w:sz="0" w:space="0" w:color="auto"/>
                    <w:left w:val="none" w:sz="0" w:space="0" w:color="auto"/>
                    <w:bottom w:val="none" w:sz="0" w:space="0" w:color="auto"/>
                    <w:right w:val="none" w:sz="0" w:space="0" w:color="auto"/>
                  </w:divBdr>
                  <w:divsChild>
                    <w:div w:id="941297716">
                      <w:marLeft w:val="0"/>
                      <w:marRight w:val="0"/>
                      <w:marTop w:val="0"/>
                      <w:marBottom w:val="0"/>
                      <w:divBdr>
                        <w:top w:val="none" w:sz="0" w:space="0" w:color="auto"/>
                        <w:left w:val="none" w:sz="0" w:space="0" w:color="auto"/>
                        <w:bottom w:val="none" w:sz="0" w:space="0" w:color="auto"/>
                        <w:right w:val="none" w:sz="0" w:space="0" w:color="auto"/>
                      </w:divBdr>
                    </w:div>
                  </w:divsChild>
                </w:div>
                <w:div w:id="449520115">
                  <w:marLeft w:val="0"/>
                  <w:marRight w:val="0"/>
                  <w:marTop w:val="0"/>
                  <w:marBottom w:val="0"/>
                  <w:divBdr>
                    <w:top w:val="none" w:sz="0" w:space="0" w:color="auto"/>
                    <w:left w:val="none" w:sz="0" w:space="0" w:color="auto"/>
                    <w:bottom w:val="none" w:sz="0" w:space="0" w:color="auto"/>
                    <w:right w:val="none" w:sz="0" w:space="0" w:color="auto"/>
                  </w:divBdr>
                  <w:divsChild>
                    <w:div w:id="929503134">
                      <w:marLeft w:val="0"/>
                      <w:marRight w:val="0"/>
                      <w:marTop w:val="0"/>
                      <w:marBottom w:val="0"/>
                      <w:divBdr>
                        <w:top w:val="none" w:sz="0" w:space="0" w:color="auto"/>
                        <w:left w:val="none" w:sz="0" w:space="0" w:color="auto"/>
                        <w:bottom w:val="none" w:sz="0" w:space="0" w:color="auto"/>
                        <w:right w:val="none" w:sz="0" w:space="0" w:color="auto"/>
                      </w:divBdr>
                    </w:div>
                  </w:divsChild>
                </w:div>
                <w:div w:id="506796888">
                  <w:marLeft w:val="0"/>
                  <w:marRight w:val="0"/>
                  <w:marTop w:val="0"/>
                  <w:marBottom w:val="0"/>
                  <w:divBdr>
                    <w:top w:val="none" w:sz="0" w:space="0" w:color="auto"/>
                    <w:left w:val="none" w:sz="0" w:space="0" w:color="auto"/>
                    <w:bottom w:val="none" w:sz="0" w:space="0" w:color="auto"/>
                    <w:right w:val="none" w:sz="0" w:space="0" w:color="auto"/>
                  </w:divBdr>
                  <w:divsChild>
                    <w:div w:id="196160816">
                      <w:marLeft w:val="0"/>
                      <w:marRight w:val="0"/>
                      <w:marTop w:val="0"/>
                      <w:marBottom w:val="0"/>
                      <w:divBdr>
                        <w:top w:val="none" w:sz="0" w:space="0" w:color="auto"/>
                        <w:left w:val="none" w:sz="0" w:space="0" w:color="auto"/>
                        <w:bottom w:val="none" w:sz="0" w:space="0" w:color="auto"/>
                        <w:right w:val="none" w:sz="0" w:space="0" w:color="auto"/>
                      </w:divBdr>
                    </w:div>
                  </w:divsChild>
                </w:div>
                <w:div w:id="612713064">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 w:id="641816304">
                  <w:marLeft w:val="0"/>
                  <w:marRight w:val="0"/>
                  <w:marTop w:val="0"/>
                  <w:marBottom w:val="0"/>
                  <w:divBdr>
                    <w:top w:val="none" w:sz="0" w:space="0" w:color="auto"/>
                    <w:left w:val="none" w:sz="0" w:space="0" w:color="auto"/>
                    <w:bottom w:val="none" w:sz="0" w:space="0" w:color="auto"/>
                    <w:right w:val="none" w:sz="0" w:space="0" w:color="auto"/>
                  </w:divBdr>
                  <w:divsChild>
                    <w:div w:id="98183562">
                      <w:marLeft w:val="0"/>
                      <w:marRight w:val="0"/>
                      <w:marTop w:val="0"/>
                      <w:marBottom w:val="0"/>
                      <w:divBdr>
                        <w:top w:val="none" w:sz="0" w:space="0" w:color="auto"/>
                        <w:left w:val="none" w:sz="0" w:space="0" w:color="auto"/>
                        <w:bottom w:val="none" w:sz="0" w:space="0" w:color="auto"/>
                        <w:right w:val="none" w:sz="0" w:space="0" w:color="auto"/>
                      </w:divBdr>
                    </w:div>
                  </w:divsChild>
                </w:div>
                <w:div w:id="679702720">
                  <w:marLeft w:val="0"/>
                  <w:marRight w:val="0"/>
                  <w:marTop w:val="0"/>
                  <w:marBottom w:val="0"/>
                  <w:divBdr>
                    <w:top w:val="none" w:sz="0" w:space="0" w:color="auto"/>
                    <w:left w:val="none" w:sz="0" w:space="0" w:color="auto"/>
                    <w:bottom w:val="none" w:sz="0" w:space="0" w:color="auto"/>
                    <w:right w:val="none" w:sz="0" w:space="0" w:color="auto"/>
                  </w:divBdr>
                  <w:divsChild>
                    <w:div w:id="506675002">
                      <w:marLeft w:val="0"/>
                      <w:marRight w:val="0"/>
                      <w:marTop w:val="0"/>
                      <w:marBottom w:val="0"/>
                      <w:divBdr>
                        <w:top w:val="none" w:sz="0" w:space="0" w:color="auto"/>
                        <w:left w:val="none" w:sz="0" w:space="0" w:color="auto"/>
                        <w:bottom w:val="none" w:sz="0" w:space="0" w:color="auto"/>
                        <w:right w:val="none" w:sz="0" w:space="0" w:color="auto"/>
                      </w:divBdr>
                    </w:div>
                  </w:divsChild>
                </w:div>
                <w:div w:id="697435017">
                  <w:marLeft w:val="0"/>
                  <w:marRight w:val="0"/>
                  <w:marTop w:val="0"/>
                  <w:marBottom w:val="0"/>
                  <w:divBdr>
                    <w:top w:val="none" w:sz="0" w:space="0" w:color="auto"/>
                    <w:left w:val="none" w:sz="0" w:space="0" w:color="auto"/>
                    <w:bottom w:val="none" w:sz="0" w:space="0" w:color="auto"/>
                    <w:right w:val="none" w:sz="0" w:space="0" w:color="auto"/>
                  </w:divBdr>
                  <w:divsChild>
                    <w:div w:id="1643147139">
                      <w:marLeft w:val="0"/>
                      <w:marRight w:val="0"/>
                      <w:marTop w:val="0"/>
                      <w:marBottom w:val="0"/>
                      <w:divBdr>
                        <w:top w:val="none" w:sz="0" w:space="0" w:color="auto"/>
                        <w:left w:val="none" w:sz="0" w:space="0" w:color="auto"/>
                        <w:bottom w:val="none" w:sz="0" w:space="0" w:color="auto"/>
                        <w:right w:val="none" w:sz="0" w:space="0" w:color="auto"/>
                      </w:divBdr>
                    </w:div>
                  </w:divsChild>
                </w:div>
                <w:div w:id="703484860">
                  <w:marLeft w:val="0"/>
                  <w:marRight w:val="0"/>
                  <w:marTop w:val="0"/>
                  <w:marBottom w:val="0"/>
                  <w:divBdr>
                    <w:top w:val="none" w:sz="0" w:space="0" w:color="auto"/>
                    <w:left w:val="none" w:sz="0" w:space="0" w:color="auto"/>
                    <w:bottom w:val="none" w:sz="0" w:space="0" w:color="auto"/>
                    <w:right w:val="none" w:sz="0" w:space="0" w:color="auto"/>
                  </w:divBdr>
                  <w:divsChild>
                    <w:div w:id="1528177214">
                      <w:marLeft w:val="0"/>
                      <w:marRight w:val="0"/>
                      <w:marTop w:val="0"/>
                      <w:marBottom w:val="0"/>
                      <w:divBdr>
                        <w:top w:val="none" w:sz="0" w:space="0" w:color="auto"/>
                        <w:left w:val="none" w:sz="0" w:space="0" w:color="auto"/>
                        <w:bottom w:val="none" w:sz="0" w:space="0" w:color="auto"/>
                        <w:right w:val="none" w:sz="0" w:space="0" w:color="auto"/>
                      </w:divBdr>
                    </w:div>
                  </w:divsChild>
                </w:div>
                <w:div w:id="706179425">
                  <w:marLeft w:val="0"/>
                  <w:marRight w:val="0"/>
                  <w:marTop w:val="0"/>
                  <w:marBottom w:val="0"/>
                  <w:divBdr>
                    <w:top w:val="none" w:sz="0" w:space="0" w:color="auto"/>
                    <w:left w:val="none" w:sz="0" w:space="0" w:color="auto"/>
                    <w:bottom w:val="none" w:sz="0" w:space="0" w:color="auto"/>
                    <w:right w:val="none" w:sz="0" w:space="0" w:color="auto"/>
                  </w:divBdr>
                  <w:divsChild>
                    <w:div w:id="1689258059">
                      <w:marLeft w:val="0"/>
                      <w:marRight w:val="0"/>
                      <w:marTop w:val="0"/>
                      <w:marBottom w:val="0"/>
                      <w:divBdr>
                        <w:top w:val="none" w:sz="0" w:space="0" w:color="auto"/>
                        <w:left w:val="none" w:sz="0" w:space="0" w:color="auto"/>
                        <w:bottom w:val="none" w:sz="0" w:space="0" w:color="auto"/>
                        <w:right w:val="none" w:sz="0" w:space="0" w:color="auto"/>
                      </w:divBdr>
                    </w:div>
                  </w:divsChild>
                </w:div>
                <w:div w:id="713239131">
                  <w:marLeft w:val="0"/>
                  <w:marRight w:val="0"/>
                  <w:marTop w:val="0"/>
                  <w:marBottom w:val="0"/>
                  <w:divBdr>
                    <w:top w:val="none" w:sz="0" w:space="0" w:color="auto"/>
                    <w:left w:val="none" w:sz="0" w:space="0" w:color="auto"/>
                    <w:bottom w:val="none" w:sz="0" w:space="0" w:color="auto"/>
                    <w:right w:val="none" w:sz="0" w:space="0" w:color="auto"/>
                  </w:divBdr>
                  <w:divsChild>
                    <w:div w:id="742025514">
                      <w:marLeft w:val="0"/>
                      <w:marRight w:val="0"/>
                      <w:marTop w:val="0"/>
                      <w:marBottom w:val="0"/>
                      <w:divBdr>
                        <w:top w:val="none" w:sz="0" w:space="0" w:color="auto"/>
                        <w:left w:val="none" w:sz="0" w:space="0" w:color="auto"/>
                        <w:bottom w:val="none" w:sz="0" w:space="0" w:color="auto"/>
                        <w:right w:val="none" w:sz="0" w:space="0" w:color="auto"/>
                      </w:divBdr>
                    </w:div>
                  </w:divsChild>
                </w:div>
                <w:div w:id="987171755">
                  <w:marLeft w:val="0"/>
                  <w:marRight w:val="0"/>
                  <w:marTop w:val="0"/>
                  <w:marBottom w:val="0"/>
                  <w:divBdr>
                    <w:top w:val="none" w:sz="0" w:space="0" w:color="auto"/>
                    <w:left w:val="none" w:sz="0" w:space="0" w:color="auto"/>
                    <w:bottom w:val="none" w:sz="0" w:space="0" w:color="auto"/>
                    <w:right w:val="none" w:sz="0" w:space="0" w:color="auto"/>
                  </w:divBdr>
                  <w:divsChild>
                    <w:div w:id="987056008">
                      <w:marLeft w:val="0"/>
                      <w:marRight w:val="0"/>
                      <w:marTop w:val="0"/>
                      <w:marBottom w:val="0"/>
                      <w:divBdr>
                        <w:top w:val="none" w:sz="0" w:space="0" w:color="auto"/>
                        <w:left w:val="none" w:sz="0" w:space="0" w:color="auto"/>
                        <w:bottom w:val="none" w:sz="0" w:space="0" w:color="auto"/>
                        <w:right w:val="none" w:sz="0" w:space="0" w:color="auto"/>
                      </w:divBdr>
                    </w:div>
                  </w:divsChild>
                </w:div>
                <w:div w:id="987829485">
                  <w:marLeft w:val="0"/>
                  <w:marRight w:val="0"/>
                  <w:marTop w:val="0"/>
                  <w:marBottom w:val="0"/>
                  <w:divBdr>
                    <w:top w:val="none" w:sz="0" w:space="0" w:color="auto"/>
                    <w:left w:val="none" w:sz="0" w:space="0" w:color="auto"/>
                    <w:bottom w:val="none" w:sz="0" w:space="0" w:color="auto"/>
                    <w:right w:val="none" w:sz="0" w:space="0" w:color="auto"/>
                  </w:divBdr>
                  <w:divsChild>
                    <w:div w:id="1955285629">
                      <w:marLeft w:val="0"/>
                      <w:marRight w:val="0"/>
                      <w:marTop w:val="0"/>
                      <w:marBottom w:val="0"/>
                      <w:divBdr>
                        <w:top w:val="none" w:sz="0" w:space="0" w:color="auto"/>
                        <w:left w:val="none" w:sz="0" w:space="0" w:color="auto"/>
                        <w:bottom w:val="none" w:sz="0" w:space="0" w:color="auto"/>
                        <w:right w:val="none" w:sz="0" w:space="0" w:color="auto"/>
                      </w:divBdr>
                    </w:div>
                  </w:divsChild>
                </w:div>
                <w:div w:id="1026566947">
                  <w:marLeft w:val="0"/>
                  <w:marRight w:val="0"/>
                  <w:marTop w:val="0"/>
                  <w:marBottom w:val="0"/>
                  <w:divBdr>
                    <w:top w:val="none" w:sz="0" w:space="0" w:color="auto"/>
                    <w:left w:val="none" w:sz="0" w:space="0" w:color="auto"/>
                    <w:bottom w:val="none" w:sz="0" w:space="0" w:color="auto"/>
                    <w:right w:val="none" w:sz="0" w:space="0" w:color="auto"/>
                  </w:divBdr>
                  <w:divsChild>
                    <w:div w:id="652025406">
                      <w:marLeft w:val="0"/>
                      <w:marRight w:val="0"/>
                      <w:marTop w:val="0"/>
                      <w:marBottom w:val="0"/>
                      <w:divBdr>
                        <w:top w:val="none" w:sz="0" w:space="0" w:color="auto"/>
                        <w:left w:val="none" w:sz="0" w:space="0" w:color="auto"/>
                        <w:bottom w:val="none" w:sz="0" w:space="0" w:color="auto"/>
                        <w:right w:val="none" w:sz="0" w:space="0" w:color="auto"/>
                      </w:divBdr>
                    </w:div>
                  </w:divsChild>
                </w:div>
                <w:div w:id="1059940242">
                  <w:marLeft w:val="0"/>
                  <w:marRight w:val="0"/>
                  <w:marTop w:val="0"/>
                  <w:marBottom w:val="0"/>
                  <w:divBdr>
                    <w:top w:val="none" w:sz="0" w:space="0" w:color="auto"/>
                    <w:left w:val="none" w:sz="0" w:space="0" w:color="auto"/>
                    <w:bottom w:val="none" w:sz="0" w:space="0" w:color="auto"/>
                    <w:right w:val="none" w:sz="0" w:space="0" w:color="auto"/>
                  </w:divBdr>
                  <w:divsChild>
                    <w:div w:id="1921136969">
                      <w:marLeft w:val="0"/>
                      <w:marRight w:val="0"/>
                      <w:marTop w:val="0"/>
                      <w:marBottom w:val="0"/>
                      <w:divBdr>
                        <w:top w:val="none" w:sz="0" w:space="0" w:color="auto"/>
                        <w:left w:val="none" w:sz="0" w:space="0" w:color="auto"/>
                        <w:bottom w:val="none" w:sz="0" w:space="0" w:color="auto"/>
                        <w:right w:val="none" w:sz="0" w:space="0" w:color="auto"/>
                      </w:divBdr>
                    </w:div>
                  </w:divsChild>
                </w:div>
                <w:div w:id="1081027906">
                  <w:marLeft w:val="0"/>
                  <w:marRight w:val="0"/>
                  <w:marTop w:val="0"/>
                  <w:marBottom w:val="0"/>
                  <w:divBdr>
                    <w:top w:val="none" w:sz="0" w:space="0" w:color="auto"/>
                    <w:left w:val="none" w:sz="0" w:space="0" w:color="auto"/>
                    <w:bottom w:val="none" w:sz="0" w:space="0" w:color="auto"/>
                    <w:right w:val="none" w:sz="0" w:space="0" w:color="auto"/>
                  </w:divBdr>
                  <w:divsChild>
                    <w:div w:id="1902864813">
                      <w:marLeft w:val="0"/>
                      <w:marRight w:val="0"/>
                      <w:marTop w:val="0"/>
                      <w:marBottom w:val="0"/>
                      <w:divBdr>
                        <w:top w:val="none" w:sz="0" w:space="0" w:color="auto"/>
                        <w:left w:val="none" w:sz="0" w:space="0" w:color="auto"/>
                        <w:bottom w:val="none" w:sz="0" w:space="0" w:color="auto"/>
                        <w:right w:val="none" w:sz="0" w:space="0" w:color="auto"/>
                      </w:divBdr>
                    </w:div>
                  </w:divsChild>
                </w:div>
                <w:div w:id="1127240485">
                  <w:marLeft w:val="0"/>
                  <w:marRight w:val="0"/>
                  <w:marTop w:val="0"/>
                  <w:marBottom w:val="0"/>
                  <w:divBdr>
                    <w:top w:val="none" w:sz="0" w:space="0" w:color="auto"/>
                    <w:left w:val="none" w:sz="0" w:space="0" w:color="auto"/>
                    <w:bottom w:val="none" w:sz="0" w:space="0" w:color="auto"/>
                    <w:right w:val="none" w:sz="0" w:space="0" w:color="auto"/>
                  </w:divBdr>
                  <w:divsChild>
                    <w:div w:id="613251222">
                      <w:marLeft w:val="0"/>
                      <w:marRight w:val="0"/>
                      <w:marTop w:val="0"/>
                      <w:marBottom w:val="0"/>
                      <w:divBdr>
                        <w:top w:val="none" w:sz="0" w:space="0" w:color="auto"/>
                        <w:left w:val="none" w:sz="0" w:space="0" w:color="auto"/>
                        <w:bottom w:val="none" w:sz="0" w:space="0" w:color="auto"/>
                        <w:right w:val="none" w:sz="0" w:space="0" w:color="auto"/>
                      </w:divBdr>
                    </w:div>
                  </w:divsChild>
                </w:div>
                <w:div w:id="1169490248">
                  <w:marLeft w:val="0"/>
                  <w:marRight w:val="0"/>
                  <w:marTop w:val="0"/>
                  <w:marBottom w:val="0"/>
                  <w:divBdr>
                    <w:top w:val="none" w:sz="0" w:space="0" w:color="auto"/>
                    <w:left w:val="none" w:sz="0" w:space="0" w:color="auto"/>
                    <w:bottom w:val="none" w:sz="0" w:space="0" w:color="auto"/>
                    <w:right w:val="none" w:sz="0" w:space="0" w:color="auto"/>
                  </w:divBdr>
                  <w:divsChild>
                    <w:div w:id="1782413102">
                      <w:marLeft w:val="0"/>
                      <w:marRight w:val="0"/>
                      <w:marTop w:val="0"/>
                      <w:marBottom w:val="0"/>
                      <w:divBdr>
                        <w:top w:val="none" w:sz="0" w:space="0" w:color="auto"/>
                        <w:left w:val="none" w:sz="0" w:space="0" w:color="auto"/>
                        <w:bottom w:val="none" w:sz="0" w:space="0" w:color="auto"/>
                        <w:right w:val="none" w:sz="0" w:space="0" w:color="auto"/>
                      </w:divBdr>
                    </w:div>
                  </w:divsChild>
                </w:div>
                <w:div w:id="1174884594">
                  <w:marLeft w:val="0"/>
                  <w:marRight w:val="0"/>
                  <w:marTop w:val="0"/>
                  <w:marBottom w:val="0"/>
                  <w:divBdr>
                    <w:top w:val="none" w:sz="0" w:space="0" w:color="auto"/>
                    <w:left w:val="none" w:sz="0" w:space="0" w:color="auto"/>
                    <w:bottom w:val="none" w:sz="0" w:space="0" w:color="auto"/>
                    <w:right w:val="none" w:sz="0" w:space="0" w:color="auto"/>
                  </w:divBdr>
                  <w:divsChild>
                    <w:div w:id="749037854">
                      <w:marLeft w:val="0"/>
                      <w:marRight w:val="0"/>
                      <w:marTop w:val="0"/>
                      <w:marBottom w:val="0"/>
                      <w:divBdr>
                        <w:top w:val="none" w:sz="0" w:space="0" w:color="auto"/>
                        <w:left w:val="none" w:sz="0" w:space="0" w:color="auto"/>
                        <w:bottom w:val="none" w:sz="0" w:space="0" w:color="auto"/>
                        <w:right w:val="none" w:sz="0" w:space="0" w:color="auto"/>
                      </w:divBdr>
                    </w:div>
                  </w:divsChild>
                </w:div>
                <w:div w:id="1264533122">
                  <w:marLeft w:val="0"/>
                  <w:marRight w:val="0"/>
                  <w:marTop w:val="0"/>
                  <w:marBottom w:val="0"/>
                  <w:divBdr>
                    <w:top w:val="none" w:sz="0" w:space="0" w:color="auto"/>
                    <w:left w:val="none" w:sz="0" w:space="0" w:color="auto"/>
                    <w:bottom w:val="none" w:sz="0" w:space="0" w:color="auto"/>
                    <w:right w:val="none" w:sz="0" w:space="0" w:color="auto"/>
                  </w:divBdr>
                  <w:divsChild>
                    <w:div w:id="170989952">
                      <w:marLeft w:val="0"/>
                      <w:marRight w:val="0"/>
                      <w:marTop w:val="0"/>
                      <w:marBottom w:val="0"/>
                      <w:divBdr>
                        <w:top w:val="none" w:sz="0" w:space="0" w:color="auto"/>
                        <w:left w:val="none" w:sz="0" w:space="0" w:color="auto"/>
                        <w:bottom w:val="none" w:sz="0" w:space="0" w:color="auto"/>
                        <w:right w:val="none" w:sz="0" w:space="0" w:color="auto"/>
                      </w:divBdr>
                    </w:div>
                  </w:divsChild>
                </w:div>
                <w:div w:id="1281181726">
                  <w:marLeft w:val="0"/>
                  <w:marRight w:val="0"/>
                  <w:marTop w:val="0"/>
                  <w:marBottom w:val="0"/>
                  <w:divBdr>
                    <w:top w:val="none" w:sz="0" w:space="0" w:color="auto"/>
                    <w:left w:val="none" w:sz="0" w:space="0" w:color="auto"/>
                    <w:bottom w:val="none" w:sz="0" w:space="0" w:color="auto"/>
                    <w:right w:val="none" w:sz="0" w:space="0" w:color="auto"/>
                  </w:divBdr>
                  <w:divsChild>
                    <w:div w:id="1596130576">
                      <w:marLeft w:val="0"/>
                      <w:marRight w:val="0"/>
                      <w:marTop w:val="0"/>
                      <w:marBottom w:val="0"/>
                      <w:divBdr>
                        <w:top w:val="none" w:sz="0" w:space="0" w:color="auto"/>
                        <w:left w:val="none" w:sz="0" w:space="0" w:color="auto"/>
                        <w:bottom w:val="none" w:sz="0" w:space="0" w:color="auto"/>
                        <w:right w:val="none" w:sz="0" w:space="0" w:color="auto"/>
                      </w:divBdr>
                    </w:div>
                  </w:divsChild>
                </w:div>
                <w:div w:id="1312835076">
                  <w:marLeft w:val="0"/>
                  <w:marRight w:val="0"/>
                  <w:marTop w:val="0"/>
                  <w:marBottom w:val="0"/>
                  <w:divBdr>
                    <w:top w:val="none" w:sz="0" w:space="0" w:color="auto"/>
                    <w:left w:val="none" w:sz="0" w:space="0" w:color="auto"/>
                    <w:bottom w:val="none" w:sz="0" w:space="0" w:color="auto"/>
                    <w:right w:val="none" w:sz="0" w:space="0" w:color="auto"/>
                  </w:divBdr>
                  <w:divsChild>
                    <w:div w:id="1804418371">
                      <w:marLeft w:val="0"/>
                      <w:marRight w:val="0"/>
                      <w:marTop w:val="0"/>
                      <w:marBottom w:val="0"/>
                      <w:divBdr>
                        <w:top w:val="none" w:sz="0" w:space="0" w:color="auto"/>
                        <w:left w:val="none" w:sz="0" w:space="0" w:color="auto"/>
                        <w:bottom w:val="none" w:sz="0" w:space="0" w:color="auto"/>
                        <w:right w:val="none" w:sz="0" w:space="0" w:color="auto"/>
                      </w:divBdr>
                    </w:div>
                  </w:divsChild>
                </w:div>
                <w:div w:id="1380283817">
                  <w:marLeft w:val="0"/>
                  <w:marRight w:val="0"/>
                  <w:marTop w:val="0"/>
                  <w:marBottom w:val="0"/>
                  <w:divBdr>
                    <w:top w:val="none" w:sz="0" w:space="0" w:color="auto"/>
                    <w:left w:val="none" w:sz="0" w:space="0" w:color="auto"/>
                    <w:bottom w:val="none" w:sz="0" w:space="0" w:color="auto"/>
                    <w:right w:val="none" w:sz="0" w:space="0" w:color="auto"/>
                  </w:divBdr>
                  <w:divsChild>
                    <w:div w:id="1319772374">
                      <w:marLeft w:val="0"/>
                      <w:marRight w:val="0"/>
                      <w:marTop w:val="0"/>
                      <w:marBottom w:val="0"/>
                      <w:divBdr>
                        <w:top w:val="none" w:sz="0" w:space="0" w:color="auto"/>
                        <w:left w:val="none" w:sz="0" w:space="0" w:color="auto"/>
                        <w:bottom w:val="none" w:sz="0" w:space="0" w:color="auto"/>
                        <w:right w:val="none" w:sz="0" w:space="0" w:color="auto"/>
                      </w:divBdr>
                    </w:div>
                  </w:divsChild>
                </w:div>
                <w:div w:id="1537888840">
                  <w:marLeft w:val="0"/>
                  <w:marRight w:val="0"/>
                  <w:marTop w:val="0"/>
                  <w:marBottom w:val="0"/>
                  <w:divBdr>
                    <w:top w:val="none" w:sz="0" w:space="0" w:color="auto"/>
                    <w:left w:val="none" w:sz="0" w:space="0" w:color="auto"/>
                    <w:bottom w:val="none" w:sz="0" w:space="0" w:color="auto"/>
                    <w:right w:val="none" w:sz="0" w:space="0" w:color="auto"/>
                  </w:divBdr>
                  <w:divsChild>
                    <w:div w:id="876237649">
                      <w:marLeft w:val="0"/>
                      <w:marRight w:val="0"/>
                      <w:marTop w:val="0"/>
                      <w:marBottom w:val="0"/>
                      <w:divBdr>
                        <w:top w:val="none" w:sz="0" w:space="0" w:color="auto"/>
                        <w:left w:val="none" w:sz="0" w:space="0" w:color="auto"/>
                        <w:bottom w:val="none" w:sz="0" w:space="0" w:color="auto"/>
                        <w:right w:val="none" w:sz="0" w:space="0" w:color="auto"/>
                      </w:divBdr>
                    </w:div>
                  </w:divsChild>
                </w:div>
                <w:div w:id="1725979321">
                  <w:marLeft w:val="0"/>
                  <w:marRight w:val="0"/>
                  <w:marTop w:val="0"/>
                  <w:marBottom w:val="0"/>
                  <w:divBdr>
                    <w:top w:val="none" w:sz="0" w:space="0" w:color="auto"/>
                    <w:left w:val="none" w:sz="0" w:space="0" w:color="auto"/>
                    <w:bottom w:val="none" w:sz="0" w:space="0" w:color="auto"/>
                    <w:right w:val="none" w:sz="0" w:space="0" w:color="auto"/>
                  </w:divBdr>
                  <w:divsChild>
                    <w:div w:id="1063214296">
                      <w:marLeft w:val="0"/>
                      <w:marRight w:val="0"/>
                      <w:marTop w:val="0"/>
                      <w:marBottom w:val="0"/>
                      <w:divBdr>
                        <w:top w:val="none" w:sz="0" w:space="0" w:color="auto"/>
                        <w:left w:val="none" w:sz="0" w:space="0" w:color="auto"/>
                        <w:bottom w:val="none" w:sz="0" w:space="0" w:color="auto"/>
                        <w:right w:val="none" w:sz="0" w:space="0" w:color="auto"/>
                      </w:divBdr>
                    </w:div>
                  </w:divsChild>
                </w:div>
                <w:div w:id="1733652564">
                  <w:marLeft w:val="0"/>
                  <w:marRight w:val="0"/>
                  <w:marTop w:val="0"/>
                  <w:marBottom w:val="0"/>
                  <w:divBdr>
                    <w:top w:val="none" w:sz="0" w:space="0" w:color="auto"/>
                    <w:left w:val="none" w:sz="0" w:space="0" w:color="auto"/>
                    <w:bottom w:val="none" w:sz="0" w:space="0" w:color="auto"/>
                    <w:right w:val="none" w:sz="0" w:space="0" w:color="auto"/>
                  </w:divBdr>
                  <w:divsChild>
                    <w:div w:id="48311625">
                      <w:marLeft w:val="0"/>
                      <w:marRight w:val="0"/>
                      <w:marTop w:val="0"/>
                      <w:marBottom w:val="0"/>
                      <w:divBdr>
                        <w:top w:val="none" w:sz="0" w:space="0" w:color="auto"/>
                        <w:left w:val="none" w:sz="0" w:space="0" w:color="auto"/>
                        <w:bottom w:val="none" w:sz="0" w:space="0" w:color="auto"/>
                        <w:right w:val="none" w:sz="0" w:space="0" w:color="auto"/>
                      </w:divBdr>
                    </w:div>
                  </w:divsChild>
                </w:div>
                <w:div w:id="1849561739">
                  <w:marLeft w:val="0"/>
                  <w:marRight w:val="0"/>
                  <w:marTop w:val="0"/>
                  <w:marBottom w:val="0"/>
                  <w:divBdr>
                    <w:top w:val="none" w:sz="0" w:space="0" w:color="auto"/>
                    <w:left w:val="none" w:sz="0" w:space="0" w:color="auto"/>
                    <w:bottom w:val="none" w:sz="0" w:space="0" w:color="auto"/>
                    <w:right w:val="none" w:sz="0" w:space="0" w:color="auto"/>
                  </w:divBdr>
                  <w:divsChild>
                    <w:div w:id="1250576742">
                      <w:marLeft w:val="0"/>
                      <w:marRight w:val="0"/>
                      <w:marTop w:val="0"/>
                      <w:marBottom w:val="0"/>
                      <w:divBdr>
                        <w:top w:val="none" w:sz="0" w:space="0" w:color="auto"/>
                        <w:left w:val="none" w:sz="0" w:space="0" w:color="auto"/>
                        <w:bottom w:val="none" w:sz="0" w:space="0" w:color="auto"/>
                        <w:right w:val="none" w:sz="0" w:space="0" w:color="auto"/>
                      </w:divBdr>
                    </w:div>
                  </w:divsChild>
                </w:div>
                <w:div w:id="1918899810">
                  <w:marLeft w:val="0"/>
                  <w:marRight w:val="0"/>
                  <w:marTop w:val="0"/>
                  <w:marBottom w:val="0"/>
                  <w:divBdr>
                    <w:top w:val="none" w:sz="0" w:space="0" w:color="auto"/>
                    <w:left w:val="none" w:sz="0" w:space="0" w:color="auto"/>
                    <w:bottom w:val="none" w:sz="0" w:space="0" w:color="auto"/>
                    <w:right w:val="none" w:sz="0" w:space="0" w:color="auto"/>
                  </w:divBdr>
                  <w:divsChild>
                    <w:div w:id="1699433100">
                      <w:marLeft w:val="0"/>
                      <w:marRight w:val="0"/>
                      <w:marTop w:val="0"/>
                      <w:marBottom w:val="0"/>
                      <w:divBdr>
                        <w:top w:val="none" w:sz="0" w:space="0" w:color="auto"/>
                        <w:left w:val="none" w:sz="0" w:space="0" w:color="auto"/>
                        <w:bottom w:val="none" w:sz="0" w:space="0" w:color="auto"/>
                        <w:right w:val="none" w:sz="0" w:space="0" w:color="auto"/>
                      </w:divBdr>
                    </w:div>
                  </w:divsChild>
                </w:div>
                <w:div w:id="1933201328">
                  <w:marLeft w:val="0"/>
                  <w:marRight w:val="0"/>
                  <w:marTop w:val="0"/>
                  <w:marBottom w:val="0"/>
                  <w:divBdr>
                    <w:top w:val="none" w:sz="0" w:space="0" w:color="auto"/>
                    <w:left w:val="none" w:sz="0" w:space="0" w:color="auto"/>
                    <w:bottom w:val="none" w:sz="0" w:space="0" w:color="auto"/>
                    <w:right w:val="none" w:sz="0" w:space="0" w:color="auto"/>
                  </w:divBdr>
                  <w:divsChild>
                    <w:div w:id="202640368">
                      <w:marLeft w:val="0"/>
                      <w:marRight w:val="0"/>
                      <w:marTop w:val="0"/>
                      <w:marBottom w:val="0"/>
                      <w:divBdr>
                        <w:top w:val="none" w:sz="0" w:space="0" w:color="auto"/>
                        <w:left w:val="none" w:sz="0" w:space="0" w:color="auto"/>
                        <w:bottom w:val="none" w:sz="0" w:space="0" w:color="auto"/>
                        <w:right w:val="none" w:sz="0" w:space="0" w:color="auto"/>
                      </w:divBdr>
                    </w:div>
                  </w:divsChild>
                </w:div>
                <w:div w:id="1935547188">
                  <w:marLeft w:val="0"/>
                  <w:marRight w:val="0"/>
                  <w:marTop w:val="0"/>
                  <w:marBottom w:val="0"/>
                  <w:divBdr>
                    <w:top w:val="none" w:sz="0" w:space="0" w:color="auto"/>
                    <w:left w:val="none" w:sz="0" w:space="0" w:color="auto"/>
                    <w:bottom w:val="none" w:sz="0" w:space="0" w:color="auto"/>
                    <w:right w:val="none" w:sz="0" w:space="0" w:color="auto"/>
                  </w:divBdr>
                  <w:divsChild>
                    <w:div w:id="82186404">
                      <w:marLeft w:val="0"/>
                      <w:marRight w:val="0"/>
                      <w:marTop w:val="0"/>
                      <w:marBottom w:val="0"/>
                      <w:divBdr>
                        <w:top w:val="none" w:sz="0" w:space="0" w:color="auto"/>
                        <w:left w:val="none" w:sz="0" w:space="0" w:color="auto"/>
                        <w:bottom w:val="none" w:sz="0" w:space="0" w:color="auto"/>
                        <w:right w:val="none" w:sz="0" w:space="0" w:color="auto"/>
                      </w:divBdr>
                    </w:div>
                  </w:divsChild>
                </w:div>
                <w:div w:id="1951542980">
                  <w:marLeft w:val="0"/>
                  <w:marRight w:val="0"/>
                  <w:marTop w:val="0"/>
                  <w:marBottom w:val="0"/>
                  <w:divBdr>
                    <w:top w:val="none" w:sz="0" w:space="0" w:color="auto"/>
                    <w:left w:val="none" w:sz="0" w:space="0" w:color="auto"/>
                    <w:bottom w:val="none" w:sz="0" w:space="0" w:color="auto"/>
                    <w:right w:val="none" w:sz="0" w:space="0" w:color="auto"/>
                  </w:divBdr>
                  <w:divsChild>
                    <w:div w:id="450712928">
                      <w:marLeft w:val="0"/>
                      <w:marRight w:val="0"/>
                      <w:marTop w:val="0"/>
                      <w:marBottom w:val="0"/>
                      <w:divBdr>
                        <w:top w:val="none" w:sz="0" w:space="0" w:color="auto"/>
                        <w:left w:val="none" w:sz="0" w:space="0" w:color="auto"/>
                        <w:bottom w:val="none" w:sz="0" w:space="0" w:color="auto"/>
                        <w:right w:val="none" w:sz="0" w:space="0" w:color="auto"/>
                      </w:divBdr>
                    </w:div>
                  </w:divsChild>
                </w:div>
                <w:div w:id="2053528952">
                  <w:marLeft w:val="0"/>
                  <w:marRight w:val="0"/>
                  <w:marTop w:val="0"/>
                  <w:marBottom w:val="0"/>
                  <w:divBdr>
                    <w:top w:val="none" w:sz="0" w:space="0" w:color="auto"/>
                    <w:left w:val="none" w:sz="0" w:space="0" w:color="auto"/>
                    <w:bottom w:val="none" w:sz="0" w:space="0" w:color="auto"/>
                    <w:right w:val="none" w:sz="0" w:space="0" w:color="auto"/>
                  </w:divBdr>
                  <w:divsChild>
                    <w:div w:id="560940377">
                      <w:marLeft w:val="0"/>
                      <w:marRight w:val="0"/>
                      <w:marTop w:val="0"/>
                      <w:marBottom w:val="0"/>
                      <w:divBdr>
                        <w:top w:val="none" w:sz="0" w:space="0" w:color="auto"/>
                        <w:left w:val="none" w:sz="0" w:space="0" w:color="auto"/>
                        <w:bottom w:val="none" w:sz="0" w:space="0" w:color="auto"/>
                        <w:right w:val="none" w:sz="0" w:space="0" w:color="auto"/>
                      </w:divBdr>
                    </w:div>
                  </w:divsChild>
                </w:div>
                <w:div w:id="2071267440">
                  <w:marLeft w:val="0"/>
                  <w:marRight w:val="0"/>
                  <w:marTop w:val="0"/>
                  <w:marBottom w:val="0"/>
                  <w:divBdr>
                    <w:top w:val="none" w:sz="0" w:space="0" w:color="auto"/>
                    <w:left w:val="none" w:sz="0" w:space="0" w:color="auto"/>
                    <w:bottom w:val="none" w:sz="0" w:space="0" w:color="auto"/>
                    <w:right w:val="none" w:sz="0" w:space="0" w:color="auto"/>
                  </w:divBdr>
                  <w:divsChild>
                    <w:div w:id="158891857">
                      <w:marLeft w:val="0"/>
                      <w:marRight w:val="0"/>
                      <w:marTop w:val="0"/>
                      <w:marBottom w:val="0"/>
                      <w:divBdr>
                        <w:top w:val="none" w:sz="0" w:space="0" w:color="auto"/>
                        <w:left w:val="none" w:sz="0" w:space="0" w:color="auto"/>
                        <w:bottom w:val="none" w:sz="0" w:space="0" w:color="auto"/>
                        <w:right w:val="none" w:sz="0" w:space="0" w:color="auto"/>
                      </w:divBdr>
                    </w:div>
                  </w:divsChild>
                </w:div>
                <w:div w:id="2075349844">
                  <w:marLeft w:val="0"/>
                  <w:marRight w:val="0"/>
                  <w:marTop w:val="0"/>
                  <w:marBottom w:val="0"/>
                  <w:divBdr>
                    <w:top w:val="none" w:sz="0" w:space="0" w:color="auto"/>
                    <w:left w:val="none" w:sz="0" w:space="0" w:color="auto"/>
                    <w:bottom w:val="none" w:sz="0" w:space="0" w:color="auto"/>
                    <w:right w:val="none" w:sz="0" w:space="0" w:color="auto"/>
                  </w:divBdr>
                  <w:divsChild>
                    <w:div w:id="902715828">
                      <w:marLeft w:val="0"/>
                      <w:marRight w:val="0"/>
                      <w:marTop w:val="0"/>
                      <w:marBottom w:val="0"/>
                      <w:divBdr>
                        <w:top w:val="none" w:sz="0" w:space="0" w:color="auto"/>
                        <w:left w:val="none" w:sz="0" w:space="0" w:color="auto"/>
                        <w:bottom w:val="none" w:sz="0" w:space="0" w:color="auto"/>
                        <w:right w:val="none" w:sz="0" w:space="0" w:color="auto"/>
                      </w:divBdr>
                    </w:div>
                  </w:divsChild>
                </w:div>
                <w:div w:id="2141415826">
                  <w:marLeft w:val="0"/>
                  <w:marRight w:val="0"/>
                  <w:marTop w:val="0"/>
                  <w:marBottom w:val="0"/>
                  <w:divBdr>
                    <w:top w:val="none" w:sz="0" w:space="0" w:color="auto"/>
                    <w:left w:val="none" w:sz="0" w:space="0" w:color="auto"/>
                    <w:bottom w:val="none" w:sz="0" w:space="0" w:color="auto"/>
                    <w:right w:val="none" w:sz="0" w:space="0" w:color="auto"/>
                  </w:divBdr>
                  <w:divsChild>
                    <w:div w:id="18019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82371">
          <w:marLeft w:val="0"/>
          <w:marRight w:val="0"/>
          <w:marTop w:val="0"/>
          <w:marBottom w:val="0"/>
          <w:divBdr>
            <w:top w:val="none" w:sz="0" w:space="0" w:color="auto"/>
            <w:left w:val="none" w:sz="0" w:space="0" w:color="auto"/>
            <w:bottom w:val="none" w:sz="0" w:space="0" w:color="auto"/>
            <w:right w:val="none" w:sz="0" w:space="0" w:color="auto"/>
          </w:divBdr>
        </w:div>
        <w:div w:id="733509311">
          <w:marLeft w:val="0"/>
          <w:marRight w:val="0"/>
          <w:marTop w:val="0"/>
          <w:marBottom w:val="0"/>
          <w:divBdr>
            <w:top w:val="none" w:sz="0" w:space="0" w:color="auto"/>
            <w:left w:val="none" w:sz="0" w:space="0" w:color="auto"/>
            <w:bottom w:val="none" w:sz="0" w:space="0" w:color="auto"/>
            <w:right w:val="none" w:sz="0" w:space="0" w:color="auto"/>
          </w:divBdr>
        </w:div>
        <w:div w:id="829177007">
          <w:marLeft w:val="0"/>
          <w:marRight w:val="0"/>
          <w:marTop w:val="0"/>
          <w:marBottom w:val="0"/>
          <w:divBdr>
            <w:top w:val="none" w:sz="0" w:space="0" w:color="auto"/>
            <w:left w:val="none" w:sz="0" w:space="0" w:color="auto"/>
            <w:bottom w:val="none" w:sz="0" w:space="0" w:color="auto"/>
            <w:right w:val="none" w:sz="0" w:space="0" w:color="auto"/>
          </w:divBdr>
        </w:div>
        <w:div w:id="858854405">
          <w:marLeft w:val="0"/>
          <w:marRight w:val="0"/>
          <w:marTop w:val="0"/>
          <w:marBottom w:val="0"/>
          <w:divBdr>
            <w:top w:val="none" w:sz="0" w:space="0" w:color="auto"/>
            <w:left w:val="none" w:sz="0" w:space="0" w:color="auto"/>
            <w:bottom w:val="none" w:sz="0" w:space="0" w:color="auto"/>
            <w:right w:val="none" w:sz="0" w:space="0" w:color="auto"/>
          </w:divBdr>
        </w:div>
        <w:div w:id="1002976089">
          <w:marLeft w:val="0"/>
          <w:marRight w:val="0"/>
          <w:marTop w:val="0"/>
          <w:marBottom w:val="0"/>
          <w:divBdr>
            <w:top w:val="none" w:sz="0" w:space="0" w:color="auto"/>
            <w:left w:val="none" w:sz="0" w:space="0" w:color="auto"/>
            <w:bottom w:val="none" w:sz="0" w:space="0" w:color="auto"/>
            <w:right w:val="none" w:sz="0" w:space="0" w:color="auto"/>
          </w:divBdr>
          <w:divsChild>
            <w:div w:id="164899680">
              <w:marLeft w:val="0"/>
              <w:marRight w:val="0"/>
              <w:marTop w:val="0"/>
              <w:marBottom w:val="0"/>
              <w:divBdr>
                <w:top w:val="none" w:sz="0" w:space="0" w:color="auto"/>
                <w:left w:val="none" w:sz="0" w:space="0" w:color="auto"/>
                <w:bottom w:val="none" w:sz="0" w:space="0" w:color="auto"/>
                <w:right w:val="none" w:sz="0" w:space="0" w:color="auto"/>
              </w:divBdr>
            </w:div>
            <w:div w:id="313339040">
              <w:marLeft w:val="0"/>
              <w:marRight w:val="0"/>
              <w:marTop w:val="0"/>
              <w:marBottom w:val="0"/>
              <w:divBdr>
                <w:top w:val="none" w:sz="0" w:space="0" w:color="auto"/>
                <w:left w:val="none" w:sz="0" w:space="0" w:color="auto"/>
                <w:bottom w:val="none" w:sz="0" w:space="0" w:color="auto"/>
                <w:right w:val="none" w:sz="0" w:space="0" w:color="auto"/>
              </w:divBdr>
            </w:div>
            <w:div w:id="399836889">
              <w:marLeft w:val="0"/>
              <w:marRight w:val="0"/>
              <w:marTop w:val="0"/>
              <w:marBottom w:val="0"/>
              <w:divBdr>
                <w:top w:val="none" w:sz="0" w:space="0" w:color="auto"/>
                <w:left w:val="none" w:sz="0" w:space="0" w:color="auto"/>
                <w:bottom w:val="none" w:sz="0" w:space="0" w:color="auto"/>
                <w:right w:val="none" w:sz="0" w:space="0" w:color="auto"/>
              </w:divBdr>
            </w:div>
            <w:div w:id="707337691">
              <w:marLeft w:val="0"/>
              <w:marRight w:val="0"/>
              <w:marTop w:val="0"/>
              <w:marBottom w:val="0"/>
              <w:divBdr>
                <w:top w:val="none" w:sz="0" w:space="0" w:color="auto"/>
                <w:left w:val="none" w:sz="0" w:space="0" w:color="auto"/>
                <w:bottom w:val="none" w:sz="0" w:space="0" w:color="auto"/>
                <w:right w:val="none" w:sz="0" w:space="0" w:color="auto"/>
              </w:divBdr>
            </w:div>
            <w:div w:id="813909315">
              <w:marLeft w:val="0"/>
              <w:marRight w:val="0"/>
              <w:marTop w:val="0"/>
              <w:marBottom w:val="0"/>
              <w:divBdr>
                <w:top w:val="none" w:sz="0" w:space="0" w:color="auto"/>
                <w:left w:val="none" w:sz="0" w:space="0" w:color="auto"/>
                <w:bottom w:val="none" w:sz="0" w:space="0" w:color="auto"/>
                <w:right w:val="none" w:sz="0" w:space="0" w:color="auto"/>
              </w:divBdr>
            </w:div>
            <w:div w:id="869802188">
              <w:marLeft w:val="0"/>
              <w:marRight w:val="0"/>
              <w:marTop w:val="0"/>
              <w:marBottom w:val="0"/>
              <w:divBdr>
                <w:top w:val="none" w:sz="0" w:space="0" w:color="auto"/>
                <w:left w:val="none" w:sz="0" w:space="0" w:color="auto"/>
                <w:bottom w:val="none" w:sz="0" w:space="0" w:color="auto"/>
                <w:right w:val="none" w:sz="0" w:space="0" w:color="auto"/>
              </w:divBdr>
            </w:div>
            <w:div w:id="879125262">
              <w:marLeft w:val="0"/>
              <w:marRight w:val="0"/>
              <w:marTop w:val="0"/>
              <w:marBottom w:val="0"/>
              <w:divBdr>
                <w:top w:val="none" w:sz="0" w:space="0" w:color="auto"/>
                <w:left w:val="none" w:sz="0" w:space="0" w:color="auto"/>
                <w:bottom w:val="none" w:sz="0" w:space="0" w:color="auto"/>
                <w:right w:val="none" w:sz="0" w:space="0" w:color="auto"/>
              </w:divBdr>
            </w:div>
            <w:div w:id="906300452">
              <w:marLeft w:val="0"/>
              <w:marRight w:val="0"/>
              <w:marTop w:val="0"/>
              <w:marBottom w:val="0"/>
              <w:divBdr>
                <w:top w:val="none" w:sz="0" w:space="0" w:color="auto"/>
                <w:left w:val="none" w:sz="0" w:space="0" w:color="auto"/>
                <w:bottom w:val="none" w:sz="0" w:space="0" w:color="auto"/>
                <w:right w:val="none" w:sz="0" w:space="0" w:color="auto"/>
              </w:divBdr>
            </w:div>
            <w:div w:id="909802823">
              <w:marLeft w:val="0"/>
              <w:marRight w:val="0"/>
              <w:marTop w:val="0"/>
              <w:marBottom w:val="0"/>
              <w:divBdr>
                <w:top w:val="none" w:sz="0" w:space="0" w:color="auto"/>
                <w:left w:val="none" w:sz="0" w:space="0" w:color="auto"/>
                <w:bottom w:val="none" w:sz="0" w:space="0" w:color="auto"/>
                <w:right w:val="none" w:sz="0" w:space="0" w:color="auto"/>
              </w:divBdr>
            </w:div>
            <w:div w:id="965895846">
              <w:marLeft w:val="0"/>
              <w:marRight w:val="0"/>
              <w:marTop w:val="0"/>
              <w:marBottom w:val="0"/>
              <w:divBdr>
                <w:top w:val="none" w:sz="0" w:space="0" w:color="auto"/>
                <w:left w:val="none" w:sz="0" w:space="0" w:color="auto"/>
                <w:bottom w:val="none" w:sz="0" w:space="0" w:color="auto"/>
                <w:right w:val="none" w:sz="0" w:space="0" w:color="auto"/>
              </w:divBdr>
            </w:div>
            <w:div w:id="967202273">
              <w:marLeft w:val="0"/>
              <w:marRight w:val="0"/>
              <w:marTop w:val="0"/>
              <w:marBottom w:val="0"/>
              <w:divBdr>
                <w:top w:val="none" w:sz="0" w:space="0" w:color="auto"/>
                <w:left w:val="none" w:sz="0" w:space="0" w:color="auto"/>
                <w:bottom w:val="none" w:sz="0" w:space="0" w:color="auto"/>
                <w:right w:val="none" w:sz="0" w:space="0" w:color="auto"/>
              </w:divBdr>
            </w:div>
            <w:div w:id="1023094945">
              <w:marLeft w:val="0"/>
              <w:marRight w:val="0"/>
              <w:marTop w:val="0"/>
              <w:marBottom w:val="0"/>
              <w:divBdr>
                <w:top w:val="none" w:sz="0" w:space="0" w:color="auto"/>
                <w:left w:val="none" w:sz="0" w:space="0" w:color="auto"/>
                <w:bottom w:val="none" w:sz="0" w:space="0" w:color="auto"/>
                <w:right w:val="none" w:sz="0" w:space="0" w:color="auto"/>
              </w:divBdr>
            </w:div>
            <w:div w:id="1035616452">
              <w:marLeft w:val="0"/>
              <w:marRight w:val="0"/>
              <w:marTop w:val="0"/>
              <w:marBottom w:val="0"/>
              <w:divBdr>
                <w:top w:val="none" w:sz="0" w:space="0" w:color="auto"/>
                <w:left w:val="none" w:sz="0" w:space="0" w:color="auto"/>
                <w:bottom w:val="none" w:sz="0" w:space="0" w:color="auto"/>
                <w:right w:val="none" w:sz="0" w:space="0" w:color="auto"/>
              </w:divBdr>
            </w:div>
            <w:div w:id="1052460799">
              <w:marLeft w:val="0"/>
              <w:marRight w:val="0"/>
              <w:marTop w:val="0"/>
              <w:marBottom w:val="0"/>
              <w:divBdr>
                <w:top w:val="none" w:sz="0" w:space="0" w:color="auto"/>
                <w:left w:val="none" w:sz="0" w:space="0" w:color="auto"/>
                <w:bottom w:val="none" w:sz="0" w:space="0" w:color="auto"/>
                <w:right w:val="none" w:sz="0" w:space="0" w:color="auto"/>
              </w:divBdr>
            </w:div>
            <w:div w:id="1135835332">
              <w:marLeft w:val="0"/>
              <w:marRight w:val="0"/>
              <w:marTop w:val="0"/>
              <w:marBottom w:val="0"/>
              <w:divBdr>
                <w:top w:val="none" w:sz="0" w:space="0" w:color="auto"/>
                <w:left w:val="none" w:sz="0" w:space="0" w:color="auto"/>
                <w:bottom w:val="none" w:sz="0" w:space="0" w:color="auto"/>
                <w:right w:val="none" w:sz="0" w:space="0" w:color="auto"/>
              </w:divBdr>
            </w:div>
            <w:div w:id="1180048595">
              <w:marLeft w:val="0"/>
              <w:marRight w:val="0"/>
              <w:marTop w:val="0"/>
              <w:marBottom w:val="0"/>
              <w:divBdr>
                <w:top w:val="none" w:sz="0" w:space="0" w:color="auto"/>
                <w:left w:val="none" w:sz="0" w:space="0" w:color="auto"/>
                <w:bottom w:val="none" w:sz="0" w:space="0" w:color="auto"/>
                <w:right w:val="none" w:sz="0" w:space="0" w:color="auto"/>
              </w:divBdr>
            </w:div>
            <w:div w:id="1332173365">
              <w:marLeft w:val="0"/>
              <w:marRight w:val="0"/>
              <w:marTop w:val="0"/>
              <w:marBottom w:val="0"/>
              <w:divBdr>
                <w:top w:val="none" w:sz="0" w:space="0" w:color="auto"/>
                <w:left w:val="none" w:sz="0" w:space="0" w:color="auto"/>
                <w:bottom w:val="none" w:sz="0" w:space="0" w:color="auto"/>
                <w:right w:val="none" w:sz="0" w:space="0" w:color="auto"/>
              </w:divBdr>
            </w:div>
            <w:div w:id="1952202604">
              <w:marLeft w:val="0"/>
              <w:marRight w:val="0"/>
              <w:marTop w:val="0"/>
              <w:marBottom w:val="0"/>
              <w:divBdr>
                <w:top w:val="none" w:sz="0" w:space="0" w:color="auto"/>
                <w:left w:val="none" w:sz="0" w:space="0" w:color="auto"/>
                <w:bottom w:val="none" w:sz="0" w:space="0" w:color="auto"/>
                <w:right w:val="none" w:sz="0" w:space="0" w:color="auto"/>
              </w:divBdr>
            </w:div>
            <w:div w:id="1999142770">
              <w:marLeft w:val="0"/>
              <w:marRight w:val="0"/>
              <w:marTop w:val="0"/>
              <w:marBottom w:val="0"/>
              <w:divBdr>
                <w:top w:val="none" w:sz="0" w:space="0" w:color="auto"/>
                <w:left w:val="none" w:sz="0" w:space="0" w:color="auto"/>
                <w:bottom w:val="none" w:sz="0" w:space="0" w:color="auto"/>
                <w:right w:val="none" w:sz="0" w:space="0" w:color="auto"/>
              </w:divBdr>
            </w:div>
            <w:div w:id="2126655509">
              <w:marLeft w:val="0"/>
              <w:marRight w:val="0"/>
              <w:marTop w:val="0"/>
              <w:marBottom w:val="0"/>
              <w:divBdr>
                <w:top w:val="none" w:sz="0" w:space="0" w:color="auto"/>
                <w:left w:val="none" w:sz="0" w:space="0" w:color="auto"/>
                <w:bottom w:val="none" w:sz="0" w:space="0" w:color="auto"/>
                <w:right w:val="none" w:sz="0" w:space="0" w:color="auto"/>
              </w:divBdr>
            </w:div>
          </w:divsChild>
        </w:div>
        <w:div w:id="1045983302">
          <w:marLeft w:val="0"/>
          <w:marRight w:val="0"/>
          <w:marTop w:val="0"/>
          <w:marBottom w:val="0"/>
          <w:divBdr>
            <w:top w:val="none" w:sz="0" w:space="0" w:color="auto"/>
            <w:left w:val="none" w:sz="0" w:space="0" w:color="auto"/>
            <w:bottom w:val="none" w:sz="0" w:space="0" w:color="auto"/>
            <w:right w:val="none" w:sz="0" w:space="0" w:color="auto"/>
          </w:divBdr>
          <w:divsChild>
            <w:div w:id="53938713">
              <w:marLeft w:val="0"/>
              <w:marRight w:val="0"/>
              <w:marTop w:val="0"/>
              <w:marBottom w:val="0"/>
              <w:divBdr>
                <w:top w:val="none" w:sz="0" w:space="0" w:color="auto"/>
                <w:left w:val="none" w:sz="0" w:space="0" w:color="auto"/>
                <w:bottom w:val="none" w:sz="0" w:space="0" w:color="auto"/>
                <w:right w:val="none" w:sz="0" w:space="0" w:color="auto"/>
              </w:divBdr>
            </w:div>
            <w:div w:id="230386191">
              <w:marLeft w:val="0"/>
              <w:marRight w:val="0"/>
              <w:marTop w:val="0"/>
              <w:marBottom w:val="0"/>
              <w:divBdr>
                <w:top w:val="none" w:sz="0" w:space="0" w:color="auto"/>
                <w:left w:val="none" w:sz="0" w:space="0" w:color="auto"/>
                <w:bottom w:val="none" w:sz="0" w:space="0" w:color="auto"/>
                <w:right w:val="none" w:sz="0" w:space="0" w:color="auto"/>
              </w:divBdr>
            </w:div>
            <w:div w:id="323900640">
              <w:marLeft w:val="0"/>
              <w:marRight w:val="0"/>
              <w:marTop w:val="0"/>
              <w:marBottom w:val="0"/>
              <w:divBdr>
                <w:top w:val="none" w:sz="0" w:space="0" w:color="auto"/>
                <w:left w:val="none" w:sz="0" w:space="0" w:color="auto"/>
                <w:bottom w:val="none" w:sz="0" w:space="0" w:color="auto"/>
                <w:right w:val="none" w:sz="0" w:space="0" w:color="auto"/>
              </w:divBdr>
            </w:div>
            <w:div w:id="582181933">
              <w:marLeft w:val="0"/>
              <w:marRight w:val="0"/>
              <w:marTop w:val="0"/>
              <w:marBottom w:val="0"/>
              <w:divBdr>
                <w:top w:val="none" w:sz="0" w:space="0" w:color="auto"/>
                <w:left w:val="none" w:sz="0" w:space="0" w:color="auto"/>
                <w:bottom w:val="none" w:sz="0" w:space="0" w:color="auto"/>
                <w:right w:val="none" w:sz="0" w:space="0" w:color="auto"/>
              </w:divBdr>
            </w:div>
            <w:div w:id="896279206">
              <w:marLeft w:val="0"/>
              <w:marRight w:val="0"/>
              <w:marTop w:val="0"/>
              <w:marBottom w:val="0"/>
              <w:divBdr>
                <w:top w:val="none" w:sz="0" w:space="0" w:color="auto"/>
                <w:left w:val="none" w:sz="0" w:space="0" w:color="auto"/>
                <w:bottom w:val="none" w:sz="0" w:space="0" w:color="auto"/>
                <w:right w:val="none" w:sz="0" w:space="0" w:color="auto"/>
              </w:divBdr>
            </w:div>
            <w:div w:id="897589760">
              <w:marLeft w:val="0"/>
              <w:marRight w:val="0"/>
              <w:marTop w:val="0"/>
              <w:marBottom w:val="0"/>
              <w:divBdr>
                <w:top w:val="none" w:sz="0" w:space="0" w:color="auto"/>
                <w:left w:val="none" w:sz="0" w:space="0" w:color="auto"/>
                <w:bottom w:val="none" w:sz="0" w:space="0" w:color="auto"/>
                <w:right w:val="none" w:sz="0" w:space="0" w:color="auto"/>
              </w:divBdr>
            </w:div>
            <w:div w:id="932786985">
              <w:marLeft w:val="0"/>
              <w:marRight w:val="0"/>
              <w:marTop w:val="0"/>
              <w:marBottom w:val="0"/>
              <w:divBdr>
                <w:top w:val="none" w:sz="0" w:space="0" w:color="auto"/>
                <w:left w:val="none" w:sz="0" w:space="0" w:color="auto"/>
                <w:bottom w:val="none" w:sz="0" w:space="0" w:color="auto"/>
                <w:right w:val="none" w:sz="0" w:space="0" w:color="auto"/>
              </w:divBdr>
            </w:div>
            <w:div w:id="987199625">
              <w:marLeft w:val="0"/>
              <w:marRight w:val="0"/>
              <w:marTop w:val="0"/>
              <w:marBottom w:val="0"/>
              <w:divBdr>
                <w:top w:val="none" w:sz="0" w:space="0" w:color="auto"/>
                <w:left w:val="none" w:sz="0" w:space="0" w:color="auto"/>
                <w:bottom w:val="none" w:sz="0" w:space="0" w:color="auto"/>
                <w:right w:val="none" w:sz="0" w:space="0" w:color="auto"/>
              </w:divBdr>
            </w:div>
            <w:div w:id="1079911509">
              <w:marLeft w:val="0"/>
              <w:marRight w:val="0"/>
              <w:marTop w:val="0"/>
              <w:marBottom w:val="0"/>
              <w:divBdr>
                <w:top w:val="none" w:sz="0" w:space="0" w:color="auto"/>
                <w:left w:val="none" w:sz="0" w:space="0" w:color="auto"/>
                <w:bottom w:val="none" w:sz="0" w:space="0" w:color="auto"/>
                <w:right w:val="none" w:sz="0" w:space="0" w:color="auto"/>
              </w:divBdr>
            </w:div>
            <w:div w:id="1270355389">
              <w:marLeft w:val="0"/>
              <w:marRight w:val="0"/>
              <w:marTop w:val="0"/>
              <w:marBottom w:val="0"/>
              <w:divBdr>
                <w:top w:val="none" w:sz="0" w:space="0" w:color="auto"/>
                <w:left w:val="none" w:sz="0" w:space="0" w:color="auto"/>
                <w:bottom w:val="none" w:sz="0" w:space="0" w:color="auto"/>
                <w:right w:val="none" w:sz="0" w:space="0" w:color="auto"/>
              </w:divBdr>
            </w:div>
            <w:div w:id="1270746304">
              <w:marLeft w:val="0"/>
              <w:marRight w:val="0"/>
              <w:marTop w:val="0"/>
              <w:marBottom w:val="0"/>
              <w:divBdr>
                <w:top w:val="none" w:sz="0" w:space="0" w:color="auto"/>
                <w:left w:val="none" w:sz="0" w:space="0" w:color="auto"/>
                <w:bottom w:val="none" w:sz="0" w:space="0" w:color="auto"/>
                <w:right w:val="none" w:sz="0" w:space="0" w:color="auto"/>
              </w:divBdr>
            </w:div>
            <w:div w:id="1319307150">
              <w:marLeft w:val="0"/>
              <w:marRight w:val="0"/>
              <w:marTop w:val="0"/>
              <w:marBottom w:val="0"/>
              <w:divBdr>
                <w:top w:val="none" w:sz="0" w:space="0" w:color="auto"/>
                <w:left w:val="none" w:sz="0" w:space="0" w:color="auto"/>
                <w:bottom w:val="none" w:sz="0" w:space="0" w:color="auto"/>
                <w:right w:val="none" w:sz="0" w:space="0" w:color="auto"/>
              </w:divBdr>
            </w:div>
            <w:div w:id="1396469264">
              <w:marLeft w:val="0"/>
              <w:marRight w:val="0"/>
              <w:marTop w:val="0"/>
              <w:marBottom w:val="0"/>
              <w:divBdr>
                <w:top w:val="none" w:sz="0" w:space="0" w:color="auto"/>
                <w:left w:val="none" w:sz="0" w:space="0" w:color="auto"/>
                <w:bottom w:val="none" w:sz="0" w:space="0" w:color="auto"/>
                <w:right w:val="none" w:sz="0" w:space="0" w:color="auto"/>
              </w:divBdr>
            </w:div>
            <w:div w:id="1424915973">
              <w:marLeft w:val="0"/>
              <w:marRight w:val="0"/>
              <w:marTop w:val="0"/>
              <w:marBottom w:val="0"/>
              <w:divBdr>
                <w:top w:val="none" w:sz="0" w:space="0" w:color="auto"/>
                <w:left w:val="none" w:sz="0" w:space="0" w:color="auto"/>
                <w:bottom w:val="none" w:sz="0" w:space="0" w:color="auto"/>
                <w:right w:val="none" w:sz="0" w:space="0" w:color="auto"/>
              </w:divBdr>
            </w:div>
            <w:div w:id="1490515872">
              <w:marLeft w:val="0"/>
              <w:marRight w:val="0"/>
              <w:marTop w:val="0"/>
              <w:marBottom w:val="0"/>
              <w:divBdr>
                <w:top w:val="none" w:sz="0" w:space="0" w:color="auto"/>
                <w:left w:val="none" w:sz="0" w:space="0" w:color="auto"/>
                <w:bottom w:val="none" w:sz="0" w:space="0" w:color="auto"/>
                <w:right w:val="none" w:sz="0" w:space="0" w:color="auto"/>
              </w:divBdr>
            </w:div>
            <w:div w:id="1521700078">
              <w:marLeft w:val="0"/>
              <w:marRight w:val="0"/>
              <w:marTop w:val="0"/>
              <w:marBottom w:val="0"/>
              <w:divBdr>
                <w:top w:val="none" w:sz="0" w:space="0" w:color="auto"/>
                <w:left w:val="none" w:sz="0" w:space="0" w:color="auto"/>
                <w:bottom w:val="none" w:sz="0" w:space="0" w:color="auto"/>
                <w:right w:val="none" w:sz="0" w:space="0" w:color="auto"/>
              </w:divBdr>
            </w:div>
            <w:div w:id="1581671009">
              <w:marLeft w:val="0"/>
              <w:marRight w:val="0"/>
              <w:marTop w:val="0"/>
              <w:marBottom w:val="0"/>
              <w:divBdr>
                <w:top w:val="none" w:sz="0" w:space="0" w:color="auto"/>
                <w:left w:val="none" w:sz="0" w:space="0" w:color="auto"/>
                <w:bottom w:val="none" w:sz="0" w:space="0" w:color="auto"/>
                <w:right w:val="none" w:sz="0" w:space="0" w:color="auto"/>
              </w:divBdr>
            </w:div>
            <w:div w:id="1794977233">
              <w:marLeft w:val="0"/>
              <w:marRight w:val="0"/>
              <w:marTop w:val="0"/>
              <w:marBottom w:val="0"/>
              <w:divBdr>
                <w:top w:val="none" w:sz="0" w:space="0" w:color="auto"/>
                <w:left w:val="none" w:sz="0" w:space="0" w:color="auto"/>
                <w:bottom w:val="none" w:sz="0" w:space="0" w:color="auto"/>
                <w:right w:val="none" w:sz="0" w:space="0" w:color="auto"/>
              </w:divBdr>
            </w:div>
            <w:div w:id="1870026457">
              <w:marLeft w:val="0"/>
              <w:marRight w:val="0"/>
              <w:marTop w:val="0"/>
              <w:marBottom w:val="0"/>
              <w:divBdr>
                <w:top w:val="none" w:sz="0" w:space="0" w:color="auto"/>
                <w:left w:val="none" w:sz="0" w:space="0" w:color="auto"/>
                <w:bottom w:val="none" w:sz="0" w:space="0" w:color="auto"/>
                <w:right w:val="none" w:sz="0" w:space="0" w:color="auto"/>
              </w:divBdr>
            </w:div>
            <w:div w:id="2074619236">
              <w:marLeft w:val="0"/>
              <w:marRight w:val="0"/>
              <w:marTop w:val="0"/>
              <w:marBottom w:val="0"/>
              <w:divBdr>
                <w:top w:val="none" w:sz="0" w:space="0" w:color="auto"/>
                <w:left w:val="none" w:sz="0" w:space="0" w:color="auto"/>
                <w:bottom w:val="none" w:sz="0" w:space="0" w:color="auto"/>
                <w:right w:val="none" w:sz="0" w:space="0" w:color="auto"/>
              </w:divBdr>
            </w:div>
          </w:divsChild>
        </w:div>
        <w:div w:id="1215698900">
          <w:marLeft w:val="0"/>
          <w:marRight w:val="0"/>
          <w:marTop w:val="0"/>
          <w:marBottom w:val="0"/>
          <w:divBdr>
            <w:top w:val="none" w:sz="0" w:space="0" w:color="auto"/>
            <w:left w:val="none" w:sz="0" w:space="0" w:color="auto"/>
            <w:bottom w:val="none" w:sz="0" w:space="0" w:color="auto"/>
            <w:right w:val="none" w:sz="0" w:space="0" w:color="auto"/>
          </w:divBdr>
        </w:div>
        <w:div w:id="1312367929">
          <w:marLeft w:val="0"/>
          <w:marRight w:val="0"/>
          <w:marTop w:val="0"/>
          <w:marBottom w:val="0"/>
          <w:divBdr>
            <w:top w:val="none" w:sz="0" w:space="0" w:color="auto"/>
            <w:left w:val="none" w:sz="0" w:space="0" w:color="auto"/>
            <w:bottom w:val="none" w:sz="0" w:space="0" w:color="auto"/>
            <w:right w:val="none" w:sz="0" w:space="0" w:color="auto"/>
          </w:divBdr>
        </w:div>
        <w:div w:id="1469014273">
          <w:marLeft w:val="0"/>
          <w:marRight w:val="0"/>
          <w:marTop w:val="0"/>
          <w:marBottom w:val="0"/>
          <w:divBdr>
            <w:top w:val="none" w:sz="0" w:space="0" w:color="auto"/>
            <w:left w:val="none" w:sz="0" w:space="0" w:color="auto"/>
            <w:bottom w:val="none" w:sz="0" w:space="0" w:color="auto"/>
            <w:right w:val="none" w:sz="0" w:space="0" w:color="auto"/>
          </w:divBdr>
        </w:div>
        <w:div w:id="1493763604">
          <w:marLeft w:val="0"/>
          <w:marRight w:val="0"/>
          <w:marTop w:val="0"/>
          <w:marBottom w:val="0"/>
          <w:divBdr>
            <w:top w:val="none" w:sz="0" w:space="0" w:color="auto"/>
            <w:left w:val="none" w:sz="0" w:space="0" w:color="auto"/>
            <w:bottom w:val="none" w:sz="0" w:space="0" w:color="auto"/>
            <w:right w:val="none" w:sz="0" w:space="0" w:color="auto"/>
          </w:divBdr>
        </w:div>
        <w:div w:id="1520655144">
          <w:marLeft w:val="0"/>
          <w:marRight w:val="0"/>
          <w:marTop w:val="0"/>
          <w:marBottom w:val="0"/>
          <w:divBdr>
            <w:top w:val="none" w:sz="0" w:space="0" w:color="auto"/>
            <w:left w:val="none" w:sz="0" w:space="0" w:color="auto"/>
            <w:bottom w:val="none" w:sz="0" w:space="0" w:color="auto"/>
            <w:right w:val="none" w:sz="0" w:space="0" w:color="auto"/>
          </w:divBdr>
        </w:div>
        <w:div w:id="1839270569">
          <w:marLeft w:val="0"/>
          <w:marRight w:val="0"/>
          <w:marTop w:val="0"/>
          <w:marBottom w:val="0"/>
          <w:divBdr>
            <w:top w:val="none" w:sz="0" w:space="0" w:color="auto"/>
            <w:left w:val="none" w:sz="0" w:space="0" w:color="auto"/>
            <w:bottom w:val="none" w:sz="0" w:space="0" w:color="auto"/>
            <w:right w:val="none" w:sz="0" w:space="0" w:color="auto"/>
          </w:divBdr>
        </w:div>
        <w:div w:id="1895505588">
          <w:marLeft w:val="0"/>
          <w:marRight w:val="0"/>
          <w:marTop w:val="0"/>
          <w:marBottom w:val="0"/>
          <w:divBdr>
            <w:top w:val="none" w:sz="0" w:space="0" w:color="auto"/>
            <w:left w:val="none" w:sz="0" w:space="0" w:color="auto"/>
            <w:bottom w:val="none" w:sz="0" w:space="0" w:color="auto"/>
            <w:right w:val="none" w:sz="0" w:space="0" w:color="auto"/>
          </w:divBdr>
        </w:div>
        <w:div w:id="1938979460">
          <w:marLeft w:val="0"/>
          <w:marRight w:val="0"/>
          <w:marTop w:val="0"/>
          <w:marBottom w:val="0"/>
          <w:divBdr>
            <w:top w:val="none" w:sz="0" w:space="0" w:color="auto"/>
            <w:left w:val="none" w:sz="0" w:space="0" w:color="auto"/>
            <w:bottom w:val="none" w:sz="0" w:space="0" w:color="auto"/>
            <w:right w:val="none" w:sz="0" w:space="0" w:color="auto"/>
          </w:divBdr>
        </w:div>
        <w:div w:id="2011178492">
          <w:marLeft w:val="0"/>
          <w:marRight w:val="0"/>
          <w:marTop w:val="0"/>
          <w:marBottom w:val="0"/>
          <w:divBdr>
            <w:top w:val="none" w:sz="0" w:space="0" w:color="auto"/>
            <w:left w:val="none" w:sz="0" w:space="0" w:color="auto"/>
            <w:bottom w:val="none" w:sz="0" w:space="0" w:color="auto"/>
            <w:right w:val="none" w:sz="0" w:space="0" w:color="auto"/>
          </w:divBdr>
        </w:div>
        <w:div w:id="2026635567">
          <w:marLeft w:val="0"/>
          <w:marRight w:val="0"/>
          <w:marTop w:val="0"/>
          <w:marBottom w:val="0"/>
          <w:divBdr>
            <w:top w:val="none" w:sz="0" w:space="0" w:color="auto"/>
            <w:left w:val="none" w:sz="0" w:space="0" w:color="auto"/>
            <w:bottom w:val="none" w:sz="0" w:space="0" w:color="auto"/>
            <w:right w:val="none" w:sz="0" w:space="0" w:color="auto"/>
          </w:divBdr>
        </w:div>
        <w:div w:id="2029334759">
          <w:marLeft w:val="0"/>
          <w:marRight w:val="0"/>
          <w:marTop w:val="0"/>
          <w:marBottom w:val="0"/>
          <w:divBdr>
            <w:top w:val="none" w:sz="0" w:space="0" w:color="auto"/>
            <w:left w:val="none" w:sz="0" w:space="0" w:color="auto"/>
            <w:bottom w:val="none" w:sz="0" w:space="0" w:color="auto"/>
            <w:right w:val="none" w:sz="0" w:space="0" w:color="auto"/>
          </w:divBdr>
        </w:div>
        <w:div w:id="2057974183">
          <w:marLeft w:val="0"/>
          <w:marRight w:val="0"/>
          <w:marTop w:val="0"/>
          <w:marBottom w:val="0"/>
          <w:divBdr>
            <w:top w:val="none" w:sz="0" w:space="0" w:color="auto"/>
            <w:left w:val="none" w:sz="0" w:space="0" w:color="auto"/>
            <w:bottom w:val="none" w:sz="0" w:space="0" w:color="auto"/>
            <w:right w:val="none" w:sz="0" w:space="0" w:color="auto"/>
          </w:divBdr>
          <w:divsChild>
            <w:div w:id="1014461491">
              <w:marLeft w:val="-75"/>
              <w:marRight w:val="0"/>
              <w:marTop w:val="30"/>
              <w:marBottom w:val="30"/>
              <w:divBdr>
                <w:top w:val="none" w:sz="0" w:space="0" w:color="auto"/>
                <w:left w:val="none" w:sz="0" w:space="0" w:color="auto"/>
                <w:bottom w:val="none" w:sz="0" w:space="0" w:color="auto"/>
                <w:right w:val="none" w:sz="0" w:space="0" w:color="auto"/>
              </w:divBdr>
              <w:divsChild>
                <w:div w:id="8333005">
                  <w:marLeft w:val="0"/>
                  <w:marRight w:val="0"/>
                  <w:marTop w:val="0"/>
                  <w:marBottom w:val="0"/>
                  <w:divBdr>
                    <w:top w:val="none" w:sz="0" w:space="0" w:color="auto"/>
                    <w:left w:val="none" w:sz="0" w:space="0" w:color="auto"/>
                    <w:bottom w:val="none" w:sz="0" w:space="0" w:color="auto"/>
                    <w:right w:val="none" w:sz="0" w:space="0" w:color="auto"/>
                  </w:divBdr>
                  <w:divsChild>
                    <w:div w:id="227303724">
                      <w:marLeft w:val="0"/>
                      <w:marRight w:val="0"/>
                      <w:marTop w:val="0"/>
                      <w:marBottom w:val="0"/>
                      <w:divBdr>
                        <w:top w:val="none" w:sz="0" w:space="0" w:color="auto"/>
                        <w:left w:val="none" w:sz="0" w:space="0" w:color="auto"/>
                        <w:bottom w:val="none" w:sz="0" w:space="0" w:color="auto"/>
                        <w:right w:val="none" w:sz="0" w:space="0" w:color="auto"/>
                      </w:divBdr>
                    </w:div>
                  </w:divsChild>
                </w:div>
                <w:div w:id="125507401">
                  <w:marLeft w:val="0"/>
                  <w:marRight w:val="0"/>
                  <w:marTop w:val="0"/>
                  <w:marBottom w:val="0"/>
                  <w:divBdr>
                    <w:top w:val="none" w:sz="0" w:space="0" w:color="auto"/>
                    <w:left w:val="none" w:sz="0" w:space="0" w:color="auto"/>
                    <w:bottom w:val="none" w:sz="0" w:space="0" w:color="auto"/>
                    <w:right w:val="none" w:sz="0" w:space="0" w:color="auto"/>
                  </w:divBdr>
                  <w:divsChild>
                    <w:div w:id="154498994">
                      <w:marLeft w:val="0"/>
                      <w:marRight w:val="0"/>
                      <w:marTop w:val="0"/>
                      <w:marBottom w:val="0"/>
                      <w:divBdr>
                        <w:top w:val="none" w:sz="0" w:space="0" w:color="auto"/>
                        <w:left w:val="none" w:sz="0" w:space="0" w:color="auto"/>
                        <w:bottom w:val="none" w:sz="0" w:space="0" w:color="auto"/>
                        <w:right w:val="none" w:sz="0" w:space="0" w:color="auto"/>
                      </w:divBdr>
                    </w:div>
                  </w:divsChild>
                </w:div>
                <w:div w:id="271592435">
                  <w:marLeft w:val="0"/>
                  <w:marRight w:val="0"/>
                  <w:marTop w:val="0"/>
                  <w:marBottom w:val="0"/>
                  <w:divBdr>
                    <w:top w:val="none" w:sz="0" w:space="0" w:color="auto"/>
                    <w:left w:val="none" w:sz="0" w:space="0" w:color="auto"/>
                    <w:bottom w:val="none" w:sz="0" w:space="0" w:color="auto"/>
                    <w:right w:val="none" w:sz="0" w:space="0" w:color="auto"/>
                  </w:divBdr>
                  <w:divsChild>
                    <w:div w:id="758260088">
                      <w:marLeft w:val="0"/>
                      <w:marRight w:val="0"/>
                      <w:marTop w:val="0"/>
                      <w:marBottom w:val="0"/>
                      <w:divBdr>
                        <w:top w:val="none" w:sz="0" w:space="0" w:color="auto"/>
                        <w:left w:val="none" w:sz="0" w:space="0" w:color="auto"/>
                        <w:bottom w:val="none" w:sz="0" w:space="0" w:color="auto"/>
                        <w:right w:val="none" w:sz="0" w:space="0" w:color="auto"/>
                      </w:divBdr>
                    </w:div>
                  </w:divsChild>
                </w:div>
                <w:div w:id="293096674">
                  <w:marLeft w:val="0"/>
                  <w:marRight w:val="0"/>
                  <w:marTop w:val="0"/>
                  <w:marBottom w:val="0"/>
                  <w:divBdr>
                    <w:top w:val="none" w:sz="0" w:space="0" w:color="auto"/>
                    <w:left w:val="none" w:sz="0" w:space="0" w:color="auto"/>
                    <w:bottom w:val="none" w:sz="0" w:space="0" w:color="auto"/>
                    <w:right w:val="none" w:sz="0" w:space="0" w:color="auto"/>
                  </w:divBdr>
                  <w:divsChild>
                    <w:div w:id="1747533028">
                      <w:marLeft w:val="0"/>
                      <w:marRight w:val="0"/>
                      <w:marTop w:val="0"/>
                      <w:marBottom w:val="0"/>
                      <w:divBdr>
                        <w:top w:val="none" w:sz="0" w:space="0" w:color="auto"/>
                        <w:left w:val="none" w:sz="0" w:space="0" w:color="auto"/>
                        <w:bottom w:val="none" w:sz="0" w:space="0" w:color="auto"/>
                        <w:right w:val="none" w:sz="0" w:space="0" w:color="auto"/>
                      </w:divBdr>
                    </w:div>
                  </w:divsChild>
                </w:div>
                <w:div w:id="444813885">
                  <w:marLeft w:val="0"/>
                  <w:marRight w:val="0"/>
                  <w:marTop w:val="0"/>
                  <w:marBottom w:val="0"/>
                  <w:divBdr>
                    <w:top w:val="none" w:sz="0" w:space="0" w:color="auto"/>
                    <w:left w:val="none" w:sz="0" w:space="0" w:color="auto"/>
                    <w:bottom w:val="none" w:sz="0" w:space="0" w:color="auto"/>
                    <w:right w:val="none" w:sz="0" w:space="0" w:color="auto"/>
                  </w:divBdr>
                  <w:divsChild>
                    <w:div w:id="2123988975">
                      <w:marLeft w:val="0"/>
                      <w:marRight w:val="0"/>
                      <w:marTop w:val="0"/>
                      <w:marBottom w:val="0"/>
                      <w:divBdr>
                        <w:top w:val="none" w:sz="0" w:space="0" w:color="auto"/>
                        <w:left w:val="none" w:sz="0" w:space="0" w:color="auto"/>
                        <w:bottom w:val="none" w:sz="0" w:space="0" w:color="auto"/>
                        <w:right w:val="none" w:sz="0" w:space="0" w:color="auto"/>
                      </w:divBdr>
                    </w:div>
                  </w:divsChild>
                </w:div>
                <w:div w:id="472723835">
                  <w:marLeft w:val="0"/>
                  <w:marRight w:val="0"/>
                  <w:marTop w:val="0"/>
                  <w:marBottom w:val="0"/>
                  <w:divBdr>
                    <w:top w:val="none" w:sz="0" w:space="0" w:color="auto"/>
                    <w:left w:val="none" w:sz="0" w:space="0" w:color="auto"/>
                    <w:bottom w:val="none" w:sz="0" w:space="0" w:color="auto"/>
                    <w:right w:val="none" w:sz="0" w:space="0" w:color="auto"/>
                  </w:divBdr>
                  <w:divsChild>
                    <w:div w:id="1822967744">
                      <w:marLeft w:val="0"/>
                      <w:marRight w:val="0"/>
                      <w:marTop w:val="0"/>
                      <w:marBottom w:val="0"/>
                      <w:divBdr>
                        <w:top w:val="none" w:sz="0" w:space="0" w:color="auto"/>
                        <w:left w:val="none" w:sz="0" w:space="0" w:color="auto"/>
                        <w:bottom w:val="none" w:sz="0" w:space="0" w:color="auto"/>
                        <w:right w:val="none" w:sz="0" w:space="0" w:color="auto"/>
                      </w:divBdr>
                    </w:div>
                  </w:divsChild>
                </w:div>
                <w:div w:id="503202424">
                  <w:marLeft w:val="0"/>
                  <w:marRight w:val="0"/>
                  <w:marTop w:val="0"/>
                  <w:marBottom w:val="0"/>
                  <w:divBdr>
                    <w:top w:val="none" w:sz="0" w:space="0" w:color="auto"/>
                    <w:left w:val="none" w:sz="0" w:space="0" w:color="auto"/>
                    <w:bottom w:val="none" w:sz="0" w:space="0" w:color="auto"/>
                    <w:right w:val="none" w:sz="0" w:space="0" w:color="auto"/>
                  </w:divBdr>
                  <w:divsChild>
                    <w:div w:id="198901871">
                      <w:marLeft w:val="0"/>
                      <w:marRight w:val="0"/>
                      <w:marTop w:val="0"/>
                      <w:marBottom w:val="0"/>
                      <w:divBdr>
                        <w:top w:val="none" w:sz="0" w:space="0" w:color="auto"/>
                        <w:left w:val="none" w:sz="0" w:space="0" w:color="auto"/>
                        <w:bottom w:val="none" w:sz="0" w:space="0" w:color="auto"/>
                        <w:right w:val="none" w:sz="0" w:space="0" w:color="auto"/>
                      </w:divBdr>
                    </w:div>
                  </w:divsChild>
                </w:div>
                <w:div w:id="545915849">
                  <w:marLeft w:val="0"/>
                  <w:marRight w:val="0"/>
                  <w:marTop w:val="0"/>
                  <w:marBottom w:val="0"/>
                  <w:divBdr>
                    <w:top w:val="none" w:sz="0" w:space="0" w:color="auto"/>
                    <w:left w:val="none" w:sz="0" w:space="0" w:color="auto"/>
                    <w:bottom w:val="none" w:sz="0" w:space="0" w:color="auto"/>
                    <w:right w:val="none" w:sz="0" w:space="0" w:color="auto"/>
                  </w:divBdr>
                  <w:divsChild>
                    <w:div w:id="352655859">
                      <w:marLeft w:val="0"/>
                      <w:marRight w:val="0"/>
                      <w:marTop w:val="0"/>
                      <w:marBottom w:val="0"/>
                      <w:divBdr>
                        <w:top w:val="none" w:sz="0" w:space="0" w:color="auto"/>
                        <w:left w:val="none" w:sz="0" w:space="0" w:color="auto"/>
                        <w:bottom w:val="none" w:sz="0" w:space="0" w:color="auto"/>
                        <w:right w:val="none" w:sz="0" w:space="0" w:color="auto"/>
                      </w:divBdr>
                    </w:div>
                  </w:divsChild>
                </w:div>
                <w:div w:id="712274165">
                  <w:marLeft w:val="0"/>
                  <w:marRight w:val="0"/>
                  <w:marTop w:val="0"/>
                  <w:marBottom w:val="0"/>
                  <w:divBdr>
                    <w:top w:val="none" w:sz="0" w:space="0" w:color="auto"/>
                    <w:left w:val="none" w:sz="0" w:space="0" w:color="auto"/>
                    <w:bottom w:val="none" w:sz="0" w:space="0" w:color="auto"/>
                    <w:right w:val="none" w:sz="0" w:space="0" w:color="auto"/>
                  </w:divBdr>
                  <w:divsChild>
                    <w:div w:id="103427226">
                      <w:marLeft w:val="0"/>
                      <w:marRight w:val="0"/>
                      <w:marTop w:val="0"/>
                      <w:marBottom w:val="0"/>
                      <w:divBdr>
                        <w:top w:val="none" w:sz="0" w:space="0" w:color="auto"/>
                        <w:left w:val="none" w:sz="0" w:space="0" w:color="auto"/>
                        <w:bottom w:val="none" w:sz="0" w:space="0" w:color="auto"/>
                        <w:right w:val="none" w:sz="0" w:space="0" w:color="auto"/>
                      </w:divBdr>
                    </w:div>
                  </w:divsChild>
                </w:div>
                <w:div w:id="824054835">
                  <w:marLeft w:val="0"/>
                  <w:marRight w:val="0"/>
                  <w:marTop w:val="0"/>
                  <w:marBottom w:val="0"/>
                  <w:divBdr>
                    <w:top w:val="none" w:sz="0" w:space="0" w:color="auto"/>
                    <w:left w:val="none" w:sz="0" w:space="0" w:color="auto"/>
                    <w:bottom w:val="none" w:sz="0" w:space="0" w:color="auto"/>
                    <w:right w:val="none" w:sz="0" w:space="0" w:color="auto"/>
                  </w:divBdr>
                  <w:divsChild>
                    <w:div w:id="489951965">
                      <w:marLeft w:val="0"/>
                      <w:marRight w:val="0"/>
                      <w:marTop w:val="0"/>
                      <w:marBottom w:val="0"/>
                      <w:divBdr>
                        <w:top w:val="none" w:sz="0" w:space="0" w:color="auto"/>
                        <w:left w:val="none" w:sz="0" w:space="0" w:color="auto"/>
                        <w:bottom w:val="none" w:sz="0" w:space="0" w:color="auto"/>
                        <w:right w:val="none" w:sz="0" w:space="0" w:color="auto"/>
                      </w:divBdr>
                    </w:div>
                  </w:divsChild>
                </w:div>
                <w:div w:id="843520629">
                  <w:marLeft w:val="0"/>
                  <w:marRight w:val="0"/>
                  <w:marTop w:val="0"/>
                  <w:marBottom w:val="0"/>
                  <w:divBdr>
                    <w:top w:val="none" w:sz="0" w:space="0" w:color="auto"/>
                    <w:left w:val="none" w:sz="0" w:space="0" w:color="auto"/>
                    <w:bottom w:val="none" w:sz="0" w:space="0" w:color="auto"/>
                    <w:right w:val="none" w:sz="0" w:space="0" w:color="auto"/>
                  </w:divBdr>
                  <w:divsChild>
                    <w:div w:id="855651496">
                      <w:marLeft w:val="0"/>
                      <w:marRight w:val="0"/>
                      <w:marTop w:val="0"/>
                      <w:marBottom w:val="0"/>
                      <w:divBdr>
                        <w:top w:val="none" w:sz="0" w:space="0" w:color="auto"/>
                        <w:left w:val="none" w:sz="0" w:space="0" w:color="auto"/>
                        <w:bottom w:val="none" w:sz="0" w:space="0" w:color="auto"/>
                        <w:right w:val="none" w:sz="0" w:space="0" w:color="auto"/>
                      </w:divBdr>
                    </w:div>
                  </w:divsChild>
                </w:div>
                <w:div w:id="939024584">
                  <w:marLeft w:val="0"/>
                  <w:marRight w:val="0"/>
                  <w:marTop w:val="0"/>
                  <w:marBottom w:val="0"/>
                  <w:divBdr>
                    <w:top w:val="none" w:sz="0" w:space="0" w:color="auto"/>
                    <w:left w:val="none" w:sz="0" w:space="0" w:color="auto"/>
                    <w:bottom w:val="none" w:sz="0" w:space="0" w:color="auto"/>
                    <w:right w:val="none" w:sz="0" w:space="0" w:color="auto"/>
                  </w:divBdr>
                  <w:divsChild>
                    <w:div w:id="330835535">
                      <w:marLeft w:val="0"/>
                      <w:marRight w:val="0"/>
                      <w:marTop w:val="0"/>
                      <w:marBottom w:val="0"/>
                      <w:divBdr>
                        <w:top w:val="none" w:sz="0" w:space="0" w:color="auto"/>
                        <w:left w:val="none" w:sz="0" w:space="0" w:color="auto"/>
                        <w:bottom w:val="none" w:sz="0" w:space="0" w:color="auto"/>
                        <w:right w:val="none" w:sz="0" w:space="0" w:color="auto"/>
                      </w:divBdr>
                    </w:div>
                  </w:divsChild>
                </w:div>
                <w:div w:id="982733510">
                  <w:marLeft w:val="0"/>
                  <w:marRight w:val="0"/>
                  <w:marTop w:val="0"/>
                  <w:marBottom w:val="0"/>
                  <w:divBdr>
                    <w:top w:val="none" w:sz="0" w:space="0" w:color="auto"/>
                    <w:left w:val="none" w:sz="0" w:space="0" w:color="auto"/>
                    <w:bottom w:val="none" w:sz="0" w:space="0" w:color="auto"/>
                    <w:right w:val="none" w:sz="0" w:space="0" w:color="auto"/>
                  </w:divBdr>
                  <w:divsChild>
                    <w:div w:id="748161930">
                      <w:marLeft w:val="0"/>
                      <w:marRight w:val="0"/>
                      <w:marTop w:val="0"/>
                      <w:marBottom w:val="0"/>
                      <w:divBdr>
                        <w:top w:val="none" w:sz="0" w:space="0" w:color="auto"/>
                        <w:left w:val="none" w:sz="0" w:space="0" w:color="auto"/>
                        <w:bottom w:val="none" w:sz="0" w:space="0" w:color="auto"/>
                        <w:right w:val="none" w:sz="0" w:space="0" w:color="auto"/>
                      </w:divBdr>
                    </w:div>
                  </w:divsChild>
                </w:div>
                <w:div w:id="1033993793">
                  <w:marLeft w:val="0"/>
                  <w:marRight w:val="0"/>
                  <w:marTop w:val="0"/>
                  <w:marBottom w:val="0"/>
                  <w:divBdr>
                    <w:top w:val="none" w:sz="0" w:space="0" w:color="auto"/>
                    <w:left w:val="none" w:sz="0" w:space="0" w:color="auto"/>
                    <w:bottom w:val="none" w:sz="0" w:space="0" w:color="auto"/>
                    <w:right w:val="none" w:sz="0" w:space="0" w:color="auto"/>
                  </w:divBdr>
                  <w:divsChild>
                    <w:div w:id="915014631">
                      <w:marLeft w:val="0"/>
                      <w:marRight w:val="0"/>
                      <w:marTop w:val="0"/>
                      <w:marBottom w:val="0"/>
                      <w:divBdr>
                        <w:top w:val="none" w:sz="0" w:space="0" w:color="auto"/>
                        <w:left w:val="none" w:sz="0" w:space="0" w:color="auto"/>
                        <w:bottom w:val="none" w:sz="0" w:space="0" w:color="auto"/>
                        <w:right w:val="none" w:sz="0" w:space="0" w:color="auto"/>
                      </w:divBdr>
                    </w:div>
                  </w:divsChild>
                </w:div>
                <w:div w:id="1046442105">
                  <w:marLeft w:val="0"/>
                  <w:marRight w:val="0"/>
                  <w:marTop w:val="0"/>
                  <w:marBottom w:val="0"/>
                  <w:divBdr>
                    <w:top w:val="none" w:sz="0" w:space="0" w:color="auto"/>
                    <w:left w:val="none" w:sz="0" w:space="0" w:color="auto"/>
                    <w:bottom w:val="none" w:sz="0" w:space="0" w:color="auto"/>
                    <w:right w:val="none" w:sz="0" w:space="0" w:color="auto"/>
                  </w:divBdr>
                  <w:divsChild>
                    <w:div w:id="1211720652">
                      <w:marLeft w:val="0"/>
                      <w:marRight w:val="0"/>
                      <w:marTop w:val="0"/>
                      <w:marBottom w:val="0"/>
                      <w:divBdr>
                        <w:top w:val="none" w:sz="0" w:space="0" w:color="auto"/>
                        <w:left w:val="none" w:sz="0" w:space="0" w:color="auto"/>
                        <w:bottom w:val="none" w:sz="0" w:space="0" w:color="auto"/>
                        <w:right w:val="none" w:sz="0" w:space="0" w:color="auto"/>
                      </w:divBdr>
                    </w:div>
                  </w:divsChild>
                </w:div>
                <w:div w:id="1082216055">
                  <w:marLeft w:val="0"/>
                  <w:marRight w:val="0"/>
                  <w:marTop w:val="0"/>
                  <w:marBottom w:val="0"/>
                  <w:divBdr>
                    <w:top w:val="none" w:sz="0" w:space="0" w:color="auto"/>
                    <w:left w:val="none" w:sz="0" w:space="0" w:color="auto"/>
                    <w:bottom w:val="none" w:sz="0" w:space="0" w:color="auto"/>
                    <w:right w:val="none" w:sz="0" w:space="0" w:color="auto"/>
                  </w:divBdr>
                  <w:divsChild>
                    <w:div w:id="2057385849">
                      <w:marLeft w:val="0"/>
                      <w:marRight w:val="0"/>
                      <w:marTop w:val="0"/>
                      <w:marBottom w:val="0"/>
                      <w:divBdr>
                        <w:top w:val="none" w:sz="0" w:space="0" w:color="auto"/>
                        <w:left w:val="none" w:sz="0" w:space="0" w:color="auto"/>
                        <w:bottom w:val="none" w:sz="0" w:space="0" w:color="auto"/>
                        <w:right w:val="none" w:sz="0" w:space="0" w:color="auto"/>
                      </w:divBdr>
                    </w:div>
                  </w:divsChild>
                </w:div>
                <w:div w:id="1088890849">
                  <w:marLeft w:val="0"/>
                  <w:marRight w:val="0"/>
                  <w:marTop w:val="0"/>
                  <w:marBottom w:val="0"/>
                  <w:divBdr>
                    <w:top w:val="none" w:sz="0" w:space="0" w:color="auto"/>
                    <w:left w:val="none" w:sz="0" w:space="0" w:color="auto"/>
                    <w:bottom w:val="none" w:sz="0" w:space="0" w:color="auto"/>
                    <w:right w:val="none" w:sz="0" w:space="0" w:color="auto"/>
                  </w:divBdr>
                  <w:divsChild>
                    <w:div w:id="550195454">
                      <w:marLeft w:val="0"/>
                      <w:marRight w:val="0"/>
                      <w:marTop w:val="0"/>
                      <w:marBottom w:val="0"/>
                      <w:divBdr>
                        <w:top w:val="none" w:sz="0" w:space="0" w:color="auto"/>
                        <w:left w:val="none" w:sz="0" w:space="0" w:color="auto"/>
                        <w:bottom w:val="none" w:sz="0" w:space="0" w:color="auto"/>
                        <w:right w:val="none" w:sz="0" w:space="0" w:color="auto"/>
                      </w:divBdr>
                    </w:div>
                  </w:divsChild>
                </w:div>
                <w:div w:id="1185946508">
                  <w:marLeft w:val="0"/>
                  <w:marRight w:val="0"/>
                  <w:marTop w:val="0"/>
                  <w:marBottom w:val="0"/>
                  <w:divBdr>
                    <w:top w:val="none" w:sz="0" w:space="0" w:color="auto"/>
                    <w:left w:val="none" w:sz="0" w:space="0" w:color="auto"/>
                    <w:bottom w:val="none" w:sz="0" w:space="0" w:color="auto"/>
                    <w:right w:val="none" w:sz="0" w:space="0" w:color="auto"/>
                  </w:divBdr>
                  <w:divsChild>
                    <w:div w:id="1352217932">
                      <w:marLeft w:val="0"/>
                      <w:marRight w:val="0"/>
                      <w:marTop w:val="0"/>
                      <w:marBottom w:val="0"/>
                      <w:divBdr>
                        <w:top w:val="none" w:sz="0" w:space="0" w:color="auto"/>
                        <w:left w:val="none" w:sz="0" w:space="0" w:color="auto"/>
                        <w:bottom w:val="none" w:sz="0" w:space="0" w:color="auto"/>
                        <w:right w:val="none" w:sz="0" w:space="0" w:color="auto"/>
                      </w:divBdr>
                    </w:div>
                  </w:divsChild>
                </w:div>
                <w:div w:id="1193033374">
                  <w:marLeft w:val="0"/>
                  <w:marRight w:val="0"/>
                  <w:marTop w:val="0"/>
                  <w:marBottom w:val="0"/>
                  <w:divBdr>
                    <w:top w:val="none" w:sz="0" w:space="0" w:color="auto"/>
                    <w:left w:val="none" w:sz="0" w:space="0" w:color="auto"/>
                    <w:bottom w:val="none" w:sz="0" w:space="0" w:color="auto"/>
                    <w:right w:val="none" w:sz="0" w:space="0" w:color="auto"/>
                  </w:divBdr>
                  <w:divsChild>
                    <w:div w:id="1546604151">
                      <w:marLeft w:val="0"/>
                      <w:marRight w:val="0"/>
                      <w:marTop w:val="0"/>
                      <w:marBottom w:val="0"/>
                      <w:divBdr>
                        <w:top w:val="none" w:sz="0" w:space="0" w:color="auto"/>
                        <w:left w:val="none" w:sz="0" w:space="0" w:color="auto"/>
                        <w:bottom w:val="none" w:sz="0" w:space="0" w:color="auto"/>
                        <w:right w:val="none" w:sz="0" w:space="0" w:color="auto"/>
                      </w:divBdr>
                    </w:div>
                  </w:divsChild>
                </w:div>
                <w:div w:id="1282420469">
                  <w:marLeft w:val="0"/>
                  <w:marRight w:val="0"/>
                  <w:marTop w:val="0"/>
                  <w:marBottom w:val="0"/>
                  <w:divBdr>
                    <w:top w:val="none" w:sz="0" w:space="0" w:color="auto"/>
                    <w:left w:val="none" w:sz="0" w:space="0" w:color="auto"/>
                    <w:bottom w:val="none" w:sz="0" w:space="0" w:color="auto"/>
                    <w:right w:val="none" w:sz="0" w:space="0" w:color="auto"/>
                  </w:divBdr>
                  <w:divsChild>
                    <w:div w:id="1682318427">
                      <w:marLeft w:val="0"/>
                      <w:marRight w:val="0"/>
                      <w:marTop w:val="0"/>
                      <w:marBottom w:val="0"/>
                      <w:divBdr>
                        <w:top w:val="none" w:sz="0" w:space="0" w:color="auto"/>
                        <w:left w:val="none" w:sz="0" w:space="0" w:color="auto"/>
                        <w:bottom w:val="none" w:sz="0" w:space="0" w:color="auto"/>
                        <w:right w:val="none" w:sz="0" w:space="0" w:color="auto"/>
                      </w:divBdr>
                    </w:div>
                  </w:divsChild>
                </w:div>
                <w:div w:id="1284850910">
                  <w:marLeft w:val="0"/>
                  <w:marRight w:val="0"/>
                  <w:marTop w:val="0"/>
                  <w:marBottom w:val="0"/>
                  <w:divBdr>
                    <w:top w:val="none" w:sz="0" w:space="0" w:color="auto"/>
                    <w:left w:val="none" w:sz="0" w:space="0" w:color="auto"/>
                    <w:bottom w:val="none" w:sz="0" w:space="0" w:color="auto"/>
                    <w:right w:val="none" w:sz="0" w:space="0" w:color="auto"/>
                  </w:divBdr>
                  <w:divsChild>
                    <w:div w:id="301548067">
                      <w:marLeft w:val="0"/>
                      <w:marRight w:val="0"/>
                      <w:marTop w:val="0"/>
                      <w:marBottom w:val="0"/>
                      <w:divBdr>
                        <w:top w:val="none" w:sz="0" w:space="0" w:color="auto"/>
                        <w:left w:val="none" w:sz="0" w:space="0" w:color="auto"/>
                        <w:bottom w:val="none" w:sz="0" w:space="0" w:color="auto"/>
                        <w:right w:val="none" w:sz="0" w:space="0" w:color="auto"/>
                      </w:divBdr>
                    </w:div>
                  </w:divsChild>
                </w:div>
                <w:div w:id="1377314363">
                  <w:marLeft w:val="0"/>
                  <w:marRight w:val="0"/>
                  <w:marTop w:val="0"/>
                  <w:marBottom w:val="0"/>
                  <w:divBdr>
                    <w:top w:val="none" w:sz="0" w:space="0" w:color="auto"/>
                    <w:left w:val="none" w:sz="0" w:space="0" w:color="auto"/>
                    <w:bottom w:val="none" w:sz="0" w:space="0" w:color="auto"/>
                    <w:right w:val="none" w:sz="0" w:space="0" w:color="auto"/>
                  </w:divBdr>
                  <w:divsChild>
                    <w:div w:id="1306855226">
                      <w:marLeft w:val="0"/>
                      <w:marRight w:val="0"/>
                      <w:marTop w:val="0"/>
                      <w:marBottom w:val="0"/>
                      <w:divBdr>
                        <w:top w:val="none" w:sz="0" w:space="0" w:color="auto"/>
                        <w:left w:val="none" w:sz="0" w:space="0" w:color="auto"/>
                        <w:bottom w:val="none" w:sz="0" w:space="0" w:color="auto"/>
                        <w:right w:val="none" w:sz="0" w:space="0" w:color="auto"/>
                      </w:divBdr>
                    </w:div>
                  </w:divsChild>
                </w:div>
                <w:div w:id="1405639785">
                  <w:marLeft w:val="0"/>
                  <w:marRight w:val="0"/>
                  <w:marTop w:val="0"/>
                  <w:marBottom w:val="0"/>
                  <w:divBdr>
                    <w:top w:val="none" w:sz="0" w:space="0" w:color="auto"/>
                    <w:left w:val="none" w:sz="0" w:space="0" w:color="auto"/>
                    <w:bottom w:val="none" w:sz="0" w:space="0" w:color="auto"/>
                    <w:right w:val="none" w:sz="0" w:space="0" w:color="auto"/>
                  </w:divBdr>
                  <w:divsChild>
                    <w:div w:id="1829978255">
                      <w:marLeft w:val="0"/>
                      <w:marRight w:val="0"/>
                      <w:marTop w:val="0"/>
                      <w:marBottom w:val="0"/>
                      <w:divBdr>
                        <w:top w:val="none" w:sz="0" w:space="0" w:color="auto"/>
                        <w:left w:val="none" w:sz="0" w:space="0" w:color="auto"/>
                        <w:bottom w:val="none" w:sz="0" w:space="0" w:color="auto"/>
                        <w:right w:val="none" w:sz="0" w:space="0" w:color="auto"/>
                      </w:divBdr>
                    </w:div>
                  </w:divsChild>
                </w:div>
                <w:div w:id="1413116358">
                  <w:marLeft w:val="0"/>
                  <w:marRight w:val="0"/>
                  <w:marTop w:val="0"/>
                  <w:marBottom w:val="0"/>
                  <w:divBdr>
                    <w:top w:val="none" w:sz="0" w:space="0" w:color="auto"/>
                    <w:left w:val="none" w:sz="0" w:space="0" w:color="auto"/>
                    <w:bottom w:val="none" w:sz="0" w:space="0" w:color="auto"/>
                    <w:right w:val="none" w:sz="0" w:space="0" w:color="auto"/>
                  </w:divBdr>
                  <w:divsChild>
                    <w:div w:id="1299653076">
                      <w:marLeft w:val="0"/>
                      <w:marRight w:val="0"/>
                      <w:marTop w:val="0"/>
                      <w:marBottom w:val="0"/>
                      <w:divBdr>
                        <w:top w:val="none" w:sz="0" w:space="0" w:color="auto"/>
                        <w:left w:val="none" w:sz="0" w:space="0" w:color="auto"/>
                        <w:bottom w:val="none" w:sz="0" w:space="0" w:color="auto"/>
                        <w:right w:val="none" w:sz="0" w:space="0" w:color="auto"/>
                      </w:divBdr>
                    </w:div>
                  </w:divsChild>
                </w:div>
                <w:div w:id="1430004943">
                  <w:marLeft w:val="0"/>
                  <w:marRight w:val="0"/>
                  <w:marTop w:val="0"/>
                  <w:marBottom w:val="0"/>
                  <w:divBdr>
                    <w:top w:val="none" w:sz="0" w:space="0" w:color="auto"/>
                    <w:left w:val="none" w:sz="0" w:space="0" w:color="auto"/>
                    <w:bottom w:val="none" w:sz="0" w:space="0" w:color="auto"/>
                    <w:right w:val="none" w:sz="0" w:space="0" w:color="auto"/>
                  </w:divBdr>
                  <w:divsChild>
                    <w:div w:id="58408256">
                      <w:marLeft w:val="0"/>
                      <w:marRight w:val="0"/>
                      <w:marTop w:val="0"/>
                      <w:marBottom w:val="0"/>
                      <w:divBdr>
                        <w:top w:val="none" w:sz="0" w:space="0" w:color="auto"/>
                        <w:left w:val="none" w:sz="0" w:space="0" w:color="auto"/>
                        <w:bottom w:val="none" w:sz="0" w:space="0" w:color="auto"/>
                        <w:right w:val="none" w:sz="0" w:space="0" w:color="auto"/>
                      </w:divBdr>
                    </w:div>
                  </w:divsChild>
                </w:div>
                <w:div w:id="1530142109">
                  <w:marLeft w:val="0"/>
                  <w:marRight w:val="0"/>
                  <w:marTop w:val="0"/>
                  <w:marBottom w:val="0"/>
                  <w:divBdr>
                    <w:top w:val="none" w:sz="0" w:space="0" w:color="auto"/>
                    <w:left w:val="none" w:sz="0" w:space="0" w:color="auto"/>
                    <w:bottom w:val="none" w:sz="0" w:space="0" w:color="auto"/>
                    <w:right w:val="none" w:sz="0" w:space="0" w:color="auto"/>
                  </w:divBdr>
                  <w:divsChild>
                    <w:div w:id="1333407629">
                      <w:marLeft w:val="0"/>
                      <w:marRight w:val="0"/>
                      <w:marTop w:val="0"/>
                      <w:marBottom w:val="0"/>
                      <w:divBdr>
                        <w:top w:val="none" w:sz="0" w:space="0" w:color="auto"/>
                        <w:left w:val="none" w:sz="0" w:space="0" w:color="auto"/>
                        <w:bottom w:val="none" w:sz="0" w:space="0" w:color="auto"/>
                        <w:right w:val="none" w:sz="0" w:space="0" w:color="auto"/>
                      </w:divBdr>
                    </w:div>
                  </w:divsChild>
                </w:div>
                <w:div w:id="1553074693">
                  <w:marLeft w:val="0"/>
                  <w:marRight w:val="0"/>
                  <w:marTop w:val="0"/>
                  <w:marBottom w:val="0"/>
                  <w:divBdr>
                    <w:top w:val="none" w:sz="0" w:space="0" w:color="auto"/>
                    <w:left w:val="none" w:sz="0" w:space="0" w:color="auto"/>
                    <w:bottom w:val="none" w:sz="0" w:space="0" w:color="auto"/>
                    <w:right w:val="none" w:sz="0" w:space="0" w:color="auto"/>
                  </w:divBdr>
                  <w:divsChild>
                    <w:div w:id="1676615481">
                      <w:marLeft w:val="0"/>
                      <w:marRight w:val="0"/>
                      <w:marTop w:val="0"/>
                      <w:marBottom w:val="0"/>
                      <w:divBdr>
                        <w:top w:val="none" w:sz="0" w:space="0" w:color="auto"/>
                        <w:left w:val="none" w:sz="0" w:space="0" w:color="auto"/>
                        <w:bottom w:val="none" w:sz="0" w:space="0" w:color="auto"/>
                        <w:right w:val="none" w:sz="0" w:space="0" w:color="auto"/>
                      </w:divBdr>
                    </w:div>
                  </w:divsChild>
                </w:div>
                <w:div w:id="1553229892">
                  <w:marLeft w:val="0"/>
                  <w:marRight w:val="0"/>
                  <w:marTop w:val="0"/>
                  <w:marBottom w:val="0"/>
                  <w:divBdr>
                    <w:top w:val="none" w:sz="0" w:space="0" w:color="auto"/>
                    <w:left w:val="none" w:sz="0" w:space="0" w:color="auto"/>
                    <w:bottom w:val="none" w:sz="0" w:space="0" w:color="auto"/>
                    <w:right w:val="none" w:sz="0" w:space="0" w:color="auto"/>
                  </w:divBdr>
                  <w:divsChild>
                    <w:div w:id="477301983">
                      <w:marLeft w:val="0"/>
                      <w:marRight w:val="0"/>
                      <w:marTop w:val="0"/>
                      <w:marBottom w:val="0"/>
                      <w:divBdr>
                        <w:top w:val="none" w:sz="0" w:space="0" w:color="auto"/>
                        <w:left w:val="none" w:sz="0" w:space="0" w:color="auto"/>
                        <w:bottom w:val="none" w:sz="0" w:space="0" w:color="auto"/>
                        <w:right w:val="none" w:sz="0" w:space="0" w:color="auto"/>
                      </w:divBdr>
                    </w:div>
                  </w:divsChild>
                </w:div>
                <w:div w:id="1627345510">
                  <w:marLeft w:val="0"/>
                  <w:marRight w:val="0"/>
                  <w:marTop w:val="0"/>
                  <w:marBottom w:val="0"/>
                  <w:divBdr>
                    <w:top w:val="none" w:sz="0" w:space="0" w:color="auto"/>
                    <w:left w:val="none" w:sz="0" w:space="0" w:color="auto"/>
                    <w:bottom w:val="none" w:sz="0" w:space="0" w:color="auto"/>
                    <w:right w:val="none" w:sz="0" w:space="0" w:color="auto"/>
                  </w:divBdr>
                  <w:divsChild>
                    <w:div w:id="702443280">
                      <w:marLeft w:val="0"/>
                      <w:marRight w:val="0"/>
                      <w:marTop w:val="0"/>
                      <w:marBottom w:val="0"/>
                      <w:divBdr>
                        <w:top w:val="none" w:sz="0" w:space="0" w:color="auto"/>
                        <w:left w:val="none" w:sz="0" w:space="0" w:color="auto"/>
                        <w:bottom w:val="none" w:sz="0" w:space="0" w:color="auto"/>
                        <w:right w:val="none" w:sz="0" w:space="0" w:color="auto"/>
                      </w:divBdr>
                    </w:div>
                  </w:divsChild>
                </w:div>
                <w:div w:id="1682972277">
                  <w:marLeft w:val="0"/>
                  <w:marRight w:val="0"/>
                  <w:marTop w:val="0"/>
                  <w:marBottom w:val="0"/>
                  <w:divBdr>
                    <w:top w:val="none" w:sz="0" w:space="0" w:color="auto"/>
                    <w:left w:val="none" w:sz="0" w:space="0" w:color="auto"/>
                    <w:bottom w:val="none" w:sz="0" w:space="0" w:color="auto"/>
                    <w:right w:val="none" w:sz="0" w:space="0" w:color="auto"/>
                  </w:divBdr>
                  <w:divsChild>
                    <w:div w:id="503281054">
                      <w:marLeft w:val="0"/>
                      <w:marRight w:val="0"/>
                      <w:marTop w:val="0"/>
                      <w:marBottom w:val="0"/>
                      <w:divBdr>
                        <w:top w:val="none" w:sz="0" w:space="0" w:color="auto"/>
                        <w:left w:val="none" w:sz="0" w:space="0" w:color="auto"/>
                        <w:bottom w:val="none" w:sz="0" w:space="0" w:color="auto"/>
                        <w:right w:val="none" w:sz="0" w:space="0" w:color="auto"/>
                      </w:divBdr>
                    </w:div>
                  </w:divsChild>
                </w:div>
                <w:div w:id="1687290167">
                  <w:marLeft w:val="0"/>
                  <w:marRight w:val="0"/>
                  <w:marTop w:val="0"/>
                  <w:marBottom w:val="0"/>
                  <w:divBdr>
                    <w:top w:val="none" w:sz="0" w:space="0" w:color="auto"/>
                    <w:left w:val="none" w:sz="0" w:space="0" w:color="auto"/>
                    <w:bottom w:val="none" w:sz="0" w:space="0" w:color="auto"/>
                    <w:right w:val="none" w:sz="0" w:space="0" w:color="auto"/>
                  </w:divBdr>
                  <w:divsChild>
                    <w:div w:id="1004473531">
                      <w:marLeft w:val="0"/>
                      <w:marRight w:val="0"/>
                      <w:marTop w:val="0"/>
                      <w:marBottom w:val="0"/>
                      <w:divBdr>
                        <w:top w:val="none" w:sz="0" w:space="0" w:color="auto"/>
                        <w:left w:val="none" w:sz="0" w:space="0" w:color="auto"/>
                        <w:bottom w:val="none" w:sz="0" w:space="0" w:color="auto"/>
                        <w:right w:val="none" w:sz="0" w:space="0" w:color="auto"/>
                      </w:divBdr>
                    </w:div>
                  </w:divsChild>
                </w:div>
                <w:div w:id="1725790175">
                  <w:marLeft w:val="0"/>
                  <w:marRight w:val="0"/>
                  <w:marTop w:val="0"/>
                  <w:marBottom w:val="0"/>
                  <w:divBdr>
                    <w:top w:val="none" w:sz="0" w:space="0" w:color="auto"/>
                    <w:left w:val="none" w:sz="0" w:space="0" w:color="auto"/>
                    <w:bottom w:val="none" w:sz="0" w:space="0" w:color="auto"/>
                    <w:right w:val="none" w:sz="0" w:space="0" w:color="auto"/>
                  </w:divBdr>
                  <w:divsChild>
                    <w:div w:id="954794410">
                      <w:marLeft w:val="0"/>
                      <w:marRight w:val="0"/>
                      <w:marTop w:val="0"/>
                      <w:marBottom w:val="0"/>
                      <w:divBdr>
                        <w:top w:val="none" w:sz="0" w:space="0" w:color="auto"/>
                        <w:left w:val="none" w:sz="0" w:space="0" w:color="auto"/>
                        <w:bottom w:val="none" w:sz="0" w:space="0" w:color="auto"/>
                        <w:right w:val="none" w:sz="0" w:space="0" w:color="auto"/>
                      </w:divBdr>
                    </w:div>
                  </w:divsChild>
                </w:div>
                <w:div w:id="1758986580">
                  <w:marLeft w:val="0"/>
                  <w:marRight w:val="0"/>
                  <w:marTop w:val="0"/>
                  <w:marBottom w:val="0"/>
                  <w:divBdr>
                    <w:top w:val="none" w:sz="0" w:space="0" w:color="auto"/>
                    <w:left w:val="none" w:sz="0" w:space="0" w:color="auto"/>
                    <w:bottom w:val="none" w:sz="0" w:space="0" w:color="auto"/>
                    <w:right w:val="none" w:sz="0" w:space="0" w:color="auto"/>
                  </w:divBdr>
                  <w:divsChild>
                    <w:div w:id="483745104">
                      <w:marLeft w:val="0"/>
                      <w:marRight w:val="0"/>
                      <w:marTop w:val="0"/>
                      <w:marBottom w:val="0"/>
                      <w:divBdr>
                        <w:top w:val="none" w:sz="0" w:space="0" w:color="auto"/>
                        <w:left w:val="none" w:sz="0" w:space="0" w:color="auto"/>
                        <w:bottom w:val="none" w:sz="0" w:space="0" w:color="auto"/>
                        <w:right w:val="none" w:sz="0" w:space="0" w:color="auto"/>
                      </w:divBdr>
                    </w:div>
                  </w:divsChild>
                </w:div>
                <w:div w:id="1802457272">
                  <w:marLeft w:val="0"/>
                  <w:marRight w:val="0"/>
                  <w:marTop w:val="0"/>
                  <w:marBottom w:val="0"/>
                  <w:divBdr>
                    <w:top w:val="none" w:sz="0" w:space="0" w:color="auto"/>
                    <w:left w:val="none" w:sz="0" w:space="0" w:color="auto"/>
                    <w:bottom w:val="none" w:sz="0" w:space="0" w:color="auto"/>
                    <w:right w:val="none" w:sz="0" w:space="0" w:color="auto"/>
                  </w:divBdr>
                  <w:divsChild>
                    <w:div w:id="1721057237">
                      <w:marLeft w:val="0"/>
                      <w:marRight w:val="0"/>
                      <w:marTop w:val="0"/>
                      <w:marBottom w:val="0"/>
                      <w:divBdr>
                        <w:top w:val="none" w:sz="0" w:space="0" w:color="auto"/>
                        <w:left w:val="none" w:sz="0" w:space="0" w:color="auto"/>
                        <w:bottom w:val="none" w:sz="0" w:space="0" w:color="auto"/>
                        <w:right w:val="none" w:sz="0" w:space="0" w:color="auto"/>
                      </w:divBdr>
                    </w:div>
                  </w:divsChild>
                </w:div>
                <w:div w:id="1814760831">
                  <w:marLeft w:val="0"/>
                  <w:marRight w:val="0"/>
                  <w:marTop w:val="0"/>
                  <w:marBottom w:val="0"/>
                  <w:divBdr>
                    <w:top w:val="none" w:sz="0" w:space="0" w:color="auto"/>
                    <w:left w:val="none" w:sz="0" w:space="0" w:color="auto"/>
                    <w:bottom w:val="none" w:sz="0" w:space="0" w:color="auto"/>
                    <w:right w:val="none" w:sz="0" w:space="0" w:color="auto"/>
                  </w:divBdr>
                  <w:divsChild>
                    <w:div w:id="519199349">
                      <w:marLeft w:val="0"/>
                      <w:marRight w:val="0"/>
                      <w:marTop w:val="0"/>
                      <w:marBottom w:val="0"/>
                      <w:divBdr>
                        <w:top w:val="none" w:sz="0" w:space="0" w:color="auto"/>
                        <w:left w:val="none" w:sz="0" w:space="0" w:color="auto"/>
                        <w:bottom w:val="none" w:sz="0" w:space="0" w:color="auto"/>
                        <w:right w:val="none" w:sz="0" w:space="0" w:color="auto"/>
                      </w:divBdr>
                    </w:div>
                  </w:divsChild>
                </w:div>
                <w:div w:id="1823809082">
                  <w:marLeft w:val="0"/>
                  <w:marRight w:val="0"/>
                  <w:marTop w:val="0"/>
                  <w:marBottom w:val="0"/>
                  <w:divBdr>
                    <w:top w:val="none" w:sz="0" w:space="0" w:color="auto"/>
                    <w:left w:val="none" w:sz="0" w:space="0" w:color="auto"/>
                    <w:bottom w:val="none" w:sz="0" w:space="0" w:color="auto"/>
                    <w:right w:val="none" w:sz="0" w:space="0" w:color="auto"/>
                  </w:divBdr>
                  <w:divsChild>
                    <w:div w:id="2068335787">
                      <w:marLeft w:val="0"/>
                      <w:marRight w:val="0"/>
                      <w:marTop w:val="0"/>
                      <w:marBottom w:val="0"/>
                      <w:divBdr>
                        <w:top w:val="none" w:sz="0" w:space="0" w:color="auto"/>
                        <w:left w:val="none" w:sz="0" w:space="0" w:color="auto"/>
                        <w:bottom w:val="none" w:sz="0" w:space="0" w:color="auto"/>
                        <w:right w:val="none" w:sz="0" w:space="0" w:color="auto"/>
                      </w:divBdr>
                    </w:div>
                  </w:divsChild>
                </w:div>
                <w:div w:id="1855723033">
                  <w:marLeft w:val="0"/>
                  <w:marRight w:val="0"/>
                  <w:marTop w:val="0"/>
                  <w:marBottom w:val="0"/>
                  <w:divBdr>
                    <w:top w:val="none" w:sz="0" w:space="0" w:color="auto"/>
                    <w:left w:val="none" w:sz="0" w:space="0" w:color="auto"/>
                    <w:bottom w:val="none" w:sz="0" w:space="0" w:color="auto"/>
                    <w:right w:val="none" w:sz="0" w:space="0" w:color="auto"/>
                  </w:divBdr>
                  <w:divsChild>
                    <w:div w:id="1594390779">
                      <w:marLeft w:val="0"/>
                      <w:marRight w:val="0"/>
                      <w:marTop w:val="0"/>
                      <w:marBottom w:val="0"/>
                      <w:divBdr>
                        <w:top w:val="none" w:sz="0" w:space="0" w:color="auto"/>
                        <w:left w:val="none" w:sz="0" w:space="0" w:color="auto"/>
                        <w:bottom w:val="none" w:sz="0" w:space="0" w:color="auto"/>
                        <w:right w:val="none" w:sz="0" w:space="0" w:color="auto"/>
                      </w:divBdr>
                    </w:div>
                  </w:divsChild>
                </w:div>
                <w:div w:id="1909538515">
                  <w:marLeft w:val="0"/>
                  <w:marRight w:val="0"/>
                  <w:marTop w:val="0"/>
                  <w:marBottom w:val="0"/>
                  <w:divBdr>
                    <w:top w:val="none" w:sz="0" w:space="0" w:color="auto"/>
                    <w:left w:val="none" w:sz="0" w:space="0" w:color="auto"/>
                    <w:bottom w:val="none" w:sz="0" w:space="0" w:color="auto"/>
                    <w:right w:val="none" w:sz="0" w:space="0" w:color="auto"/>
                  </w:divBdr>
                  <w:divsChild>
                    <w:div w:id="7558983">
                      <w:marLeft w:val="0"/>
                      <w:marRight w:val="0"/>
                      <w:marTop w:val="0"/>
                      <w:marBottom w:val="0"/>
                      <w:divBdr>
                        <w:top w:val="none" w:sz="0" w:space="0" w:color="auto"/>
                        <w:left w:val="none" w:sz="0" w:space="0" w:color="auto"/>
                        <w:bottom w:val="none" w:sz="0" w:space="0" w:color="auto"/>
                        <w:right w:val="none" w:sz="0" w:space="0" w:color="auto"/>
                      </w:divBdr>
                    </w:div>
                  </w:divsChild>
                </w:div>
                <w:div w:id="1957639179">
                  <w:marLeft w:val="0"/>
                  <w:marRight w:val="0"/>
                  <w:marTop w:val="0"/>
                  <w:marBottom w:val="0"/>
                  <w:divBdr>
                    <w:top w:val="none" w:sz="0" w:space="0" w:color="auto"/>
                    <w:left w:val="none" w:sz="0" w:space="0" w:color="auto"/>
                    <w:bottom w:val="none" w:sz="0" w:space="0" w:color="auto"/>
                    <w:right w:val="none" w:sz="0" w:space="0" w:color="auto"/>
                  </w:divBdr>
                  <w:divsChild>
                    <w:div w:id="56830972">
                      <w:marLeft w:val="0"/>
                      <w:marRight w:val="0"/>
                      <w:marTop w:val="0"/>
                      <w:marBottom w:val="0"/>
                      <w:divBdr>
                        <w:top w:val="none" w:sz="0" w:space="0" w:color="auto"/>
                        <w:left w:val="none" w:sz="0" w:space="0" w:color="auto"/>
                        <w:bottom w:val="none" w:sz="0" w:space="0" w:color="auto"/>
                        <w:right w:val="none" w:sz="0" w:space="0" w:color="auto"/>
                      </w:divBdr>
                    </w:div>
                  </w:divsChild>
                </w:div>
                <w:div w:id="2103140786">
                  <w:marLeft w:val="0"/>
                  <w:marRight w:val="0"/>
                  <w:marTop w:val="0"/>
                  <w:marBottom w:val="0"/>
                  <w:divBdr>
                    <w:top w:val="none" w:sz="0" w:space="0" w:color="auto"/>
                    <w:left w:val="none" w:sz="0" w:space="0" w:color="auto"/>
                    <w:bottom w:val="none" w:sz="0" w:space="0" w:color="auto"/>
                    <w:right w:val="none" w:sz="0" w:space="0" w:color="auto"/>
                  </w:divBdr>
                  <w:divsChild>
                    <w:div w:id="1164394841">
                      <w:marLeft w:val="0"/>
                      <w:marRight w:val="0"/>
                      <w:marTop w:val="0"/>
                      <w:marBottom w:val="0"/>
                      <w:divBdr>
                        <w:top w:val="none" w:sz="0" w:space="0" w:color="auto"/>
                        <w:left w:val="none" w:sz="0" w:space="0" w:color="auto"/>
                        <w:bottom w:val="none" w:sz="0" w:space="0" w:color="auto"/>
                        <w:right w:val="none" w:sz="0" w:space="0" w:color="auto"/>
                      </w:divBdr>
                    </w:div>
                  </w:divsChild>
                </w:div>
                <w:div w:id="2129470946">
                  <w:marLeft w:val="0"/>
                  <w:marRight w:val="0"/>
                  <w:marTop w:val="0"/>
                  <w:marBottom w:val="0"/>
                  <w:divBdr>
                    <w:top w:val="none" w:sz="0" w:space="0" w:color="auto"/>
                    <w:left w:val="none" w:sz="0" w:space="0" w:color="auto"/>
                    <w:bottom w:val="none" w:sz="0" w:space="0" w:color="auto"/>
                    <w:right w:val="none" w:sz="0" w:space="0" w:color="auto"/>
                  </w:divBdr>
                  <w:divsChild>
                    <w:div w:id="1687292401">
                      <w:marLeft w:val="0"/>
                      <w:marRight w:val="0"/>
                      <w:marTop w:val="0"/>
                      <w:marBottom w:val="0"/>
                      <w:divBdr>
                        <w:top w:val="none" w:sz="0" w:space="0" w:color="auto"/>
                        <w:left w:val="none" w:sz="0" w:space="0" w:color="auto"/>
                        <w:bottom w:val="none" w:sz="0" w:space="0" w:color="auto"/>
                        <w:right w:val="none" w:sz="0" w:space="0" w:color="auto"/>
                      </w:divBdr>
                    </w:div>
                  </w:divsChild>
                </w:div>
                <w:div w:id="2136436392">
                  <w:marLeft w:val="0"/>
                  <w:marRight w:val="0"/>
                  <w:marTop w:val="0"/>
                  <w:marBottom w:val="0"/>
                  <w:divBdr>
                    <w:top w:val="none" w:sz="0" w:space="0" w:color="auto"/>
                    <w:left w:val="none" w:sz="0" w:space="0" w:color="auto"/>
                    <w:bottom w:val="none" w:sz="0" w:space="0" w:color="auto"/>
                    <w:right w:val="none" w:sz="0" w:space="0" w:color="auto"/>
                  </w:divBdr>
                  <w:divsChild>
                    <w:div w:id="6404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432111">
          <w:marLeft w:val="0"/>
          <w:marRight w:val="0"/>
          <w:marTop w:val="0"/>
          <w:marBottom w:val="0"/>
          <w:divBdr>
            <w:top w:val="none" w:sz="0" w:space="0" w:color="auto"/>
            <w:left w:val="none" w:sz="0" w:space="0" w:color="auto"/>
            <w:bottom w:val="none" w:sz="0" w:space="0" w:color="auto"/>
            <w:right w:val="none" w:sz="0" w:space="0" w:color="auto"/>
          </w:divBdr>
        </w:div>
        <w:div w:id="2064598118">
          <w:marLeft w:val="0"/>
          <w:marRight w:val="0"/>
          <w:marTop w:val="0"/>
          <w:marBottom w:val="0"/>
          <w:divBdr>
            <w:top w:val="none" w:sz="0" w:space="0" w:color="auto"/>
            <w:left w:val="none" w:sz="0" w:space="0" w:color="auto"/>
            <w:bottom w:val="none" w:sz="0" w:space="0" w:color="auto"/>
            <w:right w:val="none" w:sz="0" w:space="0" w:color="auto"/>
          </w:divBdr>
        </w:div>
      </w:divsChild>
    </w:div>
    <w:div w:id="1382250527">
      <w:bodyDiv w:val="1"/>
      <w:marLeft w:val="0"/>
      <w:marRight w:val="0"/>
      <w:marTop w:val="0"/>
      <w:marBottom w:val="0"/>
      <w:divBdr>
        <w:top w:val="none" w:sz="0" w:space="0" w:color="auto"/>
        <w:left w:val="none" w:sz="0" w:space="0" w:color="auto"/>
        <w:bottom w:val="none" w:sz="0" w:space="0" w:color="auto"/>
        <w:right w:val="none" w:sz="0" w:space="0" w:color="auto"/>
      </w:divBdr>
      <w:divsChild>
        <w:div w:id="108208968">
          <w:marLeft w:val="0"/>
          <w:marRight w:val="0"/>
          <w:marTop w:val="0"/>
          <w:marBottom w:val="0"/>
          <w:divBdr>
            <w:top w:val="none" w:sz="0" w:space="0" w:color="auto"/>
            <w:left w:val="none" w:sz="0" w:space="0" w:color="auto"/>
            <w:bottom w:val="none" w:sz="0" w:space="0" w:color="auto"/>
            <w:right w:val="none" w:sz="0" w:space="0" w:color="auto"/>
          </w:divBdr>
          <w:divsChild>
            <w:div w:id="679697084">
              <w:marLeft w:val="0"/>
              <w:marRight w:val="0"/>
              <w:marTop w:val="0"/>
              <w:marBottom w:val="0"/>
              <w:divBdr>
                <w:top w:val="none" w:sz="0" w:space="0" w:color="auto"/>
                <w:left w:val="none" w:sz="0" w:space="0" w:color="auto"/>
                <w:bottom w:val="none" w:sz="0" w:space="0" w:color="auto"/>
                <w:right w:val="none" w:sz="0" w:space="0" w:color="auto"/>
              </w:divBdr>
            </w:div>
          </w:divsChild>
        </w:div>
        <w:div w:id="150947907">
          <w:marLeft w:val="0"/>
          <w:marRight w:val="0"/>
          <w:marTop w:val="0"/>
          <w:marBottom w:val="0"/>
          <w:divBdr>
            <w:top w:val="none" w:sz="0" w:space="0" w:color="auto"/>
            <w:left w:val="none" w:sz="0" w:space="0" w:color="auto"/>
            <w:bottom w:val="none" w:sz="0" w:space="0" w:color="auto"/>
            <w:right w:val="none" w:sz="0" w:space="0" w:color="auto"/>
          </w:divBdr>
          <w:divsChild>
            <w:div w:id="639312048">
              <w:marLeft w:val="0"/>
              <w:marRight w:val="0"/>
              <w:marTop w:val="0"/>
              <w:marBottom w:val="0"/>
              <w:divBdr>
                <w:top w:val="none" w:sz="0" w:space="0" w:color="auto"/>
                <w:left w:val="none" w:sz="0" w:space="0" w:color="auto"/>
                <w:bottom w:val="none" w:sz="0" w:space="0" w:color="auto"/>
                <w:right w:val="none" w:sz="0" w:space="0" w:color="auto"/>
              </w:divBdr>
            </w:div>
          </w:divsChild>
        </w:div>
        <w:div w:id="265500631">
          <w:marLeft w:val="0"/>
          <w:marRight w:val="0"/>
          <w:marTop w:val="0"/>
          <w:marBottom w:val="0"/>
          <w:divBdr>
            <w:top w:val="none" w:sz="0" w:space="0" w:color="auto"/>
            <w:left w:val="none" w:sz="0" w:space="0" w:color="auto"/>
            <w:bottom w:val="none" w:sz="0" w:space="0" w:color="auto"/>
            <w:right w:val="none" w:sz="0" w:space="0" w:color="auto"/>
          </w:divBdr>
          <w:divsChild>
            <w:div w:id="296573939">
              <w:marLeft w:val="0"/>
              <w:marRight w:val="0"/>
              <w:marTop w:val="0"/>
              <w:marBottom w:val="0"/>
              <w:divBdr>
                <w:top w:val="none" w:sz="0" w:space="0" w:color="auto"/>
                <w:left w:val="none" w:sz="0" w:space="0" w:color="auto"/>
                <w:bottom w:val="none" w:sz="0" w:space="0" w:color="auto"/>
                <w:right w:val="none" w:sz="0" w:space="0" w:color="auto"/>
              </w:divBdr>
            </w:div>
          </w:divsChild>
        </w:div>
        <w:div w:id="358236115">
          <w:marLeft w:val="0"/>
          <w:marRight w:val="0"/>
          <w:marTop w:val="0"/>
          <w:marBottom w:val="0"/>
          <w:divBdr>
            <w:top w:val="none" w:sz="0" w:space="0" w:color="auto"/>
            <w:left w:val="none" w:sz="0" w:space="0" w:color="auto"/>
            <w:bottom w:val="none" w:sz="0" w:space="0" w:color="auto"/>
            <w:right w:val="none" w:sz="0" w:space="0" w:color="auto"/>
          </w:divBdr>
          <w:divsChild>
            <w:div w:id="1527015025">
              <w:marLeft w:val="0"/>
              <w:marRight w:val="0"/>
              <w:marTop w:val="0"/>
              <w:marBottom w:val="0"/>
              <w:divBdr>
                <w:top w:val="none" w:sz="0" w:space="0" w:color="auto"/>
                <w:left w:val="none" w:sz="0" w:space="0" w:color="auto"/>
                <w:bottom w:val="none" w:sz="0" w:space="0" w:color="auto"/>
                <w:right w:val="none" w:sz="0" w:space="0" w:color="auto"/>
              </w:divBdr>
            </w:div>
          </w:divsChild>
        </w:div>
        <w:div w:id="662927549">
          <w:marLeft w:val="0"/>
          <w:marRight w:val="0"/>
          <w:marTop w:val="0"/>
          <w:marBottom w:val="0"/>
          <w:divBdr>
            <w:top w:val="none" w:sz="0" w:space="0" w:color="auto"/>
            <w:left w:val="none" w:sz="0" w:space="0" w:color="auto"/>
            <w:bottom w:val="none" w:sz="0" w:space="0" w:color="auto"/>
            <w:right w:val="none" w:sz="0" w:space="0" w:color="auto"/>
          </w:divBdr>
          <w:divsChild>
            <w:div w:id="158011664">
              <w:marLeft w:val="0"/>
              <w:marRight w:val="0"/>
              <w:marTop w:val="0"/>
              <w:marBottom w:val="0"/>
              <w:divBdr>
                <w:top w:val="none" w:sz="0" w:space="0" w:color="auto"/>
                <w:left w:val="none" w:sz="0" w:space="0" w:color="auto"/>
                <w:bottom w:val="none" w:sz="0" w:space="0" w:color="auto"/>
                <w:right w:val="none" w:sz="0" w:space="0" w:color="auto"/>
              </w:divBdr>
            </w:div>
          </w:divsChild>
        </w:div>
        <w:div w:id="748386899">
          <w:marLeft w:val="0"/>
          <w:marRight w:val="0"/>
          <w:marTop w:val="0"/>
          <w:marBottom w:val="0"/>
          <w:divBdr>
            <w:top w:val="none" w:sz="0" w:space="0" w:color="auto"/>
            <w:left w:val="none" w:sz="0" w:space="0" w:color="auto"/>
            <w:bottom w:val="none" w:sz="0" w:space="0" w:color="auto"/>
            <w:right w:val="none" w:sz="0" w:space="0" w:color="auto"/>
          </w:divBdr>
          <w:divsChild>
            <w:div w:id="1497182750">
              <w:marLeft w:val="0"/>
              <w:marRight w:val="0"/>
              <w:marTop w:val="0"/>
              <w:marBottom w:val="0"/>
              <w:divBdr>
                <w:top w:val="none" w:sz="0" w:space="0" w:color="auto"/>
                <w:left w:val="none" w:sz="0" w:space="0" w:color="auto"/>
                <w:bottom w:val="none" w:sz="0" w:space="0" w:color="auto"/>
                <w:right w:val="none" w:sz="0" w:space="0" w:color="auto"/>
              </w:divBdr>
            </w:div>
          </w:divsChild>
        </w:div>
        <w:div w:id="807669523">
          <w:marLeft w:val="0"/>
          <w:marRight w:val="0"/>
          <w:marTop w:val="0"/>
          <w:marBottom w:val="0"/>
          <w:divBdr>
            <w:top w:val="none" w:sz="0" w:space="0" w:color="auto"/>
            <w:left w:val="none" w:sz="0" w:space="0" w:color="auto"/>
            <w:bottom w:val="none" w:sz="0" w:space="0" w:color="auto"/>
            <w:right w:val="none" w:sz="0" w:space="0" w:color="auto"/>
          </w:divBdr>
          <w:divsChild>
            <w:div w:id="1776974150">
              <w:marLeft w:val="0"/>
              <w:marRight w:val="0"/>
              <w:marTop w:val="0"/>
              <w:marBottom w:val="0"/>
              <w:divBdr>
                <w:top w:val="none" w:sz="0" w:space="0" w:color="auto"/>
                <w:left w:val="none" w:sz="0" w:space="0" w:color="auto"/>
                <w:bottom w:val="none" w:sz="0" w:space="0" w:color="auto"/>
                <w:right w:val="none" w:sz="0" w:space="0" w:color="auto"/>
              </w:divBdr>
            </w:div>
          </w:divsChild>
        </w:div>
        <w:div w:id="946078946">
          <w:marLeft w:val="0"/>
          <w:marRight w:val="0"/>
          <w:marTop w:val="0"/>
          <w:marBottom w:val="0"/>
          <w:divBdr>
            <w:top w:val="none" w:sz="0" w:space="0" w:color="auto"/>
            <w:left w:val="none" w:sz="0" w:space="0" w:color="auto"/>
            <w:bottom w:val="none" w:sz="0" w:space="0" w:color="auto"/>
            <w:right w:val="none" w:sz="0" w:space="0" w:color="auto"/>
          </w:divBdr>
          <w:divsChild>
            <w:div w:id="1067726039">
              <w:marLeft w:val="0"/>
              <w:marRight w:val="0"/>
              <w:marTop w:val="0"/>
              <w:marBottom w:val="0"/>
              <w:divBdr>
                <w:top w:val="none" w:sz="0" w:space="0" w:color="auto"/>
                <w:left w:val="none" w:sz="0" w:space="0" w:color="auto"/>
                <w:bottom w:val="none" w:sz="0" w:space="0" w:color="auto"/>
                <w:right w:val="none" w:sz="0" w:space="0" w:color="auto"/>
              </w:divBdr>
            </w:div>
          </w:divsChild>
        </w:div>
        <w:div w:id="1067460400">
          <w:marLeft w:val="0"/>
          <w:marRight w:val="0"/>
          <w:marTop w:val="0"/>
          <w:marBottom w:val="0"/>
          <w:divBdr>
            <w:top w:val="none" w:sz="0" w:space="0" w:color="auto"/>
            <w:left w:val="none" w:sz="0" w:space="0" w:color="auto"/>
            <w:bottom w:val="none" w:sz="0" w:space="0" w:color="auto"/>
            <w:right w:val="none" w:sz="0" w:space="0" w:color="auto"/>
          </w:divBdr>
          <w:divsChild>
            <w:div w:id="1349478435">
              <w:marLeft w:val="0"/>
              <w:marRight w:val="0"/>
              <w:marTop w:val="0"/>
              <w:marBottom w:val="0"/>
              <w:divBdr>
                <w:top w:val="none" w:sz="0" w:space="0" w:color="auto"/>
                <w:left w:val="none" w:sz="0" w:space="0" w:color="auto"/>
                <w:bottom w:val="none" w:sz="0" w:space="0" w:color="auto"/>
                <w:right w:val="none" w:sz="0" w:space="0" w:color="auto"/>
              </w:divBdr>
            </w:div>
          </w:divsChild>
        </w:div>
        <w:div w:id="1255164720">
          <w:marLeft w:val="0"/>
          <w:marRight w:val="0"/>
          <w:marTop w:val="0"/>
          <w:marBottom w:val="0"/>
          <w:divBdr>
            <w:top w:val="none" w:sz="0" w:space="0" w:color="auto"/>
            <w:left w:val="none" w:sz="0" w:space="0" w:color="auto"/>
            <w:bottom w:val="none" w:sz="0" w:space="0" w:color="auto"/>
            <w:right w:val="none" w:sz="0" w:space="0" w:color="auto"/>
          </w:divBdr>
          <w:divsChild>
            <w:div w:id="1985818072">
              <w:marLeft w:val="0"/>
              <w:marRight w:val="0"/>
              <w:marTop w:val="0"/>
              <w:marBottom w:val="0"/>
              <w:divBdr>
                <w:top w:val="none" w:sz="0" w:space="0" w:color="auto"/>
                <w:left w:val="none" w:sz="0" w:space="0" w:color="auto"/>
                <w:bottom w:val="none" w:sz="0" w:space="0" w:color="auto"/>
                <w:right w:val="none" w:sz="0" w:space="0" w:color="auto"/>
              </w:divBdr>
            </w:div>
          </w:divsChild>
        </w:div>
        <w:div w:id="1365137478">
          <w:marLeft w:val="0"/>
          <w:marRight w:val="0"/>
          <w:marTop w:val="0"/>
          <w:marBottom w:val="0"/>
          <w:divBdr>
            <w:top w:val="none" w:sz="0" w:space="0" w:color="auto"/>
            <w:left w:val="none" w:sz="0" w:space="0" w:color="auto"/>
            <w:bottom w:val="none" w:sz="0" w:space="0" w:color="auto"/>
            <w:right w:val="none" w:sz="0" w:space="0" w:color="auto"/>
          </w:divBdr>
          <w:divsChild>
            <w:div w:id="469521579">
              <w:marLeft w:val="0"/>
              <w:marRight w:val="0"/>
              <w:marTop w:val="0"/>
              <w:marBottom w:val="0"/>
              <w:divBdr>
                <w:top w:val="none" w:sz="0" w:space="0" w:color="auto"/>
                <w:left w:val="none" w:sz="0" w:space="0" w:color="auto"/>
                <w:bottom w:val="none" w:sz="0" w:space="0" w:color="auto"/>
                <w:right w:val="none" w:sz="0" w:space="0" w:color="auto"/>
              </w:divBdr>
            </w:div>
          </w:divsChild>
        </w:div>
        <w:div w:id="1419860829">
          <w:marLeft w:val="0"/>
          <w:marRight w:val="0"/>
          <w:marTop w:val="0"/>
          <w:marBottom w:val="0"/>
          <w:divBdr>
            <w:top w:val="none" w:sz="0" w:space="0" w:color="auto"/>
            <w:left w:val="none" w:sz="0" w:space="0" w:color="auto"/>
            <w:bottom w:val="none" w:sz="0" w:space="0" w:color="auto"/>
            <w:right w:val="none" w:sz="0" w:space="0" w:color="auto"/>
          </w:divBdr>
          <w:divsChild>
            <w:div w:id="395666808">
              <w:marLeft w:val="0"/>
              <w:marRight w:val="0"/>
              <w:marTop w:val="0"/>
              <w:marBottom w:val="0"/>
              <w:divBdr>
                <w:top w:val="none" w:sz="0" w:space="0" w:color="auto"/>
                <w:left w:val="none" w:sz="0" w:space="0" w:color="auto"/>
                <w:bottom w:val="none" w:sz="0" w:space="0" w:color="auto"/>
                <w:right w:val="none" w:sz="0" w:space="0" w:color="auto"/>
              </w:divBdr>
            </w:div>
          </w:divsChild>
        </w:div>
        <w:div w:id="1596282228">
          <w:marLeft w:val="0"/>
          <w:marRight w:val="0"/>
          <w:marTop w:val="0"/>
          <w:marBottom w:val="0"/>
          <w:divBdr>
            <w:top w:val="none" w:sz="0" w:space="0" w:color="auto"/>
            <w:left w:val="none" w:sz="0" w:space="0" w:color="auto"/>
            <w:bottom w:val="none" w:sz="0" w:space="0" w:color="auto"/>
            <w:right w:val="none" w:sz="0" w:space="0" w:color="auto"/>
          </w:divBdr>
          <w:divsChild>
            <w:div w:id="692264871">
              <w:marLeft w:val="0"/>
              <w:marRight w:val="0"/>
              <w:marTop w:val="0"/>
              <w:marBottom w:val="0"/>
              <w:divBdr>
                <w:top w:val="none" w:sz="0" w:space="0" w:color="auto"/>
                <w:left w:val="none" w:sz="0" w:space="0" w:color="auto"/>
                <w:bottom w:val="none" w:sz="0" w:space="0" w:color="auto"/>
                <w:right w:val="none" w:sz="0" w:space="0" w:color="auto"/>
              </w:divBdr>
            </w:div>
          </w:divsChild>
        </w:div>
        <w:div w:id="1645964944">
          <w:marLeft w:val="0"/>
          <w:marRight w:val="0"/>
          <w:marTop w:val="0"/>
          <w:marBottom w:val="0"/>
          <w:divBdr>
            <w:top w:val="none" w:sz="0" w:space="0" w:color="auto"/>
            <w:left w:val="none" w:sz="0" w:space="0" w:color="auto"/>
            <w:bottom w:val="none" w:sz="0" w:space="0" w:color="auto"/>
            <w:right w:val="none" w:sz="0" w:space="0" w:color="auto"/>
          </w:divBdr>
          <w:divsChild>
            <w:div w:id="1139692032">
              <w:marLeft w:val="0"/>
              <w:marRight w:val="0"/>
              <w:marTop w:val="0"/>
              <w:marBottom w:val="0"/>
              <w:divBdr>
                <w:top w:val="none" w:sz="0" w:space="0" w:color="auto"/>
                <w:left w:val="none" w:sz="0" w:space="0" w:color="auto"/>
                <w:bottom w:val="none" w:sz="0" w:space="0" w:color="auto"/>
                <w:right w:val="none" w:sz="0" w:space="0" w:color="auto"/>
              </w:divBdr>
            </w:div>
          </w:divsChild>
        </w:div>
        <w:div w:id="1667248488">
          <w:marLeft w:val="0"/>
          <w:marRight w:val="0"/>
          <w:marTop w:val="0"/>
          <w:marBottom w:val="0"/>
          <w:divBdr>
            <w:top w:val="none" w:sz="0" w:space="0" w:color="auto"/>
            <w:left w:val="none" w:sz="0" w:space="0" w:color="auto"/>
            <w:bottom w:val="none" w:sz="0" w:space="0" w:color="auto"/>
            <w:right w:val="none" w:sz="0" w:space="0" w:color="auto"/>
          </w:divBdr>
          <w:divsChild>
            <w:div w:id="1795247299">
              <w:marLeft w:val="0"/>
              <w:marRight w:val="0"/>
              <w:marTop w:val="0"/>
              <w:marBottom w:val="0"/>
              <w:divBdr>
                <w:top w:val="none" w:sz="0" w:space="0" w:color="auto"/>
                <w:left w:val="none" w:sz="0" w:space="0" w:color="auto"/>
                <w:bottom w:val="none" w:sz="0" w:space="0" w:color="auto"/>
                <w:right w:val="none" w:sz="0" w:space="0" w:color="auto"/>
              </w:divBdr>
            </w:div>
          </w:divsChild>
        </w:div>
        <w:div w:id="1774596061">
          <w:marLeft w:val="0"/>
          <w:marRight w:val="0"/>
          <w:marTop w:val="0"/>
          <w:marBottom w:val="0"/>
          <w:divBdr>
            <w:top w:val="none" w:sz="0" w:space="0" w:color="auto"/>
            <w:left w:val="none" w:sz="0" w:space="0" w:color="auto"/>
            <w:bottom w:val="none" w:sz="0" w:space="0" w:color="auto"/>
            <w:right w:val="none" w:sz="0" w:space="0" w:color="auto"/>
          </w:divBdr>
          <w:divsChild>
            <w:div w:id="1607273118">
              <w:marLeft w:val="0"/>
              <w:marRight w:val="0"/>
              <w:marTop w:val="0"/>
              <w:marBottom w:val="0"/>
              <w:divBdr>
                <w:top w:val="none" w:sz="0" w:space="0" w:color="auto"/>
                <w:left w:val="none" w:sz="0" w:space="0" w:color="auto"/>
                <w:bottom w:val="none" w:sz="0" w:space="0" w:color="auto"/>
                <w:right w:val="none" w:sz="0" w:space="0" w:color="auto"/>
              </w:divBdr>
            </w:div>
          </w:divsChild>
        </w:div>
        <w:div w:id="1789205361">
          <w:marLeft w:val="0"/>
          <w:marRight w:val="0"/>
          <w:marTop w:val="0"/>
          <w:marBottom w:val="0"/>
          <w:divBdr>
            <w:top w:val="none" w:sz="0" w:space="0" w:color="auto"/>
            <w:left w:val="none" w:sz="0" w:space="0" w:color="auto"/>
            <w:bottom w:val="none" w:sz="0" w:space="0" w:color="auto"/>
            <w:right w:val="none" w:sz="0" w:space="0" w:color="auto"/>
          </w:divBdr>
          <w:divsChild>
            <w:div w:id="1595742059">
              <w:marLeft w:val="0"/>
              <w:marRight w:val="0"/>
              <w:marTop w:val="0"/>
              <w:marBottom w:val="0"/>
              <w:divBdr>
                <w:top w:val="none" w:sz="0" w:space="0" w:color="auto"/>
                <w:left w:val="none" w:sz="0" w:space="0" w:color="auto"/>
                <w:bottom w:val="none" w:sz="0" w:space="0" w:color="auto"/>
                <w:right w:val="none" w:sz="0" w:space="0" w:color="auto"/>
              </w:divBdr>
            </w:div>
          </w:divsChild>
        </w:div>
        <w:div w:id="1825391920">
          <w:marLeft w:val="0"/>
          <w:marRight w:val="0"/>
          <w:marTop w:val="0"/>
          <w:marBottom w:val="0"/>
          <w:divBdr>
            <w:top w:val="none" w:sz="0" w:space="0" w:color="auto"/>
            <w:left w:val="none" w:sz="0" w:space="0" w:color="auto"/>
            <w:bottom w:val="none" w:sz="0" w:space="0" w:color="auto"/>
            <w:right w:val="none" w:sz="0" w:space="0" w:color="auto"/>
          </w:divBdr>
          <w:divsChild>
            <w:div w:id="1308437563">
              <w:marLeft w:val="0"/>
              <w:marRight w:val="0"/>
              <w:marTop w:val="0"/>
              <w:marBottom w:val="0"/>
              <w:divBdr>
                <w:top w:val="none" w:sz="0" w:space="0" w:color="auto"/>
                <w:left w:val="none" w:sz="0" w:space="0" w:color="auto"/>
                <w:bottom w:val="none" w:sz="0" w:space="0" w:color="auto"/>
                <w:right w:val="none" w:sz="0" w:space="0" w:color="auto"/>
              </w:divBdr>
            </w:div>
          </w:divsChild>
        </w:div>
        <w:div w:id="1838377352">
          <w:marLeft w:val="0"/>
          <w:marRight w:val="0"/>
          <w:marTop w:val="0"/>
          <w:marBottom w:val="0"/>
          <w:divBdr>
            <w:top w:val="none" w:sz="0" w:space="0" w:color="auto"/>
            <w:left w:val="none" w:sz="0" w:space="0" w:color="auto"/>
            <w:bottom w:val="none" w:sz="0" w:space="0" w:color="auto"/>
            <w:right w:val="none" w:sz="0" w:space="0" w:color="auto"/>
          </w:divBdr>
          <w:divsChild>
            <w:div w:id="1382628386">
              <w:marLeft w:val="0"/>
              <w:marRight w:val="0"/>
              <w:marTop w:val="0"/>
              <w:marBottom w:val="0"/>
              <w:divBdr>
                <w:top w:val="none" w:sz="0" w:space="0" w:color="auto"/>
                <w:left w:val="none" w:sz="0" w:space="0" w:color="auto"/>
                <w:bottom w:val="none" w:sz="0" w:space="0" w:color="auto"/>
                <w:right w:val="none" w:sz="0" w:space="0" w:color="auto"/>
              </w:divBdr>
            </w:div>
          </w:divsChild>
        </w:div>
        <w:div w:id="1944458153">
          <w:marLeft w:val="0"/>
          <w:marRight w:val="0"/>
          <w:marTop w:val="0"/>
          <w:marBottom w:val="0"/>
          <w:divBdr>
            <w:top w:val="none" w:sz="0" w:space="0" w:color="auto"/>
            <w:left w:val="none" w:sz="0" w:space="0" w:color="auto"/>
            <w:bottom w:val="none" w:sz="0" w:space="0" w:color="auto"/>
            <w:right w:val="none" w:sz="0" w:space="0" w:color="auto"/>
          </w:divBdr>
          <w:divsChild>
            <w:div w:id="3335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5960">
      <w:bodyDiv w:val="1"/>
      <w:marLeft w:val="0"/>
      <w:marRight w:val="0"/>
      <w:marTop w:val="0"/>
      <w:marBottom w:val="0"/>
      <w:divBdr>
        <w:top w:val="none" w:sz="0" w:space="0" w:color="auto"/>
        <w:left w:val="none" w:sz="0" w:space="0" w:color="auto"/>
        <w:bottom w:val="none" w:sz="0" w:space="0" w:color="auto"/>
        <w:right w:val="none" w:sz="0" w:space="0" w:color="auto"/>
      </w:divBdr>
      <w:divsChild>
        <w:div w:id="14696061">
          <w:marLeft w:val="0"/>
          <w:marRight w:val="0"/>
          <w:marTop w:val="0"/>
          <w:marBottom w:val="0"/>
          <w:divBdr>
            <w:top w:val="none" w:sz="0" w:space="0" w:color="auto"/>
            <w:left w:val="none" w:sz="0" w:space="0" w:color="auto"/>
            <w:bottom w:val="none" w:sz="0" w:space="0" w:color="auto"/>
            <w:right w:val="none" w:sz="0" w:space="0" w:color="auto"/>
          </w:divBdr>
        </w:div>
        <w:div w:id="175779508">
          <w:marLeft w:val="0"/>
          <w:marRight w:val="0"/>
          <w:marTop w:val="0"/>
          <w:marBottom w:val="0"/>
          <w:divBdr>
            <w:top w:val="none" w:sz="0" w:space="0" w:color="auto"/>
            <w:left w:val="none" w:sz="0" w:space="0" w:color="auto"/>
            <w:bottom w:val="none" w:sz="0" w:space="0" w:color="auto"/>
            <w:right w:val="none" w:sz="0" w:space="0" w:color="auto"/>
          </w:divBdr>
        </w:div>
        <w:div w:id="216285687">
          <w:marLeft w:val="0"/>
          <w:marRight w:val="0"/>
          <w:marTop w:val="0"/>
          <w:marBottom w:val="0"/>
          <w:divBdr>
            <w:top w:val="none" w:sz="0" w:space="0" w:color="auto"/>
            <w:left w:val="none" w:sz="0" w:space="0" w:color="auto"/>
            <w:bottom w:val="none" w:sz="0" w:space="0" w:color="auto"/>
            <w:right w:val="none" w:sz="0" w:space="0" w:color="auto"/>
          </w:divBdr>
        </w:div>
        <w:div w:id="1398284923">
          <w:marLeft w:val="0"/>
          <w:marRight w:val="0"/>
          <w:marTop w:val="0"/>
          <w:marBottom w:val="0"/>
          <w:divBdr>
            <w:top w:val="none" w:sz="0" w:space="0" w:color="auto"/>
            <w:left w:val="none" w:sz="0" w:space="0" w:color="auto"/>
            <w:bottom w:val="none" w:sz="0" w:space="0" w:color="auto"/>
            <w:right w:val="none" w:sz="0" w:space="0" w:color="auto"/>
          </w:divBdr>
        </w:div>
        <w:div w:id="1517184966">
          <w:marLeft w:val="0"/>
          <w:marRight w:val="0"/>
          <w:marTop w:val="0"/>
          <w:marBottom w:val="0"/>
          <w:divBdr>
            <w:top w:val="none" w:sz="0" w:space="0" w:color="auto"/>
            <w:left w:val="none" w:sz="0" w:space="0" w:color="auto"/>
            <w:bottom w:val="none" w:sz="0" w:space="0" w:color="auto"/>
            <w:right w:val="none" w:sz="0" w:space="0" w:color="auto"/>
          </w:divBdr>
        </w:div>
        <w:div w:id="1731810550">
          <w:marLeft w:val="0"/>
          <w:marRight w:val="0"/>
          <w:marTop w:val="0"/>
          <w:marBottom w:val="0"/>
          <w:divBdr>
            <w:top w:val="none" w:sz="0" w:space="0" w:color="auto"/>
            <w:left w:val="none" w:sz="0" w:space="0" w:color="auto"/>
            <w:bottom w:val="none" w:sz="0" w:space="0" w:color="auto"/>
            <w:right w:val="none" w:sz="0" w:space="0" w:color="auto"/>
          </w:divBdr>
        </w:div>
        <w:div w:id="1780491418">
          <w:marLeft w:val="0"/>
          <w:marRight w:val="0"/>
          <w:marTop w:val="0"/>
          <w:marBottom w:val="0"/>
          <w:divBdr>
            <w:top w:val="none" w:sz="0" w:space="0" w:color="auto"/>
            <w:left w:val="none" w:sz="0" w:space="0" w:color="auto"/>
            <w:bottom w:val="none" w:sz="0" w:space="0" w:color="auto"/>
            <w:right w:val="none" w:sz="0" w:space="0" w:color="auto"/>
          </w:divBdr>
        </w:div>
      </w:divsChild>
    </w:div>
    <w:div w:id="1391149302">
      <w:bodyDiv w:val="1"/>
      <w:marLeft w:val="0"/>
      <w:marRight w:val="0"/>
      <w:marTop w:val="0"/>
      <w:marBottom w:val="0"/>
      <w:divBdr>
        <w:top w:val="none" w:sz="0" w:space="0" w:color="auto"/>
        <w:left w:val="none" w:sz="0" w:space="0" w:color="auto"/>
        <w:bottom w:val="none" w:sz="0" w:space="0" w:color="auto"/>
        <w:right w:val="none" w:sz="0" w:space="0" w:color="auto"/>
      </w:divBdr>
      <w:divsChild>
        <w:div w:id="367878596">
          <w:marLeft w:val="0"/>
          <w:marRight w:val="0"/>
          <w:marTop w:val="0"/>
          <w:marBottom w:val="0"/>
          <w:divBdr>
            <w:top w:val="none" w:sz="0" w:space="0" w:color="auto"/>
            <w:left w:val="none" w:sz="0" w:space="0" w:color="auto"/>
            <w:bottom w:val="none" w:sz="0" w:space="0" w:color="auto"/>
            <w:right w:val="none" w:sz="0" w:space="0" w:color="auto"/>
          </w:divBdr>
        </w:div>
        <w:div w:id="960192108">
          <w:marLeft w:val="0"/>
          <w:marRight w:val="0"/>
          <w:marTop w:val="0"/>
          <w:marBottom w:val="0"/>
          <w:divBdr>
            <w:top w:val="none" w:sz="0" w:space="0" w:color="auto"/>
            <w:left w:val="none" w:sz="0" w:space="0" w:color="auto"/>
            <w:bottom w:val="none" w:sz="0" w:space="0" w:color="auto"/>
            <w:right w:val="none" w:sz="0" w:space="0" w:color="auto"/>
          </w:divBdr>
          <w:divsChild>
            <w:div w:id="112795506">
              <w:marLeft w:val="0"/>
              <w:marRight w:val="0"/>
              <w:marTop w:val="0"/>
              <w:marBottom w:val="0"/>
              <w:divBdr>
                <w:top w:val="none" w:sz="0" w:space="0" w:color="auto"/>
                <w:left w:val="none" w:sz="0" w:space="0" w:color="auto"/>
                <w:bottom w:val="none" w:sz="0" w:space="0" w:color="auto"/>
                <w:right w:val="none" w:sz="0" w:space="0" w:color="auto"/>
              </w:divBdr>
            </w:div>
            <w:div w:id="116342174">
              <w:marLeft w:val="0"/>
              <w:marRight w:val="0"/>
              <w:marTop w:val="0"/>
              <w:marBottom w:val="0"/>
              <w:divBdr>
                <w:top w:val="none" w:sz="0" w:space="0" w:color="auto"/>
                <w:left w:val="none" w:sz="0" w:space="0" w:color="auto"/>
                <w:bottom w:val="none" w:sz="0" w:space="0" w:color="auto"/>
                <w:right w:val="none" w:sz="0" w:space="0" w:color="auto"/>
              </w:divBdr>
            </w:div>
            <w:div w:id="299116290">
              <w:marLeft w:val="0"/>
              <w:marRight w:val="0"/>
              <w:marTop w:val="0"/>
              <w:marBottom w:val="0"/>
              <w:divBdr>
                <w:top w:val="none" w:sz="0" w:space="0" w:color="auto"/>
                <w:left w:val="none" w:sz="0" w:space="0" w:color="auto"/>
                <w:bottom w:val="none" w:sz="0" w:space="0" w:color="auto"/>
                <w:right w:val="none" w:sz="0" w:space="0" w:color="auto"/>
              </w:divBdr>
            </w:div>
            <w:div w:id="340470566">
              <w:marLeft w:val="0"/>
              <w:marRight w:val="0"/>
              <w:marTop w:val="0"/>
              <w:marBottom w:val="0"/>
              <w:divBdr>
                <w:top w:val="none" w:sz="0" w:space="0" w:color="auto"/>
                <w:left w:val="none" w:sz="0" w:space="0" w:color="auto"/>
                <w:bottom w:val="none" w:sz="0" w:space="0" w:color="auto"/>
                <w:right w:val="none" w:sz="0" w:space="0" w:color="auto"/>
              </w:divBdr>
            </w:div>
            <w:div w:id="691297380">
              <w:marLeft w:val="0"/>
              <w:marRight w:val="0"/>
              <w:marTop w:val="0"/>
              <w:marBottom w:val="0"/>
              <w:divBdr>
                <w:top w:val="none" w:sz="0" w:space="0" w:color="auto"/>
                <w:left w:val="none" w:sz="0" w:space="0" w:color="auto"/>
                <w:bottom w:val="none" w:sz="0" w:space="0" w:color="auto"/>
                <w:right w:val="none" w:sz="0" w:space="0" w:color="auto"/>
              </w:divBdr>
            </w:div>
            <w:div w:id="751900530">
              <w:marLeft w:val="0"/>
              <w:marRight w:val="0"/>
              <w:marTop w:val="0"/>
              <w:marBottom w:val="0"/>
              <w:divBdr>
                <w:top w:val="none" w:sz="0" w:space="0" w:color="auto"/>
                <w:left w:val="none" w:sz="0" w:space="0" w:color="auto"/>
                <w:bottom w:val="none" w:sz="0" w:space="0" w:color="auto"/>
                <w:right w:val="none" w:sz="0" w:space="0" w:color="auto"/>
              </w:divBdr>
            </w:div>
            <w:div w:id="802042154">
              <w:marLeft w:val="0"/>
              <w:marRight w:val="0"/>
              <w:marTop w:val="0"/>
              <w:marBottom w:val="0"/>
              <w:divBdr>
                <w:top w:val="none" w:sz="0" w:space="0" w:color="auto"/>
                <w:left w:val="none" w:sz="0" w:space="0" w:color="auto"/>
                <w:bottom w:val="none" w:sz="0" w:space="0" w:color="auto"/>
                <w:right w:val="none" w:sz="0" w:space="0" w:color="auto"/>
              </w:divBdr>
            </w:div>
            <w:div w:id="1093932761">
              <w:marLeft w:val="0"/>
              <w:marRight w:val="0"/>
              <w:marTop w:val="0"/>
              <w:marBottom w:val="0"/>
              <w:divBdr>
                <w:top w:val="none" w:sz="0" w:space="0" w:color="auto"/>
                <w:left w:val="none" w:sz="0" w:space="0" w:color="auto"/>
                <w:bottom w:val="none" w:sz="0" w:space="0" w:color="auto"/>
                <w:right w:val="none" w:sz="0" w:space="0" w:color="auto"/>
              </w:divBdr>
            </w:div>
            <w:div w:id="1106728979">
              <w:marLeft w:val="0"/>
              <w:marRight w:val="0"/>
              <w:marTop w:val="0"/>
              <w:marBottom w:val="0"/>
              <w:divBdr>
                <w:top w:val="none" w:sz="0" w:space="0" w:color="auto"/>
                <w:left w:val="none" w:sz="0" w:space="0" w:color="auto"/>
                <w:bottom w:val="none" w:sz="0" w:space="0" w:color="auto"/>
                <w:right w:val="none" w:sz="0" w:space="0" w:color="auto"/>
              </w:divBdr>
            </w:div>
            <w:div w:id="1121919006">
              <w:marLeft w:val="0"/>
              <w:marRight w:val="0"/>
              <w:marTop w:val="0"/>
              <w:marBottom w:val="0"/>
              <w:divBdr>
                <w:top w:val="none" w:sz="0" w:space="0" w:color="auto"/>
                <w:left w:val="none" w:sz="0" w:space="0" w:color="auto"/>
                <w:bottom w:val="none" w:sz="0" w:space="0" w:color="auto"/>
                <w:right w:val="none" w:sz="0" w:space="0" w:color="auto"/>
              </w:divBdr>
            </w:div>
            <w:div w:id="1125000553">
              <w:marLeft w:val="0"/>
              <w:marRight w:val="0"/>
              <w:marTop w:val="0"/>
              <w:marBottom w:val="0"/>
              <w:divBdr>
                <w:top w:val="none" w:sz="0" w:space="0" w:color="auto"/>
                <w:left w:val="none" w:sz="0" w:space="0" w:color="auto"/>
                <w:bottom w:val="none" w:sz="0" w:space="0" w:color="auto"/>
                <w:right w:val="none" w:sz="0" w:space="0" w:color="auto"/>
              </w:divBdr>
            </w:div>
            <w:div w:id="1238788492">
              <w:marLeft w:val="0"/>
              <w:marRight w:val="0"/>
              <w:marTop w:val="0"/>
              <w:marBottom w:val="0"/>
              <w:divBdr>
                <w:top w:val="none" w:sz="0" w:space="0" w:color="auto"/>
                <w:left w:val="none" w:sz="0" w:space="0" w:color="auto"/>
                <w:bottom w:val="none" w:sz="0" w:space="0" w:color="auto"/>
                <w:right w:val="none" w:sz="0" w:space="0" w:color="auto"/>
              </w:divBdr>
            </w:div>
            <w:div w:id="1262882577">
              <w:marLeft w:val="0"/>
              <w:marRight w:val="0"/>
              <w:marTop w:val="0"/>
              <w:marBottom w:val="0"/>
              <w:divBdr>
                <w:top w:val="none" w:sz="0" w:space="0" w:color="auto"/>
                <w:left w:val="none" w:sz="0" w:space="0" w:color="auto"/>
                <w:bottom w:val="none" w:sz="0" w:space="0" w:color="auto"/>
                <w:right w:val="none" w:sz="0" w:space="0" w:color="auto"/>
              </w:divBdr>
            </w:div>
            <w:div w:id="1342589180">
              <w:marLeft w:val="0"/>
              <w:marRight w:val="0"/>
              <w:marTop w:val="0"/>
              <w:marBottom w:val="0"/>
              <w:divBdr>
                <w:top w:val="none" w:sz="0" w:space="0" w:color="auto"/>
                <w:left w:val="none" w:sz="0" w:space="0" w:color="auto"/>
                <w:bottom w:val="none" w:sz="0" w:space="0" w:color="auto"/>
                <w:right w:val="none" w:sz="0" w:space="0" w:color="auto"/>
              </w:divBdr>
            </w:div>
            <w:div w:id="1810240317">
              <w:marLeft w:val="0"/>
              <w:marRight w:val="0"/>
              <w:marTop w:val="0"/>
              <w:marBottom w:val="0"/>
              <w:divBdr>
                <w:top w:val="none" w:sz="0" w:space="0" w:color="auto"/>
                <w:left w:val="none" w:sz="0" w:space="0" w:color="auto"/>
                <w:bottom w:val="none" w:sz="0" w:space="0" w:color="auto"/>
                <w:right w:val="none" w:sz="0" w:space="0" w:color="auto"/>
              </w:divBdr>
            </w:div>
            <w:div w:id="1824469998">
              <w:marLeft w:val="0"/>
              <w:marRight w:val="0"/>
              <w:marTop w:val="0"/>
              <w:marBottom w:val="0"/>
              <w:divBdr>
                <w:top w:val="none" w:sz="0" w:space="0" w:color="auto"/>
                <w:left w:val="none" w:sz="0" w:space="0" w:color="auto"/>
                <w:bottom w:val="none" w:sz="0" w:space="0" w:color="auto"/>
                <w:right w:val="none" w:sz="0" w:space="0" w:color="auto"/>
              </w:divBdr>
            </w:div>
            <w:div w:id="1901161930">
              <w:marLeft w:val="0"/>
              <w:marRight w:val="0"/>
              <w:marTop w:val="0"/>
              <w:marBottom w:val="0"/>
              <w:divBdr>
                <w:top w:val="none" w:sz="0" w:space="0" w:color="auto"/>
                <w:left w:val="none" w:sz="0" w:space="0" w:color="auto"/>
                <w:bottom w:val="none" w:sz="0" w:space="0" w:color="auto"/>
                <w:right w:val="none" w:sz="0" w:space="0" w:color="auto"/>
              </w:divBdr>
            </w:div>
            <w:div w:id="2047634122">
              <w:marLeft w:val="0"/>
              <w:marRight w:val="0"/>
              <w:marTop w:val="0"/>
              <w:marBottom w:val="0"/>
              <w:divBdr>
                <w:top w:val="none" w:sz="0" w:space="0" w:color="auto"/>
                <w:left w:val="none" w:sz="0" w:space="0" w:color="auto"/>
                <w:bottom w:val="none" w:sz="0" w:space="0" w:color="auto"/>
                <w:right w:val="none" w:sz="0" w:space="0" w:color="auto"/>
              </w:divBdr>
            </w:div>
            <w:div w:id="2110736781">
              <w:marLeft w:val="0"/>
              <w:marRight w:val="0"/>
              <w:marTop w:val="0"/>
              <w:marBottom w:val="0"/>
              <w:divBdr>
                <w:top w:val="none" w:sz="0" w:space="0" w:color="auto"/>
                <w:left w:val="none" w:sz="0" w:space="0" w:color="auto"/>
                <w:bottom w:val="none" w:sz="0" w:space="0" w:color="auto"/>
                <w:right w:val="none" w:sz="0" w:space="0" w:color="auto"/>
              </w:divBdr>
            </w:div>
            <w:div w:id="2115250966">
              <w:marLeft w:val="0"/>
              <w:marRight w:val="0"/>
              <w:marTop w:val="0"/>
              <w:marBottom w:val="0"/>
              <w:divBdr>
                <w:top w:val="none" w:sz="0" w:space="0" w:color="auto"/>
                <w:left w:val="none" w:sz="0" w:space="0" w:color="auto"/>
                <w:bottom w:val="none" w:sz="0" w:space="0" w:color="auto"/>
                <w:right w:val="none" w:sz="0" w:space="0" w:color="auto"/>
              </w:divBdr>
            </w:div>
          </w:divsChild>
        </w:div>
        <w:div w:id="1654481897">
          <w:marLeft w:val="0"/>
          <w:marRight w:val="0"/>
          <w:marTop w:val="0"/>
          <w:marBottom w:val="0"/>
          <w:divBdr>
            <w:top w:val="none" w:sz="0" w:space="0" w:color="auto"/>
            <w:left w:val="none" w:sz="0" w:space="0" w:color="auto"/>
            <w:bottom w:val="none" w:sz="0" w:space="0" w:color="auto"/>
            <w:right w:val="none" w:sz="0" w:space="0" w:color="auto"/>
          </w:divBdr>
          <w:divsChild>
            <w:div w:id="5833886">
              <w:marLeft w:val="0"/>
              <w:marRight w:val="0"/>
              <w:marTop w:val="0"/>
              <w:marBottom w:val="0"/>
              <w:divBdr>
                <w:top w:val="none" w:sz="0" w:space="0" w:color="auto"/>
                <w:left w:val="none" w:sz="0" w:space="0" w:color="auto"/>
                <w:bottom w:val="none" w:sz="0" w:space="0" w:color="auto"/>
                <w:right w:val="none" w:sz="0" w:space="0" w:color="auto"/>
              </w:divBdr>
            </w:div>
            <w:div w:id="359353212">
              <w:marLeft w:val="0"/>
              <w:marRight w:val="0"/>
              <w:marTop w:val="0"/>
              <w:marBottom w:val="0"/>
              <w:divBdr>
                <w:top w:val="none" w:sz="0" w:space="0" w:color="auto"/>
                <w:left w:val="none" w:sz="0" w:space="0" w:color="auto"/>
                <w:bottom w:val="none" w:sz="0" w:space="0" w:color="auto"/>
                <w:right w:val="none" w:sz="0" w:space="0" w:color="auto"/>
              </w:divBdr>
            </w:div>
            <w:div w:id="389691031">
              <w:marLeft w:val="0"/>
              <w:marRight w:val="0"/>
              <w:marTop w:val="0"/>
              <w:marBottom w:val="0"/>
              <w:divBdr>
                <w:top w:val="none" w:sz="0" w:space="0" w:color="auto"/>
                <w:left w:val="none" w:sz="0" w:space="0" w:color="auto"/>
                <w:bottom w:val="none" w:sz="0" w:space="0" w:color="auto"/>
                <w:right w:val="none" w:sz="0" w:space="0" w:color="auto"/>
              </w:divBdr>
            </w:div>
            <w:div w:id="471752943">
              <w:marLeft w:val="0"/>
              <w:marRight w:val="0"/>
              <w:marTop w:val="0"/>
              <w:marBottom w:val="0"/>
              <w:divBdr>
                <w:top w:val="none" w:sz="0" w:space="0" w:color="auto"/>
                <w:left w:val="none" w:sz="0" w:space="0" w:color="auto"/>
                <w:bottom w:val="none" w:sz="0" w:space="0" w:color="auto"/>
                <w:right w:val="none" w:sz="0" w:space="0" w:color="auto"/>
              </w:divBdr>
            </w:div>
            <w:div w:id="571234502">
              <w:marLeft w:val="0"/>
              <w:marRight w:val="0"/>
              <w:marTop w:val="0"/>
              <w:marBottom w:val="0"/>
              <w:divBdr>
                <w:top w:val="none" w:sz="0" w:space="0" w:color="auto"/>
                <w:left w:val="none" w:sz="0" w:space="0" w:color="auto"/>
                <w:bottom w:val="none" w:sz="0" w:space="0" w:color="auto"/>
                <w:right w:val="none" w:sz="0" w:space="0" w:color="auto"/>
              </w:divBdr>
            </w:div>
            <w:div w:id="692192165">
              <w:marLeft w:val="0"/>
              <w:marRight w:val="0"/>
              <w:marTop w:val="0"/>
              <w:marBottom w:val="0"/>
              <w:divBdr>
                <w:top w:val="none" w:sz="0" w:space="0" w:color="auto"/>
                <w:left w:val="none" w:sz="0" w:space="0" w:color="auto"/>
                <w:bottom w:val="none" w:sz="0" w:space="0" w:color="auto"/>
                <w:right w:val="none" w:sz="0" w:space="0" w:color="auto"/>
              </w:divBdr>
            </w:div>
            <w:div w:id="894510298">
              <w:marLeft w:val="0"/>
              <w:marRight w:val="0"/>
              <w:marTop w:val="0"/>
              <w:marBottom w:val="0"/>
              <w:divBdr>
                <w:top w:val="none" w:sz="0" w:space="0" w:color="auto"/>
                <w:left w:val="none" w:sz="0" w:space="0" w:color="auto"/>
                <w:bottom w:val="none" w:sz="0" w:space="0" w:color="auto"/>
                <w:right w:val="none" w:sz="0" w:space="0" w:color="auto"/>
              </w:divBdr>
            </w:div>
            <w:div w:id="1028264339">
              <w:marLeft w:val="0"/>
              <w:marRight w:val="0"/>
              <w:marTop w:val="0"/>
              <w:marBottom w:val="0"/>
              <w:divBdr>
                <w:top w:val="none" w:sz="0" w:space="0" w:color="auto"/>
                <w:left w:val="none" w:sz="0" w:space="0" w:color="auto"/>
                <w:bottom w:val="none" w:sz="0" w:space="0" w:color="auto"/>
                <w:right w:val="none" w:sz="0" w:space="0" w:color="auto"/>
              </w:divBdr>
            </w:div>
            <w:div w:id="1071853205">
              <w:marLeft w:val="0"/>
              <w:marRight w:val="0"/>
              <w:marTop w:val="0"/>
              <w:marBottom w:val="0"/>
              <w:divBdr>
                <w:top w:val="none" w:sz="0" w:space="0" w:color="auto"/>
                <w:left w:val="none" w:sz="0" w:space="0" w:color="auto"/>
                <w:bottom w:val="none" w:sz="0" w:space="0" w:color="auto"/>
                <w:right w:val="none" w:sz="0" w:space="0" w:color="auto"/>
              </w:divBdr>
            </w:div>
            <w:div w:id="1335499456">
              <w:marLeft w:val="0"/>
              <w:marRight w:val="0"/>
              <w:marTop w:val="0"/>
              <w:marBottom w:val="0"/>
              <w:divBdr>
                <w:top w:val="none" w:sz="0" w:space="0" w:color="auto"/>
                <w:left w:val="none" w:sz="0" w:space="0" w:color="auto"/>
                <w:bottom w:val="none" w:sz="0" w:space="0" w:color="auto"/>
                <w:right w:val="none" w:sz="0" w:space="0" w:color="auto"/>
              </w:divBdr>
            </w:div>
            <w:div w:id="1382897580">
              <w:marLeft w:val="0"/>
              <w:marRight w:val="0"/>
              <w:marTop w:val="0"/>
              <w:marBottom w:val="0"/>
              <w:divBdr>
                <w:top w:val="none" w:sz="0" w:space="0" w:color="auto"/>
                <w:left w:val="none" w:sz="0" w:space="0" w:color="auto"/>
                <w:bottom w:val="none" w:sz="0" w:space="0" w:color="auto"/>
                <w:right w:val="none" w:sz="0" w:space="0" w:color="auto"/>
              </w:divBdr>
            </w:div>
            <w:div w:id="1522401881">
              <w:marLeft w:val="0"/>
              <w:marRight w:val="0"/>
              <w:marTop w:val="0"/>
              <w:marBottom w:val="0"/>
              <w:divBdr>
                <w:top w:val="none" w:sz="0" w:space="0" w:color="auto"/>
                <w:left w:val="none" w:sz="0" w:space="0" w:color="auto"/>
                <w:bottom w:val="none" w:sz="0" w:space="0" w:color="auto"/>
                <w:right w:val="none" w:sz="0" w:space="0" w:color="auto"/>
              </w:divBdr>
            </w:div>
            <w:div w:id="1586958099">
              <w:marLeft w:val="0"/>
              <w:marRight w:val="0"/>
              <w:marTop w:val="0"/>
              <w:marBottom w:val="0"/>
              <w:divBdr>
                <w:top w:val="none" w:sz="0" w:space="0" w:color="auto"/>
                <w:left w:val="none" w:sz="0" w:space="0" w:color="auto"/>
                <w:bottom w:val="none" w:sz="0" w:space="0" w:color="auto"/>
                <w:right w:val="none" w:sz="0" w:space="0" w:color="auto"/>
              </w:divBdr>
            </w:div>
            <w:div w:id="1806851006">
              <w:marLeft w:val="0"/>
              <w:marRight w:val="0"/>
              <w:marTop w:val="0"/>
              <w:marBottom w:val="0"/>
              <w:divBdr>
                <w:top w:val="none" w:sz="0" w:space="0" w:color="auto"/>
                <w:left w:val="none" w:sz="0" w:space="0" w:color="auto"/>
                <w:bottom w:val="none" w:sz="0" w:space="0" w:color="auto"/>
                <w:right w:val="none" w:sz="0" w:space="0" w:color="auto"/>
              </w:divBdr>
            </w:div>
            <w:div w:id="1813403127">
              <w:marLeft w:val="0"/>
              <w:marRight w:val="0"/>
              <w:marTop w:val="0"/>
              <w:marBottom w:val="0"/>
              <w:divBdr>
                <w:top w:val="none" w:sz="0" w:space="0" w:color="auto"/>
                <w:left w:val="none" w:sz="0" w:space="0" w:color="auto"/>
                <w:bottom w:val="none" w:sz="0" w:space="0" w:color="auto"/>
                <w:right w:val="none" w:sz="0" w:space="0" w:color="auto"/>
              </w:divBdr>
            </w:div>
            <w:div w:id="1918586895">
              <w:marLeft w:val="0"/>
              <w:marRight w:val="0"/>
              <w:marTop w:val="0"/>
              <w:marBottom w:val="0"/>
              <w:divBdr>
                <w:top w:val="none" w:sz="0" w:space="0" w:color="auto"/>
                <w:left w:val="none" w:sz="0" w:space="0" w:color="auto"/>
                <w:bottom w:val="none" w:sz="0" w:space="0" w:color="auto"/>
                <w:right w:val="none" w:sz="0" w:space="0" w:color="auto"/>
              </w:divBdr>
            </w:div>
            <w:div w:id="1980189760">
              <w:marLeft w:val="0"/>
              <w:marRight w:val="0"/>
              <w:marTop w:val="0"/>
              <w:marBottom w:val="0"/>
              <w:divBdr>
                <w:top w:val="none" w:sz="0" w:space="0" w:color="auto"/>
                <w:left w:val="none" w:sz="0" w:space="0" w:color="auto"/>
                <w:bottom w:val="none" w:sz="0" w:space="0" w:color="auto"/>
                <w:right w:val="none" w:sz="0" w:space="0" w:color="auto"/>
              </w:divBdr>
            </w:div>
            <w:div w:id="2001080648">
              <w:marLeft w:val="0"/>
              <w:marRight w:val="0"/>
              <w:marTop w:val="0"/>
              <w:marBottom w:val="0"/>
              <w:divBdr>
                <w:top w:val="none" w:sz="0" w:space="0" w:color="auto"/>
                <w:left w:val="none" w:sz="0" w:space="0" w:color="auto"/>
                <w:bottom w:val="none" w:sz="0" w:space="0" w:color="auto"/>
                <w:right w:val="none" w:sz="0" w:space="0" w:color="auto"/>
              </w:divBdr>
            </w:div>
            <w:div w:id="2056855517">
              <w:marLeft w:val="0"/>
              <w:marRight w:val="0"/>
              <w:marTop w:val="0"/>
              <w:marBottom w:val="0"/>
              <w:divBdr>
                <w:top w:val="none" w:sz="0" w:space="0" w:color="auto"/>
                <w:left w:val="none" w:sz="0" w:space="0" w:color="auto"/>
                <w:bottom w:val="none" w:sz="0" w:space="0" w:color="auto"/>
                <w:right w:val="none" w:sz="0" w:space="0" w:color="auto"/>
              </w:divBdr>
            </w:div>
            <w:div w:id="2080011880">
              <w:marLeft w:val="0"/>
              <w:marRight w:val="0"/>
              <w:marTop w:val="0"/>
              <w:marBottom w:val="0"/>
              <w:divBdr>
                <w:top w:val="none" w:sz="0" w:space="0" w:color="auto"/>
                <w:left w:val="none" w:sz="0" w:space="0" w:color="auto"/>
                <w:bottom w:val="none" w:sz="0" w:space="0" w:color="auto"/>
                <w:right w:val="none" w:sz="0" w:space="0" w:color="auto"/>
              </w:divBdr>
            </w:div>
          </w:divsChild>
        </w:div>
        <w:div w:id="1685741455">
          <w:marLeft w:val="0"/>
          <w:marRight w:val="0"/>
          <w:marTop w:val="0"/>
          <w:marBottom w:val="0"/>
          <w:divBdr>
            <w:top w:val="none" w:sz="0" w:space="0" w:color="auto"/>
            <w:left w:val="none" w:sz="0" w:space="0" w:color="auto"/>
            <w:bottom w:val="none" w:sz="0" w:space="0" w:color="auto"/>
            <w:right w:val="none" w:sz="0" w:space="0" w:color="auto"/>
          </w:divBdr>
          <w:divsChild>
            <w:div w:id="73820464">
              <w:marLeft w:val="0"/>
              <w:marRight w:val="0"/>
              <w:marTop w:val="0"/>
              <w:marBottom w:val="0"/>
              <w:divBdr>
                <w:top w:val="none" w:sz="0" w:space="0" w:color="auto"/>
                <w:left w:val="none" w:sz="0" w:space="0" w:color="auto"/>
                <w:bottom w:val="none" w:sz="0" w:space="0" w:color="auto"/>
                <w:right w:val="none" w:sz="0" w:space="0" w:color="auto"/>
              </w:divBdr>
            </w:div>
            <w:div w:id="105275244">
              <w:marLeft w:val="0"/>
              <w:marRight w:val="0"/>
              <w:marTop w:val="0"/>
              <w:marBottom w:val="0"/>
              <w:divBdr>
                <w:top w:val="none" w:sz="0" w:space="0" w:color="auto"/>
                <w:left w:val="none" w:sz="0" w:space="0" w:color="auto"/>
                <w:bottom w:val="none" w:sz="0" w:space="0" w:color="auto"/>
                <w:right w:val="none" w:sz="0" w:space="0" w:color="auto"/>
              </w:divBdr>
            </w:div>
            <w:div w:id="194386939">
              <w:marLeft w:val="0"/>
              <w:marRight w:val="0"/>
              <w:marTop w:val="0"/>
              <w:marBottom w:val="0"/>
              <w:divBdr>
                <w:top w:val="none" w:sz="0" w:space="0" w:color="auto"/>
                <w:left w:val="none" w:sz="0" w:space="0" w:color="auto"/>
                <w:bottom w:val="none" w:sz="0" w:space="0" w:color="auto"/>
                <w:right w:val="none" w:sz="0" w:space="0" w:color="auto"/>
              </w:divBdr>
            </w:div>
            <w:div w:id="196697973">
              <w:marLeft w:val="0"/>
              <w:marRight w:val="0"/>
              <w:marTop w:val="0"/>
              <w:marBottom w:val="0"/>
              <w:divBdr>
                <w:top w:val="none" w:sz="0" w:space="0" w:color="auto"/>
                <w:left w:val="none" w:sz="0" w:space="0" w:color="auto"/>
                <w:bottom w:val="none" w:sz="0" w:space="0" w:color="auto"/>
                <w:right w:val="none" w:sz="0" w:space="0" w:color="auto"/>
              </w:divBdr>
            </w:div>
            <w:div w:id="440497325">
              <w:marLeft w:val="0"/>
              <w:marRight w:val="0"/>
              <w:marTop w:val="0"/>
              <w:marBottom w:val="0"/>
              <w:divBdr>
                <w:top w:val="none" w:sz="0" w:space="0" w:color="auto"/>
                <w:left w:val="none" w:sz="0" w:space="0" w:color="auto"/>
                <w:bottom w:val="none" w:sz="0" w:space="0" w:color="auto"/>
                <w:right w:val="none" w:sz="0" w:space="0" w:color="auto"/>
              </w:divBdr>
            </w:div>
            <w:div w:id="494153479">
              <w:marLeft w:val="0"/>
              <w:marRight w:val="0"/>
              <w:marTop w:val="0"/>
              <w:marBottom w:val="0"/>
              <w:divBdr>
                <w:top w:val="none" w:sz="0" w:space="0" w:color="auto"/>
                <w:left w:val="none" w:sz="0" w:space="0" w:color="auto"/>
                <w:bottom w:val="none" w:sz="0" w:space="0" w:color="auto"/>
                <w:right w:val="none" w:sz="0" w:space="0" w:color="auto"/>
              </w:divBdr>
            </w:div>
            <w:div w:id="747308792">
              <w:marLeft w:val="0"/>
              <w:marRight w:val="0"/>
              <w:marTop w:val="0"/>
              <w:marBottom w:val="0"/>
              <w:divBdr>
                <w:top w:val="none" w:sz="0" w:space="0" w:color="auto"/>
                <w:left w:val="none" w:sz="0" w:space="0" w:color="auto"/>
                <w:bottom w:val="none" w:sz="0" w:space="0" w:color="auto"/>
                <w:right w:val="none" w:sz="0" w:space="0" w:color="auto"/>
              </w:divBdr>
            </w:div>
            <w:div w:id="754015715">
              <w:marLeft w:val="0"/>
              <w:marRight w:val="0"/>
              <w:marTop w:val="0"/>
              <w:marBottom w:val="0"/>
              <w:divBdr>
                <w:top w:val="none" w:sz="0" w:space="0" w:color="auto"/>
                <w:left w:val="none" w:sz="0" w:space="0" w:color="auto"/>
                <w:bottom w:val="none" w:sz="0" w:space="0" w:color="auto"/>
                <w:right w:val="none" w:sz="0" w:space="0" w:color="auto"/>
              </w:divBdr>
            </w:div>
            <w:div w:id="872889791">
              <w:marLeft w:val="0"/>
              <w:marRight w:val="0"/>
              <w:marTop w:val="0"/>
              <w:marBottom w:val="0"/>
              <w:divBdr>
                <w:top w:val="none" w:sz="0" w:space="0" w:color="auto"/>
                <w:left w:val="none" w:sz="0" w:space="0" w:color="auto"/>
                <w:bottom w:val="none" w:sz="0" w:space="0" w:color="auto"/>
                <w:right w:val="none" w:sz="0" w:space="0" w:color="auto"/>
              </w:divBdr>
            </w:div>
            <w:div w:id="1012605203">
              <w:marLeft w:val="0"/>
              <w:marRight w:val="0"/>
              <w:marTop w:val="0"/>
              <w:marBottom w:val="0"/>
              <w:divBdr>
                <w:top w:val="none" w:sz="0" w:space="0" w:color="auto"/>
                <w:left w:val="none" w:sz="0" w:space="0" w:color="auto"/>
                <w:bottom w:val="none" w:sz="0" w:space="0" w:color="auto"/>
                <w:right w:val="none" w:sz="0" w:space="0" w:color="auto"/>
              </w:divBdr>
            </w:div>
            <w:div w:id="1053117934">
              <w:marLeft w:val="0"/>
              <w:marRight w:val="0"/>
              <w:marTop w:val="0"/>
              <w:marBottom w:val="0"/>
              <w:divBdr>
                <w:top w:val="none" w:sz="0" w:space="0" w:color="auto"/>
                <w:left w:val="none" w:sz="0" w:space="0" w:color="auto"/>
                <w:bottom w:val="none" w:sz="0" w:space="0" w:color="auto"/>
                <w:right w:val="none" w:sz="0" w:space="0" w:color="auto"/>
              </w:divBdr>
            </w:div>
            <w:div w:id="1070233797">
              <w:marLeft w:val="0"/>
              <w:marRight w:val="0"/>
              <w:marTop w:val="0"/>
              <w:marBottom w:val="0"/>
              <w:divBdr>
                <w:top w:val="none" w:sz="0" w:space="0" w:color="auto"/>
                <w:left w:val="none" w:sz="0" w:space="0" w:color="auto"/>
                <w:bottom w:val="none" w:sz="0" w:space="0" w:color="auto"/>
                <w:right w:val="none" w:sz="0" w:space="0" w:color="auto"/>
              </w:divBdr>
            </w:div>
            <w:div w:id="1196652739">
              <w:marLeft w:val="0"/>
              <w:marRight w:val="0"/>
              <w:marTop w:val="0"/>
              <w:marBottom w:val="0"/>
              <w:divBdr>
                <w:top w:val="none" w:sz="0" w:space="0" w:color="auto"/>
                <w:left w:val="none" w:sz="0" w:space="0" w:color="auto"/>
                <w:bottom w:val="none" w:sz="0" w:space="0" w:color="auto"/>
                <w:right w:val="none" w:sz="0" w:space="0" w:color="auto"/>
              </w:divBdr>
            </w:div>
            <w:div w:id="1260675089">
              <w:marLeft w:val="0"/>
              <w:marRight w:val="0"/>
              <w:marTop w:val="0"/>
              <w:marBottom w:val="0"/>
              <w:divBdr>
                <w:top w:val="none" w:sz="0" w:space="0" w:color="auto"/>
                <w:left w:val="none" w:sz="0" w:space="0" w:color="auto"/>
                <w:bottom w:val="none" w:sz="0" w:space="0" w:color="auto"/>
                <w:right w:val="none" w:sz="0" w:space="0" w:color="auto"/>
              </w:divBdr>
            </w:div>
            <w:div w:id="1307781512">
              <w:marLeft w:val="0"/>
              <w:marRight w:val="0"/>
              <w:marTop w:val="0"/>
              <w:marBottom w:val="0"/>
              <w:divBdr>
                <w:top w:val="none" w:sz="0" w:space="0" w:color="auto"/>
                <w:left w:val="none" w:sz="0" w:space="0" w:color="auto"/>
                <w:bottom w:val="none" w:sz="0" w:space="0" w:color="auto"/>
                <w:right w:val="none" w:sz="0" w:space="0" w:color="auto"/>
              </w:divBdr>
            </w:div>
            <w:div w:id="1591966472">
              <w:marLeft w:val="0"/>
              <w:marRight w:val="0"/>
              <w:marTop w:val="0"/>
              <w:marBottom w:val="0"/>
              <w:divBdr>
                <w:top w:val="none" w:sz="0" w:space="0" w:color="auto"/>
                <w:left w:val="none" w:sz="0" w:space="0" w:color="auto"/>
                <w:bottom w:val="none" w:sz="0" w:space="0" w:color="auto"/>
                <w:right w:val="none" w:sz="0" w:space="0" w:color="auto"/>
              </w:divBdr>
            </w:div>
            <w:div w:id="1690449102">
              <w:marLeft w:val="0"/>
              <w:marRight w:val="0"/>
              <w:marTop w:val="0"/>
              <w:marBottom w:val="0"/>
              <w:divBdr>
                <w:top w:val="none" w:sz="0" w:space="0" w:color="auto"/>
                <w:left w:val="none" w:sz="0" w:space="0" w:color="auto"/>
                <w:bottom w:val="none" w:sz="0" w:space="0" w:color="auto"/>
                <w:right w:val="none" w:sz="0" w:space="0" w:color="auto"/>
              </w:divBdr>
            </w:div>
            <w:div w:id="1843465738">
              <w:marLeft w:val="0"/>
              <w:marRight w:val="0"/>
              <w:marTop w:val="0"/>
              <w:marBottom w:val="0"/>
              <w:divBdr>
                <w:top w:val="none" w:sz="0" w:space="0" w:color="auto"/>
                <w:left w:val="none" w:sz="0" w:space="0" w:color="auto"/>
                <w:bottom w:val="none" w:sz="0" w:space="0" w:color="auto"/>
                <w:right w:val="none" w:sz="0" w:space="0" w:color="auto"/>
              </w:divBdr>
            </w:div>
            <w:div w:id="1938368212">
              <w:marLeft w:val="0"/>
              <w:marRight w:val="0"/>
              <w:marTop w:val="0"/>
              <w:marBottom w:val="0"/>
              <w:divBdr>
                <w:top w:val="none" w:sz="0" w:space="0" w:color="auto"/>
                <w:left w:val="none" w:sz="0" w:space="0" w:color="auto"/>
                <w:bottom w:val="none" w:sz="0" w:space="0" w:color="auto"/>
                <w:right w:val="none" w:sz="0" w:space="0" w:color="auto"/>
              </w:divBdr>
            </w:div>
            <w:div w:id="2041979054">
              <w:marLeft w:val="0"/>
              <w:marRight w:val="0"/>
              <w:marTop w:val="0"/>
              <w:marBottom w:val="0"/>
              <w:divBdr>
                <w:top w:val="none" w:sz="0" w:space="0" w:color="auto"/>
                <w:left w:val="none" w:sz="0" w:space="0" w:color="auto"/>
                <w:bottom w:val="none" w:sz="0" w:space="0" w:color="auto"/>
                <w:right w:val="none" w:sz="0" w:space="0" w:color="auto"/>
              </w:divBdr>
            </w:div>
          </w:divsChild>
        </w:div>
        <w:div w:id="1968774497">
          <w:marLeft w:val="0"/>
          <w:marRight w:val="0"/>
          <w:marTop w:val="0"/>
          <w:marBottom w:val="0"/>
          <w:divBdr>
            <w:top w:val="none" w:sz="0" w:space="0" w:color="auto"/>
            <w:left w:val="none" w:sz="0" w:space="0" w:color="auto"/>
            <w:bottom w:val="none" w:sz="0" w:space="0" w:color="auto"/>
            <w:right w:val="none" w:sz="0" w:space="0" w:color="auto"/>
          </w:divBdr>
          <w:divsChild>
            <w:div w:id="16464922">
              <w:marLeft w:val="0"/>
              <w:marRight w:val="0"/>
              <w:marTop w:val="0"/>
              <w:marBottom w:val="0"/>
              <w:divBdr>
                <w:top w:val="none" w:sz="0" w:space="0" w:color="auto"/>
                <w:left w:val="none" w:sz="0" w:space="0" w:color="auto"/>
                <w:bottom w:val="none" w:sz="0" w:space="0" w:color="auto"/>
                <w:right w:val="none" w:sz="0" w:space="0" w:color="auto"/>
              </w:divBdr>
            </w:div>
            <w:div w:id="187574138">
              <w:marLeft w:val="0"/>
              <w:marRight w:val="0"/>
              <w:marTop w:val="0"/>
              <w:marBottom w:val="0"/>
              <w:divBdr>
                <w:top w:val="none" w:sz="0" w:space="0" w:color="auto"/>
                <w:left w:val="none" w:sz="0" w:space="0" w:color="auto"/>
                <w:bottom w:val="none" w:sz="0" w:space="0" w:color="auto"/>
                <w:right w:val="none" w:sz="0" w:space="0" w:color="auto"/>
              </w:divBdr>
            </w:div>
            <w:div w:id="323631280">
              <w:marLeft w:val="0"/>
              <w:marRight w:val="0"/>
              <w:marTop w:val="0"/>
              <w:marBottom w:val="0"/>
              <w:divBdr>
                <w:top w:val="none" w:sz="0" w:space="0" w:color="auto"/>
                <w:left w:val="none" w:sz="0" w:space="0" w:color="auto"/>
                <w:bottom w:val="none" w:sz="0" w:space="0" w:color="auto"/>
                <w:right w:val="none" w:sz="0" w:space="0" w:color="auto"/>
              </w:divBdr>
            </w:div>
            <w:div w:id="360329312">
              <w:marLeft w:val="0"/>
              <w:marRight w:val="0"/>
              <w:marTop w:val="0"/>
              <w:marBottom w:val="0"/>
              <w:divBdr>
                <w:top w:val="none" w:sz="0" w:space="0" w:color="auto"/>
                <w:left w:val="none" w:sz="0" w:space="0" w:color="auto"/>
                <w:bottom w:val="none" w:sz="0" w:space="0" w:color="auto"/>
                <w:right w:val="none" w:sz="0" w:space="0" w:color="auto"/>
              </w:divBdr>
            </w:div>
            <w:div w:id="421685762">
              <w:marLeft w:val="0"/>
              <w:marRight w:val="0"/>
              <w:marTop w:val="0"/>
              <w:marBottom w:val="0"/>
              <w:divBdr>
                <w:top w:val="none" w:sz="0" w:space="0" w:color="auto"/>
                <w:left w:val="none" w:sz="0" w:space="0" w:color="auto"/>
                <w:bottom w:val="none" w:sz="0" w:space="0" w:color="auto"/>
                <w:right w:val="none" w:sz="0" w:space="0" w:color="auto"/>
              </w:divBdr>
            </w:div>
            <w:div w:id="1009911692">
              <w:marLeft w:val="0"/>
              <w:marRight w:val="0"/>
              <w:marTop w:val="0"/>
              <w:marBottom w:val="0"/>
              <w:divBdr>
                <w:top w:val="none" w:sz="0" w:space="0" w:color="auto"/>
                <w:left w:val="none" w:sz="0" w:space="0" w:color="auto"/>
                <w:bottom w:val="none" w:sz="0" w:space="0" w:color="auto"/>
                <w:right w:val="none" w:sz="0" w:space="0" w:color="auto"/>
              </w:divBdr>
            </w:div>
            <w:div w:id="1087770185">
              <w:marLeft w:val="0"/>
              <w:marRight w:val="0"/>
              <w:marTop w:val="0"/>
              <w:marBottom w:val="0"/>
              <w:divBdr>
                <w:top w:val="none" w:sz="0" w:space="0" w:color="auto"/>
                <w:left w:val="none" w:sz="0" w:space="0" w:color="auto"/>
                <w:bottom w:val="none" w:sz="0" w:space="0" w:color="auto"/>
                <w:right w:val="none" w:sz="0" w:space="0" w:color="auto"/>
              </w:divBdr>
            </w:div>
            <w:div w:id="1164904595">
              <w:marLeft w:val="0"/>
              <w:marRight w:val="0"/>
              <w:marTop w:val="0"/>
              <w:marBottom w:val="0"/>
              <w:divBdr>
                <w:top w:val="none" w:sz="0" w:space="0" w:color="auto"/>
                <w:left w:val="none" w:sz="0" w:space="0" w:color="auto"/>
                <w:bottom w:val="none" w:sz="0" w:space="0" w:color="auto"/>
                <w:right w:val="none" w:sz="0" w:space="0" w:color="auto"/>
              </w:divBdr>
            </w:div>
            <w:div w:id="1313023809">
              <w:marLeft w:val="0"/>
              <w:marRight w:val="0"/>
              <w:marTop w:val="0"/>
              <w:marBottom w:val="0"/>
              <w:divBdr>
                <w:top w:val="none" w:sz="0" w:space="0" w:color="auto"/>
                <w:left w:val="none" w:sz="0" w:space="0" w:color="auto"/>
                <w:bottom w:val="none" w:sz="0" w:space="0" w:color="auto"/>
                <w:right w:val="none" w:sz="0" w:space="0" w:color="auto"/>
              </w:divBdr>
            </w:div>
            <w:div w:id="1347707737">
              <w:marLeft w:val="0"/>
              <w:marRight w:val="0"/>
              <w:marTop w:val="0"/>
              <w:marBottom w:val="0"/>
              <w:divBdr>
                <w:top w:val="none" w:sz="0" w:space="0" w:color="auto"/>
                <w:left w:val="none" w:sz="0" w:space="0" w:color="auto"/>
                <w:bottom w:val="none" w:sz="0" w:space="0" w:color="auto"/>
                <w:right w:val="none" w:sz="0" w:space="0" w:color="auto"/>
              </w:divBdr>
            </w:div>
            <w:div w:id="1364405601">
              <w:marLeft w:val="0"/>
              <w:marRight w:val="0"/>
              <w:marTop w:val="0"/>
              <w:marBottom w:val="0"/>
              <w:divBdr>
                <w:top w:val="none" w:sz="0" w:space="0" w:color="auto"/>
                <w:left w:val="none" w:sz="0" w:space="0" w:color="auto"/>
                <w:bottom w:val="none" w:sz="0" w:space="0" w:color="auto"/>
                <w:right w:val="none" w:sz="0" w:space="0" w:color="auto"/>
              </w:divBdr>
            </w:div>
            <w:div w:id="1540236469">
              <w:marLeft w:val="0"/>
              <w:marRight w:val="0"/>
              <w:marTop w:val="0"/>
              <w:marBottom w:val="0"/>
              <w:divBdr>
                <w:top w:val="none" w:sz="0" w:space="0" w:color="auto"/>
                <w:left w:val="none" w:sz="0" w:space="0" w:color="auto"/>
                <w:bottom w:val="none" w:sz="0" w:space="0" w:color="auto"/>
                <w:right w:val="none" w:sz="0" w:space="0" w:color="auto"/>
              </w:divBdr>
            </w:div>
            <w:div w:id="1601797127">
              <w:marLeft w:val="0"/>
              <w:marRight w:val="0"/>
              <w:marTop w:val="0"/>
              <w:marBottom w:val="0"/>
              <w:divBdr>
                <w:top w:val="none" w:sz="0" w:space="0" w:color="auto"/>
                <w:left w:val="none" w:sz="0" w:space="0" w:color="auto"/>
                <w:bottom w:val="none" w:sz="0" w:space="0" w:color="auto"/>
                <w:right w:val="none" w:sz="0" w:space="0" w:color="auto"/>
              </w:divBdr>
            </w:div>
            <w:div w:id="1721325958">
              <w:marLeft w:val="0"/>
              <w:marRight w:val="0"/>
              <w:marTop w:val="0"/>
              <w:marBottom w:val="0"/>
              <w:divBdr>
                <w:top w:val="none" w:sz="0" w:space="0" w:color="auto"/>
                <w:left w:val="none" w:sz="0" w:space="0" w:color="auto"/>
                <w:bottom w:val="none" w:sz="0" w:space="0" w:color="auto"/>
                <w:right w:val="none" w:sz="0" w:space="0" w:color="auto"/>
              </w:divBdr>
            </w:div>
            <w:div w:id="1722166323">
              <w:marLeft w:val="0"/>
              <w:marRight w:val="0"/>
              <w:marTop w:val="0"/>
              <w:marBottom w:val="0"/>
              <w:divBdr>
                <w:top w:val="none" w:sz="0" w:space="0" w:color="auto"/>
                <w:left w:val="none" w:sz="0" w:space="0" w:color="auto"/>
                <w:bottom w:val="none" w:sz="0" w:space="0" w:color="auto"/>
                <w:right w:val="none" w:sz="0" w:space="0" w:color="auto"/>
              </w:divBdr>
            </w:div>
            <w:div w:id="1759138343">
              <w:marLeft w:val="0"/>
              <w:marRight w:val="0"/>
              <w:marTop w:val="0"/>
              <w:marBottom w:val="0"/>
              <w:divBdr>
                <w:top w:val="none" w:sz="0" w:space="0" w:color="auto"/>
                <w:left w:val="none" w:sz="0" w:space="0" w:color="auto"/>
                <w:bottom w:val="none" w:sz="0" w:space="0" w:color="auto"/>
                <w:right w:val="none" w:sz="0" w:space="0" w:color="auto"/>
              </w:divBdr>
            </w:div>
            <w:div w:id="2025742906">
              <w:marLeft w:val="0"/>
              <w:marRight w:val="0"/>
              <w:marTop w:val="0"/>
              <w:marBottom w:val="0"/>
              <w:divBdr>
                <w:top w:val="none" w:sz="0" w:space="0" w:color="auto"/>
                <w:left w:val="none" w:sz="0" w:space="0" w:color="auto"/>
                <w:bottom w:val="none" w:sz="0" w:space="0" w:color="auto"/>
                <w:right w:val="none" w:sz="0" w:space="0" w:color="auto"/>
              </w:divBdr>
            </w:div>
            <w:div w:id="2045982629">
              <w:marLeft w:val="0"/>
              <w:marRight w:val="0"/>
              <w:marTop w:val="0"/>
              <w:marBottom w:val="0"/>
              <w:divBdr>
                <w:top w:val="none" w:sz="0" w:space="0" w:color="auto"/>
                <w:left w:val="none" w:sz="0" w:space="0" w:color="auto"/>
                <w:bottom w:val="none" w:sz="0" w:space="0" w:color="auto"/>
                <w:right w:val="none" w:sz="0" w:space="0" w:color="auto"/>
              </w:divBdr>
            </w:div>
            <w:div w:id="2081756821">
              <w:marLeft w:val="0"/>
              <w:marRight w:val="0"/>
              <w:marTop w:val="0"/>
              <w:marBottom w:val="0"/>
              <w:divBdr>
                <w:top w:val="none" w:sz="0" w:space="0" w:color="auto"/>
                <w:left w:val="none" w:sz="0" w:space="0" w:color="auto"/>
                <w:bottom w:val="none" w:sz="0" w:space="0" w:color="auto"/>
                <w:right w:val="none" w:sz="0" w:space="0" w:color="auto"/>
              </w:divBdr>
            </w:div>
            <w:div w:id="2085056666">
              <w:marLeft w:val="0"/>
              <w:marRight w:val="0"/>
              <w:marTop w:val="0"/>
              <w:marBottom w:val="0"/>
              <w:divBdr>
                <w:top w:val="none" w:sz="0" w:space="0" w:color="auto"/>
                <w:left w:val="none" w:sz="0" w:space="0" w:color="auto"/>
                <w:bottom w:val="none" w:sz="0" w:space="0" w:color="auto"/>
                <w:right w:val="none" w:sz="0" w:space="0" w:color="auto"/>
              </w:divBdr>
            </w:div>
          </w:divsChild>
        </w:div>
        <w:div w:id="2005425602">
          <w:marLeft w:val="0"/>
          <w:marRight w:val="0"/>
          <w:marTop w:val="0"/>
          <w:marBottom w:val="0"/>
          <w:divBdr>
            <w:top w:val="none" w:sz="0" w:space="0" w:color="auto"/>
            <w:left w:val="none" w:sz="0" w:space="0" w:color="auto"/>
            <w:bottom w:val="none" w:sz="0" w:space="0" w:color="auto"/>
            <w:right w:val="none" w:sz="0" w:space="0" w:color="auto"/>
          </w:divBdr>
          <w:divsChild>
            <w:div w:id="206070558">
              <w:marLeft w:val="0"/>
              <w:marRight w:val="0"/>
              <w:marTop w:val="0"/>
              <w:marBottom w:val="0"/>
              <w:divBdr>
                <w:top w:val="none" w:sz="0" w:space="0" w:color="auto"/>
                <w:left w:val="none" w:sz="0" w:space="0" w:color="auto"/>
                <w:bottom w:val="none" w:sz="0" w:space="0" w:color="auto"/>
                <w:right w:val="none" w:sz="0" w:space="0" w:color="auto"/>
              </w:divBdr>
            </w:div>
            <w:div w:id="27290692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
            <w:div w:id="411124004">
              <w:marLeft w:val="0"/>
              <w:marRight w:val="0"/>
              <w:marTop w:val="0"/>
              <w:marBottom w:val="0"/>
              <w:divBdr>
                <w:top w:val="none" w:sz="0" w:space="0" w:color="auto"/>
                <w:left w:val="none" w:sz="0" w:space="0" w:color="auto"/>
                <w:bottom w:val="none" w:sz="0" w:space="0" w:color="auto"/>
                <w:right w:val="none" w:sz="0" w:space="0" w:color="auto"/>
              </w:divBdr>
            </w:div>
            <w:div w:id="519972340">
              <w:marLeft w:val="0"/>
              <w:marRight w:val="0"/>
              <w:marTop w:val="0"/>
              <w:marBottom w:val="0"/>
              <w:divBdr>
                <w:top w:val="none" w:sz="0" w:space="0" w:color="auto"/>
                <w:left w:val="none" w:sz="0" w:space="0" w:color="auto"/>
                <w:bottom w:val="none" w:sz="0" w:space="0" w:color="auto"/>
                <w:right w:val="none" w:sz="0" w:space="0" w:color="auto"/>
              </w:divBdr>
            </w:div>
            <w:div w:id="531890930">
              <w:marLeft w:val="0"/>
              <w:marRight w:val="0"/>
              <w:marTop w:val="0"/>
              <w:marBottom w:val="0"/>
              <w:divBdr>
                <w:top w:val="none" w:sz="0" w:space="0" w:color="auto"/>
                <w:left w:val="none" w:sz="0" w:space="0" w:color="auto"/>
                <w:bottom w:val="none" w:sz="0" w:space="0" w:color="auto"/>
                <w:right w:val="none" w:sz="0" w:space="0" w:color="auto"/>
              </w:divBdr>
            </w:div>
            <w:div w:id="534389298">
              <w:marLeft w:val="0"/>
              <w:marRight w:val="0"/>
              <w:marTop w:val="0"/>
              <w:marBottom w:val="0"/>
              <w:divBdr>
                <w:top w:val="none" w:sz="0" w:space="0" w:color="auto"/>
                <w:left w:val="none" w:sz="0" w:space="0" w:color="auto"/>
                <w:bottom w:val="none" w:sz="0" w:space="0" w:color="auto"/>
                <w:right w:val="none" w:sz="0" w:space="0" w:color="auto"/>
              </w:divBdr>
            </w:div>
            <w:div w:id="745346422">
              <w:marLeft w:val="0"/>
              <w:marRight w:val="0"/>
              <w:marTop w:val="0"/>
              <w:marBottom w:val="0"/>
              <w:divBdr>
                <w:top w:val="none" w:sz="0" w:space="0" w:color="auto"/>
                <w:left w:val="none" w:sz="0" w:space="0" w:color="auto"/>
                <w:bottom w:val="none" w:sz="0" w:space="0" w:color="auto"/>
                <w:right w:val="none" w:sz="0" w:space="0" w:color="auto"/>
              </w:divBdr>
            </w:div>
            <w:div w:id="813568382">
              <w:marLeft w:val="0"/>
              <w:marRight w:val="0"/>
              <w:marTop w:val="0"/>
              <w:marBottom w:val="0"/>
              <w:divBdr>
                <w:top w:val="none" w:sz="0" w:space="0" w:color="auto"/>
                <w:left w:val="none" w:sz="0" w:space="0" w:color="auto"/>
                <w:bottom w:val="none" w:sz="0" w:space="0" w:color="auto"/>
                <w:right w:val="none" w:sz="0" w:space="0" w:color="auto"/>
              </w:divBdr>
            </w:div>
            <w:div w:id="946503167">
              <w:marLeft w:val="0"/>
              <w:marRight w:val="0"/>
              <w:marTop w:val="0"/>
              <w:marBottom w:val="0"/>
              <w:divBdr>
                <w:top w:val="none" w:sz="0" w:space="0" w:color="auto"/>
                <w:left w:val="none" w:sz="0" w:space="0" w:color="auto"/>
                <w:bottom w:val="none" w:sz="0" w:space="0" w:color="auto"/>
                <w:right w:val="none" w:sz="0" w:space="0" w:color="auto"/>
              </w:divBdr>
            </w:div>
            <w:div w:id="987902490">
              <w:marLeft w:val="0"/>
              <w:marRight w:val="0"/>
              <w:marTop w:val="0"/>
              <w:marBottom w:val="0"/>
              <w:divBdr>
                <w:top w:val="none" w:sz="0" w:space="0" w:color="auto"/>
                <w:left w:val="none" w:sz="0" w:space="0" w:color="auto"/>
                <w:bottom w:val="none" w:sz="0" w:space="0" w:color="auto"/>
                <w:right w:val="none" w:sz="0" w:space="0" w:color="auto"/>
              </w:divBdr>
            </w:div>
            <w:div w:id="1029375401">
              <w:marLeft w:val="0"/>
              <w:marRight w:val="0"/>
              <w:marTop w:val="0"/>
              <w:marBottom w:val="0"/>
              <w:divBdr>
                <w:top w:val="none" w:sz="0" w:space="0" w:color="auto"/>
                <w:left w:val="none" w:sz="0" w:space="0" w:color="auto"/>
                <w:bottom w:val="none" w:sz="0" w:space="0" w:color="auto"/>
                <w:right w:val="none" w:sz="0" w:space="0" w:color="auto"/>
              </w:divBdr>
            </w:div>
            <w:div w:id="1200388707">
              <w:marLeft w:val="0"/>
              <w:marRight w:val="0"/>
              <w:marTop w:val="0"/>
              <w:marBottom w:val="0"/>
              <w:divBdr>
                <w:top w:val="none" w:sz="0" w:space="0" w:color="auto"/>
                <w:left w:val="none" w:sz="0" w:space="0" w:color="auto"/>
                <w:bottom w:val="none" w:sz="0" w:space="0" w:color="auto"/>
                <w:right w:val="none" w:sz="0" w:space="0" w:color="auto"/>
              </w:divBdr>
            </w:div>
            <w:div w:id="1297562848">
              <w:marLeft w:val="0"/>
              <w:marRight w:val="0"/>
              <w:marTop w:val="0"/>
              <w:marBottom w:val="0"/>
              <w:divBdr>
                <w:top w:val="none" w:sz="0" w:space="0" w:color="auto"/>
                <w:left w:val="none" w:sz="0" w:space="0" w:color="auto"/>
                <w:bottom w:val="none" w:sz="0" w:space="0" w:color="auto"/>
                <w:right w:val="none" w:sz="0" w:space="0" w:color="auto"/>
              </w:divBdr>
            </w:div>
            <w:div w:id="1356737923">
              <w:marLeft w:val="0"/>
              <w:marRight w:val="0"/>
              <w:marTop w:val="0"/>
              <w:marBottom w:val="0"/>
              <w:divBdr>
                <w:top w:val="none" w:sz="0" w:space="0" w:color="auto"/>
                <w:left w:val="none" w:sz="0" w:space="0" w:color="auto"/>
                <w:bottom w:val="none" w:sz="0" w:space="0" w:color="auto"/>
                <w:right w:val="none" w:sz="0" w:space="0" w:color="auto"/>
              </w:divBdr>
            </w:div>
            <w:div w:id="1491553609">
              <w:marLeft w:val="0"/>
              <w:marRight w:val="0"/>
              <w:marTop w:val="0"/>
              <w:marBottom w:val="0"/>
              <w:divBdr>
                <w:top w:val="none" w:sz="0" w:space="0" w:color="auto"/>
                <w:left w:val="none" w:sz="0" w:space="0" w:color="auto"/>
                <w:bottom w:val="none" w:sz="0" w:space="0" w:color="auto"/>
                <w:right w:val="none" w:sz="0" w:space="0" w:color="auto"/>
              </w:divBdr>
            </w:div>
            <w:div w:id="1774940502">
              <w:marLeft w:val="0"/>
              <w:marRight w:val="0"/>
              <w:marTop w:val="0"/>
              <w:marBottom w:val="0"/>
              <w:divBdr>
                <w:top w:val="none" w:sz="0" w:space="0" w:color="auto"/>
                <w:left w:val="none" w:sz="0" w:space="0" w:color="auto"/>
                <w:bottom w:val="none" w:sz="0" w:space="0" w:color="auto"/>
                <w:right w:val="none" w:sz="0" w:space="0" w:color="auto"/>
              </w:divBdr>
            </w:div>
            <w:div w:id="1779138351">
              <w:marLeft w:val="0"/>
              <w:marRight w:val="0"/>
              <w:marTop w:val="0"/>
              <w:marBottom w:val="0"/>
              <w:divBdr>
                <w:top w:val="none" w:sz="0" w:space="0" w:color="auto"/>
                <w:left w:val="none" w:sz="0" w:space="0" w:color="auto"/>
                <w:bottom w:val="none" w:sz="0" w:space="0" w:color="auto"/>
                <w:right w:val="none" w:sz="0" w:space="0" w:color="auto"/>
              </w:divBdr>
            </w:div>
            <w:div w:id="1780565665">
              <w:marLeft w:val="0"/>
              <w:marRight w:val="0"/>
              <w:marTop w:val="0"/>
              <w:marBottom w:val="0"/>
              <w:divBdr>
                <w:top w:val="none" w:sz="0" w:space="0" w:color="auto"/>
                <w:left w:val="none" w:sz="0" w:space="0" w:color="auto"/>
                <w:bottom w:val="none" w:sz="0" w:space="0" w:color="auto"/>
                <w:right w:val="none" w:sz="0" w:space="0" w:color="auto"/>
              </w:divBdr>
            </w:div>
            <w:div w:id="2105806638">
              <w:marLeft w:val="0"/>
              <w:marRight w:val="0"/>
              <w:marTop w:val="0"/>
              <w:marBottom w:val="0"/>
              <w:divBdr>
                <w:top w:val="none" w:sz="0" w:space="0" w:color="auto"/>
                <w:left w:val="none" w:sz="0" w:space="0" w:color="auto"/>
                <w:bottom w:val="none" w:sz="0" w:space="0" w:color="auto"/>
                <w:right w:val="none" w:sz="0" w:space="0" w:color="auto"/>
              </w:divBdr>
            </w:div>
          </w:divsChild>
        </w:div>
        <w:div w:id="2094741161">
          <w:marLeft w:val="0"/>
          <w:marRight w:val="0"/>
          <w:marTop w:val="0"/>
          <w:marBottom w:val="0"/>
          <w:divBdr>
            <w:top w:val="none" w:sz="0" w:space="0" w:color="auto"/>
            <w:left w:val="none" w:sz="0" w:space="0" w:color="auto"/>
            <w:bottom w:val="none" w:sz="0" w:space="0" w:color="auto"/>
            <w:right w:val="none" w:sz="0" w:space="0" w:color="auto"/>
          </w:divBdr>
          <w:divsChild>
            <w:div w:id="114107999">
              <w:marLeft w:val="0"/>
              <w:marRight w:val="0"/>
              <w:marTop w:val="0"/>
              <w:marBottom w:val="0"/>
              <w:divBdr>
                <w:top w:val="none" w:sz="0" w:space="0" w:color="auto"/>
                <w:left w:val="none" w:sz="0" w:space="0" w:color="auto"/>
                <w:bottom w:val="none" w:sz="0" w:space="0" w:color="auto"/>
                <w:right w:val="none" w:sz="0" w:space="0" w:color="auto"/>
              </w:divBdr>
            </w:div>
            <w:div w:id="191193533">
              <w:marLeft w:val="0"/>
              <w:marRight w:val="0"/>
              <w:marTop w:val="0"/>
              <w:marBottom w:val="0"/>
              <w:divBdr>
                <w:top w:val="none" w:sz="0" w:space="0" w:color="auto"/>
                <w:left w:val="none" w:sz="0" w:space="0" w:color="auto"/>
                <w:bottom w:val="none" w:sz="0" w:space="0" w:color="auto"/>
                <w:right w:val="none" w:sz="0" w:space="0" w:color="auto"/>
              </w:divBdr>
            </w:div>
            <w:div w:id="196357222">
              <w:marLeft w:val="0"/>
              <w:marRight w:val="0"/>
              <w:marTop w:val="0"/>
              <w:marBottom w:val="0"/>
              <w:divBdr>
                <w:top w:val="none" w:sz="0" w:space="0" w:color="auto"/>
                <w:left w:val="none" w:sz="0" w:space="0" w:color="auto"/>
                <w:bottom w:val="none" w:sz="0" w:space="0" w:color="auto"/>
                <w:right w:val="none" w:sz="0" w:space="0" w:color="auto"/>
              </w:divBdr>
            </w:div>
            <w:div w:id="638151405">
              <w:marLeft w:val="0"/>
              <w:marRight w:val="0"/>
              <w:marTop w:val="0"/>
              <w:marBottom w:val="0"/>
              <w:divBdr>
                <w:top w:val="none" w:sz="0" w:space="0" w:color="auto"/>
                <w:left w:val="none" w:sz="0" w:space="0" w:color="auto"/>
                <w:bottom w:val="none" w:sz="0" w:space="0" w:color="auto"/>
                <w:right w:val="none" w:sz="0" w:space="0" w:color="auto"/>
              </w:divBdr>
            </w:div>
            <w:div w:id="680621932">
              <w:marLeft w:val="0"/>
              <w:marRight w:val="0"/>
              <w:marTop w:val="0"/>
              <w:marBottom w:val="0"/>
              <w:divBdr>
                <w:top w:val="none" w:sz="0" w:space="0" w:color="auto"/>
                <w:left w:val="none" w:sz="0" w:space="0" w:color="auto"/>
                <w:bottom w:val="none" w:sz="0" w:space="0" w:color="auto"/>
                <w:right w:val="none" w:sz="0" w:space="0" w:color="auto"/>
              </w:divBdr>
            </w:div>
            <w:div w:id="726491533">
              <w:marLeft w:val="0"/>
              <w:marRight w:val="0"/>
              <w:marTop w:val="0"/>
              <w:marBottom w:val="0"/>
              <w:divBdr>
                <w:top w:val="none" w:sz="0" w:space="0" w:color="auto"/>
                <w:left w:val="none" w:sz="0" w:space="0" w:color="auto"/>
                <w:bottom w:val="none" w:sz="0" w:space="0" w:color="auto"/>
                <w:right w:val="none" w:sz="0" w:space="0" w:color="auto"/>
              </w:divBdr>
            </w:div>
            <w:div w:id="1055740072">
              <w:marLeft w:val="0"/>
              <w:marRight w:val="0"/>
              <w:marTop w:val="0"/>
              <w:marBottom w:val="0"/>
              <w:divBdr>
                <w:top w:val="none" w:sz="0" w:space="0" w:color="auto"/>
                <w:left w:val="none" w:sz="0" w:space="0" w:color="auto"/>
                <w:bottom w:val="none" w:sz="0" w:space="0" w:color="auto"/>
                <w:right w:val="none" w:sz="0" w:space="0" w:color="auto"/>
              </w:divBdr>
            </w:div>
            <w:div w:id="1097554747">
              <w:marLeft w:val="0"/>
              <w:marRight w:val="0"/>
              <w:marTop w:val="0"/>
              <w:marBottom w:val="0"/>
              <w:divBdr>
                <w:top w:val="none" w:sz="0" w:space="0" w:color="auto"/>
                <w:left w:val="none" w:sz="0" w:space="0" w:color="auto"/>
                <w:bottom w:val="none" w:sz="0" w:space="0" w:color="auto"/>
                <w:right w:val="none" w:sz="0" w:space="0" w:color="auto"/>
              </w:divBdr>
            </w:div>
            <w:div w:id="1121651463">
              <w:marLeft w:val="0"/>
              <w:marRight w:val="0"/>
              <w:marTop w:val="0"/>
              <w:marBottom w:val="0"/>
              <w:divBdr>
                <w:top w:val="none" w:sz="0" w:space="0" w:color="auto"/>
                <w:left w:val="none" w:sz="0" w:space="0" w:color="auto"/>
                <w:bottom w:val="none" w:sz="0" w:space="0" w:color="auto"/>
                <w:right w:val="none" w:sz="0" w:space="0" w:color="auto"/>
              </w:divBdr>
            </w:div>
            <w:div w:id="1153108732">
              <w:marLeft w:val="0"/>
              <w:marRight w:val="0"/>
              <w:marTop w:val="0"/>
              <w:marBottom w:val="0"/>
              <w:divBdr>
                <w:top w:val="none" w:sz="0" w:space="0" w:color="auto"/>
                <w:left w:val="none" w:sz="0" w:space="0" w:color="auto"/>
                <w:bottom w:val="none" w:sz="0" w:space="0" w:color="auto"/>
                <w:right w:val="none" w:sz="0" w:space="0" w:color="auto"/>
              </w:divBdr>
            </w:div>
            <w:div w:id="1259604422">
              <w:marLeft w:val="0"/>
              <w:marRight w:val="0"/>
              <w:marTop w:val="0"/>
              <w:marBottom w:val="0"/>
              <w:divBdr>
                <w:top w:val="none" w:sz="0" w:space="0" w:color="auto"/>
                <w:left w:val="none" w:sz="0" w:space="0" w:color="auto"/>
                <w:bottom w:val="none" w:sz="0" w:space="0" w:color="auto"/>
                <w:right w:val="none" w:sz="0" w:space="0" w:color="auto"/>
              </w:divBdr>
            </w:div>
            <w:div w:id="1303123749">
              <w:marLeft w:val="0"/>
              <w:marRight w:val="0"/>
              <w:marTop w:val="0"/>
              <w:marBottom w:val="0"/>
              <w:divBdr>
                <w:top w:val="none" w:sz="0" w:space="0" w:color="auto"/>
                <w:left w:val="none" w:sz="0" w:space="0" w:color="auto"/>
                <w:bottom w:val="none" w:sz="0" w:space="0" w:color="auto"/>
                <w:right w:val="none" w:sz="0" w:space="0" w:color="auto"/>
              </w:divBdr>
            </w:div>
            <w:div w:id="1331180058">
              <w:marLeft w:val="0"/>
              <w:marRight w:val="0"/>
              <w:marTop w:val="0"/>
              <w:marBottom w:val="0"/>
              <w:divBdr>
                <w:top w:val="none" w:sz="0" w:space="0" w:color="auto"/>
                <w:left w:val="none" w:sz="0" w:space="0" w:color="auto"/>
                <w:bottom w:val="none" w:sz="0" w:space="0" w:color="auto"/>
                <w:right w:val="none" w:sz="0" w:space="0" w:color="auto"/>
              </w:divBdr>
            </w:div>
            <w:div w:id="1442799810">
              <w:marLeft w:val="0"/>
              <w:marRight w:val="0"/>
              <w:marTop w:val="0"/>
              <w:marBottom w:val="0"/>
              <w:divBdr>
                <w:top w:val="none" w:sz="0" w:space="0" w:color="auto"/>
                <w:left w:val="none" w:sz="0" w:space="0" w:color="auto"/>
                <w:bottom w:val="none" w:sz="0" w:space="0" w:color="auto"/>
                <w:right w:val="none" w:sz="0" w:space="0" w:color="auto"/>
              </w:divBdr>
            </w:div>
            <w:div w:id="1485243694">
              <w:marLeft w:val="0"/>
              <w:marRight w:val="0"/>
              <w:marTop w:val="0"/>
              <w:marBottom w:val="0"/>
              <w:divBdr>
                <w:top w:val="none" w:sz="0" w:space="0" w:color="auto"/>
                <w:left w:val="none" w:sz="0" w:space="0" w:color="auto"/>
                <w:bottom w:val="none" w:sz="0" w:space="0" w:color="auto"/>
                <w:right w:val="none" w:sz="0" w:space="0" w:color="auto"/>
              </w:divBdr>
            </w:div>
            <w:div w:id="1587347786">
              <w:marLeft w:val="0"/>
              <w:marRight w:val="0"/>
              <w:marTop w:val="0"/>
              <w:marBottom w:val="0"/>
              <w:divBdr>
                <w:top w:val="none" w:sz="0" w:space="0" w:color="auto"/>
                <w:left w:val="none" w:sz="0" w:space="0" w:color="auto"/>
                <w:bottom w:val="none" w:sz="0" w:space="0" w:color="auto"/>
                <w:right w:val="none" w:sz="0" w:space="0" w:color="auto"/>
              </w:divBdr>
            </w:div>
            <w:div w:id="1726681494">
              <w:marLeft w:val="0"/>
              <w:marRight w:val="0"/>
              <w:marTop w:val="0"/>
              <w:marBottom w:val="0"/>
              <w:divBdr>
                <w:top w:val="none" w:sz="0" w:space="0" w:color="auto"/>
                <w:left w:val="none" w:sz="0" w:space="0" w:color="auto"/>
                <w:bottom w:val="none" w:sz="0" w:space="0" w:color="auto"/>
                <w:right w:val="none" w:sz="0" w:space="0" w:color="auto"/>
              </w:divBdr>
            </w:div>
            <w:div w:id="2002271171">
              <w:marLeft w:val="0"/>
              <w:marRight w:val="0"/>
              <w:marTop w:val="0"/>
              <w:marBottom w:val="0"/>
              <w:divBdr>
                <w:top w:val="none" w:sz="0" w:space="0" w:color="auto"/>
                <w:left w:val="none" w:sz="0" w:space="0" w:color="auto"/>
                <w:bottom w:val="none" w:sz="0" w:space="0" w:color="auto"/>
                <w:right w:val="none" w:sz="0" w:space="0" w:color="auto"/>
              </w:divBdr>
            </w:div>
            <w:div w:id="2027055392">
              <w:marLeft w:val="0"/>
              <w:marRight w:val="0"/>
              <w:marTop w:val="0"/>
              <w:marBottom w:val="0"/>
              <w:divBdr>
                <w:top w:val="none" w:sz="0" w:space="0" w:color="auto"/>
                <w:left w:val="none" w:sz="0" w:space="0" w:color="auto"/>
                <w:bottom w:val="none" w:sz="0" w:space="0" w:color="auto"/>
                <w:right w:val="none" w:sz="0" w:space="0" w:color="auto"/>
              </w:divBdr>
            </w:div>
            <w:div w:id="21191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87554">
      <w:bodyDiv w:val="1"/>
      <w:marLeft w:val="0"/>
      <w:marRight w:val="0"/>
      <w:marTop w:val="0"/>
      <w:marBottom w:val="0"/>
      <w:divBdr>
        <w:top w:val="none" w:sz="0" w:space="0" w:color="auto"/>
        <w:left w:val="none" w:sz="0" w:space="0" w:color="auto"/>
        <w:bottom w:val="none" w:sz="0" w:space="0" w:color="auto"/>
        <w:right w:val="none" w:sz="0" w:space="0" w:color="auto"/>
      </w:divBdr>
      <w:divsChild>
        <w:div w:id="85806412">
          <w:marLeft w:val="0"/>
          <w:marRight w:val="0"/>
          <w:marTop w:val="0"/>
          <w:marBottom w:val="0"/>
          <w:divBdr>
            <w:top w:val="none" w:sz="0" w:space="0" w:color="auto"/>
            <w:left w:val="none" w:sz="0" w:space="0" w:color="auto"/>
            <w:bottom w:val="none" w:sz="0" w:space="0" w:color="auto"/>
            <w:right w:val="none" w:sz="0" w:space="0" w:color="auto"/>
          </w:divBdr>
          <w:divsChild>
            <w:div w:id="1513257068">
              <w:marLeft w:val="0"/>
              <w:marRight w:val="0"/>
              <w:marTop w:val="0"/>
              <w:marBottom w:val="0"/>
              <w:divBdr>
                <w:top w:val="none" w:sz="0" w:space="0" w:color="auto"/>
                <w:left w:val="none" w:sz="0" w:space="0" w:color="auto"/>
                <w:bottom w:val="none" w:sz="0" w:space="0" w:color="auto"/>
                <w:right w:val="none" w:sz="0" w:space="0" w:color="auto"/>
              </w:divBdr>
            </w:div>
          </w:divsChild>
        </w:div>
        <w:div w:id="118961020">
          <w:marLeft w:val="0"/>
          <w:marRight w:val="0"/>
          <w:marTop w:val="0"/>
          <w:marBottom w:val="0"/>
          <w:divBdr>
            <w:top w:val="none" w:sz="0" w:space="0" w:color="auto"/>
            <w:left w:val="none" w:sz="0" w:space="0" w:color="auto"/>
            <w:bottom w:val="none" w:sz="0" w:space="0" w:color="auto"/>
            <w:right w:val="none" w:sz="0" w:space="0" w:color="auto"/>
          </w:divBdr>
          <w:divsChild>
            <w:div w:id="1746679655">
              <w:marLeft w:val="0"/>
              <w:marRight w:val="0"/>
              <w:marTop w:val="0"/>
              <w:marBottom w:val="0"/>
              <w:divBdr>
                <w:top w:val="none" w:sz="0" w:space="0" w:color="auto"/>
                <w:left w:val="none" w:sz="0" w:space="0" w:color="auto"/>
                <w:bottom w:val="none" w:sz="0" w:space="0" w:color="auto"/>
                <w:right w:val="none" w:sz="0" w:space="0" w:color="auto"/>
              </w:divBdr>
            </w:div>
          </w:divsChild>
        </w:div>
        <w:div w:id="176313926">
          <w:marLeft w:val="0"/>
          <w:marRight w:val="0"/>
          <w:marTop w:val="0"/>
          <w:marBottom w:val="0"/>
          <w:divBdr>
            <w:top w:val="none" w:sz="0" w:space="0" w:color="auto"/>
            <w:left w:val="none" w:sz="0" w:space="0" w:color="auto"/>
            <w:bottom w:val="none" w:sz="0" w:space="0" w:color="auto"/>
            <w:right w:val="none" w:sz="0" w:space="0" w:color="auto"/>
          </w:divBdr>
          <w:divsChild>
            <w:div w:id="1778788405">
              <w:marLeft w:val="0"/>
              <w:marRight w:val="0"/>
              <w:marTop w:val="0"/>
              <w:marBottom w:val="0"/>
              <w:divBdr>
                <w:top w:val="none" w:sz="0" w:space="0" w:color="auto"/>
                <w:left w:val="none" w:sz="0" w:space="0" w:color="auto"/>
                <w:bottom w:val="none" w:sz="0" w:space="0" w:color="auto"/>
                <w:right w:val="none" w:sz="0" w:space="0" w:color="auto"/>
              </w:divBdr>
            </w:div>
          </w:divsChild>
        </w:div>
        <w:div w:id="600574809">
          <w:marLeft w:val="0"/>
          <w:marRight w:val="0"/>
          <w:marTop w:val="0"/>
          <w:marBottom w:val="0"/>
          <w:divBdr>
            <w:top w:val="none" w:sz="0" w:space="0" w:color="auto"/>
            <w:left w:val="none" w:sz="0" w:space="0" w:color="auto"/>
            <w:bottom w:val="none" w:sz="0" w:space="0" w:color="auto"/>
            <w:right w:val="none" w:sz="0" w:space="0" w:color="auto"/>
          </w:divBdr>
          <w:divsChild>
            <w:div w:id="179899087">
              <w:marLeft w:val="0"/>
              <w:marRight w:val="0"/>
              <w:marTop w:val="0"/>
              <w:marBottom w:val="0"/>
              <w:divBdr>
                <w:top w:val="none" w:sz="0" w:space="0" w:color="auto"/>
                <w:left w:val="none" w:sz="0" w:space="0" w:color="auto"/>
                <w:bottom w:val="none" w:sz="0" w:space="0" w:color="auto"/>
                <w:right w:val="none" w:sz="0" w:space="0" w:color="auto"/>
              </w:divBdr>
            </w:div>
          </w:divsChild>
        </w:div>
        <w:div w:id="612596730">
          <w:marLeft w:val="0"/>
          <w:marRight w:val="0"/>
          <w:marTop w:val="0"/>
          <w:marBottom w:val="0"/>
          <w:divBdr>
            <w:top w:val="none" w:sz="0" w:space="0" w:color="auto"/>
            <w:left w:val="none" w:sz="0" w:space="0" w:color="auto"/>
            <w:bottom w:val="none" w:sz="0" w:space="0" w:color="auto"/>
            <w:right w:val="none" w:sz="0" w:space="0" w:color="auto"/>
          </w:divBdr>
          <w:divsChild>
            <w:div w:id="1078015921">
              <w:marLeft w:val="0"/>
              <w:marRight w:val="0"/>
              <w:marTop w:val="0"/>
              <w:marBottom w:val="0"/>
              <w:divBdr>
                <w:top w:val="none" w:sz="0" w:space="0" w:color="auto"/>
                <w:left w:val="none" w:sz="0" w:space="0" w:color="auto"/>
                <w:bottom w:val="none" w:sz="0" w:space="0" w:color="auto"/>
                <w:right w:val="none" w:sz="0" w:space="0" w:color="auto"/>
              </w:divBdr>
            </w:div>
          </w:divsChild>
        </w:div>
        <w:div w:id="881598284">
          <w:marLeft w:val="0"/>
          <w:marRight w:val="0"/>
          <w:marTop w:val="0"/>
          <w:marBottom w:val="0"/>
          <w:divBdr>
            <w:top w:val="none" w:sz="0" w:space="0" w:color="auto"/>
            <w:left w:val="none" w:sz="0" w:space="0" w:color="auto"/>
            <w:bottom w:val="none" w:sz="0" w:space="0" w:color="auto"/>
            <w:right w:val="none" w:sz="0" w:space="0" w:color="auto"/>
          </w:divBdr>
          <w:divsChild>
            <w:div w:id="1122068742">
              <w:marLeft w:val="0"/>
              <w:marRight w:val="0"/>
              <w:marTop w:val="0"/>
              <w:marBottom w:val="0"/>
              <w:divBdr>
                <w:top w:val="none" w:sz="0" w:space="0" w:color="auto"/>
                <w:left w:val="none" w:sz="0" w:space="0" w:color="auto"/>
                <w:bottom w:val="none" w:sz="0" w:space="0" w:color="auto"/>
                <w:right w:val="none" w:sz="0" w:space="0" w:color="auto"/>
              </w:divBdr>
            </w:div>
          </w:divsChild>
        </w:div>
        <w:div w:id="1306353073">
          <w:marLeft w:val="0"/>
          <w:marRight w:val="0"/>
          <w:marTop w:val="0"/>
          <w:marBottom w:val="0"/>
          <w:divBdr>
            <w:top w:val="none" w:sz="0" w:space="0" w:color="auto"/>
            <w:left w:val="none" w:sz="0" w:space="0" w:color="auto"/>
            <w:bottom w:val="none" w:sz="0" w:space="0" w:color="auto"/>
            <w:right w:val="none" w:sz="0" w:space="0" w:color="auto"/>
          </w:divBdr>
          <w:divsChild>
            <w:div w:id="1100880906">
              <w:marLeft w:val="0"/>
              <w:marRight w:val="0"/>
              <w:marTop w:val="0"/>
              <w:marBottom w:val="0"/>
              <w:divBdr>
                <w:top w:val="none" w:sz="0" w:space="0" w:color="auto"/>
                <w:left w:val="none" w:sz="0" w:space="0" w:color="auto"/>
                <w:bottom w:val="none" w:sz="0" w:space="0" w:color="auto"/>
                <w:right w:val="none" w:sz="0" w:space="0" w:color="auto"/>
              </w:divBdr>
            </w:div>
          </w:divsChild>
        </w:div>
        <w:div w:id="1401487815">
          <w:marLeft w:val="0"/>
          <w:marRight w:val="0"/>
          <w:marTop w:val="0"/>
          <w:marBottom w:val="0"/>
          <w:divBdr>
            <w:top w:val="none" w:sz="0" w:space="0" w:color="auto"/>
            <w:left w:val="none" w:sz="0" w:space="0" w:color="auto"/>
            <w:bottom w:val="none" w:sz="0" w:space="0" w:color="auto"/>
            <w:right w:val="none" w:sz="0" w:space="0" w:color="auto"/>
          </w:divBdr>
          <w:divsChild>
            <w:div w:id="1805387078">
              <w:marLeft w:val="0"/>
              <w:marRight w:val="0"/>
              <w:marTop w:val="0"/>
              <w:marBottom w:val="0"/>
              <w:divBdr>
                <w:top w:val="none" w:sz="0" w:space="0" w:color="auto"/>
                <w:left w:val="none" w:sz="0" w:space="0" w:color="auto"/>
                <w:bottom w:val="none" w:sz="0" w:space="0" w:color="auto"/>
                <w:right w:val="none" w:sz="0" w:space="0" w:color="auto"/>
              </w:divBdr>
            </w:div>
          </w:divsChild>
        </w:div>
        <w:div w:id="1570532078">
          <w:marLeft w:val="0"/>
          <w:marRight w:val="0"/>
          <w:marTop w:val="0"/>
          <w:marBottom w:val="0"/>
          <w:divBdr>
            <w:top w:val="none" w:sz="0" w:space="0" w:color="auto"/>
            <w:left w:val="none" w:sz="0" w:space="0" w:color="auto"/>
            <w:bottom w:val="none" w:sz="0" w:space="0" w:color="auto"/>
            <w:right w:val="none" w:sz="0" w:space="0" w:color="auto"/>
          </w:divBdr>
          <w:divsChild>
            <w:div w:id="832063402">
              <w:marLeft w:val="0"/>
              <w:marRight w:val="0"/>
              <w:marTop w:val="0"/>
              <w:marBottom w:val="0"/>
              <w:divBdr>
                <w:top w:val="none" w:sz="0" w:space="0" w:color="auto"/>
                <w:left w:val="none" w:sz="0" w:space="0" w:color="auto"/>
                <w:bottom w:val="none" w:sz="0" w:space="0" w:color="auto"/>
                <w:right w:val="none" w:sz="0" w:space="0" w:color="auto"/>
              </w:divBdr>
            </w:div>
          </w:divsChild>
        </w:div>
        <w:div w:id="1802841758">
          <w:marLeft w:val="0"/>
          <w:marRight w:val="0"/>
          <w:marTop w:val="0"/>
          <w:marBottom w:val="0"/>
          <w:divBdr>
            <w:top w:val="none" w:sz="0" w:space="0" w:color="auto"/>
            <w:left w:val="none" w:sz="0" w:space="0" w:color="auto"/>
            <w:bottom w:val="none" w:sz="0" w:space="0" w:color="auto"/>
            <w:right w:val="none" w:sz="0" w:space="0" w:color="auto"/>
          </w:divBdr>
          <w:divsChild>
            <w:div w:id="1206679476">
              <w:marLeft w:val="0"/>
              <w:marRight w:val="0"/>
              <w:marTop w:val="0"/>
              <w:marBottom w:val="0"/>
              <w:divBdr>
                <w:top w:val="none" w:sz="0" w:space="0" w:color="auto"/>
                <w:left w:val="none" w:sz="0" w:space="0" w:color="auto"/>
                <w:bottom w:val="none" w:sz="0" w:space="0" w:color="auto"/>
                <w:right w:val="none" w:sz="0" w:space="0" w:color="auto"/>
              </w:divBdr>
            </w:div>
          </w:divsChild>
        </w:div>
        <w:div w:id="2061241320">
          <w:marLeft w:val="0"/>
          <w:marRight w:val="0"/>
          <w:marTop w:val="0"/>
          <w:marBottom w:val="0"/>
          <w:divBdr>
            <w:top w:val="none" w:sz="0" w:space="0" w:color="auto"/>
            <w:left w:val="none" w:sz="0" w:space="0" w:color="auto"/>
            <w:bottom w:val="none" w:sz="0" w:space="0" w:color="auto"/>
            <w:right w:val="none" w:sz="0" w:space="0" w:color="auto"/>
          </w:divBdr>
          <w:divsChild>
            <w:div w:id="214852294">
              <w:marLeft w:val="0"/>
              <w:marRight w:val="0"/>
              <w:marTop w:val="0"/>
              <w:marBottom w:val="0"/>
              <w:divBdr>
                <w:top w:val="none" w:sz="0" w:space="0" w:color="auto"/>
                <w:left w:val="none" w:sz="0" w:space="0" w:color="auto"/>
                <w:bottom w:val="none" w:sz="0" w:space="0" w:color="auto"/>
                <w:right w:val="none" w:sz="0" w:space="0" w:color="auto"/>
              </w:divBdr>
            </w:div>
          </w:divsChild>
        </w:div>
        <w:div w:id="2089302217">
          <w:marLeft w:val="0"/>
          <w:marRight w:val="0"/>
          <w:marTop w:val="0"/>
          <w:marBottom w:val="0"/>
          <w:divBdr>
            <w:top w:val="none" w:sz="0" w:space="0" w:color="auto"/>
            <w:left w:val="none" w:sz="0" w:space="0" w:color="auto"/>
            <w:bottom w:val="none" w:sz="0" w:space="0" w:color="auto"/>
            <w:right w:val="none" w:sz="0" w:space="0" w:color="auto"/>
          </w:divBdr>
          <w:divsChild>
            <w:div w:id="6401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33653">
      <w:bodyDiv w:val="1"/>
      <w:marLeft w:val="0"/>
      <w:marRight w:val="0"/>
      <w:marTop w:val="0"/>
      <w:marBottom w:val="0"/>
      <w:divBdr>
        <w:top w:val="none" w:sz="0" w:space="0" w:color="auto"/>
        <w:left w:val="none" w:sz="0" w:space="0" w:color="auto"/>
        <w:bottom w:val="none" w:sz="0" w:space="0" w:color="auto"/>
        <w:right w:val="none" w:sz="0" w:space="0" w:color="auto"/>
      </w:divBdr>
      <w:divsChild>
        <w:div w:id="167644977">
          <w:marLeft w:val="0"/>
          <w:marRight w:val="0"/>
          <w:marTop w:val="0"/>
          <w:marBottom w:val="0"/>
          <w:divBdr>
            <w:top w:val="none" w:sz="0" w:space="0" w:color="auto"/>
            <w:left w:val="none" w:sz="0" w:space="0" w:color="auto"/>
            <w:bottom w:val="none" w:sz="0" w:space="0" w:color="auto"/>
            <w:right w:val="none" w:sz="0" w:space="0" w:color="auto"/>
          </w:divBdr>
          <w:divsChild>
            <w:div w:id="1231380974">
              <w:marLeft w:val="0"/>
              <w:marRight w:val="0"/>
              <w:marTop w:val="0"/>
              <w:marBottom w:val="0"/>
              <w:divBdr>
                <w:top w:val="none" w:sz="0" w:space="0" w:color="auto"/>
                <w:left w:val="none" w:sz="0" w:space="0" w:color="auto"/>
                <w:bottom w:val="none" w:sz="0" w:space="0" w:color="auto"/>
                <w:right w:val="none" w:sz="0" w:space="0" w:color="auto"/>
              </w:divBdr>
            </w:div>
          </w:divsChild>
        </w:div>
        <w:div w:id="174157370">
          <w:marLeft w:val="0"/>
          <w:marRight w:val="0"/>
          <w:marTop w:val="0"/>
          <w:marBottom w:val="0"/>
          <w:divBdr>
            <w:top w:val="none" w:sz="0" w:space="0" w:color="auto"/>
            <w:left w:val="none" w:sz="0" w:space="0" w:color="auto"/>
            <w:bottom w:val="none" w:sz="0" w:space="0" w:color="auto"/>
            <w:right w:val="none" w:sz="0" w:space="0" w:color="auto"/>
          </w:divBdr>
          <w:divsChild>
            <w:div w:id="2118020587">
              <w:marLeft w:val="0"/>
              <w:marRight w:val="0"/>
              <w:marTop w:val="0"/>
              <w:marBottom w:val="0"/>
              <w:divBdr>
                <w:top w:val="none" w:sz="0" w:space="0" w:color="auto"/>
                <w:left w:val="none" w:sz="0" w:space="0" w:color="auto"/>
                <w:bottom w:val="none" w:sz="0" w:space="0" w:color="auto"/>
                <w:right w:val="none" w:sz="0" w:space="0" w:color="auto"/>
              </w:divBdr>
            </w:div>
          </w:divsChild>
        </w:div>
        <w:div w:id="223368767">
          <w:marLeft w:val="0"/>
          <w:marRight w:val="0"/>
          <w:marTop w:val="0"/>
          <w:marBottom w:val="0"/>
          <w:divBdr>
            <w:top w:val="none" w:sz="0" w:space="0" w:color="auto"/>
            <w:left w:val="none" w:sz="0" w:space="0" w:color="auto"/>
            <w:bottom w:val="none" w:sz="0" w:space="0" w:color="auto"/>
            <w:right w:val="none" w:sz="0" w:space="0" w:color="auto"/>
          </w:divBdr>
          <w:divsChild>
            <w:div w:id="1271745842">
              <w:marLeft w:val="0"/>
              <w:marRight w:val="0"/>
              <w:marTop w:val="0"/>
              <w:marBottom w:val="0"/>
              <w:divBdr>
                <w:top w:val="none" w:sz="0" w:space="0" w:color="auto"/>
                <w:left w:val="none" w:sz="0" w:space="0" w:color="auto"/>
                <w:bottom w:val="none" w:sz="0" w:space="0" w:color="auto"/>
                <w:right w:val="none" w:sz="0" w:space="0" w:color="auto"/>
              </w:divBdr>
            </w:div>
          </w:divsChild>
        </w:div>
        <w:div w:id="412554248">
          <w:marLeft w:val="0"/>
          <w:marRight w:val="0"/>
          <w:marTop w:val="0"/>
          <w:marBottom w:val="0"/>
          <w:divBdr>
            <w:top w:val="none" w:sz="0" w:space="0" w:color="auto"/>
            <w:left w:val="none" w:sz="0" w:space="0" w:color="auto"/>
            <w:bottom w:val="none" w:sz="0" w:space="0" w:color="auto"/>
            <w:right w:val="none" w:sz="0" w:space="0" w:color="auto"/>
          </w:divBdr>
          <w:divsChild>
            <w:div w:id="678970757">
              <w:marLeft w:val="0"/>
              <w:marRight w:val="0"/>
              <w:marTop w:val="0"/>
              <w:marBottom w:val="0"/>
              <w:divBdr>
                <w:top w:val="none" w:sz="0" w:space="0" w:color="auto"/>
                <w:left w:val="none" w:sz="0" w:space="0" w:color="auto"/>
                <w:bottom w:val="none" w:sz="0" w:space="0" w:color="auto"/>
                <w:right w:val="none" w:sz="0" w:space="0" w:color="auto"/>
              </w:divBdr>
            </w:div>
          </w:divsChild>
        </w:div>
        <w:div w:id="435633544">
          <w:marLeft w:val="0"/>
          <w:marRight w:val="0"/>
          <w:marTop w:val="0"/>
          <w:marBottom w:val="0"/>
          <w:divBdr>
            <w:top w:val="none" w:sz="0" w:space="0" w:color="auto"/>
            <w:left w:val="none" w:sz="0" w:space="0" w:color="auto"/>
            <w:bottom w:val="none" w:sz="0" w:space="0" w:color="auto"/>
            <w:right w:val="none" w:sz="0" w:space="0" w:color="auto"/>
          </w:divBdr>
          <w:divsChild>
            <w:div w:id="1304579428">
              <w:marLeft w:val="0"/>
              <w:marRight w:val="0"/>
              <w:marTop w:val="0"/>
              <w:marBottom w:val="0"/>
              <w:divBdr>
                <w:top w:val="none" w:sz="0" w:space="0" w:color="auto"/>
                <w:left w:val="none" w:sz="0" w:space="0" w:color="auto"/>
                <w:bottom w:val="none" w:sz="0" w:space="0" w:color="auto"/>
                <w:right w:val="none" w:sz="0" w:space="0" w:color="auto"/>
              </w:divBdr>
            </w:div>
          </w:divsChild>
        </w:div>
        <w:div w:id="557786527">
          <w:marLeft w:val="0"/>
          <w:marRight w:val="0"/>
          <w:marTop w:val="0"/>
          <w:marBottom w:val="0"/>
          <w:divBdr>
            <w:top w:val="none" w:sz="0" w:space="0" w:color="auto"/>
            <w:left w:val="none" w:sz="0" w:space="0" w:color="auto"/>
            <w:bottom w:val="none" w:sz="0" w:space="0" w:color="auto"/>
            <w:right w:val="none" w:sz="0" w:space="0" w:color="auto"/>
          </w:divBdr>
          <w:divsChild>
            <w:div w:id="218371718">
              <w:marLeft w:val="0"/>
              <w:marRight w:val="0"/>
              <w:marTop w:val="0"/>
              <w:marBottom w:val="0"/>
              <w:divBdr>
                <w:top w:val="none" w:sz="0" w:space="0" w:color="auto"/>
                <w:left w:val="none" w:sz="0" w:space="0" w:color="auto"/>
                <w:bottom w:val="none" w:sz="0" w:space="0" w:color="auto"/>
                <w:right w:val="none" w:sz="0" w:space="0" w:color="auto"/>
              </w:divBdr>
            </w:div>
            <w:div w:id="761415428">
              <w:marLeft w:val="0"/>
              <w:marRight w:val="0"/>
              <w:marTop w:val="0"/>
              <w:marBottom w:val="0"/>
              <w:divBdr>
                <w:top w:val="none" w:sz="0" w:space="0" w:color="auto"/>
                <w:left w:val="none" w:sz="0" w:space="0" w:color="auto"/>
                <w:bottom w:val="none" w:sz="0" w:space="0" w:color="auto"/>
                <w:right w:val="none" w:sz="0" w:space="0" w:color="auto"/>
              </w:divBdr>
            </w:div>
          </w:divsChild>
        </w:div>
        <w:div w:id="588006423">
          <w:marLeft w:val="0"/>
          <w:marRight w:val="0"/>
          <w:marTop w:val="0"/>
          <w:marBottom w:val="0"/>
          <w:divBdr>
            <w:top w:val="none" w:sz="0" w:space="0" w:color="auto"/>
            <w:left w:val="none" w:sz="0" w:space="0" w:color="auto"/>
            <w:bottom w:val="none" w:sz="0" w:space="0" w:color="auto"/>
            <w:right w:val="none" w:sz="0" w:space="0" w:color="auto"/>
          </w:divBdr>
          <w:divsChild>
            <w:div w:id="1286237216">
              <w:marLeft w:val="0"/>
              <w:marRight w:val="0"/>
              <w:marTop w:val="0"/>
              <w:marBottom w:val="0"/>
              <w:divBdr>
                <w:top w:val="none" w:sz="0" w:space="0" w:color="auto"/>
                <w:left w:val="none" w:sz="0" w:space="0" w:color="auto"/>
                <w:bottom w:val="none" w:sz="0" w:space="0" w:color="auto"/>
                <w:right w:val="none" w:sz="0" w:space="0" w:color="auto"/>
              </w:divBdr>
            </w:div>
          </w:divsChild>
        </w:div>
        <w:div w:id="648677531">
          <w:marLeft w:val="0"/>
          <w:marRight w:val="0"/>
          <w:marTop w:val="0"/>
          <w:marBottom w:val="0"/>
          <w:divBdr>
            <w:top w:val="none" w:sz="0" w:space="0" w:color="auto"/>
            <w:left w:val="none" w:sz="0" w:space="0" w:color="auto"/>
            <w:bottom w:val="none" w:sz="0" w:space="0" w:color="auto"/>
            <w:right w:val="none" w:sz="0" w:space="0" w:color="auto"/>
          </w:divBdr>
          <w:divsChild>
            <w:div w:id="1204908187">
              <w:marLeft w:val="0"/>
              <w:marRight w:val="0"/>
              <w:marTop w:val="0"/>
              <w:marBottom w:val="0"/>
              <w:divBdr>
                <w:top w:val="none" w:sz="0" w:space="0" w:color="auto"/>
                <w:left w:val="none" w:sz="0" w:space="0" w:color="auto"/>
                <w:bottom w:val="none" w:sz="0" w:space="0" w:color="auto"/>
                <w:right w:val="none" w:sz="0" w:space="0" w:color="auto"/>
              </w:divBdr>
            </w:div>
          </w:divsChild>
        </w:div>
        <w:div w:id="745880215">
          <w:marLeft w:val="0"/>
          <w:marRight w:val="0"/>
          <w:marTop w:val="0"/>
          <w:marBottom w:val="0"/>
          <w:divBdr>
            <w:top w:val="none" w:sz="0" w:space="0" w:color="auto"/>
            <w:left w:val="none" w:sz="0" w:space="0" w:color="auto"/>
            <w:bottom w:val="none" w:sz="0" w:space="0" w:color="auto"/>
            <w:right w:val="none" w:sz="0" w:space="0" w:color="auto"/>
          </w:divBdr>
          <w:divsChild>
            <w:div w:id="1700399296">
              <w:marLeft w:val="0"/>
              <w:marRight w:val="0"/>
              <w:marTop w:val="0"/>
              <w:marBottom w:val="0"/>
              <w:divBdr>
                <w:top w:val="none" w:sz="0" w:space="0" w:color="auto"/>
                <w:left w:val="none" w:sz="0" w:space="0" w:color="auto"/>
                <w:bottom w:val="none" w:sz="0" w:space="0" w:color="auto"/>
                <w:right w:val="none" w:sz="0" w:space="0" w:color="auto"/>
              </w:divBdr>
            </w:div>
          </w:divsChild>
        </w:div>
        <w:div w:id="960645515">
          <w:marLeft w:val="0"/>
          <w:marRight w:val="0"/>
          <w:marTop w:val="0"/>
          <w:marBottom w:val="0"/>
          <w:divBdr>
            <w:top w:val="none" w:sz="0" w:space="0" w:color="auto"/>
            <w:left w:val="none" w:sz="0" w:space="0" w:color="auto"/>
            <w:bottom w:val="none" w:sz="0" w:space="0" w:color="auto"/>
            <w:right w:val="none" w:sz="0" w:space="0" w:color="auto"/>
          </w:divBdr>
          <w:divsChild>
            <w:div w:id="1672103465">
              <w:marLeft w:val="0"/>
              <w:marRight w:val="0"/>
              <w:marTop w:val="0"/>
              <w:marBottom w:val="0"/>
              <w:divBdr>
                <w:top w:val="none" w:sz="0" w:space="0" w:color="auto"/>
                <w:left w:val="none" w:sz="0" w:space="0" w:color="auto"/>
                <w:bottom w:val="none" w:sz="0" w:space="0" w:color="auto"/>
                <w:right w:val="none" w:sz="0" w:space="0" w:color="auto"/>
              </w:divBdr>
            </w:div>
          </w:divsChild>
        </w:div>
        <w:div w:id="1012687881">
          <w:marLeft w:val="0"/>
          <w:marRight w:val="0"/>
          <w:marTop w:val="0"/>
          <w:marBottom w:val="0"/>
          <w:divBdr>
            <w:top w:val="none" w:sz="0" w:space="0" w:color="auto"/>
            <w:left w:val="none" w:sz="0" w:space="0" w:color="auto"/>
            <w:bottom w:val="none" w:sz="0" w:space="0" w:color="auto"/>
            <w:right w:val="none" w:sz="0" w:space="0" w:color="auto"/>
          </w:divBdr>
          <w:divsChild>
            <w:div w:id="903249507">
              <w:marLeft w:val="0"/>
              <w:marRight w:val="0"/>
              <w:marTop w:val="0"/>
              <w:marBottom w:val="0"/>
              <w:divBdr>
                <w:top w:val="none" w:sz="0" w:space="0" w:color="auto"/>
                <w:left w:val="none" w:sz="0" w:space="0" w:color="auto"/>
                <w:bottom w:val="none" w:sz="0" w:space="0" w:color="auto"/>
                <w:right w:val="none" w:sz="0" w:space="0" w:color="auto"/>
              </w:divBdr>
            </w:div>
          </w:divsChild>
        </w:div>
        <w:div w:id="1043284306">
          <w:marLeft w:val="0"/>
          <w:marRight w:val="0"/>
          <w:marTop w:val="0"/>
          <w:marBottom w:val="0"/>
          <w:divBdr>
            <w:top w:val="none" w:sz="0" w:space="0" w:color="auto"/>
            <w:left w:val="none" w:sz="0" w:space="0" w:color="auto"/>
            <w:bottom w:val="none" w:sz="0" w:space="0" w:color="auto"/>
            <w:right w:val="none" w:sz="0" w:space="0" w:color="auto"/>
          </w:divBdr>
          <w:divsChild>
            <w:div w:id="1738016840">
              <w:marLeft w:val="0"/>
              <w:marRight w:val="0"/>
              <w:marTop w:val="0"/>
              <w:marBottom w:val="0"/>
              <w:divBdr>
                <w:top w:val="none" w:sz="0" w:space="0" w:color="auto"/>
                <w:left w:val="none" w:sz="0" w:space="0" w:color="auto"/>
                <w:bottom w:val="none" w:sz="0" w:space="0" w:color="auto"/>
                <w:right w:val="none" w:sz="0" w:space="0" w:color="auto"/>
              </w:divBdr>
            </w:div>
          </w:divsChild>
        </w:div>
        <w:div w:id="1127042562">
          <w:marLeft w:val="0"/>
          <w:marRight w:val="0"/>
          <w:marTop w:val="0"/>
          <w:marBottom w:val="0"/>
          <w:divBdr>
            <w:top w:val="none" w:sz="0" w:space="0" w:color="auto"/>
            <w:left w:val="none" w:sz="0" w:space="0" w:color="auto"/>
            <w:bottom w:val="none" w:sz="0" w:space="0" w:color="auto"/>
            <w:right w:val="none" w:sz="0" w:space="0" w:color="auto"/>
          </w:divBdr>
          <w:divsChild>
            <w:div w:id="186331196">
              <w:marLeft w:val="0"/>
              <w:marRight w:val="0"/>
              <w:marTop w:val="0"/>
              <w:marBottom w:val="0"/>
              <w:divBdr>
                <w:top w:val="none" w:sz="0" w:space="0" w:color="auto"/>
                <w:left w:val="none" w:sz="0" w:space="0" w:color="auto"/>
                <w:bottom w:val="none" w:sz="0" w:space="0" w:color="auto"/>
                <w:right w:val="none" w:sz="0" w:space="0" w:color="auto"/>
              </w:divBdr>
            </w:div>
            <w:div w:id="2124421057">
              <w:marLeft w:val="0"/>
              <w:marRight w:val="0"/>
              <w:marTop w:val="0"/>
              <w:marBottom w:val="0"/>
              <w:divBdr>
                <w:top w:val="none" w:sz="0" w:space="0" w:color="auto"/>
                <w:left w:val="none" w:sz="0" w:space="0" w:color="auto"/>
                <w:bottom w:val="none" w:sz="0" w:space="0" w:color="auto"/>
                <w:right w:val="none" w:sz="0" w:space="0" w:color="auto"/>
              </w:divBdr>
            </w:div>
          </w:divsChild>
        </w:div>
        <w:div w:id="1346246980">
          <w:marLeft w:val="0"/>
          <w:marRight w:val="0"/>
          <w:marTop w:val="0"/>
          <w:marBottom w:val="0"/>
          <w:divBdr>
            <w:top w:val="none" w:sz="0" w:space="0" w:color="auto"/>
            <w:left w:val="none" w:sz="0" w:space="0" w:color="auto"/>
            <w:bottom w:val="none" w:sz="0" w:space="0" w:color="auto"/>
            <w:right w:val="none" w:sz="0" w:space="0" w:color="auto"/>
          </w:divBdr>
          <w:divsChild>
            <w:div w:id="2143621130">
              <w:marLeft w:val="0"/>
              <w:marRight w:val="0"/>
              <w:marTop w:val="0"/>
              <w:marBottom w:val="0"/>
              <w:divBdr>
                <w:top w:val="none" w:sz="0" w:space="0" w:color="auto"/>
                <w:left w:val="none" w:sz="0" w:space="0" w:color="auto"/>
                <w:bottom w:val="none" w:sz="0" w:space="0" w:color="auto"/>
                <w:right w:val="none" w:sz="0" w:space="0" w:color="auto"/>
              </w:divBdr>
            </w:div>
          </w:divsChild>
        </w:div>
        <w:div w:id="1505852326">
          <w:marLeft w:val="0"/>
          <w:marRight w:val="0"/>
          <w:marTop w:val="0"/>
          <w:marBottom w:val="0"/>
          <w:divBdr>
            <w:top w:val="none" w:sz="0" w:space="0" w:color="auto"/>
            <w:left w:val="none" w:sz="0" w:space="0" w:color="auto"/>
            <w:bottom w:val="none" w:sz="0" w:space="0" w:color="auto"/>
            <w:right w:val="none" w:sz="0" w:space="0" w:color="auto"/>
          </w:divBdr>
          <w:divsChild>
            <w:div w:id="1153062920">
              <w:marLeft w:val="0"/>
              <w:marRight w:val="0"/>
              <w:marTop w:val="0"/>
              <w:marBottom w:val="0"/>
              <w:divBdr>
                <w:top w:val="none" w:sz="0" w:space="0" w:color="auto"/>
                <w:left w:val="none" w:sz="0" w:space="0" w:color="auto"/>
                <w:bottom w:val="none" w:sz="0" w:space="0" w:color="auto"/>
                <w:right w:val="none" w:sz="0" w:space="0" w:color="auto"/>
              </w:divBdr>
            </w:div>
          </w:divsChild>
        </w:div>
        <w:div w:id="1664969486">
          <w:marLeft w:val="0"/>
          <w:marRight w:val="0"/>
          <w:marTop w:val="0"/>
          <w:marBottom w:val="0"/>
          <w:divBdr>
            <w:top w:val="none" w:sz="0" w:space="0" w:color="auto"/>
            <w:left w:val="none" w:sz="0" w:space="0" w:color="auto"/>
            <w:bottom w:val="none" w:sz="0" w:space="0" w:color="auto"/>
            <w:right w:val="none" w:sz="0" w:space="0" w:color="auto"/>
          </w:divBdr>
          <w:divsChild>
            <w:div w:id="2120833496">
              <w:marLeft w:val="0"/>
              <w:marRight w:val="0"/>
              <w:marTop w:val="0"/>
              <w:marBottom w:val="0"/>
              <w:divBdr>
                <w:top w:val="none" w:sz="0" w:space="0" w:color="auto"/>
                <w:left w:val="none" w:sz="0" w:space="0" w:color="auto"/>
                <w:bottom w:val="none" w:sz="0" w:space="0" w:color="auto"/>
                <w:right w:val="none" w:sz="0" w:space="0" w:color="auto"/>
              </w:divBdr>
            </w:div>
          </w:divsChild>
        </w:div>
        <w:div w:id="1735620246">
          <w:marLeft w:val="0"/>
          <w:marRight w:val="0"/>
          <w:marTop w:val="0"/>
          <w:marBottom w:val="0"/>
          <w:divBdr>
            <w:top w:val="none" w:sz="0" w:space="0" w:color="auto"/>
            <w:left w:val="none" w:sz="0" w:space="0" w:color="auto"/>
            <w:bottom w:val="none" w:sz="0" w:space="0" w:color="auto"/>
            <w:right w:val="none" w:sz="0" w:space="0" w:color="auto"/>
          </w:divBdr>
          <w:divsChild>
            <w:div w:id="917858651">
              <w:marLeft w:val="0"/>
              <w:marRight w:val="0"/>
              <w:marTop w:val="0"/>
              <w:marBottom w:val="0"/>
              <w:divBdr>
                <w:top w:val="none" w:sz="0" w:space="0" w:color="auto"/>
                <w:left w:val="none" w:sz="0" w:space="0" w:color="auto"/>
                <w:bottom w:val="none" w:sz="0" w:space="0" w:color="auto"/>
                <w:right w:val="none" w:sz="0" w:space="0" w:color="auto"/>
              </w:divBdr>
            </w:div>
          </w:divsChild>
        </w:div>
        <w:div w:id="1747340562">
          <w:marLeft w:val="0"/>
          <w:marRight w:val="0"/>
          <w:marTop w:val="0"/>
          <w:marBottom w:val="0"/>
          <w:divBdr>
            <w:top w:val="none" w:sz="0" w:space="0" w:color="auto"/>
            <w:left w:val="none" w:sz="0" w:space="0" w:color="auto"/>
            <w:bottom w:val="none" w:sz="0" w:space="0" w:color="auto"/>
            <w:right w:val="none" w:sz="0" w:space="0" w:color="auto"/>
          </w:divBdr>
          <w:divsChild>
            <w:div w:id="1423527988">
              <w:marLeft w:val="0"/>
              <w:marRight w:val="0"/>
              <w:marTop w:val="0"/>
              <w:marBottom w:val="0"/>
              <w:divBdr>
                <w:top w:val="none" w:sz="0" w:space="0" w:color="auto"/>
                <w:left w:val="none" w:sz="0" w:space="0" w:color="auto"/>
                <w:bottom w:val="none" w:sz="0" w:space="0" w:color="auto"/>
                <w:right w:val="none" w:sz="0" w:space="0" w:color="auto"/>
              </w:divBdr>
            </w:div>
          </w:divsChild>
        </w:div>
        <w:div w:id="1769154603">
          <w:marLeft w:val="0"/>
          <w:marRight w:val="0"/>
          <w:marTop w:val="0"/>
          <w:marBottom w:val="0"/>
          <w:divBdr>
            <w:top w:val="none" w:sz="0" w:space="0" w:color="auto"/>
            <w:left w:val="none" w:sz="0" w:space="0" w:color="auto"/>
            <w:bottom w:val="none" w:sz="0" w:space="0" w:color="auto"/>
            <w:right w:val="none" w:sz="0" w:space="0" w:color="auto"/>
          </w:divBdr>
          <w:divsChild>
            <w:div w:id="1163861183">
              <w:marLeft w:val="0"/>
              <w:marRight w:val="0"/>
              <w:marTop w:val="0"/>
              <w:marBottom w:val="0"/>
              <w:divBdr>
                <w:top w:val="none" w:sz="0" w:space="0" w:color="auto"/>
                <w:left w:val="none" w:sz="0" w:space="0" w:color="auto"/>
                <w:bottom w:val="none" w:sz="0" w:space="0" w:color="auto"/>
                <w:right w:val="none" w:sz="0" w:space="0" w:color="auto"/>
              </w:divBdr>
            </w:div>
          </w:divsChild>
        </w:div>
        <w:div w:id="1841580276">
          <w:marLeft w:val="0"/>
          <w:marRight w:val="0"/>
          <w:marTop w:val="0"/>
          <w:marBottom w:val="0"/>
          <w:divBdr>
            <w:top w:val="none" w:sz="0" w:space="0" w:color="auto"/>
            <w:left w:val="none" w:sz="0" w:space="0" w:color="auto"/>
            <w:bottom w:val="none" w:sz="0" w:space="0" w:color="auto"/>
            <w:right w:val="none" w:sz="0" w:space="0" w:color="auto"/>
          </w:divBdr>
          <w:divsChild>
            <w:div w:id="621886888">
              <w:marLeft w:val="0"/>
              <w:marRight w:val="0"/>
              <w:marTop w:val="0"/>
              <w:marBottom w:val="0"/>
              <w:divBdr>
                <w:top w:val="none" w:sz="0" w:space="0" w:color="auto"/>
                <w:left w:val="none" w:sz="0" w:space="0" w:color="auto"/>
                <w:bottom w:val="none" w:sz="0" w:space="0" w:color="auto"/>
                <w:right w:val="none" w:sz="0" w:space="0" w:color="auto"/>
              </w:divBdr>
            </w:div>
          </w:divsChild>
        </w:div>
        <w:div w:id="1885170939">
          <w:marLeft w:val="0"/>
          <w:marRight w:val="0"/>
          <w:marTop w:val="0"/>
          <w:marBottom w:val="0"/>
          <w:divBdr>
            <w:top w:val="none" w:sz="0" w:space="0" w:color="auto"/>
            <w:left w:val="none" w:sz="0" w:space="0" w:color="auto"/>
            <w:bottom w:val="none" w:sz="0" w:space="0" w:color="auto"/>
            <w:right w:val="none" w:sz="0" w:space="0" w:color="auto"/>
          </w:divBdr>
          <w:divsChild>
            <w:div w:id="1367214584">
              <w:marLeft w:val="0"/>
              <w:marRight w:val="0"/>
              <w:marTop w:val="0"/>
              <w:marBottom w:val="0"/>
              <w:divBdr>
                <w:top w:val="none" w:sz="0" w:space="0" w:color="auto"/>
                <w:left w:val="none" w:sz="0" w:space="0" w:color="auto"/>
                <w:bottom w:val="none" w:sz="0" w:space="0" w:color="auto"/>
                <w:right w:val="none" w:sz="0" w:space="0" w:color="auto"/>
              </w:divBdr>
            </w:div>
          </w:divsChild>
        </w:div>
        <w:div w:id="1895462529">
          <w:marLeft w:val="0"/>
          <w:marRight w:val="0"/>
          <w:marTop w:val="0"/>
          <w:marBottom w:val="0"/>
          <w:divBdr>
            <w:top w:val="none" w:sz="0" w:space="0" w:color="auto"/>
            <w:left w:val="none" w:sz="0" w:space="0" w:color="auto"/>
            <w:bottom w:val="none" w:sz="0" w:space="0" w:color="auto"/>
            <w:right w:val="none" w:sz="0" w:space="0" w:color="auto"/>
          </w:divBdr>
          <w:divsChild>
            <w:div w:id="2073575915">
              <w:marLeft w:val="0"/>
              <w:marRight w:val="0"/>
              <w:marTop w:val="0"/>
              <w:marBottom w:val="0"/>
              <w:divBdr>
                <w:top w:val="none" w:sz="0" w:space="0" w:color="auto"/>
                <w:left w:val="none" w:sz="0" w:space="0" w:color="auto"/>
                <w:bottom w:val="none" w:sz="0" w:space="0" w:color="auto"/>
                <w:right w:val="none" w:sz="0" w:space="0" w:color="auto"/>
              </w:divBdr>
            </w:div>
          </w:divsChild>
        </w:div>
        <w:div w:id="1904174192">
          <w:marLeft w:val="0"/>
          <w:marRight w:val="0"/>
          <w:marTop w:val="0"/>
          <w:marBottom w:val="0"/>
          <w:divBdr>
            <w:top w:val="none" w:sz="0" w:space="0" w:color="auto"/>
            <w:left w:val="none" w:sz="0" w:space="0" w:color="auto"/>
            <w:bottom w:val="none" w:sz="0" w:space="0" w:color="auto"/>
            <w:right w:val="none" w:sz="0" w:space="0" w:color="auto"/>
          </w:divBdr>
          <w:divsChild>
            <w:div w:id="937174348">
              <w:marLeft w:val="0"/>
              <w:marRight w:val="0"/>
              <w:marTop w:val="0"/>
              <w:marBottom w:val="0"/>
              <w:divBdr>
                <w:top w:val="none" w:sz="0" w:space="0" w:color="auto"/>
                <w:left w:val="none" w:sz="0" w:space="0" w:color="auto"/>
                <w:bottom w:val="none" w:sz="0" w:space="0" w:color="auto"/>
                <w:right w:val="none" w:sz="0" w:space="0" w:color="auto"/>
              </w:divBdr>
            </w:div>
          </w:divsChild>
        </w:div>
        <w:div w:id="2084184711">
          <w:marLeft w:val="0"/>
          <w:marRight w:val="0"/>
          <w:marTop w:val="0"/>
          <w:marBottom w:val="0"/>
          <w:divBdr>
            <w:top w:val="none" w:sz="0" w:space="0" w:color="auto"/>
            <w:left w:val="none" w:sz="0" w:space="0" w:color="auto"/>
            <w:bottom w:val="none" w:sz="0" w:space="0" w:color="auto"/>
            <w:right w:val="none" w:sz="0" w:space="0" w:color="auto"/>
          </w:divBdr>
          <w:divsChild>
            <w:div w:id="18211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07659">
      <w:bodyDiv w:val="1"/>
      <w:marLeft w:val="0"/>
      <w:marRight w:val="0"/>
      <w:marTop w:val="0"/>
      <w:marBottom w:val="0"/>
      <w:divBdr>
        <w:top w:val="none" w:sz="0" w:space="0" w:color="auto"/>
        <w:left w:val="none" w:sz="0" w:space="0" w:color="auto"/>
        <w:bottom w:val="none" w:sz="0" w:space="0" w:color="auto"/>
        <w:right w:val="none" w:sz="0" w:space="0" w:color="auto"/>
      </w:divBdr>
      <w:divsChild>
        <w:div w:id="539442111">
          <w:marLeft w:val="0"/>
          <w:marRight w:val="0"/>
          <w:marTop w:val="0"/>
          <w:marBottom w:val="0"/>
          <w:divBdr>
            <w:top w:val="none" w:sz="0" w:space="0" w:color="auto"/>
            <w:left w:val="none" w:sz="0" w:space="0" w:color="auto"/>
            <w:bottom w:val="none" w:sz="0" w:space="0" w:color="auto"/>
            <w:right w:val="none" w:sz="0" w:space="0" w:color="auto"/>
          </w:divBdr>
        </w:div>
        <w:div w:id="623774896">
          <w:marLeft w:val="0"/>
          <w:marRight w:val="0"/>
          <w:marTop w:val="0"/>
          <w:marBottom w:val="0"/>
          <w:divBdr>
            <w:top w:val="none" w:sz="0" w:space="0" w:color="auto"/>
            <w:left w:val="none" w:sz="0" w:space="0" w:color="auto"/>
            <w:bottom w:val="none" w:sz="0" w:space="0" w:color="auto"/>
            <w:right w:val="none" w:sz="0" w:space="0" w:color="auto"/>
          </w:divBdr>
        </w:div>
      </w:divsChild>
    </w:div>
    <w:div w:id="1429958783">
      <w:bodyDiv w:val="1"/>
      <w:marLeft w:val="0"/>
      <w:marRight w:val="0"/>
      <w:marTop w:val="0"/>
      <w:marBottom w:val="0"/>
      <w:divBdr>
        <w:top w:val="none" w:sz="0" w:space="0" w:color="auto"/>
        <w:left w:val="none" w:sz="0" w:space="0" w:color="auto"/>
        <w:bottom w:val="none" w:sz="0" w:space="0" w:color="auto"/>
        <w:right w:val="none" w:sz="0" w:space="0" w:color="auto"/>
      </w:divBdr>
      <w:divsChild>
        <w:div w:id="359285704">
          <w:marLeft w:val="0"/>
          <w:marRight w:val="0"/>
          <w:marTop w:val="0"/>
          <w:marBottom w:val="0"/>
          <w:divBdr>
            <w:top w:val="none" w:sz="0" w:space="0" w:color="auto"/>
            <w:left w:val="none" w:sz="0" w:space="0" w:color="auto"/>
            <w:bottom w:val="none" w:sz="0" w:space="0" w:color="auto"/>
            <w:right w:val="none" w:sz="0" w:space="0" w:color="auto"/>
          </w:divBdr>
        </w:div>
        <w:div w:id="946546866">
          <w:marLeft w:val="0"/>
          <w:marRight w:val="0"/>
          <w:marTop w:val="0"/>
          <w:marBottom w:val="0"/>
          <w:divBdr>
            <w:top w:val="none" w:sz="0" w:space="0" w:color="auto"/>
            <w:left w:val="none" w:sz="0" w:space="0" w:color="auto"/>
            <w:bottom w:val="none" w:sz="0" w:space="0" w:color="auto"/>
            <w:right w:val="none" w:sz="0" w:space="0" w:color="auto"/>
          </w:divBdr>
        </w:div>
        <w:div w:id="1002659940">
          <w:marLeft w:val="0"/>
          <w:marRight w:val="0"/>
          <w:marTop w:val="0"/>
          <w:marBottom w:val="0"/>
          <w:divBdr>
            <w:top w:val="none" w:sz="0" w:space="0" w:color="auto"/>
            <w:left w:val="none" w:sz="0" w:space="0" w:color="auto"/>
            <w:bottom w:val="none" w:sz="0" w:space="0" w:color="auto"/>
            <w:right w:val="none" w:sz="0" w:space="0" w:color="auto"/>
          </w:divBdr>
        </w:div>
        <w:div w:id="1238898301">
          <w:marLeft w:val="0"/>
          <w:marRight w:val="0"/>
          <w:marTop w:val="0"/>
          <w:marBottom w:val="0"/>
          <w:divBdr>
            <w:top w:val="none" w:sz="0" w:space="0" w:color="auto"/>
            <w:left w:val="none" w:sz="0" w:space="0" w:color="auto"/>
            <w:bottom w:val="none" w:sz="0" w:space="0" w:color="auto"/>
            <w:right w:val="none" w:sz="0" w:space="0" w:color="auto"/>
          </w:divBdr>
        </w:div>
        <w:div w:id="1723014318">
          <w:marLeft w:val="0"/>
          <w:marRight w:val="0"/>
          <w:marTop w:val="0"/>
          <w:marBottom w:val="0"/>
          <w:divBdr>
            <w:top w:val="none" w:sz="0" w:space="0" w:color="auto"/>
            <w:left w:val="none" w:sz="0" w:space="0" w:color="auto"/>
            <w:bottom w:val="none" w:sz="0" w:space="0" w:color="auto"/>
            <w:right w:val="none" w:sz="0" w:space="0" w:color="auto"/>
          </w:divBdr>
        </w:div>
      </w:divsChild>
    </w:div>
    <w:div w:id="1449591940">
      <w:bodyDiv w:val="1"/>
      <w:marLeft w:val="0"/>
      <w:marRight w:val="0"/>
      <w:marTop w:val="0"/>
      <w:marBottom w:val="0"/>
      <w:divBdr>
        <w:top w:val="none" w:sz="0" w:space="0" w:color="auto"/>
        <w:left w:val="none" w:sz="0" w:space="0" w:color="auto"/>
        <w:bottom w:val="none" w:sz="0" w:space="0" w:color="auto"/>
        <w:right w:val="none" w:sz="0" w:space="0" w:color="auto"/>
      </w:divBdr>
      <w:divsChild>
        <w:div w:id="1043409171">
          <w:marLeft w:val="0"/>
          <w:marRight w:val="0"/>
          <w:marTop w:val="0"/>
          <w:marBottom w:val="0"/>
          <w:divBdr>
            <w:top w:val="none" w:sz="0" w:space="0" w:color="auto"/>
            <w:left w:val="none" w:sz="0" w:space="0" w:color="auto"/>
            <w:bottom w:val="none" w:sz="0" w:space="0" w:color="auto"/>
            <w:right w:val="none" w:sz="0" w:space="0" w:color="auto"/>
          </w:divBdr>
          <w:divsChild>
            <w:div w:id="1489251596">
              <w:marLeft w:val="-75"/>
              <w:marRight w:val="0"/>
              <w:marTop w:val="30"/>
              <w:marBottom w:val="30"/>
              <w:divBdr>
                <w:top w:val="none" w:sz="0" w:space="0" w:color="auto"/>
                <w:left w:val="none" w:sz="0" w:space="0" w:color="auto"/>
                <w:bottom w:val="none" w:sz="0" w:space="0" w:color="auto"/>
                <w:right w:val="none" w:sz="0" w:space="0" w:color="auto"/>
              </w:divBdr>
              <w:divsChild>
                <w:div w:id="35586769">
                  <w:marLeft w:val="0"/>
                  <w:marRight w:val="0"/>
                  <w:marTop w:val="0"/>
                  <w:marBottom w:val="0"/>
                  <w:divBdr>
                    <w:top w:val="none" w:sz="0" w:space="0" w:color="auto"/>
                    <w:left w:val="none" w:sz="0" w:space="0" w:color="auto"/>
                    <w:bottom w:val="none" w:sz="0" w:space="0" w:color="auto"/>
                    <w:right w:val="none" w:sz="0" w:space="0" w:color="auto"/>
                  </w:divBdr>
                  <w:divsChild>
                    <w:div w:id="1820267231">
                      <w:marLeft w:val="0"/>
                      <w:marRight w:val="0"/>
                      <w:marTop w:val="0"/>
                      <w:marBottom w:val="0"/>
                      <w:divBdr>
                        <w:top w:val="none" w:sz="0" w:space="0" w:color="auto"/>
                        <w:left w:val="none" w:sz="0" w:space="0" w:color="auto"/>
                        <w:bottom w:val="none" w:sz="0" w:space="0" w:color="auto"/>
                        <w:right w:val="none" w:sz="0" w:space="0" w:color="auto"/>
                      </w:divBdr>
                    </w:div>
                  </w:divsChild>
                </w:div>
                <w:div w:id="113059052">
                  <w:marLeft w:val="0"/>
                  <w:marRight w:val="0"/>
                  <w:marTop w:val="0"/>
                  <w:marBottom w:val="0"/>
                  <w:divBdr>
                    <w:top w:val="none" w:sz="0" w:space="0" w:color="auto"/>
                    <w:left w:val="none" w:sz="0" w:space="0" w:color="auto"/>
                    <w:bottom w:val="none" w:sz="0" w:space="0" w:color="auto"/>
                    <w:right w:val="none" w:sz="0" w:space="0" w:color="auto"/>
                  </w:divBdr>
                  <w:divsChild>
                    <w:div w:id="996613295">
                      <w:marLeft w:val="0"/>
                      <w:marRight w:val="0"/>
                      <w:marTop w:val="0"/>
                      <w:marBottom w:val="0"/>
                      <w:divBdr>
                        <w:top w:val="none" w:sz="0" w:space="0" w:color="auto"/>
                        <w:left w:val="none" w:sz="0" w:space="0" w:color="auto"/>
                        <w:bottom w:val="none" w:sz="0" w:space="0" w:color="auto"/>
                        <w:right w:val="none" w:sz="0" w:space="0" w:color="auto"/>
                      </w:divBdr>
                    </w:div>
                  </w:divsChild>
                </w:div>
                <w:div w:id="120075925">
                  <w:marLeft w:val="0"/>
                  <w:marRight w:val="0"/>
                  <w:marTop w:val="0"/>
                  <w:marBottom w:val="0"/>
                  <w:divBdr>
                    <w:top w:val="none" w:sz="0" w:space="0" w:color="auto"/>
                    <w:left w:val="none" w:sz="0" w:space="0" w:color="auto"/>
                    <w:bottom w:val="none" w:sz="0" w:space="0" w:color="auto"/>
                    <w:right w:val="none" w:sz="0" w:space="0" w:color="auto"/>
                  </w:divBdr>
                  <w:divsChild>
                    <w:div w:id="653920941">
                      <w:marLeft w:val="0"/>
                      <w:marRight w:val="0"/>
                      <w:marTop w:val="0"/>
                      <w:marBottom w:val="0"/>
                      <w:divBdr>
                        <w:top w:val="none" w:sz="0" w:space="0" w:color="auto"/>
                        <w:left w:val="none" w:sz="0" w:space="0" w:color="auto"/>
                        <w:bottom w:val="none" w:sz="0" w:space="0" w:color="auto"/>
                        <w:right w:val="none" w:sz="0" w:space="0" w:color="auto"/>
                      </w:divBdr>
                    </w:div>
                  </w:divsChild>
                </w:div>
                <w:div w:id="125316694">
                  <w:marLeft w:val="0"/>
                  <w:marRight w:val="0"/>
                  <w:marTop w:val="0"/>
                  <w:marBottom w:val="0"/>
                  <w:divBdr>
                    <w:top w:val="none" w:sz="0" w:space="0" w:color="auto"/>
                    <w:left w:val="none" w:sz="0" w:space="0" w:color="auto"/>
                    <w:bottom w:val="none" w:sz="0" w:space="0" w:color="auto"/>
                    <w:right w:val="none" w:sz="0" w:space="0" w:color="auto"/>
                  </w:divBdr>
                  <w:divsChild>
                    <w:div w:id="1523981177">
                      <w:marLeft w:val="0"/>
                      <w:marRight w:val="0"/>
                      <w:marTop w:val="0"/>
                      <w:marBottom w:val="0"/>
                      <w:divBdr>
                        <w:top w:val="none" w:sz="0" w:space="0" w:color="auto"/>
                        <w:left w:val="none" w:sz="0" w:space="0" w:color="auto"/>
                        <w:bottom w:val="none" w:sz="0" w:space="0" w:color="auto"/>
                        <w:right w:val="none" w:sz="0" w:space="0" w:color="auto"/>
                      </w:divBdr>
                    </w:div>
                  </w:divsChild>
                </w:div>
                <w:div w:id="237981005">
                  <w:marLeft w:val="0"/>
                  <w:marRight w:val="0"/>
                  <w:marTop w:val="0"/>
                  <w:marBottom w:val="0"/>
                  <w:divBdr>
                    <w:top w:val="none" w:sz="0" w:space="0" w:color="auto"/>
                    <w:left w:val="none" w:sz="0" w:space="0" w:color="auto"/>
                    <w:bottom w:val="none" w:sz="0" w:space="0" w:color="auto"/>
                    <w:right w:val="none" w:sz="0" w:space="0" w:color="auto"/>
                  </w:divBdr>
                  <w:divsChild>
                    <w:div w:id="1003702457">
                      <w:marLeft w:val="0"/>
                      <w:marRight w:val="0"/>
                      <w:marTop w:val="0"/>
                      <w:marBottom w:val="0"/>
                      <w:divBdr>
                        <w:top w:val="none" w:sz="0" w:space="0" w:color="auto"/>
                        <w:left w:val="none" w:sz="0" w:space="0" w:color="auto"/>
                        <w:bottom w:val="none" w:sz="0" w:space="0" w:color="auto"/>
                        <w:right w:val="none" w:sz="0" w:space="0" w:color="auto"/>
                      </w:divBdr>
                    </w:div>
                  </w:divsChild>
                </w:div>
                <w:div w:id="350684890">
                  <w:marLeft w:val="0"/>
                  <w:marRight w:val="0"/>
                  <w:marTop w:val="0"/>
                  <w:marBottom w:val="0"/>
                  <w:divBdr>
                    <w:top w:val="none" w:sz="0" w:space="0" w:color="auto"/>
                    <w:left w:val="none" w:sz="0" w:space="0" w:color="auto"/>
                    <w:bottom w:val="none" w:sz="0" w:space="0" w:color="auto"/>
                    <w:right w:val="none" w:sz="0" w:space="0" w:color="auto"/>
                  </w:divBdr>
                  <w:divsChild>
                    <w:div w:id="599410717">
                      <w:marLeft w:val="0"/>
                      <w:marRight w:val="0"/>
                      <w:marTop w:val="0"/>
                      <w:marBottom w:val="0"/>
                      <w:divBdr>
                        <w:top w:val="none" w:sz="0" w:space="0" w:color="auto"/>
                        <w:left w:val="none" w:sz="0" w:space="0" w:color="auto"/>
                        <w:bottom w:val="none" w:sz="0" w:space="0" w:color="auto"/>
                        <w:right w:val="none" w:sz="0" w:space="0" w:color="auto"/>
                      </w:divBdr>
                    </w:div>
                  </w:divsChild>
                </w:div>
                <w:div w:id="365106196">
                  <w:marLeft w:val="0"/>
                  <w:marRight w:val="0"/>
                  <w:marTop w:val="0"/>
                  <w:marBottom w:val="0"/>
                  <w:divBdr>
                    <w:top w:val="none" w:sz="0" w:space="0" w:color="auto"/>
                    <w:left w:val="none" w:sz="0" w:space="0" w:color="auto"/>
                    <w:bottom w:val="none" w:sz="0" w:space="0" w:color="auto"/>
                    <w:right w:val="none" w:sz="0" w:space="0" w:color="auto"/>
                  </w:divBdr>
                  <w:divsChild>
                    <w:div w:id="502164695">
                      <w:marLeft w:val="0"/>
                      <w:marRight w:val="0"/>
                      <w:marTop w:val="0"/>
                      <w:marBottom w:val="0"/>
                      <w:divBdr>
                        <w:top w:val="none" w:sz="0" w:space="0" w:color="auto"/>
                        <w:left w:val="none" w:sz="0" w:space="0" w:color="auto"/>
                        <w:bottom w:val="none" w:sz="0" w:space="0" w:color="auto"/>
                        <w:right w:val="none" w:sz="0" w:space="0" w:color="auto"/>
                      </w:divBdr>
                    </w:div>
                  </w:divsChild>
                </w:div>
                <w:div w:id="369573004">
                  <w:marLeft w:val="0"/>
                  <w:marRight w:val="0"/>
                  <w:marTop w:val="0"/>
                  <w:marBottom w:val="0"/>
                  <w:divBdr>
                    <w:top w:val="none" w:sz="0" w:space="0" w:color="auto"/>
                    <w:left w:val="none" w:sz="0" w:space="0" w:color="auto"/>
                    <w:bottom w:val="none" w:sz="0" w:space="0" w:color="auto"/>
                    <w:right w:val="none" w:sz="0" w:space="0" w:color="auto"/>
                  </w:divBdr>
                  <w:divsChild>
                    <w:div w:id="1769931733">
                      <w:marLeft w:val="0"/>
                      <w:marRight w:val="0"/>
                      <w:marTop w:val="0"/>
                      <w:marBottom w:val="0"/>
                      <w:divBdr>
                        <w:top w:val="none" w:sz="0" w:space="0" w:color="auto"/>
                        <w:left w:val="none" w:sz="0" w:space="0" w:color="auto"/>
                        <w:bottom w:val="none" w:sz="0" w:space="0" w:color="auto"/>
                        <w:right w:val="none" w:sz="0" w:space="0" w:color="auto"/>
                      </w:divBdr>
                    </w:div>
                  </w:divsChild>
                </w:div>
                <w:div w:id="398990307">
                  <w:marLeft w:val="0"/>
                  <w:marRight w:val="0"/>
                  <w:marTop w:val="0"/>
                  <w:marBottom w:val="0"/>
                  <w:divBdr>
                    <w:top w:val="none" w:sz="0" w:space="0" w:color="auto"/>
                    <w:left w:val="none" w:sz="0" w:space="0" w:color="auto"/>
                    <w:bottom w:val="none" w:sz="0" w:space="0" w:color="auto"/>
                    <w:right w:val="none" w:sz="0" w:space="0" w:color="auto"/>
                  </w:divBdr>
                  <w:divsChild>
                    <w:div w:id="1545555630">
                      <w:marLeft w:val="0"/>
                      <w:marRight w:val="0"/>
                      <w:marTop w:val="0"/>
                      <w:marBottom w:val="0"/>
                      <w:divBdr>
                        <w:top w:val="none" w:sz="0" w:space="0" w:color="auto"/>
                        <w:left w:val="none" w:sz="0" w:space="0" w:color="auto"/>
                        <w:bottom w:val="none" w:sz="0" w:space="0" w:color="auto"/>
                        <w:right w:val="none" w:sz="0" w:space="0" w:color="auto"/>
                      </w:divBdr>
                    </w:div>
                  </w:divsChild>
                </w:div>
                <w:div w:id="408499235">
                  <w:marLeft w:val="0"/>
                  <w:marRight w:val="0"/>
                  <w:marTop w:val="0"/>
                  <w:marBottom w:val="0"/>
                  <w:divBdr>
                    <w:top w:val="none" w:sz="0" w:space="0" w:color="auto"/>
                    <w:left w:val="none" w:sz="0" w:space="0" w:color="auto"/>
                    <w:bottom w:val="none" w:sz="0" w:space="0" w:color="auto"/>
                    <w:right w:val="none" w:sz="0" w:space="0" w:color="auto"/>
                  </w:divBdr>
                  <w:divsChild>
                    <w:div w:id="1681661568">
                      <w:marLeft w:val="0"/>
                      <w:marRight w:val="0"/>
                      <w:marTop w:val="0"/>
                      <w:marBottom w:val="0"/>
                      <w:divBdr>
                        <w:top w:val="none" w:sz="0" w:space="0" w:color="auto"/>
                        <w:left w:val="none" w:sz="0" w:space="0" w:color="auto"/>
                        <w:bottom w:val="none" w:sz="0" w:space="0" w:color="auto"/>
                        <w:right w:val="none" w:sz="0" w:space="0" w:color="auto"/>
                      </w:divBdr>
                    </w:div>
                  </w:divsChild>
                </w:div>
                <w:div w:id="447822831">
                  <w:marLeft w:val="0"/>
                  <w:marRight w:val="0"/>
                  <w:marTop w:val="0"/>
                  <w:marBottom w:val="0"/>
                  <w:divBdr>
                    <w:top w:val="none" w:sz="0" w:space="0" w:color="auto"/>
                    <w:left w:val="none" w:sz="0" w:space="0" w:color="auto"/>
                    <w:bottom w:val="none" w:sz="0" w:space="0" w:color="auto"/>
                    <w:right w:val="none" w:sz="0" w:space="0" w:color="auto"/>
                  </w:divBdr>
                  <w:divsChild>
                    <w:div w:id="1546062619">
                      <w:marLeft w:val="0"/>
                      <w:marRight w:val="0"/>
                      <w:marTop w:val="0"/>
                      <w:marBottom w:val="0"/>
                      <w:divBdr>
                        <w:top w:val="none" w:sz="0" w:space="0" w:color="auto"/>
                        <w:left w:val="none" w:sz="0" w:space="0" w:color="auto"/>
                        <w:bottom w:val="none" w:sz="0" w:space="0" w:color="auto"/>
                        <w:right w:val="none" w:sz="0" w:space="0" w:color="auto"/>
                      </w:divBdr>
                    </w:div>
                  </w:divsChild>
                </w:div>
                <w:div w:id="559874712">
                  <w:marLeft w:val="0"/>
                  <w:marRight w:val="0"/>
                  <w:marTop w:val="0"/>
                  <w:marBottom w:val="0"/>
                  <w:divBdr>
                    <w:top w:val="none" w:sz="0" w:space="0" w:color="auto"/>
                    <w:left w:val="none" w:sz="0" w:space="0" w:color="auto"/>
                    <w:bottom w:val="none" w:sz="0" w:space="0" w:color="auto"/>
                    <w:right w:val="none" w:sz="0" w:space="0" w:color="auto"/>
                  </w:divBdr>
                  <w:divsChild>
                    <w:div w:id="1410034885">
                      <w:marLeft w:val="0"/>
                      <w:marRight w:val="0"/>
                      <w:marTop w:val="0"/>
                      <w:marBottom w:val="0"/>
                      <w:divBdr>
                        <w:top w:val="none" w:sz="0" w:space="0" w:color="auto"/>
                        <w:left w:val="none" w:sz="0" w:space="0" w:color="auto"/>
                        <w:bottom w:val="none" w:sz="0" w:space="0" w:color="auto"/>
                        <w:right w:val="none" w:sz="0" w:space="0" w:color="auto"/>
                      </w:divBdr>
                    </w:div>
                    <w:div w:id="2098743328">
                      <w:marLeft w:val="0"/>
                      <w:marRight w:val="0"/>
                      <w:marTop w:val="0"/>
                      <w:marBottom w:val="0"/>
                      <w:divBdr>
                        <w:top w:val="none" w:sz="0" w:space="0" w:color="auto"/>
                        <w:left w:val="none" w:sz="0" w:space="0" w:color="auto"/>
                        <w:bottom w:val="none" w:sz="0" w:space="0" w:color="auto"/>
                        <w:right w:val="none" w:sz="0" w:space="0" w:color="auto"/>
                      </w:divBdr>
                    </w:div>
                  </w:divsChild>
                </w:div>
                <w:div w:id="583685479">
                  <w:marLeft w:val="0"/>
                  <w:marRight w:val="0"/>
                  <w:marTop w:val="0"/>
                  <w:marBottom w:val="0"/>
                  <w:divBdr>
                    <w:top w:val="none" w:sz="0" w:space="0" w:color="auto"/>
                    <w:left w:val="none" w:sz="0" w:space="0" w:color="auto"/>
                    <w:bottom w:val="none" w:sz="0" w:space="0" w:color="auto"/>
                    <w:right w:val="none" w:sz="0" w:space="0" w:color="auto"/>
                  </w:divBdr>
                  <w:divsChild>
                    <w:div w:id="474224966">
                      <w:marLeft w:val="0"/>
                      <w:marRight w:val="0"/>
                      <w:marTop w:val="0"/>
                      <w:marBottom w:val="0"/>
                      <w:divBdr>
                        <w:top w:val="none" w:sz="0" w:space="0" w:color="auto"/>
                        <w:left w:val="none" w:sz="0" w:space="0" w:color="auto"/>
                        <w:bottom w:val="none" w:sz="0" w:space="0" w:color="auto"/>
                        <w:right w:val="none" w:sz="0" w:space="0" w:color="auto"/>
                      </w:divBdr>
                    </w:div>
                  </w:divsChild>
                </w:div>
                <w:div w:id="645470052">
                  <w:marLeft w:val="0"/>
                  <w:marRight w:val="0"/>
                  <w:marTop w:val="0"/>
                  <w:marBottom w:val="0"/>
                  <w:divBdr>
                    <w:top w:val="none" w:sz="0" w:space="0" w:color="auto"/>
                    <w:left w:val="none" w:sz="0" w:space="0" w:color="auto"/>
                    <w:bottom w:val="none" w:sz="0" w:space="0" w:color="auto"/>
                    <w:right w:val="none" w:sz="0" w:space="0" w:color="auto"/>
                  </w:divBdr>
                  <w:divsChild>
                    <w:div w:id="1731801910">
                      <w:marLeft w:val="0"/>
                      <w:marRight w:val="0"/>
                      <w:marTop w:val="0"/>
                      <w:marBottom w:val="0"/>
                      <w:divBdr>
                        <w:top w:val="none" w:sz="0" w:space="0" w:color="auto"/>
                        <w:left w:val="none" w:sz="0" w:space="0" w:color="auto"/>
                        <w:bottom w:val="none" w:sz="0" w:space="0" w:color="auto"/>
                        <w:right w:val="none" w:sz="0" w:space="0" w:color="auto"/>
                      </w:divBdr>
                    </w:div>
                  </w:divsChild>
                </w:div>
                <w:div w:id="729037482">
                  <w:marLeft w:val="0"/>
                  <w:marRight w:val="0"/>
                  <w:marTop w:val="0"/>
                  <w:marBottom w:val="0"/>
                  <w:divBdr>
                    <w:top w:val="none" w:sz="0" w:space="0" w:color="auto"/>
                    <w:left w:val="none" w:sz="0" w:space="0" w:color="auto"/>
                    <w:bottom w:val="none" w:sz="0" w:space="0" w:color="auto"/>
                    <w:right w:val="none" w:sz="0" w:space="0" w:color="auto"/>
                  </w:divBdr>
                  <w:divsChild>
                    <w:div w:id="267274343">
                      <w:marLeft w:val="0"/>
                      <w:marRight w:val="0"/>
                      <w:marTop w:val="0"/>
                      <w:marBottom w:val="0"/>
                      <w:divBdr>
                        <w:top w:val="none" w:sz="0" w:space="0" w:color="auto"/>
                        <w:left w:val="none" w:sz="0" w:space="0" w:color="auto"/>
                        <w:bottom w:val="none" w:sz="0" w:space="0" w:color="auto"/>
                        <w:right w:val="none" w:sz="0" w:space="0" w:color="auto"/>
                      </w:divBdr>
                    </w:div>
                  </w:divsChild>
                </w:div>
                <w:div w:id="746224424">
                  <w:marLeft w:val="0"/>
                  <w:marRight w:val="0"/>
                  <w:marTop w:val="0"/>
                  <w:marBottom w:val="0"/>
                  <w:divBdr>
                    <w:top w:val="none" w:sz="0" w:space="0" w:color="auto"/>
                    <w:left w:val="none" w:sz="0" w:space="0" w:color="auto"/>
                    <w:bottom w:val="none" w:sz="0" w:space="0" w:color="auto"/>
                    <w:right w:val="none" w:sz="0" w:space="0" w:color="auto"/>
                  </w:divBdr>
                  <w:divsChild>
                    <w:div w:id="1681077126">
                      <w:marLeft w:val="0"/>
                      <w:marRight w:val="0"/>
                      <w:marTop w:val="0"/>
                      <w:marBottom w:val="0"/>
                      <w:divBdr>
                        <w:top w:val="none" w:sz="0" w:space="0" w:color="auto"/>
                        <w:left w:val="none" w:sz="0" w:space="0" w:color="auto"/>
                        <w:bottom w:val="none" w:sz="0" w:space="0" w:color="auto"/>
                        <w:right w:val="none" w:sz="0" w:space="0" w:color="auto"/>
                      </w:divBdr>
                    </w:div>
                  </w:divsChild>
                </w:div>
                <w:div w:id="765272542">
                  <w:marLeft w:val="0"/>
                  <w:marRight w:val="0"/>
                  <w:marTop w:val="0"/>
                  <w:marBottom w:val="0"/>
                  <w:divBdr>
                    <w:top w:val="none" w:sz="0" w:space="0" w:color="auto"/>
                    <w:left w:val="none" w:sz="0" w:space="0" w:color="auto"/>
                    <w:bottom w:val="none" w:sz="0" w:space="0" w:color="auto"/>
                    <w:right w:val="none" w:sz="0" w:space="0" w:color="auto"/>
                  </w:divBdr>
                  <w:divsChild>
                    <w:div w:id="1368675255">
                      <w:marLeft w:val="0"/>
                      <w:marRight w:val="0"/>
                      <w:marTop w:val="0"/>
                      <w:marBottom w:val="0"/>
                      <w:divBdr>
                        <w:top w:val="none" w:sz="0" w:space="0" w:color="auto"/>
                        <w:left w:val="none" w:sz="0" w:space="0" w:color="auto"/>
                        <w:bottom w:val="none" w:sz="0" w:space="0" w:color="auto"/>
                        <w:right w:val="none" w:sz="0" w:space="0" w:color="auto"/>
                      </w:divBdr>
                    </w:div>
                  </w:divsChild>
                </w:div>
                <w:div w:id="767232205">
                  <w:marLeft w:val="0"/>
                  <w:marRight w:val="0"/>
                  <w:marTop w:val="0"/>
                  <w:marBottom w:val="0"/>
                  <w:divBdr>
                    <w:top w:val="none" w:sz="0" w:space="0" w:color="auto"/>
                    <w:left w:val="none" w:sz="0" w:space="0" w:color="auto"/>
                    <w:bottom w:val="none" w:sz="0" w:space="0" w:color="auto"/>
                    <w:right w:val="none" w:sz="0" w:space="0" w:color="auto"/>
                  </w:divBdr>
                  <w:divsChild>
                    <w:div w:id="982344959">
                      <w:marLeft w:val="0"/>
                      <w:marRight w:val="0"/>
                      <w:marTop w:val="0"/>
                      <w:marBottom w:val="0"/>
                      <w:divBdr>
                        <w:top w:val="none" w:sz="0" w:space="0" w:color="auto"/>
                        <w:left w:val="none" w:sz="0" w:space="0" w:color="auto"/>
                        <w:bottom w:val="none" w:sz="0" w:space="0" w:color="auto"/>
                        <w:right w:val="none" w:sz="0" w:space="0" w:color="auto"/>
                      </w:divBdr>
                    </w:div>
                  </w:divsChild>
                </w:div>
                <w:div w:id="796871563">
                  <w:marLeft w:val="0"/>
                  <w:marRight w:val="0"/>
                  <w:marTop w:val="0"/>
                  <w:marBottom w:val="0"/>
                  <w:divBdr>
                    <w:top w:val="none" w:sz="0" w:space="0" w:color="auto"/>
                    <w:left w:val="none" w:sz="0" w:space="0" w:color="auto"/>
                    <w:bottom w:val="none" w:sz="0" w:space="0" w:color="auto"/>
                    <w:right w:val="none" w:sz="0" w:space="0" w:color="auto"/>
                  </w:divBdr>
                  <w:divsChild>
                    <w:div w:id="1243298418">
                      <w:marLeft w:val="0"/>
                      <w:marRight w:val="0"/>
                      <w:marTop w:val="0"/>
                      <w:marBottom w:val="0"/>
                      <w:divBdr>
                        <w:top w:val="none" w:sz="0" w:space="0" w:color="auto"/>
                        <w:left w:val="none" w:sz="0" w:space="0" w:color="auto"/>
                        <w:bottom w:val="none" w:sz="0" w:space="0" w:color="auto"/>
                        <w:right w:val="none" w:sz="0" w:space="0" w:color="auto"/>
                      </w:divBdr>
                    </w:div>
                  </w:divsChild>
                </w:div>
                <w:div w:id="936208279">
                  <w:marLeft w:val="0"/>
                  <w:marRight w:val="0"/>
                  <w:marTop w:val="0"/>
                  <w:marBottom w:val="0"/>
                  <w:divBdr>
                    <w:top w:val="none" w:sz="0" w:space="0" w:color="auto"/>
                    <w:left w:val="none" w:sz="0" w:space="0" w:color="auto"/>
                    <w:bottom w:val="none" w:sz="0" w:space="0" w:color="auto"/>
                    <w:right w:val="none" w:sz="0" w:space="0" w:color="auto"/>
                  </w:divBdr>
                  <w:divsChild>
                    <w:div w:id="1350910358">
                      <w:marLeft w:val="0"/>
                      <w:marRight w:val="0"/>
                      <w:marTop w:val="0"/>
                      <w:marBottom w:val="0"/>
                      <w:divBdr>
                        <w:top w:val="none" w:sz="0" w:space="0" w:color="auto"/>
                        <w:left w:val="none" w:sz="0" w:space="0" w:color="auto"/>
                        <w:bottom w:val="none" w:sz="0" w:space="0" w:color="auto"/>
                        <w:right w:val="none" w:sz="0" w:space="0" w:color="auto"/>
                      </w:divBdr>
                    </w:div>
                  </w:divsChild>
                </w:div>
                <w:div w:id="1030960308">
                  <w:marLeft w:val="0"/>
                  <w:marRight w:val="0"/>
                  <w:marTop w:val="0"/>
                  <w:marBottom w:val="0"/>
                  <w:divBdr>
                    <w:top w:val="none" w:sz="0" w:space="0" w:color="auto"/>
                    <w:left w:val="none" w:sz="0" w:space="0" w:color="auto"/>
                    <w:bottom w:val="none" w:sz="0" w:space="0" w:color="auto"/>
                    <w:right w:val="none" w:sz="0" w:space="0" w:color="auto"/>
                  </w:divBdr>
                  <w:divsChild>
                    <w:div w:id="1039940081">
                      <w:marLeft w:val="0"/>
                      <w:marRight w:val="0"/>
                      <w:marTop w:val="0"/>
                      <w:marBottom w:val="0"/>
                      <w:divBdr>
                        <w:top w:val="none" w:sz="0" w:space="0" w:color="auto"/>
                        <w:left w:val="none" w:sz="0" w:space="0" w:color="auto"/>
                        <w:bottom w:val="none" w:sz="0" w:space="0" w:color="auto"/>
                        <w:right w:val="none" w:sz="0" w:space="0" w:color="auto"/>
                      </w:divBdr>
                    </w:div>
                    <w:div w:id="2115198997">
                      <w:marLeft w:val="0"/>
                      <w:marRight w:val="0"/>
                      <w:marTop w:val="0"/>
                      <w:marBottom w:val="0"/>
                      <w:divBdr>
                        <w:top w:val="none" w:sz="0" w:space="0" w:color="auto"/>
                        <w:left w:val="none" w:sz="0" w:space="0" w:color="auto"/>
                        <w:bottom w:val="none" w:sz="0" w:space="0" w:color="auto"/>
                        <w:right w:val="none" w:sz="0" w:space="0" w:color="auto"/>
                      </w:divBdr>
                    </w:div>
                  </w:divsChild>
                </w:div>
                <w:div w:id="1036156082">
                  <w:marLeft w:val="0"/>
                  <w:marRight w:val="0"/>
                  <w:marTop w:val="0"/>
                  <w:marBottom w:val="0"/>
                  <w:divBdr>
                    <w:top w:val="none" w:sz="0" w:space="0" w:color="auto"/>
                    <w:left w:val="none" w:sz="0" w:space="0" w:color="auto"/>
                    <w:bottom w:val="none" w:sz="0" w:space="0" w:color="auto"/>
                    <w:right w:val="none" w:sz="0" w:space="0" w:color="auto"/>
                  </w:divBdr>
                  <w:divsChild>
                    <w:div w:id="835806000">
                      <w:marLeft w:val="0"/>
                      <w:marRight w:val="0"/>
                      <w:marTop w:val="0"/>
                      <w:marBottom w:val="0"/>
                      <w:divBdr>
                        <w:top w:val="none" w:sz="0" w:space="0" w:color="auto"/>
                        <w:left w:val="none" w:sz="0" w:space="0" w:color="auto"/>
                        <w:bottom w:val="none" w:sz="0" w:space="0" w:color="auto"/>
                        <w:right w:val="none" w:sz="0" w:space="0" w:color="auto"/>
                      </w:divBdr>
                    </w:div>
                  </w:divsChild>
                </w:div>
                <w:div w:id="1060984168">
                  <w:marLeft w:val="0"/>
                  <w:marRight w:val="0"/>
                  <w:marTop w:val="0"/>
                  <w:marBottom w:val="0"/>
                  <w:divBdr>
                    <w:top w:val="none" w:sz="0" w:space="0" w:color="auto"/>
                    <w:left w:val="none" w:sz="0" w:space="0" w:color="auto"/>
                    <w:bottom w:val="none" w:sz="0" w:space="0" w:color="auto"/>
                    <w:right w:val="none" w:sz="0" w:space="0" w:color="auto"/>
                  </w:divBdr>
                  <w:divsChild>
                    <w:div w:id="918751257">
                      <w:marLeft w:val="0"/>
                      <w:marRight w:val="0"/>
                      <w:marTop w:val="0"/>
                      <w:marBottom w:val="0"/>
                      <w:divBdr>
                        <w:top w:val="none" w:sz="0" w:space="0" w:color="auto"/>
                        <w:left w:val="none" w:sz="0" w:space="0" w:color="auto"/>
                        <w:bottom w:val="none" w:sz="0" w:space="0" w:color="auto"/>
                        <w:right w:val="none" w:sz="0" w:space="0" w:color="auto"/>
                      </w:divBdr>
                    </w:div>
                  </w:divsChild>
                </w:div>
                <w:div w:id="1079013555">
                  <w:marLeft w:val="0"/>
                  <w:marRight w:val="0"/>
                  <w:marTop w:val="0"/>
                  <w:marBottom w:val="0"/>
                  <w:divBdr>
                    <w:top w:val="none" w:sz="0" w:space="0" w:color="auto"/>
                    <w:left w:val="none" w:sz="0" w:space="0" w:color="auto"/>
                    <w:bottom w:val="none" w:sz="0" w:space="0" w:color="auto"/>
                    <w:right w:val="none" w:sz="0" w:space="0" w:color="auto"/>
                  </w:divBdr>
                  <w:divsChild>
                    <w:div w:id="641816337">
                      <w:marLeft w:val="0"/>
                      <w:marRight w:val="0"/>
                      <w:marTop w:val="0"/>
                      <w:marBottom w:val="0"/>
                      <w:divBdr>
                        <w:top w:val="none" w:sz="0" w:space="0" w:color="auto"/>
                        <w:left w:val="none" w:sz="0" w:space="0" w:color="auto"/>
                        <w:bottom w:val="none" w:sz="0" w:space="0" w:color="auto"/>
                        <w:right w:val="none" w:sz="0" w:space="0" w:color="auto"/>
                      </w:divBdr>
                    </w:div>
                  </w:divsChild>
                </w:div>
                <w:div w:id="1091582821">
                  <w:marLeft w:val="0"/>
                  <w:marRight w:val="0"/>
                  <w:marTop w:val="0"/>
                  <w:marBottom w:val="0"/>
                  <w:divBdr>
                    <w:top w:val="none" w:sz="0" w:space="0" w:color="auto"/>
                    <w:left w:val="none" w:sz="0" w:space="0" w:color="auto"/>
                    <w:bottom w:val="none" w:sz="0" w:space="0" w:color="auto"/>
                    <w:right w:val="none" w:sz="0" w:space="0" w:color="auto"/>
                  </w:divBdr>
                  <w:divsChild>
                    <w:div w:id="1454864801">
                      <w:marLeft w:val="0"/>
                      <w:marRight w:val="0"/>
                      <w:marTop w:val="0"/>
                      <w:marBottom w:val="0"/>
                      <w:divBdr>
                        <w:top w:val="none" w:sz="0" w:space="0" w:color="auto"/>
                        <w:left w:val="none" w:sz="0" w:space="0" w:color="auto"/>
                        <w:bottom w:val="none" w:sz="0" w:space="0" w:color="auto"/>
                        <w:right w:val="none" w:sz="0" w:space="0" w:color="auto"/>
                      </w:divBdr>
                    </w:div>
                  </w:divsChild>
                </w:div>
                <w:div w:id="1175027694">
                  <w:marLeft w:val="0"/>
                  <w:marRight w:val="0"/>
                  <w:marTop w:val="0"/>
                  <w:marBottom w:val="0"/>
                  <w:divBdr>
                    <w:top w:val="none" w:sz="0" w:space="0" w:color="auto"/>
                    <w:left w:val="none" w:sz="0" w:space="0" w:color="auto"/>
                    <w:bottom w:val="none" w:sz="0" w:space="0" w:color="auto"/>
                    <w:right w:val="none" w:sz="0" w:space="0" w:color="auto"/>
                  </w:divBdr>
                  <w:divsChild>
                    <w:div w:id="1286350035">
                      <w:marLeft w:val="0"/>
                      <w:marRight w:val="0"/>
                      <w:marTop w:val="0"/>
                      <w:marBottom w:val="0"/>
                      <w:divBdr>
                        <w:top w:val="none" w:sz="0" w:space="0" w:color="auto"/>
                        <w:left w:val="none" w:sz="0" w:space="0" w:color="auto"/>
                        <w:bottom w:val="none" w:sz="0" w:space="0" w:color="auto"/>
                        <w:right w:val="none" w:sz="0" w:space="0" w:color="auto"/>
                      </w:divBdr>
                    </w:div>
                  </w:divsChild>
                </w:div>
                <w:div w:id="1201358509">
                  <w:marLeft w:val="0"/>
                  <w:marRight w:val="0"/>
                  <w:marTop w:val="0"/>
                  <w:marBottom w:val="0"/>
                  <w:divBdr>
                    <w:top w:val="none" w:sz="0" w:space="0" w:color="auto"/>
                    <w:left w:val="none" w:sz="0" w:space="0" w:color="auto"/>
                    <w:bottom w:val="none" w:sz="0" w:space="0" w:color="auto"/>
                    <w:right w:val="none" w:sz="0" w:space="0" w:color="auto"/>
                  </w:divBdr>
                  <w:divsChild>
                    <w:div w:id="1862207724">
                      <w:marLeft w:val="0"/>
                      <w:marRight w:val="0"/>
                      <w:marTop w:val="0"/>
                      <w:marBottom w:val="0"/>
                      <w:divBdr>
                        <w:top w:val="none" w:sz="0" w:space="0" w:color="auto"/>
                        <w:left w:val="none" w:sz="0" w:space="0" w:color="auto"/>
                        <w:bottom w:val="none" w:sz="0" w:space="0" w:color="auto"/>
                        <w:right w:val="none" w:sz="0" w:space="0" w:color="auto"/>
                      </w:divBdr>
                    </w:div>
                  </w:divsChild>
                </w:div>
                <w:div w:id="1226834446">
                  <w:marLeft w:val="0"/>
                  <w:marRight w:val="0"/>
                  <w:marTop w:val="0"/>
                  <w:marBottom w:val="0"/>
                  <w:divBdr>
                    <w:top w:val="none" w:sz="0" w:space="0" w:color="auto"/>
                    <w:left w:val="none" w:sz="0" w:space="0" w:color="auto"/>
                    <w:bottom w:val="none" w:sz="0" w:space="0" w:color="auto"/>
                    <w:right w:val="none" w:sz="0" w:space="0" w:color="auto"/>
                  </w:divBdr>
                  <w:divsChild>
                    <w:div w:id="530070387">
                      <w:marLeft w:val="0"/>
                      <w:marRight w:val="0"/>
                      <w:marTop w:val="0"/>
                      <w:marBottom w:val="0"/>
                      <w:divBdr>
                        <w:top w:val="none" w:sz="0" w:space="0" w:color="auto"/>
                        <w:left w:val="none" w:sz="0" w:space="0" w:color="auto"/>
                        <w:bottom w:val="none" w:sz="0" w:space="0" w:color="auto"/>
                        <w:right w:val="none" w:sz="0" w:space="0" w:color="auto"/>
                      </w:divBdr>
                    </w:div>
                  </w:divsChild>
                </w:div>
                <w:div w:id="1259172000">
                  <w:marLeft w:val="0"/>
                  <w:marRight w:val="0"/>
                  <w:marTop w:val="0"/>
                  <w:marBottom w:val="0"/>
                  <w:divBdr>
                    <w:top w:val="none" w:sz="0" w:space="0" w:color="auto"/>
                    <w:left w:val="none" w:sz="0" w:space="0" w:color="auto"/>
                    <w:bottom w:val="none" w:sz="0" w:space="0" w:color="auto"/>
                    <w:right w:val="none" w:sz="0" w:space="0" w:color="auto"/>
                  </w:divBdr>
                  <w:divsChild>
                    <w:div w:id="337194511">
                      <w:marLeft w:val="0"/>
                      <w:marRight w:val="0"/>
                      <w:marTop w:val="0"/>
                      <w:marBottom w:val="0"/>
                      <w:divBdr>
                        <w:top w:val="none" w:sz="0" w:space="0" w:color="auto"/>
                        <w:left w:val="none" w:sz="0" w:space="0" w:color="auto"/>
                        <w:bottom w:val="none" w:sz="0" w:space="0" w:color="auto"/>
                        <w:right w:val="none" w:sz="0" w:space="0" w:color="auto"/>
                      </w:divBdr>
                    </w:div>
                    <w:div w:id="459343387">
                      <w:marLeft w:val="0"/>
                      <w:marRight w:val="0"/>
                      <w:marTop w:val="0"/>
                      <w:marBottom w:val="0"/>
                      <w:divBdr>
                        <w:top w:val="none" w:sz="0" w:space="0" w:color="auto"/>
                        <w:left w:val="none" w:sz="0" w:space="0" w:color="auto"/>
                        <w:bottom w:val="none" w:sz="0" w:space="0" w:color="auto"/>
                        <w:right w:val="none" w:sz="0" w:space="0" w:color="auto"/>
                      </w:divBdr>
                    </w:div>
                  </w:divsChild>
                </w:div>
                <w:div w:id="1291210619">
                  <w:marLeft w:val="0"/>
                  <w:marRight w:val="0"/>
                  <w:marTop w:val="0"/>
                  <w:marBottom w:val="0"/>
                  <w:divBdr>
                    <w:top w:val="none" w:sz="0" w:space="0" w:color="auto"/>
                    <w:left w:val="none" w:sz="0" w:space="0" w:color="auto"/>
                    <w:bottom w:val="none" w:sz="0" w:space="0" w:color="auto"/>
                    <w:right w:val="none" w:sz="0" w:space="0" w:color="auto"/>
                  </w:divBdr>
                  <w:divsChild>
                    <w:div w:id="1969893164">
                      <w:marLeft w:val="0"/>
                      <w:marRight w:val="0"/>
                      <w:marTop w:val="0"/>
                      <w:marBottom w:val="0"/>
                      <w:divBdr>
                        <w:top w:val="none" w:sz="0" w:space="0" w:color="auto"/>
                        <w:left w:val="none" w:sz="0" w:space="0" w:color="auto"/>
                        <w:bottom w:val="none" w:sz="0" w:space="0" w:color="auto"/>
                        <w:right w:val="none" w:sz="0" w:space="0" w:color="auto"/>
                      </w:divBdr>
                    </w:div>
                  </w:divsChild>
                </w:div>
                <w:div w:id="1312322783">
                  <w:marLeft w:val="0"/>
                  <w:marRight w:val="0"/>
                  <w:marTop w:val="0"/>
                  <w:marBottom w:val="0"/>
                  <w:divBdr>
                    <w:top w:val="none" w:sz="0" w:space="0" w:color="auto"/>
                    <w:left w:val="none" w:sz="0" w:space="0" w:color="auto"/>
                    <w:bottom w:val="none" w:sz="0" w:space="0" w:color="auto"/>
                    <w:right w:val="none" w:sz="0" w:space="0" w:color="auto"/>
                  </w:divBdr>
                  <w:divsChild>
                    <w:div w:id="2016881168">
                      <w:marLeft w:val="0"/>
                      <w:marRight w:val="0"/>
                      <w:marTop w:val="0"/>
                      <w:marBottom w:val="0"/>
                      <w:divBdr>
                        <w:top w:val="none" w:sz="0" w:space="0" w:color="auto"/>
                        <w:left w:val="none" w:sz="0" w:space="0" w:color="auto"/>
                        <w:bottom w:val="none" w:sz="0" w:space="0" w:color="auto"/>
                        <w:right w:val="none" w:sz="0" w:space="0" w:color="auto"/>
                      </w:divBdr>
                    </w:div>
                  </w:divsChild>
                </w:div>
                <w:div w:id="1320500466">
                  <w:marLeft w:val="0"/>
                  <w:marRight w:val="0"/>
                  <w:marTop w:val="0"/>
                  <w:marBottom w:val="0"/>
                  <w:divBdr>
                    <w:top w:val="none" w:sz="0" w:space="0" w:color="auto"/>
                    <w:left w:val="none" w:sz="0" w:space="0" w:color="auto"/>
                    <w:bottom w:val="none" w:sz="0" w:space="0" w:color="auto"/>
                    <w:right w:val="none" w:sz="0" w:space="0" w:color="auto"/>
                  </w:divBdr>
                  <w:divsChild>
                    <w:div w:id="690882503">
                      <w:marLeft w:val="0"/>
                      <w:marRight w:val="0"/>
                      <w:marTop w:val="0"/>
                      <w:marBottom w:val="0"/>
                      <w:divBdr>
                        <w:top w:val="none" w:sz="0" w:space="0" w:color="auto"/>
                        <w:left w:val="none" w:sz="0" w:space="0" w:color="auto"/>
                        <w:bottom w:val="none" w:sz="0" w:space="0" w:color="auto"/>
                        <w:right w:val="none" w:sz="0" w:space="0" w:color="auto"/>
                      </w:divBdr>
                    </w:div>
                    <w:div w:id="1829252094">
                      <w:marLeft w:val="0"/>
                      <w:marRight w:val="0"/>
                      <w:marTop w:val="0"/>
                      <w:marBottom w:val="0"/>
                      <w:divBdr>
                        <w:top w:val="none" w:sz="0" w:space="0" w:color="auto"/>
                        <w:left w:val="none" w:sz="0" w:space="0" w:color="auto"/>
                        <w:bottom w:val="none" w:sz="0" w:space="0" w:color="auto"/>
                        <w:right w:val="none" w:sz="0" w:space="0" w:color="auto"/>
                      </w:divBdr>
                    </w:div>
                  </w:divsChild>
                </w:div>
                <w:div w:id="1324506166">
                  <w:marLeft w:val="0"/>
                  <w:marRight w:val="0"/>
                  <w:marTop w:val="0"/>
                  <w:marBottom w:val="0"/>
                  <w:divBdr>
                    <w:top w:val="none" w:sz="0" w:space="0" w:color="auto"/>
                    <w:left w:val="none" w:sz="0" w:space="0" w:color="auto"/>
                    <w:bottom w:val="none" w:sz="0" w:space="0" w:color="auto"/>
                    <w:right w:val="none" w:sz="0" w:space="0" w:color="auto"/>
                  </w:divBdr>
                  <w:divsChild>
                    <w:div w:id="1206134719">
                      <w:marLeft w:val="0"/>
                      <w:marRight w:val="0"/>
                      <w:marTop w:val="0"/>
                      <w:marBottom w:val="0"/>
                      <w:divBdr>
                        <w:top w:val="none" w:sz="0" w:space="0" w:color="auto"/>
                        <w:left w:val="none" w:sz="0" w:space="0" w:color="auto"/>
                        <w:bottom w:val="none" w:sz="0" w:space="0" w:color="auto"/>
                        <w:right w:val="none" w:sz="0" w:space="0" w:color="auto"/>
                      </w:divBdr>
                    </w:div>
                  </w:divsChild>
                </w:div>
                <w:div w:id="1520315057">
                  <w:marLeft w:val="0"/>
                  <w:marRight w:val="0"/>
                  <w:marTop w:val="0"/>
                  <w:marBottom w:val="0"/>
                  <w:divBdr>
                    <w:top w:val="none" w:sz="0" w:space="0" w:color="auto"/>
                    <w:left w:val="none" w:sz="0" w:space="0" w:color="auto"/>
                    <w:bottom w:val="none" w:sz="0" w:space="0" w:color="auto"/>
                    <w:right w:val="none" w:sz="0" w:space="0" w:color="auto"/>
                  </w:divBdr>
                  <w:divsChild>
                    <w:div w:id="1418357880">
                      <w:marLeft w:val="0"/>
                      <w:marRight w:val="0"/>
                      <w:marTop w:val="0"/>
                      <w:marBottom w:val="0"/>
                      <w:divBdr>
                        <w:top w:val="none" w:sz="0" w:space="0" w:color="auto"/>
                        <w:left w:val="none" w:sz="0" w:space="0" w:color="auto"/>
                        <w:bottom w:val="none" w:sz="0" w:space="0" w:color="auto"/>
                        <w:right w:val="none" w:sz="0" w:space="0" w:color="auto"/>
                      </w:divBdr>
                    </w:div>
                  </w:divsChild>
                </w:div>
                <w:div w:id="1639215731">
                  <w:marLeft w:val="0"/>
                  <w:marRight w:val="0"/>
                  <w:marTop w:val="0"/>
                  <w:marBottom w:val="0"/>
                  <w:divBdr>
                    <w:top w:val="none" w:sz="0" w:space="0" w:color="auto"/>
                    <w:left w:val="none" w:sz="0" w:space="0" w:color="auto"/>
                    <w:bottom w:val="none" w:sz="0" w:space="0" w:color="auto"/>
                    <w:right w:val="none" w:sz="0" w:space="0" w:color="auto"/>
                  </w:divBdr>
                  <w:divsChild>
                    <w:div w:id="52392340">
                      <w:marLeft w:val="0"/>
                      <w:marRight w:val="0"/>
                      <w:marTop w:val="0"/>
                      <w:marBottom w:val="0"/>
                      <w:divBdr>
                        <w:top w:val="none" w:sz="0" w:space="0" w:color="auto"/>
                        <w:left w:val="none" w:sz="0" w:space="0" w:color="auto"/>
                        <w:bottom w:val="none" w:sz="0" w:space="0" w:color="auto"/>
                        <w:right w:val="none" w:sz="0" w:space="0" w:color="auto"/>
                      </w:divBdr>
                    </w:div>
                  </w:divsChild>
                </w:div>
                <w:div w:id="1664776949">
                  <w:marLeft w:val="0"/>
                  <w:marRight w:val="0"/>
                  <w:marTop w:val="0"/>
                  <w:marBottom w:val="0"/>
                  <w:divBdr>
                    <w:top w:val="none" w:sz="0" w:space="0" w:color="auto"/>
                    <w:left w:val="none" w:sz="0" w:space="0" w:color="auto"/>
                    <w:bottom w:val="none" w:sz="0" w:space="0" w:color="auto"/>
                    <w:right w:val="none" w:sz="0" w:space="0" w:color="auto"/>
                  </w:divBdr>
                  <w:divsChild>
                    <w:div w:id="779838907">
                      <w:marLeft w:val="0"/>
                      <w:marRight w:val="0"/>
                      <w:marTop w:val="0"/>
                      <w:marBottom w:val="0"/>
                      <w:divBdr>
                        <w:top w:val="none" w:sz="0" w:space="0" w:color="auto"/>
                        <w:left w:val="none" w:sz="0" w:space="0" w:color="auto"/>
                        <w:bottom w:val="none" w:sz="0" w:space="0" w:color="auto"/>
                        <w:right w:val="none" w:sz="0" w:space="0" w:color="auto"/>
                      </w:divBdr>
                    </w:div>
                    <w:div w:id="1379475653">
                      <w:marLeft w:val="0"/>
                      <w:marRight w:val="0"/>
                      <w:marTop w:val="0"/>
                      <w:marBottom w:val="0"/>
                      <w:divBdr>
                        <w:top w:val="none" w:sz="0" w:space="0" w:color="auto"/>
                        <w:left w:val="none" w:sz="0" w:space="0" w:color="auto"/>
                        <w:bottom w:val="none" w:sz="0" w:space="0" w:color="auto"/>
                        <w:right w:val="none" w:sz="0" w:space="0" w:color="auto"/>
                      </w:divBdr>
                    </w:div>
                  </w:divsChild>
                </w:div>
                <w:div w:id="1681203059">
                  <w:marLeft w:val="0"/>
                  <w:marRight w:val="0"/>
                  <w:marTop w:val="0"/>
                  <w:marBottom w:val="0"/>
                  <w:divBdr>
                    <w:top w:val="none" w:sz="0" w:space="0" w:color="auto"/>
                    <w:left w:val="none" w:sz="0" w:space="0" w:color="auto"/>
                    <w:bottom w:val="none" w:sz="0" w:space="0" w:color="auto"/>
                    <w:right w:val="none" w:sz="0" w:space="0" w:color="auto"/>
                  </w:divBdr>
                  <w:divsChild>
                    <w:div w:id="811946095">
                      <w:marLeft w:val="0"/>
                      <w:marRight w:val="0"/>
                      <w:marTop w:val="0"/>
                      <w:marBottom w:val="0"/>
                      <w:divBdr>
                        <w:top w:val="none" w:sz="0" w:space="0" w:color="auto"/>
                        <w:left w:val="none" w:sz="0" w:space="0" w:color="auto"/>
                        <w:bottom w:val="none" w:sz="0" w:space="0" w:color="auto"/>
                        <w:right w:val="none" w:sz="0" w:space="0" w:color="auto"/>
                      </w:divBdr>
                    </w:div>
                  </w:divsChild>
                </w:div>
                <w:div w:id="1755589036">
                  <w:marLeft w:val="0"/>
                  <w:marRight w:val="0"/>
                  <w:marTop w:val="0"/>
                  <w:marBottom w:val="0"/>
                  <w:divBdr>
                    <w:top w:val="none" w:sz="0" w:space="0" w:color="auto"/>
                    <w:left w:val="none" w:sz="0" w:space="0" w:color="auto"/>
                    <w:bottom w:val="none" w:sz="0" w:space="0" w:color="auto"/>
                    <w:right w:val="none" w:sz="0" w:space="0" w:color="auto"/>
                  </w:divBdr>
                  <w:divsChild>
                    <w:div w:id="1495027693">
                      <w:marLeft w:val="0"/>
                      <w:marRight w:val="0"/>
                      <w:marTop w:val="0"/>
                      <w:marBottom w:val="0"/>
                      <w:divBdr>
                        <w:top w:val="none" w:sz="0" w:space="0" w:color="auto"/>
                        <w:left w:val="none" w:sz="0" w:space="0" w:color="auto"/>
                        <w:bottom w:val="none" w:sz="0" w:space="0" w:color="auto"/>
                        <w:right w:val="none" w:sz="0" w:space="0" w:color="auto"/>
                      </w:divBdr>
                    </w:div>
                  </w:divsChild>
                </w:div>
                <w:div w:id="1760591822">
                  <w:marLeft w:val="0"/>
                  <w:marRight w:val="0"/>
                  <w:marTop w:val="0"/>
                  <w:marBottom w:val="0"/>
                  <w:divBdr>
                    <w:top w:val="none" w:sz="0" w:space="0" w:color="auto"/>
                    <w:left w:val="none" w:sz="0" w:space="0" w:color="auto"/>
                    <w:bottom w:val="none" w:sz="0" w:space="0" w:color="auto"/>
                    <w:right w:val="none" w:sz="0" w:space="0" w:color="auto"/>
                  </w:divBdr>
                  <w:divsChild>
                    <w:div w:id="903218673">
                      <w:marLeft w:val="0"/>
                      <w:marRight w:val="0"/>
                      <w:marTop w:val="0"/>
                      <w:marBottom w:val="0"/>
                      <w:divBdr>
                        <w:top w:val="none" w:sz="0" w:space="0" w:color="auto"/>
                        <w:left w:val="none" w:sz="0" w:space="0" w:color="auto"/>
                        <w:bottom w:val="none" w:sz="0" w:space="0" w:color="auto"/>
                        <w:right w:val="none" w:sz="0" w:space="0" w:color="auto"/>
                      </w:divBdr>
                    </w:div>
                  </w:divsChild>
                </w:div>
                <w:div w:id="1807703051">
                  <w:marLeft w:val="0"/>
                  <w:marRight w:val="0"/>
                  <w:marTop w:val="0"/>
                  <w:marBottom w:val="0"/>
                  <w:divBdr>
                    <w:top w:val="none" w:sz="0" w:space="0" w:color="auto"/>
                    <w:left w:val="none" w:sz="0" w:space="0" w:color="auto"/>
                    <w:bottom w:val="none" w:sz="0" w:space="0" w:color="auto"/>
                    <w:right w:val="none" w:sz="0" w:space="0" w:color="auto"/>
                  </w:divBdr>
                  <w:divsChild>
                    <w:div w:id="1800108530">
                      <w:marLeft w:val="0"/>
                      <w:marRight w:val="0"/>
                      <w:marTop w:val="0"/>
                      <w:marBottom w:val="0"/>
                      <w:divBdr>
                        <w:top w:val="none" w:sz="0" w:space="0" w:color="auto"/>
                        <w:left w:val="none" w:sz="0" w:space="0" w:color="auto"/>
                        <w:bottom w:val="none" w:sz="0" w:space="0" w:color="auto"/>
                        <w:right w:val="none" w:sz="0" w:space="0" w:color="auto"/>
                      </w:divBdr>
                    </w:div>
                  </w:divsChild>
                </w:div>
                <w:div w:id="1828210068">
                  <w:marLeft w:val="0"/>
                  <w:marRight w:val="0"/>
                  <w:marTop w:val="0"/>
                  <w:marBottom w:val="0"/>
                  <w:divBdr>
                    <w:top w:val="none" w:sz="0" w:space="0" w:color="auto"/>
                    <w:left w:val="none" w:sz="0" w:space="0" w:color="auto"/>
                    <w:bottom w:val="none" w:sz="0" w:space="0" w:color="auto"/>
                    <w:right w:val="none" w:sz="0" w:space="0" w:color="auto"/>
                  </w:divBdr>
                  <w:divsChild>
                    <w:div w:id="1200700336">
                      <w:marLeft w:val="0"/>
                      <w:marRight w:val="0"/>
                      <w:marTop w:val="0"/>
                      <w:marBottom w:val="0"/>
                      <w:divBdr>
                        <w:top w:val="none" w:sz="0" w:space="0" w:color="auto"/>
                        <w:left w:val="none" w:sz="0" w:space="0" w:color="auto"/>
                        <w:bottom w:val="none" w:sz="0" w:space="0" w:color="auto"/>
                        <w:right w:val="none" w:sz="0" w:space="0" w:color="auto"/>
                      </w:divBdr>
                    </w:div>
                  </w:divsChild>
                </w:div>
                <w:div w:id="1832409169">
                  <w:marLeft w:val="0"/>
                  <w:marRight w:val="0"/>
                  <w:marTop w:val="0"/>
                  <w:marBottom w:val="0"/>
                  <w:divBdr>
                    <w:top w:val="none" w:sz="0" w:space="0" w:color="auto"/>
                    <w:left w:val="none" w:sz="0" w:space="0" w:color="auto"/>
                    <w:bottom w:val="none" w:sz="0" w:space="0" w:color="auto"/>
                    <w:right w:val="none" w:sz="0" w:space="0" w:color="auto"/>
                  </w:divBdr>
                  <w:divsChild>
                    <w:div w:id="1013458619">
                      <w:marLeft w:val="0"/>
                      <w:marRight w:val="0"/>
                      <w:marTop w:val="0"/>
                      <w:marBottom w:val="0"/>
                      <w:divBdr>
                        <w:top w:val="none" w:sz="0" w:space="0" w:color="auto"/>
                        <w:left w:val="none" w:sz="0" w:space="0" w:color="auto"/>
                        <w:bottom w:val="none" w:sz="0" w:space="0" w:color="auto"/>
                        <w:right w:val="none" w:sz="0" w:space="0" w:color="auto"/>
                      </w:divBdr>
                    </w:div>
                  </w:divsChild>
                </w:div>
                <w:div w:id="1859805777">
                  <w:marLeft w:val="0"/>
                  <w:marRight w:val="0"/>
                  <w:marTop w:val="0"/>
                  <w:marBottom w:val="0"/>
                  <w:divBdr>
                    <w:top w:val="none" w:sz="0" w:space="0" w:color="auto"/>
                    <w:left w:val="none" w:sz="0" w:space="0" w:color="auto"/>
                    <w:bottom w:val="none" w:sz="0" w:space="0" w:color="auto"/>
                    <w:right w:val="none" w:sz="0" w:space="0" w:color="auto"/>
                  </w:divBdr>
                  <w:divsChild>
                    <w:div w:id="2077582029">
                      <w:marLeft w:val="0"/>
                      <w:marRight w:val="0"/>
                      <w:marTop w:val="0"/>
                      <w:marBottom w:val="0"/>
                      <w:divBdr>
                        <w:top w:val="none" w:sz="0" w:space="0" w:color="auto"/>
                        <w:left w:val="none" w:sz="0" w:space="0" w:color="auto"/>
                        <w:bottom w:val="none" w:sz="0" w:space="0" w:color="auto"/>
                        <w:right w:val="none" w:sz="0" w:space="0" w:color="auto"/>
                      </w:divBdr>
                    </w:div>
                  </w:divsChild>
                </w:div>
                <w:div w:id="1917206078">
                  <w:marLeft w:val="0"/>
                  <w:marRight w:val="0"/>
                  <w:marTop w:val="0"/>
                  <w:marBottom w:val="0"/>
                  <w:divBdr>
                    <w:top w:val="none" w:sz="0" w:space="0" w:color="auto"/>
                    <w:left w:val="none" w:sz="0" w:space="0" w:color="auto"/>
                    <w:bottom w:val="none" w:sz="0" w:space="0" w:color="auto"/>
                    <w:right w:val="none" w:sz="0" w:space="0" w:color="auto"/>
                  </w:divBdr>
                  <w:divsChild>
                    <w:div w:id="1223833854">
                      <w:marLeft w:val="0"/>
                      <w:marRight w:val="0"/>
                      <w:marTop w:val="0"/>
                      <w:marBottom w:val="0"/>
                      <w:divBdr>
                        <w:top w:val="none" w:sz="0" w:space="0" w:color="auto"/>
                        <w:left w:val="none" w:sz="0" w:space="0" w:color="auto"/>
                        <w:bottom w:val="none" w:sz="0" w:space="0" w:color="auto"/>
                        <w:right w:val="none" w:sz="0" w:space="0" w:color="auto"/>
                      </w:divBdr>
                    </w:div>
                  </w:divsChild>
                </w:div>
                <w:div w:id="1990354565">
                  <w:marLeft w:val="0"/>
                  <w:marRight w:val="0"/>
                  <w:marTop w:val="0"/>
                  <w:marBottom w:val="0"/>
                  <w:divBdr>
                    <w:top w:val="none" w:sz="0" w:space="0" w:color="auto"/>
                    <w:left w:val="none" w:sz="0" w:space="0" w:color="auto"/>
                    <w:bottom w:val="none" w:sz="0" w:space="0" w:color="auto"/>
                    <w:right w:val="none" w:sz="0" w:space="0" w:color="auto"/>
                  </w:divBdr>
                  <w:divsChild>
                    <w:div w:id="11884797">
                      <w:marLeft w:val="0"/>
                      <w:marRight w:val="0"/>
                      <w:marTop w:val="0"/>
                      <w:marBottom w:val="0"/>
                      <w:divBdr>
                        <w:top w:val="none" w:sz="0" w:space="0" w:color="auto"/>
                        <w:left w:val="none" w:sz="0" w:space="0" w:color="auto"/>
                        <w:bottom w:val="none" w:sz="0" w:space="0" w:color="auto"/>
                        <w:right w:val="none" w:sz="0" w:space="0" w:color="auto"/>
                      </w:divBdr>
                    </w:div>
                  </w:divsChild>
                </w:div>
                <w:div w:id="2063937832">
                  <w:marLeft w:val="0"/>
                  <w:marRight w:val="0"/>
                  <w:marTop w:val="0"/>
                  <w:marBottom w:val="0"/>
                  <w:divBdr>
                    <w:top w:val="none" w:sz="0" w:space="0" w:color="auto"/>
                    <w:left w:val="none" w:sz="0" w:space="0" w:color="auto"/>
                    <w:bottom w:val="none" w:sz="0" w:space="0" w:color="auto"/>
                    <w:right w:val="none" w:sz="0" w:space="0" w:color="auto"/>
                  </w:divBdr>
                  <w:divsChild>
                    <w:div w:id="464397825">
                      <w:marLeft w:val="0"/>
                      <w:marRight w:val="0"/>
                      <w:marTop w:val="0"/>
                      <w:marBottom w:val="0"/>
                      <w:divBdr>
                        <w:top w:val="none" w:sz="0" w:space="0" w:color="auto"/>
                        <w:left w:val="none" w:sz="0" w:space="0" w:color="auto"/>
                        <w:bottom w:val="none" w:sz="0" w:space="0" w:color="auto"/>
                        <w:right w:val="none" w:sz="0" w:space="0" w:color="auto"/>
                      </w:divBdr>
                    </w:div>
                  </w:divsChild>
                </w:div>
                <w:div w:id="2088765191">
                  <w:marLeft w:val="0"/>
                  <w:marRight w:val="0"/>
                  <w:marTop w:val="0"/>
                  <w:marBottom w:val="0"/>
                  <w:divBdr>
                    <w:top w:val="none" w:sz="0" w:space="0" w:color="auto"/>
                    <w:left w:val="none" w:sz="0" w:space="0" w:color="auto"/>
                    <w:bottom w:val="none" w:sz="0" w:space="0" w:color="auto"/>
                    <w:right w:val="none" w:sz="0" w:space="0" w:color="auto"/>
                  </w:divBdr>
                  <w:divsChild>
                    <w:div w:id="598679918">
                      <w:marLeft w:val="0"/>
                      <w:marRight w:val="0"/>
                      <w:marTop w:val="0"/>
                      <w:marBottom w:val="0"/>
                      <w:divBdr>
                        <w:top w:val="none" w:sz="0" w:space="0" w:color="auto"/>
                        <w:left w:val="none" w:sz="0" w:space="0" w:color="auto"/>
                        <w:bottom w:val="none" w:sz="0" w:space="0" w:color="auto"/>
                        <w:right w:val="none" w:sz="0" w:space="0" w:color="auto"/>
                      </w:divBdr>
                    </w:div>
                  </w:divsChild>
                </w:div>
                <w:div w:id="2089570455">
                  <w:marLeft w:val="0"/>
                  <w:marRight w:val="0"/>
                  <w:marTop w:val="0"/>
                  <w:marBottom w:val="0"/>
                  <w:divBdr>
                    <w:top w:val="none" w:sz="0" w:space="0" w:color="auto"/>
                    <w:left w:val="none" w:sz="0" w:space="0" w:color="auto"/>
                    <w:bottom w:val="none" w:sz="0" w:space="0" w:color="auto"/>
                    <w:right w:val="none" w:sz="0" w:space="0" w:color="auto"/>
                  </w:divBdr>
                  <w:divsChild>
                    <w:div w:id="1282343432">
                      <w:marLeft w:val="0"/>
                      <w:marRight w:val="0"/>
                      <w:marTop w:val="0"/>
                      <w:marBottom w:val="0"/>
                      <w:divBdr>
                        <w:top w:val="none" w:sz="0" w:space="0" w:color="auto"/>
                        <w:left w:val="none" w:sz="0" w:space="0" w:color="auto"/>
                        <w:bottom w:val="none" w:sz="0" w:space="0" w:color="auto"/>
                        <w:right w:val="none" w:sz="0" w:space="0" w:color="auto"/>
                      </w:divBdr>
                    </w:div>
                  </w:divsChild>
                </w:div>
                <w:div w:id="2090735489">
                  <w:marLeft w:val="0"/>
                  <w:marRight w:val="0"/>
                  <w:marTop w:val="0"/>
                  <w:marBottom w:val="0"/>
                  <w:divBdr>
                    <w:top w:val="none" w:sz="0" w:space="0" w:color="auto"/>
                    <w:left w:val="none" w:sz="0" w:space="0" w:color="auto"/>
                    <w:bottom w:val="none" w:sz="0" w:space="0" w:color="auto"/>
                    <w:right w:val="none" w:sz="0" w:space="0" w:color="auto"/>
                  </w:divBdr>
                  <w:divsChild>
                    <w:div w:id="1954894590">
                      <w:marLeft w:val="0"/>
                      <w:marRight w:val="0"/>
                      <w:marTop w:val="0"/>
                      <w:marBottom w:val="0"/>
                      <w:divBdr>
                        <w:top w:val="none" w:sz="0" w:space="0" w:color="auto"/>
                        <w:left w:val="none" w:sz="0" w:space="0" w:color="auto"/>
                        <w:bottom w:val="none" w:sz="0" w:space="0" w:color="auto"/>
                        <w:right w:val="none" w:sz="0" w:space="0" w:color="auto"/>
                      </w:divBdr>
                    </w:div>
                  </w:divsChild>
                </w:div>
                <w:div w:id="2093306725">
                  <w:marLeft w:val="0"/>
                  <w:marRight w:val="0"/>
                  <w:marTop w:val="0"/>
                  <w:marBottom w:val="0"/>
                  <w:divBdr>
                    <w:top w:val="none" w:sz="0" w:space="0" w:color="auto"/>
                    <w:left w:val="none" w:sz="0" w:space="0" w:color="auto"/>
                    <w:bottom w:val="none" w:sz="0" w:space="0" w:color="auto"/>
                    <w:right w:val="none" w:sz="0" w:space="0" w:color="auto"/>
                  </w:divBdr>
                  <w:divsChild>
                    <w:div w:id="41301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6136">
          <w:marLeft w:val="0"/>
          <w:marRight w:val="0"/>
          <w:marTop w:val="0"/>
          <w:marBottom w:val="0"/>
          <w:divBdr>
            <w:top w:val="none" w:sz="0" w:space="0" w:color="auto"/>
            <w:left w:val="none" w:sz="0" w:space="0" w:color="auto"/>
            <w:bottom w:val="none" w:sz="0" w:space="0" w:color="auto"/>
            <w:right w:val="none" w:sz="0" w:space="0" w:color="auto"/>
          </w:divBdr>
        </w:div>
      </w:divsChild>
    </w:div>
    <w:div w:id="1458404544">
      <w:bodyDiv w:val="1"/>
      <w:marLeft w:val="0"/>
      <w:marRight w:val="0"/>
      <w:marTop w:val="0"/>
      <w:marBottom w:val="0"/>
      <w:divBdr>
        <w:top w:val="none" w:sz="0" w:space="0" w:color="auto"/>
        <w:left w:val="none" w:sz="0" w:space="0" w:color="auto"/>
        <w:bottom w:val="none" w:sz="0" w:space="0" w:color="auto"/>
        <w:right w:val="none" w:sz="0" w:space="0" w:color="auto"/>
      </w:divBdr>
      <w:divsChild>
        <w:div w:id="824779747">
          <w:marLeft w:val="0"/>
          <w:marRight w:val="0"/>
          <w:marTop w:val="0"/>
          <w:marBottom w:val="0"/>
          <w:divBdr>
            <w:top w:val="none" w:sz="0" w:space="0" w:color="auto"/>
            <w:left w:val="none" w:sz="0" w:space="0" w:color="auto"/>
            <w:bottom w:val="none" w:sz="0" w:space="0" w:color="auto"/>
            <w:right w:val="none" w:sz="0" w:space="0" w:color="auto"/>
          </w:divBdr>
          <w:divsChild>
            <w:div w:id="59331614">
              <w:marLeft w:val="0"/>
              <w:marRight w:val="0"/>
              <w:marTop w:val="0"/>
              <w:marBottom w:val="0"/>
              <w:divBdr>
                <w:top w:val="none" w:sz="0" w:space="0" w:color="auto"/>
                <w:left w:val="none" w:sz="0" w:space="0" w:color="auto"/>
                <w:bottom w:val="none" w:sz="0" w:space="0" w:color="auto"/>
                <w:right w:val="none" w:sz="0" w:space="0" w:color="auto"/>
              </w:divBdr>
            </w:div>
            <w:div w:id="442118783">
              <w:marLeft w:val="0"/>
              <w:marRight w:val="0"/>
              <w:marTop w:val="0"/>
              <w:marBottom w:val="0"/>
              <w:divBdr>
                <w:top w:val="none" w:sz="0" w:space="0" w:color="auto"/>
                <w:left w:val="none" w:sz="0" w:space="0" w:color="auto"/>
                <w:bottom w:val="none" w:sz="0" w:space="0" w:color="auto"/>
                <w:right w:val="none" w:sz="0" w:space="0" w:color="auto"/>
              </w:divBdr>
            </w:div>
            <w:div w:id="1112020994">
              <w:marLeft w:val="0"/>
              <w:marRight w:val="0"/>
              <w:marTop w:val="0"/>
              <w:marBottom w:val="0"/>
              <w:divBdr>
                <w:top w:val="none" w:sz="0" w:space="0" w:color="auto"/>
                <w:left w:val="none" w:sz="0" w:space="0" w:color="auto"/>
                <w:bottom w:val="none" w:sz="0" w:space="0" w:color="auto"/>
                <w:right w:val="none" w:sz="0" w:space="0" w:color="auto"/>
              </w:divBdr>
            </w:div>
            <w:div w:id="1599678997">
              <w:marLeft w:val="0"/>
              <w:marRight w:val="0"/>
              <w:marTop w:val="0"/>
              <w:marBottom w:val="0"/>
              <w:divBdr>
                <w:top w:val="none" w:sz="0" w:space="0" w:color="auto"/>
                <w:left w:val="none" w:sz="0" w:space="0" w:color="auto"/>
                <w:bottom w:val="none" w:sz="0" w:space="0" w:color="auto"/>
                <w:right w:val="none" w:sz="0" w:space="0" w:color="auto"/>
              </w:divBdr>
            </w:div>
            <w:div w:id="2019774431">
              <w:marLeft w:val="0"/>
              <w:marRight w:val="0"/>
              <w:marTop w:val="0"/>
              <w:marBottom w:val="0"/>
              <w:divBdr>
                <w:top w:val="none" w:sz="0" w:space="0" w:color="auto"/>
                <w:left w:val="none" w:sz="0" w:space="0" w:color="auto"/>
                <w:bottom w:val="none" w:sz="0" w:space="0" w:color="auto"/>
                <w:right w:val="none" w:sz="0" w:space="0" w:color="auto"/>
              </w:divBdr>
            </w:div>
          </w:divsChild>
        </w:div>
        <w:div w:id="1195072092">
          <w:marLeft w:val="0"/>
          <w:marRight w:val="0"/>
          <w:marTop w:val="0"/>
          <w:marBottom w:val="0"/>
          <w:divBdr>
            <w:top w:val="none" w:sz="0" w:space="0" w:color="auto"/>
            <w:left w:val="none" w:sz="0" w:space="0" w:color="auto"/>
            <w:bottom w:val="none" w:sz="0" w:space="0" w:color="auto"/>
            <w:right w:val="none" w:sz="0" w:space="0" w:color="auto"/>
          </w:divBdr>
          <w:divsChild>
            <w:div w:id="13894592">
              <w:marLeft w:val="0"/>
              <w:marRight w:val="0"/>
              <w:marTop w:val="0"/>
              <w:marBottom w:val="0"/>
              <w:divBdr>
                <w:top w:val="none" w:sz="0" w:space="0" w:color="auto"/>
                <w:left w:val="none" w:sz="0" w:space="0" w:color="auto"/>
                <w:bottom w:val="none" w:sz="0" w:space="0" w:color="auto"/>
                <w:right w:val="none" w:sz="0" w:space="0" w:color="auto"/>
              </w:divBdr>
            </w:div>
            <w:div w:id="59138789">
              <w:marLeft w:val="0"/>
              <w:marRight w:val="0"/>
              <w:marTop w:val="0"/>
              <w:marBottom w:val="0"/>
              <w:divBdr>
                <w:top w:val="none" w:sz="0" w:space="0" w:color="auto"/>
                <w:left w:val="none" w:sz="0" w:space="0" w:color="auto"/>
                <w:bottom w:val="none" w:sz="0" w:space="0" w:color="auto"/>
                <w:right w:val="none" w:sz="0" w:space="0" w:color="auto"/>
              </w:divBdr>
            </w:div>
            <w:div w:id="146165600">
              <w:marLeft w:val="0"/>
              <w:marRight w:val="0"/>
              <w:marTop w:val="0"/>
              <w:marBottom w:val="0"/>
              <w:divBdr>
                <w:top w:val="none" w:sz="0" w:space="0" w:color="auto"/>
                <w:left w:val="none" w:sz="0" w:space="0" w:color="auto"/>
                <w:bottom w:val="none" w:sz="0" w:space="0" w:color="auto"/>
                <w:right w:val="none" w:sz="0" w:space="0" w:color="auto"/>
              </w:divBdr>
            </w:div>
            <w:div w:id="199829231">
              <w:marLeft w:val="0"/>
              <w:marRight w:val="0"/>
              <w:marTop w:val="0"/>
              <w:marBottom w:val="0"/>
              <w:divBdr>
                <w:top w:val="none" w:sz="0" w:space="0" w:color="auto"/>
                <w:left w:val="none" w:sz="0" w:space="0" w:color="auto"/>
                <w:bottom w:val="none" w:sz="0" w:space="0" w:color="auto"/>
                <w:right w:val="none" w:sz="0" w:space="0" w:color="auto"/>
              </w:divBdr>
            </w:div>
            <w:div w:id="818378353">
              <w:marLeft w:val="0"/>
              <w:marRight w:val="0"/>
              <w:marTop w:val="0"/>
              <w:marBottom w:val="0"/>
              <w:divBdr>
                <w:top w:val="none" w:sz="0" w:space="0" w:color="auto"/>
                <w:left w:val="none" w:sz="0" w:space="0" w:color="auto"/>
                <w:bottom w:val="none" w:sz="0" w:space="0" w:color="auto"/>
                <w:right w:val="none" w:sz="0" w:space="0" w:color="auto"/>
              </w:divBdr>
            </w:div>
            <w:div w:id="1599288433">
              <w:marLeft w:val="0"/>
              <w:marRight w:val="0"/>
              <w:marTop w:val="0"/>
              <w:marBottom w:val="0"/>
              <w:divBdr>
                <w:top w:val="none" w:sz="0" w:space="0" w:color="auto"/>
                <w:left w:val="none" w:sz="0" w:space="0" w:color="auto"/>
                <w:bottom w:val="none" w:sz="0" w:space="0" w:color="auto"/>
                <w:right w:val="none" w:sz="0" w:space="0" w:color="auto"/>
              </w:divBdr>
            </w:div>
            <w:div w:id="2044481469">
              <w:marLeft w:val="0"/>
              <w:marRight w:val="0"/>
              <w:marTop w:val="0"/>
              <w:marBottom w:val="0"/>
              <w:divBdr>
                <w:top w:val="none" w:sz="0" w:space="0" w:color="auto"/>
                <w:left w:val="none" w:sz="0" w:space="0" w:color="auto"/>
                <w:bottom w:val="none" w:sz="0" w:space="0" w:color="auto"/>
                <w:right w:val="none" w:sz="0" w:space="0" w:color="auto"/>
              </w:divBdr>
            </w:div>
          </w:divsChild>
        </w:div>
        <w:div w:id="1390373913">
          <w:marLeft w:val="0"/>
          <w:marRight w:val="0"/>
          <w:marTop w:val="0"/>
          <w:marBottom w:val="0"/>
          <w:divBdr>
            <w:top w:val="none" w:sz="0" w:space="0" w:color="auto"/>
            <w:left w:val="none" w:sz="0" w:space="0" w:color="auto"/>
            <w:bottom w:val="none" w:sz="0" w:space="0" w:color="auto"/>
            <w:right w:val="none" w:sz="0" w:space="0" w:color="auto"/>
          </w:divBdr>
          <w:divsChild>
            <w:div w:id="121971880">
              <w:marLeft w:val="0"/>
              <w:marRight w:val="0"/>
              <w:marTop w:val="0"/>
              <w:marBottom w:val="0"/>
              <w:divBdr>
                <w:top w:val="none" w:sz="0" w:space="0" w:color="auto"/>
                <w:left w:val="none" w:sz="0" w:space="0" w:color="auto"/>
                <w:bottom w:val="none" w:sz="0" w:space="0" w:color="auto"/>
                <w:right w:val="none" w:sz="0" w:space="0" w:color="auto"/>
              </w:divBdr>
            </w:div>
            <w:div w:id="579367990">
              <w:marLeft w:val="0"/>
              <w:marRight w:val="0"/>
              <w:marTop w:val="0"/>
              <w:marBottom w:val="0"/>
              <w:divBdr>
                <w:top w:val="none" w:sz="0" w:space="0" w:color="auto"/>
                <w:left w:val="none" w:sz="0" w:space="0" w:color="auto"/>
                <w:bottom w:val="none" w:sz="0" w:space="0" w:color="auto"/>
                <w:right w:val="none" w:sz="0" w:space="0" w:color="auto"/>
              </w:divBdr>
            </w:div>
            <w:div w:id="588193399">
              <w:marLeft w:val="0"/>
              <w:marRight w:val="0"/>
              <w:marTop w:val="0"/>
              <w:marBottom w:val="0"/>
              <w:divBdr>
                <w:top w:val="none" w:sz="0" w:space="0" w:color="auto"/>
                <w:left w:val="none" w:sz="0" w:space="0" w:color="auto"/>
                <w:bottom w:val="none" w:sz="0" w:space="0" w:color="auto"/>
                <w:right w:val="none" w:sz="0" w:space="0" w:color="auto"/>
              </w:divBdr>
            </w:div>
            <w:div w:id="618805327">
              <w:marLeft w:val="0"/>
              <w:marRight w:val="0"/>
              <w:marTop w:val="0"/>
              <w:marBottom w:val="0"/>
              <w:divBdr>
                <w:top w:val="none" w:sz="0" w:space="0" w:color="auto"/>
                <w:left w:val="none" w:sz="0" w:space="0" w:color="auto"/>
                <w:bottom w:val="none" w:sz="0" w:space="0" w:color="auto"/>
                <w:right w:val="none" w:sz="0" w:space="0" w:color="auto"/>
              </w:divBdr>
            </w:div>
            <w:div w:id="680162516">
              <w:marLeft w:val="0"/>
              <w:marRight w:val="0"/>
              <w:marTop w:val="0"/>
              <w:marBottom w:val="0"/>
              <w:divBdr>
                <w:top w:val="none" w:sz="0" w:space="0" w:color="auto"/>
                <w:left w:val="none" w:sz="0" w:space="0" w:color="auto"/>
                <w:bottom w:val="none" w:sz="0" w:space="0" w:color="auto"/>
                <w:right w:val="none" w:sz="0" w:space="0" w:color="auto"/>
              </w:divBdr>
            </w:div>
            <w:div w:id="758914215">
              <w:marLeft w:val="0"/>
              <w:marRight w:val="0"/>
              <w:marTop w:val="0"/>
              <w:marBottom w:val="0"/>
              <w:divBdr>
                <w:top w:val="none" w:sz="0" w:space="0" w:color="auto"/>
                <w:left w:val="none" w:sz="0" w:space="0" w:color="auto"/>
                <w:bottom w:val="none" w:sz="0" w:space="0" w:color="auto"/>
                <w:right w:val="none" w:sz="0" w:space="0" w:color="auto"/>
              </w:divBdr>
            </w:div>
            <w:div w:id="763964244">
              <w:marLeft w:val="0"/>
              <w:marRight w:val="0"/>
              <w:marTop w:val="0"/>
              <w:marBottom w:val="0"/>
              <w:divBdr>
                <w:top w:val="none" w:sz="0" w:space="0" w:color="auto"/>
                <w:left w:val="none" w:sz="0" w:space="0" w:color="auto"/>
                <w:bottom w:val="none" w:sz="0" w:space="0" w:color="auto"/>
                <w:right w:val="none" w:sz="0" w:space="0" w:color="auto"/>
              </w:divBdr>
            </w:div>
            <w:div w:id="828137651">
              <w:marLeft w:val="0"/>
              <w:marRight w:val="0"/>
              <w:marTop w:val="0"/>
              <w:marBottom w:val="0"/>
              <w:divBdr>
                <w:top w:val="none" w:sz="0" w:space="0" w:color="auto"/>
                <w:left w:val="none" w:sz="0" w:space="0" w:color="auto"/>
                <w:bottom w:val="none" w:sz="0" w:space="0" w:color="auto"/>
                <w:right w:val="none" w:sz="0" w:space="0" w:color="auto"/>
              </w:divBdr>
            </w:div>
            <w:div w:id="921139779">
              <w:marLeft w:val="0"/>
              <w:marRight w:val="0"/>
              <w:marTop w:val="0"/>
              <w:marBottom w:val="0"/>
              <w:divBdr>
                <w:top w:val="none" w:sz="0" w:space="0" w:color="auto"/>
                <w:left w:val="none" w:sz="0" w:space="0" w:color="auto"/>
                <w:bottom w:val="none" w:sz="0" w:space="0" w:color="auto"/>
                <w:right w:val="none" w:sz="0" w:space="0" w:color="auto"/>
              </w:divBdr>
            </w:div>
            <w:div w:id="1024213523">
              <w:marLeft w:val="0"/>
              <w:marRight w:val="0"/>
              <w:marTop w:val="0"/>
              <w:marBottom w:val="0"/>
              <w:divBdr>
                <w:top w:val="none" w:sz="0" w:space="0" w:color="auto"/>
                <w:left w:val="none" w:sz="0" w:space="0" w:color="auto"/>
                <w:bottom w:val="none" w:sz="0" w:space="0" w:color="auto"/>
                <w:right w:val="none" w:sz="0" w:space="0" w:color="auto"/>
              </w:divBdr>
            </w:div>
            <w:div w:id="1197427579">
              <w:marLeft w:val="0"/>
              <w:marRight w:val="0"/>
              <w:marTop w:val="0"/>
              <w:marBottom w:val="0"/>
              <w:divBdr>
                <w:top w:val="none" w:sz="0" w:space="0" w:color="auto"/>
                <w:left w:val="none" w:sz="0" w:space="0" w:color="auto"/>
                <w:bottom w:val="none" w:sz="0" w:space="0" w:color="auto"/>
                <w:right w:val="none" w:sz="0" w:space="0" w:color="auto"/>
              </w:divBdr>
            </w:div>
            <w:div w:id="1223980008">
              <w:marLeft w:val="0"/>
              <w:marRight w:val="0"/>
              <w:marTop w:val="0"/>
              <w:marBottom w:val="0"/>
              <w:divBdr>
                <w:top w:val="none" w:sz="0" w:space="0" w:color="auto"/>
                <w:left w:val="none" w:sz="0" w:space="0" w:color="auto"/>
                <w:bottom w:val="none" w:sz="0" w:space="0" w:color="auto"/>
                <w:right w:val="none" w:sz="0" w:space="0" w:color="auto"/>
              </w:divBdr>
            </w:div>
            <w:div w:id="1392729916">
              <w:marLeft w:val="0"/>
              <w:marRight w:val="0"/>
              <w:marTop w:val="0"/>
              <w:marBottom w:val="0"/>
              <w:divBdr>
                <w:top w:val="none" w:sz="0" w:space="0" w:color="auto"/>
                <w:left w:val="none" w:sz="0" w:space="0" w:color="auto"/>
                <w:bottom w:val="none" w:sz="0" w:space="0" w:color="auto"/>
                <w:right w:val="none" w:sz="0" w:space="0" w:color="auto"/>
              </w:divBdr>
            </w:div>
            <w:div w:id="1408771044">
              <w:marLeft w:val="0"/>
              <w:marRight w:val="0"/>
              <w:marTop w:val="0"/>
              <w:marBottom w:val="0"/>
              <w:divBdr>
                <w:top w:val="none" w:sz="0" w:space="0" w:color="auto"/>
                <w:left w:val="none" w:sz="0" w:space="0" w:color="auto"/>
                <w:bottom w:val="none" w:sz="0" w:space="0" w:color="auto"/>
                <w:right w:val="none" w:sz="0" w:space="0" w:color="auto"/>
              </w:divBdr>
            </w:div>
            <w:div w:id="1458185809">
              <w:marLeft w:val="0"/>
              <w:marRight w:val="0"/>
              <w:marTop w:val="0"/>
              <w:marBottom w:val="0"/>
              <w:divBdr>
                <w:top w:val="none" w:sz="0" w:space="0" w:color="auto"/>
                <w:left w:val="none" w:sz="0" w:space="0" w:color="auto"/>
                <w:bottom w:val="none" w:sz="0" w:space="0" w:color="auto"/>
                <w:right w:val="none" w:sz="0" w:space="0" w:color="auto"/>
              </w:divBdr>
            </w:div>
            <w:div w:id="1746801450">
              <w:marLeft w:val="0"/>
              <w:marRight w:val="0"/>
              <w:marTop w:val="0"/>
              <w:marBottom w:val="0"/>
              <w:divBdr>
                <w:top w:val="none" w:sz="0" w:space="0" w:color="auto"/>
                <w:left w:val="none" w:sz="0" w:space="0" w:color="auto"/>
                <w:bottom w:val="none" w:sz="0" w:space="0" w:color="auto"/>
                <w:right w:val="none" w:sz="0" w:space="0" w:color="auto"/>
              </w:divBdr>
            </w:div>
            <w:div w:id="1753040589">
              <w:marLeft w:val="0"/>
              <w:marRight w:val="0"/>
              <w:marTop w:val="0"/>
              <w:marBottom w:val="0"/>
              <w:divBdr>
                <w:top w:val="none" w:sz="0" w:space="0" w:color="auto"/>
                <w:left w:val="none" w:sz="0" w:space="0" w:color="auto"/>
                <w:bottom w:val="none" w:sz="0" w:space="0" w:color="auto"/>
                <w:right w:val="none" w:sz="0" w:space="0" w:color="auto"/>
              </w:divBdr>
            </w:div>
            <w:div w:id="1822115474">
              <w:marLeft w:val="0"/>
              <w:marRight w:val="0"/>
              <w:marTop w:val="0"/>
              <w:marBottom w:val="0"/>
              <w:divBdr>
                <w:top w:val="none" w:sz="0" w:space="0" w:color="auto"/>
                <w:left w:val="none" w:sz="0" w:space="0" w:color="auto"/>
                <w:bottom w:val="none" w:sz="0" w:space="0" w:color="auto"/>
                <w:right w:val="none" w:sz="0" w:space="0" w:color="auto"/>
              </w:divBdr>
            </w:div>
            <w:div w:id="1851870601">
              <w:marLeft w:val="0"/>
              <w:marRight w:val="0"/>
              <w:marTop w:val="0"/>
              <w:marBottom w:val="0"/>
              <w:divBdr>
                <w:top w:val="none" w:sz="0" w:space="0" w:color="auto"/>
                <w:left w:val="none" w:sz="0" w:space="0" w:color="auto"/>
                <w:bottom w:val="none" w:sz="0" w:space="0" w:color="auto"/>
                <w:right w:val="none" w:sz="0" w:space="0" w:color="auto"/>
              </w:divBdr>
            </w:div>
            <w:div w:id="1898935216">
              <w:marLeft w:val="0"/>
              <w:marRight w:val="0"/>
              <w:marTop w:val="0"/>
              <w:marBottom w:val="0"/>
              <w:divBdr>
                <w:top w:val="none" w:sz="0" w:space="0" w:color="auto"/>
                <w:left w:val="none" w:sz="0" w:space="0" w:color="auto"/>
                <w:bottom w:val="none" w:sz="0" w:space="0" w:color="auto"/>
                <w:right w:val="none" w:sz="0" w:space="0" w:color="auto"/>
              </w:divBdr>
            </w:div>
          </w:divsChild>
        </w:div>
        <w:div w:id="1772126001">
          <w:marLeft w:val="0"/>
          <w:marRight w:val="0"/>
          <w:marTop w:val="0"/>
          <w:marBottom w:val="0"/>
          <w:divBdr>
            <w:top w:val="none" w:sz="0" w:space="0" w:color="auto"/>
            <w:left w:val="none" w:sz="0" w:space="0" w:color="auto"/>
            <w:bottom w:val="none" w:sz="0" w:space="0" w:color="auto"/>
            <w:right w:val="none" w:sz="0" w:space="0" w:color="auto"/>
          </w:divBdr>
          <w:divsChild>
            <w:div w:id="52043083">
              <w:marLeft w:val="0"/>
              <w:marRight w:val="0"/>
              <w:marTop w:val="0"/>
              <w:marBottom w:val="0"/>
              <w:divBdr>
                <w:top w:val="none" w:sz="0" w:space="0" w:color="auto"/>
                <w:left w:val="none" w:sz="0" w:space="0" w:color="auto"/>
                <w:bottom w:val="none" w:sz="0" w:space="0" w:color="auto"/>
                <w:right w:val="none" w:sz="0" w:space="0" w:color="auto"/>
              </w:divBdr>
            </w:div>
            <w:div w:id="81920522">
              <w:marLeft w:val="0"/>
              <w:marRight w:val="0"/>
              <w:marTop w:val="0"/>
              <w:marBottom w:val="0"/>
              <w:divBdr>
                <w:top w:val="none" w:sz="0" w:space="0" w:color="auto"/>
                <w:left w:val="none" w:sz="0" w:space="0" w:color="auto"/>
                <w:bottom w:val="none" w:sz="0" w:space="0" w:color="auto"/>
                <w:right w:val="none" w:sz="0" w:space="0" w:color="auto"/>
              </w:divBdr>
            </w:div>
            <w:div w:id="90783629">
              <w:marLeft w:val="0"/>
              <w:marRight w:val="0"/>
              <w:marTop w:val="0"/>
              <w:marBottom w:val="0"/>
              <w:divBdr>
                <w:top w:val="none" w:sz="0" w:space="0" w:color="auto"/>
                <w:left w:val="none" w:sz="0" w:space="0" w:color="auto"/>
                <w:bottom w:val="none" w:sz="0" w:space="0" w:color="auto"/>
                <w:right w:val="none" w:sz="0" w:space="0" w:color="auto"/>
              </w:divBdr>
            </w:div>
            <w:div w:id="114832870">
              <w:marLeft w:val="0"/>
              <w:marRight w:val="0"/>
              <w:marTop w:val="0"/>
              <w:marBottom w:val="0"/>
              <w:divBdr>
                <w:top w:val="none" w:sz="0" w:space="0" w:color="auto"/>
                <w:left w:val="none" w:sz="0" w:space="0" w:color="auto"/>
                <w:bottom w:val="none" w:sz="0" w:space="0" w:color="auto"/>
                <w:right w:val="none" w:sz="0" w:space="0" w:color="auto"/>
              </w:divBdr>
            </w:div>
            <w:div w:id="603391456">
              <w:marLeft w:val="0"/>
              <w:marRight w:val="0"/>
              <w:marTop w:val="0"/>
              <w:marBottom w:val="0"/>
              <w:divBdr>
                <w:top w:val="none" w:sz="0" w:space="0" w:color="auto"/>
                <w:left w:val="none" w:sz="0" w:space="0" w:color="auto"/>
                <w:bottom w:val="none" w:sz="0" w:space="0" w:color="auto"/>
                <w:right w:val="none" w:sz="0" w:space="0" w:color="auto"/>
              </w:divBdr>
            </w:div>
            <w:div w:id="679704302">
              <w:marLeft w:val="0"/>
              <w:marRight w:val="0"/>
              <w:marTop w:val="0"/>
              <w:marBottom w:val="0"/>
              <w:divBdr>
                <w:top w:val="none" w:sz="0" w:space="0" w:color="auto"/>
                <w:left w:val="none" w:sz="0" w:space="0" w:color="auto"/>
                <w:bottom w:val="none" w:sz="0" w:space="0" w:color="auto"/>
                <w:right w:val="none" w:sz="0" w:space="0" w:color="auto"/>
              </w:divBdr>
            </w:div>
            <w:div w:id="680399279">
              <w:marLeft w:val="0"/>
              <w:marRight w:val="0"/>
              <w:marTop w:val="0"/>
              <w:marBottom w:val="0"/>
              <w:divBdr>
                <w:top w:val="none" w:sz="0" w:space="0" w:color="auto"/>
                <w:left w:val="none" w:sz="0" w:space="0" w:color="auto"/>
                <w:bottom w:val="none" w:sz="0" w:space="0" w:color="auto"/>
                <w:right w:val="none" w:sz="0" w:space="0" w:color="auto"/>
              </w:divBdr>
            </w:div>
            <w:div w:id="735127033">
              <w:marLeft w:val="0"/>
              <w:marRight w:val="0"/>
              <w:marTop w:val="0"/>
              <w:marBottom w:val="0"/>
              <w:divBdr>
                <w:top w:val="none" w:sz="0" w:space="0" w:color="auto"/>
                <w:left w:val="none" w:sz="0" w:space="0" w:color="auto"/>
                <w:bottom w:val="none" w:sz="0" w:space="0" w:color="auto"/>
                <w:right w:val="none" w:sz="0" w:space="0" w:color="auto"/>
              </w:divBdr>
            </w:div>
            <w:div w:id="742407384">
              <w:marLeft w:val="0"/>
              <w:marRight w:val="0"/>
              <w:marTop w:val="0"/>
              <w:marBottom w:val="0"/>
              <w:divBdr>
                <w:top w:val="none" w:sz="0" w:space="0" w:color="auto"/>
                <w:left w:val="none" w:sz="0" w:space="0" w:color="auto"/>
                <w:bottom w:val="none" w:sz="0" w:space="0" w:color="auto"/>
                <w:right w:val="none" w:sz="0" w:space="0" w:color="auto"/>
              </w:divBdr>
            </w:div>
            <w:div w:id="1063485212">
              <w:marLeft w:val="0"/>
              <w:marRight w:val="0"/>
              <w:marTop w:val="0"/>
              <w:marBottom w:val="0"/>
              <w:divBdr>
                <w:top w:val="none" w:sz="0" w:space="0" w:color="auto"/>
                <w:left w:val="none" w:sz="0" w:space="0" w:color="auto"/>
                <w:bottom w:val="none" w:sz="0" w:space="0" w:color="auto"/>
                <w:right w:val="none" w:sz="0" w:space="0" w:color="auto"/>
              </w:divBdr>
            </w:div>
            <w:div w:id="1096292920">
              <w:marLeft w:val="0"/>
              <w:marRight w:val="0"/>
              <w:marTop w:val="0"/>
              <w:marBottom w:val="0"/>
              <w:divBdr>
                <w:top w:val="none" w:sz="0" w:space="0" w:color="auto"/>
                <w:left w:val="none" w:sz="0" w:space="0" w:color="auto"/>
                <w:bottom w:val="none" w:sz="0" w:space="0" w:color="auto"/>
                <w:right w:val="none" w:sz="0" w:space="0" w:color="auto"/>
              </w:divBdr>
            </w:div>
            <w:div w:id="1377508686">
              <w:marLeft w:val="0"/>
              <w:marRight w:val="0"/>
              <w:marTop w:val="0"/>
              <w:marBottom w:val="0"/>
              <w:divBdr>
                <w:top w:val="none" w:sz="0" w:space="0" w:color="auto"/>
                <w:left w:val="none" w:sz="0" w:space="0" w:color="auto"/>
                <w:bottom w:val="none" w:sz="0" w:space="0" w:color="auto"/>
                <w:right w:val="none" w:sz="0" w:space="0" w:color="auto"/>
              </w:divBdr>
            </w:div>
            <w:div w:id="1401908804">
              <w:marLeft w:val="0"/>
              <w:marRight w:val="0"/>
              <w:marTop w:val="0"/>
              <w:marBottom w:val="0"/>
              <w:divBdr>
                <w:top w:val="none" w:sz="0" w:space="0" w:color="auto"/>
                <w:left w:val="none" w:sz="0" w:space="0" w:color="auto"/>
                <w:bottom w:val="none" w:sz="0" w:space="0" w:color="auto"/>
                <w:right w:val="none" w:sz="0" w:space="0" w:color="auto"/>
              </w:divBdr>
            </w:div>
            <w:div w:id="1479347459">
              <w:marLeft w:val="0"/>
              <w:marRight w:val="0"/>
              <w:marTop w:val="0"/>
              <w:marBottom w:val="0"/>
              <w:divBdr>
                <w:top w:val="none" w:sz="0" w:space="0" w:color="auto"/>
                <w:left w:val="none" w:sz="0" w:space="0" w:color="auto"/>
                <w:bottom w:val="none" w:sz="0" w:space="0" w:color="auto"/>
                <w:right w:val="none" w:sz="0" w:space="0" w:color="auto"/>
              </w:divBdr>
            </w:div>
            <w:div w:id="1530724802">
              <w:marLeft w:val="0"/>
              <w:marRight w:val="0"/>
              <w:marTop w:val="0"/>
              <w:marBottom w:val="0"/>
              <w:divBdr>
                <w:top w:val="none" w:sz="0" w:space="0" w:color="auto"/>
                <w:left w:val="none" w:sz="0" w:space="0" w:color="auto"/>
                <w:bottom w:val="none" w:sz="0" w:space="0" w:color="auto"/>
                <w:right w:val="none" w:sz="0" w:space="0" w:color="auto"/>
              </w:divBdr>
            </w:div>
            <w:div w:id="1543134784">
              <w:marLeft w:val="0"/>
              <w:marRight w:val="0"/>
              <w:marTop w:val="0"/>
              <w:marBottom w:val="0"/>
              <w:divBdr>
                <w:top w:val="none" w:sz="0" w:space="0" w:color="auto"/>
                <w:left w:val="none" w:sz="0" w:space="0" w:color="auto"/>
                <w:bottom w:val="none" w:sz="0" w:space="0" w:color="auto"/>
                <w:right w:val="none" w:sz="0" w:space="0" w:color="auto"/>
              </w:divBdr>
            </w:div>
            <w:div w:id="1703280766">
              <w:marLeft w:val="0"/>
              <w:marRight w:val="0"/>
              <w:marTop w:val="0"/>
              <w:marBottom w:val="0"/>
              <w:divBdr>
                <w:top w:val="none" w:sz="0" w:space="0" w:color="auto"/>
                <w:left w:val="none" w:sz="0" w:space="0" w:color="auto"/>
                <w:bottom w:val="none" w:sz="0" w:space="0" w:color="auto"/>
                <w:right w:val="none" w:sz="0" w:space="0" w:color="auto"/>
              </w:divBdr>
            </w:div>
            <w:div w:id="1715886153">
              <w:marLeft w:val="0"/>
              <w:marRight w:val="0"/>
              <w:marTop w:val="0"/>
              <w:marBottom w:val="0"/>
              <w:divBdr>
                <w:top w:val="none" w:sz="0" w:space="0" w:color="auto"/>
                <w:left w:val="none" w:sz="0" w:space="0" w:color="auto"/>
                <w:bottom w:val="none" w:sz="0" w:space="0" w:color="auto"/>
                <w:right w:val="none" w:sz="0" w:space="0" w:color="auto"/>
              </w:divBdr>
            </w:div>
            <w:div w:id="1849127822">
              <w:marLeft w:val="0"/>
              <w:marRight w:val="0"/>
              <w:marTop w:val="0"/>
              <w:marBottom w:val="0"/>
              <w:divBdr>
                <w:top w:val="none" w:sz="0" w:space="0" w:color="auto"/>
                <w:left w:val="none" w:sz="0" w:space="0" w:color="auto"/>
                <w:bottom w:val="none" w:sz="0" w:space="0" w:color="auto"/>
                <w:right w:val="none" w:sz="0" w:space="0" w:color="auto"/>
              </w:divBdr>
            </w:div>
            <w:div w:id="18642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41052">
      <w:bodyDiv w:val="1"/>
      <w:marLeft w:val="0"/>
      <w:marRight w:val="0"/>
      <w:marTop w:val="0"/>
      <w:marBottom w:val="0"/>
      <w:divBdr>
        <w:top w:val="none" w:sz="0" w:space="0" w:color="auto"/>
        <w:left w:val="none" w:sz="0" w:space="0" w:color="auto"/>
        <w:bottom w:val="none" w:sz="0" w:space="0" w:color="auto"/>
        <w:right w:val="none" w:sz="0" w:space="0" w:color="auto"/>
      </w:divBdr>
      <w:divsChild>
        <w:div w:id="55325286">
          <w:marLeft w:val="0"/>
          <w:marRight w:val="0"/>
          <w:marTop w:val="0"/>
          <w:marBottom w:val="0"/>
          <w:divBdr>
            <w:top w:val="none" w:sz="0" w:space="0" w:color="auto"/>
            <w:left w:val="none" w:sz="0" w:space="0" w:color="auto"/>
            <w:bottom w:val="none" w:sz="0" w:space="0" w:color="auto"/>
            <w:right w:val="none" w:sz="0" w:space="0" w:color="auto"/>
          </w:divBdr>
          <w:divsChild>
            <w:div w:id="1875919680">
              <w:marLeft w:val="0"/>
              <w:marRight w:val="0"/>
              <w:marTop w:val="0"/>
              <w:marBottom w:val="0"/>
              <w:divBdr>
                <w:top w:val="none" w:sz="0" w:space="0" w:color="auto"/>
                <w:left w:val="none" w:sz="0" w:space="0" w:color="auto"/>
                <w:bottom w:val="none" w:sz="0" w:space="0" w:color="auto"/>
                <w:right w:val="none" w:sz="0" w:space="0" w:color="auto"/>
              </w:divBdr>
            </w:div>
          </w:divsChild>
        </w:div>
        <w:div w:id="512841805">
          <w:marLeft w:val="0"/>
          <w:marRight w:val="0"/>
          <w:marTop w:val="0"/>
          <w:marBottom w:val="0"/>
          <w:divBdr>
            <w:top w:val="none" w:sz="0" w:space="0" w:color="auto"/>
            <w:left w:val="none" w:sz="0" w:space="0" w:color="auto"/>
            <w:bottom w:val="none" w:sz="0" w:space="0" w:color="auto"/>
            <w:right w:val="none" w:sz="0" w:space="0" w:color="auto"/>
          </w:divBdr>
          <w:divsChild>
            <w:div w:id="1330523640">
              <w:marLeft w:val="0"/>
              <w:marRight w:val="0"/>
              <w:marTop w:val="0"/>
              <w:marBottom w:val="0"/>
              <w:divBdr>
                <w:top w:val="none" w:sz="0" w:space="0" w:color="auto"/>
                <w:left w:val="none" w:sz="0" w:space="0" w:color="auto"/>
                <w:bottom w:val="none" w:sz="0" w:space="0" w:color="auto"/>
                <w:right w:val="none" w:sz="0" w:space="0" w:color="auto"/>
              </w:divBdr>
            </w:div>
          </w:divsChild>
        </w:div>
        <w:div w:id="1018459194">
          <w:marLeft w:val="0"/>
          <w:marRight w:val="0"/>
          <w:marTop w:val="0"/>
          <w:marBottom w:val="0"/>
          <w:divBdr>
            <w:top w:val="none" w:sz="0" w:space="0" w:color="auto"/>
            <w:left w:val="none" w:sz="0" w:space="0" w:color="auto"/>
            <w:bottom w:val="none" w:sz="0" w:space="0" w:color="auto"/>
            <w:right w:val="none" w:sz="0" w:space="0" w:color="auto"/>
          </w:divBdr>
          <w:divsChild>
            <w:div w:id="128405311">
              <w:marLeft w:val="0"/>
              <w:marRight w:val="0"/>
              <w:marTop w:val="0"/>
              <w:marBottom w:val="0"/>
              <w:divBdr>
                <w:top w:val="none" w:sz="0" w:space="0" w:color="auto"/>
                <w:left w:val="none" w:sz="0" w:space="0" w:color="auto"/>
                <w:bottom w:val="none" w:sz="0" w:space="0" w:color="auto"/>
                <w:right w:val="none" w:sz="0" w:space="0" w:color="auto"/>
              </w:divBdr>
            </w:div>
          </w:divsChild>
        </w:div>
        <w:div w:id="1222407862">
          <w:marLeft w:val="0"/>
          <w:marRight w:val="0"/>
          <w:marTop w:val="0"/>
          <w:marBottom w:val="0"/>
          <w:divBdr>
            <w:top w:val="none" w:sz="0" w:space="0" w:color="auto"/>
            <w:left w:val="none" w:sz="0" w:space="0" w:color="auto"/>
            <w:bottom w:val="none" w:sz="0" w:space="0" w:color="auto"/>
            <w:right w:val="none" w:sz="0" w:space="0" w:color="auto"/>
          </w:divBdr>
          <w:divsChild>
            <w:div w:id="2147315134">
              <w:marLeft w:val="0"/>
              <w:marRight w:val="0"/>
              <w:marTop w:val="0"/>
              <w:marBottom w:val="0"/>
              <w:divBdr>
                <w:top w:val="none" w:sz="0" w:space="0" w:color="auto"/>
                <w:left w:val="none" w:sz="0" w:space="0" w:color="auto"/>
                <w:bottom w:val="none" w:sz="0" w:space="0" w:color="auto"/>
                <w:right w:val="none" w:sz="0" w:space="0" w:color="auto"/>
              </w:divBdr>
            </w:div>
          </w:divsChild>
        </w:div>
        <w:div w:id="1261180868">
          <w:marLeft w:val="0"/>
          <w:marRight w:val="0"/>
          <w:marTop w:val="0"/>
          <w:marBottom w:val="0"/>
          <w:divBdr>
            <w:top w:val="none" w:sz="0" w:space="0" w:color="auto"/>
            <w:left w:val="none" w:sz="0" w:space="0" w:color="auto"/>
            <w:bottom w:val="none" w:sz="0" w:space="0" w:color="auto"/>
            <w:right w:val="none" w:sz="0" w:space="0" w:color="auto"/>
          </w:divBdr>
          <w:divsChild>
            <w:div w:id="784538995">
              <w:marLeft w:val="0"/>
              <w:marRight w:val="0"/>
              <w:marTop w:val="0"/>
              <w:marBottom w:val="0"/>
              <w:divBdr>
                <w:top w:val="none" w:sz="0" w:space="0" w:color="auto"/>
                <w:left w:val="none" w:sz="0" w:space="0" w:color="auto"/>
                <w:bottom w:val="none" w:sz="0" w:space="0" w:color="auto"/>
                <w:right w:val="none" w:sz="0" w:space="0" w:color="auto"/>
              </w:divBdr>
            </w:div>
          </w:divsChild>
        </w:div>
        <w:div w:id="1349795299">
          <w:marLeft w:val="0"/>
          <w:marRight w:val="0"/>
          <w:marTop w:val="0"/>
          <w:marBottom w:val="0"/>
          <w:divBdr>
            <w:top w:val="none" w:sz="0" w:space="0" w:color="auto"/>
            <w:left w:val="none" w:sz="0" w:space="0" w:color="auto"/>
            <w:bottom w:val="none" w:sz="0" w:space="0" w:color="auto"/>
            <w:right w:val="none" w:sz="0" w:space="0" w:color="auto"/>
          </w:divBdr>
          <w:divsChild>
            <w:div w:id="515735309">
              <w:marLeft w:val="0"/>
              <w:marRight w:val="0"/>
              <w:marTop w:val="0"/>
              <w:marBottom w:val="0"/>
              <w:divBdr>
                <w:top w:val="none" w:sz="0" w:space="0" w:color="auto"/>
                <w:left w:val="none" w:sz="0" w:space="0" w:color="auto"/>
                <w:bottom w:val="none" w:sz="0" w:space="0" w:color="auto"/>
                <w:right w:val="none" w:sz="0" w:space="0" w:color="auto"/>
              </w:divBdr>
            </w:div>
          </w:divsChild>
        </w:div>
        <w:div w:id="1459690285">
          <w:marLeft w:val="0"/>
          <w:marRight w:val="0"/>
          <w:marTop w:val="0"/>
          <w:marBottom w:val="0"/>
          <w:divBdr>
            <w:top w:val="none" w:sz="0" w:space="0" w:color="auto"/>
            <w:left w:val="none" w:sz="0" w:space="0" w:color="auto"/>
            <w:bottom w:val="none" w:sz="0" w:space="0" w:color="auto"/>
            <w:right w:val="none" w:sz="0" w:space="0" w:color="auto"/>
          </w:divBdr>
          <w:divsChild>
            <w:div w:id="256838038">
              <w:marLeft w:val="0"/>
              <w:marRight w:val="0"/>
              <w:marTop w:val="0"/>
              <w:marBottom w:val="0"/>
              <w:divBdr>
                <w:top w:val="none" w:sz="0" w:space="0" w:color="auto"/>
                <w:left w:val="none" w:sz="0" w:space="0" w:color="auto"/>
                <w:bottom w:val="none" w:sz="0" w:space="0" w:color="auto"/>
                <w:right w:val="none" w:sz="0" w:space="0" w:color="auto"/>
              </w:divBdr>
            </w:div>
            <w:div w:id="1361709964">
              <w:marLeft w:val="0"/>
              <w:marRight w:val="0"/>
              <w:marTop w:val="0"/>
              <w:marBottom w:val="0"/>
              <w:divBdr>
                <w:top w:val="none" w:sz="0" w:space="0" w:color="auto"/>
                <w:left w:val="none" w:sz="0" w:space="0" w:color="auto"/>
                <w:bottom w:val="none" w:sz="0" w:space="0" w:color="auto"/>
                <w:right w:val="none" w:sz="0" w:space="0" w:color="auto"/>
              </w:divBdr>
            </w:div>
          </w:divsChild>
        </w:div>
        <w:div w:id="1467039765">
          <w:marLeft w:val="0"/>
          <w:marRight w:val="0"/>
          <w:marTop w:val="0"/>
          <w:marBottom w:val="0"/>
          <w:divBdr>
            <w:top w:val="none" w:sz="0" w:space="0" w:color="auto"/>
            <w:left w:val="none" w:sz="0" w:space="0" w:color="auto"/>
            <w:bottom w:val="none" w:sz="0" w:space="0" w:color="auto"/>
            <w:right w:val="none" w:sz="0" w:space="0" w:color="auto"/>
          </w:divBdr>
          <w:divsChild>
            <w:div w:id="1367752207">
              <w:marLeft w:val="0"/>
              <w:marRight w:val="0"/>
              <w:marTop w:val="0"/>
              <w:marBottom w:val="0"/>
              <w:divBdr>
                <w:top w:val="none" w:sz="0" w:space="0" w:color="auto"/>
                <w:left w:val="none" w:sz="0" w:space="0" w:color="auto"/>
                <w:bottom w:val="none" w:sz="0" w:space="0" w:color="auto"/>
                <w:right w:val="none" w:sz="0" w:space="0" w:color="auto"/>
              </w:divBdr>
            </w:div>
          </w:divsChild>
        </w:div>
        <w:div w:id="1802068268">
          <w:marLeft w:val="0"/>
          <w:marRight w:val="0"/>
          <w:marTop w:val="0"/>
          <w:marBottom w:val="0"/>
          <w:divBdr>
            <w:top w:val="none" w:sz="0" w:space="0" w:color="auto"/>
            <w:left w:val="none" w:sz="0" w:space="0" w:color="auto"/>
            <w:bottom w:val="none" w:sz="0" w:space="0" w:color="auto"/>
            <w:right w:val="none" w:sz="0" w:space="0" w:color="auto"/>
          </w:divBdr>
          <w:divsChild>
            <w:div w:id="149691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3578">
      <w:bodyDiv w:val="1"/>
      <w:marLeft w:val="0"/>
      <w:marRight w:val="0"/>
      <w:marTop w:val="0"/>
      <w:marBottom w:val="0"/>
      <w:divBdr>
        <w:top w:val="none" w:sz="0" w:space="0" w:color="auto"/>
        <w:left w:val="none" w:sz="0" w:space="0" w:color="auto"/>
        <w:bottom w:val="none" w:sz="0" w:space="0" w:color="auto"/>
        <w:right w:val="none" w:sz="0" w:space="0" w:color="auto"/>
      </w:divBdr>
      <w:divsChild>
        <w:div w:id="84154471">
          <w:marLeft w:val="0"/>
          <w:marRight w:val="0"/>
          <w:marTop w:val="0"/>
          <w:marBottom w:val="0"/>
          <w:divBdr>
            <w:top w:val="none" w:sz="0" w:space="0" w:color="auto"/>
            <w:left w:val="none" w:sz="0" w:space="0" w:color="auto"/>
            <w:bottom w:val="none" w:sz="0" w:space="0" w:color="auto"/>
            <w:right w:val="none" w:sz="0" w:space="0" w:color="auto"/>
          </w:divBdr>
          <w:divsChild>
            <w:div w:id="1040009281">
              <w:marLeft w:val="0"/>
              <w:marRight w:val="0"/>
              <w:marTop w:val="0"/>
              <w:marBottom w:val="0"/>
              <w:divBdr>
                <w:top w:val="none" w:sz="0" w:space="0" w:color="auto"/>
                <w:left w:val="none" w:sz="0" w:space="0" w:color="auto"/>
                <w:bottom w:val="none" w:sz="0" w:space="0" w:color="auto"/>
                <w:right w:val="none" w:sz="0" w:space="0" w:color="auto"/>
              </w:divBdr>
            </w:div>
            <w:div w:id="1070930037">
              <w:marLeft w:val="0"/>
              <w:marRight w:val="0"/>
              <w:marTop w:val="0"/>
              <w:marBottom w:val="0"/>
              <w:divBdr>
                <w:top w:val="none" w:sz="0" w:space="0" w:color="auto"/>
                <w:left w:val="none" w:sz="0" w:space="0" w:color="auto"/>
                <w:bottom w:val="none" w:sz="0" w:space="0" w:color="auto"/>
                <w:right w:val="none" w:sz="0" w:space="0" w:color="auto"/>
              </w:divBdr>
            </w:div>
          </w:divsChild>
        </w:div>
        <w:div w:id="94250431">
          <w:marLeft w:val="0"/>
          <w:marRight w:val="0"/>
          <w:marTop w:val="0"/>
          <w:marBottom w:val="0"/>
          <w:divBdr>
            <w:top w:val="none" w:sz="0" w:space="0" w:color="auto"/>
            <w:left w:val="none" w:sz="0" w:space="0" w:color="auto"/>
            <w:bottom w:val="none" w:sz="0" w:space="0" w:color="auto"/>
            <w:right w:val="none" w:sz="0" w:space="0" w:color="auto"/>
          </w:divBdr>
          <w:divsChild>
            <w:div w:id="1282037045">
              <w:marLeft w:val="0"/>
              <w:marRight w:val="0"/>
              <w:marTop w:val="0"/>
              <w:marBottom w:val="0"/>
              <w:divBdr>
                <w:top w:val="none" w:sz="0" w:space="0" w:color="auto"/>
                <w:left w:val="none" w:sz="0" w:space="0" w:color="auto"/>
                <w:bottom w:val="none" w:sz="0" w:space="0" w:color="auto"/>
                <w:right w:val="none" w:sz="0" w:space="0" w:color="auto"/>
              </w:divBdr>
            </w:div>
          </w:divsChild>
        </w:div>
        <w:div w:id="161743282">
          <w:marLeft w:val="0"/>
          <w:marRight w:val="0"/>
          <w:marTop w:val="0"/>
          <w:marBottom w:val="0"/>
          <w:divBdr>
            <w:top w:val="none" w:sz="0" w:space="0" w:color="auto"/>
            <w:left w:val="none" w:sz="0" w:space="0" w:color="auto"/>
            <w:bottom w:val="none" w:sz="0" w:space="0" w:color="auto"/>
            <w:right w:val="none" w:sz="0" w:space="0" w:color="auto"/>
          </w:divBdr>
          <w:divsChild>
            <w:div w:id="1485313940">
              <w:marLeft w:val="0"/>
              <w:marRight w:val="0"/>
              <w:marTop w:val="0"/>
              <w:marBottom w:val="0"/>
              <w:divBdr>
                <w:top w:val="none" w:sz="0" w:space="0" w:color="auto"/>
                <w:left w:val="none" w:sz="0" w:space="0" w:color="auto"/>
                <w:bottom w:val="none" w:sz="0" w:space="0" w:color="auto"/>
                <w:right w:val="none" w:sz="0" w:space="0" w:color="auto"/>
              </w:divBdr>
            </w:div>
          </w:divsChild>
        </w:div>
        <w:div w:id="172191732">
          <w:marLeft w:val="0"/>
          <w:marRight w:val="0"/>
          <w:marTop w:val="0"/>
          <w:marBottom w:val="0"/>
          <w:divBdr>
            <w:top w:val="none" w:sz="0" w:space="0" w:color="auto"/>
            <w:left w:val="none" w:sz="0" w:space="0" w:color="auto"/>
            <w:bottom w:val="none" w:sz="0" w:space="0" w:color="auto"/>
            <w:right w:val="none" w:sz="0" w:space="0" w:color="auto"/>
          </w:divBdr>
          <w:divsChild>
            <w:div w:id="387609508">
              <w:marLeft w:val="0"/>
              <w:marRight w:val="0"/>
              <w:marTop w:val="0"/>
              <w:marBottom w:val="0"/>
              <w:divBdr>
                <w:top w:val="none" w:sz="0" w:space="0" w:color="auto"/>
                <w:left w:val="none" w:sz="0" w:space="0" w:color="auto"/>
                <w:bottom w:val="none" w:sz="0" w:space="0" w:color="auto"/>
                <w:right w:val="none" w:sz="0" w:space="0" w:color="auto"/>
              </w:divBdr>
            </w:div>
            <w:div w:id="1332752641">
              <w:marLeft w:val="0"/>
              <w:marRight w:val="0"/>
              <w:marTop w:val="0"/>
              <w:marBottom w:val="0"/>
              <w:divBdr>
                <w:top w:val="none" w:sz="0" w:space="0" w:color="auto"/>
                <w:left w:val="none" w:sz="0" w:space="0" w:color="auto"/>
                <w:bottom w:val="none" w:sz="0" w:space="0" w:color="auto"/>
                <w:right w:val="none" w:sz="0" w:space="0" w:color="auto"/>
              </w:divBdr>
            </w:div>
          </w:divsChild>
        </w:div>
        <w:div w:id="450437321">
          <w:marLeft w:val="0"/>
          <w:marRight w:val="0"/>
          <w:marTop w:val="0"/>
          <w:marBottom w:val="0"/>
          <w:divBdr>
            <w:top w:val="none" w:sz="0" w:space="0" w:color="auto"/>
            <w:left w:val="none" w:sz="0" w:space="0" w:color="auto"/>
            <w:bottom w:val="none" w:sz="0" w:space="0" w:color="auto"/>
            <w:right w:val="none" w:sz="0" w:space="0" w:color="auto"/>
          </w:divBdr>
          <w:divsChild>
            <w:div w:id="253248964">
              <w:marLeft w:val="0"/>
              <w:marRight w:val="0"/>
              <w:marTop w:val="0"/>
              <w:marBottom w:val="0"/>
              <w:divBdr>
                <w:top w:val="none" w:sz="0" w:space="0" w:color="auto"/>
                <w:left w:val="none" w:sz="0" w:space="0" w:color="auto"/>
                <w:bottom w:val="none" w:sz="0" w:space="0" w:color="auto"/>
                <w:right w:val="none" w:sz="0" w:space="0" w:color="auto"/>
              </w:divBdr>
            </w:div>
          </w:divsChild>
        </w:div>
        <w:div w:id="554437612">
          <w:marLeft w:val="0"/>
          <w:marRight w:val="0"/>
          <w:marTop w:val="0"/>
          <w:marBottom w:val="0"/>
          <w:divBdr>
            <w:top w:val="none" w:sz="0" w:space="0" w:color="auto"/>
            <w:left w:val="none" w:sz="0" w:space="0" w:color="auto"/>
            <w:bottom w:val="none" w:sz="0" w:space="0" w:color="auto"/>
            <w:right w:val="none" w:sz="0" w:space="0" w:color="auto"/>
          </w:divBdr>
          <w:divsChild>
            <w:div w:id="2098668457">
              <w:marLeft w:val="0"/>
              <w:marRight w:val="0"/>
              <w:marTop w:val="0"/>
              <w:marBottom w:val="0"/>
              <w:divBdr>
                <w:top w:val="none" w:sz="0" w:space="0" w:color="auto"/>
                <w:left w:val="none" w:sz="0" w:space="0" w:color="auto"/>
                <w:bottom w:val="none" w:sz="0" w:space="0" w:color="auto"/>
                <w:right w:val="none" w:sz="0" w:space="0" w:color="auto"/>
              </w:divBdr>
            </w:div>
          </w:divsChild>
        </w:div>
        <w:div w:id="787702433">
          <w:marLeft w:val="0"/>
          <w:marRight w:val="0"/>
          <w:marTop w:val="0"/>
          <w:marBottom w:val="0"/>
          <w:divBdr>
            <w:top w:val="none" w:sz="0" w:space="0" w:color="auto"/>
            <w:left w:val="none" w:sz="0" w:space="0" w:color="auto"/>
            <w:bottom w:val="none" w:sz="0" w:space="0" w:color="auto"/>
            <w:right w:val="none" w:sz="0" w:space="0" w:color="auto"/>
          </w:divBdr>
          <w:divsChild>
            <w:div w:id="1562980106">
              <w:marLeft w:val="0"/>
              <w:marRight w:val="0"/>
              <w:marTop w:val="0"/>
              <w:marBottom w:val="0"/>
              <w:divBdr>
                <w:top w:val="none" w:sz="0" w:space="0" w:color="auto"/>
                <w:left w:val="none" w:sz="0" w:space="0" w:color="auto"/>
                <w:bottom w:val="none" w:sz="0" w:space="0" w:color="auto"/>
                <w:right w:val="none" w:sz="0" w:space="0" w:color="auto"/>
              </w:divBdr>
            </w:div>
          </w:divsChild>
        </w:div>
        <w:div w:id="799375159">
          <w:marLeft w:val="0"/>
          <w:marRight w:val="0"/>
          <w:marTop w:val="0"/>
          <w:marBottom w:val="0"/>
          <w:divBdr>
            <w:top w:val="none" w:sz="0" w:space="0" w:color="auto"/>
            <w:left w:val="none" w:sz="0" w:space="0" w:color="auto"/>
            <w:bottom w:val="none" w:sz="0" w:space="0" w:color="auto"/>
            <w:right w:val="none" w:sz="0" w:space="0" w:color="auto"/>
          </w:divBdr>
          <w:divsChild>
            <w:div w:id="1290630073">
              <w:marLeft w:val="0"/>
              <w:marRight w:val="0"/>
              <w:marTop w:val="0"/>
              <w:marBottom w:val="0"/>
              <w:divBdr>
                <w:top w:val="none" w:sz="0" w:space="0" w:color="auto"/>
                <w:left w:val="none" w:sz="0" w:space="0" w:color="auto"/>
                <w:bottom w:val="none" w:sz="0" w:space="0" w:color="auto"/>
                <w:right w:val="none" w:sz="0" w:space="0" w:color="auto"/>
              </w:divBdr>
            </w:div>
          </w:divsChild>
        </w:div>
        <w:div w:id="876088092">
          <w:marLeft w:val="0"/>
          <w:marRight w:val="0"/>
          <w:marTop w:val="0"/>
          <w:marBottom w:val="0"/>
          <w:divBdr>
            <w:top w:val="none" w:sz="0" w:space="0" w:color="auto"/>
            <w:left w:val="none" w:sz="0" w:space="0" w:color="auto"/>
            <w:bottom w:val="none" w:sz="0" w:space="0" w:color="auto"/>
            <w:right w:val="none" w:sz="0" w:space="0" w:color="auto"/>
          </w:divBdr>
          <w:divsChild>
            <w:div w:id="857158784">
              <w:marLeft w:val="0"/>
              <w:marRight w:val="0"/>
              <w:marTop w:val="0"/>
              <w:marBottom w:val="0"/>
              <w:divBdr>
                <w:top w:val="none" w:sz="0" w:space="0" w:color="auto"/>
                <w:left w:val="none" w:sz="0" w:space="0" w:color="auto"/>
                <w:bottom w:val="none" w:sz="0" w:space="0" w:color="auto"/>
                <w:right w:val="none" w:sz="0" w:space="0" w:color="auto"/>
              </w:divBdr>
            </w:div>
            <w:div w:id="893469108">
              <w:marLeft w:val="0"/>
              <w:marRight w:val="0"/>
              <w:marTop w:val="0"/>
              <w:marBottom w:val="0"/>
              <w:divBdr>
                <w:top w:val="none" w:sz="0" w:space="0" w:color="auto"/>
                <w:left w:val="none" w:sz="0" w:space="0" w:color="auto"/>
                <w:bottom w:val="none" w:sz="0" w:space="0" w:color="auto"/>
                <w:right w:val="none" w:sz="0" w:space="0" w:color="auto"/>
              </w:divBdr>
            </w:div>
          </w:divsChild>
        </w:div>
        <w:div w:id="898512893">
          <w:marLeft w:val="0"/>
          <w:marRight w:val="0"/>
          <w:marTop w:val="0"/>
          <w:marBottom w:val="0"/>
          <w:divBdr>
            <w:top w:val="none" w:sz="0" w:space="0" w:color="auto"/>
            <w:left w:val="none" w:sz="0" w:space="0" w:color="auto"/>
            <w:bottom w:val="none" w:sz="0" w:space="0" w:color="auto"/>
            <w:right w:val="none" w:sz="0" w:space="0" w:color="auto"/>
          </w:divBdr>
          <w:divsChild>
            <w:div w:id="293951886">
              <w:marLeft w:val="0"/>
              <w:marRight w:val="0"/>
              <w:marTop w:val="0"/>
              <w:marBottom w:val="0"/>
              <w:divBdr>
                <w:top w:val="none" w:sz="0" w:space="0" w:color="auto"/>
                <w:left w:val="none" w:sz="0" w:space="0" w:color="auto"/>
                <w:bottom w:val="none" w:sz="0" w:space="0" w:color="auto"/>
                <w:right w:val="none" w:sz="0" w:space="0" w:color="auto"/>
              </w:divBdr>
            </w:div>
          </w:divsChild>
        </w:div>
        <w:div w:id="1035153587">
          <w:marLeft w:val="0"/>
          <w:marRight w:val="0"/>
          <w:marTop w:val="0"/>
          <w:marBottom w:val="0"/>
          <w:divBdr>
            <w:top w:val="none" w:sz="0" w:space="0" w:color="auto"/>
            <w:left w:val="none" w:sz="0" w:space="0" w:color="auto"/>
            <w:bottom w:val="none" w:sz="0" w:space="0" w:color="auto"/>
            <w:right w:val="none" w:sz="0" w:space="0" w:color="auto"/>
          </w:divBdr>
          <w:divsChild>
            <w:div w:id="88165243">
              <w:marLeft w:val="0"/>
              <w:marRight w:val="0"/>
              <w:marTop w:val="0"/>
              <w:marBottom w:val="0"/>
              <w:divBdr>
                <w:top w:val="none" w:sz="0" w:space="0" w:color="auto"/>
                <w:left w:val="none" w:sz="0" w:space="0" w:color="auto"/>
                <w:bottom w:val="none" w:sz="0" w:space="0" w:color="auto"/>
                <w:right w:val="none" w:sz="0" w:space="0" w:color="auto"/>
              </w:divBdr>
            </w:div>
          </w:divsChild>
        </w:div>
        <w:div w:id="1045719237">
          <w:marLeft w:val="0"/>
          <w:marRight w:val="0"/>
          <w:marTop w:val="0"/>
          <w:marBottom w:val="0"/>
          <w:divBdr>
            <w:top w:val="none" w:sz="0" w:space="0" w:color="auto"/>
            <w:left w:val="none" w:sz="0" w:space="0" w:color="auto"/>
            <w:bottom w:val="none" w:sz="0" w:space="0" w:color="auto"/>
            <w:right w:val="none" w:sz="0" w:space="0" w:color="auto"/>
          </w:divBdr>
          <w:divsChild>
            <w:div w:id="1873570261">
              <w:marLeft w:val="0"/>
              <w:marRight w:val="0"/>
              <w:marTop w:val="0"/>
              <w:marBottom w:val="0"/>
              <w:divBdr>
                <w:top w:val="none" w:sz="0" w:space="0" w:color="auto"/>
                <w:left w:val="none" w:sz="0" w:space="0" w:color="auto"/>
                <w:bottom w:val="none" w:sz="0" w:space="0" w:color="auto"/>
                <w:right w:val="none" w:sz="0" w:space="0" w:color="auto"/>
              </w:divBdr>
            </w:div>
          </w:divsChild>
        </w:div>
        <w:div w:id="1048917561">
          <w:marLeft w:val="0"/>
          <w:marRight w:val="0"/>
          <w:marTop w:val="0"/>
          <w:marBottom w:val="0"/>
          <w:divBdr>
            <w:top w:val="none" w:sz="0" w:space="0" w:color="auto"/>
            <w:left w:val="none" w:sz="0" w:space="0" w:color="auto"/>
            <w:bottom w:val="none" w:sz="0" w:space="0" w:color="auto"/>
            <w:right w:val="none" w:sz="0" w:space="0" w:color="auto"/>
          </w:divBdr>
          <w:divsChild>
            <w:div w:id="1270697637">
              <w:marLeft w:val="0"/>
              <w:marRight w:val="0"/>
              <w:marTop w:val="0"/>
              <w:marBottom w:val="0"/>
              <w:divBdr>
                <w:top w:val="none" w:sz="0" w:space="0" w:color="auto"/>
                <w:left w:val="none" w:sz="0" w:space="0" w:color="auto"/>
                <w:bottom w:val="none" w:sz="0" w:space="0" w:color="auto"/>
                <w:right w:val="none" w:sz="0" w:space="0" w:color="auto"/>
              </w:divBdr>
            </w:div>
          </w:divsChild>
        </w:div>
        <w:div w:id="1136096929">
          <w:marLeft w:val="0"/>
          <w:marRight w:val="0"/>
          <w:marTop w:val="0"/>
          <w:marBottom w:val="0"/>
          <w:divBdr>
            <w:top w:val="none" w:sz="0" w:space="0" w:color="auto"/>
            <w:left w:val="none" w:sz="0" w:space="0" w:color="auto"/>
            <w:bottom w:val="none" w:sz="0" w:space="0" w:color="auto"/>
            <w:right w:val="none" w:sz="0" w:space="0" w:color="auto"/>
          </w:divBdr>
          <w:divsChild>
            <w:div w:id="1657219146">
              <w:marLeft w:val="0"/>
              <w:marRight w:val="0"/>
              <w:marTop w:val="0"/>
              <w:marBottom w:val="0"/>
              <w:divBdr>
                <w:top w:val="none" w:sz="0" w:space="0" w:color="auto"/>
                <w:left w:val="none" w:sz="0" w:space="0" w:color="auto"/>
                <w:bottom w:val="none" w:sz="0" w:space="0" w:color="auto"/>
                <w:right w:val="none" w:sz="0" w:space="0" w:color="auto"/>
              </w:divBdr>
            </w:div>
          </w:divsChild>
        </w:div>
        <w:div w:id="1138104741">
          <w:marLeft w:val="0"/>
          <w:marRight w:val="0"/>
          <w:marTop w:val="0"/>
          <w:marBottom w:val="0"/>
          <w:divBdr>
            <w:top w:val="none" w:sz="0" w:space="0" w:color="auto"/>
            <w:left w:val="none" w:sz="0" w:space="0" w:color="auto"/>
            <w:bottom w:val="none" w:sz="0" w:space="0" w:color="auto"/>
            <w:right w:val="none" w:sz="0" w:space="0" w:color="auto"/>
          </w:divBdr>
          <w:divsChild>
            <w:div w:id="399401269">
              <w:marLeft w:val="0"/>
              <w:marRight w:val="0"/>
              <w:marTop w:val="0"/>
              <w:marBottom w:val="0"/>
              <w:divBdr>
                <w:top w:val="none" w:sz="0" w:space="0" w:color="auto"/>
                <w:left w:val="none" w:sz="0" w:space="0" w:color="auto"/>
                <w:bottom w:val="none" w:sz="0" w:space="0" w:color="auto"/>
                <w:right w:val="none" w:sz="0" w:space="0" w:color="auto"/>
              </w:divBdr>
            </w:div>
          </w:divsChild>
        </w:div>
        <w:div w:id="1191603915">
          <w:marLeft w:val="0"/>
          <w:marRight w:val="0"/>
          <w:marTop w:val="0"/>
          <w:marBottom w:val="0"/>
          <w:divBdr>
            <w:top w:val="none" w:sz="0" w:space="0" w:color="auto"/>
            <w:left w:val="none" w:sz="0" w:space="0" w:color="auto"/>
            <w:bottom w:val="none" w:sz="0" w:space="0" w:color="auto"/>
            <w:right w:val="none" w:sz="0" w:space="0" w:color="auto"/>
          </w:divBdr>
          <w:divsChild>
            <w:div w:id="2097047918">
              <w:marLeft w:val="0"/>
              <w:marRight w:val="0"/>
              <w:marTop w:val="0"/>
              <w:marBottom w:val="0"/>
              <w:divBdr>
                <w:top w:val="none" w:sz="0" w:space="0" w:color="auto"/>
                <w:left w:val="none" w:sz="0" w:space="0" w:color="auto"/>
                <w:bottom w:val="none" w:sz="0" w:space="0" w:color="auto"/>
                <w:right w:val="none" w:sz="0" w:space="0" w:color="auto"/>
              </w:divBdr>
            </w:div>
          </w:divsChild>
        </w:div>
        <w:div w:id="1199313722">
          <w:marLeft w:val="0"/>
          <w:marRight w:val="0"/>
          <w:marTop w:val="0"/>
          <w:marBottom w:val="0"/>
          <w:divBdr>
            <w:top w:val="none" w:sz="0" w:space="0" w:color="auto"/>
            <w:left w:val="none" w:sz="0" w:space="0" w:color="auto"/>
            <w:bottom w:val="none" w:sz="0" w:space="0" w:color="auto"/>
            <w:right w:val="none" w:sz="0" w:space="0" w:color="auto"/>
          </w:divBdr>
          <w:divsChild>
            <w:div w:id="232660777">
              <w:marLeft w:val="0"/>
              <w:marRight w:val="0"/>
              <w:marTop w:val="0"/>
              <w:marBottom w:val="0"/>
              <w:divBdr>
                <w:top w:val="none" w:sz="0" w:space="0" w:color="auto"/>
                <w:left w:val="none" w:sz="0" w:space="0" w:color="auto"/>
                <w:bottom w:val="none" w:sz="0" w:space="0" w:color="auto"/>
                <w:right w:val="none" w:sz="0" w:space="0" w:color="auto"/>
              </w:divBdr>
            </w:div>
            <w:div w:id="2048488114">
              <w:marLeft w:val="0"/>
              <w:marRight w:val="0"/>
              <w:marTop w:val="0"/>
              <w:marBottom w:val="0"/>
              <w:divBdr>
                <w:top w:val="none" w:sz="0" w:space="0" w:color="auto"/>
                <w:left w:val="none" w:sz="0" w:space="0" w:color="auto"/>
                <w:bottom w:val="none" w:sz="0" w:space="0" w:color="auto"/>
                <w:right w:val="none" w:sz="0" w:space="0" w:color="auto"/>
              </w:divBdr>
            </w:div>
          </w:divsChild>
        </w:div>
        <w:div w:id="1225409785">
          <w:marLeft w:val="0"/>
          <w:marRight w:val="0"/>
          <w:marTop w:val="0"/>
          <w:marBottom w:val="0"/>
          <w:divBdr>
            <w:top w:val="none" w:sz="0" w:space="0" w:color="auto"/>
            <w:left w:val="none" w:sz="0" w:space="0" w:color="auto"/>
            <w:bottom w:val="none" w:sz="0" w:space="0" w:color="auto"/>
            <w:right w:val="none" w:sz="0" w:space="0" w:color="auto"/>
          </w:divBdr>
          <w:divsChild>
            <w:div w:id="918443002">
              <w:marLeft w:val="0"/>
              <w:marRight w:val="0"/>
              <w:marTop w:val="0"/>
              <w:marBottom w:val="0"/>
              <w:divBdr>
                <w:top w:val="none" w:sz="0" w:space="0" w:color="auto"/>
                <w:left w:val="none" w:sz="0" w:space="0" w:color="auto"/>
                <w:bottom w:val="none" w:sz="0" w:space="0" w:color="auto"/>
                <w:right w:val="none" w:sz="0" w:space="0" w:color="auto"/>
              </w:divBdr>
            </w:div>
          </w:divsChild>
        </w:div>
        <w:div w:id="1341812973">
          <w:marLeft w:val="0"/>
          <w:marRight w:val="0"/>
          <w:marTop w:val="0"/>
          <w:marBottom w:val="0"/>
          <w:divBdr>
            <w:top w:val="none" w:sz="0" w:space="0" w:color="auto"/>
            <w:left w:val="none" w:sz="0" w:space="0" w:color="auto"/>
            <w:bottom w:val="none" w:sz="0" w:space="0" w:color="auto"/>
            <w:right w:val="none" w:sz="0" w:space="0" w:color="auto"/>
          </w:divBdr>
          <w:divsChild>
            <w:div w:id="271283033">
              <w:marLeft w:val="0"/>
              <w:marRight w:val="0"/>
              <w:marTop w:val="0"/>
              <w:marBottom w:val="0"/>
              <w:divBdr>
                <w:top w:val="none" w:sz="0" w:space="0" w:color="auto"/>
                <w:left w:val="none" w:sz="0" w:space="0" w:color="auto"/>
                <w:bottom w:val="none" w:sz="0" w:space="0" w:color="auto"/>
                <w:right w:val="none" w:sz="0" w:space="0" w:color="auto"/>
              </w:divBdr>
            </w:div>
          </w:divsChild>
        </w:div>
        <w:div w:id="1424491913">
          <w:marLeft w:val="0"/>
          <w:marRight w:val="0"/>
          <w:marTop w:val="0"/>
          <w:marBottom w:val="0"/>
          <w:divBdr>
            <w:top w:val="none" w:sz="0" w:space="0" w:color="auto"/>
            <w:left w:val="none" w:sz="0" w:space="0" w:color="auto"/>
            <w:bottom w:val="none" w:sz="0" w:space="0" w:color="auto"/>
            <w:right w:val="none" w:sz="0" w:space="0" w:color="auto"/>
          </w:divBdr>
          <w:divsChild>
            <w:div w:id="313413336">
              <w:marLeft w:val="0"/>
              <w:marRight w:val="0"/>
              <w:marTop w:val="0"/>
              <w:marBottom w:val="0"/>
              <w:divBdr>
                <w:top w:val="none" w:sz="0" w:space="0" w:color="auto"/>
                <w:left w:val="none" w:sz="0" w:space="0" w:color="auto"/>
                <w:bottom w:val="none" w:sz="0" w:space="0" w:color="auto"/>
                <w:right w:val="none" w:sz="0" w:space="0" w:color="auto"/>
              </w:divBdr>
            </w:div>
          </w:divsChild>
        </w:div>
        <w:div w:id="1673069782">
          <w:marLeft w:val="0"/>
          <w:marRight w:val="0"/>
          <w:marTop w:val="0"/>
          <w:marBottom w:val="0"/>
          <w:divBdr>
            <w:top w:val="none" w:sz="0" w:space="0" w:color="auto"/>
            <w:left w:val="none" w:sz="0" w:space="0" w:color="auto"/>
            <w:bottom w:val="none" w:sz="0" w:space="0" w:color="auto"/>
            <w:right w:val="none" w:sz="0" w:space="0" w:color="auto"/>
          </w:divBdr>
          <w:divsChild>
            <w:div w:id="258491576">
              <w:marLeft w:val="0"/>
              <w:marRight w:val="0"/>
              <w:marTop w:val="0"/>
              <w:marBottom w:val="0"/>
              <w:divBdr>
                <w:top w:val="none" w:sz="0" w:space="0" w:color="auto"/>
                <w:left w:val="none" w:sz="0" w:space="0" w:color="auto"/>
                <w:bottom w:val="none" w:sz="0" w:space="0" w:color="auto"/>
                <w:right w:val="none" w:sz="0" w:space="0" w:color="auto"/>
              </w:divBdr>
            </w:div>
          </w:divsChild>
        </w:div>
        <w:div w:id="1704164820">
          <w:marLeft w:val="0"/>
          <w:marRight w:val="0"/>
          <w:marTop w:val="0"/>
          <w:marBottom w:val="0"/>
          <w:divBdr>
            <w:top w:val="none" w:sz="0" w:space="0" w:color="auto"/>
            <w:left w:val="none" w:sz="0" w:space="0" w:color="auto"/>
            <w:bottom w:val="none" w:sz="0" w:space="0" w:color="auto"/>
            <w:right w:val="none" w:sz="0" w:space="0" w:color="auto"/>
          </w:divBdr>
          <w:divsChild>
            <w:div w:id="625624989">
              <w:marLeft w:val="0"/>
              <w:marRight w:val="0"/>
              <w:marTop w:val="0"/>
              <w:marBottom w:val="0"/>
              <w:divBdr>
                <w:top w:val="none" w:sz="0" w:space="0" w:color="auto"/>
                <w:left w:val="none" w:sz="0" w:space="0" w:color="auto"/>
                <w:bottom w:val="none" w:sz="0" w:space="0" w:color="auto"/>
                <w:right w:val="none" w:sz="0" w:space="0" w:color="auto"/>
              </w:divBdr>
            </w:div>
          </w:divsChild>
        </w:div>
        <w:div w:id="1735085455">
          <w:marLeft w:val="0"/>
          <w:marRight w:val="0"/>
          <w:marTop w:val="0"/>
          <w:marBottom w:val="0"/>
          <w:divBdr>
            <w:top w:val="none" w:sz="0" w:space="0" w:color="auto"/>
            <w:left w:val="none" w:sz="0" w:space="0" w:color="auto"/>
            <w:bottom w:val="none" w:sz="0" w:space="0" w:color="auto"/>
            <w:right w:val="none" w:sz="0" w:space="0" w:color="auto"/>
          </w:divBdr>
          <w:divsChild>
            <w:div w:id="1230578603">
              <w:marLeft w:val="0"/>
              <w:marRight w:val="0"/>
              <w:marTop w:val="0"/>
              <w:marBottom w:val="0"/>
              <w:divBdr>
                <w:top w:val="none" w:sz="0" w:space="0" w:color="auto"/>
                <w:left w:val="none" w:sz="0" w:space="0" w:color="auto"/>
                <w:bottom w:val="none" w:sz="0" w:space="0" w:color="auto"/>
                <w:right w:val="none" w:sz="0" w:space="0" w:color="auto"/>
              </w:divBdr>
            </w:div>
          </w:divsChild>
        </w:div>
        <w:div w:id="2124032216">
          <w:marLeft w:val="0"/>
          <w:marRight w:val="0"/>
          <w:marTop w:val="0"/>
          <w:marBottom w:val="0"/>
          <w:divBdr>
            <w:top w:val="none" w:sz="0" w:space="0" w:color="auto"/>
            <w:left w:val="none" w:sz="0" w:space="0" w:color="auto"/>
            <w:bottom w:val="none" w:sz="0" w:space="0" w:color="auto"/>
            <w:right w:val="none" w:sz="0" w:space="0" w:color="auto"/>
          </w:divBdr>
          <w:divsChild>
            <w:div w:id="151368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3694">
      <w:bodyDiv w:val="1"/>
      <w:marLeft w:val="0"/>
      <w:marRight w:val="0"/>
      <w:marTop w:val="0"/>
      <w:marBottom w:val="0"/>
      <w:divBdr>
        <w:top w:val="none" w:sz="0" w:space="0" w:color="auto"/>
        <w:left w:val="none" w:sz="0" w:space="0" w:color="auto"/>
        <w:bottom w:val="none" w:sz="0" w:space="0" w:color="auto"/>
        <w:right w:val="none" w:sz="0" w:space="0" w:color="auto"/>
      </w:divBdr>
      <w:divsChild>
        <w:div w:id="1166170648">
          <w:marLeft w:val="0"/>
          <w:marRight w:val="0"/>
          <w:marTop w:val="0"/>
          <w:marBottom w:val="0"/>
          <w:divBdr>
            <w:top w:val="none" w:sz="0" w:space="0" w:color="auto"/>
            <w:left w:val="none" w:sz="0" w:space="0" w:color="auto"/>
            <w:bottom w:val="none" w:sz="0" w:space="0" w:color="auto"/>
            <w:right w:val="none" w:sz="0" w:space="0" w:color="auto"/>
          </w:divBdr>
        </w:div>
        <w:div w:id="1375499227">
          <w:marLeft w:val="0"/>
          <w:marRight w:val="0"/>
          <w:marTop w:val="0"/>
          <w:marBottom w:val="0"/>
          <w:divBdr>
            <w:top w:val="none" w:sz="0" w:space="0" w:color="auto"/>
            <w:left w:val="none" w:sz="0" w:space="0" w:color="auto"/>
            <w:bottom w:val="none" w:sz="0" w:space="0" w:color="auto"/>
            <w:right w:val="none" w:sz="0" w:space="0" w:color="auto"/>
          </w:divBdr>
        </w:div>
        <w:div w:id="2071804838">
          <w:marLeft w:val="0"/>
          <w:marRight w:val="0"/>
          <w:marTop w:val="0"/>
          <w:marBottom w:val="0"/>
          <w:divBdr>
            <w:top w:val="none" w:sz="0" w:space="0" w:color="auto"/>
            <w:left w:val="none" w:sz="0" w:space="0" w:color="auto"/>
            <w:bottom w:val="none" w:sz="0" w:space="0" w:color="auto"/>
            <w:right w:val="none" w:sz="0" w:space="0" w:color="auto"/>
          </w:divBdr>
        </w:div>
      </w:divsChild>
    </w:div>
    <w:div w:id="1483156530">
      <w:bodyDiv w:val="1"/>
      <w:marLeft w:val="0"/>
      <w:marRight w:val="0"/>
      <w:marTop w:val="0"/>
      <w:marBottom w:val="0"/>
      <w:divBdr>
        <w:top w:val="none" w:sz="0" w:space="0" w:color="auto"/>
        <w:left w:val="none" w:sz="0" w:space="0" w:color="auto"/>
        <w:bottom w:val="none" w:sz="0" w:space="0" w:color="auto"/>
        <w:right w:val="none" w:sz="0" w:space="0" w:color="auto"/>
      </w:divBdr>
      <w:divsChild>
        <w:div w:id="831263174">
          <w:marLeft w:val="0"/>
          <w:marRight w:val="0"/>
          <w:marTop w:val="0"/>
          <w:marBottom w:val="0"/>
          <w:divBdr>
            <w:top w:val="none" w:sz="0" w:space="0" w:color="auto"/>
            <w:left w:val="none" w:sz="0" w:space="0" w:color="auto"/>
            <w:bottom w:val="none" w:sz="0" w:space="0" w:color="auto"/>
            <w:right w:val="none" w:sz="0" w:space="0" w:color="auto"/>
          </w:divBdr>
        </w:div>
        <w:div w:id="1984263831">
          <w:marLeft w:val="0"/>
          <w:marRight w:val="0"/>
          <w:marTop w:val="0"/>
          <w:marBottom w:val="0"/>
          <w:divBdr>
            <w:top w:val="none" w:sz="0" w:space="0" w:color="auto"/>
            <w:left w:val="none" w:sz="0" w:space="0" w:color="auto"/>
            <w:bottom w:val="none" w:sz="0" w:space="0" w:color="auto"/>
            <w:right w:val="none" w:sz="0" w:space="0" w:color="auto"/>
          </w:divBdr>
        </w:div>
      </w:divsChild>
    </w:div>
    <w:div w:id="1504273372">
      <w:bodyDiv w:val="1"/>
      <w:marLeft w:val="0"/>
      <w:marRight w:val="0"/>
      <w:marTop w:val="0"/>
      <w:marBottom w:val="0"/>
      <w:divBdr>
        <w:top w:val="none" w:sz="0" w:space="0" w:color="auto"/>
        <w:left w:val="none" w:sz="0" w:space="0" w:color="auto"/>
        <w:bottom w:val="none" w:sz="0" w:space="0" w:color="auto"/>
        <w:right w:val="none" w:sz="0" w:space="0" w:color="auto"/>
      </w:divBdr>
      <w:divsChild>
        <w:div w:id="155267233">
          <w:marLeft w:val="0"/>
          <w:marRight w:val="0"/>
          <w:marTop w:val="0"/>
          <w:marBottom w:val="0"/>
          <w:divBdr>
            <w:top w:val="none" w:sz="0" w:space="0" w:color="auto"/>
            <w:left w:val="none" w:sz="0" w:space="0" w:color="auto"/>
            <w:bottom w:val="none" w:sz="0" w:space="0" w:color="auto"/>
            <w:right w:val="none" w:sz="0" w:space="0" w:color="auto"/>
          </w:divBdr>
          <w:divsChild>
            <w:div w:id="1312632482">
              <w:marLeft w:val="0"/>
              <w:marRight w:val="0"/>
              <w:marTop w:val="0"/>
              <w:marBottom w:val="0"/>
              <w:divBdr>
                <w:top w:val="none" w:sz="0" w:space="0" w:color="auto"/>
                <w:left w:val="none" w:sz="0" w:space="0" w:color="auto"/>
                <w:bottom w:val="none" w:sz="0" w:space="0" w:color="auto"/>
                <w:right w:val="none" w:sz="0" w:space="0" w:color="auto"/>
              </w:divBdr>
            </w:div>
          </w:divsChild>
        </w:div>
        <w:div w:id="204342066">
          <w:marLeft w:val="0"/>
          <w:marRight w:val="0"/>
          <w:marTop w:val="0"/>
          <w:marBottom w:val="0"/>
          <w:divBdr>
            <w:top w:val="none" w:sz="0" w:space="0" w:color="auto"/>
            <w:left w:val="none" w:sz="0" w:space="0" w:color="auto"/>
            <w:bottom w:val="none" w:sz="0" w:space="0" w:color="auto"/>
            <w:right w:val="none" w:sz="0" w:space="0" w:color="auto"/>
          </w:divBdr>
          <w:divsChild>
            <w:div w:id="408425153">
              <w:marLeft w:val="0"/>
              <w:marRight w:val="0"/>
              <w:marTop w:val="0"/>
              <w:marBottom w:val="0"/>
              <w:divBdr>
                <w:top w:val="none" w:sz="0" w:space="0" w:color="auto"/>
                <w:left w:val="none" w:sz="0" w:space="0" w:color="auto"/>
                <w:bottom w:val="none" w:sz="0" w:space="0" w:color="auto"/>
                <w:right w:val="none" w:sz="0" w:space="0" w:color="auto"/>
              </w:divBdr>
            </w:div>
          </w:divsChild>
        </w:div>
        <w:div w:id="225604845">
          <w:marLeft w:val="0"/>
          <w:marRight w:val="0"/>
          <w:marTop w:val="0"/>
          <w:marBottom w:val="0"/>
          <w:divBdr>
            <w:top w:val="none" w:sz="0" w:space="0" w:color="auto"/>
            <w:left w:val="none" w:sz="0" w:space="0" w:color="auto"/>
            <w:bottom w:val="none" w:sz="0" w:space="0" w:color="auto"/>
            <w:right w:val="none" w:sz="0" w:space="0" w:color="auto"/>
          </w:divBdr>
          <w:divsChild>
            <w:div w:id="1519734780">
              <w:marLeft w:val="0"/>
              <w:marRight w:val="0"/>
              <w:marTop w:val="0"/>
              <w:marBottom w:val="0"/>
              <w:divBdr>
                <w:top w:val="none" w:sz="0" w:space="0" w:color="auto"/>
                <w:left w:val="none" w:sz="0" w:space="0" w:color="auto"/>
                <w:bottom w:val="none" w:sz="0" w:space="0" w:color="auto"/>
                <w:right w:val="none" w:sz="0" w:space="0" w:color="auto"/>
              </w:divBdr>
            </w:div>
          </w:divsChild>
        </w:div>
        <w:div w:id="329606679">
          <w:marLeft w:val="0"/>
          <w:marRight w:val="0"/>
          <w:marTop w:val="0"/>
          <w:marBottom w:val="0"/>
          <w:divBdr>
            <w:top w:val="none" w:sz="0" w:space="0" w:color="auto"/>
            <w:left w:val="none" w:sz="0" w:space="0" w:color="auto"/>
            <w:bottom w:val="none" w:sz="0" w:space="0" w:color="auto"/>
            <w:right w:val="none" w:sz="0" w:space="0" w:color="auto"/>
          </w:divBdr>
          <w:divsChild>
            <w:div w:id="1716807748">
              <w:marLeft w:val="0"/>
              <w:marRight w:val="0"/>
              <w:marTop w:val="0"/>
              <w:marBottom w:val="0"/>
              <w:divBdr>
                <w:top w:val="none" w:sz="0" w:space="0" w:color="auto"/>
                <w:left w:val="none" w:sz="0" w:space="0" w:color="auto"/>
                <w:bottom w:val="none" w:sz="0" w:space="0" w:color="auto"/>
                <w:right w:val="none" w:sz="0" w:space="0" w:color="auto"/>
              </w:divBdr>
            </w:div>
          </w:divsChild>
        </w:div>
        <w:div w:id="334037966">
          <w:marLeft w:val="0"/>
          <w:marRight w:val="0"/>
          <w:marTop w:val="0"/>
          <w:marBottom w:val="0"/>
          <w:divBdr>
            <w:top w:val="none" w:sz="0" w:space="0" w:color="auto"/>
            <w:left w:val="none" w:sz="0" w:space="0" w:color="auto"/>
            <w:bottom w:val="none" w:sz="0" w:space="0" w:color="auto"/>
            <w:right w:val="none" w:sz="0" w:space="0" w:color="auto"/>
          </w:divBdr>
          <w:divsChild>
            <w:div w:id="1113475871">
              <w:marLeft w:val="0"/>
              <w:marRight w:val="0"/>
              <w:marTop w:val="0"/>
              <w:marBottom w:val="0"/>
              <w:divBdr>
                <w:top w:val="none" w:sz="0" w:space="0" w:color="auto"/>
                <w:left w:val="none" w:sz="0" w:space="0" w:color="auto"/>
                <w:bottom w:val="none" w:sz="0" w:space="0" w:color="auto"/>
                <w:right w:val="none" w:sz="0" w:space="0" w:color="auto"/>
              </w:divBdr>
            </w:div>
          </w:divsChild>
        </w:div>
        <w:div w:id="376663293">
          <w:marLeft w:val="0"/>
          <w:marRight w:val="0"/>
          <w:marTop w:val="0"/>
          <w:marBottom w:val="0"/>
          <w:divBdr>
            <w:top w:val="none" w:sz="0" w:space="0" w:color="auto"/>
            <w:left w:val="none" w:sz="0" w:space="0" w:color="auto"/>
            <w:bottom w:val="none" w:sz="0" w:space="0" w:color="auto"/>
            <w:right w:val="none" w:sz="0" w:space="0" w:color="auto"/>
          </w:divBdr>
          <w:divsChild>
            <w:div w:id="1339040698">
              <w:marLeft w:val="0"/>
              <w:marRight w:val="0"/>
              <w:marTop w:val="0"/>
              <w:marBottom w:val="0"/>
              <w:divBdr>
                <w:top w:val="none" w:sz="0" w:space="0" w:color="auto"/>
                <w:left w:val="none" w:sz="0" w:space="0" w:color="auto"/>
                <w:bottom w:val="none" w:sz="0" w:space="0" w:color="auto"/>
                <w:right w:val="none" w:sz="0" w:space="0" w:color="auto"/>
              </w:divBdr>
            </w:div>
          </w:divsChild>
        </w:div>
        <w:div w:id="523710775">
          <w:marLeft w:val="0"/>
          <w:marRight w:val="0"/>
          <w:marTop w:val="0"/>
          <w:marBottom w:val="0"/>
          <w:divBdr>
            <w:top w:val="none" w:sz="0" w:space="0" w:color="auto"/>
            <w:left w:val="none" w:sz="0" w:space="0" w:color="auto"/>
            <w:bottom w:val="none" w:sz="0" w:space="0" w:color="auto"/>
            <w:right w:val="none" w:sz="0" w:space="0" w:color="auto"/>
          </w:divBdr>
          <w:divsChild>
            <w:div w:id="165563351">
              <w:marLeft w:val="0"/>
              <w:marRight w:val="0"/>
              <w:marTop w:val="0"/>
              <w:marBottom w:val="0"/>
              <w:divBdr>
                <w:top w:val="none" w:sz="0" w:space="0" w:color="auto"/>
                <w:left w:val="none" w:sz="0" w:space="0" w:color="auto"/>
                <w:bottom w:val="none" w:sz="0" w:space="0" w:color="auto"/>
                <w:right w:val="none" w:sz="0" w:space="0" w:color="auto"/>
              </w:divBdr>
            </w:div>
          </w:divsChild>
        </w:div>
        <w:div w:id="659580924">
          <w:marLeft w:val="0"/>
          <w:marRight w:val="0"/>
          <w:marTop w:val="0"/>
          <w:marBottom w:val="0"/>
          <w:divBdr>
            <w:top w:val="none" w:sz="0" w:space="0" w:color="auto"/>
            <w:left w:val="none" w:sz="0" w:space="0" w:color="auto"/>
            <w:bottom w:val="none" w:sz="0" w:space="0" w:color="auto"/>
            <w:right w:val="none" w:sz="0" w:space="0" w:color="auto"/>
          </w:divBdr>
          <w:divsChild>
            <w:div w:id="549457532">
              <w:marLeft w:val="0"/>
              <w:marRight w:val="0"/>
              <w:marTop w:val="0"/>
              <w:marBottom w:val="0"/>
              <w:divBdr>
                <w:top w:val="none" w:sz="0" w:space="0" w:color="auto"/>
                <w:left w:val="none" w:sz="0" w:space="0" w:color="auto"/>
                <w:bottom w:val="none" w:sz="0" w:space="0" w:color="auto"/>
                <w:right w:val="none" w:sz="0" w:space="0" w:color="auto"/>
              </w:divBdr>
            </w:div>
          </w:divsChild>
        </w:div>
        <w:div w:id="704983124">
          <w:marLeft w:val="0"/>
          <w:marRight w:val="0"/>
          <w:marTop w:val="0"/>
          <w:marBottom w:val="0"/>
          <w:divBdr>
            <w:top w:val="none" w:sz="0" w:space="0" w:color="auto"/>
            <w:left w:val="none" w:sz="0" w:space="0" w:color="auto"/>
            <w:bottom w:val="none" w:sz="0" w:space="0" w:color="auto"/>
            <w:right w:val="none" w:sz="0" w:space="0" w:color="auto"/>
          </w:divBdr>
          <w:divsChild>
            <w:div w:id="937251630">
              <w:marLeft w:val="0"/>
              <w:marRight w:val="0"/>
              <w:marTop w:val="0"/>
              <w:marBottom w:val="0"/>
              <w:divBdr>
                <w:top w:val="none" w:sz="0" w:space="0" w:color="auto"/>
                <w:left w:val="none" w:sz="0" w:space="0" w:color="auto"/>
                <w:bottom w:val="none" w:sz="0" w:space="0" w:color="auto"/>
                <w:right w:val="none" w:sz="0" w:space="0" w:color="auto"/>
              </w:divBdr>
            </w:div>
          </w:divsChild>
        </w:div>
        <w:div w:id="750005470">
          <w:marLeft w:val="0"/>
          <w:marRight w:val="0"/>
          <w:marTop w:val="0"/>
          <w:marBottom w:val="0"/>
          <w:divBdr>
            <w:top w:val="none" w:sz="0" w:space="0" w:color="auto"/>
            <w:left w:val="none" w:sz="0" w:space="0" w:color="auto"/>
            <w:bottom w:val="none" w:sz="0" w:space="0" w:color="auto"/>
            <w:right w:val="none" w:sz="0" w:space="0" w:color="auto"/>
          </w:divBdr>
          <w:divsChild>
            <w:div w:id="1602642849">
              <w:marLeft w:val="0"/>
              <w:marRight w:val="0"/>
              <w:marTop w:val="0"/>
              <w:marBottom w:val="0"/>
              <w:divBdr>
                <w:top w:val="none" w:sz="0" w:space="0" w:color="auto"/>
                <w:left w:val="none" w:sz="0" w:space="0" w:color="auto"/>
                <w:bottom w:val="none" w:sz="0" w:space="0" w:color="auto"/>
                <w:right w:val="none" w:sz="0" w:space="0" w:color="auto"/>
              </w:divBdr>
            </w:div>
          </w:divsChild>
        </w:div>
        <w:div w:id="798230749">
          <w:marLeft w:val="0"/>
          <w:marRight w:val="0"/>
          <w:marTop w:val="0"/>
          <w:marBottom w:val="0"/>
          <w:divBdr>
            <w:top w:val="none" w:sz="0" w:space="0" w:color="auto"/>
            <w:left w:val="none" w:sz="0" w:space="0" w:color="auto"/>
            <w:bottom w:val="none" w:sz="0" w:space="0" w:color="auto"/>
            <w:right w:val="none" w:sz="0" w:space="0" w:color="auto"/>
          </w:divBdr>
          <w:divsChild>
            <w:div w:id="2091073261">
              <w:marLeft w:val="0"/>
              <w:marRight w:val="0"/>
              <w:marTop w:val="0"/>
              <w:marBottom w:val="0"/>
              <w:divBdr>
                <w:top w:val="none" w:sz="0" w:space="0" w:color="auto"/>
                <w:left w:val="none" w:sz="0" w:space="0" w:color="auto"/>
                <w:bottom w:val="none" w:sz="0" w:space="0" w:color="auto"/>
                <w:right w:val="none" w:sz="0" w:space="0" w:color="auto"/>
              </w:divBdr>
            </w:div>
          </w:divsChild>
        </w:div>
        <w:div w:id="941186009">
          <w:marLeft w:val="0"/>
          <w:marRight w:val="0"/>
          <w:marTop w:val="0"/>
          <w:marBottom w:val="0"/>
          <w:divBdr>
            <w:top w:val="none" w:sz="0" w:space="0" w:color="auto"/>
            <w:left w:val="none" w:sz="0" w:space="0" w:color="auto"/>
            <w:bottom w:val="none" w:sz="0" w:space="0" w:color="auto"/>
            <w:right w:val="none" w:sz="0" w:space="0" w:color="auto"/>
          </w:divBdr>
          <w:divsChild>
            <w:div w:id="1656255487">
              <w:marLeft w:val="0"/>
              <w:marRight w:val="0"/>
              <w:marTop w:val="0"/>
              <w:marBottom w:val="0"/>
              <w:divBdr>
                <w:top w:val="none" w:sz="0" w:space="0" w:color="auto"/>
                <w:left w:val="none" w:sz="0" w:space="0" w:color="auto"/>
                <w:bottom w:val="none" w:sz="0" w:space="0" w:color="auto"/>
                <w:right w:val="none" w:sz="0" w:space="0" w:color="auto"/>
              </w:divBdr>
            </w:div>
          </w:divsChild>
        </w:div>
        <w:div w:id="945189036">
          <w:marLeft w:val="0"/>
          <w:marRight w:val="0"/>
          <w:marTop w:val="0"/>
          <w:marBottom w:val="0"/>
          <w:divBdr>
            <w:top w:val="none" w:sz="0" w:space="0" w:color="auto"/>
            <w:left w:val="none" w:sz="0" w:space="0" w:color="auto"/>
            <w:bottom w:val="none" w:sz="0" w:space="0" w:color="auto"/>
            <w:right w:val="none" w:sz="0" w:space="0" w:color="auto"/>
          </w:divBdr>
          <w:divsChild>
            <w:div w:id="1661348605">
              <w:marLeft w:val="0"/>
              <w:marRight w:val="0"/>
              <w:marTop w:val="0"/>
              <w:marBottom w:val="0"/>
              <w:divBdr>
                <w:top w:val="none" w:sz="0" w:space="0" w:color="auto"/>
                <w:left w:val="none" w:sz="0" w:space="0" w:color="auto"/>
                <w:bottom w:val="none" w:sz="0" w:space="0" w:color="auto"/>
                <w:right w:val="none" w:sz="0" w:space="0" w:color="auto"/>
              </w:divBdr>
            </w:div>
          </w:divsChild>
        </w:div>
        <w:div w:id="950740809">
          <w:marLeft w:val="0"/>
          <w:marRight w:val="0"/>
          <w:marTop w:val="0"/>
          <w:marBottom w:val="0"/>
          <w:divBdr>
            <w:top w:val="none" w:sz="0" w:space="0" w:color="auto"/>
            <w:left w:val="none" w:sz="0" w:space="0" w:color="auto"/>
            <w:bottom w:val="none" w:sz="0" w:space="0" w:color="auto"/>
            <w:right w:val="none" w:sz="0" w:space="0" w:color="auto"/>
          </w:divBdr>
          <w:divsChild>
            <w:div w:id="138423804">
              <w:marLeft w:val="0"/>
              <w:marRight w:val="0"/>
              <w:marTop w:val="0"/>
              <w:marBottom w:val="0"/>
              <w:divBdr>
                <w:top w:val="none" w:sz="0" w:space="0" w:color="auto"/>
                <w:left w:val="none" w:sz="0" w:space="0" w:color="auto"/>
                <w:bottom w:val="none" w:sz="0" w:space="0" w:color="auto"/>
                <w:right w:val="none" w:sz="0" w:space="0" w:color="auto"/>
              </w:divBdr>
            </w:div>
          </w:divsChild>
        </w:div>
        <w:div w:id="962931140">
          <w:marLeft w:val="0"/>
          <w:marRight w:val="0"/>
          <w:marTop w:val="0"/>
          <w:marBottom w:val="0"/>
          <w:divBdr>
            <w:top w:val="none" w:sz="0" w:space="0" w:color="auto"/>
            <w:left w:val="none" w:sz="0" w:space="0" w:color="auto"/>
            <w:bottom w:val="none" w:sz="0" w:space="0" w:color="auto"/>
            <w:right w:val="none" w:sz="0" w:space="0" w:color="auto"/>
          </w:divBdr>
          <w:divsChild>
            <w:div w:id="644895664">
              <w:marLeft w:val="0"/>
              <w:marRight w:val="0"/>
              <w:marTop w:val="0"/>
              <w:marBottom w:val="0"/>
              <w:divBdr>
                <w:top w:val="none" w:sz="0" w:space="0" w:color="auto"/>
                <w:left w:val="none" w:sz="0" w:space="0" w:color="auto"/>
                <w:bottom w:val="none" w:sz="0" w:space="0" w:color="auto"/>
                <w:right w:val="none" w:sz="0" w:space="0" w:color="auto"/>
              </w:divBdr>
            </w:div>
          </w:divsChild>
        </w:div>
        <w:div w:id="1555045340">
          <w:marLeft w:val="0"/>
          <w:marRight w:val="0"/>
          <w:marTop w:val="0"/>
          <w:marBottom w:val="0"/>
          <w:divBdr>
            <w:top w:val="none" w:sz="0" w:space="0" w:color="auto"/>
            <w:left w:val="none" w:sz="0" w:space="0" w:color="auto"/>
            <w:bottom w:val="none" w:sz="0" w:space="0" w:color="auto"/>
            <w:right w:val="none" w:sz="0" w:space="0" w:color="auto"/>
          </w:divBdr>
          <w:divsChild>
            <w:div w:id="319045088">
              <w:marLeft w:val="0"/>
              <w:marRight w:val="0"/>
              <w:marTop w:val="0"/>
              <w:marBottom w:val="0"/>
              <w:divBdr>
                <w:top w:val="none" w:sz="0" w:space="0" w:color="auto"/>
                <w:left w:val="none" w:sz="0" w:space="0" w:color="auto"/>
                <w:bottom w:val="none" w:sz="0" w:space="0" w:color="auto"/>
                <w:right w:val="none" w:sz="0" w:space="0" w:color="auto"/>
              </w:divBdr>
            </w:div>
          </w:divsChild>
        </w:div>
        <w:div w:id="1631592900">
          <w:marLeft w:val="0"/>
          <w:marRight w:val="0"/>
          <w:marTop w:val="0"/>
          <w:marBottom w:val="0"/>
          <w:divBdr>
            <w:top w:val="none" w:sz="0" w:space="0" w:color="auto"/>
            <w:left w:val="none" w:sz="0" w:space="0" w:color="auto"/>
            <w:bottom w:val="none" w:sz="0" w:space="0" w:color="auto"/>
            <w:right w:val="none" w:sz="0" w:space="0" w:color="auto"/>
          </w:divBdr>
          <w:divsChild>
            <w:div w:id="1743672048">
              <w:marLeft w:val="0"/>
              <w:marRight w:val="0"/>
              <w:marTop w:val="0"/>
              <w:marBottom w:val="0"/>
              <w:divBdr>
                <w:top w:val="none" w:sz="0" w:space="0" w:color="auto"/>
                <w:left w:val="none" w:sz="0" w:space="0" w:color="auto"/>
                <w:bottom w:val="none" w:sz="0" w:space="0" w:color="auto"/>
                <w:right w:val="none" w:sz="0" w:space="0" w:color="auto"/>
              </w:divBdr>
            </w:div>
          </w:divsChild>
        </w:div>
        <w:div w:id="1678145309">
          <w:marLeft w:val="0"/>
          <w:marRight w:val="0"/>
          <w:marTop w:val="0"/>
          <w:marBottom w:val="0"/>
          <w:divBdr>
            <w:top w:val="none" w:sz="0" w:space="0" w:color="auto"/>
            <w:left w:val="none" w:sz="0" w:space="0" w:color="auto"/>
            <w:bottom w:val="none" w:sz="0" w:space="0" w:color="auto"/>
            <w:right w:val="none" w:sz="0" w:space="0" w:color="auto"/>
          </w:divBdr>
          <w:divsChild>
            <w:div w:id="352465799">
              <w:marLeft w:val="0"/>
              <w:marRight w:val="0"/>
              <w:marTop w:val="0"/>
              <w:marBottom w:val="0"/>
              <w:divBdr>
                <w:top w:val="none" w:sz="0" w:space="0" w:color="auto"/>
                <w:left w:val="none" w:sz="0" w:space="0" w:color="auto"/>
                <w:bottom w:val="none" w:sz="0" w:space="0" w:color="auto"/>
                <w:right w:val="none" w:sz="0" w:space="0" w:color="auto"/>
              </w:divBdr>
            </w:div>
          </w:divsChild>
        </w:div>
        <w:div w:id="1708794513">
          <w:marLeft w:val="0"/>
          <w:marRight w:val="0"/>
          <w:marTop w:val="0"/>
          <w:marBottom w:val="0"/>
          <w:divBdr>
            <w:top w:val="none" w:sz="0" w:space="0" w:color="auto"/>
            <w:left w:val="none" w:sz="0" w:space="0" w:color="auto"/>
            <w:bottom w:val="none" w:sz="0" w:space="0" w:color="auto"/>
            <w:right w:val="none" w:sz="0" w:space="0" w:color="auto"/>
          </w:divBdr>
          <w:divsChild>
            <w:div w:id="1041129231">
              <w:marLeft w:val="0"/>
              <w:marRight w:val="0"/>
              <w:marTop w:val="0"/>
              <w:marBottom w:val="0"/>
              <w:divBdr>
                <w:top w:val="none" w:sz="0" w:space="0" w:color="auto"/>
                <w:left w:val="none" w:sz="0" w:space="0" w:color="auto"/>
                <w:bottom w:val="none" w:sz="0" w:space="0" w:color="auto"/>
                <w:right w:val="none" w:sz="0" w:space="0" w:color="auto"/>
              </w:divBdr>
            </w:div>
          </w:divsChild>
        </w:div>
        <w:div w:id="1724013650">
          <w:marLeft w:val="0"/>
          <w:marRight w:val="0"/>
          <w:marTop w:val="0"/>
          <w:marBottom w:val="0"/>
          <w:divBdr>
            <w:top w:val="none" w:sz="0" w:space="0" w:color="auto"/>
            <w:left w:val="none" w:sz="0" w:space="0" w:color="auto"/>
            <w:bottom w:val="none" w:sz="0" w:space="0" w:color="auto"/>
            <w:right w:val="none" w:sz="0" w:space="0" w:color="auto"/>
          </w:divBdr>
          <w:divsChild>
            <w:div w:id="696856595">
              <w:marLeft w:val="0"/>
              <w:marRight w:val="0"/>
              <w:marTop w:val="0"/>
              <w:marBottom w:val="0"/>
              <w:divBdr>
                <w:top w:val="none" w:sz="0" w:space="0" w:color="auto"/>
                <w:left w:val="none" w:sz="0" w:space="0" w:color="auto"/>
                <w:bottom w:val="none" w:sz="0" w:space="0" w:color="auto"/>
                <w:right w:val="none" w:sz="0" w:space="0" w:color="auto"/>
              </w:divBdr>
            </w:div>
          </w:divsChild>
        </w:div>
        <w:div w:id="1761558723">
          <w:marLeft w:val="0"/>
          <w:marRight w:val="0"/>
          <w:marTop w:val="0"/>
          <w:marBottom w:val="0"/>
          <w:divBdr>
            <w:top w:val="none" w:sz="0" w:space="0" w:color="auto"/>
            <w:left w:val="none" w:sz="0" w:space="0" w:color="auto"/>
            <w:bottom w:val="none" w:sz="0" w:space="0" w:color="auto"/>
            <w:right w:val="none" w:sz="0" w:space="0" w:color="auto"/>
          </w:divBdr>
          <w:divsChild>
            <w:div w:id="1732194270">
              <w:marLeft w:val="0"/>
              <w:marRight w:val="0"/>
              <w:marTop w:val="0"/>
              <w:marBottom w:val="0"/>
              <w:divBdr>
                <w:top w:val="none" w:sz="0" w:space="0" w:color="auto"/>
                <w:left w:val="none" w:sz="0" w:space="0" w:color="auto"/>
                <w:bottom w:val="none" w:sz="0" w:space="0" w:color="auto"/>
                <w:right w:val="none" w:sz="0" w:space="0" w:color="auto"/>
              </w:divBdr>
            </w:div>
          </w:divsChild>
        </w:div>
        <w:div w:id="1786387010">
          <w:marLeft w:val="0"/>
          <w:marRight w:val="0"/>
          <w:marTop w:val="0"/>
          <w:marBottom w:val="0"/>
          <w:divBdr>
            <w:top w:val="none" w:sz="0" w:space="0" w:color="auto"/>
            <w:left w:val="none" w:sz="0" w:space="0" w:color="auto"/>
            <w:bottom w:val="none" w:sz="0" w:space="0" w:color="auto"/>
            <w:right w:val="none" w:sz="0" w:space="0" w:color="auto"/>
          </w:divBdr>
          <w:divsChild>
            <w:div w:id="1064643289">
              <w:marLeft w:val="0"/>
              <w:marRight w:val="0"/>
              <w:marTop w:val="0"/>
              <w:marBottom w:val="0"/>
              <w:divBdr>
                <w:top w:val="none" w:sz="0" w:space="0" w:color="auto"/>
                <w:left w:val="none" w:sz="0" w:space="0" w:color="auto"/>
                <w:bottom w:val="none" w:sz="0" w:space="0" w:color="auto"/>
                <w:right w:val="none" w:sz="0" w:space="0" w:color="auto"/>
              </w:divBdr>
            </w:div>
          </w:divsChild>
        </w:div>
        <w:div w:id="1801922714">
          <w:marLeft w:val="0"/>
          <w:marRight w:val="0"/>
          <w:marTop w:val="0"/>
          <w:marBottom w:val="0"/>
          <w:divBdr>
            <w:top w:val="none" w:sz="0" w:space="0" w:color="auto"/>
            <w:left w:val="none" w:sz="0" w:space="0" w:color="auto"/>
            <w:bottom w:val="none" w:sz="0" w:space="0" w:color="auto"/>
            <w:right w:val="none" w:sz="0" w:space="0" w:color="auto"/>
          </w:divBdr>
          <w:divsChild>
            <w:div w:id="819808290">
              <w:marLeft w:val="0"/>
              <w:marRight w:val="0"/>
              <w:marTop w:val="0"/>
              <w:marBottom w:val="0"/>
              <w:divBdr>
                <w:top w:val="none" w:sz="0" w:space="0" w:color="auto"/>
                <w:left w:val="none" w:sz="0" w:space="0" w:color="auto"/>
                <w:bottom w:val="none" w:sz="0" w:space="0" w:color="auto"/>
                <w:right w:val="none" w:sz="0" w:space="0" w:color="auto"/>
              </w:divBdr>
            </w:div>
          </w:divsChild>
        </w:div>
        <w:div w:id="1907955389">
          <w:marLeft w:val="0"/>
          <w:marRight w:val="0"/>
          <w:marTop w:val="0"/>
          <w:marBottom w:val="0"/>
          <w:divBdr>
            <w:top w:val="none" w:sz="0" w:space="0" w:color="auto"/>
            <w:left w:val="none" w:sz="0" w:space="0" w:color="auto"/>
            <w:bottom w:val="none" w:sz="0" w:space="0" w:color="auto"/>
            <w:right w:val="none" w:sz="0" w:space="0" w:color="auto"/>
          </w:divBdr>
          <w:divsChild>
            <w:div w:id="1552810948">
              <w:marLeft w:val="0"/>
              <w:marRight w:val="0"/>
              <w:marTop w:val="0"/>
              <w:marBottom w:val="0"/>
              <w:divBdr>
                <w:top w:val="none" w:sz="0" w:space="0" w:color="auto"/>
                <w:left w:val="none" w:sz="0" w:space="0" w:color="auto"/>
                <w:bottom w:val="none" w:sz="0" w:space="0" w:color="auto"/>
                <w:right w:val="none" w:sz="0" w:space="0" w:color="auto"/>
              </w:divBdr>
            </w:div>
          </w:divsChild>
        </w:div>
        <w:div w:id="1954357406">
          <w:marLeft w:val="0"/>
          <w:marRight w:val="0"/>
          <w:marTop w:val="0"/>
          <w:marBottom w:val="0"/>
          <w:divBdr>
            <w:top w:val="none" w:sz="0" w:space="0" w:color="auto"/>
            <w:left w:val="none" w:sz="0" w:space="0" w:color="auto"/>
            <w:bottom w:val="none" w:sz="0" w:space="0" w:color="auto"/>
            <w:right w:val="none" w:sz="0" w:space="0" w:color="auto"/>
          </w:divBdr>
          <w:divsChild>
            <w:div w:id="1286423016">
              <w:marLeft w:val="0"/>
              <w:marRight w:val="0"/>
              <w:marTop w:val="0"/>
              <w:marBottom w:val="0"/>
              <w:divBdr>
                <w:top w:val="none" w:sz="0" w:space="0" w:color="auto"/>
                <w:left w:val="none" w:sz="0" w:space="0" w:color="auto"/>
                <w:bottom w:val="none" w:sz="0" w:space="0" w:color="auto"/>
                <w:right w:val="none" w:sz="0" w:space="0" w:color="auto"/>
              </w:divBdr>
            </w:div>
          </w:divsChild>
        </w:div>
        <w:div w:id="1968469746">
          <w:marLeft w:val="0"/>
          <w:marRight w:val="0"/>
          <w:marTop w:val="0"/>
          <w:marBottom w:val="0"/>
          <w:divBdr>
            <w:top w:val="none" w:sz="0" w:space="0" w:color="auto"/>
            <w:left w:val="none" w:sz="0" w:space="0" w:color="auto"/>
            <w:bottom w:val="none" w:sz="0" w:space="0" w:color="auto"/>
            <w:right w:val="none" w:sz="0" w:space="0" w:color="auto"/>
          </w:divBdr>
          <w:divsChild>
            <w:div w:id="541089658">
              <w:marLeft w:val="0"/>
              <w:marRight w:val="0"/>
              <w:marTop w:val="0"/>
              <w:marBottom w:val="0"/>
              <w:divBdr>
                <w:top w:val="none" w:sz="0" w:space="0" w:color="auto"/>
                <w:left w:val="none" w:sz="0" w:space="0" w:color="auto"/>
                <w:bottom w:val="none" w:sz="0" w:space="0" w:color="auto"/>
                <w:right w:val="none" w:sz="0" w:space="0" w:color="auto"/>
              </w:divBdr>
            </w:div>
          </w:divsChild>
        </w:div>
        <w:div w:id="2041198520">
          <w:marLeft w:val="0"/>
          <w:marRight w:val="0"/>
          <w:marTop w:val="0"/>
          <w:marBottom w:val="0"/>
          <w:divBdr>
            <w:top w:val="none" w:sz="0" w:space="0" w:color="auto"/>
            <w:left w:val="none" w:sz="0" w:space="0" w:color="auto"/>
            <w:bottom w:val="none" w:sz="0" w:space="0" w:color="auto"/>
            <w:right w:val="none" w:sz="0" w:space="0" w:color="auto"/>
          </w:divBdr>
          <w:divsChild>
            <w:div w:id="892734681">
              <w:marLeft w:val="0"/>
              <w:marRight w:val="0"/>
              <w:marTop w:val="0"/>
              <w:marBottom w:val="0"/>
              <w:divBdr>
                <w:top w:val="none" w:sz="0" w:space="0" w:color="auto"/>
                <w:left w:val="none" w:sz="0" w:space="0" w:color="auto"/>
                <w:bottom w:val="none" w:sz="0" w:space="0" w:color="auto"/>
                <w:right w:val="none" w:sz="0" w:space="0" w:color="auto"/>
              </w:divBdr>
            </w:div>
          </w:divsChild>
        </w:div>
        <w:div w:id="2070884962">
          <w:marLeft w:val="0"/>
          <w:marRight w:val="0"/>
          <w:marTop w:val="0"/>
          <w:marBottom w:val="0"/>
          <w:divBdr>
            <w:top w:val="none" w:sz="0" w:space="0" w:color="auto"/>
            <w:left w:val="none" w:sz="0" w:space="0" w:color="auto"/>
            <w:bottom w:val="none" w:sz="0" w:space="0" w:color="auto"/>
            <w:right w:val="none" w:sz="0" w:space="0" w:color="auto"/>
          </w:divBdr>
          <w:divsChild>
            <w:div w:id="1515725219">
              <w:marLeft w:val="0"/>
              <w:marRight w:val="0"/>
              <w:marTop w:val="0"/>
              <w:marBottom w:val="0"/>
              <w:divBdr>
                <w:top w:val="none" w:sz="0" w:space="0" w:color="auto"/>
                <w:left w:val="none" w:sz="0" w:space="0" w:color="auto"/>
                <w:bottom w:val="none" w:sz="0" w:space="0" w:color="auto"/>
                <w:right w:val="none" w:sz="0" w:space="0" w:color="auto"/>
              </w:divBdr>
            </w:div>
          </w:divsChild>
        </w:div>
        <w:div w:id="2082750701">
          <w:marLeft w:val="0"/>
          <w:marRight w:val="0"/>
          <w:marTop w:val="0"/>
          <w:marBottom w:val="0"/>
          <w:divBdr>
            <w:top w:val="none" w:sz="0" w:space="0" w:color="auto"/>
            <w:left w:val="none" w:sz="0" w:space="0" w:color="auto"/>
            <w:bottom w:val="none" w:sz="0" w:space="0" w:color="auto"/>
            <w:right w:val="none" w:sz="0" w:space="0" w:color="auto"/>
          </w:divBdr>
          <w:divsChild>
            <w:div w:id="872037060">
              <w:marLeft w:val="0"/>
              <w:marRight w:val="0"/>
              <w:marTop w:val="0"/>
              <w:marBottom w:val="0"/>
              <w:divBdr>
                <w:top w:val="none" w:sz="0" w:space="0" w:color="auto"/>
                <w:left w:val="none" w:sz="0" w:space="0" w:color="auto"/>
                <w:bottom w:val="none" w:sz="0" w:space="0" w:color="auto"/>
                <w:right w:val="none" w:sz="0" w:space="0" w:color="auto"/>
              </w:divBdr>
            </w:div>
          </w:divsChild>
        </w:div>
        <w:div w:id="2108185884">
          <w:marLeft w:val="0"/>
          <w:marRight w:val="0"/>
          <w:marTop w:val="0"/>
          <w:marBottom w:val="0"/>
          <w:divBdr>
            <w:top w:val="none" w:sz="0" w:space="0" w:color="auto"/>
            <w:left w:val="none" w:sz="0" w:space="0" w:color="auto"/>
            <w:bottom w:val="none" w:sz="0" w:space="0" w:color="auto"/>
            <w:right w:val="none" w:sz="0" w:space="0" w:color="auto"/>
          </w:divBdr>
          <w:divsChild>
            <w:div w:id="9725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4343">
      <w:bodyDiv w:val="1"/>
      <w:marLeft w:val="0"/>
      <w:marRight w:val="0"/>
      <w:marTop w:val="0"/>
      <w:marBottom w:val="0"/>
      <w:divBdr>
        <w:top w:val="none" w:sz="0" w:space="0" w:color="auto"/>
        <w:left w:val="none" w:sz="0" w:space="0" w:color="auto"/>
        <w:bottom w:val="none" w:sz="0" w:space="0" w:color="auto"/>
        <w:right w:val="none" w:sz="0" w:space="0" w:color="auto"/>
      </w:divBdr>
    </w:div>
    <w:div w:id="1514221160">
      <w:bodyDiv w:val="1"/>
      <w:marLeft w:val="0"/>
      <w:marRight w:val="0"/>
      <w:marTop w:val="0"/>
      <w:marBottom w:val="0"/>
      <w:divBdr>
        <w:top w:val="none" w:sz="0" w:space="0" w:color="auto"/>
        <w:left w:val="none" w:sz="0" w:space="0" w:color="auto"/>
        <w:bottom w:val="none" w:sz="0" w:space="0" w:color="auto"/>
        <w:right w:val="none" w:sz="0" w:space="0" w:color="auto"/>
      </w:divBdr>
      <w:divsChild>
        <w:div w:id="53311532">
          <w:marLeft w:val="0"/>
          <w:marRight w:val="0"/>
          <w:marTop w:val="0"/>
          <w:marBottom w:val="0"/>
          <w:divBdr>
            <w:top w:val="none" w:sz="0" w:space="0" w:color="auto"/>
            <w:left w:val="none" w:sz="0" w:space="0" w:color="auto"/>
            <w:bottom w:val="none" w:sz="0" w:space="0" w:color="auto"/>
            <w:right w:val="none" w:sz="0" w:space="0" w:color="auto"/>
          </w:divBdr>
          <w:divsChild>
            <w:div w:id="1578830518">
              <w:marLeft w:val="0"/>
              <w:marRight w:val="0"/>
              <w:marTop w:val="0"/>
              <w:marBottom w:val="0"/>
              <w:divBdr>
                <w:top w:val="none" w:sz="0" w:space="0" w:color="auto"/>
                <w:left w:val="none" w:sz="0" w:space="0" w:color="auto"/>
                <w:bottom w:val="none" w:sz="0" w:space="0" w:color="auto"/>
                <w:right w:val="none" w:sz="0" w:space="0" w:color="auto"/>
              </w:divBdr>
            </w:div>
          </w:divsChild>
        </w:div>
        <w:div w:id="79059299">
          <w:marLeft w:val="0"/>
          <w:marRight w:val="0"/>
          <w:marTop w:val="0"/>
          <w:marBottom w:val="0"/>
          <w:divBdr>
            <w:top w:val="none" w:sz="0" w:space="0" w:color="auto"/>
            <w:left w:val="none" w:sz="0" w:space="0" w:color="auto"/>
            <w:bottom w:val="none" w:sz="0" w:space="0" w:color="auto"/>
            <w:right w:val="none" w:sz="0" w:space="0" w:color="auto"/>
          </w:divBdr>
          <w:divsChild>
            <w:div w:id="1530602358">
              <w:marLeft w:val="0"/>
              <w:marRight w:val="0"/>
              <w:marTop w:val="0"/>
              <w:marBottom w:val="0"/>
              <w:divBdr>
                <w:top w:val="none" w:sz="0" w:space="0" w:color="auto"/>
                <w:left w:val="none" w:sz="0" w:space="0" w:color="auto"/>
                <w:bottom w:val="none" w:sz="0" w:space="0" w:color="auto"/>
                <w:right w:val="none" w:sz="0" w:space="0" w:color="auto"/>
              </w:divBdr>
            </w:div>
          </w:divsChild>
        </w:div>
        <w:div w:id="101656574">
          <w:marLeft w:val="0"/>
          <w:marRight w:val="0"/>
          <w:marTop w:val="0"/>
          <w:marBottom w:val="0"/>
          <w:divBdr>
            <w:top w:val="none" w:sz="0" w:space="0" w:color="auto"/>
            <w:left w:val="none" w:sz="0" w:space="0" w:color="auto"/>
            <w:bottom w:val="none" w:sz="0" w:space="0" w:color="auto"/>
            <w:right w:val="none" w:sz="0" w:space="0" w:color="auto"/>
          </w:divBdr>
          <w:divsChild>
            <w:div w:id="880289438">
              <w:marLeft w:val="0"/>
              <w:marRight w:val="0"/>
              <w:marTop w:val="0"/>
              <w:marBottom w:val="0"/>
              <w:divBdr>
                <w:top w:val="none" w:sz="0" w:space="0" w:color="auto"/>
                <w:left w:val="none" w:sz="0" w:space="0" w:color="auto"/>
                <w:bottom w:val="none" w:sz="0" w:space="0" w:color="auto"/>
                <w:right w:val="none" w:sz="0" w:space="0" w:color="auto"/>
              </w:divBdr>
            </w:div>
          </w:divsChild>
        </w:div>
        <w:div w:id="305934690">
          <w:marLeft w:val="0"/>
          <w:marRight w:val="0"/>
          <w:marTop w:val="0"/>
          <w:marBottom w:val="0"/>
          <w:divBdr>
            <w:top w:val="none" w:sz="0" w:space="0" w:color="auto"/>
            <w:left w:val="none" w:sz="0" w:space="0" w:color="auto"/>
            <w:bottom w:val="none" w:sz="0" w:space="0" w:color="auto"/>
            <w:right w:val="none" w:sz="0" w:space="0" w:color="auto"/>
          </w:divBdr>
          <w:divsChild>
            <w:div w:id="411242157">
              <w:marLeft w:val="0"/>
              <w:marRight w:val="0"/>
              <w:marTop w:val="0"/>
              <w:marBottom w:val="0"/>
              <w:divBdr>
                <w:top w:val="none" w:sz="0" w:space="0" w:color="auto"/>
                <w:left w:val="none" w:sz="0" w:space="0" w:color="auto"/>
                <w:bottom w:val="none" w:sz="0" w:space="0" w:color="auto"/>
                <w:right w:val="none" w:sz="0" w:space="0" w:color="auto"/>
              </w:divBdr>
            </w:div>
          </w:divsChild>
        </w:div>
        <w:div w:id="456338029">
          <w:marLeft w:val="0"/>
          <w:marRight w:val="0"/>
          <w:marTop w:val="0"/>
          <w:marBottom w:val="0"/>
          <w:divBdr>
            <w:top w:val="none" w:sz="0" w:space="0" w:color="auto"/>
            <w:left w:val="none" w:sz="0" w:space="0" w:color="auto"/>
            <w:bottom w:val="none" w:sz="0" w:space="0" w:color="auto"/>
            <w:right w:val="none" w:sz="0" w:space="0" w:color="auto"/>
          </w:divBdr>
          <w:divsChild>
            <w:div w:id="237249733">
              <w:marLeft w:val="0"/>
              <w:marRight w:val="0"/>
              <w:marTop w:val="0"/>
              <w:marBottom w:val="0"/>
              <w:divBdr>
                <w:top w:val="none" w:sz="0" w:space="0" w:color="auto"/>
                <w:left w:val="none" w:sz="0" w:space="0" w:color="auto"/>
                <w:bottom w:val="none" w:sz="0" w:space="0" w:color="auto"/>
                <w:right w:val="none" w:sz="0" w:space="0" w:color="auto"/>
              </w:divBdr>
            </w:div>
          </w:divsChild>
        </w:div>
        <w:div w:id="473107509">
          <w:marLeft w:val="0"/>
          <w:marRight w:val="0"/>
          <w:marTop w:val="0"/>
          <w:marBottom w:val="0"/>
          <w:divBdr>
            <w:top w:val="none" w:sz="0" w:space="0" w:color="auto"/>
            <w:left w:val="none" w:sz="0" w:space="0" w:color="auto"/>
            <w:bottom w:val="none" w:sz="0" w:space="0" w:color="auto"/>
            <w:right w:val="none" w:sz="0" w:space="0" w:color="auto"/>
          </w:divBdr>
          <w:divsChild>
            <w:div w:id="960307717">
              <w:marLeft w:val="0"/>
              <w:marRight w:val="0"/>
              <w:marTop w:val="0"/>
              <w:marBottom w:val="0"/>
              <w:divBdr>
                <w:top w:val="none" w:sz="0" w:space="0" w:color="auto"/>
                <w:left w:val="none" w:sz="0" w:space="0" w:color="auto"/>
                <w:bottom w:val="none" w:sz="0" w:space="0" w:color="auto"/>
                <w:right w:val="none" w:sz="0" w:space="0" w:color="auto"/>
              </w:divBdr>
            </w:div>
          </w:divsChild>
        </w:div>
        <w:div w:id="525555865">
          <w:marLeft w:val="0"/>
          <w:marRight w:val="0"/>
          <w:marTop w:val="0"/>
          <w:marBottom w:val="0"/>
          <w:divBdr>
            <w:top w:val="none" w:sz="0" w:space="0" w:color="auto"/>
            <w:left w:val="none" w:sz="0" w:space="0" w:color="auto"/>
            <w:bottom w:val="none" w:sz="0" w:space="0" w:color="auto"/>
            <w:right w:val="none" w:sz="0" w:space="0" w:color="auto"/>
          </w:divBdr>
          <w:divsChild>
            <w:div w:id="1624118961">
              <w:marLeft w:val="0"/>
              <w:marRight w:val="0"/>
              <w:marTop w:val="0"/>
              <w:marBottom w:val="0"/>
              <w:divBdr>
                <w:top w:val="none" w:sz="0" w:space="0" w:color="auto"/>
                <w:left w:val="none" w:sz="0" w:space="0" w:color="auto"/>
                <w:bottom w:val="none" w:sz="0" w:space="0" w:color="auto"/>
                <w:right w:val="none" w:sz="0" w:space="0" w:color="auto"/>
              </w:divBdr>
            </w:div>
          </w:divsChild>
        </w:div>
        <w:div w:id="641274090">
          <w:marLeft w:val="0"/>
          <w:marRight w:val="0"/>
          <w:marTop w:val="0"/>
          <w:marBottom w:val="0"/>
          <w:divBdr>
            <w:top w:val="none" w:sz="0" w:space="0" w:color="auto"/>
            <w:left w:val="none" w:sz="0" w:space="0" w:color="auto"/>
            <w:bottom w:val="none" w:sz="0" w:space="0" w:color="auto"/>
            <w:right w:val="none" w:sz="0" w:space="0" w:color="auto"/>
          </w:divBdr>
          <w:divsChild>
            <w:div w:id="678699919">
              <w:marLeft w:val="0"/>
              <w:marRight w:val="0"/>
              <w:marTop w:val="0"/>
              <w:marBottom w:val="0"/>
              <w:divBdr>
                <w:top w:val="none" w:sz="0" w:space="0" w:color="auto"/>
                <w:left w:val="none" w:sz="0" w:space="0" w:color="auto"/>
                <w:bottom w:val="none" w:sz="0" w:space="0" w:color="auto"/>
                <w:right w:val="none" w:sz="0" w:space="0" w:color="auto"/>
              </w:divBdr>
            </w:div>
          </w:divsChild>
        </w:div>
        <w:div w:id="820536308">
          <w:marLeft w:val="0"/>
          <w:marRight w:val="0"/>
          <w:marTop w:val="0"/>
          <w:marBottom w:val="0"/>
          <w:divBdr>
            <w:top w:val="none" w:sz="0" w:space="0" w:color="auto"/>
            <w:left w:val="none" w:sz="0" w:space="0" w:color="auto"/>
            <w:bottom w:val="none" w:sz="0" w:space="0" w:color="auto"/>
            <w:right w:val="none" w:sz="0" w:space="0" w:color="auto"/>
          </w:divBdr>
          <w:divsChild>
            <w:div w:id="73674012">
              <w:marLeft w:val="0"/>
              <w:marRight w:val="0"/>
              <w:marTop w:val="0"/>
              <w:marBottom w:val="0"/>
              <w:divBdr>
                <w:top w:val="none" w:sz="0" w:space="0" w:color="auto"/>
                <w:left w:val="none" w:sz="0" w:space="0" w:color="auto"/>
                <w:bottom w:val="none" w:sz="0" w:space="0" w:color="auto"/>
                <w:right w:val="none" w:sz="0" w:space="0" w:color="auto"/>
              </w:divBdr>
            </w:div>
          </w:divsChild>
        </w:div>
        <w:div w:id="999582501">
          <w:marLeft w:val="0"/>
          <w:marRight w:val="0"/>
          <w:marTop w:val="0"/>
          <w:marBottom w:val="0"/>
          <w:divBdr>
            <w:top w:val="none" w:sz="0" w:space="0" w:color="auto"/>
            <w:left w:val="none" w:sz="0" w:space="0" w:color="auto"/>
            <w:bottom w:val="none" w:sz="0" w:space="0" w:color="auto"/>
            <w:right w:val="none" w:sz="0" w:space="0" w:color="auto"/>
          </w:divBdr>
          <w:divsChild>
            <w:div w:id="1726634532">
              <w:marLeft w:val="0"/>
              <w:marRight w:val="0"/>
              <w:marTop w:val="0"/>
              <w:marBottom w:val="0"/>
              <w:divBdr>
                <w:top w:val="none" w:sz="0" w:space="0" w:color="auto"/>
                <w:left w:val="none" w:sz="0" w:space="0" w:color="auto"/>
                <w:bottom w:val="none" w:sz="0" w:space="0" w:color="auto"/>
                <w:right w:val="none" w:sz="0" w:space="0" w:color="auto"/>
              </w:divBdr>
            </w:div>
          </w:divsChild>
        </w:div>
        <w:div w:id="1072698520">
          <w:marLeft w:val="0"/>
          <w:marRight w:val="0"/>
          <w:marTop w:val="0"/>
          <w:marBottom w:val="0"/>
          <w:divBdr>
            <w:top w:val="none" w:sz="0" w:space="0" w:color="auto"/>
            <w:left w:val="none" w:sz="0" w:space="0" w:color="auto"/>
            <w:bottom w:val="none" w:sz="0" w:space="0" w:color="auto"/>
            <w:right w:val="none" w:sz="0" w:space="0" w:color="auto"/>
          </w:divBdr>
          <w:divsChild>
            <w:div w:id="1127626397">
              <w:marLeft w:val="0"/>
              <w:marRight w:val="0"/>
              <w:marTop w:val="0"/>
              <w:marBottom w:val="0"/>
              <w:divBdr>
                <w:top w:val="none" w:sz="0" w:space="0" w:color="auto"/>
                <w:left w:val="none" w:sz="0" w:space="0" w:color="auto"/>
                <w:bottom w:val="none" w:sz="0" w:space="0" w:color="auto"/>
                <w:right w:val="none" w:sz="0" w:space="0" w:color="auto"/>
              </w:divBdr>
            </w:div>
          </w:divsChild>
        </w:div>
        <w:div w:id="1143503331">
          <w:marLeft w:val="0"/>
          <w:marRight w:val="0"/>
          <w:marTop w:val="0"/>
          <w:marBottom w:val="0"/>
          <w:divBdr>
            <w:top w:val="none" w:sz="0" w:space="0" w:color="auto"/>
            <w:left w:val="none" w:sz="0" w:space="0" w:color="auto"/>
            <w:bottom w:val="none" w:sz="0" w:space="0" w:color="auto"/>
            <w:right w:val="none" w:sz="0" w:space="0" w:color="auto"/>
          </w:divBdr>
          <w:divsChild>
            <w:div w:id="873227640">
              <w:marLeft w:val="0"/>
              <w:marRight w:val="0"/>
              <w:marTop w:val="0"/>
              <w:marBottom w:val="0"/>
              <w:divBdr>
                <w:top w:val="none" w:sz="0" w:space="0" w:color="auto"/>
                <w:left w:val="none" w:sz="0" w:space="0" w:color="auto"/>
                <w:bottom w:val="none" w:sz="0" w:space="0" w:color="auto"/>
                <w:right w:val="none" w:sz="0" w:space="0" w:color="auto"/>
              </w:divBdr>
            </w:div>
          </w:divsChild>
        </w:div>
        <w:div w:id="1147168910">
          <w:marLeft w:val="0"/>
          <w:marRight w:val="0"/>
          <w:marTop w:val="0"/>
          <w:marBottom w:val="0"/>
          <w:divBdr>
            <w:top w:val="none" w:sz="0" w:space="0" w:color="auto"/>
            <w:left w:val="none" w:sz="0" w:space="0" w:color="auto"/>
            <w:bottom w:val="none" w:sz="0" w:space="0" w:color="auto"/>
            <w:right w:val="none" w:sz="0" w:space="0" w:color="auto"/>
          </w:divBdr>
          <w:divsChild>
            <w:div w:id="14507557">
              <w:marLeft w:val="0"/>
              <w:marRight w:val="0"/>
              <w:marTop w:val="0"/>
              <w:marBottom w:val="0"/>
              <w:divBdr>
                <w:top w:val="none" w:sz="0" w:space="0" w:color="auto"/>
                <w:left w:val="none" w:sz="0" w:space="0" w:color="auto"/>
                <w:bottom w:val="none" w:sz="0" w:space="0" w:color="auto"/>
                <w:right w:val="none" w:sz="0" w:space="0" w:color="auto"/>
              </w:divBdr>
            </w:div>
          </w:divsChild>
        </w:div>
        <w:div w:id="1148522105">
          <w:marLeft w:val="0"/>
          <w:marRight w:val="0"/>
          <w:marTop w:val="0"/>
          <w:marBottom w:val="0"/>
          <w:divBdr>
            <w:top w:val="none" w:sz="0" w:space="0" w:color="auto"/>
            <w:left w:val="none" w:sz="0" w:space="0" w:color="auto"/>
            <w:bottom w:val="none" w:sz="0" w:space="0" w:color="auto"/>
            <w:right w:val="none" w:sz="0" w:space="0" w:color="auto"/>
          </w:divBdr>
          <w:divsChild>
            <w:div w:id="381753661">
              <w:marLeft w:val="0"/>
              <w:marRight w:val="0"/>
              <w:marTop w:val="0"/>
              <w:marBottom w:val="0"/>
              <w:divBdr>
                <w:top w:val="none" w:sz="0" w:space="0" w:color="auto"/>
                <w:left w:val="none" w:sz="0" w:space="0" w:color="auto"/>
                <w:bottom w:val="none" w:sz="0" w:space="0" w:color="auto"/>
                <w:right w:val="none" w:sz="0" w:space="0" w:color="auto"/>
              </w:divBdr>
            </w:div>
          </w:divsChild>
        </w:div>
        <w:div w:id="1343388032">
          <w:marLeft w:val="0"/>
          <w:marRight w:val="0"/>
          <w:marTop w:val="0"/>
          <w:marBottom w:val="0"/>
          <w:divBdr>
            <w:top w:val="none" w:sz="0" w:space="0" w:color="auto"/>
            <w:left w:val="none" w:sz="0" w:space="0" w:color="auto"/>
            <w:bottom w:val="none" w:sz="0" w:space="0" w:color="auto"/>
            <w:right w:val="none" w:sz="0" w:space="0" w:color="auto"/>
          </w:divBdr>
          <w:divsChild>
            <w:div w:id="1539507362">
              <w:marLeft w:val="0"/>
              <w:marRight w:val="0"/>
              <w:marTop w:val="0"/>
              <w:marBottom w:val="0"/>
              <w:divBdr>
                <w:top w:val="none" w:sz="0" w:space="0" w:color="auto"/>
                <w:left w:val="none" w:sz="0" w:space="0" w:color="auto"/>
                <w:bottom w:val="none" w:sz="0" w:space="0" w:color="auto"/>
                <w:right w:val="none" w:sz="0" w:space="0" w:color="auto"/>
              </w:divBdr>
            </w:div>
          </w:divsChild>
        </w:div>
        <w:div w:id="1371219673">
          <w:marLeft w:val="0"/>
          <w:marRight w:val="0"/>
          <w:marTop w:val="0"/>
          <w:marBottom w:val="0"/>
          <w:divBdr>
            <w:top w:val="none" w:sz="0" w:space="0" w:color="auto"/>
            <w:left w:val="none" w:sz="0" w:space="0" w:color="auto"/>
            <w:bottom w:val="none" w:sz="0" w:space="0" w:color="auto"/>
            <w:right w:val="none" w:sz="0" w:space="0" w:color="auto"/>
          </w:divBdr>
          <w:divsChild>
            <w:div w:id="1510872311">
              <w:marLeft w:val="0"/>
              <w:marRight w:val="0"/>
              <w:marTop w:val="0"/>
              <w:marBottom w:val="0"/>
              <w:divBdr>
                <w:top w:val="none" w:sz="0" w:space="0" w:color="auto"/>
                <w:left w:val="none" w:sz="0" w:space="0" w:color="auto"/>
                <w:bottom w:val="none" w:sz="0" w:space="0" w:color="auto"/>
                <w:right w:val="none" w:sz="0" w:space="0" w:color="auto"/>
              </w:divBdr>
            </w:div>
          </w:divsChild>
        </w:div>
        <w:div w:id="1450124540">
          <w:marLeft w:val="0"/>
          <w:marRight w:val="0"/>
          <w:marTop w:val="0"/>
          <w:marBottom w:val="0"/>
          <w:divBdr>
            <w:top w:val="none" w:sz="0" w:space="0" w:color="auto"/>
            <w:left w:val="none" w:sz="0" w:space="0" w:color="auto"/>
            <w:bottom w:val="none" w:sz="0" w:space="0" w:color="auto"/>
            <w:right w:val="none" w:sz="0" w:space="0" w:color="auto"/>
          </w:divBdr>
          <w:divsChild>
            <w:div w:id="28529188">
              <w:marLeft w:val="0"/>
              <w:marRight w:val="0"/>
              <w:marTop w:val="0"/>
              <w:marBottom w:val="0"/>
              <w:divBdr>
                <w:top w:val="none" w:sz="0" w:space="0" w:color="auto"/>
                <w:left w:val="none" w:sz="0" w:space="0" w:color="auto"/>
                <w:bottom w:val="none" w:sz="0" w:space="0" w:color="auto"/>
                <w:right w:val="none" w:sz="0" w:space="0" w:color="auto"/>
              </w:divBdr>
            </w:div>
          </w:divsChild>
        </w:div>
        <w:div w:id="1579755226">
          <w:marLeft w:val="0"/>
          <w:marRight w:val="0"/>
          <w:marTop w:val="0"/>
          <w:marBottom w:val="0"/>
          <w:divBdr>
            <w:top w:val="none" w:sz="0" w:space="0" w:color="auto"/>
            <w:left w:val="none" w:sz="0" w:space="0" w:color="auto"/>
            <w:bottom w:val="none" w:sz="0" w:space="0" w:color="auto"/>
            <w:right w:val="none" w:sz="0" w:space="0" w:color="auto"/>
          </w:divBdr>
          <w:divsChild>
            <w:div w:id="1759398766">
              <w:marLeft w:val="0"/>
              <w:marRight w:val="0"/>
              <w:marTop w:val="0"/>
              <w:marBottom w:val="0"/>
              <w:divBdr>
                <w:top w:val="none" w:sz="0" w:space="0" w:color="auto"/>
                <w:left w:val="none" w:sz="0" w:space="0" w:color="auto"/>
                <w:bottom w:val="none" w:sz="0" w:space="0" w:color="auto"/>
                <w:right w:val="none" w:sz="0" w:space="0" w:color="auto"/>
              </w:divBdr>
            </w:div>
          </w:divsChild>
        </w:div>
        <w:div w:id="1705909973">
          <w:marLeft w:val="0"/>
          <w:marRight w:val="0"/>
          <w:marTop w:val="0"/>
          <w:marBottom w:val="0"/>
          <w:divBdr>
            <w:top w:val="none" w:sz="0" w:space="0" w:color="auto"/>
            <w:left w:val="none" w:sz="0" w:space="0" w:color="auto"/>
            <w:bottom w:val="none" w:sz="0" w:space="0" w:color="auto"/>
            <w:right w:val="none" w:sz="0" w:space="0" w:color="auto"/>
          </w:divBdr>
          <w:divsChild>
            <w:div w:id="1624578469">
              <w:marLeft w:val="0"/>
              <w:marRight w:val="0"/>
              <w:marTop w:val="0"/>
              <w:marBottom w:val="0"/>
              <w:divBdr>
                <w:top w:val="none" w:sz="0" w:space="0" w:color="auto"/>
                <w:left w:val="none" w:sz="0" w:space="0" w:color="auto"/>
                <w:bottom w:val="none" w:sz="0" w:space="0" w:color="auto"/>
                <w:right w:val="none" w:sz="0" w:space="0" w:color="auto"/>
              </w:divBdr>
            </w:div>
          </w:divsChild>
        </w:div>
        <w:div w:id="1804882569">
          <w:marLeft w:val="0"/>
          <w:marRight w:val="0"/>
          <w:marTop w:val="0"/>
          <w:marBottom w:val="0"/>
          <w:divBdr>
            <w:top w:val="none" w:sz="0" w:space="0" w:color="auto"/>
            <w:left w:val="none" w:sz="0" w:space="0" w:color="auto"/>
            <w:bottom w:val="none" w:sz="0" w:space="0" w:color="auto"/>
            <w:right w:val="none" w:sz="0" w:space="0" w:color="auto"/>
          </w:divBdr>
          <w:divsChild>
            <w:div w:id="1687512524">
              <w:marLeft w:val="0"/>
              <w:marRight w:val="0"/>
              <w:marTop w:val="0"/>
              <w:marBottom w:val="0"/>
              <w:divBdr>
                <w:top w:val="none" w:sz="0" w:space="0" w:color="auto"/>
                <w:left w:val="none" w:sz="0" w:space="0" w:color="auto"/>
                <w:bottom w:val="none" w:sz="0" w:space="0" w:color="auto"/>
                <w:right w:val="none" w:sz="0" w:space="0" w:color="auto"/>
              </w:divBdr>
            </w:div>
          </w:divsChild>
        </w:div>
        <w:div w:id="1874883143">
          <w:marLeft w:val="0"/>
          <w:marRight w:val="0"/>
          <w:marTop w:val="0"/>
          <w:marBottom w:val="0"/>
          <w:divBdr>
            <w:top w:val="none" w:sz="0" w:space="0" w:color="auto"/>
            <w:left w:val="none" w:sz="0" w:space="0" w:color="auto"/>
            <w:bottom w:val="none" w:sz="0" w:space="0" w:color="auto"/>
            <w:right w:val="none" w:sz="0" w:space="0" w:color="auto"/>
          </w:divBdr>
          <w:divsChild>
            <w:div w:id="1162812774">
              <w:marLeft w:val="0"/>
              <w:marRight w:val="0"/>
              <w:marTop w:val="0"/>
              <w:marBottom w:val="0"/>
              <w:divBdr>
                <w:top w:val="none" w:sz="0" w:space="0" w:color="auto"/>
                <w:left w:val="none" w:sz="0" w:space="0" w:color="auto"/>
                <w:bottom w:val="none" w:sz="0" w:space="0" w:color="auto"/>
                <w:right w:val="none" w:sz="0" w:space="0" w:color="auto"/>
              </w:divBdr>
            </w:div>
          </w:divsChild>
        </w:div>
        <w:div w:id="1895853819">
          <w:marLeft w:val="0"/>
          <w:marRight w:val="0"/>
          <w:marTop w:val="0"/>
          <w:marBottom w:val="0"/>
          <w:divBdr>
            <w:top w:val="none" w:sz="0" w:space="0" w:color="auto"/>
            <w:left w:val="none" w:sz="0" w:space="0" w:color="auto"/>
            <w:bottom w:val="none" w:sz="0" w:space="0" w:color="auto"/>
            <w:right w:val="none" w:sz="0" w:space="0" w:color="auto"/>
          </w:divBdr>
          <w:divsChild>
            <w:div w:id="631789630">
              <w:marLeft w:val="0"/>
              <w:marRight w:val="0"/>
              <w:marTop w:val="0"/>
              <w:marBottom w:val="0"/>
              <w:divBdr>
                <w:top w:val="none" w:sz="0" w:space="0" w:color="auto"/>
                <w:left w:val="none" w:sz="0" w:space="0" w:color="auto"/>
                <w:bottom w:val="none" w:sz="0" w:space="0" w:color="auto"/>
                <w:right w:val="none" w:sz="0" w:space="0" w:color="auto"/>
              </w:divBdr>
            </w:div>
          </w:divsChild>
        </w:div>
        <w:div w:id="2045593198">
          <w:marLeft w:val="0"/>
          <w:marRight w:val="0"/>
          <w:marTop w:val="0"/>
          <w:marBottom w:val="0"/>
          <w:divBdr>
            <w:top w:val="none" w:sz="0" w:space="0" w:color="auto"/>
            <w:left w:val="none" w:sz="0" w:space="0" w:color="auto"/>
            <w:bottom w:val="none" w:sz="0" w:space="0" w:color="auto"/>
            <w:right w:val="none" w:sz="0" w:space="0" w:color="auto"/>
          </w:divBdr>
          <w:divsChild>
            <w:div w:id="1203518621">
              <w:marLeft w:val="0"/>
              <w:marRight w:val="0"/>
              <w:marTop w:val="0"/>
              <w:marBottom w:val="0"/>
              <w:divBdr>
                <w:top w:val="none" w:sz="0" w:space="0" w:color="auto"/>
                <w:left w:val="none" w:sz="0" w:space="0" w:color="auto"/>
                <w:bottom w:val="none" w:sz="0" w:space="0" w:color="auto"/>
                <w:right w:val="none" w:sz="0" w:space="0" w:color="auto"/>
              </w:divBdr>
            </w:div>
          </w:divsChild>
        </w:div>
        <w:div w:id="2092969376">
          <w:marLeft w:val="0"/>
          <w:marRight w:val="0"/>
          <w:marTop w:val="0"/>
          <w:marBottom w:val="0"/>
          <w:divBdr>
            <w:top w:val="none" w:sz="0" w:space="0" w:color="auto"/>
            <w:left w:val="none" w:sz="0" w:space="0" w:color="auto"/>
            <w:bottom w:val="none" w:sz="0" w:space="0" w:color="auto"/>
            <w:right w:val="none" w:sz="0" w:space="0" w:color="auto"/>
          </w:divBdr>
          <w:divsChild>
            <w:div w:id="58734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19265">
      <w:bodyDiv w:val="1"/>
      <w:marLeft w:val="0"/>
      <w:marRight w:val="0"/>
      <w:marTop w:val="0"/>
      <w:marBottom w:val="0"/>
      <w:divBdr>
        <w:top w:val="none" w:sz="0" w:space="0" w:color="auto"/>
        <w:left w:val="none" w:sz="0" w:space="0" w:color="auto"/>
        <w:bottom w:val="none" w:sz="0" w:space="0" w:color="auto"/>
        <w:right w:val="none" w:sz="0" w:space="0" w:color="auto"/>
      </w:divBdr>
      <w:divsChild>
        <w:div w:id="96871035">
          <w:marLeft w:val="0"/>
          <w:marRight w:val="0"/>
          <w:marTop w:val="0"/>
          <w:marBottom w:val="0"/>
          <w:divBdr>
            <w:top w:val="none" w:sz="0" w:space="0" w:color="auto"/>
            <w:left w:val="none" w:sz="0" w:space="0" w:color="auto"/>
            <w:bottom w:val="none" w:sz="0" w:space="0" w:color="auto"/>
            <w:right w:val="none" w:sz="0" w:space="0" w:color="auto"/>
          </w:divBdr>
          <w:divsChild>
            <w:div w:id="607929309">
              <w:marLeft w:val="0"/>
              <w:marRight w:val="0"/>
              <w:marTop w:val="0"/>
              <w:marBottom w:val="0"/>
              <w:divBdr>
                <w:top w:val="none" w:sz="0" w:space="0" w:color="auto"/>
                <w:left w:val="none" w:sz="0" w:space="0" w:color="auto"/>
                <w:bottom w:val="none" w:sz="0" w:space="0" w:color="auto"/>
                <w:right w:val="none" w:sz="0" w:space="0" w:color="auto"/>
              </w:divBdr>
            </w:div>
          </w:divsChild>
        </w:div>
        <w:div w:id="107899416">
          <w:marLeft w:val="0"/>
          <w:marRight w:val="0"/>
          <w:marTop w:val="0"/>
          <w:marBottom w:val="0"/>
          <w:divBdr>
            <w:top w:val="none" w:sz="0" w:space="0" w:color="auto"/>
            <w:left w:val="none" w:sz="0" w:space="0" w:color="auto"/>
            <w:bottom w:val="none" w:sz="0" w:space="0" w:color="auto"/>
            <w:right w:val="none" w:sz="0" w:space="0" w:color="auto"/>
          </w:divBdr>
          <w:divsChild>
            <w:div w:id="1412701059">
              <w:marLeft w:val="0"/>
              <w:marRight w:val="0"/>
              <w:marTop w:val="0"/>
              <w:marBottom w:val="0"/>
              <w:divBdr>
                <w:top w:val="none" w:sz="0" w:space="0" w:color="auto"/>
                <w:left w:val="none" w:sz="0" w:space="0" w:color="auto"/>
                <w:bottom w:val="none" w:sz="0" w:space="0" w:color="auto"/>
                <w:right w:val="none" w:sz="0" w:space="0" w:color="auto"/>
              </w:divBdr>
            </w:div>
          </w:divsChild>
        </w:div>
        <w:div w:id="172191817">
          <w:marLeft w:val="0"/>
          <w:marRight w:val="0"/>
          <w:marTop w:val="0"/>
          <w:marBottom w:val="0"/>
          <w:divBdr>
            <w:top w:val="none" w:sz="0" w:space="0" w:color="auto"/>
            <w:left w:val="none" w:sz="0" w:space="0" w:color="auto"/>
            <w:bottom w:val="none" w:sz="0" w:space="0" w:color="auto"/>
            <w:right w:val="none" w:sz="0" w:space="0" w:color="auto"/>
          </w:divBdr>
          <w:divsChild>
            <w:div w:id="1303392253">
              <w:marLeft w:val="0"/>
              <w:marRight w:val="0"/>
              <w:marTop w:val="0"/>
              <w:marBottom w:val="0"/>
              <w:divBdr>
                <w:top w:val="none" w:sz="0" w:space="0" w:color="auto"/>
                <w:left w:val="none" w:sz="0" w:space="0" w:color="auto"/>
                <w:bottom w:val="none" w:sz="0" w:space="0" w:color="auto"/>
                <w:right w:val="none" w:sz="0" w:space="0" w:color="auto"/>
              </w:divBdr>
            </w:div>
          </w:divsChild>
        </w:div>
        <w:div w:id="287703283">
          <w:marLeft w:val="0"/>
          <w:marRight w:val="0"/>
          <w:marTop w:val="0"/>
          <w:marBottom w:val="0"/>
          <w:divBdr>
            <w:top w:val="none" w:sz="0" w:space="0" w:color="auto"/>
            <w:left w:val="none" w:sz="0" w:space="0" w:color="auto"/>
            <w:bottom w:val="none" w:sz="0" w:space="0" w:color="auto"/>
            <w:right w:val="none" w:sz="0" w:space="0" w:color="auto"/>
          </w:divBdr>
          <w:divsChild>
            <w:div w:id="1300116194">
              <w:marLeft w:val="0"/>
              <w:marRight w:val="0"/>
              <w:marTop w:val="0"/>
              <w:marBottom w:val="0"/>
              <w:divBdr>
                <w:top w:val="none" w:sz="0" w:space="0" w:color="auto"/>
                <w:left w:val="none" w:sz="0" w:space="0" w:color="auto"/>
                <w:bottom w:val="none" w:sz="0" w:space="0" w:color="auto"/>
                <w:right w:val="none" w:sz="0" w:space="0" w:color="auto"/>
              </w:divBdr>
            </w:div>
          </w:divsChild>
        </w:div>
        <w:div w:id="340937222">
          <w:marLeft w:val="0"/>
          <w:marRight w:val="0"/>
          <w:marTop w:val="0"/>
          <w:marBottom w:val="0"/>
          <w:divBdr>
            <w:top w:val="none" w:sz="0" w:space="0" w:color="auto"/>
            <w:left w:val="none" w:sz="0" w:space="0" w:color="auto"/>
            <w:bottom w:val="none" w:sz="0" w:space="0" w:color="auto"/>
            <w:right w:val="none" w:sz="0" w:space="0" w:color="auto"/>
          </w:divBdr>
          <w:divsChild>
            <w:div w:id="1056392941">
              <w:marLeft w:val="0"/>
              <w:marRight w:val="0"/>
              <w:marTop w:val="0"/>
              <w:marBottom w:val="0"/>
              <w:divBdr>
                <w:top w:val="none" w:sz="0" w:space="0" w:color="auto"/>
                <w:left w:val="none" w:sz="0" w:space="0" w:color="auto"/>
                <w:bottom w:val="none" w:sz="0" w:space="0" w:color="auto"/>
                <w:right w:val="none" w:sz="0" w:space="0" w:color="auto"/>
              </w:divBdr>
            </w:div>
          </w:divsChild>
        </w:div>
        <w:div w:id="411702354">
          <w:marLeft w:val="0"/>
          <w:marRight w:val="0"/>
          <w:marTop w:val="0"/>
          <w:marBottom w:val="0"/>
          <w:divBdr>
            <w:top w:val="none" w:sz="0" w:space="0" w:color="auto"/>
            <w:left w:val="none" w:sz="0" w:space="0" w:color="auto"/>
            <w:bottom w:val="none" w:sz="0" w:space="0" w:color="auto"/>
            <w:right w:val="none" w:sz="0" w:space="0" w:color="auto"/>
          </w:divBdr>
          <w:divsChild>
            <w:div w:id="932477394">
              <w:marLeft w:val="0"/>
              <w:marRight w:val="0"/>
              <w:marTop w:val="0"/>
              <w:marBottom w:val="0"/>
              <w:divBdr>
                <w:top w:val="none" w:sz="0" w:space="0" w:color="auto"/>
                <w:left w:val="none" w:sz="0" w:space="0" w:color="auto"/>
                <w:bottom w:val="none" w:sz="0" w:space="0" w:color="auto"/>
                <w:right w:val="none" w:sz="0" w:space="0" w:color="auto"/>
              </w:divBdr>
            </w:div>
          </w:divsChild>
        </w:div>
        <w:div w:id="527989339">
          <w:marLeft w:val="0"/>
          <w:marRight w:val="0"/>
          <w:marTop w:val="0"/>
          <w:marBottom w:val="0"/>
          <w:divBdr>
            <w:top w:val="none" w:sz="0" w:space="0" w:color="auto"/>
            <w:left w:val="none" w:sz="0" w:space="0" w:color="auto"/>
            <w:bottom w:val="none" w:sz="0" w:space="0" w:color="auto"/>
            <w:right w:val="none" w:sz="0" w:space="0" w:color="auto"/>
          </w:divBdr>
          <w:divsChild>
            <w:div w:id="306593637">
              <w:marLeft w:val="0"/>
              <w:marRight w:val="0"/>
              <w:marTop w:val="0"/>
              <w:marBottom w:val="0"/>
              <w:divBdr>
                <w:top w:val="none" w:sz="0" w:space="0" w:color="auto"/>
                <w:left w:val="none" w:sz="0" w:space="0" w:color="auto"/>
                <w:bottom w:val="none" w:sz="0" w:space="0" w:color="auto"/>
                <w:right w:val="none" w:sz="0" w:space="0" w:color="auto"/>
              </w:divBdr>
            </w:div>
            <w:div w:id="735784927">
              <w:marLeft w:val="0"/>
              <w:marRight w:val="0"/>
              <w:marTop w:val="0"/>
              <w:marBottom w:val="0"/>
              <w:divBdr>
                <w:top w:val="none" w:sz="0" w:space="0" w:color="auto"/>
                <w:left w:val="none" w:sz="0" w:space="0" w:color="auto"/>
                <w:bottom w:val="none" w:sz="0" w:space="0" w:color="auto"/>
                <w:right w:val="none" w:sz="0" w:space="0" w:color="auto"/>
              </w:divBdr>
            </w:div>
          </w:divsChild>
        </w:div>
        <w:div w:id="607008257">
          <w:marLeft w:val="0"/>
          <w:marRight w:val="0"/>
          <w:marTop w:val="0"/>
          <w:marBottom w:val="0"/>
          <w:divBdr>
            <w:top w:val="none" w:sz="0" w:space="0" w:color="auto"/>
            <w:left w:val="none" w:sz="0" w:space="0" w:color="auto"/>
            <w:bottom w:val="none" w:sz="0" w:space="0" w:color="auto"/>
            <w:right w:val="none" w:sz="0" w:space="0" w:color="auto"/>
          </w:divBdr>
          <w:divsChild>
            <w:div w:id="553783208">
              <w:marLeft w:val="0"/>
              <w:marRight w:val="0"/>
              <w:marTop w:val="0"/>
              <w:marBottom w:val="0"/>
              <w:divBdr>
                <w:top w:val="none" w:sz="0" w:space="0" w:color="auto"/>
                <w:left w:val="none" w:sz="0" w:space="0" w:color="auto"/>
                <w:bottom w:val="none" w:sz="0" w:space="0" w:color="auto"/>
                <w:right w:val="none" w:sz="0" w:space="0" w:color="auto"/>
              </w:divBdr>
            </w:div>
          </w:divsChild>
        </w:div>
        <w:div w:id="642663681">
          <w:marLeft w:val="0"/>
          <w:marRight w:val="0"/>
          <w:marTop w:val="0"/>
          <w:marBottom w:val="0"/>
          <w:divBdr>
            <w:top w:val="none" w:sz="0" w:space="0" w:color="auto"/>
            <w:left w:val="none" w:sz="0" w:space="0" w:color="auto"/>
            <w:bottom w:val="none" w:sz="0" w:space="0" w:color="auto"/>
            <w:right w:val="none" w:sz="0" w:space="0" w:color="auto"/>
          </w:divBdr>
          <w:divsChild>
            <w:div w:id="2015497118">
              <w:marLeft w:val="0"/>
              <w:marRight w:val="0"/>
              <w:marTop w:val="0"/>
              <w:marBottom w:val="0"/>
              <w:divBdr>
                <w:top w:val="none" w:sz="0" w:space="0" w:color="auto"/>
                <w:left w:val="none" w:sz="0" w:space="0" w:color="auto"/>
                <w:bottom w:val="none" w:sz="0" w:space="0" w:color="auto"/>
                <w:right w:val="none" w:sz="0" w:space="0" w:color="auto"/>
              </w:divBdr>
            </w:div>
          </w:divsChild>
        </w:div>
        <w:div w:id="707068269">
          <w:marLeft w:val="0"/>
          <w:marRight w:val="0"/>
          <w:marTop w:val="0"/>
          <w:marBottom w:val="0"/>
          <w:divBdr>
            <w:top w:val="none" w:sz="0" w:space="0" w:color="auto"/>
            <w:left w:val="none" w:sz="0" w:space="0" w:color="auto"/>
            <w:bottom w:val="none" w:sz="0" w:space="0" w:color="auto"/>
            <w:right w:val="none" w:sz="0" w:space="0" w:color="auto"/>
          </w:divBdr>
          <w:divsChild>
            <w:div w:id="1420177879">
              <w:marLeft w:val="0"/>
              <w:marRight w:val="0"/>
              <w:marTop w:val="0"/>
              <w:marBottom w:val="0"/>
              <w:divBdr>
                <w:top w:val="none" w:sz="0" w:space="0" w:color="auto"/>
                <w:left w:val="none" w:sz="0" w:space="0" w:color="auto"/>
                <w:bottom w:val="none" w:sz="0" w:space="0" w:color="auto"/>
                <w:right w:val="none" w:sz="0" w:space="0" w:color="auto"/>
              </w:divBdr>
            </w:div>
          </w:divsChild>
        </w:div>
        <w:div w:id="999116142">
          <w:marLeft w:val="0"/>
          <w:marRight w:val="0"/>
          <w:marTop w:val="0"/>
          <w:marBottom w:val="0"/>
          <w:divBdr>
            <w:top w:val="none" w:sz="0" w:space="0" w:color="auto"/>
            <w:left w:val="none" w:sz="0" w:space="0" w:color="auto"/>
            <w:bottom w:val="none" w:sz="0" w:space="0" w:color="auto"/>
            <w:right w:val="none" w:sz="0" w:space="0" w:color="auto"/>
          </w:divBdr>
          <w:divsChild>
            <w:div w:id="57366185">
              <w:marLeft w:val="0"/>
              <w:marRight w:val="0"/>
              <w:marTop w:val="0"/>
              <w:marBottom w:val="0"/>
              <w:divBdr>
                <w:top w:val="none" w:sz="0" w:space="0" w:color="auto"/>
                <w:left w:val="none" w:sz="0" w:space="0" w:color="auto"/>
                <w:bottom w:val="none" w:sz="0" w:space="0" w:color="auto"/>
                <w:right w:val="none" w:sz="0" w:space="0" w:color="auto"/>
              </w:divBdr>
            </w:div>
          </w:divsChild>
        </w:div>
        <w:div w:id="1100956472">
          <w:marLeft w:val="0"/>
          <w:marRight w:val="0"/>
          <w:marTop w:val="0"/>
          <w:marBottom w:val="0"/>
          <w:divBdr>
            <w:top w:val="none" w:sz="0" w:space="0" w:color="auto"/>
            <w:left w:val="none" w:sz="0" w:space="0" w:color="auto"/>
            <w:bottom w:val="none" w:sz="0" w:space="0" w:color="auto"/>
            <w:right w:val="none" w:sz="0" w:space="0" w:color="auto"/>
          </w:divBdr>
          <w:divsChild>
            <w:div w:id="408769240">
              <w:marLeft w:val="0"/>
              <w:marRight w:val="0"/>
              <w:marTop w:val="0"/>
              <w:marBottom w:val="0"/>
              <w:divBdr>
                <w:top w:val="none" w:sz="0" w:space="0" w:color="auto"/>
                <w:left w:val="none" w:sz="0" w:space="0" w:color="auto"/>
                <w:bottom w:val="none" w:sz="0" w:space="0" w:color="auto"/>
                <w:right w:val="none" w:sz="0" w:space="0" w:color="auto"/>
              </w:divBdr>
            </w:div>
            <w:div w:id="1179584780">
              <w:marLeft w:val="0"/>
              <w:marRight w:val="0"/>
              <w:marTop w:val="0"/>
              <w:marBottom w:val="0"/>
              <w:divBdr>
                <w:top w:val="none" w:sz="0" w:space="0" w:color="auto"/>
                <w:left w:val="none" w:sz="0" w:space="0" w:color="auto"/>
                <w:bottom w:val="none" w:sz="0" w:space="0" w:color="auto"/>
                <w:right w:val="none" w:sz="0" w:space="0" w:color="auto"/>
              </w:divBdr>
            </w:div>
          </w:divsChild>
        </w:div>
        <w:div w:id="1356224699">
          <w:marLeft w:val="0"/>
          <w:marRight w:val="0"/>
          <w:marTop w:val="0"/>
          <w:marBottom w:val="0"/>
          <w:divBdr>
            <w:top w:val="none" w:sz="0" w:space="0" w:color="auto"/>
            <w:left w:val="none" w:sz="0" w:space="0" w:color="auto"/>
            <w:bottom w:val="none" w:sz="0" w:space="0" w:color="auto"/>
            <w:right w:val="none" w:sz="0" w:space="0" w:color="auto"/>
          </w:divBdr>
          <w:divsChild>
            <w:div w:id="1476876283">
              <w:marLeft w:val="0"/>
              <w:marRight w:val="0"/>
              <w:marTop w:val="0"/>
              <w:marBottom w:val="0"/>
              <w:divBdr>
                <w:top w:val="none" w:sz="0" w:space="0" w:color="auto"/>
                <w:left w:val="none" w:sz="0" w:space="0" w:color="auto"/>
                <w:bottom w:val="none" w:sz="0" w:space="0" w:color="auto"/>
                <w:right w:val="none" w:sz="0" w:space="0" w:color="auto"/>
              </w:divBdr>
            </w:div>
          </w:divsChild>
        </w:div>
        <w:div w:id="1376856483">
          <w:marLeft w:val="0"/>
          <w:marRight w:val="0"/>
          <w:marTop w:val="0"/>
          <w:marBottom w:val="0"/>
          <w:divBdr>
            <w:top w:val="none" w:sz="0" w:space="0" w:color="auto"/>
            <w:left w:val="none" w:sz="0" w:space="0" w:color="auto"/>
            <w:bottom w:val="none" w:sz="0" w:space="0" w:color="auto"/>
            <w:right w:val="none" w:sz="0" w:space="0" w:color="auto"/>
          </w:divBdr>
          <w:divsChild>
            <w:div w:id="1614705884">
              <w:marLeft w:val="0"/>
              <w:marRight w:val="0"/>
              <w:marTop w:val="0"/>
              <w:marBottom w:val="0"/>
              <w:divBdr>
                <w:top w:val="none" w:sz="0" w:space="0" w:color="auto"/>
                <w:left w:val="none" w:sz="0" w:space="0" w:color="auto"/>
                <w:bottom w:val="none" w:sz="0" w:space="0" w:color="auto"/>
                <w:right w:val="none" w:sz="0" w:space="0" w:color="auto"/>
              </w:divBdr>
            </w:div>
          </w:divsChild>
        </w:div>
        <w:div w:id="1405566560">
          <w:marLeft w:val="0"/>
          <w:marRight w:val="0"/>
          <w:marTop w:val="0"/>
          <w:marBottom w:val="0"/>
          <w:divBdr>
            <w:top w:val="none" w:sz="0" w:space="0" w:color="auto"/>
            <w:left w:val="none" w:sz="0" w:space="0" w:color="auto"/>
            <w:bottom w:val="none" w:sz="0" w:space="0" w:color="auto"/>
            <w:right w:val="none" w:sz="0" w:space="0" w:color="auto"/>
          </w:divBdr>
          <w:divsChild>
            <w:div w:id="1616982466">
              <w:marLeft w:val="0"/>
              <w:marRight w:val="0"/>
              <w:marTop w:val="0"/>
              <w:marBottom w:val="0"/>
              <w:divBdr>
                <w:top w:val="none" w:sz="0" w:space="0" w:color="auto"/>
                <w:left w:val="none" w:sz="0" w:space="0" w:color="auto"/>
                <w:bottom w:val="none" w:sz="0" w:space="0" w:color="auto"/>
                <w:right w:val="none" w:sz="0" w:space="0" w:color="auto"/>
              </w:divBdr>
            </w:div>
            <w:div w:id="1955672119">
              <w:marLeft w:val="0"/>
              <w:marRight w:val="0"/>
              <w:marTop w:val="0"/>
              <w:marBottom w:val="0"/>
              <w:divBdr>
                <w:top w:val="none" w:sz="0" w:space="0" w:color="auto"/>
                <w:left w:val="none" w:sz="0" w:space="0" w:color="auto"/>
                <w:bottom w:val="none" w:sz="0" w:space="0" w:color="auto"/>
                <w:right w:val="none" w:sz="0" w:space="0" w:color="auto"/>
              </w:divBdr>
            </w:div>
          </w:divsChild>
        </w:div>
        <w:div w:id="1449470181">
          <w:marLeft w:val="0"/>
          <w:marRight w:val="0"/>
          <w:marTop w:val="0"/>
          <w:marBottom w:val="0"/>
          <w:divBdr>
            <w:top w:val="none" w:sz="0" w:space="0" w:color="auto"/>
            <w:left w:val="none" w:sz="0" w:space="0" w:color="auto"/>
            <w:bottom w:val="none" w:sz="0" w:space="0" w:color="auto"/>
            <w:right w:val="none" w:sz="0" w:space="0" w:color="auto"/>
          </w:divBdr>
          <w:divsChild>
            <w:div w:id="390926920">
              <w:marLeft w:val="0"/>
              <w:marRight w:val="0"/>
              <w:marTop w:val="0"/>
              <w:marBottom w:val="0"/>
              <w:divBdr>
                <w:top w:val="none" w:sz="0" w:space="0" w:color="auto"/>
                <w:left w:val="none" w:sz="0" w:space="0" w:color="auto"/>
                <w:bottom w:val="none" w:sz="0" w:space="0" w:color="auto"/>
                <w:right w:val="none" w:sz="0" w:space="0" w:color="auto"/>
              </w:divBdr>
            </w:div>
          </w:divsChild>
        </w:div>
        <w:div w:id="1501234523">
          <w:marLeft w:val="0"/>
          <w:marRight w:val="0"/>
          <w:marTop w:val="0"/>
          <w:marBottom w:val="0"/>
          <w:divBdr>
            <w:top w:val="none" w:sz="0" w:space="0" w:color="auto"/>
            <w:left w:val="none" w:sz="0" w:space="0" w:color="auto"/>
            <w:bottom w:val="none" w:sz="0" w:space="0" w:color="auto"/>
            <w:right w:val="none" w:sz="0" w:space="0" w:color="auto"/>
          </w:divBdr>
          <w:divsChild>
            <w:div w:id="154224294">
              <w:marLeft w:val="0"/>
              <w:marRight w:val="0"/>
              <w:marTop w:val="0"/>
              <w:marBottom w:val="0"/>
              <w:divBdr>
                <w:top w:val="none" w:sz="0" w:space="0" w:color="auto"/>
                <w:left w:val="none" w:sz="0" w:space="0" w:color="auto"/>
                <w:bottom w:val="none" w:sz="0" w:space="0" w:color="auto"/>
                <w:right w:val="none" w:sz="0" w:space="0" w:color="auto"/>
              </w:divBdr>
            </w:div>
          </w:divsChild>
        </w:div>
        <w:div w:id="1533179526">
          <w:marLeft w:val="0"/>
          <w:marRight w:val="0"/>
          <w:marTop w:val="0"/>
          <w:marBottom w:val="0"/>
          <w:divBdr>
            <w:top w:val="none" w:sz="0" w:space="0" w:color="auto"/>
            <w:left w:val="none" w:sz="0" w:space="0" w:color="auto"/>
            <w:bottom w:val="none" w:sz="0" w:space="0" w:color="auto"/>
            <w:right w:val="none" w:sz="0" w:space="0" w:color="auto"/>
          </w:divBdr>
          <w:divsChild>
            <w:div w:id="1869097372">
              <w:marLeft w:val="0"/>
              <w:marRight w:val="0"/>
              <w:marTop w:val="0"/>
              <w:marBottom w:val="0"/>
              <w:divBdr>
                <w:top w:val="none" w:sz="0" w:space="0" w:color="auto"/>
                <w:left w:val="none" w:sz="0" w:space="0" w:color="auto"/>
                <w:bottom w:val="none" w:sz="0" w:space="0" w:color="auto"/>
                <w:right w:val="none" w:sz="0" w:space="0" w:color="auto"/>
              </w:divBdr>
            </w:div>
          </w:divsChild>
        </w:div>
        <w:div w:id="1579290767">
          <w:marLeft w:val="0"/>
          <w:marRight w:val="0"/>
          <w:marTop w:val="0"/>
          <w:marBottom w:val="0"/>
          <w:divBdr>
            <w:top w:val="none" w:sz="0" w:space="0" w:color="auto"/>
            <w:left w:val="none" w:sz="0" w:space="0" w:color="auto"/>
            <w:bottom w:val="none" w:sz="0" w:space="0" w:color="auto"/>
            <w:right w:val="none" w:sz="0" w:space="0" w:color="auto"/>
          </w:divBdr>
          <w:divsChild>
            <w:div w:id="217324852">
              <w:marLeft w:val="0"/>
              <w:marRight w:val="0"/>
              <w:marTop w:val="0"/>
              <w:marBottom w:val="0"/>
              <w:divBdr>
                <w:top w:val="none" w:sz="0" w:space="0" w:color="auto"/>
                <w:left w:val="none" w:sz="0" w:space="0" w:color="auto"/>
                <w:bottom w:val="none" w:sz="0" w:space="0" w:color="auto"/>
                <w:right w:val="none" w:sz="0" w:space="0" w:color="auto"/>
              </w:divBdr>
            </w:div>
            <w:div w:id="1419710849">
              <w:marLeft w:val="0"/>
              <w:marRight w:val="0"/>
              <w:marTop w:val="0"/>
              <w:marBottom w:val="0"/>
              <w:divBdr>
                <w:top w:val="none" w:sz="0" w:space="0" w:color="auto"/>
                <w:left w:val="none" w:sz="0" w:space="0" w:color="auto"/>
                <w:bottom w:val="none" w:sz="0" w:space="0" w:color="auto"/>
                <w:right w:val="none" w:sz="0" w:space="0" w:color="auto"/>
              </w:divBdr>
            </w:div>
          </w:divsChild>
        </w:div>
        <w:div w:id="1653631998">
          <w:marLeft w:val="0"/>
          <w:marRight w:val="0"/>
          <w:marTop w:val="0"/>
          <w:marBottom w:val="0"/>
          <w:divBdr>
            <w:top w:val="none" w:sz="0" w:space="0" w:color="auto"/>
            <w:left w:val="none" w:sz="0" w:space="0" w:color="auto"/>
            <w:bottom w:val="none" w:sz="0" w:space="0" w:color="auto"/>
            <w:right w:val="none" w:sz="0" w:space="0" w:color="auto"/>
          </w:divBdr>
          <w:divsChild>
            <w:div w:id="1524705038">
              <w:marLeft w:val="0"/>
              <w:marRight w:val="0"/>
              <w:marTop w:val="0"/>
              <w:marBottom w:val="0"/>
              <w:divBdr>
                <w:top w:val="none" w:sz="0" w:space="0" w:color="auto"/>
                <w:left w:val="none" w:sz="0" w:space="0" w:color="auto"/>
                <w:bottom w:val="none" w:sz="0" w:space="0" w:color="auto"/>
                <w:right w:val="none" w:sz="0" w:space="0" w:color="auto"/>
              </w:divBdr>
            </w:div>
          </w:divsChild>
        </w:div>
        <w:div w:id="1778601151">
          <w:marLeft w:val="0"/>
          <w:marRight w:val="0"/>
          <w:marTop w:val="0"/>
          <w:marBottom w:val="0"/>
          <w:divBdr>
            <w:top w:val="none" w:sz="0" w:space="0" w:color="auto"/>
            <w:left w:val="none" w:sz="0" w:space="0" w:color="auto"/>
            <w:bottom w:val="none" w:sz="0" w:space="0" w:color="auto"/>
            <w:right w:val="none" w:sz="0" w:space="0" w:color="auto"/>
          </w:divBdr>
          <w:divsChild>
            <w:div w:id="1067915969">
              <w:marLeft w:val="0"/>
              <w:marRight w:val="0"/>
              <w:marTop w:val="0"/>
              <w:marBottom w:val="0"/>
              <w:divBdr>
                <w:top w:val="none" w:sz="0" w:space="0" w:color="auto"/>
                <w:left w:val="none" w:sz="0" w:space="0" w:color="auto"/>
                <w:bottom w:val="none" w:sz="0" w:space="0" w:color="auto"/>
                <w:right w:val="none" w:sz="0" w:space="0" w:color="auto"/>
              </w:divBdr>
            </w:div>
          </w:divsChild>
        </w:div>
        <w:div w:id="1901671960">
          <w:marLeft w:val="0"/>
          <w:marRight w:val="0"/>
          <w:marTop w:val="0"/>
          <w:marBottom w:val="0"/>
          <w:divBdr>
            <w:top w:val="none" w:sz="0" w:space="0" w:color="auto"/>
            <w:left w:val="none" w:sz="0" w:space="0" w:color="auto"/>
            <w:bottom w:val="none" w:sz="0" w:space="0" w:color="auto"/>
            <w:right w:val="none" w:sz="0" w:space="0" w:color="auto"/>
          </w:divBdr>
          <w:divsChild>
            <w:div w:id="1484809076">
              <w:marLeft w:val="0"/>
              <w:marRight w:val="0"/>
              <w:marTop w:val="0"/>
              <w:marBottom w:val="0"/>
              <w:divBdr>
                <w:top w:val="none" w:sz="0" w:space="0" w:color="auto"/>
                <w:left w:val="none" w:sz="0" w:space="0" w:color="auto"/>
                <w:bottom w:val="none" w:sz="0" w:space="0" w:color="auto"/>
                <w:right w:val="none" w:sz="0" w:space="0" w:color="auto"/>
              </w:divBdr>
            </w:div>
          </w:divsChild>
        </w:div>
        <w:div w:id="1956327849">
          <w:marLeft w:val="0"/>
          <w:marRight w:val="0"/>
          <w:marTop w:val="0"/>
          <w:marBottom w:val="0"/>
          <w:divBdr>
            <w:top w:val="none" w:sz="0" w:space="0" w:color="auto"/>
            <w:left w:val="none" w:sz="0" w:space="0" w:color="auto"/>
            <w:bottom w:val="none" w:sz="0" w:space="0" w:color="auto"/>
            <w:right w:val="none" w:sz="0" w:space="0" w:color="auto"/>
          </w:divBdr>
          <w:divsChild>
            <w:div w:id="261844993">
              <w:marLeft w:val="0"/>
              <w:marRight w:val="0"/>
              <w:marTop w:val="0"/>
              <w:marBottom w:val="0"/>
              <w:divBdr>
                <w:top w:val="none" w:sz="0" w:space="0" w:color="auto"/>
                <w:left w:val="none" w:sz="0" w:space="0" w:color="auto"/>
                <w:bottom w:val="none" w:sz="0" w:space="0" w:color="auto"/>
                <w:right w:val="none" w:sz="0" w:space="0" w:color="auto"/>
              </w:divBdr>
            </w:div>
            <w:div w:id="1897159707">
              <w:marLeft w:val="0"/>
              <w:marRight w:val="0"/>
              <w:marTop w:val="0"/>
              <w:marBottom w:val="0"/>
              <w:divBdr>
                <w:top w:val="none" w:sz="0" w:space="0" w:color="auto"/>
                <w:left w:val="none" w:sz="0" w:space="0" w:color="auto"/>
                <w:bottom w:val="none" w:sz="0" w:space="0" w:color="auto"/>
                <w:right w:val="none" w:sz="0" w:space="0" w:color="auto"/>
              </w:divBdr>
            </w:div>
          </w:divsChild>
        </w:div>
        <w:div w:id="1966153145">
          <w:marLeft w:val="0"/>
          <w:marRight w:val="0"/>
          <w:marTop w:val="0"/>
          <w:marBottom w:val="0"/>
          <w:divBdr>
            <w:top w:val="none" w:sz="0" w:space="0" w:color="auto"/>
            <w:left w:val="none" w:sz="0" w:space="0" w:color="auto"/>
            <w:bottom w:val="none" w:sz="0" w:space="0" w:color="auto"/>
            <w:right w:val="none" w:sz="0" w:space="0" w:color="auto"/>
          </w:divBdr>
          <w:divsChild>
            <w:div w:id="1120805959">
              <w:marLeft w:val="0"/>
              <w:marRight w:val="0"/>
              <w:marTop w:val="0"/>
              <w:marBottom w:val="0"/>
              <w:divBdr>
                <w:top w:val="none" w:sz="0" w:space="0" w:color="auto"/>
                <w:left w:val="none" w:sz="0" w:space="0" w:color="auto"/>
                <w:bottom w:val="none" w:sz="0" w:space="0" w:color="auto"/>
                <w:right w:val="none" w:sz="0" w:space="0" w:color="auto"/>
              </w:divBdr>
            </w:div>
            <w:div w:id="13322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7002">
      <w:bodyDiv w:val="1"/>
      <w:marLeft w:val="0"/>
      <w:marRight w:val="0"/>
      <w:marTop w:val="0"/>
      <w:marBottom w:val="0"/>
      <w:divBdr>
        <w:top w:val="none" w:sz="0" w:space="0" w:color="auto"/>
        <w:left w:val="none" w:sz="0" w:space="0" w:color="auto"/>
        <w:bottom w:val="none" w:sz="0" w:space="0" w:color="auto"/>
        <w:right w:val="none" w:sz="0" w:space="0" w:color="auto"/>
      </w:divBdr>
      <w:divsChild>
        <w:div w:id="1411854951">
          <w:marLeft w:val="0"/>
          <w:marRight w:val="0"/>
          <w:marTop w:val="0"/>
          <w:marBottom w:val="0"/>
          <w:divBdr>
            <w:top w:val="none" w:sz="0" w:space="0" w:color="auto"/>
            <w:left w:val="none" w:sz="0" w:space="0" w:color="auto"/>
            <w:bottom w:val="none" w:sz="0" w:space="0" w:color="auto"/>
            <w:right w:val="none" w:sz="0" w:space="0" w:color="auto"/>
          </w:divBdr>
          <w:divsChild>
            <w:div w:id="83456331">
              <w:marLeft w:val="0"/>
              <w:marRight w:val="0"/>
              <w:marTop w:val="0"/>
              <w:marBottom w:val="0"/>
              <w:divBdr>
                <w:top w:val="none" w:sz="0" w:space="0" w:color="auto"/>
                <w:left w:val="none" w:sz="0" w:space="0" w:color="auto"/>
                <w:bottom w:val="none" w:sz="0" w:space="0" w:color="auto"/>
                <w:right w:val="none" w:sz="0" w:space="0" w:color="auto"/>
              </w:divBdr>
            </w:div>
            <w:div w:id="209651839">
              <w:marLeft w:val="0"/>
              <w:marRight w:val="0"/>
              <w:marTop w:val="0"/>
              <w:marBottom w:val="0"/>
              <w:divBdr>
                <w:top w:val="none" w:sz="0" w:space="0" w:color="auto"/>
                <w:left w:val="none" w:sz="0" w:space="0" w:color="auto"/>
                <w:bottom w:val="none" w:sz="0" w:space="0" w:color="auto"/>
                <w:right w:val="none" w:sz="0" w:space="0" w:color="auto"/>
              </w:divBdr>
            </w:div>
            <w:div w:id="265428307">
              <w:marLeft w:val="0"/>
              <w:marRight w:val="0"/>
              <w:marTop w:val="0"/>
              <w:marBottom w:val="0"/>
              <w:divBdr>
                <w:top w:val="none" w:sz="0" w:space="0" w:color="auto"/>
                <w:left w:val="none" w:sz="0" w:space="0" w:color="auto"/>
                <w:bottom w:val="none" w:sz="0" w:space="0" w:color="auto"/>
                <w:right w:val="none" w:sz="0" w:space="0" w:color="auto"/>
              </w:divBdr>
            </w:div>
            <w:div w:id="275799788">
              <w:marLeft w:val="0"/>
              <w:marRight w:val="0"/>
              <w:marTop w:val="0"/>
              <w:marBottom w:val="0"/>
              <w:divBdr>
                <w:top w:val="none" w:sz="0" w:space="0" w:color="auto"/>
                <w:left w:val="none" w:sz="0" w:space="0" w:color="auto"/>
                <w:bottom w:val="none" w:sz="0" w:space="0" w:color="auto"/>
                <w:right w:val="none" w:sz="0" w:space="0" w:color="auto"/>
              </w:divBdr>
            </w:div>
            <w:div w:id="365371409">
              <w:marLeft w:val="0"/>
              <w:marRight w:val="0"/>
              <w:marTop w:val="0"/>
              <w:marBottom w:val="0"/>
              <w:divBdr>
                <w:top w:val="none" w:sz="0" w:space="0" w:color="auto"/>
                <w:left w:val="none" w:sz="0" w:space="0" w:color="auto"/>
                <w:bottom w:val="none" w:sz="0" w:space="0" w:color="auto"/>
                <w:right w:val="none" w:sz="0" w:space="0" w:color="auto"/>
              </w:divBdr>
            </w:div>
            <w:div w:id="420682540">
              <w:marLeft w:val="0"/>
              <w:marRight w:val="0"/>
              <w:marTop w:val="0"/>
              <w:marBottom w:val="0"/>
              <w:divBdr>
                <w:top w:val="none" w:sz="0" w:space="0" w:color="auto"/>
                <w:left w:val="none" w:sz="0" w:space="0" w:color="auto"/>
                <w:bottom w:val="none" w:sz="0" w:space="0" w:color="auto"/>
                <w:right w:val="none" w:sz="0" w:space="0" w:color="auto"/>
              </w:divBdr>
            </w:div>
            <w:div w:id="511380848">
              <w:marLeft w:val="0"/>
              <w:marRight w:val="0"/>
              <w:marTop w:val="0"/>
              <w:marBottom w:val="0"/>
              <w:divBdr>
                <w:top w:val="none" w:sz="0" w:space="0" w:color="auto"/>
                <w:left w:val="none" w:sz="0" w:space="0" w:color="auto"/>
                <w:bottom w:val="none" w:sz="0" w:space="0" w:color="auto"/>
                <w:right w:val="none" w:sz="0" w:space="0" w:color="auto"/>
              </w:divBdr>
            </w:div>
            <w:div w:id="587079049">
              <w:marLeft w:val="0"/>
              <w:marRight w:val="0"/>
              <w:marTop w:val="0"/>
              <w:marBottom w:val="0"/>
              <w:divBdr>
                <w:top w:val="none" w:sz="0" w:space="0" w:color="auto"/>
                <w:left w:val="none" w:sz="0" w:space="0" w:color="auto"/>
                <w:bottom w:val="none" w:sz="0" w:space="0" w:color="auto"/>
                <w:right w:val="none" w:sz="0" w:space="0" w:color="auto"/>
              </w:divBdr>
            </w:div>
            <w:div w:id="655185929">
              <w:marLeft w:val="0"/>
              <w:marRight w:val="0"/>
              <w:marTop w:val="0"/>
              <w:marBottom w:val="0"/>
              <w:divBdr>
                <w:top w:val="none" w:sz="0" w:space="0" w:color="auto"/>
                <w:left w:val="none" w:sz="0" w:space="0" w:color="auto"/>
                <w:bottom w:val="none" w:sz="0" w:space="0" w:color="auto"/>
                <w:right w:val="none" w:sz="0" w:space="0" w:color="auto"/>
              </w:divBdr>
            </w:div>
            <w:div w:id="706879331">
              <w:marLeft w:val="0"/>
              <w:marRight w:val="0"/>
              <w:marTop w:val="0"/>
              <w:marBottom w:val="0"/>
              <w:divBdr>
                <w:top w:val="none" w:sz="0" w:space="0" w:color="auto"/>
                <w:left w:val="none" w:sz="0" w:space="0" w:color="auto"/>
                <w:bottom w:val="none" w:sz="0" w:space="0" w:color="auto"/>
                <w:right w:val="none" w:sz="0" w:space="0" w:color="auto"/>
              </w:divBdr>
            </w:div>
            <w:div w:id="852494080">
              <w:marLeft w:val="0"/>
              <w:marRight w:val="0"/>
              <w:marTop w:val="0"/>
              <w:marBottom w:val="0"/>
              <w:divBdr>
                <w:top w:val="none" w:sz="0" w:space="0" w:color="auto"/>
                <w:left w:val="none" w:sz="0" w:space="0" w:color="auto"/>
                <w:bottom w:val="none" w:sz="0" w:space="0" w:color="auto"/>
                <w:right w:val="none" w:sz="0" w:space="0" w:color="auto"/>
              </w:divBdr>
            </w:div>
            <w:div w:id="963845838">
              <w:marLeft w:val="0"/>
              <w:marRight w:val="0"/>
              <w:marTop w:val="0"/>
              <w:marBottom w:val="0"/>
              <w:divBdr>
                <w:top w:val="none" w:sz="0" w:space="0" w:color="auto"/>
                <w:left w:val="none" w:sz="0" w:space="0" w:color="auto"/>
                <w:bottom w:val="none" w:sz="0" w:space="0" w:color="auto"/>
                <w:right w:val="none" w:sz="0" w:space="0" w:color="auto"/>
              </w:divBdr>
            </w:div>
            <w:div w:id="1087964221">
              <w:marLeft w:val="0"/>
              <w:marRight w:val="0"/>
              <w:marTop w:val="0"/>
              <w:marBottom w:val="0"/>
              <w:divBdr>
                <w:top w:val="none" w:sz="0" w:space="0" w:color="auto"/>
                <w:left w:val="none" w:sz="0" w:space="0" w:color="auto"/>
                <w:bottom w:val="none" w:sz="0" w:space="0" w:color="auto"/>
                <w:right w:val="none" w:sz="0" w:space="0" w:color="auto"/>
              </w:divBdr>
            </w:div>
            <w:div w:id="1446386485">
              <w:marLeft w:val="0"/>
              <w:marRight w:val="0"/>
              <w:marTop w:val="0"/>
              <w:marBottom w:val="0"/>
              <w:divBdr>
                <w:top w:val="none" w:sz="0" w:space="0" w:color="auto"/>
                <w:left w:val="none" w:sz="0" w:space="0" w:color="auto"/>
                <w:bottom w:val="none" w:sz="0" w:space="0" w:color="auto"/>
                <w:right w:val="none" w:sz="0" w:space="0" w:color="auto"/>
              </w:divBdr>
            </w:div>
            <w:div w:id="1501846602">
              <w:marLeft w:val="0"/>
              <w:marRight w:val="0"/>
              <w:marTop w:val="0"/>
              <w:marBottom w:val="0"/>
              <w:divBdr>
                <w:top w:val="none" w:sz="0" w:space="0" w:color="auto"/>
                <w:left w:val="none" w:sz="0" w:space="0" w:color="auto"/>
                <w:bottom w:val="none" w:sz="0" w:space="0" w:color="auto"/>
                <w:right w:val="none" w:sz="0" w:space="0" w:color="auto"/>
              </w:divBdr>
            </w:div>
            <w:div w:id="1554998097">
              <w:marLeft w:val="0"/>
              <w:marRight w:val="0"/>
              <w:marTop w:val="0"/>
              <w:marBottom w:val="0"/>
              <w:divBdr>
                <w:top w:val="none" w:sz="0" w:space="0" w:color="auto"/>
                <w:left w:val="none" w:sz="0" w:space="0" w:color="auto"/>
                <w:bottom w:val="none" w:sz="0" w:space="0" w:color="auto"/>
                <w:right w:val="none" w:sz="0" w:space="0" w:color="auto"/>
              </w:divBdr>
            </w:div>
            <w:div w:id="1719275595">
              <w:marLeft w:val="0"/>
              <w:marRight w:val="0"/>
              <w:marTop w:val="0"/>
              <w:marBottom w:val="0"/>
              <w:divBdr>
                <w:top w:val="none" w:sz="0" w:space="0" w:color="auto"/>
                <w:left w:val="none" w:sz="0" w:space="0" w:color="auto"/>
                <w:bottom w:val="none" w:sz="0" w:space="0" w:color="auto"/>
                <w:right w:val="none" w:sz="0" w:space="0" w:color="auto"/>
              </w:divBdr>
            </w:div>
            <w:div w:id="1836216245">
              <w:marLeft w:val="0"/>
              <w:marRight w:val="0"/>
              <w:marTop w:val="0"/>
              <w:marBottom w:val="0"/>
              <w:divBdr>
                <w:top w:val="none" w:sz="0" w:space="0" w:color="auto"/>
                <w:left w:val="none" w:sz="0" w:space="0" w:color="auto"/>
                <w:bottom w:val="none" w:sz="0" w:space="0" w:color="auto"/>
                <w:right w:val="none" w:sz="0" w:space="0" w:color="auto"/>
              </w:divBdr>
            </w:div>
            <w:div w:id="1848711502">
              <w:marLeft w:val="0"/>
              <w:marRight w:val="0"/>
              <w:marTop w:val="0"/>
              <w:marBottom w:val="0"/>
              <w:divBdr>
                <w:top w:val="none" w:sz="0" w:space="0" w:color="auto"/>
                <w:left w:val="none" w:sz="0" w:space="0" w:color="auto"/>
                <w:bottom w:val="none" w:sz="0" w:space="0" w:color="auto"/>
                <w:right w:val="none" w:sz="0" w:space="0" w:color="auto"/>
              </w:divBdr>
            </w:div>
            <w:div w:id="2113351659">
              <w:marLeft w:val="0"/>
              <w:marRight w:val="0"/>
              <w:marTop w:val="0"/>
              <w:marBottom w:val="0"/>
              <w:divBdr>
                <w:top w:val="none" w:sz="0" w:space="0" w:color="auto"/>
                <w:left w:val="none" w:sz="0" w:space="0" w:color="auto"/>
                <w:bottom w:val="none" w:sz="0" w:space="0" w:color="auto"/>
                <w:right w:val="none" w:sz="0" w:space="0" w:color="auto"/>
              </w:divBdr>
            </w:div>
          </w:divsChild>
        </w:div>
        <w:div w:id="1494636833">
          <w:marLeft w:val="0"/>
          <w:marRight w:val="0"/>
          <w:marTop w:val="0"/>
          <w:marBottom w:val="0"/>
          <w:divBdr>
            <w:top w:val="none" w:sz="0" w:space="0" w:color="auto"/>
            <w:left w:val="none" w:sz="0" w:space="0" w:color="auto"/>
            <w:bottom w:val="none" w:sz="0" w:space="0" w:color="auto"/>
            <w:right w:val="none" w:sz="0" w:space="0" w:color="auto"/>
          </w:divBdr>
          <w:divsChild>
            <w:div w:id="18624789">
              <w:marLeft w:val="0"/>
              <w:marRight w:val="0"/>
              <w:marTop w:val="0"/>
              <w:marBottom w:val="0"/>
              <w:divBdr>
                <w:top w:val="none" w:sz="0" w:space="0" w:color="auto"/>
                <w:left w:val="none" w:sz="0" w:space="0" w:color="auto"/>
                <w:bottom w:val="none" w:sz="0" w:space="0" w:color="auto"/>
                <w:right w:val="none" w:sz="0" w:space="0" w:color="auto"/>
              </w:divBdr>
            </w:div>
            <w:div w:id="32929303">
              <w:marLeft w:val="0"/>
              <w:marRight w:val="0"/>
              <w:marTop w:val="0"/>
              <w:marBottom w:val="0"/>
              <w:divBdr>
                <w:top w:val="none" w:sz="0" w:space="0" w:color="auto"/>
                <w:left w:val="none" w:sz="0" w:space="0" w:color="auto"/>
                <w:bottom w:val="none" w:sz="0" w:space="0" w:color="auto"/>
                <w:right w:val="none" w:sz="0" w:space="0" w:color="auto"/>
              </w:divBdr>
            </w:div>
            <w:div w:id="180822936">
              <w:marLeft w:val="0"/>
              <w:marRight w:val="0"/>
              <w:marTop w:val="0"/>
              <w:marBottom w:val="0"/>
              <w:divBdr>
                <w:top w:val="none" w:sz="0" w:space="0" w:color="auto"/>
                <w:left w:val="none" w:sz="0" w:space="0" w:color="auto"/>
                <w:bottom w:val="none" w:sz="0" w:space="0" w:color="auto"/>
                <w:right w:val="none" w:sz="0" w:space="0" w:color="auto"/>
              </w:divBdr>
            </w:div>
            <w:div w:id="252396561">
              <w:marLeft w:val="0"/>
              <w:marRight w:val="0"/>
              <w:marTop w:val="0"/>
              <w:marBottom w:val="0"/>
              <w:divBdr>
                <w:top w:val="none" w:sz="0" w:space="0" w:color="auto"/>
                <w:left w:val="none" w:sz="0" w:space="0" w:color="auto"/>
                <w:bottom w:val="none" w:sz="0" w:space="0" w:color="auto"/>
                <w:right w:val="none" w:sz="0" w:space="0" w:color="auto"/>
              </w:divBdr>
            </w:div>
            <w:div w:id="429283323">
              <w:marLeft w:val="0"/>
              <w:marRight w:val="0"/>
              <w:marTop w:val="0"/>
              <w:marBottom w:val="0"/>
              <w:divBdr>
                <w:top w:val="none" w:sz="0" w:space="0" w:color="auto"/>
                <w:left w:val="none" w:sz="0" w:space="0" w:color="auto"/>
                <w:bottom w:val="none" w:sz="0" w:space="0" w:color="auto"/>
                <w:right w:val="none" w:sz="0" w:space="0" w:color="auto"/>
              </w:divBdr>
            </w:div>
            <w:div w:id="460342970">
              <w:marLeft w:val="0"/>
              <w:marRight w:val="0"/>
              <w:marTop w:val="0"/>
              <w:marBottom w:val="0"/>
              <w:divBdr>
                <w:top w:val="none" w:sz="0" w:space="0" w:color="auto"/>
                <w:left w:val="none" w:sz="0" w:space="0" w:color="auto"/>
                <w:bottom w:val="none" w:sz="0" w:space="0" w:color="auto"/>
                <w:right w:val="none" w:sz="0" w:space="0" w:color="auto"/>
              </w:divBdr>
            </w:div>
            <w:div w:id="480972640">
              <w:marLeft w:val="0"/>
              <w:marRight w:val="0"/>
              <w:marTop w:val="0"/>
              <w:marBottom w:val="0"/>
              <w:divBdr>
                <w:top w:val="none" w:sz="0" w:space="0" w:color="auto"/>
                <w:left w:val="none" w:sz="0" w:space="0" w:color="auto"/>
                <w:bottom w:val="none" w:sz="0" w:space="0" w:color="auto"/>
                <w:right w:val="none" w:sz="0" w:space="0" w:color="auto"/>
              </w:divBdr>
            </w:div>
            <w:div w:id="630940190">
              <w:marLeft w:val="0"/>
              <w:marRight w:val="0"/>
              <w:marTop w:val="0"/>
              <w:marBottom w:val="0"/>
              <w:divBdr>
                <w:top w:val="none" w:sz="0" w:space="0" w:color="auto"/>
                <w:left w:val="none" w:sz="0" w:space="0" w:color="auto"/>
                <w:bottom w:val="none" w:sz="0" w:space="0" w:color="auto"/>
                <w:right w:val="none" w:sz="0" w:space="0" w:color="auto"/>
              </w:divBdr>
            </w:div>
            <w:div w:id="643850756">
              <w:marLeft w:val="0"/>
              <w:marRight w:val="0"/>
              <w:marTop w:val="0"/>
              <w:marBottom w:val="0"/>
              <w:divBdr>
                <w:top w:val="none" w:sz="0" w:space="0" w:color="auto"/>
                <w:left w:val="none" w:sz="0" w:space="0" w:color="auto"/>
                <w:bottom w:val="none" w:sz="0" w:space="0" w:color="auto"/>
                <w:right w:val="none" w:sz="0" w:space="0" w:color="auto"/>
              </w:divBdr>
            </w:div>
            <w:div w:id="710568804">
              <w:marLeft w:val="0"/>
              <w:marRight w:val="0"/>
              <w:marTop w:val="0"/>
              <w:marBottom w:val="0"/>
              <w:divBdr>
                <w:top w:val="none" w:sz="0" w:space="0" w:color="auto"/>
                <w:left w:val="none" w:sz="0" w:space="0" w:color="auto"/>
                <w:bottom w:val="none" w:sz="0" w:space="0" w:color="auto"/>
                <w:right w:val="none" w:sz="0" w:space="0" w:color="auto"/>
              </w:divBdr>
            </w:div>
            <w:div w:id="1047874967">
              <w:marLeft w:val="0"/>
              <w:marRight w:val="0"/>
              <w:marTop w:val="0"/>
              <w:marBottom w:val="0"/>
              <w:divBdr>
                <w:top w:val="none" w:sz="0" w:space="0" w:color="auto"/>
                <w:left w:val="none" w:sz="0" w:space="0" w:color="auto"/>
                <w:bottom w:val="none" w:sz="0" w:space="0" w:color="auto"/>
                <w:right w:val="none" w:sz="0" w:space="0" w:color="auto"/>
              </w:divBdr>
            </w:div>
            <w:div w:id="1052384330">
              <w:marLeft w:val="0"/>
              <w:marRight w:val="0"/>
              <w:marTop w:val="0"/>
              <w:marBottom w:val="0"/>
              <w:divBdr>
                <w:top w:val="none" w:sz="0" w:space="0" w:color="auto"/>
                <w:left w:val="none" w:sz="0" w:space="0" w:color="auto"/>
                <w:bottom w:val="none" w:sz="0" w:space="0" w:color="auto"/>
                <w:right w:val="none" w:sz="0" w:space="0" w:color="auto"/>
              </w:divBdr>
            </w:div>
            <w:div w:id="1294025497">
              <w:marLeft w:val="0"/>
              <w:marRight w:val="0"/>
              <w:marTop w:val="0"/>
              <w:marBottom w:val="0"/>
              <w:divBdr>
                <w:top w:val="none" w:sz="0" w:space="0" w:color="auto"/>
                <w:left w:val="none" w:sz="0" w:space="0" w:color="auto"/>
                <w:bottom w:val="none" w:sz="0" w:space="0" w:color="auto"/>
                <w:right w:val="none" w:sz="0" w:space="0" w:color="auto"/>
              </w:divBdr>
            </w:div>
            <w:div w:id="1509834276">
              <w:marLeft w:val="0"/>
              <w:marRight w:val="0"/>
              <w:marTop w:val="0"/>
              <w:marBottom w:val="0"/>
              <w:divBdr>
                <w:top w:val="none" w:sz="0" w:space="0" w:color="auto"/>
                <w:left w:val="none" w:sz="0" w:space="0" w:color="auto"/>
                <w:bottom w:val="none" w:sz="0" w:space="0" w:color="auto"/>
                <w:right w:val="none" w:sz="0" w:space="0" w:color="auto"/>
              </w:divBdr>
            </w:div>
            <w:div w:id="1675256699">
              <w:marLeft w:val="0"/>
              <w:marRight w:val="0"/>
              <w:marTop w:val="0"/>
              <w:marBottom w:val="0"/>
              <w:divBdr>
                <w:top w:val="none" w:sz="0" w:space="0" w:color="auto"/>
                <w:left w:val="none" w:sz="0" w:space="0" w:color="auto"/>
                <w:bottom w:val="none" w:sz="0" w:space="0" w:color="auto"/>
                <w:right w:val="none" w:sz="0" w:space="0" w:color="auto"/>
              </w:divBdr>
            </w:div>
            <w:div w:id="1895191232">
              <w:marLeft w:val="0"/>
              <w:marRight w:val="0"/>
              <w:marTop w:val="0"/>
              <w:marBottom w:val="0"/>
              <w:divBdr>
                <w:top w:val="none" w:sz="0" w:space="0" w:color="auto"/>
                <w:left w:val="none" w:sz="0" w:space="0" w:color="auto"/>
                <w:bottom w:val="none" w:sz="0" w:space="0" w:color="auto"/>
                <w:right w:val="none" w:sz="0" w:space="0" w:color="auto"/>
              </w:divBdr>
            </w:div>
            <w:div w:id="1950163188">
              <w:marLeft w:val="0"/>
              <w:marRight w:val="0"/>
              <w:marTop w:val="0"/>
              <w:marBottom w:val="0"/>
              <w:divBdr>
                <w:top w:val="none" w:sz="0" w:space="0" w:color="auto"/>
                <w:left w:val="none" w:sz="0" w:space="0" w:color="auto"/>
                <w:bottom w:val="none" w:sz="0" w:space="0" w:color="auto"/>
                <w:right w:val="none" w:sz="0" w:space="0" w:color="auto"/>
              </w:divBdr>
            </w:div>
            <w:div w:id="1968508046">
              <w:marLeft w:val="0"/>
              <w:marRight w:val="0"/>
              <w:marTop w:val="0"/>
              <w:marBottom w:val="0"/>
              <w:divBdr>
                <w:top w:val="none" w:sz="0" w:space="0" w:color="auto"/>
                <w:left w:val="none" w:sz="0" w:space="0" w:color="auto"/>
                <w:bottom w:val="none" w:sz="0" w:space="0" w:color="auto"/>
                <w:right w:val="none" w:sz="0" w:space="0" w:color="auto"/>
              </w:divBdr>
            </w:div>
            <w:div w:id="2144233590">
              <w:marLeft w:val="0"/>
              <w:marRight w:val="0"/>
              <w:marTop w:val="0"/>
              <w:marBottom w:val="0"/>
              <w:divBdr>
                <w:top w:val="none" w:sz="0" w:space="0" w:color="auto"/>
                <w:left w:val="none" w:sz="0" w:space="0" w:color="auto"/>
                <w:bottom w:val="none" w:sz="0" w:space="0" w:color="auto"/>
                <w:right w:val="none" w:sz="0" w:space="0" w:color="auto"/>
              </w:divBdr>
            </w:div>
          </w:divsChild>
        </w:div>
        <w:div w:id="1972244189">
          <w:marLeft w:val="0"/>
          <w:marRight w:val="0"/>
          <w:marTop w:val="0"/>
          <w:marBottom w:val="0"/>
          <w:divBdr>
            <w:top w:val="none" w:sz="0" w:space="0" w:color="auto"/>
            <w:left w:val="none" w:sz="0" w:space="0" w:color="auto"/>
            <w:bottom w:val="none" w:sz="0" w:space="0" w:color="auto"/>
            <w:right w:val="none" w:sz="0" w:space="0" w:color="auto"/>
          </w:divBdr>
          <w:divsChild>
            <w:div w:id="22757746">
              <w:marLeft w:val="0"/>
              <w:marRight w:val="0"/>
              <w:marTop w:val="0"/>
              <w:marBottom w:val="0"/>
              <w:divBdr>
                <w:top w:val="none" w:sz="0" w:space="0" w:color="auto"/>
                <w:left w:val="none" w:sz="0" w:space="0" w:color="auto"/>
                <w:bottom w:val="none" w:sz="0" w:space="0" w:color="auto"/>
                <w:right w:val="none" w:sz="0" w:space="0" w:color="auto"/>
              </w:divBdr>
            </w:div>
            <w:div w:id="209147417">
              <w:marLeft w:val="0"/>
              <w:marRight w:val="0"/>
              <w:marTop w:val="0"/>
              <w:marBottom w:val="0"/>
              <w:divBdr>
                <w:top w:val="none" w:sz="0" w:space="0" w:color="auto"/>
                <w:left w:val="none" w:sz="0" w:space="0" w:color="auto"/>
                <w:bottom w:val="none" w:sz="0" w:space="0" w:color="auto"/>
                <w:right w:val="none" w:sz="0" w:space="0" w:color="auto"/>
              </w:divBdr>
            </w:div>
            <w:div w:id="235482816">
              <w:marLeft w:val="0"/>
              <w:marRight w:val="0"/>
              <w:marTop w:val="0"/>
              <w:marBottom w:val="0"/>
              <w:divBdr>
                <w:top w:val="none" w:sz="0" w:space="0" w:color="auto"/>
                <w:left w:val="none" w:sz="0" w:space="0" w:color="auto"/>
                <w:bottom w:val="none" w:sz="0" w:space="0" w:color="auto"/>
                <w:right w:val="none" w:sz="0" w:space="0" w:color="auto"/>
              </w:divBdr>
            </w:div>
            <w:div w:id="292954355">
              <w:marLeft w:val="0"/>
              <w:marRight w:val="0"/>
              <w:marTop w:val="0"/>
              <w:marBottom w:val="0"/>
              <w:divBdr>
                <w:top w:val="none" w:sz="0" w:space="0" w:color="auto"/>
                <w:left w:val="none" w:sz="0" w:space="0" w:color="auto"/>
                <w:bottom w:val="none" w:sz="0" w:space="0" w:color="auto"/>
                <w:right w:val="none" w:sz="0" w:space="0" w:color="auto"/>
              </w:divBdr>
            </w:div>
            <w:div w:id="330449492">
              <w:marLeft w:val="0"/>
              <w:marRight w:val="0"/>
              <w:marTop w:val="0"/>
              <w:marBottom w:val="0"/>
              <w:divBdr>
                <w:top w:val="none" w:sz="0" w:space="0" w:color="auto"/>
                <w:left w:val="none" w:sz="0" w:space="0" w:color="auto"/>
                <w:bottom w:val="none" w:sz="0" w:space="0" w:color="auto"/>
                <w:right w:val="none" w:sz="0" w:space="0" w:color="auto"/>
              </w:divBdr>
            </w:div>
            <w:div w:id="375742801">
              <w:marLeft w:val="0"/>
              <w:marRight w:val="0"/>
              <w:marTop w:val="0"/>
              <w:marBottom w:val="0"/>
              <w:divBdr>
                <w:top w:val="none" w:sz="0" w:space="0" w:color="auto"/>
                <w:left w:val="none" w:sz="0" w:space="0" w:color="auto"/>
                <w:bottom w:val="none" w:sz="0" w:space="0" w:color="auto"/>
                <w:right w:val="none" w:sz="0" w:space="0" w:color="auto"/>
              </w:divBdr>
            </w:div>
            <w:div w:id="384061765">
              <w:marLeft w:val="0"/>
              <w:marRight w:val="0"/>
              <w:marTop w:val="0"/>
              <w:marBottom w:val="0"/>
              <w:divBdr>
                <w:top w:val="none" w:sz="0" w:space="0" w:color="auto"/>
                <w:left w:val="none" w:sz="0" w:space="0" w:color="auto"/>
                <w:bottom w:val="none" w:sz="0" w:space="0" w:color="auto"/>
                <w:right w:val="none" w:sz="0" w:space="0" w:color="auto"/>
              </w:divBdr>
            </w:div>
            <w:div w:id="545025383">
              <w:marLeft w:val="0"/>
              <w:marRight w:val="0"/>
              <w:marTop w:val="0"/>
              <w:marBottom w:val="0"/>
              <w:divBdr>
                <w:top w:val="none" w:sz="0" w:space="0" w:color="auto"/>
                <w:left w:val="none" w:sz="0" w:space="0" w:color="auto"/>
                <w:bottom w:val="none" w:sz="0" w:space="0" w:color="auto"/>
                <w:right w:val="none" w:sz="0" w:space="0" w:color="auto"/>
              </w:divBdr>
            </w:div>
            <w:div w:id="558443477">
              <w:marLeft w:val="0"/>
              <w:marRight w:val="0"/>
              <w:marTop w:val="0"/>
              <w:marBottom w:val="0"/>
              <w:divBdr>
                <w:top w:val="none" w:sz="0" w:space="0" w:color="auto"/>
                <w:left w:val="none" w:sz="0" w:space="0" w:color="auto"/>
                <w:bottom w:val="none" w:sz="0" w:space="0" w:color="auto"/>
                <w:right w:val="none" w:sz="0" w:space="0" w:color="auto"/>
              </w:divBdr>
            </w:div>
            <w:div w:id="832186641">
              <w:marLeft w:val="0"/>
              <w:marRight w:val="0"/>
              <w:marTop w:val="0"/>
              <w:marBottom w:val="0"/>
              <w:divBdr>
                <w:top w:val="none" w:sz="0" w:space="0" w:color="auto"/>
                <w:left w:val="none" w:sz="0" w:space="0" w:color="auto"/>
                <w:bottom w:val="none" w:sz="0" w:space="0" w:color="auto"/>
                <w:right w:val="none" w:sz="0" w:space="0" w:color="auto"/>
              </w:divBdr>
            </w:div>
            <w:div w:id="860821391">
              <w:marLeft w:val="0"/>
              <w:marRight w:val="0"/>
              <w:marTop w:val="0"/>
              <w:marBottom w:val="0"/>
              <w:divBdr>
                <w:top w:val="none" w:sz="0" w:space="0" w:color="auto"/>
                <w:left w:val="none" w:sz="0" w:space="0" w:color="auto"/>
                <w:bottom w:val="none" w:sz="0" w:space="0" w:color="auto"/>
                <w:right w:val="none" w:sz="0" w:space="0" w:color="auto"/>
              </w:divBdr>
            </w:div>
            <w:div w:id="876549935">
              <w:marLeft w:val="0"/>
              <w:marRight w:val="0"/>
              <w:marTop w:val="0"/>
              <w:marBottom w:val="0"/>
              <w:divBdr>
                <w:top w:val="none" w:sz="0" w:space="0" w:color="auto"/>
                <w:left w:val="none" w:sz="0" w:space="0" w:color="auto"/>
                <w:bottom w:val="none" w:sz="0" w:space="0" w:color="auto"/>
                <w:right w:val="none" w:sz="0" w:space="0" w:color="auto"/>
              </w:divBdr>
            </w:div>
            <w:div w:id="1021587756">
              <w:marLeft w:val="0"/>
              <w:marRight w:val="0"/>
              <w:marTop w:val="0"/>
              <w:marBottom w:val="0"/>
              <w:divBdr>
                <w:top w:val="none" w:sz="0" w:space="0" w:color="auto"/>
                <w:left w:val="none" w:sz="0" w:space="0" w:color="auto"/>
                <w:bottom w:val="none" w:sz="0" w:space="0" w:color="auto"/>
                <w:right w:val="none" w:sz="0" w:space="0" w:color="auto"/>
              </w:divBdr>
            </w:div>
            <w:div w:id="1178740786">
              <w:marLeft w:val="0"/>
              <w:marRight w:val="0"/>
              <w:marTop w:val="0"/>
              <w:marBottom w:val="0"/>
              <w:divBdr>
                <w:top w:val="none" w:sz="0" w:space="0" w:color="auto"/>
                <w:left w:val="none" w:sz="0" w:space="0" w:color="auto"/>
                <w:bottom w:val="none" w:sz="0" w:space="0" w:color="auto"/>
                <w:right w:val="none" w:sz="0" w:space="0" w:color="auto"/>
              </w:divBdr>
            </w:div>
            <w:div w:id="1204904858">
              <w:marLeft w:val="0"/>
              <w:marRight w:val="0"/>
              <w:marTop w:val="0"/>
              <w:marBottom w:val="0"/>
              <w:divBdr>
                <w:top w:val="none" w:sz="0" w:space="0" w:color="auto"/>
                <w:left w:val="none" w:sz="0" w:space="0" w:color="auto"/>
                <w:bottom w:val="none" w:sz="0" w:space="0" w:color="auto"/>
                <w:right w:val="none" w:sz="0" w:space="0" w:color="auto"/>
              </w:divBdr>
            </w:div>
            <w:div w:id="1228951459">
              <w:marLeft w:val="0"/>
              <w:marRight w:val="0"/>
              <w:marTop w:val="0"/>
              <w:marBottom w:val="0"/>
              <w:divBdr>
                <w:top w:val="none" w:sz="0" w:space="0" w:color="auto"/>
                <w:left w:val="none" w:sz="0" w:space="0" w:color="auto"/>
                <w:bottom w:val="none" w:sz="0" w:space="0" w:color="auto"/>
                <w:right w:val="none" w:sz="0" w:space="0" w:color="auto"/>
              </w:divBdr>
            </w:div>
            <w:div w:id="1502810808">
              <w:marLeft w:val="0"/>
              <w:marRight w:val="0"/>
              <w:marTop w:val="0"/>
              <w:marBottom w:val="0"/>
              <w:divBdr>
                <w:top w:val="none" w:sz="0" w:space="0" w:color="auto"/>
                <w:left w:val="none" w:sz="0" w:space="0" w:color="auto"/>
                <w:bottom w:val="none" w:sz="0" w:space="0" w:color="auto"/>
                <w:right w:val="none" w:sz="0" w:space="0" w:color="auto"/>
              </w:divBdr>
            </w:div>
            <w:div w:id="1608854948">
              <w:marLeft w:val="0"/>
              <w:marRight w:val="0"/>
              <w:marTop w:val="0"/>
              <w:marBottom w:val="0"/>
              <w:divBdr>
                <w:top w:val="none" w:sz="0" w:space="0" w:color="auto"/>
                <w:left w:val="none" w:sz="0" w:space="0" w:color="auto"/>
                <w:bottom w:val="none" w:sz="0" w:space="0" w:color="auto"/>
                <w:right w:val="none" w:sz="0" w:space="0" w:color="auto"/>
              </w:divBdr>
            </w:div>
            <w:div w:id="1903250568">
              <w:marLeft w:val="0"/>
              <w:marRight w:val="0"/>
              <w:marTop w:val="0"/>
              <w:marBottom w:val="0"/>
              <w:divBdr>
                <w:top w:val="none" w:sz="0" w:space="0" w:color="auto"/>
                <w:left w:val="none" w:sz="0" w:space="0" w:color="auto"/>
                <w:bottom w:val="none" w:sz="0" w:space="0" w:color="auto"/>
                <w:right w:val="none" w:sz="0" w:space="0" w:color="auto"/>
              </w:divBdr>
            </w:div>
            <w:div w:id="192723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31212">
      <w:bodyDiv w:val="1"/>
      <w:marLeft w:val="0"/>
      <w:marRight w:val="0"/>
      <w:marTop w:val="0"/>
      <w:marBottom w:val="0"/>
      <w:divBdr>
        <w:top w:val="none" w:sz="0" w:space="0" w:color="auto"/>
        <w:left w:val="none" w:sz="0" w:space="0" w:color="auto"/>
        <w:bottom w:val="none" w:sz="0" w:space="0" w:color="auto"/>
        <w:right w:val="none" w:sz="0" w:space="0" w:color="auto"/>
      </w:divBdr>
      <w:divsChild>
        <w:div w:id="23678983">
          <w:marLeft w:val="0"/>
          <w:marRight w:val="0"/>
          <w:marTop w:val="0"/>
          <w:marBottom w:val="0"/>
          <w:divBdr>
            <w:top w:val="none" w:sz="0" w:space="0" w:color="auto"/>
            <w:left w:val="none" w:sz="0" w:space="0" w:color="auto"/>
            <w:bottom w:val="none" w:sz="0" w:space="0" w:color="auto"/>
            <w:right w:val="none" w:sz="0" w:space="0" w:color="auto"/>
          </w:divBdr>
          <w:divsChild>
            <w:div w:id="160315526">
              <w:marLeft w:val="0"/>
              <w:marRight w:val="0"/>
              <w:marTop w:val="0"/>
              <w:marBottom w:val="0"/>
              <w:divBdr>
                <w:top w:val="none" w:sz="0" w:space="0" w:color="auto"/>
                <w:left w:val="none" w:sz="0" w:space="0" w:color="auto"/>
                <w:bottom w:val="none" w:sz="0" w:space="0" w:color="auto"/>
                <w:right w:val="none" w:sz="0" w:space="0" w:color="auto"/>
              </w:divBdr>
            </w:div>
          </w:divsChild>
        </w:div>
        <w:div w:id="87702460">
          <w:marLeft w:val="0"/>
          <w:marRight w:val="0"/>
          <w:marTop w:val="0"/>
          <w:marBottom w:val="0"/>
          <w:divBdr>
            <w:top w:val="none" w:sz="0" w:space="0" w:color="auto"/>
            <w:left w:val="none" w:sz="0" w:space="0" w:color="auto"/>
            <w:bottom w:val="none" w:sz="0" w:space="0" w:color="auto"/>
            <w:right w:val="none" w:sz="0" w:space="0" w:color="auto"/>
          </w:divBdr>
          <w:divsChild>
            <w:div w:id="1622957606">
              <w:marLeft w:val="0"/>
              <w:marRight w:val="0"/>
              <w:marTop w:val="0"/>
              <w:marBottom w:val="0"/>
              <w:divBdr>
                <w:top w:val="none" w:sz="0" w:space="0" w:color="auto"/>
                <w:left w:val="none" w:sz="0" w:space="0" w:color="auto"/>
                <w:bottom w:val="none" w:sz="0" w:space="0" w:color="auto"/>
                <w:right w:val="none" w:sz="0" w:space="0" w:color="auto"/>
              </w:divBdr>
            </w:div>
          </w:divsChild>
        </w:div>
        <w:div w:id="130946609">
          <w:marLeft w:val="0"/>
          <w:marRight w:val="0"/>
          <w:marTop w:val="0"/>
          <w:marBottom w:val="0"/>
          <w:divBdr>
            <w:top w:val="none" w:sz="0" w:space="0" w:color="auto"/>
            <w:left w:val="none" w:sz="0" w:space="0" w:color="auto"/>
            <w:bottom w:val="none" w:sz="0" w:space="0" w:color="auto"/>
            <w:right w:val="none" w:sz="0" w:space="0" w:color="auto"/>
          </w:divBdr>
          <w:divsChild>
            <w:div w:id="1043290599">
              <w:marLeft w:val="0"/>
              <w:marRight w:val="0"/>
              <w:marTop w:val="0"/>
              <w:marBottom w:val="0"/>
              <w:divBdr>
                <w:top w:val="none" w:sz="0" w:space="0" w:color="auto"/>
                <w:left w:val="none" w:sz="0" w:space="0" w:color="auto"/>
                <w:bottom w:val="none" w:sz="0" w:space="0" w:color="auto"/>
                <w:right w:val="none" w:sz="0" w:space="0" w:color="auto"/>
              </w:divBdr>
            </w:div>
          </w:divsChild>
        </w:div>
        <w:div w:id="167214254">
          <w:marLeft w:val="0"/>
          <w:marRight w:val="0"/>
          <w:marTop w:val="0"/>
          <w:marBottom w:val="0"/>
          <w:divBdr>
            <w:top w:val="none" w:sz="0" w:space="0" w:color="auto"/>
            <w:left w:val="none" w:sz="0" w:space="0" w:color="auto"/>
            <w:bottom w:val="none" w:sz="0" w:space="0" w:color="auto"/>
            <w:right w:val="none" w:sz="0" w:space="0" w:color="auto"/>
          </w:divBdr>
          <w:divsChild>
            <w:div w:id="885145625">
              <w:marLeft w:val="0"/>
              <w:marRight w:val="0"/>
              <w:marTop w:val="0"/>
              <w:marBottom w:val="0"/>
              <w:divBdr>
                <w:top w:val="none" w:sz="0" w:space="0" w:color="auto"/>
                <w:left w:val="none" w:sz="0" w:space="0" w:color="auto"/>
                <w:bottom w:val="none" w:sz="0" w:space="0" w:color="auto"/>
                <w:right w:val="none" w:sz="0" w:space="0" w:color="auto"/>
              </w:divBdr>
            </w:div>
          </w:divsChild>
        </w:div>
        <w:div w:id="213978318">
          <w:marLeft w:val="0"/>
          <w:marRight w:val="0"/>
          <w:marTop w:val="0"/>
          <w:marBottom w:val="0"/>
          <w:divBdr>
            <w:top w:val="none" w:sz="0" w:space="0" w:color="auto"/>
            <w:left w:val="none" w:sz="0" w:space="0" w:color="auto"/>
            <w:bottom w:val="none" w:sz="0" w:space="0" w:color="auto"/>
            <w:right w:val="none" w:sz="0" w:space="0" w:color="auto"/>
          </w:divBdr>
          <w:divsChild>
            <w:div w:id="967861509">
              <w:marLeft w:val="0"/>
              <w:marRight w:val="0"/>
              <w:marTop w:val="0"/>
              <w:marBottom w:val="0"/>
              <w:divBdr>
                <w:top w:val="none" w:sz="0" w:space="0" w:color="auto"/>
                <w:left w:val="none" w:sz="0" w:space="0" w:color="auto"/>
                <w:bottom w:val="none" w:sz="0" w:space="0" w:color="auto"/>
                <w:right w:val="none" w:sz="0" w:space="0" w:color="auto"/>
              </w:divBdr>
            </w:div>
          </w:divsChild>
        </w:div>
        <w:div w:id="273947083">
          <w:marLeft w:val="0"/>
          <w:marRight w:val="0"/>
          <w:marTop w:val="0"/>
          <w:marBottom w:val="0"/>
          <w:divBdr>
            <w:top w:val="none" w:sz="0" w:space="0" w:color="auto"/>
            <w:left w:val="none" w:sz="0" w:space="0" w:color="auto"/>
            <w:bottom w:val="none" w:sz="0" w:space="0" w:color="auto"/>
            <w:right w:val="none" w:sz="0" w:space="0" w:color="auto"/>
          </w:divBdr>
          <w:divsChild>
            <w:div w:id="1419785517">
              <w:marLeft w:val="0"/>
              <w:marRight w:val="0"/>
              <w:marTop w:val="0"/>
              <w:marBottom w:val="0"/>
              <w:divBdr>
                <w:top w:val="none" w:sz="0" w:space="0" w:color="auto"/>
                <w:left w:val="none" w:sz="0" w:space="0" w:color="auto"/>
                <w:bottom w:val="none" w:sz="0" w:space="0" w:color="auto"/>
                <w:right w:val="none" w:sz="0" w:space="0" w:color="auto"/>
              </w:divBdr>
            </w:div>
          </w:divsChild>
        </w:div>
        <w:div w:id="282394687">
          <w:marLeft w:val="0"/>
          <w:marRight w:val="0"/>
          <w:marTop w:val="0"/>
          <w:marBottom w:val="0"/>
          <w:divBdr>
            <w:top w:val="none" w:sz="0" w:space="0" w:color="auto"/>
            <w:left w:val="none" w:sz="0" w:space="0" w:color="auto"/>
            <w:bottom w:val="none" w:sz="0" w:space="0" w:color="auto"/>
            <w:right w:val="none" w:sz="0" w:space="0" w:color="auto"/>
          </w:divBdr>
          <w:divsChild>
            <w:div w:id="2127196762">
              <w:marLeft w:val="0"/>
              <w:marRight w:val="0"/>
              <w:marTop w:val="0"/>
              <w:marBottom w:val="0"/>
              <w:divBdr>
                <w:top w:val="none" w:sz="0" w:space="0" w:color="auto"/>
                <w:left w:val="none" w:sz="0" w:space="0" w:color="auto"/>
                <w:bottom w:val="none" w:sz="0" w:space="0" w:color="auto"/>
                <w:right w:val="none" w:sz="0" w:space="0" w:color="auto"/>
              </w:divBdr>
            </w:div>
          </w:divsChild>
        </w:div>
        <w:div w:id="295066778">
          <w:marLeft w:val="0"/>
          <w:marRight w:val="0"/>
          <w:marTop w:val="0"/>
          <w:marBottom w:val="0"/>
          <w:divBdr>
            <w:top w:val="none" w:sz="0" w:space="0" w:color="auto"/>
            <w:left w:val="none" w:sz="0" w:space="0" w:color="auto"/>
            <w:bottom w:val="none" w:sz="0" w:space="0" w:color="auto"/>
            <w:right w:val="none" w:sz="0" w:space="0" w:color="auto"/>
          </w:divBdr>
          <w:divsChild>
            <w:div w:id="913515336">
              <w:marLeft w:val="0"/>
              <w:marRight w:val="0"/>
              <w:marTop w:val="0"/>
              <w:marBottom w:val="0"/>
              <w:divBdr>
                <w:top w:val="none" w:sz="0" w:space="0" w:color="auto"/>
                <w:left w:val="none" w:sz="0" w:space="0" w:color="auto"/>
                <w:bottom w:val="none" w:sz="0" w:space="0" w:color="auto"/>
                <w:right w:val="none" w:sz="0" w:space="0" w:color="auto"/>
              </w:divBdr>
            </w:div>
          </w:divsChild>
        </w:div>
        <w:div w:id="332345365">
          <w:marLeft w:val="0"/>
          <w:marRight w:val="0"/>
          <w:marTop w:val="0"/>
          <w:marBottom w:val="0"/>
          <w:divBdr>
            <w:top w:val="none" w:sz="0" w:space="0" w:color="auto"/>
            <w:left w:val="none" w:sz="0" w:space="0" w:color="auto"/>
            <w:bottom w:val="none" w:sz="0" w:space="0" w:color="auto"/>
            <w:right w:val="none" w:sz="0" w:space="0" w:color="auto"/>
          </w:divBdr>
          <w:divsChild>
            <w:div w:id="1650864182">
              <w:marLeft w:val="0"/>
              <w:marRight w:val="0"/>
              <w:marTop w:val="0"/>
              <w:marBottom w:val="0"/>
              <w:divBdr>
                <w:top w:val="none" w:sz="0" w:space="0" w:color="auto"/>
                <w:left w:val="none" w:sz="0" w:space="0" w:color="auto"/>
                <w:bottom w:val="none" w:sz="0" w:space="0" w:color="auto"/>
                <w:right w:val="none" w:sz="0" w:space="0" w:color="auto"/>
              </w:divBdr>
            </w:div>
          </w:divsChild>
        </w:div>
        <w:div w:id="372581307">
          <w:marLeft w:val="0"/>
          <w:marRight w:val="0"/>
          <w:marTop w:val="0"/>
          <w:marBottom w:val="0"/>
          <w:divBdr>
            <w:top w:val="none" w:sz="0" w:space="0" w:color="auto"/>
            <w:left w:val="none" w:sz="0" w:space="0" w:color="auto"/>
            <w:bottom w:val="none" w:sz="0" w:space="0" w:color="auto"/>
            <w:right w:val="none" w:sz="0" w:space="0" w:color="auto"/>
          </w:divBdr>
          <w:divsChild>
            <w:div w:id="592976064">
              <w:marLeft w:val="0"/>
              <w:marRight w:val="0"/>
              <w:marTop w:val="0"/>
              <w:marBottom w:val="0"/>
              <w:divBdr>
                <w:top w:val="none" w:sz="0" w:space="0" w:color="auto"/>
                <w:left w:val="none" w:sz="0" w:space="0" w:color="auto"/>
                <w:bottom w:val="none" w:sz="0" w:space="0" w:color="auto"/>
                <w:right w:val="none" w:sz="0" w:space="0" w:color="auto"/>
              </w:divBdr>
            </w:div>
          </w:divsChild>
        </w:div>
        <w:div w:id="481197047">
          <w:marLeft w:val="0"/>
          <w:marRight w:val="0"/>
          <w:marTop w:val="0"/>
          <w:marBottom w:val="0"/>
          <w:divBdr>
            <w:top w:val="none" w:sz="0" w:space="0" w:color="auto"/>
            <w:left w:val="none" w:sz="0" w:space="0" w:color="auto"/>
            <w:bottom w:val="none" w:sz="0" w:space="0" w:color="auto"/>
            <w:right w:val="none" w:sz="0" w:space="0" w:color="auto"/>
          </w:divBdr>
          <w:divsChild>
            <w:div w:id="842008651">
              <w:marLeft w:val="0"/>
              <w:marRight w:val="0"/>
              <w:marTop w:val="0"/>
              <w:marBottom w:val="0"/>
              <w:divBdr>
                <w:top w:val="none" w:sz="0" w:space="0" w:color="auto"/>
                <w:left w:val="none" w:sz="0" w:space="0" w:color="auto"/>
                <w:bottom w:val="none" w:sz="0" w:space="0" w:color="auto"/>
                <w:right w:val="none" w:sz="0" w:space="0" w:color="auto"/>
              </w:divBdr>
            </w:div>
          </w:divsChild>
        </w:div>
        <w:div w:id="566961498">
          <w:marLeft w:val="0"/>
          <w:marRight w:val="0"/>
          <w:marTop w:val="0"/>
          <w:marBottom w:val="0"/>
          <w:divBdr>
            <w:top w:val="none" w:sz="0" w:space="0" w:color="auto"/>
            <w:left w:val="none" w:sz="0" w:space="0" w:color="auto"/>
            <w:bottom w:val="none" w:sz="0" w:space="0" w:color="auto"/>
            <w:right w:val="none" w:sz="0" w:space="0" w:color="auto"/>
          </w:divBdr>
          <w:divsChild>
            <w:div w:id="1332216483">
              <w:marLeft w:val="0"/>
              <w:marRight w:val="0"/>
              <w:marTop w:val="0"/>
              <w:marBottom w:val="0"/>
              <w:divBdr>
                <w:top w:val="none" w:sz="0" w:space="0" w:color="auto"/>
                <w:left w:val="none" w:sz="0" w:space="0" w:color="auto"/>
                <w:bottom w:val="none" w:sz="0" w:space="0" w:color="auto"/>
                <w:right w:val="none" w:sz="0" w:space="0" w:color="auto"/>
              </w:divBdr>
            </w:div>
          </w:divsChild>
        </w:div>
        <w:div w:id="569734361">
          <w:marLeft w:val="0"/>
          <w:marRight w:val="0"/>
          <w:marTop w:val="0"/>
          <w:marBottom w:val="0"/>
          <w:divBdr>
            <w:top w:val="none" w:sz="0" w:space="0" w:color="auto"/>
            <w:left w:val="none" w:sz="0" w:space="0" w:color="auto"/>
            <w:bottom w:val="none" w:sz="0" w:space="0" w:color="auto"/>
            <w:right w:val="none" w:sz="0" w:space="0" w:color="auto"/>
          </w:divBdr>
          <w:divsChild>
            <w:div w:id="1279801385">
              <w:marLeft w:val="0"/>
              <w:marRight w:val="0"/>
              <w:marTop w:val="0"/>
              <w:marBottom w:val="0"/>
              <w:divBdr>
                <w:top w:val="none" w:sz="0" w:space="0" w:color="auto"/>
                <w:left w:val="none" w:sz="0" w:space="0" w:color="auto"/>
                <w:bottom w:val="none" w:sz="0" w:space="0" w:color="auto"/>
                <w:right w:val="none" w:sz="0" w:space="0" w:color="auto"/>
              </w:divBdr>
            </w:div>
          </w:divsChild>
        </w:div>
        <w:div w:id="586840708">
          <w:marLeft w:val="0"/>
          <w:marRight w:val="0"/>
          <w:marTop w:val="0"/>
          <w:marBottom w:val="0"/>
          <w:divBdr>
            <w:top w:val="none" w:sz="0" w:space="0" w:color="auto"/>
            <w:left w:val="none" w:sz="0" w:space="0" w:color="auto"/>
            <w:bottom w:val="none" w:sz="0" w:space="0" w:color="auto"/>
            <w:right w:val="none" w:sz="0" w:space="0" w:color="auto"/>
          </w:divBdr>
          <w:divsChild>
            <w:div w:id="1263801853">
              <w:marLeft w:val="0"/>
              <w:marRight w:val="0"/>
              <w:marTop w:val="0"/>
              <w:marBottom w:val="0"/>
              <w:divBdr>
                <w:top w:val="none" w:sz="0" w:space="0" w:color="auto"/>
                <w:left w:val="none" w:sz="0" w:space="0" w:color="auto"/>
                <w:bottom w:val="none" w:sz="0" w:space="0" w:color="auto"/>
                <w:right w:val="none" w:sz="0" w:space="0" w:color="auto"/>
              </w:divBdr>
            </w:div>
          </w:divsChild>
        </w:div>
        <w:div w:id="623855114">
          <w:marLeft w:val="0"/>
          <w:marRight w:val="0"/>
          <w:marTop w:val="0"/>
          <w:marBottom w:val="0"/>
          <w:divBdr>
            <w:top w:val="none" w:sz="0" w:space="0" w:color="auto"/>
            <w:left w:val="none" w:sz="0" w:space="0" w:color="auto"/>
            <w:bottom w:val="none" w:sz="0" w:space="0" w:color="auto"/>
            <w:right w:val="none" w:sz="0" w:space="0" w:color="auto"/>
          </w:divBdr>
          <w:divsChild>
            <w:div w:id="2140028820">
              <w:marLeft w:val="0"/>
              <w:marRight w:val="0"/>
              <w:marTop w:val="0"/>
              <w:marBottom w:val="0"/>
              <w:divBdr>
                <w:top w:val="none" w:sz="0" w:space="0" w:color="auto"/>
                <w:left w:val="none" w:sz="0" w:space="0" w:color="auto"/>
                <w:bottom w:val="none" w:sz="0" w:space="0" w:color="auto"/>
                <w:right w:val="none" w:sz="0" w:space="0" w:color="auto"/>
              </w:divBdr>
            </w:div>
          </w:divsChild>
        </w:div>
        <w:div w:id="751391541">
          <w:marLeft w:val="0"/>
          <w:marRight w:val="0"/>
          <w:marTop w:val="0"/>
          <w:marBottom w:val="0"/>
          <w:divBdr>
            <w:top w:val="none" w:sz="0" w:space="0" w:color="auto"/>
            <w:left w:val="none" w:sz="0" w:space="0" w:color="auto"/>
            <w:bottom w:val="none" w:sz="0" w:space="0" w:color="auto"/>
            <w:right w:val="none" w:sz="0" w:space="0" w:color="auto"/>
          </w:divBdr>
          <w:divsChild>
            <w:div w:id="2032107293">
              <w:marLeft w:val="0"/>
              <w:marRight w:val="0"/>
              <w:marTop w:val="0"/>
              <w:marBottom w:val="0"/>
              <w:divBdr>
                <w:top w:val="none" w:sz="0" w:space="0" w:color="auto"/>
                <w:left w:val="none" w:sz="0" w:space="0" w:color="auto"/>
                <w:bottom w:val="none" w:sz="0" w:space="0" w:color="auto"/>
                <w:right w:val="none" w:sz="0" w:space="0" w:color="auto"/>
              </w:divBdr>
            </w:div>
          </w:divsChild>
        </w:div>
        <w:div w:id="800732510">
          <w:marLeft w:val="0"/>
          <w:marRight w:val="0"/>
          <w:marTop w:val="0"/>
          <w:marBottom w:val="0"/>
          <w:divBdr>
            <w:top w:val="none" w:sz="0" w:space="0" w:color="auto"/>
            <w:left w:val="none" w:sz="0" w:space="0" w:color="auto"/>
            <w:bottom w:val="none" w:sz="0" w:space="0" w:color="auto"/>
            <w:right w:val="none" w:sz="0" w:space="0" w:color="auto"/>
          </w:divBdr>
          <w:divsChild>
            <w:div w:id="2135052478">
              <w:marLeft w:val="0"/>
              <w:marRight w:val="0"/>
              <w:marTop w:val="0"/>
              <w:marBottom w:val="0"/>
              <w:divBdr>
                <w:top w:val="none" w:sz="0" w:space="0" w:color="auto"/>
                <w:left w:val="none" w:sz="0" w:space="0" w:color="auto"/>
                <w:bottom w:val="none" w:sz="0" w:space="0" w:color="auto"/>
                <w:right w:val="none" w:sz="0" w:space="0" w:color="auto"/>
              </w:divBdr>
            </w:div>
          </w:divsChild>
        </w:div>
        <w:div w:id="859970001">
          <w:marLeft w:val="0"/>
          <w:marRight w:val="0"/>
          <w:marTop w:val="0"/>
          <w:marBottom w:val="0"/>
          <w:divBdr>
            <w:top w:val="none" w:sz="0" w:space="0" w:color="auto"/>
            <w:left w:val="none" w:sz="0" w:space="0" w:color="auto"/>
            <w:bottom w:val="none" w:sz="0" w:space="0" w:color="auto"/>
            <w:right w:val="none" w:sz="0" w:space="0" w:color="auto"/>
          </w:divBdr>
          <w:divsChild>
            <w:div w:id="99954109">
              <w:marLeft w:val="0"/>
              <w:marRight w:val="0"/>
              <w:marTop w:val="0"/>
              <w:marBottom w:val="0"/>
              <w:divBdr>
                <w:top w:val="none" w:sz="0" w:space="0" w:color="auto"/>
                <w:left w:val="none" w:sz="0" w:space="0" w:color="auto"/>
                <w:bottom w:val="none" w:sz="0" w:space="0" w:color="auto"/>
                <w:right w:val="none" w:sz="0" w:space="0" w:color="auto"/>
              </w:divBdr>
            </w:div>
          </w:divsChild>
        </w:div>
        <w:div w:id="861016808">
          <w:marLeft w:val="0"/>
          <w:marRight w:val="0"/>
          <w:marTop w:val="0"/>
          <w:marBottom w:val="0"/>
          <w:divBdr>
            <w:top w:val="none" w:sz="0" w:space="0" w:color="auto"/>
            <w:left w:val="none" w:sz="0" w:space="0" w:color="auto"/>
            <w:bottom w:val="none" w:sz="0" w:space="0" w:color="auto"/>
            <w:right w:val="none" w:sz="0" w:space="0" w:color="auto"/>
          </w:divBdr>
          <w:divsChild>
            <w:div w:id="300572803">
              <w:marLeft w:val="0"/>
              <w:marRight w:val="0"/>
              <w:marTop w:val="0"/>
              <w:marBottom w:val="0"/>
              <w:divBdr>
                <w:top w:val="none" w:sz="0" w:space="0" w:color="auto"/>
                <w:left w:val="none" w:sz="0" w:space="0" w:color="auto"/>
                <w:bottom w:val="none" w:sz="0" w:space="0" w:color="auto"/>
                <w:right w:val="none" w:sz="0" w:space="0" w:color="auto"/>
              </w:divBdr>
            </w:div>
          </w:divsChild>
        </w:div>
        <w:div w:id="909771985">
          <w:marLeft w:val="0"/>
          <w:marRight w:val="0"/>
          <w:marTop w:val="0"/>
          <w:marBottom w:val="0"/>
          <w:divBdr>
            <w:top w:val="none" w:sz="0" w:space="0" w:color="auto"/>
            <w:left w:val="none" w:sz="0" w:space="0" w:color="auto"/>
            <w:bottom w:val="none" w:sz="0" w:space="0" w:color="auto"/>
            <w:right w:val="none" w:sz="0" w:space="0" w:color="auto"/>
          </w:divBdr>
          <w:divsChild>
            <w:div w:id="1367216748">
              <w:marLeft w:val="0"/>
              <w:marRight w:val="0"/>
              <w:marTop w:val="0"/>
              <w:marBottom w:val="0"/>
              <w:divBdr>
                <w:top w:val="none" w:sz="0" w:space="0" w:color="auto"/>
                <w:left w:val="none" w:sz="0" w:space="0" w:color="auto"/>
                <w:bottom w:val="none" w:sz="0" w:space="0" w:color="auto"/>
                <w:right w:val="none" w:sz="0" w:space="0" w:color="auto"/>
              </w:divBdr>
            </w:div>
          </w:divsChild>
        </w:div>
        <w:div w:id="917978091">
          <w:marLeft w:val="0"/>
          <w:marRight w:val="0"/>
          <w:marTop w:val="0"/>
          <w:marBottom w:val="0"/>
          <w:divBdr>
            <w:top w:val="none" w:sz="0" w:space="0" w:color="auto"/>
            <w:left w:val="none" w:sz="0" w:space="0" w:color="auto"/>
            <w:bottom w:val="none" w:sz="0" w:space="0" w:color="auto"/>
            <w:right w:val="none" w:sz="0" w:space="0" w:color="auto"/>
          </w:divBdr>
          <w:divsChild>
            <w:div w:id="1350788515">
              <w:marLeft w:val="0"/>
              <w:marRight w:val="0"/>
              <w:marTop w:val="0"/>
              <w:marBottom w:val="0"/>
              <w:divBdr>
                <w:top w:val="none" w:sz="0" w:space="0" w:color="auto"/>
                <w:left w:val="none" w:sz="0" w:space="0" w:color="auto"/>
                <w:bottom w:val="none" w:sz="0" w:space="0" w:color="auto"/>
                <w:right w:val="none" w:sz="0" w:space="0" w:color="auto"/>
              </w:divBdr>
            </w:div>
          </w:divsChild>
        </w:div>
        <w:div w:id="1183544431">
          <w:marLeft w:val="0"/>
          <w:marRight w:val="0"/>
          <w:marTop w:val="0"/>
          <w:marBottom w:val="0"/>
          <w:divBdr>
            <w:top w:val="none" w:sz="0" w:space="0" w:color="auto"/>
            <w:left w:val="none" w:sz="0" w:space="0" w:color="auto"/>
            <w:bottom w:val="none" w:sz="0" w:space="0" w:color="auto"/>
            <w:right w:val="none" w:sz="0" w:space="0" w:color="auto"/>
          </w:divBdr>
          <w:divsChild>
            <w:div w:id="972515250">
              <w:marLeft w:val="0"/>
              <w:marRight w:val="0"/>
              <w:marTop w:val="0"/>
              <w:marBottom w:val="0"/>
              <w:divBdr>
                <w:top w:val="none" w:sz="0" w:space="0" w:color="auto"/>
                <w:left w:val="none" w:sz="0" w:space="0" w:color="auto"/>
                <w:bottom w:val="none" w:sz="0" w:space="0" w:color="auto"/>
                <w:right w:val="none" w:sz="0" w:space="0" w:color="auto"/>
              </w:divBdr>
            </w:div>
          </w:divsChild>
        </w:div>
        <w:div w:id="1371883948">
          <w:marLeft w:val="0"/>
          <w:marRight w:val="0"/>
          <w:marTop w:val="0"/>
          <w:marBottom w:val="0"/>
          <w:divBdr>
            <w:top w:val="none" w:sz="0" w:space="0" w:color="auto"/>
            <w:left w:val="none" w:sz="0" w:space="0" w:color="auto"/>
            <w:bottom w:val="none" w:sz="0" w:space="0" w:color="auto"/>
            <w:right w:val="none" w:sz="0" w:space="0" w:color="auto"/>
          </w:divBdr>
          <w:divsChild>
            <w:div w:id="1253972662">
              <w:marLeft w:val="0"/>
              <w:marRight w:val="0"/>
              <w:marTop w:val="0"/>
              <w:marBottom w:val="0"/>
              <w:divBdr>
                <w:top w:val="none" w:sz="0" w:space="0" w:color="auto"/>
                <w:left w:val="none" w:sz="0" w:space="0" w:color="auto"/>
                <w:bottom w:val="none" w:sz="0" w:space="0" w:color="auto"/>
                <w:right w:val="none" w:sz="0" w:space="0" w:color="auto"/>
              </w:divBdr>
            </w:div>
          </w:divsChild>
        </w:div>
        <w:div w:id="1510682772">
          <w:marLeft w:val="0"/>
          <w:marRight w:val="0"/>
          <w:marTop w:val="0"/>
          <w:marBottom w:val="0"/>
          <w:divBdr>
            <w:top w:val="none" w:sz="0" w:space="0" w:color="auto"/>
            <w:left w:val="none" w:sz="0" w:space="0" w:color="auto"/>
            <w:bottom w:val="none" w:sz="0" w:space="0" w:color="auto"/>
            <w:right w:val="none" w:sz="0" w:space="0" w:color="auto"/>
          </w:divBdr>
          <w:divsChild>
            <w:div w:id="1065763570">
              <w:marLeft w:val="0"/>
              <w:marRight w:val="0"/>
              <w:marTop w:val="0"/>
              <w:marBottom w:val="0"/>
              <w:divBdr>
                <w:top w:val="none" w:sz="0" w:space="0" w:color="auto"/>
                <w:left w:val="none" w:sz="0" w:space="0" w:color="auto"/>
                <w:bottom w:val="none" w:sz="0" w:space="0" w:color="auto"/>
                <w:right w:val="none" w:sz="0" w:space="0" w:color="auto"/>
              </w:divBdr>
            </w:div>
          </w:divsChild>
        </w:div>
        <w:div w:id="1549881468">
          <w:marLeft w:val="0"/>
          <w:marRight w:val="0"/>
          <w:marTop w:val="0"/>
          <w:marBottom w:val="0"/>
          <w:divBdr>
            <w:top w:val="none" w:sz="0" w:space="0" w:color="auto"/>
            <w:left w:val="none" w:sz="0" w:space="0" w:color="auto"/>
            <w:bottom w:val="none" w:sz="0" w:space="0" w:color="auto"/>
            <w:right w:val="none" w:sz="0" w:space="0" w:color="auto"/>
          </w:divBdr>
          <w:divsChild>
            <w:div w:id="631331041">
              <w:marLeft w:val="0"/>
              <w:marRight w:val="0"/>
              <w:marTop w:val="0"/>
              <w:marBottom w:val="0"/>
              <w:divBdr>
                <w:top w:val="none" w:sz="0" w:space="0" w:color="auto"/>
                <w:left w:val="none" w:sz="0" w:space="0" w:color="auto"/>
                <w:bottom w:val="none" w:sz="0" w:space="0" w:color="auto"/>
                <w:right w:val="none" w:sz="0" w:space="0" w:color="auto"/>
              </w:divBdr>
            </w:div>
          </w:divsChild>
        </w:div>
        <w:div w:id="1551771295">
          <w:marLeft w:val="0"/>
          <w:marRight w:val="0"/>
          <w:marTop w:val="0"/>
          <w:marBottom w:val="0"/>
          <w:divBdr>
            <w:top w:val="none" w:sz="0" w:space="0" w:color="auto"/>
            <w:left w:val="none" w:sz="0" w:space="0" w:color="auto"/>
            <w:bottom w:val="none" w:sz="0" w:space="0" w:color="auto"/>
            <w:right w:val="none" w:sz="0" w:space="0" w:color="auto"/>
          </w:divBdr>
          <w:divsChild>
            <w:div w:id="1430199153">
              <w:marLeft w:val="0"/>
              <w:marRight w:val="0"/>
              <w:marTop w:val="0"/>
              <w:marBottom w:val="0"/>
              <w:divBdr>
                <w:top w:val="none" w:sz="0" w:space="0" w:color="auto"/>
                <w:left w:val="none" w:sz="0" w:space="0" w:color="auto"/>
                <w:bottom w:val="none" w:sz="0" w:space="0" w:color="auto"/>
                <w:right w:val="none" w:sz="0" w:space="0" w:color="auto"/>
              </w:divBdr>
            </w:div>
          </w:divsChild>
        </w:div>
        <w:div w:id="1665862891">
          <w:marLeft w:val="0"/>
          <w:marRight w:val="0"/>
          <w:marTop w:val="0"/>
          <w:marBottom w:val="0"/>
          <w:divBdr>
            <w:top w:val="none" w:sz="0" w:space="0" w:color="auto"/>
            <w:left w:val="none" w:sz="0" w:space="0" w:color="auto"/>
            <w:bottom w:val="none" w:sz="0" w:space="0" w:color="auto"/>
            <w:right w:val="none" w:sz="0" w:space="0" w:color="auto"/>
          </w:divBdr>
          <w:divsChild>
            <w:div w:id="1277953904">
              <w:marLeft w:val="0"/>
              <w:marRight w:val="0"/>
              <w:marTop w:val="0"/>
              <w:marBottom w:val="0"/>
              <w:divBdr>
                <w:top w:val="none" w:sz="0" w:space="0" w:color="auto"/>
                <w:left w:val="none" w:sz="0" w:space="0" w:color="auto"/>
                <w:bottom w:val="none" w:sz="0" w:space="0" w:color="auto"/>
                <w:right w:val="none" w:sz="0" w:space="0" w:color="auto"/>
              </w:divBdr>
            </w:div>
          </w:divsChild>
        </w:div>
        <w:div w:id="1700004723">
          <w:marLeft w:val="0"/>
          <w:marRight w:val="0"/>
          <w:marTop w:val="0"/>
          <w:marBottom w:val="0"/>
          <w:divBdr>
            <w:top w:val="none" w:sz="0" w:space="0" w:color="auto"/>
            <w:left w:val="none" w:sz="0" w:space="0" w:color="auto"/>
            <w:bottom w:val="none" w:sz="0" w:space="0" w:color="auto"/>
            <w:right w:val="none" w:sz="0" w:space="0" w:color="auto"/>
          </w:divBdr>
          <w:divsChild>
            <w:div w:id="1014191489">
              <w:marLeft w:val="0"/>
              <w:marRight w:val="0"/>
              <w:marTop w:val="0"/>
              <w:marBottom w:val="0"/>
              <w:divBdr>
                <w:top w:val="none" w:sz="0" w:space="0" w:color="auto"/>
                <w:left w:val="none" w:sz="0" w:space="0" w:color="auto"/>
                <w:bottom w:val="none" w:sz="0" w:space="0" w:color="auto"/>
                <w:right w:val="none" w:sz="0" w:space="0" w:color="auto"/>
              </w:divBdr>
            </w:div>
          </w:divsChild>
        </w:div>
        <w:div w:id="1716388079">
          <w:marLeft w:val="0"/>
          <w:marRight w:val="0"/>
          <w:marTop w:val="0"/>
          <w:marBottom w:val="0"/>
          <w:divBdr>
            <w:top w:val="none" w:sz="0" w:space="0" w:color="auto"/>
            <w:left w:val="none" w:sz="0" w:space="0" w:color="auto"/>
            <w:bottom w:val="none" w:sz="0" w:space="0" w:color="auto"/>
            <w:right w:val="none" w:sz="0" w:space="0" w:color="auto"/>
          </w:divBdr>
          <w:divsChild>
            <w:div w:id="1240409900">
              <w:marLeft w:val="0"/>
              <w:marRight w:val="0"/>
              <w:marTop w:val="0"/>
              <w:marBottom w:val="0"/>
              <w:divBdr>
                <w:top w:val="none" w:sz="0" w:space="0" w:color="auto"/>
                <w:left w:val="none" w:sz="0" w:space="0" w:color="auto"/>
                <w:bottom w:val="none" w:sz="0" w:space="0" w:color="auto"/>
                <w:right w:val="none" w:sz="0" w:space="0" w:color="auto"/>
              </w:divBdr>
            </w:div>
          </w:divsChild>
        </w:div>
        <w:div w:id="1893737579">
          <w:marLeft w:val="0"/>
          <w:marRight w:val="0"/>
          <w:marTop w:val="0"/>
          <w:marBottom w:val="0"/>
          <w:divBdr>
            <w:top w:val="none" w:sz="0" w:space="0" w:color="auto"/>
            <w:left w:val="none" w:sz="0" w:space="0" w:color="auto"/>
            <w:bottom w:val="none" w:sz="0" w:space="0" w:color="auto"/>
            <w:right w:val="none" w:sz="0" w:space="0" w:color="auto"/>
          </w:divBdr>
          <w:divsChild>
            <w:div w:id="20048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6222">
      <w:bodyDiv w:val="1"/>
      <w:marLeft w:val="0"/>
      <w:marRight w:val="0"/>
      <w:marTop w:val="0"/>
      <w:marBottom w:val="0"/>
      <w:divBdr>
        <w:top w:val="none" w:sz="0" w:space="0" w:color="auto"/>
        <w:left w:val="none" w:sz="0" w:space="0" w:color="auto"/>
        <w:bottom w:val="none" w:sz="0" w:space="0" w:color="auto"/>
        <w:right w:val="none" w:sz="0" w:space="0" w:color="auto"/>
      </w:divBdr>
      <w:divsChild>
        <w:div w:id="322048481">
          <w:marLeft w:val="0"/>
          <w:marRight w:val="0"/>
          <w:marTop w:val="0"/>
          <w:marBottom w:val="0"/>
          <w:divBdr>
            <w:top w:val="none" w:sz="0" w:space="0" w:color="auto"/>
            <w:left w:val="none" w:sz="0" w:space="0" w:color="auto"/>
            <w:bottom w:val="none" w:sz="0" w:space="0" w:color="auto"/>
            <w:right w:val="none" w:sz="0" w:space="0" w:color="auto"/>
          </w:divBdr>
          <w:divsChild>
            <w:div w:id="4981797">
              <w:marLeft w:val="0"/>
              <w:marRight w:val="0"/>
              <w:marTop w:val="0"/>
              <w:marBottom w:val="0"/>
              <w:divBdr>
                <w:top w:val="none" w:sz="0" w:space="0" w:color="auto"/>
                <w:left w:val="none" w:sz="0" w:space="0" w:color="auto"/>
                <w:bottom w:val="none" w:sz="0" w:space="0" w:color="auto"/>
                <w:right w:val="none" w:sz="0" w:space="0" w:color="auto"/>
              </w:divBdr>
            </w:div>
            <w:div w:id="169762812">
              <w:marLeft w:val="0"/>
              <w:marRight w:val="0"/>
              <w:marTop w:val="0"/>
              <w:marBottom w:val="0"/>
              <w:divBdr>
                <w:top w:val="none" w:sz="0" w:space="0" w:color="auto"/>
                <w:left w:val="none" w:sz="0" w:space="0" w:color="auto"/>
                <w:bottom w:val="none" w:sz="0" w:space="0" w:color="auto"/>
                <w:right w:val="none" w:sz="0" w:space="0" w:color="auto"/>
              </w:divBdr>
            </w:div>
            <w:div w:id="295600124">
              <w:marLeft w:val="0"/>
              <w:marRight w:val="0"/>
              <w:marTop w:val="0"/>
              <w:marBottom w:val="0"/>
              <w:divBdr>
                <w:top w:val="none" w:sz="0" w:space="0" w:color="auto"/>
                <w:left w:val="none" w:sz="0" w:space="0" w:color="auto"/>
                <w:bottom w:val="none" w:sz="0" w:space="0" w:color="auto"/>
                <w:right w:val="none" w:sz="0" w:space="0" w:color="auto"/>
              </w:divBdr>
            </w:div>
            <w:div w:id="478426728">
              <w:marLeft w:val="0"/>
              <w:marRight w:val="0"/>
              <w:marTop w:val="0"/>
              <w:marBottom w:val="0"/>
              <w:divBdr>
                <w:top w:val="none" w:sz="0" w:space="0" w:color="auto"/>
                <w:left w:val="none" w:sz="0" w:space="0" w:color="auto"/>
                <w:bottom w:val="none" w:sz="0" w:space="0" w:color="auto"/>
                <w:right w:val="none" w:sz="0" w:space="0" w:color="auto"/>
              </w:divBdr>
            </w:div>
            <w:div w:id="644359548">
              <w:marLeft w:val="0"/>
              <w:marRight w:val="0"/>
              <w:marTop w:val="0"/>
              <w:marBottom w:val="0"/>
              <w:divBdr>
                <w:top w:val="none" w:sz="0" w:space="0" w:color="auto"/>
                <w:left w:val="none" w:sz="0" w:space="0" w:color="auto"/>
                <w:bottom w:val="none" w:sz="0" w:space="0" w:color="auto"/>
                <w:right w:val="none" w:sz="0" w:space="0" w:color="auto"/>
              </w:divBdr>
            </w:div>
            <w:div w:id="649288479">
              <w:marLeft w:val="0"/>
              <w:marRight w:val="0"/>
              <w:marTop w:val="0"/>
              <w:marBottom w:val="0"/>
              <w:divBdr>
                <w:top w:val="none" w:sz="0" w:space="0" w:color="auto"/>
                <w:left w:val="none" w:sz="0" w:space="0" w:color="auto"/>
                <w:bottom w:val="none" w:sz="0" w:space="0" w:color="auto"/>
                <w:right w:val="none" w:sz="0" w:space="0" w:color="auto"/>
              </w:divBdr>
            </w:div>
            <w:div w:id="913393878">
              <w:marLeft w:val="0"/>
              <w:marRight w:val="0"/>
              <w:marTop w:val="0"/>
              <w:marBottom w:val="0"/>
              <w:divBdr>
                <w:top w:val="none" w:sz="0" w:space="0" w:color="auto"/>
                <w:left w:val="none" w:sz="0" w:space="0" w:color="auto"/>
                <w:bottom w:val="none" w:sz="0" w:space="0" w:color="auto"/>
                <w:right w:val="none" w:sz="0" w:space="0" w:color="auto"/>
              </w:divBdr>
            </w:div>
            <w:div w:id="936986426">
              <w:marLeft w:val="0"/>
              <w:marRight w:val="0"/>
              <w:marTop w:val="0"/>
              <w:marBottom w:val="0"/>
              <w:divBdr>
                <w:top w:val="none" w:sz="0" w:space="0" w:color="auto"/>
                <w:left w:val="none" w:sz="0" w:space="0" w:color="auto"/>
                <w:bottom w:val="none" w:sz="0" w:space="0" w:color="auto"/>
                <w:right w:val="none" w:sz="0" w:space="0" w:color="auto"/>
              </w:divBdr>
            </w:div>
            <w:div w:id="1145898015">
              <w:marLeft w:val="0"/>
              <w:marRight w:val="0"/>
              <w:marTop w:val="0"/>
              <w:marBottom w:val="0"/>
              <w:divBdr>
                <w:top w:val="none" w:sz="0" w:space="0" w:color="auto"/>
                <w:left w:val="none" w:sz="0" w:space="0" w:color="auto"/>
                <w:bottom w:val="none" w:sz="0" w:space="0" w:color="auto"/>
                <w:right w:val="none" w:sz="0" w:space="0" w:color="auto"/>
              </w:divBdr>
            </w:div>
            <w:div w:id="1171944038">
              <w:marLeft w:val="0"/>
              <w:marRight w:val="0"/>
              <w:marTop w:val="0"/>
              <w:marBottom w:val="0"/>
              <w:divBdr>
                <w:top w:val="none" w:sz="0" w:space="0" w:color="auto"/>
                <w:left w:val="none" w:sz="0" w:space="0" w:color="auto"/>
                <w:bottom w:val="none" w:sz="0" w:space="0" w:color="auto"/>
                <w:right w:val="none" w:sz="0" w:space="0" w:color="auto"/>
              </w:divBdr>
            </w:div>
            <w:div w:id="1189367760">
              <w:marLeft w:val="0"/>
              <w:marRight w:val="0"/>
              <w:marTop w:val="0"/>
              <w:marBottom w:val="0"/>
              <w:divBdr>
                <w:top w:val="none" w:sz="0" w:space="0" w:color="auto"/>
                <w:left w:val="none" w:sz="0" w:space="0" w:color="auto"/>
                <w:bottom w:val="none" w:sz="0" w:space="0" w:color="auto"/>
                <w:right w:val="none" w:sz="0" w:space="0" w:color="auto"/>
              </w:divBdr>
            </w:div>
            <w:div w:id="1250121922">
              <w:marLeft w:val="0"/>
              <w:marRight w:val="0"/>
              <w:marTop w:val="0"/>
              <w:marBottom w:val="0"/>
              <w:divBdr>
                <w:top w:val="none" w:sz="0" w:space="0" w:color="auto"/>
                <w:left w:val="none" w:sz="0" w:space="0" w:color="auto"/>
                <w:bottom w:val="none" w:sz="0" w:space="0" w:color="auto"/>
                <w:right w:val="none" w:sz="0" w:space="0" w:color="auto"/>
              </w:divBdr>
            </w:div>
            <w:div w:id="1342509078">
              <w:marLeft w:val="0"/>
              <w:marRight w:val="0"/>
              <w:marTop w:val="0"/>
              <w:marBottom w:val="0"/>
              <w:divBdr>
                <w:top w:val="none" w:sz="0" w:space="0" w:color="auto"/>
                <w:left w:val="none" w:sz="0" w:space="0" w:color="auto"/>
                <w:bottom w:val="none" w:sz="0" w:space="0" w:color="auto"/>
                <w:right w:val="none" w:sz="0" w:space="0" w:color="auto"/>
              </w:divBdr>
            </w:div>
            <w:div w:id="1357080341">
              <w:marLeft w:val="0"/>
              <w:marRight w:val="0"/>
              <w:marTop w:val="0"/>
              <w:marBottom w:val="0"/>
              <w:divBdr>
                <w:top w:val="none" w:sz="0" w:space="0" w:color="auto"/>
                <w:left w:val="none" w:sz="0" w:space="0" w:color="auto"/>
                <w:bottom w:val="none" w:sz="0" w:space="0" w:color="auto"/>
                <w:right w:val="none" w:sz="0" w:space="0" w:color="auto"/>
              </w:divBdr>
            </w:div>
            <w:div w:id="1619221507">
              <w:marLeft w:val="0"/>
              <w:marRight w:val="0"/>
              <w:marTop w:val="0"/>
              <w:marBottom w:val="0"/>
              <w:divBdr>
                <w:top w:val="none" w:sz="0" w:space="0" w:color="auto"/>
                <w:left w:val="none" w:sz="0" w:space="0" w:color="auto"/>
                <w:bottom w:val="none" w:sz="0" w:space="0" w:color="auto"/>
                <w:right w:val="none" w:sz="0" w:space="0" w:color="auto"/>
              </w:divBdr>
            </w:div>
            <w:div w:id="1714815122">
              <w:marLeft w:val="0"/>
              <w:marRight w:val="0"/>
              <w:marTop w:val="0"/>
              <w:marBottom w:val="0"/>
              <w:divBdr>
                <w:top w:val="none" w:sz="0" w:space="0" w:color="auto"/>
                <w:left w:val="none" w:sz="0" w:space="0" w:color="auto"/>
                <w:bottom w:val="none" w:sz="0" w:space="0" w:color="auto"/>
                <w:right w:val="none" w:sz="0" w:space="0" w:color="auto"/>
              </w:divBdr>
            </w:div>
            <w:div w:id="1766539965">
              <w:marLeft w:val="0"/>
              <w:marRight w:val="0"/>
              <w:marTop w:val="0"/>
              <w:marBottom w:val="0"/>
              <w:divBdr>
                <w:top w:val="none" w:sz="0" w:space="0" w:color="auto"/>
                <w:left w:val="none" w:sz="0" w:space="0" w:color="auto"/>
                <w:bottom w:val="none" w:sz="0" w:space="0" w:color="auto"/>
                <w:right w:val="none" w:sz="0" w:space="0" w:color="auto"/>
              </w:divBdr>
            </w:div>
            <w:div w:id="1895893425">
              <w:marLeft w:val="0"/>
              <w:marRight w:val="0"/>
              <w:marTop w:val="0"/>
              <w:marBottom w:val="0"/>
              <w:divBdr>
                <w:top w:val="none" w:sz="0" w:space="0" w:color="auto"/>
                <w:left w:val="none" w:sz="0" w:space="0" w:color="auto"/>
                <w:bottom w:val="none" w:sz="0" w:space="0" w:color="auto"/>
                <w:right w:val="none" w:sz="0" w:space="0" w:color="auto"/>
              </w:divBdr>
            </w:div>
            <w:div w:id="2099868558">
              <w:marLeft w:val="0"/>
              <w:marRight w:val="0"/>
              <w:marTop w:val="0"/>
              <w:marBottom w:val="0"/>
              <w:divBdr>
                <w:top w:val="none" w:sz="0" w:space="0" w:color="auto"/>
                <w:left w:val="none" w:sz="0" w:space="0" w:color="auto"/>
                <w:bottom w:val="none" w:sz="0" w:space="0" w:color="auto"/>
                <w:right w:val="none" w:sz="0" w:space="0" w:color="auto"/>
              </w:divBdr>
            </w:div>
            <w:div w:id="2120904907">
              <w:marLeft w:val="0"/>
              <w:marRight w:val="0"/>
              <w:marTop w:val="0"/>
              <w:marBottom w:val="0"/>
              <w:divBdr>
                <w:top w:val="none" w:sz="0" w:space="0" w:color="auto"/>
                <w:left w:val="none" w:sz="0" w:space="0" w:color="auto"/>
                <w:bottom w:val="none" w:sz="0" w:space="0" w:color="auto"/>
                <w:right w:val="none" w:sz="0" w:space="0" w:color="auto"/>
              </w:divBdr>
            </w:div>
          </w:divsChild>
        </w:div>
        <w:div w:id="861751151">
          <w:marLeft w:val="0"/>
          <w:marRight w:val="0"/>
          <w:marTop w:val="0"/>
          <w:marBottom w:val="0"/>
          <w:divBdr>
            <w:top w:val="none" w:sz="0" w:space="0" w:color="auto"/>
            <w:left w:val="none" w:sz="0" w:space="0" w:color="auto"/>
            <w:bottom w:val="none" w:sz="0" w:space="0" w:color="auto"/>
            <w:right w:val="none" w:sz="0" w:space="0" w:color="auto"/>
          </w:divBdr>
          <w:divsChild>
            <w:div w:id="5988463">
              <w:marLeft w:val="0"/>
              <w:marRight w:val="0"/>
              <w:marTop w:val="0"/>
              <w:marBottom w:val="0"/>
              <w:divBdr>
                <w:top w:val="none" w:sz="0" w:space="0" w:color="auto"/>
                <w:left w:val="none" w:sz="0" w:space="0" w:color="auto"/>
                <w:bottom w:val="none" w:sz="0" w:space="0" w:color="auto"/>
                <w:right w:val="none" w:sz="0" w:space="0" w:color="auto"/>
              </w:divBdr>
            </w:div>
            <w:div w:id="34962982">
              <w:marLeft w:val="0"/>
              <w:marRight w:val="0"/>
              <w:marTop w:val="0"/>
              <w:marBottom w:val="0"/>
              <w:divBdr>
                <w:top w:val="none" w:sz="0" w:space="0" w:color="auto"/>
                <w:left w:val="none" w:sz="0" w:space="0" w:color="auto"/>
                <w:bottom w:val="none" w:sz="0" w:space="0" w:color="auto"/>
                <w:right w:val="none" w:sz="0" w:space="0" w:color="auto"/>
              </w:divBdr>
            </w:div>
            <w:div w:id="218321452">
              <w:marLeft w:val="0"/>
              <w:marRight w:val="0"/>
              <w:marTop w:val="0"/>
              <w:marBottom w:val="0"/>
              <w:divBdr>
                <w:top w:val="none" w:sz="0" w:space="0" w:color="auto"/>
                <w:left w:val="none" w:sz="0" w:space="0" w:color="auto"/>
                <w:bottom w:val="none" w:sz="0" w:space="0" w:color="auto"/>
                <w:right w:val="none" w:sz="0" w:space="0" w:color="auto"/>
              </w:divBdr>
            </w:div>
            <w:div w:id="261032770">
              <w:marLeft w:val="0"/>
              <w:marRight w:val="0"/>
              <w:marTop w:val="0"/>
              <w:marBottom w:val="0"/>
              <w:divBdr>
                <w:top w:val="none" w:sz="0" w:space="0" w:color="auto"/>
                <w:left w:val="none" w:sz="0" w:space="0" w:color="auto"/>
                <w:bottom w:val="none" w:sz="0" w:space="0" w:color="auto"/>
                <w:right w:val="none" w:sz="0" w:space="0" w:color="auto"/>
              </w:divBdr>
            </w:div>
            <w:div w:id="290015735">
              <w:marLeft w:val="0"/>
              <w:marRight w:val="0"/>
              <w:marTop w:val="0"/>
              <w:marBottom w:val="0"/>
              <w:divBdr>
                <w:top w:val="none" w:sz="0" w:space="0" w:color="auto"/>
                <w:left w:val="none" w:sz="0" w:space="0" w:color="auto"/>
                <w:bottom w:val="none" w:sz="0" w:space="0" w:color="auto"/>
                <w:right w:val="none" w:sz="0" w:space="0" w:color="auto"/>
              </w:divBdr>
            </w:div>
            <w:div w:id="755902955">
              <w:marLeft w:val="0"/>
              <w:marRight w:val="0"/>
              <w:marTop w:val="0"/>
              <w:marBottom w:val="0"/>
              <w:divBdr>
                <w:top w:val="none" w:sz="0" w:space="0" w:color="auto"/>
                <w:left w:val="none" w:sz="0" w:space="0" w:color="auto"/>
                <w:bottom w:val="none" w:sz="0" w:space="0" w:color="auto"/>
                <w:right w:val="none" w:sz="0" w:space="0" w:color="auto"/>
              </w:divBdr>
            </w:div>
            <w:div w:id="789862321">
              <w:marLeft w:val="0"/>
              <w:marRight w:val="0"/>
              <w:marTop w:val="0"/>
              <w:marBottom w:val="0"/>
              <w:divBdr>
                <w:top w:val="none" w:sz="0" w:space="0" w:color="auto"/>
                <w:left w:val="none" w:sz="0" w:space="0" w:color="auto"/>
                <w:bottom w:val="none" w:sz="0" w:space="0" w:color="auto"/>
                <w:right w:val="none" w:sz="0" w:space="0" w:color="auto"/>
              </w:divBdr>
            </w:div>
            <w:div w:id="809251953">
              <w:marLeft w:val="0"/>
              <w:marRight w:val="0"/>
              <w:marTop w:val="0"/>
              <w:marBottom w:val="0"/>
              <w:divBdr>
                <w:top w:val="none" w:sz="0" w:space="0" w:color="auto"/>
                <w:left w:val="none" w:sz="0" w:space="0" w:color="auto"/>
                <w:bottom w:val="none" w:sz="0" w:space="0" w:color="auto"/>
                <w:right w:val="none" w:sz="0" w:space="0" w:color="auto"/>
              </w:divBdr>
            </w:div>
            <w:div w:id="812018081">
              <w:marLeft w:val="0"/>
              <w:marRight w:val="0"/>
              <w:marTop w:val="0"/>
              <w:marBottom w:val="0"/>
              <w:divBdr>
                <w:top w:val="none" w:sz="0" w:space="0" w:color="auto"/>
                <w:left w:val="none" w:sz="0" w:space="0" w:color="auto"/>
                <w:bottom w:val="none" w:sz="0" w:space="0" w:color="auto"/>
                <w:right w:val="none" w:sz="0" w:space="0" w:color="auto"/>
              </w:divBdr>
            </w:div>
            <w:div w:id="846214621">
              <w:marLeft w:val="0"/>
              <w:marRight w:val="0"/>
              <w:marTop w:val="0"/>
              <w:marBottom w:val="0"/>
              <w:divBdr>
                <w:top w:val="none" w:sz="0" w:space="0" w:color="auto"/>
                <w:left w:val="none" w:sz="0" w:space="0" w:color="auto"/>
                <w:bottom w:val="none" w:sz="0" w:space="0" w:color="auto"/>
                <w:right w:val="none" w:sz="0" w:space="0" w:color="auto"/>
              </w:divBdr>
            </w:div>
            <w:div w:id="854728564">
              <w:marLeft w:val="0"/>
              <w:marRight w:val="0"/>
              <w:marTop w:val="0"/>
              <w:marBottom w:val="0"/>
              <w:divBdr>
                <w:top w:val="none" w:sz="0" w:space="0" w:color="auto"/>
                <w:left w:val="none" w:sz="0" w:space="0" w:color="auto"/>
                <w:bottom w:val="none" w:sz="0" w:space="0" w:color="auto"/>
                <w:right w:val="none" w:sz="0" w:space="0" w:color="auto"/>
              </w:divBdr>
            </w:div>
            <w:div w:id="1067995703">
              <w:marLeft w:val="0"/>
              <w:marRight w:val="0"/>
              <w:marTop w:val="0"/>
              <w:marBottom w:val="0"/>
              <w:divBdr>
                <w:top w:val="none" w:sz="0" w:space="0" w:color="auto"/>
                <w:left w:val="none" w:sz="0" w:space="0" w:color="auto"/>
                <w:bottom w:val="none" w:sz="0" w:space="0" w:color="auto"/>
                <w:right w:val="none" w:sz="0" w:space="0" w:color="auto"/>
              </w:divBdr>
            </w:div>
            <w:div w:id="1210268350">
              <w:marLeft w:val="0"/>
              <w:marRight w:val="0"/>
              <w:marTop w:val="0"/>
              <w:marBottom w:val="0"/>
              <w:divBdr>
                <w:top w:val="none" w:sz="0" w:space="0" w:color="auto"/>
                <w:left w:val="none" w:sz="0" w:space="0" w:color="auto"/>
                <w:bottom w:val="none" w:sz="0" w:space="0" w:color="auto"/>
                <w:right w:val="none" w:sz="0" w:space="0" w:color="auto"/>
              </w:divBdr>
            </w:div>
            <w:div w:id="1301884007">
              <w:marLeft w:val="0"/>
              <w:marRight w:val="0"/>
              <w:marTop w:val="0"/>
              <w:marBottom w:val="0"/>
              <w:divBdr>
                <w:top w:val="none" w:sz="0" w:space="0" w:color="auto"/>
                <w:left w:val="none" w:sz="0" w:space="0" w:color="auto"/>
                <w:bottom w:val="none" w:sz="0" w:space="0" w:color="auto"/>
                <w:right w:val="none" w:sz="0" w:space="0" w:color="auto"/>
              </w:divBdr>
            </w:div>
            <w:div w:id="1323972428">
              <w:marLeft w:val="0"/>
              <w:marRight w:val="0"/>
              <w:marTop w:val="0"/>
              <w:marBottom w:val="0"/>
              <w:divBdr>
                <w:top w:val="none" w:sz="0" w:space="0" w:color="auto"/>
                <w:left w:val="none" w:sz="0" w:space="0" w:color="auto"/>
                <w:bottom w:val="none" w:sz="0" w:space="0" w:color="auto"/>
                <w:right w:val="none" w:sz="0" w:space="0" w:color="auto"/>
              </w:divBdr>
            </w:div>
            <w:div w:id="1332639867">
              <w:marLeft w:val="0"/>
              <w:marRight w:val="0"/>
              <w:marTop w:val="0"/>
              <w:marBottom w:val="0"/>
              <w:divBdr>
                <w:top w:val="none" w:sz="0" w:space="0" w:color="auto"/>
                <w:left w:val="none" w:sz="0" w:space="0" w:color="auto"/>
                <w:bottom w:val="none" w:sz="0" w:space="0" w:color="auto"/>
                <w:right w:val="none" w:sz="0" w:space="0" w:color="auto"/>
              </w:divBdr>
            </w:div>
            <w:div w:id="1348170390">
              <w:marLeft w:val="0"/>
              <w:marRight w:val="0"/>
              <w:marTop w:val="0"/>
              <w:marBottom w:val="0"/>
              <w:divBdr>
                <w:top w:val="none" w:sz="0" w:space="0" w:color="auto"/>
                <w:left w:val="none" w:sz="0" w:space="0" w:color="auto"/>
                <w:bottom w:val="none" w:sz="0" w:space="0" w:color="auto"/>
                <w:right w:val="none" w:sz="0" w:space="0" w:color="auto"/>
              </w:divBdr>
            </w:div>
            <w:div w:id="1768231632">
              <w:marLeft w:val="0"/>
              <w:marRight w:val="0"/>
              <w:marTop w:val="0"/>
              <w:marBottom w:val="0"/>
              <w:divBdr>
                <w:top w:val="none" w:sz="0" w:space="0" w:color="auto"/>
                <w:left w:val="none" w:sz="0" w:space="0" w:color="auto"/>
                <w:bottom w:val="none" w:sz="0" w:space="0" w:color="auto"/>
                <w:right w:val="none" w:sz="0" w:space="0" w:color="auto"/>
              </w:divBdr>
            </w:div>
            <w:div w:id="2003045360">
              <w:marLeft w:val="0"/>
              <w:marRight w:val="0"/>
              <w:marTop w:val="0"/>
              <w:marBottom w:val="0"/>
              <w:divBdr>
                <w:top w:val="none" w:sz="0" w:space="0" w:color="auto"/>
                <w:left w:val="none" w:sz="0" w:space="0" w:color="auto"/>
                <w:bottom w:val="none" w:sz="0" w:space="0" w:color="auto"/>
                <w:right w:val="none" w:sz="0" w:space="0" w:color="auto"/>
              </w:divBdr>
            </w:div>
            <w:div w:id="2020619607">
              <w:marLeft w:val="0"/>
              <w:marRight w:val="0"/>
              <w:marTop w:val="0"/>
              <w:marBottom w:val="0"/>
              <w:divBdr>
                <w:top w:val="none" w:sz="0" w:space="0" w:color="auto"/>
                <w:left w:val="none" w:sz="0" w:space="0" w:color="auto"/>
                <w:bottom w:val="none" w:sz="0" w:space="0" w:color="auto"/>
                <w:right w:val="none" w:sz="0" w:space="0" w:color="auto"/>
              </w:divBdr>
            </w:div>
          </w:divsChild>
        </w:div>
        <w:div w:id="1571964098">
          <w:marLeft w:val="0"/>
          <w:marRight w:val="0"/>
          <w:marTop w:val="0"/>
          <w:marBottom w:val="0"/>
          <w:divBdr>
            <w:top w:val="none" w:sz="0" w:space="0" w:color="auto"/>
            <w:left w:val="none" w:sz="0" w:space="0" w:color="auto"/>
            <w:bottom w:val="none" w:sz="0" w:space="0" w:color="auto"/>
            <w:right w:val="none" w:sz="0" w:space="0" w:color="auto"/>
          </w:divBdr>
          <w:divsChild>
            <w:div w:id="172696331">
              <w:marLeft w:val="0"/>
              <w:marRight w:val="0"/>
              <w:marTop w:val="0"/>
              <w:marBottom w:val="0"/>
              <w:divBdr>
                <w:top w:val="none" w:sz="0" w:space="0" w:color="auto"/>
                <w:left w:val="none" w:sz="0" w:space="0" w:color="auto"/>
                <w:bottom w:val="none" w:sz="0" w:space="0" w:color="auto"/>
                <w:right w:val="none" w:sz="0" w:space="0" w:color="auto"/>
              </w:divBdr>
            </w:div>
            <w:div w:id="178739884">
              <w:marLeft w:val="0"/>
              <w:marRight w:val="0"/>
              <w:marTop w:val="0"/>
              <w:marBottom w:val="0"/>
              <w:divBdr>
                <w:top w:val="none" w:sz="0" w:space="0" w:color="auto"/>
                <w:left w:val="none" w:sz="0" w:space="0" w:color="auto"/>
                <w:bottom w:val="none" w:sz="0" w:space="0" w:color="auto"/>
                <w:right w:val="none" w:sz="0" w:space="0" w:color="auto"/>
              </w:divBdr>
            </w:div>
            <w:div w:id="547180130">
              <w:marLeft w:val="0"/>
              <w:marRight w:val="0"/>
              <w:marTop w:val="0"/>
              <w:marBottom w:val="0"/>
              <w:divBdr>
                <w:top w:val="none" w:sz="0" w:space="0" w:color="auto"/>
                <w:left w:val="none" w:sz="0" w:space="0" w:color="auto"/>
                <w:bottom w:val="none" w:sz="0" w:space="0" w:color="auto"/>
                <w:right w:val="none" w:sz="0" w:space="0" w:color="auto"/>
              </w:divBdr>
            </w:div>
            <w:div w:id="912929133">
              <w:marLeft w:val="0"/>
              <w:marRight w:val="0"/>
              <w:marTop w:val="0"/>
              <w:marBottom w:val="0"/>
              <w:divBdr>
                <w:top w:val="none" w:sz="0" w:space="0" w:color="auto"/>
                <w:left w:val="none" w:sz="0" w:space="0" w:color="auto"/>
                <w:bottom w:val="none" w:sz="0" w:space="0" w:color="auto"/>
                <w:right w:val="none" w:sz="0" w:space="0" w:color="auto"/>
              </w:divBdr>
            </w:div>
            <w:div w:id="935938257">
              <w:marLeft w:val="0"/>
              <w:marRight w:val="0"/>
              <w:marTop w:val="0"/>
              <w:marBottom w:val="0"/>
              <w:divBdr>
                <w:top w:val="none" w:sz="0" w:space="0" w:color="auto"/>
                <w:left w:val="none" w:sz="0" w:space="0" w:color="auto"/>
                <w:bottom w:val="none" w:sz="0" w:space="0" w:color="auto"/>
                <w:right w:val="none" w:sz="0" w:space="0" w:color="auto"/>
              </w:divBdr>
            </w:div>
            <w:div w:id="1612978173">
              <w:marLeft w:val="0"/>
              <w:marRight w:val="0"/>
              <w:marTop w:val="0"/>
              <w:marBottom w:val="0"/>
              <w:divBdr>
                <w:top w:val="none" w:sz="0" w:space="0" w:color="auto"/>
                <w:left w:val="none" w:sz="0" w:space="0" w:color="auto"/>
                <w:bottom w:val="none" w:sz="0" w:space="0" w:color="auto"/>
                <w:right w:val="none" w:sz="0" w:space="0" w:color="auto"/>
              </w:divBdr>
            </w:div>
            <w:div w:id="1874153589">
              <w:marLeft w:val="0"/>
              <w:marRight w:val="0"/>
              <w:marTop w:val="0"/>
              <w:marBottom w:val="0"/>
              <w:divBdr>
                <w:top w:val="none" w:sz="0" w:space="0" w:color="auto"/>
                <w:left w:val="none" w:sz="0" w:space="0" w:color="auto"/>
                <w:bottom w:val="none" w:sz="0" w:space="0" w:color="auto"/>
                <w:right w:val="none" w:sz="0" w:space="0" w:color="auto"/>
              </w:divBdr>
            </w:div>
          </w:divsChild>
        </w:div>
        <w:div w:id="1649476494">
          <w:marLeft w:val="0"/>
          <w:marRight w:val="0"/>
          <w:marTop w:val="0"/>
          <w:marBottom w:val="0"/>
          <w:divBdr>
            <w:top w:val="none" w:sz="0" w:space="0" w:color="auto"/>
            <w:left w:val="none" w:sz="0" w:space="0" w:color="auto"/>
            <w:bottom w:val="none" w:sz="0" w:space="0" w:color="auto"/>
            <w:right w:val="none" w:sz="0" w:space="0" w:color="auto"/>
          </w:divBdr>
          <w:divsChild>
            <w:div w:id="52774546">
              <w:marLeft w:val="0"/>
              <w:marRight w:val="0"/>
              <w:marTop w:val="0"/>
              <w:marBottom w:val="0"/>
              <w:divBdr>
                <w:top w:val="none" w:sz="0" w:space="0" w:color="auto"/>
                <w:left w:val="none" w:sz="0" w:space="0" w:color="auto"/>
                <w:bottom w:val="none" w:sz="0" w:space="0" w:color="auto"/>
                <w:right w:val="none" w:sz="0" w:space="0" w:color="auto"/>
              </w:divBdr>
            </w:div>
            <w:div w:id="211424071">
              <w:marLeft w:val="0"/>
              <w:marRight w:val="0"/>
              <w:marTop w:val="0"/>
              <w:marBottom w:val="0"/>
              <w:divBdr>
                <w:top w:val="none" w:sz="0" w:space="0" w:color="auto"/>
                <w:left w:val="none" w:sz="0" w:space="0" w:color="auto"/>
                <w:bottom w:val="none" w:sz="0" w:space="0" w:color="auto"/>
                <w:right w:val="none" w:sz="0" w:space="0" w:color="auto"/>
              </w:divBdr>
            </w:div>
            <w:div w:id="253439170">
              <w:marLeft w:val="0"/>
              <w:marRight w:val="0"/>
              <w:marTop w:val="0"/>
              <w:marBottom w:val="0"/>
              <w:divBdr>
                <w:top w:val="none" w:sz="0" w:space="0" w:color="auto"/>
                <w:left w:val="none" w:sz="0" w:space="0" w:color="auto"/>
                <w:bottom w:val="none" w:sz="0" w:space="0" w:color="auto"/>
                <w:right w:val="none" w:sz="0" w:space="0" w:color="auto"/>
              </w:divBdr>
            </w:div>
            <w:div w:id="283509265">
              <w:marLeft w:val="0"/>
              <w:marRight w:val="0"/>
              <w:marTop w:val="0"/>
              <w:marBottom w:val="0"/>
              <w:divBdr>
                <w:top w:val="none" w:sz="0" w:space="0" w:color="auto"/>
                <w:left w:val="none" w:sz="0" w:space="0" w:color="auto"/>
                <w:bottom w:val="none" w:sz="0" w:space="0" w:color="auto"/>
                <w:right w:val="none" w:sz="0" w:space="0" w:color="auto"/>
              </w:divBdr>
            </w:div>
            <w:div w:id="295255651">
              <w:marLeft w:val="0"/>
              <w:marRight w:val="0"/>
              <w:marTop w:val="0"/>
              <w:marBottom w:val="0"/>
              <w:divBdr>
                <w:top w:val="none" w:sz="0" w:space="0" w:color="auto"/>
                <w:left w:val="none" w:sz="0" w:space="0" w:color="auto"/>
                <w:bottom w:val="none" w:sz="0" w:space="0" w:color="auto"/>
                <w:right w:val="none" w:sz="0" w:space="0" w:color="auto"/>
              </w:divBdr>
            </w:div>
            <w:div w:id="414132633">
              <w:marLeft w:val="0"/>
              <w:marRight w:val="0"/>
              <w:marTop w:val="0"/>
              <w:marBottom w:val="0"/>
              <w:divBdr>
                <w:top w:val="none" w:sz="0" w:space="0" w:color="auto"/>
                <w:left w:val="none" w:sz="0" w:space="0" w:color="auto"/>
                <w:bottom w:val="none" w:sz="0" w:space="0" w:color="auto"/>
                <w:right w:val="none" w:sz="0" w:space="0" w:color="auto"/>
              </w:divBdr>
            </w:div>
            <w:div w:id="538251234">
              <w:marLeft w:val="0"/>
              <w:marRight w:val="0"/>
              <w:marTop w:val="0"/>
              <w:marBottom w:val="0"/>
              <w:divBdr>
                <w:top w:val="none" w:sz="0" w:space="0" w:color="auto"/>
                <w:left w:val="none" w:sz="0" w:space="0" w:color="auto"/>
                <w:bottom w:val="none" w:sz="0" w:space="0" w:color="auto"/>
                <w:right w:val="none" w:sz="0" w:space="0" w:color="auto"/>
              </w:divBdr>
            </w:div>
            <w:div w:id="820464622">
              <w:marLeft w:val="0"/>
              <w:marRight w:val="0"/>
              <w:marTop w:val="0"/>
              <w:marBottom w:val="0"/>
              <w:divBdr>
                <w:top w:val="none" w:sz="0" w:space="0" w:color="auto"/>
                <w:left w:val="none" w:sz="0" w:space="0" w:color="auto"/>
                <w:bottom w:val="none" w:sz="0" w:space="0" w:color="auto"/>
                <w:right w:val="none" w:sz="0" w:space="0" w:color="auto"/>
              </w:divBdr>
            </w:div>
            <w:div w:id="976301147">
              <w:marLeft w:val="0"/>
              <w:marRight w:val="0"/>
              <w:marTop w:val="0"/>
              <w:marBottom w:val="0"/>
              <w:divBdr>
                <w:top w:val="none" w:sz="0" w:space="0" w:color="auto"/>
                <w:left w:val="none" w:sz="0" w:space="0" w:color="auto"/>
                <w:bottom w:val="none" w:sz="0" w:space="0" w:color="auto"/>
                <w:right w:val="none" w:sz="0" w:space="0" w:color="auto"/>
              </w:divBdr>
            </w:div>
            <w:div w:id="1061099531">
              <w:marLeft w:val="0"/>
              <w:marRight w:val="0"/>
              <w:marTop w:val="0"/>
              <w:marBottom w:val="0"/>
              <w:divBdr>
                <w:top w:val="none" w:sz="0" w:space="0" w:color="auto"/>
                <w:left w:val="none" w:sz="0" w:space="0" w:color="auto"/>
                <w:bottom w:val="none" w:sz="0" w:space="0" w:color="auto"/>
                <w:right w:val="none" w:sz="0" w:space="0" w:color="auto"/>
              </w:divBdr>
            </w:div>
            <w:div w:id="1098259893">
              <w:marLeft w:val="0"/>
              <w:marRight w:val="0"/>
              <w:marTop w:val="0"/>
              <w:marBottom w:val="0"/>
              <w:divBdr>
                <w:top w:val="none" w:sz="0" w:space="0" w:color="auto"/>
                <w:left w:val="none" w:sz="0" w:space="0" w:color="auto"/>
                <w:bottom w:val="none" w:sz="0" w:space="0" w:color="auto"/>
                <w:right w:val="none" w:sz="0" w:space="0" w:color="auto"/>
              </w:divBdr>
            </w:div>
            <w:div w:id="1285816485">
              <w:marLeft w:val="0"/>
              <w:marRight w:val="0"/>
              <w:marTop w:val="0"/>
              <w:marBottom w:val="0"/>
              <w:divBdr>
                <w:top w:val="none" w:sz="0" w:space="0" w:color="auto"/>
                <w:left w:val="none" w:sz="0" w:space="0" w:color="auto"/>
                <w:bottom w:val="none" w:sz="0" w:space="0" w:color="auto"/>
                <w:right w:val="none" w:sz="0" w:space="0" w:color="auto"/>
              </w:divBdr>
            </w:div>
            <w:div w:id="1299266348">
              <w:marLeft w:val="0"/>
              <w:marRight w:val="0"/>
              <w:marTop w:val="0"/>
              <w:marBottom w:val="0"/>
              <w:divBdr>
                <w:top w:val="none" w:sz="0" w:space="0" w:color="auto"/>
                <w:left w:val="none" w:sz="0" w:space="0" w:color="auto"/>
                <w:bottom w:val="none" w:sz="0" w:space="0" w:color="auto"/>
                <w:right w:val="none" w:sz="0" w:space="0" w:color="auto"/>
              </w:divBdr>
            </w:div>
            <w:div w:id="1438409450">
              <w:marLeft w:val="0"/>
              <w:marRight w:val="0"/>
              <w:marTop w:val="0"/>
              <w:marBottom w:val="0"/>
              <w:divBdr>
                <w:top w:val="none" w:sz="0" w:space="0" w:color="auto"/>
                <w:left w:val="none" w:sz="0" w:space="0" w:color="auto"/>
                <w:bottom w:val="none" w:sz="0" w:space="0" w:color="auto"/>
                <w:right w:val="none" w:sz="0" w:space="0" w:color="auto"/>
              </w:divBdr>
            </w:div>
            <w:div w:id="1666276669">
              <w:marLeft w:val="0"/>
              <w:marRight w:val="0"/>
              <w:marTop w:val="0"/>
              <w:marBottom w:val="0"/>
              <w:divBdr>
                <w:top w:val="none" w:sz="0" w:space="0" w:color="auto"/>
                <w:left w:val="none" w:sz="0" w:space="0" w:color="auto"/>
                <w:bottom w:val="none" w:sz="0" w:space="0" w:color="auto"/>
                <w:right w:val="none" w:sz="0" w:space="0" w:color="auto"/>
              </w:divBdr>
            </w:div>
            <w:div w:id="1708555956">
              <w:marLeft w:val="0"/>
              <w:marRight w:val="0"/>
              <w:marTop w:val="0"/>
              <w:marBottom w:val="0"/>
              <w:divBdr>
                <w:top w:val="none" w:sz="0" w:space="0" w:color="auto"/>
                <w:left w:val="none" w:sz="0" w:space="0" w:color="auto"/>
                <w:bottom w:val="none" w:sz="0" w:space="0" w:color="auto"/>
                <w:right w:val="none" w:sz="0" w:space="0" w:color="auto"/>
              </w:divBdr>
            </w:div>
            <w:div w:id="1724675596">
              <w:marLeft w:val="0"/>
              <w:marRight w:val="0"/>
              <w:marTop w:val="0"/>
              <w:marBottom w:val="0"/>
              <w:divBdr>
                <w:top w:val="none" w:sz="0" w:space="0" w:color="auto"/>
                <w:left w:val="none" w:sz="0" w:space="0" w:color="auto"/>
                <w:bottom w:val="none" w:sz="0" w:space="0" w:color="auto"/>
                <w:right w:val="none" w:sz="0" w:space="0" w:color="auto"/>
              </w:divBdr>
            </w:div>
            <w:div w:id="1933590719">
              <w:marLeft w:val="0"/>
              <w:marRight w:val="0"/>
              <w:marTop w:val="0"/>
              <w:marBottom w:val="0"/>
              <w:divBdr>
                <w:top w:val="none" w:sz="0" w:space="0" w:color="auto"/>
                <w:left w:val="none" w:sz="0" w:space="0" w:color="auto"/>
                <w:bottom w:val="none" w:sz="0" w:space="0" w:color="auto"/>
                <w:right w:val="none" w:sz="0" w:space="0" w:color="auto"/>
              </w:divBdr>
            </w:div>
            <w:div w:id="1952661319">
              <w:marLeft w:val="0"/>
              <w:marRight w:val="0"/>
              <w:marTop w:val="0"/>
              <w:marBottom w:val="0"/>
              <w:divBdr>
                <w:top w:val="none" w:sz="0" w:space="0" w:color="auto"/>
                <w:left w:val="none" w:sz="0" w:space="0" w:color="auto"/>
                <w:bottom w:val="none" w:sz="0" w:space="0" w:color="auto"/>
                <w:right w:val="none" w:sz="0" w:space="0" w:color="auto"/>
              </w:divBdr>
            </w:div>
            <w:div w:id="2072996890">
              <w:marLeft w:val="0"/>
              <w:marRight w:val="0"/>
              <w:marTop w:val="0"/>
              <w:marBottom w:val="0"/>
              <w:divBdr>
                <w:top w:val="none" w:sz="0" w:space="0" w:color="auto"/>
                <w:left w:val="none" w:sz="0" w:space="0" w:color="auto"/>
                <w:bottom w:val="none" w:sz="0" w:space="0" w:color="auto"/>
                <w:right w:val="none" w:sz="0" w:space="0" w:color="auto"/>
              </w:divBdr>
            </w:div>
          </w:divsChild>
        </w:div>
        <w:div w:id="2005352085">
          <w:marLeft w:val="0"/>
          <w:marRight w:val="0"/>
          <w:marTop w:val="0"/>
          <w:marBottom w:val="0"/>
          <w:divBdr>
            <w:top w:val="none" w:sz="0" w:space="0" w:color="auto"/>
            <w:left w:val="none" w:sz="0" w:space="0" w:color="auto"/>
            <w:bottom w:val="none" w:sz="0" w:space="0" w:color="auto"/>
            <w:right w:val="none" w:sz="0" w:space="0" w:color="auto"/>
          </w:divBdr>
          <w:divsChild>
            <w:div w:id="288366197">
              <w:marLeft w:val="0"/>
              <w:marRight w:val="0"/>
              <w:marTop w:val="0"/>
              <w:marBottom w:val="0"/>
              <w:divBdr>
                <w:top w:val="none" w:sz="0" w:space="0" w:color="auto"/>
                <w:left w:val="none" w:sz="0" w:space="0" w:color="auto"/>
                <w:bottom w:val="none" w:sz="0" w:space="0" w:color="auto"/>
                <w:right w:val="none" w:sz="0" w:space="0" w:color="auto"/>
              </w:divBdr>
            </w:div>
            <w:div w:id="435096581">
              <w:marLeft w:val="0"/>
              <w:marRight w:val="0"/>
              <w:marTop w:val="0"/>
              <w:marBottom w:val="0"/>
              <w:divBdr>
                <w:top w:val="none" w:sz="0" w:space="0" w:color="auto"/>
                <w:left w:val="none" w:sz="0" w:space="0" w:color="auto"/>
                <w:bottom w:val="none" w:sz="0" w:space="0" w:color="auto"/>
                <w:right w:val="none" w:sz="0" w:space="0" w:color="auto"/>
              </w:divBdr>
            </w:div>
            <w:div w:id="443578535">
              <w:marLeft w:val="0"/>
              <w:marRight w:val="0"/>
              <w:marTop w:val="0"/>
              <w:marBottom w:val="0"/>
              <w:divBdr>
                <w:top w:val="none" w:sz="0" w:space="0" w:color="auto"/>
                <w:left w:val="none" w:sz="0" w:space="0" w:color="auto"/>
                <w:bottom w:val="none" w:sz="0" w:space="0" w:color="auto"/>
                <w:right w:val="none" w:sz="0" w:space="0" w:color="auto"/>
              </w:divBdr>
            </w:div>
            <w:div w:id="575407631">
              <w:marLeft w:val="0"/>
              <w:marRight w:val="0"/>
              <w:marTop w:val="0"/>
              <w:marBottom w:val="0"/>
              <w:divBdr>
                <w:top w:val="none" w:sz="0" w:space="0" w:color="auto"/>
                <w:left w:val="none" w:sz="0" w:space="0" w:color="auto"/>
                <w:bottom w:val="none" w:sz="0" w:space="0" w:color="auto"/>
                <w:right w:val="none" w:sz="0" w:space="0" w:color="auto"/>
              </w:divBdr>
            </w:div>
            <w:div w:id="712342689">
              <w:marLeft w:val="0"/>
              <w:marRight w:val="0"/>
              <w:marTop w:val="0"/>
              <w:marBottom w:val="0"/>
              <w:divBdr>
                <w:top w:val="none" w:sz="0" w:space="0" w:color="auto"/>
                <w:left w:val="none" w:sz="0" w:space="0" w:color="auto"/>
                <w:bottom w:val="none" w:sz="0" w:space="0" w:color="auto"/>
                <w:right w:val="none" w:sz="0" w:space="0" w:color="auto"/>
              </w:divBdr>
            </w:div>
            <w:div w:id="734402182">
              <w:marLeft w:val="0"/>
              <w:marRight w:val="0"/>
              <w:marTop w:val="0"/>
              <w:marBottom w:val="0"/>
              <w:divBdr>
                <w:top w:val="none" w:sz="0" w:space="0" w:color="auto"/>
                <w:left w:val="none" w:sz="0" w:space="0" w:color="auto"/>
                <w:bottom w:val="none" w:sz="0" w:space="0" w:color="auto"/>
                <w:right w:val="none" w:sz="0" w:space="0" w:color="auto"/>
              </w:divBdr>
            </w:div>
            <w:div w:id="822963476">
              <w:marLeft w:val="0"/>
              <w:marRight w:val="0"/>
              <w:marTop w:val="0"/>
              <w:marBottom w:val="0"/>
              <w:divBdr>
                <w:top w:val="none" w:sz="0" w:space="0" w:color="auto"/>
                <w:left w:val="none" w:sz="0" w:space="0" w:color="auto"/>
                <w:bottom w:val="none" w:sz="0" w:space="0" w:color="auto"/>
                <w:right w:val="none" w:sz="0" w:space="0" w:color="auto"/>
              </w:divBdr>
            </w:div>
            <w:div w:id="1140923591">
              <w:marLeft w:val="0"/>
              <w:marRight w:val="0"/>
              <w:marTop w:val="0"/>
              <w:marBottom w:val="0"/>
              <w:divBdr>
                <w:top w:val="none" w:sz="0" w:space="0" w:color="auto"/>
                <w:left w:val="none" w:sz="0" w:space="0" w:color="auto"/>
                <w:bottom w:val="none" w:sz="0" w:space="0" w:color="auto"/>
                <w:right w:val="none" w:sz="0" w:space="0" w:color="auto"/>
              </w:divBdr>
            </w:div>
            <w:div w:id="1189955385">
              <w:marLeft w:val="0"/>
              <w:marRight w:val="0"/>
              <w:marTop w:val="0"/>
              <w:marBottom w:val="0"/>
              <w:divBdr>
                <w:top w:val="none" w:sz="0" w:space="0" w:color="auto"/>
                <w:left w:val="none" w:sz="0" w:space="0" w:color="auto"/>
                <w:bottom w:val="none" w:sz="0" w:space="0" w:color="auto"/>
                <w:right w:val="none" w:sz="0" w:space="0" w:color="auto"/>
              </w:divBdr>
            </w:div>
            <w:div w:id="1260062666">
              <w:marLeft w:val="0"/>
              <w:marRight w:val="0"/>
              <w:marTop w:val="0"/>
              <w:marBottom w:val="0"/>
              <w:divBdr>
                <w:top w:val="none" w:sz="0" w:space="0" w:color="auto"/>
                <w:left w:val="none" w:sz="0" w:space="0" w:color="auto"/>
                <w:bottom w:val="none" w:sz="0" w:space="0" w:color="auto"/>
                <w:right w:val="none" w:sz="0" w:space="0" w:color="auto"/>
              </w:divBdr>
            </w:div>
            <w:div w:id="1284534477">
              <w:marLeft w:val="0"/>
              <w:marRight w:val="0"/>
              <w:marTop w:val="0"/>
              <w:marBottom w:val="0"/>
              <w:divBdr>
                <w:top w:val="none" w:sz="0" w:space="0" w:color="auto"/>
                <w:left w:val="none" w:sz="0" w:space="0" w:color="auto"/>
                <w:bottom w:val="none" w:sz="0" w:space="0" w:color="auto"/>
                <w:right w:val="none" w:sz="0" w:space="0" w:color="auto"/>
              </w:divBdr>
            </w:div>
            <w:div w:id="1326664794">
              <w:marLeft w:val="0"/>
              <w:marRight w:val="0"/>
              <w:marTop w:val="0"/>
              <w:marBottom w:val="0"/>
              <w:divBdr>
                <w:top w:val="none" w:sz="0" w:space="0" w:color="auto"/>
                <w:left w:val="none" w:sz="0" w:space="0" w:color="auto"/>
                <w:bottom w:val="none" w:sz="0" w:space="0" w:color="auto"/>
                <w:right w:val="none" w:sz="0" w:space="0" w:color="auto"/>
              </w:divBdr>
            </w:div>
            <w:div w:id="1351833459">
              <w:marLeft w:val="0"/>
              <w:marRight w:val="0"/>
              <w:marTop w:val="0"/>
              <w:marBottom w:val="0"/>
              <w:divBdr>
                <w:top w:val="none" w:sz="0" w:space="0" w:color="auto"/>
                <w:left w:val="none" w:sz="0" w:space="0" w:color="auto"/>
                <w:bottom w:val="none" w:sz="0" w:space="0" w:color="auto"/>
                <w:right w:val="none" w:sz="0" w:space="0" w:color="auto"/>
              </w:divBdr>
            </w:div>
            <w:div w:id="1356273039">
              <w:marLeft w:val="0"/>
              <w:marRight w:val="0"/>
              <w:marTop w:val="0"/>
              <w:marBottom w:val="0"/>
              <w:divBdr>
                <w:top w:val="none" w:sz="0" w:space="0" w:color="auto"/>
                <w:left w:val="none" w:sz="0" w:space="0" w:color="auto"/>
                <w:bottom w:val="none" w:sz="0" w:space="0" w:color="auto"/>
                <w:right w:val="none" w:sz="0" w:space="0" w:color="auto"/>
              </w:divBdr>
            </w:div>
            <w:div w:id="1474634493">
              <w:marLeft w:val="0"/>
              <w:marRight w:val="0"/>
              <w:marTop w:val="0"/>
              <w:marBottom w:val="0"/>
              <w:divBdr>
                <w:top w:val="none" w:sz="0" w:space="0" w:color="auto"/>
                <w:left w:val="none" w:sz="0" w:space="0" w:color="auto"/>
                <w:bottom w:val="none" w:sz="0" w:space="0" w:color="auto"/>
                <w:right w:val="none" w:sz="0" w:space="0" w:color="auto"/>
              </w:divBdr>
            </w:div>
            <w:div w:id="1515920166">
              <w:marLeft w:val="0"/>
              <w:marRight w:val="0"/>
              <w:marTop w:val="0"/>
              <w:marBottom w:val="0"/>
              <w:divBdr>
                <w:top w:val="none" w:sz="0" w:space="0" w:color="auto"/>
                <w:left w:val="none" w:sz="0" w:space="0" w:color="auto"/>
                <w:bottom w:val="none" w:sz="0" w:space="0" w:color="auto"/>
                <w:right w:val="none" w:sz="0" w:space="0" w:color="auto"/>
              </w:divBdr>
            </w:div>
            <w:div w:id="1645353855">
              <w:marLeft w:val="0"/>
              <w:marRight w:val="0"/>
              <w:marTop w:val="0"/>
              <w:marBottom w:val="0"/>
              <w:divBdr>
                <w:top w:val="none" w:sz="0" w:space="0" w:color="auto"/>
                <w:left w:val="none" w:sz="0" w:space="0" w:color="auto"/>
                <w:bottom w:val="none" w:sz="0" w:space="0" w:color="auto"/>
                <w:right w:val="none" w:sz="0" w:space="0" w:color="auto"/>
              </w:divBdr>
            </w:div>
            <w:div w:id="1757826759">
              <w:marLeft w:val="0"/>
              <w:marRight w:val="0"/>
              <w:marTop w:val="0"/>
              <w:marBottom w:val="0"/>
              <w:divBdr>
                <w:top w:val="none" w:sz="0" w:space="0" w:color="auto"/>
                <w:left w:val="none" w:sz="0" w:space="0" w:color="auto"/>
                <w:bottom w:val="none" w:sz="0" w:space="0" w:color="auto"/>
                <w:right w:val="none" w:sz="0" w:space="0" w:color="auto"/>
              </w:divBdr>
            </w:div>
            <w:div w:id="2002736353">
              <w:marLeft w:val="0"/>
              <w:marRight w:val="0"/>
              <w:marTop w:val="0"/>
              <w:marBottom w:val="0"/>
              <w:divBdr>
                <w:top w:val="none" w:sz="0" w:space="0" w:color="auto"/>
                <w:left w:val="none" w:sz="0" w:space="0" w:color="auto"/>
                <w:bottom w:val="none" w:sz="0" w:space="0" w:color="auto"/>
                <w:right w:val="none" w:sz="0" w:space="0" w:color="auto"/>
              </w:divBdr>
            </w:div>
            <w:div w:id="202736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156876">
      <w:bodyDiv w:val="1"/>
      <w:marLeft w:val="0"/>
      <w:marRight w:val="0"/>
      <w:marTop w:val="0"/>
      <w:marBottom w:val="0"/>
      <w:divBdr>
        <w:top w:val="none" w:sz="0" w:space="0" w:color="auto"/>
        <w:left w:val="none" w:sz="0" w:space="0" w:color="auto"/>
        <w:bottom w:val="none" w:sz="0" w:space="0" w:color="auto"/>
        <w:right w:val="none" w:sz="0" w:space="0" w:color="auto"/>
      </w:divBdr>
      <w:divsChild>
        <w:div w:id="43986757">
          <w:marLeft w:val="0"/>
          <w:marRight w:val="0"/>
          <w:marTop w:val="0"/>
          <w:marBottom w:val="0"/>
          <w:divBdr>
            <w:top w:val="none" w:sz="0" w:space="0" w:color="auto"/>
            <w:left w:val="none" w:sz="0" w:space="0" w:color="auto"/>
            <w:bottom w:val="none" w:sz="0" w:space="0" w:color="auto"/>
            <w:right w:val="none" w:sz="0" w:space="0" w:color="auto"/>
          </w:divBdr>
          <w:divsChild>
            <w:div w:id="1398358153">
              <w:marLeft w:val="0"/>
              <w:marRight w:val="0"/>
              <w:marTop w:val="0"/>
              <w:marBottom w:val="0"/>
              <w:divBdr>
                <w:top w:val="none" w:sz="0" w:space="0" w:color="auto"/>
                <w:left w:val="none" w:sz="0" w:space="0" w:color="auto"/>
                <w:bottom w:val="none" w:sz="0" w:space="0" w:color="auto"/>
                <w:right w:val="none" w:sz="0" w:space="0" w:color="auto"/>
              </w:divBdr>
            </w:div>
            <w:div w:id="1796604878">
              <w:marLeft w:val="0"/>
              <w:marRight w:val="0"/>
              <w:marTop w:val="0"/>
              <w:marBottom w:val="0"/>
              <w:divBdr>
                <w:top w:val="none" w:sz="0" w:space="0" w:color="auto"/>
                <w:left w:val="none" w:sz="0" w:space="0" w:color="auto"/>
                <w:bottom w:val="none" w:sz="0" w:space="0" w:color="auto"/>
                <w:right w:val="none" w:sz="0" w:space="0" w:color="auto"/>
              </w:divBdr>
            </w:div>
          </w:divsChild>
        </w:div>
        <w:div w:id="76945981">
          <w:marLeft w:val="0"/>
          <w:marRight w:val="0"/>
          <w:marTop w:val="0"/>
          <w:marBottom w:val="0"/>
          <w:divBdr>
            <w:top w:val="none" w:sz="0" w:space="0" w:color="auto"/>
            <w:left w:val="none" w:sz="0" w:space="0" w:color="auto"/>
            <w:bottom w:val="none" w:sz="0" w:space="0" w:color="auto"/>
            <w:right w:val="none" w:sz="0" w:space="0" w:color="auto"/>
          </w:divBdr>
          <w:divsChild>
            <w:div w:id="1038509223">
              <w:marLeft w:val="0"/>
              <w:marRight w:val="0"/>
              <w:marTop w:val="0"/>
              <w:marBottom w:val="0"/>
              <w:divBdr>
                <w:top w:val="none" w:sz="0" w:space="0" w:color="auto"/>
                <w:left w:val="none" w:sz="0" w:space="0" w:color="auto"/>
                <w:bottom w:val="none" w:sz="0" w:space="0" w:color="auto"/>
                <w:right w:val="none" w:sz="0" w:space="0" w:color="auto"/>
              </w:divBdr>
            </w:div>
          </w:divsChild>
        </w:div>
        <w:div w:id="90708730">
          <w:marLeft w:val="0"/>
          <w:marRight w:val="0"/>
          <w:marTop w:val="0"/>
          <w:marBottom w:val="0"/>
          <w:divBdr>
            <w:top w:val="none" w:sz="0" w:space="0" w:color="auto"/>
            <w:left w:val="none" w:sz="0" w:space="0" w:color="auto"/>
            <w:bottom w:val="none" w:sz="0" w:space="0" w:color="auto"/>
            <w:right w:val="none" w:sz="0" w:space="0" w:color="auto"/>
          </w:divBdr>
          <w:divsChild>
            <w:div w:id="1540320377">
              <w:marLeft w:val="0"/>
              <w:marRight w:val="0"/>
              <w:marTop w:val="0"/>
              <w:marBottom w:val="0"/>
              <w:divBdr>
                <w:top w:val="none" w:sz="0" w:space="0" w:color="auto"/>
                <w:left w:val="none" w:sz="0" w:space="0" w:color="auto"/>
                <w:bottom w:val="none" w:sz="0" w:space="0" w:color="auto"/>
                <w:right w:val="none" w:sz="0" w:space="0" w:color="auto"/>
              </w:divBdr>
            </w:div>
            <w:div w:id="1782262295">
              <w:marLeft w:val="0"/>
              <w:marRight w:val="0"/>
              <w:marTop w:val="0"/>
              <w:marBottom w:val="0"/>
              <w:divBdr>
                <w:top w:val="none" w:sz="0" w:space="0" w:color="auto"/>
                <w:left w:val="none" w:sz="0" w:space="0" w:color="auto"/>
                <w:bottom w:val="none" w:sz="0" w:space="0" w:color="auto"/>
                <w:right w:val="none" w:sz="0" w:space="0" w:color="auto"/>
              </w:divBdr>
            </w:div>
          </w:divsChild>
        </w:div>
        <w:div w:id="130447923">
          <w:marLeft w:val="0"/>
          <w:marRight w:val="0"/>
          <w:marTop w:val="0"/>
          <w:marBottom w:val="0"/>
          <w:divBdr>
            <w:top w:val="none" w:sz="0" w:space="0" w:color="auto"/>
            <w:left w:val="none" w:sz="0" w:space="0" w:color="auto"/>
            <w:bottom w:val="none" w:sz="0" w:space="0" w:color="auto"/>
            <w:right w:val="none" w:sz="0" w:space="0" w:color="auto"/>
          </w:divBdr>
          <w:divsChild>
            <w:div w:id="69428021">
              <w:marLeft w:val="0"/>
              <w:marRight w:val="0"/>
              <w:marTop w:val="0"/>
              <w:marBottom w:val="0"/>
              <w:divBdr>
                <w:top w:val="none" w:sz="0" w:space="0" w:color="auto"/>
                <w:left w:val="none" w:sz="0" w:space="0" w:color="auto"/>
                <w:bottom w:val="none" w:sz="0" w:space="0" w:color="auto"/>
                <w:right w:val="none" w:sz="0" w:space="0" w:color="auto"/>
              </w:divBdr>
            </w:div>
          </w:divsChild>
        </w:div>
        <w:div w:id="173767297">
          <w:marLeft w:val="0"/>
          <w:marRight w:val="0"/>
          <w:marTop w:val="0"/>
          <w:marBottom w:val="0"/>
          <w:divBdr>
            <w:top w:val="none" w:sz="0" w:space="0" w:color="auto"/>
            <w:left w:val="none" w:sz="0" w:space="0" w:color="auto"/>
            <w:bottom w:val="none" w:sz="0" w:space="0" w:color="auto"/>
            <w:right w:val="none" w:sz="0" w:space="0" w:color="auto"/>
          </w:divBdr>
          <w:divsChild>
            <w:div w:id="1906065262">
              <w:marLeft w:val="0"/>
              <w:marRight w:val="0"/>
              <w:marTop w:val="0"/>
              <w:marBottom w:val="0"/>
              <w:divBdr>
                <w:top w:val="none" w:sz="0" w:space="0" w:color="auto"/>
                <w:left w:val="none" w:sz="0" w:space="0" w:color="auto"/>
                <w:bottom w:val="none" w:sz="0" w:space="0" w:color="auto"/>
                <w:right w:val="none" w:sz="0" w:space="0" w:color="auto"/>
              </w:divBdr>
            </w:div>
          </w:divsChild>
        </w:div>
        <w:div w:id="180559469">
          <w:marLeft w:val="0"/>
          <w:marRight w:val="0"/>
          <w:marTop w:val="0"/>
          <w:marBottom w:val="0"/>
          <w:divBdr>
            <w:top w:val="none" w:sz="0" w:space="0" w:color="auto"/>
            <w:left w:val="none" w:sz="0" w:space="0" w:color="auto"/>
            <w:bottom w:val="none" w:sz="0" w:space="0" w:color="auto"/>
            <w:right w:val="none" w:sz="0" w:space="0" w:color="auto"/>
          </w:divBdr>
          <w:divsChild>
            <w:div w:id="992759277">
              <w:marLeft w:val="0"/>
              <w:marRight w:val="0"/>
              <w:marTop w:val="0"/>
              <w:marBottom w:val="0"/>
              <w:divBdr>
                <w:top w:val="none" w:sz="0" w:space="0" w:color="auto"/>
                <w:left w:val="none" w:sz="0" w:space="0" w:color="auto"/>
                <w:bottom w:val="none" w:sz="0" w:space="0" w:color="auto"/>
                <w:right w:val="none" w:sz="0" w:space="0" w:color="auto"/>
              </w:divBdr>
            </w:div>
            <w:div w:id="2083871178">
              <w:marLeft w:val="0"/>
              <w:marRight w:val="0"/>
              <w:marTop w:val="0"/>
              <w:marBottom w:val="0"/>
              <w:divBdr>
                <w:top w:val="none" w:sz="0" w:space="0" w:color="auto"/>
                <w:left w:val="none" w:sz="0" w:space="0" w:color="auto"/>
                <w:bottom w:val="none" w:sz="0" w:space="0" w:color="auto"/>
                <w:right w:val="none" w:sz="0" w:space="0" w:color="auto"/>
              </w:divBdr>
            </w:div>
          </w:divsChild>
        </w:div>
        <w:div w:id="195043022">
          <w:marLeft w:val="0"/>
          <w:marRight w:val="0"/>
          <w:marTop w:val="0"/>
          <w:marBottom w:val="0"/>
          <w:divBdr>
            <w:top w:val="none" w:sz="0" w:space="0" w:color="auto"/>
            <w:left w:val="none" w:sz="0" w:space="0" w:color="auto"/>
            <w:bottom w:val="none" w:sz="0" w:space="0" w:color="auto"/>
            <w:right w:val="none" w:sz="0" w:space="0" w:color="auto"/>
          </w:divBdr>
          <w:divsChild>
            <w:div w:id="521436396">
              <w:marLeft w:val="0"/>
              <w:marRight w:val="0"/>
              <w:marTop w:val="0"/>
              <w:marBottom w:val="0"/>
              <w:divBdr>
                <w:top w:val="none" w:sz="0" w:space="0" w:color="auto"/>
                <w:left w:val="none" w:sz="0" w:space="0" w:color="auto"/>
                <w:bottom w:val="none" w:sz="0" w:space="0" w:color="auto"/>
                <w:right w:val="none" w:sz="0" w:space="0" w:color="auto"/>
              </w:divBdr>
            </w:div>
          </w:divsChild>
        </w:div>
        <w:div w:id="266040161">
          <w:marLeft w:val="0"/>
          <w:marRight w:val="0"/>
          <w:marTop w:val="0"/>
          <w:marBottom w:val="0"/>
          <w:divBdr>
            <w:top w:val="none" w:sz="0" w:space="0" w:color="auto"/>
            <w:left w:val="none" w:sz="0" w:space="0" w:color="auto"/>
            <w:bottom w:val="none" w:sz="0" w:space="0" w:color="auto"/>
            <w:right w:val="none" w:sz="0" w:space="0" w:color="auto"/>
          </w:divBdr>
          <w:divsChild>
            <w:div w:id="304362724">
              <w:marLeft w:val="0"/>
              <w:marRight w:val="0"/>
              <w:marTop w:val="0"/>
              <w:marBottom w:val="0"/>
              <w:divBdr>
                <w:top w:val="none" w:sz="0" w:space="0" w:color="auto"/>
                <w:left w:val="none" w:sz="0" w:space="0" w:color="auto"/>
                <w:bottom w:val="none" w:sz="0" w:space="0" w:color="auto"/>
                <w:right w:val="none" w:sz="0" w:space="0" w:color="auto"/>
              </w:divBdr>
            </w:div>
            <w:div w:id="474761101">
              <w:marLeft w:val="0"/>
              <w:marRight w:val="0"/>
              <w:marTop w:val="0"/>
              <w:marBottom w:val="0"/>
              <w:divBdr>
                <w:top w:val="none" w:sz="0" w:space="0" w:color="auto"/>
                <w:left w:val="none" w:sz="0" w:space="0" w:color="auto"/>
                <w:bottom w:val="none" w:sz="0" w:space="0" w:color="auto"/>
                <w:right w:val="none" w:sz="0" w:space="0" w:color="auto"/>
              </w:divBdr>
            </w:div>
          </w:divsChild>
        </w:div>
        <w:div w:id="310527709">
          <w:marLeft w:val="0"/>
          <w:marRight w:val="0"/>
          <w:marTop w:val="0"/>
          <w:marBottom w:val="0"/>
          <w:divBdr>
            <w:top w:val="none" w:sz="0" w:space="0" w:color="auto"/>
            <w:left w:val="none" w:sz="0" w:space="0" w:color="auto"/>
            <w:bottom w:val="none" w:sz="0" w:space="0" w:color="auto"/>
            <w:right w:val="none" w:sz="0" w:space="0" w:color="auto"/>
          </w:divBdr>
          <w:divsChild>
            <w:div w:id="389503937">
              <w:marLeft w:val="0"/>
              <w:marRight w:val="0"/>
              <w:marTop w:val="0"/>
              <w:marBottom w:val="0"/>
              <w:divBdr>
                <w:top w:val="none" w:sz="0" w:space="0" w:color="auto"/>
                <w:left w:val="none" w:sz="0" w:space="0" w:color="auto"/>
                <w:bottom w:val="none" w:sz="0" w:space="0" w:color="auto"/>
                <w:right w:val="none" w:sz="0" w:space="0" w:color="auto"/>
              </w:divBdr>
            </w:div>
            <w:div w:id="693962106">
              <w:marLeft w:val="0"/>
              <w:marRight w:val="0"/>
              <w:marTop w:val="0"/>
              <w:marBottom w:val="0"/>
              <w:divBdr>
                <w:top w:val="none" w:sz="0" w:space="0" w:color="auto"/>
                <w:left w:val="none" w:sz="0" w:space="0" w:color="auto"/>
                <w:bottom w:val="none" w:sz="0" w:space="0" w:color="auto"/>
                <w:right w:val="none" w:sz="0" w:space="0" w:color="auto"/>
              </w:divBdr>
            </w:div>
          </w:divsChild>
        </w:div>
        <w:div w:id="322048872">
          <w:marLeft w:val="0"/>
          <w:marRight w:val="0"/>
          <w:marTop w:val="0"/>
          <w:marBottom w:val="0"/>
          <w:divBdr>
            <w:top w:val="none" w:sz="0" w:space="0" w:color="auto"/>
            <w:left w:val="none" w:sz="0" w:space="0" w:color="auto"/>
            <w:bottom w:val="none" w:sz="0" w:space="0" w:color="auto"/>
            <w:right w:val="none" w:sz="0" w:space="0" w:color="auto"/>
          </w:divBdr>
          <w:divsChild>
            <w:div w:id="548608219">
              <w:marLeft w:val="0"/>
              <w:marRight w:val="0"/>
              <w:marTop w:val="0"/>
              <w:marBottom w:val="0"/>
              <w:divBdr>
                <w:top w:val="none" w:sz="0" w:space="0" w:color="auto"/>
                <w:left w:val="none" w:sz="0" w:space="0" w:color="auto"/>
                <w:bottom w:val="none" w:sz="0" w:space="0" w:color="auto"/>
                <w:right w:val="none" w:sz="0" w:space="0" w:color="auto"/>
              </w:divBdr>
            </w:div>
          </w:divsChild>
        </w:div>
        <w:div w:id="369771763">
          <w:marLeft w:val="0"/>
          <w:marRight w:val="0"/>
          <w:marTop w:val="0"/>
          <w:marBottom w:val="0"/>
          <w:divBdr>
            <w:top w:val="none" w:sz="0" w:space="0" w:color="auto"/>
            <w:left w:val="none" w:sz="0" w:space="0" w:color="auto"/>
            <w:bottom w:val="none" w:sz="0" w:space="0" w:color="auto"/>
            <w:right w:val="none" w:sz="0" w:space="0" w:color="auto"/>
          </w:divBdr>
          <w:divsChild>
            <w:div w:id="1314219595">
              <w:marLeft w:val="0"/>
              <w:marRight w:val="0"/>
              <w:marTop w:val="0"/>
              <w:marBottom w:val="0"/>
              <w:divBdr>
                <w:top w:val="none" w:sz="0" w:space="0" w:color="auto"/>
                <w:left w:val="none" w:sz="0" w:space="0" w:color="auto"/>
                <w:bottom w:val="none" w:sz="0" w:space="0" w:color="auto"/>
                <w:right w:val="none" w:sz="0" w:space="0" w:color="auto"/>
              </w:divBdr>
            </w:div>
            <w:div w:id="1603604492">
              <w:marLeft w:val="0"/>
              <w:marRight w:val="0"/>
              <w:marTop w:val="0"/>
              <w:marBottom w:val="0"/>
              <w:divBdr>
                <w:top w:val="none" w:sz="0" w:space="0" w:color="auto"/>
                <w:left w:val="none" w:sz="0" w:space="0" w:color="auto"/>
                <w:bottom w:val="none" w:sz="0" w:space="0" w:color="auto"/>
                <w:right w:val="none" w:sz="0" w:space="0" w:color="auto"/>
              </w:divBdr>
            </w:div>
          </w:divsChild>
        </w:div>
        <w:div w:id="664746643">
          <w:marLeft w:val="0"/>
          <w:marRight w:val="0"/>
          <w:marTop w:val="0"/>
          <w:marBottom w:val="0"/>
          <w:divBdr>
            <w:top w:val="none" w:sz="0" w:space="0" w:color="auto"/>
            <w:left w:val="none" w:sz="0" w:space="0" w:color="auto"/>
            <w:bottom w:val="none" w:sz="0" w:space="0" w:color="auto"/>
            <w:right w:val="none" w:sz="0" w:space="0" w:color="auto"/>
          </w:divBdr>
          <w:divsChild>
            <w:div w:id="1469854995">
              <w:marLeft w:val="0"/>
              <w:marRight w:val="0"/>
              <w:marTop w:val="0"/>
              <w:marBottom w:val="0"/>
              <w:divBdr>
                <w:top w:val="none" w:sz="0" w:space="0" w:color="auto"/>
                <w:left w:val="none" w:sz="0" w:space="0" w:color="auto"/>
                <w:bottom w:val="none" w:sz="0" w:space="0" w:color="auto"/>
                <w:right w:val="none" w:sz="0" w:space="0" w:color="auto"/>
              </w:divBdr>
            </w:div>
          </w:divsChild>
        </w:div>
        <w:div w:id="669406879">
          <w:marLeft w:val="0"/>
          <w:marRight w:val="0"/>
          <w:marTop w:val="0"/>
          <w:marBottom w:val="0"/>
          <w:divBdr>
            <w:top w:val="none" w:sz="0" w:space="0" w:color="auto"/>
            <w:left w:val="none" w:sz="0" w:space="0" w:color="auto"/>
            <w:bottom w:val="none" w:sz="0" w:space="0" w:color="auto"/>
            <w:right w:val="none" w:sz="0" w:space="0" w:color="auto"/>
          </w:divBdr>
          <w:divsChild>
            <w:div w:id="196285958">
              <w:marLeft w:val="0"/>
              <w:marRight w:val="0"/>
              <w:marTop w:val="0"/>
              <w:marBottom w:val="0"/>
              <w:divBdr>
                <w:top w:val="none" w:sz="0" w:space="0" w:color="auto"/>
                <w:left w:val="none" w:sz="0" w:space="0" w:color="auto"/>
                <w:bottom w:val="none" w:sz="0" w:space="0" w:color="auto"/>
                <w:right w:val="none" w:sz="0" w:space="0" w:color="auto"/>
              </w:divBdr>
            </w:div>
            <w:div w:id="1666931419">
              <w:marLeft w:val="0"/>
              <w:marRight w:val="0"/>
              <w:marTop w:val="0"/>
              <w:marBottom w:val="0"/>
              <w:divBdr>
                <w:top w:val="none" w:sz="0" w:space="0" w:color="auto"/>
                <w:left w:val="none" w:sz="0" w:space="0" w:color="auto"/>
                <w:bottom w:val="none" w:sz="0" w:space="0" w:color="auto"/>
                <w:right w:val="none" w:sz="0" w:space="0" w:color="auto"/>
              </w:divBdr>
            </w:div>
          </w:divsChild>
        </w:div>
        <w:div w:id="815613582">
          <w:marLeft w:val="0"/>
          <w:marRight w:val="0"/>
          <w:marTop w:val="0"/>
          <w:marBottom w:val="0"/>
          <w:divBdr>
            <w:top w:val="none" w:sz="0" w:space="0" w:color="auto"/>
            <w:left w:val="none" w:sz="0" w:space="0" w:color="auto"/>
            <w:bottom w:val="none" w:sz="0" w:space="0" w:color="auto"/>
            <w:right w:val="none" w:sz="0" w:space="0" w:color="auto"/>
          </w:divBdr>
          <w:divsChild>
            <w:div w:id="1855730426">
              <w:marLeft w:val="0"/>
              <w:marRight w:val="0"/>
              <w:marTop w:val="0"/>
              <w:marBottom w:val="0"/>
              <w:divBdr>
                <w:top w:val="none" w:sz="0" w:space="0" w:color="auto"/>
                <w:left w:val="none" w:sz="0" w:space="0" w:color="auto"/>
                <w:bottom w:val="none" w:sz="0" w:space="0" w:color="auto"/>
                <w:right w:val="none" w:sz="0" w:space="0" w:color="auto"/>
              </w:divBdr>
            </w:div>
          </w:divsChild>
        </w:div>
        <w:div w:id="875850339">
          <w:marLeft w:val="0"/>
          <w:marRight w:val="0"/>
          <w:marTop w:val="0"/>
          <w:marBottom w:val="0"/>
          <w:divBdr>
            <w:top w:val="none" w:sz="0" w:space="0" w:color="auto"/>
            <w:left w:val="none" w:sz="0" w:space="0" w:color="auto"/>
            <w:bottom w:val="none" w:sz="0" w:space="0" w:color="auto"/>
            <w:right w:val="none" w:sz="0" w:space="0" w:color="auto"/>
          </w:divBdr>
          <w:divsChild>
            <w:div w:id="1840922333">
              <w:marLeft w:val="0"/>
              <w:marRight w:val="0"/>
              <w:marTop w:val="0"/>
              <w:marBottom w:val="0"/>
              <w:divBdr>
                <w:top w:val="none" w:sz="0" w:space="0" w:color="auto"/>
                <w:left w:val="none" w:sz="0" w:space="0" w:color="auto"/>
                <w:bottom w:val="none" w:sz="0" w:space="0" w:color="auto"/>
                <w:right w:val="none" w:sz="0" w:space="0" w:color="auto"/>
              </w:divBdr>
            </w:div>
          </w:divsChild>
        </w:div>
        <w:div w:id="1322542835">
          <w:marLeft w:val="0"/>
          <w:marRight w:val="0"/>
          <w:marTop w:val="0"/>
          <w:marBottom w:val="0"/>
          <w:divBdr>
            <w:top w:val="none" w:sz="0" w:space="0" w:color="auto"/>
            <w:left w:val="none" w:sz="0" w:space="0" w:color="auto"/>
            <w:bottom w:val="none" w:sz="0" w:space="0" w:color="auto"/>
            <w:right w:val="none" w:sz="0" w:space="0" w:color="auto"/>
          </w:divBdr>
          <w:divsChild>
            <w:div w:id="1693266719">
              <w:marLeft w:val="0"/>
              <w:marRight w:val="0"/>
              <w:marTop w:val="0"/>
              <w:marBottom w:val="0"/>
              <w:divBdr>
                <w:top w:val="none" w:sz="0" w:space="0" w:color="auto"/>
                <w:left w:val="none" w:sz="0" w:space="0" w:color="auto"/>
                <w:bottom w:val="none" w:sz="0" w:space="0" w:color="auto"/>
                <w:right w:val="none" w:sz="0" w:space="0" w:color="auto"/>
              </w:divBdr>
            </w:div>
          </w:divsChild>
        </w:div>
        <w:div w:id="1340111352">
          <w:marLeft w:val="0"/>
          <w:marRight w:val="0"/>
          <w:marTop w:val="0"/>
          <w:marBottom w:val="0"/>
          <w:divBdr>
            <w:top w:val="none" w:sz="0" w:space="0" w:color="auto"/>
            <w:left w:val="none" w:sz="0" w:space="0" w:color="auto"/>
            <w:bottom w:val="none" w:sz="0" w:space="0" w:color="auto"/>
            <w:right w:val="none" w:sz="0" w:space="0" w:color="auto"/>
          </w:divBdr>
          <w:divsChild>
            <w:div w:id="187063054">
              <w:marLeft w:val="0"/>
              <w:marRight w:val="0"/>
              <w:marTop w:val="0"/>
              <w:marBottom w:val="0"/>
              <w:divBdr>
                <w:top w:val="none" w:sz="0" w:space="0" w:color="auto"/>
                <w:left w:val="none" w:sz="0" w:space="0" w:color="auto"/>
                <w:bottom w:val="none" w:sz="0" w:space="0" w:color="auto"/>
                <w:right w:val="none" w:sz="0" w:space="0" w:color="auto"/>
              </w:divBdr>
            </w:div>
          </w:divsChild>
        </w:div>
        <w:div w:id="1360594368">
          <w:marLeft w:val="0"/>
          <w:marRight w:val="0"/>
          <w:marTop w:val="0"/>
          <w:marBottom w:val="0"/>
          <w:divBdr>
            <w:top w:val="none" w:sz="0" w:space="0" w:color="auto"/>
            <w:left w:val="none" w:sz="0" w:space="0" w:color="auto"/>
            <w:bottom w:val="none" w:sz="0" w:space="0" w:color="auto"/>
            <w:right w:val="none" w:sz="0" w:space="0" w:color="auto"/>
          </w:divBdr>
          <w:divsChild>
            <w:div w:id="300498637">
              <w:marLeft w:val="0"/>
              <w:marRight w:val="0"/>
              <w:marTop w:val="0"/>
              <w:marBottom w:val="0"/>
              <w:divBdr>
                <w:top w:val="none" w:sz="0" w:space="0" w:color="auto"/>
                <w:left w:val="none" w:sz="0" w:space="0" w:color="auto"/>
                <w:bottom w:val="none" w:sz="0" w:space="0" w:color="auto"/>
                <w:right w:val="none" w:sz="0" w:space="0" w:color="auto"/>
              </w:divBdr>
            </w:div>
            <w:div w:id="567300869">
              <w:marLeft w:val="0"/>
              <w:marRight w:val="0"/>
              <w:marTop w:val="0"/>
              <w:marBottom w:val="0"/>
              <w:divBdr>
                <w:top w:val="none" w:sz="0" w:space="0" w:color="auto"/>
                <w:left w:val="none" w:sz="0" w:space="0" w:color="auto"/>
                <w:bottom w:val="none" w:sz="0" w:space="0" w:color="auto"/>
                <w:right w:val="none" w:sz="0" w:space="0" w:color="auto"/>
              </w:divBdr>
            </w:div>
          </w:divsChild>
        </w:div>
        <w:div w:id="1479617086">
          <w:marLeft w:val="0"/>
          <w:marRight w:val="0"/>
          <w:marTop w:val="0"/>
          <w:marBottom w:val="0"/>
          <w:divBdr>
            <w:top w:val="none" w:sz="0" w:space="0" w:color="auto"/>
            <w:left w:val="none" w:sz="0" w:space="0" w:color="auto"/>
            <w:bottom w:val="none" w:sz="0" w:space="0" w:color="auto"/>
            <w:right w:val="none" w:sz="0" w:space="0" w:color="auto"/>
          </w:divBdr>
          <w:divsChild>
            <w:div w:id="922763831">
              <w:marLeft w:val="0"/>
              <w:marRight w:val="0"/>
              <w:marTop w:val="0"/>
              <w:marBottom w:val="0"/>
              <w:divBdr>
                <w:top w:val="none" w:sz="0" w:space="0" w:color="auto"/>
                <w:left w:val="none" w:sz="0" w:space="0" w:color="auto"/>
                <w:bottom w:val="none" w:sz="0" w:space="0" w:color="auto"/>
                <w:right w:val="none" w:sz="0" w:space="0" w:color="auto"/>
              </w:divBdr>
            </w:div>
          </w:divsChild>
        </w:div>
        <w:div w:id="1627005361">
          <w:marLeft w:val="0"/>
          <w:marRight w:val="0"/>
          <w:marTop w:val="0"/>
          <w:marBottom w:val="0"/>
          <w:divBdr>
            <w:top w:val="none" w:sz="0" w:space="0" w:color="auto"/>
            <w:left w:val="none" w:sz="0" w:space="0" w:color="auto"/>
            <w:bottom w:val="none" w:sz="0" w:space="0" w:color="auto"/>
            <w:right w:val="none" w:sz="0" w:space="0" w:color="auto"/>
          </w:divBdr>
          <w:divsChild>
            <w:div w:id="1038972922">
              <w:marLeft w:val="0"/>
              <w:marRight w:val="0"/>
              <w:marTop w:val="0"/>
              <w:marBottom w:val="0"/>
              <w:divBdr>
                <w:top w:val="none" w:sz="0" w:space="0" w:color="auto"/>
                <w:left w:val="none" w:sz="0" w:space="0" w:color="auto"/>
                <w:bottom w:val="none" w:sz="0" w:space="0" w:color="auto"/>
                <w:right w:val="none" w:sz="0" w:space="0" w:color="auto"/>
              </w:divBdr>
            </w:div>
          </w:divsChild>
        </w:div>
        <w:div w:id="1642535291">
          <w:marLeft w:val="0"/>
          <w:marRight w:val="0"/>
          <w:marTop w:val="0"/>
          <w:marBottom w:val="0"/>
          <w:divBdr>
            <w:top w:val="none" w:sz="0" w:space="0" w:color="auto"/>
            <w:left w:val="none" w:sz="0" w:space="0" w:color="auto"/>
            <w:bottom w:val="none" w:sz="0" w:space="0" w:color="auto"/>
            <w:right w:val="none" w:sz="0" w:space="0" w:color="auto"/>
          </w:divBdr>
          <w:divsChild>
            <w:div w:id="687873586">
              <w:marLeft w:val="0"/>
              <w:marRight w:val="0"/>
              <w:marTop w:val="0"/>
              <w:marBottom w:val="0"/>
              <w:divBdr>
                <w:top w:val="none" w:sz="0" w:space="0" w:color="auto"/>
                <w:left w:val="none" w:sz="0" w:space="0" w:color="auto"/>
                <w:bottom w:val="none" w:sz="0" w:space="0" w:color="auto"/>
                <w:right w:val="none" w:sz="0" w:space="0" w:color="auto"/>
              </w:divBdr>
            </w:div>
            <w:div w:id="1338078768">
              <w:marLeft w:val="0"/>
              <w:marRight w:val="0"/>
              <w:marTop w:val="0"/>
              <w:marBottom w:val="0"/>
              <w:divBdr>
                <w:top w:val="none" w:sz="0" w:space="0" w:color="auto"/>
                <w:left w:val="none" w:sz="0" w:space="0" w:color="auto"/>
                <w:bottom w:val="none" w:sz="0" w:space="0" w:color="auto"/>
                <w:right w:val="none" w:sz="0" w:space="0" w:color="auto"/>
              </w:divBdr>
            </w:div>
          </w:divsChild>
        </w:div>
        <w:div w:id="1679891447">
          <w:marLeft w:val="0"/>
          <w:marRight w:val="0"/>
          <w:marTop w:val="0"/>
          <w:marBottom w:val="0"/>
          <w:divBdr>
            <w:top w:val="none" w:sz="0" w:space="0" w:color="auto"/>
            <w:left w:val="none" w:sz="0" w:space="0" w:color="auto"/>
            <w:bottom w:val="none" w:sz="0" w:space="0" w:color="auto"/>
            <w:right w:val="none" w:sz="0" w:space="0" w:color="auto"/>
          </w:divBdr>
          <w:divsChild>
            <w:div w:id="1867909627">
              <w:marLeft w:val="0"/>
              <w:marRight w:val="0"/>
              <w:marTop w:val="0"/>
              <w:marBottom w:val="0"/>
              <w:divBdr>
                <w:top w:val="none" w:sz="0" w:space="0" w:color="auto"/>
                <w:left w:val="none" w:sz="0" w:space="0" w:color="auto"/>
                <w:bottom w:val="none" w:sz="0" w:space="0" w:color="auto"/>
                <w:right w:val="none" w:sz="0" w:space="0" w:color="auto"/>
              </w:divBdr>
            </w:div>
            <w:div w:id="1895386176">
              <w:marLeft w:val="0"/>
              <w:marRight w:val="0"/>
              <w:marTop w:val="0"/>
              <w:marBottom w:val="0"/>
              <w:divBdr>
                <w:top w:val="none" w:sz="0" w:space="0" w:color="auto"/>
                <w:left w:val="none" w:sz="0" w:space="0" w:color="auto"/>
                <w:bottom w:val="none" w:sz="0" w:space="0" w:color="auto"/>
                <w:right w:val="none" w:sz="0" w:space="0" w:color="auto"/>
              </w:divBdr>
            </w:div>
          </w:divsChild>
        </w:div>
        <w:div w:id="1936862968">
          <w:marLeft w:val="0"/>
          <w:marRight w:val="0"/>
          <w:marTop w:val="0"/>
          <w:marBottom w:val="0"/>
          <w:divBdr>
            <w:top w:val="none" w:sz="0" w:space="0" w:color="auto"/>
            <w:left w:val="none" w:sz="0" w:space="0" w:color="auto"/>
            <w:bottom w:val="none" w:sz="0" w:space="0" w:color="auto"/>
            <w:right w:val="none" w:sz="0" w:space="0" w:color="auto"/>
          </w:divBdr>
          <w:divsChild>
            <w:div w:id="23527971">
              <w:marLeft w:val="0"/>
              <w:marRight w:val="0"/>
              <w:marTop w:val="0"/>
              <w:marBottom w:val="0"/>
              <w:divBdr>
                <w:top w:val="none" w:sz="0" w:space="0" w:color="auto"/>
                <w:left w:val="none" w:sz="0" w:space="0" w:color="auto"/>
                <w:bottom w:val="none" w:sz="0" w:space="0" w:color="auto"/>
                <w:right w:val="none" w:sz="0" w:space="0" w:color="auto"/>
              </w:divBdr>
            </w:div>
          </w:divsChild>
        </w:div>
        <w:div w:id="2054847740">
          <w:marLeft w:val="0"/>
          <w:marRight w:val="0"/>
          <w:marTop w:val="0"/>
          <w:marBottom w:val="0"/>
          <w:divBdr>
            <w:top w:val="none" w:sz="0" w:space="0" w:color="auto"/>
            <w:left w:val="none" w:sz="0" w:space="0" w:color="auto"/>
            <w:bottom w:val="none" w:sz="0" w:space="0" w:color="auto"/>
            <w:right w:val="none" w:sz="0" w:space="0" w:color="auto"/>
          </w:divBdr>
          <w:divsChild>
            <w:div w:id="766317679">
              <w:marLeft w:val="0"/>
              <w:marRight w:val="0"/>
              <w:marTop w:val="0"/>
              <w:marBottom w:val="0"/>
              <w:divBdr>
                <w:top w:val="none" w:sz="0" w:space="0" w:color="auto"/>
                <w:left w:val="none" w:sz="0" w:space="0" w:color="auto"/>
                <w:bottom w:val="none" w:sz="0" w:space="0" w:color="auto"/>
                <w:right w:val="none" w:sz="0" w:space="0" w:color="auto"/>
              </w:divBdr>
            </w:div>
          </w:divsChild>
        </w:div>
        <w:div w:id="2076120071">
          <w:marLeft w:val="0"/>
          <w:marRight w:val="0"/>
          <w:marTop w:val="0"/>
          <w:marBottom w:val="0"/>
          <w:divBdr>
            <w:top w:val="none" w:sz="0" w:space="0" w:color="auto"/>
            <w:left w:val="none" w:sz="0" w:space="0" w:color="auto"/>
            <w:bottom w:val="none" w:sz="0" w:space="0" w:color="auto"/>
            <w:right w:val="none" w:sz="0" w:space="0" w:color="auto"/>
          </w:divBdr>
          <w:divsChild>
            <w:div w:id="1234849023">
              <w:marLeft w:val="0"/>
              <w:marRight w:val="0"/>
              <w:marTop w:val="0"/>
              <w:marBottom w:val="0"/>
              <w:divBdr>
                <w:top w:val="none" w:sz="0" w:space="0" w:color="auto"/>
                <w:left w:val="none" w:sz="0" w:space="0" w:color="auto"/>
                <w:bottom w:val="none" w:sz="0" w:space="0" w:color="auto"/>
                <w:right w:val="none" w:sz="0" w:space="0" w:color="auto"/>
              </w:divBdr>
            </w:div>
          </w:divsChild>
        </w:div>
        <w:div w:id="2102068972">
          <w:marLeft w:val="0"/>
          <w:marRight w:val="0"/>
          <w:marTop w:val="0"/>
          <w:marBottom w:val="0"/>
          <w:divBdr>
            <w:top w:val="none" w:sz="0" w:space="0" w:color="auto"/>
            <w:left w:val="none" w:sz="0" w:space="0" w:color="auto"/>
            <w:bottom w:val="none" w:sz="0" w:space="0" w:color="auto"/>
            <w:right w:val="none" w:sz="0" w:space="0" w:color="auto"/>
          </w:divBdr>
          <w:divsChild>
            <w:div w:id="806166648">
              <w:marLeft w:val="0"/>
              <w:marRight w:val="0"/>
              <w:marTop w:val="0"/>
              <w:marBottom w:val="0"/>
              <w:divBdr>
                <w:top w:val="none" w:sz="0" w:space="0" w:color="auto"/>
                <w:left w:val="none" w:sz="0" w:space="0" w:color="auto"/>
                <w:bottom w:val="none" w:sz="0" w:space="0" w:color="auto"/>
                <w:right w:val="none" w:sz="0" w:space="0" w:color="auto"/>
              </w:divBdr>
            </w:div>
            <w:div w:id="847259811">
              <w:marLeft w:val="0"/>
              <w:marRight w:val="0"/>
              <w:marTop w:val="0"/>
              <w:marBottom w:val="0"/>
              <w:divBdr>
                <w:top w:val="none" w:sz="0" w:space="0" w:color="auto"/>
                <w:left w:val="none" w:sz="0" w:space="0" w:color="auto"/>
                <w:bottom w:val="none" w:sz="0" w:space="0" w:color="auto"/>
                <w:right w:val="none" w:sz="0" w:space="0" w:color="auto"/>
              </w:divBdr>
            </w:div>
          </w:divsChild>
        </w:div>
        <w:div w:id="2107380409">
          <w:marLeft w:val="0"/>
          <w:marRight w:val="0"/>
          <w:marTop w:val="0"/>
          <w:marBottom w:val="0"/>
          <w:divBdr>
            <w:top w:val="none" w:sz="0" w:space="0" w:color="auto"/>
            <w:left w:val="none" w:sz="0" w:space="0" w:color="auto"/>
            <w:bottom w:val="none" w:sz="0" w:space="0" w:color="auto"/>
            <w:right w:val="none" w:sz="0" w:space="0" w:color="auto"/>
          </w:divBdr>
          <w:divsChild>
            <w:div w:id="1022434195">
              <w:marLeft w:val="0"/>
              <w:marRight w:val="0"/>
              <w:marTop w:val="0"/>
              <w:marBottom w:val="0"/>
              <w:divBdr>
                <w:top w:val="none" w:sz="0" w:space="0" w:color="auto"/>
                <w:left w:val="none" w:sz="0" w:space="0" w:color="auto"/>
                <w:bottom w:val="none" w:sz="0" w:space="0" w:color="auto"/>
                <w:right w:val="none" w:sz="0" w:space="0" w:color="auto"/>
              </w:divBdr>
            </w:div>
            <w:div w:id="16727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96547">
      <w:bodyDiv w:val="1"/>
      <w:marLeft w:val="0"/>
      <w:marRight w:val="0"/>
      <w:marTop w:val="0"/>
      <w:marBottom w:val="0"/>
      <w:divBdr>
        <w:top w:val="none" w:sz="0" w:space="0" w:color="auto"/>
        <w:left w:val="none" w:sz="0" w:space="0" w:color="auto"/>
        <w:bottom w:val="none" w:sz="0" w:space="0" w:color="auto"/>
        <w:right w:val="none" w:sz="0" w:space="0" w:color="auto"/>
      </w:divBdr>
      <w:divsChild>
        <w:div w:id="44178764">
          <w:marLeft w:val="0"/>
          <w:marRight w:val="0"/>
          <w:marTop w:val="0"/>
          <w:marBottom w:val="0"/>
          <w:divBdr>
            <w:top w:val="none" w:sz="0" w:space="0" w:color="auto"/>
            <w:left w:val="none" w:sz="0" w:space="0" w:color="auto"/>
            <w:bottom w:val="none" w:sz="0" w:space="0" w:color="auto"/>
            <w:right w:val="none" w:sz="0" w:space="0" w:color="auto"/>
          </w:divBdr>
          <w:divsChild>
            <w:div w:id="9796370">
              <w:marLeft w:val="0"/>
              <w:marRight w:val="0"/>
              <w:marTop w:val="0"/>
              <w:marBottom w:val="0"/>
              <w:divBdr>
                <w:top w:val="none" w:sz="0" w:space="0" w:color="auto"/>
                <w:left w:val="none" w:sz="0" w:space="0" w:color="auto"/>
                <w:bottom w:val="none" w:sz="0" w:space="0" w:color="auto"/>
                <w:right w:val="none" w:sz="0" w:space="0" w:color="auto"/>
              </w:divBdr>
            </w:div>
          </w:divsChild>
        </w:div>
        <w:div w:id="112480800">
          <w:marLeft w:val="0"/>
          <w:marRight w:val="0"/>
          <w:marTop w:val="0"/>
          <w:marBottom w:val="0"/>
          <w:divBdr>
            <w:top w:val="none" w:sz="0" w:space="0" w:color="auto"/>
            <w:left w:val="none" w:sz="0" w:space="0" w:color="auto"/>
            <w:bottom w:val="none" w:sz="0" w:space="0" w:color="auto"/>
            <w:right w:val="none" w:sz="0" w:space="0" w:color="auto"/>
          </w:divBdr>
          <w:divsChild>
            <w:div w:id="889655200">
              <w:marLeft w:val="0"/>
              <w:marRight w:val="0"/>
              <w:marTop w:val="0"/>
              <w:marBottom w:val="0"/>
              <w:divBdr>
                <w:top w:val="none" w:sz="0" w:space="0" w:color="auto"/>
                <w:left w:val="none" w:sz="0" w:space="0" w:color="auto"/>
                <w:bottom w:val="none" w:sz="0" w:space="0" w:color="auto"/>
                <w:right w:val="none" w:sz="0" w:space="0" w:color="auto"/>
              </w:divBdr>
            </w:div>
          </w:divsChild>
        </w:div>
        <w:div w:id="251745446">
          <w:marLeft w:val="0"/>
          <w:marRight w:val="0"/>
          <w:marTop w:val="0"/>
          <w:marBottom w:val="0"/>
          <w:divBdr>
            <w:top w:val="none" w:sz="0" w:space="0" w:color="auto"/>
            <w:left w:val="none" w:sz="0" w:space="0" w:color="auto"/>
            <w:bottom w:val="none" w:sz="0" w:space="0" w:color="auto"/>
            <w:right w:val="none" w:sz="0" w:space="0" w:color="auto"/>
          </w:divBdr>
          <w:divsChild>
            <w:div w:id="1780879969">
              <w:marLeft w:val="0"/>
              <w:marRight w:val="0"/>
              <w:marTop w:val="0"/>
              <w:marBottom w:val="0"/>
              <w:divBdr>
                <w:top w:val="none" w:sz="0" w:space="0" w:color="auto"/>
                <w:left w:val="none" w:sz="0" w:space="0" w:color="auto"/>
                <w:bottom w:val="none" w:sz="0" w:space="0" w:color="auto"/>
                <w:right w:val="none" w:sz="0" w:space="0" w:color="auto"/>
              </w:divBdr>
            </w:div>
          </w:divsChild>
        </w:div>
        <w:div w:id="340863539">
          <w:marLeft w:val="0"/>
          <w:marRight w:val="0"/>
          <w:marTop w:val="0"/>
          <w:marBottom w:val="0"/>
          <w:divBdr>
            <w:top w:val="none" w:sz="0" w:space="0" w:color="auto"/>
            <w:left w:val="none" w:sz="0" w:space="0" w:color="auto"/>
            <w:bottom w:val="none" w:sz="0" w:space="0" w:color="auto"/>
            <w:right w:val="none" w:sz="0" w:space="0" w:color="auto"/>
          </w:divBdr>
          <w:divsChild>
            <w:div w:id="1349331488">
              <w:marLeft w:val="0"/>
              <w:marRight w:val="0"/>
              <w:marTop w:val="0"/>
              <w:marBottom w:val="0"/>
              <w:divBdr>
                <w:top w:val="none" w:sz="0" w:space="0" w:color="auto"/>
                <w:left w:val="none" w:sz="0" w:space="0" w:color="auto"/>
                <w:bottom w:val="none" w:sz="0" w:space="0" w:color="auto"/>
                <w:right w:val="none" w:sz="0" w:space="0" w:color="auto"/>
              </w:divBdr>
            </w:div>
          </w:divsChild>
        </w:div>
        <w:div w:id="342099153">
          <w:marLeft w:val="0"/>
          <w:marRight w:val="0"/>
          <w:marTop w:val="0"/>
          <w:marBottom w:val="0"/>
          <w:divBdr>
            <w:top w:val="none" w:sz="0" w:space="0" w:color="auto"/>
            <w:left w:val="none" w:sz="0" w:space="0" w:color="auto"/>
            <w:bottom w:val="none" w:sz="0" w:space="0" w:color="auto"/>
            <w:right w:val="none" w:sz="0" w:space="0" w:color="auto"/>
          </w:divBdr>
          <w:divsChild>
            <w:div w:id="1935555592">
              <w:marLeft w:val="0"/>
              <w:marRight w:val="0"/>
              <w:marTop w:val="0"/>
              <w:marBottom w:val="0"/>
              <w:divBdr>
                <w:top w:val="none" w:sz="0" w:space="0" w:color="auto"/>
                <w:left w:val="none" w:sz="0" w:space="0" w:color="auto"/>
                <w:bottom w:val="none" w:sz="0" w:space="0" w:color="auto"/>
                <w:right w:val="none" w:sz="0" w:space="0" w:color="auto"/>
              </w:divBdr>
            </w:div>
          </w:divsChild>
        </w:div>
        <w:div w:id="402535023">
          <w:marLeft w:val="0"/>
          <w:marRight w:val="0"/>
          <w:marTop w:val="0"/>
          <w:marBottom w:val="0"/>
          <w:divBdr>
            <w:top w:val="none" w:sz="0" w:space="0" w:color="auto"/>
            <w:left w:val="none" w:sz="0" w:space="0" w:color="auto"/>
            <w:bottom w:val="none" w:sz="0" w:space="0" w:color="auto"/>
            <w:right w:val="none" w:sz="0" w:space="0" w:color="auto"/>
          </w:divBdr>
          <w:divsChild>
            <w:div w:id="2027899206">
              <w:marLeft w:val="0"/>
              <w:marRight w:val="0"/>
              <w:marTop w:val="0"/>
              <w:marBottom w:val="0"/>
              <w:divBdr>
                <w:top w:val="none" w:sz="0" w:space="0" w:color="auto"/>
                <w:left w:val="none" w:sz="0" w:space="0" w:color="auto"/>
                <w:bottom w:val="none" w:sz="0" w:space="0" w:color="auto"/>
                <w:right w:val="none" w:sz="0" w:space="0" w:color="auto"/>
              </w:divBdr>
            </w:div>
          </w:divsChild>
        </w:div>
        <w:div w:id="442772272">
          <w:marLeft w:val="0"/>
          <w:marRight w:val="0"/>
          <w:marTop w:val="0"/>
          <w:marBottom w:val="0"/>
          <w:divBdr>
            <w:top w:val="none" w:sz="0" w:space="0" w:color="auto"/>
            <w:left w:val="none" w:sz="0" w:space="0" w:color="auto"/>
            <w:bottom w:val="none" w:sz="0" w:space="0" w:color="auto"/>
            <w:right w:val="none" w:sz="0" w:space="0" w:color="auto"/>
          </w:divBdr>
          <w:divsChild>
            <w:div w:id="352071407">
              <w:marLeft w:val="0"/>
              <w:marRight w:val="0"/>
              <w:marTop w:val="0"/>
              <w:marBottom w:val="0"/>
              <w:divBdr>
                <w:top w:val="none" w:sz="0" w:space="0" w:color="auto"/>
                <w:left w:val="none" w:sz="0" w:space="0" w:color="auto"/>
                <w:bottom w:val="none" w:sz="0" w:space="0" w:color="auto"/>
                <w:right w:val="none" w:sz="0" w:space="0" w:color="auto"/>
              </w:divBdr>
            </w:div>
          </w:divsChild>
        </w:div>
        <w:div w:id="458308032">
          <w:marLeft w:val="0"/>
          <w:marRight w:val="0"/>
          <w:marTop w:val="0"/>
          <w:marBottom w:val="0"/>
          <w:divBdr>
            <w:top w:val="none" w:sz="0" w:space="0" w:color="auto"/>
            <w:left w:val="none" w:sz="0" w:space="0" w:color="auto"/>
            <w:bottom w:val="none" w:sz="0" w:space="0" w:color="auto"/>
            <w:right w:val="none" w:sz="0" w:space="0" w:color="auto"/>
          </w:divBdr>
          <w:divsChild>
            <w:div w:id="1705986334">
              <w:marLeft w:val="0"/>
              <w:marRight w:val="0"/>
              <w:marTop w:val="0"/>
              <w:marBottom w:val="0"/>
              <w:divBdr>
                <w:top w:val="none" w:sz="0" w:space="0" w:color="auto"/>
                <w:left w:val="none" w:sz="0" w:space="0" w:color="auto"/>
                <w:bottom w:val="none" w:sz="0" w:space="0" w:color="auto"/>
                <w:right w:val="none" w:sz="0" w:space="0" w:color="auto"/>
              </w:divBdr>
            </w:div>
          </w:divsChild>
        </w:div>
        <w:div w:id="513882530">
          <w:marLeft w:val="0"/>
          <w:marRight w:val="0"/>
          <w:marTop w:val="0"/>
          <w:marBottom w:val="0"/>
          <w:divBdr>
            <w:top w:val="none" w:sz="0" w:space="0" w:color="auto"/>
            <w:left w:val="none" w:sz="0" w:space="0" w:color="auto"/>
            <w:bottom w:val="none" w:sz="0" w:space="0" w:color="auto"/>
            <w:right w:val="none" w:sz="0" w:space="0" w:color="auto"/>
          </w:divBdr>
          <w:divsChild>
            <w:div w:id="1634947095">
              <w:marLeft w:val="0"/>
              <w:marRight w:val="0"/>
              <w:marTop w:val="0"/>
              <w:marBottom w:val="0"/>
              <w:divBdr>
                <w:top w:val="none" w:sz="0" w:space="0" w:color="auto"/>
                <w:left w:val="none" w:sz="0" w:space="0" w:color="auto"/>
                <w:bottom w:val="none" w:sz="0" w:space="0" w:color="auto"/>
                <w:right w:val="none" w:sz="0" w:space="0" w:color="auto"/>
              </w:divBdr>
            </w:div>
          </w:divsChild>
        </w:div>
        <w:div w:id="540820569">
          <w:marLeft w:val="0"/>
          <w:marRight w:val="0"/>
          <w:marTop w:val="0"/>
          <w:marBottom w:val="0"/>
          <w:divBdr>
            <w:top w:val="none" w:sz="0" w:space="0" w:color="auto"/>
            <w:left w:val="none" w:sz="0" w:space="0" w:color="auto"/>
            <w:bottom w:val="none" w:sz="0" w:space="0" w:color="auto"/>
            <w:right w:val="none" w:sz="0" w:space="0" w:color="auto"/>
          </w:divBdr>
          <w:divsChild>
            <w:div w:id="712274133">
              <w:marLeft w:val="0"/>
              <w:marRight w:val="0"/>
              <w:marTop w:val="0"/>
              <w:marBottom w:val="0"/>
              <w:divBdr>
                <w:top w:val="none" w:sz="0" w:space="0" w:color="auto"/>
                <w:left w:val="none" w:sz="0" w:space="0" w:color="auto"/>
                <w:bottom w:val="none" w:sz="0" w:space="0" w:color="auto"/>
                <w:right w:val="none" w:sz="0" w:space="0" w:color="auto"/>
              </w:divBdr>
            </w:div>
            <w:div w:id="1300115310">
              <w:marLeft w:val="0"/>
              <w:marRight w:val="0"/>
              <w:marTop w:val="0"/>
              <w:marBottom w:val="0"/>
              <w:divBdr>
                <w:top w:val="none" w:sz="0" w:space="0" w:color="auto"/>
                <w:left w:val="none" w:sz="0" w:space="0" w:color="auto"/>
                <w:bottom w:val="none" w:sz="0" w:space="0" w:color="auto"/>
                <w:right w:val="none" w:sz="0" w:space="0" w:color="auto"/>
              </w:divBdr>
            </w:div>
          </w:divsChild>
        </w:div>
        <w:div w:id="714428143">
          <w:marLeft w:val="0"/>
          <w:marRight w:val="0"/>
          <w:marTop w:val="0"/>
          <w:marBottom w:val="0"/>
          <w:divBdr>
            <w:top w:val="none" w:sz="0" w:space="0" w:color="auto"/>
            <w:left w:val="none" w:sz="0" w:space="0" w:color="auto"/>
            <w:bottom w:val="none" w:sz="0" w:space="0" w:color="auto"/>
            <w:right w:val="none" w:sz="0" w:space="0" w:color="auto"/>
          </w:divBdr>
          <w:divsChild>
            <w:div w:id="1592854373">
              <w:marLeft w:val="0"/>
              <w:marRight w:val="0"/>
              <w:marTop w:val="0"/>
              <w:marBottom w:val="0"/>
              <w:divBdr>
                <w:top w:val="none" w:sz="0" w:space="0" w:color="auto"/>
                <w:left w:val="none" w:sz="0" w:space="0" w:color="auto"/>
                <w:bottom w:val="none" w:sz="0" w:space="0" w:color="auto"/>
                <w:right w:val="none" w:sz="0" w:space="0" w:color="auto"/>
              </w:divBdr>
            </w:div>
          </w:divsChild>
        </w:div>
        <w:div w:id="715736255">
          <w:marLeft w:val="0"/>
          <w:marRight w:val="0"/>
          <w:marTop w:val="0"/>
          <w:marBottom w:val="0"/>
          <w:divBdr>
            <w:top w:val="none" w:sz="0" w:space="0" w:color="auto"/>
            <w:left w:val="none" w:sz="0" w:space="0" w:color="auto"/>
            <w:bottom w:val="none" w:sz="0" w:space="0" w:color="auto"/>
            <w:right w:val="none" w:sz="0" w:space="0" w:color="auto"/>
          </w:divBdr>
          <w:divsChild>
            <w:div w:id="1446460738">
              <w:marLeft w:val="0"/>
              <w:marRight w:val="0"/>
              <w:marTop w:val="0"/>
              <w:marBottom w:val="0"/>
              <w:divBdr>
                <w:top w:val="none" w:sz="0" w:space="0" w:color="auto"/>
                <w:left w:val="none" w:sz="0" w:space="0" w:color="auto"/>
                <w:bottom w:val="none" w:sz="0" w:space="0" w:color="auto"/>
                <w:right w:val="none" w:sz="0" w:space="0" w:color="auto"/>
              </w:divBdr>
            </w:div>
          </w:divsChild>
        </w:div>
        <w:div w:id="724526779">
          <w:marLeft w:val="0"/>
          <w:marRight w:val="0"/>
          <w:marTop w:val="0"/>
          <w:marBottom w:val="0"/>
          <w:divBdr>
            <w:top w:val="none" w:sz="0" w:space="0" w:color="auto"/>
            <w:left w:val="none" w:sz="0" w:space="0" w:color="auto"/>
            <w:bottom w:val="none" w:sz="0" w:space="0" w:color="auto"/>
            <w:right w:val="none" w:sz="0" w:space="0" w:color="auto"/>
          </w:divBdr>
          <w:divsChild>
            <w:div w:id="929584565">
              <w:marLeft w:val="0"/>
              <w:marRight w:val="0"/>
              <w:marTop w:val="0"/>
              <w:marBottom w:val="0"/>
              <w:divBdr>
                <w:top w:val="none" w:sz="0" w:space="0" w:color="auto"/>
                <w:left w:val="none" w:sz="0" w:space="0" w:color="auto"/>
                <w:bottom w:val="none" w:sz="0" w:space="0" w:color="auto"/>
                <w:right w:val="none" w:sz="0" w:space="0" w:color="auto"/>
              </w:divBdr>
            </w:div>
            <w:div w:id="2138059684">
              <w:marLeft w:val="0"/>
              <w:marRight w:val="0"/>
              <w:marTop w:val="0"/>
              <w:marBottom w:val="0"/>
              <w:divBdr>
                <w:top w:val="none" w:sz="0" w:space="0" w:color="auto"/>
                <w:left w:val="none" w:sz="0" w:space="0" w:color="auto"/>
                <w:bottom w:val="none" w:sz="0" w:space="0" w:color="auto"/>
                <w:right w:val="none" w:sz="0" w:space="0" w:color="auto"/>
              </w:divBdr>
            </w:div>
          </w:divsChild>
        </w:div>
        <w:div w:id="725563781">
          <w:marLeft w:val="0"/>
          <w:marRight w:val="0"/>
          <w:marTop w:val="0"/>
          <w:marBottom w:val="0"/>
          <w:divBdr>
            <w:top w:val="none" w:sz="0" w:space="0" w:color="auto"/>
            <w:left w:val="none" w:sz="0" w:space="0" w:color="auto"/>
            <w:bottom w:val="none" w:sz="0" w:space="0" w:color="auto"/>
            <w:right w:val="none" w:sz="0" w:space="0" w:color="auto"/>
          </w:divBdr>
          <w:divsChild>
            <w:div w:id="2047751626">
              <w:marLeft w:val="0"/>
              <w:marRight w:val="0"/>
              <w:marTop w:val="0"/>
              <w:marBottom w:val="0"/>
              <w:divBdr>
                <w:top w:val="none" w:sz="0" w:space="0" w:color="auto"/>
                <w:left w:val="none" w:sz="0" w:space="0" w:color="auto"/>
                <w:bottom w:val="none" w:sz="0" w:space="0" w:color="auto"/>
                <w:right w:val="none" w:sz="0" w:space="0" w:color="auto"/>
              </w:divBdr>
            </w:div>
          </w:divsChild>
        </w:div>
        <w:div w:id="926694809">
          <w:marLeft w:val="0"/>
          <w:marRight w:val="0"/>
          <w:marTop w:val="0"/>
          <w:marBottom w:val="0"/>
          <w:divBdr>
            <w:top w:val="none" w:sz="0" w:space="0" w:color="auto"/>
            <w:left w:val="none" w:sz="0" w:space="0" w:color="auto"/>
            <w:bottom w:val="none" w:sz="0" w:space="0" w:color="auto"/>
            <w:right w:val="none" w:sz="0" w:space="0" w:color="auto"/>
          </w:divBdr>
          <w:divsChild>
            <w:div w:id="1409305123">
              <w:marLeft w:val="0"/>
              <w:marRight w:val="0"/>
              <w:marTop w:val="0"/>
              <w:marBottom w:val="0"/>
              <w:divBdr>
                <w:top w:val="none" w:sz="0" w:space="0" w:color="auto"/>
                <w:left w:val="none" w:sz="0" w:space="0" w:color="auto"/>
                <w:bottom w:val="none" w:sz="0" w:space="0" w:color="auto"/>
                <w:right w:val="none" w:sz="0" w:space="0" w:color="auto"/>
              </w:divBdr>
            </w:div>
          </w:divsChild>
        </w:div>
        <w:div w:id="1060129875">
          <w:marLeft w:val="0"/>
          <w:marRight w:val="0"/>
          <w:marTop w:val="0"/>
          <w:marBottom w:val="0"/>
          <w:divBdr>
            <w:top w:val="none" w:sz="0" w:space="0" w:color="auto"/>
            <w:left w:val="none" w:sz="0" w:space="0" w:color="auto"/>
            <w:bottom w:val="none" w:sz="0" w:space="0" w:color="auto"/>
            <w:right w:val="none" w:sz="0" w:space="0" w:color="auto"/>
          </w:divBdr>
          <w:divsChild>
            <w:div w:id="510293180">
              <w:marLeft w:val="0"/>
              <w:marRight w:val="0"/>
              <w:marTop w:val="0"/>
              <w:marBottom w:val="0"/>
              <w:divBdr>
                <w:top w:val="none" w:sz="0" w:space="0" w:color="auto"/>
                <w:left w:val="none" w:sz="0" w:space="0" w:color="auto"/>
                <w:bottom w:val="none" w:sz="0" w:space="0" w:color="auto"/>
                <w:right w:val="none" w:sz="0" w:space="0" w:color="auto"/>
              </w:divBdr>
            </w:div>
            <w:div w:id="1933511125">
              <w:marLeft w:val="0"/>
              <w:marRight w:val="0"/>
              <w:marTop w:val="0"/>
              <w:marBottom w:val="0"/>
              <w:divBdr>
                <w:top w:val="none" w:sz="0" w:space="0" w:color="auto"/>
                <w:left w:val="none" w:sz="0" w:space="0" w:color="auto"/>
                <w:bottom w:val="none" w:sz="0" w:space="0" w:color="auto"/>
                <w:right w:val="none" w:sz="0" w:space="0" w:color="auto"/>
              </w:divBdr>
            </w:div>
          </w:divsChild>
        </w:div>
        <w:div w:id="1158881113">
          <w:marLeft w:val="0"/>
          <w:marRight w:val="0"/>
          <w:marTop w:val="0"/>
          <w:marBottom w:val="0"/>
          <w:divBdr>
            <w:top w:val="none" w:sz="0" w:space="0" w:color="auto"/>
            <w:left w:val="none" w:sz="0" w:space="0" w:color="auto"/>
            <w:bottom w:val="none" w:sz="0" w:space="0" w:color="auto"/>
            <w:right w:val="none" w:sz="0" w:space="0" w:color="auto"/>
          </w:divBdr>
          <w:divsChild>
            <w:div w:id="395712001">
              <w:marLeft w:val="0"/>
              <w:marRight w:val="0"/>
              <w:marTop w:val="0"/>
              <w:marBottom w:val="0"/>
              <w:divBdr>
                <w:top w:val="none" w:sz="0" w:space="0" w:color="auto"/>
                <w:left w:val="none" w:sz="0" w:space="0" w:color="auto"/>
                <w:bottom w:val="none" w:sz="0" w:space="0" w:color="auto"/>
                <w:right w:val="none" w:sz="0" w:space="0" w:color="auto"/>
              </w:divBdr>
            </w:div>
          </w:divsChild>
        </w:div>
        <w:div w:id="1165559563">
          <w:marLeft w:val="0"/>
          <w:marRight w:val="0"/>
          <w:marTop w:val="0"/>
          <w:marBottom w:val="0"/>
          <w:divBdr>
            <w:top w:val="none" w:sz="0" w:space="0" w:color="auto"/>
            <w:left w:val="none" w:sz="0" w:space="0" w:color="auto"/>
            <w:bottom w:val="none" w:sz="0" w:space="0" w:color="auto"/>
            <w:right w:val="none" w:sz="0" w:space="0" w:color="auto"/>
          </w:divBdr>
          <w:divsChild>
            <w:div w:id="876043833">
              <w:marLeft w:val="0"/>
              <w:marRight w:val="0"/>
              <w:marTop w:val="0"/>
              <w:marBottom w:val="0"/>
              <w:divBdr>
                <w:top w:val="none" w:sz="0" w:space="0" w:color="auto"/>
                <w:left w:val="none" w:sz="0" w:space="0" w:color="auto"/>
                <w:bottom w:val="none" w:sz="0" w:space="0" w:color="auto"/>
                <w:right w:val="none" w:sz="0" w:space="0" w:color="auto"/>
              </w:divBdr>
            </w:div>
            <w:div w:id="1522161922">
              <w:marLeft w:val="0"/>
              <w:marRight w:val="0"/>
              <w:marTop w:val="0"/>
              <w:marBottom w:val="0"/>
              <w:divBdr>
                <w:top w:val="none" w:sz="0" w:space="0" w:color="auto"/>
                <w:left w:val="none" w:sz="0" w:space="0" w:color="auto"/>
                <w:bottom w:val="none" w:sz="0" w:space="0" w:color="auto"/>
                <w:right w:val="none" w:sz="0" w:space="0" w:color="auto"/>
              </w:divBdr>
            </w:div>
          </w:divsChild>
        </w:div>
        <w:div w:id="1283684567">
          <w:marLeft w:val="0"/>
          <w:marRight w:val="0"/>
          <w:marTop w:val="0"/>
          <w:marBottom w:val="0"/>
          <w:divBdr>
            <w:top w:val="none" w:sz="0" w:space="0" w:color="auto"/>
            <w:left w:val="none" w:sz="0" w:space="0" w:color="auto"/>
            <w:bottom w:val="none" w:sz="0" w:space="0" w:color="auto"/>
            <w:right w:val="none" w:sz="0" w:space="0" w:color="auto"/>
          </w:divBdr>
          <w:divsChild>
            <w:div w:id="135145260">
              <w:marLeft w:val="0"/>
              <w:marRight w:val="0"/>
              <w:marTop w:val="0"/>
              <w:marBottom w:val="0"/>
              <w:divBdr>
                <w:top w:val="none" w:sz="0" w:space="0" w:color="auto"/>
                <w:left w:val="none" w:sz="0" w:space="0" w:color="auto"/>
                <w:bottom w:val="none" w:sz="0" w:space="0" w:color="auto"/>
                <w:right w:val="none" w:sz="0" w:space="0" w:color="auto"/>
              </w:divBdr>
            </w:div>
          </w:divsChild>
        </w:div>
        <w:div w:id="1414619329">
          <w:marLeft w:val="0"/>
          <w:marRight w:val="0"/>
          <w:marTop w:val="0"/>
          <w:marBottom w:val="0"/>
          <w:divBdr>
            <w:top w:val="none" w:sz="0" w:space="0" w:color="auto"/>
            <w:left w:val="none" w:sz="0" w:space="0" w:color="auto"/>
            <w:bottom w:val="none" w:sz="0" w:space="0" w:color="auto"/>
            <w:right w:val="none" w:sz="0" w:space="0" w:color="auto"/>
          </w:divBdr>
          <w:divsChild>
            <w:div w:id="376272630">
              <w:marLeft w:val="0"/>
              <w:marRight w:val="0"/>
              <w:marTop w:val="0"/>
              <w:marBottom w:val="0"/>
              <w:divBdr>
                <w:top w:val="none" w:sz="0" w:space="0" w:color="auto"/>
                <w:left w:val="none" w:sz="0" w:space="0" w:color="auto"/>
                <w:bottom w:val="none" w:sz="0" w:space="0" w:color="auto"/>
                <w:right w:val="none" w:sz="0" w:space="0" w:color="auto"/>
              </w:divBdr>
            </w:div>
            <w:div w:id="861553616">
              <w:marLeft w:val="0"/>
              <w:marRight w:val="0"/>
              <w:marTop w:val="0"/>
              <w:marBottom w:val="0"/>
              <w:divBdr>
                <w:top w:val="none" w:sz="0" w:space="0" w:color="auto"/>
                <w:left w:val="none" w:sz="0" w:space="0" w:color="auto"/>
                <w:bottom w:val="none" w:sz="0" w:space="0" w:color="auto"/>
                <w:right w:val="none" w:sz="0" w:space="0" w:color="auto"/>
              </w:divBdr>
            </w:div>
          </w:divsChild>
        </w:div>
        <w:div w:id="1475565358">
          <w:marLeft w:val="0"/>
          <w:marRight w:val="0"/>
          <w:marTop w:val="0"/>
          <w:marBottom w:val="0"/>
          <w:divBdr>
            <w:top w:val="none" w:sz="0" w:space="0" w:color="auto"/>
            <w:left w:val="none" w:sz="0" w:space="0" w:color="auto"/>
            <w:bottom w:val="none" w:sz="0" w:space="0" w:color="auto"/>
            <w:right w:val="none" w:sz="0" w:space="0" w:color="auto"/>
          </w:divBdr>
          <w:divsChild>
            <w:div w:id="2106073142">
              <w:marLeft w:val="0"/>
              <w:marRight w:val="0"/>
              <w:marTop w:val="0"/>
              <w:marBottom w:val="0"/>
              <w:divBdr>
                <w:top w:val="none" w:sz="0" w:space="0" w:color="auto"/>
                <w:left w:val="none" w:sz="0" w:space="0" w:color="auto"/>
                <w:bottom w:val="none" w:sz="0" w:space="0" w:color="auto"/>
                <w:right w:val="none" w:sz="0" w:space="0" w:color="auto"/>
              </w:divBdr>
            </w:div>
          </w:divsChild>
        </w:div>
        <w:div w:id="1554852185">
          <w:marLeft w:val="0"/>
          <w:marRight w:val="0"/>
          <w:marTop w:val="0"/>
          <w:marBottom w:val="0"/>
          <w:divBdr>
            <w:top w:val="none" w:sz="0" w:space="0" w:color="auto"/>
            <w:left w:val="none" w:sz="0" w:space="0" w:color="auto"/>
            <w:bottom w:val="none" w:sz="0" w:space="0" w:color="auto"/>
            <w:right w:val="none" w:sz="0" w:space="0" w:color="auto"/>
          </w:divBdr>
          <w:divsChild>
            <w:div w:id="519974557">
              <w:marLeft w:val="0"/>
              <w:marRight w:val="0"/>
              <w:marTop w:val="0"/>
              <w:marBottom w:val="0"/>
              <w:divBdr>
                <w:top w:val="none" w:sz="0" w:space="0" w:color="auto"/>
                <w:left w:val="none" w:sz="0" w:space="0" w:color="auto"/>
                <w:bottom w:val="none" w:sz="0" w:space="0" w:color="auto"/>
                <w:right w:val="none" w:sz="0" w:space="0" w:color="auto"/>
              </w:divBdr>
            </w:div>
          </w:divsChild>
        </w:div>
        <w:div w:id="1658411249">
          <w:marLeft w:val="0"/>
          <w:marRight w:val="0"/>
          <w:marTop w:val="0"/>
          <w:marBottom w:val="0"/>
          <w:divBdr>
            <w:top w:val="none" w:sz="0" w:space="0" w:color="auto"/>
            <w:left w:val="none" w:sz="0" w:space="0" w:color="auto"/>
            <w:bottom w:val="none" w:sz="0" w:space="0" w:color="auto"/>
            <w:right w:val="none" w:sz="0" w:space="0" w:color="auto"/>
          </w:divBdr>
          <w:divsChild>
            <w:div w:id="2830178">
              <w:marLeft w:val="0"/>
              <w:marRight w:val="0"/>
              <w:marTop w:val="0"/>
              <w:marBottom w:val="0"/>
              <w:divBdr>
                <w:top w:val="none" w:sz="0" w:space="0" w:color="auto"/>
                <w:left w:val="none" w:sz="0" w:space="0" w:color="auto"/>
                <w:bottom w:val="none" w:sz="0" w:space="0" w:color="auto"/>
                <w:right w:val="none" w:sz="0" w:space="0" w:color="auto"/>
              </w:divBdr>
            </w:div>
          </w:divsChild>
        </w:div>
        <w:div w:id="1664702464">
          <w:marLeft w:val="0"/>
          <w:marRight w:val="0"/>
          <w:marTop w:val="0"/>
          <w:marBottom w:val="0"/>
          <w:divBdr>
            <w:top w:val="none" w:sz="0" w:space="0" w:color="auto"/>
            <w:left w:val="none" w:sz="0" w:space="0" w:color="auto"/>
            <w:bottom w:val="none" w:sz="0" w:space="0" w:color="auto"/>
            <w:right w:val="none" w:sz="0" w:space="0" w:color="auto"/>
          </w:divBdr>
          <w:divsChild>
            <w:div w:id="91556263">
              <w:marLeft w:val="0"/>
              <w:marRight w:val="0"/>
              <w:marTop w:val="0"/>
              <w:marBottom w:val="0"/>
              <w:divBdr>
                <w:top w:val="none" w:sz="0" w:space="0" w:color="auto"/>
                <w:left w:val="none" w:sz="0" w:space="0" w:color="auto"/>
                <w:bottom w:val="none" w:sz="0" w:space="0" w:color="auto"/>
                <w:right w:val="none" w:sz="0" w:space="0" w:color="auto"/>
              </w:divBdr>
            </w:div>
          </w:divsChild>
        </w:div>
        <w:div w:id="1683238984">
          <w:marLeft w:val="0"/>
          <w:marRight w:val="0"/>
          <w:marTop w:val="0"/>
          <w:marBottom w:val="0"/>
          <w:divBdr>
            <w:top w:val="none" w:sz="0" w:space="0" w:color="auto"/>
            <w:left w:val="none" w:sz="0" w:space="0" w:color="auto"/>
            <w:bottom w:val="none" w:sz="0" w:space="0" w:color="auto"/>
            <w:right w:val="none" w:sz="0" w:space="0" w:color="auto"/>
          </w:divBdr>
          <w:divsChild>
            <w:div w:id="1171259872">
              <w:marLeft w:val="0"/>
              <w:marRight w:val="0"/>
              <w:marTop w:val="0"/>
              <w:marBottom w:val="0"/>
              <w:divBdr>
                <w:top w:val="none" w:sz="0" w:space="0" w:color="auto"/>
                <w:left w:val="none" w:sz="0" w:space="0" w:color="auto"/>
                <w:bottom w:val="none" w:sz="0" w:space="0" w:color="auto"/>
                <w:right w:val="none" w:sz="0" w:space="0" w:color="auto"/>
              </w:divBdr>
            </w:div>
          </w:divsChild>
        </w:div>
        <w:div w:id="1738090572">
          <w:marLeft w:val="0"/>
          <w:marRight w:val="0"/>
          <w:marTop w:val="0"/>
          <w:marBottom w:val="0"/>
          <w:divBdr>
            <w:top w:val="none" w:sz="0" w:space="0" w:color="auto"/>
            <w:left w:val="none" w:sz="0" w:space="0" w:color="auto"/>
            <w:bottom w:val="none" w:sz="0" w:space="0" w:color="auto"/>
            <w:right w:val="none" w:sz="0" w:space="0" w:color="auto"/>
          </w:divBdr>
          <w:divsChild>
            <w:div w:id="1012727861">
              <w:marLeft w:val="0"/>
              <w:marRight w:val="0"/>
              <w:marTop w:val="0"/>
              <w:marBottom w:val="0"/>
              <w:divBdr>
                <w:top w:val="none" w:sz="0" w:space="0" w:color="auto"/>
                <w:left w:val="none" w:sz="0" w:space="0" w:color="auto"/>
                <w:bottom w:val="none" w:sz="0" w:space="0" w:color="auto"/>
                <w:right w:val="none" w:sz="0" w:space="0" w:color="auto"/>
              </w:divBdr>
            </w:div>
          </w:divsChild>
        </w:div>
        <w:div w:id="1793206111">
          <w:marLeft w:val="0"/>
          <w:marRight w:val="0"/>
          <w:marTop w:val="0"/>
          <w:marBottom w:val="0"/>
          <w:divBdr>
            <w:top w:val="none" w:sz="0" w:space="0" w:color="auto"/>
            <w:left w:val="none" w:sz="0" w:space="0" w:color="auto"/>
            <w:bottom w:val="none" w:sz="0" w:space="0" w:color="auto"/>
            <w:right w:val="none" w:sz="0" w:space="0" w:color="auto"/>
          </w:divBdr>
          <w:divsChild>
            <w:div w:id="1103646822">
              <w:marLeft w:val="0"/>
              <w:marRight w:val="0"/>
              <w:marTop w:val="0"/>
              <w:marBottom w:val="0"/>
              <w:divBdr>
                <w:top w:val="none" w:sz="0" w:space="0" w:color="auto"/>
                <w:left w:val="none" w:sz="0" w:space="0" w:color="auto"/>
                <w:bottom w:val="none" w:sz="0" w:space="0" w:color="auto"/>
                <w:right w:val="none" w:sz="0" w:space="0" w:color="auto"/>
              </w:divBdr>
            </w:div>
          </w:divsChild>
        </w:div>
        <w:div w:id="1867669953">
          <w:marLeft w:val="0"/>
          <w:marRight w:val="0"/>
          <w:marTop w:val="0"/>
          <w:marBottom w:val="0"/>
          <w:divBdr>
            <w:top w:val="none" w:sz="0" w:space="0" w:color="auto"/>
            <w:left w:val="none" w:sz="0" w:space="0" w:color="auto"/>
            <w:bottom w:val="none" w:sz="0" w:space="0" w:color="auto"/>
            <w:right w:val="none" w:sz="0" w:space="0" w:color="auto"/>
          </w:divBdr>
          <w:divsChild>
            <w:div w:id="1207527701">
              <w:marLeft w:val="0"/>
              <w:marRight w:val="0"/>
              <w:marTop w:val="0"/>
              <w:marBottom w:val="0"/>
              <w:divBdr>
                <w:top w:val="none" w:sz="0" w:space="0" w:color="auto"/>
                <w:left w:val="none" w:sz="0" w:space="0" w:color="auto"/>
                <w:bottom w:val="none" w:sz="0" w:space="0" w:color="auto"/>
                <w:right w:val="none" w:sz="0" w:space="0" w:color="auto"/>
              </w:divBdr>
            </w:div>
          </w:divsChild>
        </w:div>
        <w:div w:id="2104298711">
          <w:marLeft w:val="0"/>
          <w:marRight w:val="0"/>
          <w:marTop w:val="0"/>
          <w:marBottom w:val="0"/>
          <w:divBdr>
            <w:top w:val="none" w:sz="0" w:space="0" w:color="auto"/>
            <w:left w:val="none" w:sz="0" w:space="0" w:color="auto"/>
            <w:bottom w:val="none" w:sz="0" w:space="0" w:color="auto"/>
            <w:right w:val="none" w:sz="0" w:space="0" w:color="auto"/>
          </w:divBdr>
          <w:divsChild>
            <w:div w:id="21786201">
              <w:marLeft w:val="0"/>
              <w:marRight w:val="0"/>
              <w:marTop w:val="0"/>
              <w:marBottom w:val="0"/>
              <w:divBdr>
                <w:top w:val="none" w:sz="0" w:space="0" w:color="auto"/>
                <w:left w:val="none" w:sz="0" w:space="0" w:color="auto"/>
                <w:bottom w:val="none" w:sz="0" w:space="0" w:color="auto"/>
                <w:right w:val="none" w:sz="0" w:space="0" w:color="auto"/>
              </w:divBdr>
            </w:div>
            <w:div w:id="1179081461">
              <w:marLeft w:val="0"/>
              <w:marRight w:val="0"/>
              <w:marTop w:val="0"/>
              <w:marBottom w:val="0"/>
              <w:divBdr>
                <w:top w:val="none" w:sz="0" w:space="0" w:color="auto"/>
                <w:left w:val="none" w:sz="0" w:space="0" w:color="auto"/>
                <w:bottom w:val="none" w:sz="0" w:space="0" w:color="auto"/>
                <w:right w:val="none" w:sz="0" w:space="0" w:color="auto"/>
              </w:divBdr>
            </w:div>
          </w:divsChild>
        </w:div>
        <w:div w:id="2114857319">
          <w:marLeft w:val="0"/>
          <w:marRight w:val="0"/>
          <w:marTop w:val="0"/>
          <w:marBottom w:val="0"/>
          <w:divBdr>
            <w:top w:val="none" w:sz="0" w:space="0" w:color="auto"/>
            <w:left w:val="none" w:sz="0" w:space="0" w:color="auto"/>
            <w:bottom w:val="none" w:sz="0" w:space="0" w:color="auto"/>
            <w:right w:val="none" w:sz="0" w:space="0" w:color="auto"/>
          </w:divBdr>
          <w:divsChild>
            <w:div w:id="3310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038">
      <w:bodyDiv w:val="1"/>
      <w:marLeft w:val="0"/>
      <w:marRight w:val="0"/>
      <w:marTop w:val="0"/>
      <w:marBottom w:val="0"/>
      <w:divBdr>
        <w:top w:val="none" w:sz="0" w:space="0" w:color="auto"/>
        <w:left w:val="none" w:sz="0" w:space="0" w:color="auto"/>
        <w:bottom w:val="none" w:sz="0" w:space="0" w:color="auto"/>
        <w:right w:val="none" w:sz="0" w:space="0" w:color="auto"/>
      </w:divBdr>
      <w:divsChild>
        <w:div w:id="84422605">
          <w:marLeft w:val="0"/>
          <w:marRight w:val="0"/>
          <w:marTop w:val="0"/>
          <w:marBottom w:val="0"/>
          <w:divBdr>
            <w:top w:val="none" w:sz="0" w:space="0" w:color="auto"/>
            <w:left w:val="none" w:sz="0" w:space="0" w:color="auto"/>
            <w:bottom w:val="none" w:sz="0" w:space="0" w:color="auto"/>
            <w:right w:val="none" w:sz="0" w:space="0" w:color="auto"/>
          </w:divBdr>
          <w:divsChild>
            <w:div w:id="1777017101">
              <w:marLeft w:val="0"/>
              <w:marRight w:val="0"/>
              <w:marTop w:val="0"/>
              <w:marBottom w:val="0"/>
              <w:divBdr>
                <w:top w:val="none" w:sz="0" w:space="0" w:color="auto"/>
                <w:left w:val="none" w:sz="0" w:space="0" w:color="auto"/>
                <w:bottom w:val="none" w:sz="0" w:space="0" w:color="auto"/>
                <w:right w:val="none" w:sz="0" w:space="0" w:color="auto"/>
              </w:divBdr>
            </w:div>
          </w:divsChild>
        </w:div>
        <w:div w:id="127819743">
          <w:marLeft w:val="0"/>
          <w:marRight w:val="0"/>
          <w:marTop w:val="0"/>
          <w:marBottom w:val="0"/>
          <w:divBdr>
            <w:top w:val="none" w:sz="0" w:space="0" w:color="auto"/>
            <w:left w:val="none" w:sz="0" w:space="0" w:color="auto"/>
            <w:bottom w:val="none" w:sz="0" w:space="0" w:color="auto"/>
            <w:right w:val="none" w:sz="0" w:space="0" w:color="auto"/>
          </w:divBdr>
          <w:divsChild>
            <w:div w:id="355739477">
              <w:marLeft w:val="0"/>
              <w:marRight w:val="0"/>
              <w:marTop w:val="0"/>
              <w:marBottom w:val="0"/>
              <w:divBdr>
                <w:top w:val="none" w:sz="0" w:space="0" w:color="auto"/>
                <w:left w:val="none" w:sz="0" w:space="0" w:color="auto"/>
                <w:bottom w:val="none" w:sz="0" w:space="0" w:color="auto"/>
                <w:right w:val="none" w:sz="0" w:space="0" w:color="auto"/>
              </w:divBdr>
            </w:div>
          </w:divsChild>
        </w:div>
        <w:div w:id="165871892">
          <w:marLeft w:val="0"/>
          <w:marRight w:val="0"/>
          <w:marTop w:val="0"/>
          <w:marBottom w:val="0"/>
          <w:divBdr>
            <w:top w:val="none" w:sz="0" w:space="0" w:color="auto"/>
            <w:left w:val="none" w:sz="0" w:space="0" w:color="auto"/>
            <w:bottom w:val="none" w:sz="0" w:space="0" w:color="auto"/>
            <w:right w:val="none" w:sz="0" w:space="0" w:color="auto"/>
          </w:divBdr>
          <w:divsChild>
            <w:div w:id="1512139777">
              <w:marLeft w:val="0"/>
              <w:marRight w:val="0"/>
              <w:marTop w:val="0"/>
              <w:marBottom w:val="0"/>
              <w:divBdr>
                <w:top w:val="none" w:sz="0" w:space="0" w:color="auto"/>
                <w:left w:val="none" w:sz="0" w:space="0" w:color="auto"/>
                <w:bottom w:val="none" w:sz="0" w:space="0" w:color="auto"/>
                <w:right w:val="none" w:sz="0" w:space="0" w:color="auto"/>
              </w:divBdr>
            </w:div>
          </w:divsChild>
        </w:div>
        <w:div w:id="168756722">
          <w:marLeft w:val="0"/>
          <w:marRight w:val="0"/>
          <w:marTop w:val="0"/>
          <w:marBottom w:val="0"/>
          <w:divBdr>
            <w:top w:val="none" w:sz="0" w:space="0" w:color="auto"/>
            <w:left w:val="none" w:sz="0" w:space="0" w:color="auto"/>
            <w:bottom w:val="none" w:sz="0" w:space="0" w:color="auto"/>
            <w:right w:val="none" w:sz="0" w:space="0" w:color="auto"/>
          </w:divBdr>
          <w:divsChild>
            <w:div w:id="75825506">
              <w:marLeft w:val="0"/>
              <w:marRight w:val="0"/>
              <w:marTop w:val="0"/>
              <w:marBottom w:val="0"/>
              <w:divBdr>
                <w:top w:val="none" w:sz="0" w:space="0" w:color="auto"/>
                <w:left w:val="none" w:sz="0" w:space="0" w:color="auto"/>
                <w:bottom w:val="none" w:sz="0" w:space="0" w:color="auto"/>
                <w:right w:val="none" w:sz="0" w:space="0" w:color="auto"/>
              </w:divBdr>
            </w:div>
          </w:divsChild>
        </w:div>
        <w:div w:id="294064309">
          <w:marLeft w:val="0"/>
          <w:marRight w:val="0"/>
          <w:marTop w:val="0"/>
          <w:marBottom w:val="0"/>
          <w:divBdr>
            <w:top w:val="none" w:sz="0" w:space="0" w:color="auto"/>
            <w:left w:val="none" w:sz="0" w:space="0" w:color="auto"/>
            <w:bottom w:val="none" w:sz="0" w:space="0" w:color="auto"/>
            <w:right w:val="none" w:sz="0" w:space="0" w:color="auto"/>
          </w:divBdr>
          <w:divsChild>
            <w:div w:id="276253538">
              <w:marLeft w:val="0"/>
              <w:marRight w:val="0"/>
              <w:marTop w:val="0"/>
              <w:marBottom w:val="0"/>
              <w:divBdr>
                <w:top w:val="none" w:sz="0" w:space="0" w:color="auto"/>
                <w:left w:val="none" w:sz="0" w:space="0" w:color="auto"/>
                <w:bottom w:val="none" w:sz="0" w:space="0" w:color="auto"/>
                <w:right w:val="none" w:sz="0" w:space="0" w:color="auto"/>
              </w:divBdr>
            </w:div>
          </w:divsChild>
        </w:div>
        <w:div w:id="323243981">
          <w:marLeft w:val="0"/>
          <w:marRight w:val="0"/>
          <w:marTop w:val="0"/>
          <w:marBottom w:val="0"/>
          <w:divBdr>
            <w:top w:val="none" w:sz="0" w:space="0" w:color="auto"/>
            <w:left w:val="none" w:sz="0" w:space="0" w:color="auto"/>
            <w:bottom w:val="none" w:sz="0" w:space="0" w:color="auto"/>
            <w:right w:val="none" w:sz="0" w:space="0" w:color="auto"/>
          </w:divBdr>
          <w:divsChild>
            <w:div w:id="1307591955">
              <w:marLeft w:val="0"/>
              <w:marRight w:val="0"/>
              <w:marTop w:val="0"/>
              <w:marBottom w:val="0"/>
              <w:divBdr>
                <w:top w:val="none" w:sz="0" w:space="0" w:color="auto"/>
                <w:left w:val="none" w:sz="0" w:space="0" w:color="auto"/>
                <w:bottom w:val="none" w:sz="0" w:space="0" w:color="auto"/>
                <w:right w:val="none" w:sz="0" w:space="0" w:color="auto"/>
              </w:divBdr>
            </w:div>
            <w:div w:id="1985696485">
              <w:marLeft w:val="0"/>
              <w:marRight w:val="0"/>
              <w:marTop w:val="0"/>
              <w:marBottom w:val="0"/>
              <w:divBdr>
                <w:top w:val="none" w:sz="0" w:space="0" w:color="auto"/>
                <w:left w:val="none" w:sz="0" w:space="0" w:color="auto"/>
                <w:bottom w:val="none" w:sz="0" w:space="0" w:color="auto"/>
                <w:right w:val="none" w:sz="0" w:space="0" w:color="auto"/>
              </w:divBdr>
            </w:div>
          </w:divsChild>
        </w:div>
        <w:div w:id="342317134">
          <w:marLeft w:val="0"/>
          <w:marRight w:val="0"/>
          <w:marTop w:val="0"/>
          <w:marBottom w:val="0"/>
          <w:divBdr>
            <w:top w:val="none" w:sz="0" w:space="0" w:color="auto"/>
            <w:left w:val="none" w:sz="0" w:space="0" w:color="auto"/>
            <w:bottom w:val="none" w:sz="0" w:space="0" w:color="auto"/>
            <w:right w:val="none" w:sz="0" w:space="0" w:color="auto"/>
          </w:divBdr>
          <w:divsChild>
            <w:div w:id="462313725">
              <w:marLeft w:val="0"/>
              <w:marRight w:val="0"/>
              <w:marTop w:val="0"/>
              <w:marBottom w:val="0"/>
              <w:divBdr>
                <w:top w:val="none" w:sz="0" w:space="0" w:color="auto"/>
                <w:left w:val="none" w:sz="0" w:space="0" w:color="auto"/>
                <w:bottom w:val="none" w:sz="0" w:space="0" w:color="auto"/>
                <w:right w:val="none" w:sz="0" w:space="0" w:color="auto"/>
              </w:divBdr>
            </w:div>
          </w:divsChild>
        </w:div>
        <w:div w:id="451019632">
          <w:marLeft w:val="0"/>
          <w:marRight w:val="0"/>
          <w:marTop w:val="0"/>
          <w:marBottom w:val="0"/>
          <w:divBdr>
            <w:top w:val="none" w:sz="0" w:space="0" w:color="auto"/>
            <w:left w:val="none" w:sz="0" w:space="0" w:color="auto"/>
            <w:bottom w:val="none" w:sz="0" w:space="0" w:color="auto"/>
            <w:right w:val="none" w:sz="0" w:space="0" w:color="auto"/>
          </w:divBdr>
          <w:divsChild>
            <w:div w:id="1844315731">
              <w:marLeft w:val="0"/>
              <w:marRight w:val="0"/>
              <w:marTop w:val="0"/>
              <w:marBottom w:val="0"/>
              <w:divBdr>
                <w:top w:val="none" w:sz="0" w:space="0" w:color="auto"/>
                <w:left w:val="none" w:sz="0" w:space="0" w:color="auto"/>
                <w:bottom w:val="none" w:sz="0" w:space="0" w:color="auto"/>
                <w:right w:val="none" w:sz="0" w:space="0" w:color="auto"/>
              </w:divBdr>
            </w:div>
          </w:divsChild>
        </w:div>
        <w:div w:id="492986568">
          <w:marLeft w:val="0"/>
          <w:marRight w:val="0"/>
          <w:marTop w:val="0"/>
          <w:marBottom w:val="0"/>
          <w:divBdr>
            <w:top w:val="none" w:sz="0" w:space="0" w:color="auto"/>
            <w:left w:val="none" w:sz="0" w:space="0" w:color="auto"/>
            <w:bottom w:val="none" w:sz="0" w:space="0" w:color="auto"/>
            <w:right w:val="none" w:sz="0" w:space="0" w:color="auto"/>
          </w:divBdr>
          <w:divsChild>
            <w:div w:id="2052000169">
              <w:marLeft w:val="0"/>
              <w:marRight w:val="0"/>
              <w:marTop w:val="0"/>
              <w:marBottom w:val="0"/>
              <w:divBdr>
                <w:top w:val="none" w:sz="0" w:space="0" w:color="auto"/>
                <w:left w:val="none" w:sz="0" w:space="0" w:color="auto"/>
                <w:bottom w:val="none" w:sz="0" w:space="0" w:color="auto"/>
                <w:right w:val="none" w:sz="0" w:space="0" w:color="auto"/>
              </w:divBdr>
            </w:div>
          </w:divsChild>
        </w:div>
        <w:div w:id="563224760">
          <w:marLeft w:val="0"/>
          <w:marRight w:val="0"/>
          <w:marTop w:val="0"/>
          <w:marBottom w:val="0"/>
          <w:divBdr>
            <w:top w:val="none" w:sz="0" w:space="0" w:color="auto"/>
            <w:left w:val="none" w:sz="0" w:space="0" w:color="auto"/>
            <w:bottom w:val="none" w:sz="0" w:space="0" w:color="auto"/>
            <w:right w:val="none" w:sz="0" w:space="0" w:color="auto"/>
          </w:divBdr>
          <w:divsChild>
            <w:div w:id="1112819594">
              <w:marLeft w:val="0"/>
              <w:marRight w:val="0"/>
              <w:marTop w:val="0"/>
              <w:marBottom w:val="0"/>
              <w:divBdr>
                <w:top w:val="none" w:sz="0" w:space="0" w:color="auto"/>
                <w:left w:val="none" w:sz="0" w:space="0" w:color="auto"/>
                <w:bottom w:val="none" w:sz="0" w:space="0" w:color="auto"/>
                <w:right w:val="none" w:sz="0" w:space="0" w:color="auto"/>
              </w:divBdr>
            </w:div>
          </w:divsChild>
        </w:div>
        <w:div w:id="649602801">
          <w:marLeft w:val="0"/>
          <w:marRight w:val="0"/>
          <w:marTop w:val="0"/>
          <w:marBottom w:val="0"/>
          <w:divBdr>
            <w:top w:val="none" w:sz="0" w:space="0" w:color="auto"/>
            <w:left w:val="none" w:sz="0" w:space="0" w:color="auto"/>
            <w:bottom w:val="none" w:sz="0" w:space="0" w:color="auto"/>
            <w:right w:val="none" w:sz="0" w:space="0" w:color="auto"/>
          </w:divBdr>
          <w:divsChild>
            <w:div w:id="2105493673">
              <w:marLeft w:val="0"/>
              <w:marRight w:val="0"/>
              <w:marTop w:val="0"/>
              <w:marBottom w:val="0"/>
              <w:divBdr>
                <w:top w:val="none" w:sz="0" w:space="0" w:color="auto"/>
                <w:left w:val="none" w:sz="0" w:space="0" w:color="auto"/>
                <w:bottom w:val="none" w:sz="0" w:space="0" w:color="auto"/>
                <w:right w:val="none" w:sz="0" w:space="0" w:color="auto"/>
              </w:divBdr>
            </w:div>
          </w:divsChild>
        </w:div>
        <w:div w:id="664361096">
          <w:marLeft w:val="0"/>
          <w:marRight w:val="0"/>
          <w:marTop w:val="0"/>
          <w:marBottom w:val="0"/>
          <w:divBdr>
            <w:top w:val="none" w:sz="0" w:space="0" w:color="auto"/>
            <w:left w:val="none" w:sz="0" w:space="0" w:color="auto"/>
            <w:bottom w:val="none" w:sz="0" w:space="0" w:color="auto"/>
            <w:right w:val="none" w:sz="0" w:space="0" w:color="auto"/>
          </w:divBdr>
          <w:divsChild>
            <w:div w:id="198856757">
              <w:marLeft w:val="0"/>
              <w:marRight w:val="0"/>
              <w:marTop w:val="0"/>
              <w:marBottom w:val="0"/>
              <w:divBdr>
                <w:top w:val="none" w:sz="0" w:space="0" w:color="auto"/>
                <w:left w:val="none" w:sz="0" w:space="0" w:color="auto"/>
                <w:bottom w:val="none" w:sz="0" w:space="0" w:color="auto"/>
                <w:right w:val="none" w:sz="0" w:space="0" w:color="auto"/>
              </w:divBdr>
            </w:div>
          </w:divsChild>
        </w:div>
        <w:div w:id="674840261">
          <w:marLeft w:val="0"/>
          <w:marRight w:val="0"/>
          <w:marTop w:val="0"/>
          <w:marBottom w:val="0"/>
          <w:divBdr>
            <w:top w:val="none" w:sz="0" w:space="0" w:color="auto"/>
            <w:left w:val="none" w:sz="0" w:space="0" w:color="auto"/>
            <w:bottom w:val="none" w:sz="0" w:space="0" w:color="auto"/>
            <w:right w:val="none" w:sz="0" w:space="0" w:color="auto"/>
          </w:divBdr>
          <w:divsChild>
            <w:div w:id="1541673663">
              <w:marLeft w:val="0"/>
              <w:marRight w:val="0"/>
              <w:marTop w:val="0"/>
              <w:marBottom w:val="0"/>
              <w:divBdr>
                <w:top w:val="none" w:sz="0" w:space="0" w:color="auto"/>
                <w:left w:val="none" w:sz="0" w:space="0" w:color="auto"/>
                <w:bottom w:val="none" w:sz="0" w:space="0" w:color="auto"/>
                <w:right w:val="none" w:sz="0" w:space="0" w:color="auto"/>
              </w:divBdr>
            </w:div>
          </w:divsChild>
        </w:div>
        <w:div w:id="778185481">
          <w:marLeft w:val="0"/>
          <w:marRight w:val="0"/>
          <w:marTop w:val="0"/>
          <w:marBottom w:val="0"/>
          <w:divBdr>
            <w:top w:val="none" w:sz="0" w:space="0" w:color="auto"/>
            <w:left w:val="none" w:sz="0" w:space="0" w:color="auto"/>
            <w:bottom w:val="none" w:sz="0" w:space="0" w:color="auto"/>
            <w:right w:val="none" w:sz="0" w:space="0" w:color="auto"/>
          </w:divBdr>
          <w:divsChild>
            <w:div w:id="557982740">
              <w:marLeft w:val="0"/>
              <w:marRight w:val="0"/>
              <w:marTop w:val="0"/>
              <w:marBottom w:val="0"/>
              <w:divBdr>
                <w:top w:val="none" w:sz="0" w:space="0" w:color="auto"/>
                <w:left w:val="none" w:sz="0" w:space="0" w:color="auto"/>
                <w:bottom w:val="none" w:sz="0" w:space="0" w:color="auto"/>
                <w:right w:val="none" w:sz="0" w:space="0" w:color="auto"/>
              </w:divBdr>
            </w:div>
          </w:divsChild>
        </w:div>
        <w:div w:id="841167358">
          <w:marLeft w:val="0"/>
          <w:marRight w:val="0"/>
          <w:marTop w:val="0"/>
          <w:marBottom w:val="0"/>
          <w:divBdr>
            <w:top w:val="none" w:sz="0" w:space="0" w:color="auto"/>
            <w:left w:val="none" w:sz="0" w:space="0" w:color="auto"/>
            <w:bottom w:val="none" w:sz="0" w:space="0" w:color="auto"/>
            <w:right w:val="none" w:sz="0" w:space="0" w:color="auto"/>
          </w:divBdr>
          <w:divsChild>
            <w:div w:id="729042127">
              <w:marLeft w:val="0"/>
              <w:marRight w:val="0"/>
              <w:marTop w:val="0"/>
              <w:marBottom w:val="0"/>
              <w:divBdr>
                <w:top w:val="none" w:sz="0" w:space="0" w:color="auto"/>
                <w:left w:val="none" w:sz="0" w:space="0" w:color="auto"/>
                <w:bottom w:val="none" w:sz="0" w:space="0" w:color="auto"/>
                <w:right w:val="none" w:sz="0" w:space="0" w:color="auto"/>
              </w:divBdr>
            </w:div>
          </w:divsChild>
        </w:div>
        <w:div w:id="871454363">
          <w:marLeft w:val="0"/>
          <w:marRight w:val="0"/>
          <w:marTop w:val="0"/>
          <w:marBottom w:val="0"/>
          <w:divBdr>
            <w:top w:val="none" w:sz="0" w:space="0" w:color="auto"/>
            <w:left w:val="none" w:sz="0" w:space="0" w:color="auto"/>
            <w:bottom w:val="none" w:sz="0" w:space="0" w:color="auto"/>
            <w:right w:val="none" w:sz="0" w:space="0" w:color="auto"/>
          </w:divBdr>
          <w:divsChild>
            <w:div w:id="1551192133">
              <w:marLeft w:val="0"/>
              <w:marRight w:val="0"/>
              <w:marTop w:val="0"/>
              <w:marBottom w:val="0"/>
              <w:divBdr>
                <w:top w:val="none" w:sz="0" w:space="0" w:color="auto"/>
                <w:left w:val="none" w:sz="0" w:space="0" w:color="auto"/>
                <w:bottom w:val="none" w:sz="0" w:space="0" w:color="auto"/>
                <w:right w:val="none" w:sz="0" w:space="0" w:color="auto"/>
              </w:divBdr>
            </w:div>
            <w:div w:id="2003316767">
              <w:marLeft w:val="0"/>
              <w:marRight w:val="0"/>
              <w:marTop w:val="0"/>
              <w:marBottom w:val="0"/>
              <w:divBdr>
                <w:top w:val="none" w:sz="0" w:space="0" w:color="auto"/>
                <w:left w:val="none" w:sz="0" w:space="0" w:color="auto"/>
                <w:bottom w:val="none" w:sz="0" w:space="0" w:color="auto"/>
                <w:right w:val="none" w:sz="0" w:space="0" w:color="auto"/>
              </w:divBdr>
            </w:div>
          </w:divsChild>
        </w:div>
        <w:div w:id="885602192">
          <w:marLeft w:val="0"/>
          <w:marRight w:val="0"/>
          <w:marTop w:val="0"/>
          <w:marBottom w:val="0"/>
          <w:divBdr>
            <w:top w:val="none" w:sz="0" w:space="0" w:color="auto"/>
            <w:left w:val="none" w:sz="0" w:space="0" w:color="auto"/>
            <w:bottom w:val="none" w:sz="0" w:space="0" w:color="auto"/>
            <w:right w:val="none" w:sz="0" w:space="0" w:color="auto"/>
          </w:divBdr>
          <w:divsChild>
            <w:div w:id="1206410141">
              <w:marLeft w:val="0"/>
              <w:marRight w:val="0"/>
              <w:marTop w:val="0"/>
              <w:marBottom w:val="0"/>
              <w:divBdr>
                <w:top w:val="none" w:sz="0" w:space="0" w:color="auto"/>
                <w:left w:val="none" w:sz="0" w:space="0" w:color="auto"/>
                <w:bottom w:val="none" w:sz="0" w:space="0" w:color="auto"/>
                <w:right w:val="none" w:sz="0" w:space="0" w:color="auto"/>
              </w:divBdr>
            </w:div>
          </w:divsChild>
        </w:div>
        <w:div w:id="1305162490">
          <w:marLeft w:val="0"/>
          <w:marRight w:val="0"/>
          <w:marTop w:val="0"/>
          <w:marBottom w:val="0"/>
          <w:divBdr>
            <w:top w:val="none" w:sz="0" w:space="0" w:color="auto"/>
            <w:left w:val="none" w:sz="0" w:space="0" w:color="auto"/>
            <w:bottom w:val="none" w:sz="0" w:space="0" w:color="auto"/>
            <w:right w:val="none" w:sz="0" w:space="0" w:color="auto"/>
          </w:divBdr>
          <w:divsChild>
            <w:div w:id="79330825">
              <w:marLeft w:val="0"/>
              <w:marRight w:val="0"/>
              <w:marTop w:val="0"/>
              <w:marBottom w:val="0"/>
              <w:divBdr>
                <w:top w:val="none" w:sz="0" w:space="0" w:color="auto"/>
                <w:left w:val="none" w:sz="0" w:space="0" w:color="auto"/>
                <w:bottom w:val="none" w:sz="0" w:space="0" w:color="auto"/>
                <w:right w:val="none" w:sz="0" w:space="0" w:color="auto"/>
              </w:divBdr>
            </w:div>
          </w:divsChild>
        </w:div>
        <w:div w:id="1394498654">
          <w:marLeft w:val="0"/>
          <w:marRight w:val="0"/>
          <w:marTop w:val="0"/>
          <w:marBottom w:val="0"/>
          <w:divBdr>
            <w:top w:val="none" w:sz="0" w:space="0" w:color="auto"/>
            <w:left w:val="none" w:sz="0" w:space="0" w:color="auto"/>
            <w:bottom w:val="none" w:sz="0" w:space="0" w:color="auto"/>
            <w:right w:val="none" w:sz="0" w:space="0" w:color="auto"/>
          </w:divBdr>
          <w:divsChild>
            <w:div w:id="506403570">
              <w:marLeft w:val="0"/>
              <w:marRight w:val="0"/>
              <w:marTop w:val="0"/>
              <w:marBottom w:val="0"/>
              <w:divBdr>
                <w:top w:val="none" w:sz="0" w:space="0" w:color="auto"/>
                <w:left w:val="none" w:sz="0" w:space="0" w:color="auto"/>
                <w:bottom w:val="none" w:sz="0" w:space="0" w:color="auto"/>
                <w:right w:val="none" w:sz="0" w:space="0" w:color="auto"/>
              </w:divBdr>
            </w:div>
          </w:divsChild>
        </w:div>
        <w:div w:id="1494565875">
          <w:marLeft w:val="0"/>
          <w:marRight w:val="0"/>
          <w:marTop w:val="0"/>
          <w:marBottom w:val="0"/>
          <w:divBdr>
            <w:top w:val="none" w:sz="0" w:space="0" w:color="auto"/>
            <w:left w:val="none" w:sz="0" w:space="0" w:color="auto"/>
            <w:bottom w:val="none" w:sz="0" w:space="0" w:color="auto"/>
            <w:right w:val="none" w:sz="0" w:space="0" w:color="auto"/>
          </w:divBdr>
          <w:divsChild>
            <w:div w:id="1885018136">
              <w:marLeft w:val="0"/>
              <w:marRight w:val="0"/>
              <w:marTop w:val="0"/>
              <w:marBottom w:val="0"/>
              <w:divBdr>
                <w:top w:val="none" w:sz="0" w:space="0" w:color="auto"/>
                <w:left w:val="none" w:sz="0" w:space="0" w:color="auto"/>
                <w:bottom w:val="none" w:sz="0" w:space="0" w:color="auto"/>
                <w:right w:val="none" w:sz="0" w:space="0" w:color="auto"/>
              </w:divBdr>
            </w:div>
          </w:divsChild>
        </w:div>
        <w:div w:id="1646159983">
          <w:marLeft w:val="0"/>
          <w:marRight w:val="0"/>
          <w:marTop w:val="0"/>
          <w:marBottom w:val="0"/>
          <w:divBdr>
            <w:top w:val="none" w:sz="0" w:space="0" w:color="auto"/>
            <w:left w:val="none" w:sz="0" w:space="0" w:color="auto"/>
            <w:bottom w:val="none" w:sz="0" w:space="0" w:color="auto"/>
            <w:right w:val="none" w:sz="0" w:space="0" w:color="auto"/>
          </w:divBdr>
          <w:divsChild>
            <w:div w:id="211692246">
              <w:marLeft w:val="0"/>
              <w:marRight w:val="0"/>
              <w:marTop w:val="0"/>
              <w:marBottom w:val="0"/>
              <w:divBdr>
                <w:top w:val="none" w:sz="0" w:space="0" w:color="auto"/>
                <w:left w:val="none" w:sz="0" w:space="0" w:color="auto"/>
                <w:bottom w:val="none" w:sz="0" w:space="0" w:color="auto"/>
                <w:right w:val="none" w:sz="0" w:space="0" w:color="auto"/>
              </w:divBdr>
            </w:div>
          </w:divsChild>
        </w:div>
        <w:div w:id="1662780368">
          <w:marLeft w:val="0"/>
          <w:marRight w:val="0"/>
          <w:marTop w:val="0"/>
          <w:marBottom w:val="0"/>
          <w:divBdr>
            <w:top w:val="none" w:sz="0" w:space="0" w:color="auto"/>
            <w:left w:val="none" w:sz="0" w:space="0" w:color="auto"/>
            <w:bottom w:val="none" w:sz="0" w:space="0" w:color="auto"/>
            <w:right w:val="none" w:sz="0" w:space="0" w:color="auto"/>
          </w:divBdr>
          <w:divsChild>
            <w:div w:id="112946873">
              <w:marLeft w:val="0"/>
              <w:marRight w:val="0"/>
              <w:marTop w:val="0"/>
              <w:marBottom w:val="0"/>
              <w:divBdr>
                <w:top w:val="none" w:sz="0" w:space="0" w:color="auto"/>
                <w:left w:val="none" w:sz="0" w:space="0" w:color="auto"/>
                <w:bottom w:val="none" w:sz="0" w:space="0" w:color="auto"/>
                <w:right w:val="none" w:sz="0" w:space="0" w:color="auto"/>
              </w:divBdr>
            </w:div>
          </w:divsChild>
        </w:div>
        <w:div w:id="1883856824">
          <w:marLeft w:val="0"/>
          <w:marRight w:val="0"/>
          <w:marTop w:val="0"/>
          <w:marBottom w:val="0"/>
          <w:divBdr>
            <w:top w:val="none" w:sz="0" w:space="0" w:color="auto"/>
            <w:left w:val="none" w:sz="0" w:space="0" w:color="auto"/>
            <w:bottom w:val="none" w:sz="0" w:space="0" w:color="auto"/>
            <w:right w:val="none" w:sz="0" w:space="0" w:color="auto"/>
          </w:divBdr>
          <w:divsChild>
            <w:div w:id="61685290">
              <w:marLeft w:val="0"/>
              <w:marRight w:val="0"/>
              <w:marTop w:val="0"/>
              <w:marBottom w:val="0"/>
              <w:divBdr>
                <w:top w:val="none" w:sz="0" w:space="0" w:color="auto"/>
                <w:left w:val="none" w:sz="0" w:space="0" w:color="auto"/>
                <w:bottom w:val="none" w:sz="0" w:space="0" w:color="auto"/>
                <w:right w:val="none" w:sz="0" w:space="0" w:color="auto"/>
              </w:divBdr>
            </w:div>
          </w:divsChild>
        </w:div>
        <w:div w:id="1972322796">
          <w:marLeft w:val="0"/>
          <w:marRight w:val="0"/>
          <w:marTop w:val="0"/>
          <w:marBottom w:val="0"/>
          <w:divBdr>
            <w:top w:val="none" w:sz="0" w:space="0" w:color="auto"/>
            <w:left w:val="none" w:sz="0" w:space="0" w:color="auto"/>
            <w:bottom w:val="none" w:sz="0" w:space="0" w:color="auto"/>
            <w:right w:val="none" w:sz="0" w:space="0" w:color="auto"/>
          </w:divBdr>
          <w:divsChild>
            <w:div w:id="8267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110035">
      <w:bodyDiv w:val="1"/>
      <w:marLeft w:val="0"/>
      <w:marRight w:val="0"/>
      <w:marTop w:val="0"/>
      <w:marBottom w:val="0"/>
      <w:divBdr>
        <w:top w:val="none" w:sz="0" w:space="0" w:color="auto"/>
        <w:left w:val="none" w:sz="0" w:space="0" w:color="auto"/>
        <w:bottom w:val="none" w:sz="0" w:space="0" w:color="auto"/>
        <w:right w:val="none" w:sz="0" w:space="0" w:color="auto"/>
      </w:divBdr>
      <w:divsChild>
        <w:div w:id="8148533">
          <w:marLeft w:val="0"/>
          <w:marRight w:val="0"/>
          <w:marTop w:val="0"/>
          <w:marBottom w:val="0"/>
          <w:divBdr>
            <w:top w:val="none" w:sz="0" w:space="0" w:color="auto"/>
            <w:left w:val="none" w:sz="0" w:space="0" w:color="auto"/>
            <w:bottom w:val="none" w:sz="0" w:space="0" w:color="auto"/>
            <w:right w:val="none" w:sz="0" w:space="0" w:color="auto"/>
          </w:divBdr>
          <w:divsChild>
            <w:div w:id="732586481">
              <w:marLeft w:val="0"/>
              <w:marRight w:val="0"/>
              <w:marTop w:val="0"/>
              <w:marBottom w:val="0"/>
              <w:divBdr>
                <w:top w:val="none" w:sz="0" w:space="0" w:color="auto"/>
                <w:left w:val="none" w:sz="0" w:space="0" w:color="auto"/>
                <w:bottom w:val="none" w:sz="0" w:space="0" w:color="auto"/>
                <w:right w:val="none" w:sz="0" w:space="0" w:color="auto"/>
              </w:divBdr>
            </w:div>
          </w:divsChild>
        </w:div>
        <w:div w:id="43677877">
          <w:marLeft w:val="0"/>
          <w:marRight w:val="0"/>
          <w:marTop w:val="0"/>
          <w:marBottom w:val="0"/>
          <w:divBdr>
            <w:top w:val="none" w:sz="0" w:space="0" w:color="auto"/>
            <w:left w:val="none" w:sz="0" w:space="0" w:color="auto"/>
            <w:bottom w:val="none" w:sz="0" w:space="0" w:color="auto"/>
            <w:right w:val="none" w:sz="0" w:space="0" w:color="auto"/>
          </w:divBdr>
          <w:divsChild>
            <w:div w:id="877668108">
              <w:marLeft w:val="0"/>
              <w:marRight w:val="0"/>
              <w:marTop w:val="0"/>
              <w:marBottom w:val="0"/>
              <w:divBdr>
                <w:top w:val="none" w:sz="0" w:space="0" w:color="auto"/>
                <w:left w:val="none" w:sz="0" w:space="0" w:color="auto"/>
                <w:bottom w:val="none" w:sz="0" w:space="0" w:color="auto"/>
                <w:right w:val="none" w:sz="0" w:space="0" w:color="auto"/>
              </w:divBdr>
            </w:div>
          </w:divsChild>
        </w:div>
        <w:div w:id="46610472">
          <w:marLeft w:val="0"/>
          <w:marRight w:val="0"/>
          <w:marTop w:val="0"/>
          <w:marBottom w:val="0"/>
          <w:divBdr>
            <w:top w:val="none" w:sz="0" w:space="0" w:color="auto"/>
            <w:left w:val="none" w:sz="0" w:space="0" w:color="auto"/>
            <w:bottom w:val="none" w:sz="0" w:space="0" w:color="auto"/>
            <w:right w:val="none" w:sz="0" w:space="0" w:color="auto"/>
          </w:divBdr>
          <w:divsChild>
            <w:div w:id="2084790225">
              <w:marLeft w:val="0"/>
              <w:marRight w:val="0"/>
              <w:marTop w:val="0"/>
              <w:marBottom w:val="0"/>
              <w:divBdr>
                <w:top w:val="none" w:sz="0" w:space="0" w:color="auto"/>
                <w:left w:val="none" w:sz="0" w:space="0" w:color="auto"/>
                <w:bottom w:val="none" w:sz="0" w:space="0" w:color="auto"/>
                <w:right w:val="none" w:sz="0" w:space="0" w:color="auto"/>
              </w:divBdr>
            </w:div>
          </w:divsChild>
        </w:div>
        <w:div w:id="127213607">
          <w:marLeft w:val="0"/>
          <w:marRight w:val="0"/>
          <w:marTop w:val="0"/>
          <w:marBottom w:val="0"/>
          <w:divBdr>
            <w:top w:val="none" w:sz="0" w:space="0" w:color="auto"/>
            <w:left w:val="none" w:sz="0" w:space="0" w:color="auto"/>
            <w:bottom w:val="none" w:sz="0" w:space="0" w:color="auto"/>
            <w:right w:val="none" w:sz="0" w:space="0" w:color="auto"/>
          </w:divBdr>
          <w:divsChild>
            <w:div w:id="1911504594">
              <w:marLeft w:val="0"/>
              <w:marRight w:val="0"/>
              <w:marTop w:val="0"/>
              <w:marBottom w:val="0"/>
              <w:divBdr>
                <w:top w:val="none" w:sz="0" w:space="0" w:color="auto"/>
                <w:left w:val="none" w:sz="0" w:space="0" w:color="auto"/>
                <w:bottom w:val="none" w:sz="0" w:space="0" w:color="auto"/>
                <w:right w:val="none" w:sz="0" w:space="0" w:color="auto"/>
              </w:divBdr>
            </w:div>
          </w:divsChild>
        </w:div>
        <w:div w:id="293407133">
          <w:marLeft w:val="0"/>
          <w:marRight w:val="0"/>
          <w:marTop w:val="0"/>
          <w:marBottom w:val="0"/>
          <w:divBdr>
            <w:top w:val="none" w:sz="0" w:space="0" w:color="auto"/>
            <w:left w:val="none" w:sz="0" w:space="0" w:color="auto"/>
            <w:bottom w:val="none" w:sz="0" w:space="0" w:color="auto"/>
            <w:right w:val="none" w:sz="0" w:space="0" w:color="auto"/>
          </w:divBdr>
          <w:divsChild>
            <w:div w:id="721707806">
              <w:marLeft w:val="0"/>
              <w:marRight w:val="0"/>
              <w:marTop w:val="0"/>
              <w:marBottom w:val="0"/>
              <w:divBdr>
                <w:top w:val="none" w:sz="0" w:space="0" w:color="auto"/>
                <w:left w:val="none" w:sz="0" w:space="0" w:color="auto"/>
                <w:bottom w:val="none" w:sz="0" w:space="0" w:color="auto"/>
                <w:right w:val="none" w:sz="0" w:space="0" w:color="auto"/>
              </w:divBdr>
            </w:div>
          </w:divsChild>
        </w:div>
        <w:div w:id="302581906">
          <w:marLeft w:val="0"/>
          <w:marRight w:val="0"/>
          <w:marTop w:val="0"/>
          <w:marBottom w:val="0"/>
          <w:divBdr>
            <w:top w:val="none" w:sz="0" w:space="0" w:color="auto"/>
            <w:left w:val="none" w:sz="0" w:space="0" w:color="auto"/>
            <w:bottom w:val="none" w:sz="0" w:space="0" w:color="auto"/>
            <w:right w:val="none" w:sz="0" w:space="0" w:color="auto"/>
          </w:divBdr>
          <w:divsChild>
            <w:div w:id="1503425358">
              <w:marLeft w:val="0"/>
              <w:marRight w:val="0"/>
              <w:marTop w:val="0"/>
              <w:marBottom w:val="0"/>
              <w:divBdr>
                <w:top w:val="none" w:sz="0" w:space="0" w:color="auto"/>
                <w:left w:val="none" w:sz="0" w:space="0" w:color="auto"/>
                <w:bottom w:val="none" w:sz="0" w:space="0" w:color="auto"/>
                <w:right w:val="none" w:sz="0" w:space="0" w:color="auto"/>
              </w:divBdr>
            </w:div>
          </w:divsChild>
        </w:div>
        <w:div w:id="628560379">
          <w:marLeft w:val="0"/>
          <w:marRight w:val="0"/>
          <w:marTop w:val="0"/>
          <w:marBottom w:val="0"/>
          <w:divBdr>
            <w:top w:val="none" w:sz="0" w:space="0" w:color="auto"/>
            <w:left w:val="none" w:sz="0" w:space="0" w:color="auto"/>
            <w:bottom w:val="none" w:sz="0" w:space="0" w:color="auto"/>
            <w:right w:val="none" w:sz="0" w:space="0" w:color="auto"/>
          </w:divBdr>
          <w:divsChild>
            <w:div w:id="2015717067">
              <w:marLeft w:val="0"/>
              <w:marRight w:val="0"/>
              <w:marTop w:val="0"/>
              <w:marBottom w:val="0"/>
              <w:divBdr>
                <w:top w:val="none" w:sz="0" w:space="0" w:color="auto"/>
                <w:left w:val="none" w:sz="0" w:space="0" w:color="auto"/>
                <w:bottom w:val="none" w:sz="0" w:space="0" w:color="auto"/>
                <w:right w:val="none" w:sz="0" w:space="0" w:color="auto"/>
              </w:divBdr>
            </w:div>
          </w:divsChild>
        </w:div>
        <w:div w:id="637996785">
          <w:marLeft w:val="0"/>
          <w:marRight w:val="0"/>
          <w:marTop w:val="0"/>
          <w:marBottom w:val="0"/>
          <w:divBdr>
            <w:top w:val="none" w:sz="0" w:space="0" w:color="auto"/>
            <w:left w:val="none" w:sz="0" w:space="0" w:color="auto"/>
            <w:bottom w:val="none" w:sz="0" w:space="0" w:color="auto"/>
            <w:right w:val="none" w:sz="0" w:space="0" w:color="auto"/>
          </w:divBdr>
          <w:divsChild>
            <w:div w:id="1440906853">
              <w:marLeft w:val="0"/>
              <w:marRight w:val="0"/>
              <w:marTop w:val="0"/>
              <w:marBottom w:val="0"/>
              <w:divBdr>
                <w:top w:val="none" w:sz="0" w:space="0" w:color="auto"/>
                <w:left w:val="none" w:sz="0" w:space="0" w:color="auto"/>
                <w:bottom w:val="none" w:sz="0" w:space="0" w:color="auto"/>
                <w:right w:val="none" w:sz="0" w:space="0" w:color="auto"/>
              </w:divBdr>
            </w:div>
          </w:divsChild>
        </w:div>
        <w:div w:id="824010698">
          <w:marLeft w:val="0"/>
          <w:marRight w:val="0"/>
          <w:marTop w:val="0"/>
          <w:marBottom w:val="0"/>
          <w:divBdr>
            <w:top w:val="none" w:sz="0" w:space="0" w:color="auto"/>
            <w:left w:val="none" w:sz="0" w:space="0" w:color="auto"/>
            <w:bottom w:val="none" w:sz="0" w:space="0" w:color="auto"/>
            <w:right w:val="none" w:sz="0" w:space="0" w:color="auto"/>
          </w:divBdr>
          <w:divsChild>
            <w:div w:id="1674527813">
              <w:marLeft w:val="0"/>
              <w:marRight w:val="0"/>
              <w:marTop w:val="0"/>
              <w:marBottom w:val="0"/>
              <w:divBdr>
                <w:top w:val="none" w:sz="0" w:space="0" w:color="auto"/>
                <w:left w:val="none" w:sz="0" w:space="0" w:color="auto"/>
                <w:bottom w:val="none" w:sz="0" w:space="0" w:color="auto"/>
                <w:right w:val="none" w:sz="0" w:space="0" w:color="auto"/>
              </w:divBdr>
            </w:div>
          </w:divsChild>
        </w:div>
        <w:div w:id="876816043">
          <w:marLeft w:val="0"/>
          <w:marRight w:val="0"/>
          <w:marTop w:val="0"/>
          <w:marBottom w:val="0"/>
          <w:divBdr>
            <w:top w:val="none" w:sz="0" w:space="0" w:color="auto"/>
            <w:left w:val="none" w:sz="0" w:space="0" w:color="auto"/>
            <w:bottom w:val="none" w:sz="0" w:space="0" w:color="auto"/>
            <w:right w:val="none" w:sz="0" w:space="0" w:color="auto"/>
          </w:divBdr>
          <w:divsChild>
            <w:div w:id="1261984862">
              <w:marLeft w:val="0"/>
              <w:marRight w:val="0"/>
              <w:marTop w:val="0"/>
              <w:marBottom w:val="0"/>
              <w:divBdr>
                <w:top w:val="none" w:sz="0" w:space="0" w:color="auto"/>
                <w:left w:val="none" w:sz="0" w:space="0" w:color="auto"/>
                <w:bottom w:val="none" w:sz="0" w:space="0" w:color="auto"/>
                <w:right w:val="none" w:sz="0" w:space="0" w:color="auto"/>
              </w:divBdr>
            </w:div>
          </w:divsChild>
        </w:div>
        <w:div w:id="1063482892">
          <w:marLeft w:val="0"/>
          <w:marRight w:val="0"/>
          <w:marTop w:val="0"/>
          <w:marBottom w:val="0"/>
          <w:divBdr>
            <w:top w:val="none" w:sz="0" w:space="0" w:color="auto"/>
            <w:left w:val="none" w:sz="0" w:space="0" w:color="auto"/>
            <w:bottom w:val="none" w:sz="0" w:space="0" w:color="auto"/>
            <w:right w:val="none" w:sz="0" w:space="0" w:color="auto"/>
          </w:divBdr>
          <w:divsChild>
            <w:div w:id="341202661">
              <w:marLeft w:val="0"/>
              <w:marRight w:val="0"/>
              <w:marTop w:val="0"/>
              <w:marBottom w:val="0"/>
              <w:divBdr>
                <w:top w:val="none" w:sz="0" w:space="0" w:color="auto"/>
                <w:left w:val="none" w:sz="0" w:space="0" w:color="auto"/>
                <w:bottom w:val="none" w:sz="0" w:space="0" w:color="auto"/>
                <w:right w:val="none" w:sz="0" w:space="0" w:color="auto"/>
              </w:divBdr>
            </w:div>
          </w:divsChild>
        </w:div>
        <w:div w:id="1120951281">
          <w:marLeft w:val="0"/>
          <w:marRight w:val="0"/>
          <w:marTop w:val="0"/>
          <w:marBottom w:val="0"/>
          <w:divBdr>
            <w:top w:val="none" w:sz="0" w:space="0" w:color="auto"/>
            <w:left w:val="none" w:sz="0" w:space="0" w:color="auto"/>
            <w:bottom w:val="none" w:sz="0" w:space="0" w:color="auto"/>
            <w:right w:val="none" w:sz="0" w:space="0" w:color="auto"/>
          </w:divBdr>
          <w:divsChild>
            <w:div w:id="1745953439">
              <w:marLeft w:val="0"/>
              <w:marRight w:val="0"/>
              <w:marTop w:val="0"/>
              <w:marBottom w:val="0"/>
              <w:divBdr>
                <w:top w:val="none" w:sz="0" w:space="0" w:color="auto"/>
                <w:left w:val="none" w:sz="0" w:space="0" w:color="auto"/>
                <w:bottom w:val="none" w:sz="0" w:space="0" w:color="auto"/>
                <w:right w:val="none" w:sz="0" w:space="0" w:color="auto"/>
              </w:divBdr>
            </w:div>
          </w:divsChild>
        </w:div>
        <w:div w:id="1172454909">
          <w:marLeft w:val="0"/>
          <w:marRight w:val="0"/>
          <w:marTop w:val="0"/>
          <w:marBottom w:val="0"/>
          <w:divBdr>
            <w:top w:val="none" w:sz="0" w:space="0" w:color="auto"/>
            <w:left w:val="none" w:sz="0" w:space="0" w:color="auto"/>
            <w:bottom w:val="none" w:sz="0" w:space="0" w:color="auto"/>
            <w:right w:val="none" w:sz="0" w:space="0" w:color="auto"/>
          </w:divBdr>
          <w:divsChild>
            <w:div w:id="565342818">
              <w:marLeft w:val="0"/>
              <w:marRight w:val="0"/>
              <w:marTop w:val="0"/>
              <w:marBottom w:val="0"/>
              <w:divBdr>
                <w:top w:val="none" w:sz="0" w:space="0" w:color="auto"/>
                <w:left w:val="none" w:sz="0" w:space="0" w:color="auto"/>
                <w:bottom w:val="none" w:sz="0" w:space="0" w:color="auto"/>
                <w:right w:val="none" w:sz="0" w:space="0" w:color="auto"/>
              </w:divBdr>
            </w:div>
          </w:divsChild>
        </w:div>
        <w:div w:id="1212040163">
          <w:marLeft w:val="0"/>
          <w:marRight w:val="0"/>
          <w:marTop w:val="0"/>
          <w:marBottom w:val="0"/>
          <w:divBdr>
            <w:top w:val="none" w:sz="0" w:space="0" w:color="auto"/>
            <w:left w:val="none" w:sz="0" w:space="0" w:color="auto"/>
            <w:bottom w:val="none" w:sz="0" w:space="0" w:color="auto"/>
            <w:right w:val="none" w:sz="0" w:space="0" w:color="auto"/>
          </w:divBdr>
          <w:divsChild>
            <w:div w:id="541554011">
              <w:marLeft w:val="0"/>
              <w:marRight w:val="0"/>
              <w:marTop w:val="0"/>
              <w:marBottom w:val="0"/>
              <w:divBdr>
                <w:top w:val="none" w:sz="0" w:space="0" w:color="auto"/>
                <w:left w:val="none" w:sz="0" w:space="0" w:color="auto"/>
                <w:bottom w:val="none" w:sz="0" w:space="0" w:color="auto"/>
                <w:right w:val="none" w:sz="0" w:space="0" w:color="auto"/>
              </w:divBdr>
            </w:div>
          </w:divsChild>
        </w:div>
        <w:div w:id="1381588858">
          <w:marLeft w:val="0"/>
          <w:marRight w:val="0"/>
          <w:marTop w:val="0"/>
          <w:marBottom w:val="0"/>
          <w:divBdr>
            <w:top w:val="none" w:sz="0" w:space="0" w:color="auto"/>
            <w:left w:val="none" w:sz="0" w:space="0" w:color="auto"/>
            <w:bottom w:val="none" w:sz="0" w:space="0" w:color="auto"/>
            <w:right w:val="none" w:sz="0" w:space="0" w:color="auto"/>
          </w:divBdr>
          <w:divsChild>
            <w:div w:id="1423794655">
              <w:marLeft w:val="0"/>
              <w:marRight w:val="0"/>
              <w:marTop w:val="0"/>
              <w:marBottom w:val="0"/>
              <w:divBdr>
                <w:top w:val="none" w:sz="0" w:space="0" w:color="auto"/>
                <w:left w:val="none" w:sz="0" w:space="0" w:color="auto"/>
                <w:bottom w:val="none" w:sz="0" w:space="0" w:color="auto"/>
                <w:right w:val="none" w:sz="0" w:space="0" w:color="auto"/>
              </w:divBdr>
            </w:div>
          </w:divsChild>
        </w:div>
        <w:div w:id="1809516175">
          <w:marLeft w:val="0"/>
          <w:marRight w:val="0"/>
          <w:marTop w:val="0"/>
          <w:marBottom w:val="0"/>
          <w:divBdr>
            <w:top w:val="none" w:sz="0" w:space="0" w:color="auto"/>
            <w:left w:val="none" w:sz="0" w:space="0" w:color="auto"/>
            <w:bottom w:val="none" w:sz="0" w:space="0" w:color="auto"/>
            <w:right w:val="none" w:sz="0" w:space="0" w:color="auto"/>
          </w:divBdr>
          <w:divsChild>
            <w:div w:id="1475417085">
              <w:marLeft w:val="0"/>
              <w:marRight w:val="0"/>
              <w:marTop w:val="0"/>
              <w:marBottom w:val="0"/>
              <w:divBdr>
                <w:top w:val="none" w:sz="0" w:space="0" w:color="auto"/>
                <w:left w:val="none" w:sz="0" w:space="0" w:color="auto"/>
                <w:bottom w:val="none" w:sz="0" w:space="0" w:color="auto"/>
                <w:right w:val="none" w:sz="0" w:space="0" w:color="auto"/>
              </w:divBdr>
            </w:div>
          </w:divsChild>
        </w:div>
        <w:div w:id="1832133445">
          <w:marLeft w:val="0"/>
          <w:marRight w:val="0"/>
          <w:marTop w:val="0"/>
          <w:marBottom w:val="0"/>
          <w:divBdr>
            <w:top w:val="none" w:sz="0" w:space="0" w:color="auto"/>
            <w:left w:val="none" w:sz="0" w:space="0" w:color="auto"/>
            <w:bottom w:val="none" w:sz="0" w:space="0" w:color="auto"/>
            <w:right w:val="none" w:sz="0" w:space="0" w:color="auto"/>
          </w:divBdr>
          <w:divsChild>
            <w:div w:id="1015182667">
              <w:marLeft w:val="0"/>
              <w:marRight w:val="0"/>
              <w:marTop w:val="0"/>
              <w:marBottom w:val="0"/>
              <w:divBdr>
                <w:top w:val="none" w:sz="0" w:space="0" w:color="auto"/>
                <w:left w:val="none" w:sz="0" w:space="0" w:color="auto"/>
                <w:bottom w:val="none" w:sz="0" w:space="0" w:color="auto"/>
                <w:right w:val="none" w:sz="0" w:space="0" w:color="auto"/>
              </w:divBdr>
            </w:div>
          </w:divsChild>
        </w:div>
        <w:div w:id="1932733308">
          <w:marLeft w:val="0"/>
          <w:marRight w:val="0"/>
          <w:marTop w:val="0"/>
          <w:marBottom w:val="0"/>
          <w:divBdr>
            <w:top w:val="none" w:sz="0" w:space="0" w:color="auto"/>
            <w:left w:val="none" w:sz="0" w:space="0" w:color="auto"/>
            <w:bottom w:val="none" w:sz="0" w:space="0" w:color="auto"/>
            <w:right w:val="none" w:sz="0" w:space="0" w:color="auto"/>
          </w:divBdr>
          <w:divsChild>
            <w:div w:id="1778594455">
              <w:marLeft w:val="0"/>
              <w:marRight w:val="0"/>
              <w:marTop w:val="0"/>
              <w:marBottom w:val="0"/>
              <w:divBdr>
                <w:top w:val="none" w:sz="0" w:space="0" w:color="auto"/>
                <w:left w:val="none" w:sz="0" w:space="0" w:color="auto"/>
                <w:bottom w:val="none" w:sz="0" w:space="0" w:color="auto"/>
                <w:right w:val="none" w:sz="0" w:space="0" w:color="auto"/>
              </w:divBdr>
            </w:div>
          </w:divsChild>
        </w:div>
        <w:div w:id="2043892608">
          <w:marLeft w:val="0"/>
          <w:marRight w:val="0"/>
          <w:marTop w:val="0"/>
          <w:marBottom w:val="0"/>
          <w:divBdr>
            <w:top w:val="none" w:sz="0" w:space="0" w:color="auto"/>
            <w:left w:val="none" w:sz="0" w:space="0" w:color="auto"/>
            <w:bottom w:val="none" w:sz="0" w:space="0" w:color="auto"/>
            <w:right w:val="none" w:sz="0" w:space="0" w:color="auto"/>
          </w:divBdr>
          <w:divsChild>
            <w:div w:id="1128626394">
              <w:marLeft w:val="0"/>
              <w:marRight w:val="0"/>
              <w:marTop w:val="0"/>
              <w:marBottom w:val="0"/>
              <w:divBdr>
                <w:top w:val="none" w:sz="0" w:space="0" w:color="auto"/>
                <w:left w:val="none" w:sz="0" w:space="0" w:color="auto"/>
                <w:bottom w:val="none" w:sz="0" w:space="0" w:color="auto"/>
                <w:right w:val="none" w:sz="0" w:space="0" w:color="auto"/>
              </w:divBdr>
            </w:div>
          </w:divsChild>
        </w:div>
        <w:div w:id="2105758099">
          <w:marLeft w:val="0"/>
          <w:marRight w:val="0"/>
          <w:marTop w:val="0"/>
          <w:marBottom w:val="0"/>
          <w:divBdr>
            <w:top w:val="none" w:sz="0" w:space="0" w:color="auto"/>
            <w:left w:val="none" w:sz="0" w:space="0" w:color="auto"/>
            <w:bottom w:val="none" w:sz="0" w:space="0" w:color="auto"/>
            <w:right w:val="none" w:sz="0" w:space="0" w:color="auto"/>
          </w:divBdr>
          <w:divsChild>
            <w:div w:id="13520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8747">
      <w:bodyDiv w:val="1"/>
      <w:marLeft w:val="0"/>
      <w:marRight w:val="0"/>
      <w:marTop w:val="0"/>
      <w:marBottom w:val="0"/>
      <w:divBdr>
        <w:top w:val="none" w:sz="0" w:space="0" w:color="auto"/>
        <w:left w:val="none" w:sz="0" w:space="0" w:color="auto"/>
        <w:bottom w:val="none" w:sz="0" w:space="0" w:color="auto"/>
        <w:right w:val="none" w:sz="0" w:space="0" w:color="auto"/>
      </w:divBdr>
      <w:divsChild>
        <w:div w:id="197820273">
          <w:marLeft w:val="0"/>
          <w:marRight w:val="0"/>
          <w:marTop w:val="0"/>
          <w:marBottom w:val="0"/>
          <w:divBdr>
            <w:top w:val="none" w:sz="0" w:space="0" w:color="auto"/>
            <w:left w:val="none" w:sz="0" w:space="0" w:color="auto"/>
            <w:bottom w:val="none" w:sz="0" w:space="0" w:color="auto"/>
            <w:right w:val="none" w:sz="0" w:space="0" w:color="auto"/>
          </w:divBdr>
        </w:div>
        <w:div w:id="303972387">
          <w:marLeft w:val="0"/>
          <w:marRight w:val="0"/>
          <w:marTop w:val="0"/>
          <w:marBottom w:val="0"/>
          <w:divBdr>
            <w:top w:val="none" w:sz="0" w:space="0" w:color="auto"/>
            <w:left w:val="none" w:sz="0" w:space="0" w:color="auto"/>
            <w:bottom w:val="none" w:sz="0" w:space="0" w:color="auto"/>
            <w:right w:val="none" w:sz="0" w:space="0" w:color="auto"/>
          </w:divBdr>
        </w:div>
        <w:div w:id="383212226">
          <w:marLeft w:val="0"/>
          <w:marRight w:val="0"/>
          <w:marTop w:val="0"/>
          <w:marBottom w:val="0"/>
          <w:divBdr>
            <w:top w:val="none" w:sz="0" w:space="0" w:color="auto"/>
            <w:left w:val="none" w:sz="0" w:space="0" w:color="auto"/>
            <w:bottom w:val="none" w:sz="0" w:space="0" w:color="auto"/>
            <w:right w:val="none" w:sz="0" w:space="0" w:color="auto"/>
          </w:divBdr>
          <w:divsChild>
            <w:div w:id="204681660">
              <w:marLeft w:val="0"/>
              <w:marRight w:val="0"/>
              <w:marTop w:val="0"/>
              <w:marBottom w:val="0"/>
              <w:divBdr>
                <w:top w:val="none" w:sz="0" w:space="0" w:color="auto"/>
                <w:left w:val="none" w:sz="0" w:space="0" w:color="auto"/>
                <w:bottom w:val="none" w:sz="0" w:space="0" w:color="auto"/>
                <w:right w:val="none" w:sz="0" w:space="0" w:color="auto"/>
              </w:divBdr>
            </w:div>
            <w:div w:id="269819802">
              <w:marLeft w:val="0"/>
              <w:marRight w:val="0"/>
              <w:marTop w:val="0"/>
              <w:marBottom w:val="0"/>
              <w:divBdr>
                <w:top w:val="none" w:sz="0" w:space="0" w:color="auto"/>
                <w:left w:val="none" w:sz="0" w:space="0" w:color="auto"/>
                <w:bottom w:val="none" w:sz="0" w:space="0" w:color="auto"/>
                <w:right w:val="none" w:sz="0" w:space="0" w:color="auto"/>
              </w:divBdr>
            </w:div>
            <w:div w:id="297958820">
              <w:marLeft w:val="0"/>
              <w:marRight w:val="0"/>
              <w:marTop w:val="0"/>
              <w:marBottom w:val="0"/>
              <w:divBdr>
                <w:top w:val="none" w:sz="0" w:space="0" w:color="auto"/>
                <w:left w:val="none" w:sz="0" w:space="0" w:color="auto"/>
                <w:bottom w:val="none" w:sz="0" w:space="0" w:color="auto"/>
                <w:right w:val="none" w:sz="0" w:space="0" w:color="auto"/>
              </w:divBdr>
            </w:div>
            <w:div w:id="314771054">
              <w:marLeft w:val="0"/>
              <w:marRight w:val="0"/>
              <w:marTop w:val="0"/>
              <w:marBottom w:val="0"/>
              <w:divBdr>
                <w:top w:val="none" w:sz="0" w:space="0" w:color="auto"/>
                <w:left w:val="none" w:sz="0" w:space="0" w:color="auto"/>
                <w:bottom w:val="none" w:sz="0" w:space="0" w:color="auto"/>
                <w:right w:val="none" w:sz="0" w:space="0" w:color="auto"/>
              </w:divBdr>
            </w:div>
            <w:div w:id="401299632">
              <w:marLeft w:val="0"/>
              <w:marRight w:val="0"/>
              <w:marTop w:val="0"/>
              <w:marBottom w:val="0"/>
              <w:divBdr>
                <w:top w:val="none" w:sz="0" w:space="0" w:color="auto"/>
                <w:left w:val="none" w:sz="0" w:space="0" w:color="auto"/>
                <w:bottom w:val="none" w:sz="0" w:space="0" w:color="auto"/>
                <w:right w:val="none" w:sz="0" w:space="0" w:color="auto"/>
              </w:divBdr>
            </w:div>
            <w:div w:id="411974771">
              <w:marLeft w:val="0"/>
              <w:marRight w:val="0"/>
              <w:marTop w:val="0"/>
              <w:marBottom w:val="0"/>
              <w:divBdr>
                <w:top w:val="none" w:sz="0" w:space="0" w:color="auto"/>
                <w:left w:val="none" w:sz="0" w:space="0" w:color="auto"/>
                <w:bottom w:val="none" w:sz="0" w:space="0" w:color="auto"/>
                <w:right w:val="none" w:sz="0" w:space="0" w:color="auto"/>
              </w:divBdr>
            </w:div>
            <w:div w:id="457069762">
              <w:marLeft w:val="0"/>
              <w:marRight w:val="0"/>
              <w:marTop w:val="0"/>
              <w:marBottom w:val="0"/>
              <w:divBdr>
                <w:top w:val="none" w:sz="0" w:space="0" w:color="auto"/>
                <w:left w:val="none" w:sz="0" w:space="0" w:color="auto"/>
                <w:bottom w:val="none" w:sz="0" w:space="0" w:color="auto"/>
                <w:right w:val="none" w:sz="0" w:space="0" w:color="auto"/>
              </w:divBdr>
            </w:div>
            <w:div w:id="586693095">
              <w:marLeft w:val="0"/>
              <w:marRight w:val="0"/>
              <w:marTop w:val="0"/>
              <w:marBottom w:val="0"/>
              <w:divBdr>
                <w:top w:val="none" w:sz="0" w:space="0" w:color="auto"/>
                <w:left w:val="none" w:sz="0" w:space="0" w:color="auto"/>
                <w:bottom w:val="none" w:sz="0" w:space="0" w:color="auto"/>
                <w:right w:val="none" w:sz="0" w:space="0" w:color="auto"/>
              </w:divBdr>
            </w:div>
            <w:div w:id="809903562">
              <w:marLeft w:val="0"/>
              <w:marRight w:val="0"/>
              <w:marTop w:val="0"/>
              <w:marBottom w:val="0"/>
              <w:divBdr>
                <w:top w:val="none" w:sz="0" w:space="0" w:color="auto"/>
                <w:left w:val="none" w:sz="0" w:space="0" w:color="auto"/>
                <w:bottom w:val="none" w:sz="0" w:space="0" w:color="auto"/>
                <w:right w:val="none" w:sz="0" w:space="0" w:color="auto"/>
              </w:divBdr>
            </w:div>
            <w:div w:id="882408480">
              <w:marLeft w:val="0"/>
              <w:marRight w:val="0"/>
              <w:marTop w:val="0"/>
              <w:marBottom w:val="0"/>
              <w:divBdr>
                <w:top w:val="none" w:sz="0" w:space="0" w:color="auto"/>
                <w:left w:val="none" w:sz="0" w:space="0" w:color="auto"/>
                <w:bottom w:val="none" w:sz="0" w:space="0" w:color="auto"/>
                <w:right w:val="none" w:sz="0" w:space="0" w:color="auto"/>
              </w:divBdr>
            </w:div>
            <w:div w:id="940643296">
              <w:marLeft w:val="0"/>
              <w:marRight w:val="0"/>
              <w:marTop w:val="0"/>
              <w:marBottom w:val="0"/>
              <w:divBdr>
                <w:top w:val="none" w:sz="0" w:space="0" w:color="auto"/>
                <w:left w:val="none" w:sz="0" w:space="0" w:color="auto"/>
                <w:bottom w:val="none" w:sz="0" w:space="0" w:color="auto"/>
                <w:right w:val="none" w:sz="0" w:space="0" w:color="auto"/>
              </w:divBdr>
            </w:div>
            <w:div w:id="953056842">
              <w:marLeft w:val="0"/>
              <w:marRight w:val="0"/>
              <w:marTop w:val="0"/>
              <w:marBottom w:val="0"/>
              <w:divBdr>
                <w:top w:val="none" w:sz="0" w:space="0" w:color="auto"/>
                <w:left w:val="none" w:sz="0" w:space="0" w:color="auto"/>
                <w:bottom w:val="none" w:sz="0" w:space="0" w:color="auto"/>
                <w:right w:val="none" w:sz="0" w:space="0" w:color="auto"/>
              </w:divBdr>
            </w:div>
            <w:div w:id="1271935377">
              <w:marLeft w:val="0"/>
              <w:marRight w:val="0"/>
              <w:marTop w:val="0"/>
              <w:marBottom w:val="0"/>
              <w:divBdr>
                <w:top w:val="none" w:sz="0" w:space="0" w:color="auto"/>
                <w:left w:val="none" w:sz="0" w:space="0" w:color="auto"/>
                <w:bottom w:val="none" w:sz="0" w:space="0" w:color="auto"/>
                <w:right w:val="none" w:sz="0" w:space="0" w:color="auto"/>
              </w:divBdr>
            </w:div>
            <w:div w:id="1335651070">
              <w:marLeft w:val="0"/>
              <w:marRight w:val="0"/>
              <w:marTop w:val="0"/>
              <w:marBottom w:val="0"/>
              <w:divBdr>
                <w:top w:val="none" w:sz="0" w:space="0" w:color="auto"/>
                <w:left w:val="none" w:sz="0" w:space="0" w:color="auto"/>
                <w:bottom w:val="none" w:sz="0" w:space="0" w:color="auto"/>
                <w:right w:val="none" w:sz="0" w:space="0" w:color="auto"/>
              </w:divBdr>
            </w:div>
            <w:div w:id="1344167888">
              <w:marLeft w:val="0"/>
              <w:marRight w:val="0"/>
              <w:marTop w:val="0"/>
              <w:marBottom w:val="0"/>
              <w:divBdr>
                <w:top w:val="none" w:sz="0" w:space="0" w:color="auto"/>
                <w:left w:val="none" w:sz="0" w:space="0" w:color="auto"/>
                <w:bottom w:val="none" w:sz="0" w:space="0" w:color="auto"/>
                <w:right w:val="none" w:sz="0" w:space="0" w:color="auto"/>
              </w:divBdr>
            </w:div>
            <w:div w:id="1956792379">
              <w:marLeft w:val="0"/>
              <w:marRight w:val="0"/>
              <w:marTop w:val="0"/>
              <w:marBottom w:val="0"/>
              <w:divBdr>
                <w:top w:val="none" w:sz="0" w:space="0" w:color="auto"/>
                <w:left w:val="none" w:sz="0" w:space="0" w:color="auto"/>
                <w:bottom w:val="none" w:sz="0" w:space="0" w:color="auto"/>
                <w:right w:val="none" w:sz="0" w:space="0" w:color="auto"/>
              </w:divBdr>
            </w:div>
            <w:div w:id="1973052567">
              <w:marLeft w:val="0"/>
              <w:marRight w:val="0"/>
              <w:marTop w:val="0"/>
              <w:marBottom w:val="0"/>
              <w:divBdr>
                <w:top w:val="none" w:sz="0" w:space="0" w:color="auto"/>
                <w:left w:val="none" w:sz="0" w:space="0" w:color="auto"/>
                <w:bottom w:val="none" w:sz="0" w:space="0" w:color="auto"/>
                <w:right w:val="none" w:sz="0" w:space="0" w:color="auto"/>
              </w:divBdr>
            </w:div>
            <w:div w:id="2004622627">
              <w:marLeft w:val="0"/>
              <w:marRight w:val="0"/>
              <w:marTop w:val="0"/>
              <w:marBottom w:val="0"/>
              <w:divBdr>
                <w:top w:val="none" w:sz="0" w:space="0" w:color="auto"/>
                <w:left w:val="none" w:sz="0" w:space="0" w:color="auto"/>
                <w:bottom w:val="none" w:sz="0" w:space="0" w:color="auto"/>
                <w:right w:val="none" w:sz="0" w:space="0" w:color="auto"/>
              </w:divBdr>
            </w:div>
            <w:div w:id="2077127154">
              <w:marLeft w:val="0"/>
              <w:marRight w:val="0"/>
              <w:marTop w:val="0"/>
              <w:marBottom w:val="0"/>
              <w:divBdr>
                <w:top w:val="none" w:sz="0" w:space="0" w:color="auto"/>
                <w:left w:val="none" w:sz="0" w:space="0" w:color="auto"/>
                <w:bottom w:val="none" w:sz="0" w:space="0" w:color="auto"/>
                <w:right w:val="none" w:sz="0" w:space="0" w:color="auto"/>
              </w:divBdr>
            </w:div>
            <w:div w:id="2109615892">
              <w:marLeft w:val="0"/>
              <w:marRight w:val="0"/>
              <w:marTop w:val="0"/>
              <w:marBottom w:val="0"/>
              <w:divBdr>
                <w:top w:val="none" w:sz="0" w:space="0" w:color="auto"/>
                <w:left w:val="none" w:sz="0" w:space="0" w:color="auto"/>
                <w:bottom w:val="none" w:sz="0" w:space="0" w:color="auto"/>
                <w:right w:val="none" w:sz="0" w:space="0" w:color="auto"/>
              </w:divBdr>
            </w:div>
          </w:divsChild>
        </w:div>
        <w:div w:id="695741835">
          <w:marLeft w:val="0"/>
          <w:marRight w:val="0"/>
          <w:marTop w:val="0"/>
          <w:marBottom w:val="0"/>
          <w:divBdr>
            <w:top w:val="none" w:sz="0" w:space="0" w:color="auto"/>
            <w:left w:val="none" w:sz="0" w:space="0" w:color="auto"/>
            <w:bottom w:val="none" w:sz="0" w:space="0" w:color="auto"/>
            <w:right w:val="none" w:sz="0" w:space="0" w:color="auto"/>
          </w:divBdr>
        </w:div>
        <w:div w:id="939482533">
          <w:marLeft w:val="0"/>
          <w:marRight w:val="0"/>
          <w:marTop w:val="0"/>
          <w:marBottom w:val="0"/>
          <w:divBdr>
            <w:top w:val="none" w:sz="0" w:space="0" w:color="auto"/>
            <w:left w:val="none" w:sz="0" w:space="0" w:color="auto"/>
            <w:bottom w:val="none" w:sz="0" w:space="0" w:color="auto"/>
            <w:right w:val="none" w:sz="0" w:space="0" w:color="auto"/>
          </w:divBdr>
        </w:div>
        <w:div w:id="1068260708">
          <w:marLeft w:val="0"/>
          <w:marRight w:val="0"/>
          <w:marTop w:val="0"/>
          <w:marBottom w:val="0"/>
          <w:divBdr>
            <w:top w:val="none" w:sz="0" w:space="0" w:color="auto"/>
            <w:left w:val="none" w:sz="0" w:space="0" w:color="auto"/>
            <w:bottom w:val="none" w:sz="0" w:space="0" w:color="auto"/>
            <w:right w:val="none" w:sz="0" w:space="0" w:color="auto"/>
          </w:divBdr>
        </w:div>
        <w:div w:id="1366783517">
          <w:marLeft w:val="0"/>
          <w:marRight w:val="0"/>
          <w:marTop w:val="0"/>
          <w:marBottom w:val="0"/>
          <w:divBdr>
            <w:top w:val="none" w:sz="0" w:space="0" w:color="auto"/>
            <w:left w:val="none" w:sz="0" w:space="0" w:color="auto"/>
            <w:bottom w:val="none" w:sz="0" w:space="0" w:color="auto"/>
            <w:right w:val="none" w:sz="0" w:space="0" w:color="auto"/>
          </w:divBdr>
          <w:divsChild>
            <w:div w:id="160128005">
              <w:marLeft w:val="0"/>
              <w:marRight w:val="0"/>
              <w:marTop w:val="0"/>
              <w:marBottom w:val="0"/>
              <w:divBdr>
                <w:top w:val="none" w:sz="0" w:space="0" w:color="auto"/>
                <w:left w:val="none" w:sz="0" w:space="0" w:color="auto"/>
                <w:bottom w:val="none" w:sz="0" w:space="0" w:color="auto"/>
                <w:right w:val="none" w:sz="0" w:space="0" w:color="auto"/>
              </w:divBdr>
            </w:div>
            <w:div w:id="227234268">
              <w:marLeft w:val="0"/>
              <w:marRight w:val="0"/>
              <w:marTop w:val="0"/>
              <w:marBottom w:val="0"/>
              <w:divBdr>
                <w:top w:val="none" w:sz="0" w:space="0" w:color="auto"/>
                <w:left w:val="none" w:sz="0" w:space="0" w:color="auto"/>
                <w:bottom w:val="none" w:sz="0" w:space="0" w:color="auto"/>
                <w:right w:val="none" w:sz="0" w:space="0" w:color="auto"/>
              </w:divBdr>
            </w:div>
            <w:div w:id="246576604">
              <w:marLeft w:val="0"/>
              <w:marRight w:val="0"/>
              <w:marTop w:val="0"/>
              <w:marBottom w:val="0"/>
              <w:divBdr>
                <w:top w:val="none" w:sz="0" w:space="0" w:color="auto"/>
                <w:left w:val="none" w:sz="0" w:space="0" w:color="auto"/>
                <w:bottom w:val="none" w:sz="0" w:space="0" w:color="auto"/>
                <w:right w:val="none" w:sz="0" w:space="0" w:color="auto"/>
              </w:divBdr>
            </w:div>
            <w:div w:id="339743412">
              <w:marLeft w:val="0"/>
              <w:marRight w:val="0"/>
              <w:marTop w:val="0"/>
              <w:marBottom w:val="0"/>
              <w:divBdr>
                <w:top w:val="none" w:sz="0" w:space="0" w:color="auto"/>
                <w:left w:val="none" w:sz="0" w:space="0" w:color="auto"/>
                <w:bottom w:val="none" w:sz="0" w:space="0" w:color="auto"/>
                <w:right w:val="none" w:sz="0" w:space="0" w:color="auto"/>
              </w:divBdr>
            </w:div>
            <w:div w:id="391928595">
              <w:marLeft w:val="0"/>
              <w:marRight w:val="0"/>
              <w:marTop w:val="0"/>
              <w:marBottom w:val="0"/>
              <w:divBdr>
                <w:top w:val="none" w:sz="0" w:space="0" w:color="auto"/>
                <w:left w:val="none" w:sz="0" w:space="0" w:color="auto"/>
                <w:bottom w:val="none" w:sz="0" w:space="0" w:color="auto"/>
                <w:right w:val="none" w:sz="0" w:space="0" w:color="auto"/>
              </w:divBdr>
            </w:div>
            <w:div w:id="446320362">
              <w:marLeft w:val="0"/>
              <w:marRight w:val="0"/>
              <w:marTop w:val="0"/>
              <w:marBottom w:val="0"/>
              <w:divBdr>
                <w:top w:val="none" w:sz="0" w:space="0" w:color="auto"/>
                <w:left w:val="none" w:sz="0" w:space="0" w:color="auto"/>
                <w:bottom w:val="none" w:sz="0" w:space="0" w:color="auto"/>
                <w:right w:val="none" w:sz="0" w:space="0" w:color="auto"/>
              </w:divBdr>
            </w:div>
            <w:div w:id="634869344">
              <w:marLeft w:val="0"/>
              <w:marRight w:val="0"/>
              <w:marTop w:val="0"/>
              <w:marBottom w:val="0"/>
              <w:divBdr>
                <w:top w:val="none" w:sz="0" w:space="0" w:color="auto"/>
                <w:left w:val="none" w:sz="0" w:space="0" w:color="auto"/>
                <w:bottom w:val="none" w:sz="0" w:space="0" w:color="auto"/>
                <w:right w:val="none" w:sz="0" w:space="0" w:color="auto"/>
              </w:divBdr>
            </w:div>
            <w:div w:id="728530705">
              <w:marLeft w:val="0"/>
              <w:marRight w:val="0"/>
              <w:marTop w:val="0"/>
              <w:marBottom w:val="0"/>
              <w:divBdr>
                <w:top w:val="none" w:sz="0" w:space="0" w:color="auto"/>
                <w:left w:val="none" w:sz="0" w:space="0" w:color="auto"/>
                <w:bottom w:val="none" w:sz="0" w:space="0" w:color="auto"/>
                <w:right w:val="none" w:sz="0" w:space="0" w:color="auto"/>
              </w:divBdr>
            </w:div>
            <w:div w:id="1071005442">
              <w:marLeft w:val="0"/>
              <w:marRight w:val="0"/>
              <w:marTop w:val="0"/>
              <w:marBottom w:val="0"/>
              <w:divBdr>
                <w:top w:val="none" w:sz="0" w:space="0" w:color="auto"/>
                <w:left w:val="none" w:sz="0" w:space="0" w:color="auto"/>
                <w:bottom w:val="none" w:sz="0" w:space="0" w:color="auto"/>
                <w:right w:val="none" w:sz="0" w:space="0" w:color="auto"/>
              </w:divBdr>
            </w:div>
            <w:div w:id="1178078733">
              <w:marLeft w:val="0"/>
              <w:marRight w:val="0"/>
              <w:marTop w:val="0"/>
              <w:marBottom w:val="0"/>
              <w:divBdr>
                <w:top w:val="none" w:sz="0" w:space="0" w:color="auto"/>
                <w:left w:val="none" w:sz="0" w:space="0" w:color="auto"/>
                <w:bottom w:val="none" w:sz="0" w:space="0" w:color="auto"/>
                <w:right w:val="none" w:sz="0" w:space="0" w:color="auto"/>
              </w:divBdr>
            </w:div>
            <w:div w:id="1246647513">
              <w:marLeft w:val="0"/>
              <w:marRight w:val="0"/>
              <w:marTop w:val="0"/>
              <w:marBottom w:val="0"/>
              <w:divBdr>
                <w:top w:val="none" w:sz="0" w:space="0" w:color="auto"/>
                <w:left w:val="none" w:sz="0" w:space="0" w:color="auto"/>
                <w:bottom w:val="none" w:sz="0" w:space="0" w:color="auto"/>
                <w:right w:val="none" w:sz="0" w:space="0" w:color="auto"/>
              </w:divBdr>
            </w:div>
            <w:div w:id="1325087132">
              <w:marLeft w:val="0"/>
              <w:marRight w:val="0"/>
              <w:marTop w:val="0"/>
              <w:marBottom w:val="0"/>
              <w:divBdr>
                <w:top w:val="none" w:sz="0" w:space="0" w:color="auto"/>
                <w:left w:val="none" w:sz="0" w:space="0" w:color="auto"/>
                <w:bottom w:val="none" w:sz="0" w:space="0" w:color="auto"/>
                <w:right w:val="none" w:sz="0" w:space="0" w:color="auto"/>
              </w:divBdr>
            </w:div>
            <w:div w:id="1462386574">
              <w:marLeft w:val="0"/>
              <w:marRight w:val="0"/>
              <w:marTop w:val="0"/>
              <w:marBottom w:val="0"/>
              <w:divBdr>
                <w:top w:val="none" w:sz="0" w:space="0" w:color="auto"/>
                <w:left w:val="none" w:sz="0" w:space="0" w:color="auto"/>
                <w:bottom w:val="none" w:sz="0" w:space="0" w:color="auto"/>
                <w:right w:val="none" w:sz="0" w:space="0" w:color="auto"/>
              </w:divBdr>
            </w:div>
            <w:div w:id="1502349514">
              <w:marLeft w:val="0"/>
              <w:marRight w:val="0"/>
              <w:marTop w:val="0"/>
              <w:marBottom w:val="0"/>
              <w:divBdr>
                <w:top w:val="none" w:sz="0" w:space="0" w:color="auto"/>
                <w:left w:val="none" w:sz="0" w:space="0" w:color="auto"/>
                <w:bottom w:val="none" w:sz="0" w:space="0" w:color="auto"/>
                <w:right w:val="none" w:sz="0" w:space="0" w:color="auto"/>
              </w:divBdr>
            </w:div>
            <w:div w:id="1533886123">
              <w:marLeft w:val="0"/>
              <w:marRight w:val="0"/>
              <w:marTop w:val="0"/>
              <w:marBottom w:val="0"/>
              <w:divBdr>
                <w:top w:val="none" w:sz="0" w:space="0" w:color="auto"/>
                <w:left w:val="none" w:sz="0" w:space="0" w:color="auto"/>
                <w:bottom w:val="none" w:sz="0" w:space="0" w:color="auto"/>
                <w:right w:val="none" w:sz="0" w:space="0" w:color="auto"/>
              </w:divBdr>
            </w:div>
            <w:div w:id="1668903042">
              <w:marLeft w:val="0"/>
              <w:marRight w:val="0"/>
              <w:marTop w:val="0"/>
              <w:marBottom w:val="0"/>
              <w:divBdr>
                <w:top w:val="none" w:sz="0" w:space="0" w:color="auto"/>
                <w:left w:val="none" w:sz="0" w:space="0" w:color="auto"/>
                <w:bottom w:val="none" w:sz="0" w:space="0" w:color="auto"/>
                <w:right w:val="none" w:sz="0" w:space="0" w:color="auto"/>
              </w:divBdr>
            </w:div>
            <w:div w:id="1938783373">
              <w:marLeft w:val="0"/>
              <w:marRight w:val="0"/>
              <w:marTop w:val="0"/>
              <w:marBottom w:val="0"/>
              <w:divBdr>
                <w:top w:val="none" w:sz="0" w:space="0" w:color="auto"/>
                <w:left w:val="none" w:sz="0" w:space="0" w:color="auto"/>
                <w:bottom w:val="none" w:sz="0" w:space="0" w:color="auto"/>
                <w:right w:val="none" w:sz="0" w:space="0" w:color="auto"/>
              </w:divBdr>
            </w:div>
            <w:div w:id="2013943704">
              <w:marLeft w:val="0"/>
              <w:marRight w:val="0"/>
              <w:marTop w:val="0"/>
              <w:marBottom w:val="0"/>
              <w:divBdr>
                <w:top w:val="none" w:sz="0" w:space="0" w:color="auto"/>
                <w:left w:val="none" w:sz="0" w:space="0" w:color="auto"/>
                <w:bottom w:val="none" w:sz="0" w:space="0" w:color="auto"/>
                <w:right w:val="none" w:sz="0" w:space="0" w:color="auto"/>
              </w:divBdr>
            </w:div>
            <w:div w:id="2020350477">
              <w:marLeft w:val="0"/>
              <w:marRight w:val="0"/>
              <w:marTop w:val="0"/>
              <w:marBottom w:val="0"/>
              <w:divBdr>
                <w:top w:val="none" w:sz="0" w:space="0" w:color="auto"/>
                <w:left w:val="none" w:sz="0" w:space="0" w:color="auto"/>
                <w:bottom w:val="none" w:sz="0" w:space="0" w:color="auto"/>
                <w:right w:val="none" w:sz="0" w:space="0" w:color="auto"/>
              </w:divBdr>
            </w:div>
            <w:div w:id="2026007753">
              <w:marLeft w:val="0"/>
              <w:marRight w:val="0"/>
              <w:marTop w:val="0"/>
              <w:marBottom w:val="0"/>
              <w:divBdr>
                <w:top w:val="none" w:sz="0" w:space="0" w:color="auto"/>
                <w:left w:val="none" w:sz="0" w:space="0" w:color="auto"/>
                <w:bottom w:val="none" w:sz="0" w:space="0" w:color="auto"/>
                <w:right w:val="none" w:sz="0" w:space="0" w:color="auto"/>
              </w:divBdr>
            </w:div>
          </w:divsChild>
        </w:div>
        <w:div w:id="1545557851">
          <w:marLeft w:val="0"/>
          <w:marRight w:val="0"/>
          <w:marTop w:val="0"/>
          <w:marBottom w:val="0"/>
          <w:divBdr>
            <w:top w:val="none" w:sz="0" w:space="0" w:color="auto"/>
            <w:left w:val="none" w:sz="0" w:space="0" w:color="auto"/>
            <w:bottom w:val="none" w:sz="0" w:space="0" w:color="auto"/>
            <w:right w:val="none" w:sz="0" w:space="0" w:color="auto"/>
          </w:divBdr>
        </w:div>
        <w:div w:id="1590655718">
          <w:marLeft w:val="0"/>
          <w:marRight w:val="0"/>
          <w:marTop w:val="0"/>
          <w:marBottom w:val="0"/>
          <w:divBdr>
            <w:top w:val="none" w:sz="0" w:space="0" w:color="auto"/>
            <w:left w:val="none" w:sz="0" w:space="0" w:color="auto"/>
            <w:bottom w:val="none" w:sz="0" w:space="0" w:color="auto"/>
            <w:right w:val="none" w:sz="0" w:space="0" w:color="auto"/>
          </w:divBdr>
          <w:divsChild>
            <w:div w:id="91170631">
              <w:marLeft w:val="0"/>
              <w:marRight w:val="0"/>
              <w:marTop w:val="0"/>
              <w:marBottom w:val="0"/>
              <w:divBdr>
                <w:top w:val="none" w:sz="0" w:space="0" w:color="auto"/>
                <w:left w:val="none" w:sz="0" w:space="0" w:color="auto"/>
                <w:bottom w:val="none" w:sz="0" w:space="0" w:color="auto"/>
                <w:right w:val="none" w:sz="0" w:space="0" w:color="auto"/>
              </w:divBdr>
            </w:div>
            <w:div w:id="170797789">
              <w:marLeft w:val="0"/>
              <w:marRight w:val="0"/>
              <w:marTop w:val="0"/>
              <w:marBottom w:val="0"/>
              <w:divBdr>
                <w:top w:val="none" w:sz="0" w:space="0" w:color="auto"/>
                <w:left w:val="none" w:sz="0" w:space="0" w:color="auto"/>
                <w:bottom w:val="none" w:sz="0" w:space="0" w:color="auto"/>
                <w:right w:val="none" w:sz="0" w:space="0" w:color="auto"/>
              </w:divBdr>
            </w:div>
            <w:div w:id="184826046">
              <w:marLeft w:val="0"/>
              <w:marRight w:val="0"/>
              <w:marTop w:val="0"/>
              <w:marBottom w:val="0"/>
              <w:divBdr>
                <w:top w:val="none" w:sz="0" w:space="0" w:color="auto"/>
                <w:left w:val="none" w:sz="0" w:space="0" w:color="auto"/>
                <w:bottom w:val="none" w:sz="0" w:space="0" w:color="auto"/>
                <w:right w:val="none" w:sz="0" w:space="0" w:color="auto"/>
              </w:divBdr>
            </w:div>
            <w:div w:id="561908212">
              <w:marLeft w:val="0"/>
              <w:marRight w:val="0"/>
              <w:marTop w:val="0"/>
              <w:marBottom w:val="0"/>
              <w:divBdr>
                <w:top w:val="none" w:sz="0" w:space="0" w:color="auto"/>
                <w:left w:val="none" w:sz="0" w:space="0" w:color="auto"/>
                <w:bottom w:val="none" w:sz="0" w:space="0" w:color="auto"/>
                <w:right w:val="none" w:sz="0" w:space="0" w:color="auto"/>
              </w:divBdr>
            </w:div>
            <w:div w:id="715009121">
              <w:marLeft w:val="0"/>
              <w:marRight w:val="0"/>
              <w:marTop w:val="0"/>
              <w:marBottom w:val="0"/>
              <w:divBdr>
                <w:top w:val="none" w:sz="0" w:space="0" w:color="auto"/>
                <w:left w:val="none" w:sz="0" w:space="0" w:color="auto"/>
                <w:bottom w:val="none" w:sz="0" w:space="0" w:color="auto"/>
                <w:right w:val="none" w:sz="0" w:space="0" w:color="auto"/>
              </w:divBdr>
            </w:div>
            <w:div w:id="767384718">
              <w:marLeft w:val="0"/>
              <w:marRight w:val="0"/>
              <w:marTop w:val="0"/>
              <w:marBottom w:val="0"/>
              <w:divBdr>
                <w:top w:val="none" w:sz="0" w:space="0" w:color="auto"/>
                <w:left w:val="none" w:sz="0" w:space="0" w:color="auto"/>
                <w:bottom w:val="none" w:sz="0" w:space="0" w:color="auto"/>
                <w:right w:val="none" w:sz="0" w:space="0" w:color="auto"/>
              </w:divBdr>
            </w:div>
            <w:div w:id="927730873">
              <w:marLeft w:val="0"/>
              <w:marRight w:val="0"/>
              <w:marTop w:val="0"/>
              <w:marBottom w:val="0"/>
              <w:divBdr>
                <w:top w:val="none" w:sz="0" w:space="0" w:color="auto"/>
                <w:left w:val="none" w:sz="0" w:space="0" w:color="auto"/>
                <w:bottom w:val="none" w:sz="0" w:space="0" w:color="auto"/>
                <w:right w:val="none" w:sz="0" w:space="0" w:color="auto"/>
              </w:divBdr>
            </w:div>
            <w:div w:id="1031347755">
              <w:marLeft w:val="0"/>
              <w:marRight w:val="0"/>
              <w:marTop w:val="0"/>
              <w:marBottom w:val="0"/>
              <w:divBdr>
                <w:top w:val="none" w:sz="0" w:space="0" w:color="auto"/>
                <w:left w:val="none" w:sz="0" w:space="0" w:color="auto"/>
                <w:bottom w:val="none" w:sz="0" w:space="0" w:color="auto"/>
                <w:right w:val="none" w:sz="0" w:space="0" w:color="auto"/>
              </w:divBdr>
            </w:div>
            <w:div w:id="1129320972">
              <w:marLeft w:val="0"/>
              <w:marRight w:val="0"/>
              <w:marTop w:val="0"/>
              <w:marBottom w:val="0"/>
              <w:divBdr>
                <w:top w:val="none" w:sz="0" w:space="0" w:color="auto"/>
                <w:left w:val="none" w:sz="0" w:space="0" w:color="auto"/>
                <w:bottom w:val="none" w:sz="0" w:space="0" w:color="auto"/>
                <w:right w:val="none" w:sz="0" w:space="0" w:color="auto"/>
              </w:divBdr>
            </w:div>
            <w:div w:id="1159004841">
              <w:marLeft w:val="0"/>
              <w:marRight w:val="0"/>
              <w:marTop w:val="0"/>
              <w:marBottom w:val="0"/>
              <w:divBdr>
                <w:top w:val="none" w:sz="0" w:space="0" w:color="auto"/>
                <w:left w:val="none" w:sz="0" w:space="0" w:color="auto"/>
                <w:bottom w:val="none" w:sz="0" w:space="0" w:color="auto"/>
                <w:right w:val="none" w:sz="0" w:space="0" w:color="auto"/>
              </w:divBdr>
            </w:div>
            <w:div w:id="1166869249">
              <w:marLeft w:val="0"/>
              <w:marRight w:val="0"/>
              <w:marTop w:val="0"/>
              <w:marBottom w:val="0"/>
              <w:divBdr>
                <w:top w:val="none" w:sz="0" w:space="0" w:color="auto"/>
                <w:left w:val="none" w:sz="0" w:space="0" w:color="auto"/>
                <w:bottom w:val="none" w:sz="0" w:space="0" w:color="auto"/>
                <w:right w:val="none" w:sz="0" w:space="0" w:color="auto"/>
              </w:divBdr>
            </w:div>
            <w:div w:id="1168599072">
              <w:marLeft w:val="0"/>
              <w:marRight w:val="0"/>
              <w:marTop w:val="0"/>
              <w:marBottom w:val="0"/>
              <w:divBdr>
                <w:top w:val="none" w:sz="0" w:space="0" w:color="auto"/>
                <w:left w:val="none" w:sz="0" w:space="0" w:color="auto"/>
                <w:bottom w:val="none" w:sz="0" w:space="0" w:color="auto"/>
                <w:right w:val="none" w:sz="0" w:space="0" w:color="auto"/>
              </w:divBdr>
            </w:div>
            <w:div w:id="1172449063">
              <w:marLeft w:val="0"/>
              <w:marRight w:val="0"/>
              <w:marTop w:val="0"/>
              <w:marBottom w:val="0"/>
              <w:divBdr>
                <w:top w:val="none" w:sz="0" w:space="0" w:color="auto"/>
                <w:left w:val="none" w:sz="0" w:space="0" w:color="auto"/>
                <w:bottom w:val="none" w:sz="0" w:space="0" w:color="auto"/>
                <w:right w:val="none" w:sz="0" w:space="0" w:color="auto"/>
              </w:divBdr>
            </w:div>
            <w:div w:id="1494494846">
              <w:marLeft w:val="0"/>
              <w:marRight w:val="0"/>
              <w:marTop w:val="0"/>
              <w:marBottom w:val="0"/>
              <w:divBdr>
                <w:top w:val="none" w:sz="0" w:space="0" w:color="auto"/>
                <w:left w:val="none" w:sz="0" w:space="0" w:color="auto"/>
                <w:bottom w:val="none" w:sz="0" w:space="0" w:color="auto"/>
                <w:right w:val="none" w:sz="0" w:space="0" w:color="auto"/>
              </w:divBdr>
            </w:div>
            <w:div w:id="1552770454">
              <w:marLeft w:val="0"/>
              <w:marRight w:val="0"/>
              <w:marTop w:val="0"/>
              <w:marBottom w:val="0"/>
              <w:divBdr>
                <w:top w:val="none" w:sz="0" w:space="0" w:color="auto"/>
                <w:left w:val="none" w:sz="0" w:space="0" w:color="auto"/>
                <w:bottom w:val="none" w:sz="0" w:space="0" w:color="auto"/>
                <w:right w:val="none" w:sz="0" w:space="0" w:color="auto"/>
              </w:divBdr>
            </w:div>
            <w:div w:id="1748961711">
              <w:marLeft w:val="0"/>
              <w:marRight w:val="0"/>
              <w:marTop w:val="0"/>
              <w:marBottom w:val="0"/>
              <w:divBdr>
                <w:top w:val="none" w:sz="0" w:space="0" w:color="auto"/>
                <w:left w:val="none" w:sz="0" w:space="0" w:color="auto"/>
                <w:bottom w:val="none" w:sz="0" w:space="0" w:color="auto"/>
                <w:right w:val="none" w:sz="0" w:space="0" w:color="auto"/>
              </w:divBdr>
            </w:div>
            <w:div w:id="1863589351">
              <w:marLeft w:val="0"/>
              <w:marRight w:val="0"/>
              <w:marTop w:val="0"/>
              <w:marBottom w:val="0"/>
              <w:divBdr>
                <w:top w:val="none" w:sz="0" w:space="0" w:color="auto"/>
                <w:left w:val="none" w:sz="0" w:space="0" w:color="auto"/>
                <w:bottom w:val="none" w:sz="0" w:space="0" w:color="auto"/>
                <w:right w:val="none" w:sz="0" w:space="0" w:color="auto"/>
              </w:divBdr>
            </w:div>
            <w:div w:id="2039424593">
              <w:marLeft w:val="0"/>
              <w:marRight w:val="0"/>
              <w:marTop w:val="0"/>
              <w:marBottom w:val="0"/>
              <w:divBdr>
                <w:top w:val="none" w:sz="0" w:space="0" w:color="auto"/>
                <w:left w:val="none" w:sz="0" w:space="0" w:color="auto"/>
                <w:bottom w:val="none" w:sz="0" w:space="0" w:color="auto"/>
                <w:right w:val="none" w:sz="0" w:space="0" w:color="auto"/>
              </w:divBdr>
            </w:div>
            <w:div w:id="2060669849">
              <w:marLeft w:val="0"/>
              <w:marRight w:val="0"/>
              <w:marTop w:val="0"/>
              <w:marBottom w:val="0"/>
              <w:divBdr>
                <w:top w:val="none" w:sz="0" w:space="0" w:color="auto"/>
                <w:left w:val="none" w:sz="0" w:space="0" w:color="auto"/>
                <w:bottom w:val="none" w:sz="0" w:space="0" w:color="auto"/>
                <w:right w:val="none" w:sz="0" w:space="0" w:color="auto"/>
              </w:divBdr>
            </w:div>
            <w:div w:id="2125073277">
              <w:marLeft w:val="0"/>
              <w:marRight w:val="0"/>
              <w:marTop w:val="0"/>
              <w:marBottom w:val="0"/>
              <w:divBdr>
                <w:top w:val="none" w:sz="0" w:space="0" w:color="auto"/>
                <w:left w:val="none" w:sz="0" w:space="0" w:color="auto"/>
                <w:bottom w:val="none" w:sz="0" w:space="0" w:color="auto"/>
                <w:right w:val="none" w:sz="0" w:space="0" w:color="auto"/>
              </w:divBdr>
            </w:div>
          </w:divsChild>
        </w:div>
        <w:div w:id="1669017432">
          <w:marLeft w:val="0"/>
          <w:marRight w:val="0"/>
          <w:marTop w:val="0"/>
          <w:marBottom w:val="0"/>
          <w:divBdr>
            <w:top w:val="none" w:sz="0" w:space="0" w:color="auto"/>
            <w:left w:val="none" w:sz="0" w:space="0" w:color="auto"/>
            <w:bottom w:val="none" w:sz="0" w:space="0" w:color="auto"/>
            <w:right w:val="none" w:sz="0" w:space="0" w:color="auto"/>
          </w:divBdr>
        </w:div>
        <w:div w:id="2132628900">
          <w:marLeft w:val="0"/>
          <w:marRight w:val="0"/>
          <w:marTop w:val="0"/>
          <w:marBottom w:val="0"/>
          <w:divBdr>
            <w:top w:val="none" w:sz="0" w:space="0" w:color="auto"/>
            <w:left w:val="none" w:sz="0" w:space="0" w:color="auto"/>
            <w:bottom w:val="none" w:sz="0" w:space="0" w:color="auto"/>
            <w:right w:val="none" w:sz="0" w:space="0" w:color="auto"/>
          </w:divBdr>
          <w:divsChild>
            <w:div w:id="374431139">
              <w:marLeft w:val="0"/>
              <w:marRight w:val="0"/>
              <w:marTop w:val="0"/>
              <w:marBottom w:val="0"/>
              <w:divBdr>
                <w:top w:val="none" w:sz="0" w:space="0" w:color="auto"/>
                <w:left w:val="none" w:sz="0" w:space="0" w:color="auto"/>
                <w:bottom w:val="none" w:sz="0" w:space="0" w:color="auto"/>
                <w:right w:val="none" w:sz="0" w:space="0" w:color="auto"/>
              </w:divBdr>
            </w:div>
            <w:div w:id="492255469">
              <w:marLeft w:val="0"/>
              <w:marRight w:val="0"/>
              <w:marTop w:val="0"/>
              <w:marBottom w:val="0"/>
              <w:divBdr>
                <w:top w:val="none" w:sz="0" w:space="0" w:color="auto"/>
                <w:left w:val="none" w:sz="0" w:space="0" w:color="auto"/>
                <w:bottom w:val="none" w:sz="0" w:space="0" w:color="auto"/>
                <w:right w:val="none" w:sz="0" w:space="0" w:color="auto"/>
              </w:divBdr>
            </w:div>
            <w:div w:id="555625274">
              <w:marLeft w:val="0"/>
              <w:marRight w:val="0"/>
              <w:marTop w:val="0"/>
              <w:marBottom w:val="0"/>
              <w:divBdr>
                <w:top w:val="none" w:sz="0" w:space="0" w:color="auto"/>
                <w:left w:val="none" w:sz="0" w:space="0" w:color="auto"/>
                <w:bottom w:val="none" w:sz="0" w:space="0" w:color="auto"/>
                <w:right w:val="none" w:sz="0" w:space="0" w:color="auto"/>
              </w:divBdr>
            </w:div>
            <w:div w:id="775827749">
              <w:marLeft w:val="0"/>
              <w:marRight w:val="0"/>
              <w:marTop w:val="0"/>
              <w:marBottom w:val="0"/>
              <w:divBdr>
                <w:top w:val="none" w:sz="0" w:space="0" w:color="auto"/>
                <w:left w:val="none" w:sz="0" w:space="0" w:color="auto"/>
                <w:bottom w:val="none" w:sz="0" w:space="0" w:color="auto"/>
                <w:right w:val="none" w:sz="0" w:space="0" w:color="auto"/>
              </w:divBdr>
            </w:div>
            <w:div w:id="790591037">
              <w:marLeft w:val="0"/>
              <w:marRight w:val="0"/>
              <w:marTop w:val="0"/>
              <w:marBottom w:val="0"/>
              <w:divBdr>
                <w:top w:val="none" w:sz="0" w:space="0" w:color="auto"/>
                <w:left w:val="none" w:sz="0" w:space="0" w:color="auto"/>
                <w:bottom w:val="none" w:sz="0" w:space="0" w:color="auto"/>
                <w:right w:val="none" w:sz="0" w:space="0" w:color="auto"/>
              </w:divBdr>
            </w:div>
            <w:div w:id="1015111645">
              <w:marLeft w:val="0"/>
              <w:marRight w:val="0"/>
              <w:marTop w:val="0"/>
              <w:marBottom w:val="0"/>
              <w:divBdr>
                <w:top w:val="none" w:sz="0" w:space="0" w:color="auto"/>
                <w:left w:val="none" w:sz="0" w:space="0" w:color="auto"/>
                <w:bottom w:val="none" w:sz="0" w:space="0" w:color="auto"/>
                <w:right w:val="none" w:sz="0" w:space="0" w:color="auto"/>
              </w:divBdr>
            </w:div>
            <w:div w:id="1056047898">
              <w:marLeft w:val="0"/>
              <w:marRight w:val="0"/>
              <w:marTop w:val="0"/>
              <w:marBottom w:val="0"/>
              <w:divBdr>
                <w:top w:val="none" w:sz="0" w:space="0" w:color="auto"/>
                <w:left w:val="none" w:sz="0" w:space="0" w:color="auto"/>
                <w:bottom w:val="none" w:sz="0" w:space="0" w:color="auto"/>
                <w:right w:val="none" w:sz="0" w:space="0" w:color="auto"/>
              </w:divBdr>
            </w:div>
            <w:div w:id="1087732700">
              <w:marLeft w:val="0"/>
              <w:marRight w:val="0"/>
              <w:marTop w:val="0"/>
              <w:marBottom w:val="0"/>
              <w:divBdr>
                <w:top w:val="none" w:sz="0" w:space="0" w:color="auto"/>
                <w:left w:val="none" w:sz="0" w:space="0" w:color="auto"/>
                <w:bottom w:val="none" w:sz="0" w:space="0" w:color="auto"/>
                <w:right w:val="none" w:sz="0" w:space="0" w:color="auto"/>
              </w:divBdr>
            </w:div>
            <w:div w:id="1181703906">
              <w:marLeft w:val="0"/>
              <w:marRight w:val="0"/>
              <w:marTop w:val="0"/>
              <w:marBottom w:val="0"/>
              <w:divBdr>
                <w:top w:val="none" w:sz="0" w:space="0" w:color="auto"/>
                <w:left w:val="none" w:sz="0" w:space="0" w:color="auto"/>
                <w:bottom w:val="none" w:sz="0" w:space="0" w:color="auto"/>
                <w:right w:val="none" w:sz="0" w:space="0" w:color="auto"/>
              </w:divBdr>
            </w:div>
            <w:div w:id="1218512395">
              <w:marLeft w:val="0"/>
              <w:marRight w:val="0"/>
              <w:marTop w:val="0"/>
              <w:marBottom w:val="0"/>
              <w:divBdr>
                <w:top w:val="none" w:sz="0" w:space="0" w:color="auto"/>
                <w:left w:val="none" w:sz="0" w:space="0" w:color="auto"/>
                <w:bottom w:val="none" w:sz="0" w:space="0" w:color="auto"/>
                <w:right w:val="none" w:sz="0" w:space="0" w:color="auto"/>
              </w:divBdr>
            </w:div>
            <w:div w:id="1437947579">
              <w:marLeft w:val="0"/>
              <w:marRight w:val="0"/>
              <w:marTop w:val="0"/>
              <w:marBottom w:val="0"/>
              <w:divBdr>
                <w:top w:val="none" w:sz="0" w:space="0" w:color="auto"/>
                <w:left w:val="none" w:sz="0" w:space="0" w:color="auto"/>
                <w:bottom w:val="none" w:sz="0" w:space="0" w:color="auto"/>
                <w:right w:val="none" w:sz="0" w:space="0" w:color="auto"/>
              </w:divBdr>
            </w:div>
            <w:div w:id="1466970810">
              <w:marLeft w:val="0"/>
              <w:marRight w:val="0"/>
              <w:marTop w:val="0"/>
              <w:marBottom w:val="0"/>
              <w:divBdr>
                <w:top w:val="none" w:sz="0" w:space="0" w:color="auto"/>
                <w:left w:val="none" w:sz="0" w:space="0" w:color="auto"/>
                <w:bottom w:val="none" w:sz="0" w:space="0" w:color="auto"/>
                <w:right w:val="none" w:sz="0" w:space="0" w:color="auto"/>
              </w:divBdr>
            </w:div>
            <w:div w:id="1483111018">
              <w:marLeft w:val="0"/>
              <w:marRight w:val="0"/>
              <w:marTop w:val="0"/>
              <w:marBottom w:val="0"/>
              <w:divBdr>
                <w:top w:val="none" w:sz="0" w:space="0" w:color="auto"/>
                <w:left w:val="none" w:sz="0" w:space="0" w:color="auto"/>
                <w:bottom w:val="none" w:sz="0" w:space="0" w:color="auto"/>
                <w:right w:val="none" w:sz="0" w:space="0" w:color="auto"/>
              </w:divBdr>
            </w:div>
            <w:div w:id="1572501001">
              <w:marLeft w:val="0"/>
              <w:marRight w:val="0"/>
              <w:marTop w:val="0"/>
              <w:marBottom w:val="0"/>
              <w:divBdr>
                <w:top w:val="none" w:sz="0" w:space="0" w:color="auto"/>
                <w:left w:val="none" w:sz="0" w:space="0" w:color="auto"/>
                <w:bottom w:val="none" w:sz="0" w:space="0" w:color="auto"/>
                <w:right w:val="none" w:sz="0" w:space="0" w:color="auto"/>
              </w:divBdr>
            </w:div>
            <w:div w:id="1776293314">
              <w:marLeft w:val="0"/>
              <w:marRight w:val="0"/>
              <w:marTop w:val="0"/>
              <w:marBottom w:val="0"/>
              <w:divBdr>
                <w:top w:val="none" w:sz="0" w:space="0" w:color="auto"/>
                <w:left w:val="none" w:sz="0" w:space="0" w:color="auto"/>
                <w:bottom w:val="none" w:sz="0" w:space="0" w:color="auto"/>
                <w:right w:val="none" w:sz="0" w:space="0" w:color="auto"/>
              </w:divBdr>
            </w:div>
            <w:div w:id="1788740012">
              <w:marLeft w:val="0"/>
              <w:marRight w:val="0"/>
              <w:marTop w:val="0"/>
              <w:marBottom w:val="0"/>
              <w:divBdr>
                <w:top w:val="none" w:sz="0" w:space="0" w:color="auto"/>
                <w:left w:val="none" w:sz="0" w:space="0" w:color="auto"/>
                <w:bottom w:val="none" w:sz="0" w:space="0" w:color="auto"/>
                <w:right w:val="none" w:sz="0" w:space="0" w:color="auto"/>
              </w:divBdr>
            </w:div>
            <w:div w:id="1894735220">
              <w:marLeft w:val="0"/>
              <w:marRight w:val="0"/>
              <w:marTop w:val="0"/>
              <w:marBottom w:val="0"/>
              <w:divBdr>
                <w:top w:val="none" w:sz="0" w:space="0" w:color="auto"/>
                <w:left w:val="none" w:sz="0" w:space="0" w:color="auto"/>
                <w:bottom w:val="none" w:sz="0" w:space="0" w:color="auto"/>
                <w:right w:val="none" w:sz="0" w:space="0" w:color="auto"/>
              </w:divBdr>
            </w:div>
            <w:div w:id="1925187503">
              <w:marLeft w:val="0"/>
              <w:marRight w:val="0"/>
              <w:marTop w:val="0"/>
              <w:marBottom w:val="0"/>
              <w:divBdr>
                <w:top w:val="none" w:sz="0" w:space="0" w:color="auto"/>
                <w:left w:val="none" w:sz="0" w:space="0" w:color="auto"/>
                <w:bottom w:val="none" w:sz="0" w:space="0" w:color="auto"/>
                <w:right w:val="none" w:sz="0" w:space="0" w:color="auto"/>
              </w:divBdr>
            </w:div>
            <w:div w:id="1991473265">
              <w:marLeft w:val="0"/>
              <w:marRight w:val="0"/>
              <w:marTop w:val="0"/>
              <w:marBottom w:val="0"/>
              <w:divBdr>
                <w:top w:val="none" w:sz="0" w:space="0" w:color="auto"/>
                <w:left w:val="none" w:sz="0" w:space="0" w:color="auto"/>
                <w:bottom w:val="none" w:sz="0" w:space="0" w:color="auto"/>
                <w:right w:val="none" w:sz="0" w:space="0" w:color="auto"/>
              </w:divBdr>
            </w:div>
            <w:div w:id="207041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08140">
      <w:bodyDiv w:val="1"/>
      <w:marLeft w:val="0"/>
      <w:marRight w:val="0"/>
      <w:marTop w:val="0"/>
      <w:marBottom w:val="0"/>
      <w:divBdr>
        <w:top w:val="none" w:sz="0" w:space="0" w:color="auto"/>
        <w:left w:val="none" w:sz="0" w:space="0" w:color="auto"/>
        <w:bottom w:val="none" w:sz="0" w:space="0" w:color="auto"/>
        <w:right w:val="none" w:sz="0" w:space="0" w:color="auto"/>
      </w:divBdr>
      <w:divsChild>
        <w:div w:id="979722683">
          <w:marLeft w:val="0"/>
          <w:marRight w:val="0"/>
          <w:marTop w:val="0"/>
          <w:marBottom w:val="0"/>
          <w:divBdr>
            <w:top w:val="none" w:sz="0" w:space="0" w:color="auto"/>
            <w:left w:val="none" w:sz="0" w:space="0" w:color="auto"/>
            <w:bottom w:val="none" w:sz="0" w:space="0" w:color="auto"/>
            <w:right w:val="none" w:sz="0" w:space="0" w:color="auto"/>
          </w:divBdr>
          <w:divsChild>
            <w:div w:id="12729653">
              <w:marLeft w:val="0"/>
              <w:marRight w:val="0"/>
              <w:marTop w:val="0"/>
              <w:marBottom w:val="0"/>
              <w:divBdr>
                <w:top w:val="none" w:sz="0" w:space="0" w:color="auto"/>
                <w:left w:val="none" w:sz="0" w:space="0" w:color="auto"/>
                <w:bottom w:val="none" w:sz="0" w:space="0" w:color="auto"/>
                <w:right w:val="none" w:sz="0" w:space="0" w:color="auto"/>
              </w:divBdr>
            </w:div>
            <w:div w:id="335040007">
              <w:marLeft w:val="0"/>
              <w:marRight w:val="0"/>
              <w:marTop w:val="0"/>
              <w:marBottom w:val="0"/>
              <w:divBdr>
                <w:top w:val="none" w:sz="0" w:space="0" w:color="auto"/>
                <w:left w:val="none" w:sz="0" w:space="0" w:color="auto"/>
                <w:bottom w:val="none" w:sz="0" w:space="0" w:color="auto"/>
                <w:right w:val="none" w:sz="0" w:space="0" w:color="auto"/>
              </w:divBdr>
            </w:div>
            <w:div w:id="346636227">
              <w:marLeft w:val="0"/>
              <w:marRight w:val="0"/>
              <w:marTop w:val="0"/>
              <w:marBottom w:val="0"/>
              <w:divBdr>
                <w:top w:val="none" w:sz="0" w:space="0" w:color="auto"/>
                <w:left w:val="none" w:sz="0" w:space="0" w:color="auto"/>
                <w:bottom w:val="none" w:sz="0" w:space="0" w:color="auto"/>
                <w:right w:val="none" w:sz="0" w:space="0" w:color="auto"/>
              </w:divBdr>
            </w:div>
            <w:div w:id="505677763">
              <w:marLeft w:val="0"/>
              <w:marRight w:val="0"/>
              <w:marTop w:val="0"/>
              <w:marBottom w:val="0"/>
              <w:divBdr>
                <w:top w:val="none" w:sz="0" w:space="0" w:color="auto"/>
                <w:left w:val="none" w:sz="0" w:space="0" w:color="auto"/>
                <w:bottom w:val="none" w:sz="0" w:space="0" w:color="auto"/>
                <w:right w:val="none" w:sz="0" w:space="0" w:color="auto"/>
              </w:divBdr>
            </w:div>
            <w:div w:id="594678638">
              <w:marLeft w:val="0"/>
              <w:marRight w:val="0"/>
              <w:marTop w:val="0"/>
              <w:marBottom w:val="0"/>
              <w:divBdr>
                <w:top w:val="none" w:sz="0" w:space="0" w:color="auto"/>
                <w:left w:val="none" w:sz="0" w:space="0" w:color="auto"/>
                <w:bottom w:val="none" w:sz="0" w:space="0" w:color="auto"/>
                <w:right w:val="none" w:sz="0" w:space="0" w:color="auto"/>
              </w:divBdr>
            </w:div>
            <w:div w:id="609509040">
              <w:marLeft w:val="0"/>
              <w:marRight w:val="0"/>
              <w:marTop w:val="0"/>
              <w:marBottom w:val="0"/>
              <w:divBdr>
                <w:top w:val="none" w:sz="0" w:space="0" w:color="auto"/>
                <w:left w:val="none" w:sz="0" w:space="0" w:color="auto"/>
                <w:bottom w:val="none" w:sz="0" w:space="0" w:color="auto"/>
                <w:right w:val="none" w:sz="0" w:space="0" w:color="auto"/>
              </w:divBdr>
            </w:div>
            <w:div w:id="611519866">
              <w:marLeft w:val="0"/>
              <w:marRight w:val="0"/>
              <w:marTop w:val="0"/>
              <w:marBottom w:val="0"/>
              <w:divBdr>
                <w:top w:val="none" w:sz="0" w:space="0" w:color="auto"/>
                <w:left w:val="none" w:sz="0" w:space="0" w:color="auto"/>
                <w:bottom w:val="none" w:sz="0" w:space="0" w:color="auto"/>
                <w:right w:val="none" w:sz="0" w:space="0" w:color="auto"/>
              </w:divBdr>
            </w:div>
            <w:div w:id="614797899">
              <w:marLeft w:val="0"/>
              <w:marRight w:val="0"/>
              <w:marTop w:val="0"/>
              <w:marBottom w:val="0"/>
              <w:divBdr>
                <w:top w:val="none" w:sz="0" w:space="0" w:color="auto"/>
                <w:left w:val="none" w:sz="0" w:space="0" w:color="auto"/>
                <w:bottom w:val="none" w:sz="0" w:space="0" w:color="auto"/>
                <w:right w:val="none" w:sz="0" w:space="0" w:color="auto"/>
              </w:divBdr>
            </w:div>
            <w:div w:id="1002858800">
              <w:marLeft w:val="0"/>
              <w:marRight w:val="0"/>
              <w:marTop w:val="0"/>
              <w:marBottom w:val="0"/>
              <w:divBdr>
                <w:top w:val="none" w:sz="0" w:space="0" w:color="auto"/>
                <w:left w:val="none" w:sz="0" w:space="0" w:color="auto"/>
                <w:bottom w:val="none" w:sz="0" w:space="0" w:color="auto"/>
                <w:right w:val="none" w:sz="0" w:space="0" w:color="auto"/>
              </w:divBdr>
            </w:div>
            <w:div w:id="1027218554">
              <w:marLeft w:val="0"/>
              <w:marRight w:val="0"/>
              <w:marTop w:val="0"/>
              <w:marBottom w:val="0"/>
              <w:divBdr>
                <w:top w:val="none" w:sz="0" w:space="0" w:color="auto"/>
                <w:left w:val="none" w:sz="0" w:space="0" w:color="auto"/>
                <w:bottom w:val="none" w:sz="0" w:space="0" w:color="auto"/>
                <w:right w:val="none" w:sz="0" w:space="0" w:color="auto"/>
              </w:divBdr>
            </w:div>
            <w:div w:id="1168902652">
              <w:marLeft w:val="0"/>
              <w:marRight w:val="0"/>
              <w:marTop w:val="0"/>
              <w:marBottom w:val="0"/>
              <w:divBdr>
                <w:top w:val="none" w:sz="0" w:space="0" w:color="auto"/>
                <w:left w:val="none" w:sz="0" w:space="0" w:color="auto"/>
                <w:bottom w:val="none" w:sz="0" w:space="0" w:color="auto"/>
                <w:right w:val="none" w:sz="0" w:space="0" w:color="auto"/>
              </w:divBdr>
            </w:div>
            <w:div w:id="1276330103">
              <w:marLeft w:val="0"/>
              <w:marRight w:val="0"/>
              <w:marTop w:val="0"/>
              <w:marBottom w:val="0"/>
              <w:divBdr>
                <w:top w:val="none" w:sz="0" w:space="0" w:color="auto"/>
                <w:left w:val="none" w:sz="0" w:space="0" w:color="auto"/>
                <w:bottom w:val="none" w:sz="0" w:space="0" w:color="auto"/>
                <w:right w:val="none" w:sz="0" w:space="0" w:color="auto"/>
              </w:divBdr>
            </w:div>
            <w:div w:id="1559976125">
              <w:marLeft w:val="0"/>
              <w:marRight w:val="0"/>
              <w:marTop w:val="0"/>
              <w:marBottom w:val="0"/>
              <w:divBdr>
                <w:top w:val="none" w:sz="0" w:space="0" w:color="auto"/>
                <w:left w:val="none" w:sz="0" w:space="0" w:color="auto"/>
                <w:bottom w:val="none" w:sz="0" w:space="0" w:color="auto"/>
                <w:right w:val="none" w:sz="0" w:space="0" w:color="auto"/>
              </w:divBdr>
            </w:div>
            <w:div w:id="1748188862">
              <w:marLeft w:val="0"/>
              <w:marRight w:val="0"/>
              <w:marTop w:val="0"/>
              <w:marBottom w:val="0"/>
              <w:divBdr>
                <w:top w:val="none" w:sz="0" w:space="0" w:color="auto"/>
                <w:left w:val="none" w:sz="0" w:space="0" w:color="auto"/>
                <w:bottom w:val="none" w:sz="0" w:space="0" w:color="auto"/>
                <w:right w:val="none" w:sz="0" w:space="0" w:color="auto"/>
              </w:divBdr>
            </w:div>
            <w:div w:id="1859394184">
              <w:marLeft w:val="0"/>
              <w:marRight w:val="0"/>
              <w:marTop w:val="0"/>
              <w:marBottom w:val="0"/>
              <w:divBdr>
                <w:top w:val="none" w:sz="0" w:space="0" w:color="auto"/>
                <w:left w:val="none" w:sz="0" w:space="0" w:color="auto"/>
                <w:bottom w:val="none" w:sz="0" w:space="0" w:color="auto"/>
                <w:right w:val="none" w:sz="0" w:space="0" w:color="auto"/>
              </w:divBdr>
            </w:div>
            <w:div w:id="1871607402">
              <w:marLeft w:val="0"/>
              <w:marRight w:val="0"/>
              <w:marTop w:val="0"/>
              <w:marBottom w:val="0"/>
              <w:divBdr>
                <w:top w:val="none" w:sz="0" w:space="0" w:color="auto"/>
                <w:left w:val="none" w:sz="0" w:space="0" w:color="auto"/>
                <w:bottom w:val="none" w:sz="0" w:space="0" w:color="auto"/>
                <w:right w:val="none" w:sz="0" w:space="0" w:color="auto"/>
              </w:divBdr>
            </w:div>
            <w:div w:id="1972400022">
              <w:marLeft w:val="0"/>
              <w:marRight w:val="0"/>
              <w:marTop w:val="0"/>
              <w:marBottom w:val="0"/>
              <w:divBdr>
                <w:top w:val="none" w:sz="0" w:space="0" w:color="auto"/>
                <w:left w:val="none" w:sz="0" w:space="0" w:color="auto"/>
                <w:bottom w:val="none" w:sz="0" w:space="0" w:color="auto"/>
                <w:right w:val="none" w:sz="0" w:space="0" w:color="auto"/>
              </w:divBdr>
            </w:div>
            <w:div w:id="2020814531">
              <w:marLeft w:val="0"/>
              <w:marRight w:val="0"/>
              <w:marTop w:val="0"/>
              <w:marBottom w:val="0"/>
              <w:divBdr>
                <w:top w:val="none" w:sz="0" w:space="0" w:color="auto"/>
                <w:left w:val="none" w:sz="0" w:space="0" w:color="auto"/>
                <w:bottom w:val="none" w:sz="0" w:space="0" w:color="auto"/>
                <w:right w:val="none" w:sz="0" w:space="0" w:color="auto"/>
              </w:divBdr>
            </w:div>
            <w:div w:id="2054234390">
              <w:marLeft w:val="0"/>
              <w:marRight w:val="0"/>
              <w:marTop w:val="0"/>
              <w:marBottom w:val="0"/>
              <w:divBdr>
                <w:top w:val="none" w:sz="0" w:space="0" w:color="auto"/>
                <w:left w:val="none" w:sz="0" w:space="0" w:color="auto"/>
                <w:bottom w:val="none" w:sz="0" w:space="0" w:color="auto"/>
                <w:right w:val="none" w:sz="0" w:space="0" w:color="auto"/>
              </w:divBdr>
            </w:div>
            <w:div w:id="2069181255">
              <w:marLeft w:val="0"/>
              <w:marRight w:val="0"/>
              <w:marTop w:val="0"/>
              <w:marBottom w:val="0"/>
              <w:divBdr>
                <w:top w:val="none" w:sz="0" w:space="0" w:color="auto"/>
                <w:left w:val="none" w:sz="0" w:space="0" w:color="auto"/>
                <w:bottom w:val="none" w:sz="0" w:space="0" w:color="auto"/>
                <w:right w:val="none" w:sz="0" w:space="0" w:color="auto"/>
              </w:divBdr>
            </w:div>
          </w:divsChild>
        </w:div>
        <w:div w:id="1494176178">
          <w:marLeft w:val="0"/>
          <w:marRight w:val="0"/>
          <w:marTop w:val="0"/>
          <w:marBottom w:val="0"/>
          <w:divBdr>
            <w:top w:val="none" w:sz="0" w:space="0" w:color="auto"/>
            <w:left w:val="none" w:sz="0" w:space="0" w:color="auto"/>
            <w:bottom w:val="none" w:sz="0" w:space="0" w:color="auto"/>
            <w:right w:val="none" w:sz="0" w:space="0" w:color="auto"/>
          </w:divBdr>
          <w:divsChild>
            <w:div w:id="207035963">
              <w:marLeft w:val="0"/>
              <w:marRight w:val="0"/>
              <w:marTop w:val="0"/>
              <w:marBottom w:val="0"/>
              <w:divBdr>
                <w:top w:val="none" w:sz="0" w:space="0" w:color="auto"/>
                <w:left w:val="none" w:sz="0" w:space="0" w:color="auto"/>
                <w:bottom w:val="none" w:sz="0" w:space="0" w:color="auto"/>
                <w:right w:val="none" w:sz="0" w:space="0" w:color="auto"/>
              </w:divBdr>
            </w:div>
            <w:div w:id="215363379">
              <w:marLeft w:val="0"/>
              <w:marRight w:val="0"/>
              <w:marTop w:val="0"/>
              <w:marBottom w:val="0"/>
              <w:divBdr>
                <w:top w:val="none" w:sz="0" w:space="0" w:color="auto"/>
                <w:left w:val="none" w:sz="0" w:space="0" w:color="auto"/>
                <w:bottom w:val="none" w:sz="0" w:space="0" w:color="auto"/>
                <w:right w:val="none" w:sz="0" w:space="0" w:color="auto"/>
              </w:divBdr>
            </w:div>
            <w:div w:id="348878075">
              <w:marLeft w:val="0"/>
              <w:marRight w:val="0"/>
              <w:marTop w:val="0"/>
              <w:marBottom w:val="0"/>
              <w:divBdr>
                <w:top w:val="none" w:sz="0" w:space="0" w:color="auto"/>
                <w:left w:val="none" w:sz="0" w:space="0" w:color="auto"/>
                <w:bottom w:val="none" w:sz="0" w:space="0" w:color="auto"/>
                <w:right w:val="none" w:sz="0" w:space="0" w:color="auto"/>
              </w:divBdr>
            </w:div>
            <w:div w:id="438529462">
              <w:marLeft w:val="0"/>
              <w:marRight w:val="0"/>
              <w:marTop w:val="0"/>
              <w:marBottom w:val="0"/>
              <w:divBdr>
                <w:top w:val="none" w:sz="0" w:space="0" w:color="auto"/>
                <w:left w:val="none" w:sz="0" w:space="0" w:color="auto"/>
                <w:bottom w:val="none" w:sz="0" w:space="0" w:color="auto"/>
                <w:right w:val="none" w:sz="0" w:space="0" w:color="auto"/>
              </w:divBdr>
            </w:div>
            <w:div w:id="514195663">
              <w:marLeft w:val="0"/>
              <w:marRight w:val="0"/>
              <w:marTop w:val="0"/>
              <w:marBottom w:val="0"/>
              <w:divBdr>
                <w:top w:val="none" w:sz="0" w:space="0" w:color="auto"/>
                <w:left w:val="none" w:sz="0" w:space="0" w:color="auto"/>
                <w:bottom w:val="none" w:sz="0" w:space="0" w:color="auto"/>
                <w:right w:val="none" w:sz="0" w:space="0" w:color="auto"/>
              </w:divBdr>
            </w:div>
            <w:div w:id="535241196">
              <w:marLeft w:val="0"/>
              <w:marRight w:val="0"/>
              <w:marTop w:val="0"/>
              <w:marBottom w:val="0"/>
              <w:divBdr>
                <w:top w:val="none" w:sz="0" w:space="0" w:color="auto"/>
                <w:left w:val="none" w:sz="0" w:space="0" w:color="auto"/>
                <w:bottom w:val="none" w:sz="0" w:space="0" w:color="auto"/>
                <w:right w:val="none" w:sz="0" w:space="0" w:color="auto"/>
              </w:divBdr>
            </w:div>
            <w:div w:id="546600513">
              <w:marLeft w:val="0"/>
              <w:marRight w:val="0"/>
              <w:marTop w:val="0"/>
              <w:marBottom w:val="0"/>
              <w:divBdr>
                <w:top w:val="none" w:sz="0" w:space="0" w:color="auto"/>
                <w:left w:val="none" w:sz="0" w:space="0" w:color="auto"/>
                <w:bottom w:val="none" w:sz="0" w:space="0" w:color="auto"/>
                <w:right w:val="none" w:sz="0" w:space="0" w:color="auto"/>
              </w:divBdr>
            </w:div>
            <w:div w:id="630016811">
              <w:marLeft w:val="0"/>
              <w:marRight w:val="0"/>
              <w:marTop w:val="0"/>
              <w:marBottom w:val="0"/>
              <w:divBdr>
                <w:top w:val="none" w:sz="0" w:space="0" w:color="auto"/>
                <w:left w:val="none" w:sz="0" w:space="0" w:color="auto"/>
                <w:bottom w:val="none" w:sz="0" w:space="0" w:color="auto"/>
                <w:right w:val="none" w:sz="0" w:space="0" w:color="auto"/>
              </w:divBdr>
            </w:div>
            <w:div w:id="1180580302">
              <w:marLeft w:val="0"/>
              <w:marRight w:val="0"/>
              <w:marTop w:val="0"/>
              <w:marBottom w:val="0"/>
              <w:divBdr>
                <w:top w:val="none" w:sz="0" w:space="0" w:color="auto"/>
                <w:left w:val="none" w:sz="0" w:space="0" w:color="auto"/>
                <w:bottom w:val="none" w:sz="0" w:space="0" w:color="auto"/>
                <w:right w:val="none" w:sz="0" w:space="0" w:color="auto"/>
              </w:divBdr>
            </w:div>
            <w:div w:id="1304581526">
              <w:marLeft w:val="0"/>
              <w:marRight w:val="0"/>
              <w:marTop w:val="0"/>
              <w:marBottom w:val="0"/>
              <w:divBdr>
                <w:top w:val="none" w:sz="0" w:space="0" w:color="auto"/>
                <w:left w:val="none" w:sz="0" w:space="0" w:color="auto"/>
                <w:bottom w:val="none" w:sz="0" w:space="0" w:color="auto"/>
                <w:right w:val="none" w:sz="0" w:space="0" w:color="auto"/>
              </w:divBdr>
            </w:div>
            <w:div w:id="1341663200">
              <w:marLeft w:val="0"/>
              <w:marRight w:val="0"/>
              <w:marTop w:val="0"/>
              <w:marBottom w:val="0"/>
              <w:divBdr>
                <w:top w:val="none" w:sz="0" w:space="0" w:color="auto"/>
                <w:left w:val="none" w:sz="0" w:space="0" w:color="auto"/>
                <w:bottom w:val="none" w:sz="0" w:space="0" w:color="auto"/>
                <w:right w:val="none" w:sz="0" w:space="0" w:color="auto"/>
              </w:divBdr>
            </w:div>
            <w:div w:id="1346440349">
              <w:marLeft w:val="0"/>
              <w:marRight w:val="0"/>
              <w:marTop w:val="0"/>
              <w:marBottom w:val="0"/>
              <w:divBdr>
                <w:top w:val="none" w:sz="0" w:space="0" w:color="auto"/>
                <w:left w:val="none" w:sz="0" w:space="0" w:color="auto"/>
                <w:bottom w:val="none" w:sz="0" w:space="0" w:color="auto"/>
                <w:right w:val="none" w:sz="0" w:space="0" w:color="auto"/>
              </w:divBdr>
            </w:div>
            <w:div w:id="1359236669">
              <w:marLeft w:val="0"/>
              <w:marRight w:val="0"/>
              <w:marTop w:val="0"/>
              <w:marBottom w:val="0"/>
              <w:divBdr>
                <w:top w:val="none" w:sz="0" w:space="0" w:color="auto"/>
                <w:left w:val="none" w:sz="0" w:space="0" w:color="auto"/>
                <w:bottom w:val="none" w:sz="0" w:space="0" w:color="auto"/>
                <w:right w:val="none" w:sz="0" w:space="0" w:color="auto"/>
              </w:divBdr>
            </w:div>
            <w:div w:id="1453858904">
              <w:marLeft w:val="0"/>
              <w:marRight w:val="0"/>
              <w:marTop w:val="0"/>
              <w:marBottom w:val="0"/>
              <w:divBdr>
                <w:top w:val="none" w:sz="0" w:space="0" w:color="auto"/>
                <w:left w:val="none" w:sz="0" w:space="0" w:color="auto"/>
                <w:bottom w:val="none" w:sz="0" w:space="0" w:color="auto"/>
                <w:right w:val="none" w:sz="0" w:space="0" w:color="auto"/>
              </w:divBdr>
            </w:div>
            <w:div w:id="1649507030">
              <w:marLeft w:val="0"/>
              <w:marRight w:val="0"/>
              <w:marTop w:val="0"/>
              <w:marBottom w:val="0"/>
              <w:divBdr>
                <w:top w:val="none" w:sz="0" w:space="0" w:color="auto"/>
                <w:left w:val="none" w:sz="0" w:space="0" w:color="auto"/>
                <w:bottom w:val="none" w:sz="0" w:space="0" w:color="auto"/>
                <w:right w:val="none" w:sz="0" w:space="0" w:color="auto"/>
              </w:divBdr>
            </w:div>
            <w:div w:id="1733691925">
              <w:marLeft w:val="0"/>
              <w:marRight w:val="0"/>
              <w:marTop w:val="0"/>
              <w:marBottom w:val="0"/>
              <w:divBdr>
                <w:top w:val="none" w:sz="0" w:space="0" w:color="auto"/>
                <w:left w:val="none" w:sz="0" w:space="0" w:color="auto"/>
                <w:bottom w:val="none" w:sz="0" w:space="0" w:color="auto"/>
                <w:right w:val="none" w:sz="0" w:space="0" w:color="auto"/>
              </w:divBdr>
            </w:div>
            <w:div w:id="1766271008">
              <w:marLeft w:val="0"/>
              <w:marRight w:val="0"/>
              <w:marTop w:val="0"/>
              <w:marBottom w:val="0"/>
              <w:divBdr>
                <w:top w:val="none" w:sz="0" w:space="0" w:color="auto"/>
                <w:left w:val="none" w:sz="0" w:space="0" w:color="auto"/>
                <w:bottom w:val="none" w:sz="0" w:space="0" w:color="auto"/>
                <w:right w:val="none" w:sz="0" w:space="0" w:color="auto"/>
              </w:divBdr>
            </w:div>
            <w:div w:id="1883901439">
              <w:marLeft w:val="0"/>
              <w:marRight w:val="0"/>
              <w:marTop w:val="0"/>
              <w:marBottom w:val="0"/>
              <w:divBdr>
                <w:top w:val="none" w:sz="0" w:space="0" w:color="auto"/>
                <w:left w:val="none" w:sz="0" w:space="0" w:color="auto"/>
                <w:bottom w:val="none" w:sz="0" w:space="0" w:color="auto"/>
                <w:right w:val="none" w:sz="0" w:space="0" w:color="auto"/>
              </w:divBdr>
            </w:div>
            <w:div w:id="1923830723">
              <w:marLeft w:val="0"/>
              <w:marRight w:val="0"/>
              <w:marTop w:val="0"/>
              <w:marBottom w:val="0"/>
              <w:divBdr>
                <w:top w:val="none" w:sz="0" w:space="0" w:color="auto"/>
                <w:left w:val="none" w:sz="0" w:space="0" w:color="auto"/>
                <w:bottom w:val="none" w:sz="0" w:space="0" w:color="auto"/>
                <w:right w:val="none" w:sz="0" w:space="0" w:color="auto"/>
              </w:divBdr>
            </w:div>
            <w:div w:id="2110468560">
              <w:marLeft w:val="0"/>
              <w:marRight w:val="0"/>
              <w:marTop w:val="0"/>
              <w:marBottom w:val="0"/>
              <w:divBdr>
                <w:top w:val="none" w:sz="0" w:space="0" w:color="auto"/>
                <w:left w:val="none" w:sz="0" w:space="0" w:color="auto"/>
                <w:bottom w:val="none" w:sz="0" w:space="0" w:color="auto"/>
                <w:right w:val="none" w:sz="0" w:space="0" w:color="auto"/>
              </w:divBdr>
            </w:div>
          </w:divsChild>
        </w:div>
        <w:div w:id="1868564219">
          <w:marLeft w:val="0"/>
          <w:marRight w:val="0"/>
          <w:marTop w:val="0"/>
          <w:marBottom w:val="0"/>
          <w:divBdr>
            <w:top w:val="none" w:sz="0" w:space="0" w:color="auto"/>
            <w:left w:val="none" w:sz="0" w:space="0" w:color="auto"/>
            <w:bottom w:val="none" w:sz="0" w:space="0" w:color="auto"/>
            <w:right w:val="none" w:sz="0" w:space="0" w:color="auto"/>
          </w:divBdr>
          <w:divsChild>
            <w:div w:id="68575325">
              <w:marLeft w:val="0"/>
              <w:marRight w:val="0"/>
              <w:marTop w:val="0"/>
              <w:marBottom w:val="0"/>
              <w:divBdr>
                <w:top w:val="none" w:sz="0" w:space="0" w:color="auto"/>
                <w:left w:val="none" w:sz="0" w:space="0" w:color="auto"/>
                <w:bottom w:val="none" w:sz="0" w:space="0" w:color="auto"/>
                <w:right w:val="none" w:sz="0" w:space="0" w:color="auto"/>
              </w:divBdr>
            </w:div>
            <w:div w:id="93788032">
              <w:marLeft w:val="0"/>
              <w:marRight w:val="0"/>
              <w:marTop w:val="0"/>
              <w:marBottom w:val="0"/>
              <w:divBdr>
                <w:top w:val="none" w:sz="0" w:space="0" w:color="auto"/>
                <w:left w:val="none" w:sz="0" w:space="0" w:color="auto"/>
                <w:bottom w:val="none" w:sz="0" w:space="0" w:color="auto"/>
                <w:right w:val="none" w:sz="0" w:space="0" w:color="auto"/>
              </w:divBdr>
            </w:div>
            <w:div w:id="666589620">
              <w:marLeft w:val="0"/>
              <w:marRight w:val="0"/>
              <w:marTop w:val="0"/>
              <w:marBottom w:val="0"/>
              <w:divBdr>
                <w:top w:val="none" w:sz="0" w:space="0" w:color="auto"/>
                <w:left w:val="none" w:sz="0" w:space="0" w:color="auto"/>
                <w:bottom w:val="none" w:sz="0" w:space="0" w:color="auto"/>
                <w:right w:val="none" w:sz="0" w:space="0" w:color="auto"/>
              </w:divBdr>
            </w:div>
            <w:div w:id="864516271">
              <w:marLeft w:val="0"/>
              <w:marRight w:val="0"/>
              <w:marTop w:val="0"/>
              <w:marBottom w:val="0"/>
              <w:divBdr>
                <w:top w:val="none" w:sz="0" w:space="0" w:color="auto"/>
                <w:left w:val="none" w:sz="0" w:space="0" w:color="auto"/>
                <w:bottom w:val="none" w:sz="0" w:space="0" w:color="auto"/>
                <w:right w:val="none" w:sz="0" w:space="0" w:color="auto"/>
              </w:divBdr>
            </w:div>
            <w:div w:id="876042255">
              <w:marLeft w:val="0"/>
              <w:marRight w:val="0"/>
              <w:marTop w:val="0"/>
              <w:marBottom w:val="0"/>
              <w:divBdr>
                <w:top w:val="none" w:sz="0" w:space="0" w:color="auto"/>
                <w:left w:val="none" w:sz="0" w:space="0" w:color="auto"/>
                <w:bottom w:val="none" w:sz="0" w:space="0" w:color="auto"/>
                <w:right w:val="none" w:sz="0" w:space="0" w:color="auto"/>
              </w:divBdr>
            </w:div>
            <w:div w:id="983513186">
              <w:marLeft w:val="0"/>
              <w:marRight w:val="0"/>
              <w:marTop w:val="0"/>
              <w:marBottom w:val="0"/>
              <w:divBdr>
                <w:top w:val="none" w:sz="0" w:space="0" w:color="auto"/>
                <w:left w:val="none" w:sz="0" w:space="0" w:color="auto"/>
                <w:bottom w:val="none" w:sz="0" w:space="0" w:color="auto"/>
                <w:right w:val="none" w:sz="0" w:space="0" w:color="auto"/>
              </w:divBdr>
            </w:div>
            <w:div w:id="1074157694">
              <w:marLeft w:val="0"/>
              <w:marRight w:val="0"/>
              <w:marTop w:val="0"/>
              <w:marBottom w:val="0"/>
              <w:divBdr>
                <w:top w:val="none" w:sz="0" w:space="0" w:color="auto"/>
                <w:left w:val="none" w:sz="0" w:space="0" w:color="auto"/>
                <w:bottom w:val="none" w:sz="0" w:space="0" w:color="auto"/>
                <w:right w:val="none" w:sz="0" w:space="0" w:color="auto"/>
              </w:divBdr>
            </w:div>
            <w:div w:id="1149782117">
              <w:marLeft w:val="0"/>
              <w:marRight w:val="0"/>
              <w:marTop w:val="0"/>
              <w:marBottom w:val="0"/>
              <w:divBdr>
                <w:top w:val="none" w:sz="0" w:space="0" w:color="auto"/>
                <w:left w:val="none" w:sz="0" w:space="0" w:color="auto"/>
                <w:bottom w:val="none" w:sz="0" w:space="0" w:color="auto"/>
                <w:right w:val="none" w:sz="0" w:space="0" w:color="auto"/>
              </w:divBdr>
            </w:div>
            <w:div w:id="1405684975">
              <w:marLeft w:val="0"/>
              <w:marRight w:val="0"/>
              <w:marTop w:val="0"/>
              <w:marBottom w:val="0"/>
              <w:divBdr>
                <w:top w:val="none" w:sz="0" w:space="0" w:color="auto"/>
                <w:left w:val="none" w:sz="0" w:space="0" w:color="auto"/>
                <w:bottom w:val="none" w:sz="0" w:space="0" w:color="auto"/>
                <w:right w:val="none" w:sz="0" w:space="0" w:color="auto"/>
              </w:divBdr>
            </w:div>
            <w:div w:id="1510102901">
              <w:marLeft w:val="0"/>
              <w:marRight w:val="0"/>
              <w:marTop w:val="0"/>
              <w:marBottom w:val="0"/>
              <w:divBdr>
                <w:top w:val="none" w:sz="0" w:space="0" w:color="auto"/>
                <w:left w:val="none" w:sz="0" w:space="0" w:color="auto"/>
                <w:bottom w:val="none" w:sz="0" w:space="0" w:color="auto"/>
                <w:right w:val="none" w:sz="0" w:space="0" w:color="auto"/>
              </w:divBdr>
            </w:div>
            <w:div w:id="1531722185">
              <w:marLeft w:val="0"/>
              <w:marRight w:val="0"/>
              <w:marTop w:val="0"/>
              <w:marBottom w:val="0"/>
              <w:divBdr>
                <w:top w:val="none" w:sz="0" w:space="0" w:color="auto"/>
                <w:left w:val="none" w:sz="0" w:space="0" w:color="auto"/>
                <w:bottom w:val="none" w:sz="0" w:space="0" w:color="auto"/>
                <w:right w:val="none" w:sz="0" w:space="0" w:color="auto"/>
              </w:divBdr>
            </w:div>
            <w:div w:id="1730229340">
              <w:marLeft w:val="0"/>
              <w:marRight w:val="0"/>
              <w:marTop w:val="0"/>
              <w:marBottom w:val="0"/>
              <w:divBdr>
                <w:top w:val="none" w:sz="0" w:space="0" w:color="auto"/>
                <w:left w:val="none" w:sz="0" w:space="0" w:color="auto"/>
                <w:bottom w:val="none" w:sz="0" w:space="0" w:color="auto"/>
                <w:right w:val="none" w:sz="0" w:space="0" w:color="auto"/>
              </w:divBdr>
            </w:div>
            <w:div w:id="1774860917">
              <w:marLeft w:val="0"/>
              <w:marRight w:val="0"/>
              <w:marTop w:val="0"/>
              <w:marBottom w:val="0"/>
              <w:divBdr>
                <w:top w:val="none" w:sz="0" w:space="0" w:color="auto"/>
                <w:left w:val="none" w:sz="0" w:space="0" w:color="auto"/>
                <w:bottom w:val="none" w:sz="0" w:space="0" w:color="auto"/>
                <w:right w:val="none" w:sz="0" w:space="0" w:color="auto"/>
              </w:divBdr>
            </w:div>
            <w:div w:id="1913083278">
              <w:marLeft w:val="0"/>
              <w:marRight w:val="0"/>
              <w:marTop w:val="0"/>
              <w:marBottom w:val="0"/>
              <w:divBdr>
                <w:top w:val="none" w:sz="0" w:space="0" w:color="auto"/>
                <w:left w:val="none" w:sz="0" w:space="0" w:color="auto"/>
                <w:bottom w:val="none" w:sz="0" w:space="0" w:color="auto"/>
                <w:right w:val="none" w:sz="0" w:space="0" w:color="auto"/>
              </w:divBdr>
            </w:div>
            <w:div w:id="1980915078">
              <w:marLeft w:val="0"/>
              <w:marRight w:val="0"/>
              <w:marTop w:val="0"/>
              <w:marBottom w:val="0"/>
              <w:divBdr>
                <w:top w:val="none" w:sz="0" w:space="0" w:color="auto"/>
                <w:left w:val="none" w:sz="0" w:space="0" w:color="auto"/>
                <w:bottom w:val="none" w:sz="0" w:space="0" w:color="auto"/>
                <w:right w:val="none" w:sz="0" w:space="0" w:color="auto"/>
              </w:divBdr>
            </w:div>
            <w:div w:id="1985236086">
              <w:marLeft w:val="0"/>
              <w:marRight w:val="0"/>
              <w:marTop w:val="0"/>
              <w:marBottom w:val="0"/>
              <w:divBdr>
                <w:top w:val="none" w:sz="0" w:space="0" w:color="auto"/>
                <w:left w:val="none" w:sz="0" w:space="0" w:color="auto"/>
                <w:bottom w:val="none" w:sz="0" w:space="0" w:color="auto"/>
                <w:right w:val="none" w:sz="0" w:space="0" w:color="auto"/>
              </w:divBdr>
            </w:div>
            <w:div w:id="2038264293">
              <w:marLeft w:val="0"/>
              <w:marRight w:val="0"/>
              <w:marTop w:val="0"/>
              <w:marBottom w:val="0"/>
              <w:divBdr>
                <w:top w:val="none" w:sz="0" w:space="0" w:color="auto"/>
                <w:left w:val="none" w:sz="0" w:space="0" w:color="auto"/>
                <w:bottom w:val="none" w:sz="0" w:space="0" w:color="auto"/>
                <w:right w:val="none" w:sz="0" w:space="0" w:color="auto"/>
              </w:divBdr>
            </w:div>
            <w:div w:id="2043944588">
              <w:marLeft w:val="0"/>
              <w:marRight w:val="0"/>
              <w:marTop w:val="0"/>
              <w:marBottom w:val="0"/>
              <w:divBdr>
                <w:top w:val="none" w:sz="0" w:space="0" w:color="auto"/>
                <w:left w:val="none" w:sz="0" w:space="0" w:color="auto"/>
                <w:bottom w:val="none" w:sz="0" w:space="0" w:color="auto"/>
                <w:right w:val="none" w:sz="0" w:space="0" w:color="auto"/>
              </w:divBdr>
            </w:div>
            <w:div w:id="20556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263211">
      <w:bodyDiv w:val="1"/>
      <w:marLeft w:val="0"/>
      <w:marRight w:val="0"/>
      <w:marTop w:val="0"/>
      <w:marBottom w:val="0"/>
      <w:divBdr>
        <w:top w:val="none" w:sz="0" w:space="0" w:color="auto"/>
        <w:left w:val="none" w:sz="0" w:space="0" w:color="auto"/>
        <w:bottom w:val="none" w:sz="0" w:space="0" w:color="auto"/>
        <w:right w:val="none" w:sz="0" w:space="0" w:color="auto"/>
      </w:divBdr>
      <w:divsChild>
        <w:div w:id="6908681">
          <w:marLeft w:val="0"/>
          <w:marRight w:val="0"/>
          <w:marTop w:val="0"/>
          <w:marBottom w:val="0"/>
          <w:divBdr>
            <w:top w:val="none" w:sz="0" w:space="0" w:color="auto"/>
            <w:left w:val="none" w:sz="0" w:space="0" w:color="auto"/>
            <w:bottom w:val="none" w:sz="0" w:space="0" w:color="auto"/>
            <w:right w:val="none" w:sz="0" w:space="0" w:color="auto"/>
          </w:divBdr>
          <w:divsChild>
            <w:div w:id="1750468985">
              <w:marLeft w:val="0"/>
              <w:marRight w:val="0"/>
              <w:marTop w:val="0"/>
              <w:marBottom w:val="0"/>
              <w:divBdr>
                <w:top w:val="none" w:sz="0" w:space="0" w:color="auto"/>
                <w:left w:val="none" w:sz="0" w:space="0" w:color="auto"/>
                <w:bottom w:val="none" w:sz="0" w:space="0" w:color="auto"/>
                <w:right w:val="none" w:sz="0" w:space="0" w:color="auto"/>
              </w:divBdr>
            </w:div>
          </w:divsChild>
        </w:div>
        <w:div w:id="402685181">
          <w:marLeft w:val="0"/>
          <w:marRight w:val="0"/>
          <w:marTop w:val="0"/>
          <w:marBottom w:val="0"/>
          <w:divBdr>
            <w:top w:val="none" w:sz="0" w:space="0" w:color="auto"/>
            <w:left w:val="none" w:sz="0" w:space="0" w:color="auto"/>
            <w:bottom w:val="none" w:sz="0" w:space="0" w:color="auto"/>
            <w:right w:val="none" w:sz="0" w:space="0" w:color="auto"/>
          </w:divBdr>
          <w:divsChild>
            <w:div w:id="878325087">
              <w:marLeft w:val="0"/>
              <w:marRight w:val="0"/>
              <w:marTop w:val="0"/>
              <w:marBottom w:val="0"/>
              <w:divBdr>
                <w:top w:val="none" w:sz="0" w:space="0" w:color="auto"/>
                <w:left w:val="none" w:sz="0" w:space="0" w:color="auto"/>
                <w:bottom w:val="none" w:sz="0" w:space="0" w:color="auto"/>
                <w:right w:val="none" w:sz="0" w:space="0" w:color="auto"/>
              </w:divBdr>
            </w:div>
          </w:divsChild>
        </w:div>
        <w:div w:id="631136471">
          <w:marLeft w:val="0"/>
          <w:marRight w:val="0"/>
          <w:marTop w:val="0"/>
          <w:marBottom w:val="0"/>
          <w:divBdr>
            <w:top w:val="none" w:sz="0" w:space="0" w:color="auto"/>
            <w:left w:val="none" w:sz="0" w:space="0" w:color="auto"/>
            <w:bottom w:val="none" w:sz="0" w:space="0" w:color="auto"/>
            <w:right w:val="none" w:sz="0" w:space="0" w:color="auto"/>
          </w:divBdr>
          <w:divsChild>
            <w:div w:id="2081556805">
              <w:marLeft w:val="0"/>
              <w:marRight w:val="0"/>
              <w:marTop w:val="0"/>
              <w:marBottom w:val="0"/>
              <w:divBdr>
                <w:top w:val="none" w:sz="0" w:space="0" w:color="auto"/>
                <w:left w:val="none" w:sz="0" w:space="0" w:color="auto"/>
                <w:bottom w:val="none" w:sz="0" w:space="0" w:color="auto"/>
                <w:right w:val="none" w:sz="0" w:space="0" w:color="auto"/>
              </w:divBdr>
            </w:div>
          </w:divsChild>
        </w:div>
        <w:div w:id="702708300">
          <w:marLeft w:val="0"/>
          <w:marRight w:val="0"/>
          <w:marTop w:val="0"/>
          <w:marBottom w:val="0"/>
          <w:divBdr>
            <w:top w:val="none" w:sz="0" w:space="0" w:color="auto"/>
            <w:left w:val="none" w:sz="0" w:space="0" w:color="auto"/>
            <w:bottom w:val="none" w:sz="0" w:space="0" w:color="auto"/>
            <w:right w:val="none" w:sz="0" w:space="0" w:color="auto"/>
          </w:divBdr>
          <w:divsChild>
            <w:div w:id="2124840506">
              <w:marLeft w:val="0"/>
              <w:marRight w:val="0"/>
              <w:marTop w:val="0"/>
              <w:marBottom w:val="0"/>
              <w:divBdr>
                <w:top w:val="none" w:sz="0" w:space="0" w:color="auto"/>
                <w:left w:val="none" w:sz="0" w:space="0" w:color="auto"/>
                <w:bottom w:val="none" w:sz="0" w:space="0" w:color="auto"/>
                <w:right w:val="none" w:sz="0" w:space="0" w:color="auto"/>
              </w:divBdr>
            </w:div>
          </w:divsChild>
        </w:div>
        <w:div w:id="764808680">
          <w:marLeft w:val="0"/>
          <w:marRight w:val="0"/>
          <w:marTop w:val="0"/>
          <w:marBottom w:val="0"/>
          <w:divBdr>
            <w:top w:val="none" w:sz="0" w:space="0" w:color="auto"/>
            <w:left w:val="none" w:sz="0" w:space="0" w:color="auto"/>
            <w:bottom w:val="none" w:sz="0" w:space="0" w:color="auto"/>
            <w:right w:val="none" w:sz="0" w:space="0" w:color="auto"/>
          </w:divBdr>
          <w:divsChild>
            <w:div w:id="104547394">
              <w:marLeft w:val="0"/>
              <w:marRight w:val="0"/>
              <w:marTop w:val="0"/>
              <w:marBottom w:val="0"/>
              <w:divBdr>
                <w:top w:val="none" w:sz="0" w:space="0" w:color="auto"/>
                <w:left w:val="none" w:sz="0" w:space="0" w:color="auto"/>
                <w:bottom w:val="none" w:sz="0" w:space="0" w:color="auto"/>
                <w:right w:val="none" w:sz="0" w:space="0" w:color="auto"/>
              </w:divBdr>
            </w:div>
          </w:divsChild>
        </w:div>
        <w:div w:id="771702573">
          <w:marLeft w:val="0"/>
          <w:marRight w:val="0"/>
          <w:marTop w:val="0"/>
          <w:marBottom w:val="0"/>
          <w:divBdr>
            <w:top w:val="none" w:sz="0" w:space="0" w:color="auto"/>
            <w:left w:val="none" w:sz="0" w:space="0" w:color="auto"/>
            <w:bottom w:val="none" w:sz="0" w:space="0" w:color="auto"/>
            <w:right w:val="none" w:sz="0" w:space="0" w:color="auto"/>
          </w:divBdr>
          <w:divsChild>
            <w:div w:id="959413121">
              <w:marLeft w:val="0"/>
              <w:marRight w:val="0"/>
              <w:marTop w:val="0"/>
              <w:marBottom w:val="0"/>
              <w:divBdr>
                <w:top w:val="none" w:sz="0" w:space="0" w:color="auto"/>
                <w:left w:val="none" w:sz="0" w:space="0" w:color="auto"/>
                <w:bottom w:val="none" w:sz="0" w:space="0" w:color="auto"/>
                <w:right w:val="none" w:sz="0" w:space="0" w:color="auto"/>
              </w:divBdr>
            </w:div>
          </w:divsChild>
        </w:div>
        <w:div w:id="891228945">
          <w:marLeft w:val="0"/>
          <w:marRight w:val="0"/>
          <w:marTop w:val="0"/>
          <w:marBottom w:val="0"/>
          <w:divBdr>
            <w:top w:val="none" w:sz="0" w:space="0" w:color="auto"/>
            <w:left w:val="none" w:sz="0" w:space="0" w:color="auto"/>
            <w:bottom w:val="none" w:sz="0" w:space="0" w:color="auto"/>
            <w:right w:val="none" w:sz="0" w:space="0" w:color="auto"/>
          </w:divBdr>
          <w:divsChild>
            <w:div w:id="1077628484">
              <w:marLeft w:val="0"/>
              <w:marRight w:val="0"/>
              <w:marTop w:val="0"/>
              <w:marBottom w:val="0"/>
              <w:divBdr>
                <w:top w:val="none" w:sz="0" w:space="0" w:color="auto"/>
                <w:left w:val="none" w:sz="0" w:space="0" w:color="auto"/>
                <w:bottom w:val="none" w:sz="0" w:space="0" w:color="auto"/>
                <w:right w:val="none" w:sz="0" w:space="0" w:color="auto"/>
              </w:divBdr>
            </w:div>
          </w:divsChild>
        </w:div>
        <w:div w:id="1015109936">
          <w:marLeft w:val="0"/>
          <w:marRight w:val="0"/>
          <w:marTop w:val="0"/>
          <w:marBottom w:val="0"/>
          <w:divBdr>
            <w:top w:val="none" w:sz="0" w:space="0" w:color="auto"/>
            <w:left w:val="none" w:sz="0" w:space="0" w:color="auto"/>
            <w:bottom w:val="none" w:sz="0" w:space="0" w:color="auto"/>
            <w:right w:val="none" w:sz="0" w:space="0" w:color="auto"/>
          </w:divBdr>
          <w:divsChild>
            <w:div w:id="1558855035">
              <w:marLeft w:val="0"/>
              <w:marRight w:val="0"/>
              <w:marTop w:val="0"/>
              <w:marBottom w:val="0"/>
              <w:divBdr>
                <w:top w:val="none" w:sz="0" w:space="0" w:color="auto"/>
                <w:left w:val="none" w:sz="0" w:space="0" w:color="auto"/>
                <w:bottom w:val="none" w:sz="0" w:space="0" w:color="auto"/>
                <w:right w:val="none" w:sz="0" w:space="0" w:color="auto"/>
              </w:divBdr>
            </w:div>
          </w:divsChild>
        </w:div>
        <w:div w:id="1027678594">
          <w:marLeft w:val="0"/>
          <w:marRight w:val="0"/>
          <w:marTop w:val="0"/>
          <w:marBottom w:val="0"/>
          <w:divBdr>
            <w:top w:val="none" w:sz="0" w:space="0" w:color="auto"/>
            <w:left w:val="none" w:sz="0" w:space="0" w:color="auto"/>
            <w:bottom w:val="none" w:sz="0" w:space="0" w:color="auto"/>
            <w:right w:val="none" w:sz="0" w:space="0" w:color="auto"/>
          </w:divBdr>
          <w:divsChild>
            <w:div w:id="1875458714">
              <w:marLeft w:val="0"/>
              <w:marRight w:val="0"/>
              <w:marTop w:val="0"/>
              <w:marBottom w:val="0"/>
              <w:divBdr>
                <w:top w:val="none" w:sz="0" w:space="0" w:color="auto"/>
                <w:left w:val="none" w:sz="0" w:space="0" w:color="auto"/>
                <w:bottom w:val="none" w:sz="0" w:space="0" w:color="auto"/>
                <w:right w:val="none" w:sz="0" w:space="0" w:color="auto"/>
              </w:divBdr>
            </w:div>
          </w:divsChild>
        </w:div>
        <w:div w:id="1100180352">
          <w:marLeft w:val="0"/>
          <w:marRight w:val="0"/>
          <w:marTop w:val="0"/>
          <w:marBottom w:val="0"/>
          <w:divBdr>
            <w:top w:val="none" w:sz="0" w:space="0" w:color="auto"/>
            <w:left w:val="none" w:sz="0" w:space="0" w:color="auto"/>
            <w:bottom w:val="none" w:sz="0" w:space="0" w:color="auto"/>
            <w:right w:val="none" w:sz="0" w:space="0" w:color="auto"/>
          </w:divBdr>
          <w:divsChild>
            <w:div w:id="1276792626">
              <w:marLeft w:val="0"/>
              <w:marRight w:val="0"/>
              <w:marTop w:val="0"/>
              <w:marBottom w:val="0"/>
              <w:divBdr>
                <w:top w:val="none" w:sz="0" w:space="0" w:color="auto"/>
                <w:left w:val="none" w:sz="0" w:space="0" w:color="auto"/>
                <w:bottom w:val="none" w:sz="0" w:space="0" w:color="auto"/>
                <w:right w:val="none" w:sz="0" w:space="0" w:color="auto"/>
              </w:divBdr>
            </w:div>
          </w:divsChild>
        </w:div>
        <w:div w:id="1225066590">
          <w:marLeft w:val="0"/>
          <w:marRight w:val="0"/>
          <w:marTop w:val="0"/>
          <w:marBottom w:val="0"/>
          <w:divBdr>
            <w:top w:val="none" w:sz="0" w:space="0" w:color="auto"/>
            <w:left w:val="none" w:sz="0" w:space="0" w:color="auto"/>
            <w:bottom w:val="none" w:sz="0" w:space="0" w:color="auto"/>
            <w:right w:val="none" w:sz="0" w:space="0" w:color="auto"/>
          </w:divBdr>
          <w:divsChild>
            <w:div w:id="2011053783">
              <w:marLeft w:val="0"/>
              <w:marRight w:val="0"/>
              <w:marTop w:val="0"/>
              <w:marBottom w:val="0"/>
              <w:divBdr>
                <w:top w:val="none" w:sz="0" w:space="0" w:color="auto"/>
                <w:left w:val="none" w:sz="0" w:space="0" w:color="auto"/>
                <w:bottom w:val="none" w:sz="0" w:space="0" w:color="auto"/>
                <w:right w:val="none" w:sz="0" w:space="0" w:color="auto"/>
              </w:divBdr>
            </w:div>
          </w:divsChild>
        </w:div>
        <w:div w:id="1280988183">
          <w:marLeft w:val="0"/>
          <w:marRight w:val="0"/>
          <w:marTop w:val="0"/>
          <w:marBottom w:val="0"/>
          <w:divBdr>
            <w:top w:val="none" w:sz="0" w:space="0" w:color="auto"/>
            <w:left w:val="none" w:sz="0" w:space="0" w:color="auto"/>
            <w:bottom w:val="none" w:sz="0" w:space="0" w:color="auto"/>
            <w:right w:val="none" w:sz="0" w:space="0" w:color="auto"/>
          </w:divBdr>
          <w:divsChild>
            <w:div w:id="2106418335">
              <w:marLeft w:val="0"/>
              <w:marRight w:val="0"/>
              <w:marTop w:val="0"/>
              <w:marBottom w:val="0"/>
              <w:divBdr>
                <w:top w:val="none" w:sz="0" w:space="0" w:color="auto"/>
                <w:left w:val="none" w:sz="0" w:space="0" w:color="auto"/>
                <w:bottom w:val="none" w:sz="0" w:space="0" w:color="auto"/>
                <w:right w:val="none" w:sz="0" w:space="0" w:color="auto"/>
              </w:divBdr>
            </w:div>
          </w:divsChild>
        </w:div>
        <w:div w:id="1320422647">
          <w:marLeft w:val="0"/>
          <w:marRight w:val="0"/>
          <w:marTop w:val="0"/>
          <w:marBottom w:val="0"/>
          <w:divBdr>
            <w:top w:val="none" w:sz="0" w:space="0" w:color="auto"/>
            <w:left w:val="none" w:sz="0" w:space="0" w:color="auto"/>
            <w:bottom w:val="none" w:sz="0" w:space="0" w:color="auto"/>
            <w:right w:val="none" w:sz="0" w:space="0" w:color="auto"/>
          </w:divBdr>
          <w:divsChild>
            <w:div w:id="1603731705">
              <w:marLeft w:val="0"/>
              <w:marRight w:val="0"/>
              <w:marTop w:val="0"/>
              <w:marBottom w:val="0"/>
              <w:divBdr>
                <w:top w:val="none" w:sz="0" w:space="0" w:color="auto"/>
                <w:left w:val="none" w:sz="0" w:space="0" w:color="auto"/>
                <w:bottom w:val="none" w:sz="0" w:space="0" w:color="auto"/>
                <w:right w:val="none" w:sz="0" w:space="0" w:color="auto"/>
              </w:divBdr>
            </w:div>
          </w:divsChild>
        </w:div>
        <w:div w:id="1351031347">
          <w:marLeft w:val="0"/>
          <w:marRight w:val="0"/>
          <w:marTop w:val="0"/>
          <w:marBottom w:val="0"/>
          <w:divBdr>
            <w:top w:val="none" w:sz="0" w:space="0" w:color="auto"/>
            <w:left w:val="none" w:sz="0" w:space="0" w:color="auto"/>
            <w:bottom w:val="none" w:sz="0" w:space="0" w:color="auto"/>
            <w:right w:val="none" w:sz="0" w:space="0" w:color="auto"/>
          </w:divBdr>
          <w:divsChild>
            <w:div w:id="1999452806">
              <w:marLeft w:val="0"/>
              <w:marRight w:val="0"/>
              <w:marTop w:val="0"/>
              <w:marBottom w:val="0"/>
              <w:divBdr>
                <w:top w:val="none" w:sz="0" w:space="0" w:color="auto"/>
                <w:left w:val="none" w:sz="0" w:space="0" w:color="auto"/>
                <w:bottom w:val="none" w:sz="0" w:space="0" w:color="auto"/>
                <w:right w:val="none" w:sz="0" w:space="0" w:color="auto"/>
              </w:divBdr>
            </w:div>
          </w:divsChild>
        </w:div>
        <w:div w:id="1442259740">
          <w:marLeft w:val="0"/>
          <w:marRight w:val="0"/>
          <w:marTop w:val="0"/>
          <w:marBottom w:val="0"/>
          <w:divBdr>
            <w:top w:val="none" w:sz="0" w:space="0" w:color="auto"/>
            <w:left w:val="none" w:sz="0" w:space="0" w:color="auto"/>
            <w:bottom w:val="none" w:sz="0" w:space="0" w:color="auto"/>
            <w:right w:val="none" w:sz="0" w:space="0" w:color="auto"/>
          </w:divBdr>
          <w:divsChild>
            <w:div w:id="39019169">
              <w:marLeft w:val="0"/>
              <w:marRight w:val="0"/>
              <w:marTop w:val="0"/>
              <w:marBottom w:val="0"/>
              <w:divBdr>
                <w:top w:val="none" w:sz="0" w:space="0" w:color="auto"/>
                <w:left w:val="none" w:sz="0" w:space="0" w:color="auto"/>
                <w:bottom w:val="none" w:sz="0" w:space="0" w:color="auto"/>
                <w:right w:val="none" w:sz="0" w:space="0" w:color="auto"/>
              </w:divBdr>
            </w:div>
            <w:div w:id="209270638">
              <w:marLeft w:val="0"/>
              <w:marRight w:val="0"/>
              <w:marTop w:val="0"/>
              <w:marBottom w:val="0"/>
              <w:divBdr>
                <w:top w:val="none" w:sz="0" w:space="0" w:color="auto"/>
                <w:left w:val="none" w:sz="0" w:space="0" w:color="auto"/>
                <w:bottom w:val="none" w:sz="0" w:space="0" w:color="auto"/>
                <w:right w:val="none" w:sz="0" w:space="0" w:color="auto"/>
              </w:divBdr>
            </w:div>
          </w:divsChild>
        </w:div>
        <w:div w:id="1484465658">
          <w:marLeft w:val="0"/>
          <w:marRight w:val="0"/>
          <w:marTop w:val="0"/>
          <w:marBottom w:val="0"/>
          <w:divBdr>
            <w:top w:val="none" w:sz="0" w:space="0" w:color="auto"/>
            <w:left w:val="none" w:sz="0" w:space="0" w:color="auto"/>
            <w:bottom w:val="none" w:sz="0" w:space="0" w:color="auto"/>
            <w:right w:val="none" w:sz="0" w:space="0" w:color="auto"/>
          </w:divBdr>
          <w:divsChild>
            <w:div w:id="1789624161">
              <w:marLeft w:val="0"/>
              <w:marRight w:val="0"/>
              <w:marTop w:val="0"/>
              <w:marBottom w:val="0"/>
              <w:divBdr>
                <w:top w:val="none" w:sz="0" w:space="0" w:color="auto"/>
                <w:left w:val="none" w:sz="0" w:space="0" w:color="auto"/>
                <w:bottom w:val="none" w:sz="0" w:space="0" w:color="auto"/>
                <w:right w:val="none" w:sz="0" w:space="0" w:color="auto"/>
              </w:divBdr>
            </w:div>
            <w:div w:id="1898081817">
              <w:marLeft w:val="0"/>
              <w:marRight w:val="0"/>
              <w:marTop w:val="0"/>
              <w:marBottom w:val="0"/>
              <w:divBdr>
                <w:top w:val="none" w:sz="0" w:space="0" w:color="auto"/>
                <w:left w:val="none" w:sz="0" w:space="0" w:color="auto"/>
                <w:bottom w:val="none" w:sz="0" w:space="0" w:color="auto"/>
                <w:right w:val="none" w:sz="0" w:space="0" w:color="auto"/>
              </w:divBdr>
            </w:div>
          </w:divsChild>
        </w:div>
        <w:div w:id="1594780130">
          <w:marLeft w:val="0"/>
          <w:marRight w:val="0"/>
          <w:marTop w:val="0"/>
          <w:marBottom w:val="0"/>
          <w:divBdr>
            <w:top w:val="none" w:sz="0" w:space="0" w:color="auto"/>
            <w:left w:val="none" w:sz="0" w:space="0" w:color="auto"/>
            <w:bottom w:val="none" w:sz="0" w:space="0" w:color="auto"/>
            <w:right w:val="none" w:sz="0" w:space="0" w:color="auto"/>
          </w:divBdr>
          <w:divsChild>
            <w:div w:id="1051074414">
              <w:marLeft w:val="0"/>
              <w:marRight w:val="0"/>
              <w:marTop w:val="0"/>
              <w:marBottom w:val="0"/>
              <w:divBdr>
                <w:top w:val="none" w:sz="0" w:space="0" w:color="auto"/>
                <w:left w:val="none" w:sz="0" w:space="0" w:color="auto"/>
                <w:bottom w:val="none" w:sz="0" w:space="0" w:color="auto"/>
                <w:right w:val="none" w:sz="0" w:space="0" w:color="auto"/>
              </w:divBdr>
            </w:div>
          </w:divsChild>
        </w:div>
        <w:div w:id="1615018748">
          <w:marLeft w:val="0"/>
          <w:marRight w:val="0"/>
          <w:marTop w:val="0"/>
          <w:marBottom w:val="0"/>
          <w:divBdr>
            <w:top w:val="none" w:sz="0" w:space="0" w:color="auto"/>
            <w:left w:val="none" w:sz="0" w:space="0" w:color="auto"/>
            <w:bottom w:val="none" w:sz="0" w:space="0" w:color="auto"/>
            <w:right w:val="none" w:sz="0" w:space="0" w:color="auto"/>
          </w:divBdr>
          <w:divsChild>
            <w:div w:id="326402046">
              <w:marLeft w:val="0"/>
              <w:marRight w:val="0"/>
              <w:marTop w:val="0"/>
              <w:marBottom w:val="0"/>
              <w:divBdr>
                <w:top w:val="none" w:sz="0" w:space="0" w:color="auto"/>
                <w:left w:val="none" w:sz="0" w:space="0" w:color="auto"/>
                <w:bottom w:val="none" w:sz="0" w:space="0" w:color="auto"/>
                <w:right w:val="none" w:sz="0" w:space="0" w:color="auto"/>
              </w:divBdr>
            </w:div>
          </w:divsChild>
        </w:div>
        <w:div w:id="1625424264">
          <w:marLeft w:val="0"/>
          <w:marRight w:val="0"/>
          <w:marTop w:val="0"/>
          <w:marBottom w:val="0"/>
          <w:divBdr>
            <w:top w:val="none" w:sz="0" w:space="0" w:color="auto"/>
            <w:left w:val="none" w:sz="0" w:space="0" w:color="auto"/>
            <w:bottom w:val="none" w:sz="0" w:space="0" w:color="auto"/>
            <w:right w:val="none" w:sz="0" w:space="0" w:color="auto"/>
          </w:divBdr>
          <w:divsChild>
            <w:div w:id="872503598">
              <w:marLeft w:val="0"/>
              <w:marRight w:val="0"/>
              <w:marTop w:val="0"/>
              <w:marBottom w:val="0"/>
              <w:divBdr>
                <w:top w:val="none" w:sz="0" w:space="0" w:color="auto"/>
                <w:left w:val="none" w:sz="0" w:space="0" w:color="auto"/>
                <w:bottom w:val="none" w:sz="0" w:space="0" w:color="auto"/>
                <w:right w:val="none" w:sz="0" w:space="0" w:color="auto"/>
              </w:divBdr>
            </w:div>
          </w:divsChild>
        </w:div>
        <w:div w:id="1723291444">
          <w:marLeft w:val="0"/>
          <w:marRight w:val="0"/>
          <w:marTop w:val="0"/>
          <w:marBottom w:val="0"/>
          <w:divBdr>
            <w:top w:val="none" w:sz="0" w:space="0" w:color="auto"/>
            <w:left w:val="none" w:sz="0" w:space="0" w:color="auto"/>
            <w:bottom w:val="none" w:sz="0" w:space="0" w:color="auto"/>
            <w:right w:val="none" w:sz="0" w:space="0" w:color="auto"/>
          </w:divBdr>
          <w:divsChild>
            <w:div w:id="693193883">
              <w:marLeft w:val="0"/>
              <w:marRight w:val="0"/>
              <w:marTop w:val="0"/>
              <w:marBottom w:val="0"/>
              <w:divBdr>
                <w:top w:val="none" w:sz="0" w:space="0" w:color="auto"/>
                <w:left w:val="none" w:sz="0" w:space="0" w:color="auto"/>
                <w:bottom w:val="none" w:sz="0" w:space="0" w:color="auto"/>
                <w:right w:val="none" w:sz="0" w:space="0" w:color="auto"/>
              </w:divBdr>
            </w:div>
          </w:divsChild>
        </w:div>
        <w:div w:id="1864054901">
          <w:marLeft w:val="0"/>
          <w:marRight w:val="0"/>
          <w:marTop w:val="0"/>
          <w:marBottom w:val="0"/>
          <w:divBdr>
            <w:top w:val="none" w:sz="0" w:space="0" w:color="auto"/>
            <w:left w:val="none" w:sz="0" w:space="0" w:color="auto"/>
            <w:bottom w:val="none" w:sz="0" w:space="0" w:color="auto"/>
            <w:right w:val="none" w:sz="0" w:space="0" w:color="auto"/>
          </w:divBdr>
          <w:divsChild>
            <w:div w:id="775174885">
              <w:marLeft w:val="0"/>
              <w:marRight w:val="0"/>
              <w:marTop w:val="0"/>
              <w:marBottom w:val="0"/>
              <w:divBdr>
                <w:top w:val="none" w:sz="0" w:space="0" w:color="auto"/>
                <w:left w:val="none" w:sz="0" w:space="0" w:color="auto"/>
                <w:bottom w:val="none" w:sz="0" w:space="0" w:color="auto"/>
                <w:right w:val="none" w:sz="0" w:space="0" w:color="auto"/>
              </w:divBdr>
            </w:div>
          </w:divsChild>
        </w:div>
        <w:div w:id="1884637343">
          <w:marLeft w:val="0"/>
          <w:marRight w:val="0"/>
          <w:marTop w:val="0"/>
          <w:marBottom w:val="0"/>
          <w:divBdr>
            <w:top w:val="none" w:sz="0" w:space="0" w:color="auto"/>
            <w:left w:val="none" w:sz="0" w:space="0" w:color="auto"/>
            <w:bottom w:val="none" w:sz="0" w:space="0" w:color="auto"/>
            <w:right w:val="none" w:sz="0" w:space="0" w:color="auto"/>
          </w:divBdr>
          <w:divsChild>
            <w:div w:id="668825321">
              <w:marLeft w:val="0"/>
              <w:marRight w:val="0"/>
              <w:marTop w:val="0"/>
              <w:marBottom w:val="0"/>
              <w:divBdr>
                <w:top w:val="none" w:sz="0" w:space="0" w:color="auto"/>
                <w:left w:val="none" w:sz="0" w:space="0" w:color="auto"/>
                <w:bottom w:val="none" w:sz="0" w:space="0" w:color="auto"/>
                <w:right w:val="none" w:sz="0" w:space="0" w:color="auto"/>
              </w:divBdr>
            </w:div>
          </w:divsChild>
        </w:div>
        <w:div w:id="1906531737">
          <w:marLeft w:val="0"/>
          <w:marRight w:val="0"/>
          <w:marTop w:val="0"/>
          <w:marBottom w:val="0"/>
          <w:divBdr>
            <w:top w:val="none" w:sz="0" w:space="0" w:color="auto"/>
            <w:left w:val="none" w:sz="0" w:space="0" w:color="auto"/>
            <w:bottom w:val="none" w:sz="0" w:space="0" w:color="auto"/>
            <w:right w:val="none" w:sz="0" w:space="0" w:color="auto"/>
          </w:divBdr>
          <w:divsChild>
            <w:div w:id="470365237">
              <w:marLeft w:val="0"/>
              <w:marRight w:val="0"/>
              <w:marTop w:val="0"/>
              <w:marBottom w:val="0"/>
              <w:divBdr>
                <w:top w:val="none" w:sz="0" w:space="0" w:color="auto"/>
                <w:left w:val="none" w:sz="0" w:space="0" w:color="auto"/>
                <w:bottom w:val="none" w:sz="0" w:space="0" w:color="auto"/>
                <w:right w:val="none" w:sz="0" w:space="0" w:color="auto"/>
              </w:divBdr>
            </w:div>
          </w:divsChild>
        </w:div>
        <w:div w:id="2055960361">
          <w:marLeft w:val="0"/>
          <w:marRight w:val="0"/>
          <w:marTop w:val="0"/>
          <w:marBottom w:val="0"/>
          <w:divBdr>
            <w:top w:val="none" w:sz="0" w:space="0" w:color="auto"/>
            <w:left w:val="none" w:sz="0" w:space="0" w:color="auto"/>
            <w:bottom w:val="none" w:sz="0" w:space="0" w:color="auto"/>
            <w:right w:val="none" w:sz="0" w:space="0" w:color="auto"/>
          </w:divBdr>
          <w:divsChild>
            <w:div w:id="109277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03647">
      <w:bodyDiv w:val="1"/>
      <w:marLeft w:val="0"/>
      <w:marRight w:val="0"/>
      <w:marTop w:val="0"/>
      <w:marBottom w:val="0"/>
      <w:divBdr>
        <w:top w:val="none" w:sz="0" w:space="0" w:color="auto"/>
        <w:left w:val="none" w:sz="0" w:space="0" w:color="auto"/>
        <w:bottom w:val="none" w:sz="0" w:space="0" w:color="auto"/>
        <w:right w:val="none" w:sz="0" w:space="0" w:color="auto"/>
      </w:divBdr>
      <w:divsChild>
        <w:div w:id="7370396">
          <w:marLeft w:val="0"/>
          <w:marRight w:val="0"/>
          <w:marTop w:val="0"/>
          <w:marBottom w:val="0"/>
          <w:divBdr>
            <w:top w:val="none" w:sz="0" w:space="0" w:color="auto"/>
            <w:left w:val="none" w:sz="0" w:space="0" w:color="auto"/>
            <w:bottom w:val="none" w:sz="0" w:space="0" w:color="auto"/>
            <w:right w:val="none" w:sz="0" w:space="0" w:color="auto"/>
          </w:divBdr>
          <w:divsChild>
            <w:div w:id="141628614">
              <w:marLeft w:val="0"/>
              <w:marRight w:val="0"/>
              <w:marTop w:val="0"/>
              <w:marBottom w:val="0"/>
              <w:divBdr>
                <w:top w:val="none" w:sz="0" w:space="0" w:color="auto"/>
                <w:left w:val="none" w:sz="0" w:space="0" w:color="auto"/>
                <w:bottom w:val="none" w:sz="0" w:space="0" w:color="auto"/>
                <w:right w:val="none" w:sz="0" w:space="0" w:color="auto"/>
              </w:divBdr>
            </w:div>
            <w:div w:id="162549212">
              <w:marLeft w:val="0"/>
              <w:marRight w:val="0"/>
              <w:marTop w:val="0"/>
              <w:marBottom w:val="0"/>
              <w:divBdr>
                <w:top w:val="none" w:sz="0" w:space="0" w:color="auto"/>
                <w:left w:val="none" w:sz="0" w:space="0" w:color="auto"/>
                <w:bottom w:val="none" w:sz="0" w:space="0" w:color="auto"/>
                <w:right w:val="none" w:sz="0" w:space="0" w:color="auto"/>
              </w:divBdr>
            </w:div>
            <w:div w:id="228661047">
              <w:marLeft w:val="0"/>
              <w:marRight w:val="0"/>
              <w:marTop w:val="0"/>
              <w:marBottom w:val="0"/>
              <w:divBdr>
                <w:top w:val="none" w:sz="0" w:space="0" w:color="auto"/>
                <w:left w:val="none" w:sz="0" w:space="0" w:color="auto"/>
                <w:bottom w:val="none" w:sz="0" w:space="0" w:color="auto"/>
                <w:right w:val="none" w:sz="0" w:space="0" w:color="auto"/>
              </w:divBdr>
            </w:div>
            <w:div w:id="242448165">
              <w:marLeft w:val="0"/>
              <w:marRight w:val="0"/>
              <w:marTop w:val="0"/>
              <w:marBottom w:val="0"/>
              <w:divBdr>
                <w:top w:val="none" w:sz="0" w:space="0" w:color="auto"/>
                <w:left w:val="none" w:sz="0" w:space="0" w:color="auto"/>
                <w:bottom w:val="none" w:sz="0" w:space="0" w:color="auto"/>
                <w:right w:val="none" w:sz="0" w:space="0" w:color="auto"/>
              </w:divBdr>
            </w:div>
            <w:div w:id="1259752366">
              <w:marLeft w:val="0"/>
              <w:marRight w:val="0"/>
              <w:marTop w:val="0"/>
              <w:marBottom w:val="0"/>
              <w:divBdr>
                <w:top w:val="none" w:sz="0" w:space="0" w:color="auto"/>
                <w:left w:val="none" w:sz="0" w:space="0" w:color="auto"/>
                <w:bottom w:val="none" w:sz="0" w:space="0" w:color="auto"/>
                <w:right w:val="none" w:sz="0" w:space="0" w:color="auto"/>
              </w:divBdr>
            </w:div>
            <w:div w:id="1603494405">
              <w:marLeft w:val="0"/>
              <w:marRight w:val="0"/>
              <w:marTop w:val="0"/>
              <w:marBottom w:val="0"/>
              <w:divBdr>
                <w:top w:val="none" w:sz="0" w:space="0" w:color="auto"/>
                <w:left w:val="none" w:sz="0" w:space="0" w:color="auto"/>
                <w:bottom w:val="none" w:sz="0" w:space="0" w:color="auto"/>
                <w:right w:val="none" w:sz="0" w:space="0" w:color="auto"/>
              </w:divBdr>
            </w:div>
            <w:div w:id="1700547325">
              <w:marLeft w:val="0"/>
              <w:marRight w:val="0"/>
              <w:marTop w:val="0"/>
              <w:marBottom w:val="0"/>
              <w:divBdr>
                <w:top w:val="none" w:sz="0" w:space="0" w:color="auto"/>
                <w:left w:val="none" w:sz="0" w:space="0" w:color="auto"/>
                <w:bottom w:val="none" w:sz="0" w:space="0" w:color="auto"/>
                <w:right w:val="none" w:sz="0" w:space="0" w:color="auto"/>
              </w:divBdr>
            </w:div>
            <w:div w:id="1743329620">
              <w:marLeft w:val="0"/>
              <w:marRight w:val="0"/>
              <w:marTop w:val="0"/>
              <w:marBottom w:val="0"/>
              <w:divBdr>
                <w:top w:val="none" w:sz="0" w:space="0" w:color="auto"/>
                <w:left w:val="none" w:sz="0" w:space="0" w:color="auto"/>
                <w:bottom w:val="none" w:sz="0" w:space="0" w:color="auto"/>
                <w:right w:val="none" w:sz="0" w:space="0" w:color="auto"/>
              </w:divBdr>
            </w:div>
            <w:div w:id="1847091901">
              <w:marLeft w:val="0"/>
              <w:marRight w:val="0"/>
              <w:marTop w:val="0"/>
              <w:marBottom w:val="0"/>
              <w:divBdr>
                <w:top w:val="none" w:sz="0" w:space="0" w:color="auto"/>
                <w:left w:val="none" w:sz="0" w:space="0" w:color="auto"/>
                <w:bottom w:val="none" w:sz="0" w:space="0" w:color="auto"/>
                <w:right w:val="none" w:sz="0" w:space="0" w:color="auto"/>
              </w:divBdr>
            </w:div>
            <w:div w:id="2118131454">
              <w:marLeft w:val="0"/>
              <w:marRight w:val="0"/>
              <w:marTop w:val="0"/>
              <w:marBottom w:val="0"/>
              <w:divBdr>
                <w:top w:val="none" w:sz="0" w:space="0" w:color="auto"/>
                <w:left w:val="none" w:sz="0" w:space="0" w:color="auto"/>
                <w:bottom w:val="none" w:sz="0" w:space="0" w:color="auto"/>
                <w:right w:val="none" w:sz="0" w:space="0" w:color="auto"/>
              </w:divBdr>
            </w:div>
          </w:divsChild>
        </w:div>
        <w:div w:id="572088373">
          <w:marLeft w:val="0"/>
          <w:marRight w:val="0"/>
          <w:marTop w:val="0"/>
          <w:marBottom w:val="0"/>
          <w:divBdr>
            <w:top w:val="none" w:sz="0" w:space="0" w:color="auto"/>
            <w:left w:val="none" w:sz="0" w:space="0" w:color="auto"/>
            <w:bottom w:val="none" w:sz="0" w:space="0" w:color="auto"/>
            <w:right w:val="none" w:sz="0" w:space="0" w:color="auto"/>
          </w:divBdr>
          <w:divsChild>
            <w:div w:id="74712450">
              <w:marLeft w:val="0"/>
              <w:marRight w:val="0"/>
              <w:marTop w:val="0"/>
              <w:marBottom w:val="0"/>
              <w:divBdr>
                <w:top w:val="none" w:sz="0" w:space="0" w:color="auto"/>
                <w:left w:val="none" w:sz="0" w:space="0" w:color="auto"/>
                <w:bottom w:val="none" w:sz="0" w:space="0" w:color="auto"/>
                <w:right w:val="none" w:sz="0" w:space="0" w:color="auto"/>
              </w:divBdr>
            </w:div>
            <w:div w:id="115636205">
              <w:marLeft w:val="0"/>
              <w:marRight w:val="0"/>
              <w:marTop w:val="0"/>
              <w:marBottom w:val="0"/>
              <w:divBdr>
                <w:top w:val="none" w:sz="0" w:space="0" w:color="auto"/>
                <w:left w:val="none" w:sz="0" w:space="0" w:color="auto"/>
                <w:bottom w:val="none" w:sz="0" w:space="0" w:color="auto"/>
                <w:right w:val="none" w:sz="0" w:space="0" w:color="auto"/>
              </w:divBdr>
            </w:div>
            <w:div w:id="294990477">
              <w:marLeft w:val="0"/>
              <w:marRight w:val="0"/>
              <w:marTop w:val="0"/>
              <w:marBottom w:val="0"/>
              <w:divBdr>
                <w:top w:val="none" w:sz="0" w:space="0" w:color="auto"/>
                <w:left w:val="none" w:sz="0" w:space="0" w:color="auto"/>
                <w:bottom w:val="none" w:sz="0" w:space="0" w:color="auto"/>
                <w:right w:val="none" w:sz="0" w:space="0" w:color="auto"/>
              </w:divBdr>
            </w:div>
            <w:div w:id="297296996">
              <w:marLeft w:val="0"/>
              <w:marRight w:val="0"/>
              <w:marTop w:val="0"/>
              <w:marBottom w:val="0"/>
              <w:divBdr>
                <w:top w:val="none" w:sz="0" w:space="0" w:color="auto"/>
                <w:left w:val="none" w:sz="0" w:space="0" w:color="auto"/>
                <w:bottom w:val="none" w:sz="0" w:space="0" w:color="auto"/>
                <w:right w:val="none" w:sz="0" w:space="0" w:color="auto"/>
              </w:divBdr>
            </w:div>
            <w:div w:id="459037666">
              <w:marLeft w:val="0"/>
              <w:marRight w:val="0"/>
              <w:marTop w:val="0"/>
              <w:marBottom w:val="0"/>
              <w:divBdr>
                <w:top w:val="none" w:sz="0" w:space="0" w:color="auto"/>
                <w:left w:val="none" w:sz="0" w:space="0" w:color="auto"/>
                <w:bottom w:val="none" w:sz="0" w:space="0" w:color="auto"/>
                <w:right w:val="none" w:sz="0" w:space="0" w:color="auto"/>
              </w:divBdr>
            </w:div>
            <w:div w:id="491415020">
              <w:marLeft w:val="0"/>
              <w:marRight w:val="0"/>
              <w:marTop w:val="0"/>
              <w:marBottom w:val="0"/>
              <w:divBdr>
                <w:top w:val="none" w:sz="0" w:space="0" w:color="auto"/>
                <w:left w:val="none" w:sz="0" w:space="0" w:color="auto"/>
                <w:bottom w:val="none" w:sz="0" w:space="0" w:color="auto"/>
                <w:right w:val="none" w:sz="0" w:space="0" w:color="auto"/>
              </w:divBdr>
            </w:div>
            <w:div w:id="570505378">
              <w:marLeft w:val="0"/>
              <w:marRight w:val="0"/>
              <w:marTop w:val="0"/>
              <w:marBottom w:val="0"/>
              <w:divBdr>
                <w:top w:val="none" w:sz="0" w:space="0" w:color="auto"/>
                <w:left w:val="none" w:sz="0" w:space="0" w:color="auto"/>
                <w:bottom w:val="none" w:sz="0" w:space="0" w:color="auto"/>
                <w:right w:val="none" w:sz="0" w:space="0" w:color="auto"/>
              </w:divBdr>
            </w:div>
            <w:div w:id="588851362">
              <w:marLeft w:val="0"/>
              <w:marRight w:val="0"/>
              <w:marTop w:val="0"/>
              <w:marBottom w:val="0"/>
              <w:divBdr>
                <w:top w:val="none" w:sz="0" w:space="0" w:color="auto"/>
                <w:left w:val="none" w:sz="0" w:space="0" w:color="auto"/>
                <w:bottom w:val="none" w:sz="0" w:space="0" w:color="auto"/>
                <w:right w:val="none" w:sz="0" w:space="0" w:color="auto"/>
              </w:divBdr>
            </w:div>
            <w:div w:id="623271598">
              <w:marLeft w:val="0"/>
              <w:marRight w:val="0"/>
              <w:marTop w:val="0"/>
              <w:marBottom w:val="0"/>
              <w:divBdr>
                <w:top w:val="none" w:sz="0" w:space="0" w:color="auto"/>
                <w:left w:val="none" w:sz="0" w:space="0" w:color="auto"/>
                <w:bottom w:val="none" w:sz="0" w:space="0" w:color="auto"/>
                <w:right w:val="none" w:sz="0" w:space="0" w:color="auto"/>
              </w:divBdr>
            </w:div>
            <w:div w:id="710690266">
              <w:marLeft w:val="0"/>
              <w:marRight w:val="0"/>
              <w:marTop w:val="0"/>
              <w:marBottom w:val="0"/>
              <w:divBdr>
                <w:top w:val="none" w:sz="0" w:space="0" w:color="auto"/>
                <w:left w:val="none" w:sz="0" w:space="0" w:color="auto"/>
                <w:bottom w:val="none" w:sz="0" w:space="0" w:color="auto"/>
                <w:right w:val="none" w:sz="0" w:space="0" w:color="auto"/>
              </w:divBdr>
            </w:div>
            <w:div w:id="759377600">
              <w:marLeft w:val="0"/>
              <w:marRight w:val="0"/>
              <w:marTop w:val="0"/>
              <w:marBottom w:val="0"/>
              <w:divBdr>
                <w:top w:val="none" w:sz="0" w:space="0" w:color="auto"/>
                <w:left w:val="none" w:sz="0" w:space="0" w:color="auto"/>
                <w:bottom w:val="none" w:sz="0" w:space="0" w:color="auto"/>
                <w:right w:val="none" w:sz="0" w:space="0" w:color="auto"/>
              </w:divBdr>
            </w:div>
            <w:div w:id="951326475">
              <w:marLeft w:val="0"/>
              <w:marRight w:val="0"/>
              <w:marTop w:val="0"/>
              <w:marBottom w:val="0"/>
              <w:divBdr>
                <w:top w:val="none" w:sz="0" w:space="0" w:color="auto"/>
                <w:left w:val="none" w:sz="0" w:space="0" w:color="auto"/>
                <w:bottom w:val="none" w:sz="0" w:space="0" w:color="auto"/>
                <w:right w:val="none" w:sz="0" w:space="0" w:color="auto"/>
              </w:divBdr>
            </w:div>
            <w:div w:id="989136241">
              <w:marLeft w:val="0"/>
              <w:marRight w:val="0"/>
              <w:marTop w:val="0"/>
              <w:marBottom w:val="0"/>
              <w:divBdr>
                <w:top w:val="none" w:sz="0" w:space="0" w:color="auto"/>
                <w:left w:val="none" w:sz="0" w:space="0" w:color="auto"/>
                <w:bottom w:val="none" w:sz="0" w:space="0" w:color="auto"/>
                <w:right w:val="none" w:sz="0" w:space="0" w:color="auto"/>
              </w:divBdr>
            </w:div>
            <w:div w:id="992874436">
              <w:marLeft w:val="0"/>
              <w:marRight w:val="0"/>
              <w:marTop w:val="0"/>
              <w:marBottom w:val="0"/>
              <w:divBdr>
                <w:top w:val="none" w:sz="0" w:space="0" w:color="auto"/>
                <w:left w:val="none" w:sz="0" w:space="0" w:color="auto"/>
                <w:bottom w:val="none" w:sz="0" w:space="0" w:color="auto"/>
                <w:right w:val="none" w:sz="0" w:space="0" w:color="auto"/>
              </w:divBdr>
            </w:div>
            <w:div w:id="1013339109">
              <w:marLeft w:val="0"/>
              <w:marRight w:val="0"/>
              <w:marTop w:val="0"/>
              <w:marBottom w:val="0"/>
              <w:divBdr>
                <w:top w:val="none" w:sz="0" w:space="0" w:color="auto"/>
                <w:left w:val="none" w:sz="0" w:space="0" w:color="auto"/>
                <w:bottom w:val="none" w:sz="0" w:space="0" w:color="auto"/>
                <w:right w:val="none" w:sz="0" w:space="0" w:color="auto"/>
              </w:divBdr>
            </w:div>
            <w:div w:id="1085610017">
              <w:marLeft w:val="0"/>
              <w:marRight w:val="0"/>
              <w:marTop w:val="0"/>
              <w:marBottom w:val="0"/>
              <w:divBdr>
                <w:top w:val="none" w:sz="0" w:space="0" w:color="auto"/>
                <w:left w:val="none" w:sz="0" w:space="0" w:color="auto"/>
                <w:bottom w:val="none" w:sz="0" w:space="0" w:color="auto"/>
                <w:right w:val="none" w:sz="0" w:space="0" w:color="auto"/>
              </w:divBdr>
            </w:div>
            <w:div w:id="1487819226">
              <w:marLeft w:val="0"/>
              <w:marRight w:val="0"/>
              <w:marTop w:val="0"/>
              <w:marBottom w:val="0"/>
              <w:divBdr>
                <w:top w:val="none" w:sz="0" w:space="0" w:color="auto"/>
                <w:left w:val="none" w:sz="0" w:space="0" w:color="auto"/>
                <w:bottom w:val="none" w:sz="0" w:space="0" w:color="auto"/>
                <w:right w:val="none" w:sz="0" w:space="0" w:color="auto"/>
              </w:divBdr>
            </w:div>
            <w:div w:id="1533684561">
              <w:marLeft w:val="0"/>
              <w:marRight w:val="0"/>
              <w:marTop w:val="0"/>
              <w:marBottom w:val="0"/>
              <w:divBdr>
                <w:top w:val="none" w:sz="0" w:space="0" w:color="auto"/>
                <w:left w:val="none" w:sz="0" w:space="0" w:color="auto"/>
                <w:bottom w:val="none" w:sz="0" w:space="0" w:color="auto"/>
                <w:right w:val="none" w:sz="0" w:space="0" w:color="auto"/>
              </w:divBdr>
            </w:div>
            <w:div w:id="1694115244">
              <w:marLeft w:val="0"/>
              <w:marRight w:val="0"/>
              <w:marTop w:val="0"/>
              <w:marBottom w:val="0"/>
              <w:divBdr>
                <w:top w:val="none" w:sz="0" w:space="0" w:color="auto"/>
                <w:left w:val="none" w:sz="0" w:space="0" w:color="auto"/>
                <w:bottom w:val="none" w:sz="0" w:space="0" w:color="auto"/>
                <w:right w:val="none" w:sz="0" w:space="0" w:color="auto"/>
              </w:divBdr>
            </w:div>
            <w:div w:id="1950814671">
              <w:marLeft w:val="0"/>
              <w:marRight w:val="0"/>
              <w:marTop w:val="0"/>
              <w:marBottom w:val="0"/>
              <w:divBdr>
                <w:top w:val="none" w:sz="0" w:space="0" w:color="auto"/>
                <w:left w:val="none" w:sz="0" w:space="0" w:color="auto"/>
                <w:bottom w:val="none" w:sz="0" w:space="0" w:color="auto"/>
                <w:right w:val="none" w:sz="0" w:space="0" w:color="auto"/>
              </w:divBdr>
            </w:div>
          </w:divsChild>
        </w:div>
        <w:div w:id="664867110">
          <w:marLeft w:val="0"/>
          <w:marRight w:val="0"/>
          <w:marTop w:val="0"/>
          <w:marBottom w:val="0"/>
          <w:divBdr>
            <w:top w:val="none" w:sz="0" w:space="0" w:color="auto"/>
            <w:left w:val="none" w:sz="0" w:space="0" w:color="auto"/>
            <w:bottom w:val="none" w:sz="0" w:space="0" w:color="auto"/>
            <w:right w:val="none" w:sz="0" w:space="0" w:color="auto"/>
          </w:divBdr>
          <w:divsChild>
            <w:div w:id="81419061">
              <w:marLeft w:val="0"/>
              <w:marRight w:val="0"/>
              <w:marTop w:val="0"/>
              <w:marBottom w:val="0"/>
              <w:divBdr>
                <w:top w:val="none" w:sz="0" w:space="0" w:color="auto"/>
                <w:left w:val="none" w:sz="0" w:space="0" w:color="auto"/>
                <w:bottom w:val="none" w:sz="0" w:space="0" w:color="auto"/>
                <w:right w:val="none" w:sz="0" w:space="0" w:color="auto"/>
              </w:divBdr>
            </w:div>
            <w:div w:id="385026987">
              <w:marLeft w:val="0"/>
              <w:marRight w:val="0"/>
              <w:marTop w:val="0"/>
              <w:marBottom w:val="0"/>
              <w:divBdr>
                <w:top w:val="none" w:sz="0" w:space="0" w:color="auto"/>
                <w:left w:val="none" w:sz="0" w:space="0" w:color="auto"/>
                <w:bottom w:val="none" w:sz="0" w:space="0" w:color="auto"/>
                <w:right w:val="none" w:sz="0" w:space="0" w:color="auto"/>
              </w:divBdr>
            </w:div>
            <w:div w:id="410397076">
              <w:marLeft w:val="0"/>
              <w:marRight w:val="0"/>
              <w:marTop w:val="0"/>
              <w:marBottom w:val="0"/>
              <w:divBdr>
                <w:top w:val="none" w:sz="0" w:space="0" w:color="auto"/>
                <w:left w:val="none" w:sz="0" w:space="0" w:color="auto"/>
                <w:bottom w:val="none" w:sz="0" w:space="0" w:color="auto"/>
                <w:right w:val="none" w:sz="0" w:space="0" w:color="auto"/>
              </w:divBdr>
            </w:div>
            <w:div w:id="485433530">
              <w:marLeft w:val="0"/>
              <w:marRight w:val="0"/>
              <w:marTop w:val="0"/>
              <w:marBottom w:val="0"/>
              <w:divBdr>
                <w:top w:val="none" w:sz="0" w:space="0" w:color="auto"/>
                <w:left w:val="none" w:sz="0" w:space="0" w:color="auto"/>
                <w:bottom w:val="none" w:sz="0" w:space="0" w:color="auto"/>
                <w:right w:val="none" w:sz="0" w:space="0" w:color="auto"/>
              </w:divBdr>
            </w:div>
            <w:div w:id="497187514">
              <w:marLeft w:val="0"/>
              <w:marRight w:val="0"/>
              <w:marTop w:val="0"/>
              <w:marBottom w:val="0"/>
              <w:divBdr>
                <w:top w:val="none" w:sz="0" w:space="0" w:color="auto"/>
                <w:left w:val="none" w:sz="0" w:space="0" w:color="auto"/>
                <w:bottom w:val="none" w:sz="0" w:space="0" w:color="auto"/>
                <w:right w:val="none" w:sz="0" w:space="0" w:color="auto"/>
              </w:divBdr>
            </w:div>
            <w:div w:id="534386951">
              <w:marLeft w:val="0"/>
              <w:marRight w:val="0"/>
              <w:marTop w:val="0"/>
              <w:marBottom w:val="0"/>
              <w:divBdr>
                <w:top w:val="none" w:sz="0" w:space="0" w:color="auto"/>
                <w:left w:val="none" w:sz="0" w:space="0" w:color="auto"/>
                <w:bottom w:val="none" w:sz="0" w:space="0" w:color="auto"/>
                <w:right w:val="none" w:sz="0" w:space="0" w:color="auto"/>
              </w:divBdr>
            </w:div>
            <w:div w:id="552691006">
              <w:marLeft w:val="0"/>
              <w:marRight w:val="0"/>
              <w:marTop w:val="0"/>
              <w:marBottom w:val="0"/>
              <w:divBdr>
                <w:top w:val="none" w:sz="0" w:space="0" w:color="auto"/>
                <w:left w:val="none" w:sz="0" w:space="0" w:color="auto"/>
                <w:bottom w:val="none" w:sz="0" w:space="0" w:color="auto"/>
                <w:right w:val="none" w:sz="0" w:space="0" w:color="auto"/>
              </w:divBdr>
            </w:div>
            <w:div w:id="564410311">
              <w:marLeft w:val="0"/>
              <w:marRight w:val="0"/>
              <w:marTop w:val="0"/>
              <w:marBottom w:val="0"/>
              <w:divBdr>
                <w:top w:val="none" w:sz="0" w:space="0" w:color="auto"/>
                <w:left w:val="none" w:sz="0" w:space="0" w:color="auto"/>
                <w:bottom w:val="none" w:sz="0" w:space="0" w:color="auto"/>
                <w:right w:val="none" w:sz="0" w:space="0" w:color="auto"/>
              </w:divBdr>
            </w:div>
            <w:div w:id="649552840">
              <w:marLeft w:val="0"/>
              <w:marRight w:val="0"/>
              <w:marTop w:val="0"/>
              <w:marBottom w:val="0"/>
              <w:divBdr>
                <w:top w:val="none" w:sz="0" w:space="0" w:color="auto"/>
                <w:left w:val="none" w:sz="0" w:space="0" w:color="auto"/>
                <w:bottom w:val="none" w:sz="0" w:space="0" w:color="auto"/>
                <w:right w:val="none" w:sz="0" w:space="0" w:color="auto"/>
              </w:divBdr>
            </w:div>
            <w:div w:id="705325958">
              <w:marLeft w:val="0"/>
              <w:marRight w:val="0"/>
              <w:marTop w:val="0"/>
              <w:marBottom w:val="0"/>
              <w:divBdr>
                <w:top w:val="none" w:sz="0" w:space="0" w:color="auto"/>
                <w:left w:val="none" w:sz="0" w:space="0" w:color="auto"/>
                <w:bottom w:val="none" w:sz="0" w:space="0" w:color="auto"/>
                <w:right w:val="none" w:sz="0" w:space="0" w:color="auto"/>
              </w:divBdr>
            </w:div>
            <w:div w:id="715423240">
              <w:marLeft w:val="0"/>
              <w:marRight w:val="0"/>
              <w:marTop w:val="0"/>
              <w:marBottom w:val="0"/>
              <w:divBdr>
                <w:top w:val="none" w:sz="0" w:space="0" w:color="auto"/>
                <w:left w:val="none" w:sz="0" w:space="0" w:color="auto"/>
                <w:bottom w:val="none" w:sz="0" w:space="0" w:color="auto"/>
                <w:right w:val="none" w:sz="0" w:space="0" w:color="auto"/>
              </w:divBdr>
            </w:div>
            <w:div w:id="807285455">
              <w:marLeft w:val="0"/>
              <w:marRight w:val="0"/>
              <w:marTop w:val="0"/>
              <w:marBottom w:val="0"/>
              <w:divBdr>
                <w:top w:val="none" w:sz="0" w:space="0" w:color="auto"/>
                <w:left w:val="none" w:sz="0" w:space="0" w:color="auto"/>
                <w:bottom w:val="none" w:sz="0" w:space="0" w:color="auto"/>
                <w:right w:val="none" w:sz="0" w:space="0" w:color="auto"/>
              </w:divBdr>
            </w:div>
            <w:div w:id="1072897517">
              <w:marLeft w:val="0"/>
              <w:marRight w:val="0"/>
              <w:marTop w:val="0"/>
              <w:marBottom w:val="0"/>
              <w:divBdr>
                <w:top w:val="none" w:sz="0" w:space="0" w:color="auto"/>
                <w:left w:val="none" w:sz="0" w:space="0" w:color="auto"/>
                <w:bottom w:val="none" w:sz="0" w:space="0" w:color="auto"/>
                <w:right w:val="none" w:sz="0" w:space="0" w:color="auto"/>
              </w:divBdr>
            </w:div>
            <w:div w:id="1196232562">
              <w:marLeft w:val="0"/>
              <w:marRight w:val="0"/>
              <w:marTop w:val="0"/>
              <w:marBottom w:val="0"/>
              <w:divBdr>
                <w:top w:val="none" w:sz="0" w:space="0" w:color="auto"/>
                <w:left w:val="none" w:sz="0" w:space="0" w:color="auto"/>
                <w:bottom w:val="none" w:sz="0" w:space="0" w:color="auto"/>
                <w:right w:val="none" w:sz="0" w:space="0" w:color="auto"/>
              </w:divBdr>
            </w:div>
            <w:div w:id="1317418508">
              <w:marLeft w:val="0"/>
              <w:marRight w:val="0"/>
              <w:marTop w:val="0"/>
              <w:marBottom w:val="0"/>
              <w:divBdr>
                <w:top w:val="none" w:sz="0" w:space="0" w:color="auto"/>
                <w:left w:val="none" w:sz="0" w:space="0" w:color="auto"/>
                <w:bottom w:val="none" w:sz="0" w:space="0" w:color="auto"/>
                <w:right w:val="none" w:sz="0" w:space="0" w:color="auto"/>
              </w:divBdr>
            </w:div>
            <w:div w:id="1666203163">
              <w:marLeft w:val="0"/>
              <w:marRight w:val="0"/>
              <w:marTop w:val="0"/>
              <w:marBottom w:val="0"/>
              <w:divBdr>
                <w:top w:val="none" w:sz="0" w:space="0" w:color="auto"/>
                <w:left w:val="none" w:sz="0" w:space="0" w:color="auto"/>
                <w:bottom w:val="none" w:sz="0" w:space="0" w:color="auto"/>
                <w:right w:val="none" w:sz="0" w:space="0" w:color="auto"/>
              </w:divBdr>
            </w:div>
            <w:div w:id="1686176194">
              <w:marLeft w:val="0"/>
              <w:marRight w:val="0"/>
              <w:marTop w:val="0"/>
              <w:marBottom w:val="0"/>
              <w:divBdr>
                <w:top w:val="none" w:sz="0" w:space="0" w:color="auto"/>
                <w:left w:val="none" w:sz="0" w:space="0" w:color="auto"/>
                <w:bottom w:val="none" w:sz="0" w:space="0" w:color="auto"/>
                <w:right w:val="none" w:sz="0" w:space="0" w:color="auto"/>
              </w:divBdr>
            </w:div>
            <w:div w:id="1839415975">
              <w:marLeft w:val="0"/>
              <w:marRight w:val="0"/>
              <w:marTop w:val="0"/>
              <w:marBottom w:val="0"/>
              <w:divBdr>
                <w:top w:val="none" w:sz="0" w:space="0" w:color="auto"/>
                <w:left w:val="none" w:sz="0" w:space="0" w:color="auto"/>
                <w:bottom w:val="none" w:sz="0" w:space="0" w:color="auto"/>
                <w:right w:val="none" w:sz="0" w:space="0" w:color="auto"/>
              </w:divBdr>
            </w:div>
            <w:div w:id="1964841812">
              <w:marLeft w:val="0"/>
              <w:marRight w:val="0"/>
              <w:marTop w:val="0"/>
              <w:marBottom w:val="0"/>
              <w:divBdr>
                <w:top w:val="none" w:sz="0" w:space="0" w:color="auto"/>
                <w:left w:val="none" w:sz="0" w:space="0" w:color="auto"/>
                <w:bottom w:val="none" w:sz="0" w:space="0" w:color="auto"/>
                <w:right w:val="none" w:sz="0" w:space="0" w:color="auto"/>
              </w:divBdr>
            </w:div>
            <w:div w:id="2058627035">
              <w:marLeft w:val="0"/>
              <w:marRight w:val="0"/>
              <w:marTop w:val="0"/>
              <w:marBottom w:val="0"/>
              <w:divBdr>
                <w:top w:val="none" w:sz="0" w:space="0" w:color="auto"/>
                <w:left w:val="none" w:sz="0" w:space="0" w:color="auto"/>
                <w:bottom w:val="none" w:sz="0" w:space="0" w:color="auto"/>
                <w:right w:val="none" w:sz="0" w:space="0" w:color="auto"/>
              </w:divBdr>
            </w:div>
          </w:divsChild>
        </w:div>
        <w:div w:id="909000475">
          <w:marLeft w:val="0"/>
          <w:marRight w:val="0"/>
          <w:marTop w:val="0"/>
          <w:marBottom w:val="0"/>
          <w:divBdr>
            <w:top w:val="none" w:sz="0" w:space="0" w:color="auto"/>
            <w:left w:val="none" w:sz="0" w:space="0" w:color="auto"/>
            <w:bottom w:val="none" w:sz="0" w:space="0" w:color="auto"/>
            <w:right w:val="none" w:sz="0" w:space="0" w:color="auto"/>
          </w:divBdr>
          <w:divsChild>
            <w:div w:id="223610920">
              <w:marLeft w:val="0"/>
              <w:marRight w:val="0"/>
              <w:marTop w:val="0"/>
              <w:marBottom w:val="0"/>
              <w:divBdr>
                <w:top w:val="none" w:sz="0" w:space="0" w:color="auto"/>
                <w:left w:val="none" w:sz="0" w:space="0" w:color="auto"/>
                <w:bottom w:val="none" w:sz="0" w:space="0" w:color="auto"/>
                <w:right w:val="none" w:sz="0" w:space="0" w:color="auto"/>
              </w:divBdr>
            </w:div>
            <w:div w:id="233901192">
              <w:marLeft w:val="0"/>
              <w:marRight w:val="0"/>
              <w:marTop w:val="0"/>
              <w:marBottom w:val="0"/>
              <w:divBdr>
                <w:top w:val="none" w:sz="0" w:space="0" w:color="auto"/>
                <w:left w:val="none" w:sz="0" w:space="0" w:color="auto"/>
                <w:bottom w:val="none" w:sz="0" w:space="0" w:color="auto"/>
                <w:right w:val="none" w:sz="0" w:space="0" w:color="auto"/>
              </w:divBdr>
            </w:div>
            <w:div w:id="283077163">
              <w:marLeft w:val="0"/>
              <w:marRight w:val="0"/>
              <w:marTop w:val="0"/>
              <w:marBottom w:val="0"/>
              <w:divBdr>
                <w:top w:val="none" w:sz="0" w:space="0" w:color="auto"/>
                <w:left w:val="none" w:sz="0" w:space="0" w:color="auto"/>
                <w:bottom w:val="none" w:sz="0" w:space="0" w:color="auto"/>
                <w:right w:val="none" w:sz="0" w:space="0" w:color="auto"/>
              </w:divBdr>
            </w:div>
            <w:div w:id="414934104">
              <w:marLeft w:val="0"/>
              <w:marRight w:val="0"/>
              <w:marTop w:val="0"/>
              <w:marBottom w:val="0"/>
              <w:divBdr>
                <w:top w:val="none" w:sz="0" w:space="0" w:color="auto"/>
                <w:left w:val="none" w:sz="0" w:space="0" w:color="auto"/>
                <w:bottom w:val="none" w:sz="0" w:space="0" w:color="auto"/>
                <w:right w:val="none" w:sz="0" w:space="0" w:color="auto"/>
              </w:divBdr>
            </w:div>
            <w:div w:id="725615107">
              <w:marLeft w:val="0"/>
              <w:marRight w:val="0"/>
              <w:marTop w:val="0"/>
              <w:marBottom w:val="0"/>
              <w:divBdr>
                <w:top w:val="none" w:sz="0" w:space="0" w:color="auto"/>
                <w:left w:val="none" w:sz="0" w:space="0" w:color="auto"/>
                <w:bottom w:val="none" w:sz="0" w:space="0" w:color="auto"/>
                <w:right w:val="none" w:sz="0" w:space="0" w:color="auto"/>
              </w:divBdr>
            </w:div>
            <w:div w:id="737283645">
              <w:marLeft w:val="0"/>
              <w:marRight w:val="0"/>
              <w:marTop w:val="0"/>
              <w:marBottom w:val="0"/>
              <w:divBdr>
                <w:top w:val="none" w:sz="0" w:space="0" w:color="auto"/>
                <w:left w:val="none" w:sz="0" w:space="0" w:color="auto"/>
                <w:bottom w:val="none" w:sz="0" w:space="0" w:color="auto"/>
                <w:right w:val="none" w:sz="0" w:space="0" w:color="auto"/>
              </w:divBdr>
            </w:div>
            <w:div w:id="840511291">
              <w:marLeft w:val="0"/>
              <w:marRight w:val="0"/>
              <w:marTop w:val="0"/>
              <w:marBottom w:val="0"/>
              <w:divBdr>
                <w:top w:val="none" w:sz="0" w:space="0" w:color="auto"/>
                <w:left w:val="none" w:sz="0" w:space="0" w:color="auto"/>
                <w:bottom w:val="none" w:sz="0" w:space="0" w:color="auto"/>
                <w:right w:val="none" w:sz="0" w:space="0" w:color="auto"/>
              </w:divBdr>
            </w:div>
            <w:div w:id="929507890">
              <w:marLeft w:val="0"/>
              <w:marRight w:val="0"/>
              <w:marTop w:val="0"/>
              <w:marBottom w:val="0"/>
              <w:divBdr>
                <w:top w:val="none" w:sz="0" w:space="0" w:color="auto"/>
                <w:left w:val="none" w:sz="0" w:space="0" w:color="auto"/>
                <w:bottom w:val="none" w:sz="0" w:space="0" w:color="auto"/>
                <w:right w:val="none" w:sz="0" w:space="0" w:color="auto"/>
              </w:divBdr>
            </w:div>
            <w:div w:id="1177771164">
              <w:marLeft w:val="0"/>
              <w:marRight w:val="0"/>
              <w:marTop w:val="0"/>
              <w:marBottom w:val="0"/>
              <w:divBdr>
                <w:top w:val="none" w:sz="0" w:space="0" w:color="auto"/>
                <w:left w:val="none" w:sz="0" w:space="0" w:color="auto"/>
                <w:bottom w:val="none" w:sz="0" w:space="0" w:color="auto"/>
                <w:right w:val="none" w:sz="0" w:space="0" w:color="auto"/>
              </w:divBdr>
            </w:div>
            <w:div w:id="1349867627">
              <w:marLeft w:val="0"/>
              <w:marRight w:val="0"/>
              <w:marTop w:val="0"/>
              <w:marBottom w:val="0"/>
              <w:divBdr>
                <w:top w:val="none" w:sz="0" w:space="0" w:color="auto"/>
                <w:left w:val="none" w:sz="0" w:space="0" w:color="auto"/>
                <w:bottom w:val="none" w:sz="0" w:space="0" w:color="auto"/>
                <w:right w:val="none" w:sz="0" w:space="0" w:color="auto"/>
              </w:divBdr>
            </w:div>
            <w:div w:id="1403988923">
              <w:marLeft w:val="0"/>
              <w:marRight w:val="0"/>
              <w:marTop w:val="0"/>
              <w:marBottom w:val="0"/>
              <w:divBdr>
                <w:top w:val="none" w:sz="0" w:space="0" w:color="auto"/>
                <w:left w:val="none" w:sz="0" w:space="0" w:color="auto"/>
                <w:bottom w:val="none" w:sz="0" w:space="0" w:color="auto"/>
                <w:right w:val="none" w:sz="0" w:space="0" w:color="auto"/>
              </w:divBdr>
            </w:div>
            <w:div w:id="1419711705">
              <w:marLeft w:val="0"/>
              <w:marRight w:val="0"/>
              <w:marTop w:val="0"/>
              <w:marBottom w:val="0"/>
              <w:divBdr>
                <w:top w:val="none" w:sz="0" w:space="0" w:color="auto"/>
                <w:left w:val="none" w:sz="0" w:space="0" w:color="auto"/>
                <w:bottom w:val="none" w:sz="0" w:space="0" w:color="auto"/>
                <w:right w:val="none" w:sz="0" w:space="0" w:color="auto"/>
              </w:divBdr>
            </w:div>
            <w:div w:id="1630545829">
              <w:marLeft w:val="0"/>
              <w:marRight w:val="0"/>
              <w:marTop w:val="0"/>
              <w:marBottom w:val="0"/>
              <w:divBdr>
                <w:top w:val="none" w:sz="0" w:space="0" w:color="auto"/>
                <w:left w:val="none" w:sz="0" w:space="0" w:color="auto"/>
                <w:bottom w:val="none" w:sz="0" w:space="0" w:color="auto"/>
                <w:right w:val="none" w:sz="0" w:space="0" w:color="auto"/>
              </w:divBdr>
            </w:div>
            <w:div w:id="1709182981">
              <w:marLeft w:val="0"/>
              <w:marRight w:val="0"/>
              <w:marTop w:val="0"/>
              <w:marBottom w:val="0"/>
              <w:divBdr>
                <w:top w:val="none" w:sz="0" w:space="0" w:color="auto"/>
                <w:left w:val="none" w:sz="0" w:space="0" w:color="auto"/>
                <w:bottom w:val="none" w:sz="0" w:space="0" w:color="auto"/>
                <w:right w:val="none" w:sz="0" w:space="0" w:color="auto"/>
              </w:divBdr>
            </w:div>
            <w:div w:id="1882206295">
              <w:marLeft w:val="0"/>
              <w:marRight w:val="0"/>
              <w:marTop w:val="0"/>
              <w:marBottom w:val="0"/>
              <w:divBdr>
                <w:top w:val="none" w:sz="0" w:space="0" w:color="auto"/>
                <w:left w:val="none" w:sz="0" w:space="0" w:color="auto"/>
                <w:bottom w:val="none" w:sz="0" w:space="0" w:color="auto"/>
                <w:right w:val="none" w:sz="0" w:space="0" w:color="auto"/>
              </w:divBdr>
            </w:div>
            <w:div w:id="1941596379">
              <w:marLeft w:val="0"/>
              <w:marRight w:val="0"/>
              <w:marTop w:val="0"/>
              <w:marBottom w:val="0"/>
              <w:divBdr>
                <w:top w:val="none" w:sz="0" w:space="0" w:color="auto"/>
                <w:left w:val="none" w:sz="0" w:space="0" w:color="auto"/>
                <w:bottom w:val="none" w:sz="0" w:space="0" w:color="auto"/>
                <w:right w:val="none" w:sz="0" w:space="0" w:color="auto"/>
              </w:divBdr>
            </w:div>
            <w:div w:id="1950240441">
              <w:marLeft w:val="0"/>
              <w:marRight w:val="0"/>
              <w:marTop w:val="0"/>
              <w:marBottom w:val="0"/>
              <w:divBdr>
                <w:top w:val="none" w:sz="0" w:space="0" w:color="auto"/>
                <w:left w:val="none" w:sz="0" w:space="0" w:color="auto"/>
                <w:bottom w:val="none" w:sz="0" w:space="0" w:color="auto"/>
                <w:right w:val="none" w:sz="0" w:space="0" w:color="auto"/>
              </w:divBdr>
            </w:div>
            <w:div w:id="1982493482">
              <w:marLeft w:val="0"/>
              <w:marRight w:val="0"/>
              <w:marTop w:val="0"/>
              <w:marBottom w:val="0"/>
              <w:divBdr>
                <w:top w:val="none" w:sz="0" w:space="0" w:color="auto"/>
                <w:left w:val="none" w:sz="0" w:space="0" w:color="auto"/>
                <w:bottom w:val="none" w:sz="0" w:space="0" w:color="auto"/>
                <w:right w:val="none" w:sz="0" w:space="0" w:color="auto"/>
              </w:divBdr>
            </w:div>
            <w:div w:id="2009750112">
              <w:marLeft w:val="0"/>
              <w:marRight w:val="0"/>
              <w:marTop w:val="0"/>
              <w:marBottom w:val="0"/>
              <w:divBdr>
                <w:top w:val="none" w:sz="0" w:space="0" w:color="auto"/>
                <w:left w:val="none" w:sz="0" w:space="0" w:color="auto"/>
                <w:bottom w:val="none" w:sz="0" w:space="0" w:color="auto"/>
                <w:right w:val="none" w:sz="0" w:space="0" w:color="auto"/>
              </w:divBdr>
            </w:div>
            <w:div w:id="2115594995">
              <w:marLeft w:val="0"/>
              <w:marRight w:val="0"/>
              <w:marTop w:val="0"/>
              <w:marBottom w:val="0"/>
              <w:divBdr>
                <w:top w:val="none" w:sz="0" w:space="0" w:color="auto"/>
                <w:left w:val="none" w:sz="0" w:space="0" w:color="auto"/>
                <w:bottom w:val="none" w:sz="0" w:space="0" w:color="auto"/>
                <w:right w:val="none" w:sz="0" w:space="0" w:color="auto"/>
              </w:divBdr>
            </w:div>
          </w:divsChild>
        </w:div>
        <w:div w:id="948389825">
          <w:marLeft w:val="0"/>
          <w:marRight w:val="0"/>
          <w:marTop w:val="0"/>
          <w:marBottom w:val="0"/>
          <w:divBdr>
            <w:top w:val="none" w:sz="0" w:space="0" w:color="auto"/>
            <w:left w:val="none" w:sz="0" w:space="0" w:color="auto"/>
            <w:bottom w:val="none" w:sz="0" w:space="0" w:color="auto"/>
            <w:right w:val="none" w:sz="0" w:space="0" w:color="auto"/>
          </w:divBdr>
          <w:divsChild>
            <w:div w:id="95053762">
              <w:marLeft w:val="0"/>
              <w:marRight w:val="0"/>
              <w:marTop w:val="0"/>
              <w:marBottom w:val="0"/>
              <w:divBdr>
                <w:top w:val="none" w:sz="0" w:space="0" w:color="auto"/>
                <w:left w:val="none" w:sz="0" w:space="0" w:color="auto"/>
                <w:bottom w:val="none" w:sz="0" w:space="0" w:color="auto"/>
                <w:right w:val="none" w:sz="0" w:space="0" w:color="auto"/>
              </w:divBdr>
            </w:div>
            <w:div w:id="434055799">
              <w:marLeft w:val="0"/>
              <w:marRight w:val="0"/>
              <w:marTop w:val="0"/>
              <w:marBottom w:val="0"/>
              <w:divBdr>
                <w:top w:val="none" w:sz="0" w:space="0" w:color="auto"/>
                <w:left w:val="none" w:sz="0" w:space="0" w:color="auto"/>
                <w:bottom w:val="none" w:sz="0" w:space="0" w:color="auto"/>
                <w:right w:val="none" w:sz="0" w:space="0" w:color="auto"/>
              </w:divBdr>
            </w:div>
            <w:div w:id="447696602">
              <w:marLeft w:val="0"/>
              <w:marRight w:val="0"/>
              <w:marTop w:val="0"/>
              <w:marBottom w:val="0"/>
              <w:divBdr>
                <w:top w:val="none" w:sz="0" w:space="0" w:color="auto"/>
                <w:left w:val="none" w:sz="0" w:space="0" w:color="auto"/>
                <w:bottom w:val="none" w:sz="0" w:space="0" w:color="auto"/>
                <w:right w:val="none" w:sz="0" w:space="0" w:color="auto"/>
              </w:divBdr>
            </w:div>
            <w:div w:id="661979190">
              <w:marLeft w:val="0"/>
              <w:marRight w:val="0"/>
              <w:marTop w:val="0"/>
              <w:marBottom w:val="0"/>
              <w:divBdr>
                <w:top w:val="none" w:sz="0" w:space="0" w:color="auto"/>
                <w:left w:val="none" w:sz="0" w:space="0" w:color="auto"/>
                <w:bottom w:val="none" w:sz="0" w:space="0" w:color="auto"/>
                <w:right w:val="none" w:sz="0" w:space="0" w:color="auto"/>
              </w:divBdr>
            </w:div>
            <w:div w:id="701638603">
              <w:marLeft w:val="0"/>
              <w:marRight w:val="0"/>
              <w:marTop w:val="0"/>
              <w:marBottom w:val="0"/>
              <w:divBdr>
                <w:top w:val="none" w:sz="0" w:space="0" w:color="auto"/>
                <w:left w:val="none" w:sz="0" w:space="0" w:color="auto"/>
                <w:bottom w:val="none" w:sz="0" w:space="0" w:color="auto"/>
                <w:right w:val="none" w:sz="0" w:space="0" w:color="auto"/>
              </w:divBdr>
            </w:div>
            <w:div w:id="880362520">
              <w:marLeft w:val="0"/>
              <w:marRight w:val="0"/>
              <w:marTop w:val="0"/>
              <w:marBottom w:val="0"/>
              <w:divBdr>
                <w:top w:val="none" w:sz="0" w:space="0" w:color="auto"/>
                <w:left w:val="none" w:sz="0" w:space="0" w:color="auto"/>
                <w:bottom w:val="none" w:sz="0" w:space="0" w:color="auto"/>
                <w:right w:val="none" w:sz="0" w:space="0" w:color="auto"/>
              </w:divBdr>
            </w:div>
            <w:div w:id="1217470829">
              <w:marLeft w:val="0"/>
              <w:marRight w:val="0"/>
              <w:marTop w:val="0"/>
              <w:marBottom w:val="0"/>
              <w:divBdr>
                <w:top w:val="none" w:sz="0" w:space="0" w:color="auto"/>
                <w:left w:val="none" w:sz="0" w:space="0" w:color="auto"/>
                <w:bottom w:val="none" w:sz="0" w:space="0" w:color="auto"/>
                <w:right w:val="none" w:sz="0" w:space="0" w:color="auto"/>
              </w:divBdr>
            </w:div>
            <w:div w:id="1721660785">
              <w:marLeft w:val="0"/>
              <w:marRight w:val="0"/>
              <w:marTop w:val="0"/>
              <w:marBottom w:val="0"/>
              <w:divBdr>
                <w:top w:val="none" w:sz="0" w:space="0" w:color="auto"/>
                <w:left w:val="none" w:sz="0" w:space="0" w:color="auto"/>
                <w:bottom w:val="none" w:sz="0" w:space="0" w:color="auto"/>
                <w:right w:val="none" w:sz="0" w:space="0" w:color="auto"/>
              </w:divBdr>
            </w:div>
            <w:div w:id="1982810651">
              <w:marLeft w:val="0"/>
              <w:marRight w:val="0"/>
              <w:marTop w:val="0"/>
              <w:marBottom w:val="0"/>
              <w:divBdr>
                <w:top w:val="none" w:sz="0" w:space="0" w:color="auto"/>
                <w:left w:val="none" w:sz="0" w:space="0" w:color="auto"/>
                <w:bottom w:val="none" w:sz="0" w:space="0" w:color="auto"/>
                <w:right w:val="none" w:sz="0" w:space="0" w:color="auto"/>
              </w:divBdr>
            </w:div>
          </w:divsChild>
        </w:div>
        <w:div w:id="1336883806">
          <w:marLeft w:val="0"/>
          <w:marRight w:val="0"/>
          <w:marTop w:val="0"/>
          <w:marBottom w:val="0"/>
          <w:divBdr>
            <w:top w:val="none" w:sz="0" w:space="0" w:color="auto"/>
            <w:left w:val="none" w:sz="0" w:space="0" w:color="auto"/>
            <w:bottom w:val="none" w:sz="0" w:space="0" w:color="auto"/>
            <w:right w:val="none" w:sz="0" w:space="0" w:color="auto"/>
          </w:divBdr>
          <w:divsChild>
            <w:div w:id="1831942307">
              <w:marLeft w:val="-75"/>
              <w:marRight w:val="0"/>
              <w:marTop w:val="30"/>
              <w:marBottom w:val="30"/>
              <w:divBdr>
                <w:top w:val="none" w:sz="0" w:space="0" w:color="auto"/>
                <w:left w:val="none" w:sz="0" w:space="0" w:color="auto"/>
                <w:bottom w:val="none" w:sz="0" w:space="0" w:color="auto"/>
                <w:right w:val="none" w:sz="0" w:space="0" w:color="auto"/>
              </w:divBdr>
              <w:divsChild>
                <w:div w:id="116991549">
                  <w:marLeft w:val="0"/>
                  <w:marRight w:val="0"/>
                  <w:marTop w:val="0"/>
                  <w:marBottom w:val="0"/>
                  <w:divBdr>
                    <w:top w:val="none" w:sz="0" w:space="0" w:color="auto"/>
                    <w:left w:val="none" w:sz="0" w:space="0" w:color="auto"/>
                    <w:bottom w:val="none" w:sz="0" w:space="0" w:color="auto"/>
                    <w:right w:val="none" w:sz="0" w:space="0" w:color="auto"/>
                  </w:divBdr>
                  <w:divsChild>
                    <w:div w:id="1505969998">
                      <w:marLeft w:val="0"/>
                      <w:marRight w:val="0"/>
                      <w:marTop w:val="0"/>
                      <w:marBottom w:val="0"/>
                      <w:divBdr>
                        <w:top w:val="none" w:sz="0" w:space="0" w:color="auto"/>
                        <w:left w:val="none" w:sz="0" w:space="0" w:color="auto"/>
                        <w:bottom w:val="none" w:sz="0" w:space="0" w:color="auto"/>
                        <w:right w:val="none" w:sz="0" w:space="0" w:color="auto"/>
                      </w:divBdr>
                    </w:div>
                  </w:divsChild>
                </w:div>
                <w:div w:id="162857793">
                  <w:marLeft w:val="0"/>
                  <w:marRight w:val="0"/>
                  <w:marTop w:val="0"/>
                  <w:marBottom w:val="0"/>
                  <w:divBdr>
                    <w:top w:val="none" w:sz="0" w:space="0" w:color="auto"/>
                    <w:left w:val="none" w:sz="0" w:space="0" w:color="auto"/>
                    <w:bottom w:val="none" w:sz="0" w:space="0" w:color="auto"/>
                    <w:right w:val="none" w:sz="0" w:space="0" w:color="auto"/>
                  </w:divBdr>
                  <w:divsChild>
                    <w:div w:id="1342048854">
                      <w:marLeft w:val="0"/>
                      <w:marRight w:val="0"/>
                      <w:marTop w:val="0"/>
                      <w:marBottom w:val="0"/>
                      <w:divBdr>
                        <w:top w:val="none" w:sz="0" w:space="0" w:color="auto"/>
                        <w:left w:val="none" w:sz="0" w:space="0" w:color="auto"/>
                        <w:bottom w:val="none" w:sz="0" w:space="0" w:color="auto"/>
                        <w:right w:val="none" w:sz="0" w:space="0" w:color="auto"/>
                      </w:divBdr>
                    </w:div>
                  </w:divsChild>
                </w:div>
                <w:div w:id="504780368">
                  <w:marLeft w:val="0"/>
                  <w:marRight w:val="0"/>
                  <w:marTop w:val="0"/>
                  <w:marBottom w:val="0"/>
                  <w:divBdr>
                    <w:top w:val="none" w:sz="0" w:space="0" w:color="auto"/>
                    <w:left w:val="none" w:sz="0" w:space="0" w:color="auto"/>
                    <w:bottom w:val="none" w:sz="0" w:space="0" w:color="auto"/>
                    <w:right w:val="none" w:sz="0" w:space="0" w:color="auto"/>
                  </w:divBdr>
                  <w:divsChild>
                    <w:div w:id="870843633">
                      <w:marLeft w:val="0"/>
                      <w:marRight w:val="0"/>
                      <w:marTop w:val="0"/>
                      <w:marBottom w:val="0"/>
                      <w:divBdr>
                        <w:top w:val="none" w:sz="0" w:space="0" w:color="auto"/>
                        <w:left w:val="none" w:sz="0" w:space="0" w:color="auto"/>
                        <w:bottom w:val="none" w:sz="0" w:space="0" w:color="auto"/>
                        <w:right w:val="none" w:sz="0" w:space="0" w:color="auto"/>
                      </w:divBdr>
                    </w:div>
                  </w:divsChild>
                </w:div>
                <w:div w:id="532155026">
                  <w:marLeft w:val="0"/>
                  <w:marRight w:val="0"/>
                  <w:marTop w:val="0"/>
                  <w:marBottom w:val="0"/>
                  <w:divBdr>
                    <w:top w:val="none" w:sz="0" w:space="0" w:color="auto"/>
                    <w:left w:val="none" w:sz="0" w:space="0" w:color="auto"/>
                    <w:bottom w:val="none" w:sz="0" w:space="0" w:color="auto"/>
                    <w:right w:val="none" w:sz="0" w:space="0" w:color="auto"/>
                  </w:divBdr>
                  <w:divsChild>
                    <w:div w:id="426001210">
                      <w:marLeft w:val="0"/>
                      <w:marRight w:val="0"/>
                      <w:marTop w:val="0"/>
                      <w:marBottom w:val="0"/>
                      <w:divBdr>
                        <w:top w:val="none" w:sz="0" w:space="0" w:color="auto"/>
                        <w:left w:val="none" w:sz="0" w:space="0" w:color="auto"/>
                        <w:bottom w:val="none" w:sz="0" w:space="0" w:color="auto"/>
                        <w:right w:val="none" w:sz="0" w:space="0" w:color="auto"/>
                      </w:divBdr>
                    </w:div>
                  </w:divsChild>
                </w:div>
                <w:div w:id="1004476674">
                  <w:marLeft w:val="0"/>
                  <w:marRight w:val="0"/>
                  <w:marTop w:val="0"/>
                  <w:marBottom w:val="0"/>
                  <w:divBdr>
                    <w:top w:val="none" w:sz="0" w:space="0" w:color="auto"/>
                    <w:left w:val="none" w:sz="0" w:space="0" w:color="auto"/>
                    <w:bottom w:val="none" w:sz="0" w:space="0" w:color="auto"/>
                    <w:right w:val="none" w:sz="0" w:space="0" w:color="auto"/>
                  </w:divBdr>
                  <w:divsChild>
                    <w:div w:id="295448748">
                      <w:marLeft w:val="0"/>
                      <w:marRight w:val="0"/>
                      <w:marTop w:val="0"/>
                      <w:marBottom w:val="0"/>
                      <w:divBdr>
                        <w:top w:val="none" w:sz="0" w:space="0" w:color="auto"/>
                        <w:left w:val="none" w:sz="0" w:space="0" w:color="auto"/>
                        <w:bottom w:val="none" w:sz="0" w:space="0" w:color="auto"/>
                        <w:right w:val="none" w:sz="0" w:space="0" w:color="auto"/>
                      </w:divBdr>
                    </w:div>
                  </w:divsChild>
                </w:div>
                <w:div w:id="1161192688">
                  <w:marLeft w:val="0"/>
                  <w:marRight w:val="0"/>
                  <w:marTop w:val="0"/>
                  <w:marBottom w:val="0"/>
                  <w:divBdr>
                    <w:top w:val="none" w:sz="0" w:space="0" w:color="auto"/>
                    <w:left w:val="none" w:sz="0" w:space="0" w:color="auto"/>
                    <w:bottom w:val="none" w:sz="0" w:space="0" w:color="auto"/>
                    <w:right w:val="none" w:sz="0" w:space="0" w:color="auto"/>
                  </w:divBdr>
                  <w:divsChild>
                    <w:div w:id="1254050619">
                      <w:marLeft w:val="0"/>
                      <w:marRight w:val="0"/>
                      <w:marTop w:val="0"/>
                      <w:marBottom w:val="0"/>
                      <w:divBdr>
                        <w:top w:val="none" w:sz="0" w:space="0" w:color="auto"/>
                        <w:left w:val="none" w:sz="0" w:space="0" w:color="auto"/>
                        <w:bottom w:val="none" w:sz="0" w:space="0" w:color="auto"/>
                        <w:right w:val="none" w:sz="0" w:space="0" w:color="auto"/>
                      </w:divBdr>
                    </w:div>
                  </w:divsChild>
                </w:div>
                <w:div w:id="1161504346">
                  <w:marLeft w:val="0"/>
                  <w:marRight w:val="0"/>
                  <w:marTop w:val="0"/>
                  <w:marBottom w:val="0"/>
                  <w:divBdr>
                    <w:top w:val="none" w:sz="0" w:space="0" w:color="auto"/>
                    <w:left w:val="none" w:sz="0" w:space="0" w:color="auto"/>
                    <w:bottom w:val="none" w:sz="0" w:space="0" w:color="auto"/>
                    <w:right w:val="none" w:sz="0" w:space="0" w:color="auto"/>
                  </w:divBdr>
                  <w:divsChild>
                    <w:div w:id="295569855">
                      <w:marLeft w:val="0"/>
                      <w:marRight w:val="0"/>
                      <w:marTop w:val="0"/>
                      <w:marBottom w:val="0"/>
                      <w:divBdr>
                        <w:top w:val="none" w:sz="0" w:space="0" w:color="auto"/>
                        <w:left w:val="none" w:sz="0" w:space="0" w:color="auto"/>
                        <w:bottom w:val="none" w:sz="0" w:space="0" w:color="auto"/>
                        <w:right w:val="none" w:sz="0" w:space="0" w:color="auto"/>
                      </w:divBdr>
                    </w:div>
                    <w:div w:id="1816291294">
                      <w:marLeft w:val="0"/>
                      <w:marRight w:val="0"/>
                      <w:marTop w:val="0"/>
                      <w:marBottom w:val="0"/>
                      <w:divBdr>
                        <w:top w:val="none" w:sz="0" w:space="0" w:color="auto"/>
                        <w:left w:val="none" w:sz="0" w:space="0" w:color="auto"/>
                        <w:bottom w:val="none" w:sz="0" w:space="0" w:color="auto"/>
                        <w:right w:val="none" w:sz="0" w:space="0" w:color="auto"/>
                      </w:divBdr>
                    </w:div>
                  </w:divsChild>
                </w:div>
                <w:div w:id="1169905479">
                  <w:marLeft w:val="0"/>
                  <w:marRight w:val="0"/>
                  <w:marTop w:val="0"/>
                  <w:marBottom w:val="0"/>
                  <w:divBdr>
                    <w:top w:val="none" w:sz="0" w:space="0" w:color="auto"/>
                    <w:left w:val="none" w:sz="0" w:space="0" w:color="auto"/>
                    <w:bottom w:val="none" w:sz="0" w:space="0" w:color="auto"/>
                    <w:right w:val="none" w:sz="0" w:space="0" w:color="auto"/>
                  </w:divBdr>
                  <w:divsChild>
                    <w:div w:id="168713681">
                      <w:marLeft w:val="0"/>
                      <w:marRight w:val="0"/>
                      <w:marTop w:val="0"/>
                      <w:marBottom w:val="0"/>
                      <w:divBdr>
                        <w:top w:val="none" w:sz="0" w:space="0" w:color="auto"/>
                        <w:left w:val="none" w:sz="0" w:space="0" w:color="auto"/>
                        <w:bottom w:val="none" w:sz="0" w:space="0" w:color="auto"/>
                        <w:right w:val="none" w:sz="0" w:space="0" w:color="auto"/>
                      </w:divBdr>
                    </w:div>
                  </w:divsChild>
                </w:div>
                <w:div w:id="1213006635">
                  <w:marLeft w:val="0"/>
                  <w:marRight w:val="0"/>
                  <w:marTop w:val="0"/>
                  <w:marBottom w:val="0"/>
                  <w:divBdr>
                    <w:top w:val="none" w:sz="0" w:space="0" w:color="auto"/>
                    <w:left w:val="none" w:sz="0" w:space="0" w:color="auto"/>
                    <w:bottom w:val="none" w:sz="0" w:space="0" w:color="auto"/>
                    <w:right w:val="none" w:sz="0" w:space="0" w:color="auto"/>
                  </w:divBdr>
                  <w:divsChild>
                    <w:div w:id="914973791">
                      <w:marLeft w:val="0"/>
                      <w:marRight w:val="0"/>
                      <w:marTop w:val="0"/>
                      <w:marBottom w:val="0"/>
                      <w:divBdr>
                        <w:top w:val="none" w:sz="0" w:space="0" w:color="auto"/>
                        <w:left w:val="none" w:sz="0" w:space="0" w:color="auto"/>
                        <w:bottom w:val="none" w:sz="0" w:space="0" w:color="auto"/>
                        <w:right w:val="none" w:sz="0" w:space="0" w:color="auto"/>
                      </w:divBdr>
                    </w:div>
                  </w:divsChild>
                </w:div>
                <w:div w:id="1402867313">
                  <w:marLeft w:val="0"/>
                  <w:marRight w:val="0"/>
                  <w:marTop w:val="0"/>
                  <w:marBottom w:val="0"/>
                  <w:divBdr>
                    <w:top w:val="none" w:sz="0" w:space="0" w:color="auto"/>
                    <w:left w:val="none" w:sz="0" w:space="0" w:color="auto"/>
                    <w:bottom w:val="none" w:sz="0" w:space="0" w:color="auto"/>
                    <w:right w:val="none" w:sz="0" w:space="0" w:color="auto"/>
                  </w:divBdr>
                  <w:divsChild>
                    <w:div w:id="1926524561">
                      <w:marLeft w:val="0"/>
                      <w:marRight w:val="0"/>
                      <w:marTop w:val="0"/>
                      <w:marBottom w:val="0"/>
                      <w:divBdr>
                        <w:top w:val="none" w:sz="0" w:space="0" w:color="auto"/>
                        <w:left w:val="none" w:sz="0" w:space="0" w:color="auto"/>
                        <w:bottom w:val="none" w:sz="0" w:space="0" w:color="auto"/>
                        <w:right w:val="none" w:sz="0" w:space="0" w:color="auto"/>
                      </w:divBdr>
                    </w:div>
                  </w:divsChild>
                </w:div>
                <w:div w:id="1486819166">
                  <w:marLeft w:val="0"/>
                  <w:marRight w:val="0"/>
                  <w:marTop w:val="0"/>
                  <w:marBottom w:val="0"/>
                  <w:divBdr>
                    <w:top w:val="none" w:sz="0" w:space="0" w:color="auto"/>
                    <w:left w:val="none" w:sz="0" w:space="0" w:color="auto"/>
                    <w:bottom w:val="none" w:sz="0" w:space="0" w:color="auto"/>
                    <w:right w:val="none" w:sz="0" w:space="0" w:color="auto"/>
                  </w:divBdr>
                  <w:divsChild>
                    <w:div w:id="1612084621">
                      <w:marLeft w:val="0"/>
                      <w:marRight w:val="0"/>
                      <w:marTop w:val="0"/>
                      <w:marBottom w:val="0"/>
                      <w:divBdr>
                        <w:top w:val="none" w:sz="0" w:space="0" w:color="auto"/>
                        <w:left w:val="none" w:sz="0" w:space="0" w:color="auto"/>
                        <w:bottom w:val="none" w:sz="0" w:space="0" w:color="auto"/>
                        <w:right w:val="none" w:sz="0" w:space="0" w:color="auto"/>
                      </w:divBdr>
                    </w:div>
                  </w:divsChild>
                </w:div>
                <w:div w:id="1635141080">
                  <w:marLeft w:val="0"/>
                  <w:marRight w:val="0"/>
                  <w:marTop w:val="0"/>
                  <w:marBottom w:val="0"/>
                  <w:divBdr>
                    <w:top w:val="none" w:sz="0" w:space="0" w:color="auto"/>
                    <w:left w:val="none" w:sz="0" w:space="0" w:color="auto"/>
                    <w:bottom w:val="none" w:sz="0" w:space="0" w:color="auto"/>
                    <w:right w:val="none" w:sz="0" w:space="0" w:color="auto"/>
                  </w:divBdr>
                  <w:divsChild>
                    <w:div w:id="1441072455">
                      <w:marLeft w:val="0"/>
                      <w:marRight w:val="0"/>
                      <w:marTop w:val="0"/>
                      <w:marBottom w:val="0"/>
                      <w:divBdr>
                        <w:top w:val="none" w:sz="0" w:space="0" w:color="auto"/>
                        <w:left w:val="none" w:sz="0" w:space="0" w:color="auto"/>
                        <w:bottom w:val="none" w:sz="0" w:space="0" w:color="auto"/>
                        <w:right w:val="none" w:sz="0" w:space="0" w:color="auto"/>
                      </w:divBdr>
                    </w:div>
                    <w:div w:id="2089884016">
                      <w:marLeft w:val="0"/>
                      <w:marRight w:val="0"/>
                      <w:marTop w:val="0"/>
                      <w:marBottom w:val="0"/>
                      <w:divBdr>
                        <w:top w:val="none" w:sz="0" w:space="0" w:color="auto"/>
                        <w:left w:val="none" w:sz="0" w:space="0" w:color="auto"/>
                        <w:bottom w:val="none" w:sz="0" w:space="0" w:color="auto"/>
                        <w:right w:val="none" w:sz="0" w:space="0" w:color="auto"/>
                      </w:divBdr>
                    </w:div>
                  </w:divsChild>
                </w:div>
                <w:div w:id="1735153681">
                  <w:marLeft w:val="0"/>
                  <w:marRight w:val="0"/>
                  <w:marTop w:val="0"/>
                  <w:marBottom w:val="0"/>
                  <w:divBdr>
                    <w:top w:val="none" w:sz="0" w:space="0" w:color="auto"/>
                    <w:left w:val="none" w:sz="0" w:space="0" w:color="auto"/>
                    <w:bottom w:val="none" w:sz="0" w:space="0" w:color="auto"/>
                    <w:right w:val="none" w:sz="0" w:space="0" w:color="auto"/>
                  </w:divBdr>
                  <w:divsChild>
                    <w:div w:id="1826362422">
                      <w:marLeft w:val="0"/>
                      <w:marRight w:val="0"/>
                      <w:marTop w:val="0"/>
                      <w:marBottom w:val="0"/>
                      <w:divBdr>
                        <w:top w:val="none" w:sz="0" w:space="0" w:color="auto"/>
                        <w:left w:val="none" w:sz="0" w:space="0" w:color="auto"/>
                        <w:bottom w:val="none" w:sz="0" w:space="0" w:color="auto"/>
                        <w:right w:val="none" w:sz="0" w:space="0" w:color="auto"/>
                      </w:divBdr>
                    </w:div>
                  </w:divsChild>
                </w:div>
                <w:div w:id="1739282276">
                  <w:marLeft w:val="0"/>
                  <w:marRight w:val="0"/>
                  <w:marTop w:val="0"/>
                  <w:marBottom w:val="0"/>
                  <w:divBdr>
                    <w:top w:val="none" w:sz="0" w:space="0" w:color="auto"/>
                    <w:left w:val="none" w:sz="0" w:space="0" w:color="auto"/>
                    <w:bottom w:val="none" w:sz="0" w:space="0" w:color="auto"/>
                    <w:right w:val="none" w:sz="0" w:space="0" w:color="auto"/>
                  </w:divBdr>
                  <w:divsChild>
                    <w:div w:id="189923494">
                      <w:marLeft w:val="0"/>
                      <w:marRight w:val="0"/>
                      <w:marTop w:val="0"/>
                      <w:marBottom w:val="0"/>
                      <w:divBdr>
                        <w:top w:val="none" w:sz="0" w:space="0" w:color="auto"/>
                        <w:left w:val="none" w:sz="0" w:space="0" w:color="auto"/>
                        <w:bottom w:val="none" w:sz="0" w:space="0" w:color="auto"/>
                        <w:right w:val="none" w:sz="0" w:space="0" w:color="auto"/>
                      </w:divBdr>
                    </w:div>
                  </w:divsChild>
                </w:div>
                <w:div w:id="1745562608">
                  <w:marLeft w:val="0"/>
                  <w:marRight w:val="0"/>
                  <w:marTop w:val="0"/>
                  <w:marBottom w:val="0"/>
                  <w:divBdr>
                    <w:top w:val="none" w:sz="0" w:space="0" w:color="auto"/>
                    <w:left w:val="none" w:sz="0" w:space="0" w:color="auto"/>
                    <w:bottom w:val="none" w:sz="0" w:space="0" w:color="auto"/>
                    <w:right w:val="none" w:sz="0" w:space="0" w:color="auto"/>
                  </w:divBdr>
                  <w:divsChild>
                    <w:div w:id="346911571">
                      <w:marLeft w:val="0"/>
                      <w:marRight w:val="0"/>
                      <w:marTop w:val="0"/>
                      <w:marBottom w:val="0"/>
                      <w:divBdr>
                        <w:top w:val="none" w:sz="0" w:space="0" w:color="auto"/>
                        <w:left w:val="none" w:sz="0" w:space="0" w:color="auto"/>
                        <w:bottom w:val="none" w:sz="0" w:space="0" w:color="auto"/>
                        <w:right w:val="none" w:sz="0" w:space="0" w:color="auto"/>
                      </w:divBdr>
                    </w:div>
                  </w:divsChild>
                </w:div>
                <w:div w:id="2139374071">
                  <w:marLeft w:val="0"/>
                  <w:marRight w:val="0"/>
                  <w:marTop w:val="0"/>
                  <w:marBottom w:val="0"/>
                  <w:divBdr>
                    <w:top w:val="none" w:sz="0" w:space="0" w:color="auto"/>
                    <w:left w:val="none" w:sz="0" w:space="0" w:color="auto"/>
                    <w:bottom w:val="none" w:sz="0" w:space="0" w:color="auto"/>
                    <w:right w:val="none" w:sz="0" w:space="0" w:color="auto"/>
                  </w:divBdr>
                  <w:divsChild>
                    <w:div w:id="209081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5833">
          <w:marLeft w:val="0"/>
          <w:marRight w:val="0"/>
          <w:marTop w:val="0"/>
          <w:marBottom w:val="0"/>
          <w:divBdr>
            <w:top w:val="none" w:sz="0" w:space="0" w:color="auto"/>
            <w:left w:val="none" w:sz="0" w:space="0" w:color="auto"/>
            <w:bottom w:val="none" w:sz="0" w:space="0" w:color="auto"/>
            <w:right w:val="none" w:sz="0" w:space="0" w:color="auto"/>
          </w:divBdr>
          <w:divsChild>
            <w:div w:id="173763426">
              <w:marLeft w:val="0"/>
              <w:marRight w:val="0"/>
              <w:marTop w:val="0"/>
              <w:marBottom w:val="0"/>
              <w:divBdr>
                <w:top w:val="none" w:sz="0" w:space="0" w:color="auto"/>
                <w:left w:val="none" w:sz="0" w:space="0" w:color="auto"/>
                <w:bottom w:val="none" w:sz="0" w:space="0" w:color="auto"/>
                <w:right w:val="none" w:sz="0" w:space="0" w:color="auto"/>
              </w:divBdr>
            </w:div>
            <w:div w:id="344862707">
              <w:marLeft w:val="0"/>
              <w:marRight w:val="0"/>
              <w:marTop w:val="0"/>
              <w:marBottom w:val="0"/>
              <w:divBdr>
                <w:top w:val="none" w:sz="0" w:space="0" w:color="auto"/>
                <w:left w:val="none" w:sz="0" w:space="0" w:color="auto"/>
                <w:bottom w:val="none" w:sz="0" w:space="0" w:color="auto"/>
                <w:right w:val="none" w:sz="0" w:space="0" w:color="auto"/>
              </w:divBdr>
            </w:div>
            <w:div w:id="376590972">
              <w:marLeft w:val="0"/>
              <w:marRight w:val="0"/>
              <w:marTop w:val="0"/>
              <w:marBottom w:val="0"/>
              <w:divBdr>
                <w:top w:val="none" w:sz="0" w:space="0" w:color="auto"/>
                <w:left w:val="none" w:sz="0" w:space="0" w:color="auto"/>
                <w:bottom w:val="none" w:sz="0" w:space="0" w:color="auto"/>
                <w:right w:val="none" w:sz="0" w:space="0" w:color="auto"/>
              </w:divBdr>
            </w:div>
            <w:div w:id="563563916">
              <w:marLeft w:val="0"/>
              <w:marRight w:val="0"/>
              <w:marTop w:val="0"/>
              <w:marBottom w:val="0"/>
              <w:divBdr>
                <w:top w:val="none" w:sz="0" w:space="0" w:color="auto"/>
                <w:left w:val="none" w:sz="0" w:space="0" w:color="auto"/>
                <w:bottom w:val="none" w:sz="0" w:space="0" w:color="auto"/>
                <w:right w:val="none" w:sz="0" w:space="0" w:color="auto"/>
              </w:divBdr>
            </w:div>
            <w:div w:id="599728511">
              <w:marLeft w:val="0"/>
              <w:marRight w:val="0"/>
              <w:marTop w:val="0"/>
              <w:marBottom w:val="0"/>
              <w:divBdr>
                <w:top w:val="none" w:sz="0" w:space="0" w:color="auto"/>
                <w:left w:val="none" w:sz="0" w:space="0" w:color="auto"/>
                <w:bottom w:val="none" w:sz="0" w:space="0" w:color="auto"/>
                <w:right w:val="none" w:sz="0" w:space="0" w:color="auto"/>
              </w:divBdr>
            </w:div>
            <w:div w:id="683166534">
              <w:marLeft w:val="0"/>
              <w:marRight w:val="0"/>
              <w:marTop w:val="0"/>
              <w:marBottom w:val="0"/>
              <w:divBdr>
                <w:top w:val="none" w:sz="0" w:space="0" w:color="auto"/>
                <w:left w:val="none" w:sz="0" w:space="0" w:color="auto"/>
                <w:bottom w:val="none" w:sz="0" w:space="0" w:color="auto"/>
                <w:right w:val="none" w:sz="0" w:space="0" w:color="auto"/>
              </w:divBdr>
            </w:div>
            <w:div w:id="997348541">
              <w:marLeft w:val="0"/>
              <w:marRight w:val="0"/>
              <w:marTop w:val="0"/>
              <w:marBottom w:val="0"/>
              <w:divBdr>
                <w:top w:val="none" w:sz="0" w:space="0" w:color="auto"/>
                <w:left w:val="none" w:sz="0" w:space="0" w:color="auto"/>
                <w:bottom w:val="none" w:sz="0" w:space="0" w:color="auto"/>
                <w:right w:val="none" w:sz="0" w:space="0" w:color="auto"/>
              </w:divBdr>
            </w:div>
            <w:div w:id="1091269382">
              <w:marLeft w:val="0"/>
              <w:marRight w:val="0"/>
              <w:marTop w:val="0"/>
              <w:marBottom w:val="0"/>
              <w:divBdr>
                <w:top w:val="none" w:sz="0" w:space="0" w:color="auto"/>
                <w:left w:val="none" w:sz="0" w:space="0" w:color="auto"/>
                <w:bottom w:val="none" w:sz="0" w:space="0" w:color="auto"/>
                <w:right w:val="none" w:sz="0" w:space="0" w:color="auto"/>
              </w:divBdr>
            </w:div>
            <w:div w:id="1117985991">
              <w:marLeft w:val="0"/>
              <w:marRight w:val="0"/>
              <w:marTop w:val="0"/>
              <w:marBottom w:val="0"/>
              <w:divBdr>
                <w:top w:val="none" w:sz="0" w:space="0" w:color="auto"/>
                <w:left w:val="none" w:sz="0" w:space="0" w:color="auto"/>
                <w:bottom w:val="none" w:sz="0" w:space="0" w:color="auto"/>
                <w:right w:val="none" w:sz="0" w:space="0" w:color="auto"/>
              </w:divBdr>
            </w:div>
            <w:div w:id="1201169020">
              <w:marLeft w:val="0"/>
              <w:marRight w:val="0"/>
              <w:marTop w:val="0"/>
              <w:marBottom w:val="0"/>
              <w:divBdr>
                <w:top w:val="none" w:sz="0" w:space="0" w:color="auto"/>
                <w:left w:val="none" w:sz="0" w:space="0" w:color="auto"/>
                <w:bottom w:val="none" w:sz="0" w:space="0" w:color="auto"/>
                <w:right w:val="none" w:sz="0" w:space="0" w:color="auto"/>
              </w:divBdr>
            </w:div>
            <w:div w:id="1209105242">
              <w:marLeft w:val="0"/>
              <w:marRight w:val="0"/>
              <w:marTop w:val="0"/>
              <w:marBottom w:val="0"/>
              <w:divBdr>
                <w:top w:val="none" w:sz="0" w:space="0" w:color="auto"/>
                <w:left w:val="none" w:sz="0" w:space="0" w:color="auto"/>
                <w:bottom w:val="none" w:sz="0" w:space="0" w:color="auto"/>
                <w:right w:val="none" w:sz="0" w:space="0" w:color="auto"/>
              </w:divBdr>
            </w:div>
            <w:div w:id="1243222624">
              <w:marLeft w:val="0"/>
              <w:marRight w:val="0"/>
              <w:marTop w:val="0"/>
              <w:marBottom w:val="0"/>
              <w:divBdr>
                <w:top w:val="none" w:sz="0" w:space="0" w:color="auto"/>
                <w:left w:val="none" w:sz="0" w:space="0" w:color="auto"/>
                <w:bottom w:val="none" w:sz="0" w:space="0" w:color="auto"/>
                <w:right w:val="none" w:sz="0" w:space="0" w:color="auto"/>
              </w:divBdr>
            </w:div>
            <w:div w:id="1618365320">
              <w:marLeft w:val="0"/>
              <w:marRight w:val="0"/>
              <w:marTop w:val="0"/>
              <w:marBottom w:val="0"/>
              <w:divBdr>
                <w:top w:val="none" w:sz="0" w:space="0" w:color="auto"/>
                <w:left w:val="none" w:sz="0" w:space="0" w:color="auto"/>
                <w:bottom w:val="none" w:sz="0" w:space="0" w:color="auto"/>
                <w:right w:val="none" w:sz="0" w:space="0" w:color="auto"/>
              </w:divBdr>
            </w:div>
            <w:div w:id="1618828753">
              <w:marLeft w:val="0"/>
              <w:marRight w:val="0"/>
              <w:marTop w:val="0"/>
              <w:marBottom w:val="0"/>
              <w:divBdr>
                <w:top w:val="none" w:sz="0" w:space="0" w:color="auto"/>
                <w:left w:val="none" w:sz="0" w:space="0" w:color="auto"/>
                <w:bottom w:val="none" w:sz="0" w:space="0" w:color="auto"/>
                <w:right w:val="none" w:sz="0" w:space="0" w:color="auto"/>
              </w:divBdr>
            </w:div>
            <w:div w:id="1878201210">
              <w:marLeft w:val="0"/>
              <w:marRight w:val="0"/>
              <w:marTop w:val="0"/>
              <w:marBottom w:val="0"/>
              <w:divBdr>
                <w:top w:val="none" w:sz="0" w:space="0" w:color="auto"/>
                <w:left w:val="none" w:sz="0" w:space="0" w:color="auto"/>
                <w:bottom w:val="none" w:sz="0" w:space="0" w:color="auto"/>
                <w:right w:val="none" w:sz="0" w:space="0" w:color="auto"/>
              </w:divBdr>
            </w:div>
            <w:div w:id="1924993731">
              <w:marLeft w:val="0"/>
              <w:marRight w:val="0"/>
              <w:marTop w:val="0"/>
              <w:marBottom w:val="0"/>
              <w:divBdr>
                <w:top w:val="none" w:sz="0" w:space="0" w:color="auto"/>
                <w:left w:val="none" w:sz="0" w:space="0" w:color="auto"/>
                <w:bottom w:val="none" w:sz="0" w:space="0" w:color="auto"/>
                <w:right w:val="none" w:sz="0" w:space="0" w:color="auto"/>
              </w:divBdr>
            </w:div>
            <w:div w:id="1983192392">
              <w:marLeft w:val="0"/>
              <w:marRight w:val="0"/>
              <w:marTop w:val="0"/>
              <w:marBottom w:val="0"/>
              <w:divBdr>
                <w:top w:val="none" w:sz="0" w:space="0" w:color="auto"/>
                <w:left w:val="none" w:sz="0" w:space="0" w:color="auto"/>
                <w:bottom w:val="none" w:sz="0" w:space="0" w:color="auto"/>
                <w:right w:val="none" w:sz="0" w:space="0" w:color="auto"/>
              </w:divBdr>
            </w:div>
            <w:div w:id="2054578320">
              <w:marLeft w:val="0"/>
              <w:marRight w:val="0"/>
              <w:marTop w:val="0"/>
              <w:marBottom w:val="0"/>
              <w:divBdr>
                <w:top w:val="none" w:sz="0" w:space="0" w:color="auto"/>
                <w:left w:val="none" w:sz="0" w:space="0" w:color="auto"/>
                <w:bottom w:val="none" w:sz="0" w:space="0" w:color="auto"/>
                <w:right w:val="none" w:sz="0" w:space="0" w:color="auto"/>
              </w:divBdr>
            </w:div>
            <w:div w:id="2064792964">
              <w:marLeft w:val="0"/>
              <w:marRight w:val="0"/>
              <w:marTop w:val="0"/>
              <w:marBottom w:val="0"/>
              <w:divBdr>
                <w:top w:val="none" w:sz="0" w:space="0" w:color="auto"/>
                <w:left w:val="none" w:sz="0" w:space="0" w:color="auto"/>
                <w:bottom w:val="none" w:sz="0" w:space="0" w:color="auto"/>
                <w:right w:val="none" w:sz="0" w:space="0" w:color="auto"/>
              </w:divBdr>
            </w:div>
            <w:div w:id="2080974783">
              <w:marLeft w:val="0"/>
              <w:marRight w:val="0"/>
              <w:marTop w:val="0"/>
              <w:marBottom w:val="0"/>
              <w:divBdr>
                <w:top w:val="none" w:sz="0" w:space="0" w:color="auto"/>
                <w:left w:val="none" w:sz="0" w:space="0" w:color="auto"/>
                <w:bottom w:val="none" w:sz="0" w:space="0" w:color="auto"/>
                <w:right w:val="none" w:sz="0" w:space="0" w:color="auto"/>
              </w:divBdr>
            </w:div>
          </w:divsChild>
        </w:div>
        <w:div w:id="1914781532">
          <w:marLeft w:val="0"/>
          <w:marRight w:val="0"/>
          <w:marTop w:val="0"/>
          <w:marBottom w:val="0"/>
          <w:divBdr>
            <w:top w:val="none" w:sz="0" w:space="0" w:color="auto"/>
            <w:left w:val="none" w:sz="0" w:space="0" w:color="auto"/>
            <w:bottom w:val="none" w:sz="0" w:space="0" w:color="auto"/>
            <w:right w:val="none" w:sz="0" w:space="0" w:color="auto"/>
          </w:divBdr>
          <w:divsChild>
            <w:div w:id="81340062">
              <w:marLeft w:val="0"/>
              <w:marRight w:val="0"/>
              <w:marTop w:val="0"/>
              <w:marBottom w:val="0"/>
              <w:divBdr>
                <w:top w:val="none" w:sz="0" w:space="0" w:color="auto"/>
                <w:left w:val="none" w:sz="0" w:space="0" w:color="auto"/>
                <w:bottom w:val="none" w:sz="0" w:space="0" w:color="auto"/>
                <w:right w:val="none" w:sz="0" w:space="0" w:color="auto"/>
              </w:divBdr>
            </w:div>
            <w:div w:id="148444656">
              <w:marLeft w:val="0"/>
              <w:marRight w:val="0"/>
              <w:marTop w:val="0"/>
              <w:marBottom w:val="0"/>
              <w:divBdr>
                <w:top w:val="none" w:sz="0" w:space="0" w:color="auto"/>
                <w:left w:val="none" w:sz="0" w:space="0" w:color="auto"/>
                <w:bottom w:val="none" w:sz="0" w:space="0" w:color="auto"/>
                <w:right w:val="none" w:sz="0" w:space="0" w:color="auto"/>
              </w:divBdr>
            </w:div>
            <w:div w:id="169414749">
              <w:marLeft w:val="0"/>
              <w:marRight w:val="0"/>
              <w:marTop w:val="0"/>
              <w:marBottom w:val="0"/>
              <w:divBdr>
                <w:top w:val="none" w:sz="0" w:space="0" w:color="auto"/>
                <w:left w:val="none" w:sz="0" w:space="0" w:color="auto"/>
                <w:bottom w:val="none" w:sz="0" w:space="0" w:color="auto"/>
                <w:right w:val="none" w:sz="0" w:space="0" w:color="auto"/>
              </w:divBdr>
            </w:div>
            <w:div w:id="420567606">
              <w:marLeft w:val="0"/>
              <w:marRight w:val="0"/>
              <w:marTop w:val="0"/>
              <w:marBottom w:val="0"/>
              <w:divBdr>
                <w:top w:val="none" w:sz="0" w:space="0" w:color="auto"/>
                <w:left w:val="none" w:sz="0" w:space="0" w:color="auto"/>
                <w:bottom w:val="none" w:sz="0" w:space="0" w:color="auto"/>
                <w:right w:val="none" w:sz="0" w:space="0" w:color="auto"/>
              </w:divBdr>
            </w:div>
            <w:div w:id="442461886">
              <w:marLeft w:val="0"/>
              <w:marRight w:val="0"/>
              <w:marTop w:val="0"/>
              <w:marBottom w:val="0"/>
              <w:divBdr>
                <w:top w:val="none" w:sz="0" w:space="0" w:color="auto"/>
                <w:left w:val="none" w:sz="0" w:space="0" w:color="auto"/>
                <w:bottom w:val="none" w:sz="0" w:space="0" w:color="auto"/>
                <w:right w:val="none" w:sz="0" w:space="0" w:color="auto"/>
              </w:divBdr>
            </w:div>
            <w:div w:id="536431867">
              <w:marLeft w:val="0"/>
              <w:marRight w:val="0"/>
              <w:marTop w:val="0"/>
              <w:marBottom w:val="0"/>
              <w:divBdr>
                <w:top w:val="none" w:sz="0" w:space="0" w:color="auto"/>
                <w:left w:val="none" w:sz="0" w:space="0" w:color="auto"/>
                <w:bottom w:val="none" w:sz="0" w:space="0" w:color="auto"/>
                <w:right w:val="none" w:sz="0" w:space="0" w:color="auto"/>
              </w:divBdr>
            </w:div>
            <w:div w:id="744765246">
              <w:marLeft w:val="0"/>
              <w:marRight w:val="0"/>
              <w:marTop w:val="0"/>
              <w:marBottom w:val="0"/>
              <w:divBdr>
                <w:top w:val="none" w:sz="0" w:space="0" w:color="auto"/>
                <w:left w:val="none" w:sz="0" w:space="0" w:color="auto"/>
                <w:bottom w:val="none" w:sz="0" w:space="0" w:color="auto"/>
                <w:right w:val="none" w:sz="0" w:space="0" w:color="auto"/>
              </w:divBdr>
            </w:div>
            <w:div w:id="887911972">
              <w:marLeft w:val="0"/>
              <w:marRight w:val="0"/>
              <w:marTop w:val="0"/>
              <w:marBottom w:val="0"/>
              <w:divBdr>
                <w:top w:val="none" w:sz="0" w:space="0" w:color="auto"/>
                <w:left w:val="none" w:sz="0" w:space="0" w:color="auto"/>
                <w:bottom w:val="none" w:sz="0" w:space="0" w:color="auto"/>
                <w:right w:val="none" w:sz="0" w:space="0" w:color="auto"/>
              </w:divBdr>
            </w:div>
            <w:div w:id="977030064">
              <w:marLeft w:val="0"/>
              <w:marRight w:val="0"/>
              <w:marTop w:val="0"/>
              <w:marBottom w:val="0"/>
              <w:divBdr>
                <w:top w:val="none" w:sz="0" w:space="0" w:color="auto"/>
                <w:left w:val="none" w:sz="0" w:space="0" w:color="auto"/>
                <w:bottom w:val="none" w:sz="0" w:space="0" w:color="auto"/>
                <w:right w:val="none" w:sz="0" w:space="0" w:color="auto"/>
              </w:divBdr>
            </w:div>
            <w:div w:id="1252199808">
              <w:marLeft w:val="0"/>
              <w:marRight w:val="0"/>
              <w:marTop w:val="0"/>
              <w:marBottom w:val="0"/>
              <w:divBdr>
                <w:top w:val="none" w:sz="0" w:space="0" w:color="auto"/>
                <w:left w:val="none" w:sz="0" w:space="0" w:color="auto"/>
                <w:bottom w:val="none" w:sz="0" w:space="0" w:color="auto"/>
                <w:right w:val="none" w:sz="0" w:space="0" w:color="auto"/>
              </w:divBdr>
            </w:div>
            <w:div w:id="1256983556">
              <w:marLeft w:val="0"/>
              <w:marRight w:val="0"/>
              <w:marTop w:val="0"/>
              <w:marBottom w:val="0"/>
              <w:divBdr>
                <w:top w:val="none" w:sz="0" w:space="0" w:color="auto"/>
                <w:left w:val="none" w:sz="0" w:space="0" w:color="auto"/>
                <w:bottom w:val="none" w:sz="0" w:space="0" w:color="auto"/>
                <w:right w:val="none" w:sz="0" w:space="0" w:color="auto"/>
              </w:divBdr>
            </w:div>
            <w:div w:id="1292444955">
              <w:marLeft w:val="0"/>
              <w:marRight w:val="0"/>
              <w:marTop w:val="0"/>
              <w:marBottom w:val="0"/>
              <w:divBdr>
                <w:top w:val="none" w:sz="0" w:space="0" w:color="auto"/>
                <w:left w:val="none" w:sz="0" w:space="0" w:color="auto"/>
                <w:bottom w:val="none" w:sz="0" w:space="0" w:color="auto"/>
                <w:right w:val="none" w:sz="0" w:space="0" w:color="auto"/>
              </w:divBdr>
            </w:div>
            <w:div w:id="1339963703">
              <w:marLeft w:val="0"/>
              <w:marRight w:val="0"/>
              <w:marTop w:val="0"/>
              <w:marBottom w:val="0"/>
              <w:divBdr>
                <w:top w:val="none" w:sz="0" w:space="0" w:color="auto"/>
                <w:left w:val="none" w:sz="0" w:space="0" w:color="auto"/>
                <w:bottom w:val="none" w:sz="0" w:space="0" w:color="auto"/>
                <w:right w:val="none" w:sz="0" w:space="0" w:color="auto"/>
              </w:divBdr>
            </w:div>
            <w:div w:id="1384716441">
              <w:marLeft w:val="0"/>
              <w:marRight w:val="0"/>
              <w:marTop w:val="0"/>
              <w:marBottom w:val="0"/>
              <w:divBdr>
                <w:top w:val="none" w:sz="0" w:space="0" w:color="auto"/>
                <w:left w:val="none" w:sz="0" w:space="0" w:color="auto"/>
                <w:bottom w:val="none" w:sz="0" w:space="0" w:color="auto"/>
                <w:right w:val="none" w:sz="0" w:space="0" w:color="auto"/>
              </w:divBdr>
            </w:div>
            <w:div w:id="1387413366">
              <w:marLeft w:val="0"/>
              <w:marRight w:val="0"/>
              <w:marTop w:val="0"/>
              <w:marBottom w:val="0"/>
              <w:divBdr>
                <w:top w:val="none" w:sz="0" w:space="0" w:color="auto"/>
                <w:left w:val="none" w:sz="0" w:space="0" w:color="auto"/>
                <w:bottom w:val="none" w:sz="0" w:space="0" w:color="auto"/>
                <w:right w:val="none" w:sz="0" w:space="0" w:color="auto"/>
              </w:divBdr>
            </w:div>
            <w:div w:id="1776170359">
              <w:marLeft w:val="0"/>
              <w:marRight w:val="0"/>
              <w:marTop w:val="0"/>
              <w:marBottom w:val="0"/>
              <w:divBdr>
                <w:top w:val="none" w:sz="0" w:space="0" w:color="auto"/>
                <w:left w:val="none" w:sz="0" w:space="0" w:color="auto"/>
                <w:bottom w:val="none" w:sz="0" w:space="0" w:color="auto"/>
                <w:right w:val="none" w:sz="0" w:space="0" w:color="auto"/>
              </w:divBdr>
            </w:div>
            <w:div w:id="1789542753">
              <w:marLeft w:val="0"/>
              <w:marRight w:val="0"/>
              <w:marTop w:val="0"/>
              <w:marBottom w:val="0"/>
              <w:divBdr>
                <w:top w:val="none" w:sz="0" w:space="0" w:color="auto"/>
                <w:left w:val="none" w:sz="0" w:space="0" w:color="auto"/>
                <w:bottom w:val="none" w:sz="0" w:space="0" w:color="auto"/>
                <w:right w:val="none" w:sz="0" w:space="0" w:color="auto"/>
              </w:divBdr>
            </w:div>
            <w:div w:id="1863548143">
              <w:marLeft w:val="0"/>
              <w:marRight w:val="0"/>
              <w:marTop w:val="0"/>
              <w:marBottom w:val="0"/>
              <w:divBdr>
                <w:top w:val="none" w:sz="0" w:space="0" w:color="auto"/>
                <w:left w:val="none" w:sz="0" w:space="0" w:color="auto"/>
                <w:bottom w:val="none" w:sz="0" w:space="0" w:color="auto"/>
                <w:right w:val="none" w:sz="0" w:space="0" w:color="auto"/>
              </w:divBdr>
            </w:div>
            <w:div w:id="1907063938">
              <w:marLeft w:val="0"/>
              <w:marRight w:val="0"/>
              <w:marTop w:val="0"/>
              <w:marBottom w:val="0"/>
              <w:divBdr>
                <w:top w:val="none" w:sz="0" w:space="0" w:color="auto"/>
                <w:left w:val="none" w:sz="0" w:space="0" w:color="auto"/>
                <w:bottom w:val="none" w:sz="0" w:space="0" w:color="auto"/>
                <w:right w:val="none" w:sz="0" w:space="0" w:color="auto"/>
              </w:divBdr>
            </w:div>
            <w:div w:id="19973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21005">
      <w:bodyDiv w:val="1"/>
      <w:marLeft w:val="0"/>
      <w:marRight w:val="0"/>
      <w:marTop w:val="0"/>
      <w:marBottom w:val="0"/>
      <w:divBdr>
        <w:top w:val="none" w:sz="0" w:space="0" w:color="auto"/>
        <w:left w:val="none" w:sz="0" w:space="0" w:color="auto"/>
        <w:bottom w:val="none" w:sz="0" w:space="0" w:color="auto"/>
        <w:right w:val="none" w:sz="0" w:space="0" w:color="auto"/>
      </w:divBdr>
      <w:divsChild>
        <w:div w:id="472064695">
          <w:marLeft w:val="0"/>
          <w:marRight w:val="0"/>
          <w:marTop w:val="0"/>
          <w:marBottom w:val="0"/>
          <w:divBdr>
            <w:top w:val="none" w:sz="0" w:space="0" w:color="auto"/>
            <w:left w:val="none" w:sz="0" w:space="0" w:color="auto"/>
            <w:bottom w:val="none" w:sz="0" w:space="0" w:color="auto"/>
            <w:right w:val="none" w:sz="0" w:space="0" w:color="auto"/>
          </w:divBdr>
          <w:divsChild>
            <w:div w:id="119956608">
              <w:marLeft w:val="0"/>
              <w:marRight w:val="0"/>
              <w:marTop w:val="0"/>
              <w:marBottom w:val="0"/>
              <w:divBdr>
                <w:top w:val="none" w:sz="0" w:space="0" w:color="auto"/>
                <w:left w:val="none" w:sz="0" w:space="0" w:color="auto"/>
                <w:bottom w:val="none" w:sz="0" w:space="0" w:color="auto"/>
                <w:right w:val="none" w:sz="0" w:space="0" w:color="auto"/>
              </w:divBdr>
            </w:div>
          </w:divsChild>
        </w:div>
        <w:div w:id="1024285679">
          <w:marLeft w:val="0"/>
          <w:marRight w:val="0"/>
          <w:marTop w:val="0"/>
          <w:marBottom w:val="0"/>
          <w:divBdr>
            <w:top w:val="none" w:sz="0" w:space="0" w:color="auto"/>
            <w:left w:val="none" w:sz="0" w:space="0" w:color="auto"/>
            <w:bottom w:val="none" w:sz="0" w:space="0" w:color="auto"/>
            <w:right w:val="none" w:sz="0" w:space="0" w:color="auto"/>
          </w:divBdr>
          <w:divsChild>
            <w:div w:id="1444573083">
              <w:marLeft w:val="0"/>
              <w:marRight w:val="0"/>
              <w:marTop w:val="0"/>
              <w:marBottom w:val="0"/>
              <w:divBdr>
                <w:top w:val="none" w:sz="0" w:space="0" w:color="auto"/>
                <w:left w:val="none" w:sz="0" w:space="0" w:color="auto"/>
                <w:bottom w:val="none" w:sz="0" w:space="0" w:color="auto"/>
                <w:right w:val="none" w:sz="0" w:space="0" w:color="auto"/>
              </w:divBdr>
            </w:div>
          </w:divsChild>
        </w:div>
        <w:div w:id="1124271909">
          <w:marLeft w:val="0"/>
          <w:marRight w:val="0"/>
          <w:marTop w:val="0"/>
          <w:marBottom w:val="0"/>
          <w:divBdr>
            <w:top w:val="none" w:sz="0" w:space="0" w:color="auto"/>
            <w:left w:val="none" w:sz="0" w:space="0" w:color="auto"/>
            <w:bottom w:val="none" w:sz="0" w:space="0" w:color="auto"/>
            <w:right w:val="none" w:sz="0" w:space="0" w:color="auto"/>
          </w:divBdr>
          <w:divsChild>
            <w:div w:id="521210765">
              <w:marLeft w:val="0"/>
              <w:marRight w:val="0"/>
              <w:marTop w:val="0"/>
              <w:marBottom w:val="0"/>
              <w:divBdr>
                <w:top w:val="none" w:sz="0" w:space="0" w:color="auto"/>
                <w:left w:val="none" w:sz="0" w:space="0" w:color="auto"/>
                <w:bottom w:val="none" w:sz="0" w:space="0" w:color="auto"/>
                <w:right w:val="none" w:sz="0" w:space="0" w:color="auto"/>
              </w:divBdr>
            </w:div>
            <w:div w:id="996687157">
              <w:marLeft w:val="0"/>
              <w:marRight w:val="0"/>
              <w:marTop w:val="0"/>
              <w:marBottom w:val="0"/>
              <w:divBdr>
                <w:top w:val="none" w:sz="0" w:space="0" w:color="auto"/>
                <w:left w:val="none" w:sz="0" w:space="0" w:color="auto"/>
                <w:bottom w:val="none" w:sz="0" w:space="0" w:color="auto"/>
                <w:right w:val="none" w:sz="0" w:space="0" w:color="auto"/>
              </w:divBdr>
            </w:div>
          </w:divsChild>
        </w:div>
        <w:div w:id="1188256964">
          <w:marLeft w:val="0"/>
          <w:marRight w:val="0"/>
          <w:marTop w:val="0"/>
          <w:marBottom w:val="0"/>
          <w:divBdr>
            <w:top w:val="none" w:sz="0" w:space="0" w:color="auto"/>
            <w:left w:val="none" w:sz="0" w:space="0" w:color="auto"/>
            <w:bottom w:val="none" w:sz="0" w:space="0" w:color="auto"/>
            <w:right w:val="none" w:sz="0" w:space="0" w:color="auto"/>
          </w:divBdr>
          <w:divsChild>
            <w:div w:id="967510248">
              <w:marLeft w:val="0"/>
              <w:marRight w:val="0"/>
              <w:marTop w:val="0"/>
              <w:marBottom w:val="0"/>
              <w:divBdr>
                <w:top w:val="none" w:sz="0" w:space="0" w:color="auto"/>
                <w:left w:val="none" w:sz="0" w:space="0" w:color="auto"/>
                <w:bottom w:val="none" w:sz="0" w:space="0" w:color="auto"/>
                <w:right w:val="none" w:sz="0" w:space="0" w:color="auto"/>
              </w:divBdr>
            </w:div>
          </w:divsChild>
        </w:div>
        <w:div w:id="1383598307">
          <w:marLeft w:val="0"/>
          <w:marRight w:val="0"/>
          <w:marTop w:val="0"/>
          <w:marBottom w:val="0"/>
          <w:divBdr>
            <w:top w:val="none" w:sz="0" w:space="0" w:color="auto"/>
            <w:left w:val="none" w:sz="0" w:space="0" w:color="auto"/>
            <w:bottom w:val="none" w:sz="0" w:space="0" w:color="auto"/>
            <w:right w:val="none" w:sz="0" w:space="0" w:color="auto"/>
          </w:divBdr>
          <w:divsChild>
            <w:div w:id="629940175">
              <w:marLeft w:val="0"/>
              <w:marRight w:val="0"/>
              <w:marTop w:val="0"/>
              <w:marBottom w:val="0"/>
              <w:divBdr>
                <w:top w:val="none" w:sz="0" w:space="0" w:color="auto"/>
                <w:left w:val="none" w:sz="0" w:space="0" w:color="auto"/>
                <w:bottom w:val="none" w:sz="0" w:space="0" w:color="auto"/>
                <w:right w:val="none" w:sz="0" w:space="0" w:color="auto"/>
              </w:divBdr>
            </w:div>
            <w:div w:id="841048567">
              <w:marLeft w:val="0"/>
              <w:marRight w:val="0"/>
              <w:marTop w:val="0"/>
              <w:marBottom w:val="0"/>
              <w:divBdr>
                <w:top w:val="none" w:sz="0" w:space="0" w:color="auto"/>
                <w:left w:val="none" w:sz="0" w:space="0" w:color="auto"/>
                <w:bottom w:val="none" w:sz="0" w:space="0" w:color="auto"/>
                <w:right w:val="none" w:sz="0" w:space="0" w:color="auto"/>
              </w:divBdr>
            </w:div>
            <w:div w:id="1459491042">
              <w:marLeft w:val="0"/>
              <w:marRight w:val="0"/>
              <w:marTop w:val="0"/>
              <w:marBottom w:val="0"/>
              <w:divBdr>
                <w:top w:val="none" w:sz="0" w:space="0" w:color="auto"/>
                <w:left w:val="none" w:sz="0" w:space="0" w:color="auto"/>
                <w:bottom w:val="none" w:sz="0" w:space="0" w:color="auto"/>
                <w:right w:val="none" w:sz="0" w:space="0" w:color="auto"/>
              </w:divBdr>
            </w:div>
            <w:div w:id="1521578051">
              <w:marLeft w:val="0"/>
              <w:marRight w:val="0"/>
              <w:marTop w:val="0"/>
              <w:marBottom w:val="0"/>
              <w:divBdr>
                <w:top w:val="none" w:sz="0" w:space="0" w:color="auto"/>
                <w:left w:val="none" w:sz="0" w:space="0" w:color="auto"/>
                <w:bottom w:val="none" w:sz="0" w:space="0" w:color="auto"/>
                <w:right w:val="none" w:sz="0" w:space="0" w:color="auto"/>
              </w:divBdr>
            </w:div>
            <w:div w:id="1828086901">
              <w:marLeft w:val="0"/>
              <w:marRight w:val="0"/>
              <w:marTop w:val="0"/>
              <w:marBottom w:val="0"/>
              <w:divBdr>
                <w:top w:val="none" w:sz="0" w:space="0" w:color="auto"/>
                <w:left w:val="none" w:sz="0" w:space="0" w:color="auto"/>
                <w:bottom w:val="none" w:sz="0" w:space="0" w:color="auto"/>
                <w:right w:val="none" w:sz="0" w:space="0" w:color="auto"/>
              </w:divBdr>
            </w:div>
            <w:div w:id="1975015379">
              <w:marLeft w:val="0"/>
              <w:marRight w:val="0"/>
              <w:marTop w:val="0"/>
              <w:marBottom w:val="0"/>
              <w:divBdr>
                <w:top w:val="none" w:sz="0" w:space="0" w:color="auto"/>
                <w:left w:val="none" w:sz="0" w:space="0" w:color="auto"/>
                <w:bottom w:val="none" w:sz="0" w:space="0" w:color="auto"/>
                <w:right w:val="none" w:sz="0" w:space="0" w:color="auto"/>
              </w:divBdr>
            </w:div>
            <w:div w:id="2021273939">
              <w:marLeft w:val="0"/>
              <w:marRight w:val="0"/>
              <w:marTop w:val="0"/>
              <w:marBottom w:val="0"/>
              <w:divBdr>
                <w:top w:val="none" w:sz="0" w:space="0" w:color="auto"/>
                <w:left w:val="none" w:sz="0" w:space="0" w:color="auto"/>
                <w:bottom w:val="none" w:sz="0" w:space="0" w:color="auto"/>
                <w:right w:val="none" w:sz="0" w:space="0" w:color="auto"/>
              </w:divBdr>
            </w:div>
          </w:divsChild>
        </w:div>
        <w:div w:id="1397973641">
          <w:marLeft w:val="0"/>
          <w:marRight w:val="0"/>
          <w:marTop w:val="0"/>
          <w:marBottom w:val="0"/>
          <w:divBdr>
            <w:top w:val="none" w:sz="0" w:space="0" w:color="auto"/>
            <w:left w:val="none" w:sz="0" w:space="0" w:color="auto"/>
            <w:bottom w:val="none" w:sz="0" w:space="0" w:color="auto"/>
            <w:right w:val="none" w:sz="0" w:space="0" w:color="auto"/>
          </w:divBdr>
          <w:divsChild>
            <w:div w:id="1702586831">
              <w:marLeft w:val="0"/>
              <w:marRight w:val="0"/>
              <w:marTop w:val="0"/>
              <w:marBottom w:val="0"/>
              <w:divBdr>
                <w:top w:val="none" w:sz="0" w:space="0" w:color="auto"/>
                <w:left w:val="none" w:sz="0" w:space="0" w:color="auto"/>
                <w:bottom w:val="none" w:sz="0" w:space="0" w:color="auto"/>
                <w:right w:val="none" w:sz="0" w:space="0" w:color="auto"/>
              </w:divBdr>
            </w:div>
          </w:divsChild>
        </w:div>
        <w:div w:id="1400516612">
          <w:marLeft w:val="0"/>
          <w:marRight w:val="0"/>
          <w:marTop w:val="0"/>
          <w:marBottom w:val="0"/>
          <w:divBdr>
            <w:top w:val="none" w:sz="0" w:space="0" w:color="auto"/>
            <w:left w:val="none" w:sz="0" w:space="0" w:color="auto"/>
            <w:bottom w:val="none" w:sz="0" w:space="0" w:color="auto"/>
            <w:right w:val="none" w:sz="0" w:space="0" w:color="auto"/>
          </w:divBdr>
          <w:divsChild>
            <w:div w:id="1076591323">
              <w:marLeft w:val="0"/>
              <w:marRight w:val="0"/>
              <w:marTop w:val="0"/>
              <w:marBottom w:val="0"/>
              <w:divBdr>
                <w:top w:val="none" w:sz="0" w:space="0" w:color="auto"/>
                <w:left w:val="none" w:sz="0" w:space="0" w:color="auto"/>
                <w:bottom w:val="none" w:sz="0" w:space="0" w:color="auto"/>
                <w:right w:val="none" w:sz="0" w:space="0" w:color="auto"/>
              </w:divBdr>
            </w:div>
          </w:divsChild>
        </w:div>
        <w:div w:id="1497308569">
          <w:marLeft w:val="0"/>
          <w:marRight w:val="0"/>
          <w:marTop w:val="0"/>
          <w:marBottom w:val="0"/>
          <w:divBdr>
            <w:top w:val="none" w:sz="0" w:space="0" w:color="auto"/>
            <w:left w:val="none" w:sz="0" w:space="0" w:color="auto"/>
            <w:bottom w:val="none" w:sz="0" w:space="0" w:color="auto"/>
            <w:right w:val="none" w:sz="0" w:space="0" w:color="auto"/>
          </w:divBdr>
          <w:divsChild>
            <w:div w:id="436217697">
              <w:marLeft w:val="0"/>
              <w:marRight w:val="0"/>
              <w:marTop w:val="0"/>
              <w:marBottom w:val="0"/>
              <w:divBdr>
                <w:top w:val="none" w:sz="0" w:space="0" w:color="auto"/>
                <w:left w:val="none" w:sz="0" w:space="0" w:color="auto"/>
                <w:bottom w:val="none" w:sz="0" w:space="0" w:color="auto"/>
                <w:right w:val="none" w:sz="0" w:space="0" w:color="auto"/>
              </w:divBdr>
            </w:div>
          </w:divsChild>
        </w:div>
        <w:div w:id="1572228910">
          <w:marLeft w:val="0"/>
          <w:marRight w:val="0"/>
          <w:marTop w:val="0"/>
          <w:marBottom w:val="0"/>
          <w:divBdr>
            <w:top w:val="none" w:sz="0" w:space="0" w:color="auto"/>
            <w:left w:val="none" w:sz="0" w:space="0" w:color="auto"/>
            <w:bottom w:val="none" w:sz="0" w:space="0" w:color="auto"/>
            <w:right w:val="none" w:sz="0" w:space="0" w:color="auto"/>
          </w:divBdr>
          <w:divsChild>
            <w:div w:id="525606906">
              <w:marLeft w:val="0"/>
              <w:marRight w:val="0"/>
              <w:marTop w:val="0"/>
              <w:marBottom w:val="0"/>
              <w:divBdr>
                <w:top w:val="none" w:sz="0" w:space="0" w:color="auto"/>
                <w:left w:val="none" w:sz="0" w:space="0" w:color="auto"/>
                <w:bottom w:val="none" w:sz="0" w:space="0" w:color="auto"/>
                <w:right w:val="none" w:sz="0" w:space="0" w:color="auto"/>
              </w:divBdr>
            </w:div>
            <w:div w:id="983268553">
              <w:marLeft w:val="0"/>
              <w:marRight w:val="0"/>
              <w:marTop w:val="0"/>
              <w:marBottom w:val="0"/>
              <w:divBdr>
                <w:top w:val="none" w:sz="0" w:space="0" w:color="auto"/>
                <w:left w:val="none" w:sz="0" w:space="0" w:color="auto"/>
                <w:bottom w:val="none" w:sz="0" w:space="0" w:color="auto"/>
                <w:right w:val="none" w:sz="0" w:space="0" w:color="auto"/>
              </w:divBdr>
            </w:div>
          </w:divsChild>
        </w:div>
        <w:div w:id="1585530832">
          <w:marLeft w:val="0"/>
          <w:marRight w:val="0"/>
          <w:marTop w:val="0"/>
          <w:marBottom w:val="0"/>
          <w:divBdr>
            <w:top w:val="none" w:sz="0" w:space="0" w:color="auto"/>
            <w:left w:val="none" w:sz="0" w:space="0" w:color="auto"/>
            <w:bottom w:val="none" w:sz="0" w:space="0" w:color="auto"/>
            <w:right w:val="none" w:sz="0" w:space="0" w:color="auto"/>
          </w:divBdr>
          <w:divsChild>
            <w:div w:id="216088190">
              <w:marLeft w:val="0"/>
              <w:marRight w:val="0"/>
              <w:marTop w:val="0"/>
              <w:marBottom w:val="0"/>
              <w:divBdr>
                <w:top w:val="none" w:sz="0" w:space="0" w:color="auto"/>
                <w:left w:val="none" w:sz="0" w:space="0" w:color="auto"/>
                <w:bottom w:val="none" w:sz="0" w:space="0" w:color="auto"/>
                <w:right w:val="none" w:sz="0" w:space="0" w:color="auto"/>
              </w:divBdr>
            </w:div>
            <w:div w:id="316963728">
              <w:marLeft w:val="0"/>
              <w:marRight w:val="0"/>
              <w:marTop w:val="0"/>
              <w:marBottom w:val="0"/>
              <w:divBdr>
                <w:top w:val="none" w:sz="0" w:space="0" w:color="auto"/>
                <w:left w:val="none" w:sz="0" w:space="0" w:color="auto"/>
                <w:bottom w:val="none" w:sz="0" w:space="0" w:color="auto"/>
                <w:right w:val="none" w:sz="0" w:space="0" w:color="auto"/>
              </w:divBdr>
            </w:div>
          </w:divsChild>
        </w:div>
        <w:div w:id="1715151018">
          <w:marLeft w:val="0"/>
          <w:marRight w:val="0"/>
          <w:marTop w:val="0"/>
          <w:marBottom w:val="0"/>
          <w:divBdr>
            <w:top w:val="none" w:sz="0" w:space="0" w:color="auto"/>
            <w:left w:val="none" w:sz="0" w:space="0" w:color="auto"/>
            <w:bottom w:val="none" w:sz="0" w:space="0" w:color="auto"/>
            <w:right w:val="none" w:sz="0" w:space="0" w:color="auto"/>
          </w:divBdr>
          <w:divsChild>
            <w:div w:id="341903914">
              <w:marLeft w:val="0"/>
              <w:marRight w:val="0"/>
              <w:marTop w:val="0"/>
              <w:marBottom w:val="0"/>
              <w:divBdr>
                <w:top w:val="none" w:sz="0" w:space="0" w:color="auto"/>
                <w:left w:val="none" w:sz="0" w:space="0" w:color="auto"/>
                <w:bottom w:val="none" w:sz="0" w:space="0" w:color="auto"/>
                <w:right w:val="none" w:sz="0" w:space="0" w:color="auto"/>
              </w:divBdr>
            </w:div>
            <w:div w:id="547306306">
              <w:marLeft w:val="0"/>
              <w:marRight w:val="0"/>
              <w:marTop w:val="0"/>
              <w:marBottom w:val="0"/>
              <w:divBdr>
                <w:top w:val="none" w:sz="0" w:space="0" w:color="auto"/>
                <w:left w:val="none" w:sz="0" w:space="0" w:color="auto"/>
                <w:bottom w:val="none" w:sz="0" w:space="0" w:color="auto"/>
                <w:right w:val="none" w:sz="0" w:space="0" w:color="auto"/>
              </w:divBdr>
            </w:div>
            <w:div w:id="1472408313">
              <w:marLeft w:val="0"/>
              <w:marRight w:val="0"/>
              <w:marTop w:val="0"/>
              <w:marBottom w:val="0"/>
              <w:divBdr>
                <w:top w:val="none" w:sz="0" w:space="0" w:color="auto"/>
                <w:left w:val="none" w:sz="0" w:space="0" w:color="auto"/>
                <w:bottom w:val="none" w:sz="0" w:space="0" w:color="auto"/>
                <w:right w:val="none" w:sz="0" w:space="0" w:color="auto"/>
              </w:divBdr>
            </w:div>
            <w:div w:id="1781101155">
              <w:marLeft w:val="0"/>
              <w:marRight w:val="0"/>
              <w:marTop w:val="0"/>
              <w:marBottom w:val="0"/>
              <w:divBdr>
                <w:top w:val="none" w:sz="0" w:space="0" w:color="auto"/>
                <w:left w:val="none" w:sz="0" w:space="0" w:color="auto"/>
                <w:bottom w:val="none" w:sz="0" w:space="0" w:color="auto"/>
                <w:right w:val="none" w:sz="0" w:space="0" w:color="auto"/>
              </w:divBdr>
            </w:div>
          </w:divsChild>
        </w:div>
        <w:div w:id="1726484509">
          <w:marLeft w:val="0"/>
          <w:marRight w:val="0"/>
          <w:marTop w:val="0"/>
          <w:marBottom w:val="0"/>
          <w:divBdr>
            <w:top w:val="none" w:sz="0" w:space="0" w:color="auto"/>
            <w:left w:val="none" w:sz="0" w:space="0" w:color="auto"/>
            <w:bottom w:val="none" w:sz="0" w:space="0" w:color="auto"/>
            <w:right w:val="none" w:sz="0" w:space="0" w:color="auto"/>
          </w:divBdr>
          <w:divsChild>
            <w:div w:id="6947462">
              <w:marLeft w:val="0"/>
              <w:marRight w:val="0"/>
              <w:marTop w:val="0"/>
              <w:marBottom w:val="0"/>
              <w:divBdr>
                <w:top w:val="none" w:sz="0" w:space="0" w:color="auto"/>
                <w:left w:val="none" w:sz="0" w:space="0" w:color="auto"/>
                <w:bottom w:val="none" w:sz="0" w:space="0" w:color="auto"/>
                <w:right w:val="none" w:sz="0" w:space="0" w:color="auto"/>
              </w:divBdr>
            </w:div>
            <w:div w:id="62876476">
              <w:marLeft w:val="0"/>
              <w:marRight w:val="0"/>
              <w:marTop w:val="0"/>
              <w:marBottom w:val="0"/>
              <w:divBdr>
                <w:top w:val="none" w:sz="0" w:space="0" w:color="auto"/>
                <w:left w:val="none" w:sz="0" w:space="0" w:color="auto"/>
                <w:bottom w:val="none" w:sz="0" w:space="0" w:color="auto"/>
                <w:right w:val="none" w:sz="0" w:space="0" w:color="auto"/>
              </w:divBdr>
            </w:div>
            <w:div w:id="74714746">
              <w:marLeft w:val="0"/>
              <w:marRight w:val="0"/>
              <w:marTop w:val="0"/>
              <w:marBottom w:val="0"/>
              <w:divBdr>
                <w:top w:val="none" w:sz="0" w:space="0" w:color="auto"/>
                <w:left w:val="none" w:sz="0" w:space="0" w:color="auto"/>
                <w:bottom w:val="none" w:sz="0" w:space="0" w:color="auto"/>
                <w:right w:val="none" w:sz="0" w:space="0" w:color="auto"/>
              </w:divBdr>
            </w:div>
            <w:div w:id="326791384">
              <w:marLeft w:val="0"/>
              <w:marRight w:val="0"/>
              <w:marTop w:val="0"/>
              <w:marBottom w:val="0"/>
              <w:divBdr>
                <w:top w:val="none" w:sz="0" w:space="0" w:color="auto"/>
                <w:left w:val="none" w:sz="0" w:space="0" w:color="auto"/>
                <w:bottom w:val="none" w:sz="0" w:space="0" w:color="auto"/>
                <w:right w:val="none" w:sz="0" w:space="0" w:color="auto"/>
              </w:divBdr>
            </w:div>
            <w:div w:id="400759454">
              <w:marLeft w:val="0"/>
              <w:marRight w:val="0"/>
              <w:marTop w:val="0"/>
              <w:marBottom w:val="0"/>
              <w:divBdr>
                <w:top w:val="none" w:sz="0" w:space="0" w:color="auto"/>
                <w:left w:val="none" w:sz="0" w:space="0" w:color="auto"/>
                <w:bottom w:val="none" w:sz="0" w:space="0" w:color="auto"/>
                <w:right w:val="none" w:sz="0" w:space="0" w:color="auto"/>
              </w:divBdr>
            </w:div>
            <w:div w:id="478156188">
              <w:marLeft w:val="0"/>
              <w:marRight w:val="0"/>
              <w:marTop w:val="0"/>
              <w:marBottom w:val="0"/>
              <w:divBdr>
                <w:top w:val="none" w:sz="0" w:space="0" w:color="auto"/>
                <w:left w:val="none" w:sz="0" w:space="0" w:color="auto"/>
                <w:bottom w:val="none" w:sz="0" w:space="0" w:color="auto"/>
                <w:right w:val="none" w:sz="0" w:space="0" w:color="auto"/>
              </w:divBdr>
            </w:div>
            <w:div w:id="868490111">
              <w:marLeft w:val="0"/>
              <w:marRight w:val="0"/>
              <w:marTop w:val="0"/>
              <w:marBottom w:val="0"/>
              <w:divBdr>
                <w:top w:val="none" w:sz="0" w:space="0" w:color="auto"/>
                <w:left w:val="none" w:sz="0" w:space="0" w:color="auto"/>
                <w:bottom w:val="none" w:sz="0" w:space="0" w:color="auto"/>
                <w:right w:val="none" w:sz="0" w:space="0" w:color="auto"/>
              </w:divBdr>
            </w:div>
            <w:div w:id="915165729">
              <w:marLeft w:val="0"/>
              <w:marRight w:val="0"/>
              <w:marTop w:val="0"/>
              <w:marBottom w:val="0"/>
              <w:divBdr>
                <w:top w:val="none" w:sz="0" w:space="0" w:color="auto"/>
                <w:left w:val="none" w:sz="0" w:space="0" w:color="auto"/>
                <w:bottom w:val="none" w:sz="0" w:space="0" w:color="auto"/>
                <w:right w:val="none" w:sz="0" w:space="0" w:color="auto"/>
              </w:divBdr>
            </w:div>
            <w:div w:id="934823545">
              <w:marLeft w:val="0"/>
              <w:marRight w:val="0"/>
              <w:marTop w:val="0"/>
              <w:marBottom w:val="0"/>
              <w:divBdr>
                <w:top w:val="none" w:sz="0" w:space="0" w:color="auto"/>
                <w:left w:val="none" w:sz="0" w:space="0" w:color="auto"/>
                <w:bottom w:val="none" w:sz="0" w:space="0" w:color="auto"/>
                <w:right w:val="none" w:sz="0" w:space="0" w:color="auto"/>
              </w:divBdr>
            </w:div>
            <w:div w:id="1068652691">
              <w:marLeft w:val="0"/>
              <w:marRight w:val="0"/>
              <w:marTop w:val="0"/>
              <w:marBottom w:val="0"/>
              <w:divBdr>
                <w:top w:val="none" w:sz="0" w:space="0" w:color="auto"/>
                <w:left w:val="none" w:sz="0" w:space="0" w:color="auto"/>
                <w:bottom w:val="none" w:sz="0" w:space="0" w:color="auto"/>
                <w:right w:val="none" w:sz="0" w:space="0" w:color="auto"/>
              </w:divBdr>
            </w:div>
            <w:div w:id="1170296475">
              <w:marLeft w:val="0"/>
              <w:marRight w:val="0"/>
              <w:marTop w:val="0"/>
              <w:marBottom w:val="0"/>
              <w:divBdr>
                <w:top w:val="none" w:sz="0" w:space="0" w:color="auto"/>
                <w:left w:val="none" w:sz="0" w:space="0" w:color="auto"/>
                <w:bottom w:val="none" w:sz="0" w:space="0" w:color="auto"/>
                <w:right w:val="none" w:sz="0" w:space="0" w:color="auto"/>
              </w:divBdr>
            </w:div>
            <w:div w:id="1231309639">
              <w:marLeft w:val="0"/>
              <w:marRight w:val="0"/>
              <w:marTop w:val="0"/>
              <w:marBottom w:val="0"/>
              <w:divBdr>
                <w:top w:val="none" w:sz="0" w:space="0" w:color="auto"/>
                <w:left w:val="none" w:sz="0" w:space="0" w:color="auto"/>
                <w:bottom w:val="none" w:sz="0" w:space="0" w:color="auto"/>
                <w:right w:val="none" w:sz="0" w:space="0" w:color="auto"/>
              </w:divBdr>
            </w:div>
            <w:div w:id="1423530844">
              <w:marLeft w:val="0"/>
              <w:marRight w:val="0"/>
              <w:marTop w:val="0"/>
              <w:marBottom w:val="0"/>
              <w:divBdr>
                <w:top w:val="none" w:sz="0" w:space="0" w:color="auto"/>
                <w:left w:val="none" w:sz="0" w:space="0" w:color="auto"/>
                <w:bottom w:val="none" w:sz="0" w:space="0" w:color="auto"/>
                <w:right w:val="none" w:sz="0" w:space="0" w:color="auto"/>
              </w:divBdr>
            </w:div>
            <w:div w:id="1461993200">
              <w:marLeft w:val="0"/>
              <w:marRight w:val="0"/>
              <w:marTop w:val="0"/>
              <w:marBottom w:val="0"/>
              <w:divBdr>
                <w:top w:val="none" w:sz="0" w:space="0" w:color="auto"/>
                <w:left w:val="none" w:sz="0" w:space="0" w:color="auto"/>
                <w:bottom w:val="none" w:sz="0" w:space="0" w:color="auto"/>
                <w:right w:val="none" w:sz="0" w:space="0" w:color="auto"/>
              </w:divBdr>
            </w:div>
            <w:div w:id="1633558045">
              <w:marLeft w:val="0"/>
              <w:marRight w:val="0"/>
              <w:marTop w:val="0"/>
              <w:marBottom w:val="0"/>
              <w:divBdr>
                <w:top w:val="none" w:sz="0" w:space="0" w:color="auto"/>
                <w:left w:val="none" w:sz="0" w:space="0" w:color="auto"/>
                <w:bottom w:val="none" w:sz="0" w:space="0" w:color="auto"/>
                <w:right w:val="none" w:sz="0" w:space="0" w:color="auto"/>
              </w:divBdr>
            </w:div>
          </w:divsChild>
        </w:div>
        <w:div w:id="1847398638">
          <w:marLeft w:val="0"/>
          <w:marRight w:val="0"/>
          <w:marTop w:val="0"/>
          <w:marBottom w:val="0"/>
          <w:divBdr>
            <w:top w:val="none" w:sz="0" w:space="0" w:color="auto"/>
            <w:left w:val="none" w:sz="0" w:space="0" w:color="auto"/>
            <w:bottom w:val="none" w:sz="0" w:space="0" w:color="auto"/>
            <w:right w:val="none" w:sz="0" w:space="0" w:color="auto"/>
          </w:divBdr>
          <w:divsChild>
            <w:div w:id="942687643">
              <w:marLeft w:val="0"/>
              <w:marRight w:val="0"/>
              <w:marTop w:val="0"/>
              <w:marBottom w:val="0"/>
              <w:divBdr>
                <w:top w:val="none" w:sz="0" w:space="0" w:color="auto"/>
                <w:left w:val="none" w:sz="0" w:space="0" w:color="auto"/>
                <w:bottom w:val="none" w:sz="0" w:space="0" w:color="auto"/>
                <w:right w:val="none" w:sz="0" w:space="0" w:color="auto"/>
              </w:divBdr>
            </w:div>
          </w:divsChild>
        </w:div>
        <w:div w:id="1911646466">
          <w:marLeft w:val="0"/>
          <w:marRight w:val="0"/>
          <w:marTop w:val="0"/>
          <w:marBottom w:val="0"/>
          <w:divBdr>
            <w:top w:val="none" w:sz="0" w:space="0" w:color="auto"/>
            <w:left w:val="none" w:sz="0" w:space="0" w:color="auto"/>
            <w:bottom w:val="none" w:sz="0" w:space="0" w:color="auto"/>
            <w:right w:val="none" w:sz="0" w:space="0" w:color="auto"/>
          </w:divBdr>
          <w:divsChild>
            <w:div w:id="1375733847">
              <w:marLeft w:val="0"/>
              <w:marRight w:val="0"/>
              <w:marTop w:val="0"/>
              <w:marBottom w:val="0"/>
              <w:divBdr>
                <w:top w:val="none" w:sz="0" w:space="0" w:color="auto"/>
                <w:left w:val="none" w:sz="0" w:space="0" w:color="auto"/>
                <w:bottom w:val="none" w:sz="0" w:space="0" w:color="auto"/>
                <w:right w:val="none" w:sz="0" w:space="0" w:color="auto"/>
              </w:divBdr>
            </w:div>
          </w:divsChild>
        </w:div>
        <w:div w:id="1948077115">
          <w:marLeft w:val="0"/>
          <w:marRight w:val="0"/>
          <w:marTop w:val="0"/>
          <w:marBottom w:val="0"/>
          <w:divBdr>
            <w:top w:val="none" w:sz="0" w:space="0" w:color="auto"/>
            <w:left w:val="none" w:sz="0" w:space="0" w:color="auto"/>
            <w:bottom w:val="none" w:sz="0" w:space="0" w:color="auto"/>
            <w:right w:val="none" w:sz="0" w:space="0" w:color="auto"/>
          </w:divBdr>
          <w:divsChild>
            <w:div w:id="16694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5809">
      <w:bodyDiv w:val="1"/>
      <w:marLeft w:val="0"/>
      <w:marRight w:val="0"/>
      <w:marTop w:val="0"/>
      <w:marBottom w:val="0"/>
      <w:divBdr>
        <w:top w:val="none" w:sz="0" w:space="0" w:color="auto"/>
        <w:left w:val="none" w:sz="0" w:space="0" w:color="auto"/>
        <w:bottom w:val="none" w:sz="0" w:space="0" w:color="auto"/>
        <w:right w:val="none" w:sz="0" w:space="0" w:color="auto"/>
      </w:divBdr>
      <w:divsChild>
        <w:div w:id="646975537">
          <w:marLeft w:val="0"/>
          <w:marRight w:val="0"/>
          <w:marTop w:val="0"/>
          <w:marBottom w:val="0"/>
          <w:divBdr>
            <w:top w:val="none" w:sz="0" w:space="0" w:color="auto"/>
            <w:left w:val="none" w:sz="0" w:space="0" w:color="auto"/>
            <w:bottom w:val="none" w:sz="0" w:space="0" w:color="auto"/>
            <w:right w:val="none" w:sz="0" w:space="0" w:color="auto"/>
          </w:divBdr>
          <w:divsChild>
            <w:div w:id="551066">
              <w:marLeft w:val="0"/>
              <w:marRight w:val="0"/>
              <w:marTop w:val="0"/>
              <w:marBottom w:val="0"/>
              <w:divBdr>
                <w:top w:val="none" w:sz="0" w:space="0" w:color="auto"/>
                <w:left w:val="none" w:sz="0" w:space="0" w:color="auto"/>
                <w:bottom w:val="none" w:sz="0" w:space="0" w:color="auto"/>
                <w:right w:val="none" w:sz="0" w:space="0" w:color="auto"/>
              </w:divBdr>
            </w:div>
            <w:div w:id="61803909">
              <w:marLeft w:val="0"/>
              <w:marRight w:val="0"/>
              <w:marTop w:val="0"/>
              <w:marBottom w:val="0"/>
              <w:divBdr>
                <w:top w:val="none" w:sz="0" w:space="0" w:color="auto"/>
                <w:left w:val="none" w:sz="0" w:space="0" w:color="auto"/>
                <w:bottom w:val="none" w:sz="0" w:space="0" w:color="auto"/>
                <w:right w:val="none" w:sz="0" w:space="0" w:color="auto"/>
              </w:divBdr>
            </w:div>
            <w:div w:id="158733532">
              <w:marLeft w:val="0"/>
              <w:marRight w:val="0"/>
              <w:marTop w:val="0"/>
              <w:marBottom w:val="0"/>
              <w:divBdr>
                <w:top w:val="none" w:sz="0" w:space="0" w:color="auto"/>
                <w:left w:val="none" w:sz="0" w:space="0" w:color="auto"/>
                <w:bottom w:val="none" w:sz="0" w:space="0" w:color="auto"/>
                <w:right w:val="none" w:sz="0" w:space="0" w:color="auto"/>
              </w:divBdr>
            </w:div>
            <w:div w:id="182063289">
              <w:marLeft w:val="0"/>
              <w:marRight w:val="0"/>
              <w:marTop w:val="0"/>
              <w:marBottom w:val="0"/>
              <w:divBdr>
                <w:top w:val="none" w:sz="0" w:space="0" w:color="auto"/>
                <w:left w:val="none" w:sz="0" w:space="0" w:color="auto"/>
                <w:bottom w:val="none" w:sz="0" w:space="0" w:color="auto"/>
                <w:right w:val="none" w:sz="0" w:space="0" w:color="auto"/>
              </w:divBdr>
            </w:div>
            <w:div w:id="226765030">
              <w:marLeft w:val="0"/>
              <w:marRight w:val="0"/>
              <w:marTop w:val="0"/>
              <w:marBottom w:val="0"/>
              <w:divBdr>
                <w:top w:val="none" w:sz="0" w:space="0" w:color="auto"/>
                <w:left w:val="none" w:sz="0" w:space="0" w:color="auto"/>
                <w:bottom w:val="none" w:sz="0" w:space="0" w:color="auto"/>
                <w:right w:val="none" w:sz="0" w:space="0" w:color="auto"/>
              </w:divBdr>
            </w:div>
            <w:div w:id="348878504">
              <w:marLeft w:val="0"/>
              <w:marRight w:val="0"/>
              <w:marTop w:val="0"/>
              <w:marBottom w:val="0"/>
              <w:divBdr>
                <w:top w:val="none" w:sz="0" w:space="0" w:color="auto"/>
                <w:left w:val="none" w:sz="0" w:space="0" w:color="auto"/>
                <w:bottom w:val="none" w:sz="0" w:space="0" w:color="auto"/>
                <w:right w:val="none" w:sz="0" w:space="0" w:color="auto"/>
              </w:divBdr>
            </w:div>
            <w:div w:id="421070316">
              <w:marLeft w:val="0"/>
              <w:marRight w:val="0"/>
              <w:marTop w:val="0"/>
              <w:marBottom w:val="0"/>
              <w:divBdr>
                <w:top w:val="none" w:sz="0" w:space="0" w:color="auto"/>
                <w:left w:val="none" w:sz="0" w:space="0" w:color="auto"/>
                <w:bottom w:val="none" w:sz="0" w:space="0" w:color="auto"/>
                <w:right w:val="none" w:sz="0" w:space="0" w:color="auto"/>
              </w:divBdr>
            </w:div>
            <w:div w:id="572468071">
              <w:marLeft w:val="0"/>
              <w:marRight w:val="0"/>
              <w:marTop w:val="0"/>
              <w:marBottom w:val="0"/>
              <w:divBdr>
                <w:top w:val="none" w:sz="0" w:space="0" w:color="auto"/>
                <w:left w:val="none" w:sz="0" w:space="0" w:color="auto"/>
                <w:bottom w:val="none" w:sz="0" w:space="0" w:color="auto"/>
                <w:right w:val="none" w:sz="0" w:space="0" w:color="auto"/>
              </w:divBdr>
            </w:div>
            <w:div w:id="743143340">
              <w:marLeft w:val="0"/>
              <w:marRight w:val="0"/>
              <w:marTop w:val="0"/>
              <w:marBottom w:val="0"/>
              <w:divBdr>
                <w:top w:val="none" w:sz="0" w:space="0" w:color="auto"/>
                <w:left w:val="none" w:sz="0" w:space="0" w:color="auto"/>
                <w:bottom w:val="none" w:sz="0" w:space="0" w:color="auto"/>
                <w:right w:val="none" w:sz="0" w:space="0" w:color="auto"/>
              </w:divBdr>
            </w:div>
            <w:div w:id="752623979">
              <w:marLeft w:val="0"/>
              <w:marRight w:val="0"/>
              <w:marTop w:val="0"/>
              <w:marBottom w:val="0"/>
              <w:divBdr>
                <w:top w:val="none" w:sz="0" w:space="0" w:color="auto"/>
                <w:left w:val="none" w:sz="0" w:space="0" w:color="auto"/>
                <w:bottom w:val="none" w:sz="0" w:space="0" w:color="auto"/>
                <w:right w:val="none" w:sz="0" w:space="0" w:color="auto"/>
              </w:divBdr>
            </w:div>
            <w:div w:id="858205559">
              <w:marLeft w:val="0"/>
              <w:marRight w:val="0"/>
              <w:marTop w:val="0"/>
              <w:marBottom w:val="0"/>
              <w:divBdr>
                <w:top w:val="none" w:sz="0" w:space="0" w:color="auto"/>
                <w:left w:val="none" w:sz="0" w:space="0" w:color="auto"/>
                <w:bottom w:val="none" w:sz="0" w:space="0" w:color="auto"/>
                <w:right w:val="none" w:sz="0" w:space="0" w:color="auto"/>
              </w:divBdr>
            </w:div>
            <w:div w:id="1039092093">
              <w:marLeft w:val="0"/>
              <w:marRight w:val="0"/>
              <w:marTop w:val="0"/>
              <w:marBottom w:val="0"/>
              <w:divBdr>
                <w:top w:val="none" w:sz="0" w:space="0" w:color="auto"/>
                <w:left w:val="none" w:sz="0" w:space="0" w:color="auto"/>
                <w:bottom w:val="none" w:sz="0" w:space="0" w:color="auto"/>
                <w:right w:val="none" w:sz="0" w:space="0" w:color="auto"/>
              </w:divBdr>
            </w:div>
            <w:div w:id="1088768054">
              <w:marLeft w:val="0"/>
              <w:marRight w:val="0"/>
              <w:marTop w:val="0"/>
              <w:marBottom w:val="0"/>
              <w:divBdr>
                <w:top w:val="none" w:sz="0" w:space="0" w:color="auto"/>
                <w:left w:val="none" w:sz="0" w:space="0" w:color="auto"/>
                <w:bottom w:val="none" w:sz="0" w:space="0" w:color="auto"/>
                <w:right w:val="none" w:sz="0" w:space="0" w:color="auto"/>
              </w:divBdr>
            </w:div>
            <w:div w:id="1114977250">
              <w:marLeft w:val="0"/>
              <w:marRight w:val="0"/>
              <w:marTop w:val="0"/>
              <w:marBottom w:val="0"/>
              <w:divBdr>
                <w:top w:val="none" w:sz="0" w:space="0" w:color="auto"/>
                <w:left w:val="none" w:sz="0" w:space="0" w:color="auto"/>
                <w:bottom w:val="none" w:sz="0" w:space="0" w:color="auto"/>
                <w:right w:val="none" w:sz="0" w:space="0" w:color="auto"/>
              </w:divBdr>
            </w:div>
            <w:div w:id="1249121874">
              <w:marLeft w:val="0"/>
              <w:marRight w:val="0"/>
              <w:marTop w:val="0"/>
              <w:marBottom w:val="0"/>
              <w:divBdr>
                <w:top w:val="none" w:sz="0" w:space="0" w:color="auto"/>
                <w:left w:val="none" w:sz="0" w:space="0" w:color="auto"/>
                <w:bottom w:val="none" w:sz="0" w:space="0" w:color="auto"/>
                <w:right w:val="none" w:sz="0" w:space="0" w:color="auto"/>
              </w:divBdr>
            </w:div>
            <w:div w:id="1347828945">
              <w:marLeft w:val="0"/>
              <w:marRight w:val="0"/>
              <w:marTop w:val="0"/>
              <w:marBottom w:val="0"/>
              <w:divBdr>
                <w:top w:val="none" w:sz="0" w:space="0" w:color="auto"/>
                <w:left w:val="none" w:sz="0" w:space="0" w:color="auto"/>
                <w:bottom w:val="none" w:sz="0" w:space="0" w:color="auto"/>
                <w:right w:val="none" w:sz="0" w:space="0" w:color="auto"/>
              </w:divBdr>
            </w:div>
            <w:div w:id="1525443643">
              <w:marLeft w:val="0"/>
              <w:marRight w:val="0"/>
              <w:marTop w:val="0"/>
              <w:marBottom w:val="0"/>
              <w:divBdr>
                <w:top w:val="none" w:sz="0" w:space="0" w:color="auto"/>
                <w:left w:val="none" w:sz="0" w:space="0" w:color="auto"/>
                <w:bottom w:val="none" w:sz="0" w:space="0" w:color="auto"/>
                <w:right w:val="none" w:sz="0" w:space="0" w:color="auto"/>
              </w:divBdr>
            </w:div>
            <w:div w:id="1704869168">
              <w:marLeft w:val="0"/>
              <w:marRight w:val="0"/>
              <w:marTop w:val="0"/>
              <w:marBottom w:val="0"/>
              <w:divBdr>
                <w:top w:val="none" w:sz="0" w:space="0" w:color="auto"/>
                <w:left w:val="none" w:sz="0" w:space="0" w:color="auto"/>
                <w:bottom w:val="none" w:sz="0" w:space="0" w:color="auto"/>
                <w:right w:val="none" w:sz="0" w:space="0" w:color="auto"/>
              </w:divBdr>
            </w:div>
            <w:div w:id="2046366552">
              <w:marLeft w:val="0"/>
              <w:marRight w:val="0"/>
              <w:marTop w:val="0"/>
              <w:marBottom w:val="0"/>
              <w:divBdr>
                <w:top w:val="none" w:sz="0" w:space="0" w:color="auto"/>
                <w:left w:val="none" w:sz="0" w:space="0" w:color="auto"/>
                <w:bottom w:val="none" w:sz="0" w:space="0" w:color="auto"/>
                <w:right w:val="none" w:sz="0" w:space="0" w:color="auto"/>
              </w:divBdr>
            </w:div>
            <w:div w:id="2136829548">
              <w:marLeft w:val="0"/>
              <w:marRight w:val="0"/>
              <w:marTop w:val="0"/>
              <w:marBottom w:val="0"/>
              <w:divBdr>
                <w:top w:val="none" w:sz="0" w:space="0" w:color="auto"/>
                <w:left w:val="none" w:sz="0" w:space="0" w:color="auto"/>
                <w:bottom w:val="none" w:sz="0" w:space="0" w:color="auto"/>
                <w:right w:val="none" w:sz="0" w:space="0" w:color="auto"/>
              </w:divBdr>
            </w:div>
          </w:divsChild>
        </w:div>
        <w:div w:id="745345341">
          <w:marLeft w:val="0"/>
          <w:marRight w:val="0"/>
          <w:marTop w:val="0"/>
          <w:marBottom w:val="0"/>
          <w:divBdr>
            <w:top w:val="none" w:sz="0" w:space="0" w:color="auto"/>
            <w:left w:val="none" w:sz="0" w:space="0" w:color="auto"/>
            <w:bottom w:val="none" w:sz="0" w:space="0" w:color="auto"/>
            <w:right w:val="none" w:sz="0" w:space="0" w:color="auto"/>
          </w:divBdr>
          <w:divsChild>
            <w:div w:id="56247247">
              <w:marLeft w:val="0"/>
              <w:marRight w:val="0"/>
              <w:marTop w:val="0"/>
              <w:marBottom w:val="0"/>
              <w:divBdr>
                <w:top w:val="none" w:sz="0" w:space="0" w:color="auto"/>
                <w:left w:val="none" w:sz="0" w:space="0" w:color="auto"/>
                <w:bottom w:val="none" w:sz="0" w:space="0" w:color="auto"/>
                <w:right w:val="none" w:sz="0" w:space="0" w:color="auto"/>
              </w:divBdr>
            </w:div>
            <w:div w:id="186065301">
              <w:marLeft w:val="0"/>
              <w:marRight w:val="0"/>
              <w:marTop w:val="0"/>
              <w:marBottom w:val="0"/>
              <w:divBdr>
                <w:top w:val="none" w:sz="0" w:space="0" w:color="auto"/>
                <w:left w:val="none" w:sz="0" w:space="0" w:color="auto"/>
                <w:bottom w:val="none" w:sz="0" w:space="0" w:color="auto"/>
                <w:right w:val="none" w:sz="0" w:space="0" w:color="auto"/>
              </w:divBdr>
            </w:div>
            <w:div w:id="537199744">
              <w:marLeft w:val="0"/>
              <w:marRight w:val="0"/>
              <w:marTop w:val="0"/>
              <w:marBottom w:val="0"/>
              <w:divBdr>
                <w:top w:val="none" w:sz="0" w:space="0" w:color="auto"/>
                <w:left w:val="none" w:sz="0" w:space="0" w:color="auto"/>
                <w:bottom w:val="none" w:sz="0" w:space="0" w:color="auto"/>
                <w:right w:val="none" w:sz="0" w:space="0" w:color="auto"/>
              </w:divBdr>
            </w:div>
            <w:div w:id="539587754">
              <w:marLeft w:val="0"/>
              <w:marRight w:val="0"/>
              <w:marTop w:val="0"/>
              <w:marBottom w:val="0"/>
              <w:divBdr>
                <w:top w:val="none" w:sz="0" w:space="0" w:color="auto"/>
                <w:left w:val="none" w:sz="0" w:space="0" w:color="auto"/>
                <w:bottom w:val="none" w:sz="0" w:space="0" w:color="auto"/>
                <w:right w:val="none" w:sz="0" w:space="0" w:color="auto"/>
              </w:divBdr>
            </w:div>
            <w:div w:id="570119186">
              <w:marLeft w:val="0"/>
              <w:marRight w:val="0"/>
              <w:marTop w:val="0"/>
              <w:marBottom w:val="0"/>
              <w:divBdr>
                <w:top w:val="none" w:sz="0" w:space="0" w:color="auto"/>
                <w:left w:val="none" w:sz="0" w:space="0" w:color="auto"/>
                <w:bottom w:val="none" w:sz="0" w:space="0" w:color="auto"/>
                <w:right w:val="none" w:sz="0" w:space="0" w:color="auto"/>
              </w:divBdr>
            </w:div>
            <w:div w:id="598097348">
              <w:marLeft w:val="0"/>
              <w:marRight w:val="0"/>
              <w:marTop w:val="0"/>
              <w:marBottom w:val="0"/>
              <w:divBdr>
                <w:top w:val="none" w:sz="0" w:space="0" w:color="auto"/>
                <w:left w:val="none" w:sz="0" w:space="0" w:color="auto"/>
                <w:bottom w:val="none" w:sz="0" w:space="0" w:color="auto"/>
                <w:right w:val="none" w:sz="0" w:space="0" w:color="auto"/>
              </w:divBdr>
            </w:div>
            <w:div w:id="612130684">
              <w:marLeft w:val="0"/>
              <w:marRight w:val="0"/>
              <w:marTop w:val="0"/>
              <w:marBottom w:val="0"/>
              <w:divBdr>
                <w:top w:val="none" w:sz="0" w:space="0" w:color="auto"/>
                <w:left w:val="none" w:sz="0" w:space="0" w:color="auto"/>
                <w:bottom w:val="none" w:sz="0" w:space="0" w:color="auto"/>
                <w:right w:val="none" w:sz="0" w:space="0" w:color="auto"/>
              </w:divBdr>
            </w:div>
            <w:div w:id="1284458233">
              <w:marLeft w:val="0"/>
              <w:marRight w:val="0"/>
              <w:marTop w:val="0"/>
              <w:marBottom w:val="0"/>
              <w:divBdr>
                <w:top w:val="none" w:sz="0" w:space="0" w:color="auto"/>
                <w:left w:val="none" w:sz="0" w:space="0" w:color="auto"/>
                <w:bottom w:val="none" w:sz="0" w:space="0" w:color="auto"/>
                <w:right w:val="none" w:sz="0" w:space="0" w:color="auto"/>
              </w:divBdr>
            </w:div>
            <w:div w:id="1404453039">
              <w:marLeft w:val="0"/>
              <w:marRight w:val="0"/>
              <w:marTop w:val="0"/>
              <w:marBottom w:val="0"/>
              <w:divBdr>
                <w:top w:val="none" w:sz="0" w:space="0" w:color="auto"/>
                <w:left w:val="none" w:sz="0" w:space="0" w:color="auto"/>
                <w:bottom w:val="none" w:sz="0" w:space="0" w:color="auto"/>
                <w:right w:val="none" w:sz="0" w:space="0" w:color="auto"/>
              </w:divBdr>
            </w:div>
            <w:div w:id="1419903261">
              <w:marLeft w:val="0"/>
              <w:marRight w:val="0"/>
              <w:marTop w:val="0"/>
              <w:marBottom w:val="0"/>
              <w:divBdr>
                <w:top w:val="none" w:sz="0" w:space="0" w:color="auto"/>
                <w:left w:val="none" w:sz="0" w:space="0" w:color="auto"/>
                <w:bottom w:val="none" w:sz="0" w:space="0" w:color="auto"/>
                <w:right w:val="none" w:sz="0" w:space="0" w:color="auto"/>
              </w:divBdr>
            </w:div>
            <w:div w:id="1440905024">
              <w:marLeft w:val="0"/>
              <w:marRight w:val="0"/>
              <w:marTop w:val="0"/>
              <w:marBottom w:val="0"/>
              <w:divBdr>
                <w:top w:val="none" w:sz="0" w:space="0" w:color="auto"/>
                <w:left w:val="none" w:sz="0" w:space="0" w:color="auto"/>
                <w:bottom w:val="none" w:sz="0" w:space="0" w:color="auto"/>
                <w:right w:val="none" w:sz="0" w:space="0" w:color="auto"/>
              </w:divBdr>
            </w:div>
            <w:div w:id="1475178579">
              <w:marLeft w:val="0"/>
              <w:marRight w:val="0"/>
              <w:marTop w:val="0"/>
              <w:marBottom w:val="0"/>
              <w:divBdr>
                <w:top w:val="none" w:sz="0" w:space="0" w:color="auto"/>
                <w:left w:val="none" w:sz="0" w:space="0" w:color="auto"/>
                <w:bottom w:val="none" w:sz="0" w:space="0" w:color="auto"/>
                <w:right w:val="none" w:sz="0" w:space="0" w:color="auto"/>
              </w:divBdr>
            </w:div>
            <w:div w:id="1556702594">
              <w:marLeft w:val="0"/>
              <w:marRight w:val="0"/>
              <w:marTop w:val="0"/>
              <w:marBottom w:val="0"/>
              <w:divBdr>
                <w:top w:val="none" w:sz="0" w:space="0" w:color="auto"/>
                <w:left w:val="none" w:sz="0" w:space="0" w:color="auto"/>
                <w:bottom w:val="none" w:sz="0" w:space="0" w:color="auto"/>
                <w:right w:val="none" w:sz="0" w:space="0" w:color="auto"/>
              </w:divBdr>
            </w:div>
            <w:div w:id="1693650342">
              <w:marLeft w:val="0"/>
              <w:marRight w:val="0"/>
              <w:marTop w:val="0"/>
              <w:marBottom w:val="0"/>
              <w:divBdr>
                <w:top w:val="none" w:sz="0" w:space="0" w:color="auto"/>
                <w:left w:val="none" w:sz="0" w:space="0" w:color="auto"/>
                <w:bottom w:val="none" w:sz="0" w:space="0" w:color="auto"/>
                <w:right w:val="none" w:sz="0" w:space="0" w:color="auto"/>
              </w:divBdr>
            </w:div>
            <w:div w:id="1757096366">
              <w:marLeft w:val="0"/>
              <w:marRight w:val="0"/>
              <w:marTop w:val="0"/>
              <w:marBottom w:val="0"/>
              <w:divBdr>
                <w:top w:val="none" w:sz="0" w:space="0" w:color="auto"/>
                <w:left w:val="none" w:sz="0" w:space="0" w:color="auto"/>
                <w:bottom w:val="none" w:sz="0" w:space="0" w:color="auto"/>
                <w:right w:val="none" w:sz="0" w:space="0" w:color="auto"/>
              </w:divBdr>
            </w:div>
            <w:div w:id="1780680442">
              <w:marLeft w:val="0"/>
              <w:marRight w:val="0"/>
              <w:marTop w:val="0"/>
              <w:marBottom w:val="0"/>
              <w:divBdr>
                <w:top w:val="none" w:sz="0" w:space="0" w:color="auto"/>
                <w:left w:val="none" w:sz="0" w:space="0" w:color="auto"/>
                <w:bottom w:val="none" w:sz="0" w:space="0" w:color="auto"/>
                <w:right w:val="none" w:sz="0" w:space="0" w:color="auto"/>
              </w:divBdr>
            </w:div>
            <w:div w:id="1851875355">
              <w:marLeft w:val="0"/>
              <w:marRight w:val="0"/>
              <w:marTop w:val="0"/>
              <w:marBottom w:val="0"/>
              <w:divBdr>
                <w:top w:val="none" w:sz="0" w:space="0" w:color="auto"/>
                <w:left w:val="none" w:sz="0" w:space="0" w:color="auto"/>
                <w:bottom w:val="none" w:sz="0" w:space="0" w:color="auto"/>
                <w:right w:val="none" w:sz="0" w:space="0" w:color="auto"/>
              </w:divBdr>
            </w:div>
            <w:div w:id="2021929346">
              <w:marLeft w:val="0"/>
              <w:marRight w:val="0"/>
              <w:marTop w:val="0"/>
              <w:marBottom w:val="0"/>
              <w:divBdr>
                <w:top w:val="none" w:sz="0" w:space="0" w:color="auto"/>
                <w:left w:val="none" w:sz="0" w:space="0" w:color="auto"/>
                <w:bottom w:val="none" w:sz="0" w:space="0" w:color="auto"/>
                <w:right w:val="none" w:sz="0" w:space="0" w:color="auto"/>
              </w:divBdr>
            </w:div>
            <w:div w:id="2033652133">
              <w:marLeft w:val="0"/>
              <w:marRight w:val="0"/>
              <w:marTop w:val="0"/>
              <w:marBottom w:val="0"/>
              <w:divBdr>
                <w:top w:val="none" w:sz="0" w:space="0" w:color="auto"/>
                <w:left w:val="none" w:sz="0" w:space="0" w:color="auto"/>
                <w:bottom w:val="none" w:sz="0" w:space="0" w:color="auto"/>
                <w:right w:val="none" w:sz="0" w:space="0" w:color="auto"/>
              </w:divBdr>
            </w:div>
          </w:divsChild>
        </w:div>
        <w:div w:id="1298224083">
          <w:marLeft w:val="0"/>
          <w:marRight w:val="0"/>
          <w:marTop w:val="0"/>
          <w:marBottom w:val="0"/>
          <w:divBdr>
            <w:top w:val="none" w:sz="0" w:space="0" w:color="auto"/>
            <w:left w:val="none" w:sz="0" w:space="0" w:color="auto"/>
            <w:bottom w:val="none" w:sz="0" w:space="0" w:color="auto"/>
            <w:right w:val="none" w:sz="0" w:space="0" w:color="auto"/>
          </w:divBdr>
          <w:divsChild>
            <w:div w:id="48504699">
              <w:marLeft w:val="0"/>
              <w:marRight w:val="0"/>
              <w:marTop w:val="0"/>
              <w:marBottom w:val="0"/>
              <w:divBdr>
                <w:top w:val="none" w:sz="0" w:space="0" w:color="auto"/>
                <w:left w:val="none" w:sz="0" w:space="0" w:color="auto"/>
                <w:bottom w:val="none" w:sz="0" w:space="0" w:color="auto"/>
                <w:right w:val="none" w:sz="0" w:space="0" w:color="auto"/>
              </w:divBdr>
            </w:div>
            <w:div w:id="73285917">
              <w:marLeft w:val="0"/>
              <w:marRight w:val="0"/>
              <w:marTop w:val="0"/>
              <w:marBottom w:val="0"/>
              <w:divBdr>
                <w:top w:val="none" w:sz="0" w:space="0" w:color="auto"/>
                <w:left w:val="none" w:sz="0" w:space="0" w:color="auto"/>
                <w:bottom w:val="none" w:sz="0" w:space="0" w:color="auto"/>
                <w:right w:val="none" w:sz="0" w:space="0" w:color="auto"/>
              </w:divBdr>
            </w:div>
            <w:div w:id="116338765">
              <w:marLeft w:val="0"/>
              <w:marRight w:val="0"/>
              <w:marTop w:val="0"/>
              <w:marBottom w:val="0"/>
              <w:divBdr>
                <w:top w:val="none" w:sz="0" w:space="0" w:color="auto"/>
                <w:left w:val="none" w:sz="0" w:space="0" w:color="auto"/>
                <w:bottom w:val="none" w:sz="0" w:space="0" w:color="auto"/>
                <w:right w:val="none" w:sz="0" w:space="0" w:color="auto"/>
              </w:divBdr>
            </w:div>
            <w:div w:id="136071318">
              <w:marLeft w:val="0"/>
              <w:marRight w:val="0"/>
              <w:marTop w:val="0"/>
              <w:marBottom w:val="0"/>
              <w:divBdr>
                <w:top w:val="none" w:sz="0" w:space="0" w:color="auto"/>
                <w:left w:val="none" w:sz="0" w:space="0" w:color="auto"/>
                <w:bottom w:val="none" w:sz="0" w:space="0" w:color="auto"/>
                <w:right w:val="none" w:sz="0" w:space="0" w:color="auto"/>
              </w:divBdr>
            </w:div>
            <w:div w:id="159733243">
              <w:marLeft w:val="0"/>
              <w:marRight w:val="0"/>
              <w:marTop w:val="0"/>
              <w:marBottom w:val="0"/>
              <w:divBdr>
                <w:top w:val="none" w:sz="0" w:space="0" w:color="auto"/>
                <w:left w:val="none" w:sz="0" w:space="0" w:color="auto"/>
                <w:bottom w:val="none" w:sz="0" w:space="0" w:color="auto"/>
                <w:right w:val="none" w:sz="0" w:space="0" w:color="auto"/>
              </w:divBdr>
            </w:div>
            <w:div w:id="219097578">
              <w:marLeft w:val="0"/>
              <w:marRight w:val="0"/>
              <w:marTop w:val="0"/>
              <w:marBottom w:val="0"/>
              <w:divBdr>
                <w:top w:val="none" w:sz="0" w:space="0" w:color="auto"/>
                <w:left w:val="none" w:sz="0" w:space="0" w:color="auto"/>
                <w:bottom w:val="none" w:sz="0" w:space="0" w:color="auto"/>
                <w:right w:val="none" w:sz="0" w:space="0" w:color="auto"/>
              </w:divBdr>
            </w:div>
            <w:div w:id="328487535">
              <w:marLeft w:val="0"/>
              <w:marRight w:val="0"/>
              <w:marTop w:val="0"/>
              <w:marBottom w:val="0"/>
              <w:divBdr>
                <w:top w:val="none" w:sz="0" w:space="0" w:color="auto"/>
                <w:left w:val="none" w:sz="0" w:space="0" w:color="auto"/>
                <w:bottom w:val="none" w:sz="0" w:space="0" w:color="auto"/>
                <w:right w:val="none" w:sz="0" w:space="0" w:color="auto"/>
              </w:divBdr>
            </w:div>
            <w:div w:id="412624982">
              <w:marLeft w:val="0"/>
              <w:marRight w:val="0"/>
              <w:marTop w:val="0"/>
              <w:marBottom w:val="0"/>
              <w:divBdr>
                <w:top w:val="none" w:sz="0" w:space="0" w:color="auto"/>
                <w:left w:val="none" w:sz="0" w:space="0" w:color="auto"/>
                <w:bottom w:val="none" w:sz="0" w:space="0" w:color="auto"/>
                <w:right w:val="none" w:sz="0" w:space="0" w:color="auto"/>
              </w:divBdr>
            </w:div>
            <w:div w:id="420688734">
              <w:marLeft w:val="0"/>
              <w:marRight w:val="0"/>
              <w:marTop w:val="0"/>
              <w:marBottom w:val="0"/>
              <w:divBdr>
                <w:top w:val="none" w:sz="0" w:space="0" w:color="auto"/>
                <w:left w:val="none" w:sz="0" w:space="0" w:color="auto"/>
                <w:bottom w:val="none" w:sz="0" w:space="0" w:color="auto"/>
                <w:right w:val="none" w:sz="0" w:space="0" w:color="auto"/>
              </w:divBdr>
            </w:div>
            <w:div w:id="580070131">
              <w:marLeft w:val="0"/>
              <w:marRight w:val="0"/>
              <w:marTop w:val="0"/>
              <w:marBottom w:val="0"/>
              <w:divBdr>
                <w:top w:val="none" w:sz="0" w:space="0" w:color="auto"/>
                <w:left w:val="none" w:sz="0" w:space="0" w:color="auto"/>
                <w:bottom w:val="none" w:sz="0" w:space="0" w:color="auto"/>
                <w:right w:val="none" w:sz="0" w:space="0" w:color="auto"/>
              </w:divBdr>
            </w:div>
            <w:div w:id="644815517">
              <w:marLeft w:val="0"/>
              <w:marRight w:val="0"/>
              <w:marTop w:val="0"/>
              <w:marBottom w:val="0"/>
              <w:divBdr>
                <w:top w:val="none" w:sz="0" w:space="0" w:color="auto"/>
                <w:left w:val="none" w:sz="0" w:space="0" w:color="auto"/>
                <w:bottom w:val="none" w:sz="0" w:space="0" w:color="auto"/>
                <w:right w:val="none" w:sz="0" w:space="0" w:color="auto"/>
              </w:divBdr>
            </w:div>
            <w:div w:id="824783592">
              <w:marLeft w:val="0"/>
              <w:marRight w:val="0"/>
              <w:marTop w:val="0"/>
              <w:marBottom w:val="0"/>
              <w:divBdr>
                <w:top w:val="none" w:sz="0" w:space="0" w:color="auto"/>
                <w:left w:val="none" w:sz="0" w:space="0" w:color="auto"/>
                <w:bottom w:val="none" w:sz="0" w:space="0" w:color="auto"/>
                <w:right w:val="none" w:sz="0" w:space="0" w:color="auto"/>
              </w:divBdr>
            </w:div>
            <w:div w:id="876241141">
              <w:marLeft w:val="0"/>
              <w:marRight w:val="0"/>
              <w:marTop w:val="0"/>
              <w:marBottom w:val="0"/>
              <w:divBdr>
                <w:top w:val="none" w:sz="0" w:space="0" w:color="auto"/>
                <w:left w:val="none" w:sz="0" w:space="0" w:color="auto"/>
                <w:bottom w:val="none" w:sz="0" w:space="0" w:color="auto"/>
                <w:right w:val="none" w:sz="0" w:space="0" w:color="auto"/>
              </w:divBdr>
            </w:div>
            <w:div w:id="1012562579">
              <w:marLeft w:val="0"/>
              <w:marRight w:val="0"/>
              <w:marTop w:val="0"/>
              <w:marBottom w:val="0"/>
              <w:divBdr>
                <w:top w:val="none" w:sz="0" w:space="0" w:color="auto"/>
                <w:left w:val="none" w:sz="0" w:space="0" w:color="auto"/>
                <w:bottom w:val="none" w:sz="0" w:space="0" w:color="auto"/>
                <w:right w:val="none" w:sz="0" w:space="0" w:color="auto"/>
              </w:divBdr>
            </w:div>
            <w:div w:id="1042706218">
              <w:marLeft w:val="0"/>
              <w:marRight w:val="0"/>
              <w:marTop w:val="0"/>
              <w:marBottom w:val="0"/>
              <w:divBdr>
                <w:top w:val="none" w:sz="0" w:space="0" w:color="auto"/>
                <w:left w:val="none" w:sz="0" w:space="0" w:color="auto"/>
                <w:bottom w:val="none" w:sz="0" w:space="0" w:color="auto"/>
                <w:right w:val="none" w:sz="0" w:space="0" w:color="auto"/>
              </w:divBdr>
            </w:div>
            <w:div w:id="1186943045">
              <w:marLeft w:val="0"/>
              <w:marRight w:val="0"/>
              <w:marTop w:val="0"/>
              <w:marBottom w:val="0"/>
              <w:divBdr>
                <w:top w:val="none" w:sz="0" w:space="0" w:color="auto"/>
                <w:left w:val="none" w:sz="0" w:space="0" w:color="auto"/>
                <w:bottom w:val="none" w:sz="0" w:space="0" w:color="auto"/>
                <w:right w:val="none" w:sz="0" w:space="0" w:color="auto"/>
              </w:divBdr>
            </w:div>
            <w:div w:id="1383943578">
              <w:marLeft w:val="0"/>
              <w:marRight w:val="0"/>
              <w:marTop w:val="0"/>
              <w:marBottom w:val="0"/>
              <w:divBdr>
                <w:top w:val="none" w:sz="0" w:space="0" w:color="auto"/>
                <w:left w:val="none" w:sz="0" w:space="0" w:color="auto"/>
                <w:bottom w:val="none" w:sz="0" w:space="0" w:color="auto"/>
                <w:right w:val="none" w:sz="0" w:space="0" w:color="auto"/>
              </w:divBdr>
            </w:div>
            <w:div w:id="1712025208">
              <w:marLeft w:val="0"/>
              <w:marRight w:val="0"/>
              <w:marTop w:val="0"/>
              <w:marBottom w:val="0"/>
              <w:divBdr>
                <w:top w:val="none" w:sz="0" w:space="0" w:color="auto"/>
                <w:left w:val="none" w:sz="0" w:space="0" w:color="auto"/>
                <w:bottom w:val="none" w:sz="0" w:space="0" w:color="auto"/>
                <w:right w:val="none" w:sz="0" w:space="0" w:color="auto"/>
              </w:divBdr>
            </w:div>
            <w:div w:id="1946842225">
              <w:marLeft w:val="0"/>
              <w:marRight w:val="0"/>
              <w:marTop w:val="0"/>
              <w:marBottom w:val="0"/>
              <w:divBdr>
                <w:top w:val="none" w:sz="0" w:space="0" w:color="auto"/>
                <w:left w:val="none" w:sz="0" w:space="0" w:color="auto"/>
                <w:bottom w:val="none" w:sz="0" w:space="0" w:color="auto"/>
                <w:right w:val="none" w:sz="0" w:space="0" w:color="auto"/>
              </w:divBdr>
            </w:div>
            <w:div w:id="21126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07046">
      <w:bodyDiv w:val="1"/>
      <w:marLeft w:val="0"/>
      <w:marRight w:val="0"/>
      <w:marTop w:val="0"/>
      <w:marBottom w:val="0"/>
      <w:divBdr>
        <w:top w:val="none" w:sz="0" w:space="0" w:color="auto"/>
        <w:left w:val="none" w:sz="0" w:space="0" w:color="auto"/>
        <w:bottom w:val="none" w:sz="0" w:space="0" w:color="auto"/>
        <w:right w:val="none" w:sz="0" w:space="0" w:color="auto"/>
      </w:divBdr>
      <w:divsChild>
        <w:div w:id="4023586">
          <w:marLeft w:val="0"/>
          <w:marRight w:val="0"/>
          <w:marTop w:val="0"/>
          <w:marBottom w:val="0"/>
          <w:divBdr>
            <w:top w:val="none" w:sz="0" w:space="0" w:color="auto"/>
            <w:left w:val="none" w:sz="0" w:space="0" w:color="auto"/>
            <w:bottom w:val="none" w:sz="0" w:space="0" w:color="auto"/>
            <w:right w:val="none" w:sz="0" w:space="0" w:color="auto"/>
          </w:divBdr>
        </w:div>
        <w:div w:id="122893455">
          <w:marLeft w:val="0"/>
          <w:marRight w:val="0"/>
          <w:marTop w:val="0"/>
          <w:marBottom w:val="0"/>
          <w:divBdr>
            <w:top w:val="none" w:sz="0" w:space="0" w:color="auto"/>
            <w:left w:val="none" w:sz="0" w:space="0" w:color="auto"/>
            <w:bottom w:val="none" w:sz="0" w:space="0" w:color="auto"/>
            <w:right w:val="none" w:sz="0" w:space="0" w:color="auto"/>
          </w:divBdr>
        </w:div>
        <w:div w:id="227883410">
          <w:marLeft w:val="0"/>
          <w:marRight w:val="0"/>
          <w:marTop w:val="0"/>
          <w:marBottom w:val="0"/>
          <w:divBdr>
            <w:top w:val="none" w:sz="0" w:space="0" w:color="auto"/>
            <w:left w:val="none" w:sz="0" w:space="0" w:color="auto"/>
            <w:bottom w:val="none" w:sz="0" w:space="0" w:color="auto"/>
            <w:right w:val="none" w:sz="0" w:space="0" w:color="auto"/>
          </w:divBdr>
          <w:divsChild>
            <w:div w:id="3560587">
              <w:marLeft w:val="0"/>
              <w:marRight w:val="0"/>
              <w:marTop w:val="0"/>
              <w:marBottom w:val="0"/>
              <w:divBdr>
                <w:top w:val="none" w:sz="0" w:space="0" w:color="auto"/>
                <w:left w:val="none" w:sz="0" w:space="0" w:color="auto"/>
                <w:bottom w:val="none" w:sz="0" w:space="0" w:color="auto"/>
                <w:right w:val="none" w:sz="0" w:space="0" w:color="auto"/>
              </w:divBdr>
            </w:div>
            <w:div w:id="68163871">
              <w:marLeft w:val="0"/>
              <w:marRight w:val="0"/>
              <w:marTop w:val="0"/>
              <w:marBottom w:val="0"/>
              <w:divBdr>
                <w:top w:val="none" w:sz="0" w:space="0" w:color="auto"/>
                <w:left w:val="none" w:sz="0" w:space="0" w:color="auto"/>
                <w:bottom w:val="none" w:sz="0" w:space="0" w:color="auto"/>
                <w:right w:val="none" w:sz="0" w:space="0" w:color="auto"/>
              </w:divBdr>
            </w:div>
            <w:div w:id="85006119">
              <w:marLeft w:val="0"/>
              <w:marRight w:val="0"/>
              <w:marTop w:val="0"/>
              <w:marBottom w:val="0"/>
              <w:divBdr>
                <w:top w:val="none" w:sz="0" w:space="0" w:color="auto"/>
                <w:left w:val="none" w:sz="0" w:space="0" w:color="auto"/>
                <w:bottom w:val="none" w:sz="0" w:space="0" w:color="auto"/>
                <w:right w:val="none" w:sz="0" w:space="0" w:color="auto"/>
              </w:divBdr>
            </w:div>
            <w:div w:id="217327312">
              <w:marLeft w:val="0"/>
              <w:marRight w:val="0"/>
              <w:marTop w:val="0"/>
              <w:marBottom w:val="0"/>
              <w:divBdr>
                <w:top w:val="none" w:sz="0" w:space="0" w:color="auto"/>
                <w:left w:val="none" w:sz="0" w:space="0" w:color="auto"/>
                <w:bottom w:val="none" w:sz="0" w:space="0" w:color="auto"/>
                <w:right w:val="none" w:sz="0" w:space="0" w:color="auto"/>
              </w:divBdr>
            </w:div>
            <w:div w:id="290401267">
              <w:marLeft w:val="0"/>
              <w:marRight w:val="0"/>
              <w:marTop w:val="0"/>
              <w:marBottom w:val="0"/>
              <w:divBdr>
                <w:top w:val="none" w:sz="0" w:space="0" w:color="auto"/>
                <w:left w:val="none" w:sz="0" w:space="0" w:color="auto"/>
                <w:bottom w:val="none" w:sz="0" w:space="0" w:color="auto"/>
                <w:right w:val="none" w:sz="0" w:space="0" w:color="auto"/>
              </w:divBdr>
            </w:div>
            <w:div w:id="625626471">
              <w:marLeft w:val="0"/>
              <w:marRight w:val="0"/>
              <w:marTop w:val="0"/>
              <w:marBottom w:val="0"/>
              <w:divBdr>
                <w:top w:val="none" w:sz="0" w:space="0" w:color="auto"/>
                <w:left w:val="none" w:sz="0" w:space="0" w:color="auto"/>
                <w:bottom w:val="none" w:sz="0" w:space="0" w:color="auto"/>
                <w:right w:val="none" w:sz="0" w:space="0" w:color="auto"/>
              </w:divBdr>
            </w:div>
            <w:div w:id="636108003">
              <w:marLeft w:val="0"/>
              <w:marRight w:val="0"/>
              <w:marTop w:val="0"/>
              <w:marBottom w:val="0"/>
              <w:divBdr>
                <w:top w:val="none" w:sz="0" w:space="0" w:color="auto"/>
                <w:left w:val="none" w:sz="0" w:space="0" w:color="auto"/>
                <w:bottom w:val="none" w:sz="0" w:space="0" w:color="auto"/>
                <w:right w:val="none" w:sz="0" w:space="0" w:color="auto"/>
              </w:divBdr>
            </w:div>
            <w:div w:id="813837983">
              <w:marLeft w:val="0"/>
              <w:marRight w:val="0"/>
              <w:marTop w:val="0"/>
              <w:marBottom w:val="0"/>
              <w:divBdr>
                <w:top w:val="none" w:sz="0" w:space="0" w:color="auto"/>
                <w:left w:val="none" w:sz="0" w:space="0" w:color="auto"/>
                <w:bottom w:val="none" w:sz="0" w:space="0" w:color="auto"/>
                <w:right w:val="none" w:sz="0" w:space="0" w:color="auto"/>
              </w:divBdr>
            </w:div>
            <w:div w:id="851073055">
              <w:marLeft w:val="0"/>
              <w:marRight w:val="0"/>
              <w:marTop w:val="0"/>
              <w:marBottom w:val="0"/>
              <w:divBdr>
                <w:top w:val="none" w:sz="0" w:space="0" w:color="auto"/>
                <w:left w:val="none" w:sz="0" w:space="0" w:color="auto"/>
                <w:bottom w:val="none" w:sz="0" w:space="0" w:color="auto"/>
                <w:right w:val="none" w:sz="0" w:space="0" w:color="auto"/>
              </w:divBdr>
            </w:div>
            <w:div w:id="976224445">
              <w:marLeft w:val="0"/>
              <w:marRight w:val="0"/>
              <w:marTop w:val="0"/>
              <w:marBottom w:val="0"/>
              <w:divBdr>
                <w:top w:val="none" w:sz="0" w:space="0" w:color="auto"/>
                <w:left w:val="none" w:sz="0" w:space="0" w:color="auto"/>
                <w:bottom w:val="none" w:sz="0" w:space="0" w:color="auto"/>
                <w:right w:val="none" w:sz="0" w:space="0" w:color="auto"/>
              </w:divBdr>
            </w:div>
            <w:div w:id="997419583">
              <w:marLeft w:val="0"/>
              <w:marRight w:val="0"/>
              <w:marTop w:val="0"/>
              <w:marBottom w:val="0"/>
              <w:divBdr>
                <w:top w:val="none" w:sz="0" w:space="0" w:color="auto"/>
                <w:left w:val="none" w:sz="0" w:space="0" w:color="auto"/>
                <w:bottom w:val="none" w:sz="0" w:space="0" w:color="auto"/>
                <w:right w:val="none" w:sz="0" w:space="0" w:color="auto"/>
              </w:divBdr>
            </w:div>
            <w:div w:id="1166895442">
              <w:marLeft w:val="0"/>
              <w:marRight w:val="0"/>
              <w:marTop w:val="0"/>
              <w:marBottom w:val="0"/>
              <w:divBdr>
                <w:top w:val="none" w:sz="0" w:space="0" w:color="auto"/>
                <w:left w:val="none" w:sz="0" w:space="0" w:color="auto"/>
                <w:bottom w:val="none" w:sz="0" w:space="0" w:color="auto"/>
                <w:right w:val="none" w:sz="0" w:space="0" w:color="auto"/>
              </w:divBdr>
            </w:div>
            <w:div w:id="1173497914">
              <w:marLeft w:val="0"/>
              <w:marRight w:val="0"/>
              <w:marTop w:val="0"/>
              <w:marBottom w:val="0"/>
              <w:divBdr>
                <w:top w:val="none" w:sz="0" w:space="0" w:color="auto"/>
                <w:left w:val="none" w:sz="0" w:space="0" w:color="auto"/>
                <w:bottom w:val="none" w:sz="0" w:space="0" w:color="auto"/>
                <w:right w:val="none" w:sz="0" w:space="0" w:color="auto"/>
              </w:divBdr>
            </w:div>
            <w:div w:id="1398358618">
              <w:marLeft w:val="0"/>
              <w:marRight w:val="0"/>
              <w:marTop w:val="0"/>
              <w:marBottom w:val="0"/>
              <w:divBdr>
                <w:top w:val="none" w:sz="0" w:space="0" w:color="auto"/>
                <w:left w:val="none" w:sz="0" w:space="0" w:color="auto"/>
                <w:bottom w:val="none" w:sz="0" w:space="0" w:color="auto"/>
                <w:right w:val="none" w:sz="0" w:space="0" w:color="auto"/>
              </w:divBdr>
            </w:div>
            <w:div w:id="1688601093">
              <w:marLeft w:val="0"/>
              <w:marRight w:val="0"/>
              <w:marTop w:val="0"/>
              <w:marBottom w:val="0"/>
              <w:divBdr>
                <w:top w:val="none" w:sz="0" w:space="0" w:color="auto"/>
                <w:left w:val="none" w:sz="0" w:space="0" w:color="auto"/>
                <w:bottom w:val="none" w:sz="0" w:space="0" w:color="auto"/>
                <w:right w:val="none" w:sz="0" w:space="0" w:color="auto"/>
              </w:divBdr>
            </w:div>
            <w:div w:id="1748962257">
              <w:marLeft w:val="0"/>
              <w:marRight w:val="0"/>
              <w:marTop w:val="0"/>
              <w:marBottom w:val="0"/>
              <w:divBdr>
                <w:top w:val="none" w:sz="0" w:space="0" w:color="auto"/>
                <w:left w:val="none" w:sz="0" w:space="0" w:color="auto"/>
                <w:bottom w:val="none" w:sz="0" w:space="0" w:color="auto"/>
                <w:right w:val="none" w:sz="0" w:space="0" w:color="auto"/>
              </w:divBdr>
            </w:div>
            <w:div w:id="1967348467">
              <w:marLeft w:val="0"/>
              <w:marRight w:val="0"/>
              <w:marTop w:val="0"/>
              <w:marBottom w:val="0"/>
              <w:divBdr>
                <w:top w:val="none" w:sz="0" w:space="0" w:color="auto"/>
                <w:left w:val="none" w:sz="0" w:space="0" w:color="auto"/>
                <w:bottom w:val="none" w:sz="0" w:space="0" w:color="auto"/>
                <w:right w:val="none" w:sz="0" w:space="0" w:color="auto"/>
              </w:divBdr>
            </w:div>
            <w:div w:id="2059039666">
              <w:marLeft w:val="0"/>
              <w:marRight w:val="0"/>
              <w:marTop w:val="0"/>
              <w:marBottom w:val="0"/>
              <w:divBdr>
                <w:top w:val="none" w:sz="0" w:space="0" w:color="auto"/>
                <w:left w:val="none" w:sz="0" w:space="0" w:color="auto"/>
                <w:bottom w:val="none" w:sz="0" w:space="0" w:color="auto"/>
                <w:right w:val="none" w:sz="0" w:space="0" w:color="auto"/>
              </w:divBdr>
            </w:div>
            <w:div w:id="2098675691">
              <w:marLeft w:val="0"/>
              <w:marRight w:val="0"/>
              <w:marTop w:val="0"/>
              <w:marBottom w:val="0"/>
              <w:divBdr>
                <w:top w:val="none" w:sz="0" w:space="0" w:color="auto"/>
                <w:left w:val="none" w:sz="0" w:space="0" w:color="auto"/>
                <w:bottom w:val="none" w:sz="0" w:space="0" w:color="auto"/>
                <w:right w:val="none" w:sz="0" w:space="0" w:color="auto"/>
              </w:divBdr>
            </w:div>
            <w:div w:id="2143039622">
              <w:marLeft w:val="0"/>
              <w:marRight w:val="0"/>
              <w:marTop w:val="0"/>
              <w:marBottom w:val="0"/>
              <w:divBdr>
                <w:top w:val="none" w:sz="0" w:space="0" w:color="auto"/>
                <w:left w:val="none" w:sz="0" w:space="0" w:color="auto"/>
                <w:bottom w:val="none" w:sz="0" w:space="0" w:color="auto"/>
                <w:right w:val="none" w:sz="0" w:space="0" w:color="auto"/>
              </w:divBdr>
            </w:div>
          </w:divsChild>
        </w:div>
        <w:div w:id="298265396">
          <w:marLeft w:val="0"/>
          <w:marRight w:val="0"/>
          <w:marTop w:val="0"/>
          <w:marBottom w:val="0"/>
          <w:divBdr>
            <w:top w:val="none" w:sz="0" w:space="0" w:color="auto"/>
            <w:left w:val="none" w:sz="0" w:space="0" w:color="auto"/>
            <w:bottom w:val="none" w:sz="0" w:space="0" w:color="auto"/>
            <w:right w:val="none" w:sz="0" w:space="0" w:color="auto"/>
          </w:divBdr>
        </w:div>
        <w:div w:id="308558863">
          <w:marLeft w:val="0"/>
          <w:marRight w:val="0"/>
          <w:marTop w:val="0"/>
          <w:marBottom w:val="0"/>
          <w:divBdr>
            <w:top w:val="none" w:sz="0" w:space="0" w:color="auto"/>
            <w:left w:val="none" w:sz="0" w:space="0" w:color="auto"/>
            <w:bottom w:val="none" w:sz="0" w:space="0" w:color="auto"/>
            <w:right w:val="none" w:sz="0" w:space="0" w:color="auto"/>
          </w:divBdr>
        </w:div>
        <w:div w:id="372192591">
          <w:marLeft w:val="0"/>
          <w:marRight w:val="0"/>
          <w:marTop w:val="0"/>
          <w:marBottom w:val="0"/>
          <w:divBdr>
            <w:top w:val="none" w:sz="0" w:space="0" w:color="auto"/>
            <w:left w:val="none" w:sz="0" w:space="0" w:color="auto"/>
            <w:bottom w:val="none" w:sz="0" w:space="0" w:color="auto"/>
            <w:right w:val="none" w:sz="0" w:space="0" w:color="auto"/>
          </w:divBdr>
        </w:div>
        <w:div w:id="526024566">
          <w:marLeft w:val="0"/>
          <w:marRight w:val="0"/>
          <w:marTop w:val="0"/>
          <w:marBottom w:val="0"/>
          <w:divBdr>
            <w:top w:val="none" w:sz="0" w:space="0" w:color="auto"/>
            <w:left w:val="none" w:sz="0" w:space="0" w:color="auto"/>
            <w:bottom w:val="none" w:sz="0" w:space="0" w:color="auto"/>
            <w:right w:val="none" w:sz="0" w:space="0" w:color="auto"/>
          </w:divBdr>
        </w:div>
        <w:div w:id="541212741">
          <w:marLeft w:val="0"/>
          <w:marRight w:val="0"/>
          <w:marTop w:val="0"/>
          <w:marBottom w:val="0"/>
          <w:divBdr>
            <w:top w:val="none" w:sz="0" w:space="0" w:color="auto"/>
            <w:left w:val="none" w:sz="0" w:space="0" w:color="auto"/>
            <w:bottom w:val="none" w:sz="0" w:space="0" w:color="auto"/>
            <w:right w:val="none" w:sz="0" w:space="0" w:color="auto"/>
          </w:divBdr>
        </w:div>
        <w:div w:id="591477073">
          <w:marLeft w:val="0"/>
          <w:marRight w:val="0"/>
          <w:marTop w:val="0"/>
          <w:marBottom w:val="0"/>
          <w:divBdr>
            <w:top w:val="none" w:sz="0" w:space="0" w:color="auto"/>
            <w:left w:val="none" w:sz="0" w:space="0" w:color="auto"/>
            <w:bottom w:val="none" w:sz="0" w:space="0" w:color="auto"/>
            <w:right w:val="none" w:sz="0" w:space="0" w:color="auto"/>
          </w:divBdr>
        </w:div>
        <w:div w:id="716124728">
          <w:marLeft w:val="0"/>
          <w:marRight w:val="0"/>
          <w:marTop w:val="0"/>
          <w:marBottom w:val="0"/>
          <w:divBdr>
            <w:top w:val="none" w:sz="0" w:space="0" w:color="auto"/>
            <w:left w:val="none" w:sz="0" w:space="0" w:color="auto"/>
            <w:bottom w:val="none" w:sz="0" w:space="0" w:color="auto"/>
            <w:right w:val="none" w:sz="0" w:space="0" w:color="auto"/>
          </w:divBdr>
          <w:divsChild>
            <w:div w:id="276761672">
              <w:marLeft w:val="0"/>
              <w:marRight w:val="0"/>
              <w:marTop w:val="0"/>
              <w:marBottom w:val="0"/>
              <w:divBdr>
                <w:top w:val="none" w:sz="0" w:space="0" w:color="auto"/>
                <w:left w:val="none" w:sz="0" w:space="0" w:color="auto"/>
                <w:bottom w:val="none" w:sz="0" w:space="0" w:color="auto"/>
                <w:right w:val="none" w:sz="0" w:space="0" w:color="auto"/>
              </w:divBdr>
            </w:div>
            <w:div w:id="299387107">
              <w:marLeft w:val="0"/>
              <w:marRight w:val="0"/>
              <w:marTop w:val="0"/>
              <w:marBottom w:val="0"/>
              <w:divBdr>
                <w:top w:val="none" w:sz="0" w:space="0" w:color="auto"/>
                <w:left w:val="none" w:sz="0" w:space="0" w:color="auto"/>
                <w:bottom w:val="none" w:sz="0" w:space="0" w:color="auto"/>
                <w:right w:val="none" w:sz="0" w:space="0" w:color="auto"/>
              </w:divBdr>
            </w:div>
            <w:div w:id="382171352">
              <w:marLeft w:val="0"/>
              <w:marRight w:val="0"/>
              <w:marTop w:val="0"/>
              <w:marBottom w:val="0"/>
              <w:divBdr>
                <w:top w:val="none" w:sz="0" w:space="0" w:color="auto"/>
                <w:left w:val="none" w:sz="0" w:space="0" w:color="auto"/>
                <w:bottom w:val="none" w:sz="0" w:space="0" w:color="auto"/>
                <w:right w:val="none" w:sz="0" w:space="0" w:color="auto"/>
              </w:divBdr>
            </w:div>
            <w:div w:id="472528940">
              <w:marLeft w:val="0"/>
              <w:marRight w:val="0"/>
              <w:marTop w:val="0"/>
              <w:marBottom w:val="0"/>
              <w:divBdr>
                <w:top w:val="none" w:sz="0" w:space="0" w:color="auto"/>
                <w:left w:val="none" w:sz="0" w:space="0" w:color="auto"/>
                <w:bottom w:val="none" w:sz="0" w:space="0" w:color="auto"/>
                <w:right w:val="none" w:sz="0" w:space="0" w:color="auto"/>
              </w:divBdr>
            </w:div>
            <w:div w:id="506293757">
              <w:marLeft w:val="0"/>
              <w:marRight w:val="0"/>
              <w:marTop w:val="0"/>
              <w:marBottom w:val="0"/>
              <w:divBdr>
                <w:top w:val="none" w:sz="0" w:space="0" w:color="auto"/>
                <w:left w:val="none" w:sz="0" w:space="0" w:color="auto"/>
                <w:bottom w:val="none" w:sz="0" w:space="0" w:color="auto"/>
                <w:right w:val="none" w:sz="0" w:space="0" w:color="auto"/>
              </w:divBdr>
            </w:div>
            <w:div w:id="554242020">
              <w:marLeft w:val="0"/>
              <w:marRight w:val="0"/>
              <w:marTop w:val="0"/>
              <w:marBottom w:val="0"/>
              <w:divBdr>
                <w:top w:val="none" w:sz="0" w:space="0" w:color="auto"/>
                <w:left w:val="none" w:sz="0" w:space="0" w:color="auto"/>
                <w:bottom w:val="none" w:sz="0" w:space="0" w:color="auto"/>
                <w:right w:val="none" w:sz="0" w:space="0" w:color="auto"/>
              </w:divBdr>
            </w:div>
            <w:div w:id="554703936">
              <w:marLeft w:val="0"/>
              <w:marRight w:val="0"/>
              <w:marTop w:val="0"/>
              <w:marBottom w:val="0"/>
              <w:divBdr>
                <w:top w:val="none" w:sz="0" w:space="0" w:color="auto"/>
                <w:left w:val="none" w:sz="0" w:space="0" w:color="auto"/>
                <w:bottom w:val="none" w:sz="0" w:space="0" w:color="auto"/>
                <w:right w:val="none" w:sz="0" w:space="0" w:color="auto"/>
              </w:divBdr>
            </w:div>
            <w:div w:id="637606896">
              <w:marLeft w:val="0"/>
              <w:marRight w:val="0"/>
              <w:marTop w:val="0"/>
              <w:marBottom w:val="0"/>
              <w:divBdr>
                <w:top w:val="none" w:sz="0" w:space="0" w:color="auto"/>
                <w:left w:val="none" w:sz="0" w:space="0" w:color="auto"/>
                <w:bottom w:val="none" w:sz="0" w:space="0" w:color="auto"/>
                <w:right w:val="none" w:sz="0" w:space="0" w:color="auto"/>
              </w:divBdr>
            </w:div>
            <w:div w:id="726221891">
              <w:marLeft w:val="0"/>
              <w:marRight w:val="0"/>
              <w:marTop w:val="0"/>
              <w:marBottom w:val="0"/>
              <w:divBdr>
                <w:top w:val="none" w:sz="0" w:space="0" w:color="auto"/>
                <w:left w:val="none" w:sz="0" w:space="0" w:color="auto"/>
                <w:bottom w:val="none" w:sz="0" w:space="0" w:color="auto"/>
                <w:right w:val="none" w:sz="0" w:space="0" w:color="auto"/>
              </w:divBdr>
            </w:div>
            <w:div w:id="911547575">
              <w:marLeft w:val="0"/>
              <w:marRight w:val="0"/>
              <w:marTop w:val="0"/>
              <w:marBottom w:val="0"/>
              <w:divBdr>
                <w:top w:val="none" w:sz="0" w:space="0" w:color="auto"/>
                <w:left w:val="none" w:sz="0" w:space="0" w:color="auto"/>
                <w:bottom w:val="none" w:sz="0" w:space="0" w:color="auto"/>
                <w:right w:val="none" w:sz="0" w:space="0" w:color="auto"/>
              </w:divBdr>
            </w:div>
            <w:div w:id="1089545880">
              <w:marLeft w:val="0"/>
              <w:marRight w:val="0"/>
              <w:marTop w:val="0"/>
              <w:marBottom w:val="0"/>
              <w:divBdr>
                <w:top w:val="none" w:sz="0" w:space="0" w:color="auto"/>
                <w:left w:val="none" w:sz="0" w:space="0" w:color="auto"/>
                <w:bottom w:val="none" w:sz="0" w:space="0" w:color="auto"/>
                <w:right w:val="none" w:sz="0" w:space="0" w:color="auto"/>
              </w:divBdr>
            </w:div>
            <w:div w:id="1200238622">
              <w:marLeft w:val="0"/>
              <w:marRight w:val="0"/>
              <w:marTop w:val="0"/>
              <w:marBottom w:val="0"/>
              <w:divBdr>
                <w:top w:val="none" w:sz="0" w:space="0" w:color="auto"/>
                <w:left w:val="none" w:sz="0" w:space="0" w:color="auto"/>
                <w:bottom w:val="none" w:sz="0" w:space="0" w:color="auto"/>
                <w:right w:val="none" w:sz="0" w:space="0" w:color="auto"/>
              </w:divBdr>
            </w:div>
            <w:div w:id="1382828341">
              <w:marLeft w:val="0"/>
              <w:marRight w:val="0"/>
              <w:marTop w:val="0"/>
              <w:marBottom w:val="0"/>
              <w:divBdr>
                <w:top w:val="none" w:sz="0" w:space="0" w:color="auto"/>
                <w:left w:val="none" w:sz="0" w:space="0" w:color="auto"/>
                <w:bottom w:val="none" w:sz="0" w:space="0" w:color="auto"/>
                <w:right w:val="none" w:sz="0" w:space="0" w:color="auto"/>
              </w:divBdr>
            </w:div>
            <w:div w:id="1631127653">
              <w:marLeft w:val="0"/>
              <w:marRight w:val="0"/>
              <w:marTop w:val="0"/>
              <w:marBottom w:val="0"/>
              <w:divBdr>
                <w:top w:val="none" w:sz="0" w:space="0" w:color="auto"/>
                <w:left w:val="none" w:sz="0" w:space="0" w:color="auto"/>
                <w:bottom w:val="none" w:sz="0" w:space="0" w:color="auto"/>
                <w:right w:val="none" w:sz="0" w:space="0" w:color="auto"/>
              </w:divBdr>
            </w:div>
            <w:div w:id="1711417058">
              <w:marLeft w:val="0"/>
              <w:marRight w:val="0"/>
              <w:marTop w:val="0"/>
              <w:marBottom w:val="0"/>
              <w:divBdr>
                <w:top w:val="none" w:sz="0" w:space="0" w:color="auto"/>
                <w:left w:val="none" w:sz="0" w:space="0" w:color="auto"/>
                <w:bottom w:val="none" w:sz="0" w:space="0" w:color="auto"/>
                <w:right w:val="none" w:sz="0" w:space="0" w:color="auto"/>
              </w:divBdr>
            </w:div>
            <w:div w:id="1718159918">
              <w:marLeft w:val="0"/>
              <w:marRight w:val="0"/>
              <w:marTop w:val="0"/>
              <w:marBottom w:val="0"/>
              <w:divBdr>
                <w:top w:val="none" w:sz="0" w:space="0" w:color="auto"/>
                <w:left w:val="none" w:sz="0" w:space="0" w:color="auto"/>
                <w:bottom w:val="none" w:sz="0" w:space="0" w:color="auto"/>
                <w:right w:val="none" w:sz="0" w:space="0" w:color="auto"/>
              </w:divBdr>
            </w:div>
            <w:div w:id="1844783785">
              <w:marLeft w:val="0"/>
              <w:marRight w:val="0"/>
              <w:marTop w:val="0"/>
              <w:marBottom w:val="0"/>
              <w:divBdr>
                <w:top w:val="none" w:sz="0" w:space="0" w:color="auto"/>
                <w:left w:val="none" w:sz="0" w:space="0" w:color="auto"/>
                <w:bottom w:val="none" w:sz="0" w:space="0" w:color="auto"/>
                <w:right w:val="none" w:sz="0" w:space="0" w:color="auto"/>
              </w:divBdr>
            </w:div>
            <w:div w:id="1954239747">
              <w:marLeft w:val="0"/>
              <w:marRight w:val="0"/>
              <w:marTop w:val="0"/>
              <w:marBottom w:val="0"/>
              <w:divBdr>
                <w:top w:val="none" w:sz="0" w:space="0" w:color="auto"/>
                <w:left w:val="none" w:sz="0" w:space="0" w:color="auto"/>
                <w:bottom w:val="none" w:sz="0" w:space="0" w:color="auto"/>
                <w:right w:val="none" w:sz="0" w:space="0" w:color="auto"/>
              </w:divBdr>
            </w:div>
            <w:div w:id="2027169429">
              <w:marLeft w:val="0"/>
              <w:marRight w:val="0"/>
              <w:marTop w:val="0"/>
              <w:marBottom w:val="0"/>
              <w:divBdr>
                <w:top w:val="none" w:sz="0" w:space="0" w:color="auto"/>
                <w:left w:val="none" w:sz="0" w:space="0" w:color="auto"/>
                <w:bottom w:val="none" w:sz="0" w:space="0" w:color="auto"/>
                <w:right w:val="none" w:sz="0" w:space="0" w:color="auto"/>
              </w:divBdr>
            </w:div>
            <w:div w:id="2121803092">
              <w:marLeft w:val="0"/>
              <w:marRight w:val="0"/>
              <w:marTop w:val="0"/>
              <w:marBottom w:val="0"/>
              <w:divBdr>
                <w:top w:val="none" w:sz="0" w:space="0" w:color="auto"/>
                <w:left w:val="none" w:sz="0" w:space="0" w:color="auto"/>
                <w:bottom w:val="none" w:sz="0" w:space="0" w:color="auto"/>
                <w:right w:val="none" w:sz="0" w:space="0" w:color="auto"/>
              </w:divBdr>
            </w:div>
          </w:divsChild>
        </w:div>
        <w:div w:id="745418659">
          <w:marLeft w:val="0"/>
          <w:marRight w:val="0"/>
          <w:marTop w:val="0"/>
          <w:marBottom w:val="0"/>
          <w:divBdr>
            <w:top w:val="none" w:sz="0" w:space="0" w:color="auto"/>
            <w:left w:val="none" w:sz="0" w:space="0" w:color="auto"/>
            <w:bottom w:val="none" w:sz="0" w:space="0" w:color="auto"/>
            <w:right w:val="none" w:sz="0" w:space="0" w:color="auto"/>
          </w:divBdr>
        </w:div>
        <w:div w:id="878130484">
          <w:marLeft w:val="0"/>
          <w:marRight w:val="0"/>
          <w:marTop w:val="0"/>
          <w:marBottom w:val="0"/>
          <w:divBdr>
            <w:top w:val="none" w:sz="0" w:space="0" w:color="auto"/>
            <w:left w:val="none" w:sz="0" w:space="0" w:color="auto"/>
            <w:bottom w:val="none" w:sz="0" w:space="0" w:color="auto"/>
            <w:right w:val="none" w:sz="0" w:space="0" w:color="auto"/>
          </w:divBdr>
        </w:div>
        <w:div w:id="1032418724">
          <w:marLeft w:val="0"/>
          <w:marRight w:val="0"/>
          <w:marTop w:val="0"/>
          <w:marBottom w:val="0"/>
          <w:divBdr>
            <w:top w:val="none" w:sz="0" w:space="0" w:color="auto"/>
            <w:left w:val="none" w:sz="0" w:space="0" w:color="auto"/>
            <w:bottom w:val="none" w:sz="0" w:space="0" w:color="auto"/>
            <w:right w:val="none" w:sz="0" w:space="0" w:color="auto"/>
          </w:divBdr>
          <w:divsChild>
            <w:div w:id="8388">
              <w:marLeft w:val="0"/>
              <w:marRight w:val="0"/>
              <w:marTop w:val="0"/>
              <w:marBottom w:val="0"/>
              <w:divBdr>
                <w:top w:val="none" w:sz="0" w:space="0" w:color="auto"/>
                <w:left w:val="none" w:sz="0" w:space="0" w:color="auto"/>
                <w:bottom w:val="none" w:sz="0" w:space="0" w:color="auto"/>
                <w:right w:val="none" w:sz="0" w:space="0" w:color="auto"/>
              </w:divBdr>
            </w:div>
            <w:div w:id="40634138">
              <w:marLeft w:val="0"/>
              <w:marRight w:val="0"/>
              <w:marTop w:val="0"/>
              <w:marBottom w:val="0"/>
              <w:divBdr>
                <w:top w:val="none" w:sz="0" w:space="0" w:color="auto"/>
                <w:left w:val="none" w:sz="0" w:space="0" w:color="auto"/>
                <w:bottom w:val="none" w:sz="0" w:space="0" w:color="auto"/>
                <w:right w:val="none" w:sz="0" w:space="0" w:color="auto"/>
              </w:divBdr>
            </w:div>
            <w:div w:id="95292305">
              <w:marLeft w:val="0"/>
              <w:marRight w:val="0"/>
              <w:marTop w:val="0"/>
              <w:marBottom w:val="0"/>
              <w:divBdr>
                <w:top w:val="none" w:sz="0" w:space="0" w:color="auto"/>
                <w:left w:val="none" w:sz="0" w:space="0" w:color="auto"/>
                <w:bottom w:val="none" w:sz="0" w:space="0" w:color="auto"/>
                <w:right w:val="none" w:sz="0" w:space="0" w:color="auto"/>
              </w:divBdr>
            </w:div>
            <w:div w:id="141393430">
              <w:marLeft w:val="0"/>
              <w:marRight w:val="0"/>
              <w:marTop w:val="0"/>
              <w:marBottom w:val="0"/>
              <w:divBdr>
                <w:top w:val="none" w:sz="0" w:space="0" w:color="auto"/>
                <w:left w:val="none" w:sz="0" w:space="0" w:color="auto"/>
                <w:bottom w:val="none" w:sz="0" w:space="0" w:color="auto"/>
                <w:right w:val="none" w:sz="0" w:space="0" w:color="auto"/>
              </w:divBdr>
            </w:div>
            <w:div w:id="167211588">
              <w:marLeft w:val="0"/>
              <w:marRight w:val="0"/>
              <w:marTop w:val="0"/>
              <w:marBottom w:val="0"/>
              <w:divBdr>
                <w:top w:val="none" w:sz="0" w:space="0" w:color="auto"/>
                <w:left w:val="none" w:sz="0" w:space="0" w:color="auto"/>
                <w:bottom w:val="none" w:sz="0" w:space="0" w:color="auto"/>
                <w:right w:val="none" w:sz="0" w:space="0" w:color="auto"/>
              </w:divBdr>
            </w:div>
            <w:div w:id="366487098">
              <w:marLeft w:val="0"/>
              <w:marRight w:val="0"/>
              <w:marTop w:val="0"/>
              <w:marBottom w:val="0"/>
              <w:divBdr>
                <w:top w:val="none" w:sz="0" w:space="0" w:color="auto"/>
                <w:left w:val="none" w:sz="0" w:space="0" w:color="auto"/>
                <w:bottom w:val="none" w:sz="0" w:space="0" w:color="auto"/>
                <w:right w:val="none" w:sz="0" w:space="0" w:color="auto"/>
              </w:divBdr>
            </w:div>
            <w:div w:id="654064436">
              <w:marLeft w:val="0"/>
              <w:marRight w:val="0"/>
              <w:marTop w:val="0"/>
              <w:marBottom w:val="0"/>
              <w:divBdr>
                <w:top w:val="none" w:sz="0" w:space="0" w:color="auto"/>
                <w:left w:val="none" w:sz="0" w:space="0" w:color="auto"/>
                <w:bottom w:val="none" w:sz="0" w:space="0" w:color="auto"/>
                <w:right w:val="none" w:sz="0" w:space="0" w:color="auto"/>
              </w:divBdr>
            </w:div>
            <w:div w:id="677268863">
              <w:marLeft w:val="0"/>
              <w:marRight w:val="0"/>
              <w:marTop w:val="0"/>
              <w:marBottom w:val="0"/>
              <w:divBdr>
                <w:top w:val="none" w:sz="0" w:space="0" w:color="auto"/>
                <w:left w:val="none" w:sz="0" w:space="0" w:color="auto"/>
                <w:bottom w:val="none" w:sz="0" w:space="0" w:color="auto"/>
                <w:right w:val="none" w:sz="0" w:space="0" w:color="auto"/>
              </w:divBdr>
            </w:div>
            <w:div w:id="785654925">
              <w:marLeft w:val="0"/>
              <w:marRight w:val="0"/>
              <w:marTop w:val="0"/>
              <w:marBottom w:val="0"/>
              <w:divBdr>
                <w:top w:val="none" w:sz="0" w:space="0" w:color="auto"/>
                <w:left w:val="none" w:sz="0" w:space="0" w:color="auto"/>
                <w:bottom w:val="none" w:sz="0" w:space="0" w:color="auto"/>
                <w:right w:val="none" w:sz="0" w:space="0" w:color="auto"/>
              </w:divBdr>
            </w:div>
            <w:div w:id="876233309">
              <w:marLeft w:val="0"/>
              <w:marRight w:val="0"/>
              <w:marTop w:val="0"/>
              <w:marBottom w:val="0"/>
              <w:divBdr>
                <w:top w:val="none" w:sz="0" w:space="0" w:color="auto"/>
                <w:left w:val="none" w:sz="0" w:space="0" w:color="auto"/>
                <w:bottom w:val="none" w:sz="0" w:space="0" w:color="auto"/>
                <w:right w:val="none" w:sz="0" w:space="0" w:color="auto"/>
              </w:divBdr>
            </w:div>
            <w:div w:id="1110319783">
              <w:marLeft w:val="0"/>
              <w:marRight w:val="0"/>
              <w:marTop w:val="0"/>
              <w:marBottom w:val="0"/>
              <w:divBdr>
                <w:top w:val="none" w:sz="0" w:space="0" w:color="auto"/>
                <w:left w:val="none" w:sz="0" w:space="0" w:color="auto"/>
                <w:bottom w:val="none" w:sz="0" w:space="0" w:color="auto"/>
                <w:right w:val="none" w:sz="0" w:space="0" w:color="auto"/>
              </w:divBdr>
            </w:div>
            <w:div w:id="1123230424">
              <w:marLeft w:val="0"/>
              <w:marRight w:val="0"/>
              <w:marTop w:val="0"/>
              <w:marBottom w:val="0"/>
              <w:divBdr>
                <w:top w:val="none" w:sz="0" w:space="0" w:color="auto"/>
                <w:left w:val="none" w:sz="0" w:space="0" w:color="auto"/>
                <w:bottom w:val="none" w:sz="0" w:space="0" w:color="auto"/>
                <w:right w:val="none" w:sz="0" w:space="0" w:color="auto"/>
              </w:divBdr>
            </w:div>
            <w:div w:id="1127316879">
              <w:marLeft w:val="0"/>
              <w:marRight w:val="0"/>
              <w:marTop w:val="0"/>
              <w:marBottom w:val="0"/>
              <w:divBdr>
                <w:top w:val="none" w:sz="0" w:space="0" w:color="auto"/>
                <w:left w:val="none" w:sz="0" w:space="0" w:color="auto"/>
                <w:bottom w:val="none" w:sz="0" w:space="0" w:color="auto"/>
                <w:right w:val="none" w:sz="0" w:space="0" w:color="auto"/>
              </w:divBdr>
            </w:div>
            <w:div w:id="1240597628">
              <w:marLeft w:val="0"/>
              <w:marRight w:val="0"/>
              <w:marTop w:val="0"/>
              <w:marBottom w:val="0"/>
              <w:divBdr>
                <w:top w:val="none" w:sz="0" w:space="0" w:color="auto"/>
                <w:left w:val="none" w:sz="0" w:space="0" w:color="auto"/>
                <w:bottom w:val="none" w:sz="0" w:space="0" w:color="auto"/>
                <w:right w:val="none" w:sz="0" w:space="0" w:color="auto"/>
              </w:divBdr>
            </w:div>
            <w:div w:id="1274241280">
              <w:marLeft w:val="0"/>
              <w:marRight w:val="0"/>
              <w:marTop w:val="0"/>
              <w:marBottom w:val="0"/>
              <w:divBdr>
                <w:top w:val="none" w:sz="0" w:space="0" w:color="auto"/>
                <w:left w:val="none" w:sz="0" w:space="0" w:color="auto"/>
                <w:bottom w:val="none" w:sz="0" w:space="0" w:color="auto"/>
                <w:right w:val="none" w:sz="0" w:space="0" w:color="auto"/>
              </w:divBdr>
            </w:div>
            <w:div w:id="1724524724">
              <w:marLeft w:val="0"/>
              <w:marRight w:val="0"/>
              <w:marTop w:val="0"/>
              <w:marBottom w:val="0"/>
              <w:divBdr>
                <w:top w:val="none" w:sz="0" w:space="0" w:color="auto"/>
                <w:left w:val="none" w:sz="0" w:space="0" w:color="auto"/>
                <w:bottom w:val="none" w:sz="0" w:space="0" w:color="auto"/>
                <w:right w:val="none" w:sz="0" w:space="0" w:color="auto"/>
              </w:divBdr>
            </w:div>
            <w:div w:id="1816293603">
              <w:marLeft w:val="0"/>
              <w:marRight w:val="0"/>
              <w:marTop w:val="0"/>
              <w:marBottom w:val="0"/>
              <w:divBdr>
                <w:top w:val="none" w:sz="0" w:space="0" w:color="auto"/>
                <w:left w:val="none" w:sz="0" w:space="0" w:color="auto"/>
                <w:bottom w:val="none" w:sz="0" w:space="0" w:color="auto"/>
                <w:right w:val="none" w:sz="0" w:space="0" w:color="auto"/>
              </w:divBdr>
            </w:div>
            <w:div w:id="1890874191">
              <w:marLeft w:val="0"/>
              <w:marRight w:val="0"/>
              <w:marTop w:val="0"/>
              <w:marBottom w:val="0"/>
              <w:divBdr>
                <w:top w:val="none" w:sz="0" w:space="0" w:color="auto"/>
                <w:left w:val="none" w:sz="0" w:space="0" w:color="auto"/>
                <w:bottom w:val="none" w:sz="0" w:space="0" w:color="auto"/>
                <w:right w:val="none" w:sz="0" w:space="0" w:color="auto"/>
              </w:divBdr>
            </w:div>
            <w:div w:id="2035421931">
              <w:marLeft w:val="0"/>
              <w:marRight w:val="0"/>
              <w:marTop w:val="0"/>
              <w:marBottom w:val="0"/>
              <w:divBdr>
                <w:top w:val="none" w:sz="0" w:space="0" w:color="auto"/>
                <w:left w:val="none" w:sz="0" w:space="0" w:color="auto"/>
                <w:bottom w:val="none" w:sz="0" w:space="0" w:color="auto"/>
                <w:right w:val="none" w:sz="0" w:space="0" w:color="auto"/>
              </w:divBdr>
            </w:div>
            <w:div w:id="2119716035">
              <w:marLeft w:val="0"/>
              <w:marRight w:val="0"/>
              <w:marTop w:val="0"/>
              <w:marBottom w:val="0"/>
              <w:divBdr>
                <w:top w:val="none" w:sz="0" w:space="0" w:color="auto"/>
                <w:left w:val="none" w:sz="0" w:space="0" w:color="auto"/>
                <w:bottom w:val="none" w:sz="0" w:space="0" w:color="auto"/>
                <w:right w:val="none" w:sz="0" w:space="0" w:color="auto"/>
              </w:divBdr>
            </w:div>
          </w:divsChild>
        </w:div>
        <w:div w:id="1032455975">
          <w:marLeft w:val="0"/>
          <w:marRight w:val="0"/>
          <w:marTop w:val="0"/>
          <w:marBottom w:val="0"/>
          <w:divBdr>
            <w:top w:val="none" w:sz="0" w:space="0" w:color="auto"/>
            <w:left w:val="none" w:sz="0" w:space="0" w:color="auto"/>
            <w:bottom w:val="none" w:sz="0" w:space="0" w:color="auto"/>
            <w:right w:val="none" w:sz="0" w:space="0" w:color="auto"/>
          </w:divBdr>
        </w:div>
        <w:div w:id="1037584512">
          <w:marLeft w:val="0"/>
          <w:marRight w:val="0"/>
          <w:marTop w:val="0"/>
          <w:marBottom w:val="0"/>
          <w:divBdr>
            <w:top w:val="none" w:sz="0" w:space="0" w:color="auto"/>
            <w:left w:val="none" w:sz="0" w:space="0" w:color="auto"/>
            <w:bottom w:val="none" w:sz="0" w:space="0" w:color="auto"/>
            <w:right w:val="none" w:sz="0" w:space="0" w:color="auto"/>
          </w:divBdr>
        </w:div>
        <w:div w:id="1061833029">
          <w:marLeft w:val="0"/>
          <w:marRight w:val="0"/>
          <w:marTop w:val="0"/>
          <w:marBottom w:val="0"/>
          <w:divBdr>
            <w:top w:val="none" w:sz="0" w:space="0" w:color="auto"/>
            <w:left w:val="none" w:sz="0" w:space="0" w:color="auto"/>
            <w:bottom w:val="none" w:sz="0" w:space="0" w:color="auto"/>
            <w:right w:val="none" w:sz="0" w:space="0" w:color="auto"/>
          </w:divBdr>
        </w:div>
        <w:div w:id="1113327612">
          <w:marLeft w:val="0"/>
          <w:marRight w:val="0"/>
          <w:marTop w:val="0"/>
          <w:marBottom w:val="0"/>
          <w:divBdr>
            <w:top w:val="none" w:sz="0" w:space="0" w:color="auto"/>
            <w:left w:val="none" w:sz="0" w:space="0" w:color="auto"/>
            <w:bottom w:val="none" w:sz="0" w:space="0" w:color="auto"/>
            <w:right w:val="none" w:sz="0" w:space="0" w:color="auto"/>
          </w:divBdr>
        </w:div>
        <w:div w:id="1129587589">
          <w:marLeft w:val="0"/>
          <w:marRight w:val="0"/>
          <w:marTop w:val="0"/>
          <w:marBottom w:val="0"/>
          <w:divBdr>
            <w:top w:val="none" w:sz="0" w:space="0" w:color="auto"/>
            <w:left w:val="none" w:sz="0" w:space="0" w:color="auto"/>
            <w:bottom w:val="none" w:sz="0" w:space="0" w:color="auto"/>
            <w:right w:val="none" w:sz="0" w:space="0" w:color="auto"/>
          </w:divBdr>
        </w:div>
        <w:div w:id="1143735980">
          <w:marLeft w:val="0"/>
          <w:marRight w:val="0"/>
          <w:marTop w:val="0"/>
          <w:marBottom w:val="0"/>
          <w:divBdr>
            <w:top w:val="none" w:sz="0" w:space="0" w:color="auto"/>
            <w:left w:val="none" w:sz="0" w:space="0" w:color="auto"/>
            <w:bottom w:val="none" w:sz="0" w:space="0" w:color="auto"/>
            <w:right w:val="none" w:sz="0" w:space="0" w:color="auto"/>
          </w:divBdr>
        </w:div>
        <w:div w:id="1218973571">
          <w:marLeft w:val="0"/>
          <w:marRight w:val="0"/>
          <w:marTop w:val="0"/>
          <w:marBottom w:val="0"/>
          <w:divBdr>
            <w:top w:val="none" w:sz="0" w:space="0" w:color="auto"/>
            <w:left w:val="none" w:sz="0" w:space="0" w:color="auto"/>
            <w:bottom w:val="none" w:sz="0" w:space="0" w:color="auto"/>
            <w:right w:val="none" w:sz="0" w:space="0" w:color="auto"/>
          </w:divBdr>
        </w:div>
        <w:div w:id="1255944554">
          <w:marLeft w:val="0"/>
          <w:marRight w:val="0"/>
          <w:marTop w:val="0"/>
          <w:marBottom w:val="0"/>
          <w:divBdr>
            <w:top w:val="none" w:sz="0" w:space="0" w:color="auto"/>
            <w:left w:val="none" w:sz="0" w:space="0" w:color="auto"/>
            <w:bottom w:val="none" w:sz="0" w:space="0" w:color="auto"/>
            <w:right w:val="none" w:sz="0" w:space="0" w:color="auto"/>
          </w:divBdr>
          <w:divsChild>
            <w:div w:id="59639904">
              <w:marLeft w:val="0"/>
              <w:marRight w:val="0"/>
              <w:marTop w:val="0"/>
              <w:marBottom w:val="0"/>
              <w:divBdr>
                <w:top w:val="none" w:sz="0" w:space="0" w:color="auto"/>
                <w:left w:val="none" w:sz="0" w:space="0" w:color="auto"/>
                <w:bottom w:val="none" w:sz="0" w:space="0" w:color="auto"/>
                <w:right w:val="none" w:sz="0" w:space="0" w:color="auto"/>
              </w:divBdr>
            </w:div>
            <w:div w:id="705955298">
              <w:marLeft w:val="0"/>
              <w:marRight w:val="0"/>
              <w:marTop w:val="0"/>
              <w:marBottom w:val="0"/>
              <w:divBdr>
                <w:top w:val="none" w:sz="0" w:space="0" w:color="auto"/>
                <w:left w:val="none" w:sz="0" w:space="0" w:color="auto"/>
                <w:bottom w:val="none" w:sz="0" w:space="0" w:color="auto"/>
                <w:right w:val="none" w:sz="0" w:space="0" w:color="auto"/>
              </w:divBdr>
            </w:div>
            <w:div w:id="826090847">
              <w:marLeft w:val="0"/>
              <w:marRight w:val="0"/>
              <w:marTop w:val="0"/>
              <w:marBottom w:val="0"/>
              <w:divBdr>
                <w:top w:val="none" w:sz="0" w:space="0" w:color="auto"/>
                <w:left w:val="none" w:sz="0" w:space="0" w:color="auto"/>
                <w:bottom w:val="none" w:sz="0" w:space="0" w:color="auto"/>
                <w:right w:val="none" w:sz="0" w:space="0" w:color="auto"/>
              </w:divBdr>
            </w:div>
            <w:div w:id="830026876">
              <w:marLeft w:val="0"/>
              <w:marRight w:val="0"/>
              <w:marTop w:val="0"/>
              <w:marBottom w:val="0"/>
              <w:divBdr>
                <w:top w:val="none" w:sz="0" w:space="0" w:color="auto"/>
                <w:left w:val="none" w:sz="0" w:space="0" w:color="auto"/>
                <w:bottom w:val="none" w:sz="0" w:space="0" w:color="auto"/>
                <w:right w:val="none" w:sz="0" w:space="0" w:color="auto"/>
              </w:divBdr>
            </w:div>
            <w:div w:id="887717111">
              <w:marLeft w:val="0"/>
              <w:marRight w:val="0"/>
              <w:marTop w:val="0"/>
              <w:marBottom w:val="0"/>
              <w:divBdr>
                <w:top w:val="none" w:sz="0" w:space="0" w:color="auto"/>
                <w:left w:val="none" w:sz="0" w:space="0" w:color="auto"/>
                <w:bottom w:val="none" w:sz="0" w:space="0" w:color="auto"/>
                <w:right w:val="none" w:sz="0" w:space="0" w:color="auto"/>
              </w:divBdr>
            </w:div>
            <w:div w:id="906381962">
              <w:marLeft w:val="0"/>
              <w:marRight w:val="0"/>
              <w:marTop w:val="0"/>
              <w:marBottom w:val="0"/>
              <w:divBdr>
                <w:top w:val="none" w:sz="0" w:space="0" w:color="auto"/>
                <w:left w:val="none" w:sz="0" w:space="0" w:color="auto"/>
                <w:bottom w:val="none" w:sz="0" w:space="0" w:color="auto"/>
                <w:right w:val="none" w:sz="0" w:space="0" w:color="auto"/>
              </w:divBdr>
            </w:div>
            <w:div w:id="936211032">
              <w:marLeft w:val="0"/>
              <w:marRight w:val="0"/>
              <w:marTop w:val="0"/>
              <w:marBottom w:val="0"/>
              <w:divBdr>
                <w:top w:val="none" w:sz="0" w:space="0" w:color="auto"/>
                <w:left w:val="none" w:sz="0" w:space="0" w:color="auto"/>
                <w:bottom w:val="none" w:sz="0" w:space="0" w:color="auto"/>
                <w:right w:val="none" w:sz="0" w:space="0" w:color="auto"/>
              </w:divBdr>
            </w:div>
            <w:div w:id="1077555112">
              <w:marLeft w:val="0"/>
              <w:marRight w:val="0"/>
              <w:marTop w:val="0"/>
              <w:marBottom w:val="0"/>
              <w:divBdr>
                <w:top w:val="none" w:sz="0" w:space="0" w:color="auto"/>
                <w:left w:val="none" w:sz="0" w:space="0" w:color="auto"/>
                <w:bottom w:val="none" w:sz="0" w:space="0" w:color="auto"/>
                <w:right w:val="none" w:sz="0" w:space="0" w:color="auto"/>
              </w:divBdr>
            </w:div>
            <w:div w:id="1093166936">
              <w:marLeft w:val="0"/>
              <w:marRight w:val="0"/>
              <w:marTop w:val="0"/>
              <w:marBottom w:val="0"/>
              <w:divBdr>
                <w:top w:val="none" w:sz="0" w:space="0" w:color="auto"/>
                <w:left w:val="none" w:sz="0" w:space="0" w:color="auto"/>
                <w:bottom w:val="none" w:sz="0" w:space="0" w:color="auto"/>
                <w:right w:val="none" w:sz="0" w:space="0" w:color="auto"/>
              </w:divBdr>
            </w:div>
            <w:div w:id="1185751052">
              <w:marLeft w:val="0"/>
              <w:marRight w:val="0"/>
              <w:marTop w:val="0"/>
              <w:marBottom w:val="0"/>
              <w:divBdr>
                <w:top w:val="none" w:sz="0" w:space="0" w:color="auto"/>
                <w:left w:val="none" w:sz="0" w:space="0" w:color="auto"/>
                <w:bottom w:val="none" w:sz="0" w:space="0" w:color="auto"/>
                <w:right w:val="none" w:sz="0" w:space="0" w:color="auto"/>
              </w:divBdr>
            </w:div>
            <w:div w:id="1195771702">
              <w:marLeft w:val="0"/>
              <w:marRight w:val="0"/>
              <w:marTop w:val="0"/>
              <w:marBottom w:val="0"/>
              <w:divBdr>
                <w:top w:val="none" w:sz="0" w:space="0" w:color="auto"/>
                <w:left w:val="none" w:sz="0" w:space="0" w:color="auto"/>
                <w:bottom w:val="none" w:sz="0" w:space="0" w:color="auto"/>
                <w:right w:val="none" w:sz="0" w:space="0" w:color="auto"/>
              </w:divBdr>
            </w:div>
            <w:div w:id="1294140295">
              <w:marLeft w:val="0"/>
              <w:marRight w:val="0"/>
              <w:marTop w:val="0"/>
              <w:marBottom w:val="0"/>
              <w:divBdr>
                <w:top w:val="none" w:sz="0" w:space="0" w:color="auto"/>
                <w:left w:val="none" w:sz="0" w:space="0" w:color="auto"/>
                <w:bottom w:val="none" w:sz="0" w:space="0" w:color="auto"/>
                <w:right w:val="none" w:sz="0" w:space="0" w:color="auto"/>
              </w:divBdr>
            </w:div>
            <w:div w:id="1309242195">
              <w:marLeft w:val="0"/>
              <w:marRight w:val="0"/>
              <w:marTop w:val="0"/>
              <w:marBottom w:val="0"/>
              <w:divBdr>
                <w:top w:val="none" w:sz="0" w:space="0" w:color="auto"/>
                <w:left w:val="none" w:sz="0" w:space="0" w:color="auto"/>
                <w:bottom w:val="none" w:sz="0" w:space="0" w:color="auto"/>
                <w:right w:val="none" w:sz="0" w:space="0" w:color="auto"/>
              </w:divBdr>
            </w:div>
            <w:div w:id="1408646299">
              <w:marLeft w:val="0"/>
              <w:marRight w:val="0"/>
              <w:marTop w:val="0"/>
              <w:marBottom w:val="0"/>
              <w:divBdr>
                <w:top w:val="none" w:sz="0" w:space="0" w:color="auto"/>
                <w:left w:val="none" w:sz="0" w:space="0" w:color="auto"/>
                <w:bottom w:val="none" w:sz="0" w:space="0" w:color="auto"/>
                <w:right w:val="none" w:sz="0" w:space="0" w:color="auto"/>
              </w:divBdr>
            </w:div>
            <w:div w:id="1601329307">
              <w:marLeft w:val="0"/>
              <w:marRight w:val="0"/>
              <w:marTop w:val="0"/>
              <w:marBottom w:val="0"/>
              <w:divBdr>
                <w:top w:val="none" w:sz="0" w:space="0" w:color="auto"/>
                <w:left w:val="none" w:sz="0" w:space="0" w:color="auto"/>
                <w:bottom w:val="none" w:sz="0" w:space="0" w:color="auto"/>
                <w:right w:val="none" w:sz="0" w:space="0" w:color="auto"/>
              </w:divBdr>
            </w:div>
            <w:div w:id="1708947005">
              <w:marLeft w:val="0"/>
              <w:marRight w:val="0"/>
              <w:marTop w:val="0"/>
              <w:marBottom w:val="0"/>
              <w:divBdr>
                <w:top w:val="none" w:sz="0" w:space="0" w:color="auto"/>
                <w:left w:val="none" w:sz="0" w:space="0" w:color="auto"/>
                <w:bottom w:val="none" w:sz="0" w:space="0" w:color="auto"/>
                <w:right w:val="none" w:sz="0" w:space="0" w:color="auto"/>
              </w:divBdr>
            </w:div>
            <w:div w:id="1744133593">
              <w:marLeft w:val="0"/>
              <w:marRight w:val="0"/>
              <w:marTop w:val="0"/>
              <w:marBottom w:val="0"/>
              <w:divBdr>
                <w:top w:val="none" w:sz="0" w:space="0" w:color="auto"/>
                <w:left w:val="none" w:sz="0" w:space="0" w:color="auto"/>
                <w:bottom w:val="none" w:sz="0" w:space="0" w:color="auto"/>
                <w:right w:val="none" w:sz="0" w:space="0" w:color="auto"/>
              </w:divBdr>
            </w:div>
            <w:div w:id="1768185868">
              <w:marLeft w:val="0"/>
              <w:marRight w:val="0"/>
              <w:marTop w:val="0"/>
              <w:marBottom w:val="0"/>
              <w:divBdr>
                <w:top w:val="none" w:sz="0" w:space="0" w:color="auto"/>
                <w:left w:val="none" w:sz="0" w:space="0" w:color="auto"/>
                <w:bottom w:val="none" w:sz="0" w:space="0" w:color="auto"/>
                <w:right w:val="none" w:sz="0" w:space="0" w:color="auto"/>
              </w:divBdr>
            </w:div>
            <w:div w:id="1797404514">
              <w:marLeft w:val="0"/>
              <w:marRight w:val="0"/>
              <w:marTop w:val="0"/>
              <w:marBottom w:val="0"/>
              <w:divBdr>
                <w:top w:val="none" w:sz="0" w:space="0" w:color="auto"/>
                <w:left w:val="none" w:sz="0" w:space="0" w:color="auto"/>
                <w:bottom w:val="none" w:sz="0" w:space="0" w:color="auto"/>
                <w:right w:val="none" w:sz="0" w:space="0" w:color="auto"/>
              </w:divBdr>
            </w:div>
            <w:div w:id="1806967603">
              <w:marLeft w:val="0"/>
              <w:marRight w:val="0"/>
              <w:marTop w:val="0"/>
              <w:marBottom w:val="0"/>
              <w:divBdr>
                <w:top w:val="none" w:sz="0" w:space="0" w:color="auto"/>
                <w:left w:val="none" w:sz="0" w:space="0" w:color="auto"/>
                <w:bottom w:val="none" w:sz="0" w:space="0" w:color="auto"/>
                <w:right w:val="none" w:sz="0" w:space="0" w:color="auto"/>
              </w:divBdr>
            </w:div>
          </w:divsChild>
        </w:div>
        <w:div w:id="1258172731">
          <w:marLeft w:val="0"/>
          <w:marRight w:val="0"/>
          <w:marTop w:val="0"/>
          <w:marBottom w:val="0"/>
          <w:divBdr>
            <w:top w:val="none" w:sz="0" w:space="0" w:color="auto"/>
            <w:left w:val="none" w:sz="0" w:space="0" w:color="auto"/>
            <w:bottom w:val="none" w:sz="0" w:space="0" w:color="auto"/>
            <w:right w:val="none" w:sz="0" w:space="0" w:color="auto"/>
          </w:divBdr>
        </w:div>
        <w:div w:id="1295603946">
          <w:marLeft w:val="0"/>
          <w:marRight w:val="0"/>
          <w:marTop w:val="0"/>
          <w:marBottom w:val="0"/>
          <w:divBdr>
            <w:top w:val="none" w:sz="0" w:space="0" w:color="auto"/>
            <w:left w:val="none" w:sz="0" w:space="0" w:color="auto"/>
            <w:bottom w:val="none" w:sz="0" w:space="0" w:color="auto"/>
            <w:right w:val="none" w:sz="0" w:space="0" w:color="auto"/>
          </w:divBdr>
        </w:div>
        <w:div w:id="1296717045">
          <w:marLeft w:val="0"/>
          <w:marRight w:val="0"/>
          <w:marTop w:val="0"/>
          <w:marBottom w:val="0"/>
          <w:divBdr>
            <w:top w:val="none" w:sz="0" w:space="0" w:color="auto"/>
            <w:left w:val="none" w:sz="0" w:space="0" w:color="auto"/>
            <w:bottom w:val="none" w:sz="0" w:space="0" w:color="auto"/>
            <w:right w:val="none" w:sz="0" w:space="0" w:color="auto"/>
          </w:divBdr>
        </w:div>
        <w:div w:id="1409619398">
          <w:marLeft w:val="0"/>
          <w:marRight w:val="0"/>
          <w:marTop w:val="0"/>
          <w:marBottom w:val="0"/>
          <w:divBdr>
            <w:top w:val="none" w:sz="0" w:space="0" w:color="auto"/>
            <w:left w:val="none" w:sz="0" w:space="0" w:color="auto"/>
            <w:bottom w:val="none" w:sz="0" w:space="0" w:color="auto"/>
            <w:right w:val="none" w:sz="0" w:space="0" w:color="auto"/>
          </w:divBdr>
        </w:div>
        <w:div w:id="1429890514">
          <w:marLeft w:val="0"/>
          <w:marRight w:val="0"/>
          <w:marTop w:val="0"/>
          <w:marBottom w:val="0"/>
          <w:divBdr>
            <w:top w:val="none" w:sz="0" w:space="0" w:color="auto"/>
            <w:left w:val="none" w:sz="0" w:space="0" w:color="auto"/>
            <w:bottom w:val="none" w:sz="0" w:space="0" w:color="auto"/>
            <w:right w:val="none" w:sz="0" w:space="0" w:color="auto"/>
          </w:divBdr>
        </w:div>
        <w:div w:id="1478064024">
          <w:marLeft w:val="0"/>
          <w:marRight w:val="0"/>
          <w:marTop w:val="0"/>
          <w:marBottom w:val="0"/>
          <w:divBdr>
            <w:top w:val="none" w:sz="0" w:space="0" w:color="auto"/>
            <w:left w:val="none" w:sz="0" w:space="0" w:color="auto"/>
            <w:bottom w:val="none" w:sz="0" w:space="0" w:color="auto"/>
            <w:right w:val="none" w:sz="0" w:space="0" w:color="auto"/>
          </w:divBdr>
          <w:divsChild>
            <w:div w:id="37517559">
              <w:marLeft w:val="-75"/>
              <w:marRight w:val="0"/>
              <w:marTop w:val="30"/>
              <w:marBottom w:val="30"/>
              <w:divBdr>
                <w:top w:val="none" w:sz="0" w:space="0" w:color="auto"/>
                <w:left w:val="none" w:sz="0" w:space="0" w:color="auto"/>
                <w:bottom w:val="none" w:sz="0" w:space="0" w:color="auto"/>
                <w:right w:val="none" w:sz="0" w:space="0" w:color="auto"/>
              </w:divBdr>
              <w:divsChild>
                <w:div w:id="131096221">
                  <w:marLeft w:val="0"/>
                  <w:marRight w:val="0"/>
                  <w:marTop w:val="0"/>
                  <w:marBottom w:val="0"/>
                  <w:divBdr>
                    <w:top w:val="none" w:sz="0" w:space="0" w:color="auto"/>
                    <w:left w:val="none" w:sz="0" w:space="0" w:color="auto"/>
                    <w:bottom w:val="none" w:sz="0" w:space="0" w:color="auto"/>
                    <w:right w:val="none" w:sz="0" w:space="0" w:color="auto"/>
                  </w:divBdr>
                  <w:divsChild>
                    <w:div w:id="2017492474">
                      <w:marLeft w:val="0"/>
                      <w:marRight w:val="0"/>
                      <w:marTop w:val="0"/>
                      <w:marBottom w:val="0"/>
                      <w:divBdr>
                        <w:top w:val="none" w:sz="0" w:space="0" w:color="auto"/>
                        <w:left w:val="none" w:sz="0" w:space="0" w:color="auto"/>
                        <w:bottom w:val="none" w:sz="0" w:space="0" w:color="auto"/>
                        <w:right w:val="none" w:sz="0" w:space="0" w:color="auto"/>
                      </w:divBdr>
                    </w:div>
                  </w:divsChild>
                </w:div>
                <w:div w:id="185143576">
                  <w:marLeft w:val="0"/>
                  <w:marRight w:val="0"/>
                  <w:marTop w:val="0"/>
                  <w:marBottom w:val="0"/>
                  <w:divBdr>
                    <w:top w:val="none" w:sz="0" w:space="0" w:color="auto"/>
                    <w:left w:val="none" w:sz="0" w:space="0" w:color="auto"/>
                    <w:bottom w:val="none" w:sz="0" w:space="0" w:color="auto"/>
                    <w:right w:val="none" w:sz="0" w:space="0" w:color="auto"/>
                  </w:divBdr>
                  <w:divsChild>
                    <w:div w:id="1213468920">
                      <w:marLeft w:val="0"/>
                      <w:marRight w:val="0"/>
                      <w:marTop w:val="0"/>
                      <w:marBottom w:val="0"/>
                      <w:divBdr>
                        <w:top w:val="none" w:sz="0" w:space="0" w:color="auto"/>
                        <w:left w:val="none" w:sz="0" w:space="0" w:color="auto"/>
                        <w:bottom w:val="none" w:sz="0" w:space="0" w:color="auto"/>
                        <w:right w:val="none" w:sz="0" w:space="0" w:color="auto"/>
                      </w:divBdr>
                    </w:div>
                  </w:divsChild>
                </w:div>
                <w:div w:id="199363297">
                  <w:marLeft w:val="0"/>
                  <w:marRight w:val="0"/>
                  <w:marTop w:val="0"/>
                  <w:marBottom w:val="0"/>
                  <w:divBdr>
                    <w:top w:val="none" w:sz="0" w:space="0" w:color="auto"/>
                    <w:left w:val="none" w:sz="0" w:space="0" w:color="auto"/>
                    <w:bottom w:val="none" w:sz="0" w:space="0" w:color="auto"/>
                    <w:right w:val="none" w:sz="0" w:space="0" w:color="auto"/>
                  </w:divBdr>
                  <w:divsChild>
                    <w:div w:id="1029796839">
                      <w:marLeft w:val="0"/>
                      <w:marRight w:val="0"/>
                      <w:marTop w:val="0"/>
                      <w:marBottom w:val="0"/>
                      <w:divBdr>
                        <w:top w:val="none" w:sz="0" w:space="0" w:color="auto"/>
                        <w:left w:val="none" w:sz="0" w:space="0" w:color="auto"/>
                        <w:bottom w:val="none" w:sz="0" w:space="0" w:color="auto"/>
                        <w:right w:val="none" w:sz="0" w:space="0" w:color="auto"/>
                      </w:divBdr>
                    </w:div>
                  </w:divsChild>
                </w:div>
                <w:div w:id="351302428">
                  <w:marLeft w:val="0"/>
                  <w:marRight w:val="0"/>
                  <w:marTop w:val="0"/>
                  <w:marBottom w:val="0"/>
                  <w:divBdr>
                    <w:top w:val="none" w:sz="0" w:space="0" w:color="auto"/>
                    <w:left w:val="none" w:sz="0" w:space="0" w:color="auto"/>
                    <w:bottom w:val="none" w:sz="0" w:space="0" w:color="auto"/>
                    <w:right w:val="none" w:sz="0" w:space="0" w:color="auto"/>
                  </w:divBdr>
                  <w:divsChild>
                    <w:div w:id="871574088">
                      <w:marLeft w:val="0"/>
                      <w:marRight w:val="0"/>
                      <w:marTop w:val="0"/>
                      <w:marBottom w:val="0"/>
                      <w:divBdr>
                        <w:top w:val="none" w:sz="0" w:space="0" w:color="auto"/>
                        <w:left w:val="none" w:sz="0" w:space="0" w:color="auto"/>
                        <w:bottom w:val="none" w:sz="0" w:space="0" w:color="auto"/>
                        <w:right w:val="none" w:sz="0" w:space="0" w:color="auto"/>
                      </w:divBdr>
                    </w:div>
                  </w:divsChild>
                </w:div>
                <w:div w:id="451024050">
                  <w:marLeft w:val="0"/>
                  <w:marRight w:val="0"/>
                  <w:marTop w:val="0"/>
                  <w:marBottom w:val="0"/>
                  <w:divBdr>
                    <w:top w:val="none" w:sz="0" w:space="0" w:color="auto"/>
                    <w:left w:val="none" w:sz="0" w:space="0" w:color="auto"/>
                    <w:bottom w:val="none" w:sz="0" w:space="0" w:color="auto"/>
                    <w:right w:val="none" w:sz="0" w:space="0" w:color="auto"/>
                  </w:divBdr>
                  <w:divsChild>
                    <w:div w:id="26836498">
                      <w:marLeft w:val="0"/>
                      <w:marRight w:val="0"/>
                      <w:marTop w:val="0"/>
                      <w:marBottom w:val="0"/>
                      <w:divBdr>
                        <w:top w:val="none" w:sz="0" w:space="0" w:color="auto"/>
                        <w:left w:val="none" w:sz="0" w:space="0" w:color="auto"/>
                        <w:bottom w:val="none" w:sz="0" w:space="0" w:color="auto"/>
                        <w:right w:val="none" w:sz="0" w:space="0" w:color="auto"/>
                      </w:divBdr>
                    </w:div>
                  </w:divsChild>
                </w:div>
                <w:div w:id="493103719">
                  <w:marLeft w:val="0"/>
                  <w:marRight w:val="0"/>
                  <w:marTop w:val="0"/>
                  <w:marBottom w:val="0"/>
                  <w:divBdr>
                    <w:top w:val="none" w:sz="0" w:space="0" w:color="auto"/>
                    <w:left w:val="none" w:sz="0" w:space="0" w:color="auto"/>
                    <w:bottom w:val="none" w:sz="0" w:space="0" w:color="auto"/>
                    <w:right w:val="none" w:sz="0" w:space="0" w:color="auto"/>
                  </w:divBdr>
                  <w:divsChild>
                    <w:div w:id="891618312">
                      <w:marLeft w:val="0"/>
                      <w:marRight w:val="0"/>
                      <w:marTop w:val="0"/>
                      <w:marBottom w:val="0"/>
                      <w:divBdr>
                        <w:top w:val="none" w:sz="0" w:space="0" w:color="auto"/>
                        <w:left w:val="none" w:sz="0" w:space="0" w:color="auto"/>
                        <w:bottom w:val="none" w:sz="0" w:space="0" w:color="auto"/>
                        <w:right w:val="none" w:sz="0" w:space="0" w:color="auto"/>
                      </w:divBdr>
                    </w:div>
                  </w:divsChild>
                </w:div>
                <w:div w:id="514684730">
                  <w:marLeft w:val="0"/>
                  <w:marRight w:val="0"/>
                  <w:marTop w:val="0"/>
                  <w:marBottom w:val="0"/>
                  <w:divBdr>
                    <w:top w:val="none" w:sz="0" w:space="0" w:color="auto"/>
                    <w:left w:val="none" w:sz="0" w:space="0" w:color="auto"/>
                    <w:bottom w:val="none" w:sz="0" w:space="0" w:color="auto"/>
                    <w:right w:val="none" w:sz="0" w:space="0" w:color="auto"/>
                  </w:divBdr>
                  <w:divsChild>
                    <w:div w:id="1233276991">
                      <w:marLeft w:val="0"/>
                      <w:marRight w:val="0"/>
                      <w:marTop w:val="0"/>
                      <w:marBottom w:val="0"/>
                      <w:divBdr>
                        <w:top w:val="none" w:sz="0" w:space="0" w:color="auto"/>
                        <w:left w:val="none" w:sz="0" w:space="0" w:color="auto"/>
                        <w:bottom w:val="none" w:sz="0" w:space="0" w:color="auto"/>
                        <w:right w:val="none" w:sz="0" w:space="0" w:color="auto"/>
                      </w:divBdr>
                    </w:div>
                  </w:divsChild>
                </w:div>
                <w:div w:id="519319300">
                  <w:marLeft w:val="0"/>
                  <w:marRight w:val="0"/>
                  <w:marTop w:val="0"/>
                  <w:marBottom w:val="0"/>
                  <w:divBdr>
                    <w:top w:val="none" w:sz="0" w:space="0" w:color="auto"/>
                    <w:left w:val="none" w:sz="0" w:space="0" w:color="auto"/>
                    <w:bottom w:val="none" w:sz="0" w:space="0" w:color="auto"/>
                    <w:right w:val="none" w:sz="0" w:space="0" w:color="auto"/>
                  </w:divBdr>
                  <w:divsChild>
                    <w:div w:id="213083227">
                      <w:marLeft w:val="0"/>
                      <w:marRight w:val="0"/>
                      <w:marTop w:val="0"/>
                      <w:marBottom w:val="0"/>
                      <w:divBdr>
                        <w:top w:val="none" w:sz="0" w:space="0" w:color="auto"/>
                        <w:left w:val="none" w:sz="0" w:space="0" w:color="auto"/>
                        <w:bottom w:val="none" w:sz="0" w:space="0" w:color="auto"/>
                        <w:right w:val="none" w:sz="0" w:space="0" w:color="auto"/>
                      </w:divBdr>
                    </w:div>
                  </w:divsChild>
                </w:div>
                <w:div w:id="534999261">
                  <w:marLeft w:val="0"/>
                  <w:marRight w:val="0"/>
                  <w:marTop w:val="0"/>
                  <w:marBottom w:val="0"/>
                  <w:divBdr>
                    <w:top w:val="none" w:sz="0" w:space="0" w:color="auto"/>
                    <w:left w:val="none" w:sz="0" w:space="0" w:color="auto"/>
                    <w:bottom w:val="none" w:sz="0" w:space="0" w:color="auto"/>
                    <w:right w:val="none" w:sz="0" w:space="0" w:color="auto"/>
                  </w:divBdr>
                  <w:divsChild>
                    <w:div w:id="108084940">
                      <w:marLeft w:val="0"/>
                      <w:marRight w:val="0"/>
                      <w:marTop w:val="0"/>
                      <w:marBottom w:val="0"/>
                      <w:divBdr>
                        <w:top w:val="none" w:sz="0" w:space="0" w:color="auto"/>
                        <w:left w:val="none" w:sz="0" w:space="0" w:color="auto"/>
                        <w:bottom w:val="none" w:sz="0" w:space="0" w:color="auto"/>
                        <w:right w:val="none" w:sz="0" w:space="0" w:color="auto"/>
                      </w:divBdr>
                    </w:div>
                  </w:divsChild>
                </w:div>
                <w:div w:id="573465696">
                  <w:marLeft w:val="0"/>
                  <w:marRight w:val="0"/>
                  <w:marTop w:val="0"/>
                  <w:marBottom w:val="0"/>
                  <w:divBdr>
                    <w:top w:val="none" w:sz="0" w:space="0" w:color="auto"/>
                    <w:left w:val="none" w:sz="0" w:space="0" w:color="auto"/>
                    <w:bottom w:val="none" w:sz="0" w:space="0" w:color="auto"/>
                    <w:right w:val="none" w:sz="0" w:space="0" w:color="auto"/>
                  </w:divBdr>
                  <w:divsChild>
                    <w:div w:id="1325471636">
                      <w:marLeft w:val="0"/>
                      <w:marRight w:val="0"/>
                      <w:marTop w:val="0"/>
                      <w:marBottom w:val="0"/>
                      <w:divBdr>
                        <w:top w:val="none" w:sz="0" w:space="0" w:color="auto"/>
                        <w:left w:val="none" w:sz="0" w:space="0" w:color="auto"/>
                        <w:bottom w:val="none" w:sz="0" w:space="0" w:color="auto"/>
                        <w:right w:val="none" w:sz="0" w:space="0" w:color="auto"/>
                      </w:divBdr>
                    </w:div>
                  </w:divsChild>
                </w:div>
                <w:div w:id="681669808">
                  <w:marLeft w:val="0"/>
                  <w:marRight w:val="0"/>
                  <w:marTop w:val="0"/>
                  <w:marBottom w:val="0"/>
                  <w:divBdr>
                    <w:top w:val="none" w:sz="0" w:space="0" w:color="auto"/>
                    <w:left w:val="none" w:sz="0" w:space="0" w:color="auto"/>
                    <w:bottom w:val="none" w:sz="0" w:space="0" w:color="auto"/>
                    <w:right w:val="none" w:sz="0" w:space="0" w:color="auto"/>
                  </w:divBdr>
                  <w:divsChild>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708457049">
                  <w:marLeft w:val="0"/>
                  <w:marRight w:val="0"/>
                  <w:marTop w:val="0"/>
                  <w:marBottom w:val="0"/>
                  <w:divBdr>
                    <w:top w:val="none" w:sz="0" w:space="0" w:color="auto"/>
                    <w:left w:val="none" w:sz="0" w:space="0" w:color="auto"/>
                    <w:bottom w:val="none" w:sz="0" w:space="0" w:color="auto"/>
                    <w:right w:val="none" w:sz="0" w:space="0" w:color="auto"/>
                  </w:divBdr>
                  <w:divsChild>
                    <w:div w:id="264729182">
                      <w:marLeft w:val="0"/>
                      <w:marRight w:val="0"/>
                      <w:marTop w:val="0"/>
                      <w:marBottom w:val="0"/>
                      <w:divBdr>
                        <w:top w:val="none" w:sz="0" w:space="0" w:color="auto"/>
                        <w:left w:val="none" w:sz="0" w:space="0" w:color="auto"/>
                        <w:bottom w:val="none" w:sz="0" w:space="0" w:color="auto"/>
                        <w:right w:val="none" w:sz="0" w:space="0" w:color="auto"/>
                      </w:divBdr>
                    </w:div>
                  </w:divsChild>
                </w:div>
                <w:div w:id="716510717">
                  <w:marLeft w:val="0"/>
                  <w:marRight w:val="0"/>
                  <w:marTop w:val="0"/>
                  <w:marBottom w:val="0"/>
                  <w:divBdr>
                    <w:top w:val="none" w:sz="0" w:space="0" w:color="auto"/>
                    <w:left w:val="none" w:sz="0" w:space="0" w:color="auto"/>
                    <w:bottom w:val="none" w:sz="0" w:space="0" w:color="auto"/>
                    <w:right w:val="none" w:sz="0" w:space="0" w:color="auto"/>
                  </w:divBdr>
                  <w:divsChild>
                    <w:div w:id="1686781510">
                      <w:marLeft w:val="0"/>
                      <w:marRight w:val="0"/>
                      <w:marTop w:val="0"/>
                      <w:marBottom w:val="0"/>
                      <w:divBdr>
                        <w:top w:val="none" w:sz="0" w:space="0" w:color="auto"/>
                        <w:left w:val="none" w:sz="0" w:space="0" w:color="auto"/>
                        <w:bottom w:val="none" w:sz="0" w:space="0" w:color="auto"/>
                        <w:right w:val="none" w:sz="0" w:space="0" w:color="auto"/>
                      </w:divBdr>
                    </w:div>
                  </w:divsChild>
                </w:div>
                <w:div w:id="747463822">
                  <w:marLeft w:val="0"/>
                  <w:marRight w:val="0"/>
                  <w:marTop w:val="0"/>
                  <w:marBottom w:val="0"/>
                  <w:divBdr>
                    <w:top w:val="none" w:sz="0" w:space="0" w:color="auto"/>
                    <w:left w:val="none" w:sz="0" w:space="0" w:color="auto"/>
                    <w:bottom w:val="none" w:sz="0" w:space="0" w:color="auto"/>
                    <w:right w:val="none" w:sz="0" w:space="0" w:color="auto"/>
                  </w:divBdr>
                  <w:divsChild>
                    <w:div w:id="592932616">
                      <w:marLeft w:val="0"/>
                      <w:marRight w:val="0"/>
                      <w:marTop w:val="0"/>
                      <w:marBottom w:val="0"/>
                      <w:divBdr>
                        <w:top w:val="none" w:sz="0" w:space="0" w:color="auto"/>
                        <w:left w:val="none" w:sz="0" w:space="0" w:color="auto"/>
                        <w:bottom w:val="none" w:sz="0" w:space="0" w:color="auto"/>
                        <w:right w:val="none" w:sz="0" w:space="0" w:color="auto"/>
                      </w:divBdr>
                    </w:div>
                  </w:divsChild>
                </w:div>
                <w:div w:id="791753250">
                  <w:marLeft w:val="0"/>
                  <w:marRight w:val="0"/>
                  <w:marTop w:val="0"/>
                  <w:marBottom w:val="0"/>
                  <w:divBdr>
                    <w:top w:val="none" w:sz="0" w:space="0" w:color="auto"/>
                    <w:left w:val="none" w:sz="0" w:space="0" w:color="auto"/>
                    <w:bottom w:val="none" w:sz="0" w:space="0" w:color="auto"/>
                    <w:right w:val="none" w:sz="0" w:space="0" w:color="auto"/>
                  </w:divBdr>
                  <w:divsChild>
                    <w:div w:id="1769159705">
                      <w:marLeft w:val="0"/>
                      <w:marRight w:val="0"/>
                      <w:marTop w:val="0"/>
                      <w:marBottom w:val="0"/>
                      <w:divBdr>
                        <w:top w:val="none" w:sz="0" w:space="0" w:color="auto"/>
                        <w:left w:val="none" w:sz="0" w:space="0" w:color="auto"/>
                        <w:bottom w:val="none" w:sz="0" w:space="0" w:color="auto"/>
                        <w:right w:val="none" w:sz="0" w:space="0" w:color="auto"/>
                      </w:divBdr>
                    </w:div>
                  </w:divsChild>
                </w:div>
                <w:div w:id="803692315">
                  <w:marLeft w:val="0"/>
                  <w:marRight w:val="0"/>
                  <w:marTop w:val="0"/>
                  <w:marBottom w:val="0"/>
                  <w:divBdr>
                    <w:top w:val="none" w:sz="0" w:space="0" w:color="auto"/>
                    <w:left w:val="none" w:sz="0" w:space="0" w:color="auto"/>
                    <w:bottom w:val="none" w:sz="0" w:space="0" w:color="auto"/>
                    <w:right w:val="none" w:sz="0" w:space="0" w:color="auto"/>
                  </w:divBdr>
                  <w:divsChild>
                    <w:div w:id="1704938959">
                      <w:marLeft w:val="0"/>
                      <w:marRight w:val="0"/>
                      <w:marTop w:val="0"/>
                      <w:marBottom w:val="0"/>
                      <w:divBdr>
                        <w:top w:val="none" w:sz="0" w:space="0" w:color="auto"/>
                        <w:left w:val="none" w:sz="0" w:space="0" w:color="auto"/>
                        <w:bottom w:val="none" w:sz="0" w:space="0" w:color="auto"/>
                        <w:right w:val="none" w:sz="0" w:space="0" w:color="auto"/>
                      </w:divBdr>
                    </w:div>
                  </w:divsChild>
                </w:div>
                <w:div w:id="886180186">
                  <w:marLeft w:val="0"/>
                  <w:marRight w:val="0"/>
                  <w:marTop w:val="0"/>
                  <w:marBottom w:val="0"/>
                  <w:divBdr>
                    <w:top w:val="none" w:sz="0" w:space="0" w:color="auto"/>
                    <w:left w:val="none" w:sz="0" w:space="0" w:color="auto"/>
                    <w:bottom w:val="none" w:sz="0" w:space="0" w:color="auto"/>
                    <w:right w:val="none" w:sz="0" w:space="0" w:color="auto"/>
                  </w:divBdr>
                  <w:divsChild>
                    <w:div w:id="717893683">
                      <w:marLeft w:val="0"/>
                      <w:marRight w:val="0"/>
                      <w:marTop w:val="0"/>
                      <w:marBottom w:val="0"/>
                      <w:divBdr>
                        <w:top w:val="none" w:sz="0" w:space="0" w:color="auto"/>
                        <w:left w:val="none" w:sz="0" w:space="0" w:color="auto"/>
                        <w:bottom w:val="none" w:sz="0" w:space="0" w:color="auto"/>
                        <w:right w:val="none" w:sz="0" w:space="0" w:color="auto"/>
                      </w:divBdr>
                    </w:div>
                  </w:divsChild>
                </w:div>
                <w:div w:id="902525531">
                  <w:marLeft w:val="0"/>
                  <w:marRight w:val="0"/>
                  <w:marTop w:val="0"/>
                  <w:marBottom w:val="0"/>
                  <w:divBdr>
                    <w:top w:val="none" w:sz="0" w:space="0" w:color="auto"/>
                    <w:left w:val="none" w:sz="0" w:space="0" w:color="auto"/>
                    <w:bottom w:val="none" w:sz="0" w:space="0" w:color="auto"/>
                    <w:right w:val="none" w:sz="0" w:space="0" w:color="auto"/>
                  </w:divBdr>
                  <w:divsChild>
                    <w:div w:id="651525454">
                      <w:marLeft w:val="0"/>
                      <w:marRight w:val="0"/>
                      <w:marTop w:val="0"/>
                      <w:marBottom w:val="0"/>
                      <w:divBdr>
                        <w:top w:val="none" w:sz="0" w:space="0" w:color="auto"/>
                        <w:left w:val="none" w:sz="0" w:space="0" w:color="auto"/>
                        <w:bottom w:val="none" w:sz="0" w:space="0" w:color="auto"/>
                        <w:right w:val="none" w:sz="0" w:space="0" w:color="auto"/>
                      </w:divBdr>
                    </w:div>
                  </w:divsChild>
                </w:div>
                <w:div w:id="980891608">
                  <w:marLeft w:val="0"/>
                  <w:marRight w:val="0"/>
                  <w:marTop w:val="0"/>
                  <w:marBottom w:val="0"/>
                  <w:divBdr>
                    <w:top w:val="none" w:sz="0" w:space="0" w:color="auto"/>
                    <w:left w:val="none" w:sz="0" w:space="0" w:color="auto"/>
                    <w:bottom w:val="none" w:sz="0" w:space="0" w:color="auto"/>
                    <w:right w:val="none" w:sz="0" w:space="0" w:color="auto"/>
                  </w:divBdr>
                  <w:divsChild>
                    <w:div w:id="1340228774">
                      <w:marLeft w:val="0"/>
                      <w:marRight w:val="0"/>
                      <w:marTop w:val="0"/>
                      <w:marBottom w:val="0"/>
                      <w:divBdr>
                        <w:top w:val="none" w:sz="0" w:space="0" w:color="auto"/>
                        <w:left w:val="none" w:sz="0" w:space="0" w:color="auto"/>
                        <w:bottom w:val="none" w:sz="0" w:space="0" w:color="auto"/>
                        <w:right w:val="none" w:sz="0" w:space="0" w:color="auto"/>
                      </w:divBdr>
                    </w:div>
                  </w:divsChild>
                </w:div>
                <w:div w:id="1007712900">
                  <w:marLeft w:val="0"/>
                  <w:marRight w:val="0"/>
                  <w:marTop w:val="0"/>
                  <w:marBottom w:val="0"/>
                  <w:divBdr>
                    <w:top w:val="none" w:sz="0" w:space="0" w:color="auto"/>
                    <w:left w:val="none" w:sz="0" w:space="0" w:color="auto"/>
                    <w:bottom w:val="none" w:sz="0" w:space="0" w:color="auto"/>
                    <w:right w:val="none" w:sz="0" w:space="0" w:color="auto"/>
                  </w:divBdr>
                  <w:divsChild>
                    <w:div w:id="119617555">
                      <w:marLeft w:val="0"/>
                      <w:marRight w:val="0"/>
                      <w:marTop w:val="0"/>
                      <w:marBottom w:val="0"/>
                      <w:divBdr>
                        <w:top w:val="none" w:sz="0" w:space="0" w:color="auto"/>
                        <w:left w:val="none" w:sz="0" w:space="0" w:color="auto"/>
                        <w:bottom w:val="none" w:sz="0" w:space="0" w:color="auto"/>
                        <w:right w:val="none" w:sz="0" w:space="0" w:color="auto"/>
                      </w:divBdr>
                    </w:div>
                  </w:divsChild>
                </w:div>
                <w:div w:id="1028482914">
                  <w:marLeft w:val="0"/>
                  <w:marRight w:val="0"/>
                  <w:marTop w:val="0"/>
                  <w:marBottom w:val="0"/>
                  <w:divBdr>
                    <w:top w:val="none" w:sz="0" w:space="0" w:color="auto"/>
                    <w:left w:val="none" w:sz="0" w:space="0" w:color="auto"/>
                    <w:bottom w:val="none" w:sz="0" w:space="0" w:color="auto"/>
                    <w:right w:val="none" w:sz="0" w:space="0" w:color="auto"/>
                  </w:divBdr>
                  <w:divsChild>
                    <w:div w:id="147481255">
                      <w:marLeft w:val="0"/>
                      <w:marRight w:val="0"/>
                      <w:marTop w:val="0"/>
                      <w:marBottom w:val="0"/>
                      <w:divBdr>
                        <w:top w:val="none" w:sz="0" w:space="0" w:color="auto"/>
                        <w:left w:val="none" w:sz="0" w:space="0" w:color="auto"/>
                        <w:bottom w:val="none" w:sz="0" w:space="0" w:color="auto"/>
                        <w:right w:val="none" w:sz="0" w:space="0" w:color="auto"/>
                      </w:divBdr>
                    </w:div>
                  </w:divsChild>
                </w:div>
                <w:div w:id="1056926415">
                  <w:marLeft w:val="0"/>
                  <w:marRight w:val="0"/>
                  <w:marTop w:val="0"/>
                  <w:marBottom w:val="0"/>
                  <w:divBdr>
                    <w:top w:val="none" w:sz="0" w:space="0" w:color="auto"/>
                    <w:left w:val="none" w:sz="0" w:space="0" w:color="auto"/>
                    <w:bottom w:val="none" w:sz="0" w:space="0" w:color="auto"/>
                    <w:right w:val="none" w:sz="0" w:space="0" w:color="auto"/>
                  </w:divBdr>
                  <w:divsChild>
                    <w:div w:id="1690839778">
                      <w:marLeft w:val="0"/>
                      <w:marRight w:val="0"/>
                      <w:marTop w:val="0"/>
                      <w:marBottom w:val="0"/>
                      <w:divBdr>
                        <w:top w:val="none" w:sz="0" w:space="0" w:color="auto"/>
                        <w:left w:val="none" w:sz="0" w:space="0" w:color="auto"/>
                        <w:bottom w:val="none" w:sz="0" w:space="0" w:color="auto"/>
                        <w:right w:val="none" w:sz="0" w:space="0" w:color="auto"/>
                      </w:divBdr>
                    </w:div>
                  </w:divsChild>
                </w:div>
                <w:div w:id="1059937263">
                  <w:marLeft w:val="0"/>
                  <w:marRight w:val="0"/>
                  <w:marTop w:val="0"/>
                  <w:marBottom w:val="0"/>
                  <w:divBdr>
                    <w:top w:val="none" w:sz="0" w:space="0" w:color="auto"/>
                    <w:left w:val="none" w:sz="0" w:space="0" w:color="auto"/>
                    <w:bottom w:val="none" w:sz="0" w:space="0" w:color="auto"/>
                    <w:right w:val="none" w:sz="0" w:space="0" w:color="auto"/>
                  </w:divBdr>
                  <w:divsChild>
                    <w:div w:id="1188910861">
                      <w:marLeft w:val="0"/>
                      <w:marRight w:val="0"/>
                      <w:marTop w:val="0"/>
                      <w:marBottom w:val="0"/>
                      <w:divBdr>
                        <w:top w:val="none" w:sz="0" w:space="0" w:color="auto"/>
                        <w:left w:val="none" w:sz="0" w:space="0" w:color="auto"/>
                        <w:bottom w:val="none" w:sz="0" w:space="0" w:color="auto"/>
                        <w:right w:val="none" w:sz="0" w:space="0" w:color="auto"/>
                      </w:divBdr>
                    </w:div>
                  </w:divsChild>
                </w:div>
                <w:div w:id="1082068816">
                  <w:marLeft w:val="0"/>
                  <w:marRight w:val="0"/>
                  <w:marTop w:val="0"/>
                  <w:marBottom w:val="0"/>
                  <w:divBdr>
                    <w:top w:val="none" w:sz="0" w:space="0" w:color="auto"/>
                    <w:left w:val="none" w:sz="0" w:space="0" w:color="auto"/>
                    <w:bottom w:val="none" w:sz="0" w:space="0" w:color="auto"/>
                    <w:right w:val="none" w:sz="0" w:space="0" w:color="auto"/>
                  </w:divBdr>
                  <w:divsChild>
                    <w:div w:id="931620165">
                      <w:marLeft w:val="0"/>
                      <w:marRight w:val="0"/>
                      <w:marTop w:val="0"/>
                      <w:marBottom w:val="0"/>
                      <w:divBdr>
                        <w:top w:val="none" w:sz="0" w:space="0" w:color="auto"/>
                        <w:left w:val="none" w:sz="0" w:space="0" w:color="auto"/>
                        <w:bottom w:val="none" w:sz="0" w:space="0" w:color="auto"/>
                        <w:right w:val="none" w:sz="0" w:space="0" w:color="auto"/>
                      </w:divBdr>
                    </w:div>
                  </w:divsChild>
                </w:div>
                <w:div w:id="1158612832">
                  <w:marLeft w:val="0"/>
                  <w:marRight w:val="0"/>
                  <w:marTop w:val="0"/>
                  <w:marBottom w:val="0"/>
                  <w:divBdr>
                    <w:top w:val="none" w:sz="0" w:space="0" w:color="auto"/>
                    <w:left w:val="none" w:sz="0" w:space="0" w:color="auto"/>
                    <w:bottom w:val="none" w:sz="0" w:space="0" w:color="auto"/>
                    <w:right w:val="none" w:sz="0" w:space="0" w:color="auto"/>
                  </w:divBdr>
                  <w:divsChild>
                    <w:div w:id="2085880280">
                      <w:marLeft w:val="0"/>
                      <w:marRight w:val="0"/>
                      <w:marTop w:val="0"/>
                      <w:marBottom w:val="0"/>
                      <w:divBdr>
                        <w:top w:val="none" w:sz="0" w:space="0" w:color="auto"/>
                        <w:left w:val="none" w:sz="0" w:space="0" w:color="auto"/>
                        <w:bottom w:val="none" w:sz="0" w:space="0" w:color="auto"/>
                        <w:right w:val="none" w:sz="0" w:space="0" w:color="auto"/>
                      </w:divBdr>
                    </w:div>
                  </w:divsChild>
                </w:div>
                <w:div w:id="1197504492">
                  <w:marLeft w:val="0"/>
                  <w:marRight w:val="0"/>
                  <w:marTop w:val="0"/>
                  <w:marBottom w:val="0"/>
                  <w:divBdr>
                    <w:top w:val="none" w:sz="0" w:space="0" w:color="auto"/>
                    <w:left w:val="none" w:sz="0" w:space="0" w:color="auto"/>
                    <w:bottom w:val="none" w:sz="0" w:space="0" w:color="auto"/>
                    <w:right w:val="none" w:sz="0" w:space="0" w:color="auto"/>
                  </w:divBdr>
                  <w:divsChild>
                    <w:div w:id="1797721838">
                      <w:marLeft w:val="0"/>
                      <w:marRight w:val="0"/>
                      <w:marTop w:val="0"/>
                      <w:marBottom w:val="0"/>
                      <w:divBdr>
                        <w:top w:val="none" w:sz="0" w:space="0" w:color="auto"/>
                        <w:left w:val="none" w:sz="0" w:space="0" w:color="auto"/>
                        <w:bottom w:val="none" w:sz="0" w:space="0" w:color="auto"/>
                        <w:right w:val="none" w:sz="0" w:space="0" w:color="auto"/>
                      </w:divBdr>
                    </w:div>
                  </w:divsChild>
                </w:div>
                <w:div w:id="1272204603">
                  <w:marLeft w:val="0"/>
                  <w:marRight w:val="0"/>
                  <w:marTop w:val="0"/>
                  <w:marBottom w:val="0"/>
                  <w:divBdr>
                    <w:top w:val="none" w:sz="0" w:space="0" w:color="auto"/>
                    <w:left w:val="none" w:sz="0" w:space="0" w:color="auto"/>
                    <w:bottom w:val="none" w:sz="0" w:space="0" w:color="auto"/>
                    <w:right w:val="none" w:sz="0" w:space="0" w:color="auto"/>
                  </w:divBdr>
                  <w:divsChild>
                    <w:div w:id="908468315">
                      <w:marLeft w:val="0"/>
                      <w:marRight w:val="0"/>
                      <w:marTop w:val="0"/>
                      <w:marBottom w:val="0"/>
                      <w:divBdr>
                        <w:top w:val="none" w:sz="0" w:space="0" w:color="auto"/>
                        <w:left w:val="none" w:sz="0" w:space="0" w:color="auto"/>
                        <w:bottom w:val="none" w:sz="0" w:space="0" w:color="auto"/>
                        <w:right w:val="none" w:sz="0" w:space="0" w:color="auto"/>
                      </w:divBdr>
                    </w:div>
                  </w:divsChild>
                </w:div>
                <w:div w:id="1302734330">
                  <w:marLeft w:val="0"/>
                  <w:marRight w:val="0"/>
                  <w:marTop w:val="0"/>
                  <w:marBottom w:val="0"/>
                  <w:divBdr>
                    <w:top w:val="none" w:sz="0" w:space="0" w:color="auto"/>
                    <w:left w:val="none" w:sz="0" w:space="0" w:color="auto"/>
                    <w:bottom w:val="none" w:sz="0" w:space="0" w:color="auto"/>
                    <w:right w:val="none" w:sz="0" w:space="0" w:color="auto"/>
                  </w:divBdr>
                  <w:divsChild>
                    <w:div w:id="435831481">
                      <w:marLeft w:val="0"/>
                      <w:marRight w:val="0"/>
                      <w:marTop w:val="0"/>
                      <w:marBottom w:val="0"/>
                      <w:divBdr>
                        <w:top w:val="none" w:sz="0" w:space="0" w:color="auto"/>
                        <w:left w:val="none" w:sz="0" w:space="0" w:color="auto"/>
                        <w:bottom w:val="none" w:sz="0" w:space="0" w:color="auto"/>
                        <w:right w:val="none" w:sz="0" w:space="0" w:color="auto"/>
                      </w:divBdr>
                    </w:div>
                  </w:divsChild>
                </w:div>
                <w:div w:id="1327980000">
                  <w:marLeft w:val="0"/>
                  <w:marRight w:val="0"/>
                  <w:marTop w:val="0"/>
                  <w:marBottom w:val="0"/>
                  <w:divBdr>
                    <w:top w:val="none" w:sz="0" w:space="0" w:color="auto"/>
                    <w:left w:val="none" w:sz="0" w:space="0" w:color="auto"/>
                    <w:bottom w:val="none" w:sz="0" w:space="0" w:color="auto"/>
                    <w:right w:val="none" w:sz="0" w:space="0" w:color="auto"/>
                  </w:divBdr>
                  <w:divsChild>
                    <w:div w:id="1627857207">
                      <w:marLeft w:val="0"/>
                      <w:marRight w:val="0"/>
                      <w:marTop w:val="0"/>
                      <w:marBottom w:val="0"/>
                      <w:divBdr>
                        <w:top w:val="none" w:sz="0" w:space="0" w:color="auto"/>
                        <w:left w:val="none" w:sz="0" w:space="0" w:color="auto"/>
                        <w:bottom w:val="none" w:sz="0" w:space="0" w:color="auto"/>
                        <w:right w:val="none" w:sz="0" w:space="0" w:color="auto"/>
                      </w:divBdr>
                    </w:div>
                  </w:divsChild>
                </w:div>
                <w:div w:id="1392466369">
                  <w:marLeft w:val="0"/>
                  <w:marRight w:val="0"/>
                  <w:marTop w:val="0"/>
                  <w:marBottom w:val="0"/>
                  <w:divBdr>
                    <w:top w:val="none" w:sz="0" w:space="0" w:color="auto"/>
                    <w:left w:val="none" w:sz="0" w:space="0" w:color="auto"/>
                    <w:bottom w:val="none" w:sz="0" w:space="0" w:color="auto"/>
                    <w:right w:val="none" w:sz="0" w:space="0" w:color="auto"/>
                  </w:divBdr>
                  <w:divsChild>
                    <w:div w:id="1084380451">
                      <w:marLeft w:val="0"/>
                      <w:marRight w:val="0"/>
                      <w:marTop w:val="0"/>
                      <w:marBottom w:val="0"/>
                      <w:divBdr>
                        <w:top w:val="none" w:sz="0" w:space="0" w:color="auto"/>
                        <w:left w:val="none" w:sz="0" w:space="0" w:color="auto"/>
                        <w:bottom w:val="none" w:sz="0" w:space="0" w:color="auto"/>
                        <w:right w:val="none" w:sz="0" w:space="0" w:color="auto"/>
                      </w:divBdr>
                    </w:div>
                  </w:divsChild>
                </w:div>
                <w:div w:id="1404329770">
                  <w:marLeft w:val="0"/>
                  <w:marRight w:val="0"/>
                  <w:marTop w:val="0"/>
                  <w:marBottom w:val="0"/>
                  <w:divBdr>
                    <w:top w:val="none" w:sz="0" w:space="0" w:color="auto"/>
                    <w:left w:val="none" w:sz="0" w:space="0" w:color="auto"/>
                    <w:bottom w:val="none" w:sz="0" w:space="0" w:color="auto"/>
                    <w:right w:val="none" w:sz="0" w:space="0" w:color="auto"/>
                  </w:divBdr>
                  <w:divsChild>
                    <w:div w:id="944386934">
                      <w:marLeft w:val="0"/>
                      <w:marRight w:val="0"/>
                      <w:marTop w:val="0"/>
                      <w:marBottom w:val="0"/>
                      <w:divBdr>
                        <w:top w:val="none" w:sz="0" w:space="0" w:color="auto"/>
                        <w:left w:val="none" w:sz="0" w:space="0" w:color="auto"/>
                        <w:bottom w:val="none" w:sz="0" w:space="0" w:color="auto"/>
                        <w:right w:val="none" w:sz="0" w:space="0" w:color="auto"/>
                      </w:divBdr>
                    </w:div>
                  </w:divsChild>
                </w:div>
                <w:div w:id="1618371145">
                  <w:marLeft w:val="0"/>
                  <w:marRight w:val="0"/>
                  <w:marTop w:val="0"/>
                  <w:marBottom w:val="0"/>
                  <w:divBdr>
                    <w:top w:val="none" w:sz="0" w:space="0" w:color="auto"/>
                    <w:left w:val="none" w:sz="0" w:space="0" w:color="auto"/>
                    <w:bottom w:val="none" w:sz="0" w:space="0" w:color="auto"/>
                    <w:right w:val="none" w:sz="0" w:space="0" w:color="auto"/>
                  </w:divBdr>
                  <w:divsChild>
                    <w:div w:id="1156452282">
                      <w:marLeft w:val="0"/>
                      <w:marRight w:val="0"/>
                      <w:marTop w:val="0"/>
                      <w:marBottom w:val="0"/>
                      <w:divBdr>
                        <w:top w:val="none" w:sz="0" w:space="0" w:color="auto"/>
                        <w:left w:val="none" w:sz="0" w:space="0" w:color="auto"/>
                        <w:bottom w:val="none" w:sz="0" w:space="0" w:color="auto"/>
                        <w:right w:val="none" w:sz="0" w:space="0" w:color="auto"/>
                      </w:divBdr>
                    </w:div>
                  </w:divsChild>
                </w:div>
                <w:div w:id="1695032050">
                  <w:marLeft w:val="0"/>
                  <w:marRight w:val="0"/>
                  <w:marTop w:val="0"/>
                  <w:marBottom w:val="0"/>
                  <w:divBdr>
                    <w:top w:val="none" w:sz="0" w:space="0" w:color="auto"/>
                    <w:left w:val="none" w:sz="0" w:space="0" w:color="auto"/>
                    <w:bottom w:val="none" w:sz="0" w:space="0" w:color="auto"/>
                    <w:right w:val="none" w:sz="0" w:space="0" w:color="auto"/>
                  </w:divBdr>
                  <w:divsChild>
                    <w:div w:id="1343819076">
                      <w:marLeft w:val="0"/>
                      <w:marRight w:val="0"/>
                      <w:marTop w:val="0"/>
                      <w:marBottom w:val="0"/>
                      <w:divBdr>
                        <w:top w:val="none" w:sz="0" w:space="0" w:color="auto"/>
                        <w:left w:val="none" w:sz="0" w:space="0" w:color="auto"/>
                        <w:bottom w:val="none" w:sz="0" w:space="0" w:color="auto"/>
                        <w:right w:val="none" w:sz="0" w:space="0" w:color="auto"/>
                      </w:divBdr>
                    </w:div>
                  </w:divsChild>
                </w:div>
                <w:div w:id="1705062662">
                  <w:marLeft w:val="0"/>
                  <w:marRight w:val="0"/>
                  <w:marTop w:val="0"/>
                  <w:marBottom w:val="0"/>
                  <w:divBdr>
                    <w:top w:val="none" w:sz="0" w:space="0" w:color="auto"/>
                    <w:left w:val="none" w:sz="0" w:space="0" w:color="auto"/>
                    <w:bottom w:val="none" w:sz="0" w:space="0" w:color="auto"/>
                    <w:right w:val="none" w:sz="0" w:space="0" w:color="auto"/>
                  </w:divBdr>
                  <w:divsChild>
                    <w:div w:id="215896706">
                      <w:marLeft w:val="0"/>
                      <w:marRight w:val="0"/>
                      <w:marTop w:val="0"/>
                      <w:marBottom w:val="0"/>
                      <w:divBdr>
                        <w:top w:val="none" w:sz="0" w:space="0" w:color="auto"/>
                        <w:left w:val="none" w:sz="0" w:space="0" w:color="auto"/>
                        <w:bottom w:val="none" w:sz="0" w:space="0" w:color="auto"/>
                        <w:right w:val="none" w:sz="0" w:space="0" w:color="auto"/>
                      </w:divBdr>
                    </w:div>
                  </w:divsChild>
                </w:div>
                <w:div w:id="1767966901">
                  <w:marLeft w:val="0"/>
                  <w:marRight w:val="0"/>
                  <w:marTop w:val="0"/>
                  <w:marBottom w:val="0"/>
                  <w:divBdr>
                    <w:top w:val="none" w:sz="0" w:space="0" w:color="auto"/>
                    <w:left w:val="none" w:sz="0" w:space="0" w:color="auto"/>
                    <w:bottom w:val="none" w:sz="0" w:space="0" w:color="auto"/>
                    <w:right w:val="none" w:sz="0" w:space="0" w:color="auto"/>
                  </w:divBdr>
                  <w:divsChild>
                    <w:div w:id="1003555817">
                      <w:marLeft w:val="0"/>
                      <w:marRight w:val="0"/>
                      <w:marTop w:val="0"/>
                      <w:marBottom w:val="0"/>
                      <w:divBdr>
                        <w:top w:val="none" w:sz="0" w:space="0" w:color="auto"/>
                        <w:left w:val="none" w:sz="0" w:space="0" w:color="auto"/>
                        <w:bottom w:val="none" w:sz="0" w:space="0" w:color="auto"/>
                        <w:right w:val="none" w:sz="0" w:space="0" w:color="auto"/>
                      </w:divBdr>
                    </w:div>
                  </w:divsChild>
                </w:div>
                <w:div w:id="1803764214">
                  <w:marLeft w:val="0"/>
                  <w:marRight w:val="0"/>
                  <w:marTop w:val="0"/>
                  <w:marBottom w:val="0"/>
                  <w:divBdr>
                    <w:top w:val="none" w:sz="0" w:space="0" w:color="auto"/>
                    <w:left w:val="none" w:sz="0" w:space="0" w:color="auto"/>
                    <w:bottom w:val="none" w:sz="0" w:space="0" w:color="auto"/>
                    <w:right w:val="none" w:sz="0" w:space="0" w:color="auto"/>
                  </w:divBdr>
                  <w:divsChild>
                    <w:div w:id="769813044">
                      <w:marLeft w:val="0"/>
                      <w:marRight w:val="0"/>
                      <w:marTop w:val="0"/>
                      <w:marBottom w:val="0"/>
                      <w:divBdr>
                        <w:top w:val="none" w:sz="0" w:space="0" w:color="auto"/>
                        <w:left w:val="none" w:sz="0" w:space="0" w:color="auto"/>
                        <w:bottom w:val="none" w:sz="0" w:space="0" w:color="auto"/>
                        <w:right w:val="none" w:sz="0" w:space="0" w:color="auto"/>
                      </w:divBdr>
                    </w:div>
                  </w:divsChild>
                </w:div>
                <w:div w:id="1844778924">
                  <w:marLeft w:val="0"/>
                  <w:marRight w:val="0"/>
                  <w:marTop w:val="0"/>
                  <w:marBottom w:val="0"/>
                  <w:divBdr>
                    <w:top w:val="none" w:sz="0" w:space="0" w:color="auto"/>
                    <w:left w:val="none" w:sz="0" w:space="0" w:color="auto"/>
                    <w:bottom w:val="none" w:sz="0" w:space="0" w:color="auto"/>
                    <w:right w:val="none" w:sz="0" w:space="0" w:color="auto"/>
                  </w:divBdr>
                  <w:divsChild>
                    <w:div w:id="1422218082">
                      <w:marLeft w:val="0"/>
                      <w:marRight w:val="0"/>
                      <w:marTop w:val="0"/>
                      <w:marBottom w:val="0"/>
                      <w:divBdr>
                        <w:top w:val="none" w:sz="0" w:space="0" w:color="auto"/>
                        <w:left w:val="none" w:sz="0" w:space="0" w:color="auto"/>
                        <w:bottom w:val="none" w:sz="0" w:space="0" w:color="auto"/>
                        <w:right w:val="none" w:sz="0" w:space="0" w:color="auto"/>
                      </w:divBdr>
                    </w:div>
                  </w:divsChild>
                </w:div>
                <w:div w:id="1960840500">
                  <w:marLeft w:val="0"/>
                  <w:marRight w:val="0"/>
                  <w:marTop w:val="0"/>
                  <w:marBottom w:val="0"/>
                  <w:divBdr>
                    <w:top w:val="none" w:sz="0" w:space="0" w:color="auto"/>
                    <w:left w:val="none" w:sz="0" w:space="0" w:color="auto"/>
                    <w:bottom w:val="none" w:sz="0" w:space="0" w:color="auto"/>
                    <w:right w:val="none" w:sz="0" w:space="0" w:color="auto"/>
                  </w:divBdr>
                  <w:divsChild>
                    <w:div w:id="819200447">
                      <w:marLeft w:val="0"/>
                      <w:marRight w:val="0"/>
                      <w:marTop w:val="0"/>
                      <w:marBottom w:val="0"/>
                      <w:divBdr>
                        <w:top w:val="none" w:sz="0" w:space="0" w:color="auto"/>
                        <w:left w:val="none" w:sz="0" w:space="0" w:color="auto"/>
                        <w:bottom w:val="none" w:sz="0" w:space="0" w:color="auto"/>
                        <w:right w:val="none" w:sz="0" w:space="0" w:color="auto"/>
                      </w:divBdr>
                    </w:div>
                  </w:divsChild>
                </w:div>
                <w:div w:id="2087650369">
                  <w:marLeft w:val="0"/>
                  <w:marRight w:val="0"/>
                  <w:marTop w:val="0"/>
                  <w:marBottom w:val="0"/>
                  <w:divBdr>
                    <w:top w:val="none" w:sz="0" w:space="0" w:color="auto"/>
                    <w:left w:val="none" w:sz="0" w:space="0" w:color="auto"/>
                    <w:bottom w:val="none" w:sz="0" w:space="0" w:color="auto"/>
                    <w:right w:val="none" w:sz="0" w:space="0" w:color="auto"/>
                  </w:divBdr>
                  <w:divsChild>
                    <w:div w:id="57346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1757">
          <w:marLeft w:val="0"/>
          <w:marRight w:val="0"/>
          <w:marTop w:val="0"/>
          <w:marBottom w:val="0"/>
          <w:divBdr>
            <w:top w:val="none" w:sz="0" w:space="0" w:color="auto"/>
            <w:left w:val="none" w:sz="0" w:space="0" w:color="auto"/>
            <w:bottom w:val="none" w:sz="0" w:space="0" w:color="auto"/>
            <w:right w:val="none" w:sz="0" w:space="0" w:color="auto"/>
          </w:divBdr>
        </w:div>
        <w:div w:id="1770806824">
          <w:marLeft w:val="0"/>
          <w:marRight w:val="0"/>
          <w:marTop w:val="0"/>
          <w:marBottom w:val="0"/>
          <w:divBdr>
            <w:top w:val="none" w:sz="0" w:space="0" w:color="auto"/>
            <w:left w:val="none" w:sz="0" w:space="0" w:color="auto"/>
            <w:bottom w:val="none" w:sz="0" w:space="0" w:color="auto"/>
            <w:right w:val="none" w:sz="0" w:space="0" w:color="auto"/>
          </w:divBdr>
        </w:div>
        <w:div w:id="1798598524">
          <w:marLeft w:val="0"/>
          <w:marRight w:val="0"/>
          <w:marTop w:val="0"/>
          <w:marBottom w:val="0"/>
          <w:divBdr>
            <w:top w:val="none" w:sz="0" w:space="0" w:color="auto"/>
            <w:left w:val="none" w:sz="0" w:space="0" w:color="auto"/>
            <w:bottom w:val="none" w:sz="0" w:space="0" w:color="auto"/>
            <w:right w:val="none" w:sz="0" w:space="0" w:color="auto"/>
          </w:divBdr>
        </w:div>
        <w:div w:id="1807548909">
          <w:marLeft w:val="0"/>
          <w:marRight w:val="0"/>
          <w:marTop w:val="0"/>
          <w:marBottom w:val="0"/>
          <w:divBdr>
            <w:top w:val="none" w:sz="0" w:space="0" w:color="auto"/>
            <w:left w:val="none" w:sz="0" w:space="0" w:color="auto"/>
            <w:bottom w:val="none" w:sz="0" w:space="0" w:color="auto"/>
            <w:right w:val="none" w:sz="0" w:space="0" w:color="auto"/>
          </w:divBdr>
        </w:div>
        <w:div w:id="1832914740">
          <w:marLeft w:val="0"/>
          <w:marRight w:val="0"/>
          <w:marTop w:val="0"/>
          <w:marBottom w:val="0"/>
          <w:divBdr>
            <w:top w:val="none" w:sz="0" w:space="0" w:color="auto"/>
            <w:left w:val="none" w:sz="0" w:space="0" w:color="auto"/>
            <w:bottom w:val="none" w:sz="0" w:space="0" w:color="auto"/>
            <w:right w:val="none" w:sz="0" w:space="0" w:color="auto"/>
          </w:divBdr>
          <w:divsChild>
            <w:div w:id="52506600">
              <w:marLeft w:val="0"/>
              <w:marRight w:val="0"/>
              <w:marTop w:val="0"/>
              <w:marBottom w:val="0"/>
              <w:divBdr>
                <w:top w:val="none" w:sz="0" w:space="0" w:color="auto"/>
                <w:left w:val="none" w:sz="0" w:space="0" w:color="auto"/>
                <w:bottom w:val="none" w:sz="0" w:space="0" w:color="auto"/>
                <w:right w:val="none" w:sz="0" w:space="0" w:color="auto"/>
              </w:divBdr>
            </w:div>
            <w:div w:id="113524283">
              <w:marLeft w:val="0"/>
              <w:marRight w:val="0"/>
              <w:marTop w:val="0"/>
              <w:marBottom w:val="0"/>
              <w:divBdr>
                <w:top w:val="none" w:sz="0" w:space="0" w:color="auto"/>
                <w:left w:val="none" w:sz="0" w:space="0" w:color="auto"/>
                <w:bottom w:val="none" w:sz="0" w:space="0" w:color="auto"/>
                <w:right w:val="none" w:sz="0" w:space="0" w:color="auto"/>
              </w:divBdr>
            </w:div>
            <w:div w:id="193009330">
              <w:marLeft w:val="0"/>
              <w:marRight w:val="0"/>
              <w:marTop w:val="0"/>
              <w:marBottom w:val="0"/>
              <w:divBdr>
                <w:top w:val="none" w:sz="0" w:space="0" w:color="auto"/>
                <w:left w:val="none" w:sz="0" w:space="0" w:color="auto"/>
                <w:bottom w:val="none" w:sz="0" w:space="0" w:color="auto"/>
                <w:right w:val="none" w:sz="0" w:space="0" w:color="auto"/>
              </w:divBdr>
            </w:div>
            <w:div w:id="329985855">
              <w:marLeft w:val="0"/>
              <w:marRight w:val="0"/>
              <w:marTop w:val="0"/>
              <w:marBottom w:val="0"/>
              <w:divBdr>
                <w:top w:val="none" w:sz="0" w:space="0" w:color="auto"/>
                <w:left w:val="none" w:sz="0" w:space="0" w:color="auto"/>
                <w:bottom w:val="none" w:sz="0" w:space="0" w:color="auto"/>
                <w:right w:val="none" w:sz="0" w:space="0" w:color="auto"/>
              </w:divBdr>
            </w:div>
            <w:div w:id="445000800">
              <w:marLeft w:val="0"/>
              <w:marRight w:val="0"/>
              <w:marTop w:val="0"/>
              <w:marBottom w:val="0"/>
              <w:divBdr>
                <w:top w:val="none" w:sz="0" w:space="0" w:color="auto"/>
                <w:left w:val="none" w:sz="0" w:space="0" w:color="auto"/>
                <w:bottom w:val="none" w:sz="0" w:space="0" w:color="auto"/>
                <w:right w:val="none" w:sz="0" w:space="0" w:color="auto"/>
              </w:divBdr>
            </w:div>
            <w:div w:id="587620494">
              <w:marLeft w:val="0"/>
              <w:marRight w:val="0"/>
              <w:marTop w:val="0"/>
              <w:marBottom w:val="0"/>
              <w:divBdr>
                <w:top w:val="none" w:sz="0" w:space="0" w:color="auto"/>
                <w:left w:val="none" w:sz="0" w:space="0" w:color="auto"/>
                <w:bottom w:val="none" w:sz="0" w:space="0" w:color="auto"/>
                <w:right w:val="none" w:sz="0" w:space="0" w:color="auto"/>
              </w:divBdr>
            </w:div>
            <w:div w:id="596409515">
              <w:marLeft w:val="0"/>
              <w:marRight w:val="0"/>
              <w:marTop w:val="0"/>
              <w:marBottom w:val="0"/>
              <w:divBdr>
                <w:top w:val="none" w:sz="0" w:space="0" w:color="auto"/>
                <w:left w:val="none" w:sz="0" w:space="0" w:color="auto"/>
                <w:bottom w:val="none" w:sz="0" w:space="0" w:color="auto"/>
                <w:right w:val="none" w:sz="0" w:space="0" w:color="auto"/>
              </w:divBdr>
            </w:div>
            <w:div w:id="631983598">
              <w:marLeft w:val="0"/>
              <w:marRight w:val="0"/>
              <w:marTop w:val="0"/>
              <w:marBottom w:val="0"/>
              <w:divBdr>
                <w:top w:val="none" w:sz="0" w:space="0" w:color="auto"/>
                <w:left w:val="none" w:sz="0" w:space="0" w:color="auto"/>
                <w:bottom w:val="none" w:sz="0" w:space="0" w:color="auto"/>
                <w:right w:val="none" w:sz="0" w:space="0" w:color="auto"/>
              </w:divBdr>
            </w:div>
            <w:div w:id="668366801">
              <w:marLeft w:val="0"/>
              <w:marRight w:val="0"/>
              <w:marTop w:val="0"/>
              <w:marBottom w:val="0"/>
              <w:divBdr>
                <w:top w:val="none" w:sz="0" w:space="0" w:color="auto"/>
                <w:left w:val="none" w:sz="0" w:space="0" w:color="auto"/>
                <w:bottom w:val="none" w:sz="0" w:space="0" w:color="auto"/>
                <w:right w:val="none" w:sz="0" w:space="0" w:color="auto"/>
              </w:divBdr>
            </w:div>
            <w:div w:id="869147743">
              <w:marLeft w:val="0"/>
              <w:marRight w:val="0"/>
              <w:marTop w:val="0"/>
              <w:marBottom w:val="0"/>
              <w:divBdr>
                <w:top w:val="none" w:sz="0" w:space="0" w:color="auto"/>
                <w:left w:val="none" w:sz="0" w:space="0" w:color="auto"/>
                <w:bottom w:val="none" w:sz="0" w:space="0" w:color="auto"/>
                <w:right w:val="none" w:sz="0" w:space="0" w:color="auto"/>
              </w:divBdr>
            </w:div>
            <w:div w:id="897516450">
              <w:marLeft w:val="0"/>
              <w:marRight w:val="0"/>
              <w:marTop w:val="0"/>
              <w:marBottom w:val="0"/>
              <w:divBdr>
                <w:top w:val="none" w:sz="0" w:space="0" w:color="auto"/>
                <w:left w:val="none" w:sz="0" w:space="0" w:color="auto"/>
                <w:bottom w:val="none" w:sz="0" w:space="0" w:color="auto"/>
                <w:right w:val="none" w:sz="0" w:space="0" w:color="auto"/>
              </w:divBdr>
            </w:div>
            <w:div w:id="967249101">
              <w:marLeft w:val="0"/>
              <w:marRight w:val="0"/>
              <w:marTop w:val="0"/>
              <w:marBottom w:val="0"/>
              <w:divBdr>
                <w:top w:val="none" w:sz="0" w:space="0" w:color="auto"/>
                <w:left w:val="none" w:sz="0" w:space="0" w:color="auto"/>
                <w:bottom w:val="none" w:sz="0" w:space="0" w:color="auto"/>
                <w:right w:val="none" w:sz="0" w:space="0" w:color="auto"/>
              </w:divBdr>
            </w:div>
            <w:div w:id="1175847739">
              <w:marLeft w:val="0"/>
              <w:marRight w:val="0"/>
              <w:marTop w:val="0"/>
              <w:marBottom w:val="0"/>
              <w:divBdr>
                <w:top w:val="none" w:sz="0" w:space="0" w:color="auto"/>
                <w:left w:val="none" w:sz="0" w:space="0" w:color="auto"/>
                <w:bottom w:val="none" w:sz="0" w:space="0" w:color="auto"/>
                <w:right w:val="none" w:sz="0" w:space="0" w:color="auto"/>
              </w:divBdr>
            </w:div>
            <w:div w:id="1209956619">
              <w:marLeft w:val="0"/>
              <w:marRight w:val="0"/>
              <w:marTop w:val="0"/>
              <w:marBottom w:val="0"/>
              <w:divBdr>
                <w:top w:val="none" w:sz="0" w:space="0" w:color="auto"/>
                <w:left w:val="none" w:sz="0" w:space="0" w:color="auto"/>
                <w:bottom w:val="none" w:sz="0" w:space="0" w:color="auto"/>
                <w:right w:val="none" w:sz="0" w:space="0" w:color="auto"/>
              </w:divBdr>
            </w:div>
            <w:div w:id="1266499059">
              <w:marLeft w:val="0"/>
              <w:marRight w:val="0"/>
              <w:marTop w:val="0"/>
              <w:marBottom w:val="0"/>
              <w:divBdr>
                <w:top w:val="none" w:sz="0" w:space="0" w:color="auto"/>
                <w:left w:val="none" w:sz="0" w:space="0" w:color="auto"/>
                <w:bottom w:val="none" w:sz="0" w:space="0" w:color="auto"/>
                <w:right w:val="none" w:sz="0" w:space="0" w:color="auto"/>
              </w:divBdr>
            </w:div>
            <w:div w:id="1404792633">
              <w:marLeft w:val="0"/>
              <w:marRight w:val="0"/>
              <w:marTop w:val="0"/>
              <w:marBottom w:val="0"/>
              <w:divBdr>
                <w:top w:val="none" w:sz="0" w:space="0" w:color="auto"/>
                <w:left w:val="none" w:sz="0" w:space="0" w:color="auto"/>
                <w:bottom w:val="none" w:sz="0" w:space="0" w:color="auto"/>
                <w:right w:val="none" w:sz="0" w:space="0" w:color="auto"/>
              </w:divBdr>
            </w:div>
            <w:div w:id="1591041527">
              <w:marLeft w:val="0"/>
              <w:marRight w:val="0"/>
              <w:marTop w:val="0"/>
              <w:marBottom w:val="0"/>
              <w:divBdr>
                <w:top w:val="none" w:sz="0" w:space="0" w:color="auto"/>
                <w:left w:val="none" w:sz="0" w:space="0" w:color="auto"/>
                <w:bottom w:val="none" w:sz="0" w:space="0" w:color="auto"/>
                <w:right w:val="none" w:sz="0" w:space="0" w:color="auto"/>
              </w:divBdr>
            </w:div>
            <w:div w:id="1631326951">
              <w:marLeft w:val="0"/>
              <w:marRight w:val="0"/>
              <w:marTop w:val="0"/>
              <w:marBottom w:val="0"/>
              <w:divBdr>
                <w:top w:val="none" w:sz="0" w:space="0" w:color="auto"/>
                <w:left w:val="none" w:sz="0" w:space="0" w:color="auto"/>
                <w:bottom w:val="none" w:sz="0" w:space="0" w:color="auto"/>
                <w:right w:val="none" w:sz="0" w:space="0" w:color="auto"/>
              </w:divBdr>
            </w:div>
            <w:div w:id="2051833019">
              <w:marLeft w:val="0"/>
              <w:marRight w:val="0"/>
              <w:marTop w:val="0"/>
              <w:marBottom w:val="0"/>
              <w:divBdr>
                <w:top w:val="none" w:sz="0" w:space="0" w:color="auto"/>
                <w:left w:val="none" w:sz="0" w:space="0" w:color="auto"/>
                <w:bottom w:val="none" w:sz="0" w:space="0" w:color="auto"/>
                <w:right w:val="none" w:sz="0" w:space="0" w:color="auto"/>
              </w:divBdr>
            </w:div>
            <w:div w:id="2119138889">
              <w:marLeft w:val="0"/>
              <w:marRight w:val="0"/>
              <w:marTop w:val="0"/>
              <w:marBottom w:val="0"/>
              <w:divBdr>
                <w:top w:val="none" w:sz="0" w:space="0" w:color="auto"/>
                <w:left w:val="none" w:sz="0" w:space="0" w:color="auto"/>
                <w:bottom w:val="none" w:sz="0" w:space="0" w:color="auto"/>
                <w:right w:val="none" w:sz="0" w:space="0" w:color="auto"/>
              </w:divBdr>
            </w:div>
          </w:divsChild>
        </w:div>
        <w:div w:id="1851066103">
          <w:marLeft w:val="0"/>
          <w:marRight w:val="0"/>
          <w:marTop w:val="0"/>
          <w:marBottom w:val="0"/>
          <w:divBdr>
            <w:top w:val="none" w:sz="0" w:space="0" w:color="auto"/>
            <w:left w:val="none" w:sz="0" w:space="0" w:color="auto"/>
            <w:bottom w:val="none" w:sz="0" w:space="0" w:color="auto"/>
            <w:right w:val="none" w:sz="0" w:space="0" w:color="auto"/>
          </w:divBdr>
        </w:div>
        <w:div w:id="1906720374">
          <w:marLeft w:val="0"/>
          <w:marRight w:val="0"/>
          <w:marTop w:val="0"/>
          <w:marBottom w:val="0"/>
          <w:divBdr>
            <w:top w:val="none" w:sz="0" w:space="0" w:color="auto"/>
            <w:left w:val="none" w:sz="0" w:space="0" w:color="auto"/>
            <w:bottom w:val="none" w:sz="0" w:space="0" w:color="auto"/>
            <w:right w:val="none" w:sz="0" w:space="0" w:color="auto"/>
          </w:divBdr>
        </w:div>
        <w:div w:id="1916167312">
          <w:marLeft w:val="0"/>
          <w:marRight w:val="0"/>
          <w:marTop w:val="0"/>
          <w:marBottom w:val="0"/>
          <w:divBdr>
            <w:top w:val="none" w:sz="0" w:space="0" w:color="auto"/>
            <w:left w:val="none" w:sz="0" w:space="0" w:color="auto"/>
            <w:bottom w:val="none" w:sz="0" w:space="0" w:color="auto"/>
            <w:right w:val="none" w:sz="0" w:space="0" w:color="auto"/>
          </w:divBdr>
        </w:div>
        <w:div w:id="1917399499">
          <w:marLeft w:val="0"/>
          <w:marRight w:val="0"/>
          <w:marTop w:val="0"/>
          <w:marBottom w:val="0"/>
          <w:divBdr>
            <w:top w:val="none" w:sz="0" w:space="0" w:color="auto"/>
            <w:left w:val="none" w:sz="0" w:space="0" w:color="auto"/>
            <w:bottom w:val="none" w:sz="0" w:space="0" w:color="auto"/>
            <w:right w:val="none" w:sz="0" w:space="0" w:color="auto"/>
          </w:divBdr>
        </w:div>
        <w:div w:id="1938757603">
          <w:marLeft w:val="0"/>
          <w:marRight w:val="0"/>
          <w:marTop w:val="0"/>
          <w:marBottom w:val="0"/>
          <w:divBdr>
            <w:top w:val="none" w:sz="0" w:space="0" w:color="auto"/>
            <w:left w:val="none" w:sz="0" w:space="0" w:color="auto"/>
            <w:bottom w:val="none" w:sz="0" w:space="0" w:color="auto"/>
            <w:right w:val="none" w:sz="0" w:space="0" w:color="auto"/>
          </w:divBdr>
        </w:div>
        <w:div w:id="1963657762">
          <w:marLeft w:val="0"/>
          <w:marRight w:val="0"/>
          <w:marTop w:val="0"/>
          <w:marBottom w:val="0"/>
          <w:divBdr>
            <w:top w:val="none" w:sz="0" w:space="0" w:color="auto"/>
            <w:left w:val="none" w:sz="0" w:space="0" w:color="auto"/>
            <w:bottom w:val="none" w:sz="0" w:space="0" w:color="auto"/>
            <w:right w:val="none" w:sz="0" w:space="0" w:color="auto"/>
          </w:divBdr>
        </w:div>
        <w:div w:id="1995793489">
          <w:marLeft w:val="0"/>
          <w:marRight w:val="0"/>
          <w:marTop w:val="0"/>
          <w:marBottom w:val="0"/>
          <w:divBdr>
            <w:top w:val="none" w:sz="0" w:space="0" w:color="auto"/>
            <w:left w:val="none" w:sz="0" w:space="0" w:color="auto"/>
            <w:bottom w:val="none" w:sz="0" w:space="0" w:color="auto"/>
            <w:right w:val="none" w:sz="0" w:space="0" w:color="auto"/>
          </w:divBdr>
        </w:div>
        <w:div w:id="2092582349">
          <w:marLeft w:val="0"/>
          <w:marRight w:val="0"/>
          <w:marTop w:val="0"/>
          <w:marBottom w:val="0"/>
          <w:divBdr>
            <w:top w:val="none" w:sz="0" w:space="0" w:color="auto"/>
            <w:left w:val="none" w:sz="0" w:space="0" w:color="auto"/>
            <w:bottom w:val="none" w:sz="0" w:space="0" w:color="auto"/>
            <w:right w:val="none" w:sz="0" w:space="0" w:color="auto"/>
          </w:divBdr>
        </w:div>
        <w:div w:id="2139301375">
          <w:marLeft w:val="0"/>
          <w:marRight w:val="0"/>
          <w:marTop w:val="0"/>
          <w:marBottom w:val="0"/>
          <w:divBdr>
            <w:top w:val="none" w:sz="0" w:space="0" w:color="auto"/>
            <w:left w:val="none" w:sz="0" w:space="0" w:color="auto"/>
            <w:bottom w:val="none" w:sz="0" w:space="0" w:color="auto"/>
            <w:right w:val="none" w:sz="0" w:space="0" w:color="auto"/>
          </w:divBdr>
        </w:div>
      </w:divsChild>
    </w:div>
    <w:div w:id="1648587824">
      <w:bodyDiv w:val="1"/>
      <w:marLeft w:val="0"/>
      <w:marRight w:val="0"/>
      <w:marTop w:val="0"/>
      <w:marBottom w:val="0"/>
      <w:divBdr>
        <w:top w:val="none" w:sz="0" w:space="0" w:color="auto"/>
        <w:left w:val="none" w:sz="0" w:space="0" w:color="auto"/>
        <w:bottom w:val="none" w:sz="0" w:space="0" w:color="auto"/>
        <w:right w:val="none" w:sz="0" w:space="0" w:color="auto"/>
      </w:divBdr>
      <w:divsChild>
        <w:div w:id="8679663">
          <w:marLeft w:val="0"/>
          <w:marRight w:val="0"/>
          <w:marTop w:val="0"/>
          <w:marBottom w:val="0"/>
          <w:divBdr>
            <w:top w:val="none" w:sz="0" w:space="0" w:color="auto"/>
            <w:left w:val="none" w:sz="0" w:space="0" w:color="auto"/>
            <w:bottom w:val="none" w:sz="0" w:space="0" w:color="auto"/>
            <w:right w:val="none" w:sz="0" w:space="0" w:color="auto"/>
          </w:divBdr>
          <w:divsChild>
            <w:div w:id="503320350">
              <w:marLeft w:val="0"/>
              <w:marRight w:val="0"/>
              <w:marTop w:val="0"/>
              <w:marBottom w:val="0"/>
              <w:divBdr>
                <w:top w:val="none" w:sz="0" w:space="0" w:color="auto"/>
                <w:left w:val="none" w:sz="0" w:space="0" w:color="auto"/>
                <w:bottom w:val="none" w:sz="0" w:space="0" w:color="auto"/>
                <w:right w:val="none" w:sz="0" w:space="0" w:color="auto"/>
              </w:divBdr>
            </w:div>
          </w:divsChild>
        </w:div>
        <w:div w:id="35281379">
          <w:marLeft w:val="0"/>
          <w:marRight w:val="0"/>
          <w:marTop w:val="0"/>
          <w:marBottom w:val="0"/>
          <w:divBdr>
            <w:top w:val="none" w:sz="0" w:space="0" w:color="auto"/>
            <w:left w:val="none" w:sz="0" w:space="0" w:color="auto"/>
            <w:bottom w:val="none" w:sz="0" w:space="0" w:color="auto"/>
            <w:right w:val="none" w:sz="0" w:space="0" w:color="auto"/>
          </w:divBdr>
          <w:divsChild>
            <w:div w:id="1568148054">
              <w:marLeft w:val="0"/>
              <w:marRight w:val="0"/>
              <w:marTop w:val="0"/>
              <w:marBottom w:val="0"/>
              <w:divBdr>
                <w:top w:val="none" w:sz="0" w:space="0" w:color="auto"/>
                <w:left w:val="none" w:sz="0" w:space="0" w:color="auto"/>
                <w:bottom w:val="none" w:sz="0" w:space="0" w:color="auto"/>
                <w:right w:val="none" w:sz="0" w:space="0" w:color="auto"/>
              </w:divBdr>
            </w:div>
          </w:divsChild>
        </w:div>
        <w:div w:id="172257767">
          <w:marLeft w:val="0"/>
          <w:marRight w:val="0"/>
          <w:marTop w:val="0"/>
          <w:marBottom w:val="0"/>
          <w:divBdr>
            <w:top w:val="none" w:sz="0" w:space="0" w:color="auto"/>
            <w:left w:val="none" w:sz="0" w:space="0" w:color="auto"/>
            <w:bottom w:val="none" w:sz="0" w:space="0" w:color="auto"/>
            <w:right w:val="none" w:sz="0" w:space="0" w:color="auto"/>
          </w:divBdr>
          <w:divsChild>
            <w:div w:id="871266192">
              <w:marLeft w:val="0"/>
              <w:marRight w:val="0"/>
              <w:marTop w:val="0"/>
              <w:marBottom w:val="0"/>
              <w:divBdr>
                <w:top w:val="none" w:sz="0" w:space="0" w:color="auto"/>
                <w:left w:val="none" w:sz="0" w:space="0" w:color="auto"/>
                <w:bottom w:val="none" w:sz="0" w:space="0" w:color="auto"/>
                <w:right w:val="none" w:sz="0" w:space="0" w:color="auto"/>
              </w:divBdr>
            </w:div>
          </w:divsChild>
        </w:div>
        <w:div w:id="290408089">
          <w:marLeft w:val="0"/>
          <w:marRight w:val="0"/>
          <w:marTop w:val="0"/>
          <w:marBottom w:val="0"/>
          <w:divBdr>
            <w:top w:val="none" w:sz="0" w:space="0" w:color="auto"/>
            <w:left w:val="none" w:sz="0" w:space="0" w:color="auto"/>
            <w:bottom w:val="none" w:sz="0" w:space="0" w:color="auto"/>
            <w:right w:val="none" w:sz="0" w:space="0" w:color="auto"/>
          </w:divBdr>
          <w:divsChild>
            <w:div w:id="319045229">
              <w:marLeft w:val="0"/>
              <w:marRight w:val="0"/>
              <w:marTop w:val="0"/>
              <w:marBottom w:val="0"/>
              <w:divBdr>
                <w:top w:val="none" w:sz="0" w:space="0" w:color="auto"/>
                <w:left w:val="none" w:sz="0" w:space="0" w:color="auto"/>
                <w:bottom w:val="none" w:sz="0" w:space="0" w:color="auto"/>
                <w:right w:val="none" w:sz="0" w:space="0" w:color="auto"/>
              </w:divBdr>
            </w:div>
            <w:div w:id="2059039789">
              <w:marLeft w:val="0"/>
              <w:marRight w:val="0"/>
              <w:marTop w:val="0"/>
              <w:marBottom w:val="0"/>
              <w:divBdr>
                <w:top w:val="none" w:sz="0" w:space="0" w:color="auto"/>
                <w:left w:val="none" w:sz="0" w:space="0" w:color="auto"/>
                <w:bottom w:val="none" w:sz="0" w:space="0" w:color="auto"/>
                <w:right w:val="none" w:sz="0" w:space="0" w:color="auto"/>
              </w:divBdr>
            </w:div>
          </w:divsChild>
        </w:div>
        <w:div w:id="341665105">
          <w:marLeft w:val="0"/>
          <w:marRight w:val="0"/>
          <w:marTop w:val="0"/>
          <w:marBottom w:val="0"/>
          <w:divBdr>
            <w:top w:val="none" w:sz="0" w:space="0" w:color="auto"/>
            <w:left w:val="none" w:sz="0" w:space="0" w:color="auto"/>
            <w:bottom w:val="none" w:sz="0" w:space="0" w:color="auto"/>
            <w:right w:val="none" w:sz="0" w:space="0" w:color="auto"/>
          </w:divBdr>
          <w:divsChild>
            <w:div w:id="692652166">
              <w:marLeft w:val="0"/>
              <w:marRight w:val="0"/>
              <w:marTop w:val="0"/>
              <w:marBottom w:val="0"/>
              <w:divBdr>
                <w:top w:val="none" w:sz="0" w:space="0" w:color="auto"/>
                <w:left w:val="none" w:sz="0" w:space="0" w:color="auto"/>
                <w:bottom w:val="none" w:sz="0" w:space="0" w:color="auto"/>
                <w:right w:val="none" w:sz="0" w:space="0" w:color="auto"/>
              </w:divBdr>
            </w:div>
          </w:divsChild>
        </w:div>
        <w:div w:id="366494832">
          <w:marLeft w:val="0"/>
          <w:marRight w:val="0"/>
          <w:marTop w:val="0"/>
          <w:marBottom w:val="0"/>
          <w:divBdr>
            <w:top w:val="none" w:sz="0" w:space="0" w:color="auto"/>
            <w:left w:val="none" w:sz="0" w:space="0" w:color="auto"/>
            <w:bottom w:val="none" w:sz="0" w:space="0" w:color="auto"/>
            <w:right w:val="none" w:sz="0" w:space="0" w:color="auto"/>
          </w:divBdr>
          <w:divsChild>
            <w:div w:id="1590234620">
              <w:marLeft w:val="0"/>
              <w:marRight w:val="0"/>
              <w:marTop w:val="0"/>
              <w:marBottom w:val="0"/>
              <w:divBdr>
                <w:top w:val="none" w:sz="0" w:space="0" w:color="auto"/>
                <w:left w:val="none" w:sz="0" w:space="0" w:color="auto"/>
                <w:bottom w:val="none" w:sz="0" w:space="0" w:color="auto"/>
                <w:right w:val="none" w:sz="0" w:space="0" w:color="auto"/>
              </w:divBdr>
            </w:div>
          </w:divsChild>
        </w:div>
        <w:div w:id="572469312">
          <w:marLeft w:val="0"/>
          <w:marRight w:val="0"/>
          <w:marTop w:val="0"/>
          <w:marBottom w:val="0"/>
          <w:divBdr>
            <w:top w:val="none" w:sz="0" w:space="0" w:color="auto"/>
            <w:left w:val="none" w:sz="0" w:space="0" w:color="auto"/>
            <w:bottom w:val="none" w:sz="0" w:space="0" w:color="auto"/>
            <w:right w:val="none" w:sz="0" w:space="0" w:color="auto"/>
          </w:divBdr>
          <w:divsChild>
            <w:div w:id="680400615">
              <w:marLeft w:val="0"/>
              <w:marRight w:val="0"/>
              <w:marTop w:val="0"/>
              <w:marBottom w:val="0"/>
              <w:divBdr>
                <w:top w:val="none" w:sz="0" w:space="0" w:color="auto"/>
                <w:left w:val="none" w:sz="0" w:space="0" w:color="auto"/>
                <w:bottom w:val="none" w:sz="0" w:space="0" w:color="auto"/>
                <w:right w:val="none" w:sz="0" w:space="0" w:color="auto"/>
              </w:divBdr>
            </w:div>
          </w:divsChild>
        </w:div>
        <w:div w:id="901018111">
          <w:marLeft w:val="0"/>
          <w:marRight w:val="0"/>
          <w:marTop w:val="0"/>
          <w:marBottom w:val="0"/>
          <w:divBdr>
            <w:top w:val="none" w:sz="0" w:space="0" w:color="auto"/>
            <w:left w:val="none" w:sz="0" w:space="0" w:color="auto"/>
            <w:bottom w:val="none" w:sz="0" w:space="0" w:color="auto"/>
            <w:right w:val="none" w:sz="0" w:space="0" w:color="auto"/>
          </w:divBdr>
          <w:divsChild>
            <w:div w:id="1752896585">
              <w:marLeft w:val="0"/>
              <w:marRight w:val="0"/>
              <w:marTop w:val="0"/>
              <w:marBottom w:val="0"/>
              <w:divBdr>
                <w:top w:val="none" w:sz="0" w:space="0" w:color="auto"/>
                <w:left w:val="none" w:sz="0" w:space="0" w:color="auto"/>
                <w:bottom w:val="none" w:sz="0" w:space="0" w:color="auto"/>
                <w:right w:val="none" w:sz="0" w:space="0" w:color="auto"/>
              </w:divBdr>
            </w:div>
          </w:divsChild>
        </w:div>
        <w:div w:id="942417023">
          <w:marLeft w:val="0"/>
          <w:marRight w:val="0"/>
          <w:marTop w:val="0"/>
          <w:marBottom w:val="0"/>
          <w:divBdr>
            <w:top w:val="none" w:sz="0" w:space="0" w:color="auto"/>
            <w:left w:val="none" w:sz="0" w:space="0" w:color="auto"/>
            <w:bottom w:val="none" w:sz="0" w:space="0" w:color="auto"/>
            <w:right w:val="none" w:sz="0" w:space="0" w:color="auto"/>
          </w:divBdr>
          <w:divsChild>
            <w:div w:id="2143568879">
              <w:marLeft w:val="0"/>
              <w:marRight w:val="0"/>
              <w:marTop w:val="0"/>
              <w:marBottom w:val="0"/>
              <w:divBdr>
                <w:top w:val="none" w:sz="0" w:space="0" w:color="auto"/>
                <w:left w:val="none" w:sz="0" w:space="0" w:color="auto"/>
                <w:bottom w:val="none" w:sz="0" w:space="0" w:color="auto"/>
                <w:right w:val="none" w:sz="0" w:space="0" w:color="auto"/>
              </w:divBdr>
            </w:div>
          </w:divsChild>
        </w:div>
        <w:div w:id="954412315">
          <w:marLeft w:val="0"/>
          <w:marRight w:val="0"/>
          <w:marTop w:val="0"/>
          <w:marBottom w:val="0"/>
          <w:divBdr>
            <w:top w:val="none" w:sz="0" w:space="0" w:color="auto"/>
            <w:left w:val="none" w:sz="0" w:space="0" w:color="auto"/>
            <w:bottom w:val="none" w:sz="0" w:space="0" w:color="auto"/>
            <w:right w:val="none" w:sz="0" w:space="0" w:color="auto"/>
          </w:divBdr>
          <w:divsChild>
            <w:div w:id="445807292">
              <w:marLeft w:val="0"/>
              <w:marRight w:val="0"/>
              <w:marTop w:val="0"/>
              <w:marBottom w:val="0"/>
              <w:divBdr>
                <w:top w:val="none" w:sz="0" w:space="0" w:color="auto"/>
                <w:left w:val="none" w:sz="0" w:space="0" w:color="auto"/>
                <w:bottom w:val="none" w:sz="0" w:space="0" w:color="auto"/>
                <w:right w:val="none" w:sz="0" w:space="0" w:color="auto"/>
              </w:divBdr>
            </w:div>
          </w:divsChild>
        </w:div>
        <w:div w:id="981731942">
          <w:marLeft w:val="0"/>
          <w:marRight w:val="0"/>
          <w:marTop w:val="0"/>
          <w:marBottom w:val="0"/>
          <w:divBdr>
            <w:top w:val="none" w:sz="0" w:space="0" w:color="auto"/>
            <w:left w:val="none" w:sz="0" w:space="0" w:color="auto"/>
            <w:bottom w:val="none" w:sz="0" w:space="0" w:color="auto"/>
            <w:right w:val="none" w:sz="0" w:space="0" w:color="auto"/>
          </w:divBdr>
          <w:divsChild>
            <w:div w:id="1290355348">
              <w:marLeft w:val="0"/>
              <w:marRight w:val="0"/>
              <w:marTop w:val="0"/>
              <w:marBottom w:val="0"/>
              <w:divBdr>
                <w:top w:val="none" w:sz="0" w:space="0" w:color="auto"/>
                <w:left w:val="none" w:sz="0" w:space="0" w:color="auto"/>
                <w:bottom w:val="none" w:sz="0" w:space="0" w:color="auto"/>
                <w:right w:val="none" w:sz="0" w:space="0" w:color="auto"/>
              </w:divBdr>
            </w:div>
          </w:divsChild>
        </w:div>
        <w:div w:id="982152803">
          <w:marLeft w:val="0"/>
          <w:marRight w:val="0"/>
          <w:marTop w:val="0"/>
          <w:marBottom w:val="0"/>
          <w:divBdr>
            <w:top w:val="none" w:sz="0" w:space="0" w:color="auto"/>
            <w:left w:val="none" w:sz="0" w:space="0" w:color="auto"/>
            <w:bottom w:val="none" w:sz="0" w:space="0" w:color="auto"/>
            <w:right w:val="none" w:sz="0" w:space="0" w:color="auto"/>
          </w:divBdr>
          <w:divsChild>
            <w:div w:id="2140149736">
              <w:marLeft w:val="0"/>
              <w:marRight w:val="0"/>
              <w:marTop w:val="0"/>
              <w:marBottom w:val="0"/>
              <w:divBdr>
                <w:top w:val="none" w:sz="0" w:space="0" w:color="auto"/>
                <w:left w:val="none" w:sz="0" w:space="0" w:color="auto"/>
                <w:bottom w:val="none" w:sz="0" w:space="0" w:color="auto"/>
                <w:right w:val="none" w:sz="0" w:space="0" w:color="auto"/>
              </w:divBdr>
            </w:div>
          </w:divsChild>
        </w:div>
        <w:div w:id="1006055643">
          <w:marLeft w:val="0"/>
          <w:marRight w:val="0"/>
          <w:marTop w:val="0"/>
          <w:marBottom w:val="0"/>
          <w:divBdr>
            <w:top w:val="none" w:sz="0" w:space="0" w:color="auto"/>
            <w:left w:val="none" w:sz="0" w:space="0" w:color="auto"/>
            <w:bottom w:val="none" w:sz="0" w:space="0" w:color="auto"/>
            <w:right w:val="none" w:sz="0" w:space="0" w:color="auto"/>
          </w:divBdr>
          <w:divsChild>
            <w:div w:id="472598878">
              <w:marLeft w:val="0"/>
              <w:marRight w:val="0"/>
              <w:marTop w:val="0"/>
              <w:marBottom w:val="0"/>
              <w:divBdr>
                <w:top w:val="none" w:sz="0" w:space="0" w:color="auto"/>
                <w:left w:val="none" w:sz="0" w:space="0" w:color="auto"/>
                <w:bottom w:val="none" w:sz="0" w:space="0" w:color="auto"/>
                <w:right w:val="none" w:sz="0" w:space="0" w:color="auto"/>
              </w:divBdr>
            </w:div>
          </w:divsChild>
        </w:div>
        <w:div w:id="1091700113">
          <w:marLeft w:val="0"/>
          <w:marRight w:val="0"/>
          <w:marTop w:val="0"/>
          <w:marBottom w:val="0"/>
          <w:divBdr>
            <w:top w:val="none" w:sz="0" w:space="0" w:color="auto"/>
            <w:left w:val="none" w:sz="0" w:space="0" w:color="auto"/>
            <w:bottom w:val="none" w:sz="0" w:space="0" w:color="auto"/>
            <w:right w:val="none" w:sz="0" w:space="0" w:color="auto"/>
          </w:divBdr>
          <w:divsChild>
            <w:div w:id="951592070">
              <w:marLeft w:val="0"/>
              <w:marRight w:val="0"/>
              <w:marTop w:val="0"/>
              <w:marBottom w:val="0"/>
              <w:divBdr>
                <w:top w:val="none" w:sz="0" w:space="0" w:color="auto"/>
                <w:left w:val="none" w:sz="0" w:space="0" w:color="auto"/>
                <w:bottom w:val="none" w:sz="0" w:space="0" w:color="auto"/>
                <w:right w:val="none" w:sz="0" w:space="0" w:color="auto"/>
              </w:divBdr>
            </w:div>
          </w:divsChild>
        </w:div>
        <w:div w:id="1344742632">
          <w:marLeft w:val="0"/>
          <w:marRight w:val="0"/>
          <w:marTop w:val="0"/>
          <w:marBottom w:val="0"/>
          <w:divBdr>
            <w:top w:val="none" w:sz="0" w:space="0" w:color="auto"/>
            <w:left w:val="none" w:sz="0" w:space="0" w:color="auto"/>
            <w:bottom w:val="none" w:sz="0" w:space="0" w:color="auto"/>
            <w:right w:val="none" w:sz="0" w:space="0" w:color="auto"/>
          </w:divBdr>
          <w:divsChild>
            <w:div w:id="438186994">
              <w:marLeft w:val="0"/>
              <w:marRight w:val="0"/>
              <w:marTop w:val="0"/>
              <w:marBottom w:val="0"/>
              <w:divBdr>
                <w:top w:val="none" w:sz="0" w:space="0" w:color="auto"/>
                <w:left w:val="none" w:sz="0" w:space="0" w:color="auto"/>
                <w:bottom w:val="none" w:sz="0" w:space="0" w:color="auto"/>
                <w:right w:val="none" w:sz="0" w:space="0" w:color="auto"/>
              </w:divBdr>
            </w:div>
          </w:divsChild>
        </w:div>
        <w:div w:id="1415316244">
          <w:marLeft w:val="0"/>
          <w:marRight w:val="0"/>
          <w:marTop w:val="0"/>
          <w:marBottom w:val="0"/>
          <w:divBdr>
            <w:top w:val="none" w:sz="0" w:space="0" w:color="auto"/>
            <w:left w:val="none" w:sz="0" w:space="0" w:color="auto"/>
            <w:bottom w:val="none" w:sz="0" w:space="0" w:color="auto"/>
            <w:right w:val="none" w:sz="0" w:space="0" w:color="auto"/>
          </w:divBdr>
          <w:divsChild>
            <w:div w:id="1051004761">
              <w:marLeft w:val="0"/>
              <w:marRight w:val="0"/>
              <w:marTop w:val="0"/>
              <w:marBottom w:val="0"/>
              <w:divBdr>
                <w:top w:val="none" w:sz="0" w:space="0" w:color="auto"/>
                <w:left w:val="none" w:sz="0" w:space="0" w:color="auto"/>
                <w:bottom w:val="none" w:sz="0" w:space="0" w:color="auto"/>
                <w:right w:val="none" w:sz="0" w:space="0" w:color="auto"/>
              </w:divBdr>
            </w:div>
          </w:divsChild>
        </w:div>
        <w:div w:id="1450199602">
          <w:marLeft w:val="0"/>
          <w:marRight w:val="0"/>
          <w:marTop w:val="0"/>
          <w:marBottom w:val="0"/>
          <w:divBdr>
            <w:top w:val="none" w:sz="0" w:space="0" w:color="auto"/>
            <w:left w:val="none" w:sz="0" w:space="0" w:color="auto"/>
            <w:bottom w:val="none" w:sz="0" w:space="0" w:color="auto"/>
            <w:right w:val="none" w:sz="0" w:space="0" w:color="auto"/>
          </w:divBdr>
          <w:divsChild>
            <w:div w:id="112359428">
              <w:marLeft w:val="0"/>
              <w:marRight w:val="0"/>
              <w:marTop w:val="0"/>
              <w:marBottom w:val="0"/>
              <w:divBdr>
                <w:top w:val="none" w:sz="0" w:space="0" w:color="auto"/>
                <w:left w:val="none" w:sz="0" w:space="0" w:color="auto"/>
                <w:bottom w:val="none" w:sz="0" w:space="0" w:color="auto"/>
                <w:right w:val="none" w:sz="0" w:space="0" w:color="auto"/>
              </w:divBdr>
            </w:div>
          </w:divsChild>
        </w:div>
        <w:div w:id="1515724990">
          <w:marLeft w:val="0"/>
          <w:marRight w:val="0"/>
          <w:marTop w:val="0"/>
          <w:marBottom w:val="0"/>
          <w:divBdr>
            <w:top w:val="none" w:sz="0" w:space="0" w:color="auto"/>
            <w:left w:val="none" w:sz="0" w:space="0" w:color="auto"/>
            <w:bottom w:val="none" w:sz="0" w:space="0" w:color="auto"/>
            <w:right w:val="none" w:sz="0" w:space="0" w:color="auto"/>
          </w:divBdr>
          <w:divsChild>
            <w:div w:id="1779369163">
              <w:marLeft w:val="0"/>
              <w:marRight w:val="0"/>
              <w:marTop w:val="0"/>
              <w:marBottom w:val="0"/>
              <w:divBdr>
                <w:top w:val="none" w:sz="0" w:space="0" w:color="auto"/>
                <w:left w:val="none" w:sz="0" w:space="0" w:color="auto"/>
                <w:bottom w:val="none" w:sz="0" w:space="0" w:color="auto"/>
                <w:right w:val="none" w:sz="0" w:space="0" w:color="auto"/>
              </w:divBdr>
            </w:div>
          </w:divsChild>
        </w:div>
        <w:div w:id="1520969163">
          <w:marLeft w:val="0"/>
          <w:marRight w:val="0"/>
          <w:marTop w:val="0"/>
          <w:marBottom w:val="0"/>
          <w:divBdr>
            <w:top w:val="none" w:sz="0" w:space="0" w:color="auto"/>
            <w:left w:val="none" w:sz="0" w:space="0" w:color="auto"/>
            <w:bottom w:val="none" w:sz="0" w:space="0" w:color="auto"/>
            <w:right w:val="none" w:sz="0" w:space="0" w:color="auto"/>
          </w:divBdr>
          <w:divsChild>
            <w:div w:id="602693714">
              <w:marLeft w:val="0"/>
              <w:marRight w:val="0"/>
              <w:marTop w:val="0"/>
              <w:marBottom w:val="0"/>
              <w:divBdr>
                <w:top w:val="none" w:sz="0" w:space="0" w:color="auto"/>
                <w:left w:val="none" w:sz="0" w:space="0" w:color="auto"/>
                <w:bottom w:val="none" w:sz="0" w:space="0" w:color="auto"/>
                <w:right w:val="none" w:sz="0" w:space="0" w:color="auto"/>
              </w:divBdr>
            </w:div>
          </w:divsChild>
        </w:div>
        <w:div w:id="1572932749">
          <w:marLeft w:val="0"/>
          <w:marRight w:val="0"/>
          <w:marTop w:val="0"/>
          <w:marBottom w:val="0"/>
          <w:divBdr>
            <w:top w:val="none" w:sz="0" w:space="0" w:color="auto"/>
            <w:left w:val="none" w:sz="0" w:space="0" w:color="auto"/>
            <w:bottom w:val="none" w:sz="0" w:space="0" w:color="auto"/>
            <w:right w:val="none" w:sz="0" w:space="0" w:color="auto"/>
          </w:divBdr>
          <w:divsChild>
            <w:div w:id="1744330160">
              <w:marLeft w:val="0"/>
              <w:marRight w:val="0"/>
              <w:marTop w:val="0"/>
              <w:marBottom w:val="0"/>
              <w:divBdr>
                <w:top w:val="none" w:sz="0" w:space="0" w:color="auto"/>
                <w:left w:val="none" w:sz="0" w:space="0" w:color="auto"/>
                <w:bottom w:val="none" w:sz="0" w:space="0" w:color="auto"/>
                <w:right w:val="none" w:sz="0" w:space="0" w:color="auto"/>
              </w:divBdr>
            </w:div>
          </w:divsChild>
        </w:div>
        <w:div w:id="1797062663">
          <w:marLeft w:val="0"/>
          <w:marRight w:val="0"/>
          <w:marTop w:val="0"/>
          <w:marBottom w:val="0"/>
          <w:divBdr>
            <w:top w:val="none" w:sz="0" w:space="0" w:color="auto"/>
            <w:left w:val="none" w:sz="0" w:space="0" w:color="auto"/>
            <w:bottom w:val="none" w:sz="0" w:space="0" w:color="auto"/>
            <w:right w:val="none" w:sz="0" w:space="0" w:color="auto"/>
          </w:divBdr>
          <w:divsChild>
            <w:div w:id="1478036790">
              <w:marLeft w:val="0"/>
              <w:marRight w:val="0"/>
              <w:marTop w:val="0"/>
              <w:marBottom w:val="0"/>
              <w:divBdr>
                <w:top w:val="none" w:sz="0" w:space="0" w:color="auto"/>
                <w:left w:val="none" w:sz="0" w:space="0" w:color="auto"/>
                <w:bottom w:val="none" w:sz="0" w:space="0" w:color="auto"/>
                <w:right w:val="none" w:sz="0" w:space="0" w:color="auto"/>
              </w:divBdr>
            </w:div>
          </w:divsChild>
        </w:div>
        <w:div w:id="1870752780">
          <w:marLeft w:val="0"/>
          <w:marRight w:val="0"/>
          <w:marTop w:val="0"/>
          <w:marBottom w:val="0"/>
          <w:divBdr>
            <w:top w:val="none" w:sz="0" w:space="0" w:color="auto"/>
            <w:left w:val="none" w:sz="0" w:space="0" w:color="auto"/>
            <w:bottom w:val="none" w:sz="0" w:space="0" w:color="auto"/>
            <w:right w:val="none" w:sz="0" w:space="0" w:color="auto"/>
          </w:divBdr>
          <w:divsChild>
            <w:div w:id="1881933947">
              <w:marLeft w:val="0"/>
              <w:marRight w:val="0"/>
              <w:marTop w:val="0"/>
              <w:marBottom w:val="0"/>
              <w:divBdr>
                <w:top w:val="none" w:sz="0" w:space="0" w:color="auto"/>
                <w:left w:val="none" w:sz="0" w:space="0" w:color="auto"/>
                <w:bottom w:val="none" w:sz="0" w:space="0" w:color="auto"/>
                <w:right w:val="none" w:sz="0" w:space="0" w:color="auto"/>
              </w:divBdr>
            </w:div>
          </w:divsChild>
        </w:div>
        <w:div w:id="2113433331">
          <w:marLeft w:val="0"/>
          <w:marRight w:val="0"/>
          <w:marTop w:val="0"/>
          <w:marBottom w:val="0"/>
          <w:divBdr>
            <w:top w:val="none" w:sz="0" w:space="0" w:color="auto"/>
            <w:left w:val="none" w:sz="0" w:space="0" w:color="auto"/>
            <w:bottom w:val="none" w:sz="0" w:space="0" w:color="auto"/>
            <w:right w:val="none" w:sz="0" w:space="0" w:color="auto"/>
          </w:divBdr>
          <w:divsChild>
            <w:div w:id="1972786252">
              <w:marLeft w:val="0"/>
              <w:marRight w:val="0"/>
              <w:marTop w:val="0"/>
              <w:marBottom w:val="0"/>
              <w:divBdr>
                <w:top w:val="none" w:sz="0" w:space="0" w:color="auto"/>
                <w:left w:val="none" w:sz="0" w:space="0" w:color="auto"/>
                <w:bottom w:val="none" w:sz="0" w:space="0" w:color="auto"/>
                <w:right w:val="none" w:sz="0" w:space="0" w:color="auto"/>
              </w:divBdr>
            </w:div>
          </w:divsChild>
        </w:div>
        <w:div w:id="2127191041">
          <w:marLeft w:val="0"/>
          <w:marRight w:val="0"/>
          <w:marTop w:val="0"/>
          <w:marBottom w:val="0"/>
          <w:divBdr>
            <w:top w:val="none" w:sz="0" w:space="0" w:color="auto"/>
            <w:left w:val="none" w:sz="0" w:space="0" w:color="auto"/>
            <w:bottom w:val="none" w:sz="0" w:space="0" w:color="auto"/>
            <w:right w:val="none" w:sz="0" w:space="0" w:color="auto"/>
          </w:divBdr>
          <w:divsChild>
            <w:div w:id="525753687">
              <w:marLeft w:val="0"/>
              <w:marRight w:val="0"/>
              <w:marTop w:val="0"/>
              <w:marBottom w:val="0"/>
              <w:divBdr>
                <w:top w:val="none" w:sz="0" w:space="0" w:color="auto"/>
                <w:left w:val="none" w:sz="0" w:space="0" w:color="auto"/>
                <w:bottom w:val="none" w:sz="0" w:space="0" w:color="auto"/>
                <w:right w:val="none" w:sz="0" w:space="0" w:color="auto"/>
              </w:divBdr>
            </w:div>
            <w:div w:id="17464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1455">
      <w:bodyDiv w:val="1"/>
      <w:marLeft w:val="0"/>
      <w:marRight w:val="0"/>
      <w:marTop w:val="0"/>
      <w:marBottom w:val="0"/>
      <w:divBdr>
        <w:top w:val="none" w:sz="0" w:space="0" w:color="auto"/>
        <w:left w:val="none" w:sz="0" w:space="0" w:color="auto"/>
        <w:bottom w:val="none" w:sz="0" w:space="0" w:color="auto"/>
        <w:right w:val="none" w:sz="0" w:space="0" w:color="auto"/>
      </w:divBdr>
    </w:div>
    <w:div w:id="1671132303">
      <w:bodyDiv w:val="1"/>
      <w:marLeft w:val="0"/>
      <w:marRight w:val="0"/>
      <w:marTop w:val="0"/>
      <w:marBottom w:val="0"/>
      <w:divBdr>
        <w:top w:val="none" w:sz="0" w:space="0" w:color="auto"/>
        <w:left w:val="none" w:sz="0" w:space="0" w:color="auto"/>
        <w:bottom w:val="none" w:sz="0" w:space="0" w:color="auto"/>
        <w:right w:val="none" w:sz="0" w:space="0" w:color="auto"/>
      </w:divBdr>
      <w:divsChild>
        <w:div w:id="39869361">
          <w:marLeft w:val="0"/>
          <w:marRight w:val="0"/>
          <w:marTop w:val="0"/>
          <w:marBottom w:val="0"/>
          <w:divBdr>
            <w:top w:val="none" w:sz="0" w:space="0" w:color="auto"/>
            <w:left w:val="none" w:sz="0" w:space="0" w:color="auto"/>
            <w:bottom w:val="none" w:sz="0" w:space="0" w:color="auto"/>
            <w:right w:val="none" w:sz="0" w:space="0" w:color="auto"/>
          </w:divBdr>
        </w:div>
        <w:div w:id="137456613">
          <w:marLeft w:val="0"/>
          <w:marRight w:val="0"/>
          <w:marTop w:val="0"/>
          <w:marBottom w:val="0"/>
          <w:divBdr>
            <w:top w:val="none" w:sz="0" w:space="0" w:color="auto"/>
            <w:left w:val="none" w:sz="0" w:space="0" w:color="auto"/>
            <w:bottom w:val="none" w:sz="0" w:space="0" w:color="auto"/>
            <w:right w:val="none" w:sz="0" w:space="0" w:color="auto"/>
          </w:divBdr>
        </w:div>
        <w:div w:id="244610516">
          <w:marLeft w:val="0"/>
          <w:marRight w:val="0"/>
          <w:marTop w:val="0"/>
          <w:marBottom w:val="0"/>
          <w:divBdr>
            <w:top w:val="none" w:sz="0" w:space="0" w:color="auto"/>
            <w:left w:val="none" w:sz="0" w:space="0" w:color="auto"/>
            <w:bottom w:val="none" w:sz="0" w:space="0" w:color="auto"/>
            <w:right w:val="none" w:sz="0" w:space="0" w:color="auto"/>
          </w:divBdr>
        </w:div>
        <w:div w:id="454712074">
          <w:marLeft w:val="0"/>
          <w:marRight w:val="0"/>
          <w:marTop w:val="0"/>
          <w:marBottom w:val="0"/>
          <w:divBdr>
            <w:top w:val="none" w:sz="0" w:space="0" w:color="auto"/>
            <w:left w:val="none" w:sz="0" w:space="0" w:color="auto"/>
            <w:bottom w:val="none" w:sz="0" w:space="0" w:color="auto"/>
            <w:right w:val="none" w:sz="0" w:space="0" w:color="auto"/>
          </w:divBdr>
        </w:div>
        <w:div w:id="478421280">
          <w:marLeft w:val="0"/>
          <w:marRight w:val="0"/>
          <w:marTop w:val="0"/>
          <w:marBottom w:val="0"/>
          <w:divBdr>
            <w:top w:val="none" w:sz="0" w:space="0" w:color="auto"/>
            <w:left w:val="none" w:sz="0" w:space="0" w:color="auto"/>
            <w:bottom w:val="none" w:sz="0" w:space="0" w:color="auto"/>
            <w:right w:val="none" w:sz="0" w:space="0" w:color="auto"/>
          </w:divBdr>
        </w:div>
        <w:div w:id="502399314">
          <w:marLeft w:val="0"/>
          <w:marRight w:val="0"/>
          <w:marTop w:val="0"/>
          <w:marBottom w:val="0"/>
          <w:divBdr>
            <w:top w:val="none" w:sz="0" w:space="0" w:color="auto"/>
            <w:left w:val="none" w:sz="0" w:space="0" w:color="auto"/>
            <w:bottom w:val="none" w:sz="0" w:space="0" w:color="auto"/>
            <w:right w:val="none" w:sz="0" w:space="0" w:color="auto"/>
          </w:divBdr>
        </w:div>
        <w:div w:id="669723046">
          <w:marLeft w:val="0"/>
          <w:marRight w:val="0"/>
          <w:marTop w:val="0"/>
          <w:marBottom w:val="0"/>
          <w:divBdr>
            <w:top w:val="none" w:sz="0" w:space="0" w:color="auto"/>
            <w:left w:val="none" w:sz="0" w:space="0" w:color="auto"/>
            <w:bottom w:val="none" w:sz="0" w:space="0" w:color="auto"/>
            <w:right w:val="none" w:sz="0" w:space="0" w:color="auto"/>
          </w:divBdr>
        </w:div>
        <w:div w:id="670716964">
          <w:marLeft w:val="0"/>
          <w:marRight w:val="0"/>
          <w:marTop w:val="0"/>
          <w:marBottom w:val="0"/>
          <w:divBdr>
            <w:top w:val="none" w:sz="0" w:space="0" w:color="auto"/>
            <w:left w:val="none" w:sz="0" w:space="0" w:color="auto"/>
            <w:bottom w:val="none" w:sz="0" w:space="0" w:color="auto"/>
            <w:right w:val="none" w:sz="0" w:space="0" w:color="auto"/>
          </w:divBdr>
          <w:divsChild>
            <w:div w:id="221451853">
              <w:marLeft w:val="0"/>
              <w:marRight w:val="0"/>
              <w:marTop w:val="0"/>
              <w:marBottom w:val="0"/>
              <w:divBdr>
                <w:top w:val="none" w:sz="0" w:space="0" w:color="auto"/>
                <w:left w:val="none" w:sz="0" w:space="0" w:color="auto"/>
                <w:bottom w:val="none" w:sz="0" w:space="0" w:color="auto"/>
                <w:right w:val="none" w:sz="0" w:space="0" w:color="auto"/>
              </w:divBdr>
            </w:div>
            <w:div w:id="342586619">
              <w:marLeft w:val="0"/>
              <w:marRight w:val="0"/>
              <w:marTop w:val="0"/>
              <w:marBottom w:val="0"/>
              <w:divBdr>
                <w:top w:val="none" w:sz="0" w:space="0" w:color="auto"/>
                <w:left w:val="none" w:sz="0" w:space="0" w:color="auto"/>
                <w:bottom w:val="none" w:sz="0" w:space="0" w:color="auto"/>
                <w:right w:val="none" w:sz="0" w:space="0" w:color="auto"/>
              </w:divBdr>
            </w:div>
            <w:div w:id="349769197">
              <w:marLeft w:val="0"/>
              <w:marRight w:val="0"/>
              <w:marTop w:val="0"/>
              <w:marBottom w:val="0"/>
              <w:divBdr>
                <w:top w:val="none" w:sz="0" w:space="0" w:color="auto"/>
                <w:left w:val="none" w:sz="0" w:space="0" w:color="auto"/>
                <w:bottom w:val="none" w:sz="0" w:space="0" w:color="auto"/>
                <w:right w:val="none" w:sz="0" w:space="0" w:color="auto"/>
              </w:divBdr>
            </w:div>
            <w:div w:id="494537594">
              <w:marLeft w:val="0"/>
              <w:marRight w:val="0"/>
              <w:marTop w:val="0"/>
              <w:marBottom w:val="0"/>
              <w:divBdr>
                <w:top w:val="none" w:sz="0" w:space="0" w:color="auto"/>
                <w:left w:val="none" w:sz="0" w:space="0" w:color="auto"/>
                <w:bottom w:val="none" w:sz="0" w:space="0" w:color="auto"/>
                <w:right w:val="none" w:sz="0" w:space="0" w:color="auto"/>
              </w:divBdr>
            </w:div>
            <w:div w:id="580212798">
              <w:marLeft w:val="0"/>
              <w:marRight w:val="0"/>
              <w:marTop w:val="0"/>
              <w:marBottom w:val="0"/>
              <w:divBdr>
                <w:top w:val="none" w:sz="0" w:space="0" w:color="auto"/>
                <w:left w:val="none" w:sz="0" w:space="0" w:color="auto"/>
                <w:bottom w:val="none" w:sz="0" w:space="0" w:color="auto"/>
                <w:right w:val="none" w:sz="0" w:space="0" w:color="auto"/>
              </w:divBdr>
            </w:div>
            <w:div w:id="792556662">
              <w:marLeft w:val="0"/>
              <w:marRight w:val="0"/>
              <w:marTop w:val="0"/>
              <w:marBottom w:val="0"/>
              <w:divBdr>
                <w:top w:val="none" w:sz="0" w:space="0" w:color="auto"/>
                <w:left w:val="none" w:sz="0" w:space="0" w:color="auto"/>
                <w:bottom w:val="none" w:sz="0" w:space="0" w:color="auto"/>
                <w:right w:val="none" w:sz="0" w:space="0" w:color="auto"/>
              </w:divBdr>
            </w:div>
            <w:div w:id="836577598">
              <w:marLeft w:val="0"/>
              <w:marRight w:val="0"/>
              <w:marTop w:val="0"/>
              <w:marBottom w:val="0"/>
              <w:divBdr>
                <w:top w:val="none" w:sz="0" w:space="0" w:color="auto"/>
                <w:left w:val="none" w:sz="0" w:space="0" w:color="auto"/>
                <w:bottom w:val="none" w:sz="0" w:space="0" w:color="auto"/>
                <w:right w:val="none" w:sz="0" w:space="0" w:color="auto"/>
              </w:divBdr>
            </w:div>
            <w:div w:id="1080367593">
              <w:marLeft w:val="0"/>
              <w:marRight w:val="0"/>
              <w:marTop w:val="0"/>
              <w:marBottom w:val="0"/>
              <w:divBdr>
                <w:top w:val="none" w:sz="0" w:space="0" w:color="auto"/>
                <w:left w:val="none" w:sz="0" w:space="0" w:color="auto"/>
                <w:bottom w:val="none" w:sz="0" w:space="0" w:color="auto"/>
                <w:right w:val="none" w:sz="0" w:space="0" w:color="auto"/>
              </w:divBdr>
            </w:div>
            <w:div w:id="1155686627">
              <w:marLeft w:val="0"/>
              <w:marRight w:val="0"/>
              <w:marTop w:val="0"/>
              <w:marBottom w:val="0"/>
              <w:divBdr>
                <w:top w:val="none" w:sz="0" w:space="0" w:color="auto"/>
                <w:left w:val="none" w:sz="0" w:space="0" w:color="auto"/>
                <w:bottom w:val="none" w:sz="0" w:space="0" w:color="auto"/>
                <w:right w:val="none" w:sz="0" w:space="0" w:color="auto"/>
              </w:divBdr>
            </w:div>
            <w:div w:id="1213418316">
              <w:marLeft w:val="0"/>
              <w:marRight w:val="0"/>
              <w:marTop w:val="0"/>
              <w:marBottom w:val="0"/>
              <w:divBdr>
                <w:top w:val="none" w:sz="0" w:space="0" w:color="auto"/>
                <w:left w:val="none" w:sz="0" w:space="0" w:color="auto"/>
                <w:bottom w:val="none" w:sz="0" w:space="0" w:color="auto"/>
                <w:right w:val="none" w:sz="0" w:space="0" w:color="auto"/>
              </w:divBdr>
            </w:div>
            <w:div w:id="1250232713">
              <w:marLeft w:val="0"/>
              <w:marRight w:val="0"/>
              <w:marTop w:val="0"/>
              <w:marBottom w:val="0"/>
              <w:divBdr>
                <w:top w:val="none" w:sz="0" w:space="0" w:color="auto"/>
                <w:left w:val="none" w:sz="0" w:space="0" w:color="auto"/>
                <w:bottom w:val="none" w:sz="0" w:space="0" w:color="auto"/>
                <w:right w:val="none" w:sz="0" w:space="0" w:color="auto"/>
              </w:divBdr>
            </w:div>
            <w:div w:id="1291979130">
              <w:marLeft w:val="0"/>
              <w:marRight w:val="0"/>
              <w:marTop w:val="0"/>
              <w:marBottom w:val="0"/>
              <w:divBdr>
                <w:top w:val="none" w:sz="0" w:space="0" w:color="auto"/>
                <w:left w:val="none" w:sz="0" w:space="0" w:color="auto"/>
                <w:bottom w:val="none" w:sz="0" w:space="0" w:color="auto"/>
                <w:right w:val="none" w:sz="0" w:space="0" w:color="auto"/>
              </w:divBdr>
            </w:div>
            <w:div w:id="1354379328">
              <w:marLeft w:val="0"/>
              <w:marRight w:val="0"/>
              <w:marTop w:val="0"/>
              <w:marBottom w:val="0"/>
              <w:divBdr>
                <w:top w:val="none" w:sz="0" w:space="0" w:color="auto"/>
                <w:left w:val="none" w:sz="0" w:space="0" w:color="auto"/>
                <w:bottom w:val="none" w:sz="0" w:space="0" w:color="auto"/>
                <w:right w:val="none" w:sz="0" w:space="0" w:color="auto"/>
              </w:divBdr>
            </w:div>
            <w:div w:id="1391927593">
              <w:marLeft w:val="0"/>
              <w:marRight w:val="0"/>
              <w:marTop w:val="0"/>
              <w:marBottom w:val="0"/>
              <w:divBdr>
                <w:top w:val="none" w:sz="0" w:space="0" w:color="auto"/>
                <w:left w:val="none" w:sz="0" w:space="0" w:color="auto"/>
                <w:bottom w:val="none" w:sz="0" w:space="0" w:color="auto"/>
                <w:right w:val="none" w:sz="0" w:space="0" w:color="auto"/>
              </w:divBdr>
            </w:div>
            <w:div w:id="1691839147">
              <w:marLeft w:val="0"/>
              <w:marRight w:val="0"/>
              <w:marTop w:val="0"/>
              <w:marBottom w:val="0"/>
              <w:divBdr>
                <w:top w:val="none" w:sz="0" w:space="0" w:color="auto"/>
                <w:left w:val="none" w:sz="0" w:space="0" w:color="auto"/>
                <w:bottom w:val="none" w:sz="0" w:space="0" w:color="auto"/>
                <w:right w:val="none" w:sz="0" w:space="0" w:color="auto"/>
              </w:divBdr>
            </w:div>
            <w:div w:id="1722749735">
              <w:marLeft w:val="0"/>
              <w:marRight w:val="0"/>
              <w:marTop w:val="0"/>
              <w:marBottom w:val="0"/>
              <w:divBdr>
                <w:top w:val="none" w:sz="0" w:space="0" w:color="auto"/>
                <w:left w:val="none" w:sz="0" w:space="0" w:color="auto"/>
                <w:bottom w:val="none" w:sz="0" w:space="0" w:color="auto"/>
                <w:right w:val="none" w:sz="0" w:space="0" w:color="auto"/>
              </w:divBdr>
            </w:div>
            <w:div w:id="1801266376">
              <w:marLeft w:val="0"/>
              <w:marRight w:val="0"/>
              <w:marTop w:val="0"/>
              <w:marBottom w:val="0"/>
              <w:divBdr>
                <w:top w:val="none" w:sz="0" w:space="0" w:color="auto"/>
                <w:left w:val="none" w:sz="0" w:space="0" w:color="auto"/>
                <w:bottom w:val="none" w:sz="0" w:space="0" w:color="auto"/>
                <w:right w:val="none" w:sz="0" w:space="0" w:color="auto"/>
              </w:divBdr>
            </w:div>
            <w:div w:id="1892645301">
              <w:marLeft w:val="0"/>
              <w:marRight w:val="0"/>
              <w:marTop w:val="0"/>
              <w:marBottom w:val="0"/>
              <w:divBdr>
                <w:top w:val="none" w:sz="0" w:space="0" w:color="auto"/>
                <w:left w:val="none" w:sz="0" w:space="0" w:color="auto"/>
                <w:bottom w:val="none" w:sz="0" w:space="0" w:color="auto"/>
                <w:right w:val="none" w:sz="0" w:space="0" w:color="auto"/>
              </w:divBdr>
            </w:div>
            <w:div w:id="1933121035">
              <w:marLeft w:val="0"/>
              <w:marRight w:val="0"/>
              <w:marTop w:val="0"/>
              <w:marBottom w:val="0"/>
              <w:divBdr>
                <w:top w:val="none" w:sz="0" w:space="0" w:color="auto"/>
                <w:left w:val="none" w:sz="0" w:space="0" w:color="auto"/>
                <w:bottom w:val="none" w:sz="0" w:space="0" w:color="auto"/>
                <w:right w:val="none" w:sz="0" w:space="0" w:color="auto"/>
              </w:divBdr>
            </w:div>
            <w:div w:id="1981350085">
              <w:marLeft w:val="0"/>
              <w:marRight w:val="0"/>
              <w:marTop w:val="0"/>
              <w:marBottom w:val="0"/>
              <w:divBdr>
                <w:top w:val="none" w:sz="0" w:space="0" w:color="auto"/>
                <w:left w:val="none" w:sz="0" w:space="0" w:color="auto"/>
                <w:bottom w:val="none" w:sz="0" w:space="0" w:color="auto"/>
                <w:right w:val="none" w:sz="0" w:space="0" w:color="auto"/>
              </w:divBdr>
            </w:div>
          </w:divsChild>
        </w:div>
        <w:div w:id="724792880">
          <w:marLeft w:val="0"/>
          <w:marRight w:val="0"/>
          <w:marTop w:val="0"/>
          <w:marBottom w:val="0"/>
          <w:divBdr>
            <w:top w:val="none" w:sz="0" w:space="0" w:color="auto"/>
            <w:left w:val="none" w:sz="0" w:space="0" w:color="auto"/>
            <w:bottom w:val="none" w:sz="0" w:space="0" w:color="auto"/>
            <w:right w:val="none" w:sz="0" w:space="0" w:color="auto"/>
          </w:divBdr>
          <w:divsChild>
            <w:div w:id="440296790">
              <w:marLeft w:val="-75"/>
              <w:marRight w:val="0"/>
              <w:marTop w:val="30"/>
              <w:marBottom w:val="30"/>
              <w:divBdr>
                <w:top w:val="none" w:sz="0" w:space="0" w:color="auto"/>
                <w:left w:val="none" w:sz="0" w:space="0" w:color="auto"/>
                <w:bottom w:val="none" w:sz="0" w:space="0" w:color="auto"/>
                <w:right w:val="none" w:sz="0" w:space="0" w:color="auto"/>
              </w:divBdr>
              <w:divsChild>
                <w:div w:id="35544339">
                  <w:marLeft w:val="0"/>
                  <w:marRight w:val="0"/>
                  <w:marTop w:val="0"/>
                  <w:marBottom w:val="0"/>
                  <w:divBdr>
                    <w:top w:val="none" w:sz="0" w:space="0" w:color="auto"/>
                    <w:left w:val="none" w:sz="0" w:space="0" w:color="auto"/>
                    <w:bottom w:val="none" w:sz="0" w:space="0" w:color="auto"/>
                    <w:right w:val="none" w:sz="0" w:space="0" w:color="auto"/>
                  </w:divBdr>
                  <w:divsChild>
                    <w:div w:id="148139716">
                      <w:marLeft w:val="0"/>
                      <w:marRight w:val="0"/>
                      <w:marTop w:val="0"/>
                      <w:marBottom w:val="0"/>
                      <w:divBdr>
                        <w:top w:val="none" w:sz="0" w:space="0" w:color="auto"/>
                        <w:left w:val="none" w:sz="0" w:space="0" w:color="auto"/>
                        <w:bottom w:val="none" w:sz="0" w:space="0" w:color="auto"/>
                        <w:right w:val="none" w:sz="0" w:space="0" w:color="auto"/>
                      </w:divBdr>
                    </w:div>
                    <w:div w:id="1817649908">
                      <w:marLeft w:val="0"/>
                      <w:marRight w:val="0"/>
                      <w:marTop w:val="0"/>
                      <w:marBottom w:val="0"/>
                      <w:divBdr>
                        <w:top w:val="none" w:sz="0" w:space="0" w:color="auto"/>
                        <w:left w:val="none" w:sz="0" w:space="0" w:color="auto"/>
                        <w:bottom w:val="none" w:sz="0" w:space="0" w:color="auto"/>
                        <w:right w:val="none" w:sz="0" w:space="0" w:color="auto"/>
                      </w:divBdr>
                    </w:div>
                    <w:div w:id="1971133075">
                      <w:marLeft w:val="0"/>
                      <w:marRight w:val="0"/>
                      <w:marTop w:val="0"/>
                      <w:marBottom w:val="0"/>
                      <w:divBdr>
                        <w:top w:val="none" w:sz="0" w:space="0" w:color="auto"/>
                        <w:left w:val="none" w:sz="0" w:space="0" w:color="auto"/>
                        <w:bottom w:val="none" w:sz="0" w:space="0" w:color="auto"/>
                        <w:right w:val="none" w:sz="0" w:space="0" w:color="auto"/>
                      </w:divBdr>
                    </w:div>
                  </w:divsChild>
                </w:div>
                <w:div w:id="230122541">
                  <w:marLeft w:val="0"/>
                  <w:marRight w:val="0"/>
                  <w:marTop w:val="0"/>
                  <w:marBottom w:val="0"/>
                  <w:divBdr>
                    <w:top w:val="none" w:sz="0" w:space="0" w:color="auto"/>
                    <w:left w:val="none" w:sz="0" w:space="0" w:color="auto"/>
                    <w:bottom w:val="none" w:sz="0" w:space="0" w:color="auto"/>
                    <w:right w:val="none" w:sz="0" w:space="0" w:color="auto"/>
                  </w:divBdr>
                  <w:divsChild>
                    <w:div w:id="738552253">
                      <w:marLeft w:val="0"/>
                      <w:marRight w:val="0"/>
                      <w:marTop w:val="0"/>
                      <w:marBottom w:val="0"/>
                      <w:divBdr>
                        <w:top w:val="none" w:sz="0" w:space="0" w:color="auto"/>
                        <w:left w:val="none" w:sz="0" w:space="0" w:color="auto"/>
                        <w:bottom w:val="none" w:sz="0" w:space="0" w:color="auto"/>
                        <w:right w:val="none" w:sz="0" w:space="0" w:color="auto"/>
                      </w:divBdr>
                    </w:div>
                    <w:div w:id="1765228733">
                      <w:marLeft w:val="0"/>
                      <w:marRight w:val="0"/>
                      <w:marTop w:val="0"/>
                      <w:marBottom w:val="0"/>
                      <w:divBdr>
                        <w:top w:val="none" w:sz="0" w:space="0" w:color="auto"/>
                        <w:left w:val="none" w:sz="0" w:space="0" w:color="auto"/>
                        <w:bottom w:val="none" w:sz="0" w:space="0" w:color="auto"/>
                        <w:right w:val="none" w:sz="0" w:space="0" w:color="auto"/>
                      </w:divBdr>
                    </w:div>
                  </w:divsChild>
                </w:div>
                <w:div w:id="243614899">
                  <w:marLeft w:val="0"/>
                  <w:marRight w:val="0"/>
                  <w:marTop w:val="0"/>
                  <w:marBottom w:val="0"/>
                  <w:divBdr>
                    <w:top w:val="none" w:sz="0" w:space="0" w:color="auto"/>
                    <w:left w:val="none" w:sz="0" w:space="0" w:color="auto"/>
                    <w:bottom w:val="none" w:sz="0" w:space="0" w:color="auto"/>
                    <w:right w:val="none" w:sz="0" w:space="0" w:color="auto"/>
                  </w:divBdr>
                  <w:divsChild>
                    <w:div w:id="424813981">
                      <w:marLeft w:val="0"/>
                      <w:marRight w:val="0"/>
                      <w:marTop w:val="0"/>
                      <w:marBottom w:val="0"/>
                      <w:divBdr>
                        <w:top w:val="none" w:sz="0" w:space="0" w:color="auto"/>
                        <w:left w:val="none" w:sz="0" w:space="0" w:color="auto"/>
                        <w:bottom w:val="none" w:sz="0" w:space="0" w:color="auto"/>
                        <w:right w:val="none" w:sz="0" w:space="0" w:color="auto"/>
                      </w:divBdr>
                    </w:div>
                    <w:div w:id="486555007">
                      <w:marLeft w:val="0"/>
                      <w:marRight w:val="0"/>
                      <w:marTop w:val="0"/>
                      <w:marBottom w:val="0"/>
                      <w:divBdr>
                        <w:top w:val="none" w:sz="0" w:space="0" w:color="auto"/>
                        <w:left w:val="none" w:sz="0" w:space="0" w:color="auto"/>
                        <w:bottom w:val="none" w:sz="0" w:space="0" w:color="auto"/>
                        <w:right w:val="none" w:sz="0" w:space="0" w:color="auto"/>
                      </w:divBdr>
                    </w:div>
                    <w:div w:id="967321052">
                      <w:marLeft w:val="0"/>
                      <w:marRight w:val="0"/>
                      <w:marTop w:val="0"/>
                      <w:marBottom w:val="0"/>
                      <w:divBdr>
                        <w:top w:val="none" w:sz="0" w:space="0" w:color="auto"/>
                        <w:left w:val="none" w:sz="0" w:space="0" w:color="auto"/>
                        <w:bottom w:val="none" w:sz="0" w:space="0" w:color="auto"/>
                        <w:right w:val="none" w:sz="0" w:space="0" w:color="auto"/>
                      </w:divBdr>
                    </w:div>
                  </w:divsChild>
                </w:div>
                <w:div w:id="345912908">
                  <w:marLeft w:val="0"/>
                  <w:marRight w:val="0"/>
                  <w:marTop w:val="0"/>
                  <w:marBottom w:val="0"/>
                  <w:divBdr>
                    <w:top w:val="none" w:sz="0" w:space="0" w:color="auto"/>
                    <w:left w:val="none" w:sz="0" w:space="0" w:color="auto"/>
                    <w:bottom w:val="none" w:sz="0" w:space="0" w:color="auto"/>
                    <w:right w:val="none" w:sz="0" w:space="0" w:color="auto"/>
                  </w:divBdr>
                  <w:divsChild>
                    <w:div w:id="51927107">
                      <w:marLeft w:val="0"/>
                      <w:marRight w:val="0"/>
                      <w:marTop w:val="0"/>
                      <w:marBottom w:val="0"/>
                      <w:divBdr>
                        <w:top w:val="none" w:sz="0" w:space="0" w:color="auto"/>
                        <w:left w:val="none" w:sz="0" w:space="0" w:color="auto"/>
                        <w:bottom w:val="none" w:sz="0" w:space="0" w:color="auto"/>
                        <w:right w:val="none" w:sz="0" w:space="0" w:color="auto"/>
                      </w:divBdr>
                    </w:div>
                    <w:div w:id="186603208">
                      <w:marLeft w:val="0"/>
                      <w:marRight w:val="0"/>
                      <w:marTop w:val="0"/>
                      <w:marBottom w:val="0"/>
                      <w:divBdr>
                        <w:top w:val="none" w:sz="0" w:space="0" w:color="auto"/>
                        <w:left w:val="none" w:sz="0" w:space="0" w:color="auto"/>
                        <w:bottom w:val="none" w:sz="0" w:space="0" w:color="auto"/>
                        <w:right w:val="none" w:sz="0" w:space="0" w:color="auto"/>
                      </w:divBdr>
                    </w:div>
                    <w:div w:id="296759467">
                      <w:marLeft w:val="0"/>
                      <w:marRight w:val="0"/>
                      <w:marTop w:val="0"/>
                      <w:marBottom w:val="0"/>
                      <w:divBdr>
                        <w:top w:val="none" w:sz="0" w:space="0" w:color="auto"/>
                        <w:left w:val="none" w:sz="0" w:space="0" w:color="auto"/>
                        <w:bottom w:val="none" w:sz="0" w:space="0" w:color="auto"/>
                        <w:right w:val="none" w:sz="0" w:space="0" w:color="auto"/>
                      </w:divBdr>
                    </w:div>
                    <w:div w:id="367998427">
                      <w:marLeft w:val="0"/>
                      <w:marRight w:val="0"/>
                      <w:marTop w:val="0"/>
                      <w:marBottom w:val="0"/>
                      <w:divBdr>
                        <w:top w:val="none" w:sz="0" w:space="0" w:color="auto"/>
                        <w:left w:val="none" w:sz="0" w:space="0" w:color="auto"/>
                        <w:bottom w:val="none" w:sz="0" w:space="0" w:color="auto"/>
                        <w:right w:val="none" w:sz="0" w:space="0" w:color="auto"/>
                      </w:divBdr>
                    </w:div>
                    <w:div w:id="385302734">
                      <w:marLeft w:val="0"/>
                      <w:marRight w:val="0"/>
                      <w:marTop w:val="0"/>
                      <w:marBottom w:val="0"/>
                      <w:divBdr>
                        <w:top w:val="none" w:sz="0" w:space="0" w:color="auto"/>
                        <w:left w:val="none" w:sz="0" w:space="0" w:color="auto"/>
                        <w:bottom w:val="none" w:sz="0" w:space="0" w:color="auto"/>
                        <w:right w:val="none" w:sz="0" w:space="0" w:color="auto"/>
                      </w:divBdr>
                    </w:div>
                    <w:div w:id="520322076">
                      <w:marLeft w:val="0"/>
                      <w:marRight w:val="0"/>
                      <w:marTop w:val="0"/>
                      <w:marBottom w:val="0"/>
                      <w:divBdr>
                        <w:top w:val="none" w:sz="0" w:space="0" w:color="auto"/>
                        <w:left w:val="none" w:sz="0" w:space="0" w:color="auto"/>
                        <w:bottom w:val="none" w:sz="0" w:space="0" w:color="auto"/>
                        <w:right w:val="none" w:sz="0" w:space="0" w:color="auto"/>
                      </w:divBdr>
                    </w:div>
                    <w:div w:id="695545609">
                      <w:marLeft w:val="0"/>
                      <w:marRight w:val="0"/>
                      <w:marTop w:val="0"/>
                      <w:marBottom w:val="0"/>
                      <w:divBdr>
                        <w:top w:val="none" w:sz="0" w:space="0" w:color="auto"/>
                        <w:left w:val="none" w:sz="0" w:space="0" w:color="auto"/>
                        <w:bottom w:val="none" w:sz="0" w:space="0" w:color="auto"/>
                        <w:right w:val="none" w:sz="0" w:space="0" w:color="auto"/>
                      </w:divBdr>
                    </w:div>
                    <w:div w:id="1471551386">
                      <w:marLeft w:val="0"/>
                      <w:marRight w:val="0"/>
                      <w:marTop w:val="0"/>
                      <w:marBottom w:val="0"/>
                      <w:divBdr>
                        <w:top w:val="none" w:sz="0" w:space="0" w:color="auto"/>
                        <w:left w:val="none" w:sz="0" w:space="0" w:color="auto"/>
                        <w:bottom w:val="none" w:sz="0" w:space="0" w:color="auto"/>
                        <w:right w:val="none" w:sz="0" w:space="0" w:color="auto"/>
                      </w:divBdr>
                    </w:div>
                    <w:div w:id="1504973075">
                      <w:marLeft w:val="0"/>
                      <w:marRight w:val="0"/>
                      <w:marTop w:val="0"/>
                      <w:marBottom w:val="0"/>
                      <w:divBdr>
                        <w:top w:val="none" w:sz="0" w:space="0" w:color="auto"/>
                        <w:left w:val="none" w:sz="0" w:space="0" w:color="auto"/>
                        <w:bottom w:val="none" w:sz="0" w:space="0" w:color="auto"/>
                        <w:right w:val="none" w:sz="0" w:space="0" w:color="auto"/>
                      </w:divBdr>
                    </w:div>
                    <w:div w:id="1607888436">
                      <w:marLeft w:val="0"/>
                      <w:marRight w:val="0"/>
                      <w:marTop w:val="0"/>
                      <w:marBottom w:val="0"/>
                      <w:divBdr>
                        <w:top w:val="none" w:sz="0" w:space="0" w:color="auto"/>
                        <w:left w:val="none" w:sz="0" w:space="0" w:color="auto"/>
                        <w:bottom w:val="none" w:sz="0" w:space="0" w:color="auto"/>
                        <w:right w:val="none" w:sz="0" w:space="0" w:color="auto"/>
                      </w:divBdr>
                    </w:div>
                    <w:div w:id="1637293160">
                      <w:marLeft w:val="0"/>
                      <w:marRight w:val="0"/>
                      <w:marTop w:val="0"/>
                      <w:marBottom w:val="0"/>
                      <w:divBdr>
                        <w:top w:val="none" w:sz="0" w:space="0" w:color="auto"/>
                        <w:left w:val="none" w:sz="0" w:space="0" w:color="auto"/>
                        <w:bottom w:val="none" w:sz="0" w:space="0" w:color="auto"/>
                        <w:right w:val="none" w:sz="0" w:space="0" w:color="auto"/>
                      </w:divBdr>
                    </w:div>
                  </w:divsChild>
                </w:div>
                <w:div w:id="353919792">
                  <w:marLeft w:val="0"/>
                  <w:marRight w:val="0"/>
                  <w:marTop w:val="0"/>
                  <w:marBottom w:val="0"/>
                  <w:divBdr>
                    <w:top w:val="none" w:sz="0" w:space="0" w:color="auto"/>
                    <w:left w:val="none" w:sz="0" w:space="0" w:color="auto"/>
                    <w:bottom w:val="none" w:sz="0" w:space="0" w:color="auto"/>
                    <w:right w:val="none" w:sz="0" w:space="0" w:color="auto"/>
                  </w:divBdr>
                  <w:divsChild>
                    <w:div w:id="1038242535">
                      <w:marLeft w:val="0"/>
                      <w:marRight w:val="0"/>
                      <w:marTop w:val="0"/>
                      <w:marBottom w:val="0"/>
                      <w:divBdr>
                        <w:top w:val="none" w:sz="0" w:space="0" w:color="auto"/>
                        <w:left w:val="none" w:sz="0" w:space="0" w:color="auto"/>
                        <w:bottom w:val="none" w:sz="0" w:space="0" w:color="auto"/>
                        <w:right w:val="none" w:sz="0" w:space="0" w:color="auto"/>
                      </w:divBdr>
                    </w:div>
                  </w:divsChild>
                </w:div>
                <w:div w:id="411124208">
                  <w:marLeft w:val="0"/>
                  <w:marRight w:val="0"/>
                  <w:marTop w:val="0"/>
                  <w:marBottom w:val="0"/>
                  <w:divBdr>
                    <w:top w:val="none" w:sz="0" w:space="0" w:color="auto"/>
                    <w:left w:val="none" w:sz="0" w:space="0" w:color="auto"/>
                    <w:bottom w:val="none" w:sz="0" w:space="0" w:color="auto"/>
                    <w:right w:val="none" w:sz="0" w:space="0" w:color="auto"/>
                  </w:divBdr>
                  <w:divsChild>
                    <w:div w:id="152258489">
                      <w:marLeft w:val="0"/>
                      <w:marRight w:val="0"/>
                      <w:marTop w:val="0"/>
                      <w:marBottom w:val="0"/>
                      <w:divBdr>
                        <w:top w:val="none" w:sz="0" w:space="0" w:color="auto"/>
                        <w:left w:val="none" w:sz="0" w:space="0" w:color="auto"/>
                        <w:bottom w:val="none" w:sz="0" w:space="0" w:color="auto"/>
                        <w:right w:val="none" w:sz="0" w:space="0" w:color="auto"/>
                      </w:divBdr>
                    </w:div>
                    <w:div w:id="315839566">
                      <w:marLeft w:val="0"/>
                      <w:marRight w:val="0"/>
                      <w:marTop w:val="0"/>
                      <w:marBottom w:val="0"/>
                      <w:divBdr>
                        <w:top w:val="none" w:sz="0" w:space="0" w:color="auto"/>
                        <w:left w:val="none" w:sz="0" w:space="0" w:color="auto"/>
                        <w:bottom w:val="none" w:sz="0" w:space="0" w:color="auto"/>
                        <w:right w:val="none" w:sz="0" w:space="0" w:color="auto"/>
                      </w:divBdr>
                    </w:div>
                    <w:div w:id="337315399">
                      <w:marLeft w:val="0"/>
                      <w:marRight w:val="0"/>
                      <w:marTop w:val="0"/>
                      <w:marBottom w:val="0"/>
                      <w:divBdr>
                        <w:top w:val="none" w:sz="0" w:space="0" w:color="auto"/>
                        <w:left w:val="none" w:sz="0" w:space="0" w:color="auto"/>
                        <w:bottom w:val="none" w:sz="0" w:space="0" w:color="auto"/>
                        <w:right w:val="none" w:sz="0" w:space="0" w:color="auto"/>
                      </w:divBdr>
                    </w:div>
                    <w:div w:id="423191109">
                      <w:marLeft w:val="0"/>
                      <w:marRight w:val="0"/>
                      <w:marTop w:val="0"/>
                      <w:marBottom w:val="0"/>
                      <w:divBdr>
                        <w:top w:val="none" w:sz="0" w:space="0" w:color="auto"/>
                        <w:left w:val="none" w:sz="0" w:space="0" w:color="auto"/>
                        <w:bottom w:val="none" w:sz="0" w:space="0" w:color="auto"/>
                        <w:right w:val="none" w:sz="0" w:space="0" w:color="auto"/>
                      </w:divBdr>
                    </w:div>
                    <w:div w:id="1171994298">
                      <w:marLeft w:val="0"/>
                      <w:marRight w:val="0"/>
                      <w:marTop w:val="0"/>
                      <w:marBottom w:val="0"/>
                      <w:divBdr>
                        <w:top w:val="none" w:sz="0" w:space="0" w:color="auto"/>
                        <w:left w:val="none" w:sz="0" w:space="0" w:color="auto"/>
                        <w:bottom w:val="none" w:sz="0" w:space="0" w:color="auto"/>
                        <w:right w:val="none" w:sz="0" w:space="0" w:color="auto"/>
                      </w:divBdr>
                    </w:div>
                    <w:div w:id="1237059691">
                      <w:marLeft w:val="0"/>
                      <w:marRight w:val="0"/>
                      <w:marTop w:val="0"/>
                      <w:marBottom w:val="0"/>
                      <w:divBdr>
                        <w:top w:val="none" w:sz="0" w:space="0" w:color="auto"/>
                        <w:left w:val="none" w:sz="0" w:space="0" w:color="auto"/>
                        <w:bottom w:val="none" w:sz="0" w:space="0" w:color="auto"/>
                        <w:right w:val="none" w:sz="0" w:space="0" w:color="auto"/>
                      </w:divBdr>
                    </w:div>
                    <w:div w:id="1569614663">
                      <w:marLeft w:val="0"/>
                      <w:marRight w:val="0"/>
                      <w:marTop w:val="0"/>
                      <w:marBottom w:val="0"/>
                      <w:divBdr>
                        <w:top w:val="none" w:sz="0" w:space="0" w:color="auto"/>
                        <w:left w:val="none" w:sz="0" w:space="0" w:color="auto"/>
                        <w:bottom w:val="none" w:sz="0" w:space="0" w:color="auto"/>
                        <w:right w:val="none" w:sz="0" w:space="0" w:color="auto"/>
                      </w:divBdr>
                    </w:div>
                    <w:div w:id="1742829996">
                      <w:marLeft w:val="0"/>
                      <w:marRight w:val="0"/>
                      <w:marTop w:val="0"/>
                      <w:marBottom w:val="0"/>
                      <w:divBdr>
                        <w:top w:val="none" w:sz="0" w:space="0" w:color="auto"/>
                        <w:left w:val="none" w:sz="0" w:space="0" w:color="auto"/>
                        <w:bottom w:val="none" w:sz="0" w:space="0" w:color="auto"/>
                        <w:right w:val="none" w:sz="0" w:space="0" w:color="auto"/>
                      </w:divBdr>
                    </w:div>
                  </w:divsChild>
                </w:div>
                <w:div w:id="473527680">
                  <w:marLeft w:val="0"/>
                  <w:marRight w:val="0"/>
                  <w:marTop w:val="0"/>
                  <w:marBottom w:val="0"/>
                  <w:divBdr>
                    <w:top w:val="none" w:sz="0" w:space="0" w:color="auto"/>
                    <w:left w:val="none" w:sz="0" w:space="0" w:color="auto"/>
                    <w:bottom w:val="none" w:sz="0" w:space="0" w:color="auto"/>
                    <w:right w:val="none" w:sz="0" w:space="0" w:color="auto"/>
                  </w:divBdr>
                  <w:divsChild>
                    <w:div w:id="190186470">
                      <w:marLeft w:val="0"/>
                      <w:marRight w:val="0"/>
                      <w:marTop w:val="0"/>
                      <w:marBottom w:val="0"/>
                      <w:divBdr>
                        <w:top w:val="none" w:sz="0" w:space="0" w:color="auto"/>
                        <w:left w:val="none" w:sz="0" w:space="0" w:color="auto"/>
                        <w:bottom w:val="none" w:sz="0" w:space="0" w:color="auto"/>
                        <w:right w:val="none" w:sz="0" w:space="0" w:color="auto"/>
                      </w:divBdr>
                    </w:div>
                    <w:div w:id="736052025">
                      <w:marLeft w:val="0"/>
                      <w:marRight w:val="0"/>
                      <w:marTop w:val="0"/>
                      <w:marBottom w:val="0"/>
                      <w:divBdr>
                        <w:top w:val="none" w:sz="0" w:space="0" w:color="auto"/>
                        <w:left w:val="none" w:sz="0" w:space="0" w:color="auto"/>
                        <w:bottom w:val="none" w:sz="0" w:space="0" w:color="auto"/>
                        <w:right w:val="none" w:sz="0" w:space="0" w:color="auto"/>
                      </w:divBdr>
                    </w:div>
                  </w:divsChild>
                </w:div>
                <w:div w:id="492531793">
                  <w:marLeft w:val="0"/>
                  <w:marRight w:val="0"/>
                  <w:marTop w:val="0"/>
                  <w:marBottom w:val="0"/>
                  <w:divBdr>
                    <w:top w:val="none" w:sz="0" w:space="0" w:color="auto"/>
                    <w:left w:val="none" w:sz="0" w:space="0" w:color="auto"/>
                    <w:bottom w:val="none" w:sz="0" w:space="0" w:color="auto"/>
                    <w:right w:val="none" w:sz="0" w:space="0" w:color="auto"/>
                  </w:divBdr>
                  <w:divsChild>
                    <w:div w:id="909117690">
                      <w:marLeft w:val="0"/>
                      <w:marRight w:val="0"/>
                      <w:marTop w:val="0"/>
                      <w:marBottom w:val="0"/>
                      <w:divBdr>
                        <w:top w:val="none" w:sz="0" w:space="0" w:color="auto"/>
                        <w:left w:val="none" w:sz="0" w:space="0" w:color="auto"/>
                        <w:bottom w:val="none" w:sz="0" w:space="0" w:color="auto"/>
                        <w:right w:val="none" w:sz="0" w:space="0" w:color="auto"/>
                      </w:divBdr>
                    </w:div>
                    <w:div w:id="1034767681">
                      <w:marLeft w:val="0"/>
                      <w:marRight w:val="0"/>
                      <w:marTop w:val="0"/>
                      <w:marBottom w:val="0"/>
                      <w:divBdr>
                        <w:top w:val="none" w:sz="0" w:space="0" w:color="auto"/>
                        <w:left w:val="none" w:sz="0" w:space="0" w:color="auto"/>
                        <w:bottom w:val="none" w:sz="0" w:space="0" w:color="auto"/>
                        <w:right w:val="none" w:sz="0" w:space="0" w:color="auto"/>
                      </w:divBdr>
                    </w:div>
                    <w:div w:id="1348023240">
                      <w:marLeft w:val="0"/>
                      <w:marRight w:val="0"/>
                      <w:marTop w:val="0"/>
                      <w:marBottom w:val="0"/>
                      <w:divBdr>
                        <w:top w:val="none" w:sz="0" w:space="0" w:color="auto"/>
                        <w:left w:val="none" w:sz="0" w:space="0" w:color="auto"/>
                        <w:bottom w:val="none" w:sz="0" w:space="0" w:color="auto"/>
                        <w:right w:val="none" w:sz="0" w:space="0" w:color="auto"/>
                      </w:divBdr>
                    </w:div>
                    <w:div w:id="1728147047">
                      <w:marLeft w:val="0"/>
                      <w:marRight w:val="0"/>
                      <w:marTop w:val="0"/>
                      <w:marBottom w:val="0"/>
                      <w:divBdr>
                        <w:top w:val="none" w:sz="0" w:space="0" w:color="auto"/>
                        <w:left w:val="none" w:sz="0" w:space="0" w:color="auto"/>
                        <w:bottom w:val="none" w:sz="0" w:space="0" w:color="auto"/>
                        <w:right w:val="none" w:sz="0" w:space="0" w:color="auto"/>
                      </w:divBdr>
                    </w:div>
                    <w:div w:id="1863938822">
                      <w:marLeft w:val="0"/>
                      <w:marRight w:val="0"/>
                      <w:marTop w:val="0"/>
                      <w:marBottom w:val="0"/>
                      <w:divBdr>
                        <w:top w:val="none" w:sz="0" w:space="0" w:color="auto"/>
                        <w:left w:val="none" w:sz="0" w:space="0" w:color="auto"/>
                        <w:bottom w:val="none" w:sz="0" w:space="0" w:color="auto"/>
                        <w:right w:val="none" w:sz="0" w:space="0" w:color="auto"/>
                      </w:divBdr>
                    </w:div>
                  </w:divsChild>
                </w:div>
                <w:div w:id="626080840">
                  <w:marLeft w:val="0"/>
                  <w:marRight w:val="0"/>
                  <w:marTop w:val="0"/>
                  <w:marBottom w:val="0"/>
                  <w:divBdr>
                    <w:top w:val="none" w:sz="0" w:space="0" w:color="auto"/>
                    <w:left w:val="none" w:sz="0" w:space="0" w:color="auto"/>
                    <w:bottom w:val="none" w:sz="0" w:space="0" w:color="auto"/>
                    <w:right w:val="none" w:sz="0" w:space="0" w:color="auto"/>
                  </w:divBdr>
                  <w:divsChild>
                    <w:div w:id="488639587">
                      <w:marLeft w:val="0"/>
                      <w:marRight w:val="0"/>
                      <w:marTop w:val="0"/>
                      <w:marBottom w:val="0"/>
                      <w:divBdr>
                        <w:top w:val="none" w:sz="0" w:space="0" w:color="auto"/>
                        <w:left w:val="none" w:sz="0" w:space="0" w:color="auto"/>
                        <w:bottom w:val="none" w:sz="0" w:space="0" w:color="auto"/>
                        <w:right w:val="none" w:sz="0" w:space="0" w:color="auto"/>
                      </w:divBdr>
                    </w:div>
                    <w:div w:id="1136486838">
                      <w:marLeft w:val="0"/>
                      <w:marRight w:val="0"/>
                      <w:marTop w:val="0"/>
                      <w:marBottom w:val="0"/>
                      <w:divBdr>
                        <w:top w:val="none" w:sz="0" w:space="0" w:color="auto"/>
                        <w:left w:val="none" w:sz="0" w:space="0" w:color="auto"/>
                        <w:bottom w:val="none" w:sz="0" w:space="0" w:color="auto"/>
                        <w:right w:val="none" w:sz="0" w:space="0" w:color="auto"/>
                      </w:divBdr>
                    </w:div>
                  </w:divsChild>
                </w:div>
                <w:div w:id="632247936">
                  <w:marLeft w:val="0"/>
                  <w:marRight w:val="0"/>
                  <w:marTop w:val="0"/>
                  <w:marBottom w:val="0"/>
                  <w:divBdr>
                    <w:top w:val="none" w:sz="0" w:space="0" w:color="auto"/>
                    <w:left w:val="none" w:sz="0" w:space="0" w:color="auto"/>
                    <w:bottom w:val="none" w:sz="0" w:space="0" w:color="auto"/>
                    <w:right w:val="none" w:sz="0" w:space="0" w:color="auto"/>
                  </w:divBdr>
                  <w:divsChild>
                    <w:div w:id="322781658">
                      <w:marLeft w:val="0"/>
                      <w:marRight w:val="0"/>
                      <w:marTop w:val="0"/>
                      <w:marBottom w:val="0"/>
                      <w:divBdr>
                        <w:top w:val="none" w:sz="0" w:space="0" w:color="auto"/>
                        <w:left w:val="none" w:sz="0" w:space="0" w:color="auto"/>
                        <w:bottom w:val="none" w:sz="0" w:space="0" w:color="auto"/>
                        <w:right w:val="none" w:sz="0" w:space="0" w:color="auto"/>
                      </w:divBdr>
                    </w:div>
                    <w:div w:id="536356407">
                      <w:marLeft w:val="0"/>
                      <w:marRight w:val="0"/>
                      <w:marTop w:val="0"/>
                      <w:marBottom w:val="0"/>
                      <w:divBdr>
                        <w:top w:val="none" w:sz="0" w:space="0" w:color="auto"/>
                        <w:left w:val="none" w:sz="0" w:space="0" w:color="auto"/>
                        <w:bottom w:val="none" w:sz="0" w:space="0" w:color="auto"/>
                        <w:right w:val="none" w:sz="0" w:space="0" w:color="auto"/>
                      </w:divBdr>
                    </w:div>
                    <w:div w:id="817918264">
                      <w:marLeft w:val="0"/>
                      <w:marRight w:val="0"/>
                      <w:marTop w:val="0"/>
                      <w:marBottom w:val="0"/>
                      <w:divBdr>
                        <w:top w:val="none" w:sz="0" w:space="0" w:color="auto"/>
                        <w:left w:val="none" w:sz="0" w:space="0" w:color="auto"/>
                        <w:bottom w:val="none" w:sz="0" w:space="0" w:color="auto"/>
                        <w:right w:val="none" w:sz="0" w:space="0" w:color="auto"/>
                      </w:divBdr>
                    </w:div>
                    <w:div w:id="995495696">
                      <w:marLeft w:val="0"/>
                      <w:marRight w:val="0"/>
                      <w:marTop w:val="0"/>
                      <w:marBottom w:val="0"/>
                      <w:divBdr>
                        <w:top w:val="none" w:sz="0" w:space="0" w:color="auto"/>
                        <w:left w:val="none" w:sz="0" w:space="0" w:color="auto"/>
                        <w:bottom w:val="none" w:sz="0" w:space="0" w:color="auto"/>
                        <w:right w:val="none" w:sz="0" w:space="0" w:color="auto"/>
                      </w:divBdr>
                    </w:div>
                    <w:div w:id="1113550562">
                      <w:marLeft w:val="0"/>
                      <w:marRight w:val="0"/>
                      <w:marTop w:val="0"/>
                      <w:marBottom w:val="0"/>
                      <w:divBdr>
                        <w:top w:val="none" w:sz="0" w:space="0" w:color="auto"/>
                        <w:left w:val="none" w:sz="0" w:space="0" w:color="auto"/>
                        <w:bottom w:val="none" w:sz="0" w:space="0" w:color="auto"/>
                        <w:right w:val="none" w:sz="0" w:space="0" w:color="auto"/>
                      </w:divBdr>
                    </w:div>
                    <w:div w:id="1497457693">
                      <w:marLeft w:val="0"/>
                      <w:marRight w:val="0"/>
                      <w:marTop w:val="0"/>
                      <w:marBottom w:val="0"/>
                      <w:divBdr>
                        <w:top w:val="none" w:sz="0" w:space="0" w:color="auto"/>
                        <w:left w:val="none" w:sz="0" w:space="0" w:color="auto"/>
                        <w:bottom w:val="none" w:sz="0" w:space="0" w:color="auto"/>
                        <w:right w:val="none" w:sz="0" w:space="0" w:color="auto"/>
                      </w:divBdr>
                    </w:div>
                    <w:div w:id="1559247877">
                      <w:marLeft w:val="0"/>
                      <w:marRight w:val="0"/>
                      <w:marTop w:val="0"/>
                      <w:marBottom w:val="0"/>
                      <w:divBdr>
                        <w:top w:val="none" w:sz="0" w:space="0" w:color="auto"/>
                        <w:left w:val="none" w:sz="0" w:space="0" w:color="auto"/>
                        <w:bottom w:val="none" w:sz="0" w:space="0" w:color="auto"/>
                        <w:right w:val="none" w:sz="0" w:space="0" w:color="auto"/>
                      </w:divBdr>
                    </w:div>
                    <w:div w:id="1793552150">
                      <w:marLeft w:val="0"/>
                      <w:marRight w:val="0"/>
                      <w:marTop w:val="0"/>
                      <w:marBottom w:val="0"/>
                      <w:divBdr>
                        <w:top w:val="none" w:sz="0" w:space="0" w:color="auto"/>
                        <w:left w:val="none" w:sz="0" w:space="0" w:color="auto"/>
                        <w:bottom w:val="none" w:sz="0" w:space="0" w:color="auto"/>
                        <w:right w:val="none" w:sz="0" w:space="0" w:color="auto"/>
                      </w:divBdr>
                    </w:div>
                  </w:divsChild>
                </w:div>
                <w:div w:id="667057828">
                  <w:marLeft w:val="0"/>
                  <w:marRight w:val="0"/>
                  <w:marTop w:val="0"/>
                  <w:marBottom w:val="0"/>
                  <w:divBdr>
                    <w:top w:val="none" w:sz="0" w:space="0" w:color="auto"/>
                    <w:left w:val="none" w:sz="0" w:space="0" w:color="auto"/>
                    <w:bottom w:val="none" w:sz="0" w:space="0" w:color="auto"/>
                    <w:right w:val="none" w:sz="0" w:space="0" w:color="auto"/>
                  </w:divBdr>
                  <w:divsChild>
                    <w:div w:id="85469356">
                      <w:marLeft w:val="0"/>
                      <w:marRight w:val="0"/>
                      <w:marTop w:val="0"/>
                      <w:marBottom w:val="0"/>
                      <w:divBdr>
                        <w:top w:val="none" w:sz="0" w:space="0" w:color="auto"/>
                        <w:left w:val="none" w:sz="0" w:space="0" w:color="auto"/>
                        <w:bottom w:val="none" w:sz="0" w:space="0" w:color="auto"/>
                        <w:right w:val="none" w:sz="0" w:space="0" w:color="auto"/>
                      </w:divBdr>
                    </w:div>
                    <w:div w:id="270281732">
                      <w:marLeft w:val="0"/>
                      <w:marRight w:val="0"/>
                      <w:marTop w:val="0"/>
                      <w:marBottom w:val="0"/>
                      <w:divBdr>
                        <w:top w:val="none" w:sz="0" w:space="0" w:color="auto"/>
                        <w:left w:val="none" w:sz="0" w:space="0" w:color="auto"/>
                        <w:bottom w:val="none" w:sz="0" w:space="0" w:color="auto"/>
                        <w:right w:val="none" w:sz="0" w:space="0" w:color="auto"/>
                      </w:divBdr>
                    </w:div>
                    <w:div w:id="315232371">
                      <w:marLeft w:val="0"/>
                      <w:marRight w:val="0"/>
                      <w:marTop w:val="0"/>
                      <w:marBottom w:val="0"/>
                      <w:divBdr>
                        <w:top w:val="none" w:sz="0" w:space="0" w:color="auto"/>
                        <w:left w:val="none" w:sz="0" w:space="0" w:color="auto"/>
                        <w:bottom w:val="none" w:sz="0" w:space="0" w:color="auto"/>
                        <w:right w:val="none" w:sz="0" w:space="0" w:color="auto"/>
                      </w:divBdr>
                    </w:div>
                    <w:div w:id="355274458">
                      <w:marLeft w:val="0"/>
                      <w:marRight w:val="0"/>
                      <w:marTop w:val="0"/>
                      <w:marBottom w:val="0"/>
                      <w:divBdr>
                        <w:top w:val="none" w:sz="0" w:space="0" w:color="auto"/>
                        <w:left w:val="none" w:sz="0" w:space="0" w:color="auto"/>
                        <w:bottom w:val="none" w:sz="0" w:space="0" w:color="auto"/>
                        <w:right w:val="none" w:sz="0" w:space="0" w:color="auto"/>
                      </w:divBdr>
                    </w:div>
                    <w:div w:id="396054520">
                      <w:marLeft w:val="0"/>
                      <w:marRight w:val="0"/>
                      <w:marTop w:val="0"/>
                      <w:marBottom w:val="0"/>
                      <w:divBdr>
                        <w:top w:val="none" w:sz="0" w:space="0" w:color="auto"/>
                        <w:left w:val="none" w:sz="0" w:space="0" w:color="auto"/>
                        <w:bottom w:val="none" w:sz="0" w:space="0" w:color="auto"/>
                        <w:right w:val="none" w:sz="0" w:space="0" w:color="auto"/>
                      </w:divBdr>
                    </w:div>
                    <w:div w:id="403382160">
                      <w:marLeft w:val="0"/>
                      <w:marRight w:val="0"/>
                      <w:marTop w:val="0"/>
                      <w:marBottom w:val="0"/>
                      <w:divBdr>
                        <w:top w:val="none" w:sz="0" w:space="0" w:color="auto"/>
                        <w:left w:val="none" w:sz="0" w:space="0" w:color="auto"/>
                        <w:bottom w:val="none" w:sz="0" w:space="0" w:color="auto"/>
                        <w:right w:val="none" w:sz="0" w:space="0" w:color="auto"/>
                      </w:divBdr>
                    </w:div>
                    <w:div w:id="415176749">
                      <w:marLeft w:val="0"/>
                      <w:marRight w:val="0"/>
                      <w:marTop w:val="0"/>
                      <w:marBottom w:val="0"/>
                      <w:divBdr>
                        <w:top w:val="none" w:sz="0" w:space="0" w:color="auto"/>
                        <w:left w:val="none" w:sz="0" w:space="0" w:color="auto"/>
                        <w:bottom w:val="none" w:sz="0" w:space="0" w:color="auto"/>
                        <w:right w:val="none" w:sz="0" w:space="0" w:color="auto"/>
                      </w:divBdr>
                    </w:div>
                    <w:div w:id="513569996">
                      <w:marLeft w:val="0"/>
                      <w:marRight w:val="0"/>
                      <w:marTop w:val="0"/>
                      <w:marBottom w:val="0"/>
                      <w:divBdr>
                        <w:top w:val="none" w:sz="0" w:space="0" w:color="auto"/>
                        <w:left w:val="none" w:sz="0" w:space="0" w:color="auto"/>
                        <w:bottom w:val="none" w:sz="0" w:space="0" w:color="auto"/>
                        <w:right w:val="none" w:sz="0" w:space="0" w:color="auto"/>
                      </w:divBdr>
                    </w:div>
                    <w:div w:id="818108247">
                      <w:marLeft w:val="0"/>
                      <w:marRight w:val="0"/>
                      <w:marTop w:val="0"/>
                      <w:marBottom w:val="0"/>
                      <w:divBdr>
                        <w:top w:val="none" w:sz="0" w:space="0" w:color="auto"/>
                        <w:left w:val="none" w:sz="0" w:space="0" w:color="auto"/>
                        <w:bottom w:val="none" w:sz="0" w:space="0" w:color="auto"/>
                        <w:right w:val="none" w:sz="0" w:space="0" w:color="auto"/>
                      </w:divBdr>
                    </w:div>
                    <w:div w:id="1126462723">
                      <w:marLeft w:val="0"/>
                      <w:marRight w:val="0"/>
                      <w:marTop w:val="0"/>
                      <w:marBottom w:val="0"/>
                      <w:divBdr>
                        <w:top w:val="none" w:sz="0" w:space="0" w:color="auto"/>
                        <w:left w:val="none" w:sz="0" w:space="0" w:color="auto"/>
                        <w:bottom w:val="none" w:sz="0" w:space="0" w:color="auto"/>
                        <w:right w:val="none" w:sz="0" w:space="0" w:color="auto"/>
                      </w:divBdr>
                    </w:div>
                    <w:div w:id="1128014169">
                      <w:marLeft w:val="0"/>
                      <w:marRight w:val="0"/>
                      <w:marTop w:val="0"/>
                      <w:marBottom w:val="0"/>
                      <w:divBdr>
                        <w:top w:val="none" w:sz="0" w:space="0" w:color="auto"/>
                        <w:left w:val="none" w:sz="0" w:space="0" w:color="auto"/>
                        <w:bottom w:val="none" w:sz="0" w:space="0" w:color="auto"/>
                        <w:right w:val="none" w:sz="0" w:space="0" w:color="auto"/>
                      </w:divBdr>
                    </w:div>
                    <w:div w:id="1261841722">
                      <w:marLeft w:val="0"/>
                      <w:marRight w:val="0"/>
                      <w:marTop w:val="0"/>
                      <w:marBottom w:val="0"/>
                      <w:divBdr>
                        <w:top w:val="none" w:sz="0" w:space="0" w:color="auto"/>
                        <w:left w:val="none" w:sz="0" w:space="0" w:color="auto"/>
                        <w:bottom w:val="none" w:sz="0" w:space="0" w:color="auto"/>
                        <w:right w:val="none" w:sz="0" w:space="0" w:color="auto"/>
                      </w:divBdr>
                    </w:div>
                    <w:div w:id="1424842046">
                      <w:marLeft w:val="0"/>
                      <w:marRight w:val="0"/>
                      <w:marTop w:val="0"/>
                      <w:marBottom w:val="0"/>
                      <w:divBdr>
                        <w:top w:val="none" w:sz="0" w:space="0" w:color="auto"/>
                        <w:left w:val="none" w:sz="0" w:space="0" w:color="auto"/>
                        <w:bottom w:val="none" w:sz="0" w:space="0" w:color="auto"/>
                        <w:right w:val="none" w:sz="0" w:space="0" w:color="auto"/>
                      </w:divBdr>
                    </w:div>
                    <w:div w:id="1574587117">
                      <w:marLeft w:val="0"/>
                      <w:marRight w:val="0"/>
                      <w:marTop w:val="0"/>
                      <w:marBottom w:val="0"/>
                      <w:divBdr>
                        <w:top w:val="none" w:sz="0" w:space="0" w:color="auto"/>
                        <w:left w:val="none" w:sz="0" w:space="0" w:color="auto"/>
                        <w:bottom w:val="none" w:sz="0" w:space="0" w:color="auto"/>
                        <w:right w:val="none" w:sz="0" w:space="0" w:color="auto"/>
                      </w:divBdr>
                    </w:div>
                    <w:div w:id="1584531219">
                      <w:marLeft w:val="0"/>
                      <w:marRight w:val="0"/>
                      <w:marTop w:val="0"/>
                      <w:marBottom w:val="0"/>
                      <w:divBdr>
                        <w:top w:val="none" w:sz="0" w:space="0" w:color="auto"/>
                        <w:left w:val="none" w:sz="0" w:space="0" w:color="auto"/>
                        <w:bottom w:val="none" w:sz="0" w:space="0" w:color="auto"/>
                        <w:right w:val="none" w:sz="0" w:space="0" w:color="auto"/>
                      </w:divBdr>
                    </w:div>
                    <w:div w:id="1669168083">
                      <w:marLeft w:val="0"/>
                      <w:marRight w:val="0"/>
                      <w:marTop w:val="0"/>
                      <w:marBottom w:val="0"/>
                      <w:divBdr>
                        <w:top w:val="none" w:sz="0" w:space="0" w:color="auto"/>
                        <w:left w:val="none" w:sz="0" w:space="0" w:color="auto"/>
                        <w:bottom w:val="none" w:sz="0" w:space="0" w:color="auto"/>
                        <w:right w:val="none" w:sz="0" w:space="0" w:color="auto"/>
                      </w:divBdr>
                    </w:div>
                    <w:div w:id="1922636408">
                      <w:marLeft w:val="0"/>
                      <w:marRight w:val="0"/>
                      <w:marTop w:val="0"/>
                      <w:marBottom w:val="0"/>
                      <w:divBdr>
                        <w:top w:val="none" w:sz="0" w:space="0" w:color="auto"/>
                        <w:left w:val="none" w:sz="0" w:space="0" w:color="auto"/>
                        <w:bottom w:val="none" w:sz="0" w:space="0" w:color="auto"/>
                        <w:right w:val="none" w:sz="0" w:space="0" w:color="auto"/>
                      </w:divBdr>
                    </w:div>
                  </w:divsChild>
                </w:div>
                <w:div w:id="746655192">
                  <w:marLeft w:val="0"/>
                  <w:marRight w:val="0"/>
                  <w:marTop w:val="0"/>
                  <w:marBottom w:val="0"/>
                  <w:divBdr>
                    <w:top w:val="none" w:sz="0" w:space="0" w:color="auto"/>
                    <w:left w:val="none" w:sz="0" w:space="0" w:color="auto"/>
                    <w:bottom w:val="none" w:sz="0" w:space="0" w:color="auto"/>
                    <w:right w:val="none" w:sz="0" w:space="0" w:color="auto"/>
                  </w:divBdr>
                  <w:divsChild>
                    <w:div w:id="245502884">
                      <w:marLeft w:val="0"/>
                      <w:marRight w:val="0"/>
                      <w:marTop w:val="0"/>
                      <w:marBottom w:val="0"/>
                      <w:divBdr>
                        <w:top w:val="none" w:sz="0" w:space="0" w:color="auto"/>
                        <w:left w:val="none" w:sz="0" w:space="0" w:color="auto"/>
                        <w:bottom w:val="none" w:sz="0" w:space="0" w:color="auto"/>
                        <w:right w:val="none" w:sz="0" w:space="0" w:color="auto"/>
                      </w:divBdr>
                    </w:div>
                    <w:div w:id="600644777">
                      <w:marLeft w:val="0"/>
                      <w:marRight w:val="0"/>
                      <w:marTop w:val="0"/>
                      <w:marBottom w:val="0"/>
                      <w:divBdr>
                        <w:top w:val="none" w:sz="0" w:space="0" w:color="auto"/>
                        <w:left w:val="none" w:sz="0" w:space="0" w:color="auto"/>
                        <w:bottom w:val="none" w:sz="0" w:space="0" w:color="auto"/>
                        <w:right w:val="none" w:sz="0" w:space="0" w:color="auto"/>
                      </w:divBdr>
                    </w:div>
                    <w:div w:id="2043555834">
                      <w:marLeft w:val="0"/>
                      <w:marRight w:val="0"/>
                      <w:marTop w:val="0"/>
                      <w:marBottom w:val="0"/>
                      <w:divBdr>
                        <w:top w:val="none" w:sz="0" w:space="0" w:color="auto"/>
                        <w:left w:val="none" w:sz="0" w:space="0" w:color="auto"/>
                        <w:bottom w:val="none" w:sz="0" w:space="0" w:color="auto"/>
                        <w:right w:val="none" w:sz="0" w:space="0" w:color="auto"/>
                      </w:divBdr>
                    </w:div>
                  </w:divsChild>
                </w:div>
                <w:div w:id="832141408">
                  <w:marLeft w:val="0"/>
                  <w:marRight w:val="0"/>
                  <w:marTop w:val="0"/>
                  <w:marBottom w:val="0"/>
                  <w:divBdr>
                    <w:top w:val="none" w:sz="0" w:space="0" w:color="auto"/>
                    <w:left w:val="none" w:sz="0" w:space="0" w:color="auto"/>
                    <w:bottom w:val="none" w:sz="0" w:space="0" w:color="auto"/>
                    <w:right w:val="none" w:sz="0" w:space="0" w:color="auto"/>
                  </w:divBdr>
                  <w:divsChild>
                    <w:div w:id="1327200205">
                      <w:marLeft w:val="0"/>
                      <w:marRight w:val="0"/>
                      <w:marTop w:val="0"/>
                      <w:marBottom w:val="0"/>
                      <w:divBdr>
                        <w:top w:val="none" w:sz="0" w:space="0" w:color="auto"/>
                        <w:left w:val="none" w:sz="0" w:space="0" w:color="auto"/>
                        <w:bottom w:val="none" w:sz="0" w:space="0" w:color="auto"/>
                        <w:right w:val="none" w:sz="0" w:space="0" w:color="auto"/>
                      </w:divBdr>
                    </w:div>
                  </w:divsChild>
                </w:div>
                <w:div w:id="914703354">
                  <w:marLeft w:val="0"/>
                  <w:marRight w:val="0"/>
                  <w:marTop w:val="0"/>
                  <w:marBottom w:val="0"/>
                  <w:divBdr>
                    <w:top w:val="none" w:sz="0" w:space="0" w:color="auto"/>
                    <w:left w:val="none" w:sz="0" w:space="0" w:color="auto"/>
                    <w:bottom w:val="none" w:sz="0" w:space="0" w:color="auto"/>
                    <w:right w:val="none" w:sz="0" w:space="0" w:color="auto"/>
                  </w:divBdr>
                  <w:divsChild>
                    <w:div w:id="425806044">
                      <w:marLeft w:val="0"/>
                      <w:marRight w:val="0"/>
                      <w:marTop w:val="0"/>
                      <w:marBottom w:val="0"/>
                      <w:divBdr>
                        <w:top w:val="none" w:sz="0" w:space="0" w:color="auto"/>
                        <w:left w:val="none" w:sz="0" w:space="0" w:color="auto"/>
                        <w:bottom w:val="none" w:sz="0" w:space="0" w:color="auto"/>
                        <w:right w:val="none" w:sz="0" w:space="0" w:color="auto"/>
                      </w:divBdr>
                    </w:div>
                    <w:div w:id="723483663">
                      <w:marLeft w:val="0"/>
                      <w:marRight w:val="0"/>
                      <w:marTop w:val="0"/>
                      <w:marBottom w:val="0"/>
                      <w:divBdr>
                        <w:top w:val="none" w:sz="0" w:space="0" w:color="auto"/>
                        <w:left w:val="none" w:sz="0" w:space="0" w:color="auto"/>
                        <w:bottom w:val="none" w:sz="0" w:space="0" w:color="auto"/>
                        <w:right w:val="none" w:sz="0" w:space="0" w:color="auto"/>
                      </w:divBdr>
                    </w:div>
                    <w:div w:id="1838576725">
                      <w:marLeft w:val="0"/>
                      <w:marRight w:val="0"/>
                      <w:marTop w:val="0"/>
                      <w:marBottom w:val="0"/>
                      <w:divBdr>
                        <w:top w:val="none" w:sz="0" w:space="0" w:color="auto"/>
                        <w:left w:val="none" w:sz="0" w:space="0" w:color="auto"/>
                        <w:bottom w:val="none" w:sz="0" w:space="0" w:color="auto"/>
                        <w:right w:val="none" w:sz="0" w:space="0" w:color="auto"/>
                      </w:divBdr>
                    </w:div>
                  </w:divsChild>
                </w:div>
                <w:div w:id="1118258835">
                  <w:marLeft w:val="0"/>
                  <w:marRight w:val="0"/>
                  <w:marTop w:val="0"/>
                  <w:marBottom w:val="0"/>
                  <w:divBdr>
                    <w:top w:val="none" w:sz="0" w:space="0" w:color="auto"/>
                    <w:left w:val="none" w:sz="0" w:space="0" w:color="auto"/>
                    <w:bottom w:val="none" w:sz="0" w:space="0" w:color="auto"/>
                    <w:right w:val="none" w:sz="0" w:space="0" w:color="auto"/>
                  </w:divBdr>
                  <w:divsChild>
                    <w:div w:id="833060598">
                      <w:marLeft w:val="0"/>
                      <w:marRight w:val="0"/>
                      <w:marTop w:val="0"/>
                      <w:marBottom w:val="0"/>
                      <w:divBdr>
                        <w:top w:val="none" w:sz="0" w:space="0" w:color="auto"/>
                        <w:left w:val="none" w:sz="0" w:space="0" w:color="auto"/>
                        <w:bottom w:val="none" w:sz="0" w:space="0" w:color="auto"/>
                        <w:right w:val="none" w:sz="0" w:space="0" w:color="auto"/>
                      </w:divBdr>
                    </w:div>
                    <w:div w:id="1267234874">
                      <w:marLeft w:val="0"/>
                      <w:marRight w:val="0"/>
                      <w:marTop w:val="0"/>
                      <w:marBottom w:val="0"/>
                      <w:divBdr>
                        <w:top w:val="none" w:sz="0" w:space="0" w:color="auto"/>
                        <w:left w:val="none" w:sz="0" w:space="0" w:color="auto"/>
                        <w:bottom w:val="none" w:sz="0" w:space="0" w:color="auto"/>
                        <w:right w:val="none" w:sz="0" w:space="0" w:color="auto"/>
                      </w:divBdr>
                    </w:div>
                    <w:div w:id="2057774388">
                      <w:marLeft w:val="0"/>
                      <w:marRight w:val="0"/>
                      <w:marTop w:val="0"/>
                      <w:marBottom w:val="0"/>
                      <w:divBdr>
                        <w:top w:val="none" w:sz="0" w:space="0" w:color="auto"/>
                        <w:left w:val="none" w:sz="0" w:space="0" w:color="auto"/>
                        <w:bottom w:val="none" w:sz="0" w:space="0" w:color="auto"/>
                        <w:right w:val="none" w:sz="0" w:space="0" w:color="auto"/>
                      </w:divBdr>
                    </w:div>
                  </w:divsChild>
                </w:div>
                <w:div w:id="1417244867">
                  <w:marLeft w:val="0"/>
                  <w:marRight w:val="0"/>
                  <w:marTop w:val="0"/>
                  <w:marBottom w:val="0"/>
                  <w:divBdr>
                    <w:top w:val="none" w:sz="0" w:space="0" w:color="auto"/>
                    <w:left w:val="none" w:sz="0" w:space="0" w:color="auto"/>
                    <w:bottom w:val="none" w:sz="0" w:space="0" w:color="auto"/>
                    <w:right w:val="none" w:sz="0" w:space="0" w:color="auto"/>
                  </w:divBdr>
                  <w:divsChild>
                    <w:div w:id="701901579">
                      <w:marLeft w:val="0"/>
                      <w:marRight w:val="0"/>
                      <w:marTop w:val="0"/>
                      <w:marBottom w:val="0"/>
                      <w:divBdr>
                        <w:top w:val="none" w:sz="0" w:space="0" w:color="auto"/>
                        <w:left w:val="none" w:sz="0" w:space="0" w:color="auto"/>
                        <w:bottom w:val="none" w:sz="0" w:space="0" w:color="auto"/>
                        <w:right w:val="none" w:sz="0" w:space="0" w:color="auto"/>
                      </w:divBdr>
                    </w:div>
                    <w:div w:id="798454440">
                      <w:marLeft w:val="0"/>
                      <w:marRight w:val="0"/>
                      <w:marTop w:val="0"/>
                      <w:marBottom w:val="0"/>
                      <w:divBdr>
                        <w:top w:val="none" w:sz="0" w:space="0" w:color="auto"/>
                        <w:left w:val="none" w:sz="0" w:space="0" w:color="auto"/>
                        <w:bottom w:val="none" w:sz="0" w:space="0" w:color="auto"/>
                        <w:right w:val="none" w:sz="0" w:space="0" w:color="auto"/>
                      </w:divBdr>
                    </w:div>
                    <w:div w:id="935015127">
                      <w:marLeft w:val="0"/>
                      <w:marRight w:val="0"/>
                      <w:marTop w:val="0"/>
                      <w:marBottom w:val="0"/>
                      <w:divBdr>
                        <w:top w:val="none" w:sz="0" w:space="0" w:color="auto"/>
                        <w:left w:val="none" w:sz="0" w:space="0" w:color="auto"/>
                        <w:bottom w:val="none" w:sz="0" w:space="0" w:color="auto"/>
                        <w:right w:val="none" w:sz="0" w:space="0" w:color="auto"/>
                      </w:divBdr>
                    </w:div>
                    <w:div w:id="1542205846">
                      <w:marLeft w:val="0"/>
                      <w:marRight w:val="0"/>
                      <w:marTop w:val="0"/>
                      <w:marBottom w:val="0"/>
                      <w:divBdr>
                        <w:top w:val="none" w:sz="0" w:space="0" w:color="auto"/>
                        <w:left w:val="none" w:sz="0" w:space="0" w:color="auto"/>
                        <w:bottom w:val="none" w:sz="0" w:space="0" w:color="auto"/>
                        <w:right w:val="none" w:sz="0" w:space="0" w:color="auto"/>
                      </w:divBdr>
                    </w:div>
                    <w:div w:id="1816415091">
                      <w:marLeft w:val="0"/>
                      <w:marRight w:val="0"/>
                      <w:marTop w:val="0"/>
                      <w:marBottom w:val="0"/>
                      <w:divBdr>
                        <w:top w:val="none" w:sz="0" w:space="0" w:color="auto"/>
                        <w:left w:val="none" w:sz="0" w:space="0" w:color="auto"/>
                        <w:bottom w:val="none" w:sz="0" w:space="0" w:color="auto"/>
                        <w:right w:val="none" w:sz="0" w:space="0" w:color="auto"/>
                      </w:divBdr>
                    </w:div>
                    <w:div w:id="1845700890">
                      <w:marLeft w:val="0"/>
                      <w:marRight w:val="0"/>
                      <w:marTop w:val="0"/>
                      <w:marBottom w:val="0"/>
                      <w:divBdr>
                        <w:top w:val="none" w:sz="0" w:space="0" w:color="auto"/>
                        <w:left w:val="none" w:sz="0" w:space="0" w:color="auto"/>
                        <w:bottom w:val="none" w:sz="0" w:space="0" w:color="auto"/>
                        <w:right w:val="none" w:sz="0" w:space="0" w:color="auto"/>
                      </w:divBdr>
                    </w:div>
                  </w:divsChild>
                </w:div>
                <w:div w:id="1485203142">
                  <w:marLeft w:val="0"/>
                  <w:marRight w:val="0"/>
                  <w:marTop w:val="0"/>
                  <w:marBottom w:val="0"/>
                  <w:divBdr>
                    <w:top w:val="none" w:sz="0" w:space="0" w:color="auto"/>
                    <w:left w:val="none" w:sz="0" w:space="0" w:color="auto"/>
                    <w:bottom w:val="none" w:sz="0" w:space="0" w:color="auto"/>
                    <w:right w:val="none" w:sz="0" w:space="0" w:color="auto"/>
                  </w:divBdr>
                  <w:divsChild>
                    <w:div w:id="222375341">
                      <w:marLeft w:val="0"/>
                      <w:marRight w:val="0"/>
                      <w:marTop w:val="0"/>
                      <w:marBottom w:val="0"/>
                      <w:divBdr>
                        <w:top w:val="none" w:sz="0" w:space="0" w:color="auto"/>
                        <w:left w:val="none" w:sz="0" w:space="0" w:color="auto"/>
                        <w:bottom w:val="none" w:sz="0" w:space="0" w:color="auto"/>
                        <w:right w:val="none" w:sz="0" w:space="0" w:color="auto"/>
                      </w:divBdr>
                    </w:div>
                    <w:div w:id="932854568">
                      <w:marLeft w:val="0"/>
                      <w:marRight w:val="0"/>
                      <w:marTop w:val="0"/>
                      <w:marBottom w:val="0"/>
                      <w:divBdr>
                        <w:top w:val="none" w:sz="0" w:space="0" w:color="auto"/>
                        <w:left w:val="none" w:sz="0" w:space="0" w:color="auto"/>
                        <w:bottom w:val="none" w:sz="0" w:space="0" w:color="auto"/>
                        <w:right w:val="none" w:sz="0" w:space="0" w:color="auto"/>
                      </w:divBdr>
                    </w:div>
                    <w:div w:id="1504781407">
                      <w:marLeft w:val="0"/>
                      <w:marRight w:val="0"/>
                      <w:marTop w:val="0"/>
                      <w:marBottom w:val="0"/>
                      <w:divBdr>
                        <w:top w:val="none" w:sz="0" w:space="0" w:color="auto"/>
                        <w:left w:val="none" w:sz="0" w:space="0" w:color="auto"/>
                        <w:bottom w:val="none" w:sz="0" w:space="0" w:color="auto"/>
                        <w:right w:val="none" w:sz="0" w:space="0" w:color="auto"/>
                      </w:divBdr>
                    </w:div>
                  </w:divsChild>
                </w:div>
                <w:div w:id="1634170707">
                  <w:marLeft w:val="0"/>
                  <w:marRight w:val="0"/>
                  <w:marTop w:val="0"/>
                  <w:marBottom w:val="0"/>
                  <w:divBdr>
                    <w:top w:val="none" w:sz="0" w:space="0" w:color="auto"/>
                    <w:left w:val="none" w:sz="0" w:space="0" w:color="auto"/>
                    <w:bottom w:val="none" w:sz="0" w:space="0" w:color="auto"/>
                    <w:right w:val="none" w:sz="0" w:space="0" w:color="auto"/>
                  </w:divBdr>
                  <w:divsChild>
                    <w:div w:id="1662613174">
                      <w:marLeft w:val="0"/>
                      <w:marRight w:val="0"/>
                      <w:marTop w:val="0"/>
                      <w:marBottom w:val="0"/>
                      <w:divBdr>
                        <w:top w:val="none" w:sz="0" w:space="0" w:color="auto"/>
                        <w:left w:val="none" w:sz="0" w:space="0" w:color="auto"/>
                        <w:bottom w:val="none" w:sz="0" w:space="0" w:color="auto"/>
                        <w:right w:val="none" w:sz="0" w:space="0" w:color="auto"/>
                      </w:divBdr>
                    </w:div>
                  </w:divsChild>
                </w:div>
                <w:div w:id="1636255896">
                  <w:marLeft w:val="0"/>
                  <w:marRight w:val="0"/>
                  <w:marTop w:val="0"/>
                  <w:marBottom w:val="0"/>
                  <w:divBdr>
                    <w:top w:val="none" w:sz="0" w:space="0" w:color="auto"/>
                    <w:left w:val="none" w:sz="0" w:space="0" w:color="auto"/>
                    <w:bottom w:val="none" w:sz="0" w:space="0" w:color="auto"/>
                    <w:right w:val="none" w:sz="0" w:space="0" w:color="auto"/>
                  </w:divBdr>
                  <w:divsChild>
                    <w:div w:id="9571832">
                      <w:marLeft w:val="0"/>
                      <w:marRight w:val="0"/>
                      <w:marTop w:val="0"/>
                      <w:marBottom w:val="0"/>
                      <w:divBdr>
                        <w:top w:val="none" w:sz="0" w:space="0" w:color="auto"/>
                        <w:left w:val="none" w:sz="0" w:space="0" w:color="auto"/>
                        <w:bottom w:val="none" w:sz="0" w:space="0" w:color="auto"/>
                        <w:right w:val="none" w:sz="0" w:space="0" w:color="auto"/>
                      </w:divBdr>
                    </w:div>
                    <w:div w:id="163208042">
                      <w:marLeft w:val="0"/>
                      <w:marRight w:val="0"/>
                      <w:marTop w:val="0"/>
                      <w:marBottom w:val="0"/>
                      <w:divBdr>
                        <w:top w:val="none" w:sz="0" w:space="0" w:color="auto"/>
                        <w:left w:val="none" w:sz="0" w:space="0" w:color="auto"/>
                        <w:bottom w:val="none" w:sz="0" w:space="0" w:color="auto"/>
                        <w:right w:val="none" w:sz="0" w:space="0" w:color="auto"/>
                      </w:divBdr>
                    </w:div>
                    <w:div w:id="743990278">
                      <w:marLeft w:val="0"/>
                      <w:marRight w:val="0"/>
                      <w:marTop w:val="0"/>
                      <w:marBottom w:val="0"/>
                      <w:divBdr>
                        <w:top w:val="none" w:sz="0" w:space="0" w:color="auto"/>
                        <w:left w:val="none" w:sz="0" w:space="0" w:color="auto"/>
                        <w:bottom w:val="none" w:sz="0" w:space="0" w:color="auto"/>
                        <w:right w:val="none" w:sz="0" w:space="0" w:color="auto"/>
                      </w:divBdr>
                    </w:div>
                    <w:div w:id="1588806118">
                      <w:marLeft w:val="0"/>
                      <w:marRight w:val="0"/>
                      <w:marTop w:val="0"/>
                      <w:marBottom w:val="0"/>
                      <w:divBdr>
                        <w:top w:val="none" w:sz="0" w:space="0" w:color="auto"/>
                        <w:left w:val="none" w:sz="0" w:space="0" w:color="auto"/>
                        <w:bottom w:val="none" w:sz="0" w:space="0" w:color="auto"/>
                        <w:right w:val="none" w:sz="0" w:space="0" w:color="auto"/>
                      </w:divBdr>
                    </w:div>
                    <w:div w:id="1740327788">
                      <w:marLeft w:val="0"/>
                      <w:marRight w:val="0"/>
                      <w:marTop w:val="0"/>
                      <w:marBottom w:val="0"/>
                      <w:divBdr>
                        <w:top w:val="none" w:sz="0" w:space="0" w:color="auto"/>
                        <w:left w:val="none" w:sz="0" w:space="0" w:color="auto"/>
                        <w:bottom w:val="none" w:sz="0" w:space="0" w:color="auto"/>
                        <w:right w:val="none" w:sz="0" w:space="0" w:color="auto"/>
                      </w:divBdr>
                    </w:div>
                    <w:div w:id="1864317742">
                      <w:marLeft w:val="0"/>
                      <w:marRight w:val="0"/>
                      <w:marTop w:val="0"/>
                      <w:marBottom w:val="0"/>
                      <w:divBdr>
                        <w:top w:val="none" w:sz="0" w:space="0" w:color="auto"/>
                        <w:left w:val="none" w:sz="0" w:space="0" w:color="auto"/>
                        <w:bottom w:val="none" w:sz="0" w:space="0" w:color="auto"/>
                        <w:right w:val="none" w:sz="0" w:space="0" w:color="auto"/>
                      </w:divBdr>
                    </w:div>
                  </w:divsChild>
                </w:div>
                <w:div w:id="1660769615">
                  <w:marLeft w:val="0"/>
                  <w:marRight w:val="0"/>
                  <w:marTop w:val="0"/>
                  <w:marBottom w:val="0"/>
                  <w:divBdr>
                    <w:top w:val="none" w:sz="0" w:space="0" w:color="auto"/>
                    <w:left w:val="none" w:sz="0" w:space="0" w:color="auto"/>
                    <w:bottom w:val="none" w:sz="0" w:space="0" w:color="auto"/>
                    <w:right w:val="none" w:sz="0" w:space="0" w:color="auto"/>
                  </w:divBdr>
                  <w:divsChild>
                    <w:div w:id="251279987">
                      <w:marLeft w:val="0"/>
                      <w:marRight w:val="0"/>
                      <w:marTop w:val="0"/>
                      <w:marBottom w:val="0"/>
                      <w:divBdr>
                        <w:top w:val="none" w:sz="0" w:space="0" w:color="auto"/>
                        <w:left w:val="none" w:sz="0" w:space="0" w:color="auto"/>
                        <w:bottom w:val="none" w:sz="0" w:space="0" w:color="auto"/>
                        <w:right w:val="none" w:sz="0" w:space="0" w:color="auto"/>
                      </w:divBdr>
                    </w:div>
                    <w:div w:id="771632291">
                      <w:marLeft w:val="0"/>
                      <w:marRight w:val="0"/>
                      <w:marTop w:val="0"/>
                      <w:marBottom w:val="0"/>
                      <w:divBdr>
                        <w:top w:val="none" w:sz="0" w:space="0" w:color="auto"/>
                        <w:left w:val="none" w:sz="0" w:space="0" w:color="auto"/>
                        <w:bottom w:val="none" w:sz="0" w:space="0" w:color="auto"/>
                        <w:right w:val="none" w:sz="0" w:space="0" w:color="auto"/>
                      </w:divBdr>
                    </w:div>
                  </w:divsChild>
                </w:div>
                <w:div w:id="1709335464">
                  <w:marLeft w:val="0"/>
                  <w:marRight w:val="0"/>
                  <w:marTop w:val="0"/>
                  <w:marBottom w:val="0"/>
                  <w:divBdr>
                    <w:top w:val="none" w:sz="0" w:space="0" w:color="auto"/>
                    <w:left w:val="none" w:sz="0" w:space="0" w:color="auto"/>
                    <w:bottom w:val="none" w:sz="0" w:space="0" w:color="auto"/>
                    <w:right w:val="none" w:sz="0" w:space="0" w:color="auto"/>
                  </w:divBdr>
                  <w:divsChild>
                    <w:div w:id="333067869">
                      <w:marLeft w:val="0"/>
                      <w:marRight w:val="0"/>
                      <w:marTop w:val="0"/>
                      <w:marBottom w:val="0"/>
                      <w:divBdr>
                        <w:top w:val="none" w:sz="0" w:space="0" w:color="auto"/>
                        <w:left w:val="none" w:sz="0" w:space="0" w:color="auto"/>
                        <w:bottom w:val="none" w:sz="0" w:space="0" w:color="auto"/>
                        <w:right w:val="none" w:sz="0" w:space="0" w:color="auto"/>
                      </w:divBdr>
                    </w:div>
                    <w:div w:id="730620902">
                      <w:marLeft w:val="0"/>
                      <w:marRight w:val="0"/>
                      <w:marTop w:val="0"/>
                      <w:marBottom w:val="0"/>
                      <w:divBdr>
                        <w:top w:val="none" w:sz="0" w:space="0" w:color="auto"/>
                        <w:left w:val="none" w:sz="0" w:space="0" w:color="auto"/>
                        <w:bottom w:val="none" w:sz="0" w:space="0" w:color="auto"/>
                        <w:right w:val="none" w:sz="0" w:space="0" w:color="auto"/>
                      </w:divBdr>
                    </w:div>
                    <w:div w:id="791367801">
                      <w:marLeft w:val="0"/>
                      <w:marRight w:val="0"/>
                      <w:marTop w:val="0"/>
                      <w:marBottom w:val="0"/>
                      <w:divBdr>
                        <w:top w:val="none" w:sz="0" w:space="0" w:color="auto"/>
                        <w:left w:val="none" w:sz="0" w:space="0" w:color="auto"/>
                        <w:bottom w:val="none" w:sz="0" w:space="0" w:color="auto"/>
                        <w:right w:val="none" w:sz="0" w:space="0" w:color="auto"/>
                      </w:divBdr>
                    </w:div>
                    <w:div w:id="806312719">
                      <w:marLeft w:val="0"/>
                      <w:marRight w:val="0"/>
                      <w:marTop w:val="0"/>
                      <w:marBottom w:val="0"/>
                      <w:divBdr>
                        <w:top w:val="none" w:sz="0" w:space="0" w:color="auto"/>
                        <w:left w:val="none" w:sz="0" w:space="0" w:color="auto"/>
                        <w:bottom w:val="none" w:sz="0" w:space="0" w:color="auto"/>
                        <w:right w:val="none" w:sz="0" w:space="0" w:color="auto"/>
                      </w:divBdr>
                    </w:div>
                    <w:div w:id="1306201145">
                      <w:marLeft w:val="0"/>
                      <w:marRight w:val="0"/>
                      <w:marTop w:val="0"/>
                      <w:marBottom w:val="0"/>
                      <w:divBdr>
                        <w:top w:val="none" w:sz="0" w:space="0" w:color="auto"/>
                        <w:left w:val="none" w:sz="0" w:space="0" w:color="auto"/>
                        <w:bottom w:val="none" w:sz="0" w:space="0" w:color="auto"/>
                        <w:right w:val="none" w:sz="0" w:space="0" w:color="auto"/>
                      </w:divBdr>
                    </w:div>
                    <w:div w:id="1437170382">
                      <w:marLeft w:val="0"/>
                      <w:marRight w:val="0"/>
                      <w:marTop w:val="0"/>
                      <w:marBottom w:val="0"/>
                      <w:divBdr>
                        <w:top w:val="none" w:sz="0" w:space="0" w:color="auto"/>
                        <w:left w:val="none" w:sz="0" w:space="0" w:color="auto"/>
                        <w:bottom w:val="none" w:sz="0" w:space="0" w:color="auto"/>
                        <w:right w:val="none" w:sz="0" w:space="0" w:color="auto"/>
                      </w:divBdr>
                    </w:div>
                    <w:div w:id="1592621725">
                      <w:marLeft w:val="0"/>
                      <w:marRight w:val="0"/>
                      <w:marTop w:val="0"/>
                      <w:marBottom w:val="0"/>
                      <w:divBdr>
                        <w:top w:val="none" w:sz="0" w:space="0" w:color="auto"/>
                        <w:left w:val="none" w:sz="0" w:space="0" w:color="auto"/>
                        <w:bottom w:val="none" w:sz="0" w:space="0" w:color="auto"/>
                        <w:right w:val="none" w:sz="0" w:space="0" w:color="auto"/>
                      </w:divBdr>
                    </w:div>
                    <w:div w:id="1672176000">
                      <w:marLeft w:val="0"/>
                      <w:marRight w:val="0"/>
                      <w:marTop w:val="0"/>
                      <w:marBottom w:val="0"/>
                      <w:divBdr>
                        <w:top w:val="none" w:sz="0" w:space="0" w:color="auto"/>
                        <w:left w:val="none" w:sz="0" w:space="0" w:color="auto"/>
                        <w:bottom w:val="none" w:sz="0" w:space="0" w:color="auto"/>
                        <w:right w:val="none" w:sz="0" w:space="0" w:color="auto"/>
                      </w:divBdr>
                    </w:div>
                    <w:div w:id="1844121270">
                      <w:marLeft w:val="0"/>
                      <w:marRight w:val="0"/>
                      <w:marTop w:val="0"/>
                      <w:marBottom w:val="0"/>
                      <w:divBdr>
                        <w:top w:val="none" w:sz="0" w:space="0" w:color="auto"/>
                        <w:left w:val="none" w:sz="0" w:space="0" w:color="auto"/>
                        <w:bottom w:val="none" w:sz="0" w:space="0" w:color="auto"/>
                        <w:right w:val="none" w:sz="0" w:space="0" w:color="auto"/>
                      </w:divBdr>
                    </w:div>
                    <w:div w:id="1914854689">
                      <w:marLeft w:val="0"/>
                      <w:marRight w:val="0"/>
                      <w:marTop w:val="0"/>
                      <w:marBottom w:val="0"/>
                      <w:divBdr>
                        <w:top w:val="none" w:sz="0" w:space="0" w:color="auto"/>
                        <w:left w:val="none" w:sz="0" w:space="0" w:color="auto"/>
                        <w:bottom w:val="none" w:sz="0" w:space="0" w:color="auto"/>
                        <w:right w:val="none" w:sz="0" w:space="0" w:color="auto"/>
                      </w:divBdr>
                    </w:div>
                  </w:divsChild>
                </w:div>
                <w:div w:id="1753357151">
                  <w:marLeft w:val="0"/>
                  <w:marRight w:val="0"/>
                  <w:marTop w:val="0"/>
                  <w:marBottom w:val="0"/>
                  <w:divBdr>
                    <w:top w:val="none" w:sz="0" w:space="0" w:color="auto"/>
                    <w:left w:val="none" w:sz="0" w:space="0" w:color="auto"/>
                    <w:bottom w:val="none" w:sz="0" w:space="0" w:color="auto"/>
                    <w:right w:val="none" w:sz="0" w:space="0" w:color="auto"/>
                  </w:divBdr>
                  <w:divsChild>
                    <w:div w:id="307133150">
                      <w:marLeft w:val="0"/>
                      <w:marRight w:val="0"/>
                      <w:marTop w:val="0"/>
                      <w:marBottom w:val="0"/>
                      <w:divBdr>
                        <w:top w:val="none" w:sz="0" w:space="0" w:color="auto"/>
                        <w:left w:val="none" w:sz="0" w:space="0" w:color="auto"/>
                        <w:bottom w:val="none" w:sz="0" w:space="0" w:color="auto"/>
                        <w:right w:val="none" w:sz="0" w:space="0" w:color="auto"/>
                      </w:divBdr>
                    </w:div>
                    <w:div w:id="395784423">
                      <w:marLeft w:val="0"/>
                      <w:marRight w:val="0"/>
                      <w:marTop w:val="0"/>
                      <w:marBottom w:val="0"/>
                      <w:divBdr>
                        <w:top w:val="none" w:sz="0" w:space="0" w:color="auto"/>
                        <w:left w:val="none" w:sz="0" w:space="0" w:color="auto"/>
                        <w:bottom w:val="none" w:sz="0" w:space="0" w:color="auto"/>
                        <w:right w:val="none" w:sz="0" w:space="0" w:color="auto"/>
                      </w:divBdr>
                    </w:div>
                    <w:div w:id="535120978">
                      <w:marLeft w:val="0"/>
                      <w:marRight w:val="0"/>
                      <w:marTop w:val="0"/>
                      <w:marBottom w:val="0"/>
                      <w:divBdr>
                        <w:top w:val="none" w:sz="0" w:space="0" w:color="auto"/>
                        <w:left w:val="none" w:sz="0" w:space="0" w:color="auto"/>
                        <w:bottom w:val="none" w:sz="0" w:space="0" w:color="auto"/>
                        <w:right w:val="none" w:sz="0" w:space="0" w:color="auto"/>
                      </w:divBdr>
                    </w:div>
                    <w:div w:id="538980596">
                      <w:marLeft w:val="0"/>
                      <w:marRight w:val="0"/>
                      <w:marTop w:val="0"/>
                      <w:marBottom w:val="0"/>
                      <w:divBdr>
                        <w:top w:val="none" w:sz="0" w:space="0" w:color="auto"/>
                        <w:left w:val="none" w:sz="0" w:space="0" w:color="auto"/>
                        <w:bottom w:val="none" w:sz="0" w:space="0" w:color="auto"/>
                        <w:right w:val="none" w:sz="0" w:space="0" w:color="auto"/>
                      </w:divBdr>
                    </w:div>
                    <w:div w:id="797652638">
                      <w:marLeft w:val="0"/>
                      <w:marRight w:val="0"/>
                      <w:marTop w:val="0"/>
                      <w:marBottom w:val="0"/>
                      <w:divBdr>
                        <w:top w:val="none" w:sz="0" w:space="0" w:color="auto"/>
                        <w:left w:val="none" w:sz="0" w:space="0" w:color="auto"/>
                        <w:bottom w:val="none" w:sz="0" w:space="0" w:color="auto"/>
                        <w:right w:val="none" w:sz="0" w:space="0" w:color="auto"/>
                      </w:divBdr>
                    </w:div>
                    <w:div w:id="864976056">
                      <w:marLeft w:val="0"/>
                      <w:marRight w:val="0"/>
                      <w:marTop w:val="0"/>
                      <w:marBottom w:val="0"/>
                      <w:divBdr>
                        <w:top w:val="none" w:sz="0" w:space="0" w:color="auto"/>
                        <w:left w:val="none" w:sz="0" w:space="0" w:color="auto"/>
                        <w:bottom w:val="none" w:sz="0" w:space="0" w:color="auto"/>
                        <w:right w:val="none" w:sz="0" w:space="0" w:color="auto"/>
                      </w:divBdr>
                    </w:div>
                    <w:div w:id="1395423483">
                      <w:marLeft w:val="0"/>
                      <w:marRight w:val="0"/>
                      <w:marTop w:val="0"/>
                      <w:marBottom w:val="0"/>
                      <w:divBdr>
                        <w:top w:val="none" w:sz="0" w:space="0" w:color="auto"/>
                        <w:left w:val="none" w:sz="0" w:space="0" w:color="auto"/>
                        <w:bottom w:val="none" w:sz="0" w:space="0" w:color="auto"/>
                        <w:right w:val="none" w:sz="0" w:space="0" w:color="auto"/>
                      </w:divBdr>
                    </w:div>
                    <w:div w:id="1408067874">
                      <w:marLeft w:val="0"/>
                      <w:marRight w:val="0"/>
                      <w:marTop w:val="0"/>
                      <w:marBottom w:val="0"/>
                      <w:divBdr>
                        <w:top w:val="none" w:sz="0" w:space="0" w:color="auto"/>
                        <w:left w:val="none" w:sz="0" w:space="0" w:color="auto"/>
                        <w:bottom w:val="none" w:sz="0" w:space="0" w:color="auto"/>
                        <w:right w:val="none" w:sz="0" w:space="0" w:color="auto"/>
                      </w:divBdr>
                    </w:div>
                    <w:div w:id="1471553508">
                      <w:marLeft w:val="0"/>
                      <w:marRight w:val="0"/>
                      <w:marTop w:val="0"/>
                      <w:marBottom w:val="0"/>
                      <w:divBdr>
                        <w:top w:val="none" w:sz="0" w:space="0" w:color="auto"/>
                        <w:left w:val="none" w:sz="0" w:space="0" w:color="auto"/>
                        <w:bottom w:val="none" w:sz="0" w:space="0" w:color="auto"/>
                        <w:right w:val="none" w:sz="0" w:space="0" w:color="auto"/>
                      </w:divBdr>
                    </w:div>
                    <w:div w:id="1483425755">
                      <w:marLeft w:val="0"/>
                      <w:marRight w:val="0"/>
                      <w:marTop w:val="0"/>
                      <w:marBottom w:val="0"/>
                      <w:divBdr>
                        <w:top w:val="none" w:sz="0" w:space="0" w:color="auto"/>
                        <w:left w:val="none" w:sz="0" w:space="0" w:color="auto"/>
                        <w:bottom w:val="none" w:sz="0" w:space="0" w:color="auto"/>
                        <w:right w:val="none" w:sz="0" w:space="0" w:color="auto"/>
                      </w:divBdr>
                    </w:div>
                    <w:div w:id="1505630256">
                      <w:marLeft w:val="0"/>
                      <w:marRight w:val="0"/>
                      <w:marTop w:val="0"/>
                      <w:marBottom w:val="0"/>
                      <w:divBdr>
                        <w:top w:val="none" w:sz="0" w:space="0" w:color="auto"/>
                        <w:left w:val="none" w:sz="0" w:space="0" w:color="auto"/>
                        <w:bottom w:val="none" w:sz="0" w:space="0" w:color="auto"/>
                        <w:right w:val="none" w:sz="0" w:space="0" w:color="auto"/>
                      </w:divBdr>
                    </w:div>
                    <w:div w:id="1558659760">
                      <w:marLeft w:val="0"/>
                      <w:marRight w:val="0"/>
                      <w:marTop w:val="0"/>
                      <w:marBottom w:val="0"/>
                      <w:divBdr>
                        <w:top w:val="none" w:sz="0" w:space="0" w:color="auto"/>
                        <w:left w:val="none" w:sz="0" w:space="0" w:color="auto"/>
                        <w:bottom w:val="none" w:sz="0" w:space="0" w:color="auto"/>
                        <w:right w:val="none" w:sz="0" w:space="0" w:color="auto"/>
                      </w:divBdr>
                    </w:div>
                    <w:div w:id="1818574953">
                      <w:marLeft w:val="0"/>
                      <w:marRight w:val="0"/>
                      <w:marTop w:val="0"/>
                      <w:marBottom w:val="0"/>
                      <w:divBdr>
                        <w:top w:val="none" w:sz="0" w:space="0" w:color="auto"/>
                        <w:left w:val="none" w:sz="0" w:space="0" w:color="auto"/>
                        <w:bottom w:val="none" w:sz="0" w:space="0" w:color="auto"/>
                        <w:right w:val="none" w:sz="0" w:space="0" w:color="auto"/>
                      </w:divBdr>
                    </w:div>
                    <w:div w:id="1909414003">
                      <w:marLeft w:val="0"/>
                      <w:marRight w:val="0"/>
                      <w:marTop w:val="0"/>
                      <w:marBottom w:val="0"/>
                      <w:divBdr>
                        <w:top w:val="none" w:sz="0" w:space="0" w:color="auto"/>
                        <w:left w:val="none" w:sz="0" w:space="0" w:color="auto"/>
                        <w:bottom w:val="none" w:sz="0" w:space="0" w:color="auto"/>
                        <w:right w:val="none" w:sz="0" w:space="0" w:color="auto"/>
                      </w:divBdr>
                    </w:div>
                    <w:div w:id="1937247719">
                      <w:marLeft w:val="0"/>
                      <w:marRight w:val="0"/>
                      <w:marTop w:val="0"/>
                      <w:marBottom w:val="0"/>
                      <w:divBdr>
                        <w:top w:val="none" w:sz="0" w:space="0" w:color="auto"/>
                        <w:left w:val="none" w:sz="0" w:space="0" w:color="auto"/>
                        <w:bottom w:val="none" w:sz="0" w:space="0" w:color="auto"/>
                        <w:right w:val="none" w:sz="0" w:space="0" w:color="auto"/>
                      </w:divBdr>
                    </w:div>
                    <w:div w:id="2055158715">
                      <w:marLeft w:val="0"/>
                      <w:marRight w:val="0"/>
                      <w:marTop w:val="0"/>
                      <w:marBottom w:val="0"/>
                      <w:divBdr>
                        <w:top w:val="none" w:sz="0" w:space="0" w:color="auto"/>
                        <w:left w:val="none" w:sz="0" w:space="0" w:color="auto"/>
                        <w:bottom w:val="none" w:sz="0" w:space="0" w:color="auto"/>
                        <w:right w:val="none" w:sz="0" w:space="0" w:color="auto"/>
                      </w:divBdr>
                    </w:div>
                    <w:div w:id="2060207619">
                      <w:marLeft w:val="0"/>
                      <w:marRight w:val="0"/>
                      <w:marTop w:val="0"/>
                      <w:marBottom w:val="0"/>
                      <w:divBdr>
                        <w:top w:val="none" w:sz="0" w:space="0" w:color="auto"/>
                        <w:left w:val="none" w:sz="0" w:space="0" w:color="auto"/>
                        <w:bottom w:val="none" w:sz="0" w:space="0" w:color="auto"/>
                        <w:right w:val="none" w:sz="0" w:space="0" w:color="auto"/>
                      </w:divBdr>
                    </w:div>
                  </w:divsChild>
                </w:div>
                <w:div w:id="1762797463">
                  <w:marLeft w:val="0"/>
                  <w:marRight w:val="0"/>
                  <w:marTop w:val="0"/>
                  <w:marBottom w:val="0"/>
                  <w:divBdr>
                    <w:top w:val="none" w:sz="0" w:space="0" w:color="auto"/>
                    <w:left w:val="none" w:sz="0" w:space="0" w:color="auto"/>
                    <w:bottom w:val="none" w:sz="0" w:space="0" w:color="auto"/>
                    <w:right w:val="none" w:sz="0" w:space="0" w:color="auto"/>
                  </w:divBdr>
                  <w:divsChild>
                    <w:div w:id="424573840">
                      <w:marLeft w:val="0"/>
                      <w:marRight w:val="0"/>
                      <w:marTop w:val="0"/>
                      <w:marBottom w:val="0"/>
                      <w:divBdr>
                        <w:top w:val="none" w:sz="0" w:space="0" w:color="auto"/>
                        <w:left w:val="none" w:sz="0" w:space="0" w:color="auto"/>
                        <w:bottom w:val="none" w:sz="0" w:space="0" w:color="auto"/>
                        <w:right w:val="none" w:sz="0" w:space="0" w:color="auto"/>
                      </w:divBdr>
                    </w:div>
                  </w:divsChild>
                </w:div>
                <w:div w:id="1828396762">
                  <w:marLeft w:val="0"/>
                  <w:marRight w:val="0"/>
                  <w:marTop w:val="0"/>
                  <w:marBottom w:val="0"/>
                  <w:divBdr>
                    <w:top w:val="none" w:sz="0" w:space="0" w:color="auto"/>
                    <w:left w:val="none" w:sz="0" w:space="0" w:color="auto"/>
                    <w:bottom w:val="none" w:sz="0" w:space="0" w:color="auto"/>
                    <w:right w:val="none" w:sz="0" w:space="0" w:color="auto"/>
                  </w:divBdr>
                  <w:divsChild>
                    <w:div w:id="1635867534">
                      <w:marLeft w:val="0"/>
                      <w:marRight w:val="0"/>
                      <w:marTop w:val="0"/>
                      <w:marBottom w:val="0"/>
                      <w:divBdr>
                        <w:top w:val="none" w:sz="0" w:space="0" w:color="auto"/>
                        <w:left w:val="none" w:sz="0" w:space="0" w:color="auto"/>
                        <w:bottom w:val="none" w:sz="0" w:space="0" w:color="auto"/>
                        <w:right w:val="none" w:sz="0" w:space="0" w:color="auto"/>
                      </w:divBdr>
                    </w:div>
                    <w:div w:id="1997608454">
                      <w:marLeft w:val="0"/>
                      <w:marRight w:val="0"/>
                      <w:marTop w:val="0"/>
                      <w:marBottom w:val="0"/>
                      <w:divBdr>
                        <w:top w:val="none" w:sz="0" w:space="0" w:color="auto"/>
                        <w:left w:val="none" w:sz="0" w:space="0" w:color="auto"/>
                        <w:bottom w:val="none" w:sz="0" w:space="0" w:color="auto"/>
                        <w:right w:val="none" w:sz="0" w:space="0" w:color="auto"/>
                      </w:divBdr>
                    </w:div>
                    <w:div w:id="2008631057">
                      <w:marLeft w:val="0"/>
                      <w:marRight w:val="0"/>
                      <w:marTop w:val="0"/>
                      <w:marBottom w:val="0"/>
                      <w:divBdr>
                        <w:top w:val="none" w:sz="0" w:space="0" w:color="auto"/>
                        <w:left w:val="none" w:sz="0" w:space="0" w:color="auto"/>
                        <w:bottom w:val="none" w:sz="0" w:space="0" w:color="auto"/>
                        <w:right w:val="none" w:sz="0" w:space="0" w:color="auto"/>
                      </w:divBdr>
                    </w:div>
                  </w:divsChild>
                </w:div>
                <w:div w:id="1864199559">
                  <w:marLeft w:val="0"/>
                  <w:marRight w:val="0"/>
                  <w:marTop w:val="0"/>
                  <w:marBottom w:val="0"/>
                  <w:divBdr>
                    <w:top w:val="none" w:sz="0" w:space="0" w:color="auto"/>
                    <w:left w:val="none" w:sz="0" w:space="0" w:color="auto"/>
                    <w:bottom w:val="none" w:sz="0" w:space="0" w:color="auto"/>
                    <w:right w:val="none" w:sz="0" w:space="0" w:color="auto"/>
                  </w:divBdr>
                  <w:divsChild>
                    <w:div w:id="33696415">
                      <w:marLeft w:val="0"/>
                      <w:marRight w:val="0"/>
                      <w:marTop w:val="0"/>
                      <w:marBottom w:val="0"/>
                      <w:divBdr>
                        <w:top w:val="none" w:sz="0" w:space="0" w:color="auto"/>
                        <w:left w:val="none" w:sz="0" w:space="0" w:color="auto"/>
                        <w:bottom w:val="none" w:sz="0" w:space="0" w:color="auto"/>
                        <w:right w:val="none" w:sz="0" w:space="0" w:color="auto"/>
                      </w:divBdr>
                    </w:div>
                    <w:div w:id="509568751">
                      <w:marLeft w:val="0"/>
                      <w:marRight w:val="0"/>
                      <w:marTop w:val="0"/>
                      <w:marBottom w:val="0"/>
                      <w:divBdr>
                        <w:top w:val="none" w:sz="0" w:space="0" w:color="auto"/>
                        <w:left w:val="none" w:sz="0" w:space="0" w:color="auto"/>
                        <w:bottom w:val="none" w:sz="0" w:space="0" w:color="auto"/>
                        <w:right w:val="none" w:sz="0" w:space="0" w:color="auto"/>
                      </w:divBdr>
                    </w:div>
                    <w:div w:id="1023363644">
                      <w:marLeft w:val="0"/>
                      <w:marRight w:val="0"/>
                      <w:marTop w:val="0"/>
                      <w:marBottom w:val="0"/>
                      <w:divBdr>
                        <w:top w:val="none" w:sz="0" w:space="0" w:color="auto"/>
                        <w:left w:val="none" w:sz="0" w:space="0" w:color="auto"/>
                        <w:bottom w:val="none" w:sz="0" w:space="0" w:color="auto"/>
                        <w:right w:val="none" w:sz="0" w:space="0" w:color="auto"/>
                      </w:divBdr>
                    </w:div>
                  </w:divsChild>
                </w:div>
                <w:div w:id="1982541013">
                  <w:marLeft w:val="0"/>
                  <w:marRight w:val="0"/>
                  <w:marTop w:val="0"/>
                  <w:marBottom w:val="0"/>
                  <w:divBdr>
                    <w:top w:val="none" w:sz="0" w:space="0" w:color="auto"/>
                    <w:left w:val="none" w:sz="0" w:space="0" w:color="auto"/>
                    <w:bottom w:val="none" w:sz="0" w:space="0" w:color="auto"/>
                    <w:right w:val="none" w:sz="0" w:space="0" w:color="auto"/>
                  </w:divBdr>
                  <w:divsChild>
                    <w:div w:id="1701200587">
                      <w:marLeft w:val="0"/>
                      <w:marRight w:val="0"/>
                      <w:marTop w:val="0"/>
                      <w:marBottom w:val="0"/>
                      <w:divBdr>
                        <w:top w:val="none" w:sz="0" w:space="0" w:color="auto"/>
                        <w:left w:val="none" w:sz="0" w:space="0" w:color="auto"/>
                        <w:bottom w:val="none" w:sz="0" w:space="0" w:color="auto"/>
                        <w:right w:val="none" w:sz="0" w:space="0" w:color="auto"/>
                      </w:divBdr>
                    </w:div>
                  </w:divsChild>
                </w:div>
                <w:div w:id="1988316407">
                  <w:marLeft w:val="0"/>
                  <w:marRight w:val="0"/>
                  <w:marTop w:val="0"/>
                  <w:marBottom w:val="0"/>
                  <w:divBdr>
                    <w:top w:val="none" w:sz="0" w:space="0" w:color="auto"/>
                    <w:left w:val="none" w:sz="0" w:space="0" w:color="auto"/>
                    <w:bottom w:val="none" w:sz="0" w:space="0" w:color="auto"/>
                    <w:right w:val="none" w:sz="0" w:space="0" w:color="auto"/>
                  </w:divBdr>
                  <w:divsChild>
                    <w:div w:id="235018179">
                      <w:marLeft w:val="0"/>
                      <w:marRight w:val="0"/>
                      <w:marTop w:val="0"/>
                      <w:marBottom w:val="0"/>
                      <w:divBdr>
                        <w:top w:val="none" w:sz="0" w:space="0" w:color="auto"/>
                        <w:left w:val="none" w:sz="0" w:space="0" w:color="auto"/>
                        <w:bottom w:val="none" w:sz="0" w:space="0" w:color="auto"/>
                        <w:right w:val="none" w:sz="0" w:space="0" w:color="auto"/>
                      </w:divBdr>
                    </w:div>
                    <w:div w:id="374745171">
                      <w:marLeft w:val="0"/>
                      <w:marRight w:val="0"/>
                      <w:marTop w:val="0"/>
                      <w:marBottom w:val="0"/>
                      <w:divBdr>
                        <w:top w:val="none" w:sz="0" w:space="0" w:color="auto"/>
                        <w:left w:val="none" w:sz="0" w:space="0" w:color="auto"/>
                        <w:bottom w:val="none" w:sz="0" w:space="0" w:color="auto"/>
                        <w:right w:val="none" w:sz="0" w:space="0" w:color="auto"/>
                      </w:divBdr>
                    </w:div>
                    <w:div w:id="717583598">
                      <w:marLeft w:val="0"/>
                      <w:marRight w:val="0"/>
                      <w:marTop w:val="0"/>
                      <w:marBottom w:val="0"/>
                      <w:divBdr>
                        <w:top w:val="none" w:sz="0" w:space="0" w:color="auto"/>
                        <w:left w:val="none" w:sz="0" w:space="0" w:color="auto"/>
                        <w:bottom w:val="none" w:sz="0" w:space="0" w:color="auto"/>
                        <w:right w:val="none" w:sz="0" w:space="0" w:color="auto"/>
                      </w:divBdr>
                    </w:div>
                  </w:divsChild>
                </w:div>
                <w:div w:id="2048293704">
                  <w:marLeft w:val="0"/>
                  <w:marRight w:val="0"/>
                  <w:marTop w:val="0"/>
                  <w:marBottom w:val="0"/>
                  <w:divBdr>
                    <w:top w:val="none" w:sz="0" w:space="0" w:color="auto"/>
                    <w:left w:val="none" w:sz="0" w:space="0" w:color="auto"/>
                    <w:bottom w:val="none" w:sz="0" w:space="0" w:color="auto"/>
                    <w:right w:val="none" w:sz="0" w:space="0" w:color="auto"/>
                  </w:divBdr>
                  <w:divsChild>
                    <w:div w:id="1716664080">
                      <w:marLeft w:val="0"/>
                      <w:marRight w:val="0"/>
                      <w:marTop w:val="0"/>
                      <w:marBottom w:val="0"/>
                      <w:divBdr>
                        <w:top w:val="none" w:sz="0" w:space="0" w:color="auto"/>
                        <w:left w:val="none" w:sz="0" w:space="0" w:color="auto"/>
                        <w:bottom w:val="none" w:sz="0" w:space="0" w:color="auto"/>
                        <w:right w:val="none" w:sz="0" w:space="0" w:color="auto"/>
                      </w:divBdr>
                    </w:div>
                    <w:div w:id="1946231333">
                      <w:marLeft w:val="0"/>
                      <w:marRight w:val="0"/>
                      <w:marTop w:val="0"/>
                      <w:marBottom w:val="0"/>
                      <w:divBdr>
                        <w:top w:val="none" w:sz="0" w:space="0" w:color="auto"/>
                        <w:left w:val="none" w:sz="0" w:space="0" w:color="auto"/>
                        <w:bottom w:val="none" w:sz="0" w:space="0" w:color="auto"/>
                        <w:right w:val="none" w:sz="0" w:space="0" w:color="auto"/>
                      </w:divBdr>
                    </w:div>
                    <w:div w:id="2102288867">
                      <w:marLeft w:val="0"/>
                      <w:marRight w:val="0"/>
                      <w:marTop w:val="0"/>
                      <w:marBottom w:val="0"/>
                      <w:divBdr>
                        <w:top w:val="none" w:sz="0" w:space="0" w:color="auto"/>
                        <w:left w:val="none" w:sz="0" w:space="0" w:color="auto"/>
                        <w:bottom w:val="none" w:sz="0" w:space="0" w:color="auto"/>
                        <w:right w:val="none" w:sz="0" w:space="0" w:color="auto"/>
                      </w:divBdr>
                    </w:div>
                  </w:divsChild>
                </w:div>
                <w:div w:id="2062054874">
                  <w:marLeft w:val="0"/>
                  <w:marRight w:val="0"/>
                  <w:marTop w:val="0"/>
                  <w:marBottom w:val="0"/>
                  <w:divBdr>
                    <w:top w:val="none" w:sz="0" w:space="0" w:color="auto"/>
                    <w:left w:val="none" w:sz="0" w:space="0" w:color="auto"/>
                    <w:bottom w:val="none" w:sz="0" w:space="0" w:color="auto"/>
                    <w:right w:val="none" w:sz="0" w:space="0" w:color="auto"/>
                  </w:divBdr>
                  <w:divsChild>
                    <w:div w:id="1975211407">
                      <w:marLeft w:val="0"/>
                      <w:marRight w:val="0"/>
                      <w:marTop w:val="0"/>
                      <w:marBottom w:val="0"/>
                      <w:divBdr>
                        <w:top w:val="none" w:sz="0" w:space="0" w:color="auto"/>
                        <w:left w:val="none" w:sz="0" w:space="0" w:color="auto"/>
                        <w:bottom w:val="none" w:sz="0" w:space="0" w:color="auto"/>
                        <w:right w:val="none" w:sz="0" w:space="0" w:color="auto"/>
                      </w:divBdr>
                    </w:div>
                  </w:divsChild>
                </w:div>
                <w:div w:id="2074740946">
                  <w:marLeft w:val="0"/>
                  <w:marRight w:val="0"/>
                  <w:marTop w:val="0"/>
                  <w:marBottom w:val="0"/>
                  <w:divBdr>
                    <w:top w:val="none" w:sz="0" w:space="0" w:color="auto"/>
                    <w:left w:val="none" w:sz="0" w:space="0" w:color="auto"/>
                    <w:bottom w:val="none" w:sz="0" w:space="0" w:color="auto"/>
                    <w:right w:val="none" w:sz="0" w:space="0" w:color="auto"/>
                  </w:divBdr>
                  <w:divsChild>
                    <w:div w:id="2781503">
                      <w:marLeft w:val="0"/>
                      <w:marRight w:val="0"/>
                      <w:marTop w:val="0"/>
                      <w:marBottom w:val="0"/>
                      <w:divBdr>
                        <w:top w:val="none" w:sz="0" w:space="0" w:color="auto"/>
                        <w:left w:val="none" w:sz="0" w:space="0" w:color="auto"/>
                        <w:bottom w:val="none" w:sz="0" w:space="0" w:color="auto"/>
                        <w:right w:val="none" w:sz="0" w:space="0" w:color="auto"/>
                      </w:divBdr>
                    </w:div>
                    <w:div w:id="353189900">
                      <w:marLeft w:val="0"/>
                      <w:marRight w:val="0"/>
                      <w:marTop w:val="0"/>
                      <w:marBottom w:val="0"/>
                      <w:divBdr>
                        <w:top w:val="none" w:sz="0" w:space="0" w:color="auto"/>
                        <w:left w:val="none" w:sz="0" w:space="0" w:color="auto"/>
                        <w:bottom w:val="none" w:sz="0" w:space="0" w:color="auto"/>
                        <w:right w:val="none" w:sz="0" w:space="0" w:color="auto"/>
                      </w:divBdr>
                    </w:div>
                    <w:div w:id="386690038">
                      <w:marLeft w:val="0"/>
                      <w:marRight w:val="0"/>
                      <w:marTop w:val="0"/>
                      <w:marBottom w:val="0"/>
                      <w:divBdr>
                        <w:top w:val="none" w:sz="0" w:space="0" w:color="auto"/>
                        <w:left w:val="none" w:sz="0" w:space="0" w:color="auto"/>
                        <w:bottom w:val="none" w:sz="0" w:space="0" w:color="auto"/>
                        <w:right w:val="none" w:sz="0" w:space="0" w:color="auto"/>
                      </w:divBdr>
                    </w:div>
                    <w:div w:id="406655034">
                      <w:marLeft w:val="0"/>
                      <w:marRight w:val="0"/>
                      <w:marTop w:val="0"/>
                      <w:marBottom w:val="0"/>
                      <w:divBdr>
                        <w:top w:val="none" w:sz="0" w:space="0" w:color="auto"/>
                        <w:left w:val="none" w:sz="0" w:space="0" w:color="auto"/>
                        <w:bottom w:val="none" w:sz="0" w:space="0" w:color="auto"/>
                        <w:right w:val="none" w:sz="0" w:space="0" w:color="auto"/>
                      </w:divBdr>
                    </w:div>
                    <w:div w:id="429086840">
                      <w:marLeft w:val="0"/>
                      <w:marRight w:val="0"/>
                      <w:marTop w:val="0"/>
                      <w:marBottom w:val="0"/>
                      <w:divBdr>
                        <w:top w:val="none" w:sz="0" w:space="0" w:color="auto"/>
                        <w:left w:val="none" w:sz="0" w:space="0" w:color="auto"/>
                        <w:bottom w:val="none" w:sz="0" w:space="0" w:color="auto"/>
                        <w:right w:val="none" w:sz="0" w:space="0" w:color="auto"/>
                      </w:divBdr>
                    </w:div>
                    <w:div w:id="1564440302">
                      <w:marLeft w:val="0"/>
                      <w:marRight w:val="0"/>
                      <w:marTop w:val="0"/>
                      <w:marBottom w:val="0"/>
                      <w:divBdr>
                        <w:top w:val="none" w:sz="0" w:space="0" w:color="auto"/>
                        <w:left w:val="none" w:sz="0" w:space="0" w:color="auto"/>
                        <w:bottom w:val="none" w:sz="0" w:space="0" w:color="auto"/>
                        <w:right w:val="none" w:sz="0" w:space="0" w:color="auto"/>
                      </w:divBdr>
                    </w:div>
                    <w:div w:id="160348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63201">
          <w:marLeft w:val="0"/>
          <w:marRight w:val="0"/>
          <w:marTop w:val="0"/>
          <w:marBottom w:val="0"/>
          <w:divBdr>
            <w:top w:val="none" w:sz="0" w:space="0" w:color="auto"/>
            <w:left w:val="none" w:sz="0" w:space="0" w:color="auto"/>
            <w:bottom w:val="none" w:sz="0" w:space="0" w:color="auto"/>
            <w:right w:val="none" w:sz="0" w:space="0" w:color="auto"/>
          </w:divBdr>
        </w:div>
        <w:div w:id="817918348">
          <w:marLeft w:val="0"/>
          <w:marRight w:val="0"/>
          <w:marTop w:val="0"/>
          <w:marBottom w:val="0"/>
          <w:divBdr>
            <w:top w:val="none" w:sz="0" w:space="0" w:color="auto"/>
            <w:left w:val="none" w:sz="0" w:space="0" w:color="auto"/>
            <w:bottom w:val="none" w:sz="0" w:space="0" w:color="auto"/>
            <w:right w:val="none" w:sz="0" w:space="0" w:color="auto"/>
          </w:divBdr>
        </w:div>
        <w:div w:id="859589235">
          <w:marLeft w:val="0"/>
          <w:marRight w:val="0"/>
          <w:marTop w:val="0"/>
          <w:marBottom w:val="0"/>
          <w:divBdr>
            <w:top w:val="none" w:sz="0" w:space="0" w:color="auto"/>
            <w:left w:val="none" w:sz="0" w:space="0" w:color="auto"/>
            <w:bottom w:val="none" w:sz="0" w:space="0" w:color="auto"/>
            <w:right w:val="none" w:sz="0" w:space="0" w:color="auto"/>
          </w:divBdr>
        </w:div>
        <w:div w:id="1037242879">
          <w:marLeft w:val="0"/>
          <w:marRight w:val="0"/>
          <w:marTop w:val="0"/>
          <w:marBottom w:val="0"/>
          <w:divBdr>
            <w:top w:val="none" w:sz="0" w:space="0" w:color="auto"/>
            <w:left w:val="none" w:sz="0" w:space="0" w:color="auto"/>
            <w:bottom w:val="none" w:sz="0" w:space="0" w:color="auto"/>
            <w:right w:val="none" w:sz="0" w:space="0" w:color="auto"/>
          </w:divBdr>
        </w:div>
        <w:div w:id="1046640898">
          <w:marLeft w:val="0"/>
          <w:marRight w:val="0"/>
          <w:marTop w:val="0"/>
          <w:marBottom w:val="0"/>
          <w:divBdr>
            <w:top w:val="none" w:sz="0" w:space="0" w:color="auto"/>
            <w:left w:val="none" w:sz="0" w:space="0" w:color="auto"/>
            <w:bottom w:val="none" w:sz="0" w:space="0" w:color="auto"/>
            <w:right w:val="none" w:sz="0" w:space="0" w:color="auto"/>
          </w:divBdr>
        </w:div>
        <w:div w:id="1072235402">
          <w:marLeft w:val="0"/>
          <w:marRight w:val="0"/>
          <w:marTop w:val="0"/>
          <w:marBottom w:val="0"/>
          <w:divBdr>
            <w:top w:val="none" w:sz="0" w:space="0" w:color="auto"/>
            <w:left w:val="none" w:sz="0" w:space="0" w:color="auto"/>
            <w:bottom w:val="none" w:sz="0" w:space="0" w:color="auto"/>
            <w:right w:val="none" w:sz="0" w:space="0" w:color="auto"/>
          </w:divBdr>
        </w:div>
        <w:div w:id="1109544100">
          <w:marLeft w:val="0"/>
          <w:marRight w:val="0"/>
          <w:marTop w:val="0"/>
          <w:marBottom w:val="0"/>
          <w:divBdr>
            <w:top w:val="none" w:sz="0" w:space="0" w:color="auto"/>
            <w:left w:val="none" w:sz="0" w:space="0" w:color="auto"/>
            <w:bottom w:val="none" w:sz="0" w:space="0" w:color="auto"/>
            <w:right w:val="none" w:sz="0" w:space="0" w:color="auto"/>
          </w:divBdr>
        </w:div>
        <w:div w:id="1123694282">
          <w:marLeft w:val="0"/>
          <w:marRight w:val="0"/>
          <w:marTop w:val="0"/>
          <w:marBottom w:val="0"/>
          <w:divBdr>
            <w:top w:val="none" w:sz="0" w:space="0" w:color="auto"/>
            <w:left w:val="none" w:sz="0" w:space="0" w:color="auto"/>
            <w:bottom w:val="none" w:sz="0" w:space="0" w:color="auto"/>
            <w:right w:val="none" w:sz="0" w:space="0" w:color="auto"/>
          </w:divBdr>
        </w:div>
        <w:div w:id="1148866577">
          <w:marLeft w:val="0"/>
          <w:marRight w:val="0"/>
          <w:marTop w:val="0"/>
          <w:marBottom w:val="0"/>
          <w:divBdr>
            <w:top w:val="none" w:sz="0" w:space="0" w:color="auto"/>
            <w:left w:val="none" w:sz="0" w:space="0" w:color="auto"/>
            <w:bottom w:val="none" w:sz="0" w:space="0" w:color="auto"/>
            <w:right w:val="none" w:sz="0" w:space="0" w:color="auto"/>
          </w:divBdr>
        </w:div>
        <w:div w:id="1279484359">
          <w:marLeft w:val="0"/>
          <w:marRight w:val="0"/>
          <w:marTop w:val="0"/>
          <w:marBottom w:val="0"/>
          <w:divBdr>
            <w:top w:val="none" w:sz="0" w:space="0" w:color="auto"/>
            <w:left w:val="none" w:sz="0" w:space="0" w:color="auto"/>
            <w:bottom w:val="none" w:sz="0" w:space="0" w:color="auto"/>
            <w:right w:val="none" w:sz="0" w:space="0" w:color="auto"/>
          </w:divBdr>
        </w:div>
        <w:div w:id="1282032582">
          <w:marLeft w:val="0"/>
          <w:marRight w:val="0"/>
          <w:marTop w:val="0"/>
          <w:marBottom w:val="0"/>
          <w:divBdr>
            <w:top w:val="none" w:sz="0" w:space="0" w:color="auto"/>
            <w:left w:val="none" w:sz="0" w:space="0" w:color="auto"/>
            <w:bottom w:val="none" w:sz="0" w:space="0" w:color="auto"/>
            <w:right w:val="none" w:sz="0" w:space="0" w:color="auto"/>
          </w:divBdr>
        </w:div>
        <w:div w:id="1301689037">
          <w:marLeft w:val="0"/>
          <w:marRight w:val="0"/>
          <w:marTop w:val="0"/>
          <w:marBottom w:val="0"/>
          <w:divBdr>
            <w:top w:val="none" w:sz="0" w:space="0" w:color="auto"/>
            <w:left w:val="none" w:sz="0" w:space="0" w:color="auto"/>
            <w:bottom w:val="none" w:sz="0" w:space="0" w:color="auto"/>
            <w:right w:val="none" w:sz="0" w:space="0" w:color="auto"/>
          </w:divBdr>
        </w:div>
        <w:div w:id="1513491729">
          <w:marLeft w:val="0"/>
          <w:marRight w:val="0"/>
          <w:marTop w:val="0"/>
          <w:marBottom w:val="0"/>
          <w:divBdr>
            <w:top w:val="none" w:sz="0" w:space="0" w:color="auto"/>
            <w:left w:val="none" w:sz="0" w:space="0" w:color="auto"/>
            <w:bottom w:val="none" w:sz="0" w:space="0" w:color="auto"/>
            <w:right w:val="none" w:sz="0" w:space="0" w:color="auto"/>
          </w:divBdr>
        </w:div>
        <w:div w:id="1540823476">
          <w:marLeft w:val="0"/>
          <w:marRight w:val="0"/>
          <w:marTop w:val="0"/>
          <w:marBottom w:val="0"/>
          <w:divBdr>
            <w:top w:val="none" w:sz="0" w:space="0" w:color="auto"/>
            <w:left w:val="none" w:sz="0" w:space="0" w:color="auto"/>
            <w:bottom w:val="none" w:sz="0" w:space="0" w:color="auto"/>
            <w:right w:val="none" w:sz="0" w:space="0" w:color="auto"/>
          </w:divBdr>
        </w:div>
        <w:div w:id="1623733971">
          <w:marLeft w:val="0"/>
          <w:marRight w:val="0"/>
          <w:marTop w:val="0"/>
          <w:marBottom w:val="0"/>
          <w:divBdr>
            <w:top w:val="none" w:sz="0" w:space="0" w:color="auto"/>
            <w:left w:val="none" w:sz="0" w:space="0" w:color="auto"/>
            <w:bottom w:val="none" w:sz="0" w:space="0" w:color="auto"/>
            <w:right w:val="none" w:sz="0" w:space="0" w:color="auto"/>
          </w:divBdr>
        </w:div>
        <w:div w:id="1673799106">
          <w:marLeft w:val="0"/>
          <w:marRight w:val="0"/>
          <w:marTop w:val="0"/>
          <w:marBottom w:val="0"/>
          <w:divBdr>
            <w:top w:val="none" w:sz="0" w:space="0" w:color="auto"/>
            <w:left w:val="none" w:sz="0" w:space="0" w:color="auto"/>
            <w:bottom w:val="none" w:sz="0" w:space="0" w:color="auto"/>
            <w:right w:val="none" w:sz="0" w:space="0" w:color="auto"/>
          </w:divBdr>
        </w:div>
        <w:div w:id="1721320132">
          <w:marLeft w:val="0"/>
          <w:marRight w:val="0"/>
          <w:marTop w:val="0"/>
          <w:marBottom w:val="0"/>
          <w:divBdr>
            <w:top w:val="none" w:sz="0" w:space="0" w:color="auto"/>
            <w:left w:val="none" w:sz="0" w:space="0" w:color="auto"/>
            <w:bottom w:val="none" w:sz="0" w:space="0" w:color="auto"/>
            <w:right w:val="none" w:sz="0" w:space="0" w:color="auto"/>
          </w:divBdr>
        </w:div>
        <w:div w:id="1762874012">
          <w:marLeft w:val="0"/>
          <w:marRight w:val="0"/>
          <w:marTop w:val="0"/>
          <w:marBottom w:val="0"/>
          <w:divBdr>
            <w:top w:val="none" w:sz="0" w:space="0" w:color="auto"/>
            <w:left w:val="none" w:sz="0" w:space="0" w:color="auto"/>
            <w:bottom w:val="none" w:sz="0" w:space="0" w:color="auto"/>
            <w:right w:val="none" w:sz="0" w:space="0" w:color="auto"/>
          </w:divBdr>
        </w:div>
        <w:div w:id="1839999429">
          <w:marLeft w:val="0"/>
          <w:marRight w:val="0"/>
          <w:marTop w:val="0"/>
          <w:marBottom w:val="0"/>
          <w:divBdr>
            <w:top w:val="none" w:sz="0" w:space="0" w:color="auto"/>
            <w:left w:val="none" w:sz="0" w:space="0" w:color="auto"/>
            <w:bottom w:val="none" w:sz="0" w:space="0" w:color="auto"/>
            <w:right w:val="none" w:sz="0" w:space="0" w:color="auto"/>
          </w:divBdr>
        </w:div>
        <w:div w:id="1887909884">
          <w:marLeft w:val="0"/>
          <w:marRight w:val="0"/>
          <w:marTop w:val="0"/>
          <w:marBottom w:val="0"/>
          <w:divBdr>
            <w:top w:val="none" w:sz="0" w:space="0" w:color="auto"/>
            <w:left w:val="none" w:sz="0" w:space="0" w:color="auto"/>
            <w:bottom w:val="none" w:sz="0" w:space="0" w:color="auto"/>
            <w:right w:val="none" w:sz="0" w:space="0" w:color="auto"/>
          </w:divBdr>
        </w:div>
        <w:div w:id="1981298021">
          <w:marLeft w:val="0"/>
          <w:marRight w:val="0"/>
          <w:marTop w:val="0"/>
          <w:marBottom w:val="0"/>
          <w:divBdr>
            <w:top w:val="none" w:sz="0" w:space="0" w:color="auto"/>
            <w:left w:val="none" w:sz="0" w:space="0" w:color="auto"/>
            <w:bottom w:val="none" w:sz="0" w:space="0" w:color="auto"/>
            <w:right w:val="none" w:sz="0" w:space="0" w:color="auto"/>
          </w:divBdr>
        </w:div>
        <w:div w:id="2002073815">
          <w:marLeft w:val="0"/>
          <w:marRight w:val="0"/>
          <w:marTop w:val="0"/>
          <w:marBottom w:val="0"/>
          <w:divBdr>
            <w:top w:val="none" w:sz="0" w:space="0" w:color="auto"/>
            <w:left w:val="none" w:sz="0" w:space="0" w:color="auto"/>
            <w:bottom w:val="none" w:sz="0" w:space="0" w:color="auto"/>
            <w:right w:val="none" w:sz="0" w:space="0" w:color="auto"/>
          </w:divBdr>
        </w:div>
        <w:div w:id="2083675509">
          <w:marLeft w:val="0"/>
          <w:marRight w:val="0"/>
          <w:marTop w:val="0"/>
          <w:marBottom w:val="0"/>
          <w:divBdr>
            <w:top w:val="none" w:sz="0" w:space="0" w:color="auto"/>
            <w:left w:val="none" w:sz="0" w:space="0" w:color="auto"/>
            <w:bottom w:val="none" w:sz="0" w:space="0" w:color="auto"/>
            <w:right w:val="none" w:sz="0" w:space="0" w:color="auto"/>
          </w:divBdr>
        </w:div>
        <w:div w:id="2084329525">
          <w:marLeft w:val="0"/>
          <w:marRight w:val="0"/>
          <w:marTop w:val="0"/>
          <w:marBottom w:val="0"/>
          <w:divBdr>
            <w:top w:val="none" w:sz="0" w:space="0" w:color="auto"/>
            <w:left w:val="none" w:sz="0" w:space="0" w:color="auto"/>
            <w:bottom w:val="none" w:sz="0" w:space="0" w:color="auto"/>
            <w:right w:val="none" w:sz="0" w:space="0" w:color="auto"/>
          </w:divBdr>
        </w:div>
      </w:divsChild>
    </w:div>
    <w:div w:id="1685782559">
      <w:bodyDiv w:val="1"/>
      <w:marLeft w:val="0"/>
      <w:marRight w:val="0"/>
      <w:marTop w:val="0"/>
      <w:marBottom w:val="0"/>
      <w:divBdr>
        <w:top w:val="none" w:sz="0" w:space="0" w:color="auto"/>
        <w:left w:val="none" w:sz="0" w:space="0" w:color="auto"/>
        <w:bottom w:val="none" w:sz="0" w:space="0" w:color="auto"/>
        <w:right w:val="none" w:sz="0" w:space="0" w:color="auto"/>
      </w:divBdr>
      <w:divsChild>
        <w:div w:id="211230704">
          <w:marLeft w:val="0"/>
          <w:marRight w:val="0"/>
          <w:marTop w:val="0"/>
          <w:marBottom w:val="0"/>
          <w:divBdr>
            <w:top w:val="none" w:sz="0" w:space="0" w:color="auto"/>
            <w:left w:val="none" w:sz="0" w:space="0" w:color="auto"/>
            <w:bottom w:val="none" w:sz="0" w:space="0" w:color="auto"/>
            <w:right w:val="none" w:sz="0" w:space="0" w:color="auto"/>
          </w:divBdr>
          <w:divsChild>
            <w:div w:id="52391088">
              <w:marLeft w:val="0"/>
              <w:marRight w:val="0"/>
              <w:marTop w:val="0"/>
              <w:marBottom w:val="0"/>
              <w:divBdr>
                <w:top w:val="none" w:sz="0" w:space="0" w:color="auto"/>
                <w:left w:val="none" w:sz="0" w:space="0" w:color="auto"/>
                <w:bottom w:val="none" w:sz="0" w:space="0" w:color="auto"/>
                <w:right w:val="none" w:sz="0" w:space="0" w:color="auto"/>
              </w:divBdr>
            </w:div>
            <w:div w:id="102700169">
              <w:marLeft w:val="0"/>
              <w:marRight w:val="0"/>
              <w:marTop w:val="0"/>
              <w:marBottom w:val="0"/>
              <w:divBdr>
                <w:top w:val="none" w:sz="0" w:space="0" w:color="auto"/>
                <w:left w:val="none" w:sz="0" w:space="0" w:color="auto"/>
                <w:bottom w:val="none" w:sz="0" w:space="0" w:color="auto"/>
                <w:right w:val="none" w:sz="0" w:space="0" w:color="auto"/>
              </w:divBdr>
            </w:div>
            <w:div w:id="231627953">
              <w:marLeft w:val="0"/>
              <w:marRight w:val="0"/>
              <w:marTop w:val="0"/>
              <w:marBottom w:val="0"/>
              <w:divBdr>
                <w:top w:val="none" w:sz="0" w:space="0" w:color="auto"/>
                <w:left w:val="none" w:sz="0" w:space="0" w:color="auto"/>
                <w:bottom w:val="none" w:sz="0" w:space="0" w:color="auto"/>
                <w:right w:val="none" w:sz="0" w:space="0" w:color="auto"/>
              </w:divBdr>
            </w:div>
            <w:div w:id="427235408">
              <w:marLeft w:val="0"/>
              <w:marRight w:val="0"/>
              <w:marTop w:val="0"/>
              <w:marBottom w:val="0"/>
              <w:divBdr>
                <w:top w:val="none" w:sz="0" w:space="0" w:color="auto"/>
                <w:left w:val="none" w:sz="0" w:space="0" w:color="auto"/>
                <w:bottom w:val="none" w:sz="0" w:space="0" w:color="auto"/>
                <w:right w:val="none" w:sz="0" w:space="0" w:color="auto"/>
              </w:divBdr>
            </w:div>
            <w:div w:id="521432073">
              <w:marLeft w:val="0"/>
              <w:marRight w:val="0"/>
              <w:marTop w:val="0"/>
              <w:marBottom w:val="0"/>
              <w:divBdr>
                <w:top w:val="none" w:sz="0" w:space="0" w:color="auto"/>
                <w:left w:val="none" w:sz="0" w:space="0" w:color="auto"/>
                <w:bottom w:val="none" w:sz="0" w:space="0" w:color="auto"/>
                <w:right w:val="none" w:sz="0" w:space="0" w:color="auto"/>
              </w:divBdr>
            </w:div>
            <w:div w:id="564297197">
              <w:marLeft w:val="0"/>
              <w:marRight w:val="0"/>
              <w:marTop w:val="0"/>
              <w:marBottom w:val="0"/>
              <w:divBdr>
                <w:top w:val="none" w:sz="0" w:space="0" w:color="auto"/>
                <w:left w:val="none" w:sz="0" w:space="0" w:color="auto"/>
                <w:bottom w:val="none" w:sz="0" w:space="0" w:color="auto"/>
                <w:right w:val="none" w:sz="0" w:space="0" w:color="auto"/>
              </w:divBdr>
            </w:div>
            <w:div w:id="652488027">
              <w:marLeft w:val="0"/>
              <w:marRight w:val="0"/>
              <w:marTop w:val="0"/>
              <w:marBottom w:val="0"/>
              <w:divBdr>
                <w:top w:val="none" w:sz="0" w:space="0" w:color="auto"/>
                <w:left w:val="none" w:sz="0" w:space="0" w:color="auto"/>
                <w:bottom w:val="none" w:sz="0" w:space="0" w:color="auto"/>
                <w:right w:val="none" w:sz="0" w:space="0" w:color="auto"/>
              </w:divBdr>
            </w:div>
            <w:div w:id="663624288">
              <w:marLeft w:val="0"/>
              <w:marRight w:val="0"/>
              <w:marTop w:val="0"/>
              <w:marBottom w:val="0"/>
              <w:divBdr>
                <w:top w:val="none" w:sz="0" w:space="0" w:color="auto"/>
                <w:left w:val="none" w:sz="0" w:space="0" w:color="auto"/>
                <w:bottom w:val="none" w:sz="0" w:space="0" w:color="auto"/>
                <w:right w:val="none" w:sz="0" w:space="0" w:color="auto"/>
              </w:divBdr>
            </w:div>
            <w:div w:id="767164644">
              <w:marLeft w:val="0"/>
              <w:marRight w:val="0"/>
              <w:marTop w:val="0"/>
              <w:marBottom w:val="0"/>
              <w:divBdr>
                <w:top w:val="none" w:sz="0" w:space="0" w:color="auto"/>
                <w:left w:val="none" w:sz="0" w:space="0" w:color="auto"/>
                <w:bottom w:val="none" w:sz="0" w:space="0" w:color="auto"/>
                <w:right w:val="none" w:sz="0" w:space="0" w:color="auto"/>
              </w:divBdr>
            </w:div>
            <w:div w:id="925843007">
              <w:marLeft w:val="0"/>
              <w:marRight w:val="0"/>
              <w:marTop w:val="0"/>
              <w:marBottom w:val="0"/>
              <w:divBdr>
                <w:top w:val="none" w:sz="0" w:space="0" w:color="auto"/>
                <w:left w:val="none" w:sz="0" w:space="0" w:color="auto"/>
                <w:bottom w:val="none" w:sz="0" w:space="0" w:color="auto"/>
                <w:right w:val="none" w:sz="0" w:space="0" w:color="auto"/>
              </w:divBdr>
            </w:div>
            <w:div w:id="982737776">
              <w:marLeft w:val="0"/>
              <w:marRight w:val="0"/>
              <w:marTop w:val="0"/>
              <w:marBottom w:val="0"/>
              <w:divBdr>
                <w:top w:val="none" w:sz="0" w:space="0" w:color="auto"/>
                <w:left w:val="none" w:sz="0" w:space="0" w:color="auto"/>
                <w:bottom w:val="none" w:sz="0" w:space="0" w:color="auto"/>
                <w:right w:val="none" w:sz="0" w:space="0" w:color="auto"/>
              </w:divBdr>
            </w:div>
            <w:div w:id="1122649107">
              <w:marLeft w:val="0"/>
              <w:marRight w:val="0"/>
              <w:marTop w:val="0"/>
              <w:marBottom w:val="0"/>
              <w:divBdr>
                <w:top w:val="none" w:sz="0" w:space="0" w:color="auto"/>
                <w:left w:val="none" w:sz="0" w:space="0" w:color="auto"/>
                <w:bottom w:val="none" w:sz="0" w:space="0" w:color="auto"/>
                <w:right w:val="none" w:sz="0" w:space="0" w:color="auto"/>
              </w:divBdr>
            </w:div>
            <w:div w:id="1273130660">
              <w:marLeft w:val="0"/>
              <w:marRight w:val="0"/>
              <w:marTop w:val="0"/>
              <w:marBottom w:val="0"/>
              <w:divBdr>
                <w:top w:val="none" w:sz="0" w:space="0" w:color="auto"/>
                <w:left w:val="none" w:sz="0" w:space="0" w:color="auto"/>
                <w:bottom w:val="none" w:sz="0" w:space="0" w:color="auto"/>
                <w:right w:val="none" w:sz="0" w:space="0" w:color="auto"/>
              </w:divBdr>
            </w:div>
            <w:div w:id="1619292715">
              <w:marLeft w:val="0"/>
              <w:marRight w:val="0"/>
              <w:marTop w:val="0"/>
              <w:marBottom w:val="0"/>
              <w:divBdr>
                <w:top w:val="none" w:sz="0" w:space="0" w:color="auto"/>
                <w:left w:val="none" w:sz="0" w:space="0" w:color="auto"/>
                <w:bottom w:val="none" w:sz="0" w:space="0" w:color="auto"/>
                <w:right w:val="none" w:sz="0" w:space="0" w:color="auto"/>
              </w:divBdr>
            </w:div>
            <w:div w:id="1657950093">
              <w:marLeft w:val="0"/>
              <w:marRight w:val="0"/>
              <w:marTop w:val="0"/>
              <w:marBottom w:val="0"/>
              <w:divBdr>
                <w:top w:val="none" w:sz="0" w:space="0" w:color="auto"/>
                <w:left w:val="none" w:sz="0" w:space="0" w:color="auto"/>
                <w:bottom w:val="none" w:sz="0" w:space="0" w:color="auto"/>
                <w:right w:val="none" w:sz="0" w:space="0" w:color="auto"/>
              </w:divBdr>
            </w:div>
            <w:div w:id="1678386929">
              <w:marLeft w:val="0"/>
              <w:marRight w:val="0"/>
              <w:marTop w:val="0"/>
              <w:marBottom w:val="0"/>
              <w:divBdr>
                <w:top w:val="none" w:sz="0" w:space="0" w:color="auto"/>
                <w:left w:val="none" w:sz="0" w:space="0" w:color="auto"/>
                <w:bottom w:val="none" w:sz="0" w:space="0" w:color="auto"/>
                <w:right w:val="none" w:sz="0" w:space="0" w:color="auto"/>
              </w:divBdr>
            </w:div>
            <w:div w:id="1943225758">
              <w:marLeft w:val="0"/>
              <w:marRight w:val="0"/>
              <w:marTop w:val="0"/>
              <w:marBottom w:val="0"/>
              <w:divBdr>
                <w:top w:val="none" w:sz="0" w:space="0" w:color="auto"/>
                <w:left w:val="none" w:sz="0" w:space="0" w:color="auto"/>
                <w:bottom w:val="none" w:sz="0" w:space="0" w:color="auto"/>
                <w:right w:val="none" w:sz="0" w:space="0" w:color="auto"/>
              </w:divBdr>
            </w:div>
            <w:div w:id="1948195431">
              <w:marLeft w:val="0"/>
              <w:marRight w:val="0"/>
              <w:marTop w:val="0"/>
              <w:marBottom w:val="0"/>
              <w:divBdr>
                <w:top w:val="none" w:sz="0" w:space="0" w:color="auto"/>
                <w:left w:val="none" w:sz="0" w:space="0" w:color="auto"/>
                <w:bottom w:val="none" w:sz="0" w:space="0" w:color="auto"/>
                <w:right w:val="none" w:sz="0" w:space="0" w:color="auto"/>
              </w:divBdr>
            </w:div>
            <w:div w:id="1998873619">
              <w:marLeft w:val="0"/>
              <w:marRight w:val="0"/>
              <w:marTop w:val="0"/>
              <w:marBottom w:val="0"/>
              <w:divBdr>
                <w:top w:val="none" w:sz="0" w:space="0" w:color="auto"/>
                <w:left w:val="none" w:sz="0" w:space="0" w:color="auto"/>
                <w:bottom w:val="none" w:sz="0" w:space="0" w:color="auto"/>
                <w:right w:val="none" w:sz="0" w:space="0" w:color="auto"/>
              </w:divBdr>
            </w:div>
            <w:div w:id="2049333482">
              <w:marLeft w:val="0"/>
              <w:marRight w:val="0"/>
              <w:marTop w:val="0"/>
              <w:marBottom w:val="0"/>
              <w:divBdr>
                <w:top w:val="none" w:sz="0" w:space="0" w:color="auto"/>
                <w:left w:val="none" w:sz="0" w:space="0" w:color="auto"/>
                <w:bottom w:val="none" w:sz="0" w:space="0" w:color="auto"/>
                <w:right w:val="none" w:sz="0" w:space="0" w:color="auto"/>
              </w:divBdr>
            </w:div>
          </w:divsChild>
        </w:div>
        <w:div w:id="218135068">
          <w:marLeft w:val="0"/>
          <w:marRight w:val="0"/>
          <w:marTop w:val="0"/>
          <w:marBottom w:val="0"/>
          <w:divBdr>
            <w:top w:val="none" w:sz="0" w:space="0" w:color="auto"/>
            <w:left w:val="none" w:sz="0" w:space="0" w:color="auto"/>
            <w:bottom w:val="none" w:sz="0" w:space="0" w:color="auto"/>
            <w:right w:val="none" w:sz="0" w:space="0" w:color="auto"/>
          </w:divBdr>
        </w:div>
        <w:div w:id="315184867">
          <w:marLeft w:val="0"/>
          <w:marRight w:val="0"/>
          <w:marTop w:val="0"/>
          <w:marBottom w:val="0"/>
          <w:divBdr>
            <w:top w:val="none" w:sz="0" w:space="0" w:color="auto"/>
            <w:left w:val="none" w:sz="0" w:space="0" w:color="auto"/>
            <w:bottom w:val="none" w:sz="0" w:space="0" w:color="auto"/>
            <w:right w:val="none" w:sz="0" w:space="0" w:color="auto"/>
          </w:divBdr>
        </w:div>
        <w:div w:id="885918154">
          <w:marLeft w:val="0"/>
          <w:marRight w:val="0"/>
          <w:marTop w:val="0"/>
          <w:marBottom w:val="0"/>
          <w:divBdr>
            <w:top w:val="none" w:sz="0" w:space="0" w:color="auto"/>
            <w:left w:val="none" w:sz="0" w:space="0" w:color="auto"/>
            <w:bottom w:val="none" w:sz="0" w:space="0" w:color="auto"/>
            <w:right w:val="none" w:sz="0" w:space="0" w:color="auto"/>
          </w:divBdr>
        </w:div>
        <w:div w:id="908685035">
          <w:marLeft w:val="0"/>
          <w:marRight w:val="0"/>
          <w:marTop w:val="0"/>
          <w:marBottom w:val="0"/>
          <w:divBdr>
            <w:top w:val="none" w:sz="0" w:space="0" w:color="auto"/>
            <w:left w:val="none" w:sz="0" w:space="0" w:color="auto"/>
            <w:bottom w:val="none" w:sz="0" w:space="0" w:color="auto"/>
            <w:right w:val="none" w:sz="0" w:space="0" w:color="auto"/>
          </w:divBdr>
        </w:div>
        <w:div w:id="1300501251">
          <w:marLeft w:val="0"/>
          <w:marRight w:val="0"/>
          <w:marTop w:val="0"/>
          <w:marBottom w:val="0"/>
          <w:divBdr>
            <w:top w:val="none" w:sz="0" w:space="0" w:color="auto"/>
            <w:left w:val="none" w:sz="0" w:space="0" w:color="auto"/>
            <w:bottom w:val="none" w:sz="0" w:space="0" w:color="auto"/>
            <w:right w:val="none" w:sz="0" w:space="0" w:color="auto"/>
          </w:divBdr>
        </w:div>
        <w:div w:id="1401635502">
          <w:marLeft w:val="0"/>
          <w:marRight w:val="0"/>
          <w:marTop w:val="0"/>
          <w:marBottom w:val="0"/>
          <w:divBdr>
            <w:top w:val="none" w:sz="0" w:space="0" w:color="auto"/>
            <w:left w:val="none" w:sz="0" w:space="0" w:color="auto"/>
            <w:bottom w:val="none" w:sz="0" w:space="0" w:color="auto"/>
            <w:right w:val="none" w:sz="0" w:space="0" w:color="auto"/>
          </w:divBdr>
        </w:div>
        <w:div w:id="1435633490">
          <w:marLeft w:val="0"/>
          <w:marRight w:val="0"/>
          <w:marTop w:val="0"/>
          <w:marBottom w:val="0"/>
          <w:divBdr>
            <w:top w:val="none" w:sz="0" w:space="0" w:color="auto"/>
            <w:left w:val="none" w:sz="0" w:space="0" w:color="auto"/>
            <w:bottom w:val="none" w:sz="0" w:space="0" w:color="auto"/>
            <w:right w:val="none" w:sz="0" w:space="0" w:color="auto"/>
          </w:divBdr>
        </w:div>
        <w:div w:id="1536116317">
          <w:marLeft w:val="0"/>
          <w:marRight w:val="0"/>
          <w:marTop w:val="0"/>
          <w:marBottom w:val="0"/>
          <w:divBdr>
            <w:top w:val="none" w:sz="0" w:space="0" w:color="auto"/>
            <w:left w:val="none" w:sz="0" w:space="0" w:color="auto"/>
            <w:bottom w:val="none" w:sz="0" w:space="0" w:color="auto"/>
            <w:right w:val="none" w:sz="0" w:space="0" w:color="auto"/>
          </w:divBdr>
          <w:divsChild>
            <w:div w:id="29109660">
              <w:marLeft w:val="0"/>
              <w:marRight w:val="0"/>
              <w:marTop w:val="0"/>
              <w:marBottom w:val="0"/>
              <w:divBdr>
                <w:top w:val="none" w:sz="0" w:space="0" w:color="auto"/>
                <w:left w:val="none" w:sz="0" w:space="0" w:color="auto"/>
                <w:bottom w:val="none" w:sz="0" w:space="0" w:color="auto"/>
                <w:right w:val="none" w:sz="0" w:space="0" w:color="auto"/>
              </w:divBdr>
            </w:div>
            <w:div w:id="78140281">
              <w:marLeft w:val="0"/>
              <w:marRight w:val="0"/>
              <w:marTop w:val="0"/>
              <w:marBottom w:val="0"/>
              <w:divBdr>
                <w:top w:val="none" w:sz="0" w:space="0" w:color="auto"/>
                <w:left w:val="none" w:sz="0" w:space="0" w:color="auto"/>
                <w:bottom w:val="none" w:sz="0" w:space="0" w:color="auto"/>
                <w:right w:val="none" w:sz="0" w:space="0" w:color="auto"/>
              </w:divBdr>
            </w:div>
            <w:div w:id="98572444">
              <w:marLeft w:val="0"/>
              <w:marRight w:val="0"/>
              <w:marTop w:val="0"/>
              <w:marBottom w:val="0"/>
              <w:divBdr>
                <w:top w:val="none" w:sz="0" w:space="0" w:color="auto"/>
                <w:left w:val="none" w:sz="0" w:space="0" w:color="auto"/>
                <w:bottom w:val="none" w:sz="0" w:space="0" w:color="auto"/>
                <w:right w:val="none" w:sz="0" w:space="0" w:color="auto"/>
              </w:divBdr>
            </w:div>
            <w:div w:id="247231089">
              <w:marLeft w:val="0"/>
              <w:marRight w:val="0"/>
              <w:marTop w:val="0"/>
              <w:marBottom w:val="0"/>
              <w:divBdr>
                <w:top w:val="none" w:sz="0" w:space="0" w:color="auto"/>
                <w:left w:val="none" w:sz="0" w:space="0" w:color="auto"/>
                <w:bottom w:val="none" w:sz="0" w:space="0" w:color="auto"/>
                <w:right w:val="none" w:sz="0" w:space="0" w:color="auto"/>
              </w:divBdr>
            </w:div>
            <w:div w:id="261374104">
              <w:marLeft w:val="0"/>
              <w:marRight w:val="0"/>
              <w:marTop w:val="0"/>
              <w:marBottom w:val="0"/>
              <w:divBdr>
                <w:top w:val="none" w:sz="0" w:space="0" w:color="auto"/>
                <w:left w:val="none" w:sz="0" w:space="0" w:color="auto"/>
                <w:bottom w:val="none" w:sz="0" w:space="0" w:color="auto"/>
                <w:right w:val="none" w:sz="0" w:space="0" w:color="auto"/>
              </w:divBdr>
            </w:div>
            <w:div w:id="291715927">
              <w:marLeft w:val="0"/>
              <w:marRight w:val="0"/>
              <w:marTop w:val="0"/>
              <w:marBottom w:val="0"/>
              <w:divBdr>
                <w:top w:val="none" w:sz="0" w:space="0" w:color="auto"/>
                <w:left w:val="none" w:sz="0" w:space="0" w:color="auto"/>
                <w:bottom w:val="none" w:sz="0" w:space="0" w:color="auto"/>
                <w:right w:val="none" w:sz="0" w:space="0" w:color="auto"/>
              </w:divBdr>
            </w:div>
            <w:div w:id="470027196">
              <w:marLeft w:val="0"/>
              <w:marRight w:val="0"/>
              <w:marTop w:val="0"/>
              <w:marBottom w:val="0"/>
              <w:divBdr>
                <w:top w:val="none" w:sz="0" w:space="0" w:color="auto"/>
                <w:left w:val="none" w:sz="0" w:space="0" w:color="auto"/>
                <w:bottom w:val="none" w:sz="0" w:space="0" w:color="auto"/>
                <w:right w:val="none" w:sz="0" w:space="0" w:color="auto"/>
              </w:divBdr>
            </w:div>
            <w:div w:id="688801732">
              <w:marLeft w:val="0"/>
              <w:marRight w:val="0"/>
              <w:marTop w:val="0"/>
              <w:marBottom w:val="0"/>
              <w:divBdr>
                <w:top w:val="none" w:sz="0" w:space="0" w:color="auto"/>
                <w:left w:val="none" w:sz="0" w:space="0" w:color="auto"/>
                <w:bottom w:val="none" w:sz="0" w:space="0" w:color="auto"/>
                <w:right w:val="none" w:sz="0" w:space="0" w:color="auto"/>
              </w:divBdr>
            </w:div>
            <w:div w:id="849412301">
              <w:marLeft w:val="0"/>
              <w:marRight w:val="0"/>
              <w:marTop w:val="0"/>
              <w:marBottom w:val="0"/>
              <w:divBdr>
                <w:top w:val="none" w:sz="0" w:space="0" w:color="auto"/>
                <w:left w:val="none" w:sz="0" w:space="0" w:color="auto"/>
                <w:bottom w:val="none" w:sz="0" w:space="0" w:color="auto"/>
                <w:right w:val="none" w:sz="0" w:space="0" w:color="auto"/>
              </w:divBdr>
            </w:div>
            <w:div w:id="1003439904">
              <w:marLeft w:val="0"/>
              <w:marRight w:val="0"/>
              <w:marTop w:val="0"/>
              <w:marBottom w:val="0"/>
              <w:divBdr>
                <w:top w:val="none" w:sz="0" w:space="0" w:color="auto"/>
                <w:left w:val="none" w:sz="0" w:space="0" w:color="auto"/>
                <w:bottom w:val="none" w:sz="0" w:space="0" w:color="auto"/>
                <w:right w:val="none" w:sz="0" w:space="0" w:color="auto"/>
              </w:divBdr>
            </w:div>
            <w:div w:id="1030106289">
              <w:marLeft w:val="0"/>
              <w:marRight w:val="0"/>
              <w:marTop w:val="0"/>
              <w:marBottom w:val="0"/>
              <w:divBdr>
                <w:top w:val="none" w:sz="0" w:space="0" w:color="auto"/>
                <w:left w:val="none" w:sz="0" w:space="0" w:color="auto"/>
                <w:bottom w:val="none" w:sz="0" w:space="0" w:color="auto"/>
                <w:right w:val="none" w:sz="0" w:space="0" w:color="auto"/>
              </w:divBdr>
            </w:div>
            <w:div w:id="1105267221">
              <w:marLeft w:val="0"/>
              <w:marRight w:val="0"/>
              <w:marTop w:val="0"/>
              <w:marBottom w:val="0"/>
              <w:divBdr>
                <w:top w:val="none" w:sz="0" w:space="0" w:color="auto"/>
                <w:left w:val="none" w:sz="0" w:space="0" w:color="auto"/>
                <w:bottom w:val="none" w:sz="0" w:space="0" w:color="auto"/>
                <w:right w:val="none" w:sz="0" w:space="0" w:color="auto"/>
              </w:divBdr>
            </w:div>
            <w:div w:id="1253853296">
              <w:marLeft w:val="0"/>
              <w:marRight w:val="0"/>
              <w:marTop w:val="0"/>
              <w:marBottom w:val="0"/>
              <w:divBdr>
                <w:top w:val="none" w:sz="0" w:space="0" w:color="auto"/>
                <w:left w:val="none" w:sz="0" w:space="0" w:color="auto"/>
                <w:bottom w:val="none" w:sz="0" w:space="0" w:color="auto"/>
                <w:right w:val="none" w:sz="0" w:space="0" w:color="auto"/>
              </w:divBdr>
            </w:div>
            <w:div w:id="1456869596">
              <w:marLeft w:val="0"/>
              <w:marRight w:val="0"/>
              <w:marTop w:val="0"/>
              <w:marBottom w:val="0"/>
              <w:divBdr>
                <w:top w:val="none" w:sz="0" w:space="0" w:color="auto"/>
                <w:left w:val="none" w:sz="0" w:space="0" w:color="auto"/>
                <w:bottom w:val="none" w:sz="0" w:space="0" w:color="auto"/>
                <w:right w:val="none" w:sz="0" w:space="0" w:color="auto"/>
              </w:divBdr>
            </w:div>
            <w:div w:id="1521777719">
              <w:marLeft w:val="0"/>
              <w:marRight w:val="0"/>
              <w:marTop w:val="0"/>
              <w:marBottom w:val="0"/>
              <w:divBdr>
                <w:top w:val="none" w:sz="0" w:space="0" w:color="auto"/>
                <w:left w:val="none" w:sz="0" w:space="0" w:color="auto"/>
                <w:bottom w:val="none" w:sz="0" w:space="0" w:color="auto"/>
                <w:right w:val="none" w:sz="0" w:space="0" w:color="auto"/>
              </w:divBdr>
            </w:div>
            <w:div w:id="1542670271">
              <w:marLeft w:val="0"/>
              <w:marRight w:val="0"/>
              <w:marTop w:val="0"/>
              <w:marBottom w:val="0"/>
              <w:divBdr>
                <w:top w:val="none" w:sz="0" w:space="0" w:color="auto"/>
                <w:left w:val="none" w:sz="0" w:space="0" w:color="auto"/>
                <w:bottom w:val="none" w:sz="0" w:space="0" w:color="auto"/>
                <w:right w:val="none" w:sz="0" w:space="0" w:color="auto"/>
              </w:divBdr>
            </w:div>
            <w:div w:id="1560021799">
              <w:marLeft w:val="0"/>
              <w:marRight w:val="0"/>
              <w:marTop w:val="0"/>
              <w:marBottom w:val="0"/>
              <w:divBdr>
                <w:top w:val="none" w:sz="0" w:space="0" w:color="auto"/>
                <w:left w:val="none" w:sz="0" w:space="0" w:color="auto"/>
                <w:bottom w:val="none" w:sz="0" w:space="0" w:color="auto"/>
                <w:right w:val="none" w:sz="0" w:space="0" w:color="auto"/>
              </w:divBdr>
            </w:div>
            <w:div w:id="2011366264">
              <w:marLeft w:val="0"/>
              <w:marRight w:val="0"/>
              <w:marTop w:val="0"/>
              <w:marBottom w:val="0"/>
              <w:divBdr>
                <w:top w:val="none" w:sz="0" w:space="0" w:color="auto"/>
                <w:left w:val="none" w:sz="0" w:space="0" w:color="auto"/>
                <w:bottom w:val="none" w:sz="0" w:space="0" w:color="auto"/>
                <w:right w:val="none" w:sz="0" w:space="0" w:color="auto"/>
              </w:divBdr>
            </w:div>
            <w:div w:id="2095735311">
              <w:marLeft w:val="0"/>
              <w:marRight w:val="0"/>
              <w:marTop w:val="0"/>
              <w:marBottom w:val="0"/>
              <w:divBdr>
                <w:top w:val="none" w:sz="0" w:space="0" w:color="auto"/>
                <w:left w:val="none" w:sz="0" w:space="0" w:color="auto"/>
                <w:bottom w:val="none" w:sz="0" w:space="0" w:color="auto"/>
                <w:right w:val="none" w:sz="0" w:space="0" w:color="auto"/>
              </w:divBdr>
            </w:div>
            <w:div w:id="2097940846">
              <w:marLeft w:val="0"/>
              <w:marRight w:val="0"/>
              <w:marTop w:val="0"/>
              <w:marBottom w:val="0"/>
              <w:divBdr>
                <w:top w:val="none" w:sz="0" w:space="0" w:color="auto"/>
                <w:left w:val="none" w:sz="0" w:space="0" w:color="auto"/>
                <w:bottom w:val="none" w:sz="0" w:space="0" w:color="auto"/>
                <w:right w:val="none" w:sz="0" w:space="0" w:color="auto"/>
              </w:divBdr>
            </w:div>
          </w:divsChild>
        </w:div>
        <w:div w:id="1871334963">
          <w:marLeft w:val="0"/>
          <w:marRight w:val="0"/>
          <w:marTop w:val="0"/>
          <w:marBottom w:val="0"/>
          <w:divBdr>
            <w:top w:val="none" w:sz="0" w:space="0" w:color="auto"/>
            <w:left w:val="none" w:sz="0" w:space="0" w:color="auto"/>
            <w:bottom w:val="none" w:sz="0" w:space="0" w:color="auto"/>
            <w:right w:val="none" w:sz="0" w:space="0" w:color="auto"/>
          </w:divBdr>
          <w:divsChild>
            <w:div w:id="199320538">
              <w:marLeft w:val="0"/>
              <w:marRight w:val="0"/>
              <w:marTop w:val="0"/>
              <w:marBottom w:val="0"/>
              <w:divBdr>
                <w:top w:val="none" w:sz="0" w:space="0" w:color="auto"/>
                <w:left w:val="none" w:sz="0" w:space="0" w:color="auto"/>
                <w:bottom w:val="none" w:sz="0" w:space="0" w:color="auto"/>
                <w:right w:val="none" w:sz="0" w:space="0" w:color="auto"/>
              </w:divBdr>
            </w:div>
            <w:div w:id="364721567">
              <w:marLeft w:val="0"/>
              <w:marRight w:val="0"/>
              <w:marTop w:val="0"/>
              <w:marBottom w:val="0"/>
              <w:divBdr>
                <w:top w:val="none" w:sz="0" w:space="0" w:color="auto"/>
                <w:left w:val="none" w:sz="0" w:space="0" w:color="auto"/>
                <w:bottom w:val="none" w:sz="0" w:space="0" w:color="auto"/>
                <w:right w:val="none" w:sz="0" w:space="0" w:color="auto"/>
              </w:divBdr>
            </w:div>
            <w:div w:id="408845487">
              <w:marLeft w:val="0"/>
              <w:marRight w:val="0"/>
              <w:marTop w:val="0"/>
              <w:marBottom w:val="0"/>
              <w:divBdr>
                <w:top w:val="none" w:sz="0" w:space="0" w:color="auto"/>
                <w:left w:val="none" w:sz="0" w:space="0" w:color="auto"/>
                <w:bottom w:val="none" w:sz="0" w:space="0" w:color="auto"/>
                <w:right w:val="none" w:sz="0" w:space="0" w:color="auto"/>
              </w:divBdr>
            </w:div>
            <w:div w:id="589235668">
              <w:marLeft w:val="0"/>
              <w:marRight w:val="0"/>
              <w:marTop w:val="0"/>
              <w:marBottom w:val="0"/>
              <w:divBdr>
                <w:top w:val="none" w:sz="0" w:space="0" w:color="auto"/>
                <w:left w:val="none" w:sz="0" w:space="0" w:color="auto"/>
                <w:bottom w:val="none" w:sz="0" w:space="0" w:color="auto"/>
                <w:right w:val="none" w:sz="0" w:space="0" w:color="auto"/>
              </w:divBdr>
            </w:div>
            <w:div w:id="752120891">
              <w:marLeft w:val="0"/>
              <w:marRight w:val="0"/>
              <w:marTop w:val="0"/>
              <w:marBottom w:val="0"/>
              <w:divBdr>
                <w:top w:val="none" w:sz="0" w:space="0" w:color="auto"/>
                <w:left w:val="none" w:sz="0" w:space="0" w:color="auto"/>
                <w:bottom w:val="none" w:sz="0" w:space="0" w:color="auto"/>
                <w:right w:val="none" w:sz="0" w:space="0" w:color="auto"/>
              </w:divBdr>
            </w:div>
            <w:div w:id="819927444">
              <w:marLeft w:val="0"/>
              <w:marRight w:val="0"/>
              <w:marTop w:val="0"/>
              <w:marBottom w:val="0"/>
              <w:divBdr>
                <w:top w:val="none" w:sz="0" w:space="0" w:color="auto"/>
                <w:left w:val="none" w:sz="0" w:space="0" w:color="auto"/>
                <w:bottom w:val="none" w:sz="0" w:space="0" w:color="auto"/>
                <w:right w:val="none" w:sz="0" w:space="0" w:color="auto"/>
              </w:divBdr>
            </w:div>
            <w:div w:id="1040008230">
              <w:marLeft w:val="0"/>
              <w:marRight w:val="0"/>
              <w:marTop w:val="0"/>
              <w:marBottom w:val="0"/>
              <w:divBdr>
                <w:top w:val="none" w:sz="0" w:space="0" w:color="auto"/>
                <w:left w:val="none" w:sz="0" w:space="0" w:color="auto"/>
                <w:bottom w:val="none" w:sz="0" w:space="0" w:color="auto"/>
                <w:right w:val="none" w:sz="0" w:space="0" w:color="auto"/>
              </w:divBdr>
            </w:div>
            <w:div w:id="1054812368">
              <w:marLeft w:val="0"/>
              <w:marRight w:val="0"/>
              <w:marTop w:val="0"/>
              <w:marBottom w:val="0"/>
              <w:divBdr>
                <w:top w:val="none" w:sz="0" w:space="0" w:color="auto"/>
                <w:left w:val="none" w:sz="0" w:space="0" w:color="auto"/>
                <w:bottom w:val="none" w:sz="0" w:space="0" w:color="auto"/>
                <w:right w:val="none" w:sz="0" w:space="0" w:color="auto"/>
              </w:divBdr>
            </w:div>
            <w:div w:id="1072654278">
              <w:marLeft w:val="0"/>
              <w:marRight w:val="0"/>
              <w:marTop w:val="0"/>
              <w:marBottom w:val="0"/>
              <w:divBdr>
                <w:top w:val="none" w:sz="0" w:space="0" w:color="auto"/>
                <w:left w:val="none" w:sz="0" w:space="0" w:color="auto"/>
                <w:bottom w:val="none" w:sz="0" w:space="0" w:color="auto"/>
                <w:right w:val="none" w:sz="0" w:space="0" w:color="auto"/>
              </w:divBdr>
            </w:div>
            <w:div w:id="1093550226">
              <w:marLeft w:val="0"/>
              <w:marRight w:val="0"/>
              <w:marTop w:val="0"/>
              <w:marBottom w:val="0"/>
              <w:divBdr>
                <w:top w:val="none" w:sz="0" w:space="0" w:color="auto"/>
                <w:left w:val="none" w:sz="0" w:space="0" w:color="auto"/>
                <w:bottom w:val="none" w:sz="0" w:space="0" w:color="auto"/>
                <w:right w:val="none" w:sz="0" w:space="0" w:color="auto"/>
              </w:divBdr>
            </w:div>
            <w:div w:id="1223366073">
              <w:marLeft w:val="0"/>
              <w:marRight w:val="0"/>
              <w:marTop w:val="0"/>
              <w:marBottom w:val="0"/>
              <w:divBdr>
                <w:top w:val="none" w:sz="0" w:space="0" w:color="auto"/>
                <w:left w:val="none" w:sz="0" w:space="0" w:color="auto"/>
                <w:bottom w:val="none" w:sz="0" w:space="0" w:color="auto"/>
                <w:right w:val="none" w:sz="0" w:space="0" w:color="auto"/>
              </w:divBdr>
            </w:div>
            <w:div w:id="1320960217">
              <w:marLeft w:val="0"/>
              <w:marRight w:val="0"/>
              <w:marTop w:val="0"/>
              <w:marBottom w:val="0"/>
              <w:divBdr>
                <w:top w:val="none" w:sz="0" w:space="0" w:color="auto"/>
                <w:left w:val="none" w:sz="0" w:space="0" w:color="auto"/>
                <w:bottom w:val="none" w:sz="0" w:space="0" w:color="auto"/>
                <w:right w:val="none" w:sz="0" w:space="0" w:color="auto"/>
              </w:divBdr>
            </w:div>
            <w:div w:id="1506549921">
              <w:marLeft w:val="0"/>
              <w:marRight w:val="0"/>
              <w:marTop w:val="0"/>
              <w:marBottom w:val="0"/>
              <w:divBdr>
                <w:top w:val="none" w:sz="0" w:space="0" w:color="auto"/>
                <w:left w:val="none" w:sz="0" w:space="0" w:color="auto"/>
                <w:bottom w:val="none" w:sz="0" w:space="0" w:color="auto"/>
                <w:right w:val="none" w:sz="0" w:space="0" w:color="auto"/>
              </w:divBdr>
            </w:div>
            <w:div w:id="1578589575">
              <w:marLeft w:val="0"/>
              <w:marRight w:val="0"/>
              <w:marTop w:val="0"/>
              <w:marBottom w:val="0"/>
              <w:divBdr>
                <w:top w:val="none" w:sz="0" w:space="0" w:color="auto"/>
                <w:left w:val="none" w:sz="0" w:space="0" w:color="auto"/>
                <w:bottom w:val="none" w:sz="0" w:space="0" w:color="auto"/>
                <w:right w:val="none" w:sz="0" w:space="0" w:color="auto"/>
              </w:divBdr>
            </w:div>
            <w:div w:id="1595169082">
              <w:marLeft w:val="0"/>
              <w:marRight w:val="0"/>
              <w:marTop w:val="0"/>
              <w:marBottom w:val="0"/>
              <w:divBdr>
                <w:top w:val="none" w:sz="0" w:space="0" w:color="auto"/>
                <w:left w:val="none" w:sz="0" w:space="0" w:color="auto"/>
                <w:bottom w:val="none" w:sz="0" w:space="0" w:color="auto"/>
                <w:right w:val="none" w:sz="0" w:space="0" w:color="auto"/>
              </w:divBdr>
            </w:div>
            <w:div w:id="1656378167">
              <w:marLeft w:val="0"/>
              <w:marRight w:val="0"/>
              <w:marTop w:val="0"/>
              <w:marBottom w:val="0"/>
              <w:divBdr>
                <w:top w:val="none" w:sz="0" w:space="0" w:color="auto"/>
                <w:left w:val="none" w:sz="0" w:space="0" w:color="auto"/>
                <w:bottom w:val="none" w:sz="0" w:space="0" w:color="auto"/>
                <w:right w:val="none" w:sz="0" w:space="0" w:color="auto"/>
              </w:divBdr>
            </w:div>
            <w:div w:id="1873152827">
              <w:marLeft w:val="0"/>
              <w:marRight w:val="0"/>
              <w:marTop w:val="0"/>
              <w:marBottom w:val="0"/>
              <w:divBdr>
                <w:top w:val="none" w:sz="0" w:space="0" w:color="auto"/>
                <w:left w:val="none" w:sz="0" w:space="0" w:color="auto"/>
                <w:bottom w:val="none" w:sz="0" w:space="0" w:color="auto"/>
                <w:right w:val="none" w:sz="0" w:space="0" w:color="auto"/>
              </w:divBdr>
            </w:div>
            <w:div w:id="1940333647">
              <w:marLeft w:val="0"/>
              <w:marRight w:val="0"/>
              <w:marTop w:val="0"/>
              <w:marBottom w:val="0"/>
              <w:divBdr>
                <w:top w:val="none" w:sz="0" w:space="0" w:color="auto"/>
                <w:left w:val="none" w:sz="0" w:space="0" w:color="auto"/>
                <w:bottom w:val="none" w:sz="0" w:space="0" w:color="auto"/>
                <w:right w:val="none" w:sz="0" w:space="0" w:color="auto"/>
              </w:divBdr>
            </w:div>
            <w:div w:id="2025134546">
              <w:marLeft w:val="0"/>
              <w:marRight w:val="0"/>
              <w:marTop w:val="0"/>
              <w:marBottom w:val="0"/>
              <w:divBdr>
                <w:top w:val="none" w:sz="0" w:space="0" w:color="auto"/>
                <w:left w:val="none" w:sz="0" w:space="0" w:color="auto"/>
                <w:bottom w:val="none" w:sz="0" w:space="0" w:color="auto"/>
                <w:right w:val="none" w:sz="0" w:space="0" w:color="auto"/>
              </w:divBdr>
            </w:div>
            <w:div w:id="2029285901">
              <w:marLeft w:val="0"/>
              <w:marRight w:val="0"/>
              <w:marTop w:val="0"/>
              <w:marBottom w:val="0"/>
              <w:divBdr>
                <w:top w:val="none" w:sz="0" w:space="0" w:color="auto"/>
                <w:left w:val="none" w:sz="0" w:space="0" w:color="auto"/>
                <w:bottom w:val="none" w:sz="0" w:space="0" w:color="auto"/>
                <w:right w:val="none" w:sz="0" w:space="0" w:color="auto"/>
              </w:divBdr>
            </w:div>
          </w:divsChild>
        </w:div>
        <w:div w:id="2141454983">
          <w:marLeft w:val="0"/>
          <w:marRight w:val="0"/>
          <w:marTop w:val="0"/>
          <w:marBottom w:val="0"/>
          <w:divBdr>
            <w:top w:val="none" w:sz="0" w:space="0" w:color="auto"/>
            <w:left w:val="none" w:sz="0" w:space="0" w:color="auto"/>
            <w:bottom w:val="none" w:sz="0" w:space="0" w:color="auto"/>
            <w:right w:val="none" w:sz="0" w:space="0" w:color="auto"/>
          </w:divBdr>
          <w:divsChild>
            <w:div w:id="391272520">
              <w:marLeft w:val="0"/>
              <w:marRight w:val="0"/>
              <w:marTop w:val="0"/>
              <w:marBottom w:val="0"/>
              <w:divBdr>
                <w:top w:val="none" w:sz="0" w:space="0" w:color="auto"/>
                <w:left w:val="none" w:sz="0" w:space="0" w:color="auto"/>
                <w:bottom w:val="none" w:sz="0" w:space="0" w:color="auto"/>
                <w:right w:val="none" w:sz="0" w:space="0" w:color="auto"/>
              </w:divBdr>
            </w:div>
            <w:div w:id="400064510">
              <w:marLeft w:val="0"/>
              <w:marRight w:val="0"/>
              <w:marTop w:val="0"/>
              <w:marBottom w:val="0"/>
              <w:divBdr>
                <w:top w:val="none" w:sz="0" w:space="0" w:color="auto"/>
                <w:left w:val="none" w:sz="0" w:space="0" w:color="auto"/>
                <w:bottom w:val="none" w:sz="0" w:space="0" w:color="auto"/>
                <w:right w:val="none" w:sz="0" w:space="0" w:color="auto"/>
              </w:divBdr>
            </w:div>
            <w:div w:id="432674605">
              <w:marLeft w:val="0"/>
              <w:marRight w:val="0"/>
              <w:marTop w:val="0"/>
              <w:marBottom w:val="0"/>
              <w:divBdr>
                <w:top w:val="none" w:sz="0" w:space="0" w:color="auto"/>
                <w:left w:val="none" w:sz="0" w:space="0" w:color="auto"/>
                <w:bottom w:val="none" w:sz="0" w:space="0" w:color="auto"/>
                <w:right w:val="none" w:sz="0" w:space="0" w:color="auto"/>
              </w:divBdr>
            </w:div>
            <w:div w:id="433476415">
              <w:marLeft w:val="0"/>
              <w:marRight w:val="0"/>
              <w:marTop w:val="0"/>
              <w:marBottom w:val="0"/>
              <w:divBdr>
                <w:top w:val="none" w:sz="0" w:space="0" w:color="auto"/>
                <w:left w:val="none" w:sz="0" w:space="0" w:color="auto"/>
                <w:bottom w:val="none" w:sz="0" w:space="0" w:color="auto"/>
                <w:right w:val="none" w:sz="0" w:space="0" w:color="auto"/>
              </w:divBdr>
            </w:div>
            <w:div w:id="540438871">
              <w:marLeft w:val="0"/>
              <w:marRight w:val="0"/>
              <w:marTop w:val="0"/>
              <w:marBottom w:val="0"/>
              <w:divBdr>
                <w:top w:val="none" w:sz="0" w:space="0" w:color="auto"/>
                <w:left w:val="none" w:sz="0" w:space="0" w:color="auto"/>
                <w:bottom w:val="none" w:sz="0" w:space="0" w:color="auto"/>
                <w:right w:val="none" w:sz="0" w:space="0" w:color="auto"/>
              </w:divBdr>
            </w:div>
            <w:div w:id="578373174">
              <w:marLeft w:val="0"/>
              <w:marRight w:val="0"/>
              <w:marTop w:val="0"/>
              <w:marBottom w:val="0"/>
              <w:divBdr>
                <w:top w:val="none" w:sz="0" w:space="0" w:color="auto"/>
                <w:left w:val="none" w:sz="0" w:space="0" w:color="auto"/>
                <w:bottom w:val="none" w:sz="0" w:space="0" w:color="auto"/>
                <w:right w:val="none" w:sz="0" w:space="0" w:color="auto"/>
              </w:divBdr>
            </w:div>
            <w:div w:id="592470154">
              <w:marLeft w:val="0"/>
              <w:marRight w:val="0"/>
              <w:marTop w:val="0"/>
              <w:marBottom w:val="0"/>
              <w:divBdr>
                <w:top w:val="none" w:sz="0" w:space="0" w:color="auto"/>
                <w:left w:val="none" w:sz="0" w:space="0" w:color="auto"/>
                <w:bottom w:val="none" w:sz="0" w:space="0" w:color="auto"/>
                <w:right w:val="none" w:sz="0" w:space="0" w:color="auto"/>
              </w:divBdr>
            </w:div>
            <w:div w:id="629897039">
              <w:marLeft w:val="0"/>
              <w:marRight w:val="0"/>
              <w:marTop w:val="0"/>
              <w:marBottom w:val="0"/>
              <w:divBdr>
                <w:top w:val="none" w:sz="0" w:space="0" w:color="auto"/>
                <w:left w:val="none" w:sz="0" w:space="0" w:color="auto"/>
                <w:bottom w:val="none" w:sz="0" w:space="0" w:color="auto"/>
                <w:right w:val="none" w:sz="0" w:space="0" w:color="auto"/>
              </w:divBdr>
            </w:div>
            <w:div w:id="669337145">
              <w:marLeft w:val="0"/>
              <w:marRight w:val="0"/>
              <w:marTop w:val="0"/>
              <w:marBottom w:val="0"/>
              <w:divBdr>
                <w:top w:val="none" w:sz="0" w:space="0" w:color="auto"/>
                <w:left w:val="none" w:sz="0" w:space="0" w:color="auto"/>
                <w:bottom w:val="none" w:sz="0" w:space="0" w:color="auto"/>
                <w:right w:val="none" w:sz="0" w:space="0" w:color="auto"/>
              </w:divBdr>
            </w:div>
            <w:div w:id="839351428">
              <w:marLeft w:val="0"/>
              <w:marRight w:val="0"/>
              <w:marTop w:val="0"/>
              <w:marBottom w:val="0"/>
              <w:divBdr>
                <w:top w:val="none" w:sz="0" w:space="0" w:color="auto"/>
                <w:left w:val="none" w:sz="0" w:space="0" w:color="auto"/>
                <w:bottom w:val="none" w:sz="0" w:space="0" w:color="auto"/>
                <w:right w:val="none" w:sz="0" w:space="0" w:color="auto"/>
              </w:divBdr>
            </w:div>
            <w:div w:id="884097498">
              <w:marLeft w:val="0"/>
              <w:marRight w:val="0"/>
              <w:marTop w:val="0"/>
              <w:marBottom w:val="0"/>
              <w:divBdr>
                <w:top w:val="none" w:sz="0" w:space="0" w:color="auto"/>
                <w:left w:val="none" w:sz="0" w:space="0" w:color="auto"/>
                <w:bottom w:val="none" w:sz="0" w:space="0" w:color="auto"/>
                <w:right w:val="none" w:sz="0" w:space="0" w:color="auto"/>
              </w:divBdr>
            </w:div>
            <w:div w:id="928849464">
              <w:marLeft w:val="0"/>
              <w:marRight w:val="0"/>
              <w:marTop w:val="0"/>
              <w:marBottom w:val="0"/>
              <w:divBdr>
                <w:top w:val="none" w:sz="0" w:space="0" w:color="auto"/>
                <w:left w:val="none" w:sz="0" w:space="0" w:color="auto"/>
                <w:bottom w:val="none" w:sz="0" w:space="0" w:color="auto"/>
                <w:right w:val="none" w:sz="0" w:space="0" w:color="auto"/>
              </w:divBdr>
            </w:div>
            <w:div w:id="980109323">
              <w:marLeft w:val="0"/>
              <w:marRight w:val="0"/>
              <w:marTop w:val="0"/>
              <w:marBottom w:val="0"/>
              <w:divBdr>
                <w:top w:val="none" w:sz="0" w:space="0" w:color="auto"/>
                <w:left w:val="none" w:sz="0" w:space="0" w:color="auto"/>
                <w:bottom w:val="none" w:sz="0" w:space="0" w:color="auto"/>
                <w:right w:val="none" w:sz="0" w:space="0" w:color="auto"/>
              </w:divBdr>
            </w:div>
            <w:div w:id="983892374">
              <w:marLeft w:val="0"/>
              <w:marRight w:val="0"/>
              <w:marTop w:val="0"/>
              <w:marBottom w:val="0"/>
              <w:divBdr>
                <w:top w:val="none" w:sz="0" w:space="0" w:color="auto"/>
                <w:left w:val="none" w:sz="0" w:space="0" w:color="auto"/>
                <w:bottom w:val="none" w:sz="0" w:space="0" w:color="auto"/>
                <w:right w:val="none" w:sz="0" w:space="0" w:color="auto"/>
              </w:divBdr>
            </w:div>
            <w:div w:id="1013150846">
              <w:marLeft w:val="0"/>
              <w:marRight w:val="0"/>
              <w:marTop w:val="0"/>
              <w:marBottom w:val="0"/>
              <w:divBdr>
                <w:top w:val="none" w:sz="0" w:space="0" w:color="auto"/>
                <w:left w:val="none" w:sz="0" w:space="0" w:color="auto"/>
                <w:bottom w:val="none" w:sz="0" w:space="0" w:color="auto"/>
                <w:right w:val="none" w:sz="0" w:space="0" w:color="auto"/>
              </w:divBdr>
            </w:div>
            <w:div w:id="1404714772">
              <w:marLeft w:val="0"/>
              <w:marRight w:val="0"/>
              <w:marTop w:val="0"/>
              <w:marBottom w:val="0"/>
              <w:divBdr>
                <w:top w:val="none" w:sz="0" w:space="0" w:color="auto"/>
                <w:left w:val="none" w:sz="0" w:space="0" w:color="auto"/>
                <w:bottom w:val="none" w:sz="0" w:space="0" w:color="auto"/>
                <w:right w:val="none" w:sz="0" w:space="0" w:color="auto"/>
              </w:divBdr>
            </w:div>
            <w:div w:id="1615748217">
              <w:marLeft w:val="0"/>
              <w:marRight w:val="0"/>
              <w:marTop w:val="0"/>
              <w:marBottom w:val="0"/>
              <w:divBdr>
                <w:top w:val="none" w:sz="0" w:space="0" w:color="auto"/>
                <w:left w:val="none" w:sz="0" w:space="0" w:color="auto"/>
                <w:bottom w:val="none" w:sz="0" w:space="0" w:color="auto"/>
                <w:right w:val="none" w:sz="0" w:space="0" w:color="auto"/>
              </w:divBdr>
            </w:div>
            <w:div w:id="1617102064">
              <w:marLeft w:val="0"/>
              <w:marRight w:val="0"/>
              <w:marTop w:val="0"/>
              <w:marBottom w:val="0"/>
              <w:divBdr>
                <w:top w:val="none" w:sz="0" w:space="0" w:color="auto"/>
                <w:left w:val="none" w:sz="0" w:space="0" w:color="auto"/>
                <w:bottom w:val="none" w:sz="0" w:space="0" w:color="auto"/>
                <w:right w:val="none" w:sz="0" w:space="0" w:color="auto"/>
              </w:divBdr>
            </w:div>
            <w:div w:id="1692609540">
              <w:marLeft w:val="0"/>
              <w:marRight w:val="0"/>
              <w:marTop w:val="0"/>
              <w:marBottom w:val="0"/>
              <w:divBdr>
                <w:top w:val="none" w:sz="0" w:space="0" w:color="auto"/>
                <w:left w:val="none" w:sz="0" w:space="0" w:color="auto"/>
                <w:bottom w:val="none" w:sz="0" w:space="0" w:color="auto"/>
                <w:right w:val="none" w:sz="0" w:space="0" w:color="auto"/>
              </w:divBdr>
            </w:div>
            <w:div w:id="186621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6928">
      <w:bodyDiv w:val="1"/>
      <w:marLeft w:val="0"/>
      <w:marRight w:val="0"/>
      <w:marTop w:val="0"/>
      <w:marBottom w:val="0"/>
      <w:divBdr>
        <w:top w:val="none" w:sz="0" w:space="0" w:color="auto"/>
        <w:left w:val="none" w:sz="0" w:space="0" w:color="auto"/>
        <w:bottom w:val="none" w:sz="0" w:space="0" w:color="auto"/>
        <w:right w:val="none" w:sz="0" w:space="0" w:color="auto"/>
      </w:divBdr>
      <w:divsChild>
        <w:div w:id="379138821">
          <w:marLeft w:val="0"/>
          <w:marRight w:val="0"/>
          <w:marTop w:val="0"/>
          <w:marBottom w:val="0"/>
          <w:divBdr>
            <w:top w:val="none" w:sz="0" w:space="0" w:color="auto"/>
            <w:left w:val="none" w:sz="0" w:space="0" w:color="auto"/>
            <w:bottom w:val="none" w:sz="0" w:space="0" w:color="auto"/>
            <w:right w:val="none" w:sz="0" w:space="0" w:color="auto"/>
          </w:divBdr>
        </w:div>
        <w:div w:id="1328560081">
          <w:marLeft w:val="0"/>
          <w:marRight w:val="0"/>
          <w:marTop w:val="0"/>
          <w:marBottom w:val="0"/>
          <w:divBdr>
            <w:top w:val="none" w:sz="0" w:space="0" w:color="auto"/>
            <w:left w:val="none" w:sz="0" w:space="0" w:color="auto"/>
            <w:bottom w:val="none" w:sz="0" w:space="0" w:color="auto"/>
            <w:right w:val="none" w:sz="0" w:space="0" w:color="auto"/>
          </w:divBdr>
        </w:div>
        <w:div w:id="1414816916">
          <w:marLeft w:val="0"/>
          <w:marRight w:val="0"/>
          <w:marTop w:val="0"/>
          <w:marBottom w:val="0"/>
          <w:divBdr>
            <w:top w:val="none" w:sz="0" w:space="0" w:color="auto"/>
            <w:left w:val="none" w:sz="0" w:space="0" w:color="auto"/>
            <w:bottom w:val="none" w:sz="0" w:space="0" w:color="auto"/>
            <w:right w:val="none" w:sz="0" w:space="0" w:color="auto"/>
          </w:divBdr>
        </w:div>
        <w:div w:id="1722166205">
          <w:marLeft w:val="0"/>
          <w:marRight w:val="0"/>
          <w:marTop w:val="0"/>
          <w:marBottom w:val="0"/>
          <w:divBdr>
            <w:top w:val="none" w:sz="0" w:space="0" w:color="auto"/>
            <w:left w:val="none" w:sz="0" w:space="0" w:color="auto"/>
            <w:bottom w:val="none" w:sz="0" w:space="0" w:color="auto"/>
            <w:right w:val="none" w:sz="0" w:space="0" w:color="auto"/>
          </w:divBdr>
        </w:div>
        <w:div w:id="2010935874">
          <w:marLeft w:val="0"/>
          <w:marRight w:val="0"/>
          <w:marTop w:val="0"/>
          <w:marBottom w:val="0"/>
          <w:divBdr>
            <w:top w:val="none" w:sz="0" w:space="0" w:color="auto"/>
            <w:left w:val="none" w:sz="0" w:space="0" w:color="auto"/>
            <w:bottom w:val="none" w:sz="0" w:space="0" w:color="auto"/>
            <w:right w:val="none" w:sz="0" w:space="0" w:color="auto"/>
          </w:divBdr>
        </w:div>
      </w:divsChild>
    </w:div>
    <w:div w:id="1701667592">
      <w:bodyDiv w:val="1"/>
      <w:marLeft w:val="0"/>
      <w:marRight w:val="0"/>
      <w:marTop w:val="0"/>
      <w:marBottom w:val="0"/>
      <w:divBdr>
        <w:top w:val="none" w:sz="0" w:space="0" w:color="auto"/>
        <w:left w:val="none" w:sz="0" w:space="0" w:color="auto"/>
        <w:bottom w:val="none" w:sz="0" w:space="0" w:color="auto"/>
        <w:right w:val="none" w:sz="0" w:space="0" w:color="auto"/>
      </w:divBdr>
      <w:divsChild>
        <w:div w:id="126437090">
          <w:marLeft w:val="0"/>
          <w:marRight w:val="0"/>
          <w:marTop w:val="0"/>
          <w:marBottom w:val="0"/>
          <w:divBdr>
            <w:top w:val="none" w:sz="0" w:space="0" w:color="auto"/>
            <w:left w:val="none" w:sz="0" w:space="0" w:color="auto"/>
            <w:bottom w:val="none" w:sz="0" w:space="0" w:color="auto"/>
            <w:right w:val="none" w:sz="0" w:space="0" w:color="auto"/>
          </w:divBdr>
        </w:div>
        <w:div w:id="932976488">
          <w:marLeft w:val="0"/>
          <w:marRight w:val="0"/>
          <w:marTop w:val="0"/>
          <w:marBottom w:val="0"/>
          <w:divBdr>
            <w:top w:val="none" w:sz="0" w:space="0" w:color="auto"/>
            <w:left w:val="none" w:sz="0" w:space="0" w:color="auto"/>
            <w:bottom w:val="none" w:sz="0" w:space="0" w:color="auto"/>
            <w:right w:val="none" w:sz="0" w:space="0" w:color="auto"/>
          </w:divBdr>
        </w:div>
      </w:divsChild>
    </w:div>
    <w:div w:id="1717927813">
      <w:bodyDiv w:val="1"/>
      <w:marLeft w:val="0"/>
      <w:marRight w:val="0"/>
      <w:marTop w:val="0"/>
      <w:marBottom w:val="0"/>
      <w:divBdr>
        <w:top w:val="none" w:sz="0" w:space="0" w:color="auto"/>
        <w:left w:val="none" w:sz="0" w:space="0" w:color="auto"/>
        <w:bottom w:val="none" w:sz="0" w:space="0" w:color="auto"/>
        <w:right w:val="none" w:sz="0" w:space="0" w:color="auto"/>
      </w:divBdr>
      <w:divsChild>
        <w:div w:id="31462685">
          <w:marLeft w:val="0"/>
          <w:marRight w:val="0"/>
          <w:marTop w:val="0"/>
          <w:marBottom w:val="0"/>
          <w:divBdr>
            <w:top w:val="none" w:sz="0" w:space="0" w:color="auto"/>
            <w:left w:val="none" w:sz="0" w:space="0" w:color="auto"/>
            <w:bottom w:val="none" w:sz="0" w:space="0" w:color="auto"/>
            <w:right w:val="none" w:sz="0" w:space="0" w:color="auto"/>
          </w:divBdr>
          <w:divsChild>
            <w:div w:id="73356686">
              <w:marLeft w:val="0"/>
              <w:marRight w:val="0"/>
              <w:marTop w:val="0"/>
              <w:marBottom w:val="0"/>
              <w:divBdr>
                <w:top w:val="none" w:sz="0" w:space="0" w:color="auto"/>
                <w:left w:val="none" w:sz="0" w:space="0" w:color="auto"/>
                <w:bottom w:val="none" w:sz="0" w:space="0" w:color="auto"/>
                <w:right w:val="none" w:sz="0" w:space="0" w:color="auto"/>
              </w:divBdr>
            </w:div>
            <w:div w:id="125317627">
              <w:marLeft w:val="0"/>
              <w:marRight w:val="0"/>
              <w:marTop w:val="0"/>
              <w:marBottom w:val="0"/>
              <w:divBdr>
                <w:top w:val="none" w:sz="0" w:space="0" w:color="auto"/>
                <w:left w:val="none" w:sz="0" w:space="0" w:color="auto"/>
                <w:bottom w:val="none" w:sz="0" w:space="0" w:color="auto"/>
                <w:right w:val="none" w:sz="0" w:space="0" w:color="auto"/>
              </w:divBdr>
            </w:div>
            <w:div w:id="754521884">
              <w:marLeft w:val="0"/>
              <w:marRight w:val="0"/>
              <w:marTop w:val="0"/>
              <w:marBottom w:val="0"/>
              <w:divBdr>
                <w:top w:val="none" w:sz="0" w:space="0" w:color="auto"/>
                <w:left w:val="none" w:sz="0" w:space="0" w:color="auto"/>
                <w:bottom w:val="none" w:sz="0" w:space="0" w:color="auto"/>
                <w:right w:val="none" w:sz="0" w:space="0" w:color="auto"/>
              </w:divBdr>
            </w:div>
            <w:div w:id="820388833">
              <w:marLeft w:val="0"/>
              <w:marRight w:val="0"/>
              <w:marTop w:val="0"/>
              <w:marBottom w:val="0"/>
              <w:divBdr>
                <w:top w:val="none" w:sz="0" w:space="0" w:color="auto"/>
                <w:left w:val="none" w:sz="0" w:space="0" w:color="auto"/>
                <w:bottom w:val="none" w:sz="0" w:space="0" w:color="auto"/>
                <w:right w:val="none" w:sz="0" w:space="0" w:color="auto"/>
              </w:divBdr>
            </w:div>
            <w:div w:id="892890952">
              <w:marLeft w:val="0"/>
              <w:marRight w:val="0"/>
              <w:marTop w:val="0"/>
              <w:marBottom w:val="0"/>
              <w:divBdr>
                <w:top w:val="none" w:sz="0" w:space="0" w:color="auto"/>
                <w:left w:val="none" w:sz="0" w:space="0" w:color="auto"/>
                <w:bottom w:val="none" w:sz="0" w:space="0" w:color="auto"/>
                <w:right w:val="none" w:sz="0" w:space="0" w:color="auto"/>
              </w:divBdr>
            </w:div>
            <w:div w:id="930746253">
              <w:marLeft w:val="0"/>
              <w:marRight w:val="0"/>
              <w:marTop w:val="0"/>
              <w:marBottom w:val="0"/>
              <w:divBdr>
                <w:top w:val="none" w:sz="0" w:space="0" w:color="auto"/>
                <w:left w:val="none" w:sz="0" w:space="0" w:color="auto"/>
                <w:bottom w:val="none" w:sz="0" w:space="0" w:color="auto"/>
                <w:right w:val="none" w:sz="0" w:space="0" w:color="auto"/>
              </w:divBdr>
            </w:div>
            <w:div w:id="1077479797">
              <w:marLeft w:val="0"/>
              <w:marRight w:val="0"/>
              <w:marTop w:val="0"/>
              <w:marBottom w:val="0"/>
              <w:divBdr>
                <w:top w:val="none" w:sz="0" w:space="0" w:color="auto"/>
                <w:left w:val="none" w:sz="0" w:space="0" w:color="auto"/>
                <w:bottom w:val="none" w:sz="0" w:space="0" w:color="auto"/>
                <w:right w:val="none" w:sz="0" w:space="0" w:color="auto"/>
              </w:divBdr>
            </w:div>
            <w:div w:id="1238515545">
              <w:marLeft w:val="0"/>
              <w:marRight w:val="0"/>
              <w:marTop w:val="0"/>
              <w:marBottom w:val="0"/>
              <w:divBdr>
                <w:top w:val="none" w:sz="0" w:space="0" w:color="auto"/>
                <w:left w:val="none" w:sz="0" w:space="0" w:color="auto"/>
                <w:bottom w:val="none" w:sz="0" w:space="0" w:color="auto"/>
                <w:right w:val="none" w:sz="0" w:space="0" w:color="auto"/>
              </w:divBdr>
            </w:div>
            <w:div w:id="1269389768">
              <w:marLeft w:val="0"/>
              <w:marRight w:val="0"/>
              <w:marTop w:val="0"/>
              <w:marBottom w:val="0"/>
              <w:divBdr>
                <w:top w:val="none" w:sz="0" w:space="0" w:color="auto"/>
                <w:left w:val="none" w:sz="0" w:space="0" w:color="auto"/>
                <w:bottom w:val="none" w:sz="0" w:space="0" w:color="auto"/>
                <w:right w:val="none" w:sz="0" w:space="0" w:color="auto"/>
              </w:divBdr>
            </w:div>
            <w:div w:id="1317732653">
              <w:marLeft w:val="0"/>
              <w:marRight w:val="0"/>
              <w:marTop w:val="0"/>
              <w:marBottom w:val="0"/>
              <w:divBdr>
                <w:top w:val="none" w:sz="0" w:space="0" w:color="auto"/>
                <w:left w:val="none" w:sz="0" w:space="0" w:color="auto"/>
                <w:bottom w:val="none" w:sz="0" w:space="0" w:color="auto"/>
                <w:right w:val="none" w:sz="0" w:space="0" w:color="auto"/>
              </w:divBdr>
            </w:div>
            <w:div w:id="1330713987">
              <w:marLeft w:val="0"/>
              <w:marRight w:val="0"/>
              <w:marTop w:val="0"/>
              <w:marBottom w:val="0"/>
              <w:divBdr>
                <w:top w:val="none" w:sz="0" w:space="0" w:color="auto"/>
                <w:left w:val="none" w:sz="0" w:space="0" w:color="auto"/>
                <w:bottom w:val="none" w:sz="0" w:space="0" w:color="auto"/>
                <w:right w:val="none" w:sz="0" w:space="0" w:color="auto"/>
              </w:divBdr>
            </w:div>
            <w:div w:id="1428187305">
              <w:marLeft w:val="0"/>
              <w:marRight w:val="0"/>
              <w:marTop w:val="0"/>
              <w:marBottom w:val="0"/>
              <w:divBdr>
                <w:top w:val="none" w:sz="0" w:space="0" w:color="auto"/>
                <w:left w:val="none" w:sz="0" w:space="0" w:color="auto"/>
                <w:bottom w:val="none" w:sz="0" w:space="0" w:color="auto"/>
                <w:right w:val="none" w:sz="0" w:space="0" w:color="auto"/>
              </w:divBdr>
            </w:div>
            <w:div w:id="1606574192">
              <w:marLeft w:val="0"/>
              <w:marRight w:val="0"/>
              <w:marTop w:val="0"/>
              <w:marBottom w:val="0"/>
              <w:divBdr>
                <w:top w:val="none" w:sz="0" w:space="0" w:color="auto"/>
                <w:left w:val="none" w:sz="0" w:space="0" w:color="auto"/>
                <w:bottom w:val="none" w:sz="0" w:space="0" w:color="auto"/>
                <w:right w:val="none" w:sz="0" w:space="0" w:color="auto"/>
              </w:divBdr>
            </w:div>
            <w:div w:id="1788040118">
              <w:marLeft w:val="0"/>
              <w:marRight w:val="0"/>
              <w:marTop w:val="0"/>
              <w:marBottom w:val="0"/>
              <w:divBdr>
                <w:top w:val="none" w:sz="0" w:space="0" w:color="auto"/>
                <w:left w:val="none" w:sz="0" w:space="0" w:color="auto"/>
                <w:bottom w:val="none" w:sz="0" w:space="0" w:color="auto"/>
                <w:right w:val="none" w:sz="0" w:space="0" w:color="auto"/>
              </w:divBdr>
            </w:div>
            <w:div w:id="1908805440">
              <w:marLeft w:val="0"/>
              <w:marRight w:val="0"/>
              <w:marTop w:val="0"/>
              <w:marBottom w:val="0"/>
              <w:divBdr>
                <w:top w:val="none" w:sz="0" w:space="0" w:color="auto"/>
                <w:left w:val="none" w:sz="0" w:space="0" w:color="auto"/>
                <w:bottom w:val="none" w:sz="0" w:space="0" w:color="auto"/>
                <w:right w:val="none" w:sz="0" w:space="0" w:color="auto"/>
              </w:divBdr>
            </w:div>
          </w:divsChild>
        </w:div>
        <w:div w:id="54475025">
          <w:marLeft w:val="0"/>
          <w:marRight w:val="0"/>
          <w:marTop w:val="0"/>
          <w:marBottom w:val="0"/>
          <w:divBdr>
            <w:top w:val="none" w:sz="0" w:space="0" w:color="auto"/>
            <w:left w:val="none" w:sz="0" w:space="0" w:color="auto"/>
            <w:bottom w:val="none" w:sz="0" w:space="0" w:color="auto"/>
            <w:right w:val="none" w:sz="0" w:space="0" w:color="auto"/>
          </w:divBdr>
          <w:divsChild>
            <w:div w:id="947005506">
              <w:marLeft w:val="-75"/>
              <w:marRight w:val="0"/>
              <w:marTop w:val="30"/>
              <w:marBottom w:val="30"/>
              <w:divBdr>
                <w:top w:val="none" w:sz="0" w:space="0" w:color="auto"/>
                <w:left w:val="none" w:sz="0" w:space="0" w:color="auto"/>
                <w:bottom w:val="none" w:sz="0" w:space="0" w:color="auto"/>
                <w:right w:val="none" w:sz="0" w:space="0" w:color="auto"/>
              </w:divBdr>
              <w:divsChild>
                <w:div w:id="29956965">
                  <w:marLeft w:val="0"/>
                  <w:marRight w:val="0"/>
                  <w:marTop w:val="0"/>
                  <w:marBottom w:val="0"/>
                  <w:divBdr>
                    <w:top w:val="none" w:sz="0" w:space="0" w:color="auto"/>
                    <w:left w:val="none" w:sz="0" w:space="0" w:color="auto"/>
                    <w:bottom w:val="none" w:sz="0" w:space="0" w:color="auto"/>
                    <w:right w:val="none" w:sz="0" w:space="0" w:color="auto"/>
                  </w:divBdr>
                  <w:divsChild>
                    <w:div w:id="1813710298">
                      <w:marLeft w:val="0"/>
                      <w:marRight w:val="0"/>
                      <w:marTop w:val="0"/>
                      <w:marBottom w:val="0"/>
                      <w:divBdr>
                        <w:top w:val="none" w:sz="0" w:space="0" w:color="auto"/>
                        <w:left w:val="none" w:sz="0" w:space="0" w:color="auto"/>
                        <w:bottom w:val="none" w:sz="0" w:space="0" w:color="auto"/>
                        <w:right w:val="none" w:sz="0" w:space="0" w:color="auto"/>
                      </w:divBdr>
                    </w:div>
                  </w:divsChild>
                </w:div>
                <w:div w:id="62023506">
                  <w:marLeft w:val="0"/>
                  <w:marRight w:val="0"/>
                  <w:marTop w:val="0"/>
                  <w:marBottom w:val="0"/>
                  <w:divBdr>
                    <w:top w:val="none" w:sz="0" w:space="0" w:color="auto"/>
                    <w:left w:val="none" w:sz="0" w:space="0" w:color="auto"/>
                    <w:bottom w:val="none" w:sz="0" w:space="0" w:color="auto"/>
                    <w:right w:val="none" w:sz="0" w:space="0" w:color="auto"/>
                  </w:divBdr>
                  <w:divsChild>
                    <w:div w:id="479729806">
                      <w:marLeft w:val="0"/>
                      <w:marRight w:val="0"/>
                      <w:marTop w:val="0"/>
                      <w:marBottom w:val="0"/>
                      <w:divBdr>
                        <w:top w:val="none" w:sz="0" w:space="0" w:color="auto"/>
                        <w:left w:val="none" w:sz="0" w:space="0" w:color="auto"/>
                        <w:bottom w:val="none" w:sz="0" w:space="0" w:color="auto"/>
                        <w:right w:val="none" w:sz="0" w:space="0" w:color="auto"/>
                      </w:divBdr>
                    </w:div>
                  </w:divsChild>
                </w:div>
                <w:div w:id="118651195">
                  <w:marLeft w:val="0"/>
                  <w:marRight w:val="0"/>
                  <w:marTop w:val="0"/>
                  <w:marBottom w:val="0"/>
                  <w:divBdr>
                    <w:top w:val="none" w:sz="0" w:space="0" w:color="auto"/>
                    <w:left w:val="none" w:sz="0" w:space="0" w:color="auto"/>
                    <w:bottom w:val="none" w:sz="0" w:space="0" w:color="auto"/>
                    <w:right w:val="none" w:sz="0" w:space="0" w:color="auto"/>
                  </w:divBdr>
                  <w:divsChild>
                    <w:div w:id="1255354952">
                      <w:marLeft w:val="0"/>
                      <w:marRight w:val="0"/>
                      <w:marTop w:val="0"/>
                      <w:marBottom w:val="0"/>
                      <w:divBdr>
                        <w:top w:val="none" w:sz="0" w:space="0" w:color="auto"/>
                        <w:left w:val="none" w:sz="0" w:space="0" w:color="auto"/>
                        <w:bottom w:val="none" w:sz="0" w:space="0" w:color="auto"/>
                        <w:right w:val="none" w:sz="0" w:space="0" w:color="auto"/>
                      </w:divBdr>
                    </w:div>
                  </w:divsChild>
                </w:div>
                <w:div w:id="130250760">
                  <w:marLeft w:val="0"/>
                  <w:marRight w:val="0"/>
                  <w:marTop w:val="0"/>
                  <w:marBottom w:val="0"/>
                  <w:divBdr>
                    <w:top w:val="none" w:sz="0" w:space="0" w:color="auto"/>
                    <w:left w:val="none" w:sz="0" w:space="0" w:color="auto"/>
                    <w:bottom w:val="none" w:sz="0" w:space="0" w:color="auto"/>
                    <w:right w:val="none" w:sz="0" w:space="0" w:color="auto"/>
                  </w:divBdr>
                  <w:divsChild>
                    <w:div w:id="540748022">
                      <w:marLeft w:val="0"/>
                      <w:marRight w:val="0"/>
                      <w:marTop w:val="0"/>
                      <w:marBottom w:val="0"/>
                      <w:divBdr>
                        <w:top w:val="none" w:sz="0" w:space="0" w:color="auto"/>
                        <w:left w:val="none" w:sz="0" w:space="0" w:color="auto"/>
                        <w:bottom w:val="none" w:sz="0" w:space="0" w:color="auto"/>
                        <w:right w:val="none" w:sz="0" w:space="0" w:color="auto"/>
                      </w:divBdr>
                    </w:div>
                  </w:divsChild>
                </w:div>
                <w:div w:id="131992394">
                  <w:marLeft w:val="0"/>
                  <w:marRight w:val="0"/>
                  <w:marTop w:val="0"/>
                  <w:marBottom w:val="0"/>
                  <w:divBdr>
                    <w:top w:val="none" w:sz="0" w:space="0" w:color="auto"/>
                    <w:left w:val="none" w:sz="0" w:space="0" w:color="auto"/>
                    <w:bottom w:val="none" w:sz="0" w:space="0" w:color="auto"/>
                    <w:right w:val="none" w:sz="0" w:space="0" w:color="auto"/>
                  </w:divBdr>
                  <w:divsChild>
                    <w:div w:id="1551500809">
                      <w:marLeft w:val="0"/>
                      <w:marRight w:val="0"/>
                      <w:marTop w:val="0"/>
                      <w:marBottom w:val="0"/>
                      <w:divBdr>
                        <w:top w:val="none" w:sz="0" w:space="0" w:color="auto"/>
                        <w:left w:val="none" w:sz="0" w:space="0" w:color="auto"/>
                        <w:bottom w:val="none" w:sz="0" w:space="0" w:color="auto"/>
                        <w:right w:val="none" w:sz="0" w:space="0" w:color="auto"/>
                      </w:divBdr>
                    </w:div>
                  </w:divsChild>
                </w:div>
                <w:div w:id="148594872">
                  <w:marLeft w:val="0"/>
                  <w:marRight w:val="0"/>
                  <w:marTop w:val="0"/>
                  <w:marBottom w:val="0"/>
                  <w:divBdr>
                    <w:top w:val="none" w:sz="0" w:space="0" w:color="auto"/>
                    <w:left w:val="none" w:sz="0" w:space="0" w:color="auto"/>
                    <w:bottom w:val="none" w:sz="0" w:space="0" w:color="auto"/>
                    <w:right w:val="none" w:sz="0" w:space="0" w:color="auto"/>
                  </w:divBdr>
                  <w:divsChild>
                    <w:div w:id="1850410728">
                      <w:marLeft w:val="0"/>
                      <w:marRight w:val="0"/>
                      <w:marTop w:val="0"/>
                      <w:marBottom w:val="0"/>
                      <w:divBdr>
                        <w:top w:val="none" w:sz="0" w:space="0" w:color="auto"/>
                        <w:left w:val="none" w:sz="0" w:space="0" w:color="auto"/>
                        <w:bottom w:val="none" w:sz="0" w:space="0" w:color="auto"/>
                        <w:right w:val="none" w:sz="0" w:space="0" w:color="auto"/>
                      </w:divBdr>
                    </w:div>
                  </w:divsChild>
                </w:div>
                <w:div w:id="170803425">
                  <w:marLeft w:val="0"/>
                  <w:marRight w:val="0"/>
                  <w:marTop w:val="0"/>
                  <w:marBottom w:val="0"/>
                  <w:divBdr>
                    <w:top w:val="none" w:sz="0" w:space="0" w:color="auto"/>
                    <w:left w:val="none" w:sz="0" w:space="0" w:color="auto"/>
                    <w:bottom w:val="none" w:sz="0" w:space="0" w:color="auto"/>
                    <w:right w:val="none" w:sz="0" w:space="0" w:color="auto"/>
                  </w:divBdr>
                  <w:divsChild>
                    <w:div w:id="1961645262">
                      <w:marLeft w:val="0"/>
                      <w:marRight w:val="0"/>
                      <w:marTop w:val="0"/>
                      <w:marBottom w:val="0"/>
                      <w:divBdr>
                        <w:top w:val="none" w:sz="0" w:space="0" w:color="auto"/>
                        <w:left w:val="none" w:sz="0" w:space="0" w:color="auto"/>
                        <w:bottom w:val="none" w:sz="0" w:space="0" w:color="auto"/>
                        <w:right w:val="none" w:sz="0" w:space="0" w:color="auto"/>
                      </w:divBdr>
                    </w:div>
                  </w:divsChild>
                </w:div>
                <w:div w:id="231238934">
                  <w:marLeft w:val="0"/>
                  <w:marRight w:val="0"/>
                  <w:marTop w:val="0"/>
                  <w:marBottom w:val="0"/>
                  <w:divBdr>
                    <w:top w:val="none" w:sz="0" w:space="0" w:color="auto"/>
                    <w:left w:val="none" w:sz="0" w:space="0" w:color="auto"/>
                    <w:bottom w:val="none" w:sz="0" w:space="0" w:color="auto"/>
                    <w:right w:val="none" w:sz="0" w:space="0" w:color="auto"/>
                  </w:divBdr>
                  <w:divsChild>
                    <w:div w:id="1908297757">
                      <w:marLeft w:val="0"/>
                      <w:marRight w:val="0"/>
                      <w:marTop w:val="0"/>
                      <w:marBottom w:val="0"/>
                      <w:divBdr>
                        <w:top w:val="none" w:sz="0" w:space="0" w:color="auto"/>
                        <w:left w:val="none" w:sz="0" w:space="0" w:color="auto"/>
                        <w:bottom w:val="none" w:sz="0" w:space="0" w:color="auto"/>
                        <w:right w:val="none" w:sz="0" w:space="0" w:color="auto"/>
                      </w:divBdr>
                    </w:div>
                  </w:divsChild>
                </w:div>
                <w:div w:id="294600939">
                  <w:marLeft w:val="0"/>
                  <w:marRight w:val="0"/>
                  <w:marTop w:val="0"/>
                  <w:marBottom w:val="0"/>
                  <w:divBdr>
                    <w:top w:val="none" w:sz="0" w:space="0" w:color="auto"/>
                    <w:left w:val="none" w:sz="0" w:space="0" w:color="auto"/>
                    <w:bottom w:val="none" w:sz="0" w:space="0" w:color="auto"/>
                    <w:right w:val="none" w:sz="0" w:space="0" w:color="auto"/>
                  </w:divBdr>
                  <w:divsChild>
                    <w:div w:id="1106118533">
                      <w:marLeft w:val="0"/>
                      <w:marRight w:val="0"/>
                      <w:marTop w:val="0"/>
                      <w:marBottom w:val="0"/>
                      <w:divBdr>
                        <w:top w:val="none" w:sz="0" w:space="0" w:color="auto"/>
                        <w:left w:val="none" w:sz="0" w:space="0" w:color="auto"/>
                        <w:bottom w:val="none" w:sz="0" w:space="0" w:color="auto"/>
                        <w:right w:val="none" w:sz="0" w:space="0" w:color="auto"/>
                      </w:divBdr>
                    </w:div>
                  </w:divsChild>
                </w:div>
                <w:div w:id="312412795">
                  <w:marLeft w:val="0"/>
                  <w:marRight w:val="0"/>
                  <w:marTop w:val="0"/>
                  <w:marBottom w:val="0"/>
                  <w:divBdr>
                    <w:top w:val="none" w:sz="0" w:space="0" w:color="auto"/>
                    <w:left w:val="none" w:sz="0" w:space="0" w:color="auto"/>
                    <w:bottom w:val="none" w:sz="0" w:space="0" w:color="auto"/>
                    <w:right w:val="none" w:sz="0" w:space="0" w:color="auto"/>
                  </w:divBdr>
                  <w:divsChild>
                    <w:div w:id="2062946766">
                      <w:marLeft w:val="0"/>
                      <w:marRight w:val="0"/>
                      <w:marTop w:val="0"/>
                      <w:marBottom w:val="0"/>
                      <w:divBdr>
                        <w:top w:val="none" w:sz="0" w:space="0" w:color="auto"/>
                        <w:left w:val="none" w:sz="0" w:space="0" w:color="auto"/>
                        <w:bottom w:val="none" w:sz="0" w:space="0" w:color="auto"/>
                        <w:right w:val="none" w:sz="0" w:space="0" w:color="auto"/>
                      </w:divBdr>
                    </w:div>
                  </w:divsChild>
                </w:div>
                <w:div w:id="322708287">
                  <w:marLeft w:val="0"/>
                  <w:marRight w:val="0"/>
                  <w:marTop w:val="0"/>
                  <w:marBottom w:val="0"/>
                  <w:divBdr>
                    <w:top w:val="none" w:sz="0" w:space="0" w:color="auto"/>
                    <w:left w:val="none" w:sz="0" w:space="0" w:color="auto"/>
                    <w:bottom w:val="none" w:sz="0" w:space="0" w:color="auto"/>
                    <w:right w:val="none" w:sz="0" w:space="0" w:color="auto"/>
                  </w:divBdr>
                  <w:divsChild>
                    <w:div w:id="1581060411">
                      <w:marLeft w:val="0"/>
                      <w:marRight w:val="0"/>
                      <w:marTop w:val="0"/>
                      <w:marBottom w:val="0"/>
                      <w:divBdr>
                        <w:top w:val="none" w:sz="0" w:space="0" w:color="auto"/>
                        <w:left w:val="none" w:sz="0" w:space="0" w:color="auto"/>
                        <w:bottom w:val="none" w:sz="0" w:space="0" w:color="auto"/>
                        <w:right w:val="none" w:sz="0" w:space="0" w:color="auto"/>
                      </w:divBdr>
                    </w:div>
                  </w:divsChild>
                </w:div>
                <w:div w:id="329335313">
                  <w:marLeft w:val="0"/>
                  <w:marRight w:val="0"/>
                  <w:marTop w:val="0"/>
                  <w:marBottom w:val="0"/>
                  <w:divBdr>
                    <w:top w:val="none" w:sz="0" w:space="0" w:color="auto"/>
                    <w:left w:val="none" w:sz="0" w:space="0" w:color="auto"/>
                    <w:bottom w:val="none" w:sz="0" w:space="0" w:color="auto"/>
                    <w:right w:val="none" w:sz="0" w:space="0" w:color="auto"/>
                  </w:divBdr>
                  <w:divsChild>
                    <w:div w:id="31227616">
                      <w:marLeft w:val="0"/>
                      <w:marRight w:val="0"/>
                      <w:marTop w:val="0"/>
                      <w:marBottom w:val="0"/>
                      <w:divBdr>
                        <w:top w:val="none" w:sz="0" w:space="0" w:color="auto"/>
                        <w:left w:val="none" w:sz="0" w:space="0" w:color="auto"/>
                        <w:bottom w:val="none" w:sz="0" w:space="0" w:color="auto"/>
                        <w:right w:val="none" w:sz="0" w:space="0" w:color="auto"/>
                      </w:divBdr>
                    </w:div>
                  </w:divsChild>
                </w:div>
                <w:div w:id="388041628">
                  <w:marLeft w:val="0"/>
                  <w:marRight w:val="0"/>
                  <w:marTop w:val="0"/>
                  <w:marBottom w:val="0"/>
                  <w:divBdr>
                    <w:top w:val="none" w:sz="0" w:space="0" w:color="auto"/>
                    <w:left w:val="none" w:sz="0" w:space="0" w:color="auto"/>
                    <w:bottom w:val="none" w:sz="0" w:space="0" w:color="auto"/>
                    <w:right w:val="none" w:sz="0" w:space="0" w:color="auto"/>
                  </w:divBdr>
                  <w:divsChild>
                    <w:div w:id="507870551">
                      <w:marLeft w:val="0"/>
                      <w:marRight w:val="0"/>
                      <w:marTop w:val="0"/>
                      <w:marBottom w:val="0"/>
                      <w:divBdr>
                        <w:top w:val="none" w:sz="0" w:space="0" w:color="auto"/>
                        <w:left w:val="none" w:sz="0" w:space="0" w:color="auto"/>
                        <w:bottom w:val="none" w:sz="0" w:space="0" w:color="auto"/>
                        <w:right w:val="none" w:sz="0" w:space="0" w:color="auto"/>
                      </w:divBdr>
                    </w:div>
                  </w:divsChild>
                </w:div>
                <w:div w:id="431365867">
                  <w:marLeft w:val="0"/>
                  <w:marRight w:val="0"/>
                  <w:marTop w:val="0"/>
                  <w:marBottom w:val="0"/>
                  <w:divBdr>
                    <w:top w:val="none" w:sz="0" w:space="0" w:color="auto"/>
                    <w:left w:val="none" w:sz="0" w:space="0" w:color="auto"/>
                    <w:bottom w:val="none" w:sz="0" w:space="0" w:color="auto"/>
                    <w:right w:val="none" w:sz="0" w:space="0" w:color="auto"/>
                  </w:divBdr>
                  <w:divsChild>
                    <w:div w:id="626544116">
                      <w:marLeft w:val="0"/>
                      <w:marRight w:val="0"/>
                      <w:marTop w:val="0"/>
                      <w:marBottom w:val="0"/>
                      <w:divBdr>
                        <w:top w:val="none" w:sz="0" w:space="0" w:color="auto"/>
                        <w:left w:val="none" w:sz="0" w:space="0" w:color="auto"/>
                        <w:bottom w:val="none" w:sz="0" w:space="0" w:color="auto"/>
                        <w:right w:val="none" w:sz="0" w:space="0" w:color="auto"/>
                      </w:divBdr>
                    </w:div>
                  </w:divsChild>
                </w:div>
                <w:div w:id="443580266">
                  <w:marLeft w:val="0"/>
                  <w:marRight w:val="0"/>
                  <w:marTop w:val="0"/>
                  <w:marBottom w:val="0"/>
                  <w:divBdr>
                    <w:top w:val="none" w:sz="0" w:space="0" w:color="auto"/>
                    <w:left w:val="none" w:sz="0" w:space="0" w:color="auto"/>
                    <w:bottom w:val="none" w:sz="0" w:space="0" w:color="auto"/>
                    <w:right w:val="none" w:sz="0" w:space="0" w:color="auto"/>
                  </w:divBdr>
                  <w:divsChild>
                    <w:div w:id="2027242975">
                      <w:marLeft w:val="0"/>
                      <w:marRight w:val="0"/>
                      <w:marTop w:val="0"/>
                      <w:marBottom w:val="0"/>
                      <w:divBdr>
                        <w:top w:val="none" w:sz="0" w:space="0" w:color="auto"/>
                        <w:left w:val="none" w:sz="0" w:space="0" w:color="auto"/>
                        <w:bottom w:val="none" w:sz="0" w:space="0" w:color="auto"/>
                        <w:right w:val="none" w:sz="0" w:space="0" w:color="auto"/>
                      </w:divBdr>
                    </w:div>
                  </w:divsChild>
                </w:div>
                <w:div w:id="448747714">
                  <w:marLeft w:val="0"/>
                  <w:marRight w:val="0"/>
                  <w:marTop w:val="0"/>
                  <w:marBottom w:val="0"/>
                  <w:divBdr>
                    <w:top w:val="none" w:sz="0" w:space="0" w:color="auto"/>
                    <w:left w:val="none" w:sz="0" w:space="0" w:color="auto"/>
                    <w:bottom w:val="none" w:sz="0" w:space="0" w:color="auto"/>
                    <w:right w:val="none" w:sz="0" w:space="0" w:color="auto"/>
                  </w:divBdr>
                  <w:divsChild>
                    <w:div w:id="1652052204">
                      <w:marLeft w:val="0"/>
                      <w:marRight w:val="0"/>
                      <w:marTop w:val="0"/>
                      <w:marBottom w:val="0"/>
                      <w:divBdr>
                        <w:top w:val="none" w:sz="0" w:space="0" w:color="auto"/>
                        <w:left w:val="none" w:sz="0" w:space="0" w:color="auto"/>
                        <w:bottom w:val="none" w:sz="0" w:space="0" w:color="auto"/>
                        <w:right w:val="none" w:sz="0" w:space="0" w:color="auto"/>
                      </w:divBdr>
                    </w:div>
                  </w:divsChild>
                </w:div>
                <w:div w:id="453059778">
                  <w:marLeft w:val="0"/>
                  <w:marRight w:val="0"/>
                  <w:marTop w:val="0"/>
                  <w:marBottom w:val="0"/>
                  <w:divBdr>
                    <w:top w:val="none" w:sz="0" w:space="0" w:color="auto"/>
                    <w:left w:val="none" w:sz="0" w:space="0" w:color="auto"/>
                    <w:bottom w:val="none" w:sz="0" w:space="0" w:color="auto"/>
                    <w:right w:val="none" w:sz="0" w:space="0" w:color="auto"/>
                  </w:divBdr>
                  <w:divsChild>
                    <w:div w:id="679507520">
                      <w:marLeft w:val="0"/>
                      <w:marRight w:val="0"/>
                      <w:marTop w:val="0"/>
                      <w:marBottom w:val="0"/>
                      <w:divBdr>
                        <w:top w:val="none" w:sz="0" w:space="0" w:color="auto"/>
                        <w:left w:val="none" w:sz="0" w:space="0" w:color="auto"/>
                        <w:bottom w:val="none" w:sz="0" w:space="0" w:color="auto"/>
                        <w:right w:val="none" w:sz="0" w:space="0" w:color="auto"/>
                      </w:divBdr>
                    </w:div>
                  </w:divsChild>
                </w:div>
                <w:div w:id="486477584">
                  <w:marLeft w:val="0"/>
                  <w:marRight w:val="0"/>
                  <w:marTop w:val="0"/>
                  <w:marBottom w:val="0"/>
                  <w:divBdr>
                    <w:top w:val="none" w:sz="0" w:space="0" w:color="auto"/>
                    <w:left w:val="none" w:sz="0" w:space="0" w:color="auto"/>
                    <w:bottom w:val="none" w:sz="0" w:space="0" w:color="auto"/>
                    <w:right w:val="none" w:sz="0" w:space="0" w:color="auto"/>
                  </w:divBdr>
                  <w:divsChild>
                    <w:div w:id="1061635187">
                      <w:marLeft w:val="0"/>
                      <w:marRight w:val="0"/>
                      <w:marTop w:val="0"/>
                      <w:marBottom w:val="0"/>
                      <w:divBdr>
                        <w:top w:val="none" w:sz="0" w:space="0" w:color="auto"/>
                        <w:left w:val="none" w:sz="0" w:space="0" w:color="auto"/>
                        <w:bottom w:val="none" w:sz="0" w:space="0" w:color="auto"/>
                        <w:right w:val="none" w:sz="0" w:space="0" w:color="auto"/>
                      </w:divBdr>
                    </w:div>
                  </w:divsChild>
                </w:div>
                <w:div w:id="539972879">
                  <w:marLeft w:val="0"/>
                  <w:marRight w:val="0"/>
                  <w:marTop w:val="0"/>
                  <w:marBottom w:val="0"/>
                  <w:divBdr>
                    <w:top w:val="none" w:sz="0" w:space="0" w:color="auto"/>
                    <w:left w:val="none" w:sz="0" w:space="0" w:color="auto"/>
                    <w:bottom w:val="none" w:sz="0" w:space="0" w:color="auto"/>
                    <w:right w:val="none" w:sz="0" w:space="0" w:color="auto"/>
                  </w:divBdr>
                  <w:divsChild>
                    <w:div w:id="832725567">
                      <w:marLeft w:val="0"/>
                      <w:marRight w:val="0"/>
                      <w:marTop w:val="0"/>
                      <w:marBottom w:val="0"/>
                      <w:divBdr>
                        <w:top w:val="none" w:sz="0" w:space="0" w:color="auto"/>
                        <w:left w:val="none" w:sz="0" w:space="0" w:color="auto"/>
                        <w:bottom w:val="none" w:sz="0" w:space="0" w:color="auto"/>
                        <w:right w:val="none" w:sz="0" w:space="0" w:color="auto"/>
                      </w:divBdr>
                    </w:div>
                  </w:divsChild>
                </w:div>
                <w:div w:id="556161414">
                  <w:marLeft w:val="0"/>
                  <w:marRight w:val="0"/>
                  <w:marTop w:val="0"/>
                  <w:marBottom w:val="0"/>
                  <w:divBdr>
                    <w:top w:val="none" w:sz="0" w:space="0" w:color="auto"/>
                    <w:left w:val="none" w:sz="0" w:space="0" w:color="auto"/>
                    <w:bottom w:val="none" w:sz="0" w:space="0" w:color="auto"/>
                    <w:right w:val="none" w:sz="0" w:space="0" w:color="auto"/>
                  </w:divBdr>
                  <w:divsChild>
                    <w:div w:id="210508302">
                      <w:marLeft w:val="0"/>
                      <w:marRight w:val="0"/>
                      <w:marTop w:val="0"/>
                      <w:marBottom w:val="0"/>
                      <w:divBdr>
                        <w:top w:val="none" w:sz="0" w:space="0" w:color="auto"/>
                        <w:left w:val="none" w:sz="0" w:space="0" w:color="auto"/>
                        <w:bottom w:val="none" w:sz="0" w:space="0" w:color="auto"/>
                        <w:right w:val="none" w:sz="0" w:space="0" w:color="auto"/>
                      </w:divBdr>
                    </w:div>
                  </w:divsChild>
                </w:div>
                <w:div w:id="610934631">
                  <w:marLeft w:val="0"/>
                  <w:marRight w:val="0"/>
                  <w:marTop w:val="0"/>
                  <w:marBottom w:val="0"/>
                  <w:divBdr>
                    <w:top w:val="none" w:sz="0" w:space="0" w:color="auto"/>
                    <w:left w:val="none" w:sz="0" w:space="0" w:color="auto"/>
                    <w:bottom w:val="none" w:sz="0" w:space="0" w:color="auto"/>
                    <w:right w:val="none" w:sz="0" w:space="0" w:color="auto"/>
                  </w:divBdr>
                  <w:divsChild>
                    <w:div w:id="1151367935">
                      <w:marLeft w:val="0"/>
                      <w:marRight w:val="0"/>
                      <w:marTop w:val="0"/>
                      <w:marBottom w:val="0"/>
                      <w:divBdr>
                        <w:top w:val="none" w:sz="0" w:space="0" w:color="auto"/>
                        <w:left w:val="none" w:sz="0" w:space="0" w:color="auto"/>
                        <w:bottom w:val="none" w:sz="0" w:space="0" w:color="auto"/>
                        <w:right w:val="none" w:sz="0" w:space="0" w:color="auto"/>
                      </w:divBdr>
                    </w:div>
                    <w:div w:id="1973441790">
                      <w:marLeft w:val="0"/>
                      <w:marRight w:val="0"/>
                      <w:marTop w:val="0"/>
                      <w:marBottom w:val="0"/>
                      <w:divBdr>
                        <w:top w:val="none" w:sz="0" w:space="0" w:color="auto"/>
                        <w:left w:val="none" w:sz="0" w:space="0" w:color="auto"/>
                        <w:bottom w:val="none" w:sz="0" w:space="0" w:color="auto"/>
                        <w:right w:val="none" w:sz="0" w:space="0" w:color="auto"/>
                      </w:divBdr>
                    </w:div>
                  </w:divsChild>
                </w:div>
                <w:div w:id="613945629">
                  <w:marLeft w:val="0"/>
                  <w:marRight w:val="0"/>
                  <w:marTop w:val="0"/>
                  <w:marBottom w:val="0"/>
                  <w:divBdr>
                    <w:top w:val="none" w:sz="0" w:space="0" w:color="auto"/>
                    <w:left w:val="none" w:sz="0" w:space="0" w:color="auto"/>
                    <w:bottom w:val="none" w:sz="0" w:space="0" w:color="auto"/>
                    <w:right w:val="none" w:sz="0" w:space="0" w:color="auto"/>
                  </w:divBdr>
                  <w:divsChild>
                    <w:div w:id="199098983">
                      <w:marLeft w:val="0"/>
                      <w:marRight w:val="0"/>
                      <w:marTop w:val="0"/>
                      <w:marBottom w:val="0"/>
                      <w:divBdr>
                        <w:top w:val="none" w:sz="0" w:space="0" w:color="auto"/>
                        <w:left w:val="none" w:sz="0" w:space="0" w:color="auto"/>
                        <w:bottom w:val="none" w:sz="0" w:space="0" w:color="auto"/>
                        <w:right w:val="none" w:sz="0" w:space="0" w:color="auto"/>
                      </w:divBdr>
                    </w:div>
                  </w:divsChild>
                </w:div>
                <w:div w:id="747655974">
                  <w:marLeft w:val="0"/>
                  <w:marRight w:val="0"/>
                  <w:marTop w:val="0"/>
                  <w:marBottom w:val="0"/>
                  <w:divBdr>
                    <w:top w:val="none" w:sz="0" w:space="0" w:color="auto"/>
                    <w:left w:val="none" w:sz="0" w:space="0" w:color="auto"/>
                    <w:bottom w:val="none" w:sz="0" w:space="0" w:color="auto"/>
                    <w:right w:val="none" w:sz="0" w:space="0" w:color="auto"/>
                  </w:divBdr>
                  <w:divsChild>
                    <w:div w:id="347097311">
                      <w:marLeft w:val="0"/>
                      <w:marRight w:val="0"/>
                      <w:marTop w:val="0"/>
                      <w:marBottom w:val="0"/>
                      <w:divBdr>
                        <w:top w:val="none" w:sz="0" w:space="0" w:color="auto"/>
                        <w:left w:val="none" w:sz="0" w:space="0" w:color="auto"/>
                        <w:bottom w:val="none" w:sz="0" w:space="0" w:color="auto"/>
                        <w:right w:val="none" w:sz="0" w:space="0" w:color="auto"/>
                      </w:divBdr>
                    </w:div>
                  </w:divsChild>
                </w:div>
                <w:div w:id="757796375">
                  <w:marLeft w:val="0"/>
                  <w:marRight w:val="0"/>
                  <w:marTop w:val="0"/>
                  <w:marBottom w:val="0"/>
                  <w:divBdr>
                    <w:top w:val="none" w:sz="0" w:space="0" w:color="auto"/>
                    <w:left w:val="none" w:sz="0" w:space="0" w:color="auto"/>
                    <w:bottom w:val="none" w:sz="0" w:space="0" w:color="auto"/>
                    <w:right w:val="none" w:sz="0" w:space="0" w:color="auto"/>
                  </w:divBdr>
                  <w:divsChild>
                    <w:div w:id="1074163451">
                      <w:marLeft w:val="0"/>
                      <w:marRight w:val="0"/>
                      <w:marTop w:val="0"/>
                      <w:marBottom w:val="0"/>
                      <w:divBdr>
                        <w:top w:val="none" w:sz="0" w:space="0" w:color="auto"/>
                        <w:left w:val="none" w:sz="0" w:space="0" w:color="auto"/>
                        <w:bottom w:val="none" w:sz="0" w:space="0" w:color="auto"/>
                        <w:right w:val="none" w:sz="0" w:space="0" w:color="auto"/>
                      </w:divBdr>
                    </w:div>
                  </w:divsChild>
                </w:div>
                <w:div w:id="763838694">
                  <w:marLeft w:val="0"/>
                  <w:marRight w:val="0"/>
                  <w:marTop w:val="0"/>
                  <w:marBottom w:val="0"/>
                  <w:divBdr>
                    <w:top w:val="none" w:sz="0" w:space="0" w:color="auto"/>
                    <w:left w:val="none" w:sz="0" w:space="0" w:color="auto"/>
                    <w:bottom w:val="none" w:sz="0" w:space="0" w:color="auto"/>
                    <w:right w:val="none" w:sz="0" w:space="0" w:color="auto"/>
                  </w:divBdr>
                  <w:divsChild>
                    <w:div w:id="104279728">
                      <w:marLeft w:val="0"/>
                      <w:marRight w:val="0"/>
                      <w:marTop w:val="0"/>
                      <w:marBottom w:val="0"/>
                      <w:divBdr>
                        <w:top w:val="none" w:sz="0" w:space="0" w:color="auto"/>
                        <w:left w:val="none" w:sz="0" w:space="0" w:color="auto"/>
                        <w:bottom w:val="none" w:sz="0" w:space="0" w:color="auto"/>
                        <w:right w:val="none" w:sz="0" w:space="0" w:color="auto"/>
                      </w:divBdr>
                    </w:div>
                  </w:divsChild>
                </w:div>
                <w:div w:id="796218606">
                  <w:marLeft w:val="0"/>
                  <w:marRight w:val="0"/>
                  <w:marTop w:val="0"/>
                  <w:marBottom w:val="0"/>
                  <w:divBdr>
                    <w:top w:val="none" w:sz="0" w:space="0" w:color="auto"/>
                    <w:left w:val="none" w:sz="0" w:space="0" w:color="auto"/>
                    <w:bottom w:val="none" w:sz="0" w:space="0" w:color="auto"/>
                    <w:right w:val="none" w:sz="0" w:space="0" w:color="auto"/>
                  </w:divBdr>
                  <w:divsChild>
                    <w:div w:id="287661070">
                      <w:marLeft w:val="0"/>
                      <w:marRight w:val="0"/>
                      <w:marTop w:val="0"/>
                      <w:marBottom w:val="0"/>
                      <w:divBdr>
                        <w:top w:val="none" w:sz="0" w:space="0" w:color="auto"/>
                        <w:left w:val="none" w:sz="0" w:space="0" w:color="auto"/>
                        <w:bottom w:val="none" w:sz="0" w:space="0" w:color="auto"/>
                        <w:right w:val="none" w:sz="0" w:space="0" w:color="auto"/>
                      </w:divBdr>
                    </w:div>
                  </w:divsChild>
                </w:div>
                <w:div w:id="806438466">
                  <w:marLeft w:val="0"/>
                  <w:marRight w:val="0"/>
                  <w:marTop w:val="0"/>
                  <w:marBottom w:val="0"/>
                  <w:divBdr>
                    <w:top w:val="none" w:sz="0" w:space="0" w:color="auto"/>
                    <w:left w:val="none" w:sz="0" w:space="0" w:color="auto"/>
                    <w:bottom w:val="none" w:sz="0" w:space="0" w:color="auto"/>
                    <w:right w:val="none" w:sz="0" w:space="0" w:color="auto"/>
                  </w:divBdr>
                  <w:divsChild>
                    <w:div w:id="1410497479">
                      <w:marLeft w:val="0"/>
                      <w:marRight w:val="0"/>
                      <w:marTop w:val="0"/>
                      <w:marBottom w:val="0"/>
                      <w:divBdr>
                        <w:top w:val="none" w:sz="0" w:space="0" w:color="auto"/>
                        <w:left w:val="none" w:sz="0" w:space="0" w:color="auto"/>
                        <w:bottom w:val="none" w:sz="0" w:space="0" w:color="auto"/>
                        <w:right w:val="none" w:sz="0" w:space="0" w:color="auto"/>
                      </w:divBdr>
                    </w:div>
                    <w:div w:id="1431701703">
                      <w:marLeft w:val="0"/>
                      <w:marRight w:val="0"/>
                      <w:marTop w:val="0"/>
                      <w:marBottom w:val="0"/>
                      <w:divBdr>
                        <w:top w:val="none" w:sz="0" w:space="0" w:color="auto"/>
                        <w:left w:val="none" w:sz="0" w:space="0" w:color="auto"/>
                        <w:bottom w:val="none" w:sz="0" w:space="0" w:color="auto"/>
                        <w:right w:val="none" w:sz="0" w:space="0" w:color="auto"/>
                      </w:divBdr>
                    </w:div>
                  </w:divsChild>
                </w:div>
                <w:div w:id="826214243">
                  <w:marLeft w:val="0"/>
                  <w:marRight w:val="0"/>
                  <w:marTop w:val="0"/>
                  <w:marBottom w:val="0"/>
                  <w:divBdr>
                    <w:top w:val="none" w:sz="0" w:space="0" w:color="auto"/>
                    <w:left w:val="none" w:sz="0" w:space="0" w:color="auto"/>
                    <w:bottom w:val="none" w:sz="0" w:space="0" w:color="auto"/>
                    <w:right w:val="none" w:sz="0" w:space="0" w:color="auto"/>
                  </w:divBdr>
                  <w:divsChild>
                    <w:div w:id="220412867">
                      <w:marLeft w:val="0"/>
                      <w:marRight w:val="0"/>
                      <w:marTop w:val="0"/>
                      <w:marBottom w:val="0"/>
                      <w:divBdr>
                        <w:top w:val="none" w:sz="0" w:space="0" w:color="auto"/>
                        <w:left w:val="none" w:sz="0" w:space="0" w:color="auto"/>
                        <w:bottom w:val="none" w:sz="0" w:space="0" w:color="auto"/>
                        <w:right w:val="none" w:sz="0" w:space="0" w:color="auto"/>
                      </w:divBdr>
                    </w:div>
                  </w:divsChild>
                </w:div>
                <w:div w:id="829446539">
                  <w:marLeft w:val="0"/>
                  <w:marRight w:val="0"/>
                  <w:marTop w:val="0"/>
                  <w:marBottom w:val="0"/>
                  <w:divBdr>
                    <w:top w:val="none" w:sz="0" w:space="0" w:color="auto"/>
                    <w:left w:val="none" w:sz="0" w:space="0" w:color="auto"/>
                    <w:bottom w:val="none" w:sz="0" w:space="0" w:color="auto"/>
                    <w:right w:val="none" w:sz="0" w:space="0" w:color="auto"/>
                  </w:divBdr>
                  <w:divsChild>
                    <w:div w:id="755517590">
                      <w:marLeft w:val="0"/>
                      <w:marRight w:val="0"/>
                      <w:marTop w:val="0"/>
                      <w:marBottom w:val="0"/>
                      <w:divBdr>
                        <w:top w:val="none" w:sz="0" w:space="0" w:color="auto"/>
                        <w:left w:val="none" w:sz="0" w:space="0" w:color="auto"/>
                        <w:bottom w:val="none" w:sz="0" w:space="0" w:color="auto"/>
                        <w:right w:val="none" w:sz="0" w:space="0" w:color="auto"/>
                      </w:divBdr>
                    </w:div>
                  </w:divsChild>
                </w:div>
                <w:div w:id="836075242">
                  <w:marLeft w:val="0"/>
                  <w:marRight w:val="0"/>
                  <w:marTop w:val="0"/>
                  <w:marBottom w:val="0"/>
                  <w:divBdr>
                    <w:top w:val="none" w:sz="0" w:space="0" w:color="auto"/>
                    <w:left w:val="none" w:sz="0" w:space="0" w:color="auto"/>
                    <w:bottom w:val="none" w:sz="0" w:space="0" w:color="auto"/>
                    <w:right w:val="none" w:sz="0" w:space="0" w:color="auto"/>
                  </w:divBdr>
                  <w:divsChild>
                    <w:div w:id="1307196832">
                      <w:marLeft w:val="0"/>
                      <w:marRight w:val="0"/>
                      <w:marTop w:val="0"/>
                      <w:marBottom w:val="0"/>
                      <w:divBdr>
                        <w:top w:val="none" w:sz="0" w:space="0" w:color="auto"/>
                        <w:left w:val="none" w:sz="0" w:space="0" w:color="auto"/>
                        <w:bottom w:val="none" w:sz="0" w:space="0" w:color="auto"/>
                        <w:right w:val="none" w:sz="0" w:space="0" w:color="auto"/>
                      </w:divBdr>
                    </w:div>
                  </w:divsChild>
                </w:div>
                <w:div w:id="866138365">
                  <w:marLeft w:val="0"/>
                  <w:marRight w:val="0"/>
                  <w:marTop w:val="0"/>
                  <w:marBottom w:val="0"/>
                  <w:divBdr>
                    <w:top w:val="none" w:sz="0" w:space="0" w:color="auto"/>
                    <w:left w:val="none" w:sz="0" w:space="0" w:color="auto"/>
                    <w:bottom w:val="none" w:sz="0" w:space="0" w:color="auto"/>
                    <w:right w:val="none" w:sz="0" w:space="0" w:color="auto"/>
                  </w:divBdr>
                  <w:divsChild>
                    <w:div w:id="161821864">
                      <w:marLeft w:val="0"/>
                      <w:marRight w:val="0"/>
                      <w:marTop w:val="0"/>
                      <w:marBottom w:val="0"/>
                      <w:divBdr>
                        <w:top w:val="none" w:sz="0" w:space="0" w:color="auto"/>
                        <w:left w:val="none" w:sz="0" w:space="0" w:color="auto"/>
                        <w:bottom w:val="none" w:sz="0" w:space="0" w:color="auto"/>
                        <w:right w:val="none" w:sz="0" w:space="0" w:color="auto"/>
                      </w:divBdr>
                    </w:div>
                    <w:div w:id="375128569">
                      <w:marLeft w:val="0"/>
                      <w:marRight w:val="0"/>
                      <w:marTop w:val="0"/>
                      <w:marBottom w:val="0"/>
                      <w:divBdr>
                        <w:top w:val="none" w:sz="0" w:space="0" w:color="auto"/>
                        <w:left w:val="none" w:sz="0" w:space="0" w:color="auto"/>
                        <w:bottom w:val="none" w:sz="0" w:space="0" w:color="auto"/>
                        <w:right w:val="none" w:sz="0" w:space="0" w:color="auto"/>
                      </w:divBdr>
                    </w:div>
                  </w:divsChild>
                </w:div>
                <w:div w:id="867522384">
                  <w:marLeft w:val="0"/>
                  <w:marRight w:val="0"/>
                  <w:marTop w:val="0"/>
                  <w:marBottom w:val="0"/>
                  <w:divBdr>
                    <w:top w:val="none" w:sz="0" w:space="0" w:color="auto"/>
                    <w:left w:val="none" w:sz="0" w:space="0" w:color="auto"/>
                    <w:bottom w:val="none" w:sz="0" w:space="0" w:color="auto"/>
                    <w:right w:val="none" w:sz="0" w:space="0" w:color="auto"/>
                  </w:divBdr>
                  <w:divsChild>
                    <w:div w:id="1477720856">
                      <w:marLeft w:val="0"/>
                      <w:marRight w:val="0"/>
                      <w:marTop w:val="0"/>
                      <w:marBottom w:val="0"/>
                      <w:divBdr>
                        <w:top w:val="none" w:sz="0" w:space="0" w:color="auto"/>
                        <w:left w:val="none" w:sz="0" w:space="0" w:color="auto"/>
                        <w:bottom w:val="none" w:sz="0" w:space="0" w:color="auto"/>
                        <w:right w:val="none" w:sz="0" w:space="0" w:color="auto"/>
                      </w:divBdr>
                    </w:div>
                  </w:divsChild>
                </w:div>
                <w:div w:id="906497168">
                  <w:marLeft w:val="0"/>
                  <w:marRight w:val="0"/>
                  <w:marTop w:val="0"/>
                  <w:marBottom w:val="0"/>
                  <w:divBdr>
                    <w:top w:val="none" w:sz="0" w:space="0" w:color="auto"/>
                    <w:left w:val="none" w:sz="0" w:space="0" w:color="auto"/>
                    <w:bottom w:val="none" w:sz="0" w:space="0" w:color="auto"/>
                    <w:right w:val="none" w:sz="0" w:space="0" w:color="auto"/>
                  </w:divBdr>
                  <w:divsChild>
                    <w:div w:id="1569538544">
                      <w:marLeft w:val="0"/>
                      <w:marRight w:val="0"/>
                      <w:marTop w:val="0"/>
                      <w:marBottom w:val="0"/>
                      <w:divBdr>
                        <w:top w:val="none" w:sz="0" w:space="0" w:color="auto"/>
                        <w:left w:val="none" w:sz="0" w:space="0" w:color="auto"/>
                        <w:bottom w:val="none" w:sz="0" w:space="0" w:color="auto"/>
                        <w:right w:val="none" w:sz="0" w:space="0" w:color="auto"/>
                      </w:divBdr>
                    </w:div>
                  </w:divsChild>
                </w:div>
                <w:div w:id="921522158">
                  <w:marLeft w:val="0"/>
                  <w:marRight w:val="0"/>
                  <w:marTop w:val="0"/>
                  <w:marBottom w:val="0"/>
                  <w:divBdr>
                    <w:top w:val="none" w:sz="0" w:space="0" w:color="auto"/>
                    <w:left w:val="none" w:sz="0" w:space="0" w:color="auto"/>
                    <w:bottom w:val="none" w:sz="0" w:space="0" w:color="auto"/>
                    <w:right w:val="none" w:sz="0" w:space="0" w:color="auto"/>
                  </w:divBdr>
                  <w:divsChild>
                    <w:div w:id="1906796065">
                      <w:marLeft w:val="0"/>
                      <w:marRight w:val="0"/>
                      <w:marTop w:val="0"/>
                      <w:marBottom w:val="0"/>
                      <w:divBdr>
                        <w:top w:val="none" w:sz="0" w:space="0" w:color="auto"/>
                        <w:left w:val="none" w:sz="0" w:space="0" w:color="auto"/>
                        <w:bottom w:val="none" w:sz="0" w:space="0" w:color="auto"/>
                        <w:right w:val="none" w:sz="0" w:space="0" w:color="auto"/>
                      </w:divBdr>
                    </w:div>
                  </w:divsChild>
                </w:div>
                <w:div w:id="995033408">
                  <w:marLeft w:val="0"/>
                  <w:marRight w:val="0"/>
                  <w:marTop w:val="0"/>
                  <w:marBottom w:val="0"/>
                  <w:divBdr>
                    <w:top w:val="none" w:sz="0" w:space="0" w:color="auto"/>
                    <w:left w:val="none" w:sz="0" w:space="0" w:color="auto"/>
                    <w:bottom w:val="none" w:sz="0" w:space="0" w:color="auto"/>
                    <w:right w:val="none" w:sz="0" w:space="0" w:color="auto"/>
                  </w:divBdr>
                  <w:divsChild>
                    <w:div w:id="1469199395">
                      <w:marLeft w:val="0"/>
                      <w:marRight w:val="0"/>
                      <w:marTop w:val="0"/>
                      <w:marBottom w:val="0"/>
                      <w:divBdr>
                        <w:top w:val="none" w:sz="0" w:space="0" w:color="auto"/>
                        <w:left w:val="none" w:sz="0" w:space="0" w:color="auto"/>
                        <w:bottom w:val="none" w:sz="0" w:space="0" w:color="auto"/>
                        <w:right w:val="none" w:sz="0" w:space="0" w:color="auto"/>
                      </w:divBdr>
                    </w:div>
                  </w:divsChild>
                </w:div>
                <w:div w:id="1065033997">
                  <w:marLeft w:val="0"/>
                  <w:marRight w:val="0"/>
                  <w:marTop w:val="0"/>
                  <w:marBottom w:val="0"/>
                  <w:divBdr>
                    <w:top w:val="none" w:sz="0" w:space="0" w:color="auto"/>
                    <w:left w:val="none" w:sz="0" w:space="0" w:color="auto"/>
                    <w:bottom w:val="none" w:sz="0" w:space="0" w:color="auto"/>
                    <w:right w:val="none" w:sz="0" w:space="0" w:color="auto"/>
                  </w:divBdr>
                  <w:divsChild>
                    <w:div w:id="355808728">
                      <w:marLeft w:val="0"/>
                      <w:marRight w:val="0"/>
                      <w:marTop w:val="0"/>
                      <w:marBottom w:val="0"/>
                      <w:divBdr>
                        <w:top w:val="none" w:sz="0" w:space="0" w:color="auto"/>
                        <w:left w:val="none" w:sz="0" w:space="0" w:color="auto"/>
                        <w:bottom w:val="none" w:sz="0" w:space="0" w:color="auto"/>
                        <w:right w:val="none" w:sz="0" w:space="0" w:color="auto"/>
                      </w:divBdr>
                    </w:div>
                  </w:divsChild>
                </w:div>
                <w:div w:id="1067999591">
                  <w:marLeft w:val="0"/>
                  <w:marRight w:val="0"/>
                  <w:marTop w:val="0"/>
                  <w:marBottom w:val="0"/>
                  <w:divBdr>
                    <w:top w:val="none" w:sz="0" w:space="0" w:color="auto"/>
                    <w:left w:val="none" w:sz="0" w:space="0" w:color="auto"/>
                    <w:bottom w:val="none" w:sz="0" w:space="0" w:color="auto"/>
                    <w:right w:val="none" w:sz="0" w:space="0" w:color="auto"/>
                  </w:divBdr>
                  <w:divsChild>
                    <w:div w:id="1060641519">
                      <w:marLeft w:val="0"/>
                      <w:marRight w:val="0"/>
                      <w:marTop w:val="0"/>
                      <w:marBottom w:val="0"/>
                      <w:divBdr>
                        <w:top w:val="none" w:sz="0" w:space="0" w:color="auto"/>
                        <w:left w:val="none" w:sz="0" w:space="0" w:color="auto"/>
                        <w:bottom w:val="none" w:sz="0" w:space="0" w:color="auto"/>
                        <w:right w:val="none" w:sz="0" w:space="0" w:color="auto"/>
                      </w:divBdr>
                    </w:div>
                  </w:divsChild>
                </w:div>
                <w:div w:id="1098909697">
                  <w:marLeft w:val="0"/>
                  <w:marRight w:val="0"/>
                  <w:marTop w:val="0"/>
                  <w:marBottom w:val="0"/>
                  <w:divBdr>
                    <w:top w:val="none" w:sz="0" w:space="0" w:color="auto"/>
                    <w:left w:val="none" w:sz="0" w:space="0" w:color="auto"/>
                    <w:bottom w:val="none" w:sz="0" w:space="0" w:color="auto"/>
                    <w:right w:val="none" w:sz="0" w:space="0" w:color="auto"/>
                  </w:divBdr>
                  <w:divsChild>
                    <w:div w:id="51468633">
                      <w:marLeft w:val="0"/>
                      <w:marRight w:val="0"/>
                      <w:marTop w:val="0"/>
                      <w:marBottom w:val="0"/>
                      <w:divBdr>
                        <w:top w:val="none" w:sz="0" w:space="0" w:color="auto"/>
                        <w:left w:val="none" w:sz="0" w:space="0" w:color="auto"/>
                        <w:bottom w:val="none" w:sz="0" w:space="0" w:color="auto"/>
                        <w:right w:val="none" w:sz="0" w:space="0" w:color="auto"/>
                      </w:divBdr>
                    </w:div>
                  </w:divsChild>
                </w:div>
                <w:div w:id="1115249264">
                  <w:marLeft w:val="0"/>
                  <w:marRight w:val="0"/>
                  <w:marTop w:val="0"/>
                  <w:marBottom w:val="0"/>
                  <w:divBdr>
                    <w:top w:val="none" w:sz="0" w:space="0" w:color="auto"/>
                    <w:left w:val="none" w:sz="0" w:space="0" w:color="auto"/>
                    <w:bottom w:val="none" w:sz="0" w:space="0" w:color="auto"/>
                    <w:right w:val="none" w:sz="0" w:space="0" w:color="auto"/>
                  </w:divBdr>
                  <w:divsChild>
                    <w:div w:id="540750279">
                      <w:marLeft w:val="0"/>
                      <w:marRight w:val="0"/>
                      <w:marTop w:val="0"/>
                      <w:marBottom w:val="0"/>
                      <w:divBdr>
                        <w:top w:val="none" w:sz="0" w:space="0" w:color="auto"/>
                        <w:left w:val="none" w:sz="0" w:space="0" w:color="auto"/>
                        <w:bottom w:val="none" w:sz="0" w:space="0" w:color="auto"/>
                        <w:right w:val="none" w:sz="0" w:space="0" w:color="auto"/>
                      </w:divBdr>
                    </w:div>
                  </w:divsChild>
                </w:div>
                <w:div w:id="1120075821">
                  <w:marLeft w:val="0"/>
                  <w:marRight w:val="0"/>
                  <w:marTop w:val="0"/>
                  <w:marBottom w:val="0"/>
                  <w:divBdr>
                    <w:top w:val="none" w:sz="0" w:space="0" w:color="auto"/>
                    <w:left w:val="none" w:sz="0" w:space="0" w:color="auto"/>
                    <w:bottom w:val="none" w:sz="0" w:space="0" w:color="auto"/>
                    <w:right w:val="none" w:sz="0" w:space="0" w:color="auto"/>
                  </w:divBdr>
                  <w:divsChild>
                    <w:div w:id="715391818">
                      <w:marLeft w:val="0"/>
                      <w:marRight w:val="0"/>
                      <w:marTop w:val="0"/>
                      <w:marBottom w:val="0"/>
                      <w:divBdr>
                        <w:top w:val="none" w:sz="0" w:space="0" w:color="auto"/>
                        <w:left w:val="none" w:sz="0" w:space="0" w:color="auto"/>
                        <w:bottom w:val="none" w:sz="0" w:space="0" w:color="auto"/>
                        <w:right w:val="none" w:sz="0" w:space="0" w:color="auto"/>
                      </w:divBdr>
                    </w:div>
                  </w:divsChild>
                </w:div>
                <w:div w:id="1129398035">
                  <w:marLeft w:val="0"/>
                  <w:marRight w:val="0"/>
                  <w:marTop w:val="0"/>
                  <w:marBottom w:val="0"/>
                  <w:divBdr>
                    <w:top w:val="none" w:sz="0" w:space="0" w:color="auto"/>
                    <w:left w:val="none" w:sz="0" w:space="0" w:color="auto"/>
                    <w:bottom w:val="none" w:sz="0" w:space="0" w:color="auto"/>
                    <w:right w:val="none" w:sz="0" w:space="0" w:color="auto"/>
                  </w:divBdr>
                  <w:divsChild>
                    <w:div w:id="2068453473">
                      <w:marLeft w:val="0"/>
                      <w:marRight w:val="0"/>
                      <w:marTop w:val="0"/>
                      <w:marBottom w:val="0"/>
                      <w:divBdr>
                        <w:top w:val="none" w:sz="0" w:space="0" w:color="auto"/>
                        <w:left w:val="none" w:sz="0" w:space="0" w:color="auto"/>
                        <w:bottom w:val="none" w:sz="0" w:space="0" w:color="auto"/>
                        <w:right w:val="none" w:sz="0" w:space="0" w:color="auto"/>
                      </w:divBdr>
                    </w:div>
                  </w:divsChild>
                </w:div>
                <w:div w:id="1141533694">
                  <w:marLeft w:val="0"/>
                  <w:marRight w:val="0"/>
                  <w:marTop w:val="0"/>
                  <w:marBottom w:val="0"/>
                  <w:divBdr>
                    <w:top w:val="none" w:sz="0" w:space="0" w:color="auto"/>
                    <w:left w:val="none" w:sz="0" w:space="0" w:color="auto"/>
                    <w:bottom w:val="none" w:sz="0" w:space="0" w:color="auto"/>
                    <w:right w:val="none" w:sz="0" w:space="0" w:color="auto"/>
                  </w:divBdr>
                  <w:divsChild>
                    <w:div w:id="444203470">
                      <w:marLeft w:val="0"/>
                      <w:marRight w:val="0"/>
                      <w:marTop w:val="0"/>
                      <w:marBottom w:val="0"/>
                      <w:divBdr>
                        <w:top w:val="none" w:sz="0" w:space="0" w:color="auto"/>
                        <w:left w:val="none" w:sz="0" w:space="0" w:color="auto"/>
                        <w:bottom w:val="none" w:sz="0" w:space="0" w:color="auto"/>
                        <w:right w:val="none" w:sz="0" w:space="0" w:color="auto"/>
                      </w:divBdr>
                    </w:div>
                  </w:divsChild>
                </w:div>
                <w:div w:id="1143353069">
                  <w:marLeft w:val="0"/>
                  <w:marRight w:val="0"/>
                  <w:marTop w:val="0"/>
                  <w:marBottom w:val="0"/>
                  <w:divBdr>
                    <w:top w:val="none" w:sz="0" w:space="0" w:color="auto"/>
                    <w:left w:val="none" w:sz="0" w:space="0" w:color="auto"/>
                    <w:bottom w:val="none" w:sz="0" w:space="0" w:color="auto"/>
                    <w:right w:val="none" w:sz="0" w:space="0" w:color="auto"/>
                  </w:divBdr>
                  <w:divsChild>
                    <w:div w:id="396317166">
                      <w:marLeft w:val="0"/>
                      <w:marRight w:val="0"/>
                      <w:marTop w:val="0"/>
                      <w:marBottom w:val="0"/>
                      <w:divBdr>
                        <w:top w:val="none" w:sz="0" w:space="0" w:color="auto"/>
                        <w:left w:val="none" w:sz="0" w:space="0" w:color="auto"/>
                        <w:bottom w:val="none" w:sz="0" w:space="0" w:color="auto"/>
                        <w:right w:val="none" w:sz="0" w:space="0" w:color="auto"/>
                      </w:divBdr>
                    </w:div>
                  </w:divsChild>
                </w:div>
                <w:div w:id="1154757220">
                  <w:marLeft w:val="0"/>
                  <w:marRight w:val="0"/>
                  <w:marTop w:val="0"/>
                  <w:marBottom w:val="0"/>
                  <w:divBdr>
                    <w:top w:val="none" w:sz="0" w:space="0" w:color="auto"/>
                    <w:left w:val="none" w:sz="0" w:space="0" w:color="auto"/>
                    <w:bottom w:val="none" w:sz="0" w:space="0" w:color="auto"/>
                    <w:right w:val="none" w:sz="0" w:space="0" w:color="auto"/>
                  </w:divBdr>
                  <w:divsChild>
                    <w:div w:id="2175475">
                      <w:marLeft w:val="0"/>
                      <w:marRight w:val="0"/>
                      <w:marTop w:val="0"/>
                      <w:marBottom w:val="0"/>
                      <w:divBdr>
                        <w:top w:val="none" w:sz="0" w:space="0" w:color="auto"/>
                        <w:left w:val="none" w:sz="0" w:space="0" w:color="auto"/>
                        <w:bottom w:val="none" w:sz="0" w:space="0" w:color="auto"/>
                        <w:right w:val="none" w:sz="0" w:space="0" w:color="auto"/>
                      </w:divBdr>
                    </w:div>
                  </w:divsChild>
                </w:div>
                <w:div w:id="1184707066">
                  <w:marLeft w:val="0"/>
                  <w:marRight w:val="0"/>
                  <w:marTop w:val="0"/>
                  <w:marBottom w:val="0"/>
                  <w:divBdr>
                    <w:top w:val="none" w:sz="0" w:space="0" w:color="auto"/>
                    <w:left w:val="none" w:sz="0" w:space="0" w:color="auto"/>
                    <w:bottom w:val="none" w:sz="0" w:space="0" w:color="auto"/>
                    <w:right w:val="none" w:sz="0" w:space="0" w:color="auto"/>
                  </w:divBdr>
                  <w:divsChild>
                    <w:div w:id="1257178998">
                      <w:marLeft w:val="0"/>
                      <w:marRight w:val="0"/>
                      <w:marTop w:val="0"/>
                      <w:marBottom w:val="0"/>
                      <w:divBdr>
                        <w:top w:val="none" w:sz="0" w:space="0" w:color="auto"/>
                        <w:left w:val="none" w:sz="0" w:space="0" w:color="auto"/>
                        <w:bottom w:val="none" w:sz="0" w:space="0" w:color="auto"/>
                        <w:right w:val="none" w:sz="0" w:space="0" w:color="auto"/>
                      </w:divBdr>
                    </w:div>
                  </w:divsChild>
                </w:div>
                <w:div w:id="1240755130">
                  <w:marLeft w:val="0"/>
                  <w:marRight w:val="0"/>
                  <w:marTop w:val="0"/>
                  <w:marBottom w:val="0"/>
                  <w:divBdr>
                    <w:top w:val="none" w:sz="0" w:space="0" w:color="auto"/>
                    <w:left w:val="none" w:sz="0" w:space="0" w:color="auto"/>
                    <w:bottom w:val="none" w:sz="0" w:space="0" w:color="auto"/>
                    <w:right w:val="none" w:sz="0" w:space="0" w:color="auto"/>
                  </w:divBdr>
                  <w:divsChild>
                    <w:div w:id="1712420724">
                      <w:marLeft w:val="0"/>
                      <w:marRight w:val="0"/>
                      <w:marTop w:val="0"/>
                      <w:marBottom w:val="0"/>
                      <w:divBdr>
                        <w:top w:val="none" w:sz="0" w:space="0" w:color="auto"/>
                        <w:left w:val="none" w:sz="0" w:space="0" w:color="auto"/>
                        <w:bottom w:val="none" w:sz="0" w:space="0" w:color="auto"/>
                        <w:right w:val="none" w:sz="0" w:space="0" w:color="auto"/>
                      </w:divBdr>
                    </w:div>
                  </w:divsChild>
                </w:div>
                <w:div w:id="1285846954">
                  <w:marLeft w:val="0"/>
                  <w:marRight w:val="0"/>
                  <w:marTop w:val="0"/>
                  <w:marBottom w:val="0"/>
                  <w:divBdr>
                    <w:top w:val="none" w:sz="0" w:space="0" w:color="auto"/>
                    <w:left w:val="none" w:sz="0" w:space="0" w:color="auto"/>
                    <w:bottom w:val="none" w:sz="0" w:space="0" w:color="auto"/>
                    <w:right w:val="none" w:sz="0" w:space="0" w:color="auto"/>
                  </w:divBdr>
                  <w:divsChild>
                    <w:div w:id="1172643270">
                      <w:marLeft w:val="0"/>
                      <w:marRight w:val="0"/>
                      <w:marTop w:val="0"/>
                      <w:marBottom w:val="0"/>
                      <w:divBdr>
                        <w:top w:val="none" w:sz="0" w:space="0" w:color="auto"/>
                        <w:left w:val="none" w:sz="0" w:space="0" w:color="auto"/>
                        <w:bottom w:val="none" w:sz="0" w:space="0" w:color="auto"/>
                        <w:right w:val="none" w:sz="0" w:space="0" w:color="auto"/>
                      </w:divBdr>
                    </w:div>
                  </w:divsChild>
                </w:div>
                <w:div w:id="1334071633">
                  <w:marLeft w:val="0"/>
                  <w:marRight w:val="0"/>
                  <w:marTop w:val="0"/>
                  <w:marBottom w:val="0"/>
                  <w:divBdr>
                    <w:top w:val="none" w:sz="0" w:space="0" w:color="auto"/>
                    <w:left w:val="none" w:sz="0" w:space="0" w:color="auto"/>
                    <w:bottom w:val="none" w:sz="0" w:space="0" w:color="auto"/>
                    <w:right w:val="none" w:sz="0" w:space="0" w:color="auto"/>
                  </w:divBdr>
                  <w:divsChild>
                    <w:div w:id="2009401864">
                      <w:marLeft w:val="0"/>
                      <w:marRight w:val="0"/>
                      <w:marTop w:val="0"/>
                      <w:marBottom w:val="0"/>
                      <w:divBdr>
                        <w:top w:val="none" w:sz="0" w:space="0" w:color="auto"/>
                        <w:left w:val="none" w:sz="0" w:space="0" w:color="auto"/>
                        <w:bottom w:val="none" w:sz="0" w:space="0" w:color="auto"/>
                        <w:right w:val="none" w:sz="0" w:space="0" w:color="auto"/>
                      </w:divBdr>
                    </w:div>
                  </w:divsChild>
                </w:div>
                <w:div w:id="1341542655">
                  <w:marLeft w:val="0"/>
                  <w:marRight w:val="0"/>
                  <w:marTop w:val="0"/>
                  <w:marBottom w:val="0"/>
                  <w:divBdr>
                    <w:top w:val="none" w:sz="0" w:space="0" w:color="auto"/>
                    <w:left w:val="none" w:sz="0" w:space="0" w:color="auto"/>
                    <w:bottom w:val="none" w:sz="0" w:space="0" w:color="auto"/>
                    <w:right w:val="none" w:sz="0" w:space="0" w:color="auto"/>
                  </w:divBdr>
                  <w:divsChild>
                    <w:div w:id="1974019210">
                      <w:marLeft w:val="0"/>
                      <w:marRight w:val="0"/>
                      <w:marTop w:val="0"/>
                      <w:marBottom w:val="0"/>
                      <w:divBdr>
                        <w:top w:val="none" w:sz="0" w:space="0" w:color="auto"/>
                        <w:left w:val="none" w:sz="0" w:space="0" w:color="auto"/>
                        <w:bottom w:val="none" w:sz="0" w:space="0" w:color="auto"/>
                        <w:right w:val="none" w:sz="0" w:space="0" w:color="auto"/>
                      </w:divBdr>
                    </w:div>
                  </w:divsChild>
                </w:div>
                <w:div w:id="1344472201">
                  <w:marLeft w:val="0"/>
                  <w:marRight w:val="0"/>
                  <w:marTop w:val="0"/>
                  <w:marBottom w:val="0"/>
                  <w:divBdr>
                    <w:top w:val="none" w:sz="0" w:space="0" w:color="auto"/>
                    <w:left w:val="none" w:sz="0" w:space="0" w:color="auto"/>
                    <w:bottom w:val="none" w:sz="0" w:space="0" w:color="auto"/>
                    <w:right w:val="none" w:sz="0" w:space="0" w:color="auto"/>
                  </w:divBdr>
                  <w:divsChild>
                    <w:div w:id="2025980323">
                      <w:marLeft w:val="0"/>
                      <w:marRight w:val="0"/>
                      <w:marTop w:val="0"/>
                      <w:marBottom w:val="0"/>
                      <w:divBdr>
                        <w:top w:val="none" w:sz="0" w:space="0" w:color="auto"/>
                        <w:left w:val="none" w:sz="0" w:space="0" w:color="auto"/>
                        <w:bottom w:val="none" w:sz="0" w:space="0" w:color="auto"/>
                        <w:right w:val="none" w:sz="0" w:space="0" w:color="auto"/>
                      </w:divBdr>
                    </w:div>
                  </w:divsChild>
                </w:div>
                <w:div w:id="136710268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
                  </w:divsChild>
                </w:div>
                <w:div w:id="1389761090">
                  <w:marLeft w:val="0"/>
                  <w:marRight w:val="0"/>
                  <w:marTop w:val="0"/>
                  <w:marBottom w:val="0"/>
                  <w:divBdr>
                    <w:top w:val="none" w:sz="0" w:space="0" w:color="auto"/>
                    <w:left w:val="none" w:sz="0" w:space="0" w:color="auto"/>
                    <w:bottom w:val="none" w:sz="0" w:space="0" w:color="auto"/>
                    <w:right w:val="none" w:sz="0" w:space="0" w:color="auto"/>
                  </w:divBdr>
                  <w:divsChild>
                    <w:div w:id="123621060">
                      <w:marLeft w:val="0"/>
                      <w:marRight w:val="0"/>
                      <w:marTop w:val="0"/>
                      <w:marBottom w:val="0"/>
                      <w:divBdr>
                        <w:top w:val="none" w:sz="0" w:space="0" w:color="auto"/>
                        <w:left w:val="none" w:sz="0" w:space="0" w:color="auto"/>
                        <w:bottom w:val="none" w:sz="0" w:space="0" w:color="auto"/>
                        <w:right w:val="none" w:sz="0" w:space="0" w:color="auto"/>
                      </w:divBdr>
                    </w:div>
                  </w:divsChild>
                </w:div>
                <w:div w:id="1410736618">
                  <w:marLeft w:val="0"/>
                  <w:marRight w:val="0"/>
                  <w:marTop w:val="0"/>
                  <w:marBottom w:val="0"/>
                  <w:divBdr>
                    <w:top w:val="none" w:sz="0" w:space="0" w:color="auto"/>
                    <w:left w:val="none" w:sz="0" w:space="0" w:color="auto"/>
                    <w:bottom w:val="none" w:sz="0" w:space="0" w:color="auto"/>
                    <w:right w:val="none" w:sz="0" w:space="0" w:color="auto"/>
                  </w:divBdr>
                  <w:divsChild>
                    <w:div w:id="1497498533">
                      <w:marLeft w:val="0"/>
                      <w:marRight w:val="0"/>
                      <w:marTop w:val="0"/>
                      <w:marBottom w:val="0"/>
                      <w:divBdr>
                        <w:top w:val="none" w:sz="0" w:space="0" w:color="auto"/>
                        <w:left w:val="none" w:sz="0" w:space="0" w:color="auto"/>
                        <w:bottom w:val="none" w:sz="0" w:space="0" w:color="auto"/>
                        <w:right w:val="none" w:sz="0" w:space="0" w:color="auto"/>
                      </w:divBdr>
                    </w:div>
                  </w:divsChild>
                </w:div>
                <w:div w:id="1498960734">
                  <w:marLeft w:val="0"/>
                  <w:marRight w:val="0"/>
                  <w:marTop w:val="0"/>
                  <w:marBottom w:val="0"/>
                  <w:divBdr>
                    <w:top w:val="none" w:sz="0" w:space="0" w:color="auto"/>
                    <w:left w:val="none" w:sz="0" w:space="0" w:color="auto"/>
                    <w:bottom w:val="none" w:sz="0" w:space="0" w:color="auto"/>
                    <w:right w:val="none" w:sz="0" w:space="0" w:color="auto"/>
                  </w:divBdr>
                  <w:divsChild>
                    <w:div w:id="2115665738">
                      <w:marLeft w:val="0"/>
                      <w:marRight w:val="0"/>
                      <w:marTop w:val="0"/>
                      <w:marBottom w:val="0"/>
                      <w:divBdr>
                        <w:top w:val="none" w:sz="0" w:space="0" w:color="auto"/>
                        <w:left w:val="none" w:sz="0" w:space="0" w:color="auto"/>
                        <w:bottom w:val="none" w:sz="0" w:space="0" w:color="auto"/>
                        <w:right w:val="none" w:sz="0" w:space="0" w:color="auto"/>
                      </w:divBdr>
                    </w:div>
                  </w:divsChild>
                </w:div>
                <w:div w:id="1538468391">
                  <w:marLeft w:val="0"/>
                  <w:marRight w:val="0"/>
                  <w:marTop w:val="0"/>
                  <w:marBottom w:val="0"/>
                  <w:divBdr>
                    <w:top w:val="none" w:sz="0" w:space="0" w:color="auto"/>
                    <w:left w:val="none" w:sz="0" w:space="0" w:color="auto"/>
                    <w:bottom w:val="none" w:sz="0" w:space="0" w:color="auto"/>
                    <w:right w:val="none" w:sz="0" w:space="0" w:color="auto"/>
                  </w:divBdr>
                  <w:divsChild>
                    <w:div w:id="1083794048">
                      <w:marLeft w:val="0"/>
                      <w:marRight w:val="0"/>
                      <w:marTop w:val="0"/>
                      <w:marBottom w:val="0"/>
                      <w:divBdr>
                        <w:top w:val="none" w:sz="0" w:space="0" w:color="auto"/>
                        <w:left w:val="none" w:sz="0" w:space="0" w:color="auto"/>
                        <w:bottom w:val="none" w:sz="0" w:space="0" w:color="auto"/>
                        <w:right w:val="none" w:sz="0" w:space="0" w:color="auto"/>
                      </w:divBdr>
                    </w:div>
                  </w:divsChild>
                </w:div>
                <w:div w:id="1539853398">
                  <w:marLeft w:val="0"/>
                  <w:marRight w:val="0"/>
                  <w:marTop w:val="0"/>
                  <w:marBottom w:val="0"/>
                  <w:divBdr>
                    <w:top w:val="none" w:sz="0" w:space="0" w:color="auto"/>
                    <w:left w:val="none" w:sz="0" w:space="0" w:color="auto"/>
                    <w:bottom w:val="none" w:sz="0" w:space="0" w:color="auto"/>
                    <w:right w:val="none" w:sz="0" w:space="0" w:color="auto"/>
                  </w:divBdr>
                  <w:divsChild>
                    <w:div w:id="839855643">
                      <w:marLeft w:val="0"/>
                      <w:marRight w:val="0"/>
                      <w:marTop w:val="0"/>
                      <w:marBottom w:val="0"/>
                      <w:divBdr>
                        <w:top w:val="none" w:sz="0" w:space="0" w:color="auto"/>
                        <w:left w:val="none" w:sz="0" w:space="0" w:color="auto"/>
                        <w:bottom w:val="none" w:sz="0" w:space="0" w:color="auto"/>
                        <w:right w:val="none" w:sz="0" w:space="0" w:color="auto"/>
                      </w:divBdr>
                    </w:div>
                  </w:divsChild>
                </w:div>
                <w:div w:id="1570798141">
                  <w:marLeft w:val="0"/>
                  <w:marRight w:val="0"/>
                  <w:marTop w:val="0"/>
                  <w:marBottom w:val="0"/>
                  <w:divBdr>
                    <w:top w:val="none" w:sz="0" w:space="0" w:color="auto"/>
                    <w:left w:val="none" w:sz="0" w:space="0" w:color="auto"/>
                    <w:bottom w:val="none" w:sz="0" w:space="0" w:color="auto"/>
                    <w:right w:val="none" w:sz="0" w:space="0" w:color="auto"/>
                  </w:divBdr>
                  <w:divsChild>
                    <w:div w:id="335547202">
                      <w:marLeft w:val="0"/>
                      <w:marRight w:val="0"/>
                      <w:marTop w:val="0"/>
                      <w:marBottom w:val="0"/>
                      <w:divBdr>
                        <w:top w:val="none" w:sz="0" w:space="0" w:color="auto"/>
                        <w:left w:val="none" w:sz="0" w:space="0" w:color="auto"/>
                        <w:bottom w:val="none" w:sz="0" w:space="0" w:color="auto"/>
                        <w:right w:val="none" w:sz="0" w:space="0" w:color="auto"/>
                      </w:divBdr>
                    </w:div>
                  </w:divsChild>
                </w:div>
                <w:div w:id="1597131568">
                  <w:marLeft w:val="0"/>
                  <w:marRight w:val="0"/>
                  <w:marTop w:val="0"/>
                  <w:marBottom w:val="0"/>
                  <w:divBdr>
                    <w:top w:val="none" w:sz="0" w:space="0" w:color="auto"/>
                    <w:left w:val="none" w:sz="0" w:space="0" w:color="auto"/>
                    <w:bottom w:val="none" w:sz="0" w:space="0" w:color="auto"/>
                    <w:right w:val="none" w:sz="0" w:space="0" w:color="auto"/>
                  </w:divBdr>
                  <w:divsChild>
                    <w:div w:id="271478394">
                      <w:marLeft w:val="0"/>
                      <w:marRight w:val="0"/>
                      <w:marTop w:val="0"/>
                      <w:marBottom w:val="0"/>
                      <w:divBdr>
                        <w:top w:val="none" w:sz="0" w:space="0" w:color="auto"/>
                        <w:left w:val="none" w:sz="0" w:space="0" w:color="auto"/>
                        <w:bottom w:val="none" w:sz="0" w:space="0" w:color="auto"/>
                        <w:right w:val="none" w:sz="0" w:space="0" w:color="auto"/>
                      </w:divBdr>
                    </w:div>
                  </w:divsChild>
                </w:div>
                <w:div w:id="1604872659">
                  <w:marLeft w:val="0"/>
                  <w:marRight w:val="0"/>
                  <w:marTop w:val="0"/>
                  <w:marBottom w:val="0"/>
                  <w:divBdr>
                    <w:top w:val="none" w:sz="0" w:space="0" w:color="auto"/>
                    <w:left w:val="none" w:sz="0" w:space="0" w:color="auto"/>
                    <w:bottom w:val="none" w:sz="0" w:space="0" w:color="auto"/>
                    <w:right w:val="none" w:sz="0" w:space="0" w:color="auto"/>
                  </w:divBdr>
                  <w:divsChild>
                    <w:div w:id="1714303415">
                      <w:marLeft w:val="0"/>
                      <w:marRight w:val="0"/>
                      <w:marTop w:val="0"/>
                      <w:marBottom w:val="0"/>
                      <w:divBdr>
                        <w:top w:val="none" w:sz="0" w:space="0" w:color="auto"/>
                        <w:left w:val="none" w:sz="0" w:space="0" w:color="auto"/>
                        <w:bottom w:val="none" w:sz="0" w:space="0" w:color="auto"/>
                        <w:right w:val="none" w:sz="0" w:space="0" w:color="auto"/>
                      </w:divBdr>
                    </w:div>
                  </w:divsChild>
                </w:div>
                <w:div w:id="1615211972">
                  <w:marLeft w:val="0"/>
                  <w:marRight w:val="0"/>
                  <w:marTop w:val="0"/>
                  <w:marBottom w:val="0"/>
                  <w:divBdr>
                    <w:top w:val="none" w:sz="0" w:space="0" w:color="auto"/>
                    <w:left w:val="none" w:sz="0" w:space="0" w:color="auto"/>
                    <w:bottom w:val="none" w:sz="0" w:space="0" w:color="auto"/>
                    <w:right w:val="none" w:sz="0" w:space="0" w:color="auto"/>
                  </w:divBdr>
                  <w:divsChild>
                    <w:div w:id="425467218">
                      <w:marLeft w:val="0"/>
                      <w:marRight w:val="0"/>
                      <w:marTop w:val="0"/>
                      <w:marBottom w:val="0"/>
                      <w:divBdr>
                        <w:top w:val="none" w:sz="0" w:space="0" w:color="auto"/>
                        <w:left w:val="none" w:sz="0" w:space="0" w:color="auto"/>
                        <w:bottom w:val="none" w:sz="0" w:space="0" w:color="auto"/>
                        <w:right w:val="none" w:sz="0" w:space="0" w:color="auto"/>
                      </w:divBdr>
                    </w:div>
                  </w:divsChild>
                </w:div>
                <w:div w:id="1619874046">
                  <w:marLeft w:val="0"/>
                  <w:marRight w:val="0"/>
                  <w:marTop w:val="0"/>
                  <w:marBottom w:val="0"/>
                  <w:divBdr>
                    <w:top w:val="none" w:sz="0" w:space="0" w:color="auto"/>
                    <w:left w:val="none" w:sz="0" w:space="0" w:color="auto"/>
                    <w:bottom w:val="none" w:sz="0" w:space="0" w:color="auto"/>
                    <w:right w:val="none" w:sz="0" w:space="0" w:color="auto"/>
                  </w:divBdr>
                  <w:divsChild>
                    <w:div w:id="1175463120">
                      <w:marLeft w:val="0"/>
                      <w:marRight w:val="0"/>
                      <w:marTop w:val="0"/>
                      <w:marBottom w:val="0"/>
                      <w:divBdr>
                        <w:top w:val="none" w:sz="0" w:space="0" w:color="auto"/>
                        <w:left w:val="none" w:sz="0" w:space="0" w:color="auto"/>
                        <w:bottom w:val="none" w:sz="0" w:space="0" w:color="auto"/>
                        <w:right w:val="none" w:sz="0" w:space="0" w:color="auto"/>
                      </w:divBdr>
                    </w:div>
                  </w:divsChild>
                </w:div>
                <w:div w:id="1633176037">
                  <w:marLeft w:val="0"/>
                  <w:marRight w:val="0"/>
                  <w:marTop w:val="0"/>
                  <w:marBottom w:val="0"/>
                  <w:divBdr>
                    <w:top w:val="none" w:sz="0" w:space="0" w:color="auto"/>
                    <w:left w:val="none" w:sz="0" w:space="0" w:color="auto"/>
                    <w:bottom w:val="none" w:sz="0" w:space="0" w:color="auto"/>
                    <w:right w:val="none" w:sz="0" w:space="0" w:color="auto"/>
                  </w:divBdr>
                  <w:divsChild>
                    <w:div w:id="866021253">
                      <w:marLeft w:val="0"/>
                      <w:marRight w:val="0"/>
                      <w:marTop w:val="0"/>
                      <w:marBottom w:val="0"/>
                      <w:divBdr>
                        <w:top w:val="none" w:sz="0" w:space="0" w:color="auto"/>
                        <w:left w:val="none" w:sz="0" w:space="0" w:color="auto"/>
                        <w:bottom w:val="none" w:sz="0" w:space="0" w:color="auto"/>
                        <w:right w:val="none" w:sz="0" w:space="0" w:color="auto"/>
                      </w:divBdr>
                    </w:div>
                  </w:divsChild>
                </w:div>
                <w:div w:id="1668095731">
                  <w:marLeft w:val="0"/>
                  <w:marRight w:val="0"/>
                  <w:marTop w:val="0"/>
                  <w:marBottom w:val="0"/>
                  <w:divBdr>
                    <w:top w:val="none" w:sz="0" w:space="0" w:color="auto"/>
                    <w:left w:val="none" w:sz="0" w:space="0" w:color="auto"/>
                    <w:bottom w:val="none" w:sz="0" w:space="0" w:color="auto"/>
                    <w:right w:val="none" w:sz="0" w:space="0" w:color="auto"/>
                  </w:divBdr>
                  <w:divsChild>
                    <w:div w:id="970596340">
                      <w:marLeft w:val="0"/>
                      <w:marRight w:val="0"/>
                      <w:marTop w:val="0"/>
                      <w:marBottom w:val="0"/>
                      <w:divBdr>
                        <w:top w:val="none" w:sz="0" w:space="0" w:color="auto"/>
                        <w:left w:val="none" w:sz="0" w:space="0" w:color="auto"/>
                        <w:bottom w:val="none" w:sz="0" w:space="0" w:color="auto"/>
                        <w:right w:val="none" w:sz="0" w:space="0" w:color="auto"/>
                      </w:divBdr>
                    </w:div>
                  </w:divsChild>
                </w:div>
                <w:div w:id="1678773520">
                  <w:marLeft w:val="0"/>
                  <w:marRight w:val="0"/>
                  <w:marTop w:val="0"/>
                  <w:marBottom w:val="0"/>
                  <w:divBdr>
                    <w:top w:val="none" w:sz="0" w:space="0" w:color="auto"/>
                    <w:left w:val="none" w:sz="0" w:space="0" w:color="auto"/>
                    <w:bottom w:val="none" w:sz="0" w:space="0" w:color="auto"/>
                    <w:right w:val="none" w:sz="0" w:space="0" w:color="auto"/>
                  </w:divBdr>
                  <w:divsChild>
                    <w:div w:id="97140266">
                      <w:marLeft w:val="0"/>
                      <w:marRight w:val="0"/>
                      <w:marTop w:val="0"/>
                      <w:marBottom w:val="0"/>
                      <w:divBdr>
                        <w:top w:val="none" w:sz="0" w:space="0" w:color="auto"/>
                        <w:left w:val="none" w:sz="0" w:space="0" w:color="auto"/>
                        <w:bottom w:val="none" w:sz="0" w:space="0" w:color="auto"/>
                        <w:right w:val="none" w:sz="0" w:space="0" w:color="auto"/>
                      </w:divBdr>
                    </w:div>
                  </w:divsChild>
                </w:div>
                <w:div w:id="1694915004">
                  <w:marLeft w:val="0"/>
                  <w:marRight w:val="0"/>
                  <w:marTop w:val="0"/>
                  <w:marBottom w:val="0"/>
                  <w:divBdr>
                    <w:top w:val="none" w:sz="0" w:space="0" w:color="auto"/>
                    <w:left w:val="none" w:sz="0" w:space="0" w:color="auto"/>
                    <w:bottom w:val="none" w:sz="0" w:space="0" w:color="auto"/>
                    <w:right w:val="none" w:sz="0" w:space="0" w:color="auto"/>
                  </w:divBdr>
                  <w:divsChild>
                    <w:div w:id="1318266145">
                      <w:marLeft w:val="0"/>
                      <w:marRight w:val="0"/>
                      <w:marTop w:val="0"/>
                      <w:marBottom w:val="0"/>
                      <w:divBdr>
                        <w:top w:val="none" w:sz="0" w:space="0" w:color="auto"/>
                        <w:left w:val="none" w:sz="0" w:space="0" w:color="auto"/>
                        <w:bottom w:val="none" w:sz="0" w:space="0" w:color="auto"/>
                        <w:right w:val="none" w:sz="0" w:space="0" w:color="auto"/>
                      </w:divBdr>
                    </w:div>
                  </w:divsChild>
                </w:div>
                <w:div w:id="1737706930">
                  <w:marLeft w:val="0"/>
                  <w:marRight w:val="0"/>
                  <w:marTop w:val="0"/>
                  <w:marBottom w:val="0"/>
                  <w:divBdr>
                    <w:top w:val="none" w:sz="0" w:space="0" w:color="auto"/>
                    <w:left w:val="none" w:sz="0" w:space="0" w:color="auto"/>
                    <w:bottom w:val="none" w:sz="0" w:space="0" w:color="auto"/>
                    <w:right w:val="none" w:sz="0" w:space="0" w:color="auto"/>
                  </w:divBdr>
                  <w:divsChild>
                    <w:div w:id="1005208029">
                      <w:marLeft w:val="0"/>
                      <w:marRight w:val="0"/>
                      <w:marTop w:val="0"/>
                      <w:marBottom w:val="0"/>
                      <w:divBdr>
                        <w:top w:val="none" w:sz="0" w:space="0" w:color="auto"/>
                        <w:left w:val="none" w:sz="0" w:space="0" w:color="auto"/>
                        <w:bottom w:val="none" w:sz="0" w:space="0" w:color="auto"/>
                        <w:right w:val="none" w:sz="0" w:space="0" w:color="auto"/>
                      </w:divBdr>
                    </w:div>
                  </w:divsChild>
                </w:div>
                <w:div w:id="1750030721">
                  <w:marLeft w:val="0"/>
                  <w:marRight w:val="0"/>
                  <w:marTop w:val="0"/>
                  <w:marBottom w:val="0"/>
                  <w:divBdr>
                    <w:top w:val="none" w:sz="0" w:space="0" w:color="auto"/>
                    <w:left w:val="none" w:sz="0" w:space="0" w:color="auto"/>
                    <w:bottom w:val="none" w:sz="0" w:space="0" w:color="auto"/>
                    <w:right w:val="none" w:sz="0" w:space="0" w:color="auto"/>
                  </w:divBdr>
                  <w:divsChild>
                    <w:div w:id="1028330517">
                      <w:marLeft w:val="0"/>
                      <w:marRight w:val="0"/>
                      <w:marTop w:val="0"/>
                      <w:marBottom w:val="0"/>
                      <w:divBdr>
                        <w:top w:val="none" w:sz="0" w:space="0" w:color="auto"/>
                        <w:left w:val="none" w:sz="0" w:space="0" w:color="auto"/>
                        <w:bottom w:val="none" w:sz="0" w:space="0" w:color="auto"/>
                        <w:right w:val="none" w:sz="0" w:space="0" w:color="auto"/>
                      </w:divBdr>
                    </w:div>
                  </w:divsChild>
                </w:div>
                <w:div w:id="1753503944">
                  <w:marLeft w:val="0"/>
                  <w:marRight w:val="0"/>
                  <w:marTop w:val="0"/>
                  <w:marBottom w:val="0"/>
                  <w:divBdr>
                    <w:top w:val="none" w:sz="0" w:space="0" w:color="auto"/>
                    <w:left w:val="none" w:sz="0" w:space="0" w:color="auto"/>
                    <w:bottom w:val="none" w:sz="0" w:space="0" w:color="auto"/>
                    <w:right w:val="none" w:sz="0" w:space="0" w:color="auto"/>
                  </w:divBdr>
                  <w:divsChild>
                    <w:div w:id="1209028359">
                      <w:marLeft w:val="0"/>
                      <w:marRight w:val="0"/>
                      <w:marTop w:val="0"/>
                      <w:marBottom w:val="0"/>
                      <w:divBdr>
                        <w:top w:val="none" w:sz="0" w:space="0" w:color="auto"/>
                        <w:left w:val="none" w:sz="0" w:space="0" w:color="auto"/>
                        <w:bottom w:val="none" w:sz="0" w:space="0" w:color="auto"/>
                        <w:right w:val="none" w:sz="0" w:space="0" w:color="auto"/>
                      </w:divBdr>
                    </w:div>
                  </w:divsChild>
                </w:div>
                <w:div w:id="1753964067">
                  <w:marLeft w:val="0"/>
                  <w:marRight w:val="0"/>
                  <w:marTop w:val="0"/>
                  <w:marBottom w:val="0"/>
                  <w:divBdr>
                    <w:top w:val="none" w:sz="0" w:space="0" w:color="auto"/>
                    <w:left w:val="none" w:sz="0" w:space="0" w:color="auto"/>
                    <w:bottom w:val="none" w:sz="0" w:space="0" w:color="auto"/>
                    <w:right w:val="none" w:sz="0" w:space="0" w:color="auto"/>
                  </w:divBdr>
                  <w:divsChild>
                    <w:div w:id="1620602050">
                      <w:marLeft w:val="0"/>
                      <w:marRight w:val="0"/>
                      <w:marTop w:val="0"/>
                      <w:marBottom w:val="0"/>
                      <w:divBdr>
                        <w:top w:val="none" w:sz="0" w:space="0" w:color="auto"/>
                        <w:left w:val="none" w:sz="0" w:space="0" w:color="auto"/>
                        <w:bottom w:val="none" w:sz="0" w:space="0" w:color="auto"/>
                        <w:right w:val="none" w:sz="0" w:space="0" w:color="auto"/>
                      </w:divBdr>
                    </w:div>
                  </w:divsChild>
                </w:div>
                <w:div w:id="1767800646">
                  <w:marLeft w:val="0"/>
                  <w:marRight w:val="0"/>
                  <w:marTop w:val="0"/>
                  <w:marBottom w:val="0"/>
                  <w:divBdr>
                    <w:top w:val="none" w:sz="0" w:space="0" w:color="auto"/>
                    <w:left w:val="none" w:sz="0" w:space="0" w:color="auto"/>
                    <w:bottom w:val="none" w:sz="0" w:space="0" w:color="auto"/>
                    <w:right w:val="none" w:sz="0" w:space="0" w:color="auto"/>
                  </w:divBdr>
                  <w:divsChild>
                    <w:div w:id="983654176">
                      <w:marLeft w:val="0"/>
                      <w:marRight w:val="0"/>
                      <w:marTop w:val="0"/>
                      <w:marBottom w:val="0"/>
                      <w:divBdr>
                        <w:top w:val="none" w:sz="0" w:space="0" w:color="auto"/>
                        <w:left w:val="none" w:sz="0" w:space="0" w:color="auto"/>
                        <w:bottom w:val="none" w:sz="0" w:space="0" w:color="auto"/>
                        <w:right w:val="none" w:sz="0" w:space="0" w:color="auto"/>
                      </w:divBdr>
                    </w:div>
                  </w:divsChild>
                </w:div>
                <w:div w:id="1798452560">
                  <w:marLeft w:val="0"/>
                  <w:marRight w:val="0"/>
                  <w:marTop w:val="0"/>
                  <w:marBottom w:val="0"/>
                  <w:divBdr>
                    <w:top w:val="none" w:sz="0" w:space="0" w:color="auto"/>
                    <w:left w:val="none" w:sz="0" w:space="0" w:color="auto"/>
                    <w:bottom w:val="none" w:sz="0" w:space="0" w:color="auto"/>
                    <w:right w:val="none" w:sz="0" w:space="0" w:color="auto"/>
                  </w:divBdr>
                  <w:divsChild>
                    <w:div w:id="592595309">
                      <w:marLeft w:val="0"/>
                      <w:marRight w:val="0"/>
                      <w:marTop w:val="0"/>
                      <w:marBottom w:val="0"/>
                      <w:divBdr>
                        <w:top w:val="none" w:sz="0" w:space="0" w:color="auto"/>
                        <w:left w:val="none" w:sz="0" w:space="0" w:color="auto"/>
                        <w:bottom w:val="none" w:sz="0" w:space="0" w:color="auto"/>
                        <w:right w:val="none" w:sz="0" w:space="0" w:color="auto"/>
                      </w:divBdr>
                    </w:div>
                  </w:divsChild>
                </w:div>
                <w:div w:id="1864443216">
                  <w:marLeft w:val="0"/>
                  <w:marRight w:val="0"/>
                  <w:marTop w:val="0"/>
                  <w:marBottom w:val="0"/>
                  <w:divBdr>
                    <w:top w:val="none" w:sz="0" w:space="0" w:color="auto"/>
                    <w:left w:val="none" w:sz="0" w:space="0" w:color="auto"/>
                    <w:bottom w:val="none" w:sz="0" w:space="0" w:color="auto"/>
                    <w:right w:val="none" w:sz="0" w:space="0" w:color="auto"/>
                  </w:divBdr>
                  <w:divsChild>
                    <w:div w:id="919602599">
                      <w:marLeft w:val="0"/>
                      <w:marRight w:val="0"/>
                      <w:marTop w:val="0"/>
                      <w:marBottom w:val="0"/>
                      <w:divBdr>
                        <w:top w:val="none" w:sz="0" w:space="0" w:color="auto"/>
                        <w:left w:val="none" w:sz="0" w:space="0" w:color="auto"/>
                        <w:bottom w:val="none" w:sz="0" w:space="0" w:color="auto"/>
                        <w:right w:val="none" w:sz="0" w:space="0" w:color="auto"/>
                      </w:divBdr>
                    </w:div>
                  </w:divsChild>
                </w:div>
                <w:div w:id="1870796798">
                  <w:marLeft w:val="0"/>
                  <w:marRight w:val="0"/>
                  <w:marTop w:val="0"/>
                  <w:marBottom w:val="0"/>
                  <w:divBdr>
                    <w:top w:val="none" w:sz="0" w:space="0" w:color="auto"/>
                    <w:left w:val="none" w:sz="0" w:space="0" w:color="auto"/>
                    <w:bottom w:val="none" w:sz="0" w:space="0" w:color="auto"/>
                    <w:right w:val="none" w:sz="0" w:space="0" w:color="auto"/>
                  </w:divBdr>
                  <w:divsChild>
                    <w:div w:id="1024744831">
                      <w:marLeft w:val="0"/>
                      <w:marRight w:val="0"/>
                      <w:marTop w:val="0"/>
                      <w:marBottom w:val="0"/>
                      <w:divBdr>
                        <w:top w:val="none" w:sz="0" w:space="0" w:color="auto"/>
                        <w:left w:val="none" w:sz="0" w:space="0" w:color="auto"/>
                        <w:bottom w:val="none" w:sz="0" w:space="0" w:color="auto"/>
                        <w:right w:val="none" w:sz="0" w:space="0" w:color="auto"/>
                      </w:divBdr>
                    </w:div>
                  </w:divsChild>
                </w:div>
                <w:div w:id="1873572461">
                  <w:marLeft w:val="0"/>
                  <w:marRight w:val="0"/>
                  <w:marTop w:val="0"/>
                  <w:marBottom w:val="0"/>
                  <w:divBdr>
                    <w:top w:val="none" w:sz="0" w:space="0" w:color="auto"/>
                    <w:left w:val="none" w:sz="0" w:space="0" w:color="auto"/>
                    <w:bottom w:val="none" w:sz="0" w:space="0" w:color="auto"/>
                    <w:right w:val="none" w:sz="0" w:space="0" w:color="auto"/>
                  </w:divBdr>
                  <w:divsChild>
                    <w:div w:id="273562918">
                      <w:marLeft w:val="0"/>
                      <w:marRight w:val="0"/>
                      <w:marTop w:val="0"/>
                      <w:marBottom w:val="0"/>
                      <w:divBdr>
                        <w:top w:val="none" w:sz="0" w:space="0" w:color="auto"/>
                        <w:left w:val="none" w:sz="0" w:space="0" w:color="auto"/>
                        <w:bottom w:val="none" w:sz="0" w:space="0" w:color="auto"/>
                        <w:right w:val="none" w:sz="0" w:space="0" w:color="auto"/>
                      </w:divBdr>
                    </w:div>
                  </w:divsChild>
                </w:div>
                <w:div w:id="1895039154">
                  <w:marLeft w:val="0"/>
                  <w:marRight w:val="0"/>
                  <w:marTop w:val="0"/>
                  <w:marBottom w:val="0"/>
                  <w:divBdr>
                    <w:top w:val="none" w:sz="0" w:space="0" w:color="auto"/>
                    <w:left w:val="none" w:sz="0" w:space="0" w:color="auto"/>
                    <w:bottom w:val="none" w:sz="0" w:space="0" w:color="auto"/>
                    <w:right w:val="none" w:sz="0" w:space="0" w:color="auto"/>
                  </w:divBdr>
                  <w:divsChild>
                    <w:div w:id="1497847010">
                      <w:marLeft w:val="0"/>
                      <w:marRight w:val="0"/>
                      <w:marTop w:val="0"/>
                      <w:marBottom w:val="0"/>
                      <w:divBdr>
                        <w:top w:val="none" w:sz="0" w:space="0" w:color="auto"/>
                        <w:left w:val="none" w:sz="0" w:space="0" w:color="auto"/>
                        <w:bottom w:val="none" w:sz="0" w:space="0" w:color="auto"/>
                        <w:right w:val="none" w:sz="0" w:space="0" w:color="auto"/>
                      </w:divBdr>
                    </w:div>
                  </w:divsChild>
                </w:div>
                <w:div w:id="1918518403">
                  <w:marLeft w:val="0"/>
                  <w:marRight w:val="0"/>
                  <w:marTop w:val="0"/>
                  <w:marBottom w:val="0"/>
                  <w:divBdr>
                    <w:top w:val="none" w:sz="0" w:space="0" w:color="auto"/>
                    <w:left w:val="none" w:sz="0" w:space="0" w:color="auto"/>
                    <w:bottom w:val="none" w:sz="0" w:space="0" w:color="auto"/>
                    <w:right w:val="none" w:sz="0" w:space="0" w:color="auto"/>
                  </w:divBdr>
                  <w:divsChild>
                    <w:div w:id="1968050003">
                      <w:marLeft w:val="0"/>
                      <w:marRight w:val="0"/>
                      <w:marTop w:val="0"/>
                      <w:marBottom w:val="0"/>
                      <w:divBdr>
                        <w:top w:val="none" w:sz="0" w:space="0" w:color="auto"/>
                        <w:left w:val="none" w:sz="0" w:space="0" w:color="auto"/>
                        <w:bottom w:val="none" w:sz="0" w:space="0" w:color="auto"/>
                        <w:right w:val="none" w:sz="0" w:space="0" w:color="auto"/>
                      </w:divBdr>
                    </w:div>
                  </w:divsChild>
                </w:div>
                <w:div w:id="2111780029">
                  <w:marLeft w:val="0"/>
                  <w:marRight w:val="0"/>
                  <w:marTop w:val="0"/>
                  <w:marBottom w:val="0"/>
                  <w:divBdr>
                    <w:top w:val="none" w:sz="0" w:space="0" w:color="auto"/>
                    <w:left w:val="none" w:sz="0" w:space="0" w:color="auto"/>
                    <w:bottom w:val="none" w:sz="0" w:space="0" w:color="auto"/>
                    <w:right w:val="none" w:sz="0" w:space="0" w:color="auto"/>
                  </w:divBdr>
                  <w:divsChild>
                    <w:div w:id="1620182470">
                      <w:marLeft w:val="0"/>
                      <w:marRight w:val="0"/>
                      <w:marTop w:val="0"/>
                      <w:marBottom w:val="0"/>
                      <w:divBdr>
                        <w:top w:val="none" w:sz="0" w:space="0" w:color="auto"/>
                        <w:left w:val="none" w:sz="0" w:space="0" w:color="auto"/>
                        <w:bottom w:val="none" w:sz="0" w:space="0" w:color="auto"/>
                        <w:right w:val="none" w:sz="0" w:space="0" w:color="auto"/>
                      </w:divBdr>
                    </w:div>
                  </w:divsChild>
                </w:div>
                <w:div w:id="2114350762">
                  <w:marLeft w:val="0"/>
                  <w:marRight w:val="0"/>
                  <w:marTop w:val="0"/>
                  <w:marBottom w:val="0"/>
                  <w:divBdr>
                    <w:top w:val="none" w:sz="0" w:space="0" w:color="auto"/>
                    <w:left w:val="none" w:sz="0" w:space="0" w:color="auto"/>
                    <w:bottom w:val="none" w:sz="0" w:space="0" w:color="auto"/>
                    <w:right w:val="none" w:sz="0" w:space="0" w:color="auto"/>
                  </w:divBdr>
                  <w:divsChild>
                    <w:div w:id="18894079">
                      <w:marLeft w:val="0"/>
                      <w:marRight w:val="0"/>
                      <w:marTop w:val="0"/>
                      <w:marBottom w:val="0"/>
                      <w:divBdr>
                        <w:top w:val="none" w:sz="0" w:space="0" w:color="auto"/>
                        <w:left w:val="none" w:sz="0" w:space="0" w:color="auto"/>
                        <w:bottom w:val="none" w:sz="0" w:space="0" w:color="auto"/>
                        <w:right w:val="none" w:sz="0" w:space="0" w:color="auto"/>
                      </w:divBdr>
                    </w:div>
                  </w:divsChild>
                </w:div>
                <w:div w:id="2114737098">
                  <w:marLeft w:val="0"/>
                  <w:marRight w:val="0"/>
                  <w:marTop w:val="0"/>
                  <w:marBottom w:val="0"/>
                  <w:divBdr>
                    <w:top w:val="none" w:sz="0" w:space="0" w:color="auto"/>
                    <w:left w:val="none" w:sz="0" w:space="0" w:color="auto"/>
                    <w:bottom w:val="none" w:sz="0" w:space="0" w:color="auto"/>
                    <w:right w:val="none" w:sz="0" w:space="0" w:color="auto"/>
                  </w:divBdr>
                  <w:divsChild>
                    <w:div w:id="1619144293">
                      <w:marLeft w:val="0"/>
                      <w:marRight w:val="0"/>
                      <w:marTop w:val="0"/>
                      <w:marBottom w:val="0"/>
                      <w:divBdr>
                        <w:top w:val="none" w:sz="0" w:space="0" w:color="auto"/>
                        <w:left w:val="none" w:sz="0" w:space="0" w:color="auto"/>
                        <w:bottom w:val="none" w:sz="0" w:space="0" w:color="auto"/>
                        <w:right w:val="none" w:sz="0" w:space="0" w:color="auto"/>
                      </w:divBdr>
                    </w:div>
                  </w:divsChild>
                </w:div>
                <w:div w:id="2116557444">
                  <w:marLeft w:val="0"/>
                  <w:marRight w:val="0"/>
                  <w:marTop w:val="0"/>
                  <w:marBottom w:val="0"/>
                  <w:divBdr>
                    <w:top w:val="none" w:sz="0" w:space="0" w:color="auto"/>
                    <w:left w:val="none" w:sz="0" w:space="0" w:color="auto"/>
                    <w:bottom w:val="none" w:sz="0" w:space="0" w:color="auto"/>
                    <w:right w:val="none" w:sz="0" w:space="0" w:color="auto"/>
                  </w:divBdr>
                  <w:divsChild>
                    <w:div w:id="1701204918">
                      <w:marLeft w:val="0"/>
                      <w:marRight w:val="0"/>
                      <w:marTop w:val="0"/>
                      <w:marBottom w:val="0"/>
                      <w:divBdr>
                        <w:top w:val="none" w:sz="0" w:space="0" w:color="auto"/>
                        <w:left w:val="none" w:sz="0" w:space="0" w:color="auto"/>
                        <w:bottom w:val="none" w:sz="0" w:space="0" w:color="auto"/>
                        <w:right w:val="none" w:sz="0" w:space="0" w:color="auto"/>
                      </w:divBdr>
                    </w:div>
                  </w:divsChild>
                </w:div>
                <w:div w:id="2144808604">
                  <w:marLeft w:val="0"/>
                  <w:marRight w:val="0"/>
                  <w:marTop w:val="0"/>
                  <w:marBottom w:val="0"/>
                  <w:divBdr>
                    <w:top w:val="none" w:sz="0" w:space="0" w:color="auto"/>
                    <w:left w:val="none" w:sz="0" w:space="0" w:color="auto"/>
                    <w:bottom w:val="none" w:sz="0" w:space="0" w:color="auto"/>
                    <w:right w:val="none" w:sz="0" w:space="0" w:color="auto"/>
                  </w:divBdr>
                  <w:divsChild>
                    <w:div w:id="113248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1926">
          <w:marLeft w:val="0"/>
          <w:marRight w:val="0"/>
          <w:marTop w:val="0"/>
          <w:marBottom w:val="0"/>
          <w:divBdr>
            <w:top w:val="none" w:sz="0" w:space="0" w:color="auto"/>
            <w:left w:val="none" w:sz="0" w:space="0" w:color="auto"/>
            <w:bottom w:val="none" w:sz="0" w:space="0" w:color="auto"/>
            <w:right w:val="none" w:sz="0" w:space="0" w:color="auto"/>
          </w:divBdr>
          <w:divsChild>
            <w:div w:id="43874604">
              <w:marLeft w:val="0"/>
              <w:marRight w:val="0"/>
              <w:marTop w:val="0"/>
              <w:marBottom w:val="0"/>
              <w:divBdr>
                <w:top w:val="none" w:sz="0" w:space="0" w:color="auto"/>
                <w:left w:val="none" w:sz="0" w:space="0" w:color="auto"/>
                <w:bottom w:val="none" w:sz="0" w:space="0" w:color="auto"/>
                <w:right w:val="none" w:sz="0" w:space="0" w:color="auto"/>
              </w:divBdr>
            </w:div>
            <w:div w:id="171649934">
              <w:marLeft w:val="0"/>
              <w:marRight w:val="0"/>
              <w:marTop w:val="0"/>
              <w:marBottom w:val="0"/>
              <w:divBdr>
                <w:top w:val="none" w:sz="0" w:space="0" w:color="auto"/>
                <w:left w:val="none" w:sz="0" w:space="0" w:color="auto"/>
                <w:bottom w:val="none" w:sz="0" w:space="0" w:color="auto"/>
                <w:right w:val="none" w:sz="0" w:space="0" w:color="auto"/>
              </w:divBdr>
            </w:div>
            <w:div w:id="297028029">
              <w:marLeft w:val="0"/>
              <w:marRight w:val="0"/>
              <w:marTop w:val="0"/>
              <w:marBottom w:val="0"/>
              <w:divBdr>
                <w:top w:val="none" w:sz="0" w:space="0" w:color="auto"/>
                <w:left w:val="none" w:sz="0" w:space="0" w:color="auto"/>
                <w:bottom w:val="none" w:sz="0" w:space="0" w:color="auto"/>
                <w:right w:val="none" w:sz="0" w:space="0" w:color="auto"/>
              </w:divBdr>
            </w:div>
            <w:div w:id="329136598">
              <w:marLeft w:val="0"/>
              <w:marRight w:val="0"/>
              <w:marTop w:val="0"/>
              <w:marBottom w:val="0"/>
              <w:divBdr>
                <w:top w:val="none" w:sz="0" w:space="0" w:color="auto"/>
                <w:left w:val="none" w:sz="0" w:space="0" w:color="auto"/>
                <w:bottom w:val="none" w:sz="0" w:space="0" w:color="auto"/>
                <w:right w:val="none" w:sz="0" w:space="0" w:color="auto"/>
              </w:divBdr>
            </w:div>
            <w:div w:id="495002868">
              <w:marLeft w:val="0"/>
              <w:marRight w:val="0"/>
              <w:marTop w:val="0"/>
              <w:marBottom w:val="0"/>
              <w:divBdr>
                <w:top w:val="none" w:sz="0" w:space="0" w:color="auto"/>
                <w:left w:val="none" w:sz="0" w:space="0" w:color="auto"/>
                <w:bottom w:val="none" w:sz="0" w:space="0" w:color="auto"/>
                <w:right w:val="none" w:sz="0" w:space="0" w:color="auto"/>
              </w:divBdr>
            </w:div>
            <w:div w:id="544097081">
              <w:marLeft w:val="0"/>
              <w:marRight w:val="0"/>
              <w:marTop w:val="0"/>
              <w:marBottom w:val="0"/>
              <w:divBdr>
                <w:top w:val="none" w:sz="0" w:space="0" w:color="auto"/>
                <w:left w:val="none" w:sz="0" w:space="0" w:color="auto"/>
                <w:bottom w:val="none" w:sz="0" w:space="0" w:color="auto"/>
                <w:right w:val="none" w:sz="0" w:space="0" w:color="auto"/>
              </w:divBdr>
            </w:div>
            <w:div w:id="550269206">
              <w:marLeft w:val="0"/>
              <w:marRight w:val="0"/>
              <w:marTop w:val="0"/>
              <w:marBottom w:val="0"/>
              <w:divBdr>
                <w:top w:val="none" w:sz="0" w:space="0" w:color="auto"/>
                <w:left w:val="none" w:sz="0" w:space="0" w:color="auto"/>
                <w:bottom w:val="none" w:sz="0" w:space="0" w:color="auto"/>
                <w:right w:val="none" w:sz="0" w:space="0" w:color="auto"/>
              </w:divBdr>
            </w:div>
            <w:div w:id="667289079">
              <w:marLeft w:val="0"/>
              <w:marRight w:val="0"/>
              <w:marTop w:val="0"/>
              <w:marBottom w:val="0"/>
              <w:divBdr>
                <w:top w:val="none" w:sz="0" w:space="0" w:color="auto"/>
                <w:left w:val="none" w:sz="0" w:space="0" w:color="auto"/>
                <w:bottom w:val="none" w:sz="0" w:space="0" w:color="auto"/>
                <w:right w:val="none" w:sz="0" w:space="0" w:color="auto"/>
              </w:divBdr>
            </w:div>
            <w:div w:id="820122739">
              <w:marLeft w:val="0"/>
              <w:marRight w:val="0"/>
              <w:marTop w:val="0"/>
              <w:marBottom w:val="0"/>
              <w:divBdr>
                <w:top w:val="none" w:sz="0" w:space="0" w:color="auto"/>
                <w:left w:val="none" w:sz="0" w:space="0" w:color="auto"/>
                <w:bottom w:val="none" w:sz="0" w:space="0" w:color="auto"/>
                <w:right w:val="none" w:sz="0" w:space="0" w:color="auto"/>
              </w:divBdr>
            </w:div>
            <w:div w:id="963340938">
              <w:marLeft w:val="0"/>
              <w:marRight w:val="0"/>
              <w:marTop w:val="0"/>
              <w:marBottom w:val="0"/>
              <w:divBdr>
                <w:top w:val="none" w:sz="0" w:space="0" w:color="auto"/>
                <w:left w:val="none" w:sz="0" w:space="0" w:color="auto"/>
                <w:bottom w:val="none" w:sz="0" w:space="0" w:color="auto"/>
                <w:right w:val="none" w:sz="0" w:space="0" w:color="auto"/>
              </w:divBdr>
            </w:div>
            <w:div w:id="1097478297">
              <w:marLeft w:val="0"/>
              <w:marRight w:val="0"/>
              <w:marTop w:val="0"/>
              <w:marBottom w:val="0"/>
              <w:divBdr>
                <w:top w:val="none" w:sz="0" w:space="0" w:color="auto"/>
                <w:left w:val="none" w:sz="0" w:space="0" w:color="auto"/>
                <w:bottom w:val="none" w:sz="0" w:space="0" w:color="auto"/>
                <w:right w:val="none" w:sz="0" w:space="0" w:color="auto"/>
              </w:divBdr>
            </w:div>
            <w:div w:id="1130442225">
              <w:marLeft w:val="0"/>
              <w:marRight w:val="0"/>
              <w:marTop w:val="0"/>
              <w:marBottom w:val="0"/>
              <w:divBdr>
                <w:top w:val="none" w:sz="0" w:space="0" w:color="auto"/>
                <w:left w:val="none" w:sz="0" w:space="0" w:color="auto"/>
                <w:bottom w:val="none" w:sz="0" w:space="0" w:color="auto"/>
                <w:right w:val="none" w:sz="0" w:space="0" w:color="auto"/>
              </w:divBdr>
            </w:div>
            <w:div w:id="1142698659">
              <w:marLeft w:val="0"/>
              <w:marRight w:val="0"/>
              <w:marTop w:val="0"/>
              <w:marBottom w:val="0"/>
              <w:divBdr>
                <w:top w:val="none" w:sz="0" w:space="0" w:color="auto"/>
                <w:left w:val="none" w:sz="0" w:space="0" w:color="auto"/>
                <w:bottom w:val="none" w:sz="0" w:space="0" w:color="auto"/>
                <w:right w:val="none" w:sz="0" w:space="0" w:color="auto"/>
              </w:divBdr>
            </w:div>
            <w:div w:id="1171872879">
              <w:marLeft w:val="0"/>
              <w:marRight w:val="0"/>
              <w:marTop w:val="0"/>
              <w:marBottom w:val="0"/>
              <w:divBdr>
                <w:top w:val="none" w:sz="0" w:space="0" w:color="auto"/>
                <w:left w:val="none" w:sz="0" w:space="0" w:color="auto"/>
                <w:bottom w:val="none" w:sz="0" w:space="0" w:color="auto"/>
                <w:right w:val="none" w:sz="0" w:space="0" w:color="auto"/>
              </w:divBdr>
            </w:div>
            <w:div w:id="1226988593">
              <w:marLeft w:val="0"/>
              <w:marRight w:val="0"/>
              <w:marTop w:val="0"/>
              <w:marBottom w:val="0"/>
              <w:divBdr>
                <w:top w:val="none" w:sz="0" w:space="0" w:color="auto"/>
                <w:left w:val="none" w:sz="0" w:space="0" w:color="auto"/>
                <w:bottom w:val="none" w:sz="0" w:space="0" w:color="auto"/>
                <w:right w:val="none" w:sz="0" w:space="0" w:color="auto"/>
              </w:divBdr>
            </w:div>
            <w:div w:id="1537696810">
              <w:marLeft w:val="0"/>
              <w:marRight w:val="0"/>
              <w:marTop w:val="0"/>
              <w:marBottom w:val="0"/>
              <w:divBdr>
                <w:top w:val="none" w:sz="0" w:space="0" w:color="auto"/>
                <w:left w:val="none" w:sz="0" w:space="0" w:color="auto"/>
                <w:bottom w:val="none" w:sz="0" w:space="0" w:color="auto"/>
                <w:right w:val="none" w:sz="0" w:space="0" w:color="auto"/>
              </w:divBdr>
            </w:div>
            <w:div w:id="1650938522">
              <w:marLeft w:val="0"/>
              <w:marRight w:val="0"/>
              <w:marTop w:val="0"/>
              <w:marBottom w:val="0"/>
              <w:divBdr>
                <w:top w:val="none" w:sz="0" w:space="0" w:color="auto"/>
                <w:left w:val="none" w:sz="0" w:space="0" w:color="auto"/>
                <w:bottom w:val="none" w:sz="0" w:space="0" w:color="auto"/>
                <w:right w:val="none" w:sz="0" w:space="0" w:color="auto"/>
              </w:divBdr>
            </w:div>
            <w:div w:id="1821919323">
              <w:marLeft w:val="0"/>
              <w:marRight w:val="0"/>
              <w:marTop w:val="0"/>
              <w:marBottom w:val="0"/>
              <w:divBdr>
                <w:top w:val="none" w:sz="0" w:space="0" w:color="auto"/>
                <w:left w:val="none" w:sz="0" w:space="0" w:color="auto"/>
                <w:bottom w:val="none" w:sz="0" w:space="0" w:color="auto"/>
                <w:right w:val="none" w:sz="0" w:space="0" w:color="auto"/>
              </w:divBdr>
            </w:div>
            <w:div w:id="1988633350">
              <w:marLeft w:val="0"/>
              <w:marRight w:val="0"/>
              <w:marTop w:val="0"/>
              <w:marBottom w:val="0"/>
              <w:divBdr>
                <w:top w:val="none" w:sz="0" w:space="0" w:color="auto"/>
                <w:left w:val="none" w:sz="0" w:space="0" w:color="auto"/>
                <w:bottom w:val="none" w:sz="0" w:space="0" w:color="auto"/>
                <w:right w:val="none" w:sz="0" w:space="0" w:color="auto"/>
              </w:divBdr>
            </w:div>
            <w:div w:id="2020305716">
              <w:marLeft w:val="0"/>
              <w:marRight w:val="0"/>
              <w:marTop w:val="0"/>
              <w:marBottom w:val="0"/>
              <w:divBdr>
                <w:top w:val="none" w:sz="0" w:space="0" w:color="auto"/>
                <w:left w:val="none" w:sz="0" w:space="0" w:color="auto"/>
                <w:bottom w:val="none" w:sz="0" w:space="0" w:color="auto"/>
                <w:right w:val="none" w:sz="0" w:space="0" w:color="auto"/>
              </w:divBdr>
            </w:div>
          </w:divsChild>
        </w:div>
        <w:div w:id="1249925558">
          <w:marLeft w:val="0"/>
          <w:marRight w:val="0"/>
          <w:marTop w:val="0"/>
          <w:marBottom w:val="0"/>
          <w:divBdr>
            <w:top w:val="none" w:sz="0" w:space="0" w:color="auto"/>
            <w:left w:val="none" w:sz="0" w:space="0" w:color="auto"/>
            <w:bottom w:val="none" w:sz="0" w:space="0" w:color="auto"/>
            <w:right w:val="none" w:sz="0" w:space="0" w:color="auto"/>
          </w:divBdr>
          <w:divsChild>
            <w:div w:id="50659720">
              <w:marLeft w:val="0"/>
              <w:marRight w:val="0"/>
              <w:marTop w:val="0"/>
              <w:marBottom w:val="0"/>
              <w:divBdr>
                <w:top w:val="none" w:sz="0" w:space="0" w:color="auto"/>
                <w:left w:val="none" w:sz="0" w:space="0" w:color="auto"/>
                <w:bottom w:val="none" w:sz="0" w:space="0" w:color="auto"/>
                <w:right w:val="none" w:sz="0" w:space="0" w:color="auto"/>
              </w:divBdr>
            </w:div>
            <w:div w:id="93479587">
              <w:marLeft w:val="0"/>
              <w:marRight w:val="0"/>
              <w:marTop w:val="0"/>
              <w:marBottom w:val="0"/>
              <w:divBdr>
                <w:top w:val="none" w:sz="0" w:space="0" w:color="auto"/>
                <w:left w:val="none" w:sz="0" w:space="0" w:color="auto"/>
                <w:bottom w:val="none" w:sz="0" w:space="0" w:color="auto"/>
                <w:right w:val="none" w:sz="0" w:space="0" w:color="auto"/>
              </w:divBdr>
            </w:div>
            <w:div w:id="138302729">
              <w:marLeft w:val="0"/>
              <w:marRight w:val="0"/>
              <w:marTop w:val="0"/>
              <w:marBottom w:val="0"/>
              <w:divBdr>
                <w:top w:val="none" w:sz="0" w:space="0" w:color="auto"/>
                <w:left w:val="none" w:sz="0" w:space="0" w:color="auto"/>
                <w:bottom w:val="none" w:sz="0" w:space="0" w:color="auto"/>
                <w:right w:val="none" w:sz="0" w:space="0" w:color="auto"/>
              </w:divBdr>
            </w:div>
            <w:div w:id="232787536">
              <w:marLeft w:val="0"/>
              <w:marRight w:val="0"/>
              <w:marTop w:val="0"/>
              <w:marBottom w:val="0"/>
              <w:divBdr>
                <w:top w:val="none" w:sz="0" w:space="0" w:color="auto"/>
                <w:left w:val="none" w:sz="0" w:space="0" w:color="auto"/>
                <w:bottom w:val="none" w:sz="0" w:space="0" w:color="auto"/>
                <w:right w:val="none" w:sz="0" w:space="0" w:color="auto"/>
              </w:divBdr>
            </w:div>
            <w:div w:id="306478574">
              <w:marLeft w:val="0"/>
              <w:marRight w:val="0"/>
              <w:marTop w:val="0"/>
              <w:marBottom w:val="0"/>
              <w:divBdr>
                <w:top w:val="none" w:sz="0" w:space="0" w:color="auto"/>
                <w:left w:val="none" w:sz="0" w:space="0" w:color="auto"/>
                <w:bottom w:val="none" w:sz="0" w:space="0" w:color="auto"/>
                <w:right w:val="none" w:sz="0" w:space="0" w:color="auto"/>
              </w:divBdr>
            </w:div>
            <w:div w:id="373434696">
              <w:marLeft w:val="0"/>
              <w:marRight w:val="0"/>
              <w:marTop w:val="0"/>
              <w:marBottom w:val="0"/>
              <w:divBdr>
                <w:top w:val="none" w:sz="0" w:space="0" w:color="auto"/>
                <w:left w:val="none" w:sz="0" w:space="0" w:color="auto"/>
                <w:bottom w:val="none" w:sz="0" w:space="0" w:color="auto"/>
                <w:right w:val="none" w:sz="0" w:space="0" w:color="auto"/>
              </w:divBdr>
            </w:div>
            <w:div w:id="487357338">
              <w:marLeft w:val="0"/>
              <w:marRight w:val="0"/>
              <w:marTop w:val="0"/>
              <w:marBottom w:val="0"/>
              <w:divBdr>
                <w:top w:val="none" w:sz="0" w:space="0" w:color="auto"/>
                <w:left w:val="none" w:sz="0" w:space="0" w:color="auto"/>
                <w:bottom w:val="none" w:sz="0" w:space="0" w:color="auto"/>
                <w:right w:val="none" w:sz="0" w:space="0" w:color="auto"/>
              </w:divBdr>
            </w:div>
            <w:div w:id="568460839">
              <w:marLeft w:val="0"/>
              <w:marRight w:val="0"/>
              <w:marTop w:val="0"/>
              <w:marBottom w:val="0"/>
              <w:divBdr>
                <w:top w:val="none" w:sz="0" w:space="0" w:color="auto"/>
                <w:left w:val="none" w:sz="0" w:space="0" w:color="auto"/>
                <w:bottom w:val="none" w:sz="0" w:space="0" w:color="auto"/>
                <w:right w:val="none" w:sz="0" w:space="0" w:color="auto"/>
              </w:divBdr>
            </w:div>
            <w:div w:id="772630895">
              <w:marLeft w:val="0"/>
              <w:marRight w:val="0"/>
              <w:marTop w:val="0"/>
              <w:marBottom w:val="0"/>
              <w:divBdr>
                <w:top w:val="none" w:sz="0" w:space="0" w:color="auto"/>
                <w:left w:val="none" w:sz="0" w:space="0" w:color="auto"/>
                <w:bottom w:val="none" w:sz="0" w:space="0" w:color="auto"/>
                <w:right w:val="none" w:sz="0" w:space="0" w:color="auto"/>
              </w:divBdr>
            </w:div>
            <w:div w:id="856769884">
              <w:marLeft w:val="0"/>
              <w:marRight w:val="0"/>
              <w:marTop w:val="0"/>
              <w:marBottom w:val="0"/>
              <w:divBdr>
                <w:top w:val="none" w:sz="0" w:space="0" w:color="auto"/>
                <w:left w:val="none" w:sz="0" w:space="0" w:color="auto"/>
                <w:bottom w:val="none" w:sz="0" w:space="0" w:color="auto"/>
                <w:right w:val="none" w:sz="0" w:space="0" w:color="auto"/>
              </w:divBdr>
            </w:div>
            <w:div w:id="958679777">
              <w:marLeft w:val="0"/>
              <w:marRight w:val="0"/>
              <w:marTop w:val="0"/>
              <w:marBottom w:val="0"/>
              <w:divBdr>
                <w:top w:val="none" w:sz="0" w:space="0" w:color="auto"/>
                <w:left w:val="none" w:sz="0" w:space="0" w:color="auto"/>
                <w:bottom w:val="none" w:sz="0" w:space="0" w:color="auto"/>
                <w:right w:val="none" w:sz="0" w:space="0" w:color="auto"/>
              </w:divBdr>
            </w:div>
            <w:div w:id="964388997">
              <w:marLeft w:val="0"/>
              <w:marRight w:val="0"/>
              <w:marTop w:val="0"/>
              <w:marBottom w:val="0"/>
              <w:divBdr>
                <w:top w:val="none" w:sz="0" w:space="0" w:color="auto"/>
                <w:left w:val="none" w:sz="0" w:space="0" w:color="auto"/>
                <w:bottom w:val="none" w:sz="0" w:space="0" w:color="auto"/>
                <w:right w:val="none" w:sz="0" w:space="0" w:color="auto"/>
              </w:divBdr>
            </w:div>
            <w:div w:id="1057121784">
              <w:marLeft w:val="0"/>
              <w:marRight w:val="0"/>
              <w:marTop w:val="0"/>
              <w:marBottom w:val="0"/>
              <w:divBdr>
                <w:top w:val="none" w:sz="0" w:space="0" w:color="auto"/>
                <w:left w:val="none" w:sz="0" w:space="0" w:color="auto"/>
                <w:bottom w:val="none" w:sz="0" w:space="0" w:color="auto"/>
                <w:right w:val="none" w:sz="0" w:space="0" w:color="auto"/>
              </w:divBdr>
            </w:div>
            <w:div w:id="1309020934">
              <w:marLeft w:val="0"/>
              <w:marRight w:val="0"/>
              <w:marTop w:val="0"/>
              <w:marBottom w:val="0"/>
              <w:divBdr>
                <w:top w:val="none" w:sz="0" w:space="0" w:color="auto"/>
                <w:left w:val="none" w:sz="0" w:space="0" w:color="auto"/>
                <w:bottom w:val="none" w:sz="0" w:space="0" w:color="auto"/>
                <w:right w:val="none" w:sz="0" w:space="0" w:color="auto"/>
              </w:divBdr>
            </w:div>
            <w:div w:id="1488864662">
              <w:marLeft w:val="0"/>
              <w:marRight w:val="0"/>
              <w:marTop w:val="0"/>
              <w:marBottom w:val="0"/>
              <w:divBdr>
                <w:top w:val="none" w:sz="0" w:space="0" w:color="auto"/>
                <w:left w:val="none" w:sz="0" w:space="0" w:color="auto"/>
                <w:bottom w:val="none" w:sz="0" w:space="0" w:color="auto"/>
                <w:right w:val="none" w:sz="0" w:space="0" w:color="auto"/>
              </w:divBdr>
            </w:div>
            <w:div w:id="1495417238">
              <w:marLeft w:val="0"/>
              <w:marRight w:val="0"/>
              <w:marTop w:val="0"/>
              <w:marBottom w:val="0"/>
              <w:divBdr>
                <w:top w:val="none" w:sz="0" w:space="0" w:color="auto"/>
                <w:left w:val="none" w:sz="0" w:space="0" w:color="auto"/>
                <w:bottom w:val="none" w:sz="0" w:space="0" w:color="auto"/>
                <w:right w:val="none" w:sz="0" w:space="0" w:color="auto"/>
              </w:divBdr>
            </w:div>
            <w:div w:id="1772042045">
              <w:marLeft w:val="0"/>
              <w:marRight w:val="0"/>
              <w:marTop w:val="0"/>
              <w:marBottom w:val="0"/>
              <w:divBdr>
                <w:top w:val="none" w:sz="0" w:space="0" w:color="auto"/>
                <w:left w:val="none" w:sz="0" w:space="0" w:color="auto"/>
                <w:bottom w:val="none" w:sz="0" w:space="0" w:color="auto"/>
                <w:right w:val="none" w:sz="0" w:space="0" w:color="auto"/>
              </w:divBdr>
            </w:div>
            <w:div w:id="1805656743">
              <w:marLeft w:val="0"/>
              <w:marRight w:val="0"/>
              <w:marTop w:val="0"/>
              <w:marBottom w:val="0"/>
              <w:divBdr>
                <w:top w:val="none" w:sz="0" w:space="0" w:color="auto"/>
                <w:left w:val="none" w:sz="0" w:space="0" w:color="auto"/>
                <w:bottom w:val="none" w:sz="0" w:space="0" w:color="auto"/>
                <w:right w:val="none" w:sz="0" w:space="0" w:color="auto"/>
              </w:divBdr>
            </w:div>
            <w:div w:id="1898739620">
              <w:marLeft w:val="0"/>
              <w:marRight w:val="0"/>
              <w:marTop w:val="0"/>
              <w:marBottom w:val="0"/>
              <w:divBdr>
                <w:top w:val="none" w:sz="0" w:space="0" w:color="auto"/>
                <w:left w:val="none" w:sz="0" w:space="0" w:color="auto"/>
                <w:bottom w:val="none" w:sz="0" w:space="0" w:color="auto"/>
                <w:right w:val="none" w:sz="0" w:space="0" w:color="auto"/>
              </w:divBdr>
            </w:div>
            <w:div w:id="2051418404">
              <w:marLeft w:val="0"/>
              <w:marRight w:val="0"/>
              <w:marTop w:val="0"/>
              <w:marBottom w:val="0"/>
              <w:divBdr>
                <w:top w:val="none" w:sz="0" w:space="0" w:color="auto"/>
                <w:left w:val="none" w:sz="0" w:space="0" w:color="auto"/>
                <w:bottom w:val="none" w:sz="0" w:space="0" w:color="auto"/>
                <w:right w:val="none" w:sz="0" w:space="0" w:color="auto"/>
              </w:divBdr>
            </w:div>
          </w:divsChild>
        </w:div>
        <w:div w:id="1429305678">
          <w:marLeft w:val="0"/>
          <w:marRight w:val="0"/>
          <w:marTop w:val="0"/>
          <w:marBottom w:val="0"/>
          <w:divBdr>
            <w:top w:val="none" w:sz="0" w:space="0" w:color="auto"/>
            <w:left w:val="none" w:sz="0" w:space="0" w:color="auto"/>
            <w:bottom w:val="none" w:sz="0" w:space="0" w:color="auto"/>
            <w:right w:val="none" w:sz="0" w:space="0" w:color="auto"/>
          </w:divBdr>
          <w:divsChild>
            <w:div w:id="203517340">
              <w:marLeft w:val="0"/>
              <w:marRight w:val="0"/>
              <w:marTop w:val="0"/>
              <w:marBottom w:val="0"/>
              <w:divBdr>
                <w:top w:val="none" w:sz="0" w:space="0" w:color="auto"/>
                <w:left w:val="none" w:sz="0" w:space="0" w:color="auto"/>
                <w:bottom w:val="none" w:sz="0" w:space="0" w:color="auto"/>
                <w:right w:val="none" w:sz="0" w:space="0" w:color="auto"/>
              </w:divBdr>
            </w:div>
            <w:div w:id="316881673">
              <w:marLeft w:val="0"/>
              <w:marRight w:val="0"/>
              <w:marTop w:val="0"/>
              <w:marBottom w:val="0"/>
              <w:divBdr>
                <w:top w:val="none" w:sz="0" w:space="0" w:color="auto"/>
                <w:left w:val="none" w:sz="0" w:space="0" w:color="auto"/>
                <w:bottom w:val="none" w:sz="0" w:space="0" w:color="auto"/>
                <w:right w:val="none" w:sz="0" w:space="0" w:color="auto"/>
              </w:divBdr>
            </w:div>
            <w:div w:id="465970051">
              <w:marLeft w:val="0"/>
              <w:marRight w:val="0"/>
              <w:marTop w:val="0"/>
              <w:marBottom w:val="0"/>
              <w:divBdr>
                <w:top w:val="none" w:sz="0" w:space="0" w:color="auto"/>
                <w:left w:val="none" w:sz="0" w:space="0" w:color="auto"/>
                <w:bottom w:val="none" w:sz="0" w:space="0" w:color="auto"/>
                <w:right w:val="none" w:sz="0" w:space="0" w:color="auto"/>
              </w:divBdr>
            </w:div>
            <w:div w:id="617369936">
              <w:marLeft w:val="0"/>
              <w:marRight w:val="0"/>
              <w:marTop w:val="0"/>
              <w:marBottom w:val="0"/>
              <w:divBdr>
                <w:top w:val="none" w:sz="0" w:space="0" w:color="auto"/>
                <w:left w:val="none" w:sz="0" w:space="0" w:color="auto"/>
                <w:bottom w:val="none" w:sz="0" w:space="0" w:color="auto"/>
                <w:right w:val="none" w:sz="0" w:space="0" w:color="auto"/>
              </w:divBdr>
            </w:div>
            <w:div w:id="646667862">
              <w:marLeft w:val="0"/>
              <w:marRight w:val="0"/>
              <w:marTop w:val="0"/>
              <w:marBottom w:val="0"/>
              <w:divBdr>
                <w:top w:val="none" w:sz="0" w:space="0" w:color="auto"/>
                <w:left w:val="none" w:sz="0" w:space="0" w:color="auto"/>
                <w:bottom w:val="none" w:sz="0" w:space="0" w:color="auto"/>
                <w:right w:val="none" w:sz="0" w:space="0" w:color="auto"/>
              </w:divBdr>
            </w:div>
            <w:div w:id="688339179">
              <w:marLeft w:val="0"/>
              <w:marRight w:val="0"/>
              <w:marTop w:val="0"/>
              <w:marBottom w:val="0"/>
              <w:divBdr>
                <w:top w:val="none" w:sz="0" w:space="0" w:color="auto"/>
                <w:left w:val="none" w:sz="0" w:space="0" w:color="auto"/>
                <w:bottom w:val="none" w:sz="0" w:space="0" w:color="auto"/>
                <w:right w:val="none" w:sz="0" w:space="0" w:color="auto"/>
              </w:divBdr>
            </w:div>
            <w:div w:id="741752326">
              <w:marLeft w:val="0"/>
              <w:marRight w:val="0"/>
              <w:marTop w:val="0"/>
              <w:marBottom w:val="0"/>
              <w:divBdr>
                <w:top w:val="none" w:sz="0" w:space="0" w:color="auto"/>
                <w:left w:val="none" w:sz="0" w:space="0" w:color="auto"/>
                <w:bottom w:val="none" w:sz="0" w:space="0" w:color="auto"/>
                <w:right w:val="none" w:sz="0" w:space="0" w:color="auto"/>
              </w:divBdr>
            </w:div>
            <w:div w:id="847059298">
              <w:marLeft w:val="0"/>
              <w:marRight w:val="0"/>
              <w:marTop w:val="0"/>
              <w:marBottom w:val="0"/>
              <w:divBdr>
                <w:top w:val="none" w:sz="0" w:space="0" w:color="auto"/>
                <w:left w:val="none" w:sz="0" w:space="0" w:color="auto"/>
                <w:bottom w:val="none" w:sz="0" w:space="0" w:color="auto"/>
                <w:right w:val="none" w:sz="0" w:space="0" w:color="auto"/>
              </w:divBdr>
            </w:div>
            <w:div w:id="923614327">
              <w:marLeft w:val="0"/>
              <w:marRight w:val="0"/>
              <w:marTop w:val="0"/>
              <w:marBottom w:val="0"/>
              <w:divBdr>
                <w:top w:val="none" w:sz="0" w:space="0" w:color="auto"/>
                <w:left w:val="none" w:sz="0" w:space="0" w:color="auto"/>
                <w:bottom w:val="none" w:sz="0" w:space="0" w:color="auto"/>
                <w:right w:val="none" w:sz="0" w:space="0" w:color="auto"/>
              </w:divBdr>
            </w:div>
            <w:div w:id="969211959">
              <w:marLeft w:val="0"/>
              <w:marRight w:val="0"/>
              <w:marTop w:val="0"/>
              <w:marBottom w:val="0"/>
              <w:divBdr>
                <w:top w:val="none" w:sz="0" w:space="0" w:color="auto"/>
                <w:left w:val="none" w:sz="0" w:space="0" w:color="auto"/>
                <w:bottom w:val="none" w:sz="0" w:space="0" w:color="auto"/>
                <w:right w:val="none" w:sz="0" w:space="0" w:color="auto"/>
              </w:divBdr>
            </w:div>
            <w:div w:id="1238200777">
              <w:marLeft w:val="0"/>
              <w:marRight w:val="0"/>
              <w:marTop w:val="0"/>
              <w:marBottom w:val="0"/>
              <w:divBdr>
                <w:top w:val="none" w:sz="0" w:space="0" w:color="auto"/>
                <w:left w:val="none" w:sz="0" w:space="0" w:color="auto"/>
                <w:bottom w:val="none" w:sz="0" w:space="0" w:color="auto"/>
                <w:right w:val="none" w:sz="0" w:space="0" w:color="auto"/>
              </w:divBdr>
            </w:div>
            <w:div w:id="1297300048">
              <w:marLeft w:val="0"/>
              <w:marRight w:val="0"/>
              <w:marTop w:val="0"/>
              <w:marBottom w:val="0"/>
              <w:divBdr>
                <w:top w:val="none" w:sz="0" w:space="0" w:color="auto"/>
                <w:left w:val="none" w:sz="0" w:space="0" w:color="auto"/>
                <w:bottom w:val="none" w:sz="0" w:space="0" w:color="auto"/>
                <w:right w:val="none" w:sz="0" w:space="0" w:color="auto"/>
              </w:divBdr>
            </w:div>
            <w:div w:id="1309164079">
              <w:marLeft w:val="0"/>
              <w:marRight w:val="0"/>
              <w:marTop w:val="0"/>
              <w:marBottom w:val="0"/>
              <w:divBdr>
                <w:top w:val="none" w:sz="0" w:space="0" w:color="auto"/>
                <w:left w:val="none" w:sz="0" w:space="0" w:color="auto"/>
                <w:bottom w:val="none" w:sz="0" w:space="0" w:color="auto"/>
                <w:right w:val="none" w:sz="0" w:space="0" w:color="auto"/>
              </w:divBdr>
            </w:div>
            <w:div w:id="1330717799">
              <w:marLeft w:val="0"/>
              <w:marRight w:val="0"/>
              <w:marTop w:val="0"/>
              <w:marBottom w:val="0"/>
              <w:divBdr>
                <w:top w:val="none" w:sz="0" w:space="0" w:color="auto"/>
                <w:left w:val="none" w:sz="0" w:space="0" w:color="auto"/>
                <w:bottom w:val="none" w:sz="0" w:space="0" w:color="auto"/>
                <w:right w:val="none" w:sz="0" w:space="0" w:color="auto"/>
              </w:divBdr>
            </w:div>
            <w:div w:id="1561751657">
              <w:marLeft w:val="0"/>
              <w:marRight w:val="0"/>
              <w:marTop w:val="0"/>
              <w:marBottom w:val="0"/>
              <w:divBdr>
                <w:top w:val="none" w:sz="0" w:space="0" w:color="auto"/>
                <w:left w:val="none" w:sz="0" w:space="0" w:color="auto"/>
                <w:bottom w:val="none" w:sz="0" w:space="0" w:color="auto"/>
                <w:right w:val="none" w:sz="0" w:space="0" w:color="auto"/>
              </w:divBdr>
            </w:div>
            <w:div w:id="1568302929">
              <w:marLeft w:val="0"/>
              <w:marRight w:val="0"/>
              <w:marTop w:val="0"/>
              <w:marBottom w:val="0"/>
              <w:divBdr>
                <w:top w:val="none" w:sz="0" w:space="0" w:color="auto"/>
                <w:left w:val="none" w:sz="0" w:space="0" w:color="auto"/>
                <w:bottom w:val="none" w:sz="0" w:space="0" w:color="auto"/>
                <w:right w:val="none" w:sz="0" w:space="0" w:color="auto"/>
              </w:divBdr>
            </w:div>
            <w:div w:id="1607537884">
              <w:marLeft w:val="0"/>
              <w:marRight w:val="0"/>
              <w:marTop w:val="0"/>
              <w:marBottom w:val="0"/>
              <w:divBdr>
                <w:top w:val="none" w:sz="0" w:space="0" w:color="auto"/>
                <w:left w:val="none" w:sz="0" w:space="0" w:color="auto"/>
                <w:bottom w:val="none" w:sz="0" w:space="0" w:color="auto"/>
                <w:right w:val="none" w:sz="0" w:space="0" w:color="auto"/>
              </w:divBdr>
            </w:div>
            <w:div w:id="1863011458">
              <w:marLeft w:val="0"/>
              <w:marRight w:val="0"/>
              <w:marTop w:val="0"/>
              <w:marBottom w:val="0"/>
              <w:divBdr>
                <w:top w:val="none" w:sz="0" w:space="0" w:color="auto"/>
                <w:left w:val="none" w:sz="0" w:space="0" w:color="auto"/>
                <w:bottom w:val="none" w:sz="0" w:space="0" w:color="auto"/>
                <w:right w:val="none" w:sz="0" w:space="0" w:color="auto"/>
              </w:divBdr>
            </w:div>
            <w:div w:id="2035617945">
              <w:marLeft w:val="0"/>
              <w:marRight w:val="0"/>
              <w:marTop w:val="0"/>
              <w:marBottom w:val="0"/>
              <w:divBdr>
                <w:top w:val="none" w:sz="0" w:space="0" w:color="auto"/>
                <w:left w:val="none" w:sz="0" w:space="0" w:color="auto"/>
                <w:bottom w:val="none" w:sz="0" w:space="0" w:color="auto"/>
                <w:right w:val="none" w:sz="0" w:space="0" w:color="auto"/>
              </w:divBdr>
            </w:div>
            <w:div w:id="2141990022">
              <w:marLeft w:val="0"/>
              <w:marRight w:val="0"/>
              <w:marTop w:val="0"/>
              <w:marBottom w:val="0"/>
              <w:divBdr>
                <w:top w:val="none" w:sz="0" w:space="0" w:color="auto"/>
                <w:left w:val="none" w:sz="0" w:space="0" w:color="auto"/>
                <w:bottom w:val="none" w:sz="0" w:space="0" w:color="auto"/>
                <w:right w:val="none" w:sz="0" w:space="0" w:color="auto"/>
              </w:divBdr>
            </w:div>
          </w:divsChild>
        </w:div>
        <w:div w:id="1778677131">
          <w:marLeft w:val="0"/>
          <w:marRight w:val="0"/>
          <w:marTop w:val="0"/>
          <w:marBottom w:val="0"/>
          <w:divBdr>
            <w:top w:val="none" w:sz="0" w:space="0" w:color="auto"/>
            <w:left w:val="none" w:sz="0" w:space="0" w:color="auto"/>
            <w:bottom w:val="none" w:sz="0" w:space="0" w:color="auto"/>
            <w:right w:val="none" w:sz="0" w:space="0" w:color="auto"/>
          </w:divBdr>
          <w:divsChild>
            <w:div w:id="57018133">
              <w:marLeft w:val="0"/>
              <w:marRight w:val="0"/>
              <w:marTop w:val="0"/>
              <w:marBottom w:val="0"/>
              <w:divBdr>
                <w:top w:val="none" w:sz="0" w:space="0" w:color="auto"/>
                <w:left w:val="none" w:sz="0" w:space="0" w:color="auto"/>
                <w:bottom w:val="none" w:sz="0" w:space="0" w:color="auto"/>
                <w:right w:val="none" w:sz="0" w:space="0" w:color="auto"/>
              </w:divBdr>
            </w:div>
            <w:div w:id="241648018">
              <w:marLeft w:val="0"/>
              <w:marRight w:val="0"/>
              <w:marTop w:val="0"/>
              <w:marBottom w:val="0"/>
              <w:divBdr>
                <w:top w:val="none" w:sz="0" w:space="0" w:color="auto"/>
                <w:left w:val="none" w:sz="0" w:space="0" w:color="auto"/>
                <w:bottom w:val="none" w:sz="0" w:space="0" w:color="auto"/>
                <w:right w:val="none" w:sz="0" w:space="0" w:color="auto"/>
              </w:divBdr>
            </w:div>
            <w:div w:id="263610512">
              <w:marLeft w:val="0"/>
              <w:marRight w:val="0"/>
              <w:marTop w:val="0"/>
              <w:marBottom w:val="0"/>
              <w:divBdr>
                <w:top w:val="none" w:sz="0" w:space="0" w:color="auto"/>
                <w:left w:val="none" w:sz="0" w:space="0" w:color="auto"/>
                <w:bottom w:val="none" w:sz="0" w:space="0" w:color="auto"/>
                <w:right w:val="none" w:sz="0" w:space="0" w:color="auto"/>
              </w:divBdr>
            </w:div>
            <w:div w:id="288706141">
              <w:marLeft w:val="0"/>
              <w:marRight w:val="0"/>
              <w:marTop w:val="0"/>
              <w:marBottom w:val="0"/>
              <w:divBdr>
                <w:top w:val="none" w:sz="0" w:space="0" w:color="auto"/>
                <w:left w:val="none" w:sz="0" w:space="0" w:color="auto"/>
                <w:bottom w:val="none" w:sz="0" w:space="0" w:color="auto"/>
                <w:right w:val="none" w:sz="0" w:space="0" w:color="auto"/>
              </w:divBdr>
            </w:div>
            <w:div w:id="446235959">
              <w:marLeft w:val="0"/>
              <w:marRight w:val="0"/>
              <w:marTop w:val="0"/>
              <w:marBottom w:val="0"/>
              <w:divBdr>
                <w:top w:val="none" w:sz="0" w:space="0" w:color="auto"/>
                <w:left w:val="none" w:sz="0" w:space="0" w:color="auto"/>
                <w:bottom w:val="none" w:sz="0" w:space="0" w:color="auto"/>
                <w:right w:val="none" w:sz="0" w:space="0" w:color="auto"/>
              </w:divBdr>
            </w:div>
            <w:div w:id="732628779">
              <w:marLeft w:val="0"/>
              <w:marRight w:val="0"/>
              <w:marTop w:val="0"/>
              <w:marBottom w:val="0"/>
              <w:divBdr>
                <w:top w:val="none" w:sz="0" w:space="0" w:color="auto"/>
                <w:left w:val="none" w:sz="0" w:space="0" w:color="auto"/>
                <w:bottom w:val="none" w:sz="0" w:space="0" w:color="auto"/>
                <w:right w:val="none" w:sz="0" w:space="0" w:color="auto"/>
              </w:divBdr>
            </w:div>
            <w:div w:id="755781228">
              <w:marLeft w:val="0"/>
              <w:marRight w:val="0"/>
              <w:marTop w:val="0"/>
              <w:marBottom w:val="0"/>
              <w:divBdr>
                <w:top w:val="none" w:sz="0" w:space="0" w:color="auto"/>
                <w:left w:val="none" w:sz="0" w:space="0" w:color="auto"/>
                <w:bottom w:val="none" w:sz="0" w:space="0" w:color="auto"/>
                <w:right w:val="none" w:sz="0" w:space="0" w:color="auto"/>
              </w:divBdr>
            </w:div>
            <w:div w:id="764306112">
              <w:marLeft w:val="0"/>
              <w:marRight w:val="0"/>
              <w:marTop w:val="0"/>
              <w:marBottom w:val="0"/>
              <w:divBdr>
                <w:top w:val="none" w:sz="0" w:space="0" w:color="auto"/>
                <w:left w:val="none" w:sz="0" w:space="0" w:color="auto"/>
                <w:bottom w:val="none" w:sz="0" w:space="0" w:color="auto"/>
                <w:right w:val="none" w:sz="0" w:space="0" w:color="auto"/>
              </w:divBdr>
            </w:div>
            <w:div w:id="847524263">
              <w:marLeft w:val="0"/>
              <w:marRight w:val="0"/>
              <w:marTop w:val="0"/>
              <w:marBottom w:val="0"/>
              <w:divBdr>
                <w:top w:val="none" w:sz="0" w:space="0" w:color="auto"/>
                <w:left w:val="none" w:sz="0" w:space="0" w:color="auto"/>
                <w:bottom w:val="none" w:sz="0" w:space="0" w:color="auto"/>
                <w:right w:val="none" w:sz="0" w:space="0" w:color="auto"/>
              </w:divBdr>
            </w:div>
            <w:div w:id="913859110">
              <w:marLeft w:val="0"/>
              <w:marRight w:val="0"/>
              <w:marTop w:val="0"/>
              <w:marBottom w:val="0"/>
              <w:divBdr>
                <w:top w:val="none" w:sz="0" w:space="0" w:color="auto"/>
                <w:left w:val="none" w:sz="0" w:space="0" w:color="auto"/>
                <w:bottom w:val="none" w:sz="0" w:space="0" w:color="auto"/>
                <w:right w:val="none" w:sz="0" w:space="0" w:color="auto"/>
              </w:divBdr>
            </w:div>
            <w:div w:id="1055083208">
              <w:marLeft w:val="0"/>
              <w:marRight w:val="0"/>
              <w:marTop w:val="0"/>
              <w:marBottom w:val="0"/>
              <w:divBdr>
                <w:top w:val="none" w:sz="0" w:space="0" w:color="auto"/>
                <w:left w:val="none" w:sz="0" w:space="0" w:color="auto"/>
                <w:bottom w:val="none" w:sz="0" w:space="0" w:color="auto"/>
                <w:right w:val="none" w:sz="0" w:space="0" w:color="auto"/>
              </w:divBdr>
            </w:div>
            <w:div w:id="1056274299">
              <w:marLeft w:val="0"/>
              <w:marRight w:val="0"/>
              <w:marTop w:val="0"/>
              <w:marBottom w:val="0"/>
              <w:divBdr>
                <w:top w:val="none" w:sz="0" w:space="0" w:color="auto"/>
                <w:left w:val="none" w:sz="0" w:space="0" w:color="auto"/>
                <w:bottom w:val="none" w:sz="0" w:space="0" w:color="auto"/>
                <w:right w:val="none" w:sz="0" w:space="0" w:color="auto"/>
              </w:divBdr>
            </w:div>
            <w:div w:id="1307707939">
              <w:marLeft w:val="0"/>
              <w:marRight w:val="0"/>
              <w:marTop w:val="0"/>
              <w:marBottom w:val="0"/>
              <w:divBdr>
                <w:top w:val="none" w:sz="0" w:space="0" w:color="auto"/>
                <w:left w:val="none" w:sz="0" w:space="0" w:color="auto"/>
                <w:bottom w:val="none" w:sz="0" w:space="0" w:color="auto"/>
                <w:right w:val="none" w:sz="0" w:space="0" w:color="auto"/>
              </w:divBdr>
            </w:div>
            <w:div w:id="1541361762">
              <w:marLeft w:val="0"/>
              <w:marRight w:val="0"/>
              <w:marTop w:val="0"/>
              <w:marBottom w:val="0"/>
              <w:divBdr>
                <w:top w:val="none" w:sz="0" w:space="0" w:color="auto"/>
                <w:left w:val="none" w:sz="0" w:space="0" w:color="auto"/>
                <w:bottom w:val="none" w:sz="0" w:space="0" w:color="auto"/>
                <w:right w:val="none" w:sz="0" w:space="0" w:color="auto"/>
              </w:divBdr>
            </w:div>
            <w:div w:id="1620603019">
              <w:marLeft w:val="0"/>
              <w:marRight w:val="0"/>
              <w:marTop w:val="0"/>
              <w:marBottom w:val="0"/>
              <w:divBdr>
                <w:top w:val="none" w:sz="0" w:space="0" w:color="auto"/>
                <w:left w:val="none" w:sz="0" w:space="0" w:color="auto"/>
                <w:bottom w:val="none" w:sz="0" w:space="0" w:color="auto"/>
                <w:right w:val="none" w:sz="0" w:space="0" w:color="auto"/>
              </w:divBdr>
            </w:div>
            <w:div w:id="1684159896">
              <w:marLeft w:val="0"/>
              <w:marRight w:val="0"/>
              <w:marTop w:val="0"/>
              <w:marBottom w:val="0"/>
              <w:divBdr>
                <w:top w:val="none" w:sz="0" w:space="0" w:color="auto"/>
                <w:left w:val="none" w:sz="0" w:space="0" w:color="auto"/>
                <w:bottom w:val="none" w:sz="0" w:space="0" w:color="auto"/>
                <w:right w:val="none" w:sz="0" w:space="0" w:color="auto"/>
              </w:divBdr>
            </w:div>
            <w:div w:id="1853841248">
              <w:marLeft w:val="0"/>
              <w:marRight w:val="0"/>
              <w:marTop w:val="0"/>
              <w:marBottom w:val="0"/>
              <w:divBdr>
                <w:top w:val="none" w:sz="0" w:space="0" w:color="auto"/>
                <w:left w:val="none" w:sz="0" w:space="0" w:color="auto"/>
                <w:bottom w:val="none" w:sz="0" w:space="0" w:color="auto"/>
                <w:right w:val="none" w:sz="0" w:space="0" w:color="auto"/>
              </w:divBdr>
            </w:div>
            <w:div w:id="1995989156">
              <w:marLeft w:val="0"/>
              <w:marRight w:val="0"/>
              <w:marTop w:val="0"/>
              <w:marBottom w:val="0"/>
              <w:divBdr>
                <w:top w:val="none" w:sz="0" w:space="0" w:color="auto"/>
                <w:left w:val="none" w:sz="0" w:space="0" w:color="auto"/>
                <w:bottom w:val="none" w:sz="0" w:space="0" w:color="auto"/>
                <w:right w:val="none" w:sz="0" w:space="0" w:color="auto"/>
              </w:divBdr>
            </w:div>
            <w:div w:id="2002347612">
              <w:marLeft w:val="0"/>
              <w:marRight w:val="0"/>
              <w:marTop w:val="0"/>
              <w:marBottom w:val="0"/>
              <w:divBdr>
                <w:top w:val="none" w:sz="0" w:space="0" w:color="auto"/>
                <w:left w:val="none" w:sz="0" w:space="0" w:color="auto"/>
                <w:bottom w:val="none" w:sz="0" w:space="0" w:color="auto"/>
                <w:right w:val="none" w:sz="0" w:space="0" w:color="auto"/>
              </w:divBdr>
            </w:div>
            <w:div w:id="2103447107">
              <w:marLeft w:val="0"/>
              <w:marRight w:val="0"/>
              <w:marTop w:val="0"/>
              <w:marBottom w:val="0"/>
              <w:divBdr>
                <w:top w:val="none" w:sz="0" w:space="0" w:color="auto"/>
                <w:left w:val="none" w:sz="0" w:space="0" w:color="auto"/>
                <w:bottom w:val="none" w:sz="0" w:space="0" w:color="auto"/>
                <w:right w:val="none" w:sz="0" w:space="0" w:color="auto"/>
              </w:divBdr>
            </w:div>
          </w:divsChild>
        </w:div>
        <w:div w:id="1919900959">
          <w:marLeft w:val="0"/>
          <w:marRight w:val="0"/>
          <w:marTop w:val="0"/>
          <w:marBottom w:val="0"/>
          <w:divBdr>
            <w:top w:val="none" w:sz="0" w:space="0" w:color="auto"/>
            <w:left w:val="none" w:sz="0" w:space="0" w:color="auto"/>
            <w:bottom w:val="none" w:sz="0" w:space="0" w:color="auto"/>
            <w:right w:val="none" w:sz="0" w:space="0" w:color="auto"/>
          </w:divBdr>
          <w:divsChild>
            <w:div w:id="141578468">
              <w:marLeft w:val="0"/>
              <w:marRight w:val="0"/>
              <w:marTop w:val="0"/>
              <w:marBottom w:val="0"/>
              <w:divBdr>
                <w:top w:val="none" w:sz="0" w:space="0" w:color="auto"/>
                <w:left w:val="none" w:sz="0" w:space="0" w:color="auto"/>
                <w:bottom w:val="none" w:sz="0" w:space="0" w:color="auto"/>
                <w:right w:val="none" w:sz="0" w:space="0" w:color="auto"/>
              </w:divBdr>
            </w:div>
            <w:div w:id="180441302">
              <w:marLeft w:val="0"/>
              <w:marRight w:val="0"/>
              <w:marTop w:val="0"/>
              <w:marBottom w:val="0"/>
              <w:divBdr>
                <w:top w:val="none" w:sz="0" w:space="0" w:color="auto"/>
                <w:left w:val="none" w:sz="0" w:space="0" w:color="auto"/>
                <w:bottom w:val="none" w:sz="0" w:space="0" w:color="auto"/>
                <w:right w:val="none" w:sz="0" w:space="0" w:color="auto"/>
              </w:divBdr>
            </w:div>
            <w:div w:id="642152734">
              <w:marLeft w:val="0"/>
              <w:marRight w:val="0"/>
              <w:marTop w:val="0"/>
              <w:marBottom w:val="0"/>
              <w:divBdr>
                <w:top w:val="none" w:sz="0" w:space="0" w:color="auto"/>
                <w:left w:val="none" w:sz="0" w:space="0" w:color="auto"/>
                <w:bottom w:val="none" w:sz="0" w:space="0" w:color="auto"/>
                <w:right w:val="none" w:sz="0" w:space="0" w:color="auto"/>
              </w:divBdr>
            </w:div>
            <w:div w:id="819275389">
              <w:marLeft w:val="0"/>
              <w:marRight w:val="0"/>
              <w:marTop w:val="0"/>
              <w:marBottom w:val="0"/>
              <w:divBdr>
                <w:top w:val="none" w:sz="0" w:space="0" w:color="auto"/>
                <w:left w:val="none" w:sz="0" w:space="0" w:color="auto"/>
                <w:bottom w:val="none" w:sz="0" w:space="0" w:color="auto"/>
                <w:right w:val="none" w:sz="0" w:space="0" w:color="auto"/>
              </w:divBdr>
            </w:div>
            <w:div w:id="838039133">
              <w:marLeft w:val="0"/>
              <w:marRight w:val="0"/>
              <w:marTop w:val="0"/>
              <w:marBottom w:val="0"/>
              <w:divBdr>
                <w:top w:val="none" w:sz="0" w:space="0" w:color="auto"/>
                <w:left w:val="none" w:sz="0" w:space="0" w:color="auto"/>
                <w:bottom w:val="none" w:sz="0" w:space="0" w:color="auto"/>
                <w:right w:val="none" w:sz="0" w:space="0" w:color="auto"/>
              </w:divBdr>
            </w:div>
            <w:div w:id="1048259256">
              <w:marLeft w:val="0"/>
              <w:marRight w:val="0"/>
              <w:marTop w:val="0"/>
              <w:marBottom w:val="0"/>
              <w:divBdr>
                <w:top w:val="none" w:sz="0" w:space="0" w:color="auto"/>
                <w:left w:val="none" w:sz="0" w:space="0" w:color="auto"/>
                <w:bottom w:val="none" w:sz="0" w:space="0" w:color="auto"/>
                <w:right w:val="none" w:sz="0" w:space="0" w:color="auto"/>
              </w:divBdr>
            </w:div>
            <w:div w:id="1221356760">
              <w:marLeft w:val="0"/>
              <w:marRight w:val="0"/>
              <w:marTop w:val="0"/>
              <w:marBottom w:val="0"/>
              <w:divBdr>
                <w:top w:val="none" w:sz="0" w:space="0" w:color="auto"/>
                <w:left w:val="none" w:sz="0" w:space="0" w:color="auto"/>
                <w:bottom w:val="none" w:sz="0" w:space="0" w:color="auto"/>
                <w:right w:val="none" w:sz="0" w:space="0" w:color="auto"/>
              </w:divBdr>
            </w:div>
            <w:div w:id="1236668476">
              <w:marLeft w:val="0"/>
              <w:marRight w:val="0"/>
              <w:marTop w:val="0"/>
              <w:marBottom w:val="0"/>
              <w:divBdr>
                <w:top w:val="none" w:sz="0" w:space="0" w:color="auto"/>
                <w:left w:val="none" w:sz="0" w:space="0" w:color="auto"/>
                <w:bottom w:val="none" w:sz="0" w:space="0" w:color="auto"/>
                <w:right w:val="none" w:sz="0" w:space="0" w:color="auto"/>
              </w:divBdr>
            </w:div>
            <w:div w:id="1245533739">
              <w:marLeft w:val="0"/>
              <w:marRight w:val="0"/>
              <w:marTop w:val="0"/>
              <w:marBottom w:val="0"/>
              <w:divBdr>
                <w:top w:val="none" w:sz="0" w:space="0" w:color="auto"/>
                <w:left w:val="none" w:sz="0" w:space="0" w:color="auto"/>
                <w:bottom w:val="none" w:sz="0" w:space="0" w:color="auto"/>
                <w:right w:val="none" w:sz="0" w:space="0" w:color="auto"/>
              </w:divBdr>
            </w:div>
            <w:div w:id="1346706467">
              <w:marLeft w:val="0"/>
              <w:marRight w:val="0"/>
              <w:marTop w:val="0"/>
              <w:marBottom w:val="0"/>
              <w:divBdr>
                <w:top w:val="none" w:sz="0" w:space="0" w:color="auto"/>
                <w:left w:val="none" w:sz="0" w:space="0" w:color="auto"/>
                <w:bottom w:val="none" w:sz="0" w:space="0" w:color="auto"/>
                <w:right w:val="none" w:sz="0" w:space="0" w:color="auto"/>
              </w:divBdr>
            </w:div>
            <w:div w:id="1375738603">
              <w:marLeft w:val="0"/>
              <w:marRight w:val="0"/>
              <w:marTop w:val="0"/>
              <w:marBottom w:val="0"/>
              <w:divBdr>
                <w:top w:val="none" w:sz="0" w:space="0" w:color="auto"/>
                <w:left w:val="none" w:sz="0" w:space="0" w:color="auto"/>
                <w:bottom w:val="none" w:sz="0" w:space="0" w:color="auto"/>
                <w:right w:val="none" w:sz="0" w:space="0" w:color="auto"/>
              </w:divBdr>
            </w:div>
            <w:div w:id="1411152792">
              <w:marLeft w:val="0"/>
              <w:marRight w:val="0"/>
              <w:marTop w:val="0"/>
              <w:marBottom w:val="0"/>
              <w:divBdr>
                <w:top w:val="none" w:sz="0" w:space="0" w:color="auto"/>
                <w:left w:val="none" w:sz="0" w:space="0" w:color="auto"/>
                <w:bottom w:val="none" w:sz="0" w:space="0" w:color="auto"/>
                <w:right w:val="none" w:sz="0" w:space="0" w:color="auto"/>
              </w:divBdr>
            </w:div>
            <w:div w:id="1510682266">
              <w:marLeft w:val="0"/>
              <w:marRight w:val="0"/>
              <w:marTop w:val="0"/>
              <w:marBottom w:val="0"/>
              <w:divBdr>
                <w:top w:val="none" w:sz="0" w:space="0" w:color="auto"/>
                <w:left w:val="none" w:sz="0" w:space="0" w:color="auto"/>
                <w:bottom w:val="none" w:sz="0" w:space="0" w:color="auto"/>
                <w:right w:val="none" w:sz="0" w:space="0" w:color="auto"/>
              </w:divBdr>
            </w:div>
            <w:div w:id="1550922517">
              <w:marLeft w:val="0"/>
              <w:marRight w:val="0"/>
              <w:marTop w:val="0"/>
              <w:marBottom w:val="0"/>
              <w:divBdr>
                <w:top w:val="none" w:sz="0" w:space="0" w:color="auto"/>
                <w:left w:val="none" w:sz="0" w:space="0" w:color="auto"/>
                <w:bottom w:val="none" w:sz="0" w:space="0" w:color="auto"/>
                <w:right w:val="none" w:sz="0" w:space="0" w:color="auto"/>
              </w:divBdr>
            </w:div>
            <w:div w:id="1578398217">
              <w:marLeft w:val="0"/>
              <w:marRight w:val="0"/>
              <w:marTop w:val="0"/>
              <w:marBottom w:val="0"/>
              <w:divBdr>
                <w:top w:val="none" w:sz="0" w:space="0" w:color="auto"/>
                <w:left w:val="none" w:sz="0" w:space="0" w:color="auto"/>
                <w:bottom w:val="none" w:sz="0" w:space="0" w:color="auto"/>
                <w:right w:val="none" w:sz="0" w:space="0" w:color="auto"/>
              </w:divBdr>
            </w:div>
            <w:div w:id="1616673285">
              <w:marLeft w:val="0"/>
              <w:marRight w:val="0"/>
              <w:marTop w:val="0"/>
              <w:marBottom w:val="0"/>
              <w:divBdr>
                <w:top w:val="none" w:sz="0" w:space="0" w:color="auto"/>
                <w:left w:val="none" w:sz="0" w:space="0" w:color="auto"/>
                <w:bottom w:val="none" w:sz="0" w:space="0" w:color="auto"/>
                <w:right w:val="none" w:sz="0" w:space="0" w:color="auto"/>
              </w:divBdr>
            </w:div>
            <w:div w:id="1675299463">
              <w:marLeft w:val="0"/>
              <w:marRight w:val="0"/>
              <w:marTop w:val="0"/>
              <w:marBottom w:val="0"/>
              <w:divBdr>
                <w:top w:val="none" w:sz="0" w:space="0" w:color="auto"/>
                <w:left w:val="none" w:sz="0" w:space="0" w:color="auto"/>
                <w:bottom w:val="none" w:sz="0" w:space="0" w:color="auto"/>
                <w:right w:val="none" w:sz="0" w:space="0" w:color="auto"/>
              </w:divBdr>
            </w:div>
            <w:div w:id="1687555694">
              <w:marLeft w:val="0"/>
              <w:marRight w:val="0"/>
              <w:marTop w:val="0"/>
              <w:marBottom w:val="0"/>
              <w:divBdr>
                <w:top w:val="none" w:sz="0" w:space="0" w:color="auto"/>
                <w:left w:val="none" w:sz="0" w:space="0" w:color="auto"/>
                <w:bottom w:val="none" w:sz="0" w:space="0" w:color="auto"/>
                <w:right w:val="none" w:sz="0" w:space="0" w:color="auto"/>
              </w:divBdr>
            </w:div>
            <w:div w:id="1765759198">
              <w:marLeft w:val="0"/>
              <w:marRight w:val="0"/>
              <w:marTop w:val="0"/>
              <w:marBottom w:val="0"/>
              <w:divBdr>
                <w:top w:val="none" w:sz="0" w:space="0" w:color="auto"/>
                <w:left w:val="none" w:sz="0" w:space="0" w:color="auto"/>
                <w:bottom w:val="none" w:sz="0" w:space="0" w:color="auto"/>
                <w:right w:val="none" w:sz="0" w:space="0" w:color="auto"/>
              </w:divBdr>
            </w:div>
            <w:div w:id="1988588684">
              <w:marLeft w:val="0"/>
              <w:marRight w:val="0"/>
              <w:marTop w:val="0"/>
              <w:marBottom w:val="0"/>
              <w:divBdr>
                <w:top w:val="none" w:sz="0" w:space="0" w:color="auto"/>
                <w:left w:val="none" w:sz="0" w:space="0" w:color="auto"/>
                <w:bottom w:val="none" w:sz="0" w:space="0" w:color="auto"/>
                <w:right w:val="none" w:sz="0" w:space="0" w:color="auto"/>
              </w:divBdr>
            </w:div>
          </w:divsChild>
        </w:div>
        <w:div w:id="2144152415">
          <w:marLeft w:val="0"/>
          <w:marRight w:val="0"/>
          <w:marTop w:val="0"/>
          <w:marBottom w:val="0"/>
          <w:divBdr>
            <w:top w:val="none" w:sz="0" w:space="0" w:color="auto"/>
            <w:left w:val="none" w:sz="0" w:space="0" w:color="auto"/>
            <w:bottom w:val="none" w:sz="0" w:space="0" w:color="auto"/>
            <w:right w:val="none" w:sz="0" w:space="0" w:color="auto"/>
          </w:divBdr>
          <w:divsChild>
            <w:div w:id="220873897">
              <w:marLeft w:val="0"/>
              <w:marRight w:val="0"/>
              <w:marTop w:val="0"/>
              <w:marBottom w:val="0"/>
              <w:divBdr>
                <w:top w:val="none" w:sz="0" w:space="0" w:color="auto"/>
                <w:left w:val="none" w:sz="0" w:space="0" w:color="auto"/>
                <w:bottom w:val="none" w:sz="0" w:space="0" w:color="auto"/>
                <w:right w:val="none" w:sz="0" w:space="0" w:color="auto"/>
              </w:divBdr>
            </w:div>
            <w:div w:id="265576588">
              <w:marLeft w:val="0"/>
              <w:marRight w:val="0"/>
              <w:marTop w:val="0"/>
              <w:marBottom w:val="0"/>
              <w:divBdr>
                <w:top w:val="none" w:sz="0" w:space="0" w:color="auto"/>
                <w:left w:val="none" w:sz="0" w:space="0" w:color="auto"/>
                <w:bottom w:val="none" w:sz="0" w:space="0" w:color="auto"/>
                <w:right w:val="none" w:sz="0" w:space="0" w:color="auto"/>
              </w:divBdr>
            </w:div>
            <w:div w:id="292753543">
              <w:marLeft w:val="0"/>
              <w:marRight w:val="0"/>
              <w:marTop w:val="0"/>
              <w:marBottom w:val="0"/>
              <w:divBdr>
                <w:top w:val="none" w:sz="0" w:space="0" w:color="auto"/>
                <w:left w:val="none" w:sz="0" w:space="0" w:color="auto"/>
                <w:bottom w:val="none" w:sz="0" w:space="0" w:color="auto"/>
                <w:right w:val="none" w:sz="0" w:space="0" w:color="auto"/>
              </w:divBdr>
            </w:div>
            <w:div w:id="623540376">
              <w:marLeft w:val="0"/>
              <w:marRight w:val="0"/>
              <w:marTop w:val="0"/>
              <w:marBottom w:val="0"/>
              <w:divBdr>
                <w:top w:val="none" w:sz="0" w:space="0" w:color="auto"/>
                <w:left w:val="none" w:sz="0" w:space="0" w:color="auto"/>
                <w:bottom w:val="none" w:sz="0" w:space="0" w:color="auto"/>
                <w:right w:val="none" w:sz="0" w:space="0" w:color="auto"/>
              </w:divBdr>
            </w:div>
            <w:div w:id="641152575">
              <w:marLeft w:val="0"/>
              <w:marRight w:val="0"/>
              <w:marTop w:val="0"/>
              <w:marBottom w:val="0"/>
              <w:divBdr>
                <w:top w:val="none" w:sz="0" w:space="0" w:color="auto"/>
                <w:left w:val="none" w:sz="0" w:space="0" w:color="auto"/>
                <w:bottom w:val="none" w:sz="0" w:space="0" w:color="auto"/>
                <w:right w:val="none" w:sz="0" w:space="0" w:color="auto"/>
              </w:divBdr>
            </w:div>
            <w:div w:id="734159060">
              <w:marLeft w:val="0"/>
              <w:marRight w:val="0"/>
              <w:marTop w:val="0"/>
              <w:marBottom w:val="0"/>
              <w:divBdr>
                <w:top w:val="none" w:sz="0" w:space="0" w:color="auto"/>
                <w:left w:val="none" w:sz="0" w:space="0" w:color="auto"/>
                <w:bottom w:val="none" w:sz="0" w:space="0" w:color="auto"/>
                <w:right w:val="none" w:sz="0" w:space="0" w:color="auto"/>
              </w:divBdr>
            </w:div>
            <w:div w:id="755327166">
              <w:marLeft w:val="0"/>
              <w:marRight w:val="0"/>
              <w:marTop w:val="0"/>
              <w:marBottom w:val="0"/>
              <w:divBdr>
                <w:top w:val="none" w:sz="0" w:space="0" w:color="auto"/>
                <w:left w:val="none" w:sz="0" w:space="0" w:color="auto"/>
                <w:bottom w:val="none" w:sz="0" w:space="0" w:color="auto"/>
                <w:right w:val="none" w:sz="0" w:space="0" w:color="auto"/>
              </w:divBdr>
            </w:div>
            <w:div w:id="986982013">
              <w:marLeft w:val="0"/>
              <w:marRight w:val="0"/>
              <w:marTop w:val="0"/>
              <w:marBottom w:val="0"/>
              <w:divBdr>
                <w:top w:val="none" w:sz="0" w:space="0" w:color="auto"/>
                <w:left w:val="none" w:sz="0" w:space="0" w:color="auto"/>
                <w:bottom w:val="none" w:sz="0" w:space="0" w:color="auto"/>
                <w:right w:val="none" w:sz="0" w:space="0" w:color="auto"/>
              </w:divBdr>
            </w:div>
            <w:div w:id="1325472129">
              <w:marLeft w:val="0"/>
              <w:marRight w:val="0"/>
              <w:marTop w:val="0"/>
              <w:marBottom w:val="0"/>
              <w:divBdr>
                <w:top w:val="none" w:sz="0" w:space="0" w:color="auto"/>
                <w:left w:val="none" w:sz="0" w:space="0" w:color="auto"/>
                <w:bottom w:val="none" w:sz="0" w:space="0" w:color="auto"/>
                <w:right w:val="none" w:sz="0" w:space="0" w:color="auto"/>
              </w:divBdr>
            </w:div>
            <w:div w:id="1559052080">
              <w:marLeft w:val="0"/>
              <w:marRight w:val="0"/>
              <w:marTop w:val="0"/>
              <w:marBottom w:val="0"/>
              <w:divBdr>
                <w:top w:val="none" w:sz="0" w:space="0" w:color="auto"/>
                <w:left w:val="none" w:sz="0" w:space="0" w:color="auto"/>
                <w:bottom w:val="none" w:sz="0" w:space="0" w:color="auto"/>
                <w:right w:val="none" w:sz="0" w:space="0" w:color="auto"/>
              </w:divBdr>
            </w:div>
            <w:div w:id="1629581682">
              <w:marLeft w:val="0"/>
              <w:marRight w:val="0"/>
              <w:marTop w:val="0"/>
              <w:marBottom w:val="0"/>
              <w:divBdr>
                <w:top w:val="none" w:sz="0" w:space="0" w:color="auto"/>
                <w:left w:val="none" w:sz="0" w:space="0" w:color="auto"/>
                <w:bottom w:val="none" w:sz="0" w:space="0" w:color="auto"/>
                <w:right w:val="none" w:sz="0" w:space="0" w:color="auto"/>
              </w:divBdr>
            </w:div>
            <w:div w:id="1785883231">
              <w:marLeft w:val="0"/>
              <w:marRight w:val="0"/>
              <w:marTop w:val="0"/>
              <w:marBottom w:val="0"/>
              <w:divBdr>
                <w:top w:val="none" w:sz="0" w:space="0" w:color="auto"/>
                <w:left w:val="none" w:sz="0" w:space="0" w:color="auto"/>
                <w:bottom w:val="none" w:sz="0" w:space="0" w:color="auto"/>
                <w:right w:val="none" w:sz="0" w:space="0" w:color="auto"/>
              </w:divBdr>
            </w:div>
            <w:div w:id="1803959480">
              <w:marLeft w:val="0"/>
              <w:marRight w:val="0"/>
              <w:marTop w:val="0"/>
              <w:marBottom w:val="0"/>
              <w:divBdr>
                <w:top w:val="none" w:sz="0" w:space="0" w:color="auto"/>
                <w:left w:val="none" w:sz="0" w:space="0" w:color="auto"/>
                <w:bottom w:val="none" w:sz="0" w:space="0" w:color="auto"/>
                <w:right w:val="none" w:sz="0" w:space="0" w:color="auto"/>
              </w:divBdr>
            </w:div>
            <w:div w:id="1914925671">
              <w:marLeft w:val="0"/>
              <w:marRight w:val="0"/>
              <w:marTop w:val="0"/>
              <w:marBottom w:val="0"/>
              <w:divBdr>
                <w:top w:val="none" w:sz="0" w:space="0" w:color="auto"/>
                <w:left w:val="none" w:sz="0" w:space="0" w:color="auto"/>
                <w:bottom w:val="none" w:sz="0" w:space="0" w:color="auto"/>
                <w:right w:val="none" w:sz="0" w:space="0" w:color="auto"/>
              </w:divBdr>
            </w:div>
            <w:div w:id="1921020836">
              <w:marLeft w:val="0"/>
              <w:marRight w:val="0"/>
              <w:marTop w:val="0"/>
              <w:marBottom w:val="0"/>
              <w:divBdr>
                <w:top w:val="none" w:sz="0" w:space="0" w:color="auto"/>
                <w:left w:val="none" w:sz="0" w:space="0" w:color="auto"/>
                <w:bottom w:val="none" w:sz="0" w:space="0" w:color="auto"/>
                <w:right w:val="none" w:sz="0" w:space="0" w:color="auto"/>
              </w:divBdr>
            </w:div>
            <w:div w:id="1943222689">
              <w:marLeft w:val="0"/>
              <w:marRight w:val="0"/>
              <w:marTop w:val="0"/>
              <w:marBottom w:val="0"/>
              <w:divBdr>
                <w:top w:val="none" w:sz="0" w:space="0" w:color="auto"/>
                <w:left w:val="none" w:sz="0" w:space="0" w:color="auto"/>
                <w:bottom w:val="none" w:sz="0" w:space="0" w:color="auto"/>
                <w:right w:val="none" w:sz="0" w:space="0" w:color="auto"/>
              </w:divBdr>
            </w:div>
            <w:div w:id="208086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2827">
      <w:bodyDiv w:val="1"/>
      <w:marLeft w:val="0"/>
      <w:marRight w:val="0"/>
      <w:marTop w:val="0"/>
      <w:marBottom w:val="0"/>
      <w:divBdr>
        <w:top w:val="none" w:sz="0" w:space="0" w:color="auto"/>
        <w:left w:val="none" w:sz="0" w:space="0" w:color="auto"/>
        <w:bottom w:val="none" w:sz="0" w:space="0" w:color="auto"/>
        <w:right w:val="none" w:sz="0" w:space="0" w:color="auto"/>
      </w:divBdr>
      <w:divsChild>
        <w:div w:id="8602802">
          <w:marLeft w:val="0"/>
          <w:marRight w:val="0"/>
          <w:marTop w:val="0"/>
          <w:marBottom w:val="0"/>
          <w:divBdr>
            <w:top w:val="none" w:sz="0" w:space="0" w:color="auto"/>
            <w:left w:val="none" w:sz="0" w:space="0" w:color="auto"/>
            <w:bottom w:val="none" w:sz="0" w:space="0" w:color="auto"/>
            <w:right w:val="none" w:sz="0" w:space="0" w:color="auto"/>
          </w:divBdr>
        </w:div>
        <w:div w:id="176584220">
          <w:marLeft w:val="0"/>
          <w:marRight w:val="0"/>
          <w:marTop w:val="0"/>
          <w:marBottom w:val="0"/>
          <w:divBdr>
            <w:top w:val="none" w:sz="0" w:space="0" w:color="auto"/>
            <w:left w:val="none" w:sz="0" w:space="0" w:color="auto"/>
            <w:bottom w:val="none" w:sz="0" w:space="0" w:color="auto"/>
            <w:right w:val="none" w:sz="0" w:space="0" w:color="auto"/>
          </w:divBdr>
        </w:div>
        <w:div w:id="176770749">
          <w:marLeft w:val="0"/>
          <w:marRight w:val="0"/>
          <w:marTop w:val="0"/>
          <w:marBottom w:val="0"/>
          <w:divBdr>
            <w:top w:val="none" w:sz="0" w:space="0" w:color="auto"/>
            <w:left w:val="none" w:sz="0" w:space="0" w:color="auto"/>
            <w:bottom w:val="none" w:sz="0" w:space="0" w:color="auto"/>
            <w:right w:val="none" w:sz="0" w:space="0" w:color="auto"/>
          </w:divBdr>
        </w:div>
        <w:div w:id="208345718">
          <w:marLeft w:val="0"/>
          <w:marRight w:val="0"/>
          <w:marTop w:val="0"/>
          <w:marBottom w:val="0"/>
          <w:divBdr>
            <w:top w:val="none" w:sz="0" w:space="0" w:color="auto"/>
            <w:left w:val="none" w:sz="0" w:space="0" w:color="auto"/>
            <w:bottom w:val="none" w:sz="0" w:space="0" w:color="auto"/>
            <w:right w:val="none" w:sz="0" w:space="0" w:color="auto"/>
          </w:divBdr>
        </w:div>
        <w:div w:id="222758724">
          <w:marLeft w:val="0"/>
          <w:marRight w:val="0"/>
          <w:marTop w:val="0"/>
          <w:marBottom w:val="0"/>
          <w:divBdr>
            <w:top w:val="none" w:sz="0" w:space="0" w:color="auto"/>
            <w:left w:val="none" w:sz="0" w:space="0" w:color="auto"/>
            <w:bottom w:val="none" w:sz="0" w:space="0" w:color="auto"/>
            <w:right w:val="none" w:sz="0" w:space="0" w:color="auto"/>
          </w:divBdr>
        </w:div>
        <w:div w:id="316307042">
          <w:marLeft w:val="0"/>
          <w:marRight w:val="0"/>
          <w:marTop w:val="0"/>
          <w:marBottom w:val="0"/>
          <w:divBdr>
            <w:top w:val="none" w:sz="0" w:space="0" w:color="auto"/>
            <w:left w:val="none" w:sz="0" w:space="0" w:color="auto"/>
            <w:bottom w:val="none" w:sz="0" w:space="0" w:color="auto"/>
            <w:right w:val="none" w:sz="0" w:space="0" w:color="auto"/>
          </w:divBdr>
        </w:div>
        <w:div w:id="330379604">
          <w:marLeft w:val="0"/>
          <w:marRight w:val="0"/>
          <w:marTop w:val="0"/>
          <w:marBottom w:val="0"/>
          <w:divBdr>
            <w:top w:val="none" w:sz="0" w:space="0" w:color="auto"/>
            <w:left w:val="none" w:sz="0" w:space="0" w:color="auto"/>
            <w:bottom w:val="none" w:sz="0" w:space="0" w:color="auto"/>
            <w:right w:val="none" w:sz="0" w:space="0" w:color="auto"/>
          </w:divBdr>
        </w:div>
        <w:div w:id="350959026">
          <w:marLeft w:val="0"/>
          <w:marRight w:val="0"/>
          <w:marTop w:val="0"/>
          <w:marBottom w:val="0"/>
          <w:divBdr>
            <w:top w:val="none" w:sz="0" w:space="0" w:color="auto"/>
            <w:left w:val="none" w:sz="0" w:space="0" w:color="auto"/>
            <w:bottom w:val="none" w:sz="0" w:space="0" w:color="auto"/>
            <w:right w:val="none" w:sz="0" w:space="0" w:color="auto"/>
          </w:divBdr>
        </w:div>
        <w:div w:id="357244142">
          <w:marLeft w:val="0"/>
          <w:marRight w:val="0"/>
          <w:marTop w:val="0"/>
          <w:marBottom w:val="0"/>
          <w:divBdr>
            <w:top w:val="none" w:sz="0" w:space="0" w:color="auto"/>
            <w:left w:val="none" w:sz="0" w:space="0" w:color="auto"/>
            <w:bottom w:val="none" w:sz="0" w:space="0" w:color="auto"/>
            <w:right w:val="none" w:sz="0" w:space="0" w:color="auto"/>
          </w:divBdr>
        </w:div>
        <w:div w:id="359087952">
          <w:marLeft w:val="0"/>
          <w:marRight w:val="0"/>
          <w:marTop w:val="0"/>
          <w:marBottom w:val="0"/>
          <w:divBdr>
            <w:top w:val="none" w:sz="0" w:space="0" w:color="auto"/>
            <w:left w:val="none" w:sz="0" w:space="0" w:color="auto"/>
            <w:bottom w:val="none" w:sz="0" w:space="0" w:color="auto"/>
            <w:right w:val="none" w:sz="0" w:space="0" w:color="auto"/>
          </w:divBdr>
        </w:div>
        <w:div w:id="403844543">
          <w:marLeft w:val="0"/>
          <w:marRight w:val="0"/>
          <w:marTop w:val="0"/>
          <w:marBottom w:val="0"/>
          <w:divBdr>
            <w:top w:val="none" w:sz="0" w:space="0" w:color="auto"/>
            <w:left w:val="none" w:sz="0" w:space="0" w:color="auto"/>
            <w:bottom w:val="none" w:sz="0" w:space="0" w:color="auto"/>
            <w:right w:val="none" w:sz="0" w:space="0" w:color="auto"/>
          </w:divBdr>
        </w:div>
        <w:div w:id="406728032">
          <w:marLeft w:val="0"/>
          <w:marRight w:val="0"/>
          <w:marTop w:val="0"/>
          <w:marBottom w:val="0"/>
          <w:divBdr>
            <w:top w:val="none" w:sz="0" w:space="0" w:color="auto"/>
            <w:left w:val="none" w:sz="0" w:space="0" w:color="auto"/>
            <w:bottom w:val="none" w:sz="0" w:space="0" w:color="auto"/>
            <w:right w:val="none" w:sz="0" w:space="0" w:color="auto"/>
          </w:divBdr>
        </w:div>
        <w:div w:id="410856533">
          <w:marLeft w:val="0"/>
          <w:marRight w:val="0"/>
          <w:marTop w:val="0"/>
          <w:marBottom w:val="0"/>
          <w:divBdr>
            <w:top w:val="none" w:sz="0" w:space="0" w:color="auto"/>
            <w:left w:val="none" w:sz="0" w:space="0" w:color="auto"/>
            <w:bottom w:val="none" w:sz="0" w:space="0" w:color="auto"/>
            <w:right w:val="none" w:sz="0" w:space="0" w:color="auto"/>
          </w:divBdr>
        </w:div>
        <w:div w:id="472677031">
          <w:marLeft w:val="0"/>
          <w:marRight w:val="0"/>
          <w:marTop w:val="0"/>
          <w:marBottom w:val="0"/>
          <w:divBdr>
            <w:top w:val="none" w:sz="0" w:space="0" w:color="auto"/>
            <w:left w:val="none" w:sz="0" w:space="0" w:color="auto"/>
            <w:bottom w:val="none" w:sz="0" w:space="0" w:color="auto"/>
            <w:right w:val="none" w:sz="0" w:space="0" w:color="auto"/>
          </w:divBdr>
        </w:div>
        <w:div w:id="544216179">
          <w:marLeft w:val="0"/>
          <w:marRight w:val="0"/>
          <w:marTop w:val="0"/>
          <w:marBottom w:val="0"/>
          <w:divBdr>
            <w:top w:val="none" w:sz="0" w:space="0" w:color="auto"/>
            <w:left w:val="none" w:sz="0" w:space="0" w:color="auto"/>
            <w:bottom w:val="none" w:sz="0" w:space="0" w:color="auto"/>
            <w:right w:val="none" w:sz="0" w:space="0" w:color="auto"/>
          </w:divBdr>
        </w:div>
        <w:div w:id="588730730">
          <w:marLeft w:val="0"/>
          <w:marRight w:val="0"/>
          <w:marTop w:val="0"/>
          <w:marBottom w:val="0"/>
          <w:divBdr>
            <w:top w:val="none" w:sz="0" w:space="0" w:color="auto"/>
            <w:left w:val="none" w:sz="0" w:space="0" w:color="auto"/>
            <w:bottom w:val="none" w:sz="0" w:space="0" w:color="auto"/>
            <w:right w:val="none" w:sz="0" w:space="0" w:color="auto"/>
          </w:divBdr>
        </w:div>
        <w:div w:id="619187138">
          <w:marLeft w:val="0"/>
          <w:marRight w:val="0"/>
          <w:marTop w:val="0"/>
          <w:marBottom w:val="0"/>
          <w:divBdr>
            <w:top w:val="none" w:sz="0" w:space="0" w:color="auto"/>
            <w:left w:val="none" w:sz="0" w:space="0" w:color="auto"/>
            <w:bottom w:val="none" w:sz="0" w:space="0" w:color="auto"/>
            <w:right w:val="none" w:sz="0" w:space="0" w:color="auto"/>
          </w:divBdr>
        </w:div>
        <w:div w:id="628165260">
          <w:marLeft w:val="0"/>
          <w:marRight w:val="0"/>
          <w:marTop w:val="0"/>
          <w:marBottom w:val="0"/>
          <w:divBdr>
            <w:top w:val="none" w:sz="0" w:space="0" w:color="auto"/>
            <w:left w:val="none" w:sz="0" w:space="0" w:color="auto"/>
            <w:bottom w:val="none" w:sz="0" w:space="0" w:color="auto"/>
            <w:right w:val="none" w:sz="0" w:space="0" w:color="auto"/>
          </w:divBdr>
        </w:div>
        <w:div w:id="641273261">
          <w:marLeft w:val="0"/>
          <w:marRight w:val="0"/>
          <w:marTop w:val="0"/>
          <w:marBottom w:val="0"/>
          <w:divBdr>
            <w:top w:val="none" w:sz="0" w:space="0" w:color="auto"/>
            <w:left w:val="none" w:sz="0" w:space="0" w:color="auto"/>
            <w:bottom w:val="none" w:sz="0" w:space="0" w:color="auto"/>
            <w:right w:val="none" w:sz="0" w:space="0" w:color="auto"/>
          </w:divBdr>
        </w:div>
        <w:div w:id="668171414">
          <w:marLeft w:val="0"/>
          <w:marRight w:val="0"/>
          <w:marTop w:val="0"/>
          <w:marBottom w:val="0"/>
          <w:divBdr>
            <w:top w:val="none" w:sz="0" w:space="0" w:color="auto"/>
            <w:left w:val="none" w:sz="0" w:space="0" w:color="auto"/>
            <w:bottom w:val="none" w:sz="0" w:space="0" w:color="auto"/>
            <w:right w:val="none" w:sz="0" w:space="0" w:color="auto"/>
          </w:divBdr>
        </w:div>
        <w:div w:id="683097289">
          <w:marLeft w:val="0"/>
          <w:marRight w:val="0"/>
          <w:marTop w:val="0"/>
          <w:marBottom w:val="0"/>
          <w:divBdr>
            <w:top w:val="none" w:sz="0" w:space="0" w:color="auto"/>
            <w:left w:val="none" w:sz="0" w:space="0" w:color="auto"/>
            <w:bottom w:val="none" w:sz="0" w:space="0" w:color="auto"/>
            <w:right w:val="none" w:sz="0" w:space="0" w:color="auto"/>
          </w:divBdr>
        </w:div>
        <w:div w:id="704141928">
          <w:marLeft w:val="0"/>
          <w:marRight w:val="0"/>
          <w:marTop w:val="0"/>
          <w:marBottom w:val="0"/>
          <w:divBdr>
            <w:top w:val="none" w:sz="0" w:space="0" w:color="auto"/>
            <w:left w:val="none" w:sz="0" w:space="0" w:color="auto"/>
            <w:bottom w:val="none" w:sz="0" w:space="0" w:color="auto"/>
            <w:right w:val="none" w:sz="0" w:space="0" w:color="auto"/>
          </w:divBdr>
        </w:div>
        <w:div w:id="711349161">
          <w:marLeft w:val="0"/>
          <w:marRight w:val="0"/>
          <w:marTop w:val="0"/>
          <w:marBottom w:val="0"/>
          <w:divBdr>
            <w:top w:val="none" w:sz="0" w:space="0" w:color="auto"/>
            <w:left w:val="none" w:sz="0" w:space="0" w:color="auto"/>
            <w:bottom w:val="none" w:sz="0" w:space="0" w:color="auto"/>
            <w:right w:val="none" w:sz="0" w:space="0" w:color="auto"/>
          </w:divBdr>
        </w:div>
        <w:div w:id="712851686">
          <w:marLeft w:val="0"/>
          <w:marRight w:val="0"/>
          <w:marTop w:val="0"/>
          <w:marBottom w:val="0"/>
          <w:divBdr>
            <w:top w:val="none" w:sz="0" w:space="0" w:color="auto"/>
            <w:left w:val="none" w:sz="0" w:space="0" w:color="auto"/>
            <w:bottom w:val="none" w:sz="0" w:space="0" w:color="auto"/>
            <w:right w:val="none" w:sz="0" w:space="0" w:color="auto"/>
          </w:divBdr>
        </w:div>
        <w:div w:id="722173120">
          <w:marLeft w:val="0"/>
          <w:marRight w:val="0"/>
          <w:marTop w:val="0"/>
          <w:marBottom w:val="0"/>
          <w:divBdr>
            <w:top w:val="none" w:sz="0" w:space="0" w:color="auto"/>
            <w:left w:val="none" w:sz="0" w:space="0" w:color="auto"/>
            <w:bottom w:val="none" w:sz="0" w:space="0" w:color="auto"/>
            <w:right w:val="none" w:sz="0" w:space="0" w:color="auto"/>
          </w:divBdr>
        </w:div>
        <w:div w:id="722758317">
          <w:marLeft w:val="0"/>
          <w:marRight w:val="0"/>
          <w:marTop w:val="0"/>
          <w:marBottom w:val="0"/>
          <w:divBdr>
            <w:top w:val="none" w:sz="0" w:space="0" w:color="auto"/>
            <w:left w:val="none" w:sz="0" w:space="0" w:color="auto"/>
            <w:bottom w:val="none" w:sz="0" w:space="0" w:color="auto"/>
            <w:right w:val="none" w:sz="0" w:space="0" w:color="auto"/>
          </w:divBdr>
          <w:divsChild>
            <w:div w:id="2021856168">
              <w:marLeft w:val="-75"/>
              <w:marRight w:val="0"/>
              <w:marTop w:val="30"/>
              <w:marBottom w:val="30"/>
              <w:divBdr>
                <w:top w:val="none" w:sz="0" w:space="0" w:color="auto"/>
                <w:left w:val="none" w:sz="0" w:space="0" w:color="auto"/>
                <w:bottom w:val="none" w:sz="0" w:space="0" w:color="auto"/>
                <w:right w:val="none" w:sz="0" w:space="0" w:color="auto"/>
              </w:divBdr>
              <w:divsChild>
                <w:div w:id="76638868">
                  <w:marLeft w:val="0"/>
                  <w:marRight w:val="0"/>
                  <w:marTop w:val="0"/>
                  <w:marBottom w:val="0"/>
                  <w:divBdr>
                    <w:top w:val="none" w:sz="0" w:space="0" w:color="auto"/>
                    <w:left w:val="none" w:sz="0" w:space="0" w:color="auto"/>
                    <w:bottom w:val="none" w:sz="0" w:space="0" w:color="auto"/>
                    <w:right w:val="none" w:sz="0" w:space="0" w:color="auto"/>
                  </w:divBdr>
                  <w:divsChild>
                    <w:div w:id="792551921">
                      <w:marLeft w:val="0"/>
                      <w:marRight w:val="0"/>
                      <w:marTop w:val="0"/>
                      <w:marBottom w:val="0"/>
                      <w:divBdr>
                        <w:top w:val="none" w:sz="0" w:space="0" w:color="auto"/>
                        <w:left w:val="none" w:sz="0" w:space="0" w:color="auto"/>
                        <w:bottom w:val="none" w:sz="0" w:space="0" w:color="auto"/>
                        <w:right w:val="none" w:sz="0" w:space="0" w:color="auto"/>
                      </w:divBdr>
                    </w:div>
                  </w:divsChild>
                </w:div>
                <w:div w:id="101732119">
                  <w:marLeft w:val="0"/>
                  <w:marRight w:val="0"/>
                  <w:marTop w:val="0"/>
                  <w:marBottom w:val="0"/>
                  <w:divBdr>
                    <w:top w:val="none" w:sz="0" w:space="0" w:color="auto"/>
                    <w:left w:val="none" w:sz="0" w:space="0" w:color="auto"/>
                    <w:bottom w:val="none" w:sz="0" w:space="0" w:color="auto"/>
                    <w:right w:val="none" w:sz="0" w:space="0" w:color="auto"/>
                  </w:divBdr>
                  <w:divsChild>
                    <w:div w:id="938367523">
                      <w:marLeft w:val="0"/>
                      <w:marRight w:val="0"/>
                      <w:marTop w:val="0"/>
                      <w:marBottom w:val="0"/>
                      <w:divBdr>
                        <w:top w:val="none" w:sz="0" w:space="0" w:color="auto"/>
                        <w:left w:val="none" w:sz="0" w:space="0" w:color="auto"/>
                        <w:bottom w:val="none" w:sz="0" w:space="0" w:color="auto"/>
                        <w:right w:val="none" w:sz="0" w:space="0" w:color="auto"/>
                      </w:divBdr>
                    </w:div>
                  </w:divsChild>
                </w:div>
                <w:div w:id="330108610">
                  <w:marLeft w:val="0"/>
                  <w:marRight w:val="0"/>
                  <w:marTop w:val="0"/>
                  <w:marBottom w:val="0"/>
                  <w:divBdr>
                    <w:top w:val="none" w:sz="0" w:space="0" w:color="auto"/>
                    <w:left w:val="none" w:sz="0" w:space="0" w:color="auto"/>
                    <w:bottom w:val="none" w:sz="0" w:space="0" w:color="auto"/>
                    <w:right w:val="none" w:sz="0" w:space="0" w:color="auto"/>
                  </w:divBdr>
                  <w:divsChild>
                    <w:div w:id="909846238">
                      <w:marLeft w:val="0"/>
                      <w:marRight w:val="0"/>
                      <w:marTop w:val="0"/>
                      <w:marBottom w:val="0"/>
                      <w:divBdr>
                        <w:top w:val="none" w:sz="0" w:space="0" w:color="auto"/>
                        <w:left w:val="none" w:sz="0" w:space="0" w:color="auto"/>
                        <w:bottom w:val="none" w:sz="0" w:space="0" w:color="auto"/>
                        <w:right w:val="none" w:sz="0" w:space="0" w:color="auto"/>
                      </w:divBdr>
                    </w:div>
                  </w:divsChild>
                </w:div>
                <w:div w:id="354772922">
                  <w:marLeft w:val="0"/>
                  <w:marRight w:val="0"/>
                  <w:marTop w:val="0"/>
                  <w:marBottom w:val="0"/>
                  <w:divBdr>
                    <w:top w:val="none" w:sz="0" w:space="0" w:color="auto"/>
                    <w:left w:val="none" w:sz="0" w:space="0" w:color="auto"/>
                    <w:bottom w:val="none" w:sz="0" w:space="0" w:color="auto"/>
                    <w:right w:val="none" w:sz="0" w:space="0" w:color="auto"/>
                  </w:divBdr>
                  <w:divsChild>
                    <w:div w:id="1449203804">
                      <w:marLeft w:val="0"/>
                      <w:marRight w:val="0"/>
                      <w:marTop w:val="0"/>
                      <w:marBottom w:val="0"/>
                      <w:divBdr>
                        <w:top w:val="none" w:sz="0" w:space="0" w:color="auto"/>
                        <w:left w:val="none" w:sz="0" w:space="0" w:color="auto"/>
                        <w:bottom w:val="none" w:sz="0" w:space="0" w:color="auto"/>
                        <w:right w:val="none" w:sz="0" w:space="0" w:color="auto"/>
                      </w:divBdr>
                    </w:div>
                  </w:divsChild>
                </w:div>
                <w:div w:id="425884947">
                  <w:marLeft w:val="0"/>
                  <w:marRight w:val="0"/>
                  <w:marTop w:val="0"/>
                  <w:marBottom w:val="0"/>
                  <w:divBdr>
                    <w:top w:val="none" w:sz="0" w:space="0" w:color="auto"/>
                    <w:left w:val="none" w:sz="0" w:space="0" w:color="auto"/>
                    <w:bottom w:val="none" w:sz="0" w:space="0" w:color="auto"/>
                    <w:right w:val="none" w:sz="0" w:space="0" w:color="auto"/>
                  </w:divBdr>
                  <w:divsChild>
                    <w:div w:id="1949307839">
                      <w:marLeft w:val="0"/>
                      <w:marRight w:val="0"/>
                      <w:marTop w:val="0"/>
                      <w:marBottom w:val="0"/>
                      <w:divBdr>
                        <w:top w:val="none" w:sz="0" w:space="0" w:color="auto"/>
                        <w:left w:val="none" w:sz="0" w:space="0" w:color="auto"/>
                        <w:bottom w:val="none" w:sz="0" w:space="0" w:color="auto"/>
                        <w:right w:val="none" w:sz="0" w:space="0" w:color="auto"/>
                      </w:divBdr>
                    </w:div>
                  </w:divsChild>
                </w:div>
                <w:div w:id="459997387">
                  <w:marLeft w:val="0"/>
                  <w:marRight w:val="0"/>
                  <w:marTop w:val="0"/>
                  <w:marBottom w:val="0"/>
                  <w:divBdr>
                    <w:top w:val="none" w:sz="0" w:space="0" w:color="auto"/>
                    <w:left w:val="none" w:sz="0" w:space="0" w:color="auto"/>
                    <w:bottom w:val="none" w:sz="0" w:space="0" w:color="auto"/>
                    <w:right w:val="none" w:sz="0" w:space="0" w:color="auto"/>
                  </w:divBdr>
                  <w:divsChild>
                    <w:div w:id="1070151274">
                      <w:marLeft w:val="0"/>
                      <w:marRight w:val="0"/>
                      <w:marTop w:val="0"/>
                      <w:marBottom w:val="0"/>
                      <w:divBdr>
                        <w:top w:val="none" w:sz="0" w:space="0" w:color="auto"/>
                        <w:left w:val="none" w:sz="0" w:space="0" w:color="auto"/>
                        <w:bottom w:val="none" w:sz="0" w:space="0" w:color="auto"/>
                        <w:right w:val="none" w:sz="0" w:space="0" w:color="auto"/>
                      </w:divBdr>
                    </w:div>
                  </w:divsChild>
                </w:div>
                <w:div w:id="556282754">
                  <w:marLeft w:val="0"/>
                  <w:marRight w:val="0"/>
                  <w:marTop w:val="0"/>
                  <w:marBottom w:val="0"/>
                  <w:divBdr>
                    <w:top w:val="none" w:sz="0" w:space="0" w:color="auto"/>
                    <w:left w:val="none" w:sz="0" w:space="0" w:color="auto"/>
                    <w:bottom w:val="none" w:sz="0" w:space="0" w:color="auto"/>
                    <w:right w:val="none" w:sz="0" w:space="0" w:color="auto"/>
                  </w:divBdr>
                  <w:divsChild>
                    <w:div w:id="1586378977">
                      <w:marLeft w:val="0"/>
                      <w:marRight w:val="0"/>
                      <w:marTop w:val="0"/>
                      <w:marBottom w:val="0"/>
                      <w:divBdr>
                        <w:top w:val="none" w:sz="0" w:space="0" w:color="auto"/>
                        <w:left w:val="none" w:sz="0" w:space="0" w:color="auto"/>
                        <w:bottom w:val="none" w:sz="0" w:space="0" w:color="auto"/>
                        <w:right w:val="none" w:sz="0" w:space="0" w:color="auto"/>
                      </w:divBdr>
                    </w:div>
                  </w:divsChild>
                </w:div>
                <w:div w:id="571429419">
                  <w:marLeft w:val="0"/>
                  <w:marRight w:val="0"/>
                  <w:marTop w:val="0"/>
                  <w:marBottom w:val="0"/>
                  <w:divBdr>
                    <w:top w:val="none" w:sz="0" w:space="0" w:color="auto"/>
                    <w:left w:val="none" w:sz="0" w:space="0" w:color="auto"/>
                    <w:bottom w:val="none" w:sz="0" w:space="0" w:color="auto"/>
                    <w:right w:val="none" w:sz="0" w:space="0" w:color="auto"/>
                  </w:divBdr>
                  <w:divsChild>
                    <w:div w:id="1946644302">
                      <w:marLeft w:val="0"/>
                      <w:marRight w:val="0"/>
                      <w:marTop w:val="0"/>
                      <w:marBottom w:val="0"/>
                      <w:divBdr>
                        <w:top w:val="none" w:sz="0" w:space="0" w:color="auto"/>
                        <w:left w:val="none" w:sz="0" w:space="0" w:color="auto"/>
                        <w:bottom w:val="none" w:sz="0" w:space="0" w:color="auto"/>
                        <w:right w:val="none" w:sz="0" w:space="0" w:color="auto"/>
                      </w:divBdr>
                    </w:div>
                  </w:divsChild>
                </w:div>
                <w:div w:id="694691312">
                  <w:marLeft w:val="0"/>
                  <w:marRight w:val="0"/>
                  <w:marTop w:val="0"/>
                  <w:marBottom w:val="0"/>
                  <w:divBdr>
                    <w:top w:val="none" w:sz="0" w:space="0" w:color="auto"/>
                    <w:left w:val="none" w:sz="0" w:space="0" w:color="auto"/>
                    <w:bottom w:val="none" w:sz="0" w:space="0" w:color="auto"/>
                    <w:right w:val="none" w:sz="0" w:space="0" w:color="auto"/>
                  </w:divBdr>
                  <w:divsChild>
                    <w:div w:id="1674644909">
                      <w:marLeft w:val="0"/>
                      <w:marRight w:val="0"/>
                      <w:marTop w:val="0"/>
                      <w:marBottom w:val="0"/>
                      <w:divBdr>
                        <w:top w:val="none" w:sz="0" w:space="0" w:color="auto"/>
                        <w:left w:val="none" w:sz="0" w:space="0" w:color="auto"/>
                        <w:bottom w:val="none" w:sz="0" w:space="0" w:color="auto"/>
                        <w:right w:val="none" w:sz="0" w:space="0" w:color="auto"/>
                      </w:divBdr>
                    </w:div>
                  </w:divsChild>
                </w:div>
                <w:div w:id="714545438">
                  <w:marLeft w:val="0"/>
                  <w:marRight w:val="0"/>
                  <w:marTop w:val="0"/>
                  <w:marBottom w:val="0"/>
                  <w:divBdr>
                    <w:top w:val="none" w:sz="0" w:space="0" w:color="auto"/>
                    <w:left w:val="none" w:sz="0" w:space="0" w:color="auto"/>
                    <w:bottom w:val="none" w:sz="0" w:space="0" w:color="auto"/>
                    <w:right w:val="none" w:sz="0" w:space="0" w:color="auto"/>
                  </w:divBdr>
                  <w:divsChild>
                    <w:div w:id="2068794838">
                      <w:marLeft w:val="0"/>
                      <w:marRight w:val="0"/>
                      <w:marTop w:val="0"/>
                      <w:marBottom w:val="0"/>
                      <w:divBdr>
                        <w:top w:val="none" w:sz="0" w:space="0" w:color="auto"/>
                        <w:left w:val="none" w:sz="0" w:space="0" w:color="auto"/>
                        <w:bottom w:val="none" w:sz="0" w:space="0" w:color="auto"/>
                        <w:right w:val="none" w:sz="0" w:space="0" w:color="auto"/>
                      </w:divBdr>
                    </w:div>
                  </w:divsChild>
                </w:div>
                <w:div w:id="736900883">
                  <w:marLeft w:val="0"/>
                  <w:marRight w:val="0"/>
                  <w:marTop w:val="0"/>
                  <w:marBottom w:val="0"/>
                  <w:divBdr>
                    <w:top w:val="none" w:sz="0" w:space="0" w:color="auto"/>
                    <w:left w:val="none" w:sz="0" w:space="0" w:color="auto"/>
                    <w:bottom w:val="none" w:sz="0" w:space="0" w:color="auto"/>
                    <w:right w:val="none" w:sz="0" w:space="0" w:color="auto"/>
                  </w:divBdr>
                  <w:divsChild>
                    <w:div w:id="129245764">
                      <w:marLeft w:val="0"/>
                      <w:marRight w:val="0"/>
                      <w:marTop w:val="0"/>
                      <w:marBottom w:val="0"/>
                      <w:divBdr>
                        <w:top w:val="none" w:sz="0" w:space="0" w:color="auto"/>
                        <w:left w:val="none" w:sz="0" w:space="0" w:color="auto"/>
                        <w:bottom w:val="none" w:sz="0" w:space="0" w:color="auto"/>
                        <w:right w:val="none" w:sz="0" w:space="0" w:color="auto"/>
                      </w:divBdr>
                    </w:div>
                  </w:divsChild>
                </w:div>
                <w:div w:id="742920116">
                  <w:marLeft w:val="0"/>
                  <w:marRight w:val="0"/>
                  <w:marTop w:val="0"/>
                  <w:marBottom w:val="0"/>
                  <w:divBdr>
                    <w:top w:val="none" w:sz="0" w:space="0" w:color="auto"/>
                    <w:left w:val="none" w:sz="0" w:space="0" w:color="auto"/>
                    <w:bottom w:val="none" w:sz="0" w:space="0" w:color="auto"/>
                    <w:right w:val="none" w:sz="0" w:space="0" w:color="auto"/>
                  </w:divBdr>
                  <w:divsChild>
                    <w:div w:id="2077968370">
                      <w:marLeft w:val="0"/>
                      <w:marRight w:val="0"/>
                      <w:marTop w:val="0"/>
                      <w:marBottom w:val="0"/>
                      <w:divBdr>
                        <w:top w:val="none" w:sz="0" w:space="0" w:color="auto"/>
                        <w:left w:val="none" w:sz="0" w:space="0" w:color="auto"/>
                        <w:bottom w:val="none" w:sz="0" w:space="0" w:color="auto"/>
                        <w:right w:val="none" w:sz="0" w:space="0" w:color="auto"/>
                      </w:divBdr>
                    </w:div>
                  </w:divsChild>
                </w:div>
                <w:div w:id="826824970">
                  <w:marLeft w:val="0"/>
                  <w:marRight w:val="0"/>
                  <w:marTop w:val="0"/>
                  <w:marBottom w:val="0"/>
                  <w:divBdr>
                    <w:top w:val="none" w:sz="0" w:space="0" w:color="auto"/>
                    <w:left w:val="none" w:sz="0" w:space="0" w:color="auto"/>
                    <w:bottom w:val="none" w:sz="0" w:space="0" w:color="auto"/>
                    <w:right w:val="none" w:sz="0" w:space="0" w:color="auto"/>
                  </w:divBdr>
                  <w:divsChild>
                    <w:div w:id="1871215612">
                      <w:marLeft w:val="0"/>
                      <w:marRight w:val="0"/>
                      <w:marTop w:val="0"/>
                      <w:marBottom w:val="0"/>
                      <w:divBdr>
                        <w:top w:val="none" w:sz="0" w:space="0" w:color="auto"/>
                        <w:left w:val="none" w:sz="0" w:space="0" w:color="auto"/>
                        <w:bottom w:val="none" w:sz="0" w:space="0" w:color="auto"/>
                        <w:right w:val="none" w:sz="0" w:space="0" w:color="auto"/>
                      </w:divBdr>
                    </w:div>
                  </w:divsChild>
                </w:div>
                <w:div w:id="856189369">
                  <w:marLeft w:val="0"/>
                  <w:marRight w:val="0"/>
                  <w:marTop w:val="0"/>
                  <w:marBottom w:val="0"/>
                  <w:divBdr>
                    <w:top w:val="none" w:sz="0" w:space="0" w:color="auto"/>
                    <w:left w:val="none" w:sz="0" w:space="0" w:color="auto"/>
                    <w:bottom w:val="none" w:sz="0" w:space="0" w:color="auto"/>
                    <w:right w:val="none" w:sz="0" w:space="0" w:color="auto"/>
                  </w:divBdr>
                  <w:divsChild>
                    <w:div w:id="1235700869">
                      <w:marLeft w:val="0"/>
                      <w:marRight w:val="0"/>
                      <w:marTop w:val="0"/>
                      <w:marBottom w:val="0"/>
                      <w:divBdr>
                        <w:top w:val="none" w:sz="0" w:space="0" w:color="auto"/>
                        <w:left w:val="none" w:sz="0" w:space="0" w:color="auto"/>
                        <w:bottom w:val="none" w:sz="0" w:space="0" w:color="auto"/>
                        <w:right w:val="none" w:sz="0" w:space="0" w:color="auto"/>
                      </w:divBdr>
                    </w:div>
                  </w:divsChild>
                </w:div>
                <w:div w:id="886183567">
                  <w:marLeft w:val="0"/>
                  <w:marRight w:val="0"/>
                  <w:marTop w:val="0"/>
                  <w:marBottom w:val="0"/>
                  <w:divBdr>
                    <w:top w:val="none" w:sz="0" w:space="0" w:color="auto"/>
                    <w:left w:val="none" w:sz="0" w:space="0" w:color="auto"/>
                    <w:bottom w:val="none" w:sz="0" w:space="0" w:color="auto"/>
                    <w:right w:val="none" w:sz="0" w:space="0" w:color="auto"/>
                  </w:divBdr>
                  <w:divsChild>
                    <w:div w:id="710962575">
                      <w:marLeft w:val="0"/>
                      <w:marRight w:val="0"/>
                      <w:marTop w:val="0"/>
                      <w:marBottom w:val="0"/>
                      <w:divBdr>
                        <w:top w:val="none" w:sz="0" w:space="0" w:color="auto"/>
                        <w:left w:val="none" w:sz="0" w:space="0" w:color="auto"/>
                        <w:bottom w:val="none" w:sz="0" w:space="0" w:color="auto"/>
                        <w:right w:val="none" w:sz="0" w:space="0" w:color="auto"/>
                      </w:divBdr>
                    </w:div>
                  </w:divsChild>
                </w:div>
                <w:div w:id="940146641">
                  <w:marLeft w:val="0"/>
                  <w:marRight w:val="0"/>
                  <w:marTop w:val="0"/>
                  <w:marBottom w:val="0"/>
                  <w:divBdr>
                    <w:top w:val="none" w:sz="0" w:space="0" w:color="auto"/>
                    <w:left w:val="none" w:sz="0" w:space="0" w:color="auto"/>
                    <w:bottom w:val="none" w:sz="0" w:space="0" w:color="auto"/>
                    <w:right w:val="none" w:sz="0" w:space="0" w:color="auto"/>
                  </w:divBdr>
                  <w:divsChild>
                    <w:div w:id="1793357780">
                      <w:marLeft w:val="0"/>
                      <w:marRight w:val="0"/>
                      <w:marTop w:val="0"/>
                      <w:marBottom w:val="0"/>
                      <w:divBdr>
                        <w:top w:val="none" w:sz="0" w:space="0" w:color="auto"/>
                        <w:left w:val="none" w:sz="0" w:space="0" w:color="auto"/>
                        <w:bottom w:val="none" w:sz="0" w:space="0" w:color="auto"/>
                        <w:right w:val="none" w:sz="0" w:space="0" w:color="auto"/>
                      </w:divBdr>
                    </w:div>
                  </w:divsChild>
                </w:div>
                <w:div w:id="1042822796">
                  <w:marLeft w:val="0"/>
                  <w:marRight w:val="0"/>
                  <w:marTop w:val="0"/>
                  <w:marBottom w:val="0"/>
                  <w:divBdr>
                    <w:top w:val="none" w:sz="0" w:space="0" w:color="auto"/>
                    <w:left w:val="none" w:sz="0" w:space="0" w:color="auto"/>
                    <w:bottom w:val="none" w:sz="0" w:space="0" w:color="auto"/>
                    <w:right w:val="none" w:sz="0" w:space="0" w:color="auto"/>
                  </w:divBdr>
                  <w:divsChild>
                    <w:div w:id="737291322">
                      <w:marLeft w:val="0"/>
                      <w:marRight w:val="0"/>
                      <w:marTop w:val="0"/>
                      <w:marBottom w:val="0"/>
                      <w:divBdr>
                        <w:top w:val="none" w:sz="0" w:space="0" w:color="auto"/>
                        <w:left w:val="none" w:sz="0" w:space="0" w:color="auto"/>
                        <w:bottom w:val="none" w:sz="0" w:space="0" w:color="auto"/>
                        <w:right w:val="none" w:sz="0" w:space="0" w:color="auto"/>
                      </w:divBdr>
                    </w:div>
                  </w:divsChild>
                </w:div>
                <w:div w:id="1049182829">
                  <w:marLeft w:val="0"/>
                  <w:marRight w:val="0"/>
                  <w:marTop w:val="0"/>
                  <w:marBottom w:val="0"/>
                  <w:divBdr>
                    <w:top w:val="none" w:sz="0" w:space="0" w:color="auto"/>
                    <w:left w:val="none" w:sz="0" w:space="0" w:color="auto"/>
                    <w:bottom w:val="none" w:sz="0" w:space="0" w:color="auto"/>
                    <w:right w:val="none" w:sz="0" w:space="0" w:color="auto"/>
                  </w:divBdr>
                  <w:divsChild>
                    <w:div w:id="534080838">
                      <w:marLeft w:val="0"/>
                      <w:marRight w:val="0"/>
                      <w:marTop w:val="0"/>
                      <w:marBottom w:val="0"/>
                      <w:divBdr>
                        <w:top w:val="none" w:sz="0" w:space="0" w:color="auto"/>
                        <w:left w:val="none" w:sz="0" w:space="0" w:color="auto"/>
                        <w:bottom w:val="none" w:sz="0" w:space="0" w:color="auto"/>
                        <w:right w:val="none" w:sz="0" w:space="0" w:color="auto"/>
                      </w:divBdr>
                    </w:div>
                  </w:divsChild>
                </w:div>
                <w:div w:id="1112242773">
                  <w:marLeft w:val="0"/>
                  <w:marRight w:val="0"/>
                  <w:marTop w:val="0"/>
                  <w:marBottom w:val="0"/>
                  <w:divBdr>
                    <w:top w:val="none" w:sz="0" w:space="0" w:color="auto"/>
                    <w:left w:val="none" w:sz="0" w:space="0" w:color="auto"/>
                    <w:bottom w:val="none" w:sz="0" w:space="0" w:color="auto"/>
                    <w:right w:val="none" w:sz="0" w:space="0" w:color="auto"/>
                  </w:divBdr>
                  <w:divsChild>
                    <w:div w:id="158740341">
                      <w:marLeft w:val="0"/>
                      <w:marRight w:val="0"/>
                      <w:marTop w:val="0"/>
                      <w:marBottom w:val="0"/>
                      <w:divBdr>
                        <w:top w:val="none" w:sz="0" w:space="0" w:color="auto"/>
                        <w:left w:val="none" w:sz="0" w:space="0" w:color="auto"/>
                        <w:bottom w:val="none" w:sz="0" w:space="0" w:color="auto"/>
                        <w:right w:val="none" w:sz="0" w:space="0" w:color="auto"/>
                      </w:divBdr>
                    </w:div>
                  </w:divsChild>
                </w:div>
                <w:div w:id="1133792494">
                  <w:marLeft w:val="0"/>
                  <w:marRight w:val="0"/>
                  <w:marTop w:val="0"/>
                  <w:marBottom w:val="0"/>
                  <w:divBdr>
                    <w:top w:val="none" w:sz="0" w:space="0" w:color="auto"/>
                    <w:left w:val="none" w:sz="0" w:space="0" w:color="auto"/>
                    <w:bottom w:val="none" w:sz="0" w:space="0" w:color="auto"/>
                    <w:right w:val="none" w:sz="0" w:space="0" w:color="auto"/>
                  </w:divBdr>
                  <w:divsChild>
                    <w:div w:id="2130320671">
                      <w:marLeft w:val="0"/>
                      <w:marRight w:val="0"/>
                      <w:marTop w:val="0"/>
                      <w:marBottom w:val="0"/>
                      <w:divBdr>
                        <w:top w:val="none" w:sz="0" w:space="0" w:color="auto"/>
                        <w:left w:val="none" w:sz="0" w:space="0" w:color="auto"/>
                        <w:bottom w:val="none" w:sz="0" w:space="0" w:color="auto"/>
                        <w:right w:val="none" w:sz="0" w:space="0" w:color="auto"/>
                      </w:divBdr>
                    </w:div>
                  </w:divsChild>
                </w:div>
                <w:div w:id="1173297063">
                  <w:marLeft w:val="0"/>
                  <w:marRight w:val="0"/>
                  <w:marTop w:val="0"/>
                  <w:marBottom w:val="0"/>
                  <w:divBdr>
                    <w:top w:val="none" w:sz="0" w:space="0" w:color="auto"/>
                    <w:left w:val="none" w:sz="0" w:space="0" w:color="auto"/>
                    <w:bottom w:val="none" w:sz="0" w:space="0" w:color="auto"/>
                    <w:right w:val="none" w:sz="0" w:space="0" w:color="auto"/>
                  </w:divBdr>
                  <w:divsChild>
                    <w:div w:id="2092122839">
                      <w:marLeft w:val="0"/>
                      <w:marRight w:val="0"/>
                      <w:marTop w:val="0"/>
                      <w:marBottom w:val="0"/>
                      <w:divBdr>
                        <w:top w:val="none" w:sz="0" w:space="0" w:color="auto"/>
                        <w:left w:val="none" w:sz="0" w:space="0" w:color="auto"/>
                        <w:bottom w:val="none" w:sz="0" w:space="0" w:color="auto"/>
                        <w:right w:val="none" w:sz="0" w:space="0" w:color="auto"/>
                      </w:divBdr>
                    </w:div>
                  </w:divsChild>
                </w:div>
                <w:div w:id="1194264870">
                  <w:marLeft w:val="0"/>
                  <w:marRight w:val="0"/>
                  <w:marTop w:val="0"/>
                  <w:marBottom w:val="0"/>
                  <w:divBdr>
                    <w:top w:val="none" w:sz="0" w:space="0" w:color="auto"/>
                    <w:left w:val="none" w:sz="0" w:space="0" w:color="auto"/>
                    <w:bottom w:val="none" w:sz="0" w:space="0" w:color="auto"/>
                    <w:right w:val="none" w:sz="0" w:space="0" w:color="auto"/>
                  </w:divBdr>
                  <w:divsChild>
                    <w:div w:id="977420538">
                      <w:marLeft w:val="0"/>
                      <w:marRight w:val="0"/>
                      <w:marTop w:val="0"/>
                      <w:marBottom w:val="0"/>
                      <w:divBdr>
                        <w:top w:val="none" w:sz="0" w:space="0" w:color="auto"/>
                        <w:left w:val="none" w:sz="0" w:space="0" w:color="auto"/>
                        <w:bottom w:val="none" w:sz="0" w:space="0" w:color="auto"/>
                        <w:right w:val="none" w:sz="0" w:space="0" w:color="auto"/>
                      </w:divBdr>
                    </w:div>
                  </w:divsChild>
                </w:div>
                <w:div w:id="1269509346">
                  <w:marLeft w:val="0"/>
                  <w:marRight w:val="0"/>
                  <w:marTop w:val="0"/>
                  <w:marBottom w:val="0"/>
                  <w:divBdr>
                    <w:top w:val="none" w:sz="0" w:space="0" w:color="auto"/>
                    <w:left w:val="none" w:sz="0" w:space="0" w:color="auto"/>
                    <w:bottom w:val="none" w:sz="0" w:space="0" w:color="auto"/>
                    <w:right w:val="none" w:sz="0" w:space="0" w:color="auto"/>
                  </w:divBdr>
                  <w:divsChild>
                    <w:div w:id="1645237022">
                      <w:marLeft w:val="0"/>
                      <w:marRight w:val="0"/>
                      <w:marTop w:val="0"/>
                      <w:marBottom w:val="0"/>
                      <w:divBdr>
                        <w:top w:val="none" w:sz="0" w:space="0" w:color="auto"/>
                        <w:left w:val="none" w:sz="0" w:space="0" w:color="auto"/>
                        <w:bottom w:val="none" w:sz="0" w:space="0" w:color="auto"/>
                        <w:right w:val="none" w:sz="0" w:space="0" w:color="auto"/>
                      </w:divBdr>
                    </w:div>
                  </w:divsChild>
                </w:div>
                <w:div w:id="1285968010">
                  <w:marLeft w:val="0"/>
                  <w:marRight w:val="0"/>
                  <w:marTop w:val="0"/>
                  <w:marBottom w:val="0"/>
                  <w:divBdr>
                    <w:top w:val="none" w:sz="0" w:space="0" w:color="auto"/>
                    <w:left w:val="none" w:sz="0" w:space="0" w:color="auto"/>
                    <w:bottom w:val="none" w:sz="0" w:space="0" w:color="auto"/>
                    <w:right w:val="none" w:sz="0" w:space="0" w:color="auto"/>
                  </w:divBdr>
                  <w:divsChild>
                    <w:div w:id="2018379658">
                      <w:marLeft w:val="0"/>
                      <w:marRight w:val="0"/>
                      <w:marTop w:val="0"/>
                      <w:marBottom w:val="0"/>
                      <w:divBdr>
                        <w:top w:val="none" w:sz="0" w:space="0" w:color="auto"/>
                        <w:left w:val="none" w:sz="0" w:space="0" w:color="auto"/>
                        <w:bottom w:val="none" w:sz="0" w:space="0" w:color="auto"/>
                        <w:right w:val="none" w:sz="0" w:space="0" w:color="auto"/>
                      </w:divBdr>
                    </w:div>
                  </w:divsChild>
                </w:div>
                <w:div w:id="1291670823">
                  <w:marLeft w:val="0"/>
                  <w:marRight w:val="0"/>
                  <w:marTop w:val="0"/>
                  <w:marBottom w:val="0"/>
                  <w:divBdr>
                    <w:top w:val="none" w:sz="0" w:space="0" w:color="auto"/>
                    <w:left w:val="none" w:sz="0" w:space="0" w:color="auto"/>
                    <w:bottom w:val="none" w:sz="0" w:space="0" w:color="auto"/>
                    <w:right w:val="none" w:sz="0" w:space="0" w:color="auto"/>
                  </w:divBdr>
                  <w:divsChild>
                    <w:div w:id="930358790">
                      <w:marLeft w:val="0"/>
                      <w:marRight w:val="0"/>
                      <w:marTop w:val="0"/>
                      <w:marBottom w:val="0"/>
                      <w:divBdr>
                        <w:top w:val="none" w:sz="0" w:space="0" w:color="auto"/>
                        <w:left w:val="none" w:sz="0" w:space="0" w:color="auto"/>
                        <w:bottom w:val="none" w:sz="0" w:space="0" w:color="auto"/>
                        <w:right w:val="none" w:sz="0" w:space="0" w:color="auto"/>
                      </w:divBdr>
                    </w:div>
                  </w:divsChild>
                </w:div>
                <w:div w:id="1292399592">
                  <w:marLeft w:val="0"/>
                  <w:marRight w:val="0"/>
                  <w:marTop w:val="0"/>
                  <w:marBottom w:val="0"/>
                  <w:divBdr>
                    <w:top w:val="none" w:sz="0" w:space="0" w:color="auto"/>
                    <w:left w:val="none" w:sz="0" w:space="0" w:color="auto"/>
                    <w:bottom w:val="none" w:sz="0" w:space="0" w:color="auto"/>
                    <w:right w:val="none" w:sz="0" w:space="0" w:color="auto"/>
                  </w:divBdr>
                  <w:divsChild>
                    <w:div w:id="2013799372">
                      <w:marLeft w:val="0"/>
                      <w:marRight w:val="0"/>
                      <w:marTop w:val="0"/>
                      <w:marBottom w:val="0"/>
                      <w:divBdr>
                        <w:top w:val="none" w:sz="0" w:space="0" w:color="auto"/>
                        <w:left w:val="none" w:sz="0" w:space="0" w:color="auto"/>
                        <w:bottom w:val="none" w:sz="0" w:space="0" w:color="auto"/>
                        <w:right w:val="none" w:sz="0" w:space="0" w:color="auto"/>
                      </w:divBdr>
                    </w:div>
                  </w:divsChild>
                </w:div>
                <w:div w:id="1360474132">
                  <w:marLeft w:val="0"/>
                  <w:marRight w:val="0"/>
                  <w:marTop w:val="0"/>
                  <w:marBottom w:val="0"/>
                  <w:divBdr>
                    <w:top w:val="none" w:sz="0" w:space="0" w:color="auto"/>
                    <w:left w:val="none" w:sz="0" w:space="0" w:color="auto"/>
                    <w:bottom w:val="none" w:sz="0" w:space="0" w:color="auto"/>
                    <w:right w:val="none" w:sz="0" w:space="0" w:color="auto"/>
                  </w:divBdr>
                  <w:divsChild>
                    <w:div w:id="1815095785">
                      <w:marLeft w:val="0"/>
                      <w:marRight w:val="0"/>
                      <w:marTop w:val="0"/>
                      <w:marBottom w:val="0"/>
                      <w:divBdr>
                        <w:top w:val="none" w:sz="0" w:space="0" w:color="auto"/>
                        <w:left w:val="none" w:sz="0" w:space="0" w:color="auto"/>
                        <w:bottom w:val="none" w:sz="0" w:space="0" w:color="auto"/>
                        <w:right w:val="none" w:sz="0" w:space="0" w:color="auto"/>
                      </w:divBdr>
                    </w:div>
                  </w:divsChild>
                </w:div>
                <w:div w:id="1366905429">
                  <w:marLeft w:val="0"/>
                  <w:marRight w:val="0"/>
                  <w:marTop w:val="0"/>
                  <w:marBottom w:val="0"/>
                  <w:divBdr>
                    <w:top w:val="none" w:sz="0" w:space="0" w:color="auto"/>
                    <w:left w:val="none" w:sz="0" w:space="0" w:color="auto"/>
                    <w:bottom w:val="none" w:sz="0" w:space="0" w:color="auto"/>
                    <w:right w:val="none" w:sz="0" w:space="0" w:color="auto"/>
                  </w:divBdr>
                  <w:divsChild>
                    <w:div w:id="485324447">
                      <w:marLeft w:val="0"/>
                      <w:marRight w:val="0"/>
                      <w:marTop w:val="0"/>
                      <w:marBottom w:val="0"/>
                      <w:divBdr>
                        <w:top w:val="none" w:sz="0" w:space="0" w:color="auto"/>
                        <w:left w:val="none" w:sz="0" w:space="0" w:color="auto"/>
                        <w:bottom w:val="none" w:sz="0" w:space="0" w:color="auto"/>
                        <w:right w:val="none" w:sz="0" w:space="0" w:color="auto"/>
                      </w:divBdr>
                    </w:div>
                  </w:divsChild>
                </w:div>
                <w:div w:id="1484464941">
                  <w:marLeft w:val="0"/>
                  <w:marRight w:val="0"/>
                  <w:marTop w:val="0"/>
                  <w:marBottom w:val="0"/>
                  <w:divBdr>
                    <w:top w:val="none" w:sz="0" w:space="0" w:color="auto"/>
                    <w:left w:val="none" w:sz="0" w:space="0" w:color="auto"/>
                    <w:bottom w:val="none" w:sz="0" w:space="0" w:color="auto"/>
                    <w:right w:val="none" w:sz="0" w:space="0" w:color="auto"/>
                  </w:divBdr>
                  <w:divsChild>
                    <w:div w:id="74934061">
                      <w:marLeft w:val="0"/>
                      <w:marRight w:val="0"/>
                      <w:marTop w:val="0"/>
                      <w:marBottom w:val="0"/>
                      <w:divBdr>
                        <w:top w:val="none" w:sz="0" w:space="0" w:color="auto"/>
                        <w:left w:val="none" w:sz="0" w:space="0" w:color="auto"/>
                        <w:bottom w:val="none" w:sz="0" w:space="0" w:color="auto"/>
                        <w:right w:val="none" w:sz="0" w:space="0" w:color="auto"/>
                      </w:divBdr>
                    </w:div>
                  </w:divsChild>
                </w:div>
                <w:div w:id="1512797848">
                  <w:marLeft w:val="0"/>
                  <w:marRight w:val="0"/>
                  <w:marTop w:val="0"/>
                  <w:marBottom w:val="0"/>
                  <w:divBdr>
                    <w:top w:val="none" w:sz="0" w:space="0" w:color="auto"/>
                    <w:left w:val="none" w:sz="0" w:space="0" w:color="auto"/>
                    <w:bottom w:val="none" w:sz="0" w:space="0" w:color="auto"/>
                    <w:right w:val="none" w:sz="0" w:space="0" w:color="auto"/>
                  </w:divBdr>
                  <w:divsChild>
                    <w:div w:id="862520499">
                      <w:marLeft w:val="0"/>
                      <w:marRight w:val="0"/>
                      <w:marTop w:val="0"/>
                      <w:marBottom w:val="0"/>
                      <w:divBdr>
                        <w:top w:val="none" w:sz="0" w:space="0" w:color="auto"/>
                        <w:left w:val="none" w:sz="0" w:space="0" w:color="auto"/>
                        <w:bottom w:val="none" w:sz="0" w:space="0" w:color="auto"/>
                        <w:right w:val="none" w:sz="0" w:space="0" w:color="auto"/>
                      </w:divBdr>
                    </w:div>
                  </w:divsChild>
                </w:div>
                <w:div w:id="1513227266">
                  <w:marLeft w:val="0"/>
                  <w:marRight w:val="0"/>
                  <w:marTop w:val="0"/>
                  <w:marBottom w:val="0"/>
                  <w:divBdr>
                    <w:top w:val="none" w:sz="0" w:space="0" w:color="auto"/>
                    <w:left w:val="none" w:sz="0" w:space="0" w:color="auto"/>
                    <w:bottom w:val="none" w:sz="0" w:space="0" w:color="auto"/>
                    <w:right w:val="none" w:sz="0" w:space="0" w:color="auto"/>
                  </w:divBdr>
                  <w:divsChild>
                    <w:div w:id="285695178">
                      <w:marLeft w:val="0"/>
                      <w:marRight w:val="0"/>
                      <w:marTop w:val="0"/>
                      <w:marBottom w:val="0"/>
                      <w:divBdr>
                        <w:top w:val="none" w:sz="0" w:space="0" w:color="auto"/>
                        <w:left w:val="none" w:sz="0" w:space="0" w:color="auto"/>
                        <w:bottom w:val="none" w:sz="0" w:space="0" w:color="auto"/>
                        <w:right w:val="none" w:sz="0" w:space="0" w:color="auto"/>
                      </w:divBdr>
                    </w:div>
                  </w:divsChild>
                </w:div>
                <w:div w:id="1559319095">
                  <w:marLeft w:val="0"/>
                  <w:marRight w:val="0"/>
                  <w:marTop w:val="0"/>
                  <w:marBottom w:val="0"/>
                  <w:divBdr>
                    <w:top w:val="none" w:sz="0" w:space="0" w:color="auto"/>
                    <w:left w:val="none" w:sz="0" w:space="0" w:color="auto"/>
                    <w:bottom w:val="none" w:sz="0" w:space="0" w:color="auto"/>
                    <w:right w:val="none" w:sz="0" w:space="0" w:color="auto"/>
                  </w:divBdr>
                  <w:divsChild>
                    <w:div w:id="1486624498">
                      <w:marLeft w:val="0"/>
                      <w:marRight w:val="0"/>
                      <w:marTop w:val="0"/>
                      <w:marBottom w:val="0"/>
                      <w:divBdr>
                        <w:top w:val="none" w:sz="0" w:space="0" w:color="auto"/>
                        <w:left w:val="none" w:sz="0" w:space="0" w:color="auto"/>
                        <w:bottom w:val="none" w:sz="0" w:space="0" w:color="auto"/>
                        <w:right w:val="none" w:sz="0" w:space="0" w:color="auto"/>
                      </w:divBdr>
                    </w:div>
                  </w:divsChild>
                </w:div>
                <w:div w:id="1890607412">
                  <w:marLeft w:val="0"/>
                  <w:marRight w:val="0"/>
                  <w:marTop w:val="0"/>
                  <w:marBottom w:val="0"/>
                  <w:divBdr>
                    <w:top w:val="none" w:sz="0" w:space="0" w:color="auto"/>
                    <w:left w:val="none" w:sz="0" w:space="0" w:color="auto"/>
                    <w:bottom w:val="none" w:sz="0" w:space="0" w:color="auto"/>
                    <w:right w:val="none" w:sz="0" w:space="0" w:color="auto"/>
                  </w:divBdr>
                  <w:divsChild>
                    <w:div w:id="383678011">
                      <w:marLeft w:val="0"/>
                      <w:marRight w:val="0"/>
                      <w:marTop w:val="0"/>
                      <w:marBottom w:val="0"/>
                      <w:divBdr>
                        <w:top w:val="none" w:sz="0" w:space="0" w:color="auto"/>
                        <w:left w:val="none" w:sz="0" w:space="0" w:color="auto"/>
                        <w:bottom w:val="none" w:sz="0" w:space="0" w:color="auto"/>
                        <w:right w:val="none" w:sz="0" w:space="0" w:color="auto"/>
                      </w:divBdr>
                    </w:div>
                  </w:divsChild>
                </w:div>
                <w:div w:id="1952470509">
                  <w:marLeft w:val="0"/>
                  <w:marRight w:val="0"/>
                  <w:marTop w:val="0"/>
                  <w:marBottom w:val="0"/>
                  <w:divBdr>
                    <w:top w:val="none" w:sz="0" w:space="0" w:color="auto"/>
                    <w:left w:val="none" w:sz="0" w:space="0" w:color="auto"/>
                    <w:bottom w:val="none" w:sz="0" w:space="0" w:color="auto"/>
                    <w:right w:val="none" w:sz="0" w:space="0" w:color="auto"/>
                  </w:divBdr>
                  <w:divsChild>
                    <w:div w:id="2100328956">
                      <w:marLeft w:val="0"/>
                      <w:marRight w:val="0"/>
                      <w:marTop w:val="0"/>
                      <w:marBottom w:val="0"/>
                      <w:divBdr>
                        <w:top w:val="none" w:sz="0" w:space="0" w:color="auto"/>
                        <w:left w:val="none" w:sz="0" w:space="0" w:color="auto"/>
                        <w:bottom w:val="none" w:sz="0" w:space="0" w:color="auto"/>
                        <w:right w:val="none" w:sz="0" w:space="0" w:color="auto"/>
                      </w:divBdr>
                    </w:div>
                  </w:divsChild>
                </w:div>
                <w:div w:id="2013297355">
                  <w:marLeft w:val="0"/>
                  <w:marRight w:val="0"/>
                  <w:marTop w:val="0"/>
                  <w:marBottom w:val="0"/>
                  <w:divBdr>
                    <w:top w:val="none" w:sz="0" w:space="0" w:color="auto"/>
                    <w:left w:val="none" w:sz="0" w:space="0" w:color="auto"/>
                    <w:bottom w:val="none" w:sz="0" w:space="0" w:color="auto"/>
                    <w:right w:val="none" w:sz="0" w:space="0" w:color="auto"/>
                  </w:divBdr>
                  <w:divsChild>
                    <w:div w:id="689843666">
                      <w:marLeft w:val="0"/>
                      <w:marRight w:val="0"/>
                      <w:marTop w:val="0"/>
                      <w:marBottom w:val="0"/>
                      <w:divBdr>
                        <w:top w:val="none" w:sz="0" w:space="0" w:color="auto"/>
                        <w:left w:val="none" w:sz="0" w:space="0" w:color="auto"/>
                        <w:bottom w:val="none" w:sz="0" w:space="0" w:color="auto"/>
                        <w:right w:val="none" w:sz="0" w:space="0" w:color="auto"/>
                      </w:divBdr>
                    </w:div>
                  </w:divsChild>
                </w:div>
                <w:div w:id="2029486079">
                  <w:marLeft w:val="0"/>
                  <w:marRight w:val="0"/>
                  <w:marTop w:val="0"/>
                  <w:marBottom w:val="0"/>
                  <w:divBdr>
                    <w:top w:val="none" w:sz="0" w:space="0" w:color="auto"/>
                    <w:left w:val="none" w:sz="0" w:space="0" w:color="auto"/>
                    <w:bottom w:val="none" w:sz="0" w:space="0" w:color="auto"/>
                    <w:right w:val="none" w:sz="0" w:space="0" w:color="auto"/>
                  </w:divBdr>
                  <w:divsChild>
                    <w:div w:id="20159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657260">
          <w:marLeft w:val="0"/>
          <w:marRight w:val="0"/>
          <w:marTop w:val="0"/>
          <w:marBottom w:val="0"/>
          <w:divBdr>
            <w:top w:val="none" w:sz="0" w:space="0" w:color="auto"/>
            <w:left w:val="none" w:sz="0" w:space="0" w:color="auto"/>
            <w:bottom w:val="none" w:sz="0" w:space="0" w:color="auto"/>
            <w:right w:val="none" w:sz="0" w:space="0" w:color="auto"/>
          </w:divBdr>
        </w:div>
        <w:div w:id="898059191">
          <w:marLeft w:val="0"/>
          <w:marRight w:val="0"/>
          <w:marTop w:val="0"/>
          <w:marBottom w:val="0"/>
          <w:divBdr>
            <w:top w:val="none" w:sz="0" w:space="0" w:color="auto"/>
            <w:left w:val="none" w:sz="0" w:space="0" w:color="auto"/>
            <w:bottom w:val="none" w:sz="0" w:space="0" w:color="auto"/>
            <w:right w:val="none" w:sz="0" w:space="0" w:color="auto"/>
          </w:divBdr>
        </w:div>
        <w:div w:id="908810418">
          <w:marLeft w:val="0"/>
          <w:marRight w:val="0"/>
          <w:marTop w:val="0"/>
          <w:marBottom w:val="0"/>
          <w:divBdr>
            <w:top w:val="none" w:sz="0" w:space="0" w:color="auto"/>
            <w:left w:val="none" w:sz="0" w:space="0" w:color="auto"/>
            <w:bottom w:val="none" w:sz="0" w:space="0" w:color="auto"/>
            <w:right w:val="none" w:sz="0" w:space="0" w:color="auto"/>
          </w:divBdr>
        </w:div>
        <w:div w:id="953634703">
          <w:marLeft w:val="0"/>
          <w:marRight w:val="0"/>
          <w:marTop w:val="0"/>
          <w:marBottom w:val="0"/>
          <w:divBdr>
            <w:top w:val="none" w:sz="0" w:space="0" w:color="auto"/>
            <w:left w:val="none" w:sz="0" w:space="0" w:color="auto"/>
            <w:bottom w:val="none" w:sz="0" w:space="0" w:color="auto"/>
            <w:right w:val="none" w:sz="0" w:space="0" w:color="auto"/>
          </w:divBdr>
        </w:div>
        <w:div w:id="953832673">
          <w:marLeft w:val="0"/>
          <w:marRight w:val="0"/>
          <w:marTop w:val="0"/>
          <w:marBottom w:val="0"/>
          <w:divBdr>
            <w:top w:val="none" w:sz="0" w:space="0" w:color="auto"/>
            <w:left w:val="none" w:sz="0" w:space="0" w:color="auto"/>
            <w:bottom w:val="none" w:sz="0" w:space="0" w:color="auto"/>
            <w:right w:val="none" w:sz="0" w:space="0" w:color="auto"/>
          </w:divBdr>
        </w:div>
        <w:div w:id="958072428">
          <w:marLeft w:val="0"/>
          <w:marRight w:val="0"/>
          <w:marTop w:val="0"/>
          <w:marBottom w:val="0"/>
          <w:divBdr>
            <w:top w:val="none" w:sz="0" w:space="0" w:color="auto"/>
            <w:left w:val="none" w:sz="0" w:space="0" w:color="auto"/>
            <w:bottom w:val="none" w:sz="0" w:space="0" w:color="auto"/>
            <w:right w:val="none" w:sz="0" w:space="0" w:color="auto"/>
          </w:divBdr>
        </w:div>
        <w:div w:id="1035735581">
          <w:marLeft w:val="0"/>
          <w:marRight w:val="0"/>
          <w:marTop w:val="0"/>
          <w:marBottom w:val="0"/>
          <w:divBdr>
            <w:top w:val="none" w:sz="0" w:space="0" w:color="auto"/>
            <w:left w:val="none" w:sz="0" w:space="0" w:color="auto"/>
            <w:bottom w:val="none" w:sz="0" w:space="0" w:color="auto"/>
            <w:right w:val="none" w:sz="0" w:space="0" w:color="auto"/>
          </w:divBdr>
        </w:div>
        <w:div w:id="1053190519">
          <w:marLeft w:val="0"/>
          <w:marRight w:val="0"/>
          <w:marTop w:val="0"/>
          <w:marBottom w:val="0"/>
          <w:divBdr>
            <w:top w:val="none" w:sz="0" w:space="0" w:color="auto"/>
            <w:left w:val="none" w:sz="0" w:space="0" w:color="auto"/>
            <w:bottom w:val="none" w:sz="0" w:space="0" w:color="auto"/>
            <w:right w:val="none" w:sz="0" w:space="0" w:color="auto"/>
          </w:divBdr>
        </w:div>
        <w:div w:id="1080102176">
          <w:marLeft w:val="0"/>
          <w:marRight w:val="0"/>
          <w:marTop w:val="0"/>
          <w:marBottom w:val="0"/>
          <w:divBdr>
            <w:top w:val="none" w:sz="0" w:space="0" w:color="auto"/>
            <w:left w:val="none" w:sz="0" w:space="0" w:color="auto"/>
            <w:bottom w:val="none" w:sz="0" w:space="0" w:color="auto"/>
            <w:right w:val="none" w:sz="0" w:space="0" w:color="auto"/>
          </w:divBdr>
        </w:div>
        <w:div w:id="1091969913">
          <w:marLeft w:val="0"/>
          <w:marRight w:val="0"/>
          <w:marTop w:val="0"/>
          <w:marBottom w:val="0"/>
          <w:divBdr>
            <w:top w:val="none" w:sz="0" w:space="0" w:color="auto"/>
            <w:left w:val="none" w:sz="0" w:space="0" w:color="auto"/>
            <w:bottom w:val="none" w:sz="0" w:space="0" w:color="auto"/>
            <w:right w:val="none" w:sz="0" w:space="0" w:color="auto"/>
          </w:divBdr>
        </w:div>
        <w:div w:id="1093816668">
          <w:marLeft w:val="0"/>
          <w:marRight w:val="0"/>
          <w:marTop w:val="0"/>
          <w:marBottom w:val="0"/>
          <w:divBdr>
            <w:top w:val="none" w:sz="0" w:space="0" w:color="auto"/>
            <w:left w:val="none" w:sz="0" w:space="0" w:color="auto"/>
            <w:bottom w:val="none" w:sz="0" w:space="0" w:color="auto"/>
            <w:right w:val="none" w:sz="0" w:space="0" w:color="auto"/>
          </w:divBdr>
        </w:div>
        <w:div w:id="1107430362">
          <w:marLeft w:val="0"/>
          <w:marRight w:val="0"/>
          <w:marTop w:val="0"/>
          <w:marBottom w:val="0"/>
          <w:divBdr>
            <w:top w:val="none" w:sz="0" w:space="0" w:color="auto"/>
            <w:left w:val="none" w:sz="0" w:space="0" w:color="auto"/>
            <w:bottom w:val="none" w:sz="0" w:space="0" w:color="auto"/>
            <w:right w:val="none" w:sz="0" w:space="0" w:color="auto"/>
          </w:divBdr>
        </w:div>
        <w:div w:id="1123185664">
          <w:marLeft w:val="0"/>
          <w:marRight w:val="0"/>
          <w:marTop w:val="0"/>
          <w:marBottom w:val="0"/>
          <w:divBdr>
            <w:top w:val="none" w:sz="0" w:space="0" w:color="auto"/>
            <w:left w:val="none" w:sz="0" w:space="0" w:color="auto"/>
            <w:bottom w:val="none" w:sz="0" w:space="0" w:color="auto"/>
            <w:right w:val="none" w:sz="0" w:space="0" w:color="auto"/>
          </w:divBdr>
        </w:div>
        <w:div w:id="1143035881">
          <w:marLeft w:val="0"/>
          <w:marRight w:val="0"/>
          <w:marTop w:val="0"/>
          <w:marBottom w:val="0"/>
          <w:divBdr>
            <w:top w:val="none" w:sz="0" w:space="0" w:color="auto"/>
            <w:left w:val="none" w:sz="0" w:space="0" w:color="auto"/>
            <w:bottom w:val="none" w:sz="0" w:space="0" w:color="auto"/>
            <w:right w:val="none" w:sz="0" w:space="0" w:color="auto"/>
          </w:divBdr>
        </w:div>
        <w:div w:id="1183714277">
          <w:marLeft w:val="0"/>
          <w:marRight w:val="0"/>
          <w:marTop w:val="0"/>
          <w:marBottom w:val="0"/>
          <w:divBdr>
            <w:top w:val="none" w:sz="0" w:space="0" w:color="auto"/>
            <w:left w:val="none" w:sz="0" w:space="0" w:color="auto"/>
            <w:bottom w:val="none" w:sz="0" w:space="0" w:color="auto"/>
            <w:right w:val="none" w:sz="0" w:space="0" w:color="auto"/>
          </w:divBdr>
        </w:div>
        <w:div w:id="1238202698">
          <w:marLeft w:val="0"/>
          <w:marRight w:val="0"/>
          <w:marTop w:val="0"/>
          <w:marBottom w:val="0"/>
          <w:divBdr>
            <w:top w:val="none" w:sz="0" w:space="0" w:color="auto"/>
            <w:left w:val="none" w:sz="0" w:space="0" w:color="auto"/>
            <w:bottom w:val="none" w:sz="0" w:space="0" w:color="auto"/>
            <w:right w:val="none" w:sz="0" w:space="0" w:color="auto"/>
          </w:divBdr>
        </w:div>
        <w:div w:id="1277715986">
          <w:marLeft w:val="0"/>
          <w:marRight w:val="0"/>
          <w:marTop w:val="0"/>
          <w:marBottom w:val="0"/>
          <w:divBdr>
            <w:top w:val="none" w:sz="0" w:space="0" w:color="auto"/>
            <w:left w:val="none" w:sz="0" w:space="0" w:color="auto"/>
            <w:bottom w:val="none" w:sz="0" w:space="0" w:color="auto"/>
            <w:right w:val="none" w:sz="0" w:space="0" w:color="auto"/>
          </w:divBdr>
        </w:div>
        <w:div w:id="1294823649">
          <w:marLeft w:val="0"/>
          <w:marRight w:val="0"/>
          <w:marTop w:val="0"/>
          <w:marBottom w:val="0"/>
          <w:divBdr>
            <w:top w:val="none" w:sz="0" w:space="0" w:color="auto"/>
            <w:left w:val="none" w:sz="0" w:space="0" w:color="auto"/>
            <w:bottom w:val="none" w:sz="0" w:space="0" w:color="auto"/>
            <w:right w:val="none" w:sz="0" w:space="0" w:color="auto"/>
          </w:divBdr>
        </w:div>
        <w:div w:id="1305164971">
          <w:marLeft w:val="0"/>
          <w:marRight w:val="0"/>
          <w:marTop w:val="0"/>
          <w:marBottom w:val="0"/>
          <w:divBdr>
            <w:top w:val="none" w:sz="0" w:space="0" w:color="auto"/>
            <w:left w:val="none" w:sz="0" w:space="0" w:color="auto"/>
            <w:bottom w:val="none" w:sz="0" w:space="0" w:color="auto"/>
            <w:right w:val="none" w:sz="0" w:space="0" w:color="auto"/>
          </w:divBdr>
        </w:div>
        <w:div w:id="1305743906">
          <w:marLeft w:val="0"/>
          <w:marRight w:val="0"/>
          <w:marTop w:val="0"/>
          <w:marBottom w:val="0"/>
          <w:divBdr>
            <w:top w:val="none" w:sz="0" w:space="0" w:color="auto"/>
            <w:left w:val="none" w:sz="0" w:space="0" w:color="auto"/>
            <w:bottom w:val="none" w:sz="0" w:space="0" w:color="auto"/>
            <w:right w:val="none" w:sz="0" w:space="0" w:color="auto"/>
          </w:divBdr>
        </w:div>
        <w:div w:id="1307584095">
          <w:marLeft w:val="0"/>
          <w:marRight w:val="0"/>
          <w:marTop w:val="0"/>
          <w:marBottom w:val="0"/>
          <w:divBdr>
            <w:top w:val="none" w:sz="0" w:space="0" w:color="auto"/>
            <w:left w:val="none" w:sz="0" w:space="0" w:color="auto"/>
            <w:bottom w:val="none" w:sz="0" w:space="0" w:color="auto"/>
            <w:right w:val="none" w:sz="0" w:space="0" w:color="auto"/>
          </w:divBdr>
        </w:div>
        <w:div w:id="1358189591">
          <w:marLeft w:val="0"/>
          <w:marRight w:val="0"/>
          <w:marTop w:val="0"/>
          <w:marBottom w:val="0"/>
          <w:divBdr>
            <w:top w:val="none" w:sz="0" w:space="0" w:color="auto"/>
            <w:left w:val="none" w:sz="0" w:space="0" w:color="auto"/>
            <w:bottom w:val="none" w:sz="0" w:space="0" w:color="auto"/>
            <w:right w:val="none" w:sz="0" w:space="0" w:color="auto"/>
          </w:divBdr>
        </w:div>
        <w:div w:id="1360618755">
          <w:marLeft w:val="0"/>
          <w:marRight w:val="0"/>
          <w:marTop w:val="0"/>
          <w:marBottom w:val="0"/>
          <w:divBdr>
            <w:top w:val="none" w:sz="0" w:space="0" w:color="auto"/>
            <w:left w:val="none" w:sz="0" w:space="0" w:color="auto"/>
            <w:bottom w:val="none" w:sz="0" w:space="0" w:color="auto"/>
            <w:right w:val="none" w:sz="0" w:space="0" w:color="auto"/>
          </w:divBdr>
        </w:div>
        <w:div w:id="1394082939">
          <w:marLeft w:val="0"/>
          <w:marRight w:val="0"/>
          <w:marTop w:val="0"/>
          <w:marBottom w:val="0"/>
          <w:divBdr>
            <w:top w:val="none" w:sz="0" w:space="0" w:color="auto"/>
            <w:left w:val="none" w:sz="0" w:space="0" w:color="auto"/>
            <w:bottom w:val="none" w:sz="0" w:space="0" w:color="auto"/>
            <w:right w:val="none" w:sz="0" w:space="0" w:color="auto"/>
          </w:divBdr>
        </w:div>
        <w:div w:id="1466700847">
          <w:marLeft w:val="0"/>
          <w:marRight w:val="0"/>
          <w:marTop w:val="0"/>
          <w:marBottom w:val="0"/>
          <w:divBdr>
            <w:top w:val="none" w:sz="0" w:space="0" w:color="auto"/>
            <w:left w:val="none" w:sz="0" w:space="0" w:color="auto"/>
            <w:bottom w:val="none" w:sz="0" w:space="0" w:color="auto"/>
            <w:right w:val="none" w:sz="0" w:space="0" w:color="auto"/>
          </w:divBdr>
        </w:div>
        <w:div w:id="1481846166">
          <w:marLeft w:val="0"/>
          <w:marRight w:val="0"/>
          <w:marTop w:val="0"/>
          <w:marBottom w:val="0"/>
          <w:divBdr>
            <w:top w:val="none" w:sz="0" w:space="0" w:color="auto"/>
            <w:left w:val="none" w:sz="0" w:space="0" w:color="auto"/>
            <w:bottom w:val="none" w:sz="0" w:space="0" w:color="auto"/>
            <w:right w:val="none" w:sz="0" w:space="0" w:color="auto"/>
          </w:divBdr>
        </w:div>
        <w:div w:id="1499536630">
          <w:marLeft w:val="0"/>
          <w:marRight w:val="0"/>
          <w:marTop w:val="0"/>
          <w:marBottom w:val="0"/>
          <w:divBdr>
            <w:top w:val="none" w:sz="0" w:space="0" w:color="auto"/>
            <w:left w:val="none" w:sz="0" w:space="0" w:color="auto"/>
            <w:bottom w:val="none" w:sz="0" w:space="0" w:color="auto"/>
            <w:right w:val="none" w:sz="0" w:space="0" w:color="auto"/>
          </w:divBdr>
        </w:div>
        <w:div w:id="1529222687">
          <w:marLeft w:val="0"/>
          <w:marRight w:val="0"/>
          <w:marTop w:val="0"/>
          <w:marBottom w:val="0"/>
          <w:divBdr>
            <w:top w:val="none" w:sz="0" w:space="0" w:color="auto"/>
            <w:left w:val="none" w:sz="0" w:space="0" w:color="auto"/>
            <w:bottom w:val="none" w:sz="0" w:space="0" w:color="auto"/>
            <w:right w:val="none" w:sz="0" w:space="0" w:color="auto"/>
          </w:divBdr>
        </w:div>
        <w:div w:id="1566642333">
          <w:marLeft w:val="0"/>
          <w:marRight w:val="0"/>
          <w:marTop w:val="0"/>
          <w:marBottom w:val="0"/>
          <w:divBdr>
            <w:top w:val="none" w:sz="0" w:space="0" w:color="auto"/>
            <w:left w:val="none" w:sz="0" w:space="0" w:color="auto"/>
            <w:bottom w:val="none" w:sz="0" w:space="0" w:color="auto"/>
            <w:right w:val="none" w:sz="0" w:space="0" w:color="auto"/>
          </w:divBdr>
        </w:div>
        <w:div w:id="1573080143">
          <w:marLeft w:val="0"/>
          <w:marRight w:val="0"/>
          <w:marTop w:val="0"/>
          <w:marBottom w:val="0"/>
          <w:divBdr>
            <w:top w:val="none" w:sz="0" w:space="0" w:color="auto"/>
            <w:left w:val="none" w:sz="0" w:space="0" w:color="auto"/>
            <w:bottom w:val="none" w:sz="0" w:space="0" w:color="auto"/>
            <w:right w:val="none" w:sz="0" w:space="0" w:color="auto"/>
          </w:divBdr>
        </w:div>
        <w:div w:id="1605645582">
          <w:marLeft w:val="0"/>
          <w:marRight w:val="0"/>
          <w:marTop w:val="0"/>
          <w:marBottom w:val="0"/>
          <w:divBdr>
            <w:top w:val="none" w:sz="0" w:space="0" w:color="auto"/>
            <w:left w:val="none" w:sz="0" w:space="0" w:color="auto"/>
            <w:bottom w:val="none" w:sz="0" w:space="0" w:color="auto"/>
            <w:right w:val="none" w:sz="0" w:space="0" w:color="auto"/>
          </w:divBdr>
        </w:div>
        <w:div w:id="1615096237">
          <w:marLeft w:val="0"/>
          <w:marRight w:val="0"/>
          <w:marTop w:val="0"/>
          <w:marBottom w:val="0"/>
          <w:divBdr>
            <w:top w:val="none" w:sz="0" w:space="0" w:color="auto"/>
            <w:left w:val="none" w:sz="0" w:space="0" w:color="auto"/>
            <w:bottom w:val="none" w:sz="0" w:space="0" w:color="auto"/>
            <w:right w:val="none" w:sz="0" w:space="0" w:color="auto"/>
          </w:divBdr>
        </w:div>
        <w:div w:id="1625237485">
          <w:marLeft w:val="0"/>
          <w:marRight w:val="0"/>
          <w:marTop w:val="0"/>
          <w:marBottom w:val="0"/>
          <w:divBdr>
            <w:top w:val="none" w:sz="0" w:space="0" w:color="auto"/>
            <w:left w:val="none" w:sz="0" w:space="0" w:color="auto"/>
            <w:bottom w:val="none" w:sz="0" w:space="0" w:color="auto"/>
            <w:right w:val="none" w:sz="0" w:space="0" w:color="auto"/>
          </w:divBdr>
        </w:div>
        <w:div w:id="1656033070">
          <w:marLeft w:val="0"/>
          <w:marRight w:val="0"/>
          <w:marTop w:val="0"/>
          <w:marBottom w:val="0"/>
          <w:divBdr>
            <w:top w:val="none" w:sz="0" w:space="0" w:color="auto"/>
            <w:left w:val="none" w:sz="0" w:space="0" w:color="auto"/>
            <w:bottom w:val="none" w:sz="0" w:space="0" w:color="auto"/>
            <w:right w:val="none" w:sz="0" w:space="0" w:color="auto"/>
          </w:divBdr>
        </w:div>
        <w:div w:id="1701128904">
          <w:marLeft w:val="0"/>
          <w:marRight w:val="0"/>
          <w:marTop w:val="0"/>
          <w:marBottom w:val="0"/>
          <w:divBdr>
            <w:top w:val="none" w:sz="0" w:space="0" w:color="auto"/>
            <w:left w:val="none" w:sz="0" w:space="0" w:color="auto"/>
            <w:bottom w:val="none" w:sz="0" w:space="0" w:color="auto"/>
            <w:right w:val="none" w:sz="0" w:space="0" w:color="auto"/>
          </w:divBdr>
        </w:div>
        <w:div w:id="1727490648">
          <w:marLeft w:val="0"/>
          <w:marRight w:val="0"/>
          <w:marTop w:val="0"/>
          <w:marBottom w:val="0"/>
          <w:divBdr>
            <w:top w:val="none" w:sz="0" w:space="0" w:color="auto"/>
            <w:left w:val="none" w:sz="0" w:space="0" w:color="auto"/>
            <w:bottom w:val="none" w:sz="0" w:space="0" w:color="auto"/>
            <w:right w:val="none" w:sz="0" w:space="0" w:color="auto"/>
          </w:divBdr>
        </w:div>
        <w:div w:id="1765683047">
          <w:marLeft w:val="0"/>
          <w:marRight w:val="0"/>
          <w:marTop w:val="0"/>
          <w:marBottom w:val="0"/>
          <w:divBdr>
            <w:top w:val="none" w:sz="0" w:space="0" w:color="auto"/>
            <w:left w:val="none" w:sz="0" w:space="0" w:color="auto"/>
            <w:bottom w:val="none" w:sz="0" w:space="0" w:color="auto"/>
            <w:right w:val="none" w:sz="0" w:space="0" w:color="auto"/>
          </w:divBdr>
        </w:div>
        <w:div w:id="1782533257">
          <w:marLeft w:val="0"/>
          <w:marRight w:val="0"/>
          <w:marTop w:val="0"/>
          <w:marBottom w:val="0"/>
          <w:divBdr>
            <w:top w:val="none" w:sz="0" w:space="0" w:color="auto"/>
            <w:left w:val="none" w:sz="0" w:space="0" w:color="auto"/>
            <w:bottom w:val="none" w:sz="0" w:space="0" w:color="auto"/>
            <w:right w:val="none" w:sz="0" w:space="0" w:color="auto"/>
          </w:divBdr>
        </w:div>
        <w:div w:id="1825002626">
          <w:marLeft w:val="0"/>
          <w:marRight w:val="0"/>
          <w:marTop w:val="0"/>
          <w:marBottom w:val="0"/>
          <w:divBdr>
            <w:top w:val="none" w:sz="0" w:space="0" w:color="auto"/>
            <w:left w:val="none" w:sz="0" w:space="0" w:color="auto"/>
            <w:bottom w:val="none" w:sz="0" w:space="0" w:color="auto"/>
            <w:right w:val="none" w:sz="0" w:space="0" w:color="auto"/>
          </w:divBdr>
        </w:div>
        <w:div w:id="1828478621">
          <w:marLeft w:val="0"/>
          <w:marRight w:val="0"/>
          <w:marTop w:val="0"/>
          <w:marBottom w:val="0"/>
          <w:divBdr>
            <w:top w:val="none" w:sz="0" w:space="0" w:color="auto"/>
            <w:left w:val="none" w:sz="0" w:space="0" w:color="auto"/>
            <w:bottom w:val="none" w:sz="0" w:space="0" w:color="auto"/>
            <w:right w:val="none" w:sz="0" w:space="0" w:color="auto"/>
          </w:divBdr>
        </w:div>
        <w:div w:id="1828593724">
          <w:marLeft w:val="0"/>
          <w:marRight w:val="0"/>
          <w:marTop w:val="0"/>
          <w:marBottom w:val="0"/>
          <w:divBdr>
            <w:top w:val="none" w:sz="0" w:space="0" w:color="auto"/>
            <w:left w:val="none" w:sz="0" w:space="0" w:color="auto"/>
            <w:bottom w:val="none" w:sz="0" w:space="0" w:color="auto"/>
            <w:right w:val="none" w:sz="0" w:space="0" w:color="auto"/>
          </w:divBdr>
        </w:div>
        <w:div w:id="1840921386">
          <w:marLeft w:val="0"/>
          <w:marRight w:val="0"/>
          <w:marTop w:val="0"/>
          <w:marBottom w:val="0"/>
          <w:divBdr>
            <w:top w:val="none" w:sz="0" w:space="0" w:color="auto"/>
            <w:left w:val="none" w:sz="0" w:space="0" w:color="auto"/>
            <w:bottom w:val="none" w:sz="0" w:space="0" w:color="auto"/>
            <w:right w:val="none" w:sz="0" w:space="0" w:color="auto"/>
          </w:divBdr>
        </w:div>
        <w:div w:id="1859588175">
          <w:marLeft w:val="0"/>
          <w:marRight w:val="0"/>
          <w:marTop w:val="0"/>
          <w:marBottom w:val="0"/>
          <w:divBdr>
            <w:top w:val="none" w:sz="0" w:space="0" w:color="auto"/>
            <w:left w:val="none" w:sz="0" w:space="0" w:color="auto"/>
            <w:bottom w:val="none" w:sz="0" w:space="0" w:color="auto"/>
            <w:right w:val="none" w:sz="0" w:space="0" w:color="auto"/>
          </w:divBdr>
        </w:div>
        <w:div w:id="2031836018">
          <w:marLeft w:val="0"/>
          <w:marRight w:val="0"/>
          <w:marTop w:val="0"/>
          <w:marBottom w:val="0"/>
          <w:divBdr>
            <w:top w:val="none" w:sz="0" w:space="0" w:color="auto"/>
            <w:left w:val="none" w:sz="0" w:space="0" w:color="auto"/>
            <w:bottom w:val="none" w:sz="0" w:space="0" w:color="auto"/>
            <w:right w:val="none" w:sz="0" w:space="0" w:color="auto"/>
          </w:divBdr>
        </w:div>
        <w:div w:id="2063599475">
          <w:marLeft w:val="0"/>
          <w:marRight w:val="0"/>
          <w:marTop w:val="0"/>
          <w:marBottom w:val="0"/>
          <w:divBdr>
            <w:top w:val="none" w:sz="0" w:space="0" w:color="auto"/>
            <w:left w:val="none" w:sz="0" w:space="0" w:color="auto"/>
            <w:bottom w:val="none" w:sz="0" w:space="0" w:color="auto"/>
            <w:right w:val="none" w:sz="0" w:space="0" w:color="auto"/>
          </w:divBdr>
        </w:div>
        <w:div w:id="2079476378">
          <w:marLeft w:val="0"/>
          <w:marRight w:val="0"/>
          <w:marTop w:val="0"/>
          <w:marBottom w:val="0"/>
          <w:divBdr>
            <w:top w:val="none" w:sz="0" w:space="0" w:color="auto"/>
            <w:left w:val="none" w:sz="0" w:space="0" w:color="auto"/>
            <w:bottom w:val="none" w:sz="0" w:space="0" w:color="auto"/>
            <w:right w:val="none" w:sz="0" w:space="0" w:color="auto"/>
          </w:divBdr>
        </w:div>
        <w:div w:id="2083284164">
          <w:marLeft w:val="0"/>
          <w:marRight w:val="0"/>
          <w:marTop w:val="0"/>
          <w:marBottom w:val="0"/>
          <w:divBdr>
            <w:top w:val="none" w:sz="0" w:space="0" w:color="auto"/>
            <w:left w:val="none" w:sz="0" w:space="0" w:color="auto"/>
            <w:bottom w:val="none" w:sz="0" w:space="0" w:color="auto"/>
            <w:right w:val="none" w:sz="0" w:space="0" w:color="auto"/>
          </w:divBdr>
        </w:div>
        <w:div w:id="2099788516">
          <w:marLeft w:val="0"/>
          <w:marRight w:val="0"/>
          <w:marTop w:val="0"/>
          <w:marBottom w:val="0"/>
          <w:divBdr>
            <w:top w:val="none" w:sz="0" w:space="0" w:color="auto"/>
            <w:left w:val="none" w:sz="0" w:space="0" w:color="auto"/>
            <w:bottom w:val="none" w:sz="0" w:space="0" w:color="auto"/>
            <w:right w:val="none" w:sz="0" w:space="0" w:color="auto"/>
          </w:divBdr>
        </w:div>
        <w:div w:id="2106265617">
          <w:marLeft w:val="0"/>
          <w:marRight w:val="0"/>
          <w:marTop w:val="0"/>
          <w:marBottom w:val="0"/>
          <w:divBdr>
            <w:top w:val="none" w:sz="0" w:space="0" w:color="auto"/>
            <w:left w:val="none" w:sz="0" w:space="0" w:color="auto"/>
            <w:bottom w:val="none" w:sz="0" w:space="0" w:color="auto"/>
            <w:right w:val="none" w:sz="0" w:space="0" w:color="auto"/>
          </w:divBdr>
        </w:div>
      </w:divsChild>
    </w:div>
    <w:div w:id="1743335780">
      <w:bodyDiv w:val="1"/>
      <w:marLeft w:val="0"/>
      <w:marRight w:val="0"/>
      <w:marTop w:val="0"/>
      <w:marBottom w:val="0"/>
      <w:divBdr>
        <w:top w:val="none" w:sz="0" w:space="0" w:color="auto"/>
        <w:left w:val="none" w:sz="0" w:space="0" w:color="auto"/>
        <w:bottom w:val="none" w:sz="0" w:space="0" w:color="auto"/>
        <w:right w:val="none" w:sz="0" w:space="0" w:color="auto"/>
      </w:divBdr>
      <w:divsChild>
        <w:div w:id="55276407">
          <w:marLeft w:val="0"/>
          <w:marRight w:val="0"/>
          <w:marTop w:val="0"/>
          <w:marBottom w:val="0"/>
          <w:divBdr>
            <w:top w:val="none" w:sz="0" w:space="0" w:color="auto"/>
            <w:left w:val="none" w:sz="0" w:space="0" w:color="auto"/>
            <w:bottom w:val="none" w:sz="0" w:space="0" w:color="auto"/>
            <w:right w:val="none" w:sz="0" w:space="0" w:color="auto"/>
          </w:divBdr>
          <w:divsChild>
            <w:div w:id="1864248737">
              <w:marLeft w:val="0"/>
              <w:marRight w:val="0"/>
              <w:marTop w:val="0"/>
              <w:marBottom w:val="0"/>
              <w:divBdr>
                <w:top w:val="none" w:sz="0" w:space="0" w:color="auto"/>
                <w:left w:val="none" w:sz="0" w:space="0" w:color="auto"/>
                <w:bottom w:val="none" w:sz="0" w:space="0" w:color="auto"/>
                <w:right w:val="none" w:sz="0" w:space="0" w:color="auto"/>
              </w:divBdr>
            </w:div>
          </w:divsChild>
        </w:div>
        <w:div w:id="126507303">
          <w:marLeft w:val="0"/>
          <w:marRight w:val="0"/>
          <w:marTop w:val="0"/>
          <w:marBottom w:val="0"/>
          <w:divBdr>
            <w:top w:val="none" w:sz="0" w:space="0" w:color="auto"/>
            <w:left w:val="none" w:sz="0" w:space="0" w:color="auto"/>
            <w:bottom w:val="none" w:sz="0" w:space="0" w:color="auto"/>
            <w:right w:val="none" w:sz="0" w:space="0" w:color="auto"/>
          </w:divBdr>
          <w:divsChild>
            <w:div w:id="493491395">
              <w:marLeft w:val="0"/>
              <w:marRight w:val="0"/>
              <w:marTop w:val="0"/>
              <w:marBottom w:val="0"/>
              <w:divBdr>
                <w:top w:val="none" w:sz="0" w:space="0" w:color="auto"/>
                <w:left w:val="none" w:sz="0" w:space="0" w:color="auto"/>
                <w:bottom w:val="none" w:sz="0" w:space="0" w:color="auto"/>
                <w:right w:val="none" w:sz="0" w:space="0" w:color="auto"/>
              </w:divBdr>
            </w:div>
          </w:divsChild>
        </w:div>
        <w:div w:id="145754969">
          <w:marLeft w:val="0"/>
          <w:marRight w:val="0"/>
          <w:marTop w:val="0"/>
          <w:marBottom w:val="0"/>
          <w:divBdr>
            <w:top w:val="none" w:sz="0" w:space="0" w:color="auto"/>
            <w:left w:val="none" w:sz="0" w:space="0" w:color="auto"/>
            <w:bottom w:val="none" w:sz="0" w:space="0" w:color="auto"/>
            <w:right w:val="none" w:sz="0" w:space="0" w:color="auto"/>
          </w:divBdr>
          <w:divsChild>
            <w:div w:id="1504932916">
              <w:marLeft w:val="0"/>
              <w:marRight w:val="0"/>
              <w:marTop w:val="0"/>
              <w:marBottom w:val="0"/>
              <w:divBdr>
                <w:top w:val="none" w:sz="0" w:space="0" w:color="auto"/>
                <w:left w:val="none" w:sz="0" w:space="0" w:color="auto"/>
                <w:bottom w:val="none" w:sz="0" w:space="0" w:color="auto"/>
                <w:right w:val="none" w:sz="0" w:space="0" w:color="auto"/>
              </w:divBdr>
            </w:div>
          </w:divsChild>
        </w:div>
        <w:div w:id="154297796">
          <w:marLeft w:val="0"/>
          <w:marRight w:val="0"/>
          <w:marTop w:val="0"/>
          <w:marBottom w:val="0"/>
          <w:divBdr>
            <w:top w:val="none" w:sz="0" w:space="0" w:color="auto"/>
            <w:left w:val="none" w:sz="0" w:space="0" w:color="auto"/>
            <w:bottom w:val="none" w:sz="0" w:space="0" w:color="auto"/>
            <w:right w:val="none" w:sz="0" w:space="0" w:color="auto"/>
          </w:divBdr>
          <w:divsChild>
            <w:div w:id="93718572">
              <w:marLeft w:val="0"/>
              <w:marRight w:val="0"/>
              <w:marTop w:val="0"/>
              <w:marBottom w:val="0"/>
              <w:divBdr>
                <w:top w:val="none" w:sz="0" w:space="0" w:color="auto"/>
                <w:left w:val="none" w:sz="0" w:space="0" w:color="auto"/>
                <w:bottom w:val="none" w:sz="0" w:space="0" w:color="auto"/>
                <w:right w:val="none" w:sz="0" w:space="0" w:color="auto"/>
              </w:divBdr>
            </w:div>
          </w:divsChild>
        </w:div>
        <w:div w:id="187838934">
          <w:marLeft w:val="0"/>
          <w:marRight w:val="0"/>
          <w:marTop w:val="0"/>
          <w:marBottom w:val="0"/>
          <w:divBdr>
            <w:top w:val="none" w:sz="0" w:space="0" w:color="auto"/>
            <w:left w:val="none" w:sz="0" w:space="0" w:color="auto"/>
            <w:bottom w:val="none" w:sz="0" w:space="0" w:color="auto"/>
            <w:right w:val="none" w:sz="0" w:space="0" w:color="auto"/>
          </w:divBdr>
          <w:divsChild>
            <w:div w:id="925383794">
              <w:marLeft w:val="0"/>
              <w:marRight w:val="0"/>
              <w:marTop w:val="0"/>
              <w:marBottom w:val="0"/>
              <w:divBdr>
                <w:top w:val="none" w:sz="0" w:space="0" w:color="auto"/>
                <w:left w:val="none" w:sz="0" w:space="0" w:color="auto"/>
                <w:bottom w:val="none" w:sz="0" w:space="0" w:color="auto"/>
                <w:right w:val="none" w:sz="0" w:space="0" w:color="auto"/>
              </w:divBdr>
            </w:div>
            <w:div w:id="1241405541">
              <w:marLeft w:val="0"/>
              <w:marRight w:val="0"/>
              <w:marTop w:val="0"/>
              <w:marBottom w:val="0"/>
              <w:divBdr>
                <w:top w:val="none" w:sz="0" w:space="0" w:color="auto"/>
                <w:left w:val="none" w:sz="0" w:space="0" w:color="auto"/>
                <w:bottom w:val="none" w:sz="0" w:space="0" w:color="auto"/>
                <w:right w:val="none" w:sz="0" w:space="0" w:color="auto"/>
              </w:divBdr>
            </w:div>
          </w:divsChild>
        </w:div>
        <w:div w:id="221675066">
          <w:marLeft w:val="0"/>
          <w:marRight w:val="0"/>
          <w:marTop w:val="0"/>
          <w:marBottom w:val="0"/>
          <w:divBdr>
            <w:top w:val="none" w:sz="0" w:space="0" w:color="auto"/>
            <w:left w:val="none" w:sz="0" w:space="0" w:color="auto"/>
            <w:bottom w:val="none" w:sz="0" w:space="0" w:color="auto"/>
            <w:right w:val="none" w:sz="0" w:space="0" w:color="auto"/>
          </w:divBdr>
          <w:divsChild>
            <w:div w:id="1877624373">
              <w:marLeft w:val="0"/>
              <w:marRight w:val="0"/>
              <w:marTop w:val="0"/>
              <w:marBottom w:val="0"/>
              <w:divBdr>
                <w:top w:val="none" w:sz="0" w:space="0" w:color="auto"/>
                <w:left w:val="none" w:sz="0" w:space="0" w:color="auto"/>
                <w:bottom w:val="none" w:sz="0" w:space="0" w:color="auto"/>
                <w:right w:val="none" w:sz="0" w:space="0" w:color="auto"/>
              </w:divBdr>
            </w:div>
          </w:divsChild>
        </w:div>
        <w:div w:id="238370553">
          <w:marLeft w:val="0"/>
          <w:marRight w:val="0"/>
          <w:marTop w:val="0"/>
          <w:marBottom w:val="0"/>
          <w:divBdr>
            <w:top w:val="none" w:sz="0" w:space="0" w:color="auto"/>
            <w:left w:val="none" w:sz="0" w:space="0" w:color="auto"/>
            <w:bottom w:val="none" w:sz="0" w:space="0" w:color="auto"/>
            <w:right w:val="none" w:sz="0" w:space="0" w:color="auto"/>
          </w:divBdr>
          <w:divsChild>
            <w:div w:id="547838899">
              <w:marLeft w:val="0"/>
              <w:marRight w:val="0"/>
              <w:marTop w:val="0"/>
              <w:marBottom w:val="0"/>
              <w:divBdr>
                <w:top w:val="none" w:sz="0" w:space="0" w:color="auto"/>
                <w:left w:val="none" w:sz="0" w:space="0" w:color="auto"/>
                <w:bottom w:val="none" w:sz="0" w:space="0" w:color="auto"/>
                <w:right w:val="none" w:sz="0" w:space="0" w:color="auto"/>
              </w:divBdr>
            </w:div>
          </w:divsChild>
        </w:div>
        <w:div w:id="283736418">
          <w:marLeft w:val="0"/>
          <w:marRight w:val="0"/>
          <w:marTop w:val="0"/>
          <w:marBottom w:val="0"/>
          <w:divBdr>
            <w:top w:val="none" w:sz="0" w:space="0" w:color="auto"/>
            <w:left w:val="none" w:sz="0" w:space="0" w:color="auto"/>
            <w:bottom w:val="none" w:sz="0" w:space="0" w:color="auto"/>
            <w:right w:val="none" w:sz="0" w:space="0" w:color="auto"/>
          </w:divBdr>
          <w:divsChild>
            <w:div w:id="1446778418">
              <w:marLeft w:val="0"/>
              <w:marRight w:val="0"/>
              <w:marTop w:val="0"/>
              <w:marBottom w:val="0"/>
              <w:divBdr>
                <w:top w:val="none" w:sz="0" w:space="0" w:color="auto"/>
                <w:left w:val="none" w:sz="0" w:space="0" w:color="auto"/>
                <w:bottom w:val="none" w:sz="0" w:space="0" w:color="auto"/>
                <w:right w:val="none" w:sz="0" w:space="0" w:color="auto"/>
              </w:divBdr>
            </w:div>
          </w:divsChild>
        </w:div>
        <w:div w:id="574051826">
          <w:marLeft w:val="0"/>
          <w:marRight w:val="0"/>
          <w:marTop w:val="0"/>
          <w:marBottom w:val="0"/>
          <w:divBdr>
            <w:top w:val="none" w:sz="0" w:space="0" w:color="auto"/>
            <w:left w:val="none" w:sz="0" w:space="0" w:color="auto"/>
            <w:bottom w:val="none" w:sz="0" w:space="0" w:color="auto"/>
            <w:right w:val="none" w:sz="0" w:space="0" w:color="auto"/>
          </w:divBdr>
          <w:divsChild>
            <w:div w:id="1381710299">
              <w:marLeft w:val="0"/>
              <w:marRight w:val="0"/>
              <w:marTop w:val="0"/>
              <w:marBottom w:val="0"/>
              <w:divBdr>
                <w:top w:val="none" w:sz="0" w:space="0" w:color="auto"/>
                <w:left w:val="none" w:sz="0" w:space="0" w:color="auto"/>
                <w:bottom w:val="none" w:sz="0" w:space="0" w:color="auto"/>
                <w:right w:val="none" w:sz="0" w:space="0" w:color="auto"/>
              </w:divBdr>
            </w:div>
          </w:divsChild>
        </w:div>
        <w:div w:id="617757114">
          <w:marLeft w:val="0"/>
          <w:marRight w:val="0"/>
          <w:marTop w:val="0"/>
          <w:marBottom w:val="0"/>
          <w:divBdr>
            <w:top w:val="none" w:sz="0" w:space="0" w:color="auto"/>
            <w:left w:val="none" w:sz="0" w:space="0" w:color="auto"/>
            <w:bottom w:val="none" w:sz="0" w:space="0" w:color="auto"/>
            <w:right w:val="none" w:sz="0" w:space="0" w:color="auto"/>
          </w:divBdr>
          <w:divsChild>
            <w:div w:id="1558080374">
              <w:marLeft w:val="0"/>
              <w:marRight w:val="0"/>
              <w:marTop w:val="0"/>
              <w:marBottom w:val="0"/>
              <w:divBdr>
                <w:top w:val="none" w:sz="0" w:space="0" w:color="auto"/>
                <w:left w:val="none" w:sz="0" w:space="0" w:color="auto"/>
                <w:bottom w:val="none" w:sz="0" w:space="0" w:color="auto"/>
                <w:right w:val="none" w:sz="0" w:space="0" w:color="auto"/>
              </w:divBdr>
            </w:div>
            <w:div w:id="1562595903">
              <w:marLeft w:val="0"/>
              <w:marRight w:val="0"/>
              <w:marTop w:val="0"/>
              <w:marBottom w:val="0"/>
              <w:divBdr>
                <w:top w:val="none" w:sz="0" w:space="0" w:color="auto"/>
                <w:left w:val="none" w:sz="0" w:space="0" w:color="auto"/>
                <w:bottom w:val="none" w:sz="0" w:space="0" w:color="auto"/>
                <w:right w:val="none" w:sz="0" w:space="0" w:color="auto"/>
              </w:divBdr>
            </w:div>
          </w:divsChild>
        </w:div>
        <w:div w:id="807283797">
          <w:marLeft w:val="0"/>
          <w:marRight w:val="0"/>
          <w:marTop w:val="0"/>
          <w:marBottom w:val="0"/>
          <w:divBdr>
            <w:top w:val="none" w:sz="0" w:space="0" w:color="auto"/>
            <w:left w:val="none" w:sz="0" w:space="0" w:color="auto"/>
            <w:bottom w:val="none" w:sz="0" w:space="0" w:color="auto"/>
            <w:right w:val="none" w:sz="0" w:space="0" w:color="auto"/>
          </w:divBdr>
          <w:divsChild>
            <w:div w:id="529415494">
              <w:marLeft w:val="0"/>
              <w:marRight w:val="0"/>
              <w:marTop w:val="0"/>
              <w:marBottom w:val="0"/>
              <w:divBdr>
                <w:top w:val="none" w:sz="0" w:space="0" w:color="auto"/>
                <w:left w:val="none" w:sz="0" w:space="0" w:color="auto"/>
                <w:bottom w:val="none" w:sz="0" w:space="0" w:color="auto"/>
                <w:right w:val="none" w:sz="0" w:space="0" w:color="auto"/>
              </w:divBdr>
            </w:div>
            <w:div w:id="2023849186">
              <w:marLeft w:val="0"/>
              <w:marRight w:val="0"/>
              <w:marTop w:val="0"/>
              <w:marBottom w:val="0"/>
              <w:divBdr>
                <w:top w:val="none" w:sz="0" w:space="0" w:color="auto"/>
                <w:left w:val="none" w:sz="0" w:space="0" w:color="auto"/>
                <w:bottom w:val="none" w:sz="0" w:space="0" w:color="auto"/>
                <w:right w:val="none" w:sz="0" w:space="0" w:color="auto"/>
              </w:divBdr>
            </w:div>
          </w:divsChild>
        </w:div>
        <w:div w:id="836186313">
          <w:marLeft w:val="0"/>
          <w:marRight w:val="0"/>
          <w:marTop w:val="0"/>
          <w:marBottom w:val="0"/>
          <w:divBdr>
            <w:top w:val="none" w:sz="0" w:space="0" w:color="auto"/>
            <w:left w:val="none" w:sz="0" w:space="0" w:color="auto"/>
            <w:bottom w:val="none" w:sz="0" w:space="0" w:color="auto"/>
            <w:right w:val="none" w:sz="0" w:space="0" w:color="auto"/>
          </w:divBdr>
          <w:divsChild>
            <w:div w:id="1639727900">
              <w:marLeft w:val="0"/>
              <w:marRight w:val="0"/>
              <w:marTop w:val="0"/>
              <w:marBottom w:val="0"/>
              <w:divBdr>
                <w:top w:val="none" w:sz="0" w:space="0" w:color="auto"/>
                <w:left w:val="none" w:sz="0" w:space="0" w:color="auto"/>
                <w:bottom w:val="none" w:sz="0" w:space="0" w:color="auto"/>
                <w:right w:val="none" w:sz="0" w:space="0" w:color="auto"/>
              </w:divBdr>
            </w:div>
          </w:divsChild>
        </w:div>
        <w:div w:id="870724046">
          <w:marLeft w:val="0"/>
          <w:marRight w:val="0"/>
          <w:marTop w:val="0"/>
          <w:marBottom w:val="0"/>
          <w:divBdr>
            <w:top w:val="none" w:sz="0" w:space="0" w:color="auto"/>
            <w:left w:val="none" w:sz="0" w:space="0" w:color="auto"/>
            <w:bottom w:val="none" w:sz="0" w:space="0" w:color="auto"/>
            <w:right w:val="none" w:sz="0" w:space="0" w:color="auto"/>
          </w:divBdr>
          <w:divsChild>
            <w:div w:id="205139709">
              <w:marLeft w:val="0"/>
              <w:marRight w:val="0"/>
              <w:marTop w:val="0"/>
              <w:marBottom w:val="0"/>
              <w:divBdr>
                <w:top w:val="none" w:sz="0" w:space="0" w:color="auto"/>
                <w:left w:val="none" w:sz="0" w:space="0" w:color="auto"/>
                <w:bottom w:val="none" w:sz="0" w:space="0" w:color="auto"/>
                <w:right w:val="none" w:sz="0" w:space="0" w:color="auto"/>
              </w:divBdr>
            </w:div>
            <w:div w:id="625038826">
              <w:marLeft w:val="0"/>
              <w:marRight w:val="0"/>
              <w:marTop w:val="0"/>
              <w:marBottom w:val="0"/>
              <w:divBdr>
                <w:top w:val="none" w:sz="0" w:space="0" w:color="auto"/>
                <w:left w:val="none" w:sz="0" w:space="0" w:color="auto"/>
                <w:bottom w:val="none" w:sz="0" w:space="0" w:color="auto"/>
                <w:right w:val="none" w:sz="0" w:space="0" w:color="auto"/>
              </w:divBdr>
            </w:div>
          </w:divsChild>
        </w:div>
        <w:div w:id="1047339084">
          <w:marLeft w:val="0"/>
          <w:marRight w:val="0"/>
          <w:marTop w:val="0"/>
          <w:marBottom w:val="0"/>
          <w:divBdr>
            <w:top w:val="none" w:sz="0" w:space="0" w:color="auto"/>
            <w:left w:val="none" w:sz="0" w:space="0" w:color="auto"/>
            <w:bottom w:val="none" w:sz="0" w:space="0" w:color="auto"/>
            <w:right w:val="none" w:sz="0" w:space="0" w:color="auto"/>
          </w:divBdr>
          <w:divsChild>
            <w:div w:id="618418754">
              <w:marLeft w:val="0"/>
              <w:marRight w:val="0"/>
              <w:marTop w:val="0"/>
              <w:marBottom w:val="0"/>
              <w:divBdr>
                <w:top w:val="none" w:sz="0" w:space="0" w:color="auto"/>
                <w:left w:val="none" w:sz="0" w:space="0" w:color="auto"/>
                <w:bottom w:val="none" w:sz="0" w:space="0" w:color="auto"/>
                <w:right w:val="none" w:sz="0" w:space="0" w:color="auto"/>
              </w:divBdr>
            </w:div>
          </w:divsChild>
        </w:div>
        <w:div w:id="1305812916">
          <w:marLeft w:val="0"/>
          <w:marRight w:val="0"/>
          <w:marTop w:val="0"/>
          <w:marBottom w:val="0"/>
          <w:divBdr>
            <w:top w:val="none" w:sz="0" w:space="0" w:color="auto"/>
            <w:left w:val="none" w:sz="0" w:space="0" w:color="auto"/>
            <w:bottom w:val="none" w:sz="0" w:space="0" w:color="auto"/>
            <w:right w:val="none" w:sz="0" w:space="0" w:color="auto"/>
          </w:divBdr>
          <w:divsChild>
            <w:div w:id="632558218">
              <w:marLeft w:val="0"/>
              <w:marRight w:val="0"/>
              <w:marTop w:val="0"/>
              <w:marBottom w:val="0"/>
              <w:divBdr>
                <w:top w:val="none" w:sz="0" w:space="0" w:color="auto"/>
                <w:left w:val="none" w:sz="0" w:space="0" w:color="auto"/>
                <w:bottom w:val="none" w:sz="0" w:space="0" w:color="auto"/>
                <w:right w:val="none" w:sz="0" w:space="0" w:color="auto"/>
              </w:divBdr>
            </w:div>
            <w:div w:id="1027489470">
              <w:marLeft w:val="0"/>
              <w:marRight w:val="0"/>
              <w:marTop w:val="0"/>
              <w:marBottom w:val="0"/>
              <w:divBdr>
                <w:top w:val="none" w:sz="0" w:space="0" w:color="auto"/>
                <w:left w:val="none" w:sz="0" w:space="0" w:color="auto"/>
                <w:bottom w:val="none" w:sz="0" w:space="0" w:color="auto"/>
                <w:right w:val="none" w:sz="0" w:space="0" w:color="auto"/>
              </w:divBdr>
            </w:div>
          </w:divsChild>
        </w:div>
        <w:div w:id="1394692374">
          <w:marLeft w:val="0"/>
          <w:marRight w:val="0"/>
          <w:marTop w:val="0"/>
          <w:marBottom w:val="0"/>
          <w:divBdr>
            <w:top w:val="none" w:sz="0" w:space="0" w:color="auto"/>
            <w:left w:val="none" w:sz="0" w:space="0" w:color="auto"/>
            <w:bottom w:val="none" w:sz="0" w:space="0" w:color="auto"/>
            <w:right w:val="none" w:sz="0" w:space="0" w:color="auto"/>
          </w:divBdr>
          <w:divsChild>
            <w:div w:id="1778520184">
              <w:marLeft w:val="0"/>
              <w:marRight w:val="0"/>
              <w:marTop w:val="0"/>
              <w:marBottom w:val="0"/>
              <w:divBdr>
                <w:top w:val="none" w:sz="0" w:space="0" w:color="auto"/>
                <w:left w:val="none" w:sz="0" w:space="0" w:color="auto"/>
                <w:bottom w:val="none" w:sz="0" w:space="0" w:color="auto"/>
                <w:right w:val="none" w:sz="0" w:space="0" w:color="auto"/>
              </w:divBdr>
            </w:div>
          </w:divsChild>
        </w:div>
        <w:div w:id="1489785288">
          <w:marLeft w:val="0"/>
          <w:marRight w:val="0"/>
          <w:marTop w:val="0"/>
          <w:marBottom w:val="0"/>
          <w:divBdr>
            <w:top w:val="none" w:sz="0" w:space="0" w:color="auto"/>
            <w:left w:val="none" w:sz="0" w:space="0" w:color="auto"/>
            <w:bottom w:val="none" w:sz="0" w:space="0" w:color="auto"/>
            <w:right w:val="none" w:sz="0" w:space="0" w:color="auto"/>
          </w:divBdr>
          <w:divsChild>
            <w:div w:id="1403066499">
              <w:marLeft w:val="0"/>
              <w:marRight w:val="0"/>
              <w:marTop w:val="0"/>
              <w:marBottom w:val="0"/>
              <w:divBdr>
                <w:top w:val="none" w:sz="0" w:space="0" w:color="auto"/>
                <w:left w:val="none" w:sz="0" w:space="0" w:color="auto"/>
                <w:bottom w:val="none" w:sz="0" w:space="0" w:color="auto"/>
                <w:right w:val="none" w:sz="0" w:space="0" w:color="auto"/>
              </w:divBdr>
            </w:div>
          </w:divsChild>
        </w:div>
        <w:div w:id="1496995729">
          <w:marLeft w:val="0"/>
          <w:marRight w:val="0"/>
          <w:marTop w:val="0"/>
          <w:marBottom w:val="0"/>
          <w:divBdr>
            <w:top w:val="none" w:sz="0" w:space="0" w:color="auto"/>
            <w:left w:val="none" w:sz="0" w:space="0" w:color="auto"/>
            <w:bottom w:val="none" w:sz="0" w:space="0" w:color="auto"/>
            <w:right w:val="none" w:sz="0" w:space="0" w:color="auto"/>
          </w:divBdr>
          <w:divsChild>
            <w:div w:id="1951159498">
              <w:marLeft w:val="0"/>
              <w:marRight w:val="0"/>
              <w:marTop w:val="0"/>
              <w:marBottom w:val="0"/>
              <w:divBdr>
                <w:top w:val="none" w:sz="0" w:space="0" w:color="auto"/>
                <w:left w:val="none" w:sz="0" w:space="0" w:color="auto"/>
                <w:bottom w:val="none" w:sz="0" w:space="0" w:color="auto"/>
                <w:right w:val="none" w:sz="0" w:space="0" w:color="auto"/>
              </w:divBdr>
            </w:div>
          </w:divsChild>
        </w:div>
        <w:div w:id="1501778482">
          <w:marLeft w:val="0"/>
          <w:marRight w:val="0"/>
          <w:marTop w:val="0"/>
          <w:marBottom w:val="0"/>
          <w:divBdr>
            <w:top w:val="none" w:sz="0" w:space="0" w:color="auto"/>
            <w:left w:val="none" w:sz="0" w:space="0" w:color="auto"/>
            <w:bottom w:val="none" w:sz="0" w:space="0" w:color="auto"/>
            <w:right w:val="none" w:sz="0" w:space="0" w:color="auto"/>
          </w:divBdr>
          <w:divsChild>
            <w:div w:id="179049419">
              <w:marLeft w:val="0"/>
              <w:marRight w:val="0"/>
              <w:marTop w:val="0"/>
              <w:marBottom w:val="0"/>
              <w:divBdr>
                <w:top w:val="none" w:sz="0" w:space="0" w:color="auto"/>
                <w:left w:val="none" w:sz="0" w:space="0" w:color="auto"/>
                <w:bottom w:val="none" w:sz="0" w:space="0" w:color="auto"/>
                <w:right w:val="none" w:sz="0" w:space="0" w:color="auto"/>
              </w:divBdr>
            </w:div>
          </w:divsChild>
        </w:div>
        <w:div w:id="1585216893">
          <w:marLeft w:val="0"/>
          <w:marRight w:val="0"/>
          <w:marTop w:val="0"/>
          <w:marBottom w:val="0"/>
          <w:divBdr>
            <w:top w:val="none" w:sz="0" w:space="0" w:color="auto"/>
            <w:left w:val="none" w:sz="0" w:space="0" w:color="auto"/>
            <w:bottom w:val="none" w:sz="0" w:space="0" w:color="auto"/>
            <w:right w:val="none" w:sz="0" w:space="0" w:color="auto"/>
          </w:divBdr>
          <w:divsChild>
            <w:div w:id="170338146">
              <w:marLeft w:val="0"/>
              <w:marRight w:val="0"/>
              <w:marTop w:val="0"/>
              <w:marBottom w:val="0"/>
              <w:divBdr>
                <w:top w:val="none" w:sz="0" w:space="0" w:color="auto"/>
                <w:left w:val="none" w:sz="0" w:space="0" w:color="auto"/>
                <w:bottom w:val="none" w:sz="0" w:space="0" w:color="auto"/>
                <w:right w:val="none" w:sz="0" w:space="0" w:color="auto"/>
              </w:divBdr>
            </w:div>
          </w:divsChild>
        </w:div>
        <w:div w:id="1632206429">
          <w:marLeft w:val="0"/>
          <w:marRight w:val="0"/>
          <w:marTop w:val="0"/>
          <w:marBottom w:val="0"/>
          <w:divBdr>
            <w:top w:val="none" w:sz="0" w:space="0" w:color="auto"/>
            <w:left w:val="none" w:sz="0" w:space="0" w:color="auto"/>
            <w:bottom w:val="none" w:sz="0" w:space="0" w:color="auto"/>
            <w:right w:val="none" w:sz="0" w:space="0" w:color="auto"/>
          </w:divBdr>
          <w:divsChild>
            <w:div w:id="1573127034">
              <w:marLeft w:val="0"/>
              <w:marRight w:val="0"/>
              <w:marTop w:val="0"/>
              <w:marBottom w:val="0"/>
              <w:divBdr>
                <w:top w:val="none" w:sz="0" w:space="0" w:color="auto"/>
                <w:left w:val="none" w:sz="0" w:space="0" w:color="auto"/>
                <w:bottom w:val="none" w:sz="0" w:space="0" w:color="auto"/>
                <w:right w:val="none" w:sz="0" w:space="0" w:color="auto"/>
              </w:divBdr>
            </w:div>
          </w:divsChild>
        </w:div>
        <w:div w:id="1662342586">
          <w:marLeft w:val="0"/>
          <w:marRight w:val="0"/>
          <w:marTop w:val="0"/>
          <w:marBottom w:val="0"/>
          <w:divBdr>
            <w:top w:val="none" w:sz="0" w:space="0" w:color="auto"/>
            <w:left w:val="none" w:sz="0" w:space="0" w:color="auto"/>
            <w:bottom w:val="none" w:sz="0" w:space="0" w:color="auto"/>
            <w:right w:val="none" w:sz="0" w:space="0" w:color="auto"/>
          </w:divBdr>
          <w:divsChild>
            <w:div w:id="11808524">
              <w:marLeft w:val="0"/>
              <w:marRight w:val="0"/>
              <w:marTop w:val="0"/>
              <w:marBottom w:val="0"/>
              <w:divBdr>
                <w:top w:val="none" w:sz="0" w:space="0" w:color="auto"/>
                <w:left w:val="none" w:sz="0" w:space="0" w:color="auto"/>
                <w:bottom w:val="none" w:sz="0" w:space="0" w:color="auto"/>
                <w:right w:val="none" w:sz="0" w:space="0" w:color="auto"/>
              </w:divBdr>
            </w:div>
          </w:divsChild>
        </w:div>
        <w:div w:id="1706977387">
          <w:marLeft w:val="0"/>
          <w:marRight w:val="0"/>
          <w:marTop w:val="0"/>
          <w:marBottom w:val="0"/>
          <w:divBdr>
            <w:top w:val="none" w:sz="0" w:space="0" w:color="auto"/>
            <w:left w:val="none" w:sz="0" w:space="0" w:color="auto"/>
            <w:bottom w:val="none" w:sz="0" w:space="0" w:color="auto"/>
            <w:right w:val="none" w:sz="0" w:space="0" w:color="auto"/>
          </w:divBdr>
          <w:divsChild>
            <w:div w:id="1328509519">
              <w:marLeft w:val="0"/>
              <w:marRight w:val="0"/>
              <w:marTop w:val="0"/>
              <w:marBottom w:val="0"/>
              <w:divBdr>
                <w:top w:val="none" w:sz="0" w:space="0" w:color="auto"/>
                <w:left w:val="none" w:sz="0" w:space="0" w:color="auto"/>
                <w:bottom w:val="none" w:sz="0" w:space="0" w:color="auto"/>
                <w:right w:val="none" w:sz="0" w:space="0" w:color="auto"/>
              </w:divBdr>
            </w:div>
          </w:divsChild>
        </w:div>
        <w:div w:id="1710032777">
          <w:marLeft w:val="0"/>
          <w:marRight w:val="0"/>
          <w:marTop w:val="0"/>
          <w:marBottom w:val="0"/>
          <w:divBdr>
            <w:top w:val="none" w:sz="0" w:space="0" w:color="auto"/>
            <w:left w:val="none" w:sz="0" w:space="0" w:color="auto"/>
            <w:bottom w:val="none" w:sz="0" w:space="0" w:color="auto"/>
            <w:right w:val="none" w:sz="0" w:space="0" w:color="auto"/>
          </w:divBdr>
          <w:divsChild>
            <w:div w:id="891846371">
              <w:marLeft w:val="0"/>
              <w:marRight w:val="0"/>
              <w:marTop w:val="0"/>
              <w:marBottom w:val="0"/>
              <w:divBdr>
                <w:top w:val="none" w:sz="0" w:space="0" w:color="auto"/>
                <w:left w:val="none" w:sz="0" w:space="0" w:color="auto"/>
                <w:bottom w:val="none" w:sz="0" w:space="0" w:color="auto"/>
                <w:right w:val="none" w:sz="0" w:space="0" w:color="auto"/>
              </w:divBdr>
            </w:div>
          </w:divsChild>
        </w:div>
        <w:div w:id="1716544242">
          <w:marLeft w:val="0"/>
          <w:marRight w:val="0"/>
          <w:marTop w:val="0"/>
          <w:marBottom w:val="0"/>
          <w:divBdr>
            <w:top w:val="none" w:sz="0" w:space="0" w:color="auto"/>
            <w:left w:val="none" w:sz="0" w:space="0" w:color="auto"/>
            <w:bottom w:val="none" w:sz="0" w:space="0" w:color="auto"/>
            <w:right w:val="none" w:sz="0" w:space="0" w:color="auto"/>
          </w:divBdr>
          <w:divsChild>
            <w:div w:id="258560006">
              <w:marLeft w:val="0"/>
              <w:marRight w:val="0"/>
              <w:marTop w:val="0"/>
              <w:marBottom w:val="0"/>
              <w:divBdr>
                <w:top w:val="none" w:sz="0" w:space="0" w:color="auto"/>
                <w:left w:val="none" w:sz="0" w:space="0" w:color="auto"/>
                <w:bottom w:val="none" w:sz="0" w:space="0" w:color="auto"/>
                <w:right w:val="none" w:sz="0" w:space="0" w:color="auto"/>
              </w:divBdr>
            </w:div>
            <w:div w:id="610817463">
              <w:marLeft w:val="0"/>
              <w:marRight w:val="0"/>
              <w:marTop w:val="0"/>
              <w:marBottom w:val="0"/>
              <w:divBdr>
                <w:top w:val="none" w:sz="0" w:space="0" w:color="auto"/>
                <w:left w:val="none" w:sz="0" w:space="0" w:color="auto"/>
                <w:bottom w:val="none" w:sz="0" w:space="0" w:color="auto"/>
                <w:right w:val="none" w:sz="0" w:space="0" w:color="auto"/>
              </w:divBdr>
            </w:div>
          </w:divsChild>
        </w:div>
        <w:div w:id="1721439355">
          <w:marLeft w:val="0"/>
          <w:marRight w:val="0"/>
          <w:marTop w:val="0"/>
          <w:marBottom w:val="0"/>
          <w:divBdr>
            <w:top w:val="none" w:sz="0" w:space="0" w:color="auto"/>
            <w:left w:val="none" w:sz="0" w:space="0" w:color="auto"/>
            <w:bottom w:val="none" w:sz="0" w:space="0" w:color="auto"/>
            <w:right w:val="none" w:sz="0" w:space="0" w:color="auto"/>
          </w:divBdr>
          <w:divsChild>
            <w:div w:id="940914541">
              <w:marLeft w:val="0"/>
              <w:marRight w:val="0"/>
              <w:marTop w:val="0"/>
              <w:marBottom w:val="0"/>
              <w:divBdr>
                <w:top w:val="none" w:sz="0" w:space="0" w:color="auto"/>
                <w:left w:val="none" w:sz="0" w:space="0" w:color="auto"/>
                <w:bottom w:val="none" w:sz="0" w:space="0" w:color="auto"/>
                <w:right w:val="none" w:sz="0" w:space="0" w:color="auto"/>
              </w:divBdr>
            </w:div>
          </w:divsChild>
        </w:div>
        <w:div w:id="1724137719">
          <w:marLeft w:val="0"/>
          <w:marRight w:val="0"/>
          <w:marTop w:val="0"/>
          <w:marBottom w:val="0"/>
          <w:divBdr>
            <w:top w:val="none" w:sz="0" w:space="0" w:color="auto"/>
            <w:left w:val="none" w:sz="0" w:space="0" w:color="auto"/>
            <w:bottom w:val="none" w:sz="0" w:space="0" w:color="auto"/>
            <w:right w:val="none" w:sz="0" w:space="0" w:color="auto"/>
          </w:divBdr>
          <w:divsChild>
            <w:div w:id="657272201">
              <w:marLeft w:val="0"/>
              <w:marRight w:val="0"/>
              <w:marTop w:val="0"/>
              <w:marBottom w:val="0"/>
              <w:divBdr>
                <w:top w:val="none" w:sz="0" w:space="0" w:color="auto"/>
                <w:left w:val="none" w:sz="0" w:space="0" w:color="auto"/>
                <w:bottom w:val="none" w:sz="0" w:space="0" w:color="auto"/>
                <w:right w:val="none" w:sz="0" w:space="0" w:color="auto"/>
              </w:divBdr>
            </w:div>
          </w:divsChild>
        </w:div>
        <w:div w:id="1751852787">
          <w:marLeft w:val="0"/>
          <w:marRight w:val="0"/>
          <w:marTop w:val="0"/>
          <w:marBottom w:val="0"/>
          <w:divBdr>
            <w:top w:val="none" w:sz="0" w:space="0" w:color="auto"/>
            <w:left w:val="none" w:sz="0" w:space="0" w:color="auto"/>
            <w:bottom w:val="none" w:sz="0" w:space="0" w:color="auto"/>
            <w:right w:val="none" w:sz="0" w:space="0" w:color="auto"/>
          </w:divBdr>
          <w:divsChild>
            <w:div w:id="600378735">
              <w:marLeft w:val="0"/>
              <w:marRight w:val="0"/>
              <w:marTop w:val="0"/>
              <w:marBottom w:val="0"/>
              <w:divBdr>
                <w:top w:val="none" w:sz="0" w:space="0" w:color="auto"/>
                <w:left w:val="none" w:sz="0" w:space="0" w:color="auto"/>
                <w:bottom w:val="none" w:sz="0" w:space="0" w:color="auto"/>
                <w:right w:val="none" w:sz="0" w:space="0" w:color="auto"/>
              </w:divBdr>
            </w:div>
          </w:divsChild>
        </w:div>
        <w:div w:id="1811970261">
          <w:marLeft w:val="0"/>
          <w:marRight w:val="0"/>
          <w:marTop w:val="0"/>
          <w:marBottom w:val="0"/>
          <w:divBdr>
            <w:top w:val="none" w:sz="0" w:space="0" w:color="auto"/>
            <w:left w:val="none" w:sz="0" w:space="0" w:color="auto"/>
            <w:bottom w:val="none" w:sz="0" w:space="0" w:color="auto"/>
            <w:right w:val="none" w:sz="0" w:space="0" w:color="auto"/>
          </w:divBdr>
          <w:divsChild>
            <w:div w:id="1553080552">
              <w:marLeft w:val="0"/>
              <w:marRight w:val="0"/>
              <w:marTop w:val="0"/>
              <w:marBottom w:val="0"/>
              <w:divBdr>
                <w:top w:val="none" w:sz="0" w:space="0" w:color="auto"/>
                <w:left w:val="none" w:sz="0" w:space="0" w:color="auto"/>
                <w:bottom w:val="none" w:sz="0" w:space="0" w:color="auto"/>
                <w:right w:val="none" w:sz="0" w:space="0" w:color="auto"/>
              </w:divBdr>
            </w:div>
          </w:divsChild>
        </w:div>
        <w:div w:id="1928689763">
          <w:marLeft w:val="0"/>
          <w:marRight w:val="0"/>
          <w:marTop w:val="0"/>
          <w:marBottom w:val="0"/>
          <w:divBdr>
            <w:top w:val="none" w:sz="0" w:space="0" w:color="auto"/>
            <w:left w:val="none" w:sz="0" w:space="0" w:color="auto"/>
            <w:bottom w:val="none" w:sz="0" w:space="0" w:color="auto"/>
            <w:right w:val="none" w:sz="0" w:space="0" w:color="auto"/>
          </w:divBdr>
          <w:divsChild>
            <w:div w:id="19414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8566">
      <w:bodyDiv w:val="1"/>
      <w:marLeft w:val="0"/>
      <w:marRight w:val="0"/>
      <w:marTop w:val="0"/>
      <w:marBottom w:val="0"/>
      <w:divBdr>
        <w:top w:val="none" w:sz="0" w:space="0" w:color="auto"/>
        <w:left w:val="none" w:sz="0" w:space="0" w:color="auto"/>
        <w:bottom w:val="none" w:sz="0" w:space="0" w:color="auto"/>
        <w:right w:val="none" w:sz="0" w:space="0" w:color="auto"/>
      </w:divBdr>
    </w:div>
    <w:div w:id="1755979283">
      <w:bodyDiv w:val="1"/>
      <w:marLeft w:val="0"/>
      <w:marRight w:val="0"/>
      <w:marTop w:val="0"/>
      <w:marBottom w:val="0"/>
      <w:divBdr>
        <w:top w:val="none" w:sz="0" w:space="0" w:color="auto"/>
        <w:left w:val="none" w:sz="0" w:space="0" w:color="auto"/>
        <w:bottom w:val="none" w:sz="0" w:space="0" w:color="auto"/>
        <w:right w:val="none" w:sz="0" w:space="0" w:color="auto"/>
      </w:divBdr>
      <w:divsChild>
        <w:div w:id="6251352">
          <w:marLeft w:val="0"/>
          <w:marRight w:val="0"/>
          <w:marTop w:val="0"/>
          <w:marBottom w:val="0"/>
          <w:divBdr>
            <w:top w:val="none" w:sz="0" w:space="0" w:color="auto"/>
            <w:left w:val="none" w:sz="0" w:space="0" w:color="auto"/>
            <w:bottom w:val="none" w:sz="0" w:space="0" w:color="auto"/>
            <w:right w:val="none" w:sz="0" w:space="0" w:color="auto"/>
          </w:divBdr>
          <w:divsChild>
            <w:div w:id="77988536">
              <w:marLeft w:val="0"/>
              <w:marRight w:val="0"/>
              <w:marTop w:val="0"/>
              <w:marBottom w:val="0"/>
              <w:divBdr>
                <w:top w:val="none" w:sz="0" w:space="0" w:color="auto"/>
                <w:left w:val="none" w:sz="0" w:space="0" w:color="auto"/>
                <w:bottom w:val="none" w:sz="0" w:space="0" w:color="auto"/>
                <w:right w:val="none" w:sz="0" w:space="0" w:color="auto"/>
              </w:divBdr>
            </w:div>
            <w:div w:id="302121350">
              <w:marLeft w:val="0"/>
              <w:marRight w:val="0"/>
              <w:marTop w:val="0"/>
              <w:marBottom w:val="0"/>
              <w:divBdr>
                <w:top w:val="none" w:sz="0" w:space="0" w:color="auto"/>
                <w:left w:val="none" w:sz="0" w:space="0" w:color="auto"/>
                <w:bottom w:val="none" w:sz="0" w:space="0" w:color="auto"/>
                <w:right w:val="none" w:sz="0" w:space="0" w:color="auto"/>
              </w:divBdr>
            </w:div>
            <w:div w:id="322396172">
              <w:marLeft w:val="0"/>
              <w:marRight w:val="0"/>
              <w:marTop w:val="0"/>
              <w:marBottom w:val="0"/>
              <w:divBdr>
                <w:top w:val="none" w:sz="0" w:space="0" w:color="auto"/>
                <w:left w:val="none" w:sz="0" w:space="0" w:color="auto"/>
                <w:bottom w:val="none" w:sz="0" w:space="0" w:color="auto"/>
                <w:right w:val="none" w:sz="0" w:space="0" w:color="auto"/>
              </w:divBdr>
            </w:div>
            <w:div w:id="371998173">
              <w:marLeft w:val="0"/>
              <w:marRight w:val="0"/>
              <w:marTop w:val="0"/>
              <w:marBottom w:val="0"/>
              <w:divBdr>
                <w:top w:val="none" w:sz="0" w:space="0" w:color="auto"/>
                <w:left w:val="none" w:sz="0" w:space="0" w:color="auto"/>
                <w:bottom w:val="none" w:sz="0" w:space="0" w:color="auto"/>
                <w:right w:val="none" w:sz="0" w:space="0" w:color="auto"/>
              </w:divBdr>
            </w:div>
            <w:div w:id="585266507">
              <w:marLeft w:val="0"/>
              <w:marRight w:val="0"/>
              <w:marTop w:val="0"/>
              <w:marBottom w:val="0"/>
              <w:divBdr>
                <w:top w:val="none" w:sz="0" w:space="0" w:color="auto"/>
                <w:left w:val="none" w:sz="0" w:space="0" w:color="auto"/>
                <w:bottom w:val="none" w:sz="0" w:space="0" w:color="auto"/>
                <w:right w:val="none" w:sz="0" w:space="0" w:color="auto"/>
              </w:divBdr>
            </w:div>
            <w:div w:id="601845060">
              <w:marLeft w:val="0"/>
              <w:marRight w:val="0"/>
              <w:marTop w:val="0"/>
              <w:marBottom w:val="0"/>
              <w:divBdr>
                <w:top w:val="none" w:sz="0" w:space="0" w:color="auto"/>
                <w:left w:val="none" w:sz="0" w:space="0" w:color="auto"/>
                <w:bottom w:val="none" w:sz="0" w:space="0" w:color="auto"/>
                <w:right w:val="none" w:sz="0" w:space="0" w:color="auto"/>
              </w:divBdr>
            </w:div>
            <w:div w:id="835073834">
              <w:marLeft w:val="0"/>
              <w:marRight w:val="0"/>
              <w:marTop w:val="0"/>
              <w:marBottom w:val="0"/>
              <w:divBdr>
                <w:top w:val="none" w:sz="0" w:space="0" w:color="auto"/>
                <w:left w:val="none" w:sz="0" w:space="0" w:color="auto"/>
                <w:bottom w:val="none" w:sz="0" w:space="0" w:color="auto"/>
                <w:right w:val="none" w:sz="0" w:space="0" w:color="auto"/>
              </w:divBdr>
            </w:div>
            <w:div w:id="875241654">
              <w:marLeft w:val="0"/>
              <w:marRight w:val="0"/>
              <w:marTop w:val="0"/>
              <w:marBottom w:val="0"/>
              <w:divBdr>
                <w:top w:val="none" w:sz="0" w:space="0" w:color="auto"/>
                <w:left w:val="none" w:sz="0" w:space="0" w:color="auto"/>
                <w:bottom w:val="none" w:sz="0" w:space="0" w:color="auto"/>
                <w:right w:val="none" w:sz="0" w:space="0" w:color="auto"/>
              </w:divBdr>
            </w:div>
            <w:div w:id="1110661577">
              <w:marLeft w:val="0"/>
              <w:marRight w:val="0"/>
              <w:marTop w:val="0"/>
              <w:marBottom w:val="0"/>
              <w:divBdr>
                <w:top w:val="none" w:sz="0" w:space="0" w:color="auto"/>
                <w:left w:val="none" w:sz="0" w:space="0" w:color="auto"/>
                <w:bottom w:val="none" w:sz="0" w:space="0" w:color="auto"/>
                <w:right w:val="none" w:sz="0" w:space="0" w:color="auto"/>
              </w:divBdr>
            </w:div>
            <w:div w:id="1178229678">
              <w:marLeft w:val="0"/>
              <w:marRight w:val="0"/>
              <w:marTop w:val="0"/>
              <w:marBottom w:val="0"/>
              <w:divBdr>
                <w:top w:val="none" w:sz="0" w:space="0" w:color="auto"/>
                <w:left w:val="none" w:sz="0" w:space="0" w:color="auto"/>
                <w:bottom w:val="none" w:sz="0" w:space="0" w:color="auto"/>
                <w:right w:val="none" w:sz="0" w:space="0" w:color="auto"/>
              </w:divBdr>
            </w:div>
            <w:div w:id="1414157481">
              <w:marLeft w:val="0"/>
              <w:marRight w:val="0"/>
              <w:marTop w:val="0"/>
              <w:marBottom w:val="0"/>
              <w:divBdr>
                <w:top w:val="none" w:sz="0" w:space="0" w:color="auto"/>
                <w:left w:val="none" w:sz="0" w:space="0" w:color="auto"/>
                <w:bottom w:val="none" w:sz="0" w:space="0" w:color="auto"/>
                <w:right w:val="none" w:sz="0" w:space="0" w:color="auto"/>
              </w:divBdr>
            </w:div>
            <w:div w:id="1485701652">
              <w:marLeft w:val="0"/>
              <w:marRight w:val="0"/>
              <w:marTop w:val="0"/>
              <w:marBottom w:val="0"/>
              <w:divBdr>
                <w:top w:val="none" w:sz="0" w:space="0" w:color="auto"/>
                <w:left w:val="none" w:sz="0" w:space="0" w:color="auto"/>
                <w:bottom w:val="none" w:sz="0" w:space="0" w:color="auto"/>
                <w:right w:val="none" w:sz="0" w:space="0" w:color="auto"/>
              </w:divBdr>
            </w:div>
            <w:div w:id="1746800124">
              <w:marLeft w:val="0"/>
              <w:marRight w:val="0"/>
              <w:marTop w:val="0"/>
              <w:marBottom w:val="0"/>
              <w:divBdr>
                <w:top w:val="none" w:sz="0" w:space="0" w:color="auto"/>
                <w:left w:val="none" w:sz="0" w:space="0" w:color="auto"/>
                <w:bottom w:val="none" w:sz="0" w:space="0" w:color="auto"/>
                <w:right w:val="none" w:sz="0" w:space="0" w:color="auto"/>
              </w:divBdr>
            </w:div>
            <w:div w:id="1790007381">
              <w:marLeft w:val="0"/>
              <w:marRight w:val="0"/>
              <w:marTop w:val="0"/>
              <w:marBottom w:val="0"/>
              <w:divBdr>
                <w:top w:val="none" w:sz="0" w:space="0" w:color="auto"/>
                <w:left w:val="none" w:sz="0" w:space="0" w:color="auto"/>
                <w:bottom w:val="none" w:sz="0" w:space="0" w:color="auto"/>
                <w:right w:val="none" w:sz="0" w:space="0" w:color="auto"/>
              </w:divBdr>
            </w:div>
            <w:div w:id="1896619811">
              <w:marLeft w:val="0"/>
              <w:marRight w:val="0"/>
              <w:marTop w:val="0"/>
              <w:marBottom w:val="0"/>
              <w:divBdr>
                <w:top w:val="none" w:sz="0" w:space="0" w:color="auto"/>
                <w:left w:val="none" w:sz="0" w:space="0" w:color="auto"/>
                <w:bottom w:val="none" w:sz="0" w:space="0" w:color="auto"/>
                <w:right w:val="none" w:sz="0" w:space="0" w:color="auto"/>
              </w:divBdr>
            </w:div>
          </w:divsChild>
        </w:div>
        <w:div w:id="177163916">
          <w:marLeft w:val="0"/>
          <w:marRight w:val="0"/>
          <w:marTop w:val="0"/>
          <w:marBottom w:val="0"/>
          <w:divBdr>
            <w:top w:val="none" w:sz="0" w:space="0" w:color="auto"/>
            <w:left w:val="none" w:sz="0" w:space="0" w:color="auto"/>
            <w:bottom w:val="none" w:sz="0" w:space="0" w:color="auto"/>
            <w:right w:val="none" w:sz="0" w:space="0" w:color="auto"/>
          </w:divBdr>
        </w:div>
        <w:div w:id="268393035">
          <w:marLeft w:val="0"/>
          <w:marRight w:val="0"/>
          <w:marTop w:val="0"/>
          <w:marBottom w:val="0"/>
          <w:divBdr>
            <w:top w:val="none" w:sz="0" w:space="0" w:color="auto"/>
            <w:left w:val="none" w:sz="0" w:space="0" w:color="auto"/>
            <w:bottom w:val="none" w:sz="0" w:space="0" w:color="auto"/>
            <w:right w:val="none" w:sz="0" w:space="0" w:color="auto"/>
          </w:divBdr>
          <w:divsChild>
            <w:div w:id="53478724">
              <w:marLeft w:val="0"/>
              <w:marRight w:val="0"/>
              <w:marTop w:val="0"/>
              <w:marBottom w:val="0"/>
              <w:divBdr>
                <w:top w:val="none" w:sz="0" w:space="0" w:color="auto"/>
                <w:left w:val="none" w:sz="0" w:space="0" w:color="auto"/>
                <w:bottom w:val="none" w:sz="0" w:space="0" w:color="auto"/>
                <w:right w:val="none" w:sz="0" w:space="0" w:color="auto"/>
              </w:divBdr>
            </w:div>
            <w:div w:id="68582428">
              <w:marLeft w:val="0"/>
              <w:marRight w:val="0"/>
              <w:marTop w:val="0"/>
              <w:marBottom w:val="0"/>
              <w:divBdr>
                <w:top w:val="none" w:sz="0" w:space="0" w:color="auto"/>
                <w:left w:val="none" w:sz="0" w:space="0" w:color="auto"/>
                <w:bottom w:val="none" w:sz="0" w:space="0" w:color="auto"/>
                <w:right w:val="none" w:sz="0" w:space="0" w:color="auto"/>
              </w:divBdr>
            </w:div>
            <w:div w:id="73013444">
              <w:marLeft w:val="0"/>
              <w:marRight w:val="0"/>
              <w:marTop w:val="0"/>
              <w:marBottom w:val="0"/>
              <w:divBdr>
                <w:top w:val="none" w:sz="0" w:space="0" w:color="auto"/>
                <w:left w:val="none" w:sz="0" w:space="0" w:color="auto"/>
                <w:bottom w:val="none" w:sz="0" w:space="0" w:color="auto"/>
                <w:right w:val="none" w:sz="0" w:space="0" w:color="auto"/>
              </w:divBdr>
            </w:div>
            <w:div w:id="389037581">
              <w:marLeft w:val="0"/>
              <w:marRight w:val="0"/>
              <w:marTop w:val="0"/>
              <w:marBottom w:val="0"/>
              <w:divBdr>
                <w:top w:val="none" w:sz="0" w:space="0" w:color="auto"/>
                <w:left w:val="none" w:sz="0" w:space="0" w:color="auto"/>
                <w:bottom w:val="none" w:sz="0" w:space="0" w:color="auto"/>
                <w:right w:val="none" w:sz="0" w:space="0" w:color="auto"/>
              </w:divBdr>
            </w:div>
            <w:div w:id="396898830">
              <w:marLeft w:val="0"/>
              <w:marRight w:val="0"/>
              <w:marTop w:val="0"/>
              <w:marBottom w:val="0"/>
              <w:divBdr>
                <w:top w:val="none" w:sz="0" w:space="0" w:color="auto"/>
                <w:left w:val="none" w:sz="0" w:space="0" w:color="auto"/>
                <w:bottom w:val="none" w:sz="0" w:space="0" w:color="auto"/>
                <w:right w:val="none" w:sz="0" w:space="0" w:color="auto"/>
              </w:divBdr>
            </w:div>
            <w:div w:id="424612074">
              <w:marLeft w:val="0"/>
              <w:marRight w:val="0"/>
              <w:marTop w:val="0"/>
              <w:marBottom w:val="0"/>
              <w:divBdr>
                <w:top w:val="none" w:sz="0" w:space="0" w:color="auto"/>
                <w:left w:val="none" w:sz="0" w:space="0" w:color="auto"/>
                <w:bottom w:val="none" w:sz="0" w:space="0" w:color="auto"/>
                <w:right w:val="none" w:sz="0" w:space="0" w:color="auto"/>
              </w:divBdr>
            </w:div>
            <w:div w:id="553859764">
              <w:marLeft w:val="0"/>
              <w:marRight w:val="0"/>
              <w:marTop w:val="0"/>
              <w:marBottom w:val="0"/>
              <w:divBdr>
                <w:top w:val="none" w:sz="0" w:space="0" w:color="auto"/>
                <w:left w:val="none" w:sz="0" w:space="0" w:color="auto"/>
                <w:bottom w:val="none" w:sz="0" w:space="0" w:color="auto"/>
                <w:right w:val="none" w:sz="0" w:space="0" w:color="auto"/>
              </w:divBdr>
            </w:div>
            <w:div w:id="633487988">
              <w:marLeft w:val="0"/>
              <w:marRight w:val="0"/>
              <w:marTop w:val="0"/>
              <w:marBottom w:val="0"/>
              <w:divBdr>
                <w:top w:val="none" w:sz="0" w:space="0" w:color="auto"/>
                <w:left w:val="none" w:sz="0" w:space="0" w:color="auto"/>
                <w:bottom w:val="none" w:sz="0" w:space="0" w:color="auto"/>
                <w:right w:val="none" w:sz="0" w:space="0" w:color="auto"/>
              </w:divBdr>
            </w:div>
            <w:div w:id="735980289">
              <w:marLeft w:val="0"/>
              <w:marRight w:val="0"/>
              <w:marTop w:val="0"/>
              <w:marBottom w:val="0"/>
              <w:divBdr>
                <w:top w:val="none" w:sz="0" w:space="0" w:color="auto"/>
                <w:left w:val="none" w:sz="0" w:space="0" w:color="auto"/>
                <w:bottom w:val="none" w:sz="0" w:space="0" w:color="auto"/>
                <w:right w:val="none" w:sz="0" w:space="0" w:color="auto"/>
              </w:divBdr>
            </w:div>
            <w:div w:id="768895795">
              <w:marLeft w:val="0"/>
              <w:marRight w:val="0"/>
              <w:marTop w:val="0"/>
              <w:marBottom w:val="0"/>
              <w:divBdr>
                <w:top w:val="none" w:sz="0" w:space="0" w:color="auto"/>
                <w:left w:val="none" w:sz="0" w:space="0" w:color="auto"/>
                <w:bottom w:val="none" w:sz="0" w:space="0" w:color="auto"/>
                <w:right w:val="none" w:sz="0" w:space="0" w:color="auto"/>
              </w:divBdr>
            </w:div>
            <w:div w:id="1180437352">
              <w:marLeft w:val="0"/>
              <w:marRight w:val="0"/>
              <w:marTop w:val="0"/>
              <w:marBottom w:val="0"/>
              <w:divBdr>
                <w:top w:val="none" w:sz="0" w:space="0" w:color="auto"/>
                <w:left w:val="none" w:sz="0" w:space="0" w:color="auto"/>
                <w:bottom w:val="none" w:sz="0" w:space="0" w:color="auto"/>
                <w:right w:val="none" w:sz="0" w:space="0" w:color="auto"/>
              </w:divBdr>
            </w:div>
            <w:div w:id="1236355183">
              <w:marLeft w:val="0"/>
              <w:marRight w:val="0"/>
              <w:marTop w:val="0"/>
              <w:marBottom w:val="0"/>
              <w:divBdr>
                <w:top w:val="none" w:sz="0" w:space="0" w:color="auto"/>
                <w:left w:val="none" w:sz="0" w:space="0" w:color="auto"/>
                <w:bottom w:val="none" w:sz="0" w:space="0" w:color="auto"/>
                <w:right w:val="none" w:sz="0" w:space="0" w:color="auto"/>
              </w:divBdr>
            </w:div>
            <w:div w:id="1423604671">
              <w:marLeft w:val="0"/>
              <w:marRight w:val="0"/>
              <w:marTop w:val="0"/>
              <w:marBottom w:val="0"/>
              <w:divBdr>
                <w:top w:val="none" w:sz="0" w:space="0" w:color="auto"/>
                <w:left w:val="none" w:sz="0" w:space="0" w:color="auto"/>
                <w:bottom w:val="none" w:sz="0" w:space="0" w:color="auto"/>
                <w:right w:val="none" w:sz="0" w:space="0" w:color="auto"/>
              </w:divBdr>
            </w:div>
            <w:div w:id="1469008655">
              <w:marLeft w:val="0"/>
              <w:marRight w:val="0"/>
              <w:marTop w:val="0"/>
              <w:marBottom w:val="0"/>
              <w:divBdr>
                <w:top w:val="none" w:sz="0" w:space="0" w:color="auto"/>
                <w:left w:val="none" w:sz="0" w:space="0" w:color="auto"/>
                <w:bottom w:val="none" w:sz="0" w:space="0" w:color="auto"/>
                <w:right w:val="none" w:sz="0" w:space="0" w:color="auto"/>
              </w:divBdr>
            </w:div>
            <w:div w:id="1536652705">
              <w:marLeft w:val="0"/>
              <w:marRight w:val="0"/>
              <w:marTop w:val="0"/>
              <w:marBottom w:val="0"/>
              <w:divBdr>
                <w:top w:val="none" w:sz="0" w:space="0" w:color="auto"/>
                <w:left w:val="none" w:sz="0" w:space="0" w:color="auto"/>
                <w:bottom w:val="none" w:sz="0" w:space="0" w:color="auto"/>
                <w:right w:val="none" w:sz="0" w:space="0" w:color="auto"/>
              </w:divBdr>
            </w:div>
            <w:div w:id="1627806850">
              <w:marLeft w:val="0"/>
              <w:marRight w:val="0"/>
              <w:marTop w:val="0"/>
              <w:marBottom w:val="0"/>
              <w:divBdr>
                <w:top w:val="none" w:sz="0" w:space="0" w:color="auto"/>
                <w:left w:val="none" w:sz="0" w:space="0" w:color="auto"/>
                <w:bottom w:val="none" w:sz="0" w:space="0" w:color="auto"/>
                <w:right w:val="none" w:sz="0" w:space="0" w:color="auto"/>
              </w:divBdr>
            </w:div>
            <w:div w:id="1673872933">
              <w:marLeft w:val="0"/>
              <w:marRight w:val="0"/>
              <w:marTop w:val="0"/>
              <w:marBottom w:val="0"/>
              <w:divBdr>
                <w:top w:val="none" w:sz="0" w:space="0" w:color="auto"/>
                <w:left w:val="none" w:sz="0" w:space="0" w:color="auto"/>
                <w:bottom w:val="none" w:sz="0" w:space="0" w:color="auto"/>
                <w:right w:val="none" w:sz="0" w:space="0" w:color="auto"/>
              </w:divBdr>
            </w:div>
            <w:div w:id="1699089459">
              <w:marLeft w:val="0"/>
              <w:marRight w:val="0"/>
              <w:marTop w:val="0"/>
              <w:marBottom w:val="0"/>
              <w:divBdr>
                <w:top w:val="none" w:sz="0" w:space="0" w:color="auto"/>
                <w:left w:val="none" w:sz="0" w:space="0" w:color="auto"/>
                <w:bottom w:val="none" w:sz="0" w:space="0" w:color="auto"/>
                <w:right w:val="none" w:sz="0" w:space="0" w:color="auto"/>
              </w:divBdr>
            </w:div>
            <w:div w:id="1936861097">
              <w:marLeft w:val="0"/>
              <w:marRight w:val="0"/>
              <w:marTop w:val="0"/>
              <w:marBottom w:val="0"/>
              <w:divBdr>
                <w:top w:val="none" w:sz="0" w:space="0" w:color="auto"/>
                <w:left w:val="none" w:sz="0" w:space="0" w:color="auto"/>
                <w:bottom w:val="none" w:sz="0" w:space="0" w:color="auto"/>
                <w:right w:val="none" w:sz="0" w:space="0" w:color="auto"/>
              </w:divBdr>
            </w:div>
            <w:div w:id="2121294612">
              <w:marLeft w:val="0"/>
              <w:marRight w:val="0"/>
              <w:marTop w:val="0"/>
              <w:marBottom w:val="0"/>
              <w:divBdr>
                <w:top w:val="none" w:sz="0" w:space="0" w:color="auto"/>
                <w:left w:val="none" w:sz="0" w:space="0" w:color="auto"/>
                <w:bottom w:val="none" w:sz="0" w:space="0" w:color="auto"/>
                <w:right w:val="none" w:sz="0" w:space="0" w:color="auto"/>
              </w:divBdr>
            </w:div>
          </w:divsChild>
        </w:div>
        <w:div w:id="278532395">
          <w:marLeft w:val="0"/>
          <w:marRight w:val="0"/>
          <w:marTop w:val="0"/>
          <w:marBottom w:val="0"/>
          <w:divBdr>
            <w:top w:val="none" w:sz="0" w:space="0" w:color="auto"/>
            <w:left w:val="none" w:sz="0" w:space="0" w:color="auto"/>
            <w:bottom w:val="none" w:sz="0" w:space="0" w:color="auto"/>
            <w:right w:val="none" w:sz="0" w:space="0" w:color="auto"/>
          </w:divBdr>
          <w:divsChild>
            <w:div w:id="192501970">
              <w:marLeft w:val="0"/>
              <w:marRight w:val="0"/>
              <w:marTop w:val="0"/>
              <w:marBottom w:val="0"/>
              <w:divBdr>
                <w:top w:val="none" w:sz="0" w:space="0" w:color="auto"/>
                <w:left w:val="none" w:sz="0" w:space="0" w:color="auto"/>
                <w:bottom w:val="none" w:sz="0" w:space="0" w:color="auto"/>
                <w:right w:val="none" w:sz="0" w:space="0" w:color="auto"/>
              </w:divBdr>
            </w:div>
            <w:div w:id="332534744">
              <w:marLeft w:val="0"/>
              <w:marRight w:val="0"/>
              <w:marTop w:val="0"/>
              <w:marBottom w:val="0"/>
              <w:divBdr>
                <w:top w:val="none" w:sz="0" w:space="0" w:color="auto"/>
                <w:left w:val="none" w:sz="0" w:space="0" w:color="auto"/>
                <w:bottom w:val="none" w:sz="0" w:space="0" w:color="auto"/>
                <w:right w:val="none" w:sz="0" w:space="0" w:color="auto"/>
              </w:divBdr>
            </w:div>
            <w:div w:id="343942436">
              <w:marLeft w:val="0"/>
              <w:marRight w:val="0"/>
              <w:marTop w:val="0"/>
              <w:marBottom w:val="0"/>
              <w:divBdr>
                <w:top w:val="none" w:sz="0" w:space="0" w:color="auto"/>
                <w:left w:val="none" w:sz="0" w:space="0" w:color="auto"/>
                <w:bottom w:val="none" w:sz="0" w:space="0" w:color="auto"/>
                <w:right w:val="none" w:sz="0" w:space="0" w:color="auto"/>
              </w:divBdr>
            </w:div>
            <w:div w:id="550118956">
              <w:marLeft w:val="0"/>
              <w:marRight w:val="0"/>
              <w:marTop w:val="0"/>
              <w:marBottom w:val="0"/>
              <w:divBdr>
                <w:top w:val="none" w:sz="0" w:space="0" w:color="auto"/>
                <w:left w:val="none" w:sz="0" w:space="0" w:color="auto"/>
                <w:bottom w:val="none" w:sz="0" w:space="0" w:color="auto"/>
                <w:right w:val="none" w:sz="0" w:space="0" w:color="auto"/>
              </w:divBdr>
            </w:div>
            <w:div w:id="701246765">
              <w:marLeft w:val="0"/>
              <w:marRight w:val="0"/>
              <w:marTop w:val="0"/>
              <w:marBottom w:val="0"/>
              <w:divBdr>
                <w:top w:val="none" w:sz="0" w:space="0" w:color="auto"/>
                <w:left w:val="none" w:sz="0" w:space="0" w:color="auto"/>
                <w:bottom w:val="none" w:sz="0" w:space="0" w:color="auto"/>
                <w:right w:val="none" w:sz="0" w:space="0" w:color="auto"/>
              </w:divBdr>
            </w:div>
            <w:div w:id="745497023">
              <w:marLeft w:val="0"/>
              <w:marRight w:val="0"/>
              <w:marTop w:val="0"/>
              <w:marBottom w:val="0"/>
              <w:divBdr>
                <w:top w:val="none" w:sz="0" w:space="0" w:color="auto"/>
                <w:left w:val="none" w:sz="0" w:space="0" w:color="auto"/>
                <w:bottom w:val="none" w:sz="0" w:space="0" w:color="auto"/>
                <w:right w:val="none" w:sz="0" w:space="0" w:color="auto"/>
              </w:divBdr>
            </w:div>
            <w:div w:id="923101284">
              <w:marLeft w:val="0"/>
              <w:marRight w:val="0"/>
              <w:marTop w:val="0"/>
              <w:marBottom w:val="0"/>
              <w:divBdr>
                <w:top w:val="none" w:sz="0" w:space="0" w:color="auto"/>
                <w:left w:val="none" w:sz="0" w:space="0" w:color="auto"/>
                <w:bottom w:val="none" w:sz="0" w:space="0" w:color="auto"/>
                <w:right w:val="none" w:sz="0" w:space="0" w:color="auto"/>
              </w:divBdr>
            </w:div>
            <w:div w:id="1378236537">
              <w:marLeft w:val="0"/>
              <w:marRight w:val="0"/>
              <w:marTop w:val="0"/>
              <w:marBottom w:val="0"/>
              <w:divBdr>
                <w:top w:val="none" w:sz="0" w:space="0" w:color="auto"/>
                <w:left w:val="none" w:sz="0" w:space="0" w:color="auto"/>
                <w:bottom w:val="none" w:sz="0" w:space="0" w:color="auto"/>
                <w:right w:val="none" w:sz="0" w:space="0" w:color="auto"/>
              </w:divBdr>
            </w:div>
            <w:div w:id="1509635053">
              <w:marLeft w:val="0"/>
              <w:marRight w:val="0"/>
              <w:marTop w:val="0"/>
              <w:marBottom w:val="0"/>
              <w:divBdr>
                <w:top w:val="none" w:sz="0" w:space="0" w:color="auto"/>
                <w:left w:val="none" w:sz="0" w:space="0" w:color="auto"/>
                <w:bottom w:val="none" w:sz="0" w:space="0" w:color="auto"/>
                <w:right w:val="none" w:sz="0" w:space="0" w:color="auto"/>
              </w:divBdr>
            </w:div>
            <w:div w:id="1681158694">
              <w:marLeft w:val="0"/>
              <w:marRight w:val="0"/>
              <w:marTop w:val="0"/>
              <w:marBottom w:val="0"/>
              <w:divBdr>
                <w:top w:val="none" w:sz="0" w:space="0" w:color="auto"/>
                <w:left w:val="none" w:sz="0" w:space="0" w:color="auto"/>
                <w:bottom w:val="none" w:sz="0" w:space="0" w:color="auto"/>
                <w:right w:val="none" w:sz="0" w:space="0" w:color="auto"/>
              </w:divBdr>
            </w:div>
            <w:div w:id="1688942566">
              <w:marLeft w:val="0"/>
              <w:marRight w:val="0"/>
              <w:marTop w:val="0"/>
              <w:marBottom w:val="0"/>
              <w:divBdr>
                <w:top w:val="none" w:sz="0" w:space="0" w:color="auto"/>
                <w:left w:val="none" w:sz="0" w:space="0" w:color="auto"/>
                <w:bottom w:val="none" w:sz="0" w:space="0" w:color="auto"/>
                <w:right w:val="none" w:sz="0" w:space="0" w:color="auto"/>
              </w:divBdr>
            </w:div>
            <w:div w:id="1721435347">
              <w:marLeft w:val="0"/>
              <w:marRight w:val="0"/>
              <w:marTop w:val="0"/>
              <w:marBottom w:val="0"/>
              <w:divBdr>
                <w:top w:val="none" w:sz="0" w:space="0" w:color="auto"/>
                <w:left w:val="none" w:sz="0" w:space="0" w:color="auto"/>
                <w:bottom w:val="none" w:sz="0" w:space="0" w:color="auto"/>
                <w:right w:val="none" w:sz="0" w:space="0" w:color="auto"/>
              </w:divBdr>
            </w:div>
            <w:div w:id="1774856753">
              <w:marLeft w:val="0"/>
              <w:marRight w:val="0"/>
              <w:marTop w:val="0"/>
              <w:marBottom w:val="0"/>
              <w:divBdr>
                <w:top w:val="none" w:sz="0" w:space="0" w:color="auto"/>
                <w:left w:val="none" w:sz="0" w:space="0" w:color="auto"/>
                <w:bottom w:val="none" w:sz="0" w:space="0" w:color="auto"/>
                <w:right w:val="none" w:sz="0" w:space="0" w:color="auto"/>
              </w:divBdr>
            </w:div>
            <w:div w:id="2016303847">
              <w:marLeft w:val="0"/>
              <w:marRight w:val="0"/>
              <w:marTop w:val="0"/>
              <w:marBottom w:val="0"/>
              <w:divBdr>
                <w:top w:val="none" w:sz="0" w:space="0" w:color="auto"/>
                <w:left w:val="none" w:sz="0" w:space="0" w:color="auto"/>
                <w:bottom w:val="none" w:sz="0" w:space="0" w:color="auto"/>
                <w:right w:val="none" w:sz="0" w:space="0" w:color="auto"/>
              </w:divBdr>
            </w:div>
          </w:divsChild>
        </w:div>
        <w:div w:id="320740449">
          <w:marLeft w:val="0"/>
          <w:marRight w:val="0"/>
          <w:marTop w:val="0"/>
          <w:marBottom w:val="0"/>
          <w:divBdr>
            <w:top w:val="none" w:sz="0" w:space="0" w:color="auto"/>
            <w:left w:val="none" w:sz="0" w:space="0" w:color="auto"/>
            <w:bottom w:val="none" w:sz="0" w:space="0" w:color="auto"/>
            <w:right w:val="none" w:sz="0" w:space="0" w:color="auto"/>
          </w:divBdr>
          <w:divsChild>
            <w:div w:id="263222107">
              <w:marLeft w:val="-75"/>
              <w:marRight w:val="0"/>
              <w:marTop w:val="30"/>
              <w:marBottom w:val="30"/>
              <w:divBdr>
                <w:top w:val="none" w:sz="0" w:space="0" w:color="auto"/>
                <w:left w:val="none" w:sz="0" w:space="0" w:color="auto"/>
                <w:bottom w:val="none" w:sz="0" w:space="0" w:color="auto"/>
                <w:right w:val="none" w:sz="0" w:space="0" w:color="auto"/>
              </w:divBdr>
              <w:divsChild>
                <w:div w:id="13729506">
                  <w:marLeft w:val="0"/>
                  <w:marRight w:val="0"/>
                  <w:marTop w:val="0"/>
                  <w:marBottom w:val="0"/>
                  <w:divBdr>
                    <w:top w:val="none" w:sz="0" w:space="0" w:color="auto"/>
                    <w:left w:val="none" w:sz="0" w:space="0" w:color="auto"/>
                    <w:bottom w:val="none" w:sz="0" w:space="0" w:color="auto"/>
                    <w:right w:val="none" w:sz="0" w:space="0" w:color="auto"/>
                  </w:divBdr>
                  <w:divsChild>
                    <w:div w:id="1277908020">
                      <w:marLeft w:val="0"/>
                      <w:marRight w:val="0"/>
                      <w:marTop w:val="0"/>
                      <w:marBottom w:val="0"/>
                      <w:divBdr>
                        <w:top w:val="none" w:sz="0" w:space="0" w:color="auto"/>
                        <w:left w:val="none" w:sz="0" w:space="0" w:color="auto"/>
                        <w:bottom w:val="none" w:sz="0" w:space="0" w:color="auto"/>
                        <w:right w:val="none" w:sz="0" w:space="0" w:color="auto"/>
                      </w:divBdr>
                    </w:div>
                  </w:divsChild>
                </w:div>
                <w:div w:id="65804653">
                  <w:marLeft w:val="0"/>
                  <w:marRight w:val="0"/>
                  <w:marTop w:val="0"/>
                  <w:marBottom w:val="0"/>
                  <w:divBdr>
                    <w:top w:val="none" w:sz="0" w:space="0" w:color="auto"/>
                    <w:left w:val="none" w:sz="0" w:space="0" w:color="auto"/>
                    <w:bottom w:val="none" w:sz="0" w:space="0" w:color="auto"/>
                    <w:right w:val="none" w:sz="0" w:space="0" w:color="auto"/>
                  </w:divBdr>
                  <w:divsChild>
                    <w:div w:id="1508715686">
                      <w:marLeft w:val="0"/>
                      <w:marRight w:val="0"/>
                      <w:marTop w:val="0"/>
                      <w:marBottom w:val="0"/>
                      <w:divBdr>
                        <w:top w:val="none" w:sz="0" w:space="0" w:color="auto"/>
                        <w:left w:val="none" w:sz="0" w:space="0" w:color="auto"/>
                        <w:bottom w:val="none" w:sz="0" w:space="0" w:color="auto"/>
                        <w:right w:val="none" w:sz="0" w:space="0" w:color="auto"/>
                      </w:divBdr>
                    </w:div>
                  </w:divsChild>
                </w:div>
                <w:div w:id="161966884">
                  <w:marLeft w:val="0"/>
                  <w:marRight w:val="0"/>
                  <w:marTop w:val="0"/>
                  <w:marBottom w:val="0"/>
                  <w:divBdr>
                    <w:top w:val="none" w:sz="0" w:space="0" w:color="auto"/>
                    <w:left w:val="none" w:sz="0" w:space="0" w:color="auto"/>
                    <w:bottom w:val="none" w:sz="0" w:space="0" w:color="auto"/>
                    <w:right w:val="none" w:sz="0" w:space="0" w:color="auto"/>
                  </w:divBdr>
                  <w:divsChild>
                    <w:div w:id="1845823679">
                      <w:marLeft w:val="0"/>
                      <w:marRight w:val="0"/>
                      <w:marTop w:val="0"/>
                      <w:marBottom w:val="0"/>
                      <w:divBdr>
                        <w:top w:val="none" w:sz="0" w:space="0" w:color="auto"/>
                        <w:left w:val="none" w:sz="0" w:space="0" w:color="auto"/>
                        <w:bottom w:val="none" w:sz="0" w:space="0" w:color="auto"/>
                        <w:right w:val="none" w:sz="0" w:space="0" w:color="auto"/>
                      </w:divBdr>
                    </w:div>
                  </w:divsChild>
                </w:div>
                <w:div w:id="210112492">
                  <w:marLeft w:val="0"/>
                  <w:marRight w:val="0"/>
                  <w:marTop w:val="0"/>
                  <w:marBottom w:val="0"/>
                  <w:divBdr>
                    <w:top w:val="none" w:sz="0" w:space="0" w:color="auto"/>
                    <w:left w:val="none" w:sz="0" w:space="0" w:color="auto"/>
                    <w:bottom w:val="none" w:sz="0" w:space="0" w:color="auto"/>
                    <w:right w:val="none" w:sz="0" w:space="0" w:color="auto"/>
                  </w:divBdr>
                  <w:divsChild>
                    <w:div w:id="425004967">
                      <w:marLeft w:val="0"/>
                      <w:marRight w:val="0"/>
                      <w:marTop w:val="0"/>
                      <w:marBottom w:val="0"/>
                      <w:divBdr>
                        <w:top w:val="none" w:sz="0" w:space="0" w:color="auto"/>
                        <w:left w:val="none" w:sz="0" w:space="0" w:color="auto"/>
                        <w:bottom w:val="none" w:sz="0" w:space="0" w:color="auto"/>
                        <w:right w:val="none" w:sz="0" w:space="0" w:color="auto"/>
                      </w:divBdr>
                    </w:div>
                  </w:divsChild>
                </w:div>
                <w:div w:id="242178750">
                  <w:marLeft w:val="0"/>
                  <w:marRight w:val="0"/>
                  <w:marTop w:val="0"/>
                  <w:marBottom w:val="0"/>
                  <w:divBdr>
                    <w:top w:val="none" w:sz="0" w:space="0" w:color="auto"/>
                    <w:left w:val="none" w:sz="0" w:space="0" w:color="auto"/>
                    <w:bottom w:val="none" w:sz="0" w:space="0" w:color="auto"/>
                    <w:right w:val="none" w:sz="0" w:space="0" w:color="auto"/>
                  </w:divBdr>
                  <w:divsChild>
                    <w:div w:id="176429842">
                      <w:marLeft w:val="0"/>
                      <w:marRight w:val="0"/>
                      <w:marTop w:val="0"/>
                      <w:marBottom w:val="0"/>
                      <w:divBdr>
                        <w:top w:val="none" w:sz="0" w:space="0" w:color="auto"/>
                        <w:left w:val="none" w:sz="0" w:space="0" w:color="auto"/>
                        <w:bottom w:val="none" w:sz="0" w:space="0" w:color="auto"/>
                        <w:right w:val="none" w:sz="0" w:space="0" w:color="auto"/>
                      </w:divBdr>
                    </w:div>
                  </w:divsChild>
                </w:div>
                <w:div w:id="339234708">
                  <w:marLeft w:val="0"/>
                  <w:marRight w:val="0"/>
                  <w:marTop w:val="0"/>
                  <w:marBottom w:val="0"/>
                  <w:divBdr>
                    <w:top w:val="none" w:sz="0" w:space="0" w:color="auto"/>
                    <w:left w:val="none" w:sz="0" w:space="0" w:color="auto"/>
                    <w:bottom w:val="none" w:sz="0" w:space="0" w:color="auto"/>
                    <w:right w:val="none" w:sz="0" w:space="0" w:color="auto"/>
                  </w:divBdr>
                  <w:divsChild>
                    <w:div w:id="326635235">
                      <w:marLeft w:val="0"/>
                      <w:marRight w:val="0"/>
                      <w:marTop w:val="0"/>
                      <w:marBottom w:val="0"/>
                      <w:divBdr>
                        <w:top w:val="none" w:sz="0" w:space="0" w:color="auto"/>
                        <w:left w:val="none" w:sz="0" w:space="0" w:color="auto"/>
                        <w:bottom w:val="none" w:sz="0" w:space="0" w:color="auto"/>
                        <w:right w:val="none" w:sz="0" w:space="0" w:color="auto"/>
                      </w:divBdr>
                    </w:div>
                  </w:divsChild>
                </w:div>
                <w:div w:id="365640406">
                  <w:marLeft w:val="0"/>
                  <w:marRight w:val="0"/>
                  <w:marTop w:val="0"/>
                  <w:marBottom w:val="0"/>
                  <w:divBdr>
                    <w:top w:val="none" w:sz="0" w:space="0" w:color="auto"/>
                    <w:left w:val="none" w:sz="0" w:space="0" w:color="auto"/>
                    <w:bottom w:val="none" w:sz="0" w:space="0" w:color="auto"/>
                    <w:right w:val="none" w:sz="0" w:space="0" w:color="auto"/>
                  </w:divBdr>
                  <w:divsChild>
                    <w:div w:id="663096465">
                      <w:marLeft w:val="0"/>
                      <w:marRight w:val="0"/>
                      <w:marTop w:val="0"/>
                      <w:marBottom w:val="0"/>
                      <w:divBdr>
                        <w:top w:val="none" w:sz="0" w:space="0" w:color="auto"/>
                        <w:left w:val="none" w:sz="0" w:space="0" w:color="auto"/>
                        <w:bottom w:val="none" w:sz="0" w:space="0" w:color="auto"/>
                        <w:right w:val="none" w:sz="0" w:space="0" w:color="auto"/>
                      </w:divBdr>
                    </w:div>
                  </w:divsChild>
                </w:div>
                <w:div w:id="384259149">
                  <w:marLeft w:val="0"/>
                  <w:marRight w:val="0"/>
                  <w:marTop w:val="0"/>
                  <w:marBottom w:val="0"/>
                  <w:divBdr>
                    <w:top w:val="none" w:sz="0" w:space="0" w:color="auto"/>
                    <w:left w:val="none" w:sz="0" w:space="0" w:color="auto"/>
                    <w:bottom w:val="none" w:sz="0" w:space="0" w:color="auto"/>
                    <w:right w:val="none" w:sz="0" w:space="0" w:color="auto"/>
                  </w:divBdr>
                  <w:divsChild>
                    <w:div w:id="46758317">
                      <w:marLeft w:val="0"/>
                      <w:marRight w:val="0"/>
                      <w:marTop w:val="0"/>
                      <w:marBottom w:val="0"/>
                      <w:divBdr>
                        <w:top w:val="none" w:sz="0" w:space="0" w:color="auto"/>
                        <w:left w:val="none" w:sz="0" w:space="0" w:color="auto"/>
                        <w:bottom w:val="none" w:sz="0" w:space="0" w:color="auto"/>
                        <w:right w:val="none" w:sz="0" w:space="0" w:color="auto"/>
                      </w:divBdr>
                    </w:div>
                  </w:divsChild>
                </w:div>
                <w:div w:id="385567904">
                  <w:marLeft w:val="0"/>
                  <w:marRight w:val="0"/>
                  <w:marTop w:val="0"/>
                  <w:marBottom w:val="0"/>
                  <w:divBdr>
                    <w:top w:val="none" w:sz="0" w:space="0" w:color="auto"/>
                    <w:left w:val="none" w:sz="0" w:space="0" w:color="auto"/>
                    <w:bottom w:val="none" w:sz="0" w:space="0" w:color="auto"/>
                    <w:right w:val="none" w:sz="0" w:space="0" w:color="auto"/>
                  </w:divBdr>
                  <w:divsChild>
                    <w:div w:id="1963875568">
                      <w:marLeft w:val="0"/>
                      <w:marRight w:val="0"/>
                      <w:marTop w:val="0"/>
                      <w:marBottom w:val="0"/>
                      <w:divBdr>
                        <w:top w:val="none" w:sz="0" w:space="0" w:color="auto"/>
                        <w:left w:val="none" w:sz="0" w:space="0" w:color="auto"/>
                        <w:bottom w:val="none" w:sz="0" w:space="0" w:color="auto"/>
                        <w:right w:val="none" w:sz="0" w:space="0" w:color="auto"/>
                      </w:divBdr>
                    </w:div>
                  </w:divsChild>
                </w:div>
                <w:div w:id="411125207">
                  <w:marLeft w:val="0"/>
                  <w:marRight w:val="0"/>
                  <w:marTop w:val="0"/>
                  <w:marBottom w:val="0"/>
                  <w:divBdr>
                    <w:top w:val="none" w:sz="0" w:space="0" w:color="auto"/>
                    <w:left w:val="none" w:sz="0" w:space="0" w:color="auto"/>
                    <w:bottom w:val="none" w:sz="0" w:space="0" w:color="auto"/>
                    <w:right w:val="none" w:sz="0" w:space="0" w:color="auto"/>
                  </w:divBdr>
                  <w:divsChild>
                    <w:div w:id="284046353">
                      <w:marLeft w:val="0"/>
                      <w:marRight w:val="0"/>
                      <w:marTop w:val="0"/>
                      <w:marBottom w:val="0"/>
                      <w:divBdr>
                        <w:top w:val="none" w:sz="0" w:space="0" w:color="auto"/>
                        <w:left w:val="none" w:sz="0" w:space="0" w:color="auto"/>
                        <w:bottom w:val="none" w:sz="0" w:space="0" w:color="auto"/>
                        <w:right w:val="none" w:sz="0" w:space="0" w:color="auto"/>
                      </w:divBdr>
                    </w:div>
                  </w:divsChild>
                </w:div>
                <w:div w:id="533226345">
                  <w:marLeft w:val="0"/>
                  <w:marRight w:val="0"/>
                  <w:marTop w:val="0"/>
                  <w:marBottom w:val="0"/>
                  <w:divBdr>
                    <w:top w:val="none" w:sz="0" w:space="0" w:color="auto"/>
                    <w:left w:val="none" w:sz="0" w:space="0" w:color="auto"/>
                    <w:bottom w:val="none" w:sz="0" w:space="0" w:color="auto"/>
                    <w:right w:val="none" w:sz="0" w:space="0" w:color="auto"/>
                  </w:divBdr>
                  <w:divsChild>
                    <w:div w:id="931619424">
                      <w:marLeft w:val="0"/>
                      <w:marRight w:val="0"/>
                      <w:marTop w:val="0"/>
                      <w:marBottom w:val="0"/>
                      <w:divBdr>
                        <w:top w:val="none" w:sz="0" w:space="0" w:color="auto"/>
                        <w:left w:val="none" w:sz="0" w:space="0" w:color="auto"/>
                        <w:bottom w:val="none" w:sz="0" w:space="0" w:color="auto"/>
                        <w:right w:val="none" w:sz="0" w:space="0" w:color="auto"/>
                      </w:divBdr>
                    </w:div>
                  </w:divsChild>
                </w:div>
                <w:div w:id="863057828">
                  <w:marLeft w:val="0"/>
                  <w:marRight w:val="0"/>
                  <w:marTop w:val="0"/>
                  <w:marBottom w:val="0"/>
                  <w:divBdr>
                    <w:top w:val="none" w:sz="0" w:space="0" w:color="auto"/>
                    <w:left w:val="none" w:sz="0" w:space="0" w:color="auto"/>
                    <w:bottom w:val="none" w:sz="0" w:space="0" w:color="auto"/>
                    <w:right w:val="none" w:sz="0" w:space="0" w:color="auto"/>
                  </w:divBdr>
                  <w:divsChild>
                    <w:div w:id="1283534222">
                      <w:marLeft w:val="0"/>
                      <w:marRight w:val="0"/>
                      <w:marTop w:val="0"/>
                      <w:marBottom w:val="0"/>
                      <w:divBdr>
                        <w:top w:val="none" w:sz="0" w:space="0" w:color="auto"/>
                        <w:left w:val="none" w:sz="0" w:space="0" w:color="auto"/>
                        <w:bottom w:val="none" w:sz="0" w:space="0" w:color="auto"/>
                        <w:right w:val="none" w:sz="0" w:space="0" w:color="auto"/>
                      </w:divBdr>
                    </w:div>
                  </w:divsChild>
                </w:div>
                <w:div w:id="864832036">
                  <w:marLeft w:val="0"/>
                  <w:marRight w:val="0"/>
                  <w:marTop w:val="0"/>
                  <w:marBottom w:val="0"/>
                  <w:divBdr>
                    <w:top w:val="none" w:sz="0" w:space="0" w:color="auto"/>
                    <w:left w:val="none" w:sz="0" w:space="0" w:color="auto"/>
                    <w:bottom w:val="none" w:sz="0" w:space="0" w:color="auto"/>
                    <w:right w:val="none" w:sz="0" w:space="0" w:color="auto"/>
                  </w:divBdr>
                  <w:divsChild>
                    <w:div w:id="1663004708">
                      <w:marLeft w:val="0"/>
                      <w:marRight w:val="0"/>
                      <w:marTop w:val="0"/>
                      <w:marBottom w:val="0"/>
                      <w:divBdr>
                        <w:top w:val="none" w:sz="0" w:space="0" w:color="auto"/>
                        <w:left w:val="none" w:sz="0" w:space="0" w:color="auto"/>
                        <w:bottom w:val="none" w:sz="0" w:space="0" w:color="auto"/>
                        <w:right w:val="none" w:sz="0" w:space="0" w:color="auto"/>
                      </w:divBdr>
                    </w:div>
                  </w:divsChild>
                </w:div>
                <w:div w:id="954824695">
                  <w:marLeft w:val="0"/>
                  <w:marRight w:val="0"/>
                  <w:marTop w:val="0"/>
                  <w:marBottom w:val="0"/>
                  <w:divBdr>
                    <w:top w:val="none" w:sz="0" w:space="0" w:color="auto"/>
                    <w:left w:val="none" w:sz="0" w:space="0" w:color="auto"/>
                    <w:bottom w:val="none" w:sz="0" w:space="0" w:color="auto"/>
                    <w:right w:val="none" w:sz="0" w:space="0" w:color="auto"/>
                  </w:divBdr>
                  <w:divsChild>
                    <w:div w:id="1256287398">
                      <w:marLeft w:val="0"/>
                      <w:marRight w:val="0"/>
                      <w:marTop w:val="0"/>
                      <w:marBottom w:val="0"/>
                      <w:divBdr>
                        <w:top w:val="none" w:sz="0" w:space="0" w:color="auto"/>
                        <w:left w:val="none" w:sz="0" w:space="0" w:color="auto"/>
                        <w:bottom w:val="none" w:sz="0" w:space="0" w:color="auto"/>
                        <w:right w:val="none" w:sz="0" w:space="0" w:color="auto"/>
                      </w:divBdr>
                    </w:div>
                  </w:divsChild>
                </w:div>
                <w:div w:id="988095275">
                  <w:marLeft w:val="0"/>
                  <w:marRight w:val="0"/>
                  <w:marTop w:val="0"/>
                  <w:marBottom w:val="0"/>
                  <w:divBdr>
                    <w:top w:val="none" w:sz="0" w:space="0" w:color="auto"/>
                    <w:left w:val="none" w:sz="0" w:space="0" w:color="auto"/>
                    <w:bottom w:val="none" w:sz="0" w:space="0" w:color="auto"/>
                    <w:right w:val="none" w:sz="0" w:space="0" w:color="auto"/>
                  </w:divBdr>
                  <w:divsChild>
                    <w:div w:id="1818448316">
                      <w:marLeft w:val="0"/>
                      <w:marRight w:val="0"/>
                      <w:marTop w:val="0"/>
                      <w:marBottom w:val="0"/>
                      <w:divBdr>
                        <w:top w:val="none" w:sz="0" w:space="0" w:color="auto"/>
                        <w:left w:val="none" w:sz="0" w:space="0" w:color="auto"/>
                        <w:bottom w:val="none" w:sz="0" w:space="0" w:color="auto"/>
                        <w:right w:val="none" w:sz="0" w:space="0" w:color="auto"/>
                      </w:divBdr>
                    </w:div>
                  </w:divsChild>
                </w:div>
                <w:div w:id="1009795804">
                  <w:marLeft w:val="0"/>
                  <w:marRight w:val="0"/>
                  <w:marTop w:val="0"/>
                  <w:marBottom w:val="0"/>
                  <w:divBdr>
                    <w:top w:val="none" w:sz="0" w:space="0" w:color="auto"/>
                    <w:left w:val="none" w:sz="0" w:space="0" w:color="auto"/>
                    <w:bottom w:val="none" w:sz="0" w:space="0" w:color="auto"/>
                    <w:right w:val="none" w:sz="0" w:space="0" w:color="auto"/>
                  </w:divBdr>
                  <w:divsChild>
                    <w:div w:id="1196774587">
                      <w:marLeft w:val="0"/>
                      <w:marRight w:val="0"/>
                      <w:marTop w:val="0"/>
                      <w:marBottom w:val="0"/>
                      <w:divBdr>
                        <w:top w:val="none" w:sz="0" w:space="0" w:color="auto"/>
                        <w:left w:val="none" w:sz="0" w:space="0" w:color="auto"/>
                        <w:bottom w:val="none" w:sz="0" w:space="0" w:color="auto"/>
                        <w:right w:val="none" w:sz="0" w:space="0" w:color="auto"/>
                      </w:divBdr>
                    </w:div>
                  </w:divsChild>
                </w:div>
                <w:div w:id="1037776987">
                  <w:marLeft w:val="0"/>
                  <w:marRight w:val="0"/>
                  <w:marTop w:val="0"/>
                  <w:marBottom w:val="0"/>
                  <w:divBdr>
                    <w:top w:val="none" w:sz="0" w:space="0" w:color="auto"/>
                    <w:left w:val="none" w:sz="0" w:space="0" w:color="auto"/>
                    <w:bottom w:val="none" w:sz="0" w:space="0" w:color="auto"/>
                    <w:right w:val="none" w:sz="0" w:space="0" w:color="auto"/>
                  </w:divBdr>
                  <w:divsChild>
                    <w:div w:id="1290892982">
                      <w:marLeft w:val="0"/>
                      <w:marRight w:val="0"/>
                      <w:marTop w:val="0"/>
                      <w:marBottom w:val="0"/>
                      <w:divBdr>
                        <w:top w:val="none" w:sz="0" w:space="0" w:color="auto"/>
                        <w:left w:val="none" w:sz="0" w:space="0" w:color="auto"/>
                        <w:bottom w:val="none" w:sz="0" w:space="0" w:color="auto"/>
                        <w:right w:val="none" w:sz="0" w:space="0" w:color="auto"/>
                      </w:divBdr>
                    </w:div>
                  </w:divsChild>
                </w:div>
                <w:div w:id="1082488363">
                  <w:marLeft w:val="0"/>
                  <w:marRight w:val="0"/>
                  <w:marTop w:val="0"/>
                  <w:marBottom w:val="0"/>
                  <w:divBdr>
                    <w:top w:val="none" w:sz="0" w:space="0" w:color="auto"/>
                    <w:left w:val="none" w:sz="0" w:space="0" w:color="auto"/>
                    <w:bottom w:val="none" w:sz="0" w:space="0" w:color="auto"/>
                    <w:right w:val="none" w:sz="0" w:space="0" w:color="auto"/>
                  </w:divBdr>
                  <w:divsChild>
                    <w:div w:id="881672562">
                      <w:marLeft w:val="0"/>
                      <w:marRight w:val="0"/>
                      <w:marTop w:val="0"/>
                      <w:marBottom w:val="0"/>
                      <w:divBdr>
                        <w:top w:val="none" w:sz="0" w:space="0" w:color="auto"/>
                        <w:left w:val="none" w:sz="0" w:space="0" w:color="auto"/>
                        <w:bottom w:val="none" w:sz="0" w:space="0" w:color="auto"/>
                        <w:right w:val="none" w:sz="0" w:space="0" w:color="auto"/>
                      </w:divBdr>
                    </w:div>
                  </w:divsChild>
                </w:div>
                <w:div w:id="1089697414">
                  <w:marLeft w:val="0"/>
                  <w:marRight w:val="0"/>
                  <w:marTop w:val="0"/>
                  <w:marBottom w:val="0"/>
                  <w:divBdr>
                    <w:top w:val="none" w:sz="0" w:space="0" w:color="auto"/>
                    <w:left w:val="none" w:sz="0" w:space="0" w:color="auto"/>
                    <w:bottom w:val="none" w:sz="0" w:space="0" w:color="auto"/>
                    <w:right w:val="none" w:sz="0" w:space="0" w:color="auto"/>
                  </w:divBdr>
                  <w:divsChild>
                    <w:div w:id="1777090186">
                      <w:marLeft w:val="0"/>
                      <w:marRight w:val="0"/>
                      <w:marTop w:val="0"/>
                      <w:marBottom w:val="0"/>
                      <w:divBdr>
                        <w:top w:val="none" w:sz="0" w:space="0" w:color="auto"/>
                        <w:left w:val="none" w:sz="0" w:space="0" w:color="auto"/>
                        <w:bottom w:val="none" w:sz="0" w:space="0" w:color="auto"/>
                        <w:right w:val="none" w:sz="0" w:space="0" w:color="auto"/>
                      </w:divBdr>
                    </w:div>
                  </w:divsChild>
                </w:div>
                <w:div w:id="1133327985">
                  <w:marLeft w:val="0"/>
                  <w:marRight w:val="0"/>
                  <w:marTop w:val="0"/>
                  <w:marBottom w:val="0"/>
                  <w:divBdr>
                    <w:top w:val="none" w:sz="0" w:space="0" w:color="auto"/>
                    <w:left w:val="none" w:sz="0" w:space="0" w:color="auto"/>
                    <w:bottom w:val="none" w:sz="0" w:space="0" w:color="auto"/>
                    <w:right w:val="none" w:sz="0" w:space="0" w:color="auto"/>
                  </w:divBdr>
                  <w:divsChild>
                    <w:div w:id="1624921739">
                      <w:marLeft w:val="0"/>
                      <w:marRight w:val="0"/>
                      <w:marTop w:val="0"/>
                      <w:marBottom w:val="0"/>
                      <w:divBdr>
                        <w:top w:val="none" w:sz="0" w:space="0" w:color="auto"/>
                        <w:left w:val="none" w:sz="0" w:space="0" w:color="auto"/>
                        <w:bottom w:val="none" w:sz="0" w:space="0" w:color="auto"/>
                        <w:right w:val="none" w:sz="0" w:space="0" w:color="auto"/>
                      </w:divBdr>
                    </w:div>
                  </w:divsChild>
                </w:div>
                <w:div w:id="1254245872">
                  <w:marLeft w:val="0"/>
                  <w:marRight w:val="0"/>
                  <w:marTop w:val="0"/>
                  <w:marBottom w:val="0"/>
                  <w:divBdr>
                    <w:top w:val="none" w:sz="0" w:space="0" w:color="auto"/>
                    <w:left w:val="none" w:sz="0" w:space="0" w:color="auto"/>
                    <w:bottom w:val="none" w:sz="0" w:space="0" w:color="auto"/>
                    <w:right w:val="none" w:sz="0" w:space="0" w:color="auto"/>
                  </w:divBdr>
                  <w:divsChild>
                    <w:div w:id="154227129">
                      <w:marLeft w:val="0"/>
                      <w:marRight w:val="0"/>
                      <w:marTop w:val="0"/>
                      <w:marBottom w:val="0"/>
                      <w:divBdr>
                        <w:top w:val="none" w:sz="0" w:space="0" w:color="auto"/>
                        <w:left w:val="none" w:sz="0" w:space="0" w:color="auto"/>
                        <w:bottom w:val="none" w:sz="0" w:space="0" w:color="auto"/>
                        <w:right w:val="none" w:sz="0" w:space="0" w:color="auto"/>
                      </w:divBdr>
                    </w:div>
                  </w:divsChild>
                </w:div>
                <w:div w:id="1281063504">
                  <w:marLeft w:val="0"/>
                  <w:marRight w:val="0"/>
                  <w:marTop w:val="0"/>
                  <w:marBottom w:val="0"/>
                  <w:divBdr>
                    <w:top w:val="none" w:sz="0" w:space="0" w:color="auto"/>
                    <w:left w:val="none" w:sz="0" w:space="0" w:color="auto"/>
                    <w:bottom w:val="none" w:sz="0" w:space="0" w:color="auto"/>
                    <w:right w:val="none" w:sz="0" w:space="0" w:color="auto"/>
                  </w:divBdr>
                  <w:divsChild>
                    <w:div w:id="1353532806">
                      <w:marLeft w:val="0"/>
                      <w:marRight w:val="0"/>
                      <w:marTop w:val="0"/>
                      <w:marBottom w:val="0"/>
                      <w:divBdr>
                        <w:top w:val="none" w:sz="0" w:space="0" w:color="auto"/>
                        <w:left w:val="none" w:sz="0" w:space="0" w:color="auto"/>
                        <w:bottom w:val="none" w:sz="0" w:space="0" w:color="auto"/>
                        <w:right w:val="none" w:sz="0" w:space="0" w:color="auto"/>
                      </w:divBdr>
                    </w:div>
                  </w:divsChild>
                </w:div>
                <w:div w:id="1296326189">
                  <w:marLeft w:val="0"/>
                  <w:marRight w:val="0"/>
                  <w:marTop w:val="0"/>
                  <w:marBottom w:val="0"/>
                  <w:divBdr>
                    <w:top w:val="none" w:sz="0" w:space="0" w:color="auto"/>
                    <w:left w:val="none" w:sz="0" w:space="0" w:color="auto"/>
                    <w:bottom w:val="none" w:sz="0" w:space="0" w:color="auto"/>
                    <w:right w:val="none" w:sz="0" w:space="0" w:color="auto"/>
                  </w:divBdr>
                  <w:divsChild>
                    <w:div w:id="378364506">
                      <w:marLeft w:val="0"/>
                      <w:marRight w:val="0"/>
                      <w:marTop w:val="0"/>
                      <w:marBottom w:val="0"/>
                      <w:divBdr>
                        <w:top w:val="none" w:sz="0" w:space="0" w:color="auto"/>
                        <w:left w:val="none" w:sz="0" w:space="0" w:color="auto"/>
                        <w:bottom w:val="none" w:sz="0" w:space="0" w:color="auto"/>
                        <w:right w:val="none" w:sz="0" w:space="0" w:color="auto"/>
                      </w:divBdr>
                    </w:div>
                  </w:divsChild>
                </w:div>
                <w:div w:id="1296788850">
                  <w:marLeft w:val="0"/>
                  <w:marRight w:val="0"/>
                  <w:marTop w:val="0"/>
                  <w:marBottom w:val="0"/>
                  <w:divBdr>
                    <w:top w:val="none" w:sz="0" w:space="0" w:color="auto"/>
                    <w:left w:val="none" w:sz="0" w:space="0" w:color="auto"/>
                    <w:bottom w:val="none" w:sz="0" w:space="0" w:color="auto"/>
                    <w:right w:val="none" w:sz="0" w:space="0" w:color="auto"/>
                  </w:divBdr>
                  <w:divsChild>
                    <w:div w:id="873008114">
                      <w:marLeft w:val="0"/>
                      <w:marRight w:val="0"/>
                      <w:marTop w:val="0"/>
                      <w:marBottom w:val="0"/>
                      <w:divBdr>
                        <w:top w:val="none" w:sz="0" w:space="0" w:color="auto"/>
                        <w:left w:val="none" w:sz="0" w:space="0" w:color="auto"/>
                        <w:bottom w:val="none" w:sz="0" w:space="0" w:color="auto"/>
                        <w:right w:val="none" w:sz="0" w:space="0" w:color="auto"/>
                      </w:divBdr>
                    </w:div>
                  </w:divsChild>
                </w:div>
                <w:div w:id="1306623760">
                  <w:marLeft w:val="0"/>
                  <w:marRight w:val="0"/>
                  <w:marTop w:val="0"/>
                  <w:marBottom w:val="0"/>
                  <w:divBdr>
                    <w:top w:val="none" w:sz="0" w:space="0" w:color="auto"/>
                    <w:left w:val="none" w:sz="0" w:space="0" w:color="auto"/>
                    <w:bottom w:val="none" w:sz="0" w:space="0" w:color="auto"/>
                    <w:right w:val="none" w:sz="0" w:space="0" w:color="auto"/>
                  </w:divBdr>
                  <w:divsChild>
                    <w:div w:id="1186090578">
                      <w:marLeft w:val="0"/>
                      <w:marRight w:val="0"/>
                      <w:marTop w:val="0"/>
                      <w:marBottom w:val="0"/>
                      <w:divBdr>
                        <w:top w:val="none" w:sz="0" w:space="0" w:color="auto"/>
                        <w:left w:val="none" w:sz="0" w:space="0" w:color="auto"/>
                        <w:bottom w:val="none" w:sz="0" w:space="0" w:color="auto"/>
                        <w:right w:val="none" w:sz="0" w:space="0" w:color="auto"/>
                      </w:divBdr>
                    </w:div>
                  </w:divsChild>
                </w:div>
                <w:div w:id="1485122421">
                  <w:marLeft w:val="0"/>
                  <w:marRight w:val="0"/>
                  <w:marTop w:val="0"/>
                  <w:marBottom w:val="0"/>
                  <w:divBdr>
                    <w:top w:val="none" w:sz="0" w:space="0" w:color="auto"/>
                    <w:left w:val="none" w:sz="0" w:space="0" w:color="auto"/>
                    <w:bottom w:val="none" w:sz="0" w:space="0" w:color="auto"/>
                    <w:right w:val="none" w:sz="0" w:space="0" w:color="auto"/>
                  </w:divBdr>
                  <w:divsChild>
                    <w:div w:id="224295343">
                      <w:marLeft w:val="0"/>
                      <w:marRight w:val="0"/>
                      <w:marTop w:val="0"/>
                      <w:marBottom w:val="0"/>
                      <w:divBdr>
                        <w:top w:val="none" w:sz="0" w:space="0" w:color="auto"/>
                        <w:left w:val="none" w:sz="0" w:space="0" w:color="auto"/>
                        <w:bottom w:val="none" w:sz="0" w:space="0" w:color="auto"/>
                        <w:right w:val="none" w:sz="0" w:space="0" w:color="auto"/>
                      </w:divBdr>
                    </w:div>
                  </w:divsChild>
                </w:div>
                <w:div w:id="1515651197">
                  <w:marLeft w:val="0"/>
                  <w:marRight w:val="0"/>
                  <w:marTop w:val="0"/>
                  <w:marBottom w:val="0"/>
                  <w:divBdr>
                    <w:top w:val="none" w:sz="0" w:space="0" w:color="auto"/>
                    <w:left w:val="none" w:sz="0" w:space="0" w:color="auto"/>
                    <w:bottom w:val="none" w:sz="0" w:space="0" w:color="auto"/>
                    <w:right w:val="none" w:sz="0" w:space="0" w:color="auto"/>
                  </w:divBdr>
                  <w:divsChild>
                    <w:div w:id="958755613">
                      <w:marLeft w:val="0"/>
                      <w:marRight w:val="0"/>
                      <w:marTop w:val="0"/>
                      <w:marBottom w:val="0"/>
                      <w:divBdr>
                        <w:top w:val="none" w:sz="0" w:space="0" w:color="auto"/>
                        <w:left w:val="none" w:sz="0" w:space="0" w:color="auto"/>
                        <w:bottom w:val="none" w:sz="0" w:space="0" w:color="auto"/>
                        <w:right w:val="none" w:sz="0" w:space="0" w:color="auto"/>
                      </w:divBdr>
                    </w:div>
                  </w:divsChild>
                </w:div>
                <w:div w:id="1543438980">
                  <w:marLeft w:val="0"/>
                  <w:marRight w:val="0"/>
                  <w:marTop w:val="0"/>
                  <w:marBottom w:val="0"/>
                  <w:divBdr>
                    <w:top w:val="none" w:sz="0" w:space="0" w:color="auto"/>
                    <w:left w:val="none" w:sz="0" w:space="0" w:color="auto"/>
                    <w:bottom w:val="none" w:sz="0" w:space="0" w:color="auto"/>
                    <w:right w:val="none" w:sz="0" w:space="0" w:color="auto"/>
                  </w:divBdr>
                  <w:divsChild>
                    <w:div w:id="1325469669">
                      <w:marLeft w:val="0"/>
                      <w:marRight w:val="0"/>
                      <w:marTop w:val="0"/>
                      <w:marBottom w:val="0"/>
                      <w:divBdr>
                        <w:top w:val="none" w:sz="0" w:space="0" w:color="auto"/>
                        <w:left w:val="none" w:sz="0" w:space="0" w:color="auto"/>
                        <w:bottom w:val="none" w:sz="0" w:space="0" w:color="auto"/>
                        <w:right w:val="none" w:sz="0" w:space="0" w:color="auto"/>
                      </w:divBdr>
                    </w:div>
                  </w:divsChild>
                </w:div>
                <w:div w:id="1797792755">
                  <w:marLeft w:val="0"/>
                  <w:marRight w:val="0"/>
                  <w:marTop w:val="0"/>
                  <w:marBottom w:val="0"/>
                  <w:divBdr>
                    <w:top w:val="none" w:sz="0" w:space="0" w:color="auto"/>
                    <w:left w:val="none" w:sz="0" w:space="0" w:color="auto"/>
                    <w:bottom w:val="none" w:sz="0" w:space="0" w:color="auto"/>
                    <w:right w:val="none" w:sz="0" w:space="0" w:color="auto"/>
                  </w:divBdr>
                  <w:divsChild>
                    <w:div w:id="199977003">
                      <w:marLeft w:val="0"/>
                      <w:marRight w:val="0"/>
                      <w:marTop w:val="0"/>
                      <w:marBottom w:val="0"/>
                      <w:divBdr>
                        <w:top w:val="none" w:sz="0" w:space="0" w:color="auto"/>
                        <w:left w:val="none" w:sz="0" w:space="0" w:color="auto"/>
                        <w:bottom w:val="none" w:sz="0" w:space="0" w:color="auto"/>
                        <w:right w:val="none" w:sz="0" w:space="0" w:color="auto"/>
                      </w:divBdr>
                    </w:div>
                  </w:divsChild>
                </w:div>
                <w:div w:id="1889873490">
                  <w:marLeft w:val="0"/>
                  <w:marRight w:val="0"/>
                  <w:marTop w:val="0"/>
                  <w:marBottom w:val="0"/>
                  <w:divBdr>
                    <w:top w:val="none" w:sz="0" w:space="0" w:color="auto"/>
                    <w:left w:val="none" w:sz="0" w:space="0" w:color="auto"/>
                    <w:bottom w:val="none" w:sz="0" w:space="0" w:color="auto"/>
                    <w:right w:val="none" w:sz="0" w:space="0" w:color="auto"/>
                  </w:divBdr>
                  <w:divsChild>
                    <w:div w:id="1607155676">
                      <w:marLeft w:val="0"/>
                      <w:marRight w:val="0"/>
                      <w:marTop w:val="0"/>
                      <w:marBottom w:val="0"/>
                      <w:divBdr>
                        <w:top w:val="none" w:sz="0" w:space="0" w:color="auto"/>
                        <w:left w:val="none" w:sz="0" w:space="0" w:color="auto"/>
                        <w:bottom w:val="none" w:sz="0" w:space="0" w:color="auto"/>
                        <w:right w:val="none" w:sz="0" w:space="0" w:color="auto"/>
                      </w:divBdr>
                    </w:div>
                  </w:divsChild>
                </w:div>
                <w:div w:id="1926720784">
                  <w:marLeft w:val="0"/>
                  <w:marRight w:val="0"/>
                  <w:marTop w:val="0"/>
                  <w:marBottom w:val="0"/>
                  <w:divBdr>
                    <w:top w:val="none" w:sz="0" w:space="0" w:color="auto"/>
                    <w:left w:val="none" w:sz="0" w:space="0" w:color="auto"/>
                    <w:bottom w:val="none" w:sz="0" w:space="0" w:color="auto"/>
                    <w:right w:val="none" w:sz="0" w:space="0" w:color="auto"/>
                  </w:divBdr>
                  <w:divsChild>
                    <w:div w:id="761413773">
                      <w:marLeft w:val="0"/>
                      <w:marRight w:val="0"/>
                      <w:marTop w:val="0"/>
                      <w:marBottom w:val="0"/>
                      <w:divBdr>
                        <w:top w:val="none" w:sz="0" w:space="0" w:color="auto"/>
                        <w:left w:val="none" w:sz="0" w:space="0" w:color="auto"/>
                        <w:bottom w:val="none" w:sz="0" w:space="0" w:color="auto"/>
                        <w:right w:val="none" w:sz="0" w:space="0" w:color="auto"/>
                      </w:divBdr>
                    </w:div>
                  </w:divsChild>
                </w:div>
                <w:div w:id="1937133668">
                  <w:marLeft w:val="0"/>
                  <w:marRight w:val="0"/>
                  <w:marTop w:val="0"/>
                  <w:marBottom w:val="0"/>
                  <w:divBdr>
                    <w:top w:val="none" w:sz="0" w:space="0" w:color="auto"/>
                    <w:left w:val="none" w:sz="0" w:space="0" w:color="auto"/>
                    <w:bottom w:val="none" w:sz="0" w:space="0" w:color="auto"/>
                    <w:right w:val="none" w:sz="0" w:space="0" w:color="auto"/>
                  </w:divBdr>
                  <w:divsChild>
                    <w:div w:id="483745541">
                      <w:marLeft w:val="0"/>
                      <w:marRight w:val="0"/>
                      <w:marTop w:val="0"/>
                      <w:marBottom w:val="0"/>
                      <w:divBdr>
                        <w:top w:val="none" w:sz="0" w:space="0" w:color="auto"/>
                        <w:left w:val="none" w:sz="0" w:space="0" w:color="auto"/>
                        <w:bottom w:val="none" w:sz="0" w:space="0" w:color="auto"/>
                        <w:right w:val="none" w:sz="0" w:space="0" w:color="auto"/>
                      </w:divBdr>
                    </w:div>
                  </w:divsChild>
                </w:div>
                <w:div w:id="2003658706">
                  <w:marLeft w:val="0"/>
                  <w:marRight w:val="0"/>
                  <w:marTop w:val="0"/>
                  <w:marBottom w:val="0"/>
                  <w:divBdr>
                    <w:top w:val="none" w:sz="0" w:space="0" w:color="auto"/>
                    <w:left w:val="none" w:sz="0" w:space="0" w:color="auto"/>
                    <w:bottom w:val="none" w:sz="0" w:space="0" w:color="auto"/>
                    <w:right w:val="none" w:sz="0" w:space="0" w:color="auto"/>
                  </w:divBdr>
                  <w:divsChild>
                    <w:div w:id="548537174">
                      <w:marLeft w:val="0"/>
                      <w:marRight w:val="0"/>
                      <w:marTop w:val="0"/>
                      <w:marBottom w:val="0"/>
                      <w:divBdr>
                        <w:top w:val="none" w:sz="0" w:space="0" w:color="auto"/>
                        <w:left w:val="none" w:sz="0" w:space="0" w:color="auto"/>
                        <w:bottom w:val="none" w:sz="0" w:space="0" w:color="auto"/>
                        <w:right w:val="none" w:sz="0" w:space="0" w:color="auto"/>
                      </w:divBdr>
                    </w:div>
                  </w:divsChild>
                </w:div>
                <w:div w:id="2023512989">
                  <w:marLeft w:val="0"/>
                  <w:marRight w:val="0"/>
                  <w:marTop w:val="0"/>
                  <w:marBottom w:val="0"/>
                  <w:divBdr>
                    <w:top w:val="none" w:sz="0" w:space="0" w:color="auto"/>
                    <w:left w:val="none" w:sz="0" w:space="0" w:color="auto"/>
                    <w:bottom w:val="none" w:sz="0" w:space="0" w:color="auto"/>
                    <w:right w:val="none" w:sz="0" w:space="0" w:color="auto"/>
                  </w:divBdr>
                  <w:divsChild>
                    <w:div w:id="216093605">
                      <w:marLeft w:val="0"/>
                      <w:marRight w:val="0"/>
                      <w:marTop w:val="0"/>
                      <w:marBottom w:val="0"/>
                      <w:divBdr>
                        <w:top w:val="none" w:sz="0" w:space="0" w:color="auto"/>
                        <w:left w:val="none" w:sz="0" w:space="0" w:color="auto"/>
                        <w:bottom w:val="none" w:sz="0" w:space="0" w:color="auto"/>
                        <w:right w:val="none" w:sz="0" w:space="0" w:color="auto"/>
                      </w:divBdr>
                    </w:div>
                  </w:divsChild>
                </w:div>
                <w:div w:id="2054183884">
                  <w:marLeft w:val="0"/>
                  <w:marRight w:val="0"/>
                  <w:marTop w:val="0"/>
                  <w:marBottom w:val="0"/>
                  <w:divBdr>
                    <w:top w:val="none" w:sz="0" w:space="0" w:color="auto"/>
                    <w:left w:val="none" w:sz="0" w:space="0" w:color="auto"/>
                    <w:bottom w:val="none" w:sz="0" w:space="0" w:color="auto"/>
                    <w:right w:val="none" w:sz="0" w:space="0" w:color="auto"/>
                  </w:divBdr>
                  <w:divsChild>
                    <w:div w:id="1940719960">
                      <w:marLeft w:val="0"/>
                      <w:marRight w:val="0"/>
                      <w:marTop w:val="0"/>
                      <w:marBottom w:val="0"/>
                      <w:divBdr>
                        <w:top w:val="none" w:sz="0" w:space="0" w:color="auto"/>
                        <w:left w:val="none" w:sz="0" w:space="0" w:color="auto"/>
                        <w:bottom w:val="none" w:sz="0" w:space="0" w:color="auto"/>
                        <w:right w:val="none" w:sz="0" w:space="0" w:color="auto"/>
                      </w:divBdr>
                    </w:div>
                  </w:divsChild>
                </w:div>
                <w:div w:id="2058233504">
                  <w:marLeft w:val="0"/>
                  <w:marRight w:val="0"/>
                  <w:marTop w:val="0"/>
                  <w:marBottom w:val="0"/>
                  <w:divBdr>
                    <w:top w:val="none" w:sz="0" w:space="0" w:color="auto"/>
                    <w:left w:val="none" w:sz="0" w:space="0" w:color="auto"/>
                    <w:bottom w:val="none" w:sz="0" w:space="0" w:color="auto"/>
                    <w:right w:val="none" w:sz="0" w:space="0" w:color="auto"/>
                  </w:divBdr>
                  <w:divsChild>
                    <w:div w:id="2634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0162">
          <w:marLeft w:val="0"/>
          <w:marRight w:val="0"/>
          <w:marTop w:val="0"/>
          <w:marBottom w:val="0"/>
          <w:divBdr>
            <w:top w:val="none" w:sz="0" w:space="0" w:color="auto"/>
            <w:left w:val="none" w:sz="0" w:space="0" w:color="auto"/>
            <w:bottom w:val="none" w:sz="0" w:space="0" w:color="auto"/>
            <w:right w:val="none" w:sz="0" w:space="0" w:color="auto"/>
          </w:divBdr>
          <w:divsChild>
            <w:div w:id="15540774">
              <w:marLeft w:val="-75"/>
              <w:marRight w:val="0"/>
              <w:marTop w:val="30"/>
              <w:marBottom w:val="30"/>
              <w:divBdr>
                <w:top w:val="none" w:sz="0" w:space="0" w:color="auto"/>
                <w:left w:val="none" w:sz="0" w:space="0" w:color="auto"/>
                <w:bottom w:val="none" w:sz="0" w:space="0" w:color="auto"/>
                <w:right w:val="none" w:sz="0" w:space="0" w:color="auto"/>
              </w:divBdr>
              <w:divsChild>
                <w:div w:id="33121434">
                  <w:marLeft w:val="0"/>
                  <w:marRight w:val="0"/>
                  <w:marTop w:val="0"/>
                  <w:marBottom w:val="0"/>
                  <w:divBdr>
                    <w:top w:val="none" w:sz="0" w:space="0" w:color="auto"/>
                    <w:left w:val="none" w:sz="0" w:space="0" w:color="auto"/>
                    <w:bottom w:val="none" w:sz="0" w:space="0" w:color="auto"/>
                    <w:right w:val="none" w:sz="0" w:space="0" w:color="auto"/>
                  </w:divBdr>
                  <w:divsChild>
                    <w:div w:id="459224234">
                      <w:marLeft w:val="0"/>
                      <w:marRight w:val="0"/>
                      <w:marTop w:val="0"/>
                      <w:marBottom w:val="0"/>
                      <w:divBdr>
                        <w:top w:val="none" w:sz="0" w:space="0" w:color="auto"/>
                        <w:left w:val="none" w:sz="0" w:space="0" w:color="auto"/>
                        <w:bottom w:val="none" w:sz="0" w:space="0" w:color="auto"/>
                        <w:right w:val="none" w:sz="0" w:space="0" w:color="auto"/>
                      </w:divBdr>
                    </w:div>
                  </w:divsChild>
                </w:div>
                <w:div w:id="61299240">
                  <w:marLeft w:val="0"/>
                  <w:marRight w:val="0"/>
                  <w:marTop w:val="0"/>
                  <w:marBottom w:val="0"/>
                  <w:divBdr>
                    <w:top w:val="none" w:sz="0" w:space="0" w:color="auto"/>
                    <w:left w:val="none" w:sz="0" w:space="0" w:color="auto"/>
                    <w:bottom w:val="none" w:sz="0" w:space="0" w:color="auto"/>
                    <w:right w:val="none" w:sz="0" w:space="0" w:color="auto"/>
                  </w:divBdr>
                  <w:divsChild>
                    <w:div w:id="477527779">
                      <w:marLeft w:val="0"/>
                      <w:marRight w:val="0"/>
                      <w:marTop w:val="0"/>
                      <w:marBottom w:val="0"/>
                      <w:divBdr>
                        <w:top w:val="none" w:sz="0" w:space="0" w:color="auto"/>
                        <w:left w:val="none" w:sz="0" w:space="0" w:color="auto"/>
                        <w:bottom w:val="none" w:sz="0" w:space="0" w:color="auto"/>
                        <w:right w:val="none" w:sz="0" w:space="0" w:color="auto"/>
                      </w:divBdr>
                    </w:div>
                  </w:divsChild>
                </w:div>
                <w:div w:id="400372417">
                  <w:marLeft w:val="0"/>
                  <w:marRight w:val="0"/>
                  <w:marTop w:val="0"/>
                  <w:marBottom w:val="0"/>
                  <w:divBdr>
                    <w:top w:val="none" w:sz="0" w:space="0" w:color="auto"/>
                    <w:left w:val="none" w:sz="0" w:space="0" w:color="auto"/>
                    <w:bottom w:val="none" w:sz="0" w:space="0" w:color="auto"/>
                    <w:right w:val="none" w:sz="0" w:space="0" w:color="auto"/>
                  </w:divBdr>
                  <w:divsChild>
                    <w:div w:id="1726680733">
                      <w:marLeft w:val="0"/>
                      <w:marRight w:val="0"/>
                      <w:marTop w:val="0"/>
                      <w:marBottom w:val="0"/>
                      <w:divBdr>
                        <w:top w:val="none" w:sz="0" w:space="0" w:color="auto"/>
                        <w:left w:val="none" w:sz="0" w:space="0" w:color="auto"/>
                        <w:bottom w:val="none" w:sz="0" w:space="0" w:color="auto"/>
                        <w:right w:val="none" w:sz="0" w:space="0" w:color="auto"/>
                      </w:divBdr>
                    </w:div>
                  </w:divsChild>
                </w:div>
                <w:div w:id="413937769">
                  <w:marLeft w:val="0"/>
                  <w:marRight w:val="0"/>
                  <w:marTop w:val="0"/>
                  <w:marBottom w:val="0"/>
                  <w:divBdr>
                    <w:top w:val="none" w:sz="0" w:space="0" w:color="auto"/>
                    <w:left w:val="none" w:sz="0" w:space="0" w:color="auto"/>
                    <w:bottom w:val="none" w:sz="0" w:space="0" w:color="auto"/>
                    <w:right w:val="none" w:sz="0" w:space="0" w:color="auto"/>
                  </w:divBdr>
                  <w:divsChild>
                    <w:div w:id="140319106">
                      <w:marLeft w:val="0"/>
                      <w:marRight w:val="0"/>
                      <w:marTop w:val="0"/>
                      <w:marBottom w:val="0"/>
                      <w:divBdr>
                        <w:top w:val="none" w:sz="0" w:space="0" w:color="auto"/>
                        <w:left w:val="none" w:sz="0" w:space="0" w:color="auto"/>
                        <w:bottom w:val="none" w:sz="0" w:space="0" w:color="auto"/>
                        <w:right w:val="none" w:sz="0" w:space="0" w:color="auto"/>
                      </w:divBdr>
                    </w:div>
                  </w:divsChild>
                </w:div>
                <w:div w:id="537280310">
                  <w:marLeft w:val="0"/>
                  <w:marRight w:val="0"/>
                  <w:marTop w:val="0"/>
                  <w:marBottom w:val="0"/>
                  <w:divBdr>
                    <w:top w:val="none" w:sz="0" w:space="0" w:color="auto"/>
                    <w:left w:val="none" w:sz="0" w:space="0" w:color="auto"/>
                    <w:bottom w:val="none" w:sz="0" w:space="0" w:color="auto"/>
                    <w:right w:val="none" w:sz="0" w:space="0" w:color="auto"/>
                  </w:divBdr>
                  <w:divsChild>
                    <w:div w:id="1873570020">
                      <w:marLeft w:val="0"/>
                      <w:marRight w:val="0"/>
                      <w:marTop w:val="0"/>
                      <w:marBottom w:val="0"/>
                      <w:divBdr>
                        <w:top w:val="none" w:sz="0" w:space="0" w:color="auto"/>
                        <w:left w:val="none" w:sz="0" w:space="0" w:color="auto"/>
                        <w:bottom w:val="none" w:sz="0" w:space="0" w:color="auto"/>
                        <w:right w:val="none" w:sz="0" w:space="0" w:color="auto"/>
                      </w:divBdr>
                    </w:div>
                  </w:divsChild>
                </w:div>
                <w:div w:id="600838858">
                  <w:marLeft w:val="0"/>
                  <w:marRight w:val="0"/>
                  <w:marTop w:val="0"/>
                  <w:marBottom w:val="0"/>
                  <w:divBdr>
                    <w:top w:val="none" w:sz="0" w:space="0" w:color="auto"/>
                    <w:left w:val="none" w:sz="0" w:space="0" w:color="auto"/>
                    <w:bottom w:val="none" w:sz="0" w:space="0" w:color="auto"/>
                    <w:right w:val="none" w:sz="0" w:space="0" w:color="auto"/>
                  </w:divBdr>
                  <w:divsChild>
                    <w:div w:id="1451583369">
                      <w:marLeft w:val="0"/>
                      <w:marRight w:val="0"/>
                      <w:marTop w:val="0"/>
                      <w:marBottom w:val="0"/>
                      <w:divBdr>
                        <w:top w:val="none" w:sz="0" w:space="0" w:color="auto"/>
                        <w:left w:val="none" w:sz="0" w:space="0" w:color="auto"/>
                        <w:bottom w:val="none" w:sz="0" w:space="0" w:color="auto"/>
                        <w:right w:val="none" w:sz="0" w:space="0" w:color="auto"/>
                      </w:divBdr>
                    </w:div>
                  </w:divsChild>
                </w:div>
                <w:div w:id="772673653">
                  <w:marLeft w:val="0"/>
                  <w:marRight w:val="0"/>
                  <w:marTop w:val="0"/>
                  <w:marBottom w:val="0"/>
                  <w:divBdr>
                    <w:top w:val="none" w:sz="0" w:space="0" w:color="auto"/>
                    <w:left w:val="none" w:sz="0" w:space="0" w:color="auto"/>
                    <w:bottom w:val="none" w:sz="0" w:space="0" w:color="auto"/>
                    <w:right w:val="none" w:sz="0" w:space="0" w:color="auto"/>
                  </w:divBdr>
                  <w:divsChild>
                    <w:div w:id="1060637107">
                      <w:marLeft w:val="0"/>
                      <w:marRight w:val="0"/>
                      <w:marTop w:val="0"/>
                      <w:marBottom w:val="0"/>
                      <w:divBdr>
                        <w:top w:val="none" w:sz="0" w:space="0" w:color="auto"/>
                        <w:left w:val="none" w:sz="0" w:space="0" w:color="auto"/>
                        <w:bottom w:val="none" w:sz="0" w:space="0" w:color="auto"/>
                        <w:right w:val="none" w:sz="0" w:space="0" w:color="auto"/>
                      </w:divBdr>
                    </w:div>
                  </w:divsChild>
                </w:div>
                <w:div w:id="835656466">
                  <w:marLeft w:val="0"/>
                  <w:marRight w:val="0"/>
                  <w:marTop w:val="0"/>
                  <w:marBottom w:val="0"/>
                  <w:divBdr>
                    <w:top w:val="none" w:sz="0" w:space="0" w:color="auto"/>
                    <w:left w:val="none" w:sz="0" w:space="0" w:color="auto"/>
                    <w:bottom w:val="none" w:sz="0" w:space="0" w:color="auto"/>
                    <w:right w:val="none" w:sz="0" w:space="0" w:color="auto"/>
                  </w:divBdr>
                  <w:divsChild>
                    <w:div w:id="870386957">
                      <w:marLeft w:val="0"/>
                      <w:marRight w:val="0"/>
                      <w:marTop w:val="0"/>
                      <w:marBottom w:val="0"/>
                      <w:divBdr>
                        <w:top w:val="none" w:sz="0" w:space="0" w:color="auto"/>
                        <w:left w:val="none" w:sz="0" w:space="0" w:color="auto"/>
                        <w:bottom w:val="none" w:sz="0" w:space="0" w:color="auto"/>
                        <w:right w:val="none" w:sz="0" w:space="0" w:color="auto"/>
                      </w:divBdr>
                    </w:div>
                  </w:divsChild>
                </w:div>
                <w:div w:id="1070929597">
                  <w:marLeft w:val="0"/>
                  <w:marRight w:val="0"/>
                  <w:marTop w:val="0"/>
                  <w:marBottom w:val="0"/>
                  <w:divBdr>
                    <w:top w:val="none" w:sz="0" w:space="0" w:color="auto"/>
                    <w:left w:val="none" w:sz="0" w:space="0" w:color="auto"/>
                    <w:bottom w:val="none" w:sz="0" w:space="0" w:color="auto"/>
                    <w:right w:val="none" w:sz="0" w:space="0" w:color="auto"/>
                  </w:divBdr>
                  <w:divsChild>
                    <w:div w:id="1419790363">
                      <w:marLeft w:val="0"/>
                      <w:marRight w:val="0"/>
                      <w:marTop w:val="0"/>
                      <w:marBottom w:val="0"/>
                      <w:divBdr>
                        <w:top w:val="none" w:sz="0" w:space="0" w:color="auto"/>
                        <w:left w:val="none" w:sz="0" w:space="0" w:color="auto"/>
                        <w:bottom w:val="none" w:sz="0" w:space="0" w:color="auto"/>
                        <w:right w:val="none" w:sz="0" w:space="0" w:color="auto"/>
                      </w:divBdr>
                    </w:div>
                  </w:divsChild>
                </w:div>
                <w:div w:id="1244683309">
                  <w:marLeft w:val="0"/>
                  <w:marRight w:val="0"/>
                  <w:marTop w:val="0"/>
                  <w:marBottom w:val="0"/>
                  <w:divBdr>
                    <w:top w:val="none" w:sz="0" w:space="0" w:color="auto"/>
                    <w:left w:val="none" w:sz="0" w:space="0" w:color="auto"/>
                    <w:bottom w:val="none" w:sz="0" w:space="0" w:color="auto"/>
                    <w:right w:val="none" w:sz="0" w:space="0" w:color="auto"/>
                  </w:divBdr>
                  <w:divsChild>
                    <w:div w:id="877544708">
                      <w:marLeft w:val="0"/>
                      <w:marRight w:val="0"/>
                      <w:marTop w:val="0"/>
                      <w:marBottom w:val="0"/>
                      <w:divBdr>
                        <w:top w:val="none" w:sz="0" w:space="0" w:color="auto"/>
                        <w:left w:val="none" w:sz="0" w:space="0" w:color="auto"/>
                        <w:bottom w:val="none" w:sz="0" w:space="0" w:color="auto"/>
                        <w:right w:val="none" w:sz="0" w:space="0" w:color="auto"/>
                      </w:divBdr>
                    </w:div>
                  </w:divsChild>
                </w:div>
                <w:div w:id="1298029534">
                  <w:marLeft w:val="0"/>
                  <w:marRight w:val="0"/>
                  <w:marTop w:val="0"/>
                  <w:marBottom w:val="0"/>
                  <w:divBdr>
                    <w:top w:val="none" w:sz="0" w:space="0" w:color="auto"/>
                    <w:left w:val="none" w:sz="0" w:space="0" w:color="auto"/>
                    <w:bottom w:val="none" w:sz="0" w:space="0" w:color="auto"/>
                    <w:right w:val="none" w:sz="0" w:space="0" w:color="auto"/>
                  </w:divBdr>
                  <w:divsChild>
                    <w:div w:id="971443763">
                      <w:marLeft w:val="0"/>
                      <w:marRight w:val="0"/>
                      <w:marTop w:val="0"/>
                      <w:marBottom w:val="0"/>
                      <w:divBdr>
                        <w:top w:val="none" w:sz="0" w:space="0" w:color="auto"/>
                        <w:left w:val="none" w:sz="0" w:space="0" w:color="auto"/>
                        <w:bottom w:val="none" w:sz="0" w:space="0" w:color="auto"/>
                        <w:right w:val="none" w:sz="0" w:space="0" w:color="auto"/>
                      </w:divBdr>
                    </w:div>
                  </w:divsChild>
                </w:div>
                <w:div w:id="1352881396">
                  <w:marLeft w:val="0"/>
                  <w:marRight w:val="0"/>
                  <w:marTop w:val="0"/>
                  <w:marBottom w:val="0"/>
                  <w:divBdr>
                    <w:top w:val="none" w:sz="0" w:space="0" w:color="auto"/>
                    <w:left w:val="none" w:sz="0" w:space="0" w:color="auto"/>
                    <w:bottom w:val="none" w:sz="0" w:space="0" w:color="auto"/>
                    <w:right w:val="none" w:sz="0" w:space="0" w:color="auto"/>
                  </w:divBdr>
                  <w:divsChild>
                    <w:div w:id="121776193">
                      <w:marLeft w:val="0"/>
                      <w:marRight w:val="0"/>
                      <w:marTop w:val="0"/>
                      <w:marBottom w:val="0"/>
                      <w:divBdr>
                        <w:top w:val="none" w:sz="0" w:space="0" w:color="auto"/>
                        <w:left w:val="none" w:sz="0" w:space="0" w:color="auto"/>
                        <w:bottom w:val="none" w:sz="0" w:space="0" w:color="auto"/>
                        <w:right w:val="none" w:sz="0" w:space="0" w:color="auto"/>
                      </w:divBdr>
                    </w:div>
                  </w:divsChild>
                </w:div>
                <w:div w:id="1406413834">
                  <w:marLeft w:val="0"/>
                  <w:marRight w:val="0"/>
                  <w:marTop w:val="0"/>
                  <w:marBottom w:val="0"/>
                  <w:divBdr>
                    <w:top w:val="none" w:sz="0" w:space="0" w:color="auto"/>
                    <w:left w:val="none" w:sz="0" w:space="0" w:color="auto"/>
                    <w:bottom w:val="none" w:sz="0" w:space="0" w:color="auto"/>
                    <w:right w:val="none" w:sz="0" w:space="0" w:color="auto"/>
                  </w:divBdr>
                  <w:divsChild>
                    <w:div w:id="373693958">
                      <w:marLeft w:val="0"/>
                      <w:marRight w:val="0"/>
                      <w:marTop w:val="0"/>
                      <w:marBottom w:val="0"/>
                      <w:divBdr>
                        <w:top w:val="none" w:sz="0" w:space="0" w:color="auto"/>
                        <w:left w:val="none" w:sz="0" w:space="0" w:color="auto"/>
                        <w:bottom w:val="none" w:sz="0" w:space="0" w:color="auto"/>
                        <w:right w:val="none" w:sz="0" w:space="0" w:color="auto"/>
                      </w:divBdr>
                    </w:div>
                  </w:divsChild>
                </w:div>
                <w:div w:id="1586265597">
                  <w:marLeft w:val="0"/>
                  <w:marRight w:val="0"/>
                  <w:marTop w:val="0"/>
                  <w:marBottom w:val="0"/>
                  <w:divBdr>
                    <w:top w:val="none" w:sz="0" w:space="0" w:color="auto"/>
                    <w:left w:val="none" w:sz="0" w:space="0" w:color="auto"/>
                    <w:bottom w:val="none" w:sz="0" w:space="0" w:color="auto"/>
                    <w:right w:val="none" w:sz="0" w:space="0" w:color="auto"/>
                  </w:divBdr>
                  <w:divsChild>
                    <w:div w:id="38357450">
                      <w:marLeft w:val="0"/>
                      <w:marRight w:val="0"/>
                      <w:marTop w:val="0"/>
                      <w:marBottom w:val="0"/>
                      <w:divBdr>
                        <w:top w:val="none" w:sz="0" w:space="0" w:color="auto"/>
                        <w:left w:val="none" w:sz="0" w:space="0" w:color="auto"/>
                        <w:bottom w:val="none" w:sz="0" w:space="0" w:color="auto"/>
                        <w:right w:val="none" w:sz="0" w:space="0" w:color="auto"/>
                      </w:divBdr>
                    </w:div>
                  </w:divsChild>
                </w:div>
                <w:div w:id="1856456908">
                  <w:marLeft w:val="0"/>
                  <w:marRight w:val="0"/>
                  <w:marTop w:val="0"/>
                  <w:marBottom w:val="0"/>
                  <w:divBdr>
                    <w:top w:val="none" w:sz="0" w:space="0" w:color="auto"/>
                    <w:left w:val="none" w:sz="0" w:space="0" w:color="auto"/>
                    <w:bottom w:val="none" w:sz="0" w:space="0" w:color="auto"/>
                    <w:right w:val="none" w:sz="0" w:space="0" w:color="auto"/>
                  </w:divBdr>
                  <w:divsChild>
                    <w:div w:id="60686756">
                      <w:marLeft w:val="0"/>
                      <w:marRight w:val="0"/>
                      <w:marTop w:val="0"/>
                      <w:marBottom w:val="0"/>
                      <w:divBdr>
                        <w:top w:val="none" w:sz="0" w:space="0" w:color="auto"/>
                        <w:left w:val="none" w:sz="0" w:space="0" w:color="auto"/>
                        <w:bottom w:val="none" w:sz="0" w:space="0" w:color="auto"/>
                        <w:right w:val="none" w:sz="0" w:space="0" w:color="auto"/>
                      </w:divBdr>
                    </w:div>
                  </w:divsChild>
                </w:div>
                <w:div w:id="1888764083">
                  <w:marLeft w:val="0"/>
                  <w:marRight w:val="0"/>
                  <w:marTop w:val="0"/>
                  <w:marBottom w:val="0"/>
                  <w:divBdr>
                    <w:top w:val="none" w:sz="0" w:space="0" w:color="auto"/>
                    <w:left w:val="none" w:sz="0" w:space="0" w:color="auto"/>
                    <w:bottom w:val="none" w:sz="0" w:space="0" w:color="auto"/>
                    <w:right w:val="none" w:sz="0" w:space="0" w:color="auto"/>
                  </w:divBdr>
                  <w:divsChild>
                    <w:div w:id="952712089">
                      <w:marLeft w:val="0"/>
                      <w:marRight w:val="0"/>
                      <w:marTop w:val="0"/>
                      <w:marBottom w:val="0"/>
                      <w:divBdr>
                        <w:top w:val="none" w:sz="0" w:space="0" w:color="auto"/>
                        <w:left w:val="none" w:sz="0" w:space="0" w:color="auto"/>
                        <w:bottom w:val="none" w:sz="0" w:space="0" w:color="auto"/>
                        <w:right w:val="none" w:sz="0" w:space="0" w:color="auto"/>
                      </w:divBdr>
                    </w:div>
                  </w:divsChild>
                </w:div>
                <w:div w:id="1951165348">
                  <w:marLeft w:val="0"/>
                  <w:marRight w:val="0"/>
                  <w:marTop w:val="0"/>
                  <w:marBottom w:val="0"/>
                  <w:divBdr>
                    <w:top w:val="none" w:sz="0" w:space="0" w:color="auto"/>
                    <w:left w:val="none" w:sz="0" w:space="0" w:color="auto"/>
                    <w:bottom w:val="none" w:sz="0" w:space="0" w:color="auto"/>
                    <w:right w:val="none" w:sz="0" w:space="0" w:color="auto"/>
                  </w:divBdr>
                  <w:divsChild>
                    <w:div w:id="650838042">
                      <w:marLeft w:val="0"/>
                      <w:marRight w:val="0"/>
                      <w:marTop w:val="0"/>
                      <w:marBottom w:val="0"/>
                      <w:divBdr>
                        <w:top w:val="none" w:sz="0" w:space="0" w:color="auto"/>
                        <w:left w:val="none" w:sz="0" w:space="0" w:color="auto"/>
                        <w:bottom w:val="none" w:sz="0" w:space="0" w:color="auto"/>
                        <w:right w:val="none" w:sz="0" w:space="0" w:color="auto"/>
                      </w:divBdr>
                    </w:div>
                  </w:divsChild>
                </w:div>
                <w:div w:id="2121487033">
                  <w:marLeft w:val="0"/>
                  <w:marRight w:val="0"/>
                  <w:marTop w:val="0"/>
                  <w:marBottom w:val="0"/>
                  <w:divBdr>
                    <w:top w:val="none" w:sz="0" w:space="0" w:color="auto"/>
                    <w:left w:val="none" w:sz="0" w:space="0" w:color="auto"/>
                    <w:bottom w:val="none" w:sz="0" w:space="0" w:color="auto"/>
                    <w:right w:val="none" w:sz="0" w:space="0" w:color="auto"/>
                  </w:divBdr>
                  <w:divsChild>
                    <w:div w:id="138401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0352">
          <w:marLeft w:val="0"/>
          <w:marRight w:val="0"/>
          <w:marTop w:val="0"/>
          <w:marBottom w:val="0"/>
          <w:divBdr>
            <w:top w:val="none" w:sz="0" w:space="0" w:color="auto"/>
            <w:left w:val="none" w:sz="0" w:space="0" w:color="auto"/>
            <w:bottom w:val="none" w:sz="0" w:space="0" w:color="auto"/>
            <w:right w:val="none" w:sz="0" w:space="0" w:color="auto"/>
          </w:divBdr>
        </w:div>
        <w:div w:id="741024870">
          <w:marLeft w:val="0"/>
          <w:marRight w:val="0"/>
          <w:marTop w:val="0"/>
          <w:marBottom w:val="0"/>
          <w:divBdr>
            <w:top w:val="none" w:sz="0" w:space="0" w:color="auto"/>
            <w:left w:val="none" w:sz="0" w:space="0" w:color="auto"/>
            <w:bottom w:val="none" w:sz="0" w:space="0" w:color="auto"/>
            <w:right w:val="none" w:sz="0" w:space="0" w:color="auto"/>
          </w:divBdr>
          <w:divsChild>
            <w:div w:id="82647445">
              <w:marLeft w:val="0"/>
              <w:marRight w:val="0"/>
              <w:marTop w:val="0"/>
              <w:marBottom w:val="0"/>
              <w:divBdr>
                <w:top w:val="none" w:sz="0" w:space="0" w:color="auto"/>
                <w:left w:val="none" w:sz="0" w:space="0" w:color="auto"/>
                <w:bottom w:val="none" w:sz="0" w:space="0" w:color="auto"/>
                <w:right w:val="none" w:sz="0" w:space="0" w:color="auto"/>
              </w:divBdr>
            </w:div>
            <w:div w:id="350843379">
              <w:marLeft w:val="0"/>
              <w:marRight w:val="0"/>
              <w:marTop w:val="0"/>
              <w:marBottom w:val="0"/>
              <w:divBdr>
                <w:top w:val="none" w:sz="0" w:space="0" w:color="auto"/>
                <w:left w:val="none" w:sz="0" w:space="0" w:color="auto"/>
                <w:bottom w:val="none" w:sz="0" w:space="0" w:color="auto"/>
                <w:right w:val="none" w:sz="0" w:space="0" w:color="auto"/>
              </w:divBdr>
            </w:div>
            <w:div w:id="476802740">
              <w:marLeft w:val="0"/>
              <w:marRight w:val="0"/>
              <w:marTop w:val="0"/>
              <w:marBottom w:val="0"/>
              <w:divBdr>
                <w:top w:val="none" w:sz="0" w:space="0" w:color="auto"/>
                <w:left w:val="none" w:sz="0" w:space="0" w:color="auto"/>
                <w:bottom w:val="none" w:sz="0" w:space="0" w:color="auto"/>
                <w:right w:val="none" w:sz="0" w:space="0" w:color="auto"/>
              </w:divBdr>
            </w:div>
            <w:div w:id="490683033">
              <w:marLeft w:val="0"/>
              <w:marRight w:val="0"/>
              <w:marTop w:val="0"/>
              <w:marBottom w:val="0"/>
              <w:divBdr>
                <w:top w:val="none" w:sz="0" w:space="0" w:color="auto"/>
                <w:left w:val="none" w:sz="0" w:space="0" w:color="auto"/>
                <w:bottom w:val="none" w:sz="0" w:space="0" w:color="auto"/>
                <w:right w:val="none" w:sz="0" w:space="0" w:color="auto"/>
              </w:divBdr>
            </w:div>
            <w:div w:id="631986379">
              <w:marLeft w:val="0"/>
              <w:marRight w:val="0"/>
              <w:marTop w:val="0"/>
              <w:marBottom w:val="0"/>
              <w:divBdr>
                <w:top w:val="none" w:sz="0" w:space="0" w:color="auto"/>
                <w:left w:val="none" w:sz="0" w:space="0" w:color="auto"/>
                <w:bottom w:val="none" w:sz="0" w:space="0" w:color="auto"/>
                <w:right w:val="none" w:sz="0" w:space="0" w:color="auto"/>
              </w:divBdr>
            </w:div>
            <w:div w:id="635643796">
              <w:marLeft w:val="0"/>
              <w:marRight w:val="0"/>
              <w:marTop w:val="0"/>
              <w:marBottom w:val="0"/>
              <w:divBdr>
                <w:top w:val="none" w:sz="0" w:space="0" w:color="auto"/>
                <w:left w:val="none" w:sz="0" w:space="0" w:color="auto"/>
                <w:bottom w:val="none" w:sz="0" w:space="0" w:color="auto"/>
                <w:right w:val="none" w:sz="0" w:space="0" w:color="auto"/>
              </w:divBdr>
            </w:div>
            <w:div w:id="848520214">
              <w:marLeft w:val="0"/>
              <w:marRight w:val="0"/>
              <w:marTop w:val="0"/>
              <w:marBottom w:val="0"/>
              <w:divBdr>
                <w:top w:val="none" w:sz="0" w:space="0" w:color="auto"/>
                <w:left w:val="none" w:sz="0" w:space="0" w:color="auto"/>
                <w:bottom w:val="none" w:sz="0" w:space="0" w:color="auto"/>
                <w:right w:val="none" w:sz="0" w:space="0" w:color="auto"/>
              </w:divBdr>
            </w:div>
            <w:div w:id="1096559713">
              <w:marLeft w:val="0"/>
              <w:marRight w:val="0"/>
              <w:marTop w:val="0"/>
              <w:marBottom w:val="0"/>
              <w:divBdr>
                <w:top w:val="none" w:sz="0" w:space="0" w:color="auto"/>
                <w:left w:val="none" w:sz="0" w:space="0" w:color="auto"/>
                <w:bottom w:val="none" w:sz="0" w:space="0" w:color="auto"/>
                <w:right w:val="none" w:sz="0" w:space="0" w:color="auto"/>
              </w:divBdr>
            </w:div>
            <w:div w:id="1122722364">
              <w:marLeft w:val="0"/>
              <w:marRight w:val="0"/>
              <w:marTop w:val="0"/>
              <w:marBottom w:val="0"/>
              <w:divBdr>
                <w:top w:val="none" w:sz="0" w:space="0" w:color="auto"/>
                <w:left w:val="none" w:sz="0" w:space="0" w:color="auto"/>
                <w:bottom w:val="none" w:sz="0" w:space="0" w:color="auto"/>
                <w:right w:val="none" w:sz="0" w:space="0" w:color="auto"/>
              </w:divBdr>
            </w:div>
            <w:div w:id="1215703345">
              <w:marLeft w:val="0"/>
              <w:marRight w:val="0"/>
              <w:marTop w:val="0"/>
              <w:marBottom w:val="0"/>
              <w:divBdr>
                <w:top w:val="none" w:sz="0" w:space="0" w:color="auto"/>
                <w:left w:val="none" w:sz="0" w:space="0" w:color="auto"/>
                <w:bottom w:val="none" w:sz="0" w:space="0" w:color="auto"/>
                <w:right w:val="none" w:sz="0" w:space="0" w:color="auto"/>
              </w:divBdr>
            </w:div>
            <w:div w:id="1217812254">
              <w:marLeft w:val="0"/>
              <w:marRight w:val="0"/>
              <w:marTop w:val="0"/>
              <w:marBottom w:val="0"/>
              <w:divBdr>
                <w:top w:val="none" w:sz="0" w:space="0" w:color="auto"/>
                <w:left w:val="none" w:sz="0" w:space="0" w:color="auto"/>
                <w:bottom w:val="none" w:sz="0" w:space="0" w:color="auto"/>
                <w:right w:val="none" w:sz="0" w:space="0" w:color="auto"/>
              </w:divBdr>
            </w:div>
            <w:div w:id="1228763782">
              <w:marLeft w:val="0"/>
              <w:marRight w:val="0"/>
              <w:marTop w:val="0"/>
              <w:marBottom w:val="0"/>
              <w:divBdr>
                <w:top w:val="none" w:sz="0" w:space="0" w:color="auto"/>
                <w:left w:val="none" w:sz="0" w:space="0" w:color="auto"/>
                <w:bottom w:val="none" w:sz="0" w:space="0" w:color="auto"/>
                <w:right w:val="none" w:sz="0" w:space="0" w:color="auto"/>
              </w:divBdr>
            </w:div>
            <w:div w:id="1551575786">
              <w:marLeft w:val="0"/>
              <w:marRight w:val="0"/>
              <w:marTop w:val="0"/>
              <w:marBottom w:val="0"/>
              <w:divBdr>
                <w:top w:val="none" w:sz="0" w:space="0" w:color="auto"/>
                <w:left w:val="none" w:sz="0" w:space="0" w:color="auto"/>
                <w:bottom w:val="none" w:sz="0" w:space="0" w:color="auto"/>
                <w:right w:val="none" w:sz="0" w:space="0" w:color="auto"/>
              </w:divBdr>
            </w:div>
            <w:div w:id="1632133044">
              <w:marLeft w:val="0"/>
              <w:marRight w:val="0"/>
              <w:marTop w:val="0"/>
              <w:marBottom w:val="0"/>
              <w:divBdr>
                <w:top w:val="none" w:sz="0" w:space="0" w:color="auto"/>
                <w:left w:val="none" w:sz="0" w:space="0" w:color="auto"/>
                <w:bottom w:val="none" w:sz="0" w:space="0" w:color="auto"/>
                <w:right w:val="none" w:sz="0" w:space="0" w:color="auto"/>
              </w:divBdr>
            </w:div>
            <w:div w:id="1726441272">
              <w:marLeft w:val="0"/>
              <w:marRight w:val="0"/>
              <w:marTop w:val="0"/>
              <w:marBottom w:val="0"/>
              <w:divBdr>
                <w:top w:val="none" w:sz="0" w:space="0" w:color="auto"/>
                <w:left w:val="none" w:sz="0" w:space="0" w:color="auto"/>
                <w:bottom w:val="none" w:sz="0" w:space="0" w:color="auto"/>
                <w:right w:val="none" w:sz="0" w:space="0" w:color="auto"/>
              </w:divBdr>
            </w:div>
            <w:div w:id="1753240879">
              <w:marLeft w:val="0"/>
              <w:marRight w:val="0"/>
              <w:marTop w:val="0"/>
              <w:marBottom w:val="0"/>
              <w:divBdr>
                <w:top w:val="none" w:sz="0" w:space="0" w:color="auto"/>
                <w:left w:val="none" w:sz="0" w:space="0" w:color="auto"/>
                <w:bottom w:val="none" w:sz="0" w:space="0" w:color="auto"/>
                <w:right w:val="none" w:sz="0" w:space="0" w:color="auto"/>
              </w:divBdr>
            </w:div>
            <w:div w:id="1757507895">
              <w:marLeft w:val="0"/>
              <w:marRight w:val="0"/>
              <w:marTop w:val="0"/>
              <w:marBottom w:val="0"/>
              <w:divBdr>
                <w:top w:val="none" w:sz="0" w:space="0" w:color="auto"/>
                <w:left w:val="none" w:sz="0" w:space="0" w:color="auto"/>
                <w:bottom w:val="none" w:sz="0" w:space="0" w:color="auto"/>
                <w:right w:val="none" w:sz="0" w:space="0" w:color="auto"/>
              </w:divBdr>
            </w:div>
            <w:div w:id="1808627249">
              <w:marLeft w:val="0"/>
              <w:marRight w:val="0"/>
              <w:marTop w:val="0"/>
              <w:marBottom w:val="0"/>
              <w:divBdr>
                <w:top w:val="none" w:sz="0" w:space="0" w:color="auto"/>
                <w:left w:val="none" w:sz="0" w:space="0" w:color="auto"/>
                <w:bottom w:val="none" w:sz="0" w:space="0" w:color="auto"/>
                <w:right w:val="none" w:sz="0" w:space="0" w:color="auto"/>
              </w:divBdr>
            </w:div>
            <w:div w:id="1831090654">
              <w:marLeft w:val="0"/>
              <w:marRight w:val="0"/>
              <w:marTop w:val="0"/>
              <w:marBottom w:val="0"/>
              <w:divBdr>
                <w:top w:val="none" w:sz="0" w:space="0" w:color="auto"/>
                <w:left w:val="none" w:sz="0" w:space="0" w:color="auto"/>
                <w:bottom w:val="none" w:sz="0" w:space="0" w:color="auto"/>
                <w:right w:val="none" w:sz="0" w:space="0" w:color="auto"/>
              </w:divBdr>
            </w:div>
            <w:div w:id="1943762569">
              <w:marLeft w:val="0"/>
              <w:marRight w:val="0"/>
              <w:marTop w:val="0"/>
              <w:marBottom w:val="0"/>
              <w:divBdr>
                <w:top w:val="none" w:sz="0" w:space="0" w:color="auto"/>
                <w:left w:val="none" w:sz="0" w:space="0" w:color="auto"/>
                <w:bottom w:val="none" w:sz="0" w:space="0" w:color="auto"/>
                <w:right w:val="none" w:sz="0" w:space="0" w:color="auto"/>
              </w:divBdr>
            </w:div>
          </w:divsChild>
        </w:div>
        <w:div w:id="1240556134">
          <w:marLeft w:val="0"/>
          <w:marRight w:val="0"/>
          <w:marTop w:val="0"/>
          <w:marBottom w:val="0"/>
          <w:divBdr>
            <w:top w:val="none" w:sz="0" w:space="0" w:color="auto"/>
            <w:left w:val="none" w:sz="0" w:space="0" w:color="auto"/>
            <w:bottom w:val="none" w:sz="0" w:space="0" w:color="auto"/>
            <w:right w:val="none" w:sz="0" w:space="0" w:color="auto"/>
          </w:divBdr>
        </w:div>
        <w:div w:id="1600747589">
          <w:marLeft w:val="0"/>
          <w:marRight w:val="0"/>
          <w:marTop w:val="0"/>
          <w:marBottom w:val="0"/>
          <w:divBdr>
            <w:top w:val="none" w:sz="0" w:space="0" w:color="auto"/>
            <w:left w:val="none" w:sz="0" w:space="0" w:color="auto"/>
            <w:bottom w:val="none" w:sz="0" w:space="0" w:color="auto"/>
            <w:right w:val="none" w:sz="0" w:space="0" w:color="auto"/>
          </w:divBdr>
        </w:div>
        <w:div w:id="1810434109">
          <w:marLeft w:val="0"/>
          <w:marRight w:val="0"/>
          <w:marTop w:val="0"/>
          <w:marBottom w:val="0"/>
          <w:divBdr>
            <w:top w:val="none" w:sz="0" w:space="0" w:color="auto"/>
            <w:left w:val="none" w:sz="0" w:space="0" w:color="auto"/>
            <w:bottom w:val="none" w:sz="0" w:space="0" w:color="auto"/>
            <w:right w:val="none" w:sz="0" w:space="0" w:color="auto"/>
          </w:divBdr>
          <w:divsChild>
            <w:div w:id="1152020120">
              <w:marLeft w:val="-75"/>
              <w:marRight w:val="0"/>
              <w:marTop w:val="30"/>
              <w:marBottom w:val="30"/>
              <w:divBdr>
                <w:top w:val="none" w:sz="0" w:space="0" w:color="auto"/>
                <w:left w:val="none" w:sz="0" w:space="0" w:color="auto"/>
                <w:bottom w:val="none" w:sz="0" w:space="0" w:color="auto"/>
                <w:right w:val="none" w:sz="0" w:space="0" w:color="auto"/>
              </w:divBdr>
              <w:divsChild>
                <w:div w:id="191387861">
                  <w:marLeft w:val="0"/>
                  <w:marRight w:val="0"/>
                  <w:marTop w:val="0"/>
                  <w:marBottom w:val="0"/>
                  <w:divBdr>
                    <w:top w:val="none" w:sz="0" w:space="0" w:color="auto"/>
                    <w:left w:val="none" w:sz="0" w:space="0" w:color="auto"/>
                    <w:bottom w:val="none" w:sz="0" w:space="0" w:color="auto"/>
                    <w:right w:val="none" w:sz="0" w:space="0" w:color="auto"/>
                  </w:divBdr>
                  <w:divsChild>
                    <w:div w:id="311912445">
                      <w:marLeft w:val="0"/>
                      <w:marRight w:val="0"/>
                      <w:marTop w:val="0"/>
                      <w:marBottom w:val="0"/>
                      <w:divBdr>
                        <w:top w:val="none" w:sz="0" w:space="0" w:color="auto"/>
                        <w:left w:val="none" w:sz="0" w:space="0" w:color="auto"/>
                        <w:bottom w:val="none" w:sz="0" w:space="0" w:color="auto"/>
                        <w:right w:val="none" w:sz="0" w:space="0" w:color="auto"/>
                      </w:divBdr>
                    </w:div>
                  </w:divsChild>
                </w:div>
                <w:div w:id="227307731">
                  <w:marLeft w:val="0"/>
                  <w:marRight w:val="0"/>
                  <w:marTop w:val="0"/>
                  <w:marBottom w:val="0"/>
                  <w:divBdr>
                    <w:top w:val="none" w:sz="0" w:space="0" w:color="auto"/>
                    <w:left w:val="none" w:sz="0" w:space="0" w:color="auto"/>
                    <w:bottom w:val="none" w:sz="0" w:space="0" w:color="auto"/>
                    <w:right w:val="none" w:sz="0" w:space="0" w:color="auto"/>
                  </w:divBdr>
                  <w:divsChild>
                    <w:div w:id="635914355">
                      <w:marLeft w:val="0"/>
                      <w:marRight w:val="0"/>
                      <w:marTop w:val="0"/>
                      <w:marBottom w:val="0"/>
                      <w:divBdr>
                        <w:top w:val="none" w:sz="0" w:space="0" w:color="auto"/>
                        <w:left w:val="none" w:sz="0" w:space="0" w:color="auto"/>
                        <w:bottom w:val="none" w:sz="0" w:space="0" w:color="auto"/>
                        <w:right w:val="none" w:sz="0" w:space="0" w:color="auto"/>
                      </w:divBdr>
                    </w:div>
                  </w:divsChild>
                </w:div>
                <w:div w:id="402945417">
                  <w:marLeft w:val="0"/>
                  <w:marRight w:val="0"/>
                  <w:marTop w:val="0"/>
                  <w:marBottom w:val="0"/>
                  <w:divBdr>
                    <w:top w:val="none" w:sz="0" w:space="0" w:color="auto"/>
                    <w:left w:val="none" w:sz="0" w:space="0" w:color="auto"/>
                    <w:bottom w:val="none" w:sz="0" w:space="0" w:color="auto"/>
                    <w:right w:val="none" w:sz="0" w:space="0" w:color="auto"/>
                  </w:divBdr>
                  <w:divsChild>
                    <w:div w:id="2099713193">
                      <w:marLeft w:val="0"/>
                      <w:marRight w:val="0"/>
                      <w:marTop w:val="0"/>
                      <w:marBottom w:val="0"/>
                      <w:divBdr>
                        <w:top w:val="none" w:sz="0" w:space="0" w:color="auto"/>
                        <w:left w:val="none" w:sz="0" w:space="0" w:color="auto"/>
                        <w:bottom w:val="none" w:sz="0" w:space="0" w:color="auto"/>
                        <w:right w:val="none" w:sz="0" w:space="0" w:color="auto"/>
                      </w:divBdr>
                    </w:div>
                  </w:divsChild>
                </w:div>
                <w:div w:id="464741968">
                  <w:marLeft w:val="0"/>
                  <w:marRight w:val="0"/>
                  <w:marTop w:val="0"/>
                  <w:marBottom w:val="0"/>
                  <w:divBdr>
                    <w:top w:val="none" w:sz="0" w:space="0" w:color="auto"/>
                    <w:left w:val="none" w:sz="0" w:space="0" w:color="auto"/>
                    <w:bottom w:val="none" w:sz="0" w:space="0" w:color="auto"/>
                    <w:right w:val="none" w:sz="0" w:space="0" w:color="auto"/>
                  </w:divBdr>
                  <w:divsChild>
                    <w:div w:id="1021315880">
                      <w:marLeft w:val="0"/>
                      <w:marRight w:val="0"/>
                      <w:marTop w:val="0"/>
                      <w:marBottom w:val="0"/>
                      <w:divBdr>
                        <w:top w:val="none" w:sz="0" w:space="0" w:color="auto"/>
                        <w:left w:val="none" w:sz="0" w:space="0" w:color="auto"/>
                        <w:bottom w:val="none" w:sz="0" w:space="0" w:color="auto"/>
                        <w:right w:val="none" w:sz="0" w:space="0" w:color="auto"/>
                      </w:divBdr>
                    </w:div>
                  </w:divsChild>
                </w:div>
                <w:div w:id="580145918">
                  <w:marLeft w:val="0"/>
                  <w:marRight w:val="0"/>
                  <w:marTop w:val="0"/>
                  <w:marBottom w:val="0"/>
                  <w:divBdr>
                    <w:top w:val="none" w:sz="0" w:space="0" w:color="auto"/>
                    <w:left w:val="none" w:sz="0" w:space="0" w:color="auto"/>
                    <w:bottom w:val="none" w:sz="0" w:space="0" w:color="auto"/>
                    <w:right w:val="none" w:sz="0" w:space="0" w:color="auto"/>
                  </w:divBdr>
                  <w:divsChild>
                    <w:div w:id="1146779570">
                      <w:marLeft w:val="0"/>
                      <w:marRight w:val="0"/>
                      <w:marTop w:val="0"/>
                      <w:marBottom w:val="0"/>
                      <w:divBdr>
                        <w:top w:val="none" w:sz="0" w:space="0" w:color="auto"/>
                        <w:left w:val="none" w:sz="0" w:space="0" w:color="auto"/>
                        <w:bottom w:val="none" w:sz="0" w:space="0" w:color="auto"/>
                        <w:right w:val="none" w:sz="0" w:space="0" w:color="auto"/>
                      </w:divBdr>
                    </w:div>
                  </w:divsChild>
                </w:div>
                <w:div w:id="715350518">
                  <w:marLeft w:val="0"/>
                  <w:marRight w:val="0"/>
                  <w:marTop w:val="0"/>
                  <w:marBottom w:val="0"/>
                  <w:divBdr>
                    <w:top w:val="none" w:sz="0" w:space="0" w:color="auto"/>
                    <w:left w:val="none" w:sz="0" w:space="0" w:color="auto"/>
                    <w:bottom w:val="none" w:sz="0" w:space="0" w:color="auto"/>
                    <w:right w:val="none" w:sz="0" w:space="0" w:color="auto"/>
                  </w:divBdr>
                  <w:divsChild>
                    <w:div w:id="327709061">
                      <w:marLeft w:val="0"/>
                      <w:marRight w:val="0"/>
                      <w:marTop w:val="0"/>
                      <w:marBottom w:val="0"/>
                      <w:divBdr>
                        <w:top w:val="none" w:sz="0" w:space="0" w:color="auto"/>
                        <w:left w:val="none" w:sz="0" w:space="0" w:color="auto"/>
                        <w:bottom w:val="none" w:sz="0" w:space="0" w:color="auto"/>
                        <w:right w:val="none" w:sz="0" w:space="0" w:color="auto"/>
                      </w:divBdr>
                    </w:div>
                  </w:divsChild>
                </w:div>
                <w:div w:id="1027175266">
                  <w:marLeft w:val="0"/>
                  <w:marRight w:val="0"/>
                  <w:marTop w:val="0"/>
                  <w:marBottom w:val="0"/>
                  <w:divBdr>
                    <w:top w:val="none" w:sz="0" w:space="0" w:color="auto"/>
                    <w:left w:val="none" w:sz="0" w:space="0" w:color="auto"/>
                    <w:bottom w:val="none" w:sz="0" w:space="0" w:color="auto"/>
                    <w:right w:val="none" w:sz="0" w:space="0" w:color="auto"/>
                  </w:divBdr>
                  <w:divsChild>
                    <w:div w:id="1698432829">
                      <w:marLeft w:val="0"/>
                      <w:marRight w:val="0"/>
                      <w:marTop w:val="0"/>
                      <w:marBottom w:val="0"/>
                      <w:divBdr>
                        <w:top w:val="none" w:sz="0" w:space="0" w:color="auto"/>
                        <w:left w:val="none" w:sz="0" w:space="0" w:color="auto"/>
                        <w:bottom w:val="none" w:sz="0" w:space="0" w:color="auto"/>
                        <w:right w:val="none" w:sz="0" w:space="0" w:color="auto"/>
                      </w:divBdr>
                    </w:div>
                  </w:divsChild>
                </w:div>
                <w:div w:id="1052927922">
                  <w:marLeft w:val="0"/>
                  <w:marRight w:val="0"/>
                  <w:marTop w:val="0"/>
                  <w:marBottom w:val="0"/>
                  <w:divBdr>
                    <w:top w:val="none" w:sz="0" w:space="0" w:color="auto"/>
                    <w:left w:val="none" w:sz="0" w:space="0" w:color="auto"/>
                    <w:bottom w:val="none" w:sz="0" w:space="0" w:color="auto"/>
                    <w:right w:val="none" w:sz="0" w:space="0" w:color="auto"/>
                  </w:divBdr>
                  <w:divsChild>
                    <w:div w:id="1443377217">
                      <w:marLeft w:val="0"/>
                      <w:marRight w:val="0"/>
                      <w:marTop w:val="0"/>
                      <w:marBottom w:val="0"/>
                      <w:divBdr>
                        <w:top w:val="none" w:sz="0" w:space="0" w:color="auto"/>
                        <w:left w:val="none" w:sz="0" w:space="0" w:color="auto"/>
                        <w:bottom w:val="none" w:sz="0" w:space="0" w:color="auto"/>
                        <w:right w:val="none" w:sz="0" w:space="0" w:color="auto"/>
                      </w:divBdr>
                    </w:div>
                  </w:divsChild>
                </w:div>
                <w:div w:id="1173956379">
                  <w:marLeft w:val="0"/>
                  <w:marRight w:val="0"/>
                  <w:marTop w:val="0"/>
                  <w:marBottom w:val="0"/>
                  <w:divBdr>
                    <w:top w:val="none" w:sz="0" w:space="0" w:color="auto"/>
                    <w:left w:val="none" w:sz="0" w:space="0" w:color="auto"/>
                    <w:bottom w:val="none" w:sz="0" w:space="0" w:color="auto"/>
                    <w:right w:val="none" w:sz="0" w:space="0" w:color="auto"/>
                  </w:divBdr>
                  <w:divsChild>
                    <w:div w:id="1206792894">
                      <w:marLeft w:val="0"/>
                      <w:marRight w:val="0"/>
                      <w:marTop w:val="0"/>
                      <w:marBottom w:val="0"/>
                      <w:divBdr>
                        <w:top w:val="none" w:sz="0" w:space="0" w:color="auto"/>
                        <w:left w:val="none" w:sz="0" w:space="0" w:color="auto"/>
                        <w:bottom w:val="none" w:sz="0" w:space="0" w:color="auto"/>
                        <w:right w:val="none" w:sz="0" w:space="0" w:color="auto"/>
                      </w:divBdr>
                    </w:div>
                  </w:divsChild>
                </w:div>
                <w:div w:id="1364817814">
                  <w:marLeft w:val="0"/>
                  <w:marRight w:val="0"/>
                  <w:marTop w:val="0"/>
                  <w:marBottom w:val="0"/>
                  <w:divBdr>
                    <w:top w:val="none" w:sz="0" w:space="0" w:color="auto"/>
                    <w:left w:val="none" w:sz="0" w:space="0" w:color="auto"/>
                    <w:bottom w:val="none" w:sz="0" w:space="0" w:color="auto"/>
                    <w:right w:val="none" w:sz="0" w:space="0" w:color="auto"/>
                  </w:divBdr>
                  <w:divsChild>
                    <w:div w:id="1109855915">
                      <w:marLeft w:val="0"/>
                      <w:marRight w:val="0"/>
                      <w:marTop w:val="0"/>
                      <w:marBottom w:val="0"/>
                      <w:divBdr>
                        <w:top w:val="none" w:sz="0" w:space="0" w:color="auto"/>
                        <w:left w:val="none" w:sz="0" w:space="0" w:color="auto"/>
                        <w:bottom w:val="none" w:sz="0" w:space="0" w:color="auto"/>
                        <w:right w:val="none" w:sz="0" w:space="0" w:color="auto"/>
                      </w:divBdr>
                    </w:div>
                  </w:divsChild>
                </w:div>
                <w:div w:id="1468624058">
                  <w:marLeft w:val="0"/>
                  <w:marRight w:val="0"/>
                  <w:marTop w:val="0"/>
                  <w:marBottom w:val="0"/>
                  <w:divBdr>
                    <w:top w:val="none" w:sz="0" w:space="0" w:color="auto"/>
                    <w:left w:val="none" w:sz="0" w:space="0" w:color="auto"/>
                    <w:bottom w:val="none" w:sz="0" w:space="0" w:color="auto"/>
                    <w:right w:val="none" w:sz="0" w:space="0" w:color="auto"/>
                  </w:divBdr>
                  <w:divsChild>
                    <w:div w:id="336151092">
                      <w:marLeft w:val="0"/>
                      <w:marRight w:val="0"/>
                      <w:marTop w:val="0"/>
                      <w:marBottom w:val="0"/>
                      <w:divBdr>
                        <w:top w:val="none" w:sz="0" w:space="0" w:color="auto"/>
                        <w:left w:val="none" w:sz="0" w:space="0" w:color="auto"/>
                        <w:bottom w:val="none" w:sz="0" w:space="0" w:color="auto"/>
                        <w:right w:val="none" w:sz="0" w:space="0" w:color="auto"/>
                      </w:divBdr>
                    </w:div>
                  </w:divsChild>
                </w:div>
                <w:div w:id="1524636454">
                  <w:marLeft w:val="0"/>
                  <w:marRight w:val="0"/>
                  <w:marTop w:val="0"/>
                  <w:marBottom w:val="0"/>
                  <w:divBdr>
                    <w:top w:val="none" w:sz="0" w:space="0" w:color="auto"/>
                    <w:left w:val="none" w:sz="0" w:space="0" w:color="auto"/>
                    <w:bottom w:val="none" w:sz="0" w:space="0" w:color="auto"/>
                    <w:right w:val="none" w:sz="0" w:space="0" w:color="auto"/>
                  </w:divBdr>
                  <w:divsChild>
                    <w:div w:id="1218468839">
                      <w:marLeft w:val="0"/>
                      <w:marRight w:val="0"/>
                      <w:marTop w:val="0"/>
                      <w:marBottom w:val="0"/>
                      <w:divBdr>
                        <w:top w:val="none" w:sz="0" w:space="0" w:color="auto"/>
                        <w:left w:val="none" w:sz="0" w:space="0" w:color="auto"/>
                        <w:bottom w:val="none" w:sz="0" w:space="0" w:color="auto"/>
                        <w:right w:val="none" w:sz="0" w:space="0" w:color="auto"/>
                      </w:divBdr>
                    </w:div>
                  </w:divsChild>
                </w:div>
                <w:div w:id="1724252954">
                  <w:marLeft w:val="0"/>
                  <w:marRight w:val="0"/>
                  <w:marTop w:val="0"/>
                  <w:marBottom w:val="0"/>
                  <w:divBdr>
                    <w:top w:val="none" w:sz="0" w:space="0" w:color="auto"/>
                    <w:left w:val="none" w:sz="0" w:space="0" w:color="auto"/>
                    <w:bottom w:val="none" w:sz="0" w:space="0" w:color="auto"/>
                    <w:right w:val="none" w:sz="0" w:space="0" w:color="auto"/>
                  </w:divBdr>
                  <w:divsChild>
                    <w:div w:id="63259058">
                      <w:marLeft w:val="0"/>
                      <w:marRight w:val="0"/>
                      <w:marTop w:val="0"/>
                      <w:marBottom w:val="0"/>
                      <w:divBdr>
                        <w:top w:val="none" w:sz="0" w:space="0" w:color="auto"/>
                        <w:left w:val="none" w:sz="0" w:space="0" w:color="auto"/>
                        <w:bottom w:val="none" w:sz="0" w:space="0" w:color="auto"/>
                        <w:right w:val="none" w:sz="0" w:space="0" w:color="auto"/>
                      </w:divBdr>
                    </w:div>
                  </w:divsChild>
                </w:div>
                <w:div w:id="1838765633">
                  <w:marLeft w:val="0"/>
                  <w:marRight w:val="0"/>
                  <w:marTop w:val="0"/>
                  <w:marBottom w:val="0"/>
                  <w:divBdr>
                    <w:top w:val="none" w:sz="0" w:space="0" w:color="auto"/>
                    <w:left w:val="none" w:sz="0" w:space="0" w:color="auto"/>
                    <w:bottom w:val="none" w:sz="0" w:space="0" w:color="auto"/>
                    <w:right w:val="none" w:sz="0" w:space="0" w:color="auto"/>
                  </w:divBdr>
                  <w:divsChild>
                    <w:div w:id="1469712944">
                      <w:marLeft w:val="0"/>
                      <w:marRight w:val="0"/>
                      <w:marTop w:val="0"/>
                      <w:marBottom w:val="0"/>
                      <w:divBdr>
                        <w:top w:val="none" w:sz="0" w:space="0" w:color="auto"/>
                        <w:left w:val="none" w:sz="0" w:space="0" w:color="auto"/>
                        <w:bottom w:val="none" w:sz="0" w:space="0" w:color="auto"/>
                        <w:right w:val="none" w:sz="0" w:space="0" w:color="auto"/>
                      </w:divBdr>
                    </w:div>
                  </w:divsChild>
                </w:div>
                <w:div w:id="1884127007">
                  <w:marLeft w:val="0"/>
                  <w:marRight w:val="0"/>
                  <w:marTop w:val="0"/>
                  <w:marBottom w:val="0"/>
                  <w:divBdr>
                    <w:top w:val="none" w:sz="0" w:space="0" w:color="auto"/>
                    <w:left w:val="none" w:sz="0" w:space="0" w:color="auto"/>
                    <w:bottom w:val="none" w:sz="0" w:space="0" w:color="auto"/>
                    <w:right w:val="none" w:sz="0" w:space="0" w:color="auto"/>
                  </w:divBdr>
                  <w:divsChild>
                    <w:div w:id="572086598">
                      <w:marLeft w:val="0"/>
                      <w:marRight w:val="0"/>
                      <w:marTop w:val="0"/>
                      <w:marBottom w:val="0"/>
                      <w:divBdr>
                        <w:top w:val="none" w:sz="0" w:space="0" w:color="auto"/>
                        <w:left w:val="none" w:sz="0" w:space="0" w:color="auto"/>
                        <w:bottom w:val="none" w:sz="0" w:space="0" w:color="auto"/>
                        <w:right w:val="none" w:sz="0" w:space="0" w:color="auto"/>
                      </w:divBdr>
                    </w:div>
                  </w:divsChild>
                </w:div>
                <w:div w:id="1887990449">
                  <w:marLeft w:val="0"/>
                  <w:marRight w:val="0"/>
                  <w:marTop w:val="0"/>
                  <w:marBottom w:val="0"/>
                  <w:divBdr>
                    <w:top w:val="none" w:sz="0" w:space="0" w:color="auto"/>
                    <w:left w:val="none" w:sz="0" w:space="0" w:color="auto"/>
                    <w:bottom w:val="none" w:sz="0" w:space="0" w:color="auto"/>
                    <w:right w:val="none" w:sz="0" w:space="0" w:color="auto"/>
                  </w:divBdr>
                  <w:divsChild>
                    <w:div w:id="21187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026184">
          <w:marLeft w:val="0"/>
          <w:marRight w:val="0"/>
          <w:marTop w:val="0"/>
          <w:marBottom w:val="0"/>
          <w:divBdr>
            <w:top w:val="none" w:sz="0" w:space="0" w:color="auto"/>
            <w:left w:val="none" w:sz="0" w:space="0" w:color="auto"/>
            <w:bottom w:val="none" w:sz="0" w:space="0" w:color="auto"/>
            <w:right w:val="none" w:sz="0" w:space="0" w:color="auto"/>
          </w:divBdr>
          <w:divsChild>
            <w:div w:id="26613230">
              <w:marLeft w:val="0"/>
              <w:marRight w:val="0"/>
              <w:marTop w:val="0"/>
              <w:marBottom w:val="0"/>
              <w:divBdr>
                <w:top w:val="none" w:sz="0" w:space="0" w:color="auto"/>
                <w:left w:val="none" w:sz="0" w:space="0" w:color="auto"/>
                <w:bottom w:val="none" w:sz="0" w:space="0" w:color="auto"/>
                <w:right w:val="none" w:sz="0" w:space="0" w:color="auto"/>
              </w:divBdr>
            </w:div>
            <w:div w:id="129134750">
              <w:marLeft w:val="0"/>
              <w:marRight w:val="0"/>
              <w:marTop w:val="0"/>
              <w:marBottom w:val="0"/>
              <w:divBdr>
                <w:top w:val="none" w:sz="0" w:space="0" w:color="auto"/>
                <w:left w:val="none" w:sz="0" w:space="0" w:color="auto"/>
                <w:bottom w:val="none" w:sz="0" w:space="0" w:color="auto"/>
                <w:right w:val="none" w:sz="0" w:space="0" w:color="auto"/>
              </w:divBdr>
            </w:div>
            <w:div w:id="501940738">
              <w:marLeft w:val="0"/>
              <w:marRight w:val="0"/>
              <w:marTop w:val="0"/>
              <w:marBottom w:val="0"/>
              <w:divBdr>
                <w:top w:val="none" w:sz="0" w:space="0" w:color="auto"/>
                <w:left w:val="none" w:sz="0" w:space="0" w:color="auto"/>
                <w:bottom w:val="none" w:sz="0" w:space="0" w:color="auto"/>
                <w:right w:val="none" w:sz="0" w:space="0" w:color="auto"/>
              </w:divBdr>
            </w:div>
            <w:div w:id="541989083">
              <w:marLeft w:val="0"/>
              <w:marRight w:val="0"/>
              <w:marTop w:val="0"/>
              <w:marBottom w:val="0"/>
              <w:divBdr>
                <w:top w:val="none" w:sz="0" w:space="0" w:color="auto"/>
                <w:left w:val="none" w:sz="0" w:space="0" w:color="auto"/>
                <w:bottom w:val="none" w:sz="0" w:space="0" w:color="auto"/>
                <w:right w:val="none" w:sz="0" w:space="0" w:color="auto"/>
              </w:divBdr>
            </w:div>
            <w:div w:id="618876144">
              <w:marLeft w:val="0"/>
              <w:marRight w:val="0"/>
              <w:marTop w:val="0"/>
              <w:marBottom w:val="0"/>
              <w:divBdr>
                <w:top w:val="none" w:sz="0" w:space="0" w:color="auto"/>
                <w:left w:val="none" w:sz="0" w:space="0" w:color="auto"/>
                <w:bottom w:val="none" w:sz="0" w:space="0" w:color="auto"/>
                <w:right w:val="none" w:sz="0" w:space="0" w:color="auto"/>
              </w:divBdr>
            </w:div>
            <w:div w:id="728383200">
              <w:marLeft w:val="0"/>
              <w:marRight w:val="0"/>
              <w:marTop w:val="0"/>
              <w:marBottom w:val="0"/>
              <w:divBdr>
                <w:top w:val="none" w:sz="0" w:space="0" w:color="auto"/>
                <w:left w:val="none" w:sz="0" w:space="0" w:color="auto"/>
                <w:bottom w:val="none" w:sz="0" w:space="0" w:color="auto"/>
                <w:right w:val="none" w:sz="0" w:space="0" w:color="auto"/>
              </w:divBdr>
            </w:div>
            <w:div w:id="920915617">
              <w:marLeft w:val="0"/>
              <w:marRight w:val="0"/>
              <w:marTop w:val="0"/>
              <w:marBottom w:val="0"/>
              <w:divBdr>
                <w:top w:val="none" w:sz="0" w:space="0" w:color="auto"/>
                <w:left w:val="none" w:sz="0" w:space="0" w:color="auto"/>
                <w:bottom w:val="none" w:sz="0" w:space="0" w:color="auto"/>
                <w:right w:val="none" w:sz="0" w:space="0" w:color="auto"/>
              </w:divBdr>
            </w:div>
            <w:div w:id="925192801">
              <w:marLeft w:val="0"/>
              <w:marRight w:val="0"/>
              <w:marTop w:val="0"/>
              <w:marBottom w:val="0"/>
              <w:divBdr>
                <w:top w:val="none" w:sz="0" w:space="0" w:color="auto"/>
                <w:left w:val="none" w:sz="0" w:space="0" w:color="auto"/>
                <w:bottom w:val="none" w:sz="0" w:space="0" w:color="auto"/>
                <w:right w:val="none" w:sz="0" w:space="0" w:color="auto"/>
              </w:divBdr>
            </w:div>
            <w:div w:id="1093403578">
              <w:marLeft w:val="0"/>
              <w:marRight w:val="0"/>
              <w:marTop w:val="0"/>
              <w:marBottom w:val="0"/>
              <w:divBdr>
                <w:top w:val="none" w:sz="0" w:space="0" w:color="auto"/>
                <w:left w:val="none" w:sz="0" w:space="0" w:color="auto"/>
                <w:bottom w:val="none" w:sz="0" w:space="0" w:color="auto"/>
                <w:right w:val="none" w:sz="0" w:space="0" w:color="auto"/>
              </w:divBdr>
            </w:div>
            <w:div w:id="1355497219">
              <w:marLeft w:val="0"/>
              <w:marRight w:val="0"/>
              <w:marTop w:val="0"/>
              <w:marBottom w:val="0"/>
              <w:divBdr>
                <w:top w:val="none" w:sz="0" w:space="0" w:color="auto"/>
                <w:left w:val="none" w:sz="0" w:space="0" w:color="auto"/>
                <w:bottom w:val="none" w:sz="0" w:space="0" w:color="auto"/>
                <w:right w:val="none" w:sz="0" w:space="0" w:color="auto"/>
              </w:divBdr>
            </w:div>
            <w:div w:id="1546327578">
              <w:marLeft w:val="0"/>
              <w:marRight w:val="0"/>
              <w:marTop w:val="0"/>
              <w:marBottom w:val="0"/>
              <w:divBdr>
                <w:top w:val="none" w:sz="0" w:space="0" w:color="auto"/>
                <w:left w:val="none" w:sz="0" w:space="0" w:color="auto"/>
                <w:bottom w:val="none" w:sz="0" w:space="0" w:color="auto"/>
                <w:right w:val="none" w:sz="0" w:space="0" w:color="auto"/>
              </w:divBdr>
            </w:div>
            <w:div w:id="1571578336">
              <w:marLeft w:val="0"/>
              <w:marRight w:val="0"/>
              <w:marTop w:val="0"/>
              <w:marBottom w:val="0"/>
              <w:divBdr>
                <w:top w:val="none" w:sz="0" w:space="0" w:color="auto"/>
                <w:left w:val="none" w:sz="0" w:space="0" w:color="auto"/>
                <w:bottom w:val="none" w:sz="0" w:space="0" w:color="auto"/>
                <w:right w:val="none" w:sz="0" w:space="0" w:color="auto"/>
              </w:divBdr>
            </w:div>
            <w:div w:id="1661077604">
              <w:marLeft w:val="0"/>
              <w:marRight w:val="0"/>
              <w:marTop w:val="0"/>
              <w:marBottom w:val="0"/>
              <w:divBdr>
                <w:top w:val="none" w:sz="0" w:space="0" w:color="auto"/>
                <w:left w:val="none" w:sz="0" w:space="0" w:color="auto"/>
                <w:bottom w:val="none" w:sz="0" w:space="0" w:color="auto"/>
                <w:right w:val="none" w:sz="0" w:space="0" w:color="auto"/>
              </w:divBdr>
            </w:div>
            <w:div w:id="1779106483">
              <w:marLeft w:val="0"/>
              <w:marRight w:val="0"/>
              <w:marTop w:val="0"/>
              <w:marBottom w:val="0"/>
              <w:divBdr>
                <w:top w:val="none" w:sz="0" w:space="0" w:color="auto"/>
                <w:left w:val="none" w:sz="0" w:space="0" w:color="auto"/>
                <w:bottom w:val="none" w:sz="0" w:space="0" w:color="auto"/>
                <w:right w:val="none" w:sz="0" w:space="0" w:color="auto"/>
              </w:divBdr>
            </w:div>
            <w:div w:id="1782921358">
              <w:marLeft w:val="0"/>
              <w:marRight w:val="0"/>
              <w:marTop w:val="0"/>
              <w:marBottom w:val="0"/>
              <w:divBdr>
                <w:top w:val="none" w:sz="0" w:space="0" w:color="auto"/>
                <w:left w:val="none" w:sz="0" w:space="0" w:color="auto"/>
                <w:bottom w:val="none" w:sz="0" w:space="0" w:color="auto"/>
                <w:right w:val="none" w:sz="0" w:space="0" w:color="auto"/>
              </w:divBdr>
            </w:div>
            <w:div w:id="1859467549">
              <w:marLeft w:val="0"/>
              <w:marRight w:val="0"/>
              <w:marTop w:val="0"/>
              <w:marBottom w:val="0"/>
              <w:divBdr>
                <w:top w:val="none" w:sz="0" w:space="0" w:color="auto"/>
                <w:left w:val="none" w:sz="0" w:space="0" w:color="auto"/>
                <w:bottom w:val="none" w:sz="0" w:space="0" w:color="auto"/>
                <w:right w:val="none" w:sz="0" w:space="0" w:color="auto"/>
              </w:divBdr>
            </w:div>
            <w:div w:id="1890872623">
              <w:marLeft w:val="0"/>
              <w:marRight w:val="0"/>
              <w:marTop w:val="0"/>
              <w:marBottom w:val="0"/>
              <w:divBdr>
                <w:top w:val="none" w:sz="0" w:space="0" w:color="auto"/>
                <w:left w:val="none" w:sz="0" w:space="0" w:color="auto"/>
                <w:bottom w:val="none" w:sz="0" w:space="0" w:color="auto"/>
                <w:right w:val="none" w:sz="0" w:space="0" w:color="auto"/>
              </w:divBdr>
            </w:div>
            <w:div w:id="1895266608">
              <w:marLeft w:val="0"/>
              <w:marRight w:val="0"/>
              <w:marTop w:val="0"/>
              <w:marBottom w:val="0"/>
              <w:divBdr>
                <w:top w:val="none" w:sz="0" w:space="0" w:color="auto"/>
                <w:left w:val="none" w:sz="0" w:space="0" w:color="auto"/>
                <w:bottom w:val="none" w:sz="0" w:space="0" w:color="auto"/>
                <w:right w:val="none" w:sz="0" w:space="0" w:color="auto"/>
              </w:divBdr>
            </w:div>
            <w:div w:id="2035225076">
              <w:marLeft w:val="0"/>
              <w:marRight w:val="0"/>
              <w:marTop w:val="0"/>
              <w:marBottom w:val="0"/>
              <w:divBdr>
                <w:top w:val="none" w:sz="0" w:space="0" w:color="auto"/>
                <w:left w:val="none" w:sz="0" w:space="0" w:color="auto"/>
                <w:bottom w:val="none" w:sz="0" w:space="0" w:color="auto"/>
                <w:right w:val="none" w:sz="0" w:space="0" w:color="auto"/>
              </w:divBdr>
            </w:div>
            <w:div w:id="20638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5783">
      <w:bodyDiv w:val="1"/>
      <w:marLeft w:val="0"/>
      <w:marRight w:val="0"/>
      <w:marTop w:val="0"/>
      <w:marBottom w:val="0"/>
      <w:divBdr>
        <w:top w:val="none" w:sz="0" w:space="0" w:color="auto"/>
        <w:left w:val="none" w:sz="0" w:space="0" w:color="auto"/>
        <w:bottom w:val="none" w:sz="0" w:space="0" w:color="auto"/>
        <w:right w:val="none" w:sz="0" w:space="0" w:color="auto"/>
      </w:divBdr>
      <w:divsChild>
        <w:div w:id="7875635">
          <w:marLeft w:val="0"/>
          <w:marRight w:val="0"/>
          <w:marTop w:val="0"/>
          <w:marBottom w:val="0"/>
          <w:divBdr>
            <w:top w:val="none" w:sz="0" w:space="0" w:color="auto"/>
            <w:left w:val="none" w:sz="0" w:space="0" w:color="auto"/>
            <w:bottom w:val="none" w:sz="0" w:space="0" w:color="auto"/>
            <w:right w:val="none" w:sz="0" w:space="0" w:color="auto"/>
          </w:divBdr>
        </w:div>
        <w:div w:id="12733216">
          <w:marLeft w:val="0"/>
          <w:marRight w:val="0"/>
          <w:marTop w:val="0"/>
          <w:marBottom w:val="0"/>
          <w:divBdr>
            <w:top w:val="none" w:sz="0" w:space="0" w:color="auto"/>
            <w:left w:val="none" w:sz="0" w:space="0" w:color="auto"/>
            <w:bottom w:val="none" w:sz="0" w:space="0" w:color="auto"/>
            <w:right w:val="none" w:sz="0" w:space="0" w:color="auto"/>
          </w:divBdr>
        </w:div>
        <w:div w:id="21786418">
          <w:marLeft w:val="0"/>
          <w:marRight w:val="0"/>
          <w:marTop w:val="0"/>
          <w:marBottom w:val="0"/>
          <w:divBdr>
            <w:top w:val="none" w:sz="0" w:space="0" w:color="auto"/>
            <w:left w:val="none" w:sz="0" w:space="0" w:color="auto"/>
            <w:bottom w:val="none" w:sz="0" w:space="0" w:color="auto"/>
            <w:right w:val="none" w:sz="0" w:space="0" w:color="auto"/>
          </w:divBdr>
        </w:div>
        <w:div w:id="23099386">
          <w:marLeft w:val="0"/>
          <w:marRight w:val="0"/>
          <w:marTop w:val="0"/>
          <w:marBottom w:val="0"/>
          <w:divBdr>
            <w:top w:val="none" w:sz="0" w:space="0" w:color="auto"/>
            <w:left w:val="none" w:sz="0" w:space="0" w:color="auto"/>
            <w:bottom w:val="none" w:sz="0" w:space="0" w:color="auto"/>
            <w:right w:val="none" w:sz="0" w:space="0" w:color="auto"/>
          </w:divBdr>
        </w:div>
        <w:div w:id="26217689">
          <w:marLeft w:val="0"/>
          <w:marRight w:val="0"/>
          <w:marTop w:val="0"/>
          <w:marBottom w:val="0"/>
          <w:divBdr>
            <w:top w:val="none" w:sz="0" w:space="0" w:color="auto"/>
            <w:left w:val="none" w:sz="0" w:space="0" w:color="auto"/>
            <w:bottom w:val="none" w:sz="0" w:space="0" w:color="auto"/>
            <w:right w:val="none" w:sz="0" w:space="0" w:color="auto"/>
          </w:divBdr>
        </w:div>
        <w:div w:id="30762469">
          <w:marLeft w:val="0"/>
          <w:marRight w:val="0"/>
          <w:marTop w:val="0"/>
          <w:marBottom w:val="0"/>
          <w:divBdr>
            <w:top w:val="none" w:sz="0" w:space="0" w:color="auto"/>
            <w:left w:val="none" w:sz="0" w:space="0" w:color="auto"/>
            <w:bottom w:val="none" w:sz="0" w:space="0" w:color="auto"/>
            <w:right w:val="none" w:sz="0" w:space="0" w:color="auto"/>
          </w:divBdr>
          <w:divsChild>
            <w:div w:id="164713878">
              <w:marLeft w:val="0"/>
              <w:marRight w:val="0"/>
              <w:marTop w:val="0"/>
              <w:marBottom w:val="0"/>
              <w:divBdr>
                <w:top w:val="none" w:sz="0" w:space="0" w:color="auto"/>
                <w:left w:val="none" w:sz="0" w:space="0" w:color="auto"/>
                <w:bottom w:val="none" w:sz="0" w:space="0" w:color="auto"/>
                <w:right w:val="none" w:sz="0" w:space="0" w:color="auto"/>
              </w:divBdr>
            </w:div>
            <w:div w:id="308095264">
              <w:marLeft w:val="0"/>
              <w:marRight w:val="0"/>
              <w:marTop w:val="0"/>
              <w:marBottom w:val="0"/>
              <w:divBdr>
                <w:top w:val="none" w:sz="0" w:space="0" w:color="auto"/>
                <w:left w:val="none" w:sz="0" w:space="0" w:color="auto"/>
                <w:bottom w:val="none" w:sz="0" w:space="0" w:color="auto"/>
                <w:right w:val="none" w:sz="0" w:space="0" w:color="auto"/>
              </w:divBdr>
            </w:div>
            <w:div w:id="365715688">
              <w:marLeft w:val="0"/>
              <w:marRight w:val="0"/>
              <w:marTop w:val="0"/>
              <w:marBottom w:val="0"/>
              <w:divBdr>
                <w:top w:val="none" w:sz="0" w:space="0" w:color="auto"/>
                <w:left w:val="none" w:sz="0" w:space="0" w:color="auto"/>
                <w:bottom w:val="none" w:sz="0" w:space="0" w:color="auto"/>
                <w:right w:val="none" w:sz="0" w:space="0" w:color="auto"/>
              </w:divBdr>
            </w:div>
            <w:div w:id="404256134">
              <w:marLeft w:val="0"/>
              <w:marRight w:val="0"/>
              <w:marTop w:val="0"/>
              <w:marBottom w:val="0"/>
              <w:divBdr>
                <w:top w:val="none" w:sz="0" w:space="0" w:color="auto"/>
                <w:left w:val="none" w:sz="0" w:space="0" w:color="auto"/>
                <w:bottom w:val="none" w:sz="0" w:space="0" w:color="auto"/>
                <w:right w:val="none" w:sz="0" w:space="0" w:color="auto"/>
              </w:divBdr>
            </w:div>
            <w:div w:id="524639239">
              <w:marLeft w:val="0"/>
              <w:marRight w:val="0"/>
              <w:marTop w:val="0"/>
              <w:marBottom w:val="0"/>
              <w:divBdr>
                <w:top w:val="none" w:sz="0" w:space="0" w:color="auto"/>
                <w:left w:val="none" w:sz="0" w:space="0" w:color="auto"/>
                <w:bottom w:val="none" w:sz="0" w:space="0" w:color="auto"/>
                <w:right w:val="none" w:sz="0" w:space="0" w:color="auto"/>
              </w:divBdr>
            </w:div>
            <w:div w:id="627127641">
              <w:marLeft w:val="0"/>
              <w:marRight w:val="0"/>
              <w:marTop w:val="0"/>
              <w:marBottom w:val="0"/>
              <w:divBdr>
                <w:top w:val="none" w:sz="0" w:space="0" w:color="auto"/>
                <w:left w:val="none" w:sz="0" w:space="0" w:color="auto"/>
                <w:bottom w:val="none" w:sz="0" w:space="0" w:color="auto"/>
                <w:right w:val="none" w:sz="0" w:space="0" w:color="auto"/>
              </w:divBdr>
            </w:div>
            <w:div w:id="665323340">
              <w:marLeft w:val="0"/>
              <w:marRight w:val="0"/>
              <w:marTop w:val="0"/>
              <w:marBottom w:val="0"/>
              <w:divBdr>
                <w:top w:val="none" w:sz="0" w:space="0" w:color="auto"/>
                <w:left w:val="none" w:sz="0" w:space="0" w:color="auto"/>
                <w:bottom w:val="none" w:sz="0" w:space="0" w:color="auto"/>
                <w:right w:val="none" w:sz="0" w:space="0" w:color="auto"/>
              </w:divBdr>
            </w:div>
            <w:div w:id="740252180">
              <w:marLeft w:val="0"/>
              <w:marRight w:val="0"/>
              <w:marTop w:val="0"/>
              <w:marBottom w:val="0"/>
              <w:divBdr>
                <w:top w:val="none" w:sz="0" w:space="0" w:color="auto"/>
                <w:left w:val="none" w:sz="0" w:space="0" w:color="auto"/>
                <w:bottom w:val="none" w:sz="0" w:space="0" w:color="auto"/>
                <w:right w:val="none" w:sz="0" w:space="0" w:color="auto"/>
              </w:divBdr>
            </w:div>
            <w:div w:id="892233280">
              <w:marLeft w:val="0"/>
              <w:marRight w:val="0"/>
              <w:marTop w:val="0"/>
              <w:marBottom w:val="0"/>
              <w:divBdr>
                <w:top w:val="none" w:sz="0" w:space="0" w:color="auto"/>
                <w:left w:val="none" w:sz="0" w:space="0" w:color="auto"/>
                <w:bottom w:val="none" w:sz="0" w:space="0" w:color="auto"/>
                <w:right w:val="none" w:sz="0" w:space="0" w:color="auto"/>
              </w:divBdr>
            </w:div>
            <w:div w:id="956566365">
              <w:marLeft w:val="0"/>
              <w:marRight w:val="0"/>
              <w:marTop w:val="0"/>
              <w:marBottom w:val="0"/>
              <w:divBdr>
                <w:top w:val="none" w:sz="0" w:space="0" w:color="auto"/>
                <w:left w:val="none" w:sz="0" w:space="0" w:color="auto"/>
                <w:bottom w:val="none" w:sz="0" w:space="0" w:color="auto"/>
                <w:right w:val="none" w:sz="0" w:space="0" w:color="auto"/>
              </w:divBdr>
            </w:div>
            <w:div w:id="960234306">
              <w:marLeft w:val="0"/>
              <w:marRight w:val="0"/>
              <w:marTop w:val="0"/>
              <w:marBottom w:val="0"/>
              <w:divBdr>
                <w:top w:val="none" w:sz="0" w:space="0" w:color="auto"/>
                <w:left w:val="none" w:sz="0" w:space="0" w:color="auto"/>
                <w:bottom w:val="none" w:sz="0" w:space="0" w:color="auto"/>
                <w:right w:val="none" w:sz="0" w:space="0" w:color="auto"/>
              </w:divBdr>
            </w:div>
            <w:div w:id="1043670496">
              <w:marLeft w:val="0"/>
              <w:marRight w:val="0"/>
              <w:marTop w:val="0"/>
              <w:marBottom w:val="0"/>
              <w:divBdr>
                <w:top w:val="none" w:sz="0" w:space="0" w:color="auto"/>
                <w:left w:val="none" w:sz="0" w:space="0" w:color="auto"/>
                <w:bottom w:val="none" w:sz="0" w:space="0" w:color="auto"/>
                <w:right w:val="none" w:sz="0" w:space="0" w:color="auto"/>
              </w:divBdr>
            </w:div>
            <w:div w:id="1151869722">
              <w:marLeft w:val="0"/>
              <w:marRight w:val="0"/>
              <w:marTop w:val="0"/>
              <w:marBottom w:val="0"/>
              <w:divBdr>
                <w:top w:val="none" w:sz="0" w:space="0" w:color="auto"/>
                <w:left w:val="none" w:sz="0" w:space="0" w:color="auto"/>
                <w:bottom w:val="none" w:sz="0" w:space="0" w:color="auto"/>
                <w:right w:val="none" w:sz="0" w:space="0" w:color="auto"/>
              </w:divBdr>
            </w:div>
            <w:div w:id="1208495492">
              <w:marLeft w:val="0"/>
              <w:marRight w:val="0"/>
              <w:marTop w:val="0"/>
              <w:marBottom w:val="0"/>
              <w:divBdr>
                <w:top w:val="none" w:sz="0" w:space="0" w:color="auto"/>
                <w:left w:val="none" w:sz="0" w:space="0" w:color="auto"/>
                <w:bottom w:val="none" w:sz="0" w:space="0" w:color="auto"/>
                <w:right w:val="none" w:sz="0" w:space="0" w:color="auto"/>
              </w:divBdr>
            </w:div>
            <w:div w:id="1412003695">
              <w:marLeft w:val="0"/>
              <w:marRight w:val="0"/>
              <w:marTop w:val="0"/>
              <w:marBottom w:val="0"/>
              <w:divBdr>
                <w:top w:val="none" w:sz="0" w:space="0" w:color="auto"/>
                <w:left w:val="none" w:sz="0" w:space="0" w:color="auto"/>
                <w:bottom w:val="none" w:sz="0" w:space="0" w:color="auto"/>
                <w:right w:val="none" w:sz="0" w:space="0" w:color="auto"/>
              </w:divBdr>
            </w:div>
            <w:div w:id="1459685229">
              <w:marLeft w:val="0"/>
              <w:marRight w:val="0"/>
              <w:marTop w:val="0"/>
              <w:marBottom w:val="0"/>
              <w:divBdr>
                <w:top w:val="none" w:sz="0" w:space="0" w:color="auto"/>
                <w:left w:val="none" w:sz="0" w:space="0" w:color="auto"/>
                <w:bottom w:val="none" w:sz="0" w:space="0" w:color="auto"/>
                <w:right w:val="none" w:sz="0" w:space="0" w:color="auto"/>
              </w:divBdr>
            </w:div>
            <w:div w:id="1469662720">
              <w:marLeft w:val="0"/>
              <w:marRight w:val="0"/>
              <w:marTop w:val="0"/>
              <w:marBottom w:val="0"/>
              <w:divBdr>
                <w:top w:val="none" w:sz="0" w:space="0" w:color="auto"/>
                <w:left w:val="none" w:sz="0" w:space="0" w:color="auto"/>
                <w:bottom w:val="none" w:sz="0" w:space="0" w:color="auto"/>
                <w:right w:val="none" w:sz="0" w:space="0" w:color="auto"/>
              </w:divBdr>
            </w:div>
            <w:div w:id="1994522829">
              <w:marLeft w:val="0"/>
              <w:marRight w:val="0"/>
              <w:marTop w:val="0"/>
              <w:marBottom w:val="0"/>
              <w:divBdr>
                <w:top w:val="none" w:sz="0" w:space="0" w:color="auto"/>
                <w:left w:val="none" w:sz="0" w:space="0" w:color="auto"/>
                <w:bottom w:val="none" w:sz="0" w:space="0" w:color="auto"/>
                <w:right w:val="none" w:sz="0" w:space="0" w:color="auto"/>
              </w:divBdr>
            </w:div>
            <w:div w:id="2007587004">
              <w:marLeft w:val="0"/>
              <w:marRight w:val="0"/>
              <w:marTop w:val="0"/>
              <w:marBottom w:val="0"/>
              <w:divBdr>
                <w:top w:val="none" w:sz="0" w:space="0" w:color="auto"/>
                <w:left w:val="none" w:sz="0" w:space="0" w:color="auto"/>
                <w:bottom w:val="none" w:sz="0" w:space="0" w:color="auto"/>
                <w:right w:val="none" w:sz="0" w:space="0" w:color="auto"/>
              </w:divBdr>
            </w:div>
            <w:div w:id="2073851383">
              <w:marLeft w:val="0"/>
              <w:marRight w:val="0"/>
              <w:marTop w:val="0"/>
              <w:marBottom w:val="0"/>
              <w:divBdr>
                <w:top w:val="none" w:sz="0" w:space="0" w:color="auto"/>
                <w:left w:val="none" w:sz="0" w:space="0" w:color="auto"/>
                <w:bottom w:val="none" w:sz="0" w:space="0" w:color="auto"/>
                <w:right w:val="none" w:sz="0" w:space="0" w:color="auto"/>
              </w:divBdr>
            </w:div>
          </w:divsChild>
        </w:div>
        <w:div w:id="43871413">
          <w:marLeft w:val="0"/>
          <w:marRight w:val="0"/>
          <w:marTop w:val="0"/>
          <w:marBottom w:val="0"/>
          <w:divBdr>
            <w:top w:val="none" w:sz="0" w:space="0" w:color="auto"/>
            <w:left w:val="none" w:sz="0" w:space="0" w:color="auto"/>
            <w:bottom w:val="none" w:sz="0" w:space="0" w:color="auto"/>
            <w:right w:val="none" w:sz="0" w:space="0" w:color="auto"/>
          </w:divBdr>
          <w:divsChild>
            <w:div w:id="1810170276">
              <w:marLeft w:val="-75"/>
              <w:marRight w:val="0"/>
              <w:marTop w:val="30"/>
              <w:marBottom w:val="30"/>
              <w:divBdr>
                <w:top w:val="none" w:sz="0" w:space="0" w:color="auto"/>
                <w:left w:val="none" w:sz="0" w:space="0" w:color="auto"/>
                <w:bottom w:val="none" w:sz="0" w:space="0" w:color="auto"/>
                <w:right w:val="none" w:sz="0" w:space="0" w:color="auto"/>
              </w:divBdr>
              <w:divsChild>
                <w:div w:id="122239532">
                  <w:marLeft w:val="0"/>
                  <w:marRight w:val="0"/>
                  <w:marTop w:val="0"/>
                  <w:marBottom w:val="0"/>
                  <w:divBdr>
                    <w:top w:val="none" w:sz="0" w:space="0" w:color="auto"/>
                    <w:left w:val="none" w:sz="0" w:space="0" w:color="auto"/>
                    <w:bottom w:val="none" w:sz="0" w:space="0" w:color="auto"/>
                    <w:right w:val="none" w:sz="0" w:space="0" w:color="auto"/>
                  </w:divBdr>
                  <w:divsChild>
                    <w:div w:id="1632131745">
                      <w:marLeft w:val="0"/>
                      <w:marRight w:val="0"/>
                      <w:marTop w:val="0"/>
                      <w:marBottom w:val="0"/>
                      <w:divBdr>
                        <w:top w:val="none" w:sz="0" w:space="0" w:color="auto"/>
                        <w:left w:val="none" w:sz="0" w:space="0" w:color="auto"/>
                        <w:bottom w:val="none" w:sz="0" w:space="0" w:color="auto"/>
                        <w:right w:val="none" w:sz="0" w:space="0" w:color="auto"/>
                      </w:divBdr>
                    </w:div>
                  </w:divsChild>
                </w:div>
                <w:div w:id="208809531">
                  <w:marLeft w:val="0"/>
                  <w:marRight w:val="0"/>
                  <w:marTop w:val="0"/>
                  <w:marBottom w:val="0"/>
                  <w:divBdr>
                    <w:top w:val="none" w:sz="0" w:space="0" w:color="auto"/>
                    <w:left w:val="none" w:sz="0" w:space="0" w:color="auto"/>
                    <w:bottom w:val="none" w:sz="0" w:space="0" w:color="auto"/>
                    <w:right w:val="none" w:sz="0" w:space="0" w:color="auto"/>
                  </w:divBdr>
                  <w:divsChild>
                    <w:div w:id="1535843087">
                      <w:marLeft w:val="0"/>
                      <w:marRight w:val="0"/>
                      <w:marTop w:val="0"/>
                      <w:marBottom w:val="0"/>
                      <w:divBdr>
                        <w:top w:val="none" w:sz="0" w:space="0" w:color="auto"/>
                        <w:left w:val="none" w:sz="0" w:space="0" w:color="auto"/>
                        <w:bottom w:val="none" w:sz="0" w:space="0" w:color="auto"/>
                        <w:right w:val="none" w:sz="0" w:space="0" w:color="auto"/>
                      </w:divBdr>
                    </w:div>
                  </w:divsChild>
                </w:div>
                <w:div w:id="249319630">
                  <w:marLeft w:val="0"/>
                  <w:marRight w:val="0"/>
                  <w:marTop w:val="0"/>
                  <w:marBottom w:val="0"/>
                  <w:divBdr>
                    <w:top w:val="none" w:sz="0" w:space="0" w:color="auto"/>
                    <w:left w:val="none" w:sz="0" w:space="0" w:color="auto"/>
                    <w:bottom w:val="none" w:sz="0" w:space="0" w:color="auto"/>
                    <w:right w:val="none" w:sz="0" w:space="0" w:color="auto"/>
                  </w:divBdr>
                  <w:divsChild>
                    <w:div w:id="1674839214">
                      <w:marLeft w:val="0"/>
                      <w:marRight w:val="0"/>
                      <w:marTop w:val="0"/>
                      <w:marBottom w:val="0"/>
                      <w:divBdr>
                        <w:top w:val="none" w:sz="0" w:space="0" w:color="auto"/>
                        <w:left w:val="none" w:sz="0" w:space="0" w:color="auto"/>
                        <w:bottom w:val="none" w:sz="0" w:space="0" w:color="auto"/>
                        <w:right w:val="none" w:sz="0" w:space="0" w:color="auto"/>
                      </w:divBdr>
                    </w:div>
                  </w:divsChild>
                </w:div>
                <w:div w:id="362095681">
                  <w:marLeft w:val="0"/>
                  <w:marRight w:val="0"/>
                  <w:marTop w:val="0"/>
                  <w:marBottom w:val="0"/>
                  <w:divBdr>
                    <w:top w:val="none" w:sz="0" w:space="0" w:color="auto"/>
                    <w:left w:val="none" w:sz="0" w:space="0" w:color="auto"/>
                    <w:bottom w:val="none" w:sz="0" w:space="0" w:color="auto"/>
                    <w:right w:val="none" w:sz="0" w:space="0" w:color="auto"/>
                  </w:divBdr>
                  <w:divsChild>
                    <w:div w:id="1537154251">
                      <w:marLeft w:val="0"/>
                      <w:marRight w:val="0"/>
                      <w:marTop w:val="0"/>
                      <w:marBottom w:val="0"/>
                      <w:divBdr>
                        <w:top w:val="none" w:sz="0" w:space="0" w:color="auto"/>
                        <w:left w:val="none" w:sz="0" w:space="0" w:color="auto"/>
                        <w:bottom w:val="none" w:sz="0" w:space="0" w:color="auto"/>
                        <w:right w:val="none" w:sz="0" w:space="0" w:color="auto"/>
                      </w:divBdr>
                    </w:div>
                  </w:divsChild>
                </w:div>
                <w:div w:id="456262682">
                  <w:marLeft w:val="0"/>
                  <w:marRight w:val="0"/>
                  <w:marTop w:val="0"/>
                  <w:marBottom w:val="0"/>
                  <w:divBdr>
                    <w:top w:val="none" w:sz="0" w:space="0" w:color="auto"/>
                    <w:left w:val="none" w:sz="0" w:space="0" w:color="auto"/>
                    <w:bottom w:val="none" w:sz="0" w:space="0" w:color="auto"/>
                    <w:right w:val="none" w:sz="0" w:space="0" w:color="auto"/>
                  </w:divBdr>
                  <w:divsChild>
                    <w:div w:id="1826316128">
                      <w:marLeft w:val="0"/>
                      <w:marRight w:val="0"/>
                      <w:marTop w:val="0"/>
                      <w:marBottom w:val="0"/>
                      <w:divBdr>
                        <w:top w:val="none" w:sz="0" w:space="0" w:color="auto"/>
                        <w:left w:val="none" w:sz="0" w:space="0" w:color="auto"/>
                        <w:bottom w:val="none" w:sz="0" w:space="0" w:color="auto"/>
                        <w:right w:val="none" w:sz="0" w:space="0" w:color="auto"/>
                      </w:divBdr>
                    </w:div>
                  </w:divsChild>
                </w:div>
                <w:div w:id="677780117">
                  <w:marLeft w:val="0"/>
                  <w:marRight w:val="0"/>
                  <w:marTop w:val="0"/>
                  <w:marBottom w:val="0"/>
                  <w:divBdr>
                    <w:top w:val="none" w:sz="0" w:space="0" w:color="auto"/>
                    <w:left w:val="none" w:sz="0" w:space="0" w:color="auto"/>
                    <w:bottom w:val="none" w:sz="0" w:space="0" w:color="auto"/>
                    <w:right w:val="none" w:sz="0" w:space="0" w:color="auto"/>
                  </w:divBdr>
                  <w:divsChild>
                    <w:div w:id="528374127">
                      <w:marLeft w:val="0"/>
                      <w:marRight w:val="0"/>
                      <w:marTop w:val="0"/>
                      <w:marBottom w:val="0"/>
                      <w:divBdr>
                        <w:top w:val="none" w:sz="0" w:space="0" w:color="auto"/>
                        <w:left w:val="none" w:sz="0" w:space="0" w:color="auto"/>
                        <w:bottom w:val="none" w:sz="0" w:space="0" w:color="auto"/>
                        <w:right w:val="none" w:sz="0" w:space="0" w:color="auto"/>
                      </w:divBdr>
                    </w:div>
                  </w:divsChild>
                </w:div>
                <w:div w:id="700206651">
                  <w:marLeft w:val="0"/>
                  <w:marRight w:val="0"/>
                  <w:marTop w:val="0"/>
                  <w:marBottom w:val="0"/>
                  <w:divBdr>
                    <w:top w:val="none" w:sz="0" w:space="0" w:color="auto"/>
                    <w:left w:val="none" w:sz="0" w:space="0" w:color="auto"/>
                    <w:bottom w:val="none" w:sz="0" w:space="0" w:color="auto"/>
                    <w:right w:val="none" w:sz="0" w:space="0" w:color="auto"/>
                  </w:divBdr>
                  <w:divsChild>
                    <w:div w:id="1497376578">
                      <w:marLeft w:val="0"/>
                      <w:marRight w:val="0"/>
                      <w:marTop w:val="0"/>
                      <w:marBottom w:val="0"/>
                      <w:divBdr>
                        <w:top w:val="none" w:sz="0" w:space="0" w:color="auto"/>
                        <w:left w:val="none" w:sz="0" w:space="0" w:color="auto"/>
                        <w:bottom w:val="none" w:sz="0" w:space="0" w:color="auto"/>
                        <w:right w:val="none" w:sz="0" w:space="0" w:color="auto"/>
                      </w:divBdr>
                    </w:div>
                  </w:divsChild>
                </w:div>
                <w:div w:id="816918139">
                  <w:marLeft w:val="0"/>
                  <w:marRight w:val="0"/>
                  <w:marTop w:val="0"/>
                  <w:marBottom w:val="0"/>
                  <w:divBdr>
                    <w:top w:val="none" w:sz="0" w:space="0" w:color="auto"/>
                    <w:left w:val="none" w:sz="0" w:space="0" w:color="auto"/>
                    <w:bottom w:val="none" w:sz="0" w:space="0" w:color="auto"/>
                    <w:right w:val="none" w:sz="0" w:space="0" w:color="auto"/>
                  </w:divBdr>
                  <w:divsChild>
                    <w:div w:id="1401442758">
                      <w:marLeft w:val="0"/>
                      <w:marRight w:val="0"/>
                      <w:marTop w:val="0"/>
                      <w:marBottom w:val="0"/>
                      <w:divBdr>
                        <w:top w:val="none" w:sz="0" w:space="0" w:color="auto"/>
                        <w:left w:val="none" w:sz="0" w:space="0" w:color="auto"/>
                        <w:bottom w:val="none" w:sz="0" w:space="0" w:color="auto"/>
                        <w:right w:val="none" w:sz="0" w:space="0" w:color="auto"/>
                      </w:divBdr>
                    </w:div>
                  </w:divsChild>
                </w:div>
                <w:div w:id="847334382">
                  <w:marLeft w:val="0"/>
                  <w:marRight w:val="0"/>
                  <w:marTop w:val="0"/>
                  <w:marBottom w:val="0"/>
                  <w:divBdr>
                    <w:top w:val="none" w:sz="0" w:space="0" w:color="auto"/>
                    <w:left w:val="none" w:sz="0" w:space="0" w:color="auto"/>
                    <w:bottom w:val="none" w:sz="0" w:space="0" w:color="auto"/>
                    <w:right w:val="none" w:sz="0" w:space="0" w:color="auto"/>
                  </w:divBdr>
                  <w:divsChild>
                    <w:div w:id="1805467554">
                      <w:marLeft w:val="0"/>
                      <w:marRight w:val="0"/>
                      <w:marTop w:val="0"/>
                      <w:marBottom w:val="0"/>
                      <w:divBdr>
                        <w:top w:val="none" w:sz="0" w:space="0" w:color="auto"/>
                        <w:left w:val="none" w:sz="0" w:space="0" w:color="auto"/>
                        <w:bottom w:val="none" w:sz="0" w:space="0" w:color="auto"/>
                        <w:right w:val="none" w:sz="0" w:space="0" w:color="auto"/>
                      </w:divBdr>
                    </w:div>
                  </w:divsChild>
                </w:div>
                <w:div w:id="1081676123">
                  <w:marLeft w:val="0"/>
                  <w:marRight w:val="0"/>
                  <w:marTop w:val="0"/>
                  <w:marBottom w:val="0"/>
                  <w:divBdr>
                    <w:top w:val="none" w:sz="0" w:space="0" w:color="auto"/>
                    <w:left w:val="none" w:sz="0" w:space="0" w:color="auto"/>
                    <w:bottom w:val="none" w:sz="0" w:space="0" w:color="auto"/>
                    <w:right w:val="none" w:sz="0" w:space="0" w:color="auto"/>
                  </w:divBdr>
                  <w:divsChild>
                    <w:div w:id="864058772">
                      <w:marLeft w:val="0"/>
                      <w:marRight w:val="0"/>
                      <w:marTop w:val="0"/>
                      <w:marBottom w:val="0"/>
                      <w:divBdr>
                        <w:top w:val="none" w:sz="0" w:space="0" w:color="auto"/>
                        <w:left w:val="none" w:sz="0" w:space="0" w:color="auto"/>
                        <w:bottom w:val="none" w:sz="0" w:space="0" w:color="auto"/>
                        <w:right w:val="none" w:sz="0" w:space="0" w:color="auto"/>
                      </w:divBdr>
                    </w:div>
                  </w:divsChild>
                </w:div>
                <w:div w:id="1255822655">
                  <w:marLeft w:val="0"/>
                  <w:marRight w:val="0"/>
                  <w:marTop w:val="0"/>
                  <w:marBottom w:val="0"/>
                  <w:divBdr>
                    <w:top w:val="none" w:sz="0" w:space="0" w:color="auto"/>
                    <w:left w:val="none" w:sz="0" w:space="0" w:color="auto"/>
                    <w:bottom w:val="none" w:sz="0" w:space="0" w:color="auto"/>
                    <w:right w:val="none" w:sz="0" w:space="0" w:color="auto"/>
                  </w:divBdr>
                  <w:divsChild>
                    <w:div w:id="2094744309">
                      <w:marLeft w:val="0"/>
                      <w:marRight w:val="0"/>
                      <w:marTop w:val="0"/>
                      <w:marBottom w:val="0"/>
                      <w:divBdr>
                        <w:top w:val="none" w:sz="0" w:space="0" w:color="auto"/>
                        <w:left w:val="none" w:sz="0" w:space="0" w:color="auto"/>
                        <w:bottom w:val="none" w:sz="0" w:space="0" w:color="auto"/>
                        <w:right w:val="none" w:sz="0" w:space="0" w:color="auto"/>
                      </w:divBdr>
                    </w:div>
                  </w:divsChild>
                </w:div>
                <w:div w:id="1328288444">
                  <w:marLeft w:val="0"/>
                  <w:marRight w:val="0"/>
                  <w:marTop w:val="0"/>
                  <w:marBottom w:val="0"/>
                  <w:divBdr>
                    <w:top w:val="none" w:sz="0" w:space="0" w:color="auto"/>
                    <w:left w:val="none" w:sz="0" w:space="0" w:color="auto"/>
                    <w:bottom w:val="none" w:sz="0" w:space="0" w:color="auto"/>
                    <w:right w:val="none" w:sz="0" w:space="0" w:color="auto"/>
                  </w:divBdr>
                  <w:divsChild>
                    <w:div w:id="900823831">
                      <w:marLeft w:val="0"/>
                      <w:marRight w:val="0"/>
                      <w:marTop w:val="0"/>
                      <w:marBottom w:val="0"/>
                      <w:divBdr>
                        <w:top w:val="none" w:sz="0" w:space="0" w:color="auto"/>
                        <w:left w:val="none" w:sz="0" w:space="0" w:color="auto"/>
                        <w:bottom w:val="none" w:sz="0" w:space="0" w:color="auto"/>
                        <w:right w:val="none" w:sz="0" w:space="0" w:color="auto"/>
                      </w:divBdr>
                    </w:div>
                  </w:divsChild>
                </w:div>
                <w:div w:id="1422918238">
                  <w:marLeft w:val="0"/>
                  <w:marRight w:val="0"/>
                  <w:marTop w:val="0"/>
                  <w:marBottom w:val="0"/>
                  <w:divBdr>
                    <w:top w:val="none" w:sz="0" w:space="0" w:color="auto"/>
                    <w:left w:val="none" w:sz="0" w:space="0" w:color="auto"/>
                    <w:bottom w:val="none" w:sz="0" w:space="0" w:color="auto"/>
                    <w:right w:val="none" w:sz="0" w:space="0" w:color="auto"/>
                  </w:divBdr>
                  <w:divsChild>
                    <w:div w:id="1631276573">
                      <w:marLeft w:val="0"/>
                      <w:marRight w:val="0"/>
                      <w:marTop w:val="0"/>
                      <w:marBottom w:val="0"/>
                      <w:divBdr>
                        <w:top w:val="none" w:sz="0" w:space="0" w:color="auto"/>
                        <w:left w:val="none" w:sz="0" w:space="0" w:color="auto"/>
                        <w:bottom w:val="none" w:sz="0" w:space="0" w:color="auto"/>
                        <w:right w:val="none" w:sz="0" w:space="0" w:color="auto"/>
                      </w:divBdr>
                    </w:div>
                  </w:divsChild>
                </w:div>
                <w:div w:id="1580794484">
                  <w:marLeft w:val="0"/>
                  <w:marRight w:val="0"/>
                  <w:marTop w:val="0"/>
                  <w:marBottom w:val="0"/>
                  <w:divBdr>
                    <w:top w:val="none" w:sz="0" w:space="0" w:color="auto"/>
                    <w:left w:val="none" w:sz="0" w:space="0" w:color="auto"/>
                    <w:bottom w:val="none" w:sz="0" w:space="0" w:color="auto"/>
                    <w:right w:val="none" w:sz="0" w:space="0" w:color="auto"/>
                  </w:divBdr>
                  <w:divsChild>
                    <w:div w:id="966547381">
                      <w:marLeft w:val="0"/>
                      <w:marRight w:val="0"/>
                      <w:marTop w:val="0"/>
                      <w:marBottom w:val="0"/>
                      <w:divBdr>
                        <w:top w:val="none" w:sz="0" w:space="0" w:color="auto"/>
                        <w:left w:val="none" w:sz="0" w:space="0" w:color="auto"/>
                        <w:bottom w:val="none" w:sz="0" w:space="0" w:color="auto"/>
                        <w:right w:val="none" w:sz="0" w:space="0" w:color="auto"/>
                      </w:divBdr>
                    </w:div>
                  </w:divsChild>
                </w:div>
                <w:div w:id="1648320088">
                  <w:marLeft w:val="0"/>
                  <w:marRight w:val="0"/>
                  <w:marTop w:val="0"/>
                  <w:marBottom w:val="0"/>
                  <w:divBdr>
                    <w:top w:val="none" w:sz="0" w:space="0" w:color="auto"/>
                    <w:left w:val="none" w:sz="0" w:space="0" w:color="auto"/>
                    <w:bottom w:val="none" w:sz="0" w:space="0" w:color="auto"/>
                    <w:right w:val="none" w:sz="0" w:space="0" w:color="auto"/>
                  </w:divBdr>
                  <w:divsChild>
                    <w:div w:id="468087278">
                      <w:marLeft w:val="0"/>
                      <w:marRight w:val="0"/>
                      <w:marTop w:val="0"/>
                      <w:marBottom w:val="0"/>
                      <w:divBdr>
                        <w:top w:val="none" w:sz="0" w:space="0" w:color="auto"/>
                        <w:left w:val="none" w:sz="0" w:space="0" w:color="auto"/>
                        <w:bottom w:val="none" w:sz="0" w:space="0" w:color="auto"/>
                        <w:right w:val="none" w:sz="0" w:space="0" w:color="auto"/>
                      </w:divBdr>
                    </w:div>
                  </w:divsChild>
                </w:div>
                <w:div w:id="1649091138">
                  <w:marLeft w:val="0"/>
                  <w:marRight w:val="0"/>
                  <w:marTop w:val="0"/>
                  <w:marBottom w:val="0"/>
                  <w:divBdr>
                    <w:top w:val="none" w:sz="0" w:space="0" w:color="auto"/>
                    <w:left w:val="none" w:sz="0" w:space="0" w:color="auto"/>
                    <w:bottom w:val="none" w:sz="0" w:space="0" w:color="auto"/>
                    <w:right w:val="none" w:sz="0" w:space="0" w:color="auto"/>
                  </w:divBdr>
                  <w:divsChild>
                    <w:div w:id="464812533">
                      <w:marLeft w:val="0"/>
                      <w:marRight w:val="0"/>
                      <w:marTop w:val="0"/>
                      <w:marBottom w:val="0"/>
                      <w:divBdr>
                        <w:top w:val="none" w:sz="0" w:space="0" w:color="auto"/>
                        <w:left w:val="none" w:sz="0" w:space="0" w:color="auto"/>
                        <w:bottom w:val="none" w:sz="0" w:space="0" w:color="auto"/>
                        <w:right w:val="none" w:sz="0" w:space="0" w:color="auto"/>
                      </w:divBdr>
                    </w:div>
                  </w:divsChild>
                </w:div>
                <w:div w:id="1845629020">
                  <w:marLeft w:val="0"/>
                  <w:marRight w:val="0"/>
                  <w:marTop w:val="0"/>
                  <w:marBottom w:val="0"/>
                  <w:divBdr>
                    <w:top w:val="none" w:sz="0" w:space="0" w:color="auto"/>
                    <w:left w:val="none" w:sz="0" w:space="0" w:color="auto"/>
                    <w:bottom w:val="none" w:sz="0" w:space="0" w:color="auto"/>
                    <w:right w:val="none" w:sz="0" w:space="0" w:color="auto"/>
                  </w:divBdr>
                  <w:divsChild>
                    <w:div w:id="1384057686">
                      <w:marLeft w:val="0"/>
                      <w:marRight w:val="0"/>
                      <w:marTop w:val="0"/>
                      <w:marBottom w:val="0"/>
                      <w:divBdr>
                        <w:top w:val="none" w:sz="0" w:space="0" w:color="auto"/>
                        <w:left w:val="none" w:sz="0" w:space="0" w:color="auto"/>
                        <w:bottom w:val="none" w:sz="0" w:space="0" w:color="auto"/>
                        <w:right w:val="none" w:sz="0" w:space="0" w:color="auto"/>
                      </w:divBdr>
                    </w:div>
                  </w:divsChild>
                </w:div>
                <w:div w:id="2107723449">
                  <w:marLeft w:val="0"/>
                  <w:marRight w:val="0"/>
                  <w:marTop w:val="0"/>
                  <w:marBottom w:val="0"/>
                  <w:divBdr>
                    <w:top w:val="none" w:sz="0" w:space="0" w:color="auto"/>
                    <w:left w:val="none" w:sz="0" w:space="0" w:color="auto"/>
                    <w:bottom w:val="none" w:sz="0" w:space="0" w:color="auto"/>
                    <w:right w:val="none" w:sz="0" w:space="0" w:color="auto"/>
                  </w:divBdr>
                  <w:divsChild>
                    <w:div w:id="8310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3720">
          <w:marLeft w:val="0"/>
          <w:marRight w:val="0"/>
          <w:marTop w:val="0"/>
          <w:marBottom w:val="0"/>
          <w:divBdr>
            <w:top w:val="none" w:sz="0" w:space="0" w:color="auto"/>
            <w:left w:val="none" w:sz="0" w:space="0" w:color="auto"/>
            <w:bottom w:val="none" w:sz="0" w:space="0" w:color="auto"/>
            <w:right w:val="none" w:sz="0" w:space="0" w:color="auto"/>
          </w:divBdr>
        </w:div>
        <w:div w:id="59986087">
          <w:marLeft w:val="0"/>
          <w:marRight w:val="0"/>
          <w:marTop w:val="0"/>
          <w:marBottom w:val="0"/>
          <w:divBdr>
            <w:top w:val="none" w:sz="0" w:space="0" w:color="auto"/>
            <w:left w:val="none" w:sz="0" w:space="0" w:color="auto"/>
            <w:bottom w:val="none" w:sz="0" w:space="0" w:color="auto"/>
            <w:right w:val="none" w:sz="0" w:space="0" w:color="auto"/>
          </w:divBdr>
        </w:div>
        <w:div w:id="77483320">
          <w:marLeft w:val="0"/>
          <w:marRight w:val="0"/>
          <w:marTop w:val="0"/>
          <w:marBottom w:val="0"/>
          <w:divBdr>
            <w:top w:val="none" w:sz="0" w:space="0" w:color="auto"/>
            <w:left w:val="none" w:sz="0" w:space="0" w:color="auto"/>
            <w:bottom w:val="none" w:sz="0" w:space="0" w:color="auto"/>
            <w:right w:val="none" w:sz="0" w:space="0" w:color="auto"/>
          </w:divBdr>
        </w:div>
        <w:div w:id="83193057">
          <w:marLeft w:val="0"/>
          <w:marRight w:val="0"/>
          <w:marTop w:val="0"/>
          <w:marBottom w:val="0"/>
          <w:divBdr>
            <w:top w:val="none" w:sz="0" w:space="0" w:color="auto"/>
            <w:left w:val="none" w:sz="0" w:space="0" w:color="auto"/>
            <w:bottom w:val="none" w:sz="0" w:space="0" w:color="auto"/>
            <w:right w:val="none" w:sz="0" w:space="0" w:color="auto"/>
          </w:divBdr>
          <w:divsChild>
            <w:div w:id="1158619242">
              <w:marLeft w:val="-75"/>
              <w:marRight w:val="0"/>
              <w:marTop w:val="30"/>
              <w:marBottom w:val="30"/>
              <w:divBdr>
                <w:top w:val="none" w:sz="0" w:space="0" w:color="auto"/>
                <w:left w:val="none" w:sz="0" w:space="0" w:color="auto"/>
                <w:bottom w:val="none" w:sz="0" w:space="0" w:color="auto"/>
                <w:right w:val="none" w:sz="0" w:space="0" w:color="auto"/>
              </w:divBdr>
              <w:divsChild>
                <w:div w:id="105542189">
                  <w:marLeft w:val="0"/>
                  <w:marRight w:val="0"/>
                  <w:marTop w:val="0"/>
                  <w:marBottom w:val="0"/>
                  <w:divBdr>
                    <w:top w:val="none" w:sz="0" w:space="0" w:color="auto"/>
                    <w:left w:val="none" w:sz="0" w:space="0" w:color="auto"/>
                    <w:bottom w:val="none" w:sz="0" w:space="0" w:color="auto"/>
                    <w:right w:val="none" w:sz="0" w:space="0" w:color="auto"/>
                  </w:divBdr>
                  <w:divsChild>
                    <w:div w:id="1587498396">
                      <w:marLeft w:val="0"/>
                      <w:marRight w:val="0"/>
                      <w:marTop w:val="0"/>
                      <w:marBottom w:val="0"/>
                      <w:divBdr>
                        <w:top w:val="none" w:sz="0" w:space="0" w:color="auto"/>
                        <w:left w:val="none" w:sz="0" w:space="0" w:color="auto"/>
                        <w:bottom w:val="none" w:sz="0" w:space="0" w:color="auto"/>
                        <w:right w:val="none" w:sz="0" w:space="0" w:color="auto"/>
                      </w:divBdr>
                    </w:div>
                  </w:divsChild>
                </w:div>
                <w:div w:id="178547491">
                  <w:marLeft w:val="0"/>
                  <w:marRight w:val="0"/>
                  <w:marTop w:val="0"/>
                  <w:marBottom w:val="0"/>
                  <w:divBdr>
                    <w:top w:val="none" w:sz="0" w:space="0" w:color="auto"/>
                    <w:left w:val="none" w:sz="0" w:space="0" w:color="auto"/>
                    <w:bottom w:val="none" w:sz="0" w:space="0" w:color="auto"/>
                    <w:right w:val="none" w:sz="0" w:space="0" w:color="auto"/>
                  </w:divBdr>
                  <w:divsChild>
                    <w:div w:id="653146146">
                      <w:marLeft w:val="0"/>
                      <w:marRight w:val="0"/>
                      <w:marTop w:val="0"/>
                      <w:marBottom w:val="0"/>
                      <w:divBdr>
                        <w:top w:val="none" w:sz="0" w:space="0" w:color="auto"/>
                        <w:left w:val="none" w:sz="0" w:space="0" w:color="auto"/>
                        <w:bottom w:val="none" w:sz="0" w:space="0" w:color="auto"/>
                        <w:right w:val="none" w:sz="0" w:space="0" w:color="auto"/>
                      </w:divBdr>
                    </w:div>
                  </w:divsChild>
                </w:div>
                <w:div w:id="255484941">
                  <w:marLeft w:val="0"/>
                  <w:marRight w:val="0"/>
                  <w:marTop w:val="0"/>
                  <w:marBottom w:val="0"/>
                  <w:divBdr>
                    <w:top w:val="none" w:sz="0" w:space="0" w:color="auto"/>
                    <w:left w:val="none" w:sz="0" w:space="0" w:color="auto"/>
                    <w:bottom w:val="none" w:sz="0" w:space="0" w:color="auto"/>
                    <w:right w:val="none" w:sz="0" w:space="0" w:color="auto"/>
                  </w:divBdr>
                  <w:divsChild>
                    <w:div w:id="194928777">
                      <w:marLeft w:val="0"/>
                      <w:marRight w:val="0"/>
                      <w:marTop w:val="0"/>
                      <w:marBottom w:val="0"/>
                      <w:divBdr>
                        <w:top w:val="none" w:sz="0" w:space="0" w:color="auto"/>
                        <w:left w:val="none" w:sz="0" w:space="0" w:color="auto"/>
                        <w:bottom w:val="none" w:sz="0" w:space="0" w:color="auto"/>
                        <w:right w:val="none" w:sz="0" w:space="0" w:color="auto"/>
                      </w:divBdr>
                    </w:div>
                  </w:divsChild>
                </w:div>
                <w:div w:id="350376252">
                  <w:marLeft w:val="0"/>
                  <w:marRight w:val="0"/>
                  <w:marTop w:val="0"/>
                  <w:marBottom w:val="0"/>
                  <w:divBdr>
                    <w:top w:val="none" w:sz="0" w:space="0" w:color="auto"/>
                    <w:left w:val="none" w:sz="0" w:space="0" w:color="auto"/>
                    <w:bottom w:val="none" w:sz="0" w:space="0" w:color="auto"/>
                    <w:right w:val="none" w:sz="0" w:space="0" w:color="auto"/>
                  </w:divBdr>
                  <w:divsChild>
                    <w:div w:id="687565922">
                      <w:marLeft w:val="0"/>
                      <w:marRight w:val="0"/>
                      <w:marTop w:val="0"/>
                      <w:marBottom w:val="0"/>
                      <w:divBdr>
                        <w:top w:val="none" w:sz="0" w:space="0" w:color="auto"/>
                        <w:left w:val="none" w:sz="0" w:space="0" w:color="auto"/>
                        <w:bottom w:val="none" w:sz="0" w:space="0" w:color="auto"/>
                        <w:right w:val="none" w:sz="0" w:space="0" w:color="auto"/>
                      </w:divBdr>
                    </w:div>
                  </w:divsChild>
                </w:div>
                <w:div w:id="440762304">
                  <w:marLeft w:val="0"/>
                  <w:marRight w:val="0"/>
                  <w:marTop w:val="0"/>
                  <w:marBottom w:val="0"/>
                  <w:divBdr>
                    <w:top w:val="none" w:sz="0" w:space="0" w:color="auto"/>
                    <w:left w:val="none" w:sz="0" w:space="0" w:color="auto"/>
                    <w:bottom w:val="none" w:sz="0" w:space="0" w:color="auto"/>
                    <w:right w:val="none" w:sz="0" w:space="0" w:color="auto"/>
                  </w:divBdr>
                  <w:divsChild>
                    <w:div w:id="48917082">
                      <w:marLeft w:val="0"/>
                      <w:marRight w:val="0"/>
                      <w:marTop w:val="0"/>
                      <w:marBottom w:val="0"/>
                      <w:divBdr>
                        <w:top w:val="none" w:sz="0" w:space="0" w:color="auto"/>
                        <w:left w:val="none" w:sz="0" w:space="0" w:color="auto"/>
                        <w:bottom w:val="none" w:sz="0" w:space="0" w:color="auto"/>
                        <w:right w:val="none" w:sz="0" w:space="0" w:color="auto"/>
                      </w:divBdr>
                    </w:div>
                  </w:divsChild>
                </w:div>
                <w:div w:id="459344874">
                  <w:marLeft w:val="0"/>
                  <w:marRight w:val="0"/>
                  <w:marTop w:val="0"/>
                  <w:marBottom w:val="0"/>
                  <w:divBdr>
                    <w:top w:val="none" w:sz="0" w:space="0" w:color="auto"/>
                    <w:left w:val="none" w:sz="0" w:space="0" w:color="auto"/>
                    <w:bottom w:val="none" w:sz="0" w:space="0" w:color="auto"/>
                    <w:right w:val="none" w:sz="0" w:space="0" w:color="auto"/>
                  </w:divBdr>
                  <w:divsChild>
                    <w:div w:id="280496309">
                      <w:marLeft w:val="0"/>
                      <w:marRight w:val="0"/>
                      <w:marTop w:val="0"/>
                      <w:marBottom w:val="0"/>
                      <w:divBdr>
                        <w:top w:val="none" w:sz="0" w:space="0" w:color="auto"/>
                        <w:left w:val="none" w:sz="0" w:space="0" w:color="auto"/>
                        <w:bottom w:val="none" w:sz="0" w:space="0" w:color="auto"/>
                        <w:right w:val="none" w:sz="0" w:space="0" w:color="auto"/>
                      </w:divBdr>
                    </w:div>
                  </w:divsChild>
                </w:div>
                <w:div w:id="527259974">
                  <w:marLeft w:val="0"/>
                  <w:marRight w:val="0"/>
                  <w:marTop w:val="0"/>
                  <w:marBottom w:val="0"/>
                  <w:divBdr>
                    <w:top w:val="none" w:sz="0" w:space="0" w:color="auto"/>
                    <w:left w:val="none" w:sz="0" w:space="0" w:color="auto"/>
                    <w:bottom w:val="none" w:sz="0" w:space="0" w:color="auto"/>
                    <w:right w:val="none" w:sz="0" w:space="0" w:color="auto"/>
                  </w:divBdr>
                  <w:divsChild>
                    <w:div w:id="857767762">
                      <w:marLeft w:val="0"/>
                      <w:marRight w:val="0"/>
                      <w:marTop w:val="0"/>
                      <w:marBottom w:val="0"/>
                      <w:divBdr>
                        <w:top w:val="none" w:sz="0" w:space="0" w:color="auto"/>
                        <w:left w:val="none" w:sz="0" w:space="0" w:color="auto"/>
                        <w:bottom w:val="none" w:sz="0" w:space="0" w:color="auto"/>
                        <w:right w:val="none" w:sz="0" w:space="0" w:color="auto"/>
                      </w:divBdr>
                    </w:div>
                  </w:divsChild>
                </w:div>
                <w:div w:id="633877969">
                  <w:marLeft w:val="0"/>
                  <w:marRight w:val="0"/>
                  <w:marTop w:val="0"/>
                  <w:marBottom w:val="0"/>
                  <w:divBdr>
                    <w:top w:val="none" w:sz="0" w:space="0" w:color="auto"/>
                    <w:left w:val="none" w:sz="0" w:space="0" w:color="auto"/>
                    <w:bottom w:val="none" w:sz="0" w:space="0" w:color="auto"/>
                    <w:right w:val="none" w:sz="0" w:space="0" w:color="auto"/>
                  </w:divBdr>
                  <w:divsChild>
                    <w:div w:id="350884022">
                      <w:marLeft w:val="0"/>
                      <w:marRight w:val="0"/>
                      <w:marTop w:val="0"/>
                      <w:marBottom w:val="0"/>
                      <w:divBdr>
                        <w:top w:val="none" w:sz="0" w:space="0" w:color="auto"/>
                        <w:left w:val="none" w:sz="0" w:space="0" w:color="auto"/>
                        <w:bottom w:val="none" w:sz="0" w:space="0" w:color="auto"/>
                        <w:right w:val="none" w:sz="0" w:space="0" w:color="auto"/>
                      </w:divBdr>
                    </w:div>
                  </w:divsChild>
                </w:div>
                <w:div w:id="664628065">
                  <w:marLeft w:val="0"/>
                  <w:marRight w:val="0"/>
                  <w:marTop w:val="0"/>
                  <w:marBottom w:val="0"/>
                  <w:divBdr>
                    <w:top w:val="none" w:sz="0" w:space="0" w:color="auto"/>
                    <w:left w:val="none" w:sz="0" w:space="0" w:color="auto"/>
                    <w:bottom w:val="none" w:sz="0" w:space="0" w:color="auto"/>
                    <w:right w:val="none" w:sz="0" w:space="0" w:color="auto"/>
                  </w:divBdr>
                  <w:divsChild>
                    <w:div w:id="2110537680">
                      <w:marLeft w:val="0"/>
                      <w:marRight w:val="0"/>
                      <w:marTop w:val="0"/>
                      <w:marBottom w:val="0"/>
                      <w:divBdr>
                        <w:top w:val="none" w:sz="0" w:space="0" w:color="auto"/>
                        <w:left w:val="none" w:sz="0" w:space="0" w:color="auto"/>
                        <w:bottom w:val="none" w:sz="0" w:space="0" w:color="auto"/>
                        <w:right w:val="none" w:sz="0" w:space="0" w:color="auto"/>
                      </w:divBdr>
                    </w:div>
                  </w:divsChild>
                </w:div>
                <w:div w:id="863245521">
                  <w:marLeft w:val="0"/>
                  <w:marRight w:val="0"/>
                  <w:marTop w:val="0"/>
                  <w:marBottom w:val="0"/>
                  <w:divBdr>
                    <w:top w:val="none" w:sz="0" w:space="0" w:color="auto"/>
                    <w:left w:val="none" w:sz="0" w:space="0" w:color="auto"/>
                    <w:bottom w:val="none" w:sz="0" w:space="0" w:color="auto"/>
                    <w:right w:val="none" w:sz="0" w:space="0" w:color="auto"/>
                  </w:divBdr>
                  <w:divsChild>
                    <w:div w:id="1666467479">
                      <w:marLeft w:val="0"/>
                      <w:marRight w:val="0"/>
                      <w:marTop w:val="0"/>
                      <w:marBottom w:val="0"/>
                      <w:divBdr>
                        <w:top w:val="none" w:sz="0" w:space="0" w:color="auto"/>
                        <w:left w:val="none" w:sz="0" w:space="0" w:color="auto"/>
                        <w:bottom w:val="none" w:sz="0" w:space="0" w:color="auto"/>
                        <w:right w:val="none" w:sz="0" w:space="0" w:color="auto"/>
                      </w:divBdr>
                    </w:div>
                  </w:divsChild>
                </w:div>
                <w:div w:id="913126397">
                  <w:marLeft w:val="0"/>
                  <w:marRight w:val="0"/>
                  <w:marTop w:val="0"/>
                  <w:marBottom w:val="0"/>
                  <w:divBdr>
                    <w:top w:val="none" w:sz="0" w:space="0" w:color="auto"/>
                    <w:left w:val="none" w:sz="0" w:space="0" w:color="auto"/>
                    <w:bottom w:val="none" w:sz="0" w:space="0" w:color="auto"/>
                    <w:right w:val="none" w:sz="0" w:space="0" w:color="auto"/>
                  </w:divBdr>
                  <w:divsChild>
                    <w:div w:id="1352797957">
                      <w:marLeft w:val="0"/>
                      <w:marRight w:val="0"/>
                      <w:marTop w:val="0"/>
                      <w:marBottom w:val="0"/>
                      <w:divBdr>
                        <w:top w:val="none" w:sz="0" w:space="0" w:color="auto"/>
                        <w:left w:val="none" w:sz="0" w:space="0" w:color="auto"/>
                        <w:bottom w:val="none" w:sz="0" w:space="0" w:color="auto"/>
                        <w:right w:val="none" w:sz="0" w:space="0" w:color="auto"/>
                      </w:divBdr>
                    </w:div>
                  </w:divsChild>
                </w:div>
                <w:div w:id="942304327">
                  <w:marLeft w:val="0"/>
                  <w:marRight w:val="0"/>
                  <w:marTop w:val="0"/>
                  <w:marBottom w:val="0"/>
                  <w:divBdr>
                    <w:top w:val="none" w:sz="0" w:space="0" w:color="auto"/>
                    <w:left w:val="none" w:sz="0" w:space="0" w:color="auto"/>
                    <w:bottom w:val="none" w:sz="0" w:space="0" w:color="auto"/>
                    <w:right w:val="none" w:sz="0" w:space="0" w:color="auto"/>
                  </w:divBdr>
                  <w:divsChild>
                    <w:div w:id="1121072430">
                      <w:marLeft w:val="0"/>
                      <w:marRight w:val="0"/>
                      <w:marTop w:val="0"/>
                      <w:marBottom w:val="0"/>
                      <w:divBdr>
                        <w:top w:val="none" w:sz="0" w:space="0" w:color="auto"/>
                        <w:left w:val="none" w:sz="0" w:space="0" w:color="auto"/>
                        <w:bottom w:val="none" w:sz="0" w:space="0" w:color="auto"/>
                        <w:right w:val="none" w:sz="0" w:space="0" w:color="auto"/>
                      </w:divBdr>
                    </w:div>
                  </w:divsChild>
                </w:div>
                <w:div w:id="998266587">
                  <w:marLeft w:val="0"/>
                  <w:marRight w:val="0"/>
                  <w:marTop w:val="0"/>
                  <w:marBottom w:val="0"/>
                  <w:divBdr>
                    <w:top w:val="none" w:sz="0" w:space="0" w:color="auto"/>
                    <w:left w:val="none" w:sz="0" w:space="0" w:color="auto"/>
                    <w:bottom w:val="none" w:sz="0" w:space="0" w:color="auto"/>
                    <w:right w:val="none" w:sz="0" w:space="0" w:color="auto"/>
                  </w:divBdr>
                  <w:divsChild>
                    <w:div w:id="966161878">
                      <w:marLeft w:val="0"/>
                      <w:marRight w:val="0"/>
                      <w:marTop w:val="0"/>
                      <w:marBottom w:val="0"/>
                      <w:divBdr>
                        <w:top w:val="none" w:sz="0" w:space="0" w:color="auto"/>
                        <w:left w:val="none" w:sz="0" w:space="0" w:color="auto"/>
                        <w:bottom w:val="none" w:sz="0" w:space="0" w:color="auto"/>
                        <w:right w:val="none" w:sz="0" w:space="0" w:color="auto"/>
                      </w:divBdr>
                    </w:div>
                  </w:divsChild>
                </w:div>
                <w:div w:id="1130395953">
                  <w:marLeft w:val="0"/>
                  <w:marRight w:val="0"/>
                  <w:marTop w:val="0"/>
                  <w:marBottom w:val="0"/>
                  <w:divBdr>
                    <w:top w:val="none" w:sz="0" w:space="0" w:color="auto"/>
                    <w:left w:val="none" w:sz="0" w:space="0" w:color="auto"/>
                    <w:bottom w:val="none" w:sz="0" w:space="0" w:color="auto"/>
                    <w:right w:val="none" w:sz="0" w:space="0" w:color="auto"/>
                  </w:divBdr>
                  <w:divsChild>
                    <w:div w:id="873005461">
                      <w:marLeft w:val="0"/>
                      <w:marRight w:val="0"/>
                      <w:marTop w:val="0"/>
                      <w:marBottom w:val="0"/>
                      <w:divBdr>
                        <w:top w:val="none" w:sz="0" w:space="0" w:color="auto"/>
                        <w:left w:val="none" w:sz="0" w:space="0" w:color="auto"/>
                        <w:bottom w:val="none" w:sz="0" w:space="0" w:color="auto"/>
                        <w:right w:val="none" w:sz="0" w:space="0" w:color="auto"/>
                      </w:divBdr>
                    </w:div>
                  </w:divsChild>
                </w:div>
                <w:div w:id="1167212379">
                  <w:marLeft w:val="0"/>
                  <w:marRight w:val="0"/>
                  <w:marTop w:val="0"/>
                  <w:marBottom w:val="0"/>
                  <w:divBdr>
                    <w:top w:val="none" w:sz="0" w:space="0" w:color="auto"/>
                    <w:left w:val="none" w:sz="0" w:space="0" w:color="auto"/>
                    <w:bottom w:val="none" w:sz="0" w:space="0" w:color="auto"/>
                    <w:right w:val="none" w:sz="0" w:space="0" w:color="auto"/>
                  </w:divBdr>
                  <w:divsChild>
                    <w:div w:id="944850290">
                      <w:marLeft w:val="0"/>
                      <w:marRight w:val="0"/>
                      <w:marTop w:val="0"/>
                      <w:marBottom w:val="0"/>
                      <w:divBdr>
                        <w:top w:val="none" w:sz="0" w:space="0" w:color="auto"/>
                        <w:left w:val="none" w:sz="0" w:space="0" w:color="auto"/>
                        <w:bottom w:val="none" w:sz="0" w:space="0" w:color="auto"/>
                        <w:right w:val="none" w:sz="0" w:space="0" w:color="auto"/>
                      </w:divBdr>
                    </w:div>
                  </w:divsChild>
                </w:div>
                <w:div w:id="1178733975">
                  <w:marLeft w:val="0"/>
                  <w:marRight w:val="0"/>
                  <w:marTop w:val="0"/>
                  <w:marBottom w:val="0"/>
                  <w:divBdr>
                    <w:top w:val="none" w:sz="0" w:space="0" w:color="auto"/>
                    <w:left w:val="none" w:sz="0" w:space="0" w:color="auto"/>
                    <w:bottom w:val="none" w:sz="0" w:space="0" w:color="auto"/>
                    <w:right w:val="none" w:sz="0" w:space="0" w:color="auto"/>
                  </w:divBdr>
                  <w:divsChild>
                    <w:div w:id="806552281">
                      <w:marLeft w:val="0"/>
                      <w:marRight w:val="0"/>
                      <w:marTop w:val="0"/>
                      <w:marBottom w:val="0"/>
                      <w:divBdr>
                        <w:top w:val="none" w:sz="0" w:space="0" w:color="auto"/>
                        <w:left w:val="none" w:sz="0" w:space="0" w:color="auto"/>
                        <w:bottom w:val="none" w:sz="0" w:space="0" w:color="auto"/>
                        <w:right w:val="none" w:sz="0" w:space="0" w:color="auto"/>
                      </w:divBdr>
                    </w:div>
                  </w:divsChild>
                </w:div>
                <w:div w:id="1279678951">
                  <w:marLeft w:val="0"/>
                  <w:marRight w:val="0"/>
                  <w:marTop w:val="0"/>
                  <w:marBottom w:val="0"/>
                  <w:divBdr>
                    <w:top w:val="none" w:sz="0" w:space="0" w:color="auto"/>
                    <w:left w:val="none" w:sz="0" w:space="0" w:color="auto"/>
                    <w:bottom w:val="none" w:sz="0" w:space="0" w:color="auto"/>
                    <w:right w:val="none" w:sz="0" w:space="0" w:color="auto"/>
                  </w:divBdr>
                  <w:divsChild>
                    <w:div w:id="1607692027">
                      <w:marLeft w:val="0"/>
                      <w:marRight w:val="0"/>
                      <w:marTop w:val="0"/>
                      <w:marBottom w:val="0"/>
                      <w:divBdr>
                        <w:top w:val="none" w:sz="0" w:space="0" w:color="auto"/>
                        <w:left w:val="none" w:sz="0" w:space="0" w:color="auto"/>
                        <w:bottom w:val="none" w:sz="0" w:space="0" w:color="auto"/>
                        <w:right w:val="none" w:sz="0" w:space="0" w:color="auto"/>
                      </w:divBdr>
                    </w:div>
                  </w:divsChild>
                </w:div>
                <w:div w:id="1285389125">
                  <w:marLeft w:val="0"/>
                  <w:marRight w:val="0"/>
                  <w:marTop w:val="0"/>
                  <w:marBottom w:val="0"/>
                  <w:divBdr>
                    <w:top w:val="none" w:sz="0" w:space="0" w:color="auto"/>
                    <w:left w:val="none" w:sz="0" w:space="0" w:color="auto"/>
                    <w:bottom w:val="none" w:sz="0" w:space="0" w:color="auto"/>
                    <w:right w:val="none" w:sz="0" w:space="0" w:color="auto"/>
                  </w:divBdr>
                  <w:divsChild>
                    <w:div w:id="745734620">
                      <w:marLeft w:val="0"/>
                      <w:marRight w:val="0"/>
                      <w:marTop w:val="0"/>
                      <w:marBottom w:val="0"/>
                      <w:divBdr>
                        <w:top w:val="none" w:sz="0" w:space="0" w:color="auto"/>
                        <w:left w:val="none" w:sz="0" w:space="0" w:color="auto"/>
                        <w:bottom w:val="none" w:sz="0" w:space="0" w:color="auto"/>
                        <w:right w:val="none" w:sz="0" w:space="0" w:color="auto"/>
                      </w:divBdr>
                    </w:div>
                  </w:divsChild>
                </w:div>
                <w:div w:id="1398239664">
                  <w:marLeft w:val="0"/>
                  <w:marRight w:val="0"/>
                  <w:marTop w:val="0"/>
                  <w:marBottom w:val="0"/>
                  <w:divBdr>
                    <w:top w:val="none" w:sz="0" w:space="0" w:color="auto"/>
                    <w:left w:val="none" w:sz="0" w:space="0" w:color="auto"/>
                    <w:bottom w:val="none" w:sz="0" w:space="0" w:color="auto"/>
                    <w:right w:val="none" w:sz="0" w:space="0" w:color="auto"/>
                  </w:divBdr>
                  <w:divsChild>
                    <w:div w:id="600526535">
                      <w:marLeft w:val="0"/>
                      <w:marRight w:val="0"/>
                      <w:marTop w:val="0"/>
                      <w:marBottom w:val="0"/>
                      <w:divBdr>
                        <w:top w:val="none" w:sz="0" w:space="0" w:color="auto"/>
                        <w:left w:val="none" w:sz="0" w:space="0" w:color="auto"/>
                        <w:bottom w:val="none" w:sz="0" w:space="0" w:color="auto"/>
                        <w:right w:val="none" w:sz="0" w:space="0" w:color="auto"/>
                      </w:divBdr>
                    </w:div>
                  </w:divsChild>
                </w:div>
                <w:div w:id="1450466035">
                  <w:marLeft w:val="0"/>
                  <w:marRight w:val="0"/>
                  <w:marTop w:val="0"/>
                  <w:marBottom w:val="0"/>
                  <w:divBdr>
                    <w:top w:val="none" w:sz="0" w:space="0" w:color="auto"/>
                    <w:left w:val="none" w:sz="0" w:space="0" w:color="auto"/>
                    <w:bottom w:val="none" w:sz="0" w:space="0" w:color="auto"/>
                    <w:right w:val="none" w:sz="0" w:space="0" w:color="auto"/>
                  </w:divBdr>
                  <w:divsChild>
                    <w:div w:id="951981443">
                      <w:marLeft w:val="0"/>
                      <w:marRight w:val="0"/>
                      <w:marTop w:val="0"/>
                      <w:marBottom w:val="0"/>
                      <w:divBdr>
                        <w:top w:val="none" w:sz="0" w:space="0" w:color="auto"/>
                        <w:left w:val="none" w:sz="0" w:space="0" w:color="auto"/>
                        <w:bottom w:val="none" w:sz="0" w:space="0" w:color="auto"/>
                        <w:right w:val="none" w:sz="0" w:space="0" w:color="auto"/>
                      </w:divBdr>
                    </w:div>
                  </w:divsChild>
                </w:div>
                <w:div w:id="1544295583">
                  <w:marLeft w:val="0"/>
                  <w:marRight w:val="0"/>
                  <w:marTop w:val="0"/>
                  <w:marBottom w:val="0"/>
                  <w:divBdr>
                    <w:top w:val="none" w:sz="0" w:space="0" w:color="auto"/>
                    <w:left w:val="none" w:sz="0" w:space="0" w:color="auto"/>
                    <w:bottom w:val="none" w:sz="0" w:space="0" w:color="auto"/>
                    <w:right w:val="none" w:sz="0" w:space="0" w:color="auto"/>
                  </w:divBdr>
                  <w:divsChild>
                    <w:div w:id="381949799">
                      <w:marLeft w:val="0"/>
                      <w:marRight w:val="0"/>
                      <w:marTop w:val="0"/>
                      <w:marBottom w:val="0"/>
                      <w:divBdr>
                        <w:top w:val="none" w:sz="0" w:space="0" w:color="auto"/>
                        <w:left w:val="none" w:sz="0" w:space="0" w:color="auto"/>
                        <w:bottom w:val="none" w:sz="0" w:space="0" w:color="auto"/>
                        <w:right w:val="none" w:sz="0" w:space="0" w:color="auto"/>
                      </w:divBdr>
                    </w:div>
                  </w:divsChild>
                </w:div>
                <w:div w:id="1589266220">
                  <w:marLeft w:val="0"/>
                  <w:marRight w:val="0"/>
                  <w:marTop w:val="0"/>
                  <w:marBottom w:val="0"/>
                  <w:divBdr>
                    <w:top w:val="none" w:sz="0" w:space="0" w:color="auto"/>
                    <w:left w:val="none" w:sz="0" w:space="0" w:color="auto"/>
                    <w:bottom w:val="none" w:sz="0" w:space="0" w:color="auto"/>
                    <w:right w:val="none" w:sz="0" w:space="0" w:color="auto"/>
                  </w:divBdr>
                  <w:divsChild>
                    <w:div w:id="398750767">
                      <w:marLeft w:val="0"/>
                      <w:marRight w:val="0"/>
                      <w:marTop w:val="0"/>
                      <w:marBottom w:val="0"/>
                      <w:divBdr>
                        <w:top w:val="none" w:sz="0" w:space="0" w:color="auto"/>
                        <w:left w:val="none" w:sz="0" w:space="0" w:color="auto"/>
                        <w:bottom w:val="none" w:sz="0" w:space="0" w:color="auto"/>
                        <w:right w:val="none" w:sz="0" w:space="0" w:color="auto"/>
                      </w:divBdr>
                    </w:div>
                  </w:divsChild>
                </w:div>
                <w:div w:id="1693803445">
                  <w:marLeft w:val="0"/>
                  <w:marRight w:val="0"/>
                  <w:marTop w:val="0"/>
                  <w:marBottom w:val="0"/>
                  <w:divBdr>
                    <w:top w:val="none" w:sz="0" w:space="0" w:color="auto"/>
                    <w:left w:val="none" w:sz="0" w:space="0" w:color="auto"/>
                    <w:bottom w:val="none" w:sz="0" w:space="0" w:color="auto"/>
                    <w:right w:val="none" w:sz="0" w:space="0" w:color="auto"/>
                  </w:divBdr>
                  <w:divsChild>
                    <w:div w:id="865025965">
                      <w:marLeft w:val="0"/>
                      <w:marRight w:val="0"/>
                      <w:marTop w:val="0"/>
                      <w:marBottom w:val="0"/>
                      <w:divBdr>
                        <w:top w:val="none" w:sz="0" w:space="0" w:color="auto"/>
                        <w:left w:val="none" w:sz="0" w:space="0" w:color="auto"/>
                        <w:bottom w:val="none" w:sz="0" w:space="0" w:color="auto"/>
                        <w:right w:val="none" w:sz="0" w:space="0" w:color="auto"/>
                      </w:divBdr>
                    </w:div>
                  </w:divsChild>
                </w:div>
                <w:div w:id="1798137138">
                  <w:marLeft w:val="0"/>
                  <w:marRight w:val="0"/>
                  <w:marTop w:val="0"/>
                  <w:marBottom w:val="0"/>
                  <w:divBdr>
                    <w:top w:val="none" w:sz="0" w:space="0" w:color="auto"/>
                    <w:left w:val="none" w:sz="0" w:space="0" w:color="auto"/>
                    <w:bottom w:val="none" w:sz="0" w:space="0" w:color="auto"/>
                    <w:right w:val="none" w:sz="0" w:space="0" w:color="auto"/>
                  </w:divBdr>
                  <w:divsChild>
                    <w:div w:id="1590263499">
                      <w:marLeft w:val="0"/>
                      <w:marRight w:val="0"/>
                      <w:marTop w:val="0"/>
                      <w:marBottom w:val="0"/>
                      <w:divBdr>
                        <w:top w:val="none" w:sz="0" w:space="0" w:color="auto"/>
                        <w:left w:val="none" w:sz="0" w:space="0" w:color="auto"/>
                        <w:bottom w:val="none" w:sz="0" w:space="0" w:color="auto"/>
                        <w:right w:val="none" w:sz="0" w:space="0" w:color="auto"/>
                      </w:divBdr>
                    </w:div>
                  </w:divsChild>
                </w:div>
                <w:div w:id="1874227475">
                  <w:marLeft w:val="0"/>
                  <w:marRight w:val="0"/>
                  <w:marTop w:val="0"/>
                  <w:marBottom w:val="0"/>
                  <w:divBdr>
                    <w:top w:val="none" w:sz="0" w:space="0" w:color="auto"/>
                    <w:left w:val="none" w:sz="0" w:space="0" w:color="auto"/>
                    <w:bottom w:val="none" w:sz="0" w:space="0" w:color="auto"/>
                    <w:right w:val="none" w:sz="0" w:space="0" w:color="auto"/>
                  </w:divBdr>
                  <w:divsChild>
                    <w:div w:id="440301119">
                      <w:marLeft w:val="0"/>
                      <w:marRight w:val="0"/>
                      <w:marTop w:val="0"/>
                      <w:marBottom w:val="0"/>
                      <w:divBdr>
                        <w:top w:val="none" w:sz="0" w:space="0" w:color="auto"/>
                        <w:left w:val="none" w:sz="0" w:space="0" w:color="auto"/>
                        <w:bottom w:val="none" w:sz="0" w:space="0" w:color="auto"/>
                        <w:right w:val="none" w:sz="0" w:space="0" w:color="auto"/>
                      </w:divBdr>
                    </w:div>
                  </w:divsChild>
                </w:div>
                <w:div w:id="1876844185">
                  <w:marLeft w:val="0"/>
                  <w:marRight w:val="0"/>
                  <w:marTop w:val="0"/>
                  <w:marBottom w:val="0"/>
                  <w:divBdr>
                    <w:top w:val="none" w:sz="0" w:space="0" w:color="auto"/>
                    <w:left w:val="none" w:sz="0" w:space="0" w:color="auto"/>
                    <w:bottom w:val="none" w:sz="0" w:space="0" w:color="auto"/>
                    <w:right w:val="none" w:sz="0" w:space="0" w:color="auto"/>
                  </w:divBdr>
                  <w:divsChild>
                    <w:div w:id="161749534">
                      <w:marLeft w:val="0"/>
                      <w:marRight w:val="0"/>
                      <w:marTop w:val="0"/>
                      <w:marBottom w:val="0"/>
                      <w:divBdr>
                        <w:top w:val="none" w:sz="0" w:space="0" w:color="auto"/>
                        <w:left w:val="none" w:sz="0" w:space="0" w:color="auto"/>
                        <w:bottom w:val="none" w:sz="0" w:space="0" w:color="auto"/>
                        <w:right w:val="none" w:sz="0" w:space="0" w:color="auto"/>
                      </w:divBdr>
                    </w:div>
                  </w:divsChild>
                </w:div>
                <w:div w:id="1936985354">
                  <w:marLeft w:val="0"/>
                  <w:marRight w:val="0"/>
                  <w:marTop w:val="0"/>
                  <w:marBottom w:val="0"/>
                  <w:divBdr>
                    <w:top w:val="none" w:sz="0" w:space="0" w:color="auto"/>
                    <w:left w:val="none" w:sz="0" w:space="0" w:color="auto"/>
                    <w:bottom w:val="none" w:sz="0" w:space="0" w:color="auto"/>
                    <w:right w:val="none" w:sz="0" w:space="0" w:color="auto"/>
                  </w:divBdr>
                  <w:divsChild>
                    <w:div w:id="1766607597">
                      <w:marLeft w:val="0"/>
                      <w:marRight w:val="0"/>
                      <w:marTop w:val="0"/>
                      <w:marBottom w:val="0"/>
                      <w:divBdr>
                        <w:top w:val="none" w:sz="0" w:space="0" w:color="auto"/>
                        <w:left w:val="none" w:sz="0" w:space="0" w:color="auto"/>
                        <w:bottom w:val="none" w:sz="0" w:space="0" w:color="auto"/>
                        <w:right w:val="none" w:sz="0" w:space="0" w:color="auto"/>
                      </w:divBdr>
                    </w:div>
                  </w:divsChild>
                </w:div>
                <w:div w:id="2011323221">
                  <w:marLeft w:val="0"/>
                  <w:marRight w:val="0"/>
                  <w:marTop w:val="0"/>
                  <w:marBottom w:val="0"/>
                  <w:divBdr>
                    <w:top w:val="none" w:sz="0" w:space="0" w:color="auto"/>
                    <w:left w:val="none" w:sz="0" w:space="0" w:color="auto"/>
                    <w:bottom w:val="none" w:sz="0" w:space="0" w:color="auto"/>
                    <w:right w:val="none" w:sz="0" w:space="0" w:color="auto"/>
                  </w:divBdr>
                  <w:divsChild>
                    <w:div w:id="504637873">
                      <w:marLeft w:val="0"/>
                      <w:marRight w:val="0"/>
                      <w:marTop w:val="0"/>
                      <w:marBottom w:val="0"/>
                      <w:divBdr>
                        <w:top w:val="none" w:sz="0" w:space="0" w:color="auto"/>
                        <w:left w:val="none" w:sz="0" w:space="0" w:color="auto"/>
                        <w:bottom w:val="none" w:sz="0" w:space="0" w:color="auto"/>
                        <w:right w:val="none" w:sz="0" w:space="0" w:color="auto"/>
                      </w:divBdr>
                    </w:div>
                  </w:divsChild>
                </w:div>
                <w:div w:id="2061205440">
                  <w:marLeft w:val="0"/>
                  <w:marRight w:val="0"/>
                  <w:marTop w:val="0"/>
                  <w:marBottom w:val="0"/>
                  <w:divBdr>
                    <w:top w:val="none" w:sz="0" w:space="0" w:color="auto"/>
                    <w:left w:val="none" w:sz="0" w:space="0" w:color="auto"/>
                    <w:bottom w:val="none" w:sz="0" w:space="0" w:color="auto"/>
                    <w:right w:val="none" w:sz="0" w:space="0" w:color="auto"/>
                  </w:divBdr>
                  <w:divsChild>
                    <w:div w:id="579293997">
                      <w:marLeft w:val="0"/>
                      <w:marRight w:val="0"/>
                      <w:marTop w:val="0"/>
                      <w:marBottom w:val="0"/>
                      <w:divBdr>
                        <w:top w:val="none" w:sz="0" w:space="0" w:color="auto"/>
                        <w:left w:val="none" w:sz="0" w:space="0" w:color="auto"/>
                        <w:bottom w:val="none" w:sz="0" w:space="0" w:color="auto"/>
                        <w:right w:val="none" w:sz="0" w:space="0" w:color="auto"/>
                      </w:divBdr>
                    </w:div>
                  </w:divsChild>
                </w:div>
                <w:div w:id="2122260030">
                  <w:marLeft w:val="0"/>
                  <w:marRight w:val="0"/>
                  <w:marTop w:val="0"/>
                  <w:marBottom w:val="0"/>
                  <w:divBdr>
                    <w:top w:val="none" w:sz="0" w:space="0" w:color="auto"/>
                    <w:left w:val="none" w:sz="0" w:space="0" w:color="auto"/>
                    <w:bottom w:val="none" w:sz="0" w:space="0" w:color="auto"/>
                    <w:right w:val="none" w:sz="0" w:space="0" w:color="auto"/>
                  </w:divBdr>
                  <w:divsChild>
                    <w:div w:id="16823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2038">
          <w:marLeft w:val="0"/>
          <w:marRight w:val="0"/>
          <w:marTop w:val="0"/>
          <w:marBottom w:val="0"/>
          <w:divBdr>
            <w:top w:val="none" w:sz="0" w:space="0" w:color="auto"/>
            <w:left w:val="none" w:sz="0" w:space="0" w:color="auto"/>
            <w:bottom w:val="none" w:sz="0" w:space="0" w:color="auto"/>
            <w:right w:val="none" w:sz="0" w:space="0" w:color="auto"/>
          </w:divBdr>
          <w:divsChild>
            <w:div w:id="16664055">
              <w:marLeft w:val="0"/>
              <w:marRight w:val="0"/>
              <w:marTop w:val="0"/>
              <w:marBottom w:val="0"/>
              <w:divBdr>
                <w:top w:val="none" w:sz="0" w:space="0" w:color="auto"/>
                <w:left w:val="none" w:sz="0" w:space="0" w:color="auto"/>
                <w:bottom w:val="none" w:sz="0" w:space="0" w:color="auto"/>
                <w:right w:val="none" w:sz="0" w:space="0" w:color="auto"/>
              </w:divBdr>
            </w:div>
            <w:div w:id="80614756">
              <w:marLeft w:val="0"/>
              <w:marRight w:val="0"/>
              <w:marTop w:val="0"/>
              <w:marBottom w:val="0"/>
              <w:divBdr>
                <w:top w:val="none" w:sz="0" w:space="0" w:color="auto"/>
                <w:left w:val="none" w:sz="0" w:space="0" w:color="auto"/>
                <w:bottom w:val="none" w:sz="0" w:space="0" w:color="auto"/>
                <w:right w:val="none" w:sz="0" w:space="0" w:color="auto"/>
              </w:divBdr>
            </w:div>
            <w:div w:id="136536697">
              <w:marLeft w:val="0"/>
              <w:marRight w:val="0"/>
              <w:marTop w:val="0"/>
              <w:marBottom w:val="0"/>
              <w:divBdr>
                <w:top w:val="none" w:sz="0" w:space="0" w:color="auto"/>
                <w:left w:val="none" w:sz="0" w:space="0" w:color="auto"/>
                <w:bottom w:val="none" w:sz="0" w:space="0" w:color="auto"/>
                <w:right w:val="none" w:sz="0" w:space="0" w:color="auto"/>
              </w:divBdr>
            </w:div>
            <w:div w:id="141434248">
              <w:marLeft w:val="0"/>
              <w:marRight w:val="0"/>
              <w:marTop w:val="0"/>
              <w:marBottom w:val="0"/>
              <w:divBdr>
                <w:top w:val="none" w:sz="0" w:space="0" w:color="auto"/>
                <w:left w:val="none" w:sz="0" w:space="0" w:color="auto"/>
                <w:bottom w:val="none" w:sz="0" w:space="0" w:color="auto"/>
                <w:right w:val="none" w:sz="0" w:space="0" w:color="auto"/>
              </w:divBdr>
            </w:div>
            <w:div w:id="154616359">
              <w:marLeft w:val="0"/>
              <w:marRight w:val="0"/>
              <w:marTop w:val="0"/>
              <w:marBottom w:val="0"/>
              <w:divBdr>
                <w:top w:val="none" w:sz="0" w:space="0" w:color="auto"/>
                <w:left w:val="none" w:sz="0" w:space="0" w:color="auto"/>
                <w:bottom w:val="none" w:sz="0" w:space="0" w:color="auto"/>
                <w:right w:val="none" w:sz="0" w:space="0" w:color="auto"/>
              </w:divBdr>
            </w:div>
            <w:div w:id="356740089">
              <w:marLeft w:val="0"/>
              <w:marRight w:val="0"/>
              <w:marTop w:val="0"/>
              <w:marBottom w:val="0"/>
              <w:divBdr>
                <w:top w:val="none" w:sz="0" w:space="0" w:color="auto"/>
                <w:left w:val="none" w:sz="0" w:space="0" w:color="auto"/>
                <w:bottom w:val="none" w:sz="0" w:space="0" w:color="auto"/>
                <w:right w:val="none" w:sz="0" w:space="0" w:color="auto"/>
              </w:divBdr>
            </w:div>
            <w:div w:id="529992866">
              <w:marLeft w:val="0"/>
              <w:marRight w:val="0"/>
              <w:marTop w:val="0"/>
              <w:marBottom w:val="0"/>
              <w:divBdr>
                <w:top w:val="none" w:sz="0" w:space="0" w:color="auto"/>
                <w:left w:val="none" w:sz="0" w:space="0" w:color="auto"/>
                <w:bottom w:val="none" w:sz="0" w:space="0" w:color="auto"/>
                <w:right w:val="none" w:sz="0" w:space="0" w:color="auto"/>
              </w:divBdr>
            </w:div>
            <w:div w:id="539903733">
              <w:marLeft w:val="0"/>
              <w:marRight w:val="0"/>
              <w:marTop w:val="0"/>
              <w:marBottom w:val="0"/>
              <w:divBdr>
                <w:top w:val="none" w:sz="0" w:space="0" w:color="auto"/>
                <w:left w:val="none" w:sz="0" w:space="0" w:color="auto"/>
                <w:bottom w:val="none" w:sz="0" w:space="0" w:color="auto"/>
                <w:right w:val="none" w:sz="0" w:space="0" w:color="auto"/>
              </w:divBdr>
            </w:div>
            <w:div w:id="628825010">
              <w:marLeft w:val="0"/>
              <w:marRight w:val="0"/>
              <w:marTop w:val="0"/>
              <w:marBottom w:val="0"/>
              <w:divBdr>
                <w:top w:val="none" w:sz="0" w:space="0" w:color="auto"/>
                <w:left w:val="none" w:sz="0" w:space="0" w:color="auto"/>
                <w:bottom w:val="none" w:sz="0" w:space="0" w:color="auto"/>
                <w:right w:val="none" w:sz="0" w:space="0" w:color="auto"/>
              </w:divBdr>
            </w:div>
            <w:div w:id="839660096">
              <w:marLeft w:val="0"/>
              <w:marRight w:val="0"/>
              <w:marTop w:val="0"/>
              <w:marBottom w:val="0"/>
              <w:divBdr>
                <w:top w:val="none" w:sz="0" w:space="0" w:color="auto"/>
                <w:left w:val="none" w:sz="0" w:space="0" w:color="auto"/>
                <w:bottom w:val="none" w:sz="0" w:space="0" w:color="auto"/>
                <w:right w:val="none" w:sz="0" w:space="0" w:color="auto"/>
              </w:divBdr>
            </w:div>
            <w:div w:id="900408786">
              <w:marLeft w:val="0"/>
              <w:marRight w:val="0"/>
              <w:marTop w:val="0"/>
              <w:marBottom w:val="0"/>
              <w:divBdr>
                <w:top w:val="none" w:sz="0" w:space="0" w:color="auto"/>
                <w:left w:val="none" w:sz="0" w:space="0" w:color="auto"/>
                <w:bottom w:val="none" w:sz="0" w:space="0" w:color="auto"/>
                <w:right w:val="none" w:sz="0" w:space="0" w:color="auto"/>
              </w:divBdr>
            </w:div>
            <w:div w:id="989022087">
              <w:marLeft w:val="0"/>
              <w:marRight w:val="0"/>
              <w:marTop w:val="0"/>
              <w:marBottom w:val="0"/>
              <w:divBdr>
                <w:top w:val="none" w:sz="0" w:space="0" w:color="auto"/>
                <w:left w:val="none" w:sz="0" w:space="0" w:color="auto"/>
                <w:bottom w:val="none" w:sz="0" w:space="0" w:color="auto"/>
                <w:right w:val="none" w:sz="0" w:space="0" w:color="auto"/>
              </w:divBdr>
            </w:div>
            <w:div w:id="995301658">
              <w:marLeft w:val="0"/>
              <w:marRight w:val="0"/>
              <w:marTop w:val="0"/>
              <w:marBottom w:val="0"/>
              <w:divBdr>
                <w:top w:val="none" w:sz="0" w:space="0" w:color="auto"/>
                <w:left w:val="none" w:sz="0" w:space="0" w:color="auto"/>
                <w:bottom w:val="none" w:sz="0" w:space="0" w:color="auto"/>
                <w:right w:val="none" w:sz="0" w:space="0" w:color="auto"/>
              </w:divBdr>
            </w:div>
            <w:div w:id="1164588670">
              <w:marLeft w:val="0"/>
              <w:marRight w:val="0"/>
              <w:marTop w:val="0"/>
              <w:marBottom w:val="0"/>
              <w:divBdr>
                <w:top w:val="none" w:sz="0" w:space="0" w:color="auto"/>
                <w:left w:val="none" w:sz="0" w:space="0" w:color="auto"/>
                <w:bottom w:val="none" w:sz="0" w:space="0" w:color="auto"/>
                <w:right w:val="none" w:sz="0" w:space="0" w:color="auto"/>
              </w:divBdr>
            </w:div>
            <w:div w:id="1181433399">
              <w:marLeft w:val="0"/>
              <w:marRight w:val="0"/>
              <w:marTop w:val="0"/>
              <w:marBottom w:val="0"/>
              <w:divBdr>
                <w:top w:val="none" w:sz="0" w:space="0" w:color="auto"/>
                <w:left w:val="none" w:sz="0" w:space="0" w:color="auto"/>
                <w:bottom w:val="none" w:sz="0" w:space="0" w:color="auto"/>
                <w:right w:val="none" w:sz="0" w:space="0" w:color="auto"/>
              </w:divBdr>
            </w:div>
            <w:div w:id="1479834412">
              <w:marLeft w:val="0"/>
              <w:marRight w:val="0"/>
              <w:marTop w:val="0"/>
              <w:marBottom w:val="0"/>
              <w:divBdr>
                <w:top w:val="none" w:sz="0" w:space="0" w:color="auto"/>
                <w:left w:val="none" w:sz="0" w:space="0" w:color="auto"/>
                <w:bottom w:val="none" w:sz="0" w:space="0" w:color="auto"/>
                <w:right w:val="none" w:sz="0" w:space="0" w:color="auto"/>
              </w:divBdr>
            </w:div>
            <w:div w:id="1681859235">
              <w:marLeft w:val="0"/>
              <w:marRight w:val="0"/>
              <w:marTop w:val="0"/>
              <w:marBottom w:val="0"/>
              <w:divBdr>
                <w:top w:val="none" w:sz="0" w:space="0" w:color="auto"/>
                <w:left w:val="none" w:sz="0" w:space="0" w:color="auto"/>
                <w:bottom w:val="none" w:sz="0" w:space="0" w:color="auto"/>
                <w:right w:val="none" w:sz="0" w:space="0" w:color="auto"/>
              </w:divBdr>
            </w:div>
            <w:div w:id="1768646896">
              <w:marLeft w:val="0"/>
              <w:marRight w:val="0"/>
              <w:marTop w:val="0"/>
              <w:marBottom w:val="0"/>
              <w:divBdr>
                <w:top w:val="none" w:sz="0" w:space="0" w:color="auto"/>
                <w:left w:val="none" w:sz="0" w:space="0" w:color="auto"/>
                <w:bottom w:val="none" w:sz="0" w:space="0" w:color="auto"/>
                <w:right w:val="none" w:sz="0" w:space="0" w:color="auto"/>
              </w:divBdr>
            </w:div>
            <w:div w:id="1791974562">
              <w:marLeft w:val="0"/>
              <w:marRight w:val="0"/>
              <w:marTop w:val="0"/>
              <w:marBottom w:val="0"/>
              <w:divBdr>
                <w:top w:val="none" w:sz="0" w:space="0" w:color="auto"/>
                <w:left w:val="none" w:sz="0" w:space="0" w:color="auto"/>
                <w:bottom w:val="none" w:sz="0" w:space="0" w:color="auto"/>
                <w:right w:val="none" w:sz="0" w:space="0" w:color="auto"/>
              </w:divBdr>
            </w:div>
            <w:div w:id="1811049167">
              <w:marLeft w:val="0"/>
              <w:marRight w:val="0"/>
              <w:marTop w:val="0"/>
              <w:marBottom w:val="0"/>
              <w:divBdr>
                <w:top w:val="none" w:sz="0" w:space="0" w:color="auto"/>
                <w:left w:val="none" w:sz="0" w:space="0" w:color="auto"/>
                <w:bottom w:val="none" w:sz="0" w:space="0" w:color="auto"/>
                <w:right w:val="none" w:sz="0" w:space="0" w:color="auto"/>
              </w:divBdr>
            </w:div>
          </w:divsChild>
        </w:div>
        <w:div w:id="106313507">
          <w:marLeft w:val="0"/>
          <w:marRight w:val="0"/>
          <w:marTop w:val="0"/>
          <w:marBottom w:val="0"/>
          <w:divBdr>
            <w:top w:val="none" w:sz="0" w:space="0" w:color="auto"/>
            <w:left w:val="none" w:sz="0" w:space="0" w:color="auto"/>
            <w:bottom w:val="none" w:sz="0" w:space="0" w:color="auto"/>
            <w:right w:val="none" w:sz="0" w:space="0" w:color="auto"/>
          </w:divBdr>
        </w:div>
        <w:div w:id="107504813">
          <w:marLeft w:val="0"/>
          <w:marRight w:val="0"/>
          <w:marTop w:val="0"/>
          <w:marBottom w:val="0"/>
          <w:divBdr>
            <w:top w:val="none" w:sz="0" w:space="0" w:color="auto"/>
            <w:left w:val="none" w:sz="0" w:space="0" w:color="auto"/>
            <w:bottom w:val="none" w:sz="0" w:space="0" w:color="auto"/>
            <w:right w:val="none" w:sz="0" w:space="0" w:color="auto"/>
          </w:divBdr>
        </w:div>
        <w:div w:id="115612346">
          <w:marLeft w:val="0"/>
          <w:marRight w:val="0"/>
          <w:marTop w:val="0"/>
          <w:marBottom w:val="0"/>
          <w:divBdr>
            <w:top w:val="none" w:sz="0" w:space="0" w:color="auto"/>
            <w:left w:val="none" w:sz="0" w:space="0" w:color="auto"/>
            <w:bottom w:val="none" w:sz="0" w:space="0" w:color="auto"/>
            <w:right w:val="none" w:sz="0" w:space="0" w:color="auto"/>
          </w:divBdr>
        </w:div>
        <w:div w:id="116027458">
          <w:marLeft w:val="0"/>
          <w:marRight w:val="0"/>
          <w:marTop w:val="0"/>
          <w:marBottom w:val="0"/>
          <w:divBdr>
            <w:top w:val="none" w:sz="0" w:space="0" w:color="auto"/>
            <w:left w:val="none" w:sz="0" w:space="0" w:color="auto"/>
            <w:bottom w:val="none" w:sz="0" w:space="0" w:color="auto"/>
            <w:right w:val="none" w:sz="0" w:space="0" w:color="auto"/>
          </w:divBdr>
        </w:div>
        <w:div w:id="119568434">
          <w:marLeft w:val="0"/>
          <w:marRight w:val="0"/>
          <w:marTop w:val="0"/>
          <w:marBottom w:val="0"/>
          <w:divBdr>
            <w:top w:val="none" w:sz="0" w:space="0" w:color="auto"/>
            <w:left w:val="none" w:sz="0" w:space="0" w:color="auto"/>
            <w:bottom w:val="none" w:sz="0" w:space="0" w:color="auto"/>
            <w:right w:val="none" w:sz="0" w:space="0" w:color="auto"/>
          </w:divBdr>
          <w:divsChild>
            <w:div w:id="123084243">
              <w:marLeft w:val="0"/>
              <w:marRight w:val="0"/>
              <w:marTop w:val="0"/>
              <w:marBottom w:val="0"/>
              <w:divBdr>
                <w:top w:val="none" w:sz="0" w:space="0" w:color="auto"/>
                <w:left w:val="none" w:sz="0" w:space="0" w:color="auto"/>
                <w:bottom w:val="none" w:sz="0" w:space="0" w:color="auto"/>
                <w:right w:val="none" w:sz="0" w:space="0" w:color="auto"/>
              </w:divBdr>
            </w:div>
            <w:div w:id="568155426">
              <w:marLeft w:val="0"/>
              <w:marRight w:val="0"/>
              <w:marTop w:val="0"/>
              <w:marBottom w:val="0"/>
              <w:divBdr>
                <w:top w:val="none" w:sz="0" w:space="0" w:color="auto"/>
                <w:left w:val="none" w:sz="0" w:space="0" w:color="auto"/>
                <w:bottom w:val="none" w:sz="0" w:space="0" w:color="auto"/>
                <w:right w:val="none" w:sz="0" w:space="0" w:color="auto"/>
              </w:divBdr>
            </w:div>
            <w:div w:id="672223806">
              <w:marLeft w:val="0"/>
              <w:marRight w:val="0"/>
              <w:marTop w:val="0"/>
              <w:marBottom w:val="0"/>
              <w:divBdr>
                <w:top w:val="none" w:sz="0" w:space="0" w:color="auto"/>
                <w:left w:val="none" w:sz="0" w:space="0" w:color="auto"/>
                <w:bottom w:val="none" w:sz="0" w:space="0" w:color="auto"/>
                <w:right w:val="none" w:sz="0" w:space="0" w:color="auto"/>
              </w:divBdr>
            </w:div>
            <w:div w:id="904029544">
              <w:marLeft w:val="0"/>
              <w:marRight w:val="0"/>
              <w:marTop w:val="0"/>
              <w:marBottom w:val="0"/>
              <w:divBdr>
                <w:top w:val="none" w:sz="0" w:space="0" w:color="auto"/>
                <w:left w:val="none" w:sz="0" w:space="0" w:color="auto"/>
                <w:bottom w:val="none" w:sz="0" w:space="0" w:color="auto"/>
                <w:right w:val="none" w:sz="0" w:space="0" w:color="auto"/>
              </w:divBdr>
            </w:div>
            <w:div w:id="1201547615">
              <w:marLeft w:val="0"/>
              <w:marRight w:val="0"/>
              <w:marTop w:val="0"/>
              <w:marBottom w:val="0"/>
              <w:divBdr>
                <w:top w:val="none" w:sz="0" w:space="0" w:color="auto"/>
                <w:left w:val="none" w:sz="0" w:space="0" w:color="auto"/>
                <w:bottom w:val="none" w:sz="0" w:space="0" w:color="auto"/>
                <w:right w:val="none" w:sz="0" w:space="0" w:color="auto"/>
              </w:divBdr>
            </w:div>
            <w:div w:id="1232471989">
              <w:marLeft w:val="0"/>
              <w:marRight w:val="0"/>
              <w:marTop w:val="0"/>
              <w:marBottom w:val="0"/>
              <w:divBdr>
                <w:top w:val="none" w:sz="0" w:space="0" w:color="auto"/>
                <w:left w:val="none" w:sz="0" w:space="0" w:color="auto"/>
                <w:bottom w:val="none" w:sz="0" w:space="0" w:color="auto"/>
                <w:right w:val="none" w:sz="0" w:space="0" w:color="auto"/>
              </w:divBdr>
            </w:div>
            <w:div w:id="1354651846">
              <w:marLeft w:val="0"/>
              <w:marRight w:val="0"/>
              <w:marTop w:val="0"/>
              <w:marBottom w:val="0"/>
              <w:divBdr>
                <w:top w:val="none" w:sz="0" w:space="0" w:color="auto"/>
                <w:left w:val="none" w:sz="0" w:space="0" w:color="auto"/>
                <w:bottom w:val="none" w:sz="0" w:space="0" w:color="auto"/>
                <w:right w:val="none" w:sz="0" w:space="0" w:color="auto"/>
              </w:divBdr>
            </w:div>
            <w:div w:id="1659573683">
              <w:marLeft w:val="0"/>
              <w:marRight w:val="0"/>
              <w:marTop w:val="0"/>
              <w:marBottom w:val="0"/>
              <w:divBdr>
                <w:top w:val="none" w:sz="0" w:space="0" w:color="auto"/>
                <w:left w:val="none" w:sz="0" w:space="0" w:color="auto"/>
                <w:bottom w:val="none" w:sz="0" w:space="0" w:color="auto"/>
                <w:right w:val="none" w:sz="0" w:space="0" w:color="auto"/>
              </w:divBdr>
            </w:div>
            <w:div w:id="1798182951">
              <w:marLeft w:val="0"/>
              <w:marRight w:val="0"/>
              <w:marTop w:val="0"/>
              <w:marBottom w:val="0"/>
              <w:divBdr>
                <w:top w:val="none" w:sz="0" w:space="0" w:color="auto"/>
                <w:left w:val="none" w:sz="0" w:space="0" w:color="auto"/>
                <w:bottom w:val="none" w:sz="0" w:space="0" w:color="auto"/>
                <w:right w:val="none" w:sz="0" w:space="0" w:color="auto"/>
              </w:divBdr>
            </w:div>
            <w:div w:id="1900171063">
              <w:marLeft w:val="0"/>
              <w:marRight w:val="0"/>
              <w:marTop w:val="0"/>
              <w:marBottom w:val="0"/>
              <w:divBdr>
                <w:top w:val="none" w:sz="0" w:space="0" w:color="auto"/>
                <w:left w:val="none" w:sz="0" w:space="0" w:color="auto"/>
                <w:bottom w:val="none" w:sz="0" w:space="0" w:color="auto"/>
                <w:right w:val="none" w:sz="0" w:space="0" w:color="auto"/>
              </w:divBdr>
            </w:div>
          </w:divsChild>
        </w:div>
        <w:div w:id="125393479">
          <w:marLeft w:val="0"/>
          <w:marRight w:val="0"/>
          <w:marTop w:val="0"/>
          <w:marBottom w:val="0"/>
          <w:divBdr>
            <w:top w:val="none" w:sz="0" w:space="0" w:color="auto"/>
            <w:left w:val="none" w:sz="0" w:space="0" w:color="auto"/>
            <w:bottom w:val="none" w:sz="0" w:space="0" w:color="auto"/>
            <w:right w:val="none" w:sz="0" w:space="0" w:color="auto"/>
          </w:divBdr>
        </w:div>
        <w:div w:id="131486325">
          <w:marLeft w:val="0"/>
          <w:marRight w:val="0"/>
          <w:marTop w:val="0"/>
          <w:marBottom w:val="0"/>
          <w:divBdr>
            <w:top w:val="none" w:sz="0" w:space="0" w:color="auto"/>
            <w:left w:val="none" w:sz="0" w:space="0" w:color="auto"/>
            <w:bottom w:val="none" w:sz="0" w:space="0" w:color="auto"/>
            <w:right w:val="none" w:sz="0" w:space="0" w:color="auto"/>
          </w:divBdr>
        </w:div>
        <w:div w:id="131795774">
          <w:marLeft w:val="0"/>
          <w:marRight w:val="0"/>
          <w:marTop w:val="0"/>
          <w:marBottom w:val="0"/>
          <w:divBdr>
            <w:top w:val="none" w:sz="0" w:space="0" w:color="auto"/>
            <w:left w:val="none" w:sz="0" w:space="0" w:color="auto"/>
            <w:bottom w:val="none" w:sz="0" w:space="0" w:color="auto"/>
            <w:right w:val="none" w:sz="0" w:space="0" w:color="auto"/>
          </w:divBdr>
        </w:div>
        <w:div w:id="137580111">
          <w:marLeft w:val="0"/>
          <w:marRight w:val="0"/>
          <w:marTop w:val="0"/>
          <w:marBottom w:val="0"/>
          <w:divBdr>
            <w:top w:val="none" w:sz="0" w:space="0" w:color="auto"/>
            <w:left w:val="none" w:sz="0" w:space="0" w:color="auto"/>
            <w:bottom w:val="none" w:sz="0" w:space="0" w:color="auto"/>
            <w:right w:val="none" w:sz="0" w:space="0" w:color="auto"/>
          </w:divBdr>
        </w:div>
        <w:div w:id="167184383">
          <w:marLeft w:val="0"/>
          <w:marRight w:val="0"/>
          <w:marTop w:val="0"/>
          <w:marBottom w:val="0"/>
          <w:divBdr>
            <w:top w:val="none" w:sz="0" w:space="0" w:color="auto"/>
            <w:left w:val="none" w:sz="0" w:space="0" w:color="auto"/>
            <w:bottom w:val="none" w:sz="0" w:space="0" w:color="auto"/>
            <w:right w:val="none" w:sz="0" w:space="0" w:color="auto"/>
          </w:divBdr>
        </w:div>
        <w:div w:id="170922816">
          <w:marLeft w:val="0"/>
          <w:marRight w:val="0"/>
          <w:marTop w:val="0"/>
          <w:marBottom w:val="0"/>
          <w:divBdr>
            <w:top w:val="none" w:sz="0" w:space="0" w:color="auto"/>
            <w:left w:val="none" w:sz="0" w:space="0" w:color="auto"/>
            <w:bottom w:val="none" w:sz="0" w:space="0" w:color="auto"/>
            <w:right w:val="none" w:sz="0" w:space="0" w:color="auto"/>
          </w:divBdr>
        </w:div>
        <w:div w:id="176191417">
          <w:marLeft w:val="0"/>
          <w:marRight w:val="0"/>
          <w:marTop w:val="0"/>
          <w:marBottom w:val="0"/>
          <w:divBdr>
            <w:top w:val="none" w:sz="0" w:space="0" w:color="auto"/>
            <w:left w:val="none" w:sz="0" w:space="0" w:color="auto"/>
            <w:bottom w:val="none" w:sz="0" w:space="0" w:color="auto"/>
            <w:right w:val="none" w:sz="0" w:space="0" w:color="auto"/>
          </w:divBdr>
          <w:divsChild>
            <w:div w:id="8223679">
              <w:marLeft w:val="0"/>
              <w:marRight w:val="0"/>
              <w:marTop w:val="0"/>
              <w:marBottom w:val="0"/>
              <w:divBdr>
                <w:top w:val="none" w:sz="0" w:space="0" w:color="auto"/>
                <w:left w:val="none" w:sz="0" w:space="0" w:color="auto"/>
                <w:bottom w:val="none" w:sz="0" w:space="0" w:color="auto"/>
                <w:right w:val="none" w:sz="0" w:space="0" w:color="auto"/>
              </w:divBdr>
            </w:div>
            <w:div w:id="104858728">
              <w:marLeft w:val="0"/>
              <w:marRight w:val="0"/>
              <w:marTop w:val="0"/>
              <w:marBottom w:val="0"/>
              <w:divBdr>
                <w:top w:val="none" w:sz="0" w:space="0" w:color="auto"/>
                <w:left w:val="none" w:sz="0" w:space="0" w:color="auto"/>
                <w:bottom w:val="none" w:sz="0" w:space="0" w:color="auto"/>
                <w:right w:val="none" w:sz="0" w:space="0" w:color="auto"/>
              </w:divBdr>
            </w:div>
            <w:div w:id="105778519">
              <w:marLeft w:val="0"/>
              <w:marRight w:val="0"/>
              <w:marTop w:val="0"/>
              <w:marBottom w:val="0"/>
              <w:divBdr>
                <w:top w:val="none" w:sz="0" w:space="0" w:color="auto"/>
                <w:left w:val="none" w:sz="0" w:space="0" w:color="auto"/>
                <w:bottom w:val="none" w:sz="0" w:space="0" w:color="auto"/>
                <w:right w:val="none" w:sz="0" w:space="0" w:color="auto"/>
              </w:divBdr>
            </w:div>
            <w:div w:id="369496339">
              <w:marLeft w:val="0"/>
              <w:marRight w:val="0"/>
              <w:marTop w:val="0"/>
              <w:marBottom w:val="0"/>
              <w:divBdr>
                <w:top w:val="none" w:sz="0" w:space="0" w:color="auto"/>
                <w:left w:val="none" w:sz="0" w:space="0" w:color="auto"/>
                <w:bottom w:val="none" w:sz="0" w:space="0" w:color="auto"/>
                <w:right w:val="none" w:sz="0" w:space="0" w:color="auto"/>
              </w:divBdr>
            </w:div>
            <w:div w:id="470757139">
              <w:marLeft w:val="0"/>
              <w:marRight w:val="0"/>
              <w:marTop w:val="0"/>
              <w:marBottom w:val="0"/>
              <w:divBdr>
                <w:top w:val="none" w:sz="0" w:space="0" w:color="auto"/>
                <w:left w:val="none" w:sz="0" w:space="0" w:color="auto"/>
                <w:bottom w:val="none" w:sz="0" w:space="0" w:color="auto"/>
                <w:right w:val="none" w:sz="0" w:space="0" w:color="auto"/>
              </w:divBdr>
            </w:div>
            <w:div w:id="496582594">
              <w:marLeft w:val="0"/>
              <w:marRight w:val="0"/>
              <w:marTop w:val="0"/>
              <w:marBottom w:val="0"/>
              <w:divBdr>
                <w:top w:val="none" w:sz="0" w:space="0" w:color="auto"/>
                <w:left w:val="none" w:sz="0" w:space="0" w:color="auto"/>
                <w:bottom w:val="none" w:sz="0" w:space="0" w:color="auto"/>
                <w:right w:val="none" w:sz="0" w:space="0" w:color="auto"/>
              </w:divBdr>
            </w:div>
            <w:div w:id="557015842">
              <w:marLeft w:val="0"/>
              <w:marRight w:val="0"/>
              <w:marTop w:val="0"/>
              <w:marBottom w:val="0"/>
              <w:divBdr>
                <w:top w:val="none" w:sz="0" w:space="0" w:color="auto"/>
                <w:left w:val="none" w:sz="0" w:space="0" w:color="auto"/>
                <w:bottom w:val="none" w:sz="0" w:space="0" w:color="auto"/>
                <w:right w:val="none" w:sz="0" w:space="0" w:color="auto"/>
              </w:divBdr>
            </w:div>
            <w:div w:id="568198941">
              <w:marLeft w:val="0"/>
              <w:marRight w:val="0"/>
              <w:marTop w:val="0"/>
              <w:marBottom w:val="0"/>
              <w:divBdr>
                <w:top w:val="none" w:sz="0" w:space="0" w:color="auto"/>
                <w:left w:val="none" w:sz="0" w:space="0" w:color="auto"/>
                <w:bottom w:val="none" w:sz="0" w:space="0" w:color="auto"/>
                <w:right w:val="none" w:sz="0" w:space="0" w:color="auto"/>
              </w:divBdr>
            </w:div>
            <w:div w:id="596718800">
              <w:marLeft w:val="0"/>
              <w:marRight w:val="0"/>
              <w:marTop w:val="0"/>
              <w:marBottom w:val="0"/>
              <w:divBdr>
                <w:top w:val="none" w:sz="0" w:space="0" w:color="auto"/>
                <w:left w:val="none" w:sz="0" w:space="0" w:color="auto"/>
                <w:bottom w:val="none" w:sz="0" w:space="0" w:color="auto"/>
                <w:right w:val="none" w:sz="0" w:space="0" w:color="auto"/>
              </w:divBdr>
            </w:div>
            <w:div w:id="810899339">
              <w:marLeft w:val="0"/>
              <w:marRight w:val="0"/>
              <w:marTop w:val="0"/>
              <w:marBottom w:val="0"/>
              <w:divBdr>
                <w:top w:val="none" w:sz="0" w:space="0" w:color="auto"/>
                <w:left w:val="none" w:sz="0" w:space="0" w:color="auto"/>
                <w:bottom w:val="none" w:sz="0" w:space="0" w:color="auto"/>
                <w:right w:val="none" w:sz="0" w:space="0" w:color="auto"/>
              </w:divBdr>
            </w:div>
            <w:div w:id="1043167311">
              <w:marLeft w:val="0"/>
              <w:marRight w:val="0"/>
              <w:marTop w:val="0"/>
              <w:marBottom w:val="0"/>
              <w:divBdr>
                <w:top w:val="none" w:sz="0" w:space="0" w:color="auto"/>
                <w:left w:val="none" w:sz="0" w:space="0" w:color="auto"/>
                <w:bottom w:val="none" w:sz="0" w:space="0" w:color="auto"/>
                <w:right w:val="none" w:sz="0" w:space="0" w:color="auto"/>
              </w:divBdr>
            </w:div>
            <w:div w:id="1101416416">
              <w:marLeft w:val="0"/>
              <w:marRight w:val="0"/>
              <w:marTop w:val="0"/>
              <w:marBottom w:val="0"/>
              <w:divBdr>
                <w:top w:val="none" w:sz="0" w:space="0" w:color="auto"/>
                <w:left w:val="none" w:sz="0" w:space="0" w:color="auto"/>
                <w:bottom w:val="none" w:sz="0" w:space="0" w:color="auto"/>
                <w:right w:val="none" w:sz="0" w:space="0" w:color="auto"/>
              </w:divBdr>
            </w:div>
            <w:div w:id="1295721442">
              <w:marLeft w:val="0"/>
              <w:marRight w:val="0"/>
              <w:marTop w:val="0"/>
              <w:marBottom w:val="0"/>
              <w:divBdr>
                <w:top w:val="none" w:sz="0" w:space="0" w:color="auto"/>
                <w:left w:val="none" w:sz="0" w:space="0" w:color="auto"/>
                <w:bottom w:val="none" w:sz="0" w:space="0" w:color="auto"/>
                <w:right w:val="none" w:sz="0" w:space="0" w:color="auto"/>
              </w:divBdr>
            </w:div>
            <w:div w:id="1323316779">
              <w:marLeft w:val="0"/>
              <w:marRight w:val="0"/>
              <w:marTop w:val="0"/>
              <w:marBottom w:val="0"/>
              <w:divBdr>
                <w:top w:val="none" w:sz="0" w:space="0" w:color="auto"/>
                <w:left w:val="none" w:sz="0" w:space="0" w:color="auto"/>
                <w:bottom w:val="none" w:sz="0" w:space="0" w:color="auto"/>
                <w:right w:val="none" w:sz="0" w:space="0" w:color="auto"/>
              </w:divBdr>
            </w:div>
            <w:div w:id="1469123389">
              <w:marLeft w:val="0"/>
              <w:marRight w:val="0"/>
              <w:marTop w:val="0"/>
              <w:marBottom w:val="0"/>
              <w:divBdr>
                <w:top w:val="none" w:sz="0" w:space="0" w:color="auto"/>
                <w:left w:val="none" w:sz="0" w:space="0" w:color="auto"/>
                <w:bottom w:val="none" w:sz="0" w:space="0" w:color="auto"/>
                <w:right w:val="none" w:sz="0" w:space="0" w:color="auto"/>
              </w:divBdr>
            </w:div>
            <w:div w:id="1663311136">
              <w:marLeft w:val="0"/>
              <w:marRight w:val="0"/>
              <w:marTop w:val="0"/>
              <w:marBottom w:val="0"/>
              <w:divBdr>
                <w:top w:val="none" w:sz="0" w:space="0" w:color="auto"/>
                <w:left w:val="none" w:sz="0" w:space="0" w:color="auto"/>
                <w:bottom w:val="none" w:sz="0" w:space="0" w:color="auto"/>
                <w:right w:val="none" w:sz="0" w:space="0" w:color="auto"/>
              </w:divBdr>
            </w:div>
            <w:div w:id="1701008844">
              <w:marLeft w:val="0"/>
              <w:marRight w:val="0"/>
              <w:marTop w:val="0"/>
              <w:marBottom w:val="0"/>
              <w:divBdr>
                <w:top w:val="none" w:sz="0" w:space="0" w:color="auto"/>
                <w:left w:val="none" w:sz="0" w:space="0" w:color="auto"/>
                <w:bottom w:val="none" w:sz="0" w:space="0" w:color="auto"/>
                <w:right w:val="none" w:sz="0" w:space="0" w:color="auto"/>
              </w:divBdr>
            </w:div>
            <w:div w:id="1752703719">
              <w:marLeft w:val="0"/>
              <w:marRight w:val="0"/>
              <w:marTop w:val="0"/>
              <w:marBottom w:val="0"/>
              <w:divBdr>
                <w:top w:val="none" w:sz="0" w:space="0" w:color="auto"/>
                <w:left w:val="none" w:sz="0" w:space="0" w:color="auto"/>
                <w:bottom w:val="none" w:sz="0" w:space="0" w:color="auto"/>
                <w:right w:val="none" w:sz="0" w:space="0" w:color="auto"/>
              </w:divBdr>
            </w:div>
            <w:div w:id="1914967475">
              <w:marLeft w:val="0"/>
              <w:marRight w:val="0"/>
              <w:marTop w:val="0"/>
              <w:marBottom w:val="0"/>
              <w:divBdr>
                <w:top w:val="none" w:sz="0" w:space="0" w:color="auto"/>
                <w:left w:val="none" w:sz="0" w:space="0" w:color="auto"/>
                <w:bottom w:val="none" w:sz="0" w:space="0" w:color="auto"/>
                <w:right w:val="none" w:sz="0" w:space="0" w:color="auto"/>
              </w:divBdr>
            </w:div>
            <w:div w:id="2028174676">
              <w:marLeft w:val="0"/>
              <w:marRight w:val="0"/>
              <w:marTop w:val="0"/>
              <w:marBottom w:val="0"/>
              <w:divBdr>
                <w:top w:val="none" w:sz="0" w:space="0" w:color="auto"/>
                <w:left w:val="none" w:sz="0" w:space="0" w:color="auto"/>
                <w:bottom w:val="none" w:sz="0" w:space="0" w:color="auto"/>
                <w:right w:val="none" w:sz="0" w:space="0" w:color="auto"/>
              </w:divBdr>
            </w:div>
          </w:divsChild>
        </w:div>
        <w:div w:id="180437424">
          <w:marLeft w:val="0"/>
          <w:marRight w:val="0"/>
          <w:marTop w:val="0"/>
          <w:marBottom w:val="0"/>
          <w:divBdr>
            <w:top w:val="none" w:sz="0" w:space="0" w:color="auto"/>
            <w:left w:val="none" w:sz="0" w:space="0" w:color="auto"/>
            <w:bottom w:val="none" w:sz="0" w:space="0" w:color="auto"/>
            <w:right w:val="none" w:sz="0" w:space="0" w:color="auto"/>
          </w:divBdr>
        </w:div>
        <w:div w:id="189687843">
          <w:marLeft w:val="0"/>
          <w:marRight w:val="0"/>
          <w:marTop w:val="0"/>
          <w:marBottom w:val="0"/>
          <w:divBdr>
            <w:top w:val="none" w:sz="0" w:space="0" w:color="auto"/>
            <w:left w:val="none" w:sz="0" w:space="0" w:color="auto"/>
            <w:bottom w:val="none" w:sz="0" w:space="0" w:color="auto"/>
            <w:right w:val="none" w:sz="0" w:space="0" w:color="auto"/>
          </w:divBdr>
        </w:div>
        <w:div w:id="200673217">
          <w:marLeft w:val="0"/>
          <w:marRight w:val="0"/>
          <w:marTop w:val="0"/>
          <w:marBottom w:val="0"/>
          <w:divBdr>
            <w:top w:val="none" w:sz="0" w:space="0" w:color="auto"/>
            <w:left w:val="none" w:sz="0" w:space="0" w:color="auto"/>
            <w:bottom w:val="none" w:sz="0" w:space="0" w:color="auto"/>
            <w:right w:val="none" w:sz="0" w:space="0" w:color="auto"/>
          </w:divBdr>
        </w:div>
        <w:div w:id="206066131">
          <w:marLeft w:val="0"/>
          <w:marRight w:val="0"/>
          <w:marTop w:val="0"/>
          <w:marBottom w:val="0"/>
          <w:divBdr>
            <w:top w:val="none" w:sz="0" w:space="0" w:color="auto"/>
            <w:left w:val="none" w:sz="0" w:space="0" w:color="auto"/>
            <w:bottom w:val="none" w:sz="0" w:space="0" w:color="auto"/>
            <w:right w:val="none" w:sz="0" w:space="0" w:color="auto"/>
          </w:divBdr>
        </w:div>
        <w:div w:id="212547486">
          <w:marLeft w:val="0"/>
          <w:marRight w:val="0"/>
          <w:marTop w:val="0"/>
          <w:marBottom w:val="0"/>
          <w:divBdr>
            <w:top w:val="none" w:sz="0" w:space="0" w:color="auto"/>
            <w:left w:val="none" w:sz="0" w:space="0" w:color="auto"/>
            <w:bottom w:val="none" w:sz="0" w:space="0" w:color="auto"/>
            <w:right w:val="none" w:sz="0" w:space="0" w:color="auto"/>
          </w:divBdr>
        </w:div>
        <w:div w:id="214703557">
          <w:marLeft w:val="0"/>
          <w:marRight w:val="0"/>
          <w:marTop w:val="0"/>
          <w:marBottom w:val="0"/>
          <w:divBdr>
            <w:top w:val="none" w:sz="0" w:space="0" w:color="auto"/>
            <w:left w:val="none" w:sz="0" w:space="0" w:color="auto"/>
            <w:bottom w:val="none" w:sz="0" w:space="0" w:color="auto"/>
            <w:right w:val="none" w:sz="0" w:space="0" w:color="auto"/>
          </w:divBdr>
        </w:div>
        <w:div w:id="219097411">
          <w:marLeft w:val="0"/>
          <w:marRight w:val="0"/>
          <w:marTop w:val="0"/>
          <w:marBottom w:val="0"/>
          <w:divBdr>
            <w:top w:val="none" w:sz="0" w:space="0" w:color="auto"/>
            <w:left w:val="none" w:sz="0" w:space="0" w:color="auto"/>
            <w:bottom w:val="none" w:sz="0" w:space="0" w:color="auto"/>
            <w:right w:val="none" w:sz="0" w:space="0" w:color="auto"/>
          </w:divBdr>
        </w:div>
        <w:div w:id="219559501">
          <w:marLeft w:val="0"/>
          <w:marRight w:val="0"/>
          <w:marTop w:val="0"/>
          <w:marBottom w:val="0"/>
          <w:divBdr>
            <w:top w:val="none" w:sz="0" w:space="0" w:color="auto"/>
            <w:left w:val="none" w:sz="0" w:space="0" w:color="auto"/>
            <w:bottom w:val="none" w:sz="0" w:space="0" w:color="auto"/>
            <w:right w:val="none" w:sz="0" w:space="0" w:color="auto"/>
          </w:divBdr>
        </w:div>
        <w:div w:id="220869090">
          <w:marLeft w:val="0"/>
          <w:marRight w:val="0"/>
          <w:marTop w:val="0"/>
          <w:marBottom w:val="0"/>
          <w:divBdr>
            <w:top w:val="none" w:sz="0" w:space="0" w:color="auto"/>
            <w:left w:val="none" w:sz="0" w:space="0" w:color="auto"/>
            <w:bottom w:val="none" w:sz="0" w:space="0" w:color="auto"/>
            <w:right w:val="none" w:sz="0" w:space="0" w:color="auto"/>
          </w:divBdr>
        </w:div>
        <w:div w:id="244458222">
          <w:marLeft w:val="0"/>
          <w:marRight w:val="0"/>
          <w:marTop w:val="0"/>
          <w:marBottom w:val="0"/>
          <w:divBdr>
            <w:top w:val="none" w:sz="0" w:space="0" w:color="auto"/>
            <w:left w:val="none" w:sz="0" w:space="0" w:color="auto"/>
            <w:bottom w:val="none" w:sz="0" w:space="0" w:color="auto"/>
            <w:right w:val="none" w:sz="0" w:space="0" w:color="auto"/>
          </w:divBdr>
        </w:div>
        <w:div w:id="248270983">
          <w:marLeft w:val="0"/>
          <w:marRight w:val="0"/>
          <w:marTop w:val="0"/>
          <w:marBottom w:val="0"/>
          <w:divBdr>
            <w:top w:val="none" w:sz="0" w:space="0" w:color="auto"/>
            <w:left w:val="none" w:sz="0" w:space="0" w:color="auto"/>
            <w:bottom w:val="none" w:sz="0" w:space="0" w:color="auto"/>
            <w:right w:val="none" w:sz="0" w:space="0" w:color="auto"/>
          </w:divBdr>
        </w:div>
        <w:div w:id="251360520">
          <w:marLeft w:val="0"/>
          <w:marRight w:val="0"/>
          <w:marTop w:val="0"/>
          <w:marBottom w:val="0"/>
          <w:divBdr>
            <w:top w:val="none" w:sz="0" w:space="0" w:color="auto"/>
            <w:left w:val="none" w:sz="0" w:space="0" w:color="auto"/>
            <w:bottom w:val="none" w:sz="0" w:space="0" w:color="auto"/>
            <w:right w:val="none" w:sz="0" w:space="0" w:color="auto"/>
          </w:divBdr>
        </w:div>
        <w:div w:id="263421763">
          <w:marLeft w:val="0"/>
          <w:marRight w:val="0"/>
          <w:marTop w:val="0"/>
          <w:marBottom w:val="0"/>
          <w:divBdr>
            <w:top w:val="none" w:sz="0" w:space="0" w:color="auto"/>
            <w:left w:val="none" w:sz="0" w:space="0" w:color="auto"/>
            <w:bottom w:val="none" w:sz="0" w:space="0" w:color="auto"/>
            <w:right w:val="none" w:sz="0" w:space="0" w:color="auto"/>
          </w:divBdr>
        </w:div>
        <w:div w:id="298342897">
          <w:marLeft w:val="0"/>
          <w:marRight w:val="0"/>
          <w:marTop w:val="0"/>
          <w:marBottom w:val="0"/>
          <w:divBdr>
            <w:top w:val="none" w:sz="0" w:space="0" w:color="auto"/>
            <w:left w:val="none" w:sz="0" w:space="0" w:color="auto"/>
            <w:bottom w:val="none" w:sz="0" w:space="0" w:color="auto"/>
            <w:right w:val="none" w:sz="0" w:space="0" w:color="auto"/>
          </w:divBdr>
          <w:divsChild>
            <w:div w:id="328212354">
              <w:marLeft w:val="0"/>
              <w:marRight w:val="0"/>
              <w:marTop w:val="0"/>
              <w:marBottom w:val="0"/>
              <w:divBdr>
                <w:top w:val="none" w:sz="0" w:space="0" w:color="auto"/>
                <w:left w:val="none" w:sz="0" w:space="0" w:color="auto"/>
                <w:bottom w:val="none" w:sz="0" w:space="0" w:color="auto"/>
                <w:right w:val="none" w:sz="0" w:space="0" w:color="auto"/>
              </w:divBdr>
            </w:div>
            <w:div w:id="375273671">
              <w:marLeft w:val="0"/>
              <w:marRight w:val="0"/>
              <w:marTop w:val="0"/>
              <w:marBottom w:val="0"/>
              <w:divBdr>
                <w:top w:val="none" w:sz="0" w:space="0" w:color="auto"/>
                <w:left w:val="none" w:sz="0" w:space="0" w:color="auto"/>
                <w:bottom w:val="none" w:sz="0" w:space="0" w:color="auto"/>
                <w:right w:val="none" w:sz="0" w:space="0" w:color="auto"/>
              </w:divBdr>
            </w:div>
            <w:div w:id="576403911">
              <w:marLeft w:val="0"/>
              <w:marRight w:val="0"/>
              <w:marTop w:val="0"/>
              <w:marBottom w:val="0"/>
              <w:divBdr>
                <w:top w:val="none" w:sz="0" w:space="0" w:color="auto"/>
                <w:left w:val="none" w:sz="0" w:space="0" w:color="auto"/>
                <w:bottom w:val="none" w:sz="0" w:space="0" w:color="auto"/>
                <w:right w:val="none" w:sz="0" w:space="0" w:color="auto"/>
              </w:divBdr>
            </w:div>
            <w:div w:id="663777102">
              <w:marLeft w:val="0"/>
              <w:marRight w:val="0"/>
              <w:marTop w:val="0"/>
              <w:marBottom w:val="0"/>
              <w:divBdr>
                <w:top w:val="none" w:sz="0" w:space="0" w:color="auto"/>
                <w:left w:val="none" w:sz="0" w:space="0" w:color="auto"/>
                <w:bottom w:val="none" w:sz="0" w:space="0" w:color="auto"/>
                <w:right w:val="none" w:sz="0" w:space="0" w:color="auto"/>
              </w:divBdr>
            </w:div>
            <w:div w:id="673801374">
              <w:marLeft w:val="0"/>
              <w:marRight w:val="0"/>
              <w:marTop w:val="0"/>
              <w:marBottom w:val="0"/>
              <w:divBdr>
                <w:top w:val="none" w:sz="0" w:space="0" w:color="auto"/>
                <w:left w:val="none" w:sz="0" w:space="0" w:color="auto"/>
                <w:bottom w:val="none" w:sz="0" w:space="0" w:color="auto"/>
                <w:right w:val="none" w:sz="0" w:space="0" w:color="auto"/>
              </w:divBdr>
            </w:div>
            <w:div w:id="710230232">
              <w:marLeft w:val="0"/>
              <w:marRight w:val="0"/>
              <w:marTop w:val="0"/>
              <w:marBottom w:val="0"/>
              <w:divBdr>
                <w:top w:val="none" w:sz="0" w:space="0" w:color="auto"/>
                <w:left w:val="none" w:sz="0" w:space="0" w:color="auto"/>
                <w:bottom w:val="none" w:sz="0" w:space="0" w:color="auto"/>
                <w:right w:val="none" w:sz="0" w:space="0" w:color="auto"/>
              </w:divBdr>
            </w:div>
            <w:div w:id="835415295">
              <w:marLeft w:val="0"/>
              <w:marRight w:val="0"/>
              <w:marTop w:val="0"/>
              <w:marBottom w:val="0"/>
              <w:divBdr>
                <w:top w:val="none" w:sz="0" w:space="0" w:color="auto"/>
                <w:left w:val="none" w:sz="0" w:space="0" w:color="auto"/>
                <w:bottom w:val="none" w:sz="0" w:space="0" w:color="auto"/>
                <w:right w:val="none" w:sz="0" w:space="0" w:color="auto"/>
              </w:divBdr>
            </w:div>
            <w:div w:id="875852856">
              <w:marLeft w:val="0"/>
              <w:marRight w:val="0"/>
              <w:marTop w:val="0"/>
              <w:marBottom w:val="0"/>
              <w:divBdr>
                <w:top w:val="none" w:sz="0" w:space="0" w:color="auto"/>
                <w:left w:val="none" w:sz="0" w:space="0" w:color="auto"/>
                <w:bottom w:val="none" w:sz="0" w:space="0" w:color="auto"/>
                <w:right w:val="none" w:sz="0" w:space="0" w:color="auto"/>
              </w:divBdr>
            </w:div>
            <w:div w:id="921839550">
              <w:marLeft w:val="0"/>
              <w:marRight w:val="0"/>
              <w:marTop w:val="0"/>
              <w:marBottom w:val="0"/>
              <w:divBdr>
                <w:top w:val="none" w:sz="0" w:space="0" w:color="auto"/>
                <w:left w:val="none" w:sz="0" w:space="0" w:color="auto"/>
                <w:bottom w:val="none" w:sz="0" w:space="0" w:color="auto"/>
                <w:right w:val="none" w:sz="0" w:space="0" w:color="auto"/>
              </w:divBdr>
            </w:div>
            <w:div w:id="980380748">
              <w:marLeft w:val="0"/>
              <w:marRight w:val="0"/>
              <w:marTop w:val="0"/>
              <w:marBottom w:val="0"/>
              <w:divBdr>
                <w:top w:val="none" w:sz="0" w:space="0" w:color="auto"/>
                <w:left w:val="none" w:sz="0" w:space="0" w:color="auto"/>
                <w:bottom w:val="none" w:sz="0" w:space="0" w:color="auto"/>
                <w:right w:val="none" w:sz="0" w:space="0" w:color="auto"/>
              </w:divBdr>
            </w:div>
            <w:div w:id="1075206862">
              <w:marLeft w:val="0"/>
              <w:marRight w:val="0"/>
              <w:marTop w:val="0"/>
              <w:marBottom w:val="0"/>
              <w:divBdr>
                <w:top w:val="none" w:sz="0" w:space="0" w:color="auto"/>
                <w:left w:val="none" w:sz="0" w:space="0" w:color="auto"/>
                <w:bottom w:val="none" w:sz="0" w:space="0" w:color="auto"/>
                <w:right w:val="none" w:sz="0" w:space="0" w:color="auto"/>
              </w:divBdr>
            </w:div>
            <w:div w:id="1191837740">
              <w:marLeft w:val="0"/>
              <w:marRight w:val="0"/>
              <w:marTop w:val="0"/>
              <w:marBottom w:val="0"/>
              <w:divBdr>
                <w:top w:val="none" w:sz="0" w:space="0" w:color="auto"/>
                <w:left w:val="none" w:sz="0" w:space="0" w:color="auto"/>
                <w:bottom w:val="none" w:sz="0" w:space="0" w:color="auto"/>
                <w:right w:val="none" w:sz="0" w:space="0" w:color="auto"/>
              </w:divBdr>
            </w:div>
            <w:div w:id="1218514047">
              <w:marLeft w:val="0"/>
              <w:marRight w:val="0"/>
              <w:marTop w:val="0"/>
              <w:marBottom w:val="0"/>
              <w:divBdr>
                <w:top w:val="none" w:sz="0" w:space="0" w:color="auto"/>
                <w:left w:val="none" w:sz="0" w:space="0" w:color="auto"/>
                <w:bottom w:val="none" w:sz="0" w:space="0" w:color="auto"/>
                <w:right w:val="none" w:sz="0" w:space="0" w:color="auto"/>
              </w:divBdr>
            </w:div>
            <w:div w:id="1259748515">
              <w:marLeft w:val="0"/>
              <w:marRight w:val="0"/>
              <w:marTop w:val="0"/>
              <w:marBottom w:val="0"/>
              <w:divBdr>
                <w:top w:val="none" w:sz="0" w:space="0" w:color="auto"/>
                <w:left w:val="none" w:sz="0" w:space="0" w:color="auto"/>
                <w:bottom w:val="none" w:sz="0" w:space="0" w:color="auto"/>
                <w:right w:val="none" w:sz="0" w:space="0" w:color="auto"/>
              </w:divBdr>
            </w:div>
            <w:div w:id="1940138418">
              <w:marLeft w:val="0"/>
              <w:marRight w:val="0"/>
              <w:marTop w:val="0"/>
              <w:marBottom w:val="0"/>
              <w:divBdr>
                <w:top w:val="none" w:sz="0" w:space="0" w:color="auto"/>
                <w:left w:val="none" w:sz="0" w:space="0" w:color="auto"/>
                <w:bottom w:val="none" w:sz="0" w:space="0" w:color="auto"/>
                <w:right w:val="none" w:sz="0" w:space="0" w:color="auto"/>
              </w:divBdr>
            </w:div>
            <w:div w:id="1969892912">
              <w:marLeft w:val="0"/>
              <w:marRight w:val="0"/>
              <w:marTop w:val="0"/>
              <w:marBottom w:val="0"/>
              <w:divBdr>
                <w:top w:val="none" w:sz="0" w:space="0" w:color="auto"/>
                <w:left w:val="none" w:sz="0" w:space="0" w:color="auto"/>
                <w:bottom w:val="none" w:sz="0" w:space="0" w:color="auto"/>
                <w:right w:val="none" w:sz="0" w:space="0" w:color="auto"/>
              </w:divBdr>
            </w:div>
            <w:div w:id="1996254648">
              <w:marLeft w:val="0"/>
              <w:marRight w:val="0"/>
              <w:marTop w:val="0"/>
              <w:marBottom w:val="0"/>
              <w:divBdr>
                <w:top w:val="none" w:sz="0" w:space="0" w:color="auto"/>
                <w:left w:val="none" w:sz="0" w:space="0" w:color="auto"/>
                <w:bottom w:val="none" w:sz="0" w:space="0" w:color="auto"/>
                <w:right w:val="none" w:sz="0" w:space="0" w:color="auto"/>
              </w:divBdr>
            </w:div>
            <w:div w:id="2003770929">
              <w:marLeft w:val="0"/>
              <w:marRight w:val="0"/>
              <w:marTop w:val="0"/>
              <w:marBottom w:val="0"/>
              <w:divBdr>
                <w:top w:val="none" w:sz="0" w:space="0" w:color="auto"/>
                <w:left w:val="none" w:sz="0" w:space="0" w:color="auto"/>
                <w:bottom w:val="none" w:sz="0" w:space="0" w:color="auto"/>
                <w:right w:val="none" w:sz="0" w:space="0" w:color="auto"/>
              </w:divBdr>
            </w:div>
            <w:div w:id="2050959284">
              <w:marLeft w:val="0"/>
              <w:marRight w:val="0"/>
              <w:marTop w:val="0"/>
              <w:marBottom w:val="0"/>
              <w:divBdr>
                <w:top w:val="none" w:sz="0" w:space="0" w:color="auto"/>
                <w:left w:val="none" w:sz="0" w:space="0" w:color="auto"/>
                <w:bottom w:val="none" w:sz="0" w:space="0" w:color="auto"/>
                <w:right w:val="none" w:sz="0" w:space="0" w:color="auto"/>
              </w:divBdr>
            </w:div>
            <w:div w:id="2071540189">
              <w:marLeft w:val="0"/>
              <w:marRight w:val="0"/>
              <w:marTop w:val="0"/>
              <w:marBottom w:val="0"/>
              <w:divBdr>
                <w:top w:val="none" w:sz="0" w:space="0" w:color="auto"/>
                <w:left w:val="none" w:sz="0" w:space="0" w:color="auto"/>
                <w:bottom w:val="none" w:sz="0" w:space="0" w:color="auto"/>
                <w:right w:val="none" w:sz="0" w:space="0" w:color="auto"/>
              </w:divBdr>
            </w:div>
          </w:divsChild>
        </w:div>
        <w:div w:id="299195793">
          <w:marLeft w:val="0"/>
          <w:marRight w:val="0"/>
          <w:marTop w:val="0"/>
          <w:marBottom w:val="0"/>
          <w:divBdr>
            <w:top w:val="none" w:sz="0" w:space="0" w:color="auto"/>
            <w:left w:val="none" w:sz="0" w:space="0" w:color="auto"/>
            <w:bottom w:val="none" w:sz="0" w:space="0" w:color="auto"/>
            <w:right w:val="none" w:sz="0" w:space="0" w:color="auto"/>
          </w:divBdr>
          <w:divsChild>
            <w:div w:id="851526898">
              <w:marLeft w:val="-75"/>
              <w:marRight w:val="0"/>
              <w:marTop w:val="30"/>
              <w:marBottom w:val="30"/>
              <w:divBdr>
                <w:top w:val="none" w:sz="0" w:space="0" w:color="auto"/>
                <w:left w:val="none" w:sz="0" w:space="0" w:color="auto"/>
                <w:bottom w:val="none" w:sz="0" w:space="0" w:color="auto"/>
                <w:right w:val="none" w:sz="0" w:space="0" w:color="auto"/>
              </w:divBdr>
              <w:divsChild>
                <w:div w:id="75051864">
                  <w:marLeft w:val="0"/>
                  <w:marRight w:val="0"/>
                  <w:marTop w:val="0"/>
                  <w:marBottom w:val="0"/>
                  <w:divBdr>
                    <w:top w:val="none" w:sz="0" w:space="0" w:color="auto"/>
                    <w:left w:val="none" w:sz="0" w:space="0" w:color="auto"/>
                    <w:bottom w:val="none" w:sz="0" w:space="0" w:color="auto"/>
                    <w:right w:val="none" w:sz="0" w:space="0" w:color="auto"/>
                  </w:divBdr>
                  <w:divsChild>
                    <w:div w:id="1406953386">
                      <w:marLeft w:val="0"/>
                      <w:marRight w:val="0"/>
                      <w:marTop w:val="0"/>
                      <w:marBottom w:val="0"/>
                      <w:divBdr>
                        <w:top w:val="none" w:sz="0" w:space="0" w:color="auto"/>
                        <w:left w:val="none" w:sz="0" w:space="0" w:color="auto"/>
                        <w:bottom w:val="none" w:sz="0" w:space="0" w:color="auto"/>
                        <w:right w:val="none" w:sz="0" w:space="0" w:color="auto"/>
                      </w:divBdr>
                    </w:div>
                  </w:divsChild>
                </w:div>
                <w:div w:id="83497141">
                  <w:marLeft w:val="0"/>
                  <w:marRight w:val="0"/>
                  <w:marTop w:val="0"/>
                  <w:marBottom w:val="0"/>
                  <w:divBdr>
                    <w:top w:val="none" w:sz="0" w:space="0" w:color="auto"/>
                    <w:left w:val="none" w:sz="0" w:space="0" w:color="auto"/>
                    <w:bottom w:val="none" w:sz="0" w:space="0" w:color="auto"/>
                    <w:right w:val="none" w:sz="0" w:space="0" w:color="auto"/>
                  </w:divBdr>
                  <w:divsChild>
                    <w:div w:id="347948334">
                      <w:marLeft w:val="0"/>
                      <w:marRight w:val="0"/>
                      <w:marTop w:val="0"/>
                      <w:marBottom w:val="0"/>
                      <w:divBdr>
                        <w:top w:val="none" w:sz="0" w:space="0" w:color="auto"/>
                        <w:left w:val="none" w:sz="0" w:space="0" w:color="auto"/>
                        <w:bottom w:val="none" w:sz="0" w:space="0" w:color="auto"/>
                        <w:right w:val="none" w:sz="0" w:space="0" w:color="auto"/>
                      </w:divBdr>
                    </w:div>
                  </w:divsChild>
                </w:div>
                <w:div w:id="126550136">
                  <w:marLeft w:val="0"/>
                  <w:marRight w:val="0"/>
                  <w:marTop w:val="0"/>
                  <w:marBottom w:val="0"/>
                  <w:divBdr>
                    <w:top w:val="none" w:sz="0" w:space="0" w:color="auto"/>
                    <w:left w:val="none" w:sz="0" w:space="0" w:color="auto"/>
                    <w:bottom w:val="none" w:sz="0" w:space="0" w:color="auto"/>
                    <w:right w:val="none" w:sz="0" w:space="0" w:color="auto"/>
                  </w:divBdr>
                  <w:divsChild>
                    <w:div w:id="139539086">
                      <w:marLeft w:val="0"/>
                      <w:marRight w:val="0"/>
                      <w:marTop w:val="0"/>
                      <w:marBottom w:val="0"/>
                      <w:divBdr>
                        <w:top w:val="none" w:sz="0" w:space="0" w:color="auto"/>
                        <w:left w:val="none" w:sz="0" w:space="0" w:color="auto"/>
                        <w:bottom w:val="none" w:sz="0" w:space="0" w:color="auto"/>
                        <w:right w:val="none" w:sz="0" w:space="0" w:color="auto"/>
                      </w:divBdr>
                    </w:div>
                  </w:divsChild>
                </w:div>
                <w:div w:id="242879344">
                  <w:marLeft w:val="0"/>
                  <w:marRight w:val="0"/>
                  <w:marTop w:val="0"/>
                  <w:marBottom w:val="0"/>
                  <w:divBdr>
                    <w:top w:val="none" w:sz="0" w:space="0" w:color="auto"/>
                    <w:left w:val="none" w:sz="0" w:space="0" w:color="auto"/>
                    <w:bottom w:val="none" w:sz="0" w:space="0" w:color="auto"/>
                    <w:right w:val="none" w:sz="0" w:space="0" w:color="auto"/>
                  </w:divBdr>
                  <w:divsChild>
                    <w:div w:id="1287932430">
                      <w:marLeft w:val="0"/>
                      <w:marRight w:val="0"/>
                      <w:marTop w:val="0"/>
                      <w:marBottom w:val="0"/>
                      <w:divBdr>
                        <w:top w:val="none" w:sz="0" w:space="0" w:color="auto"/>
                        <w:left w:val="none" w:sz="0" w:space="0" w:color="auto"/>
                        <w:bottom w:val="none" w:sz="0" w:space="0" w:color="auto"/>
                        <w:right w:val="none" w:sz="0" w:space="0" w:color="auto"/>
                      </w:divBdr>
                    </w:div>
                  </w:divsChild>
                </w:div>
                <w:div w:id="306250071">
                  <w:marLeft w:val="0"/>
                  <w:marRight w:val="0"/>
                  <w:marTop w:val="0"/>
                  <w:marBottom w:val="0"/>
                  <w:divBdr>
                    <w:top w:val="none" w:sz="0" w:space="0" w:color="auto"/>
                    <w:left w:val="none" w:sz="0" w:space="0" w:color="auto"/>
                    <w:bottom w:val="none" w:sz="0" w:space="0" w:color="auto"/>
                    <w:right w:val="none" w:sz="0" w:space="0" w:color="auto"/>
                  </w:divBdr>
                  <w:divsChild>
                    <w:div w:id="288516591">
                      <w:marLeft w:val="0"/>
                      <w:marRight w:val="0"/>
                      <w:marTop w:val="0"/>
                      <w:marBottom w:val="0"/>
                      <w:divBdr>
                        <w:top w:val="none" w:sz="0" w:space="0" w:color="auto"/>
                        <w:left w:val="none" w:sz="0" w:space="0" w:color="auto"/>
                        <w:bottom w:val="none" w:sz="0" w:space="0" w:color="auto"/>
                        <w:right w:val="none" w:sz="0" w:space="0" w:color="auto"/>
                      </w:divBdr>
                    </w:div>
                  </w:divsChild>
                </w:div>
                <w:div w:id="391008811">
                  <w:marLeft w:val="0"/>
                  <w:marRight w:val="0"/>
                  <w:marTop w:val="0"/>
                  <w:marBottom w:val="0"/>
                  <w:divBdr>
                    <w:top w:val="none" w:sz="0" w:space="0" w:color="auto"/>
                    <w:left w:val="none" w:sz="0" w:space="0" w:color="auto"/>
                    <w:bottom w:val="none" w:sz="0" w:space="0" w:color="auto"/>
                    <w:right w:val="none" w:sz="0" w:space="0" w:color="auto"/>
                  </w:divBdr>
                  <w:divsChild>
                    <w:div w:id="1004624352">
                      <w:marLeft w:val="0"/>
                      <w:marRight w:val="0"/>
                      <w:marTop w:val="0"/>
                      <w:marBottom w:val="0"/>
                      <w:divBdr>
                        <w:top w:val="none" w:sz="0" w:space="0" w:color="auto"/>
                        <w:left w:val="none" w:sz="0" w:space="0" w:color="auto"/>
                        <w:bottom w:val="none" w:sz="0" w:space="0" w:color="auto"/>
                        <w:right w:val="none" w:sz="0" w:space="0" w:color="auto"/>
                      </w:divBdr>
                    </w:div>
                  </w:divsChild>
                </w:div>
                <w:div w:id="473916213">
                  <w:marLeft w:val="0"/>
                  <w:marRight w:val="0"/>
                  <w:marTop w:val="0"/>
                  <w:marBottom w:val="0"/>
                  <w:divBdr>
                    <w:top w:val="none" w:sz="0" w:space="0" w:color="auto"/>
                    <w:left w:val="none" w:sz="0" w:space="0" w:color="auto"/>
                    <w:bottom w:val="none" w:sz="0" w:space="0" w:color="auto"/>
                    <w:right w:val="none" w:sz="0" w:space="0" w:color="auto"/>
                  </w:divBdr>
                  <w:divsChild>
                    <w:div w:id="2142533768">
                      <w:marLeft w:val="0"/>
                      <w:marRight w:val="0"/>
                      <w:marTop w:val="0"/>
                      <w:marBottom w:val="0"/>
                      <w:divBdr>
                        <w:top w:val="none" w:sz="0" w:space="0" w:color="auto"/>
                        <w:left w:val="none" w:sz="0" w:space="0" w:color="auto"/>
                        <w:bottom w:val="none" w:sz="0" w:space="0" w:color="auto"/>
                        <w:right w:val="none" w:sz="0" w:space="0" w:color="auto"/>
                      </w:divBdr>
                    </w:div>
                  </w:divsChild>
                </w:div>
                <w:div w:id="505946907">
                  <w:marLeft w:val="0"/>
                  <w:marRight w:val="0"/>
                  <w:marTop w:val="0"/>
                  <w:marBottom w:val="0"/>
                  <w:divBdr>
                    <w:top w:val="none" w:sz="0" w:space="0" w:color="auto"/>
                    <w:left w:val="none" w:sz="0" w:space="0" w:color="auto"/>
                    <w:bottom w:val="none" w:sz="0" w:space="0" w:color="auto"/>
                    <w:right w:val="none" w:sz="0" w:space="0" w:color="auto"/>
                  </w:divBdr>
                  <w:divsChild>
                    <w:div w:id="2057240897">
                      <w:marLeft w:val="0"/>
                      <w:marRight w:val="0"/>
                      <w:marTop w:val="0"/>
                      <w:marBottom w:val="0"/>
                      <w:divBdr>
                        <w:top w:val="none" w:sz="0" w:space="0" w:color="auto"/>
                        <w:left w:val="none" w:sz="0" w:space="0" w:color="auto"/>
                        <w:bottom w:val="none" w:sz="0" w:space="0" w:color="auto"/>
                        <w:right w:val="none" w:sz="0" w:space="0" w:color="auto"/>
                      </w:divBdr>
                    </w:div>
                  </w:divsChild>
                </w:div>
                <w:div w:id="534579601">
                  <w:marLeft w:val="0"/>
                  <w:marRight w:val="0"/>
                  <w:marTop w:val="0"/>
                  <w:marBottom w:val="0"/>
                  <w:divBdr>
                    <w:top w:val="none" w:sz="0" w:space="0" w:color="auto"/>
                    <w:left w:val="none" w:sz="0" w:space="0" w:color="auto"/>
                    <w:bottom w:val="none" w:sz="0" w:space="0" w:color="auto"/>
                    <w:right w:val="none" w:sz="0" w:space="0" w:color="auto"/>
                  </w:divBdr>
                  <w:divsChild>
                    <w:div w:id="1348868152">
                      <w:marLeft w:val="0"/>
                      <w:marRight w:val="0"/>
                      <w:marTop w:val="0"/>
                      <w:marBottom w:val="0"/>
                      <w:divBdr>
                        <w:top w:val="none" w:sz="0" w:space="0" w:color="auto"/>
                        <w:left w:val="none" w:sz="0" w:space="0" w:color="auto"/>
                        <w:bottom w:val="none" w:sz="0" w:space="0" w:color="auto"/>
                        <w:right w:val="none" w:sz="0" w:space="0" w:color="auto"/>
                      </w:divBdr>
                    </w:div>
                  </w:divsChild>
                </w:div>
                <w:div w:id="614337138">
                  <w:marLeft w:val="0"/>
                  <w:marRight w:val="0"/>
                  <w:marTop w:val="0"/>
                  <w:marBottom w:val="0"/>
                  <w:divBdr>
                    <w:top w:val="none" w:sz="0" w:space="0" w:color="auto"/>
                    <w:left w:val="none" w:sz="0" w:space="0" w:color="auto"/>
                    <w:bottom w:val="none" w:sz="0" w:space="0" w:color="auto"/>
                    <w:right w:val="none" w:sz="0" w:space="0" w:color="auto"/>
                  </w:divBdr>
                  <w:divsChild>
                    <w:div w:id="1081180046">
                      <w:marLeft w:val="0"/>
                      <w:marRight w:val="0"/>
                      <w:marTop w:val="0"/>
                      <w:marBottom w:val="0"/>
                      <w:divBdr>
                        <w:top w:val="none" w:sz="0" w:space="0" w:color="auto"/>
                        <w:left w:val="none" w:sz="0" w:space="0" w:color="auto"/>
                        <w:bottom w:val="none" w:sz="0" w:space="0" w:color="auto"/>
                        <w:right w:val="none" w:sz="0" w:space="0" w:color="auto"/>
                      </w:divBdr>
                    </w:div>
                  </w:divsChild>
                </w:div>
                <w:div w:id="704912059">
                  <w:marLeft w:val="0"/>
                  <w:marRight w:val="0"/>
                  <w:marTop w:val="0"/>
                  <w:marBottom w:val="0"/>
                  <w:divBdr>
                    <w:top w:val="none" w:sz="0" w:space="0" w:color="auto"/>
                    <w:left w:val="none" w:sz="0" w:space="0" w:color="auto"/>
                    <w:bottom w:val="none" w:sz="0" w:space="0" w:color="auto"/>
                    <w:right w:val="none" w:sz="0" w:space="0" w:color="auto"/>
                  </w:divBdr>
                  <w:divsChild>
                    <w:div w:id="1789157390">
                      <w:marLeft w:val="0"/>
                      <w:marRight w:val="0"/>
                      <w:marTop w:val="0"/>
                      <w:marBottom w:val="0"/>
                      <w:divBdr>
                        <w:top w:val="none" w:sz="0" w:space="0" w:color="auto"/>
                        <w:left w:val="none" w:sz="0" w:space="0" w:color="auto"/>
                        <w:bottom w:val="none" w:sz="0" w:space="0" w:color="auto"/>
                        <w:right w:val="none" w:sz="0" w:space="0" w:color="auto"/>
                      </w:divBdr>
                    </w:div>
                  </w:divsChild>
                </w:div>
                <w:div w:id="793864929">
                  <w:marLeft w:val="0"/>
                  <w:marRight w:val="0"/>
                  <w:marTop w:val="0"/>
                  <w:marBottom w:val="0"/>
                  <w:divBdr>
                    <w:top w:val="none" w:sz="0" w:space="0" w:color="auto"/>
                    <w:left w:val="none" w:sz="0" w:space="0" w:color="auto"/>
                    <w:bottom w:val="none" w:sz="0" w:space="0" w:color="auto"/>
                    <w:right w:val="none" w:sz="0" w:space="0" w:color="auto"/>
                  </w:divBdr>
                  <w:divsChild>
                    <w:div w:id="1744983838">
                      <w:marLeft w:val="0"/>
                      <w:marRight w:val="0"/>
                      <w:marTop w:val="0"/>
                      <w:marBottom w:val="0"/>
                      <w:divBdr>
                        <w:top w:val="none" w:sz="0" w:space="0" w:color="auto"/>
                        <w:left w:val="none" w:sz="0" w:space="0" w:color="auto"/>
                        <w:bottom w:val="none" w:sz="0" w:space="0" w:color="auto"/>
                        <w:right w:val="none" w:sz="0" w:space="0" w:color="auto"/>
                      </w:divBdr>
                    </w:div>
                  </w:divsChild>
                </w:div>
                <w:div w:id="1004673691">
                  <w:marLeft w:val="0"/>
                  <w:marRight w:val="0"/>
                  <w:marTop w:val="0"/>
                  <w:marBottom w:val="0"/>
                  <w:divBdr>
                    <w:top w:val="none" w:sz="0" w:space="0" w:color="auto"/>
                    <w:left w:val="none" w:sz="0" w:space="0" w:color="auto"/>
                    <w:bottom w:val="none" w:sz="0" w:space="0" w:color="auto"/>
                    <w:right w:val="none" w:sz="0" w:space="0" w:color="auto"/>
                  </w:divBdr>
                  <w:divsChild>
                    <w:div w:id="1433671239">
                      <w:marLeft w:val="0"/>
                      <w:marRight w:val="0"/>
                      <w:marTop w:val="0"/>
                      <w:marBottom w:val="0"/>
                      <w:divBdr>
                        <w:top w:val="none" w:sz="0" w:space="0" w:color="auto"/>
                        <w:left w:val="none" w:sz="0" w:space="0" w:color="auto"/>
                        <w:bottom w:val="none" w:sz="0" w:space="0" w:color="auto"/>
                        <w:right w:val="none" w:sz="0" w:space="0" w:color="auto"/>
                      </w:divBdr>
                    </w:div>
                  </w:divsChild>
                </w:div>
                <w:div w:id="1025519066">
                  <w:marLeft w:val="0"/>
                  <w:marRight w:val="0"/>
                  <w:marTop w:val="0"/>
                  <w:marBottom w:val="0"/>
                  <w:divBdr>
                    <w:top w:val="none" w:sz="0" w:space="0" w:color="auto"/>
                    <w:left w:val="none" w:sz="0" w:space="0" w:color="auto"/>
                    <w:bottom w:val="none" w:sz="0" w:space="0" w:color="auto"/>
                    <w:right w:val="none" w:sz="0" w:space="0" w:color="auto"/>
                  </w:divBdr>
                  <w:divsChild>
                    <w:div w:id="1217163647">
                      <w:marLeft w:val="0"/>
                      <w:marRight w:val="0"/>
                      <w:marTop w:val="0"/>
                      <w:marBottom w:val="0"/>
                      <w:divBdr>
                        <w:top w:val="none" w:sz="0" w:space="0" w:color="auto"/>
                        <w:left w:val="none" w:sz="0" w:space="0" w:color="auto"/>
                        <w:bottom w:val="none" w:sz="0" w:space="0" w:color="auto"/>
                        <w:right w:val="none" w:sz="0" w:space="0" w:color="auto"/>
                      </w:divBdr>
                    </w:div>
                  </w:divsChild>
                </w:div>
                <w:div w:id="1044216167">
                  <w:marLeft w:val="0"/>
                  <w:marRight w:val="0"/>
                  <w:marTop w:val="0"/>
                  <w:marBottom w:val="0"/>
                  <w:divBdr>
                    <w:top w:val="none" w:sz="0" w:space="0" w:color="auto"/>
                    <w:left w:val="none" w:sz="0" w:space="0" w:color="auto"/>
                    <w:bottom w:val="none" w:sz="0" w:space="0" w:color="auto"/>
                    <w:right w:val="none" w:sz="0" w:space="0" w:color="auto"/>
                  </w:divBdr>
                  <w:divsChild>
                    <w:div w:id="935400337">
                      <w:marLeft w:val="0"/>
                      <w:marRight w:val="0"/>
                      <w:marTop w:val="0"/>
                      <w:marBottom w:val="0"/>
                      <w:divBdr>
                        <w:top w:val="none" w:sz="0" w:space="0" w:color="auto"/>
                        <w:left w:val="none" w:sz="0" w:space="0" w:color="auto"/>
                        <w:bottom w:val="none" w:sz="0" w:space="0" w:color="auto"/>
                        <w:right w:val="none" w:sz="0" w:space="0" w:color="auto"/>
                      </w:divBdr>
                    </w:div>
                  </w:divsChild>
                </w:div>
                <w:div w:id="1183058911">
                  <w:marLeft w:val="0"/>
                  <w:marRight w:val="0"/>
                  <w:marTop w:val="0"/>
                  <w:marBottom w:val="0"/>
                  <w:divBdr>
                    <w:top w:val="none" w:sz="0" w:space="0" w:color="auto"/>
                    <w:left w:val="none" w:sz="0" w:space="0" w:color="auto"/>
                    <w:bottom w:val="none" w:sz="0" w:space="0" w:color="auto"/>
                    <w:right w:val="none" w:sz="0" w:space="0" w:color="auto"/>
                  </w:divBdr>
                  <w:divsChild>
                    <w:div w:id="53895517">
                      <w:marLeft w:val="0"/>
                      <w:marRight w:val="0"/>
                      <w:marTop w:val="0"/>
                      <w:marBottom w:val="0"/>
                      <w:divBdr>
                        <w:top w:val="none" w:sz="0" w:space="0" w:color="auto"/>
                        <w:left w:val="none" w:sz="0" w:space="0" w:color="auto"/>
                        <w:bottom w:val="none" w:sz="0" w:space="0" w:color="auto"/>
                        <w:right w:val="none" w:sz="0" w:space="0" w:color="auto"/>
                      </w:divBdr>
                    </w:div>
                  </w:divsChild>
                </w:div>
                <w:div w:id="1192717922">
                  <w:marLeft w:val="0"/>
                  <w:marRight w:val="0"/>
                  <w:marTop w:val="0"/>
                  <w:marBottom w:val="0"/>
                  <w:divBdr>
                    <w:top w:val="none" w:sz="0" w:space="0" w:color="auto"/>
                    <w:left w:val="none" w:sz="0" w:space="0" w:color="auto"/>
                    <w:bottom w:val="none" w:sz="0" w:space="0" w:color="auto"/>
                    <w:right w:val="none" w:sz="0" w:space="0" w:color="auto"/>
                  </w:divBdr>
                  <w:divsChild>
                    <w:div w:id="936594142">
                      <w:marLeft w:val="0"/>
                      <w:marRight w:val="0"/>
                      <w:marTop w:val="0"/>
                      <w:marBottom w:val="0"/>
                      <w:divBdr>
                        <w:top w:val="none" w:sz="0" w:space="0" w:color="auto"/>
                        <w:left w:val="none" w:sz="0" w:space="0" w:color="auto"/>
                        <w:bottom w:val="none" w:sz="0" w:space="0" w:color="auto"/>
                        <w:right w:val="none" w:sz="0" w:space="0" w:color="auto"/>
                      </w:divBdr>
                    </w:div>
                  </w:divsChild>
                </w:div>
                <w:div w:id="1315182576">
                  <w:marLeft w:val="0"/>
                  <w:marRight w:val="0"/>
                  <w:marTop w:val="0"/>
                  <w:marBottom w:val="0"/>
                  <w:divBdr>
                    <w:top w:val="none" w:sz="0" w:space="0" w:color="auto"/>
                    <w:left w:val="none" w:sz="0" w:space="0" w:color="auto"/>
                    <w:bottom w:val="none" w:sz="0" w:space="0" w:color="auto"/>
                    <w:right w:val="none" w:sz="0" w:space="0" w:color="auto"/>
                  </w:divBdr>
                  <w:divsChild>
                    <w:div w:id="1490176761">
                      <w:marLeft w:val="0"/>
                      <w:marRight w:val="0"/>
                      <w:marTop w:val="0"/>
                      <w:marBottom w:val="0"/>
                      <w:divBdr>
                        <w:top w:val="none" w:sz="0" w:space="0" w:color="auto"/>
                        <w:left w:val="none" w:sz="0" w:space="0" w:color="auto"/>
                        <w:bottom w:val="none" w:sz="0" w:space="0" w:color="auto"/>
                        <w:right w:val="none" w:sz="0" w:space="0" w:color="auto"/>
                      </w:divBdr>
                    </w:div>
                  </w:divsChild>
                </w:div>
                <w:div w:id="1319725706">
                  <w:marLeft w:val="0"/>
                  <w:marRight w:val="0"/>
                  <w:marTop w:val="0"/>
                  <w:marBottom w:val="0"/>
                  <w:divBdr>
                    <w:top w:val="none" w:sz="0" w:space="0" w:color="auto"/>
                    <w:left w:val="none" w:sz="0" w:space="0" w:color="auto"/>
                    <w:bottom w:val="none" w:sz="0" w:space="0" w:color="auto"/>
                    <w:right w:val="none" w:sz="0" w:space="0" w:color="auto"/>
                  </w:divBdr>
                  <w:divsChild>
                    <w:div w:id="657806220">
                      <w:marLeft w:val="0"/>
                      <w:marRight w:val="0"/>
                      <w:marTop w:val="0"/>
                      <w:marBottom w:val="0"/>
                      <w:divBdr>
                        <w:top w:val="none" w:sz="0" w:space="0" w:color="auto"/>
                        <w:left w:val="none" w:sz="0" w:space="0" w:color="auto"/>
                        <w:bottom w:val="none" w:sz="0" w:space="0" w:color="auto"/>
                        <w:right w:val="none" w:sz="0" w:space="0" w:color="auto"/>
                      </w:divBdr>
                    </w:div>
                  </w:divsChild>
                </w:div>
                <w:div w:id="1336033353">
                  <w:marLeft w:val="0"/>
                  <w:marRight w:val="0"/>
                  <w:marTop w:val="0"/>
                  <w:marBottom w:val="0"/>
                  <w:divBdr>
                    <w:top w:val="none" w:sz="0" w:space="0" w:color="auto"/>
                    <w:left w:val="none" w:sz="0" w:space="0" w:color="auto"/>
                    <w:bottom w:val="none" w:sz="0" w:space="0" w:color="auto"/>
                    <w:right w:val="none" w:sz="0" w:space="0" w:color="auto"/>
                  </w:divBdr>
                  <w:divsChild>
                    <w:div w:id="2101246006">
                      <w:marLeft w:val="0"/>
                      <w:marRight w:val="0"/>
                      <w:marTop w:val="0"/>
                      <w:marBottom w:val="0"/>
                      <w:divBdr>
                        <w:top w:val="none" w:sz="0" w:space="0" w:color="auto"/>
                        <w:left w:val="none" w:sz="0" w:space="0" w:color="auto"/>
                        <w:bottom w:val="none" w:sz="0" w:space="0" w:color="auto"/>
                        <w:right w:val="none" w:sz="0" w:space="0" w:color="auto"/>
                      </w:divBdr>
                    </w:div>
                  </w:divsChild>
                </w:div>
                <w:div w:id="1357197833">
                  <w:marLeft w:val="0"/>
                  <w:marRight w:val="0"/>
                  <w:marTop w:val="0"/>
                  <w:marBottom w:val="0"/>
                  <w:divBdr>
                    <w:top w:val="none" w:sz="0" w:space="0" w:color="auto"/>
                    <w:left w:val="none" w:sz="0" w:space="0" w:color="auto"/>
                    <w:bottom w:val="none" w:sz="0" w:space="0" w:color="auto"/>
                    <w:right w:val="none" w:sz="0" w:space="0" w:color="auto"/>
                  </w:divBdr>
                  <w:divsChild>
                    <w:div w:id="1119180645">
                      <w:marLeft w:val="0"/>
                      <w:marRight w:val="0"/>
                      <w:marTop w:val="0"/>
                      <w:marBottom w:val="0"/>
                      <w:divBdr>
                        <w:top w:val="none" w:sz="0" w:space="0" w:color="auto"/>
                        <w:left w:val="none" w:sz="0" w:space="0" w:color="auto"/>
                        <w:bottom w:val="none" w:sz="0" w:space="0" w:color="auto"/>
                        <w:right w:val="none" w:sz="0" w:space="0" w:color="auto"/>
                      </w:divBdr>
                    </w:div>
                  </w:divsChild>
                </w:div>
                <w:div w:id="1421293397">
                  <w:marLeft w:val="0"/>
                  <w:marRight w:val="0"/>
                  <w:marTop w:val="0"/>
                  <w:marBottom w:val="0"/>
                  <w:divBdr>
                    <w:top w:val="none" w:sz="0" w:space="0" w:color="auto"/>
                    <w:left w:val="none" w:sz="0" w:space="0" w:color="auto"/>
                    <w:bottom w:val="none" w:sz="0" w:space="0" w:color="auto"/>
                    <w:right w:val="none" w:sz="0" w:space="0" w:color="auto"/>
                  </w:divBdr>
                  <w:divsChild>
                    <w:div w:id="557939476">
                      <w:marLeft w:val="0"/>
                      <w:marRight w:val="0"/>
                      <w:marTop w:val="0"/>
                      <w:marBottom w:val="0"/>
                      <w:divBdr>
                        <w:top w:val="none" w:sz="0" w:space="0" w:color="auto"/>
                        <w:left w:val="none" w:sz="0" w:space="0" w:color="auto"/>
                        <w:bottom w:val="none" w:sz="0" w:space="0" w:color="auto"/>
                        <w:right w:val="none" w:sz="0" w:space="0" w:color="auto"/>
                      </w:divBdr>
                    </w:div>
                  </w:divsChild>
                </w:div>
                <w:div w:id="1421953236">
                  <w:marLeft w:val="0"/>
                  <w:marRight w:val="0"/>
                  <w:marTop w:val="0"/>
                  <w:marBottom w:val="0"/>
                  <w:divBdr>
                    <w:top w:val="none" w:sz="0" w:space="0" w:color="auto"/>
                    <w:left w:val="none" w:sz="0" w:space="0" w:color="auto"/>
                    <w:bottom w:val="none" w:sz="0" w:space="0" w:color="auto"/>
                    <w:right w:val="none" w:sz="0" w:space="0" w:color="auto"/>
                  </w:divBdr>
                  <w:divsChild>
                    <w:div w:id="75901877">
                      <w:marLeft w:val="0"/>
                      <w:marRight w:val="0"/>
                      <w:marTop w:val="0"/>
                      <w:marBottom w:val="0"/>
                      <w:divBdr>
                        <w:top w:val="none" w:sz="0" w:space="0" w:color="auto"/>
                        <w:left w:val="none" w:sz="0" w:space="0" w:color="auto"/>
                        <w:bottom w:val="none" w:sz="0" w:space="0" w:color="auto"/>
                        <w:right w:val="none" w:sz="0" w:space="0" w:color="auto"/>
                      </w:divBdr>
                    </w:div>
                  </w:divsChild>
                </w:div>
                <w:div w:id="1555506892">
                  <w:marLeft w:val="0"/>
                  <w:marRight w:val="0"/>
                  <w:marTop w:val="0"/>
                  <w:marBottom w:val="0"/>
                  <w:divBdr>
                    <w:top w:val="none" w:sz="0" w:space="0" w:color="auto"/>
                    <w:left w:val="none" w:sz="0" w:space="0" w:color="auto"/>
                    <w:bottom w:val="none" w:sz="0" w:space="0" w:color="auto"/>
                    <w:right w:val="none" w:sz="0" w:space="0" w:color="auto"/>
                  </w:divBdr>
                  <w:divsChild>
                    <w:div w:id="487598839">
                      <w:marLeft w:val="0"/>
                      <w:marRight w:val="0"/>
                      <w:marTop w:val="0"/>
                      <w:marBottom w:val="0"/>
                      <w:divBdr>
                        <w:top w:val="none" w:sz="0" w:space="0" w:color="auto"/>
                        <w:left w:val="none" w:sz="0" w:space="0" w:color="auto"/>
                        <w:bottom w:val="none" w:sz="0" w:space="0" w:color="auto"/>
                        <w:right w:val="none" w:sz="0" w:space="0" w:color="auto"/>
                      </w:divBdr>
                    </w:div>
                  </w:divsChild>
                </w:div>
                <w:div w:id="1599288605">
                  <w:marLeft w:val="0"/>
                  <w:marRight w:val="0"/>
                  <w:marTop w:val="0"/>
                  <w:marBottom w:val="0"/>
                  <w:divBdr>
                    <w:top w:val="none" w:sz="0" w:space="0" w:color="auto"/>
                    <w:left w:val="none" w:sz="0" w:space="0" w:color="auto"/>
                    <w:bottom w:val="none" w:sz="0" w:space="0" w:color="auto"/>
                    <w:right w:val="none" w:sz="0" w:space="0" w:color="auto"/>
                  </w:divBdr>
                  <w:divsChild>
                    <w:div w:id="1351493564">
                      <w:marLeft w:val="0"/>
                      <w:marRight w:val="0"/>
                      <w:marTop w:val="0"/>
                      <w:marBottom w:val="0"/>
                      <w:divBdr>
                        <w:top w:val="none" w:sz="0" w:space="0" w:color="auto"/>
                        <w:left w:val="none" w:sz="0" w:space="0" w:color="auto"/>
                        <w:bottom w:val="none" w:sz="0" w:space="0" w:color="auto"/>
                        <w:right w:val="none" w:sz="0" w:space="0" w:color="auto"/>
                      </w:divBdr>
                    </w:div>
                  </w:divsChild>
                </w:div>
                <w:div w:id="1638341820">
                  <w:marLeft w:val="0"/>
                  <w:marRight w:val="0"/>
                  <w:marTop w:val="0"/>
                  <w:marBottom w:val="0"/>
                  <w:divBdr>
                    <w:top w:val="none" w:sz="0" w:space="0" w:color="auto"/>
                    <w:left w:val="none" w:sz="0" w:space="0" w:color="auto"/>
                    <w:bottom w:val="none" w:sz="0" w:space="0" w:color="auto"/>
                    <w:right w:val="none" w:sz="0" w:space="0" w:color="auto"/>
                  </w:divBdr>
                  <w:divsChild>
                    <w:div w:id="1254900593">
                      <w:marLeft w:val="0"/>
                      <w:marRight w:val="0"/>
                      <w:marTop w:val="0"/>
                      <w:marBottom w:val="0"/>
                      <w:divBdr>
                        <w:top w:val="none" w:sz="0" w:space="0" w:color="auto"/>
                        <w:left w:val="none" w:sz="0" w:space="0" w:color="auto"/>
                        <w:bottom w:val="none" w:sz="0" w:space="0" w:color="auto"/>
                        <w:right w:val="none" w:sz="0" w:space="0" w:color="auto"/>
                      </w:divBdr>
                    </w:div>
                  </w:divsChild>
                </w:div>
                <w:div w:id="1659380841">
                  <w:marLeft w:val="0"/>
                  <w:marRight w:val="0"/>
                  <w:marTop w:val="0"/>
                  <w:marBottom w:val="0"/>
                  <w:divBdr>
                    <w:top w:val="none" w:sz="0" w:space="0" w:color="auto"/>
                    <w:left w:val="none" w:sz="0" w:space="0" w:color="auto"/>
                    <w:bottom w:val="none" w:sz="0" w:space="0" w:color="auto"/>
                    <w:right w:val="none" w:sz="0" w:space="0" w:color="auto"/>
                  </w:divBdr>
                  <w:divsChild>
                    <w:div w:id="1002392023">
                      <w:marLeft w:val="0"/>
                      <w:marRight w:val="0"/>
                      <w:marTop w:val="0"/>
                      <w:marBottom w:val="0"/>
                      <w:divBdr>
                        <w:top w:val="none" w:sz="0" w:space="0" w:color="auto"/>
                        <w:left w:val="none" w:sz="0" w:space="0" w:color="auto"/>
                        <w:bottom w:val="none" w:sz="0" w:space="0" w:color="auto"/>
                        <w:right w:val="none" w:sz="0" w:space="0" w:color="auto"/>
                      </w:divBdr>
                    </w:div>
                  </w:divsChild>
                </w:div>
                <w:div w:id="1683236963">
                  <w:marLeft w:val="0"/>
                  <w:marRight w:val="0"/>
                  <w:marTop w:val="0"/>
                  <w:marBottom w:val="0"/>
                  <w:divBdr>
                    <w:top w:val="none" w:sz="0" w:space="0" w:color="auto"/>
                    <w:left w:val="none" w:sz="0" w:space="0" w:color="auto"/>
                    <w:bottom w:val="none" w:sz="0" w:space="0" w:color="auto"/>
                    <w:right w:val="none" w:sz="0" w:space="0" w:color="auto"/>
                  </w:divBdr>
                  <w:divsChild>
                    <w:div w:id="1237589480">
                      <w:marLeft w:val="0"/>
                      <w:marRight w:val="0"/>
                      <w:marTop w:val="0"/>
                      <w:marBottom w:val="0"/>
                      <w:divBdr>
                        <w:top w:val="none" w:sz="0" w:space="0" w:color="auto"/>
                        <w:left w:val="none" w:sz="0" w:space="0" w:color="auto"/>
                        <w:bottom w:val="none" w:sz="0" w:space="0" w:color="auto"/>
                        <w:right w:val="none" w:sz="0" w:space="0" w:color="auto"/>
                      </w:divBdr>
                    </w:div>
                  </w:divsChild>
                </w:div>
                <w:div w:id="1720199793">
                  <w:marLeft w:val="0"/>
                  <w:marRight w:val="0"/>
                  <w:marTop w:val="0"/>
                  <w:marBottom w:val="0"/>
                  <w:divBdr>
                    <w:top w:val="none" w:sz="0" w:space="0" w:color="auto"/>
                    <w:left w:val="none" w:sz="0" w:space="0" w:color="auto"/>
                    <w:bottom w:val="none" w:sz="0" w:space="0" w:color="auto"/>
                    <w:right w:val="none" w:sz="0" w:space="0" w:color="auto"/>
                  </w:divBdr>
                  <w:divsChild>
                    <w:div w:id="1827283359">
                      <w:marLeft w:val="0"/>
                      <w:marRight w:val="0"/>
                      <w:marTop w:val="0"/>
                      <w:marBottom w:val="0"/>
                      <w:divBdr>
                        <w:top w:val="none" w:sz="0" w:space="0" w:color="auto"/>
                        <w:left w:val="none" w:sz="0" w:space="0" w:color="auto"/>
                        <w:bottom w:val="none" w:sz="0" w:space="0" w:color="auto"/>
                        <w:right w:val="none" w:sz="0" w:space="0" w:color="auto"/>
                      </w:divBdr>
                    </w:div>
                  </w:divsChild>
                </w:div>
                <w:div w:id="1728532532">
                  <w:marLeft w:val="0"/>
                  <w:marRight w:val="0"/>
                  <w:marTop w:val="0"/>
                  <w:marBottom w:val="0"/>
                  <w:divBdr>
                    <w:top w:val="none" w:sz="0" w:space="0" w:color="auto"/>
                    <w:left w:val="none" w:sz="0" w:space="0" w:color="auto"/>
                    <w:bottom w:val="none" w:sz="0" w:space="0" w:color="auto"/>
                    <w:right w:val="none" w:sz="0" w:space="0" w:color="auto"/>
                  </w:divBdr>
                  <w:divsChild>
                    <w:div w:id="1561138610">
                      <w:marLeft w:val="0"/>
                      <w:marRight w:val="0"/>
                      <w:marTop w:val="0"/>
                      <w:marBottom w:val="0"/>
                      <w:divBdr>
                        <w:top w:val="none" w:sz="0" w:space="0" w:color="auto"/>
                        <w:left w:val="none" w:sz="0" w:space="0" w:color="auto"/>
                        <w:bottom w:val="none" w:sz="0" w:space="0" w:color="auto"/>
                        <w:right w:val="none" w:sz="0" w:space="0" w:color="auto"/>
                      </w:divBdr>
                    </w:div>
                  </w:divsChild>
                </w:div>
                <w:div w:id="1759986044">
                  <w:marLeft w:val="0"/>
                  <w:marRight w:val="0"/>
                  <w:marTop w:val="0"/>
                  <w:marBottom w:val="0"/>
                  <w:divBdr>
                    <w:top w:val="none" w:sz="0" w:space="0" w:color="auto"/>
                    <w:left w:val="none" w:sz="0" w:space="0" w:color="auto"/>
                    <w:bottom w:val="none" w:sz="0" w:space="0" w:color="auto"/>
                    <w:right w:val="none" w:sz="0" w:space="0" w:color="auto"/>
                  </w:divBdr>
                  <w:divsChild>
                    <w:div w:id="151337787">
                      <w:marLeft w:val="0"/>
                      <w:marRight w:val="0"/>
                      <w:marTop w:val="0"/>
                      <w:marBottom w:val="0"/>
                      <w:divBdr>
                        <w:top w:val="none" w:sz="0" w:space="0" w:color="auto"/>
                        <w:left w:val="none" w:sz="0" w:space="0" w:color="auto"/>
                        <w:bottom w:val="none" w:sz="0" w:space="0" w:color="auto"/>
                        <w:right w:val="none" w:sz="0" w:space="0" w:color="auto"/>
                      </w:divBdr>
                    </w:div>
                  </w:divsChild>
                </w:div>
                <w:div w:id="1830631462">
                  <w:marLeft w:val="0"/>
                  <w:marRight w:val="0"/>
                  <w:marTop w:val="0"/>
                  <w:marBottom w:val="0"/>
                  <w:divBdr>
                    <w:top w:val="none" w:sz="0" w:space="0" w:color="auto"/>
                    <w:left w:val="none" w:sz="0" w:space="0" w:color="auto"/>
                    <w:bottom w:val="none" w:sz="0" w:space="0" w:color="auto"/>
                    <w:right w:val="none" w:sz="0" w:space="0" w:color="auto"/>
                  </w:divBdr>
                  <w:divsChild>
                    <w:div w:id="409154857">
                      <w:marLeft w:val="0"/>
                      <w:marRight w:val="0"/>
                      <w:marTop w:val="0"/>
                      <w:marBottom w:val="0"/>
                      <w:divBdr>
                        <w:top w:val="none" w:sz="0" w:space="0" w:color="auto"/>
                        <w:left w:val="none" w:sz="0" w:space="0" w:color="auto"/>
                        <w:bottom w:val="none" w:sz="0" w:space="0" w:color="auto"/>
                        <w:right w:val="none" w:sz="0" w:space="0" w:color="auto"/>
                      </w:divBdr>
                    </w:div>
                  </w:divsChild>
                </w:div>
                <w:div w:id="1869951757">
                  <w:marLeft w:val="0"/>
                  <w:marRight w:val="0"/>
                  <w:marTop w:val="0"/>
                  <w:marBottom w:val="0"/>
                  <w:divBdr>
                    <w:top w:val="none" w:sz="0" w:space="0" w:color="auto"/>
                    <w:left w:val="none" w:sz="0" w:space="0" w:color="auto"/>
                    <w:bottom w:val="none" w:sz="0" w:space="0" w:color="auto"/>
                    <w:right w:val="none" w:sz="0" w:space="0" w:color="auto"/>
                  </w:divBdr>
                  <w:divsChild>
                    <w:div w:id="2113740822">
                      <w:marLeft w:val="0"/>
                      <w:marRight w:val="0"/>
                      <w:marTop w:val="0"/>
                      <w:marBottom w:val="0"/>
                      <w:divBdr>
                        <w:top w:val="none" w:sz="0" w:space="0" w:color="auto"/>
                        <w:left w:val="none" w:sz="0" w:space="0" w:color="auto"/>
                        <w:bottom w:val="none" w:sz="0" w:space="0" w:color="auto"/>
                        <w:right w:val="none" w:sz="0" w:space="0" w:color="auto"/>
                      </w:divBdr>
                    </w:div>
                  </w:divsChild>
                </w:div>
                <w:div w:id="1909073851">
                  <w:marLeft w:val="0"/>
                  <w:marRight w:val="0"/>
                  <w:marTop w:val="0"/>
                  <w:marBottom w:val="0"/>
                  <w:divBdr>
                    <w:top w:val="none" w:sz="0" w:space="0" w:color="auto"/>
                    <w:left w:val="none" w:sz="0" w:space="0" w:color="auto"/>
                    <w:bottom w:val="none" w:sz="0" w:space="0" w:color="auto"/>
                    <w:right w:val="none" w:sz="0" w:space="0" w:color="auto"/>
                  </w:divBdr>
                  <w:divsChild>
                    <w:div w:id="1912153320">
                      <w:marLeft w:val="0"/>
                      <w:marRight w:val="0"/>
                      <w:marTop w:val="0"/>
                      <w:marBottom w:val="0"/>
                      <w:divBdr>
                        <w:top w:val="none" w:sz="0" w:space="0" w:color="auto"/>
                        <w:left w:val="none" w:sz="0" w:space="0" w:color="auto"/>
                        <w:bottom w:val="none" w:sz="0" w:space="0" w:color="auto"/>
                        <w:right w:val="none" w:sz="0" w:space="0" w:color="auto"/>
                      </w:divBdr>
                    </w:div>
                  </w:divsChild>
                </w:div>
                <w:div w:id="1910845718">
                  <w:marLeft w:val="0"/>
                  <w:marRight w:val="0"/>
                  <w:marTop w:val="0"/>
                  <w:marBottom w:val="0"/>
                  <w:divBdr>
                    <w:top w:val="none" w:sz="0" w:space="0" w:color="auto"/>
                    <w:left w:val="none" w:sz="0" w:space="0" w:color="auto"/>
                    <w:bottom w:val="none" w:sz="0" w:space="0" w:color="auto"/>
                    <w:right w:val="none" w:sz="0" w:space="0" w:color="auto"/>
                  </w:divBdr>
                  <w:divsChild>
                    <w:div w:id="33804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93934">
          <w:marLeft w:val="0"/>
          <w:marRight w:val="0"/>
          <w:marTop w:val="0"/>
          <w:marBottom w:val="0"/>
          <w:divBdr>
            <w:top w:val="none" w:sz="0" w:space="0" w:color="auto"/>
            <w:left w:val="none" w:sz="0" w:space="0" w:color="auto"/>
            <w:bottom w:val="none" w:sz="0" w:space="0" w:color="auto"/>
            <w:right w:val="none" w:sz="0" w:space="0" w:color="auto"/>
          </w:divBdr>
        </w:div>
        <w:div w:id="311371616">
          <w:marLeft w:val="0"/>
          <w:marRight w:val="0"/>
          <w:marTop w:val="0"/>
          <w:marBottom w:val="0"/>
          <w:divBdr>
            <w:top w:val="none" w:sz="0" w:space="0" w:color="auto"/>
            <w:left w:val="none" w:sz="0" w:space="0" w:color="auto"/>
            <w:bottom w:val="none" w:sz="0" w:space="0" w:color="auto"/>
            <w:right w:val="none" w:sz="0" w:space="0" w:color="auto"/>
          </w:divBdr>
        </w:div>
        <w:div w:id="318582219">
          <w:marLeft w:val="0"/>
          <w:marRight w:val="0"/>
          <w:marTop w:val="0"/>
          <w:marBottom w:val="0"/>
          <w:divBdr>
            <w:top w:val="none" w:sz="0" w:space="0" w:color="auto"/>
            <w:left w:val="none" w:sz="0" w:space="0" w:color="auto"/>
            <w:bottom w:val="none" w:sz="0" w:space="0" w:color="auto"/>
            <w:right w:val="none" w:sz="0" w:space="0" w:color="auto"/>
          </w:divBdr>
        </w:div>
        <w:div w:id="328757030">
          <w:marLeft w:val="0"/>
          <w:marRight w:val="0"/>
          <w:marTop w:val="0"/>
          <w:marBottom w:val="0"/>
          <w:divBdr>
            <w:top w:val="none" w:sz="0" w:space="0" w:color="auto"/>
            <w:left w:val="none" w:sz="0" w:space="0" w:color="auto"/>
            <w:bottom w:val="none" w:sz="0" w:space="0" w:color="auto"/>
            <w:right w:val="none" w:sz="0" w:space="0" w:color="auto"/>
          </w:divBdr>
          <w:divsChild>
            <w:div w:id="169223721">
              <w:marLeft w:val="0"/>
              <w:marRight w:val="0"/>
              <w:marTop w:val="0"/>
              <w:marBottom w:val="0"/>
              <w:divBdr>
                <w:top w:val="none" w:sz="0" w:space="0" w:color="auto"/>
                <w:left w:val="none" w:sz="0" w:space="0" w:color="auto"/>
                <w:bottom w:val="none" w:sz="0" w:space="0" w:color="auto"/>
                <w:right w:val="none" w:sz="0" w:space="0" w:color="auto"/>
              </w:divBdr>
            </w:div>
            <w:div w:id="192349560">
              <w:marLeft w:val="0"/>
              <w:marRight w:val="0"/>
              <w:marTop w:val="0"/>
              <w:marBottom w:val="0"/>
              <w:divBdr>
                <w:top w:val="none" w:sz="0" w:space="0" w:color="auto"/>
                <w:left w:val="none" w:sz="0" w:space="0" w:color="auto"/>
                <w:bottom w:val="none" w:sz="0" w:space="0" w:color="auto"/>
                <w:right w:val="none" w:sz="0" w:space="0" w:color="auto"/>
              </w:divBdr>
            </w:div>
            <w:div w:id="517236932">
              <w:marLeft w:val="0"/>
              <w:marRight w:val="0"/>
              <w:marTop w:val="0"/>
              <w:marBottom w:val="0"/>
              <w:divBdr>
                <w:top w:val="none" w:sz="0" w:space="0" w:color="auto"/>
                <w:left w:val="none" w:sz="0" w:space="0" w:color="auto"/>
                <w:bottom w:val="none" w:sz="0" w:space="0" w:color="auto"/>
                <w:right w:val="none" w:sz="0" w:space="0" w:color="auto"/>
              </w:divBdr>
            </w:div>
            <w:div w:id="607009581">
              <w:marLeft w:val="0"/>
              <w:marRight w:val="0"/>
              <w:marTop w:val="0"/>
              <w:marBottom w:val="0"/>
              <w:divBdr>
                <w:top w:val="none" w:sz="0" w:space="0" w:color="auto"/>
                <w:left w:val="none" w:sz="0" w:space="0" w:color="auto"/>
                <w:bottom w:val="none" w:sz="0" w:space="0" w:color="auto"/>
                <w:right w:val="none" w:sz="0" w:space="0" w:color="auto"/>
              </w:divBdr>
            </w:div>
            <w:div w:id="680934529">
              <w:marLeft w:val="0"/>
              <w:marRight w:val="0"/>
              <w:marTop w:val="0"/>
              <w:marBottom w:val="0"/>
              <w:divBdr>
                <w:top w:val="none" w:sz="0" w:space="0" w:color="auto"/>
                <w:left w:val="none" w:sz="0" w:space="0" w:color="auto"/>
                <w:bottom w:val="none" w:sz="0" w:space="0" w:color="auto"/>
                <w:right w:val="none" w:sz="0" w:space="0" w:color="auto"/>
              </w:divBdr>
            </w:div>
            <w:div w:id="752627960">
              <w:marLeft w:val="0"/>
              <w:marRight w:val="0"/>
              <w:marTop w:val="0"/>
              <w:marBottom w:val="0"/>
              <w:divBdr>
                <w:top w:val="none" w:sz="0" w:space="0" w:color="auto"/>
                <w:left w:val="none" w:sz="0" w:space="0" w:color="auto"/>
                <w:bottom w:val="none" w:sz="0" w:space="0" w:color="auto"/>
                <w:right w:val="none" w:sz="0" w:space="0" w:color="auto"/>
              </w:divBdr>
            </w:div>
            <w:div w:id="864639699">
              <w:marLeft w:val="0"/>
              <w:marRight w:val="0"/>
              <w:marTop w:val="0"/>
              <w:marBottom w:val="0"/>
              <w:divBdr>
                <w:top w:val="none" w:sz="0" w:space="0" w:color="auto"/>
                <w:left w:val="none" w:sz="0" w:space="0" w:color="auto"/>
                <w:bottom w:val="none" w:sz="0" w:space="0" w:color="auto"/>
                <w:right w:val="none" w:sz="0" w:space="0" w:color="auto"/>
              </w:divBdr>
            </w:div>
            <w:div w:id="1038747591">
              <w:marLeft w:val="0"/>
              <w:marRight w:val="0"/>
              <w:marTop w:val="0"/>
              <w:marBottom w:val="0"/>
              <w:divBdr>
                <w:top w:val="none" w:sz="0" w:space="0" w:color="auto"/>
                <w:left w:val="none" w:sz="0" w:space="0" w:color="auto"/>
                <w:bottom w:val="none" w:sz="0" w:space="0" w:color="auto"/>
                <w:right w:val="none" w:sz="0" w:space="0" w:color="auto"/>
              </w:divBdr>
            </w:div>
            <w:div w:id="1101529520">
              <w:marLeft w:val="0"/>
              <w:marRight w:val="0"/>
              <w:marTop w:val="0"/>
              <w:marBottom w:val="0"/>
              <w:divBdr>
                <w:top w:val="none" w:sz="0" w:space="0" w:color="auto"/>
                <w:left w:val="none" w:sz="0" w:space="0" w:color="auto"/>
                <w:bottom w:val="none" w:sz="0" w:space="0" w:color="auto"/>
                <w:right w:val="none" w:sz="0" w:space="0" w:color="auto"/>
              </w:divBdr>
            </w:div>
            <w:div w:id="1183939158">
              <w:marLeft w:val="0"/>
              <w:marRight w:val="0"/>
              <w:marTop w:val="0"/>
              <w:marBottom w:val="0"/>
              <w:divBdr>
                <w:top w:val="none" w:sz="0" w:space="0" w:color="auto"/>
                <w:left w:val="none" w:sz="0" w:space="0" w:color="auto"/>
                <w:bottom w:val="none" w:sz="0" w:space="0" w:color="auto"/>
                <w:right w:val="none" w:sz="0" w:space="0" w:color="auto"/>
              </w:divBdr>
            </w:div>
            <w:div w:id="1253977633">
              <w:marLeft w:val="0"/>
              <w:marRight w:val="0"/>
              <w:marTop w:val="0"/>
              <w:marBottom w:val="0"/>
              <w:divBdr>
                <w:top w:val="none" w:sz="0" w:space="0" w:color="auto"/>
                <w:left w:val="none" w:sz="0" w:space="0" w:color="auto"/>
                <w:bottom w:val="none" w:sz="0" w:space="0" w:color="auto"/>
                <w:right w:val="none" w:sz="0" w:space="0" w:color="auto"/>
              </w:divBdr>
            </w:div>
            <w:div w:id="1535145355">
              <w:marLeft w:val="0"/>
              <w:marRight w:val="0"/>
              <w:marTop w:val="0"/>
              <w:marBottom w:val="0"/>
              <w:divBdr>
                <w:top w:val="none" w:sz="0" w:space="0" w:color="auto"/>
                <w:left w:val="none" w:sz="0" w:space="0" w:color="auto"/>
                <w:bottom w:val="none" w:sz="0" w:space="0" w:color="auto"/>
                <w:right w:val="none" w:sz="0" w:space="0" w:color="auto"/>
              </w:divBdr>
            </w:div>
            <w:div w:id="1598637118">
              <w:marLeft w:val="0"/>
              <w:marRight w:val="0"/>
              <w:marTop w:val="0"/>
              <w:marBottom w:val="0"/>
              <w:divBdr>
                <w:top w:val="none" w:sz="0" w:space="0" w:color="auto"/>
                <w:left w:val="none" w:sz="0" w:space="0" w:color="auto"/>
                <w:bottom w:val="none" w:sz="0" w:space="0" w:color="auto"/>
                <w:right w:val="none" w:sz="0" w:space="0" w:color="auto"/>
              </w:divBdr>
            </w:div>
            <w:div w:id="1639533644">
              <w:marLeft w:val="0"/>
              <w:marRight w:val="0"/>
              <w:marTop w:val="0"/>
              <w:marBottom w:val="0"/>
              <w:divBdr>
                <w:top w:val="none" w:sz="0" w:space="0" w:color="auto"/>
                <w:left w:val="none" w:sz="0" w:space="0" w:color="auto"/>
                <w:bottom w:val="none" w:sz="0" w:space="0" w:color="auto"/>
                <w:right w:val="none" w:sz="0" w:space="0" w:color="auto"/>
              </w:divBdr>
            </w:div>
            <w:div w:id="1652565450">
              <w:marLeft w:val="0"/>
              <w:marRight w:val="0"/>
              <w:marTop w:val="0"/>
              <w:marBottom w:val="0"/>
              <w:divBdr>
                <w:top w:val="none" w:sz="0" w:space="0" w:color="auto"/>
                <w:left w:val="none" w:sz="0" w:space="0" w:color="auto"/>
                <w:bottom w:val="none" w:sz="0" w:space="0" w:color="auto"/>
                <w:right w:val="none" w:sz="0" w:space="0" w:color="auto"/>
              </w:divBdr>
            </w:div>
            <w:div w:id="1831629150">
              <w:marLeft w:val="0"/>
              <w:marRight w:val="0"/>
              <w:marTop w:val="0"/>
              <w:marBottom w:val="0"/>
              <w:divBdr>
                <w:top w:val="none" w:sz="0" w:space="0" w:color="auto"/>
                <w:left w:val="none" w:sz="0" w:space="0" w:color="auto"/>
                <w:bottom w:val="none" w:sz="0" w:space="0" w:color="auto"/>
                <w:right w:val="none" w:sz="0" w:space="0" w:color="auto"/>
              </w:divBdr>
            </w:div>
            <w:div w:id="2002730897">
              <w:marLeft w:val="0"/>
              <w:marRight w:val="0"/>
              <w:marTop w:val="0"/>
              <w:marBottom w:val="0"/>
              <w:divBdr>
                <w:top w:val="none" w:sz="0" w:space="0" w:color="auto"/>
                <w:left w:val="none" w:sz="0" w:space="0" w:color="auto"/>
                <w:bottom w:val="none" w:sz="0" w:space="0" w:color="auto"/>
                <w:right w:val="none" w:sz="0" w:space="0" w:color="auto"/>
              </w:divBdr>
            </w:div>
            <w:div w:id="2083065649">
              <w:marLeft w:val="0"/>
              <w:marRight w:val="0"/>
              <w:marTop w:val="0"/>
              <w:marBottom w:val="0"/>
              <w:divBdr>
                <w:top w:val="none" w:sz="0" w:space="0" w:color="auto"/>
                <w:left w:val="none" w:sz="0" w:space="0" w:color="auto"/>
                <w:bottom w:val="none" w:sz="0" w:space="0" w:color="auto"/>
                <w:right w:val="none" w:sz="0" w:space="0" w:color="auto"/>
              </w:divBdr>
            </w:div>
            <w:div w:id="2134134997">
              <w:marLeft w:val="0"/>
              <w:marRight w:val="0"/>
              <w:marTop w:val="0"/>
              <w:marBottom w:val="0"/>
              <w:divBdr>
                <w:top w:val="none" w:sz="0" w:space="0" w:color="auto"/>
                <w:left w:val="none" w:sz="0" w:space="0" w:color="auto"/>
                <w:bottom w:val="none" w:sz="0" w:space="0" w:color="auto"/>
                <w:right w:val="none" w:sz="0" w:space="0" w:color="auto"/>
              </w:divBdr>
            </w:div>
            <w:div w:id="2139637861">
              <w:marLeft w:val="0"/>
              <w:marRight w:val="0"/>
              <w:marTop w:val="0"/>
              <w:marBottom w:val="0"/>
              <w:divBdr>
                <w:top w:val="none" w:sz="0" w:space="0" w:color="auto"/>
                <w:left w:val="none" w:sz="0" w:space="0" w:color="auto"/>
                <w:bottom w:val="none" w:sz="0" w:space="0" w:color="auto"/>
                <w:right w:val="none" w:sz="0" w:space="0" w:color="auto"/>
              </w:divBdr>
            </w:div>
          </w:divsChild>
        </w:div>
        <w:div w:id="331184178">
          <w:marLeft w:val="0"/>
          <w:marRight w:val="0"/>
          <w:marTop w:val="0"/>
          <w:marBottom w:val="0"/>
          <w:divBdr>
            <w:top w:val="none" w:sz="0" w:space="0" w:color="auto"/>
            <w:left w:val="none" w:sz="0" w:space="0" w:color="auto"/>
            <w:bottom w:val="none" w:sz="0" w:space="0" w:color="auto"/>
            <w:right w:val="none" w:sz="0" w:space="0" w:color="auto"/>
          </w:divBdr>
        </w:div>
        <w:div w:id="339309499">
          <w:marLeft w:val="0"/>
          <w:marRight w:val="0"/>
          <w:marTop w:val="0"/>
          <w:marBottom w:val="0"/>
          <w:divBdr>
            <w:top w:val="none" w:sz="0" w:space="0" w:color="auto"/>
            <w:left w:val="none" w:sz="0" w:space="0" w:color="auto"/>
            <w:bottom w:val="none" w:sz="0" w:space="0" w:color="auto"/>
            <w:right w:val="none" w:sz="0" w:space="0" w:color="auto"/>
          </w:divBdr>
          <w:divsChild>
            <w:div w:id="277953132">
              <w:marLeft w:val="0"/>
              <w:marRight w:val="0"/>
              <w:marTop w:val="0"/>
              <w:marBottom w:val="0"/>
              <w:divBdr>
                <w:top w:val="none" w:sz="0" w:space="0" w:color="auto"/>
                <w:left w:val="none" w:sz="0" w:space="0" w:color="auto"/>
                <w:bottom w:val="none" w:sz="0" w:space="0" w:color="auto"/>
                <w:right w:val="none" w:sz="0" w:space="0" w:color="auto"/>
              </w:divBdr>
            </w:div>
            <w:div w:id="460464862">
              <w:marLeft w:val="0"/>
              <w:marRight w:val="0"/>
              <w:marTop w:val="0"/>
              <w:marBottom w:val="0"/>
              <w:divBdr>
                <w:top w:val="none" w:sz="0" w:space="0" w:color="auto"/>
                <w:left w:val="none" w:sz="0" w:space="0" w:color="auto"/>
                <w:bottom w:val="none" w:sz="0" w:space="0" w:color="auto"/>
                <w:right w:val="none" w:sz="0" w:space="0" w:color="auto"/>
              </w:divBdr>
            </w:div>
            <w:div w:id="527062888">
              <w:marLeft w:val="0"/>
              <w:marRight w:val="0"/>
              <w:marTop w:val="0"/>
              <w:marBottom w:val="0"/>
              <w:divBdr>
                <w:top w:val="none" w:sz="0" w:space="0" w:color="auto"/>
                <w:left w:val="none" w:sz="0" w:space="0" w:color="auto"/>
                <w:bottom w:val="none" w:sz="0" w:space="0" w:color="auto"/>
                <w:right w:val="none" w:sz="0" w:space="0" w:color="auto"/>
              </w:divBdr>
            </w:div>
            <w:div w:id="543907327">
              <w:marLeft w:val="0"/>
              <w:marRight w:val="0"/>
              <w:marTop w:val="0"/>
              <w:marBottom w:val="0"/>
              <w:divBdr>
                <w:top w:val="none" w:sz="0" w:space="0" w:color="auto"/>
                <w:left w:val="none" w:sz="0" w:space="0" w:color="auto"/>
                <w:bottom w:val="none" w:sz="0" w:space="0" w:color="auto"/>
                <w:right w:val="none" w:sz="0" w:space="0" w:color="auto"/>
              </w:divBdr>
            </w:div>
            <w:div w:id="698435061">
              <w:marLeft w:val="0"/>
              <w:marRight w:val="0"/>
              <w:marTop w:val="0"/>
              <w:marBottom w:val="0"/>
              <w:divBdr>
                <w:top w:val="none" w:sz="0" w:space="0" w:color="auto"/>
                <w:left w:val="none" w:sz="0" w:space="0" w:color="auto"/>
                <w:bottom w:val="none" w:sz="0" w:space="0" w:color="auto"/>
                <w:right w:val="none" w:sz="0" w:space="0" w:color="auto"/>
              </w:divBdr>
            </w:div>
            <w:div w:id="762144984">
              <w:marLeft w:val="0"/>
              <w:marRight w:val="0"/>
              <w:marTop w:val="0"/>
              <w:marBottom w:val="0"/>
              <w:divBdr>
                <w:top w:val="none" w:sz="0" w:space="0" w:color="auto"/>
                <w:left w:val="none" w:sz="0" w:space="0" w:color="auto"/>
                <w:bottom w:val="none" w:sz="0" w:space="0" w:color="auto"/>
                <w:right w:val="none" w:sz="0" w:space="0" w:color="auto"/>
              </w:divBdr>
            </w:div>
            <w:div w:id="777408335">
              <w:marLeft w:val="0"/>
              <w:marRight w:val="0"/>
              <w:marTop w:val="0"/>
              <w:marBottom w:val="0"/>
              <w:divBdr>
                <w:top w:val="none" w:sz="0" w:space="0" w:color="auto"/>
                <w:left w:val="none" w:sz="0" w:space="0" w:color="auto"/>
                <w:bottom w:val="none" w:sz="0" w:space="0" w:color="auto"/>
                <w:right w:val="none" w:sz="0" w:space="0" w:color="auto"/>
              </w:divBdr>
            </w:div>
            <w:div w:id="1070083012">
              <w:marLeft w:val="0"/>
              <w:marRight w:val="0"/>
              <w:marTop w:val="0"/>
              <w:marBottom w:val="0"/>
              <w:divBdr>
                <w:top w:val="none" w:sz="0" w:space="0" w:color="auto"/>
                <w:left w:val="none" w:sz="0" w:space="0" w:color="auto"/>
                <w:bottom w:val="none" w:sz="0" w:space="0" w:color="auto"/>
                <w:right w:val="none" w:sz="0" w:space="0" w:color="auto"/>
              </w:divBdr>
            </w:div>
            <w:div w:id="1089736166">
              <w:marLeft w:val="0"/>
              <w:marRight w:val="0"/>
              <w:marTop w:val="0"/>
              <w:marBottom w:val="0"/>
              <w:divBdr>
                <w:top w:val="none" w:sz="0" w:space="0" w:color="auto"/>
                <w:left w:val="none" w:sz="0" w:space="0" w:color="auto"/>
                <w:bottom w:val="none" w:sz="0" w:space="0" w:color="auto"/>
                <w:right w:val="none" w:sz="0" w:space="0" w:color="auto"/>
              </w:divBdr>
            </w:div>
            <w:div w:id="1175223384">
              <w:marLeft w:val="0"/>
              <w:marRight w:val="0"/>
              <w:marTop w:val="0"/>
              <w:marBottom w:val="0"/>
              <w:divBdr>
                <w:top w:val="none" w:sz="0" w:space="0" w:color="auto"/>
                <w:left w:val="none" w:sz="0" w:space="0" w:color="auto"/>
                <w:bottom w:val="none" w:sz="0" w:space="0" w:color="auto"/>
                <w:right w:val="none" w:sz="0" w:space="0" w:color="auto"/>
              </w:divBdr>
            </w:div>
            <w:div w:id="1363896637">
              <w:marLeft w:val="0"/>
              <w:marRight w:val="0"/>
              <w:marTop w:val="0"/>
              <w:marBottom w:val="0"/>
              <w:divBdr>
                <w:top w:val="none" w:sz="0" w:space="0" w:color="auto"/>
                <w:left w:val="none" w:sz="0" w:space="0" w:color="auto"/>
                <w:bottom w:val="none" w:sz="0" w:space="0" w:color="auto"/>
                <w:right w:val="none" w:sz="0" w:space="0" w:color="auto"/>
              </w:divBdr>
            </w:div>
            <w:div w:id="1440955591">
              <w:marLeft w:val="0"/>
              <w:marRight w:val="0"/>
              <w:marTop w:val="0"/>
              <w:marBottom w:val="0"/>
              <w:divBdr>
                <w:top w:val="none" w:sz="0" w:space="0" w:color="auto"/>
                <w:left w:val="none" w:sz="0" w:space="0" w:color="auto"/>
                <w:bottom w:val="none" w:sz="0" w:space="0" w:color="auto"/>
                <w:right w:val="none" w:sz="0" w:space="0" w:color="auto"/>
              </w:divBdr>
            </w:div>
            <w:div w:id="1486553303">
              <w:marLeft w:val="0"/>
              <w:marRight w:val="0"/>
              <w:marTop w:val="0"/>
              <w:marBottom w:val="0"/>
              <w:divBdr>
                <w:top w:val="none" w:sz="0" w:space="0" w:color="auto"/>
                <w:left w:val="none" w:sz="0" w:space="0" w:color="auto"/>
                <w:bottom w:val="none" w:sz="0" w:space="0" w:color="auto"/>
                <w:right w:val="none" w:sz="0" w:space="0" w:color="auto"/>
              </w:divBdr>
            </w:div>
            <w:div w:id="1528062527">
              <w:marLeft w:val="0"/>
              <w:marRight w:val="0"/>
              <w:marTop w:val="0"/>
              <w:marBottom w:val="0"/>
              <w:divBdr>
                <w:top w:val="none" w:sz="0" w:space="0" w:color="auto"/>
                <w:left w:val="none" w:sz="0" w:space="0" w:color="auto"/>
                <w:bottom w:val="none" w:sz="0" w:space="0" w:color="auto"/>
                <w:right w:val="none" w:sz="0" w:space="0" w:color="auto"/>
              </w:divBdr>
            </w:div>
            <w:div w:id="1578974712">
              <w:marLeft w:val="0"/>
              <w:marRight w:val="0"/>
              <w:marTop w:val="0"/>
              <w:marBottom w:val="0"/>
              <w:divBdr>
                <w:top w:val="none" w:sz="0" w:space="0" w:color="auto"/>
                <w:left w:val="none" w:sz="0" w:space="0" w:color="auto"/>
                <w:bottom w:val="none" w:sz="0" w:space="0" w:color="auto"/>
                <w:right w:val="none" w:sz="0" w:space="0" w:color="auto"/>
              </w:divBdr>
            </w:div>
            <w:div w:id="1688170700">
              <w:marLeft w:val="0"/>
              <w:marRight w:val="0"/>
              <w:marTop w:val="0"/>
              <w:marBottom w:val="0"/>
              <w:divBdr>
                <w:top w:val="none" w:sz="0" w:space="0" w:color="auto"/>
                <w:left w:val="none" w:sz="0" w:space="0" w:color="auto"/>
                <w:bottom w:val="none" w:sz="0" w:space="0" w:color="auto"/>
                <w:right w:val="none" w:sz="0" w:space="0" w:color="auto"/>
              </w:divBdr>
            </w:div>
            <w:div w:id="1759324623">
              <w:marLeft w:val="0"/>
              <w:marRight w:val="0"/>
              <w:marTop w:val="0"/>
              <w:marBottom w:val="0"/>
              <w:divBdr>
                <w:top w:val="none" w:sz="0" w:space="0" w:color="auto"/>
                <w:left w:val="none" w:sz="0" w:space="0" w:color="auto"/>
                <w:bottom w:val="none" w:sz="0" w:space="0" w:color="auto"/>
                <w:right w:val="none" w:sz="0" w:space="0" w:color="auto"/>
              </w:divBdr>
            </w:div>
            <w:div w:id="1845590596">
              <w:marLeft w:val="0"/>
              <w:marRight w:val="0"/>
              <w:marTop w:val="0"/>
              <w:marBottom w:val="0"/>
              <w:divBdr>
                <w:top w:val="none" w:sz="0" w:space="0" w:color="auto"/>
                <w:left w:val="none" w:sz="0" w:space="0" w:color="auto"/>
                <w:bottom w:val="none" w:sz="0" w:space="0" w:color="auto"/>
                <w:right w:val="none" w:sz="0" w:space="0" w:color="auto"/>
              </w:divBdr>
            </w:div>
            <w:div w:id="1994992942">
              <w:marLeft w:val="0"/>
              <w:marRight w:val="0"/>
              <w:marTop w:val="0"/>
              <w:marBottom w:val="0"/>
              <w:divBdr>
                <w:top w:val="none" w:sz="0" w:space="0" w:color="auto"/>
                <w:left w:val="none" w:sz="0" w:space="0" w:color="auto"/>
                <w:bottom w:val="none" w:sz="0" w:space="0" w:color="auto"/>
                <w:right w:val="none" w:sz="0" w:space="0" w:color="auto"/>
              </w:divBdr>
            </w:div>
            <w:div w:id="2100515380">
              <w:marLeft w:val="0"/>
              <w:marRight w:val="0"/>
              <w:marTop w:val="0"/>
              <w:marBottom w:val="0"/>
              <w:divBdr>
                <w:top w:val="none" w:sz="0" w:space="0" w:color="auto"/>
                <w:left w:val="none" w:sz="0" w:space="0" w:color="auto"/>
                <w:bottom w:val="none" w:sz="0" w:space="0" w:color="auto"/>
                <w:right w:val="none" w:sz="0" w:space="0" w:color="auto"/>
              </w:divBdr>
            </w:div>
          </w:divsChild>
        </w:div>
        <w:div w:id="343671320">
          <w:marLeft w:val="0"/>
          <w:marRight w:val="0"/>
          <w:marTop w:val="0"/>
          <w:marBottom w:val="0"/>
          <w:divBdr>
            <w:top w:val="none" w:sz="0" w:space="0" w:color="auto"/>
            <w:left w:val="none" w:sz="0" w:space="0" w:color="auto"/>
            <w:bottom w:val="none" w:sz="0" w:space="0" w:color="auto"/>
            <w:right w:val="none" w:sz="0" w:space="0" w:color="auto"/>
          </w:divBdr>
        </w:div>
        <w:div w:id="365102195">
          <w:marLeft w:val="0"/>
          <w:marRight w:val="0"/>
          <w:marTop w:val="0"/>
          <w:marBottom w:val="0"/>
          <w:divBdr>
            <w:top w:val="none" w:sz="0" w:space="0" w:color="auto"/>
            <w:left w:val="none" w:sz="0" w:space="0" w:color="auto"/>
            <w:bottom w:val="none" w:sz="0" w:space="0" w:color="auto"/>
            <w:right w:val="none" w:sz="0" w:space="0" w:color="auto"/>
          </w:divBdr>
        </w:div>
        <w:div w:id="368334802">
          <w:marLeft w:val="0"/>
          <w:marRight w:val="0"/>
          <w:marTop w:val="0"/>
          <w:marBottom w:val="0"/>
          <w:divBdr>
            <w:top w:val="none" w:sz="0" w:space="0" w:color="auto"/>
            <w:left w:val="none" w:sz="0" w:space="0" w:color="auto"/>
            <w:bottom w:val="none" w:sz="0" w:space="0" w:color="auto"/>
            <w:right w:val="none" w:sz="0" w:space="0" w:color="auto"/>
          </w:divBdr>
        </w:div>
        <w:div w:id="368649582">
          <w:marLeft w:val="0"/>
          <w:marRight w:val="0"/>
          <w:marTop w:val="0"/>
          <w:marBottom w:val="0"/>
          <w:divBdr>
            <w:top w:val="none" w:sz="0" w:space="0" w:color="auto"/>
            <w:left w:val="none" w:sz="0" w:space="0" w:color="auto"/>
            <w:bottom w:val="none" w:sz="0" w:space="0" w:color="auto"/>
            <w:right w:val="none" w:sz="0" w:space="0" w:color="auto"/>
          </w:divBdr>
        </w:div>
        <w:div w:id="370614452">
          <w:marLeft w:val="0"/>
          <w:marRight w:val="0"/>
          <w:marTop w:val="0"/>
          <w:marBottom w:val="0"/>
          <w:divBdr>
            <w:top w:val="none" w:sz="0" w:space="0" w:color="auto"/>
            <w:left w:val="none" w:sz="0" w:space="0" w:color="auto"/>
            <w:bottom w:val="none" w:sz="0" w:space="0" w:color="auto"/>
            <w:right w:val="none" w:sz="0" w:space="0" w:color="auto"/>
          </w:divBdr>
        </w:div>
        <w:div w:id="378167731">
          <w:marLeft w:val="0"/>
          <w:marRight w:val="0"/>
          <w:marTop w:val="0"/>
          <w:marBottom w:val="0"/>
          <w:divBdr>
            <w:top w:val="none" w:sz="0" w:space="0" w:color="auto"/>
            <w:left w:val="none" w:sz="0" w:space="0" w:color="auto"/>
            <w:bottom w:val="none" w:sz="0" w:space="0" w:color="auto"/>
            <w:right w:val="none" w:sz="0" w:space="0" w:color="auto"/>
          </w:divBdr>
        </w:div>
        <w:div w:id="380402920">
          <w:marLeft w:val="0"/>
          <w:marRight w:val="0"/>
          <w:marTop w:val="0"/>
          <w:marBottom w:val="0"/>
          <w:divBdr>
            <w:top w:val="none" w:sz="0" w:space="0" w:color="auto"/>
            <w:left w:val="none" w:sz="0" w:space="0" w:color="auto"/>
            <w:bottom w:val="none" w:sz="0" w:space="0" w:color="auto"/>
            <w:right w:val="none" w:sz="0" w:space="0" w:color="auto"/>
          </w:divBdr>
          <w:divsChild>
            <w:div w:id="84420268">
              <w:marLeft w:val="-75"/>
              <w:marRight w:val="0"/>
              <w:marTop w:val="30"/>
              <w:marBottom w:val="30"/>
              <w:divBdr>
                <w:top w:val="none" w:sz="0" w:space="0" w:color="auto"/>
                <w:left w:val="none" w:sz="0" w:space="0" w:color="auto"/>
                <w:bottom w:val="none" w:sz="0" w:space="0" w:color="auto"/>
                <w:right w:val="none" w:sz="0" w:space="0" w:color="auto"/>
              </w:divBdr>
              <w:divsChild>
                <w:div w:id="335501166">
                  <w:marLeft w:val="0"/>
                  <w:marRight w:val="0"/>
                  <w:marTop w:val="0"/>
                  <w:marBottom w:val="0"/>
                  <w:divBdr>
                    <w:top w:val="none" w:sz="0" w:space="0" w:color="auto"/>
                    <w:left w:val="none" w:sz="0" w:space="0" w:color="auto"/>
                    <w:bottom w:val="none" w:sz="0" w:space="0" w:color="auto"/>
                    <w:right w:val="none" w:sz="0" w:space="0" w:color="auto"/>
                  </w:divBdr>
                  <w:divsChild>
                    <w:div w:id="296879632">
                      <w:marLeft w:val="0"/>
                      <w:marRight w:val="0"/>
                      <w:marTop w:val="0"/>
                      <w:marBottom w:val="0"/>
                      <w:divBdr>
                        <w:top w:val="none" w:sz="0" w:space="0" w:color="auto"/>
                        <w:left w:val="none" w:sz="0" w:space="0" w:color="auto"/>
                        <w:bottom w:val="none" w:sz="0" w:space="0" w:color="auto"/>
                        <w:right w:val="none" w:sz="0" w:space="0" w:color="auto"/>
                      </w:divBdr>
                    </w:div>
                  </w:divsChild>
                </w:div>
                <w:div w:id="428165908">
                  <w:marLeft w:val="0"/>
                  <w:marRight w:val="0"/>
                  <w:marTop w:val="0"/>
                  <w:marBottom w:val="0"/>
                  <w:divBdr>
                    <w:top w:val="none" w:sz="0" w:space="0" w:color="auto"/>
                    <w:left w:val="none" w:sz="0" w:space="0" w:color="auto"/>
                    <w:bottom w:val="none" w:sz="0" w:space="0" w:color="auto"/>
                    <w:right w:val="none" w:sz="0" w:space="0" w:color="auto"/>
                  </w:divBdr>
                  <w:divsChild>
                    <w:div w:id="196704825">
                      <w:marLeft w:val="0"/>
                      <w:marRight w:val="0"/>
                      <w:marTop w:val="0"/>
                      <w:marBottom w:val="0"/>
                      <w:divBdr>
                        <w:top w:val="none" w:sz="0" w:space="0" w:color="auto"/>
                        <w:left w:val="none" w:sz="0" w:space="0" w:color="auto"/>
                        <w:bottom w:val="none" w:sz="0" w:space="0" w:color="auto"/>
                        <w:right w:val="none" w:sz="0" w:space="0" w:color="auto"/>
                      </w:divBdr>
                    </w:div>
                  </w:divsChild>
                </w:div>
                <w:div w:id="437333563">
                  <w:marLeft w:val="0"/>
                  <w:marRight w:val="0"/>
                  <w:marTop w:val="0"/>
                  <w:marBottom w:val="0"/>
                  <w:divBdr>
                    <w:top w:val="none" w:sz="0" w:space="0" w:color="auto"/>
                    <w:left w:val="none" w:sz="0" w:space="0" w:color="auto"/>
                    <w:bottom w:val="none" w:sz="0" w:space="0" w:color="auto"/>
                    <w:right w:val="none" w:sz="0" w:space="0" w:color="auto"/>
                  </w:divBdr>
                  <w:divsChild>
                    <w:div w:id="1952126001">
                      <w:marLeft w:val="0"/>
                      <w:marRight w:val="0"/>
                      <w:marTop w:val="0"/>
                      <w:marBottom w:val="0"/>
                      <w:divBdr>
                        <w:top w:val="none" w:sz="0" w:space="0" w:color="auto"/>
                        <w:left w:val="none" w:sz="0" w:space="0" w:color="auto"/>
                        <w:bottom w:val="none" w:sz="0" w:space="0" w:color="auto"/>
                        <w:right w:val="none" w:sz="0" w:space="0" w:color="auto"/>
                      </w:divBdr>
                    </w:div>
                  </w:divsChild>
                </w:div>
                <w:div w:id="448280831">
                  <w:marLeft w:val="0"/>
                  <w:marRight w:val="0"/>
                  <w:marTop w:val="0"/>
                  <w:marBottom w:val="0"/>
                  <w:divBdr>
                    <w:top w:val="none" w:sz="0" w:space="0" w:color="auto"/>
                    <w:left w:val="none" w:sz="0" w:space="0" w:color="auto"/>
                    <w:bottom w:val="none" w:sz="0" w:space="0" w:color="auto"/>
                    <w:right w:val="none" w:sz="0" w:space="0" w:color="auto"/>
                  </w:divBdr>
                  <w:divsChild>
                    <w:div w:id="815149637">
                      <w:marLeft w:val="0"/>
                      <w:marRight w:val="0"/>
                      <w:marTop w:val="0"/>
                      <w:marBottom w:val="0"/>
                      <w:divBdr>
                        <w:top w:val="none" w:sz="0" w:space="0" w:color="auto"/>
                        <w:left w:val="none" w:sz="0" w:space="0" w:color="auto"/>
                        <w:bottom w:val="none" w:sz="0" w:space="0" w:color="auto"/>
                        <w:right w:val="none" w:sz="0" w:space="0" w:color="auto"/>
                      </w:divBdr>
                    </w:div>
                  </w:divsChild>
                </w:div>
                <w:div w:id="549347202">
                  <w:marLeft w:val="0"/>
                  <w:marRight w:val="0"/>
                  <w:marTop w:val="0"/>
                  <w:marBottom w:val="0"/>
                  <w:divBdr>
                    <w:top w:val="none" w:sz="0" w:space="0" w:color="auto"/>
                    <w:left w:val="none" w:sz="0" w:space="0" w:color="auto"/>
                    <w:bottom w:val="none" w:sz="0" w:space="0" w:color="auto"/>
                    <w:right w:val="none" w:sz="0" w:space="0" w:color="auto"/>
                  </w:divBdr>
                  <w:divsChild>
                    <w:div w:id="873007869">
                      <w:marLeft w:val="0"/>
                      <w:marRight w:val="0"/>
                      <w:marTop w:val="0"/>
                      <w:marBottom w:val="0"/>
                      <w:divBdr>
                        <w:top w:val="none" w:sz="0" w:space="0" w:color="auto"/>
                        <w:left w:val="none" w:sz="0" w:space="0" w:color="auto"/>
                        <w:bottom w:val="none" w:sz="0" w:space="0" w:color="auto"/>
                        <w:right w:val="none" w:sz="0" w:space="0" w:color="auto"/>
                      </w:divBdr>
                    </w:div>
                  </w:divsChild>
                </w:div>
                <w:div w:id="628820220">
                  <w:marLeft w:val="0"/>
                  <w:marRight w:val="0"/>
                  <w:marTop w:val="0"/>
                  <w:marBottom w:val="0"/>
                  <w:divBdr>
                    <w:top w:val="none" w:sz="0" w:space="0" w:color="auto"/>
                    <w:left w:val="none" w:sz="0" w:space="0" w:color="auto"/>
                    <w:bottom w:val="none" w:sz="0" w:space="0" w:color="auto"/>
                    <w:right w:val="none" w:sz="0" w:space="0" w:color="auto"/>
                  </w:divBdr>
                  <w:divsChild>
                    <w:div w:id="1121538068">
                      <w:marLeft w:val="0"/>
                      <w:marRight w:val="0"/>
                      <w:marTop w:val="0"/>
                      <w:marBottom w:val="0"/>
                      <w:divBdr>
                        <w:top w:val="none" w:sz="0" w:space="0" w:color="auto"/>
                        <w:left w:val="none" w:sz="0" w:space="0" w:color="auto"/>
                        <w:bottom w:val="none" w:sz="0" w:space="0" w:color="auto"/>
                        <w:right w:val="none" w:sz="0" w:space="0" w:color="auto"/>
                      </w:divBdr>
                    </w:div>
                  </w:divsChild>
                </w:div>
                <w:div w:id="711540188">
                  <w:marLeft w:val="0"/>
                  <w:marRight w:val="0"/>
                  <w:marTop w:val="0"/>
                  <w:marBottom w:val="0"/>
                  <w:divBdr>
                    <w:top w:val="none" w:sz="0" w:space="0" w:color="auto"/>
                    <w:left w:val="none" w:sz="0" w:space="0" w:color="auto"/>
                    <w:bottom w:val="none" w:sz="0" w:space="0" w:color="auto"/>
                    <w:right w:val="none" w:sz="0" w:space="0" w:color="auto"/>
                  </w:divBdr>
                  <w:divsChild>
                    <w:div w:id="789394427">
                      <w:marLeft w:val="0"/>
                      <w:marRight w:val="0"/>
                      <w:marTop w:val="0"/>
                      <w:marBottom w:val="0"/>
                      <w:divBdr>
                        <w:top w:val="none" w:sz="0" w:space="0" w:color="auto"/>
                        <w:left w:val="none" w:sz="0" w:space="0" w:color="auto"/>
                        <w:bottom w:val="none" w:sz="0" w:space="0" w:color="auto"/>
                        <w:right w:val="none" w:sz="0" w:space="0" w:color="auto"/>
                      </w:divBdr>
                    </w:div>
                  </w:divsChild>
                </w:div>
                <w:div w:id="1169753768">
                  <w:marLeft w:val="0"/>
                  <w:marRight w:val="0"/>
                  <w:marTop w:val="0"/>
                  <w:marBottom w:val="0"/>
                  <w:divBdr>
                    <w:top w:val="none" w:sz="0" w:space="0" w:color="auto"/>
                    <w:left w:val="none" w:sz="0" w:space="0" w:color="auto"/>
                    <w:bottom w:val="none" w:sz="0" w:space="0" w:color="auto"/>
                    <w:right w:val="none" w:sz="0" w:space="0" w:color="auto"/>
                  </w:divBdr>
                  <w:divsChild>
                    <w:div w:id="1716546035">
                      <w:marLeft w:val="0"/>
                      <w:marRight w:val="0"/>
                      <w:marTop w:val="0"/>
                      <w:marBottom w:val="0"/>
                      <w:divBdr>
                        <w:top w:val="none" w:sz="0" w:space="0" w:color="auto"/>
                        <w:left w:val="none" w:sz="0" w:space="0" w:color="auto"/>
                        <w:bottom w:val="none" w:sz="0" w:space="0" w:color="auto"/>
                        <w:right w:val="none" w:sz="0" w:space="0" w:color="auto"/>
                      </w:divBdr>
                    </w:div>
                  </w:divsChild>
                </w:div>
                <w:div w:id="1220937771">
                  <w:marLeft w:val="0"/>
                  <w:marRight w:val="0"/>
                  <w:marTop w:val="0"/>
                  <w:marBottom w:val="0"/>
                  <w:divBdr>
                    <w:top w:val="none" w:sz="0" w:space="0" w:color="auto"/>
                    <w:left w:val="none" w:sz="0" w:space="0" w:color="auto"/>
                    <w:bottom w:val="none" w:sz="0" w:space="0" w:color="auto"/>
                    <w:right w:val="none" w:sz="0" w:space="0" w:color="auto"/>
                  </w:divBdr>
                  <w:divsChild>
                    <w:div w:id="758914252">
                      <w:marLeft w:val="0"/>
                      <w:marRight w:val="0"/>
                      <w:marTop w:val="0"/>
                      <w:marBottom w:val="0"/>
                      <w:divBdr>
                        <w:top w:val="none" w:sz="0" w:space="0" w:color="auto"/>
                        <w:left w:val="none" w:sz="0" w:space="0" w:color="auto"/>
                        <w:bottom w:val="none" w:sz="0" w:space="0" w:color="auto"/>
                        <w:right w:val="none" w:sz="0" w:space="0" w:color="auto"/>
                      </w:divBdr>
                    </w:div>
                  </w:divsChild>
                </w:div>
                <w:div w:id="1311321443">
                  <w:marLeft w:val="0"/>
                  <w:marRight w:val="0"/>
                  <w:marTop w:val="0"/>
                  <w:marBottom w:val="0"/>
                  <w:divBdr>
                    <w:top w:val="none" w:sz="0" w:space="0" w:color="auto"/>
                    <w:left w:val="none" w:sz="0" w:space="0" w:color="auto"/>
                    <w:bottom w:val="none" w:sz="0" w:space="0" w:color="auto"/>
                    <w:right w:val="none" w:sz="0" w:space="0" w:color="auto"/>
                  </w:divBdr>
                  <w:divsChild>
                    <w:div w:id="1385249174">
                      <w:marLeft w:val="0"/>
                      <w:marRight w:val="0"/>
                      <w:marTop w:val="0"/>
                      <w:marBottom w:val="0"/>
                      <w:divBdr>
                        <w:top w:val="none" w:sz="0" w:space="0" w:color="auto"/>
                        <w:left w:val="none" w:sz="0" w:space="0" w:color="auto"/>
                        <w:bottom w:val="none" w:sz="0" w:space="0" w:color="auto"/>
                        <w:right w:val="none" w:sz="0" w:space="0" w:color="auto"/>
                      </w:divBdr>
                    </w:div>
                  </w:divsChild>
                </w:div>
                <w:div w:id="1355497337">
                  <w:marLeft w:val="0"/>
                  <w:marRight w:val="0"/>
                  <w:marTop w:val="0"/>
                  <w:marBottom w:val="0"/>
                  <w:divBdr>
                    <w:top w:val="none" w:sz="0" w:space="0" w:color="auto"/>
                    <w:left w:val="none" w:sz="0" w:space="0" w:color="auto"/>
                    <w:bottom w:val="none" w:sz="0" w:space="0" w:color="auto"/>
                    <w:right w:val="none" w:sz="0" w:space="0" w:color="auto"/>
                  </w:divBdr>
                  <w:divsChild>
                    <w:div w:id="1701470360">
                      <w:marLeft w:val="0"/>
                      <w:marRight w:val="0"/>
                      <w:marTop w:val="0"/>
                      <w:marBottom w:val="0"/>
                      <w:divBdr>
                        <w:top w:val="none" w:sz="0" w:space="0" w:color="auto"/>
                        <w:left w:val="none" w:sz="0" w:space="0" w:color="auto"/>
                        <w:bottom w:val="none" w:sz="0" w:space="0" w:color="auto"/>
                        <w:right w:val="none" w:sz="0" w:space="0" w:color="auto"/>
                      </w:divBdr>
                    </w:div>
                  </w:divsChild>
                </w:div>
                <w:div w:id="1435789433">
                  <w:marLeft w:val="0"/>
                  <w:marRight w:val="0"/>
                  <w:marTop w:val="0"/>
                  <w:marBottom w:val="0"/>
                  <w:divBdr>
                    <w:top w:val="none" w:sz="0" w:space="0" w:color="auto"/>
                    <w:left w:val="none" w:sz="0" w:space="0" w:color="auto"/>
                    <w:bottom w:val="none" w:sz="0" w:space="0" w:color="auto"/>
                    <w:right w:val="none" w:sz="0" w:space="0" w:color="auto"/>
                  </w:divBdr>
                  <w:divsChild>
                    <w:div w:id="680744775">
                      <w:marLeft w:val="0"/>
                      <w:marRight w:val="0"/>
                      <w:marTop w:val="0"/>
                      <w:marBottom w:val="0"/>
                      <w:divBdr>
                        <w:top w:val="none" w:sz="0" w:space="0" w:color="auto"/>
                        <w:left w:val="none" w:sz="0" w:space="0" w:color="auto"/>
                        <w:bottom w:val="none" w:sz="0" w:space="0" w:color="auto"/>
                        <w:right w:val="none" w:sz="0" w:space="0" w:color="auto"/>
                      </w:divBdr>
                    </w:div>
                  </w:divsChild>
                </w:div>
                <w:div w:id="1794598385">
                  <w:marLeft w:val="0"/>
                  <w:marRight w:val="0"/>
                  <w:marTop w:val="0"/>
                  <w:marBottom w:val="0"/>
                  <w:divBdr>
                    <w:top w:val="none" w:sz="0" w:space="0" w:color="auto"/>
                    <w:left w:val="none" w:sz="0" w:space="0" w:color="auto"/>
                    <w:bottom w:val="none" w:sz="0" w:space="0" w:color="auto"/>
                    <w:right w:val="none" w:sz="0" w:space="0" w:color="auto"/>
                  </w:divBdr>
                  <w:divsChild>
                    <w:div w:id="784737148">
                      <w:marLeft w:val="0"/>
                      <w:marRight w:val="0"/>
                      <w:marTop w:val="0"/>
                      <w:marBottom w:val="0"/>
                      <w:divBdr>
                        <w:top w:val="none" w:sz="0" w:space="0" w:color="auto"/>
                        <w:left w:val="none" w:sz="0" w:space="0" w:color="auto"/>
                        <w:bottom w:val="none" w:sz="0" w:space="0" w:color="auto"/>
                        <w:right w:val="none" w:sz="0" w:space="0" w:color="auto"/>
                      </w:divBdr>
                    </w:div>
                  </w:divsChild>
                </w:div>
                <w:div w:id="1845509646">
                  <w:marLeft w:val="0"/>
                  <w:marRight w:val="0"/>
                  <w:marTop w:val="0"/>
                  <w:marBottom w:val="0"/>
                  <w:divBdr>
                    <w:top w:val="none" w:sz="0" w:space="0" w:color="auto"/>
                    <w:left w:val="none" w:sz="0" w:space="0" w:color="auto"/>
                    <w:bottom w:val="none" w:sz="0" w:space="0" w:color="auto"/>
                    <w:right w:val="none" w:sz="0" w:space="0" w:color="auto"/>
                  </w:divBdr>
                  <w:divsChild>
                    <w:div w:id="1851136485">
                      <w:marLeft w:val="0"/>
                      <w:marRight w:val="0"/>
                      <w:marTop w:val="0"/>
                      <w:marBottom w:val="0"/>
                      <w:divBdr>
                        <w:top w:val="none" w:sz="0" w:space="0" w:color="auto"/>
                        <w:left w:val="none" w:sz="0" w:space="0" w:color="auto"/>
                        <w:bottom w:val="none" w:sz="0" w:space="0" w:color="auto"/>
                        <w:right w:val="none" w:sz="0" w:space="0" w:color="auto"/>
                      </w:divBdr>
                    </w:div>
                  </w:divsChild>
                </w:div>
                <w:div w:id="1846705616">
                  <w:marLeft w:val="0"/>
                  <w:marRight w:val="0"/>
                  <w:marTop w:val="0"/>
                  <w:marBottom w:val="0"/>
                  <w:divBdr>
                    <w:top w:val="none" w:sz="0" w:space="0" w:color="auto"/>
                    <w:left w:val="none" w:sz="0" w:space="0" w:color="auto"/>
                    <w:bottom w:val="none" w:sz="0" w:space="0" w:color="auto"/>
                    <w:right w:val="none" w:sz="0" w:space="0" w:color="auto"/>
                  </w:divBdr>
                  <w:divsChild>
                    <w:div w:id="1815829143">
                      <w:marLeft w:val="0"/>
                      <w:marRight w:val="0"/>
                      <w:marTop w:val="0"/>
                      <w:marBottom w:val="0"/>
                      <w:divBdr>
                        <w:top w:val="none" w:sz="0" w:space="0" w:color="auto"/>
                        <w:left w:val="none" w:sz="0" w:space="0" w:color="auto"/>
                        <w:bottom w:val="none" w:sz="0" w:space="0" w:color="auto"/>
                        <w:right w:val="none" w:sz="0" w:space="0" w:color="auto"/>
                      </w:divBdr>
                    </w:div>
                  </w:divsChild>
                </w:div>
                <w:div w:id="1851141940">
                  <w:marLeft w:val="0"/>
                  <w:marRight w:val="0"/>
                  <w:marTop w:val="0"/>
                  <w:marBottom w:val="0"/>
                  <w:divBdr>
                    <w:top w:val="none" w:sz="0" w:space="0" w:color="auto"/>
                    <w:left w:val="none" w:sz="0" w:space="0" w:color="auto"/>
                    <w:bottom w:val="none" w:sz="0" w:space="0" w:color="auto"/>
                    <w:right w:val="none" w:sz="0" w:space="0" w:color="auto"/>
                  </w:divBdr>
                  <w:divsChild>
                    <w:div w:id="696780890">
                      <w:marLeft w:val="0"/>
                      <w:marRight w:val="0"/>
                      <w:marTop w:val="0"/>
                      <w:marBottom w:val="0"/>
                      <w:divBdr>
                        <w:top w:val="none" w:sz="0" w:space="0" w:color="auto"/>
                        <w:left w:val="none" w:sz="0" w:space="0" w:color="auto"/>
                        <w:bottom w:val="none" w:sz="0" w:space="0" w:color="auto"/>
                        <w:right w:val="none" w:sz="0" w:space="0" w:color="auto"/>
                      </w:divBdr>
                    </w:div>
                  </w:divsChild>
                </w:div>
                <w:div w:id="1994141955">
                  <w:marLeft w:val="0"/>
                  <w:marRight w:val="0"/>
                  <w:marTop w:val="0"/>
                  <w:marBottom w:val="0"/>
                  <w:divBdr>
                    <w:top w:val="none" w:sz="0" w:space="0" w:color="auto"/>
                    <w:left w:val="none" w:sz="0" w:space="0" w:color="auto"/>
                    <w:bottom w:val="none" w:sz="0" w:space="0" w:color="auto"/>
                    <w:right w:val="none" w:sz="0" w:space="0" w:color="auto"/>
                  </w:divBdr>
                  <w:divsChild>
                    <w:div w:id="557712597">
                      <w:marLeft w:val="0"/>
                      <w:marRight w:val="0"/>
                      <w:marTop w:val="0"/>
                      <w:marBottom w:val="0"/>
                      <w:divBdr>
                        <w:top w:val="none" w:sz="0" w:space="0" w:color="auto"/>
                        <w:left w:val="none" w:sz="0" w:space="0" w:color="auto"/>
                        <w:bottom w:val="none" w:sz="0" w:space="0" w:color="auto"/>
                        <w:right w:val="none" w:sz="0" w:space="0" w:color="auto"/>
                      </w:divBdr>
                    </w:div>
                  </w:divsChild>
                </w:div>
                <w:div w:id="2011105215">
                  <w:marLeft w:val="0"/>
                  <w:marRight w:val="0"/>
                  <w:marTop w:val="0"/>
                  <w:marBottom w:val="0"/>
                  <w:divBdr>
                    <w:top w:val="none" w:sz="0" w:space="0" w:color="auto"/>
                    <w:left w:val="none" w:sz="0" w:space="0" w:color="auto"/>
                    <w:bottom w:val="none" w:sz="0" w:space="0" w:color="auto"/>
                    <w:right w:val="none" w:sz="0" w:space="0" w:color="auto"/>
                  </w:divBdr>
                  <w:divsChild>
                    <w:div w:id="13457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49320">
          <w:marLeft w:val="0"/>
          <w:marRight w:val="0"/>
          <w:marTop w:val="0"/>
          <w:marBottom w:val="0"/>
          <w:divBdr>
            <w:top w:val="none" w:sz="0" w:space="0" w:color="auto"/>
            <w:left w:val="none" w:sz="0" w:space="0" w:color="auto"/>
            <w:bottom w:val="none" w:sz="0" w:space="0" w:color="auto"/>
            <w:right w:val="none" w:sz="0" w:space="0" w:color="auto"/>
          </w:divBdr>
          <w:divsChild>
            <w:div w:id="74203040">
              <w:marLeft w:val="0"/>
              <w:marRight w:val="0"/>
              <w:marTop w:val="0"/>
              <w:marBottom w:val="0"/>
              <w:divBdr>
                <w:top w:val="none" w:sz="0" w:space="0" w:color="auto"/>
                <w:left w:val="none" w:sz="0" w:space="0" w:color="auto"/>
                <w:bottom w:val="none" w:sz="0" w:space="0" w:color="auto"/>
                <w:right w:val="none" w:sz="0" w:space="0" w:color="auto"/>
              </w:divBdr>
            </w:div>
            <w:div w:id="92020148">
              <w:marLeft w:val="0"/>
              <w:marRight w:val="0"/>
              <w:marTop w:val="0"/>
              <w:marBottom w:val="0"/>
              <w:divBdr>
                <w:top w:val="none" w:sz="0" w:space="0" w:color="auto"/>
                <w:left w:val="none" w:sz="0" w:space="0" w:color="auto"/>
                <w:bottom w:val="none" w:sz="0" w:space="0" w:color="auto"/>
                <w:right w:val="none" w:sz="0" w:space="0" w:color="auto"/>
              </w:divBdr>
            </w:div>
            <w:div w:id="401873510">
              <w:marLeft w:val="0"/>
              <w:marRight w:val="0"/>
              <w:marTop w:val="0"/>
              <w:marBottom w:val="0"/>
              <w:divBdr>
                <w:top w:val="none" w:sz="0" w:space="0" w:color="auto"/>
                <w:left w:val="none" w:sz="0" w:space="0" w:color="auto"/>
                <w:bottom w:val="none" w:sz="0" w:space="0" w:color="auto"/>
                <w:right w:val="none" w:sz="0" w:space="0" w:color="auto"/>
              </w:divBdr>
            </w:div>
            <w:div w:id="522400765">
              <w:marLeft w:val="0"/>
              <w:marRight w:val="0"/>
              <w:marTop w:val="0"/>
              <w:marBottom w:val="0"/>
              <w:divBdr>
                <w:top w:val="none" w:sz="0" w:space="0" w:color="auto"/>
                <w:left w:val="none" w:sz="0" w:space="0" w:color="auto"/>
                <w:bottom w:val="none" w:sz="0" w:space="0" w:color="auto"/>
                <w:right w:val="none" w:sz="0" w:space="0" w:color="auto"/>
              </w:divBdr>
            </w:div>
            <w:div w:id="687098156">
              <w:marLeft w:val="0"/>
              <w:marRight w:val="0"/>
              <w:marTop w:val="0"/>
              <w:marBottom w:val="0"/>
              <w:divBdr>
                <w:top w:val="none" w:sz="0" w:space="0" w:color="auto"/>
                <w:left w:val="none" w:sz="0" w:space="0" w:color="auto"/>
                <w:bottom w:val="none" w:sz="0" w:space="0" w:color="auto"/>
                <w:right w:val="none" w:sz="0" w:space="0" w:color="auto"/>
              </w:divBdr>
            </w:div>
            <w:div w:id="941230063">
              <w:marLeft w:val="0"/>
              <w:marRight w:val="0"/>
              <w:marTop w:val="0"/>
              <w:marBottom w:val="0"/>
              <w:divBdr>
                <w:top w:val="none" w:sz="0" w:space="0" w:color="auto"/>
                <w:left w:val="none" w:sz="0" w:space="0" w:color="auto"/>
                <w:bottom w:val="none" w:sz="0" w:space="0" w:color="auto"/>
                <w:right w:val="none" w:sz="0" w:space="0" w:color="auto"/>
              </w:divBdr>
            </w:div>
            <w:div w:id="957760008">
              <w:marLeft w:val="0"/>
              <w:marRight w:val="0"/>
              <w:marTop w:val="0"/>
              <w:marBottom w:val="0"/>
              <w:divBdr>
                <w:top w:val="none" w:sz="0" w:space="0" w:color="auto"/>
                <w:left w:val="none" w:sz="0" w:space="0" w:color="auto"/>
                <w:bottom w:val="none" w:sz="0" w:space="0" w:color="auto"/>
                <w:right w:val="none" w:sz="0" w:space="0" w:color="auto"/>
              </w:divBdr>
            </w:div>
            <w:div w:id="1008095747">
              <w:marLeft w:val="0"/>
              <w:marRight w:val="0"/>
              <w:marTop w:val="0"/>
              <w:marBottom w:val="0"/>
              <w:divBdr>
                <w:top w:val="none" w:sz="0" w:space="0" w:color="auto"/>
                <w:left w:val="none" w:sz="0" w:space="0" w:color="auto"/>
                <w:bottom w:val="none" w:sz="0" w:space="0" w:color="auto"/>
                <w:right w:val="none" w:sz="0" w:space="0" w:color="auto"/>
              </w:divBdr>
            </w:div>
            <w:div w:id="1053391127">
              <w:marLeft w:val="0"/>
              <w:marRight w:val="0"/>
              <w:marTop w:val="0"/>
              <w:marBottom w:val="0"/>
              <w:divBdr>
                <w:top w:val="none" w:sz="0" w:space="0" w:color="auto"/>
                <w:left w:val="none" w:sz="0" w:space="0" w:color="auto"/>
                <w:bottom w:val="none" w:sz="0" w:space="0" w:color="auto"/>
                <w:right w:val="none" w:sz="0" w:space="0" w:color="auto"/>
              </w:divBdr>
            </w:div>
            <w:div w:id="1061178354">
              <w:marLeft w:val="0"/>
              <w:marRight w:val="0"/>
              <w:marTop w:val="0"/>
              <w:marBottom w:val="0"/>
              <w:divBdr>
                <w:top w:val="none" w:sz="0" w:space="0" w:color="auto"/>
                <w:left w:val="none" w:sz="0" w:space="0" w:color="auto"/>
                <w:bottom w:val="none" w:sz="0" w:space="0" w:color="auto"/>
                <w:right w:val="none" w:sz="0" w:space="0" w:color="auto"/>
              </w:divBdr>
            </w:div>
            <w:div w:id="1308973208">
              <w:marLeft w:val="0"/>
              <w:marRight w:val="0"/>
              <w:marTop w:val="0"/>
              <w:marBottom w:val="0"/>
              <w:divBdr>
                <w:top w:val="none" w:sz="0" w:space="0" w:color="auto"/>
                <w:left w:val="none" w:sz="0" w:space="0" w:color="auto"/>
                <w:bottom w:val="none" w:sz="0" w:space="0" w:color="auto"/>
                <w:right w:val="none" w:sz="0" w:space="0" w:color="auto"/>
              </w:divBdr>
            </w:div>
            <w:div w:id="1325090741">
              <w:marLeft w:val="0"/>
              <w:marRight w:val="0"/>
              <w:marTop w:val="0"/>
              <w:marBottom w:val="0"/>
              <w:divBdr>
                <w:top w:val="none" w:sz="0" w:space="0" w:color="auto"/>
                <w:left w:val="none" w:sz="0" w:space="0" w:color="auto"/>
                <w:bottom w:val="none" w:sz="0" w:space="0" w:color="auto"/>
                <w:right w:val="none" w:sz="0" w:space="0" w:color="auto"/>
              </w:divBdr>
            </w:div>
            <w:div w:id="1352757222">
              <w:marLeft w:val="0"/>
              <w:marRight w:val="0"/>
              <w:marTop w:val="0"/>
              <w:marBottom w:val="0"/>
              <w:divBdr>
                <w:top w:val="none" w:sz="0" w:space="0" w:color="auto"/>
                <w:left w:val="none" w:sz="0" w:space="0" w:color="auto"/>
                <w:bottom w:val="none" w:sz="0" w:space="0" w:color="auto"/>
                <w:right w:val="none" w:sz="0" w:space="0" w:color="auto"/>
              </w:divBdr>
            </w:div>
            <w:div w:id="1398669781">
              <w:marLeft w:val="0"/>
              <w:marRight w:val="0"/>
              <w:marTop w:val="0"/>
              <w:marBottom w:val="0"/>
              <w:divBdr>
                <w:top w:val="none" w:sz="0" w:space="0" w:color="auto"/>
                <w:left w:val="none" w:sz="0" w:space="0" w:color="auto"/>
                <w:bottom w:val="none" w:sz="0" w:space="0" w:color="auto"/>
                <w:right w:val="none" w:sz="0" w:space="0" w:color="auto"/>
              </w:divBdr>
            </w:div>
            <w:div w:id="1421831284">
              <w:marLeft w:val="0"/>
              <w:marRight w:val="0"/>
              <w:marTop w:val="0"/>
              <w:marBottom w:val="0"/>
              <w:divBdr>
                <w:top w:val="none" w:sz="0" w:space="0" w:color="auto"/>
                <w:left w:val="none" w:sz="0" w:space="0" w:color="auto"/>
                <w:bottom w:val="none" w:sz="0" w:space="0" w:color="auto"/>
                <w:right w:val="none" w:sz="0" w:space="0" w:color="auto"/>
              </w:divBdr>
            </w:div>
            <w:div w:id="1438793246">
              <w:marLeft w:val="0"/>
              <w:marRight w:val="0"/>
              <w:marTop w:val="0"/>
              <w:marBottom w:val="0"/>
              <w:divBdr>
                <w:top w:val="none" w:sz="0" w:space="0" w:color="auto"/>
                <w:left w:val="none" w:sz="0" w:space="0" w:color="auto"/>
                <w:bottom w:val="none" w:sz="0" w:space="0" w:color="auto"/>
                <w:right w:val="none" w:sz="0" w:space="0" w:color="auto"/>
              </w:divBdr>
            </w:div>
            <w:div w:id="1568615995">
              <w:marLeft w:val="0"/>
              <w:marRight w:val="0"/>
              <w:marTop w:val="0"/>
              <w:marBottom w:val="0"/>
              <w:divBdr>
                <w:top w:val="none" w:sz="0" w:space="0" w:color="auto"/>
                <w:left w:val="none" w:sz="0" w:space="0" w:color="auto"/>
                <w:bottom w:val="none" w:sz="0" w:space="0" w:color="auto"/>
                <w:right w:val="none" w:sz="0" w:space="0" w:color="auto"/>
              </w:divBdr>
            </w:div>
            <w:div w:id="1864510170">
              <w:marLeft w:val="0"/>
              <w:marRight w:val="0"/>
              <w:marTop w:val="0"/>
              <w:marBottom w:val="0"/>
              <w:divBdr>
                <w:top w:val="none" w:sz="0" w:space="0" w:color="auto"/>
                <w:left w:val="none" w:sz="0" w:space="0" w:color="auto"/>
                <w:bottom w:val="none" w:sz="0" w:space="0" w:color="auto"/>
                <w:right w:val="none" w:sz="0" w:space="0" w:color="auto"/>
              </w:divBdr>
            </w:div>
            <w:div w:id="1999113929">
              <w:marLeft w:val="0"/>
              <w:marRight w:val="0"/>
              <w:marTop w:val="0"/>
              <w:marBottom w:val="0"/>
              <w:divBdr>
                <w:top w:val="none" w:sz="0" w:space="0" w:color="auto"/>
                <w:left w:val="none" w:sz="0" w:space="0" w:color="auto"/>
                <w:bottom w:val="none" w:sz="0" w:space="0" w:color="auto"/>
                <w:right w:val="none" w:sz="0" w:space="0" w:color="auto"/>
              </w:divBdr>
            </w:div>
            <w:div w:id="2061710028">
              <w:marLeft w:val="0"/>
              <w:marRight w:val="0"/>
              <w:marTop w:val="0"/>
              <w:marBottom w:val="0"/>
              <w:divBdr>
                <w:top w:val="none" w:sz="0" w:space="0" w:color="auto"/>
                <w:left w:val="none" w:sz="0" w:space="0" w:color="auto"/>
                <w:bottom w:val="none" w:sz="0" w:space="0" w:color="auto"/>
                <w:right w:val="none" w:sz="0" w:space="0" w:color="auto"/>
              </w:divBdr>
            </w:div>
          </w:divsChild>
        </w:div>
        <w:div w:id="397823454">
          <w:marLeft w:val="0"/>
          <w:marRight w:val="0"/>
          <w:marTop w:val="0"/>
          <w:marBottom w:val="0"/>
          <w:divBdr>
            <w:top w:val="none" w:sz="0" w:space="0" w:color="auto"/>
            <w:left w:val="none" w:sz="0" w:space="0" w:color="auto"/>
            <w:bottom w:val="none" w:sz="0" w:space="0" w:color="auto"/>
            <w:right w:val="none" w:sz="0" w:space="0" w:color="auto"/>
          </w:divBdr>
        </w:div>
        <w:div w:id="434133054">
          <w:marLeft w:val="0"/>
          <w:marRight w:val="0"/>
          <w:marTop w:val="0"/>
          <w:marBottom w:val="0"/>
          <w:divBdr>
            <w:top w:val="none" w:sz="0" w:space="0" w:color="auto"/>
            <w:left w:val="none" w:sz="0" w:space="0" w:color="auto"/>
            <w:bottom w:val="none" w:sz="0" w:space="0" w:color="auto"/>
            <w:right w:val="none" w:sz="0" w:space="0" w:color="auto"/>
          </w:divBdr>
        </w:div>
        <w:div w:id="452603804">
          <w:marLeft w:val="0"/>
          <w:marRight w:val="0"/>
          <w:marTop w:val="0"/>
          <w:marBottom w:val="0"/>
          <w:divBdr>
            <w:top w:val="none" w:sz="0" w:space="0" w:color="auto"/>
            <w:left w:val="none" w:sz="0" w:space="0" w:color="auto"/>
            <w:bottom w:val="none" w:sz="0" w:space="0" w:color="auto"/>
            <w:right w:val="none" w:sz="0" w:space="0" w:color="auto"/>
          </w:divBdr>
        </w:div>
        <w:div w:id="454756748">
          <w:marLeft w:val="0"/>
          <w:marRight w:val="0"/>
          <w:marTop w:val="0"/>
          <w:marBottom w:val="0"/>
          <w:divBdr>
            <w:top w:val="none" w:sz="0" w:space="0" w:color="auto"/>
            <w:left w:val="none" w:sz="0" w:space="0" w:color="auto"/>
            <w:bottom w:val="none" w:sz="0" w:space="0" w:color="auto"/>
            <w:right w:val="none" w:sz="0" w:space="0" w:color="auto"/>
          </w:divBdr>
        </w:div>
        <w:div w:id="463085924">
          <w:marLeft w:val="0"/>
          <w:marRight w:val="0"/>
          <w:marTop w:val="0"/>
          <w:marBottom w:val="0"/>
          <w:divBdr>
            <w:top w:val="none" w:sz="0" w:space="0" w:color="auto"/>
            <w:left w:val="none" w:sz="0" w:space="0" w:color="auto"/>
            <w:bottom w:val="none" w:sz="0" w:space="0" w:color="auto"/>
            <w:right w:val="none" w:sz="0" w:space="0" w:color="auto"/>
          </w:divBdr>
        </w:div>
        <w:div w:id="465782185">
          <w:marLeft w:val="0"/>
          <w:marRight w:val="0"/>
          <w:marTop w:val="0"/>
          <w:marBottom w:val="0"/>
          <w:divBdr>
            <w:top w:val="none" w:sz="0" w:space="0" w:color="auto"/>
            <w:left w:val="none" w:sz="0" w:space="0" w:color="auto"/>
            <w:bottom w:val="none" w:sz="0" w:space="0" w:color="auto"/>
            <w:right w:val="none" w:sz="0" w:space="0" w:color="auto"/>
          </w:divBdr>
        </w:div>
        <w:div w:id="472139618">
          <w:marLeft w:val="0"/>
          <w:marRight w:val="0"/>
          <w:marTop w:val="0"/>
          <w:marBottom w:val="0"/>
          <w:divBdr>
            <w:top w:val="none" w:sz="0" w:space="0" w:color="auto"/>
            <w:left w:val="none" w:sz="0" w:space="0" w:color="auto"/>
            <w:bottom w:val="none" w:sz="0" w:space="0" w:color="auto"/>
            <w:right w:val="none" w:sz="0" w:space="0" w:color="auto"/>
          </w:divBdr>
          <w:divsChild>
            <w:div w:id="1746339437">
              <w:marLeft w:val="-75"/>
              <w:marRight w:val="0"/>
              <w:marTop w:val="30"/>
              <w:marBottom w:val="30"/>
              <w:divBdr>
                <w:top w:val="none" w:sz="0" w:space="0" w:color="auto"/>
                <w:left w:val="none" w:sz="0" w:space="0" w:color="auto"/>
                <w:bottom w:val="none" w:sz="0" w:space="0" w:color="auto"/>
                <w:right w:val="none" w:sz="0" w:space="0" w:color="auto"/>
              </w:divBdr>
              <w:divsChild>
                <w:div w:id="97483203">
                  <w:marLeft w:val="0"/>
                  <w:marRight w:val="0"/>
                  <w:marTop w:val="0"/>
                  <w:marBottom w:val="0"/>
                  <w:divBdr>
                    <w:top w:val="none" w:sz="0" w:space="0" w:color="auto"/>
                    <w:left w:val="none" w:sz="0" w:space="0" w:color="auto"/>
                    <w:bottom w:val="none" w:sz="0" w:space="0" w:color="auto"/>
                    <w:right w:val="none" w:sz="0" w:space="0" w:color="auto"/>
                  </w:divBdr>
                  <w:divsChild>
                    <w:div w:id="1017074520">
                      <w:marLeft w:val="0"/>
                      <w:marRight w:val="0"/>
                      <w:marTop w:val="0"/>
                      <w:marBottom w:val="0"/>
                      <w:divBdr>
                        <w:top w:val="none" w:sz="0" w:space="0" w:color="auto"/>
                        <w:left w:val="none" w:sz="0" w:space="0" w:color="auto"/>
                        <w:bottom w:val="none" w:sz="0" w:space="0" w:color="auto"/>
                        <w:right w:val="none" w:sz="0" w:space="0" w:color="auto"/>
                      </w:divBdr>
                    </w:div>
                  </w:divsChild>
                </w:div>
                <w:div w:id="302009825">
                  <w:marLeft w:val="0"/>
                  <w:marRight w:val="0"/>
                  <w:marTop w:val="0"/>
                  <w:marBottom w:val="0"/>
                  <w:divBdr>
                    <w:top w:val="none" w:sz="0" w:space="0" w:color="auto"/>
                    <w:left w:val="none" w:sz="0" w:space="0" w:color="auto"/>
                    <w:bottom w:val="none" w:sz="0" w:space="0" w:color="auto"/>
                    <w:right w:val="none" w:sz="0" w:space="0" w:color="auto"/>
                  </w:divBdr>
                  <w:divsChild>
                    <w:div w:id="1638100887">
                      <w:marLeft w:val="0"/>
                      <w:marRight w:val="0"/>
                      <w:marTop w:val="0"/>
                      <w:marBottom w:val="0"/>
                      <w:divBdr>
                        <w:top w:val="none" w:sz="0" w:space="0" w:color="auto"/>
                        <w:left w:val="none" w:sz="0" w:space="0" w:color="auto"/>
                        <w:bottom w:val="none" w:sz="0" w:space="0" w:color="auto"/>
                        <w:right w:val="none" w:sz="0" w:space="0" w:color="auto"/>
                      </w:divBdr>
                    </w:div>
                  </w:divsChild>
                </w:div>
                <w:div w:id="309989239">
                  <w:marLeft w:val="0"/>
                  <w:marRight w:val="0"/>
                  <w:marTop w:val="0"/>
                  <w:marBottom w:val="0"/>
                  <w:divBdr>
                    <w:top w:val="none" w:sz="0" w:space="0" w:color="auto"/>
                    <w:left w:val="none" w:sz="0" w:space="0" w:color="auto"/>
                    <w:bottom w:val="none" w:sz="0" w:space="0" w:color="auto"/>
                    <w:right w:val="none" w:sz="0" w:space="0" w:color="auto"/>
                  </w:divBdr>
                  <w:divsChild>
                    <w:div w:id="1988198219">
                      <w:marLeft w:val="0"/>
                      <w:marRight w:val="0"/>
                      <w:marTop w:val="0"/>
                      <w:marBottom w:val="0"/>
                      <w:divBdr>
                        <w:top w:val="none" w:sz="0" w:space="0" w:color="auto"/>
                        <w:left w:val="none" w:sz="0" w:space="0" w:color="auto"/>
                        <w:bottom w:val="none" w:sz="0" w:space="0" w:color="auto"/>
                        <w:right w:val="none" w:sz="0" w:space="0" w:color="auto"/>
                      </w:divBdr>
                    </w:div>
                  </w:divsChild>
                </w:div>
                <w:div w:id="359665170">
                  <w:marLeft w:val="0"/>
                  <w:marRight w:val="0"/>
                  <w:marTop w:val="0"/>
                  <w:marBottom w:val="0"/>
                  <w:divBdr>
                    <w:top w:val="none" w:sz="0" w:space="0" w:color="auto"/>
                    <w:left w:val="none" w:sz="0" w:space="0" w:color="auto"/>
                    <w:bottom w:val="none" w:sz="0" w:space="0" w:color="auto"/>
                    <w:right w:val="none" w:sz="0" w:space="0" w:color="auto"/>
                  </w:divBdr>
                  <w:divsChild>
                    <w:div w:id="644167935">
                      <w:marLeft w:val="0"/>
                      <w:marRight w:val="0"/>
                      <w:marTop w:val="0"/>
                      <w:marBottom w:val="0"/>
                      <w:divBdr>
                        <w:top w:val="none" w:sz="0" w:space="0" w:color="auto"/>
                        <w:left w:val="none" w:sz="0" w:space="0" w:color="auto"/>
                        <w:bottom w:val="none" w:sz="0" w:space="0" w:color="auto"/>
                        <w:right w:val="none" w:sz="0" w:space="0" w:color="auto"/>
                      </w:divBdr>
                    </w:div>
                  </w:divsChild>
                </w:div>
                <w:div w:id="422067516">
                  <w:marLeft w:val="0"/>
                  <w:marRight w:val="0"/>
                  <w:marTop w:val="0"/>
                  <w:marBottom w:val="0"/>
                  <w:divBdr>
                    <w:top w:val="none" w:sz="0" w:space="0" w:color="auto"/>
                    <w:left w:val="none" w:sz="0" w:space="0" w:color="auto"/>
                    <w:bottom w:val="none" w:sz="0" w:space="0" w:color="auto"/>
                    <w:right w:val="none" w:sz="0" w:space="0" w:color="auto"/>
                  </w:divBdr>
                  <w:divsChild>
                    <w:div w:id="1365785928">
                      <w:marLeft w:val="0"/>
                      <w:marRight w:val="0"/>
                      <w:marTop w:val="0"/>
                      <w:marBottom w:val="0"/>
                      <w:divBdr>
                        <w:top w:val="none" w:sz="0" w:space="0" w:color="auto"/>
                        <w:left w:val="none" w:sz="0" w:space="0" w:color="auto"/>
                        <w:bottom w:val="none" w:sz="0" w:space="0" w:color="auto"/>
                        <w:right w:val="none" w:sz="0" w:space="0" w:color="auto"/>
                      </w:divBdr>
                    </w:div>
                  </w:divsChild>
                </w:div>
                <w:div w:id="507017138">
                  <w:marLeft w:val="0"/>
                  <w:marRight w:val="0"/>
                  <w:marTop w:val="0"/>
                  <w:marBottom w:val="0"/>
                  <w:divBdr>
                    <w:top w:val="none" w:sz="0" w:space="0" w:color="auto"/>
                    <w:left w:val="none" w:sz="0" w:space="0" w:color="auto"/>
                    <w:bottom w:val="none" w:sz="0" w:space="0" w:color="auto"/>
                    <w:right w:val="none" w:sz="0" w:space="0" w:color="auto"/>
                  </w:divBdr>
                  <w:divsChild>
                    <w:div w:id="1608661974">
                      <w:marLeft w:val="0"/>
                      <w:marRight w:val="0"/>
                      <w:marTop w:val="0"/>
                      <w:marBottom w:val="0"/>
                      <w:divBdr>
                        <w:top w:val="none" w:sz="0" w:space="0" w:color="auto"/>
                        <w:left w:val="none" w:sz="0" w:space="0" w:color="auto"/>
                        <w:bottom w:val="none" w:sz="0" w:space="0" w:color="auto"/>
                        <w:right w:val="none" w:sz="0" w:space="0" w:color="auto"/>
                      </w:divBdr>
                    </w:div>
                  </w:divsChild>
                </w:div>
                <w:div w:id="543756241">
                  <w:marLeft w:val="0"/>
                  <w:marRight w:val="0"/>
                  <w:marTop w:val="0"/>
                  <w:marBottom w:val="0"/>
                  <w:divBdr>
                    <w:top w:val="none" w:sz="0" w:space="0" w:color="auto"/>
                    <w:left w:val="none" w:sz="0" w:space="0" w:color="auto"/>
                    <w:bottom w:val="none" w:sz="0" w:space="0" w:color="auto"/>
                    <w:right w:val="none" w:sz="0" w:space="0" w:color="auto"/>
                  </w:divBdr>
                  <w:divsChild>
                    <w:div w:id="866481201">
                      <w:marLeft w:val="0"/>
                      <w:marRight w:val="0"/>
                      <w:marTop w:val="0"/>
                      <w:marBottom w:val="0"/>
                      <w:divBdr>
                        <w:top w:val="none" w:sz="0" w:space="0" w:color="auto"/>
                        <w:left w:val="none" w:sz="0" w:space="0" w:color="auto"/>
                        <w:bottom w:val="none" w:sz="0" w:space="0" w:color="auto"/>
                        <w:right w:val="none" w:sz="0" w:space="0" w:color="auto"/>
                      </w:divBdr>
                    </w:div>
                  </w:divsChild>
                </w:div>
                <w:div w:id="557135228">
                  <w:marLeft w:val="0"/>
                  <w:marRight w:val="0"/>
                  <w:marTop w:val="0"/>
                  <w:marBottom w:val="0"/>
                  <w:divBdr>
                    <w:top w:val="none" w:sz="0" w:space="0" w:color="auto"/>
                    <w:left w:val="none" w:sz="0" w:space="0" w:color="auto"/>
                    <w:bottom w:val="none" w:sz="0" w:space="0" w:color="auto"/>
                    <w:right w:val="none" w:sz="0" w:space="0" w:color="auto"/>
                  </w:divBdr>
                  <w:divsChild>
                    <w:div w:id="2124419741">
                      <w:marLeft w:val="0"/>
                      <w:marRight w:val="0"/>
                      <w:marTop w:val="0"/>
                      <w:marBottom w:val="0"/>
                      <w:divBdr>
                        <w:top w:val="none" w:sz="0" w:space="0" w:color="auto"/>
                        <w:left w:val="none" w:sz="0" w:space="0" w:color="auto"/>
                        <w:bottom w:val="none" w:sz="0" w:space="0" w:color="auto"/>
                        <w:right w:val="none" w:sz="0" w:space="0" w:color="auto"/>
                      </w:divBdr>
                    </w:div>
                  </w:divsChild>
                </w:div>
                <w:div w:id="656036630">
                  <w:marLeft w:val="0"/>
                  <w:marRight w:val="0"/>
                  <w:marTop w:val="0"/>
                  <w:marBottom w:val="0"/>
                  <w:divBdr>
                    <w:top w:val="none" w:sz="0" w:space="0" w:color="auto"/>
                    <w:left w:val="none" w:sz="0" w:space="0" w:color="auto"/>
                    <w:bottom w:val="none" w:sz="0" w:space="0" w:color="auto"/>
                    <w:right w:val="none" w:sz="0" w:space="0" w:color="auto"/>
                  </w:divBdr>
                  <w:divsChild>
                    <w:div w:id="871964638">
                      <w:marLeft w:val="0"/>
                      <w:marRight w:val="0"/>
                      <w:marTop w:val="0"/>
                      <w:marBottom w:val="0"/>
                      <w:divBdr>
                        <w:top w:val="none" w:sz="0" w:space="0" w:color="auto"/>
                        <w:left w:val="none" w:sz="0" w:space="0" w:color="auto"/>
                        <w:bottom w:val="none" w:sz="0" w:space="0" w:color="auto"/>
                        <w:right w:val="none" w:sz="0" w:space="0" w:color="auto"/>
                      </w:divBdr>
                    </w:div>
                  </w:divsChild>
                </w:div>
                <w:div w:id="763184487">
                  <w:marLeft w:val="0"/>
                  <w:marRight w:val="0"/>
                  <w:marTop w:val="0"/>
                  <w:marBottom w:val="0"/>
                  <w:divBdr>
                    <w:top w:val="none" w:sz="0" w:space="0" w:color="auto"/>
                    <w:left w:val="none" w:sz="0" w:space="0" w:color="auto"/>
                    <w:bottom w:val="none" w:sz="0" w:space="0" w:color="auto"/>
                    <w:right w:val="none" w:sz="0" w:space="0" w:color="auto"/>
                  </w:divBdr>
                  <w:divsChild>
                    <w:div w:id="1827936292">
                      <w:marLeft w:val="0"/>
                      <w:marRight w:val="0"/>
                      <w:marTop w:val="0"/>
                      <w:marBottom w:val="0"/>
                      <w:divBdr>
                        <w:top w:val="none" w:sz="0" w:space="0" w:color="auto"/>
                        <w:left w:val="none" w:sz="0" w:space="0" w:color="auto"/>
                        <w:bottom w:val="none" w:sz="0" w:space="0" w:color="auto"/>
                        <w:right w:val="none" w:sz="0" w:space="0" w:color="auto"/>
                      </w:divBdr>
                    </w:div>
                  </w:divsChild>
                </w:div>
                <w:div w:id="766772035">
                  <w:marLeft w:val="0"/>
                  <w:marRight w:val="0"/>
                  <w:marTop w:val="0"/>
                  <w:marBottom w:val="0"/>
                  <w:divBdr>
                    <w:top w:val="none" w:sz="0" w:space="0" w:color="auto"/>
                    <w:left w:val="none" w:sz="0" w:space="0" w:color="auto"/>
                    <w:bottom w:val="none" w:sz="0" w:space="0" w:color="auto"/>
                    <w:right w:val="none" w:sz="0" w:space="0" w:color="auto"/>
                  </w:divBdr>
                  <w:divsChild>
                    <w:div w:id="2121560383">
                      <w:marLeft w:val="0"/>
                      <w:marRight w:val="0"/>
                      <w:marTop w:val="0"/>
                      <w:marBottom w:val="0"/>
                      <w:divBdr>
                        <w:top w:val="none" w:sz="0" w:space="0" w:color="auto"/>
                        <w:left w:val="none" w:sz="0" w:space="0" w:color="auto"/>
                        <w:bottom w:val="none" w:sz="0" w:space="0" w:color="auto"/>
                        <w:right w:val="none" w:sz="0" w:space="0" w:color="auto"/>
                      </w:divBdr>
                    </w:div>
                  </w:divsChild>
                </w:div>
                <w:div w:id="826819117">
                  <w:marLeft w:val="0"/>
                  <w:marRight w:val="0"/>
                  <w:marTop w:val="0"/>
                  <w:marBottom w:val="0"/>
                  <w:divBdr>
                    <w:top w:val="none" w:sz="0" w:space="0" w:color="auto"/>
                    <w:left w:val="none" w:sz="0" w:space="0" w:color="auto"/>
                    <w:bottom w:val="none" w:sz="0" w:space="0" w:color="auto"/>
                    <w:right w:val="none" w:sz="0" w:space="0" w:color="auto"/>
                  </w:divBdr>
                  <w:divsChild>
                    <w:div w:id="567419871">
                      <w:marLeft w:val="0"/>
                      <w:marRight w:val="0"/>
                      <w:marTop w:val="0"/>
                      <w:marBottom w:val="0"/>
                      <w:divBdr>
                        <w:top w:val="none" w:sz="0" w:space="0" w:color="auto"/>
                        <w:left w:val="none" w:sz="0" w:space="0" w:color="auto"/>
                        <w:bottom w:val="none" w:sz="0" w:space="0" w:color="auto"/>
                        <w:right w:val="none" w:sz="0" w:space="0" w:color="auto"/>
                      </w:divBdr>
                    </w:div>
                  </w:divsChild>
                </w:div>
                <w:div w:id="893391792">
                  <w:marLeft w:val="0"/>
                  <w:marRight w:val="0"/>
                  <w:marTop w:val="0"/>
                  <w:marBottom w:val="0"/>
                  <w:divBdr>
                    <w:top w:val="none" w:sz="0" w:space="0" w:color="auto"/>
                    <w:left w:val="none" w:sz="0" w:space="0" w:color="auto"/>
                    <w:bottom w:val="none" w:sz="0" w:space="0" w:color="auto"/>
                    <w:right w:val="none" w:sz="0" w:space="0" w:color="auto"/>
                  </w:divBdr>
                  <w:divsChild>
                    <w:div w:id="309866774">
                      <w:marLeft w:val="0"/>
                      <w:marRight w:val="0"/>
                      <w:marTop w:val="0"/>
                      <w:marBottom w:val="0"/>
                      <w:divBdr>
                        <w:top w:val="none" w:sz="0" w:space="0" w:color="auto"/>
                        <w:left w:val="none" w:sz="0" w:space="0" w:color="auto"/>
                        <w:bottom w:val="none" w:sz="0" w:space="0" w:color="auto"/>
                        <w:right w:val="none" w:sz="0" w:space="0" w:color="auto"/>
                      </w:divBdr>
                    </w:div>
                  </w:divsChild>
                </w:div>
                <w:div w:id="968509122">
                  <w:marLeft w:val="0"/>
                  <w:marRight w:val="0"/>
                  <w:marTop w:val="0"/>
                  <w:marBottom w:val="0"/>
                  <w:divBdr>
                    <w:top w:val="none" w:sz="0" w:space="0" w:color="auto"/>
                    <w:left w:val="none" w:sz="0" w:space="0" w:color="auto"/>
                    <w:bottom w:val="none" w:sz="0" w:space="0" w:color="auto"/>
                    <w:right w:val="none" w:sz="0" w:space="0" w:color="auto"/>
                  </w:divBdr>
                  <w:divsChild>
                    <w:div w:id="86075090">
                      <w:marLeft w:val="0"/>
                      <w:marRight w:val="0"/>
                      <w:marTop w:val="0"/>
                      <w:marBottom w:val="0"/>
                      <w:divBdr>
                        <w:top w:val="none" w:sz="0" w:space="0" w:color="auto"/>
                        <w:left w:val="none" w:sz="0" w:space="0" w:color="auto"/>
                        <w:bottom w:val="none" w:sz="0" w:space="0" w:color="auto"/>
                        <w:right w:val="none" w:sz="0" w:space="0" w:color="auto"/>
                      </w:divBdr>
                    </w:div>
                  </w:divsChild>
                </w:div>
                <w:div w:id="1089884011">
                  <w:marLeft w:val="0"/>
                  <w:marRight w:val="0"/>
                  <w:marTop w:val="0"/>
                  <w:marBottom w:val="0"/>
                  <w:divBdr>
                    <w:top w:val="none" w:sz="0" w:space="0" w:color="auto"/>
                    <w:left w:val="none" w:sz="0" w:space="0" w:color="auto"/>
                    <w:bottom w:val="none" w:sz="0" w:space="0" w:color="auto"/>
                    <w:right w:val="none" w:sz="0" w:space="0" w:color="auto"/>
                  </w:divBdr>
                  <w:divsChild>
                    <w:div w:id="18430885">
                      <w:marLeft w:val="0"/>
                      <w:marRight w:val="0"/>
                      <w:marTop w:val="0"/>
                      <w:marBottom w:val="0"/>
                      <w:divBdr>
                        <w:top w:val="none" w:sz="0" w:space="0" w:color="auto"/>
                        <w:left w:val="none" w:sz="0" w:space="0" w:color="auto"/>
                        <w:bottom w:val="none" w:sz="0" w:space="0" w:color="auto"/>
                        <w:right w:val="none" w:sz="0" w:space="0" w:color="auto"/>
                      </w:divBdr>
                    </w:div>
                  </w:divsChild>
                </w:div>
                <w:div w:id="1133017491">
                  <w:marLeft w:val="0"/>
                  <w:marRight w:val="0"/>
                  <w:marTop w:val="0"/>
                  <w:marBottom w:val="0"/>
                  <w:divBdr>
                    <w:top w:val="none" w:sz="0" w:space="0" w:color="auto"/>
                    <w:left w:val="none" w:sz="0" w:space="0" w:color="auto"/>
                    <w:bottom w:val="none" w:sz="0" w:space="0" w:color="auto"/>
                    <w:right w:val="none" w:sz="0" w:space="0" w:color="auto"/>
                  </w:divBdr>
                  <w:divsChild>
                    <w:div w:id="1189946652">
                      <w:marLeft w:val="0"/>
                      <w:marRight w:val="0"/>
                      <w:marTop w:val="0"/>
                      <w:marBottom w:val="0"/>
                      <w:divBdr>
                        <w:top w:val="none" w:sz="0" w:space="0" w:color="auto"/>
                        <w:left w:val="none" w:sz="0" w:space="0" w:color="auto"/>
                        <w:bottom w:val="none" w:sz="0" w:space="0" w:color="auto"/>
                        <w:right w:val="none" w:sz="0" w:space="0" w:color="auto"/>
                      </w:divBdr>
                    </w:div>
                  </w:divsChild>
                </w:div>
                <w:div w:id="1156920168">
                  <w:marLeft w:val="0"/>
                  <w:marRight w:val="0"/>
                  <w:marTop w:val="0"/>
                  <w:marBottom w:val="0"/>
                  <w:divBdr>
                    <w:top w:val="none" w:sz="0" w:space="0" w:color="auto"/>
                    <w:left w:val="none" w:sz="0" w:space="0" w:color="auto"/>
                    <w:bottom w:val="none" w:sz="0" w:space="0" w:color="auto"/>
                    <w:right w:val="none" w:sz="0" w:space="0" w:color="auto"/>
                  </w:divBdr>
                  <w:divsChild>
                    <w:div w:id="299307341">
                      <w:marLeft w:val="0"/>
                      <w:marRight w:val="0"/>
                      <w:marTop w:val="0"/>
                      <w:marBottom w:val="0"/>
                      <w:divBdr>
                        <w:top w:val="none" w:sz="0" w:space="0" w:color="auto"/>
                        <w:left w:val="none" w:sz="0" w:space="0" w:color="auto"/>
                        <w:bottom w:val="none" w:sz="0" w:space="0" w:color="auto"/>
                        <w:right w:val="none" w:sz="0" w:space="0" w:color="auto"/>
                      </w:divBdr>
                    </w:div>
                  </w:divsChild>
                </w:div>
                <w:div w:id="1175263970">
                  <w:marLeft w:val="0"/>
                  <w:marRight w:val="0"/>
                  <w:marTop w:val="0"/>
                  <w:marBottom w:val="0"/>
                  <w:divBdr>
                    <w:top w:val="none" w:sz="0" w:space="0" w:color="auto"/>
                    <w:left w:val="none" w:sz="0" w:space="0" w:color="auto"/>
                    <w:bottom w:val="none" w:sz="0" w:space="0" w:color="auto"/>
                    <w:right w:val="none" w:sz="0" w:space="0" w:color="auto"/>
                  </w:divBdr>
                  <w:divsChild>
                    <w:div w:id="740562390">
                      <w:marLeft w:val="0"/>
                      <w:marRight w:val="0"/>
                      <w:marTop w:val="0"/>
                      <w:marBottom w:val="0"/>
                      <w:divBdr>
                        <w:top w:val="none" w:sz="0" w:space="0" w:color="auto"/>
                        <w:left w:val="none" w:sz="0" w:space="0" w:color="auto"/>
                        <w:bottom w:val="none" w:sz="0" w:space="0" w:color="auto"/>
                        <w:right w:val="none" w:sz="0" w:space="0" w:color="auto"/>
                      </w:divBdr>
                    </w:div>
                  </w:divsChild>
                </w:div>
                <w:div w:id="1196651128">
                  <w:marLeft w:val="0"/>
                  <w:marRight w:val="0"/>
                  <w:marTop w:val="0"/>
                  <w:marBottom w:val="0"/>
                  <w:divBdr>
                    <w:top w:val="none" w:sz="0" w:space="0" w:color="auto"/>
                    <w:left w:val="none" w:sz="0" w:space="0" w:color="auto"/>
                    <w:bottom w:val="none" w:sz="0" w:space="0" w:color="auto"/>
                    <w:right w:val="none" w:sz="0" w:space="0" w:color="auto"/>
                  </w:divBdr>
                  <w:divsChild>
                    <w:div w:id="1583677785">
                      <w:marLeft w:val="0"/>
                      <w:marRight w:val="0"/>
                      <w:marTop w:val="0"/>
                      <w:marBottom w:val="0"/>
                      <w:divBdr>
                        <w:top w:val="none" w:sz="0" w:space="0" w:color="auto"/>
                        <w:left w:val="none" w:sz="0" w:space="0" w:color="auto"/>
                        <w:bottom w:val="none" w:sz="0" w:space="0" w:color="auto"/>
                        <w:right w:val="none" w:sz="0" w:space="0" w:color="auto"/>
                      </w:divBdr>
                    </w:div>
                  </w:divsChild>
                </w:div>
                <w:div w:id="1322810270">
                  <w:marLeft w:val="0"/>
                  <w:marRight w:val="0"/>
                  <w:marTop w:val="0"/>
                  <w:marBottom w:val="0"/>
                  <w:divBdr>
                    <w:top w:val="none" w:sz="0" w:space="0" w:color="auto"/>
                    <w:left w:val="none" w:sz="0" w:space="0" w:color="auto"/>
                    <w:bottom w:val="none" w:sz="0" w:space="0" w:color="auto"/>
                    <w:right w:val="none" w:sz="0" w:space="0" w:color="auto"/>
                  </w:divBdr>
                  <w:divsChild>
                    <w:div w:id="27149062">
                      <w:marLeft w:val="0"/>
                      <w:marRight w:val="0"/>
                      <w:marTop w:val="0"/>
                      <w:marBottom w:val="0"/>
                      <w:divBdr>
                        <w:top w:val="none" w:sz="0" w:space="0" w:color="auto"/>
                        <w:left w:val="none" w:sz="0" w:space="0" w:color="auto"/>
                        <w:bottom w:val="none" w:sz="0" w:space="0" w:color="auto"/>
                        <w:right w:val="none" w:sz="0" w:space="0" w:color="auto"/>
                      </w:divBdr>
                    </w:div>
                  </w:divsChild>
                </w:div>
                <w:div w:id="1340423486">
                  <w:marLeft w:val="0"/>
                  <w:marRight w:val="0"/>
                  <w:marTop w:val="0"/>
                  <w:marBottom w:val="0"/>
                  <w:divBdr>
                    <w:top w:val="none" w:sz="0" w:space="0" w:color="auto"/>
                    <w:left w:val="none" w:sz="0" w:space="0" w:color="auto"/>
                    <w:bottom w:val="none" w:sz="0" w:space="0" w:color="auto"/>
                    <w:right w:val="none" w:sz="0" w:space="0" w:color="auto"/>
                  </w:divBdr>
                  <w:divsChild>
                    <w:div w:id="1452820964">
                      <w:marLeft w:val="0"/>
                      <w:marRight w:val="0"/>
                      <w:marTop w:val="0"/>
                      <w:marBottom w:val="0"/>
                      <w:divBdr>
                        <w:top w:val="none" w:sz="0" w:space="0" w:color="auto"/>
                        <w:left w:val="none" w:sz="0" w:space="0" w:color="auto"/>
                        <w:bottom w:val="none" w:sz="0" w:space="0" w:color="auto"/>
                        <w:right w:val="none" w:sz="0" w:space="0" w:color="auto"/>
                      </w:divBdr>
                    </w:div>
                  </w:divsChild>
                </w:div>
                <w:div w:id="1347975722">
                  <w:marLeft w:val="0"/>
                  <w:marRight w:val="0"/>
                  <w:marTop w:val="0"/>
                  <w:marBottom w:val="0"/>
                  <w:divBdr>
                    <w:top w:val="none" w:sz="0" w:space="0" w:color="auto"/>
                    <w:left w:val="none" w:sz="0" w:space="0" w:color="auto"/>
                    <w:bottom w:val="none" w:sz="0" w:space="0" w:color="auto"/>
                    <w:right w:val="none" w:sz="0" w:space="0" w:color="auto"/>
                  </w:divBdr>
                  <w:divsChild>
                    <w:div w:id="1724254484">
                      <w:marLeft w:val="0"/>
                      <w:marRight w:val="0"/>
                      <w:marTop w:val="0"/>
                      <w:marBottom w:val="0"/>
                      <w:divBdr>
                        <w:top w:val="none" w:sz="0" w:space="0" w:color="auto"/>
                        <w:left w:val="none" w:sz="0" w:space="0" w:color="auto"/>
                        <w:bottom w:val="none" w:sz="0" w:space="0" w:color="auto"/>
                        <w:right w:val="none" w:sz="0" w:space="0" w:color="auto"/>
                      </w:divBdr>
                    </w:div>
                  </w:divsChild>
                </w:div>
                <w:div w:id="1403332123">
                  <w:marLeft w:val="0"/>
                  <w:marRight w:val="0"/>
                  <w:marTop w:val="0"/>
                  <w:marBottom w:val="0"/>
                  <w:divBdr>
                    <w:top w:val="none" w:sz="0" w:space="0" w:color="auto"/>
                    <w:left w:val="none" w:sz="0" w:space="0" w:color="auto"/>
                    <w:bottom w:val="none" w:sz="0" w:space="0" w:color="auto"/>
                    <w:right w:val="none" w:sz="0" w:space="0" w:color="auto"/>
                  </w:divBdr>
                  <w:divsChild>
                    <w:div w:id="1288853779">
                      <w:marLeft w:val="0"/>
                      <w:marRight w:val="0"/>
                      <w:marTop w:val="0"/>
                      <w:marBottom w:val="0"/>
                      <w:divBdr>
                        <w:top w:val="none" w:sz="0" w:space="0" w:color="auto"/>
                        <w:left w:val="none" w:sz="0" w:space="0" w:color="auto"/>
                        <w:bottom w:val="none" w:sz="0" w:space="0" w:color="auto"/>
                        <w:right w:val="none" w:sz="0" w:space="0" w:color="auto"/>
                      </w:divBdr>
                    </w:div>
                  </w:divsChild>
                </w:div>
                <w:div w:id="1437287535">
                  <w:marLeft w:val="0"/>
                  <w:marRight w:val="0"/>
                  <w:marTop w:val="0"/>
                  <w:marBottom w:val="0"/>
                  <w:divBdr>
                    <w:top w:val="none" w:sz="0" w:space="0" w:color="auto"/>
                    <w:left w:val="none" w:sz="0" w:space="0" w:color="auto"/>
                    <w:bottom w:val="none" w:sz="0" w:space="0" w:color="auto"/>
                    <w:right w:val="none" w:sz="0" w:space="0" w:color="auto"/>
                  </w:divBdr>
                  <w:divsChild>
                    <w:div w:id="1911621258">
                      <w:marLeft w:val="0"/>
                      <w:marRight w:val="0"/>
                      <w:marTop w:val="0"/>
                      <w:marBottom w:val="0"/>
                      <w:divBdr>
                        <w:top w:val="none" w:sz="0" w:space="0" w:color="auto"/>
                        <w:left w:val="none" w:sz="0" w:space="0" w:color="auto"/>
                        <w:bottom w:val="none" w:sz="0" w:space="0" w:color="auto"/>
                        <w:right w:val="none" w:sz="0" w:space="0" w:color="auto"/>
                      </w:divBdr>
                    </w:div>
                  </w:divsChild>
                </w:div>
                <w:div w:id="1502889925">
                  <w:marLeft w:val="0"/>
                  <w:marRight w:val="0"/>
                  <w:marTop w:val="0"/>
                  <w:marBottom w:val="0"/>
                  <w:divBdr>
                    <w:top w:val="none" w:sz="0" w:space="0" w:color="auto"/>
                    <w:left w:val="none" w:sz="0" w:space="0" w:color="auto"/>
                    <w:bottom w:val="none" w:sz="0" w:space="0" w:color="auto"/>
                    <w:right w:val="none" w:sz="0" w:space="0" w:color="auto"/>
                  </w:divBdr>
                  <w:divsChild>
                    <w:div w:id="2059743544">
                      <w:marLeft w:val="0"/>
                      <w:marRight w:val="0"/>
                      <w:marTop w:val="0"/>
                      <w:marBottom w:val="0"/>
                      <w:divBdr>
                        <w:top w:val="none" w:sz="0" w:space="0" w:color="auto"/>
                        <w:left w:val="none" w:sz="0" w:space="0" w:color="auto"/>
                        <w:bottom w:val="none" w:sz="0" w:space="0" w:color="auto"/>
                        <w:right w:val="none" w:sz="0" w:space="0" w:color="auto"/>
                      </w:divBdr>
                    </w:div>
                  </w:divsChild>
                </w:div>
                <w:div w:id="1551647711">
                  <w:marLeft w:val="0"/>
                  <w:marRight w:val="0"/>
                  <w:marTop w:val="0"/>
                  <w:marBottom w:val="0"/>
                  <w:divBdr>
                    <w:top w:val="none" w:sz="0" w:space="0" w:color="auto"/>
                    <w:left w:val="none" w:sz="0" w:space="0" w:color="auto"/>
                    <w:bottom w:val="none" w:sz="0" w:space="0" w:color="auto"/>
                    <w:right w:val="none" w:sz="0" w:space="0" w:color="auto"/>
                  </w:divBdr>
                  <w:divsChild>
                    <w:div w:id="902259244">
                      <w:marLeft w:val="0"/>
                      <w:marRight w:val="0"/>
                      <w:marTop w:val="0"/>
                      <w:marBottom w:val="0"/>
                      <w:divBdr>
                        <w:top w:val="none" w:sz="0" w:space="0" w:color="auto"/>
                        <w:left w:val="none" w:sz="0" w:space="0" w:color="auto"/>
                        <w:bottom w:val="none" w:sz="0" w:space="0" w:color="auto"/>
                        <w:right w:val="none" w:sz="0" w:space="0" w:color="auto"/>
                      </w:divBdr>
                    </w:div>
                  </w:divsChild>
                </w:div>
                <w:div w:id="1568762492">
                  <w:marLeft w:val="0"/>
                  <w:marRight w:val="0"/>
                  <w:marTop w:val="0"/>
                  <w:marBottom w:val="0"/>
                  <w:divBdr>
                    <w:top w:val="none" w:sz="0" w:space="0" w:color="auto"/>
                    <w:left w:val="none" w:sz="0" w:space="0" w:color="auto"/>
                    <w:bottom w:val="none" w:sz="0" w:space="0" w:color="auto"/>
                    <w:right w:val="none" w:sz="0" w:space="0" w:color="auto"/>
                  </w:divBdr>
                  <w:divsChild>
                    <w:div w:id="11104273">
                      <w:marLeft w:val="0"/>
                      <w:marRight w:val="0"/>
                      <w:marTop w:val="0"/>
                      <w:marBottom w:val="0"/>
                      <w:divBdr>
                        <w:top w:val="none" w:sz="0" w:space="0" w:color="auto"/>
                        <w:left w:val="none" w:sz="0" w:space="0" w:color="auto"/>
                        <w:bottom w:val="none" w:sz="0" w:space="0" w:color="auto"/>
                        <w:right w:val="none" w:sz="0" w:space="0" w:color="auto"/>
                      </w:divBdr>
                    </w:div>
                  </w:divsChild>
                </w:div>
                <w:div w:id="1642689272">
                  <w:marLeft w:val="0"/>
                  <w:marRight w:val="0"/>
                  <w:marTop w:val="0"/>
                  <w:marBottom w:val="0"/>
                  <w:divBdr>
                    <w:top w:val="none" w:sz="0" w:space="0" w:color="auto"/>
                    <w:left w:val="none" w:sz="0" w:space="0" w:color="auto"/>
                    <w:bottom w:val="none" w:sz="0" w:space="0" w:color="auto"/>
                    <w:right w:val="none" w:sz="0" w:space="0" w:color="auto"/>
                  </w:divBdr>
                  <w:divsChild>
                    <w:div w:id="1358697216">
                      <w:marLeft w:val="0"/>
                      <w:marRight w:val="0"/>
                      <w:marTop w:val="0"/>
                      <w:marBottom w:val="0"/>
                      <w:divBdr>
                        <w:top w:val="none" w:sz="0" w:space="0" w:color="auto"/>
                        <w:left w:val="none" w:sz="0" w:space="0" w:color="auto"/>
                        <w:bottom w:val="none" w:sz="0" w:space="0" w:color="auto"/>
                        <w:right w:val="none" w:sz="0" w:space="0" w:color="auto"/>
                      </w:divBdr>
                    </w:div>
                  </w:divsChild>
                </w:div>
                <w:div w:id="1676304023">
                  <w:marLeft w:val="0"/>
                  <w:marRight w:val="0"/>
                  <w:marTop w:val="0"/>
                  <w:marBottom w:val="0"/>
                  <w:divBdr>
                    <w:top w:val="none" w:sz="0" w:space="0" w:color="auto"/>
                    <w:left w:val="none" w:sz="0" w:space="0" w:color="auto"/>
                    <w:bottom w:val="none" w:sz="0" w:space="0" w:color="auto"/>
                    <w:right w:val="none" w:sz="0" w:space="0" w:color="auto"/>
                  </w:divBdr>
                  <w:divsChild>
                    <w:div w:id="1799881877">
                      <w:marLeft w:val="0"/>
                      <w:marRight w:val="0"/>
                      <w:marTop w:val="0"/>
                      <w:marBottom w:val="0"/>
                      <w:divBdr>
                        <w:top w:val="none" w:sz="0" w:space="0" w:color="auto"/>
                        <w:left w:val="none" w:sz="0" w:space="0" w:color="auto"/>
                        <w:bottom w:val="none" w:sz="0" w:space="0" w:color="auto"/>
                        <w:right w:val="none" w:sz="0" w:space="0" w:color="auto"/>
                      </w:divBdr>
                    </w:div>
                  </w:divsChild>
                </w:div>
                <w:div w:id="1720393256">
                  <w:marLeft w:val="0"/>
                  <w:marRight w:val="0"/>
                  <w:marTop w:val="0"/>
                  <w:marBottom w:val="0"/>
                  <w:divBdr>
                    <w:top w:val="none" w:sz="0" w:space="0" w:color="auto"/>
                    <w:left w:val="none" w:sz="0" w:space="0" w:color="auto"/>
                    <w:bottom w:val="none" w:sz="0" w:space="0" w:color="auto"/>
                    <w:right w:val="none" w:sz="0" w:space="0" w:color="auto"/>
                  </w:divBdr>
                  <w:divsChild>
                    <w:div w:id="1644698638">
                      <w:marLeft w:val="0"/>
                      <w:marRight w:val="0"/>
                      <w:marTop w:val="0"/>
                      <w:marBottom w:val="0"/>
                      <w:divBdr>
                        <w:top w:val="none" w:sz="0" w:space="0" w:color="auto"/>
                        <w:left w:val="none" w:sz="0" w:space="0" w:color="auto"/>
                        <w:bottom w:val="none" w:sz="0" w:space="0" w:color="auto"/>
                        <w:right w:val="none" w:sz="0" w:space="0" w:color="auto"/>
                      </w:divBdr>
                    </w:div>
                  </w:divsChild>
                </w:div>
                <w:div w:id="1768043156">
                  <w:marLeft w:val="0"/>
                  <w:marRight w:val="0"/>
                  <w:marTop w:val="0"/>
                  <w:marBottom w:val="0"/>
                  <w:divBdr>
                    <w:top w:val="none" w:sz="0" w:space="0" w:color="auto"/>
                    <w:left w:val="none" w:sz="0" w:space="0" w:color="auto"/>
                    <w:bottom w:val="none" w:sz="0" w:space="0" w:color="auto"/>
                    <w:right w:val="none" w:sz="0" w:space="0" w:color="auto"/>
                  </w:divBdr>
                  <w:divsChild>
                    <w:div w:id="846092797">
                      <w:marLeft w:val="0"/>
                      <w:marRight w:val="0"/>
                      <w:marTop w:val="0"/>
                      <w:marBottom w:val="0"/>
                      <w:divBdr>
                        <w:top w:val="none" w:sz="0" w:space="0" w:color="auto"/>
                        <w:left w:val="none" w:sz="0" w:space="0" w:color="auto"/>
                        <w:bottom w:val="none" w:sz="0" w:space="0" w:color="auto"/>
                        <w:right w:val="none" w:sz="0" w:space="0" w:color="auto"/>
                      </w:divBdr>
                    </w:div>
                  </w:divsChild>
                </w:div>
                <w:div w:id="1786459631">
                  <w:marLeft w:val="0"/>
                  <w:marRight w:val="0"/>
                  <w:marTop w:val="0"/>
                  <w:marBottom w:val="0"/>
                  <w:divBdr>
                    <w:top w:val="none" w:sz="0" w:space="0" w:color="auto"/>
                    <w:left w:val="none" w:sz="0" w:space="0" w:color="auto"/>
                    <w:bottom w:val="none" w:sz="0" w:space="0" w:color="auto"/>
                    <w:right w:val="none" w:sz="0" w:space="0" w:color="auto"/>
                  </w:divBdr>
                  <w:divsChild>
                    <w:div w:id="1244727933">
                      <w:marLeft w:val="0"/>
                      <w:marRight w:val="0"/>
                      <w:marTop w:val="0"/>
                      <w:marBottom w:val="0"/>
                      <w:divBdr>
                        <w:top w:val="none" w:sz="0" w:space="0" w:color="auto"/>
                        <w:left w:val="none" w:sz="0" w:space="0" w:color="auto"/>
                        <w:bottom w:val="none" w:sz="0" w:space="0" w:color="auto"/>
                        <w:right w:val="none" w:sz="0" w:space="0" w:color="auto"/>
                      </w:divBdr>
                    </w:div>
                  </w:divsChild>
                </w:div>
                <w:div w:id="1792673423">
                  <w:marLeft w:val="0"/>
                  <w:marRight w:val="0"/>
                  <w:marTop w:val="0"/>
                  <w:marBottom w:val="0"/>
                  <w:divBdr>
                    <w:top w:val="none" w:sz="0" w:space="0" w:color="auto"/>
                    <w:left w:val="none" w:sz="0" w:space="0" w:color="auto"/>
                    <w:bottom w:val="none" w:sz="0" w:space="0" w:color="auto"/>
                    <w:right w:val="none" w:sz="0" w:space="0" w:color="auto"/>
                  </w:divBdr>
                  <w:divsChild>
                    <w:div w:id="1376193936">
                      <w:marLeft w:val="0"/>
                      <w:marRight w:val="0"/>
                      <w:marTop w:val="0"/>
                      <w:marBottom w:val="0"/>
                      <w:divBdr>
                        <w:top w:val="none" w:sz="0" w:space="0" w:color="auto"/>
                        <w:left w:val="none" w:sz="0" w:space="0" w:color="auto"/>
                        <w:bottom w:val="none" w:sz="0" w:space="0" w:color="auto"/>
                        <w:right w:val="none" w:sz="0" w:space="0" w:color="auto"/>
                      </w:divBdr>
                    </w:div>
                  </w:divsChild>
                </w:div>
                <w:div w:id="1797065970">
                  <w:marLeft w:val="0"/>
                  <w:marRight w:val="0"/>
                  <w:marTop w:val="0"/>
                  <w:marBottom w:val="0"/>
                  <w:divBdr>
                    <w:top w:val="none" w:sz="0" w:space="0" w:color="auto"/>
                    <w:left w:val="none" w:sz="0" w:space="0" w:color="auto"/>
                    <w:bottom w:val="none" w:sz="0" w:space="0" w:color="auto"/>
                    <w:right w:val="none" w:sz="0" w:space="0" w:color="auto"/>
                  </w:divBdr>
                  <w:divsChild>
                    <w:div w:id="424231436">
                      <w:marLeft w:val="0"/>
                      <w:marRight w:val="0"/>
                      <w:marTop w:val="0"/>
                      <w:marBottom w:val="0"/>
                      <w:divBdr>
                        <w:top w:val="none" w:sz="0" w:space="0" w:color="auto"/>
                        <w:left w:val="none" w:sz="0" w:space="0" w:color="auto"/>
                        <w:bottom w:val="none" w:sz="0" w:space="0" w:color="auto"/>
                        <w:right w:val="none" w:sz="0" w:space="0" w:color="auto"/>
                      </w:divBdr>
                    </w:div>
                  </w:divsChild>
                </w:div>
                <w:div w:id="1832990613">
                  <w:marLeft w:val="0"/>
                  <w:marRight w:val="0"/>
                  <w:marTop w:val="0"/>
                  <w:marBottom w:val="0"/>
                  <w:divBdr>
                    <w:top w:val="none" w:sz="0" w:space="0" w:color="auto"/>
                    <w:left w:val="none" w:sz="0" w:space="0" w:color="auto"/>
                    <w:bottom w:val="none" w:sz="0" w:space="0" w:color="auto"/>
                    <w:right w:val="none" w:sz="0" w:space="0" w:color="auto"/>
                  </w:divBdr>
                  <w:divsChild>
                    <w:div w:id="1997799480">
                      <w:marLeft w:val="0"/>
                      <w:marRight w:val="0"/>
                      <w:marTop w:val="0"/>
                      <w:marBottom w:val="0"/>
                      <w:divBdr>
                        <w:top w:val="none" w:sz="0" w:space="0" w:color="auto"/>
                        <w:left w:val="none" w:sz="0" w:space="0" w:color="auto"/>
                        <w:bottom w:val="none" w:sz="0" w:space="0" w:color="auto"/>
                        <w:right w:val="none" w:sz="0" w:space="0" w:color="auto"/>
                      </w:divBdr>
                    </w:div>
                  </w:divsChild>
                </w:div>
                <w:div w:id="1886984440">
                  <w:marLeft w:val="0"/>
                  <w:marRight w:val="0"/>
                  <w:marTop w:val="0"/>
                  <w:marBottom w:val="0"/>
                  <w:divBdr>
                    <w:top w:val="none" w:sz="0" w:space="0" w:color="auto"/>
                    <w:left w:val="none" w:sz="0" w:space="0" w:color="auto"/>
                    <w:bottom w:val="none" w:sz="0" w:space="0" w:color="auto"/>
                    <w:right w:val="none" w:sz="0" w:space="0" w:color="auto"/>
                  </w:divBdr>
                  <w:divsChild>
                    <w:div w:id="1074470640">
                      <w:marLeft w:val="0"/>
                      <w:marRight w:val="0"/>
                      <w:marTop w:val="0"/>
                      <w:marBottom w:val="0"/>
                      <w:divBdr>
                        <w:top w:val="none" w:sz="0" w:space="0" w:color="auto"/>
                        <w:left w:val="none" w:sz="0" w:space="0" w:color="auto"/>
                        <w:bottom w:val="none" w:sz="0" w:space="0" w:color="auto"/>
                        <w:right w:val="none" w:sz="0" w:space="0" w:color="auto"/>
                      </w:divBdr>
                    </w:div>
                  </w:divsChild>
                </w:div>
                <w:div w:id="1979992764">
                  <w:marLeft w:val="0"/>
                  <w:marRight w:val="0"/>
                  <w:marTop w:val="0"/>
                  <w:marBottom w:val="0"/>
                  <w:divBdr>
                    <w:top w:val="none" w:sz="0" w:space="0" w:color="auto"/>
                    <w:left w:val="none" w:sz="0" w:space="0" w:color="auto"/>
                    <w:bottom w:val="none" w:sz="0" w:space="0" w:color="auto"/>
                    <w:right w:val="none" w:sz="0" w:space="0" w:color="auto"/>
                  </w:divBdr>
                  <w:divsChild>
                    <w:div w:id="1681464779">
                      <w:marLeft w:val="0"/>
                      <w:marRight w:val="0"/>
                      <w:marTop w:val="0"/>
                      <w:marBottom w:val="0"/>
                      <w:divBdr>
                        <w:top w:val="none" w:sz="0" w:space="0" w:color="auto"/>
                        <w:left w:val="none" w:sz="0" w:space="0" w:color="auto"/>
                        <w:bottom w:val="none" w:sz="0" w:space="0" w:color="auto"/>
                        <w:right w:val="none" w:sz="0" w:space="0" w:color="auto"/>
                      </w:divBdr>
                    </w:div>
                  </w:divsChild>
                </w:div>
                <w:div w:id="2001154439">
                  <w:marLeft w:val="0"/>
                  <w:marRight w:val="0"/>
                  <w:marTop w:val="0"/>
                  <w:marBottom w:val="0"/>
                  <w:divBdr>
                    <w:top w:val="none" w:sz="0" w:space="0" w:color="auto"/>
                    <w:left w:val="none" w:sz="0" w:space="0" w:color="auto"/>
                    <w:bottom w:val="none" w:sz="0" w:space="0" w:color="auto"/>
                    <w:right w:val="none" w:sz="0" w:space="0" w:color="auto"/>
                  </w:divBdr>
                  <w:divsChild>
                    <w:div w:id="1776974636">
                      <w:marLeft w:val="0"/>
                      <w:marRight w:val="0"/>
                      <w:marTop w:val="0"/>
                      <w:marBottom w:val="0"/>
                      <w:divBdr>
                        <w:top w:val="none" w:sz="0" w:space="0" w:color="auto"/>
                        <w:left w:val="none" w:sz="0" w:space="0" w:color="auto"/>
                        <w:bottom w:val="none" w:sz="0" w:space="0" w:color="auto"/>
                        <w:right w:val="none" w:sz="0" w:space="0" w:color="auto"/>
                      </w:divBdr>
                    </w:div>
                  </w:divsChild>
                </w:div>
                <w:div w:id="2002659217">
                  <w:marLeft w:val="0"/>
                  <w:marRight w:val="0"/>
                  <w:marTop w:val="0"/>
                  <w:marBottom w:val="0"/>
                  <w:divBdr>
                    <w:top w:val="none" w:sz="0" w:space="0" w:color="auto"/>
                    <w:left w:val="none" w:sz="0" w:space="0" w:color="auto"/>
                    <w:bottom w:val="none" w:sz="0" w:space="0" w:color="auto"/>
                    <w:right w:val="none" w:sz="0" w:space="0" w:color="auto"/>
                  </w:divBdr>
                  <w:divsChild>
                    <w:div w:id="1729841547">
                      <w:marLeft w:val="0"/>
                      <w:marRight w:val="0"/>
                      <w:marTop w:val="0"/>
                      <w:marBottom w:val="0"/>
                      <w:divBdr>
                        <w:top w:val="none" w:sz="0" w:space="0" w:color="auto"/>
                        <w:left w:val="none" w:sz="0" w:space="0" w:color="auto"/>
                        <w:bottom w:val="none" w:sz="0" w:space="0" w:color="auto"/>
                        <w:right w:val="none" w:sz="0" w:space="0" w:color="auto"/>
                      </w:divBdr>
                    </w:div>
                  </w:divsChild>
                </w:div>
                <w:div w:id="2047482782">
                  <w:marLeft w:val="0"/>
                  <w:marRight w:val="0"/>
                  <w:marTop w:val="0"/>
                  <w:marBottom w:val="0"/>
                  <w:divBdr>
                    <w:top w:val="none" w:sz="0" w:space="0" w:color="auto"/>
                    <w:left w:val="none" w:sz="0" w:space="0" w:color="auto"/>
                    <w:bottom w:val="none" w:sz="0" w:space="0" w:color="auto"/>
                    <w:right w:val="none" w:sz="0" w:space="0" w:color="auto"/>
                  </w:divBdr>
                  <w:divsChild>
                    <w:div w:id="291593185">
                      <w:marLeft w:val="0"/>
                      <w:marRight w:val="0"/>
                      <w:marTop w:val="0"/>
                      <w:marBottom w:val="0"/>
                      <w:divBdr>
                        <w:top w:val="none" w:sz="0" w:space="0" w:color="auto"/>
                        <w:left w:val="none" w:sz="0" w:space="0" w:color="auto"/>
                        <w:bottom w:val="none" w:sz="0" w:space="0" w:color="auto"/>
                        <w:right w:val="none" w:sz="0" w:space="0" w:color="auto"/>
                      </w:divBdr>
                    </w:div>
                  </w:divsChild>
                </w:div>
                <w:div w:id="2065373432">
                  <w:marLeft w:val="0"/>
                  <w:marRight w:val="0"/>
                  <w:marTop w:val="0"/>
                  <w:marBottom w:val="0"/>
                  <w:divBdr>
                    <w:top w:val="none" w:sz="0" w:space="0" w:color="auto"/>
                    <w:left w:val="none" w:sz="0" w:space="0" w:color="auto"/>
                    <w:bottom w:val="none" w:sz="0" w:space="0" w:color="auto"/>
                    <w:right w:val="none" w:sz="0" w:space="0" w:color="auto"/>
                  </w:divBdr>
                  <w:divsChild>
                    <w:div w:id="279922256">
                      <w:marLeft w:val="0"/>
                      <w:marRight w:val="0"/>
                      <w:marTop w:val="0"/>
                      <w:marBottom w:val="0"/>
                      <w:divBdr>
                        <w:top w:val="none" w:sz="0" w:space="0" w:color="auto"/>
                        <w:left w:val="none" w:sz="0" w:space="0" w:color="auto"/>
                        <w:bottom w:val="none" w:sz="0" w:space="0" w:color="auto"/>
                        <w:right w:val="none" w:sz="0" w:space="0" w:color="auto"/>
                      </w:divBdr>
                    </w:div>
                  </w:divsChild>
                </w:div>
                <w:div w:id="2119635708">
                  <w:marLeft w:val="0"/>
                  <w:marRight w:val="0"/>
                  <w:marTop w:val="0"/>
                  <w:marBottom w:val="0"/>
                  <w:divBdr>
                    <w:top w:val="none" w:sz="0" w:space="0" w:color="auto"/>
                    <w:left w:val="none" w:sz="0" w:space="0" w:color="auto"/>
                    <w:bottom w:val="none" w:sz="0" w:space="0" w:color="auto"/>
                    <w:right w:val="none" w:sz="0" w:space="0" w:color="auto"/>
                  </w:divBdr>
                  <w:divsChild>
                    <w:div w:id="6321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76524">
          <w:marLeft w:val="0"/>
          <w:marRight w:val="0"/>
          <w:marTop w:val="0"/>
          <w:marBottom w:val="0"/>
          <w:divBdr>
            <w:top w:val="none" w:sz="0" w:space="0" w:color="auto"/>
            <w:left w:val="none" w:sz="0" w:space="0" w:color="auto"/>
            <w:bottom w:val="none" w:sz="0" w:space="0" w:color="auto"/>
            <w:right w:val="none" w:sz="0" w:space="0" w:color="auto"/>
          </w:divBdr>
          <w:divsChild>
            <w:div w:id="90316518">
              <w:marLeft w:val="0"/>
              <w:marRight w:val="0"/>
              <w:marTop w:val="0"/>
              <w:marBottom w:val="0"/>
              <w:divBdr>
                <w:top w:val="none" w:sz="0" w:space="0" w:color="auto"/>
                <w:left w:val="none" w:sz="0" w:space="0" w:color="auto"/>
                <w:bottom w:val="none" w:sz="0" w:space="0" w:color="auto"/>
                <w:right w:val="none" w:sz="0" w:space="0" w:color="auto"/>
              </w:divBdr>
            </w:div>
            <w:div w:id="257492325">
              <w:marLeft w:val="0"/>
              <w:marRight w:val="0"/>
              <w:marTop w:val="0"/>
              <w:marBottom w:val="0"/>
              <w:divBdr>
                <w:top w:val="none" w:sz="0" w:space="0" w:color="auto"/>
                <w:left w:val="none" w:sz="0" w:space="0" w:color="auto"/>
                <w:bottom w:val="none" w:sz="0" w:space="0" w:color="auto"/>
                <w:right w:val="none" w:sz="0" w:space="0" w:color="auto"/>
              </w:divBdr>
            </w:div>
            <w:div w:id="356585080">
              <w:marLeft w:val="0"/>
              <w:marRight w:val="0"/>
              <w:marTop w:val="0"/>
              <w:marBottom w:val="0"/>
              <w:divBdr>
                <w:top w:val="none" w:sz="0" w:space="0" w:color="auto"/>
                <w:left w:val="none" w:sz="0" w:space="0" w:color="auto"/>
                <w:bottom w:val="none" w:sz="0" w:space="0" w:color="auto"/>
                <w:right w:val="none" w:sz="0" w:space="0" w:color="auto"/>
              </w:divBdr>
            </w:div>
            <w:div w:id="433281137">
              <w:marLeft w:val="0"/>
              <w:marRight w:val="0"/>
              <w:marTop w:val="0"/>
              <w:marBottom w:val="0"/>
              <w:divBdr>
                <w:top w:val="none" w:sz="0" w:space="0" w:color="auto"/>
                <w:left w:val="none" w:sz="0" w:space="0" w:color="auto"/>
                <w:bottom w:val="none" w:sz="0" w:space="0" w:color="auto"/>
                <w:right w:val="none" w:sz="0" w:space="0" w:color="auto"/>
              </w:divBdr>
            </w:div>
            <w:div w:id="615530303">
              <w:marLeft w:val="0"/>
              <w:marRight w:val="0"/>
              <w:marTop w:val="0"/>
              <w:marBottom w:val="0"/>
              <w:divBdr>
                <w:top w:val="none" w:sz="0" w:space="0" w:color="auto"/>
                <w:left w:val="none" w:sz="0" w:space="0" w:color="auto"/>
                <w:bottom w:val="none" w:sz="0" w:space="0" w:color="auto"/>
                <w:right w:val="none" w:sz="0" w:space="0" w:color="auto"/>
              </w:divBdr>
            </w:div>
            <w:div w:id="856966480">
              <w:marLeft w:val="0"/>
              <w:marRight w:val="0"/>
              <w:marTop w:val="0"/>
              <w:marBottom w:val="0"/>
              <w:divBdr>
                <w:top w:val="none" w:sz="0" w:space="0" w:color="auto"/>
                <w:left w:val="none" w:sz="0" w:space="0" w:color="auto"/>
                <w:bottom w:val="none" w:sz="0" w:space="0" w:color="auto"/>
                <w:right w:val="none" w:sz="0" w:space="0" w:color="auto"/>
              </w:divBdr>
            </w:div>
            <w:div w:id="869142803">
              <w:marLeft w:val="0"/>
              <w:marRight w:val="0"/>
              <w:marTop w:val="0"/>
              <w:marBottom w:val="0"/>
              <w:divBdr>
                <w:top w:val="none" w:sz="0" w:space="0" w:color="auto"/>
                <w:left w:val="none" w:sz="0" w:space="0" w:color="auto"/>
                <w:bottom w:val="none" w:sz="0" w:space="0" w:color="auto"/>
                <w:right w:val="none" w:sz="0" w:space="0" w:color="auto"/>
              </w:divBdr>
            </w:div>
            <w:div w:id="894663843">
              <w:marLeft w:val="0"/>
              <w:marRight w:val="0"/>
              <w:marTop w:val="0"/>
              <w:marBottom w:val="0"/>
              <w:divBdr>
                <w:top w:val="none" w:sz="0" w:space="0" w:color="auto"/>
                <w:left w:val="none" w:sz="0" w:space="0" w:color="auto"/>
                <w:bottom w:val="none" w:sz="0" w:space="0" w:color="auto"/>
                <w:right w:val="none" w:sz="0" w:space="0" w:color="auto"/>
              </w:divBdr>
            </w:div>
            <w:div w:id="980769744">
              <w:marLeft w:val="0"/>
              <w:marRight w:val="0"/>
              <w:marTop w:val="0"/>
              <w:marBottom w:val="0"/>
              <w:divBdr>
                <w:top w:val="none" w:sz="0" w:space="0" w:color="auto"/>
                <w:left w:val="none" w:sz="0" w:space="0" w:color="auto"/>
                <w:bottom w:val="none" w:sz="0" w:space="0" w:color="auto"/>
                <w:right w:val="none" w:sz="0" w:space="0" w:color="auto"/>
              </w:divBdr>
            </w:div>
            <w:div w:id="1107890118">
              <w:marLeft w:val="0"/>
              <w:marRight w:val="0"/>
              <w:marTop w:val="0"/>
              <w:marBottom w:val="0"/>
              <w:divBdr>
                <w:top w:val="none" w:sz="0" w:space="0" w:color="auto"/>
                <w:left w:val="none" w:sz="0" w:space="0" w:color="auto"/>
                <w:bottom w:val="none" w:sz="0" w:space="0" w:color="auto"/>
                <w:right w:val="none" w:sz="0" w:space="0" w:color="auto"/>
              </w:divBdr>
            </w:div>
            <w:div w:id="1129861100">
              <w:marLeft w:val="0"/>
              <w:marRight w:val="0"/>
              <w:marTop w:val="0"/>
              <w:marBottom w:val="0"/>
              <w:divBdr>
                <w:top w:val="none" w:sz="0" w:space="0" w:color="auto"/>
                <w:left w:val="none" w:sz="0" w:space="0" w:color="auto"/>
                <w:bottom w:val="none" w:sz="0" w:space="0" w:color="auto"/>
                <w:right w:val="none" w:sz="0" w:space="0" w:color="auto"/>
              </w:divBdr>
            </w:div>
            <w:div w:id="1348215623">
              <w:marLeft w:val="0"/>
              <w:marRight w:val="0"/>
              <w:marTop w:val="0"/>
              <w:marBottom w:val="0"/>
              <w:divBdr>
                <w:top w:val="none" w:sz="0" w:space="0" w:color="auto"/>
                <w:left w:val="none" w:sz="0" w:space="0" w:color="auto"/>
                <w:bottom w:val="none" w:sz="0" w:space="0" w:color="auto"/>
                <w:right w:val="none" w:sz="0" w:space="0" w:color="auto"/>
              </w:divBdr>
            </w:div>
            <w:div w:id="1487159709">
              <w:marLeft w:val="0"/>
              <w:marRight w:val="0"/>
              <w:marTop w:val="0"/>
              <w:marBottom w:val="0"/>
              <w:divBdr>
                <w:top w:val="none" w:sz="0" w:space="0" w:color="auto"/>
                <w:left w:val="none" w:sz="0" w:space="0" w:color="auto"/>
                <w:bottom w:val="none" w:sz="0" w:space="0" w:color="auto"/>
                <w:right w:val="none" w:sz="0" w:space="0" w:color="auto"/>
              </w:divBdr>
            </w:div>
            <w:div w:id="1537351422">
              <w:marLeft w:val="0"/>
              <w:marRight w:val="0"/>
              <w:marTop w:val="0"/>
              <w:marBottom w:val="0"/>
              <w:divBdr>
                <w:top w:val="none" w:sz="0" w:space="0" w:color="auto"/>
                <w:left w:val="none" w:sz="0" w:space="0" w:color="auto"/>
                <w:bottom w:val="none" w:sz="0" w:space="0" w:color="auto"/>
                <w:right w:val="none" w:sz="0" w:space="0" w:color="auto"/>
              </w:divBdr>
            </w:div>
            <w:div w:id="1763866607">
              <w:marLeft w:val="0"/>
              <w:marRight w:val="0"/>
              <w:marTop w:val="0"/>
              <w:marBottom w:val="0"/>
              <w:divBdr>
                <w:top w:val="none" w:sz="0" w:space="0" w:color="auto"/>
                <w:left w:val="none" w:sz="0" w:space="0" w:color="auto"/>
                <w:bottom w:val="none" w:sz="0" w:space="0" w:color="auto"/>
                <w:right w:val="none" w:sz="0" w:space="0" w:color="auto"/>
              </w:divBdr>
            </w:div>
            <w:div w:id="1794861286">
              <w:marLeft w:val="0"/>
              <w:marRight w:val="0"/>
              <w:marTop w:val="0"/>
              <w:marBottom w:val="0"/>
              <w:divBdr>
                <w:top w:val="none" w:sz="0" w:space="0" w:color="auto"/>
                <w:left w:val="none" w:sz="0" w:space="0" w:color="auto"/>
                <w:bottom w:val="none" w:sz="0" w:space="0" w:color="auto"/>
                <w:right w:val="none" w:sz="0" w:space="0" w:color="auto"/>
              </w:divBdr>
            </w:div>
            <w:div w:id="1850214680">
              <w:marLeft w:val="0"/>
              <w:marRight w:val="0"/>
              <w:marTop w:val="0"/>
              <w:marBottom w:val="0"/>
              <w:divBdr>
                <w:top w:val="none" w:sz="0" w:space="0" w:color="auto"/>
                <w:left w:val="none" w:sz="0" w:space="0" w:color="auto"/>
                <w:bottom w:val="none" w:sz="0" w:space="0" w:color="auto"/>
                <w:right w:val="none" w:sz="0" w:space="0" w:color="auto"/>
              </w:divBdr>
            </w:div>
            <w:div w:id="1895964925">
              <w:marLeft w:val="0"/>
              <w:marRight w:val="0"/>
              <w:marTop w:val="0"/>
              <w:marBottom w:val="0"/>
              <w:divBdr>
                <w:top w:val="none" w:sz="0" w:space="0" w:color="auto"/>
                <w:left w:val="none" w:sz="0" w:space="0" w:color="auto"/>
                <w:bottom w:val="none" w:sz="0" w:space="0" w:color="auto"/>
                <w:right w:val="none" w:sz="0" w:space="0" w:color="auto"/>
              </w:divBdr>
            </w:div>
            <w:div w:id="1905680986">
              <w:marLeft w:val="0"/>
              <w:marRight w:val="0"/>
              <w:marTop w:val="0"/>
              <w:marBottom w:val="0"/>
              <w:divBdr>
                <w:top w:val="none" w:sz="0" w:space="0" w:color="auto"/>
                <w:left w:val="none" w:sz="0" w:space="0" w:color="auto"/>
                <w:bottom w:val="none" w:sz="0" w:space="0" w:color="auto"/>
                <w:right w:val="none" w:sz="0" w:space="0" w:color="auto"/>
              </w:divBdr>
            </w:div>
            <w:div w:id="2124154983">
              <w:marLeft w:val="0"/>
              <w:marRight w:val="0"/>
              <w:marTop w:val="0"/>
              <w:marBottom w:val="0"/>
              <w:divBdr>
                <w:top w:val="none" w:sz="0" w:space="0" w:color="auto"/>
                <w:left w:val="none" w:sz="0" w:space="0" w:color="auto"/>
                <w:bottom w:val="none" w:sz="0" w:space="0" w:color="auto"/>
                <w:right w:val="none" w:sz="0" w:space="0" w:color="auto"/>
              </w:divBdr>
            </w:div>
          </w:divsChild>
        </w:div>
        <w:div w:id="480846763">
          <w:marLeft w:val="0"/>
          <w:marRight w:val="0"/>
          <w:marTop w:val="0"/>
          <w:marBottom w:val="0"/>
          <w:divBdr>
            <w:top w:val="none" w:sz="0" w:space="0" w:color="auto"/>
            <w:left w:val="none" w:sz="0" w:space="0" w:color="auto"/>
            <w:bottom w:val="none" w:sz="0" w:space="0" w:color="auto"/>
            <w:right w:val="none" w:sz="0" w:space="0" w:color="auto"/>
          </w:divBdr>
        </w:div>
        <w:div w:id="481511182">
          <w:marLeft w:val="0"/>
          <w:marRight w:val="0"/>
          <w:marTop w:val="0"/>
          <w:marBottom w:val="0"/>
          <w:divBdr>
            <w:top w:val="none" w:sz="0" w:space="0" w:color="auto"/>
            <w:left w:val="none" w:sz="0" w:space="0" w:color="auto"/>
            <w:bottom w:val="none" w:sz="0" w:space="0" w:color="auto"/>
            <w:right w:val="none" w:sz="0" w:space="0" w:color="auto"/>
          </w:divBdr>
        </w:div>
        <w:div w:id="495877094">
          <w:marLeft w:val="0"/>
          <w:marRight w:val="0"/>
          <w:marTop w:val="0"/>
          <w:marBottom w:val="0"/>
          <w:divBdr>
            <w:top w:val="none" w:sz="0" w:space="0" w:color="auto"/>
            <w:left w:val="none" w:sz="0" w:space="0" w:color="auto"/>
            <w:bottom w:val="none" w:sz="0" w:space="0" w:color="auto"/>
            <w:right w:val="none" w:sz="0" w:space="0" w:color="auto"/>
          </w:divBdr>
          <w:divsChild>
            <w:div w:id="76946832">
              <w:marLeft w:val="0"/>
              <w:marRight w:val="0"/>
              <w:marTop w:val="0"/>
              <w:marBottom w:val="0"/>
              <w:divBdr>
                <w:top w:val="none" w:sz="0" w:space="0" w:color="auto"/>
                <w:left w:val="none" w:sz="0" w:space="0" w:color="auto"/>
                <w:bottom w:val="none" w:sz="0" w:space="0" w:color="auto"/>
                <w:right w:val="none" w:sz="0" w:space="0" w:color="auto"/>
              </w:divBdr>
            </w:div>
            <w:div w:id="280763774">
              <w:marLeft w:val="0"/>
              <w:marRight w:val="0"/>
              <w:marTop w:val="0"/>
              <w:marBottom w:val="0"/>
              <w:divBdr>
                <w:top w:val="none" w:sz="0" w:space="0" w:color="auto"/>
                <w:left w:val="none" w:sz="0" w:space="0" w:color="auto"/>
                <w:bottom w:val="none" w:sz="0" w:space="0" w:color="auto"/>
                <w:right w:val="none" w:sz="0" w:space="0" w:color="auto"/>
              </w:divBdr>
            </w:div>
            <w:div w:id="500120793">
              <w:marLeft w:val="0"/>
              <w:marRight w:val="0"/>
              <w:marTop w:val="0"/>
              <w:marBottom w:val="0"/>
              <w:divBdr>
                <w:top w:val="none" w:sz="0" w:space="0" w:color="auto"/>
                <w:left w:val="none" w:sz="0" w:space="0" w:color="auto"/>
                <w:bottom w:val="none" w:sz="0" w:space="0" w:color="auto"/>
                <w:right w:val="none" w:sz="0" w:space="0" w:color="auto"/>
              </w:divBdr>
            </w:div>
            <w:div w:id="511454940">
              <w:marLeft w:val="0"/>
              <w:marRight w:val="0"/>
              <w:marTop w:val="0"/>
              <w:marBottom w:val="0"/>
              <w:divBdr>
                <w:top w:val="none" w:sz="0" w:space="0" w:color="auto"/>
                <w:left w:val="none" w:sz="0" w:space="0" w:color="auto"/>
                <w:bottom w:val="none" w:sz="0" w:space="0" w:color="auto"/>
                <w:right w:val="none" w:sz="0" w:space="0" w:color="auto"/>
              </w:divBdr>
            </w:div>
            <w:div w:id="535698301">
              <w:marLeft w:val="0"/>
              <w:marRight w:val="0"/>
              <w:marTop w:val="0"/>
              <w:marBottom w:val="0"/>
              <w:divBdr>
                <w:top w:val="none" w:sz="0" w:space="0" w:color="auto"/>
                <w:left w:val="none" w:sz="0" w:space="0" w:color="auto"/>
                <w:bottom w:val="none" w:sz="0" w:space="0" w:color="auto"/>
                <w:right w:val="none" w:sz="0" w:space="0" w:color="auto"/>
              </w:divBdr>
            </w:div>
            <w:div w:id="641428107">
              <w:marLeft w:val="0"/>
              <w:marRight w:val="0"/>
              <w:marTop w:val="0"/>
              <w:marBottom w:val="0"/>
              <w:divBdr>
                <w:top w:val="none" w:sz="0" w:space="0" w:color="auto"/>
                <w:left w:val="none" w:sz="0" w:space="0" w:color="auto"/>
                <w:bottom w:val="none" w:sz="0" w:space="0" w:color="auto"/>
                <w:right w:val="none" w:sz="0" w:space="0" w:color="auto"/>
              </w:divBdr>
            </w:div>
            <w:div w:id="751895080">
              <w:marLeft w:val="0"/>
              <w:marRight w:val="0"/>
              <w:marTop w:val="0"/>
              <w:marBottom w:val="0"/>
              <w:divBdr>
                <w:top w:val="none" w:sz="0" w:space="0" w:color="auto"/>
                <w:left w:val="none" w:sz="0" w:space="0" w:color="auto"/>
                <w:bottom w:val="none" w:sz="0" w:space="0" w:color="auto"/>
                <w:right w:val="none" w:sz="0" w:space="0" w:color="auto"/>
              </w:divBdr>
            </w:div>
            <w:div w:id="924917335">
              <w:marLeft w:val="0"/>
              <w:marRight w:val="0"/>
              <w:marTop w:val="0"/>
              <w:marBottom w:val="0"/>
              <w:divBdr>
                <w:top w:val="none" w:sz="0" w:space="0" w:color="auto"/>
                <w:left w:val="none" w:sz="0" w:space="0" w:color="auto"/>
                <w:bottom w:val="none" w:sz="0" w:space="0" w:color="auto"/>
                <w:right w:val="none" w:sz="0" w:space="0" w:color="auto"/>
              </w:divBdr>
            </w:div>
            <w:div w:id="1014305177">
              <w:marLeft w:val="0"/>
              <w:marRight w:val="0"/>
              <w:marTop w:val="0"/>
              <w:marBottom w:val="0"/>
              <w:divBdr>
                <w:top w:val="none" w:sz="0" w:space="0" w:color="auto"/>
                <w:left w:val="none" w:sz="0" w:space="0" w:color="auto"/>
                <w:bottom w:val="none" w:sz="0" w:space="0" w:color="auto"/>
                <w:right w:val="none" w:sz="0" w:space="0" w:color="auto"/>
              </w:divBdr>
            </w:div>
            <w:div w:id="1115632273">
              <w:marLeft w:val="0"/>
              <w:marRight w:val="0"/>
              <w:marTop w:val="0"/>
              <w:marBottom w:val="0"/>
              <w:divBdr>
                <w:top w:val="none" w:sz="0" w:space="0" w:color="auto"/>
                <w:left w:val="none" w:sz="0" w:space="0" w:color="auto"/>
                <w:bottom w:val="none" w:sz="0" w:space="0" w:color="auto"/>
                <w:right w:val="none" w:sz="0" w:space="0" w:color="auto"/>
              </w:divBdr>
            </w:div>
            <w:div w:id="1280456241">
              <w:marLeft w:val="0"/>
              <w:marRight w:val="0"/>
              <w:marTop w:val="0"/>
              <w:marBottom w:val="0"/>
              <w:divBdr>
                <w:top w:val="none" w:sz="0" w:space="0" w:color="auto"/>
                <w:left w:val="none" w:sz="0" w:space="0" w:color="auto"/>
                <w:bottom w:val="none" w:sz="0" w:space="0" w:color="auto"/>
                <w:right w:val="none" w:sz="0" w:space="0" w:color="auto"/>
              </w:divBdr>
            </w:div>
            <w:div w:id="1312173665">
              <w:marLeft w:val="0"/>
              <w:marRight w:val="0"/>
              <w:marTop w:val="0"/>
              <w:marBottom w:val="0"/>
              <w:divBdr>
                <w:top w:val="none" w:sz="0" w:space="0" w:color="auto"/>
                <w:left w:val="none" w:sz="0" w:space="0" w:color="auto"/>
                <w:bottom w:val="none" w:sz="0" w:space="0" w:color="auto"/>
                <w:right w:val="none" w:sz="0" w:space="0" w:color="auto"/>
              </w:divBdr>
            </w:div>
            <w:div w:id="1610118425">
              <w:marLeft w:val="0"/>
              <w:marRight w:val="0"/>
              <w:marTop w:val="0"/>
              <w:marBottom w:val="0"/>
              <w:divBdr>
                <w:top w:val="none" w:sz="0" w:space="0" w:color="auto"/>
                <w:left w:val="none" w:sz="0" w:space="0" w:color="auto"/>
                <w:bottom w:val="none" w:sz="0" w:space="0" w:color="auto"/>
                <w:right w:val="none" w:sz="0" w:space="0" w:color="auto"/>
              </w:divBdr>
            </w:div>
            <w:div w:id="1661153670">
              <w:marLeft w:val="0"/>
              <w:marRight w:val="0"/>
              <w:marTop w:val="0"/>
              <w:marBottom w:val="0"/>
              <w:divBdr>
                <w:top w:val="none" w:sz="0" w:space="0" w:color="auto"/>
                <w:left w:val="none" w:sz="0" w:space="0" w:color="auto"/>
                <w:bottom w:val="none" w:sz="0" w:space="0" w:color="auto"/>
                <w:right w:val="none" w:sz="0" w:space="0" w:color="auto"/>
              </w:divBdr>
            </w:div>
            <w:div w:id="1716391902">
              <w:marLeft w:val="0"/>
              <w:marRight w:val="0"/>
              <w:marTop w:val="0"/>
              <w:marBottom w:val="0"/>
              <w:divBdr>
                <w:top w:val="none" w:sz="0" w:space="0" w:color="auto"/>
                <w:left w:val="none" w:sz="0" w:space="0" w:color="auto"/>
                <w:bottom w:val="none" w:sz="0" w:space="0" w:color="auto"/>
                <w:right w:val="none" w:sz="0" w:space="0" w:color="auto"/>
              </w:divBdr>
            </w:div>
            <w:div w:id="1722709101">
              <w:marLeft w:val="0"/>
              <w:marRight w:val="0"/>
              <w:marTop w:val="0"/>
              <w:marBottom w:val="0"/>
              <w:divBdr>
                <w:top w:val="none" w:sz="0" w:space="0" w:color="auto"/>
                <w:left w:val="none" w:sz="0" w:space="0" w:color="auto"/>
                <w:bottom w:val="none" w:sz="0" w:space="0" w:color="auto"/>
                <w:right w:val="none" w:sz="0" w:space="0" w:color="auto"/>
              </w:divBdr>
            </w:div>
            <w:div w:id="1950428174">
              <w:marLeft w:val="0"/>
              <w:marRight w:val="0"/>
              <w:marTop w:val="0"/>
              <w:marBottom w:val="0"/>
              <w:divBdr>
                <w:top w:val="none" w:sz="0" w:space="0" w:color="auto"/>
                <w:left w:val="none" w:sz="0" w:space="0" w:color="auto"/>
                <w:bottom w:val="none" w:sz="0" w:space="0" w:color="auto"/>
                <w:right w:val="none" w:sz="0" w:space="0" w:color="auto"/>
              </w:divBdr>
            </w:div>
            <w:div w:id="1982926154">
              <w:marLeft w:val="0"/>
              <w:marRight w:val="0"/>
              <w:marTop w:val="0"/>
              <w:marBottom w:val="0"/>
              <w:divBdr>
                <w:top w:val="none" w:sz="0" w:space="0" w:color="auto"/>
                <w:left w:val="none" w:sz="0" w:space="0" w:color="auto"/>
                <w:bottom w:val="none" w:sz="0" w:space="0" w:color="auto"/>
                <w:right w:val="none" w:sz="0" w:space="0" w:color="auto"/>
              </w:divBdr>
            </w:div>
            <w:div w:id="2086567666">
              <w:marLeft w:val="0"/>
              <w:marRight w:val="0"/>
              <w:marTop w:val="0"/>
              <w:marBottom w:val="0"/>
              <w:divBdr>
                <w:top w:val="none" w:sz="0" w:space="0" w:color="auto"/>
                <w:left w:val="none" w:sz="0" w:space="0" w:color="auto"/>
                <w:bottom w:val="none" w:sz="0" w:space="0" w:color="auto"/>
                <w:right w:val="none" w:sz="0" w:space="0" w:color="auto"/>
              </w:divBdr>
            </w:div>
            <w:div w:id="2110932222">
              <w:marLeft w:val="0"/>
              <w:marRight w:val="0"/>
              <w:marTop w:val="0"/>
              <w:marBottom w:val="0"/>
              <w:divBdr>
                <w:top w:val="none" w:sz="0" w:space="0" w:color="auto"/>
                <w:left w:val="none" w:sz="0" w:space="0" w:color="auto"/>
                <w:bottom w:val="none" w:sz="0" w:space="0" w:color="auto"/>
                <w:right w:val="none" w:sz="0" w:space="0" w:color="auto"/>
              </w:divBdr>
            </w:div>
          </w:divsChild>
        </w:div>
        <w:div w:id="500245454">
          <w:marLeft w:val="0"/>
          <w:marRight w:val="0"/>
          <w:marTop w:val="0"/>
          <w:marBottom w:val="0"/>
          <w:divBdr>
            <w:top w:val="none" w:sz="0" w:space="0" w:color="auto"/>
            <w:left w:val="none" w:sz="0" w:space="0" w:color="auto"/>
            <w:bottom w:val="none" w:sz="0" w:space="0" w:color="auto"/>
            <w:right w:val="none" w:sz="0" w:space="0" w:color="auto"/>
          </w:divBdr>
        </w:div>
        <w:div w:id="517080952">
          <w:marLeft w:val="0"/>
          <w:marRight w:val="0"/>
          <w:marTop w:val="0"/>
          <w:marBottom w:val="0"/>
          <w:divBdr>
            <w:top w:val="none" w:sz="0" w:space="0" w:color="auto"/>
            <w:left w:val="none" w:sz="0" w:space="0" w:color="auto"/>
            <w:bottom w:val="none" w:sz="0" w:space="0" w:color="auto"/>
            <w:right w:val="none" w:sz="0" w:space="0" w:color="auto"/>
          </w:divBdr>
        </w:div>
        <w:div w:id="528832218">
          <w:marLeft w:val="0"/>
          <w:marRight w:val="0"/>
          <w:marTop w:val="0"/>
          <w:marBottom w:val="0"/>
          <w:divBdr>
            <w:top w:val="none" w:sz="0" w:space="0" w:color="auto"/>
            <w:left w:val="none" w:sz="0" w:space="0" w:color="auto"/>
            <w:bottom w:val="none" w:sz="0" w:space="0" w:color="auto"/>
            <w:right w:val="none" w:sz="0" w:space="0" w:color="auto"/>
          </w:divBdr>
        </w:div>
        <w:div w:id="539319133">
          <w:marLeft w:val="0"/>
          <w:marRight w:val="0"/>
          <w:marTop w:val="0"/>
          <w:marBottom w:val="0"/>
          <w:divBdr>
            <w:top w:val="none" w:sz="0" w:space="0" w:color="auto"/>
            <w:left w:val="none" w:sz="0" w:space="0" w:color="auto"/>
            <w:bottom w:val="none" w:sz="0" w:space="0" w:color="auto"/>
            <w:right w:val="none" w:sz="0" w:space="0" w:color="auto"/>
          </w:divBdr>
          <w:divsChild>
            <w:div w:id="68619292">
              <w:marLeft w:val="-75"/>
              <w:marRight w:val="0"/>
              <w:marTop w:val="30"/>
              <w:marBottom w:val="30"/>
              <w:divBdr>
                <w:top w:val="none" w:sz="0" w:space="0" w:color="auto"/>
                <w:left w:val="none" w:sz="0" w:space="0" w:color="auto"/>
                <w:bottom w:val="none" w:sz="0" w:space="0" w:color="auto"/>
                <w:right w:val="none" w:sz="0" w:space="0" w:color="auto"/>
              </w:divBdr>
              <w:divsChild>
                <w:div w:id="35084940">
                  <w:marLeft w:val="0"/>
                  <w:marRight w:val="0"/>
                  <w:marTop w:val="0"/>
                  <w:marBottom w:val="0"/>
                  <w:divBdr>
                    <w:top w:val="none" w:sz="0" w:space="0" w:color="auto"/>
                    <w:left w:val="none" w:sz="0" w:space="0" w:color="auto"/>
                    <w:bottom w:val="none" w:sz="0" w:space="0" w:color="auto"/>
                    <w:right w:val="none" w:sz="0" w:space="0" w:color="auto"/>
                  </w:divBdr>
                  <w:divsChild>
                    <w:div w:id="1264650998">
                      <w:marLeft w:val="0"/>
                      <w:marRight w:val="0"/>
                      <w:marTop w:val="0"/>
                      <w:marBottom w:val="0"/>
                      <w:divBdr>
                        <w:top w:val="none" w:sz="0" w:space="0" w:color="auto"/>
                        <w:left w:val="none" w:sz="0" w:space="0" w:color="auto"/>
                        <w:bottom w:val="none" w:sz="0" w:space="0" w:color="auto"/>
                        <w:right w:val="none" w:sz="0" w:space="0" w:color="auto"/>
                      </w:divBdr>
                    </w:div>
                  </w:divsChild>
                </w:div>
                <w:div w:id="77991171">
                  <w:marLeft w:val="0"/>
                  <w:marRight w:val="0"/>
                  <w:marTop w:val="0"/>
                  <w:marBottom w:val="0"/>
                  <w:divBdr>
                    <w:top w:val="none" w:sz="0" w:space="0" w:color="auto"/>
                    <w:left w:val="none" w:sz="0" w:space="0" w:color="auto"/>
                    <w:bottom w:val="none" w:sz="0" w:space="0" w:color="auto"/>
                    <w:right w:val="none" w:sz="0" w:space="0" w:color="auto"/>
                  </w:divBdr>
                  <w:divsChild>
                    <w:div w:id="331837848">
                      <w:marLeft w:val="0"/>
                      <w:marRight w:val="0"/>
                      <w:marTop w:val="0"/>
                      <w:marBottom w:val="0"/>
                      <w:divBdr>
                        <w:top w:val="none" w:sz="0" w:space="0" w:color="auto"/>
                        <w:left w:val="none" w:sz="0" w:space="0" w:color="auto"/>
                        <w:bottom w:val="none" w:sz="0" w:space="0" w:color="auto"/>
                        <w:right w:val="none" w:sz="0" w:space="0" w:color="auto"/>
                      </w:divBdr>
                    </w:div>
                  </w:divsChild>
                </w:div>
                <w:div w:id="98836761">
                  <w:marLeft w:val="0"/>
                  <w:marRight w:val="0"/>
                  <w:marTop w:val="0"/>
                  <w:marBottom w:val="0"/>
                  <w:divBdr>
                    <w:top w:val="none" w:sz="0" w:space="0" w:color="auto"/>
                    <w:left w:val="none" w:sz="0" w:space="0" w:color="auto"/>
                    <w:bottom w:val="none" w:sz="0" w:space="0" w:color="auto"/>
                    <w:right w:val="none" w:sz="0" w:space="0" w:color="auto"/>
                  </w:divBdr>
                  <w:divsChild>
                    <w:div w:id="713625454">
                      <w:marLeft w:val="0"/>
                      <w:marRight w:val="0"/>
                      <w:marTop w:val="0"/>
                      <w:marBottom w:val="0"/>
                      <w:divBdr>
                        <w:top w:val="none" w:sz="0" w:space="0" w:color="auto"/>
                        <w:left w:val="none" w:sz="0" w:space="0" w:color="auto"/>
                        <w:bottom w:val="none" w:sz="0" w:space="0" w:color="auto"/>
                        <w:right w:val="none" w:sz="0" w:space="0" w:color="auto"/>
                      </w:divBdr>
                    </w:div>
                  </w:divsChild>
                </w:div>
                <w:div w:id="390274317">
                  <w:marLeft w:val="0"/>
                  <w:marRight w:val="0"/>
                  <w:marTop w:val="0"/>
                  <w:marBottom w:val="0"/>
                  <w:divBdr>
                    <w:top w:val="none" w:sz="0" w:space="0" w:color="auto"/>
                    <w:left w:val="none" w:sz="0" w:space="0" w:color="auto"/>
                    <w:bottom w:val="none" w:sz="0" w:space="0" w:color="auto"/>
                    <w:right w:val="none" w:sz="0" w:space="0" w:color="auto"/>
                  </w:divBdr>
                  <w:divsChild>
                    <w:div w:id="1733121334">
                      <w:marLeft w:val="0"/>
                      <w:marRight w:val="0"/>
                      <w:marTop w:val="0"/>
                      <w:marBottom w:val="0"/>
                      <w:divBdr>
                        <w:top w:val="none" w:sz="0" w:space="0" w:color="auto"/>
                        <w:left w:val="none" w:sz="0" w:space="0" w:color="auto"/>
                        <w:bottom w:val="none" w:sz="0" w:space="0" w:color="auto"/>
                        <w:right w:val="none" w:sz="0" w:space="0" w:color="auto"/>
                      </w:divBdr>
                    </w:div>
                  </w:divsChild>
                </w:div>
                <w:div w:id="503281068">
                  <w:marLeft w:val="0"/>
                  <w:marRight w:val="0"/>
                  <w:marTop w:val="0"/>
                  <w:marBottom w:val="0"/>
                  <w:divBdr>
                    <w:top w:val="none" w:sz="0" w:space="0" w:color="auto"/>
                    <w:left w:val="none" w:sz="0" w:space="0" w:color="auto"/>
                    <w:bottom w:val="none" w:sz="0" w:space="0" w:color="auto"/>
                    <w:right w:val="none" w:sz="0" w:space="0" w:color="auto"/>
                  </w:divBdr>
                  <w:divsChild>
                    <w:div w:id="1126316150">
                      <w:marLeft w:val="0"/>
                      <w:marRight w:val="0"/>
                      <w:marTop w:val="0"/>
                      <w:marBottom w:val="0"/>
                      <w:divBdr>
                        <w:top w:val="none" w:sz="0" w:space="0" w:color="auto"/>
                        <w:left w:val="none" w:sz="0" w:space="0" w:color="auto"/>
                        <w:bottom w:val="none" w:sz="0" w:space="0" w:color="auto"/>
                        <w:right w:val="none" w:sz="0" w:space="0" w:color="auto"/>
                      </w:divBdr>
                    </w:div>
                  </w:divsChild>
                </w:div>
                <w:div w:id="529419536">
                  <w:marLeft w:val="0"/>
                  <w:marRight w:val="0"/>
                  <w:marTop w:val="0"/>
                  <w:marBottom w:val="0"/>
                  <w:divBdr>
                    <w:top w:val="none" w:sz="0" w:space="0" w:color="auto"/>
                    <w:left w:val="none" w:sz="0" w:space="0" w:color="auto"/>
                    <w:bottom w:val="none" w:sz="0" w:space="0" w:color="auto"/>
                    <w:right w:val="none" w:sz="0" w:space="0" w:color="auto"/>
                  </w:divBdr>
                  <w:divsChild>
                    <w:div w:id="961687209">
                      <w:marLeft w:val="0"/>
                      <w:marRight w:val="0"/>
                      <w:marTop w:val="0"/>
                      <w:marBottom w:val="0"/>
                      <w:divBdr>
                        <w:top w:val="none" w:sz="0" w:space="0" w:color="auto"/>
                        <w:left w:val="none" w:sz="0" w:space="0" w:color="auto"/>
                        <w:bottom w:val="none" w:sz="0" w:space="0" w:color="auto"/>
                        <w:right w:val="none" w:sz="0" w:space="0" w:color="auto"/>
                      </w:divBdr>
                    </w:div>
                  </w:divsChild>
                </w:div>
                <w:div w:id="532228084">
                  <w:marLeft w:val="0"/>
                  <w:marRight w:val="0"/>
                  <w:marTop w:val="0"/>
                  <w:marBottom w:val="0"/>
                  <w:divBdr>
                    <w:top w:val="none" w:sz="0" w:space="0" w:color="auto"/>
                    <w:left w:val="none" w:sz="0" w:space="0" w:color="auto"/>
                    <w:bottom w:val="none" w:sz="0" w:space="0" w:color="auto"/>
                    <w:right w:val="none" w:sz="0" w:space="0" w:color="auto"/>
                  </w:divBdr>
                  <w:divsChild>
                    <w:div w:id="232200435">
                      <w:marLeft w:val="0"/>
                      <w:marRight w:val="0"/>
                      <w:marTop w:val="0"/>
                      <w:marBottom w:val="0"/>
                      <w:divBdr>
                        <w:top w:val="none" w:sz="0" w:space="0" w:color="auto"/>
                        <w:left w:val="none" w:sz="0" w:space="0" w:color="auto"/>
                        <w:bottom w:val="none" w:sz="0" w:space="0" w:color="auto"/>
                        <w:right w:val="none" w:sz="0" w:space="0" w:color="auto"/>
                      </w:divBdr>
                    </w:div>
                  </w:divsChild>
                </w:div>
                <w:div w:id="651763337">
                  <w:marLeft w:val="0"/>
                  <w:marRight w:val="0"/>
                  <w:marTop w:val="0"/>
                  <w:marBottom w:val="0"/>
                  <w:divBdr>
                    <w:top w:val="none" w:sz="0" w:space="0" w:color="auto"/>
                    <w:left w:val="none" w:sz="0" w:space="0" w:color="auto"/>
                    <w:bottom w:val="none" w:sz="0" w:space="0" w:color="auto"/>
                    <w:right w:val="none" w:sz="0" w:space="0" w:color="auto"/>
                  </w:divBdr>
                  <w:divsChild>
                    <w:div w:id="811601845">
                      <w:marLeft w:val="0"/>
                      <w:marRight w:val="0"/>
                      <w:marTop w:val="0"/>
                      <w:marBottom w:val="0"/>
                      <w:divBdr>
                        <w:top w:val="none" w:sz="0" w:space="0" w:color="auto"/>
                        <w:left w:val="none" w:sz="0" w:space="0" w:color="auto"/>
                        <w:bottom w:val="none" w:sz="0" w:space="0" w:color="auto"/>
                        <w:right w:val="none" w:sz="0" w:space="0" w:color="auto"/>
                      </w:divBdr>
                    </w:div>
                  </w:divsChild>
                </w:div>
                <w:div w:id="714812357">
                  <w:marLeft w:val="0"/>
                  <w:marRight w:val="0"/>
                  <w:marTop w:val="0"/>
                  <w:marBottom w:val="0"/>
                  <w:divBdr>
                    <w:top w:val="none" w:sz="0" w:space="0" w:color="auto"/>
                    <w:left w:val="none" w:sz="0" w:space="0" w:color="auto"/>
                    <w:bottom w:val="none" w:sz="0" w:space="0" w:color="auto"/>
                    <w:right w:val="none" w:sz="0" w:space="0" w:color="auto"/>
                  </w:divBdr>
                  <w:divsChild>
                    <w:div w:id="17121085">
                      <w:marLeft w:val="0"/>
                      <w:marRight w:val="0"/>
                      <w:marTop w:val="0"/>
                      <w:marBottom w:val="0"/>
                      <w:divBdr>
                        <w:top w:val="none" w:sz="0" w:space="0" w:color="auto"/>
                        <w:left w:val="none" w:sz="0" w:space="0" w:color="auto"/>
                        <w:bottom w:val="none" w:sz="0" w:space="0" w:color="auto"/>
                        <w:right w:val="none" w:sz="0" w:space="0" w:color="auto"/>
                      </w:divBdr>
                    </w:div>
                  </w:divsChild>
                </w:div>
                <w:div w:id="753624643">
                  <w:marLeft w:val="0"/>
                  <w:marRight w:val="0"/>
                  <w:marTop w:val="0"/>
                  <w:marBottom w:val="0"/>
                  <w:divBdr>
                    <w:top w:val="none" w:sz="0" w:space="0" w:color="auto"/>
                    <w:left w:val="none" w:sz="0" w:space="0" w:color="auto"/>
                    <w:bottom w:val="none" w:sz="0" w:space="0" w:color="auto"/>
                    <w:right w:val="none" w:sz="0" w:space="0" w:color="auto"/>
                  </w:divBdr>
                  <w:divsChild>
                    <w:div w:id="228927345">
                      <w:marLeft w:val="0"/>
                      <w:marRight w:val="0"/>
                      <w:marTop w:val="0"/>
                      <w:marBottom w:val="0"/>
                      <w:divBdr>
                        <w:top w:val="none" w:sz="0" w:space="0" w:color="auto"/>
                        <w:left w:val="none" w:sz="0" w:space="0" w:color="auto"/>
                        <w:bottom w:val="none" w:sz="0" w:space="0" w:color="auto"/>
                        <w:right w:val="none" w:sz="0" w:space="0" w:color="auto"/>
                      </w:divBdr>
                    </w:div>
                  </w:divsChild>
                </w:div>
                <w:div w:id="758866274">
                  <w:marLeft w:val="0"/>
                  <w:marRight w:val="0"/>
                  <w:marTop w:val="0"/>
                  <w:marBottom w:val="0"/>
                  <w:divBdr>
                    <w:top w:val="none" w:sz="0" w:space="0" w:color="auto"/>
                    <w:left w:val="none" w:sz="0" w:space="0" w:color="auto"/>
                    <w:bottom w:val="none" w:sz="0" w:space="0" w:color="auto"/>
                    <w:right w:val="none" w:sz="0" w:space="0" w:color="auto"/>
                  </w:divBdr>
                  <w:divsChild>
                    <w:div w:id="592861665">
                      <w:marLeft w:val="0"/>
                      <w:marRight w:val="0"/>
                      <w:marTop w:val="0"/>
                      <w:marBottom w:val="0"/>
                      <w:divBdr>
                        <w:top w:val="none" w:sz="0" w:space="0" w:color="auto"/>
                        <w:left w:val="none" w:sz="0" w:space="0" w:color="auto"/>
                        <w:bottom w:val="none" w:sz="0" w:space="0" w:color="auto"/>
                        <w:right w:val="none" w:sz="0" w:space="0" w:color="auto"/>
                      </w:divBdr>
                    </w:div>
                  </w:divsChild>
                </w:div>
                <w:div w:id="952590461">
                  <w:marLeft w:val="0"/>
                  <w:marRight w:val="0"/>
                  <w:marTop w:val="0"/>
                  <w:marBottom w:val="0"/>
                  <w:divBdr>
                    <w:top w:val="none" w:sz="0" w:space="0" w:color="auto"/>
                    <w:left w:val="none" w:sz="0" w:space="0" w:color="auto"/>
                    <w:bottom w:val="none" w:sz="0" w:space="0" w:color="auto"/>
                    <w:right w:val="none" w:sz="0" w:space="0" w:color="auto"/>
                  </w:divBdr>
                  <w:divsChild>
                    <w:div w:id="1885632628">
                      <w:marLeft w:val="0"/>
                      <w:marRight w:val="0"/>
                      <w:marTop w:val="0"/>
                      <w:marBottom w:val="0"/>
                      <w:divBdr>
                        <w:top w:val="none" w:sz="0" w:space="0" w:color="auto"/>
                        <w:left w:val="none" w:sz="0" w:space="0" w:color="auto"/>
                        <w:bottom w:val="none" w:sz="0" w:space="0" w:color="auto"/>
                        <w:right w:val="none" w:sz="0" w:space="0" w:color="auto"/>
                      </w:divBdr>
                    </w:div>
                  </w:divsChild>
                </w:div>
                <w:div w:id="1003165787">
                  <w:marLeft w:val="0"/>
                  <w:marRight w:val="0"/>
                  <w:marTop w:val="0"/>
                  <w:marBottom w:val="0"/>
                  <w:divBdr>
                    <w:top w:val="none" w:sz="0" w:space="0" w:color="auto"/>
                    <w:left w:val="none" w:sz="0" w:space="0" w:color="auto"/>
                    <w:bottom w:val="none" w:sz="0" w:space="0" w:color="auto"/>
                    <w:right w:val="none" w:sz="0" w:space="0" w:color="auto"/>
                  </w:divBdr>
                  <w:divsChild>
                    <w:div w:id="1845245103">
                      <w:marLeft w:val="0"/>
                      <w:marRight w:val="0"/>
                      <w:marTop w:val="0"/>
                      <w:marBottom w:val="0"/>
                      <w:divBdr>
                        <w:top w:val="none" w:sz="0" w:space="0" w:color="auto"/>
                        <w:left w:val="none" w:sz="0" w:space="0" w:color="auto"/>
                        <w:bottom w:val="none" w:sz="0" w:space="0" w:color="auto"/>
                        <w:right w:val="none" w:sz="0" w:space="0" w:color="auto"/>
                      </w:divBdr>
                    </w:div>
                  </w:divsChild>
                </w:div>
                <w:div w:id="1296637752">
                  <w:marLeft w:val="0"/>
                  <w:marRight w:val="0"/>
                  <w:marTop w:val="0"/>
                  <w:marBottom w:val="0"/>
                  <w:divBdr>
                    <w:top w:val="none" w:sz="0" w:space="0" w:color="auto"/>
                    <w:left w:val="none" w:sz="0" w:space="0" w:color="auto"/>
                    <w:bottom w:val="none" w:sz="0" w:space="0" w:color="auto"/>
                    <w:right w:val="none" w:sz="0" w:space="0" w:color="auto"/>
                  </w:divBdr>
                  <w:divsChild>
                    <w:div w:id="161819466">
                      <w:marLeft w:val="0"/>
                      <w:marRight w:val="0"/>
                      <w:marTop w:val="0"/>
                      <w:marBottom w:val="0"/>
                      <w:divBdr>
                        <w:top w:val="none" w:sz="0" w:space="0" w:color="auto"/>
                        <w:left w:val="none" w:sz="0" w:space="0" w:color="auto"/>
                        <w:bottom w:val="none" w:sz="0" w:space="0" w:color="auto"/>
                        <w:right w:val="none" w:sz="0" w:space="0" w:color="auto"/>
                      </w:divBdr>
                    </w:div>
                  </w:divsChild>
                </w:div>
                <w:div w:id="1333920057">
                  <w:marLeft w:val="0"/>
                  <w:marRight w:val="0"/>
                  <w:marTop w:val="0"/>
                  <w:marBottom w:val="0"/>
                  <w:divBdr>
                    <w:top w:val="none" w:sz="0" w:space="0" w:color="auto"/>
                    <w:left w:val="none" w:sz="0" w:space="0" w:color="auto"/>
                    <w:bottom w:val="none" w:sz="0" w:space="0" w:color="auto"/>
                    <w:right w:val="none" w:sz="0" w:space="0" w:color="auto"/>
                  </w:divBdr>
                  <w:divsChild>
                    <w:div w:id="577597009">
                      <w:marLeft w:val="0"/>
                      <w:marRight w:val="0"/>
                      <w:marTop w:val="0"/>
                      <w:marBottom w:val="0"/>
                      <w:divBdr>
                        <w:top w:val="none" w:sz="0" w:space="0" w:color="auto"/>
                        <w:left w:val="none" w:sz="0" w:space="0" w:color="auto"/>
                        <w:bottom w:val="none" w:sz="0" w:space="0" w:color="auto"/>
                        <w:right w:val="none" w:sz="0" w:space="0" w:color="auto"/>
                      </w:divBdr>
                    </w:div>
                  </w:divsChild>
                </w:div>
                <w:div w:id="1387338206">
                  <w:marLeft w:val="0"/>
                  <w:marRight w:val="0"/>
                  <w:marTop w:val="0"/>
                  <w:marBottom w:val="0"/>
                  <w:divBdr>
                    <w:top w:val="none" w:sz="0" w:space="0" w:color="auto"/>
                    <w:left w:val="none" w:sz="0" w:space="0" w:color="auto"/>
                    <w:bottom w:val="none" w:sz="0" w:space="0" w:color="auto"/>
                    <w:right w:val="none" w:sz="0" w:space="0" w:color="auto"/>
                  </w:divBdr>
                  <w:divsChild>
                    <w:div w:id="1998142951">
                      <w:marLeft w:val="0"/>
                      <w:marRight w:val="0"/>
                      <w:marTop w:val="0"/>
                      <w:marBottom w:val="0"/>
                      <w:divBdr>
                        <w:top w:val="none" w:sz="0" w:space="0" w:color="auto"/>
                        <w:left w:val="none" w:sz="0" w:space="0" w:color="auto"/>
                        <w:bottom w:val="none" w:sz="0" w:space="0" w:color="auto"/>
                        <w:right w:val="none" w:sz="0" w:space="0" w:color="auto"/>
                      </w:divBdr>
                    </w:div>
                  </w:divsChild>
                </w:div>
                <w:div w:id="1580169959">
                  <w:marLeft w:val="0"/>
                  <w:marRight w:val="0"/>
                  <w:marTop w:val="0"/>
                  <w:marBottom w:val="0"/>
                  <w:divBdr>
                    <w:top w:val="none" w:sz="0" w:space="0" w:color="auto"/>
                    <w:left w:val="none" w:sz="0" w:space="0" w:color="auto"/>
                    <w:bottom w:val="none" w:sz="0" w:space="0" w:color="auto"/>
                    <w:right w:val="none" w:sz="0" w:space="0" w:color="auto"/>
                  </w:divBdr>
                  <w:divsChild>
                    <w:div w:id="1351221924">
                      <w:marLeft w:val="0"/>
                      <w:marRight w:val="0"/>
                      <w:marTop w:val="0"/>
                      <w:marBottom w:val="0"/>
                      <w:divBdr>
                        <w:top w:val="none" w:sz="0" w:space="0" w:color="auto"/>
                        <w:left w:val="none" w:sz="0" w:space="0" w:color="auto"/>
                        <w:bottom w:val="none" w:sz="0" w:space="0" w:color="auto"/>
                        <w:right w:val="none" w:sz="0" w:space="0" w:color="auto"/>
                      </w:divBdr>
                    </w:div>
                  </w:divsChild>
                </w:div>
                <w:div w:id="1712533232">
                  <w:marLeft w:val="0"/>
                  <w:marRight w:val="0"/>
                  <w:marTop w:val="0"/>
                  <w:marBottom w:val="0"/>
                  <w:divBdr>
                    <w:top w:val="none" w:sz="0" w:space="0" w:color="auto"/>
                    <w:left w:val="none" w:sz="0" w:space="0" w:color="auto"/>
                    <w:bottom w:val="none" w:sz="0" w:space="0" w:color="auto"/>
                    <w:right w:val="none" w:sz="0" w:space="0" w:color="auto"/>
                  </w:divBdr>
                  <w:divsChild>
                    <w:div w:id="1087767181">
                      <w:marLeft w:val="0"/>
                      <w:marRight w:val="0"/>
                      <w:marTop w:val="0"/>
                      <w:marBottom w:val="0"/>
                      <w:divBdr>
                        <w:top w:val="none" w:sz="0" w:space="0" w:color="auto"/>
                        <w:left w:val="none" w:sz="0" w:space="0" w:color="auto"/>
                        <w:bottom w:val="none" w:sz="0" w:space="0" w:color="auto"/>
                        <w:right w:val="none" w:sz="0" w:space="0" w:color="auto"/>
                      </w:divBdr>
                    </w:div>
                  </w:divsChild>
                </w:div>
                <w:div w:id="1827428450">
                  <w:marLeft w:val="0"/>
                  <w:marRight w:val="0"/>
                  <w:marTop w:val="0"/>
                  <w:marBottom w:val="0"/>
                  <w:divBdr>
                    <w:top w:val="none" w:sz="0" w:space="0" w:color="auto"/>
                    <w:left w:val="none" w:sz="0" w:space="0" w:color="auto"/>
                    <w:bottom w:val="none" w:sz="0" w:space="0" w:color="auto"/>
                    <w:right w:val="none" w:sz="0" w:space="0" w:color="auto"/>
                  </w:divBdr>
                  <w:divsChild>
                    <w:div w:id="1238637686">
                      <w:marLeft w:val="0"/>
                      <w:marRight w:val="0"/>
                      <w:marTop w:val="0"/>
                      <w:marBottom w:val="0"/>
                      <w:divBdr>
                        <w:top w:val="none" w:sz="0" w:space="0" w:color="auto"/>
                        <w:left w:val="none" w:sz="0" w:space="0" w:color="auto"/>
                        <w:bottom w:val="none" w:sz="0" w:space="0" w:color="auto"/>
                        <w:right w:val="none" w:sz="0" w:space="0" w:color="auto"/>
                      </w:divBdr>
                    </w:div>
                  </w:divsChild>
                </w:div>
                <w:div w:id="1861821068">
                  <w:marLeft w:val="0"/>
                  <w:marRight w:val="0"/>
                  <w:marTop w:val="0"/>
                  <w:marBottom w:val="0"/>
                  <w:divBdr>
                    <w:top w:val="none" w:sz="0" w:space="0" w:color="auto"/>
                    <w:left w:val="none" w:sz="0" w:space="0" w:color="auto"/>
                    <w:bottom w:val="none" w:sz="0" w:space="0" w:color="auto"/>
                    <w:right w:val="none" w:sz="0" w:space="0" w:color="auto"/>
                  </w:divBdr>
                  <w:divsChild>
                    <w:div w:id="1497647385">
                      <w:marLeft w:val="0"/>
                      <w:marRight w:val="0"/>
                      <w:marTop w:val="0"/>
                      <w:marBottom w:val="0"/>
                      <w:divBdr>
                        <w:top w:val="none" w:sz="0" w:space="0" w:color="auto"/>
                        <w:left w:val="none" w:sz="0" w:space="0" w:color="auto"/>
                        <w:bottom w:val="none" w:sz="0" w:space="0" w:color="auto"/>
                        <w:right w:val="none" w:sz="0" w:space="0" w:color="auto"/>
                      </w:divBdr>
                    </w:div>
                  </w:divsChild>
                </w:div>
                <w:div w:id="1906377675">
                  <w:marLeft w:val="0"/>
                  <w:marRight w:val="0"/>
                  <w:marTop w:val="0"/>
                  <w:marBottom w:val="0"/>
                  <w:divBdr>
                    <w:top w:val="none" w:sz="0" w:space="0" w:color="auto"/>
                    <w:left w:val="none" w:sz="0" w:space="0" w:color="auto"/>
                    <w:bottom w:val="none" w:sz="0" w:space="0" w:color="auto"/>
                    <w:right w:val="none" w:sz="0" w:space="0" w:color="auto"/>
                  </w:divBdr>
                  <w:divsChild>
                    <w:div w:id="2005815822">
                      <w:marLeft w:val="0"/>
                      <w:marRight w:val="0"/>
                      <w:marTop w:val="0"/>
                      <w:marBottom w:val="0"/>
                      <w:divBdr>
                        <w:top w:val="none" w:sz="0" w:space="0" w:color="auto"/>
                        <w:left w:val="none" w:sz="0" w:space="0" w:color="auto"/>
                        <w:bottom w:val="none" w:sz="0" w:space="0" w:color="auto"/>
                        <w:right w:val="none" w:sz="0" w:space="0" w:color="auto"/>
                      </w:divBdr>
                    </w:div>
                  </w:divsChild>
                </w:div>
                <w:div w:id="2067533696">
                  <w:marLeft w:val="0"/>
                  <w:marRight w:val="0"/>
                  <w:marTop w:val="0"/>
                  <w:marBottom w:val="0"/>
                  <w:divBdr>
                    <w:top w:val="none" w:sz="0" w:space="0" w:color="auto"/>
                    <w:left w:val="none" w:sz="0" w:space="0" w:color="auto"/>
                    <w:bottom w:val="none" w:sz="0" w:space="0" w:color="auto"/>
                    <w:right w:val="none" w:sz="0" w:space="0" w:color="auto"/>
                  </w:divBdr>
                  <w:divsChild>
                    <w:div w:id="1270621720">
                      <w:marLeft w:val="0"/>
                      <w:marRight w:val="0"/>
                      <w:marTop w:val="0"/>
                      <w:marBottom w:val="0"/>
                      <w:divBdr>
                        <w:top w:val="none" w:sz="0" w:space="0" w:color="auto"/>
                        <w:left w:val="none" w:sz="0" w:space="0" w:color="auto"/>
                        <w:bottom w:val="none" w:sz="0" w:space="0" w:color="auto"/>
                        <w:right w:val="none" w:sz="0" w:space="0" w:color="auto"/>
                      </w:divBdr>
                    </w:div>
                  </w:divsChild>
                </w:div>
                <w:div w:id="2117602019">
                  <w:marLeft w:val="0"/>
                  <w:marRight w:val="0"/>
                  <w:marTop w:val="0"/>
                  <w:marBottom w:val="0"/>
                  <w:divBdr>
                    <w:top w:val="none" w:sz="0" w:space="0" w:color="auto"/>
                    <w:left w:val="none" w:sz="0" w:space="0" w:color="auto"/>
                    <w:bottom w:val="none" w:sz="0" w:space="0" w:color="auto"/>
                    <w:right w:val="none" w:sz="0" w:space="0" w:color="auto"/>
                  </w:divBdr>
                  <w:divsChild>
                    <w:div w:id="519900401">
                      <w:marLeft w:val="0"/>
                      <w:marRight w:val="0"/>
                      <w:marTop w:val="0"/>
                      <w:marBottom w:val="0"/>
                      <w:divBdr>
                        <w:top w:val="none" w:sz="0" w:space="0" w:color="auto"/>
                        <w:left w:val="none" w:sz="0" w:space="0" w:color="auto"/>
                        <w:bottom w:val="none" w:sz="0" w:space="0" w:color="auto"/>
                        <w:right w:val="none" w:sz="0" w:space="0" w:color="auto"/>
                      </w:divBdr>
                    </w:div>
                  </w:divsChild>
                </w:div>
                <w:div w:id="2136366895">
                  <w:marLeft w:val="0"/>
                  <w:marRight w:val="0"/>
                  <w:marTop w:val="0"/>
                  <w:marBottom w:val="0"/>
                  <w:divBdr>
                    <w:top w:val="none" w:sz="0" w:space="0" w:color="auto"/>
                    <w:left w:val="none" w:sz="0" w:space="0" w:color="auto"/>
                    <w:bottom w:val="none" w:sz="0" w:space="0" w:color="auto"/>
                    <w:right w:val="none" w:sz="0" w:space="0" w:color="auto"/>
                  </w:divBdr>
                  <w:divsChild>
                    <w:div w:id="16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90467">
          <w:marLeft w:val="0"/>
          <w:marRight w:val="0"/>
          <w:marTop w:val="0"/>
          <w:marBottom w:val="0"/>
          <w:divBdr>
            <w:top w:val="none" w:sz="0" w:space="0" w:color="auto"/>
            <w:left w:val="none" w:sz="0" w:space="0" w:color="auto"/>
            <w:bottom w:val="none" w:sz="0" w:space="0" w:color="auto"/>
            <w:right w:val="none" w:sz="0" w:space="0" w:color="auto"/>
          </w:divBdr>
        </w:div>
        <w:div w:id="556167158">
          <w:marLeft w:val="0"/>
          <w:marRight w:val="0"/>
          <w:marTop w:val="0"/>
          <w:marBottom w:val="0"/>
          <w:divBdr>
            <w:top w:val="none" w:sz="0" w:space="0" w:color="auto"/>
            <w:left w:val="none" w:sz="0" w:space="0" w:color="auto"/>
            <w:bottom w:val="none" w:sz="0" w:space="0" w:color="auto"/>
            <w:right w:val="none" w:sz="0" w:space="0" w:color="auto"/>
          </w:divBdr>
        </w:div>
        <w:div w:id="568079040">
          <w:marLeft w:val="0"/>
          <w:marRight w:val="0"/>
          <w:marTop w:val="0"/>
          <w:marBottom w:val="0"/>
          <w:divBdr>
            <w:top w:val="none" w:sz="0" w:space="0" w:color="auto"/>
            <w:left w:val="none" w:sz="0" w:space="0" w:color="auto"/>
            <w:bottom w:val="none" w:sz="0" w:space="0" w:color="auto"/>
            <w:right w:val="none" w:sz="0" w:space="0" w:color="auto"/>
          </w:divBdr>
        </w:div>
        <w:div w:id="589117694">
          <w:marLeft w:val="0"/>
          <w:marRight w:val="0"/>
          <w:marTop w:val="0"/>
          <w:marBottom w:val="0"/>
          <w:divBdr>
            <w:top w:val="none" w:sz="0" w:space="0" w:color="auto"/>
            <w:left w:val="none" w:sz="0" w:space="0" w:color="auto"/>
            <w:bottom w:val="none" w:sz="0" w:space="0" w:color="auto"/>
            <w:right w:val="none" w:sz="0" w:space="0" w:color="auto"/>
          </w:divBdr>
        </w:div>
        <w:div w:id="593823684">
          <w:marLeft w:val="0"/>
          <w:marRight w:val="0"/>
          <w:marTop w:val="0"/>
          <w:marBottom w:val="0"/>
          <w:divBdr>
            <w:top w:val="none" w:sz="0" w:space="0" w:color="auto"/>
            <w:left w:val="none" w:sz="0" w:space="0" w:color="auto"/>
            <w:bottom w:val="none" w:sz="0" w:space="0" w:color="auto"/>
            <w:right w:val="none" w:sz="0" w:space="0" w:color="auto"/>
          </w:divBdr>
        </w:div>
        <w:div w:id="602032581">
          <w:marLeft w:val="0"/>
          <w:marRight w:val="0"/>
          <w:marTop w:val="0"/>
          <w:marBottom w:val="0"/>
          <w:divBdr>
            <w:top w:val="none" w:sz="0" w:space="0" w:color="auto"/>
            <w:left w:val="none" w:sz="0" w:space="0" w:color="auto"/>
            <w:bottom w:val="none" w:sz="0" w:space="0" w:color="auto"/>
            <w:right w:val="none" w:sz="0" w:space="0" w:color="auto"/>
          </w:divBdr>
        </w:div>
        <w:div w:id="606741298">
          <w:marLeft w:val="0"/>
          <w:marRight w:val="0"/>
          <w:marTop w:val="0"/>
          <w:marBottom w:val="0"/>
          <w:divBdr>
            <w:top w:val="none" w:sz="0" w:space="0" w:color="auto"/>
            <w:left w:val="none" w:sz="0" w:space="0" w:color="auto"/>
            <w:bottom w:val="none" w:sz="0" w:space="0" w:color="auto"/>
            <w:right w:val="none" w:sz="0" w:space="0" w:color="auto"/>
          </w:divBdr>
        </w:div>
        <w:div w:id="616256661">
          <w:marLeft w:val="0"/>
          <w:marRight w:val="0"/>
          <w:marTop w:val="0"/>
          <w:marBottom w:val="0"/>
          <w:divBdr>
            <w:top w:val="none" w:sz="0" w:space="0" w:color="auto"/>
            <w:left w:val="none" w:sz="0" w:space="0" w:color="auto"/>
            <w:bottom w:val="none" w:sz="0" w:space="0" w:color="auto"/>
            <w:right w:val="none" w:sz="0" w:space="0" w:color="auto"/>
          </w:divBdr>
        </w:div>
        <w:div w:id="664020462">
          <w:marLeft w:val="0"/>
          <w:marRight w:val="0"/>
          <w:marTop w:val="0"/>
          <w:marBottom w:val="0"/>
          <w:divBdr>
            <w:top w:val="none" w:sz="0" w:space="0" w:color="auto"/>
            <w:left w:val="none" w:sz="0" w:space="0" w:color="auto"/>
            <w:bottom w:val="none" w:sz="0" w:space="0" w:color="auto"/>
            <w:right w:val="none" w:sz="0" w:space="0" w:color="auto"/>
          </w:divBdr>
        </w:div>
        <w:div w:id="672222379">
          <w:marLeft w:val="0"/>
          <w:marRight w:val="0"/>
          <w:marTop w:val="0"/>
          <w:marBottom w:val="0"/>
          <w:divBdr>
            <w:top w:val="none" w:sz="0" w:space="0" w:color="auto"/>
            <w:left w:val="none" w:sz="0" w:space="0" w:color="auto"/>
            <w:bottom w:val="none" w:sz="0" w:space="0" w:color="auto"/>
            <w:right w:val="none" w:sz="0" w:space="0" w:color="auto"/>
          </w:divBdr>
        </w:div>
        <w:div w:id="680082798">
          <w:marLeft w:val="0"/>
          <w:marRight w:val="0"/>
          <w:marTop w:val="0"/>
          <w:marBottom w:val="0"/>
          <w:divBdr>
            <w:top w:val="none" w:sz="0" w:space="0" w:color="auto"/>
            <w:left w:val="none" w:sz="0" w:space="0" w:color="auto"/>
            <w:bottom w:val="none" w:sz="0" w:space="0" w:color="auto"/>
            <w:right w:val="none" w:sz="0" w:space="0" w:color="auto"/>
          </w:divBdr>
        </w:div>
        <w:div w:id="687217735">
          <w:marLeft w:val="0"/>
          <w:marRight w:val="0"/>
          <w:marTop w:val="0"/>
          <w:marBottom w:val="0"/>
          <w:divBdr>
            <w:top w:val="none" w:sz="0" w:space="0" w:color="auto"/>
            <w:left w:val="none" w:sz="0" w:space="0" w:color="auto"/>
            <w:bottom w:val="none" w:sz="0" w:space="0" w:color="auto"/>
            <w:right w:val="none" w:sz="0" w:space="0" w:color="auto"/>
          </w:divBdr>
          <w:divsChild>
            <w:div w:id="95179552">
              <w:marLeft w:val="0"/>
              <w:marRight w:val="0"/>
              <w:marTop w:val="0"/>
              <w:marBottom w:val="0"/>
              <w:divBdr>
                <w:top w:val="none" w:sz="0" w:space="0" w:color="auto"/>
                <w:left w:val="none" w:sz="0" w:space="0" w:color="auto"/>
                <w:bottom w:val="none" w:sz="0" w:space="0" w:color="auto"/>
                <w:right w:val="none" w:sz="0" w:space="0" w:color="auto"/>
              </w:divBdr>
            </w:div>
            <w:div w:id="97222084">
              <w:marLeft w:val="0"/>
              <w:marRight w:val="0"/>
              <w:marTop w:val="0"/>
              <w:marBottom w:val="0"/>
              <w:divBdr>
                <w:top w:val="none" w:sz="0" w:space="0" w:color="auto"/>
                <w:left w:val="none" w:sz="0" w:space="0" w:color="auto"/>
                <w:bottom w:val="none" w:sz="0" w:space="0" w:color="auto"/>
                <w:right w:val="none" w:sz="0" w:space="0" w:color="auto"/>
              </w:divBdr>
            </w:div>
            <w:div w:id="102964922">
              <w:marLeft w:val="0"/>
              <w:marRight w:val="0"/>
              <w:marTop w:val="0"/>
              <w:marBottom w:val="0"/>
              <w:divBdr>
                <w:top w:val="none" w:sz="0" w:space="0" w:color="auto"/>
                <w:left w:val="none" w:sz="0" w:space="0" w:color="auto"/>
                <w:bottom w:val="none" w:sz="0" w:space="0" w:color="auto"/>
                <w:right w:val="none" w:sz="0" w:space="0" w:color="auto"/>
              </w:divBdr>
            </w:div>
            <w:div w:id="115756790">
              <w:marLeft w:val="0"/>
              <w:marRight w:val="0"/>
              <w:marTop w:val="0"/>
              <w:marBottom w:val="0"/>
              <w:divBdr>
                <w:top w:val="none" w:sz="0" w:space="0" w:color="auto"/>
                <w:left w:val="none" w:sz="0" w:space="0" w:color="auto"/>
                <w:bottom w:val="none" w:sz="0" w:space="0" w:color="auto"/>
                <w:right w:val="none" w:sz="0" w:space="0" w:color="auto"/>
              </w:divBdr>
            </w:div>
            <w:div w:id="180439568">
              <w:marLeft w:val="0"/>
              <w:marRight w:val="0"/>
              <w:marTop w:val="0"/>
              <w:marBottom w:val="0"/>
              <w:divBdr>
                <w:top w:val="none" w:sz="0" w:space="0" w:color="auto"/>
                <w:left w:val="none" w:sz="0" w:space="0" w:color="auto"/>
                <w:bottom w:val="none" w:sz="0" w:space="0" w:color="auto"/>
                <w:right w:val="none" w:sz="0" w:space="0" w:color="auto"/>
              </w:divBdr>
            </w:div>
            <w:div w:id="221985521">
              <w:marLeft w:val="0"/>
              <w:marRight w:val="0"/>
              <w:marTop w:val="0"/>
              <w:marBottom w:val="0"/>
              <w:divBdr>
                <w:top w:val="none" w:sz="0" w:space="0" w:color="auto"/>
                <w:left w:val="none" w:sz="0" w:space="0" w:color="auto"/>
                <w:bottom w:val="none" w:sz="0" w:space="0" w:color="auto"/>
                <w:right w:val="none" w:sz="0" w:space="0" w:color="auto"/>
              </w:divBdr>
            </w:div>
            <w:div w:id="364910321">
              <w:marLeft w:val="0"/>
              <w:marRight w:val="0"/>
              <w:marTop w:val="0"/>
              <w:marBottom w:val="0"/>
              <w:divBdr>
                <w:top w:val="none" w:sz="0" w:space="0" w:color="auto"/>
                <w:left w:val="none" w:sz="0" w:space="0" w:color="auto"/>
                <w:bottom w:val="none" w:sz="0" w:space="0" w:color="auto"/>
                <w:right w:val="none" w:sz="0" w:space="0" w:color="auto"/>
              </w:divBdr>
            </w:div>
            <w:div w:id="596017075">
              <w:marLeft w:val="0"/>
              <w:marRight w:val="0"/>
              <w:marTop w:val="0"/>
              <w:marBottom w:val="0"/>
              <w:divBdr>
                <w:top w:val="none" w:sz="0" w:space="0" w:color="auto"/>
                <w:left w:val="none" w:sz="0" w:space="0" w:color="auto"/>
                <w:bottom w:val="none" w:sz="0" w:space="0" w:color="auto"/>
                <w:right w:val="none" w:sz="0" w:space="0" w:color="auto"/>
              </w:divBdr>
            </w:div>
            <w:div w:id="667288317">
              <w:marLeft w:val="0"/>
              <w:marRight w:val="0"/>
              <w:marTop w:val="0"/>
              <w:marBottom w:val="0"/>
              <w:divBdr>
                <w:top w:val="none" w:sz="0" w:space="0" w:color="auto"/>
                <w:left w:val="none" w:sz="0" w:space="0" w:color="auto"/>
                <w:bottom w:val="none" w:sz="0" w:space="0" w:color="auto"/>
                <w:right w:val="none" w:sz="0" w:space="0" w:color="auto"/>
              </w:divBdr>
            </w:div>
            <w:div w:id="752699975">
              <w:marLeft w:val="0"/>
              <w:marRight w:val="0"/>
              <w:marTop w:val="0"/>
              <w:marBottom w:val="0"/>
              <w:divBdr>
                <w:top w:val="none" w:sz="0" w:space="0" w:color="auto"/>
                <w:left w:val="none" w:sz="0" w:space="0" w:color="auto"/>
                <w:bottom w:val="none" w:sz="0" w:space="0" w:color="auto"/>
                <w:right w:val="none" w:sz="0" w:space="0" w:color="auto"/>
              </w:divBdr>
            </w:div>
            <w:div w:id="799424747">
              <w:marLeft w:val="0"/>
              <w:marRight w:val="0"/>
              <w:marTop w:val="0"/>
              <w:marBottom w:val="0"/>
              <w:divBdr>
                <w:top w:val="none" w:sz="0" w:space="0" w:color="auto"/>
                <w:left w:val="none" w:sz="0" w:space="0" w:color="auto"/>
                <w:bottom w:val="none" w:sz="0" w:space="0" w:color="auto"/>
                <w:right w:val="none" w:sz="0" w:space="0" w:color="auto"/>
              </w:divBdr>
            </w:div>
            <w:div w:id="805662179">
              <w:marLeft w:val="0"/>
              <w:marRight w:val="0"/>
              <w:marTop w:val="0"/>
              <w:marBottom w:val="0"/>
              <w:divBdr>
                <w:top w:val="none" w:sz="0" w:space="0" w:color="auto"/>
                <w:left w:val="none" w:sz="0" w:space="0" w:color="auto"/>
                <w:bottom w:val="none" w:sz="0" w:space="0" w:color="auto"/>
                <w:right w:val="none" w:sz="0" w:space="0" w:color="auto"/>
              </w:divBdr>
            </w:div>
            <w:div w:id="945960901">
              <w:marLeft w:val="0"/>
              <w:marRight w:val="0"/>
              <w:marTop w:val="0"/>
              <w:marBottom w:val="0"/>
              <w:divBdr>
                <w:top w:val="none" w:sz="0" w:space="0" w:color="auto"/>
                <w:left w:val="none" w:sz="0" w:space="0" w:color="auto"/>
                <w:bottom w:val="none" w:sz="0" w:space="0" w:color="auto"/>
                <w:right w:val="none" w:sz="0" w:space="0" w:color="auto"/>
              </w:divBdr>
            </w:div>
            <w:div w:id="1100488963">
              <w:marLeft w:val="0"/>
              <w:marRight w:val="0"/>
              <w:marTop w:val="0"/>
              <w:marBottom w:val="0"/>
              <w:divBdr>
                <w:top w:val="none" w:sz="0" w:space="0" w:color="auto"/>
                <w:left w:val="none" w:sz="0" w:space="0" w:color="auto"/>
                <w:bottom w:val="none" w:sz="0" w:space="0" w:color="auto"/>
                <w:right w:val="none" w:sz="0" w:space="0" w:color="auto"/>
              </w:divBdr>
            </w:div>
            <w:div w:id="1104304420">
              <w:marLeft w:val="0"/>
              <w:marRight w:val="0"/>
              <w:marTop w:val="0"/>
              <w:marBottom w:val="0"/>
              <w:divBdr>
                <w:top w:val="none" w:sz="0" w:space="0" w:color="auto"/>
                <w:left w:val="none" w:sz="0" w:space="0" w:color="auto"/>
                <w:bottom w:val="none" w:sz="0" w:space="0" w:color="auto"/>
                <w:right w:val="none" w:sz="0" w:space="0" w:color="auto"/>
              </w:divBdr>
            </w:div>
            <w:div w:id="1255939171">
              <w:marLeft w:val="0"/>
              <w:marRight w:val="0"/>
              <w:marTop w:val="0"/>
              <w:marBottom w:val="0"/>
              <w:divBdr>
                <w:top w:val="none" w:sz="0" w:space="0" w:color="auto"/>
                <w:left w:val="none" w:sz="0" w:space="0" w:color="auto"/>
                <w:bottom w:val="none" w:sz="0" w:space="0" w:color="auto"/>
                <w:right w:val="none" w:sz="0" w:space="0" w:color="auto"/>
              </w:divBdr>
            </w:div>
            <w:div w:id="1624799896">
              <w:marLeft w:val="0"/>
              <w:marRight w:val="0"/>
              <w:marTop w:val="0"/>
              <w:marBottom w:val="0"/>
              <w:divBdr>
                <w:top w:val="none" w:sz="0" w:space="0" w:color="auto"/>
                <w:left w:val="none" w:sz="0" w:space="0" w:color="auto"/>
                <w:bottom w:val="none" w:sz="0" w:space="0" w:color="auto"/>
                <w:right w:val="none" w:sz="0" w:space="0" w:color="auto"/>
              </w:divBdr>
            </w:div>
            <w:div w:id="1751657749">
              <w:marLeft w:val="0"/>
              <w:marRight w:val="0"/>
              <w:marTop w:val="0"/>
              <w:marBottom w:val="0"/>
              <w:divBdr>
                <w:top w:val="none" w:sz="0" w:space="0" w:color="auto"/>
                <w:left w:val="none" w:sz="0" w:space="0" w:color="auto"/>
                <w:bottom w:val="none" w:sz="0" w:space="0" w:color="auto"/>
                <w:right w:val="none" w:sz="0" w:space="0" w:color="auto"/>
              </w:divBdr>
            </w:div>
            <w:div w:id="1984386970">
              <w:marLeft w:val="0"/>
              <w:marRight w:val="0"/>
              <w:marTop w:val="0"/>
              <w:marBottom w:val="0"/>
              <w:divBdr>
                <w:top w:val="none" w:sz="0" w:space="0" w:color="auto"/>
                <w:left w:val="none" w:sz="0" w:space="0" w:color="auto"/>
                <w:bottom w:val="none" w:sz="0" w:space="0" w:color="auto"/>
                <w:right w:val="none" w:sz="0" w:space="0" w:color="auto"/>
              </w:divBdr>
            </w:div>
            <w:div w:id="2113545598">
              <w:marLeft w:val="0"/>
              <w:marRight w:val="0"/>
              <w:marTop w:val="0"/>
              <w:marBottom w:val="0"/>
              <w:divBdr>
                <w:top w:val="none" w:sz="0" w:space="0" w:color="auto"/>
                <w:left w:val="none" w:sz="0" w:space="0" w:color="auto"/>
                <w:bottom w:val="none" w:sz="0" w:space="0" w:color="auto"/>
                <w:right w:val="none" w:sz="0" w:space="0" w:color="auto"/>
              </w:divBdr>
            </w:div>
          </w:divsChild>
        </w:div>
        <w:div w:id="727850044">
          <w:marLeft w:val="0"/>
          <w:marRight w:val="0"/>
          <w:marTop w:val="0"/>
          <w:marBottom w:val="0"/>
          <w:divBdr>
            <w:top w:val="none" w:sz="0" w:space="0" w:color="auto"/>
            <w:left w:val="none" w:sz="0" w:space="0" w:color="auto"/>
            <w:bottom w:val="none" w:sz="0" w:space="0" w:color="auto"/>
            <w:right w:val="none" w:sz="0" w:space="0" w:color="auto"/>
          </w:divBdr>
        </w:div>
        <w:div w:id="751969206">
          <w:marLeft w:val="0"/>
          <w:marRight w:val="0"/>
          <w:marTop w:val="0"/>
          <w:marBottom w:val="0"/>
          <w:divBdr>
            <w:top w:val="none" w:sz="0" w:space="0" w:color="auto"/>
            <w:left w:val="none" w:sz="0" w:space="0" w:color="auto"/>
            <w:bottom w:val="none" w:sz="0" w:space="0" w:color="auto"/>
            <w:right w:val="none" w:sz="0" w:space="0" w:color="auto"/>
          </w:divBdr>
          <w:divsChild>
            <w:div w:id="1289046756">
              <w:marLeft w:val="-75"/>
              <w:marRight w:val="0"/>
              <w:marTop w:val="30"/>
              <w:marBottom w:val="30"/>
              <w:divBdr>
                <w:top w:val="none" w:sz="0" w:space="0" w:color="auto"/>
                <w:left w:val="none" w:sz="0" w:space="0" w:color="auto"/>
                <w:bottom w:val="none" w:sz="0" w:space="0" w:color="auto"/>
                <w:right w:val="none" w:sz="0" w:space="0" w:color="auto"/>
              </w:divBdr>
              <w:divsChild>
                <w:div w:id="5720549">
                  <w:marLeft w:val="0"/>
                  <w:marRight w:val="0"/>
                  <w:marTop w:val="0"/>
                  <w:marBottom w:val="0"/>
                  <w:divBdr>
                    <w:top w:val="none" w:sz="0" w:space="0" w:color="auto"/>
                    <w:left w:val="none" w:sz="0" w:space="0" w:color="auto"/>
                    <w:bottom w:val="none" w:sz="0" w:space="0" w:color="auto"/>
                    <w:right w:val="none" w:sz="0" w:space="0" w:color="auto"/>
                  </w:divBdr>
                  <w:divsChild>
                    <w:div w:id="1796554783">
                      <w:marLeft w:val="0"/>
                      <w:marRight w:val="0"/>
                      <w:marTop w:val="0"/>
                      <w:marBottom w:val="0"/>
                      <w:divBdr>
                        <w:top w:val="none" w:sz="0" w:space="0" w:color="auto"/>
                        <w:left w:val="none" w:sz="0" w:space="0" w:color="auto"/>
                        <w:bottom w:val="none" w:sz="0" w:space="0" w:color="auto"/>
                        <w:right w:val="none" w:sz="0" w:space="0" w:color="auto"/>
                      </w:divBdr>
                    </w:div>
                  </w:divsChild>
                </w:div>
                <w:div w:id="404038837">
                  <w:marLeft w:val="0"/>
                  <w:marRight w:val="0"/>
                  <w:marTop w:val="0"/>
                  <w:marBottom w:val="0"/>
                  <w:divBdr>
                    <w:top w:val="none" w:sz="0" w:space="0" w:color="auto"/>
                    <w:left w:val="none" w:sz="0" w:space="0" w:color="auto"/>
                    <w:bottom w:val="none" w:sz="0" w:space="0" w:color="auto"/>
                    <w:right w:val="none" w:sz="0" w:space="0" w:color="auto"/>
                  </w:divBdr>
                  <w:divsChild>
                    <w:div w:id="1945116391">
                      <w:marLeft w:val="0"/>
                      <w:marRight w:val="0"/>
                      <w:marTop w:val="0"/>
                      <w:marBottom w:val="0"/>
                      <w:divBdr>
                        <w:top w:val="none" w:sz="0" w:space="0" w:color="auto"/>
                        <w:left w:val="none" w:sz="0" w:space="0" w:color="auto"/>
                        <w:bottom w:val="none" w:sz="0" w:space="0" w:color="auto"/>
                        <w:right w:val="none" w:sz="0" w:space="0" w:color="auto"/>
                      </w:divBdr>
                    </w:div>
                  </w:divsChild>
                </w:div>
                <w:div w:id="436490590">
                  <w:marLeft w:val="0"/>
                  <w:marRight w:val="0"/>
                  <w:marTop w:val="0"/>
                  <w:marBottom w:val="0"/>
                  <w:divBdr>
                    <w:top w:val="none" w:sz="0" w:space="0" w:color="auto"/>
                    <w:left w:val="none" w:sz="0" w:space="0" w:color="auto"/>
                    <w:bottom w:val="none" w:sz="0" w:space="0" w:color="auto"/>
                    <w:right w:val="none" w:sz="0" w:space="0" w:color="auto"/>
                  </w:divBdr>
                  <w:divsChild>
                    <w:div w:id="1361855493">
                      <w:marLeft w:val="0"/>
                      <w:marRight w:val="0"/>
                      <w:marTop w:val="0"/>
                      <w:marBottom w:val="0"/>
                      <w:divBdr>
                        <w:top w:val="none" w:sz="0" w:space="0" w:color="auto"/>
                        <w:left w:val="none" w:sz="0" w:space="0" w:color="auto"/>
                        <w:bottom w:val="none" w:sz="0" w:space="0" w:color="auto"/>
                        <w:right w:val="none" w:sz="0" w:space="0" w:color="auto"/>
                      </w:divBdr>
                    </w:div>
                  </w:divsChild>
                </w:div>
                <w:div w:id="480076032">
                  <w:marLeft w:val="0"/>
                  <w:marRight w:val="0"/>
                  <w:marTop w:val="0"/>
                  <w:marBottom w:val="0"/>
                  <w:divBdr>
                    <w:top w:val="none" w:sz="0" w:space="0" w:color="auto"/>
                    <w:left w:val="none" w:sz="0" w:space="0" w:color="auto"/>
                    <w:bottom w:val="none" w:sz="0" w:space="0" w:color="auto"/>
                    <w:right w:val="none" w:sz="0" w:space="0" w:color="auto"/>
                  </w:divBdr>
                  <w:divsChild>
                    <w:div w:id="1967735293">
                      <w:marLeft w:val="0"/>
                      <w:marRight w:val="0"/>
                      <w:marTop w:val="0"/>
                      <w:marBottom w:val="0"/>
                      <w:divBdr>
                        <w:top w:val="none" w:sz="0" w:space="0" w:color="auto"/>
                        <w:left w:val="none" w:sz="0" w:space="0" w:color="auto"/>
                        <w:bottom w:val="none" w:sz="0" w:space="0" w:color="auto"/>
                        <w:right w:val="none" w:sz="0" w:space="0" w:color="auto"/>
                      </w:divBdr>
                    </w:div>
                  </w:divsChild>
                </w:div>
                <w:div w:id="671644183">
                  <w:marLeft w:val="0"/>
                  <w:marRight w:val="0"/>
                  <w:marTop w:val="0"/>
                  <w:marBottom w:val="0"/>
                  <w:divBdr>
                    <w:top w:val="none" w:sz="0" w:space="0" w:color="auto"/>
                    <w:left w:val="none" w:sz="0" w:space="0" w:color="auto"/>
                    <w:bottom w:val="none" w:sz="0" w:space="0" w:color="auto"/>
                    <w:right w:val="none" w:sz="0" w:space="0" w:color="auto"/>
                  </w:divBdr>
                  <w:divsChild>
                    <w:div w:id="309598027">
                      <w:marLeft w:val="0"/>
                      <w:marRight w:val="0"/>
                      <w:marTop w:val="0"/>
                      <w:marBottom w:val="0"/>
                      <w:divBdr>
                        <w:top w:val="none" w:sz="0" w:space="0" w:color="auto"/>
                        <w:left w:val="none" w:sz="0" w:space="0" w:color="auto"/>
                        <w:bottom w:val="none" w:sz="0" w:space="0" w:color="auto"/>
                        <w:right w:val="none" w:sz="0" w:space="0" w:color="auto"/>
                      </w:divBdr>
                    </w:div>
                  </w:divsChild>
                </w:div>
                <w:div w:id="786046791">
                  <w:marLeft w:val="0"/>
                  <w:marRight w:val="0"/>
                  <w:marTop w:val="0"/>
                  <w:marBottom w:val="0"/>
                  <w:divBdr>
                    <w:top w:val="none" w:sz="0" w:space="0" w:color="auto"/>
                    <w:left w:val="none" w:sz="0" w:space="0" w:color="auto"/>
                    <w:bottom w:val="none" w:sz="0" w:space="0" w:color="auto"/>
                    <w:right w:val="none" w:sz="0" w:space="0" w:color="auto"/>
                  </w:divBdr>
                  <w:divsChild>
                    <w:div w:id="1766487813">
                      <w:marLeft w:val="0"/>
                      <w:marRight w:val="0"/>
                      <w:marTop w:val="0"/>
                      <w:marBottom w:val="0"/>
                      <w:divBdr>
                        <w:top w:val="none" w:sz="0" w:space="0" w:color="auto"/>
                        <w:left w:val="none" w:sz="0" w:space="0" w:color="auto"/>
                        <w:bottom w:val="none" w:sz="0" w:space="0" w:color="auto"/>
                        <w:right w:val="none" w:sz="0" w:space="0" w:color="auto"/>
                      </w:divBdr>
                    </w:div>
                  </w:divsChild>
                </w:div>
                <w:div w:id="889346331">
                  <w:marLeft w:val="0"/>
                  <w:marRight w:val="0"/>
                  <w:marTop w:val="0"/>
                  <w:marBottom w:val="0"/>
                  <w:divBdr>
                    <w:top w:val="none" w:sz="0" w:space="0" w:color="auto"/>
                    <w:left w:val="none" w:sz="0" w:space="0" w:color="auto"/>
                    <w:bottom w:val="none" w:sz="0" w:space="0" w:color="auto"/>
                    <w:right w:val="none" w:sz="0" w:space="0" w:color="auto"/>
                  </w:divBdr>
                  <w:divsChild>
                    <w:div w:id="294218440">
                      <w:marLeft w:val="0"/>
                      <w:marRight w:val="0"/>
                      <w:marTop w:val="0"/>
                      <w:marBottom w:val="0"/>
                      <w:divBdr>
                        <w:top w:val="none" w:sz="0" w:space="0" w:color="auto"/>
                        <w:left w:val="none" w:sz="0" w:space="0" w:color="auto"/>
                        <w:bottom w:val="none" w:sz="0" w:space="0" w:color="auto"/>
                        <w:right w:val="none" w:sz="0" w:space="0" w:color="auto"/>
                      </w:divBdr>
                    </w:div>
                  </w:divsChild>
                </w:div>
                <w:div w:id="1104224326">
                  <w:marLeft w:val="0"/>
                  <w:marRight w:val="0"/>
                  <w:marTop w:val="0"/>
                  <w:marBottom w:val="0"/>
                  <w:divBdr>
                    <w:top w:val="none" w:sz="0" w:space="0" w:color="auto"/>
                    <w:left w:val="none" w:sz="0" w:space="0" w:color="auto"/>
                    <w:bottom w:val="none" w:sz="0" w:space="0" w:color="auto"/>
                    <w:right w:val="none" w:sz="0" w:space="0" w:color="auto"/>
                  </w:divBdr>
                  <w:divsChild>
                    <w:div w:id="1573391142">
                      <w:marLeft w:val="0"/>
                      <w:marRight w:val="0"/>
                      <w:marTop w:val="0"/>
                      <w:marBottom w:val="0"/>
                      <w:divBdr>
                        <w:top w:val="none" w:sz="0" w:space="0" w:color="auto"/>
                        <w:left w:val="none" w:sz="0" w:space="0" w:color="auto"/>
                        <w:bottom w:val="none" w:sz="0" w:space="0" w:color="auto"/>
                        <w:right w:val="none" w:sz="0" w:space="0" w:color="auto"/>
                      </w:divBdr>
                    </w:div>
                  </w:divsChild>
                </w:div>
                <w:div w:id="1469474056">
                  <w:marLeft w:val="0"/>
                  <w:marRight w:val="0"/>
                  <w:marTop w:val="0"/>
                  <w:marBottom w:val="0"/>
                  <w:divBdr>
                    <w:top w:val="none" w:sz="0" w:space="0" w:color="auto"/>
                    <w:left w:val="none" w:sz="0" w:space="0" w:color="auto"/>
                    <w:bottom w:val="none" w:sz="0" w:space="0" w:color="auto"/>
                    <w:right w:val="none" w:sz="0" w:space="0" w:color="auto"/>
                  </w:divBdr>
                  <w:divsChild>
                    <w:div w:id="572787335">
                      <w:marLeft w:val="0"/>
                      <w:marRight w:val="0"/>
                      <w:marTop w:val="0"/>
                      <w:marBottom w:val="0"/>
                      <w:divBdr>
                        <w:top w:val="none" w:sz="0" w:space="0" w:color="auto"/>
                        <w:left w:val="none" w:sz="0" w:space="0" w:color="auto"/>
                        <w:bottom w:val="none" w:sz="0" w:space="0" w:color="auto"/>
                        <w:right w:val="none" w:sz="0" w:space="0" w:color="auto"/>
                      </w:divBdr>
                    </w:div>
                  </w:divsChild>
                </w:div>
                <w:div w:id="1804692871">
                  <w:marLeft w:val="0"/>
                  <w:marRight w:val="0"/>
                  <w:marTop w:val="0"/>
                  <w:marBottom w:val="0"/>
                  <w:divBdr>
                    <w:top w:val="none" w:sz="0" w:space="0" w:color="auto"/>
                    <w:left w:val="none" w:sz="0" w:space="0" w:color="auto"/>
                    <w:bottom w:val="none" w:sz="0" w:space="0" w:color="auto"/>
                    <w:right w:val="none" w:sz="0" w:space="0" w:color="auto"/>
                  </w:divBdr>
                  <w:divsChild>
                    <w:div w:id="840436923">
                      <w:marLeft w:val="0"/>
                      <w:marRight w:val="0"/>
                      <w:marTop w:val="0"/>
                      <w:marBottom w:val="0"/>
                      <w:divBdr>
                        <w:top w:val="none" w:sz="0" w:space="0" w:color="auto"/>
                        <w:left w:val="none" w:sz="0" w:space="0" w:color="auto"/>
                        <w:bottom w:val="none" w:sz="0" w:space="0" w:color="auto"/>
                        <w:right w:val="none" w:sz="0" w:space="0" w:color="auto"/>
                      </w:divBdr>
                    </w:div>
                  </w:divsChild>
                </w:div>
                <w:div w:id="1914852918">
                  <w:marLeft w:val="0"/>
                  <w:marRight w:val="0"/>
                  <w:marTop w:val="0"/>
                  <w:marBottom w:val="0"/>
                  <w:divBdr>
                    <w:top w:val="none" w:sz="0" w:space="0" w:color="auto"/>
                    <w:left w:val="none" w:sz="0" w:space="0" w:color="auto"/>
                    <w:bottom w:val="none" w:sz="0" w:space="0" w:color="auto"/>
                    <w:right w:val="none" w:sz="0" w:space="0" w:color="auto"/>
                  </w:divBdr>
                  <w:divsChild>
                    <w:div w:id="359625719">
                      <w:marLeft w:val="0"/>
                      <w:marRight w:val="0"/>
                      <w:marTop w:val="0"/>
                      <w:marBottom w:val="0"/>
                      <w:divBdr>
                        <w:top w:val="none" w:sz="0" w:space="0" w:color="auto"/>
                        <w:left w:val="none" w:sz="0" w:space="0" w:color="auto"/>
                        <w:bottom w:val="none" w:sz="0" w:space="0" w:color="auto"/>
                        <w:right w:val="none" w:sz="0" w:space="0" w:color="auto"/>
                      </w:divBdr>
                    </w:div>
                  </w:divsChild>
                </w:div>
                <w:div w:id="2030793353">
                  <w:marLeft w:val="0"/>
                  <w:marRight w:val="0"/>
                  <w:marTop w:val="0"/>
                  <w:marBottom w:val="0"/>
                  <w:divBdr>
                    <w:top w:val="none" w:sz="0" w:space="0" w:color="auto"/>
                    <w:left w:val="none" w:sz="0" w:space="0" w:color="auto"/>
                    <w:bottom w:val="none" w:sz="0" w:space="0" w:color="auto"/>
                    <w:right w:val="none" w:sz="0" w:space="0" w:color="auto"/>
                  </w:divBdr>
                  <w:divsChild>
                    <w:div w:id="21026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15073">
          <w:marLeft w:val="0"/>
          <w:marRight w:val="0"/>
          <w:marTop w:val="0"/>
          <w:marBottom w:val="0"/>
          <w:divBdr>
            <w:top w:val="none" w:sz="0" w:space="0" w:color="auto"/>
            <w:left w:val="none" w:sz="0" w:space="0" w:color="auto"/>
            <w:bottom w:val="none" w:sz="0" w:space="0" w:color="auto"/>
            <w:right w:val="none" w:sz="0" w:space="0" w:color="auto"/>
          </w:divBdr>
        </w:div>
        <w:div w:id="759564803">
          <w:marLeft w:val="0"/>
          <w:marRight w:val="0"/>
          <w:marTop w:val="0"/>
          <w:marBottom w:val="0"/>
          <w:divBdr>
            <w:top w:val="none" w:sz="0" w:space="0" w:color="auto"/>
            <w:left w:val="none" w:sz="0" w:space="0" w:color="auto"/>
            <w:bottom w:val="none" w:sz="0" w:space="0" w:color="auto"/>
            <w:right w:val="none" w:sz="0" w:space="0" w:color="auto"/>
          </w:divBdr>
        </w:div>
        <w:div w:id="761031862">
          <w:marLeft w:val="0"/>
          <w:marRight w:val="0"/>
          <w:marTop w:val="0"/>
          <w:marBottom w:val="0"/>
          <w:divBdr>
            <w:top w:val="none" w:sz="0" w:space="0" w:color="auto"/>
            <w:left w:val="none" w:sz="0" w:space="0" w:color="auto"/>
            <w:bottom w:val="none" w:sz="0" w:space="0" w:color="auto"/>
            <w:right w:val="none" w:sz="0" w:space="0" w:color="auto"/>
          </w:divBdr>
        </w:div>
        <w:div w:id="772819496">
          <w:marLeft w:val="0"/>
          <w:marRight w:val="0"/>
          <w:marTop w:val="0"/>
          <w:marBottom w:val="0"/>
          <w:divBdr>
            <w:top w:val="none" w:sz="0" w:space="0" w:color="auto"/>
            <w:left w:val="none" w:sz="0" w:space="0" w:color="auto"/>
            <w:bottom w:val="none" w:sz="0" w:space="0" w:color="auto"/>
            <w:right w:val="none" w:sz="0" w:space="0" w:color="auto"/>
          </w:divBdr>
          <w:divsChild>
            <w:div w:id="76178113">
              <w:marLeft w:val="0"/>
              <w:marRight w:val="0"/>
              <w:marTop w:val="0"/>
              <w:marBottom w:val="0"/>
              <w:divBdr>
                <w:top w:val="none" w:sz="0" w:space="0" w:color="auto"/>
                <w:left w:val="none" w:sz="0" w:space="0" w:color="auto"/>
                <w:bottom w:val="none" w:sz="0" w:space="0" w:color="auto"/>
                <w:right w:val="none" w:sz="0" w:space="0" w:color="auto"/>
              </w:divBdr>
            </w:div>
            <w:div w:id="265233646">
              <w:marLeft w:val="0"/>
              <w:marRight w:val="0"/>
              <w:marTop w:val="0"/>
              <w:marBottom w:val="0"/>
              <w:divBdr>
                <w:top w:val="none" w:sz="0" w:space="0" w:color="auto"/>
                <w:left w:val="none" w:sz="0" w:space="0" w:color="auto"/>
                <w:bottom w:val="none" w:sz="0" w:space="0" w:color="auto"/>
                <w:right w:val="none" w:sz="0" w:space="0" w:color="auto"/>
              </w:divBdr>
            </w:div>
            <w:div w:id="305012586">
              <w:marLeft w:val="0"/>
              <w:marRight w:val="0"/>
              <w:marTop w:val="0"/>
              <w:marBottom w:val="0"/>
              <w:divBdr>
                <w:top w:val="none" w:sz="0" w:space="0" w:color="auto"/>
                <w:left w:val="none" w:sz="0" w:space="0" w:color="auto"/>
                <w:bottom w:val="none" w:sz="0" w:space="0" w:color="auto"/>
                <w:right w:val="none" w:sz="0" w:space="0" w:color="auto"/>
              </w:divBdr>
            </w:div>
            <w:div w:id="306519200">
              <w:marLeft w:val="0"/>
              <w:marRight w:val="0"/>
              <w:marTop w:val="0"/>
              <w:marBottom w:val="0"/>
              <w:divBdr>
                <w:top w:val="none" w:sz="0" w:space="0" w:color="auto"/>
                <w:left w:val="none" w:sz="0" w:space="0" w:color="auto"/>
                <w:bottom w:val="none" w:sz="0" w:space="0" w:color="auto"/>
                <w:right w:val="none" w:sz="0" w:space="0" w:color="auto"/>
              </w:divBdr>
            </w:div>
            <w:div w:id="392122850">
              <w:marLeft w:val="0"/>
              <w:marRight w:val="0"/>
              <w:marTop w:val="0"/>
              <w:marBottom w:val="0"/>
              <w:divBdr>
                <w:top w:val="none" w:sz="0" w:space="0" w:color="auto"/>
                <w:left w:val="none" w:sz="0" w:space="0" w:color="auto"/>
                <w:bottom w:val="none" w:sz="0" w:space="0" w:color="auto"/>
                <w:right w:val="none" w:sz="0" w:space="0" w:color="auto"/>
              </w:divBdr>
            </w:div>
            <w:div w:id="554973823">
              <w:marLeft w:val="0"/>
              <w:marRight w:val="0"/>
              <w:marTop w:val="0"/>
              <w:marBottom w:val="0"/>
              <w:divBdr>
                <w:top w:val="none" w:sz="0" w:space="0" w:color="auto"/>
                <w:left w:val="none" w:sz="0" w:space="0" w:color="auto"/>
                <w:bottom w:val="none" w:sz="0" w:space="0" w:color="auto"/>
                <w:right w:val="none" w:sz="0" w:space="0" w:color="auto"/>
              </w:divBdr>
            </w:div>
            <w:div w:id="727344787">
              <w:marLeft w:val="0"/>
              <w:marRight w:val="0"/>
              <w:marTop w:val="0"/>
              <w:marBottom w:val="0"/>
              <w:divBdr>
                <w:top w:val="none" w:sz="0" w:space="0" w:color="auto"/>
                <w:left w:val="none" w:sz="0" w:space="0" w:color="auto"/>
                <w:bottom w:val="none" w:sz="0" w:space="0" w:color="auto"/>
                <w:right w:val="none" w:sz="0" w:space="0" w:color="auto"/>
              </w:divBdr>
            </w:div>
            <w:div w:id="813571524">
              <w:marLeft w:val="0"/>
              <w:marRight w:val="0"/>
              <w:marTop w:val="0"/>
              <w:marBottom w:val="0"/>
              <w:divBdr>
                <w:top w:val="none" w:sz="0" w:space="0" w:color="auto"/>
                <w:left w:val="none" w:sz="0" w:space="0" w:color="auto"/>
                <w:bottom w:val="none" w:sz="0" w:space="0" w:color="auto"/>
                <w:right w:val="none" w:sz="0" w:space="0" w:color="auto"/>
              </w:divBdr>
            </w:div>
            <w:div w:id="838497016">
              <w:marLeft w:val="0"/>
              <w:marRight w:val="0"/>
              <w:marTop w:val="0"/>
              <w:marBottom w:val="0"/>
              <w:divBdr>
                <w:top w:val="none" w:sz="0" w:space="0" w:color="auto"/>
                <w:left w:val="none" w:sz="0" w:space="0" w:color="auto"/>
                <w:bottom w:val="none" w:sz="0" w:space="0" w:color="auto"/>
                <w:right w:val="none" w:sz="0" w:space="0" w:color="auto"/>
              </w:divBdr>
            </w:div>
            <w:div w:id="860511333">
              <w:marLeft w:val="0"/>
              <w:marRight w:val="0"/>
              <w:marTop w:val="0"/>
              <w:marBottom w:val="0"/>
              <w:divBdr>
                <w:top w:val="none" w:sz="0" w:space="0" w:color="auto"/>
                <w:left w:val="none" w:sz="0" w:space="0" w:color="auto"/>
                <w:bottom w:val="none" w:sz="0" w:space="0" w:color="auto"/>
                <w:right w:val="none" w:sz="0" w:space="0" w:color="auto"/>
              </w:divBdr>
            </w:div>
            <w:div w:id="876545835">
              <w:marLeft w:val="0"/>
              <w:marRight w:val="0"/>
              <w:marTop w:val="0"/>
              <w:marBottom w:val="0"/>
              <w:divBdr>
                <w:top w:val="none" w:sz="0" w:space="0" w:color="auto"/>
                <w:left w:val="none" w:sz="0" w:space="0" w:color="auto"/>
                <w:bottom w:val="none" w:sz="0" w:space="0" w:color="auto"/>
                <w:right w:val="none" w:sz="0" w:space="0" w:color="auto"/>
              </w:divBdr>
            </w:div>
            <w:div w:id="1157916059">
              <w:marLeft w:val="0"/>
              <w:marRight w:val="0"/>
              <w:marTop w:val="0"/>
              <w:marBottom w:val="0"/>
              <w:divBdr>
                <w:top w:val="none" w:sz="0" w:space="0" w:color="auto"/>
                <w:left w:val="none" w:sz="0" w:space="0" w:color="auto"/>
                <w:bottom w:val="none" w:sz="0" w:space="0" w:color="auto"/>
                <w:right w:val="none" w:sz="0" w:space="0" w:color="auto"/>
              </w:divBdr>
            </w:div>
            <w:div w:id="1187713859">
              <w:marLeft w:val="0"/>
              <w:marRight w:val="0"/>
              <w:marTop w:val="0"/>
              <w:marBottom w:val="0"/>
              <w:divBdr>
                <w:top w:val="none" w:sz="0" w:space="0" w:color="auto"/>
                <w:left w:val="none" w:sz="0" w:space="0" w:color="auto"/>
                <w:bottom w:val="none" w:sz="0" w:space="0" w:color="auto"/>
                <w:right w:val="none" w:sz="0" w:space="0" w:color="auto"/>
              </w:divBdr>
            </w:div>
            <w:div w:id="1232158555">
              <w:marLeft w:val="0"/>
              <w:marRight w:val="0"/>
              <w:marTop w:val="0"/>
              <w:marBottom w:val="0"/>
              <w:divBdr>
                <w:top w:val="none" w:sz="0" w:space="0" w:color="auto"/>
                <w:left w:val="none" w:sz="0" w:space="0" w:color="auto"/>
                <w:bottom w:val="none" w:sz="0" w:space="0" w:color="auto"/>
                <w:right w:val="none" w:sz="0" w:space="0" w:color="auto"/>
              </w:divBdr>
            </w:div>
            <w:div w:id="1341201953">
              <w:marLeft w:val="0"/>
              <w:marRight w:val="0"/>
              <w:marTop w:val="0"/>
              <w:marBottom w:val="0"/>
              <w:divBdr>
                <w:top w:val="none" w:sz="0" w:space="0" w:color="auto"/>
                <w:left w:val="none" w:sz="0" w:space="0" w:color="auto"/>
                <w:bottom w:val="none" w:sz="0" w:space="0" w:color="auto"/>
                <w:right w:val="none" w:sz="0" w:space="0" w:color="auto"/>
              </w:divBdr>
            </w:div>
            <w:div w:id="1526169401">
              <w:marLeft w:val="0"/>
              <w:marRight w:val="0"/>
              <w:marTop w:val="0"/>
              <w:marBottom w:val="0"/>
              <w:divBdr>
                <w:top w:val="none" w:sz="0" w:space="0" w:color="auto"/>
                <w:left w:val="none" w:sz="0" w:space="0" w:color="auto"/>
                <w:bottom w:val="none" w:sz="0" w:space="0" w:color="auto"/>
                <w:right w:val="none" w:sz="0" w:space="0" w:color="auto"/>
              </w:divBdr>
            </w:div>
            <w:div w:id="1540775262">
              <w:marLeft w:val="0"/>
              <w:marRight w:val="0"/>
              <w:marTop w:val="0"/>
              <w:marBottom w:val="0"/>
              <w:divBdr>
                <w:top w:val="none" w:sz="0" w:space="0" w:color="auto"/>
                <w:left w:val="none" w:sz="0" w:space="0" w:color="auto"/>
                <w:bottom w:val="none" w:sz="0" w:space="0" w:color="auto"/>
                <w:right w:val="none" w:sz="0" w:space="0" w:color="auto"/>
              </w:divBdr>
            </w:div>
            <w:div w:id="1749110781">
              <w:marLeft w:val="0"/>
              <w:marRight w:val="0"/>
              <w:marTop w:val="0"/>
              <w:marBottom w:val="0"/>
              <w:divBdr>
                <w:top w:val="none" w:sz="0" w:space="0" w:color="auto"/>
                <w:left w:val="none" w:sz="0" w:space="0" w:color="auto"/>
                <w:bottom w:val="none" w:sz="0" w:space="0" w:color="auto"/>
                <w:right w:val="none" w:sz="0" w:space="0" w:color="auto"/>
              </w:divBdr>
            </w:div>
            <w:div w:id="1920559787">
              <w:marLeft w:val="0"/>
              <w:marRight w:val="0"/>
              <w:marTop w:val="0"/>
              <w:marBottom w:val="0"/>
              <w:divBdr>
                <w:top w:val="none" w:sz="0" w:space="0" w:color="auto"/>
                <w:left w:val="none" w:sz="0" w:space="0" w:color="auto"/>
                <w:bottom w:val="none" w:sz="0" w:space="0" w:color="auto"/>
                <w:right w:val="none" w:sz="0" w:space="0" w:color="auto"/>
              </w:divBdr>
            </w:div>
            <w:div w:id="1921716543">
              <w:marLeft w:val="0"/>
              <w:marRight w:val="0"/>
              <w:marTop w:val="0"/>
              <w:marBottom w:val="0"/>
              <w:divBdr>
                <w:top w:val="none" w:sz="0" w:space="0" w:color="auto"/>
                <w:left w:val="none" w:sz="0" w:space="0" w:color="auto"/>
                <w:bottom w:val="none" w:sz="0" w:space="0" w:color="auto"/>
                <w:right w:val="none" w:sz="0" w:space="0" w:color="auto"/>
              </w:divBdr>
            </w:div>
          </w:divsChild>
        </w:div>
        <w:div w:id="777409244">
          <w:marLeft w:val="0"/>
          <w:marRight w:val="0"/>
          <w:marTop w:val="0"/>
          <w:marBottom w:val="0"/>
          <w:divBdr>
            <w:top w:val="none" w:sz="0" w:space="0" w:color="auto"/>
            <w:left w:val="none" w:sz="0" w:space="0" w:color="auto"/>
            <w:bottom w:val="none" w:sz="0" w:space="0" w:color="auto"/>
            <w:right w:val="none" w:sz="0" w:space="0" w:color="auto"/>
          </w:divBdr>
          <w:divsChild>
            <w:div w:id="28651105">
              <w:marLeft w:val="0"/>
              <w:marRight w:val="0"/>
              <w:marTop w:val="0"/>
              <w:marBottom w:val="0"/>
              <w:divBdr>
                <w:top w:val="none" w:sz="0" w:space="0" w:color="auto"/>
                <w:left w:val="none" w:sz="0" w:space="0" w:color="auto"/>
                <w:bottom w:val="none" w:sz="0" w:space="0" w:color="auto"/>
                <w:right w:val="none" w:sz="0" w:space="0" w:color="auto"/>
              </w:divBdr>
            </w:div>
            <w:div w:id="166138352">
              <w:marLeft w:val="0"/>
              <w:marRight w:val="0"/>
              <w:marTop w:val="0"/>
              <w:marBottom w:val="0"/>
              <w:divBdr>
                <w:top w:val="none" w:sz="0" w:space="0" w:color="auto"/>
                <w:left w:val="none" w:sz="0" w:space="0" w:color="auto"/>
                <w:bottom w:val="none" w:sz="0" w:space="0" w:color="auto"/>
                <w:right w:val="none" w:sz="0" w:space="0" w:color="auto"/>
              </w:divBdr>
            </w:div>
            <w:div w:id="181483341">
              <w:marLeft w:val="0"/>
              <w:marRight w:val="0"/>
              <w:marTop w:val="0"/>
              <w:marBottom w:val="0"/>
              <w:divBdr>
                <w:top w:val="none" w:sz="0" w:space="0" w:color="auto"/>
                <w:left w:val="none" w:sz="0" w:space="0" w:color="auto"/>
                <w:bottom w:val="none" w:sz="0" w:space="0" w:color="auto"/>
                <w:right w:val="none" w:sz="0" w:space="0" w:color="auto"/>
              </w:divBdr>
            </w:div>
            <w:div w:id="348920702">
              <w:marLeft w:val="0"/>
              <w:marRight w:val="0"/>
              <w:marTop w:val="0"/>
              <w:marBottom w:val="0"/>
              <w:divBdr>
                <w:top w:val="none" w:sz="0" w:space="0" w:color="auto"/>
                <w:left w:val="none" w:sz="0" w:space="0" w:color="auto"/>
                <w:bottom w:val="none" w:sz="0" w:space="0" w:color="auto"/>
                <w:right w:val="none" w:sz="0" w:space="0" w:color="auto"/>
              </w:divBdr>
            </w:div>
            <w:div w:id="396781126">
              <w:marLeft w:val="0"/>
              <w:marRight w:val="0"/>
              <w:marTop w:val="0"/>
              <w:marBottom w:val="0"/>
              <w:divBdr>
                <w:top w:val="none" w:sz="0" w:space="0" w:color="auto"/>
                <w:left w:val="none" w:sz="0" w:space="0" w:color="auto"/>
                <w:bottom w:val="none" w:sz="0" w:space="0" w:color="auto"/>
                <w:right w:val="none" w:sz="0" w:space="0" w:color="auto"/>
              </w:divBdr>
            </w:div>
            <w:div w:id="423575385">
              <w:marLeft w:val="0"/>
              <w:marRight w:val="0"/>
              <w:marTop w:val="0"/>
              <w:marBottom w:val="0"/>
              <w:divBdr>
                <w:top w:val="none" w:sz="0" w:space="0" w:color="auto"/>
                <w:left w:val="none" w:sz="0" w:space="0" w:color="auto"/>
                <w:bottom w:val="none" w:sz="0" w:space="0" w:color="auto"/>
                <w:right w:val="none" w:sz="0" w:space="0" w:color="auto"/>
              </w:divBdr>
            </w:div>
            <w:div w:id="593319947">
              <w:marLeft w:val="0"/>
              <w:marRight w:val="0"/>
              <w:marTop w:val="0"/>
              <w:marBottom w:val="0"/>
              <w:divBdr>
                <w:top w:val="none" w:sz="0" w:space="0" w:color="auto"/>
                <w:left w:val="none" w:sz="0" w:space="0" w:color="auto"/>
                <w:bottom w:val="none" w:sz="0" w:space="0" w:color="auto"/>
                <w:right w:val="none" w:sz="0" w:space="0" w:color="auto"/>
              </w:divBdr>
            </w:div>
            <w:div w:id="602998414">
              <w:marLeft w:val="0"/>
              <w:marRight w:val="0"/>
              <w:marTop w:val="0"/>
              <w:marBottom w:val="0"/>
              <w:divBdr>
                <w:top w:val="none" w:sz="0" w:space="0" w:color="auto"/>
                <w:left w:val="none" w:sz="0" w:space="0" w:color="auto"/>
                <w:bottom w:val="none" w:sz="0" w:space="0" w:color="auto"/>
                <w:right w:val="none" w:sz="0" w:space="0" w:color="auto"/>
              </w:divBdr>
            </w:div>
            <w:div w:id="684359311">
              <w:marLeft w:val="0"/>
              <w:marRight w:val="0"/>
              <w:marTop w:val="0"/>
              <w:marBottom w:val="0"/>
              <w:divBdr>
                <w:top w:val="none" w:sz="0" w:space="0" w:color="auto"/>
                <w:left w:val="none" w:sz="0" w:space="0" w:color="auto"/>
                <w:bottom w:val="none" w:sz="0" w:space="0" w:color="auto"/>
                <w:right w:val="none" w:sz="0" w:space="0" w:color="auto"/>
              </w:divBdr>
            </w:div>
            <w:div w:id="922687615">
              <w:marLeft w:val="0"/>
              <w:marRight w:val="0"/>
              <w:marTop w:val="0"/>
              <w:marBottom w:val="0"/>
              <w:divBdr>
                <w:top w:val="none" w:sz="0" w:space="0" w:color="auto"/>
                <w:left w:val="none" w:sz="0" w:space="0" w:color="auto"/>
                <w:bottom w:val="none" w:sz="0" w:space="0" w:color="auto"/>
                <w:right w:val="none" w:sz="0" w:space="0" w:color="auto"/>
              </w:divBdr>
            </w:div>
            <w:div w:id="944774000">
              <w:marLeft w:val="0"/>
              <w:marRight w:val="0"/>
              <w:marTop w:val="0"/>
              <w:marBottom w:val="0"/>
              <w:divBdr>
                <w:top w:val="none" w:sz="0" w:space="0" w:color="auto"/>
                <w:left w:val="none" w:sz="0" w:space="0" w:color="auto"/>
                <w:bottom w:val="none" w:sz="0" w:space="0" w:color="auto"/>
                <w:right w:val="none" w:sz="0" w:space="0" w:color="auto"/>
              </w:divBdr>
            </w:div>
            <w:div w:id="1178273506">
              <w:marLeft w:val="0"/>
              <w:marRight w:val="0"/>
              <w:marTop w:val="0"/>
              <w:marBottom w:val="0"/>
              <w:divBdr>
                <w:top w:val="none" w:sz="0" w:space="0" w:color="auto"/>
                <w:left w:val="none" w:sz="0" w:space="0" w:color="auto"/>
                <w:bottom w:val="none" w:sz="0" w:space="0" w:color="auto"/>
                <w:right w:val="none" w:sz="0" w:space="0" w:color="auto"/>
              </w:divBdr>
            </w:div>
            <w:div w:id="1209032395">
              <w:marLeft w:val="0"/>
              <w:marRight w:val="0"/>
              <w:marTop w:val="0"/>
              <w:marBottom w:val="0"/>
              <w:divBdr>
                <w:top w:val="none" w:sz="0" w:space="0" w:color="auto"/>
                <w:left w:val="none" w:sz="0" w:space="0" w:color="auto"/>
                <w:bottom w:val="none" w:sz="0" w:space="0" w:color="auto"/>
                <w:right w:val="none" w:sz="0" w:space="0" w:color="auto"/>
              </w:divBdr>
            </w:div>
            <w:div w:id="1260219138">
              <w:marLeft w:val="0"/>
              <w:marRight w:val="0"/>
              <w:marTop w:val="0"/>
              <w:marBottom w:val="0"/>
              <w:divBdr>
                <w:top w:val="none" w:sz="0" w:space="0" w:color="auto"/>
                <w:left w:val="none" w:sz="0" w:space="0" w:color="auto"/>
                <w:bottom w:val="none" w:sz="0" w:space="0" w:color="auto"/>
                <w:right w:val="none" w:sz="0" w:space="0" w:color="auto"/>
              </w:divBdr>
            </w:div>
            <w:div w:id="1274248831">
              <w:marLeft w:val="0"/>
              <w:marRight w:val="0"/>
              <w:marTop w:val="0"/>
              <w:marBottom w:val="0"/>
              <w:divBdr>
                <w:top w:val="none" w:sz="0" w:space="0" w:color="auto"/>
                <w:left w:val="none" w:sz="0" w:space="0" w:color="auto"/>
                <w:bottom w:val="none" w:sz="0" w:space="0" w:color="auto"/>
                <w:right w:val="none" w:sz="0" w:space="0" w:color="auto"/>
              </w:divBdr>
            </w:div>
            <w:div w:id="1371684771">
              <w:marLeft w:val="0"/>
              <w:marRight w:val="0"/>
              <w:marTop w:val="0"/>
              <w:marBottom w:val="0"/>
              <w:divBdr>
                <w:top w:val="none" w:sz="0" w:space="0" w:color="auto"/>
                <w:left w:val="none" w:sz="0" w:space="0" w:color="auto"/>
                <w:bottom w:val="none" w:sz="0" w:space="0" w:color="auto"/>
                <w:right w:val="none" w:sz="0" w:space="0" w:color="auto"/>
              </w:divBdr>
            </w:div>
            <w:div w:id="1375542968">
              <w:marLeft w:val="0"/>
              <w:marRight w:val="0"/>
              <w:marTop w:val="0"/>
              <w:marBottom w:val="0"/>
              <w:divBdr>
                <w:top w:val="none" w:sz="0" w:space="0" w:color="auto"/>
                <w:left w:val="none" w:sz="0" w:space="0" w:color="auto"/>
                <w:bottom w:val="none" w:sz="0" w:space="0" w:color="auto"/>
                <w:right w:val="none" w:sz="0" w:space="0" w:color="auto"/>
              </w:divBdr>
            </w:div>
            <w:div w:id="1541823099">
              <w:marLeft w:val="0"/>
              <w:marRight w:val="0"/>
              <w:marTop w:val="0"/>
              <w:marBottom w:val="0"/>
              <w:divBdr>
                <w:top w:val="none" w:sz="0" w:space="0" w:color="auto"/>
                <w:left w:val="none" w:sz="0" w:space="0" w:color="auto"/>
                <w:bottom w:val="none" w:sz="0" w:space="0" w:color="auto"/>
                <w:right w:val="none" w:sz="0" w:space="0" w:color="auto"/>
              </w:divBdr>
            </w:div>
            <w:div w:id="1631091915">
              <w:marLeft w:val="0"/>
              <w:marRight w:val="0"/>
              <w:marTop w:val="0"/>
              <w:marBottom w:val="0"/>
              <w:divBdr>
                <w:top w:val="none" w:sz="0" w:space="0" w:color="auto"/>
                <w:left w:val="none" w:sz="0" w:space="0" w:color="auto"/>
                <w:bottom w:val="none" w:sz="0" w:space="0" w:color="auto"/>
                <w:right w:val="none" w:sz="0" w:space="0" w:color="auto"/>
              </w:divBdr>
            </w:div>
            <w:div w:id="1953785041">
              <w:marLeft w:val="0"/>
              <w:marRight w:val="0"/>
              <w:marTop w:val="0"/>
              <w:marBottom w:val="0"/>
              <w:divBdr>
                <w:top w:val="none" w:sz="0" w:space="0" w:color="auto"/>
                <w:left w:val="none" w:sz="0" w:space="0" w:color="auto"/>
                <w:bottom w:val="none" w:sz="0" w:space="0" w:color="auto"/>
                <w:right w:val="none" w:sz="0" w:space="0" w:color="auto"/>
              </w:divBdr>
            </w:div>
          </w:divsChild>
        </w:div>
        <w:div w:id="783309584">
          <w:marLeft w:val="0"/>
          <w:marRight w:val="0"/>
          <w:marTop w:val="0"/>
          <w:marBottom w:val="0"/>
          <w:divBdr>
            <w:top w:val="none" w:sz="0" w:space="0" w:color="auto"/>
            <w:left w:val="none" w:sz="0" w:space="0" w:color="auto"/>
            <w:bottom w:val="none" w:sz="0" w:space="0" w:color="auto"/>
            <w:right w:val="none" w:sz="0" w:space="0" w:color="auto"/>
          </w:divBdr>
          <w:divsChild>
            <w:div w:id="1032926540">
              <w:marLeft w:val="-75"/>
              <w:marRight w:val="0"/>
              <w:marTop w:val="30"/>
              <w:marBottom w:val="30"/>
              <w:divBdr>
                <w:top w:val="none" w:sz="0" w:space="0" w:color="auto"/>
                <w:left w:val="none" w:sz="0" w:space="0" w:color="auto"/>
                <w:bottom w:val="none" w:sz="0" w:space="0" w:color="auto"/>
                <w:right w:val="none" w:sz="0" w:space="0" w:color="auto"/>
              </w:divBdr>
              <w:divsChild>
                <w:div w:id="237441882">
                  <w:marLeft w:val="0"/>
                  <w:marRight w:val="0"/>
                  <w:marTop w:val="0"/>
                  <w:marBottom w:val="0"/>
                  <w:divBdr>
                    <w:top w:val="none" w:sz="0" w:space="0" w:color="auto"/>
                    <w:left w:val="none" w:sz="0" w:space="0" w:color="auto"/>
                    <w:bottom w:val="none" w:sz="0" w:space="0" w:color="auto"/>
                    <w:right w:val="none" w:sz="0" w:space="0" w:color="auto"/>
                  </w:divBdr>
                  <w:divsChild>
                    <w:div w:id="2102137794">
                      <w:marLeft w:val="0"/>
                      <w:marRight w:val="0"/>
                      <w:marTop w:val="0"/>
                      <w:marBottom w:val="0"/>
                      <w:divBdr>
                        <w:top w:val="none" w:sz="0" w:space="0" w:color="auto"/>
                        <w:left w:val="none" w:sz="0" w:space="0" w:color="auto"/>
                        <w:bottom w:val="none" w:sz="0" w:space="0" w:color="auto"/>
                        <w:right w:val="none" w:sz="0" w:space="0" w:color="auto"/>
                      </w:divBdr>
                    </w:div>
                  </w:divsChild>
                </w:div>
                <w:div w:id="260990334">
                  <w:marLeft w:val="0"/>
                  <w:marRight w:val="0"/>
                  <w:marTop w:val="0"/>
                  <w:marBottom w:val="0"/>
                  <w:divBdr>
                    <w:top w:val="none" w:sz="0" w:space="0" w:color="auto"/>
                    <w:left w:val="none" w:sz="0" w:space="0" w:color="auto"/>
                    <w:bottom w:val="none" w:sz="0" w:space="0" w:color="auto"/>
                    <w:right w:val="none" w:sz="0" w:space="0" w:color="auto"/>
                  </w:divBdr>
                  <w:divsChild>
                    <w:div w:id="1754935787">
                      <w:marLeft w:val="0"/>
                      <w:marRight w:val="0"/>
                      <w:marTop w:val="0"/>
                      <w:marBottom w:val="0"/>
                      <w:divBdr>
                        <w:top w:val="none" w:sz="0" w:space="0" w:color="auto"/>
                        <w:left w:val="none" w:sz="0" w:space="0" w:color="auto"/>
                        <w:bottom w:val="none" w:sz="0" w:space="0" w:color="auto"/>
                        <w:right w:val="none" w:sz="0" w:space="0" w:color="auto"/>
                      </w:divBdr>
                    </w:div>
                  </w:divsChild>
                </w:div>
                <w:div w:id="374545160">
                  <w:marLeft w:val="0"/>
                  <w:marRight w:val="0"/>
                  <w:marTop w:val="0"/>
                  <w:marBottom w:val="0"/>
                  <w:divBdr>
                    <w:top w:val="none" w:sz="0" w:space="0" w:color="auto"/>
                    <w:left w:val="none" w:sz="0" w:space="0" w:color="auto"/>
                    <w:bottom w:val="none" w:sz="0" w:space="0" w:color="auto"/>
                    <w:right w:val="none" w:sz="0" w:space="0" w:color="auto"/>
                  </w:divBdr>
                  <w:divsChild>
                    <w:div w:id="1419401650">
                      <w:marLeft w:val="0"/>
                      <w:marRight w:val="0"/>
                      <w:marTop w:val="0"/>
                      <w:marBottom w:val="0"/>
                      <w:divBdr>
                        <w:top w:val="none" w:sz="0" w:space="0" w:color="auto"/>
                        <w:left w:val="none" w:sz="0" w:space="0" w:color="auto"/>
                        <w:bottom w:val="none" w:sz="0" w:space="0" w:color="auto"/>
                        <w:right w:val="none" w:sz="0" w:space="0" w:color="auto"/>
                      </w:divBdr>
                    </w:div>
                  </w:divsChild>
                </w:div>
                <w:div w:id="637077240">
                  <w:marLeft w:val="0"/>
                  <w:marRight w:val="0"/>
                  <w:marTop w:val="0"/>
                  <w:marBottom w:val="0"/>
                  <w:divBdr>
                    <w:top w:val="none" w:sz="0" w:space="0" w:color="auto"/>
                    <w:left w:val="none" w:sz="0" w:space="0" w:color="auto"/>
                    <w:bottom w:val="none" w:sz="0" w:space="0" w:color="auto"/>
                    <w:right w:val="none" w:sz="0" w:space="0" w:color="auto"/>
                  </w:divBdr>
                  <w:divsChild>
                    <w:div w:id="1101797288">
                      <w:marLeft w:val="0"/>
                      <w:marRight w:val="0"/>
                      <w:marTop w:val="0"/>
                      <w:marBottom w:val="0"/>
                      <w:divBdr>
                        <w:top w:val="none" w:sz="0" w:space="0" w:color="auto"/>
                        <w:left w:val="none" w:sz="0" w:space="0" w:color="auto"/>
                        <w:bottom w:val="none" w:sz="0" w:space="0" w:color="auto"/>
                        <w:right w:val="none" w:sz="0" w:space="0" w:color="auto"/>
                      </w:divBdr>
                    </w:div>
                  </w:divsChild>
                </w:div>
                <w:div w:id="650795226">
                  <w:marLeft w:val="0"/>
                  <w:marRight w:val="0"/>
                  <w:marTop w:val="0"/>
                  <w:marBottom w:val="0"/>
                  <w:divBdr>
                    <w:top w:val="none" w:sz="0" w:space="0" w:color="auto"/>
                    <w:left w:val="none" w:sz="0" w:space="0" w:color="auto"/>
                    <w:bottom w:val="none" w:sz="0" w:space="0" w:color="auto"/>
                    <w:right w:val="none" w:sz="0" w:space="0" w:color="auto"/>
                  </w:divBdr>
                  <w:divsChild>
                    <w:div w:id="1757819134">
                      <w:marLeft w:val="0"/>
                      <w:marRight w:val="0"/>
                      <w:marTop w:val="0"/>
                      <w:marBottom w:val="0"/>
                      <w:divBdr>
                        <w:top w:val="none" w:sz="0" w:space="0" w:color="auto"/>
                        <w:left w:val="none" w:sz="0" w:space="0" w:color="auto"/>
                        <w:bottom w:val="none" w:sz="0" w:space="0" w:color="auto"/>
                        <w:right w:val="none" w:sz="0" w:space="0" w:color="auto"/>
                      </w:divBdr>
                    </w:div>
                  </w:divsChild>
                </w:div>
                <w:div w:id="858272423">
                  <w:marLeft w:val="0"/>
                  <w:marRight w:val="0"/>
                  <w:marTop w:val="0"/>
                  <w:marBottom w:val="0"/>
                  <w:divBdr>
                    <w:top w:val="none" w:sz="0" w:space="0" w:color="auto"/>
                    <w:left w:val="none" w:sz="0" w:space="0" w:color="auto"/>
                    <w:bottom w:val="none" w:sz="0" w:space="0" w:color="auto"/>
                    <w:right w:val="none" w:sz="0" w:space="0" w:color="auto"/>
                  </w:divBdr>
                  <w:divsChild>
                    <w:div w:id="312024291">
                      <w:marLeft w:val="0"/>
                      <w:marRight w:val="0"/>
                      <w:marTop w:val="0"/>
                      <w:marBottom w:val="0"/>
                      <w:divBdr>
                        <w:top w:val="none" w:sz="0" w:space="0" w:color="auto"/>
                        <w:left w:val="none" w:sz="0" w:space="0" w:color="auto"/>
                        <w:bottom w:val="none" w:sz="0" w:space="0" w:color="auto"/>
                        <w:right w:val="none" w:sz="0" w:space="0" w:color="auto"/>
                      </w:divBdr>
                    </w:div>
                  </w:divsChild>
                </w:div>
                <w:div w:id="1048072488">
                  <w:marLeft w:val="0"/>
                  <w:marRight w:val="0"/>
                  <w:marTop w:val="0"/>
                  <w:marBottom w:val="0"/>
                  <w:divBdr>
                    <w:top w:val="none" w:sz="0" w:space="0" w:color="auto"/>
                    <w:left w:val="none" w:sz="0" w:space="0" w:color="auto"/>
                    <w:bottom w:val="none" w:sz="0" w:space="0" w:color="auto"/>
                    <w:right w:val="none" w:sz="0" w:space="0" w:color="auto"/>
                  </w:divBdr>
                  <w:divsChild>
                    <w:div w:id="1668553354">
                      <w:marLeft w:val="0"/>
                      <w:marRight w:val="0"/>
                      <w:marTop w:val="0"/>
                      <w:marBottom w:val="0"/>
                      <w:divBdr>
                        <w:top w:val="none" w:sz="0" w:space="0" w:color="auto"/>
                        <w:left w:val="none" w:sz="0" w:space="0" w:color="auto"/>
                        <w:bottom w:val="none" w:sz="0" w:space="0" w:color="auto"/>
                        <w:right w:val="none" w:sz="0" w:space="0" w:color="auto"/>
                      </w:divBdr>
                    </w:div>
                  </w:divsChild>
                </w:div>
                <w:div w:id="1182890636">
                  <w:marLeft w:val="0"/>
                  <w:marRight w:val="0"/>
                  <w:marTop w:val="0"/>
                  <w:marBottom w:val="0"/>
                  <w:divBdr>
                    <w:top w:val="none" w:sz="0" w:space="0" w:color="auto"/>
                    <w:left w:val="none" w:sz="0" w:space="0" w:color="auto"/>
                    <w:bottom w:val="none" w:sz="0" w:space="0" w:color="auto"/>
                    <w:right w:val="none" w:sz="0" w:space="0" w:color="auto"/>
                  </w:divBdr>
                  <w:divsChild>
                    <w:div w:id="904730114">
                      <w:marLeft w:val="0"/>
                      <w:marRight w:val="0"/>
                      <w:marTop w:val="0"/>
                      <w:marBottom w:val="0"/>
                      <w:divBdr>
                        <w:top w:val="none" w:sz="0" w:space="0" w:color="auto"/>
                        <w:left w:val="none" w:sz="0" w:space="0" w:color="auto"/>
                        <w:bottom w:val="none" w:sz="0" w:space="0" w:color="auto"/>
                        <w:right w:val="none" w:sz="0" w:space="0" w:color="auto"/>
                      </w:divBdr>
                    </w:div>
                  </w:divsChild>
                </w:div>
                <w:div w:id="1216356016">
                  <w:marLeft w:val="0"/>
                  <w:marRight w:val="0"/>
                  <w:marTop w:val="0"/>
                  <w:marBottom w:val="0"/>
                  <w:divBdr>
                    <w:top w:val="none" w:sz="0" w:space="0" w:color="auto"/>
                    <w:left w:val="none" w:sz="0" w:space="0" w:color="auto"/>
                    <w:bottom w:val="none" w:sz="0" w:space="0" w:color="auto"/>
                    <w:right w:val="none" w:sz="0" w:space="0" w:color="auto"/>
                  </w:divBdr>
                  <w:divsChild>
                    <w:div w:id="700400513">
                      <w:marLeft w:val="0"/>
                      <w:marRight w:val="0"/>
                      <w:marTop w:val="0"/>
                      <w:marBottom w:val="0"/>
                      <w:divBdr>
                        <w:top w:val="none" w:sz="0" w:space="0" w:color="auto"/>
                        <w:left w:val="none" w:sz="0" w:space="0" w:color="auto"/>
                        <w:bottom w:val="none" w:sz="0" w:space="0" w:color="auto"/>
                        <w:right w:val="none" w:sz="0" w:space="0" w:color="auto"/>
                      </w:divBdr>
                    </w:div>
                  </w:divsChild>
                </w:div>
                <w:div w:id="1321881772">
                  <w:marLeft w:val="0"/>
                  <w:marRight w:val="0"/>
                  <w:marTop w:val="0"/>
                  <w:marBottom w:val="0"/>
                  <w:divBdr>
                    <w:top w:val="none" w:sz="0" w:space="0" w:color="auto"/>
                    <w:left w:val="none" w:sz="0" w:space="0" w:color="auto"/>
                    <w:bottom w:val="none" w:sz="0" w:space="0" w:color="auto"/>
                    <w:right w:val="none" w:sz="0" w:space="0" w:color="auto"/>
                  </w:divBdr>
                  <w:divsChild>
                    <w:div w:id="1586956115">
                      <w:marLeft w:val="0"/>
                      <w:marRight w:val="0"/>
                      <w:marTop w:val="0"/>
                      <w:marBottom w:val="0"/>
                      <w:divBdr>
                        <w:top w:val="none" w:sz="0" w:space="0" w:color="auto"/>
                        <w:left w:val="none" w:sz="0" w:space="0" w:color="auto"/>
                        <w:bottom w:val="none" w:sz="0" w:space="0" w:color="auto"/>
                        <w:right w:val="none" w:sz="0" w:space="0" w:color="auto"/>
                      </w:divBdr>
                    </w:div>
                    <w:div w:id="2094159563">
                      <w:marLeft w:val="0"/>
                      <w:marRight w:val="0"/>
                      <w:marTop w:val="0"/>
                      <w:marBottom w:val="0"/>
                      <w:divBdr>
                        <w:top w:val="none" w:sz="0" w:space="0" w:color="auto"/>
                        <w:left w:val="none" w:sz="0" w:space="0" w:color="auto"/>
                        <w:bottom w:val="none" w:sz="0" w:space="0" w:color="auto"/>
                        <w:right w:val="none" w:sz="0" w:space="0" w:color="auto"/>
                      </w:divBdr>
                    </w:div>
                  </w:divsChild>
                </w:div>
                <w:div w:id="1432429218">
                  <w:marLeft w:val="0"/>
                  <w:marRight w:val="0"/>
                  <w:marTop w:val="0"/>
                  <w:marBottom w:val="0"/>
                  <w:divBdr>
                    <w:top w:val="none" w:sz="0" w:space="0" w:color="auto"/>
                    <w:left w:val="none" w:sz="0" w:space="0" w:color="auto"/>
                    <w:bottom w:val="none" w:sz="0" w:space="0" w:color="auto"/>
                    <w:right w:val="none" w:sz="0" w:space="0" w:color="auto"/>
                  </w:divBdr>
                  <w:divsChild>
                    <w:div w:id="24254411">
                      <w:marLeft w:val="0"/>
                      <w:marRight w:val="0"/>
                      <w:marTop w:val="0"/>
                      <w:marBottom w:val="0"/>
                      <w:divBdr>
                        <w:top w:val="none" w:sz="0" w:space="0" w:color="auto"/>
                        <w:left w:val="none" w:sz="0" w:space="0" w:color="auto"/>
                        <w:bottom w:val="none" w:sz="0" w:space="0" w:color="auto"/>
                        <w:right w:val="none" w:sz="0" w:space="0" w:color="auto"/>
                      </w:divBdr>
                    </w:div>
                  </w:divsChild>
                </w:div>
                <w:div w:id="1452893044">
                  <w:marLeft w:val="0"/>
                  <w:marRight w:val="0"/>
                  <w:marTop w:val="0"/>
                  <w:marBottom w:val="0"/>
                  <w:divBdr>
                    <w:top w:val="none" w:sz="0" w:space="0" w:color="auto"/>
                    <w:left w:val="none" w:sz="0" w:space="0" w:color="auto"/>
                    <w:bottom w:val="none" w:sz="0" w:space="0" w:color="auto"/>
                    <w:right w:val="none" w:sz="0" w:space="0" w:color="auto"/>
                  </w:divBdr>
                  <w:divsChild>
                    <w:div w:id="591397310">
                      <w:marLeft w:val="0"/>
                      <w:marRight w:val="0"/>
                      <w:marTop w:val="0"/>
                      <w:marBottom w:val="0"/>
                      <w:divBdr>
                        <w:top w:val="none" w:sz="0" w:space="0" w:color="auto"/>
                        <w:left w:val="none" w:sz="0" w:space="0" w:color="auto"/>
                        <w:bottom w:val="none" w:sz="0" w:space="0" w:color="auto"/>
                        <w:right w:val="none" w:sz="0" w:space="0" w:color="auto"/>
                      </w:divBdr>
                    </w:div>
                  </w:divsChild>
                </w:div>
                <w:div w:id="1688366672">
                  <w:marLeft w:val="0"/>
                  <w:marRight w:val="0"/>
                  <w:marTop w:val="0"/>
                  <w:marBottom w:val="0"/>
                  <w:divBdr>
                    <w:top w:val="none" w:sz="0" w:space="0" w:color="auto"/>
                    <w:left w:val="none" w:sz="0" w:space="0" w:color="auto"/>
                    <w:bottom w:val="none" w:sz="0" w:space="0" w:color="auto"/>
                    <w:right w:val="none" w:sz="0" w:space="0" w:color="auto"/>
                  </w:divBdr>
                  <w:divsChild>
                    <w:div w:id="1137718849">
                      <w:marLeft w:val="0"/>
                      <w:marRight w:val="0"/>
                      <w:marTop w:val="0"/>
                      <w:marBottom w:val="0"/>
                      <w:divBdr>
                        <w:top w:val="none" w:sz="0" w:space="0" w:color="auto"/>
                        <w:left w:val="none" w:sz="0" w:space="0" w:color="auto"/>
                        <w:bottom w:val="none" w:sz="0" w:space="0" w:color="auto"/>
                        <w:right w:val="none" w:sz="0" w:space="0" w:color="auto"/>
                      </w:divBdr>
                    </w:div>
                  </w:divsChild>
                </w:div>
                <w:div w:id="1891960409">
                  <w:marLeft w:val="0"/>
                  <w:marRight w:val="0"/>
                  <w:marTop w:val="0"/>
                  <w:marBottom w:val="0"/>
                  <w:divBdr>
                    <w:top w:val="none" w:sz="0" w:space="0" w:color="auto"/>
                    <w:left w:val="none" w:sz="0" w:space="0" w:color="auto"/>
                    <w:bottom w:val="none" w:sz="0" w:space="0" w:color="auto"/>
                    <w:right w:val="none" w:sz="0" w:space="0" w:color="auto"/>
                  </w:divBdr>
                  <w:divsChild>
                    <w:div w:id="134614597">
                      <w:marLeft w:val="0"/>
                      <w:marRight w:val="0"/>
                      <w:marTop w:val="0"/>
                      <w:marBottom w:val="0"/>
                      <w:divBdr>
                        <w:top w:val="none" w:sz="0" w:space="0" w:color="auto"/>
                        <w:left w:val="none" w:sz="0" w:space="0" w:color="auto"/>
                        <w:bottom w:val="none" w:sz="0" w:space="0" w:color="auto"/>
                        <w:right w:val="none" w:sz="0" w:space="0" w:color="auto"/>
                      </w:divBdr>
                    </w:div>
                  </w:divsChild>
                </w:div>
                <w:div w:id="1899051107">
                  <w:marLeft w:val="0"/>
                  <w:marRight w:val="0"/>
                  <w:marTop w:val="0"/>
                  <w:marBottom w:val="0"/>
                  <w:divBdr>
                    <w:top w:val="none" w:sz="0" w:space="0" w:color="auto"/>
                    <w:left w:val="none" w:sz="0" w:space="0" w:color="auto"/>
                    <w:bottom w:val="none" w:sz="0" w:space="0" w:color="auto"/>
                    <w:right w:val="none" w:sz="0" w:space="0" w:color="auto"/>
                  </w:divBdr>
                  <w:divsChild>
                    <w:div w:id="2114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00257">
          <w:marLeft w:val="0"/>
          <w:marRight w:val="0"/>
          <w:marTop w:val="0"/>
          <w:marBottom w:val="0"/>
          <w:divBdr>
            <w:top w:val="none" w:sz="0" w:space="0" w:color="auto"/>
            <w:left w:val="none" w:sz="0" w:space="0" w:color="auto"/>
            <w:bottom w:val="none" w:sz="0" w:space="0" w:color="auto"/>
            <w:right w:val="none" w:sz="0" w:space="0" w:color="auto"/>
          </w:divBdr>
        </w:div>
        <w:div w:id="799222388">
          <w:marLeft w:val="0"/>
          <w:marRight w:val="0"/>
          <w:marTop w:val="0"/>
          <w:marBottom w:val="0"/>
          <w:divBdr>
            <w:top w:val="none" w:sz="0" w:space="0" w:color="auto"/>
            <w:left w:val="none" w:sz="0" w:space="0" w:color="auto"/>
            <w:bottom w:val="none" w:sz="0" w:space="0" w:color="auto"/>
            <w:right w:val="none" w:sz="0" w:space="0" w:color="auto"/>
          </w:divBdr>
        </w:div>
        <w:div w:id="823206641">
          <w:marLeft w:val="0"/>
          <w:marRight w:val="0"/>
          <w:marTop w:val="0"/>
          <w:marBottom w:val="0"/>
          <w:divBdr>
            <w:top w:val="none" w:sz="0" w:space="0" w:color="auto"/>
            <w:left w:val="none" w:sz="0" w:space="0" w:color="auto"/>
            <w:bottom w:val="none" w:sz="0" w:space="0" w:color="auto"/>
            <w:right w:val="none" w:sz="0" w:space="0" w:color="auto"/>
          </w:divBdr>
        </w:div>
        <w:div w:id="875199592">
          <w:marLeft w:val="0"/>
          <w:marRight w:val="0"/>
          <w:marTop w:val="0"/>
          <w:marBottom w:val="0"/>
          <w:divBdr>
            <w:top w:val="none" w:sz="0" w:space="0" w:color="auto"/>
            <w:left w:val="none" w:sz="0" w:space="0" w:color="auto"/>
            <w:bottom w:val="none" w:sz="0" w:space="0" w:color="auto"/>
            <w:right w:val="none" w:sz="0" w:space="0" w:color="auto"/>
          </w:divBdr>
        </w:div>
        <w:div w:id="876428569">
          <w:marLeft w:val="0"/>
          <w:marRight w:val="0"/>
          <w:marTop w:val="0"/>
          <w:marBottom w:val="0"/>
          <w:divBdr>
            <w:top w:val="none" w:sz="0" w:space="0" w:color="auto"/>
            <w:left w:val="none" w:sz="0" w:space="0" w:color="auto"/>
            <w:bottom w:val="none" w:sz="0" w:space="0" w:color="auto"/>
            <w:right w:val="none" w:sz="0" w:space="0" w:color="auto"/>
          </w:divBdr>
        </w:div>
        <w:div w:id="882979254">
          <w:marLeft w:val="0"/>
          <w:marRight w:val="0"/>
          <w:marTop w:val="0"/>
          <w:marBottom w:val="0"/>
          <w:divBdr>
            <w:top w:val="none" w:sz="0" w:space="0" w:color="auto"/>
            <w:left w:val="none" w:sz="0" w:space="0" w:color="auto"/>
            <w:bottom w:val="none" w:sz="0" w:space="0" w:color="auto"/>
            <w:right w:val="none" w:sz="0" w:space="0" w:color="auto"/>
          </w:divBdr>
        </w:div>
        <w:div w:id="883758641">
          <w:marLeft w:val="0"/>
          <w:marRight w:val="0"/>
          <w:marTop w:val="0"/>
          <w:marBottom w:val="0"/>
          <w:divBdr>
            <w:top w:val="none" w:sz="0" w:space="0" w:color="auto"/>
            <w:left w:val="none" w:sz="0" w:space="0" w:color="auto"/>
            <w:bottom w:val="none" w:sz="0" w:space="0" w:color="auto"/>
            <w:right w:val="none" w:sz="0" w:space="0" w:color="auto"/>
          </w:divBdr>
        </w:div>
        <w:div w:id="884951780">
          <w:marLeft w:val="0"/>
          <w:marRight w:val="0"/>
          <w:marTop w:val="0"/>
          <w:marBottom w:val="0"/>
          <w:divBdr>
            <w:top w:val="none" w:sz="0" w:space="0" w:color="auto"/>
            <w:left w:val="none" w:sz="0" w:space="0" w:color="auto"/>
            <w:bottom w:val="none" w:sz="0" w:space="0" w:color="auto"/>
            <w:right w:val="none" w:sz="0" w:space="0" w:color="auto"/>
          </w:divBdr>
        </w:div>
        <w:div w:id="892540046">
          <w:marLeft w:val="0"/>
          <w:marRight w:val="0"/>
          <w:marTop w:val="0"/>
          <w:marBottom w:val="0"/>
          <w:divBdr>
            <w:top w:val="none" w:sz="0" w:space="0" w:color="auto"/>
            <w:left w:val="none" w:sz="0" w:space="0" w:color="auto"/>
            <w:bottom w:val="none" w:sz="0" w:space="0" w:color="auto"/>
            <w:right w:val="none" w:sz="0" w:space="0" w:color="auto"/>
          </w:divBdr>
          <w:divsChild>
            <w:div w:id="19548023">
              <w:marLeft w:val="0"/>
              <w:marRight w:val="0"/>
              <w:marTop w:val="0"/>
              <w:marBottom w:val="0"/>
              <w:divBdr>
                <w:top w:val="none" w:sz="0" w:space="0" w:color="auto"/>
                <w:left w:val="none" w:sz="0" w:space="0" w:color="auto"/>
                <w:bottom w:val="none" w:sz="0" w:space="0" w:color="auto"/>
                <w:right w:val="none" w:sz="0" w:space="0" w:color="auto"/>
              </w:divBdr>
            </w:div>
            <w:div w:id="358824899">
              <w:marLeft w:val="0"/>
              <w:marRight w:val="0"/>
              <w:marTop w:val="0"/>
              <w:marBottom w:val="0"/>
              <w:divBdr>
                <w:top w:val="none" w:sz="0" w:space="0" w:color="auto"/>
                <w:left w:val="none" w:sz="0" w:space="0" w:color="auto"/>
                <w:bottom w:val="none" w:sz="0" w:space="0" w:color="auto"/>
                <w:right w:val="none" w:sz="0" w:space="0" w:color="auto"/>
              </w:divBdr>
            </w:div>
            <w:div w:id="490633988">
              <w:marLeft w:val="0"/>
              <w:marRight w:val="0"/>
              <w:marTop w:val="0"/>
              <w:marBottom w:val="0"/>
              <w:divBdr>
                <w:top w:val="none" w:sz="0" w:space="0" w:color="auto"/>
                <w:left w:val="none" w:sz="0" w:space="0" w:color="auto"/>
                <w:bottom w:val="none" w:sz="0" w:space="0" w:color="auto"/>
                <w:right w:val="none" w:sz="0" w:space="0" w:color="auto"/>
              </w:divBdr>
            </w:div>
            <w:div w:id="506166901">
              <w:marLeft w:val="0"/>
              <w:marRight w:val="0"/>
              <w:marTop w:val="0"/>
              <w:marBottom w:val="0"/>
              <w:divBdr>
                <w:top w:val="none" w:sz="0" w:space="0" w:color="auto"/>
                <w:left w:val="none" w:sz="0" w:space="0" w:color="auto"/>
                <w:bottom w:val="none" w:sz="0" w:space="0" w:color="auto"/>
                <w:right w:val="none" w:sz="0" w:space="0" w:color="auto"/>
              </w:divBdr>
            </w:div>
            <w:div w:id="686718874">
              <w:marLeft w:val="0"/>
              <w:marRight w:val="0"/>
              <w:marTop w:val="0"/>
              <w:marBottom w:val="0"/>
              <w:divBdr>
                <w:top w:val="none" w:sz="0" w:space="0" w:color="auto"/>
                <w:left w:val="none" w:sz="0" w:space="0" w:color="auto"/>
                <w:bottom w:val="none" w:sz="0" w:space="0" w:color="auto"/>
                <w:right w:val="none" w:sz="0" w:space="0" w:color="auto"/>
              </w:divBdr>
            </w:div>
            <w:div w:id="775061205">
              <w:marLeft w:val="0"/>
              <w:marRight w:val="0"/>
              <w:marTop w:val="0"/>
              <w:marBottom w:val="0"/>
              <w:divBdr>
                <w:top w:val="none" w:sz="0" w:space="0" w:color="auto"/>
                <w:left w:val="none" w:sz="0" w:space="0" w:color="auto"/>
                <w:bottom w:val="none" w:sz="0" w:space="0" w:color="auto"/>
                <w:right w:val="none" w:sz="0" w:space="0" w:color="auto"/>
              </w:divBdr>
            </w:div>
            <w:div w:id="973674639">
              <w:marLeft w:val="0"/>
              <w:marRight w:val="0"/>
              <w:marTop w:val="0"/>
              <w:marBottom w:val="0"/>
              <w:divBdr>
                <w:top w:val="none" w:sz="0" w:space="0" w:color="auto"/>
                <w:left w:val="none" w:sz="0" w:space="0" w:color="auto"/>
                <w:bottom w:val="none" w:sz="0" w:space="0" w:color="auto"/>
                <w:right w:val="none" w:sz="0" w:space="0" w:color="auto"/>
              </w:divBdr>
            </w:div>
            <w:div w:id="1002393231">
              <w:marLeft w:val="0"/>
              <w:marRight w:val="0"/>
              <w:marTop w:val="0"/>
              <w:marBottom w:val="0"/>
              <w:divBdr>
                <w:top w:val="none" w:sz="0" w:space="0" w:color="auto"/>
                <w:left w:val="none" w:sz="0" w:space="0" w:color="auto"/>
                <w:bottom w:val="none" w:sz="0" w:space="0" w:color="auto"/>
                <w:right w:val="none" w:sz="0" w:space="0" w:color="auto"/>
              </w:divBdr>
            </w:div>
            <w:div w:id="1017853831">
              <w:marLeft w:val="0"/>
              <w:marRight w:val="0"/>
              <w:marTop w:val="0"/>
              <w:marBottom w:val="0"/>
              <w:divBdr>
                <w:top w:val="none" w:sz="0" w:space="0" w:color="auto"/>
                <w:left w:val="none" w:sz="0" w:space="0" w:color="auto"/>
                <w:bottom w:val="none" w:sz="0" w:space="0" w:color="auto"/>
                <w:right w:val="none" w:sz="0" w:space="0" w:color="auto"/>
              </w:divBdr>
            </w:div>
            <w:div w:id="1090858368">
              <w:marLeft w:val="0"/>
              <w:marRight w:val="0"/>
              <w:marTop w:val="0"/>
              <w:marBottom w:val="0"/>
              <w:divBdr>
                <w:top w:val="none" w:sz="0" w:space="0" w:color="auto"/>
                <w:left w:val="none" w:sz="0" w:space="0" w:color="auto"/>
                <w:bottom w:val="none" w:sz="0" w:space="0" w:color="auto"/>
                <w:right w:val="none" w:sz="0" w:space="0" w:color="auto"/>
              </w:divBdr>
            </w:div>
            <w:div w:id="1134447549">
              <w:marLeft w:val="0"/>
              <w:marRight w:val="0"/>
              <w:marTop w:val="0"/>
              <w:marBottom w:val="0"/>
              <w:divBdr>
                <w:top w:val="none" w:sz="0" w:space="0" w:color="auto"/>
                <w:left w:val="none" w:sz="0" w:space="0" w:color="auto"/>
                <w:bottom w:val="none" w:sz="0" w:space="0" w:color="auto"/>
                <w:right w:val="none" w:sz="0" w:space="0" w:color="auto"/>
              </w:divBdr>
            </w:div>
            <w:div w:id="1242175460">
              <w:marLeft w:val="0"/>
              <w:marRight w:val="0"/>
              <w:marTop w:val="0"/>
              <w:marBottom w:val="0"/>
              <w:divBdr>
                <w:top w:val="none" w:sz="0" w:space="0" w:color="auto"/>
                <w:left w:val="none" w:sz="0" w:space="0" w:color="auto"/>
                <w:bottom w:val="none" w:sz="0" w:space="0" w:color="auto"/>
                <w:right w:val="none" w:sz="0" w:space="0" w:color="auto"/>
              </w:divBdr>
            </w:div>
            <w:div w:id="1365133140">
              <w:marLeft w:val="0"/>
              <w:marRight w:val="0"/>
              <w:marTop w:val="0"/>
              <w:marBottom w:val="0"/>
              <w:divBdr>
                <w:top w:val="none" w:sz="0" w:space="0" w:color="auto"/>
                <w:left w:val="none" w:sz="0" w:space="0" w:color="auto"/>
                <w:bottom w:val="none" w:sz="0" w:space="0" w:color="auto"/>
                <w:right w:val="none" w:sz="0" w:space="0" w:color="auto"/>
              </w:divBdr>
            </w:div>
            <w:div w:id="1527595144">
              <w:marLeft w:val="0"/>
              <w:marRight w:val="0"/>
              <w:marTop w:val="0"/>
              <w:marBottom w:val="0"/>
              <w:divBdr>
                <w:top w:val="none" w:sz="0" w:space="0" w:color="auto"/>
                <w:left w:val="none" w:sz="0" w:space="0" w:color="auto"/>
                <w:bottom w:val="none" w:sz="0" w:space="0" w:color="auto"/>
                <w:right w:val="none" w:sz="0" w:space="0" w:color="auto"/>
              </w:divBdr>
            </w:div>
            <w:div w:id="1701202807">
              <w:marLeft w:val="0"/>
              <w:marRight w:val="0"/>
              <w:marTop w:val="0"/>
              <w:marBottom w:val="0"/>
              <w:divBdr>
                <w:top w:val="none" w:sz="0" w:space="0" w:color="auto"/>
                <w:left w:val="none" w:sz="0" w:space="0" w:color="auto"/>
                <w:bottom w:val="none" w:sz="0" w:space="0" w:color="auto"/>
                <w:right w:val="none" w:sz="0" w:space="0" w:color="auto"/>
              </w:divBdr>
            </w:div>
            <w:div w:id="1779718572">
              <w:marLeft w:val="0"/>
              <w:marRight w:val="0"/>
              <w:marTop w:val="0"/>
              <w:marBottom w:val="0"/>
              <w:divBdr>
                <w:top w:val="none" w:sz="0" w:space="0" w:color="auto"/>
                <w:left w:val="none" w:sz="0" w:space="0" w:color="auto"/>
                <w:bottom w:val="none" w:sz="0" w:space="0" w:color="auto"/>
                <w:right w:val="none" w:sz="0" w:space="0" w:color="auto"/>
              </w:divBdr>
            </w:div>
            <w:div w:id="1981495933">
              <w:marLeft w:val="0"/>
              <w:marRight w:val="0"/>
              <w:marTop w:val="0"/>
              <w:marBottom w:val="0"/>
              <w:divBdr>
                <w:top w:val="none" w:sz="0" w:space="0" w:color="auto"/>
                <w:left w:val="none" w:sz="0" w:space="0" w:color="auto"/>
                <w:bottom w:val="none" w:sz="0" w:space="0" w:color="auto"/>
                <w:right w:val="none" w:sz="0" w:space="0" w:color="auto"/>
              </w:divBdr>
            </w:div>
            <w:div w:id="2025860784">
              <w:marLeft w:val="0"/>
              <w:marRight w:val="0"/>
              <w:marTop w:val="0"/>
              <w:marBottom w:val="0"/>
              <w:divBdr>
                <w:top w:val="none" w:sz="0" w:space="0" w:color="auto"/>
                <w:left w:val="none" w:sz="0" w:space="0" w:color="auto"/>
                <w:bottom w:val="none" w:sz="0" w:space="0" w:color="auto"/>
                <w:right w:val="none" w:sz="0" w:space="0" w:color="auto"/>
              </w:divBdr>
            </w:div>
            <w:div w:id="2068917060">
              <w:marLeft w:val="0"/>
              <w:marRight w:val="0"/>
              <w:marTop w:val="0"/>
              <w:marBottom w:val="0"/>
              <w:divBdr>
                <w:top w:val="none" w:sz="0" w:space="0" w:color="auto"/>
                <w:left w:val="none" w:sz="0" w:space="0" w:color="auto"/>
                <w:bottom w:val="none" w:sz="0" w:space="0" w:color="auto"/>
                <w:right w:val="none" w:sz="0" w:space="0" w:color="auto"/>
              </w:divBdr>
            </w:div>
            <w:div w:id="2072652680">
              <w:marLeft w:val="0"/>
              <w:marRight w:val="0"/>
              <w:marTop w:val="0"/>
              <w:marBottom w:val="0"/>
              <w:divBdr>
                <w:top w:val="none" w:sz="0" w:space="0" w:color="auto"/>
                <w:left w:val="none" w:sz="0" w:space="0" w:color="auto"/>
                <w:bottom w:val="none" w:sz="0" w:space="0" w:color="auto"/>
                <w:right w:val="none" w:sz="0" w:space="0" w:color="auto"/>
              </w:divBdr>
            </w:div>
          </w:divsChild>
        </w:div>
        <w:div w:id="898250491">
          <w:marLeft w:val="0"/>
          <w:marRight w:val="0"/>
          <w:marTop w:val="0"/>
          <w:marBottom w:val="0"/>
          <w:divBdr>
            <w:top w:val="none" w:sz="0" w:space="0" w:color="auto"/>
            <w:left w:val="none" w:sz="0" w:space="0" w:color="auto"/>
            <w:bottom w:val="none" w:sz="0" w:space="0" w:color="auto"/>
            <w:right w:val="none" w:sz="0" w:space="0" w:color="auto"/>
          </w:divBdr>
        </w:div>
        <w:div w:id="910895553">
          <w:marLeft w:val="0"/>
          <w:marRight w:val="0"/>
          <w:marTop w:val="0"/>
          <w:marBottom w:val="0"/>
          <w:divBdr>
            <w:top w:val="none" w:sz="0" w:space="0" w:color="auto"/>
            <w:left w:val="none" w:sz="0" w:space="0" w:color="auto"/>
            <w:bottom w:val="none" w:sz="0" w:space="0" w:color="auto"/>
            <w:right w:val="none" w:sz="0" w:space="0" w:color="auto"/>
          </w:divBdr>
          <w:divsChild>
            <w:div w:id="14235697">
              <w:marLeft w:val="0"/>
              <w:marRight w:val="0"/>
              <w:marTop w:val="0"/>
              <w:marBottom w:val="0"/>
              <w:divBdr>
                <w:top w:val="none" w:sz="0" w:space="0" w:color="auto"/>
                <w:left w:val="none" w:sz="0" w:space="0" w:color="auto"/>
                <w:bottom w:val="none" w:sz="0" w:space="0" w:color="auto"/>
                <w:right w:val="none" w:sz="0" w:space="0" w:color="auto"/>
              </w:divBdr>
            </w:div>
            <w:div w:id="76483188">
              <w:marLeft w:val="0"/>
              <w:marRight w:val="0"/>
              <w:marTop w:val="0"/>
              <w:marBottom w:val="0"/>
              <w:divBdr>
                <w:top w:val="none" w:sz="0" w:space="0" w:color="auto"/>
                <w:left w:val="none" w:sz="0" w:space="0" w:color="auto"/>
                <w:bottom w:val="none" w:sz="0" w:space="0" w:color="auto"/>
                <w:right w:val="none" w:sz="0" w:space="0" w:color="auto"/>
              </w:divBdr>
            </w:div>
            <w:div w:id="393040835">
              <w:marLeft w:val="0"/>
              <w:marRight w:val="0"/>
              <w:marTop w:val="0"/>
              <w:marBottom w:val="0"/>
              <w:divBdr>
                <w:top w:val="none" w:sz="0" w:space="0" w:color="auto"/>
                <w:left w:val="none" w:sz="0" w:space="0" w:color="auto"/>
                <w:bottom w:val="none" w:sz="0" w:space="0" w:color="auto"/>
                <w:right w:val="none" w:sz="0" w:space="0" w:color="auto"/>
              </w:divBdr>
            </w:div>
            <w:div w:id="599148279">
              <w:marLeft w:val="0"/>
              <w:marRight w:val="0"/>
              <w:marTop w:val="0"/>
              <w:marBottom w:val="0"/>
              <w:divBdr>
                <w:top w:val="none" w:sz="0" w:space="0" w:color="auto"/>
                <w:left w:val="none" w:sz="0" w:space="0" w:color="auto"/>
                <w:bottom w:val="none" w:sz="0" w:space="0" w:color="auto"/>
                <w:right w:val="none" w:sz="0" w:space="0" w:color="auto"/>
              </w:divBdr>
            </w:div>
            <w:div w:id="648632378">
              <w:marLeft w:val="0"/>
              <w:marRight w:val="0"/>
              <w:marTop w:val="0"/>
              <w:marBottom w:val="0"/>
              <w:divBdr>
                <w:top w:val="none" w:sz="0" w:space="0" w:color="auto"/>
                <w:left w:val="none" w:sz="0" w:space="0" w:color="auto"/>
                <w:bottom w:val="none" w:sz="0" w:space="0" w:color="auto"/>
                <w:right w:val="none" w:sz="0" w:space="0" w:color="auto"/>
              </w:divBdr>
            </w:div>
            <w:div w:id="987562011">
              <w:marLeft w:val="0"/>
              <w:marRight w:val="0"/>
              <w:marTop w:val="0"/>
              <w:marBottom w:val="0"/>
              <w:divBdr>
                <w:top w:val="none" w:sz="0" w:space="0" w:color="auto"/>
                <w:left w:val="none" w:sz="0" w:space="0" w:color="auto"/>
                <w:bottom w:val="none" w:sz="0" w:space="0" w:color="auto"/>
                <w:right w:val="none" w:sz="0" w:space="0" w:color="auto"/>
              </w:divBdr>
            </w:div>
            <w:div w:id="1120418063">
              <w:marLeft w:val="0"/>
              <w:marRight w:val="0"/>
              <w:marTop w:val="0"/>
              <w:marBottom w:val="0"/>
              <w:divBdr>
                <w:top w:val="none" w:sz="0" w:space="0" w:color="auto"/>
                <w:left w:val="none" w:sz="0" w:space="0" w:color="auto"/>
                <w:bottom w:val="none" w:sz="0" w:space="0" w:color="auto"/>
                <w:right w:val="none" w:sz="0" w:space="0" w:color="auto"/>
              </w:divBdr>
            </w:div>
            <w:div w:id="1196381648">
              <w:marLeft w:val="0"/>
              <w:marRight w:val="0"/>
              <w:marTop w:val="0"/>
              <w:marBottom w:val="0"/>
              <w:divBdr>
                <w:top w:val="none" w:sz="0" w:space="0" w:color="auto"/>
                <w:left w:val="none" w:sz="0" w:space="0" w:color="auto"/>
                <w:bottom w:val="none" w:sz="0" w:space="0" w:color="auto"/>
                <w:right w:val="none" w:sz="0" w:space="0" w:color="auto"/>
              </w:divBdr>
            </w:div>
            <w:div w:id="1522931342">
              <w:marLeft w:val="0"/>
              <w:marRight w:val="0"/>
              <w:marTop w:val="0"/>
              <w:marBottom w:val="0"/>
              <w:divBdr>
                <w:top w:val="none" w:sz="0" w:space="0" w:color="auto"/>
                <w:left w:val="none" w:sz="0" w:space="0" w:color="auto"/>
                <w:bottom w:val="none" w:sz="0" w:space="0" w:color="auto"/>
                <w:right w:val="none" w:sz="0" w:space="0" w:color="auto"/>
              </w:divBdr>
            </w:div>
          </w:divsChild>
        </w:div>
        <w:div w:id="913122930">
          <w:marLeft w:val="0"/>
          <w:marRight w:val="0"/>
          <w:marTop w:val="0"/>
          <w:marBottom w:val="0"/>
          <w:divBdr>
            <w:top w:val="none" w:sz="0" w:space="0" w:color="auto"/>
            <w:left w:val="none" w:sz="0" w:space="0" w:color="auto"/>
            <w:bottom w:val="none" w:sz="0" w:space="0" w:color="auto"/>
            <w:right w:val="none" w:sz="0" w:space="0" w:color="auto"/>
          </w:divBdr>
        </w:div>
        <w:div w:id="915866478">
          <w:marLeft w:val="0"/>
          <w:marRight w:val="0"/>
          <w:marTop w:val="0"/>
          <w:marBottom w:val="0"/>
          <w:divBdr>
            <w:top w:val="none" w:sz="0" w:space="0" w:color="auto"/>
            <w:left w:val="none" w:sz="0" w:space="0" w:color="auto"/>
            <w:bottom w:val="none" w:sz="0" w:space="0" w:color="auto"/>
            <w:right w:val="none" w:sz="0" w:space="0" w:color="auto"/>
          </w:divBdr>
        </w:div>
        <w:div w:id="921571858">
          <w:marLeft w:val="0"/>
          <w:marRight w:val="0"/>
          <w:marTop w:val="0"/>
          <w:marBottom w:val="0"/>
          <w:divBdr>
            <w:top w:val="none" w:sz="0" w:space="0" w:color="auto"/>
            <w:left w:val="none" w:sz="0" w:space="0" w:color="auto"/>
            <w:bottom w:val="none" w:sz="0" w:space="0" w:color="auto"/>
            <w:right w:val="none" w:sz="0" w:space="0" w:color="auto"/>
          </w:divBdr>
          <w:divsChild>
            <w:div w:id="9768778">
              <w:marLeft w:val="0"/>
              <w:marRight w:val="0"/>
              <w:marTop w:val="0"/>
              <w:marBottom w:val="0"/>
              <w:divBdr>
                <w:top w:val="none" w:sz="0" w:space="0" w:color="auto"/>
                <w:left w:val="none" w:sz="0" w:space="0" w:color="auto"/>
                <w:bottom w:val="none" w:sz="0" w:space="0" w:color="auto"/>
                <w:right w:val="none" w:sz="0" w:space="0" w:color="auto"/>
              </w:divBdr>
            </w:div>
            <w:div w:id="161894205">
              <w:marLeft w:val="0"/>
              <w:marRight w:val="0"/>
              <w:marTop w:val="0"/>
              <w:marBottom w:val="0"/>
              <w:divBdr>
                <w:top w:val="none" w:sz="0" w:space="0" w:color="auto"/>
                <w:left w:val="none" w:sz="0" w:space="0" w:color="auto"/>
                <w:bottom w:val="none" w:sz="0" w:space="0" w:color="auto"/>
                <w:right w:val="none" w:sz="0" w:space="0" w:color="auto"/>
              </w:divBdr>
            </w:div>
            <w:div w:id="474950541">
              <w:marLeft w:val="0"/>
              <w:marRight w:val="0"/>
              <w:marTop w:val="0"/>
              <w:marBottom w:val="0"/>
              <w:divBdr>
                <w:top w:val="none" w:sz="0" w:space="0" w:color="auto"/>
                <w:left w:val="none" w:sz="0" w:space="0" w:color="auto"/>
                <w:bottom w:val="none" w:sz="0" w:space="0" w:color="auto"/>
                <w:right w:val="none" w:sz="0" w:space="0" w:color="auto"/>
              </w:divBdr>
            </w:div>
            <w:div w:id="712538475">
              <w:marLeft w:val="0"/>
              <w:marRight w:val="0"/>
              <w:marTop w:val="0"/>
              <w:marBottom w:val="0"/>
              <w:divBdr>
                <w:top w:val="none" w:sz="0" w:space="0" w:color="auto"/>
                <w:left w:val="none" w:sz="0" w:space="0" w:color="auto"/>
                <w:bottom w:val="none" w:sz="0" w:space="0" w:color="auto"/>
                <w:right w:val="none" w:sz="0" w:space="0" w:color="auto"/>
              </w:divBdr>
            </w:div>
            <w:div w:id="754982289">
              <w:marLeft w:val="0"/>
              <w:marRight w:val="0"/>
              <w:marTop w:val="0"/>
              <w:marBottom w:val="0"/>
              <w:divBdr>
                <w:top w:val="none" w:sz="0" w:space="0" w:color="auto"/>
                <w:left w:val="none" w:sz="0" w:space="0" w:color="auto"/>
                <w:bottom w:val="none" w:sz="0" w:space="0" w:color="auto"/>
                <w:right w:val="none" w:sz="0" w:space="0" w:color="auto"/>
              </w:divBdr>
            </w:div>
            <w:div w:id="778254356">
              <w:marLeft w:val="0"/>
              <w:marRight w:val="0"/>
              <w:marTop w:val="0"/>
              <w:marBottom w:val="0"/>
              <w:divBdr>
                <w:top w:val="none" w:sz="0" w:space="0" w:color="auto"/>
                <w:left w:val="none" w:sz="0" w:space="0" w:color="auto"/>
                <w:bottom w:val="none" w:sz="0" w:space="0" w:color="auto"/>
                <w:right w:val="none" w:sz="0" w:space="0" w:color="auto"/>
              </w:divBdr>
            </w:div>
            <w:div w:id="787546752">
              <w:marLeft w:val="0"/>
              <w:marRight w:val="0"/>
              <w:marTop w:val="0"/>
              <w:marBottom w:val="0"/>
              <w:divBdr>
                <w:top w:val="none" w:sz="0" w:space="0" w:color="auto"/>
                <w:left w:val="none" w:sz="0" w:space="0" w:color="auto"/>
                <w:bottom w:val="none" w:sz="0" w:space="0" w:color="auto"/>
                <w:right w:val="none" w:sz="0" w:space="0" w:color="auto"/>
              </w:divBdr>
            </w:div>
            <w:div w:id="1218321669">
              <w:marLeft w:val="0"/>
              <w:marRight w:val="0"/>
              <w:marTop w:val="0"/>
              <w:marBottom w:val="0"/>
              <w:divBdr>
                <w:top w:val="none" w:sz="0" w:space="0" w:color="auto"/>
                <w:left w:val="none" w:sz="0" w:space="0" w:color="auto"/>
                <w:bottom w:val="none" w:sz="0" w:space="0" w:color="auto"/>
                <w:right w:val="none" w:sz="0" w:space="0" w:color="auto"/>
              </w:divBdr>
            </w:div>
            <w:div w:id="1355883133">
              <w:marLeft w:val="0"/>
              <w:marRight w:val="0"/>
              <w:marTop w:val="0"/>
              <w:marBottom w:val="0"/>
              <w:divBdr>
                <w:top w:val="none" w:sz="0" w:space="0" w:color="auto"/>
                <w:left w:val="none" w:sz="0" w:space="0" w:color="auto"/>
                <w:bottom w:val="none" w:sz="0" w:space="0" w:color="auto"/>
                <w:right w:val="none" w:sz="0" w:space="0" w:color="auto"/>
              </w:divBdr>
            </w:div>
            <w:div w:id="1445808339">
              <w:marLeft w:val="0"/>
              <w:marRight w:val="0"/>
              <w:marTop w:val="0"/>
              <w:marBottom w:val="0"/>
              <w:divBdr>
                <w:top w:val="none" w:sz="0" w:space="0" w:color="auto"/>
                <w:left w:val="none" w:sz="0" w:space="0" w:color="auto"/>
                <w:bottom w:val="none" w:sz="0" w:space="0" w:color="auto"/>
                <w:right w:val="none" w:sz="0" w:space="0" w:color="auto"/>
              </w:divBdr>
            </w:div>
            <w:div w:id="1446072824">
              <w:marLeft w:val="0"/>
              <w:marRight w:val="0"/>
              <w:marTop w:val="0"/>
              <w:marBottom w:val="0"/>
              <w:divBdr>
                <w:top w:val="none" w:sz="0" w:space="0" w:color="auto"/>
                <w:left w:val="none" w:sz="0" w:space="0" w:color="auto"/>
                <w:bottom w:val="none" w:sz="0" w:space="0" w:color="auto"/>
                <w:right w:val="none" w:sz="0" w:space="0" w:color="auto"/>
              </w:divBdr>
            </w:div>
            <w:div w:id="1507359862">
              <w:marLeft w:val="0"/>
              <w:marRight w:val="0"/>
              <w:marTop w:val="0"/>
              <w:marBottom w:val="0"/>
              <w:divBdr>
                <w:top w:val="none" w:sz="0" w:space="0" w:color="auto"/>
                <w:left w:val="none" w:sz="0" w:space="0" w:color="auto"/>
                <w:bottom w:val="none" w:sz="0" w:space="0" w:color="auto"/>
                <w:right w:val="none" w:sz="0" w:space="0" w:color="auto"/>
              </w:divBdr>
            </w:div>
            <w:div w:id="1520924898">
              <w:marLeft w:val="0"/>
              <w:marRight w:val="0"/>
              <w:marTop w:val="0"/>
              <w:marBottom w:val="0"/>
              <w:divBdr>
                <w:top w:val="none" w:sz="0" w:space="0" w:color="auto"/>
                <w:left w:val="none" w:sz="0" w:space="0" w:color="auto"/>
                <w:bottom w:val="none" w:sz="0" w:space="0" w:color="auto"/>
                <w:right w:val="none" w:sz="0" w:space="0" w:color="auto"/>
              </w:divBdr>
            </w:div>
            <w:div w:id="1531796236">
              <w:marLeft w:val="0"/>
              <w:marRight w:val="0"/>
              <w:marTop w:val="0"/>
              <w:marBottom w:val="0"/>
              <w:divBdr>
                <w:top w:val="none" w:sz="0" w:space="0" w:color="auto"/>
                <w:left w:val="none" w:sz="0" w:space="0" w:color="auto"/>
                <w:bottom w:val="none" w:sz="0" w:space="0" w:color="auto"/>
                <w:right w:val="none" w:sz="0" w:space="0" w:color="auto"/>
              </w:divBdr>
            </w:div>
            <w:div w:id="1620262605">
              <w:marLeft w:val="0"/>
              <w:marRight w:val="0"/>
              <w:marTop w:val="0"/>
              <w:marBottom w:val="0"/>
              <w:divBdr>
                <w:top w:val="none" w:sz="0" w:space="0" w:color="auto"/>
                <w:left w:val="none" w:sz="0" w:space="0" w:color="auto"/>
                <w:bottom w:val="none" w:sz="0" w:space="0" w:color="auto"/>
                <w:right w:val="none" w:sz="0" w:space="0" w:color="auto"/>
              </w:divBdr>
            </w:div>
            <w:div w:id="1646885630">
              <w:marLeft w:val="0"/>
              <w:marRight w:val="0"/>
              <w:marTop w:val="0"/>
              <w:marBottom w:val="0"/>
              <w:divBdr>
                <w:top w:val="none" w:sz="0" w:space="0" w:color="auto"/>
                <w:left w:val="none" w:sz="0" w:space="0" w:color="auto"/>
                <w:bottom w:val="none" w:sz="0" w:space="0" w:color="auto"/>
                <w:right w:val="none" w:sz="0" w:space="0" w:color="auto"/>
              </w:divBdr>
            </w:div>
            <w:div w:id="1683123676">
              <w:marLeft w:val="0"/>
              <w:marRight w:val="0"/>
              <w:marTop w:val="0"/>
              <w:marBottom w:val="0"/>
              <w:divBdr>
                <w:top w:val="none" w:sz="0" w:space="0" w:color="auto"/>
                <w:left w:val="none" w:sz="0" w:space="0" w:color="auto"/>
                <w:bottom w:val="none" w:sz="0" w:space="0" w:color="auto"/>
                <w:right w:val="none" w:sz="0" w:space="0" w:color="auto"/>
              </w:divBdr>
            </w:div>
            <w:div w:id="1835294551">
              <w:marLeft w:val="0"/>
              <w:marRight w:val="0"/>
              <w:marTop w:val="0"/>
              <w:marBottom w:val="0"/>
              <w:divBdr>
                <w:top w:val="none" w:sz="0" w:space="0" w:color="auto"/>
                <w:left w:val="none" w:sz="0" w:space="0" w:color="auto"/>
                <w:bottom w:val="none" w:sz="0" w:space="0" w:color="auto"/>
                <w:right w:val="none" w:sz="0" w:space="0" w:color="auto"/>
              </w:divBdr>
            </w:div>
            <w:div w:id="2033919728">
              <w:marLeft w:val="0"/>
              <w:marRight w:val="0"/>
              <w:marTop w:val="0"/>
              <w:marBottom w:val="0"/>
              <w:divBdr>
                <w:top w:val="none" w:sz="0" w:space="0" w:color="auto"/>
                <w:left w:val="none" w:sz="0" w:space="0" w:color="auto"/>
                <w:bottom w:val="none" w:sz="0" w:space="0" w:color="auto"/>
                <w:right w:val="none" w:sz="0" w:space="0" w:color="auto"/>
              </w:divBdr>
            </w:div>
            <w:div w:id="2111117216">
              <w:marLeft w:val="0"/>
              <w:marRight w:val="0"/>
              <w:marTop w:val="0"/>
              <w:marBottom w:val="0"/>
              <w:divBdr>
                <w:top w:val="none" w:sz="0" w:space="0" w:color="auto"/>
                <w:left w:val="none" w:sz="0" w:space="0" w:color="auto"/>
                <w:bottom w:val="none" w:sz="0" w:space="0" w:color="auto"/>
                <w:right w:val="none" w:sz="0" w:space="0" w:color="auto"/>
              </w:divBdr>
            </w:div>
          </w:divsChild>
        </w:div>
        <w:div w:id="926426117">
          <w:marLeft w:val="0"/>
          <w:marRight w:val="0"/>
          <w:marTop w:val="0"/>
          <w:marBottom w:val="0"/>
          <w:divBdr>
            <w:top w:val="none" w:sz="0" w:space="0" w:color="auto"/>
            <w:left w:val="none" w:sz="0" w:space="0" w:color="auto"/>
            <w:bottom w:val="none" w:sz="0" w:space="0" w:color="auto"/>
            <w:right w:val="none" w:sz="0" w:space="0" w:color="auto"/>
          </w:divBdr>
        </w:div>
        <w:div w:id="934216404">
          <w:marLeft w:val="0"/>
          <w:marRight w:val="0"/>
          <w:marTop w:val="0"/>
          <w:marBottom w:val="0"/>
          <w:divBdr>
            <w:top w:val="none" w:sz="0" w:space="0" w:color="auto"/>
            <w:left w:val="none" w:sz="0" w:space="0" w:color="auto"/>
            <w:bottom w:val="none" w:sz="0" w:space="0" w:color="auto"/>
            <w:right w:val="none" w:sz="0" w:space="0" w:color="auto"/>
          </w:divBdr>
        </w:div>
        <w:div w:id="941834960">
          <w:marLeft w:val="0"/>
          <w:marRight w:val="0"/>
          <w:marTop w:val="0"/>
          <w:marBottom w:val="0"/>
          <w:divBdr>
            <w:top w:val="none" w:sz="0" w:space="0" w:color="auto"/>
            <w:left w:val="none" w:sz="0" w:space="0" w:color="auto"/>
            <w:bottom w:val="none" w:sz="0" w:space="0" w:color="auto"/>
            <w:right w:val="none" w:sz="0" w:space="0" w:color="auto"/>
          </w:divBdr>
        </w:div>
        <w:div w:id="942807110">
          <w:marLeft w:val="0"/>
          <w:marRight w:val="0"/>
          <w:marTop w:val="0"/>
          <w:marBottom w:val="0"/>
          <w:divBdr>
            <w:top w:val="none" w:sz="0" w:space="0" w:color="auto"/>
            <w:left w:val="none" w:sz="0" w:space="0" w:color="auto"/>
            <w:bottom w:val="none" w:sz="0" w:space="0" w:color="auto"/>
            <w:right w:val="none" w:sz="0" w:space="0" w:color="auto"/>
          </w:divBdr>
          <w:divsChild>
            <w:div w:id="121388361">
              <w:marLeft w:val="-75"/>
              <w:marRight w:val="0"/>
              <w:marTop w:val="30"/>
              <w:marBottom w:val="30"/>
              <w:divBdr>
                <w:top w:val="none" w:sz="0" w:space="0" w:color="auto"/>
                <w:left w:val="none" w:sz="0" w:space="0" w:color="auto"/>
                <w:bottom w:val="none" w:sz="0" w:space="0" w:color="auto"/>
                <w:right w:val="none" w:sz="0" w:space="0" w:color="auto"/>
              </w:divBdr>
              <w:divsChild>
                <w:div w:id="53744537">
                  <w:marLeft w:val="0"/>
                  <w:marRight w:val="0"/>
                  <w:marTop w:val="0"/>
                  <w:marBottom w:val="0"/>
                  <w:divBdr>
                    <w:top w:val="none" w:sz="0" w:space="0" w:color="auto"/>
                    <w:left w:val="none" w:sz="0" w:space="0" w:color="auto"/>
                    <w:bottom w:val="none" w:sz="0" w:space="0" w:color="auto"/>
                    <w:right w:val="none" w:sz="0" w:space="0" w:color="auto"/>
                  </w:divBdr>
                  <w:divsChild>
                    <w:div w:id="738869623">
                      <w:marLeft w:val="0"/>
                      <w:marRight w:val="0"/>
                      <w:marTop w:val="0"/>
                      <w:marBottom w:val="0"/>
                      <w:divBdr>
                        <w:top w:val="none" w:sz="0" w:space="0" w:color="auto"/>
                        <w:left w:val="none" w:sz="0" w:space="0" w:color="auto"/>
                        <w:bottom w:val="none" w:sz="0" w:space="0" w:color="auto"/>
                        <w:right w:val="none" w:sz="0" w:space="0" w:color="auto"/>
                      </w:divBdr>
                    </w:div>
                  </w:divsChild>
                </w:div>
                <w:div w:id="132649233">
                  <w:marLeft w:val="0"/>
                  <w:marRight w:val="0"/>
                  <w:marTop w:val="0"/>
                  <w:marBottom w:val="0"/>
                  <w:divBdr>
                    <w:top w:val="none" w:sz="0" w:space="0" w:color="auto"/>
                    <w:left w:val="none" w:sz="0" w:space="0" w:color="auto"/>
                    <w:bottom w:val="none" w:sz="0" w:space="0" w:color="auto"/>
                    <w:right w:val="none" w:sz="0" w:space="0" w:color="auto"/>
                  </w:divBdr>
                  <w:divsChild>
                    <w:div w:id="1483887966">
                      <w:marLeft w:val="0"/>
                      <w:marRight w:val="0"/>
                      <w:marTop w:val="0"/>
                      <w:marBottom w:val="0"/>
                      <w:divBdr>
                        <w:top w:val="none" w:sz="0" w:space="0" w:color="auto"/>
                        <w:left w:val="none" w:sz="0" w:space="0" w:color="auto"/>
                        <w:bottom w:val="none" w:sz="0" w:space="0" w:color="auto"/>
                        <w:right w:val="none" w:sz="0" w:space="0" w:color="auto"/>
                      </w:divBdr>
                    </w:div>
                  </w:divsChild>
                </w:div>
                <w:div w:id="249704598">
                  <w:marLeft w:val="0"/>
                  <w:marRight w:val="0"/>
                  <w:marTop w:val="0"/>
                  <w:marBottom w:val="0"/>
                  <w:divBdr>
                    <w:top w:val="none" w:sz="0" w:space="0" w:color="auto"/>
                    <w:left w:val="none" w:sz="0" w:space="0" w:color="auto"/>
                    <w:bottom w:val="none" w:sz="0" w:space="0" w:color="auto"/>
                    <w:right w:val="none" w:sz="0" w:space="0" w:color="auto"/>
                  </w:divBdr>
                  <w:divsChild>
                    <w:div w:id="1968470932">
                      <w:marLeft w:val="0"/>
                      <w:marRight w:val="0"/>
                      <w:marTop w:val="0"/>
                      <w:marBottom w:val="0"/>
                      <w:divBdr>
                        <w:top w:val="none" w:sz="0" w:space="0" w:color="auto"/>
                        <w:left w:val="none" w:sz="0" w:space="0" w:color="auto"/>
                        <w:bottom w:val="none" w:sz="0" w:space="0" w:color="auto"/>
                        <w:right w:val="none" w:sz="0" w:space="0" w:color="auto"/>
                      </w:divBdr>
                    </w:div>
                  </w:divsChild>
                </w:div>
                <w:div w:id="289091597">
                  <w:marLeft w:val="0"/>
                  <w:marRight w:val="0"/>
                  <w:marTop w:val="0"/>
                  <w:marBottom w:val="0"/>
                  <w:divBdr>
                    <w:top w:val="none" w:sz="0" w:space="0" w:color="auto"/>
                    <w:left w:val="none" w:sz="0" w:space="0" w:color="auto"/>
                    <w:bottom w:val="none" w:sz="0" w:space="0" w:color="auto"/>
                    <w:right w:val="none" w:sz="0" w:space="0" w:color="auto"/>
                  </w:divBdr>
                  <w:divsChild>
                    <w:div w:id="688141620">
                      <w:marLeft w:val="0"/>
                      <w:marRight w:val="0"/>
                      <w:marTop w:val="0"/>
                      <w:marBottom w:val="0"/>
                      <w:divBdr>
                        <w:top w:val="none" w:sz="0" w:space="0" w:color="auto"/>
                        <w:left w:val="none" w:sz="0" w:space="0" w:color="auto"/>
                        <w:bottom w:val="none" w:sz="0" w:space="0" w:color="auto"/>
                        <w:right w:val="none" w:sz="0" w:space="0" w:color="auto"/>
                      </w:divBdr>
                    </w:div>
                  </w:divsChild>
                </w:div>
                <w:div w:id="303001084">
                  <w:marLeft w:val="0"/>
                  <w:marRight w:val="0"/>
                  <w:marTop w:val="0"/>
                  <w:marBottom w:val="0"/>
                  <w:divBdr>
                    <w:top w:val="none" w:sz="0" w:space="0" w:color="auto"/>
                    <w:left w:val="none" w:sz="0" w:space="0" w:color="auto"/>
                    <w:bottom w:val="none" w:sz="0" w:space="0" w:color="auto"/>
                    <w:right w:val="none" w:sz="0" w:space="0" w:color="auto"/>
                  </w:divBdr>
                  <w:divsChild>
                    <w:div w:id="1247572013">
                      <w:marLeft w:val="0"/>
                      <w:marRight w:val="0"/>
                      <w:marTop w:val="0"/>
                      <w:marBottom w:val="0"/>
                      <w:divBdr>
                        <w:top w:val="none" w:sz="0" w:space="0" w:color="auto"/>
                        <w:left w:val="none" w:sz="0" w:space="0" w:color="auto"/>
                        <w:bottom w:val="none" w:sz="0" w:space="0" w:color="auto"/>
                        <w:right w:val="none" w:sz="0" w:space="0" w:color="auto"/>
                      </w:divBdr>
                    </w:div>
                  </w:divsChild>
                </w:div>
                <w:div w:id="350840874">
                  <w:marLeft w:val="0"/>
                  <w:marRight w:val="0"/>
                  <w:marTop w:val="0"/>
                  <w:marBottom w:val="0"/>
                  <w:divBdr>
                    <w:top w:val="none" w:sz="0" w:space="0" w:color="auto"/>
                    <w:left w:val="none" w:sz="0" w:space="0" w:color="auto"/>
                    <w:bottom w:val="none" w:sz="0" w:space="0" w:color="auto"/>
                    <w:right w:val="none" w:sz="0" w:space="0" w:color="auto"/>
                  </w:divBdr>
                  <w:divsChild>
                    <w:div w:id="1687247829">
                      <w:marLeft w:val="0"/>
                      <w:marRight w:val="0"/>
                      <w:marTop w:val="0"/>
                      <w:marBottom w:val="0"/>
                      <w:divBdr>
                        <w:top w:val="none" w:sz="0" w:space="0" w:color="auto"/>
                        <w:left w:val="none" w:sz="0" w:space="0" w:color="auto"/>
                        <w:bottom w:val="none" w:sz="0" w:space="0" w:color="auto"/>
                        <w:right w:val="none" w:sz="0" w:space="0" w:color="auto"/>
                      </w:divBdr>
                    </w:div>
                  </w:divsChild>
                </w:div>
                <w:div w:id="538011263">
                  <w:marLeft w:val="0"/>
                  <w:marRight w:val="0"/>
                  <w:marTop w:val="0"/>
                  <w:marBottom w:val="0"/>
                  <w:divBdr>
                    <w:top w:val="none" w:sz="0" w:space="0" w:color="auto"/>
                    <w:left w:val="none" w:sz="0" w:space="0" w:color="auto"/>
                    <w:bottom w:val="none" w:sz="0" w:space="0" w:color="auto"/>
                    <w:right w:val="none" w:sz="0" w:space="0" w:color="auto"/>
                  </w:divBdr>
                  <w:divsChild>
                    <w:div w:id="220290285">
                      <w:marLeft w:val="0"/>
                      <w:marRight w:val="0"/>
                      <w:marTop w:val="0"/>
                      <w:marBottom w:val="0"/>
                      <w:divBdr>
                        <w:top w:val="none" w:sz="0" w:space="0" w:color="auto"/>
                        <w:left w:val="none" w:sz="0" w:space="0" w:color="auto"/>
                        <w:bottom w:val="none" w:sz="0" w:space="0" w:color="auto"/>
                        <w:right w:val="none" w:sz="0" w:space="0" w:color="auto"/>
                      </w:divBdr>
                    </w:div>
                  </w:divsChild>
                </w:div>
                <w:div w:id="583028046">
                  <w:marLeft w:val="0"/>
                  <w:marRight w:val="0"/>
                  <w:marTop w:val="0"/>
                  <w:marBottom w:val="0"/>
                  <w:divBdr>
                    <w:top w:val="none" w:sz="0" w:space="0" w:color="auto"/>
                    <w:left w:val="none" w:sz="0" w:space="0" w:color="auto"/>
                    <w:bottom w:val="none" w:sz="0" w:space="0" w:color="auto"/>
                    <w:right w:val="none" w:sz="0" w:space="0" w:color="auto"/>
                  </w:divBdr>
                  <w:divsChild>
                    <w:div w:id="1123647378">
                      <w:marLeft w:val="0"/>
                      <w:marRight w:val="0"/>
                      <w:marTop w:val="0"/>
                      <w:marBottom w:val="0"/>
                      <w:divBdr>
                        <w:top w:val="none" w:sz="0" w:space="0" w:color="auto"/>
                        <w:left w:val="none" w:sz="0" w:space="0" w:color="auto"/>
                        <w:bottom w:val="none" w:sz="0" w:space="0" w:color="auto"/>
                        <w:right w:val="none" w:sz="0" w:space="0" w:color="auto"/>
                      </w:divBdr>
                    </w:div>
                  </w:divsChild>
                </w:div>
                <w:div w:id="623973323">
                  <w:marLeft w:val="0"/>
                  <w:marRight w:val="0"/>
                  <w:marTop w:val="0"/>
                  <w:marBottom w:val="0"/>
                  <w:divBdr>
                    <w:top w:val="none" w:sz="0" w:space="0" w:color="auto"/>
                    <w:left w:val="none" w:sz="0" w:space="0" w:color="auto"/>
                    <w:bottom w:val="none" w:sz="0" w:space="0" w:color="auto"/>
                    <w:right w:val="none" w:sz="0" w:space="0" w:color="auto"/>
                  </w:divBdr>
                  <w:divsChild>
                    <w:div w:id="161623061">
                      <w:marLeft w:val="0"/>
                      <w:marRight w:val="0"/>
                      <w:marTop w:val="0"/>
                      <w:marBottom w:val="0"/>
                      <w:divBdr>
                        <w:top w:val="none" w:sz="0" w:space="0" w:color="auto"/>
                        <w:left w:val="none" w:sz="0" w:space="0" w:color="auto"/>
                        <w:bottom w:val="none" w:sz="0" w:space="0" w:color="auto"/>
                        <w:right w:val="none" w:sz="0" w:space="0" w:color="auto"/>
                      </w:divBdr>
                    </w:div>
                  </w:divsChild>
                </w:div>
                <w:div w:id="682703238">
                  <w:marLeft w:val="0"/>
                  <w:marRight w:val="0"/>
                  <w:marTop w:val="0"/>
                  <w:marBottom w:val="0"/>
                  <w:divBdr>
                    <w:top w:val="none" w:sz="0" w:space="0" w:color="auto"/>
                    <w:left w:val="none" w:sz="0" w:space="0" w:color="auto"/>
                    <w:bottom w:val="none" w:sz="0" w:space="0" w:color="auto"/>
                    <w:right w:val="none" w:sz="0" w:space="0" w:color="auto"/>
                  </w:divBdr>
                  <w:divsChild>
                    <w:div w:id="728268546">
                      <w:marLeft w:val="0"/>
                      <w:marRight w:val="0"/>
                      <w:marTop w:val="0"/>
                      <w:marBottom w:val="0"/>
                      <w:divBdr>
                        <w:top w:val="none" w:sz="0" w:space="0" w:color="auto"/>
                        <w:left w:val="none" w:sz="0" w:space="0" w:color="auto"/>
                        <w:bottom w:val="none" w:sz="0" w:space="0" w:color="auto"/>
                        <w:right w:val="none" w:sz="0" w:space="0" w:color="auto"/>
                      </w:divBdr>
                    </w:div>
                  </w:divsChild>
                </w:div>
                <w:div w:id="688987438">
                  <w:marLeft w:val="0"/>
                  <w:marRight w:val="0"/>
                  <w:marTop w:val="0"/>
                  <w:marBottom w:val="0"/>
                  <w:divBdr>
                    <w:top w:val="none" w:sz="0" w:space="0" w:color="auto"/>
                    <w:left w:val="none" w:sz="0" w:space="0" w:color="auto"/>
                    <w:bottom w:val="none" w:sz="0" w:space="0" w:color="auto"/>
                    <w:right w:val="none" w:sz="0" w:space="0" w:color="auto"/>
                  </w:divBdr>
                  <w:divsChild>
                    <w:div w:id="1455101264">
                      <w:marLeft w:val="0"/>
                      <w:marRight w:val="0"/>
                      <w:marTop w:val="0"/>
                      <w:marBottom w:val="0"/>
                      <w:divBdr>
                        <w:top w:val="none" w:sz="0" w:space="0" w:color="auto"/>
                        <w:left w:val="none" w:sz="0" w:space="0" w:color="auto"/>
                        <w:bottom w:val="none" w:sz="0" w:space="0" w:color="auto"/>
                        <w:right w:val="none" w:sz="0" w:space="0" w:color="auto"/>
                      </w:divBdr>
                    </w:div>
                  </w:divsChild>
                </w:div>
                <w:div w:id="712265594">
                  <w:marLeft w:val="0"/>
                  <w:marRight w:val="0"/>
                  <w:marTop w:val="0"/>
                  <w:marBottom w:val="0"/>
                  <w:divBdr>
                    <w:top w:val="none" w:sz="0" w:space="0" w:color="auto"/>
                    <w:left w:val="none" w:sz="0" w:space="0" w:color="auto"/>
                    <w:bottom w:val="none" w:sz="0" w:space="0" w:color="auto"/>
                    <w:right w:val="none" w:sz="0" w:space="0" w:color="auto"/>
                  </w:divBdr>
                  <w:divsChild>
                    <w:div w:id="745493898">
                      <w:marLeft w:val="0"/>
                      <w:marRight w:val="0"/>
                      <w:marTop w:val="0"/>
                      <w:marBottom w:val="0"/>
                      <w:divBdr>
                        <w:top w:val="none" w:sz="0" w:space="0" w:color="auto"/>
                        <w:left w:val="none" w:sz="0" w:space="0" w:color="auto"/>
                        <w:bottom w:val="none" w:sz="0" w:space="0" w:color="auto"/>
                        <w:right w:val="none" w:sz="0" w:space="0" w:color="auto"/>
                      </w:divBdr>
                    </w:div>
                  </w:divsChild>
                </w:div>
                <w:div w:id="738094297">
                  <w:marLeft w:val="0"/>
                  <w:marRight w:val="0"/>
                  <w:marTop w:val="0"/>
                  <w:marBottom w:val="0"/>
                  <w:divBdr>
                    <w:top w:val="none" w:sz="0" w:space="0" w:color="auto"/>
                    <w:left w:val="none" w:sz="0" w:space="0" w:color="auto"/>
                    <w:bottom w:val="none" w:sz="0" w:space="0" w:color="auto"/>
                    <w:right w:val="none" w:sz="0" w:space="0" w:color="auto"/>
                  </w:divBdr>
                  <w:divsChild>
                    <w:div w:id="2077583955">
                      <w:marLeft w:val="0"/>
                      <w:marRight w:val="0"/>
                      <w:marTop w:val="0"/>
                      <w:marBottom w:val="0"/>
                      <w:divBdr>
                        <w:top w:val="none" w:sz="0" w:space="0" w:color="auto"/>
                        <w:left w:val="none" w:sz="0" w:space="0" w:color="auto"/>
                        <w:bottom w:val="none" w:sz="0" w:space="0" w:color="auto"/>
                        <w:right w:val="none" w:sz="0" w:space="0" w:color="auto"/>
                      </w:divBdr>
                    </w:div>
                  </w:divsChild>
                </w:div>
                <w:div w:id="795568818">
                  <w:marLeft w:val="0"/>
                  <w:marRight w:val="0"/>
                  <w:marTop w:val="0"/>
                  <w:marBottom w:val="0"/>
                  <w:divBdr>
                    <w:top w:val="none" w:sz="0" w:space="0" w:color="auto"/>
                    <w:left w:val="none" w:sz="0" w:space="0" w:color="auto"/>
                    <w:bottom w:val="none" w:sz="0" w:space="0" w:color="auto"/>
                    <w:right w:val="none" w:sz="0" w:space="0" w:color="auto"/>
                  </w:divBdr>
                  <w:divsChild>
                    <w:div w:id="1552036588">
                      <w:marLeft w:val="0"/>
                      <w:marRight w:val="0"/>
                      <w:marTop w:val="0"/>
                      <w:marBottom w:val="0"/>
                      <w:divBdr>
                        <w:top w:val="none" w:sz="0" w:space="0" w:color="auto"/>
                        <w:left w:val="none" w:sz="0" w:space="0" w:color="auto"/>
                        <w:bottom w:val="none" w:sz="0" w:space="0" w:color="auto"/>
                        <w:right w:val="none" w:sz="0" w:space="0" w:color="auto"/>
                      </w:divBdr>
                    </w:div>
                  </w:divsChild>
                </w:div>
                <w:div w:id="848912420">
                  <w:marLeft w:val="0"/>
                  <w:marRight w:val="0"/>
                  <w:marTop w:val="0"/>
                  <w:marBottom w:val="0"/>
                  <w:divBdr>
                    <w:top w:val="none" w:sz="0" w:space="0" w:color="auto"/>
                    <w:left w:val="none" w:sz="0" w:space="0" w:color="auto"/>
                    <w:bottom w:val="none" w:sz="0" w:space="0" w:color="auto"/>
                    <w:right w:val="none" w:sz="0" w:space="0" w:color="auto"/>
                  </w:divBdr>
                  <w:divsChild>
                    <w:div w:id="1491403394">
                      <w:marLeft w:val="0"/>
                      <w:marRight w:val="0"/>
                      <w:marTop w:val="0"/>
                      <w:marBottom w:val="0"/>
                      <w:divBdr>
                        <w:top w:val="none" w:sz="0" w:space="0" w:color="auto"/>
                        <w:left w:val="none" w:sz="0" w:space="0" w:color="auto"/>
                        <w:bottom w:val="none" w:sz="0" w:space="0" w:color="auto"/>
                        <w:right w:val="none" w:sz="0" w:space="0" w:color="auto"/>
                      </w:divBdr>
                    </w:div>
                  </w:divsChild>
                </w:div>
                <w:div w:id="929778083">
                  <w:marLeft w:val="0"/>
                  <w:marRight w:val="0"/>
                  <w:marTop w:val="0"/>
                  <w:marBottom w:val="0"/>
                  <w:divBdr>
                    <w:top w:val="none" w:sz="0" w:space="0" w:color="auto"/>
                    <w:left w:val="none" w:sz="0" w:space="0" w:color="auto"/>
                    <w:bottom w:val="none" w:sz="0" w:space="0" w:color="auto"/>
                    <w:right w:val="none" w:sz="0" w:space="0" w:color="auto"/>
                  </w:divBdr>
                  <w:divsChild>
                    <w:div w:id="1675255943">
                      <w:marLeft w:val="0"/>
                      <w:marRight w:val="0"/>
                      <w:marTop w:val="0"/>
                      <w:marBottom w:val="0"/>
                      <w:divBdr>
                        <w:top w:val="none" w:sz="0" w:space="0" w:color="auto"/>
                        <w:left w:val="none" w:sz="0" w:space="0" w:color="auto"/>
                        <w:bottom w:val="none" w:sz="0" w:space="0" w:color="auto"/>
                        <w:right w:val="none" w:sz="0" w:space="0" w:color="auto"/>
                      </w:divBdr>
                    </w:div>
                  </w:divsChild>
                </w:div>
                <w:div w:id="1016880757">
                  <w:marLeft w:val="0"/>
                  <w:marRight w:val="0"/>
                  <w:marTop w:val="0"/>
                  <w:marBottom w:val="0"/>
                  <w:divBdr>
                    <w:top w:val="none" w:sz="0" w:space="0" w:color="auto"/>
                    <w:left w:val="none" w:sz="0" w:space="0" w:color="auto"/>
                    <w:bottom w:val="none" w:sz="0" w:space="0" w:color="auto"/>
                    <w:right w:val="none" w:sz="0" w:space="0" w:color="auto"/>
                  </w:divBdr>
                  <w:divsChild>
                    <w:div w:id="1586180891">
                      <w:marLeft w:val="0"/>
                      <w:marRight w:val="0"/>
                      <w:marTop w:val="0"/>
                      <w:marBottom w:val="0"/>
                      <w:divBdr>
                        <w:top w:val="none" w:sz="0" w:space="0" w:color="auto"/>
                        <w:left w:val="none" w:sz="0" w:space="0" w:color="auto"/>
                        <w:bottom w:val="none" w:sz="0" w:space="0" w:color="auto"/>
                        <w:right w:val="none" w:sz="0" w:space="0" w:color="auto"/>
                      </w:divBdr>
                    </w:div>
                  </w:divsChild>
                </w:div>
                <w:div w:id="1163281217">
                  <w:marLeft w:val="0"/>
                  <w:marRight w:val="0"/>
                  <w:marTop w:val="0"/>
                  <w:marBottom w:val="0"/>
                  <w:divBdr>
                    <w:top w:val="none" w:sz="0" w:space="0" w:color="auto"/>
                    <w:left w:val="none" w:sz="0" w:space="0" w:color="auto"/>
                    <w:bottom w:val="none" w:sz="0" w:space="0" w:color="auto"/>
                    <w:right w:val="none" w:sz="0" w:space="0" w:color="auto"/>
                  </w:divBdr>
                  <w:divsChild>
                    <w:div w:id="1857111964">
                      <w:marLeft w:val="0"/>
                      <w:marRight w:val="0"/>
                      <w:marTop w:val="0"/>
                      <w:marBottom w:val="0"/>
                      <w:divBdr>
                        <w:top w:val="none" w:sz="0" w:space="0" w:color="auto"/>
                        <w:left w:val="none" w:sz="0" w:space="0" w:color="auto"/>
                        <w:bottom w:val="none" w:sz="0" w:space="0" w:color="auto"/>
                        <w:right w:val="none" w:sz="0" w:space="0" w:color="auto"/>
                      </w:divBdr>
                    </w:div>
                  </w:divsChild>
                </w:div>
                <w:div w:id="1235357484">
                  <w:marLeft w:val="0"/>
                  <w:marRight w:val="0"/>
                  <w:marTop w:val="0"/>
                  <w:marBottom w:val="0"/>
                  <w:divBdr>
                    <w:top w:val="none" w:sz="0" w:space="0" w:color="auto"/>
                    <w:left w:val="none" w:sz="0" w:space="0" w:color="auto"/>
                    <w:bottom w:val="none" w:sz="0" w:space="0" w:color="auto"/>
                    <w:right w:val="none" w:sz="0" w:space="0" w:color="auto"/>
                  </w:divBdr>
                  <w:divsChild>
                    <w:div w:id="178004829">
                      <w:marLeft w:val="0"/>
                      <w:marRight w:val="0"/>
                      <w:marTop w:val="0"/>
                      <w:marBottom w:val="0"/>
                      <w:divBdr>
                        <w:top w:val="none" w:sz="0" w:space="0" w:color="auto"/>
                        <w:left w:val="none" w:sz="0" w:space="0" w:color="auto"/>
                        <w:bottom w:val="none" w:sz="0" w:space="0" w:color="auto"/>
                        <w:right w:val="none" w:sz="0" w:space="0" w:color="auto"/>
                      </w:divBdr>
                    </w:div>
                  </w:divsChild>
                </w:div>
                <w:div w:id="1275940918">
                  <w:marLeft w:val="0"/>
                  <w:marRight w:val="0"/>
                  <w:marTop w:val="0"/>
                  <w:marBottom w:val="0"/>
                  <w:divBdr>
                    <w:top w:val="none" w:sz="0" w:space="0" w:color="auto"/>
                    <w:left w:val="none" w:sz="0" w:space="0" w:color="auto"/>
                    <w:bottom w:val="none" w:sz="0" w:space="0" w:color="auto"/>
                    <w:right w:val="none" w:sz="0" w:space="0" w:color="auto"/>
                  </w:divBdr>
                  <w:divsChild>
                    <w:div w:id="1711757684">
                      <w:marLeft w:val="0"/>
                      <w:marRight w:val="0"/>
                      <w:marTop w:val="0"/>
                      <w:marBottom w:val="0"/>
                      <w:divBdr>
                        <w:top w:val="none" w:sz="0" w:space="0" w:color="auto"/>
                        <w:left w:val="none" w:sz="0" w:space="0" w:color="auto"/>
                        <w:bottom w:val="none" w:sz="0" w:space="0" w:color="auto"/>
                        <w:right w:val="none" w:sz="0" w:space="0" w:color="auto"/>
                      </w:divBdr>
                    </w:div>
                  </w:divsChild>
                </w:div>
                <w:div w:id="1363750930">
                  <w:marLeft w:val="0"/>
                  <w:marRight w:val="0"/>
                  <w:marTop w:val="0"/>
                  <w:marBottom w:val="0"/>
                  <w:divBdr>
                    <w:top w:val="none" w:sz="0" w:space="0" w:color="auto"/>
                    <w:left w:val="none" w:sz="0" w:space="0" w:color="auto"/>
                    <w:bottom w:val="none" w:sz="0" w:space="0" w:color="auto"/>
                    <w:right w:val="none" w:sz="0" w:space="0" w:color="auto"/>
                  </w:divBdr>
                  <w:divsChild>
                    <w:div w:id="2025473595">
                      <w:marLeft w:val="0"/>
                      <w:marRight w:val="0"/>
                      <w:marTop w:val="0"/>
                      <w:marBottom w:val="0"/>
                      <w:divBdr>
                        <w:top w:val="none" w:sz="0" w:space="0" w:color="auto"/>
                        <w:left w:val="none" w:sz="0" w:space="0" w:color="auto"/>
                        <w:bottom w:val="none" w:sz="0" w:space="0" w:color="auto"/>
                        <w:right w:val="none" w:sz="0" w:space="0" w:color="auto"/>
                      </w:divBdr>
                    </w:div>
                  </w:divsChild>
                </w:div>
                <w:div w:id="1444499013">
                  <w:marLeft w:val="0"/>
                  <w:marRight w:val="0"/>
                  <w:marTop w:val="0"/>
                  <w:marBottom w:val="0"/>
                  <w:divBdr>
                    <w:top w:val="none" w:sz="0" w:space="0" w:color="auto"/>
                    <w:left w:val="none" w:sz="0" w:space="0" w:color="auto"/>
                    <w:bottom w:val="none" w:sz="0" w:space="0" w:color="auto"/>
                    <w:right w:val="none" w:sz="0" w:space="0" w:color="auto"/>
                  </w:divBdr>
                  <w:divsChild>
                    <w:div w:id="1494104153">
                      <w:marLeft w:val="0"/>
                      <w:marRight w:val="0"/>
                      <w:marTop w:val="0"/>
                      <w:marBottom w:val="0"/>
                      <w:divBdr>
                        <w:top w:val="none" w:sz="0" w:space="0" w:color="auto"/>
                        <w:left w:val="none" w:sz="0" w:space="0" w:color="auto"/>
                        <w:bottom w:val="none" w:sz="0" w:space="0" w:color="auto"/>
                        <w:right w:val="none" w:sz="0" w:space="0" w:color="auto"/>
                      </w:divBdr>
                    </w:div>
                  </w:divsChild>
                </w:div>
                <w:div w:id="1710911448">
                  <w:marLeft w:val="0"/>
                  <w:marRight w:val="0"/>
                  <w:marTop w:val="0"/>
                  <w:marBottom w:val="0"/>
                  <w:divBdr>
                    <w:top w:val="none" w:sz="0" w:space="0" w:color="auto"/>
                    <w:left w:val="none" w:sz="0" w:space="0" w:color="auto"/>
                    <w:bottom w:val="none" w:sz="0" w:space="0" w:color="auto"/>
                    <w:right w:val="none" w:sz="0" w:space="0" w:color="auto"/>
                  </w:divBdr>
                  <w:divsChild>
                    <w:div w:id="615219108">
                      <w:marLeft w:val="0"/>
                      <w:marRight w:val="0"/>
                      <w:marTop w:val="0"/>
                      <w:marBottom w:val="0"/>
                      <w:divBdr>
                        <w:top w:val="none" w:sz="0" w:space="0" w:color="auto"/>
                        <w:left w:val="none" w:sz="0" w:space="0" w:color="auto"/>
                        <w:bottom w:val="none" w:sz="0" w:space="0" w:color="auto"/>
                        <w:right w:val="none" w:sz="0" w:space="0" w:color="auto"/>
                      </w:divBdr>
                    </w:div>
                  </w:divsChild>
                </w:div>
                <w:div w:id="1711808070">
                  <w:marLeft w:val="0"/>
                  <w:marRight w:val="0"/>
                  <w:marTop w:val="0"/>
                  <w:marBottom w:val="0"/>
                  <w:divBdr>
                    <w:top w:val="none" w:sz="0" w:space="0" w:color="auto"/>
                    <w:left w:val="none" w:sz="0" w:space="0" w:color="auto"/>
                    <w:bottom w:val="none" w:sz="0" w:space="0" w:color="auto"/>
                    <w:right w:val="none" w:sz="0" w:space="0" w:color="auto"/>
                  </w:divBdr>
                  <w:divsChild>
                    <w:div w:id="1689257053">
                      <w:marLeft w:val="0"/>
                      <w:marRight w:val="0"/>
                      <w:marTop w:val="0"/>
                      <w:marBottom w:val="0"/>
                      <w:divBdr>
                        <w:top w:val="none" w:sz="0" w:space="0" w:color="auto"/>
                        <w:left w:val="none" w:sz="0" w:space="0" w:color="auto"/>
                        <w:bottom w:val="none" w:sz="0" w:space="0" w:color="auto"/>
                        <w:right w:val="none" w:sz="0" w:space="0" w:color="auto"/>
                      </w:divBdr>
                    </w:div>
                  </w:divsChild>
                </w:div>
                <w:div w:id="1734231892">
                  <w:marLeft w:val="0"/>
                  <w:marRight w:val="0"/>
                  <w:marTop w:val="0"/>
                  <w:marBottom w:val="0"/>
                  <w:divBdr>
                    <w:top w:val="none" w:sz="0" w:space="0" w:color="auto"/>
                    <w:left w:val="none" w:sz="0" w:space="0" w:color="auto"/>
                    <w:bottom w:val="none" w:sz="0" w:space="0" w:color="auto"/>
                    <w:right w:val="none" w:sz="0" w:space="0" w:color="auto"/>
                  </w:divBdr>
                  <w:divsChild>
                    <w:div w:id="192767516">
                      <w:marLeft w:val="0"/>
                      <w:marRight w:val="0"/>
                      <w:marTop w:val="0"/>
                      <w:marBottom w:val="0"/>
                      <w:divBdr>
                        <w:top w:val="none" w:sz="0" w:space="0" w:color="auto"/>
                        <w:left w:val="none" w:sz="0" w:space="0" w:color="auto"/>
                        <w:bottom w:val="none" w:sz="0" w:space="0" w:color="auto"/>
                        <w:right w:val="none" w:sz="0" w:space="0" w:color="auto"/>
                      </w:divBdr>
                    </w:div>
                  </w:divsChild>
                </w:div>
                <w:div w:id="2000310105">
                  <w:marLeft w:val="0"/>
                  <w:marRight w:val="0"/>
                  <w:marTop w:val="0"/>
                  <w:marBottom w:val="0"/>
                  <w:divBdr>
                    <w:top w:val="none" w:sz="0" w:space="0" w:color="auto"/>
                    <w:left w:val="none" w:sz="0" w:space="0" w:color="auto"/>
                    <w:bottom w:val="none" w:sz="0" w:space="0" w:color="auto"/>
                    <w:right w:val="none" w:sz="0" w:space="0" w:color="auto"/>
                  </w:divBdr>
                  <w:divsChild>
                    <w:div w:id="1302690194">
                      <w:marLeft w:val="0"/>
                      <w:marRight w:val="0"/>
                      <w:marTop w:val="0"/>
                      <w:marBottom w:val="0"/>
                      <w:divBdr>
                        <w:top w:val="none" w:sz="0" w:space="0" w:color="auto"/>
                        <w:left w:val="none" w:sz="0" w:space="0" w:color="auto"/>
                        <w:bottom w:val="none" w:sz="0" w:space="0" w:color="auto"/>
                        <w:right w:val="none" w:sz="0" w:space="0" w:color="auto"/>
                      </w:divBdr>
                    </w:div>
                  </w:divsChild>
                </w:div>
                <w:div w:id="2015495495">
                  <w:marLeft w:val="0"/>
                  <w:marRight w:val="0"/>
                  <w:marTop w:val="0"/>
                  <w:marBottom w:val="0"/>
                  <w:divBdr>
                    <w:top w:val="none" w:sz="0" w:space="0" w:color="auto"/>
                    <w:left w:val="none" w:sz="0" w:space="0" w:color="auto"/>
                    <w:bottom w:val="none" w:sz="0" w:space="0" w:color="auto"/>
                    <w:right w:val="none" w:sz="0" w:space="0" w:color="auto"/>
                  </w:divBdr>
                  <w:divsChild>
                    <w:div w:id="217858236">
                      <w:marLeft w:val="0"/>
                      <w:marRight w:val="0"/>
                      <w:marTop w:val="0"/>
                      <w:marBottom w:val="0"/>
                      <w:divBdr>
                        <w:top w:val="none" w:sz="0" w:space="0" w:color="auto"/>
                        <w:left w:val="none" w:sz="0" w:space="0" w:color="auto"/>
                        <w:bottom w:val="none" w:sz="0" w:space="0" w:color="auto"/>
                        <w:right w:val="none" w:sz="0" w:space="0" w:color="auto"/>
                      </w:divBdr>
                    </w:div>
                  </w:divsChild>
                </w:div>
                <w:div w:id="2077624287">
                  <w:marLeft w:val="0"/>
                  <w:marRight w:val="0"/>
                  <w:marTop w:val="0"/>
                  <w:marBottom w:val="0"/>
                  <w:divBdr>
                    <w:top w:val="none" w:sz="0" w:space="0" w:color="auto"/>
                    <w:left w:val="none" w:sz="0" w:space="0" w:color="auto"/>
                    <w:bottom w:val="none" w:sz="0" w:space="0" w:color="auto"/>
                    <w:right w:val="none" w:sz="0" w:space="0" w:color="auto"/>
                  </w:divBdr>
                  <w:divsChild>
                    <w:div w:id="16644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0586">
          <w:marLeft w:val="0"/>
          <w:marRight w:val="0"/>
          <w:marTop w:val="0"/>
          <w:marBottom w:val="0"/>
          <w:divBdr>
            <w:top w:val="none" w:sz="0" w:space="0" w:color="auto"/>
            <w:left w:val="none" w:sz="0" w:space="0" w:color="auto"/>
            <w:bottom w:val="none" w:sz="0" w:space="0" w:color="auto"/>
            <w:right w:val="none" w:sz="0" w:space="0" w:color="auto"/>
          </w:divBdr>
        </w:div>
        <w:div w:id="956764462">
          <w:marLeft w:val="0"/>
          <w:marRight w:val="0"/>
          <w:marTop w:val="0"/>
          <w:marBottom w:val="0"/>
          <w:divBdr>
            <w:top w:val="none" w:sz="0" w:space="0" w:color="auto"/>
            <w:left w:val="none" w:sz="0" w:space="0" w:color="auto"/>
            <w:bottom w:val="none" w:sz="0" w:space="0" w:color="auto"/>
            <w:right w:val="none" w:sz="0" w:space="0" w:color="auto"/>
          </w:divBdr>
        </w:div>
        <w:div w:id="960184778">
          <w:marLeft w:val="0"/>
          <w:marRight w:val="0"/>
          <w:marTop w:val="0"/>
          <w:marBottom w:val="0"/>
          <w:divBdr>
            <w:top w:val="none" w:sz="0" w:space="0" w:color="auto"/>
            <w:left w:val="none" w:sz="0" w:space="0" w:color="auto"/>
            <w:bottom w:val="none" w:sz="0" w:space="0" w:color="auto"/>
            <w:right w:val="none" w:sz="0" w:space="0" w:color="auto"/>
          </w:divBdr>
        </w:div>
        <w:div w:id="964850165">
          <w:marLeft w:val="0"/>
          <w:marRight w:val="0"/>
          <w:marTop w:val="0"/>
          <w:marBottom w:val="0"/>
          <w:divBdr>
            <w:top w:val="none" w:sz="0" w:space="0" w:color="auto"/>
            <w:left w:val="none" w:sz="0" w:space="0" w:color="auto"/>
            <w:bottom w:val="none" w:sz="0" w:space="0" w:color="auto"/>
            <w:right w:val="none" w:sz="0" w:space="0" w:color="auto"/>
          </w:divBdr>
        </w:div>
        <w:div w:id="994989983">
          <w:marLeft w:val="0"/>
          <w:marRight w:val="0"/>
          <w:marTop w:val="0"/>
          <w:marBottom w:val="0"/>
          <w:divBdr>
            <w:top w:val="none" w:sz="0" w:space="0" w:color="auto"/>
            <w:left w:val="none" w:sz="0" w:space="0" w:color="auto"/>
            <w:bottom w:val="none" w:sz="0" w:space="0" w:color="auto"/>
            <w:right w:val="none" w:sz="0" w:space="0" w:color="auto"/>
          </w:divBdr>
        </w:div>
        <w:div w:id="1020282717">
          <w:marLeft w:val="0"/>
          <w:marRight w:val="0"/>
          <w:marTop w:val="0"/>
          <w:marBottom w:val="0"/>
          <w:divBdr>
            <w:top w:val="none" w:sz="0" w:space="0" w:color="auto"/>
            <w:left w:val="none" w:sz="0" w:space="0" w:color="auto"/>
            <w:bottom w:val="none" w:sz="0" w:space="0" w:color="auto"/>
            <w:right w:val="none" w:sz="0" w:space="0" w:color="auto"/>
          </w:divBdr>
          <w:divsChild>
            <w:div w:id="1348291197">
              <w:marLeft w:val="-75"/>
              <w:marRight w:val="0"/>
              <w:marTop w:val="30"/>
              <w:marBottom w:val="30"/>
              <w:divBdr>
                <w:top w:val="none" w:sz="0" w:space="0" w:color="auto"/>
                <w:left w:val="none" w:sz="0" w:space="0" w:color="auto"/>
                <w:bottom w:val="none" w:sz="0" w:space="0" w:color="auto"/>
                <w:right w:val="none" w:sz="0" w:space="0" w:color="auto"/>
              </w:divBdr>
              <w:divsChild>
                <w:div w:id="21710662">
                  <w:marLeft w:val="0"/>
                  <w:marRight w:val="0"/>
                  <w:marTop w:val="0"/>
                  <w:marBottom w:val="0"/>
                  <w:divBdr>
                    <w:top w:val="none" w:sz="0" w:space="0" w:color="auto"/>
                    <w:left w:val="none" w:sz="0" w:space="0" w:color="auto"/>
                    <w:bottom w:val="none" w:sz="0" w:space="0" w:color="auto"/>
                    <w:right w:val="none" w:sz="0" w:space="0" w:color="auto"/>
                  </w:divBdr>
                  <w:divsChild>
                    <w:div w:id="132254781">
                      <w:marLeft w:val="0"/>
                      <w:marRight w:val="0"/>
                      <w:marTop w:val="0"/>
                      <w:marBottom w:val="0"/>
                      <w:divBdr>
                        <w:top w:val="none" w:sz="0" w:space="0" w:color="auto"/>
                        <w:left w:val="none" w:sz="0" w:space="0" w:color="auto"/>
                        <w:bottom w:val="none" w:sz="0" w:space="0" w:color="auto"/>
                        <w:right w:val="none" w:sz="0" w:space="0" w:color="auto"/>
                      </w:divBdr>
                    </w:div>
                  </w:divsChild>
                </w:div>
                <w:div w:id="67968901">
                  <w:marLeft w:val="0"/>
                  <w:marRight w:val="0"/>
                  <w:marTop w:val="0"/>
                  <w:marBottom w:val="0"/>
                  <w:divBdr>
                    <w:top w:val="none" w:sz="0" w:space="0" w:color="auto"/>
                    <w:left w:val="none" w:sz="0" w:space="0" w:color="auto"/>
                    <w:bottom w:val="none" w:sz="0" w:space="0" w:color="auto"/>
                    <w:right w:val="none" w:sz="0" w:space="0" w:color="auto"/>
                  </w:divBdr>
                  <w:divsChild>
                    <w:div w:id="1912617354">
                      <w:marLeft w:val="0"/>
                      <w:marRight w:val="0"/>
                      <w:marTop w:val="0"/>
                      <w:marBottom w:val="0"/>
                      <w:divBdr>
                        <w:top w:val="none" w:sz="0" w:space="0" w:color="auto"/>
                        <w:left w:val="none" w:sz="0" w:space="0" w:color="auto"/>
                        <w:bottom w:val="none" w:sz="0" w:space="0" w:color="auto"/>
                        <w:right w:val="none" w:sz="0" w:space="0" w:color="auto"/>
                      </w:divBdr>
                    </w:div>
                  </w:divsChild>
                </w:div>
                <w:div w:id="118691084">
                  <w:marLeft w:val="0"/>
                  <w:marRight w:val="0"/>
                  <w:marTop w:val="0"/>
                  <w:marBottom w:val="0"/>
                  <w:divBdr>
                    <w:top w:val="none" w:sz="0" w:space="0" w:color="auto"/>
                    <w:left w:val="none" w:sz="0" w:space="0" w:color="auto"/>
                    <w:bottom w:val="none" w:sz="0" w:space="0" w:color="auto"/>
                    <w:right w:val="none" w:sz="0" w:space="0" w:color="auto"/>
                  </w:divBdr>
                  <w:divsChild>
                    <w:div w:id="11566482">
                      <w:marLeft w:val="0"/>
                      <w:marRight w:val="0"/>
                      <w:marTop w:val="0"/>
                      <w:marBottom w:val="0"/>
                      <w:divBdr>
                        <w:top w:val="none" w:sz="0" w:space="0" w:color="auto"/>
                        <w:left w:val="none" w:sz="0" w:space="0" w:color="auto"/>
                        <w:bottom w:val="none" w:sz="0" w:space="0" w:color="auto"/>
                        <w:right w:val="none" w:sz="0" w:space="0" w:color="auto"/>
                      </w:divBdr>
                    </w:div>
                  </w:divsChild>
                </w:div>
                <w:div w:id="448595365">
                  <w:marLeft w:val="0"/>
                  <w:marRight w:val="0"/>
                  <w:marTop w:val="0"/>
                  <w:marBottom w:val="0"/>
                  <w:divBdr>
                    <w:top w:val="none" w:sz="0" w:space="0" w:color="auto"/>
                    <w:left w:val="none" w:sz="0" w:space="0" w:color="auto"/>
                    <w:bottom w:val="none" w:sz="0" w:space="0" w:color="auto"/>
                    <w:right w:val="none" w:sz="0" w:space="0" w:color="auto"/>
                  </w:divBdr>
                  <w:divsChild>
                    <w:div w:id="849829021">
                      <w:marLeft w:val="0"/>
                      <w:marRight w:val="0"/>
                      <w:marTop w:val="0"/>
                      <w:marBottom w:val="0"/>
                      <w:divBdr>
                        <w:top w:val="none" w:sz="0" w:space="0" w:color="auto"/>
                        <w:left w:val="none" w:sz="0" w:space="0" w:color="auto"/>
                        <w:bottom w:val="none" w:sz="0" w:space="0" w:color="auto"/>
                        <w:right w:val="none" w:sz="0" w:space="0" w:color="auto"/>
                      </w:divBdr>
                    </w:div>
                  </w:divsChild>
                </w:div>
                <w:div w:id="524561358">
                  <w:marLeft w:val="0"/>
                  <w:marRight w:val="0"/>
                  <w:marTop w:val="0"/>
                  <w:marBottom w:val="0"/>
                  <w:divBdr>
                    <w:top w:val="none" w:sz="0" w:space="0" w:color="auto"/>
                    <w:left w:val="none" w:sz="0" w:space="0" w:color="auto"/>
                    <w:bottom w:val="none" w:sz="0" w:space="0" w:color="auto"/>
                    <w:right w:val="none" w:sz="0" w:space="0" w:color="auto"/>
                  </w:divBdr>
                  <w:divsChild>
                    <w:div w:id="1329675449">
                      <w:marLeft w:val="0"/>
                      <w:marRight w:val="0"/>
                      <w:marTop w:val="0"/>
                      <w:marBottom w:val="0"/>
                      <w:divBdr>
                        <w:top w:val="none" w:sz="0" w:space="0" w:color="auto"/>
                        <w:left w:val="none" w:sz="0" w:space="0" w:color="auto"/>
                        <w:bottom w:val="none" w:sz="0" w:space="0" w:color="auto"/>
                        <w:right w:val="none" w:sz="0" w:space="0" w:color="auto"/>
                      </w:divBdr>
                    </w:div>
                  </w:divsChild>
                </w:div>
                <w:div w:id="661156289">
                  <w:marLeft w:val="0"/>
                  <w:marRight w:val="0"/>
                  <w:marTop w:val="0"/>
                  <w:marBottom w:val="0"/>
                  <w:divBdr>
                    <w:top w:val="none" w:sz="0" w:space="0" w:color="auto"/>
                    <w:left w:val="none" w:sz="0" w:space="0" w:color="auto"/>
                    <w:bottom w:val="none" w:sz="0" w:space="0" w:color="auto"/>
                    <w:right w:val="none" w:sz="0" w:space="0" w:color="auto"/>
                  </w:divBdr>
                  <w:divsChild>
                    <w:div w:id="230043102">
                      <w:marLeft w:val="0"/>
                      <w:marRight w:val="0"/>
                      <w:marTop w:val="0"/>
                      <w:marBottom w:val="0"/>
                      <w:divBdr>
                        <w:top w:val="none" w:sz="0" w:space="0" w:color="auto"/>
                        <w:left w:val="none" w:sz="0" w:space="0" w:color="auto"/>
                        <w:bottom w:val="none" w:sz="0" w:space="0" w:color="auto"/>
                        <w:right w:val="none" w:sz="0" w:space="0" w:color="auto"/>
                      </w:divBdr>
                    </w:div>
                  </w:divsChild>
                </w:div>
                <w:div w:id="972061752">
                  <w:marLeft w:val="0"/>
                  <w:marRight w:val="0"/>
                  <w:marTop w:val="0"/>
                  <w:marBottom w:val="0"/>
                  <w:divBdr>
                    <w:top w:val="none" w:sz="0" w:space="0" w:color="auto"/>
                    <w:left w:val="none" w:sz="0" w:space="0" w:color="auto"/>
                    <w:bottom w:val="none" w:sz="0" w:space="0" w:color="auto"/>
                    <w:right w:val="none" w:sz="0" w:space="0" w:color="auto"/>
                  </w:divBdr>
                  <w:divsChild>
                    <w:div w:id="1921669301">
                      <w:marLeft w:val="0"/>
                      <w:marRight w:val="0"/>
                      <w:marTop w:val="0"/>
                      <w:marBottom w:val="0"/>
                      <w:divBdr>
                        <w:top w:val="none" w:sz="0" w:space="0" w:color="auto"/>
                        <w:left w:val="none" w:sz="0" w:space="0" w:color="auto"/>
                        <w:bottom w:val="none" w:sz="0" w:space="0" w:color="auto"/>
                        <w:right w:val="none" w:sz="0" w:space="0" w:color="auto"/>
                      </w:divBdr>
                    </w:div>
                  </w:divsChild>
                </w:div>
                <w:div w:id="1294826361">
                  <w:marLeft w:val="0"/>
                  <w:marRight w:val="0"/>
                  <w:marTop w:val="0"/>
                  <w:marBottom w:val="0"/>
                  <w:divBdr>
                    <w:top w:val="none" w:sz="0" w:space="0" w:color="auto"/>
                    <w:left w:val="none" w:sz="0" w:space="0" w:color="auto"/>
                    <w:bottom w:val="none" w:sz="0" w:space="0" w:color="auto"/>
                    <w:right w:val="none" w:sz="0" w:space="0" w:color="auto"/>
                  </w:divBdr>
                  <w:divsChild>
                    <w:div w:id="407725882">
                      <w:marLeft w:val="0"/>
                      <w:marRight w:val="0"/>
                      <w:marTop w:val="0"/>
                      <w:marBottom w:val="0"/>
                      <w:divBdr>
                        <w:top w:val="none" w:sz="0" w:space="0" w:color="auto"/>
                        <w:left w:val="none" w:sz="0" w:space="0" w:color="auto"/>
                        <w:bottom w:val="none" w:sz="0" w:space="0" w:color="auto"/>
                        <w:right w:val="none" w:sz="0" w:space="0" w:color="auto"/>
                      </w:divBdr>
                    </w:div>
                  </w:divsChild>
                </w:div>
                <w:div w:id="1382635626">
                  <w:marLeft w:val="0"/>
                  <w:marRight w:val="0"/>
                  <w:marTop w:val="0"/>
                  <w:marBottom w:val="0"/>
                  <w:divBdr>
                    <w:top w:val="none" w:sz="0" w:space="0" w:color="auto"/>
                    <w:left w:val="none" w:sz="0" w:space="0" w:color="auto"/>
                    <w:bottom w:val="none" w:sz="0" w:space="0" w:color="auto"/>
                    <w:right w:val="none" w:sz="0" w:space="0" w:color="auto"/>
                  </w:divBdr>
                  <w:divsChild>
                    <w:div w:id="1609772634">
                      <w:marLeft w:val="0"/>
                      <w:marRight w:val="0"/>
                      <w:marTop w:val="0"/>
                      <w:marBottom w:val="0"/>
                      <w:divBdr>
                        <w:top w:val="none" w:sz="0" w:space="0" w:color="auto"/>
                        <w:left w:val="none" w:sz="0" w:space="0" w:color="auto"/>
                        <w:bottom w:val="none" w:sz="0" w:space="0" w:color="auto"/>
                        <w:right w:val="none" w:sz="0" w:space="0" w:color="auto"/>
                      </w:divBdr>
                    </w:div>
                  </w:divsChild>
                </w:div>
                <w:div w:id="1783917121">
                  <w:marLeft w:val="0"/>
                  <w:marRight w:val="0"/>
                  <w:marTop w:val="0"/>
                  <w:marBottom w:val="0"/>
                  <w:divBdr>
                    <w:top w:val="none" w:sz="0" w:space="0" w:color="auto"/>
                    <w:left w:val="none" w:sz="0" w:space="0" w:color="auto"/>
                    <w:bottom w:val="none" w:sz="0" w:space="0" w:color="auto"/>
                    <w:right w:val="none" w:sz="0" w:space="0" w:color="auto"/>
                  </w:divBdr>
                  <w:divsChild>
                    <w:div w:id="144317384">
                      <w:marLeft w:val="0"/>
                      <w:marRight w:val="0"/>
                      <w:marTop w:val="0"/>
                      <w:marBottom w:val="0"/>
                      <w:divBdr>
                        <w:top w:val="none" w:sz="0" w:space="0" w:color="auto"/>
                        <w:left w:val="none" w:sz="0" w:space="0" w:color="auto"/>
                        <w:bottom w:val="none" w:sz="0" w:space="0" w:color="auto"/>
                        <w:right w:val="none" w:sz="0" w:space="0" w:color="auto"/>
                      </w:divBdr>
                    </w:div>
                  </w:divsChild>
                </w:div>
                <w:div w:id="1822426027">
                  <w:marLeft w:val="0"/>
                  <w:marRight w:val="0"/>
                  <w:marTop w:val="0"/>
                  <w:marBottom w:val="0"/>
                  <w:divBdr>
                    <w:top w:val="none" w:sz="0" w:space="0" w:color="auto"/>
                    <w:left w:val="none" w:sz="0" w:space="0" w:color="auto"/>
                    <w:bottom w:val="none" w:sz="0" w:space="0" w:color="auto"/>
                    <w:right w:val="none" w:sz="0" w:space="0" w:color="auto"/>
                  </w:divBdr>
                  <w:divsChild>
                    <w:div w:id="1431315958">
                      <w:marLeft w:val="0"/>
                      <w:marRight w:val="0"/>
                      <w:marTop w:val="0"/>
                      <w:marBottom w:val="0"/>
                      <w:divBdr>
                        <w:top w:val="none" w:sz="0" w:space="0" w:color="auto"/>
                        <w:left w:val="none" w:sz="0" w:space="0" w:color="auto"/>
                        <w:bottom w:val="none" w:sz="0" w:space="0" w:color="auto"/>
                        <w:right w:val="none" w:sz="0" w:space="0" w:color="auto"/>
                      </w:divBdr>
                    </w:div>
                  </w:divsChild>
                </w:div>
                <w:div w:id="1929999762">
                  <w:marLeft w:val="0"/>
                  <w:marRight w:val="0"/>
                  <w:marTop w:val="0"/>
                  <w:marBottom w:val="0"/>
                  <w:divBdr>
                    <w:top w:val="none" w:sz="0" w:space="0" w:color="auto"/>
                    <w:left w:val="none" w:sz="0" w:space="0" w:color="auto"/>
                    <w:bottom w:val="none" w:sz="0" w:space="0" w:color="auto"/>
                    <w:right w:val="none" w:sz="0" w:space="0" w:color="auto"/>
                  </w:divBdr>
                  <w:divsChild>
                    <w:div w:id="2560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3239">
          <w:marLeft w:val="0"/>
          <w:marRight w:val="0"/>
          <w:marTop w:val="0"/>
          <w:marBottom w:val="0"/>
          <w:divBdr>
            <w:top w:val="none" w:sz="0" w:space="0" w:color="auto"/>
            <w:left w:val="none" w:sz="0" w:space="0" w:color="auto"/>
            <w:bottom w:val="none" w:sz="0" w:space="0" w:color="auto"/>
            <w:right w:val="none" w:sz="0" w:space="0" w:color="auto"/>
          </w:divBdr>
        </w:div>
        <w:div w:id="1059397307">
          <w:marLeft w:val="0"/>
          <w:marRight w:val="0"/>
          <w:marTop w:val="0"/>
          <w:marBottom w:val="0"/>
          <w:divBdr>
            <w:top w:val="none" w:sz="0" w:space="0" w:color="auto"/>
            <w:left w:val="none" w:sz="0" w:space="0" w:color="auto"/>
            <w:bottom w:val="none" w:sz="0" w:space="0" w:color="auto"/>
            <w:right w:val="none" w:sz="0" w:space="0" w:color="auto"/>
          </w:divBdr>
        </w:div>
        <w:div w:id="1072967194">
          <w:marLeft w:val="0"/>
          <w:marRight w:val="0"/>
          <w:marTop w:val="0"/>
          <w:marBottom w:val="0"/>
          <w:divBdr>
            <w:top w:val="none" w:sz="0" w:space="0" w:color="auto"/>
            <w:left w:val="none" w:sz="0" w:space="0" w:color="auto"/>
            <w:bottom w:val="none" w:sz="0" w:space="0" w:color="auto"/>
            <w:right w:val="none" w:sz="0" w:space="0" w:color="auto"/>
          </w:divBdr>
        </w:div>
        <w:div w:id="1075474919">
          <w:marLeft w:val="0"/>
          <w:marRight w:val="0"/>
          <w:marTop w:val="0"/>
          <w:marBottom w:val="0"/>
          <w:divBdr>
            <w:top w:val="none" w:sz="0" w:space="0" w:color="auto"/>
            <w:left w:val="none" w:sz="0" w:space="0" w:color="auto"/>
            <w:bottom w:val="none" w:sz="0" w:space="0" w:color="auto"/>
            <w:right w:val="none" w:sz="0" w:space="0" w:color="auto"/>
          </w:divBdr>
        </w:div>
        <w:div w:id="1085341714">
          <w:marLeft w:val="0"/>
          <w:marRight w:val="0"/>
          <w:marTop w:val="0"/>
          <w:marBottom w:val="0"/>
          <w:divBdr>
            <w:top w:val="none" w:sz="0" w:space="0" w:color="auto"/>
            <w:left w:val="none" w:sz="0" w:space="0" w:color="auto"/>
            <w:bottom w:val="none" w:sz="0" w:space="0" w:color="auto"/>
            <w:right w:val="none" w:sz="0" w:space="0" w:color="auto"/>
          </w:divBdr>
        </w:div>
        <w:div w:id="1086416322">
          <w:marLeft w:val="0"/>
          <w:marRight w:val="0"/>
          <w:marTop w:val="0"/>
          <w:marBottom w:val="0"/>
          <w:divBdr>
            <w:top w:val="none" w:sz="0" w:space="0" w:color="auto"/>
            <w:left w:val="none" w:sz="0" w:space="0" w:color="auto"/>
            <w:bottom w:val="none" w:sz="0" w:space="0" w:color="auto"/>
            <w:right w:val="none" w:sz="0" w:space="0" w:color="auto"/>
          </w:divBdr>
        </w:div>
        <w:div w:id="1094090652">
          <w:marLeft w:val="0"/>
          <w:marRight w:val="0"/>
          <w:marTop w:val="0"/>
          <w:marBottom w:val="0"/>
          <w:divBdr>
            <w:top w:val="none" w:sz="0" w:space="0" w:color="auto"/>
            <w:left w:val="none" w:sz="0" w:space="0" w:color="auto"/>
            <w:bottom w:val="none" w:sz="0" w:space="0" w:color="auto"/>
            <w:right w:val="none" w:sz="0" w:space="0" w:color="auto"/>
          </w:divBdr>
          <w:divsChild>
            <w:div w:id="203103396">
              <w:marLeft w:val="0"/>
              <w:marRight w:val="0"/>
              <w:marTop w:val="0"/>
              <w:marBottom w:val="0"/>
              <w:divBdr>
                <w:top w:val="none" w:sz="0" w:space="0" w:color="auto"/>
                <w:left w:val="none" w:sz="0" w:space="0" w:color="auto"/>
                <w:bottom w:val="none" w:sz="0" w:space="0" w:color="auto"/>
                <w:right w:val="none" w:sz="0" w:space="0" w:color="auto"/>
              </w:divBdr>
            </w:div>
            <w:div w:id="259686298">
              <w:marLeft w:val="0"/>
              <w:marRight w:val="0"/>
              <w:marTop w:val="0"/>
              <w:marBottom w:val="0"/>
              <w:divBdr>
                <w:top w:val="none" w:sz="0" w:space="0" w:color="auto"/>
                <w:left w:val="none" w:sz="0" w:space="0" w:color="auto"/>
                <w:bottom w:val="none" w:sz="0" w:space="0" w:color="auto"/>
                <w:right w:val="none" w:sz="0" w:space="0" w:color="auto"/>
              </w:divBdr>
            </w:div>
            <w:div w:id="372074465">
              <w:marLeft w:val="0"/>
              <w:marRight w:val="0"/>
              <w:marTop w:val="0"/>
              <w:marBottom w:val="0"/>
              <w:divBdr>
                <w:top w:val="none" w:sz="0" w:space="0" w:color="auto"/>
                <w:left w:val="none" w:sz="0" w:space="0" w:color="auto"/>
                <w:bottom w:val="none" w:sz="0" w:space="0" w:color="auto"/>
                <w:right w:val="none" w:sz="0" w:space="0" w:color="auto"/>
              </w:divBdr>
            </w:div>
            <w:div w:id="397292930">
              <w:marLeft w:val="0"/>
              <w:marRight w:val="0"/>
              <w:marTop w:val="0"/>
              <w:marBottom w:val="0"/>
              <w:divBdr>
                <w:top w:val="none" w:sz="0" w:space="0" w:color="auto"/>
                <w:left w:val="none" w:sz="0" w:space="0" w:color="auto"/>
                <w:bottom w:val="none" w:sz="0" w:space="0" w:color="auto"/>
                <w:right w:val="none" w:sz="0" w:space="0" w:color="auto"/>
              </w:divBdr>
            </w:div>
            <w:div w:id="724833999">
              <w:marLeft w:val="0"/>
              <w:marRight w:val="0"/>
              <w:marTop w:val="0"/>
              <w:marBottom w:val="0"/>
              <w:divBdr>
                <w:top w:val="none" w:sz="0" w:space="0" w:color="auto"/>
                <w:left w:val="none" w:sz="0" w:space="0" w:color="auto"/>
                <w:bottom w:val="none" w:sz="0" w:space="0" w:color="auto"/>
                <w:right w:val="none" w:sz="0" w:space="0" w:color="auto"/>
              </w:divBdr>
            </w:div>
            <w:div w:id="892932119">
              <w:marLeft w:val="0"/>
              <w:marRight w:val="0"/>
              <w:marTop w:val="0"/>
              <w:marBottom w:val="0"/>
              <w:divBdr>
                <w:top w:val="none" w:sz="0" w:space="0" w:color="auto"/>
                <w:left w:val="none" w:sz="0" w:space="0" w:color="auto"/>
                <w:bottom w:val="none" w:sz="0" w:space="0" w:color="auto"/>
                <w:right w:val="none" w:sz="0" w:space="0" w:color="auto"/>
              </w:divBdr>
            </w:div>
            <w:div w:id="955142872">
              <w:marLeft w:val="0"/>
              <w:marRight w:val="0"/>
              <w:marTop w:val="0"/>
              <w:marBottom w:val="0"/>
              <w:divBdr>
                <w:top w:val="none" w:sz="0" w:space="0" w:color="auto"/>
                <w:left w:val="none" w:sz="0" w:space="0" w:color="auto"/>
                <w:bottom w:val="none" w:sz="0" w:space="0" w:color="auto"/>
                <w:right w:val="none" w:sz="0" w:space="0" w:color="auto"/>
              </w:divBdr>
            </w:div>
            <w:div w:id="1014763762">
              <w:marLeft w:val="0"/>
              <w:marRight w:val="0"/>
              <w:marTop w:val="0"/>
              <w:marBottom w:val="0"/>
              <w:divBdr>
                <w:top w:val="none" w:sz="0" w:space="0" w:color="auto"/>
                <w:left w:val="none" w:sz="0" w:space="0" w:color="auto"/>
                <w:bottom w:val="none" w:sz="0" w:space="0" w:color="auto"/>
                <w:right w:val="none" w:sz="0" w:space="0" w:color="auto"/>
              </w:divBdr>
            </w:div>
            <w:div w:id="1164272776">
              <w:marLeft w:val="0"/>
              <w:marRight w:val="0"/>
              <w:marTop w:val="0"/>
              <w:marBottom w:val="0"/>
              <w:divBdr>
                <w:top w:val="none" w:sz="0" w:space="0" w:color="auto"/>
                <w:left w:val="none" w:sz="0" w:space="0" w:color="auto"/>
                <w:bottom w:val="none" w:sz="0" w:space="0" w:color="auto"/>
                <w:right w:val="none" w:sz="0" w:space="0" w:color="auto"/>
              </w:divBdr>
            </w:div>
            <w:div w:id="1183085378">
              <w:marLeft w:val="0"/>
              <w:marRight w:val="0"/>
              <w:marTop w:val="0"/>
              <w:marBottom w:val="0"/>
              <w:divBdr>
                <w:top w:val="none" w:sz="0" w:space="0" w:color="auto"/>
                <w:left w:val="none" w:sz="0" w:space="0" w:color="auto"/>
                <w:bottom w:val="none" w:sz="0" w:space="0" w:color="auto"/>
                <w:right w:val="none" w:sz="0" w:space="0" w:color="auto"/>
              </w:divBdr>
            </w:div>
            <w:div w:id="1237861657">
              <w:marLeft w:val="0"/>
              <w:marRight w:val="0"/>
              <w:marTop w:val="0"/>
              <w:marBottom w:val="0"/>
              <w:divBdr>
                <w:top w:val="none" w:sz="0" w:space="0" w:color="auto"/>
                <w:left w:val="none" w:sz="0" w:space="0" w:color="auto"/>
                <w:bottom w:val="none" w:sz="0" w:space="0" w:color="auto"/>
                <w:right w:val="none" w:sz="0" w:space="0" w:color="auto"/>
              </w:divBdr>
            </w:div>
            <w:div w:id="1246718875">
              <w:marLeft w:val="0"/>
              <w:marRight w:val="0"/>
              <w:marTop w:val="0"/>
              <w:marBottom w:val="0"/>
              <w:divBdr>
                <w:top w:val="none" w:sz="0" w:space="0" w:color="auto"/>
                <w:left w:val="none" w:sz="0" w:space="0" w:color="auto"/>
                <w:bottom w:val="none" w:sz="0" w:space="0" w:color="auto"/>
                <w:right w:val="none" w:sz="0" w:space="0" w:color="auto"/>
              </w:divBdr>
            </w:div>
            <w:div w:id="1379208557">
              <w:marLeft w:val="0"/>
              <w:marRight w:val="0"/>
              <w:marTop w:val="0"/>
              <w:marBottom w:val="0"/>
              <w:divBdr>
                <w:top w:val="none" w:sz="0" w:space="0" w:color="auto"/>
                <w:left w:val="none" w:sz="0" w:space="0" w:color="auto"/>
                <w:bottom w:val="none" w:sz="0" w:space="0" w:color="auto"/>
                <w:right w:val="none" w:sz="0" w:space="0" w:color="auto"/>
              </w:divBdr>
            </w:div>
            <w:div w:id="1393114535">
              <w:marLeft w:val="0"/>
              <w:marRight w:val="0"/>
              <w:marTop w:val="0"/>
              <w:marBottom w:val="0"/>
              <w:divBdr>
                <w:top w:val="none" w:sz="0" w:space="0" w:color="auto"/>
                <w:left w:val="none" w:sz="0" w:space="0" w:color="auto"/>
                <w:bottom w:val="none" w:sz="0" w:space="0" w:color="auto"/>
                <w:right w:val="none" w:sz="0" w:space="0" w:color="auto"/>
              </w:divBdr>
            </w:div>
            <w:div w:id="1402563177">
              <w:marLeft w:val="0"/>
              <w:marRight w:val="0"/>
              <w:marTop w:val="0"/>
              <w:marBottom w:val="0"/>
              <w:divBdr>
                <w:top w:val="none" w:sz="0" w:space="0" w:color="auto"/>
                <w:left w:val="none" w:sz="0" w:space="0" w:color="auto"/>
                <w:bottom w:val="none" w:sz="0" w:space="0" w:color="auto"/>
                <w:right w:val="none" w:sz="0" w:space="0" w:color="auto"/>
              </w:divBdr>
            </w:div>
            <w:div w:id="1540121134">
              <w:marLeft w:val="0"/>
              <w:marRight w:val="0"/>
              <w:marTop w:val="0"/>
              <w:marBottom w:val="0"/>
              <w:divBdr>
                <w:top w:val="none" w:sz="0" w:space="0" w:color="auto"/>
                <w:left w:val="none" w:sz="0" w:space="0" w:color="auto"/>
                <w:bottom w:val="none" w:sz="0" w:space="0" w:color="auto"/>
                <w:right w:val="none" w:sz="0" w:space="0" w:color="auto"/>
              </w:divBdr>
            </w:div>
            <w:div w:id="1759936286">
              <w:marLeft w:val="0"/>
              <w:marRight w:val="0"/>
              <w:marTop w:val="0"/>
              <w:marBottom w:val="0"/>
              <w:divBdr>
                <w:top w:val="none" w:sz="0" w:space="0" w:color="auto"/>
                <w:left w:val="none" w:sz="0" w:space="0" w:color="auto"/>
                <w:bottom w:val="none" w:sz="0" w:space="0" w:color="auto"/>
                <w:right w:val="none" w:sz="0" w:space="0" w:color="auto"/>
              </w:divBdr>
            </w:div>
            <w:div w:id="1873418816">
              <w:marLeft w:val="0"/>
              <w:marRight w:val="0"/>
              <w:marTop w:val="0"/>
              <w:marBottom w:val="0"/>
              <w:divBdr>
                <w:top w:val="none" w:sz="0" w:space="0" w:color="auto"/>
                <w:left w:val="none" w:sz="0" w:space="0" w:color="auto"/>
                <w:bottom w:val="none" w:sz="0" w:space="0" w:color="auto"/>
                <w:right w:val="none" w:sz="0" w:space="0" w:color="auto"/>
              </w:divBdr>
            </w:div>
            <w:div w:id="1970361491">
              <w:marLeft w:val="0"/>
              <w:marRight w:val="0"/>
              <w:marTop w:val="0"/>
              <w:marBottom w:val="0"/>
              <w:divBdr>
                <w:top w:val="none" w:sz="0" w:space="0" w:color="auto"/>
                <w:left w:val="none" w:sz="0" w:space="0" w:color="auto"/>
                <w:bottom w:val="none" w:sz="0" w:space="0" w:color="auto"/>
                <w:right w:val="none" w:sz="0" w:space="0" w:color="auto"/>
              </w:divBdr>
            </w:div>
            <w:div w:id="2020424363">
              <w:marLeft w:val="0"/>
              <w:marRight w:val="0"/>
              <w:marTop w:val="0"/>
              <w:marBottom w:val="0"/>
              <w:divBdr>
                <w:top w:val="none" w:sz="0" w:space="0" w:color="auto"/>
                <w:left w:val="none" w:sz="0" w:space="0" w:color="auto"/>
                <w:bottom w:val="none" w:sz="0" w:space="0" w:color="auto"/>
                <w:right w:val="none" w:sz="0" w:space="0" w:color="auto"/>
              </w:divBdr>
            </w:div>
          </w:divsChild>
        </w:div>
        <w:div w:id="1120414085">
          <w:marLeft w:val="0"/>
          <w:marRight w:val="0"/>
          <w:marTop w:val="0"/>
          <w:marBottom w:val="0"/>
          <w:divBdr>
            <w:top w:val="none" w:sz="0" w:space="0" w:color="auto"/>
            <w:left w:val="none" w:sz="0" w:space="0" w:color="auto"/>
            <w:bottom w:val="none" w:sz="0" w:space="0" w:color="auto"/>
            <w:right w:val="none" w:sz="0" w:space="0" w:color="auto"/>
          </w:divBdr>
        </w:div>
        <w:div w:id="1121463512">
          <w:marLeft w:val="0"/>
          <w:marRight w:val="0"/>
          <w:marTop w:val="0"/>
          <w:marBottom w:val="0"/>
          <w:divBdr>
            <w:top w:val="none" w:sz="0" w:space="0" w:color="auto"/>
            <w:left w:val="none" w:sz="0" w:space="0" w:color="auto"/>
            <w:bottom w:val="none" w:sz="0" w:space="0" w:color="auto"/>
            <w:right w:val="none" w:sz="0" w:space="0" w:color="auto"/>
          </w:divBdr>
        </w:div>
        <w:div w:id="1122767009">
          <w:marLeft w:val="0"/>
          <w:marRight w:val="0"/>
          <w:marTop w:val="0"/>
          <w:marBottom w:val="0"/>
          <w:divBdr>
            <w:top w:val="none" w:sz="0" w:space="0" w:color="auto"/>
            <w:left w:val="none" w:sz="0" w:space="0" w:color="auto"/>
            <w:bottom w:val="none" w:sz="0" w:space="0" w:color="auto"/>
            <w:right w:val="none" w:sz="0" w:space="0" w:color="auto"/>
          </w:divBdr>
          <w:divsChild>
            <w:div w:id="1145583405">
              <w:marLeft w:val="-75"/>
              <w:marRight w:val="0"/>
              <w:marTop w:val="30"/>
              <w:marBottom w:val="30"/>
              <w:divBdr>
                <w:top w:val="none" w:sz="0" w:space="0" w:color="auto"/>
                <w:left w:val="none" w:sz="0" w:space="0" w:color="auto"/>
                <w:bottom w:val="none" w:sz="0" w:space="0" w:color="auto"/>
                <w:right w:val="none" w:sz="0" w:space="0" w:color="auto"/>
              </w:divBdr>
              <w:divsChild>
                <w:div w:id="703137000">
                  <w:marLeft w:val="0"/>
                  <w:marRight w:val="0"/>
                  <w:marTop w:val="0"/>
                  <w:marBottom w:val="0"/>
                  <w:divBdr>
                    <w:top w:val="none" w:sz="0" w:space="0" w:color="auto"/>
                    <w:left w:val="none" w:sz="0" w:space="0" w:color="auto"/>
                    <w:bottom w:val="none" w:sz="0" w:space="0" w:color="auto"/>
                    <w:right w:val="none" w:sz="0" w:space="0" w:color="auto"/>
                  </w:divBdr>
                  <w:divsChild>
                    <w:div w:id="996764350">
                      <w:marLeft w:val="0"/>
                      <w:marRight w:val="0"/>
                      <w:marTop w:val="0"/>
                      <w:marBottom w:val="0"/>
                      <w:divBdr>
                        <w:top w:val="none" w:sz="0" w:space="0" w:color="auto"/>
                        <w:left w:val="none" w:sz="0" w:space="0" w:color="auto"/>
                        <w:bottom w:val="none" w:sz="0" w:space="0" w:color="auto"/>
                        <w:right w:val="none" w:sz="0" w:space="0" w:color="auto"/>
                      </w:divBdr>
                    </w:div>
                  </w:divsChild>
                </w:div>
                <w:div w:id="866412773">
                  <w:marLeft w:val="0"/>
                  <w:marRight w:val="0"/>
                  <w:marTop w:val="0"/>
                  <w:marBottom w:val="0"/>
                  <w:divBdr>
                    <w:top w:val="none" w:sz="0" w:space="0" w:color="auto"/>
                    <w:left w:val="none" w:sz="0" w:space="0" w:color="auto"/>
                    <w:bottom w:val="none" w:sz="0" w:space="0" w:color="auto"/>
                    <w:right w:val="none" w:sz="0" w:space="0" w:color="auto"/>
                  </w:divBdr>
                  <w:divsChild>
                    <w:div w:id="1775783306">
                      <w:marLeft w:val="0"/>
                      <w:marRight w:val="0"/>
                      <w:marTop w:val="0"/>
                      <w:marBottom w:val="0"/>
                      <w:divBdr>
                        <w:top w:val="none" w:sz="0" w:space="0" w:color="auto"/>
                        <w:left w:val="none" w:sz="0" w:space="0" w:color="auto"/>
                        <w:bottom w:val="none" w:sz="0" w:space="0" w:color="auto"/>
                        <w:right w:val="none" w:sz="0" w:space="0" w:color="auto"/>
                      </w:divBdr>
                    </w:div>
                  </w:divsChild>
                </w:div>
                <w:div w:id="954023696">
                  <w:marLeft w:val="0"/>
                  <w:marRight w:val="0"/>
                  <w:marTop w:val="0"/>
                  <w:marBottom w:val="0"/>
                  <w:divBdr>
                    <w:top w:val="none" w:sz="0" w:space="0" w:color="auto"/>
                    <w:left w:val="none" w:sz="0" w:space="0" w:color="auto"/>
                    <w:bottom w:val="none" w:sz="0" w:space="0" w:color="auto"/>
                    <w:right w:val="none" w:sz="0" w:space="0" w:color="auto"/>
                  </w:divBdr>
                  <w:divsChild>
                    <w:div w:id="90518256">
                      <w:marLeft w:val="0"/>
                      <w:marRight w:val="0"/>
                      <w:marTop w:val="0"/>
                      <w:marBottom w:val="0"/>
                      <w:divBdr>
                        <w:top w:val="none" w:sz="0" w:space="0" w:color="auto"/>
                        <w:left w:val="none" w:sz="0" w:space="0" w:color="auto"/>
                        <w:bottom w:val="none" w:sz="0" w:space="0" w:color="auto"/>
                        <w:right w:val="none" w:sz="0" w:space="0" w:color="auto"/>
                      </w:divBdr>
                    </w:div>
                  </w:divsChild>
                </w:div>
                <w:div w:id="1200893097">
                  <w:marLeft w:val="0"/>
                  <w:marRight w:val="0"/>
                  <w:marTop w:val="0"/>
                  <w:marBottom w:val="0"/>
                  <w:divBdr>
                    <w:top w:val="none" w:sz="0" w:space="0" w:color="auto"/>
                    <w:left w:val="none" w:sz="0" w:space="0" w:color="auto"/>
                    <w:bottom w:val="none" w:sz="0" w:space="0" w:color="auto"/>
                    <w:right w:val="none" w:sz="0" w:space="0" w:color="auto"/>
                  </w:divBdr>
                  <w:divsChild>
                    <w:div w:id="1637105150">
                      <w:marLeft w:val="0"/>
                      <w:marRight w:val="0"/>
                      <w:marTop w:val="0"/>
                      <w:marBottom w:val="0"/>
                      <w:divBdr>
                        <w:top w:val="none" w:sz="0" w:space="0" w:color="auto"/>
                        <w:left w:val="none" w:sz="0" w:space="0" w:color="auto"/>
                        <w:bottom w:val="none" w:sz="0" w:space="0" w:color="auto"/>
                        <w:right w:val="none" w:sz="0" w:space="0" w:color="auto"/>
                      </w:divBdr>
                    </w:div>
                  </w:divsChild>
                </w:div>
                <w:div w:id="1244879485">
                  <w:marLeft w:val="0"/>
                  <w:marRight w:val="0"/>
                  <w:marTop w:val="0"/>
                  <w:marBottom w:val="0"/>
                  <w:divBdr>
                    <w:top w:val="none" w:sz="0" w:space="0" w:color="auto"/>
                    <w:left w:val="none" w:sz="0" w:space="0" w:color="auto"/>
                    <w:bottom w:val="none" w:sz="0" w:space="0" w:color="auto"/>
                    <w:right w:val="none" w:sz="0" w:space="0" w:color="auto"/>
                  </w:divBdr>
                  <w:divsChild>
                    <w:div w:id="2144737991">
                      <w:marLeft w:val="0"/>
                      <w:marRight w:val="0"/>
                      <w:marTop w:val="0"/>
                      <w:marBottom w:val="0"/>
                      <w:divBdr>
                        <w:top w:val="none" w:sz="0" w:space="0" w:color="auto"/>
                        <w:left w:val="none" w:sz="0" w:space="0" w:color="auto"/>
                        <w:bottom w:val="none" w:sz="0" w:space="0" w:color="auto"/>
                        <w:right w:val="none" w:sz="0" w:space="0" w:color="auto"/>
                      </w:divBdr>
                    </w:div>
                  </w:divsChild>
                </w:div>
                <w:div w:id="1388383672">
                  <w:marLeft w:val="0"/>
                  <w:marRight w:val="0"/>
                  <w:marTop w:val="0"/>
                  <w:marBottom w:val="0"/>
                  <w:divBdr>
                    <w:top w:val="none" w:sz="0" w:space="0" w:color="auto"/>
                    <w:left w:val="none" w:sz="0" w:space="0" w:color="auto"/>
                    <w:bottom w:val="none" w:sz="0" w:space="0" w:color="auto"/>
                    <w:right w:val="none" w:sz="0" w:space="0" w:color="auto"/>
                  </w:divBdr>
                  <w:divsChild>
                    <w:div w:id="1878397572">
                      <w:marLeft w:val="0"/>
                      <w:marRight w:val="0"/>
                      <w:marTop w:val="0"/>
                      <w:marBottom w:val="0"/>
                      <w:divBdr>
                        <w:top w:val="none" w:sz="0" w:space="0" w:color="auto"/>
                        <w:left w:val="none" w:sz="0" w:space="0" w:color="auto"/>
                        <w:bottom w:val="none" w:sz="0" w:space="0" w:color="auto"/>
                        <w:right w:val="none" w:sz="0" w:space="0" w:color="auto"/>
                      </w:divBdr>
                    </w:div>
                  </w:divsChild>
                </w:div>
                <w:div w:id="1589001751">
                  <w:marLeft w:val="0"/>
                  <w:marRight w:val="0"/>
                  <w:marTop w:val="0"/>
                  <w:marBottom w:val="0"/>
                  <w:divBdr>
                    <w:top w:val="none" w:sz="0" w:space="0" w:color="auto"/>
                    <w:left w:val="none" w:sz="0" w:space="0" w:color="auto"/>
                    <w:bottom w:val="none" w:sz="0" w:space="0" w:color="auto"/>
                    <w:right w:val="none" w:sz="0" w:space="0" w:color="auto"/>
                  </w:divBdr>
                  <w:divsChild>
                    <w:div w:id="966541983">
                      <w:marLeft w:val="0"/>
                      <w:marRight w:val="0"/>
                      <w:marTop w:val="0"/>
                      <w:marBottom w:val="0"/>
                      <w:divBdr>
                        <w:top w:val="none" w:sz="0" w:space="0" w:color="auto"/>
                        <w:left w:val="none" w:sz="0" w:space="0" w:color="auto"/>
                        <w:bottom w:val="none" w:sz="0" w:space="0" w:color="auto"/>
                        <w:right w:val="none" w:sz="0" w:space="0" w:color="auto"/>
                      </w:divBdr>
                    </w:div>
                  </w:divsChild>
                </w:div>
                <w:div w:id="1719819234">
                  <w:marLeft w:val="0"/>
                  <w:marRight w:val="0"/>
                  <w:marTop w:val="0"/>
                  <w:marBottom w:val="0"/>
                  <w:divBdr>
                    <w:top w:val="none" w:sz="0" w:space="0" w:color="auto"/>
                    <w:left w:val="none" w:sz="0" w:space="0" w:color="auto"/>
                    <w:bottom w:val="none" w:sz="0" w:space="0" w:color="auto"/>
                    <w:right w:val="none" w:sz="0" w:space="0" w:color="auto"/>
                  </w:divBdr>
                  <w:divsChild>
                    <w:div w:id="46149047">
                      <w:marLeft w:val="0"/>
                      <w:marRight w:val="0"/>
                      <w:marTop w:val="0"/>
                      <w:marBottom w:val="0"/>
                      <w:divBdr>
                        <w:top w:val="none" w:sz="0" w:space="0" w:color="auto"/>
                        <w:left w:val="none" w:sz="0" w:space="0" w:color="auto"/>
                        <w:bottom w:val="none" w:sz="0" w:space="0" w:color="auto"/>
                        <w:right w:val="none" w:sz="0" w:space="0" w:color="auto"/>
                      </w:divBdr>
                    </w:div>
                  </w:divsChild>
                </w:div>
                <w:div w:id="1849902985">
                  <w:marLeft w:val="0"/>
                  <w:marRight w:val="0"/>
                  <w:marTop w:val="0"/>
                  <w:marBottom w:val="0"/>
                  <w:divBdr>
                    <w:top w:val="none" w:sz="0" w:space="0" w:color="auto"/>
                    <w:left w:val="none" w:sz="0" w:space="0" w:color="auto"/>
                    <w:bottom w:val="none" w:sz="0" w:space="0" w:color="auto"/>
                    <w:right w:val="none" w:sz="0" w:space="0" w:color="auto"/>
                  </w:divBdr>
                  <w:divsChild>
                    <w:div w:id="1813399506">
                      <w:marLeft w:val="0"/>
                      <w:marRight w:val="0"/>
                      <w:marTop w:val="0"/>
                      <w:marBottom w:val="0"/>
                      <w:divBdr>
                        <w:top w:val="none" w:sz="0" w:space="0" w:color="auto"/>
                        <w:left w:val="none" w:sz="0" w:space="0" w:color="auto"/>
                        <w:bottom w:val="none" w:sz="0" w:space="0" w:color="auto"/>
                        <w:right w:val="none" w:sz="0" w:space="0" w:color="auto"/>
                      </w:divBdr>
                    </w:div>
                  </w:divsChild>
                </w:div>
                <w:div w:id="1957324773">
                  <w:marLeft w:val="0"/>
                  <w:marRight w:val="0"/>
                  <w:marTop w:val="0"/>
                  <w:marBottom w:val="0"/>
                  <w:divBdr>
                    <w:top w:val="none" w:sz="0" w:space="0" w:color="auto"/>
                    <w:left w:val="none" w:sz="0" w:space="0" w:color="auto"/>
                    <w:bottom w:val="none" w:sz="0" w:space="0" w:color="auto"/>
                    <w:right w:val="none" w:sz="0" w:space="0" w:color="auto"/>
                  </w:divBdr>
                  <w:divsChild>
                    <w:div w:id="4478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38628">
          <w:marLeft w:val="0"/>
          <w:marRight w:val="0"/>
          <w:marTop w:val="0"/>
          <w:marBottom w:val="0"/>
          <w:divBdr>
            <w:top w:val="none" w:sz="0" w:space="0" w:color="auto"/>
            <w:left w:val="none" w:sz="0" w:space="0" w:color="auto"/>
            <w:bottom w:val="none" w:sz="0" w:space="0" w:color="auto"/>
            <w:right w:val="none" w:sz="0" w:space="0" w:color="auto"/>
          </w:divBdr>
        </w:div>
        <w:div w:id="1149984055">
          <w:marLeft w:val="0"/>
          <w:marRight w:val="0"/>
          <w:marTop w:val="0"/>
          <w:marBottom w:val="0"/>
          <w:divBdr>
            <w:top w:val="none" w:sz="0" w:space="0" w:color="auto"/>
            <w:left w:val="none" w:sz="0" w:space="0" w:color="auto"/>
            <w:bottom w:val="none" w:sz="0" w:space="0" w:color="auto"/>
            <w:right w:val="none" w:sz="0" w:space="0" w:color="auto"/>
          </w:divBdr>
        </w:div>
        <w:div w:id="1153566606">
          <w:marLeft w:val="0"/>
          <w:marRight w:val="0"/>
          <w:marTop w:val="0"/>
          <w:marBottom w:val="0"/>
          <w:divBdr>
            <w:top w:val="none" w:sz="0" w:space="0" w:color="auto"/>
            <w:left w:val="none" w:sz="0" w:space="0" w:color="auto"/>
            <w:bottom w:val="none" w:sz="0" w:space="0" w:color="auto"/>
            <w:right w:val="none" w:sz="0" w:space="0" w:color="auto"/>
          </w:divBdr>
        </w:div>
        <w:div w:id="1156188467">
          <w:marLeft w:val="0"/>
          <w:marRight w:val="0"/>
          <w:marTop w:val="0"/>
          <w:marBottom w:val="0"/>
          <w:divBdr>
            <w:top w:val="none" w:sz="0" w:space="0" w:color="auto"/>
            <w:left w:val="none" w:sz="0" w:space="0" w:color="auto"/>
            <w:bottom w:val="none" w:sz="0" w:space="0" w:color="auto"/>
            <w:right w:val="none" w:sz="0" w:space="0" w:color="auto"/>
          </w:divBdr>
        </w:div>
        <w:div w:id="1157308848">
          <w:marLeft w:val="0"/>
          <w:marRight w:val="0"/>
          <w:marTop w:val="0"/>
          <w:marBottom w:val="0"/>
          <w:divBdr>
            <w:top w:val="none" w:sz="0" w:space="0" w:color="auto"/>
            <w:left w:val="none" w:sz="0" w:space="0" w:color="auto"/>
            <w:bottom w:val="none" w:sz="0" w:space="0" w:color="auto"/>
            <w:right w:val="none" w:sz="0" w:space="0" w:color="auto"/>
          </w:divBdr>
        </w:div>
        <w:div w:id="1182472697">
          <w:marLeft w:val="0"/>
          <w:marRight w:val="0"/>
          <w:marTop w:val="0"/>
          <w:marBottom w:val="0"/>
          <w:divBdr>
            <w:top w:val="none" w:sz="0" w:space="0" w:color="auto"/>
            <w:left w:val="none" w:sz="0" w:space="0" w:color="auto"/>
            <w:bottom w:val="none" w:sz="0" w:space="0" w:color="auto"/>
            <w:right w:val="none" w:sz="0" w:space="0" w:color="auto"/>
          </w:divBdr>
        </w:div>
        <w:div w:id="1183082634">
          <w:marLeft w:val="0"/>
          <w:marRight w:val="0"/>
          <w:marTop w:val="0"/>
          <w:marBottom w:val="0"/>
          <w:divBdr>
            <w:top w:val="none" w:sz="0" w:space="0" w:color="auto"/>
            <w:left w:val="none" w:sz="0" w:space="0" w:color="auto"/>
            <w:bottom w:val="none" w:sz="0" w:space="0" w:color="auto"/>
            <w:right w:val="none" w:sz="0" w:space="0" w:color="auto"/>
          </w:divBdr>
        </w:div>
        <w:div w:id="1189564992">
          <w:marLeft w:val="0"/>
          <w:marRight w:val="0"/>
          <w:marTop w:val="0"/>
          <w:marBottom w:val="0"/>
          <w:divBdr>
            <w:top w:val="none" w:sz="0" w:space="0" w:color="auto"/>
            <w:left w:val="none" w:sz="0" w:space="0" w:color="auto"/>
            <w:bottom w:val="none" w:sz="0" w:space="0" w:color="auto"/>
            <w:right w:val="none" w:sz="0" w:space="0" w:color="auto"/>
          </w:divBdr>
        </w:div>
        <w:div w:id="1195070513">
          <w:marLeft w:val="0"/>
          <w:marRight w:val="0"/>
          <w:marTop w:val="0"/>
          <w:marBottom w:val="0"/>
          <w:divBdr>
            <w:top w:val="none" w:sz="0" w:space="0" w:color="auto"/>
            <w:left w:val="none" w:sz="0" w:space="0" w:color="auto"/>
            <w:bottom w:val="none" w:sz="0" w:space="0" w:color="auto"/>
            <w:right w:val="none" w:sz="0" w:space="0" w:color="auto"/>
          </w:divBdr>
        </w:div>
        <w:div w:id="1195734816">
          <w:marLeft w:val="0"/>
          <w:marRight w:val="0"/>
          <w:marTop w:val="0"/>
          <w:marBottom w:val="0"/>
          <w:divBdr>
            <w:top w:val="none" w:sz="0" w:space="0" w:color="auto"/>
            <w:left w:val="none" w:sz="0" w:space="0" w:color="auto"/>
            <w:bottom w:val="none" w:sz="0" w:space="0" w:color="auto"/>
            <w:right w:val="none" w:sz="0" w:space="0" w:color="auto"/>
          </w:divBdr>
        </w:div>
        <w:div w:id="1205555079">
          <w:marLeft w:val="0"/>
          <w:marRight w:val="0"/>
          <w:marTop w:val="0"/>
          <w:marBottom w:val="0"/>
          <w:divBdr>
            <w:top w:val="none" w:sz="0" w:space="0" w:color="auto"/>
            <w:left w:val="none" w:sz="0" w:space="0" w:color="auto"/>
            <w:bottom w:val="none" w:sz="0" w:space="0" w:color="auto"/>
            <w:right w:val="none" w:sz="0" w:space="0" w:color="auto"/>
          </w:divBdr>
          <w:divsChild>
            <w:div w:id="191194138">
              <w:marLeft w:val="0"/>
              <w:marRight w:val="0"/>
              <w:marTop w:val="0"/>
              <w:marBottom w:val="0"/>
              <w:divBdr>
                <w:top w:val="none" w:sz="0" w:space="0" w:color="auto"/>
                <w:left w:val="none" w:sz="0" w:space="0" w:color="auto"/>
                <w:bottom w:val="none" w:sz="0" w:space="0" w:color="auto"/>
                <w:right w:val="none" w:sz="0" w:space="0" w:color="auto"/>
              </w:divBdr>
            </w:div>
            <w:div w:id="223688149">
              <w:marLeft w:val="0"/>
              <w:marRight w:val="0"/>
              <w:marTop w:val="0"/>
              <w:marBottom w:val="0"/>
              <w:divBdr>
                <w:top w:val="none" w:sz="0" w:space="0" w:color="auto"/>
                <w:left w:val="none" w:sz="0" w:space="0" w:color="auto"/>
                <w:bottom w:val="none" w:sz="0" w:space="0" w:color="auto"/>
                <w:right w:val="none" w:sz="0" w:space="0" w:color="auto"/>
              </w:divBdr>
            </w:div>
            <w:div w:id="252666158">
              <w:marLeft w:val="0"/>
              <w:marRight w:val="0"/>
              <w:marTop w:val="0"/>
              <w:marBottom w:val="0"/>
              <w:divBdr>
                <w:top w:val="none" w:sz="0" w:space="0" w:color="auto"/>
                <w:left w:val="none" w:sz="0" w:space="0" w:color="auto"/>
                <w:bottom w:val="none" w:sz="0" w:space="0" w:color="auto"/>
                <w:right w:val="none" w:sz="0" w:space="0" w:color="auto"/>
              </w:divBdr>
            </w:div>
            <w:div w:id="374622240">
              <w:marLeft w:val="0"/>
              <w:marRight w:val="0"/>
              <w:marTop w:val="0"/>
              <w:marBottom w:val="0"/>
              <w:divBdr>
                <w:top w:val="none" w:sz="0" w:space="0" w:color="auto"/>
                <w:left w:val="none" w:sz="0" w:space="0" w:color="auto"/>
                <w:bottom w:val="none" w:sz="0" w:space="0" w:color="auto"/>
                <w:right w:val="none" w:sz="0" w:space="0" w:color="auto"/>
              </w:divBdr>
            </w:div>
            <w:div w:id="501966830">
              <w:marLeft w:val="0"/>
              <w:marRight w:val="0"/>
              <w:marTop w:val="0"/>
              <w:marBottom w:val="0"/>
              <w:divBdr>
                <w:top w:val="none" w:sz="0" w:space="0" w:color="auto"/>
                <w:left w:val="none" w:sz="0" w:space="0" w:color="auto"/>
                <w:bottom w:val="none" w:sz="0" w:space="0" w:color="auto"/>
                <w:right w:val="none" w:sz="0" w:space="0" w:color="auto"/>
              </w:divBdr>
            </w:div>
            <w:div w:id="621153643">
              <w:marLeft w:val="0"/>
              <w:marRight w:val="0"/>
              <w:marTop w:val="0"/>
              <w:marBottom w:val="0"/>
              <w:divBdr>
                <w:top w:val="none" w:sz="0" w:space="0" w:color="auto"/>
                <w:left w:val="none" w:sz="0" w:space="0" w:color="auto"/>
                <w:bottom w:val="none" w:sz="0" w:space="0" w:color="auto"/>
                <w:right w:val="none" w:sz="0" w:space="0" w:color="auto"/>
              </w:divBdr>
            </w:div>
            <w:div w:id="625161793">
              <w:marLeft w:val="0"/>
              <w:marRight w:val="0"/>
              <w:marTop w:val="0"/>
              <w:marBottom w:val="0"/>
              <w:divBdr>
                <w:top w:val="none" w:sz="0" w:space="0" w:color="auto"/>
                <w:left w:val="none" w:sz="0" w:space="0" w:color="auto"/>
                <w:bottom w:val="none" w:sz="0" w:space="0" w:color="auto"/>
                <w:right w:val="none" w:sz="0" w:space="0" w:color="auto"/>
              </w:divBdr>
            </w:div>
            <w:div w:id="807210899">
              <w:marLeft w:val="0"/>
              <w:marRight w:val="0"/>
              <w:marTop w:val="0"/>
              <w:marBottom w:val="0"/>
              <w:divBdr>
                <w:top w:val="none" w:sz="0" w:space="0" w:color="auto"/>
                <w:left w:val="none" w:sz="0" w:space="0" w:color="auto"/>
                <w:bottom w:val="none" w:sz="0" w:space="0" w:color="auto"/>
                <w:right w:val="none" w:sz="0" w:space="0" w:color="auto"/>
              </w:divBdr>
            </w:div>
            <w:div w:id="808984623">
              <w:marLeft w:val="0"/>
              <w:marRight w:val="0"/>
              <w:marTop w:val="0"/>
              <w:marBottom w:val="0"/>
              <w:divBdr>
                <w:top w:val="none" w:sz="0" w:space="0" w:color="auto"/>
                <w:left w:val="none" w:sz="0" w:space="0" w:color="auto"/>
                <w:bottom w:val="none" w:sz="0" w:space="0" w:color="auto"/>
                <w:right w:val="none" w:sz="0" w:space="0" w:color="auto"/>
              </w:divBdr>
            </w:div>
            <w:div w:id="912816249">
              <w:marLeft w:val="0"/>
              <w:marRight w:val="0"/>
              <w:marTop w:val="0"/>
              <w:marBottom w:val="0"/>
              <w:divBdr>
                <w:top w:val="none" w:sz="0" w:space="0" w:color="auto"/>
                <w:left w:val="none" w:sz="0" w:space="0" w:color="auto"/>
                <w:bottom w:val="none" w:sz="0" w:space="0" w:color="auto"/>
                <w:right w:val="none" w:sz="0" w:space="0" w:color="auto"/>
              </w:divBdr>
            </w:div>
            <w:div w:id="975336845">
              <w:marLeft w:val="0"/>
              <w:marRight w:val="0"/>
              <w:marTop w:val="0"/>
              <w:marBottom w:val="0"/>
              <w:divBdr>
                <w:top w:val="none" w:sz="0" w:space="0" w:color="auto"/>
                <w:left w:val="none" w:sz="0" w:space="0" w:color="auto"/>
                <w:bottom w:val="none" w:sz="0" w:space="0" w:color="auto"/>
                <w:right w:val="none" w:sz="0" w:space="0" w:color="auto"/>
              </w:divBdr>
            </w:div>
            <w:div w:id="996960308">
              <w:marLeft w:val="0"/>
              <w:marRight w:val="0"/>
              <w:marTop w:val="0"/>
              <w:marBottom w:val="0"/>
              <w:divBdr>
                <w:top w:val="none" w:sz="0" w:space="0" w:color="auto"/>
                <w:left w:val="none" w:sz="0" w:space="0" w:color="auto"/>
                <w:bottom w:val="none" w:sz="0" w:space="0" w:color="auto"/>
                <w:right w:val="none" w:sz="0" w:space="0" w:color="auto"/>
              </w:divBdr>
            </w:div>
            <w:div w:id="1102913325">
              <w:marLeft w:val="0"/>
              <w:marRight w:val="0"/>
              <w:marTop w:val="0"/>
              <w:marBottom w:val="0"/>
              <w:divBdr>
                <w:top w:val="none" w:sz="0" w:space="0" w:color="auto"/>
                <w:left w:val="none" w:sz="0" w:space="0" w:color="auto"/>
                <w:bottom w:val="none" w:sz="0" w:space="0" w:color="auto"/>
                <w:right w:val="none" w:sz="0" w:space="0" w:color="auto"/>
              </w:divBdr>
            </w:div>
            <w:div w:id="1312101062">
              <w:marLeft w:val="0"/>
              <w:marRight w:val="0"/>
              <w:marTop w:val="0"/>
              <w:marBottom w:val="0"/>
              <w:divBdr>
                <w:top w:val="none" w:sz="0" w:space="0" w:color="auto"/>
                <w:left w:val="none" w:sz="0" w:space="0" w:color="auto"/>
                <w:bottom w:val="none" w:sz="0" w:space="0" w:color="auto"/>
                <w:right w:val="none" w:sz="0" w:space="0" w:color="auto"/>
              </w:divBdr>
            </w:div>
            <w:div w:id="1408385603">
              <w:marLeft w:val="0"/>
              <w:marRight w:val="0"/>
              <w:marTop w:val="0"/>
              <w:marBottom w:val="0"/>
              <w:divBdr>
                <w:top w:val="none" w:sz="0" w:space="0" w:color="auto"/>
                <w:left w:val="none" w:sz="0" w:space="0" w:color="auto"/>
                <w:bottom w:val="none" w:sz="0" w:space="0" w:color="auto"/>
                <w:right w:val="none" w:sz="0" w:space="0" w:color="auto"/>
              </w:divBdr>
            </w:div>
            <w:div w:id="1427726033">
              <w:marLeft w:val="0"/>
              <w:marRight w:val="0"/>
              <w:marTop w:val="0"/>
              <w:marBottom w:val="0"/>
              <w:divBdr>
                <w:top w:val="none" w:sz="0" w:space="0" w:color="auto"/>
                <w:left w:val="none" w:sz="0" w:space="0" w:color="auto"/>
                <w:bottom w:val="none" w:sz="0" w:space="0" w:color="auto"/>
                <w:right w:val="none" w:sz="0" w:space="0" w:color="auto"/>
              </w:divBdr>
            </w:div>
            <w:div w:id="1473794906">
              <w:marLeft w:val="0"/>
              <w:marRight w:val="0"/>
              <w:marTop w:val="0"/>
              <w:marBottom w:val="0"/>
              <w:divBdr>
                <w:top w:val="none" w:sz="0" w:space="0" w:color="auto"/>
                <w:left w:val="none" w:sz="0" w:space="0" w:color="auto"/>
                <w:bottom w:val="none" w:sz="0" w:space="0" w:color="auto"/>
                <w:right w:val="none" w:sz="0" w:space="0" w:color="auto"/>
              </w:divBdr>
            </w:div>
            <w:div w:id="1475903461">
              <w:marLeft w:val="0"/>
              <w:marRight w:val="0"/>
              <w:marTop w:val="0"/>
              <w:marBottom w:val="0"/>
              <w:divBdr>
                <w:top w:val="none" w:sz="0" w:space="0" w:color="auto"/>
                <w:left w:val="none" w:sz="0" w:space="0" w:color="auto"/>
                <w:bottom w:val="none" w:sz="0" w:space="0" w:color="auto"/>
                <w:right w:val="none" w:sz="0" w:space="0" w:color="auto"/>
              </w:divBdr>
            </w:div>
            <w:div w:id="1771971129">
              <w:marLeft w:val="0"/>
              <w:marRight w:val="0"/>
              <w:marTop w:val="0"/>
              <w:marBottom w:val="0"/>
              <w:divBdr>
                <w:top w:val="none" w:sz="0" w:space="0" w:color="auto"/>
                <w:left w:val="none" w:sz="0" w:space="0" w:color="auto"/>
                <w:bottom w:val="none" w:sz="0" w:space="0" w:color="auto"/>
                <w:right w:val="none" w:sz="0" w:space="0" w:color="auto"/>
              </w:divBdr>
            </w:div>
            <w:div w:id="2095473523">
              <w:marLeft w:val="0"/>
              <w:marRight w:val="0"/>
              <w:marTop w:val="0"/>
              <w:marBottom w:val="0"/>
              <w:divBdr>
                <w:top w:val="none" w:sz="0" w:space="0" w:color="auto"/>
                <w:left w:val="none" w:sz="0" w:space="0" w:color="auto"/>
                <w:bottom w:val="none" w:sz="0" w:space="0" w:color="auto"/>
                <w:right w:val="none" w:sz="0" w:space="0" w:color="auto"/>
              </w:divBdr>
            </w:div>
          </w:divsChild>
        </w:div>
        <w:div w:id="1206718680">
          <w:marLeft w:val="0"/>
          <w:marRight w:val="0"/>
          <w:marTop w:val="0"/>
          <w:marBottom w:val="0"/>
          <w:divBdr>
            <w:top w:val="none" w:sz="0" w:space="0" w:color="auto"/>
            <w:left w:val="none" w:sz="0" w:space="0" w:color="auto"/>
            <w:bottom w:val="none" w:sz="0" w:space="0" w:color="auto"/>
            <w:right w:val="none" w:sz="0" w:space="0" w:color="auto"/>
          </w:divBdr>
        </w:div>
        <w:div w:id="1214804179">
          <w:marLeft w:val="0"/>
          <w:marRight w:val="0"/>
          <w:marTop w:val="0"/>
          <w:marBottom w:val="0"/>
          <w:divBdr>
            <w:top w:val="none" w:sz="0" w:space="0" w:color="auto"/>
            <w:left w:val="none" w:sz="0" w:space="0" w:color="auto"/>
            <w:bottom w:val="none" w:sz="0" w:space="0" w:color="auto"/>
            <w:right w:val="none" w:sz="0" w:space="0" w:color="auto"/>
          </w:divBdr>
        </w:div>
        <w:div w:id="1217857017">
          <w:marLeft w:val="0"/>
          <w:marRight w:val="0"/>
          <w:marTop w:val="0"/>
          <w:marBottom w:val="0"/>
          <w:divBdr>
            <w:top w:val="none" w:sz="0" w:space="0" w:color="auto"/>
            <w:left w:val="none" w:sz="0" w:space="0" w:color="auto"/>
            <w:bottom w:val="none" w:sz="0" w:space="0" w:color="auto"/>
            <w:right w:val="none" w:sz="0" w:space="0" w:color="auto"/>
          </w:divBdr>
        </w:div>
        <w:div w:id="1219362894">
          <w:marLeft w:val="0"/>
          <w:marRight w:val="0"/>
          <w:marTop w:val="0"/>
          <w:marBottom w:val="0"/>
          <w:divBdr>
            <w:top w:val="none" w:sz="0" w:space="0" w:color="auto"/>
            <w:left w:val="none" w:sz="0" w:space="0" w:color="auto"/>
            <w:bottom w:val="none" w:sz="0" w:space="0" w:color="auto"/>
            <w:right w:val="none" w:sz="0" w:space="0" w:color="auto"/>
          </w:divBdr>
          <w:divsChild>
            <w:div w:id="316350231">
              <w:marLeft w:val="-75"/>
              <w:marRight w:val="0"/>
              <w:marTop w:val="30"/>
              <w:marBottom w:val="30"/>
              <w:divBdr>
                <w:top w:val="none" w:sz="0" w:space="0" w:color="auto"/>
                <w:left w:val="none" w:sz="0" w:space="0" w:color="auto"/>
                <w:bottom w:val="none" w:sz="0" w:space="0" w:color="auto"/>
                <w:right w:val="none" w:sz="0" w:space="0" w:color="auto"/>
              </w:divBdr>
              <w:divsChild>
                <w:div w:id="25103014">
                  <w:marLeft w:val="0"/>
                  <w:marRight w:val="0"/>
                  <w:marTop w:val="0"/>
                  <w:marBottom w:val="0"/>
                  <w:divBdr>
                    <w:top w:val="none" w:sz="0" w:space="0" w:color="auto"/>
                    <w:left w:val="none" w:sz="0" w:space="0" w:color="auto"/>
                    <w:bottom w:val="none" w:sz="0" w:space="0" w:color="auto"/>
                    <w:right w:val="none" w:sz="0" w:space="0" w:color="auto"/>
                  </w:divBdr>
                  <w:divsChild>
                    <w:div w:id="1436636816">
                      <w:marLeft w:val="0"/>
                      <w:marRight w:val="0"/>
                      <w:marTop w:val="0"/>
                      <w:marBottom w:val="0"/>
                      <w:divBdr>
                        <w:top w:val="none" w:sz="0" w:space="0" w:color="auto"/>
                        <w:left w:val="none" w:sz="0" w:space="0" w:color="auto"/>
                        <w:bottom w:val="none" w:sz="0" w:space="0" w:color="auto"/>
                        <w:right w:val="none" w:sz="0" w:space="0" w:color="auto"/>
                      </w:divBdr>
                    </w:div>
                  </w:divsChild>
                </w:div>
                <w:div w:id="81875719">
                  <w:marLeft w:val="0"/>
                  <w:marRight w:val="0"/>
                  <w:marTop w:val="0"/>
                  <w:marBottom w:val="0"/>
                  <w:divBdr>
                    <w:top w:val="none" w:sz="0" w:space="0" w:color="auto"/>
                    <w:left w:val="none" w:sz="0" w:space="0" w:color="auto"/>
                    <w:bottom w:val="none" w:sz="0" w:space="0" w:color="auto"/>
                    <w:right w:val="none" w:sz="0" w:space="0" w:color="auto"/>
                  </w:divBdr>
                  <w:divsChild>
                    <w:div w:id="1458792072">
                      <w:marLeft w:val="0"/>
                      <w:marRight w:val="0"/>
                      <w:marTop w:val="0"/>
                      <w:marBottom w:val="0"/>
                      <w:divBdr>
                        <w:top w:val="none" w:sz="0" w:space="0" w:color="auto"/>
                        <w:left w:val="none" w:sz="0" w:space="0" w:color="auto"/>
                        <w:bottom w:val="none" w:sz="0" w:space="0" w:color="auto"/>
                        <w:right w:val="none" w:sz="0" w:space="0" w:color="auto"/>
                      </w:divBdr>
                    </w:div>
                  </w:divsChild>
                </w:div>
                <w:div w:id="123353534">
                  <w:marLeft w:val="0"/>
                  <w:marRight w:val="0"/>
                  <w:marTop w:val="0"/>
                  <w:marBottom w:val="0"/>
                  <w:divBdr>
                    <w:top w:val="none" w:sz="0" w:space="0" w:color="auto"/>
                    <w:left w:val="none" w:sz="0" w:space="0" w:color="auto"/>
                    <w:bottom w:val="none" w:sz="0" w:space="0" w:color="auto"/>
                    <w:right w:val="none" w:sz="0" w:space="0" w:color="auto"/>
                  </w:divBdr>
                  <w:divsChild>
                    <w:div w:id="1340155853">
                      <w:marLeft w:val="0"/>
                      <w:marRight w:val="0"/>
                      <w:marTop w:val="0"/>
                      <w:marBottom w:val="0"/>
                      <w:divBdr>
                        <w:top w:val="none" w:sz="0" w:space="0" w:color="auto"/>
                        <w:left w:val="none" w:sz="0" w:space="0" w:color="auto"/>
                        <w:bottom w:val="none" w:sz="0" w:space="0" w:color="auto"/>
                        <w:right w:val="none" w:sz="0" w:space="0" w:color="auto"/>
                      </w:divBdr>
                    </w:div>
                  </w:divsChild>
                </w:div>
                <w:div w:id="169029715">
                  <w:marLeft w:val="0"/>
                  <w:marRight w:val="0"/>
                  <w:marTop w:val="0"/>
                  <w:marBottom w:val="0"/>
                  <w:divBdr>
                    <w:top w:val="none" w:sz="0" w:space="0" w:color="auto"/>
                    <w:left w:val="none" w:sz="0" w:space="0" w:color="auto"/>
                    <w:bottom w:val="none" w:sz="0" w:space="0" w:color="auto"/>
                    <w:right w:val="none" w:sz="0" w:space="0" w:color="auto"/>
                  </w:divBdr>
                  <w:divsChild>
                    <w:div w:id="2106606660">
                      <w:marLeft w:val="0"/>
                      <w:marRight w:val="0"/>
                      <w:marTop w:val="0"/>
                      <w:marBottom w:val="0"/>
                      <w:divBdr>
                        <w:top w:val="none" w:sz="0" w:space="0" w:color="auto"/>
                        <w:left w:val="none" w:sz="0" w:space="0" w:color="auto"/>
                        <w:bottom w:val="none" w:sz="0" w:space="0" w:color="auto"/>
                        <w:right w:val="none" w:sz="0" w:space="0" w:color="auto"/>
                      </w:divBdr>
                    </w:div>
                  </w:divsChild>
                </w:div>
                <w:div w:id="265700534">
                  <w:marLeft w:val="0"/>
                  <w:marRight w:val="0"/>
                  <w:marTop w:val="0"/>
                  <w:marBottom w:val="0"/>
                  <w:divBdr>
                    <w:top w:val="none" w:sz="0" w:space="0" w:color="auto"/>
                    <w:left w:val="none" w:sz="0" w:space="0" w:color="auto"/>
                    <w:bottom w:val="none" w:sz="0" w:space="0" w:color="auto"/>
                    <w:right w:val="none" w:sz="0" w:space="0" w:color="auto"/>
                  </w:divBdr>
                  <w:divsChild>
                    <w:div w:id="556938451">
                      <w:marLeft w:val="0"/>
                      <w:marRight w:val="0"/>
                      <w:marTop w:val="0"/>
                      <w:marBottom w:val="0"/>
                      <w:divBdr>
                        <w:top w:val="none" w:sz="0" w:space="0" w:color="auto"/>
                        <w:left w:val="none" w:sz="0" w:space="0" w:color="auto"/>
                        <w:bottom w:val="none" w:sz="0" w:space="0" w:color="auto"/>
                        <w:right w:val="none" w:sz="0" w:space="0" w:color="auto"/>
                      </w:divBdr>
                    </w:div>
                  </w:divsChild>
                </w:div>
                <w:div w:id="313218366">
                  <w:marLeft w:val="0"/>
                  <w:marRight w:val="0"/>
                  <w:marTop w:val="0"/>
                  <w:marBottom w:val="0"/>
                  <w:divBdr>
                    <w:top w:val="none" w:sz="0" w:space="0" w:color="auto"/>
                    <w:left w:val="none" w:sz="0" w:space="0" w:color="auto"/>
                    <w:bottom w:val="none" w:sz="0" w:space="0" w:color="auto"/>
                    <w:right w:val="none" w:sz="0" w:space="0" w:color="auto"/>
                  </w:divBdr>
                  <w:divsChild>
                    <w:div w:id="962346329">
                      <w:marLeft w:val="0"/>
                      <w:marRight w:val="0"/>
                      <w:marTop w:val="0"/>
                      <w:marBottom w:val="0"/>
                      <w:divBdr>
                        <w:top w:val="none" w:sz="0" w:space="0" w:color="auto"/>
                        <w:left w:val="none" w:sz="0" w:space="0" w:color="auto"/>
                        <w:bottom w:val="none" w:sz="0" w:space="0" w:color="auto"/>
                        <w:right w:val="none" w:sz="0" w:space="0" w:color="auto"/>
                      </w:divBdr>
                    </w:div>
                  </w:divsChild>
                </w:div>
                <w:div w:id="418019530">
                  <w:marLeft w:val="0"/>
                  <w:marRight w:val="0"/>
                  <w:marTop w:val="0"/>
                  <w:marBottom w:val="0"/>
                  <w:divBdr>
                    <w:top w:val="none" w:sz="0" w:space="0" w:color="auto"/>
                    <w:left w:val="none" w:sz="0" w:space="0" w:color="auto"/>
                    <w:bottom w:val="none" w:sz="0" w:space="0" w:color="auto"/>
                    <w:right w:val="none" w:sz="0" w:space="0" w:color="auto"/>
                  </w:divBdr>
                  <w:divsChild>
                    <w:div w:id="1898856510">
                      <w:marLeft w:val="0"/>
                      <w:marRight w:val="0"/>
                      <w:marTop w:val="0"/>
                      <w:marBottom w:val="0"/>
                      <w:divBdr>
                        <w:top w:val="none" w:sz="0" w:space="0" w:color="auto"/>
                        <w:left w:val="none" w:sz="0" w:space="0" w:color="auto"/>
                        <w:bottom w:val="none" w:sz="0" w:space="0" w:color="auto"/>
                        <w:right w:val="none" w:sz="0" w:space="0" w:color="auto"/>
                      </w:divBdr>
                    </w:div>
                  </w:divsChild>
                </w:div>
                <w:div w:id="473179081">
                  <w:marLeft w:val="0"/>
                  <w:marRight w:val="0"/>
                  <w:marTop w:val="0"/>
                  <w:marBottom w:val="0"/>
                  <w:divBdr>
                    <w:top w:val="none" w:sz="0" w:space="0" w:color="auto"/>
                    <w:left w:val="none" w:sz="0" w:space="0" w:color="auto"/>
                    <w:bottom w:val="none" w:sz="0" w:space="0" w:color="auto"/>
                    <w:right w:val="none" w:sz="0" w:space="0" w:color="auto"/>
                  </w:divBdr>
                  <w:divsChild>
                    <w:div w:id="466633156">
                      <w:marLeft w:val="0"/>
                      <w:marRight w:val="0"/>
                      <w:marTop w:val="0"/>
                      <w:marBottom w:val="0"/>
                      <w:divBdr>
                        <w:top w:val="none" w:sz="0" w:space="0" w:color="auto"/>
                        <w:left w:val="none" w:sz="0" w:space="0" w:color="auto"/>
                        <w:bottom w:val="none" w:sz="0" w:space="0" w:color="auto"/>
                        <w:right w:val="none" w:sz="0" w:space="0" w:color="auto"/>
                      </w:divBdr>
                    </w:div>
                  </w:divsChild>
                </w:div>
                <w:div w:id="575356696">
                  <w:marLeft w:val="0"/>
                  <w:marRight w:val="0"/>
                  <w:marTop w:val="0"/>
                  <w:marBottom w:val="0"/>
                  <w:divBdr>
                    <w:top w:val="none" w:sz="0" w:space="0" w:color="auto"/>
                    <w:left w:val="none" w:sz="0" w:space="0" w:color="auto"/>
                    <w:bottom w:val="none" w:sz="0" w:space="0" w:color="auto"/>
                    <w:right w:val="none" w:sz="0" w:space="0" w:color="auto"/>
                  </w:divBdr>
                  <w:divsChild>
                    <w:div w:id="1149858111">
                      <w:marLeft w:val="0"/>
                      <w:marRight w:val="0"/>
                      <w:marTop w:val="0"/>
                      <w:marBottom w:val="0"/>
                      <w:divBdr>
                        <w:top w:val="none" w:sz="0" w:space="0" w:color="auto"/>
                        <w:left w:val="none" w:sz="0" w:space="0" w:color="auto"/>
                        <w:bottom w:val="none" w:sz="0" w:space="0" w:color="auto"/>
                        <w:right w:val="none" w:sz="0" w:space="0" w:color="auto"/>
                      </w:divBdr>
                    </w:div>
                  </w:divsChild>
                </w:div>
                <w:div w:id="605116433">
                  <w:marLeft w:val="0"/>
                  <w:marRight w:val="0"/>
                  <w:marTop w:val="0"/>
                  <w:marBottom w:val="0"/>
                  <w:divBdr>
                    <w:top w:val="none" w:sz="0" w:space="0" w:color="auto"/>
                    <w:left w:val="none" w:sz="0" w:space="0" w:color="auto"/>
                    <w:bottom w:val="none" w:sz="0" w:space="0" w:color="auto"/>
                    <w:right w:val="none" w:sz="0" w:space="0" w:color="auto"/>
                  </w:divBdr>
                  <w:divsChild>
                    <w:div w:id="313721026">
                      <w:marLeft w:val="0"/>
                      <w:marRight w:val="0"/>
                      <w:marTop w:val="0"/>
                      <w:marBottom w:val="0"/>
                      <w:divBdr>
                        <w:top w:val="none" w:sz="0" w:space="0" w:color="auto"/>
                        <w:left w:val="none" w:sz="0" w:space="0" w:color="auto"/>
                        <w:bottom w:val="none" w:sz="0" w:space="0" w:color="auto"/>
                        <w:right w:val="none" w:sz="0" w:space="0" w:color="auto"/>
                      </w:divBdr>
                    </w:div>
                  </w:divsChild>
                </w:div>
                <w:div w:id="661735560">
                  <w:marLeft w:val="0"/>
                  <w:marRight w:val="0"/>
                  <w:marTop w:val="0"/>
                  <w:marBottom w:val="0"/>
                  <w:divBdr>
                    <w:top w:val="none" w:sz="0" w:space="0" w:color="auto"/>
                    <w:left w:val="none" w:sz="0" w:space="0" w:color="auto"/>
                    <w:bottom w:val="none" w:sz="0" w:space="0" w:color="auto"/>
                    <w:right w:val="none" w:sz="0" w:space="0" w:color="auto"/>
                  </w:divBdr>
                  <w:divsChild>
                    <w:div w:id="1412848948">
                      <w:marLeft w:val="0"/>
                      <w:marRight w:val="0"/>
                      <w:marTop w:val="0"/>
                      <w:marBottom w:val="0"/>
                      <w:divBdr>
                        <w:top w:val="none" w:sz="0" w:space="0" w:color="auto"/>
                        <w:left w:val="none" w:sz="0" w:space="0" w:color="auto"/>
                        <w:bottom w:val="none" w:sz="0" w:space="0" w:color="auto"/>
                        <w:right w:val="none" w:sz="0" w:space="0" w:color="auto"/>
                      </w:divBdr>
                    </w:div>
                  </w:divsChild>
                </w:div>
                <w:div w:id="702285634">
                  <w:marLeft w:val="0"/>
                  <w:marRight w:val="0"/>
                  <w:marTop w:val="0"/>
                  <w:marBottom w:val="0"/>
                  <w:divBdr>
                    <w:top w:val="none" w:sz="0" w:space="0" w:color="auto"/>
                    <w:left w:val="none" w:sz="0" w:space="0" w:color="auto"/>
                    <w:bottom w:val="none" w:sz="0" w:space="0" w:color="auto"/>
                    <w:right w:val="none" w:sz="0" w:space="0" w:color="auto"/>
                  </w:divBdr>
                  <w:divsChild>
                    <w:div w:id="800926300">
                      <w:marLeft w:val="0"/>
                      <w:marRight w:val="0"/>
                      <w:marTop w:val="0"/>
                      <w:marBottom w:val="0"/>
                      <w:divBdr>
                        <w:top w:val="none" w:sz="0" w:space="0" w:color="auto"/>
                        <w:left w:val="none" w:sz="0" w:space="0" w:color="auto"/>
                        <w:bottom w:val="none" w:sz="0" w:space="0" w:color="auto"/>
                        <w:right w:val="none" w:sz="0" w:space="0" w:color="auto"/>
                      </w:divBdr>
                    </w:div>
                  </w:divsChild>
                </w:div>
                <w:div w:id="764233977">
                  <w:marLeft w:val="0"/>
                  <w:marRight w:val="0"/>
                  <w:marTop w:val="0"/>
                  <w:marBottom w:val="0"/>
                  <w:divBdr>
                    <w:top w:val="none" w:sz="0" w:space="0" w:color="auto"/>
                    <w:left w:val="none" w:sz="0" w:space="0" w:color="auto"/>
                    <w:bottom w:val="none" w:sz="0" w:space="0" w:color="auto"/>
                    <w:right w:val="none" w:sz="0" w:space="0" w:color="auto"/>
                  </w:divBdr>
                  <w:divsChild>
                    <w:div w:id="1898203753">
                      <w:marLeft w:val="0"/>
                      <w:marRight w:val="0"/>
                      <w:marTop w:val="0"/>
                      <w:marBottom w:val="0"/>
                      <w:divBdr>
                        <w:top w:val="none" w:sz="0" w:space="0" w:color="auto"/>
                        <w:left w:val="none" w:sz="0" w:space="0" w:color="auto"/>
                        <w:bottom w:val="none" w:sz="0" w:space="0" w:color="auto"/>
                        <w:right w:val="none" w:sz="0" w:space="0" w:color="auto"/>
                      </w:divBdr>
                    </w:div>
                  </w:divsChild>
                </w:div>
                <w:div w:id="791945333">
                  <w:marLeft w:val="0"/>
                  <w:marRight w:val="0"/>
                  <w:marTop w:val="0"/>
                  <w:marBottom w:val="0"/>
                  <w:divBdr>
                    <w:top w:val="none" w:sz="0" w:space="0" w:color="auto"/>
                    <w:left w:val="none" w:sz="0" w:space="0" w:color="auto"/>
                    <w:bottom w:val="none" w:sz="0" w:space="0" w:color="auto"/>
                    <w:right w:val="none" w:sz="0" w:space="0" w:color="auto"/>
                  </w:divBdr>
                  <w:divsChild>
                    <w:div w:id="1678266378">
                      <w:marLeft w:val="0"/>
                      <w:marRight w:val="0"/>
                      <w:marTop w:val="0"/>
                      <w:marBottom w:val="0"/>
                      <w:divBdr>
                        <w:top w:val="none" w:sz="0" w:space="0" w:color="auto"/>
                        <w:left w:val="none" w:sz="0" w:space="0" w:color="auto"/>
                        <w:bottom w:val="none" w:sz="0" w:space="0" w:color="auto"/>
                        <w:right w:val="none" w:sz="0" w:space="0" w:color="auto"/>
                      </w:divBdr>
                    </w:div>
                  </w:divsChild>
                </w:div>
                <w:div w:id="804735285">
                  <w:marLeft w:val="0"/>
                  <w:marRight w:val="0"/>
                  <w:marTop w:val="0"/>
                  <w:marBottom w:val="0"/>
                  <w:divBdr>
                    <w:top w:val="none" w:sz="0" w:space="0" w:color="auto"/>
                    <w:left w:val="none" w:sz="0" w:space="0" w:color="auto"/>
                    <w:bottom w:val="none" w:sz="0" w:space="0" w:color="auto"/>
                    <w:right w:val="none" w:sz="0" w:space="0" w:color="auto"/>
                  </w:divBdr>
                  <w:divsChild>
                    <w:div w:id="345639738">
                      <w:marLeft w:val="0"/>
                      <w:marRight w:val="0"/>
                      <w:marTop w:val="0"/>
                      <w:marBottom w:val="0"/>
                      <w:divBdr>
                        <w:top w:val="none" w:sz="0" w:space="0" w:color="auto"/>
                        <w:left w:val="none" w:sz="0" w:space="0" w:color="auto"/>
                        <w:bottom w:val="none" w:sz="0" w:space="0" w:color="auto"/>
                        <w:right w:val="none" w:sz="0" w:space="0" w:color="auto"/>
                      </w:divBdr>
                    </w:div>
                  </w:divsChild>
                </w:div>
                <w:div w:id="812603532">
                  <w:marLeft w:val="0"/>
                  <w:marRight w:val="0"/>
                  <w:marTop w:val="0"/>
                  <w:marBottom w:val="0"/>
                  <w:divBdr>
                    <w:top w:val="none" w:sz="0" w:space="0" w:color="auto"/>
                    <w:left w:val="none" w:sz="0" w:space="0" w:color="auto"/>
                    <w:bottom w:val="none" w:sz="0" w:space="0" w:color="auto"/>
                    <w:right w:val="none" w:sz="0" w:space="0" w:color="auto"/>
                  </w:divBdr>
                  <w:divsChild>
                    <w:div w:id="162626243">
                      <w:marLeft w:val="0"/>
                      <w:marRight w:val="0"/>
                      <w:marTop w:val="0"/>
                      <w:marBottom w:val="0"/>
                      <w:divBdr>
                        <w:top w:val="none" w:sz="0" w:space="0" w:color="auto"/>
                        <w:left w:val="none" w:sz="0" w:space="0" w:color="auto"/>
                        <w:bottom w:val="none" w:sz="0" w:space="0" w:color="auto"/>
                        <w:right w:val="none" w:sz="0" w:space="0" w:color="auto"/>
                      </w:divBdr>
                    </w:div>
                  </w:divsChild>
                </w:div>
                <w:div w:id="817192228">
                  <w:marLeft w:val="0"/>
                  <w:marRight w:val="0"/>
                  <w:marTop w:val="0"/>
                  <w:marBottom w:val="0"/>
                  <w:divBdr>
                    <w:top w:val="none" w:sz="0" w:space="0" w:color="auto"/>
                    <w:left w:val="none" w:sz="0" w:space="0" w:color="auto"/>
                    <w:bottom w:val="none" w:sz="0" w:space="0" w:color="auto"/>
                    <w:right w:val="none" w:sz="0" w:space="0" w:color="auto"/>
                  </w:divBdr>
                  <w:divsChild>
                    <w:div w:id="118228113">
                      <w:marLeft w:val="0"/>
                      <w:marRight w:val="0"/>
                      <w:marTop w:val="0"/>
                      <w:marBottom w:val="0"/>
                      <w:divBdr>
                        <w:top w:val="none" w:sz="0" w:space="0" w:color="auto"/>
                        <w:left w:val="none" w:sz="0" w:space="0" w:color="auto"/>
                        <w:bottom w:val="none" w:sz="0" w:space="0" w:color="auto"/>
                        <w:right w:val="none" w:sz="0" w:space="0" w:color="auto"/>
                      </w:divBdr>
                    </w:div>
                  </w:divsChild>
                </w:div>
                <w:div w:id="845751334">
                  <w:marLeft w:val="0"/>
                  <w:marRight w:val="0"/>
                  <w:marTop w:val="0"/>
                  <w:marBottom w:val="0"/>
                  <w:divBdr>
                    <w:top w:val="none" w:sz="0" w:space="0" w:color="auto"/>
                    <w:left w:val="none" w:sz="0" w:space="0" w:color="auto"/>
                    <w:bottom w:val="none" w:sz="0" w:space="0" w:color="auto"/>
                    <w:right w:val="none" w:sz="0" w:space="0" w:color="auto"/>
                  </w:divBdr>
                  <w:divsChild>
                    <w:div w:id="27072378">
                      <w:marLeft w:val="0"/>
                      <w:marRight w:val="0"/>
                      <w:marTop w:val="0"/>
                      <w:marBottom w:val="0"/>
                      <w:divBdr>
                        <w:top w:val="none" w:sz="0" w:space="0" w:color="auto"/>
                        <w:left w:val="none" w:sz="0" w:space="0" w:color="auto"/>
                        <w:bottom w:val="none" w:sz="0" w:space="0" w:color="auto"/>
                        <w:right w:val="none" w:sz="0" w:space="0" w:color="auto"/>
                      </w:divBdr>
                    </w:div>
                  </w:divsChild>
                </w:div>
                <w:div w:id="936869218">
                  <w:marLeft w:val="0"/>
                  <w:marRight w:val="0"/>
                  <w:marTop w:val="0"/>
                  <w:marBottom w:val="0"/>
                  <w:divBdr>
                    <w:top w:val="none" w:sz="0" w:space="0" w:color="auto"/>
                    <w:left w:val="none" w:sz="0" w:space="0" w:color="auto"/>
                    <w:bottom w:val="none" w:sz="0" w:space="0" w:color="auto"/>
                    <w:right w:val="none" w:sz="0" w:space="0" w:color="auto"/>
                  </w:divBdr>
                  <w:divsChild>
                    <w:div w:id="1209610612">
                      <w:marLeft w:val="0"/>
                      <w:marRight w:val="0"/>
                      <w:marTop w:val="0"/>
                      <w:marBottom w:val="0"/>
                      <w:divBdr>
                        <w:top w:val="none" w:sz="0" w:space="0" w:color="auto"/>
                        <w:left w:val="none" w:sz="0" w:space="0" w:color="auto"/>
                        <w:bottom w:val="none" w:sz="0" w:space="0" w:color="auto"/>
                        <w:right w:val="none" w:sz="0" w:space="0" w:color="auto"/>
                      </w:divBdr>
                    </w:div>
                  </w:divsChild>
                </w:div>
                <w:div w:id="957951554">
                  <w:marLeft w:val="0"/>
                  <w:marRight w:val="0"/>
                  <w:marTop w:val="0"/>
                  <w:marBottom w:val="0"/>
                  <w:divBdr>
                    <w:top w:val="none" w:sz="0" w:space="0" w:color="auto"/>
                    <w:left w:val="none" w:sz="0" w:space="0" w:color="auto"/>
                    <w:bottom w:val="none" w:sz="0" w:space="0" w:color="auto"/>
                    <w:right w:val="none" w:sz="0" w:space="0" w:color="auto"/>
                  </w:divBdr>
                  <w:divsChild>
                    <w:div w:id="2066103692">
                      <w:marLeft w:val="0"/>
                      <w:marRight w:val="0"/>
                      <w:marTop w:val="0"/>
                      <w:marBottom w:val="0"/>
                      <w:divBdr>
                        <w:top w:val="none" w:sz="0" w:space="0" w:color="auto"/>
                        <w:left w:val="none" w:sz="0" w:space="0" w:color="auto"/>
                        <w:bottom w:val="none" w:sz="0" w:space="0" w:color="auto"/>
                        <w:right w:val="none" w:sz="0" w:space="0" w:color="auto"/>
                      </w:divBdr>
                    </w:div>
                  </w:divsChild>
                </w:div>
                <w:div w:id="1001934367">
                  <w:marLeft w:val="0"/>
                  <w:marRight w:val="0"/>
                  <w:marTop w:val="0"/>
                  <w:marBottom w:val="0"/>
                  <w:divBdr>
                    <w:top w:val="none" w:sz="0" w:space="0" w:color="auto"/>
                    <w:left w:val="none" w:sz="0" w:space="0" w:color="auto"/>
                    <w:bottom w:val="none" w:sz="0" w:space="0" w:color="auto"/>
                    <w:right w:val="none" w:sz="0" w:space="0" w:color="auto"/>
                  </w:divBdr>
                  <w:divsChild>
                    <w:div w:id="1968319282">
                      <w:marLeft w:val="0"/>
                      <w:marRight w:val="0"/>
                      <w:marTop w:val="0"/>
                      <w:marBottom w:val="0"/>
                      <w:divBdr>
                        <w:top w:val="none" w:sz="0" w:space="0" w:color="auto"/>
                        <w:left w:val="none" w:sz="0" w:space="0" w:color="auto"/>
                        <w:bottom w:val="none" w:sz="0" w:space="0" w:color="auto"/>
                        <w:right w:val="none" w:sz="0" w:space="0" w:color="auto"/>
                      </w:divBdr>
                    </w:div>
                  </w:divsChild>
                </w:div>
                <w:div w:id="1066339895">
                  <w:marLeft w:val="0"/>
                  <w:marRight w:val="0"/>
                  <w:marTop w:val="0"/>
                  <w:marBottom w:val="0"/>
                  <w:divBdr>
                    <w:top w:val="none" w:sz="0" w:space="0" w:color="auto"/>
                    <w:left w:val="none" w:sz="0" w:space="0" w:color="auto"/>
                    <w:bottom w:val="none" w:sz="0" w:space="0" w:color="auto"/>
                    <w:right w:val="none" w:sz="0" w:space="0" w:color="auto"/>
                  </w:divBdr>
                  <w:divsChild>
                    <w:div w:id="502091566">
                      <w:marLeft w:val="0"/>
                      <w:marRight w:val="0"/>
                      <w:marTop w:val="0"/>
                      <w:marBottom w:val="0"/>
                      <w:divBdr>
                        <w:top w:val="none" w:sz="0" w:space="0" w:color="auto"/>
                        <w:left w:val="none" w:sz="0" w:space="0" w:color="auto"/>
                        <w:bottom w:val="none" w:sz="0" w:space="0" w:color="auto"/>
                        <w:right w:val="none" w:sz="0" w:space="0" w:color="auto"/>
                      </w:divBdr>
                    </w:div>
                    <w:div w:id="1580679390">
                      <w:marLeft w:val="0"/>
                      <w:marRight w:val="0"/>
                      <w:marTop w:val="0"/>
                      <w:marBottom w:val="0"/>
                      <w:divBdr>
                        <w:top w:val="none" w:sz="0" w:space="0" w:color="auto"/>
                        <w:left w:val="none" w:sz="0" w:space="0" w:color="auto"/>
                        <w:bottom w:val="none" w:sz="0" w:space="0" w:color="auto"/>
                        <w:right w:val="none" w:sz="0" w:space="0" w:color="auto"/>
                      </w:divBdr>
                    </w:div>
                  </w:divsChild>
                </w:div>
                <w:div w:id="1147747982">
                  <w:marLeft w:val="0"/>
                  <w:marRight w:val="0"/>
                  <w:marTop w:val="0"/>
                  <w:marBottom w:val="0"/>
                  <w:divBdr>
                    <w:top w:val="none" w:sz="0" w:space="0" w:color="auto"/>
                    <w:left w:val="none" w:sz="0" w:space="0" w:color="auto"/>
                    <w:bottom w:val="none" w:sz="0" w:space="0" w:color="auto"/>
                    <w:right w:val="none" w:sz="0" w:space="0" w:color="auto"/>
                  </w:divBdr>
                  <w:divsChild>
                    <w:div w:id="167015467">
                      <w:marLeft w:val="0"/>
                      <w:marRight w:val="0"/>
                      <w:marTop w:val="0"/>
                      <w:marBottom w:val="0"/>
                      <w:divBdr>
                        <w:top w:val="none" w:sz="0" w:space="0" w:color="auto"/>
                        <w:left w:val="none" w:sz="0" w:space="0" w:color="auto"/>
                        <w:bottom w:val="none" w:sz="0" w:space="0" w:color="auto"/>
                        <w:right w:val="none" w:sz="0" w:space="0" w:color="auto"/>
                      </w:divBdr>
                    </w:div>
                  </w:divsChild>
                </w:div>
                <w:div w:id="1184633446">
                  <w:marLeft w:val="0"/>
                  <w:marRight w:val="0"/>
                  <w:marTop w:val="0"/>
                  <w:marBottom w:val="0"/>
                  <w:divBdr>
                    <w:top w:val="none" w:sz="0" w:space="0" w:color="auto"/>
                    <w:left w:val="none" w:sz="0" w:space="0" w:color="auto"/>
                    <w:bottom w:val="none" w:sz="0" w:space="0" w:color="auto"/>
                    <w:right w:val="none" w:sz="0" w:space="0" w:color="auto"/>
                  </w:divBdr>
                  <w:divsChild>
                    <w:div w:id="490371312">
                      <w:marLeft w:val="0"/>
                      <w:marRight w:val="0"/>
                      <w:marTop w:val="0"/>
                      <w:marBottom w:val="0"/>
                      <w:divBdr>
                        <w:top w:val="none" w:sz="0" w:space="0" w:color="auto"/>
                        <w:left w:val="none" w:sz="0" w:space="0" w:color="auto"/>
                        <w:bottom w:val="none" w:sz="0" w:space="0" w:color="auto"/>
                        <w:right w:val="none" w:sz="0" w:space="0" w:color="auto"/>
                      </w:divBdr>
                    </w:div>
                  </w:divsChild>
                </w:div>
                <w:div w:id="1282148158">
                  <w:marLeft w:val="0"/>
                  <w:marRight w:val="0"/>
                  <w:marTop w:val="0"/>
                  <w:marBottom w:val="0"/>
                  <w:divBdr>
                    <w:top w:val="none" w:sz="0" w:space="0" w:color="auto"/>
                    <w:left w:val="none" w:sz="0" w:space="0" w:color="auto"/>
                    <w:bottom w:val="none" w:sz="0" w:space="0" w:color="auto"/>
                    <w:right w:val="none" w:sz="0" w:space="0" w:color="auto"/>
                  </w:divBdr>
                  <w:divsChild>
                    <w:div w:id="1623000266">
                      <w:marLeft w:val="0"/>
                      <w:marRight w:val="0"/>
                      <w:marTop w:val="0"/>
                      <w:marBottom w:val="0"/>
                      <w:divBdr>
                        <w:top w:val="none" w:sz="0" w:space="0" w:color="auto"/>
                        <w:left w:val="none" w:sz="0" w:space="0" w:color="auto"/>
                        <w:bottom w:val="none" w:sz="0" w:space="0" w:color="auto"/>
                        <w:right w:val="none" w:sz="0" w:space="0" w:color="auto"/>
                      </w:divBdr>
                    </w:div>
                  </w:divsChild>
                </w:div>
                <w:div w:id="1380206775">
                  <w:marLeft w:val="0"/>
                  <w:marRight w:val="0"/>
                  <w:marTop w:val="0"/>
                  <w:marBottom w:val="0"/>
                  <w:divBdr>
                    <w:top w:val="none" w:sz="0" w:space="0" w:color="auto"/>
                    <w:left w:val="none" w:sz="0" w:space="0" w:color="auto"/>
                    <w:bottom w:val="none" w:sz="0" w:space="0" w:color="auto"/>
                    <w:right w:val="none" w:sz="0" w:space="0" w:color="auto"/>
                  </w:divBdr>
                  <w:divsChild>
                    <w:div w:id="954943578">
                      <w:marLeft w:val="0"/>
                      <w:marRight w:val="0"/>
                      <w:marTop w:val="0"/>
                      <w:marBottom w:val="0"/>
                      <w:divBdr>
                        <w:top w:val="none" w:sz="0" w:space="0" w:color="auto"/>
                        <w:left w:val="none" w:sz="0" w:space="0" w:color="auto"/>
                        <w:bottom w:val="none" w:sz="0" w:space="0" w:color="auto"/>
                        <w:right w:val="none" w:sz="0" w:space="0" w:color="auto"/>
                      </w:divBdr>
                    </w:div>
                  </w:divsChild>
                </w:div>
                <w:div w:id="1415929582">
                  <w:marLeft w:val="0"/>
                  <w:marRight w:val="0"/>
                  <w:marTop w:val="0"/>
                  <w:marBottom w:val="0"/>
                  <w:divBdr>
                    <w:top w:val="none" w:sz="0" w:space="0" w:color="auto"/>
                    <w:left w:val="none" w:sz="0" w:space="0" w:color="auto"/>
                    <w:bottom w:val="none" w:sz="0" w:space="0" w:color="auto"/>
                    <w:right w:val="none" w:sz="0" w:space="0" w:color="auto"/>
                  </w:divBdr>
                  <w:divsChild>
                    <w:div w:id="1414934740">
                      <w:marLeft w:val="0"/>
                      <w:marRight w:val="0"/>
                      <w:marTop w:val="0"/>
                      <w:marBottom w:val="0"/>
                      <w:divBdr>
                        <w:top w:val="none" w:sz="0" w:space="0" w:color="auto"/>
                        <w:left w:val="none" w:sz="0" w:space="0" w:color="auto"/>
                        <w:bottom w:val="none" w:sz="0" w:space="0" w:color="auto"/>
                        <w:right w:val="none" w:sz="0" w:space="0" w:color="auto"/>
                      </w:divBdr>
                    </w:div>
                  </w:divsChild>
                </w:div>
                <w:div w:id="1474297982">
                  <w:marLeft w:val="0"/>
                  <w:marRight w:val="0"/>
                  <w:marTop w:val="0"/>
                  <w:marBottom w:val="0"/>
                  <w:divBdr>
                    <w:top w:val="none" w:sz="0" w:space="0" w:color="auto"/>
                    <w:left w:val="none" w:sz="0" w:space="0" w:color="auto"/>
                    <w:bottom w:val="none" w:sz="0" w:space="0" w:color="auto"/>
                    <w:right w:val="none" w:sz="0" w:space="0" w:color="auto"/>
                  </w:divBdr>
                  <w:divsChild>
                    <w:div w:id="958878244">
                      <w:marLeft w:val="0"/>
                      <w:marRight w:val="0"/>
                      <w:marTop w:val="0"/>
                      <w:marBottom w:val="0"/>
                      <w:divBdr>
                        <w:top w:val="none" w:sz="0" w:space="0" w:color="auto"/>
                        <w:left w:val="none" w:sz="0" w:space="0" w:color="auto"/>
                        <w:bottom w:val="none" w:sz="0" w:space="0" w:color="auto"/>
                        <w:right w:val="none" w:sz="0" w:space="0" w:color="auto"/>
                      </w:divBdr>
                    </w:div>
                  </w:divsChild>
                </w:div>
                <w:div w:id="1556508242">
                  <w:marLeft w:val="0"/>
                  <w:marRight w:val="0"/>
                  <w:marTop w:val="0"/>
                  <w:marBottom w:val="0"/>
                  <w:divBdr>
                    <w:top w:val="none" w:sz="0" w:space="0" w:color="auto"/>
                    <w:left w:val="none" w:sz="0" w:space="0" w:color="auto"/>
                    <w:bottom w:val="none" w:sz="0" w:space="0" w:color="auto"/>
                    <w:right w:val="none" w:sz="0" w:space="0" w:color="auto"/>
                  </w:divBdr>
                  <w:divsChild>
                    <w:div w:id="1638880041">
                      <w:marLeft w:val="0"/>
                      <w:marRight w:val="0"/>
                      <w:marTop w:val="0"/>
                      <w:marBottom w:val="0"/>
                      <w:divBdr>
                        <w:top w:val="none" w:sz="0" w:space="0" w:color="auto"/>
                        <w:left w:val="none" w:sz="0" w:space="0" w:color="auto"/>
                        <w:bottom w:val="none" w:sz="0" w:space="0" w:color="auto"/>
                        <w:right w:val="none" w:sz="0" w:space="0" w:color="auto"/>
                      </w:divBdr>
                    </w:div>
                  </w:divsChild>
                </w:div>
                <w:div w:id="1587962509">
                  <w:marLeft w:val="0"/>
                  <w:marRight w:val="0"/>
                  <w:marTop w:val="0"/>
                  <w:marBottom w:val="0"/>
                  <w:divBdr>
                    <w:top w:val="none" w:sz="0" w:space="0" w:color="auto"/>
                    <w:left w:val="none" w:sz="0" w:space="0" w:color="auto"/>
                    <w:bottom w:val="none" w:sz="0" w:space="0" w:color="auto"/>
                    <w:right w:val="none" w:sz="0" w:space="0" w:color="auto"/>
                  </w:divBdr>
                  <w:divsChild>
                    <w:div w:id="244193281">
                      <w:marLeft w:val="0"/>
                      <w:marRight w:val="0"/>
                      <w:marTop w:val="0"/>
                      <w:marBottom w:val="0"/>
                      <w:divBdr>
                        <w:top w:val="none" w:sz="0" w:space="0" w:color="auto"/>
                        <w:left w:val="none" w:sz="0" w:space="0" w:color="auto"/>
                        <w:bottom w:val="none" w:sz="0" w:space="0" w:color="auto"/>
                        <w:right w:val="none" w:sz="0" w:space="0" w:color="auto"/>
                      </w:divBdr>
                    </w:div>
                  </w:divsChild>
                </w:div>
                <w:div w:id="1649284606">
                  <w:marLeft w:val="0"/>
                  <w:marRight w:val="0"/>
                  <w:marTop w:val="0"/>
                  <w:marBottom w:val="0"/>
                  <w:divBdr>
                    <w:top w:val="none" w:sz="0" w:space="0" w:color="auto"/>
                    <w:left w:val="none" w:sz="0" w:space="0" w:color="auto"/>
                    <w:bottom w:val="none" w:sz="0" w:space="0" w:color="auto"/>
                    <w:right w:val="none" w:sz="0" w:space="0" w:color="auto"/>
                  </w:divBdr>
                  <w:divsChild>
                    <w:div w:id="641927344">
                      <w:marLeft w:val="0"/>
                      <w:marRight w:val="0"/>
                      <w:marTop w:val="0"/>
                      <w:marBottom w:val="0"/>
                      <w:divBdr>
                        <w:top w:val="none" w:sz="0" w:space="0" w:color="auto"/>
                        <w:left w:val="none" w:sz="0" w:space="0" w:color="auto"/>
                        <w:bottom w:val="none" w:sz="0" w:space="0" w:color="auto"/>
                        <w:right w:val="none" w:sz="0" w:space="0" w:color="auto"/>
                      </w:divBdr>
                    </w:div>
                  </w:divsChild>
                </w:div>
                <w:div w:id="1893038198">
                  <w:marLeft w:val="0"/>
                  <w:marRight w:val="0"/>
                  <w:marTop w:val="0"/>
                  <w:marBottom w:val="0"/>
                  <w:divBdr>
                    <w:top w:val="none" w:sz="0" w:space="0" w:color="auto"/>
                    <w:left w:val="none" w:sz="0" w:space="0" w:color="auto"/>
                    <w:bottom w:val="none" w:sz="0" w:space="0" w:color="auto"/>
                    <w:right w:val="none" w:sz="0" w:space="0" w:color="auto"/>
                  </w:divBdr>
                  <w:divsChild>
                    <w:div w:id="1884322317">
                      <w:marLeft w:val="0"/>
                      <w:marRight w:val="0"/>
                      <w:marTop w:val="0"/>
                      <w:marBottom w:val="0"/>
                      <w:divBdr>
                        <w:top w:val="none" w:sz="0" w:space="0" w:color="auto"/>
                        <w:left w:val="none" w:sz="0" w:space="0" w:color="auto"/>
                        <w:bottom w:val="none" w:sz="0" w:space="0" w:color="auto"/>
                        <w:right w:val="none" w:sz="0" w:space="0" w:color="auto"/>
                      </w:divBdr>
                    </w:div>
                  </w:divsChild>
                </w:div>
                <w:div w:id="1894536947">
                  <w:marLeft w:val="0"/>
                  <w:marRight w:val="0"/>
                  <w:marTop w:val="0"/>
                  <w:marBottom w:val="0"/>
                  <w:divBdr>
                    <w:top w:val="none" w:sz="0" w:space="0" w:color="auto"/>
                    <w:left w:val="none" w:sz="0" w:space="0" w:color="auto"/>
                    <w:bottom w:val="none" w:sz="0" w:space="0" w:color="auto"/>
                    <w:right w:val="none" w:sz="0" w:space="0" w:color="auto"/>
                  </w:divBdr>
                  <w:divsChild>
                    <w:div w:id="1184126451">
                      <w:marLeft w:val="0"/>
                      <w:marRight w:val="0"/>
                      <w:marTop w:val="0"/>
                      <w:marBottom w:val="0"/>
                      <w:divBdr>
                        <w:top w:val="none" w:sz="0" w:space="0" w:color="auto"/>
                        <w:left w:val="none" w:sz="0" w:space="0" w:color="auto"/>
                        <w:bottom w:val="none" w:sz="0" w:space="0" w:color="auto"/>
                        <w:right w:val="none" w:sz="0" w:space="0" w:color="auto"/>
                      </w:divBdr>
                    </w:div>
                  </w:divsChild>
                </w:div>
                <w:div w:id="2137947083">
                  <w:marLeft w:val="0"/>
                  <w:marRight w:val="0"/>
                  <w:marTop w:val="0"/>
                  <w:marBottom w:val="0"/>
                  <w:divBdr>
                    <w:top w:val="none" w:sz="0" w:space="0" w:color="auto"/>
                    <w:left w:val="none" w:sz="0" w:space="0" w:color="auto"/>
                    <w:bottom w:val="none" w:sz="0" w:space="0" w:color="auto"/>
                    <w:right w:val="none" w:sz="0" w:space="0" w:color="auto"/>
                  </w:divBdr>
                  <w:divsChild>
                    <w:div w:id="1447694917">
                      <w:marLeft w:val="0"/>
                      <w:marRight w:val="0"/>
                      <w:marTop w:val="0"/>
                      <w:marBottom w:val="0"/>
                      <w:divBdr>
                        <w:top w:val="none" w:sz="0" w:space="0" w:color="auto"/>
                        <w:left w:val="none" w:sz="0" w:space="0" w:color="auto"/>
                        <w:bottom w:val="none" w:sz="0" w:space="0" w:color="auto"/>
                        <w:right w:val="none" w:sz="0" w:space="0" w:color="auto"/>
                      </w:divBdr>
                    </w:div>
                  </w:divsChild>
                </w:div>
                <w:div w:id="2140102933">
                  <w:marLeft w:val="0"/>
                  <w:marRight w:val="0"/>
                  <w:marTop w:val="0"/>
                  <w:marBottom w:val="0"/>
                  <w:divBdr>
                    <w:top w:val="none" w:sz="0" w:space="0" w:color="auto"/>
                    <w:left w:val="none" w:sz="0" w:space="0" w:color="auto"/>
                    <w:bottom w:val="none" w:sz="0" w:space="0" w:color="auto"/>
                    <w:right w:val="none" w:sz="0" w:space="0" w:color="auto"/>
                  </w:divBdr>
                  <w:divsChild>
                    <w:div w:id="10847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59473">
          <w:marLeft w:val="0"/>
          <w:marRight w:val="0"/>
          <w:marTop w:val="0"/>
          <w:marBottom w:val="0"/>
          <w:divBdr>
            <w:top w:val="none" w:sz="0" w:space="0" w:color="auto"/>
            <w:left w:val="none" w:sz="0" w:space="0" w:color="auto"/>
            <w:bottom w:val="none" w:sz="0" w:space="0" w:color="auto"/>
            <w:right w:val="none" w:sz="0" w:space="0" w:color="auto"/>
          </w:divBdr>
        </w:div>
        <w:div w:id="1226449109">
          <w:marLeft w:val="0"/>
          <w:marRight w:val="0"/>
          <w:marTop w:val="0"/>
          <w:marBottom w:val="0"/>
          <w:divBdr>
            <w:top w:val="none" w:sz="0" w:space="0" w:color="auto"/>
            <w:left w:val="none" w:sz="0" w:space="0" w:color="auto"/>
            <w:bottom w:val="none" w:sz="0" w:space="0" w:color="auto"/>
            <w:right w:val="none" w:sz="0" w:space="0" w:color="auto"/>
          </w:divBdr>
        </w:div>
        <w:div w:id="1271206643">
          <w:marLeft w:val="0"/>
          <w:marRight w:val="0"/>
          <w:marTop w:val="0"/>
          <w:marBottom w:val="0"/>
          <w:divBdr>
            <w:top w:val="none" w:sz="0" w:space="0" w:color="auto"/>
            <w:left w:val="none" w:sz="0" w:space="0" w:color="auto"/>
            <w:bottom w:val="none" w:sz="0" w:space="0" w:color="auto"/>
            <w:right w:val="none" w:sz="0" w:space="0" w:color="auto"/>
          </w:divBdr>
        </w:div>
        <w:div w:id="1279989044">
          <w:marLeft w:val="0"/>
          <w:marRight w:val="0"/>
          <w:marTop w:val="0"/>
          <w:marBottom w:val="0"/>
          <w:divBdr>
            <w:top w:val="none" w:sz="0" w:space="0" w:color="auto"/>
            <w:left w:val="none" w:sz="0" w:space="0" w:color="auto"/>
            <w:bottom w:val="none" w:sz="0" w:space="0" w:color="auto"/>
            <w:right w:val="none" w:sz="0" w:space="0" w:color="auto"/>
          </w:divBdr>
        </w:div>
        <w:div w:id="1286734790">
          <w:marLeft w:val="0"/>
          <w:marRight w:val="0"/>
          <w:marTop w:val="0"/>
          <w:marBottom w:val="0"/>
          <w:divBdr>
            <w:top w:val="none" w:sz="0" w:space="0" w:color="auto"/>
            <w:left w:val="none" w:sz="0" w:space="0" w:color="auto"/>
            <w:bottom w:val="none" w:sz="0" w:space="0" w:color="auto"/>
            <w:right w:val="none" w:sz="0" w:space="0" w:color="auto"/>
          </w:divBdr>
        </w:div>
        <w:div w:id="1288195988">
          <w:marLeft w:val="0"/>
          <w:marRight w:val="0"/>
          <w:marTop w:val="0"/>
          <w:marBottom w:val="0"/>
          <w:divBdr>
            <w:top w:val="none" w:sz="0" w:space="0" w:color="auto"/>
            <w:left w:val="none" w:sz="0" w:space="0" w:color="auto"/>
            <w:bottom w:val="none" w:sz="0" w:space="0" w:color="auto"/>
            <w:right w:val="none" w:sz="0" w:space="0" w:color="auto"/>
          </w:divBdr>
        </w:div>
        <w:div w:id="1289819665">
          <w:marLeft w:val="0"/>
          <w:marRight w:val="0"/>
          <w:marTop w:val="0"/>
          <w:marBottom w:val="0"/>
          <w:divBdr>
            <w:top w:val="none" w:sz="0" w:space="0" w:color="auto"/>
            <w:left w:val="none" w:sz="0" w:space="0" w:color="auto"/>
            <w:bottom w:val="none" w:sz="0" w:space="0" w:color="auto"/>
            <w:right w:val="none" w:sz="0" w:space="0" w:color="auto"/>
          </w:divBdr>
        </w:div>
        <w:div w:id="1299726332">
          <w:marLeft w:val="0"/>
          <w:marRight w:val="0"/>
          <w:marTop w:val="0"/>
          <w:marBottom w:val="0"/>
          <w:divBdr>
            <w:top w:val="none" w:sz="0" w:space="0" w:color="auto"/>
            <w:left w:val="none" w:sz="0" w:space="0" w:color="auto"/>
            <w:bottom w:val="none" w:sz="0" w:space="0" w:color="auto"/>
            <w:right w:val="none" w:sz="0" w:space="0" w:color="auto"/>
          </w:divBdr>
        </w:div>
        <w:div w:id="1302534686">
          <w:marLeft w:val="0"/>
          <w:marRight w:val="0"/>
          <w:marTop w:val="0"/>
          <w:marBottom w:val="0"/>
          <w:divBdr>
            <w:top w:val="none" w:sz="0" w:space="0" w:color="auto"/>
            <w:left w:val="none" w:sz="0" w:space="0" w:color="auto"/>
            <w:bottom w:val="none" w:sz="0" w:space="0" w:color="auto"/>
            <w:right w:val="none" w:sz="0" w:space="0" w:color="auto"/>
          </w:divBdr>
        </w:div>
        <w:div w:id="1307971241">
          <w:marLeft w:val="0"/>
          <w:marRight w:val="0"/>
          <w:marTop w:val="0"/>
          <w:marBottom w:val="0"/>
          <w:divBdr>
            <w:top w:val="none" w:sz="0" w:space="0" w:color="auto"/>
            <w:left w:val="none" w:sz="0" w:space="0" w:color="auto"/>
            <w:bottom w:val="none" w:sz="0" w:space="0" w:color="auto"/>
            <w:right w:val="none" w:sz="0" w:space="0" w:color="auto"/>
          </w:divBdr>
          <w:divsChild>
            <w:div w:id="1880362300">
              <w:marLeft w:val="-75"/>
              <w:marRight w:val="0"/>
              <w:marTop w:val="30"/>
              <w:marBottom w:val="30"/>
              <w:divBdr>
                <w:top w:val="none" w:sz="0" w:space="0" w:color="auto"/>
                <w:left w:val="none" w:sz="0" w:space="0" w:color="auto"/>
                <w:bottom w:val="none" w:sz="0" w:space="0" w:color="auto"/>
                <w:right w:val="none" w:sz="0" w:space="0" w:color="auto"/>
              </w:divBdr>
              <w:divsChild>
                <w:div w:id="11107170">
                  <w:marLeft w:val="0"/>
                  <w:marRight w:val="0"/>
                  <w:marTop w:val="0"/>
                  <w:marBottom w:val="0"/>
                  <w:divBdr>
                    <w:top w:val="none" w:sz="0" w:space="0" w:color="auto"/>
                    <w:left w:val="none" w:sz="0" w:space="0" w:color="auto"/>
                    <w:bottom w:val="none" w:sz="0" w:space="0" w:color="auto"/>
                    <w:right w:val="none" w:sz="0" w:space="0" w:color="auto"/>
                  </w:divBdr>
                  <w:divsChild>
                    <w:div w:id="602802216">
                      <w:marLeft w:val="0"/>
                      <w:marRight w:val="0"/>
                      <w:marTop w:val="0"/>
                      <w:marBottom w:val="0"/>
                      <w:divBdr>
                        <w:top w:val="none" w:sz="0" w:space="0" w:color="auto"/>
                        <w:left w:val="none" w:sz="0" w:space="0" w:color="auto"/>
                        <w:bottom w:val="none" w:sz="0" w:space="0" w:color="auto"/>
                        <w:right w:val="none" w:sz="0" w:space="0" w:color="auto"/>
                      </w:divBdr>
                    </w:div>
                  </w:divsChild>
                </w:div>
                <w:div w:id="73675412">
                  <w:marLeft w:val="0"/>
                  <w:marRight w:val="0"/>
                  <w:marTop w:val="0"/>
                  <w:marBottom w:val="0"/>
                  <w:divBdr>
                    <w:top w:val="none" w:sz="0" w:space="0" w:color="auto"/>
                    <w:left w:val="none" w:sz="0" w:space="0" w:color="auto"/>
                    <w:bottom w:val="none" w:sz="0" w:space="0" w:color="auto"/>
                    <w:right w:val="none" w:sz="0" w:space="0" w:color="auto"/>
                  </w:divBdr>
                  <w:divsChild>
                    <w:div w:id="1832403272">
                      <w:marLeft w:val="0"/>
                      <w:marRight w:val="0"/>
                      <w:marTop w:val="0"/>
                      <w:marBottom w:val="0"/>
                      <w:divBdr>
                        <w:top w:val="none" w:sz="0" w:space="0" w:color="auto"/>
                        <w:left w:val="none" w:sz="0" w:space="0" w:color="auto"/>
                        <w:bottom w:val="none" w:sz="0" w:space="0" w:color="auto"/>
                        <w:right w:val="none" w:sz="0" w:space="0" w:color="auto"/>
                      </w:divBdr>
                    </w:div>
                  </w:divsChild>
                </w:div>
                <w:div w:id="112094099">
                  <w:marLeft w:val="0"/>
                  <w:marRight w:val="0"/>
                  <w:marTop w:val="0"/>
                  <w:marBottom w:val="0"/>
                  <w:divBdr>
                    <w:top w:val="none" w:sz="0" w:space="0" w:color="auto"/>
                    <w:left w:val="none" w:sz="0" w:space="0" w:color="auto"/>
                    <w:bottom w:val="none" w:sz="0" w:space="0" w:color="auto"/>
                    <w:right w:val="none" w:sz="0" w:space="0" w:color="auto"/>
                  </w:divBdr>
                  <w:divsChild>
                    <w:div w:id="175538095">
                      <w:marLeft w:val="0"/>
                      <w:marRight w:val="0"/>
                      <w:marTop w:val="0"/>
                      <w:marBottom w:val="0"/>
                      <w:divBdr>
                        <w:top w:val="none" w:sz="0" w:space="0" w:color="auto"/>
                        <w:left w:val="none" w:sz="0" w:space="0" w:color="auto"/>
                        <w:bottom w:val="none" w:sz="0" w:space="0" w:color="auto"/>
                        <w:right w:val="none" w:sz="0" w:space="0" w:color="auto"/>
                      </w:divBdr>
                    </w:div>
                  </w:divsChild>
                </w:div>
                <w:div w:id="408817007">
                  <w:marLeft w:val="0"/>
                  <w:marRight w:val="0"/>
                  <w:marTop w:val="0"/>
                  <w:marBottom w:val="0"/>
                  <w:divBdr>
                    <w:top w:val="none" w:sz="0" w:space="0" w:color="auto"/>
                    <w:left w:val="none" w:sz="0" w:space="0" w:color="auto"/>
                    <w:bottom w:val="none" w:sz="0" w:space="0" w:color="auto"/>
                    <w:right w:val="none" w:sz="0" w:space="0" w:color="auto"/>
                  </w:divBdr>
                  <w:divsChild>
                    <w:div w:id="520703402">
                      <w:marLeft w:val="0"/>
                      <w:marRight w:val="0"/>
                      <w:marTop w:val="0"/>
                      <w:marBottom w:val="0"/>
                      <w:divBdr>
                        <w:top w:val="none" w:sz="0" w:space="0" w:color="auto"/>
                        <w:left w:val="none" w:sz="0" w:space="0" w:color="auto"/>
                        <w:bottom w:val="none" w:sz="0" w:space="0" w:color="auto"/>
                        <w:right w:val="none" w:sz="0" w:space="0" w:color="auto"/>
                      </w:divBdr>
                    </w:div>
                  </w:divsChild>
                </w:div>
                <w:div w:id="499587392">
                  <w:marLeft w:val="0"/>
                  <w:marRight w:val="0"/>
                  <w:marTop w:val="0"/>
                  <w:marBottom w:val="0"/>
                  <w:divBdr>
                    <w:top w:val="none" w:sz="0" w:space="0" w:color="auto"/>
                    <w:left w:val="none" w:sz="0" w:space="0" w:color="auto"/>
                    <w:bottom w:val="none" w:sz="0" w:space="0" w:color="auto"/>
                    <w:right w:val="none" w:sz="0" w:space="0" w:color="auto"/>
                  </w:divBdr>
                  <w:divsChild>
                    <w:div w:id="589701677">
                      <w:marLeft w:val="0"/>
                      <w:marRight w:val="0"/>
                      <w:marTop w:val="0"/>
                      <w:marBottom w:val="0"/>
                      <w:divBdr>
                        <w:top w:val="none" w:sz="0" w:space="0" w:color="auto"/>
                        <w:left w:val="none" w:sz="0" w:space="0" w:color="auto"/>
                        <w:bottom w:val="none" w:sz="0" w:space="0" w:color="auto"/>
                        <w:right w:val="none" w:sz="0" w:space="0" w:color="auto"/>
                      </w:divBdr>
                    </w:div>
                  </w:divsChild>
                </w:div>
                <w:div w:id="502012428">
                  <w:marLeft w:val="0"/>
                  <w:marRight w:val="0"/>
                  <w:marTop w:val="0"/>
                  <w:marBottom w:val="0"/>
                  <w:divBdr>
                    <w:top w:val="none" w:sz="0" w:space="0" w:color="auto"/>
                    <w:left w:val="none" w:sz="0" w:space="0" w:color="auto"/>
                    <w:bottom w:val="none" w:sz="0" w:space="0" w:color="auto"/>
                    <w:right w:val="none" w:sz="0" w:space="0" w:color="auto"/>
                  </w:divBdr>
                  <w:divsChild>
                    <w:div w:id="563443784">
                      <w:marLeft w:val="0"/>
                      <w:marRight w:val="0"/>
                      <w:marTop w:val="0"/>
                      <w:marBottom w:val="0"/>
                      <w:divBdr>
                        <w:top w:val="none" w:sz="0" w:space="0" w:color="auto"/>
                        <w:left w:val="none" w:sz="0" w:space="0" w:color="auto"/>
                        <w:bottom w:val="none" w:sz="0" w:space="0" w:color="auto"/>
                        <w:right w:val="none" w:sz="0" w:space="0" w:color="auto"/>
                      </w:divBdr>
                    </w:div>
                  </w:divsChild>
                </w:div>
                <w:div w:id="540942783">
                  <w:marLeft w:val="0"/>
                  <w:marRight w:val="0"/>
                  <w:marTop w:val="0"/>
                  <w:marBottom w:val="0"/>
                  <w:divBdr>
                    <w:top w:val="none" w:sz="0" w:space="0" w:color="auto"/>
                    <w:left w:val="none" w:sz="0" w:space="0" w:color="auto"/>
                    <w:bottom w:val="none" w:sz="0" w:space="0" w:color="auto"/>
                    <w:right w:val="none" w:sz="0" w:space="0" w:color="auto"/>
                  </w:divBdr>
                  <w:divsChild>
                    <w:div w:id="1539127841">
                      <w:marLeft w:val="0"/>
                      <w:marRight w:val="0"/>
                      <w:marTop w:val="0"/>
                      <w:marBottom w:val="0"/>
                      <w:divBdr>
                        <w:top w:val="none" w:sz="0" w:space="0" w:color="auto"/>
                        <w:left w:val="none" w:sz="0" w:space="0" w:color="auto"/>
                        <w:bottom w:val="none" w:sz="0" w:space="0" w:color="auto"/>
                        <w:right w:val="none" w:sz="0" w:space="0" w:color="auto"/>
                      </w:divBdr>
                    </w:div>
                  </w:divsChild>
                </w:div>
                <w:div w:id="545062993">
                  <w:marLeft w:val="0"/>
                  <w:marRight w:val="0"/>
                  <w:marTop w:val="0"/>
                  <w:marBottom w:val="0"/>
                  <w:divBdr>
                    <w:top w:val="none" w:sz="0" w:space="0" w:color="auto"/>
                    <w:left w:val="none" w:sz="0" w:space="0" w:color="auto"/>
                    <w:bottom w:val="none" w:sz="0" w:space="0" w:color="auto"/>
                    <w:right w:val="none" w:sz="0" w:space="0" w:color="auto"/>
                  </w:divBdr>
                  <w:divsChild>
                    <w:div w:id="118106663">
                      <w:marLeft w:val="0"/>
                      <w:marRight w:val="0"/>
                      <w:marTop w:val="0"/>
                      <w:marBottom w:val="0"/>
                      <w:divBdr>
                        <w:top w:val="none" w:sz="0" w:space="0" w:color="auto"/>
                        <w:left w:val="none" w:sz="0" w:space="0" w:color="auto"/>
                        <w:bottom w:val="none" w:sz="0" w:space="0" w:color="auto"/>
                        <w:right w:val="none" w:sz="0" w:space="0" w:color="auto"/>
                      </w:divBdr>
                    </w:div>
                  </w:divsChild>
                </w:div>
                <w:div w:id="573127705">
                  <w:marLeft w:val="0"/>
                  <w:marRight w:val="0"/>
                  <w:marTop w:val="0"/>
                  <w:marBottom w:val="0"/>
                  <w:divBdr>
                    <w:top w:val="none" w:sz="0" w:space="0" w:color="auto"/>
                    <w:left w:val="none" w:sz="0" w:space="0" w:color="auto"/>
                    <w:bottom w:val="none" w:sz="0" w:space="0" w:color="auto"/>
                    <w:right w:val="none" w:sz="0" w:space="0" w:color="auto"/>
                  </w:divBdr>
                  <w:divsChild>
                    <w:div w:id="545216442">
                      <w:marLeft w:val="0"/>
                      <w:marRight w:val="0"/>
                      <w:marTop w:val="0"/>
                      <w:marBottom w:val="0"/>
                      <w:divBdr>
                        <w:top w:val="none" w:sz="0" w:space="0" w:color="auto"/>
                        <w:left w:val="none" w:sz="0" w:space="0" w:color="auto"/>
                        <w:bottom w:val="none" w:sz="0" w:space="0" w:color="auto"/>
                        <w:right w:val="none" w:sz="0" w:space="0" w:color="auto"/>
                      </w:divBdr>
                    </w:div>
                  </w:divsChild>
                </w:div>
                <w:div w:id="625160142">
                  <w:marLeft w:val="0"/>
                  <w:marRight w:val="0"/>
                  <w:marTop w:val="0"/>
                  <w:marBottom w:val="0"/>
                  <w:divBdr>
                    <w:top w:val="none" w:sz="0" w:space="0" w:color="auto"/>
                    <w:left w:val="none" w:sz="0" w:space="0" w:color="auto"/>
                    <w:bottom w:val="none" w:sz="0" w:space="0" w:color="auto"/>
                    <w:right w:val="none" w:sz="0" w:space="0" w:color="auto"/>
                  </w:divBdr>
                  <w:divsChild>
                    <w:div w:id="2104104142">
                      <w:marLeft w:val="0"/>
                      <w:marRight w:val="0"/>
                      <w:marTop w:val="0"/>
                      <w:marBottom w:val="0"/>
                      <w:divBdr>
                        <w:top w:val="none" w:sz="0" w:space="0" w:color="auto"/>
                        <w:left w:val="none" w:sz="0" w:space="0" w:color="auto"/>
                        <w:bottom w:val="none" w:sz="0" w:space="0" w:color="auto"/>
                        <w:right w:val="none" w:sz="0" w:space="0" w:color="auto"/>
                      </w:divBdr>
                    </w:div>
                  </w:divsChild>
                </w:div>
                <w:div w:id="668825482">
                  <w:marLeft w:val="0"/>
                  <w:marRight w:val="0"/>
                  <w:marTop w:val="0"/>
                  <w:marBottom w:val="0"/>
                  <w:divBdr>
                    <w:top w:val="none" w:sz="0" w:space="0" w:color="auto"/>
                    <w:left w:val="none" w:sz="0" w:space="0" w:color="auto"/>
                    <w:bottom w:val="none" w:sz="0" w:space="0" w:color="auto"/>
                    <w:right w:val="none" w:sz="0" w:space="0" w:color="auto"/>
                  </w:divBdr>
                  <w:divsChild>
                    <w:div w:id="1482767812">
                      <w:marLeft w:val="0"/>
                      <w:marRight w:val="0"/>
                      <w:marTop w:val="0"/>
                      <w:marBottom w:val="0"/>
                      <w:divBdr>
                        <w:top w:val="none" w:sz="0" w:space="0" w:color="auto"/>
                        <w:left w:val="none" w:sz="0" w:space="0" w:color="auto"/>
                        <w:bottom w:val="none" w:sz="0" w:space="0" w:color="auto"/>
                        <w:right w:val="none" w:sz="0" w:space="0" w:color="auto"/>
                      </w:divBdr>
                    </w:div>
                  </w:divsChild>
                </w:div>
                <w:div w:id="718356365">
                  <w:marLeft w:val="0"/>
                  <w:marRight w:val="0"/>
                  <w:marTop w:val="0"/>
                  <w:marBottom w:val="0"/>
                  <w:divBdr>
                    <w:top w:val="none" w:sz="0" w:space="0" w:color="auto"/>
                    <w:left w:val="none" w:sz="0" w:space="0" w:color="auto"/>
                    <w:bottom w:val="none" w:sz="0" w:space="0" w:color="auto"/>
                    <w:right w:val="none" w:sz="0" w:space="0" w:color="auto"/>
                  </w:divBdr>
                  <w:divsChild>
                    <w:div w:id="1535994134">
                      <w:marLeft w:val="0"/>
                      <w:marRight w:val="0"/>
                      <w:marTop w:val="0"/>
                      <w:marBottom w:val="0"/>
                      <w:divBdr>
                        <w:top w:val="none" w:sz="0" w:space="0" w:color="auto"/>
                        <w:left w:val="none" w:sz="0" w:space="0" w:color="auto"/>
                        <w:bottom w:val="none" w:sz="0" w:space="0" w:color="auto"/>
                        <w:right w:val="none" w:sz="0" w:space="0" w:color="auto"/>
                      </w:divBdr>
                    </w:div>
                  </w:divsChild>
                </w:div>
                <w:div w:id="743144780">
                  <w:marLeft w:val="0"/>
                  <w:marRight w:val="0"/>
                  <w:marTop w:val="0"/>
                  <w:marBottom w:val="0"/>
                  <w:divBdr>
                    <w:top w:val="none" w:sz="0" w:space="0" w:color="auto"/>
                    <w:left w:val="none" w:sz="0" w:space="0" w:color="auto"/>
                    <w:bottom w:val="none" w:sz="0" w:space="0" w:color="auto"/>
                    <w:right w:val="none" w:sz="0" w:space="0" w:color="auto"/>
                  </w:divBdr>
                  <w:divsChild>
                    <w:div w:id="128859518">
                      <w:marLeft w:val="0"/>
                      <w:marRight w:val="0"/>
                      <w:marTop w:val="0"/>
                      <w:marBottom w:val="0"/>
                      <w:divBdr>
                        <w:top w:val="none" w:sz="0" w:space="0" w:color="auto"/>
                        <w:left w:val="none" w:sz="0" w:space="0" w:color="auto"/>
                        <w:bottom w:val="none" w:sz="0" w:space="0" w:color="auto"/>
                        <w:right w:val="none" w:sz="0" w:space="0" w:color="auto"/>
                      </w:divBdr>
                    </w:div>
                  </w:divsChild>
                </w:div>
                <w:div w:id="815607624">
                  <w:marLeft w:val="0"/>
                  <w:marRight w:val="0"/>
                  <w:marTop w:val="0"/>
                  <w:marBottom w:val="0"/>
                  <w:divBdr>
                    <w:top w:val="none" w:sz="0" w:space="0" w:color="auto"/>
                    <w:left w:val="none" w:sz="0" w:space="0" w:color="auto"/>
                    <w:bottom w:val="none" w:sz="0" w:space="0" w:color="auto"/>
                    <w:right w:val="none" w:sz="0" w:space="0" w:color="auto"/>
                  </w:divBdr>
                  <w:divsChild>
                    <w:div w:id="1363898777">
                      <w:marLeft w:val="0"/>
                      <w:marRight w:val="0"/>
                      <w:marTop w:val="0"/>
                      <w:marBottom w:val="0"/>
                      <w:divBdr>
                        <w:top w:val="none" w:sz="0" w:space="0" w:color="auto"/>
                        <w:left w:val="none" w:sz="0" w:space="0" w:color="auto"/>
                        <w:bottom w:val="none" w:sz="0" w:space="0" w:color="auto"/>
                        <w:right w:val="none" w:sz="0" w:space="0" w:color="auto"/>
                      </w:divBdr>
                    </w:div>
                  </w:divsChild>
                </w:div>
                <w:div w:id="917055604">
                  <w:marLeft w:val="0"/>
                  <w:marRight w:val="0"/>
                  <w:marTop w:val="0"/>
                  <w:marBottom w:val="0"/>
                  <w:divBdr>
                    <w:top w:val="none" w:sz="0" w:space="0" w:color="auto"/>
                    <w:left w:val="none" w:sz="0" w:space="0" w:color="auto"/>
                    <w:bottom w:val="none" w:sz="0" w:space="0" w:color="auto"/>
                    <w:right w:val="none" w:sz="0" w:space="0" w:color="auto"/>
                  </w:divBdr>
                  <w:divsChild>
                    <w:div w:id="2134513283">
                      <w:marLeft w:val="0"/>
                      <w:marRight w:val="0"/>
                      <w:marTop w:val="0"/>
                      <w:marBottom w:val="0"/>
                      <w:divBdr>
                        <w:top w:val="none" w:sz="0" w:space="0" w:color="auto"/>
                        <w:left w:val="none" w:sz="0" w:space="0" w:color="auto"/>
                        <w:bottom w:val="none" w:sz="0" w:space="0" w:color="auto"/>
                        <w:right w:val="none" w:sz="0" w:space="0" w:color="auto"/>
                      </w:divBdr>
                    </w:div>
                  </w:divsChild>
                </w:div>
                <w:div w:id="987519577">
                  <w:marLeft w:val="0"/>
                  <w:marRight w:val="0"/>
                  <w:marTop w:val="0"/>
                  <w:marBottom w:val="0"/>
                  <w:divBdr>
                    <w:top w:val="none" w:sz="0" w:space="0" w:color="auto"/>
                    <w:left w:val="none" w:sz="0" w:space="0" w:color="auto"/>
                    <w:bottom w:val="none" w:sz="0" w:space="0" w:color="auto"/>
                    <w:right w:val="none" w:sz="0" w:space="0" w:color="auto"/>
                  </w:divBdr>
                  <w:divsChild>
                    <w:div w:id="843662639">
                      <w:marLeft w:val="0"/>
                      <w:marRight w:val="0"/>
                      <w:marTop w:val="0"/>
                      <w:marBottom w:val="0"/>
                      <w:divBdr>
                        <w:top w:val="none" w:sz="0" w:space="0" w:color="auto"/>
                        <w:left w:val="none" w:sz="0" w:space="0" w:color="auto"/>
                        <w:bottom w:val="none" w:sz="0" w:space="0" w:color="auto"/>
                        <w:right w:val="none" w:sz="0" w:space="0" w:color="auto"/>
                      </w:divBdr>
                    </w:div>
                  </w:divsChild>
                </w:div>
                <w:div w:id="1019308294">
                  <w:marLeft w:val="0"/>
                  <w:marRight w:val="0"/>
                  <w:marTop w:val="0"/>
                  <w:marBottom w:val="0"/>
                  <w:divBdr>
                    <w:top w:val="none" w:sz="0" w:space="0" w:color="auto"/>
                    <w:left w:val="none" w:sz="0" w:space="0" w:color="auto"/>
                    <w:bottom w:val="none" w:sz="0" w:space="0" w:color="auto"/>
                    <w:right w:val="none" w:sz="0" w:space="0" w:color="auto"/>
                  </w:divBdr>
                  <w:divsChild>
                    <w:div w:id="1618412379">
                      <w:marLeft w:val="0"/>
                      <w:marRight w:val="0"/>
                      <w:marTop w:val="0"/>
                      <w:marBottom w:val="0"/>
                      <w:divBdr>
                        <w:top w:val="none" w:sz="0" w:space="0" w:color="auto"/>
                        <w:left w:val="none" w:sz="0" w:space="0" w:color="auto"/>
                        <w:bottom w:val="none" w:sz="0" w:space="0" w:color="auto"/>
                        <w:right w:val="none" w:sz="0" w:space="0" w:color="auto"/>
                      </w:divBdr>
                    </w:div>
                  </w:divsChild>
                </w:div>
                <w:div w:id="1070613541">
                  <w:marLeft w:val="0"/>
                  <w:marRight w:val="0"/>
                  <w:marTop w:val="0"/>
                  <w:marBottom w:val="0"/>
                  <w:divBdr>
                    <w:top w:val="none" w:sz="0" w:space="0" w:color="auto"/>
                    <w:left w:val="none" w:sz="0" w:space="0" w:color="auto"/>
                    <w:bottom w:val="none" w:sz="0" w:space="0" w:color="auto"/>
                    <w:right w:val="none" w:sz="0" w:space="0" w:color="auto"/>
                  </w:divBdr>
                  <w:divsChild>
                    <w:div w:id="1820145629">
                      <w:marLeft w:val="0"/>
                      <w:marRight w:val="0"/>
                      <w:marTop w:val="0"/>
                      <w:marBottom w:val="0"/>
                      <w:divBdr>
                        <w:top w:val="none" w:sz="0" w:space="0" w:color="auto"/>
                        <w:left w:val="none" w:sz="0" w:space="0" w:color="auto"/>
                        <w:bottom w:val="none" w:sz="0" w:space="0" w:color="auto"/>
                        <w:right w:val="none" w:sz="0" w:space="0" w:color="auto"/>
                      </w:divBdr>
                    </w:div>
                  </w:divsChild>
                </w:div>
                <w:div w:id="1098330697">
                  <w:marLeft w:val="0"/>
                  <w:marRight w:val="0"/>
                  <w:marTop w:val="0"/>
                  <w:marBottom w:val="0"/>
                  <w:divBdr>
                    <w:top w:val="none" w:sz="0" w:space="0" w:color="auto"/>
                    <w:left w:val="none" w:sz="0" w:space="0" w:color="auto"/>
                    <w:bottom w:val="none" w:sz="0" w:space="0" w:color="auto"/>
                    <w:right w:val="none" w:sz="0" w:space="0" w:color="auto"/>
                  </w:divBdr>
                  <w:divsChild>
                    <w:div w:id="1512375485">
                      <w:marLeft w:val="0"/>
                      <w:marRight w:val="0"/>
                      <w:marTop w:val="0"/>
                      <w:marBottom w:val="0"/>
                      <w:divBdr>
                        <w:top w:val="none" w:sz="0" w:space="0" w:color="auto"/>
                        <w:left w:val="none" w:sz="0" w:space="0" w:color="auto"/>
                        <w:bottom w:val="none" w:sz="0" w:space="0" w:color="auto"/>
                        <w:right w:val="none" w:sz="0" w:space="0" w:color="auto"/>
                      </w:divBdr>
                    </w:div>
                  </w:divsChild>
                </w:div>
                <w:div w:id="1174489169">
                  <w:marLeft w:val="0"/>
                  <w:marRight w:val="0"/>
                  <w:marTop w:val="0"/>
                  <w:marBottom w:val="0"/>
                  <w:divBdr>
                    <w:top w:val="none" w:sz="0" w:space="0" w:color="auto"/>
                    <w:left w:val="none" w:sz="0" w:space="0" w:color="auto"/>
                    <w:bottom w:val="none" w:sz="0" w:space="0" w:color="auto"/>
                    <w:right w:val="none" w:sz="0" w:space="0" w:color="auto"/>
                  </w:divBdr>
                  <w:divsChild>
                    <w:div w:id="696198842">
                      <w:marLeft w:val="0"/>
                      <w:marRight w:val="0"/>
                      <w:marTop w:val="0"/>
                      <w:marBottom w:val="0"/>
                      <w:divBdr>
                        <w:top w:val="none" w:sz="0" w:space="0" w:color="auto"/>
                        <w:left w:val="none" w:sz="0" w:space="0" w:color="auto"/>
                        <w:bottom w:val="none" w:sz="0" w:space="0" w:color="auto"/>
                        <w:right w:val="none" w:sz="0" w:space="0" w:color="auto"/>
                      </w:divBdr>
                    </w:div>
                  </w:divsChild>
                </w:div>
                <w:div w:id="1258952194">
                  <w:marLeft w:val="0"/>
                  <w:marRight w:val="0"/>
                  <w:marTop w:val="0"/>
                  <w:marBottom w:val="0"/>
                  <w:divBdr>
                    <w:top w:val="none" w:sz="0" w:space="0" w:color="auto"/>
                    <w:left w:val="none" w:sz="0" w:space="0" w:color="auto"/>
                    <w:bottom w:val="none" w:sz="0" w:space="0" w:color="auto"/>
                    <w:right w:val="none" w:sz="0" w:space="0" w:color="auto"/>
                  </w:divBdr>
                  <w:divsChild>
                    <w:div w:id="339507160">
                      <w:marLeft w:val="0"/>
                      <w:marRight w:val="0"/>
                      <w:marTop w:val="0"/>
                      <w:marBottom w:val="0"/>
                      <w:divBdr>
                        <w:top w:val="none" w:sz="0" w:space="0" w:color="auto"/>
                        <w:left w:val="none" w:sz="0" w:space="0" w:color="auto"/>
                        <w:bottom w:val="none" w:sz="0" w:space="0" w:color="auto"/>
                        <w:right w:val="none" w:sz="0" w:space="0" w:color="auto"/>
                      </w:divBdr>
                    </w:div>
                    <w:div w:id="889658231">
                      <w:marLeft w:val="0"/>
                      <w:marRight w:val="0"/>
                      <w:marTop w:val="0"/>
                      <w:marBottom w:val="0"/>
                      <w:divBdr>
                        <w:top w:val="none" w:sz="0" w:space="0" w:color="auto"/>
                        <w:left w:val="none" w:sz="0" w:space="0" w:color="auto"/>
                        <w:bottom w:val="none" w:sz="0" w:space="0" w:color="auto"/>
                        <w:right w:val="none" w:sz="0" w:space="0" w:color="auto"/>
                      </w:divBdr>
                    </w:div>
                    <w:div w:id="1187139795">
                      <w:marLeft w:val="0"/>
                      <w:marRight w:val="0"/>
                      <w:marTop w:val="0"/>
                      <w:marBottom w:val="0"/>
                      <w:divBdr>
                        <w:top w:val="none" w:sz="0" w:space="0" w:color="auto"/>
                        <w:left w:val="none" w:sz="0" w:space="0" w:color="auto"/>
                        <w:bottom w:val="none" w:sz="0" w:space="0" w:color="auto"/>
                        <w:right w:val="none" w:sz="0" w:space="0" w:color="auto"/>
                      </w:divBdr>
                    </w:div>
                  </w:divsChild>
                </w:div>
                <w:div w:id="1317026984">
                  <w:marLeft w:val="0"/>
                  <w:marRight w:val="0"/>
                  <w:marTop w:val="0"/>
                  <w:marBottom w:val="0"/>
                  <w:divBdr>
                    <w:top w:val="none" w:sz="0" w:space="0" w:color="auto"/>
                    <w:left w:val="none" w:sz="0" w:space="0" w:color="auto"/>
                    <w:bottom w:val="none" w:sz="0" w:space="0" w:color="auto"/>
                    <w:right w:val="none" w:sz="0" w:space="0" w:color="auto"/>
                  </w:divBdr>
                  <w:divsChild>
                    <w:div w:id="728498415">
                      <w:marLeft w:val="0"/>
                      <w:marRight w:val="0"/>
                      <w:marTop w:val="0"/>
                      <w:marBottom w:val="0"/>
                      <w:divBdr>
                        <w:top w:val="none" w:sz="0" w:space="0" w:color="auto"/>
                        <w:left w:val="none" w:sz="0" w:space="0" w:color="auto"/>
                        <w:bottom w:val="none" w:sz="0" w:space="0" w:color="auto"/>
                        <w:right w:val="none" w:sz="0" w:space="0" w:color="auto"/>
                      </w:divBdr>
                    </w:div>
                  </w:divsChild>
                </w:div>
                <w:div w:id="1355810358">
                  <w:marLeft w:val="0"/>
                  <w:marRight w:val="0"/>
                  <w:marTop w:val="0"/>
                  <w:marBottom w:val="0"/>
                  <w:divBdr>
                    <w:top w:val="none" w:sz="0" w:space="0" w:color="auto"/>
                    <w:left w:val="none" w:sz="0" w:space="0" w:color="auto"/>
                    <w:bottom w:val="none" w:sz="0" w:space="0" w:color="auto"/>
                    <w:right w:val="none" w:sz="0" w:space="0" w:color="auto"/>
                  </w:divBdr>
                  <w:divsChild>
                    <w:div w:id="984820261">
                      <w:marLeft w:val="0"/>
                      <w:marRight w:val="0"/>
                      <w:marTop w:val="0"/>
                      <w:marBottom w:val="0"/>
                      <w:divBdr>
                        <w:top w:val="none" w:sz="0" w:space="0" w:color="auto"/>
                        <w:left w:val="none" w:sz="0" w:space="0" w:color="auto"/>
                        <w:bottom w:val="none" w:sz="0" w:space="0" w:color="auto"/>
                        <w:right w:val="none" w:sz="0" w:space="0" w:color="auto"/>
                      </w:divBdr>
                    </w:div>
                  </w:divsChild>
                </w:div>
                <w:div w:id="1383990201">
                  <w:marLeft w:val="0"/>
                  <w:marRight w:val="0"/>
                  <w:marTop w:val="0"/>
                  <w:marBottom w:val="0"/>
                  <w:divBdr>
                    <w:top w:val="none" w:sz="0" w:space="0" w:color="auto"/>
                    <w:left w:val="none" w:sz="0" w:space="0" w:color="auto"/>
                    <w:bottom w:val="none" w:sz="0" w:space="0" w:color="auto"/>
                    <w:right w:val="none" w:sz="0" w:space="0" w:color="auto"/>
                  </w:divBdr>
                  <w:divsChild>
                    <w:div w:id="907574683">
                      <w:marLeft w:val="0"/>
                      <w:marRight w:val="0"/>
                      <w:marTop w:val="0"/>
                      <w:marBottom w:val="0"/>
                      <w:divBdr>
                        <w:top w:val="none" w:sz="0" w:space="0" w:color="auto"/>
                        <w:left w:val="none" w:sz="0" w:space="0" w:color="auto"/>
                        <w:bottom w:val="none" w:sz="0" w:space="0" w:color="auto"/>
                        <w:right w:val="none" w:sz="0" w:space="0" w:color="auto"/>
                      </w:divBdr>
                    </w:div>
                  </w:divsChild>
                </w:div>
                <w:div w:id="1623226653">
                  <w:marLeft w:val="0"/>
                  <w:marRight w:val="0"/>
                  <w:marTop w:val="0"/>
                  <w:marBottom w:val="0"/>
                  <w:divBdr>
                    <w:top w:val="none" w:sz="0" w:space="0" w:color="auto"/>
                    <w:left w:val="none" w:sz="0" w:space="0" w:color="auto"/>
                    <w:bottom w:val="none" w:sz="0" w:space="0" w:color="auto"/>
                    <w:right w:val="none" w:sz="0" w:space="0" w:color="auto"/>
                  </w:divBdr>
                  <w:divsChild>
                    <w:div w:id="1369259692">
                      <w:marLeft w:val="0"/>
                      <w:marRight w:val="0"/>
                      <w:marTop w:val="0"/>
                      <w:marBottom w:val="0"/>
                      <w:divBdr>
                        <w:top w:val="none" w:sz="0" w:space="0" w:color="auto"/>
                        <w:left w:val="none" w:sz="0" w:space="0" w:color="auto"/>
                        <w:bottom w:val="none" w:sz="0" w:space="0" w:color="auto"/>
                        <w:right w:val="none" w:sz="0" w:space="0" w:color="auto"/>
                      </w:divBdr>
                    </w:div>
                  </w:divsChild>
                </w:div>
                <w:div w:id="1634871252">
                  <w:marLeft w:val="0"/>
                  <w:marRight w:val="0"/>
                  <w:marTop w:val="0"/>
                  <w:marBottom w:val="0"/>
                  <w:divBdr>
                    <w:top w:val="none" w:sz="0" w:space="0" w:color="auto"/>
                    <w:left w:val="none" w:sz="0" w:space="0" w:color="auto"/>
                    <w:bottom w:val="none" w:sz="0" w:space="0" w:color="auto"/>
                    <w:right w:val="none" w:sz="0" w:space="0" w:color="auto"/>
                  </w:divBdr>
                  <w:divsChild>
                    <w:div w:id="1902208787">
                      <w:marLeft w:val="0"/>
                      <w:marRight w:val="0"/>
                      <w:marTop w:val="0"/>
                      <w:marBottom w:val="0"/>
                      <w:divBdr>
                        <w:top w:val="none" w:sz="0" w:space="0" w:color="auto"/>
                        <w:left w:val="none" w:sz="0" w:space="0" w:color="auto"/>
                        <w:bottom w:val="none" w:sz="0" w:space="0" w:color="auto"/>
                        <w:right w:val="none" w:sz="0" w:space="0" w:color="auto"/>
                      </w:divBdr>
                    </w:div>
                  </w:divsChild>
                </w:div>
                <w:div w:id="1792018382">
                  <w:marLeft w:val="0"/>
                  <w:marRight w:val="0"/>
                  <w:marTop w:val="0"/>
                  <w:marBottom w:val="0"/>
                  <w:divBdr>
                    <w:top w:val="none" w:sz="0" w:space="0" w:color="auto"/>
                    <w:left w:val="none" w:sz="0" w:space="0" w:color="auto"/>
                    <w:bottom w:val="none" w:sz="0" w:space="0" w:color="auto"/>
                    <w:right w:val="none" w:sz="0" w:space="0" w:color="auto"/>
                  </w:divBdr>
                  <w:divsChild>
                    <w:div w:id="2044790697">
                      <w:marLeft w:val="0"/>
                      <w:marRight w:val="0"/>
                      <w:marTop w:val="0"/>
                      <w:marBottom w:val="0"/>
                      <w:divBdr>
                        <w:top w:val="none" w:sz="0" w:space="0" w:color="auto"/>
                        <w:left w:val="none" w:sz="0" w:space="0" w:color="auto"/>
                        <w:bottom w:val="none" w:sz="0" w:space="0" w:color="auto"/>
                        <w:right w:val="none" w:sz="0" w:space="0" w:color="auto"/>
                      </w:divBdr>
                    </w:div>
                  </w:divsChild>
                </w:div>
                <w:div w:id="1906143828">
                  <w:marLeft w:val="0"/>
                  <w:marRight w:val="0"/>
                  <w:marTop w:val="0"/>
                  <w:marBottom w:val="0"/>
                  <w:divBdr>
                    <w:top w:val="none" w:sz="0" w:space="0" w:color="auto"/>
                    <w:left w:val="none" w:sz="0" w:space="0" w:color="auto"/>
                    <w:bottom w:val="none" w:sz="0" w:space="0" w:color="auto"/>
                    <w:right w:val="none" w:sz="0" w:space="0" w:color="auto"/>
                  </w:divBdr>
                  <w:divsChild>
                    <w:div w:id="937835327">
                      <w:marLeft w:val="0"/>
                      <w:marRight w:val="0"/>
                      <w:marTop w:val="0"/>
                      <w:marBottom w:val="0"/>
                      <w:divBdr>
                        <w:top w:val="none" w:sz="0" w:space="0" w:color="auto"/>
                        <w:left w:val="none" w:sz="0" w:space="0" w:color="auto"/>
                        <w:bottom w:val="none" w:sz="0" w:space="0" w:color="auto"/>
                        <w:right w:val="none" w:sz="0" w:space="0" w:color="auto"/>
                      </w:divBdr>
                    </w:div>
                  </w:divsChild>
                </w:div>
                <w:div w:id="2020110984">
                  <w:marLeft w:val="0"/>
                  <w:marRight w:val="0"/>
                  <w:marTop w:val="0"/>
                  <w:marBottom w:val="0"/>
                  <w:divBdr>
                    <w:top w:val="none" w:sz="0" w:space="0" w:color="auto"/>
                    <w:left w:val="none" w:sz="0" w:space="0" w:color="auto"/>
                    <w:bottom w:val="none" w:sz="0" w:space="0" w:color="auto"/>
                    <w:right w:val="none" w:sz="0" w:space="0" w:color="auto"/>
                  </w:divBdr>
                  <w:divsChild>
                    <w:div w:id="1810047605">
                      <w:marLeft w:val="0"/>
                      <w:marRight w:val="0"/>
                      <w:marTop w:val="0"/>
                      <w:marBottom w:val="0"/>
                      <w:divBdr>
                        <w:top w:val="none" w:sz="0" w:space="0" w:color="auto"/>
                        <w:left w:val="none" w:sz="0" w:space="0" w:color="auto"/>
                        <w:bottom w:val="none" w:sz="0" w:space="0" w:color="auto"/>
                        <w:right w:val="none" w:sz="0" w:space="0" w:color="auto"/>
                      </w:divBdr>
                    </w:div>
                  </w:divsChild>
                </w:div>
                <w:div w:id="2058817853">
                  <w:marLeft w:val="0"/>
                  <w:marRight w:val="0"/>
                  <w:marTop w:val="0"/>
                  <w:marBottom w:val="0"/>
                  <w:divBdr>
                    <w:top w:val="none" w:sz="0" w:space="0" w:color="auto"/>
                    <w:left w:val="none" w:sz="0" w:space="0" w:color="auto"/>
                    <w:bottom w:val="none" w:sz="0" w:space="0" w:color="auto"/>
                    <w:right w:val="none" w:sz="0" w:space="0" w:color="auto"/>
                  </w:divBdr>
                  <w:divsChild>
                    <w:div w:id="387068351">
                      <w:marLeft w:val="0"/>
                      <w:marRight w:val="0"/>
                      <w:marTop w:val="0"/>
                      <w:marBottom w:val="0"/>
                      <w:divBdr>
                        <w:top w:val="none" w:sz="0" w:space="0" w:color="auto"/>
                        <w:left w:val="none" w:sz="0" w:space="0" w:color="auto"/>
                        <w:bottom w:val="none" w:sz="0" w:space="0" w:color="auto"/>
                        <w:right w:val="none" w:sz="0" w:space="0" w:color="auto"/>
                      </w:divBdr>
                    </w:div>
                  </w:divsChild>
                </w:div>
                <w:div w:id="2072843987">
                  <w:marLeft w:val="0"/>
                  <w:marRight w:val="0"/>
                  <w:marTop w:val="0"/>
                  <w:marBottom w:val="0"/>
                  <w:divBdr>
                    <w:top w:val="none" w:sz="0" w:space="0" w:color="auto"/>
                    <w:left w:val="none" w:sz="0" w:space="0" w:color="auto"/>
                    <w:bottom w:val="none" w:sz="0" w:space="0" w:color="auto"/>
                    <w:right w:val="none" w:sz="0" w:space="0" w:color="auto"/>
                  </w:divBdr>
                  <w:divsChild>
                    <w:div w:id="1381594370">
                      <w:marLeft w:val="0"/>
                      <w:marRight w:val="0"/>
                      <w:marTop w:val="0"/>
                      <w:marBottom w:val="0"/>
                      <w:divBdr>
                        <w:top w:val="none" w:sz="0" w:space="0" w:color="auto"/>
                        <w:left w:val="none" w:sz="0" w:space="0" w:color="auto"/>
                        <w:bottom w:val="none" w:sz="0" w:space="0" w:color="auto"/>
                        <w:right w:val="none" w:sz="0" w:space="0" w:color="auto"/>
                      </w:divBdr>
                    </w:div>
                    <w:div w:id="1920168457">
                      <w:marLeft w:val="0"/>
                      <w:marRight w:val="0"/>
                      <w:marTop w:val="0"/>
                      <w:marBottom w:val="0"/>
                      <w:divBdr>
                        <w:top w:val="none" w:sz="0" w:space="0" w:color="auto"/>
                        <w:left w:val="none" w:sz="0" w:space="0" w:color="auto"/>
                        <w:bottom w:val="none" w:sz="0" w:space="0" w:color="auto"/>
                        <w:right w:val="none" w:sz="0" w:space="0" w:color="auto"/>
                      </w:divBdr>
                    </w:div>
                    <w:div w:id="1994945229">
                      <w:marLeft w:val="0"/>
                      <w:marRight w:val="0"/>
                      <w:marTop w:val="0"/>
                      <w:marBottom w:val="0"/>
                      <w:divBdr>
                        <w:top w:val="none" w:sz="0" w:space="0" w:color="auto"/>
                        <w:left w:val="none" w:sz="0" w:space="0" w:color="auto"/>
                        <w:bottom w:val="none" w:sz="0" w:space="0" w:color="auto"/>
                        <w:right w:val="none" w:sz="0" w:space="0" w:color="auto"/>
                      </w:divBdr>
                    </w:div>
                  </w:divsChild>
                </w:div>
                <w:div w:id="2110345544">
                  <w:marLeft w:val="0"/>
                  <w:marRight w:val="0"/>
                  <w:marTop w:val="0"/>
                  <w:marBottom w:val="0"/>
                  <w:divBdr>
                    <w:top w:val="none" w:sz="0" w:space="0" w:color="auto"/>
                    <w:left w:val="none" w:sz="0" w:space="0" w:color="auto"/>
                    <w:bottom w:val="none" w:sz="0" w:space="0" w:color="auto"/>
                    <w:right w:val="none" w:sz="0" w:space="0" w:color="auto"/>
                  </w:divBdr>
                  <w:divsChild>
                    <w:div w:id="1784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861431">
          <w:marLeft w:val="0"/>
          <w:marRight w:val="0"/>
          <w:marTop w:val="0"/>
          <w:marBottom w:val="0"/>
          <w:divBdr>
            <w:top w:val="none" w:sz="0" w:space="0" w:color="auto"/>
            <w:left w:val="none" w:sz="0" w:space="0" w:color="auto"/>
            <w:bottom w:val="none" w:sz="0" w:space="0" w:color="auto"/>
            <w:right w:val="none" w:sz="0" w:space="0" w:color="auto"/>
          </w:divBdr>
        </w:div>
        <w:div w:id="1329017114">
          <w:marLeft w:val="0"/>
          <w:marRight w:val="0"/>
          <w:marTop w:val="0"/>
          <w:marBottom w:val="0"/>
          <w:divBdr>
            <w:top w:val="none" w:sz="0" w:space="0" w:color="auto"/>
            <w:left w:val="none" w:sz="0" w:space="0" w:color="auto"/>
            <w:bottom w:val="none" w:sz="0" w:space="0" w:color="auto"/>
            <w:right w:val="none" w:sz="0" w:space="0" w:color="auto"/>
          </w:divBdr>
        </w:div>
        <w:div w:id="1336347890">
          <w:marLeft w:val="0"/>
          <w:marRight w:val="0"/>
          <w:marTop w:val="0"/>
          <w:marBottom w:val="0"/>
          <w:divBdr>
            <w:top w:val="none" w:sz="0" w:space="0" w:color="auto"/>
            <w:left w:val="none" w:sz="0" w:space="0" w:color="auto"/>
            <w:bottom w:val="none" w:sz="0" w:space="0" w:color="auto"/>
            <w:right w:val="none" w:sz="0" w:space="0" w:color="auto"/>
          </w:divBdr>
        </w:div>
        <w:div w:id="1336760741">
          <w:marLeft w:val="0"/>
          <w:marRight w:val="0"/>
          <w:marTop w:val="0"/>
          <w:marBottom w:val="0"/>
          <w:divBdr>
            <w:top w:val="none" w:sz="0" w:space="0" w:color="auto"/>
            <w:left w:val="none" w:sz="0" w:space="0" w:color="auto"/>
            <w:bottom w:val="none" w:sz="0" w:space="0" w:color="auto"/>
            <w:right w:val="none" w:sz="0" w:space="0" w:color="auto"/>
          </w:divBdr>
          <w:divsChild>
            <w:div w:id="1127041792">
              <w:marLeft w:val="-75"/>
              <w:marRight w:val="0"/>
              <w:marTop w:val="30"/>
              <w:marBottom w:val="30"/>
              <w:divBdr>
                <w:top w:val="none" w:sz="0" w:space="0" w:color="auto"/>
                <w:left w:val="none" w:sz="0" w:space="0" w:color="auto"/>
                <w:bottom w:val="none" w:sz="0" w:space="0" w:color="auto"/>
                <w:right w:val="none" w:sz="0" w:space="0" w:color="auto"/>
              </w:divBdr>
              <w:divsChild>
                <w:div w:id="464009522">
                  <w:marLeft w:val="0"/>
                  <w:marRight w:val="0"/>
                  <w:marTop w:val="0"/>
                  <w:marBottom w:val="0"/>
                  <w:divBdr>
                    <w:top w:val="none" w:sz="0" w:space="0" w:color="auto"/>
                    <w:left w:val="none" w:sz="0" w:space="0" w:color="auto"/>
                    <w:bottom w:val="none" w:sz="0" w:space="0" w:color="auto"/>
                    <w:right w:val="none" w:sz="0" w:space="0" w:color="auto"/>
                  </w:divBdr>
                  <w:divsChild>
                    <w:div w:id="741147188">
                      <w:marLeft w:val="0"/>
                      <w:marRight w:val="0"/>
                      <w:marTop w:val="0"/>
                      <w:marBottom w:val="0"/>
                      <w:divBdr>
                        <w:top w:val="none" w:sz="0" w:space="0" w:color="auto"/>
                        <w:left w:val="none" w:sz="0" w:space="0" w:color="auto"/>
                        <w:bottom w:val="none" w:sz="0" w:space="0" w:color="auto"/>
                        <w:right w:val="none" w:sz="0" w:space="0" w:color="auto"/>
                      </w:divBdr>
                    </w:div>
                  </w:divsChild>
                </w:div>
                <w:div w:id="479536252">
                  <w:marLeft w:val="0"/>
                  <w:marRight w:val="0"/>
                  <w:marTop w:val="0"/>
                  <w:marBottom w:val="0"/>
                  <w:divBdr>
                    <w:top w:val="none" w:sz="0" w:space="0" w:color="auto"/>
                    <w:left w:val="none" w:sz="0" w:space="0" w:color="auto"/>
                    <w:bottom w:val="none" w:sz="0" w:space="0" w:color="auto"/>
                    <w:right w:val="none" w:sz="0" w:space="0" w:color="auto"/>
                  </w:divBdr>
                  <w:divsChild>
                    <w:div w:id="1998219272">
                      <w:marLeft w:val="0"/>
                      <w:marRight w:val="0"/>
                      <w:marTop w:val="0"/>
                      <w:marBottom w:val="0"/>
                      <w:divBdr>
                        <w:top w:val="none" w:sz="0" w:space="0" w:color="auto"/>
                        <w:left w:val="none" w:sz="0" w:space="0" w:color="auto"/>
                        <w:bottom w:val="none" w:sz="0" w:space="0" w:color="auto"/>
                        <w:right w:val="none" w:sz="0" w:space="0" w:color="auto"/>
                      </w:divBdr>
                    </w:div>
                  </w:divsChild>
                </w:div>
                <w:div w:id="493491212">
                  <w:marLeft w:val="0"/>
                  <w:marRight w:val="0"/>
                  <w:marTop w:val="0"/>
                  <w:marBottom w:val="0"/>
                  <w:divBdr>
                    <w:top w:val="none" w:sz="0" w:space="0" w:color="auto"/>
                    <w:left w:val="none" w:sz="0" w:space="0" w:color="auto"/>
                    <w:bottom w:val="none" w:sz="0" w:space="0" w:color="auto"/>
                    <w:right w:val="none" w:sz="0" w:space="0" w:color="auto"/>
                  </w:divBdr>
                  <w:divsChild>
                    <w:div w:id="562520925">
                      <w:marLeft w:val="0"/>
                      <w:marRight w:val="0"/>
                      <w:marTop w:val="0"/>
                      <w:marBottom w:val="0"/>
                      <w:divBdr>
                        <w:top w:val="none" w:sz="0" w:space="0" w:color="auto"/>
                        <w:left w:val="none" w:sz="0" w:space="0" w:color="auto"/>
                        <w:bottom w:val="none" w:sz="0" w:space="0" w:color="auto"/>
                        <w:right w:val="none" w:sz="0" w:space="0" w:color="auto"/>
                      </w:divBdr>
                    </w:div>
                  </w:divsChild>
                </w:div>
                <w:div w:id="513612277">
                  <w:marLeft w:val="0"/>
                  <w:marRight w:val="0"/>
                  <w:marTop w:val="0"/>
                  <w:marBottom w:val="0"/>
                  <w:divBdr>
                    <w:top w:val="none" w:sz="0" w:space="0" w:color="auto"/>
                    <w:left w:val="none" w:sz="0" w:space="0" w:color="auto"/>
                    <w:bottom w:val="none" w:sz="0" w:space="0" w:color="auto"/>
                    <w:right w:val="none" w:sz="0" w:space="0" w:color="auto"/>
                  </w:divBdr>
                  <w:divsChild>
                    <w:div w:id="760368841">
                      <w:marLeft w:val="0"/>
                      <w:marRight w:val="0"/>
                      <w:marTop w:val="0"/>
                      <w:marBottom w:val="0"/>
                      <w:divBdr>
                        <w:top w:val="none" w:sz="0" w:space="0" w:color="auto"/>
                        <w:left w:val="none" w:sz="0" w:space="0" w:color="auto"/>
                        <w:bottom w:val="none" w:sz="0" w:space="0" w:color="auto"/>
                        <w:right w:val="none" w:sz="0" w:space="0" w:color="auto"/>
                      </w:divBdr>
                    </w:div>
                  </w:divsChild>
                </w:div>
                <w:div w:id="581185677">
                  <w:marLeft w:val="0"/>
                  <w:marRight w:val="0"/>
                  <w:marTop w:val="0"/>
                  <w:marBottom w:val="0"/>
                  <w:divBdr>
                    <w:top w:val="none" w:sz="0" w:space="0" w:color="auto"/>
                    <w:left w:val="none" w:sz="0" w:space="0" w:color="auto"/>
                    <w:bottom w:val="none" w:sz="0" w:space="0" w:color="auto"/>
                    <w:right w:val="none" w:sz="0" w:space="0" w:color="auto"/>
                  </w:divBdr>
                  <w:divsChild>
                    <w:div w:id="376206188">
                      <w:marLeft w:val="0"/>
                      <w:marRight w:val="0"/>
                      <w:marTop w:val="0"/>
                      <w:marBottom w:val="0"/>
                      <w:divBdr>
                        <w:top w:val="none" w:sz="0" w:space="0" w:color="auto"/>
                        <w:left w:val="none" w:sz="0" w:space="0" w:color="auto"/>
                        <w:bottom w:val="none" w:sz="0" w:space="0" w:color="auto"/>
                        <w:right w:val="none" w:sz="0" w:space="0" w:color="auto"/>
                      </w:divBdr>
                    </w:div>
                  </w:divsChild>
                </w:div>
                <w:div w:id="594898522">
                  <w:marLeft w:val="0"/>
                  <w:marRight w:val="0"/>
                  <w:marTop w:val="0"/>
                  <w:marBottom w:val="0"/>
                  <w:divBdr>
                    <w:top w:val="none" w:sz="0" w:space="0" w:color="auto"/>
                    <w:left w:val="none" w:sz="0" w:space="0" w:color="auto"/>
                    <w:bottom w:val="none" w:sz="0" w:space="0" w:color="auto"/>
                    <w:right w:val="none" w:sz="0" w:space="0" w:color="auto"/>
                  </w:divBdr>
                  <w:divsChild>
                    <w:div w:id="634407655">
                      <w:marLeft w:val="0"/>
                      <w:marRight w:val="0"/>
                      <w:marTop w:val="0"/>
                      <w:marBottom w:val="0"/>
                      <w:divBdr>
                        <w:top w:val="none" w:sz="0" w:space="0" w:color="auto"/>
                        <w:left w:val="none" w:sz="0" w:space="0" w:color="auto"/>
                        <w:bottom w:val="none" w:sz="0" w:space="0" w:color="auto"/>
                        <w:right w:val="none" w:sz="0" w:space="0" w:color="auto"/>
                      </w:divBdr>
                    </w:div>
                  </w:divsChild>
                </w:div>
                <w:div w:id="708533289">
                  <w:marLeft w:val="0"/>
                  <w:marRight w:val="0"/>
                  <w:marTop w:val="0"/>
                  <w:marBottom w:val="0"/>
                  <w:divBdr>
                    <w:top w:val="none" w:sz="0" w:space="0" w:color="auto"/>
                    <w:left w:val="none" w:sz="0" w:space="0" w:color="auto"/>
                    <w:bottom w:val="none" w:sz="0" w:space="0" w:color="auto"/>
                    <w:right w:val="none" w:sz="0" w:space="0" w:color="auto"/>
                  </w:divBdr>
                  <w:divsChild>
                    <w:div w:id="1564025092">
                      <w:marLeft w:val="0"/>
                      <w:marRight w:val="0"/>
                      <w:marTop w:val="0"/>
                      <w:marBottom w:val="0"/>
                      <w:divBdr>
                        <w:top w:val="none" w:sz="0" w:space="0" w:color="auto"/>
                        <w:left w:val="none" w:sz="0" w:space="0" w:color="auto"/>
                        <w:bottom w:val="none" w:sz="0" w:space="0" w:color="auto"/>
                        <w:right w:val="none" w:sz="0" w:space="0" w:color="auto"/>
                      </w:divBdr>
                    </w:div>
                  </w:divsChild>
                </w:div>
                <w:div w:id="720904381">
                  <w:marLeft w:val="0"/>
                  <w:marRight w:val="0"/>
                  <w:marTop w:val="0"/>
                  <w:marBottom w:val="0"/>
                  <w:divBdr>
                    <w:top w:val="none" w:sz="0" w:space="0" w:color="auto"/>
                    <w:left w:val="none" w:sz="0" w:space="0" w:color="auto"/>
                    <w:bottom w:val="none" w:sz="0" w:space="0" w:color="auto"/>
                    <w:right w:val="none" w:sz="0" w:space="0" w:color="auto"/>
                  </w:divBdr>
                  <w:divsChild>
                    <w:div w:id="1397244663">
                      <w:marLeft w:val="0"/>
                      <w:marRight w:val="0"/>
                      <w:marTop w:val="0"/>
                      <w:marBottom w:val="0"/>
                      <w:divBdr>
                        <w:top w:val="none" w:sz="0" w:space="0" w:color="auto"/>
                        <w:left w:val="none" w:sz="0" w:space="0" w:color="auto"/>
                        <w:bottom w:val="none" w:sz="0" w:space="0" w:color="auto"/>
                        <w:right w:val="none" w:sz="0" w:space="0" w:color="auto"/>
                      </w:divBdr>
                    </w:div>
                  </w:divsChild>
                </w:div>
                <w:div w:id="791748722">
                  <w:marLeft w:val="0"/>
                  <w:marRight w:val="0"/>
                  <w:marTop w:val="0"/>
                  <w:marBottom w:val="0"/>
                  <w:divBdr>
                    <w:top w:val="none" w:sz="0" w:space="0" w:color="auto"/>
                    <w:left w:val="none" w:sz="0" w:space="0" w:color="auto"/>
                    <w:bottom w:val="none" w:sz="0" w:space="0" w:color="auto"/>
                    <w:right w:val="none" w:sz="0" w:space="0" w:color="auto"/>
                  </w:divBdr>
                  <w:divsChild>
                    <w:div w:id="1682775250">
                      <w:marLeft w:val="0"/>
                      <w:marRight w:val="0"/>
                      <w:marTop w:val="0"/>
                      <w:marBottom w:val="0"/>
                      <w:divBdr>
                        <w:top w:val="none" w:sz="0" w:space="0" w:color="auto"/>
                        <w:left w:val="none" w:sz="0" w:space="0" w:color="auto"/>
                        <w:bottom w:val="none" w:sz="0" w:space="0" w:color="auto"/>
                        <w:right w:val="none" w:sz="0" w:space="0" w:color="auto"/>
                      </w:divBdr>
                    </w:div>
                  </w:divsChild>
                </w:div>
                <w:div w:id="915670332">
                  <w:marLeft w:val="0"/>
                  <w:marRight w:val="0"/>
                  <w:marTop w:val="0"/>
                  <w:marBottom w:val="0"/>
                  <w:divBdr>
                    <w:top w:val="none" w:sz="0" w:space="0" w:color="auto"/>
                    <w:left w:val="none" w:sz="0" w:space="0" w:color="auto"/>
                    <w:bottom w:val="none" w:sz="0" w:space="0" w:color="auto"/>
                    <w:right w:val="none" w:sz="0" w:space="0" w:color="auto"/>
                  </w:divBdr>
                  <w:divsChild>
                    <w:div w:id="689455827">
                      <w:marLeft w:val="0"/>
                      <w:marRight w:val="0"/>
                      <w:marTop w:val="0"/>
                      <w:marBottom w:val="0"/>
                      <w:divBdr>
                        <w:top w:val="none" w:sz="0" w:space="0" w:color="auto"/>
                        <w:left w:val="none" w:sz="0" w:space="0" w:color="auto"/>
                        <w:bottom w:val="none" w:sz="0" w:space="0" w:color="auto"/>
                        <w:right w:val="none" w:sz="0" w:space="0" w:color="auto"/>
                      </w:divBdr>
                    </w:div>
                  </w:divsChild>
                </w:div>
                <w:div w:id="938296616">
                  <w:marLeft w:val="0"/>
                  <w:marRight w:val="0"/>
                  <w:marTop w:val="0"/>
                  <w:marBottom w:val="0"/>
                  <w:divBdr>
                    <w:top w:val="none" w:sz="0" w:space="0" w:color="auto"/>
                    <w:left w:val="none" w:sz="0" w:space="0" w:color="auto"/>
                    <w:bottom w:val="none" w:sz="0" w:space="0" w:color="auto"/>
                    <w:right w:val="none" w:sz="0" w:space="0" w:color="auto"/>
                  </w:divBdr>
                  <w:divsChild>
                    <w:div w:id="725951869">
                      <w:marLeft w:val="0"/>
                      <w:marRight w:val="0"/>
                      <w:marTop w:val="0"/>
                      <w:marBottom w:val="0"/>
                      <w:divBdr>
                        <w:top w:val="none" w:sz="0" w:space="0" w:color="auto"/>
                        <w:left w:val="none" w:sz="0" w:space="0" w:color="auto"/>
                        <w:bottom w:val="none" w:sz="0" w:space="0" w:color="auto"/>
                        <w:right w:val="none" w:sz="0" w:space="0" w:color="auto"/>
                      </w:divBdr>
                    </w:div>
                  </w:divsChild>
                </w:div>
                <w:div w:id="1160778915">
                  <w:marLeft w:val="0"/>
                  <w:marRight w:val="0"/>
                  <w:marTop w:val="0"/>
                  <w:marBottom w:val="0"/>
                  <w:divBdr>
                    <w:top w:val="none" w:sz="0" w:space="0" w:color="auto"/>
                    <w:left w:val="none" w:sz="0" w:space="0" w:color="auto"/>
                    <w:bottom w:val="none" w:sz="0" w:space="0" w:color="auto"/>
                    <w:right w:val="none" w:sz="0" w:space="0" w:color="auto"/>
                  </w:divBdr>
                  <w:divsChild>
                    <w:div w:id="1466461290">
                      <w:marLeft w:val="0"/>
                      <w:marRight w:val="0"/>
                      <w:marTop w:val="0"/>
                      <w:marBottom w:val="0"/>
                      <w:divBdr>
                        <w:top w:val="none" w:sz="0" w:space="0" w:color="auto"/>
                        <w:left w:val="none" w:sz="0" w:space="0" w:color="auto"/>
                        <w:bottom w:val="none" w:sz="0" w:space="0" w:color="auto"/>
                        <w:right w:val="none" w:sz="0" w:space="0" w:color="auto"/>
                      </w:divBdr>
                    </w:div>
                  </w:divsChild>
                </w:div>
                <w:div w:id="1551185099">
                  <w:marLeft w:val="0"/>
                  <w:marRight w:val="0"/>
                  <w:marTop w:val="0"/>
                  <w:marBottom w:val="0"/>
                  <w:divBdr>
                    <w:top w:val="none" w:sz="0" w:space="0" w:color="auto"/>
                    <w:left w:val="none" w:sz="0" w:space="0" w:color="auto"/>
                    <w:bottom w:val="none" w:sz="0" w:space="0" w:color="auto"/>
                    <w:right w:val="none" w:sz="0" w:space="0" w:color="auto"/>
                  </w:divBdr>
                  <w:divsChild>
                    <w:div w:id="1179077319">
                      <w:marLeft w:val="0"/>
                      <w:marRight w:val="0"/>
                      <w:marTop w:val="0"/>
                      <w:marBottom w:val="0"/>
                      <w:divBdr>
                        <w:top w:val="none" w:sz="0" w:space="0" w:color="auto"/>
                        <w:left w:val="none" w:sz="0" w:space="0" w:color="auto"/>
                        <w:bottom w:val="none" w:sz="0" w:space="0" w:color="auto"/>
                        <w:right w:val="none" w:sz="0" w:space="0" w:color="auto"/>
                      </w:divBdr>
                    </w:div>
                  </w:divsChild>
                </w:div>
                <w:div w:id="1576626263">
                  <w:marLeft w:val="0"/>
                  <w:marRight w:val="0"/>
                  <w:marTop w:val="0"/>
                  <w:marBottom w:val="0"/>
                  <w:divBdr>
                    <w:top w:val="none" w:sz="0" w:space="0" w:color="auto"/>
                    <w:left w:val="none" w:sz="0" w:space="0" w:color="auto"/>
                    <w:bottom w:val="none" w:sz="0" w:space="0" w:color="auto"/>
                    <w:right w:val="none" w:sz="0" w:space="0" w:color="auto"/>
                  </w:divBdr>
                  <w:divsChild>
                    <w:div w:id="236668555">
                      <w:marLeft w:val="0"/>
                      <w:marRight w:val="0"/>
                      <w:marTop w:val="0"/>
                      <w:marBottom w:val="0"/>
                      <w:divBdr>
                        <w:top w:val="none" w:sz="0" w:space="0" w:color="auto"/>
                        <w:left w:val="none" w:sz="0" w:space="0" w:color="auto"/>
                        <w:bottom w:val="none" w:sz="0" w:space="0" w:color="auto"/>
                        <w:right w:val="none" w:sz="0" w:space="0" w:color="auto"/>
                      </w:divBdr>
                    </w:div>
                  </w:divsChild>
                </w:div>
                <w:div w:id="2075813304">
                  <w:marLeft w:val="0"/>
                  <w:marRight w:val="0"/>
                  <w:marTop w:val="0"/>
                  <w:marBottom w:val="0"/>
                  <w:divBdr>
                    <w:top w:val="none" w:sz="0" w:space="0" w:color="auto"/>
                    <w:left w:val="none" w:sz="0" w:space="0" w:color="auto"/>
                    <w:bottom w:val="none" w:sz="0" w:space="0" w:color="auto"/>
                    <w:right w:val="none" w:sz="0" w:space="0" w:color="auto"/>
                  </w:divBdr>
                  <w:divsChild>
                    <w:div w:id="15502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39157">
          <w:marLeft w:val="0"/>
          <w:marRight w:val="0"/>
          <w:marTop w:val="0"/>
          <w:marBottom w:val="0"/>
          <w:divBdr>
            <w:top w:val="none" w:sz="0" w:space="0" w:color="auto"/>
            <w:left w:val="none" w:sz="0" w:space="0" w:color="auto"/>
            <w:bottom w:val="none" w:sz="0" w:space="0" w:color="auto"/>
            <w:right w:val="none" w:sz="0" w:space="0" w:color="auto"/>
          </w:divBdr>
        </w:div>
        <w:div w:id="1371564952">
          <w:marLeft w:val="0"/>
          <w:marRight w:val="0"/>
          <w:marTop w:val="0"/>
          <w:marBottom w:val="0"/>
          <w:divBdr>
            <w:top w:val="none" w:sz="0" w:space="0" w:color="auto"/>
            <w:left w:val="none" w:sz="0" w:space="0" w:color="auto"/>
            <w:bottom w:val="none" w:sz="0" w:space="0" w:color="auto"/>
            <w:right w:val="none" w:sz="0" w:space="0" w:color="auto"/>
          </w:divBdr>
        </w:div>
        <w:div w:id="1399396877">
          <w:marLeft w:val="0"/>
          <w:marRight w:val="0"/>
          <w:marTop w:val="0"/>
          <w:marBottom w:val="0"/>
          <w:divBdr>
            <w:top w:val="none" w:sz="0" w:space="0" w:color="auto"/>
            <w:left w:val="none" w:sz="0" w:space="0" w:color="auto"/>
            <w:bottom w:val="none" w:sz="0" w:space="0" w:color="auto"/>
            <w:right w:val="none" w:sz="0" w:space="0" w:color="auto"/>
          </w:divBdr>
        </w:div>
        <w:div w:id="1399589675">
          <w:marLeft w:val="0"/>
          <w:marRight w:val="0"/>
          <w:marTop w:val="0"/>
          <w:marBottom w:val="0"/>
          <w:divBdr>
            <w:top w:val="none" w:sz="0" w:space="0" w:color="auto"/>
            <w:left w:val="none" w:sz="0" w:space="0" w:color="auto"/>
            <w:bottom w:val="none" w:sz="0" w:space="0" w:color="auto"/>
            <w:right w:val="none" w:sz="0" w:space="0" w:color="auto"/>
          </w:divBdr>
          <w:divsChild>
            <w:div w:id="10452073">
              <w:marLeft w:val="0"/>
              <w:marRight w:val="0"/>
              <w:marTop w:val="0"/>
              <w:marBottom w:val="0"/>
              <w:divBdr>
                <w:top w:val="none" w:sz="0" w:space="0" w:color="auto"/>
                <w:left w:val="none" w:sz="0" w:space="0" w:color="auto"/>
                <w:bottom w:val="none" w:sz="0" w:space="0" w:color="auto"/>
                <w:right w:val="none" w:sz="0" w:space="0" w:color="auto"/>
              </w:divBdr>
            </w:div>
            <w:div w:id="35394467">
              <w:marLeft w:val="0"/>
              <w:marRight w:val="0"/>
              <w:marTop w:val="0"/>
              <w:marBottom w:val="0"/>
              <w:divBdr>
                <w:top w:val="none" w:sz="0" w:space="0" w:color="auto"/>
                <w:left w:val="none" w:sz="0" w:space="0" w:color="auto"/>
                <w:bottom w:val="none" w:sz="0" w:space="0" w:color="auto"/>
                <w:right w:val="none" w:sz="0" w:space="0" w:color="auto"/>
              </w:divBdr>
            </w:div>
            <w:div w:id="68769530">
              <w:marLeft w:val="0"/>
              <w:marRight w:val="0"/>
              <w:marTop w:val="0"/>
              <w:marBottom w:val="0"/>
              <w:divBdr>
                <w:top w:val="none" w:sz="0" w:space="0" w:color="auto"/>
                <w:left w:val="none" w:sz="0" w:space="0" w:color="auto"/>
                <w:bottom w:val="none" w:sz="0" w:space="0" w:color="auto"/>
                <w:right w:val="none" w:sz="0" w:space="0" w:color="auto"/>
              </w:divBdr>
            </w:div>
            <w:div w:id="117336243">
              <w:marLeft w:val="0"/>
              <w:marRight w:val="0"/>
              <w:marTop w:val="0"/>
              <w:marBottom w:val="0"/>
              <w:divBdr>
                <w:top w:val="none" w:sz="0" w:space="0" w:color="auto"/>
                <w:left w:val="none" w:sz="0" w:space="0" w:color="auto"/>
                <w:bottom w:val="none" w:sz="0" w:space="0" w:color="auto"/>
                <w:right w:val="none" w:sz="0" w:space="0" w:color="auto"/>
              </w:divBdr>
            </w:div>
            <w:div w:id="127288242">
              <w:marLeft w:val="0"/>
              <w:marRight w:val="0"/>
              <w:marTop w:val="0"/>
              <w:marBottom w:val="0"/>
              <w:divBdr>
                <w:top w:val="none" w:sz="0" w:space="0" w:color="auto"/>
                <w:left w:val="none" w:sz="0" w:space="0" w:color="auto"/>
                <w:bottom w:val="none" w:sz="0" w:space="0" w:color="auto"/>
                <w:right w:val="none" w:sz="0" w:space="0" w:color="auto"/>
              </w:divBdr>
            </w:div>
            <w:div w:id="153956371">
              <w:marLeft w:val="0"/>
              <w:marRight w:val="0"/>
              <w:marTop w:val="0"/>
              <w:marBottom w:val="0"/>
              <w:divBdr>
                <w:top w:val="none" w:sz="0" w:space="0" w:color="auto"/>
                <w:left w:val="none" w:sz="0" w:space="0" w:color="auto"/>
                <w:bottom w:val="none" w:sz="0" w:space="0" w:color="auto"/>
                <w:right w:val="none" w:sz="0" w:space="0" w:color="auto"/>
              </w:divBdr>
            </w:div>
            <w:div w:id="166094985">
              <w:marLeft w:val="0"/>
              <w:marRight w:val="0"/>
              <w:marTop w:val="0"/>
              <w:marBottom w:val="0"/>
              <w:divBdr>
                <w:top w:val="none" w:sz="0" w:space="0" w:color="auto"/>
                <w:left w:val="none" w:sz="0" w:space="0" w:color="auto"/>
                <w:bottom w:val="none" w:sz="0" w:space="0" w:color="auto"/>
                <w:right w:val="none" w:sz="0" w:space="0" w:color="auto"/>
              </w:divBdr>
            </w:div>
            <w:div w:id="294989324">
              <w:marLeft w:val="0"/>
              <w:marRight w:val="0"/>
              <w:marTop w:val="0"/>
              <w:marBottom w:val="0"/>
              <w:divBdr>
                <w:top w:val="none" w:sz="0" w:space="0" w:color="auto"/>
                <w:left w:val="none" w:sz="0" w:space="0" w:color="auto"/>
                <w:bottom w:val="none" w:sz="0" w:space="0" w:color="auto"/>
                <w:right w:val="none" w:sz="0" w:space="0" w:color="auto"/>
              </w:divBdr>
            </w:div>
            <w:div w:id="553976986">
              <w:marLeft w:val="0"/>
              <w:marRight w:val="0"/>
              <w:marTop w:val="0"/>
              <w:marBottom w:val="0"/>
              <w:divBdr>
                <w:top w:val="none" w:sz="0" w:space="0" w:color="auto"/>
                <w:left w:val="none" w:sz="0" w:space="0" w:color="auto"/>
                <w:bottom w:val="none" w:sz="0" w:space="0" w:color="auto"/>
                <w:right w:val="none" w:sz="0" w:space="0" w:color="auto"/>
              </w:divBdr>
            </w:div>
            <w:div w:id="694693179">
              <w:marLeft w:val="0"/>
              <w:marRight w:val="0"/>
              <w:marTop w:val="0"/>
              <w:marBottom w:val="0"/>
              <w:divBdr>
                <w:top w:val="none" w:sz="0" w:space="0" w:color="auto"/>
                <w:left w:val="none" w:sz="0" w:space="0" w:color="auto"/>
                <w:bottom w:val="none" w:sz="0" w:space="0" w:color="auto"/>
                <w:right w:val="none" w:sz="0" w:space="0" w:color="auto"/>
              </w:divBdr>
            </w:div>
            <w:div w:id="701708879">
              <w:marLeft w:val="0"/>
              <w:marRight w:val="0"/>
              <w:marTop w:val="0"/>
              <w:marBottom w:val="0"/>
              <w:divBdr>
                <w:top w:val="none" w:sz="0" w:space="0" w:color="auto"/>
                <w:left w:val="none" w:sz="0" w:space="0" w:color="auto"/>
                <w:bottom w:val="none" w:sz="0" w:space="0" w:color="auto"/>
                <w:right w:val="none" w:sz="0" w:space="0" w:color="auto"/>
              </w:divBdr>
            </w:div>
            <w:div w:id="1235360661">
              <w:marLeft w:val="0"/>
              <w:marRight w:val="0"/>
              <w:marTop w:val="0"/>
              <w:marBottom w:val="0"/>
              <w:divBdr>
                <w:top w:val="none" w:sz="0" w:space="0" w:color="auto"/>
                <w:left w:val="none" w:sz="0" w:space="0" w:color="auto"/>
                <w:bottom w:val="none" w:sz="0" w:space="0" w:color="auto"/>
                <w:right w:val="none" w:sz="0" w:space="0" w:color="auto"/>
              </w:divBdr>
            </w:div>
            <w:div w:id="1390348780">
              <w:marLeft w:val="0"/>
              <w:marRight w:val="0"/>
              <w:marTop w:val="0"/>
              <w:marBottom w:val="0"/>
              <w:divBdr>
                <w:top w:val="none" w:sz="0" w:space="0" w:color="auto"/>
                <w:left w:val="none" w:sz="0" w:space="0" w:color="auto"/>
                <w:bottom w:val="none" w:sz="0" w:space="0" w:color="auto"/>
                <w:right w:val="none" w:sz="0" w:space="0" w:color="auto"/>
              </w:divBdr>
            </w:div>
            <w:div w:id="1685666856">
              <w:marLeft w:val="0"/>
              <w:marRight w:val="0"/>
              <w:marTop w:val="0"/>
              <w:marBottom w:val="0"/>
              <w:divBdr>
                <w:top w:val="none" w:sz="0" w:space="0" w:color="auto"/>
                <w:left w:val="none" w:sz="0" w:space="0" w:color="auto"/>
                <w:bottom w:val="none" w:sz="0" w:space="0" w:color="auto"/>
                <w:right w:val="none" w:sz="0" w:space="0" w:color="auto"/>
              </w:divBdr>
            </w:div>
            <w:div w:id="1746612018">
              <w:marLeft w:val="0"/>
              <w:marRight w:val="0"/>
              <w:marTop w:val="0"/>
              <w:marBottom w:val="0"/>
              <w:divBdr>
                <w:top w:val="none" w:sz="0" w:space="0" w:color="auto"/>
                <w:left w:val="none" w:sz="0" w:space="0" w:color="auto"/>
                <w:bottom w:val="none" w:sz="0" w:space="0" w:color="auto"/>
                <w:right w:val="none" w:sz="0" w:space="0" w:color="auto"/>
              </w:divBdr>
            </w:div>
            <w:div w:id="1900944276">
              <w:marLeft w:val="0"/>
              <w:marRight w:val="0"/>
              <w:marTop w:val="0"/>
              <w:marBottom w:val="0"/>
              <w:divBdr>
                <w:top w:val="none" w:sz="0" w:space="0" w:color="auto"/>
                <w:left w:val="none" w:sz="0" w:space="0" w:color="auto"/>
                <w:bottom w:val="none" w:sz="0" w:space="0" w:color="auto"/>
                <w:right w:val="none" w:sz="0" w:space="0" w:color="auto"/>
              </w:divBdr>
            </w:div>
            <w:div w:id="2088765177">
              <w:marLeft w:val="0"/>
              <w:marRight w:val="0"/>
              <w:marTop w:val="0"/>
              <w:marBottom w:val="0"/>
              <w:divBdr>
                <w:top w:val="none" w:sz="0" w:space="0" w:color="auto"/>
                <w:left w:val="none" w:sz="0" w:space="0" w:color="auto"/>
                <w:bottom w:val="none" w:sz="0" w:space="0" w:color="auto"/>
                <w:right w:val="none" w:sz="0" w:space="0" w:color="auto"/>
              </w:divBdr>
            </w:div>
            <w:div w:id="2094276100">
              <w:marLeft w:val="0"/>
              <w:marRight w:val="0"/>
              <w:marTop w:val="0"/>
              <w:marBottom w:val="0"/>
              <w:divBdr>
                <w:top w:val="none" w:sz="0" w:space="0" w:color="auto"/>
                <w:left w:val="none" w:sz="0" w:space="0" w:color="auto"/>
                <w:bottom w:val="none" w:sz="0" w:space="0" w:color="auto"/>
                <w:right w:val="none" w:sz="0" w:space="0" w:color="auto"/>
              </w:divBdr>
            </w:div>
            <w:div w:id="2095777484">
              <w:marLeft w:val="0"/>
              <w:marRight w:val="0"/>
              <w:marTop w:val="0"/>
              <w:marBottom w:val="0"/>
              <w:divBdr>
                <w:top w:val="none" w:sz="0" w:space="0" w:color="auto"/>
                <w:left w:val="none" w:sz="0" w:space="0" w:color="auto"/>
                <w:bottom w:val="none" w:sz="0" w:space="0" w:color="auto"/>
                <w:right w:val="none" w:sz="0" w:space="0" w:color="auto"/>
              </w:divBdr>
            </w:div>
            <w:div w:id="2115394900">
              <w:marLeft w:val="0"/>
              <w:marRight w:val="0"/>
              <w:marTop w:val="0"/>
              <w:marBottom w:val="0"/>
              <w:divBdr>
                <w:top w:val="none" w:sz="0" w:space="0" w:color="auto"/>
                <w:left w:val="none" w:sz="0" w:space="0" w:color="auto"/>
                <w:bottom w:val="none" w:sz="0" w:space="0" w:color="auto"/>
                <w:right w:val="none" w:sz="0" w:space="0" w:color="auto"/>
              </w:divBdr>
            </w:div>
          </w:divsChild>
        </w:div>
        <w:div w:id="1434059470">
          <w:marLeft w:val="0"/>
          <w:marRight w:val="0"/>
          <w:marTop w:val="0"/>
          <w:marBottom w:val="0"/>
          <w:divBdr>
            <w:top w:val="none" w:sz="0" w:space="0" w:color="auto"/>
            <w:left w:val="none" w:sz="0" w:space="0" w:color="auto"/>
            <w:bottom w:val="none" w:sz="0" w:space="0" w:color="auto"/>
            <w:right w:val="none" w:sz="0" w:space="0" w:color="auto"/>
          </w:divBdr>
          <w:divsChild>
            <w:div w:id="102847893">
              <w:marLeft w:val="0"/>
              <w:marRight w:val="0"/>
              <w:marTop w:val="0"/>
              <w:marBottom w:val="0"/>
              <w:divBdr>
                <w:top w:val="none" w:sz="0" w:space="0" w:color="auto"/>
                <w:left w:val="none" w:sz="0" w:space="0" w:color="auto"/>
                <w:bottom w:val="none" w:sz="0" w:space="0" w:color="auto"/>
                <w:right w:val="none" w:sz="0" w:space="0" w:color="auto"/>
              </w:divBdr>
            </w:div>
            <w:div w:id="177695660">
              <w:marLeft w:val="0"/>
              <w:marRight w:val="0"/>
              <w:marTop w:val="0"/>
              <w:marBottom w:val="0"/>
              <w:divBdr>
                <w:top w:val="none" w:sz="0" w:space="0" w:color="auto"/>
                <w:left w:val="none" w:sz="0" w:space="0" w:color="auto"/>
                <w:bottom w:val="none" w:sz="0" w:space="0" w:color="auto"/>
                <w:right w:val="none" w:sz="0" w:space="0" w:color="auto"/>
              </w:divBdr>
            </w:div>
            <w:div w:id="229386513">
              <w:marLeft w:val="0"/>
              <w:marRight w:val="0"/>
              <w:marTop w:val="0"/>
              <w:marBottom w:val="0"/>
              <w:divBdr>
                <w:top w:val="none" w:sz="0" w:space="0" w:color="auto"/>
                <w:left w:val="none" w:sz="0" w:space="0" w:color="auto"/>
                <w:bottom w:val="none" w:sz="0" w:space="0" w:color="auto"/>
                <w:right w:val="none" w:sz="0" w:space="0" w:color="auto"/>
              </w:divBdr>
            </w:div>
            <w:div w:id="609046197">
              <w:marLeft w:val="0"/>
              <w:marRight w:val="0"/>
              <w:marTop w:val="0"/>
              <w:marBottom w:val="0"/>
              <w:divBdr>
                <w:top w:val="none" w:sz="0" w:space="0" w:color="auto"/>
                <w:left w:val="none" w:sz="0" w:space="0" w:color="auto"/>
                <w:bottom w:val="none" w:sz="0" w:space="0" w:color="auto"/>
                <w:right w:val="none" w:sz="0" w:space="0" w:color="auto"/>
              </w:divBdr>
            </w:div>
            <w:div w:id="676351661">
              <w:marLeft w:val="0"/>
              <w:marRight w:val="0"/>
              <w:marTop w:val="0"/>
              <w:marBottom w:val="0"/>
              <w:divBdr>
                <w:top w:val="none" w:sz="0" w:space="0" w:color="auto"/>
                <w:left w:val="none" w:sz="0" w:space="0" w:color="auto"/>
                <w:bottom w:val="none" w:sz="0" w:space="0" w:color="auto"/>
                <w:right w:val="none" w:sz="0" w:space="0" w:color="auto"/>
              </w:divBdr>
            </w:div>
            <w:div w:id="849295229">
              <w:marLeft w:val="0"/>
              <w:marRight w:val="0"/>
              <w:marTop w:val="0"/>
              <w:marBottom w:val="0"/>
              <w:divBdr>
                <w:top w:val="none" w:sz="0" w:space="0" w:color="auto"/>
                <w:left w:val="none" w:sz="0" w:space="0" w:color="auto"/>
                <w:bottom w:val="none" w:sz="0" w:space="0" w:color="auto"/>
                <w:right w:val="none" w:sz="0" w:space="0" w:color="auto"/>
              </w:divBdr>
            </w:div>
            <w:div w:id="863980286">
              <w:marLeft w:val="0"/>
              <w:marRight w:val="0"/>
              <w:marTop w:val="0"/>
              <w:marBottom w:val="0"/>
              <w:divBdr>
                <w:top w:val="none" w:sz="0" w:space="0" w:color="auto"/>
                <w:left w:val="none" w:sz="0" w:space="0" w:color="auto"/>
                <w:bottom w:val="none" w:sz="0" w:space="0" w:color="auto"/>
                <w:right w:val="none" w:sz="0" w:space="0" w:color="auto"/>
              </w:divBdr>
            </w:div>
            <w:div w:id="1061367599">
              <w:marLeft w:val="0"/>
              <w:marRight w:val="0"/>
              <w:marTop w:val="0"/>
              <w:marBottom w:val="0"/>
              <w:divBdr>
                <w:top w:val="none" w:sz="0" w:space="0" w:color="auto"/>
                <w:left w:val="none" w:sz="0" w:space="0" w:color="auto"/>
                <w:bottom w:val="none" w:sz="0" w:space="0" w:color="auto"/>
                <w:right w:val="none" w:sz="0" w:space="0" w:color="auto"/>
              </w:divBdr>
            </w:div>
            <w:div w:id="1295989768">
              <w:marLeft w:val="0"/>
              <w:marRight w:val="0"/>
              <w:marTop w:val="0"/>
              <w:marBottom w:val="0"/>
              <w:divBdr>
                <w:top w:val="none" w:sz="0" w:space="0" w:color="auto"/>
                <w:left w:val="none" w:sz="0" w:space="0" w:color="auto"/>
                <w:bottom w:val="none" w:sz="0" w:space="0" w:color="auto"/>
                <w:right w:val="none" w:sz="0" w:space="0" w:color="auto"/>
              </w:divBdr>
            </w:div>
            <w:div w:id="1523858964">
              <w:marLeft w:val="0"/>
              <w:marRight w:val="0"/>
              <w:marTop w:val="0"/>
              <w:marBottom w:val="0"/>
              <w:divBdr>
                <w:top w:val="none" w:sz="0" w:space="0" w:color="auto"/>
                <w:left w:val="none" w:sz="0" w:space="0" w:color="auto"/>
                <w:bottom w:val="none" w:sz="0" w:space="0" w:color="auto"/>
                <w:right w:val="none" w:sz="0" w:space="0" w:color="auto"/>
              </w:divBdr>
            </w:div>
            <w:div w:id="1551650256">
              <w:marLeft w:val="0"/>
              <w:marRight w:val="0"/>
              <w:marTop w:val="0"/>
              <w:marBottom w:val="0"/>
              <w:divBdr>
                <w:top w:val="none" w:sz="0" w:space="0" w:color="auto"/>
                <w:left w:val="none" w:sz="0" w:space="0" w:color="auto"/>
                <w:bottom w:val="none" w:sz="0" w:space="0" w:color="auto"/>
                <w:right w:val="none" w:sz="0" w:space="0" w:color="auto"/>
              </w:divBdr>
            </w:div>
          </w:divsChild>
        </w:div>
        <w:div w:id="1463226927">
          <w:marLeft w:val="0"/>
          <w:marRight w:val="0"/>
          <w:marTop w:val="0"/>
          <w:marBottom w:val="0"/>
          <w:divBdr>
            <w:top w:val="none" w:sz="0" w:space="0" w:color="auto"/>
            <w:left w:val="none" w:sz="0" w:space="0" w:color="auto"/>
            <w:bottom w:val="none" w:sz="0" w:space="0" w:color="auto"/>
            <w:right w:val="none" w:sz="0" w:space="0" w:color="auto"/>
          </w:divBdr>
          <w:divsChild>
            <w:div w:id="61560625">
              <w:marLeft w:val="0"/>
              <w:marRight w:val="0"/>
              <w:marTop w:val="0"/>
              <w:marBottom w:val="0"/>
              <w:divBdr>
                <w:top w:val="none" w:sz="0" w:space="0" w:color="auto"/>
                <w:left w:val="none" w:sz="0" w:space="0" w:color="auto"/>
                <w:bottom w:val="none" w:sz="0" w:space="0" w:color="auto"/>
                <w:right w:val="none" w:sz="0" w:space="0" w:color="auto"/>
              </w:divBdr>
            </w:div>
            <w:div w:id="93862278">
              <w:marLeft w:val="0"/>
              <w:marRight w:val="0"/>
              <w:marTop w:val="0"/>
              <w:marBottom w:val="0"/>
              <w:divBdr>
                <w:top w:val="none" w:sz="0" w:space="0" w:color="auto"/>
                <w:left w:val="none" w:sz="0" w:space="0" w:color="auto"/>
                <w:bottom w:val="none" w:sz="0" w:space="0" w:color="auto"/>
                <w:right w:val="none" w:sz="0" w:space="0" w:color="auto"/>
              </w:divBdr>
            </w:div>
            <w:div w:id="132523851">
              <w:marLeft w:val="0"/>
              <w:marRight w:val="0"/>
              <w:marTop w:val="0"/>
              <w:marBottom w:val="0"/>
              <w:divBdr>
                <w:top w:val="none" w:sz="0" w:space="0" w:color="auto"/>
                <w:left w:val="none" w:sz="0" w:space="0" w:color="auto"/>
                <w:bottom w:val="none" w:sz="0" w:space="0" w:color="auto"/>
                <w:right w:val="none" w:sz="0" w:space="0" w:color="auto"/>
              </w:divBdr>
            </w:div>
            <w:div w:id="291978776">
              <w:marLeft w:val="0"/>
              <w:marRight w:val="0"/>
              <w:marTop w:val="0"/>
              <w:marBottom w:val="0"/>
              <w:divBdr>
                <w:top w:val="none" w:sz="0" w:space="0" w:color="auto"/>
                <w:left w:val="none" w:sz="0" w:space="0" w:color="auto"/>
                <w:bottom w:val="none" w:sz="0" w:space="0" w:color="auto"/>
                <w:right w:val="none" w:sz="0" w:space="0" w:color="auto"/>
              </w:divBdr>
            </w:div>
            <w:div w:id="709649102">
              <w:marLeft w:val="0"/>
              <w:marRight w:val="0"/>
              <w:marTop w:val="0"/>
              <w:marBottom w:val="0"/>
              <w:divBdr>
                <w:top w:val="none" w:sz="0" w:space="0" w:color="auto"/>
                <w:left w:val="none" w:sz="0" w:space="0" w:color="auto"/>
                <w:bottom w:val="none" w:sz="0" w:space="0" w:color="auto"/>
                <w:right w:val="none" w:sz="0" w:space="0" w:color="auto"/>
              </w:divBdr>
            </w:div>
            <w:div w:id="721708937">
              <w:marLeft w:val="0"/>
              <w:marRight w:val="0"/>
              <w:marTop w:val="0"/>
              <w:marBottom w:val="0"/>
              <w:divBdr>
                <w:top w:val="none" w:sz="0" w:space="0" w:color="auto"/>
                <w:left w:val="none" w:sz="0" w:space="0" w:color="auto"/>
                <w:bottom w:val="none" w:sz="0" w:space="0" w:color="auto"/>
                <w:right w:val="none" w:sz="0" w:space="0" w:color="auto"/>
              </w:divBdr>
            </w:div>
            <w:div w:id="756630381">
              <w:marLeft w:val="0"/>
              <w:marRight w:val="0"/>
              <w:marTop w:val="0"/>
              <w:marBottom w:val="0"/>
              <w:divBdr>
                <w:top w:val="none" w:sz="0" w:space="0" w:color="auto"/>
                <w:left w:val="none" w:sz="0" w:space="0" w:color="auto"/>
                <w:bottom w:val="none" w:sz="0" w:space="0" w:color="auto"/>
                <w:right w:val="none" w:sz="0" w:space="0" w:color="auto"/>
              </w:divBdr>
            </w:div>
            <w:div w:id="1073045006">
              <w:marLeft w:val="0"/>
              <w:marRight w:val="0"/>
              <w:marTop w:val="0"/>
              <w:marBottom w:val="0"/>
              <w:divBdr>
                <w:top w:val="none" w:sz="0" w:space="0" w:color="auto"/>
                <w:left w:val="none" w:sz="0" w:space="0" w:color="auto"/>
                <w:bottom w:val="none" w:sz="0" w:space="0" w:color="auto"/>
                <w:right w:val="none" w:sz="0" w:space="0" w:color="auto"/>
              </w:divBdr>
            </w:div>
            <w:div w:id="1082798107">
              <w:marLeft w:val="0"/>
              <w:marRight w:val="0"/>
              <w:marTop w:val="0"/>
              <w:marBottom w:val="0"/>
              <w:divBdr>
                <w:top w:val="none" w:sz="0" w:space="0" w:color="auto"/>
                <w:left w:val="none" w:sz="0" w:space="0" w:color="auto"/>
                <w:bottom w:val="none" w:sz="0" w:space="0" w:color="auto"/>
                <w:right w:val="none" w:sz="0" w:space="0" w:color="auto"/>
              </w:divBdr>
            </w:div>
            <w:div w:id="1179660715">
              <w:marLeft w:val="0"/>
              <w:marRight w:val="0"/>
              <w:marTop w:val="0"/>
              <w:marBottom w:val="0"/>
              <w:divBdr>
                <w:top w:val="none" w:sz="0" w:space="0" w:color="auto"/>
                <w:left w:val="none" w:sz="0" w:space="0" w:color="auto"/>
                <w:bottom w:val="none" w:sz="0" w:space="0" w:color="auto"/>
                <w:right w:val="none" w:sz="0" w:space="0" w:color="auto"/>
              </w:divBdr>
            </w:div>
            <w:div w:id="1254432710">
              <w:marLeft w:val="0"/>
              <w:marRight w:val="0"/>
              <w:marTop w:val="0"/>
              <w:marBottom w:val="0"/>
              <w:divBdr>
                <w:top w:val="none" w:sz="0" w:space="0" w:color="auto"/>
                <w:left w:val="none" w:sz="0" w:space="0" w:color="auto"/>
                <w:bottom w:val="none" w:sz="0" w:space="0" w:color="auto"/>
                <w:right w:val="none" w:sz="0" w:space="0" w:color="auto"/>
              </w:divBdr>
            </w:div>
            <w:div w:id="1278559625">
              <w:marLeft w:val="0"/>
              <w:marRight w:val="0"/>
              <w:marTop w:val="0"/>
              <w:marBottom w:val="0"/>
              <w:divBdr>
                <w:top w:val="none" w:sz="0" w:space="0" w:color="auto"/>
                <w:left w:val="none" w:sz="0" w:space="0" w:color="auto"/>
                <w:bottom w:val="none" w:sz="0" w:space="0" w:color="auto"/>
                <w:right w:val="none" w:sz="0" w:space="0" w:color="auto"/>
              </w:divBdr>
            </w:div>
            <w:div w:id="1416169773">
              <w:marLeft w:val="0"/>
              <w:marRight w:val="0"/>
              <w:marTop w:val="0"/>
              <w:marBottom w:val="0"/>
              <w:divBdr>
                <w:top w:val="none" w:sz="0" w:space="0" w:color="auto"/>
                <w:left w:val="none" w:sz="0" w:space="0" w:color="auto"/>
                <w:bottom w:val="none" w:sz="0" w:space="0" w:color="auto"/>
                <w:right w:val="none" w:sz="0" w:space="0" w:color="auto"/>
              </w:divBdr>
            </w:div>
            <w:div w:id="1465847838">
              <w:marLeft w:val="0"/>
              <w:marRight w:val="0"/>
              <w:marTop w:val="0"/>
              <w:marBottom w:val="0"/>
              <w:divBdr>
                <w:top w:val="none" w:sz="0" w:space="0" w:color="auto"/>
                <w:left w:val="none" w:sz="0" w:space="0" w:color="auto"/>
                <w:bottom w:val="none" w:sz="0" w:space="0" w:color="auto"/>
                <w:right w:val="none" w:sz="0" w:space="0" w:color="auto"/>
              </w:divBdr>
            </w:div>
            <w:div w:id="1487429776">
              <w:marLeft w:val="0"/>
              <w:marRight w:val="0"/>
              <w:marTop w:val="0"/>
              <w:marBottom w:val="0"/>
              <w:divBdr>
                <w:top w:val="none" w:sz="0" w:space="0" w:color="auto"/>
                <w:left w:val="none" w:sz="0" w:space="0" w:color="auto"/>
                <w:bottom w:val="none" w:sz="0" w:space="0" w:color="auto"/>
                <w:right w:val="none" w:sz="0" w:space="0" w:color="auto"/>
              </w:divBdr>
            </w:div>
            <w:div w:id="1500806202">
              <w:marLeft w:val="0"/>
              <w:marRight w:val="0"/>
              <w:marTop w:val="0"/>
              <w:marBottom w:val="0"/>
              <w:divBdr>
                <w:top w:val="none" w:sz="0" w:space="0" w:color="auto"/>
                <w:left w:val="none" w:sz="0" w:space="0" w:color="auto"/>
                <w:bottom w:val="none" w:sz="0" w:space="0" w:color="auto"/>
                <w:right w:val="none" w:sz="0" w:space="0" w:color="auto"/>
              </w:divBdr>
            </w:div>
            <w:div w:id="1576815890">
              <w:marLeft w:val="0"/>
              <w:marRight w:val="0"/>
              <w:marTop w:val="0"/>
              <w:marBottom w:val="0"/>
              <w:divBdr>
                <w:top w:val="none" w:sz="0" w:space="0" w:color="auto"/>
                <w:left w:val="none" w:sz="0" w:space="0" w:color="auto"/>
                <w:bottom w:val="none" w:sz="0" w:space="0" w:color="auto"/>
                <w:right w:val="none" w:sz="0" w:space="0" w:color="auto"/>
              </w:divBdr>
            </w:div>
            <w:div w:id="1823618257">
              <w:marLeft w:val="0"/>
              <w:marRight w:val="0"/>
              <w:marTop w:val="0"/>
              <w:marBottom w:val="0"/>
              <w:divBdr>
                <w:top w:val="none" w:sz="0" w:space="0" w:color="auto"/>
                <w:left w:val="none" w:sz="0" w:space="0" w:color="auto"/>
                <w:bottom w:val="none" w:sz="0" w:space="0" w:color="auto"/>
                <w:right w:val="none" w:sz="0" w:space="0" w:color="auto"/>
              </w:divBdr>
            </w:div>
            <w:div w:id="1966236478">
              <w:marLeft w:val="0"/>
              <w:marRight w:val="0"/>
              <w:marTop w:val="0"/>
              <w:marBottom w:val="0"/>
              <w:divBdr>
                <w:top w:val="none" w:sz="0" w:space="0" w:color="auto"/>
                <w:left w:val="none" w:sz="0" w:space="0" w:color="auto"/>
                <w:bottom w:val="none" w:sz="0" w:space="0" w:color="auto"/>
                <w:right w:val="none" w:sz="0" w:space="0" w:color="auto"/>
              </w:divBdr>
            </w:div>
            <w:div w:id="2000772250">
              <w:marLeft w:val="0"/>
              <w:marRight w:val="0"/>
              <w:marTop w:val="0"/>
              <w:marBottom w:val="0"/>
              <w:divBdr>
                <w:top w:val="none" w:sz="0" w:space="0" w:color="auto"/>
                <w:left w:val="none" w:sz="0" w:space="0" w:color="auto"/>
                <w:bottom w:val="none" w:sz="0" w:space="0" w:color="auto"/>
                <w:right w:val="none" w:sz="0" w:space="0" w:color="auto"/>
              </w:divBdr>
            </w:div>
          </w:divsChild>
        </w:div>
        <w:div w:id="1470324787">
          <w:marLeft w:val="0"/>
          <w:marRight w:val="0"/>
          <w:marTop w:val="0"/>
          <w:marBottom w:val="0"/>
          <w:divBdr>
            <w:top w:val="none" w:sz="0" w:space="0" w:color="auto"/>
            <w:left w:val="none" w:sz="0" w:space="0" w:color="auto"/>
            <w:bottom w:val="none" w:sz="0" w:space="0" w:color="auto"/>
            <w:right w:val="none" w:sz="0" w:space="0" w:color="auto"/>
          </w:divBdr>
        </w:div>
        <w:div w:id="1488866062">
          <w:marLeft w:val="0"/>
          <w:marRight w:val="0"/>
          <w:marTop w:val="0"/>
          <w:marBottom w:val="0"/>
          <w:divBdr>
            <w:top w:val="none" w:sz="0" w:space="0" w:color="auto"/>
            <w:left w:val="none" w:sz="0" w:space="0" w:color="auto"/>
            <w:bottom w:val="none" w:sz="0" w:space="0" w:color="auto"/>
            <w:right w:val="none" w:sz="0" w:space="0" w:color="auto"/>
          </w:divBdr>
        </w:div>
        <w:div w:id="1493789127">
          <w:marLeft w:val="0"/>
          <w:marRight w:val="0"/>
          <w:marTop w:val="0"/>
          <w:marBottom w:val="0"/>
          <w:divBdr>
            <w:top w:val="none" w:sz="0" w:space="0" w:color="auto"/>
            <w:left w:val="none" w:sz="0" w:space="0" w:color="auto"/>
            <w:bottom w:val="none" w:sz="0" w:space="0" w:color="auto"/>
            <w:right w:val="none" w:sz="0" w:space="0" w:color="auto"/>
          </w:divBdr>
          <w:divsChild>
            <w:div w:id="94904465">
              <w:marLeft w:val="0"/>
              <w:marRight w:val="0"/>
              <w:marTop w:val="0"/>
              <w:marBottom w:val="0"/>
              <w:divBdr>
                <w:top w:val="none" w:sz="0" w:space="0" w:color="auto"/>
                <w:left w:val="none" w:sz="0" w:space="0" w:color="auto"/>
                <w:bottom w:val="none" w:sz="0" w:space="0" w:color="auto"/>
                <w:right w:val="none" w:sz="0" w:space="0" w:color="auto"/>
              </w:divBdr>
            </w:div>
            <w:div w:id="192884897">
              <w:marLeft w:val="0"/>
              <w:marRight w:val="0"/>
              <w:marTop w:val="0"/>
              <w:marBottom w:val="0"/>
              <w:divBdr>
                <w:top w:val="none" w:sz="0" w:space="0" w:color="auto"/>
                <w:left w:val="none" w:sz="0" w:space="0" w:color="auto"/>
                <w:bottom w:val="none" w:sz="0" w:space="0" w:color="auto"/>
                <w:right w:val="none" w:sz="0" w:space="0" w:color="auto"/>
              </w:divBdr>
            </w:div>
            <w:div w:id="303588698">
              <w:marLeft w:val="0"/>
              <w:marRight w:val="0"/>
              <w:marTop w:val="0"/>
              <w:marBottom w:val="0"/>
              <w:divBdr>
                <w:top w:val="none" w:sz="0" w:space="0" w:color="auto"/>
                <w:left w:val="none" w:sz="0" w:space="0" w:color="auto"/>
                <w:bottom w:val="none" w:sz="0" w:space="0" w:color="auto"/>
                <w:right w:val="none" w:sz="0" w:space="0" w:color="auto"/>
              </w:divBdr>
            </w:div>
            <w:div w:id="326908338">
              <w:marLeft w:val="0"/>
              <w:marRight w:val="0"/>
              <w:marTop w:val="0"/>
              <w:marBottom w:val="0"/>
              <w:divBdr>
                <w:top w:val="none" w:sz="0" w:space="0" w:color="auto"/>
                <w:left w:val="none" w:sz="0" w:space="0" w:color="auto"/>
                <w:bottom w:val="none" w:sz="0" w:space="0" w:color="auto"/>
                <w:right w:val="none" w:sz="0" w:space="0" w:color="auto"/>
              </w:divBdr>
            </w:div>
            <w:div w:id="450902666">
              <w:marLeft w:val="0"/>
              <w:marRight w:val="0"/>
              <w:marTop w:val="0"/>
              <w:marBottom w:val="0"/>
              <w:divBdr>
                <w:top w:val="none" w:sz="0" w:space="0" w:color="auto"/>
                <w:left w:val="none" w:sz="0" w:space="0" w:color="auto"/>
                <w:bottom w:val="none" w:sz="0" w:space="0" w:color="auto"/>
                <w:right w:val="none" w:sz="0" w:space="0" w:color="auto"/>
              </w:divBdr>
            </w:div>
            <w:div w:id="499199530">
              <w:marLeft w:val="0"/>
              <w:marRight w:val="0"/>
              <w:marTop w:val="0"/>
              <w:marBottom w:val="0"/>
              <w:divBdr>
                <w:top w:val="none" w:sz="0" w:space="0" w:color="auto"/>
                <w:left w:val="none" w:sz="0" w:space="0" w:color="auto"/>
                <w:bottom w:val="none" w:sz="0" w:space="0" w:color="auto"/>
                <w:right w:val="none" w:sz="0" w:space="0" w:color="auto"/>
              </w:divBdr>
            </w:div>
            <w:div w:id="562571372">
              <w:marLeft w:val="0"/>
              <w:marRight w:val="0"/>
              <w:marTop w:val="0"/>
              <w:marBottom w:val="0"/>
              <w:divBdr>
                <w:top w:val="none" w:sz="0" w:space="0" w:color="auto"/>
                <w:left w:val="none" w:sz="0" w:space="0" w:color="auto"/>
                <w:bottom w:val="none" w:sz="0" w:space="0" w:color="auto"/>
                <w:right w:val="none" w:sz="0" w:space="0" w:color="auto"/>
              </w:divBdr>
            </w:div>
            <w:div w:id="795681680">
              <w:marLeft w:val="0"/>
              <w:marRight w:val="0"/>
              <w:marTop w:val="0"/>
              <w:marBottom w:val="0"/>
              <w:divBdr>
                <w:top w:val="none" w:sz="0" w:space="0" w:color="auto"/>
                <w:left w:val="none" w:sz="0" w:space="0" w:color="auto"/>
                <w:bottom w:val="none" w:sz="0" w:space="0" w:color="auto"/>
                <w:right w:val="none" w:sz="0" w:space="0" w:color="auto"/>
              </w:divBdr>
            </w:div>
            <w:div w:id="797600568">
              <w:marLeft w:val="0"/>
              <w:marRight w:val="0"/>
              <w:marTop w:val="0"/>
              <w:marBottom w:val="0"/>
              <w:divBdr>
                <w:top w:val="none" w:sz="0" w:space="0" w:color="auto"/>
                <w:left w:val="none" w:sz="0" w:space="0" w:color="auto"/>
                <w:bottom w:val="none" w:sz="0" w:space="0" w:color="auto"/>
                <w:right w:val="none" w:sz="0" w:space="0" w:color="auto"/>
              </w:divBdr>
            </w:div>
            <w:div w:id="864640715">
              <w:marLeft w:val="0"/>
              <w:marRight w:val="0"/>
              <w:marTop w:val="0"/>
              <w:marBottom w:val="0"/>
              <w:divBdr>
                <w:top w:val="none" w:sz="0" w:space="0" w:color="auto"/>
                <w:left w:val="none" w:sz="0" w:space="0" w:color="auto"/>
                <w:bottom w:val="none" w:sz="0" w:space="0" w:color="auto"/>
                <w:right w:val="none" w:sz="0" w:space="0" w:color="auto"/>
              </w:divBdr>
            </w:div>
            <w:div w:id="972368676">
              <w:marLeft w:val="0"/>
              <w:marRight w:val="0"/>
              <w:marTop w:val="0"/>
              <w:marBottom w:val="0"/>
              <w:divBdr>
                <w:top w:val="none" w:sz="0" w:space="0" w:color="auto"/>
                <w:left w:val="none" w:sz="0" w:space="0" w:color="auto"/>
                <w:bottom w:val="none" w:sz="0" w:space="0" w:color="auto"/>
                <w:right w:val="none" w:sz="0" w:space="0" w:color="auto"/>
              </w:divBdr>
            </w:div>
            <w:div w:id="991829523">
              <w:marLeft w:val="0"/>
              <w:marRight w:val="0"/>
              <w:marTop w:val="0"/>
              <w:marBottom w:val="0"/>
              <w:divBdr>
                <w:top w:val="none" w:sz="0" w:space="0" w:color="auto"/>
                <w:left w:val="none" w:sz="0" w:space="0" w:color="auto"/>
                <w:bottom w:val="none" w:sz="0" w:space="0" w:color="auto"/>
                <w:right w:val="none" w:sz="0" w:space="0" w:color="auto"/>
              </w:divBdr>
            </w:div>
            <w:div w:id="1185366802">
              <w:marLeft w:val="0"/>
              <w:marRight w:val="0"/>
              <w:marTop w:val="0"/>
              <w:marBottom w:val="0"/>
              <w:divBdr>
                <w:top w:val="none" w:sz="0" w:space="0" w:color="auto"/>
                <w:left w:val="none" w:sz="0" w:space="0" w:color="auto"/>
                <w:bottom w:val="none" w:sz="0" w:space="0" w:color="auto"/>
                <w:right w:val="none" w:sz="0" w:space="0" w:color="auto"/>
              </w:divBdr>
            </w:div>
            <w:div w:id="1482305286">
              <w:marLeft w:val="0"/>
              <w:marRight w:val="0"/>
              <w:marTop w:val="0"/>
              <w:marBottom w:val="0"/>
              <w:divBdr>
                <w:top w:val="none" w:sz="0" w:space="0" w:color="auto"/>
                <w:left w:val="none" w:sz="0" w:space="0" w:color="auto"/>
                <w:bottom w:val="none" w:sz="0" w:space="0" w:color="auto"/>
                <w:right w:val="none" w:sz="0" w:space="0" w:color="auto"/>
              </w:divBdr>
            </w:div>
            <w:div w:id="1605191525">
              <w:marLeft w:val="0"/>
              <w:marRight w:val="0"/>
              <w:marTop w:val="0"/>
              <w:marBottom w:val="0"/>
              <w:divBdr>
                <w:top w:val="none" w:sz="0" w:space="0" w:color="auto"/>
                <w:left w:val="none" w:sz="0" w:space="0" w:color="auto"/>
                <w:bottom w:val="none" w:sz="0" w:space="0" w:color="auto"/>
                <w:right w:val="none" w:sz="0" w:space="0" w:color="auto"/>
              </w:divBdr>
            </w:div>
            <w:div w:id="1618637072">
              <w:marLeft w:val="0"/>
              <w:marRight w:val="0"/>
              <w:marTop w:val="0"/>
              <w:marBottom w:val="0"/>
              <w:divBdr>
                <w:top w:val="none" w:sz="0" w:space="0" w:color="auto"/>
                <w:left w:val="none" w:sz="0" w:space="0" w:color="auto"/>
                <w:bottom w:val="none" w:sz="0" w:space="0" w:color="auto"/>
                <w:right w:val="none" w:sz="0" w:space="0" w:color="auto"/>
              </w:divBdr>
            </w:div>
            <w:div w:id="1675913840">
              <w:marLeft w:val="0"/>
              <w:marRight w:val="0"/>
              <w:marTop w:val="0"/>
              <w:marBottom w:val="0"/>
              <w:divBdr>
                <w:top w:val="none" w:sz="0" w:space="0" w:color="auto"/>
                <w:left w:val="none" w:sz="0" w:space="0" w:color="auto"/>
                <w:bottom w:val="none" w:sz="0" w:space="0" w:color="auto"/>
                <w:right w:val="none" w:sz="0" w:space="0" w:color="auto"/>
              </w:divBdr>
            </w:div>
            <w:div w:id="1815105305">
              <w:marLeft w:val="0"/>
              <w:marRight w:val="0"/>
              <w:marTop w:val="0"/>
              <w:marBottom w:val="0"/>
              <w:divBdr>
                <w:top w:val="none" w:sz="0" w:space="0" w:color="auto"/>
                <w:left w:val="none" w:sz="0" w:space="0" w:color="auto"/>
                <w:bottom w:val="none" w:sz="0" w:space="0" w:color="auto"/>
                <w:right w:val="none" w:sz="0" w:space="0" w:color="auto"/>
              </w:divBdr>
            </w:div>
            <w:div w:id="1860073382">
              <w:marLeft w:val="0"/>
              <w:marRight w:val="0"/>
              <w:marTop w:val="0"/>
              <w:marBottom w:val="0"/>
              <w:divBdr>
                <w:top w:val="none" w:sz="0" w:space="0" w:color="auto"/>
                <w:left w:val="none" w:sz="0" w:space="0" w:color="auto"/>
                <w:bottom w:val="none" w:sz="0" w:space="0" w:color="auto"/>
                <w:right w:val="none" w:sz="0" w:space="0" w:color="auto"/>
              </w:divBdr>
            </w:div>
            <w:div w:id="1921865836">
              <w:marLeft w:val="0"/>
              <w:marRight w:val="0"/>
              <w:marTop w:val="0"/>
              <w:marBottom w:val="0"/>
              <w:divBdr>
                <w:top w:val="none" w:sz="0" w:space="0" w:color="auto"/>
                <w:left w:val="none" w:sz="0" w:space="0" w:color="auto"/>
                <w:bottom w:val="none" w:sz="0" w:space="0" w:color="auto"/>
                <w:right w:val="none" w:sz="0" w:space="0" w:color="auto"/>
              </w:divBdr>
            </w:div>
          </w:divsChild>
        </w:div>
        <w:div w:id="1494300194">
          <w:marLeft w:val="0"/>
          <w:marRight w:val="0"/>
          <w:marTop w:val="0"/>
          <w:marBottom w:val="0"/>
          <w:divBdr>
            <w:top w:val="none" w:sz="0" w:space="0" w:color="auto"/>
            <w:left w:val="none" w:sz="0" w:space="0" w:color="auto"/>
            <w:bottom w:val="none" w:sz="0" w:space="0" w:color="auto"/>
            <w:right w:val="none" w:sz="0" w:space="0" w:color="auto"/>
          </w:divBdr>
        </w:div>
        <w:div w:id="1498419640">
          <w:marLeft w:val="0"/>
          <w:marRight w:val="0"/>
          <w:marTop w:val="0"/>
          <w:marBottom w:val="0"/>
          <w:divBdr>
            <w:top w:val="none" w:sz="0" w:space="0" w:color="auto"/>
            <w:left w:val="none" w:sz="0" w:space="0" w:color="auto"/>
            <w:bottom w:val="none" w:sz="0" w:space="0" w:color="auto"/>
            <w:right w:val="none" w:sz="0" w:space="0" w:color="auto"/>
          </w:divBdr>
        </w:div>
        <w:div w:id="1512448860">
          <w:marLeft w:val="0"/>
          <w:marRight w:val="0"/>
          <w:marTop w:val="0"/>
          <w:marBottom w:val="0"/>
          <w:divBdr>
            <w:top w:val="none" w:sz="0" w:space="0" w:color="auto"/>
            <w:left w:val="none" w:sz="0" w:space="0" w:color="auto"/>
            <w:bottom w:val="none" w:sz="0" w:space="0" w:color="auto"/>
            <w:right w:val="none" w:sz="0" w:space="0" w:color="auto"/>
          </w:divBdr>
        </w:div>
        <w:div w:id="1544443189">
          <w:marLeft w:val="0"/>
          <w:marRight w:val="0"/>
          <w:marTop w:val="0"/>
          <w:marBottom w:val="0"/>
          <w:divBdr>
            <w:top w:val="none" w:sz="0" w:space="0" w:color="auto"/>
            <w:left w:val="none" w:sz="0" w:space="0" w:color="auto"/>
            <w:bottom w:val="none" w:sz="0" w:space="0" w:color="auto"/>
            <w:right w:val="none" w:sz="0" w:space="0" w:color="auto"/>
          </w:divBdr>
        </w:div>
        <w:div w:id="1564021158">
          <w:marLeft w:val="0"/>
          <w:marRight w:val="0"/>
          <w:marTop w:val="0"/>
          <w:marBottom w:val="0"/>
          <w:divBdr>
            <w:top w:val="none" w:sz="0" w:space="0" w:color="auto"/>
            <w:left w:val="none" w:sz="0" w:space="0" w:color="auto"/>
            <w:bottom w:val="none" w:sz="0" w:space="0" w:color="auto"/>
            <w:right w:val="none" w:sz="0" w:space="0" w:color="auto"/>
          </w:divBdr>
          <w:divsChild>
            <w:div w:id="24449173">
              <w:marLeft w:val="0"/>
              <w:marRight w:val="0"/>
              <w:marTop w:val="0"/>
              <w:marBottom w:val="0"/>
              <w:divBdr>
                <w:top w:val="none" w:sz="0" w:space="0" w:color="auto"/>
                <w:left w:val="none" w:sz="0" w:space="0" w:color="auto"/>
                <w:bottom w:val="none" w:sz="0" w:space="0" w:color="auto"/>
                <w:right w:val="none" w:sz="0" w:space="0" w:color="auto"/>
              </w:divBdr>
            </w:div>
            <w:div w:id="149251401">
              <w:marLeft w:val="0"/>
              <w:marRight w:val="0"/>
              <w:marTop w:val="0"/>
              <w:marBottom w:val="0"/>
              <w:divBdr>
                <w:top w:val="none" w:sz="0" w:space="0" w:color="auto"/>
                <w:left w:val="none" w:sz="0" w:space="0" w:color="auto"/>
                <w:bottom w:val="none" w:sz="0" w:space="0" w:color="auto"/>
                <w:right w:val="none" w:sz="0" w:space="0" w:color="auto"/>
              </w:divBdr>
            </w:div>
            <w:div w:id="215317290">
              <w:marLeft w:val="0"/>
              <w:marRight w:val="0"/>
              <w:marTop w:val="0"/>
              <w:marBottom w:val="0"/>
              <w:divBdr>
                <w:top w:val="none" w:sz="0" w:space="0" w:color="auto"/>
                <w:left w:val="none" w:sz="0" w:space="0" w:color="auto"/>
                <w:bottom w:val="none" w:sz="0" w:space="0" w:color="auto"/>
                <w:right w:val="none" w:sz="0" w:space="0" w:color="auto"/>
              </w:divBdr>
            </w:div>
            <w:div w:id="410546878">
              <w:marLeft w:val="0"/>
              <w:marRight w:val="0"/>
              <w:marTop w:val="0"/>
              <w:marBottom w:val="0"/>
              <w:divBdr>
                <w:top w:val="none" w:sz="0" w:space="0" w:color="auto"/>
                <w:left w:val="none" w:sz="0" w:space="0" w:color="auto"/>
                <w:bottom w:val="none" w:sz="0" w:space="0" w:color="auto"/>
                <w:right w:val="none" w:sz="0" w:space="0" w:color="auto"/>
              </w:divBdr>
            </w:div>
            <w:div w:id="455492398">
              <w:marLeft w:val="0"/>
              <w:marRight w:val="0"/>
              <w:marTop w:val="0"/>
              <w:marBottom w:val="0"/>
              <w:divBdr>
                <w:top w:val="none" w:sz="0" w:space="0" w:color="auto"/>
                <w:left w:val="none" w:sz="0" w:space="0" w:color="auto"/>
                <w:bottom w:val="none" w:sz="0" w:space="0" w:color="auto"/>
                <w:right w:val="none" w:sz="0" w:space="0" w:color="auto"/>
              </w:divBdr>
            </w:div>
            <w:div w:id="460928620">
              <w:marLeft w:val="0"/>
              <w:marRight w:val="0"/>
              <w:marTop w:val="0"/>
              <w:marBottom w:val="0"/>
              <w:divBdr>
                <w:top w:val="none" w:sz="0" w:space="0" w:color="auto"/>
                <w:left w:val="none" w:sz="0" w:space="0" w:color="auto"/>
                <w:bottom w:val="none" w:sz="0" w:space="0" w:color="auto"/>
                <w:right w:val="none" w:sz="0" w:space="0" w:color="auto"/>
              </w:divBdr>
            </w:div>
            <w:div w:id="495146986">
              <w:marLeft w:val="0"/>
              <w:marRight w:val="0"/>
              <w:marTop w:val="0"/>
              <w:marBottom w:val="0"/>
              <w:divBdr>
                <w:top w:val="none" w:sz="0" w:space="0" w:color="auto"/>
                <w:left w:val="none" w:sz="0" w:space="0" w:color="auto"/>
                <w:bottom w:val="none" w:sz="0" w:space="0" w:color="auto"/>
                <w:right w:val="none" w:sz="0" w:space="0" w:color="auto"/>
              </w:divBdr>
            </w:div>
            <w:div w:id="541787326">
              <w:marLeft w:val="0"/>
              <w:marRight w:val="0"/>
              <w:marTop w:val="0"/>
              <w:marBottom w:val="0"/>
              <w:divBdr>
                <w:top w:val="none" w:sz="0" w:space="0" w:color="auto"/>
                <w:left w:val="none" w:sz="0" w:space="0" w:color="auto"/>
                <w:bottom w:val="none" w:sz="0" w:space="0" w:color="auto"/>
                <w:right w:val="none" w:sz="0" w:space="0" w:color="auto"/>
              </w:divBdr>
            </w:div>
            <w:div w:id="816263440">
              <w:marLeft w:val="0"/>
              <w:marRight w:val="0"/>
              <w:marTop w:val="0"/>
              <w:marBottom w:val="0"/>
              <w:divBdr>
                <w:top w:val="none" w:sz="0" w:space="0" w:color="auto"/>
                <w:left w:val="none" w:sz="0" w:space="0" w:color="auto"/>
                <w:bottom w:val="none" w:sz="0" w:space="0" w:color="auto"/>
                <w:right w:val="none" w:sz="0" w:space="0" w:color="auto"/>
              </w:divBdr>
            </w:div>
            <w:div w:id="900167663">
              <w:marLeft w:val="0"/>
              <w:marRight w:val="0"/>
              <w:marTop w:val="0"/>
              <w:marBottom w:val="0"/>
              <w:divBdr>
                <w:top w:val="none" w:sz="0" w:space="0" w:color="auto"/>
                <w:left w:val="none" w:sz="0" w:space="0" w:color="auto"/>
                <w:bottom w:val="none" w:sz="0" w:space="0" w:color="auto"/>
                <w:right w:val="none" w:sz="0" w:space="0" w:color="auto"/>
              </w:divBdr>
            </w:div>
            <w:div w:id="918754235">
              <w:marLeft w:val="0"/>
              <w:marRight w:val="0"/>
              <w:marTop w:val="0"/>
              <w:marBottom w:val="0"/>
              <w:divBdr>
                <w:top w:val="none" w:sz="0" w:space="0" w:color="auto"/>
                <w:left w:val="none" w:sz="0" w:space="0" w:color="auto"/>
                <w:bottom w:val="none" w:sz="0" w:space="0" w:color="auto"/>
                <w:right w:val="none" w:sz="0" w:space="0" w:color="auto"/>
              </w:divBdr>
            </w:div>
            <w:div w:id="952173512">
              <w:marLeft w:val="0"/>
              <w:marRight w:val="0"/>
              <w:marTop w:val="0"/>
              <w:marBottom w:val="0"/>
              <w:divBdr>
                <w:top w:val="none" w:sz="0" w:space="0" w:color="auto"/>
                <w:left w:val="none" w:sz="0" w:space="0" w:color="auto"/>
                <w:bottom w:val="none" w:sz="0" w:space="0" w:color="auto"/>
                <w:right w:val="none" w:sz="0" w:space="0" w:color="auto"/>
              </w:divBdr>
            </w:div>
            <w:div w:id="989795944">
              <w:marLeft w:val="0"/>
              <w:marRight w:val="0"/>
              <w:marTop w:val="0"/>
              <w:marBottom w:val="0"/>
              <w:divBdr>
                <w:top w:val="none" w:sz="0" w:space="0" w:color="auto"/>
                <w:left w:val="none" w:sz="0" w:space="0" w:color="auto"/>
                <w:bottom w:val="none" w:sz="0" w:space="0" w:color="auto"/>
                <w:right w:val="none" w:sz="0" w:space="0" w:color="auto"/>
              </w:divBdr>
            </w:div>
            <w:div w:id="1035544233">
              <w:marLeft w:val="0"/>
              <w:marRight w:val="0"/>
              <w:marTop w:val="0"/>
              <w:marBottom w:val="0"/>
              <w:divBdr>
                <w:top w:val="none" w:sz="0" w:space="0" w:color="auto"/>
                <w:left w:val="none" w:sz="0" w:space="0" w:color="auto"/>
                <w:bottom w:val="none" w:sz="0" w:space="0" w:color="auto"/>
                <w:right w:val="none" w:sz="0" w:space="0" w:color="auto"/>
              </w:divBdr>
            </w:div>
            <w:div w:id="1377196894">
              <w:marLeft w:val="0"/>
              <w:marRight w:val="0"/>
              <w:marTop w:val="0"/>
              <w:marBottom w:val="0"/>
              <w:divBdr>
                <w:top w:val="none" w:sz="0" w:space="0" w:color="auto"/>
                <w:left w:val="none" w:sz="0" w:space="0" w:color="auto"/>
                <w:bottom w:val="none" w:sz="0" w:space="0" w:color="auto"/>
                <w:right w:val="none" w:sz="0" w:space="0" w:color="auto"/>
              </w:divBdr>
            </w:div>
            <w:div w:id="1520968487">
              <w:marLeft w:val="0"/>
              <w:marRight w:val="0"/>
              <w:marTop w:val="0"/>
              <w:marBottom w:val="0"/>
              <w:divBdr>
                <w:top w:val="none" w:sz="0" w:space="0" w:color="auto"/>
                <w:left w:val="none" w:sz="0" w:space="0" w:color="auto"/>
                <w:bottom w:val="none" w:sz="0" w:space="0" w:color="auto"/>
                <w:right w:val="none" w:sz="0" w:space="0" w:color="auto"/>
              </w:divBdr>
            </w:div>
            <w:div w:id="1536968730">
              <w:marLeft w:val="0"/>
              <w:marRight w:val="0"/>
              <w:marTop w:val="0"/>
              <w:marBottom w:val="0"/>
              <w:divBdr>
                <w:top w:val="none" w:sz="0" w:space="0" w:color="auto"/>
                <w:left w:val="none" w:sz="0" w:space="0" w:color="auto"/>
                <w:bottom w:val="none" w:sz="0" w:space="0" w:color="auto"/>
                <w:right w:val="none" w:sz="0" w:space="0" w:color="auto"/>
              </w:divBdr>
            </w:div>
            <w:div w:id="1793019038">
              <w:marLeft w:val="0"/>
              <w:marRight w:val="0"/>
              <w:marTop w:val="0"/>
              <w:marBottom w:val="0"/>
              <w:divBdr>
                <w:top w:val="none" w:sz="0" w:space="0" w:color="auto"/>
                <w:left w:val="none" w:sz="0" w:space="0" w:color="auto"/>
                <w:bottom w:val="none" w:sz="0" w:space="0" w:color="auto"/>
                <w:right w:val="none" w:sz="0" w:space="0" w:color="auto"/>
              </w:divBdr>
            </w:div>
            <w:div w:id="1892111131">
              <w:marLeft w:val="0"/>
              <w:marRight w:val="0"/>
              <w:marTop w:val="0"/>
              <w:marBottom w:val="0"/>
              <w:divBdr>
                <w:top w:val="none" w:sz="0" w:space="0" w:color="auto"/>
                <w:left w:val="none" w:sz="0" w:space="0" w:color="auto"/>
                <w:bottom w:val="none" w:sz="0" w:space="0" w:color="auto"/>
                <w:right w:val="none" w:sz="0" w:space="0" w:color="auto"/>
              </w:divBdr>
            </w:div>
            <w:div w:id="2033412531">
              <w:marLeft w:val="0"/>
              <w:marRight w:val="0"/>
              <w:marTop w:val="0"/>
              <w:marBottom w:val="0"/>
              <w:divBdr>
                <w:top w:val="none" w:sz="0" w:space="0" w:color="auto"/>
                <w:left w:val="none" w:sz="0" w:space="0" w:color="auto"/>
                <w:bottom w:val="none" w:sz="0" w:space="0" w:color="auto"/>
                <w:right w:val="none" w:sz="0" w:space="0" w:color="auto"/>
              </w:divBdr>
            </w:div>
          </w:divsChild>
        </w:div>
        <w:div w:id="1568026780">
          <w:marLeft w:val="0"/>
          <w:marRight w:val="0"/>
          <w:marTop w:val="0"/>
          <w:marBottom w:val="0"/>
          <w:divBdr>
            <w:top w:val="none" w:sz="0" w:space="0" w:color="auto"/>
            <w:left w:val="none" w:sz="0" w:space="0" w:color="auto"/>
            <w:bottom w:val="none" w:sz="0" w:space="0" w:color="auto"/>
            <w:right w:val="none" w:sz="0" w:space="0" w:color="auto"/>
          </w:divBdr>
        </w:div>
        <w:div w:id="1629507823">
          <w:marLeft w:val="0"/>
          <w:marRight w:val="0"/>
          <w:marTop w:val="0"/>
          <w:marBottom w:val="0"/>
          <w:divBdr>
            <w:top w:val="none" w:sz="0" w:space="0" w:color="auto"/>
            <w:left w:val="none" w:sz="0" w:space="0" w:color="auto"/>
            <w:bottom w:val="none" w:sz="0" w:space="0" w:color="auto"/>
            <w:right w:val="none" w:sz="0" w:space="0" w:color="auto"/>
          </w:divBdr>
        </w:div>
        <w:div w:id="1632591845">
          <w:marLeft w:val="0"/>
          <w:marRight w:val="0"/>
          <w:marTop w:val="0"/>
          <w:marBottom w:val="0"/>
          <w:divBdr>
            <w:top w:val="none" w:sz="0" w:space="0" w:color="auto"/>
            <w:left w:val="none" w:sz="0" w:space="0" w:color="auto"/>
            <w:bottom w:val="none" w:sz="0" w:space="0" w:color="auto"/>
            <w:right w:val="none" w:sz="0" w:space="0" w:color="auto"/>
          </w:divBdr>
        </w:div>
        <w:div w:id="1646273977">
          <w:marLeft w:val="0"/>
          <w:marRight w:val="0"/>
          <w:marTop w:val="0"/>
          <w:marBottom w:val="0"/>
          <w:divBdr>
            <w:top w:val="none" w:sz="0" w:space="0" w:color="auto"/>
            <w:left w:val="none" w:sz="0" w:space="0" w:color="auto"/>
            <w:bottom w:val="none" w:sz="0" w:space="0" w:color="auto"/>
            <w:right w:val="none" w:sz="0" w:space="0" w:color="auto"/>
          </w:divBdr>
          <w:divsChild>
            <w:div w:id="155800810">
              <w:marLeft w:val="0"/>
              <w:marRight w:val="0"/>
              <w:marTop w:val="0"/>
              <w:marBottom w:val="0"/>
              <w:divBdr>
                <w:top w:val="none" w:sz="0" w:space="0" w:color="auto"/>
                <w:left w:val="none" w:sz="0" w:space="0" w:color="auto"/>
                <w:bottom w:val="none" w:sz="0" w:space="0" w:color="auto"/>
                <w:right w:val="none" w:sz="0" w:space="0" w:color="auto"/>
              </w:divBdr>
            </w:div>
            <w:div w:id="249243310">
              <w:marLeft w:val="0"/>
              <w:marRight w:val="0"/>
              <w:marTop w:val="0"/>
              <w:marBottom w:val="0"/>
              <w:divBdr>
                <w:top w:val="none" w:sz="0" w:space="0" w:color="auto"/>
                <w:left w:val="none" w:sz="0" w:space="0" w:color="auto"/>
                <w:bottom w:val="none" w:sz="0" w:space="0" w:color="auto"/>
                <w:right w:val="none" w:sz="0" w:space="0" w:color="auto"/>
              </w:divBdr>
            </w:div>
            <w:div w:id="290214306">
              <w:marLeft w:val="0"/>
              <w:marRight w:val="0"/>
              <w:marTop w:val="0"/>
              <w:marBottom w:val="0"/>
              <w:divBdr>
                <w:top w:val="none" w:sz="0" w:space="0" w:color="auto"/>
                <w:left w:val="none" w:sz="0" w:space="0" w:color="auto"/>
                <w:bottom w:val="none" w:sz="0" w:space="0" w:color="auto"/>
                <w:right w:val="none" w:sz="0" w:space="0" w:color="auto"/>
              </w:divBdr>
            </w:div>
            <w:div w:id="346903105">
              <w:marLeft w:val="0"/>
              <w:marRight w:val="0"/>
              <w:marTop w:val="0"/>
              <w:marBottom w:val="0"/>
              <w:divBdr>
                <w:top w:val="none" w:sz="0" w:space="0" w:color="auto"/>
                <w:left w:val="none" w:sz="0" w:space="0" w:color="auto"/>
                <w:bottom w:val="none" w:sz="0" w:space="0" w:color="auto"/>
                <w:right w:val="none" w:sz="0" w:space="0" w:color="auto"/>
              </w:divBdr>
            </w:div>
            <w:div w:id="421144969">
              <w:marLeft w:val="0"/>
              <w:marRight w:val="0"/>
              <w:marTop w:val="0"/>
              <w:marBottom w:val="0"/>
              <w:divBdr>
                <w:top w:val="none" w:sz="0" w:space="0" w:color="auto"/>
                <w:left w:val="none" w:sz="0" w:space="0" w:color="auto"/>
                <w:bottom w:val="none" w:sz="0" w:space="0" w:color="auto"/>
                <w:right w:val="none" w:sz="0" w:space="0" w:color="auto"/>
              </w:divBdr>
            </w:div>
            <w:div w:id="667902523">
              <w:marLeft w:val="0"/>
              <w:marRight w:val="0"/>
              <w:marTop w:val="0"/>
              <w:marBottom w:val="0"/>
              <w:divBdr>
                <w:top w:val="none" w:sz="0" w:space="0" w:color="auto"/>
                <w:left w:val="none" w:sz="0" w:space="0" w:color="auto"/>
                <w:bottom w:val="none" w:sz="0" w:space="0" w:color="auto"/>
                <w:right w:val="none" w:sz="0" w:space="0" w:color="auto"/>
              </w:divBdr>
            </w:div>
            <w:div w:id="731974590">
              <w:marLeft w:val="0"/>
              <w:marRight w:val="0"/>
              <w:marTop w:val="0"/>
              <w:marBottom w:val="0"/>
              <w:divBdr>
                <w:top w:val="none" w:sz="0" w:space="0" w:color="auto"/>
                <w:left w:val="none" w:sz="0" w:space="0" w:color="auto"/>
                <w:bottom w:val="none" w:sz="0" w:space="0" w:color="auto"/>
                <w:right w:val="none" w:sz="0" w:space="0" w:color="auto"/>
              </w:divBdr>
            </w:div>
            <w:div w:id="810562959">
              <w:marLeft w:val="0"/>
              <w:marRight w:val="0"/>
              <w:marTop w:val="0"/>
              <w:marBottom w:val="0"/>
              <w:divBdr>
                <w:top w:val="none" w:sz="0" w:space="0" w:color="auto"/>
                <w:left w:val="none" w:sz="0" w:space="0" w:color="auto"/>
                <w:bottom w:val="none" w:sz="0" w:space="0" w:color="auto"/>
                <w:right w:val="none" w:sz="0" w:space="0" w:color="auto"/>
              </w:divBdr>
            </w:div>
            <w:div w:id="860322208">
              <w:marLeft w:val="0"/>
              <w:marRight w:val="0"/>
              <w:marTop w:val="0"/>
              <w:marBottom w:val="0"/>
              <w:divBdr>
                <w:top w:val="none" w:sz="0" w:space="0" w:color="auto"/>
                <w:left w:val="none" w:sz="0" w:space="0" w:color="auto"/>
                <w:bottom w:val="none" w:sz="0" w:space="0" w:color="auto"/>
                <w:right w:val="none" w:sz="0" w:space="0" w:color="auto"/>
              </w:divBdr>
            </w:div>
            <w:div w:id="936598095">
              <w:marLeft w:val="0"/>
              <w:marRight w:val="0"/>
              <w:marTop w:val="0"/>
              <w:marBottom w:val="0"/>
              <w:divBdr>
                <w:top w:val="none" w:sz="0" w:space="0" w:color="auto"/>
                <w:left w:val="none" w:sz="0" w:space="0" w:color="auto"/>
                <w:bottom w:val="none" w:sz="0" w:space="0" w:color="auto"/>
                <w:right w:val="none" w:sz="0" w:space="0" w:color="auto"/>
              </w:divBdr>
            </w:div>
            <w:div w:id="1181360080">
              <w:marLeft w:val="0"/>
              <w:marRight w:val="0"/>
              <w:marTop w:val="0"/>
              <w:marBottom w:val="0"/>
              <w:divBdr>
                <w:top w:val="none" w:sz="0" w:space="0" w:color="auto"/>
                <w:left w:val="none" w:sz="0" w:space="0" w:color="auto"/>
                <w:bottom w:val="none" w:sz="0" w:space="0" w:color="auto"/>
                <w:right w:val="none" w:sz="0" w:space="0" w:color="auto"/>
              </w:divBdr>
            </w:div>
            <w:div w:id="1225217322">
              <w:marLeft w:val="0"/>
              <w:marRight w:val="0"/>
              <w:marTop w:val="0"/>
              <w:marBottom w:val="0"/>
              <w:divBdr>
                <w:top w:val="none" w:sz="0" w:space="0" w:color="auto"/>
                <w:left w:val="none" w:sz="0" w:space="0" w:color="auto"/>
                <w:bottom w:val="none" w:sz="0" w:space="0" w:color="auto"/>
                <w:right w:val="none" w:sz="0" w:space="0" w:color="auto"/>
              </w:divBdr>
            </w:div>
            <w:div w:id="1329405562">
              <w:marLeft w:val="0"/>
              <w:marRight w:val="0"/>
              <w:marTop w:val="0"/>
              <w:marBottom w:val="0"/>
              <w:divBdr>
                <w:top w:val="none" w:sz="0" w:space="0" w:color="auto"/>
                <w:left w:val="none" w:sz="0" w:space="0" w:color="auto"/>
                <w:bottom w:val="none" w:sz="0" w:space="0" w:color="auto"/>
                <w:right w:val="none" w:sz="0" w:space="0" w:color="auto"/>
              </w:divBdr>
            </w:div>
            <w:div w:id="1341464173">
              <w:marLeft w:val="0"/>
              <w:marRight w:val="0"/>
              <w:marTop w:val="0"/>
              <w:marBottom w:val="0"/>
              <w:divBdr>
                <w:top w:val="none" w:sz="0" w:space="0" w:color="auto"/>
                <w:left w:val="none" w:sz="0" w:space="0" w:color="auto"/>
                <w:bottom w:val="none" w:sz="0" w:space="0" w:color="auto"/>
                <w:right w:val="none" w:sz="0" w:space="0" w:color="auto"/>
              </w:divBdr>
            </w:div>
            <w:div w:id="1368600852">
              <w:marLeft w:val="0"/>
              <w:marRight w:val="0"/>
              <w:marTop w:val="0"/>
              <w:marBottom w:val="0"/>
              <w:divBdr>
                <w:top w:val="none" w:sz="0" w:space="0" w:color="auto"/>
                <w:left w:val="none" w:sz="0" w:space="0" w:color="auto"/>
                <w:bottom w:val="none" w:sz="0" w:space="0" w:color="auto"/>
                <w:right w:val="none" w:sz="0" w:space="0" w:color="auto"/>
              </w:divBdr>
            </w:div>
            <w:div w:id="1388454342">
              <w:marLeft w:val="0"/>
              <w:marRight w:val="0"/>
              <w:marTop w:val="0"/>
              <w:marBottom w:val="0"/>
              <w:divBdr>
                <w:top w:val="none" w:sz="0" w:space="0" w:color="auto"/>
                <w:left w:val="none" w:sz="0" w:space="0" w:color="auto"/>
                <w:bottom w:val="none" w:sz="0" w:space="0" w:color="auto"/>
                <w:right w:val="none" w:sz="0" w:space="0" w:color="auto"/>
              </w:divBdr>
            </w:div>
            <w:div w:id="1519656704">
              <w:marLeft w:val="0"/>
              <w:marRight w:val="0"/>
              <w:marTop w:val="0"/>
              <w:marBottom w:val="0"/>
              <w:divBdr>
                <w:top w:val="none" w:sz="0" w:space="0" w:color="auto"/>
                <w:left w:val="none" w:sz="0" w:space="0" w:color="auto"/>
                <w:bottom w:val="none" w:sz="0" w:space="0" w:color="auto"/>
                <w:right w:val="none" w:sz="0" w:space="0" w:color="auto"/>
              </w:divBdr>
            </w:div>
            <w:div w:id="1561941014">
              <w:marLeft w:val="0"/>
              <w:marRight w:val="0"/>
              <w:marTop w:val="0"/>
              <w:marBottom w:val="0"/>
              <w:divBdr>
                <w:top w:val="none" w:sz="0" w:space="0" w:color="auto"/>
                <w:left w:val="none" w:sz="0" w:space="0" w:color="auto"/>
                <w:bottom w:val="none" w:sz="0" w:space="0" w:color="auto"/>
                <w:right w:val="none" w:sz="0" w:space="0" w:color="auto"/>
              </w:divBdr>
            </w:div>
            <w:div w:id="1952667444">
              <w:marLeft w:val="0"/>
              <w:marRight w:val="0"/>
              <w:marTop w:val="0"/>
              <w:marBottom w:val="0"/>
              <w:divBdr>
                <w:top w:val="none" w:sz="0" w:space="0" w:color="auto"/>
                <w:left w:val="none" w:sz="0" w:space="0" w:color="auto"/>
                <w:bottom w:val="none" w:sz="0" w:space="0" w:color="auto"/>
                <w:right w:val="none" w:sz="0" w:space="0" w:color="auto"/>
              </w:divBdr>
            </w:div>
            <w:div w:id="2027704958">
              <w:marLeft w:val="0"/>
              <w:marRight w:val="0"/>
              <w:marTop w:val="0"/>
              <w:marBottom w:val="0"/>
              <w:divBdr>
                <w:top w:val="none" w:sz="0" w:space="0" w:color="auto"/>
                <w:left w:val="none" w:sz="0" w:space="0" w:color="auto"/>
                <w:bottom w:val="none" w:sz="0" w:space="0" w:color="auto"/>
                <w:right w:val="none" w:sz="0" w:space="0" w:color="auto"/>
              </w:divBdr>
            </w:div>
          </w:divsChild>
        </w:div>
        <w:div w:id="1657956513">
          <w:marLeft w:val="0"/>
          <w:marRight w:val="0"/>
          <w:marTop w:val="0"/>
          <w:marBottom w:val="0"/>
          <w:divBdr>
            <w:top w:val="none" w:sz="0" w:space="0" w:color="auto"/>
            <w:left w:val="none" w:sz="0" w:space="0" w:color="auto"/>
            <w:bottom w:val="none" w:sz="0" w:space="0" w:color="auto"/>
            <w:right w:val="none" w:sz="0" w:space="0" w:color="auto"/>
          </w:divBdr>
        </w:div>
        <w:div w:id="1658148768">
          <w:marLeft w:val="0"/>
          <w:marRight w:val="0"/>
          <w:marTop w:val="0"/>
          <w:marBottom w:val="0"/>
          <w:divBdr>
            <w:top w:val="none" w:sz="0" w:space="0" w:color="auto"/>
            <w:left w:val="none" w:sz="0" w:space="0" w:color="auto"/>
            <w:bottom w:val="none" w:sz="0" w:space="0" w:color="auto"/>
            <w:right w:val="none" w:sz="0" w:space="0" w:color="auto"/>
          </w:divBdr>
        </w:div>
        <w:div w:id="1659067851">
          <w:marLeft w:val="0"/>
          <w:marRight w:val="0"/>
          <w:marTop w:val="0"/>
          <w:marBottom w:val="0"/>
          <w:divBdr>
            <w:top w:val="none" w:sz="0" w:space="0" w:color="auto"/>
            <w:left w:val="none" w:sz="0" w:space="0" w:color="auto"/>
            <w:bottom w:val="none" w:sz="0" w:space="0" w:color="auto"/>
            <w:right w:val="none" w:sz="0" w:space="0" w:color="auto"/>
          </w:divBdr>
        </w:div>
        <w:div w:id="1671785032">
          <w:marLeft w:val="0"/>
          <w:marRight w:val="0"/>
          <w:marTop w:val="0"/>
          <w:marBottom w:val="0"/>
          <w:divBdr>
            <w:top w:val="none" w:sz="0" w:space="0" w:color="auto"/>
            <w:left w:val="none" w:sz="0" w:space="0" w:color="auto"/>
            <w:bottom w:val="none" w:sz="0" w:space="0" w:color="auto"/>
            <w:right w:val="none" w:sz="0" w:space="0" w:color="auto"/>
          </w:divBdr>
        </w:div>
        <w:div w:id="1677808860">
          <w:marLeft w:val="0"/>
          <w:marRight w:val="0"/>
          <w:marTop w:val="0"/>
          <w:marBottom w:val="0"/>
          <w:divBdr>
            <w:top w:val="none" w:sz="0" w:space="0" w:color="auto"/>
            <w:left w:val="none" w:sz="0" w:space="0" w:color="auto"/>
            <w:bottom w:val="none" w:sz="0" w:space="0" w:color="auto"/>
            <w:right w:val="none" w:sz="0" w:space="0" w:color="auto"/>
          </w:divBdr>
        </w:div>
        <w:div w:id="1690333128">
          <w:marLeft w:val="0"/>
          <w:marRight w:val="0"/>
          <w:marTop w:val="0"/>
          <w:marBottom w:val="0"/>
          <w:divBdr>
            <w:top w:val="none" w:sz="0" w:space="0" w:color="auto"/>
            <w:left w:val="none" w:sz="0" w:space="0" w:color="auto"/>
            <w:bottom w:val="none" w:sz="0" w:space="0" w:color="auto"/>
            <w:right w:val="none" w:sz="0" w:space="0" w:color="auto"/>
          </w:divBdr>
        </w:div>
        <w:div w:id="1693258291">
          <w:marLeft w:val="0"/>
          <w:marRight w:val="0"/>
          <w:marTop w:val="0"/>
          <w:marBottom w:val="0"/>
          <w:divBdr>
            <w:top w:val="none" w:sz="0" w:space="0" w:color="auto"/>
            <w:left w:val="none" w:sz="0" w:space="0" w:color="auto"/>
            <w:bottom w:val="none" w:sz="0" w:space="0" w:color="auto"/>
            <w:right w:val="none" w:sz="0" w:space="0" w:color="auto"/>
          </w:divBdr>
        </w:div>
        <w:div w:id="1701010564">
          <w:marLeft w:val="0"/>
          <w:marRight w:val="0"/>
          <w:marTop w:val="0"/>
          <w:marBottom w:val="0"/>
          <w:divBdr>
            <w:top w:val="none" w:sz="0" w:space="0" w:color="auto"/>
            <w:left w:val="none" w:sz="0" w:space="0" w:color="auto"/>
            <w:bottom w:val="none" w:sz="0" w:space="0" w:color="auto"/>
            <w:right w:val="none" w:sz="0" w:space="0" w:color="auto"/>
          </w:divBdr>
          <w:divsChild>
            <w:div w:id="61291595">
              <w:marLeft w:val="0"/>
              <w:marRight w:val="0"/>
              <w:marTop w:val="0"/>
              <w:marBottom w:val="0"/>
              <w:divBdr>
                <w:top w:val="none" w:sz="0" w:space="0" w:color="auto"/>
                <w:left w:val="none" w:sz="0" w:space="0" w:color="auto"/>
                <w:bottom w:val="none" w:sz="0" w:space="0" w:color="auto"/>
                <w:right w:val="none" w:sz="0" w:space="0" w:color="auto"/>
              </w:divBdr>
            </w:div>
            <w:div w:id="106702793">
              <w:marLeft w:val="0"/>
              <w:marRight w:val="0"/>
              <w:marTop w:val="0"/>
              <w:marBottom w:val="0"/>
              <w:divBdr>
                <w:top w:val="none" w:sz="0" w:space="0" w:color="auto"/>
                <w:left w:val="none" w:sz="0" w:space="0" w:color="auto"/>
                <w:bottom w:val="none" w:sz="0" w:space="0" w:color="auto"/>
                <w:right w:val="none" w:sz="0" w:space="0" w:color="auto"/>
              </w:divBdr>
            </w:div>
            <w:div w:id="287047736">
              <w:marLeft w:val="0"/>
              <w:marRight w:val="0"/>
              <w:marTop w:val="0"/>
              <w:marBottom w:val="0"/>
              <w:divBdr>
                <w:top w:val="none" w:sz="0" w:space="0" w:color="auto"/>
                <w:left w:val="none" w:sz="0" w:space="0" w:color="auto"/>
                <w:bottom w:val="none" w:sz="0" w:space="0" w:color="auto"/>
                <w:right w:val="none" w:sz="0" w:space="0" w:color="auto"/>
              </w:divBdr>
            </w:div>
            <w:div w:id="381683808">
              <w:marLeft w:val="0"/>
              <w:marRight w:val="0"/>
              <w:marTop w:val="0"/>
              <w:marBottom w:val="0"/>
              <w:divBdr>
                <w:top w:val="none" w:sz="0" w:space="0" w:color="auto"/>
                <w:left w:val="none" w:sz="0" w:space="0" w:color="auto"/>
                <w:bottom w:val="none" w:sz="0" w:space="0" w:color="auto"/>
                <w:right w:val="none" w:sz="0" w:space="0" w:color="auto"/>
              </w:divBdr>
            </w:div>
            <w:div w:id="385570426">
              <w:marLeft w:val="0"/>
              <w:marRight w:val="0"/>
              <w:marTop w:val="0"/>
              <w:marBottom w:val="0"/>
              <w:divBdr>
                <w:top w:val="none" w:sz="0" w:space="0" w:color="auto"/>
                <w:left w:val="none" w:sz="0" w:space="0" w:color="auto"/>
                <w:bottom w:val="none" w:sz="0" w:space="0" w:color="auto"/>
                <w:right w:val="none" w:sz="0" w:space="0" w:color="auto"/>
              </w:divBdr>
            </w:div>
            <w:div w:id="529268950">
              <w:marLeft w:val="0"/>
              <w:marRight w:val="0"/>
              <w:marTop w:val="0"/>
              <w:marBottom w:val="0"/>
              <w:divBdr>
                <w:top w:val="none" w:sz="0" w:space="0" w:color="auto"/>
                <w:left w:val="none" w:sz="0" w:space="0" w:color="auto"/>
                <w:bottom w:val="none" w:sz="0" w:space="0" w:color="auto"/>
                <w:right w:val="none" w:sz="0" w:space="0" w:color="auto"/>
              </w:divBdr>
            </w:div>
            <w:div w:id="537160721">
              <w:marLeft w:val="0"/>
              <w:marRight w:val="0"/>
              <w:marTop w:val="0"/>
              <w:marBottom w:val="0"/>
              <w:divBdr>
                <w:top w:val="none" w:sz="0" w:space="0" w:color="auto"/>
                <w:left w:val="none" w:sz="0" w:space="0" w:color="auto"/>
                <w:bottom w:val="none" w:sz="0" w:space="0" w:color="auto"/>
                <w:right w:val="none" w:sz="0" w:space="0" w:color="auto"/>
              </w:divBdr>
            </w:div>
            <w:div w:id="591819196">
              <w:marLeft w:val="0"/>
              <w:marRight w:val="0"/>
              <w:marTop w:val="0"/>
              <w:marBottom w:val="0"/>
              <w:divBdr>
                <w:top w:val="none" w:sz="0" w:space="0" w:color="auto"/>
                <w:left w:val="none" w:sz="0" w:space="0" w:color="auto"/>
                <w:bottom w:val="none" w:sz="0" w:space="0" w:color="auto"/>
                <w:right w:val="none" w:sz="0" w:space="0" w:color="auto"/>
              </w:divBdr>
            </w:div>
            <w:div w:id="632298443">
              <w:marLeft w:val="0"/>
              <w:marRight w:val="0"/>
              <w:marTop w:val="0"/>
              <w:marBottom w:val="0"/>
              <w:divBdr>
                <w:top w:val="none" w:sz="0" w:space="0" w:color="auto"/>
                <w:left w:val="none" w:sz="0" w:space="0" w:color="auto"/>
                <w:bottom w:val="none" w:sz="0" w:space="0" w:color="auto"/>
                <w:right w:val="none" w:sz="0" w:space="0" w:color="auto"/>
              </w:divBdr>
            </w:div>
            <w:div w:id="674190115">
              <w:marLeft w:val="0"/>
              <w:marRight w:val="0"/>
              <w:marTop w:val="0"/>
              <w:marBottom w:val="0"/>
              <w:divBdr>
                <w:top w:val="none" w:sz="0" w:space="0" w:color="auto"/>
                <w:left w:val="none" w:sz="0" w:space="0" w:color="auto"/>
                <w:bottom w:val="none" w:sz="0" w:space="0" w:color="auto"/>
                <w:right w:val="none" w:sz="0" w:space="0" w:color="auto"/>
              </w:divBdr>
            </w:div>
            <w:div w:id="761922153">
              <w:marLeft w:val="0"/>
              <w:marRight w:val="0"/>
              <w:marTop w:val="0"/>
              <w:marBottom w:val="0"/>
              <w:divBdr>
                <w:top w:val="none" w:sz="0" w:space="0" w:color="auto"/>
                <w:left w:val="none" w:sz="0" w:space="0" w:color="auto"/>
                <w:bottom w:val="none" w:sz="0" w:space="0" w:color="auto"/>
                <w:right w:val="none" w:sz="0" w:space="0" w:color="auto"/>
              </w:divBdr>
            </w:div>
            <w:div w:id="909198677">
              <w:marLeft w:val="0"/>
              <w:marRight w:val="0"/>
              <w:marTop w:val="0"/>
              <w:marBottom w:val="0"/>
              <w:divBdr>
                <w:top w:val="none" w:sz="0" w:space="0" w:color="auto"/>
                <w:left w:val="none" w:sz="0" w:space="0" w:color="auto"/>
                <w:bottom w:val="none" w:sz="0" w:space="0" w:color="auto"/>
                <w:right w:val="none" w:sz="0" w:space="0" w:color="auto"/>
              </w:divBdr>
            </w:div>
            <w:div w:id="1082607229">
              <w:marLeft w:val="0"/>
              <w:marRight w:val="0"/>
              <w:marTop w:val="0"/>
              <w:marBottom w:val="0"/>
              <w:divBdr>
                <w:top w:val="none" w:sz="0" w:space="0" w:color="auto"/>
                <w:left w:val="none" w:sz="0" w:space="0" w:color="auto"/>
                <w:bottom w:val="none" w:sz="0" w:space="0" w:color="auto"/>
                <w:right w:val="none" w:sz="0" w:space="0" w:color="auto"/>
              </w:divBdr>
            </w:div>
            <w:div w:id="1472821439">
              <w:marLeft w:val="0"/>
              <w:marRight w:val="0"/>
              <w:marTop w:val="0"/>
              <w:marBottom w:val="0"/>
              <w:divBdr>
                <w:top w:val="none" w:sz="0" w:space="0" w:color="auto"/>
                <w:left w:val="none" w:sz="0" w:space="0" w:color="auto"/>
                <w:bottom w:val="none" w:sz="0" w:space="0" w:color="auto"/>
                <w:right w:val="none" w:sz="0" w:space="0" w:color="auto"/>
              </w:divBdr>
            </w:div>
            <w:div w:id="1507476044">
              <w:marLeft w:val="0"/>
              <w:marRight w:val="0"/>
              <w:marTop w:val="0"/>
              <w:marBottom w:val="0"/>
              <w:divBdr>
                <w:top w:val="none" w:sz="0" w:space="0" w:color="auto"/>
                <w:left w:val="none" w:sz="0" w:space="0" w:color="auto"/>
                <w:bottom w:val="none" w:sz="0" w:space="0" w:color="auto"/>
                <w:right w:val="none" w:sz="0" w:space="0" w:color="auto"/>
              </w:divBdr>
            </w:div>
            <w:div w:id="1542087651">
              <w:marLeft w:val="0"/>
              <w:marRight w:val="0"/>
              <w:marTop w:val="0"/>
              <w:marBottom w:val="0"/>
              <w:divBdr>
                <w:top w:val="none" w:sz="0" w:space="0" w:color="auto"/>
                <w:left w:val="none" w:sz="0" w:space="0" w:color="auto"/>
                <w:bottom w:val="none" w:sz="0" w:space="0" w:color="auto"/>
                <w:right w:val="none" w:sz="0" w:space="0" w:color="auto"/>
              </w:divBdr>
            </w:div>
            <w:div w:id="1552116235">
              <w:marLeft w:val="0"/>
              <w:marRight w:val="0"/>
              <w:marTop w:val="0"/>
              <w:marBottom w:val="0"/>
              <w:divBdr>
                <w:top w:val="none" w:sz="0" w:space="0" w:color="auto"/>
                <w:left w:val="none" w:sz="0" w:space="0" w:color="auto"/>
                <w:bottom w:val="none" w:sz="0" w:space="0" w:color="auto"/>
                <w:right w:val="none" w:sz="0" w:space="0" w:color="auto"/>
              </w:divBdr>
            </w:div>
            <w:div w:id="1631783080">
              <w:marLeft w:val="0"/>
              <w:marRight w:val="0"/>
              <w:marTop w:val="0"/>
              <w:marBottom w:val="0"/>
              <w:divBdr>
                <w:top w:val="none" w:sz="0" w:space="0" w:color="auto"/>
                <w:left w:val="none" w:sz="0" w:space="0" w:color="auto"/>
                <w:bottom w:val="none" w:sz="0" w:space="0" w:color="auto"/>
                <w:right w:val="none" w:sz="0" w:space="0" w:color="auto"/>
              </w:divBdr>
            </w:div>
            <w:div w:id="1700164177">
              <w:marLeft w:val="0"/>
              <w:marRight w:val="0"/>
              <w:marTop w:val="0"/>
              <w:marBottom w:val="0"/>
              <w:divBdr>
                <w:top w:val="none" w:sz="0" w:space="0" w:color="auto"/>
                <w:left w:val="none" w:sz="0" w:space="0" w:color="auto"/>
                <w:bottom w:val="none" w:sz="0" w:space="0" w:color="auto"/>
                <w:right w:val="none" w:sz="0" w:space="0" w:color="auto"/>
              </w:divBdr>
            </w:div>
            <w:div w:id="2011789628">
              <w:marLeft w:val="0"/>
              <w:marRight w:val="0"/>
              <w:marTop w:val="0"/>
              <w:marBottom w:val="0"/>
              <w:divBdr>
                <w:top w:val="none" w:sz="0" w:space="0" w:color="auto"/>
                <w:left w:val="none" w:sz="0" w:space="0" w:color="auto"/>
                <w:bottom w:val="none" w:sz="0" w:space="0" w:color="auto"/>
                <w:right w:val="none" w:sz="0" w:space="0" w:color="auto"/>
              </w:divBdr>
            </w:div>
          </w:divsChild>
        </w:div>
        <w:div w:id="1714427973">
          <w:marLeft w:val="0"/>
          <w:marRight w:val="0"/>
          <w:marTop w:val="0"/>
          <w:marBottom w:val="0"/>
          <w:divBdr>
            <w:top w:val="none" w:sz="0" w:space="0" w:color="auto"/>
            <w:left w:val="none" w:sz="0" w:space="0" w:color="auto"/>
            <w:bottom w:val="none" w:sz="0" w:space="0" w:color="auto"/>
            <w:right w:val="none" w:sz="0" w:space="0" w:color="auto"/>
          </w:divBdr>
        </w:div>
        <w:div w:id="1723139329">
          <w:marLeft w:val="0"/>
          <w:marRight w:val="0"/>
          <w:marTop w:val="0"/>
          <w:marBottom w:val="0"/>
          <w:divBdr>
            <w:top w:val="none" w:sz="0" w:space="0" w:color="auto"/>
            <w:left w:val="none" w:sz="0" w:space="0" w:color="auto"/>
            <w:bottom w:val="none" w:sz="0" w:space="0" w:color="auto"/>
            <w:right w:val="none" w:sz="0" w:space="0" w:color="auto"/>
          </w:divBdr>
        </w:div>
        <w:div w:id="1735353032">
          <w:marLeft w:val="0"/>
          <w:marRight w:val="0"/>
          <w:marTop w:val="0"/>
          <w:marBottom w:val="0"/>
          <w:divBdr>
            <w:top w:val="none" w:sz="0" w:space="0" w:color="auto"/>
            <w:left w:val="none" w:sz="0" w:space="0" w:color="auto"/>
            <w:bottom w:val="none" w:sz="0" w:space="0" w:color="auto"/>
            <w:right w:val="none" w:sz="0" w:space="0" w:color="auto"/>
          </w:divBdr>
          <w:divsChild>
            <w:div w:id="240142325">
              <w:marLeft w:val="0"/>
              <w:marRight w:val="0"/>
              <w:marTop w:val="0"/>
              <w:marBottom w:val="0"/>
              <w:divBdr>
                <w:top w:val="none" w:sz="0" w:space="0" w:color="auto"/>
                <w:left w:val="none" w:sz="0" w:space="0" w:color="auto"/>
                <w:bottom w:val="none" w:sz="0" w:space="0" w:color="auto"/>
                <w:right w:val="none" w:sz="0" w:space="0" w:color="auto"/>
              </w:divBdr>
            </w:div>
            <w:div w:id="293996462">
              <w:marLeft w:val="0"/>
              <w:marRight w:val="0"/>
              <w:marTop w:val="0"/>
              <w:marBottom w:val="0"/>
              <w:divBdr>
                <w:top w:val="none" w:sz="0" w:space="0" w:color="auto"/>
                <w:left w:val="none" w:sz="0" w:space="0" w:color="auto"/>
                <w:bottom w:val="none" w:sz="0" w:space="0" w:color="auto"/>
                <w:right w:val="none" w:sz="0" w:space="0" w:color="auto"/>
              </w:divBdr>
            </w:div>
            <w:div w:id="305282175">
              <w:marLeft w:val="0"/>
              <w:marRight w:val="0"/>
              <w:marTop w:val="0"/>
              <w:marBottom w:val="0"/>
              <w:divBdr>
                <w:top w:val="none" w:sz="0" w:space="0" w:color="auto"/>
                <w:left w:val="none" w:sz="0" w:space="0" w:color="auto"/>
                <w:bottom w:val="none" w:sz="0" w:space="0" w:color="auto"/>
                <w:right w:val="none" w:sz="0" w:space="0" w:color="auto"/>
              </w:divBdr>
            </w:div>
            <w:div w:id="607782365">
              <w:marLeft w:val="0"/>
              <w:marRight w:val="0"/>
              <w:marTop w:val="0"/>
              <w:marBottom w:val="0"/>
              <w:divBdr>
                <w:top w:val="none" w:sz="0" w:space="0" w:color="auto"/>
                <w:left w:val="none" w:sz="0" w:space="0" w:color="auto"/>
                <w:bottom w:val="none" w:sz="0" w:space="0" w:color="auto"/>
                <w:right w:val="none" w:sz="0" w:space="0" w:color="auto"/>
              </w:divBdr>
            </w:div>
            <w:div w:id="641498980">
              <w:marLeft w:val="0"/>
              <w:marRight w:val="0"/>
              <w:marTop w:val="0"/>
              <w:marBottom w:val="0"/>
              <w:divBdr>
                <w:top w:val="none" w:sz="0" w:space="0" w:color="auto"/>
                <w:left w:val="none" w:sz="0" w:space="0" w:color="auto"/>
                <w:bottom w:val="none" w:sz="0" w:space="0" w:color="auto"/>
                <w:right w:val="none" w:sz="0" w:space="0" w:color="auto"/>
              </w:divBdr>
            </w:div>
            <w:div w:id="712538656">
              <w:marLeft w:val="0"/>
              <w:marRight w:val="0"/>
              <w:marTop w:val="0"/>
              <w:marBottom w:val="0"/>
              <w:divBdr>
                <w:top w:val="none" w:sz="0" w:space="0" w:color="auto"/>
                <w:left w:val="none" w:sz="0" w:space="0" w:color="auto"/>
                <w:bottom w:val="none" w:sz="0" w:space="0" w:color="auto"/>
                <w:right w:val="none" w:sz="0" w:space="0" w:color="auto"/>
              </w:divBdr>
            </w:div>
            <w:div w:id="776171884">
              <w:marLeft w:val="0"/>
              <w:marRight w:val="0"/>
              <w:marTop w:val="0"/>
              <w:marBottom w:val="0"/>
              <w:divBdr>
                <w:top w:val="none" w:sz="0" w:space="0" w:color="auto"/>
                <w:left w:val="none" w:sz="0" w:space="0" w:color="auto"/>
                <w:bottom w:val="none" w:sz="0" w:space="0" w:color="auto"/>
                <w:right w:val="none" w:sz="0" w:space="0" w:color="auto"/>
              </w:divBdr>
            </w:div>
            <w:div w:id="791827064">
              <w:marLeft w:val="0"/>
              <w:marRight w:val="0"/>
              <w:marTop w:val="0"/>
              <w:marBottom w:val="0"/>
              <w:divBdr>
                <w:top w:val="none" w:sz="0" w:space="0" w:color="auto"/>
                <w:left w:val="none" w:sz="0" w:space="0" w:color="auto"/>
                <w:bottom w:val="none" w:sz="0" w:space="0" w:color="auto"/>
                <w:right w:val="none" w:sz="0" w:space="0" w:color="auto"/>
              </w:divBdr>
            </w:div>
            <w:div w:id="825438251">
              <w:marLeft w:val="0"/>
              <w:marRight w:val="0"/>
              <w:marTop w:val="0"/>
              <w:marBottom w:val="0"/>
              <w:divBdr>
                <w:top w:val="none" w:sz="0" w:space="0" w:color="auto"/>
                <w:left w:val="none" w:sz="0" w:space="0" w:color="auto"/>
                <w:bottom w:val="none" w:sz="0" w:space="0" w:color="auto"/>
                <w:right w:val="none" w:sz="0" w:space="0" w:color="auto"/>
              </w:divBdr>
            </w:div>
            <w:div w:id="1054161499">
              <w:marLeft w:val="0"/>
              <w:marRight w:val="0"/>
              <w:marTop w:val="0"/>
              <w:marBottom w:val="0"/>
              <w:divBdr>
                <w:top w:val="none" w:sz="0" w:space="0" w:color="auto"/>
                <w:left w:val="none" w:sz="0" w:space="0" w:color="auto"/>
                <w:bottom w:val="none" w:sz="0" w:space="0" w:color="auto"/>
                <w:right w:val="none" w:sz="0" w:space="0" w:color="auto"/>
              </w:divBdr>
            </w:div>
            <w:div w:id="1054626271">
              <w:marLeft w:val="0"/>
              <w:marRight w:val="0"/>
              <w:marTop w:val="0"/>
              <w:marBottom w:val="0"/>
              <w:divBdr>
                <w:top w:val="none" w:sz="0" w:space="0" w:color="auto"/>
                <w:left w:val="none" w:sz="0" w:space="0" w:color="auto"/>
                <w:bottom w:val="none" w:sz="0" w:space="0" w:color="auto"/>
                <w:right w:val="none" w:sz="0" w:space="0" w:color="auto"/>
              </w:divBdr>
            </w:div>
            <w:div w:id="1088580029">
              <w:marLeft w:val="0"/>
              <w:marRight w:val="0"/>
              <w:marTop w:val="0"/>
              <w:marBottom w:val="0"/>
              <w:divBdr>
                <w:top w:val="none" w:sz="0" w:space="0" w:color="auto"/>
                <w:left w:val="none" w:sz="0" w:space="0" w:color="auto"/>
                <w:bottom w:val="none" w:sz="0" w:space="0" w:color="auto"/>
                <w:right w:val="none" w:sz="0" w:space="0" w:color="auto"/>
              </w:divBdr>
            </w:div>
            <w:div w:id="1187258904">
              <w:marLeft w:val="0"/>
              <w:marRight w:val="0"/>
              <w:marTop w:val="0"/>
              <w:marBottom w:val="0"/>
              <w:divBdr>
                <w:top w:val="none" w:sz="0" w:space="0" w:color="auto"/>
                <w:left w:val="none" w:sz="0" w:space="0" w:color="auto"/>
                <w:bottom w:val="none" w:sz="0" w:space="0" w:color="auto"/>
                <w:right w:val="none" w:sz="0" w:space="0" w:color="auto"/>
              </w:divBdr>
            </w:div>
            <w:div w:id="1283026947">
              <w:marLeft w:val="0"/>
              <w:marRight w:val="0"/>
              <w:marTop w:val="0"/>
              <w:marBottom w:val="0"/>
              <w:divBdr>
                <w:top w:val="none" w:sz="0" w:space="0" w:color="auto"/>
                <w:left w:val="none" w:sz="0" w:space="0" w:color="auto"/>
                <w:bottom w:val="none" w:sz="0" w:space="0" w:color="auto"/>
                <w:right w:val="none" w:sz="0" w:space="0" w:color="auto"/>
              </w:divBdr>
            </w:div>
            <w:div w:id="1400446675">
              <w:marLeft w:val="0"/>
              <w:marRight w:val="0"/>
              <w:marTop w:val="0"/>
              <w:marBottom w:val="0"/>
              <w:divBdr>
                <w:top w:val="none" w:sz="0" w:space="0" w:color="auto"/>
                <w:left w:val="none" w:sz="0" w:space="0" w:color="auto"/>
                <w:bottom w:val="none" w:sz="0" w:space="0" w:color="auto"/>
                <w:right w:val="none" w:sz="0" w:space="0" w:color="auto"/>
              </w:divBdr>
            </w:div>
            <w:div w:id="1431270480">
              <w:marLeft w:val="0"/>
              <w:marRight w:val="0"/>
              <w:marTop w:val="0"/>
              <w:marBottom w:val="0"/>
              <w:divBdr>
                <w:top w:val="none" w:sz="0" w:space="0" w:color="auto"/>
                <w:left w:val="none" w:sz="0" w:space="0" w:color="auto"/>
                <w:bottom w:val="none" w:sz="0" w:space="0" w:color="auto"/>
                <w:right w:val="none" w:sz="0" w:space="0" w:color="auto"/>
              </w:divBdr>
            </w:div>
            <w:div w:id="1441335677">
              <w:marLeft w:val="0"/>
              <w:marRight w:val="0"/>
              <w:marTop w:val="0"/>
              <w:marBottom w:val="0"/>
              <w:divBdr>
                <w:top w:val="none" w:sz="0" w:space="0" w:color="auto"/>
                <w:left w:val="none" w:sz="0" w:space="0" w:color="auto"/>
                <w:bottom w:val="none" w:sz="0" w:space="0" w:color="auto"/>
                <w:right w:val="none" w:sz="0" w:space="0" w:color="auto"/>
              </w:divBdr>
            </w:div>
            <w:div w:id="1487818884">
              <w:marLeft w:val="0"/>
              <w:marRight w:val="0"/>
              <w:marTop w:val="0"/>
              <w:marBottom w:val="0"/>
              <w:divBdr>
                <w:top w:val="none" w:sz="0" w:space="0" w:color="auto"/>
                <w:left w:val="none" w:sz="0" w:space="0" w:color="auto"/>
                <w:bottom w:val="none" w:sz="0" w:space="0" w:color="auto"/>
                <w:right w:val="none" w:sz="0" w:space="0" w:color="auto"/>
              </w:divBdr>
            </w:div>
            <w:div w:id="2039546784">
              <w:marLeft w:val="0"/>
              <w:marRight w:val="0"/>
              <w:marTop w:val="0"/>
              <w:marBottom w:val="0"/>
              <w:divBdr>
                <w:top w:val="none" w:sz="0" w:space="0" w:color="auto"/>
                <w:left w:val="none" w:sz="0" w:space="0" w:color="auto"/>
                <w:bottom w:val="none" w:sz="0" w:space="0" w:color="auto"/>
                <w:right w:val="none" w:sz="0" w:space="0" w:color="auto"/>
              </w:divBdr>
            </w:div>
            <w:div w:id="2061324620">
              <w:marLeft w:val="0"/>
              <w:marRight w:val="0"/>
              <w:marTop w:val="0"/>
              <w:marBottom w:val="0"/>
              <w:divBdr>
                <w:top w:val="none" w:sz="0" w:space="0" w:color="auto"/>
                <w:left w:val="none" w:sz="0" w:space="0" w:color="auto"/>
                <w:bottom w:val="none" w:sz="0" w:space="0" w:color="auto"/>
                <w:right w:val="none" w:sz="0" w:space="0" w:color="auto"/>
              </w:divBdr>
            </w:div>
          </w:divsChild>
        </w:div>
        <w:div w:id="1738479672">
          <w:marLeft w:val="0"/>
          <w:marRight w:val="0"/>
          <w:marTop w:val="0"/>
          <w:marBottom w:val="0"/>
          <w:divBdr>
            <w:top w:val="none" w:sz="0" w:space="0" w:color="auto"/>
            <w:left w:val="none" w:sz="0" w:space="0" w:color="auto"/>
            <w:bottom w:val="none" w:sz="0" w:space="0" w:color="auto"/>
            <w:right w:val="none" w:sz="0" w:space="0" w:color="auto"/>
          </w:divBdr>
        </w:div>
        <w:div w:id="1740207021">
          <w:marLeft w:val="0"/>
          <w:marRight w:val="0"/>
          <w:marTop w:val="0"/>
          <w:marBottom w:val="0"/>
          <w:divBdr>
            <w:top w:val="none" w:sz="0" w:space="0" w:color="auto"/>
            <w:left w:val="none" w:sz="0" w:space="0" w:color="auto"/>
            <w:bottom w:val="none" w:sz="0" w:space="0" w:color="auto"/>
            <w:right w:val="none" w:sz="0" w:space="0" w:color="auto"/>
          </w:divBdr>
        </w:div>
        <w:div w:id="1754665067">
          <w:marLeft w:val="0"/>
          <w:marRight w:val="0"/>
          <w:marTop w:val="0"/>
          <w:marBottom w:val="0"/>
          <w:divBdr>
            <w:top w:val="none" w:sz="0" w:space="0" w:color="auto"/>
            <w:left w:val="none" w:sz="0" w:space="0" w:color="auto"/>
            <w:bottom w:val="none" w:sz="0" w:space="0" w:color="auto"/>
            <w:right w:val="none" w:sz="0" w:space="0" w:color="auto"/>
          </w:divBdr>
        </w:div>
        <w:div w:id="1769961499">
          <w:marLeft w:val="0"/>
          <w:marRight w:val="0"/>
          <w:marTop w:val="0"/>
          <w:marBottom w:val="0"/>
          <w:divBdr>
            <w:top w:val="none" w:sz="0" w:space="0" w:color="auto"/>
            <w:left w:val="none" w:sz="0" w:space="0" w:color="auto"/>
            <w:bottom w:val="none" w:sz="0" w:space="0" w:color="auto"/>
            <w:right w:val="none" w:sz="0" w:space="0" w:color="auto"/>
          </w:divBdr>
        </w:div>
        <w:div w:id="1775318101">
          <w:marLeft w:val="0"/>
          <w:marRight w:val="0"/>
          <w:marTop w:val="0"/>
          <w:marBottom w:val="0"/>
          <w:divBdr>
            <w:top w:val="none" w:sz="0" w:space="0" w:color="auto"/>
            <w:left w:val="none" w:sz="0" w:space="0" w:color="auto"/>
            <w:bottom w:val="none" w:sz="0" w:space="0" w:color="auto"/>
            <w:right w:val="none" w:sz="0" w:space="0" w:color="auto"/>
          </w:divBdr>
        </w:div>
        <w:div w:id="1779253888">
          <w:marLeft w:val="0"/>
          <w:marRight w:val="0"/>
          <w:marTop w:val="0"/>
          <w:marBottom w:val="0"/>
          <w:divBdr>
            <w:top w:val="none" w:sz="0" w:space="0" w:color="auto"/>
            <w:left w:val="none" w:sz="0" w:space="0" w:color="auto"/>
            <w:bottom w:val="none" w:sz="0" w:space="0" w:color="auto"/>
            <w:right w:val="none" w:sz="0" w:space="0" w:color="auto"/>
          </w:divBdr>
        </w:div>
        <w:div w:id="1785230043">
          <w:marLeft w:val="0"/>
          <w:marRight w:val="0"/>
          <w:marTop w:val="0"/>
          <w:marBottom w:val="0"/>
          <w:divBdr>
            <w:top w:val="none" w:sz="0" w:space="0" w:color="auto"/>
            <w:left w:val="none" w:sz="0" w:space="0" w:color="auto"/>
            <w:bottom w:val="none" w:sz="0" w:space="0" w:color="auto"/>
            <w:right w:val="none" w:sz="0" w:space="0" w:color="auto"/>
          </w:divBdr>
        </w:div>
        <w:div w:id="1799183138">
          <w:marLeft w:val="0"/>
          <w:marRight w:val="0"/>
          <w:marTop w:val="0"/>
          <w:marBottom w:val="0"/>
          <w:divBdr>
            <w:top w:val="none" w:sz="0" w:space="0" w:color="auto"/>
            <w:left w:val="none" w:sz="0" w:space="0" w:color="auto"/>
            <w:bottom w:val="none" w:sz="0" w:space="0" w:color="auto"/>
            <w:right w:val="none" w:sz="0" w:space="0" w:color="auto"/>
          </w:divBdr>
        </w:div>
        <w:div w:id="1820149726">
          <w:marLeft w:val="0"/>
          <w:marRight w:val="0"/>
          <w:marTop w:val="0"/>
          <w:marBottom w:val="0"/>
          <w:divBdr>
            <w:top w:val="none" w:sz="0" w:space="0" w:color="auto"/>
            <w:left w:val="none" w:sz="0" w:space="0" w:color="auto"/>
            <w:bottom w:val="none" w:sz="0" w:space="0" w:color="auto"/>
            <w:right w:val="none" w:sz="0" w:space="0" w:color="auto"/>
          </w:divBdr>
          <w:divsChild>
            <w:div w:id="51278223">
              <w:marLeft w:val="0"/>
              <w:marRight w:val="0"/>
              <w:marTop w:val="0"/>
              <w:marBottom w:val="0"/>
              <w:divBdr>
                <w:top w:val="none" w:sz="0" w:space="0" w:color="auto"/>
                <w:left w:val="none" w:sz="0" w:space="0" w:color="auto"/>
                <w:bottom w:val="none" w:sz="0" w:space="0" w:color="auto"/>
                <w:right w:val="none" w:sz="0" w:space="0" w:color="auto"/>
              </w:divBdr>
            </w:div>
            <w:div w:id="99449712">
              <w:marLeft w:val="0"/>
              <w:marRight w:val="0"/>
              <w:marTop w:val="0"/>
              <w:marBottom w:val="0"/>
              <w:divBdr>
                <w:top w:val="none" w:sz="0" w:space="0" w:color="auto"/>
                <w:left w:val="none" w:sz="0" w:space="0" w:color="auto"/>
                <w:bottom w:val="none" w:sz="0" w:space="0" w:color="auto"/>
                <w:right w:val="none" w:sz="0" w:space="0" w:color="auto"/>
              </w:divBdr>
            </w:div>
            <w:div w:id="313608386">
              <w:marLeft w:val="0"/>
              <w:marRight w:val="0"/>
              <w:marTop w:val="0"/>
              <w:marBottom w:val="0"/>
              <w:divBdr>
                <w:top w:val="none" w:sz="0" w:space="0" w:color="auto"/>
                <w:left w:val="none" w:sz="0" w:space="0" w:color="auto"/>
                <w:bottom w:val="none" w:sz="0" w:space="0" w:color="auto"/>
                <w:right w:val="none" w:sz="0" w:space="0" w:color="auto"/>
              </w:divBdr>
            </w:div>
            <w:div w:id="510681215">
              <w:marLeft w:val="0"/>
              <w:marRight w:val="0"/>
              <w:marTop w:val="0"/>
              <w:marBottom w:val="0"/>
              <w:divBdr>
                <w:top w:val="none" w:sz="0" w:space="0" w:color="auto"/>
                <w:left w:val="none" w:sz="0" w:space="0" w:color="auto"/>
                <w:bottom w:val="none" w:sz="0" w:space="0" w:color="auto"/>
                <w:right w:val="none" w:sz="0" w:space="0" w:color="auto"/>
              </w:divBdr>
            </w:div>
            <w:div w:id="675349212">
              <w:marLeft w:val="0"/>
              <w:marRight w:val="0"/>
              <w:marTop w:val="0"/>
              <w:marBottom w:val="0"/>
              <w:divBdr>
                <w:top w:val="none" w:sz="0" w:space="0" w:color="auto"/>
                <w:left w:val="none" w:sz="0" w:space="0" w:color="auto"/>
                <w:bottom w:val="none" w:sz="0" w:space="0" w:color="auto"/>
                <w:right w:val="none" w:sz="0" w:space="0" w:color="auto"/>
              </w:divBdr>
            </w:div>
            <w:div w:id="742025150">
              <w:marLeft w:val="0"/>
              <w:marRight w:val="0"/>
              <w:marTop w:val="0"/>
              <w:marBottom w:val="0"/>
              <w:divBdr>
                <w:top w:val="none" w:sz="0" w:space="0" w:color="auto"/>
                <w:left w:val="none" w:sz="0" w:space="0" w:color="auto"/>
                <w:bottom w:val="none" w:sz="0" w:space="0" w:color="auto"/>
                <w:right w:val="none" w:sz="0" w:space="0" w:color="auto"/>
              </w:divBdr>
            </w:div>
            <w:div w:id="802114898">
              <w:marLeft w:val="0"/>
              <w:marRight w:val="0"/>
              <w:marTop w:val="0"/>
              <w:marBottom w:val="0"/>
              <w:divBdr>
                <w:top w:val="none" w:sz="0" w:space="0" w:color="auto"/>
                <w:left w:val="none" w:sz="0" w:space="0" w:color="auto"/>
                <w:bottom w:val="none" w:sz="0" w:space="0" w:color="auto"/>
                <w:right w:val="none" w:sz="0" w:space="0" w:color="auto"/>
              </w:divBdr>
            </w:div>
            <w:div w:id="822696852">
              <w:marLeft w:val="0"/>
              <w:marRight w:val="0"/>
              <w:marTop w:val="0"/>
              <w:marBottom w:val="0"/>
              <w:divBdr>
                <w:top w:val="none" w:sz="0" w:space="0" w:color="auto"/>
                <w:left w:val="none" w:sz="0" w:space="0" w:color="auto"/>
                <w:bottom w:val="none" w:sz="0" w:space="0" w:color="auto"/>
                <w:right w:val="none" w:sz="0" w:space="0" w:color="auto"/>
              </w:divBdr>
            </w:div>
            <w:div w:id="949976531">
              <w:marLeft w:val="0"/>
              <w:marRight w:val="0"/>
              <w:marTop w:val="0"/>
              <w:marBottom w:val="0"/>
              <w:divBdr>
                <w:top w:val="none" w:sz="0" w:space="0" w:color="auto"/>
                <w:left w:val="none" w:sz="0" w:space="0" w:color="auto"/>
                <w:bottom w:val="none" w:sz="0" w:space="0" w:color="auto"/>
                <w:right w:val="none" w:sz="0" w:space="0" w:color="auto"/>
              </w:divBdr>
            </w:div>
            <w:div w:id="962879432">
              <w:marLeft w:val="0"/>
              <w:marRight w:val="0"/>
              <w:marTop w:val="0"/>
              <w:marBottom w:val="0"/>
              <w:divBdr>
                <w:top w:val="none" w:sz="0" w:space="0" w:color="auto"/>
                <w:left w:val="none" w:sz="0" w:space="0" w:color="auto"/>
                <w:bottom w:val="none" w:sz="0" w:space="0" w:color="auto"/>
                <w:right w:val="none" w:sz="0" w:space="0" w:color="auto"/>
              </w:divBdr>
            </w:div>
            <w:div w:id="1176992145">
              <w:marLeft w:val="0"/>
              <w:marRight w:val="0"/>
              <w:marTop w:val="0"/>
              <w:marBottom w:val="0"/>
              <w:divBdr>
                <w:top w:val="none" w:sz="0" w:space="0" w:color="auto"/>
                <w:left w:val="none" w:sz="0" w:space="0" w:color="auto"/>
                <w:bottom w:val="none" w:sz="0" w:space="0" w:color="auto"/>
                <w:right w:val="none" w:sz="0" w:space="0" w:color="auto"/>
              </w:divBdr>
            </w:div>
            <w:div w:id="1185899350">
              <w:marLeft w:val="0"/>
              <w:marRight w:val="0"/>
              <w:marTop w:val="0"/>
              <w:marBottom w:val="0"/>
              <w:divBdr>
                <w:top w:val="none" w:sz="0" w:space="0" w:color="auto"/>
                <w:left w:val="none" w:sz="0" w:space="0" w:color="auto"/>
                <w:bottom w:val="none" w:sz="0" w:space="0" w:color="auto"/>
                <w:right w:val="none" w:sz="0" w:space="0" w:color="auto"/>
              </w:divBdr>
            </w:div>
            <w:div w:id="1328942602">
              <w:marLeft w:val="0"/>
              <w:marRight w:val="0"/>
              <w:marTop w:val="0"/>
              <w:marBottom w:val="0"/>
              <w:divBdr>
                <w:top w:val="none" w:sz="0" w:space="0" w:color="auto"/>
                <w:left w:val="none" w:sz="0" w:space="0" w:color="auto"/>
                <w:bottom w:val="none" w:sz="0" w:space="0" w:color="auto"/>
                <w:right w:val="none" w:sz="0" w:space="0" w:color="auto"/>
              </w:divBdr>
            </w:div>
            <w:div w:id="1395926738">
              <w:marLeft w:val="0"/>
              <w:marRight w:val="0"/>
              <w:marTop w:val="0"/>
              <w:marBottom w:val="0"/>
              <w:divBdr>
                <w:top w:val="none" w:sz="0" w:space="0" w:color="auto"/>
                <w:left w:val="none" w:sz="0" w:space="0" w:color="auto"/>
                <w:bottom w:val="none" w:sz="0" w:space="0" w:color="auto"/>
                <w:right w:val="none" w:sz="0" w:space="0" w:color="auto"/>
              </w:divBdr>
            </w:div>
            <w:div w:id="1538005303">
              <w:marLeft w:val="0"/>
              <w:marRight w:val="0"/>
              <w:marTop w:val="0"/>
              <w:marBottom w:val="0"/>
              <w:divBdr>
                <w:top w:val="none" w:sz="0" w:space="0" w:color="auto"/>
                <w:left w:val="none" w:sz="0" w:space="0" w:color="auto"/>
                <w:bottom w:val="none" w:sz="0" w:space="0" w:color="auto"/>
                <w:right w:val="none" w:sz="0" w:space="0" w:color="auto"/>
              </w:divBdr>
            </w:div>
            <w:div w:id="1555463920">
              <w:marLeft w:val="0"/>
              <w:marRight w:val="0"/>
              <w:marTop w:val="0"/>
              <w:marBottom w:val="0"/>
              <w:divBdr>
                <w:top w:val="none" w:sz="0" w:space="0" w:color="auto"/>
                <w:left w:val="none" w:sz="0" w:space="0" w:color="auto"/>
                <w:bottom w:val="none" w:sz="0" w:space="0" w:color="auto"/>
                <w:right w:val="none" w:sz="0" w:space="0" w:color="auto"/>
              </w:divBdr>
            </w:div>
            <w:div w:id="1618755116">
              <w:marLeft w:val="0"/>
              <w:marRight w:val="0"/>
              <w:marTop w:val="0"/>
              <w:marBottom w:val="0"/>
              <w:divBdr>
                <w:top w:val="none" w:sz="0" w:space="0" w:color="auto"/>
                <w:left w:val="none" w:sz="0" w:space="0" w:color="auto"/>
                <w:bottom w:val="none" w:sz="0" w:space="0" w:color="auto"/>
                <w:right w:val="none" w:sz="0" w:space="0" w:color="auto"/>
              </w:divBdr>
            </w:div>
            <w:div w:id="1751346429">
              <w:marLeft w:val="0"/>
              <w:marRight w:val="0"/>
              <w:marTop w:val="0"/>
              <w:marBottom w:val="0"/>
              <w:divBdr>
                <w:top w:val="none" w:sz="0" w:space="0" w:color="auto"/>
                <w:left w:val="none" w:sz="0" w:space="0" w:color="auto"/>
                <w:bottom w:val="none" w:sz="0" w:space="0" w:color="auto"/>
                <w:right w:val="none" w:sz="0" w:space="0" w:color="auto"/>
              </w:divBdr>
            </w:div>
            <w:div w:id="1791897182">
              <w:marLeft w:val="0"/>
              <w:marRight w:val="0"/>
              <w:marTop w:val="0"/>
              <w:marBottom w:val="0"/>
              <w:divBdr>
                <w:top w:val="none" w:sz="0" w:space="0" w:color="auto"/>
                <w:left w:val="none" w:sz="0" w:space="0" w:color="auto"/>
                <w:bottom w:val="none" w:sz="0" w:space="0" w:color="auto"/>
                <w:right w:val="none" w:sz="0" w:space="0" w:color="auto"/>
              </w:divBdr>
            </w:div>
            <w:div w:id="1852452558">
              <w:marLeft w:val="0"/>
              <w:marRight w:val="0"/>
              <w:marTop w:val="0"/>
              <w:marBottom w:val="0"/>
              <w:divBdr>
                <w:top w:val="none" w:sz="0" w:space="0" w:color="auto"/>
                <w:left w:val="none" w:sz="0" w:space="0" w:color="auto"/>
                <w:bottom w:val="none" w:sz="0" w:space="0" w:color="auto"/>
                <w:right w:val="none" w:sz="0" w:space="0" w:color="auto"/>
              </w:divBdr>
            </w:div>
          </w:divsChild>
        </w:div>
        <w:div w:id="1830824018">
          <w:marLeft w:val="0"/>
          <w:marRight w:val="0"/>
          <w:marTop w:val="0"/>
          <w:marBottom w:val="0"/>
          <w:divBdr>
            <w:top w:val="none" w:sz="0" w:space="0" w:color="auto"/>
            <w:left w:val="none" w:sz="0" w:space="0" w:color="auto"/>
            <w:bottom w:val="none" w:sz="0" w:space="0" w:color="auto"/>
            <w:right w:val="none" w:sz="0" w:space="0" w:color="auto"/>
          </w:divBdr>
        </w:div>
        <w:div w:id="1841309187">
          <w:marLeft w:val="0"/>
          <w:marRight w:val="0"/>
          <w:marTop w:val="0"/>
          <w:marBottom w:val="0"/>
          <w:divBdr>
            <w:top w:val="none" w:sz="0" w:space="0" w:color="auto"/>
            <w:left w:val="none" w:sz="0" w:space="0" w:color="auto"/>
            <w:bottom w:val="none" w:sz="0" w:space="0" w:color="auto"/>
            <w:right w:val="none" w:sz="0" w:space="0" w:color="auto"/>
          </w:divBdr>
        </w:div>
        <w:div w:id="1857230382">
          <w:marLeft w:val="0"/>
          <w:marRight w:val="0"/>
          <w:marTop w:val="0"/>
          <w:marBottom w:val="0"/>
          <w:divBdr>
            <w:top w:val="none" w:sz="0" w:space="0" w:color="auto"/>
            <w:left w:val="none" w:sz="0" w:space="0" w:color="auto"/>
            <w:bottom w:val="none" w:sz="0" w:space="0" w:color="auto"/>
            <w:right w:val="none" w:sz="0" w:space="0" w:color="auto"/>
          </w:divBdr>
        </w:div>
        <w:div w:id="1868323977">
          <w:marLeft w:val="0"/>
          <w:marRight w:val="0"/>
          <w:marTop w:val="0"/>
          <w:marBottom w:val="0"/>
          <w:divBdr>
            <w:top w:val="none" w:sz="0" w:space="0" w:color="auto"/>
            <w:left w:val="none" w:sz="0" w:space="0" w:color="auto"/>
            <w:bottom w:val="none" w:sz="0" w:space="0" w:color="auto"/>
            <w:right w:val="none" w:sz="0" w:space="0" w:color="auto"/>
          </w:divBdr>
        </w:div>
        <w:div w:id="1880779410">
          <w:marLeft w:val="0"/>
          <w:marRight w:val="0"/>
          <w:marTop w:val="0"/>
          <w:marBottom w:val="0"/>
          <w:divBdr>
            <w:top w:val="none" w:sz="0" w:space="0" w:color="auto"/>
            <w:left w:val="none" w:sz="0" w:space="0" w:color="auto"/>
            <w:bottom w:val="none" w:sz="0" w:space="0" w:color="auto"/>
            <w:right w:val="none" w:sz="0" w:space="0" w:color="auto"/>
          </w:divBdr>
        </w:div>
        <w:div w:id="1899782062">
          <w:marLeft w:val="0"/>
          <w:marRight w:val="0"/>
          <w:marTop w:val="0"/>
          <w:marBottom w:val="0"/>
          <w:divBdr>
            <w:top w:val="none" w:sz="0" w:space="0" w:color="auto"/>
            <w:left w:val="none" w:sz="0" w:space="0" w:color="auto"/>
            <w:bottom w:val="none" w:sz="0" w:space="0" w:color="auto"/>
            <w:right w:val="none" w:sz="0" w:space="0" w:color="auto"/>
          </w:divBdr>
        </w:div>
        <w:div w:id="1902904130">
          <w:marLeft w:val="0"/>
          <w:marRight w:val="0"/>
          <w:marTop w:val="0"/>
          <w:marBottom w:val="0"/>
          <w:divBdr>
            <w:top w:val="none" w:sz="0" w:space="0" w:color="auto"/>
            <w:left w:val="none" w:sz="0" w:space="0" w:color="auto"/>
            <w:bottom w:val="none" w:sz="0" w:space="0" w:color="auto"/>
            <w:right w:val="none" w:sz="0" w:space="0" w:color="auto"/>
          </w:divBdr>
        </w:div>
        <w:div w:id="1904364072">
          <w:marLeft w:val="0"/>
          <w:marRight w:val="0"/>
          <w:marTop w:val="0"/>
          <w:marBottom w:val="0"/>
          <w:divBdr>
            <w:top w:val="none" w:sz="0" w:space="0" w:color="auto"/>
            <w:left w:val="none" w:sz="0" w:space="0" w:color="auto"/>
            <w:bottom w:val="none" w:sz="0" w:space="0" w:color="auto"/>
            <w:right w:val="none" w:sz="0" w:space="0" w:color="auto"/>
          </w:divBdr>
        </w:div>
        <w:div w:id="1924952799">
          <w:marLeft w:val="0"/>
          <w:marRight w:val="0"/>
          <w:marTop w:val="0"/>
          <w:marBottom w:val="0"/>
          <w:divBdr>
            <w:top w:val="none" w:sz="0" w:space="0" w:color="auto"/>
            <w:left w:val="none" w:sz="0" w:space="0" w:color="auto"/>
            <w:bottom w:val="none" w:sz="0" w:space="0" w:color="auto"/>
            <w:right w:val="none" w:sz="0" w:space="0" w:color="auto"/>
          </w:divBdr>
          <w:divsChild>
            <w:div w:id="1608662767">
              <w:marLeft w:val="-75"/>
              <w:marRight w:val="0"/>
              <w:marTop w:val="30"/>
              <w:marBottom w:val="30"/>
              <w:divBdr>
                <w:top w:val="none" w:sz="0" w:space="0" w:color="auto"/>
                <w:left w:val="none" w:sz="0" w:space="0" w:color="auto"/>
                <w:bottom w:val="none" w:sz="0" w:space="0" w:color="auto"/>
                <w:right w:val="none" w:sz="0" w:space="0" w:color="auto"/>
              </w:divBdr>
              <w:divsChild>
                <w:div w:id="104083571">
                  <w:marLeft w:val="0"/>
                  <w:marRight w:val="0"/>
                  <w:marTop w:val="0"/>
                  <w:marBottom w:val="0"/>
                  <w:divBdr>
                    <w:top w:val="none" w:sz="0" w:space="0" w:color="auto"/>
                    <w:left w:val="none" w:sz="0" w:space="0" w:color="auto"/>
                    <w:bottom w:val="none" w:sz="0" w:space="0" w:color="auto"/>
                    <w:right w:val="none" w:sz="0" w:space="0" w:color="auto"/>
                  </w:divBdr>
                  <w:divsChild>
                    <w:div w:id="831915809">
                      <w:marLeft w:val="0"/>
                      <w:marRight w:val="0"/>
                      <w:marTop w:val="0"/>
                      <w:marBottom w:val="0"/>
                      <w:divBdr>
                        <w:top w:val="none" w:sz="0" w:space="0" w:color="auto"/>
                        <w:left w:val="none" w:sz="0" w:space="0" w:color="auto"/>
                        <w:bottom w:val="none" w:sz="0" w:space="0" w:color="auto"/>
                        <w:right w:val="none" w:sz="0" w:space="0" w:color="auto"/>
                      </w:divBdr>
                    </w:div>
                  </w:divsChild>
                </w:div>
                <w:div w:id="105585614">
                  <w:marLeft w:val="0"/>
                  <w:marRight w:val="0"/>
                  <w:marTop w:val="0"/>
                  <w:marBottom w:val="0"/>
                  <w:divBdr>
                    <w:top w:val="none" w:sz="0" w:space="0" w:color="auto"/>
                    <w:left w:val="none" w:sz="0" w:space="0" w:color="auto"/>
                    <w:bottom w:val="none" w:sz="0" w:space="0" w:color="auto"/>
                    <w:right w:val="none" w:sz="0" w:space="0" w:color="auto"/>
                  </w:divBdr>
                  <w:divsChild>
                    <w:div w:id="1213274758">
                      <w:marLeft w:val="0"/>
                      <w:marRight w:val="0"/>
                      <w:marTop w:val="0"/>
                      <w:marBottom w:val="0"/>
                      <w:divBdr>
                        <w:top w:val="none" w:sz="0" w:space="0" w:color="auto"/>
                        <w:left w:val="none" w:sz="0" w:space="0" w:color="auto"/>
                        <w:bottom w:val="none" w:sz="0" w:space="0" w:color="auto"/>
                        <w:right w:val="none" w:sz="0" w:space="0" w:color="auto"/>
                      </w:divBdr>
                    </w:div>
                  </w:divsChild>
                </w:div>
                <w:div w:id="132450573">
                  <w:marLeft w:val="0"/>
                  <w:marRight w:val="0"/>
                  <w:marTop w:val="0"/>
                  <w:marBottom w:val="0"/>
                  <w:divBdr>
                    <w:top w:val="none" w:sz="0" w:space="0" w:color="auto"/>
                    <w:left w:val="none" w:sz="0" w:space="0" w:color="auto"/>
                    <w:bottom w:val="none" w:sz="0" w:space="0" w:color="auto"/>
                    <w:right w:val="none" w:sz="0" w:space="0" w:color="auto"/>
                  </w:divBdr>
                  <w:divsChild>
                    <w:div w:id="990905615">
                      <w:marLeft w:val="0"/>
                      <w:marRight w:val="0"/>
                      <w:marTop w:val="0"/>
                      <w:marBottom w:val="0"/>
                      <w:divBdr>
                        <w:top w:val="none" w:sz="0" w:space="0" w:color="auto"/>
                        <w:left w:val="none" w:sz="0" w:space="0" w:color="auto"/>
                        <w:bottom w:val="none" w:sz="0" w:space="0" w:color="auto"/>
                        <w:right w:val="none" w:sz="0" w:space="0" w:color="auto"/>
                      </w:divBdr>
                    </w:div>
                  </w:divsChild>
                </w:div>
                <w:div w:id="161508747">
                  <w:marLeft w:val="0"/>
                  <w:marRight w:val="0"/>
                  <w:marTop w:val="0"/>
                  <w:marBottom w:val="0"/>
                  <w:divBdr>
                    <w:top w:val="none" w:sz="0" w:space="0" w:color="auto"/>
                    <w:left w:val="none" w:sz="0" w:space="0" w:color="auto"/>
                    <w:bottom w:val="none" w:sz="0" w:space="0" w:color="auto"/>
                    <w:right w:val="none" w:sz="0" w:space="0" w:color="auto"/>
                  </w:divBdr>
                  <w:divsChild>
                    <w:div w:id="1515147513">
                      <w:marLeft w:val="0"/>
                      <w:marRight w:val="0"/>
                      <w:marTop w:val="0"/>
                      <w:marBottom w:val="0"/>
                      <w:divBdr>
                        <w:top w:val="none" w:sz="0" w:space="0" w:color="auto"/>
                        <w:left w:val="none" w:sz="0" w:space="0" w:color="auto"/>
                        <w:bottom w:val="none" w:sz="0" w:space="0" w:color="auto"/>
                        <w:right w:val="none" w:sz="0" w:space="0" w:color="auto"/>
                      </w:divBdr>
                    </w:div>
                  </w:divsChild>
                </w:div>
                <w:div w:id="165677950">
                  <w:marLeft w:val="0"/>
                  <w:marRight w:val="0"/>
                  <w:marTop w:val="0"/>
                  <w:marBottom w:val="0"/>
                  <w:divBdr>
                    <w:top w:val="none" w:sz="0" w:space="0" w:color="auto"/>
                    <w:left w:val="none" w:sz="0" w:space="0" w:color="auto"/>
                    <w:bottom w:val="none" w:sz="0" w:space="0" w:color="auto"/>
                    <w:right w:val="none" w:sz="0" w:space="0" w:color="auto"/>
                  </w:divBdr>
                  <w:divsChild>
                    <w:div w:id="1438521523">
                      <w:marLeft w:val="0"/>
                      <w:marRight w:val="0"/>
                      <w:marTop w:val="0"/>
                      <w:marBottom w:val="0"/>
                      <w:divBdr>
                        <w:top w:val="none" w:sz="0" w:space="0" w:color="auto"/>
                        <w:left w:val="none" w:sz="0" w:space="0" w:color="auto"/>
                        <w:bottom w:val="none" w:sz="0" w:space="0" w:color="auto"/>
                        <w:right w:val="none" w:sz="0" w:space="0" w:color="auto"/>
                      </w:divBdr>
                    </w:div>
                  </w:divsChild>
                </w:div>
                <w:div w:id="184179049">
                  <w:marLeft w:val="0"/>
                  <w:marRight w:val="0"/>
                  <w:marTop w:val="0"/>
                  <w:marBottom w:val="0"/>
                  <w:divBdr>
                    <w:top w:val="none" w:sz="0" w:space="0" w:color="auto"/>
                    <w:left w:val="none" w:sz="0" w:space="0" w:color="auto"/>
                    <w:bottom w:val="none" w:sz="0" w:space="0" w:color="auto"/>
                    <w:right w:val="none" w:sz="0" w:space="0" w:color="auto"/>
                  </w:divBdr>
                  <w:divsChild>
                    <w:div w:id="2097941478">
                      <w:marLeft w:val="0"/>
                      <w:marRight w:val="0"/>
                      <w:marTop w:val="0"/>
                      <w:marBottom w:val="0"/>
                      <w:divBdr>
                        <w:top w:val="none" w:sz="0" w:space="0" w:color="auto"/>
                        <w:left w:val="none" w:sz="0" w:space="0" w:color="auto"/>
                        <w:bottom w:val="none" w:sz="0" w:space="0" w:color="auto"/>
                        <w:right w:val="none" w:sz="0" w:space="0" w:color="auto"/>
                      </w:divBdr>
                    </w:div>
                  </w:divsChild>
                </w:div>
                <w:div w:id="230968075">
                  <w:marLeft w:val="0"/>
                  <w:marRight w:val="0"/>
                  <w:marTop w:val="0"/>
                  <w:marBottom w:val="0"/>
                  <w:divBdr>
                    <w:top w:val="none" w:sz="0" w:space="0" w:color="auto"/>
                    <w:left w:val="none" w:sz="0" w:space="0" w:color="auto"/>
                    <w:bottom w:val="none" w:sz="0" w:space="0" w:color="auto"/>
                    <w:right w:val="none" w:sz="0" w:space="0" w:color="auto"/>
                  </w:divBdr>
                  <w:divsChild>
                    <w:div w:id="241571959">
                      <w:marLeft w:val="0"/>
                      <w:marRight w:val="0"/>
                      <w:marTop w:val="0"/>
                      <w:marBottom w:val="0"/>
                      <w:divBdr>
                        <w:top w:val="none" w:sz="0" w:space="0" w:color="auto"/>
                        <w:left w:val="none" w:sz="0" w:space="0" w:color="auto"/>
                        <w:bottom w:val="none" w:sz="0" w:space="0" w:color="auto"/>
                        <w:right w:val="none" w:sz="0" w:space="0" w:color="auto"/>
                      </w:divBdr>
                    </w:div>
                  </w:divsChild>
                </w:div>
                <w:div w:id="364789921">
                  <w:marLeft w:val="0"/>
                  <w:marRight w:val="0"/>
                  <w:marTop w:val="0"/>
                  <w:marBottom w:val="0"/>
                  <w:divBdr>
                    <w:top w:val="none" w:sz="0" w:space="0" w:color="auto"/>
                    <w:left w:val="none" w:sz="0" w:space="0" w:color="auto"/>
                    <w:bottom w:val="none" w:sz="0" w:space="0" w:color="auto"/>
                    <w:right w:val="none" w:sz="0" w:space="0" w:color="auto"/>
                  </w:divBdr>
                  <w:divsChild>
                    <w:div w:id="461576955">
                      <w:marLeft w:val="0"/>
                      <w:marRight w:val="0"/>
                      <w:marTop w:val="0"/>
                      <w:marBottom w:val="0"/>
                      <w:divBdr>
                        <w:top w:val="none" w:sz="0" w:space="0" w:color="auto"/>
                        <w:left w:val="none" w:sz="0" w:space="0" w:color="auto"/>
                        <w:bottom w:val="none" w:sz="0" w:space="0" w:color="auto"/>
                        <w:right w:val="none" w:sz="0" w:space="0" w:color="auto"/>
                      </w:divBdr>
                    </w:div>
                  </w:divsChild>
                </w:div>
                <w:div w:id="367143206">
                  <w:marLeft w:val="0"/>
                  <w:marRight w:val="0"/>
                  <w:marTop w:val="0"/>
                  <w:marBottom w:val="0"/>
                  <w:divBdr>
                    <w:top w:val="none" w:sz="0" w:space="0" w:color="auto"/>
                    <w:left w:val="none" w:sz="0" w:space="0" w:color="auto"/>
                    <w:bottom w:val="none" w:sz="0" w:space="0" w:color="auto"/>
                    <w:right w:val="none" w:sz="0" w:space="0" w:color="auto"/>
                  </w:divBdr>
                  <w:divsChild>
                    <w:div w:id="1754889969">
                      <w:marLeft w:val="0"/>
                      <w:marRight w:val="0"/>
                      <w:marTop w:val="0"/>
                      <w:marBottom w:val="0"/>
                      <w:divBdr>
                        <w:top w:val="none" w:sz="0" w:space="0" w:color="auto"/>
                        <w:left w:val="none" w:sz="0" w:space="0" w:color="auto"/>
                        <w:bottom w:val="none" w:sz="0" w:space="0" w:color="auto"/>
                        <w:right w:val="none" w:sz="0" w:space="0" w:color="auto"/>
                      </w:divBdr>
                    </w:div>
                  </w:divsChild>
                </w:div>
                <w:div w:id="463619005">
                  <w:marLeft w:val="0"/>
                  <w:marRight w:val="0"/>
                  <w:marTop w:val="0"/>
                  <w:marBottom w:val="0"/>
                  <w:divBdr>
                    <w:top w:val="none" w:sz="0" w:space="0" w:color="auto"/>
                    <w:left w:val="none" w:sz="0" w:space="0" w:color="auto"/>
                    <w:bottom w:val="none" w:sz="0" w:space="0" w:color="auto"/>
                    <w:right w:val="none" w:sz="0" w:space="0" w:color="auto"/>
                  </w:divBdr>
                  <w:divsChild>
                    <w:div w:id="840001357">
                      <w:marLeft w:val="0"/>
                      <w:marRight w:val="0"/>
                      <w:marTop w:val="0"/>
                      <w:marBottom w:val="0"/>
                      <w:divBdr>
                        <w:top w:val="none" w:sz="0" w:space="0" w:color="auto"/>
                        <w:left w:val="none" w:sz="0" w:space="0" w:color="auto"/>
                        <w:bottom w:val="none" w:sz="0" w:space="0" w:color="auto"/>
                        <w:right w:val="none" w:sz="0" w:space="0" w:color="auto"/>
                      </w:divBdr>
                    </w:div>
                  </w:divsChild>
                </w:div>
                <w:div w:id="498926173">
                  <w:marLeft w:val="0"/>
                  <w:marRight w:val="0"/>
                  <w:marTop w:val="0"/>
                  <w:marBottom w:val="0"/>
                  <w:divBdr>
                    <w:top w:val="none" w:sz="0" w:space="0" w:color="auto"/>
                    <w:left w:val="none" w:sz="0" w:space="0" w:color="auto"/>
                    <w:bottom w:val="none" w:sz="0" w:space="0" w:color="auto"/>
                    <w:right w:val="none" w:sz="0" w:space="0" w:color="auto"/>
                  </w:divBdr>
                  <w:divsChild>
                    <w:div w:id="25102854">
                      <w:marLeft w:val="0"/>
                      <w:marRight w:val="0"/>
                      <w:marTop w:val="0"/>
                      <w:marBottom w:val="0"/>
                      <w:divBdr>
                        <w:top w:val="none" w:sz="0" w:space="0" w:color="auto"/>
                        <w:left w:val="none" w:sz="0" w:space="0" w:color="auto"/>
                        <w:bottom w:val="none" w:sz="0" w:space="0" w:color="auto"/>
                        <w:right w:val="none" w:sz="0" w:space="0" w:color="auto"/>
                      </w:divBdr>
                    </w:div>
                  </w:divsChild>
                </w:div>
                <w:div w:id="593053940">
                  <w:marLeft w:val="0"/>
                  <w:marRight w:val="0"/>
                  <w:marTop w:val="0"/>
                  <w:marBottom w:val="0"/>
                  <w:divBdr>
                    <w:top w:val="none" w:sz="0" w:space="0" w:color="auto"/>
                    <w:left w:val="none" w:sz="0" w:space="0" w:color="auto"/>
                    <w:bottom w:val="none" w:sz="0" w:space="0" w:color="auto"/>
                    <w:right w:val="none" w:sz="0" w:space="0" w:color="auto"/>
                  </w:divBdr>
                  <w:divsChild>
                    <w:div w:id="412900259">
                      <w:marLeft w:val="0"/>
                      <w:marRight w:val="0"/>
                      <w:marTop w:val="0"/>
                      <w:marBottom w:val="0"/>
                      <w:divBdr>
                        <w:top w:val="none" w:sz="0" w:space="0" w:color="auto"/>
                        <w:left w:val="none" w:sz="0" w:space="0" w:color="auto"/>
                        <w:bottom w:val="none" w:sz="0" w:space="0" w:color="auto"/>
                        <w:right w:val="none" w:sz="0" w:space="0" w:color="auto"/>
                      </w:divBdr>
                    </w:div>
                  </w:divsChild>
                </w:div>
                <w:div w:id="617762106">
                  <w:marLeft w:val="0"/>
                  <w:marRight w:val="0"/>
                  <w:marTop w:val="0"/>
                  <w:marBottom w:val="0"/>
                  <w:divBdr>
                    <w:top w:val="none" w:sz="0" w:space="0" w:color="auto"/>
                    <w:left w:val="none" w:sz="0" w:space="0" w:color="auto"/>
                    <w:bottom w:val="none" w:sz="0" w:space="0" w:color="auto"/>
                    <w:right w:val="none" w:sz="0" w:space="0" w:color="auto"/>
                  </w:divBdr>
                  <w:divsChild>
                    <w:div w:id="1091663464">
                      <w:marLeft w:val="0"/>
                      <w:marRight w:val="0"/>
                      <w:marTop w:val="0"/>
                      <w:marBottom w:val="0"/>
                      <w:divBdr>
                        <w:top w:val="none" w:sz="0" w:space="0" w:color="auto"/>
                        <w:left w:val="none" w:sz="0" w:space="0" w:color="auto"/>
                        <w:bottom w:val="none" w:sz="0" w:space="0" w:color="auto"/>
                        <w:right w:val="none" w:sz="0" w:space="0" w:color="auto"/>
                      </w:divBdr>
                    </w:div>
                  </w:divsChild>
                </w:div>
                <w:div w:id="659580139">
                  <w:marLeft w:val="0"/>
                  <w:marRight w:val="0"/>
                  <w:marTop w:val="0"/>
                  <w:marBottom w:val="0"/>
                  <w:divBdr>
                    <w:top w:val="none" w:sz="0" w:space="0" w:color="auto"/>
                    <w:left w:val="none" w:sz="0" w:space="0" w:color="auto"/>
                    <w:bottom w:val="none" w:sz="0" w:space="0" w:color="auto"/>
                    <w:right w:val="none" w:sz="0" w:space="0" w:color="auto"/>
                  </w:divBdr>
                  <w:divsChild>
                    <w:div w:id="1141727890">
                      <w:marLeft w:val="0"/>
                      <w:marRight w:val="0"/>
                      <w:marTop w:val="0"/>
                      <w:marBottom w:val="0"/>
                      <w:divBdr>
                        <w:top w:val="none" w:sz="0" w:space="0" w:color="auto"/>
                        <w:left w:val="none" w:sz="0" w:space="0" w:color="auto"/>
                        <w:bottom w:val="none" w:sz="0" w:space="0" w:color="auto"/>
                        <w:right w:val="none" w:sz="0" w:space="0" w:color="auto"/>
                      </w:divBdr>
                    </w:div>
                  </w:divsChild>
                </w:div>
                <w:div w:id="679431280">
                  <w:marLeft w:val="0"/>
                  <w:marRight w:val="0"/>
                  <w:marTop w:val="0"/>
                  <w:marBottom w:val="0"/>
                  <w:divBdr>
                    <w:top w:val="none" w:sz="0" w:space="0" w:color="auto"/>
                    <w:left w:val="none" w:sz="0" w:space="0" w:color="auto"/>
                    <w:bottom w:val="none" w:sz="0" w:space="0" w:color="auto"/>
                    <w:right w:val="none" w:sz="0" w:space="0" w:color="auto"/>
                  </w:divBdr>
                  <w:divsChild>
                    <w:div w:id="333073508">
                      <w:marLeft w:val="0"/>
                      <w:marRight w:val="0"/>
                      <w:marTop w:val="0"/>
                      <w:marBottom w:val="0"/>
                      <w:divBdr>
                        <w:top w:val="none" w:sz="0" w:space="0" w:color="auto"/>
                        <w:left w:val="none" w:sz="0" w:space="0" w:color="auto"/>
                        <w:bottom w:val="none" w:sz="0" w:space="0" w:color="auto"/>
                        <w:right w:val="none" w:sz="0" w:space="0" w:color="auto"/>
                      </w:divBdr>
                    </w:div>
                  </w:divsChild>
                </w:div>
                <w:div w:id="706878305">
                  <w:marLeft w:val="0"/>
                  <w:marRight w:val="0"/>
                  <w:marTop w:val="0"/>
                  <w:marBottom w:val="0"/>
                  <w:divBdr>
                    <w:top w:val="none" w:sz="0" w:space="0" w:color="auto"/>
                    <w:left w:val="none" w:sz="0" w:space="0" w:color="auto"/>
                    <w:bottom w:val="none" w:sz="0" w:space="0" w:color="auto"/>
                    <w:right w:val="none" w:sz="0" w:space="0" w:color="auto"/>
                  </w:divBdr>
                  <w:divsChild>
                    <w:div w:id="949629336">
                      <w:marLeft w:val="0"/>
                      <w:marRight w:val="0"/>
                      <w:marTop w:val="0"/>
                      <w:marBottom w:val="0"/>
                      <w:divBdr>
                        <w:top w:val="none" w:sz="0" w:space="0" w:color="auto"/>
                        <w:left w:val="none" w:sz="0" w:space="0" w:color="auto"/>
                        <w:bottom w:val="none" w:sz="0" w:space="0" w:color="auto"/>
                        <w:right w:val="none" w:sz="0" w:space="0" w:color="auto"/>
                      </w:divBdr>
                    </w:div>
                  </w:divsChild>
                </w:div>
                <w:div w:id="709572415">
                  <w:marLeft w:val="0"/>
                  <w:marRight w:val="0"/>
                  <w:marTop w:val="0"/>
                  <w:marBottom w:val="0"/>
                  <w:divBdr>
                    <w:top w:val="none" w:sz="0" w:space="0" w:color="auto"/>
                    <w:left w:val="none" w:sz="0" w:space="0" w:color="auto"/>
                    <w:bottom w:val="none" w:sz="0" w:space="0" w:color="auto"/>
                    <w:right w:val="none" w:sz="0" w:space="0" w:color="auto"/>
                  </w:divBdr>
                  <w:divsChild>
                    <w:div w:id="931671184">
                      <w:marLeft w:val="0"/>
                      <w:marRight w:val="0"/>
                      <w:marTop w:val="0"/>
                      <w:marBottom w:val="0"/>
                      <w:divBdr>
                        <w:top w:val="none" w:sz="0" w:space="0" w:color="auto"/>
                        <w:left w:val="none" w:sz="0" w:space="0" w:color="auto"/>
                        <w:bottom w:val="none" w:sz="0" w:space="0" w:color="auto"/>
                        <w:right w:val="none" w:sz="0" w:space="0" w:color="auto"/>
                      </w:divBdr>
                    </w:div>
                  </w:divsChild>
                </w:div>
                <w:div w:id="759911397">
                  <w:marLeft w:val="0"/>
                  <w:marRight w:val="0"/>
                  <w:marTop w:val="0"/>
                  <w:marBottom w:val="0"/>
                  <w:divBdr>
                    <w:top w:val="none" w:sz="0" w:space="0" w:color="auto"/>
                    <w:left w:val="none" w:sz="0" w:space="0" w:color="auto"/>
                    <w:bottom w:val="none" w:sz="0" w:space="0" w:color="auto"/>
                    <w:right w:val="none" w:sz="0" w:space="0" w:color="auto"/>
                  </w:divBdr>
                  <w:divsChild>
                    <w:div w:id="1246183746">
                      <w:marLeft w:val="0"/>
                      <w:marRight w:val="0"/>
                      <w:marTop w:val="0"/>
                      <w:marBottom w:val="0"/>
                      <w:divBdr>
                        <w:top w:val="none" w:sz="0" w:space="0" w:color="auto"/>
                        <w:left w:val="none" w:sz="0" w:space="0" w:color="auto"/>
                        <w:bottom w:val="none" w:sz="0" w:space="0" w:color="auto"/>
                        <w:right w:val="none" w:sz="0" w:space="0" w:color="auto"/>
                      </w:divBdr>
                    </w:div>
                  </w:divsChild>
                </w:div>
                <w:div w:id="765541164">
                  <w:marLeft w:val="0"/>
                  <w:marRight w:val="0"/>
                  <w:marTop w:val="0"/>
                  <w:marBottom w:val="0"/>
                  <w:divBdr>
                    <w:top w:val="none" w:sz="0" w:space="0" w:color="auto"/>
                    <w:left w:val="none" w:sz="0" w:space="0" w:color="auto"/>
                    <w:bottom w:val="none" w:sz="0" w:space="0" w:color="auto"/>
                    <w:right w:val="none" w:sz="0" w:space="0" w:color="auto"/>
                  </w:divBdr>
                  <w:divsChild>
                    <w:div w:id="1577132766">
                      <w:marLeft w:val="0"/>
                      <w:marRight w:val="0"/>
                      <w:marTop w:val="0"/>
                      <w:marBottom w:val="0"/>
                      <w:divBdr>
                        <w:top w:val="none" w:sz="0" w:space="0" w:color="auto"/>
                        <w:left w:val="none" w:sz="0" w:space="0" w:color="auto"/>
                        <w:bottom w:val="none" w:sz="0" w:space="0" w:color="auto"/>
                        <w:right w:val="none" w:sz="0" w:space="0" w:color="auto"/>
                      </w:divBdr>
                    </w:div>
                  </w:divsChild>
                </w:div>
                <w:div w:id="846602459">
                  <w:marLeft w:val="0"/>
                  <w:marRight w:val="0"/>
                  <w:marTop w:val="0"/>
                  <w:marBottom w:val="0"/>
                  <w:divBdr>
                    <w:top w:val="none" w:sz="0" w:space="0" w:color="auto"/>
                    <w:left w:val="none" w:sz="0" w:space="0" w:color="auto"/>
                    <w:bottom w:val="none" w:sz="0" w:space="0" w:color="auto"/>
                    <w:right w:val="none" w:sz="0" w:space="0" w:color="auto"/>
                  </w:divBdr>
                  <w:divsChild>
                    <w:div w:id="463935931">
                      <w:marLeft w:val="0"/>
                      <w:marRight w:val="0"/>
                      <w:marTop w:val="0"/>
                      <w:marBottom w:val="0"/>
                      <w:divBdr>
                        <w:top w:val="none" w:sz="0" w:space="0" w:color="auto"/>
                        <w:left w:val="none" w:sz="0" w:space="0" w:color="auto"/>
                        <w:bottom w:val="none" w:sz="0" w:space="0" w:color="auto"/>
                        <w:right w:val="none" w:sz="0" w:space="0" w:color="auto"/>
                      </w:divBdr>
                    </w:div>
                  </w:divsChild>
                </w:div>
                <w:div w:id="858590261">
                  <w:marLeft w:val="0"/>
                  <w:marRight w:val="0"/>
                  <w:marTop w:val="0"/>
                  <w:marBottom w:val="0"/>
                  <w:divBdr>
                    <w:top w:val="none" w:sz="0" w:space="0" w:color="auto"/>
                    <w:left w:val="none" w:sz="0" w:space="0" w:color="auto"/>
                    <w:bottom w:val="none" w:sz="0" w:space="0" w:color="auto"/>
                    <w:right w:val="none" w:sz="0" w:space="0" w:color="auto"/>
                  </w:divBdr>
                  <w:divsChild>
                    <w:div w:id="310523902">
                      <w:marLeft w:val="0"/>
                      <w:marRight w:val="0"/>
                      <w:marTop w:val="0"/>
                      <w:marBottom w:val="0"/>
                      <w:divBdr>
                        <w:top w:val="none" w:sz="0" w:space="0" w:color="auto"/>
                        <w:left w:val="none" w:sz="0" w:space="0" w:color="auto"/>
                        <w:bottom w:val="none" w:sz="0" w:space="0" w:color="auto"/>
                        <w:right w:val="none" w:sz="0" w:space="0" w:color="auto"/>
                      </w:divBdr>
                    </w:div>
                  </w:divsChild>
                </w:div>
                <w:div w:id="914052803">
                  <w:marLeft w:val="0"/>
                  <w:marRight w:val="0"/>
                  <w:marTop w:val="0"/>
                  <w:marBottom w:val="0"/>
                  <w:divBdr>
                    <w:top w:val="none" w:sz="0" w:space="0" w:color="auto"/>
                    <w:left w:val="none" w:sz="0" w:space="0" w:color="auto"/>
                    <w:bottom w:val="none" w:sz="0" w:space="0" w:color="auto"/>
                    <w:right w:val="none" w:sz="0" w:space="0" w:color="auto"/>
                  </w:divBdr>
                  <w:divsChild>
                    <w:div w:id="1374386853">
                      <w:marLeft w:val="0"/>
                      <w:marRight w:val="0"/>
                      <w:marTop w:val="0"/>
                      <w:marBottom w:val="0"/>
                      <w:divBdr>
                        <w:top w:val="none" w:sz="0" w:space="0" w:color="auto"/>
                        <w:left w:val="none" w:sz="0" w:space="0" w:color="auto"/>
                        <w:bottom w:val="none" w:sz="0" w:space="0" w:color="auto"/>
                        <w:right w:val="none" w:sz="0" w:space="0" w:color="auto"/>
                      </w:divBdr>
                    </w:div>
                  </w:divsChild>
                </w:div>
                <w:div w:id="1064567971">
                  <w:marLeft w:val="0"/>
                  <w:marRight w:val="0"/>
                  <w:marTop w:val="0"/>
                  <w:marBottom w:val="0"/>
                  <w:divBdr>
                    <w:top w:val="none" w:sz="0" w:space="0" w:color="auto"/>
                    <w:left w:val="none" w:sz="0" w:space="0" w:color="auto"/>
                    <w:bottom w:val="none" w:sz="0" w:space="0" w:color="auto"/>
                    <w:right w:val="none" w:sz="0" w:space="0" w:color="auto"/>
                  </w:divBdr>
                  <w:divsChild>
                    <w:div w:id="91558892">
                      <w:marLeft w:val="0"/>
                      <w:marRight w:val="0"/>
                      <w:marTop w:val="0"/>
                      <w:marBottom w:val="0"/>
                      <w:divBdr>
                        <w:top w:val="none" w:sz="0" w:space="0" w:color="auto"/>
                        <w:left w:val="none" w:sz="0" w:space="0" w:color="auto"/>
                        <w:bottom w:val="none" w:sz="0" w:space="0" w:color="auto"/>
                        <w:right w:val="none" w:sz="0" w:space="0" w:color="auto"/>
                      </w:divBdr>
                    </w:div>
                  </w:divsChild>
                </w:div>
                <w:div w:id="1181434505">
                  <w:marLeft w:val="0"/>
                  <w:marRight w:val="0"/>
                  <w:marTop w:val="0"/>
                  <w:marBottom w:val="0"/>
                  <w:divBdr>
                    <w:top w:val="none" w:sz="0" w:space="0" w:color="auto"/>
                    <w:left w:val="none" w:sz="0" w:space="0" w:color="auto"/>
                    <w:bottom w:val="none" w:sz="0" w:space="0" w:color="auto"/>
                    <w:right w:val="none" w:sz="0" w:space="0" w:color="auto"/>
                  </w:divBdr>
                  <w:divsChild>
                    <w:div w:id="980501851">
                      <w:marLeft w:val="0"/>
                      <w:marRight w:val="0"/>
                      <w:marTop w:val="0"/>
                      <w:marBottom w:val="0"/>
                      <w:divBdr>
                        <w:top w:val="none" w:sz="0" w:space="0" w:color="auto"/>
                        <w:left w:val="none" w:sz="0" w:space="0" w:color="auto"/>
                        <w:bottom w:val="none" w:sz="0" w:space="0" w:color="auto"/>
                        <w:right w:val="none" w:sz="0" w:space="0" w:color="auto"/>
                      </w:divBdr>
                    </w:div>
                  </w:divsChild>
                </w:div>
                <w:div w:id="1206144007">
                  <w:marLeft w:val="0"/>
                  <w:marRight w:val="0"/>
                  <w:marTop w:val="0"/>
                  <w:marBottom w:val="0"/>
                  <w:divBdr>
                    <w:top w:val="none" w:sz="0" w:space="0" w:color="auto"/>
                    <w:left w:val="none" w:sz="0" w:space="0" w:color="auto"/>
                    <w:bottom w:val="none" w:sz="0" w:space="0" w:color="auto"/>
                    <w:right w:val="none" w:sz="0" w:space="0" w:color="auto"/>
                  </w:divBdr>
                  <w:divsChild>
                    <w:div w:id="1378701259">
                      <w:marLeft w:val="0"/>
                      <w:marRight w:val="0"/>
                      <w:marTop w:val="0"/>
                      <w:marBottom w:val="0"/>
                      <w:divBdr>
                        <w:top w:val="none" w:sz="0" w:space="0" w:color="auto"/>
                        <w:left w:val="none" w:sz="0" w:space="0" w:color="auto"/>
                        <w:bottom w:val="none" w:sz="0" w:space="0" w:color="auto"/>
                        <w:right w:val="none" w:sz="0" w:space="0" w:color="auto"/>
                      </w:divBdr>
                    </w:div>
                  </w:divsChild>
                </w:div>
                <w:div w:id="1207722584">
                  <w:marLeft w:val="0"/>
                  <w:marRight w:val="0"/>
                  <w:marTop w:val="0"/>
                  <w:marBottom w:val="0"/>
                  <w:divBdr>
                    <w:top w:val="none" w:sz="0" w:space="0" w:color="auto"/>
                    <w:left w:val="none" w:sz="0" w:space="0" w:color="auto"/>
                    <w:bottom w:val="none" w:sz="0" w:space="0" w:color="auto"/>
                    <w:right w:val="none" w:sz="0" w:space="0" w:color="auto"/>
                  </w:divBdr>
                  <w:divsChild>
                    <w:div w:id="1300261944">
                      <w:marLeft w:val="0"/>
                      <w:marRight w:val="0"/>
                      <w:marTop w:val="0"/>
                      <w:marBottom w:val="0"/>
                      <w:divBdr>
                        <w:top w:val="none" w:sz="0" w:space="0" w:color="auto"/>
                        <w:left w:val="none" w:sz="0" w:space="0" w:color="auto"/>
                        <w:bottom w:val="none" w:sz="0" w:space="0" w:color="auto"/>
                        <w:right w:val="none" w:sz="0" w:space="0" w:color="auto"/>
                      </w:divBdr>
                    </w:div>
                  </w:divsChild>
                </w:div>
                <w:div w:id="1222983648">
                  <w:marLeft w:val="0"/>
                  <w:marRight w:val="0"/>
                  <w:marTop w:val="0"/>
                  <w:marBottom w:val="0"/>
                  <w:divBdr>
                    <w:top w:val="none" w:sz="0" w:space="0" w:color="auto"/>
                    <w:left w:val="none" w:sz="0" w:space="0" w:color="auto"/>
                    <w:bottom w:val="none" w:sz="0" w:space="0" w:color="auto"/>
                    <w:right w:val="none" w:sz="0" w:space="0" w:color="auto"/>
                  </w:divBdr>
                  <w:divsChild>
                    <w:div w:id="103117173">
                      <w:marLeft w:val="0"/>
                      <w:marRight w:val="0"/>
                      <w:marTop w:val="0"/>
                      <w:marBottom w:val="0"/>
                      <w:divBdr>
                        <w:top w:val="none" w:sz="0" w:space="0" w:color="auto"/>
                        <w:left w:val="none" w:sz="0" w:space="0" w:color="auto"/>
                        <w:bottom w:val="none" w:sz="0" w:space="0" w:color="auto"/>
                        <w:right w:val="none" w:sz="0" w:space="0" w:color="auto"/>
                      </w:divBdr>
                    </w:div>
                  </w:divsChild>
                </w:div>
                <w:div w:id="1253390573">
                  <w:marLeft w:val="0"/>
                  <w:marRight w:val="0"/>
                  <w:marTop w:val="0"/>
                  <w:marBottom w:val="0"/>
                  <w:divBdr>
                    <w:top w:val="none" w:sz="0" w:space="0" w:color="auto"/>
                    <w:left w:val="none" w:sz="0" w:space="0" w:color="auto"/>
                    <w:bottom w:val="none" w:sz="0" w:space="0" w:color="auto"/>
                    <w:right w:val="none" w:sz="0" w:space="0" w:color="auto"/>
                  </w:divBdr>
                  <w:divsChild>
                    <w:div w:id="244995023">
                      <w:marLeft w:val="0"/>
                      <w:marRight w:val="0"/>
                      <w:marTop w:val="0"/>
                      <w:marBottom w:val="0"/>
                      <w:divBdr>
                        <w:top w:val="none" w:sz="0" w:space="0" w:color="auto"/>
                        <w:left w:val="none" w:sz="0" w:space="0" w:color="auto"/>
                        <w:bottom w:val="none" w:sz="0" w:space="0" w:color="auto"/>
                        <w:right w:val="none" w:sz="0" w:space="0" w:color="auto"/>
                      </w:divBdr>
                    </w:div>
                  </w:divsChild>
                </w:div>
                <w:div w:id="1257982888">
                  <w:marLeft w:val="0"/>
                  <w:marRight w:val="0"/>
                  <w:marTop w:val="0"/>
                  <w:marBottom w:val="0"/>
                  <w:divBdr>
                    <w:top w:val="none" w:sz="0" w:space="0" w:color="auto"/>
                    <w:left w:val="none" w:sz="0" w:space="0" w:color="auto"/>
                    <w:bottom w:val="none" w:sz="0" w:space="0" w:color="auto"/>
                    <w:right w:val="none" w:sz="0" w:space="0" w:color="auto"/>
                  </w:divBdr>
                  <w:divsChild>
                    <w:div w:id="1184170750">
                      <w:marLeft w:val="0"/>
                      <w:marRight w:val="0"/>
                      <w:marTop w:val="0"/>
                      <w:marBottom w:val="0"/>
                      <w:divBdr>
                        <w:top w:val="none" w:sz="0" w:space="0" w:color="auto"/>
                        <w:left w:val="none" w:sz="0" w:space="0" w:color="auto"/>
                        <w:bottom w:val="none" w:sz="0" w:space="0" w:color="auto"/>
                        <w:right w:val="none" w:sz="0" w:space="0" w:color="auto"/>
                      </w:divBdr>
                    </w:div>
                  </w:divsChild>
                </w:div>
                <w:div w:id="1265766193">
                  <w:marLeft w:val="0"/>
                  <w:marRight w:val="0"/>
                  <w:marTop w:val="0"/>
                  <w:marBottom w:val="0"/>
                  <w:divBdr>
                    <w:top w:val="none" w:sz="0" w:space="0" w:color="auto"/>
                    <w:left w:val="none" w:sz="0" w:space="0" w:color="auto"/>
                    <w:bottom w:val="none" w:sz="0" w:space="0" w:color="auto"/>
                    <w:right w:val="none" w:sz="0" w:space="0" w:color="auto"/>
                  </w:divBdr>
                  <w:divsChild>
                    <w:div w:id="1829981158">
                      <w:marLeft w:val="0"/>
                      <w:marRight w:val="0"/>
                      <w:marTop w:val="0"/>
                      <w:marBottom w:val="0"/>
                      <w:divBdr>
                        <w:top w:val="none" w:sz="0" w:space="0" w:color="auto"/>
                        <w:left w:val="none" w:sz="0" w:space="0" w:color="auto"/>
                        <w:bottom w:val="none" w:sz="0" w:space="0" w:color="auto"/>
                        <w:right w:val="none" w:sz="0" w:space="0" w:color="auto"/>
                      </w:divBdr>
                    </w:div>
                  </w:divsChild>
                </w:div>
                <w:div w:id="1269388487">
                  <w:marLeft w:val="0"/>
                  <w:marRight w:val="0"/>
                  <w:marTop w:val="0"/>
                  <w:marBottom w:val="0"/>
                  <w:divBdr>
                    <w:top w:val="none" w:sz="0" w:space="0" w:color="auto"/>
                    <w:left w:val="none" w:sz="0" w:space="0" w:color="auto"/>
                    <w:bottom w:val="none" w:sz="0" w:space="0" w:color="auto"/>
                    <w:right w:val="none" w:sz="0" w:space="0" w:color="auto"/>
                  </w:divBdr>
                  <w:divsChild>
                    <w:div w:id="1785155675">
                      <w:marLeft w:val="0"/>
                      <w:marRight w:val="0"/>
                      <w:marTop w:val="0"/>
                      <w:marBottom w:val="0"/>
                      <w:divBdr>
                        <w:top w:val="none" w:sz="0" w:space="0" w:color="auto"/>
                        <w:left w:val="none" w:sz="0" w:space="0" w:color="auto"/>
                        <w:bottom w:val="none" w:sz="0" w:space="0" w:color="auto"/>
                        <w:right w:val="none" w:sz="0" w:space="0" w:color="auto"/>
                      </w:divBdr>
                    </w:div>
                  </w:divsChild>
                </w:div>
                <w:div w:id="1287196485">
                  <w:marLeft w:val="0"/>
                  <w:marRight w:val="0"/>
                  <w:marTop w:val="0"/>
                  <w:marBottom w:val="0"/>
                  <w:divBdr>
                    <w:top w:val="none" w:sz="0" w:space="0" w:color="auto"/>
                    <w:left w:val="none" w:sz="0" w:space="0" w:color="auto"/>
                    <w:bottom w:val="none" w:sz="0" w:space="0" w:color="auto"/>
                    <w:right w:val="none" w:sz="0" w:space="0" w:color="auto"/>
                  </w:divBdr>
                  <w:divsChild>
                    <w:div w:id="2136487001">
                      <w:marLeft w:val="0"/>
                      <w:marRight w:val="0"/>
                      <w:marTop w:val="0"/>
                      <w:marBottom w:val="0"/>
                      <w:divBdr>
                        <w:top w:val="none" w:sz="0" w:space="0" w:color="auto"/>
                        <w:left w:val="none" w:sz="0" w:space="0" w:color="auto"/>
                        <w:bottom w:val="none" w:sz="0" w:space="0" w:color="auto"/>
                        <w:right w:val="none" w:sz="0" w:space="0" w:color="auto"/>
                      </w:divBdr>
                    </w:div>
                  </w:divsChild>
                </w:div>
                <w:div w:id="1408310795">
                  <w:marLeft w:val="0"/>
                  <w:marRight w:val="0"/>
                  <w:marTop w:val="0"/>
                  <w:marBottom w:val="0"/>
                  <w:divBdr>
                    <w:top w:val="none" w:sz="0" w:space="0" w:color="auto"/>
                    <w:left w:val="none" w:sz="0" w:space="0" w:color="auto"/>
                    <w:bottom w:val="none" w:sz="0" w:space="0" w:color="auto"/>
                    <w:right w:val="none" w:sz="0" w:space="0" w:color="auto"/>
                  </w:divBdr>
                  <w:divsChild>
                    <w:div w:id="638416079">
                      <w:marLeft w:val="0"/>
                      <w:marRight w:val="0"/>
                      <w:marTop w:val="0"/>
                      <w:marBottom w:val="0"/>
                      <w:divBdr>
                        <w:top w:val="none" w:sz="0" w:space="0" w:color="auto"/>
                        <w:left w:val="none" w:sz="0" w:space="0" w:color="auto"/>
                        <w:bottom w:val="none" w:sz="0" w:space="0" w:color="auto"/>
                        <w:right w:val="none" w:sz="0" w:space="0" w:color="auto"/>
                      </w:divBdr>
                    </w:div>
                  </w:divsChild>
                </w:div>
                <w:div w:id="1431658366">
                  <w:marLeft w:val="0"/>
                  <w:marRight w:val="0"/>
                  <w:marTop w:val="0"/>
                  <w:marBottom w:val="0"/>
                  <w:divBdr>
                    <w:top w:val="none" w:sz="0" w:space="0" w:color="auto"/>
                    <w:left w:val="none" w:sz="0" w:space="0" w:color="auto"/>
                    <w:bottom w:val="none" w:sz="0" w:space="0" w:color="auto"/>
                    <w:right w:val="none" w:sz="0" w:space="0" w:color="auto"/>
                  </w:divBdr>
                  <w:divsChild>
                    <w:div w:id="803540922">
                      <w:marLeft w:val="0"/>
                      <w:marRight w:val="0"/>
                      <w:marTop w:val="0"/>
                      <w:marBottom w:val="0"/>
                      <w:divBdr>
                        <w:top w:val="none" w:sz="0" w:space="0" w:color="auto"/>
                        <w:left w:val="none" w:sz="0" w:space="0" w:color="auto"/>
                        <w:bottom w:val="none" w:sz="0" w:space="0" w:color="auto"/>
                        <w:right w:val="none" w:sz="0" w:space="0" w:color="auto"/>
                      </w:divBdr>
                    </w:div>
                  </w:divsChild>
                </w:div>
                <w:div w:id="1452741621">
                  <w:marLeft w:val="0"/>
                  <w:marRight w:val="0"/>
                  <w:marTop w:val="0"/>
                  <w:marBottom w:val="0"/>
                  <w:divBdr>
                    <w:top w:val="none" w:sz="0" w:space="0" w:color="auto"/>
                    <w:left w:val="none" w:sz="0" w:space="0" w:color="auto"/>
                    <w:bottom w:val="none" w:sz="0" w:space="0" w:color="auto"/>
                    <w:right w:val="none" w:sz="0" w:space="0" w:color="auto"/>
                  </w:divBdr>
                  <w:divsChild>
                    <w:div w:id="413359877">
                      <w:marLeft w:val="0"/>
                      <w:marRight w:val="0"/>
                      <w:marTop w:val="0"/>
                      <w:marBottom w:val="0"/>
                      <w:divBdr>
                        <w:top w:val="none" w:sz="0" w:space="0" w:color="auto"/>
                        <w:left w:val="none" w:sz="0" w:space="0" w:color="auto"/>
                        <w:bottom w:val="none" w:sz="0" w:space="0" w:color="auto"/>
                        <w:right w:val="none" w:sz="0" w:space="0" w:color="auto"/>
                      </w:divBdr>
                    </w:div>
                  </w:divsChild>
                </w:div>
                <w:div w:id="1523740850">
                  <w:marLeft w:val="0"/>
                  <w:marRight w:val="0"/>
                  <w:marTop w:val="0"/>
                  <w:marBottom w:val="0"/>
                  <w:divBdr>
                    <w:top w:val="none" w:sz="0" w:space="0" w:color="auto"/>
                    <w:left w:val="none" w:sz="0" w:space="0" w:color="auto"/>
                    <w:bottom w:val="none" w:sz="0" w:space="0" w:color="auto"/>
                    <w:right w:val="none" w:sz="0" w:space="0" w:color="auto"/>
                  </w:divBdr>
                  <w:divsChild>
                    <w:div w:id="1947275534">
                      <w:marLeft w:val="0"/>
                      <w:marRight w:val="0"/>
                      <w:marTop w:val="0"/>
                      <w:marBottom w:val="0"/>
                      <w:divBdr>
                        <w:top w:val="none" w:sz="0" w:space="0" w:color="auto"/>
                        <w:left w:val="none" w:sz="0" w:space="0" w:color="auto"/>
                        <w:bottom w:val="none" w:sz="0" w:space="0" w:color="auto"/>
                        <w:right w:val="none" w:sz="0" w:space="0" w:color="auto"/>
                      </w:divBdr>
                    </w:div>
                  </w:divsChild>
                </w:div>
                <w:div w:id="1559703893">
                  <w:marLeft w:val="0"/>
                  <w:marRight w:val="0"/>
                  <w:marTop w:val="0"/>
                  <w:marBottom w:val="0"/>
                  <w:divBdr>
                    <w:top w:val="none" w:sz="0" w:space="0" w:color="auto"/>
                    <w:left w:val="none" w:sz="0" w:space="0" w:color="auto"/>
                    <w:bottom w:val="none" w:sz="0" w:space="0" w:color="auto"/>
                    <w:right w:val="none" w:sz="0" w:space="0" w:color="auto"/>
                  </w:divBdr>
                  <w:divsChild>
                    <w:div w:id="474377479">
                      <w:marLeft w:val="0"/>
                      <w:marRight w:val="0"/>
                      <w:marTop w:val="0"/>
                      <w:marBottom w:val="0"/>
                      <w:divBdr>
                        <w:top w:val="none" w:sz="0" w:space="0" w:color="auto"/>
                        <w:left w:val="none" w:sz="0" w:space="0" w:color="auto"/>
                        <w:bottom w:val="none" w:sz="0" w:space="0" w:color="auto"/>
                        <w:right w:val="none" w:sz="0" w:space="0" w:color="auto"/>
                      </w:divBdr>
                    </w:div>
                  </w:divsChild>
                </w:div>
                <w:div w:id="1570647501">
                  <w:marLeft w:val="0"/>
                  <w:marRight w:val="0"/>
                  <w:marTop w:val="0"/>
                  <w:marBottom w:val="0"/>
                  <w:divBdr>
                    <w:top w:val="none" w:sz="0" w:space="0" w:color="auto"/>
                    <w:left w:val="none" w:sz="0" w:space="0" w:color="auto"/>
                    <w:bottom w:val="none" w:sz="0" w:space="0" w:color="auto"/>
                    <w:right w:val="none" w:sz="0" w:space="0" w:color="auto"/>
                  </w:divBdr>
                  <w:divsChild>
                    <w:div w:id="1018388946">
                      <w:marLeft w:val="0"/>
                      <w:marRight w:val="0"/>
                      <w:marTop w:val="0"/>
                      <w:marBottom w:val="0"/>
                      <w:divBdr>
                        <w:top w:val="none" w:sz="0" w:space="0" w:color="auto"/>
                        <w:left w:val="none" w:sz="0" w:space="0" w:color="auto"/>
                        <w:bottom w:val="none" w:sz="0" w:space="0" w:color="auto"/>
                        <w:right w:val="none" w:sz="0" w:space="0" w:color="auto"/>
                      </w:divBdr>
                    </w:div>
                  </w:divsChild>
                </w:div>
                <w:div w:id="1601253073">
                  <w:marLeft w:val="0"/>
                  <w:marRight w:val="0"/>
                  <w:marTop w:val="0"/>
                  <w:marBottom w:val="0"/>
                  <w:divBdr>
                    <w:top w:val="none" w:sz="0" w:space="0" w:color="auto"/>
                    <w:left w:val="none" w:sz="0" w:space="0" w:color="auto"/>
                    <w:bottom w:val="none" w:sz="0" w:space="0" w:color="auto"/>
                    <w:right w:val="none" w:sz="0" w:space="0" w:color="auto"/>
                  </w:divBdr>
                  <w:divsChild>
                    <w:div w:id="1942565747">
                      <w:marLeft w:val="0"/>
                      <w:marRight w:val="0"/>
                      <w:marTop w:val="0"/>
                      <w:marBottom w:val="0"/>
                      <w:divBdr>
                        <w:top w:val="none" w:sz="0" w:space="0" w:color="auto"/>
                        <w:left w:val="none" w:sz="0" w:space="0" w:color="auto"/>
                        <w:bottom w:val="none" w:sz="0" w:space="0" w:color="auto"/>
                        <w:right w:val="none" w:sz="0" w:space="0" w:color="auto"/>
                      </w:divBdr>
                    </w:div>
                  </w:divsChild>
                </w:div>
                <w:div w:id="1620837327">
                  <w:marLeft w:val="0"/>
                  <w:marRight w:val="0"/>
                  <w:marTop w:val="0"/>
                  <w:marBottom w:val="0"/>
                  <w:divBdr>
                    <w:top w:val="none" w:sz="0" w:space="0" w:color="auto"/>
                    <w:left w:val="none" w:sz="0" w:space="0" w:color="auto"/>
                    <w:bottom w:val="none" w:sz="0" w:space="0" w:color="auto"/>
                    <w:right w:val="none" w:sz="0" w:space="0" w:color="auto"/>
                  </w:divBdr>
                  <w:divsChild>
                    <w:div w:id="334186146">
                      <w:marLeft w:val="0"/>
                      <w:marRight w:val="0"/>
                      <w:marTop w:val="0"/>
                      <w:marBottom w:val="0"/>
                      <w:divBdr>
                        <w:top w:val="none" w:sz="0" w:space="0" w:color="auto"/>
                        <w:left w:val="none" w:sz="0" w:space="0" w:color="auto"/>
                        <w:bottom w:val="none" w:sz="0" w:space="0" w:color="auto"/>
                        <w:right w:val="none" w:sz="0" w:space="0" w:color="auto"/>
                      </w:divBdr>
                    </w:div>
                  </w:divsChild>
                </w:div>
                <w:div w:id="1634629476">
                  <w:marLeft w:val="0"/>
                  <w:marRight w:val="0"/>
                  <w:marTop w:val="0"/>
                  <w:marBottom w:val="0"/>
                  <w:divBdr>
                    <w:top w:val="none" w:sz="0" w:space="0" w:color="auto"/>
                    <w:left w:val="none" w:sz="0" w:space="0" w:color="auto"/>
                    <w:bottom w:val="none" w:sz="0" w:space="0" w:color="auto"/>
                    <w:right w:val="none" w:sz="0" w:space="0" w:color="auto"/>
                  </w:divBdr>
                  <w:divsChild>
                    <w:div w:id="1664505578">
                      <w:marLeft w:val="0"/>
                      <w:marRight w:val="0"/>
                      <w:marTop w:val="0"/>
                      <w:marBottom w:val="0"/>
                      <w:divBdr>
                        <w:top w:val="none" w:sz="0" w:space="0" w:color="auto"/>
                        <w:left w:val="none" w:sz="0" w:space="0" w:color="auto"/>
                        <w:bottom w:val="none" w:sz="0" w:space="0" w:color="auto"/>
                        <w:right w:val="none" w:sz="0" w:space="0" w:color="auto"/>
                      </w:divBdr>
                    </w:div>
                  </w:divsChild>
                </w:div>
                <w:div w:id="1643147320">
                  <w:marLeft w:val="0"/>
                  <w:marRight w:val="0"/>
                  <w:marTop w:val="0"/>
                  <w:marBottom w:val="0"/>
                  <w:divBdr>
                    <w:top w:val="none" w:sz="0" w:space="0" w:color="auto"/>
                    <w:left w:val="none" w:sz="0" w:space="0" w:color="auto"/>
                    <w:bottom w:val="none" w:sz="0" w:space="0" w:color="auto"/>
                    <w:right w:val="none" w:sz="0" w:space="0" w:color="auto"/>
                  </w:divBdr>
                  <w:divsChild>
                    <w:div w:id="992221655">
                      <w:marLeft w:val="0"/>
                      <w:marRight w:val="0"/>
                      <w:marTop w:val="0"/>
                      <w:marBottom w:val="0"/>
                      <w:divBdr>
                        <w:top w:val="none" w:sz="0" w:space="0" w:color="auto"/>
                        <w:left w:val="none" w:sz="0" w:space="0" w:color="auto"/>
                        <w:bottom w:val="none" w:sz="0" w:space="0" w:color="auto"/>
                        <w:right w:val="none" w:sz="0" w:space="0" w:color="auto"/>
                      </w:divBdr>
                    </w:div>
                  </w:divsChild>
                </w:div>
                <w:div w:id="1670055326">
                  <w:marLeft w:val="0"/>
                  <w:marRight w:val="0"/>
                  <w:marTop w:val="0"/>
                  <w:marBottom w:val="0"/>
                  <w:divBdr>
                    <w:top w:val="none" w:sz="0" w:space="0" w:color="auto"/>
                    <w:left w:val="none" w:sz="0" w:space="0" w:color="auto"/>
                    <w:bottom w:val="none" w:sz="0" w:space="0" w:color="auto"/>
                    <w:right w:val="none" w:sz="0" w:space="0" w:color="auto"/>
                  </w:divBdr>
                  <w:divsChild>
                    <w:div w:id="1421028091">
                      <w:marLeft w:val="0"/>
                      <w:marRight w:val="0"/>
                      <w:marTop w:val="0"/>
                      <w:marBottom w:val="0"/>
                      <w:divBdr>
                        <w:top w:val="none" w:sz="0" w:space="0" w:color="auto"/>
                        <w:left w:val="none" w:sz="0" w:space="0" w:color="auto"/>
                        <w:bottom w:val="none" w:sz="0" w:space="0" w:color="auto"/>
                        <w:right w:val="none" w:sz="0" w:space="0" w:color="auto"/>
                      </w:divBdr>
                    </w:div>
                  </w:divsChild>
                </w:div>
                <w:div w:id="1701127944">
                  <w:marLeft w:val="0"/>
                  <w:marRight w:val="0"/>
                  <w:marTop w:val="0"/>
                  <w:marBottom w:val="0"/>
                  <w:divBdr>
                    <w:top w:val="none" w:sz="0" w:space="0" w:color="auto"/>
                    <w:left w:val="none" w:sz="0" w:space="0" w:color="auto"/>
                    <w:bottom w:val="none" w:sz="0" w:space="0" w:color="auto"/>
                    <w:right w:val="none" w:sz="0" w:space="0" w:color="auto"/>
                  </w:divBdr>
                  <w:divsChild>
                    <w:div w:id="360518463">
                      <w:marLeft w:val="0"/>
                      <w:marRight w:val="0"/>
                      <w:marTop w:val="0"/>
                      <w:marBottom w:val="0"/>
                      <w:divBdr>
                        <w:top w:val="none" w:sz="0" w:space="0" w:color="auto"/>
                        <w:left w:val="none" w:sz="0" w:space="0" w:color="auto"/>
                        <w:bottom w:val="none" w:sz="0" w:space="0" w:color="auto"/>
                        <w:right w:val="none" w:sz="0" w:space="0" w:color="auto"/>
                      </w:divBdr>
                    </w:div>
                  </w:divsChild>
                </w:div>
                <w:div w:id="1727298222">
                  <w:marLeft w:val="0"/>
                  <w:marRight w:val="0"/>
                  <w:marTop w:val="0"/>
                  <w:marBottom w:val="0"/>
                  <w:divBdr>
                    <w:top w:val="none" w:sz="0" w:space="0" w:color="auto"/>
                    <w:left w:val="none" w:sz="0" w:space="0" w:color="auto"/>
                    <w:bottom w:val="none" w:sz="0" w:space="0" w:color="auto"/>
                    <w:right w:val="none" w:sz="0" w:space="0" w:color="auto"/>
                  </w:divBdr>
                  <w:divsChild>
                    <w:div w:id="754087610">
                      <w:marLeft w:val="0"/>
                      <w:marRight w:val="0"/>
                      <w:marTop w:val="0"/>
                      <w:marBottom w:val="0"/>
                      <w:divBdr>
                        <w:top w:val="none" w:sz="0" w:space="0" w:color="auto"/>
                        <w:left w:val="none" w:sz="0" w:space="0" w:color="auto"/>
                        <w:bottom w:val="none" w:sz="0" w:space="0" w:color="auto"/>
                        <w:right w:val="none" w:sz="0" w:space="0" w:color="auto"/>
                      </w:divBdr>
                    </w:div>
                  </w:divsChild>
                </w:div>
                <w:div w:id="1738867970">
                  <w:marLeft w:val="0"/>
                  <w:marRight w:val="0"/>
                  <w:marTop w:val="0"/>
                  <w:marBottom w:val="0"/>
                  <w:divBdr>
                    <w:top w:val="none" w:sz="0" w:space="0" w:color="auto"/>
                    <w:left w:val="none" w:sz="0" w:space="0" w:color="auto"/>
                    <w:bottom w:val="none" w:sz="0" w:space="0" w:color="auto"/>
                    <w:right w:val="none" w:sz="0" w:space="0" w:color="auto"/>
                  </w:divBdr>
                  <w:divsChild>
                    <w:div w:id="810558659">
                      <w:marLeft w:val="0"/>
                      <w:marRight w:val="0"/>
                      <w:marTop w:val="0"/>
                      <w:marBottom w:val="0"/>
                      <w:divBdr>
                        <w:top w:val="none" w:sz="0" w:space="0" w:color="auto"/>
                        <w:left w:val="none" w:sz="0" w:space="0" w:color="auto"/>
                        <w:bottom w:val="none" w:sz="0" w:space="0" w:color="auto"/>
                        <w:right w:val="none" w:sz="0" w:space="0" w:color="auto"/>
                      </w:divBdr>
                    </w:div>
                  </w:divsChild>
                </w:div>
                <w:div w:id="1743218802">
                  <w:marLeft w:val="0"/>
                  <w:marRight w:val="0"/>
                  <w:marTop w:val="0"/>
                  <w:marBottom w:val="0"/>
                  <w:divBdr>
                    <w:top w:val="none" w:sz="0" w:space="0" w:color="auto"/>
                    <w:left w:val="none" w:sz="0" w:space="0" w:color="auto"/>
                    <w:bottom w:val="none" w:sz="0" w:space="0" w:color="auto"/>
                    <w:right w:val="none" w:sz="0" w:space="0" w:color="auto"/>
                  </w:divBdr>
                  <w:divsChild>
                    <w:div w:id="2017145569">
                      <w:marLeft w:val="0"/>
                      <w:marRight w:val="0"/>
                      <w:marTop w:val="0"/>
                      <w:marBottom w:val="0"/>
                      <w:divBdr>
                        <w:top w:val="none" w:sz="0" w:space="0" w:color="auto"/>
                        <w:left w:val="none" w:sz="0" w:space="0" w:color="auto"/>
                        <w:bottom w:val="none" w:sz="0" w:space="0" w:color="auto"/>
                        <w:right w:val="none" w:sz="0" w:space="0" w:color="auto"/>
                      </w:divBdr>
                    </w:div>
                  </w:divsChild>
                </w:div>
                <w:div w:id="1770850889">
                  <w:marLeft w:val="0"/>
                  <w:marRight w:val="0"/>
                  <w:marTop w:val="0"/>
                  <w:marBottom w:val="0"/>
                  <w:divBdr>
                    <w:top w:val="none" w:sz="0" w:space="0" w:color="auto"/>
                    <w:left w:val="none" w:sz="0" w:space="0" w:color="auto"/>
                    <w:bottom w:val="none" w:sz="0" w:space="0" w:color="auto"/>
                    <w:right w:val="none" w:sz="0" w:space="0" w:color="auto"/>
                  </w:divBdr>
                  <w:divsChild>
                    <w:div w:id="2106461534">
                      <w:marLeft w:val="0"/>
                      <w:marRight w:val="0"/>
                      <w:marTop w:val="0"/>
                      <w:marBottom w:val="0"/>
                      <w:divBdr>
                        <w:top w:val="none" w:sz="0" w:space="0" w:color="auto"/>
                        <w:left w:val="none" w:sz="0" w:space="0" w:color="auto"/>
                        <w:bottom w:val="none" w:sz="0" w:space="0" w:color="auto"/>
                        <w:right w:val="none" w:sz="0" w:space="0" w:color="auto"/>
                      </w:divBdr>
                    </w:div>
                  </w:divsChild>
                </w:div>
                <w:div w:id="1802382268">
                  <w:marLeft w:val="0"/>
                  <w:marRight w:val="0"/>
                  <w:marTop w:val="0"/>
                  <w:marBottom w:val="0"/>
                  <w:divBdr>
                    <w:top w:val="none" w:sz="0" w:space="0" w:color="auto"/>
                    <w:left w:val="none" w:sz="0" w:space="0" w:color="auto"/>
                    <w:bottom w:val="none" w:sz="0" w:space="0" w:color="auto"/>
                    <w:right w:val="none" w:sz="0" w:space="0" w:color="auto"/>
                  </w:divBdr>
                  <w:divsChild>
                    <w:div w:id="102112334">
                      <w:marLeft w:val="0"/>
                      <w:marRight w:val="0"/>
                      <w:marTop w:val="0"/>
                      <w:marBottom w:val="0"/>
                      <w:divBdr>
                        <w:top w:val="none" w:sz="0" w:space="0" w:color="auto"/>
                        <w:left w:val="none" w:sz="0" w:space="0" w:color="auto"/>
                        <w:bottom w:val="none" w:sz="0" w:space="0" w:color="auto"/>
                        <w:right w:val="none" w:sz="0" w:space="0" w:color="auto"/>
                      </w:divBdr>
                    </w:div>
                  </w:divsChild>
                </w:div>
                <w:div w:id="1931042309">
                  <w:marLeft w:val="0"/>
                  <w:marRight w:val="0"/>
                  <w:marTop w:val="0"/>
                  <w:marBottom w:val="0"/>
                  <w:divBdr>
                    <w:top w:val="none" w:sz="0" w:space="0" w:color="auto"/>
                    <w:left w:val="none" w:sz="0" w:space="0" w:color="auto"/>
                    <w:bottom w:val="none" w:sz="0" w:space="0" w:color="auto"/>
                    <w:right w:val="none" w:sz="0" w:space="0" w:color="auto"/>
                  </w:divBdr>
                  <w:divsChild>
                    <w:div w:id="921110641">
                      <w:marLeft w:val="0"/>
                      <w:marRight w:val="0"/>
                      <w:marTop w:val="0"/>
                      <w:marBottom w:val="0"/>
                      <w:divBdr>
                        <w:top w:val="none" w:sz="0" w:space="0" w:color="auto"/>
                        <w:left w:val="none" w:sz="0" w:space="0" w:color="auto"/>
                        <w:bottom w:val="none" w:sz="0" w:space="0" w:color="auto"/>
                        <w:right w:val="none" w:sz="0" w:space="0" w:color="auto"/>
                      </w:divBdr>
                    </w:div>
                  </w:divsChild>
                </w:div>
                <w:div w:id="1941523059">
                  <w:marLeft w:val="0"/>
                  <w:marRight w:val="0"/>
                  <w:marTop w:val="0"/>
                  <w:marBottom w:val="0"/>
                  <w:divBdr>
                    <w:top w:val="none" w:sz="0" w:space="0" w:color="auto"/>
                    <w:left w:val="none" w:sz="0" w:space="0" w:color="auto"/>
                    <w:bottom w:val="none" w:sz="0" w:space="0" w:color="auto"/>
                    <w:right w:val="none" w:sz="0" w:space="0" w:color="auto"/>
                  </w:divBdr>
                  <w:divsChild>
                    <w:div w:id="1159931132">
                      <w:marLeft w:val="0"/>
                      <w:marRight w:val="0"/>
                      <w:marTop w:val="0"/>
                      <w:marBottom w:val="0"/>
                      <w:divBdr>
                        <w:top w:val="none" w:sz="0" w:space="0" w:color="auto"/>
                        <w:left w:val="none" w:sz="0" w:space="0" w:color="auto"/>
                        <w:bottom w:val="none" w:sz="0" w:space="0" w:color="auto"/>
                        <w:right w:val="none" w:sz="0" w:space="0" w:color="auto"/>
                      </w:divBdr>
                    </w:div>
                  </w:divsChild>
                </w:div>
                <w:div w:id="1974171996">
                  <w:marLeft w:val="0"/>
                  <w:marRight w:val="0"/>
                  <w:marTop w:val="0"/>
                  <w:marBottom w:val="0"/>
                  <w:divBdr>
                    <w:top w:val="none" w:sz="0" w:space="0" w:color="auto"/>
                    <w:left w:val="none" w:sz="0" w:space="0" w:color="auto"/>
                    <w:bottom w:val="none" w:sz="0" w:space="0" w:color="auto"/>
                    <w:right w:val="none" w:sz="0" w:space="0" w:color="auto"/>
                  </w:divBdr>
                  <w:divsChild>
                    <w:div w:id="1816682736">
                      <w:marLeft w:val="0"/>
                      <w:marRight w:val="0"/>
                      <w:marTop w:val="0"/>
                      <w:marBottom w:val="0"/>
                      <w:divBdr>
                        <w:top w:val="none" w:sz="0" w:space="0" w:color="auto"/>
                        <w:left w:val="none" w:sz="0" w:space="0" w:color="auto"/>
                        <w:bottom w:val="none" w:sz="0" w:space="0" w:color="auto"/>
                        <w:right w:val="none" w:sz="0" w:space="0" w:color="auto"/>
                      </w:divBdr>
                    </w:div>
                  </w:divsChild>
                </w:div>
                <w:div w:id="2068256044">
                  <w:marLeft w:val="0"/>
                  <w:marRight w:val="0"/>
                  <w:marTop w:val="0"/>
                  <w:marBottom w:val="0"/>
                  <w:divBdr>
                    <w:top w:val="none" w:sz="0" w:space="0" w:color="auto"/>
                    <w:left w:val="none" w:sz="0" w:space="0" w:color="auto"/>
                    <w:bottom w:val="none" w:sz="0" w:space="0" w:color="auto"/>
                    <w:right w:val="none" w:sz="0" w:space="0" w:color="auto"/>
                  </w:divBdr>
                  <w:divsChild>
                    <w:div w:id="683940092">
                      <w:marLeft w:val="0"/>
                      <w:marRight w:val="0"/>
                      <w:marTop w:val="0"/>
                      <w:marBottom w:val="0"/>
                      <w:divBdr>
                        <w:top w:val="none" w:sz="0" w:space="0" w:color="auto"/>
                        <w:left w:val="none" w:sz="0" w:space="0" w:color="auto"/>
                        <w:bottom w:val="none" w:sz="0" w:space="0" w:color="auto"/>
                        <w:right w:val="none" w:sz="0" w:space="0" w:color="auto"/>
                      </w:divBdr>
                    </w:div>
                  </w:divsChild>
                </w:div>
                <w:div w:id="2074233177">
                  <w:marLeft w:val="0"/>
                  <w:marRight w:val="0"/>
                  <w:marTop w:val="0"/>
                  <w:marBottom w:val="0"/>
                  <w:divBdr>
                    <w:top w:val="none" w:sz="0" w:space="0" w:color="auto"/>
                    <w:left w:val="none" w:sz="0" w:space="0" w:color="auto"/>
                    <w:bottom w:val="none" w:sz="0" w:space="0" w:color="auto"/>
                    <w:right w:val="none" w:sz="0" w:space="0" w:color="auto"/>
                  </w:divBdr>
                  <w:divsChild>
                    <w:div w:id="942760059">
                      <w:marLeft w:val="0"/>
                      <w:marRight w:val="0"/>
                      <w:marTop w:val="0"/>
                      <w:marBottom w:val="0"/>
                      <w:divBdr>
                        <w:top w:val="none" w:sz="0" w:space="0" w:color="auto"/>
                        <w:left w:val="none" w:sz="0" w:space="0" w:color="auto"/>
                        <w:bottom w:val="none" w:sz="0" w:space="0" w:color="auto"/>
                        <w:right w:val="none" w:sz="0" w:space="0" w:color="auto"/>
                      </w:divBdr>
                    </w:div>
                  </w:divsChild>
                </w:div>
                <w:div w:id="2105177094">
                  <w:marLeft w:val="0"/>
                  <w:marRight w:val="0"/>
                  <w:marTop w:val="0"/>
                  <w:marBottom w:val="0"/>
                  <w:divBdr>
                    <w:top w:val="none" w:sz="0" w:space="0" w:color="auto"/>
                    <w:left w:val="none" w:sz="0" w:space="0" w:color="auto"/>
                    <w:bottom w:val="none" w:sz="0" w:space="0" w:color="auto"/>
                    <w:right w:val="none" w:sz="0" w:space="0" w:color="auto"/>
                  </w:divBdr>
                  <w:divsChild>
                    <w:div w:id="305667060">
                      <w:marLeft w:val="0"/>
                      <w:marRight w:val="0"/>
                      <w:marTop w:val="0"/>
                      <w:marBottom w:val="0"/>
                      <w:divBdr>
                        <w:top w:val="none" w:sz="0" w:space="0" w:color="auto"/>
                        <w:left w:val="none" w:sz="0" w:space="0" w:color="auto"/>
                        <w:bottom w:val="none" w:sz="0" w:space="0" w:color="auto"/>
                        <w:right w:val="none" w:sz="0" w:space="0" w:color="auto"/>
                      </w:divBdr>
                    </w:div>
                  </w:divsChild>
                </w:div>
                <w:div w:id="2140682398">
                  <w:marLeft w:val="0"/>
                  <w:marRight w:val="0"/>
                  <w:marTop w:val="0"/>
                  <w:marBottom w:val="0"/>
                  <w:divBdr>
                    <w:top w:val="none" w:sz="0" w:space="0" w:color="auto"/>
                    <w:left w:val="none" w:sz="0" w:space="0" w:color="auto"/>
                    <w:bottom w:val="none" w:sz="0" w:space="0" w:color="auto"/>
                    <w:right w:val="none" w:sz="0" w:space="0" w:color="auto"/>
                  </w:divBdr>
                  <w:divsChild>
                    <w:div w:id="78030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636934">
          <w:marLeft w:val="0"/>
          <w:marRight w:val="0"/>
          <w:marTop w:val="0"/>
          <w:marBottom w:val="0"/>
          <w:divBdr>
            <w:top w:val="none" w:sz="0" w:space="0" w:color="auto"/>
            <w:left w:val="none" w:sz="0" w:space="0" w:color="auto"/>
            <w:bottom w:val="none" w:sz="0" w:space="0" w:color="auto"/>
            <w:right w:val="none" w:sz="0" w:space="0" w:color="auto"/>
          </w:divBdr>
        </w:div>
        <w:div w:id="1944260706">
          <w:marLeft w:val="0"/>
          <w:marRight w:val="0"/>
          <w:marTop w:val="0"/>
          <w:marBottom w:val="0"/>
          <w:divBdr>
            <w:top w:val="none" w:sz="0" w:space="0" w:color="auto"/>
            <w:left w:val="none" w:sz="0" w:space="0" w:color="auto"/>
            <w:bottom w:val="none" w:sz="0" w:space="0" w:color="auto"/>
            <w:right w:val="none" w:sz="0" w:space="0" w:color="auto"/>
          </w:divBdr>
        </w:div>
        <w:div w:id="1947810165">
          <w:marLeft w:val="0"/>
          <w:marRight w:val="0"/>
          <w:marTop w:val="0"/>
          <w:marBottom w:val="0"/>
          <w:divBdr>
            <w:top w:val="none" w:sz="0" w:space="0" w:color="auto"/>
            <w:left w:val="none" w:sz="0" w:space="0" w:color="auto"/>
            <w:bottom w:val="none" w:sz="0" w:space="0" w:color="auto"/>
            <w:right w:val="none" w:sz="0" w:space="0" w:color="auto"/>
          </w:divBdr>
        </w:div>
        <w:div w:id="1960456148">
          <w:marLeft w:val="0"/>
          <w:marRight w:val="0"/>
          <w:marTop w:val="0"/>
          <w:marBottom w:val="0"/>
          <w:divBdr>
            <w:top w:val="none" w:sz="0" w:space="0" w:color="auto"/>
            <w:left w:val="none" w:sz="0" w:space="0" w:color="auto"/>
            <w:bottom w:val="none" w:sz="0" w:space="0" w:color="auto"/>
            <w:right w:val="none" w:sz="0" w:space="0" w:color="auto"/>
          </w:divBdr>
        </w:div>
        <w:div w:id="1961571488">
          <w:marLeft w:val="0"/>
          <w:marRight w:val="0"/>
          <w:marTop w:val="0"/>
          <w:marBottom w:val="0"/>
          <w:divBdr>
            <w:top w:val="none" w:sz="0" w:space="0" w:color="auto"/>
            <w:left w:val="none" w:sz="0" w:space="0" w:color="auto"/>
            <w:bottom w:val="none" w:sz="0" w:space="0" w:color="auto"/>
            <w:right w:val="none" w:sz="0" w:space="0" w:color="auto"/>
          </w:divBdr>
        </w:div>
        <w:div w:id="1961957346">
          <w:marLeft w:val="0"/>
          <w:marRight w:val="0"/>
          <w:marTop w:val="0"/>
          <w:marBottom w:val="0"/>
          <w:divBdr>
            <w:top w:val="none" w:sz="0" w:space="0" w:color="auto"/>
            <w:left w:val="none" w:sz="0" w:space="0" w:color="auto"/>
            <w:bottom w:val="none" w:sz="0" w:space="0" w:color="auto"/>
            <w:right w:val="none" w:sz="0" w:space="0" w:color="auto"/>
          </w:divBdr>
          <w:divsChild>
            <w:div w:id="321468666">
              <w:marLeft w:val="-75"/>
              <w:marRight w:val="0"/>
              <w:marTop w:val="30"/>
              <w:marBottom w:val="30"/>
              <w:divBdr>
                <w:top w:val="none" w:sz="0" w:space="0" w:color="auto"/>
                <w:left w:val="none" w:sz="0" w:space="0" w:color="auto"/>
                <w:bottom w:val="none" w:sz="0" w:space="0" w:color="auto"/>
                <w:right w:val="none" w:sz="0" w:space="0" w:color="auto"/>
              </w:divBdr>
              <w:divsChild>
                <w:div w:id="91248715">
                  <w:marLeft w:val="0"/>
                  <w:marRight w:val="0"/>
                  <w:marTop w:val="0"/>
                  <w:marBottom w:val="0"/>
                  <w:divBdr>
                    <w:top w:val="none" w:sz="0" w:space="0" w:color="auto"/>
                    <w:left w:val="none" w:sz="0" w:space="0" w:color="auto"/>
                    <w:bottom w:val="none" w:sz="0" w:space="0" w:color="auto"/>
                    <w:right w:val="none" w:sz="0" w:space="0" w:color="auto"/>
                  </w:divBdr>
                  <w:divsChild>
                    <w:div w:id="1826774483">
                      <w:marLeft w:val="0"/>
                      <w:marRight w:val="0"/>
                      <w:marTop w:val="0"/>
                      <w:marBottom w:val="0"/>
                      <w:divBdr>
                        <w:top w:val="none" w:sz="0" w:space="0" w:color="auto"/>
                        <w:left w:val="none" w:sz="0" w:space="0" w:color="auto"/>
                        <w:bottom w:val="none" w:sz="0" w:space="0" w:color="auto"/>
                        <w:right w:val="none" w:sz="0" w:space="0" w:color="auto"/>
                      </w:divBdr>
                    </w:div>
                  </w:divsChild>
                </w:div>
                <w:div w:id="249897019">
                  <w:marLeft w:val="0"/>
                  <w:marRight w:val="0"/>
                  <w:marTop w:val="0"/>
                  <w:marBottom w:val="0"/>
                  <w:divBdr>
                    <w:top w:val="none" w:sz="0" w:space="0" w:color="auto"/>
                    <w:left w:val="none" w:sz="0" w:space="0" w:color="auto"/>
                    <w:bottom w:val="none" w:sz="0" w:space="0" w:color="auto"/>
                    <w:right w:val="none" w:sz="0" w:space="0" w:color="auto"/>
                  </w:divBdr>
                  <w:divsChild>
                    <w:div w:id="1569460182">
                      <w:marLeft w:val="0"/>
                      <w:marRight w:val="0"/>
                      <w:marTop w:val="0"/>
                      <w:marBottom w:val="0"/>
                      <w:divBdr>
                        <w:top w:val="none" w:sz="0" w:space="0" w:color="auto"/>
                        <w:left w:val="none" w:sz="0" w:space="0" w:color="auto"/>
                        <w:bottom w:val="none" w:sz="0" w:space="0" w:color="auto"/>
                        <w:right w:val="none" w:sz="0" w:space="0" w:color="auto"/>
                      </w:divBdr>
                    </w:div>
                  </w:divsChild>
                </w:div>
                <w:div w:id="322049977">
                  <w:marLeft w:val="0"/>
                  <w:marRight w:val="0"/>
                  <w:marTop w:val="0"/>
                  <w:marBottom w:val="0"/>
                  <w:divBdr>
                    <w:top w:val="none" w:sz="0" w:space="0" w:color="auto"/>
                    <w:left w:val="none" w:sz="0" w:space="0" w:color="auto"/>
                    <w:bottom w:val="none" w:sz="0" w:space="0" w:color="auto"/>
                    <w:right w:val="none" w:sz="0" w:space="0" w:color="auto"/>
                  </w:divBdr>
                  <w:divsChild>
                    <w:div w:id="1449156361">
                      <w:marLeft w:val="0"/>
                      <w:marRight w:val="0"/>
                      <w:marTop w:val="0"/>
                      <w:marBottom w:val="0"/>
                      <w:divBdr>
                        <w:top w:val="none" w:sz="0" w:space="0" w:color="auto"/>
                        <w:left w:val="none" w:sz="0" w:space="0" w:color="auto"/>
                        <w:bottom w:val="none" w:sz="0" w:space="0" w:color="auto"/>
                        <w:right w:val="none" w:sz="0" w:space="0" w:color="auto"/>
                      </w:divBdr>
                    </w:div>
                  </w:divsChild>
                </w:div>
                <w:div w:id="463088319">
                  <w:marLeft w:val="0"/>
                  <w:marRight w:val="0"/>
                  <w:marTop w:val="0"/>
                  <w:marBottom w:val="0"/>
                  <w:divBdr>
                    <w:top w:val="none" w:sz="0" w:space="0" w:color="auto"/>
                    <w:left w:val="none" w:sz="0" w:space="0" w:color="auto"/>
                    <w:bottom w:val="none" w:sz="0" w:space="0" w:color="auto"/>
                    <w:right w:val="none" w:sz="0" w:space="0" w:color="auto"/>
                  </w:divBdr>
                  <w:divsChild>
                    <w:div w:id="36200512">
                      <w:marLeft w:val="0"/>
                      <w:marRight w:val="0"/>
                      <w:marTop w:val="0"/>
                      <w:marBottom w:val="0"/>
                      <w:divBdr>
                        <w:top w:val="none" w:sz="0" w:space="0" w:color="auto"/>
                        <w:left w:val="none" w:sz="0" w:space="0" w:color="auto"/>
                        <w:bottom w:val="none" w:sz="0" w:space="0" w:color="auto"/>
                        <w:right w:val="none" w:sz="0" w:space="0" w:color="auto"/>
                      </w:divBdr>
                    </w:div>
                  </w:divsChild>
                </w:div>
                <w:div w:id="478770087">
                  <w:marLeft w:val="0"/>
                  <w:marRight w:val="0"/>
                  <w:marTop w:val="0"/>
                  <w:marBottom w:val="0"/>
                  <w:divBdr>
                    <w:top w:val="none" w:sz="0" w:space="0" w:color="auto"/>
                    <w:left w:val="none" w:sz="0" w:space="0" w:color="auto"/>
                    <w:bottom w:val="none" w:sz="0" w:space="0" w:color="auto"/>
                    <w:right w:val="none" w:sz="0" w:space="0" w:color="auto"/>
                  </w:divBdr>
                  <w:divsChild>
                    <w:div w:id="244995532">
                      <w:marLeft w:val="0"/>
                      <w:marRight w:val="0"/>
                      <w:marTop w:val="0"/>
                      <w:marBottom w:val="0"/>
                      <w:divBdr>
                        <w:top w:val="none" w:sz="0" w:space="0" w:color="auto"/>
                        <w:left w:val="none" w:sz="0" w:space="0" w:color="auto"/>
                        <w:bottom w:val="none" w:sz="0" w:space="0" w:color="auto"/>
                        <w:right w:val="none" w:sz="0" w:space="0" w:color="auto"/>
                      </w:divBdr>
                    </w:div>
                  </w:divsChild>
                </w:div>
                <w:div w:id="547957208">
                  <w:marLeft w:val="0"/>
                  <w:marRight w:val="0"/>
                  <w:marTop w:val="0"/>
                  <w:marBottom w:val="0"/>
                  <w:divBdr>
                    <w:top w:val="none" w:sz="0" w:space="0" w:color="auto"/>
                    <w:left w:val="none" w:sz="0" w:space="0" w:color="auto"/>
                    <w:bottom w:val="none" w:sz="0" w:space="0" w:color="auto"/>
                    <w:right w:val="none" w:sz="0" w:space="0" w:color="auto"/>
                  </w:divBdr>
                  <w:divsChild>
                    <w:div w:id="1064912595">
                      <w:marLeft w:val="0"/>
                      <w:marRight w:val="0"/>
                      <w:marTop w:val="0"/>
                      <w:marBottom w:val="0"/>
                      <w:divBdr>
                        <w:top w:val="none" w:sz="0" w:space="0" w:color="auto"/>
                        <w:left w:val="none" w:sz="0" w:space="0" w:color="auto"/>
                        <w:bottom w:val="none" w:sz="0" w:space="0" w:color="auto"/>
                        <w:right w:val="none" w:sz="0" w:space="0" w:color="auto"/>
                      </w:divBdr>
                    </w:div>
                  </w:divsChild>
                </w:div>
                <w:div w:id="565534610">
                  <w:marLeft w:val="0"/>
                  <w:marRight w:val="0"/>
                  <w:marTop w:val="0"/>
                  <w:marBottom w:val="0"/>
                  <w:divBdr>
                    <w:top w:val="none" w:sz="0" w:space="0" w:color="auto"/>
                    <w:left w:val="none" w:sz="0" w:space="0" w:color="auto"/>
                    <w:bottom w:val="none" w:sz="0" w:space="0" w:color="auto"/>
                    <w:right w:val="none" w:sz="0" w:space="0" w:color="auto"/>
                  </w:divBdr>
                  <w:divsChild>
                    <w:div w:id="1311641508">
                      <w:marLeft w:val="0"/>
                      <w:marRight w:val="0"/>
                      <w:marTop w:val="0"/>
                      <w:marBottom w:val="0"/>
                      <w:divBdr>
                        <w:top w:val="none" w:sz="0" w:space="0" w:color="auto"/>
                        <w:left w:val="none" w:sz="0" w:space="0" w:color="auto"/>
                        <w:bottom w:val="none" w:sz="0" w:space="0" w:color="auto"/>
                        <w:right w:val="none" w:sz="0" w:space="0" w:color="auto"/>
                      </w:divBdr>
                    </w:div>
                  </w:divsChild>
                </w:div>
                <w:div w:id="607199907">
                  <w:marLeft w:val="0"/>
                  <w:marRight w:val="0"/>
                  <w:marTop w:val="0"/>
                  <w:marBottom w:val="0"/>
                  <w:divBdr>
                    <w:top w:val="none" w:sz="0" w:space="0" w:color="auto"/>
                    <w:left w:val="none" w:sz="0" w:space="0" w:color="auto"/>
                    <w:bottom w:val="none" w:sz="0" w:space="0" w:color="auto"/>
                    <w:right w:val="none" w:sz="0" w:space="0" w:color="auto"/>
                  </w:divBdr>
                  <w:divsChild>
                    <w:div w:id="778451753">
                      <w:marLeft w:val="0"/>
                      <w:marRight w:val="0"/>
                      <w:marTop w:val="0"/>
                      <w:marBottom w:val="0"/>
                      <w:divBdr>
                        <w:top w:val="none" w:sz="0" w:space="0" w:color="auto"/>
                        <w:left w:val="none" w:sz="0" w:space="0" w:color="auto"/>
                        <w:bottom w:val="none" w:sz="0" w:space="0" w:color="auto"/>
                        <w:right w:val="none" w:sz="0" w:space="0" w:color="auto"/>
                      </w:divBdr>
                    </w:div>
                  </w:divsChild>
                </w:div>
                <w:div w:id="656802838">
                  <w:marLeft w:val="0"/>
                  <w:marRight w:val="0"/>
                  <w:marTop w:val="0"/>
                  <w:marBottom w:val="0"/>
                  <w:divBdr>
                    <w:top w:val="none" w:sz="0" w:space="0" w:color="auto"/>
                    <w:left w:val="none" w:sz="0" w:space="0" w:color="auto"/>
                    <w:bottom w:val="none" w:sz="0" w:space="0" w:color="auto"/>
                    <w:right w:val="none" w:sz="0" w:space="0" w:color="auto"/>
                  </w:divBdr>
                  <w:divsChild>
                    <w:div w:id="1425223180">
                      <w:marLeft w:val="0"/>
                      <w:marRight w:val="0"/>
                      <w:marTop w:val="0"/>
                      <w:marBottom w:val="0"/>
                      <w:divBdr>
                        <w:top w:val="none" w:sz="0" w:space="0" w:color="auto"/>
                        <w:left w:val="none" w:sz="0" w:space="0" w:color="auto"/>
                        <w:bottom w:val="none" w:sz="0" w:space="0" w:color="auto"/>
                        <w:right w:val="none" w:sz="0" w:space="0" w:color="auto"/>
                      </w:divBdr>
                    </w:div>
                  </w:divsChild>
                </w:div>
                <w:div w:id="843007538">
                  <w:marLeft w:val="0"/>
                  <w:marRight w:val="0"/>
                  <w:marTop w:val="0"/>
                  <w:marBottom w:val="0"/>
                  <w:divBdr>
                    <w:top w:val="none" w:sz="0" w:space="0" w:color="auto"/>
                    <w:left w:val="none" w:sz="0" w:space="0" w:color="auto"/>
                    <w:bottom w:val="none" w:sz="0" w:space="0" w:color="auto"/>
                    <w:right w:val="none" w:sz="0" w:space="0" w:color="auto"/>
                  </w:divBdr>
                  <w:divsChild>
                    <w:div w:id="1141342111">
                      <w:marLeft w:val="0"/>
                      <w:marRight w:val="0"/>
                      <w:marTop w:val="0"/>
                      <w:marBottom w:val="0"/>
                      <w:divBdr>
                        <w:top w:val="none" w:sz="0" w:space="0" w:color="auto"/>
                        <w:left w:val="none" w:sz="0" w:space="0" w:color="auto"/>
                        <w:bottom w:val="none" w:sz="0" w:space="0" w:color="auto"/>
                        <w:right w:val="none" w:sz="0" w:space="0" w:color="auto"/>
                      </w:divBdr>
                    </w:div>
                  </w:divsChild>
                </w:div>
                <w:div w:id="873074587">
                  <w:marLeft w:val="0"/>
                  <w:marRight w:val="0"/>
                  <w:marTop w:val="0"/>
                  <w:marBottom w:val="0"/>
                  <w:divBdr>
                    <w:top w:val="none" w:sz="0" w:space="0" w:color="auto"/>
                    <w:left w:val="none" w:sz="0" w:space="0" w:color="auto"/>
                    <w:bottom w:val="none" w:sz="0" w:space="0" w:color="auto"/>
                    <w:right w:val="none" w:sz="0" w:space="0" w:color="auto"/>
                  </w:divBdr>
                  <w:divsChild>
                    <w:div w:id="1372800490">
                      <w:marLeft w:val="0"/>
                      <w:marRight w:val="0"/>
                      <w:marTop w:val="0"/>
                      <w:marBottom w:val="0"/>
                      <w:divBdr>
                        <w:top w:val="none" w:sz="0" w:space="0" w:color="auto"/>
                        <w:left w:val="none" w:sz="0" w:space="0" w:color="auto"/>
                        <w:bottom w:val="none" w:sz="0" w:space="0" w:color="auto"/>
                        <w:right w:val="none" w:sz="0" w:space="0" w:color="auto"/>
                      </w:divBdr>
                    </w:div>
                  </w:divsChild>
                </w:div>
                <w:div w:id="971599969">
                  <w:marLeft w:val="0"/>
                  <w:marRight w:val="0"/>
                  <w:marTop w:val="0"/>
                  <w:marBottom w:val="0"/>
                  <w:divBdr>
                    <w:top w:val="none" w:sz="0" w:space="0" w:color="auto"/>
                    <w:left w:val="none" w:sz="0" w:space="0" w:color="auto"/>
                    <w:bottom w:val="none" w:sz="0" w:space="0" w:color="auto"/>
                    <w:right w:val="none" w:sz="0" w:space="0" w:color="auto"/>
                  </w:divBdr>
                  <w:divsChild>
                    <w:div w:id="260722431">
                      <w:marLeft w:val="0"/>
                      <w:marRight w:val="0"/>
                      <w:marTop w:val="0"/>
                      <w:marBottom w:val="0"/>
                      <w:divBdr>
                        <w:top w:val="none" w:sz="0" w:space="0" w:color="auto"/>
                        <w:left w:val="none" w:sz="0" w:space="0" w:color="auto"/>
                        <w:bottom w:val="none" w:sz="0" w:space="0" w:color="auto"/>
                        <w:right w:val="none" w:sz="0" w:space="0" w:color="auto"/>
                      </w:divBdr>
                    </w:div>
                  </w:divsChild>
                </w:div>
                <w:div w:id="1075321959">
                  <w:marLeft w:val="0"/>
                  <w:marRight w:val="0"/>
                  <w:marTop w:val="0"/>
                  <w:marBottom w:val="0"/>
                  <w:divBdr>
                    <w:top w:val="none" w:sz="0" w:space="0" w:color="auto"/>
                    <w:left w:val="none" w:sz="0" w:space="0" w:color="auto"/>
                    <w:bottom w:val="none" w:sz="0" w:space="0" w:color="auto"/>
                    <w:right w:val="none" w:sz="0" w:space="0" w:color="auto"/>
                  </w:divBdr>
                  <w:divsChild>
                    <w:div w:id="2025788639">
                      <w:marLeft w:val="0"/>
                      <w:marRight w:val="0"/>
                      <w:marTop w:val="0"/>
                      <w:marBottom w:val="0"/>
                      <w:divBdr>
                        <w:top w:val="none" w:sz="0" w:space="0" w:color="auto"/>
                        <w:left w:val="none" w:sz="0" w:space="0" w:color="auto"/>
                        <w:bottom w:val="none" w:sz="0" w:space="0" w:color="auto"/>
                        <w:right w:val="none" w:sz="0" w:space="0" w:color="auto"/>
                      </w:divBdr>
                    </w:div>
                  </w:divsChild>
                </w:div>
                <w:div w:id="1288899254">
                  <w:marLeft w:val="0"/>
                  <w:marRight w:val="0"/>
                  <w:marTop w:val="0"/>
                  <w:marBottom w:val="0"/>
                  <w:divBdr>
                    <w:top w:val="none" w:sz="0" w:space="0" w:color="auto"/>
                    <w:left w:val="none" w:sz="0" w:space="0" w:color="auto"/>
                    <w:bottom w:val="none" w:sz="0" w:space="0" w:color="auto"/>
                    <w:right w:val="none" w:sz="0" w:space="0" w:color="auto"/>
                  </w:divBdr>
                  <w:divsChild>
                    <w:div w:id="929775906">
                      <w:marLeft w:val="0"/>
                      <w:marRight w:val="0"/>
                      <w:marTop w:val="0"/>
                      <w:marBottom w:val="0"/>
                      <w:divBdr>
                        <w:top w:val="none" w:sz="0" w:space="0" w:color="auto"/>
                        <w:left w:val="none" w:sz="0" w:space="0" w:color="auto"/>
                        <w:bottom w:val="none" w:sz="0" w:space="0" w:color="auto"/>
                        <w:right w:val="none" w:sz="0" w:space="0" w:color="auto"/>
                      </w:divBdr>
                    </w:div>
                  </w:divsChild>
                </w:div>
                <w:div w:id="1303463189">
                  <w:marLeft w:val="0"/>
                  <w:marRight w:val="0"/>
                  <w:marTop w:val="0"/>
                  <w:marBottom w:val="0"/>
                  <w:divBdr>
                    <w:top w:val="none" w:sz="0" w:space="0" w:color="auto"/>
                    <w:left w:val="none" w:sz="0" w:space="0" w:color="auto"/>
                    <w:bottom w:val="none" w:sz="0" w:space="0" w:color="auto"/>
                    <w:right w:val="none" w:sz="0" w:space="0" w:color="auto"/>
                  </w:divBdr>
                  <w:divsChild>
                    <w:div w:id="843781193">
                      <w:marLeft w:val="0"/>
                      <w:marRight w:val="0"/>
                      <w:marTop w:val="0"/>
                      <w:marBottom w:val="0"/>
                      <w:divBdr>
                        <w:top w:val="none" w:sz="0" w:space="0" w:color="auto"/>
                        <w:left w:val="none" w:sz="0" w:space="0" w:color="auto"/>
                        <w:bottom w:val="none" w:sz="0" w:space="0" w:color="auto"/>
                        <w:right w:val="none" w:sz="0" w:space="0" w:color="auto"/>
                      </w:divBdr>
                    </w:div>
                  </w:divsChild>
                </w:div>
                <w:div w:id="1543637284">
                  <w:marLeft w:val="0"/>
                  <w:marRight w:val="0"/>
                  <w:marTop w:val="0"/>
                  <w:marBottom w:val="0"/>
                  <w:divBdr>
                    <w:top w:val="none" w:sz="0" w:space="0" w:color="auto"/>
                    <w:left w:val="none" w:sz="0" w:space="0" w:color="auto"/>
                    <w:bottom w:val="none" w:sz="0" w:space="0" w:color="auto"/>
                    <w:right w:val="none" w:sz="0" w:space="0" w:color="auto"/>
                  </w:divBdr>
                  <w:divsChild>
                    <w:div w:id="338697414">
                      <w:marLeft w:val="0"/>
                      <w:marRight w:val="0"/>
                      <w:marTop w:val="0"/>
                      <w:marBottom w:val="0"/>
                      <w:divBdr>
                        <w:top w:val="none" w:sz="0" w:space="0" w:color="auto"/>
                        <w:left w:val="none" w:sz="0" w:space="0" w:color="auto"/>
                        <w:bottom w:val="none" w:sz="0" w:space="0" w:color="auto"/>
                        <w:right w:val="none" w:sz="0" w:space="0" w:color="auto"/>
                      </w:divBdr>
                    </w:div>
                  </w:divsChild>
                </w:div>
                <w:div w:id="1673801243">
                  <w:marLeft w:val="0"/>
                  <w:marRight w:val="0"/>
                  <w:marTop w:val="0"/>
                  <w:marBottom w:val="0"/>
                  <w:divBdr>
                    <w:top w:val="none" w:sz="0" w:space="0" w:color="auto"/>
                    <w:left w:val="none" w:sz="0" w:space="0" w:color="auto"/>
                    <w:bottom w:val="none" w:sz="0" w:space="0" w:color="auto"/>
                    <w:right w:val="none" w:sz="0" w:space="0" w:color="auto"/>
                  </w:divBdr>
                  <w:divsChild>
                    <w:div w:id="1229002993">
                      <w:marLeft w:val="0"/>
                      <w:marRight w:val="0"/>
                      <w:marTop w:val="0"/>
                      <w:marBottom w:val="0"/>
                      <w:divBdr>
                        <w:top w:val="none" w:sz="0" w:space="0" w:color="auto"/>
                        <w:left w:val="none" w:sz="0" w:space="0" w:color="auto"/>
                        <w:bottom w:val="none" w:sz="0" w:space="0" w:color="auto"/>
                        <w:right w:val="none" w:sz="0" w:space="0" w:color="auto"/>
                      </w:divBdr>
                    </w:div>
                  </w:divsChild>
                </w:div>
                <w:div w:id="1774518634">
                  <w:marLeft w:val="0"/>
                  <w:marRight w:val="0"/>
                  <w:marTop w:val="0"/>
                  <w:marBottom w:val="0"/>
                  <w:divBdr>
                    <w:top w:val="none" w:sz="0" w:space="0" w:color="auto"/>
                    <w:left w:val="none" w:sz="0" w:space="0" w:color="auto"/>
                    <w:bottom w:val="none" w:sz="0" w:space="0" w:color="auto"/>
                    <w:right w:val="none" w:sz="0" w:space="0" w:color="auto"/>
                  </w:divBdr>
                  <w:divsChild>
                    <w:div w:id="1711304154">
                      <w:marLeft w:val="0"/>
                      <w:marRight w:val="0"/>
                      <w:marTop w:val="0"/>
                      <w:marBottom w:val="0"/>
                      <w:divBdr>
                        <w:top w:val="none" w:sz="0" w:space="0" w:color="auto"/>
                        <w:left w:val="none" w:sz="0" w:space="0" w:color="auto"/>
                        <w:bottom w:val="none" w:sz="0" w:space="0" w:color="auto"/>
                        <w:right w:val="none" w:sz="0" w:space="0" w:color="auto"/>
                      </w:divBdr>
                    </w:div>
                  </w:divsChild>
                </w:div>
                <w:div w:id="2050106370">
                  <w:marLeft w:val="0"/>
                  <w:marRight w:val="0"/>
                  <w:marTop w:val="0"/>
                  <w:marBottom w:val="0"/>
                  <w:divBdr>
                    <w:top w:val="none" w:sz="0" w:space="0" w:color="auto"/>
                    <w:left w:val="none" w:sz="0" w:space="0" w:color="auto"/>
                    <w:bottom w:val="none" w:sz="0" w:space="0" w:color="auto"/>
                    <w:right w:val="none" w:sz="0" w:space="0" w:color="auto"/>
                  </w:divBdr>
                  <w:divsChild>
                    <w:div w:id="783615460">
                      <w:marLeft w:val="0"/>
                      <w:marRight w:val="0"/>
                      <w:marTop w:val="0"/>
                      <w:marBottom w:val="0"/>
                      <w:divBdr>
                        <w:top w:val="none" w:sz="0" w:space="0" w:color="auto"/>
                        <w:left w:val="none" w:sz="0" w:space="0" w:color="auto"/>
                        <w:bottom w:val="none" w:sz="0" w:space="0" w:color="auto"/>
                        <w:right w:val="none" w:sz="0" w:space="0" w:color="auto"/>
                      </w:divBdr>
                    </w:div>
                  </w:divsChild>
                </w:div>
                <w:div w:id="2116437012">
                  <w:marLeft w:val="0"/>
                  <w:marRight w:val="0"/>
                  <w:marTop w:val="0"/>
                  <w:marBottom w:val="0"/>
                  <w:divBdr>
                    <w:top w:val="none" w:sz="0" w:space="0" w:color="auto"/>
                    <w:left w:val="none" w:sz="0" w:space="0" w:color="auto"/>
                    <w:bottom w:val="none" w:sz="0" w:space="0" w:color="auto"/>
                    <w:right w:val="none" w:sz="0" w:space="0" w:color="auto"/>
                  </w:divBdr>
                  <w:divsChild>
                    <w:div w:id="15551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27806">
          <w:marLeft w:val="0"/>
          <w:marRight w:val="0"/>
          <w:marTop w:val="0"/>
          <w:marBottom w:val="0"/>
          <w:divBdr>
            <w:top w:val="none" w:sz="0" w:space="0" w:color="auto"/>
            <w:left w:val="none" w:sz="0" w:space="0" w:color="auto"/>
            <w:bottom w:val="none" w:sz="0" w:space="0" w:color="auto"/>
            <w:right w:val="none" w:sz="0" w:space="0" w:color="auto"/>
          </w:divBdr>
        </w:div>
        <w:div w:id="1962566301">
          <w:marLeft w:val="0"/>
          <w:marRight w:val="0"/>
          <w:marTop w:val="0"/>
          <w:marBottom w:val="0"/>
          <w:divBdr>
            <w:top w:val="none" w:sz="0" w:space="0" w:color="auto"/>
            <w:left w:val="none" w:sz="0" w:space="0" w:color="auto"/>
            <w:bottom w:val="none" w:sz="0" w:space="0" w:color="auto"/>
            <w:right w:val="none" w:sz="0" w:space="0" w:color="auto"/>
          </w:divBdr>
        </w:div>
        <w:div w:id="1962607698">
          <w:marLeft w:val="0"/>
          <w:marRight w:val="0"/>
          <w:marTop w:val="0"/>
          <w:marBottom w:val="0"/>
          <w:divBdr>
            <w:top w:val="none" w:sz="0" w:space="0" w:color="auto"/>
            <w:left w:val="none" w:sz="0" w:space="0" w:color="auto"/>
            <w:bottom w:val="none" w:sz="0" w:space="0" w:color="auto"/>
            <w:right w:val="none" w:sz="0" w:space="0" w:color="auto"/>
          </w:divBdr>
        </w:div>
        <w:div w:id="1968855914">
          <w:marLeft w:val="0"/>
          <w:marRight w:val="0"/>
          <w:marTop w:val="0"/>
          <w:marBottom w:val="0"/>
          <w:divBdr>
            <w:top w:val="none" w:sz="0" w:space="0" w:color="auto"/>
            <w:left w:val="none" w:sz="0" w:space="0" w:color="auto"/>
            <w:bottom w:val="none" w:sz="0" w:space="0" w:color="auto"/>
            <w:right w:val="none" w:sz="0" w:space="0" w:color="auto"/>
          </w:divBdr>
        </w:div>
        <w:div w:id="1973632528">
          <w:marLeft w:val="0"/>
          <w:marRight w:val="0"/>
          <w:marTop w:val="0"/>
          <w:marBottom w:val="0"/>
          <w:divBdr>
            <w:top w:val="none" w:sz="0" w:space="0" w:color="auto"/>
            <w:left w:val="none" w:sz="0" w:space="0" w:color="auto"/>
            <w:bottom w:val="none" w:sz="0" w:space="0" w:color="auto"/>
            <w:right w:val="none" w:sz="0" w:space="0" w:color="auto"/>
          </w:divBdr>
        </w:div>
        <w:div w:id="1975210389">
          <w:marLeft w:val="0"/>
          <w:marRight w:val="0"/>
          <w:marTop w:val="0"/>
          <w:marBottom w:val="0"/>
          <w:divBdr>
            <w:top w:val="none" w:sz="0" w:space="0" w:color="auto"/>
            <w:left w:val="none" w:sz="0" w:space="0" w:color="auto"/>
            <w:bottom w:val="none" w:sz="0" w:space="0" w:color="auto"/>
            <w:right w:val="none" w:sz="0" w:space="0" w:color="auto"/>
          </w:divBdr>
        </w:div>
        <w:div w:id="1984043375">
          <w:marLeft w:val="0"/>
          <w:marRight w:val="0"/>
          <w:marTop w:val="0"/>
          <w:marBottom w:val="0"/>
          <w:divBdr>
            <w:top w:val="none" w:sz="0" w:space="0" w:color="auto"/>
            <w:left w:val="none" w:sz="0" w:space="0" w:color="auto"/>
            <w:bottom w:val="none" w:sz="0" w:space="0" w:color="auto"/>
            <w:right w:val="none" w:sz="0" w:space="0" w:color="auto"/>
          </w:divBdr>
          <w:divsChild>
            <w:div w:id="898981791">
              <w:marLeft w:val="-75"/>
              <w:marRight w:val="0"/>
              <w:marTop w:val="30"/>
              <w:marBottom w:val="30"/>
              <w:divBdr>
                <w:top w:val="none" w:sz="0" w:space="0" w:color="auto"/>
                <w:left w:val="none" w:sz="0" w:space="0" w:color="auto"/>
                <w:bottom w:val="none" w:sz="0" w:space="0" w:color="auto"/>
                <w:right w:val="none" w:sz="0" w:space="0" w:color="auto"/>
              </w:divBdr>
              <w:divsChild>
                <w:div w:id="21369089">
                  <w:marLeft w:val="0"/>
                  <w:marRight w:val="0"/>
                  <w:marTop w:val="0"/>
                  <w:marBottom w:val="0"/>
                  <w:divBdr>
                    <w:top w:val="none" w:sz="0" w:space="0" w:color="auto"/>
                    <w:left w:val="none" w:sz="0" w:space="0" w:color="auto"/>
                    <w:bottom w:val="none" w:sz="0" w:space="0" w:color="auto"/>
                    <w:right w:val="none" w:sz="0" w:space="0" w:color="auto"/>
                  </w:divBdr>
                  <w:divsChild>
                    <w:div w:id="1229069207">
                      <w:marLeft w:val="0"/>
                      <w:marRight w:val="0"/>
                      <w:marTop w:val="0"/>
                      <w:marBottom w:val="0"/>
                      <w:divBdr>
                        <w:top w:val="none" w:sz="0" w:space="0" w:color="auto"/>
                        <w:left w:val="none" w:sz="0" w:space="0" w:color="auto"/>
                        <w:bottom w:val="none" w:sz="0" w:space="0" w:color="auto"/>
                        <w:right w:val="none" w:sz="0" w:space="0" w:color="auto"/>
                      </w:divBdr>
                    </w:div>
                  </w:divsChild>
                </w:div>
                <w:div w:id="119223563">
                  <w:marLeft w:val="0"/>
                  <w:marRight w:val="0"/>
                  <w:marTop w:val="0"/>
                  <w:marBottom w:val="0"/>
                  <w:divBdr>
                    <w:top w:val="none" w:sz="0" w:space="0" w:color="auto"/>
                    <w:left w:val="none" w:sz="0" w:space="0" w:color="auto"/>
                    <w:bottom w:val="none" w:sz="0" w:space="0" w:color="auto"/>
                    <w:right w:val="none" w:sz="0" w:space="0" w:color="auto"/>
                  </w:divBdr>
                  <w:divsChild>
                    <w:div w:id="1191382007">
                      <w:marLeft w:val="0"/>
                      <w:marRight w:val="0"/>
                      <w:marTop w:val="0"/>
                      <w:marBottom w:val="0"/>
                      <w:divBdr>
                        <w:top w:val="none" w:sz="0" w:space="0" w:color="auto"/>
                        <w:left w:val="none" w:sz="0" w:space="0" w:color="auto"/>
                        <w:bottom w:val="none" w:sz="0" w:space="0" w:color="auto"/>
                        <w:right w:val="none" w:sz="0" w:space="0" w:color="auto"/>
                      </w:divBdr>
                    </w:div>
                  </w:divsChild>
                </w:div>
                <w:div w:id="161244481">
                  <w:marLeft w:val="0"/>
                  <w:marRight w:val="0"/>
                  <w:marTop w:val="0"/>
                  <w:marBottom w:val="0"/>
                  <w:divBdr>
                    <w:top w:val="none" w:sz="0" w:space="0" w:color="auto"/>
                    <w:left w:val="none" w:sz="0" w:space="0" w:color="auto"/>
                    <w:bottom w:val="none" w:sz="0" w:space="0" w:color="auto"/>
                    <w:right w:val="none" w:sz="0" w:space="0" w:color="auto"/>
                  </w:divBdr>
                  <w:divsChild>
                    <w:div w:id="146091725">
                      <w:marLeft w:val="0"/>
                      <w:marRight w:val="0"/>
                      <w:marTop w:val="0"/>
                      <w:marBottom w:val="0"/>
                      <w:divBdr>
                        <w:top w:val="none" w:sz="0" w:space="0" w:color="auto"/>
                        <w:left w:val="none" w:sz="0" w:space="0" w:color="auto"/>
                        <w:bottom w:val="none" w:sz="0" w:space="0" w:color="auto"/>
                        <w:right w:val="none" w:sz="0" w:space="0" w:color="auto"/>
                      </w:divBdr>
                    </w:div>
                  </w:divsChild>
                </w:div>
                <w:div w:id="276838969">
                  <w:marLeft w:val="0"/>
                  <w:marRight w:val="0"/>
                  <w:marTop w:val="0"/>
                  <w:marBottom w:val="0"/>
                  <w:divBdr>
                    <w:top w:val="none" w:sz="0" w:space="0" w:color="auto"/>
                    <w:left w:val="none" w:sz="0" w:space="0" w:color="auto"/>
                    <w:bottom w:val="none" w:sz="0" w:space="0" w:color="auto"/>
                    <w:right w:val="none" w:sz="0" w:space="0" w:color="auto"/>
                  </w:divBdr>
                  <w:divsChild>
                    <w:div w:id="1683970975">
                      <w:marLeft w:val="0"/>
                      <w:marRight w:val="0"/>
                      <w:marTop w:val="0"/>
                      <w:marBottom w:val="0"/>
                      <w:divBdr>
                        <w:top w:val="none" w:sz="0" w:space="0" w:color="auto"/>
                        <w:left w:val="none" w:sz="0" w:space="0" w:color="auto"/>
                        <w:bottom w:val="none" w:sz="0" w:space="0" w:color="auto"/>
                        <w:right w:val="none" w:sz="0" w:space="0" w:color="auto"/>
                      </w:divBdr>
                    </w:div>
                  </w:divsChild>
                </w:div>
                <w:div w:id="493685368">
                  <w:marLeft w:val="0"/>
                  <w:marRight w:val="0"/>
                  <w:marTop w:val="0"/>
                  <w:marBottom w:val="0"/>
                  <w:divBdr>
                    <w:top w:val="none" w:sz="0" w:space="0" w:color="auto"/>
                    <w:left w:val="none" w:sz="0" w:space="0" w:color="auto"/>
                    <w:bottom w:val="none" w:sz="0" w:space="0" w:color="auto"/>
                    <w:right w:val="none" w:sz="0" w:space="0" w:color="auto"/>
                  </w:divBdr>
                  <w:divsChild>
                    <w:div w:id="776799313">
                      <w:marLeft w:val="0"/>
                      <w:marRight w:val="0"/>
                      <w:marTop w:val="0"/>
                      <w:marBottom w:val="0"/>
                      <w:divBdr>
                        <w:top w:val="none" w:sz="0" w:space="0" w:color="auto"/>
                        <w:left w:val="none" w:sz="0" w:space="0" w:color="auto"/>
                        <w:bottom w:val="none" w:sz="0" w:space="0" w:color="auto"/>
                        <w:right w:val="none" w:sz="0" w:space="0" w:color="auto"/>
                      </w:divBdr>
                    </w:div>
                  </w:divsChild>
                </w:div>
                <w:div w:id="556211044">
                  <w:marLeft w:val="0"/>
                  <w:marRight w:val="0"/>
                  <w:marTop w:val="0"/>
                  <w:marBottom w:val="0"/>
                  <w:divBdr>
                    <w:top w:val="none" w:sz="0" w:space="0" w:color="auto"/>
                    <w:left w:val="none" w:sz="0" w:space="0" w:color="auto"/>
                    <w:bottom w:val="none" w:sz="0" w:space="0" w:color="auto"/>
                    <w:right w:val="none" w:sz="0" w:space="0" w:color="auto"/>
                  </w:divBdr>
                  <w:divsChild>
                    <w:div w:id="1645816562">
                      <w:marLeft w:val="0"/>
                      <w:marRight w:val="0"/>
                      <w:marTop w:val="0"/>
                      <w:marBottom w:val="0"/>
                      <w:divBdr>
                        <w:top w:val="none" w:sz="0" w:space="0" w:color="auto"/>
                        <w:left w:val="none" w:sz="0" w:space="0" w:color="auto"/>
                        <w:bottom w:val="none" w:sz="0" w:space="0" w:color="auto"/>
                        <w:right w:val="none" w:sz="0" w:space="0" w:color="auto"/>
                      </w:divBdr>
                    </w:div>
                  </w:divsChild>
                </w:div>
                <w:div w:id="615258820">
                  <w:marLeft w:val="0"/>
                  <w:marRight w:val="0"/>
                  <w:marTop w:val="0"/>
                  <w:marBottom w:val="0"/>
                  <w:divBdr>
                    <w:top w:val="none" w:sz="0" w:space="0" w:color="auto"/>
                    <w:left w:val="none" w:sz="0" w:space="0" w:color="auto"/>
                    <w:bottom w:val="none" w:sz="0" w:space="0" w:color="auto"/>
                    <w:right w:val="none" w:sz="0" w:space="0" w:color="auto"/>
                  </w:divBdr>
                  <w:divsChild>
                    <w:div w:id="6182265">
                      <w:marLeft w:val="0"/>
                      <w:marRight w:val="0"/>
                      <w:marTop w:val="0"/>
                      <w:marBottom w:val="0"/>
                      <w:divBdr>
                        <w:top w:val="none" w:sz="0" w:space="0" w:color="auto"/>
                        <w:left w:val="none" w:sz="0" w:space="0" w:color="auto"/>
                        <w:bottom w:val="none" w:sz="0" w:space="0" w:color="auto"/>
                        <w:right w:val="none" w:sz="0" w:space="0" w:color="auto"/>
                      </w:divBdr>
                    </w:div>
                    <w:div w:id="715082921">
                      <w:marLeft w:val="0"/>
                      <w:marRight w:val="0"/>
                      <w:marTop w:val="0"/>
                      <w:marBottom w:val="0"/>
                      <w:divBdr>
                        <w:top w:val="none" w:sz="0" w:space="0" w:color="auto"/>
                        <w:left w:val="none" w:sz="0" w:space="0" w:color="auto"/>
                        <w:bottom w:val="none" w:sz="0" w:space="0" w:color="auto"/>
                        <w:right w:val="none" w:sz="0" w:space="0" w:color="auto"/>
                      </w:divBdr>
                    </w:div>
                  </w:divsChild>
                </w:div>
                <w:div w:id="620841431">
                  <w:marLeft w:val="0"/>
                  <w:marRight w:val="0"/>
                  <w:marTop w:val="0"/>
                  <w:marBottom w:val="0"/>
                  <w:divBdr>
                    <w:top w:val="none" w:sz="0" w:space="0" w:color="auto"/>
                    <w:left w:val="none" w:sz="0" w:space="0" w:color="auto"/>
                    <w:bottom w:val="none" w:sz="0" w:space="0" w:color="auto"/>
                    <w:right w:val="none" w:sz="0" w:space="0" w:color="auto"/>
                  </w:divBdr>
                  <w:divsChild>
                    <w:div w:id="160436359">
                      <w:marLeft w:val="0"/>
                      <w:marRight w:val="0"/>
                      <w:marTop w:val="0"/>
                      <w:marBottom w:val="0"/>
                      <w:divBdr>
                        <w:top w:val="none" w:sz="0" w:space="0" w:color="auto"/>
                        <w:left w:val="none" w:sz="0" w:space="0" w:color="auto"/>
                        <w:bottom w:val="none" w:sz="0" w:space="0" w:color="auto"/>
                        <w:right w:val="none" w:sz="0" w:space="0" w:color="auto"/>
                      </w:divBdr>
                    </w:div>
                  </w:divsChild>
                </w:div>
                <w:div w:id="621695589">
                  <w:marLeft w:val="0"/>
                  <w:marRight w:val="0"/>
                  <w:marTop w:val="0"/>
                  <w:marBottom w:val="0"/>
                  <w:divBdr>
                    <w:top w:val="none" w:sz="0" w:space="0" w:color="auto"/>
                    <w:left w:val="none" w:sz="0" w:space="0" w:color="auto"/>
                    <w:bottom w:val="none" w:sz="0" w:space="0" w:color="auto"/>
                    <w:right w:val="none" w:sz="0" w:space="0" w:color="auto"/>
                  </w:divBdr>
                  <w:divsChild>
                    <w:div w:id="1348289311">
                      <w:marLeft w:val="0"/>
                      <w:marRight w:val="0"/>
                      <w:marTop w:val="0"/>
                      <w:marBottom w:val="0"/>
                      <w:divBdr>
                        <w:top w:val="none" w:sz="0" w:space="0" w:color="auto"/>
                        <w:left w:val="none" w:sz="0" w:space="0" w:color="auto"/>
                        <w:bottom w:val="none" w:sz="0" w:space="0" w:color="auto"/>
                        <w:right w:val="none" w:sz="0" w:space="0" w:color="auto"/>
                      </w:divBdr>
                    </w:div>
                  </w:divsChild>
                </w:div>
                <w:div w:id="802651615">
                  <w:marLeft w:val="0"/>
                  <w:marRight w:val="0"/>
                  <w:marTop w:val="0"/>
                  <w:marBottom w:val="0"/>
                  <w:divBdr>
                    <w:top w:val="none" w:sz="0" w:space="0" w:color="auto"/>
                    <w:left w:val="none" w:sz="0" w:space="0" w:color="auto"/>
                    <w:bottom w:val="none" w:sz="0" w:space="0" w:color="auto"/>
                    <w:right w:val="none" w:sz="0" w:space="0" w:color="auto"/>
                  </w:divBdr>
                  <w:divsChild>
                    <w:div w:id="1145048013">
                      <w:marLeft w:val="0"/>
                      <w:marRight w:val="0"/>
                      <w:marTop w:val="0"/>
                      <w:marBottom w:val="0"/>
                      <w:divBdr>
                        <w:top w:val="none" w:sz="0" w:space="0" w:color="auto"/>
                        <w:left w:val="none" w:sz="0" w:space="0" w:color="auto"/>
                        <w:bottom w:val="none" w:sz="0" w:space="0" w:color="auto"/>
                        <w:right w:val="none" w:sz="0" w:space="0" w:color="auto"/>
                      </w:divBdr>
                    </w:div>
                  </w:divsChild>
                </w:div>
                <w:div w:id="1087919465">
                  <w:marLeft w:val="0"/>
                  <w:marRight w:val="0"/>
                  <w:marTop w:val="0"/>
                  <w:marBottom w:val="0"/>
                  <w:divBdr>
                    <w:top w:val="none" w:sz="0" w:space="0" w:color="auto"/>
                    <w:left w:val="none" w:sz="0" w:space="0" w:color="auto"/>
                    <w:bottom w:val="none" w:sz="0" w:space="0" w:color="auto"/>
                    <w:right w:val="none" w:sz="0" w:space="0" w:color="auto"/>
                  </w:divBdr>
                  <w:divsChild>
                    <w:div w:id="2045593647">
                      <w:marLeft w:val="0"/>
                      <w:marRight w:val="0"/>
                      <w:marTop w:val="0"/>
                      <w:marBottom w:val="0"/>
                      <w:divBdr>
                        <w:top w:val="none" w:sz="0" w:space="0" w:color="auto"/>
                        <w:left w:val="none" w:sz="0" w:space="0" w:color="auto"/>
                        <w:bottom w:val="none" w:sz="0" w:space="0" w:color="auto"/>
                        <w:right w:val="none" w:sz="0" w:space="0" w:color="auto"/>
                      </w:divBdr>
                    </w:div>
                  </w:divsChild>
                </w:div>
                <w:div w:id="1095324100">
                  <w:marLeft w:val="0"/>
                  <w:marRight w:val="0"/>
                  <w:marTop w:val="0"/>
                  <w:marBottom w:val="0"/>
                  <w:divBdr>
                    <w:top w:val="none" w:sz="0" w:space="0" w:color="auto"/>
                    <w:left w:val="none" w:sz="0" w:space="0" w:color="auto"/>
                    <w:bottom w:val="none" w:sz="0" w:space="0" w:color="auto"/>
                    <w:right w:val="none" w:sz="0" w:space="0" w:color="auto"/>
                  </w:divBdr>
                  <w:divsChild>
                    <w:div w:id="682127216">
                      <w:marLeft w:val="0"/>
                      <w:marRight w:val="0"/>
                      <w:marTop w:val="0"/>
                      <w:marBottom w:val="0"/>
                      <w:divBdr>
                        <w:top w:val="none" w:sz="0" w:space="0" w:color="auto"/>
                        <w:left w:val="none" w:sz="0" w:space="0" w:color="auto"/>
                        <w:bottom w:val="none" w:sz="0" w:space="0" w:color="auto"/>
                        <w:right w:val="none" w:sz="0" w:space="0" w:color="auto"/>
                      </w:divBdr>
                    </w:div>
                  </w:divsChild>
                </w:div>
                <w:div w:id="1255213769">
                  <w:marLeft w:val="0"/>
                  <w:marRight w:val="0"/>
                  <w:marTop w:val="0"/>
                  <w:marBottom w:val="0"/>
                  <w:divBdr>
                    <w:top w:val="none" w:sz="0" w:space="0" w:color="auto"/>
                    <w:left w:val="none" w:sz="0" w:space="0" w:color="auto"/>
                    <w:bottom w:val="none" w:sz="0" w:space="0" w:color="auto"/>
                    <w:right w:val="none" w:sz="0" w:space="0" w:color="auto"/>
                  </w:divBdr>
                  <w:divsChild>
                    <w:div w:id="274020254">
                      <w:marLeft w:val="0"/>
                      <w:marRight w:val="0"/>
                      <w:marTop w:val="0"/>
                      <w:marBottom w:val="0"/>
                      <w:divBdr>
                        <w:top w:val="none" w:sz="0" w:space="0" w:color="auto"/>
                        <w:left w:val="none" w:sz="0" w:space="0" w:color="auto"/>
                        <w:bottom w:val="none" w:sz="0" w:space="0" w:color="auto"/>
                        <w:right w:val="none" w:sz="0" w:space="0" w:color="auto"/>
                      </w:divBdr>
                    </w:div>
                  </w:divsChild>
                </w:div>
                <w:div w:id="1407998247">
                  <w:marLeft w:val="0"/>
                  <w:marRight w:val="0"/>
                  <w:marTop w:val="0"/>
                  <w:marBottom w:val="0"/>
                  <w:divBdr>
                    <w:top w:val="none" w:sz="0" w:space="0" w:color="auto"/>
                    <w:left w:val="none" w:sz="0" w:space="0" w:color="auto"/>
                    <w:bottom w:val="none" w:sz="0" w:space="0" w:color="auto"/>
                    <w:right w:val="none" w:sz="0" w:space="0" w:color="auto"/>
                  </w:divBdr>
                  <w:divsChild>
                    <w:div w:id="786123416">
                      <w:marLeft w:val="0"/>
                      <w:marRight w:val="0"/>
                      <w:marTop w:val="0"/>
                      <w:marBottom w:val="0"/>
                      <w:divBdr>
                        <w:top w:val="none" w:sz="0" w:space="0" w:color="auto"/>
                        <w:left w:val="none" w:sz="0" w:space="0" w:color="auto"/>
                        <w:bottom w:val="none" w:sz="0" w:space="0" w:color="auto"/>
                        <w:right w:val="none" w:sz="0" w:space="0" w:color="auto"/>
                      </w:divBdr>
                    </w:div>
                  </w:divsChild>
                </w:div>
                <w:div w:id="1745447928">
                  <w:marLeft w:val="0"/>
                  <w:marRight w:val="0"/>
                  <w:marTop w:val="0"/>
                  <w:marBottom w:val="0"/>
                  <w:divBdr>
                    <w:top w:val="none" w:sz="0" w:space="0" w:color="auto"/>
                    <w:left w:val="none" w:sz="0" w:space="0" w:color="auto"/>
                    <w:bottom w:val="none" w:sz="0" w:space="0" w:color="auto"/>
                    <w:right w:val="none" w:sz="0" w:space="0" w:color="auto"/>
                  </w:divBdr>
                  <w:divsChild>
                    <w:div w:id="13792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7494">
          <w:marLeft w:val="0"/>
          <w:marRight w:val="0"/>
          <w:marTop w:val="0"/>
          <w:marBottom w:val="0"/>
          <w:divBdr>
            <w:top w:val="none" w:sz="0" w:space="0" w:color="auto"/>
            <w:left w:val="none" w:sz="0" w:space="0" w:color="auto"/>
            <w:bottom w:val="none" w:sz="0" w:space="0" w:color="auto"/>
            <w:right w:val="none" w:sz="0" w:space="0" w:color="auto"/>
          </w:divBdr>
        </w:div>
        <w:div w:id="2007784175">
          <w:marLeft w:val="0"/>
          <w:marRight w:val="0"/>
          <w:marTop w:val="0"/>
          <w:marBottom w:val="0"/>
          <w:divBdr>
            <w:top w:val="none" w:sz="0" w:space="0" w:color="auto"/>
            <w:left w:val="none" w:sz="0" w:space="0" w:color="auto"/>
            <w:bottom w:val="none" w:sz="0" w:space="0" w:color="auto"/>
            <w:right w:val="none" w:sz="0" w:space="0" w:color="auto"/>
          </w:divBdr>
        </w:div>
        <w:div w:id="2030795188">
          <w:marLeft w:val="0"/>
          <w:marRight w:val="0"/>
          <w:marTop w:val="0"/>
          <w:marBottom w:val="0"/>
          <w:divBdr>
            <w:top w:val="none" w:sz="0" w:space="0" w:color="auto"/>
            <w:left w:val="none" w:sz="0" w:space="0" w:color="auto"/>
            <w:bottom w:val="none" w:sz="0" w:space="0" w:color="auto"/>
            <w:right w:val="none" w:sz="0" w:space="0" w:color="auto"/>
          </w:divBdr>
        </w:div>
        <w:div w:id="2035838523">
          <w:marLeft w:val="0"/>
          <w:marRight w:val="0"/>
          <w:marTop w:val="0"/>
          <w:marBottom w:val="0"/>
          <w:divBdr>
            <w:top w:val="none" w:sz="0" w:space="0" w:color="auto"/>
            <w:left w:val="none" w:sz="0" w:space="0" w:color="auto"/>
            <w:bottom w:val="none" w:sz="0" w:space="0" w:color="auto"/>
            <w:right w:val="none" w:sz="0" w:space="0" w:color="auto"/>
          </w:divBdr>
        </w:div>
        <w:div w:id="2076858860">
          <w:marLeft w:val="0"/>
          <w:marRight w:val="0"/>
          <w:marTop w:val="0"/>
          <w:marBottom w:val="0"/>
          <w:divBdr>
            <w:top w:val="none" w:sz="0" w:space="0" w:color="auto"/>
            <w:left w:val="none" w:sz="0" w:space="0" w:color="auto"/>
            <w:bottom w:val="none" w:sz="0" w:space="0" w:color="auto"/>
            <w:right w:val="none" w:sz="0" w:space="0" w:color="auto"/>
          </w:divBdr>
        </w:div>
        <w:div w:id="2093162588">
          <w:marLeft w:val="0"/>
          <w:marRight w:val="0"/>
          <w:marTop w:val="0"/>
          <w:marBottom w:val="0"/>
          <w:divBdr>
            <w:top w:val="none" w:sz="0" w:space="0" w:color="auto"/>
            <w:left w:val="none" w:sz="0" w:space="0" w:color="auto"/>
            <w:bottom w:val="none" w:sz="0" w:space="0" w:color="auto"/>
            <w:right w:val="none" w:sz="0" w:space="0" w:color="auto"/>
          </w:divBdr>
        </w:div>
        <w:div w:id="2099907858">
          <w:marLeft w:val="0"/>
          <w:marRight w:val="0"/>
          <w:marTop w:val="0"/>
          <w:marBottom w:val="0"/>
          <w:divBdr>
            <w:top w:val="none" w:sz="0" w:space="0" w:color="auto"/>
            <w:left w:val="none" w:sz="0" w:space="0" w:color="auto"/>
            <w:bottom w:val="none" w:sz="0" w:space="0" w:color="auto"/>
            <w:right w:val="none" w:sz="0" w:space="0" w:color="auto"/>
          </w:divBdr>
        </w:div>
        <w:div w:id="2105228071">
          <w:marLeft w:val="0"/>
          <w:marRight w:val="0"/>
          <w:marTop w:val="0"/>
          <w:marBottom w:val="0"/>
          <w:divBdr>
            <w:top w:val="none" w:sz="0" w:space="0" w:color="auto"/>
            <w:left w:val="none" w:sz="0" w:space="0" w:color="auto"/>
            <w:bottom w:val="none" w:sz="0" w:space="0" w:color="auto"/>
            <w:right w:val="none" w:sz="0" w:space="0" w:color="auto"/>
          </w:divBdr>
        </w:div>
        <w:div w:id="2109420808">
          <w:marLeft w:val="0"/>
          <w:marRight w:val="0"/>
          <w:marTop w:val="0"/>
          <w:marBottom w:val="0"/>
          <w:divBdr>
            <w:top w:val="none" w:sz="0" w:space="0" w:color="auto"/>
            <w:left w:val="none" w:sz="0" w:space="0" w:color="auto"/>
            <w:bottom w:val="none" w:sz="0" w:space="0" w:color="auto"/>
            <w:right w:val="none" w:sz="0" w:space="0" w:color="auto"/>
          </w:divBdr>
        </w:div>
        <w:div w:id="2114475651">
          <w:marLeft w:val="0"/>
          <w:marRight w:val="0"/>
          <w:marTop w:val="0"/>
          <w:marBottom w:val="0"/>
          <w:divBdr>
            <w:top w:val="none" w:sz="0" w:space="0" w:color="auto"/>
            <w:left w:val="none" w:sz="0" w:space="0" w:color="auto"/>
            <w:bottom w:val="none" w:sz="0" w:space="0" w:color="auto"/>
            <w:right w:val="none" w:sz="0" w:space="0" w:color="auto"/>
          </w:divBdr>
        </w:div>
        <w:div w:id="2115660927">
          <w:marLeft w:val="0"/>
          <w:marRight w:val="0"/>
          <w:marTop w:val="0"/>
          <w:marBottom w:val="0"/>
          <w:divBdr>
            <w:top w:val="none" w:sz="0" w:space="0" w:color="auto"/>
            <w:left w:val="none" w:sz="0" w:space="0" w:color="auto"/>
            <w:bottom w:val="none" w:sz="0" w:space="0" w:color="auto"/>
            <w:right w:val="none" w:sz="0" w:space="0" w:color="auto"/>
          </w:divBdr>
        </w:div>
        <w:div w:id="2117748047">
          <w:marLeft w:val="0"/>
          <w:marRight w:val="0"/>
          <w:marTop w:val="0"/>
          <w:marBottom w:val="0"/>
          <w:divBdr>
            <w:top w:val="none" w:sz="0" w:space="0" w:color="auto"/>
            <w:left w:val="none" w:sz="0" w:space="0" w:color="auto"/>
            <w:bottom w:val="none" w:sz="0" w:space="0" w:color="auto"/>
            <w:right w:val="none" w:sz="0" w:space="0" w:color="auto"/>
          </w:divBdr>
        </w:div>
        <w:div w:id="2125077306">
          <w:marLeft w:val="0"/>
          <w:marRight w:val="0"/>
          <w:marTop w:val="0"/>
          <w:marBottom w:val="0"/>
          <w:divBdr>
            <w:top w:val="none" w:sz="0" w:space="0" w:color="auto"/>
            <w:left w:val="none" w:sz="0" w:space="0" w:color="auto"/>
            <w:bottom w:val="none" w:sz="0" w:space="0" w:color="auto"/>
            <w:right w:val="none" w:sz="0" w:space="0" w:color="auto"/>
          </w:divBdr>
        </w:div>
        <w:div w:id="2127042112">
          <w:marLeft w:val="0"/>
          <w:marRight w:val="0"/>
          <w:marTop w:val="0"/>
          <w:marBottom w:val="0"/>
          <w:divBdr>
            <w:top w:val="none" w:sz="0" w:space="0" w:color="auto"/>
            <w:left w:val="none" w:sz="0" w:space="0" w:color="auto"/>
            <w:bottom w:val="none" w:sz="0" w:space="0" w:color="auto"/>
            <w:right w:val="none" w:sz="0" w:space="0" w:color="auto"/>
          </w:divBdr>
          <w:divsChild>
            <w:div w:id="29378676">
              <w:marLeft w:val="0"/>
              <w:marRight w:val="0"/>
              <w:marTop w:val="0"/>
              <w:marBottom w:val="0"/>
              <w:divBdr>
                <w:top w:val="none" w:sz="0" w:space="0" w:color="auto"/>
                <w:left w:val="none" w:sz="0" w:space="0" w:color="auto"/>
                <w:bottom w:val="none" w:sz="0" w:space="0" w:color="auto"/>
                <w:right w:val="none" w:sz="0" w:space="0" w:color="auto"/>
              </w:divBdr>
            </w:div>
            <w:div w:id="44254466">
              <w:marLeft w:val="0"/>
              <w:marRight w:val="0"/>
              <w:marTop w:val="0"/>
              <w:marBottom w:val="0"/>
              <w:divBdr>
                <w:top w:val="none" w:sz="0" w:space="0" w:color="auto"/>
                <w:left w:val="none" w:sz="0" w:space="0" w:color="auto"/>
                <w:bottom w:val="none" w:sz="0" w:space="0" w:color="auto"/>
                <w:right w:val="none" w:sz="0" w:space="0" w:color="auto"/>
              </w:divBdr>
            </w:div>
            <w:div w:id="99373869">
              <w:marLeft w:val="0"/>
              <w:marRight w:val="0"/>
              <w:marTop w:val="0"/>
              <w:marBottom w:val="0"/>
              <w:divBdr>
                <w:top w:val="none" w:sz="0" w:space="0" w:color="auto"/>
                <w:left w:val="none" w:sz="0" w:space="0" w:color="auto"/>
                <w:bottom w:val="none" w:sz="0" w:space="0" w:color="auto"/>
                <w:right w:val="none" w:sz="0" w:space="0" w:color="auto"/>
              </w:divBdr>
            </w:div>
            <w:div w:id="163861335">
              <w:marLeft w:val="0"/>
              <w:marRight w:val="0"/>
              <w:marTop w:val="0"/>
              <w:marBottom w:val="0"/>
              <w:divBdr>
                <w:top w:val="none" w:sz="0" w:space="0" w:color="auto"/>
                <w:left w:val="none" w:sz="0" w:space="0" w:color="auto"/>
                <w:bottom w:val="none" w:sz="0" w:space="0" w:color="auto"/>
                <w:right w:val="none" w:sz="0" w:space="0" w:color="auto"/>
              </w:divBdr>
            </w:div>
            <w:div w:id="168721498">
              <w:marLeft w:val="0"/>
              <w:marRight w:val="0"/>
              <w:marTop w:val="0"/>
              <w:marBottom w:val="0"/>
              <w:divBdr>
                <w:top w:val="none" w:sz="0" w:space="0" w:color="auto"/>
                <w:left w:val="none" w:sz="0" w:space="0" w:color="auto"/>
                <w:bottom w:val="none" w:sz="0" w:space="0" w:color="auto"/>
                <w:right w:val="none" w:sz="0" w:space="0" w:color="auto"/>
              </w:divBdr>
            </w:div>
            <w:div w:id="205258825">
              <w:marLeft w:val="0"/>
              <w:marRight w:val="0"/>
              <w:marTop w:val="0"/>
              <w:marBottom w:val="0"/>
              <w:divBdr>
                <w:top w:val="none" w:sz="0" w:space="0" w:color="auto"/>
                <w:left w:val="none" w:sz="0" w:space="0" w:color="auto"/>
                <w:bottom w:val="none" w:sz="0" w:space="0" w:color="auto"/>
                <w:right w:val="none" w:sz="0" w:space="0" w:color="auto"/>
              </w:divBdr>
            </w:div>
            <w:div w:id="388118185">
              <w:marLeft w:val="0"/>
              <w:marRight w:val="0"/>
              <w:marTop w:val="0"/>
              <w:marBottom w:val="0"/>
              <w:divBdr>
                <w:top w:val="none" w:sz="0" w:space="0" w:color="auto"/>
                <w:left w:val="none" w:sz="0" w:space="0" w:color="auto"/>
                <w:bottom w:val="none" w:sz="0" w:space="0" w:color="auto"/>
                <w:right w:val="none" w:sz="0" w:space="0" w:color="auto"/>
              </w:divBdr>
            </w:div>
            <w:div w:id="543248235">
              <w:marLeft w:val="0"/>
              <w:marRight w:val="0"/>
              <w:marTop w:val="0"/>
              <w:marBottom w:val="0"/>
              <w:divBdr>
                <w:top w:val="none" w:sz="0" w:space="0" w:color="auto"/>
                <w:left w:val="none" w:sz="0" w:space="0" w:color="auto"/>
                <w:bottom w:val="none" w:sz="0" w:space="0" w:color="auto"/>
                <w:right w:val="none" w:sz="0" w:space="0" w:color="auto"/>
              </w:divBdr>
            </w:div>
            <w:div w:id="557206053">
              <w:marLeft w:val="0"/>
              <w:marRight w:val="0"/>
              <w:marTop w:val="0"/>
              <w:marBottom w:val="0"/>
              <w:divBdr>
                <w:top w:val="none" w:sz="0" w:space="0" w:color="auto"/>
                <w:left w:val="none" w:sz="0" w:space="0" w:color="auto"/>
                <w:bottom w:val="none" w:sz="0" w:space="0" w:color="auto"/>
                <w:right w:val="none" w:sz="0" w:space="0" w:color="auto"/>
              </w:divBdr>
            </w:div>
            <w:div w:id="723989958">
              <w:marLeft w:val="0"/>
              <w:marRight w:val="0"/>
              <w:marTop w:val="0"/>
              <w:marBottom w:val="0"/>
              <w:divBdr>
                <w:top w:val="none" w:sz="0" w:space="0" w:color="auto"/>
                <w:left w:val="none" w:sz="0" w:space="0" w:color="auto"/>
                <w:bottom w:val="none" w:sz="0" w:space="0" w:color="auto"/>
                <w:right w:val="none" w:sz="0" w:space="0" w:color="auto"/>
              </w:divBdr>
            </w:div>
            <w:div w:id="838078011">
              <w:marLeft w:val="0"/>
              <w:marRight w:val="0"/>
              <w:marTop w:val="0"/>
              <w:marBottom w:val="0"/>
              <w:divBdr>
                <w:top w:val="none" w:sz="0" w:space="0" w:color="auto"/>
                <w:left w:val="none" w:sz="0" w:space="0" w:color="auto"/>
                <w:bottom w:val="none" w:sz="0" w:space="0" w:color="auto"/>
                <w:right w:val="none" w:sz="0" w:space="0" w:color="auto"/>
              </w:divBdr>
            </w:div>
            <w:div w:id="972059188">
              <w:marLeft w:val="0"/>
              <w:marRight w:val="0"/>
              <w:marTop w:val="0"/>
              <w:marBottom w:val="0"/>
              <w:divBdr>
                <w:top w:val="none" w:sz="0" w:space="0" w:color="auto"/>
                <w:left w:val="none" w:sz="0" w:space="0" w:color="auto"/>
                <w:bottom w:val="none" w:sz="0" w:space="0" w:color="auto"/>
                <w:right w:val="none" w:sz="0" w:space="0" w:color="auto"/>
              </w:divBdr>
            </w:div>
            <w:div w:id="1428234039">
              <w:marLeft w:val="0"/>
              <w:marRight w:val="0"/>
              <w:marTop w:val="0"/>
              <w:marBottom w:val="0"/>
              <w:divBdr>
                <w:top w:val="none" w:sz="0" w:space="0" w:color="auto"/>
                <w:left w:val="none" w:sz="0" w:space="0" w:color="auto"/>
                <w:bottom w:val="none" w:sz="0" w:space="0" w:color="auto"/>
                <w:right w:val="none" w:sz="0" w:space="0" w:color="auto"/>
              </w:divBdr>
            </w:div>
            <w:div w:id="1520896423">
              <w:marLeft w:val="0"/>
              <w:marRight w:val="0"/>
              <w:marTop w:val="0"/>
              <w:marBottom w:val="0"/>
              <w:divBdr>
                <w:top w:val="none" w:sz="0" w:space="0" w:color="auto"/>
                <w:left w:val="none" w:sz="0" w:space="0" w:color="auto"/>
                <w:bottom w:val="none" w:sz="0" w:space="0" w:color="auto"/>
                <w:right w:val="none" w:sz="0" w:space="0" w:color="auto"/>
              </w:divBdr>
            </w:div>
            <w:div w:id="1597981341">
              <w:marLeft w:val="0"/>
              <w:marRight w:val="0"/>
              <w:marTop w:val="0"/>
              <w:marBottom w:val="0"/>
              <w:divBdr>
                <w:top w:val="none" w:sz="0" w:space="0" w:color="auto"/>
                <w:left w:val="none" w:sz="0" w:space="0" w:color="auto"/>
                <w:bottom w:val="none" w:sz="0" w:space="0" w:color="auto"/>
                <w:right w:val="none" w:sz="0" w:space="0" w:color="auto"/>
              </w:divBdr>
            </w:div>
            <w:div w:id="1605454700">
              <w:marLeft w:val="0"/>
              <w:marRight w:val="0"/>
              <w:marTop w:val="0"/>
              <w:marBottom w:val="0"/>
              <w:divBdr>
                <w:top w:val="none" w:sz="0" w:space="0" w:color="auto"/>
                <w:left w:val="none" w:sz="0" w:space="0" w:color="auto"/>
                <w:bottom w:val="none" w:sz="0" w:space="0" w:color="auto"/>
                <w:right w:val="none" w:sz="0" w:space="0" w:color="auto"/>
              </w:divBdr>
            </w:div>
            <w:div w:id="1782140532">
              <w:marLeft w:val="0"/>
              <w:marRight w:val="0"/>
              <w:marTop w:val="0"/>
              <w:marBottom w:val="0"/>
              <w:divBdr>
                <w:top w:val="none" w:sz="0" w:space="0" w:color="auto"/>
                <w:left w:val="none" w:sz="0" w:space="0" w:color="auto"/>
                <w:bottom w:val="none" w:sz="0" w:space="0" w:color="auto"/>
                <w:right w:val="none" w:sz="0" w:space="0" w:color="auto"/>
              </w:divBdr>
            </w:div>
            <w:div w:id="1842041585">
              <w:marLeft w:val="0"/>
              <w:marRight w:val="0"/>
              <w:marTop w:val="0"/>
              <w:marBottom w:val="0"/>
              <w:divBdr>
                <w:top w:val="none" w:sz="0" w:space="0" w:color="auto"/>
                <w:left w:val="none" w:sz="0" w:space="0" w:color="auto"/>
                <w:bottom w:val="none" w:sz="0" w:space="0" w:color="auto"/>
                <w:right w:val="none" w:sz="0" w:space="0" w:color="auto"/>
              </w:divBdr>
            </w:div>
            <w:div w:id="2105413395">
              <w:marLeft w:val="0"/>
              <w:marRight w:val="0"/>
              <w:marTop w:val="0"/>
              <w:marBottom w:val="0"/>
              <w:divBdr>
                <w:top w:val="none" w:sz="0" w:space="0" w:color="auto"/>
                <w:left w:val="none" w:sz="0" w:space="0" w:color="auto"/>
                <w:bottom w:val="none" w:sz="0" w:space="0" w:color="auto"/>
                <w:right w:val="none" w:sz="0" w:space="0" w:color="auto"/>
              </w:divBdr>
            </w:div>
            <w:div w:id="2126271149">
              <w:marLeft w:val="0"/>
              <w:marRight w:val="0"/>
              <w:marTop w:val="0"/>
              <w:marBottom w:val="0"/>
              <w:divBdr>
                <w:top w:val="none" w:sz="0" w:space="0" w:color="auto"/>
                <w:left w:val="none" w:sz="0" w:space="0" w:color="auto"/>
                <w:bottom w:val="none" w:sz="0" w:space="0" w:color="auto"/>
                <w:right w:val="none" w:sz="0" w:space="0" w:color="auto"/>
              </w:divBdr>
            </w:div>
          </w:divsChild>
        </w:div>
        <w:div w:id="2128969350">
          <w:marLeft w:val="0"/>
          <w:marRight w:val="0"/>
          <w:marTop w:val="0"/>
          <w:marBottom w:val="0"/>
          <w:divBdr>
            <w:top w:val="none" w:sz="0" w:space="0" w:color="auto"/>
            <w:left w:val="none" w:sz="0" w:space="0" w:color="auto"/>
            <w:bottom w:val="none" w:sz="0" w:space="0" w:color="auto"/>
            <w:right w:val="none" w:sz="0" w:space="0" w:color="auto"/>
          </w:divBdr>
          <w:divsChild>
            <w:div w:id="241650463">
              <w:marLeft w:val="-75"/>
              <w:marRight w:val="0"/>
              <w:marTop w:val="30"/>
              <w:marBottom w:val="30"/>
              <w:divBdr>
                <w:top w:val="none" w:sz="0" w:space="0" w:color="auto"/>
                <w:left w:val="none" w:sz="0" w:space="0" w:color="auto"/>
                <w:bottom w:val="none" w:sz="0" w:space="0" w:color="auto"/>
                <w:right w:val="none" w:sz="0" w:space="0" w:color="auto"/>
              </w:divBdr>
              <w:divsChild>
                <w:div w:id="257907214">
                  <w:marLeft w:val="0"/>
                  <w:marRight w:val="0"/>
                  <w:marTop w:val="0"/>
                  <w:marBottom w:val="0"/>
                  <w:divBdr>
                    <w:top w:val="none" w:sz="0" w:space="0" w:color="auto"/>
                    <w:left w:val="none" w:sz="0" w:space="0" w:color="auto"/>
                    <w:bottom w:val="none" w:sz="0" w:space="0" w:color="auto"/>
                    <w:right w:val="none" w:sz="0" w:space="0" w:color="auto"/>
                  </w:divBdr>
                  <w:divsChild>
                    <w:div w:id="569079353">
                      <w:marLeft w:val="0"/>
                      <w:marRight w:val="0"/>
                      <w:marTop w:val="0"/>
                      <w:marBottom w:val="0"/>
                      <w:divBdr>
                        <w:top w:val="none" w:sz="0" w:space="0" w:color="auto"/>
                        <w:left w:val="none" w:sz="0" w:space="0" w:color="auto"/>
                        <w:bottom w:val="none" w:sz="0" w:space="0" w:color="auto"/>
                        <w:right w:val="none" w:sz="0" w:space="0" w:color="auto"/>
                      </w:divBdr>
                    </w:div>
                  </w:divsChild>
                </w:div>
                <w:div w:id="271858543">
                  <w:marLeft w:val="0"/>
                  <w:marRight w:val="0"/>
                  <w:marTop w:val="0"/>
                  <w:marBottom w:val="0"/>
                  <w:divBdr>
                    <w:top w:val="none" w:sz="0" w:space="0" w:color="auto"/>
                    <w:left w:val="none" w:sz="0" w:space="0" w:color="auto"/>
                    <w:bottom w:val="none" w:sz="0" w:space="0" w:color="auto"/>
                    <w:right w:val="none" w:sz="0" w:space="0" w:color="auto"/>
                  </w:divBdr>
                  <w:divsChild>
                    <w:div w:id="934366784">
                      <w:marLeft w:val="0"/>
                      <w:marRight w:val="0"/>
                      <w:marTop w:val="0"/>
                      <w:marBottom w:val="0"/>
                      <w:divBdr>
                        <w:top w:val="none" w:sz="0" w:space="0" w:color="auto"/>
                        <w:left w:val="none" w:sz="0" w:space="0" w:color="auto"/>
                        <w:bottom w:val="none" w:sz="0" w:space="0" w:color="auto"/>
                        <w:right w:val="none" w:sz="0" w:space="0" w:color="auto"/>
                      </w:divBdr>
                    </w:div>
                  </w:divsChild>
                </w:div>
                <w:div w:id="343630881">
                  <w:marLeft w:val="0"/>
                  <w:marRight w:val="0"/>
                  <w:marTop w:val="0"/>
                  <w:marBottom w:val="0"/>
                  <w:divBdr>
                    <w:top w:val="none" w:sz="0" w:space="0" w:color="auto"/>
                    <w:left w:val="none" w:sz="0" w:space="0" w:color="auto"/>
                    <w:bottom w:val="none" w:sz="0" w:space="0" w:color="auto"/>
                    <w:right w:val="none" w:sz="0" w:space="0" w:color="auto"/>
                  </w:divBdr>
                  <w:divsChild>
                    <w:div w:id="778069190">
                      <w:marLeft w:val="0"/>
                      <w:marRight w:val="0"/>
                      <w:marTop w:val="0"/>
                      <w:marBottom w:val="0"/>
                      <w:divBdr>
                        <w:top w:val="none" w:sz="0" w:space="0" w:color="auto"/>
                        <w:left w:val="none" w:sz="0" w:space="0" w:color="auto"/>
                        <w:bottom w:val="none" w:sz="0" w:space="0" w:color="auto"/>
                        <w:right w:val="none" w:sz="0" w:space="0" w:color="auto"/>
                      </w:divBdr>
                    </w:div>
                  </w:divsChild>
                </w:div>
                <w:div w:id="666789110">
                  <w:marLeft w:val="0"/>
                  <w:marRight w:val="0"/>
                  <w:marTop w:val="0"/>
                  <w:marBottom w:val="0"/>
                  <w:divBdr>
                    <w:top w:val="none" w:sz="0" w:space="0" w:color="auto"/>
                    <w:left w:val="none" w:sz="0" w:space="0" w:color="auto"/>
                    <w:bottom w:val="none" w:sz="0" w:space="0" w:color="auto"/>
                    <w:right w:val="none" w:sz="0" w:space="0" w:color="auto"/>
                  </w:divBdr>
                  <w:divsChild>
                    <w:div w:id="1491141713">
                      <w:marLeft w:val="0"/>
                      <w:marRight w:val="0"/>
                      <w:marTop w:val="0"/>
                      <w:marBottom w:val="0"/>
                      <w:divBdr>
                        <w:top w:val="none" w:sz="0" w:space="0" w:color="auto"/>
                        <w:left w:val="none" w:sz="0" w:space="0" w:color="auto"/>
                        <w:bottom w:val="none" w:sz="0" w:space="0" w:color="auto"/>
                        <w:right w:val="none" w:sz="0" w:space="0" w:color="auto"/>
                      </w:divBdr>
                    </w:div>
                  </w:divsChild>
                </w:div>
                <w:div w:id="735319074">
                  <w:marLeft w:val="0"/>
                  <w:marRight w:val="0"/>
                  <w:marTop w:val="0"/>
                  <w:marBottom w:val="0"/>
                  <w:divBdr>
                    <w:top w:val="none" w:sz="0" w:space="0" w:color="auto"/>
                    <w:left w:val="none" w:sz="0" w:space="0" w:color="auto"/>
                    <w:bottom w:val="none" w:sz="0" w:space="0" w:color="auto"/>
                    <w:right w:val="none" w:sz="0" w:space="0" w:color="auto"/>
                  </w:divBdr>
                  <w:divsChild>
                    <w:div w:id="1895040275">
                      <w:marLeft w:val="0"/>
                      <w:marRight w:val="0"/>
                      <w:marTop w:val="0"/>
                      <w:marBottom w:val="0"/>
                      <w:divBdr>
                        <w:top w:val="none" w:sz="0" w:space="0" w:color="auto"/>
                        <w:left w:val="none" w:sz="0" w:space="0" w:color="auto"/>
                        <w:bottom w:val="none" w:sz="0" w:space="0" w:color="auto"/>
                        <w:right w:val="none" w:sz="0" w:space="0" w:color="auto"/>
                      </w:divBdr>
                    </w:div>
                  </w:divsChild>
                </w:div>
                <w:div w:id="840511348">
                  <w:marLeft w:val="0"/>
                  <w:marRight w:val="0"/>
                  <w:marTop w:val="0"/>
                  <w:marBottom w:val="0"/>
                  <w:divBdr>
                    <w:top w:val="none" w:sz="0" w:space="0" w:color="auto"/>
                    <w:left w:val="none" w:sz="0" w:space="0" w:color="auto"/>
                    <w:bottom w:val="none" w:sz="0" w:space="0" w:color="auto"/>
                    <w:right w:val="none" w:sz="0" w:space="0" w:color="auto"/>
                  </w:divBdr>
                  <w:divsChild>
                    <w:div w:id="1853186156">
                      <w:marLeft w:val="0"/>
                      <w:marRight w:val="0"/>
                      <w:marTop w:val="0"/>
                      <w:marBottom w:val="0"/>
                      <w:divBdr>
                        <w:top w:val="none" w:sz="0" w:space="0" w:color="auto"/>
                        <w:left w:val="none" w:sz="0" w:space="0" w:color="auto"/>
                        <w:bottom w:val="none" w:sz="0" w:space="0" w:color="auto"/>
                        <w:right w:val="none" w:sz="0" w:space="0" w:color="auto"/>
                      </w:divBdr>
                    </w:div>
                  </w:divsChild>
                </w:div>
                <w:div w:id="1374381558">
                  <w:marLeft w:val="0"/>
                  <w:marRight w:val="0"/>
                  <w:marTop w:val="0"/>
                  <w:marBottom w:val="0"/>
                  <w:divBdr>
                    <w:top w:val="none" w:sz="0" w:space="0" w:color="auto"/>
                    <w:left w:val="none" w:sz="0" w:space="0" w:color="auto"/>
                    <w:bottom w:val="none" w:sz="0" w:space="0" w:color="auto"/>
                    <w:right w:val="none" w:sz="0" w:space="0" w:color="auto"/>
                  </w:divBdr>
                  <w:divsChild>
                    <w:div w:id="61371082">
                      <w:marLeft w:val="0"/>
                      <w:marRight w:val="0"/>
                      <w:marTop w:val="0"/>
                      <w:marBottom w:val="0"/>
                      <w:divBdr>
                        <w:top w:val="none" w:sz="0" w:space="0" w:color="auto"/>
                        <w:left w:val="none" w:sz="0" w:space="0" w:color="auto"/>
                        <w:bottom w:val="none" w:sz="0" w:space="0" w:color="auto"/>
                        <w:right w:val="none" w:sz="0" w:space="0" w:color="auto"/>
                      </w:divBdr>
                    </w:div>
                  </w:divsChild>
                </w:div>
                <w:div w:id="1657881807">
                  <w:marLeft w:val="0"/>
                  <w:marRight w:val="0"/>
                  <w:marTop w:val="0"/>
                  <w:marBottom w:val="0"/>
                  <w:divBdr>
                    <w:top w:val="none" w:sz="0" w:space="0" w:color="auto"/>
                    <w:left w:val="none" w:sz="0" w:space="0" w:color="auto"/>
                    <w:bottom w:val="none" w:sz="0" w:space="0" w:color="auto"/>
                    <w:right w:val="none" w:sz="0" w:space="0" w:color="auto"/>
                  </w:divBdr>
                  <w:divsChild>
                    <w:div w:id="19732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68068">
          <w:marLeft w:val="0"/>
          <w:marRight w:val="0"/>
          <w:marTop w:val="0"/>
          <w:marBottom w:val="0"/>
          <w:divBdr>
            <w:top w:val="none" w:sz="0" w:space="0" w:color="auto"/>
            <w:left w:val="none" w:sz="0" w:space="0" w:color="auto"/>
            <w:bottom w:val="none" w:sz="0" w:space="0" w:color="auto"/>
            <w:right w:val="none" w:sz="0" w:space="0" w:color="auto"/>
          </w:divBdr>
          <w:divsChild>
            <w:div w:id="1096091949">
              <w:marLeft w:val="-75"/>
              <w:marRight w:val="0"/>
              <w:marTop w:val="30"/>
              <w:marBottom w:val="30"/>
              <w:divBdr>
                <w:top w:val="none" w:sz="0" w:space="0" w:color="auto"/>
                <w:left w:val="none" w:sz="0" w:space="0" w:color="auto"/>
                <w:bottom w:val="none" w:sz="0" w:space="0" w:color="auto"/>
                <w:right w:val="none" w:sz="0" w:space="0" w:color="auto"/>
              </w:divBdr>
              <w:divsChild>
                <w:div w:id="40174005">
                  <w:marLeft w:val="0"/>
                  <w:marRight w:val="0"/>
                  <w:marTop w:val="0"/>
                  <w:marBottom w:val="0"/>
                  <w:divBdr>
                    <w:top w:val="none" w:sz="0" w:space="0" w:color="auto"/>
                    <w:left w:val="none" w:sz="0" w:space="0" w:color="auto"/>
                    <w:bottom w:val="none" w:sz="0" w:space="0" w:color="auto"/>
                    <w:right w:val="none" w:sz="0" w:space="0" w:color="auto"/>
                  </w:divBdr>
                  <w:divsChild>
                    <w:div w:id="916792376">
                      <w:marLeft w:val="0"/>
                      <w:marRight w:val="0"/>
                      <w:marTop w:val="0"/>
                      <w:marBottom w:val="0"/>
                      <w:divBdr>
                        <w:top w:val="none" w:sz="0" w:space="0" w:color="auto"/>
                        <w:left w:val="none" w:sz="0" w:space="0" w:color="auto"/>
                        <w:bottom w:val="none" w:sz="0" w:space="0" w:color="auto"/>
                        <w:right w:val="none" w:sz="0" w:space="0" w:color="auto"/>
                      </w:divBdr>
                    </w:div>
                  </w:divsChild>
                </w:div>
                <w:div w:id="134611286">
                  <w:marLeft w:val="0"/>
                  <w:marRight w:val="0"/>
                  <w:marTop w:val="0"/>
                  <w:marBottom w:val="0"/>
                  <w:divBdr>
                    <w:top w:val="none" w:sz="0" w:space="0" w:color="auto"/>
                    <w:left w:val="none" w:sz="0" w:space="0" w:color="auto"/>
                    <w:bottom w:val="none" w:sz="0" w:space="0" w:color="auto"/>
                    <w:right w:val="none" w:sz="0" w:space="0" w:color="auto"/>
                  </w:divBdr>
                  <w:divsChild>
                    <w:div w:id="203834766">
                      <w:marLeft w:val="0"/>
                      <w:marRight w:val="0"/>
                      <w:marTop w:val="0"/>
                      <w:marBottom w:val="0"/>
                      <w:divBdr>
                        <w:top w:val="none" w:sz="0" w:space="0" w:color="auto"/>
                        <w:left w:val="none" w:sz="0" w:space="0" w:color="auto"/>
                        <w:bottom w:val="none" w:sz="0" w:space="0" w:color="auto"/>
                        <w:right w:val="none" w:sz="0" w:space="0" w:color="auto"/>
                      </w:divBdr>
                    </w:div>
                  </w:divsChild>
                </w:div>
                <w:div w:id="289365749">
                  <w:marLeft w:val="0"/>
                  <w:marRight w:val="0"/>
                  <w:marTop w:val="0"/>
                  <w:marBottom w:val="0"/>
                  <w:divBdr>
                    <w:top w:val="none" w:sz="0" w:space="0" w:color="auto"/>
                    <w:left w:val="none" w:sz="0" w:space="0" w:color="auto"/>
                    <w:bottom w:val="none" w:sz="0" w:space="0" w:color="auto"/>
                    <w:right w:val="none" w:sz="0" w:space="0" w:color="auto"/>
                  </w:divBdr>
                  <w:divsChild>
                    <w:div w:id="1307970831">
                      <w:marLeft w:val="0"/>
                      <w:marRight w:val="0"/>
                      <w:marTop w:val="0"/>
                      <w:marBottom w:val="0"/>
                      <w:divBdr>
                        <w:top w:val="none" w:sz="0" w:space="0" w:color="auto"/>
                        <w:left w:val="none" w:sz="0" w:space="0" w:color="auto"/>
                        <w:bottom w:val="none" w:sz="0" w:space="0" w:color="auto"/>
                        <w:right w:val="none" w:sz="0" w:space="0" w:color="auto"/>
                      </w:divBdr>
                    </w:div>
                  </w:divsChild>
                </w:div>
                <w:div w:id="380982836">
                  <w:marLeft w:val="0"/>
                  <w:marRight w:val="0"/>
                  <w:marTop w:val="0"/>
                  <w:marBottom w:val="0"/>
                  <w:divBdr>
                    <w:top w:val="none" w:sz="0" w:space="0" w:color="auto"/>
                    <w:left w:val="none" w:sz="0" w:space="0" w:color="auto"/>
                    <w:bottom w:val="none" w:sz="0" w:space="0" w:color="auto"/>
                    <w:right w:val="none" w:sz="0" w:space="0" w:color="auto"/>
                  </w:divBdr>
                  <w:divsChild>
                    <w:div w:id="667711547">
                      <w:marLeft w:val="0"/>
                      <w:marRight w:val="0"/>
                      <w:marTop w:val="0"/>
                      <w:marBottom w:val="0"/>
                      <w:divBdr>
                        <w:top w:val="none" w:sz="0" w:space="0" w:color="auto"/>
                        <w:left w:val="none" w:sz="0" w:space="0" w:color="auto"/>
                        <w:bottom w:val="none" w:sz="0" w:space="0" w:color="auto"/>
                        <w:right w:val="none" w:sz="0" w:space="0" w:color="auto"/>
                      </w:divBdr>
                    </w:div>
                  </w:divsChild>
                </w:div>
                <w:div w:id="399253551">
                  <w:marLeft w:val="0"/>
                  <w:marRight w:val="0"/>
                  <w:marTop w:val="0"/>
                  <w:marBottom w:val="0"/>
                  <w:divBdr>
                    <w:top w:val="none" w:sz="0" w:space="0" w:color="auto"/>
                    <w:left w:val="none" w:sz="0" w:space="0" w:color="auto"/>
                    <w:bottom w:val="none" w:sz="0" w:space="0" w:color="auto"/>
                    <w:right w:val="none" w:sz="0" w:space="0" w:color="auto"/>
                  </w:divBdr>
                  <w:divsChild>
                    <w:div w:id="539363182">
                      <w:marLeft w:val="0"/>
                      <w:marRight w:val="0"/>
                      <w:marTop w:val="0"/>
                      <w:marBottom w:val="0"/>
                      <w:divBdr>
                        <w:top w:val="none" w:sz="0" w:space="0" w:color="auto"/>
                        <w:left w:val="none" w:sz="0" w:space="0" w:color="auto"/>
                        <w:bottom w:val="none" w:sz="0" w:space="0" w:color="auto"/>
                        <w:right w:val="none" w:sz="0" w:space="0" w:color="auto"/>
                      </w:divBdr>
                    </w:div>
                  </w:divsChild>
                </w:div>
                <w:div w:id="457653316">
                  <w:marLeft w:val="0"/>
                  <w:marRight w:val="0"/>
                  <w:marTop w:val="0"/>
                  <w:marBottom w:val="0"/>
                  <w:divBdr>
                    <w:top w:val="none" w:sz="0" w:space="0" w:color="auto"/>
                    <w:left w:val="none" w:sz="0" w:space="0" w:color="auto"/>
                    <w:bottom w:val="none" w:sz="0" w:space="0" w:color="auto"/>
                    <w:right w:val="none" w:sz="0" w:space="0" w:color="auto"/>
                  </w:divBdr>
                  <w:divsChild>
                    <w:div w:id="485362566">
                      <w:marLeft w:val="0"/>
                      <w:marRight w:val="0"/>
                      <w:marTop w:val="0"/>
                      <w:marBottom w:val="0"/>
                      <w:divBdr>
                        <w:top w:val="none" w:sz="0" w:space="0" w:color="auto"/>
                        <w:left w:val="none" w:sz="0" w:space="0" w:color="auto"/>
                        <w:bottom w:val="none" w:sz="0" w:space="0" w:color="auto"/>
                        <w:right w:val="none" w:sz="0" w:space="0" w:color="auto"/>
                      </w:divBdr>
                    </w:div>
                  </w:divsChild>
                </w:div>
                <w:div w:id="463276353">
                  <w:marLeft w:val="0"/>
                  <w:marRight w:val="0"/>
                  <w:marTop w:val="0"/>
                  <w:marBottom w:val="0"/>
                  <w:divBdr>
                    <w:top w:val="none" w:sz="0" w:space="0" w:color="auto"/>
                    <w:left w:val="none" w:sz="0" w:space="0" w:color="auto"/>
                    <w:bottom w:val="none" w:sz="0" w:space="0" w:color="auto"/>
                    <w:right w:val="none" w:sz="0" w:space="0" w:color="auto"/>
                  </w:divBdr>
                  <w:divsChild>
                    <w:div w:id="1996374848">
                      <w:marLeft w:val="0"/>
                      <w:marRight w:val="0"/>
                      <w:marTop w:val="0"/>
                      <w:marBottom w:val="0"/>
                      <w:divBdr>
                        <w:top w:val="none" w:sz="0" w:space="0" w:color="auto"/>
                        <w:left w:val="none" w:sz="0" w:space="0" w:color="auto"/>
                        <w:bottom w:val="none" w:sz="0" w:space="0" w:color="auto"/>
                        <w:right w:val="none" w:sz="0" w:space="0" w:color="auto"/>
                      </w:divBdr>
                    </w:div>
                  </w:divsChild>
                </w:div>
                <w:div w:id="863010205">
                  <w:marLeft w:val="0"/>
                  <w:marRight w:val="0"/>
                  <w:marTop w:val="0"/>
                  <w:marBottom w:val="0"/>
                  <w:divBdr>
                    <w:top w:val="none" w:sz="0" w:space="0" w:color="auto"/>
                    <w:left w:val="none" w:sz="0" w:space="0" w:color="auto"/>
                    <w:bottom w:val="none" w:sz="0" w:space="0" w:color="auto"/>
                    <w:right w:val="none" w:sz="0" w:space="0" w:color="auto"/>
                  </w:divBdr>
                  <w:divsChild>
                    <w:div w:id="1581523995">
                      <w:marLeft w:val="0"/>
                      <w:marRight w:val="0"/>
                      <w:marTop w:val="0"/>
                      <w:marBottom w:val="0"/>
                      <w:divBdr>
                        <w:top w:val="none" w:sz="0" w:space="0" w:color="auto"/>
                        <w:left w:val="none" w:sz="0" w:space="0" w:color="auto"/>
                        <w:bottom w:val="none" w:sz="0" w:space="0" w:color="auto"/>
                        <w:right w:val="none" w:sz="0" w:space="0" w:color="auto"/>
                      </w:divBdr>
                    </w:div>
                  </w:divsChild>
                </w:div>
                <w:div w:id="975918645">
                  <w:marLeft w:val="0"/>
                  <w:marRight w:val="0"/>
                  <w:marTop w:val="0"/>
                  <w:marBottom w:val="0"/>
                  <w:divBdr>
                    <w:top w:val="none" w:sz="0" w:space="0" w:color="auto"/>
                    <w:left w:val="none" w:sz="0" w:space="0" w:color="auto"/>
                    <w:bottom w:val="none" w:sz="0" w:space="0" w:color="auto"/>
                    <w:right w:val="none" w:sz="0" w:space="0" w:color="auto"/>
                  </w:divBdr>
                  <w:divsChild>
                    <w:div w:id="2127773889">
                      <w:marLeft w:val="0"/>
                      <w:marRight w:val="0"/>
                      <w:marTop w:val="0"/>
                      <w:marBottom w:val="0"/>
                      <w:divBdr>
                        <w:top w:val="none" w:sz="0" w:space="0" w:color="auto"/>
                        <w:left w:val="none" w:sz="0" w:space="0" w:color="auto"/>
                        <w:bottom w:val="none" w:sz="0" w:space="0" w:color="auto"/>
                        <w:right w:val="none" w:sz="0" w:space="0" w:color="auto"/>
                      </w:divBdr>
                    </w:div>
                  </w:divsChild>
                </w:div>
                <w:div w:id="1050302254">
                  <w:marLeft w:val="0"/>
                  <w:marRight w:val="0"/>
                  <w:marTop w:val="0"/>
                  <w:marBottom w:val="0"/>
                  <w:divBdr>
                    <w:top w:val="none" w:sz="0" w:space="0" w:color="auto"/>
                    <w:left w:val="none" w:sz="0" w:space="0" w:color="auto"/>
                    <w:bottom w:val="none" w:sz="0" w:space="0" w:color="auto"/>
                    <w:right w:val="none" w:sz="0" w:space="0" w:color="auto"/>
                  </w:divBdr>
                  <w:divsChild>
                    <w:div w:id="1992324913">
                      <w:marLeft w:val="0"/>
                      <w:marRight w:val="0"/>
                      <w:marTop w:val="0"/>
                      <w:marBottom w:val="0"/>
                      <w:divBdr>
                        <w:top w:val="none" w:sz="0" w:space="0" w:color="auto"/>
                        <w:left w:val="none" w:sz="0" w:space="0" w:color="auto"/>
                        <w:bottom w:val="none" w:sz="0" w:space="0" w:color="auto"/>
                        <w:right w:val="none" w:sz="0" w:space="0" w:color="auto"/>
                      </w:divBdr>
                    </w:div>
                  </w:divsChild>
                </w:div>
                <w:div w:id="1532449494">
                  <w:marLeft w:val="0"/>
                  <w:marRight w:val="0"/>
                  <w:marTop w:val="0"/>
                  <w:marBottom w:val="0"/>
                  <w:divBdr>
                    <w:top w:val="none" w:sz="0" w:space="0" w:color="auto"/>
                    <w:left w:val="none" w:sz="0" w:space="0" w:color="auto"/>
                    <w:bottom w:val="none" w:sz="0" w:space="0" w:color="auto"/>
                    <w:right w:val="none" w:sz="0" w:space="0" w:color="auto"/>
                  </w:divBdr>
                  <w:divsChild>
                    <w:div w:id="768231792">
                      <w:marLeft w:val="0"/>
                      <w:marRight w:val="0"/>
                      <w:marTop w:val="0"/>
                      <w:marBottom w:val="0"/>
                      <w:divBdr>
                        <w:top w:val="none" w:sz="0" w:space="0" w:color="auto"/>
                        <w:left w:val="none" w:sz="0" w:space="0" w:color="auto"/>
                        <w:bottom w:val="none" w:sz="0" w:space="0" w:color="auto"/>
                        <w:right w:val="none" w:sz="0" w:space="0" w:color="auto"/>
                      </w:divBdr>
                    </w:div>
                  </w:divsChild>
                </w:div>
                <w:div w:id="1599100788">
                  <w:marLeft w:val="0"/>
                  <w:marRight w:val="0"/>
                  <w:marTop w:val="0"/>
                  <w:marBottom w:val="0"/>
                  <w:divBdr>
                    <w:top w:val="none" w:sz="0" w:space="0" w:color="auto"/>
                    <w:left w:val="none" w:sz="0" w:space="0" w:color="auto"/>
                    <w:bottom w:val="none" w:sz="0" w:space="0" w:color="auto"/>
                    <w:right w:val="none" w:sz="0" w:space="0" w:color="auto"/>
                  </w:divBdr>
                  <w:divsChild>
                    <w:div w:id="218979003">
                      <w:marLeft w:val="0"/>
                      <w:marRight w:val="0"/>
                      <w:marTop w:val="0"/>
                      <w:marBottom w:val="0"/>
                      <w:divBdr>
                        <w:top w:val="none" w:sz="0" w:space="0" w:color="auto"/>
                        <w:left w:val="none" w:sz="0" w:space="0" w:color="auto"/>
                        <w:bottom w:val="none" w:sz="0" w:space="0" w:color="auto"/>
                        <w:right w:val="none" w:sz="0" w:space="0" w:color="auto"/>
                      </w:divBdr>
                    </w:div>
                  </w:divsChild>
                </w:div>
                <w:div w:id="1771046378">
                  <w:marLeft w:val="0"/>
                  <w:marRight w:val="0"/>
                  <w:marTop w:val="0"/>
                  <w:marBottom w:val="0"/>
                  <w:divBdr>
                    <w:top w:val="none" w:sz="0" w:space="0" w:color="auto"/>
                    <w:left w:val="none" w:sz="0" w:space="0" w:color="auto"/>
                    <w:bottom w:val="none" w:sz="0" w:space="0" w:color="auto"/>
                    <w:right w:val="none" w:sz="0" w:space="0" w:color="auto"/>
                  </w:divBdr>
                  <w:divsChild>
                    <w:div w:id="1407918809">
                      <w:marLeft w:val="0"/>
                      <w:marRight w:val="0"/>
                      <w:marTop w:val="0"/>
                      <w:marBottom w:val="0"/>
                      <w:divBdr>
                        <w:top w:val="none" w:sz="0" w:space="0" w:color="auto"/>
                        <w:left w:val="none" w:sz="0" w:space="0" w:color="auto"/>
                        <w:bottom w:val="none" w:sz="0" w:space="0" w:color="auto"/>
                        <w:right w:val="none" w:sz="0" w:space="0" w:color="auto"/>
                      </w:divBdr>
                    </w:div>
                  </w:divsChild>
                </w:div>
                <w:div w:id="2051686342">
                  <w:marLeft w:val="0"/>
                  <w:marRight w:val="0"/>
                  <w:marTop w:val="0"/>
                  <w:marBottom w:val="0"/>
                  <w:divBdr>
                    <w:top w:val="none" w:sz="0" w:space="0" w:color="auto"/>
                    <w:left w:val="none" w:sz="0" w:space="0" w:color="auto"/>
                    <w:bottom w:val="none" w:sz="0" w:space="0" w:color="auto"/>
                    <w:right w:val="none" w:sz="0" w:space="0" w:color="auto"/>
                  </w:divBdr>
                  <w:divsChild>
                    <w:div w:id="453643468">
                      <w:marLeft w:val="0"/>
                      <w:marRight w:val="0"/>
                      <w:marTop w:val="0"/>
                      <w:marBottom w:val="0"/>
                      <w:divBdr>
                        <w:top w:val="none" w:sz="0" w:space="0" w:color="auto"/>
                        <w:left w:val="none" w:sz="0" w:space="0" w:color="auto"/>
                        <w:bottom w:val="none" w:sz="0" w:space="0" w:color="auto"/>
                        <w:right w:val="none" w:sz="0" w:space="0" w:color="auto"/>
                      </w:divBdr>
                    </w:div>
                  </w:divsChild>
                </w:div>
                <w:div w:id="2078168588">
                  <w:marLeft w:val="0"/>
                  <w:marRight w:val="0"/>
                  <w:marTop w:val="0"/>
                  <w:marBottom w:val="0"/>
                  <w:divBdr>
                    <w:top w:val="none" w:sz="0" w:space="0" w:color="auto"/>
                    <w:left w:val="none" w:sz="0" w:space="0" w:color="auto"/>
                    <w:bottom w:val="none" w:sz="0" w:space="0" w:color="auto"/>
                    <w:right w:val="none" w:sz="0" w:space="0" w:color="auto"/>
                  </w:divBdr>
                  <w:divsChild>
                    <w:div w:id="1263219819">
                      <w:marLeft w:val="0"/>
                      <w:marRight w:val="0"/>
                      <w:marTop w:val="0"/>
                      <w:marBottom w:val="0"/>
                      <w:divBdr>
                        <w:top w:val="none" w:sz="0" w:space="0" w:color="auto"/>
                        <w:left w:val="none" w:sz="0" w:space="0" w:color="auto"/>
                        <w:bottom w:val="none" w:sz="0" w:space="0" w:color="auto"/>
                        <w:right w:val="none" w:sz="0" w:space="0" w:color="auto"/>
                      </w:divBdr>
                    </w:div>
                  </w:divsChild>
                </w:div>
                <w:div w:id="2107117091">
                  <w:marLeft w:val="0"/>
                  <w:marRight w:val="0"/>
                  <w:marTop w:val="0"/>
                  <w:marBottom w:val="0"/>
                  <w:divBdr>
                    <w:top w:val="none" w:sz="0" w:space="0" w:color="auto"/>
                    <w:left w:val="none" w:sz="0" w:space="0" w:color="auto"/>
                    <w:bottom w:val="none" w:sz="0" w:space="0" w:color="auto"/>
                    <w:right w:val="none" w:sz="0" w:space="0" w:color="auto"/>
                  </w:divBdr>
                  <w:divsChild>
                    <w:div w:id="21420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037498">
      <w:bodyDiv w:val="1"/>
      <w:marLeft w:val="0"/>
      <w:marRight w:val="0"/>
      <w:marTop w:val="0"/>
      <w:marBottom w:val="0"/>
      <w:divBdr>
        <w:top w:val="none" w:sz="0" w:space="0" w:color="auto"/>
        <w:left w:val="none" w:sz="0" w:space="0" w:color="auto"/>
        <w:bottom w:val="none" w:sz="0" w:space="0" w:color="auto"/>
        <w:right w:val="none" w:sz="0" w:space="0" w:color="auto"/>
      </w:divBdr>
      <w:divsChild>
        <w:div w:id="3436296">
          <w:marLeft w:val="0"/>
          <w:marRight w:val="0"/>
          <w:marTop w:val="0"/>
          <w:marBottom w:val="0"/>
          <w:divBdr>
            <w:top w:val="none" w:sz="0" w:space="0" w:color="auto"/>
            <w:left w:val="none" w:sz="0" w:space="0" w:color="auto"/>
            <w:bottom w:val="none" w:sz="0" w:space="0" w:color="auto"/>
            <w:right w:val="none" w:sz="0" w:space="0" w:color="auto"/>
          </w:divBdr>
          <w:divsChild>
            <w:div w:id="144860531">
              <w:marLeft w:val="0"/>
              <w:marRight w:val="0"/>
              <w:marTop w:val="0"/>
              <w:marBottom w:val="0"/>
              <w:divBdr>
                <w:top w:val="none" w:sz="0" w:space="0" w:color="auto"/>
                <w:left w:val="none" w:sz="0" w:space="0" w:color="auto"/>
                <w:bottom w:val="none" w:sz="0" w:space="0" w:color="auto"/>
                <w:right w:val="none" w:sz="0" w:space="0" w:color="auto"/>
              </w:divBdr>
            </w:div>
            <w:div w:id="555511345">
              <w:marLeft w:val="0"/>
              <w:marRight w:val="0"/>
              <w:marTop w:val="0"/>
              <w:marBottom w:val="0"/>
              <w:divBdr>
                <w:top w:val="none" w:sz="0" w:space="0" w:color="auto"/>
                <w:left w:val="none" w:sz="0" w:space="0" w:color="auto"/>
                <w:bottom w:val="none" w:sz="0" w:space="0" w:color="auto"/>
                <w:right w:val="none" w:sz="0" w:space="0" w:color="auto"/>
              </w:divBdr>
            </w:div>
            <w:div w:id="813565036">
              <w:marLeft w:val="0"/>
              <w:marRight w:val="0"/>
              <w:marTop w:val="0"/>
              <w:marBottom w:val="0"/>
              <w:divBdr>
                <w:top w:val="none" w:sz="0" w:space="0" w:color="auto"/>
                <w:left w:val="none" w:sz="0" w:space="0" w:color="auto"/>
                <w:bottom w:val="none" w:sz="0" w:space="0" w:color="auto"/>
                <w:right w:val="none" w:sz="0" w:space="0" w:color="auto"/>
              </w:divBdr>
            </w:div>
          </w:divsChild>
        </w:div>
        <w:div w:id="8653026">
          <w:marLeft w:val="0"/>
          <w:marRight w:val="0"/>
          <w:marTop w:val="0"/>
          <w:marBottom w:val="0"/>
          <w:divBdr>
            <w:top w:val="none" w:sz="0" w:space="0" w:color="auto"/>
            <w:left w:val="none" w:sz="0" w:space="0" w:color="auto"/>
            <w:bottom w:val="none" w:sz="0" w:space="0" w:color="auto"/>
            <w:right w:val="none" w:sz="0" w:space="0" w:color="auto"/>
          </w:divBdr>
          <w:divsChild>
            <w:div w:id="664208551">
              <w:marLeft w:val="0"/>
              <w:marRight w:val="0"/>
              <w:marTop w:val="0"/>
              <w:marBottom w:val="0"/>
              <w:divBdr>
                <w:top w:val="none" w:sz="0" w:space="0" w:color="auto"/>
                <w:left w:val="none" w:sz="0" w:space="0" w:color="auto"/>
                <w:bottom w:val="none" w:sz="0" w:space="0" w:color="auto"/>
                <w:right w:val="none" w:sz="0" w:space="0" w:color="auto"/>
              </w:divBdr>
            </w:div>
          </w:divsChild>
        </w:div>
        <w:div w:id="9526851">
          <w:marLeft w:val="0"/>
          <w:marRight w:val="0"/>
          <w:marTop w:val="0"/>
          <w:marBottom w:val="0"/>
          <w:divBdr>
            <w:top w:val="none" w:sz="0" w:space="0" w:color="auto"/>
            <w:left w:val="none" w:sz="0" w:space="0" w:color="auto"/>
            <w:bottom w:val="none" w:sz="0" w:space="0" w:color="auto"/>
            <w:right w:val="none" w:sz="0" w:space="0" w:color="auto"/>
          </w:divBdr>
          <w:divsChild>
            <w:div w:id="1796022061">
              <w:marLeft w:val="0"/>
              <w:marRight w:val="0"/>
              <w:marTop w:val="0"/>
              <w:marBottom w:val="0"/>
              <w:divBdr>
                <w:top w:val="none" w:sz="0" w:space="0" w:color="auto"/>
                <w:left w:val="none" w:sz="0" w:space="0" w:color="auto"/>
                <w:bottom w:val="none" w:sz="0" w:space="0" w:color="auto"/>
                <w:right w:val="none" w:sz="0" w:space="0" w:color="auto"/>
              </w:divBdr>
            </w:div>
          </w:divsChild>
        </w:div>
        <w:div w:id="23948752">
          <w:marLeft w:val="0"/>
          <w:marRight w:val="0"/>
          <w:marTop w:val="0"/>
          <w:marBottom w:val="0"/>
          <w:divBdr>
            <w:top w:val="none" w:sz="0" w:space="0" w:color="auto"/>
            <w:left w:val="none" w:sz="0" w:space="0" w:color="auto"/>
            <w:bottom w:val="none" w:sz="0" w:space="0" w:color="auto"/>
            <w:right w:val="none" w:sz="0" w:space="0" w:color="auto"/>
          </w:divBdr>
          <w:divsChild>
            <w:div w:id="382337670">
              <w:marLeft w:val="0"/>
              <w:marRight w:val="0"/>
              <w:marTop w:val="0"/>
              <w:marBottom w:val="0"/>
              <w:divBdr>
                <w:top w:val="none" w:sz="0" w:space="0" w:color="auto"/>
                <w:left w:val="none" w:sz="0" w:space="0" w:color="auto"/>
                <w:bottom w:val="none" w:sz="0" w:space="0" w:color="auto"/>
                <w:right w:val="none" w:sz="0" w:space="0" w:color="auto"/>
              </w:divBdr>
            </w:div>
            <w:div w:id="1514414769">
              <w:marLeft w:val="0"/>
              <w:marRight w:val="0"/>
              <w:marTop w:val="0"/>
              <w:marBottom w:val="0"/>
              <w:divBdr>
                <w:top w:val="none" w:sz="0" w:space="0" w:color="auto"/>
                <w:left w:val="none" w:sz="0" w:space="0" w:color="auto"/>
                <w:bottom w:val="none" w:sz="0" w:space="0" w:color="auto"/>
                <w:right w:val="none" w:sz="0" w:space="0" w:color="auto"/>
              </w:divBdr>
            </w:div>
            <w:div w:id="1693921056">
              <w:marLeft w:val="0"/>
              <w:marRight w:val="0"/>
              <w:marTop w:val="0"/>
              <w:marBottom w:val="0"/>
              <w:divBdr>
                <w:top w:val="none" w:sz="0" w:space="0" w:color="auto"/>
                <w:left w:val="none" w:sz="0" w:space="0" w:color="auto"/>
                <w:bottom w:val="none" w:sz="0" w:space="0" w:color="auto"/>
                <w:right w:val="none" w:sz="0" w:space="0" w:color="auto"/>
              </w:divBdr>
            </w:div>
          </w:divsChild>
        </w:div>
        <w:div w:id="27341876">
          <w:marLeft w:val="0"/>
          <w:marRight w:val="0"/>
          <w:marTop w:val="0"/>
          <w:marBottom w:val="0"/>
          <w:divBdr>
            <w:top w:val="none" w:sz="0" w:space="0" w:color="auto"/>
            <w:left w:val="none" w:sz="0" w:space="0" w:color="auto"/>
            <w:bottom w:val="none" w:sz="0" w:space="0" w:color="auto"/>
            <w:right w:val="none" w:sz="0" w:space="0" w:color="auto"/>
          </w:divBdr>
          <w:divsChild>
            <w:div w:id="1169491344">
              <w:marLeft w:val="0"/>
              <w:marRight w:val="0"/>
              <w:marTop w:val="0"/>
              <w:marBottom w:val="0"/>
              <w:divBdr>
                <w:top w:val="none" w:sz="0" w:space="0" w:color="auto"/>
                <w:left w:val="none" w:sz="0" w:space="0" w:color="auto"/>
                <w:bottom w:val="none" w:sz="0" w:space="0" w:color="auto"/>
                <w:right w:val="none" w:sz="0" w:space="0" w:color="auto"/>
              </w:divBdr>
            </w:div>
            <w:div w:id="1826820627">
              <w:marLeft w:val="0"/>
              <w:marRight w:val="0"/>
              <w:marTop w:val="0"/>
              <w:marBottom w:val="0"/>
              <w:divBdr>
                <w:top w:val="none" w:sz="0" w:space="0" w:color="auto"/>
                <w:left w:val="none" w:sz="0" w:space="0" w:color="auto"/>
                <w:bottom w:val="none" w:sz="0" w:space="0" w:color="auto"/>
                <w:right w:val="none" w:sz="0" w:space="0" w:color="auto"/>
              </w:divBdr>
            </w:div>
          </w:divsChild>
        </w:div>
        <w:div w:id="31002907">
          <w:marLeft w:val="0"/>
          <w:marRight w:val="0"/>
          <w:marTop w:val="0"/>
          <w:marBottom w:val="0"/>
          <w:divBdr>
            <w:top w:val="none" w:sz="0" w:space="0" w:color="auto"/>
            <w:left w:val="none" w:sz="0" w:space="0" w:color="auto"/>
            <w:bottom w:val="none" w:sz="0" w:space="0" w:color="auto"/>
            <w:right w:val="none" w:sz="0" w:space="0" w:color="auto"/>
          </w:divBdr>
          <w:divsChild>
            <w:div w:id="1074274837">
              <w:marLeft w:val="0"/>
              <w:marRight w:val="0"/>
              <w:marTop w:val="0"/>
              <w:marBottom w:val="0"/>
              <w:divBdr>
                <w:top w:val="none" w:sz="0" w:space="0" w:color="auto"/>
                <w:left w:val="none" w:sz="0" w:space="0" w:color="auto"/>
                <w:bottom w:val="none" w:sz="0" w:space="0" w:color="auto"/>
                <w:right w:val="none" w:sz="0" w:space="0" w:color="auto"/>
              </w:divBdr>
            </w:div>
          </w:divsChild>
        </w:div>
        <w:div w:id="33622514">
          <w:marLeft w:val="0"/>
          <w:marRight w:val="0"/>
          <w:marTop w:val="0"/>
          <w:marBottom w:val="0"/>
          <w:divBdr>
            <w:top w:val="none" w:sz="0" w:space="0" w:color="auto"/>
            <w:left w:val="none" w:sz="0" w:space="0" w:color="auto"/>
            <w:bottom w:val="none" w:sz="0" w:space="0" w:color="auto"/>
            <w:right w:val="none" w:sz="0" w:space="0" w:color="auto"/>
          </w:divBdr>
          <w:divsChild>
            <w:div w:id="899288048">
              <w:marLeft w:val="0"/>
              <w:marRight w:val="0"/>
              <w:marTop w:val="0"/>
              <w:marBottom w:val="0"/>
              <w:divBdr>
                <w:top w:val="none" w:sz="0" w:space="0" w:color="auto"/>
                <w:left w:val="none" w:sz="0" w:space="0" w:color="auto"/>
                <w:bottom w:val="none" w:sz="0" w:space="0" w:color="auto"/>
                <w:right w:val="none" w:sz="0" w:space="0" w:color="auto"/>
              </w:divBdr>
            </w:div>
          </w:divsChild>
        </w:div>
        <w:div w:id="47195751">
          <w:marLeft w:val="0"/>
          <w:marRight w:val="0"/>
          <w:marTop w:val="0"/>
          <w:marBottom w:val="0"/>
          <w:divBdr>
            <w:top w:val="none" w:sz="0" w:space="0" w:color="auto"/>
            <w:left w:val="none" w:sz="0" w:space="0" w:color="auto"/>
            <w:bottom w:val="none" w:sz="0" w:space="0" w:color="auto"/>
            <w:right w:val="none" w:sz="0" w:space="0" w:color="auto"/>
          </w:divBdr>
          <w:divsChild>
            <w:div w:id="1798251983">
              <w:marLeft w:val="0"/>
              <w:marRight w:val="0"/>
              <w:marTop w:val="0"/>
              <w:marBottom w:val="0"/>
              <w:divBdr>
                <w:top w:val="none" w:sz="0" w:space="0" w:color="auto"/>
                <w:left w:val="none" w:sz="0" w:space="0" w:color="auto"/>
                <w:bottom w:val="none" w:sz="0" w:space="0" w:color="auto"/>
                <w:right w:val="none" w:sz="0" w:space="0" w:color="auto"/>
              </w:divBdr>
            </w:div>
            <w:div w:id="1873952782">
              <w:marLeft w:val="0"/>
              <w:marRight w:val="0"/>
              <w:marTop w:val="0"/>
              <w:marBottom w:val="0"/>
              <w:divBdr>
                <w:top w:val="none" w:sz="0" w:space="0" w:color="auto"/>
                <w:left w:val="none" w:sz="0" w:space="0" w:color="auto"/>
                <w:bottom w:val="none" w:sz="0" w:space="0" w:color="auto"/>
                <w:right w:val="none" w:sz="0" w:space="0" w:color="auto"/>
              </w:divBdr>
            </w:div>
          </w:divsChild>
        </w:div>
        <w:div w:id="48921957">
          <w:marLeft w:val="0"/>
          <w:marRight w:val="0"/>
          <w:marTop w:val="0"/>
          <w:marBottom w:val="0"/>
          <w:divBdr>
            <w:top w:val="none" w:sz="0" w:space="0" w:color="auto"/>
            <w:left w:val="none" w:sz="0" w:space="0" w:color="auto"/>
            <w:bottom w:val="none" w:sz="0" w:space="0" w:color="auto"/>
            <w:right w:val="none" w:sz="0" w:space="0" w:color="auto"/>
          </w:divBdr>
          <w:divsChild>
            <w:div w:id="500045907">
              <w:marLeft w:val="0"/>
              <w:marRight w:val="0"/>
              <w:marTop w:val="0"/>
              <w:marBottom w:val="0"/>
              <w:divBdr>
                <w:top w:val="none" w:sz="0" w:space="0" w:color="auto"/>
                <w:left w:val="none" w:sz="0" w:space="0" w:color="auto"/>
                <w:bottom w:val="none" w:sz="0" w:space="0" w:color="auto"/>
                <w:right w:val="none" w:sz="0" w:space="0" w:color="auto"/>
              </w:divBdr>
            </w:div>
            <w:div w:id="1041201074">
              <w:marLeft w:val="0"/>
              <w:marRight w:val="0"/>
              <w:marTop w:val="0"/>
              <w:marBottom w:val="0"/>
              <w:divBdr>
                <w:top w:val="none" w:sz="0" w:space="0" w:color="auto"/>
                <w:left w:val="none" w:sz="0" w:space="0" w:color="auto"/>
                <w:bottom w:val="none" w:sz="0" w:space="0" w:color="auto"/>
                <w:right w:val="none" w:sz="0" w:space="0" w:color="auto"/>
              </w:divBdr>
            </w:div>
            <w:div w:id="1205406998">
              <w:marLeft w:val="0"/>
              <w:marRight w:val="0"/>
              <w:marTop w:val="0"/>
              <w:marBottom w:val="0"/>
              <w:divBdr>
                <w:top w:val="none" w:sz="0" w:space="0" w:color="auto"/>
                <w:left w:val="none" w:sz="0" w:space="0" w:color="auto"/>
                <w:bottom w:val="none" w:sz="0" w:space="0" w:color="auto"/>
                <w:right w:val="none" w:sz="0" w:space="0" w:color="auto"/>
              </w:divBdr>
            </w:div>
          </w:divsChild>
        </w:div>
        <w:div w:id="54817268">
          <w:marLeft w:val="0"/>
          <w:marRight w:val="0"/>
          <w:marTop w:val="0"/>
          <w:marBottom w:val="0"/>
          <w:divBdr>
            <w:top w:val="none" w:sz="0" w:space="0" w:color="auto"/>
            <w:left w:val="none" w:sz="0" w:space="0" w:color="auto"/>
            <w:bottom w:val="none" w:sz="0" w:space="0" w:color="auto"/>
            <w:right w:val="none" w:sz="0" w:space="0" w:color="auto"/>
          </w:divBdr>
          <w:divsChild>
            <w:div w:id="922909014">
              <w:marLeft w:val="0"/>
              <w:marRight w:val="0"/>
              <w:marTop w:val="0"/>
              <w:marBottom w:val="0"/>
              <w:divBdr>
                <w:top w:val="none" w:sz="0" w:space="0" w:color="auto"/>
                <w:left w:val="none" w:sz="0" w:space="0" w:color="auto"/>
                <w:bottom w:val="none" w:sz="0" w:space="0" w:color="auto"/>
                <w:right w:val="none" w:sz="0" w:space="0" w:color="auto"/>
              </w:divBdr>
            </w:div>
          </w:divsChild>
        </w:div>
        <w:div w:id="68624117">
          <w:marLeft w:val="0"/>
          <w:marRight w:val="0"/>
          <w:marTop w:val="0"/>
          <w:marBottom w:val="0"/>
          <w:divBdr>
            <w:top w:val="none" w:sz="0" w:space="0" w:color="auto"/>
            <w:left w:val="none" w:sz="0" w:space="0" w:color="auto"/>
            <w:bottom w:val="none" w:sz="0" w:space="0" w:color="auto"/>
            <w:right w:val="none" w:sz="0" w:space="0" w:color="auto"/>
          </w:divBdr>
          <w:divsChild>
            <w:div w:id="766803039">
              <w:marLeft w:val="0"/>
              <w:marRight w:val="0"/>
              <w:marTop w:val="0"/>
              <w:marBottom w:val="0"/>
              <w:divBdr>
                <w:top w:val="none" w:sz="0" w:space="0" w:color="auto"/>
                <w:left w:val="none" w:sz="0" w:space="0" w:color="auto"/>
                <w:bottom w:val="none" w:sz="0" w:space="0" w:color="auto"/>
                <w:right w:val="none" w:sz="0" w:space="0" w:color="auto"/>
              </w:divBdr>
            </w:div>
          </w:divsChild>
        </w:div>
        <w:div w:id="69010775">
          <w:marLeft w:val="0"/>
          <w:marRight w:val="0"/>
          <w:marTop w:val="0"/>
          <w:marBottom w:val="0"/>
          <w:divBdr>
            <w:top w:val="none" w:sz="0" w:space="0" w:color="auto"/>
            <w:left w:val="none" w:sz="0" w:space="0" w:color="auto"/>
            <w:bottom w:val="none" w:sz="0" w:space="0" w:color="auto"/>
            <w:right w:val="none" w:sz="0" w:space="0" w:color="auto"/>
          </w:divBdr>
          <w:divsChild>
            <w:div w:id="834995433">
              <w:marLeft w:val="0"/>
              <w:marRight w:val="0"/>
              <w:marTop w:val="0"/>
              <w:marBottom w:val="0"/>
              <w:divBdr>
                <w:top w:val="none" w:sz="0" w:space="0" w:color="auto"/>
                <w:left w:val="none" w:sz="0" w:space="0" w:color="auto"/>
                <w:bottom w:val="none" w:sz="0" w:space="0" w:color="auto"/>
                <w:right w:val="none" w:sz="0" w:space="0" w:color="auto"/>
              </w:divBdr>
            </w:div>
            <w:div w:id="850683282">
              <w:marLeft w:val="0"/>
              <w:marRight w:val="0"/>
              <w:marTop w:val="0"/>
              <w:marBottom w:val="0"/>
              <w:divBdr>
                <w:top w:val="none" w:sz="0" w:space="0" w:color="auto"/>
                <w:left w:val="none" w:sz="0" w:space="0" w:color="auto"/>
                <w:bottom w:val="none" w:sz="0" w:space="0" w:color="auto"/>
                <w:right w:val="none" w:sz="0" w:space="0" w:color="auto"/>
              </w:divBdr>
            </w:div>
            <w:div w:id="1325545576">
              <w:marLeft w:val="0"/>
              <w:marRight w:val="0"/>
              <w:marTop w:val="0"/>
              <w:marBottom w:val="0"/>
              <w:divBdr>
                <w:top w:val="none" w:sz="0" w:space="0" w:color="auto"/>
                <w:left w:val="none" w:sz="0" w:space="0" w:color="auto"/>
                <w:bottom w:val="none" w:sz="0" w:space="0" w:color="auto"/>
                <w:right w:val="none" w:sz="0" w:space="0" w:color="auto"/>
              </w:divBdr>
            </w:div>
            <w:div w:id="2007828894">
              <w:marLeft w:val="0"/>
              <w:marRight w:val="0"/>
              <w:marTop w:val="0"/>
              <w:marBottom w:val="0"/>
              <w:divBdr>
                <w:top w:val="none" w:sz="0" w:space="0" w:color="auto"/>
                <w:left w:val="none" w:sz="0" w:space="0" w:color="auto"/>
                <w:bottom w:val="none" w:sz="0" w:space="0" w:color="auto"/>
                <w:right w:val="none" w:sz="0" w:space="0" w:color="auto"/>
              </w:divBdr>
            </w:div>
            <w:div w:id="2145080541">
              <w:marLeft w:val="0"/>
              <w:marRight w:val="0"/>
              <w:marTop w:val="0"/>
              <w:marBottom w:val="0"/>
              <w:divBdr>
                <w:top w:val="none" w:sz="0" w:space="0" w:color="auto"/>
                <w:left w:val="none" w:sz="0" w:space="0" w:color="auto"/>
                <w:bottom w:val="none" w:sz="0" w:space="0" w:color="auto"/>
                <w:right w:val="none" w:sz="0" w:space="0" w:color="auto"/>
              </w:divBdr>
            </w:div>
          </w:divsChild>
        </w:div>
        <w:div w:id="71514203">
          <w:marLeft w:val="0"/>
          <w:marRight w:val="0"/>
          <w:marTop w:val="0"/>
          <w:marBottom w:val="0"/>
          <w:divBdr>
            <w:top w:val="none" w:sz="0" w:space="0" w:color="auto"/>
            <w:left w:val="none" w:sz="0" w:space="0" w:color="auto"/>
            <w:bottom w:val="none" w:sz="0" w:space="0" w:color="auto"/>
            <w:right w:val="none" w:sz="0" w:space="0" w:color="auto"/>
          </w:divBdr>
          <w:divsChild>
            <w:div w:id="1660230161">
              <w:marLeft w:val="0"/>
              <w:marRight w:val="0"/>
              <w:marTop w:val="0"/>
              <w:marBottom w:val="0"/>
              <w:divBdr>
                <w:top w:val="none" w:sz="0" w:space="0" w:color="auto"/>
                <w:left w:val="none" w:sz="0" w:space="0" w:color="auto"/>
                <w:bottom w:val="none" w:sz="0" w:space="0" w:color="auto"/>
                <w:right w:val="none" w:sz="0" w:space="0" w:color="auto"/>
              </w:divBdr>
            </w:div>
          </w:divsChild>
        </w:div>
        <w:div w:id="74978723">
          <w:marLeft w:val="0"/>
          <w:marRight w:val="0"/>
          <w:marTop w:val="0"/>
          <w:marBottom w:val="0"/>
          <w:divBdr>
            <w:top w:val="none" w:sz="0" w:space="0" w:color="auto"/>
            <w:left w:val="none" w:sz="0" w:space="0" w:color="auto"/>
            <w:bottom w:val="none" w:sz="0" w:space="0" w:color="auto"/>
            <w:right w:val="none" w:sz="0" w:space="0" w:color="auto"/>
          </w:divBdr>
          <w:divsChild>
            <w:div w:id="1898276768">
              <w:marLeft w:val="0"/>
              <w:marRight w:val="0"/>
              <w:marTop w:val="0"/>
              <w:marBottom w:val="0"/>
              <w:divBdr>
                <w:top w:val="none" w:sz="0" w:space="0" w:color="auto"/>
                <w:left w:val="none" w:sz="0" w:space="0" w:color="auto"/>
                <w:bottom w:val="none" w:sz="0" w:space="0" w:color="auto"/>
                <w:right w:val="none" w:sz="0" w:space="0" w:color="auto"/>
              </w:divBdr>
            </w:div>
          </w:divsChild>
        </w:div>
        <w:div w:id="88239336">
          <w:marLeft w:val="0"/>
          <w:marRight w:val="0"/>
          <w:marTop w:val="0"/>
          <w:marBottom w:val="0"/>
          <w:divBdr>
            <w:top w:val="none" w:sz="0" w:space="0" w:color="auto"/>
            <w:left w:val="none" w:sz="0" w:space="0" w:color="auto"/>
            <w:bottom w:val="none" w:sz="0" w:space="0" w:color="auto"/>
            <w:right w:val="none" w:sz="0" w:space="0" w:color="auto"/>
          </w:divBdr>
          <w:divsChild>
            <w:div w:id="344483016">
              <w:marLeft w:val="0"/>
              <w:marRight w:val="0"/>
              <w:marTop w:val="0"/>
              <w:marBottom w:val="0"/>
              <w:divBdr>
                <w:top w:val="none" w:sz="0" w:space="0" w:color="auto"/>
                <w:left w:val="none" w:sz="0" w:space="0" w:color="auto"/>
                <w:bottom w:val="none" w:sz="0" w:space="0" w:color="auto"/>
                <w:right w:val="none" w:sz="0" w:space="0" w:color="auto"/>
              </w:divBdr>
            </w:div>
            <w:div w:id="1212578937">
              <w:marLeft w:val="0"/>
              <w:marRight w:val="0"/>
              <w:marTop w:val="0"/>
              <w:marBottom w:val="0"/>
              <w:divBdr>
                <w:top w:val="none" w:sz="0" w:space="0" w:color="auto"/>
                <w:left w:val="none" w:sz="0" w:space="0" w:color="auto"/>
                <w:bottom w:val="none" w:sz="0" w:space="0" w:color="auto"/>
                <w:right w:val="none" w:sz="0" w:space="0" w:color="auto"/>
              </w:divBdr>
            </w:div>
            <w:div w:id="1520005428">
              <w:marLeft w:val="0"/>
              <w:marRight w:val="0"/>
              <w:marTop w:val="0"/>
              <w:marBottom w:val="0"/>
              <w:divBdr>
                <w:top w:val="none" w:sz="0" w:space="0" w:color="auto"/>
                <w:left w:val="none" w:sz="0" w:space="0" w:color="auto"/>
                <w:bottom w:val="none" w:sz="0" w:space="0" w:color="auto"/>
                <w:right w:val="none" w:sz="0" w:space="0" w:color="auto"/>
              </w:divBdr>
            </w:div>
          </w:divsChild>
        </w:div>
        <w:div w:id="96953032">
          <w:marLeft w:val="0"/>
          <w:marRight w:val="0"/>
          <w:marTop w:val="0"/>
          <w:marBottom w:val="0"/>
          <w:divBdr>
            <w:top w:val="none" w:sz="0" w:space="0" w:color="auto"/>
            <w:left w:val="none" w:sz="0" w:space="0" w:color="auto"/>
            <w:bottom w:val="none" w:sz="0" w:space="0" w:color="auto"/>
            <w:right w:val="none" w:sz="0" w:space="0" w:color="auto"/>
          </w:divBdr>
          <w:divsChild>
            <w:div w:id="147942985">
              <w:marLeft w:val="0"/>
              <w:marRight w:val="0"/>
              <w:marTop w:val="0"/>
              <w:marBottom w:val="0"/>
              <w:divBdr>
                <w:top w:val="none" w:sz="0" w:space="0" w:color="auto"/>
                <w:left w:val="none" w:sz="0" w:space="0" w:color="auto"/>
                <w:bottom w:val="none" w:sz="0" w:space="0" w:color="auto"/>
                <w:right w:val="none" w:sz="0" w:space="0" w:color="auto"/>
              </w:divBdr>
            </w:div>
            <w:div w:id="150828662">
              <w:marLeft w:val="0"/>
              <w:marRight w:val="0"/>
              <w:marTop w:val="0"/>
              <w:marBottom w:val="0"/>
              <w:divBdr>
                <w:top w:val="none" w:sz="0" w:space="0" w:color="auto"/>
                <w:left w:val="none" w:sz="0" w:space="0" w:color="auto"/>
                <w:bottom w:val="none" w:sz="0" w:space="0" w:color="auto"/>
                <w:right w:val="none" w:sz="0" w:space="0" w:color="auto"/>
              </w:divBdr>
            </w:div>
            <w:div w:id="468784430">
              <w:marLeft w:val="0"/>
              <w:marRight w:val="0"/>
              <w:marTop w:val="0"/>
              <w:marBottom w:val="0"/>
              <w:divBdr>
                <w:top w:val="none" w:sz="0" w:space="0" w:color="auto"/>
                <w:left w:val="none" w:sz="0" w:space="0" w:color="auto"/>
                <w:bottom w:val="none" w:sz="0" w:space="0" w:color="auto"/>
                <w:right w:val="none" w:sz="0" w:space="0" w:color="auto"/>
              </w:divBdr>
            </w:div>
            <w:div w:id="1212115489">
              <w:marLeft w:val="0"/>
              <w:marRight w:val="0"/>
              <w:marTop w:val="0"/>
              <w:marBottom w:val="0"/>
              <w:divBdr>
                <w:top w:val="none" w:sz="0" w:space="0" w:color="auto"/>
                <w:left w:val="none" w:sz="0" w:space="0" w:color="auto"/>
                <w:bottom w:val="none" w:sz="0" w:space="0" w:color="auto"/>
                <w:right w:val="none" w:sz="0" w:space="0" w:color="auto"/>
              </w:divBdr>
            </w:div>
          </w:divsChild>
        </w:div>
        <w:div w:id="103159557">
          <w:marLeft w:val="0"/>
          <w:marRight w:val="0"/>
          <w:marTop w:val="0"/>
          <w:marBottom w:val="0"/>
          <w:divBdr>
            <w:top w:val="none" w:sz="0" w:space="0" w:color="auto"/>
            <w:left w:val="none" w:sz="0" w:space="0" w:color="auto"/>
            <w:bottom w:val="none" w:sz="0" w:space="0" w:color="auto"/>
            <w:right w:val="none" w:sz="0" w:space="0" w:color="auto"/>
          </w:divBdr>
          <w:divsChild>
            <w:div w:id="1928147454">
              <w:marLeft w:val="0"/>
              <w:marRight w:val="0"/>
              <w:marTop w:val="0"/>
              <w:marBottom w:val="0"/>
              <w:divBdr>
                <w:top w:val="none" w:sz="0" w:space="0" w:color="auto"/>
                <w:left w:val="none" w:sz="0" w:space="0" w:color="auto"/>
                <w:bottom w:val="none" w:sz="0" w:space="0" w:color="auto"/>
                <w:right w:val="none" w:sz="0" w:space="0" w:color="auto"/>
              </w:divBdr>
            </w:div>
          </w:divsChild>
        </w:div>
        <w:div w:id="107238108">
          <w:marLeft w:val="0"/>
          <w:marRight w:val="0"/>
          <w:marTop w:val="0"/>
          <w:marBottom w:val="0"/>
          <w:divBdr>
            <w:top w:val="none" w:sz="0" w:space="0" w:color="auto"/>
            <w:left w:val="none" w:sz="0" w:space="0" w:color="auto"/>
            <w:bottom w:val="none" w:sz="0" w:space="0" w:color="auto"/>
            <w:right w:val="none" w:sz="0" w:space="0" w:color="auto"/>
          </w:divBdr>
          <w:divsChild>
            <w:div w:id="825246254">
              <w:marLeft w:val="0"/>
              <w:marRight w:val="0"/>
              <w:marTop w:val="0"/>
              <w:marBottom w:val="0"/>
              <w:divBdr>
                <w:top w:val="none" w:sz="0" w:space="0" w:color="auto"/>
                <w:left w:val="none" w:sz="0" w:space="0" w:color="auto"/>
                <w:bottom w:val="none" w:sz="0" w:space="0" w:color="auto"/>
                <w:right w:val="none" w:sz="0" w:space="0" w:color="auto"/>
              </w:divBdr>
            </w:div>
          </w:divsChild>
        </w:div>
        <w:div w:id="116411160">
          <w:marLeft w:val="0"/>
          <w:marRight w:val="0"/>
          <w:marTop w:val="0"/>
          <w:marBottom w:val="0"/>
          <w:divBdr>
            <w:top w:val="none" w:sz="0" w:space="0" w:color="auto"/>
            <w:left w:val="none" w:sz="0" w:space="0" w:color="auto"/>
            <w:bottom w:val="none" w:sz="0" w:space="0" w:color="auto"/>
            <w:right w:val="none" w:sz="0" w:space="0" w:color="auto"/>
          </w:divBdr>
          <w:divsChild>
            <w:div w:id="1661230780">
              <w:marLeft w:val="0"/>
              <w:marRight w:val="0"/>
              <w:marTop w:val="0"/>
              <w:marBottom w:val="0"/>
              <w:divBdr>
                <w:top w:val="none" w:sz="0" w:space="0" w:color="auto"/>
                <w:left w:val="none" w:sz="0" w:space="0" w:color="auto"/>
                <w:bottom w:val="none" w:sz="0" w:space="0" w:color="auto"/>
                <w:right w:val="none" w:sz="0" w:space="0" w:color="auto"/>
              </w:divBdr>
            </w:div>
          </w:divsChild>
        </w:div>
        <w:div w:id="124279732">
          <w:marLeft w:val="0"/>
          <w:marRight w:val="0"/>
          <w:marTop w:val="0"/>
          <w:marBottom w:val="0"/>
          <w:divBdr>
            <w:top w:val="none" w:sz="0" w:space="0" w:color="auto"/>
            <w:left w:val="none" w:sz="0" w:space="0" w:color="auto"/>
            <w:bottom w:val="none" w:sz="0" w:space="0" w:color="auto"/>
            <w:right w:val="none" w:sz="0" w:space="0" w:color="auto"/>
          </w:divBdr>
          <w:divsChild>
            <w:div w:id="1759331910">
              <w:marLeft w:val="0"/>
              <w:marRight w:val="0"/>
              <w:marTop w:val="0"/>
              <w:marBottom w:val="0"/>
              <w:divBdr>
                <w:top w:val="none" w:sz="0" w:space="0" w:color="auto"/>
                <w:left w:val="none" w:sz="0" w:space="0" w:color="auto"/>
                <w:bottom w:val="none" w:sz="0" w:space="0" w:color="auto"/>
                <w:right w:val="none" w:sz="0" w:space="0" w:color="auto"/>
              </w:divBdr>
            </w:div>
          </w:divsChild>
        </w:div>
        <w:div w:id="125316369">
          <w:marLeft w:val="0"/>
          <w:marRight w:val="0"/>
          <w:marTop w:val="0"/>
          <w:marBottom w:val="0"/>
          <w:divBdr>
            <w:top w:val="none" w:sz="0" w:space="0" w:color="auto"/>
            <w:left w:val="none" w:sz="0" w:space="0" w:color="auto"/>
            <w:bottom w:val="none" w:sz="0" w:space="0" w:color="auto"/>
            <w:right w:val="none" w:sz="0" w:space="0" w:color="auto"/>
          </w:divBdr>
          <w:divsChild>
            <w:div w:id="643242001">
              <w:marLeft w:val="0"/>
              <w:marRight w:val="0"/>
              <w:marTop w:val="0"/>
              <w:marBottom w:val="0"/>
              <w:divBdr>
                <w:top w:val="none" w:sz="0" w:space="0" w:color="auto"/>
                <w:left w:val="none" w:sz="0" w:space="0" w:color="auto"/>
                <w:bottom w:val="none" w:sz="0" w:space="0" w:color="auto"/>
                <w:right w:val="none" w:sz="0" w:space="0" w:color="auto"/>
              </w:divBdr>
            </w:div>
            <w:div w:id="1178079023">
              <w:marLeft w:val="0"/>
              <w:marRight w:val="0"/>
              <w:marTop w:val="0"/>
              <w:marBottom w:val="0"/>
              <w:divBdr>
                <w:top w:val="none" w:sz="0" w:space="0" w:color="auto"/>
                <w:left w:val="none" w:sz="0" w:space="0" w:color="auto"/>
                <w:bottom w:val="none" w:sz="0" w:space="0" w:color="auto"/>
                <w:right w:val="none" w:sz="0" w:space="0" w:color="auto"/>
              </w:divBdr>
            </w:div>
            <w:div w:id="1512335421">
              <w:marLeft w:val="0"/>
              <w:marRight w:val="0"/>
              <w:marTop w:val="0"/>
              <w:marBottom w:val="0"/>
              <w:divBdr>
                <w:top w:val="none" w:sz="0" w:space="0" w:color="auto"/>
                <w:left w:val="none" w:sz="0" w:space="0" w:color="auto"/>
                <w:bottom w:val="none" w:sz="0" w:space="0" w:color="auto"/>
                <w:right w:val="none" w:sz="0" w:space="0" w:color="auto"/>
              </w:divBdr>
            </w:div>
          </w:divsChild>
        </w:div>
        <w:div w:id="127671923">
          <w:marLeft w:val="0"/>
          <w:marRight w:val="0"/>
          <w:marTop w:val="0"/>
          <w:marBottom w:val="0"/>
          <w:divBdr>
            <w:top w:val="none" w:sz="0" w:space="0" w:color="auto"/>
            <w:left w:val="none" w:sz="0" w:space="0" w:color="auto"/>
            <w:bottom w:val="none" w:sz="0" w:space="0" w:color="auto"/>
            <w:right w:val="none" w:sz="0" w:space="0" w:color="auto"/>
          </w:divBdr>
          <w:divsChild>
            <w:div w:id="911768897">
              <w:marLeft w:val="0"/>
              <w:marRight w:val="0"/>
              <w:marTop w:val="0"/>
              <w:marBottom w:val="0"/>
              <w:divBdr>
                <w:top w:val="none" w:sz="0" w:space="0" w:color="auto"/>
                <w:left w:val="none" w:sz="0" w:space="0" w:color="auto"/>
                <w:bottom w:val="none" w:sz="0" w:space="0" w:color="auto"/>
                <w:right w:val="none" w:sz="0" w:space="0" w:color="auto"/>
              </w:divBdr>
            </w:div>
            <w:div w:id="998969667">
              <w:marLeft w:val="0"/>
              <w:marRight w:val="0"/>
              <w:marTop w:val="0"/>
              <w:marBottom w:val="0"/>
              <w:divBdr>
                <w:top w:val="none" w:sz="0" w:space="0" w:color="auto"/>
                <w:left w:val="none" w:sz="0" w:space="0" w:color="auto"/>
                <w:bottom w:val="none" w:sz="0" w:space="0" w:color="auto"/>
                <w:right w:val="none" w:sz="0" w:space="0" w:color="auto"/>
              </w:divBdr>
            </w:div>
            <w:div w:id="1245653555">
              <w:marLeft w:val="0"/>
              <w:marRight w:val="0"/>
              <w:marTop w:val="0"/>
              <w:marBottom w:val="0"/>
              <w:divBdr>
                <w:top w:val="none" w:sz="0" w:space="0" w:color="auto"/>
                <w:left w:val="none" w:sz="0" w:space="0" w:color="auto"/>
                <w:bottom w:val="none" w:sz="0" w:space="0" w:color="auto"/>
                <w:right w:val="none" w:sz="0" w:space="0" w:color="auto"/>
              </w:divBdr>
            </w:div>
            <w:div w:id="1415590643">
              <w:marLeft w:val="0"/>
              <w:marRight w:val="0"/>
              <w:marTop w:val="0"/>
              <w:marBottom w:val="0"/>
              <w:divBdr>
                <w:top w:val="none" w:sz="0" w:space="0" w:color="auto"/>
                <w:left w:val="none" w:sz="0" w:space="0" w:color="auto"/>
                <w:bottom w:val="none" w:sz="0" w:space="0" w:color="auto"/>
                <w:right w:val="none" w:sz="0" w:space="0" w:color="auto"/>
              </w:divBdr>
            </w:div>
            <w:div w:id="1862158444">
              <w:marLeft w:val="0"/>
              <w:marRight w:val="0"/>
              <w:marTop w:val="0"/>
              <w:marBottom w:val="0"/>
              <w:divBdr>
                <w:top w:val="none" w:sz="0" w:space="0" w:color="auto"/>
                <w:left w:val="none" w:sz="0" w:space="0" w:color="auto"/>
                <w:bottom w:val="none" w:sz="0" w:space="0" w:color="auto"/>
                <w:right w:val="none" w:sz="0" w:space="0" w:color="auto"/>
              </w:divBdr>
            </w:div>
            <w:div w:id="2087536201">
              <w:marLeft w:val="0"/>
              <w:marRight w:val="0"/>
              <w:marTop w:val="0"/>
              <w:marBottom w:val="0"/>
              <w:divBdr>
                <w:top w:val="none" w:sz="0" w:space="0" w:color="auto"/>
                <w:left w:val="none" w:sz="0" w:space="0" w:color="auto"/>
                <w:bottom w:val="none" w:sz="0" w:space="0" w:color="auto"/>
                <w:right w:val="none" w:sz="0" w:space="0" w:color="auto"/>
              </w:divBdr>
            </w:div>
          </w:divsChild>
        </w:div>
        <w:div w:id="139613626">
          <w:marLeft w:val="0"/>
          <w:marRight w:val="0"/>
          <w:marTop w:val="0"/>
          <w:marBottom w:val="0"/>
          <w:divBdr>
            <w:top w:val="none" w:sz="0" w:space="0" w:color="auto"/>
            <w:left w:val="none" w:sz="0" w:space="0" w:color="auto"/>
            <w:bottom w:val="none" w:sz="0" w:space="0" w:color="auto"/>
            <w:right w:val="none" w:sz="0" w:space="0" w:color="auto"/>
          </w:divBdr>
          <w:divsChild>
            <w:div w:id="239558163">
              <w:marLeft w:val="0"/>
              <w:marRight w:val="0"/>
              <w:marTop w:val="0"/>
              <w:marBottom w:val="0"/>
              <w:divBdr>
                <w:top w:val="none" w:sz="0" w:space="0" w:color="auto"/>
                <w:left w:val="none" w:sz="0" w:space="0" w:color="auto"/>
                <w:bottom w:val="none" w:sz="0" w:space="0" w:color="auto"/>
                <w:right w:val="none" w:sz="0" w:space="0" w:color="auto"/>
              </w:divBdr>
            </w:div>
            <w:div w:id="444077220">
              <w:marLeft w:val="0"/>
              <w:marRight w:val="0"/>
              <w:marTop w:val="0"/>
              <w:marBottom w:val="0"/>
              <w:divBdr>
                <w:top w:val="none" w:sz="0" w:space="0" w:color="auto"/>
                <w:left w:val="none" w:sz="0" w:space="0" w:color="auto"/>
                <w:bottom w:val="none" w:sz="0" w:space="0" w:color="auto"/>
                <w:right w:val="none" w:sz="0" w:space="0" w:color="auto"/>
              </w:divBdr>
            </w:div>
            <w:div w:id="569777915">
              <w:marLeft w:val="0"/>
              <w:marRight w:val="0"/>
              <w:marTop w:val="0"/>
              <w:marBottom w:val="0"/>
              <w:divBdr>
                <w:top w:val="none" w:sz="0" w:space="0" w:color="auto"/>
                <w:left w:val="none" w:sz="0" w:space="0" w:color="auto"/>
                <w:bottom w:val="none" w:sz="0" w:space="0" w:color="auto"/>
                <w:right w:val="none" w:sz="0" w:space="0" w:color="auto"/>
              </w:divBdr>
            </w:div>
            <w:div w:id="740714814">
              <w:marLeft w:val="0"/>
              <w:marRight w:val="0"/>
              <w:marTop w:val="0"/>
              <w:marBottom w:val="0"/>
              <w:divBdr>
                <w:top w:val="none" w:sz="0" w:space="0" w:color="auto"/>
                <w:left w:val="none" w:sz="0" w:space="0" w:color="auto"/>
                <w:bottom w:val="none" w:sz="0" w:space="0" w:color="auto"/>
                <w:right w:val="none" w:sz="0" w:space="0" w:color="auto"/>
              </w:divBdr>
            </w:div>
            <w:div w:id="784543158">
              <w:marLeft w:val="0"/>
              <w:marRight w:val="0"/>
              <w:marTop w:val="0"/>
              <w:marBottom w:val="0"/>
              <w:divBdr>
                <w:top w:val="none" w:sz="0" w:space="0" w:color="auto"/>
                <w:left w:val="none" w:sz="0" w:space="0" w:color="auto"/>
                <w:bottom w:val="none" w:sz="0" w:space="0" w:color="auto"/>
                <w:right w:val="none" w:sz="0" w:space="0" w:color="auto"/>
              </w:divBdr>
            </w:div>
            <w:div w:id="1004236832">
              <w:marLeft w:val="0"/>
              <w:marRight w:val="0"/>
              <w:marTop w:val="0"/>
              <w:marBottom w:val="0"/>
              <w:divBdr>
                <w:top w:val="none" w:sz="0" w:space="0" w:color="auto"/>
                <w:left w:val="none" w:sz="0" w:space="0" w:color="auto"/>
                <w:bottom w:val="none" w:sz="0" w:space="0" w:color="auto"/>
                <w:right w:val="none" w:sz="0" w:space="0" w:color="auto"/>
              </w:divBdr>
            </w:div>
            <w:div w:id="1998193564">
              <w:marLeft w:val="0"/>
              <w:marRight w:val="0"/>
              <w:marTop w:val="0"/>
              <w:marBottom w:val="0"/>
              <w:divBdr>
                <w:top w:val="none" w:sz="0" w:space="0" w:color="auto"/>
                <w:left w:val="none" w:sz="0" w:space="0" w:color="auto"/>
                <w:bottom w:val="none" w:sz="0" w:space="0" w:color="auto"/>
                <w:right w:val="none" w:sz="0" w:space="0" w:color="auto"/>
              </w:divBdr>
            </w:div>
          </w:divsChild>
        </w:div>
        <w:div w:id="139730339">
          <w:marLeft w:val="0"/>
          <w:marRight w:val="0"/>
          <w:marTop w:val="0"/>
          <w:marBottom w:val="0"/>
          <w:divBdr>
            <w:top w:val="none" w:sz="0" w:space="0" w:color="auto"/>
            <w:left w:val="none" w:sz="0" w:space="0" w:color="auto"/>
            <w:bottom w:val="none" w:sz="0" w:space="0" w:color="auto"/>
            <w:right w:val="none" w:sz="0" w:space="0" w:color="auto"/>
          </w:divBdr>
          <w:divsChild>
            <w:div w:id="2138251353">
              <w:marLeft w:val="0"/>
              <w:marRight w:val="0"/>
              <w:marTop w:val="0"/>
              <w:marBottom w:val="0"/>
              <w:divBdr>
                <w:top w:val="none" w:sz="0" w:space="0" w:color="auto"/>
                <w:left w:val="none" w:sz="0" w:space="0" w:color="auto"/>
                <w:bottom w:val="none" w:sz="0" w:space="0" w:color="auto"/>
                <w:right w:val="none" w:sz="0" w:space="0" w:color="auto"/>
              </w:divBdr>
            </w:div>
          </w:divsChild>
        </w:div>
        <w:div w:id="145709723">
          <w:marLeft w:val="0"/>
          <w:marRight w:val="0"/>
          <w:marTop w:val="0"/>
          <w:marBottom w:val="0"/>
          <w:divBdr>
            <w:top w:val="none" w:sz="0" w:space="0" w:color="auto"/>
            <w:left w:val="none" w:sz="0" w:space="0" w:color="auto"/>
            <w:bottom w:val="none" w:sz="0" w:space="0" w:color="auto"/>
            <w:right w:val="none" w:sz="0" w:space="0" w:color="auto"/>
          </w:divBdr>
          <w:divsChild>
            <w:div w:id="528294891">
              <w:marLeft w:val="0"/>
              <w:marRight w:val="0"/>
              <w:marTop w:val="0"/>
              <w:marBottom w:val="0"/>
              <w:divBdr>
                <w:top w:val="none" w:sz="0" w:space="0" w:color="auto"/>
                <w:left w:val="none" w:sz="0" w:space="0" w:color="auto"/>
                <w:bottom w:val="none" w:sz="0" w:space="0" w:color="auto"/>
                <w:right w:val="none" w:sz="0" w:space="0" w:color="auto"/>
              </w:divBdr>
            </w:div>
            <w:div w:id="912545965">
              <w:marLeft w:val="0"/>
              <w:marRight w:val="0"/>
              <w:marTop w:val="0"/>
              <w:marBottom w:val="0"/>
              <w:divBdr>
                <w:top w:val="none" w:sz="0" w:space="0" w:color="auto"/>
                <w:left w:val="none" w:sz="0" w:space="0" w:color="auto"/>
                <w:bottom w:val="none" w:sz="0" w:space="0" w:color="auto"/>
                <w:right w:val="none" w:sz="0" w:space="0" w:color="auto"/>
              </w:divBdr>
            </w:div>
            <w:div w:id="1522818086">
              <w:marLeft w:val="0"/>
              <w:marRight w:val="0"/>
              <w:marTop w:val="0"/>
              <w:marBottom w:val="0"/>
              <w:divBdr>
                <w:top w:val="none" w:sz="0" w:space="0" w:color="auto"/>
                <w:left w:val="none" w:sz="0" w:space="0" w:color="auto"/>
                <w:bottom w:val="none" w:sz="0" w:space="0" w:color="auto"/>
                <w:right w:val="none" w:sz="0" w:space="0" w:color="auto"/>
              </w:divBdr>
            </w:div>
            <w:div w:id="1669677543">
              <w:marLeft w:val="0"/>
              <w:marRight w:val="0"/>
              <w:marTop w:val="0"/>
              <w:marBottom w:val="0"/>
              <w:divBdr>
                <w:top w:val="none" w:sz="0" w:space="0" w:color="auto"/>
                <w:left w:val="none" w:sz="0" w:space="0" w:color="auto"/>
                <w:bottom w:val="none" w:sz="0" w:space="0" w:color="auto"/>
                <w:right w:val="none" w:sz="0" w:space="0" w:color="auto"/>
              </w:divBdr>
            </w:div>
            <w:div w:id="2067139599">
              <w:marLeft w:val="0"/>
              <w:marRight w:val="0"/>
              <w:marTop w:val="0"/>
              <w:marBottom w:val="0"/>
              <w:divBdr>
                <w:top w:val="none" w:sz="0" w:space="0" w:color="auto"/>
                <w:left w:val="none" w:sz="0" w:space="0" w:color="auto"/>
                <w:bottom w:val="none" w:sz="0" w:space="0" w:color="auto"/>
                <w:right w:val="none" w:sz="0" w:space="0" w:color="auto"/>
              </w:divBdr>
            </w:div>
          </w:divsChild>
        </w:div>
        <w:div w:id="149100153">
          <w:marLeft w:val="0"/>
          <w:marRight w:val="0"/>
          <w:marTop w:val="0"/>
          <w:marBottom w:val="0"/>
          <w:divBdr>
            <w:top w:val="none" w:sz="0" w:space="0" w:color="auto"/>
            <w:left w:val="none" w:sz="0" w:space="0" w:color="auto"/>
            <w:bottom w:val="none" w:sz="0" w:space="0" w:color="auto"/>
            <w:right w:val="none" w:sz="0" w:space="0" w:color="auto"/>
          </w:divBdr>
          <w:divsChild>
            <w:div w:id="376586904">
              <w:marLeft w:val="0"/>
              <w:marRight w:val="0"/>
              <w:marTop w:val="0"/>
              <w:marBottom w:val="0"/>
              <w:divBdr>
                <w:top w:val="none" w:sz="0" w:space="0" w:color="auto"/>
                <w:left w:val="none" w:sz="0" w:space="0" w:color="auto"/>
                <w:bottom w:val="none" w:sz="0" w:space="0" w:color="auto"/>
                <w:right w:val="none" w:sz="0" w:space="0" w:color="auto"/>
              </w:divBdr>
            </w:div>
            <w:div w:id="1155953789">
              <w:marLeft w:val="0"/>
              <w:marRight w:val="0"/>
              <w:marTop w:val="0"/>
              <w:marBottom w:val="0"/>
              <w:divBdr>
                <w:top w:val="none" w:sz="0" w:space="0" w:color="auto"/>
                <w:left w:val="none" w:sz="0" w:space="0" w:color="auto"/>
                <w:bottom w:val="none" w:sz="0" w:space="0" w:color="auto"/>
                <w:right w:val="none" w:sz="0" w:space="0" w:color="auto"/>
              </w:divBdr>
            </w:div>
            <w:div w:id="1394238651">
              <w:marLeft w:val="0"/>
              <w:marRight w:val="0"/>
              <w:marTop w:val="0"/>
              <w:marBottom w:val="0"/>
              <w:divBdr>
                <w:top w:val="none" w:sz="0" w:space="0" w:color="auto"/>
                <w:left w:val="none" w:sz="0" w:space="0" w:color="auto"/>
                <w:bottom w:val="none" w:sz="0" w:space="0" w:color="auto"/>
                <w:right w:val="none" w:sz="0" w:space="0" w:color="auto"/>
              </w:divBdr>
            </w:div>
            <w:div w:id="2092122340">
              <w:marLeft w:val="0"/>
              <w:marRight w:val="0"/>
              <w:marTop w:val="0"/>
              <w:marBottom w:val="0"/>
              <w:divBdr>
                <w:top w:val="none" w:sz="0" w:space="0" w:color="auto"/>
                <w:left w:val="none" w:sz="0" w:space="0" w:color="auto"/>
                <w:bottom w:val="none" w:sz="0" w:space="0" w:color="auto"/>
                <w:right w:val="none" w:sz="0" w:space="0" w:color="auto"/>
              </w:divBdr>
            </w:div>
          </w:divsChild>
        </w:div>
        <w:div w:id="153303321">
          <w:marLeft w:val="0"/>
          <w:marRight w:val="0"/>
          <w:marTop w:val="0"/>
          <w:marBottom w:val="0"/>
          <w:divBdr>
            <w:top w:val="none" w:sz="0" w:space="0" w:color="auto"/>
            <w:left w:val="none" w:sz="0" w:space="0" w:color="auto"/>
            <w:bottom w:val="none" w:sz="0" w:space="0" w:color="auto"/>
            <w:right w:val="none" w:sz="0" w:space="0" w:color="auto"/>
          </w:divBdr>
          <w:divsChild>
            <w:div w:id="1592509">
              <w:marLeft w:val="0"/>
              <w:marRight w:val="0"/>
              <w:marTop w:val="0"/>
              <w:marBottom w:val="0"/>
              <w:divBdr>
                <w:top w:val="none" w:sz="0" w:space="0" w:color="auto"/>
                <w:left w:val="none" w:sz="0" w:space="0" w:color="auto"/>
                <w:bottom w:val="none" w:sz="0" w:space="0" w:color="auto"/>
                <w:right w:val="none" w:sz="0" w:space="0" w:color="auto"/>
              </w:divBdr>
            </w:div>
            <w:div w:id="19624134">
              <w:marLeft w:val="0"/>
              <w:marRight w:val="0"/>
              <w:marTop w:val="0"/>
              <w:marBottom w:val="0"/>
              <w:divBdr>
                <w:top w:val="none" w:sz="0" w:space="0" w:color="auto"/>
                <w:left w:val="none" w:sz="0" w:space="0" w:color="auto"/>
                <w:bottom w:val="none" w:sz="0" w:space="0" w:color="auto"/>
                <w:right w:val="none" w:sz="0" w:space="0" w:color="auto"/>
              </w:divBdr>
            </w:div>
            <w:div w:id="999965621">
              <w:marLeft w:val="0"/>
              <w:marRight w:val="0"/>
              <w:marTop w:val="0"/>
              <w:marBottom w:val="0"/>
              <w:divBdr>
                <w:top w:val="none" w:sz="0" w:space="0" w:color="auto"/>
                <w:left w:val="none" w:sz="0" w:space="0" w:color="auto"/>
                <w:bottom w:val="none" w:sz="0" w:space="0" w:color="auto"/>
                <w:right w:val="none" w:sz="0" w:space="0" w:color="auto"/>
              </w:divBdr>
            </w:div>
          </w:divsChild>
        </w:div>
        <w:div w:id="156382327">
          <w:marLeft w:val="0"/>
          <w:marRight w:val="0"/>
          <w:marTop w:val="0"/>
          <w:marBottom w:val="0"/>
          <w:divBdr>
            <w:top w:val="none" w:sz="0" w:space="0" w:color="auto"/>
            <w:left w:val="none" w:sz="0" w:space="0" w:color="auto"/>
            <w:bottom w:val="none" w:sz="0" w:space="0" w:color="auto"/>
            <w:right w:val="none" w:sz="0" w:space="0" w:color="auto"/>
          </w:divBdr>
          <w:divsChild>
            <w:div w:id="473446324">
              <w:marLeft w:val="0"/>
              <w:marRight w:val="0"/>
              <w:marTop w:val="0"/>
              <w:marBottom w:val="0"/>
              <w:divBdr>
                <w:top w:val="none" w:sz="0" w:space="0" w:color="auto"/>
                <w:left w:val="none" w:sz="0" w:space="0" w:color="auto"/>
                <w:bottom w:val="none" w:sz="0" w:space="0" w:color="auto"/>
                <w:right w:val="none" w:sz="0" w:space="0" w:color="auto"/>
              </w:divBdr>
            </w:div>
          </w:divsChild>
        </w:div>
        <w:div w:id="156582556">
          <w:marLeft w:val="0"/>
          <w:marRight w:val="0"/>
          <w:marTop w:val="0"/>
          <w:marBottom w:val="0"/>
          <w:divBdr>
            <w:top w:val="none" w:sz="0" w:space="0" w:color="auto"/>
            <w:left w:val="none" w:sz="0" w:space="0" w:color="auto"/>
            <w:bottom w:val="none" w:sz="0" w:space="0" w:color="auto"/>
            <w:right w:val="none" w:sz="0" w:space="0" w:color="auto"/>
          </w:divBdr>
          <w:divsChild>
            <w:div w:id="433600844">
              <w:marLeft w:val="0"/>
              <w:marRight w:val="0"/>
              <w:marTop w:val="0"/>
              <w:marBottom w:val="0"/>
              <w:divBdr>
                <w:top w:val="none" w:sz="0" w:space="0" w:color="auto"/>
                <w:left w:val="none" w:sz="0" w:space="0" w:color="auto"/>
                <w:bottom w:val="none" w:sz="0" w:space="0" w:color="auto"/>
                <w:right w:val="none" w:sz="0" w:space="0" w:color="auto"/>
              </w:divBdr>
            </w:div>
            <w:div w:id="913509738">
              <w:marLeft w:val="0"/>
              <w:marRight w:val="0"/>
              <w:marTop w:val="0"/>
              <w:marBottom w:val="0"/>
              <w:divBdr>
                <w:top w:val="none" w:sz="0" w:space="0" w:color="auto"/>
                <w:left w:val="none" w:sz="0" w:space="0" w:color="auto"/>
                <w:bottom w:val="none" w:sz="0" w:space="0" w:color="auto"/>
                <w:right w:val="none" w:sz="0" w:space="0" w:color="auto"/>
              </w:divBdr>
            </w:div>
            <w:div w:id="1014577069">
              <w:marLeft w:val="0"/>
              <w:marRight w:val="0"/>
              <w:marTop w:val="0"/>
              <w:marBottom w:val="0"/>
              <w:divBdr>
                <w:top w:val="none" w:sz="0" w:space="0" w:color="auto"/>
                <w:left w:val="none" w:sz="0" w:space="0" w:color="auto"/>
                <w:bottom w:val="none" w:sz="0" w:space="0" w:color="auto"/>
                <w:right w:val="none" w:sz="0" w:space="0" w:color="auto"/>
              </w:divBdr>
            </w:div>
            <w:div w:id="1818836217">
              <w:marLeft w:val="0"/>
              <w:marRight w:val="0"/>
              <w:marTop w:val="0"/>
              <w:marBottom w:val="0"/>
              <w:divBdr>
                <w:top w:val="none" w:sz="0" w:space="0" w:color="auto"/>
                <w:left w:val="none" w:sz="0" w:space="0" w:color="auto"/>
                <w:bottom w:val="none" w:sz="0" w:space="0" w:color="auto"/>
                <w:right w:val="none" w:sz="0" w:space="0" w:color="auto"/>
              </w:divBdr>
            </w:div>
          </w:divsChild>
        </w:div>
        <w:div w:id="157233441">
          <w:marLeft w:val="0"/>
          <w:marRight w:val="0"/>
          <w:marTop w:val="0"/>
          <w:marBottom w:val="0"/>
          <w:divBdr>
            <w:top w:val="none" w:sz="0" w:space="0" w:color="auto"/>
            <w:left w:val="none" w:sz="0" w:space="0" w:color="auto"/>
            <w:bottom w:val="none" w:sz="0" w:space="0" w:color="auto"/>
            <w:right w:val="none" w:sz="0" w:space="0" w:color="auto"/>
          </w:divBdr>
          <w:divsChild>
            <w:div w:id="1737320349">
              <w:marLeft w:val="0"/>
              <w:marRight w:val="0"/>
              <w:marTop w:val="0"/>
              <w:marBottom w:val="0"/>
              <w:divBdr>
                <w:top w:val="none" w:sz="0" w:space="0" w:color="auto"/>
                <w:left w:val="none" w:sz="0" w:space="0" w:color="auto"/>
                <w:bottom w:val="none" w:sz="0" w:space="0" w:color="auto"/>
                <w:right w:val="none" w:sz="0" w:space="0" w:color="auto"/>
              </w:divBdr>
            </w:div>
          </w:divsChild>
        </w:div>
        <w:div w:id="158543457">
          <w:marLeft w:val="0"/>
          <w:marRight w:val="0"/>
          <w:marTop w:val="0"/>
          <w:marBottom w:val="0"/>
          <w:divBdr>
            <w:top w:val="none" w:sz="0" w:space="0" w:color="auto"/>
            <w:left w:val="none" w:sz="0" w:space="0" w:color="auto"/>
            <w:bottom w:val="none" w:sz="0" w:space="0" w:color="auto"/>
            <w:right w:val="none" w:sz="0" w:space="0" w:color="auto"/>
          </w:divBdr>
          <w:divsChild>
            <w:div w:id="59182545">
              <w:marLeft w:val="0"/>
              <w:marRight w:val="0"/>
              <w:marTop w:val="0"/>
              <w:marBottom w:val="0"/>
              <w:divBdr>
                <w:top w:val="none" w:sz="0" w:space="0" w:color="auto"/>
                <w:left w:val="none" w:sz="0" w:space="0" w:color="auto"/>
                <w:bottom w:val="none" w:sz="0" w:space="0" w:color="auto"/>
                <w:right w:val="none" w:sz="0" w:space="0" w:color="auto"/>
              </w:divBdr>
            </w:div>
          </w:divsChild>
        </w:div>
        <w:div w:id="158817276">
          <w:marLeft w:val="0"/>
          <w:marRight w:val="0"/>
          <w:marTop w:val="0"/>
          <w:marBottom w:val="0"/>
          <w:divBdr>
            <w:top w:val="none" w:sz="0" w:space="0" w:color="auto"/>
            <w:left w:val="none" w:sz="0" w:space="0" w:color="auto"/>
            <w:bottom w:val="none" w:sz="0" w:space="0" w:color="auto"/>
            <w:right w:val="none" w:sz="0" w:space="0" w:color="auto"/>
          </w:divBdr>
          <w:divsChild>
            <w:div w:id="1566724128">
              <w:marLeft w:val="0"/>
              <w:marRight w:val="0"/>
              <w:marTop w:val="0"/>
              <w:marBottom w:val="0"/>
              <w:divBdr>
                <w:top w:val="none" w:sz="0" w:space="0" w:color="auto"/>
                <w:left w:val="none" w:sz="0" w:space="0" w:color="auto"/>
                <w:bottom w:val="none" w:sz="0" w:space="0" w:color="auto"/>
                <w:right w:val="none" w:sz="0" w:space="0" w:color="auto"/>
              </w:divBdr>
            </w:div>
          </w:divsChild>
        </w:div>
        <w:div w:id="160893154">
          <w:marLeft w:val="0"/>
          <w:marRight w:val="0"/>
          <w:marTop w:val="0"/>
          <w:marBottom w:val="0"/>
          <w:divBdr>
            <w:top w:val="none" w:sz="0" w:space="0" w:color="auto"/>
            <w:left w:val="none" w:sz="0" w:space="0" w:color="auto"/>
            <w:bottom w:val="none" w:sz="0" w:space="0" w:color="auto"/>
            <w:right w:val="none" w:sz="0" w:space="0" w:color="auto"/>
          </w:divBdr>
          <w:divsChild>
            <w:div w:id="201945900">
              <w:marLeft w:val="0"/>
              <w:marRight w:val="0"/>
              <w:marTop w:val="0"/>
              <w:marBottom w:val="0"/>
              <w:divBdr>
                <w:top w:val="none" w:sz="0" w:space="0" w:color="auto"/>
                <w:left w:val="none" w:sz="0" w:space="0" w:color="auto"/>
                <w:bottom w:val="none" w:sz="0" w:space="0" w:color="auto"/>
                <w:right w:val="none" w:sz="0" w:space="0" w:color="auto"/>
              </w:divBdr>
            </w:div>
            <w:div w:id="286668788">
              <w:marLeft w:val="0"/>
              <w:marRight w:val="0"/>
              <w:marTop w:val="0"/>
              <w:marBottom w:val="0"/>
              <w:divBdr>
                <w:top w:val="none" w:sz="0" w:space="0" w:color="auto"/>
                <w:left w:val="none" w:sz="0" w:space="0" w:color="auto"/>
                <w:bottom w:val="none" w:sz="0" w:space="0" w:color="auto"/>
                <w:right w:val="none" w:sz="0" w:space="0" w:color="auto"/>
              </w:divBdr>
            </w:div>
            <w:div w:id="367798732">
              <w:marLeft w:val="0"/>
              <w:marRight w:val="0"/>
              <w:marTop w:val="0"/>
              <w:marBottom w:val="0"/>
              <w:divBdr>
                <w:top w:val="none" w:sz="0" w:space="0" w:color="auto"/>
                <w:left w:val="none" w:sz="0" w:space="0" w:color="auto"/>
                <w:bottom w:val="none" w:sz="0" w:space="0" w:color="auto"/>
                <w:right w:val="none" w:sz="0" w:space="0" w:color="auto"/>
              </w:divBdr>
            </w:div>
            <w:div w:id="848564482">
              <w:marLeft w:val="0"/>
              <w:marRight w:val="0"/>
              <w:marTop w:val="0"/>
              <w:marBottom w:val="0"/>
              <w:divBdr>
                <w:top w:val="none" w:sz="0" w:space="0" w:color="auto"/>
                <w:left w:val="none" w:sz="0" w:space="0" w:color="auto"/>
                <w:bottom w:val="none" w:sz="0" w:space="0" w:color="auto"/>
                <w:right w:val="none" w:sz="0" w:space="0" w:color="auto"/>
              </w:divBdr>
            </w:div>
          </w:divsChild>
        </w:div>
        <w:div w:id="164785011">
          <w:marLeft w:val="0"/>
          <w:marRight w:val="0"/>
          <w:marTop w:val="0"/>
          <w:marBottom w:val="0"/>
          <w:divBdr>
            <w:top w:val="none" w:sz="0" w:space="0" w:color="auto"/>
            <w:left w:val="none" w:sz="0" w:space="0" w:color="auto"/>
            <w:bottom w:val="none" w:sz="0" w:space="0" w:color="auto"/>
            <w:right w:val="none" w:sz="0" w:space="0" w:color="auto"/>
          </w:divBdr>
          <w:divsChild>
            <w:div w:id="42799559">
              <w:marLeft w:val="0"/>
              <w:marRight w:val="0"/>
              <w:marTop w:val="0"/>
              <w:marBottom w:val="0"/>
              <w:divBdr>
                <w:top w:val="none" w:sz="0" w:space="0" w:color="auto"/>
                <w:left w:val="none" w:sz="0" w:space="0" w:color="auto"/>
                <w:bottom w:val="none" w:sz="0" w:space="0" w:color="auto"/>
                <w:right w:val="none" w:sz="0" w:space="0" w:color="auto"/>
              </w:divBdr>
            </w:div>
            <w:div w:id="118379123">
              <w:marLeft w:val="0"/>
              <w:marRight w:val="0"/>
              <w:marTop w:val="0"/>
              <w:marBottom w:val="0"/>
              <w:divBdr>
                <w:top w:val="none" w:sz="0" w:space="0" w:color="auto"/>
                <w:left w:val="none" w:sz="0" w:space="0" w:color="auto"/>
                <w:bottom w:val="none" w:sz="0" w:space="0" w:color="auto"/>
                <w:right w:val="none" w:sz="0" w:space="0" w:color="auto"/>
              </w:divBdr>
            </w:div>
            <w:div w:id="583802201">
              <w:marLeft w:val="0"/>
              <w:marRight w:val="0"/>
              <w:marTop w:val="0"/>
              <w:marBottom w:val="0"/>
              <w:divBdr>
                <w:top w:val="none" w:sz="0" w:space="0" w:color="auto"/>
                <w:left w:val="none" w:sz="0" w:space="0" w:color="auto"/>
                <w:bottom w:val="none" w:sz="0" w:space="0" w:color="auto"/>
                <w:right w:val="none" w:sz="0" w:space="0" w:color="auto"/>
              </w:divBdr>
            </w:div>
          </w:divsChild>
        </w:div>
        <w:div w:id="167795939">
          <w:marLeft w:val="0"/>
          <w:marRight w:val="0"/>
          <w:marTop w:val="0"/>
          <w:marBottom w:val="0"/>
          <w:divBdr>
            <w:top w:val="none" w:sz="0" w:space="0" w:color="auto"/>
            <w:left w:val="none" w:sz="0" w:space="0" w:color="auto"/>
            <w:bottom w:val="none" w:sz="0" w:space="0" w:color="auto"/>
            <w:right w:val="none" w:sz="0" w:space="0" w:color="auto"/>
          </w:divBdr>
          <w:divsChild>
            <w:div w:id="1505239313">
              <w:marLeft w:val="0"/>
              <w:marRight w:val="0"/>
              <w:marTop w:val="0"/>
              <w:marBottom w:val="0"/>
              <w:divBdr>
                <w:top w:val="none" w:sz="0" w:space="0" w:color="auto"/>
                <w:left w:val="none" w:sz="0" w:space="0" w:color="auto"/>
                <w:bottom w:val="none" w:sz="0" w:space="0" w:color="auto"/>
                <w:right w:val="none" w:sz="0" w:space="0" w:color="auto"/>
              </w:divBdr>
            </w:div>
          </w:divsChild>
        </w:div>
        <w:div w:id="176508738">
          <w:marLeft w:val="0"/>
          <w:marRight w:val="0"/>
          <w:marTop w:val="0"/>
          <w:marBottom w:val="0"/>
          <w:divBdr>
            <w:top w:val="none" w:sz="0" w:space="0" w:color="auto"/>
            <w:left w:val="none" w:sz="0" w:space="0" w:color="auto"/>
            <w:bottom w:val="none" w:sz="0" w:space="0" w:color="auto"/>
            <w:right w:val="none" w:sz="0" w:space="0" w:color="auto"/>
          </w:divBdr>
          <w:divsChild>
            <w:div w:id="1210073760">
              <w:marLeft w:val="0"/>
              <w:marRight w:val="0"/>
              <w:marTop w:val="0"/>
              <w:marBottom w:val="0"/>
              <w:divBdr>
                <w:top w:val="none" w:sz="0" w:space="0" w:color="auto"/>
                <w:left w:val="none" w:sz="0" w:space="0" w:color="auto"/>
                <w:bottom w:val="none" w:sz="0" w:space="0" w:color="auto"/>
                <w:right w:val="none" w:sz="0" w:space="0" w:color="auto"/>
              </w:divBdr>
            </w:div>
          </w:divsChild>
        </w:div>
        <w:div w:id="180317564">
          <w:marLeft w:val="0"/>
          <w:marRight w:val="0"/>
          <w:marTop w:val="0"/>
          <w:marBottom w:val="0"/>
          <w:divBdr>
            <w:top w:val="none" w:sz="0" w:space="0" w:color="auto"/>
            <w:left w:val="none" w:sz="0" w:space="0" w:color="auto"/>
            <w:bottom w:val="none" w:sz="0" w:space="0" w:color="auto"/>
            <w:right w:val="none" w:sz="0" w:space="0" w:color="auto"/>
          </w:divBdr>
          <w:divsChild>
            <w:div w:id="765537610">
              <w:marLeft w:val="0"/>
              <w:marRight w:val="0"/>
              <w:marTop w:val="0"/>
              <w:marBottom w:val="0"/>
              <w:divBdr>
                <w:top w:val="none" w:sz="0" w:space="0" w:color="auto"/>
                <w:left w:val="none" w:sz="0" w:space="0" w:color="auto"/>
                <w:bottom w:val="none" w:sz="0" w:space="0" w:color="auto"/>
                <w:right w:val="none" w:sz="0" w:space="0" w:color="auto"/>
              </w:divBdr>
            </w:div>
            <w:div w:id="2014334908">
              <w:marLeft w:val="0"/>
              <w:marRight w:val="0"/>
              <w:marTop w:val="0"/>
              <w:marBottom w:val="0"/>
              <w:divBdr>
                <w:top w:val="none" w:sz="0" w:space="0" w:color="auto"/>
                <w:left w:val="none" w:sz="0" w:space="0" w:color="auto"/>
                <w:bottom w:val="none" w:sz="0" w:space="0" w:color="auto"/>
                <w:right w:val="none" w:sz="0" w:space="0" w:color="auto"/>
              </w:divBdr>
            </w:div>
          </w:divsChild>
        </w:div>
        <w:div w:id="181555315">
          <w:marLeft w:val="0"/>
          <w:marRight w:val="0"/>
          <w:marTop w:val="0"/>
          <w:marBottom w:val="0"/>
          <w:divBdr>
            <w:top w:val="none" w:sz="0" w:space="0" w:color="auto"/>
            <w:left w:val="none" w:sz="0" w:space="0" w:color="auto"/>
            <w:bottom w:val="none" w:sz="0" w:space="0" w:color="auto"/>
            <w:right w:val="none" w:sz="0" w:space="0" w:color="auto"/>
          </w:divBdr>
          <w:divsChild>
            <w:div w:id="1440874673">
              <w:marLeft w:val="0"/>
              <w:marRight w:val="0"/>
              <w:marTop w:val="0"/>
              <w:marBottom w:val="0"/>
              <w:divBdr>
                <w:top w:val="none" w:sz="0" w:space="0" w:color="auto"/>
                <w:left w:val="none" w:sz="0" w:space="0" w:color="auto"/>
                <w:bottom w:val="none" w:sz="0" w:space="0" w:color="auto"/>
                <w:right w:val="none" w:sz="0" w:space="0" w:color="auto"/>
              </w:divBdr>
            </w:div>
          </w:divsChild>
        </w:div>
        <w:div w:id="192157310">
          <w:marLeft w:val="0"/>
          <w:marRight w:val="0"/>
          <w:marTop w:val="0"/>
          <w:marBottom w:val="0"/>
          <w:divBdr>
            <w:top w:val="none" w:sz="0" w:space="0" w:color="auto"/>
            <w:left w:val="none" w:sz="0" w:space="0" w:color="auto"/>
            <w:bottom w:val="none" w:sz="0" w:space="0" w:color="auto"/>
            <w:right w:val="none" w:sz="0" w:space="0" w:color="auto"/>
          </w:divBdr>
          <w:divsChild>
            <w:div w:id="2022931915">
              <w:marLeft w:val="0"/>
              <w:marRight w:val="0"/>
              <w:marTop w:val="0"/>
              <w:marBottom w:val="0"/>
              <w:divBdr>
                <w:top w:val="none" w:sz="0" w:space="0" w:color="auto"/>
                <w:left w:val="none" w:sz="0" w:space="0" w:color="auto"/>
                <w:bottom w:val="none" w:sz="0" w:space="0" w:color="auto"/>
                <w:right w:val="none" w:sz="0" w:space="0" w:color="auto"/>
              </w:divBdr>
            </w:div>
          </w:divsChild>
        </w:div>
        <w:div w:id="192498327">
          <w:marLeft w:val="0"/>
          <w:marRight w:val="0"/>
          <w:marTop w:val="0"/>
          <w:marBottom w:val="0"/>
          <w:divBdr>
            <w:top w:val="none" w:sz="0" w:space="0" w:color="auto"/>
            <w:left w:val="none" w:sz="0" w:space="0" w:color="auto"/>
            <w:bottom w:val="none" w:sz="0" w:space="0" w:color="auto"/>
            <w:right w:val="none" w:sz="0" w:space="0" w:color="auto"/>
          </w:divBdr>
          <w:divsChild>
            <w:div w:id="217594267">
              <w:marLeft w:val="0"/>
              <w:marRight w:val="0"/>
              <w:marTop w:val="0"/>
              <w:marBottom w:val="0"/>
              <w:divBdr>
                <w:top w:val="none" w:sz="0" w:space="0" w:color="auto"/>
                <w:left w:val="none" w:sz="0" w:space="0" w:color="auto"/>
                <w:bottom w:val="none" w:sz="0" w:space="0" w:color="auto"/>
                <w:right w:val="none" w:sz="0" w:space="0" w:color="auto"/>
              </w:divBdr>
            </w:div>
          </w:divsChild>
        </w:div>
        <w:div w:id="195890071">
          <w:marLeft w:val="0"/>
          <w:marRight w:val="0"/>
          <w:marTop w:val="0"/>
          <w:marBottom w:val="0"/>
          <w:divBdr>
            <w:top w:val="none" w:sz="0" w:space="0" w:color="auto"/>
            <w:left w:val="none" w:sz="0" w:space="0" w:color="auto"/>
            <w:bottom w:val="none" w:sz="0" w:space="0" w:color="auto"/>
            <w:right w:val="none" w:sz="0" w:space="0" w:color="auto"/>
          </w:divBdr>
          <w:divsChild>
            <w:div w:id="181167395">
              <w:marLeft w:val="0"/>
              <w:marRight w:val="0"/>
              <w:marTop w:val="0"/>
              <w:marBottom w:val="0"/>
              <w:divBdr>
                <w:top w:val="none" w:sz="0" w:space="0" w:color="auto"/>
                <w:left w:val="none" w:sz="0" w:space="0" w:color="auto"/>
                <w:bottom w:val="none" w:sz="0" w:space="0" w:color="auto"/>
                <w:right w:val="none" w:sz="0" w:space="0" w:color="auto"/>
              </w:divBdr>
            </w:div>
          </w:divsChild>
        </w:div>
        <w:div w:id="199436274">
          <w:marLeft w:val="0"/>
          <w:marRight w:val="0"/>
          <w:marTop w:val="0"/>
          <w:marBottom w:val="0"/>
          <w:divBdr>
            <w:top w:val="none" w:sz="0" w:space="0" w:color="auto"/>
            <w:left w:val="none" w:sz="0" w:space="0" w:color="auto"/>
            <w:bottom w:val="none" w:sz="0" w:space="0" w:color="auto"/>
            <w:right w:val="none" w:sz="0" w:space="0" w:color="auto"/>
          </w:divBdr>
          <w:divsChild>
            <w:div w:id="132909197">
              <w:marLeft w:val="0"/>
              <w:marRight w:val="0"/>
              <w:marTop w:val="0"/>
              <w:marBottom w:val="0"/>
              <w:divBdr>
                <w:top w:val="none" w:sz="0" w:space="0" w:color="auto"/>
                <w:left w:val="none" w:sz="0" w:space="0" w:color="auto"/>
                <w:bottom w:val="none" w:sz="0" w:space="0" w:color="auto"/>
                <w:right w:val="none" w:sz="0" w:space="0" w:color="auto"/>
              </w:divBdr>
            </w:div>
          </w:divsChild>
        </w:div>
        <w:div w:id="202401923">
          <w:marLeft w:val="0"/>
          <w:marRight w:val="0"/>
          <w:marTop w:val="0"/>
          <w:marBottom w:val="0"/>
          <w:divBdr>
            <w:top w:val="none" w:sz="0" w:space="0" w:color="auto"/>
            <w:left w:val="none" w:sz="0" w:space="0" w:color="auto"/>
            <w:bottom w:val="none" w:sz="0" w:space="0" w:color="auto"/>
            <w:right w:val="none" w:sz="0" w:space="0" w:color="auto"/>
          </w:divBdr>
          <w:divsChild>
            <w:div w:id="1795833040">
              <w:marLeft w:val="0"/>
              <w:marRight w:val="0"/>
              <w:marTop w:val="0"/>
              <w:marBottom w:val="0"/>
              <w:divBdr>
                <w:top w:val="none" w:sz="0" w:space="0" w:color="auto"/>
                <w:left w:val="none" w:sz="0" w:space="0" w:color="auto"/>
                <w:bottom w:val="none" w:sz="0" w:space="0" w:color="auto"/>
                <w:right w:val="none" w:sz="0" w:space="0" w:color="auto"/>
              </w:divBdr>
            </w:div>
          </w:divsChild>
        </w:div>
        <w:div w:id="211817993">
          <w:marLeft w:val="0"/>
          <w:marRight w:val="0"/>
          <w:marTop w:val="0"/>
          <w:marBottom w:val="0"/>
          <w:divBdr>
            <w:top w:val="none" w:sz="0" w:space="0" w:color="auto"/>
            <w:left w:val="none" w:sz="0" w:space="0" w:color="auto"/>
            <w:bottom w:val="none" w:sz="0" w:space="0" w:color="auto"/>
            <w:right w:val="none" w:sz="0" w:space="0" w:color="auto"/>
          </w:divBdr>
          <w:divsChild>
            <w:div w:id="131217485">
              <w:marLeft w:val="0"/>
              <w:marRight w:val="0"/>
              <w:marTop w:val="0"/>
              <w:marBottom w:val="0"/>
              <w:divBdr>
                <w:top w:val="none" w:sz="0" w:space="0" w:color="auto"/>
                <w:left w:val="none" w:sz="0" w:space="0" w:color="auto"/>
                <w:bottom w:val="none" w:sz="0" w:space="0" w:color="auto"/>
                <w:right w:val="none" w:sz="0" w:space="0" w:color="auto"/>
              </w:divBdr>
            </w:div>
            <w:div w:id="1926760742">
              <w:marLeft w:val="0"/>
              <w:marRight w:val="0"/>
              <w:marTop w:val="0"/>
              <w:marBottom w:val="0"/>
              <w:divBdr>
                <w:top w:val="none" w:sz="0" w:space="0" w:color="auto"/>
                <w:left w:val="none" w:sz="0" w:space="0" w:color="auto"/>
                <w:bottom w:val="none" w:sz="0" w:space="0" w:color="auto"/>
                <w:right w:val="none" w:sz="0" w:space="0" w:color="auto"/>
              </w:divBdr>
            </w:div>
          </w:divsChild>
        </w:div>
        <w:div w:id="213927475">
          <w:marLeft w:val="0"/>
          <w:marRight w:val="0"/>
          <w:marTop w:val="0"/>
          <w:marBottom w:val="0"/>
          <w:divBdr>
            <w:top w:val="none" w:sz="0" w:space="0" w:color="auto"/>
            <w:left w:val="none" w:sz="0" w:space="0" w:color="auto"/>
            <w:bottom w:val="none" w:sz="0" w:space="0" w:color="auto"/>
            <w:right w:val="none" w:sz="0" w:space="0" w:color="auto"/>
          </w:divBdr>
          <w:divsChild>
            <w:div w:id="780422201">
              <w:marLeft w:val="0"/>
              <w:marRight w:val="0"/>
              <w:marTop w:val="0"/>
              <w:marBottom w:val="0"/>
              <w:divBdr>
                <w:top w:val="none" w:sz="0" w:space="0" w:color="auto"/>
                <w:left w:val="none" w:sz="0" w:space="0" w:color="auto"/>
                <w:bottom w:val="none" w:sz="0" w:space="0" w:color="auto"/>
                <w:right w:val="none" w:sz="0" w:space="0" w:color="auto"/>
              </w:divBdr>
            </w:div>
            <w:div w:id="845510701">
              <w:marLeft w:val="0"/>
              <w:marRight w:val="0"/>
              <w:marTop w:val="0"/>
              <w:marBottom w:val="0"/>
              <w:divBdr>
                <w:top w:val="none" w:sz="0" w:space="0" w:color="auto"/>
                <w:left w:val="none" w:sz="0" w:space="0" w:color="auto"/>
                <w:bottom w:val="none" w:sz="0" w:space="0" w:color="auto"/>
                <w:right w:val="none" w:sz="0" w:space="0" w:color="auto"/>
              </w:divBdr>
            </w:div>
          </w:divsChild>
        </w:div>
        <w:div w:id="214583297">
          <w:marLeft w:val="0"/>
          <w:marRight w:val="0"/>
          <w:marTop w:val="0"/>
          <w:marBottom w:val="0"/>
          <w:divBdr>
            <w:top w:val="none" w:sz="0" w:space="0" w:color="auto"/>
            <w:left w:val="none" w:sz="0" w:space="0" w:color="auto"/>
            <w:bottom w:val="none" w:sz="0" w:space="0" w:color="auto"/>
            <w:right w:val="none" w:sz="0" w:space="0" w:color="auto"/>
          </w:divBdr>
          <w:divsChild>
            <w:div w:id="1888447052">
              <w:marLeft w:val="0"/>
              <w:marRight w:val="0"/>
              <w:marTop w:val="0"/>
              <w:marBottom w:val="0"/>
              <w:divBdr>
                <w:top w:val="none" w:sz="0" w:space="0" w:color="auto"/>
                <w:left w:val="none" w:sz="0" w:space="0" w:color="auto"/>
                <w:bottom w:val="none" w:sz="0" w:space="0" w:color="auto"/>
                <w:right w:val="none" w:sz="0" w:space="0" w:color="auto"/>
              </w:divBdr>
            </w:div>
          </w:divsChild>
        </w:div>
        <w:div w:id="216816561">
          <w:marLeft w:val="0"/>
          <w:marRight w:val="0"/>
          <w:marTop w:val="0"/>
          <w:marBottom w:val="0"/>
          <w:divBdr>
            <w:top w:val="none" w:sz="0" w:space="0" w:color="auto"/>
            <w:left w:val="none" w:sz="0" w:space="0" w:color="auto"/>
            <w:bottom w:val="none" w:sz="0" w:space="0" w:color="auto"/>
            <w:right w:val="none" w:sz="0" w:space="0" w:color="auto"/>
          </w:divBdr>
          <w:divsChild>
            <w:div w:id="221211000">
              <w:marLeft w:val="0"/>
              <w:marRight w:val="0"/>
              <w:marTop w:val="0"/>
              <w:marBottom w:val="0"/>
              <w:divBdr>
                <w:top w:val="none" w:sz="0" w:space="0" w:color="auto"/>
                <w:left w:val="none" w:sz="0" w:space="0" w:color="auto"/>
                <w:bottom w:val="none" w:sz="0" w:space="0" w:color="auto"/>
                <w:right w:val="none" w:sz="0" w:space="0" w:color="auto"/>
              </w:divBdr>
            </w:div>
            <w:div w:id="807548729">
              <w:marLeft w:val="0"/>
              <w:marRight w:val="0"/>
              <w:marTop w:val="0"/>
              <w:marBottom w:val="0"/>
              <w:divBdr>
                <w:top w:val="none" w:sz="0" w:space="0" w:color="auto"/>
                <w:left w:val="none" w:sz="0" w:space="0" w:color="auto"/>
                <w:bottom w:val="none" w:sz="0" w:space="0" w:color="auto"/>
                <w:right w:val="none" w:sz="0" w:space="0" w:color="auto"/>
              </w:divBdr>
            </w:div>
            <w:div w:id="1073284174">
              <w:marLeft w:val="0"/>
              <w:marRight w:val="0"/>
              <w:marTop w:val="0"/>
              <w:marBottom w:val="0"/>
              <w:divBdr>
                <w:top w:val="none" w:sz="0" w:space="0" w:color="auto"/>
                <w:left w:val="none" w:sz="0" w:space="0" w:color="auto"/>
                <w:bottom w:val="none" w:sz="0" w:space="0" w:color="auto"/>
                <w:right w:val="none" w:sz="0" w:space="0" w:color="auto"/>
              </w:divBdr>
            </w:div>
          </w:divsChild>
        </w:div>
        <w:div w:id="217202638">
          <w:marLeft w:val="0"/>
          <w:marRight w:val="0"/>
          <w:marTop w:val="0"/>
          <w:marBottom w:val="0"/>
          <w:divBdr>
            <w:top w:val="none" w:sz="0" w:space="0" w:color="auto"/>
            <w:left w:val="none" w:sz="0" w:space="0" w:color="auto"/>
            <w:bottom w:val="none" w:sz="0" w:space="0" w:color="auto"/>
            <w:right w:val="none" w:sz="0" w:space="0" w:color="auto"/>
          </w:divBdr>
          <w:divsChild>
            <w:div w:id="712921187">
              <w:marLeft w:val="0"/>
              <w:marRight w:val="0"/>
              <w:marTop w:val="0"/>
              <w:marBottom w:val="0"/>
              <w:divBdr>
                <w:top w:val="none" w:sz="0" w:space="0" w:color="auto"/>
                <w:left w:val="none" w:sz="0" w:space="0" w:color="auto"/>
                <w:bottom w:val="none" w:sz="0" w:space="0" w:color="auto"/>
                <w:right w:val="none" w:sz="0" w:space="0" w:color="auto"/>
              </w:divBdr>
            </w:div>
          </w:divsChild>
        </w:div>
        <w:div w:id="218172575">
          <w:marLeft w:val="0"/>
          <w:marRight w:val="0"/>
          <w:marTop w:val="0"/>
          <w:marBottom w:val="0"/>
          <w:divBdr>
            <w:top w:val="none" w:sz="0" w:space="0" w:color="auto"/>
            <w:left w:val="none" w:sz="0" w:space="0" w:color="auto"/>
            <w:bottom w:val="none" w:sz="0" w:space="0" w:color="auto"/>
            <w:right w:val="none" w:sz="0" w:space="0" w:color="auto"/>
          </w:divBdr>
          <w:divsChild>
            <w:div w:id="368647529">
              <w:marLeft w:val="0"/>
              <w:marRight w:val="0"/>
              <w:marTop w:val="0"/>
              <w:marBottom w:val="0"/>
              <w:divBdr>
                <w:top w:val="none" w:sz="0" w:space="0" w:color="auto"/>
                <w:left w:val="none" w:sz="0" w:space="0" w:color="auto"/>
                <w:bottom w:val="none" w:sz="0" w:space="0" w:color="auto"/>
                <w:right w:val="none" w:sz="0" w:space="0" w:color="auto"/>
              </w:divBdr>
            </w:div>
            <w:div w:id="1203008974">
              <w:marLeft w:val="0"/>
              <w:marRight w:val="0"/>
              <w:marTop w:val="0"/>
              <w:marBottom w:val="0"/>
              <w:divBdr>
                <w:top w:val="none" w:sz="0" w:space="0" w:color="auto"/>
                <w:left w:val="none" w:sz="0" w:space="0" w:color="auto"/>
                <w:bottom w:val="none" w:sz="0" w:space="0" w:color="auto"/>
                <w:right w:val="none" w:sz="0" w:space="0" w:color="auto"/>
              </w:divBdr>
            </w:div>
          </w:divsChild>
        </w:div>
        <w:div w:id="226304358">
          <w:marLeft w:val="0"/>
          <w:marRight w:val="0"/>
          <w:marTop w:val="0"/>
          <w:marBottom w:val="0"/>
          <w:divBdr>
            <w:top w:val="none" w:sz="0" w:space="0" w:color="auto"/>
            <w:left w:val="none" w:sz="0" w:space="0" w:color="auto"/>
            <w:bottom w:val="none" w:sz="0" w:space="0" w:color="auto"/>
            <w:right w:val="none" w:sz="0" w:space="0" w:color="auto"/>
          </w:divBdr>
          <w:divsChild>
            <w:div w:id="775904923">
              <w:marLeft w:val="0"/>
              <w:marRight w:val="0"/>
              <w:marTop w:val="0"/>
              <w:marBottom w:val="0"/>
              <w:divBdr>
                <w:top w:val="none" w:sz="0" w:space="0" w:color="auto"/>
                <w:left w:val="none" w:sz="0" w:space="0" w:color="auto"/>
                <w:bottom w:val="none" w:sz="0" w:space="0" w:color="auto"/>
                <w:right w:val="none" w:sz="0" w:space="0" w:color="auto"/>
              </w:divBdr>
            </w:div>
          </w:divsChild>
        </w:div>
        <w:div w:id="229730009">
          <w:marLeft w:val="0"/>
          <w:marRight w:val="0"/>
          <w:marTop w:val="0"/>
          <w:marBottom w:val="0"/>
          <w:divBdr>
            <w:top w:val="none" w:sz="0" w:space="0" w:color="auto"/>
            <w:left w:val="none" w:sz="0" w:space="0" w:color="auto"/>
            <w:bottom w:val="none" w:sz="0" w:space="0" w:color="auto"/>
            <w:right w:val="none" w:sz="0" w:space="0" w:color="auto"/>
          </w:divBdr>
          <w:divsChild>
            <w:div w:id="618411692">
              <w:marLeft w:val="0"/>
              <w:marRight w:val="0"/>
              <w:marTop w:val="0"/>
              <w:marBottom w:val="0"/>
              <w:divBdr>
                <w:top w:val="none" w:sz="0" w:space="0" w:color="auto"/>
                <w:left w:val="none" w:sz="0" w:space="0" w:color="auto"/>
                <w:bottom w:val="none" w:sz="0" w:space="0" w:color="auto"/>
                <w:right w:val="none" w:sz="0" w:space="0" w:color="auto"/>
              </w:divBdr>
            </w:div>
          </w:divsChild>
        </w:div>
        <w:div w:id="233467709">
          <w:marLeft w:val="0"/>
          <w:marRight w:val="0"/>
          <w:marTop w:val="0"/>
          <w:marBottom w:val="0"/>
          <w:divBdr>
            <w:top w:val="none" w:sz="0" w:space="0" w:color="auto"/>
            <w:left w:val="none" w:sz="0" w:space="0" w:color="auto"/>
            <w:bottom w:val="none" w:sz="0" w:space="0" w:color="auto"/>
            <w:right w:val="none" w:sz="0" w:space="0" w:color="auto"/>
          </w:divBdr>
          <w:divsChild>
            <w:div w:id="110176239">
              <w:marLeft w:val="0"/>
              <w:marRight w:val="0"/>
              <w:marTop w:val="0"/>
              <w:marBottom w:val="0"/>
              <w:divBdr>
                <w:top w:val="none" w:sz="0" w:space="0" w:color="auto"/>
                <w:left w:val="none" w:sz="0" w:space="0" w:color="auto"/>
                <w:bottom w:val="none" w:sz="0" w:space="0" w:color="auto"/>
                <w:right w:val="none" w:sz="0" w:space="0" w:color="auto"/>
              </w:divBdr>
            </w:div>
          </w:divsChild>
        </w:div>
        <w:div w:id="240138748">
          <w:marLeft w:val="0"/>
          <w:marRight w:val="0"/>
          <w:marTop w:val="0"/>
          <w:marBottom w:val="0"/>
          <w:divBdr>
            <w:top w:val="none" w:sz="0" w:space="0" w:color="auto"/>
            <w:left w:val="none" w:sz="0" w:space="0" w:color="auto"/>
            <w:bottom w:val="none" w:sz="0" w:space="0" w:color="auto"/>
            <w:right w:val="none" w:sz="0" w:space="0" w:color="auto"/>
          </w:divBdr>
          <w:divsChild>
            <w:div w:id="231890102">
              <w:marLeft w:val="0"/>
              <w:marRight w:val="0"/>
              <w:marTop w:val="0"/>
              <w:marBottom w:val="0"/>
              <w:divBdr>
                <w:top w:val="none" w:sz="0" w:space="0" w:color="auto"/>
                <w:left w:val="none" w:sz="0" w:space="0" w:color="auto"/>
                <w:bottom w:val="none" w:sz="0" w:space="0" w:color="auto"/>
                <w:right w:val="none" w:sz="0" w:space="0" w:color="auto"/>
              </w:divBdr>
            </w:div>
            <w:div w:id="807014615">
              <w:marLeft w:val="0"/>
              <w:marRight w:val="0"/>
              <w:marTop w:val="0"/>
              <w:marBottom w:val="0"/>
              <w:divBdr>
                <w:top w:val="none" w:sz="0" w:space="0" w:color="auto"/>
                <w:left w:val="none" w:sz="0" w:space="0" w:color="auto"/>
                <w:bottom w:val="none" w:sz="0" w:space="0" w:color="auto"/>
                <w:right w:val="none" w:sz="0" w:space="0" w:color="auto"/>
              </w:divBdr>
            </w:div>
            <w:div w:id="1514806668">
              <w:marLeft w:val="0"/>
              <w:marRight w:val="0"/>
              <w:marTop w:val="0"/>
              <w:marBottom w:val="0"/>
              <w:divBdr>
                <w:top w:val="none" w:sz="0" w:space="0" w:color="auto"/>
                <w:left w:val="none" w:sz="0" w:space="0" w:color="auto"/>
                <w:bottom w:val="none" w:sz="0" w:space="0" w:color="auto"/>
                <w:right w:val="none" w:sz="0" w:space="0" w:color="auto"/>
              </w:divBdr>
            </w:div>
            <w:div w:id="1603999527">
              <w:marLeft w:val="0"/>
              <w:marRight w:val="0"/>
              <w:marTop w:val="0"/>
              <w:marBottom w:val="0"/>
              <w:divBdr>
                <w:top w:val="none" w:sz="0" w:space="0" w:color="auto"/>
                <w:left w:val="none" w:sz="0" w:space="0" w:color="auto"/>
                <w:bottom w:val="none" w:sz="0" w:space="0" w:color="auto"/>
                <w:right w:val="none" w:sz="0" w:space="0" w:color="auto"/>
              </w:divBdr>
            </w:div>
          </w:divsChild>
        </w:div>
        <w:div w:id="248857219">
          <w:marLeft w:val="0"/>
          <w:marRight w:val="0"/>
          <w:marTop w:val="0"/>
          <w:marBottom w:val="0"/>
          <w:divBdr>
            <w:top w:val="none" w:sz="0" w:space="0" w:color="auto"/>
            <w:left w:val="none" w:sz="0" w:space="0" w:color="auto"/>
            <w:bottom w:val="none" w:sz="0" w:space="0" w:color="auto"/>
            <w:right w:val="none" w:sz="0" w:space="0" w:color="auto"/>
          </w:divBdr>
          <w:divsChild>
            <w:div w:id="1227957104">
              <w:marLeft w:val="0"/>
              <w:marRight w:val="0"/>
              <w:marTop w:val="0"/>
              <w:marBottom w:val="0"/>
              <w:divBdr>
                <w:top w:val="none" w:sz="0" w:space="0" w:color="auto"/>
                <w:left w:val="none" w:sz="0" w:space="0" w:color="auto"/>
                <w:bottom w:val="none" w:sz="0" w:space="0" w:color="auto"/>
                <w:right w:val="none" w:sz="0" w:space="0" w:color="auto"/>
              </w:divBdr>
            </w:div>
          </w:divsChild>
        </w:div>
        <w:div w:id="249507987">
          <w:marLeft w:val="0"/>
          <w:marRight w:val="0"/>
          <w:marTop w:val="0"/>
          <w:marBottom w:val="0"/>
          <w:divBdr>
            <w:top w:val="none" w:sz="0" w:space="0" w:color="auto"/>
            <w:left w:val="none" w:sz="0" w:space="0" w:color="auto"/>
            <w:bottom w:val="none" w:sz="0" w:space="0" w:color="auto"/>
            <w:right w:val="none" w:sz="0" w:space="0" w:color="auto"/>
          </w:divBdr>
          <w:divsChild>
            <w:div w:id="328950533">
              <w:marLeft w:val="0"/>
              <w:marRight w:val="0"/>
              <w:marTop w:val="0"/>
              <w:marBottom w:val="0"/>
              <w:divBdr>
                <w:top w:val="none" w:sz="0" w:space="0" w:color="auto"/>
                <w:left w:val="none" w:sz="0" w:space="0" w:color="auto"/>
                <w:bottom w:val="none" w:sz="0" w:space="0" w:color="auto"/>
                <w:right w:val="none" w:sz="0" w:space="0" w:color="auto"/>
              </w:divBdr>
            </w:div>
            <w:div w:id="1551763900">
              <w:marLeft w:val="0"/>
              <w:marRight w:val="0"/>
              <w:marTop w:val="0"/>
              <w:marBottom w:val="0"/>
              <w:divBdr>
                <w:top w:val="none" w:sz="0" w:space="0" w:color="auto"/>
                <w:left w:val="none" w:sz="0" w:space="0" w:color="auto"/>
                <w:bottom w:val="none" w:sz="0" w:space="0" w:color="auto"/>
                <w:right w:val="none" w:sz="0" w:space="0" w:color="auto"/>
              </w:divBdr>
            </w:div>
            <w:div w:id="1628123894">
              <w:marLeft w:val="0"/>
              <w:marRight w:val="0"/>
              <w:marTop w:val="0"/>
              <w:marBottom w:val="0"/>
              <w:divBdr>
                <w:top w:val="none" w:sz="0" w:space="0" w:color="auto"/>
                <w:left w:val="none" w:sz="0" w:space="0" w:color="auto"/>
                <w:bottom w:val="none" w:sz="0" w:space="0" w:color="auto"/>
                <w:right w:val="none" w:sz="0" w:space="0" w:color="auto"/>
              </w:divBdr>
            </w:div>
            <w:div w:id="1934047700">
              <w:marLeft w:val="0"/>
              <w:marRight w:val="0"/>
              <w:marTop w:val="0"/>
              <w:marBottom w:val="0"/>
              <w:divBdr>
                <w:top w:val="none" w:sz="0" w:space="0" w:color="auto"/>
                <w:left w:val="none" w:sz="0" w:space="0" w:color="auto"/>
                <w:bottom w:val="none" w:sz="0" w:space="0" w:color="auto"/>
                <w:right w:val="none" w:sz="0" w:space="0" w:color="auto"/>
              </w:divBdr>
            </w:div>
          </w:divsChild>
        </w:div>
        <w:div w:id="252982082">
          <w:marLeft w:val="0"/>
          <w:marRight w:val="0"/>
          <w:marTop w:val="0"/>
          <w:marBottom w:val="0"/>
          <w:divBdr>
            <w:top w:val="none" w:sz="0" w:space="0" w:color="auto"/>
            <w:left w:val="none" w:sz="0" w:space="0" w:color="auto"/>
            <w:bottom w:val="none" w:sz="0" w:space="0" w:color="auto"/>
            <w:right w:val="none" w:sz="0" w:space="0" w:color="auto"/>
          </w:divBdr>
          <w:divsChild>
            <w:div w:id="1877037405">
              <w:marLeft w:val="0"/>
              <w:marRight w:val="0"/>
              <w:marTop w:val="0"/>
              <w:marBottom w:val="0"/>
              <w:divBdr>
                <w:top w:val="none" w:sz="0" w:space="0" w:color="auto"/>
                <w:left w:val="none" w:sz="0" w:space="0" w:color="auto"/>
                <w:bottom w:val="none" w:sz="0" w:space="0" w:color="auto"/>
                <w:right w:val="none" w:sz="0" w:space="0" w:color="auto"/>
              </w:divBdr>
            </w:div>
            <w:div w:id="2147383852">
              <w:marLeft w:val="0"/>
              <w:marRight w:val="0"/>
              <w:marTop w:val="0"/>
              <w:marBottom w:val="0"/>
              <w:divBdr>
                <w:top w:val="none" w:sz="0" w:space="0" w:color="auto"/>
                <w:left w:val="none" w:sz="0" w:space="0" w:color="auto"/>
                <w:bottom w:val="none" w:sz="0" w:space="0" w:color="auto"/>
                <w:right w:val="none" w:sz="0" w:space="0" w:color="auto"/>
              </w:divBdr>
            </w:div>
          </w:divsChild>
        </w:div>
        <w:div w:id="257107150">
          <w:marLeft w:val="0"/>
          <w:marRight w:val="0"/>
          <w:marTop w:val="0"/>
          <w:marBottom w:val="0"/>
          <w:divBdr>
            <w:top w:val="none" w:sz="0" w:space="0" w:color="auto"/>
            <w:left w:val="none" w:sz="0" w:space="0" w:color="auto"/>
            <w:bottom w:val="none" w:sz="0" w:space="0" w:color="auto"/>
            <w:right w:val="none" w:sz="0" w:space="0" w:color="auto"/>
          </w:divBdr>
          <w:divsChild>
            <w:div w:id="104931020">
              <w:marLeft w:val="0"/>
              <w:marRight w:val="0"/>
              <w:marTop w:val="0"/>
              <w:marBottom w:val="0"/>
              <w:divBdr>
                <w:top w:val="none" w:sz="0" w:space="0" w:color="auto"/>
                <w:left w:val="none" w:sz="0" w:space="0" w:color="auto"/>
                <w:bottom w:val="none" w:sz="0" w:space="0" w:color="auto"/>
                <w:right w:val="none" w:sz="0" w:space="0" w:color="auto"/>
              </w:divBdr>
            </w:div>
          </w:divsChild>
        </w:div>
        <w:div w:id="266501200">
          <w:marLeft w:val="0"/>
          <w:marRight w:val="0"/>
          <w:marTop w:val="0"/>
          <w:marBottom w:val="0"/>
          <w:divBdr>
            <w:top w:val="none" w:sz="0" w:space="0" w:color="auto"/>
            <w:left w:val="none" w:sz="0" w:space="0" w:color="auto"/>
            <w:bottom w:val="none" w:sz="0" w:space="0" w:color="auto"/>
            <w:right w:val="none" w:sz="0" w:space="0" w:color="auto"/>
          </w:divBdr>
          <w:divsChild>
            <w:div w:id="1491482191">
              <w:marLeft w:val="0"/>
              <w:marRight w:val="0"/>
              <w:marTop w:val="0"/>
              <w:marBottom w:val="0"/>
              <w:divBdr>
                <w:top w:val="none" w:sz="0" w:space="0" w:color="auto"/>
                <w:left w:val="none" w:sz="0" w:space="0" w:color="auto"/>
                <w:bottom w:val="none" w:sz="0" w:space="0" w:color="auto"/>
                <w:right w:val="none" w:sz="0" w:space="0" w:color="auto"/>
              </w:divBdr>
            </w:div>
            <w:div w:id="1587500287">
              <w:marLeft w:val="0"/>
              <w:marRight w:val="0"/>
              <w:marTop w:val="0"/>
              <w:marBottom w:val="0"/>
              <w:divBdr>
                <w:top w:val="none" w:sz="0" w:space="0" w:color="auto"/>
                <w:left w:val="none" w:sz="0" w:space="0" w:color="auto"/>
                <w:bottom w:val="none" w:sz="0" w:space="0" w:color="auto"/>
                <w:right w:val="none" w:sz="0" w:space="0" w:color="auto"/>
              </w:divBdr>
            </w:div>
          </w:divsChild>
        </w:div>
        <w:div w:id="269434953">
          <w:marLeft w:val="0"/>
          <w:marRight w:val="0"/>
          <w:marTop w:val="0"/>
          <w:marBottom w:val="0"/>
          <w:divBdr>
            <w:top w:val="none" w:sz="0" w:space="0" w:color="auto"/>
            <w:left w:val="none" w:sz="0" w:space="0" w:color="auto"/>
            <w:bottom w:val="none" w:sz="0" w:space="0" w:color="auto"/>
            <w:right w:val="none" w:sz="0" w:space="0" w:color="auto"/>
          </w:divBdr>
          <w:divsChild>
            <w:div w:id="515730430">
              <w:marLeft w:val="0"/>
              <w:marRight w:val="0"/>
              <w:marTop w:val="0"/>
              <w:marBottom w:val="0"/>
              <w:divBdr>
                <w:top w:val="none" w:sz="0" w:space="0" w:color="auto"/>
                <w:left w:val="none" w:sz="0" w:space="0" w:color="auto"/>
                <w:bottom w:val="none" w:sz="0" w:space="0" w:color="auto"/>
                <w:right w:val="none" w:sz="0" w:space="0" w:color="auto"/>
              </w:divBdr>
            </w:div>
          </w:divsChild>
        </w:div>
        <w:div w:id="273251264">
          <w:marLeft w:val="0"/>
          <w:marRight w:val="0"/>
          <w:marTop w:val="0"/>
          <w:marBottom w:val="0"/>
          <w:divBdr>
            <w:top w:val="none" w:sz="0" w:space="0" w:color="auto"/>
            <w:left w:val="none" w:sz="0" w:space="0" w:color="auto"/>
            <w:bottom w:val="none" w:sz="0" w:space="0" w:color="auto"/>
            <w:right w:val="none" w:sz="0" w:space="0" w:color="auto"/>
          </w:divBdr>
          <w:divsChild>
            <w:div w:id="739137249">
              <w:marLeft w:val="0"/>
              <w:marRight w:val="0"/>
              <w:marTop w:val="0"/>
              <w:marBottom w:val="0"/>
              <w:divBdr>
                <w:top w:val="none" w:sz="0" w:space="0" w:color="auto"/>
                <w:left w:val="none" w:sz="0" w:space="0" w:color="auto"/>
                <w:bottom w:val="none" w:sz="0" w:space="0" w:color="auto"/>
                <w:right w:val="none" w:sz="0" w:space="0" w:color="auto"/>
              </w:divBdr>
            </w:div>
          </w:divsChild>
        </w:div>
        <w:div w:id="276066903">
          <w:marLeft w:val="0"/>
          <w:marRight w:val="0"/>
          <w:marTop w:val="0"/>
          <w:marBottom w:val="0"/>
          <w:divBdr>
            <w:top w:val="none" w:sz="0" w:space="0" w:color="auto"/>
            <w:left w:val="none" w:sz="0" w:space="0" w:color="auto"/>
            <w:bottom w:val="none" w:sz="0" w:space="0" w:color="auto"/>
            <w:right w:val="none" w:sz="0" w:space="0" w:color="auto"/>
          </w:divBdr>
          <w:divsChild>
            <w:div w:id="1321082622">
              <w:marLeft w:val="0"/>
              <w:marRight w:val="0"/>
              <w:marTop w:val="0"/>
              <w:marBottom w:val="0"/>
              <w:divBdr>
                <w:top w:val="none" w:sz="0" w:space="0" w:color="auto"/>
                <w:left w:val="none" w:sz="0" w:space="0" w:color="auto"/>
                <w:bottom w:val="none" w:sz="0" w:space="0" w:color="auto"/>
                <w:right w:val="none" w:sz="0" w:space="0" w:color="auto"/>
              </w:divBdr>
            </w:div>
            <w:div w:id="1756704410">
              <w:marLeft w:val="0"/>
              <w:marRight w:val="0"/>
              <w:marTop w:val="0"/>
              <w:marBottom w:val="0"/>
              <w:divBdr>
                <w:top w:val="none" w:sz="0" w:space="0" w:color="auto"/>
                <w:left w:val="none" w:sz="0" w:space="0" w:color="auto"/>
                <w:bottom w:val="none" w:sz="0" w:space="0" w:color="auto"/>
                <w:right w:val="none" w:sz="0" w:space="0" w:color="auto"/>
              </w:divBdr>
            </w:div>
          </w:divsChild>
        </w:div>
        <w:div w:id="279337034">
          <w:marLeft w:val="0"/>
          <w:marRight w:val="0"/>
          <w:marTop w:val="0"/>
          <w:marBottom w:val="0"/>
          <w:divBdr>
            <w:top w:val="none" w:sz="0" w:space="0" w:color="auto"/>
            <w:left w:val="none" w:sz="0" w:space="0" w:color="auto"/>
            <w:bottom w:val="none" w:sz="0" w:space="0" w:color="auto"/>
            <w:right w:val="none" w:sz="0" w:space="0" w:color="auto"/>
          </w:divBdr>
          <w:divsChild>
            <w:div w:id="207689998">
              <w:marLeft w:val="0"/>
              <w:marRight w:val="0"/>
              <w:marTop w:val="0"/>
              <w:marBottom w:val="0"/>
              <w:divBdr>
                <w:top w:val="none" w:sz="0" w:space="0" w:color="auto"/>
                <w:left w:val="none" w:sz="0" w:space="0" w:color="auto"/>
                <w:bottom w:val="none" w:sz="0" w:space="0" w:color="auto"/>
                <w:right w:val="none" w:sz="0" w:space="0" w:color="auto"/>
              </w:divBdr>
            </w:div>
            <w:div w:id="1134980154">
              <w:marLeft w:val="0"/>
              <w:marRight w:val="0"/>
              <w:marTop w:val="0"/>
              <w:marBottom w:val="0"/>
              <w:divBdr>
                <w:top w:val="none" w:sz="0" w:space="0" w:color="auto"/>
                <w:left w:val="none" w:sz="0" w:space="0" w:color="auto"/>
                <w:bottom w:val="none" w:sz="0" w:space="0" w:color="auto"/>
                <w:right w:val="none" w:sz="0" w:space="0" w:color="auto"/>
              </w:divBdr>
            </w:div>
          </w:divsChild>
        </w:div>
        <w:div w:id="281887813">
          <w:marLeft w:val="0"/>
          <w:marRight w:val="0"/>
          <w:marTop w:val="0"/>
          <w:marBottom w:val="0"/>
          <w:divBdr>
            <w:top w:val="none" w:sz="0" w:space="0" w:color="auto"/>
            <w:left w:val="none" w:sz="0" w:space="0" w:color="auto"/>
            <w:bottom w:val="none" w:sz="0" w:space="0" w:color="auto"/>
            <w:right w:val="none" w:sz="0" w:space="0" w:color="auto"/>
          </w:divBdr>
          <w:divsChild>
            <w:div w:id="480661677">
              <w:marLeft w:val="0"/>
              <w:marRight w:val="0"/>
              <w:marTop w:val="0"/>
              <w:marBottom w:val="0"/>
              <w:divBdr>
                <w:top w:val="none" w:sz="0" w:space="0" w:color="auto"/>
                <w:left w:val="none" w:sz="0" w:space="0" w:color="auto"/>
                <w:bottom w:val="none" w:sz="0" w:space="0" w:color="auto"/>
                <w:right w:val="none" w:sz="0" w:space="0" w:color="auto"/>
              </w:divBdr>
            </w:div>
          </w:divsChild>
        </w:div>
        <w:div w:id="282081940">
          <w:marLeft w:val="0"/>
          <w:marRight w:val="0"/>
          <w:marTop w:val="0"/>
          <w:marBottom w:val="0"/>
          <w:divBdr>
            <w:top w:val="none" w:sz="0" w:space="0" w:color="auto"/>
            <w:left w:val="none" w:sz="0" w:space="0" w:color="auto"/>
            <w:bottom w:val="none" w:sz="0" w:space="0" w:color="auto"/>
            <w:right w:val="none" w:sz="0" w:space="0" w:color="auto"/>
          </w:divBdr>
          <w:divsChild>
            <w:div w:id="1148593031">
              <w:marLeft w:val="0"/>
              <w:marRight w:val="0"/>
              <w:marTop w:val="0"/>
              <w:marBottom w:val="0"/>
              <w:divBdr>
                <w:top w:val="none" w:sz="0" w:space="0" w:color="auto"/>
                <w:left w:val="none" w:sz="0" w:space="0" w:color="auto"/>
                <w:bottom w:val="none" w:sz="0" w:space="0" w:color="auto"/>
                <w:right w:val="none" w:sz="0" w:space="0" w:color="auto"/>
              </w:divBdr>
            </w:div>
          </w:divsChild>
        </w:div>
        <w:div w:id="289361802">
          <w:marLeft w:val="0"/>
          <w:marRight w:val="0"/>
          <w:marTop w:val="0"/>
          <w:marBottom w:val="0"/>
          <w:divBdr>
            <w:top w:val="none" w:sz="0" w:space="0" w:color="auto"/>
            <w:left w:val="none" w:sz="0" w:space="0" w:color="auto"/>
            <w:bottom w:val="none" w:sz="0" w:space="0" w:color="auto"/>
            <w:right w:val="none" w:sz="0" w:space="0" w:color="auto"/>
          </w:divBdr>
          <w:divsChild>
            <w:div w:id="588121075">
              <w:marLeft w:val="0"/>
              <w:marRight w:val="0"/>
              <w:marTop w:val="0"/>
              <w:marBottom w:val="0"/>
              <w:divBdr>
                <w:top w:val="none" w:sz="0" w:space="0" w:color="auto"/>
                <w:left w:val="none" w:sz="0" w:space="0" w:color="auto"/>
                <w:bottom w:val="none" w:sz="0" w:space="0" w:color="auto"/>
                <w:right w:val="none" w:sz="0" w:space="0" w:color="auto"/>
              </w:divBdr>
            </w:div>
          </w:divsChild>
        </w:div>
        <w:div w:id="294257897">
          <w:marLeft w:val="0"/>
          <w:marRight w:val="0"/>
          <w:marTop w:val="0"/>
          <w:marBottom w:val="0"/>
          <w:divBdr>
            <w:top w:val="none" w:sz="0" w:space="0" w:color="auto"/>
            <w:left w:val="none" w:sz="0" w:space="0" w:color="auto"/>
            <w:bottom w:val="none" w:sz="0" w:space="0" w:color="auto"/>
            <w:right w:val="none" w:sz="0" w:space="0" w:color="auto"/>
          </w:divBdr>
          <w:divsChild>
            <w:div w:id="843478755">
              <w:marLeft w:val="0"/>
              <w:marRight w:val="0"/>
              <w:marTop w:val="0"/>
              <w:marBottom w:val="0"/>
              <w:divBdr>
                <w:top w:val="none" w:sz="0" w:space="0" w:color="auto"/>
                <w:left w:val="none" w:sz="0" w:space="0" w:color="auto"/>
                <w:bottom w:val="none" w:sz="0" w:space="0" w:color="auto"/>
                <w:right w:val="none" w:sz="0" w:space="0" w:color="auto"/>
              </w:divBdr>
            </w:div>
            <w:div w:id="1892033349">
              <w:marLeft w:val="0"/>
              <w:marRight w:val="0"/>
              <w:marTop w:val="0"/>
              <w:marBottom w:val="0"/>
              <w:divBdr>
                <w:top w:val="none" w:sz="0" w:space="0" w:color="auto"/>
                <w:left w:val="none" w:sz="0" w:space="0" w:color="auto"/>
                <w:bottom w:val="none" w:sz="0" w:space="0" w:color="auto"/>
                <w:right w:val="none" w:sz="0" w:space="0" w:color="auto"/>
              </w:divBdr>
            </w:div>
          </w:divsChild>
        </w:div>
        <w:div w:id="297034075">
          <w:marLeft w:val="0"/>
          <w:marRight w:val="0"/>
          <w:marTop w:val="0"/>
          <w:marBottom w:val="0"/>
          <w:divBdr>
            <w:top w:val="none" w:sz="0" w:space="0" w:color="auto"/>
            <w:left w:val="none" w:sz="0" w:space="0" w:color="auto"/>
            <w:bottom w:val="none" w:sz="0" w:space="0" w:color="auto"/>
            <w:right w:val="none" w:sz="0" w:space="0" w:color="auto"/>
          </w:divBdr>
          <w:divsChild>
            <w:div w:id="362680111">
              <w:marLeft w:val="0"/>
              <w:marRight w:val="0"/>
              <w:marTop w:val="0"/>
              <w:marBottom w:val="0"/>
              <w:divBdr>
                <w:top w:val="none" w:sz="0" w:space="0" w:color="auto"/>
                <w:left w:val="none" w:sz="0" w:space="0" w:color="auto"/>
                <w:bottom w:val="none" w:sz="0" w:space="0" w:color="auto"/>
                <w:right w:val="none" w:sz="0" w:space="0" w:color="auto"/>
              </w:divBdr>
            </w:div>
            <w:div w:id="1287271955">
              <w:marLeft w:val="0"/>
              <w:marRight w:val="0"/>
              <w:marTop w:val="0"/>
              <w:marBottom w:val="0"/>
              <w:divBdr>
                <w:top w:val="none" w:sz="0" w:space="0" w:color="auto"/>
                <w:left w:val="none" w:sz="0" w:space="0" w:color="auto"/>
                <w:bottom w:val="none" w:sz="0" w:space="0" w:color="auto"/>
                <w:right w:val="none" w:sz="0" w:space="0" w:color="auto"/>
              </w:divBdr>
            </w:div>
          </w:divsChild>
        </w:div>
        <w:div w:id="300111614">
          <w:marLeft w:val="0"/>
          <w:marRight w:val="0"/>
          <w:marTop w:val="0"/>
          <w:marBottom w:val="0"/>
          <w:divBdr>
            <w:top w:val="none" w:sz="0" w:space="0" w:color="auto"/>
            <w:left w:val="none" w:sz="0" w:space="0" w:color="auto"/>
            <w:bottom w:val="none" w:sz="0" w:space="0" w:color="auto"/>
            <w:right w:val="none" w:sz="0" w:space="0" w:color="auto"/>
          </w:divBdr>
          <w:divsChild>
            <w:div w:id="642005303">
              <w:marLeft w:val="0"/>
              <w:marRight w:val="0"/>
              <w:marTop w:val="0"/>
              <w:marBottom w:val="0"/>
              <w:divBdr>
                <w:top w:val="none" w:sz="0" w:space="0" w:color="auto"/>
                <w:left w:val="none" w:sz="0" w:space="0" w:color="auto"/>
                <w:bottom w:val="none" w:sz="0" w:space="0" w:color="auto"/>
                <w:right w:val="none" w:sz="0" w:space="0" w:color="auto"/>
              </w:divBdr>
            </w:div>
          </w:divsChild>
        </w:div>
        <w:div w:id="300383503">
          <w:marLeft w:val="0"/>
          <w:marRight w:val="0"/>
          <w:marTop w:val="0"/>
          <w:marBottom w:val="0"/>
          <w:divBdr>
            <w:top w:val="none" w:sz="0" w:space="0" w:color="auto"/>
            <w:left w:val="none" w:sz="0" w:space="0" w:color="auto"/>
            <w:bottom w:val="none" w:sz="0" w:space="0" w:color="auto"/>
            <w:right w:val="none" w:sz="0" w:space="0" w:color="auto"/>
          </w:divBdr>
          <w:divsChild>
            <w:div w:id="132842006">
              <w:marLeft w:val="0"/>
              <w:marRight w:val="0"/>
              <w:marTop w:val="0"/>
              <w:marBottom w:val="0"/>
              <w:divBdr>
                <w:top w:val="none" w:sz="0" w:space="0" w:color="auto"/>
                <w:left w:val="none" w:sz="0" w:space="0" w:color="auto"/>
                <w:bottom w:val="none" w:sz="0" w:space="0" w:color="auto"/>
                <w:right w:val="none" w:sz="0" w:space="0" w:color="auto"/>
              </w:divBdr>
            </w:div>
            <w:div w:id="1155142052">
              <w:marLeft w:val="0"/>
              <w:marRight w:val="0"/>
              <w:marTop w:val="0"/>
              <w:marBottom w:val="0"/>
              <w:divBdr>
                <w:top w:val="none" w:sz="0" w:space="0" w:color="auto"/>
                <w:left w:val="none" w:sz="0" w:space="0" w:color="auto"/>
                <w:bottom w:val="none" w:sz="0" w:space="0" w:color="auto"/>
                <w:right w:val="none" w:sz="0" w:space="0" w:color="auto"/>
              </w:divBdr>
            </w:div>
            <w:div w:id="1424063100">
              <w:marLeft w:val="0"/>
              <w:marRight w:val="0"/>
              <w:marTop w:val="0"/>
              <w:marBottom w:val="0"/>
              <w:divBdr>
                <w:top w:val="none" w:sz="0" w:space="0" w:color="auto"/>
                <w:left w:val="none" w:sz="0" w:space="0" w:color="auto"/>
                <w:bottom w:val="none" w:sz="0" w:space="0" w:color="auto"/>
                <w:right w:val="none" w:sz="0" w:space="0" w:color="auto"/>
              </w:divBdr>
            </w:div>
          </w:divsChild>
        </w:div>
        <w:div w:id="302927265">
          <w:marLeft w:val="0"/>
          <w:marRight w:val="0"/>
          <w:marTop w:val="0"/>
          <w:marBottom w:val="0"/>
          <w:divBdr>
            <w:top w:val="none" w:sz="0" w:space="0" w:color="auto"/>
            <w:left w:val="none" w:sz="0" w:space="0" w:color="auto"/>
            <w:bottom w:val="none" w:sz="0" w:space="0" w:color="auto"/>
            <w:right w:val="none" w:sz="0" w:space="0" w:color="auto"/>
          </w:divBdr>
          <w:divsChild>
            <w:div w:id="793407032">
              <w:marLeft w:val="0"/>
              <w:marRight w:val="0"/>
              <w:marTop w:val="0"/>
              <w:marBottom w:val="0"/>
              <w:divBdr>
                <w:top w:val="none" w:sz="0" w:space="0" w:color="auto"/>
                <w:left w:val="none" w:sz="0" w:space="0" w:color="auto"/>
                <w:bottom w:val="none" w:sz="0" w:space="0" w:color="auto"/>
                <w:right w:val="none" w:sz="0" w:space="0" w:color="auto"/>
              </w:divBdr>
            </w:div>
            <w:div w:id="1019819099">
              <w:marLeft w:val="0"/>
              <w:marRight w:val="0"/>
              <w:marTop w:val="0"/>
              <w:marBottom w:val="0"/>
              <w:divBdr>
                <w:top w:val="none" w:sz="0" w:space="0" w:color="auto"/>
                <w:left w:val="none" w:sz="0" w:space="0" w:color="auto"/>
                <w:bottom w:val="none" w:sz="0" w:space="0" w:color="auto"/>
                <w:right w:val="none" w:sz="0" w:space="0" w:color="auto"/>
              </w:divBdr>
            </w:div>
          </w:divsChild>
        </w:div>
        <w:div w:id="308021000">
          <w:marLeft w:val="0"/>
          <w:marRight w:val="0"/>
          <w:marTop w:val="0"/>
          <w:marBottom w:val="0"/>
          <w:divBdr>
            <w:top w:val="none" w:sz="0" w:space="0" w:color="auto"/>
            <w:left w:val="none" w:sz="0" w:space="0" w:color="auto"/>
            <w:bottom w:val="none" w:sz="0" w:space="0" w:color="auto"/>
            <w:right w:val="none" w:sz="0" w:space="0" w:color="auto"/>
          </w:divBdr>
          <w:divsChild>
            <w:div w:id="1152405767">
              <w:marLeft w:val="0"/>
              <w:marRight w:val="0"/>
              <w:marTop w:val="0"/>
              <w:marBottom w:val="0"/>
              <w:divBdr>
                <w:top w:val="none" w:sz="0" w:space="0" w:color="auto"/>
                <w:left w:val="none" w:sz="0" w:space="0" w:color="auto"/>
                <w:bottom w:val="none" w:sz="0" w:space="0" w:color="auto"/>
                <w:right w:val="none" w:sz="0" w:space="0" w:color="auto"/>
              </w:divBdr>
            </w:div>
          </w:divsChild>
        </w:div>
        <w:div w:id="315190822">
          <w:marLeft w:val="0"/>
          <w:marRight w:val="0"/>
          <w:marTop w:val="0"/>
          <w:marBottom w:val="0"/>
          <w:divBdr>
            <w:top w:val="none" w:sz="0" w:space="0" w:color="auto"/>
            <w:left w:val="none" w:sz="0" w:space="0" w:color="auto"/>
            <w:bottom w:val="none" w:sz="0" w:space="0" w:color="auto"/>
            <w:right w:val="none" w:sz="0" w:space="0" w:color="auto"/>
          </w:divBdr>
          <w:divsChild>
            <w:div w:id="1954558146">
              <w:marLeft w:val="0"/>
              <w:marRight w:val="0"/>
              <w:marTop w:val="0"/>
              <w:marBottom w:val="0"/>
              <w:divBdr>
                <w:top w:val="none" w:sz="0" w:space="0" w:color="auto"/>
                <w:left w:val="none" w:sz="0" w:space="0" w:color="auto"/>
                <w:bottom w:val="none" w:sz="0" w:space="0" w:color="auto"/>
                <w:right w:val="none" w:sz="0" w:space="0" w:color="auto"/>
              </w:divBdr>
            </w:div>
          </w:divsChild>
        </w:div>
        <w:div w:id="323821657">
          <w:marLeft w:val="0"/>
          <w:marRight w:val="0"/>
          <w:marTop w:val="0"/>
          <w:marBottom w:val="0"/>
          <w:divBdr>
            <w:top w:val="none" w:sz="0" w:space="0" w:color="auto"/>
            <w:left w:val="none" w:sz="0" w:space="0" w:color="auto"/>
            <w:bottom w:val="none" w:sz="0" w:space="0" w:color="auto"/>
            <w:right w:val="none" w:sz="0" w:space="0" w:color="auto"/>
          </w:divBdr>
          <w:divsChild>
            <w:div w:id="629093659">
              <w:marLeft w:val="0"/>
              <w:marRight w:val="0"/>
              <w:marTop w:val="0"/>
              <w:marBottom w:val="0"/>
              <w:divBdr>
                <w:top w:val="none" w:sz="0" w:space="0" w:color="auto"/>
                <w:left w:val="none" w:sz="0" w:space="0" w:color="auto"/>
                <w:bottom w:val="none" w:sz="0" w:space="0" w:color="auto"/>
                <w:right w:val="none" w:sz="0" w:space="0" w:color="auto"/>
              </w:divBdr>
            </w:div>
            <w:div w:id="695817368">
              <w:marLeft w:val="0"/>
              <w:marRight w:val="0"/>
              <w:marTop w:val="0"/>
              <w:marBottom w:val="0"/>
              <w:divBdr>
                <w:top w:val="none" w:sz="0" w:space="0" w:color="auto"/>
                <w:left w:val="none" w:sz="0" w:space="0" w:color="auto"/>
                <w:bottom w:val="none" w:sz="0" w:space="0" w:color="auto"/>
                <w:right w:val="none" w:sz="0" w:space="0" w:color="auto"/>
              </w:divBdr>
            </w:div>
            <w:div w:id="1333799449">
              <w:marLeft w:val="0"/>
              <w:marRight w:val="0"/>
              <w:marTop w:val="0"/>
              <w:marBottom w:val="0"/>
              <w:divBdr>
                <w:top w:val="none" w:sz="0" w:space="0" w:color="auto"/>
                <w:left w:val="none" w:sz="0" w:space="0" w:color="auto"/>
                <w:bottom w:val="none" w:sz="0" w:space="0" w:color="auto"/>
                <w:right w:val="none" w:sz="0" w:space="0" w:color="auto"/>
              </w:divBdr>
            </w:div>
            <w:div w:id="1476140942">
              <w:marLeft w:val="0"/>
              <w:marRight w:val="0"/>
              <w:marTop w:val="0"/>
              <w:marBottom w:val="0"/>
              <w:divBdr>
                <w:top w:val="none" w:sz="0" w:space="0" w:color="auto"/>
                <w:left w:val="none" w:sz="0" w:space="0" w:color="auto"/>
                <w:bottom w:val="none" w:sz="0" w:space="0" w:color="auto"/>
                <w:right w:val="none" w:sz="0" w:space="0" w:color="auto"/>
              </w:divBdr>
            </w:div>
            <w:div w:id="1657567050">
              <w:marLeft w:val="0"/>
              <w:marRight w:val="0"/>
              <w:marTop w:val="0"/>
              <w:marBottom w:val="0"/>
              <w:divBdr>
                <w:top w:val="none" w:sz="0" w:space="0" w:color="auto"/>
                <w:left w:val="none" w:sz="0" w:space="0" w:color="auto"/>
                <w:bottom w:val="none" w:sz="0" w:space="0" w:color="auto"/>
                <w:right w:val="none" w:sz="0" w:space="0" w:color="auto"/>
              </w:divBdr>
            </w:div>
            <w:div w:id="1896621781">
              <w:marLeft w:val="0"/>
              <w:marRight w:val="0"/>
              <w:marTop w:val="0"/>
              <w:marBottom w:val="0"/>
              <w:divBdr>
                <w:top w:val="none" w:sz="0" w:space="0" w:color="auto"/>
                <w:left w:val="none" w:sz="0" w:space="0" w:color="auto"/>
                <w:bottom w:val="none" w:sz="0" w:space="0" w:color="auto"/>
                <w:right w:val="none" w:sz="0" w:space="0" w:color="auto"/>
              </w:divBdr>
            </w:div>
            <w:div w:id="1999570605">
              <w:marLeft w:val="0"/>
              <w:marRight w:val="0"/>
              <w:marTop w:val="0"/>
              <w:marBottom w:val="0"/>
              <w:divBdr>
                <w:top w:val="none" w:sz="0" w:space="0" w:color="auto"/>
                <w:left w:val="none" w:sz="0" w:space="0" w:color="auto"/>
                <w:bottom w:val="none" w:sz="0" w:space="0" w:color="auto"/>
                <w:right w:val="none" w:sz="0" w:space="0" w:color="auto"/>
              </w:divBdr>
            </w:div>
          </w:divsChild>
        </w:div>
        <w:div w:id="330068688">
          <w:marLeft w:val="0"/>
          <w:marRight w:val="0"/>
          <w:marTop w:val="0"/>
          <w:marBottom w:val="0"/>
          <w:divBdr>
            <w:top w:val="none" w:sz="0" w:space="0" w:color="auto"/>
            <w:left w:val="none" w:sz="0" w:space="0" w:color="auto"/>
            <w:bottom w:val="none" w:sz="0" w:space="0" w:color="auto"/>
            <w:right w:val="none" w:sz="0" w:space="0" w:color="auto"/>
          </w:divBdr>
          <w:divsChild>
            <w:div w:id="1072629641">
              <w:marLeft w:val="0"/>
              <w:marRight w:val="0"/>
              <w:marTop w:val="0"/>
              <w:marBottom w:val="0"/>
              <w:divBdr>
                <w:top w:val="none" w:sz="0" w:space="0" w:color="auto"/>
                <w:left w:val="none" w:sz="0" w:space="0" w:color="auto"/>
                <w:bottom w:val="none" w:sz="0" w:space="0" w:color="auto"/>
                <w:right w:val="none" w:sz="0" w:space="0" w:color="auto"/>
              </w:divBdr>
            </w:div>
          </w:divsChild>
        </w:div>
        <w:div w:id="331689537">
          <w:marLeft w:val="0"/>
          <w:marRight w:val="0"/>
          <w:marTop w:val="0"/>
          <w:marBottom w:val="0"/>
          <w:divBdr>
            <w:top w:val="none" w:sz="0" w:space="0" w:color="auto"/>
            <w:left w:val="none" w:sz="0" w:space="0" w:color="auto"/>
            <w:bottom w:val="none" w:sz="0" w:space="0" w:color="auto"/>
            <w:right w:val="none" w:sz="0" w:space="0" w:color="auto"/>
          </w:divBdr>
          <w:divsChild>
            <w:div w:id="615061146">
              <w:marLeft w:val="0"/>
              <w:marRight w:val="0"/>
              <w:marTop w:val="0"/>
              <w:marBottom w:val="0"/>
              <w:divBdr>
                <w:top w:val="none" w:sz="0" w:space="0" w:color="auto"/>
                <w:left w:val="none" w:sz="0" w:space="0" w:color="auto"/>
                <w:bottom w:val="none" w:sz="0" w:space="0" w:color="auto"/>
                <w:right w:val="none" w:sz="0" w:space="0" w:color="auto"/>
              </w:divBdr>
            </w:div>
            <w:div w:id="638805245">
              <w:marLeft w:val="0"/>
              <w:marRight w:val="0"/>
              <w:marTop w:val="0"/>
              <w:marBottom w:val="0"/>
              <w:divBdr>
                <w:top w:val="none" w:sz="0" w:space="0" w:color="auto"/>
                <w:left w:val="none" w:sz="0" w:space="0" w:color="auto"/>
                <w:bottom w:val="none" w:sz="0" w:space="0" w:color="auto"/>
                <w:right w:val="none" w:sz="0" w:space="0" w:color="auto"/>
              </w:divBdr>
            </w:div>
            <w:div w:id="677463929">
              <w:marLeft w:val="0"/>
              <w:marRight w:val="0"/>
              <w:marTop w:val="0"/>
              <w:marBottom w:val="0"/>
              <w:divBdr>
                <w:top w:val="none" w:sz="0" w:space="0" w:color="auto"/>
                <w:left w:val="none" w:sz="0" w:space="0" w:color="auto"/>
                <w:bottom w:val="none" w:sz="0" w:space="0" w:color="auto"/>
                <w:right w:val="none" w:sz="0" w:space="0" w:color="auto"/>
              </w:divBdr>
            </w:div>
            <w:div w:id="794444389">
              <w:marLeft w:val="0"/>
              <w:marRight w:val="0"/>
              <w:marTop w:val="0"/>
              <w:marBottom w:val="0"/>
              <w:divBdr>
                <w:top w:val="none" w:sz="0" w:space="0" w:color="auto"/>
                <w:left w:val="none" w:sz="0" w:space="0" w:color="auto"/>
                <w:bottom w:val="none" w:sz="0" w:space="0" w:color="auto"/>
                <w:right w:val="none" w:sz="0" w:space="0" w:color="auto"/>
              </w:divBdr>
            </w:div>
            <w:div w:id="911619995">
              <w:marLeft w:val="0"/>
              <w:marRight w:val="0"/>
              <w:marTop w:val="0"/>
              <w:marBottom w:val="0"/>
              <w:divBdr>
                <w:top w:val="none" w:sz="0" w:space="0" w:color="auto"/>
                <w:left w:val="none" w:sz="0" w:space="0" w:color="auto"/>
                <w:bottom w:val="none" w:sz="0" w:space="0" w:color="auto"/>
                <w:right w:val="none" w:sz="0" w:space="0" w:color="auto"/>
              </w:divBdr>
            </w:div>
            <w:div w:id="914823716">
              <w:marLeft w:val="0"/>
              <w:marRight w:val="0"/>
              <w:marTop w:val="0"/>
              <w:marBottom w:val="0"/>
              <w:divBdr>
                <w:top w:val="none" w:sz="0" w:space="0" w:color="auto"/>
                <w:left w:val="none" w:sz="0" w:space="0" w:color="auto"/>
                <w:bottom w:val="none" w:sz="0" w:space="0" w:color="auto"/>
                <w:right w:val="none" w:sz="0" w:space="0" w:color="auto"/>
              </w:divBdr>
            </w:div>
            <w:div w:id="1129662573">
              <w:marLeft w:val="0"/>
              <w:marRight w:val="0"/>
              <w:marTop w:val="0"/>
              <w:marBottom w:val="0"/>
              <w:divBdr>
                <w:top w:val="none" w:sz="0" w:space="0" w:color="auto"/>
                <w:left w:val="none" w:sz="0" w:space="0" w:color="auto"/>
                <w:bottom w:val="none" w:sz="0" w:space="0" w:color="auto"/>
                <w:right w:val="none" w:sz="0" w:space="0" w:color="auto"/>
              </w:divBdr>
            </w:div>
            <w:div w:id="1792893316">
              <w:marLeft w:val="0"/>
              <w:marRight w:val="0"/>
              <w:marTop w:val="0"/>
              <w:marBottom w:val="0"/>
              <w:divBdr>
                <w:top w:val="none" w:sz="0" w:space="0" w:color="auto"/>
                <w:left w:val="none" w:sz="0" w:space="0" w:color="auto"/>
                <w:bottom w:val="none" w:sz="0" w:space="0" w:color="auto"/>
                <w:right w:val="none" w:sz="0" w:space="0" w:color="auto"/>
              </w:divBdr>
            </w:div>
            <w:div w:id="1975257892">
              <w:marLeft w:val="0"/>
              <w:marRight w:val="0"/>
              <w:marTop w:val="0"/>
              <w:marBottom w:val="0"/>
              <w:divBdr>
                <w:top w:val="none" w:sz="0" w:space="0" w:color="auto"/>
                <w:left w:val="none" w:sz="0" w:space="0" w:color="auto"/>
                <w:bottom w:val="none" w:sz="0" w:space="0" w:color="auto"/>
                <w:right w:val="none" w:sz="0" w:space="0" w:color="auto"/>
              </w:divBdr>
            </w:div>
            <w:div w:id="2085373685">
              <w:marLeft w:val="0"/>
              <w:marRight w:val="0"/>
              <w:marTop w:val="0"/>
              <w:marBottom w:val="0"/>
              <w:divBdr>
                <w:top w:val="none" w:sz="0" w:space="0" w:color="auto"/>
                <w:left w:val="none" w:sz="0" w:space="0" w:color="auto"/>
                <w:bottom w:val="none" w:sz="0" w:space="0" w:color="auto"/>
                <w:right w:val="none" w:sz="0" w:space="0" w:color="auto"/>
              </w:divBdr>
            </w:div>
          </w:divsChild>
        </w:div>
        <w:div w:id="332495832">
          <w:marLeft w:val="0"/>
          <w:marRight w:val="0"/>
          <w:marTop w:val="0"/>
          <w:marBottom w:val="0"/>
          <w:divBdr>
            <w:top w:val="none" w:sz="0" w:space="0" w:color="auto"/>
            <w:left w:val="none" w:sz="0" w:space="0" w:color="auto"/>
            <w:bottom w:val="none" w:sz="0" w:space="0" w:color="auto"/>
            <w:right w:val="none" w:sz="0" w:space="0" w:color="auto"/>
          </w:divBdr>
          <w:divsChild>
            <w:div w:id="1131438861">
              <w:marLeft w:val="0"/>
              <w:marRight w:val="0"/>
              <w:marTop w:val="0"/>
              <w:marBottom w:val="0"/>
              <w:divBdr>
                <w:top w:val="none" w:sz="0" w:space="0" w:color="auto"/>
                <w:left w:val="none" w:sz="0" w:space="0" w:color="auto"/>
                <w:bottom w:val="none" w:sz="0" w:space="0" w:color="auto"/>
                <w:right w:val="none" w:sz="0" w:space="0" w:color="auto"/>
              </w:divBdr>
            </w:div>
          </w:divsChild>
        </w:div>
        <w:div w:id="341519159">
          <w:marLeft w:val="0"/>
          <w:marRight w:val="0"/>
          <w:marTop w:val="0"/>
          <w:marBottom w:val="0"/>
          <w:divBdr>
            <w:top w:val="none" w:sz="0" w:space="0" w:color="auto"/>
            <w:left w:val="none" w:sz="0" w:space="0" w:color="auto"/>
            <w:bottom w:val="none" w:sz="0" w:space="0" w:color="auto"/>
            <w:right w:val="none" w:sz="0" w:space="0" w:color="auto"/>
          </w:divBdr>
          <w:divsChild>
            <w:div w:id="1241134316">
              <w:marLeft w:val="0"/>
              <w:marRight w:val="0"/>
              <w:marTop w:val="0"/>
              <w:marBottom w:val="0"/>
              <w:divBdr>
                <w:top w:val="none" w:sz="0" w:space="0" w:color="auto"/>
                <w:left w:val="none" w:sz="0" w:space="0" w:color="auto"/>
                <w:bottom w:val="none" w:sz="0" w:space="0" w:color="auto"/>
                <w:right w:val="none" w:sz="0" w:space="0" w:color="auto"/>
              </w:divBdr>
            </w:div>
            <w:div w:id="1720740865">
              <w:marLeft w:val="0"/>
              <w:marRight w:val="0"/>
              <w:marTop w:val="0"/>
              <w:marBottom w:val="0"/>
              <w:divBdr>
                <w:top w:val="none" w:sz="0" w:space="0" w:color="auto"/>
                <w:left w:val="none" w:sz="0" w:space="0" w:color="auto"/>
                <w:bottom w:val="none" w:sz="0" w:space="0" w:color="auto"/>
                <w:right w:val="none" w:sz="0" w:space="0" w:color="auto"/>
              </w:divBdr>
            </w:div>
          </w:divsChild>
        </w:div>
        <w:div w:id="343871390">
          <w:marLeft w:val="0"/>
          <w:marRight w:val="0"/>
          <w:marTop w:val="0"/>
          <w:marBottom w:val="0"/>
          <w:divBdr>
            <w:top w:val="none" w:sz="0" w:space="0" w:color="auto"/>
            <w:left w:val="none" w:sz="0" w:space="0" w:color="auto"/>
            <w:bottom w:val="none" w:sz="0" w:space="0" w:color="auto"/>
            <w:right w:val="none" w:sz="0" w:space="0" w:color="auto"/>
          </w:divBdr>
          <w:divsChild>
            <w:div w:id="1061100496">
              <w:marLeft w:val="0"/>
              <w:marRight w:val="0"/>
              <w:marTop w:val="0"/>
              <w:marBottom w:val="0"/>
              <w:divBdr>
                <w:top w:val="none" w:sz="0" w:space="0" w:color="auto"/>
                <w:left w:val="none" w:sz="0" w:space="0" w:color="auto"/>
                <w:bottom w:val="none" w:sz="0" w:space="0" w:color="auto"/>
                <w:right w:val="none" w:sz="0" w:space="0" w:color="auto"/>
              </w:divBdr>
            </w:div>
          </w:divsChild>
        </w:div>
        <w:div w:id="346324144">
          <w:marLeft w:val="0"/>
          <w:marRight w:val="0"/>
          <w:marTop w:val="0"/>
          <w:marBottom w:val="0"/>
          <w:divBdr>
            <w:top w:val="none" w:sz="0" w:space="0" w:color="auto"/>
            <w:left w:val="none" w:sz="0" w:space="0" w:color="auto"/>
            <w:bottom w:val="none" w:sz="0" w:space="0" w:color="auto"/>
            <w:right w:val="none" w:sz="0" w:space="0" w:color="auto"/>
          </w:divBdr>
          <w:divsChild>
            <w:div w:id="242646345">
              <w:marLeft w:val="0"/>
              <w:marRight w:val="0"/>
              <w:marTop w:val="0"/>
              <w:marBottom w:val="0"/>
              <w:divBdr>
                <w:top w:val="none" w:sz="0" w:space="0" w:color="auto"/>
                <w:left w:val="none" w:sz="0" w:space="0" w:color="auto"/>
                <w:bottom w:val="none" w:sz="0" w:space="0" w:color="auto"/>
                <w:right w:val="none" w:sz="0" w:space="0" w:color="auto"/>
              </w:divBdr>
            </w:div>
          </w:divsChild>
        </w:div>
        <w:div w:id="348067214">
          <w:marLeft w:val="0"/>
          <w:marRight w:val="0"/>
          <w:marTop w:val="0"/>
          <w:marBottom w:val="0"/>
          <w:divBdr>
            <w:top w:val="none" w:sz="0" w:space="0" w:color="auto"/>
            <w:left w:val="none" w:sz="0" w:space="0" w:color="auto"/>
            <w:bottom w:val="none" w:sz="0" w:space="0" w:color="auto"/>
            <w:right w:val="none" w:sz="0" w:space="0" w:color="auto"/>
          </w:divBdr>
          <w:divsChild>
            <w:div w:id="991983351">
              <w:marLeft w:val="0"/>
              <w:marRight w:val="0"/>
              <w:marTop w:val="0"/>
              <w:marBottom w:val="0"/>
              <w:divBdr>
                <w:top w:val="none" w:sz="0" w:space="0" w:color="auto"/>
                <w:left w:val="none" w:sz="0" w:space="0" w:color="auto"/>
                <w:bottom w:val="none" w:sz="0" w:space="0" w:color="auto"/>
                <w:right w:val="none" w:sz="0" w:space="0" w:color="auto"/>
              </w:divBdr>
            </w:div>
          </w:divsChild>
        </w:div>
        <w:div w:id="348798012">
          <w:marLeft w:val="0"/>
          <w:marRight w:val="0"/>
          <w:marTop w:val="0"/>
          <w:marBottom w:val="0"/>
          <w:divBdr>
            <w:top w:val="none" w:sz="0" w:space="0" w:color="auto"/>
            <w:left w:val="none" w:sz="0" w:space="0" w:color="auto"/>
            <w:bottom w:val="none" w:sz="0" w:space="0" w:color="auto"/>
            <w:right w:val="none" w:sz="0" w:space="0" w:color="auto"/>
          </w:divBdr>
          <w:divsChild>
            <w:div w:id="822507491">
              <w:marLeft w:val="0"/>
              <w:marRight w:val="0"/>
              <w:marTop w:val="0"/>
              <w:marBottom w:val="0"/>
              <w:divBdr>
                <w:top w:val="none" w:sz="0" w:space="0" w:color="auto"/>
                <w:left w:val="none" w:sz="0" w:space="0" w:color="auto"/>
                <w:bottom w:val="none" w:sz="0" w:space="0" w:color="auto"/>
                <w:right w:val="none" w:sz="0" w:space="0" w:color="auto"/>
              </w:divBdr>
            </w:div>
            <w:div w:id="1721662023">
              <w:marLeft w:val="0"/>
              <w:marRight w:val="0"/>
              <w:marTop w:val="0"/>
              <w:marBottom w:val="0"/>
              <w:divBdr>
                <w:top w:val="none" w:sz="0" w:space="0" w:color="auto"/>
                <w:left w:val="none" w:sz="0" w:space="0" w:color="auto"/>
                <w:bottom w:val="none" w:sz="0" w:space="0" w:color="auto"/>
                <w:right w:val="none" w:sz="0" w:space="0" w:color="auto"/>
              </w:divBdr>
            </w:div>
            <w:div w:id="1752969343">
              <w:marLeft w:val="0"/>
              <w:marRight w:val="0"/>
              <w:marTop w:val="0"/>
              <w:marBottom w:val="0"/>
              <w:divBdr>
                <w:top w:val="none" w:sz="0" w:space="0" w:color="auto"/>
                <w:left w:val="none" w:sz="0" w:space="0" w:color="auto"/>
                <w:bottom w:val="none" w:sz="0" w:space="0" w:color="auto"/>
                <w:right w:val="none" w:sz="0" w:space="0" w:color="auto"/>
              </w:divBdr>
            </w:div>
            <w:div w:id="1775131814">
              <w:marLeft w:val="0"/>
              <w:marRight w:val="0"/>
              <w:marTop w:val="0"/>
              <w:marBottom w:val="0"/>
              <w:divBdr>
                <w:top w:val="none" w:sz="0" w:space="0" w:color="auto"/>
                <w:left w:val="none" w:sz="0" w:space="0" w:color="auto"/>
                <w:bottom w:val="none" w:sz="0" w:space="0" w:color="auto"/>
                <w:right w:val="none" w:sz="0" w:space="0" w:color="auto"/>
              </w:divBdr>
            </w:div>
          </w:divsChild>
        </w:div>
        <w:div w:id="354771277">
          <w:marLeft w:val="0"/>
          <w:marRight w:val="0"/>
          <w:marTop w:val="0"/>
          <w:marBottom w:val="0"/>
          <w:divBdr>
            <w:top w:val="none" w:sz="0" w:space="0" w:color="auto"/>
            <w:left w:val="none" w:sz="0" w:space="0" w:color="auto"/>
            <w:bottom w:val="none" w:sz="0" w:space="0" w:color="auto"/>
            <w:right w:val="none" w:sz="0" w:space="0" w:color="auto"/>
          </w:divBdr>
          <w:divsChild>
            <w:div w:id="233049833">
              <w:marLeft w:val="0"/>
              <w:marRight w:val="0"/>
              <w:marTop w:val="0"/>
              <w:marBottom w:val="0"/>
              <w:divBdr>
                <w:top w:val="none" w:sz="0" w:space="0" w:color="auto"/>
                <w:left w:val="none" w:sz="0" w:space="0" w:color="auto"/>
                <w:bottom w:val="none" w:sz="0" w:space="0" w:color="auto"/>
                <w:right w:val="none" w:sz="0" w:space="0" w:color="auto"/>
              </w:divBdr>
            </w:div>
          </w:divsChild>
        </w:div>
        <w:div w:id="355734058">
          <w:marLeft w:val="0"/>
          <w:marRight w:val="0"/>
          <w:marTop w:val="0"/>
          <w:marBottom w:val="0"/>
          <w:divBdr>
            <w:top w:val="none" w:sz="0" w:space="0" w:color="auto"/>
            <w:left w:val="none" w:sz="0" w:space="0" w:color="auto"/>
            <w:bottom w:val="none" w:sz="0" w:space="0" w:color="auto"/>
            <w:right w:val="none" w:sz="0" w:space="0" w:color="auto"/>
          </w:divBdr>
          <w:divsChild>
            <w:div w:id="808086509">
              <w:marLeft w:val="0"/>
              <w:marRight w:val="0"/>
              <w:marTop w:val="0"/>
              <w:marBottom w:val="0"/>
              <w:divBdr>
                <w:top w:val="none" w:sz="0" w:space="0" w:color="auto"/>
                <w:left w:val="none" w:sz="0" w:space="0" w:color="auto"/>
                <w:bottom w:val="none" w:sz="0" w:space="0" w:color="auto"/>
                <w:right w:val="none" w:sz="0" w:space="0" w:color="auto"/>
              </w:divBdr>
            </w:div>
            <w:div w:id="1456411397">
              <w:marLeft w:val="0"/>
              <w:marRight w:val="0"/>
              <w:marTop w:val="0"/>
              <w:marBottom w:val="0"/>
              <w:divBdr>
                <w:top w:val="none" w:sz="0" w:space="0" w:color="auto"/>
                <w:left w:val="none" w:sz="0" w:space="0" w:color="auto"/>
                <w:bottom w:val="none" w:sz="0" w:space="0" w:color="auto"/>
                <w:right w:val="none" w:sz="0" w:space="0" w:color="auto"/>
              </w:divBdr>
            </w:div>
          </w:divsChild>
        </w:div>
        <w:div w:id="356469561">
          <w:marLeft w:val="0"/>
          <w:marRight w:val="0"/>
          <w:marTop w:val="0"/>
          <w:marBottom w:val="0"/>
          <w:divBdr>
            <w:top w:val="none" w:sz="0" w:space="0" w:color="auto"/>
            <w:left w:val="none" w:sz="0" w:space="0" w:color="auto"/>
            <w:bottom w:val="none" w:sz="0" w:space="0" w:color="auto"/>
            <w:right w:val="none" w:sz="0" w:space="0" w:color="auto"/>
          </w:divBdr>
          <w:divsChild>
            <w:div w:id="585383737">
              <w:marLeft w:val="0"/>
              <w:marRight w:val="0"/>
              <w:marTop w:val="0"/>
              <w:marBottom w:val="0"/>
              <w:divBdr>
                <w:top w:val="none" w:sz="0" w:space="0" w:color="auto"/>
                <w:left w:val="none" w:sz="0" w:space="0" w:color="auto"/>
                <w:bottom w:val="none" w:sz="0" w:space="0" w:color="auto"/>
                <w:right w:val="none" w:sz="0" w:space="0" w:color="auto"/>
              </w:divBdr>
            </w:div>
          </w:divsChild>
        </w:div>
        <w:div w:id="365834966">
          <w:marLeft w:val="0"/>
          <w:marRight w:val="0"/>
          <w:marTop w:val="0"/>
          <w:marBottom w:val="0"/>
          <w:divBdr>
            <w:top w:val="none" w:sz="0" w:space="0" w:color="auto"/>
            <w:left w:val="none" w:sz="0" w:space="0" w:color="auto"/>
            <w:bottom w:val="none" w:sz="0" w:space="0" w:color="auto"/>
            <w:right w:val="none" w:sz="0" w:space="0" w:color="auto"/>
          </w:divBdr>
          <w:divsChild>
            <w:div w:id="77214434">
              <w:marLeft w:val="0"/>
              <w:marRight w:val="0"/>
              <w:marTop w:val="0"/>
              <w:marBottom w:val="0"/>
              <w:divBdr>
                <w:top w:val="none" w:sz="0" w:space="0" w:color="auto"/>
                <w:left w:val="none" w:sz="0" w:space="0" w:color="auto"/>
                <w:bottom w:val="none" w:sz="0" w:space="0" w:color="auto"/>
                <w:right w:val="none" w:sz="0" w:space="0" w:color="auto"/>
              </w:divBdr>
            </w:div>
            <w:div w:id="334188085">
              <w:marLeft w:val="0"/>
              <w:marRight w:val="0"/>
              <w:marTop w:val="0"/>
              <w:marBottom w:val="0"/>
              <w:divBdr>
                <w:top w:val="none" w:sz="0" w:space="0" w:color="auto"/>
                <w:left w:val="none" w:sz="0" w:space="0" w:color="auto"/>
                <w:bottom w:val="none" w:sz="0" w:space="0" w:color="auto"/>
                <w:right w:val="none" w:sz="0" w:space="0" w:color="auto"/>
              </w:divBdr>
            </w:div>
            <w:div w:id="353114264">
              <w:marLeft w:val="0"/>
              <w:marRight w:val="0"/>
              <w:marTop w:val="0"/>
              <w:marBottom w:val="0"/>
              <w:divBdr>
                <w:top w:val="none" w:sz="0" w:space="0" w:color="auto"/>
                <w:left w:val="none" w:sz="0" w:space="0" w:color="auto"/>
                <w:bottom w:val="none" w:sz="0" w:space="0" w:color="auto"/>
                <w:right w:val="none" w:sz="0" w:space="0" w:color="auto"/>
              </w:divBdr>
            </w:div>
            <w:div w:id="418253258">
              <w:marLeft w:val="0"/>
              <w:marRight w:val="0"/>
              <w:marTop w:val="0"/>
              <w:marBottom w:val="0"/>
              <w:divBdr>
                <w:top w:val="none" w:sz="0" w:space="0" w:color="auto"/>
                <w:left w:val="none" w:sz="0" w:space="0" w:color="auto"/>
                <w:bottom w:val="none" w:sz="0" w:space="0" w:color="auto"/>
                <w:right w:val="none" w:sz="0" w:space="0" w:color="auto"/>
              </w:divBdr>
            </w:div>
            <w:div w:id="425079355">
              <w:marLeft w:val="0"/>
              <w:marRight w:val="0"/>
              <w:marTop w:val="0"/>
              <w:marBottom w:val="0"/>
              <w:divBdr>
                <w:top w:val="none" w:sz="0" w:space="0" w:color="auto"/>
                <w:left w:val="none" w:sz="0" w:space="0" w:color="auto"/>
                <w:bottom w:val="none" w:sz="0" w:space="0" w:color="auto"/>
                <w:right w:val="none" w:sz="0" w:space="0" w:color="auto"/>
              </w:divBdr>
            </w:div>
            <w:div w:id="572620311">
              <w:marLeft w:val="0"/>
              <w:marRight w:val="0"/>
              <w:marTop w:val="0"/>
              <w:marBottom w:val="0"/>
              <w:divBdr>
                <w:top w:val="none" w:sz="0" w:space="0" w:color="auto"/>
                <w:left w:val="none" w:sz="0" w:space="0" w:color="auto"/>
                <w:bottom w:val="none" w:sz="0" w:space="0" w:color="auto"/>
                <w:right w:val="none" w:sz="0" w:space="0" w:color="auto"/>
              </w:divBdr>
            </w:div>
            <w:div w:id="806245911">
              <w:marLeft w:val="0"/>
              <w:marRight w:val="0"/>
              <w:marTop w:val="0"/>
              <w:marBottom w:val="0"/>
              <w:divBdr>
                <w:top w:val="none" w:sz="0" w:space="0" w:color="auto"/>
                <w:left w:val="none" w:sz="0" w:space="0" w:color="auto"/>
                <w:bottom w:val="none" w:sz="0" w:space="0" w:color="auto"/>
                <w:right w:val="none" w:sz="0" w:space="0" w:color="auto"/>
              </w:divBdr>
            </w:div>
            <w:div w:id="1331829659">
              <w:marLeft w:val="0"/>
              <w:marRight w:val="0"/>
              <w:marTop w:val="0"/>
              <w:marBottom w:val="0"/>
              <w:divBdr>
                <w:top w:val="none" w:sz="0" w:space="0" w:color="auto"/>
                <w:left w:val="none" w:sz="0" w:space="0" w:color="auto"/>
                <w:bottom w:val="none" w:sz="0" w:space="0" w:color="auto"/>
                <w:right w:val="none" w:sz="0" w:space="0" w:color="auto"/>
              </w:divBdr>
            </w:div>
            <w:div w:id="1890024167">
              <w:marLeft w:val="0"/>
              <w:marRight w:val="0"/>
              <w:marTop w:val="0"/>
              <w:marBottom w:val="0"/>
              <w:divBdr>
                <w:top w:val="none" w:sz="0" w:space="0" w:color="auto"/>
                <w:left w:val="none" w:sz="0" w:space="0" w:color="auto"/>
                <w:bottom w:val="none" w:sz="0" w:space="0" w:color="auto"/>
                <w:right w:val="none" w:sz="0" w:space="0" w:color="auto"/>
              </w:divBdr>
            </w:div>
            <w:div w:id="1921253700">
              <w:marLeft w:val="0"/>
              <w:marRight w:val="0"/>
              <w:marTop w:val="0"/>
              <w:marBottom w:val="0"/>
              <w:divBdr>
                <w:top w:val="none" w:sz="0" w:space="0" w:color="auto"/>
                <w:left w:val="none" w:sz="0" w:space="0" w:color="auto"/>
                <w:bottom w:val="none" w:sz="0" w:space="0" w:color="auto"/>
                <w:right w:val="none" w:sz="0" w:space="0" w:color="auto"/>
              </w:divBdr>
            </w:div>
            <w:div w:id="2009404475">
              <w:marLeft w:val="0"/>
              <w:marRight w:val="0"/>
              <w:marTop w:val="0"/>
              <w:marBottom w:val="0"/>
              <w:divBdr>
                <w:top w:val="none" w:sz="0" w:space="0" w:color="auto"/>
                <w:left w:val="none" w:sz="0" w:space="0" w:color="auto"/>
                <w:bottom w:val="none" w:sz="0" w:space="0" w:color="auto"/>
                <w:right w:val="none" w:sz="0" w:space="0" w:color="auto"/>
              </w:divBdr>
            </w:div>
          </w:divsChild>
        </w:div>
        <w:div w:id="378017576">
          <w:marLeft w:val="0"/>
          <w:marRight w:val="0"/>
          <w:marTop w:val="0"/>
          <w:marBottom w:val="0"/>
          <w:divBdr>
            <w:top w:val="none" w:sz="0" w:space="0" w:color="auto"/>
            <w:left w:val="none" w:sz="0" w:space="0" w:color="auto"/>
            <w:bottom w:val="none" w:sz="0" w:space="0" w:color="auto"/>
            <w:right w:val="none" w:sz="0" w:space="0" w:color="auto"/>
          </w:divBdr>
          <w:divsChild>
            <w:div w:id="613904836">
              <w:marLeft w:val="0"/>
              <w:marRight w:val="0"/>
              <w:marTop w:val="0"/>
              <w:marBottom w:val="0"/>
              <w:divBdr>
                <w:top w:val="none" w:sz="0" w:space="0" w:color="auto"/>
                <w:left w:val="none" w:sz="0" w:space="0" w:color="auto"/>
                <w:bottom w:val="none" w:sz="0" w:space="0" w:color="auto"/>
                <w:right w:val="none" w:sz="0" w:space="0" w:color="auto"/>
              </w:divBdr>
            </w:div>
            <w:div w:id="895629323">
              <w:marLeft w:val="0"/>
              <w:marRight w:val="0"/>
              <w:marTop w:val="0"/>
              <w:marBottom w:val="0"/>
              <w:divBdr>
                <w:top w:val="none" w:sz="0" w:space="0" w:color="auto"/>
                <w:left w:val="none" w:sz="0" w:space="0" w:color="auto"/>
                <w:bottom w:val="none" w:sz="0" w:space="0" w:color="auto"/>
                <w:right w:val="none" w:sz="0" w:space="0" w:color="auto"/>
              </w:divBdr>
            </w:div>
          </w:divsChild>
        </w:div>
        <w:div w:id="378627629">
          <w:marLeft w:val="0"/>
          <w:marRight w:val="0"/>
          <w:marTop w:val="0"/>
          <w:marBottom w:val="0"/>
          <w:divBdr>
            <w:top w:val="none" w:sz="0" w:space="0" w:color="auto"/>
            <w:left w:val="none" w:sz="0" w:space="0" w:color="auto"/>
            <w:bottom w:val="none" w:sz="0" w:space="0" w:color="auto"/>
            <w:right w:val="none" w:sz="0" w:space="0" w:color="auto"/>
          </w:divBdr>
          <w:divsChild>
            <w:div w:id="328799751">
              <w:marLeft w:val="0"/>
              <w:marRight w:val="0"/>
              <w:marTop w:val="0"/>
              <w:marBottom w:val="0"/>
              <w:divBdr>
                <w:top w:val="none" w:sz="0" w:space="0" w:color="auto"/>
                <w:left w:val="none" w:sz="0" w:space="0" w:color="auto"/>
                <w:bottom w:val="none" w:sz="0" w:space="0" w:color="auto"/>
                <w:right w:val="none" w:sz="0" w:space="0" w:color="auto"/>
              </w:divBdr>
            </w:div>
            <w:div w:id="690645346">
              <w:marLeft w:val="0"/>
              <w:marRight w:val="0"/>
              <w:marTop w:val="0"/>
              <w:marBottom w:val="0"/>
              <w:divBdr>
                <w:top w:val="none" w:sz="0" w:space="0" w:color="auto"/>
                <w:left w:val="none" w:sz="0" w:space="0" w:color="auto"/>
                <w:bottom w:val="none" w:sz="0" w:space="0" w:color="auto"/>
                <w:right w:val="none" w:sz="0" w:space="0" w:color="auto"/>
              </w:divBdr>
            </w:div>
            <w:div w:id="1394814732">
              <w:marLeft w:val="0"/>
              <w:marRight w:val="0"/>
              <w:marTop w:val="0"/>
              <w:marBottom w:val="0"/>
              <w:divBdr>
                <w:top w:val="none" w:sz="0" w:space="0" w:color="auto"/>
                <w:left w:val="none" w:sz="0" w:space="0" w:color="auto"/>
                <w:bottom w:val="none" w:sz="0" w:space="0" w:color="auto"/>
                <w:right w:val="none" w:sz="0" w:space="0" w:color="auto"/>
              </w:divBdr>
            </w:div>
            <w:div w:id="1813906515">
              <w:marLeft w:val="0"/>
              <w:marRight w:val="0"/>
              <w:marTop w:val="0"/>
              <w:marBottom w:val="0"/>
              <w:divBdr>
                <w:top w:val="none" w:sz="0" w:space="0" w:color="auto"/>
                <w:left w:val="none" w:sz="0" w:space="0" w:color="auto"/>
                <w:bottom w:val="none" w:sz="0" w:space="0" w:color="auto"/>
                <w:right w:val="none" w:sz="0" w:space="0" w:color="auto"/>
              </w:divBdr>
            </w:div>
            <w:div w:id="1845894502">
              <w:marLeft w:val="0"/>
              <w:marRight w:val="0"/>
              <w:marTop w:val="0"/>
              <w:marBottom w:val="0"/>
              <w:divBdr>
                <w:top w:val="none" w:sz="0" w:space="0" w:color="auto"/>
                <w:left w:val="none" w:sz="0" w:space="0" w:color="auto"/>
                <w:bottom w:val="none" w:sz="0" w:space="0" w:color="auto"/>
                <w:right w:val="none" w:sz="0" w:space="0" w:color="auto"/>
              </w:divBdr>
            </w:div>
            <w:div w:id="2019848697">
              <w:marLeft w:val="0"/>
              <w:marRight w:val="0"/>
              <w:marTop w:val="0"/>
              <w:marBottom w:val="0"/>
              <w:divBdr>
                <w:top w:val="none" w:sz="0" w:space="0" w:color="auto"/>
                <w:left w:val="none" w:sz="0" w:space="0" w:color="auto"/>
                <w:bottom w:val="none" w:sz="0" w:space="0" w:color="auto"/>
                <w:right w:val="none" w:sz="0" w:space="0" w:color="auto"/>
              </w:divBdr>
            </w:div>
          </w:divsChild>
        </w:div>
        <w:div w:id="385448624">
          <w:marLeft w:val="0"/>
          <w:marRight w:val="0"/>
          <w:marTop w:val="0"/>
          <w:marBottom w:val="0"/>
          <w:divBdr>
            <w:top w:val="none" w:sz="0" w:space="0" w:color="auto"/>
            <w:left w:val="none" w:sz="0" w:space="0" w:color="auto"/>
            <w:bottom w:val="none" w:sz="0" w:space="0" w:color="auto"/>
            <w:right w:val="none" w:sz="0" w:space="0" w:color="auto"/>
          </w:divBdr>
          <w:divsChild>
            <w:div w:id="1594024">
              <w:marLeft w:val="0"/>
              <w:marRight w:val="0"/>
              <w:marTop w:val="0"/>
              <w:marBottom w:val="0"/>
              <w:divBdr>
                <w:top w:val="none" w:sz="0" w:space="0" w:color="auto"/>
                <w:left w:val="none" w:sz="0" w:space="0" w:color="auto"/>
                <w:bottom w:val="none" w:sz="0" w:space="0" w:color="auto"/>
                <w:right w:val="none" w:sz="0" w:space="0" w:color="auto"/>
              </w:divBdr>
            </w:div>
            <w:div w:id="15885149">
              <w:marLeft w:val="0"/>
              <w:marRight w:val="0"/>
              <w:marTop w:val="0"/>
              <w:marBottom w:val="0"/>
              <w:divBdr>
                <w:top w:val="none" w:sz="0" w:space="0" w:color="auto"/>
                <w:left w:val="none" w:sz="0" w:space="0" w:color="auto"/>
                <w:bottom w:val="none" w:sz="0" w:space="0" w:color="auto"/>
                <w:right w:val="none" w:sz="0" w:space="0" w:color="auto"/>
              </w:divBdr>
            </w:div>
            <w:div w:id="206138923">
              <w:marLeft w:val="0"/>
              <w:marRight w:val="0"/>
              <w:marTop w:val="0"/>
              <w:marBottom w:val="0"/>
              <w:divBdr>
                <w:top w:val="none" w:sz="0" w:space="0" w:color="auto"/>
                <w:left w:val="none" w:sz="0" w:space="0" w:color="auto"/>
                <w:bottom w:val="none" w:sz="0" w:space="0" w:color="auto"/>
                <w:right w:val="none" w:sz="0" w:space="0" w:color="auto"/>
              </w:divBdr>
            </w:div>
            <w:div w:id="333341639">
              <w:marLeft w:val="0"/>
              <w:marRight w:val="0"/>
              <w:marTop w:val="0"/>
              <w:marBottom w:val="0"/>
              <w:divBdr>
                <w:top w:val="none" w:sz="0" w:space="0" w:color="auto"/>
                <w:left w:val="none" w:sz="0" w:space="0" w:color="auto"/>
                <w:bottom w:val="none" w:sz="0" w:space="0" w:color="auto"/>
                <w:right w:val="none" w:sz="0" w:space="0" w:color="auto"/>
              </w:divBdr>
            </w:div>
          </w:divsChild>
        </w:div>
        <w:div w:id="387267443">
          <w:marLeft w:val="0"/>
          <w:marRight w:val="0"/>
          <w:marTop w:val="0"/>
          <w:marBottom w:val="0"/>
          <w:divBdr>
            <w:top w:val="none" w:sz="0" w:space="0" w:color="auto"/>
            <w:left w:val="none" w:sz="0" w:space="0" w:color="auto"/>
            <w:bottom w:val="none" w:sz="0" w:space="0" w:color="auto"/>
            <w:right w:val="none" w:sz="0" w:space="0" w:color="auto"/>
          </w:divBdr>
          <w:divsChild>
            <w:div w:id="28650836">
              <w:marLeft w:val="0"/>
              <w:marRight w:val="0"/>
              <w:marTop w:val="0"/>
              <w:marBottom w:val="0"/>
              <w:divBdr>
                <w:top w:val="none" w:sz="0" w:space="0" w:color="auto"/>
                <w:left w:val="none" w:sz="0" w:space="0" w:color="auto"/>
                <w:bottom w:val="none" w:sz="0" w:space="0" w:color="auto"/>
                <w:right w:val="none" w:sz="0" w:space="0" w:color="auto"/>
              </w:divBdr>
            </w:div>
            <w:div w:id="130564290">
              <w:marLeft w:val="0"/>
              <w:marRight w:val="0"/>
              <w:marTop w:val="0"/>
              <w:marBottom w:val="0"/>
              <w:divBdr>
                <w:top w:val="none" w:sz="0" w:space="0" w:color="auto"/>
                <w:left w:val="none" w:sz="0" w:space="0" w:color="auto"/>
                <w:bottom w:val="none" w:sz="0" w:space="0" w:color="auto"/>
                <w:right w:val="none" w:sz="0" w:space="0" w:color="auto"/>
              </w:divBdr>
            </w:div>
            <w:div w:id="152062611">
              <w:marLeft w:val="0"/>
              <w:marRight w:val="0"/>
              <w:marTop w:val="0"/>
              <w:marBottom w:val="0"/>
              <w:divBdr>
                <w:top w:val="none" w:sz="0" w:space="0" w:color="auto"/>
                <w:left w:val="none" w:sz="0" w:space="0" w:color="auto"/>
                <w:bottom w:val="none" w:sz="0" w:space="0" w:color="auto"/>
                <w:right w:val="none" w:sz="0" w:space="0" w:color="auto"/>
              </w:divBdr>
            </w:div>
            <w:div w:id="337582586">
              <w:marLeft w:val="0"/>
              <w:marRight w:val="0"/>
              <w:marTop w:val="0"/>
              <w:marBottom w:val="0"/>
              <w:divBdr>
                <w:top w:val="none" w:sz="0" w:space="0" w:color="auto"/>
                <w:left w:val="none" w:sz="0" w:space="0" w:color="auto"/>
                <w:bottom w:val="none" w:sz="0" w:space="0" w:color="auto"/>
                <w:right w:val="none" w:sz="0" w:space="0" w:color="auto"/>
              </w:divBdr>
            </w:div>
            <w:div w:id="682056763">
              <w:marLeft w:val="0"/>
              <w:marRight w:val="0"/>
              <w:marTop w:val="0"/>
              <w:marBottom w:val="0"/>
              <w:divBdr>
                <w:top w:val="none" w:sz="0" w:space="0" w:color="auto"/>
                <w:left w:val="none" w:sz="0" w:space="0" w:color="auto"/>
                <w:bottom w:val="none" w:sz="0" w:space="0" w:color="auto"/>
                <w:right w:val="none" w:sz="0" w:space="0" w:color="auto"/>
              </w:divBdr>
            </w:div>
            <w:div w:id="1477455812">
              <w:marLeft w:val="0"/>
              <w:marRight w:val="0"/>
              <w:marTop w:val="0"/>
              <w:marBottom w:val="0"/>
              <w:divBdr>
                <w:top w:val="none" w:sz="0" w:space="0" w:color="auto"/>
                <w:left w:val="none" w:sz="0" w:space="0" w:color="auto"/>
                <w:bottom w:val="none" w:sz="0" w:space="0" w:color="auto"/>
                <w:right w:val="none" w:sz="0" w:space="0" w:color="auto"/>
              </w:divBdr>
            </w:div>
            <w:div w:id="1739016214">
              <w:marLeft w:val="0"/>
              <w:marRight w:val="0"/>
              <w:marTop w:val="0"/>
              <w:marBottom w:val="0"/>
              <w:divBdr>
                <w:top w:val="none" w:sz="0" w:space="0" w:color="auto"/>
                <w:left w:val="none" w:sz="0" w:space="0" w:color="auto"/>
                <w:bottom w:val="none" w:sz="0" w:space="0" w:color="auto"/>
                <w:right w:val="none" w:sz="0" w:space="0" w:color="auto"/>
              </w:divBdr>
            </w:div>
            <w:div w:id="1786464332">
              <w:marLeft w:val="0"/>
              <w:marRight w:val="0"/>
              <w:marTop w:val="0"/>
              <w:marBottom w:val="0"/>
              <w:divBdr>
                <w:top w:val="none" w:sz="0" w:space="0" w:color="auto"/>
                <w:left w:val="none" w:sz="0" w:space="0" w:color="auto"/>
                <w:bottom w:val="none" w:sz="0" w:space="0" w:color="auto"/>
                <w:right w:val="none" w:sz="0" w:space="0" w:color="auto"/>
              </w:divBdr>
            </w:div>
            <w:div w:id="2015300471">
              <w:marLeft w:val="0"/>
              <w:marRight w:val="0"/>
              <w:marTop w:val="0"/>
              <w:marBottom w:val="0"/>
              <w:divBdr>
                <w:top w:val="none" w:sz="0" w:space="0" w:color="auto"/>
                <w:left w:val="none" w:sz="0" w:space="0" w:color="auto"/>
                <w:bottom w:val="none" w:sz="0" w:space="0" w:color="auto"/>
                <w:right w:val="none" w:sz="0" w:space="0" w:color="auto"/>
              </w:divBdr>
            </w:div>
            <w:div w:id="2131050256">
              <w:marLeft w:val="0"/>
              <w:marRight w:val="0"/>
              <w:marTop w:val="0"/>
              <w:marBottom w:val="0"/>
              <w:divBdr>
                <w:top w:val="none" w:sz="0" w:space="0" w:color="auto"/>
                <w:left w:val="none" w:sz="0" w:space="0" w:color="auto"/>
                <w:bottom w:val="none" w:sz="0" w:space="0" w:color="auto"/>
                <w:right w:val="none" w:sz="0" w:space="0" w:color="auto"/>
              </w:divBdr>
            </w:div>
          </w:divsChild>
        </w:div>
        <w:div w:id="416754887">
          <w:marLeft w:val="0"/>
          <w:marRight w:val="0"/>
          <w:marTop w:val="0"/>
          <w:marBottom w:val="0"/>
          <w:divBdr>
            <w:top w:val="none" w:sz="0" w:space="0" w:color="auto"/>
            <w:left w:val="none" w:sz="0" w:space="0" w:color="auto"/>
            <w:bottom w:val="none" w:sz="0" w:space="0" w:color="auto"/>
            <w:right w:val="none" w:sz="0" w:space="0" w:color="auto"/>
          </w:divBdr>
          <w:divsChild>
            <w:div w:id="1233542950">
              <w:marLeft w:val="0"/>
              <w:marRight w:val="0"/>
              <w:marTop w:val="0"/>
              <w:marBottom w:val="0"/>
              <w:divBdr>
                <w:top w:val="none" w:sz="0" w:space="0" w:color="auto"/>
                <w:left w:val="none" w:sz="0" w:space="0" w:color="auto"/>
                <w:bottom w:val="none" w:sz="0" w:space="0" w:color="auto"/>
                <w:right w:val="none" w:sz="0" w:space="0" w:color="auto"/>
              </w:divBdr>
            </w:div>
            <w:div w:id="1236086764">
              <w:marLeft w:val="0"/>
              <w:marRight w:val="0"/>
              <w:marTop w:val="0"/>
              <w:marBottom w:val="0"/>
              <w:divBdr>
                <w:top w:val="none" w:sz="0" w:space="0" w:color="auto"/>
                <w:left w:val="none" w:sz="0" w:space="0" w:color="auto"/>
                <w:bottom w:val="none" w:sz="0" w:space="0" w:color="auto"/>
                <w:right w:val="none" w:sz="0" w:space="0" w:color="auto"/>
              </w:divBdr>
            </w:div>
            <w:div w:id="1787192510">
              <w:marLeft w:val="0"/>
              <w:marRight w:val="0"/>
              <w:marTop w:val="0"/>
              <w:marBottom w:val="0"/>
              <w:divBdr>
                <w:top w:val="none" w:sz="0" w:space="0" w:color="auto"/>
                <w:left w:val="none" w:sz="0" w:space="0" w:color="auto"/>
                <w:bottom w:val="none" w:sz="0" w:space="0" w:color="auto"/>
                <w:right w:val="none" w:sz="0" w:space="0" w:color="auto"/>
              </w:divBdr>
            </w:div>
            <w:div w:id="1792893013">
              <w:marLeft w:val="0"/>
              <w:marRight w:val="0"/>
              <w:marTop w:val="0"/>
              <w:marBottom w:val="0"/>
              <w:divBdr>
                <w:top w:val="none" w:sz="0" w:space="0" w:color="auto"/>
                <w:left w:val="none" w:sz="0" w:space="0" w:color="auto"/>
                <w:bottom w:val="none" w:sz="0" w:space="0" w:color="auto"/>
                <w:right w:val="none" w:sz="0" w:space="0" w:color="auto"/>
              </w:divBdr>
            </w:div>
          </w:divsChild>
        </w:div>
        <w:div w:id="416945505">
          <w:marLeft w:val="0"/>
          <w:marRight w:val="0"/>
          <w:marTop w:val="0"/>
          <w:marBottom w:val="0"/>
          <w:divBdr>
            <w:top w:val="none" w:sz="0" w:space="0" w:color="auto"/>
            <w:left w:val="none" w:sz="0" w:space="0" w:color="auto"/>
            <w:bottom w:val="none" w:sz="0" w:space="0" w:color="auto"/>
            <w:right w:val="none" w:sz="0" w:space="0" w:color="auto"/>
          </w:divBdr>
          <w:divsChild>
            <w:div w:id="1092314213">
              <w:marLeft w:val="0"/>
              <w:marRight w:val="0"/>
              <w:marTop w:val="0"/>
              <w:marBottom w:val="0"/>
              <w:divBdr>
                <w:top w:val="none" w:sz="0" w:space="0" w:color="auto"/>
                <w:left w:val="none" w:sz="0" w:space="0" w:color="auto"/>
                <w:bottom w:val="none" w:sz="0" w:space="0" w:color="auto"/>
                <w:right w:val="none" w:sz="0" w:space="0" w:color="auto"/>
              </w:divBdr>
            </w:div>
          </w:divsChild>
        </w:div>
        <w:div w:id="421487391">
          <w:marLeft w:val="0"/>
          <w:marRight w:val="0"/>
          <w:marTop w:val="0"/>
          <w:marBottom w:val="0"/>
          <w:divBdr>
            <w:top w:val="none" w:sz="0" w:space="0" w:color="auto"/>
            <w:left w:val="none" w:sz="0" w:space="0" w:color="auto"/>
            <w:bottom w:val="none" w:sz="0" w:space="0" w:color="auto"/>
            <w:right w:val="none" w:sz="0" w:space="0" w:color="auto"/>
          </w:divBdr>
          <w:divsChild>
            <w:div w:id="1933052205">
              <w:marLeft w:val="0"/>
              <w:marRight w:val="0"/>
              <w:marTop w:val="0"/>
              <w:marBottom w:val="0"/>
              <w:divBdr>
                <w:top w:val="none" w:sz="0" w:space="0" w:color="auto"/>
                <w:left w:val="none" w:sz="0" w:space="0" w:color="auto"/>
                <w:bottom w:val="none" w:sz="0" w:space="0" w:color="auto"/>
                <w:right w:val="none" w:sz="0" w:space="0" w:color="auto"/>
              </w:divBdr>
            </w:div>
          </w:divsChild>
        </w:div>
        <w:div w:id="432634617">
          <w:marLeft w:val="0"/>
          <w:marRight w:val="0"/>
          <w:marTop w:val="0"/>
          <w:marBottom w:val="0"/>
          <w:divBdr>
            <w:top w:val="none" w:sz="0" w:space="0" w:color="auto"/>
            <w:left w:val="none" w:sz="0" w:space="0" w:color="auto"/>
            <w:bottom w:val="none" w:sz="0" w:space="0" w:color="auto"/>
            <w:right w:val="none" w:sz="0" w:space="0" w:color="auto"/>
          </w:divBdr>
          <w:divsChild>
            <w:div w:id="934897448">
              <w:marLeft w:val="0"/>
              <w:marRight w:val="0"/>
              <w:marTop w:val="0"/>
              <w:marBottom w:val="0"/>
              <w:divBdr>
                <w:top w:val="none" w:sz="0" w:space="0" w:color="auto"/>
                <w:left w:val="none" w:sz="0" w:space="0" w:color="auto"/>
                <w:bottom w:val="none" w:sz="0" w:space="0" w:color="auto"/>
                <w:right w:val="none" w:sz="0" w:space="0" w:color="auto"/>
              </w:divBdr>
            </w:div>
          </w:divsChild>
        </w:div>
        <w:div w:id="434785418">
          <w:marLeft w:val="0"/>
          <w:marRight w:val="0"/>
          <w:marTop w:val="0"/>
          <w:marBottom w:val="0"/>
          <w:divBdr>
            <w:top w:val="none" w:sz="0" w:space="0" w:color="auto"/>
            <w:left w:val="none" w:sz="0" w:space="0" w:color="auto"/>
            <w:bottom w:val="none" w:sz="0" w:space="0" w:color="auto"/>
            <w:right w:val="none" w:sz="0" w:space="0" w:color="auto"/>
          </w:divBdr>
          <w:divsChild>
            <w:div w:id="186794239">
              <w:marLeft w:val="0"/>
              <w:marRight w:val="0"/>
              <w:marTop w:val="0"/>
              <w:marBottom w:val="0"/>
              <w:divBdr>
                <w:top w:val="none" w:sz="0" w:space="0" w:color="auto"/>
                <w:left w:val="none" w:sz="0" w:space="0" w:color="auto"/>
                <w:bottom w:val="none" w:sz="0" w:space="0" w:color="auto"/>
                <w:right w:val="none" w:sz="0" w:space="0" w:color="auto"/>
              </w:divBdr>
            </w:div>
          </w:divsChild>
        </w:div>
        <w:div w:id="440342365">
          <w:marLeft w:val="0"/>
          <w:marRight w:val="0"/>
          <w:marTop w:val="0"/>
          <w:marBottom w:val="0"/>
          <w:divBdr>
            <w:top w:val="none" w:sz="0" w:space="0" w:color="auto"/>
            <w:left w:val="none" w:sz="0" w:space="0" w:color="auto"/>
            <w:bottom w:val="none" w:sz="0" w:space="0" w:color="auto"/>
            <w:right w:val="none" w:sz="0" w:space="0" w:color="auto"/>
          </w:divBdr>
          <w:divsChild>
            <w:div w:id="1766152039">
              <w:marLeft w:val="0"/>
              <w:marRight w:val="0"/>
              <w:marTop w:val="0"/>
              <w:marBottom w:val="0"/>
              <w:divBdr>
                <w:top w:val="none" w:sz="0" w:space="0" w:color="auto"/>
                <w:left w:val="none" w:sz="0" w:space="0" w:color="auto"/>
                <w:bottom w:val="none" w:sz="0" w:space="0" w:color="auto"/>
                <w:right w:val="none" w:sz="0" w:space="0" w:color="auto"/>
              </w:divBdr>
            </w:div>
          </w:divsChild>
        </w:div>
        <w:div w:id="444545755">
          <w:marLeft w:val="0"/>
          <w:marRight w:val="0"/>
          <w:marTop w:val="0"/>
          <w:marBottom w:val="0"/>
          <w:divBdr>
            <w:top w:val="none" w:sz="0" w:space="0" w:color="auto"/>
            <w:left w:val="none" w:sz="0" w:space="0" w:color="auto"/>
            <w:bottom w:val="none" w:sz="0" w:space="0" w:color="auto"/>
            <w:right w:val="none" w:sz="0" w:space="0" w:color="auto"/>
          </w:divBdr>
          <w:divsChild>
            <w:div w:id="238713825">
              <w:marLeft w:val="0"/>
              <w:marRight w:val="0"/>
              <w:marTop w:val="0"/>
              <w:marBottom w:val="0"/>
              <w:divBdr>
                <w:top w:val="none" w:sz="0" w:space="0" w:color="auto"/>
                <w:left w:val="none" w:sz="0" w:space="0" w:color="auto"/>
                <w:bottom w:val="none" w:sz="0" w:space="0" w:color="auto"/>
                <w:right w:val="none" w:sz="0" w:space="0" w:color="auto"/>
              </w:divBdr>
            </w:div>
            <w:div w:id="288439030">
              <w:marLeft w:val="0"/>
              <w:marRight w:val="0"/>
              <w:marTop w:val="0"/>
              <w:marBottom w:val="0"/>
              <w:divBdr>
                <w:top w:val="none" w:sz="0" w:space="0" w:color="auto"/>
                <w:left w:val="none" w:sz="0" w:space="0" w:color="auto"/>
                <w:bottom w:val="none" w:sz="0" w:space="0" w:color="auto"/>
                <w:right w:val="none" w:sz="0" w:space="0" w:color="auto"/>
              </w:divBdr>
            </w:div>
          </w:divsChild>
        </w:div>
        <w:div w:id="444618441">
          <w:marLeft w:val="0"/>
          <w:marRight w:val="0"/>
          <w:marTop w:val="0"/>
          <w:marBottom w:val="0"/>
          <w:divBdr>
            <w:top w:val="none" w:sz="0" w:space="0" w:color="auto"/>
            <w:left w:val="none" w:sz="0" w:space="0" w:color="auto"/>
            <w:bottom w:val="none" w:sz="0" w:space="0" w:color="auto"/>
            <w:right w:val="none" w:sz="0" w:space="0" w:color="auto"/>
          </w:divBdr>
          <w:divsChild>
            <w:div w:id="530993842">
              <w:marLeft w:val="0"/>
              <w:marRight w:val="0"/>
              <w:marTop w:val="0"/>
              <w:marBottom w:val="0"/>
              <w:divBdr>
                <w:top w:val="none" w:sz="0" w:space="0" w:color="auto"/>
                <w:left w:val="none" w:sz="0" w:space="0" w:color="auto"/>
                <w:bottom w:val="none" w:sz="0" w:space="0" w:color="auto"/>
                <w:right w:val="none" w:sz="0" w:space="0" w:color="auto"/>
              </w:divBdr>
            </w:div>
          </w:divsChild>
        </w:div>
        <w:div w:id="448163057">
          <w:marLeft w:val="0"/>
          <w:marRight w:val="0"/>
          <w:marTop w:val="0"/>
          <w:marBottom w:val="0"/>
          <w:divBdr>
            <w:top w:val="none" w:sz="0" w:space="0" w:color="auto"/>
            <w:left w:val="none" w:sz="0" w:space="0" w:color="auto"/>
            <w:bottom w:val="none" w:sz="0" w:space="0" w:color="auto"/>
            <w:right w:val="none" w:sz="0" w:space="0" w:color="auto"/>
          </w:divBdr>
          <w:divsChild>
            <w:div w:id="1179661570">
              <w:marLeft w:val="0"/>
              <w:marRight w:val="0"/>
              <w:marTop w:val="0"/>
              <w:marBottom w:val="0"/>
              <w:divBdr>
                <w:top w:val="none" w:sz="0" w:space="0" w:color="auto"/>
                <w:left w:val="none" w:sz="0" w:space="0" w:color="auto"/>
                <w:bottom w:val="none" w:sz="0" w:space="0" w:color="auto"/>
                <w:right w:val="none" w:sz="0" w:space="0" w:color="auto"/>
              </w:divBdr>
            </w:div>
          </w:divsChild>
        </w:div>
        <w:div w:id="455635869">
          <w:marLeft w:val="0"/>
          <w:marRight w:val="0"/>
          <w:marTop w:val="0"/>
          <w:marBottom w:val="0"/>
          <w:divBdr>
            <w:top w:val="none" w:sz="0" w:space="0" w:color="auto"/>
            <w:left w:val="none" w:sz="0" w:space="0" w:color="auto"/>
            <w:bottom w:val="none" w:sz="0" w:space="0" w:color="auto"/>
            <w:right w:val="none" w:sz="0" w:space="0" w:color="auto"/>
          </w:divBdr>
          <w:divsChild>
            <w:div w:id="474033851">
              <w:marLeft w:val="0"/>
              <w:marRight w:val="0"/>
              <w:marTop w:val="0"/>
              <w:marBottom w:val="0"/>
              <w:divBdr>
                <w:top w:val="none" w:sz="0" w:space="0" w:color="auto"/>
                <w:left w:val="none" w:sz="0" w:space="0" w:color="auto"/>
                <w:bottom w:val="none" w:sz="0" w:space="0" w:color="auto"/>
                <w:right w:val="none" w:sz="0" w:space="0" w:color="auto"/>
              </w:divBdr>
            </w:div>
            <w:div w:id="554587721">
              <w:marLeft w:val="0"/>
              <w:marRight w:val="0"/>
              <w:marTop w:val="0"/>
              <w:marBottom w:val="0"/>
              <w:divBdr>
                <w:top w:val="none" w:sz="0" w:space="0" w:color="auto"/>
                <w:left w:val="none" w:sz="0" w:space="0" w:color="auto"/>
                <w:bottom w:val="none" w:sz="0" w:space="0" w:color="auto"/>
                <w:right w:val="none" w:sz="0" w:space="0" w:color="auto"/>
              </w:divBdr>
            </w:div>
            <w:div w:id="1087842923">
              <w:marLeft w:val="0"/>
              <w:marRight w:val="0"/>
              <w:marTop w:val="0"/>
              <w:marBottom w:val="0"/>
              <w:divBdr>
                <w:top w:val="none" w:sz="0" w:space="0" w:color="auto"/>
                <w:left w:val="none" w:sz="0" w:space="0" w:color="auto"/>
                <w:bottom w:val="none" w:sz="0" w:space="0" w:color="auto"/>
                <w:right w:val="none" w:sz="0" w:space="0" w:color="auto"/>
              </w:divBdr>
            </w:div>
            <w:div w:id="1306156219">
              <w:marLeft w:val="0"/>
              <w:marRight w:val="0"/>
              <w:marTop w:val="0"/>
              <w:marBottom w:val="0"/>
              <w:divBdr>
                <w:top w:val="none" w:sz="0" w:space="0" w:color="auto"/>
                <w:left w:val="none" w:sz="0" w:space="0" w:color="auto"/>
                <w:bottom w:val="none" w:sz="0" w:space="0" w:color="auto"/>
                <w:right w:val="none" w:sz="0" w:space="0" w:color="auto"/>
              </w:divBdr>
            </w:div>
            <w:div w:id="1363552511">
              <w:marLeft w:val="0"/>
              <w:marRight w:val="0"/>
              <w:marTop w:val="0"/>
              <w:marBottom w:val="0"/>
              <w:divBdr>
                <w:top w:val="none" w:sz="0" w:space="0" w:color="auto"/>
                <w:left w:val="none" w:sz="0" w:space="0" w:color="auto"/>
                <w:bottom w:val="none" w:sz="0" w:space="0" w:color="auto"/>
                <w:right w:val="none" w:sz="0" w:space="0" w:color="auto"/>
              </w:divBdr>
            </w:div>
            <w:div w:id="1489134943">
              <w:marLeft w:val="0"/>
              <w:marRight w:val="0"/>
              <w:marTop w:val="0"/>
              <w:marBottom w:val="0"/>
              <w:divBdr>
                <w:top w:val="none" w:sz="0" w:space="0" w:color="auto"/>
                <w:left w:val="none" w:sz="0" w:space="0" w:color="auto"/>
                <w:bottom w:val="none" w:sz="0" w:space="0" w:color="auto"/>
                <w:right w:val="none" w:sz="0" w:space="0" w:color="auto"/>
              </w:divBdr>
            </w:div>
          </w:divsChild>
        </w:div>
        <w:div w:id="462312551">
          <w:marLeft w:val="0"/>
          <w:marRight w:val="0"/>
          <w:marTop w:val="0"/>
          <w:marBottom w:val="0"/>
          <w:divBdr>
            <w:top w:val="none" w:sz="0" w:space="0" w:color="auto"/>
            <w:left w:val="none" w:sz="0" w:space="0" w:color="auto"/>
            <w:bottom w:val="none" w:sz="0" w:space="0" w:color="auto"/>
            <w:right w:val="none" w:sz="0" w:space="0" w:color="auto"/>
          </w:divBdr>
          <w:divsChild>
            <w:div w:id="1137332410">
              <w:marLeft w:val="0"/>
              <w:marRight w:val="0"/>
              <w:marTop w:val="0"/>
              <w:marBottom w:val="0"/>
              <w:divBdr>
                <w:top w:val="none" w:sz="0" w:space="0" w:color="auto"/>
                <w:left w:val="none" w:sz="0" w:space="0" w:color="auto"/>
                <w:bottom w:val="none" w:sz="0" w:space="0" w:color="auto"/>
                <w:right w:val="none" w:sz="0" w:space="0" w:color="auto"/>
              </w:divBdr>
            </w:div>
          </w:divsChild>
        </w:div>
        <w:div w:id="466778277">
          <w:marLeft w:val="0"/>
          <w:marRight w:val="0"/>
          <w:marTop w:val="0"/>
          <w:marBottom w:val="0"/>
          <w:divBdr>
            <w:top w:val="none" w:sz="0" w:space="0" w:color="auto"/>
            <w:left w:val="none" w:sz="0" w:space="0" w:color="auto"/>
            <w:bottom w:val="none" w:sz="0" w:space="0" w:color="auto"/>
            <w:right w:val="none" w:sz="0" w:space="0" w:color="auto"/>
          </w:divBdr>
          <w:divsChild>
            <w:div w:id="525367235">
              <w:marLeft w:val="0"/>
              <w:marRight w:val="0"/>
              <w:marTop w:val="0"/>
              <w:marBottom w:val="0"/>
              <w:divBdr>
                <w:top w:val="none" w:sz="0" w:space="0" w:color="auto"/>
                <w:left w:val="none" w:sz="0" w:space="0" w:color="auto"/>
                <w:bottom w:val="none" w:sz="0" w:space="0" w:color="auto"/>
                <w:right w:val="none" w:sz="0" w:space="0" w:color="auto"/>
              </w:divBdr>
            </w:div>
            <w:div w:id="1151018108">
              <w:marLeft w:val="0"/>
              <w:marRight w:val="0"/>
              <w:marTop w:val="0"/>
              <w:marBottom w:val="0"/>
              <w:divBdr>
                <w:top w:val="none" w:sz="0" w:space="0" w:color="auto"/>
                <w:left w:val="none" w:sz="0" w:space="0" w:color="auto"/>
                <w:bottom w:val="none" w:sz="0" w:space="0" w:color="auto"/>
                <w:right w:val="none" w:sz="0" w:space="0" w:color="auto"/>
              </w:divBdr>
            </w:div>
            <w:div w:id="1309287584">
              <w:marLeft w:val="0"/>
              <w:marRight w:val="0"/>
              <w:marTop w:val="0"/>
              <w:marBottom w:val="0"/>
              <w:divBdr>
                <w:top w:val="none" w:sz="0" w:space="0" w:color="auto"/>
                <w:left w:val="none" w:sz="0" w:space="0" w:color="auto"/>
                <w:bottom w:val="none" w:sz="0" w:space="0" w:color="auto"/>
                <w:right w:val="none" w:sz="0" w:space="0" w:color="auto"/>
              </w:divBdr>
            </w:div>
          </w:divsChild>
        </w:div>
        <w:div w:id="472523583">
          <w:marLeft w:val="0"/>
          <w:marRight w:val="0"/>
          <w:marTop w:val="0"/>
          <w:marBottom w:val="0"/>
          <w:divBdr>
            <w:top w:val="none" w:sz="0" w:space="0" w:color="auto"/>
            <w:left w:val="none" w:sz="0" w:space="0" w:color="auto"/>
            <w:bottom w:val="none" w:sz="0" w:space="0" w:color="auto"/>
            <w:right w:val="none" w:sz="0" w:space="0" w:color="auto"/>
          </w:divBdr>
          <w:divsChild>
            <w:div w:id="1496141854">
              <w:marLeft w:val="0"/>
              <w:marRight w:val="0"/>
              <w:marTop w:val="0"/>
              <w:marBottom w:val="0"/>
              <w:divBdr>
                <w:top w:val="none" w:sz="0" w:space="0" w:color="auto"/>
                <w:left w:val="none" w:sz="0" w:space="0" w:color="auto"/>
                <w:bottom w:val="none" w:sz="0" w:space="0" w:color="auto"/>
                <w:right w:val="none" w:sz="0" w:space="0" w:color="auto"/>
              </w:divBdr>
            </w:div>
          </w:divsChild>
        </w:div>
        <w:div w:id="474105380">
          <w:marLeft w:val="0"/>
          <w:marRight w:val="0"/>
          <w:marTop w:val="0"/>
          <w:marBottom w:val="0"/>
          <w:divBdr>
            <w:top w:val="none" w:sz="0" w:space="0" w:color="auto"/>
            <w:left w:val="none" w:sz="0" w:space="0" w:color="auto"/>
            <w:bottom w:val="none" w:sz="0" w:space="0" w:color="auto"/>
            <w:right w:val="none" w:sz="0" w:space="0" w:color="auto"/>
          </w:divBdr>
          <w:divsChild>
            <w:div w:id="904529574">
              <w:marLeft w:val="0"/>
              <w:marRight w:val="0"/>
              <w:marTop w:val="0"/>
              <w:marBottom w:val="0"/>
              <w:divBdr>
                <w:top w:val="none" w:sz="0" w:space="0" w:color="auto"/>
                <w:left w:val="none" w:sz="0" w:space="0" w:color="auto"/>
                <w:bottom w:val="none" w:sz="0" w:space="0" w:color="auto"/>
                <w:right w:val="none" w:sz="0" w:space="0" w:color="auto"/>
              </w:divBdr>
            </w:div>
          </w:divsChild>
        </w:div>
        <w:div w:id="476728730">
          <w:marLeft w:val="0"/>
          <w:marRight w:val="0"/>
          <w:marTop w:val="0"/>
          <w:marBottom w:val="0"/>
          <w:divBdr>
            <w:top w:val="none" w:sz="0" w:space="0" w:color="auto"/>
            <w:left w:val="none" w:sz="0" w:space="0" w:color="auto"/>
            <w:bottom w:val="none" w:sz="0" w:space="0" w:color="auto"/>
            <w:right w:val="none" w:sz="0" w:space="0" w:color="auto"/>
          </w:divBdr>
          <w:divsChild>
            <w:div w:id="590746322">
              <w:marLeft w:val="0"/>
              <w:marRight w:val="0"/>
              <w:marTop w:val="0"/>
              <w:marBottom w:val="0"/>
              <w:divBdr>
                <w:top w:val="none" w:sz="0" w:space="0" w:color="auto"/>
                <w:left w:val="none" w:sz="0" w:space="0" w:color="auto"/>
                <w:bottom w:val="none" w:sz="0" w:space="0" w:color="auto"/>
                <w:right w:val="none" w:sz="0" w:space="0" w:color="auto"/>
              </w:divBdr>
            </w:div>
            <w:div w:id="719288168">
              <w:marLeft w:val="0"/>
              <w:marRight w:val="0"/>
              <w:marTop w:val="0"/>
              <w:marBottom w:val="0"/>
              <w:divBdr>
                <w:top w:val="none" w:sz="0" w:space="0" w:color="auto"/>
                <w:left w:val="none" w:sz="0" w:space="0" w:color="auto"/>
                <w:bottom w:val="none" w:sz="0" w:space="0" w:color="auto"/>
                <w:right w:val="none" w:sz="0" w:space="0" w:color="auto"/>
              </w:divBdr>
            </w:div>
            <w:div w:id="939609673">
              <w:marLeft w:val="0"/>
              <w:marRight w:val="0"/>
              <w:marTop w:val="0"/>
              <w:marBottom w:val="0"/>
              <w:divBdr>
                <w:top w:val="none" w:sz="0" w:space="0" w:color="auto"/>
                <w:left w:val="none" w:sz="0" w:space="0" w:color="auto"/>
                <w:bottom w:val="none" w:sz="0" w:space="0" w:color="auto"/>
                <w:right w:val="none" w:sz="0" w:space="0" w:color="auto"/>
              </w:divBdr>
            </w:div>
            <w:div w:id="1518612968">
              <w:marLeft w:val="0"/>
              <w:marRight w:val="0"/>
              <w:marTop w:val="0"/>
              <w:marBottom w:val="0"/>
              <w:divBdr>
                <w:top w:val="none" w:sz="0" w:space="0" w:color="auto"/>
                <w:left w:val="none" w:sz="0" w:space="0" w:color="auto"/>
                <w:bottom w:val="none" w:sz="0" w:space="0" w:color="auto"/>
                <w:right w:val="none" w:sz="0" w:space="0" w:color="auto"/>
              </w:divBdr>
            </w:div>
            <w:div w:id="1968857222">
              <w:marLeft w:val="0"/>
              <w:marRight w:val="0"/>
              <w:marTop w:val="0"/>
              <w:marBottom w:val="0"/>
              <w:divBdr>
                <w:top w:val="none" w:sz="0" w:space="0" w:color="auto"/>
                <w:left w:val="none" w:sz="0" w:space="0" w:color="auto"/>
                <w:bottom w:val="none" w:sz="0" w:space="0" w:color="auto"/>
                <w:right w:val="none" w:sz="0" w:space="0" w:color="auto"/>
              </w:divBdr>
            </w:div>
            <w:div w:id="2139488634">
              <w:marLeft w:val="0"/>
              <w:marRight w:val="0"/>
              <w:marTop w:val="0"/>
              <w:marBottom w:val="0"/>
              <w:divBdr>
                <w:top w:val="none" w:sz="0" w:space="0" w:color="auto"/>
                <w:left w:val="none" w:sz="0" w:space="0" w:color="auto"/>
                <w:bottom w:val="none" w:sz="0" w:space="0" w:color="auto"/>
                <w:right w:val="none" w:sz="0" w:space="0" w:color="auto"/>
              </w:divBdr>
            </w:div>
          </w:divsChild>
        </w:div>
        <w:div w:id="483277254">
          <w:marLeft w:val="0"/>
          <w:marRight w:val="0"/>
          <w:marTop w:val="0"/>
          <w:marBottom w:val="0"/>
          <w:divBdr>
            <w:top w:val="none" w:sz="0" w:space="0" w:color="auto"/>
            <w:left w:val="none" w:sz="0" w:space="0" w:color="auto"/>
            <w:bottom w:val="none" w:sz="0" w:space="0" w:color="auto"/>
            <w:right w:val="none" w:sz="0" w:space="0" w:color="auto"/>
          </w:divBdr>
          <w:divsChild>
            <w:div w:id="1548375680">
              <w:marLeft w:val="0"/>
              <w:marRight w:val="0"/>
              <w:marTop w:val="0"/>
              <w:marBottom w:val="0"/>
              <w:divBdr>
                <w:top w:val="none" w:sz="0" w:space="0" w:color="auto"/>
                <w:left w:val="none" w:sz="0" w:space="0" w:color="auto"/>
                <w:bottom w:val="none" w:sz="0" w:space="0" w:color="auto"/>
                <w:right w:val="none" w:sz="0" w:space="0" w:color="auto"/>
              </w:divBdr>
            </w:div>
            <w:div w:id="1769041420">
              <w:marLeft w:val="0"/>
              <w:marRight w:val="0"/>
              <w:marTop w:val="0"/>
              <w:marBottom w:val="0"/>
              <w:divBdr>
                <w:top w:val="none" w:sz="0" w:space="0" w:color="auto"/>
                <w:left w:val="none" w:sz="0" w:space="0" w:color="auto"/>
                <w:bottom w:val="none" w:sz="0" w:space="0" w:color="auto"/>
                <w:right w:val="none" w:sz="0" w:space="0" w:color="auto"/>
              </w:divBdr>
            </w:div>
          </w:divsChild>
        </w:div>
        <w:div w:id="484317546">
          <w:marLeft w:val="0"/>
          <w:marRight w:val="0"/>
          <w:marTop w:val="0"/>
          <w:marBottom w:val="0"/>
          <w:divBdr>
            <w:top w:val="none" w:sz="0" w:space="0" w:color="auto"/>
            <w:left w:val="none" w:sz="0" w:space="0" w:color="auto"/>
            <w:bottom w:val="none" w:sz="0" w:space="0" w:color="auto"/>
            <w:right w:val="none" w:sz="0" w:space="0" w:color="auto"/>
          </w:divBdr>
          <w:divsChild>
            <w:div w:id="120997332">
              <w:marLeft w:val="0"/>
              <w:marRight w:val="0"/>
              <w:marTop w:val="0"/>
              <w:marBottom w:val="0"/>
              <w:divBdr>
                <w:top w:val="none" w:sz="0" w:space="0" w:color="auto"/>
                <w:left w:val="none" w:sz="0" w:space="0" w:color="auto"/>
                <w:bottom w:val="none" w:sz="0" w:space="0" w:color="auto"/>
                <w:right w:val="none" w:sz="0" w:space="0" w:color="auto"/>
              </w:divBdr>
            </w:div>
            <w:div w:id="231083687">
              <w:marLeft w:val="0"/>
              <w:marRight w:val="0"/>
              <w:marTop w:val="0"/>
              <w:marBottom w:val="0"/>
              <w:divBdr>
                <w:top w:val="none" w:sz="0" w:space="0" w:color="auto"/>
                <w:left w:val="none" w:sz="0" w:space="0" w:color="auto"/>
                <w:bottom w:val="none" w:sz="0" w:space="0" w:color="auto"/>
                <w:right w:val="none" w:sz="0" w:space="0" w:color="auto"/>
              </w:divBdr>
            </w:div>
            <w:div w:id="1380713048">
              <w:marLeft w:val="0"/>
              <w:marRight w:val="0"/>
              <w:marTop w:val="0"/>
              <w:marBottom w:val="0"/>
              <w:divBdr>
                <w:top w:val="none" w:sz="0" w:space="0" w:color="auto"/>
                <w:left w:val="none" w:sz="0" w:space="0" w:color="auto"/>
                <w:bottom w:val="none" w:sz="0" w:space="0" w:color="auto"/>
                <w:right w:val="none" w:sz="0" w:space="0" w:color="auto"/>
              </w:divBdr>
            </w:div>
            <w:div w:id="1441074113">
              <w:marLeft w:val="0"/>
              <w:marRight w:val="0"/>
              <w:marTop w:val="0"/>
              <w:marBottom w:val="0"/>
              <w:divBdr>
                <w:top w:val="none" w:sz="0" w:space="0" w:color="auto"/>
                <w:left w:val="none" w:sz="0" w:space="0" w:color="auto"/>
                <w:bottom w:val="none" w:sz="0" w:space="0" w:color="auto"/>
                <w:right w:val="none" w:sz="0" w:space="0" w:color="auto"/>
              </w:divBdr>
            </w:div>
            <w:div w:id="1477382187">
              <w:marLeft w:val="0"/>
              <w:marRight w:val="0"/>
              <w:marTop w:val="0"/>
              <w:marBottom w:val="0"/>
              <w:divBdr>
                <w:top w:val="none" w:sz="0" w:space="0" w:color="auto"/>
                <w:left w:val="none" w:sz="0" w:space="0" w:color="auto"/>
                <w:bottom w:val="none" w:sz="0" w:space="0" w:color="auto"/>
                <w:right w:val="none" w:sz="0" w:space="0" w:color="auto"/>
              </w:divBdr>
            </w:div>
            <w:div w:id="1643608618">
              <w:marLeft w:val="0"/>
              <w:marRight w:val="0"/>
              <w:marTop w:val="0"/>
              <w:marBottom w:val="0"/>
              <w:divBdr>
                <w:top w:val="none" w:sz="0" w:space="0" w:color="auto"/>
                <w:left w:val="none" w:sz="0" w:space="0" w:color="auto"/>
                <w:bottom w:val="none" w:sz="0" w:space="0" w:color="auto"/>
                <w:right w:val="none" w:sz="0" w:space="0" w:color="auto"/>
              </w:divBdr>
            </w:div>
            <w:div w:id="1931620532">
              <w:marLeft w:val="0"/>
              <w:marRight w:val="0"/>
              <w:marTop w:val="0"/>
              <w:marBottom w:val="0"/>
              <w:divBdr>
                <w:top w:val="none" w:sz="0" w:space="0" w:color="auto"/>
                <w:left w:val="none" w:sz="0" w:space="0" w:color="auto"/>
                <w:bottom w:val="none" w:sz="0" w:space="0" w:color="auto"/>
                <w:right w:val="none" w:sz="0" w:space="0" w:color="auto"/>
              </w:divBdr>
            </w:div>
          </w:divsChild>
        </w:div>
        <w:div w:id="498228453">
          <w:marLeft w:val="0"/>
          <w:marRight w:val="0"/>
          <w:marTop w:val="0"/>
          <w:marBottom w:val="0"/>
          <w:divBdr>
            <w:top w:val="none" w:sz="0" w:space="0" w:color="auto"/>
            <w:left w:val="none" w:sz="0" w:space="0" w:color="auto"/>
            <w:bottom w:val="none" w:sz="0" w:space="0" w:color="auto"/>
            <w:right w:val="none" w:sz="0" w:space="0" w:color="auto"/>
          </w:divBdr>
          <w:divsChild>
            <w:div w:id="366876391">
              <w:marLeft w:val="0"/>
              <w:marRight w:val="0"/>
              <w:marTop w:val="0"/>
              <w:marBottom w:val="0"/>
              <w:divBdr>
                <w:top w:val="none" w:sz="0" w:space="0" w:color="auto"/>
                <w:left w:val="none" w:sz="0" w:space="0" w:color="auto"/>
                <w:bottom w:val="none" w:sz="0" w:space="0" w:color="auto"/>
                <w:right w:val="none" w:sz="0" w:space="0" w:color="auto"/>
              </w:divBdr>
            </w:div>
          </w:divsChild>
        </w:div>
        <w:div w:id="503519458">
          <w:marLeft w:val="0"/>
          <w:marRight w:val="0"/>
          <w:marTop w:val="0"/>
          <w:marBottom w:val="0"/>
          <w:divBdr>
            <w:top w:val="none" w:sz="0" w:space="0" w:color="auto"/>
            <w:left w:val="none" w:sz="0" w:space="0" w:color="auto"/>
            <w:bottom w:val="none" w:sz="0" w:space="0" w:color="auto"/>
            <w:right w:val="none" w:sz="0" w:space="0" w:color="auto"/>
          </w:divBdr>
          <w:divsChild>
            <w:div w:id="430472024">
              <w:marLeft w:val="0"/>
              <w:marRight w:val="0"/>
              <w:marTop w:val="0"/>
              <w:marBottom w:val="0"/>
              <w:divBdr>
                <w:top w:val="none" w:sz="0" w:space="0" w:color="auto"/>
                <w:left w:val="none" w:sz="0" w:space="0" w:color="auto"/>
                <w:bottom w:val="none" w:sz="0" w:space="0" w:color="auto"/>
                <w:right w:val="none" w:sz="0" w:space="0" w:color="auto"/>
              </w:divBdr>
            </w:div>
          </w:divsChild>
        </w:div>
        <w:div w:id="505097601">
          <w:marLeft w:val="0"/>
          <w:marRight w:val="0"/>
          <w:marTop w:val="0"/>
          <w:marBottom w:val="0"/>
          <w:divBdr>
            <w:top w:val="none" w:sz="0" w:space="0" w:color="auto"/>
            <w:left w:val="none" w:sz="0" w:space="0" w:color="auto"/>
            <w:bottom w:val="none" w:sz="0" w:space="0" w:color="auto"/>
            <w:right w:val="none" w:sz="0" w:space="0" w:color="auto"/>
          </w:divBdr>
          <w:divsChild>
            <w:div w:id="64305807">
              <w:marLeft w:val="0"/>
              <w:marRight w:val="0"/>
              <w:marTop w:val="0"/>
              <w:marBottom w:val="0"/>
              <w:divBdr>
                <w:top w:val="none" w:sz="0" w:space="0" w:color="auto"/>
                <w:left w:val="none" w:sz="0" w:space="0" w:color="auto"/>
                <w:bottom w:val="none" w:sz="0" w:space="0" w:color="auto"/>
                <w:right w:val="none" w:sz="0" w:space="0" w:color="auto"/>
              </w:divBdr>
            </w:div>
          </w:divsChild>
        </w:div>
        <w:div w:id="506556829">
          <w:marLeft w:val="0"/>
          <w:marRight w:val="0"/>
          <w:marTop w:val="0"/>
          <w:marBottom w:val="0"/>
          <w:divBdr>
            <w:top w:val="none" w:sz="0" w:space="0" w:color="auto"/>
            <w:left w:val="none" w:sz="0" w:space="0" w:color="auto"/>
            <w:bottom w:val="none" w:sz="0" w:space="0" w:color="auto"/>
            <w:right w:val="none" w:sz="0" w:space="0" w:color="auto"/>
          </w:divBdr>
          <w:divsChild>
            <w:div w:id="840393732">
              <w:marLeft w:val="0"/>
              <w:marRight w:val="0"/>
              <w:marTop w:val="0"/>
              <w:marBottom w:val="0"/>
              <w:divBdr>
                <w:top w:val="none" w:sz="0" w:space="0" w:color="auto"/>
                <w:left w:val="none" w:sz="0" w:space="0" w:color="auto"/>
                <w:bottom w:val="none" w:sz="0" w:space="0" w:color="auto"/>
                <w:right w:val="none" w:sz="0" w:space="0" w:color="auto"/>
              </w:divBdr>
            </w:div>
          </w:divsChild>
        </w:div>
        <w:div w:id="509879401">
          <w:marLeft w:val="0"/>
          <w:marRight w:val="0"/>
          <w:marTop w:val="0"/>
          <w:marBottom w:val="0"/>
          <w:divBdr>
            <w:top w:val="none" w:sz="0" w:space="0" w:color="auto"/>
            <w:left w:val="none" w:sz="0" w:space="0" w:color="auto"/>
            <w:bottom w:val="none" w:sz="0" w:space="0" w:color="auto"/>
            <w:right w:val="none" w:sz="0" w:space="0" w:color="auto"/>
          </w:divBdr>
          <w:divsChild>
            <w:div w:id="941455814">
              <w:marLeft w:val="0"/>
              <w:marRight w:val="0"/>
              <w:marTop w:val="0"/>
              <w:marBottom w:val="0"/>
              <w:divBdr>
                <w:top w:val="none" w:sz="0" w:space="0" w:color="auto"/>
                <w:left w:val="none" w:sz="0" w:space="0" w:color="auto"/>
                <w:bottom w:val="none" w:sz="0" w:space="0" w:color="auto"/>
                <w:right w:val="none" w:sz="0" w:space="0" w:color="auto"/>
              </w:divBdr>
            </w:div>
            <w:div w:id="1045717280">
              <w:marLeft w:val="0"/>
              <w:marRight w:val="0"/>
              <w:marTop w:val="0"/>
              <w:marBottom w:val="0"/>
              <w:divBdr>
                <w:top w:val="none" w:sz="0" w:space="0" w:color="auto"/>
                <w:left w:val="none" w:sz="0" w:space="0" w:color="auto"/>
                <w:bottom w:val="none" w:sz="0" w:space="0" w:color="auto"/>
                <w:right w:val="none" w:sz="0" w:space="0" w:color="auto"/>
              </w:divBdr>
            </w:div>
            <w:div w:id="1409963959">
              <w:marLeft w:val="0"/>
              <w:marRight w:val="0"/>
              <w:marTop w:val="0"/>
              <w:marBottom w:val="0"/>
              <w:divBdr>
                <w:top w:val="none" w:sz="0" w:space="0" w:color="auto"/>
                <w:left w:val="none" w:sz="0" w:space="0" w:color="auto"/>
                <w:bottom w:val="none" w:sz="0" w:space="0" w:color="auto"/>
                <w:right w:val="none" w:sz="0" w:space="0" w:color="auto"/>
              </w:divBdr>
            </w:div>
            <w:div w:id="1834757001">
              <w:marLeft w:val="0"/>
              <w:marRight w:val="0"/>
              <w:marTop w:val="0"/>
              <w:marBottom w:val="0"/>
              <w:divBdr>
                <w:top w:val="none" w:sz="0" w:space="0" w:color="auto"/>
                <w:left w:val="none" w:sz="0" w:space="0" w:color="auto"/>
                <w:bottom w:val="none" w:sz="0" w:space="0" w:color="auto"/>
                <w:right w:val="none" w:sz="0" w:space="0" w:color="auto"/>
              </w:divBdr>
            </w:div>
          </w:divsChild>
        </w:div>
        <w:div w:id="519970993">
          <w:marLeft w:val="0"/>
          <w:marRight w:val="0"/>
          <w:marTop w:val="0"/>
          <w:marBottom w:val="0"/>
          <w:divBdr>
            <w:top w:val="none" w:sz="0" w:space="0" w:color="auto"/>
            <w:left w:val="none" w:sz="0" w:space="0" w:color="auto"/>
            <w:bottom w:val="none" w:sz="0" w:space="0" w:color="auto"/>
            <w:right w:val="none" w:sz="0" w:space="0" w:color="auto"/>
          </w:divBdr>
          <w:divsChild>
            <w:div w:id="1346401446">
              <w:marLeft w:val="0"/>
              <w:marRight w:val="0"/>
              <w:marTop w:val="0"/>
              <w:marBottom w:val="0"/>
              <w:divBdr>
                <w:top w:val="none" w:sz="0" w:space="0" w:color="auto"/>
                <w:left w:val="none" w:sz="0" w:space="0" w:color="auto"/>
                <w:bottom w:val="none" w:sz="0" w:space="0" w:color="auto"/>
                <w:right w:val="none" w:sz="0" w:space="0" w:color="auto"/>
              </w:divBdr>
            </w:div>
            <w:div w:id="1851407243">
              <w:marLeft w:val="0"/>
              <w:marRight w:val="0"/>
              <w:marTop w:val="0"/>
              <w:marBottom w:val="0"/>
              <w:divBdr>
                <w:top w:val="none" w:sz="0" w:space="0" w:color="auto"/>
                <w:left w:val="none" w:sz="0" w:space="0" w:color="auto"/>
                <w:bottom w:val="none" w:sz="0" w:space="0" w:color="auto"/>
                <w:right w:val="none" w:sz="0" w:space="0" w:color="auto"/>
              </w:divBdr>
            </w:div>
          </w:divsChild>
        </w:div>
        <w:div w:id="522475015">
          <w:marLeft w:val="0"/>
          <w:marRight w:val="0"/>
          <w:marTop w:val="0"/>
          <w:marBottom w:val="0"/>
          <w:divBdr>
            <w:top w:val="none" w:sz="0" w:space="0" w:color="auto"/>
            <w:left w:val="none" w:sz="0" w:space="0" w:color="auto"/>
            <w:bottom w:val="none" w:sz="0" w:space="0" w:color="auto"/>
            <w:right w:val="none" w:sz="0" w:space="0" w:color="auto"/>
          </w:divBdr>
          <w:divsChild>
            <w:div w:id="1911452944">
              <w:marLeft w:val="0"/>
              <w:marRight w:val="0"/>
              <w:marTop w:val="0"/>
              <w:marBottom w:val="0"/>
              <w:divBdr>
                <w:top w:val="none" w:sz="0" w:space="0" w:color="auto"/>
                <w:left w:val="none" w:sz="0" w:space="0" w:color="auto"/>
                <w:bottom w:val="none" w:sz="0" w:space="0" w:color="auto"/>
                <w:right w:val="none" w:sz="0" w:space="0" w:color="auto"/>
              </w:divBdr>
            </w:div>
          </w:divsChild>
        </w:div>
        <w:div w:id="525945125">
          <w:marLeft w:val="0"/>
          <w:marRight w:val="0"/>
          <w:marTop w:val="0"/>
          <w:marBottom w:val="0"/>
          <w:divBdr>
            <w:top w:val="none" w:sz="0" w:space="0" w:color="auto"/>
            <w:left w:val="none" w:sz="0" w:space="0" w:color="auto"/>
            <w:bottom w:val="none" w:sz="0" w:space="0" w:color="auto"/>
            <w:right w:val="none" w:sz="0" w:space="0" w:color="auto"/>
          </w:divBdr>
          <w:divsChild>
            <w:div w:id="604116382">
              <w:marLeft w:val="0"/>
              <w:marRight w:val="0"/>
              <w:marTop w:val="0"/>
              <w:marBottom w:val="0"/>
              <w:divBdr>
                <w:top w:val="none" w:sz="0" w:space="0" w:color="auto"/>
                <w:left w:val="none" w:sz="0" w:space="0" w:color="auto"/>
                <w:bottom w:val="none" w:sz="0" w:space="0" w:color="auto"/>
                <w:right w:val="none" w:sz="0" w:space="0" w:color="auto"/>
              </w:divBdr>
            </w:div>
            <w:div w:id="1799646170">
              <w:marLeft w:val="0"/>
              <w:marRight w:val="0"/>
              <w:marTop w:val="0"/>
              <w:marBottom w:val="0"/>
              <w:divBdr>
                <w:top w:val="none" w:sz="0" w:space="0" w:color="auto"/>
                <w:left w:val="none" w:sz="0" w:space="0" w:color="auto"/>
                <w:bottom w:val="none" w:sz="0" w:space="0" w:color="auto"/>
                <w:right w:val="none" w:sz="0" w:space="0" w:color="auto"/>
              </w:divBdr>
            </w:div>
          </w:divsChild>
        </w:div>
        <w:div w:id="529150448">
          <w:marLeft w:val="0"/>
          <w:marRight w:val="0"/>
          <w:marTop w:val="0"/>
          <w:marBottom w:val="0"/>
          <w:divBdr>
            <w:top w:val="none" w:sz="0" w:space="0" w:color="auto"/>
            <w:left w:val="none" w:sz="0" w:space="0" w:color="auto"/>
            <w:bottom w:val="none" w:sz="0" w:space="0" w:color="auto"/>
            <w:right w:val="none" w:sz="0" w:space="0" w:color="auto"/>
          </w:divBdr>
          <w:divsChild>
            <w:div w:id="1230574067">
              <w:marLeft w:val="0"/>
              <w:marRight w:val="0"/>
              <w:marTop w:val="0"/>
              <w:marBottom w:val="0"/>
              <w:divBdr>
                <w:top w:val="none" w:sz="0" w:space="0" w:color="auto"/>
                <w:left w:val="none" w:sz="0" w:space="0" w:color="auto"/>
                <w:bottom w:val="none" w:sz="0" w:space="0" w:color="auto"/>
                <w:right w:val="none" w:sz="0" w:space="0" w:color="auto"/>
              </w:divBdr>
            </w:div>
            <w:div w:id="1694963088">
              <w:marLeft w:val="0"/>
              <w:marRight w:val="0"/>
              <w:marTop w:val="0"/>
              <w:marBottom w:val="0"/>
              <w:divBdr>
                <w:top w:val="none" w:sz="0" w:space="0" w:color="auto"/>
                <w:left w:val="none" w:sz="0" w:space="0" w:color="auto"/>
                <w:bottom w:val="none" w:sz="0" w:space="0" w:color="auto"/>
                <w:right w:val="none" w:sz="0" w:space="0" w:color="auto"/>
              </w:divBdr>
            </w:div>
            <w:div w:id="1809471907">
              <w:marLeft w:val="0"/>
              <w:marRight w:val="0"/>
              <w:marTop w:val="0"/>
              <w:marBottom w:val="0"/>
              <w:divBdr>
                <w:top w:val="none" w:sz="0" w:space="0" w:color="auto"/>
                <w:left w:val="none" w:sz="0" w:space="0" w:color="auto"/>
                <w:bottom w:val="none" w:sz="0" w:space="0" w:color="auto"/>
                <w:right w:val="none" w:sz="0" w:space="0" w:color="auto"/>
              </w:divBdr>
            </w:div>
          </w:divsChild>
        </w:div>
        <w:div w:id="544101709">
          <w:marLeft w:val="0"/>
          <w:marRight w:val="0"/>
          <w:marTop w:val="0"/>
          <w:marBottom w:val="0"/>
          <w:divBdr>
            <w:top w:val="none" w:sz="0" w:space="0" w:color="auto"/>
            <w:left w:val="none" w:sz="0" w:space="0" w:color="auto"/>
            <w:bottom w:val="none" w:sz="0" w:space="0" w:color="auto"/>
            <w:right w:val="none" w:sz="0" w:space="0" w:color="auto"/>
          </w:divBdr>
          <w:divsChild>
            <w:div w:id="734007144">
              <w:marLeft w:val="0"/>
              <w:marRight w:val="0"/>
              <w:marTop w:val="0"/>
              <w:marBottom w:val="0"/>
              <w:divBdr>
                <w:top w:val="none" w:sz="0" w:space="0" w:color="auto"/>
                <w:left w:val="none" w:sz="0" w:space="0" w:color="auto"/>
                <w:bottom w:val="none" w:sz="0" w:space="0" w:color="auto"/>
                <w:right w:val="none" w:sz="0" w:space="0" w:color="auto"/>
              </w:divBdr>
            </w:div>
          </w:divsChild>
        </w:div>
        <w:div w:id="547186792">
          <w:marLeft w:val="0"/>
          <w:marRight w:val="0"/>
          <w:marTop w:val="0"/>
          <w:marBottom w:val="0"/>
          <w:divBdr>
            <w:top w:val="none" w:sz="0" w:space="0" w:color="auto"/>
            <w:left w:val="none" w:sz="0" w:space="0" w:color="auto"/>
            <w:bottom w:val="none" w:sz="0" w:space="0" w:color="auto"/>
            <w:right w:val="none" w:sz="0" w:space="0" w:color="auto"/>
          </w:divBdr>
          <w:divsChild>
            <w:div w:id="1641494212">
              <w:marLeft w:val="0"/>
              <w:marRight w:val="0"/>
              <w:marTop w:val="0"/>
              <w:marBottom w:val="0"/>
              <w:divBdr>
                <w:top w:val="none" w:sz="0" w:space="0" w:color="auto"/>
                <w:left w:val="none" w:sz="0" w:space="0" w:color="auto"/>
                <w:bottom w:val="none" w:sz="0" w:space="0" w:color="auto"/>
                <w:right w:val="none" w:sz="0" w:space="0" w:color="auto"/>
              </w:divBdr>
            </w:div>
          </w:divsChild>
        </w:div>
        <w:div w:id="554002355">
          <w:marLeft w:val="0"/>
          <w:marRight w:val="0"/>
          <w:marTop w:val="0"/>
          <w:marBottom w:val="0"/>
          <w:divBdr>
            <w:top w:val="none" w:sz="0" w:space="0" w:color="auto"/>
            <w:left w:val="none" w:sz="0" w:space="0" w:color="auto"/>
            <w:bottom w:val="none" w:sz="0" w:space="0" w:color="auto"/>
            <w:right w:val="none" w:sz="0" w:space="0" w:color="auto"/>
          </w:divBdr>
          <w:divsChild>
            <w:div w:id="1241401617">
              <w:marLeft w:val="0"/>
              <w:marRight w:val="0"/>
              <w:marTop w:val="0"/>
              <w:marBottom w:val="0"/>
              <w:divBdr>
                <w:top w:val="none" w:sz="0" w:space="0" w:color="auto"/>
                <w:left w:val="none" w:sz="0" w:space="0" w:color="auto"/>
                <w:bottom w:val="none" w:sz="0" w:space="0" w:color="auto"/>
                <w:right w:val="none" w:sz="0" w:space="0" w:color="auto"/>
              </w:divBdr>
            </w:div>
            <w:div w:id="1343165039">
              <w:marLeft w:val="0"/>
              <w:marRight w:val="0"/>
              <w:marTop w:val="0"/>
              <w:marBottom w:val="0"/>
              <w:divBdr>
                <w:top w:val="none" w:sz="0" w:space="0" w:color="auto"/>
                <w:left w:val="none" w:sz="0" w:space="0" w:color="auto"/>
                <w:bottom w:val="none" w:sz="0" w:space="0" w:color="auto"/>
                <w:right w:val="none" w:sz="0" w:space="0" w:color="auto"/>
              </w:divBdr>
            </w:div>
          </w:divsChild>
        </w:div>
        <w:div w:id="556823556">
          <w:marLeft w:val="0"/>
          <w:marRight w:val="0"/>
          <w:marTop w:val="0"/>
          <w:marBottom w:val="0"/>
          <w:divBdr>
            <w:top w:val="none" w:sz="0" w:space="0" w:color="auto"/>
            <w:left w:val="none" w:sz="0" w:space="0" w:color="auto"/>
            <w:bottom w:val="none" w:sz="0" w:space="0" w:color="auto"/>
            <w:right w:val="none" w:sz="0" w:space="0" w:color="auto"/>
          </w:divBdr>
          <w:divsChild>
            <w:div w:id="518618996">
              <w:marLeft w:val="0"/>
              <w:marRight w:val="0"/>
              <w:marTop w:val="0"/>
              <w:marBottom w:val="0"/>
              <w:divBdr>
                <w:top w:val="none" w:sz="0" w:space="0" w:color="auto"/>
                <w:left w:val="none" w:sz="0" w:space="0" w:color="auto"/>
                <w:bottom w:val="none" w:sz="0" w:space="0" w:color="auto"/>
                <w:right w:val="none" w:sz="0" w:space="0" w:color="auto"/>
              </w:divBdr>
            </w:div>
          </w:divsChild>
        </w:div>
        <w:div w:id="557323547">
          <w:marLeft w:val="0"/>
          <w:marRight w:val="0"/>
          <w:marTop w:val="0"/>
          <w:marBottom w:val="0"/>
          <w:divBdr>
            <w:top w:val="none" w:sz="0" w:space="0" w:color="auto"/>
            <w:left w:val="none" w:sz="0" w:space="0" w:color="auto"/>
            <w:bottom w:val="none" w:sz="0" w:space="0" w:color="auto"/>
            <w:right w:val="none" w:sz="0" w:space="0" w:color="auto"/>
          </w:divBdr>
          <w:divsChild>
            <w:div w:id="58095375">
              <w:marLeft w:val="0"/>
              <w:marRight w:val="0"/>
              <w:marTop w:val="0"/>
              <w:marBottom w:val="0"/>
              <w:divBdr>
                <w:top w:val="none" w:sz="0" w:space="0" w:color="auto"/>
                <w:left w:val="none" w:sz="0" w:space="0" w:color="auto"/>
                <w:bottom w:val="none" w:sz="0" w:space="0" w:color="auto"/>
                <w:right w:val="none" w:sz="0" w:space="0" w:color="auto"/>
              </w:divBdr>
            </w:div>
          </w:divsChild>
        </w:div>
        <w:div w:id="558368110">
          <w:marLeft w:val="0"/>
          <w:marRight w:val="0"/>
          <w:marTop w:val="0"/>
          <w:marBottom w:val="0"/>
          <w:divBdr>
            <w:top w:val="none" w:sz="0" w:space="0" w:color="auto"/>
            <w:left w:val="none" w:sz="0" w:space="0" w:color="auto"/>
            <w:bottom w:val="none" w:sz="0" w:space="0" w:color="auto"/>
            <w:right w:val="none" w:sz="0" w:space="0" w:color="auto"/>
          </w:divBdr>
          <w:divsChild>
            <w:div w:id="1901558240">
              <w:marLeft w:val="0"/>
              <w:marRight w:val="0"/>
              <w:marTop w:val="0"/>
              <w:marBottom w:val="0"/>
              <w:divBdr>
                <w:top w:val="none" w:sz="0" w:space="0" w:color="auto"/>
                <w:left w:val="none" w:sz="0" w:space="0" w:color="auto"/>
                <w:bottom w:val="none" w:sz="0" w:space="0" w:color="auto"/>
                <w:right w:val="none" w:sz="0" w:space="0" w:color="auto"/>
              </w:divBdr>
            </w:div>
          </w:divsChild>
        </w:div>
        <w:div w:id="559168310">
          <w:marLeft w:val="0"/>
          <w:marRight w:val="0"/>
          <w:marTop w:val="0"/>
          <w:marBottom w:val="0"/>
          <w:divBdr>
            <w:top w:val="none" w:sz="0" w:space="0" w:color="auto"/>
            <w:left w:val="none" w:sz="0" w:space="0" w:color="auto"/>
            <w:bottom w:val="none" w:sz="0" w:space="0" w:color="auto"/>
            <w:right w:val="none" w:sz="0" w:space="0" w:color="auto"/>
          </w:divBdr>
          <w:divsChild>
            <w:div w:id="762453892">
              <w:marLeft w:val="0"/>
              <w:marRight w:val="0"/>
              <w:marTop w:val="0"/>
              <w:marBottom w:val="0"/>
              <w:divBdr>
                <w:top w:val="none" w:sz="0" w:space="0" w:color="auto"/>
                <w:left w:val="none" w:sz="0" w:space="0" w:color="auto"/>
                <w:bottom w:val="none" w:sz="0" w:space="0" w:color="auto"/>
                <w:right w:val="none" w:sz="0" w:space="0" w:color="auto"/>
              </w:divBdr>
            </w:div>
            <w:div w:id="1011756960">
              <w:marLeft w:val="0"/>
              <w:marRight w:val="0"/>
              <w:marTop w:val="0"/>
              <w:marBottom w:val="0"/>
              <w:divBdr>
                <w:top w:val="none" w:sz="0" w:space="0" w:color="auto"/>
                <w:left w:val="none" w:sz="0" w:space="0" w:color="auto"/>
                <w:bottom w:val="none" w:sz="0" w:space="0" w:color="auto"/>
                <w:right w:val="none" w:sz="0" w:space="0" w:color="auto"/>
              </w:divBdr>
            </w:div>
          </w:divsChild>
        </w:div>
        <w:div w:id="560024727">
          <w:marLeft w:val="0"/>
          <w:marRight w:val="0"/>
          <w:marTop w:val="0"/>
          <w:marBottom w:val="0"/>
          <w:divBdr>
            <w:top w:val="none" w:sz="0" w:space="0" w:color="auto"/>
            <w:left w:val="none" w:sz="0" w:space="0" w:color="auto"/>
            <w:bottom w:val="none" w:sz="0" w:space="0" w:color="auto"/>
            <w:right w:val="none" w:sz="0" w:space="0" w:color="auto"/>
          </w:divBdr>
          <w:divsChild>
            <w:div w:id="1617247347">
              <w:marLeft w:val="0"/>
              <w:marRight w:val="0"/>
              <w:marTop w:val="0"/>
              <w:marBottom w:val="0"/>
              <w:divBdr>
                <w:top w:val="none" w:sz="0" w:space="0" w:color="auto"/>
                <w:left w:val="none" w:sz="0" w:space="0" w:color="auto"/>
                <w:bottom w:val="none" w:sz="0" w:space="0" w:color="auto"/>
                <w:right w:val="none" w:sz="0" w:space="0" w:color="auto"/>
              </w:divBdr>
            </w:div>
          </w:divsChild>
        </w:div>
        <w:div w:id="562789878">
          <w:marLeft w:val="0"/>
          <w:marRight w:val="0"/>
          <w:marTop w:val="0"/>
          <w:marBottom w:val="0"/>
          <w:divBdr>
            <w:top w:val="none" w:sz="0" w:space="0" w:color="auto"/>
            <w:left w:val="none" w:sz="0" w:space="0" w:color="auto"/>
            <w:bottom w:val="none" w:sz="0" w:space="0" w:color="auto"/>
            <w:right w:val="none" w:sz="0" w:space="0" w:color="auto"/>
          </w:divBdr>
          <w:divsChild>
            <w:div w:id="121047305">
              <w:marLeft w:val="0"/>
              <w:marRight w:val="0"/>
              <w:marTop w:val="0"/>
              <w:marBottom w:val="0"/>
              <w:divBdr>
                <w:top w:val="none" w:sz="0" w:space="0" w:color="auto"/>
                <w:left w:val="none" w:sz="0" w:space="0" w:color="auto"/>
                <w:bottom w:val="none" w:sz="0" w:space="0" w:color="auto"/>
                <w:right w:val="none" w:sz="0" w:space="0" w:color="auto"/>
              </w:divBdr>
            </w:div>
            <w:div w:id="1747066348">
              <w:marLeft w:val="0"/>
              <w:marRight w:val="0"/>
              <w:marTop w:val="0"/>
              <w:marBottom w:val="0"/>
              <w:divBdr>
                <w:top w:val="none" w:sz="0" w:space="0" w:color="auto"/>
                <w:left w:val="none" w:sz="0" w:space="0" w:color="auto"/>
                <w:bottom w:val="none" w:sz="0" w:space="0" w:color="auto"/>
                <w:right w:val="none" w:sz="0" w:space="0" w:color="auto"/>
              </w:divBdr>
            </w:div>
            <w:div w:id="1785995870">
              <w:marLeft w:val="0"/>
              <w:marRight w:val="0"/>
              <w:marTop w:val="0"/>
              <w:marBottom w:val="0"/>
              <w:divBdr>
                <w:top w:val="none" w:sz="0" w:space="0" w:color="auto"/>
                <w:left w:val="none" w:sz="0" w:space="0" w:color="auto"/>
                <w:bottom w:val="none" w:sz="0" w:space="0" w:color="auto"/>
                <w:right w:val="none" w:sz="0" w:space="0" w:color="auto"/>
              </w:divBdr>
            </w:div>
            <w:div w:id="1949390717">
              <w:marLeft w:val="0"/>
              <w:marRight w:val="0"/>
              <w:marTop w:val="0"/>
              <w:marBottom w:val="0"/>
              <w:divBdr>
                <w:top w:val="none" w:sz="0" w:space="0" w:color="auto"/>
                <w:left w:val="none" w:sz="0" w:space="0" w:color="auto"/>
                <w:bottom w:val="none" w:sz="0" w:space="0" w:color="auto"/>
                <w:right w:val="none" w:sz="0" w:space="0" w:color="auto"/>
              </w:divBdr>
            </w:div>
          </w:divsChild>
        </w:div>
        <w:div w:id="566652636">
          <w:marLeft w:val="0"/>
          <w:marRight w:val="0"/>
          <w:marTop w:val="0"/>
          <w:marBottom w:val="0"/>
          <w:divBdr>
            <w:top w:val="none" w:sz="0" w:space="0" w:color="auto"/>
            <w:left w:val="none" w:sz="0" w:space="0" w:color="auto"/>
            <w:bottom w:val="none" w:sz="0" w:space="0" w:color="auto"/>
            <w:right w:val="none" w:sz="0" w:space="0" w:color="auto"/>
          </w:divBdr>
          <w:divsChild>
            <w:div w:id="655381417">
              <w:marLeft w:val="0"/>
              <w:marRight w:val="0"/>
              <w:marTop w:val="0"/>
              <w:marBottom w:val="0"/>
              <w:divBdr>
                <w:top w:val="none" w:sz="0" w:space="0" w:color="auto"/>
                <w:left w:val="none" w:sz="0" w:space="0" w:color="auto"/>
                <w:bottom w:val="none" w:sz="0" w:space="0" w:color="auto"/>
                <w:right w:val="none" w:sz="0" w:space="0" w:color="auto"/>
              </w:divBdr>
            </w:div>
          </w:divsChild>
        </w:div>
        <w:div w:id="567616554">
          <w:marLeft w:val="0"/>
          <w:marRight w:val="0"/>
          <w:marTop w:val="0"/>
          <w:marBottom w:val="0"/>
          <w:divBdr>
            <w:top w:val="none" w:sz="0" w:space="0" w:color="auto"/>
            <w:left w:val="none" w:sz="0" w:space="0" w:color="auto"/>
            <w:bottom w:val="none" w:sz="0" w:space="0" w:color="auto"/>
            <w:right w:val="none" w:sz="0" w:space="0" w:color="auto"/>
          </w:divBdr>
          <w:divsChild>
            <w:div w:id="714233409">
              <w:marLeft w:val="0"/>
              <w:marRight w:val="0"/>
              <w:marTop w:val="0"/>
              <w:marBottom w:val="0"/>
              <w:divBdr>
                <w:top w:val="none" w:sz="0" w:space="0" w:color="auto"/>
                <w:left w:val="none" w:sz="0" w:space="0" w:color="auto"/>
                <w:bottom w:val="none" w:sz="0" w:space="0" w:color="auto"/>
                <w:right w:val="none" w:sz="0" w:space="0" w:color="auto"/>
              </w:divBdr>
            </w:div>
            <w:div w:id="908229715">
              <w:marLeft w:val="0"/>
              <w:marRight w:val="0"/>
              <w:marTop w:val="0"/>
              <w:marBottom w:val="0"/>
              <w:divBdr>
                <w:top w:val="none" w:sz="0" w:space="0" w:color="auto"/>
                <w:left w:val="none" w:sz="0" w:space="0" w:color="auto"/>
                <w:bottom w:val="none" w:sz="0" w:space="0" w:color="auto"/>
                <w:right w:val="none" w:sz="0" w:space="0" w:color="auto"/>
              </w:divBdr>
            </w:div>
            <w:div w:id="1814835448">
              <w:marLeft w:val="0"/>
              <w:marRight w:val="0"/>
              <w:marTop w:val="0"/>
              <w:marBottom w:val="0"/>
              <w:divBdr>
                <w:top w:val="none" w:sz="0" w:space="0" w:color="auto"/>
                <w:left w:val="none" w:sz="0" w:space="0" w:color="auto"/>
                <w:bottom w:val="none" w:sz="0" w:space="0" w:color="auto"/>
                <w:right w:val="none" w:sz="0" w:space="0" w:color="auto"/>
              </w:divBdr>
            </w:div>
          </w:divsChild>
        </w:div>
        <w:div w:id="568079166">
          <w:marLeft w:val="0"/>
          <w:marRight w:val="0"/>
          <w:marTop w:val="0"/>
          <w:marBottom w:val="0"/>
          <w:divBdr>
            <w:top w:val="none" w:sz="0" w:space="0" w:color="auto"/>
            <w:left w:val="none" w:sz="0" w:space="0" w:color="auto"/>
            <w:bottom w:val="none" w:sz="0" w:space="0" w:color="auto"/>
            <w:right w:val="none" w:sz="0" w:space="0" w:color="auto"/>
          </w:divBdr>
          <w:divsChild>
            <w:div w:id="417286854">
              <w:marLeft w:val="0"/>
              <w:marRight w:val="0"/>
              <w:marTop w:val="0"/>
              <w:marBottom w:val="0"/>
              <w:divBdr>
                <w:top w:val="none" w:sz="0" w:space="0" w:color="auto"/>
                <w:left w:val="none" w:sz="0" w:space="0" w:color="auto"/>
                <w:bottom w:val="none" w:sz="0" w:space="0" w:color="auto"/>
                <w:right w:val="none" w:sz="0" w:space="0" w:color="auto"/>
              </w:divBdr>
            </w:div>
          </w:divsChild>
        </w:div>
        <w:div w:id="568272745">
          <w:marLeft w:val="0"/>
          <w:marRight w:val="0"/>
          <w:marTop w:val="0"/>
          <w:marBottom w:val="0"/>
          <w:divBdr>
            <w:top w:val="none" w:sz="0" w:space="0" w:color="auto"/>
            <w:left w:val="none" w:sz="0" w:space="0" w:color="auto"/>
            <w:bottom w:val="none" w:sz="0" w:space="0" w:color="auto"/>
            <w:right w:val="none" w:sz="0" w:space="0" w:color="auto"/>
          </w:divBdr>
          <w:divsChild>
            <w:div w:id="1324817175">
              <w:marLeft w:val="0"/>
              <w:marRight w:val="0"/>
              <w:marTop w:val="0"/>
              <w:marBottom w:val="0"/>
              <w:divBdr>
                <w:top w:val="none" w:sz="0" w:space="0" w:color="auto"/>
                <w:left w:val="none" w:sz="0" w:space="0" w:color="auto"/>
                <w:bottom w:val="none" w:sz="0" w:space="0" w:color="auto"/>
                <w:right w:val="none" w:sz="0" w:space="0" w:color="auto"/>
              </w:divBdr>
            </w:div>
            <w:div w:id="1499419748">
              <w:marLeft w:val="0"/>
              <w:marRight w:val="0"/>
              <w:marTop w:val="0"/>
              <w:marBottom w:val="0"/>
              <w:divBdr>
                <w:top w:val="none" w:sz="0" w:space="0" w:color="auto"/>
                <w:left w:val="none" w:sz="0" w:space="0" w:color="auto"/>
                <w:bottom w:val="none" w:sz="0" w:space="0" w:color="auto"/>
                <w:right w:val="none" w:sz="0" w:space="0" w:color="auto"/>
              </w:divBdr>
            </w:div>
          </w:divsChild>
        </w:div>
        <w:div w:id="570505211">
          <w:marLeft w:val="0"/>
          <w:marRight w:val="0"/>
          <w:marTop w:val="0"/>
          <w:marBottom w:val="0"/>
          <w:divBdr>
            <w:top w:val="none" w:sz="0" w:space="0" w:color="auto"/>
            <w:left w:val="none" w:sz="0" w:space="0" w:color="auto"/>
            <w:bottom w:val="none" w:sz="0" w:space="0" w:color="auto"/>
            <w:right w:val="none" w:sz="0" w:space="0" w:color="auto"/>
          </w:divBdr>
          <w:divsChild>
            <w:div w:id="689572128">
              <w:marLeft w:val="0"/>
              <w:marRight w:val="0"/>
              <w:marTop w:val="0"/>
              <w:marBottom w:val="0"/>
              <w:divBdr>
                <w:top w:val="none" w:sz="0" w:space="0" w:color="auto"/>
                <w:left w:val="none" w:sz="0" w:space="0" w:color="auto"/>
                <w:bottom w:val="none" w:sz="0" w:space="0" w:color="auto"/>
                <w:right w:val="none" w:sz="0" w:space="0" w:color="auto"/>
              </w:divBdr>
            </w:div>
            <w:div w:id="1012875616">
              <w:marLeft w:val="0"/>
              <w:marRight w:val="0"/>
              <w:marTop w:val="0"/>
              <w:marBottom w:val="0"/>
              <w:divBdr>
                <w:top w:val="none" w:sz="0" w:space="0" w:color="auto"/>
                <w:left w:val="none" w:sz="0" w:space="0" w:color="auto"/>
                <w:bottom w:val="none" w:sz="0" w:space="0" w:color="auto"/>
                <w:right w:val="none" w:sz="0" w:space="0" w:color="auto"/>
              </w:divBdr>
            </w:div>
          </w:divsChild>
        </w:div>
        <w:div w:id="572663190">
          <w:marLeft w:val="0"/>
          <w:marRight w:val="0"/>
          <w:marTop w:val="0"/>
          <w:marBottom w:val="0"/>
          <w:divBdr>
            <w:top w:val="none" w:sz="0" w:space="0" w:color="auto"/>
            <w:left w:val="none" w:sz="0" w:space="0" w:color="auto"/>
            <w:bottom w:val="none" w:sz="0" w:space="0" w:color="auto"/>
            <w:right w:val="none" w:sz="0" w:space="0" w:color="auto"/>
          </w:divBdr>
          <w:divsChild>
            <w:div w:id="910962515">
              <w:marLeft w:val="0"/>
              <w:marRight w:val="0"/>
              <w:marTop w:val="0"/>
              <w:marBottom w:val="0"/>
              <w:divBdr>
                <w:top w:val="none" w:sz="0" w:space="0" w:color="auto"/>
                <w:left w:val="none" w:sz="0" w:space="0" w:color="auto"/>
                <w:bottom w:val="none" w:sz="0" w:space="0" w:color="auto"/>
                <w:right w:val="none" w:sz="0" w:space="0" w:color="auto"/>
              </w:divBdr>
            </w:div>
          </w:divsChild>
        </w:div>
        <w:div w:id="579827160">
          <w:marLeft w:val="0"/>
          <w:marRight w:val="0"/>
          <w:marTop w:val="0"/>
          <w:marBottom w:val="0"/>
          <w:divBdr>
            <w:top w:val="none" w:sz="0" w:space="0" w:color="auto"/>
            <w:left w:val="none" w:sz="0" w:space="0" w:color="auto"/>
            <w:bottom w:val="none" w:sz="0" w:space="0" w:color="auto"/>
            <w:right w:val="none" w:sz="0" w:space="0" w:color="auto"/>
          </w:divBdr>
          <w:divsChild>
            <w:div w:id="62921998">
              <w:marLeft w:val="0"/>
              <w:marRight w:val="0"/>
              <w:marTop w:val="0"/>
              <w:marBottom w:val="0"/>
              <w:divBdr>
                <w:top w:val="none" w:sz="0" w:space="0" w:color="auto"/>
                <w:left w:val="none" w:sz="0" w:space="0" w:color="auto"/>
                <w:bottom w:val="none" w:sz="0" w:space="0" w:color="auto"/>
                <w:right w:val="none" w:sz="0" w:space="0" w:color="auto"/>
              </w:divBdr>
            </w:div>
          </w:divsChild>
        </w:div>
        <w:div w:id="583536941">
          <w:marLeft w:val="0"/>
          <w:marRight w:val="0"/>
          <w:marTop w:val="0"/>
          <w:marBottom w:val="0"/>
          <w:divBdr>
            <w:top w:val="none" w:sz="0" w:space="0" w:color="auto"/>
            <w:left w:val="none" w:sz="0" w:space="0" w:color="auto"/>
            <w:bottom w:val="none" w:sz="0" w:space="0" w:color="auto"/>
            <w:right w:val="none" w:sz="0" w:space="0" w:color="auto"/>
          </w:divBdr>
          <w:divsChild>
            <w:div w:id="1770391817">
              <w:marLeft w:val="0"/>
              <w:marRight w:val="0"/>
              <w:marTop w:val="0"/>
              <w:marBottom w:val="0"/>
              <w:divBdr>
                <w:top w:val="none" w:sz="0" w:space="0" w:color="auto"/>
                <w:left w:val="none" w:sz="0" w:space="0" w:color="auto"/>
                <w:bottom w:val="none" w:sz="0" w:space="0" w:color="auto"/>
                <w:right w:val="none" w:sz="0" w:space="0" w:color="auto"/>
              </w:divBdr>
            </w:div>
          </w:divsChild>
        </w:div>
        <w:div w:id="585383410">
          <w:marLeft w:val="0"/>
          <w:marRight w:val="0"/>
          <w:marTop w:val="0"/>
          <w:marBottom w:val="0"/>
          <w:divBdr>
            <w:top w:val="none" w:sz="0" w:space="0" w:color="auto"/>
            <w:left w:val="none" w:sz="0" w:space="0" w:color="auto"/>
            <w:bottom w:val="none" w:sz="0" w:space="0" w:color="auto"/>
            <w:right w:val="none" w:sz="0" w:space="0" w:color="auto"/>
          </w:divBdr>
          <w:divsChild>
            <w:div w:id="1351299880">
              <w:marLeft w:val="0"/>
              <w:marRight w:val="0"/>
              <w:marTop w:val="0"/>
              <w:marBottom w:val="0"/>
              <w:divBdr>
                <w:top w:val="none" w:sz="0" w:space="0" w:color="auto"/>
                <w:left w:val="none" w:sz="0" w:space="0" w:color="auto"/>
                <w:bottom w:val="none" w:sz="0" w:space="0" w:color="auto"/>
                <w:right w:val="none" w:sz="0" w:space="0" w:color="auto"/>
              </w:divBdr>
            </w:div>
          </w:divsChild>
        </w:div>
        <w:div w:id="586577959">
          <w:marLeft w:val="0"/>
          <w:marRight w:val="0"/>
          <w:marTop w:val="0"/>
          <w:marBottom w:val="0"/>
          <w:divBdr>
            <w:top w:val="none" w:sz="0" w:space="0" w:color="auto"/>
            <w:left w:val="none" w:sz="0" w:space="0" w:color="auto"/>
            <w:bottom w:val="none" w:sz="0" w:space="0" w:color="auto"/>
            <w:right w:val="none" w:sz="0" w:space="0" w:color="auto"/>
          </w:divBdr>
          <w:divsChild>
            <w:div w:id="859515460">
              <w:marLeft w:val="0"/>
              <w:marRight w:val="0"/>
              <w:marTop w:val="0"/>
              <w:marBottom w:val="0"/>
              <w:divBdr>
                <w:top w:val="none" w:sz="0" w:space="0" w:color="auto"/>
                <w:left w:val="none" w:sz="0" w:space="0" w:color="auto"/>
                <w:bottom w:val="none" w:sz="0" w:space="0" w:color="auto"/>
                <w:right w:val="none" w:sz="0" w:space="0" w:color="auto"/>
              </w:divBdr>
            </w:div>
            <w:div w:id="1672413375">
              <w:marLeft w:val="0"/>
              <w:marRight w:val="0"/>
              <w:marTop w:val="0"/>
              <w:marBottom w:val="0"/>
              <w:divBdr>
                <w:top w:val="none" w:sz="0" w:space="0" w:color="auto"/>
                <w:left w:val="none" w:sz="0" w:space="0" w:color="auto"/>
                <w:bottom w:val="none" w:sz="0" w:space="0" w:color="auto"/>
                <w:right w:val="none" w:sz="0" w:space="0" w:color="auto"/>
              </w:divBdr>
            </w:div>
            <w:div w:id="2095666545">
              <w:marLeft w:val="0"/>
              <w:marRight w:val="0"/>
              <w:marTop w:val="0"/>
              <w:marBottom w:val="0"/>
              <w:divBdr>
                <w:top w:val="none" w:sz="0" w:space="0" w:color="auto"/>
                <w:left w:val="none" w:sz="0" w:space="0" w:color="auto"/>
                <w:bottom w:val="none" w:sz="0" w:space="0" w:color="auto"/>
                <w:right w:val="none" w:sz="0" w:space="0" w:color="auto"/>
              </w:divBdr>
            </w:div>
          </w:divsChild>
        </w:div>
        <w:div w:id="588344413">
          <w:marLeft w:val="0"/>
          <w:marRight w:val="0"/>
          <w:marTop w:val="0"/>
          <w:marBottom w:val="0"/>
          <w:divBdr>
            <w:top w:val="none" w:sz="0" w:space="0" w:color="auto"/>
            <w:left w:val="none" w:sz="0" w:space="0" w:color="auto"/>
            <w:bottom w:val="none" w:sz="0" w:space="0" w:color="auto"/>
            <w:right w:val="none" w:sz="0" w:space="0" w:color="auto"/>
          </w:divBdr>
          <w:divsChild>
            <w:div w:id="449400935">
              <w:marLeft w:val="0"/>
              <w:marRight w:val="0"/>
              <w:marTop w:val="0"/>
              <w:marBottom w:val="0"/>
              <w:divBdr>
                <w:top w:val="none" w:sz="0" w:space="0" w:color="auto"/>
                <w:left w:val="none" w:sz="0" w:space="0" w:color="auto"/>
                <w:bottom w:val="none" w:sz="0" w:space="0" w:color="auto"/>
                <w:right w:val="none" w:sz="0" w:space="0" w:color="auto"/>
              </w:divBdr>
            </w:div>
            <w:div w:id="531043200">
              <w:marLeft w:val="0"/>
              <w:marRight w:val="0"/>
              <w:marTop w:val="0"/>
              <w:marBottom w:val="0"/>
              <w:divBdr>
                <w:top w:val="none" w:sz="0" w:space="0" w:color="auto"/>
                <w:left w:val="none" w:sz="0" w:space="0" w:color="auto"/>
                <w:bottom w:val="none" w:sz="0" w:space="0" w:color="auto"/>
                <w:right w:val="none" w:sz="0" w:space="0" w:color="auto"/>
              </w:divBdr>
            </w:div>
          </w:divsChild>
        </w:div>
        <w:div w:id="593707443">
          <w:marLeft w:val="0"/>
          <w:marRight w:val="0"/>
          <w:marTop w:val="0"/>
          <w:marBottom w:val="0"/>
          <w:divBdr>
            <w:top w:val="none" w:sz="0" w:space="0" w:color="auto"/>
            <w:left w:val="none" w:sz="0" w:space="0" w:color="auto"/>
            <w:bottom w:val="none" w:sz="0" w:space="0" w:color="auto"/>
            <w:right w:val="none" w:sz="0" w:space="0" w:color="auto"/>
          </w:divBdr>
          <w:divsChild>
            <w:div w:id="191962558">
              <w:marLeft w:val="0"/>
              <w:marRight w:val="0"/>
              <w:marTop w:val="0"/>
              <w:marBottom w:val="0"/>
              <w:divBdr>
                <w:top w:val="none" w:sz="0" w:space="0" w:color="auto"/>
                <w:left w:val="none" w:sz="0" w:space="0" w:color="auto"/>
                <w:bottom w:val="none" w:sz="0" w:space="0" w:color="auto"/>
                <w:right w:val="none" w:sz="0" w:space="0" w:color="auto"/>
              </w:divBdr>
            </w:div>
            <w:div w:id="1337998466">
              <w:marLeft w:val="0"/>
              <w:marRight w:val="0"/>
              <w:marTop w:val="0"/>
              <w:marBottom w:val="0"/>
              <w:divBdr>
                <w:top w:val="none" w:sz="0" w:space="0" w:color="auto"/>
                <w:left w:val="none" w:sz="0" w:space="0" w:color="auto"/>
                <w:bottom w:val="none" w:sz="0" w:space="0" w:color="auto"/>
                <w:right w:val="none" w:sz="0" w:space="0" w:color="auto"/>
              </w:divBdr>
            </w:div>
            <w:div w:id="1409644563">
              <w:marLeft w:val="0"/>
              <w:marRight w:val="0"/>
              <w:marTop w:val="0"/>
              <w:marBottom w:val="0"/>
              <w:divBdr>
                <w:top w:val="none" w:sz="0" w:space="0" w:color="auto"/>
                <w:left w:val="none" w:sz="0" w:space="0" w:color="auto"/>
                <w:bottom w:val="none" w:sz="0" w:space="0" w:color="auto"/>
                <w:right w:val="none" w:sz="0" w:space="0" w:color="auto"/>
              </w:divBdr>
            </w:div>
          </w:divsChild>
        </w:div>
        <w:div w:id="598679332">
          <w:marLeft w:val="0"/>
          <w:marRight w:val="0"/>
          <w:marTop w:val="0"/>
          <w:marBottom w:val="0"/>
          <w:divBdr>
            <w:top w:val="none" w:sz="0" w:space="0" w:color="auto"/>
            <w:left w:val="none" w:sz="0" w:space="0" w:color="auto"/>
            <w:bottom w:val="none" w:sz="0" w:space="0" w:color="auto"/>
            <w:right w:val="none" w:sz="0" w:space="0" w:color="auto"/>
          </w:divBdr>
          <w:divsChild>
            <w:div w:id="462115927">
              <w:marLeft w:val="0"/>
              <w:marRight w:val="0"/>
              <w:marTop w:val="0"/>
              <w:marBottom w:val="0"/>
              <w:divBdr>
                <w:top w:val="none" w:sz="0" w:space="0" w:color="auto"/>
                <w:left w:val="none" w:sz="0" w:space="0" w:color="auto"/>
                <w:bottom w:val="none" w:sz="0" w:space="0" w:color="auto"/>
                <w:right w:val="none" w:sz="0" w:space="0" w:color="auto"/>
              </w:divBdr>
            </w:div>
            <w:div w:id="1559589470">
              <w:marLeft w:val="0"/>
              <w:marRight w:val="0"/>
              <w:marTop w:val="0"/>
              <w:marBottom w:val="0"/>
              <w:divBdr>
                <w:top w:val="none" w:sz="0" w:space="0" w:color="auto"/>
                <w:left w:val="none" w:sz="0" w:space="0" w:color="auto"/>
                <w:bottom w:val="none" w:sz="0" w:space="0" w:color="auto"/>
                <w:right w:val="none" w:sz="0" w:space="0" w:color="auto"/>
              </w:divBdr>
            </w:div>
          </w:divsChild>
        </w:div>
        <w:div w:id="604580385">
          <w:marLeft w:val="0"/>
          <w:marRight w:val="0"/>
          <w:marTop w:val="0"/>
          <w:marBottom w:val="0"/>
          <w:divBdr>
            <w:top w:val="none" w:sz="0" w:space="0" w:color="auto"/>
            <w:left w:val="none" w:sz="0" w:space="0" w:color="auto"/>
            <w:bottom w:val="none" w:sz="0" w:space="0" w:color="auto"/>
            <w:right w:val="none" w:sz="0" w:space="0" w:color="auto"/>
          </w:divBdr>
          <w:divsChild>
            <w:div w:id="133177717">
              <w:marLeft w:val="0"/>
              <w:marRight w:val="0"/>
              <w:marTop w:val="0"/>
              <w:marBottom w:val="0"/>
              <w:divBdr>
                <w:top w:val="none" w:sz="0" w:space="0" w:color="auto"/>
                <w:left w:val="none" w:sz="0" w:space="0" w:color="auto"/>
                <w:bottom w:val="none" w:sz="0" w:space="0" w:color="auto"/>
                <w:right w:val="none" w:sz="0" w:space="0" w:color="auto"/>
              </w:divBdr>
            </w:div>
            <w:div w:id="1655834645">
              <w:marLeft w:val="0"/>
              <w:marRight w:val="0"/>
              <w:marTop w:val="0"/>
              <w:marBottom w:val="0"/>
              <w:divBdr>
                <w:top w:val="none" w:sz="0" w:space="0" w:color="auto"/>
                <w:left w:val="none" w:sz="0" w:space="0" w:color="auto"/>
                <w:bottom w:val="none" w:sz="0" w:space="0" w:color="auto"/>
                <w:right w:val="none" w:sz="0" w:space="0" w:color="auto"/>
              </w:divBdr>
            </w:div>
          </w:divsChild>
        </w:div>
        <w:div w:id="611592036">
          <w:marLeft w:val="0"/>
          <w:marRight w:val="0"/>
          <w:marTop w:val="0"/>
          <w:marBottom w:val="0"/>
          <w:divBdr>
            <w:top w:val="none" w:sz="0" w:space="0" w:color="auto"/>
            <w:left w:val="none" w:sz="0" w:space="0" w:color="auto"/>
            <w:bottom w:val="none" w:sz="0" w:space="0" w:color="auto"/>
            <w:right w:val="none" w:sz="0" w:space="0" w:color="auto"/>
          </w:divBdr>
          <w:divsChild>
            <w:div w:id="2080592602">
              <w:marLeft w:val="0"/>
              <w:marRight w:val="0"/>
              <w:marTop w:val="0"/>
              <w:marBottom w:val="0"/>
              <w:divBdr>
                <w:top w:val="none" w:sz="0" w:space="0" w:color="auto"/>
                <w:left w:val="none" w:sz="0" w:space="0" w:color="auto"/>
                <w:bottom w:val="none" w:sz="0" w:space="0" w:color="auto"/>
                <w:right w:val="none" w:sz="0" w:space="0" w:color="auto"/>
              </w:divBdr>
            </w:div>
          </w:divsChild>
        </w:div>
        <w:div w:id="614866881">
          <w:marLeft w:val="0"/>
          <w:marRight w:val="0"/>
          <w:marTop w:val="0"/>
          <w:marBottom w:val="0"/>
          <w:divBdr>
            <w:top w:val="none" w:sz="0" w:space="0" w:color="auto"/>
            <w:left w:val="none" w:sz="0" w:space="0" w:color="auto"/>
            <w:bottom w:val="none" w:sz="0" w:space="0" w:color="auto"/>
            <w:right w:val="none" w:sz="0" w:space="0" w:color="auto"/>
          </w:divBdr>
          <w:divsChild>
            <w:div w:id="1935354243">
              <w:marLeft w:val="0"/>
              <w:marRight w:val="0"/>
              <w:marTop w:val="0"/>
              <w:marBottom w:val="0"/>
              <w:divBdr>
                <w:top w:val="none" w:sz="0" w:space="0" w:color="auto"/>
                <w:left w:val="none" w:sz="0" w:space="0" w:color="auto"/>
                <w:bottom w:val="none" w:sz="0" w:space="0" w:color="auto"/>
                <w:right w:val="none" w:sz="0" w:space="0" w:color="auto"/>
              </w:divBdr>
            </w:div>
          </w:divsChild>
        </w:div>
        <w:div w:id="619340556">
          <w:marLeft w:val="0"/>
          <w:marRight w:val="0"/>
          <w:marTop w:val="0"/>
          <w:marBottom w:val="0"/>
          <w:divBdr>
            <w:top w:val="none" w:sz="0" w:space="0" w:color="auto"/>
            <w:left w:val="none" w:sz="0" w:space="0" w:color="auto"/>
            <w:bottom w:val="none" w:sz="0" w:space="0" w:color="auto"/>
            <w:right w:val="none" w:sz="0" w:space="0" w:color="auto"/>
          </w:divBdr>
          <w:divsChild>
            <w:div w:id="1656185287">
              <w:marLeft w:val="0"/>
              <w:marRight w:val="0"/>
              <w:marTop w:val="0"/>
              <w:marBottom w:val="0"/>
              <w:divBdr>
                <w:top w:val="none" w:sz="0" w:space="0" w:color="auto"/>
                <w:left w:val="none" w:sz="0" w:space="0" w:color="auto"/>
                <w:bottom w:val="none" w:sz="0" w:space="0" w:color="auto"/>
                <w:right w:val="none" w:sz="0" w:space="0" w:color="auto"/>
              </w:divBdr>
            </w:div>
          </w:divsChild>
        </w:div>
        <w:div w:id="626935443">
          <w:marLeft w:val="0"/>
          <w:marRight w:val="0"/>
          <w:marTop w:val="0"/>
          <w:marBottom w:val="0"/>
          <w:divBdr>
            <w:top w:val="none" w:sz="0" w:space="0" w:color="auto"/>
            <w:left w:val="none" w:sz="0" w:space="0" w:color="auto"/>
            <w:bottom w:val="none" w:sz="0" w:space="0" w:color="auto"/>
            <w:right w:val="none" w:sz="0" w:space="0" w:color="auto"/>
          </w:divBdr>
          <w:divsChild>
            <w:div w:id="1657607150">
              <w:marLeft w:val="0"/>
              <w:marRight w:val="0"/>
              <w:marTop w:val="0"/>
              <w:marBottom w:val="0"/>
              <w:divBdr>
                <w:top w:val="none" w:sz="0" w:space="0" w:color="auto"/>
                <w:left w:val="none" w:sz="0" w:space="0" w:color="auto"/>
                <w:bottom w:val="none" w:sz="0" w:space="0" w:color="auto"/>
                <w:right w:val="none" w:sz="0" w:space="0" w:color="auto"/>
              </w:divBdr>
            </w:div>
          </w:divsChild>
        </w:div>
        <w:div w:id="634021248">
          <w:marLeft w:val="0"/>
          <w:marRight w:val="0"/>
          <w:marTop w:val="0"/>
          <w:marBottom w:val="0"/>
          <w:divBdr>
            <w:top w:val="none" w:sz="0" w:space="0" w:color="auto"/>
            <w:left w:val="none" w:sz="0" w:space="0" w:color="auto"/>
            <w:bottom w:val="none" w:sz="0" w:space="0" w:color="auto"/>
            <w:right w:val="none" w:sz="0" w:space="0" w:color="auto"/>
          </w:divBdr>
          <w:divsChild>
            <w:div w:id="4719587">
              <w:marLeft w:val="0"/>
              <w:marRight w:val="0"/>
              <w:marTop w:val="0"/>
              <w:marBottom w:val="0"/>
              <w:divBdr>
                <w:top w:val="none" w:sz="0" w:space="0" w:color="auto"/>
                <w:left w:val="none" w:sz="0" w:space="0" w:color="auto"/>
                <w:bottom w:val="none" w:sz="0" w:space="0" w:color="auto"/>
                <w:right w:val="none" w:sz="0" w:space="0" w:color="auto"/>
              </w:divBdr>
            </w:div>
          </w:divsChild>
        </w:div>
        <w:div w:id="637148213">
          <w:marLeft w:val="0"/>
          <w:marRight w:val="0"/>
          <w:marTop w:val="0"/>
          <w:marBottom w:val="0"/>
          <w:divBdr>
            <w:top w:val="none" w:sz="0" w:space="0" w:color="auto"/>
            <w:left w:val="none" w:sz="0" w:space="0" w:color="auto"/>
            <w:bottom w:val="none" w:sz="0" w:space="0" w:color="auto"/>
            <w:right w:val="none" w:sz="0" w:space="0" w:color="auto"/>
          </w:divBdr>
          <w:divsChild>
            <w:div w:id="1385905768">
              <w:marLeft w:val="0"/>
              <w:marRight w:val="0"/>
              <w:marTop w:val="0"/>
              <w:marBottom w:val="0"/>
              <w:divBdr>
                <w:top w:val="none" w:sz="0" w:space="0" w:color="auto"/>
                <w:left w:val="none" w:sz="0" w:space="0" w:color="auto"/>
                <w:bottom w:val="none" w:sz="0" w:space="0" w:color="auto"/>
                <w:right w:val="none" w:sz="0" w:space="0" w:color="auto"/>
              </w:divBdr>
            </w:div>
          </w:divsChild>
        </w:div>
        <w:div w:id="640815785">
          <w:marLeft w:val="0"/>
          <w:marRight w:val="0"/>
          <w:marTop w:val="0"/>
          <w:marBottom w:val="0"/>
          <w:divBdr>
            <w:top w:val="none" w:sz="0" w:space="0" w:color="auto"/>
            <w:left w:val="none" w:sz="0" w:space="0" w:color="auto"/>
            <w:bottom w:val="none" w:sz="0" w:space="0" w:color="auto"/>
            <w:right w:val="none" w:sz="0" w:space="0" w:color="auto"/>
          </w:divBdr>
          <w:divsChild>
            <w:div w:id="25109534">
              <w:marLeft w:val="0"/>
              <w:marRight w:val="0"/>
              <w:marTop w:val="0"/>
              <w:marBottom w:val="0"/>
              <w:divBdr>
                <w:top w:val="none" w:sz="0" w:space="0" w:color="auto"/>
                <w:left w:val="none" w:sz="0" w:space="0" w:color="auto"/>
                <w:bottom w:val="none" w:sz="0" w:space="0" w:color="auto"/>
                <w:right w:val="none" w:sz="0" w:space="0" w:color="auto"/>
              </w:divBdr>
            </w:div>
            <w:div w:id="374306879">
              <w:marLeft w:val="0"/>
              <w:marRight w:val="0"/>
              <w:marTop w:val="0"/>
              <w:marBottom w:val="0"/>
              <w:divBdr>
                <w:top w:val="none" w:sz="0" w:space="0" w:color="auto"/>
                <w:left w:val="none" w:sz="0" w:space="0" w:color="auto"/>
                <w:bottom w:val="none" w:sz="0" w:space="0" w:color="auto"/>
                <w:right w:val="none" w:sz="0" w:space="0" w:color="auto"/>
              </w:divBdr>
            </w:div>
            <w:div w:id="421222371">
              <w:marLeft w:val="0"/>
              <w:marRight w:val="0"/>
              <w:marTop w:val="0"/>
              <w:marBottom w:val="0"/>
              <w:divBdr>
                <w:top w:val="none" w:sz="0" w:space="0" w:color="auto"/>
                <w:left w:val="none" w:sz="0" w:space="0" w:color="auto"/>
                <w:bottom w:val="none" w:sz="0" w:space="0" w:color="auto"/>
                <w:right w:val="none" w:sz="0" w:space="0" w:color="auto"/>
              </w:divBdr>
            </w:div>
            <w:div w:id="550776292">
              <w:marLeft w:val="0"/>
              <w:marRight w:val="0"/>
              <w:marTop w:val="0"/>
              <w:marBottom w:val="0"/>
              <w:divBdr>
                <w:top w:val="none" w:sz="0" w:space="0" w:color="auto"/>
                <w:left w:val="none" w:sz="0" w:space="0" w:color="auto"/>
                <w:bottom w:val="none" w:sz="0" w:space="0" w:color="auto"/>
                <w:right w:val="none" w:sz="0" w:space="0" w:color="auto"/>
              </w:divBdr>
            </w:div>
            <w:div w:id="799569420">
              <w:marLeft w:val="0"/>
              <w:marRight w:val="0"/>
              <w:marTop w:val="0"/>
              <w:marBottom w:val="0"/>
              <w:divBdr>
                <w:top w:val="none" w:sz="0" w:space="0" w:color="auto"/>
                <w:left w:val="none" w:sz="0" w:space="0" w:color="auto"/>
                <w:bottom w:val="none" w:sz="0" w:space="0" w:color="auto"/>
                <w:right w:val="none" w:sz="0" w:space="0" w:color="auto"/>
              </w:divBdr>
            </w:div>
            <w:div w:id="966155561">
              <w:marLeft w:val="0"/>
              <w:marRight w:val="0"/>
              <w:marTop w:val="0"/>
              <w:marBottom w:val="0"/>
              <w:divBdr>
                <w:top w:val="none" w:sz="0" w:space="0" w:color="auto"/>
                <w:left w:val="none" w:sz="0" w:space="0" w:color="auto"/>
                <w:bottom w:val="none" w:sz="0" w:space="0" w:color="auto"/>
                <w:right w:val="none" w:sz="0" w:space="0" w:color="auto"/>
              </w:divBdr>
            </w:div>
            <w:div w:id="1165440539">
              <w:marLeft w:val="0"/>
              <w:marRight w:val="0"/>
              <w:marTop w:val="0"/>
              <w:marBottom w:val="0"/>
              <w:divBdr>
                <w:top w:val="none" w:sz="0" w:space="0" w:color="auto"/>
                <w:left w:val="none" w:sz="0" w:space="0" w:color="auto"/>
                <w:bottom w:val="none" w:sz="0" w:space="0" w:color="auto"/>
                <w:right w:val="none" w:sz="0" w:space="0" w:color="auto"/>
              </w:divBdr>
            </w:div>
            <w:div w:id="1298610684">
              <w:marLeft w:val="0"/>
              <w:marRight w:val="0"/>
              <w:marTop w:val="0"/>
              <w:marBottom w:val="0"/>
              <w:divBdr>
                <w:top w:val="none" w:sz="0" w:space="0" w:color="auto"/>
                <w:left w:val="none" w:sz="0" w:space="0" w:color="auto"/>
                <w:bottom w:val="none" w:sz="0" w:space="0" w:color="auto"/>
                <w:right w:val="none" w:sz="0" w:space="0" w:color="auto"/>
              </w:divBdr>
            </w:div>
            <w:div w:id="1422140970">
              <w:marLeft w:val="0"/>
              <w:marRight w:val="0"/>
              <w:marTop w:val="0"/>
              <w:marBottom w:val="0"/>
              <w:divBdr>
                <w:top w:val="none" w:sz="0" w:space="0" w:color="auto"/>
                <w:left w:val="none" w:sz="0" w:space="0" w:color="auto"/>
                <w:bottom w:val="none" w:sz="0" w:space="0" w:color="auto"/>
                <w:right w:val="none" w:sz="0" w:space="0" w:color="auto"/>
              </w:divBdr>
            </w:div>
            <w:div w:id="1524901606">
              <w:marLeft w:val="0"/>
              <w:marRight w:val="0"/>
              <w:marTop w:val="0"/>
              <w:marBottom w:val="0"/>
              <w:divBdr>
                <w:top w:val="none" w:sz="0" w:space="0" w:color="auto"/>
                <w:left w:val="none" w:sz="0" w:space="0" w:color="auto"/>
                <w:bottom w:val="none" w:sz="0" w:space="0" w:color="auto"/>
                <w:right w:val="none" w:sz="0" w:space="0" w:color="auto"/>
              </w:divBdr>
            </w:div>
          </w:divsChild>
        </w:div>
        <w:div w:id="646085435">
          <w:marLeft w:val="0"/>
          <w:marRight w:val="0"/>
          <w:marTop w:val="0"/>
          <w:marBottom w:val="0"/>
          <w:divBdr>
            <w:top w:val="none" w:sz="0" w:space="0" w:color="auto"/>
            <w:left w:val="none" w:sz="0" w:space="0" w:color="auto"/>
            <w:bottom w:val="none" w:sz="0" w:space="0" w:color="auto"/>
            <w:right w:val="none" w:sz="0" w:space="0" w:color="auto"/>
          </w:divBdr>
          <w:divsChild>
            <w:div w:id="73164647">
              <w:marLeft w:val="0"/>
              <w:marRight w:val="0"/>
              <w:marTop w:val="0"/>
              <w:marBottom w:val="0"/>
              <w:divBdr>
                <w:top w:val="none" w:sz="0" w:space="0" w:color="auto"/>
                <w:left w:val="none" w:sz="0" w:space="0" w:color="auto"/>
                <w:bottom w:val="none" w:sz="0" w:space="0" w:color="auto"/>
                <w:right w:val="none" w:sz="0" w:space="0" w:color="auto"/>
              </w:divBdr>
            </w:div>
            <w:div w:id="80303417">
              <w:marLeft w:val="0"/>
              <w:marRight w:val="0"/>
              <w:marTop w:val="0"/>
              <w:marBottom w:val="0"/>
              <w:divBdr>
                <w:top w:val="none" w:sz="0" w:space="0" w:color="auto"/>
                <w:left w:val="none" w:sz="0" w:space="0" w:color="auto"/>
                <w:bottom w:val="none" w:sz="0" w:space="0" w:color="auto"/>
                <w:right w:val="none" w:sz="0" w:space="0" w:color="auto"/>
              </w:divBdr>
            </w:div>
            <w:div w:id="296499345">
              <w:marLeft w:val="0"/>
              <w:marRight w:val="0"/>
              <w:marTop w:val="0"/>
              <w:marBottom w:val="0"/>
              <w:divBdr>
                <w:top w:val="none" w:sz="0" w:space="0" w:color="auto"/>
                <w:left w:val="none" w:sz="0" w:space="0" w:color="auto"/>
                <w:bottom w:val="none" w:sz="0" w:space="0" w:color="auto"/>
                <w:right w:val="none" w:sz="0" w:space="0" w:color="auto"/>
              </w:divBdr>
            </w:div>
            <w:div w:id="793450912">
              <w:marLeft w:val="0"/>
              <w:marRight w:val="0"/>
              <w:marTop w:val="0"/>
              <w:marBottom w:val="0"/>
              <w:divBdr>
                <w:top w:val="none" w:sz="0" w:space="0" w:color="auto"/>
                <w:left w:val="none" w:sz="0" w:space="0" w:color="auto"/>
                <w:bottom w:val="none" w:sz="0" w:space="0" w:color="auto"/>
                <w:right w:val="none" w:sz="0" w:space="0" w:color="auto"/>
              </w:divBdr>
            </w:div>
            <w:div w:id="845172350">
              <w:marLeft w:val="0"/>
              <w:marRight w:val="0"/>
              <w:marTop w:val="0"/>
              <w:marBottom w:val="0"/>
              <w:divBdr>
                <w:top w:val="none" w:sz="0" w:space="0" w:color="auto"/>
                <w:left w:val="none" w:sz="0" w:space="0" w:color="auto"/>
                <w:bottom w:val="none" w:sz="0" w:space="0" w:color="auto"/>
                <w:right w:val="none" w:sz="0" w:space="0" w:color="auto"/>
              </w:divBdr>
            </w:div>
            <w:div w:id="1354653749">
              <w:marLeft w:val="0"/>
              <w:marRight w:val="0"/>
              <w:marTop w:val="0"/>
              <w:marBottom w:val="0"/>
              <w:divBdr>
                <w:top w:val="none" w:sz="0" w:space="0" w:color="auto"/>
                <w:left w:val="none" w:sz="0" w:space="0" w:color="auto"/>
                <w:bottom w:val="none" w:sz="0" w:space="0" w:color="auto"/>
                <w:right w:val="none" w:sz="0" w:space="0" w:color="auto"/>
              </w:divBdr>
            </w:div>
            <w:div w:id="1728647735">
              <w:marLeft w:val="0"/>
              <w:marRight w:val="0"/>
              <w:marTop w:val="0"/>
              <w:marBottom w:val="0"/>
              <w:divBdr>
                <w:top w:val="none" w:sz="0" w:space="0" w:color="auto"/>
                <w:left w:val="none" w:sz="0" w:space="0" w:color="auto"/>
                <w:bottom w:val="none" w:sz="0" w:space="0" w:color="auto"/>
                <w:right w:val="none" w:sz="0" w:space="0" w:color="auto"/>
              </w:divBdr>
            </w:div>
            <w:div w:id="1843549163">
              <w:marLeft w:val="0"/>
              <w:marRight w:val="0"/>
              <w:marTop w:val="0"/>
              <w:marBottom w:val="0"/>
              <w:divBdr>
                <w:top w:val="none" w:sz="0" w:space="0" w:color="auto"/>
                <w:left w:val="none" w:sz="0" w:space="0" w:color="auto"/>
                <w:bottom w:val="none" w:sz="0" w:space="0" w:color="auto"/>
                <w:right w:val="none" w:sz="0" w:space="0" w:color="auto"/>
              </w:divBdr>
            </w:div>
            <w:div w:id="1887134520">
              <w:marLeft w:val="0"/>
              <w:marRight w:val="0"/>
              <w:marTop w:val="0"/>
              <w:marBottom w:val="0"/>
              <w:divBdr>
                <w:top w:val="none" w:sz="0" w:space="0" w:color="auto"/>
                <w:left w:val="none" w:sz="0" w:space="0" w:color="auto"/>
                <w:bottom w:val="none" w:sz="0" w:space="0" w:color="auto"/>
                <w:right w:val="none" w:sz="0" w:space="0" w:color="auto"/>
              </w:divBdr>
            </w:div>
            <w:div w:id="1989162447">
              <w:marLeft w:val="0"/>
              <w:marRight w:val="0"/>
              <w:marTop w:val="0"/>
              <w:marBottom w:val="0"/>
              <w:divBdr>
                <w:top w:val="none" w:sz="0" w:space="0" w:color="auto"/>
                <w:left w:val="none" w:sz="0" w:space="0" w:color="auto"/>
                <w:bottom w:val="none" w:sz="0" w:space="0" w:color="auto"/>
                <w:right w:val="none" w:sz="0" w:space="0" w:color="auto"/>
              </w:divBdr>
            </w:div>
            <w:div w:id="2070030428">
              <w:marLeft w:val="0"/>
              <w:marRight w:val="0"/>
              <w:marTop w:val="0"/>
              <w:marBottom w:val="0"/>
              <w:divBdr>
                <w:top w:val="none" w:sz="0" w:space="0" w:color="auto"/>
                <w:left w:val="none" w:sz="0" w:space="0" w:color="auto"/>
                <w:bottom w:val="none" w:sz="0" w:space="0" w:color="auto"/>
                <w:right w:val="none" w:sz="0" w:space="0" w:color="auto"/>
              </w:divBdr>
            </w:div>
          </w:divsChild>
        </w:div>
        <w:div w:id="648554542">
          <w:marLeft w:val="0"/>
          <w:marRight w:val="0"/>
          <w:marTop w:val="0"/>
          <w:marBottom w:val="0"/>
          <w:divBdr>
            <w:top w:val="none" w:sz="0" w:space="0" w:color="auto"/>
            <w:left w:val="none" w:sz="0" w:space="0" w:color="auto"/>
            <w:bottom w:val="none" w:sz="0" w:space="0" w:color="auto"/>
            <w:right w:val="none" w:sz="0" w:space="0" w:color="auto"/>
          </w:divBdr>
          <w:divsChild>
            <w:div w:id="782113298">
              <w:marLeft w:val="0"/>
              <w:marRight w:val="0"/>
              <w:marTop w:val="0"/>
              <w:marBottom w:val="0"/>
              <w:divBdr>
                <w:top w:val="none" w:sz="0" w:space="0" w:color="auto"/>
                <w:left w:val="none" w:sz="0" w:space="0" w:color="auto"/>
                <w:bottom w:val="none" w:sz="0" w:space="0" w:color="auto"/>
                <w:right w:val="none" w:sz="0" w:space="0" w:color="auto"/>
              </w:divBdr>
            </w:div>
          </w:divsChild>
        </w:div>
        <w:div w:id="653678908">
          <w:marLeft w:val="0"/>
          <w:marRight w:val="0"/>
          <w:marTop w:val="0"/>
          <w:marBottom w:val="0"/>
          <w:divBdr>
            <w:top w:val="none" w:sz="0" w:space="0" w:color="auto"/>
            <w:left w:val="none" w:sz="0" w:space="0" w:color="auto"/>
            <w:bottom w:val="none" w:sz="0" w:space="0" w:color="auto"/>
            <w:right w:val="none" w:sz="0" w:space="0" w:color="auto"/>
          </w:divBdr>
          <w:divsChild>
            <w:div w:id="809790753">
              <w:marLeft w:val="0"/>
              <w:marRight w:val="0"/>
              <w:marTop w:val="0"/>
              <w:marBottom w:val="0"/>
              <w:divBdr>
                <w:top w:val="none" w:sz="0" w:space="0" w:color="auto"/>
                <w:left w:val="none" w:sz="0" w:space="0" w:color="auto"/>
                <w:bottom w:val="none" w:sz="0" w:space="0" w:color="auto"/>
                <w:right w:val="none" w:sz="0" w:space="0" w:color="auto"/>
              </w:divBdr>
            </w:div>
          </w:divsChild>
        </w:div>
        <w:div w:id="660734646">
          <w:marLeft w:val="0"/>
          <w:marRight w:val="0"/>
          <w:marTop w:val="0"/>
          <w:marBottom w:val="0"/>
          <w:divBdr>
            <w:top w:val="none" w:sz="0" w:space="0" w:color="auto"/>
            <w:left w:val="none" w:sz="0" w:space="0" w:color="auto"/>
            <w:bottom w:val="none" w:sz="0" w:space="0" w:color="auto"/>
            <w:right w:val="none" w:sz="0" w:space="0" w:color="auto"/>
          </w:divBdr>
          <w:divsChild>
            <w:div w:id="185097133">
              <w:marLeft w:val="0"/>
              <w:marRight w:val="0"/>
              <w:marTop w:val="0"/>
              <w:marBottom w:val="0"/>
              <w:divBdr>
                <w:top w:val="none" w:sz="0" w:space="0" w:color="auto"/>
                <w:left w:val="none" w:sz="0" w:space="0" w:color="auto"/>
                <w:bottom w:val="none" w:sz="0" w:space="0" w:color="auto"/>
                <w:right w:val="none" w:sz="0" w:space="0" w:color="auto"/>
              </w:divBdr>
            </w:div>
            <w:div w:id="680359148">
              <w:marLeft w:val="0"/>
              <w:marRight w:val="0"/>
              <w:marTop w:val="0"/>
              <w:marBottom w:val="0"/>
              <w:divBdr>
                <w:top w:val="none" w:sz="0" w:space="0" w:color="auto"/>
                <w:left w:val="none" w:sz="0" w:space="0" w:color="auto"/>
                <w:bottom w:val="none" w:sz="0" w:space="0" w:color="auto"/>
                <w:right w:val="none" w:sz="0" w:space="0" w:color="auto"/>
              </w:divBdr>
            </w:div>
            <w:div w:id="1897889260">
              <w:marLeft w:val="0"/>
              <w:marRight w:val="0"/>
              <w:marTop w:val="0"/>
              <w:marBottom w:val="0"/>
              <w:divBdr>
                <w:top w:val="none" w:sz="0" w:space="0" w:color="auto"/>
                <w:left w:val="none" w:sz="0" w:space="0" w:color="auto"/>
                <w:bottom w:val="none" w:sz="0" w:space="0" w:color="auto"/>
                <w:right w:val="none" w:sz="0" w:space="0" w:color="auto"/>
              </w:divBdr>
            </w:div>
            <w:div w:id="2012641052">
              <w:marLeft w:val="0"/>
              <w:marRight w:val="0"/>
              <w:marTop w:val="0"/>
              <w:marBottom w:val="0"/>
              <w:divBdr>
                <w:top w:val="none" w:sz="0" w:space="0" w:color="auto"/>
                <w:left w:val="none" w:sz="0" w:space="0" w:color="auto"/>
                <w:bottom w:val="none" w:sz="0" w:space="0" w:color="auto"/>
                <w:right w:val="none" w:sz="0" w:space="0" w:color="auto"/>
              </w:divBdr>
            </w:div>
            <w:div w:id="2119106907">
              <w:marLeft w:val="0"/>
              <w:marRight w:val="0"/>
              <w:marTop w:val="0"/>
              <w:marBottom w:val="0"/>
              <w:divBdr>
                <w:top w:val="none" w:sz="0" w:space="0" w:color="auto"/>
                <w:left w:val="none" w:sz="0" w:space="0" w:color="auto"/>
                <w:bottom w:val="none" w:sz="0" w:space="0" w:color="auto"/>
                <w:right w:val="none" w:sz="0" w:space="0" w:color="auto"/>
              </w:divBdr>
            </w:div>
          </w:divsChild>
        </w:div>
        <w:div w:id="660742044">
          <w:marLeft w:val="0"/>
          <w:marRight w:val="0"/>
          <w:marTop w:val="0"/>
          <w:marBottom w:val="0"/>
          <w:divBdr>
            <w:top w:val="none" w:sz="0" w:space="0" w:color="auto"/>
            <w:left w:val="none" w:sz="0" w:space="0" w:color="auto"/>
            <w:bottom w:val="none" w:sz="0" w:space="0" w:color="auto"/>
            <w:right w:val="none" w:sz="0" w:space="0" w:color="auto"/>
          </w:divBdr>
          <w:divsChild>
            <w:div w:id="512771268">
              <w:marLeft w:val="0"/>
              <w:marRight w:val="0"/>
              <w:marTop w:val="0"/>
              <w:marBottom w:val="0"/>
              <w:divBdr>
                <w:top w:val="none" w:sz="0" w:space="0" w:color="auto"/>
                <w:left w:val="none" w:sz="0" w:space="0" w:color="auto"/>
                <w:bottom w:val="none" w:sz="0" w:space="0" w:color="auto"/>
                <w:right w:val="none" w:sz="0" w:space="0" w:color="auto"/>
              </w:divBdr>
            </w:div>
          </w:divsChild>
        </w:div>
        <w:div w:id="666058861">
          <w:marLeft w:val="0"/>
          <w:marRight w:val="0"/>
          <w:marTop w:val="0"/>
          <w:marBottom w:val="0"/>
          <w:divBdr>
            <w:top w:val="none" w:sz="0" w:space="0" w:color="auto"/>
            <w:left w:val="none" w:sz="0" w:space="0" w:color="auto"/>
            <w:bottom w:val="none" w:sz="0" w:space="0" w:color="auto"/>
            <w:right w:val="none" w:sz="0" w:space="0" w:color="auto"/>
          </w:divBdr>
          <w:divsChild>
            <w:div w:id="210773042">
              <w:marLeft w:val="0"/>
              <w:marRight w:val="0"/>
              <w:marTop w:val="0"/>
              <w:marBottom w:val="0"/>
              <w:divBdr>
                <w:top w:val="none" w:sz="0" w:space="0" w:color="auto"/>
                <w:left w:val="none" w:sz="0" w:space="0" w:color="auto"/>
                <w:bottom w:val="none" w:sz="0" w:space="0" w:color="auto"/>
                <w:right w:val="none" w:sz="0" w:space="0" w:color="auto"/>
              </w:divBdr>
            </w:div>
            <w:div w:id="487326007">
              <w:marLeft w:val="0"/>
              <w:marRight w:val="0"/>
              <w:marTop w:val="0"/>
              <w:marBottom w:val="0"/>
              <w:divBdr>
                <w:top w:val="none" w:sz="0" w:space="0" w:color="auto"/>
                <w:left w:val="none" w:sz="0" w:space="0" w:color="auto"/>
                <w:bottom w:val="none" w:sz="0" w:space="0" w:color="auto"/>
                <w:right w:val="none" w:sz="0" w:space="0" w:color="auto"/>
              </w:divBdr>
            </w:div>
            <w:div w:id="837814283">
              <w:marLeft w:val="0"/>
              <w:marRight w:val="0"/>
              <w:marTop w:val="0"/>
              <w:marBottom w:val="0"/>
              <w:divBdr>
                <w:top w:val="none" w:sz="0" w:space="0" w:color="auto"/>
                <w:left w:val="none" w:sz="0" w:space="0" w:color="auto"/>
                <w:bottom w:val="none" w:sz="0" w:space="0" w:color="auto"/>
                <w:right w:val="none" w:sz="0" w:space="0" w:color="auto"/>
              </w:divBdr>
            </w:div>
          </w:divsChild>
        </w:div>
        <w:div w:id="678586219">
          <w:marLeft w:val="0"/>
          <w:marRight w:val="0"/>
          <w:marTop w:val="0"/>
          <w:marBottom w:val="0"/>
          <w:divBdr>
            <w:top w:val="none" w:sz="0" w:space="0" w:color="auto"/>
            <w:left w:val="none" w:sz="0" w:space="0" w:color="auto"/>
            <w:bottom w:val="none" w:sz="0" w:space="0" w:color="auto"/>
            <w:right w:val="none" w:sz="0" w:space="0" w:color="auto"/>
          </w:divBdr>
          <w:divsChild>
            <w:div w:id="2017999003">
              <w:marLeft w:val="0"/>
              <w:marRight w:val="0"/>
              <w:marTop w:val="0"/>
              <w:marBottom w:val="0"/>
              <w:divBdr>
                <w:top w:val="none" w:sz="0" w:space="0" w:color="auto"/>
                <w:left w:val="none" w:sz="0" w:space="0" w:color="auto"/>
                <w:bottom w:val="none" w:sz="0" w:space="0" w:color="auto"/>
                <w:right w:val="none" w:sz="0" w:space="0" w:color="auto"/>
              </w:divBdr>
            </w:div>
          </w:divsChild>
        </w:div>
        <w:div w:id="678628903">
          <w:marLeft w:val="0"/>
          <w:marRight w:val="0"/>
          <w:marTop w:val="0"/>
          <w:marBottom w:val="0"/>
          <w:divBdr>
            <w:top w:val="none" w:sz="0" w:space="0" w:color="auto"/>
            <w:left w:val="none" w:sz="0" w:space="0" w:color="auto"/>
            <w:bottom w:val="none" w:sz="0" w:space="0" w:color="auto"/>
            <w:right w:val="none" w:sz="0" w:space="0" w:color="auto"/>
          </w:divBdr>
          <w:divsChild>
            <w:div w:id="1781022559">
              <w:marLeft w:val="0"/>
              <w:marRight w:val="0"/>
              <w:marTop w:val="0"/>
              <w:marBottom w:val="0"/>
              <w:divBdr>
                <w:top w:val="none" w:sz="0" w:space="0" w:color="auto"/>
                <w:left w:val="none" w:sz="0" w:space="0" w:color="auto"/>
                <w:bottom w:val="none" w:sz="0" w:space="0" w:color="auto"/>
                <w:right w:val="none" w:sz="0" w:space="0" w:color="auto"/>
              </w:divBdr>
            </w:div>
          </w:divsChild>
        </w:div>
        <w:div w:id="678891031">
          <w:marLeft w:val="0"/>
          <w:marRight w:val="0"/>
          <w:marTop w:val="0"/>
          <w:marBottom w:val="0"/>
          <w:divBdr>
            <w:top w:val="none" w:sz="0" w:space="0" w:color="auto"/>
            <w:left w:val="none" w:sz="0" w:space="0" w:color="auto"/>
            <w:bottom w:val="none" w:sz="0" w:space="0" w:color="auto"/>
            <w:right w:val="none" w:sz="0" w:space="0" w:color="auto"/>
          </w:divBdr>
          <w:divsChild>
            <w:div w:id="1401056211">
              <w:marLeft w:val="0"/>
              <w:marRight w:val="0"/>
              <w:marTop w:val="0"/>
              <w:marBottom w:val="0"/>
              <w:divBdr>
                <w:top w:val="none" w:sz="0" w:space="0" w:color="auto"/>
                <w:left w:val="none" w:sz="0" w:space="0" w:color="auto"/>
                <w:bottom w:val="none" w:sz="0" w:space="0" w:color="auto"/>
                <w:right w:val="none" w:sz="0" w:space="0" w:color="auto"/>
              </w:divBdr>
            </w:div>
          </w:divsChild>
        </w:div>
        <w:div w:id="680357317">
          <w:marLeft w:val="0"/>
          <w:marRight w:val="0"/>
          <w:marTop w:val="0"/>
          <w:marBottom w:val="0"/>
          <w:divBdr>
            <w:top w:val="none" w:sz="0" w:space="0" w:color="auto"/>
            <w:left w:val="none" w:sz="0" w:space="0" w:color="auto"/>
            <w:bottom w:val="none" w:sz="0" w:space="0" w:color="auto"/>
            <w:right w:val="none" w:sz="0" w:space="0" w:color="auto"/>
          </w:divBdr>
          <w:divsChild>
            <w:div w:id="1039862212">
              <w:marLeft w:val="0"/>
              <w:marRight w:val="0"/>
              <w:marTop w:val="0"/>
              <w:marBottom w:val="0"/>
              <w:divBdr>
                <w:top w:val="none" w:sz="0" w:space="0" w:color="auto"/>
                <w:left w:val="none" w:sz="0" w:space="0" w:color="auto"/>
                <w:bottom w:val="none" w:sz="0" w:space="0" w:color="auto"/>
                <w:right w:val="none" w:sz="0" w:space="0" w:color="auto"/>
              </w:divBdr>
            </w:div>
          </w:divsChild>
        </w:div>
        <w:div w:id="683363339">
          <w:marLeft w:val="0"/>
          <w:marRight w:val="0"/>
          <w:marTop w:val="0"/>
          <w:marBottom w:val="0"/>
          <w:divBdr>
            <w:top w:val="none" w:sz="0" w:space="0" w:color="auto"/>
            <w:left w:val="none" w:sz="0" w:space="0" w:color="auto"/>
            <w:bottom w:val="none" w:sz="0" w:space="0" w:color="auto"/>
            <w:right w:val="none" w:sz="0" w:space="0" w:color="auto"/>
          </w:divBdr>
          <w:divsChild>
            <w:div w:id="1362239905">
              <w:marLeft w:val="0"/>
              <w:marRight w:val="0"/>
              <w:marTop w:val="0"/>
              <w:marBottom w:val="0"/>
              <w:divBdr>
                <w:top w:val="none" w:sz="0" w:space="0" w:color="auto"/>
                <w:left w:val="none" w:sz="0" w:space="0" w:color="auto"/>
                <w:bottom w:val="none" w:sz="0" w:space="0" w:color="auto"/>
                <w:right w:val="none" w:sz="0" w:space="0" w:color="auto"/>
              </w:divBdr>
            </w:div>
          </w:divsChild>
        </w:div>
        <w:div w:id="685909290">
          <w:marLeft w:val="0"/>
          <w:marRight w:val="0"/>
          <w:marTop w:val="0"/>
          <w:marBottom w:val="0"/>
          <w:divBdr>
            <w:top w:val="none" w:sz="0" w:space="0" w:color="auto"/>
            <w:left w:val="none" w:sz="0" w:space="0" w:color="auto"/>
            <w:bottom w:val="none" w:sz="0" w:space="0" w:color="auto"/>
            <w:right w:val="none" w:sz="0" w:space="0" w:color="auto"/>
          </w:divBdr>
          <w:divsChild>
            <w:div w:id="176774795">
              <w:marLeft w:val="0"/>
              <w:marRight w:val="0"/>
              <w:marTop w:val="0"/>
              <w:marBottom w:val="0"/>
              <w:divBdr>
                <w:top w:val="none" w:sz="0" w:space="0" w:color="auto"/>
                <w:left w:val="none" w:sz="0" w:space="0" w:color="auto"/>
                <w:bottom w:val="none" w:sz="0" w:space="0" w:color="auto"/>
                <w:right w:val="none" w:sz="0" w:space="0" w:color="auto"/>
              </w:divBdr>
            </w:div>
          </w:divsChild>
        </w:div>
        <w:div w:id="687222686">
          <w:marLeft w:val="0"/>
          <w:marRight w:val="0"/>
          <w:marTop w:val="0"/>
          <w:marBottom w:val="0"/>
          <w:divBdr>
            <w:top w:val="none" w:sz="0" w:space="0" w:color="auto"/>
            <w:left w:val="none" w:sz="0" w:space="0" w:color="auto"/>
            <w:bottom w:val="none" w:sz="0" w:space="0" w:color="auto"/>
            <w:right w:val="none" w:sz="0" w:space="0" w:color="auto"/>
          </w:divBdr>
          <w:divsChild>
            <w:div w:id="1515530724">
              <w:marLeft w:val="0"/>
              <w:marRight w:val="0"/>
              <w:marTop w:val="0"/>
              <w:marBottom w:val="0"/>
              <w:divBdr>
                <w:top w:val="none" w:sz="0" w:space="0" w:color="auto"/>
                <w:left w:val="none" w:sz="0" w:space="0" w:color="auto"/>
                <w:bottom w:val="none" w:sz="0" w:space="0" w:color="auto"/>
                <w:right w:val="none" w:sz="0" w:space="0" w:color="auto"/>
              </w:divBdr>
            </w:div>
          </w:divsChild>
        </w:div>
        <w:div w:id="702244000">
          <w:marLeft w:val="0"/>
          <w:marRight w:val="0"/>
          <w:marTop w:val="0"/>
          <w:marBottom w:val="0"/>
          <w:divBdr>
            <w:top w:val="none" w:sz="0" w:space="0" w:color="auto"/>
            <w:left w:val="none" w:sz="0" w:space="0" w:color="auto"/>
            <w:bottom w:val="none" w:sz="0" w:space="0" w:color="auto"/>
            <w:right w:val="none" w:sz="0" w:space="0" w:color="auto"/>
          </w:divBdr>
          <w:divsChild>
            <w:div w:id="202253185">
              <w:marLeft w:val="0"/>
              <w:marRight w:val="0"/>
              <w:marTop w:val="0"/>
              <w:marBottom w:val="0"/>
              <w:divBdr>
                <w:top w:val="none" w:sz="0" w:space="0" w:color="auto"/>
                <w:left w:val="none" w:sz="0" w:space="0" w:color="auto"/>
                <w:bottom w:val="none" w:sz="0" w:space="0" w:color="auto"/>
                <w:right w:val="none" w:sz="0" w:space="0" w:color="auto"/>
              </w:divBdr>
            </w:div>
          </w:divsChild>
        </w:div>
        <w:div w:id="716318864">
          <w:marLeft w:val="0"/>
          <w:marRight w:val="0"/>
          <w:marTop w:val="0"/>
          <w:marBottom w:val="0"/>
          <w:divBdr>
            <w:top w:val="none" w:sz="0" w:space="0" w:color="auto"/>
            <w:left w:val="none" w:sz="0" w:space="0" w:color="auto"/>
            <w:bottom w:val="none" w:sz="0" w:space="0" w:color="auto"/>
            <w:right w:val="none" w:sz="0" w:space="0" w:color="auto"/>
          </w:divBdr>
          <w:divsChild>
            <w:div w:id="1524054585">
              <w:marLeft w:val="0"/>
              <w:marRight w:val="0"/>
              <w:marTop w:val="0"/>
              <w:marBottom w:val="0"/>
              <w:divBdr>
                <w:top w:val="none" w:sz="0" w:space="0" w:color="auto"/>
                <w:left w:val="none" w:sz="0" w:space="0" w:color="auto"/>
                <w:bottom w:val="none" w:sz="0" w:space="0" w:color="auto"/>
                <w:right w:val="none" w:sz="0" w:space="0" w:color="auto"/>
              </w:divBdr>
            </w:div>
          </w:divsChild>
        </w:div>
        <w:div w:id="716510060">
          <w:marLeft w:val="0"/>
          <w:marRight w:val="0"/>
          <w:marTop w:val="0"/>
          <w:marBottom w:val="0"/>
          <w:divBdr>
            <w:top w:val="none" w:sz="0" w:space="0" w:color="auto"/>
            <w:left w:val="none" w:sz="0" w:space="0" w:color="auto"/>
            <w:bottom w:val="none" w:sz="0" w:space="0" w:color="auto"/>
            <w:right w:val="none" w:sz="0" w:space="0" w:color="auto"/>
          </w:divBdr>
          <w:divsChild>
            <w:div w:id="303856093">
              <w:marLeft w:val="0"/>
              <w:marRight w:val="0"/>
              <w:marTop w:val="0"/>
              <w:marBottom w:val="0"/>
              <w:divBdr>
                <w:top w:val="none" w:sz="0" w:space="0" w:color="auto"/>
                <w:left w:val="none" w:sz="0" w:space="0" w:color="auto"/>
                <w:bottom w:val="none" w:sz="0" w:space="0" w:color="auto"/>
                <w:right w:val="none" w:sz="0" w:space="0" w:color="auto"/>
              </w:divBdr>
            </w:div>
            <w:div w:id="924612324">
              <w:marLeft w:val="0"/>
              <w:marRight w:val="0"/>
              <w:marTop w:val="0"/>
              <w:marBottom w:val="0"/>
              <w:divBdr>
                <w:top w:val="none" w:sz="0" w:space="0" w:color="auto"/>
                <w:left w:val="none" w:sz="0" w:space="0" w:color="auto"/>
                <w:bottom w:val="none" w:sz="0" w:space="0" w:color="auto"/>
                <w:right w:val="none" w:sz="0" w:space="0" w:color="auto"/>
              </w:divBdr>
            </w:div>
          </w:divsChild>
        </w:div>
        <w:div w:id="722607521">
          <w:marLeft w:val="0"/>
          <w:marRight w:val="0"/>
          <w:marTop w:val="0"/>
          <w:marBottom w:val="0"/>
          <w:divBdr>
            <w:top w:val="none" w:sz="0" w:space="0" w:color="auto"/>
            <w:left w:val="none" w:sz="0" w:space="0" w:color="auto"/>
            <w:bottom w:val="none" w:sz="0" w:space="0" w:color="auto"/>
            <w:right w:val="none" w:sz="0" w:space="0" w:color="auto"/>
          </w:divBdr>
          <w:divsChild>
            <w:div w:id="1058162224">
              <w:marLeft w:val="0"/>
              <w:marRight w:val="0"/>
              <w:marTop w:val="0"/>
              <w:marBottom w:val="0"/>
              <w:divBdr>
                <w:top w:val="none" w:sz="0" w:space="0" w:color="auto"/>
                <w:left w:val="none" w:sz="0" w:space="0" w:color="auto"/>
                <w:bottom w:val="none" w:sz="0" w:space="0" w:color="auto"/>
                <w:right w:val="none" w:sz="0" w:space="0" w:color="auto"/>
              </w:divBdr>
            </w:div>
          </w:divsChild>
        </w:div>
        <w:div w:id="722752915">
          <w:marLeft w:val="0"/>
          <w:marRight w:val="0"/>
          <w:marTop w:val="0"/>
          <w:marBottom w:val="0"/>
          <w:divBdr>
            <w:top w:val="none" w:sz="0" w:space="0" w:color="auto"/>
            <w:left w:val="none" w:sz="0" w:space="0" w:color="auto"/>
            <w:bottom w:val="none" w:sz="0" w:space="0" w:color="auto"/>
            <w:right w:val="none" w:sz="0" w:space="0" w:color="auto"/>
          </w:divBdr>
          <w:divsChild>
            <w:div w:id="844518277">
              <w:marLeft w:val="0"/>
              <w:marRight w:val="0"/>
              <w:marTop w:val="0"/>
              <w:marBottom w:val="0"/>
              <w:divBdr>
                <w:top w:val="none" w:sz="0" w:space="0" w:color="auto"/>
                <w:left w:val="none" w:sz="0" w:space="0" w:color="auto"/>
                <w:bottom w:val="none" w:sz="0" w:space="0" w:color="auto"/>
                <w:right w:val="none" w:sz="0" w:space="0" w:color="auto"/>
              </w:divBdr>
            </w:div>
          </w:divsChild>
        </w:div>
        <w:div w:id="723799868">
          <w:marLeft w:val="0"/>
          <w:marRight w:val="0"/>
          <w:marTop w:val="0"/>
          <w:marBottom w:val="0"/>
          <w:divBdr>
            <w:top w:val="none" w:sz="0" w:space="0" w:color="auto"/>
            <w:left w:val="none" w:sz="0" w:space="0" w:color="auto"/>
            <w:bottom w:val="none" w:sz="0" w:space="0" w:color="auto"/>
            <w:right w:val="none" w:sz="0" w:space="0" w:color="auto"/>
          </w:divBdr>
          <w:divsChild>
            <w:div w:id="1385523896">
              <w:marLeft w:val="0"/>
              <w:marRight w:val="0"/>
              <w:marTop w:val="0"/>
              <w:marBottom w:val="0"/>
              <w:divBdr>
                <w:top w:val="none" w:sz="0" w:space="0" w:color="auto"/>
                <w:left w:val="none" w:sz="0" w:space="0" w:color="auto"/>
                <w:bottom w:val="none" w:sz="0" w:space="0" w:color="auto"/>
                <w:right w:val="none" w:sz="0" w:space="0" w:color="auto"/>
              </w:divBdr>
            </w:div>
          </w:divsChild>
        </w:div>
        <w:div w:id="725221985">
          <w:marLeft w:val="0"/>
          <w:marRight w:val="0"/>
          <w:marTop w:val="0"/>
          <w:marBottom w:val="0"/>
          <w:divBdr>
            <w:top w:val="none" w:sz="0" w:space="0" w:color="auto"/>
            <w:left w:val="none" w:sz="0" w:space="0" w:color="auto"/>
            <w:bottom w:val="none" w:sz="0" w:space="0" w:color="auto"/>
            <w:right w:val="none" w:sz="0" w:space="0" w:color="auto"/>
          </w:divBdr>
          <w:divsChild>
            <w:div w:id="174030174">
              <w:marLeft w:val="0"/>
              <w:marRight w:val="0"/>
              <w:marTop w:val="0"/>
              <w:marBottom w:val="0"/>
              <w:divBdr>
                <w:top w:val="none" w:sz="0" w:space="0" w:color="auto"/>
                <w:left w:val="none" w:sz="0" w:space="0" w:color="auto"/>
                <w:bottom w:val="none" w:sz="0" w:space="0" w:color="auto"/>
                <w:right w:val="none" w:sz="0" w:space="0" w:color="auto"/>
              </w:divBdr>
            </w:div>
            <w:div w:id="996375755">
              <w:marLeft w:val="0"/>
              <w:marRight w:val="0"/>
              <w:marTop w:val="0"/>
              <w:marBottom w:val="0"/>
              <w:divBdr>
                <w:top w:val="none" w:sz="0" w:space="0" w:color="auto"/>
                <w:left w:val="none" w:sz="0" w:space="0" w:color="auto"/>
                <w:bottom w:val="none" w:sz="0" w:space="0" w:color="auto"/>
                <w:right w:val="none" w:sz="0" w:space="0" w:color="auto"/>
              </w:divBdr>
            </w:div>
          </w:divsChild>
        </w:div>
        <w:div w:id="730933122">
          <w:marLeft w:val="0"/>
          <w:marRight w:val="0"/>
          <w:marTop w:val="0"/>
          <w:marBottom w:val="0"/>
          <w:divBdr>
            <w:top w:val="none" w:sz="0" w:space="0" w:color="auto"/>
            <w:left w:val="none" w:sz="0" w:space="0" w:color="auto"/>
            <w:bottom w:val="none" w:sz="0" w:space="0" w:color="auto"/>
            <w:right w:val="none" w:sz="0" w:space="0" w:color="auto"/>
          </w:divBdr>
          <w:divsChild>
            <w:div w:id="790437050">
              <w:marLeft w:val="0"/>
              <w:marRight w:val="0"/>
              <w:marTop w:val="0"/>
              <w:marBottom w:val="0"/>
              <w:divBdr>
                <w:top w:val="none" w:sz="0" w:space="0" w:color="auto"/>
                <w:left w:val="none" w:sz="0" w:space="0" w:color="auto"/>
                <w:bottom w:val="none" w:sz="0" w:space="0" w:color="auto"/>
                <w:right w:val="none" w:sz="0" w:space="0" w:color="auto"/>
              </w:divBdr>
            </w:div>
          </w:divsChild>
        </w:div>
        <w:div w:id="731319176">
          <w:marLeft w:val="0"/>
          <w:marRight w:val="0"/>
          <w:marTop w:val="0"/>
          <w:marBottom w:val="0"/>
          <w:divBdr>
            <w:top w:val="none" w:sz="0" w:space="0" w:color="auto"/>
            <w:left w:val="none" w:sz="0" w:space="0" w:color="auto"/>
            <w:bottom w:val="none" w:sz="0" w:space="0" w:color="auto"/>
            <w:right w:val="none" w:sz="0" w:space="0" w:color="auto"/>
          </w:divBdr>
          <w:divsChild>
            <w:div w:id="1050812566">
              <w:marLeft w:val="0"/>
              <w:marRight w:val="0"/>
              <w:marTop w:val="0"/>
              <w:marBottom w:val="0"/>
              <w:divBdr>
                <w:top w:val="none" w:sz="0" w:space="0" w:color="auto"/>
                <w:left w:val="none" w:sz="0" w:space="0" w:color="auto"/>
                <w:bottom w:val="none" w:sz="0" w:space="0" w:color="auto"/>
                <w:right w:val="none" w:sz="0" w:space="0" w:color="auto"/>
              </w:divBdr>
            </w:div>
          </w:divsChild>
        </w:div>
        <w:div w:id="733431697">
          <w:marLeft w:val="0"/>
          <w:marRight w:val="0"/>
          <w:marTop w:val="0"/>
          <w:marBottom w:val="0"/>
          <w:divBdr>
            <w:top w:val="none" w:sz="0" w:space="0" w:color="auto"/>
            <w:left w:val="none" w:sz="0" w:space="0" w:color="auto"/>
            <w:bottom w:val="none" w:sz="0" w:space="0" w:color="auto"/>
            <w:right w:val="none" w:sz="0" w:space="0" w:color="auto"/>
          </w:divBdr>
          <w:divsChild>
            <w:div w:id="964965154">
              <w:marLeft w:val="0"/>
              <w:marRight w:val="0"/>
              <w:marTop w:val="0"/>
              <w:marBottom w:val="0"/>
              <w:divBdr>
                <w:top w:val="none" w:sz="0" w:space="0" w:color="auto"/>
                <w:left w:val="none" w:sz="0" w:space="0" w:color="auto"/>
                <w:bottom w:val="none" w:sz="0" w:space="0" w:color="auto"/>
                <w:right w:val="none" w:sz="0" w:space="0" w:color="auto"/>
              </w:divBdr>
            </w:div>
          </w:divsChild>
        </w:div>
        <w:div w:id="739641642">
          <w:marLeft w:val="0"/>
          <w:marRight w:val="0"/>
          <w:marTop w:val="0"/>
          <w:marBottom w:val="0"/>
          <w:divBdr>
            <w:top w:val="none" w:sz="0" w:space="0" w:color="auto"/>
            <w:left w:val="none" w:sz="0" w:space="0" w:color="auto"/>
            <w:bottom w:val="none" w:sz="0" w:space="0" w:color="auto"/>
            <w:right w:val="none" w:sz="0" w:space="0" w:color="auto"/>
          </w:divBdr>
          <w:divsChild>
            <w:div w:id="1409427803">
              <w:marLeft w:val="0"/>
              <w:marRight w:val="0"/>
              <w:marTop w:val="0"/>
              <w:marBottom w:val="0"/>
              <w:divBdr>
                <w:top w:val="none" w:sz="0" w:space="0" w:color="auto"/>
                <w:left w:val="none" w:sz="0" w:space="0" w:color="auto"/>
                <w:bottom w:val="none" w:sz="0" w:space="0" w:color="auto"/>
                <w:right w:val="none" w:sz="0" w:space="0" w:color="auto"/>
              </w:divBdr>
            </w:div>
          </w:divsChild>
        </w:div>
        <w:div w:id="739983815">
          <w:marLeft w:val="0"/>
          <w:marRight w:val="0"/>
          <w:marTop w:val="0"/>
          <w:marBottom w:val="0"/>
          <w:divBdr>
            <w:top w:val="none" w:sz="0" w:space="0" w:color="auto"/>
            <w:left w:val="none" w:sz="0" w:space="0" w:color="auto"/>
            <w:bottom w:val="none" w:sz="0" w:space="0" w:color="auto"/>
            <w:right w:val="none" w:sz="0" w:space="0" w:color="auto"/>
          </w:divBdr>
          <w:divsChild>
            <w:div w:id="1544362762">
              <w:marLeft w:val="0"/>
              <w:marRight w:val="0"/>
              <w:marTop w:val="0"/>
              <w:marBottom w:val="0"/>
              <w:divBdr>
                <w:top w:val="none" w:sz="0" w:space="0" w:color="auto"/>
                <w:left w:val="none" w:sz="0" w:space="0" w:color="auto"/>
                <w:bottom w:val="none" w:sz="0" w:space="0" w:color="auto"/>
                <w:right w:val="none" w:sz="0" w:space="0" w:color="auto"/>
              </w:divBdr>
            </w:div>
            <w:div w:id="1602563508">
              <w:marLeft w:val="0"/>
              <w:marRight w:val="0"/>
              <w:marTop w:val="0"/>
              <w:marBottom w:val="0"/>
              <w:divBdr>
                <w:top w:val="none" w:sz="0" w:space="0" w:color="auto"/>
                <w:left w:val="none" w:sz="0" w:space="0" w:color="auto"/>
                <w:bottom w:val="none" w:sz="0" w:space="0" w:color="auto"/>
                <w:right w:val="none" w:sz="0" w:space="0" w:color="auto"/>
              </w:divBdr>
            </w:div>
            <w:div w:id="1612669249">
              <w:marLeft w:val="0"/>
              <w:marRight w:val="0"/>
              <w:marTop w:val="0"/>
              <w:marBottom w:val="0"/>
              <w:divBdr>
                <w:top w:val="none" w:sz="0" w:space="0" w:color="auto"/>
                <w:left w:val="none" w:sz="0" w:space="0" w:color="auto"/>
                <w:bottom w:val="none" w:sz="0" w:space="0" w:color="auto"/>
                <w:right w:val="none" w:sz="0" w:space="0" w:color="auto"/>
              </w:divBdr>
            </w:div>
          </w:divsChild>
        </w:div>
        <w:div w:id="752356659">
          <w:marLeft w:val="0"/>
          <w:marRight w:val="0"/>
          <w:marTop w:val="0"/>
          <w:marBottom w:val="0"/>
          <w:divBdr>
            <w:top w:val="none" w:sz="0" w:space="0" w:color="auto"/>
            <w:left w:val="none" w:sz="0" w:space="0" w:color="auto"/>
            <w:bottom w:val="none" w:sz="0" w:space="0" w:color="auto"/>
            <w:right w:val="none" w:sz="0" w:space="0" w:color="auto"/>
          </w:divBdr>
          <w:divsChild>
            <w:div w:id="365301396">
              <w:marLeft w:val="0"/>
              <w:marRight w:val="0"/>
              <w:marTop w:val="0"/>
              <w:marBottom w:val="0"/>
              <w:divBdr>
                <w:top w:val="none" w:sz="0" w:space="0" w:color="auto"/>
                <w:left w:val="none" w:sz="0" w:space="0" w:color="auto"/>
                <w:bottom w:val="none" w:sz="0" w:space="0" w:color="auto"/>
                <w:right w:val="none" w:sz="0" w:space="0" w:color="auto"/>
              </w:divBdr>
            </w:div>
            <w:div w:id="1148128708">
              <w:marLeft w:val="0"/>
              <w:marRight w:val="0"/>
              <w:marTop w:val="0"/>
              <w:marBottom w:val="0"/>
              <w:divBdr>
                <w:top w:val="none" w:sz="0" w:space="0" w:color="auto"/>
                <w:left w:val="none" w:sz="0" w:space="0" w:color="auto"/>
                <w:bottom w:val="none" w:sz="0" w:space="0" w:color="auto"/>
                <w:right w:val="none" w:sz="0" w:space="0" w:color="auto"/>
              </w:divBdr>
            </w:div>
          </w:divsChild>
        </w:div>
        <w:div w:id="757678010">
          <w:marLeft w:val="0"/>
          <w:marRight w:val="0"/>
          <w:marTop w:val="0"/>
          <w:marBottom w:val="0"/>
          <w:divBdr>
            <w:top w:val="none" w:sz="0" w:space="0" w:color="auto"/>
            <w:left w:val="none" w:sz="0" w:space="0" w:color="auto"/>
            <w:bottom w:val="none" w:sz="0" w:space="0" w:color="auto"/>
            <w:right w:val="none" w:sz="0" w:space="0" w:color="auto"/>
          </w:divBdr>
          <w:divsChild>
            <w:div w:id="269975116">
              <w:marLeft w:val="0"/>
              <w:marRight w:val="0"/>
              <w:marTop w:val="0"/>
              <w:marBottom w:val="0"/>
              <w:divBdr>
                <w:top w:val="none" w:sz="0" w:space="0" w:color="auto"/>
                <w:left w:val="none" w:sz="0" w:space="0" w:color="auto"/>
                <w:bottom w:val="none" w:sz="0" w:space="0" w:color="auto"/>
                <w:right w:val="none" w:sz="0" w:space="0" w:color="auto"/>
              </w:divBdr>
            </w:div>
            <w:div w:id="871580180">
              <w:marLeft w:val="0"/>
              <w:marRight w:val="0"/>
              <w:marTop w:val="0"/>
              <w:marBottom w:val="0"/>
              <w:divBdr>
                <w:top w:val="none" w:sz="0" w:space="0" w:color="auto"/>
                <w:left w:val="none" w:sz="0" w:space="0" w:color="auto"/>
                <w:bottom w:val="none" w:sz="0" w:space="0" w:color="auto"/>
                <w:right w:val="none" w:sz="0" w:space="0" w:color="auto"/>
              </w:divBdr>
            </w:div>
            <w:div w:id="1041856782">
              <w:marLeft w:val="0"/>
              <w:marRight w:val="0"/>
              <w:marTop w:val="0"/>
              <w:marBottom w:val="0"/>
              <w:divBdr>
                <w:top w:val="none" w:sz="0" w:space="0" w:color="auto"/>
                <w:left w:val="none" w:sz="0" w:space="0" w:color="auto"/>
                <w:bottom w:val="none" w:sz="0" w:space="0" w:color="auto"/>
                <w:right w:val="none" w:sz="0" w:space="0" w:color="auto"/>
              </w:divBdr>
            </w:div>
            <w:div w:id="1174418946">
              <w:marLeft w:val="0"/>
              <w:marRight w:val="0"/>
              <w:marTop w:val="0"/>
              <w:marBottom w:val="0"/>
              <w:divBdr>
                <w:top w:val="none" w:sz="0" w:space="0" w:color="auto"/>
                <w:left w:val="none" w:sz="0" w:space="0" w:color="auto"/>
                <w:bottom w:val="none" w:sz="0" w:space="0" w:color="auto"/>
                <w:right w:val="none" w:sz="0" w:space="0" w:color="auto"/>
              </w:divBdr>
            </w:div>
            <w:div w:id="2050914030">
              <w:marLeft w:val="0"/>
              <w:marRight w:val="0"/>
              <w:marTop w:val="0"/>
              <w:marBottom w:val="0"/>
              <w:divBdr>
                <w:top w:val="none" w:sz="0" w:space="0" w:color="auto"/>
                <w:left w:val="none" w:sz="0" w:space="0" w:color="auto"/>
                <w:bottom w:val="none" w:sz="0" w:space="0" w:color="auto"/>
                <w:right w:val="none" w:sz="0" w:space="0" w:color="auto"/>
              </w:divBdr>
            </w:div>
          </w:divsChild>
        </w:div>
        <w:div w:id="758135314">
          <w:marLeft w:val="0"/>
          <w:marRight w:val="0"/>
          <w:marTop w:val="0"/>
          <w:marBottom w:val="0"/>
          <w:divBdr>
            <w:top w:val="none" w:sz="0" w:space="0" w:color="auto"/>
            <w:left w:val="none" w:sz="0" w:space="0" w:color="auto"/>
            <w:bottom w:val="none" w:sz="0" w:space="0" w:color="auto"/>
            <w:right w:val="none" w:sz="0" w:space="0" w:color="auto"/>
          </w:divBdr>
          <w:divsChild>
            <w:div w:id="570625137">
              <w:marLeft w:val="0"/>
              <w:marRight w:val="0"/>
              <w:marTop w:val="0"/>
              <w:marBottom w:val="0"/>
              <w:divBdr>
                <w:top w:val="none" w:sz="0" w:space="0" w:color="auto"/>
                <w:left w:val="none" w:sz="0" w:space="0" w:color="auto"/>
                <w:bottom w:val="none" w:sz="0" w:space="0" w:color="auto"/>
                <w:right w:val="none" w:sz="0" w:space="0" w:color="auto"/>
              </w:divBdr>
            </w:div>
            <w:div w:id="1607731277">
              <w:marLeft w:val="0"/>
              <w:marRight w:val="0"/>
              <w:marTop w:val="0"/>
              <w:marBottom w:val="0"/>
              <w:divBdr>
                <w:top w:val="none" w:sz="0" w:space="0" w:color="auto"/>
                <w:left w:val="none" w:sz="0" w:space="0" w:color="auto"/>
                <w:bottom w:val="none" w:sz="0" w:space="0" w:color="auto"/>
                <w:right w:val="none" w:sz="0" w:space="0" w:color="auto"/>
              </w:divBdr>
            </w:div>
            <w:div w:id="1644381710">
              <w:marLeft w:val="0"/>
              <w:marRight w:val="0"/>
              <w:marTop w:val="0"/>
              <w:marBottom w:val="0"/>
              <w:divBdr>
                <w:top w:val="none" w:sz="0" w:space="0" w:color="auto"/>
                <w:left w:val="none" w:sz="0" w:space="0" w:color="auto"/>
                <w:bottom w:val="none" w:sz="0" w:space="0" w:color="auto"/>
                <w:right w:val="none" w:sz="0" w:space="0" w:color="auto"/>
              </w:divBdr>
            </w:div>
            <w:div w:id="1890454610">
              <w:marLeft w:val="0"/>
              <w:marRight w:val="0"/>
              <w:marTop w:val="0"/>
              <w:marBottom w:val="0"/>
              <w:divBdr>
                <w:top w:val="none" w:sz="0" w:space="0" w:color="auto"/>
                <w:left w:val="none" w:sz="0" w:space="0" w:color="auto"/>
                <w:bottom w:val="none" w:sz="0" w:space="0" w:color="auto"/>
                <w:right w:val="none" w:sz="0" w:space="0" w:color="auto"/>
              </w:divBdr>
            </w:div>
          </w:divsChild>
        </w:div>
        <w:div w:id="763763023">
          <w:marLeft w:val="0"/>
          <w:marRight w:val="0"/>
          <w:marTop w:val="0"/>
          <w:marBottom w:val="0"/>
          <w:divBdr>
            <w:top w:val="none" w:sz="0" w:space="0" w:color="auto"/>
            <w:left w:val="none" w:sz="0" w:space="0" w:color="auto"/>
            <w:bottom w:val="none" w:sz="0" w:space="0" w:color="auto"/>
            <w:right w:val="none" w:sz="0" w:space="0" w:color="auto"/>
          </w:divBdr>
          <w:divsChild>
            <w:div w:id="1824462797">
              <w:marLeft w:val="0"/>
              <w:marRight w:val="0"/>
              <w:marTop w:val="0"/>
              <w:marBottom w:val="0"/>
              <w:divBdr>
                <w:top w:val="none" w:sz="0" w:space="0" w:color="auto"/>
                <w:left w:val="none" w:sz="0" w:space="0" w:color="auto"/>
                <w:bottom w:val="none" w:sz="0" w:space="0" w:color="auto"/>
                <w:right w:val="none" w:sz="0" w:space="0" w:color="auto"/>
              </w:divBdr>
            </w:div>
          </w:divsChild>
        </w:div>
        <w:div w:id="764962160">
          <w:marLeft w:val="0"/>
          <w:marRight w:val="0"/>
          <w:marTop w:val="0"/>
          <w:marBottom w:val="0"/>
          <w:divBdr>
            <w:top w:val="none" w:sz="0" w:space="0" w:color="auto"/>
            <w:left w:val="none" w:sz="0" w:space="0" w:color="auto"/>
            <w:bottom w:val="none" w:sz="0" w:space="0" w:color="auto"/>
            <w:right w:val="none" w:sz="0" w:space="0" w:color="auto"/>
          </w:divBdr>
          <w:divsChild>
            <w:div w:id="2085685126">
              <w:marLeft w:val="0"/>
              <w:marRight w:val="0"/>
              <w:marTop w:val="0"/>
              <w:marBottom w:val="0"/>
              <w:divBdr>
                <w:top w:val="none" w:sz="0" w:space="0" w:color="auto"/>
                <w:left w:val="none" w:sz="0" w:space="0" w:color="auto"/>
                <w:bottom w:val="none" w:sz="0" w:space="0" w:color="auto"/>
                <w:right w:val="none" w:sz="0" w:space="0" w:color="auto"/>
              </w:divBdr>
            </w:div>
          </w:divsChild>
        </w:div>
        <w:div w:id="770130592">
          <w:marLeft w:val="0"/>
          <w:marRight w:val="0"/>
          <w:marTop w:val="0"/>
          <w:marBottom w:val="0"/>
          <w:divBdr>
            <w:top w:val="none" w:sz="0" w:space="0" w:color="auto"/>
            <w:left w:val="none" w:sz="0" w:space="0" w:color="auto"/>
            <w:bottom w:val="none" w:sz="0" w:space="0" w:color="auto"/>
            <w:right w:val="none" w:sz="0" w:space="0" w:color="auto"/>
          </w:divBdr>
          <w:divsChild>
            <w:div w:id="260652713">
              <w:marLeft w:val="0"/>
              <w:marRight w:val="0"/>
              <w:marTop w:val="0"/>
              <w:marBottom w:val="0"/>
              <w:divBdr>
                <w:top w:val="none" w:sz="0" w:space="0" w:color="auto"/>
                <w:left w:val="none" w:sz="0" w:space="0" w:color="auto"/>
                <w:bottom w:val="none" w:sz="0" w:space="0" w:color="auto"/>
                <w:right w:val="none" w:sz="0" w:space="0" w:color="auto"/>
              </w:divBdr>
            </w:div>
            <w:div w:id="509684157">
              <w:marLeft w:val="0"/>
              <w:marRight w:val="0"/>
              <w:marTop w:val="0"/>
              <w:marBottom w:val="0"/>
              <w:divBdr>
                <w:top w:val="none" w:sz="0" w:space="0" w:color="auto"/>
                <w:left w:val="none" w:sz="0" w:space="0" w:color="auto"/>
                <w:bottom w:val="none" w:sz="0" w:space="0" w:color="auto"/>
                <w:right w:val="none" w:sz="0" w:space="0" w:color="auto"/>
              </w:divBdr>
            </w:div>
            <w:div w:id="1122387109">
              <w:marLeft w:val="0"/>
              <w:marRight w:val="0"/>
              <w:marTop w:val="0"/>
              <w:marBottom w:val="0"/>
              <w:divBdr>
                <w:top w:val="none" w:sz="0" w:space="0" w:color="auto"/>
                <w:left w:val="none" w:sz="0" w:space="0" w:color="auto"/>
                <w:bottom w:val="none" w:sz="0" w:space="0" w:color="auto"/>
                <w:right w:val="none" w:sz="0" w:space="0" w:color="auto"/>
              </w:divBdr>
            </w:div>
            <w:div w:id="1781951240">
              <w:marLeft w:val="0"/>
              <w:marRight w:val="0"/>
              <w:marTop w:val="0"/>
              <w:marBottom w:val="0"/>
              <w:divBdr>
                <w:top w:val="none" w:sz="0" w:space="0" w:color="auto"/>
                <w:left w:val="none" w:sz="0" w:space="0" w:color="auto"/>
                <w:bottom w:val="none" w:sz="0" w:space="0" w:color="auto"/>
                <w:right w:val="none" w:sz="0" w:space="0" w:color="auto"/>
              </w:divBdr>
            </w:div>
          </w:divsChild>
        </w:div>
        <w:div w:id="771902596">
          <w:marLeft w:val="0"/>
          <w:marRight w:val="0"/>
          <w:marTop w:val="0"/>
          <w:marBottom w:val="0"/>
          <w:divBdr>
            <w:top w:val="none" w:sz="0" w:space="0" w:color="auto"/>
            <w:left w:val="none" w:sz="0" w:space="0" w:color="auto"/>
            <w:bottom w:val="none" w:sz="0" w:space="0" w:color="auto"/>
            <w:right w:val="none" w:sz="0" w:space="0" w:color="auto"/>
          </w:divBdr>
          <w:divsChild>
            <w:div w:id="715083933">
              <w:marLeft w:val="0"/>
              <w:marRight w:val="0"/>
              <w:marTop w:val="0"/>
              <w:marBottom w:val="0"/>
              <w:divBdr>
                <w:top w:val="none" w:sz="0" w:space="0" w:color="auto"/>
                <w:left w:val="none" w:sz="0" w:space="0" w:color="auto"/>
                <w:bottom w:val="none" w:sz="0" w:space="0" w:color="auto"/>
                <w:right w:val="none" w:sz="0" w:space="0" w:color="auto"/>
              </w:divBdr>
            </w:div>
          </w:divsChild>
        </w:div>
        <w:div w:id="777523477">
          <w:marLeft w:val="0"/>
          <w:marRight w:val="0"/>
          <w:marTop w:val="0"/>
          <w:marBottom w:val="0"/>
          <w:divBdr>
            <w:top w:val="none" w:sz="0" w:space="0" w:color="auto"/>
            <w:left w:val="none" w:sz="0" w:space="0" w:color="auto"/>
            <w:bottom w:val="none" w:sz="0" w:space="0" w:color="auto"/>
            <w:right w:val="none" w:sz="0" w:space="0" w:color="auto"/>
          </w:divBdr>
          <w:divsChild>
            <w:div w:id="2056154581">
              <w:marLeft w:val="0"/>
              <w:marRight w:val="0"/>
              <w:marTop w:val="0"/>
              <w:marBottom w:val="0"/>
              <w:divBdr>
                <w:top w:val="none" w:sz="0" w:space="0" w:color="auto"/>
                <w:left w:val="none" w:sz="0" w:space="0" w:color="auto"/>
                <w:bottom w:val="none" w:sz="0" w:space="0" w:color="auto"/>
                <w:right w:val="none" w:sz="0" w:space="0" w:color="auto"/>
              </w:divBdr>
            </w:div>
          </w:divsChild>
        </w:div>
        <w:div w:id="781800196">
          <w:marLeft w:val="0"/>
          <w:marRight w:val="0"/>
          <w:marTop w:val="0"/>
          <w:marBottom w:val="0"/>
          <w:divBdr>
            <w:top w:val="none" w:sz="0" w:space="0" w:color="auto"/>
            <w:left w:val="none" w:sz="0" w:space="0" w:color="auto"/>
            <w:bottom w:val="none" w:sz="0" w:space="0" w:color="auto"/>
            <w:right w:val="none" w:sz="0" w:space="0" w:color="auto"/>
          </w:divBdr>
          <w:divsChild>
            <w:div w:id="354624414">
              <w:marLeft w:val="0"/>
              <w:marRight w:val="0"/>
              <w:marTop w:val="0"/>
              <w:marBottom w:val="0"/>
              <w:divBdr>
                <w:top w:val="none" w:sz="0" w:space="0" w:color="auto"/>
                <w:left w:val="none" w:sz="0" w:space="0" w:color="auto"/>
                <w:bottom w:val="none" w:sz="0" w:space="0" w:color="auto"/>
                <w:right w:val="none" w:sz="0" w:space="0" w:color="auto"/>
              </w:divBdr>
            </w:div>
            <w:div w:id="1415014374">
              <w:marLeft w:val="0"/>
              <w:marRight w:val="0"/>
              <w:marTop w:val="0"/>
              <w:marBottom w:val="0"/>
              <w:divBdr>
                <w:top w:val="none" w:sz="0" w:space="0" w:color="auto"/>
                <w:left w:val="none" w:sz="0" w:space="0" w:color="auto"/>
                <w:bottom w:val="none" w:sz="0" w:space="0" w:color="auto"/>
                <w:right w:val="none" w:sz="0" w:space="0" w:color="auto"/>
              </w:divBdr>
            </w:div>
            <w:div w:id="2060397392">
              <w:marLeft w:val="0"/>
              <w:marRight w:val="0"/>
              <w:marTop w:val="0"/>
              <w:marBottom w:val="0"/>
              <w:divBdr>
                <w:top w:val="none" w:sz="0" w:space="0" w:color="auto"/>
                <w:left w:val="none" w:sz="0" w:space="0" w:color="auto"/>
                <w:bottom w:val="none" w:sz="0" w:space="0" w:color="auto"/>
                <w:right w:val="none" w:sz="0" w:space="0" w:color="auto"/>
              </w:divBdr>
            </w:div>
          </w:divsChild>
        </w:div>
        <w:div w:id="791172314">
          <w:marLeft w:val="0"/>
          <w:marRight w:val="0"/>
          <w:marTop w:val="0"/>
          <w:marBottom w:val="0"/>
          <w:divBdr>
            <w:top w:val="none" w:sz="0" w:space="0" w:color="auto"/>
            <w:left w:val="none" w:sz="0" w:space="0" w:color="auto"/>
            <w:bottom w:val="none" w:sz="0" w:space="0" w:color="auto"/>
            <w:right w:val="none" w:sz="0" w:space="0" w:color="auto"/>
          </w:divBdr>
          <w:divsChild>
            <w:div w:id="100608157">
              <w:marLeft w:val="0"/>
              <w:marRight w:val="0"/>
              <w:marTop w:val="0"/>
              <w:marBottom w:val="0"/>
              <w:divBdr>
                <w:top w:val="none" w:sz="0" w:space="0" w:color="auto"/>
                <w:left w:val="none" w:sz="0" w:space="0" w:color="auto"/>
                <w:bottom w:val="none" w:sz="0" w:space="0" w:color="auto"/>
                <w:right w:val="none" w:sz="0" w:space="0" w:color="auto"/>
              </w:divBdr>
            </w:div>
          </w:divsChild>
        </w:div>
        <w:div w:id="802505349">
          <w:marLeft w:val="0"/>
          <w:marRight w:val="0"/>
          <w:marTop w:val="0"/>
          <w:marBottom w:val="0"/>
          <w:divBdr>
            <w:top w:val="none" w:sz="0" w:space="0" w:color="auto"/>
            <w:left w:val="none" w:sz="0" w:space="0" w:color="auto"/>
            <w:bottom w:val="none" w:sz="0" w:space="0" w:color="auto"/>
            <w:right w:val="none" w:sz="0" w:space="0" w:color="auto"/>
          </w:divBdr>
          <w:divsChild>
            <w:div w:id="2051298121">
              <w:marLeft w:val="0"/>
              <w:marRight w:val="0"/>
              <w:marTop w:val="0"/>
              <w:marBottom w:val="0"/>
              <w:divBdr>
                <w:top w:val="none" w:sz="0" w:space="0" w:color="auto"/>
                <w:left w:val="none" w:sz="0" w:space="0" w:color="auto"/>
                <w:bottom w:val="none" w:sz="0" w:space="0" w:color="auto"/>
                <w:right w:val="none" w:sz="0" w:space="0" w:color="auto"/>
              </w:divBdr>
            </w:div>
          </w:divsChild>
        </w:div>
        <w:div w:id="803305130">
          <w:marLeft w:val="0"/>
          <w:marRight w:val="0"/>
          <w:marTop w:val="0"/>
          <w:marBottom w:val="0"/>
          <w:divBdr>
            <w:top w:val="none" w:sz="0" w:space="0" w:color="auto"/>
            <w:left w:val="none" w:sz="0" w:space="0" w:color="auto"/>
            <w:bottom w:val="none" w:sz="0" w:space="0" w:color="auto"/>
            <w:right w:val="none" w:sz="0" w:space="0" w:color="auto"/>
          </w:divBdr>
          <w:divsChild>
            <w:div w:id="346054650">
              <w:marLeft w:val="0"/>
              <w:marRight w:val="0"/>
              <w:marTop w:val="0"/>
              <w:marBottom w:val="0"/>
              <w:divBdr>
                <w:top w:val="none" w:sz="0" w:space="0" w:color="auto"/>
                <w:left w:val="none" w:sz="0" w:space="0" w:color="auto"/>
                <w:bottom w:val="none" w:sz="0" w:space="0" w:color="auto"/>
                <w:right w:val="none" w:sz="0" w:space="0" w:color="auto"/>
              </w:divBdr>
            </w:div>
          </w:divsChild>
        </w:div>
        <w:div w:id="804858179">
          <w:marLeft w:val="0"/>
          <w:marRight w:val="0"/>
          <w:marTop w:val="0"/>
          <w:marBottom w:val="0"/>
          <w:divBdr>
            <w:top w:val="none" w:sz="0" w:space="0" w:color="auto"/>
            <w:left w:val="none" w:sz="0" w:space="0" w:color="auto"/>
            <w:bottom w:val="none" w:sz="0" w:space="0" w:color="auto"/>
            <w:right w:val="none" w:sz="0" w:space="0" w:color="auto"/>
          </w:divBdr>
          <w:divsChild>
            <w:div w:id="1607074777">
              <w:marLeft w:val="0"/>
              <w:marRight w:val="0"/>
              <w:marTop w:val="0"/>
              <w:marBottom w:val="0"/>
              <w:divBdr>
                <w:top w:val="none" w:sz="0" w:space="0" w:color="auto"/>
                <w:left w:val="none" w:sz="0" w:space="0" w:color="auto"/>
                <w:bottom w:val="none" w:sz="0" w:space="0" w:color="auto"/>
                <w:right w:val="none" w:sz="0" w:space="0" w:color="auto"/>
              </w:divBdr>
            </w:div>
          </w:divsChild>
        </w:div>
        <w:div w:id="807161708">
          <w:marLeft w:val="0"/>
          <w:marRight w:val="0"/>
          <w:marTop w:val="0"/>
          <w:marBottom w:val="0"/>
          <w:divBdr>
            <w:top w:val="none" w:sz="0" w:space="0" w:color="auto"/>
            <w:left w:val="none" w:sz="0" w:space="0" w:color="auto"/>
            <w:bottom w:val="none" w:sz="0" w:space="0" w:color="auto"/>
            <w:right w:val="none" w:sz="0" w:space="0" w:color="auto"/>
          </w:divBdr>
          <w:divsChild>
            <w:div w:id="808010381">
              <w:marLeft w:val="0"/>
              <w:marRight w:val="0"/>
              <w:marTop w:val="0"/>
              <w:marBottom w:val="0"/>
              <w:divBdr>
                <w:top w:val="none" w:sz="0" w:space="0" w:color="auto"/>
                <w:left w:val="none" w:sz="0" w:space="0" w:color="auto"/>
                <w:bottom w:val="none" w:sz="0" w:space="0" w:color="auto"/>
                <w:right w:val="none" w:sz="0" w:space="0" w:color="auto"/>
              </w:divBdr>
            </w:div>
          </w:divsChild>
        </w:div>
        <w:div w:id="810368451">
          <w:marLeft w:val="0"/>
          <w:marRight w:val="0"/>
          <w:marTop w:val="0"/>
          <w:marBottom w:val="0"/>
          <w:divBdr>
            <w:top w:val="none" w:sz="0" w:space="0" w:color="auto"/>
            <w:left w:val="none" w:sz="0" w:space="0" w:color="auto"/>
            <w:bottom w:val="none" w:sz="0" w:space="0" w:color="auto"/>
            <w:right w:val="none" w:sz="0" w:space="0" w:color="auto"/>
          </w:divBdr>
          <w:divsChild>
            <w:div w:id="1689061057">
              <w:marLeft w:val="0"/>
              <w:marRight w:val="0"/>
              <w:marTop w:val="0"/>
              <w:marBottom w:val="0"/>
              <w:divBdr>
                <w:top w:val="none" w:sz="0" w:space="0" w:color="auto"/>
                <w:left w:val="none" w:sz="0" w:space="0" w:color="auto"/>
                <w:bottom w:val="none" w:sz="0" w:space="0" w:color="auto"/>
                <w:right w:val="none" w:sz="0" w:space="0" w:color="auto"/>
              </w:divBdr>
            </w:div>
          </w:divsChild>
        </w:div>
        <w:div w:id="814030538">
          <w:marLeft w:val="0"/>
          <w:marRight w:val="0"/>
          <w:marTop w:val="0"/>
          <w:marBottom w:val="0"/>
          <w:divBdr>
            <w:top w:val="none" w:sz="0" w:space="0" w:color="auto"/>
            <w:left w:val="none" w:sz="0" w:space="0" w:color="auto"/>
            <w:bottom w:val="none" w:sz="0" w:space="0" w:color="auto"/>
            <w:right w:val="none" w:sz="0" w:space="0" w:color="auto"/>
          </w:divBdr>
          <w:divsChild>
            <w:div w:id="54937419">
              <w:marLeft w:val="0"/>
              <w:marRight w:val="0"/>
              <w:marTop w:val="0"/>
              <w:marBottom w:val="0"/>
              <w:divBdr>
                <w:top w:val="none" w:sz="0" w:space="0" w:color="auto"/>
                <w:left w:val="none" w:sz="0" w:space="0" w:color="auto"/>
                <w:bottom w:val="none" w:sz="0" w:space="0" w:color="auto"/>
                <w:right w:val="none" w:sz="0" w:space="0" w:color="auto"/>
              </w:divBdr>
            </w:div>
          </w:divsChild>
        </w:div>
        <w:div w:id="819542693">
          <w:marLeft w:val="0"/>
          <w:marRight w:val="0"/>
          <w:marTop w:val="0"/>
          <w:marBottom w:val="0"/>
          <w:divBdr>
            <w:top w:val="none" w:sz="0" w:space="0" w:color="auto"/>
            <w:left w:val="none" w:sz="0" w:space="0" w:color="auto"/>
            <w:bottom w:val="none" w:sz="0" w:space="0" w:color="auto"/>
            <w:right w:val="none" w:sz="0" w:space="0" w:color="auto"/>
          </w:divBdr>
          <w:divsChild>
            <w:div w:id="381095114">
              <w:marLeft w:val="0"/>
              <w:marRight w:val="0"/>
              <w:marTop w:val="0"/>
              <w:marBottom w:val="0"/>
              <w:divBdr>
                <w:top w:val="none" w:sz="0" w:space="0" w:color="auto"/>
                <w:left w:val="none" w:sz="0" w:space="0" w:color="auto"/>
                <w:bottom w:val="none" w:sz="0" w:space="0" w:color="auto"/>
                <w:right w:val="none" w:sz="0" w:space="0" w:color="auto"/>
              </w:divBdr>
            </w:div>
            <w:div w:id="639531673">
              <w:marLeft w:val="0"/>
              <w:marRight w:val="0"/>
              <w:marTop w:val="0"/>
              <w:marBottom w:val="0"/>
              <w:divBdr>
                <w:top w:val="none" w:sz="0" w:space="0" w:color="auto"/>
                <w:left w:val="none" w:sz="0" w:space="0" w:color="auto"/>
                <w:bottom w:val="none" w:sz="0" w:space="0" w:color="auto"/>
                <w:right w:val="none" w:sz="0" w:space="0" w:color="auto"/>
              </w:divBdr>
            </w:div>
            <w:div w:id="1041592930">
              <w:marLeft w:val="0"/>
              <w:marRight w:val="0"/>
              <w:marTop w:val="0"/>
              <w:marBottom w:val="0"/>
              <w:divBdr>
                <w:top w:val="none" w:sz="0" w:space="0" w:color="auto"/>
                <w:left w:val="none" w:sz="0" w:space="0" w:color="auto"/>
                <w:bottom w:val="none" w:sz="0" w:space="0" w:color="auto"/>
                <w:right w:val="none" w:sz="0" w:space="0" w:color="auto"/>
              </w:divBdr>
            </w:div>
            <w:div w:id="1141769294">
              <w:marLeft w:val="0"/>
              <w:marRight w:val="0"/>
              <w:marTop w:val="0"/>
              <w:marBottom w:val="0"/>
              <w:divBdr>
                <w:top w:val="none" w:sz="0" w:space="0" w:color="auto"/>
                <w:left w:val="none" w:sz="0" w:space="0" w:color="auto"/>
                <w:bottom w:val="none" w:sz="0" w:space="0" w:color="auto"/>
                <w:right w:val="none" w:sz="0" w:space="0" w:color="auto"/>
              </w:divBdr>
            </w:div>
            <w:div w:id="1452480242">
              <w:marLeft w:val="0"/>
              <w:marRight w:val="0"/>
              <w:marTop w:val="0"/>
              <w:marBottom w:val="0"/>
              <w:divBdr>
                <w:top w:val="none" w:sz="0" w:space="0" w:color="auto"/>
                <w:left w:val="none" w:sz="0" w:space="0" w:color="auto"/>
                <w:bottom w:val="none" w:sz="0" w:space="0" w:color="auto"/>
                <w:right w:val="none" w:sz="0" w:space="0" w:color="auto"/>
              </w:divBdr>
            </w:div>
            <w:div w:id="1483081603">
              <w:marLeft w:val="0"/>
              <w:marRight w:val="0"/>
              <w:marTop w:val="0"/>
              <w:marBottom w:val="0"/>
              <w:divBdr>
                <w:top w:val="none" w:sz="0" w:space="0" w:color="auto"/>
                <w:left w:val="none" w:sz="0" w:space="0" w:color="auto"/>
                <w:bottom w:val="none" w:sz="0" w:space="0" w:color="auto"/>
                <w:right w:val="none" w:sz="0" w:space="0" w:color="auto"/>
              </w:divBdr>
            </w:div>
            <w:div w:id="1530604062">
              <w:marLeft w:val="0"/>
              <w:marRight w:val="0"/>
              <w:marTop w:val="0"/>
              <w:marBottom w:val="0"/>
              <w:divBdr>
                <w:top w:val="none" w:sz="0" w:space="0" w:color="auto"/>
                <w:left w:val="none" w:sz="0" w:space="0" w:color="auto"/>
                <w:bottom w:val="none" w:sz="0" w:space="0" w:color="auto"/>
                <w:right w:val="none" w:sz="0" w:space="0" w:color="auto"/>
              </w:divBdr>
            </w:div>
            <w:div w:id="1543592291">
              <w:marLeft w:val="0"/>
              <w:marRight w:val="0"/>
              <w:marTop w:val="0"/>
              <w:marBottom w:val="0"/>
              <w:divBdr>
                <w:top w:val="none" w:sz="0" w:space="0" w:color="auto"/>
                <w:left w:val="none" w:sz="0" w:space="0" w:color="auto"/>
                <w:bottom w:val="none" w:sz="0" w:space="0" w:color="auto"/>
                <w:right w:val="none" w:sz="0" w:space="0" w:color="auto"/>
              </w:divBdr>
            </w:div>
            <w:div w:id="1676303033">
              <w:marLeft w:val="0"/>
              <w:marRight w:val="0"/>
              <w:marTop w:val="0"/>
              <w:marBottom w:val="0"/>
              <w:divBdr>
                <w:top w:val="none" w:sz="0" w:space="0" w:color="auto"/>
                <w:left w:val="none" w:sz="0" w:space="0" w:color="auto"/>
                <w:bottom w:val="none" w:sz="0" w:space="0" w:color="auto"/>
                <w:right w:val="none" w:sz="0" w:space="0" w:color="auto"/>
              </w:divBdr>
            </w:div>
          </w:divsChild>
        </w:div>
        <w:div w:id="825323039">
          <w:marLeft w:val="0"/>
          <w:marRight w:val="0"/>
          <w:marTop w:val="0"/>
          <w:marBottom w:val="0"/>
          <w:divBdr>
            <w:top w:val="none" w:sz="0" w:space="0" w:color="auto"/>
            <w:left w:val="none" w:sz="0" w:space="0" w:color="auto"/>
            <w:bottom w:val="none" w:sz="0" w:space="0" w:color="auto"/>
            <w:right w:val="none" w:sz="0" w:space="0" w:color="auto"/>
          </w:divBdr>
          <w:divsChild>
            <w:div w:id="1377850525">
              <w:marLeft w:val="0"/>
              <w:marRight w:val="0"/>
              <w:marTop w:val="0"/>
              <w:marBottom w:val="0"/>
              <w:divBdr>
                <w:top w:val="none" w:sz="0" w:space="0" w:color="auto"/>
                <w:left w:val="none" w:sz="0" w:space="0" w:color="auto"/>
                <w:bottom w:val="none" w:sz="0" w:space="0" w:color="auto"/>
                <w:right w:val="none" w:sz="0" w:space="0" w:color="auto"/>
              </w:divBdr>
            </w:div>
          </w:divsChild>
        </w:div>
        <w:div w:id="826283638">
          <w:marLeft w:val="0"/>
          <w:marRight w:val="0"/>
          <w:marTop w:val="0"/>
          <w:marBottom w:val="0"/>
          <w:divBdr>
            <w:top w:val="none" w:sz="0" w:space="0" w:color="auto"/>
            <w:left w:val="none" w:sz="0" w:space="0" w:color="auto"/>
            <w:bottom w:val="none" w:sz="0" w:space="0" w:color="auto"/>
            <w:right w:val="none" w:sz="0" w:space="0" w:color="auto"/>
          </w:divBdr>
          <w:divsChild>
            <w:div w:id="351423572">
              <w:marLeft w:val="0"/>
              <w:marRight w:val="0"/>
              <w:marTop w:val="0"/>
              <w:marBottom w:val="0"/>
              <w:divBdr>
                <w:top w:val="none" w:sz="0" w:space="0" w:color="auto"/>
                <w:left w:val="none" w:sz="0" w:space="0" w:color="auto"/>
                <w:bottom w:val="none" w:sz="0" w:space="0" w:color="auto"/>
                <w:right w:val="none" w:sz="0" w:space="0" w:color="auto"/>
              </w:divBdr>
            </w:div>
            <w:div w:id="1314024280">
              <w:marLeft w:val="0"/>
              <w:marRight w:val="0"/>
              <w:marTop w:val="0"/>
              <w:marBottom w:val="0"/>
              <w:divBdr>
                <w:top w:val="none" w:sz="0" w:space="0" w:color="auto"/>
                <w:left w:val="none" w:sz="0" w:space="0" w:color="auto"/>
                <w:bottom w:val="none" w:sz="0" w:space="0" w:color="auto"/>
                <w:right w:val="none" w:sz="0" w:space="0" w:color="auto"/>
              </w:divBdr>
            </w:div>
          </w:divsChild>
        </w:div>
        <w:div w:id="828519558">
          <w:marLeft w:val="0"/>
          <w:marRight w:val="0"/>
          <w:marTop w:val="0"/>
          <w:marBottom w:val="0"/>
          <w:divBdr>
            <w:top w:val="none" w:sz="0" w:space="0" w:color="auto"/>
            <w:left w:val="none" w:sz="0" w:space="0" w:color="auto"/>
            <w:bottom w:val="none" w:sz="0" w:space="0" w:color="auto"/>
            <w:right w:val="none" w:sz="0" w:space="0" w:color="auto"/>
          </w:divBdr>
          <w:divsChild>
            <w:div w:id="3438935">
              <w:marLeft w:val="0"/>
              <w:marRight w:val="0"/>
              <w:marTop w:val="0"/>
              <w:marBottom w:val="0"/>
              <w:divBdr>
                <w:top w:val="none" w:sz="0" w:space="0" w:color="auto"/>
                <w:left w:val="none" w:sz="0" w:space="0" w:color="auto"/>
                <w:bottom w:val="none" w:sz="0" w:space="0" w:color="auto"/>
                <w:right w:val="none" w:sz="0" w:space="0" w:color="auto"/>
              </w:divBdr>
            </w:div>
            <w:div w:id="126776521">
              <w:marLeft w:val="0"/>
              <w:marRight w:val="0"/>
              <w:marTop w:val="0"/>
              <w:marBottom w:val="0"/>
              <w:divBdr>
                <w:top w:val="none" w:sz="0" w:space="0" w:color="auto"/>
                <w:left w:val="none" w:sz="0" w:space="0" w:color="auto"/>
                <w:bottom w:val="none" w:sz="0" w:space="0" w:color="auto"/>
                <w:right w:val="none" w:sz="0" w:space="0" w:color="auto"/>
              </w:divBdr>
            </w:div>
          </w:divsChild>
        </w:div>
        <w:div w:id="830409055">
          <w:marLeft w:val="0"/>
          <w:marRight w:val="0"/>
          <w:marTop w:val="0"/>
          <w:marBottom w:val="0"/>
          <w:divBdr>
            <w:top w:val="none" w:sz="0" w:space="0" w:color="auto"/>
            <w:left w:val="none" w:sz="0" w:space="0" w:color="auto"/>
            <w:bottom w:val="none" w:sz="0" w:space="0" w:color="auto"/>
            <w:right w:val="none" w:sz="0" w:space="0" w:color="auto"/>
          </w:divBdr>
          <w:divsChild>
            <w:div w:id="1892960669">
              <w:marLeft w:val="0"/>
              <w:marRight w:val="0"/>
              <w:marTop w:val="0"/>
              <w:marBottom w:val="0"/>
              <w:divBdr>
                <w:top w:val="none" w:sz="0" w:space="0" w:color="auto"/>
                <w:left w:val="none" w:sz="0" w:space="0" w:color="auto"/>
                <w:bottom w:val="none" w:sz="0" w:space="0" w:color="auto"/>
                <w:right w:val="none" w:sz="0" w:space="0" w:color="auto"/>
              </w:divBdr>
            </w:div>
            <w:div w:id="1962220702">
              <w:marLeft w:val="0"/>
              <w:marRight w:val="0"/>
              <w:marTop w:val="0"/>
              <w:marBottom w:val="0"/>
              <w:divBdr>
                <w:top w:val="none" w:sz="0" w:space="0" w:color="auto"/>
                <w:left w:val="none" w:sz="0" w:space="0" w:color="auto"/>
                <w:bottom w:val="none" w:sz="0" w:space="0" w:color="auto"/>
                <w:right w:val="none" w:sz="0" w:space="0" w:color="auto"/>
              </w:divBdr>
            </w:div>
          </w:divsChild>
        </w:div>
        <w:div w:id="838233648">
          <w:marLeft w:val="0"/>
          <w:marRight w:val="0"/>
          <w:marTop w:val="0"/>
          <w:marBottom w:val="0"/>
          <w:divBdr>
            <w:top w:val="none" w:sz="0" w:space="0" w:color="auto"/>
            <w:left w:val="none" w:sz="0" w:space="0" w:color="auto"/>
            <w:bottom w:val="none" w:sz="0" w:space="0" w:color="auto"/>
            <w:right w:val="none" w:sz="0" w:space="0" w:color="auto"/>
          </w:divBdr>
          <w:divsChild>
            <w:div w:id="257370510">
              <w:marLeft w:val="0"/>
              <w:marRight w:val="0"/>
              <w:marTop w:val="0"/>
              <w:marBottom w:val="0"/>
              <w:divBdr>
                <w:top w:val="none" w:sz="0" w:space="0" w:color="auto"/>
                <w:left w:val="none" w:sz="0" w:space="0" w:color="auto"/>
                <w:bottom w:val="none" w:sz="0" w:space="0" w:color="auto"/>
                <w:right w:val="none" w:sz="0" w:space="0" w:color="auto"/>
              </w:divBdr>
            </w:div>
            <w:div w:id="378365323">
              <w:marLeft w:val="0"/>
              <w:marRight w:val="0"/>
              <w:marTop w:val="0"/>
              <w:marBottom w:val="0"/>
              <w:divBdr>
                <w:top w:val="none" w:sz="0" w:space="0" w:color="auto"/>
                <w:left w:val="none" w:sz="0" w:space="0" w:color="auto"/>
                <w:bottom w:val="none" w:sz="0" w:space="0" w:color="auto"/>
                <w:right w:val="none" w:sz="0" w:space="0" w:color="auto"/>
              </w:divBdr>
            </w:div>
            <w:div w:id="827287861">
              <w:marLeft w:val="0"/>
              <w:marRight w:val="0"/>
              <w:marTop w:val="0"/>
              <w:marBottom w:val="0"/>
              <w:divBdr>
                <w:top w:val="none" w:sz="0" w:space="0" w:color="auto"/>
                <w:left w:val="none" w:sz="0" w:space="0" w:color="auto"/>
                <w:bottom w:val="none" w:sz="0" w:space="0" w:color="auto"/>
                <w:right w:val="none" w:sz="0" w:space="0" w:color="auto"/>
              </w:divBdr>
            </w:div>
            <w:div w:id="892038937">
              <w:marLeft w:val="0"/>
              <w:marRight w:val="0"/>
              <w:marTop w:val="0"/>
              <w:marBottom w:val="0"/>
              <w:divBdr>
                <w:top w:val="none" w:sz="0" w:space="0" w:color="auto"/>
                <w:left w:val="none" w:sz="0" w:space="0" w:color="auto"/>
                <w:bottom w:val="none" w:sz="0" w:space="0" w:color="auto"/>
                <w:right w:val="none" w:sz="0" w:space="0" w:color="auto"/>
              </w:divBdr>
            </w:div>
            <w:div w:id="902376866">
              <w:marLeft w:val="0"/>
              <w:marRight w:val="0"/>
              <w:marTop w:val="0"/>
              <w:marBottom w:val="0"/>
              <w:divBdr>
                <w:top w:val="none" w:sz="0" w:space="0" w:color="auto"/>
                <w:left w:val="none" w:sz="0" w:space="0" w:color="auto"/>
                <w:bottom w:val="none" w:sz="0" w:space="0" w:color="auto"/>
                <w:right w:val="none" w:sz="0" w:space="0" w:color="auto"/>
              </w:divBdr>
            </w:div>
            <w:div w:id="985859572">
              <w:marLeft w:val="0"/>
              <w:marRight w:val="0"/>
              <w:marTop w:val="0"/>
              <w:marBottom w:val="0"/>
              <w:divBdr>
                <w:top w:val="none" w:sz="0" w:space="0" w:color="auto"/>
                <w:left w:val="none" w:sz="0" w:space="0" w:color="auto"/>
                <w:bottom w:val="none" w:sz="0" w:space="0" w:color="auto"/>
                <w:right w:val="none" w:sz="0" w:space="0" w:color="auto"/>
              </w:divBdr>
            </w:div>
            <w:div w:id="1031029123">
              <w:marLeft w:val="0"/>
              <w:marRight w:val="0"/>
              <w:marTop w:val="0"/>
              <w:marBottom w:val="0"/>
              <w:divBdr>
                <w:top w:val="none" w:sz="0" w:space="0" w:color="auto"/>
                <w:left w:val="none" w:sz="0" w:space="0" w:color="auto"/>
                <w:bottom w:val="none" w:sz="0" w:space="0" w:color="auto"/>
                <w:right w:val="none" w:sz="0" w:space="0" w:color="auto"/>
              </w:divBdr>
            </w:div>
            <w:div w:id="1082919812">
              <w:marLeft w:val="0"/>
              <w:marRight w:val="0"/>
              <w:marTop w:val="0"/>
              <w:marBottom w:val="0"/>
              <w:divBdr>
                <w:top w:val="none" w:sz="0" w:space="0" w:color="auto"/>
                <w:left w:val="none" w:sz="0" w:space="0" w:color="auto"/>
                <w:bottom w:val="none" w:sz="0" w:space="0" w:color="auto"/>
                <w:right w:val="none" w:sz="0" w:space="0" w:color="auto"/>
              </w:divBdr>
            </w:div>
            <w:div w:id="1393651057">
              <w:marLeft w:val="0"/>
              <w:marRight w:val="0"/>
              <w:marTop w:val="0"/>
              <w:marBottom w:val="0"/>
              <w:divBdr>
                <w:top w:val="none" w:sz="0" w:space="0" w:color="auto"/>
                <w:left w:val="none" w:sz="0" w:space="0" w:color="auto"/>
                <w:bottom w:val="none" w:sz="0" w:space="0" w:color="auto"/>
                <w:right w:val="none" w:sz="0" w:space="0" w:color="auto"/>
              </w:divBdr>
            </w:div>
            <w:div w:id="1406102132">
              <w:marLeft w:val="0"/>
              <w:marRight w:val="0"/>
              <w:marTop w:val="0"/>
              <w:marBottom w:val="0"/>
              <w:divBdr>
                <w:top w:val="none" w:sz="0" w:space="0" w:color="auto"/>
                <w:left w:val="none" w:sz="0" w:space="0" w:color="auto"/>
                <w:bottom w:val="none" w:sz="0" w:space="0" w:color="auto"/>
                <w:right w:val="none" w:sz="0" w:space="0" w:color="auto"/>
              </w:divBdr>
            </w:div>
            <w:div w:id="1435247717">
              <w:marLeft w:val="0"/>
              <w:marRight w:val="0"/>
              <w:marTop w:val="0"/>
              <w:marBottom w:val="0"/>
              <w:divBdr>
                <w:top w:val="none" w:sz="0" w:space="0" w:color="auto"/>
                <w:left w:val="none" w:sz="0" w:space="0" w:color="auto"/>
                <w:bottom w:val="none" w:sz="0" w:space="0" w:color="auto"/>
                <w:right w:val="none" w:sz="0" w:space="0" w:color="auto"/>
              </w:divBdr>
            </w:div>
            <w:div w:id="1695227847">
              <w:marLeft w:val="0"/>
              <w:marRight w:val="0"/>
              <w:marTop w:val="0"/>
              <w:marBottom w:val="0"/>
              <w:divBdr>
                <w:top w:val="none" w:sz="0" w:space="0" w:color="auto"/>
                <w:left w:val="none" w:sz="0" w:space="0" w:color="auto"/>
                <w:bottom w:val="none" w:sz="0" w:space="0" w:color="auto"/>
                <w:right w:val="none" w:sz="0" w:space="0" w:color="auto"/>
              </w:divBdr>
            </w:div>
            <w:div w:id="1725904288">
              <w:marLeft w:val="0"/>
              <w:marRight w:val="0"/>
              <w:marTop w:val="0"/>
              <w:marBottom w:val="0"/>
              <w:divBdr>
                <w:top w:val="none" w:sz="0" w:space="0" w:color="auto"/>
                <w:left w:val="none" w:sz="0" w:space="0" w:color="auto"/>
                <w:bottom w:val="none" w:sz="0" w:space="0" w:color="auto"/>
                <w:right w:val="none" w:sz="0" w:space="0" w:color="auto"/>
              </w:divBdr>
            </w:div>
          </w:divsChild>
        </w:div>
        <w:div w:id="838928123">
          <w:marLeft w:val="0"/>
          <w:marRight w:val="0"/>
          <w:marTop w:val="0"/>
          <w:marBottom w:val="0"/>
          <w:divBdr>
            <w:top w:val="none" w:sz="0" w:space="0" w:color="auto"/>
            <w:left w:val="none" w:sz="0" w:space="0" w:color="auto"/>
            <w:bottom w:val="none" w:sz="0" w:space="0" w:color="auto"/>
            <w:right w:val="none" w:sz="0" w:space="0" w:color="auto"/>
          </w:divBdr>
          <w:divsChild>
            <w:div w:id="603728603">
              <w:marLeft w:val="0"/>
              <w:marRight w:val="0"/>
              <w:marTop w:val="0"/>
              <w:marBottom w:val="0"/>
              <w:divBdr>
                <w:top w:val="none" w:sz="0" w:space="0" w:color="auto"/>
                <w:left w:val="none" w:sz="0" w:space="0" w:color="auto"/>
                <w:bottom w:val="none" w:sz="0" w:space="0" w:color="auto"/>
                <w:right w:val="none" w:sz="0" w:space="0" w:color="auto"/>
              </w:divBdr>
            </w:div>
          </w:divsChild>
        </w:div>
        <w:div w:id="841239325">
          <w:marLeft w:val="0"/>
          <w:marRight w:val="0"/>
          <w:marTop w:val="0"/>
          <w:marBottom w:val="0"/>
          <w:divBdr>
            <w:top w:val="none" w:sz="0" w:space="0" w:color="auto"/>
            <w:left w:val="none" w:sz="0" w:space="0" w:color="auto"/>
            <w:bottom w:val="none" w:sz="0" w:space="0" w:color="auto"/>
            <w:right w:val="none" w:sz="0" w:space="0" w:color="auto"/>
          </w:divBdr>
          <w:divsChild>
            <w:div w:id="2120829942">
              <w:marLeft w:val="0"/>
              <w:marRight w:val="0"/>
              <w:marTop w:val="0"/>
              <w:marBottom w:val="0"/>
              <w:divBdr>
                <w:top w:val="none" w:sz="0" w:space="0" w:color="auto"/>
                <w:left w:val="none" w:sz="0" w:space="0" w:color="auto"/>
                <w:bottom w:val="none" w:sz="0" w:space="0" w:color="auto"/>
                <w:right w:val="none" w:sz="0" w:space="0" w:color="auto"/>
              </w:divBdr>
            </w:div>
          </w:divsChild>
        </w:div>
        <w:div w:id="847866804">
          <w:marLeft w:val="0"/>
          <w:marRight w:val="0"/>
          <w:marTop w:val="0"/>
          <w:marBottom w:val="0"/>
          <w:divBdr>
            <w:top w:val="none" w:sz="0" w:space="0" w:color="auto"/>
            <w:left w:val="none" w:sz="0" w:space="0" w:color="auto"/>
            <w:bottom w:val="none" w:sz="0" w:space="0" w:color="auto"/>
            <w:right w:val="none" w:sz="0" w:space="0" w:color="auto"/>
          </w:divBdr>
          <w:divsChild>
            <w:div w:id="942998429">
              <w:marLeft w:val="0"/>
              <w:marRight w:val="0"/>
              <w:marTop w:val="0"/>
              <w:marBottom w:val="0"/>
              <w:divBdr>
                <w:top w:val="none" w:sz="0" w:space="0" w:color="auto"/>
                <w:left w:val="none" w:sz="0" w:space="0" w:color="auto"/>
                <w:bottom w:val="none" w:sz="0" w:space="0" w:color="auto"/>
                <w:right w:val="none" w:sz="0" w:space="0" w:color="auto"/>
              </w:divBdr>
            </w:div>
          </w:divsChild>
        </w:div>
        <w:div w:id="850340626">
          <w:marLeft w:val="0"/>
          <w:marRight w:val="0"/>
          <w:marTop w:val="0"/>
          <w:marBottom w:val="0"/>
          <w:divBdr>
            <w:top w:val="none" w:sz="0" w:space="0" w:color="auto"/>
            <w:left w:val="none" w:sz="0" w:space="0" w:color="auto"/>
            <w:bottom w:val="none" w:sz="0" w:space="0" w:color="auto"/>
            <w:right w:val="none" w:sz="0" w:space="0" w:color="auto"/>
          </w:divBdr>
          <w:divsChild>
            <w:div w:id="26957343">
              <w:marLeft w:val="0"/>
              <w:marRight w:val="0"/>
              <w:marTop w:val="0"/>
              <w:marBottom w:val="0"/>
              <w:divBdr>
                <w:top w:val="none" w:sz="0" w:space="0" w:color="auto"/>
                <w:left w:val="none" w:sz="0" w:space="0" w:color="auto"/>
                <w:bottom w:val="none" w:sz="0" w:space="0" w:color="auto"/>
                <w:right w:val="none" w:sz="0" w:space="0" w:color="auto"/>
              </w:divBdr>
            </w:div>
            <w:div w:id="1978602661">
              <w:marLeft w:val="0"/>
              <w:marRight w:val="0"/>
              <w:marTop w:val="0"/>
              <w:marBottom w:val="0"/>
              <w:divBdr>
                <w:top w:val="none" w:sz="0" w:space="0" w:color="auto"/>
                <w:left w:val="none" w:sz="0" w:space="0" w:color="auto"/>
                <w:bottom w:val="none" w:sz="0" w:space="0" w:color="auto"/>
                <w:right w:val="none" w:sz="0" w:space="0" w:color="auto"/>
              </w:divBdr>
            </w:div>
            <w:div w:id="2143495262">
              <w:marLeft w:val="0"/>
              <w:marRight w:val="0"/>
              <w:marTop w:val="0"/>
              <w:marBottom w:val="0"/>
              <w:divBdr>
                <w:top w:val="none" w:sz="0" w:space="0" w:color="auto"/>
                <w:left w:val="none" w:sz="0" w:space="0" w:color="auto"/>
                <w:bottom w:val="none" w:sz="0" w:space="0" w:color="auto"/>
                <w:right w:val="none" w:sz="0" w:space="0" w:color="auto"/>
              </w:divBdr>
            </w:div>
          </w:divsChild>
        </w:div>
        <w:div w:id="851800562">
          <w:marLeft w:val="0"/>
          <w:marRight w:val="0"/>
          <w:marTop w:val="0"/>
          <w:marBottom w:val="0"/>
          <w:divBdr>
            <w:top w:val="none" w:sz="0" w:space="0" w:color="auto"/>
            <w:left w:val="none" w:sz="0" w:space="0" w:color="auto"/>
            <w:bottom w:val="none" w:sz="0" w:space="0" w:color="auto"/>
            <w:right w:val="none" w:sz="0" w:space="0" w:color="auto"/>
          </w:divBdr>
          <w:divsChild>
            <w:div w:id="670639325">
              <w:marLeft w:val="0"/>
              <w:marRight w:val="0"/>
              <w:marTop w:val="0"/>
              <w:marBottom w:val="0"/>
              <w:divBdr>
                <w:top w:val="none" w:sz="0" w:space="0" w:color="auto"/>
                <w:left w:val="none" w:sz="0" w:space="0" w:color="auto"/>
                <w:bottom w:val="none" w:sz="0" w:space="0" w:color="auto"/>
                <w:right w:val="none" w:sz="0" w:space="0" w:color="auto"/>
              </w:divBdr>
            </w:div>
          </w:divsChild>
        </w:div>
        <w:div w:id="853418979">
          <w:marLeft w:val="0"/>
          <w:marRight w:val="0"/>
          <w:marTop w:val="0"/>
          <w:marBottom w:val="0"/>
          <w:divBdr>
            <w:top w:val="none" w:sz="0" w:space="0" w:color="auto"/>
            <w:left w:val="none" w:sz="0" w:space="0" w:color="auto"/>
            <w:bottom w:val="none" w:sz="0" w:space="0" w:color="auto"/>
            <w:right w:val="none" w:sz="0" w:space="0" w:color="auto"/>
          </w:divBdr>
          <w:divsChild>
            <w:div w:id="872116343">
              <w:marLeft w:val="0"/>
              <w:marRight w:val="0"/>
              <w:marTop w:val="0"/>
              <w:marBottom w:val="0"/>
              <w:divBdr>
                <w:top w:val="none" w:sz="0" w:space="0" w:color="auto"/>
                <w:left w:val="none" w:sz="0" w:space="0" w:color="auto"/>
                <w:bottom w:val="none" w:sz="0" w:space="0" w:color="auto"/>
                <w:right w:val="none" w:sz="0" w:space="0" w:color="auto"/>
              </w:divBdr>
            </w:div>
          </w:divsChild>
        </w:div>
        <w:div w:id="854074020">
          <w:marLeft w:val="0"/>
          <w:marRight w:val="0"/>
          <w:marTop w:val="0"/>
          <w:marBottom w:val="0"/>
          <w:divBdr>
            <w:top w:val="none" w:sz="0" w:space="0" w:color="auto"/>
            <w:left w:val="none" w:sz="0" w:space="0" w:color="auto"/>
            <w:bottom w:val="none" w:sz="0" w:space="0" w:color="auto"/>
            <w:right w:val="none" w:sz="0" w:space="0" w:color="auto"/>
          </w:divBdr>
          <w:divsChild>
            <w:div w:id="415178255">
              <w:marLeft w:val="0"/>
              <w:marRight w:val="0"/>
              <w:marTop w:val="0"/>
              <w:marBottom w:val="0"/>
              <w:divBdr>
                <w:top w:val="none" w:sz="0" w:space="0" w:color="auto"/>
                <w:left w:val="none" w:sz="0" w:space="0" w:color="auto"/>
                <w:bottom w:val="none" w:sz="0" w:space="0" w:color="auto"/>
                <w:right w:val="none" w:sz="0" w:space="0" w:color="auto"/>
              </w:divBdr>
            </w:div>
          </w:divsChild>
        </w:div>
        <w:div w:id="861435957">
          <w:marLeft w:val="0"/>
          <w:marRight w:val="0"/>
          <w:marTop w:val="0"/>
          <w:marBottom w:val="0"/>
          <w:divBdr>
            <w:top w:val="none" w:sz="0" w:space="0" w:color="auto"/>
            <w:left w:val="none" w:sz="0" w:space="0" w:color="auto"/>
            <w:bottom w:val="none" w:sz="0" w:space="0" w:color="auto"/>
            <w:right w:val="none" w:sz="0" w:space="0" w:color="auto"/>
          </w:divBdr>
          <w:divsChild>
            <w:div w:id="641277325">
              <w:marLeft w:val="0"/>
              <w:marRight w:val="0"/>
              <w:marTop w:val="0"/>
              <w:marBottom w:val="0"/>
              <w:divBdr>
                <w:top w:val="none" w:sz="0" w:space="0" w:color="auto"/>
                <w:left w:val="none" w:sz="0" w:space="0" w:color="auto"/>
                <w:bottom w:val="none" w:sz="0" w:space="0" w:color="auto"/>
                <w:right w:val="none" w:sz="0" w:space="0" w:color="auto"/>
              </w:divBdr>
            </w:div>
          </w:divsChild>
        </w:div>
        <w:div w:id="864289038">
          <w:marLeft w:val="0"/>
          <w:marRight w:val="0"/>
          <w:marTop w:val="0"/>
          <w:marBottom w:val="0"/>
          <w:divBdr>
            <w:top w:val="none" w:sz="0" w:space="0" w:color="auto"/>
            <w:left w:val="none" w:sz="0" w:space="0" w:color="auto"/>
            <w:bottom w:val="none" w:sz="0" w:space="0" w:color="auto"/>
            <w:right w:val="none" w:sz="0" w:space="0" w:color="auto"/>
          </w:divBdr>
          <w:divsChild>
            <w:div w:id="1948148080">
              <w:marLeft w:val="0"/>
              <w:marRight w:val="0"/>
              <w:marTop w:val="0"/>
              <w:marBottom w:val="0"/>
              <w:divBdr>
                <w:top w:val="none" w:sz="0" w:space="0" w:color="auto"/>
                <w:left w:val="none" w:sz="0" w:space="0" w:color="auto"/>
                <w:bottom w:val="none" w:sz="0" w:space="0" w:color="auto"/>
                <w:right w:val="none" w:sz="0" w:space="0" w:color="auto"/>
              </w:divBdr>
            </w:div>
          </w:divsChild>
        </w:div>
        <w:div w:id="864634399">
          <w:marLeft w:val="0"/>
          <w:marRight w:val="0"/>
          <w:marTop w:val="0"/>
          <w:marBottom w:val="0"/>
          <w:divBdr>
            <w:top w:val="none" w:sz="0" w:space="0" w:color="auto"/>
            <w:left w:val="none" w:sz="0" w:space="0" w:color="auto"/>
            <w:bottom w:val="none" w:sz="0" w:space="0" w:color="auto"/>
            <w:right w:val="none" w:sz="0" w:space="0" w:color="auto"/>
          </w:divBdr>
          <w:divsChild>
            <w:div w:id="292098771">
              <w:marLeft w:val="0"/>
              <w:marRight w:val="0"/>
              <w:marTop w:val="0"/>
              <w:marBottom w:val="0"/>
              <w:divBdr>
                <w:top w:val="none" w:sz="0" w:space="0" w:color="auto"/>
                <w:left w:val="none" w:sz="0" w:space="0" w:color="auto"/>
                <w:bottom w:val="none" w:sz="0" w:space="0" w:color="auto"/>
                <w:right w:val="none" w:sz="0" w:space="0" w:color="auto"/>
              </w:divBdr>
            </w:div>
          </w:divsChild>
        </w:div>
        <w:div w:id="868950428">
          <w:marLeft w:val="0"/>
          <w:marRight w:val="0"/>
          <w:marTop w:val="0"/>
          <w:marBottom w:val="0"/>
          <w:divBdr>
            <w:top w:val="none" w:sz="0" w:space="0" w:color="auto"/>
            <w:left w:val="none" w:sz="0" w:space="0" w:color="auto"/>
            <w:bottom w:val="none" w:sz="0" w:space="0" w:color="auto"/>
            <w:right w:val="none" w:sz="0" w:space="0" w:color="auto"/>
          </w:divBdr>
          <w:divsChild>
            <w:div w:id="1607425512">
              <w:marLeft w:val="0"/>
              <w:marRight w:val="0"/>
              <w:marTop w:val="0"/>
              <w:marBottom w:val="0"/>
              <w:divBdr>
                <w:top w:val="none" w:sz="0" w:space="0" w:color="auto"/>
                <w:left w:val="none" w:sz="0" w:space="0" w:color="auto"/>
                <w:bottom w:val="none" w:sz="0" w:space="0" w:color="auto"/>
                <w:right w:val="none" w:sz="0" w:space="0" w:color="auto"/>
              </w:divBdr>
            </w:div>
          </w:divsChild>
        </w:div>
        <w:div w:id="870998548">
          <w:marLeft w:val="0"/>
          <w:marRight w:val="0"/>
          <w:marTop w:val="0"/>
          <w:marBottom w:val="0"/>
          <w:divBdr>
            <w:top w:val="none" w:sz="0" w:space="0" w:color="auto"/>
            <w:left w:val="none" w:sz="0" w:space="0" w:color="auto"/>
            <w:bottom w:val="none" w:sz="0" w:space="0" w:color="auto"/>
            <w:right w:val="none" w:sz="0" w:space="0" w:color="auto"/>
          </w:divBdr>
          <w:divsChild>
            <w:div w:id="57024392">
              <w:marLeft w:val="0"/>
              <w:marRight w:val="0"/>
              <w:marTop w:val="0"/>
              <w:marBottom w:val="0"/>
              <w:divBdr>
                <w:top w:val="none" w:sz="0" w:space="0" w:color="auto"/>
                <w:left w:val="none" w:sz="0" w:space="0" w:color="auto"/>
                <w:bottom w:val="none" w:sz="0" w:space="0" w:color="auto"/>
                <w:right w:val="none" w:sz="0" w:space="0" w:color="auto"/>
              </w:divBdr>
            </w:div>
            <w:div w:id="981158573">
              <w:marLeft w:val="0"/>
              <w:marRight w:val="0"/>
              <w:marTop w:val="0"/>
              <w:marBottom w:val="0"/>
              <w:divBdr>
                <w:top w:val="none" w:sz="0" w:space="0" w:color="auto"/>
                <w:left w:val="none" w:sz="0" w:space="0" w:color="auto"/>
                <w:bottom w:val="none" w:sz="0" w:space="0" w:color="auto"/>
                <w:right w:val="none" w:sz="0" w:space="0" w:color="auto"/>
              </w:divBdr>
            </w:div>
            <w:div w:id="1539511794">
              <w:marLeft w:val="0"/>
              <w:marRight w:val="0"/>
              <w:marTop w:val="0"/>
              <w:marBottom w:val="0"/>
              <w:divBdr>
                <w:top w:val="none" w:sz="0" w:space="0" w:color="auto"/>
                <w:left w:val="none" w:sz="0" w:space="0" w:color="auto"/>
                <w:bottom w:val="none" w:sz="0" w:space="0" w:color="auto"/>
                <w:right w:val="none" w:sz="0" w:space="0" w:color="auto"/>
              </w:divBdr>
            </w:div>
            <w:div w:id="1615819526">
              <w:marLeft w:val="0"/>
              <w:marRight w:val="0"/>
              <w:marTop w:val="0"/>
              <w:marBottom w:val="0"/>
              <w:divBdr>
                <w:top w:val="none" w:sz="0" w:space="0" w:color="auto"/>
                <w:left w:val="none" w:sz="0" w:space="0" w:color="auto"/>
                <w:bottom w:val="none" w:sz="0" w:space="0" w:color="auto"/>
                <w:right w:val="none" w:sz="0" w:space="0" w:color="auto"/>
              </w:divBdr>
            </w:div>
            <w:div w:id="1957711273">
              <w:marLeft w:val="0"/>
              <w:marRight w:val="0"/>
              <w:marTop w:val="0"/>
              <w:marBottom w:val="0"/>
              <w:divBdr>
                <w:top w:val="none" w:sz="0" w:space="0" w:color="auto"/>
                <w:left w:val="none" w:sz="0" w:space="0" w:color="auto"/>
                <w:bottom w:val="none" w:sz="0" w:space="0" w:color="auto"/>
                <w:right w:val="none" w:sz="0" w:space="0" w:color="auto"/>
              </w:divBdr>
            </w:div>
          </w:divsChild>
        </w:div>
        <w:div w:id="873540744">
          <w:marLeft w:val="0"/>
          <w:marRight w:val="0"/>
          <w:marTop w:val="0"/>
          <w:marBottom w:val="0"/>
          <w:divBdr>
            <w:top w:val="none" w:sz="0" w:space="0" w:color="auto"/>
            <w:left w:val="none" w:sz="0" w:space="0" w:color="auto"/>
            <w:bottom w:val="none" w:sz="0" w:space="0" w:color="auto"/>
            <w:right w:val="none" w:sz="0" w:space="0" w:color="auto"/>
          </w:divBdr>
          <w:divsChild>
            <w:div w:id="1229658492">
              <w:marLeft w:val="0"/>
              <w:marRight w:val="0"/>
              <w:marTop w:val="0"/>
              <w:marBottom w:val="0"/>
              <w:divBdr>
                <w:top w:val="none" w:sz="0" w:space="0" w:color="auto"/>
                <w:left w:val="none" w:sz="0" w:space="0" w:color="auto"/>
                <w:bottom w:val="none" w:sz="0" w:space="0" w:color="auto"/>
                <w:right w:val="none" w:sz="0" w:space="0" w:color="auto"/>
              </w:divBdr>
            </w:div>
          </w:divsChild>
        </w:div>
        <w:div w:id="877401138">
          <w:marLeft w:val="0"/>
          <w:marRight w:val="0"/>
          <w:marTop w:val="0"/>
          <w:marBottom w:val="0"/>
          <w:divBdr>
            <w:top w:val="none" w:sz="0" w:space="0" w:color="auto"/>
            <w:left w:val="none" w:sz="0" w:space="0" w:color="auto"/>
            <w:bottom w:val="none" w:sz="0" w:space="0" w:color="auto"/>
            <w:right w:val="none" w:sz="0" w:space="0" w:color="auto"/>
          </w:divBdr>
          <w:divsChild>
            <w:div w:id="964893732">
              <w:marLeft w:val="0"/>
              <w:marRight w:val="0"/>
              <w:marTop w:val="0"/>
              <w:marBottom w:val="0"/>
              <w:divBdr>
                <w:top w:val="none" w:sz="0" w:space="0" w:color="auto"/>
                <w:left w:val="none" w:sz="0" w:space="0" w:color="auto"/>
                <w:bottom w:val="none" w:sz="0" w:space="0" w:color="auto"/>
                <w:right w:val="none" w:sz="0" w:space="0" w:color="auto"/>
              </w:divBdr>
            </w:div>
          </w:divsChild>
        </w:div>
        <w:div w:id="878203728">
          <w:marLeft w:val="0"/>
          <w:marRight w:val="0"/>
          <w:marTop w:val="0"/>
          <w:marBottom w:val="0"/>
          <w:divBdr>
            <w:top w:val="none" w:sz="0" w:space="0" w:color="auto"/>
            <w:left w:val="none" w:sz="0" w:space="0" w:color="auto"/>
            <w:bottom w:val="none" w:sz="0" w:space="0" w:color="auto"/>
            <w:right w:val="none" w:sz="0" w:space="0" w:color="auto"/>
          </w:divBdr>
          <w:divsChild>
            <w:div w:id="1472409051">
              <w:marLeft w:val="0"/>
              <w:marRight w:val="0"/>
              <w:marTop w:val="0"/>
              <w:marBottom w:val="0"/>
              <w:divBdr>
                <w:top w:val="none" w:sz="0" w:space="0" w:color="auto"/>
                <w:left w:val="none" w:sz="0" w:space="0" w:color="auto"/>
                <w:bottom w:val="none" w:sz="0" w:space="0" w:color="auto"/>
                <w:right w:val="none" w:sz="0" w:space="0" w:color="auto"/>
              </w:divBdr>
            </w:div>
          </w:divsChild>
        </w:div>
        <w:div w:id="889267011">
          <w:marLeft w:val="0"/>
          <w:marRight w:val="0"/>
          <w:marTop w:val="0"/>
          <w:marBottom w:val="0"/>
          <w:divBdr>
            <w:top w:val="none" w:sz="0" w:space="0" w:color="auto"/>
            <w:left w:val="none" w:sz="0" w:space="0" w:color="auto"/>
            <w:bottom w:val="none" w:sz="0" w:space="0" w:color="auto"/>
            <w:right w:val="none" w:sz="0" w:space="0" w:color="auto"/>
          </w:divBdr>
          <w:divsChild>
            <w:div w:id="552890177">
              <w:marLeft w:val="0"/>
              <w:marRight w:val="0"/>
              <w:marTop w:val="0"/>
              <w:marBottom w:val="0"/>
              <w:divBdr>
                <w:top w:val="none" w:sz="0" w:space="0" w:color="auto"/>
                <w:left w:val="none" w:sz="0" w:space="0" w:color="auto"/>
                <w:bottom w:val="none" w:sz="0" w:space="0" w:color="auto"/>
                <w:right w:val="none" w:sz="0" w:space="0" w:color="auto"/>
              </w:divBdr>
            </w:div>
          </w:divsChild>
        </w:div>
        <w:div w:id="893659154">
          <w:marLeft w:val="0"/>
          <w:marRight w:val="0"/>
          <w:marTop w:val="0"/>
          <w:marBottom w:val="0"/>
          <w:divBdr>
            <w:top w:val="none" w:sz="0" w:space="0" w:color="auto"/>
            <w:left w:val="none" w:sz="0" w:space="0" w:color="auto"/>
            <w:bottom w:val="none" w:sz="0" w:space="0" w:color="auto"/>
            <w:right w:val="none" w:sz="0" w:space="0" w:color="auto"/>
          </w:divBdr>
          <w:divsChild>
            <w:div w:id="42993332">
              <w:marLeft w:val="0"/>
              <w:marRight w:val="0"/>
              <w:marTop w:val="0"/>
              <w:marBottom w:val="0"/>
              <w:divBdr>
                <w:top w:val="none" w:sz="0" w:space="0" w:color="auto"/>
                <w:left w:val="none" w:sz="0" w:space="0" w:color="auto"/>
                <w:bottom w:val="none" w:sz="0" w:space="0" w:color="auto"/>
                <w:right w:val="none" w:sz="0" w:space="0" w:color="auto"/>
              </w:divBdr>
            </w:div>
            <w:div w:id="54747216">
              <w:marLeft w:val="0"/>
              <w:marRight w:val="0"/>
              <w:marTop w:val="0"/>
              <w:marBottom w:val="0"/>
              <w:divBdr>
                <w:top w:val="none" w:sz="0" w:space="0" w:color="auto"/>
                <w:left w:val="none" w:sz="0" w:space="0" w:color="auto"/>
                <w:bottom w:val="none" w:sz="0" w:space="0" w:color="auto"/>
                <w:right w:val="none" w:sz="0" w:space="0" w:color="auto"/>
              </w:divBdr>
            </w:div>
            <w:div w:id="246310510">
              <w:marLeft w:val="0"/>
              <w:marRight w:val="0"/>
              <w:marTop w:val="0"/>
              <w:marBottom w:val="0"/>
              <w:divBdr>
                <w:top w:val="none" w:sz="0" w:space="0" w:color="auto"/>
                <w:left w:val="none" w:sz="0" w:space="0" w:color="auto"/>
                <w:bottom w:val="none" w:sz="0" w:space="0" w:color="auto"/>
                <w:right w:val="none" w:sz="0" w:space="0" w:color="auto"/>
              </w:divBdr>
            </w:div>
            <w:div w:id="288826909">
              <w:marLeft w:val="0"/>
              <w:marRight w:val="0"/>
              <w:marTop w:val="0"/>
              <w:marBottom w:val="0"/>
              <w:divBdr>
                <w:top w:val="none" w:sz="0" w:space="0" w:color="auto"/>
                <w:left w:val="none" w:sz="0" w:space="0" w:color="auto"/>
                <w:bottom w:val="none" w:sz="0" w:space="0" w:color="auto"/>
                <w:right w:val="none" w:sz="0" w:space="0" w:color="auto"/>
              </w:divBdr>
            </w:div>
            <w:div w:id="377164157">
              <w:marLeft w:val="0"/>
              <w:marRight w:val="0"/>
              <w:marTop w:val="0"/>
              <w:marBottom w:val="0"/>
              <w:divBdr>
                <w:top w:val="none" w:sz="0" w:space="0" w:color="auto"/>
                <w:left w:val="none" w:sz="0" w:space="0" w:color="auto"/>
                <w:bottom w:val="none" w:sz="0" w:space="0" w:color="auto"/>
                <w:right w:val="none" w:sz="0" w:space="0" w:color="auto"/>
              </w:divBdr>
            </w:div>
            <w:div w:id="495852224">
              <w:marLeft w:val="0"/>
              <w:marRight w:val="0"/>
              <w:marTop w:val="0"/>
              <w:marBottom w:val="0"/>
              <w:divBdr>
                <w:top w:val="none" w:sz="0" w:space="0" w:color="auto"/>
                <w:left w:val="none" w:sz="0" w:space="0" w:color="auto"/>
                <w:bottom w:val="none" w:sz="0" w:space="0" w:color="auto"/>
                <w:right w:val="none" w:sz="0" w:space="0" w:color="auto"/>
              </w:divBdr>
            </w:div>
            <w:div w:id="656882900">
              <w:marLeft w:val="0"/>
              <w:marRight w:val="0"/>
              <w:marTop w:val="0"/>
              <w:marBottom w:val="0"/>
              <w:divBdr>
                <w:top w:val="none" w:sz="0" w:space="0" w:color="auto"/>
                <w:left w:val="none" w:sz="0" w:space="0" w:color="auto"/>
                <w:bottom w:val="none" w:sz="0" w:space="0" w:color="auto"/>
                <w:right w:val="none" w:sz="0" w:space="0" w:color="auto"/>
              </w:divBdr>
            </w:div>
            <w:div w:id="693311533">
              <w:marLeft w:val="0"/>
              <w:marRight w:val="0"/>
              <w:marTop w:val="0"/>
              <w:marBottom w:val="0"/>
              <w:divBdr>
                <w:top w:val="none" w:sz="0" w:space="0" w:color="auto"/>
                <w:left w:val="none" w:sz="0" w:space="0" w:color="auto"/>
                <w:bottom w:val="none" w:sz="0" w:space="0" w:color="auto"/>
                <w:right w:val="none" w:sz="0" w:space="0" w:color="auto"/>
              </w:divBdr>
            </w:div>
            <w:div w:id="950160889">
              <w:marLeft w:val="0"/>
              <w:marRight w:val="0"/>
              <w:marTop w:val="0"/>
              <w:marBottom w:val="0"/>
              <w:divBdr>
                <w:top w:val="none" w:sz="0" w:space="0" w:color="auto"/>
                <w:left w:val="none" w:sz="0" w:space="0" w:color="auto"/>
                <w:bottom w:val="none" w:sz="0" w:space="0" w:color="auto"/>
                <w:right w:val="none" w:sz="0" w:space="0" w:color="auto"/>
              </w:divBdr>
            </w:div>
            <w:div w:id="1003121952">
              <w:marLeft w:val="0"/>
              <w:marRight w:val="0"/>
              <w:marTop w:val="0"/>
              <w:marBottom w:val="0"/>
              <w:divBdr>
                <w:top w:val="none" w:sz="0" w:space="0" w:color="auto"/>
                <w:left w:val="none" w:sz="0" w:space="0" w:color="auto"/>
                <w:bottom w:val="none" w:sz="0" w:space="0" w:color="auto"/>
                <w:right w:val="none" w:sz="0" w:space="0" w:color="auto"/>
              </w:divBdr>
            </w:div>
            <w:div w:id="1482190342">
              <w:marLeft w:val="0"/>
              <w:marRight w:val="0"/>
              <w:marTop w:val="0"/>
              <w:marBottom w:val="0"/>
              <w:divBdr>
                <w:top w:val="none" w:sz="0" w:space="0" w:color="auto"/>
                <w:left w:val="none" w:sz="0" w:space="0" w:color="auto"/>
                <w:bottom w:val="none" w:sz="0" w:space="0" w:color="auto"/>
                <w:right w:val="none" w:sz="0" w:space="0" w:color="auto"/>
              </w:divBdr>
            </w:div>
          </w:divsChild>
        </w:div>
        <w:div w:id="898632273">
          <w:marLeft w:val="0"/>
          <w:marRight w:val="0"/>
          <w:marTop w:val="0"/>
          <w:marBottom w:val="0"/>
          <w:divBdr>
            <w:top w:val="none" w:sz="0" w:space="0" w:color="auto"/>
            <w:left w:val="none" w:sz="0" w:space="0" w:color="auto"/>
            <w:bottom w:val="none" w:sz="0" w:space="0" w:color="auto"/>
            <w:right w:val="none" w:sz="0" w:space="0" w:color="auto"/>
          </w:divBdr>
          <w:divsChild>
            <w:div w:id="117262272">
              <w:marLeft w:val="0"/>
              <w:marRight w:val="0"/>
              <w:marTop w:val="0"/>
              <w:marBottom w:val="0"/>
              <w:divBdr>
                <w:top w:val="none" w:sz="0" w:space="0" w:color="auto"/>
                <w:left w:val="none" w:sz="0" w:space="0" w:color="auto"/>
                <w:bottom w:val="none" w:sz="0" w:space="0" w:color="auto"/>
                <w:right w:val="none" w:sz="0" w:space="0" w:color="auto"/>
              </w:divBdr>
            </w:div>
          </w:divsChild>
        </w:div>
        <w:div w:id="904874721">
          <w:marLeft w:val="0"/>
          <w:marRight w:val="0"/>
          <w:marTop w:val="0"/>
          <w:marBottom w:val="0"/>
          <w:divBdr>
            <w:top w:val="none" w:sz="0" w:space="0" w:color="auto"/>
            <w:left w:val="none" w:sz="0" w:space="0" w:color="auto"/>
            <w:bottom w:val="none" w:sz="0" w:space="0" w:color="auto"/>
            <w:right w:val="none" w:sz="0" w:space="0" w:color="auto"/>
          </w:divBdr>
          <w:divsChild>
            <w:div w:id="818379039">
              <w:marLeft w:val="0"/>
              <w:marRight w:val="0"/>
              <w:marTop w:val="0"/>
              <w:marBottom w:val="0"/>
              <w:divBdr>
                <w:top w:val="none" w:sz="0" w:space="0" w:color="auto"/>
                <w:left w:val="none" w:sz="0" w:space="0" w:color="auto"/>
                <w:bottom w:val="none" w:sz="0" w:space="0" w:color="auto"/>
                <w:right w:val="none" w:sz="0" w:space="0" w:color="auto"/>
              </w:divBdr>
            </w:div>
          </w:divsChild>
        </w:div>
        <w:div w:id="905601860">
          <w:marLeft w:val="0"/>
          <w:marRight w:val="0"/>
          <w:marTop w:val="0"/>
          <w:marBottom w:val="0"/>
          <w:divBdr>
            <w:top w:val="none" w:sz="0" w:space="0" w:color="auto"/>
            <w:left w:val="none" w:sz="0" w:space="0" w:color="auto"/>
            <w:bottom w:val="none" w:sz="0" w:space="0" w:color="auto"/>
            <w:right w:val="none" w:sz="0" w:space="0" w:color="auto"/>
          </w:divBdr>
          <w:divsChild>
            <w:div w:id="443694741">
              <w:marLeft w:val="0"/>
              <w:marRight w:val="0"/>
              <w:marTop w:val="0"/>
              <w:marBottom w:val="0"/>
              <w:divBdr>
                <w:top w:val="none" w:sz="0" w:space="0" w:color="auto"/>
                <w:left w:val="none" w:sz="0" w:space="0" w:color="auto"/>
                <w:bottom w:val="none" w:sz="0" w:space="0" w:color="auto"/>
                <w:right w:val="none" w:sz="0" w:space="0" w:color="auto"/>
              </w:divBdr>
            </w:div>
            <w:div w:id="1792821568">
              <w:marLeft w:val="0"/>
              <w:marRight w:val="0"/>
              <w:marTop w:val="0"/>
              <w:marBottom w:val="0"/>
              <w:divBdr>
                <w:top w:val="none" w:sz="0" w:space="0" w:color="auto"/>
                <w:left w:val="none" w:sz="0" w:space="0" w:color="auto"/>
                <w:bottom w:val="none" w:sz="0" w:space="0" w:color="auto"/>
                <w:right w:val="none" w:sz="0" w:space="0" w:color="auto"/>
              </w:divBdr>
            </w:div>
          </w:divsChild>
        </w:div>
        <w:div w:id="910046293">
          <w:marLeft w:val="0"/>
          <w:marRight w:val="0"/>
          <w:marTop w:val="0"/>
          <w:marBottom w:val="0"/>
          <w:divBdr>
            <w:top w:val="none" w:sz="0" w:space="0" w:color="auto"/>
            <w:left w:val="none" w:sz="0" w:space="0" w:color="auto"/>
            <w:bottom w:val="none" w:sz="0" w:space="0" w:color="auto"/>
            <w:right w:val="none" w:sz="0" w:space="0" w:color="auto"/>
          </w:divBdr>
          <w:divsChild>
            <w:div w:id="303393017">
              <w:marLeft w:val="0"/>
              <w:marRight w:val="0"/>
              <w:marTop w:val="0"/>
              <w:marBottom w:val="0"/>
              <w:divBdr>
                <w:top w:val="none" w:sz="0" w:space="0" w:color="auto"/>
                <w:left w:val="none" w:sz="0" w:space="0" w:color="auto"/>
                <w:bottom w:val="none" w:sz="0" w:space="0" w:color="auto"/>
                <w:right w:val="none" w:sz="0" w:space="0" w:color="auto"/>
              </w:divBdr>
            </w:div>
          </w:divsChild>
        </w:div>
        <w:div w:id="910385787">
          <w:marLeft w:val="0"/>
          <w:marRight w:val="0"/>
          <w:marTop w:val="0"/>
          <w:marBottom w:val="0"/>
          <w:divBdr>
            <w:top w:val="none" w:sz="0" w:space="0" w:color="auto"/>
            <w:left w:val="none" w:sz="0" w:space="0" w:color="auto"/>
            <w:bottom w:val="none" w:sz="0" w:space="0" w:color="auto"/>
            <w:right w:val="none" w:sz="0" w:space="0" w:color="auto"/>
          </w:divBdr>
          <w:divsChild>
            <w:div w:id="128128414">
              <w:marLeft w:val="0"/>
              <w:marRight w:val="0"/>
              <w:marTop w:val="0"/>
              <w:marBottom w:val="0"/>
              <w:divBdr>
                <w:top w:val="none" w:sz="0" w:space="0" w:color="auto"/>
                <w:left w:val="none" w:sz="0" w:space="0" w:color="auto"/>
                <w:bottom w:val="none" w:sz="0" w:space="0" w:color="auto"/>
                <w:right w:val="none" w:sz="0" w:space="0" w:color="auto"/>
              </w:divBdr>
            </w:div>
            <w:div w:id="160856177">
              <w:marLeft w:val="0"/>
              <w:marRight w:val="0"/>
              <w:marTop w:val="0"/>
              <w:marBottom w:val="0"/>
              <w:divBdr>
                <w:top w:val="none" w:sz="0" w:space="0" w:color="auto"/>
                <w:left w:val="none" w:sz="0" w:space="0" w:color="auto"/>
                <w:bottom w:val="none" w:sz="0" w:space="0" w:color="auto"/>
                <w:right w:val="none" w:sz="0" w:space="0" w:color="auto"/>
              </w:divBdr>
            </w:div>
            <w:div w:id="248807101">
              <w:marLeft w:val="0"/>
              <w:marRight w:val="0"/>
              <w:marTop w:val="0"/>
              <w:marBottom w:val="0"/>
              <w:divBdr>
                <w:top w:val="none" w:sz="0" w:space="0" w:color="auto"/>
                <w:left w:val="none" w:sz="0" w:space="0" w:color="auto"/>
                <w:bottom w:val="none" w:sz="0" w:space="0" w:color="auto"/>
                <w:right w:val="none" w:sz="0" w:space="0" w:color="auto"/>
              </w:divBdr>
            </w:div>
            <w:div w:id="910390467">
              <w:marLeft w:val="0"/>
              <w:marRight w:val="0"/>
              <w:marTop w:val="0"/>
              <w:marBottom w:val="0"/>
              <w:divBdr>
                <w:top w:val="none" w:sz="0" w:space="0" w:color="auto"/>
                <w:left w:val="none" w:sz="0" w:space="0" w:color="auto"/>
                <w:bottom w:val="none" w:sz="0" w:space="0" w:color="auto"/>
                <w:right w:val="none" w:sz="0" w:space="0" w:color="auto"/>
              </w:divBdr>
            </w:div>
            <w:div w:id="1063025759">
              <w:marLeft w:val="0"/>
              <w:marRight w:val="0"/>
              <w:marTop w:val="0"/>
              <w:marBottom w:val="0"/>
              <w:divBdr>
                <w:top w:val="none" w:sz="0" w:space="0" w:color="auto"/>
                <w:left w:val="none" w:sz="0" w:space="0" w:color="auto"/>
                <w:bottom w:val="none" w:sz="0" w:space="0" w:color="auto"/>
                <w:right w:val="none" w:sz="0" w:space="0" w:color="auto"/>
              </w:divBdr>
            </w:div>
            <w:div w:id="1126267748">
              <w:marLeft w:val="0"/>
              <w:marRight w:val="0"/>
              <w:marTop w:val="0"/>
              <w:marBottom w:val="0"/>
              <w:divBdr>
                <w:top w:val="none" w:sz="0" w:space="0" w:color="auto"/>
                <w:left w:val="none" w:sz="0" w:space="0" w:color="auto"/>
                <w:bottom w:val="none" w:sz="0" w:space="0" w:color="auto"/>
                <w:right w:val="none" w:sz="0" w:space="0" w:color="auto"/>
              </w:divBdr>
            </w:div>
            <w:div w:id="1275213806">
              <w:marLeft w:val="0"/>
              <w:marRight w:val="0"/>
              <w:marTop w:val="0"/>
              <w:marBottom w:val="0"/>
              <w:divBdr>
                <w:top w:val="none" w:sz="0" w:space="0" w:color="auto"/>
                <w:left w:val="none" w:sz="0" w:space="0" w:color="auto"/>
                <w:bottom w:val="none" w:sz="0" w:space="0" w:color="auto"/>
                <w:right w:val="none" w:sz="0" w:space="0" w:color="auto"/>
              </w:divBdr>
            </w:div>
            <w:div w:id="1669558873">
              <w:marLeft w:val="0"/>
              <w:marRight w:val="0"/>
              <w:marTop w:val="0"/>
              <w:marBottom w:val="0"/>
              <w:divBdr>
                <w:top w:val="none" w:sz="0" w:space="0" w:color="auto"/>
                <w:left w:val="none" w:sz="0" w:space="0" w:color="auto"/>
                <w:bottom w:val="none" w:sz="0" w:space="0" w:color="auto"/>
                <w:right w:val="none" w:sz="0" w:space="0" w:color="auto"/>
              </w:divBdr>
            </w:div>
            <w:div w:id="1701517064">
              <w:marLeft w:val="0"/>
              <w:marRight w:val="0"/>
              <w:marTop w:val="0"/>
              <w:marBottom w:val="0"/>
              <w:divBdr>
                <w:top w:val="none" w:sz="0" w:space="0" w:color="auto"/>
                <w:left w:val="none" w:sz="0" w:space="0" w:color="auto"/>
                <w:bottom w:val="none" w:sz="0" w:space="0" w:color="auto"/>
                <w:right w:val="none" w:sz="0" w:space="0" w:color="auto"/>
              </w:divBdr>
            </w:div>
            <w:div w:id="1811481122">
              <w:marLeft w:val="0"/>
              <w:marRight w:val="0"/>
              <w:marTop w:val="0"/>
              <w:marBottom w:val="0"/>
              <w:divBdr>
                <w:top w:val="none" w:sz="0" w:space="0" w:color="auto"/>
                <w:left w:val="none" w:sz="0" w:space="0" w:color="auto"/>
                <w:bottom w:val="none" w:sz="0" w:space="0" w:color="auto"/>
                <w:right w:val="none" w:sz="0" w:space="0" w:color="auto"/>
              </w:divBdr>
            </w:div>
          </w:divsChild>
        </w:div>
        <w:div w:id="910625623">
          <w:marLeft w:val="0"/>
          <w:marRight w:val="0"/>
          <w:marTop w:val="0"/>
          <w:marBottom w:val="0"/>
          <w:divBdr>
            <w:top w:val="none" w:sz="0" w:space="0" w:color="auto"/>
            <w:left w:val="none" w:sz="0" w:space="0" w:color="auto"/>
            <w:bottom w:val="none" w:sz="0" w:space="0" w:color="auto"/>
            <w:right w:val="none" w:sz="0" w:space="0" w:color="auto"/>
          </w:divBdr>
          <w:divsChild>
            <w:div w:id="315383346">
              <w:marLeft w:val="0"/>
              <w:marRight w:val="0"/>
              <w:marTop w:val="0"/>
              <w:marBottom w:val="0"/>
              <w:divBdr>
                <w:top w:val="none" w:sz="0" w:space="0" w:color="auto"/>
                <w:left w:val="none" w:sz="0" w:space="0" w:color="auto"/>
                <w:bottom w:val="none" w:sz="0" w:space="0" w:color="auto"/>
                <w:right w:val="none" w:sz="0" w:space="0" w:color="auto"/>
              </w:divBdr>
            </w:div>
            <w:div w:id="404381270">
              <w:marLeft w:val="0"/>
              <w:marRight w:val="0"/>
              <w:marTop w:val="0"/>
              <w:marBottom w:val="0"/>
              <w:divBdr>
                <w:top w:val="none" w:sz="0" w:space="0" w:color="auto"/>
                <w:left w:val="none" w:sz="0" w:space="0" w:color="auto"/>
                <w:bottom w:val="none" w:sz="0" w:space="0" w:color="auto"/>
                <w:right w:val="none" w:sz="0" w:space="0" w:color="auto"/>
              </w:divBdr>
            </w:div>
            <w:div w:id="1115950011">
              <w:marLeft w:val="0"/>
              <w:marRight w:val="0"/>
              <w:marTop w:val="0"/>
              <w:marBottom w:val="0"/>
              <w:divBdr>
                <w:top w:val="none" w:sz="0" w:space="0" w:color="auto"/>
                <w:left w:val="none" w:sz="0" w:space="0" w:color="auto"/>
                <w:bottom w:val="none" w:sz="0" w:space="0" w:color="auto"/>
                <w:right w:val="none" w:sz="0" w:space="0" w:color="auto"/>
              </w:divBdr>
            </w:div>
          </w:divsChild>
        </w:div>
        <w:div w:id="918947128">
          <w:marLeft w:val="0"/>
          <w:marRight w:val="0"/>
          <w:marTop w:val="0"/>
          <w:marBottom w:val="0"/>
          <w:divBdr>
            <w:top w:val="none" w:sz="0" w:space="0" w:color="auto"/>
            <w:left w:val="none" w:sz="0" w:space="0" w:color="auto"/>
            <w:bottom w:val="none" w:sz="0" w:space="0" w:color="auto"/>
            <w:right w:val="none" w:sz="0" w:space="0" w:color="auto"/>
          </w:divBdr>
          <w:divsChild>
            <w:div w:id="123500870">
              <w:marLeft w:val="0"/>
              <w:marRight w:val="0"/>
              <w:marTop w:val="0"/>
              <w:marBottom w:val="0"/>
              <w:divBdr>
                <w:top w:val="none" w:sz="0" w:space="0" w:color="auto"/>
                <w:left w:val="none" w:sz="0" w:space="0" w:color="auto"/>
                <w:bottom w:val="none" w:sz="0" w:space="0" w:color="auto"/>
                <w:right w:val="none" w:sz="0" w:space="0" w:color="auto"/>
              </w:divBdr>
            </w:div>
            <w:div w:id="272908488">
              <w:marLeft w:val="0"/>
              <w:marRight w:val="0"/>
              <w:marTop w:val="0"/>
              <w:marBottom w:val="0"/>
              <w:divBdr>
                <w:top w:val="none" w:sz="0" w:space="0" w:color="auto"/>
                <w:left w:val="none" w:sz="0" w:space="0" w:color="auto"/>
                <w:bottom w:val="none" w:sz="0" w:space="0" w:color="auto"/>
                <w:right w:val="none" w:sz="0" w:space="0" w:color="auto"/>
              </w:divBdr>
            </w:div>
            <w:div w:id="773403716">
              <w:marLeft w:val="0"/>
              <w:marRight w:val="0"/>
              <w:marTop w:val="0"/>
              <w:marBottom w:val="0"/>
              <w:divBdr>
                <w:top w:val="none" w:sz="0" w:space="0" w:color="auto"/>
                <w:left w:val="none" w:sz="0" w:space="0" w:color="auto"/>
                <w:bottom w:val="none" w:sz="0" w:space="0" w:color="auto"/>
                <w:right w:val="none" w:sz="0" w:space="0" w:color="auto"/>
              </w:divBdr>
            </w:div>
            <w:div w:id="1364331465">
              <w:marLeft w:val="0"/>
              <w:marRight w:val="0"/>
              <w:marTop w:val="0"/>
              <w:marBottom w:val="0"/>
              <w:divBdr>
                <w:top w:val="none" w:sz="0" w:space="0" w:color="auto"/>
                <w:left w:val="none" w:sz="0" w:space="0" w:color="auto"/>
                <w:bottom w:val="none" w:sz="0" w:space="0" w:color="auto"/>
                <w:right w:val="none" w:sz="0" w:space="0" w:color="auto"/>
              </w:divBdr>
            </w:div>
          </w:divsChild>
        </w:div>
        <w:div w:id="924267302">
          <w:marLeft w:val="0"/>
          <w:marRight w:val="0"/>
          <w:marTop w:val="0"/>
          <w:marBottom w:val="0"/>
          <w:divBdr>
            <w:top w:val="none" w:sz="0" w:space="0" w:color="auto"/>
            <w:left w:val="none" w:sz="0" w:space="0" w:color="auto"/>
            <w:bottom w:val="none" w:sz="0" w:space="0" w:color="auto"/>
            <w:right w:val="none" w:sz="0" w:space="0" w:color="auto"/>
          </w:divBdr>
          <w:divsChild>
            <w:div w:id="1047724431">
              <w:marLeft w:val="0"/>
              <w:marRight w:val="0"/>
              <w:marTop w:val="0"/>
              <w:marBottom w:val="0"/>
              <w:divBdr>
                <w:top w:val="none" w:sz="0" w:space="0" w:color="auto"/>
                <w:left w:val="none" w:sz="0" w:space="0" w:color="auto"/>
                <w:bottom w:val="none" w:sz="0" w:space="0" w:color="auto"/>
                <w:right w:val="none" w:sz="0" w:space="0" w:color="auto"/>
              </w:divBdr>
            </w:div>
            <w:div w:id="1596593383">
              <w:marLeft w:val="0"/>
              <w:marRight w:val="0"/>
              <w:marTop w:val="0"/>
              <w:marBottom w:val="0"/>
              <w:divBdr>
                <w:top w:val="none" w:sz="0" w:space="0" w:color="auto"/>
                <w:left w:val="none" w:sz="0" w:space="0" w:color="auto"/>
                <w:bottom w:val="none" w:sz="0" w:space="0" w:color="auto"/>
                <w:right w:val="none" w:sz="0" w:space="0" w:color="auto"/>
              </w:divBdr>
            </w:div>
            <w:div w:id="1706248602">
              <w:marLeft w:val="0"/>
              <w:marRight w:val="0"/>
              <w:marTop w:val="0"/>
              <w:marBottom w:val="0"/>
              <w:divBdr>
                <w:top w:val="none" w:sz="0" w:space="0" w:color="auto"/>
                <w:left w:val="none" w:sz="0" w:space="0" w:color="auto"/>
                <w:bottom w:val="none" w:sz="0" w:space="0" w:color="auto"/>
                <w:right w:val="none" w:sz="0" w:space="0" w:color="auto"/>
              </w:divBdr>
            </w:div>
            <w:div w:id="1786650784">
              <w:marLeft w:val="0"/>
              <w:marRight w:val="0"/>
              <w:marTop w:val="0"/>
              <w:marBottom w:val="0"/>
              <w:divBdr>
                <w:top w:val="none" w:sz="0" w:space="0" w:color="auto"/>
                <w:left w:val="none" w:sz="0" w:space="0" w:color="auto"/>
                <w:bottom w:val="none" w:sz="0" w:space="0" w:color="auto"/>
                <w:right w:val="none" w:sz="0" w:space="0" w:color="auto"/>
              </w:divBdr>
            </w:div>
          </w:divsChild>
        </w:div>
        <w:div w:id="929894565">
          <w:marLeft w:val="0"/>
          <w:marRight w:val="0"/>
          <w:marTop w:val="0"/>
          <w:marBottom w:val="0"/>
          <w:divBdr>
            <w:top w:val="none" w:sz="0" w:space="0" w:color="auto"/>
            <w:left w:val="none" w:sz="0" w:space="0" w:color="auto"/>
            <w:bottom w:val="none" w:sz="0" w:space="0" w:color="auto"/>
            <w:right w:val="none" w:sz="0" w:space="0" w:color="auto"/>
          </w:divBdr>
          <w:divsChild>
            <w:div w:id="130487967">
              <w:marLeft w:val="0"/>
              <w:marRight w:val="0"/>
              <w:marTop w:val="0"/>
              <w:marBottom w:val="0"/>
              <w:divBdr>
                <w:top w:val="none" w:sz="0" w:space="0" w:color="auto"/>
                <w:left w:val="none" w:sz="0" w:space="0" w:color="auto"/>
                <w:bottom w:val="none" w:sz="0" w:space="0" w:color="auto"/>
                <w:right w:val="none" w:sz="0" w:space="0" w:color="auto"/>
              </w:divBdr>
            </w:div>
            <w:div w:id="426121191">
              <w:marLeft w:val="0"/>
              <w:marRight w:val="0"/>
              <w:marTop w:val="0"/>
              <w:marBottom w:val="0"/>
              <w:divBdr>
                <w:top w:val="none" w:sz="0" w:space="0" w:color="auto"/>
                <w:left w:val="none" w:sz="0" w:space="0" w:color="auto"/>
                <w:bottom w:val="none" w:sz="0" w:space="0" w:color="auto"/>
                <w:right w:val="none" w:sz="0" w:space="0" w:color="auto"/>
              </w:divBdr>
            </w:div>
            <w:div w:id="649140853">
              <w:marLeft w:val="0"/>
              <w:marRight w:val="0"/>
              <w:marTop w:val="0"/>
              <w:marBottom w:val="0"/>
              <w:divBdr>
                <w:top w:val="none" w:sz="0" w:space="0" w:color="auto"/>
                <w:left w:val="none" w:sz="0" w:space="0" w:color="auto"/>
                <w:bottom w:val="none" w:sz="0" w:space="0" w:color="auto"/>
                <w:right w:val="none" w:sz="0" w:space="0" w:color="auto"/>
              </w:divBdr>
            </w:div>
            <w:div w:id="764960129">
              <w:marLeft w:val="0"/>
              <w:marRight w:val="0"/>
              <w:marTop w:val="0"/>
              <w:marBottom w:val="0"/>
              <w:divBdr>
                <w:top w:val="none" w:sz="0" w:space="0" w:color="auto"/>
                <w:left w:val="none" w:sz="0" w:space="0" w:color="auto"/>
                <w:bottom w:val="none" w:sz="0" w:space="0" w:color="auto"/>
                <w:right w:val="none" w:sz="0" w:space="0" w:color="auto"/>
              </w:divBdr>
            </w:div>
            <w:div w:id="888303615">
              <w:marLeft w:val="0"/>
              <w:marRight w:val="0"/>
              <w:marTop w:val="0"/>
              <w:marBottom w:val="0"/>
              <w:divBdr>
                <w:top w:val="none" w:sz="0" w:space="0" w:color="auto"/>
                <w:left w:val="none" w:sz="0" w:space="0" w:color="auto"/>
                <w:bottom w:val="none" w:sz="0" w:space="0" w:color="auto"/>
                <w:right w:val="none" w:sz="0" w:space="0" w:color="auto"/>
              </w:divBdr>
            </w:div>
            <w:div w:id="1353263970">
              <w:marLeft w:val="0"/>
              <w:marRight w:val="0"/>
              <w:marTop w:val="0"/>
              <w:marBottom w:val="0"/>
              <w:divBdr>
                <w:top w:val="none" w:sz="0" w:space="0" w:color="auto"/>
                <w:left w:val="none" w:sz="0" w:space="0" w:color="auto"/>
                <w:bottom w:val="none" w:sz="0" w:space="0" w:color="auto"/>
                <w:right w:val="none" w:sz="0" w:space="0" w:color="auto"/>
              </w:divBdr>
            </w:div>
            <w:div w:id="1556548107">
              <w:marLeft w:val="0"/>
              <w:marRight w:val="0"/>
              <w:marTop w:val="0"/>
              <w:marBottom w:val="0"/>
              <w:divBdr>
                <w:top w:val="none" w:sz="0" w:space="0" w:color="auto"/>
                <w:left w:val="none" w:sz="0" w:space="0" w:color="auto"/>
                <w:bottom w:val="none" w:sz="0" w:space="0" w:color="auto"/>
                <w:right w:val="none" w:sz="0" w:space="0" w:color="auto"/>
              </w:divBdr>
            </w:div>
            <w:div w:id="1586114730">
              <w:marLeft w:val="0"/>
              <w:marRight w:val="0"/>
              <w:marTop w:val="0"/>
              <w:marBottom w:val="0"/>
              <w:divBdr>
                <w:top w:val="none" w:sz="0" w:space="0" w:color="auto"/>
                <w:left w:val="none" w:sz="0" w:space="0" w:color="auto"/>
                <w:bottom w:val="none" w:sz="0" w:space="0" w:color="auto"/>
                <w:right w:val="none" w:sz="0" w:space="0" w:color="auto"/>
              </w:divBdr>
            </w:div>
            <w:div w:id="1675958262">
              <w:marLeft w:val="0"/>
              <w:marRight w:val="0"/>
              <w:marTop w:val="0"/>
              <w:marBottom w:val="0"/>
              <w:divBdr>
                <w:top w:val="none" w:sz="0" w:space="0" w:color="auto"/>
                <w:left w:val="none" w:sz="0" w:space="0" w:color="auto"/>
                <w:bottom w:val="none" w:sz="0" w:space="0" w:color="auto"/>
                <w:right w:val="none" w:sz="0" w:space="0" w:color="auto"/>
              </w:divBdr>
            </w:div>
            <w:div w:id="1702632101">
              <w:marLeft w:val="0"/>
              <w:marRight w:val="0"/>
              <w:marTop w:val="0"/>
              <w:marBottom w:val="0"/>
              <w:divBdr>
                <w:top w:val="none" w:sz="0" w:space="0" w:color="auto"/>
                <w:left w:val="none" w:sz="0" w:space="0" w:color="auto"/>
                <w:bottom w:val="none" w:sz="0" w:space="0" w:color="auto"/>
                <w:right w:val="none" w:sz="0" w:space="0" w:color="auto"/>
              </w:divBdr>
            </w:div>
            <w:div w:id="1862936577">
              <w:marLeft w:val="0"/>
              <w:marRight w:val="0"/>
              <w:marTop w:val="0"/>
              <w:marBottom w:val="0"/>
              <w:divBdr>
                <w:top w:val="none" w:sz="0" w:space="0" w:color="auto"/>
                <w:left w:val="none" w:sz="0" w:space="0" w:color="auto"/>
                <w:bottom w:val="none" w:sz="0" w:space="0" w:color="auto"/>
                <w:right w:val="none" w:sz="0" w:space="0" w:color="auto"/>
              </w:divBdr>
            </w:div>
            <w:div w:id="1884096238">
              <w:marLeft w:val="0"/>
              <w:marRight w:val="0"/>
              <w:marTop w:val="0"/>
              <w:marBottom w:val="0"/>
              <w:divBdr>
                <w:top w:val="none" w:sz="0" w:space="0" w:color="auto"/>
                <w:left w:val="none" w:sz="0" w:space="0" w:color="auto"/>
                <w:bottom w:val="none" w:sz="0" w:space="0" w:color="auto"/>
                <w:right w:val="none" w:sz="0" w:space="0" w:color="auto"/>
              </w:divBdr>
            </w:div>
            <w:div w:id="2018842866">
              <w:marLeft w:val="0"/>
              <w:marRight w:val="0"/>
              <w:marTop w:val="0"/>
              <w:marBottom w:val="0"/>
              <w:divBdr>
                <w:top w:val="none" w:sz="0" w:space="0" w:color="auto"/>
                <w:left w:val="none" w:sz="0" w:space="0" w:color="auto"/>
                <w:bottom w:val="none" w:sz="0" w:space="0" w:color="auto"/>
                <w:right w:val="none" w:sz="0" w:space="0" w:color="auto"/>
              </w:divBdr>
            </w:div>
          </w:divsChild>
        </w:div>
        <w:div w:id="930626122">
          <w:marLeft w:val="0"/>
          <w:marRight w:val="0"/>
          <w:marTop w:val="0"/>
          <w:marBottom w:val="0"/>
          <w:divBdr>
            <w:top w:val="none" w:sz="0" w:space="0" w:color="auto"/>
            <w:left w:val="none" w:sz="0" w:space="0" w:color="auto"/>
            <w:bottom w:val="none" w:sz="0" w:space="0" w:color="auto"/>
            <w:right w:val="none" w:sz="0" w:space="0" w:color="auto"/>
          </w:divBdr>
          <w:divsChild>
            <w:div w:id="1235311240">
              <w:marLeft w:val="0"/>
              <w:marRight w:val="0"/>
              <w:marTop w:val="0"/>
              <w:marBottom w:val="0"/>
              <w:divBdr>
                <w:top w:val="none" w:sz="0" w:space="0" w:color="auto"/>
                <w:left w:val="none" w:sz="0" w:space="0" w:color="auto"/>
                <w:bottom w:val="none" w:sz="0" w:space="0" w:color="auto"/>
                <w:right w:val="none" w:sz="0" w:space="0" w:color="auto"/>
              </w:divBdr>
            </w:div>
          </w:divsChild>
        </w:div>
        <w:div w:id="936600922">
          <w:marLeft w:val="0"/>
          <w:marRight w:val="0"/>
          <w:marTop w:val="0"/>
          <w:marBottom w:val="0"/>
          <w:divBdr>
            <w:top w:val="none" w:sz="0" w:space="0" w:color="auto"/>
            <w:left w:val="none" w:sz="0" w:space="0" w:color="auto"/>
            <w:bottom w:val="none" w:sz="0" w:space="0" w:color="auto"/>
            <w:right w:val="none" w:sz="0" w:space="0" w:color="auto"/>
          </w:divBdr>
          <w:divsChild>
            <w:div w:id="512768416">
              <w:marLeft w:val="0"/>
              <w:marRight w:val="0"/>
              <w:marTop w:val="0"/>
              <w:marBottom w:val="0"/>
              <w:divBdr>
                <w:top w:val="none" w:sz="0" w:space="0" w:color="auto"/>
                <w:left w:val="none" w:sz="0" w:space="0" w:color="auto"/>
                <w:bottom w:val="none" w:sz="0" w:space="0" w:color="auto"/>
                <w:right w:val="none" w:sz="0" w:space="0" w:color="auto"/>
              </w:divBdr>
            </w:div>
            <w:div w:id="1063288315">
              <w:marLeft w:val="0"/>
              <w:marRight w:val="0"/>
              <w:marTop w:val="0"/>
              <w:marBottom w:val="0"/>
              <w:divBdr>
                <w:top w:val="none" w:sz="0" w:space="0" w:color="auto"/>
                <w:left w:val="none" w:sz="0" w:space="0" w:color="auto"/>
                <w:bottom w:val="none" w:sz="0" w:space="0" w:color="auto"/>
                <w:right w:val="none" w:sz="0" w:space="0" w:color="auto"/>
              </w:divBdr>
            </w:div>
            <w:div w:id="1319307259">
              <w:marLeft w:val="0"/>
              <w:marRight w:val="0"/>
              <w:marTop w:val="0"/>
              <w:marBottom w:val="0"/>
              <w:divBdr>
                <w:top w:val="none" w:sz="0" w:space="0" w:color="auto"/>
                <w:left w:val="none" w:sz="0" w:space="0" w:color="auto"/>
                <w:bottom w:val="none" w:sz="0" w:space="0" w:color="auto"/>
                <w:right w:val="none" w:sz="0" w:space="0" w:color="auto"/>
              </w:divBdr>
            </w:div>
          </w:divsChild>
        </w:div>
        <w:div w:id="938105203">
          <w:marLeft w:val="0"/>
          <w:marRight w:val="0"/>
          <w:marTop w:val="0"/>
          <w:marBottom w:val="0"/>
          <w:divBdr>
            <w:top w:val="none" w:sz="0" w:space="0" w:color="auto"/>
            <w:left w:val="none" w:sz="0" w:space="0" w:color="auto"/>
            <w:bottom w:val="none" w:sz="0" w:space="0" w:color="auto"/>
            <w:right w:val="none" w:sz="0" w:space="0" w:color="auto"/>
          </w:divBdr>
          <w:divsChild>
            <w:div w:id="1722168151">
              <w:marLeft w:val="0"/>
              <w:marRight w:val="0"/>
              <w:marTop w:val="0"/>
              <w:marBottom w:val="0"/>
              <w:divBdr>
                <w:top w:val="none" w:sz="0" w:space="0" w:color="auto"/>
                <w:left w:val="none" w:sz="0" w:space="0" w:color="auto"/>
                <w:bottom w:val="none" w:sz="0" w:space="0" w:color="auto"/>
                <w:right w:val="none" w:sz="0" w:space="0" w:color="auto"/>
              </w:divBdr>
            </w:div>
            <w:div w:id="1771318394">
              <w:marLeft w:val="0"/>
              <w:marRight w:val="0"/>
              <w:marTop w:val="0"/>
              <w:marBottom w:val="0"/>
              <w:divBdr>
                <w:top w:val="none" w:sz="0" w:space="0" w:color="auto"/>
                <w:left w:val="none" w:sz="0" w:space="0" w:color="auto"/>
                <w:bottom w:val="none" w:sz="0" w:space="0" w:color="auto"/>
                <w:right w:val="none" w:sz="0" w:space="0" w:color="auto"/>
              </w:divBdr>
            </w:div>
          </w:divsChild>
        </w:div>
        <w:div w:id="941034854">
          <w:marLeft w:val="0"/>
          <w:marRight w:val="0"/>
          <w:marTop w:val="0"/>
          <w:marBottom w:val="0"/>
          <w:divBdr>
            <w:top w:val="none" w:sz="0" w:space="0" w:color="auto"/>
            <w:left w:val="none" w:sz="0" w:space="0" w:color="auto"/>
            <w:bottom w:val="none" w:sz="0" w:space="0" w:color="auto"/>
            <w:right w:val="none" w:sz="0" w:space="0" w:color="auto"/>
          </w:divBdr>
          <w:divsChild>
            <w:div w:id="452208677">
              <w:marLeft w:val="0"/>
              <w:marRight w:val="0"/>
              <w:marTop w:val="0"/>
              <w:marBottom w:val="0"/>
              <w:divBdr>
                <w:top w:val="none" w:sz="0" w:space="0" w:color="auto"/>
                <w:left w:val="none" w:sz="0" w:space="0" w:color="auto"/>
                <w:bottom w:val="none" w:sz="0" w:space="0" w:color="auto"/>
                <w:right w:val="none" w:sz="0" w:space="0" w:color="auto"/>
              </w:divBdr>
            </w:div>
          </w:divsChild>
        </w:div>
        <w:div w:id="957224809">
          <w:marLeft w:val="0"/>
          <w:marRight w:val="0"/>
          <w:marTop w:val="0"/>
          <w:marBottom w:val="0"/>
          <w:divBdr>
            <w:top w:val="none" w:sz="0" w:space="0" w:color="auto"/>
            <w:left w:val="none" w:sz="0" w:space="0" w:color="auto"/>
            <w:bottom w:val="none" w:sz="0" w:space="0" w:color="auto"/>
            <w:right w:val="none" w:sz="0" w:space="0" w:color="auto"/>
          </w:divBdr>
          <w:divsChild>
            <w:div w:id="1235506947">
              <w:marLeft w:val="0"/>
              <w:marRight w:val="0"/>
              <w:marTop w:val="0"/>
              <w:marBottom w:val="0"/>
              <w:divBdr>
                <w:top w:val="none" w:sz="0" w:space="0" w:color="auto"/>
                <w:left w:val="none" w:sz="0" w:space="0" w:color="auto"/>
                <w:bottom w:val="none" w:sz="0" w:space="0" w:color="auto"/>
                <w:right w:val="none" w:sz="0" w:space="0" w:color="auto"/>
              </w:divBdr>
            </w:div>
          </w:divsChild>
        </w:div>
        <w:div w:id="957375058">
          <w:marLeft w:val="0"/>
          <w:marRight w:val="0"/>
          <w:marTop w:val="0"/>
          <w:marBottom w:val="0"/>
          <w:divBdr>
            <w:top w:val="none" w:sz="0" w:space="0" w:color="auto"/>
            <w:left w:val="none" w:sz="0" w:space="0" w:color="auto"/>
            <w:bottom w:val="none" w:sz="0" w:space="0" w:color="auto"/>
            <w:right w:val="none" w:sz="0" w:space="0" w:color="auto"/>
          </w:divBdr>
          <w:divsChild>
            <w:div w:id="2091348705">
              <w:marLeft w:val="0"/>
              <w:marRight w:val="0"/>
              <w:marTop w:val="0"/>
              <w:marBottom w:val="0"/>
              <w:divBdr>
                <w:top w:val="none" w:sz="0" w:space="0" w:color="auto"/>
                <w:left w:val="none" w:sz="0" w:space="0" w:color="auto"/>
                <w:bottom w:val="none" w:sz="0" w:space="0" w:color="auto"/>
                <w:right w:val="none" w:sz="0" w:space="0" w:color="auto"/>
              </w:divBdr>
            </w:div>
          </w:divsChild>
        </w:div>
        <w:div w:id="962005706">
          <w:marLeft w:val="0"/>
          <w:marRight w:val="0"/>
          <w:marTop w:val="0"/>
          <w:marBottom w:val="0"/>
          <w:divBdr>
            <w:top w:val="none" w:sz="0" w:space="0" w:color="auto"/>
            <w:left w:val="none" w:sz="0" w:space="0" w:color="auto"/>
            <w:bottom w:val="none" w:sz="0" w:space="0" w:color="auto"/>
            <w:right w:val="none" w:sz="0" w:space="0" w:color="auto"/>
          </w:divBdr>
          <w:divsChild>
            <w:div w:id="80025700">
              <w:marLeft w:val="0"/>
              <w:marRight w:val="0"/>
              <w:marTop w:val="0"/>
              <w:marBottom w:val="0"/>
              <w:divBdr>
                <w:top w:val="none" w:sz="0" w:space="0" w:color="auto"/>
                <w:left w:val="none" w:sz="0" w:space="0" w:color="auto"/>
                <w:bottom w:val="none" w:sz="0" w:space="0" w:color="auto"/>
                <w:right w:val="none" w:sz="0" w:space="0" w:color="auto"/>
              </w:divBdr>
            </w:div>
            <w:div w:id="884831045">
              <w:marLeft w:val="0"/>
              <w:marRight w:val="0"/>
              <w:marTop w:val="0"/>
              <w:marBottom w:val="0"/>
              <w:divBdr>
                <w:top w:val="none" w:sz="0" w:space="0" w:color="auto"/>
                <w:left w:val="none" w:sz="0" w:space="0" w:color="auto"/>
                <w:bottom w:val="none" w:sz="0" w:space="0" w:color="auto"/>
                <w:right w:val="none" w:sz="0" w:space="0" w:color="auto"/>
              </w:divBdr>
            </w:div>
            <w:div w:id="1531647065">
              <w:marLeft w:val="0"/>
              <w:marRight w:val="0"/>
              <w:marTop w:val="0"/>
              <w:marBottom w:val="0"/>
              <w:divBdr>
                <w:top w:val="none" w:sz="0" w:space="0" w:color="auto"/>
                <w:left w:val="none" w:sz="0" w:space="0" w:color="auto"/>
                <w:bottom w:val="none" w:sz="0" w:space="0" w:color="auto"/>
                <w:right w:val="none" w:sz="0" w:space="0" w:color="auto"/>
              </w:divBdr>
            </w:div>
            <w:div w:id="2017540320">
              <w:marLeft w:val="0"/>
              <w:marRight w:val="0"/>
              <w:marTop w:val="0"/>
              <w:marBottom w:val="0"/>
              <w:divBdr>
                <w:top w:val="none" w:sz="0" w:space="0" w:color="auto"/>
                <w:left w:val="none" w:sz="0" w:space="0" w:color="auto"/>
                <w:bottom w:val="none" w:sz="0" w:space="0" w:color="auto"/>
                <w:right w:val="none" w:sz="0" w:space="0" w:color="auto"/>
              </w:divBdr>
            </w:div>
          </w:divsChild>
        </w:div>
        <w:div w:id="963002247">
          <w:marLeft w:val="0"/>
          <w:marRight w:val="0"/>
          <w:marTop w:val="0"/>
          <w:marBottom w:val="0"/>
          <w:divBdr>
            <w:top w:val="none" w:sz="0" w:space="0" w:color="auto"/>
            <w:left w:val="none" w:sz="0" w:space="0" w:color="auto"/>
            <w:bottom w:val="none" w:sz="0" w:space="0" w:color="auto"/>
            <w:right w:val="none" w:sz="0" w:space="0" w:color="auto"/>
          </w:divBdr>
          <w:divsChild>
            <w:div w:id="2099053489">
              <w:marLeft w:val="0"/>
              <w:marRight w:val="0"/>
              <w:marTop w:val="0"/>
              <w:marBottom w:val="0"/>
              <w:divBdr>
                <w:top w:val="none" w:sz="0" w:space="0" w:color="auto"/>
                <w:left w:val="none" w:sz="0" w:space="0" w:color="auto"/>
                <w:bottom w:val="none" w:sz="0" w:space="0" w:color="auto"/>
                <w:right w:val="none" w:sz="0" w:space="0" w:color="auto"/>
              </w:divBdr>
            </w:div>
          </w:divsChild>
        </w:div>
        <w:div w:id="964895517">
          <w:marLeft w:val="0"/>
          <w:marRight w:val="0"/>
          <w:marTop w:val="0"/>
          <w:marBottom w:val="0"/>
          <w:divBdr>
            <w:top w:val="none" w:sz="0" w:space="0" w:color="auto"/>
            <w:left w:val="none" w:sz="0" w:space="0" w:color="auto"/>
            <w:bottom w:val="none" w:sz="0" w:space="0" w:color="auto"/>
            <w:right w:val="none" w:sz="0" w:space="0" w:color="auto"/>
          </w:divBdr>
          <w:divsChild>
            <w:div w:id="2133743240">
              <w:marLeft w:val="0"/>
              <w:marRight w:val="0"/>
              <w:marTop w:val="0"/>
              <w:marBottom w:val="0"/>
              <w:divBdr>
                <w:top w:val="none" w:sz="0" w:space="0" w:color="auto"/>
                <w:left w:val="none" w:sz="0" w:space="0" w:color="auto"/>
                <w:bottom w:val="none" w:sz="0" w:space="0" w:color="auto"/>
                <w:right w:val="none" w:sz="0" w:space="0" w:color="auto"/>
              </w:divBdr>
            </w:div>
          </w:divsChild>
        </w:div>
        <w:div w:id="965425531">
          <w:marLeft w:val="0"/>
          <w:marRight w:val="0"/>
          <w:marTop w:val="0"/>
          <w:marBottom w:val="0"/>
          <w:divBdr>
            <w:top w:val="none" w:sz="0" w:space="0" w:color="auto"/>
            <w:left w:val="none" w:sz="0" w:space="0" w:color="auto"/>
            <w:bottom w:val="none" w:sz="0" w:space="0" w:color="auto"/>
            <w:right w:val="none" w:sz="0" w:space="0" w:color="auto"/>
          </w:divBdr>
          <w:divsChild>
            <w:div w:id="1123957555">
              <w:marLeft w:val="0"/>
              <w:marRight w:val="0"/>
              <w:marTop w:val="0"/>
              <w:marBottom w:val="0"/>
              <w:divBdr>
                <w:top w:val="none" w:sz="0" w:space="0" w:color="auto"/>
                <w:left w:val="none" w:sz="0" w:space="0" w:color="auto"/>
                <w:bottom w:val="none" w:sz="0" w:space="0" w:color="auto"/>
                <w:right w:val="none" w:sz="0" w:space="0" w:color="auto"/>
              </w:divBdr>
            </w:div>
          </w:divsChild>
        </w:div>
        <w:div w:id="979069359">
          <w:marLeft w:val="0"/>
          <w:marRight w:val="0"/>
          <w:marTop w:val="0"/>
          <w:marBottom w:val="0"/>
          <w:divBdr>
            <w:top w:val="none" w:sz="0" w:space="0" w:color="auto"/>
            <w:left w:val="none" w:sz="0" w:space="0" w:color="auto"/>
            <w:bottom w:val="none" w:sz="0" w:space="0" w:color="auto"/>
            <w:right w:val="none" w:sz="0" w:space="0" w:color="auto"/>
          </w:divBdr>
          <w:divsChild>
            <w:div w:id="1375957962">
              <w:marLeft w:val="0"/>
              <w:marRight w:val="0"/>
              <w:marTop w:val="0"/>
              <w:marBottom w:val="0"/>
              <w:divBdr>
                <w:top w:val="none" w:sz="0" w:space="0" w:color="auto"/>
                <w:left w:val="none" w:sz="0" w:space="0" w:color="auto"/>
                <w:bottom w:val="none" w:sz="0" w:space="0" w:color="auto"/>
                <w:right w:val="none" w:sz="0" w:space="0" w:color="auto"/>
              </w:divBdr>
            </w:div>
          </w:divsChild>
        </w:div>
        <w:div w:id="980646774">
          <w:marLeft w:val="0"/>
          <w:marRight w:val="0"/>
          <w:marTop w:val="0"/>
          <w:marBottom w:val="0"/>
          <w:divBdr>
            <w:top w:val="none" w:sz="0" w:space="0" w:color="auto"/>
            <w:left w:val="none" w:sz="0" w:space="0" w:color="auto"/>
            <w:bottom w:val="none" w:sz="0" w:space="0" w:color="auto"/>
            <w:right w:val="none" w:sz="0" w:space="0" w:color="auto"/>
          </w:divBdr>
          <w:divsChild>
            <w:div w:id="336543933">
              <w:marLeft w:val="0"/>
              <w:marRight w:val="0"/>
              <w:marTop w:val="0"/>
              <w:marBottom w:val="0"/>
              <w:divBdr>
                <w:top w:val="none" w:sz="0" w:space="0" w:color="auto"/>
                <w:left w:val="none" w:sz="0" w:space="0" w:color="auto"/>
                <w:bottom w:val="none" w:sz="0" w:space="0" w:color="auto"/>
                <w:right w:val="none" w:sz="0" w:space="0" w:color="auto"/>
              </w:divBdr>
            </w:div>
            <w:div w:id="453640352">
              <w:marLeft w:val="0"/>
              <w:marRight w:val="0"/>
              <w:marTop w:val="0"/>
              <w:marBottom w:val="0"/>
              <w:divBdr>
                <w:top w:val="none" w:sz="0" w:space="0" w:color="auto"/>
                <w:left w:val="none" w:sz="0" w:space="0" w:color="auto"/>
                <w:bottom w:val="none" w:sz="0" w:space="0" w:color="auto"/>
                <w:right w:val="none" w:sz="0" w:space="0" w:color="auto"/>
              </w:divBdr>
            </w:div>
            <w:div w:id="974406353">
              <w:marLeft w:val="0"/>
              <w:marRight w:val="0"/>
              <w:marTop w:val="0"/>
              <w:marBottom w:val="0"/>
              <w:divBdr>
                <w:top w:val="none" w:sz="0" w:space="0" w:color="auto"/>
                <w:left w:val="none" w:sz="0" w:space="0" w:color="auto"/>
                <w:bottom w:val="none" w:sz="0" w:space="0" w:color="auto"/>
                <w:right w:val="none" w:sz="0" w:space="0" w:color="auto"/>
              </w:divBdr>
            </w:div>
            <w:div w:id="1429696727">
              <w:marLeft w:val="0"/>
              <w:marRight w:val="0"/>
              <w:marTop w:val="0"/>
              <w:marBottom w:val="0"/>
              <w:divBdr>
                <w:top w:val="none" w:sz="0" w:space="0" w:color="auto"/>
                <w:left w:val="none" w:sz="0" w:space="0" w:color="auto"/>
                <w:bottom w:val="none" w:sz="0" w:space="0" w:color="auto"/>
                <w:right w:val="none" w:sz="0" w:space="0" w:color="auto"/>
              </w:divBdr>
            </w:div>
          </w:divsChild>
        </w:div>
        <w:div w:id="980967267">
          <w:marLeft w:val="0"/>
          <w:marRight w:val="0"/>
          <w:marTop w:val="0"/>
          <w:marBottom w:val="0"/>
          <w:divBdr>
            <w:top w:val="none" w:sz="0" w:space="0" w:color="auto"/>
            <w:left w:val="none" w:sz="0" w:space="0" w:color="auto"/>
            <w:bottom w:val="none" w:sz="0" w:space="0" w:color="auto"/>
            <w:right w:val="none" w:sz="0" w:space="0" w:color="auto"/>
          </w:divBdr>
          <w:divsChild>
            <w:div w:id="780536975">
              <w:marLeft w:val="0"/>
              <w:marRight w:val="0"/>
              <w:marTop w:val="0"/>
              <w:marBottom w:val="0"/>
              <w:divBdr>
                <w:top w:val="none" w:sz="0" w:space="0" w:color="auto"/>
                <w:left w:val="none" w:sz="0" w:space="0" w:color="auto"/>
                <w:bottom w:val="none" w:sz="0" w:space="0" w:color="auto"/>
                <w:right w:val="none" w:sz="0" w:space="0" w:color="auto"/>
              </w:divBdr>
            </w:div>
            <w:div w:id="1481120798">
              <w:marLeft w:val="0"/>
              <w:marRight w:val="0"/>
              <w:marTop w:val="0"/>
              <w:marBottom w:val="0"/>
              <w:divBdr>
                <w:top w:val="none" w:sz="0" w:space="0" w:color="auto"/>
                <w:left w:val="none" w:sz="0" w:space="0" w:color="auto"/>
                <w:bottom w:val="none" w:sz="0" w:space="0" w:color="auto"/>
                <w:right w:val="none" w:sz="0" w:space="0" w:color="auto"/>
              </w:divBdr>
            </w:div>
            <w:div w:id="1556039344">
              <w:marLeft w:val="0"/>
              <w:marRight w:val="0"/>
              <w:marTop w:val="0"/>
              <w:marBottom w:val="0"/>
              <w:divBdr>
                <w:top w:val="none" w:sz="0" w:space="0" w:color="auto"/>
                <w:left w:val="none" w:sz="0" w:space="0" w:color="auto"/>
                <w:bottom w:val="none" w:sz="0" w:space="0" w:color="auto"/>
                <w:right w:val="none" w:sz="0" w:space="0" w:color="auto"/>
              </w:divBdr>
            </w:div>
            <w:div w:id="1803158259">
              <w:marLeft w:val="0"/>
              <w:marRight w:val="0"/>
              <w:marTop w:val="0"/>
              <w:marBottom w:val="0"/>
              <w:divBdr>
                <w:top w:val="none" w:sz="0" w:space="0" w:color="auto"/>
                <w:left w:val="none" w:sz="0" w:space="0" w:color="auto"/>
                <w:bottom w:val="none" w:sz="0" w:space="0" w:color="auto"/>
                <w:right w:val="none" w:sz="0" w:space="0" w:color="auto"/>
              </w:divBdr>
            </w:div>
          </w:divsChild>
        </w:div>
        <w:div w:id="984352236">
          <w:marLeft w:val="0"/>
          <w:marRight w:val="0"/>
          <w:marTop w:val="0"/>
          <w:marBottom w:val="0"/>
          <w:divBdr>
            <w:top w:val="none" w:sz="0" w:space="0" w:color="auto"/>
            <w:left w:val="none" w:sz="0" w:space="0" w:color="auto"/>
            <w:bottom w:val="none" w:sz="0" w:space="0" w:color="auto"/>
            <w:right w:val="none" w:sz="0" w:space="0" w:color="auto"/>
          </w:divBdr>
          <w:divsChild>
            <w:div w:id="77557314">
              <w:marLeft w:val="0"/>
              <w:marRight w:val="0"/>
              <w:marTop w:val="0"/>
              <w:marBottom w:val="0"/>
              <w:divBdr>
                <w:top w:val="none" w:sz="0" w:space="0" w:color="auto"/>
                <w:left w:val="none" w:sz="0" w:space="0" w:color="auto"/>
                <w:bottom w:val="none" w:sz="0" w:space="0" w:color="auto"/>
                <w:right w:val="none" w:sz="0" w:space="0" w:color="auto"/>
              </w:divBdr>
            </w:div>
            <w:div w:id="230431637">
              <w:marLeft w:val="0"/>
              <w:marRight w:val="0"/>
              <w:marTop w:val="0"/>
              <w:marBottom w:val="0"/>
              <w:divBdr>
                <w:top w:val="none" w:sz="0" w:space="0" w:color="auto"/>
                <w:left w:val="none" w:sz="0" w:space="0" w:color="auto"/>
                <w:bottom w:val="none" w:sz="0" w:space="0" w:color="auto"/>
                <w:right w:val="none" w:sz="0" w:space="0" w:color="auto"/>
              </w:divBdr>
            </w:div>
            <w:div w:id="1022245123">
              <w:marLeft w:val="0"/>
              <w:marRight w:val="0"/>
              <w:marTop w:val="0"/>
              <w:marBottom w:val="0"/>
              <w:divBdr>
                <w:top w:val="none" w:sz="0" w:space="0" w:color="auto"/>
                <w:left w:val="none" w:sz="0" w:space="0" w:color="auto"/>
                <w:bottom w:val="none" w:sz="0" w:space="0" w:color="auto"/>
                <w:right w:val="none" w:sz="0" w:space="0" w:color="auto"/>
              </w:divBdr>
            </w:div>
          </w:divsChild>
        </w:div>
        <w:div w:id="1009139460">
          <w:marLeft w:val="0"/>
          <w:marRight w:val="0"/>
          <w:marTop w:val="0"/>
          <w:marBottom w:val="0"/>
          <w:divBdr>
            <w:top w:val="none" w:sz="0" w:space="0" w:color="auto"/>
            <w:left w:val="none" w:sz="0" w:space="0" w:color="auto"/>
            <w:bottom w:val="none" w:sz="0" w:space="0" w:color="auto"/>
            <w:right w:val="none" w:sz="0" w:space="0" w:color="auto"/>
          </w:divBdr>
          <w:divsChild>
            <w:div w:id="494302791">
              <w:marLeft w:val="0"/>
              <w:marRight w:val="0"/>
              <w:marTop w:val="0"/>
              <w:marBottom w:val="0"/>
              <w:divBdr>
                <w:top w:val="none" w:sz="0" w:space="0" w:color="auto"/>
                <w:left w:val="none" w:sz="0" w:space="0" w:color="auto"/>
                <w:bottom w:val="none" w:sz="0" w:space="0" w:color="auto"/>
                <w:right w:val="none" w:sz="0" w:space="0" w:color="auto"/>
              </w:divBdr>
            </w:div>
          </w:divsChild>
        </w:div>
        <w:div w:id="1010521864">
          <w:marLeft w:val="0"/>
          <w:marRight w:val="0"/>
          <w:marTop w:val="0"/>
          <w:marBottom w:val="0"/>
          <w:divBdr>
            <w:top w:val="none" w:sz="0" w:space="0" w:color="auto"/>
            <w:left w:val="none" w:sz="0" w:space="0" w:color="auto"/>
            <w:bottom w:val="none" w:sz="0" w:space="0" w:color="auto"/>
            <w:right w:val="none" w:sz="0" w:space="0" w:color="auto"/>
          </w:divBdr>
          <w:divsChild>
            <w:div w:id="693192977">
              <w:marLeft w:val="0"/>
              <w:marRight w:val="0"/>
              <w:marTop w:val="0"/>
              <w:marBottom w:val="0"/>
              <w:divBdr>
                <w:top w:val="none" w:sz="0" w:space="0" w:color="auto"/>
                <w:left w:val="none" w:sz="0" w:space="0" w:color="auto"/>
                <w:bottom w:val="none" w:sz="0" w:space="0" w:color="auto"/>
                <w:right w:val="none" w:sz="0" w:space="0" w:color="auto"/>
              </w:divBdr>
            </w:div>
          </w:divsChild>
        </w:div>
        <w:div w:id="1011446089">
          <w:marLeft w:val="0"/>
          <w:marRight w:val="0"/>
          <w:marTop w:val="0"/>
          <w:marBottom w:val="0"/>
          <w:divBdr>
            <w:top w:val="none" w:sz="0" w:space="0" w:color="auto"/>
            <w:left w:val="none" w:sz="0" w:space="0" w:color="auto"/>
            <w:bottom w:val="none" w:sz="0" w:space="0" w:color="auto"/>
            <w:right w:val="none" w:sz="0" w:space="0" w:color="auto"/>
          </w:divBdr>
          <w:divsChild>
            <w:div w:id="42218971">
              <w:marLeft w:val="0"/>
              <w:marRight w:val="0"/>
              <w:marTop w:val="0"/>
              <w:marBottom w:val="0"/>
              <w:divBdr>
                <w:top w:val="none" w:sz="0" w:space="0" w:color="auto"/>
                <w:left w:val="none" w:sz="0" w:space="0" w:color="auto"/>
                <w:bottom w:val="none" w:sz="0" w:space="0" w:color="auto"/>
                <w:right w:val="none" w:sz="0" w:space="0" w:color="auto"/>
              </w:divBdr>
            </w:div>
          </w:divsChild>
        </w:div>
        <w:div w:id="1022631274">
          <w:marLeft w:val="0"/>
          <w:marRight w:val="0"/>
          <w:marTop w:val="0"/>
          <w:marBottom w:val="0"/>
          <w:divBdr>
            <w:top w:val="none" w:sz="0" w:space="0" w:color="auto"/>
            <w:left w:val="none" w:sz="0" w:space="0" w:color="auto"/>
            <w:bottom w:val="none" w:sz="0" w:space="0" w:color="auto"/>
            <w:right w:val="none" w:sz="0" w:space="0" w:color="auto"/>
          </w:divBdr>
          <w:divsChild>
            <w:div w:id="88963993">
              <w:marLeft w:val="0"/>
              <w:marRight w:val="0"/>
              <w:marTop w:val="0"/>
              <w:marBottom w:val="0"/>
              <w:divBdr>
                <w:top w:val="none" w:sz="0" w:space="0" w:color="auto"/>
                <w:left w:val="none" w:sz="0" w:space="0" w:color="auto"/>
                <w:bottom w:val="none" w:sz="0" w:space="0" w:color="auto"/>
                <w:right w:val="none" w:sz="0" w:space="0" w:color="auto"/>
              </w:divBdr>
            </w:div>
            <w:div w:id="125703526">
              <w:marLeft w:val="0"/>
              <w:marRight w:val="0"/>
              <w:marTop w:val="0"/>
              <w:marBottom w:val="0"/>
              <w:divBdr>
                <w:top w:val="none" w:sz="0" w:space="0" w:color="auto"/>
                <w:left w:val="none" w:sz="0" w:space="0" w:color="auto"/>
                <w:bottom w:val="none" w:sz="0" w:space="0" w:color="auto"/>
                <w:right w:val="none" w:sz="0" w:space="0" w:color="auto"/>
              </w:divBdr>
            </w:div>
            <w:div w:id="159081968">
              <w:marLeft w:val="0"/>
              <w:marRight w:val="0"/>
              <w:marTop w:val="0"/>
              <w:marBottom w:val="0"/>
              <w:divBdr>
                <w:top w:val="none" w:sz="0" w:space="0" w:color="auto"/>
                <w:left w:val="none" w:sz="0" w:space="0" w:color="auto"/>
                <w:bottom w:val="none" w:sz="0" w:space="0" w:color="auto"/>
                <w:right w:val="none" w:sz="0" w:space="0" w:color="auto"/>
              </w:divBdr>
            </w:div>
            <w:div w:id="380833081">
              <w:marLeft w:val="0"/>
              <w:marRight w:val="0"/>
              <w:marTop w:val="0"/>
              <w:marBottom w:val="0"/>
              <w:divBdr>
                <w:top w:val="none" w:sz="0" w:space="0" w:color="auto"/>
                <w:left w:val="none" w:sz="0" w:space="0" w:color="auto"/>
                <w:bottom w:val="none" w:sz="0" w:space="0" w:color="auto"/>
                <w:right w:val="none" w:sz="0" w:space="0" w:color="auto"/>
              </w:divBdr>
            </w:div>
            <w:div w:id="555051982">
              <w:marLeft w:val="0"/>
              <w:marRight w:val="0"/>
              <w:marTop w:val="0"/>
              <w:marBottom w:val="0"/>
              <w:divBdr>
                <w:top w:val="none" w:sz="0" w:space="0" w:color="auto"/>
                <w:left w:val="none" w:sz="0" w:space="0" w:color="auto"/>
                <w:bottom w:val="none" w:sz="0" w:space="0" w:color="auto"/>
                <w:right w:val="none" w:sz="0" w:space="0" w:color="auto"/>
              </w:divBdr>
            </w:div>
            <w:div w:id="1134173830">
              <w:marLeft w:val="0"/>
              <w:marRight w:val="0"/>
              <w:marTop w:val="0"/>
              <w:marBottom w:val="0"/>
              <w:divBdr>
                <w:top w:val="none" w:sz="0" w:space="0" w:color="auto"/>
                <w:left w:val="none" w:sz="0" w:space="0" w:color="auto"/>
                <w:bottom w:val="none" w:sz="0" w:space="0" w:color="auto"/>
                <w:right w:val="none" w:sz="0" w:space="0" w:color="auto"/>
              </w:divBdr>
            </w:div>
            <w:div w:id="1295210035">
              <w:marLeft w:val="0"/>
              <w:marRight w:val="0"/>
              <w:marTop w:val="0"/>
              <w:marBottom w:val="0"/>
              <w:divBdr>
                <w:top w:val="none" w:sz="0" w:space="0" w:color="auto"/>
                <w:left w:val="none" w:sz="0" w:space="0" w:color="auto"/>
                <w:bottom w:val="none" w:sz="0" w:space="0" w:color="auto"/>
                <w:right w:val="none" w:sz="0" w:space="0" w:color="auto"/>
              </w:divBdr>
            </w:div>
            <w:div w:id="1363359344">
              <w:marLeft w:val="0"/>
              <w:marRight w:val="0"/>
              <w:marTop w:val="0"/>
              <w:marBottom w:val="0"/>
              <w:divBdr>
                <w:top w:val="none" w:sz="0" w:space="0" w:color="auto"/>
                <w:left w:val="none" w:sz="0" w:space="0" w:color="auto"/>
                <w:bottom w:val="none" w:sz="0" w:space="0" w:color="auto"/>
                <w:right w:val="none" w:sz="0" w:space="0" w:color="auto"/>
              </w:divBdr>
            </w:div>
            <w:div w:id="1412267983">
              <w:marLeft w:val="0"/>
              <w:marRight w:val="0"/>
              <w:marTop w:val="0"/>
              <w:marBottom w:val="0"/>
              <w:divBdr>
                <w:top w:val="none" w:sz="0" w:space="0" w:color="auto"/>
                <w:left w:val="none" w:sz="0" w:space="0" w:color="auto"/>
                <w:bottom w:val="none" w:sz="0" w:space="0" w:color="auto"/>
                <w:right w:val="none" w:sz="0" w:space="0" w:color="auto"/>
              </w:divBdr>
            </w:div>
            <w:div w:id="1489325378">
              <w:marLeft w:val="0"/>
              <w:marRight w:val="0"/>
              <w:marTop w:val="0"/>
              <w:marBottom w:val="0"/>
              <w:divBdr>
                <w:top w:val="none" w:sz="0" w:space="0" w:color="auto"/>
                <w:left w:val="none" w:sz="0" w:space="0" w:color="auto"/>
                <w:bottom w:val="none" w:sz="0" w:space="0" w:color="auto"/>
                <w:right w:val="none" w:sz="0" w:space="0" w:color="auto"/>
              </w:divBdr>
            </w:div>
            <w:div w:id="1826630313">
              <w:marLeft w:val="0"/>
              <w:marRight w:val="0"/>
              <w:marTop w:val="0"/>
              <w:marBottom w:val="0"/>
              <w:divBdr>
                <w:top w:val="none" w:sz="0" w:space="0" w:color="auto"/>
                <w:left w:val="none" w:sz="0" w:space="0" w:color="auto"/>
                <w:bottom w:val="none" w:sz="0" w:space="0" w:color="auto"/>
                <w:right w:val="none" w:sz="0" w:space="0" w:color="auto"/>
              </w:divBdr>
            </w:div>
            <w:div w:id="1996955737">
              <w:marLeft w:val="0"/>
              <w:marRight w:val="0"/>
              <w:marTop w:val="0"/>
              <w:marBottom w:val="0"/>
              <w:divBdr>
                <w:top w:val="none" w:sz="0" w:space="0" w:color="auto"/>
                <w:left w:val="none" w:sz="0" w:space="0" w:color="auto"/>
                <w:bottom w:val="none" w:sz="0" w:space="0" w:color="auto"/>
                <w:right w:val="none" w:sz="0" w:space="0" w:color="auto"/>
              </w:divBdr>
            </w:div>
          </w:divsChild>
        </w:div>
        <w:div w:id="1026098289">
          <w:marLeft w:val="0"/>
          <w:marRight w:val="0"/>
          <w:marTop w:val="0"/>
          <w:marBottom w:val="0"/>
          <w:divBdr>
            <w:top w:val="none" w:sz="0" w:space="0" w:color="auto"/>
            <w:left w:val="none" w:sz="0" w:space="0" w:color="auto"/>
            <w:bottom w:val="none" w:sz="0" w:space="0" w:color="auto"/>
            <w:right w:val="none" w:sz="0" w:space="0" w:color="auto"/>
          </w:divBdr>
          <w:divsChild>
            <w:div w:id="311060048">
              <w:marLeft w:val="0"/>
              <w:marRight w:val="0"/>
              <w:marTop w:val="0"/>
              <w:marBottom w:val="0"/>
              <w:divBdr>
                <w:top w:val="none" w:sz="0" w:space="0" w:color="auto"/>
                <w:left w:val="none" w:sz="0" w:space="0" w:color="auto"/>
                <w:bottom w:val="none" w:sz="0" w:space="0" w:color="auto"/>
                <w:right w:val="none" w:sz="0" w:space="0" w:color="auto"/>
              </w:divBdr>
            </w:div>
          </w:divsChild>
        </w:div>
        <w:div w:id="1039474987">
          <w:marLeft w:val="0"/>
          <w:marRight w:val="0"/>
          <w:marTop w:val="0"/>
          <w:marBottom w:val="0"/>
          <w:divBdr>
            <w:top w:val="none" w:sz="0" w:space="0" w:color="auto"/>
            <w:left w:val="none" w:sz="0" w:space="0" w:color="auto"/>
            <w:bottom w:val="none" w:sz="0" w:space="0" w:color="auto"/>
            <w:right w:val="none" w:sz="0" w:space="0" w:color="auto"/>
          </w:divBdr>
          <w:divsChild>
            <w:div w:id="356201265">
              <w:marLeft w:val="0"/>
              <w:marRight w:val="0"/>
              <w:marTop w:val="0"/>
              <w:marBottom w:val="0"/>
              <w:divBdr>
                <w:top w:val="none" w:sz="0" w:space="0" w:color="auto"/>
                <w:left w:val="none" w:sz="0" w:space="0" w:color="auto"/>
                <w:bottom w:val="none" w:sz="0" w:space="0" w:color="auto"/>
                <w:right w:val="none" w:sz="0" w:space="0" w:color="auto"/>
              </w:divBdr>
            </w:div>
            <w:div w:id="1268781207">
              <w:marLeft w:val="0"/>
              <w:marRight w:val="0"/>
              <w:marTop w:val="0"/>
              <w:marBottom w:val="0"/>
              <w:divBdr>
                <w:top w:val="none" w:sz="0" w:space="0" w:color="auto"/>
                <w:left w:val="none" w:sz="0" w:space="0" w:color="auto"/>
                <w:bottom w:val="none" w:sz="0" w:space="0" w:color="auto"/>
                <w:right w:val="none" w:sz="0" w:space="0" w:color="auto"/>
              </w:divBdr>
            </w:div>
            <w:div w:id="1697001060">
              <w:marLeft w:val="0"/>
              <w:marRight w:val="0"/>
              <w:marTop w:val="0"/>
              <w:marBottom w:val="0"/>
              <w:divBdr>
                <w:top w:val="none" w:sz="0" w:space="0" w:color="auto"/>
                <w:left w:val="none" w:sz="0" w:space="0" w:color="auto"/>
                <w:bottom w:val="none" w:sz="0" w:space="0" w:color="auto"/>
                <w:right w:val="none" w:sz="0" w:space="0" w:color="auto"/>
              </w:divBdr>
            </w:div>
            <w:div w:id="1831485568">
              <w:marLeft w:val="0"/>
              <w:marRight w:val="0"/>
              <w:marTop w:val="0"/>
              <w:marBottom w:val="0"/>
              <w:divBdr>
                <w:top w:val="none" w:sz="0" w:space="0" w:color="auto"/>
                <w:left w:val="none" w:sz="0" w:space="0" w:color="auto"/>
                <w:bottom w:val="none" w:sz="0" w:space="0" w:color="auto"/>
                <w:right w:val="none" w:sz="0" w:space="0" w:color="auto"/>
              </w:divBdr>
            </w:div>
            <w:div w:id="1939636124">
              <w:marLeft w:val="0"/>
              <w:marRight w:val="0"/>
              <w:marTop w:val="0"/>
              <w:marBottom w:val="0"/>
              <w:divBdr>
                <w:top w:val="none" w:sz="0" w:space="0" w:color="auto"/>
                <w:left w:val="none" w:sz="0" w:space="0" w:color="auto"/>
                <w:bottom w:val="none" w:sz="0" w:space="0" w:color="auto"/>
                <w:right w:val="none" w:sz="0" w:space="0" w:color="auto"/>
              </w:divBdr>
            </w:div>
          </w:divsChild>
        </w:div>
        <w:div w:id="1042680570">
          <w:marLeft w:val="0"/>
          <w:marRight w:val="0"/>
          <w:marTop w:val="0"/>
          <w:marBottom w:val="0"/>
          <w:divBdr>
            <w:top w:val="none" w:sz="0" w:space="0" w:color="auto"/>
            <w:left w:val="none" w:sz="0" w:space="0" w:color="auto"/>
            <w:bottom w:val="none" w:sz="0" w:space="0" w:color="auto"/>
            <w:right w:val="none" w:sz="0" w:space="0" w:color="auto"/>
          </w:divBdr>
          <w:divsChild>
            <w:div w:id="1704355285">
              <w:marLeft w:val="0"/>
              <w:marRight w:val="0"/>
              <w:marTop w:val="0"/>
              <w:marBottom w:val="0"/>
              <w:divBdr>
                <w:top w:val="none" w:sz="0" w:space="0" w:color="auto"/>
                <w:left w:val="none" w:sz="0" w:space="0" w:color="auto"/>
                <w:bottom w:val="none" w:sz="0" w:space="0" w:color="auto"/>
                <w:right w:val="none" w:sz="0" w:space="0" w:color="auto"/>
              </w:divBdr>
            </w:div>
          </w:divsChild>
        </w:div>
        <w:div w:id="1049770298">
          <w:marLeft w:val="0"/>
          <w:marRight w:val="0"/>
          <w:marTop w:val="0"/>
          <w:marBottom w:val="0"/>
          <w:divBdr>
            <w:top w:val="none" w:sz="0" w:space="0" w:color="auto"/>
            <w:left w:val="none" w:sz="0" w:space="0" w:color="auto"/>
            <w:bottom w:val="none" w:sz="0" w:space="0" w:color="auto"/>
            <w:right w:val="none" w:sz="0" w:space="0" w:color="auto"/>
          </w:divBdr>
          <w:divsChild>
            <w:div w:id="823621893">
              <w:marLeft w:val="0"/>
              <w:marRight w:val="0"/>
              <w:marTop w:val="0"/>
              <w:marBottom w:val="0"/>
              <w:divBdr>
                <w:top w:val="none" w:sz="0" w:space="0" w:color="auto"/>
                <w:left w:val="none" w:sz="0" w:space="0" w:color="auto"/>
                <w:bottom w:val="none" w:sz="0" w:space="0" w:color="auto"/>
                <w:right w:val="none" w:sz="0" w:space="0" w:color="auto"/>
              </w:divBdr>
            </w:div>
            <w:div w:id="1502618394">
              <w:marLeft w:val="0"/>
              <w:marRight w:val="0"/>
              <w:marTop w:val="0"/>
              <w:marBottom w:val="0"/>
              <w:divBdr>
                <w:top w:val="none" w:sz="0" w:space="0" w:color="auto"/>
                <w:left w:val="none" w:sz="0" w:space="0" w:color="auto"/>
                <w:bottom w:val="none" w:sz="0" w:space="0" w:color="auto"/>
                <w:right w:val="none" w:sz="0" w:space="0" w:color="auto"/>
              </w:divBdr>
            </w:div>
            <w:div w:id="1512716393">
              <w:marLeft w:val="0"/>
              <w:marRight w:val="0"/>
              <w:marTop w:val="0"/>
              <w:marBottom w:val="0"/>
              <w:divBdr>
                <w:top w:val="none" w:sz="0" w:space="0" w:color="auto"/>
                <w:left w:val="none" w:sz="0" w:space="0" w:color="auto"/>
                <w:bottom w:val="none" w:sz="0" w:space="0" w:color="auto"/>
                <w:right w:val="none" w:sz="0" w:space="0" w:color="auto"/>
              </w:divBdr>
            </w:div>
          </w:divsChild>
        </w:div>
        <w:div w:id="1054085155">
          <w:marLeft w:val="0"/>
          <w:marRight w:val="0"/>
          <w:marTop w:val="0"/>
          <w:marBottom w:val="0"/>
          <w:divBdr>
            <w:top w:val="none" w:sz="0" w:space="0" w:color="auto"/>
            <w:left w:val="none" w:sz="0" w:space="0" w:color="auto"/>
            <w:bottom w:val="none" w:sz="0" w:space="0" w:color="auto"/>
            <w:right w:val="none" w:sz="0" w:space="0" w:color="auto"/>
          </w:divBdr>
          <w:divsChild>
            <w:div w:id="229929597">
              <w:marLeft w:val="0"/>
              <w:marRight w:val="0"/>
              <w:marTop w:val="0"/>
              <w:marBottom w:val="0"/>
              <w:divBdr>
                <w:top w:val="none" w:sz="0" w:space="0" w:color="auto"/>
                <w:left w:val="none" w:sz="0" w:space="0" w:color="auto"/>
                <w:bottom w:val="none" w:sz="0" w:space="0" w:color="auto"/>
                <w:right w:val="none" w:sz="0" w:space="0" w:color="auto"/>
              </w:divBdr>
            </w:div>
            <w:div w:id="525414277">
              <w:marLeft w:val="0"/>
              <w:marRight w:val="0"/>
              <w:marTop w:val="0"/>
              <w:marBottom w:val="0"/>
              <w:divBdr>
                <w:top w:val="none" w:sz="0" w:space="0" w:color="auto"/>
                <w:left w:val="none" w:sz="0" w:space="0" w:color="auto"/>
                <w:bottom w:val="none" w:sz="0" w:space="0" w:color="auto"/>
                <w:right w:val="none" w:sz="0" w:space="0" w:color="auto"/>
              </w:divBdr>
            </w:div>
          </w:divsChild>
        </w:div>
        <w:div w:id="1060441329">
          <w:marLeft w:val="0"/>
          <w:marRight w:val="0"/>
          <w:marTop w:val="0"/>
          <w:marBottom w:val="0"/>
          <w:divBdr>
            <w:top w:val="none" w:sz="0" w:space="0" w:color="auto"/>
            <w:left w:val="none" w:sz="0" w:space="0" w:color="auto"/>
            <w:bottom w:val="none" w:sz="0" w:space="0" w:color="auto"/>
            <w:right w:val="none" w:sz="0" w:space="0" w:color="auto"/>
          </w:divBdr>
          <w:divsChild>
            <w:div w:id="202058630">
              <w:marLeft w:val="0"/>
              <w:marRight w:val="0"/>
              <w:marTop w:val="0"/>
              <w:marBottom w:val="0"/>
              <w:divBdr>
                <w:top w:val="none" w:sz="0" w:space="0" w:color="auto"/>
                <w:left w:val="none" w:sz="0" w:space="0" w:color="auto"/>
                <w:bottom w:val="none" w:sz="0" w:space="0" w:color="auto"/>
                <w:right w:val="none" w:sz="0" w:space="0" w:color="auto"/>
              </w:divBdr>
            </w:div>
          </w:divsChild>
        </w:div>
        <w:div w:id="1061564894">
          <w:marLeft w:val="0"/>
          <w:marRight w:val="0"/>
          <w:marTop w:val="0"/>
          <w:marBottom w:val="0"/>
          <w:divBdr>
            <w:top w:val="none" w:sz="0" w:space="0" w:color="auto"/>
            <w:left w:val="none" w:sz="0" w:space="0" w:color="auto"/>
            <w:bottom w:val="none" w:sz="0" w:space="0" w:color="auto"/>
            <w:right w:val="none" w:sz="0" w:space="0" w:color="auto"/>
          </w:divBdr>
          <w:divsChild>
            <w:div w:id="1831479290">
              <w:marLeft w:val="0"/>
              <w:marRight w:val="0"/>
              <w:marTop w:val="0"/>
              <w:marBottom w:val="0"/>
              <w:divBdr>
                <w:top w:val="none" w:sz="0" w:space="0" w:color="auto"/>
                <w:left w:val="none" w:sz="0" w:space="0" w:color="auto"/>
                <w:bottom w:val="none" w:sz="0" w:space="0" w:color="auto"/>
                <w:right w:val="none" w:sz="0" w:space="0" w:color="auto"/>
              </w:divBdr>
            </w:div>
          </w:divsChild>
        </w:div>
        <w:div w:id="1063336846">
          <w:marLeft w:val="0"/>
          <w:marRight w:val="0"/>
          <w:marTop w:val="0"/>
          <w:marBottom w:val="0"/>
          <w:divBdr>
            <w:top w:val="none" w:sz="0" w:space="0" w:color="auto"/>
            <w:left w:val="none" w:sz="0" w:space="0" w:color="auto"/>
            <w:bottom w:val="none" w:sz="0" w:space="0" w:color="auto"/>
            <w:right w:val="none" w:sz="0" w:space="0" w:color="auto"/>
          </w:divBdr>
          <w:divsChild>
            <w:div w:id="1180897509">
              <w:marLeft w:val="0"/>
              <w:marRight w:val="0"/>
              <w:marTop w:val="0"/>
              <w:marBottom w:val="0"/>
              <w:divBdr>
                <w:top w:val="none" w:sz="0" w:space="0" w:color="auto"/>
                <w:left w:val="none" w:sz="0" w:space="0" w:color="auto"/>
                <w:bottom w:val="none" w:sz="0" w:space="0" w:color="auto"/>
                <w:right w:val="none" w:sz="0" w:space="0" w:color="auto"/>
              </w:divBdr>
            </w:div>
          </w:divsChild>
        </w:div>
        <w:div w:id="1071078930">
          <w:marLeft w:val="0"/>
          <w:marRight w:val="0"/>
          <w:marTop w:val="0"/>
          <w:marBottom w:val="0"/>
          <w:divBdr>
            <w:top w:val="none" w:sz="0" w:space="0" w:color="auto"/>
            <w:left w:val="none" w:sz="0" w:space="0" w:color="auto"/>
            <w:bottom w:val="none" w:sz="0" w:space="0" w:color="auto"/>
            <w:right w:val="none" w:sz="0" w:space="0" w:color="auto"/>
          </w:divBdr>
          <w:divsChild>
            <w:div w:id="1808157910">
              <w:marLeft w:val="0"/>
              <w:marRight w:val="0"/>
              <w:marTop w:val="0"/>
              <w:marBottom w:val="0"/>
              <w:divBdr>
                <w:top w:val="none" w:sz="0" w:space="0" w:color="auto"/>
                <w:left w:val="none" w:sz="0" w:space="0" w:color="auto"/>
                <w:bottom w:val="none" w:sz="0" w:space="0" w:color="auto"/>
                <w:right w:val="none" w:sz="0" w:space="0" w:color="auto"/>
              </w:divBdr>
            </w:div>
          </w:divsChild>
        </w:div>
        <w:div w:id="1071928728">
          <w:marLeft w:val="0"/>
          <w:marRight w:val="0"/>
          <w:marTop w:val="0"/>
          <w:marBottom w:val="0"/>
          <w:divBdr>
            <w:top w:val="none" w:sz="0" w:space="0" w:color="auto"/>
            <w:left w:val="none" w:sz="0" w:space="0" w:color="auto"/>
            <w:bottom w:val="none" w:sz="0" w:space="0" w:color="auto"/>
            <w:right w:val="none" w:sz="0" w:space="0" w:color="auto"/>
          </w:divBdr>
          <w:divsChild>
            <w:div w:id="1978215512">
              <w:marLeft w:val="0"/>
              <w:marRight w:val="0"/>
              <w:marTop w:val="0"/>
              <w:marBottom w:val="0"/>
              <w:divBdr>
                <w:top w:val="none" w:sz="0" w:space="0" w:color="auto"/>
                <w:left w:val="none" w:sz="0" w:space="0" w:color="auto"/>
                <w:bottom w:val="none" w:sz="0" w:space="0" w:color="auto"/>
                <w:right w:val="none" w:sz="0" w:space="0" w:color="auto"/>
              </w:divBdr>
            </w:div>
          </w:divsChild>
        </w:div>
        <w:div w:id="1075322563">
          <w:marLeft w:val="0"/>
          <w:marRight w:val="0"/>
          <w:marTop w:val="0"/>
          <w:marBottom w:val="0"/>
          <w:divBdr>
            <w:top w:val="none" w:sz="0" w:space="0" w:color="auto"/>
            <w:left w:val="none" w:sz="0" w:space="0" w:color="auto"/>
            <w:bottom w:val="none" w:sz="0" w:space="0" w:color="auto"/>
            <w:right w:val="none" w:sz="0" w:space="0" w:color="auto"/>
          </w:divBdr>
          <w:divsChild>
            <w:div w:id="291404894">
              <w:marLeft w:val="0"/>
              <w:marRight w:val="0"/>
              <w:marTop w:val="0"/>
              <w:marBottom w:val="0"/>
              <w:divBdr>
                <w:top w:val="none" w:sz="0" w:space="0" w:color="auto"/>
                <w:left w:val="none" w:sz="0" w:space="0" w:color="auto"/>
                <w:bottom w:val="none" w:sz="0" w:space="0" w:color="auto"/>
                <w:right w:val="none" w:sz="0" w:space="0" w:color="auto"/>
              </w:divBdr>
            </w:div>
          </w:divsChild>
        </w:div>
        <w:div w:id="1082262110">
          <w:marLeft w:val="0"/>
          <w:marRight w:val="0"/>
          <w:marTop w:val="0"/>
          <w:marBottom w:val="0"/>
          <w:divBdr>
            <w:top w:val="none" w:sz="0" w:space="0" w:color="auto"/>
            <w:left w:val="none" w:sz="0" w:space="0" w:color="auto"/>
            <w:bottom w:val="none" w:sz="0" w:space="0" w:color="auto"/>
            <w:right w:val="none" w:sz="0" w:space="0" w:color="auto"/>
          </w:divBdr>
          <w:divsChild>
            <w:div w:id="903494468">
              <w:marLeft w:val="0"/>
              <w:marRight w:val="0"/>
              <w:marTop w:val="0"/>
              <w:marBottom w:val="0"/>
              <w:divBdr>
                <w:top w:val="none" w:sz="0" w:space="0" w:color="auto"/>
                <w:left w:val="none" w:sz="0" w:space="0" w:color="auto"/>
                <w:bottom w:val="none" w:sz="0" w:space="0" w:color="auto"/>
                <w:right w:val="none" w:sz="0" w:space="0" w:color="auto"/>
              </w:divBdr>
            </w:div>
          </w:divsChild>
        </w:div>
        <w:div w:id="1085881594">
          <w:marLeft w:val="0"/>
          <w:marRight w:val="0"/>
          <w:marTop w:val="0"/>
          <w:marBottom w:val="0"/>
          <w:divBdr>
            <w:top w:val="none" w:sz="0" w:space="0" w:color="auto"/>
            <w:left w:val="none" w:sz="0" w:space="0" w:color="auto"/>
            <w:bottom w:val="none" w:sz="0" w:space="0" w:color="auto"/>
            <w:right w:val="none" w:sz="0" w:space="0" w:color="auto"/>
          </w:divBdr>
          <w:divsChild>
            <w:div w:id="619268883">
              <w:marLeft w:val="0"/>
              <w:marRight w:val="0"/>
              <w:marTop w:val="0"/>
              <w:marBottom w:val="0"/>
              <w:divBdr>
                <w:top w:val="none" w:sz="0" w:space="0" w:color="auto"/>
                <w:left w:val="none" w:sz="0" w:space="0" w:color="auto"/>
                <w:bottom w:val="none" w:sz="0" w:space="0" w:color="auto"/>
                <w:right w:val="none" w:sz="0" w:space="0" w:color="auto"/>
              </w:divBdr>
            </w:div>
            <w:div w:id="1607611493">
              <w:marLeft w:val="0"/>
              <w:marRight w:val="0"/>
              <w:marTop w:val="0"/>
              <w:marBottom w:val="0"/>
              <w:divBdr>
                <w:top w:val="none" w:sz="0" w:space="0" w:color="auto"/>
                <w:left w:val="none" w:sz="0" w:space="0" w:color="auto"/>
                <w:bottom w:val="none" w:sz="0" w:space="0" w:color="auto"/>
                <w:right w:val="none" w:sz="0" w:space="0" w:color="auto"/>
              </w:divBdr>
            </w:div>
          </w:divsChild>
        </w:div>
        <w:div w:id="1094478396">
          <w:marLeft w:val="0"/>
          <w:marRight w:val="0"/>
          <w:marTop w:val="0"/>
          <w:marBottom w:val="0"/>
          <w:divBdr>
            <w:top w:val="none" w:sz="0" w:space="0" w:color="auto"/>
            <w:left w:val="none" w:sz="0" w:space="0" w:color="auto"/>
            <w:bottom w:val="none" w:sz="0" w:space="0" w:color="auto"/>
            <w:right w:val="none" w:sz="0" w:space="0" w:color="auto"/>
          </w:divBdr>
          <w:divsChild>
            <w:div w:id="1555121509">
              <w:marLeft w:val="0"/>
              <w:marRight w:val="0"/>
              <w:marTop w:val="0"/>
              <w:marBottom w:val="0"/>
              <w:divBdr>
                <w:top w:val="none" w:sz="0" w:space="0" w:color="auto"/>
                <w:left w:val="none" w:sz="0" w:space="0" w:color="auto"/>
                <w:bottom w:val="none" w:sz="0" w:space="0" w:color="auto"/>
                <w:right w:val="none" w:sz="0" w:space="0" w:color="auto"/>
              </w:divBdr>
            </w:div>
          </w:divsChild>
        </w:div>
        <w:div w:id="1102189641">
          <w:marLeft w:val="0"/>
          <w:marRight w:val="0"/>
          <w:marTop w:val="0"/>
          <w:marBottom w:val="0"/>
          <w:divBdr>
            <w:top w:val="none" w:sz="0" w:space="0" w:color="auto"/>
            <w:left w:val="none" w:sz="0" w:space="0" w:color="auto"/>
            <w:bottom w:val="none" w:sz="0" w:space="0" w:color="auto"/>
            <w:right w:val="none" w:sz="0" w:space="0" w:color="auto"/>
          </w:divBdr>
          <w:divsChild>
            <w:div w:id="352415170">
              <w:marLeft w:val="0"/>
              <w:marRight w:val="0"/>
              <w:marTop w:val="0"/>
              <w:marBottom w:val="0"/>
              <w:divBdr>
                <w:top w:val="none" w:sz="0" w:space="0" w:color="auto"/>
                <w:left w:val="none" w:sz="0" w:space="0" w:color="auto"/>
                <w:bottom w:val="none" w:sz="0" w:space="0" w:color="auto"/>
                <w:right w:val="none" w:sz="0" w:space="0" w:color="auto"/>
              </w:divBdr>
            </w:div>
            <w:div w:id="1302882177">
              <w:marLeft w:val="0"/>
              <w:marRight w:val="0"/>
              <w:marTop w:val="0"/>
              <w:marBottom w:val="0"/>
              <w:divBdr>
                <w:top w:val="none" w:sz="0" w:space="0" w:color="auto"/>
                <w:left w:val="none" w:sz="0" w:space="0" w:color="auto"/>
                <w:bottom w:val="none" w:sz="0" w:space="0" w:color="auto"/>
                <w:right w:val="none" w:sz="0" w:space="0" w:color="auto"/>
              </w:divBdr>
            </w:div>
            <w:div w:id="1890992338">
              <w:marLeft w:val="0"/>
              <w:marRight w:val="0"/>
              <w:marTop w:val="0"/>
              <w:marBottom w:val="0"/>
              <w:divBdr>
                <w:top w:val="none" w:sz="0" w:space="0" w:color="auto"/>
                <w:left w:val="none" w:sz="0" w:space="0" w:color="auto"/>
                <w:bottom w:val="none" w:sz="0" w:space="0" w:color="auto"/>
                <w:right w:val="none" w:sz="0" w:space="0" w:color="auto"/>
              </w:divBdr>
            </w:div>
          </w:divsChild>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947809369">
              <w:marLeft w:val="0"/>
              <w:marRight w:val="0"/>
              <w:marTop w:val="0"/>
              <w:marBottom w:val="0"/>
              <w:divBdr>
                <w:top w:val="none" w:sz="0" w:space="0" w:color="auto"/>
                <w:left w:val="none" w:sz="0" w:space="0" w:color="auto"/>
                <w:bottom w:val="none" w:sz="0" w:space="0" w:color="auto"/>
                <w:right w:val="none" w:sz="0" w:space="0" w:color="auto"/>
              </w:divBdr>
            </w:div>
            <w:div w:id="1474635527">
              <w:marLeft w:val="0"/>
              <w:marRight w:val="0"/>
              <w:marTop w:val="0"/>
              <w:marBottom w:val="0"/>
              <w:divBdr>
                <w:top w:val="none" w:sz="0" w:space="0" w:color="auto"/>
                <w:left w:val="none" w:sz="0" w:space="0" w:color="auto"/>
                <w:bottom w:val="none" w:sz="0" w:space="0" w:color="auto"/>
                <w:right w:val="none" w:sz="0" w:space="0" w:color="auto"/>
              </w:divBdr>
            </w:div>
          </w:divsChild>
        </w:div>
        <w:div w:id="1112476955">
          <w:marLeft w:val="0"/>
          <w:marRight w:val="0"/>
          <w:marTop w:val="0"/>
          <w:marBottom w:val="0"/>
          <w:divBdr>
            <w:top w:val="none" w:sz="0" w:space="0" w:color="auto"/>
            <w:left w:val="none" w:sz="0" w:space="0" w:color="auto"/>
            <w:bottom w:val="none" w:sz="0" w:space="0" w:color="auto"/>
            <w:right w:val="none" w:sz="0" w:space="0" w:color="auto"/>
          </w:divBdr>
          <w:divsChild>
            <w:div w:id="155343266">
              <w:marLeft w:val="0"/>
              <w:marRight w:val="0"/>
              <w:marTop w:val="0"/>
              <w:marBottom w:val="0"/>
              <w:divBdr>
                <w:top w:val="none" w:sz="0" w:space="0" w:color="auto"/>
                <w:left w:val="none" w:sz="0" w:space="0" w:color="auto"/>
                <w:bottom w:val="none" w:sz="0" w:space="0" w:color="auto"/>
                <w:right w:val="none" w:sz="0" w:space="0" w:color="auto"/>
              </w:divBdr>
            </w:div>
          </w:divsChild>
        </w:div>
        <w:div w:id="1121873918">
          <w:marLeft w:val="0"/>
          <w:marRight w:val="0"/>
          <w:marTop w:val="0"/>
          <w:marBottom w:val="0"/>
          <w:divBdr>
            <w:top w:val="none" w:sz="0" w:space="0" w:color="auto"/>
            <w:left w:val="none" w:sz="0" w:space="0" w:color="auto"/>
            <w:bottom w:val="none" w:sz="0" w:space="0" w:color="auto"/>
            <w:right w:val="none" w:sz="0" w:space="0" w:color="auto"/>
          </w:divBdr>
          <w:divsChild>
            <w:div w:id="1607351136">
              <w:marLeft w:val="0"/>
              <w:marRight w:val="0"/>
              <w:marTop w:val="0"/>
              <w:marBottom w:val="0"/>
              <w:divBdr>
                <w:top w:val="none" w:sz="0" w:space="0" w:color="auto"/>
                <w:left w:val="none" w:sz="0" w:space="0" w:color="auto"/>
                <w:bottom w:val="none" w:sz="0" w:space="0" w:color="auto"/>
                <w:right w:val="none" w:sz="0" w:space="0" w:color="auto"/>
              </w:divBdr>
            </w:div>
            <w:div w:id="1970357241">
              <w:marLeft w:val="0"/>
              <w:marRight w:val="0"/>
              <w:marTop w:val="0"/>
              <w:marBottom w:val="0"/>
              <w:divBdr>
                <w:top w:val="none" w:sz="0" w:space="0" w:color="auto"/>
                <w:left w:val="none" w:sz="0" w:space="0" w:color="auto"/>
                <w:bottom w:val="none" w:sz="0" w:space="0" w:color="auto"/>
                <w:right w:val="none" w:sz="0" w:space="0" w:color="auto"/>
              </w:divBdr>
            </w:div>
          </w:divsChild>
        </w:div>
        <w:div w:id="1123500419">
          <w:marLeft w:val="0"/>
          <w:marRight w:val="0"/>
          <w:marTop w:val="0"/>
          <w:marBottom w:val="0"/>
          <w:divBdr>
            <w:top w:val="none" w:sz="0" w:space="0" w:color="auto"/>
            <w:left w:val="none" w:sz="0" w:space="0" w:color="auto"/>
            <w:bottom w:val="none" w:sz="0" w:space="0" w:color="auto"/>
            <w:right w:val="none" w:sz="0" w:space="0" w:color="auto"/>
          </w:divBdr>
          <w:divsChild>
            <w:div w:id="447355747">
              <w:marLeft w:val="0"/>
              <w:marRight w:val="0"/>
              <w:marTop w:val="0"/>
              <w:marBottom w:val="0"/>
              <w:divBdr>
                <w:top w:val="none" w:sz="0" w:space="0" w:color="auto"/>
                <w:left w:val="none" w:sz="0" w:space="0" w:color="auto"/>
                <w:bottom w:val="none" w:sz="0" w:space="0" w:color="auto"/>
                <w:right w:val="none" w:sz="0" w:space="0" w:color="auto"/>
              </w:divBdr>
            </w:div>
          </w:divsChild>
        </w:div>
        <w:div w:id="1139031978">
          <w:marLeft w:val="0"/>
          <w:marRight w:val="0"/>
          <w:marTop w:val="0"/>
          <w:marBottom w:val="0"/>
          <w:divBdr>
            <w:top w:val="none" w:sz="0" w:space="0" w:color="auto"/>
            <w:left w:val="none" w:sz="0" w:space="0" w:color="auto"/>
            <w:bottom w:val="none" w:sz="0" w:space="0" w:color="auto"/>
            <w:right w:val="none" w:sz="0" w:space="0" w:color="auto"/>
          </w:divBdr>
          <w:divsChild>
            <w:div w:id="774441619">
              <w:marLeft w:val="0"/>
              <w:marRight w:val="0"/>
              <w:marTop w:val="0"/>
              <w:marBottom w:val="0"/>
              <w:divBdr>
                <w:top w:val="none" w:sz="0" w:space="0" w:color="auto"/>
                <w:left w:val="none" w:sz="0" w:space="0" w:color="auto"/>
                <w:bottom w:val="none" w:sz="0" w:space="0" w:color="auto"/>
                <w:right w:val="none" w:sz="0" w:space="0" w:color="auto"/>
              </w:divBdr>
            </w:div>
          </w:divsChild>
        </w:div>
        <w:div w:id="1140616570">
          <w:marLeft w:val="0"/>
          <w:marRight w:val="0"/>
          <w:marTop w:val="0"/>
          <w:marBottom w:val="0"/>
          <w:divBdr>
            <w:top w:val="none" w:sz="0" w:space="0" w:color="auto"/>
            <w:left w:val="none" w:sz="0" w:space="0" w:color="auto"/>
            <w:bottom w:val="none" w:sz="0" w:space="0" w:color="auto"/>
            <w:right w:val="none" w:sz="0" w:space="0" w:color="auto"/>
          </w:divBdr>
          <w:divsChild>
            <w:div w:id="279803777">
              <w:marLeft w:val="0"/>
              <w:marRight w:val="0"/>
              <w:marTop w:val="0"/>
              <w:marBottom w:val="0"/>
              <w:divBdr>
                <w:top w:val="none" w:sz="0" w:space="0" w:color="auto"/>
                <w:left w:val="none" w:sz="0" w:space="0" w:color="auto"/>
                <w:bottom w:val="none" w:sz="0" w:space="0" w:color="auto"/>
                <w:right w:val="none" w:sz="0" w:space="0" w:color="auto"/>
              </w:divBdr>
            </w:div>
          </w:divsChild>
        </w:div>
        <w:div w:id="1141341583">
          <w:marLeft w:val="0"/>
          <w:marRight w:val="0"/>
          <w:marTop w:val="0"/>
          <w:marBottom w:val="0"/>
          <w:divBdr>
            <w:top w:val="none" w:sz="0" w:space="0" w:color="auto"/>
            <w:left w:val="none" w:sz="0" w:space="0" w:color="auto"/>
            <w:bottom w:val="none" w:sz="0" w:space="0" w:color="auto"/>
            <w:right w:val="none" w:sz="0" w:space="0" w:color="auto"/>
          </w:divBdr>
          <w:divsChild>
            <w:div w:id="2053721996">
              <w:marLeft w:val="0"/>
              <w:marRight w:val="0"/>
              <w:marTop w:val="0"/>
              <w:marBottom w:val="0"/>
              <w:divBdr>
                <w:top w:val="none" w:sz="0" w:space="0" w:color="auto"/>
                <w:left w:val="none" w:sz="0" w:space="0" w:color="auto"/>
                <w:bottom w:val="none" w:sz="0" w:space="0" w:color="auto"/>
                <w:right w:val="none" w:sz="0" w:space="0" w:color="auto"/>
              </w:divBdr>
            </w:div>
          </w:divsChild>
        </w:div>
        <w:div w:id="1146164807">
          <w:marLeft w:val="0"/>
          <w:marRight w:val="0"/>
          <w:marTop w:val="0"/>
          <w:marBottom w:val="0"/>
          <w:divBdr>
            <w:top w:val="none" w:sz="0" w:space="0" w:color="auto"/>
            <w:left w:val="none" w:sz="0" w:space="0" w:color="auto"/>
            <w:bottom w:val="none" w:sz="0" w:space="0" w:color="auto"/>
            <w:right w:val="none" w:sz="0" w:space="0" w:color="auto"/>
          </w:divBdr>
          <w:divsChild>
            <w:div w:id="1951084576">
              <w:marLeft w:val="0"/>
              <w:marRight w:val="0"/>
              <w:marTop w:val="0"/>
              <w:marBottom w:val="0"/>
              <w:divBdr>
                <w:top w:val="none" w:sz="0" w:space="0" w:color="auto"/>
                <w:left w:val="none" w:sz="0" w:space="0" w:color="auto"/>
                <w:bottom w:val="none" w:sz="0" w:space="0" w:color="auto"/>
                <w:right w:val="none" w:sz="0" w:space="0" w:color="auto"/>
              </w:divBdr>
            </w:div>
          </w:divsChild>
        </w:div>
        <w:div w:id="1148404957">
          <w:marLeft w:val="0"/>
          <w:marRight w:val="0"/>
          <w:marTop w:val="0"/>
          <w:marBottom w:val="0"/>
          <w:divBdr>
            <w:top w:val="none" w:sz="0" w:space="0" w:color="auto"/>
            <w:left w:val="none" w:sz="0" w:space="0" w:color="auto"/>
            <w:bottom w:val="none" w:sz="0" w:space="0" w:color="auto"/>
            <w:right w:val="none" w:sz="0" w:space="0" w:color="auto"/>
          </w:divBdr>
          <w:divsChild>
            <w:div w:id="1698921999">
              <w:marLeft w:val="0"/>
              <w:marRight w:val="0"/>
              <w:marTop w:val="0"/>
              <w:marBottom w:val="0"/>
              <w:divBdr>
                <w:top w:val="none" w:sz="0" w:space="0" w:color="auto"/>
                <w:left w:val="none" w:sz="0" w:space="0" w:color="auto"/>
                <w:bottom w:val="none" w:sz="0" w:space="0" w:color="auto"/>
                <w:right w:val="none" w:sz="0" w:space="0" w:color="auto"/>
              </w:divBdr>
            </w:div>
          </w:divsChild>
        </w:div>
        <w:div w:id="1149319793">
          <w:marLeft w:val="0"/>
          <w:marRight w:val="0"/>
          <w:marTop w:val="0"/>
          <w:marBottom w:val="0"/>
          <w:divBdr>
            <w:top w:val="none" w:sz="0" w:space="0" w:color="auto"/>
            <w:left w:val="none" w:sz="0" w:space="0" w:color="auto"/>
            <w:bottom w:val="none" w:sz="0" w:space="0" w:color="auto"/>
            <w:right w:val="none" w:sz="0" w:space="0" w:color="auto"/>
          </w:divBdr>
          <w:divsChild>
            <w:div w:id="1710952157">
              <w:marLeft w:val="0"/>
              <w:marRight w:val="0"/>
              <w:marTop w:val="0"/>
              <w:marBottom w:val="0"/>
              <w:divBdr>
                <w:top w:val="none" w:sz="0" w:space="0" w:color="auto"/>
                <w:left w:val="none" w:sz="0" w:space="0" w:color="auto"/>
                <w:bottom w:val="none" w:sz="0" w:space="0" w:color="auto"/>
                <w:right w:val="none" w:sz="0" w:space="0" w:color="auto"/>
              </w:divBdr>
            </w:div>
          </w:divsChild>
        </w:div>
        <w:div w:id="1153256774">
          <w:marLeft w:val="0"/>
          <w:marRight w:val="0"/>
          <w:marTop w:val="0"/>
          <w:marBottom w:val="0"/>
          <w:divBdr>
            <w:top w:val="none" w:sz="0" w:space="0" w:color="auto"/>
            <w:left w:val="none" w:sz="0" w:space="0" w:color="auto"/>
            <w:bottom w:val="none" w:sz="0" w:space="0" w:color="auto"/>
            <w:right w:val="none" w:sz="0" w:space="0" w:color="auto"/>
          </w:divBdr>
          <w:divsChild>
            <w:div w:id="857619408">
              <w:marLeft w:val="0"/>
              <w:marRight w:val="0"/>
              <w:marTop w:val="0"/>
              <w:marBottom w:val="0"/>
              <w:divBdr>
                <w:top w:val="none" w:sz="0" w:space="0" w:color="auto"/>
                <w:left w:val="none" w:sz="0" w:space="0" w:color="auto"/>
                <w:bottom w:val="none" w:sz="0" w:space="0" w:color="auto"/>
                <w:right w:val="none" w:sz="0" w:space="0" w:color="auto"/>
              </w:divBdr>
            </w:div>
            <w:div w:id="1188251174">
              <w:marLeft w:val="0"/>
              <w:marRight w:val="0"/>
              <w:marTop w:val="0"/>
              <w:marBottom w:val="0"/>
              <w:divBdr>
                <w:top w:val="none" w:sz="0" w:space="0" w:color="auto"/>
                <w:left w:val="none" w:sz="0" w:space="0" w:color="auto"/>
                <w:bottom w:val="none" w:sz="0" w:space="0" w:color="auto"/>
                <w:right w:val="none" w:sz="0" w:space="0" w:color="auto"/>
              </w:divBdr>
            </w:div>
            <w:div w:id="2010794050">
              <w:marLeft w:val="0"/>
              <w:marRight w:val="0"/>
              <w:marTop w:val="0"/>
              <w:marBottom w:val="0"/>
              <w:divBdr>
                <w:top w:val="none" w:sz="0" w:space="0" w:color="auto"/>
                <w:left w:val="none" w:sz="0" w:space="0" w:color="auto"/>
                <w:bottom w:val="none" w:sz="0" w:space="0" w:color="auto"/>
                <w:right w:val="none" w:sz="0" w:space="0" w:color="auto"/>
              </w:divBdr>
            </w:div>
          </w:divsChild>
        </w:div>
        <w:div w:id="1156264995">
          <w:marLeft w:val="0"/>
          <w:marRight w:val="0"/>
          <w:marTop w:val="0"/>
          <w:marBottom w:val="0"/>
          <w:divBdr>
            <w:top w:val="none" w:sz="0" w:space="0" w:color="auto"/>
            <w:left w:val="none" w:sz="0" w:space="0" w:color="auto"/>
            <w:bottom w:val="none" w:sz="0" w:space="0" w:color="auto"/>
            <w:right w:val="none" w:sz="0" w:space="0" w:color="auto"/>
          </w:divBdr>
          <w:divsChild>
            <w:div w:id="1352754745">
              <w:marLeft w:val="0"/>
              <w:marRight w:val="0"/>
              <w:marTop w:val="0"/>
              <w:marBottom w:val="0"/>
              <w:divBdr>
                <w:top w:val="none" w:sz="0" w:space="0" w:color="auto"/>
                <w:left w:val="none" w:sz="0" w:space="0" w:color="auto"/>
                <w:bottom w:val="none" w:sz="0" w:space="0" w:color="auto"/>
                <w:right w:val="none" w:sz="0" w:space="0" w:color="auto"/>
              </w:divBdr>
            </w:div>
            <w:div w:id="1874147427">
              <w:marLeft w:val="0"/>
              <w:marRight w:val="0"/>
              <w:marTop w:val="0"/>
              <w:marBottom w:val="0"/>
              <w:divBdr>
                <w:top w:val="none" w:sz="0" w:space="0" w:color="auto"/>
                <w:left w:val="none" w:sz="0" w:space="0" w:color="auto"/>
                <w:bottom w:val="none" w:sz="0" w:space="0" w:color="auto"/>
                <w:right w:val="none" w:sz="0" w:space="0" w:color="auto"/>
              </w:divBdr>
            </w:div>
          </w:divsChild>
        </w:div>
        <w:div w:id="1161894899">
          <w:marLeft w:val="0"/>
          <w:marRight w:val="0"/>
          <w:marTop w:val="0"/>
          <w:marBottom w:val="0"/>
          <w:divBdr>
            <w:top w:val="none" w:sz="0" w:space="0" w:color="auto"/>
            <w:left w:val="none" w:sz="0" w:space="0" w:color="auto"/>
            <w:bottom w:val="none" w:sz="0" w:space="0" w:color="auto"/>
            <w:right w:val="none" w:sz="0" w:space="0" w:color="auto"/>
          </w:divBdr>
          <w:divsChild>
            <w:div w:id="862404220">
              <w:marLeft w:val="0"/>
              <w:marRight w:val="0"/>
              <w:marTop w:val="0"/>
              <w:marBottom w:val="0"/>
              <w:divBdr>
                <w:top w:val="none" w:sz="0" w:space="0" w:color="auto"/>
                <w:left w:val="none" w:sz="0" w:space="0" w:color="auto"/>
                <w:bottom w:val="none" w:sz="0" w:space="0" w:color="auto"/>
                <w:right w:val="none" w:sz="0" w:space="0" w:color="auto"/>
              </w:divBdr>
            </w:div>
          </w:divsChild>
        </w:div>
        <w:div w:id="1164004441">
          <w:marLeft w:val="0"/>
          <w:marRight w:val="0"/>
          <w:marTop w:val="0"/>
          <w:marBottom w:val="0"/>
          <w:divBdr>
            <w:top w:val="none" w:sz="0" w:space="0" w:color="auto"/>
            <w:left w:val="none" w:sz="0" w:space="0" w:color="auto"/>
            <w:bottom w:val="none" w:sz="0" w:space="0" w:color="auto"/>
            <w:right w:val="none" w:sz="0" w:space="0" w:color="auto"/>
          </w:divBdr>
          <w:divsChild>
            <w:div w:id="50009008">
              <w:marLeft w:val="0"/>
              <w:marRight w:val="0"/>
              <w:marTop w:val="0"/>
              <w:marBottom w:val="0"/>
              <w:divBdr>
                <w:top w:val="none" w:sz="0" w:space="0" w:color="auto"/>
                <w:left w:val="none" w:sz="0" w:space="0" w:color="auto"/>
                <w:bottom w:val="none" w:sz="0" w:space="0" w:color="auto"/>
                <w:right w:val="none" w:sz="0" w:space="0" w:color="auto"/>
              </w:divBdr>
            </w:div>
            <w:div w:id="139612759">
              <w:marLeft w:val="0"/>
              <w:marRight w:val="0"/>
              <w:marTop w:val="0"/>
              <w:marBottom w:val="0"/>
              <w:divBdr>
                <w:top w:val="none" w:sz="0" w:space="0" w:color="auto"/>
                <w:left w:val="none" w:sz="0" w:space="0" w:color="auto"/>
                <w:bottom w:val="none" w:sz="0" w:space="0" w:color="auto"/>
                <w:right w:val="none" w:sz="0" w:space="0" w:color="auto"/>
              </w:divBdr>
            </w:div>
          </w:divsChild>
        </w:div>
        <w:div w:id="1169324655">
          <w:marLeft w:val="0"/>
          <w:marRight w:val="0"/>
          <w:marTop w:val="0"/>
          <w:marBottom w:val="0"/>
          <w:divBdr>
            <w:top w:val="none" w:sz="0" w:space="0" w:color="auto"/>
            <w:left w:val="none" w:sz="0" w:space="0" w:color="auto"/>
            <w:bottom w:val="none" w:sz="0" w:space="0" w:color="auto"/>
            <w:right w:val="none" w:sz="0" w:space="0" w:color="auto"/>
          </w:divBdr>
          <w:divsChild>
            <w:div w:id="1102725386">
              <w:marLeft w:val="0"/>
              <w:marRight w:val="0"/>
              <w:marTop w:val="0"/>
              <w:marBottom w:val="0"/>
              <w:divBdr>
                <w:top w:val="none" w:sz="0" w:space="0" w:color="auto"/>
                <w:left w:val="none" w:sz="0" w:space="0" w:color="auto"/>
                <w:bottom w:val="none" w:sz="0" w:space="0" w:color="auto"/>
                <w:right w:val="none" w:sz="0" w:space="0" w:color="auto"/>
              </w:divBdr>
            </w:div>
          </w:divsChild>
        </w:div>
        <w:div w:id="1172648143">
          <w:marLeft w:val="0"/>
          <w:marRight w:val="0"/>
          <w:marTop w:val="0"/>
          <w:marBottom w:val="0"/>
          <w:divBdr>
            <w:top w:val="none" w:sz="0" w:space="0" w:color="auto"/>
            <w:left w:val="none" w:sz="0" w:space="0" w:color="auto"/>
            <w:bottom w:val="none" w:sz="0" w:space="0" w:color="auto"/>
            <w:right w:val="none" w:sz="0" w:space="0" w:color="auto"/>
          </w:divBdr>
          <w:divsChild>
            <w:div w:id="88161256">
              <w:marLeft w:val="0"/>
              <w:marRight w:val="0"/>
              <w:marTop w:val="0"/>
              <w:marBottom w:val="0"/>
              <w:divBdr>
                <w:top w:val="none" w:sz="0" w:space="0" w:color="auto"/>
                <w:left w:val="none" w:sz="0" w:space="0" w:color="auto"/>
                <w:bottom w:val="none" w:sz="0" w:space="0" w:color="auto"/>
                <w:right w:val="none" w:sz="0" w:space="0" w:color="auto"/>
              </w:divBdr>
            </w:div>
            <w:div w:id="135219369">
              <w:marLeft w:val="0"/>
              <w:marRight w:val="0"/>
              <w:marTop w:val="0"/>
              <w:marBottom w:val="0"/>
              <w:divBdr>
                <w:top w:val="none" w:sz="0" w:space="0" w:color="auto"/>
                <w:left w:val="none" w:sz="0" w:space="0" w:color="auto"/>
                <w:bottom w:val="none" w:sz="0" w:space="0" w:color="auto"/>
                <w:right w:val="none" w:sz="0" w:space="0" w:color="auto"/>
              </w:divBdr>
            </w:div>
            <w:div w:id="245381166">
              <w:marLeft w:val="0"/>
              <w:marRight w:val="0"/>
              <w:marTop w:val="0"/>
              <w:marBottom w:val="0"/>
              <w:divBdr>
                <w:top w:val="none" w:sz="0" w:space="0" w:color="auto"/>
                <w:left w:val="none" w:sz="0" w:space="0" w:color="auto"/>
                <w:bottom w:val="none" w:sz="0" w:space="0" w:color="auto"/>
                <w:right w:val="none" w:sz="0" w:space="0" w:color="auto"/>
              </w:divBdr>
            </w:div>
            <w:div w:id="284360706">
              <w:marLeft w:val="0"/>
              <w:marRight w:val="0"/>
              <w:marTop w:val="0"/>
              <w:marBottom w:val="0"/>
              <w:divBdr>
                <w:top w:val="none" w:sz="0" w:space="0" w:color="auto"/>
                <w:left w:val="none" w:sz="0" w:space="0" w:color="auto"/>
                <w:bottom w:val="none" w:sz="0" w:space="0" w:color="auto"/>
                <w:right w:val="none" w:sz="0" w:space="0" w:color="auto"/>
              </w:divBdr>
            </w:div>
            <w:div w:id="491415409">
              <w:marLeft w:val="0"/>
              <w:marRight w:val="0"/>
              <w:marTop w:val="0"/>
              <w:marBottom w:val="0"/>
              <w:divBdr>
                <w:top w:val="none" w:sz="0" w:space="0" w:color="auto"/>
                <w:left w:val="none" w:sz="0" w:space="0" w:color="auto"/>
                <w:bottom w:val="none" w:sz="0" w:space="0" w:color="auto"/>
                <w:right w:val="none" w:sz="0" w:space="0" w:color="auto"/>
              </w:divBdr>
            </w:div>
            <w:div w:id="515077295">
              <w:marLeft w:val="0"/>
              <w:marRight w:val="0"/>
              <w:marTop w:val="0"/>
              <w:marBottom w:val="0"/>
              <w:divBdr>
                <w:top w:val="none" w:sz="0" w:space="0" w:color="auto"/>
                <w:left w:val="none" w:sz="0" w:space="0" w:color="auto"/>
                <w:bottom w:val="none" w:sz="0" w:space="0" w:color="auto"/>
                <w:right w:val="none" w:sz="0" w:space="0" w:color="auto"/>
              </w:divBdr>
            </w:div>
            <w:div w:id="1009522266">
              <w:marLeft w:val="0"/>
              <w:marRight w:val="0"/>
              <w:marTop w:val="0"/>
              <w:marBottom w:val="0"/>
              <w:divBdr>
                <w:top w:val="none" w:sz="0" w:space="0" w:color="auto"/>
                <w:left w:val="none" w:sz="0" w:space="0" w:color="auto"/>
                <w:bottom w:val="none" w:sz="0" w:space="0" w:color="auto"/>
                <w:right w:val="none" w:sz="0" w:space="0" w:color="auto"/>
              </w:divBdr>
            </w:div>
            <w:div w:id="1024483883">
              <w:marLeft w:val="0"/>
              <w:marRight w:val="0"/>
              <w:marTop w:val="0"/>
              <w:marBottom w:val="0"/>
              <w:divBdr>
                <w:top w:val="none" w:sz="0" w:space="0" w:color="auto"/>
                <w:left w:val="none" w:sz="0" w:space="0" w:color="auto"/>
                <w:bottom w:val="none" w:sz="0" w:space="0" w:color="auto"/>
                <w:right w:val="none" w:sz="0" w:space="0" w:color="auto"/>
              </w:divBdr>
            </w:div>
            <w:div w:id="1353652259">
              <w:marLeft w:val="0"/>
              <w:marRight w:val="0"/>
              <w:marTop w:val="0"/>
              <w:marBottom w:val="0"/>
              <w:divBdr>
                <w:top w:val="none" w:sz="0" w:space="0" w:color="auto"/>
                <w:left w:val="none" w:sz="0" w:space="0" w:color="auto"/>
                <w:bottom w:val="none" w:sz="0" w:space="0" w:color="auto"/>
                <w:right w:val="none" w:sz="0" w:space="0" w:color="auto"/>
              </w:divBdr>
            </w:div>
            <w:div w:id="1477146179">
              <w:marLeft w:val="0"/>
              <w:marRight w:val="0"/>
              <w:marTop w:val="0"/>
              <w:marBottom w:val="0"/>
              <w:divBdr>
                <w:top w:val="none" w:sz="0" w:space="0" w:color="auto"/>
                <w:left w:val="none" w:sz="0" w:space="0" w:color="auto"/>
                <w:bottom w:val="none" w:sz="0" w:space="0" w:color="auto"/>
                <w:right w:val="none" w:sz="0" w:space="0" w:color="auto"/>
              </w:divBdr>
            </w:div>
            <w:div w:id="1499075167">
              <w:marLeft w:val="0"/>
              <w:marRight w:val="0"/>
              <w:marTop w:val="0"/>
              <w:marBottom w:val="0"/>
              <w:divBdr>
                <w:top w:val="none" w:sz="0" w:space="0" w:color="auto"/>
                <w:left w:val="none" w:sz="0" w:space="0" w:color="auto"/>
                <w:bottom w:val="none" w:sz="0" w:space="0" w:color="auto"/>
                <w:right w:val="none" w:sz="0" w:space="0" w:color="auto"/>
              </w:divBdr>
            </w:div>
            <w:div w:id="1552575467">
              <w:marLeft w:val="0"/>
              <w:marRight w:val="0"/>
              <w:marTop w:val="0"/>
              <w:marBottom w:val="0"/>
              <w:divBdr>
                <w:top w:val="none" w:sz="0" w:space="0" w:color="auto"/>
                <w:left w:val="none" w:sz="0" w:space="0" w:color="auto"/>
                <w:bottom w:val="none" w:sz="0" w:space="0" w:color="auto"/>
                <w:right w:val="none" w:sz="0" w:space="0" w:color="auto"/>
              </w:divBdr>
            </w:div>
            <w:div w:id="1991396867">
              <w:marLeft w:val="0"/>
              <w:marRight w:val="0"/>
              <w:marTop w:val="0"/>
              <w:marBottom w:val="0"/>
              <w:divBdr>
                <w:top w:val="none" w:sz="0" w:space="0" w:color="auto"/>
                <w:left w:val="none" w:sz="0" w:space="0" w:color="auto"/>
                <w:bottom w:val="none" w:sz="0" w:space="0" w:color="auto"/>
                <w:right w:val="none" w:sz="0" w:space="0" w:color="auto"/>
              </w:divBdr>
            </w:div>
          </w:divsChild>
        </w:div>
        <w:div w:id="1178740588">
          <w:marLeft w:val="0"/>
          <w:marRight w:val="0"/>
          <w:marTop w:val="0"/>
          <w:marBottom w:val="0"/>
          <w:divBdr>
            <w:top w:val="none" w:sz="0" w:space="0" w:color="auto"/>
            <w:left w:val="none" w:sz="0" w:space="0" w:color="auto"/>
            <w:bottom w:val="none" w:sz="0" w:space="0" w:color="auto"/>
            <w:right w:val="none" w:sz="0" w:space="0" w:color="auto"/>
          </w:divBdr>
          <w:divsChild>
            <w:div w:id="817115271">
              <w:marLeft w:val="0"/>
              <w:marRight w:val="0"/>
              <w:marTop w:val="0"/>
              <w:marBottom w:val="0"/>
              <w:divBdr>
                <w:top w:val="none" w:sz="0" w:space="0" w:color="auto"/>
                <w:left w:val="none" w:sz="0" w:space="0" w:color="auto"/>
                <w:bottom w:val="none" w:sz="0" w:space="0" w:color="auto"/>
                <w:right w:val="none" w:sz="0" w:space="0" w:color="auto"/>
              </w:divBdr>
            </w:div>
          </w:divsChild>
        </w:div>
        <w:div w:id="1183587040">
          <w:marLeft w:val="0"/>
          <w:marRight w:val="0"/>
          <w:marTop w:val="0"/>
          <w:marBottom w:val="0"/>
          <w:divBdr>
            <w:top w:val="none" w:sz="0" w:space="0" w:color="auto"/>
            <w:left w:val="none" w:sz="0" w:space="0" w:color="auto"/>
            <w:bottom w:val="none" w:sz="0" w:space="0" w:color="auto"/>
            <w:right w:val="none" w:sz="0" w:space="0" w:color="auto"/>
          </w:divBdr>
          <w:divsChild>
            <w:div w:id="896474713">
              <w:marLeft w:val="0"/>
              <w:marRight w:val="0"/>
              <w:marTop w:val="0"/>
              <w:marBottom w:val="0"/>
              <w:divBdr>
                <w:top w:val="none" w:sz="0" w:space="0" w:color="auto"/>
                <w:left w:val="none" w:sz="0" w:space="0" w:color="auto"/>
                <w:bottom w:val="none" w:sz="0" w:space="0" w:color="auto"/>
                <w:right w:val="none" w:sz="0" w:space="0" w:color="auto"/>
              </w:divBdr>
            </w:div>
          </w:divsChild>
        </w:div>
        <w:div w:id="1183664003">
          <w:marLeft w:val="0"/>
          <w:marRight w:val="0"/>
          <w:marTop w:val="0"/>
          <w:marBottom w:val="0"/>
          <w:divBdr>
            <w:top w:val="none" w:sz="0" w:space="0" w:color="auto"/>
            <w:left w:val="none" w:sz="0" w:space="0" w:color="auto"/>
            <w:bottom w:val="none" w:sz="0" w:space="0" w:color="auto"/>
            <w:right w:val="none" w:sz="0" w:space="0" w:color="auto"/>
          </w:divBdr>
          <w:divsChild>
            <w:div w:id="1794445782">
              <w:marLeft w:val="0"/>
              <w:marRight w:val="0"/>
              <w:marTop w:val="0"/>
              <w:marBottom w:val="0"/>
              <w:divBdr>
                <w:top w:val="none" w:sz="0" w:space="0" w:color="auto"/>
                <w:left w:val="none" w:sz="0" w:space="0" w:color="auto"/>
                <w:bottom w:val="none" w:sz="0" w:space="0" w:color="auto"/>
                <w:right w:val="none" w:sz="0" w:space="0" w:color="auto"/>
              </w:divBdr>
            </w:div>
          </w:divsChild>
        </w:div>
        <w:div w:id="1186099228">
          <w:marLeft w:val="0"/>
          <w:marRight w:val="0"/>
          <w:marTop w:val="0"/>
          <w:marBottom w:val="0"/>
          <w:divBdr>
            <w:top w:val="none" w:sz="0" w:space="0" w:color="auto"/>
            <w:left w:val="none" w:sz="0" w:space="0" w:color="auto"/>
            <w:bottom w:val="none" w:sz="0" w:space="0" w:color="auto"/>
            <w:right w:val="none" w:sz="0" w:space="0" w:color="auto"/>
          </w:divBdr>
          <w:divsChild>
            <w:div w:id="23946293">
              <w:marLeft w:val="0"/>
              <w:marRight w:val="0"/>
              <w:marTop w:val="0"/>
              <w:marBottom w:val="0"/>
              <w:divBdr>
                <w:top w:val="none" w:sz="0" w:space="0" w:color="auto"/>
                <w:left w:val="none" w:sz="0" w:space="0" w:color="auto"/>
                <w:bottom w:val="none" w:sz="0" w:space="0" w:color="auto"/>
                <w:right w:val="none" w:sz="0" w:space="0" w:color="auto"/>
              </w:divBdr>
            </w:div>
            <w:div w:id="1369795118">
              <w:marLeft w:val="0"/>
              <w:marRight w:val="0"/>
              <w:marTop w:val="0"/>
              <w:marBottom w:val="0"/>
              <w:divBdr>
                <w:top w:val="none" w:sz="0" w:space="0" w:color="auto"/>
                <w:left w:val="none" w:sz="0" w:space="0" w:color="auto"/>
                <w:bottom w:val="none" w:sz="0" w:space="0" w:color="auto"/>
                <w:right w:val="none" w:sz="0" w:space="0" w:color="auto"/>
              </w:divBdr>
            </w:div>
            <w:div w:id="2039430020">
              <w:marLeft w:val="0"/>
              <w:marRight w:val="0"/>
              <w:marTop w:val="0"/>
              <w:marBottom w:val="0"/>
              <w:divBdr>
                <w:top w:val="none" w:sz="0" w:space="0" w:color="auto"/>
                <w:left w:val="none" w:sz="0" w:space="0" w:color="auto"/>
                <w:bottom w:val="none" w:sz="0" w:space="0" w:color="auto"/>
                <w:right w:val="none" w:sz="0" w:space="0" w:color="auto"/>
              </w:divBdr>
            </w:div>
          </w:divsChild>
        </w:div>
        <w:div w:id="1211456325">
          <w:marLeft w:val="0"/>
          <w:marRight w:val="0"/>
          <w:marTop w:val="0"/>
          <w:marBottom w:val="0"/>
          <w:divBdr>
            <w:top w:val="none" w:sz="0" w:space="0" w:color="auto"/>
            <w:left w:val="none" w:sz="0" w:space="0" w:color="auto"/>
            <w:bottom w:val="none" w:sz="0" w:space="0" w:color="auto"/>
            <w:right w:val="none" w:sz="0" w:space="0" w:color="auto"/>
          </w:divBdr>
          <w:divsChild>
            <w:div w:id="1470244258">
              <w:marLeft w:val="0"/>
              <w:marRight w:val="0"/>
              <w:marTop w:val="0"/>
              <w:marBottom w:val="0"/>
              <w:divBdr>
                <w:top w:val="none" w:sz="0" w:space="0" w:color="auto"/>
                <w:left w:val="none" w:sz="0" w:space="0" w:color="auto"/>
                <w:bottom w:val="none" w:sz="0" w:space="0" w:color="auto"/>
                <w:right w:val="none" w:sz="0" w:space="0" w:color="auto"/>
              </w:divBdr>
            </w:div>
          </w:divsChild>
        </w:div>
        <w:div w:id="1212111606">
          <w:marLeft w:val="0"/>
          <w:marRight w:val="0"/>
          <w:marTop w:val="0"/>
          <w:marBottom w:val="0"/>
          <w:divBdr>
            <w:top w:val="none" w:sz="0" w:space="0" w:color="auto"/>
            <w:left w:val="none" w:sz="0" w:space="0" w:color="auto"/>
            <w:bottom w:val="none" w:sz="0" w:space="0" w:color="auto"/>
            <w:right w:val="none" w:sz="0" w:space="0" w:color="auto"/>
          </w:divBdr>
          <w:divsChild>
            <w:div w:id="1594898681">
              <w:marLeft w:val="0"/>
              <w:marRight w:val="0"/>
              <w:marTop w:val="0"/>
              <w:marBottom w:val="0"/>
              <w:divBdr>
                <w:top w:val="none" w:sz="0" w:space="0" w:color="auto"/>
                <w:left w:val="none" w:sz="0" w:space="0" w:color="auto"/>
                <w:bottom w:val="none" w:sz="0" w:space="0" w:color="auto"/>
                <w:right w:val="none" w:sz="0" w:space="0" w:color="auto"/>
              </w:divBdr>
            </w:div>
          </w:divsChild>
        </w:div>
        <w:div w:id="1214729655">
          <w:marLeft w:val="0"/>
          <w:marRight w:val="0"/>
          <w:marTop w:val="0"/>
          <w:marBottom w:val="0"/>
          <w:divBdr>
            <w:top w:val="none" w:sz="0" w:space="0" w:color="auto"/>
            <w:left w:val="none" w:sz="0" w:space="0" w:color="auto"/>
            <w:bottom w:val="none" w:sz="0" w:space="0" w:color="auto"/>
            <w:right w:val="none" w:sz="0" w:space="0" w:color="auto"/>
          </w:divBdr>
          <w:divsChild>
            <w:div w:id="2007853329">
              <w:marLeft w:val="0"/>
              <w:marRight w:val="0"/>
              <w:marTop w:val="0"/>
              <w:marBottom w:val="0"/>
              <w:divBdr>
                <w:top w:val="none" w:sz="0" w:space="0" w:color="auto"/>
                <w:left w:val="none" w:sz="0" w:space="0" w:color="auto"/>
                <w:bottom w:val="none" w:sz="0" w:space="0" w:color="auto"/>
                <w:right w:val="none" w:sz="0" w:space="0" w:color="auto"/>
              </w:divBdr>
            </w:div>
          </w:divsChild>
        </w:div>
        <w:div w:id="1218736027">
          <w:marLeft w:val="0"/>
          <w:marRight w:val="0"/>
          <w:marTop w:val="0"/>
          <w:marBottom w:val="0"/>
          <w:divBdr>
            <w:top w:val="none" w:sz="0" w:space="0" w:color="auto"/>
            <w:left w:val="none" w:sz="0" w:space="0" w:color="auto"/>
            <w:bottom w:val="none" w:sz="0" w:space="0" w:color="auto"/>
            <w:right w:val="none" w:sz="0" w:space="0" w:color="auto"/>
          </w:divBdr>
          <w:divsChild>
            <w:div w:id="131757547">
              <w:marLeft w:val="0"/>
              <w:marRight w:val="0"/>
              <w:marTop w:val="0"/>
              <w:marBottom w:val="0"/>
              <w:divBdr>
                <w:top w:val="none" w:sz="0" w:space="0" w:color="auto"/>
                <w:left w:val="none" w:sz="0" w:space="0" w:color="auto"/>
                <w:bottom w:val="none" w:sz="0" w:space="0" w:color="auto"/>
                <w:right w:val="none" w:sz="0" w:space="0" w:color="auto"/>
              </w:divBdr>
            </w:div>
            <w:div w:id="789855106">
              <w:marLeft w:val="0"/>
              <w:marRight w:val="0"/>
              <w:marTop w:val="0"/>
              <w:marBottom w:val="0"/>
              <w:divBdr>
                <w:top w:val="none" w:sz="0" w:space="0" w:color="auto"/>
                <w:left w:val="none" w:sz="0" w:space="0" w:color="auto"/>
                <w:bottom w:val="none" w:sz="0" w:space="0" w:color="auto"/>
                <w:right w:val="none" w:sz="0" w:space="0" w:color="auto"/>
              </w:divBdr>
            </w:div>
            <w:div w:id="1500583589">
              <w:marLeft w:val="0"/>
              <w:marRight w:val="0"/>
              <w:marTop w:val="0"/>
              <w:marBottom w:val="0"/>
              <w:divBdr>
                <w:top w:val="none" w:sz="0" w:space="0" w:color="auto"/>
                <w:left w:val="none" w:sz="0" w:space="0" w:color="auto"/>
                <w:bottom w:val="none" w:sz="0" w:space="0" w:color="auto"/>
                <w:right w:val="none" w:sz="0" w:space="0" w:color="auto"/>
              </w:divBdr>
            </w:div>
            <w:div w:id="1624769387">
              <w:marLeft w:val="0"/>
              <w:marRight w:val="0"/>
              <w:marTop w:val="0"/>
              <w:marBottom w:val="0"/>
              <w:divBdr>
                <w:top w:val="none" w:sz="0" w:space="0" w:color="auto"/>
                <w:left w:val="none" w:sz="0" w:space="0" w:color="auto"/>
                <w:bottom w:val="none" w:sz="0" w:space="0" w:color="auto"/>
                <w:right w:val="none" w:sz="0" w:space="0" w:color="auto"/>
              </w:divBdr>
            </w:div>
          </w:divsChild>
        </w:div>
        <w:div w:id="1219055899">
          <w:marLeft w:val="0"/>
          <w:marRight w:val="0"/>
          <w:marTop w:val="0"/>
          <w:marBottom w:val="0"/>
          <w:divBdr>
            <w:top w:val="none" w:sz="0" w:space="0" w:color="auto"/>
            <w:left w:val="none" w:sz="0" w:space="0" w:color="auto"/>
            <w:bottom w:val="none" w:sz="0" w:space="0" w:color="auto"/>
            <w:right w:val="none" w:sz="0" w:space="0" w:color="auto"/>
          </w:divBdr>
          <w:divsChild>
            <w:div w:id="163127559">
              <w:marLeft w:val="0"/>
              <w:marRight w:val="0"/>
              <w:marTop w:val="0"/>
              <w:marBottom w:val="0"/>
              <w:divBdr>
                <w:top w:val="none" w:sz="0" w:space="0" w:color="auto"/>
                <w:left w:val="none" w:sz="0" w:space="0" w:color="auto"/>
                <w:bottom w:val="none" w:sz="0" w:space="0" w:color="auto"/>
                <w:right w:val="none" w:sz="0" w:space="0" w:color="auto"/>
              </w:divBdr>
            </w:div>
            <w:div w:id="174274425">
              <w:marLeft w:val="0"/>
              <w:marRight w:val="0"/>
              <w:marTop w:val="0"/>
              <w:marBottom w:val="0"/>
              <w:divBdr>
                <w:top w:val="none" w:sz="0" w:space="0" w:color="auto"/>
                <w:left w:val="none" w:sz="0" w:space="0" w:color="auto"/>
                <w:bottom w:val="none" w:sz="0" w:space="0" w:color="auto"/>
                <w:right w:val="none" w:sz="0" w:space="0" w:color="auto"/>
              </w:divBdr>
            </w:div>
            <w:div w:id="210073749">
              <w:marLeft w:val="0"/>
              <w:marRight w:val="0"/>
              <w:marTop w:val="0"/>
              <w:marBottom w:val="0"/>
              <w:divBdr>
                <w:top w:val="none" w:sz="0" w:space="0" w:color="auto"/>
                <w:left w:val="none" w:sz="0" w:space="0" w:color="auto"/>
                <w:bottom w:val="none" w:sz="0" w:space="0" w:color="auto"/>
                <w:right w:val="none" w:sz="0" w:space="0" w:color="auto"/>
              </w:divBdr>
            </w:div>
            <w:div w:id="243878532">
              <w:marLeft w:val="0"/>
              <w:marRight w:val="0"/>
              <w:marTop w:val="0"/>
              <w:marBottom w:val="0"/>
              <w:divBdr>
                <w:top w:val="none" w:sz="0" w:space="0" w:color="auto"/>
                <w:left w:val="none" w:sz="0" w:space="0" w:color="auto"/>
                <w:bottom w:val="none" w:sz="0" w:space="0" w:color="auto"/>
                <w:right w:val="none" w:sz="0" w:space="0" w:color="auto"/>
              </w:divBdr>
            </w:div>
            <w:div w:id="266885757">
              <w:marLeft w:val="0"/>
              <w:marRight w:val="0"/>
              <w:marTop w:val="0"/>
              <w:marBottom w:val="0"/>
              <w:divBdr>
                <w:top w:val="none" w:sz="0" w:space="0" w:color="auto"/>
                <w:left w:val="none" w:sz="0" w:space="0" w:color="auto"/>
                <w:bottom w:val="none" w:sz="0" w:space="0" w:color="auto"/>
                <w:right w:val="none" w:sz="0" w:space="0" w:color="auto"/>
              </w:divBdr>
            </w:div>
            <w:div w:id="382679601">
              <w:marLeft w:val="0"/>
              <w:marRight w:val="0"/>
              <w:marTop w:val="0"/>
              <w:marBottom w:val="0"/>
              <w:divBdr>
                <w:top w:val="none" w:sz="0" w:space="0" w:color="auto"/>
                <w:left w:val="none" w:sz="0" w:space="0" w:color="auto"/>
                <w:bottom w:val="none" w:sz="0" w:space="0" w:color="auto"/>
                <w:right w:val="none" w:sz="0" w:space="0" w:color="auto"/>
              </w:divBdr>
            </w:div>
            <w:div w:id="585379647">
              <w:marLeft w:val="0"/>
              <w:marRight w:val="0"/>
              <w:marTop w:val="0"/>
              <w:marBottom w:val="0"/>
              <w:divBdr>
                <w:top w:val="none" w:sz="0" w:space="0" w:color="auto"/>
                <w:left w:val="none" w:sz="0" w:space="0" w:color="auto"/>
                <w:bottom w:val="none" w:sz="0" w:space="0" w:color="auto"/>
                <w:right w:val="none" w:sz="0" w:space="0" w:color="auto"/>
              </w:divBdr>
            </w:div>
            <w:div w:id="616524619">
              <w:marLeft w:val="0"/>
              <w:marRight w:val="0"/>
              <w:marTop w:val="0"/>
              <w:marBottom w:val="0"/>
              <w:divBdr>
                <w:top w:val="none" w:sz="0" w:space="0" w:color="auto"/>
                <w:left w:val="none" w:sz="0" w:space="0" w:color="auto"/>
                <w:bottom w:val="none" w:sz="0" w:space="0" w:color="auto"/>
                <w:right w:val="none" w:sz="0" w:space="0" w:color="auto"/>
              </w:divBdr>
            </w:div>
            <w:div w:id="654530400">
              <w:marLeft w:val="0"/>
              <w:marRight w:val="0"/>
              <w:marTop w:val="0"/>
              <w:marBottom w:val="0"/>
              <w:divBdr>
                <w:top w:val="none" w:sz="0" w:space="0" w:color="auto"/>
                <w:left w:val="none" w:sz="0" w:space="0" w:color="auto"/>
                <w:bottom w:val="none" w:sz="0" w:space="0" w:color="auto"/>
                <w:right w:val="none" w:sz="0" w:space="0" w:color="auto"/>
              </w:divBdr>
            </w:div>
            <w:div w:id="1101072047">
              <w:marLeft w:val="0"/>
              <w:marRight w:val="0"/>
              <w:marTop w:val="0"/>
              <w:marBottom w:val="0"/>
              <w:divBdr>
                <w:top w:val="none" w:sz="0" w:space="0" w:color="auto"/>
                <w:left w:val="none" w:sz="0" w:space="0" w:color="auto"/>
                <w:bottom w:val="none" w:sz="0" w:space="0" w:color="auto"/>
                <w:right w:val="none" w:sz="0" w:space="0" w:color="auto"/>
              </w:divBdr>
            </w:div>
            <w:div w:id="1491671263">
              <w:marLeft w:val="0"/>
              <w:marRight w:val="0"/>
              <w:marTop w:val="0"/>
              <w:marBottom w:val="0"/>
              <w:divBdr>
                <w:top w:val="none" w:sz="0" w:space="0" w:color="auto"/>
                <w:left w:val="none" w:sz="0" w:space="0" w:color="auto"/>
                <w:bottom w:val="none" w:sz="0" w:space="0" w:color="auto"/>
                <w:right w:val="none" w:sz="0" w:space="0" w:color="auto"/>
              </w:divBdr>
            </w:div>
            <w:div w:id="1918786173">
              <w:marLeft w:val="0"/>
              <w:marRight w:val="0"/>
              <w:marTop w:val="0"/>
              <w:marBottom w:val="0"/>
              <w:divBdr>
                <w:top w:val="none" w:sz="0" w:space="0" w:color="auto"/>
                <w:left w:val="none" w:sz="0" w:space="0" w:color="auto"/>
                <w:bottom w:val="none" w:sz="0" w:space="0" w:color="auto"/>
                <w:right w:val="none" w:sz="0" w:space="0" w:color="auto"/>
              </w:divBdr>
            </w:div>
            <w:div w:id="2080856338">
              <w:marLeft w:val="0"/>
              <w:marRight w:val="0"/>
              <w:marTop w:val="0"/>
              <w:marBottom w:val="0"/>
              <w:divBdr>
                <w:top w:val="none" w:sz="0" w:space="0" w:color="auto"/>
                <w:left w:val="none" w:sz="0" w:space="0" w:color="auto"/>
                <w:bottom w:val="none" w:sz="0" w:space="0" w:color="auto"/>
                <w:right w:val="none" w:sz="0" w:space="0" w:color="auto"/>
              </w:divBdr>
            </w:div>
          </w:divsChild>
        </w:div>
        <w:div w:id="1219248805">
          <w:marLeft w:val="0"/>
          <w:marRight w:val="0"/>
          <w:marTop w:val="0"/>
          <w:marBottom w:val="0"/>
          <w:divBdr>
            <w:top w:val="none" w:sz="0" w:space="0" w:color="auto"/>
            <w:left w:val="none" w:sz="0" w:space="0" w:color="auto"/>
            <w:bottom w:val="none" w:sz="0" w:space="0" w:color="auto"/>
            <w:right w:val="none" w:sz="0" w:space="0" w:color="auto"/>
          </w:divBdr>
          <w:divsChild>
            <w:div w:id="1400052770">
              <w:marLeft w:val="0"/>
              <w:marRight w:val="0"/>
              <w:marTop w:val="0"/>
              <w:marBottom w:val="0"/>
              <w:divBdr>
                <w:top w:val="none" w:sz="0" w:space="0" w:color="auto"/>
                <w:left w:val="none" w:sz="0" w:space="0" w:color="auto"/>
                <w:bottom w:val="none" w:sz="0" w:space="0" w:color="auto"/>
                <w:right w:val="none" w:sz="0" w:space="0" w:color="auto"/>
              </w:divBdr>
            </w:div>
            <w:div w:id="1998992406">
              <w:marLeft w:val="0"/>
              <w:marRight w:val="0"/>
              <w:marTop w:val="0"/>
              <w:marBottom w:val="0"/>
              <w:divBdr>
                <w:top w:val="none" w:sz="0" w:space="0" w:color="auto"/>
                <w:left w:val="none" w:sz="0" w:space="0" w:color="auto"/>
                <w:bottom w:val="none" w:sz="0" w:space="0" w:color="auto"/>
                <w:right w:val="none" w:sz="0" w:space="0" w:color="auto"/>
              </w:divBdr>
            </w:div>
          </w:divsChild>
        </w:div>
        <w:div w:id="1226143403">
          <w:marLeft w:val="0"/>
          <w:marRight w:val="0"/>
          <w:marTop w:val="0"/>
          <w:marBottom w:val="0"/>
          <w:divBdr>
            <w:top w:val="none" w:sz="0" w:space="0" w:color="auto"/>
            <w:left w:val="none" w:sz="0" w:space="0" w:color="auto"/>
            <w:bottom w:val="none" w:sz="0" w:space="0" w:color="auto"/>
            <w:right w:val="none" w:sz="0" w:space="0" w:color="auto"/>
          </w:divBdr>
          <w:divsChild>
            <w:div w:id="2056611532">
              <w:marLeft w:val="0"/>
              <w:marRight w:val="0"/>
              <w:marTop w:val="0"/>
              <w:marBottom w:val="0"/>
              <w:divBdr>
                <w:top w:val="none" w:sz="0" w:space="0" w:color="auto"/>
                <w:left w:val="none" w:sz="0" w:space="0" w:color="auto"/>
                <w:bottom w:val="none" w:sz="0" w:space="0" w:color="auto"/>
                <w:right w:val="none" w:sz="0" w:space="0" w:color="auto"/>
              </w:divBdr>
            </w:div>
          </w:divsChild>
        </w:div>
        <w:div w:id="1227184381">
          <w:marLeft w:val="0"/>
          <w:marRight w:val="0"/>
          <w:marTop w:val="0"/>
          <w:marBottom w:val="0"/>
          <w:divBdr>
            <w:top w:val="none" w:sz="0" w:space="0" w:color="auto"/>
            <w:left w:val="none" w:sz="0" w:space="0" w:color="auto"/>
            <w:bottom w:val="none" w:sz="0" w:space="0" w:color="auto"/>
            <w:right w:val="none" w:sz="0" w:space="0" w:color="auto"/>
          </w:divBdr>
          <w:divsChild>
            <w:div w:id="268003771">
              <w:marLeft w:val="0"/>
              <w:marRight w:val="0"/>
              <w:marTop w:val="0"/>
              <w:marBottom w:val="0"/>
              <w:divBdr>
                <w:top w:val="none" w:sz="0" w:space="0" w:color="auto"/>
                <w:left w:val="none" w:sz="0" w:space="0" w:color="auto"/>
                <w:bottom w:val="none" w:sz="0" w:space="0" w:color="auto"/>
                <w:right w:val="none" w:sz="0" w:space="0" w:color="auto"/>
              </w:divBdr>
            </w:div>
            <w:div w:id="362483748">
              <w:marLeft w:val="0"/>
              <w:marRight w:val="0"/>
              <w:marTop w:val="0"/>
              <w:marBottom w:val="0"/>
              <w:divBdr>
                <w:top w:val="none" w:sz="0" w:space="0" w:color="auto"/>
                <w:left w:val="none" w:sz="0" w:space="0" w:color="auto"/>
                <w:bottom w:val="none" w:sz="0" w:space="0" w:color="auto"/>
                <w:right w:val="none" w:sz="0" w:space="0" w:color="auto"/>
              </w:divBdr>
            </w:div>
            <w:div w:id="810370573">
              <w:marLeft w:val="0"/>
              <w:marRight w:val="0"/>
              <w:marTop w:val="0"/>
              <w:marBottom w:val="0"/>
              <w:divBdr>
                <w:top w:val="none" w:sz="0" w:space="0" w:color="auto"/>
                <w:left w:val="none" w:sz="0" w:space="0" w:color="auto"/>
                <w:bottom w:val="none" w:sz="0" w:space="0" w:color="auto"/>
                <w:right w:val="none" w:sz="0" w:space="0" w:color="auto"/>
              </w:divBdr>
            </w:div>
            <w:div w:id="1155797952">
              <w:marLeft w:val="0"/>
              <w:marRight w:val="0"/>
              <w:marTop w:val="0"/>
              <w:marBottom w:val="0"/>
              <w:divBdr>
                <w:top w:val="none" w:sz="0" w:space="0" w:color="auto"/>
                <w:left w:val="none" w:sz="0" w:space="0" w:color="auto"/>
                <w:bottom w:val="none" w:sz="0" w:space="0" w:color="auto"/>
                <w:right w:val="none" w:sz="0" w:space="0" w:color="auto"/>
              </w:divBdr>
            </w:div>
            <w:div w:id="1673296290">
              <w:marLeft w:val="0"/>
              <w:marRight w:val="0"/>
              <w:marTop w:val="0"/>
              <w:marBottom w:val="0"/>
              <w:divBdr>
                <w:top w:val="none" w:sz="0" w:space="0" w:color="auto"/>
                <w:left w:val="none" w:sz="0" w:space="0" w:color="auto"/>
                <w:bottom w:val="none" w:sz="0" w:space="0" w:color="auto"/>
                <w:right w:val="none" w:sz="0" w:space="0" w:color="auto"/>
              </w:divBdr>
            </w:div>
            <w:div w:id="1737126760">
              <w:marLeft w:val="0"/>
              <w:marRight w:val="0"/>
              <w:marTop w:val="0"/>
              <w:marBottom w:val="0"/>
              <w:divBdr>
                <w:top w:val="none" w:sz="0" w:space="0" w:color="auto"/>
                <w:left w:val="none" w:sz="0" w:space="0" w:color="auto"/>
                <w:bottom w:val="none" w:sz="0" w:space="0" w:color="auto"/>
                <w:right w:val="none" w:sz="0" w:space="0" w:color="auto"/>
              </w:divBdr>
            </w:div>
            <w:div w:id="2073232010">
              <w:marLeft w:val="0"/>
              <w:marRight w:val="0"/>
              <w:marTop w:val="0"/>
              <w:marBottom w:val="0"/>
              <w:divBdr>
                <w:top w:val="none" w:sz="0" w:space="0" w:color="auto"/>
                <w:left w:val="none" w:sz="0" w:space="0" w:color="auto"/>
                <w:bottom w:val="none" w:sz="0" w:space="0" w:color="auto"/>
                <w:right w:val="none" w:sz="0" w:space="0" w:color="auto"/>
              </w:divBdr>
            </w:div>
          </w:divsChild>
        </w:div>
        <w:div w:id="1229881293">
          <w:marLeft w:val="0"/>
          <w:marRight w:val="0"/>
          <w:marTop w:val="0"/>
          <w:marBottom w:val="0"/>
          <w:divBdr>
            <w:top w:val="none" w:sz="0" w:space="0" w:color="auto"/>
            <w:left w:val="none" w:sz="0" w:space="0" w:color="auto"/>
            <w:bottom w:val="none" w:sz="0" w:space="0" w:color="auto"/>
            <w:right w:val="none" w:sz="0" w:space="0" w:color="auto"/>
          </w:divBdr>
          <w:divsChild>
            <w:div w:id="929895073">
              <w:marLeft w:val="0"/>
              <w:marRight w:val="0"/>
              <w:marTop w:val="0"/>
              <w:marBottom w:val="0"/>
              <w:divBdr>
                <w:top w:val="none" w:sz="0" w:space="0" w:color="auto"/>
                <w:left w:val="none" w:sz="0" w:space="0" w:color="auto"/>
                <w:bottom w:val="none" w:sz="0" w:space="0" w:color="auto"/>
                <w:right w:val="none" w:sz="0" w:space="0" w:color="auto"/>
              </w:divBdr>
            </w:div>
          </w:divsChild>
        </w:div>
        <w:div w:id="1238897875">
          <w:marLeft w:val="0"/>
          <w:marRight w:val="0"/>
          <w:marTop w:val="0"/>
          <w:marBottom w:val="0"/>
          <w:divBdr>
            <w:top w:val="none" w:sz="0" w:space="0" w:color="auto"/>
            <w:left w:val="none" w:sz="0" w:space="0" w:color="auto"/>
            <w:bottom w:val="none" w:sz="0" w:space="0" w:color="auto"/>
            <w:right w:val="none" w:sz="0" w:space="0" w:color="auto"/>
          </w:divBdr>
          <w:divsChild>
            <w:div w:id="661929058">
              <w:marLeft w:val="0"/>
              <w:marRight w:val="0"/>
              <w:marTop w:val="0"/>
              <w:marBottom w:val="0"/>
              <w:divBdr>
                <w:top w:val="none" w:sz="0" w:space="0" w:color="auto"/>
                <w:left w:val="none" w:sz="0" w:space="0" w:color="auto"/>
                <w:bottom w:val="none" w:sz="0" w:space="0" w:color="auto"/>
                <w:right w:val="none" w:sz="0" w:space="0" w:color="auto"/>
              </w:divBdr>
            </w:div>
            <w:div w:id="676615990">
              <w:marLeft w:val="0"/>
              <w:marRight w:val="0"/>
              <w:marTop w:val="0"/>
              <w:marBottom w:val="0"/>
              <w:divBdr>
                <w:top w:val="none" w:sz="0" w:space="0" w:color="auto"/>
                <w:left w:val="none" w:sz="0" w:space="0" w:color="auto"/>
                <w:bottom w:val="none" w:sz="0" w:space="0" w:color="auto"/>
                <w:right w:val="none" w:sz="0" w:space="0" w:color="auto"/>
              </w:divBdr>
            </w:div>
          </w:divsChild>
        </w:div>
        <w:div w:id="1243221852">
          <w:marLeft w:val="0"/>
          <w:marRight w:val="0"/>
          <w:marTop w:val="0"/>
          <w:marBottom w:val="0"/>
          <w:divBdr>
            <w:top w:val="none" w:sz="0" w:space="0" w:color="auto"/>
            <w:left w:val="none" w:sz="0" w:space="0" w:color="auto"/>
            <w:bottom w:val="none" w:sz="0" w:space="0" w:color="auto"/>
            <w:right w:val="none" w:sz="0" w:space="0" w:color="auto"/>
          </w:divBdr>
          <w:divsChild>
            <w:div w:id="404684922">
              <w:marLeft w:val="0"/>
              <w:marRight w:val="0"/>
              <w:marTop w:val="0"/>
              <w:marBottom w:val="0"/>
              <w:divBdr>
                <w:top w:val="none" w:sz="0" w:space="0" w:color="auto"/>
                <w:left w:val="none" w:sz="0" w:space="0" w:color="auto"/>
                <w:bottom w:val="none" w:sz="0" w:space="0" w:color="auto"/>
                <w:right w:val="none" w:sz="0" w:space="0" w:color="auto"/>
              </w:divBdr>
            </w:div>
          </w:divsChild>
        </w:div>
        <w:div w:id="1252355879">
          <w:marLeft w:val="0"/>
          <w:marRight w:val="0"/>
          <w:marTop w:val="0"/>
          <w:marBottom w:val="0"/>
          <w:divBdr>
            <w:top w:val="none" w:sz="0" w:space="0" w:color="auto"/>
            <w:left w:val="none" w:sz="0" w:space="0" w:color="auto"/>
            <w:bottom w:val="none" w:sz="0" w:space="0" w:color="auto"/>
            <w:right w:val="none" w:sz="0" w:space="0" w:color="auto"/>
          </w:divBdr>
          <w:divsChild>
            <w:div w:id="1331325501">
              <w:marLeft w:val="0"/>
              <w:marRight w:val="0"/>
              <w:marTop w:val="0"/>
              <w:marBottom w:val="0"/>
              <w:divBdr>
                <w:top w:val="none" w:sz="0" w:space="0" w:color="auto"/>
                <w:left w:val="none" w:sz="0" w:space="0" w:color="auto"/>
                <w:bottom w:val="none" w:sz="0" w:space="0" w:color="auto"/>
                <w:right w:val="none" w:sz="0" w:space="0" w:color="auto"/>
              </w:divBdr>
            </w:div>
          </w:divsChild>
        </w:div>
        <w:div w:id="1253468700">
          <w:marLeft w:val="0"/>
          <w:marRight w:val="0"/>
          <w:marTop w:val="0"/>
          <w:marBottom w:val="0"/>
          <w:divBdr>
            <w:top w:val="none" w:sz="0" w:space="0" w:color="auto"/>
            <w:left w:val="none" w:sz="0" w:space="0" w:color="auto"/>
            <w:bottom w:val="none" w:sz="0" w:space="0" w:color="auto"/>
            <w:right w:val="none" w:sz="0" w:space="0" w:color="auto"/>
          </w:divBdr>
          <w:divsChild>
            <w:div w:id="344284388">
              <w:marLeft w:val="0"/>
              <w:marRight w:val="0"/>
              <w:marTop w:val="0"/>
              <w:marBottom w:val="0"/>
              <w:divBdr>
                <w:top w:val="none" w:sz="0" w:space="0" w:color="auto"/>
                <w:left w:val="none" w:sz="0" w:space="0" w:color="auto"/>
                <w:bottom w:val="none" w:sz="0" w:space="0" w:color="auto"/>
                <w:right w:val="none" w:sz="0" w:space="0" w:color="auto"/>
              </w:divBdr>
            </w:div>
          </w:divsChild>
        </w:div>
        <w:div w:id="1257439365">
          <w:marLeft w:val="0"/>
          <w:marRight w:val="0"/>
          <w:marTop w:val="0"/>
          <w:marBottom w:val="0"/>
          <w:divBdr>
            <w:top w:val="none" w:sz="0" w:space="0" w:color="auto"/>
            <w:left w:val="none" w:sz="0" w:space="0" w:color="auto"/>
            <w:bottom w:val="none" w:sz="0" w:space="0" w:color="auto"/>
            <w:right w:val="none" w:sz="0" w:space="0" w:color="auto"/>
          </w:divBdr>
          <w:divsChild>
            <w:div w:id="1939439013">
              <w:marLeft w:val="0"/>
              <w:marRight w:val="0"/>
              <w:marTop w:val="0"/>
              <w:marBottom w:val="0"/>
              <w:divBdr>
                <w:top w:val="none" w:sz="0" w:space="0" w:color="auto"/>
                <w:left w:val="none" w:sz="0" w:space="0" w:color="auto"/>
                <w:bottom w:val="none" w:sz="0" w:space="0" w:color="auto"/>
                <w:right w:val="none" w:sz="0" w:space="0" w:color="auto"/>
              </w:divBdr>
            </w:div>
          </w:divsChild>
        </w:div>
        <w:div w:id="1262177642">
          <w:marLeft w:val="0"/>
          <w:marRight w:val="0"/>
          <w:marTop w:val="0"/>
          <w:marBottom w:val="0"/>
          <w:divBdr>
            <w:top w:val="none" w:sz="0" w:space="0" w:color="auto"/>
            <w:left w:val="none" w:sz="0" w:space="0" w:color="auto"/>
            <w:bottom w:val="none" w:sz="0" w:space="0" w:color="auto"/>
            <w:right w:val="none" w:sz="0" w:space="0" w:color="auto"/>
          </w:divBdr>
          <w:divsChild>
            <w:div w:id="463698754">
              <w:marLeft w:val="0"/>
              <w:marRight w:val="0"/>
              <w:marTop w:val="0"/>
              <w:marBottom w:val="0"/>
              <w:divBdr>
                <w:top w:val="none" w:sz="0" w:space="0" w:color="auto"/>
                <w:left w:val="none" w:sz="0" w:space="0" w:color="auto"/>
                <w:bottom w:val="none" w:sz="0" w:space="0" w:color="auto"/>
                <w:right w:val="none" w:sz="0" w:space="0" w:color="auto"/>
              </w:divBdr>
            </w:div>
          </w:divsChild>
        </w:div>
        <w:div w:id="1264992240">
          <w:marLeft w:val="0"/>
          <w:marRight w:val="0"/>
          <w:marTop w:val="0"/>
          <w:marBottom w:val="0"/>
          <w:divBdr>
            <w:top w:val="none" w:sz="0" w:space="0" w:color="auto"/>
            <w:left w:val="none" w:sz="0" w:space="0" w:color="auto"/>
            <w:bottom w:val="none" w:sz="0" w:space="0" w:color="auto"/>
            <w:right w:val="none" w:sz="0" w:space="0" w:color="auto"/>
          </w:divBdr>
          <w:divsChild>
            <w:div w:id="1355182163">
              <w:marLeft w:val="0"/>
              <w:marRight w:val="0"/>
              <w:marTop w:val="0"/>
              <w:marBottom w:val="0"/>
              <w:divBdr>
                <w:top w:val="none" w:sz="0" w:space="0" w:color="auto"/>
                <w:left w:val="none" w:sz="0" w:space="0" w:color="auto"/>
                <w:bottom w:val="none" w:sz="0" w:space="0" w:color="auto"/>
                <w:right w:val="none" w:sz="0" w:space="0" w:color="auto"/>
              </w:divBdr>
            </w:div>
          </w:divsChild>
        </w:div>
        <w:div w:id="1266112630">
          <w:marLeft w:val="0"/>
          <w:marRight w:val="0"/>
          <w:marTop w:val="0"/>
          <w:marBottom w:val="0"/>
          <w:divBdr>
            <w:top w:val="none" w:sz="0" w:space="0" w:color="auto"/>
            <w:left w:val="none" w:sz="0" w:space="0" w:color="auto"/>
            <w:bottom w:val="none" w:sz="0" w:space="0" w:color="auto"/>
            <w:right w:val="none" w:sz="0" w:space="0" w:color="auto"/>
          </w:divBdr>
          <w:divsChild>
            <w:div w:id="53894678">
              <w:marLeft w:val="0"/>
              <w:marRight w:val="0"/>
              <w:marTop w:val="0"/>
              <w:marBottom w:val="0"/>
              <w:divBdr>
                <w:top w:val="none" w:sz="0" w:space="0" w:color="auto"/>
                <w:left w:val="none" w:sz="0" w:space="0" w:color="auto"/>
                <w:bottom w:val="none" w:sz="0" w:space="0" w:color="auto"/>
                <w:right w:val="none" w:sz="0" w:space="0" w:color="auto"/>
              </w:divBdr>
            </w:div>
            <w:div w:id="122818604">
              <w:marLeft w:val="0"/>
              <w:marRight w:val="0"/>
              <w:marTop w:val="0"/>
              <w:marBottom w:val="0"/>
              <w:divBdr>
                <w:top w:val="none" w:sz="0" w:space="0" w:color="auto"/>
                <w:left w:val="none" w:sz="0" w:space="0" w:color="auto"/>
                <w:bottom w:val="none" w:sz="0" w:space="0" w:color="auto"/>
                <w:right w:val="none" w:sz="0" w:space="0" w:color="auto"/>
              </w:divBdr>
            </w:div>
            <w:div w:id="807893756">
              <w:marLeft w:val="0"/>
              <w:marRight w:val="0"/>
              <w:marTop w:val="0"/>
              <w:marBottom w:val="0"/>
              <w:divBdr>
                <w:top w:val="none" w:sz="0" w:space="0" w:color="auto"/>
                <w:left w:val="none" w:sz="0" w:space="0" w:color="auto"/>
                <w:bottom w:val="none" w:sz="0" w:space="0" w:color="auto"/>
                <w:right w:val="none" w:sz="0" w:space="0" w:color="auto"/>
              </w:divBdr>
            </w:div>
            <w:div w:id="1687556509">
              <w:marLeft w:val="0"/>
              <w:marRight w:val="0"/>
              <w:marTop w:val="0"/>
              <w:marBottom w:val="0"/>
              <w:divBdr>
                <w:top w:val="none" w:sz="0" w:space="0" w:color="auto"/>
                <w:left w:val="none" w:sz="0" w:space="0" w:color="auto"/>
                <w:bottom w:val="none" w:sz="0" w:space="0" w:color="auto"/>
                <w:right w:val="none" w:sz="0" w:space="0" w:color="auto"/>
              </w:divBdr>
            </w:div>
          </w:divsChild>
        </w:div>
        <w:div w:id="1277060299">
          <w:marLeft w:val="0"/>
          <w:marRight w:val="0"/>
          <w:marTop w:val="0"/>
          <w:marBottom w:val="0"/>
          <w:divBdr>
            <w:top w:val="none" w:sz="0" w:space="0" w:color="auto"/>
            <w:left w:val="none" w:sz="0" w:space="0" w:color="auto"/>
            <w:bottom w:val="none" w:sz="0" w:space="0" w:color="auto"/>
            <w:right w:val="none" w:sz="0" w:space="0" w:color="auto"/>
          </w:divBdr>
          <w:divsChild>
            <w:div w:id="2066446853">
              <w:marLeft w:val="0"/>
              <w:marRight w:val="0"/>
              <w:marTop w:val="0"/>
              <w:marBottom w:val="0"/>
              <w:divBdr>
                <w:top w:val="none" w:sz="0" w:space="0" w:color="auto"/>
                <w:left w:val="none" w:sz="0" w:space="0" w:color="auto"/>
                <w:bottom w:val="none" w:sz="0" w:space="0" w:color="auto"/>
                <w:right w:val="none" w:sz="0" w:space="0" w:color="auto"/>
              </w:divBdr>
            </w:div>
          </w:divsChild>
        </w:div>
        <w:div w:id="1283220865">
          <w:marLeft w:val="0"/>
          <w:marRight w:val="0"/>
          <w:marTop w:val="0"/>
          <w:marBottom w:val="0"/>
          <w:divBdr>
            <w:top w:val="none" w:sz="0" w:space="0" w:color="auto"/>
            <w:left w:val="none" w:sz="0" w:space="0" w:color="auto"/>
            <w:bottom w:val="none" w:sz="0" w:space="0" w:color="auto"/>
            <w:right w:val="none" w:sz="0" w:space="0" w:color="auto"/>
          </w:divBdr>
          <w:divsChild>
            <w:div w:id="1991010116">
              <w:marLeft w:val="0"/>
              <w:marRight w:val="0"/>
              <w:marTop w:val="0"/>
              <w:marBottom w:val="0"/>
              <w:divBdr>
                <w:top w:val="none" w:sz="0" w:space="0" w:color="auto"/>
                <w:left w:val="none" w:sz="0" w:space="0" w:color="auto"/>
                <w:bottom w:val="none" w:sz="0" w:space="0" w:color="auto"/>
                <w:right w:val="none" w:sz="0" w:space="0" w:color="auto"/>
              </w:divBdr>
            </w:div>
          </w:divsChild>
        </w:div>
        <w:div w:id="1294016103">
          <w:marLeft w:val="0"/>
          <w:marRight w:val="0"/>
          <w:marTop w:val="0"/>
          <w:marBottom w:val="0"/>
          <w:divBdr>
            <w:top w:val="none" w:sz="0" w:space="0" w:color="auto"/>
            <w:left w:val="none" w:sz="0" w:space="0" w:color="auto"/>
            <w:bottom w:val="none" w:sz="0" w:space="0" w:color="auto"/>
            <w:right w:val="none" w:sz="0" w:space="0" w:color="auto"/>
          </w:divBdr>
          <w:divsChild>
            <w:div w:id="110973890">
              <w:marLeft w:val="0"/>
              <w:marRight w:val="0"/>
              <w:marTop w:val="0"/>
              <w:marBottom w:val="0"/>
              <w:divBdr>
                <w:top w:val="none" w:sz="0" w:space="0" w:color="auto"/>
                <w:left w:val="none" w:sz="0" w:space="0" w:color="auto"/>
                <w:bottom w:val="none" w:sz="0" w:space="0" w:color="auto"/>
                <w:right w:val="none" w:sz="0" w:space="0" w:color="auto"/>
              </w:divBdr>
            </w:div>
          </w:divsChild>
        </w:div>
        <w:div w:id="1310599099">
          <w:marLeft w:val="0"/>
          <w:marRight w:val="0"/>
          <w:marTop w:val="0"/>
          <w:marBottom w:val="0"/>
          <w:divBdr>
            <w:top w:val="none" w:sz="0" w:space="0" w:color="auto"/>
            <w:left w:val="none" w:sz="0" w:space="0" w:color="auto"/>
            <w:bottom w:val="none" w:sz="0" w:space="0" w:color="auto"/>
            <w:right w:val="none" w:sz="0" w:space="0" w:color="auto"/>
          </w:divBdr>
          <w:divsChild>
            <w:div w:id="814950214">
              <w:marLeft w:val="0"/>
              <w:marRight w:val="0"/>
              <w:marTop w:val="0"/>
              <w:marBottom w:val="0"/>
              <w:divBdr>
                <w:top w:val="none" w:sz="0" w:space="0" w:color="auto"/>
                <w:left w:val="none" w:sz="0" w:space="0" w:color="auto"/>
                <w:bottom w:val="none" w:sz="0" w:space="0" w:color="auto"/>
                <w:right w:val="none" w:sz="0" w:space="0" w:color="auto"/>
              </w:divBdr>
            </w:div>
          </w:divsChild>
        </w:div>
        <w:div w:id="1311784322">
          <w:marLeft w:val="0"/>
          <w:marRight w:val="0"/>
          <w:marTop w:val="0"/>
          <w:marBottom w:val="0"/>
          <w:divBdr>
            <w:top w:val="none" w:sz="0" w:space="0" w:color="auto"/>
            <w:left w:val="none" w:sz="0" w:space="0" w:color="auto"/>
            <w:bottom w:val="none" w:sz="0" w:space="0" w:color="auto"/>
            <w:right w:val="none" w:sz="0" w:space="0" w:color="auto"/>
          </w:divBdr>
          <w:divsChild>
            <w:div w:id="2088454258">
              <w:marLeft w:val="0"/>
              <w:marRight w:val="0"/>
              <w:marTop w:val="0"/>
              <w:marBottom w:val="0"/>
              <w:divBdr>
                <w:top w:val="none" w:sz="0" w:space="0" w:color="auto"/>
                <w:left w:val="none" w:sz="0" w:space="0" w:color="auto"/>
                <w:bottom w:val="none" w:sz="0" w:space="0" w:color="auto"/>
                <w:right w:val="none" w:sz="0" w:space="0" w:color="auto"/>
              </w:divBdr>
            </w:div>
          </w:divsChild>
        </w:div>
        <w:div w:id="1314213170">
          <w:marLeft w:val="0"/>
          <w:marRight w:val="0"/>
          <w:marTop w:val="0"/>
          <w:marBottom w:val="0"/>
          <w:divBdr>
            <w:top w:val="none" w:sz="0" w:space="0" w:color="auto"/>
            <w:left w:val="none" w:sz="0" w:space="0" w:color="auto"/>
            <w:bottom w:val="none" w:sz="0" w:space="0" w:color="auto"/>
            <w:right w:val="none" w:sz="0" w:space="0" w:color="auto"/>
          </w:divBdr>
          <w:divsChild>
            <w:div w:id="518273533">
              <w:marLeft w:val="0"/>
              <w:marRight w:val="0"/>
              <w:marTop w:val="0"/>
              <w:marBottom w:val="0"/>
              <w:divBdr>
                <w:top w:val="none" w:sz="0" w:space="0" w:color="auto"/>
                <w:left w:val="none" w:sz="0" w:space="0" w:color="auto"/>
                <w:bottom w:val="none" w:sz="0" w:space="0" w:color="auto"/>
                <w:right w:val="none" w:sz="0" w:space="0" w:color="auto"/>
              </w:divBdr>
            </w:div>
            <w:div w:id="749354377">
              <w:marLeft w:val="0"/>
              <w:marRight w:val="0"/>
              <w:marTop w:val="0"/>
              <w:marBottom w:val="0"/>
              <w:divBdr>
                <w:top w:val="none" w:sz="0" w:space="0" w:color="auto"/>
                <w:left w:val="none" w:sz="0" w:space="0" w:color="auto"/>
                <w:bottom w:val="none" w:sz="0" w:space="0" w:color="auto"/>
                <w:right w:val="none" w:sz="0" w:space="0" w:color="auto"/>
              </w:divBdr>
            </w:div>
            <w:div w:id="986125152">
              <w:marLeft w:val="0"/>
              <w:marRight w:val="0"/>
              <w:marTop w:val="0"/>
              <w:marBottom w:val="0"/>
              <w:divBdr>
                <w:top w:val="none" w:sz="0" w:space="0" w:color="auto"/>
                <w:left w:val="none" w:sz="0" w:space="0" w:color="auto"/>
                <w:bottom w:val="none" w:sz="0" w:space="0" w:color="auto"/>
                <w:right w:val="none" w:sz="0" w:space="0" w:color="auto"/>
              </w:divBdr>
            </w:div>
            <w:div w:id="1119883143">
              <w:marLeft w:val="0"/>
              <w:marRight w:val="0"/>
              <w:marTop w:val="0"/>
              <w:marBottom w:val="0"/>
              <w:divBdr>
                <w:top w:val="none" w:sz="0" w:space="0" w:color="auto"/>
                <w:left w:val="none" w:sz="0" w:space="0" w:color="auto"/>
                <w:bottom w:val="none" w:sz="0" w:space="0" w:color="auto"/>
                <w:right w:val="none" w:sz="0" w:space="0" w:color="auto"/>
              </w:divBdr>
            </w:div>
            <w:div w:id="1124301822">
              <w:marLeft w:val="0"/>
              <w:marRight w:val="0"/>
              <w:marTop w:val="0"/>
              <w:marBottom w:val="0"/>
              <w:divBdr>
                <w:top w:val="none" w:sz="0" w:space="0" w:color="auto"/>
                <w:left w:val="none" w:sz="0" w:space="0" w:color="auto"/>
                <w:bottom w:val="none" w:sz="0" w:space="0" w:color="auto"/>
                <w:right w:val="none" w:sz="0" w:space="0" w:color="auto"/>
              </w:divBdr>
            </w:div>
            <w:div w:id="1212883469">
              <w:marLeft w:val="0"/>
              <w:marRight w:val="0"/>
              <w:marTop w:val="0"/>
              <w:marBottom w:val="0"/>
              <w:divBdr>
                <w:top w:val="none" w:sz="0" w:space="0" w:color="auto"/>
                <w:left w:val="none" w:sz="0" w:space="0" w:color="auto"/>
                <w:bottom w:val="none" w:sz="0" w:space="0" w:color="auto"/>
                <w:right w:val="none" w:sz="0" w:space="0" w:color="auto"/>
              </w:divBdr>
            </w:div>
            <w:div w:id="1326982285">
              <w:marLeft w:val="0"/>
              <w:marRight w:val="0"/>
              <w:marTop w:val="0"/>
              <w:marBottom w:val="0"/>
              <w:divBdr>
                <w:top w:val="none" w:sz="0" w:space="0" w:color="auto"/>
                <w:left w:val="none" w:sz="0" w:space="0" w:color="auto"/>
                <w:bottom w:val="none" w:sz="0" w:space="0" w:color="auto"/>
                <w:right w:val="none" w:sz="0" w:space="0" w:color="auto"/>
              </w:divBdr>
            </w:div>
            <w:div w:id="1602762531">
              <w:marLeft w:val="0"/>
              <w:marRight w:val="0"/>
              <w:marTop w:val="0"/>
              <w:marBottom w:val="0"/>
              <w:divBdr>
                <w:top w:val="none" w:sz="0" w:space="0" w:color="auto"/>
                <w:left w:val="none" w:sz="0" w:space="0" w:color="auto"/>
                <w:bottom w:val="none" w:sz="0" w:space="0" w:color="auto"/>
                <w:right w:val="none" w:sz="0" w:space="0" w:color="auto"/>
              </w:divBdr>
            </w:div>
            <w:div w:id="1730028841">
              <w:marLeft w:val="0"/>
              <w:marRight w:val="0"/>
              <w:marTop w:val="0"/>
              <w:marBottom w:val="0"/>
              <w:divBdr>
                <w:top w:val="none" w:sz="0" w:space="0" w:color="auto"/>
                <w:left w:val="none" w:sz="0" w:space="0" w:color="auto"/>
                <w:bottom w:val="none" w:sz="0" w:space="0" w:color="auto"/>
                <w:right w:val="none" w:sz="0" w:space="0" w:color="auto"/>
              </w:divBdr>
            </w:div>
            <w:div w:id="1855336747">
              <w:marLeft w:val="0"/>
              <w:marRight w:val="0"/>
              <w:marTop w:val="0"/>
              <w:marBottom w:val="0"/>
              <w:divBdr>
                <w:top w:val="none" w:sz="0" w:space="0" w:color="auto"/>
                <w:left w:val="none" w:sz="0" w:space="0" w:color="auto"/>
                <w:bottom w:val="none" w:sz="0" w:space="0" w:color="auto"/>
                <w:right w:val="none" w:sz="0" w:space="0" w:color="auto"/>
              </w:divBdr>
            </w:div>
          </w:divsChild>
        </w:div>
        <w:div w:id="1318680343">
          <w:marLeft w:val="0"/>
          <w:marRight w:val="0"/>
          <w:marTop w:val="0"/>
          <w:marBottom w:val="0"/>
          <w:divBdr>
            <w:top w:val="none" w:sz="0" w:space="0" w:color="auto"/>
            <w:left w:val="none" w:sz="0" w:space="0" w:color="auto"/>
            <w:bottom w:val="none" w:sz="0" w:space="0" w:color="auto"/>
            <w:right w:val="none" w:sz="0" w:space="0" w:color="auto"/>
          </w:divBdr>
          <w:divsChild>
            <w:div w:id="931812950">
              <w:marLeft w:val="0"/>
              <w:marRight w:val="0"/>
              <w:marTop w:val="0"/>
              <w:marBottom w:val="0"/>
              <w:divBdr>
                <w:top w:val="none" w:sz="0" w:space="0" w:color="auto"/>
                <w:left w:val="none" w:sz="0" w:space="0" w:color="auto"/>
                <w:bottom w:val="none" w:sz="0" w:space="0" w:color="auto"/>
                <w:right w:val="none" w:sz="0" w:space="0" w:color="auto"/>
              </w:divBdr>
            </w:div>
            <w:div w:id="1034236376">
              <w:marLeft w:val="0"/>
              <w:marRight w:val="0"/>
              <w:marTop w:val="0"/>
              <w:marBottom w:val="0"/>
              <w:divBdr>
                <w:top w:val="none" w:sz="0" w:space="0" w:color="auto"/>
                <w:left w:val="none" w:sz="0" w:space="0" w:color="auto"/>
                <w:bottom w:val="none" w:sz="0" w:space="0" w:color="auto"/>
                <w:right w:val="none" w:sz="0" w:space="0" w:color="auto"/>
              </w:divBdr>
            </w:div>
          </w:divsChild>
        </w:div>
        <w:div w:id="1333527744">
          <w:marLeft w:val="0"/>
          <w:marRight w:val="0"/>
          <w:marTop w:val="0"/>
          <w:marBottom w:val="0"/>
          <w:divBdr>
            <w:top w:val="none" w:sz="0" w:space="0" w:color="auto"/>
            <w:left w:val="none" w:sz="0" w:space="0" w:color="auto"/>
            <w:bottom w:val="none" w:sz="0" w:space="0" w:color="auto"/>
            <w:right w:val="none" w:sz="0" w:space="0" w:color="auto"/>
          </w:divBdr>
          <w:divsChild>
            <w:div w:id="320544502">
              <w:marLeft w:val="0"/>
              <w:marRight w:val="0"/>
              <w:marTop w:val="0"/>
              <w:marBottom w:val="0"/>
              <w:divBdr>
                <w:top w:val="none" w:sz="0" w:space="0" w:color="auto"/>
                <w:left w:val="none" w:sz="0" w:space="0" w:color="auto"/>
                <w:bottom w:val="none" w:sz="0" w:space="0" w:color="auto"/>
                <w:right w:val="none" w:sz="0" w:space="0" w:color="auto"/>
              </w:divBdr>
            </w:div>
          </w:divsChild>
        </w:div>
        <w:div w:id="1337196698">
          <w:marLeft w:val="0"/>
          <w:marRight w:val="0"/>
          <w:marTop w:val="0"/>
          <w:marBottom w:val="0"/>
          <w:divBdr>
            <w:top w:val="none" w:sz="0" w:space="0" w:color="auto"/>
            <w:left w:val="none" w:sz="0" w:space="0" w:color="auto"/>
            <w:bottom w:val="none" w:sz="0" w:space="0" w:color="auto"/>
            <w:right w:val="none" w:sz="0" w:space="0" w:color="auto"/>
          </w:divBdr>
          <w:divsChild>
            <w:div w:id="355539565">
              <w:marLeft w:val="0"/>
              <w:marRight w:val="0"/>
              <w:marTop w:val="0"/>
              <w:marBottom w:val="0"/>
              <w:divBdr>
                <w:top w:val="none" w:sz="0" w:space="0" w:color="auto"/>
                <w:left w:val="none" w:sz="0" w:space="0" w:color="auto"/>
                <w:bottom w:val="none" w:sz="0" w:space="0" w:color="auto"/>
                <w:right w:val="none" w:sz="0" w:space="0" w:color="auto"/>
              </w:divBdr>
            </w:div>
          </w:divsChild>
        </w:div>
        <w:div w:id="1346710556">
          <w:marLeft w:val="0"/>
          <w:marRight w:val="0"/>
          <w:marTop w:val="0"/>
          <w:marBottom w:val="0"/>
          <w:divBdr>
            <w:top w:val="none" w:sz="0" w:space="0" w:color="auto"/>
            <w:left w:val="none" w:sz="0" w:space="0" w:color="auto"/>
            <w:bottom w:val="none" w:sz="0" w:space="0" w:color="auto"/>
            <w:right w:val="none" w:sz="0" w:space="0" w:color="auto"/>
          </w:divBdr>
          <w:divsChild>
            <w:div w:id="5720581">
              <w:marLeft w:val="0"/>
              <w:marRight w:val="0"/>
              <w:marTop w:val="0"/>
              <w:marBottom w:val="0"/>
              <w:divBdr>
                <w:top w:val="none" w:sz="0" w:space="0" w:color="auto"/>
                <w:left w:val="none" w:sz="0" w:space="0" w:color="auto"/>
                <w:bottom w:val="none" w:sz="0" w:space="0" w:color="auto"/>
                <w:right w:val="none" w:sz="0" w:space="0" w:color="auto"/>
              </w:divBdr>
            </w:div>
          </w:divsChild>
        </w:div>
        <w:div w:id="1350329059">
          <w:marLeft w:val="0"/>
          <w:marRight w:val="0"/>
          <w:marTop w:val="0"/>
          <w:marBottom w:val="0"/>
          <w:divBdr>
            <w:top w:val="none" w:sz="0" w:space="0" w:color="auto"/>
            <w:left w:val="none" w:sz="0" w:space="0" w:color="auto"/>
            <w:bottom w:val="none" w:sz="0" w:space="0" w:color="auto"/>
            <w:right w:val="none" w:sz="0" w:space="0" w:color="auto"/>
          </w:divBdr>
          <w:divsChild>
            <w:div w:id="2016837269">
              <w:marLeft w:val="0"/>
              <w:marRight w:val="0"/>
              <w:marTop w:val="0"/>
              <w:marBottom w:val="0"/>
              <w:divBdr>
                <w:top w:val="none" w:sz="0" w:space="0" w:color="auto"/>
                <w:left w:val="none" w:sz="0" w:space="0" w:color="auto"/>
                <w:bottom w:val="none" w:sz="0" w:space="0" w:color="auto"/>
                <w:right w:val="none" w:sz="0" w:space="0" w:color="auto"/>
              </w:divBdr>
            </w:div>
          </w:divsChild>
        </w:div>
        <w:div w:id="1352604271">
          <w:marLeft w:val="0"/>
          <w:marRight w:val="0"/>
          <w:marTop w:val="0"/>
          <w:marBottom w:val="0"/>
          <w:divBdr>
            <w:top w:val="none" w:sz="0" w:space="0" w:color="auto"/>
            <w:left w:val="none" w:sz="0" w:space="0" w:color="auto"/>
            <w:bottom w:val="none" w:sz="0" w:space="0" w:color="auto"/>
            <w:right w:val="none" w:sz="0" w:space="0" w:color="auto"/>
          </w:divBdr>
          <w:divsChild>
            <w:div w:id="175579754">
              <w:marLeft w:val="0"/>
              <w:marRight w:val="0"/>
              <w:marTop w:val="0"/>
              <w:marBottom w:val="0"/>
              <w:divBdr>
                <w:top w:val="none" w:sz="0" w:space="0" w:color="auto"/>
                <w:left w:val="none" w:sz="0" w:space="0" w:color="auto"/>
                <w:bottom w:val="none" w:sz="0" w:space="0" w:color="auto"/>
                <w:right w:val="none" w:sz="0" w:space="0" w:color="auto"/>
              </w:divBdr>
            </w:div>
            <w:div w:id="759906745">
              <w:marLeft w:val="0"/>
              <w:marRight w:val="0"/>
              <w:marTop w:val="0"/>
              <w:marBottom w:val="0"/>
              <w:divBdr>
                <w:top w:val="none" w:sz="0" w:space="0" w:color="auto"/>
                <w:left w:val="none" w:sz="0" w:space="0" w:color="auto"/>
                <w:bottom w:val="none" w:sz="0" w:space="0" w:color="auto"/>
                <w:right w:val="none" w:sz="0" w:space="0" w:color="auto"/>
              </w:divBdr>
            </w:div>
            <w:div w:id="779682464">
              <w:marLeft w:val="0"/>
              <w:marRight w:val="0"/>
              <w:marTop w:val="0"/>
              <w:marBottom w:val="0"/>
              <w:divBdr>
                <w:top w:val="none" w:sz="0" w:space="0" w:color="auto"/>
                <w:left w:val="none" w:sz="0" w:space="0" w:color="auto"/>
                <w:bottom w:val="none" w:sz="0" w:space="0" w:color="auto"/>
                <w:right w:val="none" w:sz="0" w:space="0" w:color="auto"/>
              </w:divBdr>
            </w:div>
            <w:div w:id="886259712">
              <w:marLeft w:val="0"/>
              <w:marRight w:val="0"/>
              <w:marTop w:val="0"/>
              <w:marBottom w:val="0"/>
              <w:divBdr>
                <w:top w:val="none" w:sz="0" w:space="0" w:color="auto"/>
                <w:left w:val="none" w:sz="0" w:space="0" w:color="auto"/>
                <w:bottom w:val="none" w:sz="0" w:space="0" w:color="auto"/>
                <w:right w:val="none" w:sz="0" w:space="0" w:color="auto"/>
              </w:divBdr>
            </w:div>
            <w:div w:id="1059405190">
              <w:marLeft w:val="0"/>
              <w:marRight w:val="0"/>
              <w:marTop w:val="0"/>
              <w:marBottom w:val="0"/>
              <w:divBdr>
                <w:top w:val="none" w:sz="0" w:space="0" w:color="auto"/>
                <w:left w:val="none" w:sz="0" w:space="0" w:color="auto"/>
                <w:bottom w:val="none" w:sz="0" w:space="0" w:color="auto"/>
                <w:right w:val="none" w:sz="0" w:space="0" w:color="auto"/>
              </w:divBdr>
            </w:div>
            <w:div w:id="1268656441">
              <w:marLeft w:val="0"/>
              <w:marRight w:val="0"/>
              <w:marTop w:val="0"/>
              <w:marBottom w:val="0"/>
              <w:divBdr>
                <w:top w:val="none" w:sz="0" w:space="0" w:color="auto"/>
                <w:left w:val="none" w:sz="0" w:space="0" w:color="auto"/>
                <w:bottom w:val="none" w:sz="0" w:space="0" w:color="auto"/>
                <w:right w:val="none" w:sz="0" w:space="0" w:color="auto"/>
              </w:divBdr>
            </w:div>
            <w:div w:id="1283419937">
              <w:marLeft w:val="0"/>
              <w:marRight w:val="0"/>
              <w:marTop w:val="0"/>
              <w:marBottom w:val="0"/>
              <w:divBdr>
                <w:top w:val="none" w:sz="0" w:space="0" w:color="auto"/>
                <w:left w:val="none" w:sz="0" w:space="0" w:color="auto"/>
                <w:bottom w:val="none" w:sz="0" w:space="0" w:color="auto"/>
                <w:right w:val="none" w:sz="0" w:space="0" w:color="auto"/>
              </w:divBdr>
            </w:div>
            <w:div w:id="1774783534">
              <w:marLeft w:val="0"/>
              <w:marRight w:val="0"/>
              <w:marTop w:val="0"/>
              <w:marBottom w:val="0"/>
              <w:divBdr>
                <w:top w:val="none" w:sz="0" w:space="0" w:color="auto"/>
                <w:left w:val="none" w:sz="0" w:space="0" w:color="auto"/>
                <w:bottom w:val="none" w:sz="0" w:space="0" w:color="auto"/>
                <w:right w:val="none" w:sz="0" w:space="0" w:color="auto"/>
              </w:divBdr>
            </w:div>
            <w:div w:id="1791047672">
              <w:marLeft w:val="0"/>
              <w:marRight w:val="0"/>
              <w:marTop w:val="0"/>
              <w:marBottom w:val="0"/>
              <w:divBdr>
                <w:top w:val="none" w:sz="0" w:space="0" w:color="auto"/>
                <w:left w:val="none" w:sz="0" w:space="0" w:color="auto"/>
                <w:bottom w:val="none" w:sz="0" w:space="0" w:color="auto"/>
                <w:right w:val="none" w:sz="0" w:space="0" w:color="auto"/>
              </w:divBdr>
            </w:div>
            <w:div w:id="1952858858">
              <w:marLeft w:val="0"/>
              <w:marRight w:val="0"/>
              <w:marTop w:val="0"/>
              <w:marBottom w:val="0"/>
              <w:divBdr>
                <w:top w:val="none" w:sz="0" w:space="0" w:color="auto"/>
                <w:left w:val="none" w:sz="0" w:space="0" w:color="auto"/>
                <w:bottom w:val="none" w:sz="0" w:space="0" w:color="auto"/>
                <w:right w:val="none" w:sz="0" w:space="0" w:color="auto"/>
              </w:divBdr>
            </w:div>
            <w:div w:id="1997107214">
              <w:marLeft w:val="0"/>
              <w:marRight w:val="0"/>
              <w:marTop w:val="0"/>
              <w:marBottom w:val="0"/>
              <w:divBdr>
                <w:top w:val="none" w:sz="0" w:space="0" w:color="auto"/>
                <w:left w:val="none" w:sz="0" w:space="0" w:color="auto"/>
                <w:bottom w:val="none" w:sz="0" w:space="0" w:color="auto"/>
                <w:right w:val="none" w:sz="0" w:space="0" w:color="auto"/>
              </w:divBdr>
            </w:div>
            <w:div w:id="2092461120">
              <w:marLeft w:val="0"/>
              <w:marRight w:val="0"/>
              <w:marTop w:val="0"/>
              <w:marBottom w:val="0"/>
              <w:divBdr>
                <w:top w:val="none" w:sz="0" w:space="0" w:color="auto"/>
                <w:left w:val="none" w:sz="0" w:space="0" w:color="auto"/>
                <w:bottom w:val="none" w:sz="0" w:space="0" w:color="auto"/>
                <w:right w:val="none" w:sz="0" w:space="0" w:color="auto"/>
              </w:divBdr>
            </w:div>
          </w:divsChild>
        </w:div>
        <w:div w:id="1367023121">
          <w:marLeft w:val="0"/>
          <w:marRight w:val="0"/>
          <w:marTop w:val="0"/>
          <w:marBottom w:val="0"/>
          <w:divBdr>
            <w:top w:val="none" w:sz="0" w:space="0" w:color="auto"/>
            <w:left w:val="none" w:sz="0" w:space="0" w:color="auto"/>
            <w:bottom w:val="none" w:sz="0" w:space="0" w:color="auto"/>
            <w:right w:val="none" w:sz="0" w:space="0" w:color="auto"/>
          </w:divBdr>
          <w:divsChild>
            <w:div w:id="2111469779">
              <w:marLeft w:val="0"/>
              <w:marRight w:val="0"/>
              <w:marTop w:val="0"/>
              <w:marBottom w:val="0"/>
              <w:divBdr>
                <w:top w:val="none" w:sz="0" w:space="0" w:color="auto"/>
                <w:left w:val="none" w:sz="0" w:space="0" w:color="auto"/>
                <w:bottom w:val="none" w:sz="0" w:space="0" w:color="auto"/>
                <w:right w:val="none" w:sz="0" w:space="0" w:color="auto"/>
              </w:divBdr>
            </w:div>
          </w:divsChild>
        </w:div>
        <w:div w:id="1368408341">
          <w:marLeft w:val="0"/>
          <w:marRight w:val="0"/>
          <w:marTop w:val="0"/>
          <w:marBottom w:val="0"/>
          <w:divBdr>
            <w:top w:val="none" w:sz="0" w:space="0" w:color="auto"/>
            <w:left w:val="none" w:sz="0" w:space="0" w:color="auto"/>
            <w:bottom w:val="none" w:sz="0" w:space="0" w:color="auto"/>
            <w:right w:val="none" w:sz="0" w:space="0" w:color="auto"/>
          </w:divBdr>
          <w:divsChild>
            <w:div w:id="226574790">
              <w:marLeft w:val="0"/>
              <w:marRight w:val="0"/>
              <w:marTop w:val="0"/>
              <w:marBottom w:val="0"/>
              <w:divBdr>
                <w:top w:val="none" w:sz="0" w:space="0" w:color="auto"/>
                <w:left w:val="none" w:sz="0" w:space="0" w:color="auto"/>
                <w:bottom w:val="none" w:sz="0" w:space="0" w:color="auto"/>
                <w:right w:val="none" w:sz="0" w:space="0" w:color="auto"/>
              </w:divBdr>
            </w:div>
            <w:div w:id="1089039107">
              <w:marLeft w:val="0"/>
              <w:marRight w:val="0"/>
              <w:marTop w:val="0"/>
              <w:marBottom w:val="0"/>
              <w:divBdr>
                <w:top w:val="none" w:sz="0" w:space="0" w:color="auto"/>
                <w:left w:val="none" w:sz="0" w:space="0" w:color="auto"/>
                <w:bottom w:val="none" w:sz="0" w:space="0" w:color="auto"/>
                <w:right w:val="none" w:sz="0" w:space="0" w:color="auto"/>
              </w:divBdr>
            </w:div>
            <w:div w:id="2062053881">
              <w:marLeft w:val="0"/>
              <w:marRight w:val="0"/>
              <w:marTop w:val="0"/>
              <w:marBottom w:val="0"/>
              <w:divBdr>
                <w:top w:val="none" w:sz="0" w:space="0" w:color="auto"/>
                <w:left w:val="none" w:sz="0" w:space="0" w:color="auto"/>
                <w:bottom w:val="none" w:sz="0" w:space="0" w:color="auto"/>
                <w:right w:val="none" w:sz="0" w:space="0" w:color="auto"/>
              </w:divBdr>
            </w:div>
          </w:divsChild>
        </w:div>
        <w:div w:id="1374573067">
          <w:marLeft w:val="0"/>
          <w:marRight w:val="0"/>
          <w:marTop w:val="0"/>
          <w:marBottom w:val="0"/>
          <w:divBdr>
            <w:top w:val="none" w:sz="0" w:space="0" w:color="auto"/>
            <w:left w:val="none" w:sz="0" w:space="0" w:color="auto"/>
            <w:bottom w:val="none" w:sz="0" w:space="0" w:color="auto"/>
            <w:right w:val="none" w:sz="0" w:space="0" w:color="auto"/>
          </w:divBdr>
          <w:divsChild>
            <w:div w:id="630870076">
              <w:marLeft w:val="0"/>
              <w:marRight w:val="0"/>
              <w:marTop w:val="0"/>
              <w:marBottom w:val="0"/>
              <w:divBdr>
                <w:top w:val="none" w:sz="0" w:space="0" w:color="auto"/>
                <w:left w:val="none" w:sz="0" w:space="0" w:color="auto"/>
                <w:bottom w:val="none" w:sz="0" w:space="0" w:color="auto"/>
                <w:right w:val="none" w:sz="0" w:space="0" w:color="auto"/>
              </w:divBdr>
            </w:div>
            <w:div w:id="653145831">
              <w:marLeft w:val="0"/>
              <w:marRight w:val="0"/>
              <w:marTop w:val="0"/>
              <w:marBottom w:val="0"/>
              <w:divBdr>
                <w:top w:val="none" w:sz="0" w:space="0" w:color="auto"/>
                <w:left w:val="none" w:sz="0" w:space="0" w:color="auto"/>
                <w:bottom w:val="none" w:sz="0" w:space="0" w:color="auto"/>
                <w:right w:val="none" w:sz="0" w:space="0" w:color="auto"/>
              </w:divBdr>
            </w:div>
            <w:div w:id="790172694">
              <w:marLeft w:val="0"/>
              <w:marRight w:val="0"/>
              <w:marTop w:val="0"/>
              <w:marBottom w:val="0"/>
              <w:divBdr>
                <w:top w:val="none" w:sz="0" w:space="0" w:color="auto"/>
                <w:left w:val="none" w:sz="0" w:space="0" w:color="auto"/>
                <w:bottom w:val="none" w:sz="0" w:space="0" w:color="auto"/>
                <w:right w:val="none" w:sz="0" w:space="0" w:color="auto"/>
              </w:divBdr>
            </w:div>
          </w:divsChild>
        </w:div>
        <w:div w:id="1381322266">
          <w:marLeft w:val="0"/>
          <w:marRight w:val="0"/>
          <w:marTop w:val="0"/>
          <w:marBottom w:val="0"/>
          <w:divBdr>
            <w:top w:val="none" w:sz="0" w:space="0" w:color="auto"/>
            <w:left w:val="none" w:sz="0" w:space="0" w:color="auto"/>
            <w:bottom w:val="none" w:sz="0" w:space="0" w:color="auto"/>
            <w:right w:val="none" w:sz="0" w:space="0" w:color="auto"/>
          </w:divBdr>
          <w:divsChild>
            <w:div w:id="426465165">
              <w:marLeft w:val="0"/>
              <w:marRight w:val="0"/>
              <w:marTop w:val="0"/>
              <w:marBottom w:val="0"/>
              <w:divBdr>
                <w:top w:val="none" w:sz="0" w:space="0" w:color="auto"/>
                <w:left w:val="none" w:sz="0" w:space="0" w:color="auto"/>
                <w:bottom w:val="none" w:sz="0" w:space="0" w:color="auto"/>
                <w:right w:val="none" w:sz="0" w:space="0" w:color="auto"/>
              </w:divBdr>
            </w:div>
            <w:div w:id="1451972703">
              <w:marLeft w:val="0"/>
              <w:marRight w:val="0"/>
              <w:marTop w:val="0"/>
              <w:marBottom w:val="0"/>
              <w:divBdr>
                <w:top w:val="none" w:sz="0" w:space="0" w:color="auto"/>
                <w:left w:val="none" w:sz="0" w:space="0" w:color="auto"/>
                <w:bottom w:val="none" w:sz="0" w:space="0" w:color="auto"/>
                <w:right w:val="none" w:sz="0" w:space="0" w:color="auto"/>
              </w:divBdr>
            </w:div>
          </w:divsChild>
        </w:div>
        <w:div w:id="1384983419">
          <w:marLeft w:val="0"/>
          <w:marRight w:val="0"/>
          <w:marTop w:val="0"/>
          <w:marBottom w:val="0"/>
          <w:divBdr>
            <w:top w:val="none" w:sz="0" w:space="0" w:color="auto"/>
            <w:left w:val="none" w:sz="0" w:space="0" w:color="auto"/>
            <w:bottom w:val="none" w:sz="0" w:space="0" w:color="auto"/>
            <w:right w:val="none" w:sz="0" w:space="0" w:color="auto"/>
          </w:divBdr>
          <w:divsChild>
            <w:div w:id="1658072753">
              <w:marLeft w:val="0"/>
              <w:marRight w:val="0"/>
              <w:marTop w:val="0"/>
              <w:marBottom w:val="0"/>
              <w:divBdr>
                <w:top w:val="none" w:sz="0" w:space="0" w:color="auto"/>
                <w:left w:val="none" w:sz="0" w:space="0" w:color="auto"/>
                <w:bottom w:val="none" w:sz="0" w:space="0" w:color="auto"/>
                <w:right w:val="none" w:sz="0" w:space="0" w:color="auto"/>
              </w:divBdr>
            </w:div>
          </w:divsChild>
        </w:div>
        <w:div w:id="1397321843">
          <w:marLeft w:val="0"/>
          <w:marRight w:val="0"/>
          <w:marTop w:val="0"/>
          <w:marBottom w:val="0"/>
          <w:divBdr>
            <w:top w:val="none" w:sz="0" w:space="0" w:color="auto"/>
            <w:left w:val="none" w:sz="0" w:space="0" w:color="auto"/>
            <w:bottom w:val="none" w:sz="0" w:space="0" w:color="auto"/>
            <w:right w:val="none" w:sz="0" w:space="0" w:color="auto"/>
          </w:divBdr>
          <w:divsChild>
            <w:div w:id="1924099405">
              <w:marLeft w:val="0"/>
              <w:marRight w:val="0"/>
              <w:marTop w:val="0"/>
              <w:marBottom w:val="0"/>
              <w:divBdr>
                <w:top w:val="none" w:sz="0" w:space="0" w:color="auto"/>
                <w:left w:val="none" w:sz="0" w:space="0" w:color="auto"/>
                <w:bottom w:val="none" w:sz="0" w:space="0" w:color="auto"/>
                <w:right w:val="none" w:sz="0" w:space="0" w:color="auto"/>
              </w:divBdr>
            </w:div>
          </w:divsChild>
        </w:div>
        <w:div w:id="1397626380">
          <w:marLeft w:val="0"/>
          <w:marRight w:val="0"/>
          <w:marTop w:val="0"/>
          <w:marBottom w:val="0"/>
          <w:divBdr>
            <w:top w:val="none" w:sz="0" w:space="0" w:color="auto"/>
            <w:left w:val="none" w:sz="0" w:space="0" w:color="auto"/>
            <w:bottom w:val="none" w:sz="0" w:space="0" w:color="auto"/>
            <w:right w:val="none" w:sz="0" w:space="0" w:color="auto"/>
          </w:divBdr>
          <w:divsChild>
            <w:div w:id="1375157771">
              <w:marLeft w:val="0"/>
              <w:marRight w:val="0"/>
              <w:marTop w:val="0"/>
              <w:marBottom w:val="0"/>
              <w:divBdr>
                <w:top w:val="none" w:sz="0" w:space="0" w:color="auto"/>
                <w:left w:val="none" w:sz="0" w:space="0" w:color="auto"/>
                <w:bottom w:val="none" w:sz="0" w:space="0" w:color="auto"/>
                <w:right w:val="none" w:sz="0" w:space="0" w:color="auto"/>
              </w:divBdr>
            </w:div>
          </w:divsChild>
        </w:div>
        <w:div w:id="1398284339">
          <w:marLeft w:val="0"/>
          <w:marRight w:val="0"/>
          <w:marTop w:val="0"/>
          <w:marBottom w:val="0"/>
          <w:divBdr>
            <w:top w:val="none" w:sz="0" w:space="0" w:color="auto"/>
            <w:left w:val="none" w:sz="0" w:space="0" w:color="auto"/>
            <w:bottom w:val="none" w:sz="0" w:space="0" w:color="auto"/>
            <w:right w:val="none" w:sz="0" w:space="0" w:color="auto"/>
          </w:divBdr>
          <w:divsChild>
            <w:div w:id="910384397">
              <w:marLeft w:val="0"/>
              <w:marRight w:val="0"/>
              <w:marTop w:val="0"/>
              <w:marBottom w:val="0"/>
              <w:divBdr>
                <w:top w:val="none" w:sz="0" w:space="0" w:color="auto"/>
                <w:left w:val="none" w:sz="0" w:space="0" w:color="auto"/>
                <w:bottom w:val="none" w:sz="0" w:space="0" w:color="auto"/>
                <w:right w:val="none" w:sz="0" w:space="0" w:color="auto"/>
              </w:divBdr>
            </w:div>
            <w:div w:id="1008756317">
              <w:marLeft w:val="0"/>
              <w:marRight w:val="0"/>
              <w:marTop w:val="0"/>
              <w:marBottom w:val="0"/>
              <w:divBdr>
                <w:top w:val="none" w:sz="0" w:space="0" w:color="auto"/>
                <w:left w:val="none" w:sz="0" w:space="0" w:color="auto"/>
                <w:bottom w:val="none" w:sz="0" w:space="0" w:color="auto"/>
                <w:right w:val="none" w:sz="0" w:space="0" w:color="auto"/>
              </w:divBdr>
            </w:div>
          </w:divsChild>
        </w:div>
        <w:div w:id="1399088848">
          <w:marLeft w:val="0"/>
          <w:marRight w:val="0"/>
          <w:marTop w:val="0"/>
          <w:marBottom w:val="0"/>
          <w:divBdr>
            <w:top w:val="none" w:sz="0" w:space="0" w:color="auto"/>
            <w:left w:val="none" w:sz="0" w:space="0" w:color="auto"/>
            <w:bottom w:val="none" w:sz="0" w:space="0" w:color="auto"/>
            <w:right w:val="none" w:sz="0" w:space="0" w:color="auto"/>
          </w:divBdr>
          <w:divsChild>
            <w:div w:id="103574898">
              <w:marLeft w:val="0"/>
              <w:marRight w:val="0"/>
              <w:marTop w:val="0"/>
              <w:marBottom w:val="0"/>
              <w:divBdr>
                <w:top w:val="none" w:sz="0" w:space="0" w:color="auto"/>
                <w:left w:val="none" w:sz="0" w:space="0" w:color="auto"/>
                <w:bottom w:val="none" w:sz="0" w:space="0" w:color="auto"/>
                <w:right w:val="none" w:sz="0" w:space="0" w:color="auto"/>
              </w:divBdr>
            </w:div>
            <w:div w:id="1052920170">
              <w:marLeft w:val="0"/>
              <w:marRight w:val="0"/>
              <w:marTop w:val="0"/>
              <w:marBottom w:val="0"/>
              <w:divBdr>
                <w:top w:val="none" w:sz="0" w:space="0" w:color="auto"/>
                <w:left w:val="none" w:sz="0" w:space="0" w:color="auto"/>
                <w:bottom w:val="none" w:sz="0" w:space="0" w:color="auto"/>
                <w:right w:val="none" w:sz="0" w:space="0" w:color="auto"/>
              </w:divBdr>
            </w:div>
          </w:divsChild>
        </w:div>
        <w:div w:id="1400440023">
          <w:marLeft w:val="0"/>
          <w:marRight w:val="0"/>
          <w:marTop w:val="0"/>
          <w:marBottom w:val="0"/>
          <w:divBdr>
            <w:top w:val="none" w:sz="0" w:space="0" w:color="auto"/>
            <w:left w:val="none" w:sz="0" w:space="0" w:color="auto"/>
            <w:bottom w:val="none" w:sz="0" w:space="0" w:color="auto"/>
            <w:right w:val="none" w:sz="0" w:space="0" w:color="auto"/>
          </w:divBdr>
          <w:divsChild>
            <w:div w:id="1821114540">
              <w:marLeft w:val="0"/>
              <w:marRight w:val="0"/>
              <w:marTop w:val="0"/>
              <w:marBottom w:val="0"/>
              <w:divBdr>
                <w:top w:val="none" w:sz="0" w:space="0" w:color="auto"/>
                <w:left w:val="none" w:sz="0" w:space="0" w:color="auto"/>
                <w:bottom w:val="none" w:sz="0" w:space="0" w:color="auto"/>
                <w:right w:val="none" w:sz="0" w:space="0" w:color="auto"/>
              </w:divBdr>
            </w:div>
          </w:divsChild>
        </w:div>
        <w:div w:id="1408573508">
          <w:marLeft w:val="0"/>
          <w:marRight w:val="0"/>
          <w:marTop w:val="0"/>
          <w:marBottom w:val="0"/>
          <w:divBdr>
            <w:top w:val="none" w:sz="0" w:space="0" w:color="auto"/>
            <w:left w:val="none" w:sz="0" w:space="0" w:color="auto"/>
            <w:bottom w:val="none" w:sz="0" w:space="0" w:color="auto"/>
            <w:right w:val="none" w:sz="0" w:space="0" w:color="auto"/>
          </w:divBdr>
          <w:divsChild>
            <w:div w:id="2022509991">
              <w:marLeft w:val="0"/>
              <w:marRight w:val="0"/>
              <w:marTop w:val="0"/>
              <w:marBottom w:val="0"/>
              <w:divBdr>
                <w:top w:val="none" w:sz="0" w:space="0" w:color="auto"/>
                <w:left w:val="none" w:sz="0" w:space="0" w:color="auto"/>
                <w:bottom w:val="none" w:sz="0" w:space="0" w:color="auto"/>
                <w:right w:val="none" w:sz="0" w:space="0" w:color="auto"/>
              </w:divBdr>
            </w:div>
          </w:divsChild>
        </w:div>
        <w:div w:id="1409035223">
          <w:marLeft w:val="0"/>
          <w:marRight w:val="0"/>
          <w:marTop w:val="0"/>
          <w:marBottom w:val="0"/>
          <w:divBdr>
            <w:top w:val="none" w:sz="0" w:space="0" w:color="auto"/>
            <w:left w:val="none" w:sz="0" w:space="0" w:color="auto"/>
            <w:bottom w:val="none" w:sz="0" w:space="0" w:color="auto"/>
            <w:right w:val="none" w:sz="0" w:space="0" w:color="auto"/>
          </w:divBdr>
          <w:divsChild>
            <w:div w:id="1025405495">
              <w:marLeft w:val="0"/>
              <w:marRight w:val="0"/>
              <w:marTop w:val="0"/>
              <w:marBottom w:val="0"/>
              <w:divBdr>
                <w:top w:val="none" w:sz="0" w:space="0" w:color="auto"/>
                <w:left w:val="none" w:sz="0" w:space="0" w:color="auto"/>
                <w:bottom w:val="none" w:sz="0" w:space="0" w:color="auto"/>
                <w:right w:val="none" w:sz="0" w:space="0" w:color="auto"/>
              </w:divBdr>
            </w:div>
            <w:div w:id="1369143447">
              <w:marLeft w:val="0"/>
              <w:marRight w:val="0"/>
              <w:marTop w:val="0"/>
              <w:marBottom w:val="0"/>
              <w:divBdr>
                <w:top w:val="none" w:sz="0" w:space="0" w:color="auto"/>
                <w:left w:val="none" w:sz="0" w:space="0" w:color="auto"/>
                <w:bottom w:val="none" w:sz="0" w:space="0" w:color="auto"/>
                <w:right w:val="none" w:sz="0" w:space="0" w:color="auto"/>
              </w:divBdr>
            </w:div>
            <w:div w:id="1478492763">
              <w:marLeft w:val="0"/>
              <w:marRight w:val="0"/>
              <w:marTop w:val="0"/>
              <w:marBottom w:val="0"/>
              <w:divBdr>
                <w:top w:val="none" w:sz="0" w:space="0" w:color="auto"/>
                <w:left w:val="none" w:sz="0" w:space="0" w:color="auto"/>
                <w:bottom w:val="none" w:sz="0" w:space="0" w:color="auto"/>
                <w:right w:val="none" w:sz="0" w:space="0" w:color="auto"/>
              </w:divBdr>
            </w:div>
          </w:divsChild>
        </w:div>
        <w:div w:id="1413234104">
          <w:marLeft w:val="0"/>
          <w:marRight w:val="0"/>
          <w:marTop w:val="0"/>
          <w:marBottom w:val="0"/>
          <w:divBdr>
            <w:top w:val="none" w:sz="0" w:space="0" w:color="auto"/>
            <w:left w:val="none" w:sz="0" w:space="0" w:color="auto"/>
            <w:bottom w:val="none" w:sz="0" w:space="0" w:color="auto"/>
            <w:right w:val="none" w:sz="0" w:space="0" w:color="auto"/>
          </w:divBdr>
          <w:divsChild>
            <w:div w:id="958754693">
              <w:marLeft w:val="0"/>
              <w:marRight w:val="0"/>
              <w:marTop w:val="0"/>
              <w:marBottom w:val="0"/>
              <w:divBdr>
                <w:top w:val="none" w:sz="0" w:space="0" w:color="auto"/>
                <w:left w:val="none" w:sz="0" w:space="0" w:color="auto"/>
                <w:bottom w:val="none" w:sz="0" w:space="0" w:color="auto"/>
                <w:right w:val="none" w:sz="0" w:space="0" w:color="auto"/>
              </w:divBdr>
            </w:div>
            <w:div w:id="1978997827">
              <w:marLeft w:val="0"/>
              <w:marRight w:val="0"/>
              <w:marTop w:val="0"/>
              <w:marBottom w:val="0"/>
              <w:divBdr>
                <w:top w:val="none" w:sz="0" w:space="0" w:color="auto"/>
                <w:left w:val="none" w:sz="0" w:space="0" w:color="auto"/>
                <w:bottom w:val="none" w:sz="0" w:space="0" w:color="auto"/>
                <w:right w:val="none" w:sz="0" w:space="0" w:color="auto"/>
              </w:divBdr>
            </w:div>
          </w:divsChild>
        </w:div>
        <w:div w:id="1416317007">
          <w:marLeft w:val="0"/>
          <w:marRight w:val="0"/>
          <w:marTop w:val="0"/>
          <w:marBottom w:val="0"/>
          <w:divBdr>
            <w:top w:val="none" w:sz="0" w:space="0" w:color="auto"/>
            <w:left w:val="none" w:sz="0" w:space="0" w:color="auto"/>
            <w:bottom w:val="none" w:sz="0" w:space="0" w:color="auto"/>
            <w:right w:val="none" w:sz="0" w:space="0" w:color="auto"/>
          </w:divBdr>
          <w:divsChild>
            <w:div w:id="190999111">
              <w:marLeft w:val="0"/>
              <w:marRight w:val="0"/>
              <w:marTop w:val="0"/>
              <w:marBottom w:val="0"/>
              <w:divBdr>
                <w:top w:val="none" w:sz="0" w:space="0" w:color="auto"/>
                <w:left w:val="none" w:sz="0" w:space="0" w:color="auto"/>
                <w:bottom w:val="none" w:sz="0" w:space="0" w:color="auto"/>
                <w:right w:val="none" w:sz="0" w:space="0" w:color="auto"/>
              </w:divBdr>
            </w:div>
            <w:div w:id="536508050">
              <w:marLeft w:val="0"/>
              <w:marRight w:val="0"/>
              <w:marTop w:val="0"/>
              <w:marBottom w:val="0"/>
              <w:divBdr>
                <w:top w:val="none" w:sz="0" w:space="0" w:color="auto"/>
                <w:left w:val="none" w:sz="0" w:space="0" w:color="auto"/>
                <w:bottom w:val="none" w:sz="0" w:space="0" w:color="auto"/>
                <w:right w:val="none" w:sz="0" w:space="0" w:color="auto"/>
              </w:divBdr>
            </w:div>
            <w:div w:id="909079157">
              <w:marLeft w:val="0"/>
              <w:marRight w:val="0"/>
              <w:marTop w:val="0"/>
              <w:marBottom w:val="0"/>
              <w:divBdr>
                <w:top w:val="none" w:sz="0" w:space="0" w:color="auto"/>
                <w:left w:val="none" w:sz="0" w:space="0" w:color="auto"/>
                <w:bottom w:val="none" w:sz="0" w:space="0" w:color="auto"/>
                <w:right w:val="none" w:sz="0" w:space="0" w:color="auto"/>
              </w:divBdr>
            </w:div>
            <w:div w:id="1867327451">
              <w:marLeft w:val="0"/>
              <w:marRight w:val="0"/>
              <w:marTop w:val="0"/>
              <w:marBottom w:val="0"/>
              <w:divBdr>
                <w:top w:val="none" w:sz="0" w:space="0" w:color="auto"/>
                <w:left w:val="none" w:sz="0" w:space="0" w:color="auto"/>
                <w:bottom w:val="none" w:sz="0" w:space="0" w:color="auto"/>
                <w:right w:val="none" w:sz="0" w:space="0" w:color="auto"/>
              </w:divBdr>
            </w:div>
          </w:divsChild>
        </w:div>
        <w:div w:id="1417634498">
          <w:marLeft w:val="0"/>
          <w:marRight w:val="0"/>
          <w:marTop w:val="0"/>
          <w:marBottom w:val="0"/>
          <w:divBdr>
            <w:top w:val="none" w:sz="0" w:space="0" w:color="auto"/>
            <w:left w:val="none" w:sz="0" w:space="0" w:color="auto"/>
            <w:bottom w:val="none" w:sz="0" w:space="0" w:color="auto"/>
            <w:right w:val="none" w:sz="0" w:space="0" w:color="auto"/>
          </w:divBdr>
          <w:divsChild>
            <w:div w:id="2021395319">
              <w:marLeft w:val="0"/>
              <w:marRight w:val="0"/>
              <w:marTop w:val="0"/>
              <w:marBottom w:val="0"/>
              <w:divBdr>
                <w:top w:val="none" w:sz="0" w:space="0" w:color="auto"/>
                <w:left w:val="none" w:sz="0" w:space="0" w:color="auto"/>
                <w:bottom w:val="none" w:sz="0" w:space="0" w:color="auto"/>
                <w:right w:val="none" w:sz="0" w:space="0" w:color="auto"/>
              </w:divBdr>
            </w:div>
          </w:divsChild>
        </w:div>
        <w:div w:id="1419865119">
          <w:marLeft w:val="0"/>
          <w:marRight w:val="0"/>
          <w:marTop w:val="0"/>
          <w:marBottom w:val="0"/>
          <w:divBdr>
            <w:top w:val="none" w:sz="0" w:space="0" w:color="auto"/>
            <w:left w:val="none" w:sz="0" w:space="0" w:color="auto"/>
            <w:bottom w:val="none" w:sz="0" w:space="0" w:color="auto"/>
            <w:right w:val="none" w:sz="0" w:space="0" w:color="auto"/>
          </w:divBdr>
          <w:divsChild>
            <w:div w:id="109204541">
              <w:marLeft w:val="0"/>
              <w:marRight w:val="0"/>
              <w:marTop w:val="0"/>
              <w:marBottom w:val="0"/>
              <w:divBdr>
                <w:top w:val="none" w:sz="0" w:space="0" w:color="auto"/>
                <w:left w:val="none" w:sz="0" w:space="0" w:color="auto"/>
                <w:bottom w:val="none" w:sz="0" w:space="0" w:color="auto"/>
                <w:right w:val="none" w:sz="0" w:space="0" w:color="auto"/>
              </w:divBdr>
            </w:div>
          </w:divsChild>
        </w:div>
        <w:div w:id="1429279614">
          <w:marLeft w:val="0"/>
          <w:marRight w:val="0"/>
          <w:marTop w:val="0"/>
          <w:marBottom w:val="0"/>
          <w:divBdr>
            <w:top w:val="none" w:sz="0" w:space="0" w:color="auto"/>
            <w:left w:val="none" w:sz="0" w:space="0" w:color="auto"/>
            <w:bottom w:val="none" w:sz="0" w:space="0" w:color="auto"/>
            <w:right w:val="none" w:sz="0" w:space="0" w:color="auto"/>
          </w:divBdr>
          <w:divsChild>
            <w:div w:id="936522804">
              <w:marLeft w:val="0"/>
              <w:marRight w:val="0"/>
              <w:marTop w:val="0"/>
              <w:marBottom w:val="0"/>
              <w:divBdr>
                <w:top w:val="none" w:sz="0" w:space="0" w:color="auto"/>
                <w:left w:val="none" w:sz="0" w:space="0" w:color="auto"/>
                <w:bottom w:val="none" w:sz="0" w:space="0" w:color="auto"/>
                <w:right w:val="none" w:sz="0" w:space="0" w:color="auto"/>
              </w:divBdr>
            </w:div>
          </w:divsChild>
        </w:div>
        <w:div w:id="1447311638">
          <w:marLeft w:val="0"/>
          <w:marRight w:val="0"/>
          <w:marTop w:val="0"/>
          <w:marBottom w:val="0"/>
          <w:divBdr>
            <w:top w:val="none" w:sz="0" w:space="0" w:color="auto"/>
            <w:left w:val="none" w:sz="0" w:space="0" w:color="auto"/>
            <w:bottom w:val="none" w:sz="0" w:space="0" w:color="auto"/>
            <w:right w:val="none" w:sz="0" w:space="0" w:color="auto"/>
          </w:divBdr>
          <w:divsChild>
            <w:div w:id="520751825">
              <w:marLeft w:val="0"/>
              <w:marRight w:val="0"/>
              <w:marTop w:val="0"/>
              <w:marBottom w:val="0"/>
              <w:divBdr>
                <w:top w:val="none" w:sz="0" w:space="0" w:color="auto"/>
                <w:left w:val="none" w:sz="0" w:space="0" w:color="auto"/>
                <w:bottom w:val="none" w:sz="0" w:space="0" w:color="auto"/>
                <w:right w:val="none" w:sz="0" w:space="0" w:color="auto"/>
              </w:divBdr>
            </w:div>
            <w:div w:id="1175998727">
              <w:marLeft w:val="0"/>
              <w:marRight w:val="0"/>
              <w:marTop w:val="0"/>
              <w:marBottom w:val="0"/>
              <w:divBdr>
                <w:top w:val="none" w:sz="0" w:space="0" w:color="auto"/>
                <w:left w:val="none" w:sz="0" w:space="0" w:color="auto"/>
                <w:bottom w:val="none" w:sz="0" w:space="0" w:color="auto"/>
                <w:right w:val="none" w:sz="0" w:space="0" w:color="auto"/>
              </w:divBdr>
            </w:div>
            <w:div w:id="1229455839">
              <w:marLeft w:val="0"/>
              <w:marRight w:val="0"/>
              <w:marTop w:val="0"/>
              <w:marBottom w:val="0"/>
              <w:divBdr>
                <w:top w:val="none" w:sz="0" w:space="0" w:color="auto"/>
                <w:left w:val="none" w:sz="0" w:space="0" w:color="auto"/>
                <w:bottom w:val="none" w:sz="0" w:space="0" w:color="auto"/>
                <w:right w:val="none" w:sz="0" w:space="0" w:color="auto"/>
              </w:divBdr>
            </w:div>
            <w:div w:id="2090343157">
              <w:marLeft w:val="0"/>
              <w:marRight w:val="0"/>
              <w:marTop w:val="0"/>
              <w:marBottom w:val="0"/>
              <w:divBdr>
                <w:top w:val="none" w:sz="0" w:space="0" w:color="auto"/>
                <w:left w:val="none" w:sz="0" w:space="0" w:color="auto"/>
                <w:bottom w:val="none" w:sz="0" w:space="0" w:color="auto"/>
                <w:right w:val="none" w:sz="0" w:space="0" w:color="auto"/>
              </w:divBdr>
            </w:div>
          </w:divsChild>
        </w:div>
        <w:div w:id="1454669187">
          <w:marLeft w:val="0"/>
          <w:marRight w:val="0"/>
          <w:marTop w:val="0"/>
          <w:marBottom w:val="0"/>
          <w:divBdr>
            <w:top w:val="none" w:sz="0" w:space="0" w:color="auto"/>
            <w:left w:val="none" w:sz="0" w:space="0" w:color="auto"/>
            <w:bottom w:val="none" w:sz="0" w:space="0" w:color="auto"/>
            <w:right w:val="none" w:sz="0" w:space="0" w:color="auto"/>
          </w:divBdr>
          <w:divsChild>
            <w:div w:id="613247963">
              <w:marLeft w:val="0"/>
              <w:marRight w:val="0"/>
              <w:marTop w:val="0"/>
              <w:marBottom w:val="0"/>
              <w:divBdr>
                <w:top w:val="none" w:sz="0" w:space="0" w:color="auto"/>
                <w:left w:val="none" w:sz="0" w:space="0" w:color="auto"/>
                <w:bottom w:val="none" w:sz="0" w:space="0" w:color="auto"/>
                <w:right w:val="none" w:sz="0" w:space="0" w:color="auto"/>
              </w:divBdr>
            </w:div>
            <w:div w:id="1044058469">
              <w:marLeft w:val="0"/>
              <w:marRight w:val="0"/>
              <w:marTop w:val="0"/>
              <w:marBottom w:val="0"/>
              <w:divBdr>
                <w:top w:val="none" w:sz="0" w:space="0" w:color="auto"/>
                <w:left w:val="none" w:sz="0" w:space="0" w:color="auto"/>
                <w:bottom w:val="none" w:sz="0" w:space="0" w:color="auto"/>
                <w:right w:val="none" w:sz="0" w:space="0" w:color="auto"/>
              </w:divBdr>
            </w:div>
            <w:div w:id="1439134987">
              <w:marLeft w:val="0"/>
              <w:marRight w:val="0"/>
              <w:marTop w:val="0"/>
              <w:marBottom w:val="0"/>
              <w:divBdr>
                <w:top w:val="none" w:sz="0" w:space="0" w:color="auto"/>
                <w:left w:val="none" w:sz="0" w:space="0" w:color="auto"/>
                <w:bottom w:val="none" w:sz="0" w:space="0" w:color="auto"/>
                <w:right w:val="none" w:sz="0" w:space="0" w:color="auto"/>
              </w:divBdr>
            </w:div>
            <w:div w:id="1800341439">
              <w:marLeft w:val="0"/>
              <w:marRight w:val="0"/>
              <w:marTop w:val="0"/>
              <w:marBottom w:val="0"/>
              <w:divBdr>
                <w:top w:val="none" w:sz="0" w:space="0" w:color="auto"/>
                <w:left w:val="none" w:sz="0" w:space="0" w:color="auto"/>
                <w:bottom w:val="none" w:sz="0" w:space="0" w:color="auto"/>
                <w:right w:val="none" w:sz="0" w:space="0" w:color="auto"/>
              </w:divBdr>
            </w:div>
          </w:divsChild>
        </w:div>
        <w:div w:id="1455519736">
          <w:marLeft w:val="0"/>
          <w:marRight w:val="0"/>
          <w:marTop w:val="0"/>
          <w:marBottom w:val="0"/>
          <w:divBdr>
            <w:top w:val="none" w:sz="0" w:space="0" w:color="auto"/>
            <w:left w:val="none" w:sz="0" w:space="0" w:color="auto"/>
            <w:bottom w:val="none" w:sz="0" w:space="0" w:color="auto"/>
            <w:right w:val="none" w:sz="0" w:space="0" w:color="auto"/>
          </w:divBdr>
          <w:divsChild>
            <w:div w:id="119305516">
              <w:marLeft w:val="0"/>
              <w:marRight w:val="0"/>
              <w:marTop w:val="0"/>
              <w:marBottom w:val="0"/>
              <w:divBdr>
                <w:top w:val="none" w:sz="0" w:space="0" w:color="auto"/>
                <w:left w:val="none" w:sz="0" w:space="0" w:color="auto"/>
                <w:bottom w:val="none" w:sz="0" w:space="0" w:color="auto"/>
                <w:right w:val="none" w:sz="0" w:space="0" w:color="auto"/>
              </w:divBdr>
            </w:div>
          </w:divsChild>
        </w:div>
        <w:div w:id="1458375224">
          <w:marLeft w:val="0"/>
          <w:marRight w:val="0"/>
          <w:marTop w:val="0"/>
          <w:marBottom w:val="0"/>
          <w:divBdr>
            <w:top w:val="none" w:sz="0" w:space="0" w:color="auto"/>
            <w:left w:val="none" w:sz="0" w:space="0" w:color="auto"/>
            <w:bottom w:val="none" w:sz="0" w:space="0" w:color="auto"/>
            <w:right w:val="none" w:sz="0" w:space="0" w:color="auto"/>
          </w:divBdr>
          <w:divsChild>
            <w:div w:id="269822771">
              <w:marLeft w:val="0"/>
              <w:marRight w:val="0"/>
              <w:marTop w:val="0"/>
              <w:marBottom w:val="0"/>
              <w:divBdr>
                <w:top w:val="none" w:sz="0" w:space="0" w:color="auto"/>
                <w:left w:val="none" w:sz="0" w:space="0" w:color="auto"/>
                <w:bottom w:val="none" w:sz="0" w:space="0" w:color="auto"/>
                <w:right w:val="none" w:sz="0" w:space="0" w:color="auto"/>
              </w:divBdr>
            </w:div>
          </w:divsChild>
        </w:div>
        <w:div w:id="1468276844">
          <w:marLeft w:val="0"/>
          <w:marRight w:val="0"/>
          <w:marTop w:val="0"/>
          <w:marBottom w:val="0"/>
          <w:divBdr>
            <w:top w:val="none" w:sz="0" w:space="0" w:color="auto"/>
            <w:left w:val="none" w:sz="0" w:space="0" w:color="auto"/>
            <w:bottom w:val="none" w:sz="0" w:space="0" w:color="auto"/>
            <w:right w:val="none" w:sz="0" w:space="0" w:color="auto"/>
          </w:divBdr>
          <w:divsChild>
            <w:div w:id="321547923">
              <w:marLeft w:val="0"/>
              <w:marRight w:val="0"/>
              <w:marTop w:val="0"/>
              <w:marBottom w:val="0"/>
              <w:divBdr>
                <w:top w:val="none" w:sz="0" w:space="0" w:color="auto"/>
                <w:left w:val="none" w:sz="0" w:space="0" w:color="auto"/>
                <w:bottom w:val="none" w:sz="0" w:space="0" w:color="auto"/>
                <w:right w:val="none" w:sz="0" w:space="0" w:color="auto"/>
              </w:divBdr>
            </w:div>
            <w:div w:id="559634511">
              <w:marLeft w:val="0"/>
              <w:marRight w:val="0"/>
              <w:marTop w:val="0"/>
              <w:marBottom w:val="0"/>
              <w:divBdr>
                <w:top w:val="none" w:sz="0" w:space="0" w:color="auto"/>
                <w:left w:val="none" w:sz="0" w:space="0" w:color="auto"/>
                <w:bottom w:val="none" w:sz="0" w:space="0" w:color="auto"/>
                <w:right w:val="none" w:sz="0" w:space="0" w:color="auto"/>
              </w:divBdr>
            </w:div>
            <w:div w:id="1778063414">
              <w:marLeft w:val="0"/>
              <w:marRight w:val="0"/>
              <w:marTop w:val="0"/>
              <w:marBottom w:val="0"/>
              <w:divBdr>
                <w:top w:val="none" w:sz="0" w:space="0" w:color="auto"/>
                <w:left w:val="none" w:sz="0" w:space="0" w:color="auto"/>
                <w:bottom w:val="none" w:sz="0" w:space="0" w:color="auto"/>
                <w:right w:val="none" w:sz="0" w:space="0" w:color="auto"/>
              </w:divBdr>
            </w:div>
          </w:divsChild>
        </w:div>
        <w:div w:id="1469588064">
          <w:marLeft w:val="0"/>
          <w:marRight w:val="0"/>
          <w:marTop w:val="0"/>
          <w:marBottom w:val="0"/>
          <w:divBdr>
            <w:top w:val="none" w:sz="0" w:space="0" w:color="auto"/>
            <w:left w:val="none" w:sz="0" w:space="0" w:color="auto"/>
            <w:bottom w:val="none" w:sz="0" w:space="0" w:color="auto"/>
            <w:right w:val="none" w:sz="0" w:space="0" w:color="auto"/>
          </w:divBdr>
          <w:divsChild>
            <w:div w:id="334496587">
              <w:marLeft w:val="0"/>
              <w:marRight w:val="0"/>
              <w:marTop w:val="0"/>
              <w:marBottom w:val="0"/>
              <w:divBdr>
                <w:top w:val="none" w:sz="0" w:space="0" w:color="auto"/>
                <w:left w:val="none" w:sz="0" w:space="0" w:color="auto"/>
                <w:bottom w:val="none" w:sz="0" w:space="0" w:color="auto"/>
                <w:right w:val="none" w:sz="0" w:space="0" w:color="auto"/>
              </w:divBdr>
            </w:div>
            <w:div w:id="1523939006">
              <w:marLeft w:val="0"/>
              <w:marRight w:val="0"/>
              <w:marTop w:val="0"/>
              <w:marBottom w:val="0"/>
              <w:divBdr>
                <w:top w:val="none" w:sz="0" w:space="0" w:color="auto"/>
                <w:left w:val="none" w:sz="0" w:space="0" w:color="auto"/>
                <w:bottom w:val="none" w:sz="0" w:space="0" w:color="auto"/>
                <w:right w:val="none" w:sz="0" w:space="0" w:color="auto"/>
              </w:divBdr>
            </w:div>
          </w:divsChild>
        </w:div>
        <w:div w:id="1469591302">
          <w:marLeft w:val="0"/>
          <w:marRight w:val="0"/>
          <w:marTop w:val="0"/>
          <w:marBottom w:val="0"/>
          <w:divBdr>
            <w:top w:val="none" w:sz="0" w:space="0" w:color="auto"/>
            <w:left w:val="none" w:sz="0" w:space="0" w:color="auto"/>
            <w:bottom w:val="none" w:sz="0" w:space="0" w:color="auto"/>
            <w:right w:val="none" w:sz="0" w:space="0" w:color="auto"/>
          </w:divBdr>
          <w:divsChild>
            <w:div w:id="162553715">
              <w:marLeft w:val="0"/>
              <w:marRight w:val="0"/>
              <w:marTop w:val="0"/>
              <w:marBottom w:val="0"/>
              <w:divBdr>
                <w:top w:val="none" w:sz="0" w:space="0" w:color="auto"/>
                <w:left w:val="none" w:sz="0" w:space="0" w:color="auto"/>
                <w:bottom w:val="none" w:sz="0" w:space="0" w:color="auto"/>
                <w:right w:val="none" w:sz="0" w:space="0" w:color="auto"/>
              </w:divBdr>
            </w:div>
          </w:divsChild>
        </w:div>
        <w:div w:id="1473251438">
          <w:marLeft w:val="0"/>
          <w:marRight w:val="0"/>
          <w:marTop w:val="0"/>
          <w:marBottom w:val="0"/>
          <w:divBdr>
            <w:top w:val="none" w:sz="0" w:space="0" w:color="auto"/>
            <w:left w:val="none" w:sz="0" w:space="0" w:color="auto"/>
            <w:bottom w:val="none" w:sz="0" w:space="0" w:color="auto"/>
            <w:right w:val="none" w:sz="0" w:space="0" w:color="auto"/>
          </w:divBdr>
          <w:divsChild>
            <w:div w:id="1710374508">
              <w:marLeft w:val="0"/>
              <w:marRight w:val="0"/>
              <w:marTop w:val="0"/>
              <w:marBottom w:val="0"/>
              <w:divBdr>
                <w:top w:val="none" w:sz="0" w:space="0" w:color="auto"/>
                <w:left w:val="none" w:sz="0" w:space="0" w:color="auto"/>
                <w:bottom w:val="none" w:sz="0" w:space="0" w:color="auto"/>
                <w:right w:val="none" w:sz="0" w:space="0" w:color="auto"/>
              </w:divBdr>
            </w:div>
          </w:divsChild>
        </w:div>
        <w:div w:id="1474903199">
          <w:marLeft w:val="0"/>
          <w:marRight w:val="0"/>
          <w:marTop w:val="0"/>
          <w:marBottom w:val="0"/>
          <w:divBdr>
            <w:top w:val="none" w:sz="0" w:space="0" w:color="auto"/>
            <w:left w:val="none" w:sz="0" w:space="0" w:color="auto"/>
            <w:bottom w:val="none" w:sz="0" w:space="0" w:color="auto"/>
            <w:right w:val="none" w:sz="0" w:space="0" w:color="auto"/>
          </w:divBdr>
          <w:divsChild>
            <w:div w:id="1255439815">
              <w:marLeft w:val="0"/>
              <w:marRight w:val="0"/>
              <w:marTop w:val="0"/>
              <w:marBottom w:val="0"/>
              <w:divBdr>
                <w:top w:val="none" w:sz="0" w:space="0" w:color="auto"/>
                <w:left w:val="none" w:sz="0" w:space="0" w:color="auto"/>
                <w:bottom w:val="none" w:sz="0" w:space="0" w:color="auto"/>
                <w:right w:val="none" w:sz="0" w:space="0" w:color="auto"/>
              </w:divBdr>
            </w:div>
          </w:divsChild>
        </w:div>
        <w:div w:id="1475677554">
          <w:marLeft w:val="0"/>
          <w:marRight w:val="0"/>
          <w:marTop w:val="0"/>
          <w:marBottom w:val="0"/>
          <w:divBdr>
            <w:top w:val="none" w:sz="0" w:space="0" w:color="auto"/>
            <w:left w:val="none" w:sz="0" w:space="0" w:color="auto"/>
            <w:bottom w:val="none" w:sz="0" w:space="0" w:color="auto"/>
            <w:right w:val="none" w:sz="0" w:space="0" w:color="auto"/>
          </w:divBdr>
          <w:divsChild>
            <w:div w:id="1419905210">
              <w:marLeft w:val="0"/>
              <w:marRight w:val="0"/>
              <w:marTop w:val="0"/>
              <w:marBottom w:val="0"/>
              <w:divBdr>
                <w:top w:val="none" w:sz="0" w:space="0" w:color="auto"/>
                <w:left w:val="none" w:sz="0" w:space="0" w:color="auto"/>
                <w:bottom w:val="none" w:sz="0" w:space="0" w:color="auto"/>
                <w:right w:val="none" w:sz="0" w:space="0" w:color="auto"/>
              </w:divBdr>
            </w:div>
          </w:divsChild>
        </w:div>
        <w:div w:id="1479298190">
          <w:marLeft w:val="0"/>
          <w:marRight w:val="0"/>
          <w:marTop w:val="0"/>
          <w:marBottom w:val="0"/>
          <w:divBdr>
            <w:top w:val="none" w:sz="0" w:space="0" w:color="auto"/>
            <w:left w:val="none" w:sz="0" w:space="0" w:color="auto"/>
            <w:bottom w:val="none" w:sz="0" w:space="0" w:color="auto"/>
            <w:right w:val="none" w:sz="0" w:space="0" w:color="auto"/>
          </w:divBdr>
          <w:divsChild>
            <w:div w:id="1931426082">
              <w:marLeft w:val="0"/>
              <w:marRight w:val="0"/>
              <w:marTop w:val="0"/>
              <w:marBottom w:val="0"/>
              <w:divBdr>
                <w:top w:val="none" w:sz="0" w:space="0" w:color="auto"/>
                <w:left w:val="none" w:sz="0" w:space="0" w:color="auto"/>
                <w:bottom w:val="none" w:sz="0" w:space="0" w:color="auto"/>
                <w:right w:val="none" w:sz="0" w:space="0" w:color="auto"/>
              </w:divBdr>
            </w:div>
          </w:divsChild>
        </w:div>
        <w:div w:id="1480921297">
          <w:marLeft w:val="0"/>
          <w:marRight w:val="0"/>
          <w:marTop w:val="0"/>
          <w:marBottom w:val="0"/>
          <w:divBdr>
            <w:top w:val="none" w:sz="0" w:space="0" w:color="auto"/>
            <w:left w:val="none" w:sz="0" w:space="0" w:color="auto"/>
            <w:bottom w:val="none" w:sz="0" w:space="0" w:color="auto"/>
            <w:right w:val="none" w:sz="0" w:space="0" w:color="auto"/>
          </w:divBdr>
          <w:divsChild>
            <w:div w:id="1640845510">
              <w:marLeft w:val="0"/>
              <w:marRight w:val="0"/>
              <w:marTop w:val="0"/>
              <w:marBottom w:val="0"/>
              <w:divBdr>
                <w:top w:val="none" w:sz="0" w:space="0" w:color="auto"/>
                <w:left w:val="none" w:sz="0" w:space="0" w:color="auto"/>
                <w:bottom w:val="none" w:sz="0" w:space="0" w:color="auto"/>
                <w:right w:val="none" w:sz="0" w:space="0" w:color="auto"/>
              </w:divBdr>
            </w:div>
          </w:divsChild>
        </w:div>
        <w:div w:id="1486704666">
          <w:marLeft w:val="0"/>
          <w:marRight w:val="0"/>
          <w:marTop w:val="0"/>
          <w:marBottom w:val="0"/>
          <w:divBdr>
            <w:top w:val="none" w:sz="0" w:space="0" w:color="auto"/>
            <w:left w:val="none" w:sz="0" w:space="0" w:color="auto"/>
            <w:bottom w:val="none" w:sz="0" w:space="0" w:color="auto"/>
            <w:right w:val="none" w:sz="0" w:space="0" w:color="auto"/>
          </w:divBdr>
          <w:divsChild>
            <w:div w:id="848255808">
              <w:marLeft w:val="0"/>
              <w:marRight w:val="0"/>
              <w:marTop w:val="0"/>
              <w:marBottom w:val="0"/>
              <w:divBdr>
                <w:top w:val="none" w:sz="0" w:space="0" w:color="auto"/>
                <w:left w:val="none" w:sz="0" w:space="0" w:color="auto"/>
                <w:bottom w:val="none" w:sz="0" w:space="0" w:color="auto"/>
                <w:right w:val="none" w:sz="0" w:space="0" w:color="auto"/>
              </w:divBdr>
            </w:div>
          </w:divsChild>
        </w:div>
        <w:div w:id="1488327001">
          <w:marLeft w:val="0"/>
          <w:marRight w:val="0"/>
          <w:marTop w:val="0"/>
          <w:marBottom w:val="0"/>
          <w:divBdr>
            <w:top w:val="none" w:sz="0" w:space="0" w:color="auto"/>
            <w:left w:val="none" w:sz="0" w:space="0" w:color="auto"/>
            <w:bottom w:val="none" w:sz="0" w:space="0" w:color="auto"/>
            <w:right w:val="none" w:sz="0" w:space="0" w:color="auto"/>
          </w:divBdr>
          <w:divsChild>
            <w:div w:id="708801487">
              <w:marLeft w:val="0"/>
              <w:marRight w:val="0"/>
              <w:marTop w:val="0"/>
              <w:marBottom w:val="0"/>
              <w:divBdr>
                <w:top w:val="none" w:sz="0" w:space="0" w:color="auto"/>
                <w:left w:val="none" w:sz="0" w:space="0" w:color="auto"/>
                <w:bottom w:val="none" w:sz="0" w:space="0" w:color="auto"/>
                <w:right w:val="none" w:sz="0" w:space="0" w:color="auto"/>
              </w:divBdr>
            </w:div>
            <w:div w:id="1639258840">
              <w:marLeft w:val="0"/>
              <w:marRight w:val="0"/>
              <w:marTop w:val="0"/>
              <w:marBottom w:val="0"/>
              <w:divBdr>
                <w:top w:val="none" w:sz="0" w:space="0" w:color="auto"/>
                <w:left w:val="none" w:sz="0" w:space="0" w:color="auto"/>
                <w:bottom w:val="none" w:sz="0" w:space="0" w:color="auto"/>
                <w:right w:val="none" w:sz="0" w:space="0" w:color="auto"/>
              </w:divBdr>
            </w:div>
            <w:div w:id="1825774619">
              <w:marLeft w:val="0"/>
              <w:marRight w:val="0"/>
              <w:marTop w:val="0"/>
              <w:marBottom w:val="0"/>
              <w:divBdr>
                <w:top w:val="none" w:sz="0" w:space="0" w:color="auto"/>
                <w:left w:val="none" w:sz="0" w:space="0" w:color="auto"/>
                <w:bottom w:val="none" w:sz="0" w:space="0" w:color="auto"/>
                <w:right w:val="none" w:sz="0" w:space="0" w:color="auto"/>
              </w:divBdr>
            </w:div>
            <w:div w:id="1917206415">
              <w:marLeft w:val="0"/>
              <w:marRight w:val="0"/>
              <w:marTop w:val="0"/>
              <w:marBottom w:val="0"/>
              <w:divBdr>
                <w:top w:val="none" w:sz="0" w:space="0" w:color="auto"/>
                <w:left w:val="none" w:sz="0" w:space="0" w:color="auto"/>
                <w:bottom w:val="none" w:sz="0" w:space="0" w:color="auto"/>
                <w:right w:val="none" w:sz="0" w:space="0" w:color="auto"/>
              </w:divBdr>
            </w:div>
          </w:divsChild>
        </w:div>
        <w:div w:id="1490318553">
          <w:marLeft w:val="0"/>
          <w:marRight w:val="0"/>
          <w:marTop w:val="0"/>
          <w:marBottom w:val="0"/>
          <w:divBdr>
            <w:top w:val="none" w:sz="0" w:space="0" w:color="auto"/>
            <w:left w:val="none" w:sz="0" w:space="0" w:color="auto"/>
            <w:bottom w:val="none" w:sz="0" w:space="0" w:color="auto"/>
            <w:right w:val="none" w:sz="0" w:space="0" w:color="auto"/>
          </w:divBdr>
          <w:divsChild>
            <w:div w:id="149366512">
              <w:marLeft w:val="0"/>
              <w:marRight w:val="0"/>
              <w:marTop w:val="0"/>
              <w:marBottom w:val="0"/>
              <w:divBdr>
                <w:top w:val="none" w:sz="0" w:space="0" w:color="auto"/>
                <w:left w:val="none" w:sz="0" w:space="0" w:color="auto"/>
                <w:bottom w:val="none" w:sz="0" w:space="0" w:color="auto"/>
                <w:right w:val="none" w:sz="0" w:space="0" w:color="auto"/>
              </w:divBdr>
            </w:div>
          </w:divsChild>
        </w:div>
        <w:div w:id="1491022478">
          <w:marLeft w:val="0"/>
          <w:marRight w:val="0"/>
          <w:marTop w:val="0"/>
          <w:marBottom w:val="0"/>
          <w:divBdr>
            <w:top w:val="none" w:sz="0" w:space="0" w:color="auto"/>
            <w:left w:val="none" w:sz="0" w:space="0" w:color="auto"/>
            <w:bottom w:val="none" w:sz="0" w:space="0" w:color="auto"/>
            <w:right w:val="none" w:sz="0" w:space="0" w:color="auto"/>
          </w:divBdr>
          <w:divsChild>
            <w:div w:id="248201241">
              <w:marLeft w:val="0"/>
              <w:marRight w:val="0"/>
              <w:marTop w:val="0"/>
              <w:marBottom w:val="0"/>
              <w:divBdr>
                <w:top w:val="none" w:sz="0" w:space="0" w:color="auto"/>
                <w:left w:val="none" w:sz="0" w:space="0" w:color="auto"/>
                <w:bottom w:val="none" w:sz="0" w:space="0" w:color="auto"/>
                <w:right w:val="none" w:sz="0" w:space="0" w:color="auto"/>
              </w:divBdr>
            </w:div>
            <w:div w:id="453141011">
              <w:marLeft w:val="0"/>
              <w:marRight w:val="0"/>
              <w:marTop w:val="0"/>
              <w:marBottom w:val="0"/>
              <w:divBdr>
                <w:top w:val="none" w:sz="0" w:space="0" w:color="auto"/>
                <w:left w:val="none" w:sz="0" w:space="0" w:color="auto"/>
                <w:bottom w:val="none" w:sz="0" w:space="0" w:color="auto"/>
                <w:right w:val="none" w:sz="0" w:space="0" w:color="auto"/>
              </w:divBdr>
            </w:div>
            <w:div w:id="582838555">
              <w:marLeft w:val="0"/>
              <w:marRight w:val="0"/>
              <w:marTop w:val="0"/>
              <w:marBottom w:val="0"/>
              <w:divBdr>
                <w:top w:val="none" w:sz="0" w:space="0" w:color="auto"/>
                <w:left w:val="none" w:sz="0" w:space="0" w:color="auto"/>
                <w:bottom w:val="none" w:sz="0" w:space="0" w:color="auto"/>
                <w:right w:val="none" w:sz="0" w:space="0" w:color="auto"/>
              </w:divBdr>
            </w:div>
            <w:div w:id="1220360867">
              <w:marLeft w:val="0"/>
              <w:marRight w:val="0"/>
              <w:marTop w:val="0"/>
              <w:marBottom w:val="0"/>
              <w:divBdr>
                <w:top w:val="none" w:sz="0" w:space="0" w:color="auto"/>
                <w:left w:val="none" w:sz="0" w:space="0" w:color="auto"/>
                <w:bottom w:val="none" w:sz="0" w:space="0" w:color="auto"/>
                <w:right w:val="none" w:sz="0" w:space="0" w:color="auto"/>
              </w:divBdr>
            </w:div>
            <w:div w:id="1410617462">
              <w:marLeft w:val="0"/>
              <w:marRight w:val="0"/>
              <w:marTop w:val="0"/>
              <w:marBottom w:val="0"/>
              <w:divBdr>
                <w:top w:val="none" w:sz="0" w:space="0" w:color="auto"/>
                <w:left w:val="none" w:sz="0" w:space="0" w:color="auto"/>
                <w:bottom w:val="none" w:sz="0" w:space="0" w:color="auto"/>
                <w:right w:val="none" w:sz="0" w:space="0" w:color="auto"/>
              </w:divBdr>
            </w:div>
            <w:div w:id="1912227657">
              <w:marLeft w:val="0"/>
              <w:marRight w:val="0"/>
              <w:marTop w:val="0"/>
              <w:marBottom w:val="0"/>
              <w:divBdr>
                <w:top w:val="none" w:sz="0" w:space="0" w:color="auto"/>
                <w:left w:val="none" w:sz="0" w:space="0" w:color="auto"/>
                <w:bottom w:val="none" w:sz="0" w:space="0" w:color="auto"/>
                <w:right w:val="none" w:sz="0" w:space="0" w:color="auto"/>
              </w:divBdr>
            </w:div>
          </w:divsChild>
        </w:div>
        <w:div w:id="1493910447">
          <w:marLeft w:val="0"/>
          <w:marRight w:val="0"/>
          <w:marTop w:val="0"/>
          <w:marBottom w:val="0"/>
          <w:divBdr>
            <w:top w:val="none" w:sz="0" w:space="0" w:color="auto"/>
            <w:left w:val="none" w:sz="0" w:space="0" w:color="auto"/>
            <w:bottom w:val="none" w:sz="0" w:space="0" w:color="auto"/>
            <w:right w:val="none" w:sz="0" w:space="0" w:color="auto"/>
          </w:divBdr>
          <w:divsChild>
            <w:div w:id="32582127">
              <w:marLeft w:val="0"/>
              <w:marRight w:val="0"/>
              <w:marTop w:val="0"/>
              <w:marBottom w:val="0"/>
              <w:divBdr>
                <w:top w:val="none" w:sz="0" w:space="0" w:color="auto"/>
                <w:left w:val="none" w:sz="0" w:space="0" w:color="auto"/>
                <w:bottom w:val="none" w:sz="0" w:space="0" w:color="auto"/>
                <w:right w:val="none" w:sz="0" w:space="0" w:color="auto"/>
              </w:divBdr>
            </w:div>
          </w:divsChild>
        </w:div>
        <w:div w:id="1494905577">
          <w:marLeft w:val="0"/>
          <w:marRight w:val="0"/>
          <w:marTop w:val="0"/>
          <w:marBottom w:val="0"/>
          <w:divBdr>
            <w:top w:val="none" w:sz="0" w:space="0" w:color="auto"/>
            <w:left w:val="none" w:sz="0" w:space="0" w:color="auto"/>
            <w:bottom w:val="none" w:sz="0" w:space="0" w:color="auto"/>
            <w:right w:val="none" w:sz="0" w:space="0" w:color="auto"/>
          </w:divBdr>
          <w:divsChild>
            <w:div w:id="1850295530">
              <w:marLeft w:val="0"/>
              <w:marRight w:val="0"/>
              <w:marTop w:val="0"/>
              <w:marBottom w:val="0"/>
              <w:divBdr>
                <w:top w:val="none" w:sz="0" w:space="0" w:color="auto"/>
                <w:left w:val="none" w:sz="0" w:space="0" w:color="auto"/>
                <w:bottom w:val="none" w:sz="0" w:space="0" w:color="auto"/>
                <w:right w:val="none" w:sz="0" w:space="0" w:color="auto"/>
              </w:divBdr>
            </w:div>
          </w:divsChild>
        </w:div>
        <w:div w:id="1495023777">
          <w:marLeft w:val="0"/>
          <w:marRight w:val="0"/>
          <w:marTop w:val="0"/>
          <w:marBottom w:val="0"/>
          <w:divBdr>
            <w:top w:val="none" w:sz="0" w:space="0" w:color="auto"/>
            <w:left w:val="none" w:sz="0" w:space="0" w:color="auto"/>
            <w:bottom w:val="none" w:sz="0" w:space="0" w:color="auto"/>
            <w:right w:val="none" w:sz="0" w:space="0" w:color="auto"/>
          </w:divBdr>
          <w:divsChild>
            <w:div w:id="762846192">
              <w:marLeft w:val="0"/>
              <w:marRight w:val="0"/>
              <w:marTop w:val="0"/>
              <w:marBottom w:val="0"/>
              <w:divBdr>
                <w:top w:val="none" w:sz="0" w:space="0" w:color="auto"/>
                <w:left w:val="none" w:sz="0" w:space="0" w:color="auto"/>
                <w:bottom w:val="none" w:sz="0" w:space="0" w:color="auto"/>
                <w:right w:val="none" w:sz="0" w:space="0" w:color="auto"/>
              </w:divBdr>
            </w:div>
            <w:div w:id="1240402312">
              <w:marLeft w:val="0"/>
              <w:marRight w:val="0"/>
              <w:marTop w:val="0"/>
              <w:marBottom w:val="0"/>
              <w:divBdr>
                <w:top w:val="none" w:sz="0" w:space="0" w:color="auto"/>
                <w:left w:val="none" w:sz="0" w:space="0" w:color="auto"/>
                <w:bottom w:val="none" w:sz="0" w:space="0" w:color="auto"/>
                <w:right w:val="none" w:sz="0" w:space="0" w:color="auto"/>
              </w:divBdr>
            </w:div>
          </w:divsChild>
        </w:div>
        <w:div w:id="1498763710">
          <w:marLeft w:val="0"/>
          <w:marRight w:val="0"/>
          <w:marTop w:val="0"/>
          <w:marBottom w:val="0"/>
          <w:divBdr>
            <w:top w:val="none" w:sz="0" w:space="0" w:color="auto"/>
            <w:left w:val="none" w:sz="0" w:space="0" w:color="auto"/>
            <w:bottom w:val="none" w:sz="0" w:space="0" w:color="auto"/>
            <w:right w:val="none" w:sz="0" w:space="0" w:color="auto"/>
          </w:divBdr>
          <w:divsChild>
            <w:div w:id="1142579993">
              <w:marLeft w:val="0"/>
              <w:marRight w:val="0"/>
              <w:marTop w:val="0"/>
              <w:marBottom w:val="0"/>
              <w:divBdr>
                <w:top w:val="none" w:sz="0" w:space="0" w:color="auto"/>
                <w:left w:val="none" w:sz="0" w:space="0" w:color="auto"/>
                <w:bottom w:val="none" w:sz="0" w:space="0" w:color="auto"/>
                <w:right w:val="none" w:sz="0" w:space="0" w:color="auto"/>
              </w:divBdr>
            </w:div>
          </w:divsChild>
        </w:div>
        <w:div w:id="1502308755">
          <w:marLeft w:val="0"/>
          <w:marRight w:val="0"/>
          <w:marTop w:val="0"/>
          <w:marBottom w:val="0"/>
          <w:divBdr>
            <w:top w:val="none" w:sz="0" w:space="0" w:color="auto"/>
            <w:left w:val="none" w:sz="0" w:space="0" w:color="auto"/>
            <w:bottom w:val="none" w:sz="0" w:space="0" w:color="auto"/>
            <w:right w:val="none" w:sz="0" w:space="0" w:color="auto"/>
          </w:divBdr>
          <w:divsChild>
            <w:div w:id="1007637663">
              <w:marLeft w:val="0"/>
              <w:marRight w:val="0"/>
              <w:marTop w:val="0"/>
              <w:marBottom w:val="0"/>
              <w:divBdr>
                <w:top w:val="none" w:sz="0" w:space="0" w:color="auto"/>
                <w:left w:val="none" w:sz="0" w:space="0" w:color="auto"/>
                <w:bottom w:val="none" w:sz="0" w:space="0" w:color="auto"/>
                <w:right w:val="none" w:sz="0" w:space="0" w:color="auto"/>
              </w:divBdr>
            </w:div>
            <w:div w:id="2065636326">
              <w:marLeft w:val="0"/>
              <w:marRight w:val="0"/>
              <w:marTop w:val="0"/>
              <w:marBottom w:val="0"/>
              <w:divBdr>
                <w:top w:val="none" w:sz="0" w:space="0" w:color="auto"/>
                <w:left w:val="none" w:sz="0" w:space="0" w:color="auto"/>
                <w:bottom w:val="none" w:sz="0" w:space="0" w:color="auto"/>
                <w:right w:val="none" w:sz="0" w:space="0" w:color="auto"/>
              </w:divBdr>
            </w:div>
          </w:divsChild>
        </w:div>
        <w:div w:id="1504314913">
          <w:marLeft w:val="0"/>
          <w:marRight w:val="0"/>
          <w:marTop w:val="0"/>
          <w:marBottom w:val="0"/>
          <w:divBdr>
            <w:top w:val="none" w:sz="0" w:space="0" w:color="auto"/>
            <w:left w:val="none" w:sz="0" w:space="0" w:color="auto"/>
            <w:bottom w:val="none" w:sz="0" w:space="0" w:color="auto"/>
            <w:right w:val="none" w:sz="0" w:space="0" w:color="auto"/>
          </w:divBdr>
          <w:divsChild>
            <w:div w:id="1966614880">
              <w:marLeft w:val="0"/>
              <w:marRight w:val="0"/>
              <w:marTop w:val="0"/>
              <w:marBottom w:val="0"/>
              <w:divBdr>
                <w:top w:val="none" w:sz="0" w:space="0" w:color="auto"/>
                <w:left w:val="none" w:sz="0" w:space="0" w:color="auto"/>
                <w:bottom w:val="none" w:sz="0" w:space="0" w:color="auto"/>
                <w:right w:val="none" w:sz="0" w:space="0" w:color="auto"/>
              </w:divBdr>
            </w:div>
          </w:divsChild>
        </w:div>
        <w:div w:id="1510605598">
          <w:marLeft w:val="0"/>
          <w:marRight w:val="0"/>
          <w:marTop w:val="0"/>
          <w:marBottom w:val="0"/>
          <w:divBdr>
            <w:top w:val="none" w:sz="0" w:space="0" w:color="auto"/>
            <w:left w:val="none" w:sz="0" w:space="0" w:color="auto"/>
            <w:bottom w:val="none" w:sz="0" w:space="0" w:color="auto"/>
            <w:right w:val="none" w:sz="0" w:space="0" w:color="auto"/>
          </w:divBdr>
          <w:divsChild>
            <w:div w:id="1379740921">
              <w:marLeft w:val="0"/>
              <w:marRight w:val="0"/>
              <w:marTop w:val="0"/>
              <w:marBottom w:val="0"/>
              <w:divBdr>
                <w:top w:val="none" w:sz="0" w:space="0" w:color="auto"/>
                <w:left w:val="none" w:sz="0" w:space="0" w:color="auto"/>
                <w:bottom w:val="none" w:sz="0" w:space="0" w:color="auto"/>
                <w:right w:val="none" w:sz="0" w:space="0" w:color="auto"/>
              </w:divBdr>
            </w:div>
          </w:divsChild>
        </w:div>
        <w:div w:id="1511021608">
          <w:marLeft w:val="0"/>
          <w:marRight w:val="0"/>
          <w:marTop w:val="0"/>
          <w:marBottom w:val="0"/>
          <w:divBdr>
            <w:top w:val="none" w:sz="0" w:space="0" w:color="auto"/>
            <w:left w:val="none" w:sz="0" w:space="0" w:color="auto"/>
            <w:bottom w:val="none" w:sz="0" w:space="0" w:color="auto"/>
            <w:right w:val="none" w:sz="0" w:space="0" w:color="auto"/>
          </w:divBdr>
          <w:divsChild>
            <w:div w:id="1674408186">
              <w:marLeft w:val="0"/>
              <w:marRight w:val="0"/>
              <w:marTop w:val="0"/>
              <w:marBottom w:val="0"/>
              <w:divBdr>
                <w:top w:val="none" w:sz="0" w:space="0" w:color="auto"/>
                <w:left w:val="none" w:sz="0" w:space="0" w:color="auto"/>
                <w:bottom w:val="none" w:sz="0" w:space="0" w:color="auto"/>
                <w:right w:val="none" w:sz="0" w:space="0" w:color="auto"/>
              </w:divBdr>
            </w:div>
          </w:divsChild>
        </w:div>
        <w:div w:id="1518542123">
          <w:marLeft w:val="0"/>
          <w:marRight w:val="0"/>
          <w:marTop w:val="0"/>
          <w:marBottom w:val="0"/>
          <w:divBdr>
            <w:top w:val="none" w:sz="0" w:space="0" w:color="auto"/>
            <w:left w:val="none" w:sz="0" w:space="0" w:color="auto"/>
            <w:bottom w:val="none" w:sz="0" w:space="0" w:color="auto"/>
            <w:right w:val="none" w:sz="0" w:space="0" w:color="auto"/>
          </w:divBdr>
          <w:divsChild>
            <w:div w:id="1044909983">
              <w:marLeft w:val="0"/>
              <w:marRight w:val="0"/>
              <w:marTop w:val="0"/>
              <w:marBottom w:val="0"/>
              <w:divBdr>
                <w:top w:val="none" w:sz="0" w:space="0" w:color="auto"/>
                <w:left w:val="none" w:sz="0" w:space="0" w:color="auto"/>
                <w:bottom w:val="none" w:sz="0" w:space="0" w:color="auto"/>
                <w:right w:val="none" w:sz="0" w:space="0" w:color="auto"/>
              </w:divBdr>
            </w:div>
          </w:divsChild>
        </w:div>
        <w:div w:id="1524241288">
          <w:marLeft w:val="0"/>
          <w:marRight w:val="0"/>
          <w:marTop w:val="0"/>
          <w:marBottom w:val="0"/>
          <w:divBdr>
            <w:top w:val="none" w:sz="0" w:space="0" w:color="auto"/>
            <w:left w:val="none" w:sz="0" w:space="0" w:color="auto"/>
            <w:bottom w:val="none" w:sz="0" w:space="0" w:color="auto"/>
            <w:right w:val="none" w:sz="0" w:space="0" w:color="auto"/>
          </w:divBdr>
          <w:divsChild>
            <w:div w:id="3090582">
              <w:marLeft w:val="0"/>
              <w:marRight w:val="0"/>
              <w:marTop w:val="0"/>
              <w:marBottom w:val="0"/>
              <w:divBdr>
                <w:top w:val="none" w:sz="0" w:space="0" w:color="auto"/>
                <w:left w:val="none" w:sz="0" w:space="0" w:color="auto"/>
                <w:bottom w:val="none" w:sz="0" w:space="0" w:color="auto"/>
                <w:right w:val="none" w:sz="0" w:space="0" w:color="auto"/>
              </w:divBdr>
            </w:div>
            <w:div w:id="326203494">
              <w:marLeft w:val="0"/>
              <w:marRight w:val="0"/>
              <w:marTop w:val="0"/>
              <w:marBottom w:val="0"/>
              <w:divBdr>
                <w:top w:val="none" w:sz="0" w:space="0" w:color="auto"/>
                <w:left w:val="none" w:sz="0" w:space="0" w:color="auto"/>
                <w:bottom w:val="none" w:sz="0" w:space="0" w:color="auto"/>
                <w:right w:val="none" w:sz="0" w:space="0" w:color="auto"/>
              </w:divBdr>
            </w:div>
            <w:div w:id="507141873">
              <w:marLeft w:val="0"/>
              <w:marRight w:val="0"/>
              <w:marTop w:val="0"/>
              <w:marBottom w:val="0"/>
              <w:divBdr>
                <w:top w:val="none" w:sz="0" w:space="0" w:color="auto"/>
                <w:left w:val="none" w:sz="0" w:space="0" w:color="auto"/>
                <w:bottom w:val="none" w:sz="0" w:space="0" w:color="auto"/>
                <w:right w:val="none" w:sz="0" w:space="0" w:color="auto"/>
              </w:divBdr>
            </w:div>
            <w:div w:id="918905196">
              <w:marLeft w:val="0"/>
              <w:marRight w:val="0"/>
              <w:marTop w:val="0"/>
              <w:marBottom w:val="0"/>
              <w:divBdr>
                <w:top w:val="none" w:sz="0" w:space="0" w:color="auto"/>
                <w:left w:val="none" w:sz="0" w:space="0" w:color="auto"/>
                <w:bottom w:val="none" w:sz="0" w:space="0" w:color="auto"/>
                <w:right w:val="none" w:sz="0" w:space="0" w:color="auto"/>
              </w:divBdr>
            </w:div>
            <w:div w:id="1343124983">
              <w:marLeft w:val="0"/>
              <w:marRight w:val="0"/>
              <w:marTop w:val="0"/>
              <w:marBottom w:val="0"/>
              <w:divBdr>
                <w:top w:val="none" w:sz="0" w:space="0" w:color="auto"/>
                <w:left w:val="none" w:sz="0" w:space="0" w:color="auto"/>
                <w:bottom w:val="none" w:sz="0" w:space="0" w:color="auto"/>
                <w:right w:val="none" w:sz="0" w:space="0" w:color="auto"/>
              </w:divBdr>
            </w:div>
          </w:divsChild>
        </w:div>
        <w:div w:id="1526020231">
          <w:marLeft w:val="0"/>
          <w:marRight w:val="0"/>
          <w:marTop w:val="0"/>
          <w:marBottom w:val="0"/>
          <w:divBdr>
            <w:top w:val="none" w:sz="0" w:space="0" w:color="auto"/>
            <w:left w:val="none" w:sz="0" w:space="0" w:color="auto"/>
            <w:bottom w:val="none" w:sz="0" w:space="0" w:color="auto"/>
            <w:right w:val="none" w:sz="0" w:space="0" w:color="auto"/>
          </w:divBdr>
          <w:divsChild>
            <w:div w:id="351297671">
              <w:marLeft w:val="0"/>
              <w:marRight w:val="0"/>
              <w:marTop w:val="0"/>
              <w:marBottom w:val="0"/>
              <w:divBdr>
                <w:top w:val="none" w:sz="0" w:space="0" w:color="auto"/>
                <w:left w:val="none" w:sz="0" w:space="0" w:color="auto"/>
                <w:bottom w:val="none" w:sz="0" w:space="0" w:color="auto"/>
                <w:right w:val="none" w:sz="0" w:space="0" w:color="auto"/>
              </w:divBdr>
            </w:div>
            <w:div w:id="856504907">
              <w:marLeft w:val="0"/>
              <w:marRight w:val="0"/>
              <w:marTop w:val="0"/>
              <w:marBottom w:val="0"/>
              <w:divBdr>
                <w:top w:val="none" w:sz="0" w:space="0" w:color="auto"/>
                <w:left w:val="none" w:sz="0" w:space="0" w:color="auto"/>
                <w:bottom w:val="none" w:sz="0" w:space="0" w:color="auto"/>
                <w:right w:val="none" w:sz="0" w:space="0" w:color="auto"/>
              </w:divBdr>
            </w:div>
          </w:divsChild>
        </w:div>
        <w:div w:id="1527215353">
          <w:marLeft w:val="0"/>
          <w:marRight w:val="0"/>
          <w:marTop w:val="0"/>
          <w:marBottom w:val="0"/>
          <w:divBdr>
            <w:top w:val="none" w:sz="0" w:space="0" w:color="auto"/>
            <w:left w:val="none" w:sz="0" w:space="0" w:color="auto"/>
            <w:bottom w:val="none" w:sz="0" w:space="0" w:color="auto"/>
            <w:right w:val="none" w:sz="0" w:space="0" w:color="auto"/>
          </w:divBdr>
          <w:divsChild>
            <w:div w:id="68508093">
              <w:marLeft w:val="0"/>
              <w:marRight w:val="0"/>
              <w:marTop w:val="0"/>
              <w:marBottom w:val="0"/>
              <w:divBdr>
                <w:top w:val="none" w:sz="0" w:space="0" w:color="auto"/>
                <w:left w:val="none" w:sz="0" w:space="0" w:color="auto"/>
                <w:bottom w:val="none" w:sz="0" w:space="0" w:color="auto"/>
                <w:right w:val="none" w:sz="0" w:space="0" w:color="auto"/>
              </w:divBdr>
            </w:div>
            <w:div w:id="735712321">
              <w:marLeft w:val="0"/>
              <w:marRight w:val="0"/>
              <w:marTop w:val="0"/>
              <w:marBottom w:val="0"/>
              <w:divBdr>
                <w:top w:val="none" w:sz="0" w:space="0" w:color="auto"/>
                <w:left w:val="none" w:sz="0" w:space="0" w:color="auto"/>
                <w:bottom w:val="none" w:sz="0" w:space="0" w:color="auto"/>
                <w:right w:val="none" w:sz="0" w:space="0" w:color="auto"/>
              </w:divBdr>
            </w:div>
            <w:div w:id="806238690">
              <w:marLeft w:val="0"/>
              <w:marRight w:val="0"/>
              <w:marTop w:val="0"/>
              <w:marBottom w:val="0"/>
              <w:divBdr>
                <w:top w:val="none" w:sz="0" w:space="0" w:color="auto"/>
                <w:left w:val="none" w:sz="0" w:space="0" w:color="auto"/>
                <w:bottom w:val="none" w:sz="0" w:space="0" w:color="auto"/>
                <w:right w:val="none" w:sz="0" w:space="0" w:color="auto"/>
              </w:divBdr>
            </w:div>
            <w:div w:id="2010985766">
              <w:marLeft w:val="0"/>
              <w:marRight w:val="0"/>
              <w:marTop w:val="0"/>
              <w:marBottom w:val="0"/>
              <w:divBdr>
                <w:top w:val="none" w:sz="0" w:space="0" w:color="auto"/>
                <w:left w:val="none" w:sz="0" w:space="0" w:color="auto"/>
                <w:bottom w:val="none" w:sz="0" w:space="0" w:color="auto"/>
                <w:right w:val="none" w:sz="0" w:space="0" w:color="auto"/>
              </w:divBdr>
            </w:div>
            <w:div w:id="2051805206">
              <w:marLeft w:val="0"/>
              <w:marRight w:val="0"/>
              <w:marTop w:val="0"/>
              <w:marBottom w:val="0"/>
              <w:divBdr>
                <w:top w:val="none" w:sz="0" w:space="0" w:color="auto"/>
                <w:left w:val="none" w:sz="0" w:space="0" w:color="auto"/>
                <w:bottom w:val="none" w:sz="0" w:space="0" w:color="auto"/>
                <w:right w:val="none" w:sz="0" w:space="0" w:color="auto"/>
              </w:divBdr>
            </w:div>
          </w:divsChild>
        </w:div>
        <w:div w:id="1530490428">
          <w:marLeft w:val="0"/>
          <w:marRight w:val="0"/>
          <w:marTop w:val="0"/>
          <w:marBottom w:val="0"/>
          <w:divBdr>
            <w:top w:val="none" w:sz="0" w:space="0" w:color="auto"/>
            <w:left w:val="none" w:sz="0" w:space="0" w:color="auto"/>
            <w:bottom w:val="none" w:sz="0" w:space="0" w:color="auto"/>
            <w:right w:val="none" w:sz="0" w:space="0" w:color="auto"/>
          </w:divBdr>
          <w:divsChild>
            <w:div w:id="1767537608">
              <w:marLeft w:val="0"/>
              <w:marRight w:val="0"/>
              <w:marTop w:val="0"/>
              <w:marBottom w:val="0"/>
              <w:divBdr>
                <w:top w:val="none" w:sz="0" w:space="0" w:color="auto"/>
                <w:left w:val="none" w:sz="0" w:space="0" w:color="auto"/>
                <w:bottom w:val="none" w:sz="0" w:space="0" w:color="auto"/>
                <w:right w:val="none" w:sz="0" w:space="0" w:color="auto"/>
              </w:divBdr>
            </w:div>
          </w:divsChild>
        </w:div>
        <w:div w:id="1532717855">
          <w:marLeft w:val="0"/>
          <w:marRight w:val="0"/>
          <w:marTop w:val="0"/>
          <w:marBottom w:val="0"/>
          <w:divBdr>
            <w:top w:val="none" w:sz="0" w:space="0" w:color="auto"/>
            <w:left w:val="none" w:sz="0" w:space="0" w:color="auto"/>
            <w:bottom w:val="none" w:sz="0" w:space="0" w:color="auto"/>
            <w:right w:val="none" w:sz="0" w:space="0" w:color="auto"/>
          </w:divBdr>
          <w:divsChild>
            <w:div w:id="1805149757">
              <w:marLeft w:val="0"/>
              <w:marRight w:val="0"/>
              <w:marTop w:val="0"/>
              <w:marBottom w:val="0"/>
              <w:divBdr>
                <w:top w:val="none" w:sz="0" w:space="0" w:color="auto"/>
                <w:left w:val="none" w:sz="0" w:space="0" w:color="auto"/>
                <w:bottom w:val="none" w:sz="0" w:space="0" w:color="auto"/>
                <w:right w:val="none" w:sz="0" w:space="0" w:color="auto"/>
              </w:divBdr>
            </w:div>
          </w:divsChild>
        </w:div>
        <w:div w:id="1544362007">
          <w:marLeft w:val="0"/>
          <w:marRight w:val="0"/>
          <w:marTop w:val="0"/>
          <w:marBottom w:val="0"/>
          <w:divBdr>
            <w:top w:val="none" w:sz="0" w:space="0" w:color="auto"/>
            <w:left w:val="none" w:sz="0" w:space="0" w:color="auto"/>
            <w:bottom w:val="none" w:sz="0" w:space="0" w:color="auto"/>
            <w:right w:val="none" w:sz="0" w:space="0" w:color="auto"/>
          </w:divBdr>
          <w:divsChild>
            <w:div w:id="1153328377">
              <w:marLeft w:val="0"/>
              <w:marRight w:val="0"/>
              <w:marTop w:val="0"/>
              <w:marBottom w:val="0"/>
              <w:divBdr>
                <w:top w:val="none" w:sz="0" w:space="0" w:color="auto"/>
                <w:left w:val="none" w:sz="0" w:space="0" w:color="auto"/>
                <w:bottom w:val="none" w:sz="0" w:space="0" w:color="auto"/>
                <w:right w:val="none" w:sz="0" w:space="0" w:color="auto"/>
              </w:divBdr>
            </w:div>
          </w:divsChild>
        </w:div>
        <w:div w:id="1547839731">
          <w:marLeft w:val="0"/>
          <w:marRight w:val="0"/>
          <w:marTop w:val="0"/>
          <w:marBottom w:val="0"/>
          <w:divBdr>
            <w:top w:val="none" w:sz="0" w:space="0" w:color="auto"/>
            <w:left w:val="none" w:sz="0" w:space="0" w:color="auto"/>
            <w:bottom w:val="none" w:sz="0" w:space="0" w:color="auto"/>
            <w:right w:val="none" w:sz="0" w:space="0" w:color="auto"/>
          </w:divBdr>
          <w:divsChild>
            <w:div w:id="432944461">
              <w:marLeft w:val="0"/>
              <w:marRight w:val="0"/>
              <w:marTop w:val="0"/>
              <w:marBottom w:val="0"/>
              <w:divBdr>
                <w:top w:val="none" w:sz="0" w:space="0" w:color="auto"/>
                <w:left w:val="none" w:sz="0" w:space="0" w:color="auto"/>
                <w:bottom w:val="none" w:sz="0" w:space="0" w:color="auto"/>
                <w:right w:val="none" w:sz="0" w:space="0" w:color="auto"/>
              </w:divBdr>
            </w:div>
          </w:divsChild>
        </w:div>
        <w:div w:id="1551303695">
          <w:marLeft w:val="0"/>
          <w:marRight w:val="0"/>
          <w:marTop w:val="0"/>
          <w:marBottom w:val="0"/>
          <w:divBdr>
            <w:top w:val="none" w:sz="0" w:space="0" w:color="auto"/>
            <w:left w:val="none" w:sz="0" w:space="0" w:color="auto"/>
            <w:bottom w:val="none" w:sz="0" w:space="0" w:color="auto"/>
            <w:right w:val="none" w:sz="0" w:space="0" w:color="auto"/>
          </w:divBdr>
          <w:divsChild>
            <w:div w:id="898706597">
              <w:marLeft w:val="0"/>
              <w:marRight w:val="0"/>
              <w:marTop w:val="0"/>
              <w:marBottom w:val="0"/>
              <w:divBdr>
                <w:top w:val="none" w:sz="0" w:space="0" w:color="auto"/>
                <w:left w:val="none" w:sz="0" w:space="0" w:color="auto"/>
                <w:bottom w:val="none" w:sz="0" w:space="0" w:color="auto"/>
                <w:right w:val="none" w:sz="0" w:space="0" w:color="auto"/>
              </w:divBdr>
            </w:div>
          </w:divsChild>
        </w:div>
        <w:div w:id="1560048715">
          <w:marLeft w:val="0"/>
          <w:marRight w:val="0"/>
          <w:marTop w:val="0"/>
          <w:marBottom w:val="0"/>
          <w:divBdr>
            <w:top w:val="none" w:sz="0" w:space="0" w:color="auto"/>
            <w:left w:val="none" w:sz="0" w:space="0" w:color="auto"/>
            <w:bottom w:val="none" w:sz="0" w:space="0" w:color="auto"/>
            <w:right w:val="none" w:sz="0" w:space="0" w:color="auto"/>
          </w:divBdr>
          <w:divsChild>
            <w:div w:id="1449085440">
              <w:marLeft w:val="0"/>
              <w:marRight w:val="0"/>
              <w:marTop w:val="0"/>
              <w:marBottom w:val="0"/>
              <w:divBdr>
                <w:top w:val="none" w:sz="0" w:space="0" w:color="auto"/>
                <w:left w:val="none" w:sz="0" w:space="0" w:color="auto"/>
                <w:bottom w:val="none" w:sz="0" w:space="0" w:color="auto"/>
                <w:right w:val="none" w:sz="0" w:space="0" w:color="auto"/>
              </w:divBdr>
            </w:div>
            <w:div w:id="1861239108">
              <w:marLeft w:val="0"/>
              <w:marRight w:val="0"/>
              <w:marTop w:val="0"/>
              <w:marBottom w:val="0"/>
              <w:divBdr>
                <w:top w:val="none" w:sz="0" w:space="0" w:color="auto"/>
                <w:left w:val="none" w:sz="0" w:space="0" w:color="auto"/>
                <w:bottom w:val="none" w:sz="0" w:space="0" w:color="auto"/>
                <w:right w:val="none" w:sz="0" w:space="0" w:color="auto"/>
              </w:divBdr>
            </w:div>
          </w:divsChild>
        </w:div>
        <w:div w:id="1563130978">
          <w:marLeft w:val="0"/>
          <w:marRight w:val="0"/>
          <w:marTop w:val="0"/>
          <w:marBottom w:val="0"/>
          <w:divBdr>
            <w:top w:val="none" w:sz="0" w:space="0" w:color="auto"/>
            <w:left w:val="none" w:sz="0" w:space="0" w:color="auto"/>
            <w:bottom w:val="none" w:sz="0" w:space="0" w:color="auto"/>
            <w:right w:val="none" w:sz="0" w:space="0" w:color="auto"/>
          </w:divBdr>
          <w:divsChild>
            <w:div w:id="825442684">
              <w:marLeft w:val="0"/>
              <w:marRight w:val="0"/>
              <w:marTop w:val="0"/>
              <w:marBottom w:val="0"/>
              <w:divBdr>
                <w:top w:val="none" w:sz="0" w:space="0" w:color="auto"/>
                <w:left w:val="none" w:sz="0" w:space="0" w:color="auto"/>
                <w:bottom w:val="none" w:sz="0" w:space="0" w:color="auto"/>
                <w:right w:val="none" w:sz="0" w:space="0" w:color="auto"/>
              </w:divBdr>
            </w:div>
          </w:divsChild>
        </w:div>
        <w:div w:id="1579485909">
          <w:marLeft w:val="0"/>
          <w:marRight w:val="0"/>
          <w:marTop w:val="0"/>
          <w:marBottom w:val="0"/>
          <w:divBdr>
            <w:top w:val="none" w:sz="0" w:space="0" w:color="auto"/>
            <w:left w:val="none" w:sz="0" w:space="0" w:color="auto"/>
            <w:bottom w:val="none" w:sz="0" w:space="0" w:color="auto"/>
            <w:right w:val="none" w:sz="0" w:space="0" w:color="auto"/>
          </w:divBdr>
          <w:divsChild>
            <w:div w:id="39745640">
              <w:marLeft w:val="0"/>
              <w:marRight w:val="0"/>
              <w:marTop w:val="0"/>
              <w:marBottom w:val="0"/>
              <w:divBdr>
                <w:top w:val="none" w:sz="0" w:space="0" w:color="auto"/>
                <w:left w:val="none" w:sz="0" w:space="0" w:color="auto"/>
                <w:bottom w:val="none" w:sz="0" w:space="0" w:color="auto"/>
                <w:right w:val="none" w:sz="0" w:space="0" w:color="auto"/>
              </w:divBdr>
            </w:div>
            <w:div w:id="1327395828">
              <w:marLeft w:val="0"/>
              <w:marRight w:val="0"/>
              <w:marTop w:val="0"/>
              <w:marBottom w:val="0"/>
              <w:divBdr>
                <w:top w:val="none" w:sz="0" w:space="0" w:color="auto"/>
                <w:left w:val="none" w:sz="0" w:space="0" w:color="auto"/>
                <w:bottom w:val="none" w:sz="0" w:space="0" w:color="auto"/>
                <w:right w:val="none" w:sz="0" w:space="0" w:color="auto"/>
              </w:divBdr>
            </w:div>
            <w:div w:id="1688412218">
              <w:marLeft w:val="0"/>
              <w:marRight w:val="0"/>
              <w:marTop w:val="0"/>
              <w:marBottom w:val="0"/>
              <w:divBdr>
                <w:top w:val="none" w:sz="0" w:space="0" w:color="auto"/>
                <w:left w:val="none" w:sz="0" w:space="0" w:color="auto"/>
                <w:bottom w:val="none" w:sz="0" w:space="0" w:color="auto"/>
                <w:right w:val="none" w:sz="0" w:space="0" w:color="auto"/>
              </w:divBdr>
            </w:div>
          </w:divsChild>
        </w:div>
        <w:div w:id="1582174381">
          <w:marLeft w:val="0"/>
          <w:marRight w:val="0"/>
          <w:marTop w:val="0"/>
          <w:marBottom w:val="0"/>
          <w:divBdr>
            <w:top w:val="none" w:sz="0" w:space="0" w:color="auto"/>
            <w:left w:val="none" w:sz="0" w:space="0" w:color="auto"/>
            <w:bottom w:val="none" w:sz="0" w:space="0" w:color="auto"/>
            <w:right w:val="none" w:sz="0" w:space="0" w:color="auto"/>
          </w:divBdr>
          <w:divsChild>
            <w:div w:id="2017684700">
              <w:marLeft w:val="0"/>
              <w:marRight w:val="0"/>
              <w:marTop w:val="0"/>
              <w:marBottom w:val="0"/>
              <w:divBdr>
                <w:top w:val="none" w:sz="0" w:space="0" w:color="auto"/>
                <w:left w:val="none" w:sz="0" w:space="0" w:color="auto"/>
                <w:bottom w:val="none" w:sz="0" w:space="0" w:color="auto"/>
                <w:right w:val="none" w:sz="0" w:space="0" w:color="auto"/>
              </w:divBdr>
            </w:div>
          </w:divsChild>
        </w:div>
        <w:div w:id="1593278002">
          <w:marLeft w:val="0"/>
          <w:marRight w:val="0"/>
          <w:marTop w:val="0"/>
          <w:marBottom w:val="0"/>
          <w:divBdr>
            <w:top w:val="none" w:sz="0" w:space="0" w:color="auto"/>
            <w:left w:val="none" w:sz="0" w:space="0" w:color="auto"/>
            <w:bottom w:val="none" w:sz="0" w:space="0" w:color="auto"/>
            <w:right w:val="none" w:sz="0" w:space="0" w:color="auto"/>
          </w:divBdr>
          <w:divsChild>
            <w:div w:id="511842471">
              <w:marLeft w:val="0"/>
              <w:marRight w:val="0"/>
              <w:marTop w:val="0"/>
              <w:marBottom w:val="0"/>
              <w:divBdr>
                <w:top w:val="none" w:sz="0" w:space="0" w:color="auto"/>
                <w:left w:val="none" w:sz="0" w:space="0" w:color="auto"/>
                <w:bottom w:val="none" w:sz="0" w:space="0" w:color="auto"/>
                <w:right w:val="none" w:sz="0" w:space="0" w:color="auto"/>
              </w:divBdr>
            </w:div>
          </w:divsChild>
        </w:div>
        <w:div w:id="1604336974">
          <w:marLeft w:val="0"/>
          <w:marRight w:val="0"/>
          <w:marTop w:val="0"/>
          <w:marBottom w:val="0"/>
          <w:divBdr>
            <w:top w:val="none" w:sz="0" w:space="0" w:color="auto"/>
            <w:left w:val="none" w:sz="0" w:space="0" w:color="auto"/>
            <w:bottom w:val="none" w:sz="0" w:space="0" w:color="auto"/>
            <w:right w:val="none" w:sz="0" w:space="0" w:color="auto"/>
          </w:divBdr>
          <w:divsChild>
            <w:div w:id="494494019">
              <w:marLeft w:val="0"/>
              <w:marRight w:val="0"/>
              <w:marTop w:val="0"/>
              <w:marBottom w:val="0"/>
              <w:divBdr>
                <w:top w:val="none" w:sz="0" w:space="0" w:color="auto"/>
                <w:left w:val="none" w:sz="0" w:space="0" w:color="auto"/>
                <w:bottom w:val="none" w:sz="0" w:space="0" w:color="auto"/>
                <w:right w:val="none" w:sz="0" w:space="0" w:color="auto"/>
              </w:divBdr>
            </w:div>
          </w:divsChild>
        </w:div>
        <w:div w:id="1610042665">
          <w:marLeft w:val="0"/>
          <w:marRight w:val="0"/>
          <w:marTop w:val="0"/>
          <w:marBottom w:val="0"/>
          <w:divBdr>
            <w:top w:val="none" w:sz="0" w:space="0" w:color="auto"/>
            <w:left w:val="none" w:sz="0" w:space="0" w:color="auto"/>
            <w:bottom w:val="none" w:sz="0" w:space="0" w:color="auto"/>
            <w:right w:val="none" w:sz="0" w:space="0" w:color="auto"/>
          </w:divBdr>
          <w:divsChild>
            <w:div w:id="735668240">
              <w:marLeft w:val="0"/>
              <w:marRight w:val="0"/>
              <w:marTop w:val="0"/>
              <w:marBottom w:val="0"/>
              <w:divBdr>
                <w:top w:val="none" w:sz="0" w:space="0" w:color="auto"/>
                <w:left w:val="none" w:sz="0" w:space="0" w:color="auto"/>
                <w:bottom w:val="none" w:sz="0" w:space="0" w:color="auto"/>
                <w:right w:val="none" w:sz="0" w:space="0" w:color="auto"/>
              </w:divBdr>
            </w:div>
          </w:divsChild>
        </w:div>
        <w:div w:id="1613786008">
          <w:marLeft w:val="0"/>
          <w:marRight w:val="0"/>
          <w:marTop w:val="0"/>
          <w:marBottom w:val="0"/>
          <w:divBdr>
            <w:top w:val="none" w:sz="0" w:space="0" w:color="auto"/>
            <w:left w:val="none" w:sz="0" w:space="0" w:color="auto"/>
            <w:bottom w:val="none" w:sz="0" w:space="0" w:color="auto"/>
            <w:right w:val="none" w:sz="0" w:space="0" w:color="auto"/>
          </w:divBdr>
          <w:divsChild>
            <w:div w:id="1247885141">
              <w:marLeft w:val="0"/>
              <w:marRight w:val="0"/>
              <w:marTop w:val="0"/>
              <w:marBottom w:val="0"/>
              <w:divBdr>
                <w:top w:val="none" w:sz="0" w:space="0" w:color="auto"/>
                <w:left w:val="none" w:sz="0" w:space="0" w:color="auto"/>
                <w:bottom w:val="none" w:sz="0" w:space="0" w:color="auto"/>
                <w:right w:val="none" w:sz="0" w:space="0" w:color="auto"/>
              </w:divBdr>
            </w:div>
          </w:divsChild>
        </w:div>
        <w:div w:id="1616669026">
          <w:marLeft w:val="0"/>
          <w:marRight w:val="0"/>
          <w:marTop w:val="0"/>
          <w:marBottom w:val="0"/>
          <w:divBdr>
            <w:top w:val="none" w:sz="0" w:space="0" w:color="auto"/>
            <w:left w:val="none" w:sz="0" w:space="0" w:color="auto"/>
            <w:bottom w:val="none" w:sz="0" w:space="0" w:color="auto"/>
            <w:right w:val="none" w:sz="0" w:space="0" w:color="auto"/>
          </w:divBdr>
          <w:divsChild>
            <w:div w:id="1844314284">
              <w:marLeft w:val="0"/>
              <w:marRight w:val="0"/>
              <w:marTop w:val="0"/>
              <w:marBottom w:val="0"/>
              <w:divBdr>
                <w:top w:val="none" w:sz="0" w:space="0" w:color="auto"/>
                <w:left w:val="none" w:sz="0" w:space="0" w:color="auto"/>
                <w:bottom w:val="none" w:sz="0" w:space="0" w:color="auto"/>
                <w:right w:val="none" w:sz="0" w:space="0" w:color="auto"/>
              </w:divBdr>
            </w:div>
          </w:divsChild>
        </w:div>
        <w:div w:id="1618290792">
          <w:marLeft w:val="0"/>
          <w:marRight w:val="0"/>
          <w:marTop w:val="0"/>
          <w:marBottom w:val="0"/>
          <w:divBdr>
            <w:top w:val="none" w:sz="0" w:space="0" w:color="auto"/>
            <w:left w:val="none" w:sz="0" w:space="0" w:color="auto"/>
            <w:bottom w:val="none" w:sz="0" w:space="0" w:color="auto"/>
            <w:right w:val="none" w:sz="0" w:space="0" w:color="auto"/>
          </w:divBdr>
          <w:divsChild>
            <w:div w:id="540900583">
              <w:marLeft w:val="0"/>
              <w:marRight w:val="0"/>
              <w:marTop w:val="0"/>
              <w:marBottom w:val="0"/>
              <w:divBdr>
                <w:top w:val="none" w:sz="0" w:space="0" w:color="auto"/>
                <w:left w:val="none" w:sz="0" w:space="0" w:color="auto"/>
                <w:bottom w:val="none" w:sz="0" w:space="0" w:color="auto"/>
                <w:right w:val="none" w:sz="0" w:space="0" w:color="auto"/>
              </w:divBdr>
            </w:div>
          </w:divsChild>
        </w:div>
        <w:div w:id="1620449991">
          <w:marLeft w:val="0"/>
          <w:marRight w:val="0"/>
          <w:marTop w:val="0"/>
          <w:marBottom w:val="0"/>
          <w:divBdr>
            <w:top w:val="none" w:sz="0" w:space="0" w:color="auto"/>
            <w:left w:val="none" w:sz="0" w:space="0" w:color="auto"/>
            <w:bottom w:val="none" w:sz="0" w:space="0" w:color="auto"/>
            <w:right w:val="none" w:sz="0" w:space="0" w:color="auto"/>
          </w:divBdr>
          <w:divsChild>
            <w:div w:id="1026567243">
              <w:marLeft w:val="0"/>
              <w:marRight w:val="0"/>
              <w:marTop w:val="0"/>
              <w:marBottom w:val="0"/>
              <w:divBdr>
                <w:top w:val="none" w:sz="0" w:space="0" w:color="auto"/>
                <w:left w:val="none" w:sz="0" w:space="0" w:color="auto"/>
                <w:bottom w:val="none" w:sz="0" w:space="0" w:color="auto"/>
                <w:right w:val="none" w:sz="0" w:space="0" w:color="auto"/>
              </w:divBdr>
            </w:div>
          </w:divsChild>
        </w:div>
        <w:div w:id="1620649857">
          <w:marLeft w:val="0"/>
          <w:marRight w:val="0"/>
          <w:marTop w:val="0"/>
          <w:marBottom w:val="0"/>
          <w:divBdr>
            <w:top w:val="none" w:sz="0" w:space="0" w:color="auto"/>
            <w:left w:val="none" w:sz="0" w:space="0" w:color="auto"/>
            <w:bottom w:val="none" w:sz="0" w:space="0" w:color="auto"/>
            <w:right w:val="none" w:sz="0" w:space="0" w:color="auto"/>
          </w:divBdr>
          <w:divsChild>
            <w:div w:id="847251999">
              <w:marLeft w:val="0"/>
              <w:marRight w:val="0"/>
              <w:marTop w:val="0"/>
              <w:marBottom w:val="0"/>
              <w:divBdr>
                <w:top w:val="none" w:sz="0" w:space="0" w:color="auto"/>
                <w:left w:val="none" w:sz="0" w:space="0" w:color="auto"/>
                <w:bottom w:val="none" w:sz="0" w:space="0" w:color="auto"/>
                <w:right w:val="none" w:sz="0" w:space="0" w:color="auto"/>
              </w:divBdr>
            </w:div>
          </w:divsChild>
        </w:div>
        <w:div w:id="1623539065">
          <w:marLeft w:val="0"/>
          <w:marRight w:val="0"/>
          <w:marTop w:val="0"/>
          <w:marBottom w:val="0"/>
          <w:divBdr>
            <w:top w:val="none" w:sz="0" w:space="0" w:color="auto"/>
            <w:left w:val="none" w:sz="0" w:space="0" w:color="auto"/>
            <w:bottom w:val="none" w:sz="0" w:space="0" w:color="auto"/>
            <w:right w:val="none" w:sz="0" w:space="0" w:color="auto"/>
          </w:divBdr>
          <w:divsChild>
            <w:div w:id="267658208">
              <w:marLeft w:val="0"/>
              <w:marRight w:val="0"/>
              <w:marTop w:val="0"/>
              <w:marBottom w:val="0"/>
              <w:divBdr>
                <w:top w:val="none" w:sz="0" w:space="0" w:color="auto"/>
                <w:left w:val="none" w:sz="0" w:space="0" w:color="auto"/>
                <w:bottom w:val="none" w:sz="0" w:space="0" w:color="auto"/>
                <w:right w:val="none" w:sz="0" w:space="0" w:color="auto"/>
              </w:divBdr>
            </w:div>
          </w:divsChild>
        </w:div>
        <w:div w:id="1627468325">
          <w:marLeft w:val="0"/>
          <w:marRight w:val="0"/>
          <w:marTop w:val="0"/>
          <w:marBottom w:val="0"/>
          <w:divBdr>
            <w:top w:val="none" w:sz="0" w:space="0" w:color="auto"/>
            <w:left w:val="none" w:sz="0" w:space="0" w:color="auto"/>
            <w:bottom w:val="none" w:sz="0" w:space="0" w:color="auto"/>
            <w:right w:val="none" w:sz="0" w:space="0" w:color="auto"/>
          </w:divBdr>
          <w:divsChild>
            <w:div w:id="1691373629">
              <w:marLeft w:val="0"/>
              <w:marRight w:val="0"/>
              <w:marTop w:val="0"/>
              <w:marBottom w:val="0"/>
              <w:divBdr>
                <w:top w:val="none" w:sz="0" w:space="0" w:color="auto"/>
                <w:left w:val="none" w:sz="0" w:space="0" w:color="auto"/>
                <w:bottom w:val="none" w:sz="0" w:space="0" w:color="auto"/>
                <w:right w:val="none" w:sz="0" w:space="0" w:color="auto"/>
              </w:divBdr>
            </w:div>
          </w:divsChild>
        </w:div>
        <w:div w:id="1630237670">
          <w:marLeft w:val="0"/>
          <w:marRight w:val="0"/>
          <w:marTop w:val="0"/>
          <w:marBottom w:val="0"/>
          <w:divBdr>
            <w:top w:val="none" w:sz="0" w:space="0" w:color="auto"/>
            <w:left w:val="none" w:sz="0" w:space="0" w:color="auto"/>
            <w:bottom w:val="none" w:sz="0" w:space="0" w:color="auto"/>
            <w:right w:val="none" w:sz="0" w:space="0" w:color="auto"/>
          </w:divBdr>
          <w:divsChild>
            <w:div w:id="301735814">
              <w:marLeft w:val="0"/>
              <w:marRight w:val="0"/>
              <w:marTop w:val="0"/>
              <w:marBottom w:val="0"/>
              <w:divBdr>
                <w:top w:val="none" w:sz="0" w:space="0" w:color="auto"/>
                <w:left w:val="none" w:sz="0" w:space="0" w:color="auto"/>
                <w:bottom w:val="none" w:sz="0" w:space="0" w:color="auto"/>
                <w:right w:val="none" w:sz="0" w:space="0" w:color="auto"/>
              </w:divBdr>
            </w:div>
          </w:divsChild>
        </w:div>
        <w:div w:id="1631521328">
          <w:marLeft w:val="0"/>
          <w:marRight w:val="0"/>
          <w:marTop w:val="0"/>
          <w:marBottom w:val="0"/>
          <w:divBdr>
            <w:top w:val="none" w:sz="0" w:space="0" w:color="auto"/>
            <w:left w:val="none" w:sz="0" w:space="0" w:color="auto"/>
            <w:bottom w:val="none" w:sz="0" w:space="0" w:color="auto"/>
            <w:right w:val="none" w:sz="0" w:space="0" w:color="auto"/>
          </w:divBdr>
          <w:divsChild>
            <w:div w:id="46729983">
              <w:marLeft w:val="0"/>
              <w:marRight w:val="0"/>
              <w:marTop w:val="0"/>
              <w:marBottom w:val="0"/>
              <w:divBdr>
                <w:top w:val="none" w:sz="0" w:space="0" w:color="auto"/>
                <w:left w:val="none" w:sz="0" w:space="0" w:color="auto"/>
                <w:bottom w:val="none" w:sz="0" w:space="0" w:color="auto"/>
                <w:right w:val="none" w:sz="0" w:space="0" w:color="auto"/>
              </w:divBdr>
            </w:div>
            <w:div w:id="819350844">
              <w:marLeft w:val="0"/>
              <w:marRight w:val="0"/>
              <w:marTop w:val="0"/>
              <w:marBottom w:val="0"/>
              <w:divBdr>
                <w:top w:val="none" w:sz="0" w:space="0" w:color="auto"/>
                <w:left w:val="none" w:sz="0" w:space="0" w:color="auto"/>
                <w:bottom w:val="none" w:sz="0" w:space="0" w:color="auto"/>
                <w:right w:val="none" w:sz="0" w:space="0" w:color="auto"/>
              </w:divBdr>
            </w:div>
            <w:div w:id="1057818209">
              <w:marLeft w:val="0"/>
              <w:marRight w:val="0"/>
              <w:marTop w:val="0"/>
              <w:marBottom w:val="0"/>
              <w:divBdr>
                <w:top w:val="none" w:sz="0" w:space="0" w:color="auto"/>
                <w:left w:val="none" w:sz="0" w:space="0" w:color="auto"/>
                <w:bottom w:val="none" w:sz="0" w:space="0" w:color="auto"/>
                <w:right w:val="none" w:sz="0" w:space="0" w:color="auto"/>
              </w:divBdr>
            </w:div>
          </w:divsChild>
        </w:div>
        <w:div w:id="1634631652">
          <w:marLeft w:val="0"/>
          <w:marRight w:val="0"/>
          <w:marTop w:val="0"/>
          <w:marBottom w:val="0"/>
          <w:divBdr>
            <w:top w:val="none" w:sz="0" w:space="0" w:color="auto"/>
            <w:left w:val="none" w:sz="0" w:space="0" w:color="auto"/>
            <w:bottom w:val="none" w:sz="0" w:space="0" w:color="auto"/>
            <w:right w:val="none" w:sz="0" w:space="0" w:color="auto"/>
          </w:divBdr>
          <w:divsChild>
            <w:div w:id="1316958888">
              <w:marLeft w:val="0"/>
              <w:marRight w:val="0"/>
              <w:marTop w:val="0"/>
              <w:marBottom w:val="0"/>
              <w:divBdr>
                <w:top w:val="none" w:sz="0" w:space="0" w:color="auto"/>
                <w:left w:val="none" w:sz="0" w:space="0" w:color="auto"/>
                <w:bottom w:val="none" w:sz="0" w:space="0" w:color="auto"/>
                <w:right w:val="none" w:sz="0" w:space="0" w:color="auto"/>
              </w:divBdr>
            </w:div>
          </w:divsChild>
        </w:div>
        <w:div w:id="1641109231">
          <w:marLeft w:val="0"/>
          <w:marRight w:val="0"/>
          <w:marTop w:val="0"/>
          <w:marBottom w:val="0"/>
          <w:divBdr>
            <w:top w:val="none" w:sz="0" w:space="0" w:color="auto"/>
            <w:left w:val="none" w:sz="0" w:space="0" w:color="auto"/>
            <w:bottom w:val="none" w:sz="0" w:space="0" w:color="auto"/>
            <w:right w:val="none" w:sz="0" w:space="0" w:color="auto"/>
          </w:divBdr>
          <w:divsChild>
            <w:div w:id="1624195930">
              <w:marLeft w:val="0"/>
              <w:marRight w:val="0"/>
              <w:marTop w:val="0"/>
              <w:marBottom w:val="0"/>
              <w:divBdr>
                <w:top w:val="none" w:sz="0" w:space="0" w:color="auto"/>
                <w:left w:val="none" w:sz="0" w:space="0" w:color="auto"/>
                <w:bottom w:val="none" w:sz="0" w:space="0" w:color="auto"/>
                <w:right w:val="none" w:sz="0" w:space="0" w:color="auto"/>
              </w:divBdr>
            </w:div>
          </w:divsChild>
        </w:div>
        <w:div w:id="1643391818">
          <w:marLeft w:val="0"/>
          <w:marRight w:val="0"/>
          <w:marTop w:val="0"/>
          <w:marBottom w:val="0"/>
          <w:divBdr>
            <w:top w:val="none" w:sz="0" w:space="0" w:color="auto"/>
            <w:left w:val="none" w:sz="0" w:space="0" w:color="auto"/>
            <w:bottom w:val="none" w:sz="0" w:space="0" w:color="auto"/>
            <w:right w:val="none" w:sz="0" w:space="0" w:color="auto"/>
          </w:divBdr>
          <w:divsChild>
            <w:div w:id="959385917">
              <w:marLeft w:val="0"/>
              <w:marRight w:val="0"/>
              <w:marTop w:val="0"/>
              <w:marBottom w:val="0"/>
              <w:divBdr>
                <w:top w:val="none" w:sz="0" w:space="0" w:color="auto"/>
                <w:left w:val="none" w:sz="0" w:space="0" w:color="auto"/>
                <w:bottom w:val="none" w:sz="0" w:space="0" w:color="auto"/>
                <w:right w:val="none" w:sz="0" w:space="0" w:color="auto"/>
              </w:divBdr>
            </w:div>
          </w:divsChild>
        </w:div>
        <w:div w:id="1646543671">
          <w:marLeft w:val="0"/>
          <w:marRight w:val="0"/>
          <w:marTop w:val="0"/>
          <w:marBottom w:val="0"/>
          <w:divBdr>
            <w:top w:val="none" w:sz="0" w:space="0" w:color="auto"/>
            <w:left w:val="none" w:sz="0" w:space="0" w:color="auto"/>
            <w:bottom w:val="none" w:sz="0" w:space="0" w:color="auto"/>
            <w:right w:val="none" w:sz="0" w:space="0" w:color="auto"/>
          </w:divBdr>
          <w:divsChild>
            <w:div w:id="119031238">
              <w:marLeft w:val="0"/>
              <w:marRight w:val="0"/>
              <w:marTop w:val="0"/>
              <w:marBottom w:val="0"/>
              <w:divBdr>
                <w:top w:val="none" w:sz="0" w:space="0" w:color="auto"/>
                <w:left w:val="none" w:sz="0" w:space="0" w:color="auto"/>
                <w:bottom w:val="none" w:sz="0" w:space="0" w:color="auto"/>
                <w:right w:val="none" w:sz="0" w:space="0" w:color="auto"/>
              </w:divBdr>
            </w:div>
          </w:divsChild>
        </w:div>
        <w:div w:id="1649481751">
          <w:marLeft w:val="0"/>
          <w:marRight w:val="0"/>
          <w:marTop w:val="0"/>
          <w:marBottom w:val="0"/>
          <w:divBdr>
            <w:top w:val="none" w:sz="0" w:space="0" w:color="auto"/>
            <w:left w:val="none" w:sz="0" w:space="0" w:color="auto"/>
            <w:bottom w:val="none" w:sz="0" w:space="0" w:color="auto"/>
            <w:right w:val="none" w:sz="0" w:space="0" w:color="auto"/>
          </w:divBdr>
          <w:divsChild>
            <w:div w:id="386993132">
              <w:marLeft w:val="0"/>
              <w:marRight w:val="0"/>
              <w:marTop w:val="0"/>
              <w:marBottom w:val="0"/>
              <w:divBdr>
                <w:top w:val="none" w:sz="0" w:space="0" w:color="auto"/>
                <w:left w:val="none" w:sz="0" w:space="0" w:color="auto"/>
                <w:bottom w:val="none" w:sz="0" w:space="0" w:color="auto"/>
                <w:right w:val="none" w:sz="0" w:space="0" w:color="auto"/>
              </w:divBdr>
            </w:div>
            <w:div w:id="1667855255">
              <w:marLeft w:val="0"/>
              <w:marRight w:val="0"/>
              <w:marTop w:val="0"/>
              <w:marBottom w:val="0"/>
              <w:divBdr>
                <w:top w:val="none" w:sz="0" w:space="0" w:color="auto"/>
                <w:left w:val="none" w:sz="0" w:space="0" w:color="auto"/>
                <w:bottom w:val="none" w:sz="0" w:space="0" w:color="auto"/>
                <w:right w:val="none" w:sz="0" w:space="0" w:color="auto"/>
              </w:divBdr>
            </w:div>
          </w:divsChild>
        </w:div>
        <w:div w:id="1650936669">
          <w:marLeft w:val="0"/>
          <w:marRight w:val="0"/>
          <w:marTop w:val="0"/>
          <w:marBottom w:val="0"/>
          <w:divBdr>
            <w:top w:val="none" w:sz="0" w:space="0" w:color="auto"/>
            <w:left w:val="none" w:sz="0" w:space="0" w:color="auto"/>
            <w:bottom w:val="none" w:sz="0" w:space="0" w:color="auto"/>
            <w:right w:val="none" w:sz="0" w:space="0" w:color="auto"/>
          </w:divBdr>
          <w:divsChild>
            <w:div w:id="1493840028">
              <w:marLeft w:val="0"/>
              <w:marRight w:val="0"/>
              <w:marTop w:val="0"/>
              <w:marBottom w:val="0"/>
              <w:divBdr>
                <w:top w:val="none" w:sz="0" w:space="0" w:color="auto"/>
                <w:left w:val="none" w:sz="0" w:space="0" w:color="auto"/>
                <w:bottom w:val="none" w:sz="0" w:space="0" w:color="auto"/>
                <w:right w:val="none" w:sz="0" w:space="0" w:color="auto"/>
              </w:divBdr>
            </w:div>
          </w:divsChild>
        </w:div>
        <w:div w:id="1652052383">
          <w:marLeft w:val="0"/>
          <w:marRight w:val="0"/>
          <w:marTop w:val="0"/>
          <w:marBottom w:val="0"/>
          <w:divBdr>
            <w:top w:val="none" w:sz="0" w:space="0" w:color="auto"/>
            <w:left w:val="none" w:sz="0" w:space="0" w:color="auto"/>
            <w:bottom w:val="none" w:sz="0" w:space="0" w:color="auto"/>
            <w:right w:val="none" w:sz="0" w:space="0" w:color="auto"/>
          </w:divBdr>
          <w:divsChild>
            <w:div w:id="106237535">
              <w:marLeft w:val="0"/>
              <w:marRight w:val="0"/>
              <w:marTop w:val="0"/>
              <w:marBottom w:val="0"/>
              <w:divBdr>
                <w:top w:val="none" w:sz="0" w:space="0" w:color="auto"/>
                <w:left w:val="none" w:sz="0" w:space="0" w:color="auto"/>
                <w:bottom w:val="none" w:sz="0" w:space="0" w:color="auto"/>
                <w:right w:val="none" w:sz="0" w:space="0" w:color="auto"/>
              </w:divBdr>
            </w:div>
            <w:div w:id="476411836">
              <w:marLeft w:val="0"/>
              <w:marRight w:val="0"/>
              <w:marTop w:val="0"/>
              <w:marBottom w:val="0"/>
              <w:divBdr>
                <w:top w:val="none" w:sz="0" w:space="0" w:color="auto"/>
                <w:left w:val="none" w:sz="0" w:space="0" w:color="auto"/>
                <w:bottom w:val="none" w:sz="0" w:space="0" w:color="auto"/>
                <w:right w:val="none" w:sz="0" w:space="0" w:color="auto"/>
              </w:divBdr>
            </w:div>
            <w:div w:id="635768097">
              <w:marLeft w:val="0"/>
              <w:marRight w:val="0"/>
              <w:marTop w:val="0"/>
              <w:marBottom w:val="0"/>
              <w:divBdr>
                <w:top w:val="none" w:sz="0" w:space="0" w:color="auto"/>
                <w:left w:val="none" w:sz="0" w:space="0" w:color="auto"/>
                <w:bottom w:val="none" w:sz="0" w:space="0" w:color="auto"/>
                <w:right w:val="none" w:sz="0" w:space="0" w:color="auto"/>
              </w:divBdr>
            </w:div>
            <w:div w:id="709182185">
              <w:marLeft w:val="0"/>
              <w:marRight w:val="0"/>
              <w:marTop w:val="0"/>
              <w:marBottom w:val="0"/>
              <w:divBdr>
                <w:top w:val="none" w:sz="0" w:space="0" w:color="auto"/>
                <w:left w:val="none" w:sz="0" w:space="0" w:color="auto"/>
                <w:bottom w:val="none" w:sz="0" w:space="0" w:color="auto"/>
                <w:right w:val="none" w:sz="0" w:space="0" w:color="auto"/>
              </w:divBdr>
            </w:div>
            <w:div w:id="764420806">
              <w:marLeft w:val="0"/>
              <w:marRight w:val="0"/>
              <w:marTop w:val="0"/>
              <w:marBottom w:val="0"/>
              <w:divBdr>
                <w:top w:val="none" w:sz="0" w:space="0" w:color="auto"/>
                <w:left w:val="none" w:sz="0" w:space="0" w:color="auto"/>
                <w:bottom w:val="none" w:sz="0" w:space="0" w:color="auto"/>
                <w:right w:val="none" w:sz="0" w:space="0" w:color="auto"/>
              </w:divBdr>
            </w:div>
            <w:div w:id="1607735050">
              <w:marLeft w:val="0"/>
              <w:marRight w:val="0"/>
              <w:marTop w:val="0"/>
              <w:marBottom w:val="0"/>
              <w:divBdr>
                <w:top w:val="none" w:sz="0" w:space="0" w:color="auto"/>
                <w:left w:val="none" w:sz="0" w:space="0" w:color="auto"/>
                <w:bottom w:val="none" w:sz="0" w:space="0" w:color="auto"/>
                <w:right w:val="none" w:sz="0" w:space="0" w:color="auto"/>
              </w:divBdr>
            </w:div>
          </w:divsChild>
        </w:div>
        <w:div w:id="1654291806">
          <w:marLeft w:val="0"/>
          <w:marRight w:val="0"/>
          <w:marTop w:val="0"/>
          <w:marBottom w:val="0"/>
          <w:divBdr>
            <w:top w:val="none" w:sz="0" w:space="0" w:color="auto"/>
            <w:left w:val="none" w:sz="0" w:space="0" w:color="auto"/>
            <w:bottom w:val="none" w:sz="0" w:space="0" w:color="auto"/>
            <w:right w:val="none" w:sz="0" w:space="0" w:color="auto"/>
          </w:divBdr>
          <w:divsChild>
            <w:div w:id="823738664">
              <w:marLeft w:val="0"/>
              <w:marRight w:val="0"/>
              <w:marTop w:val="0"/>
              <w:marBottom w:val="0"/>
              <w:divBdr>
                <w:top w:val="none" w:sz="0" w:space="0" w:color="auto"/>
                <w:left w:val="none" w:sz="0" w:space="0" w:color="auto"/>
                <w:bottom w:val="none" w:sz="0" w:space="0" w:color="auto"/>
                <w:right w:val="none" w:sz="0" w:space="0" w:color="auto"/>
              </w:divBdr>
            </w:div>
            <w:div w:id="829828959">
              <w:marLeft w:val="0"/>
              <w:marRight w:val="0"/>
              <w:marTop w:val="0"/>
              <w:marBottom w:val="0"/>
              <w:divBdr>
                <w:top w:val="none" w:sz="0" w:space="0" w:color="auto"/>
                <w:left w:val="none" w:sz="0" w:space="0" w:color="auto"/>
                <w:bottom w:val="none" w:sz="0" w:space="0" w:color="auto"/>
                <w:right w:val="none" w:sz="0" w:space="0" w:color="auto"/>
              </w:divBdr>
            </w:div>
            <w:div w:id="1543134786">
              <w:marLeft w:val="0"/>
              <w:marRight w:val="0"/>
              <w:marTop w:val="0"/>
              <w:marBottom w:val="0"/>
              <w:divBdr>
                <w:top w:val="none" w:sz="0" w:space="0" w:color="auto"/>
                <w:left w:val="none" w:sz="0" w:space="0" w:color="auto"/>
                <w:bottom w:val="none" w:sz="0" w:space="0" w:color="auto"/>
                <w:right w:val="none" w:sz="0" w:space="0" w:color="auto"/>
              </w:divBdr>
            </w:div>
          </w:divsChild>
        </w:div>
        <w:div w:id="1660618754">
          <w:marLeft w:val="0"/>
          <w:marRight w:val="0"/>
          <w:marTop w:val="0"/>
          <w:marBottom w:val="0"/>
          <w:divBdr>
            <w:top w:val="none" w:sz="0" w:space="0" w:color="auto"/>
            <w:left w:val="none" w:sz="0" w:space="0" w:color="auto"/>
            <w:bottom w:val="none" w:sz="0" w:space="0" w:color="auto"/>
            <w:right w:val="none" w:sz="0" w:space="0" w:color="auto"/>
          </w:divBdr>
          <w:divsChild>
            <w:div w:id="80880451">
              <w:marLeft w:val="0"/>
              <w:marRight w:val="0"/>
              <w:marTop w:val="0"/>
              <w:marBottom w:val="0"/>
              <w:divBdr>
                <w:top w:val="none" w:sz="0" w:space="0" w:color="auto"/>
                <w:left w:val="none" w:sz="0" w:space="0" w:color="auto"/>
                <w:bottom w:val="none" w:sz="0" w:space="0" w:color="auto"/>
                <w:right w:val="none" w:sz="0" w:space="0" w:color="auto"/>
              </w:divBdr>
            </w:div>
          </w:divsChild>
        </w:div>
        <w:div w:id="1661814262">
          <w:marLeft w:val="0"/>
          <w:marRight w:val="0"/>
          <w:marTop w:val="0"/>
          <w:marBottom w:val="0"/>
          <w:divBdr>
            <w:top w:val="none" w:sz="0" w:space="0" w:color="auto"/>
            <w:left w:val="none" w:sz="0" w:space="0" w:color="auto"/>
            <w:bottom w:val="none" w:sz="0" w:space="0" w:color="auto"/>
            <w:right w:val="none" w:sz="0" w:space="0" w:color="auto"/>
          </w:divBdr>
          <w:divsChild>
            <w:div w:id="1215191135">
              <w:marLeft w:val="0"/>
              <w:marRight w:val="0"/>
              <w:marTop w:val="0"/>
              <w:marBottom w:val="0"/>
              <w:divBdr>
                <w:top w:val="none" w:sz="0" w:space="0" w:color="auto"/>
                <w:left w:val="none" w:sz="0" w:space="0" w:color="auto"/>
                <w:bottom w:val="none" w:sz="0" w:space="0" w:color="auto"/>
                <w:right w:val="none" w:sz="0" w:space="0" w:color="auto"/>
              </w:divBdr>
            </w:div>
          </w:divsChild>
        </w:div>
        <w:div w:id="1662004589">
          <w:marLeft w:val="0"/>
          <w:marRight w:val="0"/>
          <w:marTop w:val="0"/>
          <w:marBottom w:val="0"/>
          <w:divBdr>
            <w:top w:val="none" w:sz="0" w:space="0" w:color="auto"/>
            <w:left w:val="none" w:sz="0" w:space="0" w:color="auto"/>
            <w:bottom w:val="none" w:sz="0" w:space="0" w:color="auto"/>
            <w:right w:val="none" w:sz="0" w:space="0" w:color="auto"/>
          </w:divBdr>
          <w:divsChild>
            <w:div w:id="1155730422">
              <w:marLeft w:val="0"/>
              <w:marRight w:val="0"/>
              <w:marTop w:val="0"/>
              <w:marBottom w:val="0"/>
              <w:divBdr>
                <w:top w:val="none" w:sz="0" w:space="0" w:color="auto"/>
                <w:left w:val="none" w:sz="0" w:space="0" w:color="auto"/>
                <w:bottom w:val="none" w:sz="0" w:space="0" w:color="auto"/>
                <w:right w:val="none" w:sz="0" w:space="0" w:color="auto"/>
              </w:divBdr>
            </w:div>
          </w:divsChild>
        </w:div>
        <w:div w:id="1667201445">
          <w:marLeft w:val="0"/>
          <w:marRight w:val="0"/>
          <w:marTop w:val="0"/>
          <w:marBottom w:val="0"/>
          <w:divBdr>
            <w:top w:val="none" w:sz="0" w:space="0" w:color="auto"/>
            <w:left w:val="none" w:sz="0" w:space="0" w:color="auto"/>
            <w:bottom w:val="none" w:sz="0" w:space="0" w:color="auto"/>
            <w:right w:val="none" w:sz="0" w:space="0" w:color="auto"/>
          </w:divBdr>
          <w:divsChild>
            <w:div w:id="395474951">
              <w:marLeft w:val="0"/>
              <w:marRight w:val="0"/>
              <w:marTop w:val="0"/>
              <w:marBottom w:val="0"/>
              <w:divBdr>
                <w:top w:val="none" w:sz="0" w:space="0" w:color="auto"/>
                <w:left w:val="none" w:sz="0" w:space="0" w:color="auto"/>
                <w:bottom w:val="none" w:sz="0" w:space="0" w:color="auto"/>
                <w:right w:val="none" w:sz="0" w:space="0" w:color="auto"/>
              </w:divBdr>
            </w:div>
            <w:div w:id="598105090">
              <w:marLeft w:val="0"/>
              <w:marRight w:val="0"/>
              <w:marTop w:val="0"/>
              <w:marBottom w:val="0"/>
              <w:divBdr>
                <w:top w:val="none" w:sz="0" w:space="0" w:color="auto"/>
                <w:left w:val="none" w:sz="0" w:space="0" w:color="auto"/>
                <w:bottom w:val="none" w:sz="0" w:space="0" w:color="auto"/>
                <w:right w:val="none" w:sz="0" w:space="0" w:color="auto"/>
              </w:divBdr>
            </w:div>
            <w:div w:id="1540775256">
              <w:marLeft w:val="0"/>
              <w:marRight w:val="0"/>
              <w:marTop w:val="0"/>
              <w:marBottom w:val="0"/>
              <w:divBdr>
                <w:top w:val="none" w:sz="0" w:space="0" w:color="auto"/>
                <w:left w:val="none" w:sz="0" w:space="0" w:color="auto"/>
                <w:bottom w:val="none" w:sz="0" w:space="0" w:color="auto"/>
                <w:right w:val="none" w:sz="0" w:space="0" w:color="auto"/>
              </w:divBdr>
            </w:div>
          </w:divsChild>
        </w:div>
        <w:div w:id="1676565718">
          <w:marLeft w:val="0"/>
          <w:marRight w:val="0"/>
          <w:marTop w:val="0"/>
          <w:marBottom w:val="0"/>
          <w:divBdr>
            <w:top w:val="none" w:sz="0" w:space="0" w:color="auto"/>
            <w:left w:val="none" w:sz="0" w:space="0" w:color="auto"/>
            <w:bottom w:val="none" w:sz="0" w:space="0" w:color="auto"/>
            <w:right w:val="none" w:sz="0" w:space="0" w:color="auto"/>
          </w:divBdr>
          <w:divsChild>
            <w:div w:id="548493951">
              <w:marLeft w:val="0"/>
              <w:marRight w:val="0"/>
              <w:marTop w:val="0"/>
              <w:marBottom w:val="0"/>
              <w:divBdr>
                <w:top w:val="none" w:sz="0" w:space="0" w:color="auto"/>
                <w:left w:val="none" w:sz="0" w:space="0" w:color="auto"/>
                <w:bottom w:val="none" w:sz="0" w:space="0" w:color="auto"/>
                <w:right w:val="none" w:sz="0" w:space="0" w:color="auto"/>
              </w:divBdr>
            </w:div>
          </w:divsChild>
        </w:div>
        <w:div w:id="1692947456">
          <w:marLeft w:val="0"/>
          <w:marRight w:val="0"/>
          <w:marTop w:val="0"/>
          <w:marBottom w:val="0"/>
          <w:divBdr>
            <w:top w:val="none" w:sz="0" w:space="0" w:color="auto"/>
            <w:left w:val="none" w:sz="0" w:space="0" w:color="auto"/>
            <w:bottom w:val="none" w:sz="0" w:space="0" w:color="auto"/>
            <w:right w:val="none" w:sz="0" w:space="0" w:color="auto"/>
          </w:divBdr>
          <w:divsChild>
            <w:div w:id="1996296783">
              <w:marLeft w:val="0"/>
              <w:marRight w:val="0"/>
              <w:marTop w:val="0"/>
              <w:marBottom w:val="0"/>
              <w:divBdr>
                <w:top w:val="none" w:sz="0" w:space="0" w:color="auto"/>
                <w:left w:val="none" w:sz="0" w:space="0" w:color="auto"/>
                <w:bottom w:val="none" w:sz="0" w:space="0" w:color="auto"/>
                <w:right w:val="none" w:sz="0" w:space="0" w:color="auto"/>
              </w:divBdr>
            </w:div>
          </w:divsChild>
        </w:div>
        <w:div w:id="1694190717">
          <w:marLeft w:val="0"/>
          <w:marRight w:val="0"/>
          <w:marTop w:val="0"/>
          <w:marBottom w:val="0"/>
          <w:divBdr>
            <w:top w:val="none" w:sz="0" w:space="0" w:color="auto"/>
            <w:left w:val="none" w:sz="0" w:space="0" w:color="auto"/>
            <w:bottom w:val="none" w:sz="0" w:space="0" w:color="auto"/>
            <w:right w:val="none" w:sz="0" w:space="0" w:color="auto"/>
          </w:divBdr>
          <w:divsChild>
            <w:div w:id="1034618109">
              <w:marLeft w:val="0"/>
              <w:marRight w:val="0"/>
              <w:marTop w:val="0"/>
              <w:marBottom w:val="0"/>
              <w:divBdr>
                <w:top w:val="none" w:sz="0" w:space="0" w:color="auto"/>
                <w:left w:val="none" w:sz="0" w:space="0" w:color="auto"/>
                <w:bottom w:val="none" w:sz="0" w:space="0" w:color="auto"/>
                <w:right w:val="none" w:sz="0" w:space="0" w:color="auto"/>
              </w:divBdr>
            </w:div>
          </w:divsChild>
        </w:div>
        <w:div w:id="1695308108">
          <w:marLeft w:val="0"/>
          <w:marRight w:val="0"/>
          <w:marTop w:val="0"/>
          <w:marBottom w:val="0"/>
          <w:divBdr>
            <w:top w:val="none" w:sz="0" w:space="0" w:color="auto"/>
            <w:left w:val="none" w:sz="0" w:space="0" w:color="auto"/>
            <w:bottom w:val="none" w:sz="0" w:space="0" w:color="auto"/>
            <w:right w:val="none" w:sz="0" w:space="0" w:color="auto"/>
          </w:divBdr>
          <w:divsChild>
            <w:div w:id="196627389">
              <w:marLeft w:val="0"/>
              <w:marRight w:val="0"/>
              <w:marTop w:val="0"/>
              <w:marBottom w:val="0"/>
              <w:divBdr>
                <w:top w:val="none" w:sz="0" w:space="0" w:color="auto"/>
                <w:left w:val="none" w:sz="0" w:space="0" w:color="auto"/>
                <w:bottom w:val="none" w:sz="0" w:space="0" w:color="auto"/>
                <w:right w:val="none" w:sz="0" w:space="0" w:color="auto"/>
              </w:divBdr>
            </w:div>
            <w:div w:id="845510403">
              <w:marLeft w:val="0"/>
              <w:marRight w:val="0"/>
              <w:marTop w:val="0"/>
              <w:marBottom w:val="0"/>
              <w:divBdr>
                <w:top w:val="none" w:sz="0" w:space="0" w:color="auto"/>
                <w:left w:val="none" w:sz="0" w:space="0" w:color="auto"/>
                <w:bottom w:val="none" w:sz="0" w:space="0" w:color="auto"/>
                <w:right w:val="none" w:sz="0" w:space="0" w:color="auto"/>
              </w:divBdr>
            </w:div>
          </w:divsChild>
        </w:div>
        <w:div w:id="1705518650">
          <w:marLeft w:val="0"/>
          <w:marRight w:val="0"/>
          <w:marTop w:val="0"/>
          <w:marBottom w:val="0"/>
          <w:divBdr>
            <w:top w:val="none" w:sz="0" w:space="0" w:color="auto"/>
            <w:left w:val="none" w:sz="0" w:space="0" w:color="auto"/>
            <w:bottom w:val="none" w:sz="0" w:space="0" w:color="auto"/>
            <w:right w:val="none" w:sz="0" w:space="0" w:color="auto"/>
          </w:divBdr>
          <w:divsChild>
            <w:div w:id="693074908">
              <w:marLeft w:val="0"/>
              <w:marRight w:val="0"/>
              <w:marTop w:val="0"/>
              <w:marBottom w:val="0"/>
              <w:divBdr>
                <w:top w:val="none" w:sz="0" w:space="0" w:color="auto"/>
                <w:left w:val="none" w:sz="0" w:space="0" w:color="auto"/>
                <w:bottom w:val="none" w:sz="0" w:space="0" w:color="auto"/>
                <w:right w:val="none" w:sz="0" w:space="0" w:color="auto"/>
              </w:divBdr>
            </w:div>
          </w:divsChild>
        </w:div>
        <w:div w:id="1707292356">
          <w:marLeft w:val="0"/>
          <w:marRight w:val="0"/>
          <w:marTop w:val="0"/>
          <w:marBottom w:val="0"/>
          <w:divBdr>
            <w:top w:val="none" w:sz="0" w:space="0" w:color="auto"/>
            <w:left w:val="none" w:sz="0" w:space="0" w:color="auto"/>
            <w:bottom w:val="none" w:sz="0" w:space="0" w:color="auto"/>
            <w:right w:val="none" w:sz="0" w:space="0" w:color="auto"/>
          </w:divBdr>
          <w:divsChild>
            <w:div w:id="2029596021">
              <w:marLeft w:val="0"/>
              <w:marRight w:val="0"/>
              <w:marTop w:val="0"/>
              <w:marBottom w:val="0"/>
              <w:divBdr>
                <w:top w:val="none" w:sz="0" w:space="0" w:color="auto"/>
                <w:left w:val="none" w:sz="0" w:space="0" w:color="auto"/>
                <w:bottom w:val="none" w:sz="0" w:space="0" w:color="auto"/>
                <w:right w:val="none" w:sz="0" w:space="0" w:color="auto"/>
              </w:divBdr>
            </w:div>
          </w:divsChild>
        </w:div>
        <w:div w:id="1707945674">
          <w:marLeft w:val="0"/>
          <w:marRight w:val="0"/>
          <w:marTop w:val="0"/>
          <w:marBottom w:val="0"/>
          <w:divBdr>
            <w:top w:val="none" w:sz="0" w:space="0" w:color="auto"/>
            <w:left w:val="none" w:sz="0" w:space="0" w:color="auto"/>
            <w:bottom w:val="none" w:sz="0" w:space="0" w:color="auto"/>
            <w:right w:val="none" w:sz="0" w:space="0" w:color="auto"/>
          </w:divBdr>
          <w:divsChild>
            <w:div w:id="735663710">
              <w:marLeft w:val="0"/>
              <w:marRight w:val="0"/>
              <w:marTop w:val="0"/>
              <w:marBottom w:val="0"/>
              <w:divBdr>
                <w:top w:val="none" w:sz="0" w:space="0" w:color="auto"/>
                <w:left w:val="none" w:sz="0" w:space="0" w:color="auto"/>
                <w:bottom w:val="none" w:sz="0" w:space="0" w:color="auto"/>
                <w:right w:val="none" w:sz="0" w:space="0" w:color="auto"/>
              </w:divBdr>
            </w:div>
          </w:divsChild>
        </w:div>
        <w:div w:id="1709716895">
          <w:marLeft w:val="0"/>
          <w:marRight w:val="0"/>
          <w:marTop w:val="0"/>
          <w:marBottom w:val="0"/>
          <w:divBdr>
            <w:top w:val="none" w:sz="0" w:space="0" w:color="auto"/>
            <w:left w:val="none" w:sz="0" w:space="0" w:color="auto"/>
            <w:bottom w:val="none" w:sz="0" w:space="0" w:color="auto"/>
            <w:right w:val="none" w:sz="0" w:space="0" w:color="auto"/>
          </w:divBdr>
          <w:divsChild>
            <w:div w:id="1939485005">
              <w:marLeft w:val="0"/>
              <w:marRight w:val="0"/>
              <w:marTop w:val="0"/>
              <w:marBottom w:val="0"/>
              <w:divBdr>
                <w:top w:val="none" w:sz="0" w:space="0" w:color="auto"/>
                <w:left w:val="none" w:sz="0" w:space="0" w:color="auto"/>
                <w:bottom w:val="none" w:sz="0" w:space="0" w:color="auto"/>
                <w:right w:val="none" w:sz="0" w:space="0" w:color="auto"/>
              </w:divBdr>
            </w:div>
          </w:divsChild>
        </w:div>
        <w:div w:id="1715351164">
          <w:marLeft w:val="0"/>
          <w:marRight w:val="0"/>
          <w:marTop w:val="0"/>
          <w:marBottom w:val="0"/>
          <w:divBdr>
            <w:top w:val="none" w:sz="0" w:space="0" w:color="auto"/>
            <w:left w:val="none" w:sz="0" w:space="0" w:color="auto"/>
            <w:bottom w:val="none" w:sz="0" w:space="0" w:color="auto"/>
            <w:right w:val="none" w:sz="0" w:space="0" w:color="auto"/>
          </w:divBdr>
          <w:divsChild>
            <w:div w:id="690297523">
              <w:marLeft w:val="0"/>
              <w:marRight w:val="0"/>
              <w:marTop w:val="0"/>
              <w:marBottom w:val="0"/>
              <w:divBdr>
                <w:top w:val="none" w:sz="0" w:space="0" w:color="auto"/>
                <w:left w:val="none" w:sz="0" w:space="0" w:color="auto"/>
                <w:bottom w:val="none" w:sz="0" w:space="0" w:color="auto"/>
                <w:right w:val="none" w:sz="0" w:space="0" w:color="auto"/>
              </w:divBdr>
            </w:div>
          </w:divsChild>
        </w:div>
        <w:div w:id="1716537486">
          <w:marLeft w:val="0"/>
          <w:marRight w:val="0"/>
          <w:marTop w:val="0"/>
          <w:marBottom w:val="0"/>
          <w:divBdr>
            <w:top w:val="none" w:sz="0" w:space="0" w:color="auto"/>
            <w:left w:val="none" w:sz="0" w:space="0" w:color="auto"/>
            <w:bottom w:val="none" w:sz="0" w:space="0" w:color="auto"/>
            <w:right w:val="none" w:sz="0" w:space="0" w:color="auto"/>
          </w:divBdr>
          <w:divsChild>
            <w:div w:id="382757441">
              <w:marLeft w:val="0"/>
              <w:marRight w:val="0"/>
              <w:marTop w:val="0"/>
              <w:marBottom w:val="0"/>
              <w:divBdr>
                <w:top w:val="none" w:sz="0" w:space="0" w:color="auto"/>
                <w:left w:val="none" w:sz="0" w:space="0" w:color="auto"/>
                <w:bottom w:val="none" w:sz="0" w:space="0" w:color="auto"/>
                <w:right w:val="none" w:sz="0" w:space="0" w:color="auto"/>
              </w:divBdr>
            </w:div>
          </w:divsChild>
        </w:div>
        <w:div w:id="1723014241">
          <w:marLeft w:val="0"/>
          <w:marRight w:val="0"/>
          <w:marTop w:val="0"/>
          <w:marBottom w:val="0"/>
          <w:divBdr>
            <w:top w:val="none" w:sz="0" w:space="0" w:color="auto"/>
            <w:left w:val="none" w:sz="0" w:space="0" w:color="auto"/>
            <w:bottom w:val="none" w:sz="0" w:space="0" w:color="auto"/>
            <w:right w:val="none" w:sz="0" w:space="0" w:color="auto"/>
          </w:divBdr>
          <w:divsChild>
            <w:div w:id="1618640687">
              <w:marLeft w:val="0"/>
              <w:marRight w:val="0"/>
              <w:marTop w:val="0"/>
              <w:marBottom w:val="0"/>
              <w:divBdr>
                <w:top w:val="none" w:sz="0" w:space="0" w:color="auto"/>
                <w:left w:val="none" w:sz="0" w:space="0" w:color="auto"/>
                <w:bottom w:val="none" w:sz="0" w:space="0" w:color="auto"/>
                <w:right w:val="none" w:sz="0" w:space="0" w:color="auto"/>
              </w:divBdr>
            </w:div>
          </w:divsChild>
        </w:div>
        <w:div w:id="1723485410">
          <w:marLeft w:val="0"/>
          <w:marRight w:val="0"/>
          <w:marTop w:val="0"/>
          <w:marBottom w:val="0"/>
          <w:divBdr>
            <w:top w:val="none" w:sz="0" w:space="0" w:color="auto"/>
            <w:left w:val="none" w:sz="0" w:space="0" w:color="auto"/>
            <w:bottom w:val="none" w:sz="0" w:space="0" w:color="auto"/>
            <w:right w:val="none" w:sz="0" w:space="0" w:color="auto"/>
          </w:divBdr>
          <w:divsChild>
            <w:div w:id="1646546358">
              <w:marLeft w:val="0"/>
              <w:marRight w:val="0"/>
              <w:marTop w:val="0"/>
              <w:marBottom w:val="0"/>
              <w:divBdr>
                <w:top w:val="none" w:sz="0" w:space="0" w:color="auto"/>
                <w:left w:val="none" w:sz="0" w:space="0" w:color="auto"/>
                <w:bottom w:val="none" w:sz="0" w:space="0" w:color="auto"/>
                <w:right w:val="none" w:sz="0" w:space="0" w:color="auto"/>
              </w:divBdr>
            </w:div>
          </w:divsChild>
        </w:div>
        <w:div w:id="1723870412">
          <w:marLeft w:val="0"/>
          <w:marRight w:val="0"/>
          <w:marTop w:val="0"/>
          <w:marBottom w:val="0"/>
          <w:divBdr>
            <w:top w:val="none" w:sz="0" w:space="0" w:color="auto"/>
            <w:left w:val="none" w:sz="0" w:space="0" w:color="auto"/>
            <w:bottom w:val="none" w:sz="0" w:space="0" w:color="auto"/>
            <w:right w:val="none" w:sz="0" w:space="0" w:color="auto"/>
          </w:divBdr>
          <w:divsChild>
            <w:div w:id="322781724">
              <w:marLeft w:val="0"/>
              <w:marRight w:val="0"/>
              <w:marTop w:val="0"/>
              <w:marBottom w:val="0"/>
              <w:divBdr>
                <w:top w:val="none" w:sz="0" w:space="0" w:color="auto"/>
                <w:left w:val="none" w:sz="0" w:space="0" w:color="auto"/>
                <w:bottom w:val="none" w:sz="0" w:space="0" w:color="auto"/>
                <w:right w:val="none" w:sz="0" w:space="0" w:color="auto"/>
              </w:divBdr>
            </w:div>
            <w:div w:id="1121798996">
              <w:marLeft w:val="0"/>
              <w:marRight w:val="0"/>
              <w:marTop w:val="0"/>
              <w:marBottom w:val="0"/>
              <w:divBdr>
                <w:top w:val="none" w:sz="0" w:space="0" w:color="auto"/>
                <w:left w:val="none" w:sz="0" w:space="0" w:color="auto"/>
                <w:bottom w:val="none" w:sz="0" w:space="0" w:color="auto"/>
                <w:right w:val="none" w:sz="0" w:space="0" w:color="auto"/>
              </w:divBdr>
            </w:div>
          </w:divsChild>
        </w:div>
        <w:div w:id="1725787560">
          <w:marLeft w:val="0"/>
          <w:marRight w:val="0"/>
          <w:marTop w:val="0"/>
          <w:marBottom w:val="0"/>
          <w:divBdr>
            <w:top w:val="none" w:sz="0" w:space="0" w:color="auto"/>
            <w:left w:val="none" w:sz="0" w:space="0" w:color="auto"/>
            <w:bottom w:val="none" w:sz="0" w:space="0" w:color="auto"/>
            <w:right w:val="none" w:sz="0" w:space="0" w:color="auto"/>
          </w:divBdr>
          <w:divsChild>
            <w:div w:id="534736950">
              <w:marLeft w:val="0"/>
              <w:marRight w:val="0"/>
              <w:marTop w:val="0"/>
              <w:marBottom w:val="0"/>
              <w:divBdr>
                <w:top w:val="none" w:sz="0" w:space="0" w:color="auto"/>
                <w:left w:val="none" w:sz="0" w:space="0" w:color="auto"/>
                <w:bottom w:val="none" w:sz="0" w:space="0" w:color="auto"/>
                <w:right w:val="none" w:sz="0" w:space="0" w:color="auto"/>
              </w:divBdr>
            </w:div>
          </w:divsChild>
        </w:div>
        <w:div w:id="1726026557">
          <w:marLeft w:val="0"/>
          <w:marRight w:val="0"/>
          <w:marTop w:val="0"/>
          <w:marBottom w:val="0"/>
          <w:divBdr>
            <w:top w:val="none" w:sz="0" w:space="0" w:color="auto"/>
            <w:left w:val="none" w:sz="0" w:space="0" w:color="auto"/>
            <w:bottom w:val="none" w:sz="0" w:space="0" w:color="auto"/>
            <w:right w:val="none" w:sz="0" w:space="0" w:color="auto"/>
          </w:divBdr>
          <w:divsChild>
            <w:div w:id="2013798028">
              <w:marLeft w:val="0"/>
              <w:marRight w:val="0"/>
              <w:marTop w:val="0"/>
              <w:marBottom w:val="0"/>
              <w:divBdr>
                <w:top w:val="none" w:sz="0" w:space="0" w:color="auto"/>
                <w:left w:val="none" w:sz="0" w:space="0" w:color="auto"/>
                <w:bottom w:val="none" w:sz="0" w:space="0" w:color="auto"/>
                <w:right w:val="none" w:sz="0" w:space="0" w:color="auto"/>
              </w:divBdr>
            </w:div>
          </w:divsChild>
        </w:div>
        <w:div w:id="1733307737">
          <w:marLeft w:val="0"/>
          <w:marRight w:val="0"/>
          <w:marTop w:val="0"/>
          <w:marBottom w:val="0"/>
          <w:divBdr>
            <w:top w:val="none" w:sz="0" w:space="0" w:color="auto"/>
            <w:left w:val="none" w:sz="0" w:space="0" w:color="auto"/>
            <w:bottom w:val="none" w:sz="0" w:space="0" w:color="auto"/>
            <w:right w:val="none" w:sz="0" w:space="0" w:color="auto"/>
          </w:divBdr>
          <w:divsChild>
            <w:div w:id="1569459964">
              <w:marLeft w:val="0"/>
              <w:marRight w:val="0"/>
              <w:marTop w:val="0"/>
              <w:marBottom w:val="0"/>
              <w:divBdr>
                <w:top w:val="none" w:sz="0" w:space="0" w:color="auto"/>
                <w:left w:val="none" w:sz="0" w:space="0" w:color="auto"/>
                <w:bottom w:val="none" w:sz="0" w:space="0" w:color="auto"/>
                <w:right w:val="none" w:sz="0" w:space="0" w:color="auto"/>
              </w:divBdr>
            </w:div>
          </w:divsChild>
        </w:div>
        <w:div w:id="1735158208">
          <w:marLeft w:val="0"/>
          <w:marRight w:val="0"/>
          <w:marTop w:val="0"/>
          <w:marBottom w:val="0"/>
          <w:divBdr>
            <w:top w:val="none" w:sz="0" w:space="0" w:color="auto"/>
            <w:left w:val="none" w:sz="0" w:space="0" w:color="auto"/>
            <w:bottom w:val="none" w:sz="0" w:space="0" w:color="auto"/>
            <w:right w:val="none" w:sz="0" w:space="0" w:color="auto"/>
          </w:divBdr>
          <w:divsChild>
            <w:div w:id="1419904797">
              <w:marLeft w:val="0"/>
              <w:marRight w:val="0"/>
              <w:marTop w:val="0"/>
              <w:marBottom w:val="0"/>
              <w:divBdr>
                <w:top w:val="none" w:sz="0" w:space="0" w:color="auto"/>
                <w:left w:val="none" w:sz="0" w:space="0" w:color="auto"/>
                <w:bottom w:val="none" w:sz="0" w:space="0" w:color="auto"/>
                <w:right w:val="none" w:sz="0" w:space="0" w:color="auto"/>
              </w:divBdr>
            </w:div>
          </w:divsChild>
        </w:div>
        <w:div w:id="1741556565">
          <w:marLeft w:val="0"/>
          <w:marRight w:val="0"/>
          <w:marTop w:val="0"/>
          <w:marBottom w:val="0"/>
          <w:divBdr>
            <w:top w:val="none" w:sz="0" w:space="0" w:color="auto"/>
            <w:left w:val="none" w:sz="0" w:space="0" w:color="auto"/>
            <w:bottom w:val="none" w:sz="0" w:space="0" w:color="auto"/>
            <w:right w:val="none" w:sz="0" w:space="0" w:color="auto"/>
          </w:divBdr>
          <w:divsChild>
            <w:div w:id="825710931">
              <w:marLeft w:val="0"/>
              <w:marRight w:val="0"/>
              <w:marTop w:val="0"/>
              <w:marBottom w:val="0"/>
              <w:divBdr>
                <w:top w:val="none" w:sz="0" w:space="0" w:color="auto"/>
                <w:left w:val="none" w:sz="0" w:space="0" w:color="auto"/>
                <w:bottom w:val="none" w:sz="0" w:space="0" w:color="auto"/>
                <w:right w:val="none" w:sz="0" w:space="0" w:color="auto"/>
              </w:divBdr>
            </w:div>
            <w:div w:id="1202325814">
              <w:marLeft w:val="0"/>
              <w:marRight w:val="0"/>
              <w:marTop w:val="0"/>
              <w:marBottom w:val="0"/>
              <w:divBdr>
                <w:top w:val="none" w:sz="0" w:space="0" w:color="auto"/>
                <w:left w:val="none" w:sz="0" w:space="0" w:color="auto"/>
                <w:bottom w:val="none" w:sz="0" w:space="0" w:color="auto"/>
                <w:right w:val="none" w:sz="0" w:space="0" w:color="auto"/>
              </w:divBdr>
            </w:div>
            <w:div w:id="1318918254">
              <w:marLeft w:val="0"/>
              <w:marRight w:val="0"/>
              <w:marTop w:val="0"/>
              <w:marBottom w:val="0"/>
              <w:divBdr>
                <w:top w:val="none" w:sz="0" w:space="0" w:color="auto"/>
                <w:left w:val="none" w:sz="0" w:space="0" w:color="auto"/>
                <w:bottom w:val="none" w:sz="0" w:space="0" w:color="auto"/>
                <w:right w:val="none" w:sz="0" w:space="0" w:color="auto"/>
              </w:divBdr>
            </w:div>
            <w:div w:id="1580168139">
              <w:marLeft w:val="0"/>
              <w:marRight w:val="0"/>
              <w:marTop w:val="0"/>
              <w:marBottom w:val="0"/>
              <w:divBdr>
                <w:top w:val="none" w:sz="0" w:space="0" w:color="auto"/>
                <w:left w:val="none" w:sz="0" w:space="0" w:color="auto"/>
                <w:bottom w:val="none" w:sz="0" w:space="0" w:color="auto"/>
                <w:right w:val="none" w:sz="0" w:space="0" w:color="auto"/>
              </w:divBdr>
            </w:div>
            <w:div w:id="1734886950">
              <w:marLeft w:val="0"/>
              <w:marRight w:val="0"/>
              <w:marTop w:val="0"/>
              <w:marBottom w:val="0"/>
              <w:divBdr>
                <w:top w:val="none" w:sz="0" w:space="0" w:color="auto"/>
                <w:left w:val="none" w:sz="0" w:space="0" w:color="auto"/>
                <w:bottom w:val="none" w:sz="0" w:space="0" w:color="auto"/>
                <w:right w:val="none" w:sz="0" w:space="0" w:color="auto"/>
              </w:divBdr>
            </w:div>
          </w:divsChild>
        </w:div>
        <w:div w:id="1745104469">
          <w:marLeft w:val="0"/>
          <w:marRight w:val="0"/>
          <w:marTop w:val="0"/>
          <w:marBottom w:val="0"/>
          <w:divBdr>
            <w:top w:val="none" w:sz="0" w:space="0" w:color="auto"/>
            <w:left w:val="none" w:sz="0" w:space="0" w:color="auto"/>
            <w:bottom w:val="none" w:sz="0" w:space="0" w:color="auto"/>
            <w:right w:val="none" w:sz="0" w:space="0" w:color="auto"/>
          </w:divBdr>
          <w:divsChild>
            <w:div w:id="90861668">
              <w:marLeft w:val="0"/>
              <w:marRight w:val="0"/>
              <w:marTop w:val="0"/>
              <w:marBottom w:val="0"/>
              <w:divBdr>
                <w:top w:val="none" w:sz="0" w:space="0" w:color="auto"/>
                <w:left w:val="none" w:sz="0" w:space="0" w:color="auto"/>
                <w:bottom w:val="none" w:sz="0" w:space="0" w:color="auto"/>
                <w:right w:val="none" w:sz="0" w:space="0" w:color="auto"/>
              </w:divBdr>
            </w:div>
          </w:divsChild>
        </w:div>
        <w:div w:id="1745370864">
          <w:marLeft w:val="0"/>
          <w:marRight w:val="0"/>
          <w:marTop w:val="0"/>
          <w:marBottom w:val="0"/>
          <w:divBdr>
            <w:top w:val="none" w:sz="0" w:space="0" w:color="auto"/>
            <w:left w:val="none" w:sz="0" w:space="0" w:color="auto"/>
            <w:bottom w:val="none" w:sz="0" w:space="0" w:color="auto"/>
            <w:right w:val="none" w:sz="0" w:space="0" w:color="auto"/>
          </w:divBdr>
          <w:divsChild>
            <w:div w:id="690451380">
              <w:marLeft w:val="0"/>
              <w:marRight w:val="0"/>
              <w:marTop w:val="0"/>
              <w:marBottom w:val="0"/>
              <w:divBdr>
                <w:top w:val="none" w:sz="0" w:space="0" w:color="auto"/>
                <w:left w:val="none" w:sz="0" w:space="0" w:color="auto"/>
                <w:bottom w:val="none" w:sz="0" w:space="0" w:color="auto"/>
                <w:right w:val="none" w:sz="0" w:space="0" w:color="auto"/>
              </w:divBdr>
            </w:div>
          </w:divsChild>
        </w:div>
        <w:div w:id="1751543499">
          <w:marLeft w:val="0"/>
          <w:marRight w:val="0"/>
          <w:marTop w:val="0"/>
          <w:marBottom w:val="0"/>
          <w:divBdr>
            <w:top w:val="none" w:sz="0" w:space="0" w:color="auto"/>
            <w:left w:val="none" w:sz="0" w:space="0" w:color="auto"/>
            <w:bottom w:val="none" w:sz="0" w:space="0" w:color="auto"/>
            <w:right w:val="none" w:sz="0" w:space="0" w:color="auto"/>
          </w:divBdr>
          <w:divsChild>
            <w:div w:id="407310242">
              <w:marLeft w:val="0"/>
              <w:marRight w:val="0"/>
              <w:marTop w:val="0"/>
              <w:marBottom w:val="0"/>
              <w:divBdr>
                <w:top w:val="none" w:sz="0" w:space="0" w:color="auto"/>
                <w:left w:val="none" w:sz="0" w:space="0" w:color="auto"/>
                <w:bottom w:val="none" w:sz="0" w:space="0" w:color="auto"/>
                <w:right w:val="none" w:sz="0" w:space="0" w:color="auto"/>
              </w:divBdr>
            </w:div>
            <w:div w:id="418258960">
              <w:marLeft w:val="0"/>
              <w:marRight w:val="0"/>
              <w:marTop w:val="0"/>
              <w:marBottom w:val="0"/>
              <w:divBdr>
                <w:top w:val="none" w:sz="0" w:space="0" w:color="auto"/>
                <w:left w:val="none" w:sz="0" w:space="0" w:color="auto"/>
                <w:bottom w:val="none" w:sz="0" w:space="0" w:color="auto"/>
                <w:right w:val="none" w:sz="0" w:space="0" w:color="auto"/>
              </w:divBdr>
            </w:div>
            <w:div w:id="694966152">
              <w:marLeft w:val="0"/>
              <w:marRight w:val="0"/>
              <w:marTop w:val="0"/>
              <w:marBottom w:val="0"/>
              <w:divBdr>
                <w:top w:val="none" w:sz="0" w:space="0" w:color="auto"/>
                <w:left w:val="none" w:sz="0" w:space="0" w:color="auto"/>
                <w:bottom w:val="none" w:sz="0" w:space="0" w:color="auto"/>
                <w:right w:val="none" w:sz="0" w:space="0" w:color="auto"/>
              </w:divBdr>
            </w:div>
            <w:div w:id="1207908992">
              <w:marLeft w:val="0"/>
              <w:marRight w:val="0"/>
              <w:marTop w:val="0"/>
              <w:marBottom w:val="0"/>
              <w:divBdr>
                <w:top w:val="none" w:sz="0" w:space="0" w:color="auto"/>
                <w:left w:val="none" w:sz="0" w:space="0" w:color="auto"/>
                <w:bottom w:val="none" w:sz="0" w:space="0" w:color="auto"/>
                <w:right w:val="none" w:sz="0" w:space="0" w:color="auto"/>
              </w:divBdr>
            </w:div>
          </w:divsChild>
        </w:div>
        <w:div w:id="1753967512">
          <w:marLeft w:val="0"/>
          <w:marRight w:val="0"/>
          <w:marTop w:val="0"/>
          <w:marBottom w:val="0"/>
          <w:divBdr>
            <w:top w:val="none" w:sz="0" w:space="0" w:color="auto"/>
            <w:left w:val="none" w:sz="0" w:space="0" w:color="auto"/>
            <w:bottom w:val="none" w:sz="0" w:space="0" w:color="auto"/>
            <w:right w:val="none" w:sz="0" w:space="0" w:color="auto"/>
          </w:divBdr>
          <w:divsChild>
            <w:div w:id="326829483">
              <w:marLeft w:val="0"/>
              <w:marRight w:val="0"/>
              <w:marTop w:val="0"/>
              <w:marBottom w:val="0"/>
              <w:divBdr>
                <w:top w:val="none" w:sz="0" w:space="0" w:color="auto"/>
                <w:left w:val="none" w:sz="0" w:space="0" w:color="auto"/>
                <w:bottom w:val="none" w:sz="0" w:space="0" w:color="auto"/>
                <w:right w:val="none" w:sz="0" w:space="0" w:color="auto"/>
              </w:divBdr>
            </w:div>
          </w:divsChild>
        </w:div>
        <w:div w:id="1759979496">
          <w:marLeft w:val="0"/>
          <w:marRight w:val="0"/>
          <w:marTop w:val="0"/>
          <w:marBottom w:val="0"/>
          <w:divBdr>
            <w:top w:val="none" w:sz="0" w:space="0" w:color="auto"/>
            <w:left w:val="none" w:sz="0" w:space="0" w:color="auto"/>
            <w:bottom w:val="none" w:sz="0" w:space="0" w:color="auto"/>
            <w:right w:val="none" w:sz="0" w:space="0" w:color="auto"/>
          </w:divBdr>
          <w:divsChild>
            <w:div w:id="1745103511">
              <w:marLeft w:val="0"/>
              <w:marRight w:val="0"/>
              <w:marTop w:val="0"/>
              <w:marBottom w:val="0"/>
              <w:divBdr>
                <w:top w:val="none" w:sz="0" w:space="0" w:color="auto"/>
                <w:left w:val="none" w:sz="0" w:space="0" w:color="auto"/>
                <w:bottom w:val="none" w:sz="0" w:space="0" w:color="auto"/>
                <w:right w:val="none" w:sz="0" w:space="0" w:color="auto"/>
              </w:divBdr>
            </w:div>
          </w:divsChild>
        </w:div>
        <w:div w:id="1766655458">
          <w:marLeft w:val="0"/>
          <w:marRight w:val="0"/>
          <w:marTop w:val="0"/>
          <w:marBottom w:val="0"/>
          <w:divBdr>
            <w:top w:val="none" w:sz="0" w:space="0" w:color="auto"/>
            <w:left w:val="none" w:sz="0" w:space="0" w:color="auto"/>
            <w:bottom w:val="none" w:sz="0" w:space="0" w:color="auto"/>
            <w:right w:val="none" w:sz="0" w:space="0" w:color="auto"/>
          </w:divBdr>
          <w:divsChild>
            <w:div w:id="419301565">
              <w:marLeft w:val="0"/>
              <w:marRight w:val="0"/>
              <w:marTop w:val="0"/>
              <w:marBottom w:val="0"/>
              <w:divBdr>
                <w:top w:val="none" w:sz="0" w:space="0" w:color="auto"/>
                <w:left w:val="none" w:sz="0" w:space="0" w:color="auto"/>
                <w:bottom w:val="none" w:sz="0" w:space="0" w:color="auto"/>
                <w:right w:val="none" w:sz="0" w:space="0" w:color="auto"/>
              </w:divBdr>
            </w:div>
            <w:div w:id="620036397">
              <w:marLeft w:val="0"/>
              <w:marRight w:val="0"/>
              <w:marTop w:val="0"/>
              <w:marBottom w:val="0"/>
              <w:divBdr>
                <w:top w:val="none" w:sz="0" w:space="0" w:color="auto"/>
                <w:left w:val="none" w:sz="0" w:space="0" w:color="auto"/>
                <w:bottom w:val="none" w:sz="0" w:space="0" w:color="auto"/>
                <w:right w:val="none" w:sz="0" w:space="0" w:color="auto"/>
              </w:divBdr>
            </w:div>
            <w:div w:id="826436177">
              <w:marLeft w:val="0"/>
              <w:marRight w:val="0"/>
              <w:marTop w:val="0"/>
              <w:marBottom w:val="0"/>
              <w:divBdr>
                <w:top w:val="none" w:sz="0" w:space="0" w:color="auto"/>
                <w:left w:val="none" w:sz="0" w:space="0" w:color="auto"/>
                <w:bottom w:val="none" w:sz="0" w:space="0" w:color="auto"/>
                <w:right w:val="none" w:sz="0" w:space="0" w:color="auto"/>
              </w:divBdr>
            </w:div>
            <w:div w:id="826481901">
              <w:marLeft w:val="0"/>
              <w:marRight w:val="0"/>
              <w:marTop w:val="0"/>
              <w:marBottom w:val="0"/>
              <w:divBdr>
                <w:top w:val="none" w:sz="0" w:space="0" w:color="auto"/>
                <w:left w:val="none" w:sz="0" w:space="0" w:color="auto"/>
                <w:bottom w:val="none" w:sz="0" w:space="0" w:color="auto"/>
                <w:right w:val="none" w:sz="0" w:space="0" w:color="auto"/>
              </w:divBdr>
            </w:div>
            <w:div w:id="847524585">
              <w:marLeft w:val="0"/>
              <w:marRight w:val="0"/>
              <w:marTop w:val="0"/>
              <w:marBottom w:val="0"/>
              <w:divBdr>
                <w:top w:val="none" w:sz="0" w:space="0" w:color="auto"/>
                <w:left w:val="none" w:sz="0" w:space="0" w:color="auto"/>
                <w:bottom w:val="none" w:sz="0" w:space="0" w:color="auto"/>
                <w:right w:val="none" w:sz="0" w:space="0" w:color="auto"/>
              </w:divBdr>
            </w:div>
            <w:div w:id="1420104304">
              <w:marLeft w:val="0"/>
              <w:marRight w:val="0"/>
              <w:marTop w:val="0"/>
              <w:marBottom w:val="0"/>
              <w:divBdr>
                <w:top w:val="none" w:sz="0" w:space="0" w:color="auto"/>
                <w:left w:val="none" w:sz="0" w:space="0" w:color="auto"/>
                <w:bottom w:val="none" w:sz="0" w:space="0" w:color="auto"/>
                <w:right w:val="none" w:sz="0" w:space="0" w:color="auto"/>
              </w:divBdr>
            </w:div>
            <w:div w:id="1498111330">
              <w:marLeft w:val="0"/>
              <w:marRight w:val="0"/>
              <w:marTop w:val="0"/>
              <w:marBottom w:val="0"/>
              <w:divBdr>
                <w:top w:val="none" w:sz="0" w:space="0" w:color="auto"/>
                <w:left w:val="none" w:sz="0" w:space="0" w:color="auto"/>
                <w:bottom w:val="none" w:sz="0" w:space="0" w:color="auto"/>
                <w:right w:val="none" w:sz="0" w:space="0" w:color="auto"/>
              </w:divBdr>
            </w:div>
            <w:div w:id="1865243721">
              <w:marLeft w:val="0"/>
              <w:marRight w:val="0"/>
              <w:marTop w:val="0"/>
              <w:marBottom w:val="0"/>
              <w:divBdr>
                <w:top w:val="none" w:sz="0" w:space="0" w:color="auto"/>
                <w:left w:val="none" w:sz="0" w:space="0" w:color="auto"/>
                <w:bottom w:val="none" w:sz="0" w:space="0" w:color="auto"/>
                <w:right w:val="none" w:sz="0" w:space="0" w:color="auto"/>
              </w:divBdr>
            </w:div>
            <w:div w:id="1952665522">
              <w:marLeft w:val="0"/>
              <w:marRight w:val="0"/>
              <w:marTop w:val="0"/>
              <w:marBottom w:val="0"/>
              <w:divBdr>
                <w:top w:val="none" w:sz="0" w:space="0" w:color="auto"/>
                <w:left w:val="none" w:sz="0" w:space="0" w:color="auto"/>
                <w:bottom w:val="none" w:sz="0" w:space="0" w:color="auto"/>
                <w:right w:val="none" w:sz="0" w:space="0" w:color="auto"/>
              </w:divBdr>
            </w:div>
            <w:div w:id="2000190789">
              <w:marLeft w:val="0"/>
              <w:marRight w:val="0"/>
              <w:marTop w:val="0"/>
              <w:marBottom w:val="0"/>
              <w:divBdr>
                <w:top w:val="none" w:sz="0" w:space="0" w:color="auto"/>
                <w:left w:val="none" w:sz="0" w:space="0" w:color="auto"/>
                <w:bottom w:val="none" w:sz="0" w:space="0" w:color="auto"/>
                <w:right w:val="none" w:sz="0" w:space="0" w:color="auto"/>
              </w:divBdr>
            </w:div>
          </w:divsChild>
        </w:div>
        <w:div w:id="1769153233">
          <w:marLeft w:val="0"/>
          <w:marRight w:val="0"/>
          <w:marTop w:val="0"/>
          <w:marBottom w:val="0"/>
          <w:divBdr>
            <w:top w:val="none" w:sz="0" w:space="0" w:color="auto"/>
            <w:left w:val="none" w:sz="0" w:space="0" w:color="auto"/>
            <w:bottom w:val="none" w:sz="0" w:space="0" w:color="auto"/>
            <w:right w:val="none" w:sz="0" w:space="0" w:color="auto"/>
          </w:divBdr>
          <w:divsChild>
            <w:div w:id="340084984">
              <w:marLeft w:val="0"/>
              <w:marRight w:val="0"/>
              <w:marTop w:val="0"/>
              <w:marBottom w:val="0"/>
              <w:divBdr>
                <w:top w:val="none" w:sz="0" w:space="0" w:color="auto"/>
                <w:left w:val="none" w:sz="0" w:space="0" w:color="auto"/>
                <w:bottom w:val="none" w:sz="0" w:space="0" w:color="auto"/>
                <w:right w:val="none" w:sz="0" w:space="0" w:color="auto"/>
              </w:divBdr>
            </w:div>
          </w:divsChild>
        </w:div>
        <w:div w:id="1770733759">
          <w:marLeft w:val="0"/>
          <w:marRight w:val="0"/>
          <w:marTop w:val="0"/>
          <w:marBottom w:val="0"/>
          <w:divBdr>
            <w:top w:val="none" w:sz="0" w:space="0" w:color="auto"/>
            <w:left w:val="none" w:sz="0" w:space="0" w:color="auto"/>
            <w:bottom w:val="none" w:sz="0" w:space="0" w:color="auto"/>
            <w:right w:val="none" w:sz="0" w:space="0" w:color="auto"/>
          </w:divBdr>
          <w:divsChild>
            <w:div w:id="2127574476">
              <w:marLeft w:val="0"/>
              <w:marRight w:val="0"/>
              <w:marTop w:val="0"/>
              <w:marBottom w:val="0"/>
              <w:divBdr>
                <w:top w:val="none" w:sz="0" w:space="0" w:color="auto"/>
                <w:left w:val="none" w:sz="0" w:space="0" w:color="auto"/>
                <w:bottom w:val="none" w:sz="0" w:space="0" w:color="auto"/>
                <w:right w:val="none" w:sz="0" w:space="0" w:color="auto"/>
              </w:divBdr>
            </w:div>
          </w:divsChild>
        </w:div>
        <w:div w:id="1771851870">
          <w:marLeft w:val="0"/>
          <w:marRight w:val="0"/>
          <w:marTop w:val="0"/>
          <w:marBottom w:val="0"/>
          <w:divBdr>
            <w:top w:val="none" w:sz="0" w:space="0" w:color="auto"/>
            <w:left w:val="none" w:sz="0" w:space="0" w:color="auto"/>
            <w:bottom w:val="none" w:sz="0" w:space="0" w:color="auto"/>
            <w:right w:val="none" w:sz="0" w:space="0" w:color="auto"/>
          </w:divBdr>
          <w:divsChild>
            <w:div w:id="2114393102">
              <w:marLeft w:val="0"/>
              <w:marRight w:val="0"/>
              <w:marTop w:val="0"/>
              <w:marBottom w:val="0"/>
              <w:divBdr>
                <w:top w:val="none" w:sz="0" w:space="0" w:color="auto"/>
                <w:left w:val="none" w:sz="0" w:space="0" w:color="auto"/>
                <w:bottom w:val="none" w:sz="0" w:space="0" w:color="auto"/>
                <w:right w:val="none" w:sz="0" w:space="0" w:color="auto"/>
              </w:divBdr>
            </w:div>
          </w:divsChild>
        </w:div>
        <w:div w:id="1779064240">
          <w:marLeft w:val="0"/>
          <w:marRight w:val="0"/>
          <w:marTop w:val="0"/>
          <w:marBottom w:val="0"/>
          <w:divBdr>
            <w:top w:val="none" w:sz="0" w:space="0" w:color="auto"/>
            <w:left w:val="none" w:sz="0" w:space="0" w:color="auto"/>
            <w:bottom w:val="none" w:sz="0" w:space="0" w:color="auto"/>
            <w:right w:val="none" w:sz="0" w:space="0" w:color="auto"/>
          </w:divBdr>
          <w:divsChild>
            <w:div w:id="114908585">
              <w:marLeft w:val="0"/>
              <w:marRight w:val="0"/>
              <w:marTop w:val="0"/>
              <w:marBottom w:val="0"/>
              <w:divBdr>
                <w:top w:val="none" w:sz="0" w:space="0" w:color="auto"/>
                <w:left w:val="none" w:sz="0" w:space="0" w:color="auto"/>
                <w:bottom w:val="none" w:sz="0" w:space="0" w:color="auto"/>
                <w:right w:val="none" w:sz="0" w:space="0" w:color="auto"/>
              </w:divBdr>
            </w:div>
            <w:div w:id="162596542">
              <w:marLeft w:val="0"/>
              <w:marRight w:val="0"/>
              <w:marTop w:val="0"/>
              <w:marBottom w:val="0"/>
              <w:divBdr>
                <w:top w:val="none" w:sz="0" w:space="0" w:color="auto"/>
                <w:left w:val="none" w:sz="0" w:space="0" w:color="auto"/>
                <w:bottom w:val="none" w:sz="0" w:space="0" w:color="auto"/>
                <w:right w:val="none" w:sz="0" w:space="0" w:color="auto"/>
              </w:divBdr>
            </w:div>
            <w:div w:id="200897228">
              <w:marLeft w:val="0"/>
              <w:marRight w:val="0"/>
              <w:marTop w:val="0"/>
              <w:marBottom w:val="0"/>
              <w:divBdr>
                <w:top w:val="none" w:sz="0" w:space="0" w:color="auto"/>
                <w:left w:val="none" w:sz="0" w:space="0" w:color="auto"/>
                <w:bottom w:val="none" w:sz="0" w:space="0" w:color="auto"/>
                <w:right w:val="none" w:sz="0" w:space="0" w:color="auto"/>
              </w:divBdr>
            </w:div>
            <w:div w:id="446507021">
              <w:marLeft w:val="0"/>
              <w:marRight w:val="0"/>
              <w:marTop w:val="0"/>
              <w:marBottom w:val="0"/>
              <w:divBdr>
                <w:top w:val="none" w:sz="0" w:space="0" w:color="auto"/>
                <w:left w:val="none" w:sz="0" w:space="0" w:color="auto"/>
                <w:bottom w:val="none" w:sz="0" w:space="0" w:color="auto"/>
                <w:right w:val="none" w:sz="0" w:space="0" w:color="auto"/>
              </w:divBdr>
            </w:div>
            <w:div w:id="808740795">
              <w:marLeft w:val="0"/>
              <w:marRight w:val="0"/>
              <w:marTop w:val="0"/>
              <w:marBottom w:val="0"/>
              <w:divBdr>
                <w:top w:val="none" w:sz="0" w:space="0" w:color="auto"/>
                <w:left w:val="none" w:sz="0" w:space="0" w:color="auto"/>
                <w:bottom w:val="none" w:sz="0" w:space="0" w:color="auto"/>
                <w:right w:val="none" w:sz="0" w:space="0" w:color="auto"/>
              </w:divBdr>
            </w:div>
            <w:div w:id="869300753">
              <w:marLeft w:val="0"/>
              <w:marRight w:val="0"/>
              <w:marTop w:val="0"/>
              <w:marBottom w:val="0"/>
              <w:divBdr>
                <w:top w:val="none" w:sz="0" w:space="0" w:color="auto"/>
                <w:left w:val="none" w:sz="0" w:space="0" w:color="auto"/>
                <w:bottom w:val="none" w:sz="0" w:space="0" w:color="auto"/>
                <w:right w:val="none" w:sz="0" w:space="0" w:color="auto"/>
              </w:divBdr>
            </w:div>
            <w:div w:id="905648930">
              <w:marLeft w:val="0"/>
              <w:marRight w:val="0"/>
              <w:marTop w:val="0"/>
              <w:marBottom w:val="0"/>
              <w:divBdr>
                <w:top w:val="none" w:sz="0" w:space="0" w:color="auto"/>
                <w:left w:val="none" w:sz="0" w:space="0" w:color="auto"/>
                <w:bottom w:val="none" w:sz="0" w:space="0" w:color="auto"/>
                <w:right w:val="none" w:sz="0" w:space="0" w:color="auto"/>
              </w:divBdr>
            </w:div>
            <w:div w:id="993072823">
              <w:marLeft w:val="0"/>
              <w:marRight w:val="0"/>
              <w:marTop w:val="0"/>
              <w:marBottom w:val="0"/>
              <w:divBdr>
                <w:top w:val="none" w:sz="0" w:space="0" w:color="auto"/>
                <w:left w:val="none" w:sz="0" w:space="0" w:color="auto"/>
                <w:bottom w:val="none" w:sz="0" w:space="0" w:color="auto"/>
                <w:right w:val="none" w:sz="0" w:space="0" w:color="auto"/>
              </w:divBdr>
            </w:div>
            <w:div w:id="1710566469">
              <w:marLeft w:val="0"/>
              <w:marRight w:val="0"/>
              <w:marTop w:val="0"/>
              <w:marBottom w:val="0"/>
              <w:divBdr>
                <w:top w:val="none" w:sz="0" w:space="0" w:color="auto"/>
                <w:left w:val="none" w:sz="0" w:space="0" w:color="auto"/>
                <w:bottom w:val="none" w:sz="0" w:space="0" w:color="auto"/>
                <w:right w:val="none" w:sz="0" w:space="0" w:color="auto"/>
              </w:divBdr>
            </w:div>
            <w:div w:id="1800294885">
              <w:marLeft w:val="0"/>
              <w:marRight w:val="0"/>
              <w:marTop w:val="0"/>
              <w:marBottom w:val="0"/>
              <w:divBdr>
                <w:top w:val="none" w:sz="0" w:space="0" w:color="auto"/>
                <w:left w:val="none" w:sz="0" w:space="0" w:color="auto"/>
                <w:bottom w:val="none" w:sz="0" w:space="0" w:color="auto"/>
                <w:right w:val="none" w:sz="0" w:space="0" w:color="auto"/>
              </w:divBdr>
            </w:div>
            <w:div w:id="1840851675">
              <w:marLeft w:val="0"/>
              <w:marRight w:val="0"/>
              <w:marTop w:val="0"/>
              <w:marBottom w:val="0"/>
              <w:divBdr>
                <w:top w:val="none" w:sz="0" w:space="0" w:color="auto"/>
                <w:left w:val="none" w:sz="0" w:space="0" w:color="auto"/>
                <w:bottom w:val="none" w:sz="0" w:space="0" w:color="auto"/>
                <w:right w:val="none" w:sz="0" w:space="0" w:color="auto"/>
              </w:divBdr>
            </w:div>
            <w:div w:id="1997029971">
              <w:marLeft w:val="0"/>
              <w:marRight w:val="0"/>
              <w:marTop w:val="0"/>
              <w:marBottom w:val="0"/>
              <w:divBdr>
                <w:top w:val="none" w:sz="0" w:space="0" w:color="auto"/>
                <w:left w:val="none" w:sz="0" w:space="0" w:color="auto"/>
                <w:bottom w:val="none" w:sz="0" w:space="0" w:color="auto"/>
                <w:right w:val="none" w:sz="0" w:space="0" w:color="auto"/>
              </w:divBdr>
            </w:div>
            <w:div w:id="2089844457">
              <w:marLeft w:val="0"/>
              <w:marRight w:val="0"/>
              <w:marTop w:val="0"/>
              <w:marBottom w:val="0"/>
              <w:divBdr>
                <w:top w:val="none" w:sz="0" w:space="0" w:color="auto"/>
                <w:left w:val="none" w:sz="0" w:space="0" w:color="auto"/>
                <w:bottom w:val="none" w:sz="0" w:space="0" w:color="auto"/>
                <w:right w:val="none" w:sz="0" w:space="0" w:color="auto"/>
              </w:divBdr>
            </w:div>
          </w:divsChild>
        </w:div>
        <w:div w:id="1786777580">
          <w:marLeft w:val="0"/>
          <w:marRight w:val="0"/>
          <w:marTop w:val="0"/>
          <w:marBottom w:val="0"/>
          <w:divBdr>
            <w:top w:val="none" w:sz="0" w:space="0" w:color="auto"/>
            <w:left w:val="none" w:sz="0" w:space="0" w:color="auto"/>
            <w:bottom w:val="none" w:sz="0" w:space="0" w:color="auto"/>
            <w:right w:val="none" w:sz="0" w:space="0" w:color="auto"/>
          </w:divBdr>
          <w:divsChild>
            <w:div w:id="411708869">
              <w:marLeft w:val="0"/>
              <w:marRight w:val="0"/>
              <w:marTop w:val="0"/>
              <w:marBottom w:val="0"/>
              <w:divBdr>
                <w:top w:val="none" w:sz="0" w:space="0" w:color="auto"/>
                <w:left w:val="none" w:sz="0" w:space="0" w:color="auto"/>
                <w:bottom w:val="none" w:sz="0" w:space="0" w:color="auto"/>
                <w:right w:val="none" w:sz="0" w:space="0" w:color="auto"/>
              </w:divBdr>
            </w:div>
          </w:divsChild>
        </w:div>
        <w:div w:id="1793204970">
          <w:marLeft w:val="0"/>
          <w:marRight w:val="0"/>
          <w:marTop w:val="0"/>
          <w:marBottom w:val="0"/>
          <w:divBdr>
            <w:top w:val="none" w:sz="0" w:space="0" w:color="auto"/>
            <w:left w:val="none" w:sz="0" w:space="0" w:color="auto"/>
            <w:bottom w:val="none" w:sz="0" w:space="0" w:color="auto"/>
            <w:right w:val="none" w:sz="0" w:space="0" w:color="auto"/>
          </w:divBdr>
          <w:divsChild>
            <w:div w:id="349069056">
              <w:marLeft w:val="0"/>
              <w:marRight w:val="0"/>
              <w:marTop w:val="0"/>
              <w:marBottom w:val="0"/>
              <w:divBdr>
                <w:top w:val="none" w:sz="0" w:space="0" w:color="auto"/>
                <w:left w:val="none" w:sz="0" w:space="0" w:color="auto"/>
                <w:bottom w:val="none" w:sz="0" w:space="0" w:color="auto"/>
                <w:right w:val="none" w:sz="0" w:space="0" w:color="auto"/>
              </w:divBdr>
            </w:div>
            <w:div w:id="351078839">
              <w:marLeft w:val="0"/>
              <w:marRight w:val="0"/>
              <w:marTop w:val="0"/>
              <w:marBottom w:val="0"/>
              <w:divBdr>
                <w:top w:val="none" w:sz="0" w:space="0" w:color="auto"/>
                <w:left w:val="none" w:sz="0" w:space="0" w:color="auto"/>
                <w:bottom w:val="none" w:sz="0" w:space="0" w:color="auto"/>
                <w:right w:val="none" w:sz="0" w:space="0" w:color="auto"/>
              </w:divBdr>
            </w:div>
            <w:div w:id="551120604">
              <w:marLeft w:val="0"/>
              <w:marRight w:val="0"/>
              <w:marTop w:val="0"/>
              <w:marBottom w:val="0"/>
              <w:divBdr>
                <w:top w:val="none" w:sz="0" w:space="0" w:color="auto"/>
                <w:left w:val="none" w:sz="0" w:space="0" w:color="auto"/>
                <w:bottom w:val="none" w:sz="0" w:space="0" w:color="auto"/>
                <w:right w:val="none" w:sz="0" w:space="0" w:color="auto"/>
              </w:divBdr>
            </w:div>
            <w:div w:id="1095440011">
              <w:marLeft w:val="0"/>
              <w:marRight w:val="0"/>
              <w:marTop w:val="0"/>
              <w:marBottom w:val="0"/>
              <w:divBdr>
                <w:top w:val="none" w:sz="0" w:space="0" w:color="auto"/>
                <w:left w:val="none" w:sz="0" w:space="0" w:color="auto"/>
                <w:bottom w:val="none" w:sz="0" w:space="0" w:color="auto"/>
                <w:right w:val="none" w:sz="0" w:space="0" w:color="auto"/>
              </w:divBdr>
            </w:div>
            <w:div w:id="1229728578">
              <w:marLeft w:val="0"/>
              <w:marRight w:val="0"/>
              <w:marTop w:val="0"/>
              <w:marBottom w:val="0"/>
              <w:divBdr>
                <w:top w:val="none" w:sz="0" w:space="0" w:color="auto"/>
                <w:left w:val="none" w:sz="0" w:space="0" w:color="auto"/>
                <w:bottom w:val="none" w:sz="0" w:space="0" w:color="auto"/>
                <w:right w:val="none" w:sz="0" w:space="0" w:color="auto"/>
              </w:divBdr>
            </w:div>
          </w:divsChild>
        </w:div>
        <w:div w:id="1799033750">
          <w:marLeft w:val="0"/>
          <w:marRight w:val="0"/>
          <w:marTop w:val="0"/>
          <w:marBottom w:val="0"/>
          <w:divBdr>
            <w:top w:val="none" w:sz="0" w:space="0" w:color="auto"/>
            <w:left w:val="none" w:sz="0" w:space="0" w:color="auto"/>
            <w:bottom w:val="none" w:sz="0" w:space="0" w:color="auto"/>
            <w:right w:val="none" w:sz="0" w:space="0" w:color="auto"/>
          </w:divBdr>
          <w:divsChild>
            <w:div w:id="1436827331">
              <w:marLeft w:val="0"/>
              <w:marRight w:val="0"/>
              <w:marTop w:val="0"/>
              <w:marBottom w:val="0"/>
              <w:divBdr>
                <w:top w:val="none" w:sz="0" w:space="0" w:color="auto"/>
                <w:left w:val="none" w:sz="0" w:space="0" w:color="auto"/>
                <w:bottom w:val="none" w:sz="0" w:space="0" w:color="auto"/>
                <w:right w:val="none" w:sz="0" w:space="0" w:color="auto"/>
              </w:divBdr>
            </w:div>
          </w:divsChild>
        </w:div>
        <w:div w:id="1803108063">
          <w:marLeft w:val="0"/>
          <w:marRight w:val="0"/>
          <w:marTop w:val="0"/>
          <w:marBottom w:val="0"/>
          <w:divBdr>
            <w:top w:val="none" w:sz="0" w:space="0" w:color="auto"/>
            <w:left w:val="none" w:sz="0" w:space="0" w:color="auto"/>
            <w:bottom w:val="none" w:sz="0" w:space="0" w:color="auto"/>
            <w:right w:val="none" w:sz="0" w:space="0" w:color="auto"/>
          </w:divBdr>
          <w:divsChild>
            <w:div w:id="17512258">
              <w:marLeft w:val="0"/>
              <w:marRight w:val="0"/>
              <w:marTop w:val="0"/>
              <w:marBottom w:val="0"/>
              <w:divBdr>
                <w:top w:val="none" w:sz="0" w:space="0" w:color="auto"/>
                <w:left w:val="none" w:sz="0" w:space="0" w:color="auto"/>
                <w:bottom w:val="none" w:sz="0" w:space="0" w:color="auto"/>
                <w:right w:val="none" w:sz="0" w:space="0" w:color="auto"/>
              </w:divBdr>
            </w:div>
            <w:div w:id="251554370">
              <w:marLeft w:val="0"/>
              <w:marRight w:val="0"/>
              <w:marTop w:val="0"/>
              <w:marBottom w:val="0"/>
              <w:divBdr>
                <w:top w:val="none" w:sz="0" w:space="0" w:color="auto"/>
                <w:left w:val="none" w:sz="0" w:space="0" w:color="auto"/>
                <w:bottom w:val="none" w:sz="0" w:space="0" w:color="auto"/>
                <w:right w:val="none" w:sz="0" w:space="0" w:color="auto"/>
              </w:divBdr>
            </w:div>
            <w:div w:id="643967090">
              <w:marLeft w:val="0"/>
              <w:marRight w:val="0"/>
              <w:marTop w:val="0"/>
              <w:marBottom w:val="0"/>
              <w:divBdr>
                <w:top w:val="none" w:sz="0" w:space="0" w:color="auto"/>
                <w:left w:val="none" w:sz="0" w:space="0" w:color="auto"/>
                <w:bottom w:val="none" w:sz="0" w:space="0" w:color="auto"/>
                <w:right w:val="none" w:sz="0" w:space="0" w:color="auto"/>
              </w:divBdr>
            </w:div>
            <w:div w:id="677468195">
              <w:marLeft w:val="0"/>
              <w:marRight w:val="0"/>
              <w:marTop w:val="0"/>
              <w:marBottom w:val="0"/>
              <w:divBdr>
                <w:top w:val="none" w:sz="0" w:space="0" w:color="auto"/>
                <w:left w:val="none" w:sz="0" w:space="0" w:color="auto"/>
                <w:bottom w:val="none" w:sz="0" w:space="0" w:color="auto"/>
                <w:right w:val="none" w:sz="0" w:space="0" w:color="auto"/>
              </w:divBdr>
            </w:div>
            <w:div w:id="810513497">
              <w:marLeft w:val="0"/>
              <w:marRight w:val="0"/>
              <w:marTop w:val="0"/>
              <w:marBottom w:val="0"/>
              <w:divBdr>
                <w:top w:val="none" w:sz="0" w:space="0" w:color="auto"/>
                <w:left w:val="none" w:sz="0" w:space="0" w:color="auto"/>
                <w:bottom w:val="none" w:sz="0" w:space="0" w:color="auto"/>
                <w:right w:val="none" w:sz="0" w:space="0" w:color="auto"/>
              </w:divBdr>
            </w:div>
            <w:div w:id="824708265">
              <w:marLeft w:val="0"/>
              <w:marRight w:val="0"/>
              <w:marTop w:val="0"/>
              <w:marBottom w:val="0"/>
              <w:divBdr>
                <w:top w:val="none" w:sz="0" w:space="0" w:color="auto"/>
                <w:left w:val="none" w:sz="0" w:space="0" w:color="auto"/>
                <w:bottom w:val="none" w:sz="0" w:space="0" w:color="auto"/>
                <w:right w:val="none" w:sz="0" w:space="0" w:color="auto"/>
              </w:divBdr>
            </w:div>
            <w:div w:id="868183916">
              <w:marLeft w:val="0"/>
              <w:marRight w:val="0"/>
              <w:marTop w:val="0"/>
              <w:marBottom w:val="0"/>
              <w:divBdr>
                <w:top w:val="none" w:sz="0" w:space="0" w:color="auto"/>
                <w:left w:val="none" w:sz="0" w:space="0" w:color="auto"/>
                <w:bottom w:val="none" w:sz="0" w:space="0" w:color="auto"/>
                <w:right w:val="none" w:sz="0" w:space="0" w:color="auto"/>
              </w:divBdr>
            </w:div>
            <w:div w:id="929582372">
              <w:marLeft w:val="0"/>
              <w:marRight w:val="0"/>
              <w:marTop w:val="0"/>
              <w:marBottom w:val="0"/>
              <w:divBdr>
                <w:top w:val="none" w:sz="0" w:space="0" w:color="auto"/>
                <w:left w:val="none" w:sz="0" w:space="0" w:color="auto"/>
                <w:bottom w:val="none" w:sz="0" w:space="0" w:color="auto"/>
                <w:right w:val="none" w:sz="0" w:space="0" w:color="auto"/>
              </w:divBdr>
            </w:div>
            <w:div w:id="1652322350">
              <w:marLeft w:val="0"/>
              <w:marRight w:val="0"/>
              <w:marTop w:val="0"/>
              <w:marBottom w:val="0"/>
              <w:divBdr>
                <w:top w:val="none" w:sz="0" w:space="0" w:color="auto"/>
                <w:left w:val="none" w:sz="0" w:space="0" w:color="auto"/>
                <w:bottom w:val="none" w:sz="0" w:space="0" w:color="auto"/>
                <w:right w:val="none" w:sz="0" w:space="0" w:color="auto"/>
              </w:divBdr>
            </w:div>
            <w:div w:id="2014798793">
              <w:marLeft w:val="0"/>
              <w:marRight w:val="0"/>
              <w:marTop w:val="0"/>
              <w:marBottom w:val="0"/>
              <w:divBdr>
                <w:top w:val="none" w:sz="0" w:space="0" w:color="auto"/>
                <w:left w:val="none" w:sz="0" w:space="0" w:color="auto"/>
                <w:bottom w:val="none" w:sz="0" w:space="0" w:color="auto"/>
                <w:right w:val="none" w:sz="0" w:space="0" w:color="auto"/>
              </w:divBdr>
            </w:div>
          </w:divsChild>
        </w:div>
        <w:div w:id="1805200784">
          <w:marLeft w:val="0"/>
          <w:marRight w:val="0"/>
          <w:marTop w:val="0"/>
          <w:marBottom w:val="0"/>
          <w:divBdr>
            <w:top w:val="none" w:sz="0" w:space="0" w:color="auto"/>
            <w:left w:val="none" w:sz="0" w:space="0" w:color="auto"/>
            <w:bottom w:val="none" w:sz="0" w:space="0" w:color="auto"/>
            <w:right w:val="none" w:sz="0" w:space="0" w:color="auto"/>
          </w:divBdr>
          <w:divsChild>
            <w:div w:id="355157216">
              <w:marLeft w:val="0"/>
              <w:marRight w:val="0"/>
              <w:marTop w:val="0"/>
              <w:marBottom w:val="0"/>
              <w:divBdr>
                <w:top w:val="none" w:sz="0" w:space="0" w:color="auto"/>
                <w:left w:val="none" w:sz="0" w:space="0" w:color="auto"/>
                <w:bottom w:val="none" w:sz="0" w:space="0" w:color="auto"/>
                <w:right w:val="none" w:sz="0" w:space="0" w:color="auto"/>
              </w:divBdr>
            </w:div>
          </w:divsChild>
        </w:div>
        <w:div w:id="1805347645">
          <w:marLeft w:val="0"/>
          <w:marRight w:val="0"/>
          <w:marTop w:val="0"/>
          <w:marBottom w:val="0"/>
          <w:divBdr>
            <w:top w:val="none" w:sz="0" w:space="0" w:color="auto"/>
            <w:left w:val="none" w:sz="0" w:space="0" w:color="auto"/>
            <w:bottom w:val="none" w:sz="0" w:space="0" w:color="auto"/>
            <w:right w:val="none" w:sz="0" w:space="0" w:color="auto"/>
          </w:divBdr>
          <w:divsChild>
            <w:div w:id="140386462">
              <w:marLeft w:val="0"/>
              <w:marRight w:val="0"/>
              <w:marTop w:val="0"/>
              <w:marBottom w:val="0"/>
              <w:divBdr>
                <w:top w:val="none" w:sz="0" w:space="0" w:color="auto"/>
                <w:left w:val="none" w:sz="0" w:space="0" w:color="auto"/>
                <w:bottom w:val="none" w:sz="0" w:space="0" w:color="auto"/>
                <w:right w:val="none" w:sz="0" w:space="0" w:color="auto"/>
              </w:divBdr>
            </w:div>
          </w:divsChild>
        </w:div>
        <w:div w:id="1807619452">
          <w:marLeft w:val="0"/>
          <w:marRight w:val="0"/>
          <w:marTop w:val="0"/>
          <w:marBottom w:val="0"/>
          <w:divBdr>
            <w:top w:val="none" w:sz="0" w:space="0" w:color="auto"/>
            <w:left w:val="none" w:sz="0" w:space="0" w:color="auto"/>
            <w:bottom w:val="none" w:sz="0" w:space="0" w:color="auto"/>
            <w:right w:val="none" w:sz="0" w:space="0" w:color="auto"/>
          </w:divBdr>
          <w:divsChild>
            <w:div w:id="1536506560">
              <w:marLeft w:val="0"/>
              <w:marRight w:val="0"/>
              <w:marTop w:val="0"/>
              <w:marBottom w:val="0"/>
              <w:divBdr>
                <w:top w:val="none" w:sz="0" w:space="0" w:color="auto"/>
                <w:left w:val="none" w:sz="0" w:space="0" w:color="auto"/>
                <w:bottom w:val="none" w:sz="0" w:space="0" w:color="auto"/>
                <w:right w:val="none" w:sz="0" w:space="0" w:color="auto"/>
              </w:divBdr>
            </w:div>
          </w:divsChild>
        </w:div>
        <w:div w:id="1808468680">
          <w:marLeft w:val="0"/>
          <w:marRight w:val="0"/>
          <w:marTop w:val="0"/>
          <w:marBottom w:val="0"/>
          <w:divBdr>
            <w:top w:val="none" w:sz="0" w:space="0" w:color="auto"/>
            <w:left w:val="none" w:sz="0" w:space="0" w:color="auto"/>
            <w:bottom w:val="none" w:sz="0" w:space="0" w:color="auto"/>
            <w:right w:val="none" w:sz="0" w:space="0" w:color="auto"/>
          </w:divBdr>
          <w:divsChild>
            <w:div w:id="29844085">
              <w:marLeft w:val="0"/>
              <w:marRight w:val="0"/>
              <w:marTop w:val="0"/>
              <w:marBottom w:val="0"/>
              <w:divBdr>
                <w:top w:val="none" w:sz="0" w:space="0" w:color="auto"/>
                <w:left w:val="none" w:sz="0" w:space="0" w:color="auto"/>
                <w:bottom w:val="none" w:sz="0" w:space="0" w:color="auto"/>
                <w:right w:val="none" w:sz="0" w:space="0" w:color="auto"/>
              </w:divBdr>
            </w:div>
            <w:div w:id="192377939">
              <w:marLeft w:val="0"/>
              <w:marRight w:val="0"/>
              <w:marTop w:val="0"/>
              <w:marBottom w:val="0"/>
              <w:divBdr>
                <w:top w:val="none" w:sz="0" w:space="0" w:color="auto"/>
                <w:left w:val="none" w:sz="0" w:space="0" w:color="auto"/>
                <w:bottom w:val="none" w:sz="0" w:space="0" w:color="auto"/>
                <w:right w:val="none" w:sz="0" w:space="0" w:color="auto"/>
              </w:divBdr>
            </w:div>
            <w:div w:id="601374445">
              <w:marLeft w:val="0"/>
              <w:marRight w:val="0"/>
              <w:marTop w:val="0"/>
              <w:marBottom w:val="0"/>
              <w:divBdr>
                <w:top w:val="none" w:sz="0" w:space="0" w:color="auto"/>
                <w:left w:val="none" w:sz="0" w:space="0" w:color="auto"/>
                <w:bottom w:val="none" w:sz="0" w:space="0" w:color="auto"/>
                <w:right w:val="none" w:sz="0" w:space="0" w:color="auto"/>
              </w:divBdr>
            </w:div>
            <w:div w:id="840317364">
              <w:marLeft w:val="0"/>
              <w:marRight w:val="0"/>
              <w:marTop w:val="0"/>
              <w:marBottom w:val="0"/>
              <w:divBdr>
                <w:top w:val="none" w:sz="0" w:space="0" w:color="auto"/>
                <w:left w:val="none" w:sz="0" w:space="0" w:color="auto"/>
                <w:bottom w:val="none" w:sz="0" w:space="0" w:color="auto"/>
                <w:right w:val="none" w:sz="0" w:space="0" w:color="auto"/>
              </w:divBdr>
            </w:div>
            <w:div w:id="885873533">
              <w:marLeft w:val="0"/>
              <w:marRight w:val="0"/>
              <w:marTop w:val="0"/>
              <w:marBottom w:val="0"/>
              <w:divBdr>
                <w:top w:val="none" w:sz="0" w:space="0" w:color="auto"/>
                <w:left w:val="none" w:sz="0" w:space="0" w:color="auto"/>
                <w:bottom w:val="none" w:sz="0" w:space="0" w:color="auto"/>
                <w:right w:val="none" w:sz="0" w:space="0" w:color="auto"/>
              </w:divBdr>
            </w:div>
            <w:div w:id="932083317">
              <w:marLeft w:val="0"/>
              <w:marRight w:val="0"/>
              <w:marTop w:val="0"/>
              <w:marBottom w:val="0"/>
              <w:divBdr>
                <w:top w:val="none" w:sz="0" w:space="0" w:color="auto"/>
                <w:left w:val="none" w:sz="0" w:space="0" w:color="auto"/>
                <w:bottom w:val="none" w:sz="0" w:space="0" w:color="auto"/>
                <w:right w:val="none" w:sz="0" w:space="0" w:color="auto"/>
              </w:divBdr>
            </w:div>
            <w:div w:id="938022445">
              <w:marLeft w:val="0"/>
              <w:marRight w:val="0"/>
              <w:marTop w:val="0"/>
              <w:marBottom w:val="0"/>
              <w:divBdr>
                <w:top w:val="none" w:sz="0" w:space="0" w:color="auto"/>
                <w:left w:val="none" w:sz="0" w:space="0" w:color="auto"/>
                <w:bottom w:val="none" w:sz="0" w:space="0" w:color="auto"/>
                <w:right w:val="none" w:sz="0" w:space="0" w:color="auto"/>
              </w:divBdr>
            </w:div>
            <w:div w:id="1100763312">
              <w:marLeft w:val="0"/>
              <w:marRight w:val="0"/>
              <w:marTop w:val="0"/>
              <w:marBottom w:val="0"/>
              <w:divBdr>
                <w:top w:val="none" w:sz="0" w:space="0" w:color="auto"/>
                <w:left w:val="none" w:sz="0" w:space="0" w:color="auto"/>
                <w:bottom w:val="none" w:sz="0" w:space="0" w:color="auto"/>
                <w:right w:val="none" w:sz="0" w:space="0" w:color="auto"/>
              </w:divBdr>
            </w:div>
            <w:div w:id="1103302922">
              <w:marLeft w:val="0"/>
              <w:marRight w:val="0"/>
              <w:marTop w:val="0"/>
              <w:marBottom w:val="0"/>
              <w:divBdr>
                <w:top w:val="none" w:sz="0" w:space="0" w:color="auto"/>
                <w:left w:val="none" w:sz="0" w:space="0" w:color="auto"/>
                <w:bottom w:val="none" w:sz="0" w:space="0" w:color="auto"/>
                <w:right w:val="none" w:sz="0" w:space="0" w:color="auto"/>
              </w:divBdr>
            </w:div>
            <w:div w:id="1253930537">
              <w:marLeft w:val="0"/>
              <w:marRight w:val="0"/>
              <w:marTop w:val="0"/>
              <w:marBottom w:val="0"/>
              <w:divBdr>
                <w:top w:val="none" w:sz="0" w:space="0" w:color="auto"/>
                <w:left w:val="none" w:sz="0" w:space="0" w:color="auto"/>
                <w:bottom w:val="none" w:sz="0" w:space="0" w:color="auto"/>
                <w:right w:val="none" w:sz="0" w:space="0" w:color="auto"/>
              </w:divBdr>
            </w:div>
            <w:div w:id="1316035691">
              <w:marLeft w:val="0"/>
              <w:marRight w:val="0"/>
              <w:marTop w:val="0"/>
              <w:marBottom w:val="0"/>
              <w:divBdr>
                <w:top w:val="none" w:sz="0" w:space="0" w:color="auto"/>
                <w:left w:val="none" w:sz="0" w:space="0" w:color="auto"/>
                <w:bottom w:val="none" w:sz="0" w:space="0" w:color="auto"/>
                <w:right w:val="none" w:sz="0" w:space="0" w:color="auto"/>
              </w:divBdr>
            </w:div>
            <w:div w:id="1497262889">
              <w:marLeft w:val="0"/>
              <w:marRight w:val="0"/>
              <w:marTop w:val="0"/>
              <w:marBottom w:val="0"/>
              <w:divBdr>
                <w:top w:val="none" w:sz="0" w:space="0" w:color="auto"/>
                <w:left w:val="none" w:sz="0" w:space="0" w:color="auto"/>
                <w:bottom w:val="none" w:sz="0" w:space="0" w:color="auto"/>
                <w:right w:val="none" w:sz="0" w:space="0" w:color="auto"/>
              </w:divBdr>
            </w:div>
          </w:divsChild>
        </w:div>
        <w:div w:id="1815217188">
          <w:marLeft w:val="0"/>
          <w:marRight w:val="0"/>
          <w:marTop w:val="0"/>
          <w:marBottom w:val="0"/>
          <w:divBdr>
            <w:top w:val="none" w:sz="0" w:space="0" w:color="auto"/>
            <w:left w:val="none" w:sz="0" w:space="0" w:color="auto"/>
            <w:bottom w:val="none" w:sz="0" w:space="0" w:color="auto"/>
            <w:right w:val="none" w:sz="0" w:space="0" w:color="auto"/>
          </w:divBdr>
          <w:divsChild>
            <w:div w:id="1602909105">
              <w:marLeft w:val="0"/>
              <w:marRight w:val="0"/>
              <w:marTop w:val="0"/>
              <w:marBottom w:val="0"/>
              <w:divBdr>
                <w:top w:val="none" w:sz="0" w:space="0" w:color="auto"/>
                <w:left w:val="none" w:sz="0" w:space="0" w:color="auto"/>
                <w:bottom w:val="none" w:sz="0" w:space="0" w:color="auto"/>
                <w:right w:val="none" w:sz="0" w:space="0" w:color="auto"/>
              </w:divBdr>
            </w:div>
          </w:divsChild>
        </w:div>
        <w:div w:id="1815289410">
          <w:marLeft w:val="0"/>
          <w:marRight w:val="0"/>
          <w:marTop w:val="0"/>
          <w:marBottom w:val="0"/>
          <w:divBdr>
            <w:top w:val="none" w:sz="0" w:space="0" w:color="auto"/>
            <w:left w:val="none" w:sz="0" w:space="0" w:color="auto"/>
            <w:bottom w:val="none" w:sz="0" w:space="0" w:color="auto"/>
            <w:right w:val="none" w:sz="0" w:space="0" w:color="auto"/>
          </w:divBdr>
          <w:divsChild>
            <w:div w:id="950479871">
              <w:marLeft w:val="0"/>
              <w:marRight w:val="0"/>
              <w:marTop w:val="0"/>
              <w:marBottom w:val="0"/>
              <w:divBdr>
                <w:top w:val="none" w:sz="0" w:space="0" w:color="auto"/>
                <w:left w:val="none" w:sz="0" w:space="0" w:color="auto"/>
                <w:bottom w:val="none" w:sz="0" w:space="0" w:color="auto"/>
                <w:right w:val="none" w:sz="0" w:space="0" w:color="auto"/>
              </w:divBdr>
            </w:div>
          </w:divsChild>
        </w:div>
        <w:div w:id="1820489654">
          <w:marLeft w:val="0"/>
          <w:marRight w:val="0"/>
          <w:marTop w:val="0"/>
          <w:marBottom w:val="0"/>
          <w:divBdr>
            <w:top w:val="none" w:sz="0" w:space="0" w:color="auto"/>
            <w:left w:val="none" w:sz="0" w:space="0" w:color="auto"/>
            <w:bottom w:val="none" w:sz="0" w:space="0" w:color="auto"/>
            <w:right w:val="none" w:sz="0" w:space="0" w:color="auto"/>
          </w:divBdr>
          <w:divsChild>
            <w:div w:id="287661429">
              <w:marLeft w:val="0"/>
              <w:marRight w:val="0"/>
              <w:marTop w:val="0"/>
              <w:marBottom w:val="0"/>
              <w:divBdr>
                <w:top w:val="none" w:sz="0" w:space="0" w:color="auto"/>
                <w:left w:val="none" w:sz="0" w:space="0" w:color="auto"/>
                <w:bottom w:val="none" w:sz="0" w:space="0" w:color="auto"/>
                <w:right w:val="none" w:sz="0" w:space="0" w:color="auto"/>
              </w:divBdr>
            </w:div>
          </w:divsChild>
        </w:div>
        <w:div w:id="1820808971">
          <w:marLeft w:val="0"/>
          <w:marRight w:val="0"/>
          <w:marTop w:val="0"/>
          <w:marBottom w:val="0"/>
          <w:divBdr>
            <w:top w:val="none" w:sz="0" w:space="0" w:color="auto"/>
            <w:left w:val="none" w:sz="0" w:space="0" w:color="auto"/>
            <w:bottom w:val="none" w:sz="0" w:space="0" w:color="auto"/>
            <w:right w:val="none" w:sz="0" w:space="0" w:color="auto"/>
          </w:divBdr>
          <w:divsChild>
            <w:div w:id="1434205575">
              <w:marLeft w:val="0"/>
              <w:marRight w:val="0"/>
              <w:marTop w:val="0"/>
              <w:marBottom w:val="0"/>
              <w:divBdr>
                <w:top w:val="none" w:sz="0" w:space="0" w:color="auto"/>
                <w:left w:val="none" w:sz="0" w:space="0" w:color="auto"/>
                <w:bottom w:val="none" w:sz="0" w:space="0" w:color="auto"/>
                <w:right w:val="none" w:sz="0" w:space="0" w:color="auto"/>
              </w:divBdr>
            </w:div>
            <w:div w:id="1561014117">
              <w:marLeft w:val="0"/>
              <w:marRight w:val="0"/>
              <w:marTop w:val="0"/>
              <w:marBottom w:val="0"/>
              <w:divBdr>
                <w:top w:val="none" w:sz="0" w:space="0" w:color="auto"/>
                <w:left w:val="none" w:sz="0" w:space="0" w:color="auto"/>
                <w:bottom w:val="none" w:sz="0" w:space="0" w:color="auto"/>
                <w:right w:val="none" w:sz="0" w:space="0" w:color="auto"/>
              </w:divBdr>
            </w:div>
            <w:div w:id="2055420101">
              <w:marLeft w:val="0"/>
              <w:marRight w:val="0"/>
              <w:marTop w:val="0"/>
              <w:marBottom w:val="0"/>
              <w:divBdr>
                <w:top w:val="none" w:sz="0" w:space="0" w:color="auto"/>
                <w:left w:val="none" w:sz="0" w:space="0" w:color="auto"/>
                <w:bottom w:val="none" w:sz="0" w:space="0" w:color="auto"/>
                <w:right w:val="none" w:sz="0" w:space="0" w:color="auto"/>
              </w:divBdr>
            </w:div>
          </w:divsChild>
        </w:div>
        <w:div w:id="1828323899">
          <w:marLeft w:val="0"/>
          <w:marRight w:val="0"/>
          <w:marTop w:val="0"/>
          <w:marBottom w:val="0"/>
          <w:divBdr>
            <w:top w:val="none" w:sz="0" w:space="0" w:color="auto"/>
            <w:left w:val="none" w:sz="0" w:space="0" w:color="auto"/>
            <w:bottom w:val="none" w:sz="0" w:space="0" w:color="auto"/>
            <w:right w:val="none" w:sz="0" w:space="0" w:color="auto"/>
          </w:divBdr>
          <w:divsChild>
            <w:div w:id="1937324986">
              <w:marLeft w:val="0"/>
              <w:marRight w:val="0"/>
              <w:marTop w:val="0"/>
              <w:marBottom w:val="0"/>
              <w:divBdr>
                <w:top w:val="none" w:sz="0" w:space="0" w:color="auto"/>
                <w:left w:val="none" w:sz="0" w:space="0" w:color="auto"/>
                <w:bottom w:val="none" w:sz="0" w:space="0" w:color="auto"/>
                <w:right w:val="none" w:sz="0" w:space="0" w:color="auto"/>
              </w:divBdr>
            </w:div>
          </w:divsChild>
        </w:div>
        <w:div w:id="1831171175">
          <w:marLeft w:val="0"/>
          <w:marRight w:val="0"/>
          <w:marTop w:val="0"/>
          <w:marBottom w:val="0"/>
          <w:divBdr>
            <w:top w:val="none" w:sz="0" w:space="0" w:color="auto"/>
            <w:left w:val="none" w:sz="0" w:space="0" w:color="auto"/>
            <w:bottom w:val="none" w:sz="0" w:space="0" w:color="auto"/>
            <w:right w:val="none" w:sz="0" w:space="0" w:color="auto"/>
          </w:divBdr>
          <w:divsChild>
            <w:div w:id="307900339">
              <w:marLeft w:val="0"/>
              <w:marRight w:val="0"/>
              <w:marTop w:val="0"/>
              <w:marBottom w:val="0"/>
              <w:divBdr>
                <w:top w:val="none" w:sz="0" w:space="0" w:color="auto"/>
                <w:left w:val="none" w:sz="0" w:space="0" w:color="auto"/>
                <w:bottom w:val="none" w:sz="0" w:space="0" w:color="auto"/>
                <w:right w:val="none" w:sz="0" w:space="0" w:color="auto"/>
              </w:divBdr>
            </w:div>
            <w:div w:id="2002736958">
              <w:marLeft w:val="0"/>
              <w:marRight w:val="0"/>
              <w:marTop w:val="0"/>
              <w:marBottom w:val="0"/>
              <w:divBdr>
                <w:top w:val="none" w:sz="0" w:space="0" w:color="auto"/>
                <w:left w:val="none" w:sz="0" w:space="0" w:color="auto"/>
                <w:bottom w:val="none" w:sz="0" w:space="0" w:color="auto"/>
                <w:right w:val="none" w:sz="0" w:space="0" w:color="auto"/>
              </w:divBdr>
            </w:div>
            <w:div w:id="2054384887">
              <w:marLeft w:val="0"/>
              <w:marRight w:val="0"/>
              <w:marTop w:val="0"/>
              <w:marBottom w:val="0"/>
              <w:divBdr>
                <w:top w:val="none" w:sz="0" w:space="0" w:color="auto"/>
                <w:left w:val="none" w:sz="0" w:space="0" w:color="auto"/>
                <w:bottom w:val="none" w:sz="0" w:space="0" w:color="auto"/>
                <w:right w:val="none" w:sz="0" w:space="0" w:color="auto"/>
              </w:divBdr>
            </w:div>
          </w:divsChild>
        </w:div>
        <w:div w:id="1833644049">
          <w:marLeft w:val="0"/>
          <w:marRight w:val="0"/>
          <w:marTop w:val="0"/>
          <w:marBottom w:val="0"/>
          <w:divBdr>
            <w:top w:val="none" w:sz="0" w:space="0" w:color="auto"/>
            <w:left w:val="none" w:sz="0" w:space="0" w:color="auto"/>
            <w:bottom w:val="none" w:sz="0" w:space="0" w:color="auto"/>
            <w:right w:val="none" w:sz="0" w:space="0" w:color="auto"/>
          </w:divBdr>
          <w:divsChild>
            <w:div w:id="145245493">
              <w:marLeft w:val="0"/>
              <w:marRight w:val="0"/>
              <w:marTop w:val="0"/>
              <w:marBottom w:val="0"/>
              <w:divBdr>
                <w:top w:val="none" w:sz="0" w:space="0" w:color="auto"/>
                <w:left w:val="none" w:sz="0" w:space="0" w:color="auto"/>
                <w:bottom w:val="none" w:sz="0" w:space="0" w:color="auto"/>
                <w:right w:val="none" w:sz="0" w:space="0" w:color="auto"/>
              </w:divBdr>
            </w:div>
            <w:div w:id="574127663">
              <w:marLeft w:val="0"/>
              <w:marRight w:val="0"/>
              <w:marTop w:val="0"/>
              <w:marBottom w:val="0"/>
              <w:divBdr>
                <w:top w:val="none" w:sz="0" w:space="0" w:color="auto"/>
                <w:left w:val="none" w:sz="0" w:space="0" w:color="auto"/>
                <w:bottom w:val="none" w:sz="0" w:space="0" w:color="auto"/>
                <w:right w:val="none" w:sz="0" w:space="0" w:color="auto"/>
              </w:divBdr>
            </w:div>
          </w:divsChild>
        </w:div>
        <w:div w:id="1836916026">
          <w:marLeft w:val="0"/>
          <w:marRight w:val="0"/>
          <w:marTop w:val="0"/>
          <w:marBottom w:val="0"/>
          <w:divBdr>
            <w:top w:val="none" w:sz="0" w:space="0" w:color="auto"/>
            <w:left w:val="none" w:sz="0" w:space="0" w:color="auto"/>
            <w:bottom w:val="none" w:sz="0" w:space="0" w:color="auto"/>
            <w:right w:val="none" w:sz="0" w:space="0" w:color="auto"/>
          </w:divBdr>
          <w:divsChild>
            <w:div w:id="765811634">
              <w:marLeft w:val="0"/>
              <w:marRight w:val="0"/>
              <w:marTop w:val="0"/>
              <w:marBottom w:val="0"/>
              <w:divBdr>
                <w:top w:val="none" w:sz="0" w:space="0" w:color="auto"/>
                <w:left w:val="none" w:sz="0" w:space="0" w:color="auto"/>
                <w:bottom w:val="none" w:sz="0" w:space="0" w:color="auto"/>
                <w:right w:val="none" w:sz="0" w:space="0" w:color="auto"/>
              </w:divBdr>
            </w:div>
          </w:divsChild>
        </w:div>
        <w:div w:id="1837191175">
          <w:marLeft w:val="0"/>
          <w:marRight w:val="0"/>
          <w:marTop w:val="0"/>
          <w:marBottom w:val="0"/>
          <w:divBdr>
            <w:top w:val="none" w:sz="0" w:space="0" w:color="auto"/>
            <w:left w:val="none" w:sz="0" w:space="0" w:color="auto"/>
            <w:bottom w:val="none" w:sz="0" w:space="0" w:color="auto"/>
            <w:right w:val="none" w:sz="0" w:space="0" w:color="auto"/>
          </w:divBdr>
          <w:divsChild>
            <w:div w:id="340593334">
              <w:marLeft w:val="0"/>
              <w:marRight w:val="0"/>
              <w:marTop w:val="0"/>
              <w:marBottom w:val="0"/>
              <w:divBdr>
                <w:top w:val="none" w:sz="0" w:space="0" w:color="auto"/>
                <w:left w:val="none" w:sz="0" w:space="0" w:color="auto"/>
                <w:bottom w:val="none" w:sz="0" w:space="0" w:color="auto"/>
                <w:right w:val="none" w:sz="0" w:space="0" w:color="auto"/>
              </w:divBdr>
            </w:div>
          </w:divsChild>
        </w:div>
        <w:div w:id="1839811535">
          <w:marLeft w:val="0"/>
          <w:marRight w:val="0"/>
          <w:marTop w:val="0"/>
          <w:marBottom w:val="0"/>
          <w:divBdr>
            <w:top w:val="none" w:sz="0" w:space="0" w:color="auto"/>
            <w:left w:val="none" w:sz="0" w:space="0" w:color="auto"/>
            <w:bottom w:val="none" w:sz="0" w:space="0" w:color="auto"/>
            <w:right w:val="none" w:sz="0" w:space="0" w:color="auto"/>
          </w:divBdr>
          <w:divsChild>
            <w:div w:id="870530732">
              <w:marLeft w:val="0"/>
              <w:marRight w:val="0"/>
              <w:marTop w:val="0"/>
              <w:marBottom w:val="0"/>
              <w:divBdr>
                <w:top w:val="none" w:sz="0" w:space="0" w:color="auto"/>
                <w:left w:val="none" w:sz="0" w:space="0" w:color="auto"/>
                <w:bottom w:val="none" w:sz="0" w:space="0" w:color="auto"/>
                <w:right w:val="none" w:sz="0" w:space="0" w:color="auto"/>
              </w:divBdr>
            </w:div>
          </w:divsChild>
        </w:div>
        <w:div w:id="1840383543">
          <w:marLeft w:val="0"/>
          <w:marRight w:val="0"/>
          <w:marTop w:val="0"/>
          <w:marBottom w:val="0"/>
          <w:divBdr>
            <w:top w:val="none" w:sz="0" w:space="0" w:color="auto"/>
            <w:left w:val="none" w:sz="0" w:space="0" w:color="auto"/>
            <w:bottom w:val="none" w:sz="0" w:space="0" w:color="auto"/>
            <w:right w:val="none" w:sz="0" w:space="0" w:color="auto"/>
          </w:divBdr>
          <w:divsChild>
            <w:div w:id="1159924089">
              <w:marLeft w:val="0"/>
              <w:marRight w:val="0"/>
              <w:marTop w:val="0"/>
              <w:marBottom w:val="0"/>
              <w:divBdr>
                <w:top w:val="none" w:sz="0" w:space="0" w:color="auto"/>
                <w:left w:val="none" w:sz="0" w:space="0" w:color="auto"/>
                <w:bottom w:val="none" w:sz="0" w:space="0" w:color="auto"/>
                <w:right w:val="none" w:sz="0" w:space="0" w:color="auto"/>
              </w:divBdr>
            </w:div>
          </w:divsChild>
        </w:div>
        <w:div w:id="1849522805">
          <w:marLeft w:val="0"/>
          <w:marRight w:val="0"/>
          <w:marTop w:val="0"/>
          <w:marBottom w:val="0"/>
          <w:divBdr>
            <w:top w:val="none" w:sz="0" w:space="0" w:color="auto"/>
            <w:left w:val="none" w:sz="0" w:space="0" w:color="auto"/>
            <w:bottom w:val="none" w:sz="0" w:space="0" w:color="auto"/>
            <w:right w:val="none" w:sz="0" w:space="0" w:color="auto"/>
          </w:divBdr>
          <w:divsChild>
            <w:div w:id="137652521">
              <w:marLeft w:val="0"/>
              <w:marRight w:val="0"/>
              <w:marTop w:val="0"/>
              <w:marBottom w:val="0"/>
              <w:divBdr>
                <w:top w:val="none" w:sz="0" w:space="0" w:color="auto"/>
                <w:left w:val="none" w:sz="0" w:space="0" w:color="auto"/>
                <w:bottom w:val="none" w:sz="0" w:space="0" w:color="auto"/>
                <w:right w:val="none" w:sz="0" w:space="0" w:color="auto"/>
              </w:divBdr>
            </w:div>
            <w:div w:id="1872917952">
              <w:marLeft w:val="0"/>
              <w:marRight w:val="0"/>
              <w:marTop w:val="0"/>
              <w:marBottom w:val="0"/>
              <w:divBdr>
                <w:top w:val="none" w:sz="0" w:space="0" w:color="auto"/>
                <w:left w:val="none" w:sz="0" w:space="0" w:color="auto"/>
                <w:bottom w:val="none" w:sz="0" w:space="0" w:color="auto"/>
                <w:right w:val="none" w:sz="0" w:space="0" w:color="auto"/>
              </w:divBdr>
            </w:div>
            <w:div w:id="2067559165">
              <w:marLeft w:val="0"/>
              <w:marRight w:val="0"/>
              <w:marTop w:val="0"/>
              <w:marBottom w:val="0"/>
              <w:divBdr>
                <w:top w:val="none" w:sz="0" w:space="0" w:color="auto"/>
                <w:left w:val="none" w:sz="0" w:space="0" w:color="auto"/>
                <w:bottom w:val="none" w:sz="0" w:space="0" w:color="auto"/>
                <w:right w:val="none" w:sz="0" w:space="0" w:color="auto"/>
              </w:divBdr>
            </w:div>
          </w:divsChild>
        </w:div>
        <w:div w:id="1850676925">
          <w:marLeft w:val="0"/>
          <w:marRight w:val="0"/>
          <w:marTop w:val="0"/>
          <w:marBottom w:val="0"/>
          <w:divBdr>
            <w:top w:val="none" w:sz="0" w:space="0" w:color="auto"/>
            <w:left w:val="none" w:sz="0" w:space="0" w:color="auto"/>
            <w:bottom w:val="none" w:sz="0" w:space="0" w:color="auto"/>
            <w:right w:val="none" w:sz="0" w:space="0" w:color="auto"/>
          </w:divBdr>
          <w:divsChild>
            <w:div w:id="265504094">
              <w:marLeft w:val="0"/>
              <w:marRight w:val="0"/>
              <w:marTop w:val="0"/>
              <w:marBottom w:val="0"/>
              <w:divBdr>
                <w:top w:val="none" w:sz="0" w:space="0" w:color="auto"/>
                <w:left w:val="none" w:sz="0" w:space="0" w:color="auto"/>
                <w:bottom w:val="none" w:sz="0" w:space="0" w:color="auto"/>
                <w:right w:val="none" w:sz="0" w:space="0" w:color="auto"/>
              </w:divBdr>
            </w:div>
            <w:div w:id="546450032">
              <w:marLeft w:val="0"/>
              <w:marRight w:val="0"/>
              <w:marTop w:val="0"/>
              <w:marBottom w:val="0"/>
              <w:divBdr>
                <w:top w:val="none" w:sz="0" w:space="0" w:color="auto"/>
                <w:left w:val="none" w:sz="0" w:space="0" w:color="auto"/>
                <w:bottom w:val="none" w:sz="0" w:space="0" w:color="auto"/>
                <w:right w:val="none" w:sz="0" w:space="0" w:color="auto"/>
              </w:divBdr>
            </w:div>
            <w:div w:id="1053315252">
              <w:marLeft w:val="0"/>
              <w:marRight w:val="0"/>
              <w:marTop w:val="0"/>
              <w:marBottom w:val="0"/>
              <w:divBdr>
                <w:top w:val="none" w:sz="0" w:space="0" w:color="auto"/>
                <w:left w:val="none" w:sz="0" w:space="0" w:color="auto"/>
                <w:bottom w:val="none" w:sz="0" w:space="0" w:color="auto"/>
                <w:right w:val="none" w:sz="0" w:space="0" w:color="auto"/>
              </w:divBdr>
            </w:div>
            <w:div w:id="1166553117">
              <w:marLeft w:val="0"/>
              <w:marRight w:val="0"/>
              <w:marTop w:val="0"/>
              <w:marBottom w:val="0"/>
              <w:divBdr>
                <w:top w:val="none" w:sz="0" w:space="0" w:color="auto"/>
                <w:left w:val="none" w:sz="0" w:space="0" w:color="auto"/>
                <w:bottom w:val="none" w:sz="0" w:space="0" w:color="auto"/>
                <w:right w:val="none" w:sz="0" w:space="0" w:color="auto"/>
              </w:divBdr>
            </w:div>
            <w:div w:id="1327174567">
              <w:marLeft w:val="0"/>
              <w:marRight w:val="0"/>
              <w:marTop w:val="0"/>
              <w:marBottom w:val="0"/>
              <w:divBdr>
                <w:top w:val="none" w:sz="0" w:space="0" w:color="auto"/>
                <w:left w:val="none" w:sz="0" w:space="0" w:color="auto"/>
                <w:bottom w:val="none" w:sz="0" w:space="0" w:color="auto"/>
                <w:right w:val="none" w:sz="0" w:space="0" w:color="auto"/>
              </w:divBdr>
            </w:div>
            <w:div w:id="2111460773">
              <w:marLeft w:val="0"/>
              <w:marRight w:val="0"/>
              <w:marTop w:val="0"/>
              <w:marBottom w:val="0"/>
              <w:divBdr>
                <w:top w:val="none" w:sz="0" w:space="0" w:color="auto"/>
                <w:left w:val="none" w:sz="0" w:space="0" w:color="auto"/>
                <w:bottom w:val="none" w:sz="0" w:space="0" w:color="auto"/>
                <w:right w:val="none" w:sz="0" w:space="0" w:color="auto"/>
              </w:divBdr>
            </w:div>
          </w:divsChild>
        </w:div>
        <w:div w:id="1856260103">
          <w:marLeft w:val="0"/>
          <w:marRight w:val="0"/>
          <w:marTop w:val="0"/>
          <w:marBottom w:val="0"/>
          <w:divBdr>
            <w:top w:val="none" w:sz="0" w:space="0" w:color="auto"/>
            <w:left w:val="none" w:sz="0" w:space="0" w:color="auto"/>
            <w:bottom w:val="none" w:sz="0" w:space="0" w:color="auto"/>
            <w:right w:val="none" w:sz="0" w:space="0" w:color="auto"/>
          </w:divBdr>
          <w:divsChild>
            <w:div w:id="1095907929">
              <w:marLeft w:val="0"/>
              <w:marRight w:val="0"/>
              <w:marTop w:val="0"/>
              <w:marBottom w:val="0"/>
              <w:divBdr>
                <w:top w:val="none" w:sz="0" w:space="0" w:color="auto"/>
                <w:left w:val="none" w:sz="0" w:space="0" w:color="auto"/>
                <w:bottom w:val="none" w:sz="0" w:space="0" w:color="auto"/>
                <w:right w:val="none" w:sz="0" w:space="0" w:color="auto"/>
              </w:divBdr>
            </w:div>
          </w:divsChild>
        </w:div>
        <w:div w:id="1857646702">
          <w:marLeft w:val="0"/>
          <w:marRight w:val="0"/>
          <w:marTop w:val="0"/>
          <w:marBottom w:val="0"/>
          <w:divBdr>
            <w:top w:val="none" w:sz="0" w:space="0" w:color="auto"/>
            <w:left w:val="none" w:sz="0" w:space="0" w:color="auto"/>
            <w:bottom w:val="none" w:sz="0" w:space="0" w:color="auto"/>
            <w:right w:val="none" w:sz="0" w:space="0" w:color="auto"/>
          </w:divBdr>
          <w:divsChild>
            <w:div w:id="260603202">
              <w:marLeft w:val="0"/>
              <w:marRight w:val="0"/>
              <w:marTop w:val="0"/>
              <w:marBottom w:val="0"/>
              <w:divBdr>
                <w:top w:val="none" w:sz="0" w:space="0" w:color="auto"/>
                <w:left w:val="none" w:sz="0" w:space="0" w:color="auto"/>
                <w:bottom w:val="none" w:sz="0" w:space="0" w:color="auto"/>
                <w:right w:val="none" w:sz="0" w:space="0" w:color="auto"/>
              </w:divBdr>
            </w:div>
          </w:divsChild>
        </w:div>
        <w:div w:id="1862471256">
          <w:marLeft w:val="0"/>
          <w:marRight w:val="0"/>
          <w:marTop w:val="0"/>
          <w:marBottom w:val="0"/>
          <w:divBdr>
            <w:top w:val="none" w:sz="0" w:space="0" w:color="auto"/>
            <w:left w:val="none" w:sz="0" w:space="0" w:color="auto"/>
            <w:bottom w:val="none" w:sz="0" w:space="0" w:color="auto"/>
            <w:right w:val="none" w:sz="0" w:space="0" w:color="auto"/>
          </w:divBdr>
          <w:divsChild>
            <w:div w:id="1866478642">
              <w:marLeft w:val="0"/>
              <w:marRight w:val="0"/>
              <w:marTop w:val="0"/>
              <w:marBottom w:val="0"/>
              <w:divBdr>
                <w:top w:val="none" w:sz="0" w:space="0" w:color="auto"/>
                <w:left w:val="none" w:sz="0" w:space="0" w:color="auto"/>
                <w:bottom w:val="none" w:sz="0" w:space="0" w:color="auto"/>
                <w:right w:val="none" w:sz="0" w:space="0" w:color="auto"/>
              </w:divBdr>
            </w:div>
          </w:divsChild>
        </w:div>
        <w:div w:id="1863933179">
          <w:marLeft w:val="0"/>
          <w:marRight w:val="0"/>
          <w:marTop w:val="0"/>
          <w:marBottom w:val="0"/>
          <w:divBdr>
            <w:top w:val="none" w:sz="0" w:space="0" w:color="auto"/>
            <w:left w:val="none" w:sz="0" w:space="0" w:color="auto"/>
            <w:bottom w:val="none" w:sz="0" w:space="0" w:color="auto"/>
            <w:right w:val="none" w:sz="0" w:space="0" w:color="auto"/>
          </w:divBdr>
          <w:divsChild>
            <w:div w:id="1519200045">
              <w:marLeft w:val="0"/>
              <w:marRight w:val="0"/>
              <w:marTop w:val="0"/>
              <w:marBottom w:val="0"/>
              <w:divBdr>
                <w:top w:val="none" w:sz="0" w:space="0" w:color="auto"/>
                <w:left w:val="none" w:sz="0" w:space="0" w:color="auto"/>
                <w:bottom w:val="none" w:sz="0" w:space="0" w:color="auto"/>
                <w:right w:val="none" w:sz="0" w:space="0" w:color="auto"/>
              </w:divBdr>
            </w:div>
          </w:divsChild>
        </w:div>
        <w:div w:id="1864974780">
          <w:marLeft w:val="0"/>
          <w:marRight w:val="0"/>
          <w:marTop w:val="0"/>
          <w:marBottom w:val="0"/>
          <w:divBdr>
            <w:top w:val="none" w:sz="0" w:space="0" w:color="auto"/>
            <w:left w:val="none" w:sz="0" w:space="0" w:color="auto"/>
            <w:bottom w:val="none" w:sz="0" w:space="0" w:color="auto"/>
            <w:right w:val="none" w:sz="0" w:space="0" w:color="auto"/>
          </w:divBdr>
          <w:divsChild>
            <w:div w:id="2027169948">
              <w:marLeft w:val="0"/>
              <w:marRight w:val="0"/>
              <w:marTop w:val="0"/>
              <w:marBottom w:val="0"/>
              <w:divBdr>
                <w:top w:val="none" w:sz="0" w:space="0" w:color="auto"/>
                <w:left w:val="none" w:sz="0" w:space="0" w:color="auto"/>
                <w:bottom w:val="none" w:sz="0" w:space="0" w:color="auto"/>
                <w:right w:val="none" w:sz="0" w:space="0" w:color="auto"/>
              </w:divBdr>
            </w:div>
          </w:divsChild>
        </w:div>
        <w:div w:id="1871336878">
          <w:marLeft w:val="0"/>
          <w:marRight w:val="0"/>
          <w:marTop w:val="0"/>
          <w:marBottom w:val="0"/>
          <w:divBdr>
            <w:top w:val="none" w:sz="0" w:space="0" w:color="auto"/>
            <w:left w:val="none" w:sz="0" w:space="0" w:color="auto"/>
            <w:bottom w:val="none" w:sz="0" w:space="0" w:color="auto"/>
            <w:right w:val="none" w:sz="0" w:space="0" w:color="auto"/>
          </w:divBdr>
          <w:divsChild>
            <w:div w:id="1513178019">
              <w:marLeft w:val="0"/>
              <w:marRight w:val="0"/>
              <w:marTop w:val="0"/>
              <w:marBottom w:val="0"/>
              <w:divBdr>
                <w:top w:val="none" w:sz="0" w:space="0" w:color="auto"/>
                <w:left w:val="none" w:sz="0" w:space="0" w:color="auto"/>
                <w:bottom w:val="none" w:sz="0" w:space="0" w:color="auto"/>
                <w:right w:val="none" w:sz="0" w:space="0" w:color="auto"/>
              </w:divBdr>
            </w:div>
          </w:divsChild>
        </w:div>
        <w:div w:id="1872523578">
          <w:marLeft w:val="0"/>
          <w:marRight w:val="0"/>
          <w:marTop w:val="0"/>
          <w:marBottom w:val="0"/>
          <w:divBdr>
            <w:top w:val="none" w:sz="0" w:space="0" w:color="auto"/>
            <w:left w:val="none" w:sz="0" w:space="0" w:color="auto"/>
            <w:bottom w:val="none" w:sz="0" w:space="0" w:color="auto"/>
            <w:right w:val="none" w:sz="0" w:space="0" w:color="auto"/>
          </w:divBdr>
          <w:divsChild>
            <w:div w:id="1139540755">
              <w:marLeft w:val="0"/>
              <w:marRight w:val="0"/>
              <w:marTop w:val="0"/>
              <w:marBottom w:val="0"/>
              <w:divBdr>
                <w:top w:val="none" w:sz="0" w:space="0" w:color="auto"/>
                <w:left w:val="none" w:sz="0" w:space="0" w:color="auto"/>
                <w:bottom w:val="none" w:sz="0" w:space="0" w:color="auto"/>
                <w:right w:val="none" w:sz="0" w:space="0" w:color="auto"/>
              </w:divBdr>
            </w:div>
          </w:divsChild>
        </w:div>
        <w:div w:id="1882279580">
          <w:marLeft w:val="0"/>
          <w:marRight w:val="0"/>
          <w:marTop w:val="0"/>
          <w:marBottom w:val="0"/>
          <w:divBdr>
            <w:top w:val="none" w:sz="0" w:space="0" w:color="auto"/>
            <w:left w:val="none" w:sz="0" w:space="0" w:color="auto"/>
            <w:bottom w:val="none" w:sz="0" w:space="0" w:color="auto"/>
            <w:right w:val="none" w:sz="0" w:space="0" w:color="auto"/>
          </w:divBdr>
          <w:divsChild>
            <w:div w:id="160585520">
              <w:marLeft w:val="0"/>
              <w:marRight w:val="0"/>
              <w:marTop w:val="0"/>
              <w:marBottom w:val="0"/>
              <w:divBdr>
                <w:top w:val="none" w:sz="0" w:space="0" w:color="auto"/>
                <w:left w:val="none" w:sz="0" w:space="0" w:color="auto"/>
                <w:bottom w:val="none" w:sz="0" w:space="0" w:color="auto"/>
                <w:right w:val="none" w:sz="0" w:space="0" w:color="auto"/>
              </w:divBdr>
            </w:div>
          </w:divsChild>
        </w:div>
        <w:div w:id="1896970202">
          <w:marLeft w:val="0"/>
          <w:marRight w:val="0"/>
          <w:marTop w:val="0"/>
          <w:marBottom w:val="0"/>
          <w:divBdr>
            <w:top w:val="none" w:sz="0" w:space="0" w:color="auto"/>
            <w:left w:val="none" w:sz="0" w:space="0" w:color="auto"/>
            <w:bottom w:val="none" w:sz="0" w:space="0" w:color="auto"/>
            <w:right w:val="none" w:sz="0" w:space="0" w:color="auto"/>
          </w:divBdr>
          <w:divsChild>
            <w:div w:id="232860057">
              <w:marLeft w:val="0"/>
              <w:marRight w:val="0"/>
              <w:marTop w:val="0"/>
              <w:marBottom w:val="0"/>
              <w:divBdr>
                <w:top w:val="none" w:sz="0" w:space="0" w:color="auto"/>
                <w:left w:val="none" w:sz="0" w:space="0" w:color="auto"/>
                <w:bottom w:val="none" w:sz="0" w:space="0" w:color="auto"/>
                <w:right w:val="none" w:sz="0" w:space="0" w:color="auto"/>
              </w:divBdr>
            </w:div>
            <w:div w:id="1984042192">
              <w:marLeft w:val="0"/>
              <w:marRight w:val="0"/>
              <w:marTop w:val="0"/>
              <w:marBottom w:val="0"/>
              <w:divBdr>
                <w:top w:val="none" w:sz="0" w:space="0" w:color="auto"/>
                <w:left w:val="none" w:sz="0" w:space="0" w:color="auto"/>
                <w:bottom w:val="none" w:sz="0" w:space="0" w:color="auto"/>
                <w:right w:val="none" w:sz="0" w:space="0" w:color="auto"/>
              </w:divBdr>
            </w:div>
          </w:divsChild>
        </w:div>
        <w:div w:id="1898320877">
          <w:marLeft w:val="0"/>
          <w:marRight w:val="0"/>
          <w:marTop w:val="0"/>
          <w:marBottom w:val="0"/>
          <w:divBdr>
            <w:top w:val="none" w:sz="0" w:space="0" w:color="auto"/>
            <w:left w:val="none" w:sz="0" w:space="0" w:color="auto"/>
            <w:bottom w:val="none" w:sz="0" w:space="0" w:color="auto"/>
            <w:right w:val="none" w:sz="0" w:space="0" w:color="auto"/>
          </w:divBdr>
          <w:divsChild>
            <w:div w:id="441808716">
              <w:marLeft w:val="0"/>
              <w:marRight w:val="0"/>
              <w:marTop w:val="0"/>
              <w:marBottom w:val="0"/>
              <w:divBdr>
                <w:top w:val="none" w:sz="0" w:space="0" w:color="auto"/>
                <w:left w:val="none" w:sz="0" w:space="0" w:color="auto"/>
                <w:bottom w:val="none" w:sz="0" w:space="0" w:color="auto"/>
                <w:right w:val="none" w:sz="0" w:space="0" w:color="auto"/>
              </w:divBdr>
            </w:div>
            <w:div w:id="1423992635">
              <w:marLeft w:val="0"/>
              <w:marRight w:val="0"/>
              <w:marTop w:val="0"/>
              <w:marBottom w:val="0"/>
              <w:divBdr>
                <w:top w:val="none" w:sz="0" w:space="0" w:color="auto"/>
                <w:left w:val="none" w:sz="0" w:space="0" w:color="auto"/>
                <w:bottom w:val="none" w:sz="0" w:space="0" w:color="auto"/>
                <w:right w:val="none" w:sz="0" w:space="0" w:color="auto"/>
              </w:divBdr>
            </w:div>
          </w:divsChild>
        </w:div>
        <w:div w:id="1901399858">
          <w:marLeft w:val="0"/>
          <w:marRight w:val="0"/>
          <w:marTop w:val="0"/>
          <w:marBottom w:val="0"/>
          <w:divBdr>
            <w:top w:val="none" w:sz="0" w:space="0" w:color="auto"/>
            <w:left w:val="none" w:sz="0" w:space="0" w:color="auto"/>
            <w:bottom w:val="none" w:sz="0" w:space="0" w:color="auto"/>
            <w:right w:val="none" w:sz="0" w:space="0" w:color="auto"/>
          </w:divBdr>
          <w:divsChild>
            <w:div w:id="569848485">
              <w:marLeft w:val="0"/>
              <w:marRight w:val="0"/>
              <w:marTop w:val="0"/>
              <w:marBottom w:val="0"/>
              <w:divBdr>
                <w:top w:val="none" w:sz="0" w:space="0" w:color="auto"/>
                <w:left w:val="none" w:sz="0" w:space="0" w:color="auto"/>
                <w:bottom w:val="none" w:sz="0" w:space="0" w:color="auto"/>
                <w:right w:val="none" w:sz="0" w:space="0" w:color="auto"/>
              </w:divBdr>
            </w:div>
            <w:div w:id="1893729274">
              <w:marLeft w:val="0"/>
              <w:marRight w:val="0"/>
              <w:marTop w:val="0"/>
              <w:marBottom w:val="0"/>
              <w:divBdr>
                <w:top w:val="none" w:sz="0" w:space="0" w:color="auto"/>
                <w:left w:val="none" w:sz="0" w:space="0" w:color="auto"/>
                <w:bottom w:val="none" w:sz="0" w:space="0" w:color="auto"/>
                <w:right w:val="none" w:sz="0" w:space="0" w:color="auto"/>
              </w:divBdr>
            </w:div>
          </w:divsChild>
        </w:div>
        <w:div w:id="1904220258">
          <w:marLeft w:val="0"/>
          <w:marRight w:val="0"/>
          <w:marTop w:val="0"/>
          <w:marBottom w:val="0"/>
          <w:divBdr>
            <w:top w:val="none" w:sz="0" w:space="0" w:color="auto"/>
            <w:left w:val="none" w:sz="0" w:space="0" w:color="auto"/>
            <w:bottom w:val="none" w:sz="0" w:space="0" w:color="auto"/>
            <w:right w:val="none" w:sz="0" w:space="0" w:color="auto"/>
          </w:divBdr>
          <w:divsChild>
            <w:div w:id="545527361">
              <w:marLeft w:val="0"/>
              <w:marRight w:val="0"/>
              <w:marTop w:val="0"/>
              <w:marBottom w:val="0"/>
              <w:divBdr>
                <w:top w:val="none" w:sz="0" w:space="0" w:color="auto"/>
                <w:left w:val="none" w:sz="0" w:space="0" w:color="auto"/>
                <w:bottom w:val="none" w:sz="0" w:space="0" w:color="auto"/>
                <w:right w:val="none" w:sz="0" w:space="0" w:color="auto"/>
              </w:divBdr>
            </w:div>
            <w:div w:id="1200971535">
              <w:marLeft w:val="0"/>
              <w:marRight w:val="0"/>
              <w:marTop w:val="0"/>
              <w:marBottom w:val="0"/>
              <w:divBdr>
                <w:top w:val="none" w:sz="0" w:space="0" w:color="auto"/>
                <w:left w:val="none" w:sz="0" w:space="0" w:color="auto"/>
                <w:bottom w:val="none" w:sz="0" w:space="0" w:color="auto"/>
                <w:right w:val="none" w:sz="0" w:space="0" w:color="auto"/>
              </w:divBdr>
            </w:div>
          </w:divsChild>
        </w:div>
        <w:div w:id="1905602917">
          <w:marLeft w:val="0"/>
          <w:marRight w:val="0"/>
          <w:marTop w:val="0"/>
          <w:marBottom w:val="0"/>
          <w:divBdr>
            <w:top w:val="none" w:sz="0" w:space="0" w:color="auto"/>
            <w:left w:val="none" w:sz="0" w:space="0" w:color="auto"/>
            <w:bottom w:val="none" w:sz="0" w:space="0" w:color="auto"/>
            <w:right w:val="none" w:sz="0" w:space="0" w:color="auto"/>
          </w:divBdr>
          <w:divsChild>
            <w:div w:id="1881891666">
              <w:marLeft w:val="0"/>
              <w:marRight w:val="0"/>
              <w:marTop w:val="0"/>
              <w:marBottom w:val="0"/>
              <w:divBdr>
                <w:top w:val="none" w:sz="0" w:space="0" w:color="auto"/>
                <w:left w:val="none" w:sz="0" w:space="0" w:color="auto"/>
                <w:bottom w:val="none" w:sz="0" w:space="0" w:color="auto"/>
                <w:right w:val="none" w:sz="0" w:space="0" w:color="auto"/>
              </w:divBdr>
            </w:div>
          </w:divsChild>
        </w:div>
        <w:div w:id="1908420723">
          <w:marLeft w:val="0"/>
          <w:marRight w:val="0"/>
          <w:marTop w:val="0"/>
          <w:marBottom w:val="0"/>
          <w:divBdr>
            <w:top w:val="none" w:sz="0" w:space="0" w:color="auto"/>
            <w:left w:val="none" w:sz="0" w:space="0" w:color="auto"/>
            <w:bottom w:val="none" w:sz="0" w:space="0" w:color="auto"/>
            <w:right w:val="none" w:sz="0" w:space="0" w:color="auto"/>
          </w:divBdr>
          <w:divsChild>
            <w:div w:id="224222614">
              <w:marLeft w:val="0"/>
              <w:marRight w:val="0"/>
              <w:marTop w:val="0"/>
              <w:marBottom w:val="0"/>
              <w:divBdr>
                <w:top w:val="none" w:sz="0" w:space="0" w:color="auto"/>
                <w:left w:val="none" w:sz="0" w:space="0" w:color="auto"/>
                <w:bottom w:val="none" w:sz="0" w:space="0" w:color="auto"/>
                <w:right w:val="none" w:sz="0" w:space="0" w:color="auto"/>
              </w:divBdr>
            </w:div>
          </w:divsChild>
        </w:div>
        <w:div w:id="1909223006">
          <w:marLeft w:val="0"/>
          <w:marRight w:val="0"/>
          <w:marTop w:val="0"/>
          <w:marBottom w:val="0"/>
          <w:divBdr>
            <w:top w:val="none" w:sz="0" w:space="0" w:color="auto"/>
            <w:left w:val="none" w:sz="0" w:space="0" w:color="auto"/>
            <w:bottom w:val="none" w:sz="0" w:space="0" w:color="auto"/>
            <w:right w:val="none" w:sz="0" w:space="0" w:color="auto"/>
          </w:divBdr>
          <w:divsChild>
            <w:div w:id="1438670043">
              <w:marLeft w:val="0"/>
              <w:marRight w:val="0"/>
              <w:marTop w:val="0"/>
              <w:marBottom w:val="0"/>
              <w:divBdr>
                <w:top w:val="none" w:sz="0" w:space="0" w:color="auto"/>
                <w:left w:val="none" w:sz="0" w:space="0" w:color="auto"/>
                <w:bottom w:val="none" w:sz="0" w:space="0" w:color="auto"/>
                <w:right w:val="none" w:sz="0" w:space="0" w:color="auto"/>
              </w:divBdr>
            </w:div>
          </w:divsChild>
        </w:div>
        <w:div w:id="1914972776">
          <w:marLeft w:val="0"/>
          <w:marRight w:val="0"/>
          <w:marTop w:val="0"/>
          <w:marBottom w:val="0"/>
          <w:divBdr>
            <w:top w:val="none" w:sz="0" w:space="0" w:color="auto"/>
            <w:left w:val="none" w:sz="0" w:space="0" w:color="auto"/>
            <w:bottom w:val="none" w:sz="0" w:space="0" w:color="auto"/>
            <w:right w:val="none" w:sz="0" w:space="0" w:color="auto"/>
          </w:divBdr>
          <w:divsChild>
            <w:div w:id="205994952">
              <w:marLeft w:val="0"/>
              <w:marRight w:val="0"/>
              <w:marTop w:val="0"/>
              <w:marBottom w:val="0"/>
              <w:divBdr>
                <w:top w:val="none" w:sz="0" w:space="0" w:color="auto"/>
                <w:left w:val="none" w:sz="0" w:space="0" w:color="auto"/>
                <w:bottom w:val="none" w:sz="0" w:space="0" w:color="auto"/>
                <w:right w:val="none" w:sz="0" w:space="0" w:color="auto"/>
              </w:divBdr>
            </w:div>
            <w:div w:id="317535308">
              <w:marLeft w:val="0"/>
              <w:marRight w:val="0"/>
              <w:marTop w:val="0"/>
              <w:marBottom w:val="0"/>
              <w:divBdr>
                <w:top w:val="none" w:sz="0" w:space="0" w:color="auto"/>
                <w:left w:val="none" w:sz="0" w:space="0" w:color="auto"/>
                <w:bottom w:val="none" w:sz="0" w:space="0" w:color="auto"/>
                <w:right w:val="none" w:sz="0" w:space="0" w:color="auto"/>
              </w:divBdr>
            </w:div>
          </w:divsChild>
        </w:div>
        <w:div w:id="1918661759">
          <w:marLeft w:val="0"/>
          <w:marRight w:val="0"/>
          <w:marTop w:val="0"/>
          <w:marBottom w:val="0"/>
          <w:divBdr>
            <w:top w:val="none" w:sz="0" w:space="0" w:color="auto"/>
            <w:left w:val="none" w:sz="0" w:space="0" w:color="auto"/>
            <w:bottom w:val="none" w:sz="0" w:space="0" w:color="auto"/>
            <w:right w:val="none" w:sz="0" w:space="0" w:color="auto"/>
          </w:divBdr>
          <w:divsChild>
            <w:div w:id="806513274">
              <w:marLeft w:val="0"/>
              <w:marRight w:val="0"/>
              <w:marTop w:val="0"/>
              <w:marBottom w:val="0"/>
              <w:divBdr>
                <w:top w:val="none" w:sz="0" w:space="0" w:color="auto"/>
                <w:left w:val="none" w:sz="0" w:space="0" w:color="auto"/>
                <w:bottom w:val="none" w:sz="0" w:space="0" w:color="auto"/>
                <w:right w:val="none" w:sz="0" w:space="0" w:color="auto"/>
              </w:divBdr>
            </w:div>
          </w:divsChild>
        </w:div>
        <w:div w:id="1923755099">
          <w:marLeft w:val="0"/>
          <w:marRight w:val="0"/>
          <w:marTop w:val="0"/>
          <w:marBottom w:val="0"/>
          <w:divBdr>
            <w:top w:val="none" w:sz="0" w:space="0" w:color="auto"/>
            <w:left w:val="none" w:sz="0" w:space="0" w:color="auto"/>
            <w:bottom w:val="none" w:sz="0" w:space="0" w:color="auto"/>
            <w:right w:val="none" w:sz="0" w:space="0" w:color="auto"/>
          </w:divBdr>
          <w:divsChild>
            <w:div w:id="1623730819">
              <w:marLeft w:val="0"/>
              <w:marRight w:val="0"/>
              <w:marTop w:val="0"/>
              <w:marBottom w:val="0"/>
              <w:divBdr>
                <w:top w:val="none" w:sz="0" w:space="0" w:color="auto"/>
                <w:left w:val="none" w:sz="0" w:space="0" w:color="auto"/>
                <w:bottom w:val="none" w:sz="0" w:space="0" w:color="auto"/>
                <w:right w:val="none" w:sz="0" w:space="0" w:color="auto"/>
              </w:divBdr>
            </w:div>
          </w:divsChild>
        </w:div>
        <w:div w:id="1924414171">
          <w:marLeft w:val="0"/>
          <w:marRight w:val="0"/>
          <w:marTop w:val="0"/>
          <w:marBottom w:val="0"/>
          <w:divBdr>
            <w:top w:val="none" w:sz="0" w:space="0" w:color="auto"/>
            <w:left w:val="none" w:sz="0" w:space="0" w:color="auto"/>
            <w:bottom w:val="none" w:sz="0" w:space="0" w:color="auto"/>
            <w:right w:val="none" w:sz="0" w:space="0" w:color="auto"/>
          </w:divBdr>
          <w:divsChild>
            <w:div w:id="1766993025">
              <w:marLeft w:val="0"/>
              <w:marRight w:val="0"/>
              <w:marTop w:val="0"/>
              <w:marBottom w:val="0"/>
              <w:divBdr>
                <w:top w:val="none" w:sz="0" w:space="0" w:color="auto"/>
                <w:left w:val="none" w:sz="0" w:space="0" w:color="auto"/>
                <w:bottom w:val="none" w:sz="0" w:space="0" w:color="auto"/>
                <w:right w:val="none" w:sz="0" w:space="0" w:color="auto"/>
              </w:divBdr>
            </w:div>
          </w:divsChild>
        </w:div>
        <w:div w:id="1924605429">
          <w:marLeft w:val="0"/>
          <w:marRight w:val="0"/>
          <w:marTop w:val="0"/>
          <w:marBottom w:val="0"/>
          <w:divBdr>
            <w:top w:val="none" w:sz="0" w:space="0" w:color="auto"/>
            <w:left w:val="none" w:sz="0" w:space="0" w:color="auto"/>
            <w:bottom w:val="none" w:sz="0" w:space="0" w:color="auto"/>
            <w:right w:val="none" w:sz="0" w:space="0" w:color="auto"/>
          </w:divBdr>
          <w:divsChild>
            <w:div w:id="1866021865">
              <w:marLeft w:val="0"/>
              <w:marRight w:val="0"/>
              <w:marTop w:val="0"/>
              <w:marBottom w:val="0"/>
              <w:divBdr>
                <w:top w:val="none" w:sz="0" w:space="0" w:color="auto"/>
                <w:left w:val="none" w:sz="0" w:space="0" w:color="auto"/>
                <w:bottom w:val="none" w:sz="0" w:space="0" w:color="auto"/>
                <w:right w:val="none" w:sz="0" w:space="0" w:color="auto"/>
              </w:divBdr>
            </w:div>
          </w:divsChild>
        </w:div>
        <w:div w:id="1925649226">
          <w:marLeft w:val="0"/>
          <w:marRight w:val="0"/>
          <w:marTop w:val="0"/>
          <w:marBottom w:val="0"/>
          <w:divBdr>
            <w:top w:val="none" w:sz="0" w:space="0" w:color="auto"/>
            <w:left w:val="none" w:sz="0" w:space="0" w:color="auto"/>
            <w:bottom w:val="none" w:sz="0" w:space="0" w:color="auto"/>
            <w:right w:val="none" w:sz="0" w:space="0" w:color="auto"/>
          </w:divBdr>
          <w:divsChild>
            <w:div w:id="844982085">
              <w:marLeft w:val="0"/>
              <w:marRight w:val="0"/>
              <w:marTop w:val="0"/>
              <w:marBottom w:val="0"/>
              <w:divBdr>
                <w:top w:val="none" w:sz="0" w:space="0" w:color="auto"/>
                <w:left w:val="none" w:sz="0" w:space="0" w:color="auto"/>
                <w:bottom w:val="none" w:sz="0" w:space="0" w:color="auto"/>
                <w:right w:val="none" w:sz="0" w:space="0" w:color="auto"/>
              </w:divBdr>
            </w:div>
          </w:divsChild>
        </w:div>
        <w:div w:id="1936671088">
          <w:marLeft w:val="0"/>
          <w:marRight w:val="0"/>
          <w:marTop w:val="0"/>
          <w:marBottom w:val="0"/>
          <w:divBdr>
            <w:top w:val="none" w:sz="0" w:space="0" w:color="auto"/>
            <w:left w:val="none" w:sz="0" w:space="0" w:color="auto"/>
            <w:bottom w:val="none" w:sz="0" w:space="0" w:color="auto"/>
            <w:right w:val="none" w:sz="0" w:space="0" w:color="auto"/>
          </w:divBdr>
          <w:divsChild>
            <w:div w:id="23797087">
              <w:marLeft w:val="0"/>
              <w:marRight w:val="0"/>
              <w:marTop w:val="0"/>
              <w:marBottom w:val="0"/>
              <w:divBdr>
                <w:top w:val="none" w:sz="0" w:space="0" w:color="auto"/>
                <w:left w:val="none" w:sz="0" w:space="0" w:color="auto"/>
                <w:bottom w:val="none" w:sz="0" w:space="0" w:color="auto"/>
                <w:right w:val="none" w:sz="0" w:space="0" w:color="auto"/>
              </w:divBdr>
            </w:div>
            <w:div w:id="527762824">
              <w:marLeft w:val="0"/>
              <w:marRight w:val="0"/>
              <w:marTop w:val="0"/>
              <w:marBottom w:val="0"/>
              <w:divBdr>
                <w:top w:val="none" w:sz="0" w:space="0" w:color="auto"/>
                <w:left w:val="none" w:sz="0" w:space="0" w:color="auto"/>
                <w:bottom w:val="none" w:sz="0" w:space="0" w:color="auto"/>
                <w:right w:val="none" w:sz="0" w:space="0" w:color="auto"/>
              </w:divBdr>
            </w:div>
            <w:div w:id="624577060">
              <w:marLeft w:val="0"/>
              <w:marRight w:val="0"/>
              <w:marTop w:val="0"/>
              <w:marBottom w:val="0"/>
              <w:divBdr>
                <w:top w:val="none" w:sz="0" w:space="0" w:color="auto"/>
                <w:left w:val="none" w:sz="0" w:space="0" w:color="auto"/>
                <w:bottom w:val="none" w:sz="0" w:space="0" w:color="auto"/>
                <w:right w:val="none" w:sz="0" w:space="0" w:color="auto"/>
              </w:divBdr>
            </w:div>
            <w:div w:id="688020223">
              <w:marLeft w:val="0"/>
              <w:marRight w:val="0"/>
              <w:marTop w:val="0"/>
              <w:marBottom w:val="0"/>
              <w:divBdr>
                <w:top w:val="none" w:sz="0" w:space="0" w:color="auto"/>
                <w:left w:val="none" w:sz="0" w:space="0" w:color="auto"/>
                <w:bottom w:val="none" w:sz="0" w:space="0" w:color="auto"/>
                <w:right w:val="none" w:sz="0" w:space="0" w:color="auto"/>
              </w:divBdr>
            </w:div>
            <w:div w:id="704015967">
              <w:marLeft w:val="0"/>
              <w:marRight w:val="0"/>
              <w:marTop w:val="0"/>
              <w:marBottom w:val="0"/>
              <w:divBdr>
                <w:top w:val="none" w:sz="0" w:space="0" w:color="auto"/>
                <w:left w:val="none" w:sz="0" w:space="0" w:color="auto"/>
                <w:bottom w:val="none" w:sz="0" w:space="0" w:color="auto"/>
                <w:right w:val="none" w:sz="0" w:space="0" w:color="auto"/>
              </w:divBdr>
            </w:div>
            <w:div w:id="734009532">
              <w:marLeft w:val="0"/>
              <w:marRight w:val="0"/>
              <w:marTop w:val="0"/>
              <w:marBottom w:val="0"/>
              <w:divBdr>
                <w:top w:val="none" w:sz="0" w:space="0" w:color="auto"/>
                <w:left w:val="none" w:sz="0" w:space="0" w:color="auto"/>
                <w:bottom w:val="none" w:sz="0" w:space="0" w:color="auto"/>
                <w:right w:val="none" w:sz="0" w:space="0" w:color="auto"/>
              </w:divBdr>
            </w:div>
            <w:div w:id="1253470240">
              <w:marLeft w:val="0"/>
              <w:marRight w:val="0"/>
              <w:marTop w:val="0"/>
              <w:marBottom w:val="0"/>
              <w:divBdr>
                <w:top w:val="none" w:sz="0" w:space="0" w:color="auto"/>
                <w:left w:val="none" w:sz="0" w:space="0" w:color="auto"/>
                <w:bottom w:val="none" w:sz="0" w:space="0" w:color="auto"/>
                <w:right w:val="none" w:sz="0" w:space="0" w:color="auto"/>
              </w:divBdr>
            </w:div>
            <w:div w:id="1603414423">
              <w:marLeft w:val="0"/>
              <w:marRight w:val="0"/>
              <w:marTop w:val="0"/>
              <w:marBottom w:val="0"/>
              <w:divBdr>
                <w:top w:val="none" w:sz="0" w:space="0" w:color="auto"/>
                <w:left w:val="none" w:sz="0" w:space="0" w:color="auto"/>
                <w:bottom w:val="none" w:sz="0" w:space="0" w:color="auto"/>
                <w:right w:val="none" w:sz="0" w:space="0" w:color="auto"/>
              </w:divBdr>
            </w:div>
            <w:div w:id="1657342150">
              <w:marLeft w:val="0"/>
              <w:marRight w:val="0"/>
              <w:marTop w:val="0"/>
              <w:marBottom w:val="0"/>
              <w:divBdr>
                <w:top w:val="none" w:sz="0" w:space="0" w:color="auto"/>
                <w:left w:val="none" w:sz="0" w:space="0" w:color="auto"/>
                <w:bottom w:val="none" w:sz="0" w:space="0" w:color="auto"/>
                <w:right w:val="none" w:sz="0" w:space="0" w:color="auto"/>
              </w:divBdr>
            </w:div>
            <w:div w:id="1733500429">
              <w:marLeft w:val="0"/>
              <w:marRight w:val="0"/>
              <w:marTop w:val="0"/>
              <w:marBottom w:val="0"/>
              <w:divBdr>
                <w:top w:val="none" w:sz="0" w:space="0" w:color="auto"/>
                <w:left w:val="none" w:sz="0" w:space="0" w:color="auto"/>
                <w:bottom w:val="none" w:sz="0" w:space="0" w:color="auto"/>
                <w:right w:val="none" w:sz="0" w:space="0" w:color="auto"/>
              </w:divBdr>
            </w:div>
            <w:div w:id="2049794504">
              <w:marLeft w:val="0"/>
              <w:marRight w:val="0"/>
              <w:marTop w:val="0"/>
              <w:marBottom w:val="0"/>
              <w:divBdr>
                <w:top w:val="none" w:sz="0" w:space="0" w:color="auto"/>
                <w:left w:val="none" w:sz="0" w:space="0" w:color="auto"/>
                <w:bottom w:val="none" w:sz="0" w:space="0" w:color="auto"/>
                <w:right w:val="none" w:sz="0" w:space="0" w:color="auto"/>
              </w:divBdr>
            </w:div>
          </w:divsChild>
        </w:div>
        <w:div w:id="1939823720">
          <w:marLeft w:val="0"/>
          <w:marRight w:val="0"/>
          <w:marTop w:val="0"/>
          <w:marBottom w:val="0"/>
          <w:divBdr>
            <w:top w:val="none" w:sz="0" w:space="0" w:color="auto"/>
            <w:left w:val="none" w:sz="0" w:space="0" w:color="auto"/>
            <w:bottom w:val="none" w:sz="0" w:space="0" w:color="auto"/>
            <w:right w:val="none" w:sz="0" w:space="0" w:color="auto"/>
          </w:divBdr>
          <w:divsChild>
            <w:div w:id="1550996038">
              <w:marLeft w:val="0"/>
              <w:marRight w:val="0"/>
              <w:marTop w:val="0"/>
              <w:marBottom w:val="0"/>
              <w:divBdr>
                <w:top w:val="none" w:sz="0" w:space="0" w:color="auto"/>
                <w:left w:val="none" w:sz="0" w:space="0" w:color="auto"/>
                <w:bottom w:val="none" w:sz="0" w:space="0" w:color="auto"/>
                <w:right w:val="none" w:sz="0" w:space="0" w:color="auto"/>
              </w:divBdr>
            </w:div>
          </w:divsChild>
        </w:div>
        <w:div w:id="1940791719">
          <w:marLeft w:val="0"/>
          <w:marRight w:val="0"/>
          <w:marTop w:val="0"/>
          <w:marBottom w:val="0"/>
          <w:divBdr>
            <w:top w:val="none" w:sz="0" w:space="0" w:color="auto"/>
            <w:left w:val="none" w:sz="0" w:space="0" w:color="auto"/>
            <w:bottom w:val="none" w:sz="0" w:space="0" w:color="auto"/>
            <w:right w:val="none" w:sz="0" w:space="0" w:color="auto"/>
          </w:divBdr>
          <w:divsChild>
            <w:div w:id="408428592">
              <w:marLeft w:val="0"/>
              <w:marRight w:val="0"/>
              <w:marTop w:val="0"/>
              <w:marBottom w:val="0"/>
              <w:divBdr>
                <w:top w:val="none" w:sz="0" w:space="0" w:color="auto"/>
                <w:left w:val="none" w:sz="0" w:space="0" w:color="auto"/>
                <w:bottom w:val="none" w:sz="0" w:space="0" w:color="auto"/>
                <w:right w:val="none" w:sz="0" w:space="0" w:color="auto"/>
              </w:divBdr>
            </w:div>
          </w:divsChild>
        </w:div>
        <w:div w:id="1942834977">
          <w:marLeft w:val="0"/>
          <w:marRight w:val="0"/>
          <w:marTop w:val="0"/>
          <w:marBottom w:val="0"/>
          <w:divBdr>
            <w:top w:val="none" w:sz="0" w:space="0" w:color="auto"/>
            <w:left w:val="none" w:sz="0" w:space="0" w:color="auto"/>
            <w:bottom w:val="none" w:sz="0" w:space="0" w:color="auto"/>
            <w:right w:val="none" w:sz="0" w:space="0" w:color="auto"/>
          </w:divBdr>
          <w:divsChild>
            <w:div w:id="538275814">
              <w:marLeft w:val="0"/>
              <w:marRight w:val="0"/>
              <w:marTop w:val="0"/>
              <w:marBottom w:val="0"/>
              <w:divBdr>
                <w:top w:val="none" w:sz="0" w:space="0" w:color="auto"/>
                <w:left w:val="none" w:sz="0" w:space="0" w:color="auto"/>
                <w:bottom w:val="none" w:sz="0" w:space="0" w:color="auto"/>
                <w:right w:val="none" w:sz="0" w:space="0" w:color="auto"/>
              </w:divBdr>
            </w:div>
          </w:divsChild>
        </w:div>
        <w:div w:id="1949924097">
          <w:marLeft w:val="0"/>
          <w:marRight w:val="0"/>
          <w:marTop w:val="0"/>
          <w:marBottom w:val="0"/>
          <w:divBdr>
            <w:top w:val="none" w:sz="0" w:space="0" w:color="auto"/>
            <w:left w:val="none" w:sz="0" w:space="0" w:color="auto"/>
            <w:bottom w:val="none" w:sz="0" w:space="0" w:color="auto"/>
            <w:right w:val="none" w:sz="0" w:space="0" w:color="auto"/>
          </w:divBdr>
          <w:divsChild>
            <w:div w:id="427384577">
              <w:marLeft w:val="0"/>
              <w:marRight w:val="0"/>
              <w:marTop w:val="0"/>
              <w:marBottom w:val="0"/>
              <w:divBdr>
                <w:top w:val="none" w:sz="0" w:space="0" w:color="auto"/>
                <w:left w:val="none" w:sz="0" w:space="0" w:color="auto"/>
                <w:bottom w:val="none" w:sz="0" w:space="0" w:color="auto"/>
                <w:right w:val="none" w:sz="0" w:space="0" w:color="auto"/>
              </w:divBdr>
            </w:div>
            <w:div w:id="1274750875">
              <w:marLeft w:val="0"/>
              <w:marRight w:val="0"/>
              <w:marTop w:val="0"/>
              <w:marBottom w:val="0"/>
              <w:divBdr>
                <w:top w:val="none" w:sz="0" w:space="0" w:color="auto"/>
                <w:left w:val="none" w:sz="0" w:space="0" w:color="auto"/>
                <w:bottom w:val="none" w:sz="0" w:space="0" w:color="auto"/>
                <w:right w:val="none" w:sz="0" w:space="0" w:color="auto"/>
              </w:divBdr>
            </w:div>
          </w:divsChild>
        </w:div>
        <w:div w:id="1951205844">
          <w:marLeft w:val="0"/>
          <w:marRight w:val="0"/>
          <w:marTop w:val="0"/>
          <w:marBottom w:val="0"/>
          <w:divBdr>
            <w:top w:val="none" w:sz="0" w:space="0" w:color="auto"/>
            <w:left w:val="none" w:sz="0" w:space="0" w:color="auto"/>
            <w:bottom w:val="none" w:sz="0" w:space="0" w:color="auto"/>
            <w:right w:val="none" w:sz="0" w:space="0" w:color="auto"/>
          </w:divBdr>
          <w:divsChild>
            <w:div w:id="1627738214">
              <w:marLeft w:val="0"/>
              <w:marRight w:val="0"/>
              <w:marTop w:val="0"/>
              <w:marBottom w:val="0"/>
              <w:divBdr>
                <w:top w:val="none" w:sz="0" w:space="0" w:color="auto"/>
                <w:left w:val="none" w:sz="0" w:space="0" w:color="auto"/>
                <w:bottom w:val="none" w:sz="0" w:space="0" w:color="auto"/>
                <w:right w:val="none" w:sz="0" w:space="0" w:color="auto"/>
              </w:divBdr>
            </w:div>
            <w:div w:id="2043703657">
              <w:marLeft w:val="0"/>
              <w:marRight w:val="0"/>
              <w:marTop w:val="0"/>
              <w:marBottom w:val="0"/>
              <w:divBdr>
                <w:top w:val="none" w:sz="0" w:space="0" w:color="auto"/>
                <w:left w:val="none" w:sz="0" w:space="0" w:color="auto"/>
                <w:bottom w:val="none" w:sz="0" w:space="0" w:color="auto"/>
                <w:right w:val="none" w:sz="0" w:space="0" w:color="auto"/>
              </w:divBdr>
            </w:div>
            <w:div w:id="2081635609">
              <w:marLeft w:val="0"/>
              <w:marRight w:val="0"/>
              <w:marTop w:val="0"/>
              <w:marBottom w:val="0"/>
              <w:divBdr>
                <w:top w:val="none" w:sz="0" w:space="0" w:color="auto"/>
                <w:left w:val="none" w:sz="0" w:space="0" w:color="auto"/>
                <w:bottom w:val="none" w:sz="0" w:space="0" w:color="auto"/>
                <w:right w:val="none" w:sz="0" w:space="0" w:color="auto"/>
              </w:divBdr>
            </w:div>
            <w:div w:id="2143427749">
              <w:marLeft w:val="0"/>
              <w:marRight w:val="0"/>
              <w:marTop w:val="0"/>
              <w:marBottom w:val="0"/>
              <w:divBdr>
                <w:top w:val="none" w:sz="0" w:space="0" w:color="auto"/>
                <w:left w:val="none" w:sz="0" w:space="0" w:color="auto"/>
                <w:bottom w:val="none" w:sz="0" w:space="0" w:color="auto"/>
                <w:right w:val="none" w:sz="0" w:space="0" w:color="auto"/>
              </w:divBdr>
            </w:div>
          </w:divsChild>
        </w:div>
        <w:div w:id="1959800600">
          <w:marLeft w:val="0"/>
          <w:marRight w:val="0"/>
          <w:marTop w:val="0"/>
          <w:marBottom w:val="0"/>
          <w:divBdr>
            <w:top w:val="none" w:sz="0" w:space="0" w:color="auto"/>
            <w:left w:val="none" w:sz="0" w:space="0" w:color="auto"/>
            <w:bottom w:val="none" w:sz="0" w:space="0" w:color="auto"/>
            <w:right w:val="none" w:sz="0" w:space="0" w:color="auto"/>
          </w:divBdr>
          <w:divsChild>
            <w:div w:id="1882328712">
              <w:marLeft w:val="0"/>
              <w:marRight w:val="0"/>
              <w:marTop w:val="0"/>
              <w:marBottom w:val="0"/>
              <w:divBdr>
                <w:top w:val="none" w:sz="0" w:space="0" w:color="auto"/>
                <w:left w:val="none" w:sz="0" w:space="0" w:color="auto"/>
                <w:bottom w:val="none" w:sz="0" w:space="0" w:color="auto"/>
                <w:right w:val="none" w:sz="0" w:space="0" w:color="auto"/>
              </w:divBdr>
            </w:div>
          </w:divsChild>
        </w:div>
        <w:div w:id="1959944892">
          <w:marLeft w:val="0"/>
          <w:marRight w:val="0"/>
          <w:marTop w:val="0"/>
          <w:marBottom w:val="0"/>
          <w:divBdr>
            <w:top w:val="none" w:sz="0" w:space="0" w:color="auto"/>
            <w:left w:val="none" w:sz="0" w:space="0" w:color="auto"/>
            <w:bottom w:val="none" w:sz="0" w:space="0" w:color="auto"/>
            <w:right w:val="none" w:sz="0" w:space="0" w:color="auto"/>
          </w:divBdr>
          <w:divsChild>
            <w:div w:id="2115830624">
              <w:marLeft w:val="0"/>
              <w:marRight w:val="0"/>
              <w:marTop w:val="0"/>
              <w:marBottom w:val="0"/>
              <w:divBdr>
                <w:top w:val="none" w:sz="0" w:space="0" w:color="auto"/>
                <w:left w:val="none" w:sz="0" w:space="0" w:color="auto"/>
                <w:bottom w:val="none" w:sz="0" w:space="0" w:color="auto"/>
                <w:right w:val="none" w:sz="0" w:space="0" w:color="auto"/>
              </w:divBdr>
            </w:div>
          </w:divsChild>
        </w:div>
        <w:div w:id="1964771939">
          <w:marLeft w:val="0"/>
          <w:marRight w:val="0"/>
          <w:marTop w:val="0"/>
          <w:marBottom w:val="0"/>
          <w:divBdr>
            <w:top w:val="none" w:sz="0" w:space="0" w:color="auto"/>
            <w:left w:val="none" w:sz="0" w:space="0" w:color="auto"/>
            <w:bottom w:val="none" w:sz="0" w:space="0" w:color="auto"/>
            <w:right w:val="none" w:sz="0" w:space="0" w:color="auto"/>
          </w:divBdr>
          <w:divsChild>
            <w:div w:id="563099445">
              <w:marLeft w:val="0"/>
              <w:marRight w:val="0"/>
              <w:marTop w:val="0"/>
              <w:marBottom w:val="0"/>
              <w:divBdr>
                <w:top w:val="none" w:sz="0" w:space="0" w:color="auto"/>
                <w:left w:val="none" w:sz="0" w:space="0" w:color="auto"/>
                <w:bottom w:val="none" w:sz="0" w:space="0" w:color="auto"/>
                <w:right w:val="none" w:sz="0" w:space="0" w:color="auto"/>
              </w:divBdr>
            </w:div>
          </w:divsChild>
        </w:div>
        <w:div w:id="1965381837">
          <w:marLeft w:val="0"/>
          <w:marRight w:val="0"/>
          <w:marTop w:val="0"/>
          <w:marBottom w:val="0"/>
          <w:divBdr>
            <w:top w:val="none" w:sz="0" w:space="0" w:color="auto"/>
            <w:left w:val="none" w:sz="0" w:space="0" w:color="auto"/>
            <w:bottom w:val="none" w:sz="0" w:space="0" w:color="auto"/>
            <w:right w:val="none" w:sz="0" w:space="0" w:color="auto"/>
          </w:divBdr>
          <w:divsChild>
            <w:div w:id="909115855">
              <w:marLeft w:val="0"/>
              <w:marRight w:val="0"/>
              <w:marTop w:val="0"/>
              <w:marBottom w:val="0"/>
              <w:divBdr>
                <w:top w:val="none" w:sz="0" w:space="0" w:color="auto"/>
                <w:left w:val="none" w:sz="0" w:space="0" w:color="auto"/>
                <w:bottom w:val="none" w:sz="0" w:space="0" w:color="auto"/>
                <w:right w:val="none" w:sz="0" w:space="0" w:color="auto"/>
              </w:divBdr>
            </w:div>
          </w:divsChild>
        </w:div>
        <w:div w:id="1970620796">
          <w:marLeft w:val="0"/>
          <w:marRight w:val="0"/>
          <w:marTop w:val="0"/>
          <w:marBottom w:val="0"/>
          <w:divBdr>
            <w:top w:val="none" w:sz="0" w:space="0" w:color="auto"/>
            <w:left w:val="none" w:sz="0" w:space="0" w:color="auto"/>
            <w:bottom w:val="none" w:sz="0" w:space="0" w:color="auto"/>
            <w:right w:val="none" w:sz="0" w:space="0" w:color="auto"/>
          </w:divBdr>
          <w:divsChild>
            <w:div w:id="2049140112">
              <w:marLeft w:val="0"/>
              <w:marRight w:val="0"/>
              <w:marTop w:val="0"/>
              <w:marBottom w:val="0"/>
              <w:divBdr>
                <w:top w:val="none" w:sz="0" w:space="0" w:color="auto"/>
                <w:left w:val="none" w:sz="0" w:space="0" w:color="auto"/>
                <w:bottom w:val="none" w:sz="0" w:space="0" w:color="auto"/>
                <w:right w:val="none" w:sz="0" w:space="0" w:color="auto"/>
              </w:divBdr>
            </w:div>
          </w:divsChild>
        </w:div>
        <w:div w:id="1971813891">
          <w:marLeft w:val="0"/>
          <w:marRight w:val="0"/>
          <w:marTop w:val="0"/>
          <w:marBottom w:val="0"/>
          <w:divBdr>
            <w:top w:val="none" w:sz="0" w:space="0" w:color="auto"/>
            <w:left w:val="none" w:sz="0" w:space="0" w:color="auto"/>
            <w:bottom w:val="none" w:sz="0" w:space="0" w:color="auto"/>
            <w:right w:val="none" w:sz="0" w:space="0" w:color="auto"/>
          </w:divBdr>
          <w:divsChild>
            <w:div w:id="778255701">
              <w:marLeft w:val="0"/>
              <w:marRight w:val="0"/>
              <w:marTop w:val="0"/>
              <w:marBottom w:val="0"/>
              <w:divBdr>
                <w:top w:val="none" w:sz="0" w:space="0" w:color="auto"/>
                <w:left w:val="none" w:sz="0" w:space="0" w:color="auto"/>
                <w:bottom w:val="none" w:sz="0" w:space="0" w:color="auto"/>
                <w:right w:val="none" w:sz="0" w:space="0" w:color="auto"/>
              </w:divBdr>
            </w:div>
          </w:divsChild>
        </w:div>
        <w:div w:id="1973291197">
          <w:marLeft w:val="0"/>
          <w:marRight w:val="0"/>
          <w:marTop w:val="0"/>
          <w:marBottom w:val="0"/>
          <w:divBdr>
            <w:top w:val="none" w:sz="0" w:space="0" w:color="auto"/>
            <w:left w:val="none" w:sz="0" w:space="0" w:color="auto"/>
            <w:bottom w:val="none" w:sz="0" w:space="0" w:color="auto"/>
            <w:right w:val="none" w:sz="0" w:space="0" w:color="auto"/>
          </w:divBdr>
          <w:divsChild>
            <w:div w:id="681273821">
              <w:marLeft w:val="0"/>
              <w:marRight w:val="0"/>
              <w:marTop w:val="0"/>
              <w:marBottom w:val="0"/>
              <w:divBdr>
                <w:top w:val="none" w:sz="0" w:space="0" w:color="auto"/>
                <w:left w:val="none" w:sz="0" w:space="0" w:color="auto"/>
                <w:bottom w:val="none" w:sz="0" w:space="0" w:color="auto"/>
                <w:right w:val="none" w:sz="0" w:space="0" w:color="auto"/>
              </w:divBdr>
            </w:div>
            <w:div w:id="1849716653">
              <w:marLeft w:val="0"/>
              <w:marRight w:val="0"/>
              <w:marTop w:val="0"/>
              <w:marBottom w:val="0"/>
              <w:divBdr>
                <w:top w:val="none" w:sz="0" w:space="0" w:color="auto"/>
                <w:left w:val="none" w:sz="0" w:space="0" w:color="auto"/>
                <w:bottom w:val="none" w:sz="0" w:space="0" w:color="auto"/>
                <w:right w:val="none" w:sz="0" w:space="0" w:color="auto"/>
              </w:divBdr>
            </w:div>
            <w:div w:id="1960840724">
              <w:marLeft w:val="0"/>
              <w:marRight w:val="0"/>
              <w:marTop w:val="0"/>
              <w:marBottom w:val="0"/>
              <w:divBdr>
                <w:top w:val="none" w:sz="0" w:space="0" w:color="auto"/>
                <w:left w:val="none" w:sz="0" w:space="0" w:color="auto"/>
                <w:bottom w:val="none" w:sz="0" w:space="0" w:color="auto"/>
                <w:right w:val="none" w:sz="0" w:space="0" w:color="auto"/>
              </w:divBdr>
            </w:div>
          </w:divsChild>
        </w:div>
        <w:div w:id="1978950250">
          <w:marLeft w:val="0"/>
          <w:marRight w:val="0"/>
          <w:marTop w:val="0"/>
          <w:marBottom w:val="0"/>
          <w:divBdr>
            <w:top w:val="none" w:sz="0" w:space="0" w:color="auto"/>
            <w:left w:val="none" w:sz="0" w:space="0" w:color="auto"/>
            <w:bottom w:val="none" w:sz="0" w:space="0" w:color="auto"/>
            <w:right w:val="none" w:sz="0" w:space="0" w:color="auto"/>
          </w:divBdr>
          <w:divsChild>
            <w:div w:id="1351565186">
              <w:marLeft w:val="0"/>
              <w:marRight w:val="0"/>
              <w:marTop w:val="0"/>
              <w:marBottom w:val="0"/>
              <w:divBdr>
                <w:top w:val="none" w:sz="0" w:space="0" w:color="auto"/>
                <w:left w:val="none" w:sz="0" w:space="0" w:color="auto"/>
                <w:bottom w:val="none" w:sz="0" w:space="0" w:color="auto"/>
                <w:right w:val="none" w:sz="0" w:space="0" w:color="auto"/>
              </w:divBdr>
            </w:div>
          </w:divsChild>
        </w:div>
        <w:div w:id="1982423003">
          <w:marLeft w:val="0"/>
          <w:marRight w:val="0"/>
          <w:marTop w:val="0"/>
          <w:marBottom w:val="0"/>
          <w:divBdr>
            <w:top w:val="none" w:sz="0" w:space="0" w:color="auto"/>
            <w:left w:val="none" w:sz="0" w:space="0" w:color="auto"/>
            <w:bottom w:val="none" w:sz="0" w:space="0" w:color="auto"/>
            <w:right w:val="none" w:sz="0" w:space="0" w:color="auto"/>
          </w:divBdr>
          <w:divsChild>
            <w:div w:id="880246486">
              <w:marLeft w:val="0"/>
              <w:marRight w:val="0"/>
              <w:marTop w:val="0"/>
              <w:marBottom w:val="0"/>
              <w:divBdr>
                <w:top w:val="none" w:sz="0" w:space="0" w:color="auto"/>
                <w:left w:val="none" w:sz="0" w:space="0" w:color="auto"/>
                <w:bottom w:val="none" w:sz="0" w:space="0" w:color="auto"/>
                <w:right w:val="none" w:sz="0" w:space="0" w:color="auto"/>
              </w:divBdr>
            </w:div>
          </w:divsChild>
        </w:div>
        <w:div w:id="1984003406">
          <w:marLeft w:val="0"/>
          <w:marRight w:val="0"/>
          <w:marTop w:val="0"/>
          <w:marBottom w:val="0"/>
          <w:divBdr>
            <w:top w:val="none" w:sz="0" w:space="0" w:color="auto"/>
            <w:left w:val="none" w:sz="0" w:space="0" w:color="auto"/>
            <w:bottom w:val="none" w:sz="0" w:space="0" w:color="auto"/>
            <w:right w:val="none" w:sz="0" w:space="0" w:color="auto"/>
          </w:divBdr>
          <w:divsChild>
            <w:div w:id="1529220253">
              <w:marLeft w:val="0"/>
              <w:marRight w:val="0"/>
              <w:marTop w:val="0"/>
              <w:marBottom w:val="0"/>
              <w:divBdr>
                <w:top w:val="none" w:sz="0" w:space="0" w:color="auto"/>
                <w:left w:val="none" w:sz="0" w:space="0" w:color="auto"/>
                <w:bottom w:val="none" w:sz="0" w:space="0" w:color="auto"/>
                <w:right w:val="none" w:sz="0" w:space="0" w:color="auto"/>
              </w:divBdr>
            </w:div>
          </w:divsChild>
        </w:div>
        <w:div w:id="1985772548">
          <w:marLeft w:val="0"/>
          <w:marRight w:val="0"/>
          <w:marTop w:val="0"/>
          <w:marBottom w:val="0"/>
          <w:divBdr>
            <w:top w:val="none" w:sz="0" w:space="0" w:color="auto"/>
            <w:left w:val="none" w:sz="0" w:space="0" w:color="auto"/>
            <w:bottom w:val="none" w:sz="0" w:space="0" w:color="auto"/>
            <w:right w:val="none" w:sz="0" w:space="0" w:color="auto"/>
          </w:divBdr>
          <w:divsChild>
            <w:div w:id="1369912123">
              <w:marLeft w:val="0"/>
              <w:marRight w:val="0"/>
              <w:marTop w:val="0"/>
              <w:marBottom w:val="0"/>
              <w:divBdr>
                <w:top w:val="none" w:sz="0" w:space="0" w:color="auto"/>
                <w:left w:val="none" w:sz="0" w:space="0" w:color="auto"/>
                <w:bottom w:val="none" w:sz="0" w:space="0" w:color="auto"/>
                <w:right w:val="none" w:sz="0" w:space="0" w:color="auto"/>
              </w:divBdr>
            </w:div>
          </w:divsChild>
        </w:div>
        <w:div w:id="1989043918">
          <w:marLeft w:val="0"/>
          <w:marRight w:val="0"/>
          <w:marTop w:val="0"/>
          <w:marBottom w:val="0"/>
          <w:divBdr>
            <w:top w:val="none" w:sz="0" w:space="0" w:color="auto"/>
            <w:left w:val="none" w:sz="0" w:space="0" w:color="auto"/>
            <w:bottom w:val="none" w:sz="0" w:space="0" w:color="auto"/>
            <w:right w:val="none" w:sz="0" w:space="0" w:color="auto"/>
          </w:divBdr>
          <w:divsChild>
            <w:div w:id="351995047">
              <w:marLeft w:val="0"/>
              <w:marRight w:val="0"/>
              <w:marTop w:val="0"/>
              <w:marBottom w:val="0"/>
              <w:divBdr>
                <w:top w:val="none" w:sz="0" w:space="0" w:color="auto"/>
                <w:left w:val="none" w:sz="0" w:space="0" w:color="auto"/>
                <w:bottom w:val="none" w:sz="0" w:space="0" w:color="auto"/>
                <w:right w:val="none" w:sz="0" w:space="0" w:color="auto"/>
              </w:divBdr>
            </w:div>
          </w:divsChild>
        </w:div>
        <w:div w:id="1992709923">
          <w:marLeft w:val="0"/>
          <w:marRight w:val="0"/>
          <w:marTop w:val="0"/>
          <w:marBottom w:val="0"/>
          <w:divBdr>
            <w:top w:val="none" w:sz="0" w:space="0" w:color="auto"/>
            <w:left w:val="none" w:sz="0" w:space="0" w:color="auto"/>
            <w:bottom w:val="none" w:sz="0" w:space="0" w:color="auto"/>
            <w:right w:val="none" w:sz="0" w:space="0" w:color="auto"/>
          </w:divBdr>
          <w:divsChild>
            <w:div w:id="287860700">
              <w:marLeft w:val="0"/>
              <w:marRight w:val="0"/>
              <w:marTop w:val="0"/>
              <w:marBottom w:val="0"/>
              <w:divBdr>
                <w:top w:val="none" w:sz="0" w:space="0" w:color="auto"/>
                <w:left w:val="none" w:sz="0" w:space="0" w:color="auto"/>
                <w:bottom w:val="none" w:sz="0" w:space="0" w:color="auto"/>
                <w:right w:val="none" w:sz="0" w:space="0" w:color="auto"/>
              </w:divBdr>
            </w:div>
          </w:divsChild>
        </w:div>
        <w:div w:id="1994412223">
          <w:marLeft w:val="0"/>
          <w:marRight w:val="0"/>
          <w:marTop w:val="0"/>
          <w:marBottom w:val="0"/>
          <w:divBdr>
            <w:top w:val="none" w:sz="0" w:space="0" w:color="auto"/>
            <w:left w:val="none" w:sz="0" w:space="0" w:color="auto"/>
            <w:bottom w:val="none" w:sz="0" w:space="0" w:color="auto"/>
            <w:right w:val="none" w:sz="0" w:space="0" w:color="auto"/>
          </w:divBdr>
          <w:divsChild>
            <w:div w:id="1442064273">
              <w:marLeft w:val="0"/>
              <w:marRight w:val="0"/>
              <w:marTop w:val="0"/>
              <w:marBottom w:val="0"/>
              <w:divBdr>
                <w:top w:val="none" w:sz="0" w:space="0" w:color="auto"/>
                <w:left w:val="none" w:sz="0" w:space="0" w:color="auto"/>
                <w:bottom w:val="none" w:sz="0" w:space="0" w:color="auto"/>
                <w:right w:val="none" w:sz="0" w:space="0" w:color="auto"/>
              </w:divBdr>
            </w:div>
          </w:divsChild>
        </w:div>
        <w:div w:id="1995647891">
          <w:marLeft w:val="0"/>
          <w:marRight w:val="0"/>
          <w:marTop w:val="0"/>
          <w:marBottom w:val="0"/>
          <w:divBdr>
            <w:top w:val="none" w:sz="0" w:space="0" w:color="auto"/>
            <w:left w:val="none" w:sz="0" w:space="0" w:color="auto"/>
            <w:bottom w:val="none" w:sz="0" w:space="0" w:color="auto"/>
            <w:right w:val="none" w:sz="0" w:space="0" w:color="auto"/>
          </w:divBdr>
          <w:divsChild>
            <w:div w:id="1457018772">
              <w:marLeft w:val="0"/>
              <w:marRight w:val="0"/>
              <w:marTop w:val="0"/>
              <w:marBottom w:val="0"/>
              <w:divBdr>
                <w:top w:val="none" w:sz="0" w:space="0" w:color="auto"/>
                <w:left w:val="none" w:sz="0" w:space="0" w:color="auto"/>
                <w:bottom w:val="none" w:sz="0" w:space="0" w:color="auto"/>
                <w:right w:val="none" w:sz="0" w:space="0" w:color="auto"/>
              </w:divBdr>
            </w:div>
          </w:divsChild>
        </w:div>
        <w:div w:id="1996955176">
          <w:marLeft w:val="0"/>
          <w:marRight w:val="0"/>
          <w:marTop w:val="0"/>
          <w:marBottom w:val="0"/>
          <w:divBdr>
            <w:top w:val="none" w:sz="0" w:space="0" w:color="auto"/>
            <w:left w:val="none" w:sz="0" w:space="0" w:color="auto"/>
            <w:bottom w:val="none" w:sz="0" w:space="0" w:color="auto"/>
            <w:right w:val="none" w:sz="0" w:space="0" w:color="auto"/>
          </w:divBdr>
          <w:divsChild>
            <w:div w:id="482551660">
              <w:marLeft w:val="0"/>
              <w:marRight w:val="0"/>
              <w:marTop w:val="0"/>
              <w:marBottom w:val="0"/>
              <w:divBdr>
                <w:top w:val="none" w:sz="0" w:space="0" w:color="auto"/>
                <w:left w:val="none" w:sz="0" w:space="0" w:color="auto"/>
                <w:bottom w:val="none" w:sz="0" w:space="0" w:color="auto"/>
                <w:right w:val="none" w:sz="0" w:space="0" w:color="auto"/>
              </w:divBdr>
            </w:div>
            <w:div w:id="2070372455">
              <w:marLeft w:val="0"/>
              <w:marRight w:val="0"/>
              <w:marTop w:val="0"/>
              <w:marBottom w:val="0"/>
              <w:divBdr>
                <w:top w:val="none" w:sz="0" w:space="0" w:color="auto"/>
                <w:left w:val="none" w:sz="0" w:space="0" w:color="auto"/>
                <w:bottom w:val="none" w:sz="0" w:space="0" w:color="auto"/>
                <w:right w:val="none" w:sz="0" w:space="0" w:color="auto"/>
              </w:divBdr>
            </w:div>
          </w:divsChild>
        </w:div>
        <w:div w:id="1997562273">
          <w:marLeft w:val="0"/>
          <w:marRight w:val="0"/>
          <w:marTop w:val="0"/>
          <w:marBottom w:val="0"/>
          <w:divBdr>
            <w:top w:val="none" w:sz="0" w:space="0" w:color="auto"/>
            <w:left w:val="none" w:sz="0" w:space="0" w:color="auto"/>
            <w:bottom w:val="none" w:sz="0" w:space="0" w:color="auto"/>
            <w:right w:val="none" w:sz="0" w:space="0" w:color="auto"/>
          </w:divBdr>
          <w:divsChild>
            <w:div w:id="1272858612">
              <w:marLeft w:val="0"/>
              <w:marRight w:val="0"/>
              <w:marTop w:val="0"/>
              <w:marBottom w:val="0"/>
              <w:divBdr>
                <w:top w:val="none" w:sz="0" w:space="0" w:color="auto"/>
                <w:left w:val="none" w:sz="0" w:space="0" w:color="auto"/>
                <w:bottom w:val="none" w:sz="0" w:space="0" w:color="auto"/>
                <w:right w:val="none" w:sz="0" w:space="0" w:color="auto"/>
              </w:divBdr>
            </w:div>
          </w:divsChild>
        </w:div>
        <w:div w:id="2001497054">
          <w:marLeft w:val="0"/>
          <w:marRight w:val="0"/>
          <w:marTop w:val="0"/>
          <w:marBottom w:val="0"/>
          <w:divBdr>
            <w:top w:val="none" w:sz="0" w:space="0" w:color="auto"/>
            <w:left w:val="none" w:sz="0" w:space="0" w:color="auto"/>
            <w:bottom w:val="none" w:sz="0" w:space="0" w:color="auto"/>
            <w:right w:val="none" w:sz="0" w:space="0" w:color="auto"/>
          </w:divBdr>
          <w:divsChild>
            <w:div w:id="1299798466">
              <w:marLeft w:val="0"/>
              <w:marRight w:val="0"/>
              <w:marTop w:val="0"/>
              <w:marBottom w:val="0"/>
              <w:divBdr>
                <w:top w:val="none" w:sz="0" w:space="0" w:color="auto"/>
                <w:left w:val="none" w:sz="0" w:space="0" w:color="auto"/>
                <w:bottom w:val="none" w:sz="0" w:space="0" w:color="auto"/>
                <w:right w:val="none" w:sz="0" w:space="0" w:color="auto"/>
              </w:divBdr>
            </w:div>
          </w:divsChild>
        </w:div>
        <w:div w:id="2004696752">
          <w:marLeft w:val="0"/>
          <w:marRight w:val="0"/>
          <w:marTop w:val="0"/>
          <w:marBottom w:val="0"/>
          <w:divBdr>
            <w:top w:val="none" w:sz="0" w:space="0" w:color="auto"/>
            <w:left w:val="none" w:sz="0" w:space="0" w:color="auto"/>
            <w:bottom w:val="none" w:sz="0" w:space="0" w:color="auto"/>
            <w:right w:val="none" w:sz="0" w:space="0" w:color="auto"/>
          </w:divBdr>
          <w:divsChild>
            <w:div w:id="355037402">
              <w:marLeft w:val="0"/>
              <w:marRight w:val="0"/>
              <w:marTop w:val="0"/>
              <w:marBottom w:val="0"/>
              <w:divBdr>
                <w:top w:val="none" w:sz="0" w:space="0" w:color="auto"/>
                <w:left w:val="none" w:sz="0" w:space="0" w:color="auto"/>
                <w:bottom w:val="none" w:sz="0" w:space="0" w:color="auto"/>
                <w:right w:val="none" w:sz="0" w:space="0" w:color="auto"/>
              </w:divBdr>
            </w:div>
          </w:divsChild>
        </w:div>
        <w:div w:id="2005205495">
          <w:marLeft w:val="0"/>
          <w:marRight w:val="0"/>
          <w:marTop w:val="0"/>
          <w:marBottom w:val="0"/>
          <w:divBdr>
            <w:top w:val="none" w:sz="0" w:space="0" w:color="auto"/>
            <w:left w:val="none" w:sz="0" w:space="0" w:color="auto"/>
            <w:bottom w:val="none" w:sz="0" w:space="0" w:color="auto"/>
            <w:right w:val="none" w:sz="0" w:space="0" w:color="auto"/>
          </w:divBdr>
          <w:divsChild>
            <w:div w:id="1008408144">
              <w:marLeft w:val="0"/>
              <w:marRight w:val="0"/>
              <w:marTop w:val="0"/>
              <w:marBottom w:val="0"/>
              <w:divBdr>
                <w:top w:val="none" w:sz="0" w:space="0" w:color="auto"/>
                <w:left w:val="none" w:sz="0" w:space="0" w:color="auto"/>
                <w:bottom w:val="none" w:sz="0" w:space="0" w:color="auto"/>
                <w:right w:val="none" w:sz="0" w:space="0" w:color="auto"/>
              </w:divBdr>
            </w:div>
            <w:div w:id="1386637911">
              <w:marLeft w:val="0"/>
              <w:marRight w:val="0"/>
              <w:marTop w:val="0"/>
              <w:marBottom w:val="0"/>
              <w:divBdr>
                <w:top w:val="none" w:sz="0" w:space="0" w:color="auto"/>
                <w:left w:val="none" w:sz="0" w:space="0" w:color="auto"/>
                <w:bottom w:val="none" w:sz="0" w:space="0" w:color="auto"/>
                <w:right w:val="none" w:sz="0" w:space="0" w:color="auto"/>
              </w:divBdr>
            </w:div>
          </w:divsChild>
        </w:div>
        <w:div w:id="2006399679">
          <w:marLeft w:val="0"/>
          <w:marRight w:val="0"/>
          <w:marTop w:val="0"/>
          <w:marBottom w:val="0"/>
          <w:divBdr>
            <w:top w:val="none" w:sz="0" w:space="0" w:color="auto"/>
            <w:left w:val="none" w:sz="0" w:space="0" w:color="auto"/>
            <w:bottom w:val="none" w:sz="0" w:space="0" w:color="auto"/>
            <w:right w:val="none" w:sz="0" w:space="0" w:color="auto"/>
          </w:divBdr>
          <w:divsChild>
            <w:div w:id="563494309">
              <w:marLeft w:val="0"/>
              <w:marRight w:val="0"/>
              <w:marTop w:val="0"/>
              <w:marBottom w:val="0"/>
              <w:divBdr>
                <w:top w:val="none" w:sz="0" w:space="0" w:color="auto"/>
                <w:left w:val="none" w:sz="0" w:space="0" w:color="auto"/>
                <w:bottom w:val="none" w:sz="0" w:space="0" w:color="auto"/>
                <w:right w:val="none" w:sz="0" w:space="0" w:color="auto"/>
              </w:divBdr>
            </w:div>
          </w:divsChild>
        </w:div>
        <w:div w:id="2013293233">
          <w:marLeft w:val="0"/>
          <w:marRight w:val="0"/>
          <w:marTop w:val="0"/>
          <w:marBottom w:val="0"/>
          <w:divBdr>
            <w:top w:val="none" w:sz="0" w:space="0" w:color="auto"/>
            <w:left w:val="none" w:sz="0" w:space="0" w:color="auto"/>
            <w:bottom w:val="none" w:sz="0" w:space="0" w:color="auto"/>
            <w:right w:val="none" w:sz="0" w:space="0" w:color="auto"/>
          </w:divBdr>
          <w:divsChild>
            <w:div w:id="852038005">
              <w:marLeft w:val="0"/>
              <w:marRight w:val="0"/>
              <w:marTop w:val="0"/>
              <w:marBottom w:val="0"/>
              <w:divBdr>
                <w:top w:val="none" w:sz="0" w:space="0" w:color="auto"/>
                <w:left w:val="none" w:sz="0" w:space="0" w:color="auto"/>
                <w:bottom w:val="none" w:sz="0" w:space="0" w:color="auto"/>
                <w:right w:val="none" w:sz="0" w:space="0" w:color="auto"/>
              </w:divBdr>
            </w:div>
            <w:div w:id="1191147375">
              <w:marLeft w:val="0"/>
              <w:marRight w:val="0"/>
              <w:marTop w:val="0"/>
              <w:marBottom w:val="0"/>
              <w:divBdr>
                <w:top w:val="none" w:sz="0" w:space="0" w:color="auto"/>
                <w:left w:val="none" w:sz="0" w:space="0" w:color="auto"/>
                <w:bottom w:val="none" w:sz="0" w:space="0" w:color="auto"/>
                <w:right w:val="none" w:sz="0" w:space="0" w:color="auto"/>
              </w:divBdr>
            </w:div>
            <w:div w:id="1384254816">
              <w:marLeft w:val="0"/>
              <w:marRight w:val="0"/>
              <w:marTop w:val="0"/>
              <w:marBottom w:val="0"/>
              <w:divBdr>
                <w:top w:val="none" w:sz="0" w:space="0" w:color="auto"/>
                <w:left w:val="none" w:sz="0" w:space="0" w:color="auto"/>
                <w:bottom w:val="none" w:sz="0" w:space="0" w:color="auto"/>
                <w:right w:val="none" w:sz="0" w:space="0" w:color="auto"/>
              </w:divBdr>
            </w:div>
          </w:divsChild>
        </w:div>
        <w:div w:id="2015842961">
          <w:marLeft w:val="0"/>
          <w:marRight w:val="0"/>
          <w:marTop w:val="0"/>
          <w:marBottom w:val="0"/>
          <w:divBdr>
            <w:top w:val="none" w:sz="0" w:space="0" w:color="auto"/>
            <w:left w:val="none" w:sz="0" w:space="0" w:color="auto"/>
            <w:bottom w:val="none" w:sz="0" w:space="0" w:color="auto"/>
            <w:right w:val="none" w:sz="0" w:space="0" w:color="auto"/>
          </w:divBdr>
          <w:divsChild>
            <w:div w:id="561864680">
              <w:marLeft w:val="0"/>
              <w:marRight w:val="0"/>
              <w:marTop w:val="0"/>
              <w:marBottom w:val="0"/>
              <w:divBdr>
                <w:top w:val="none" w:sz="0" w:space="0" w:color="auto"/>
                <w:left w:val="none" w:sz="0" w:space="0" w:color="auto"/>
                <w:bottom w:val="none" w:sz="0" w:space="0" w:color="auto"/>
                <w:right w:val="none" w:sz="0" w:space="0" w:color="auto"/>
              </w:divBdr>
            </w:div>
            <w:div w:id="628323871">
              <w:marLeft w:val="0"/>
              <w:marRight w:val="0"/>
              <w:marTop w:val="0"/>
              <w:marBottom w:val="0"/>
              <w:divBdr>
                <w:top w:val="none" w:sz="0" w:space="0" w:color="auto"/>
                <w:left w:val="none" w:sz="0" w:space="0" w:color="auto"/>
                <w:bottom w:val="none" w:sz="0" w:space="0" w:color="auto"/>
                <w:right w:val="none" w:sz="0" w:space="0" w:color="auto"/>
              </w:divBdr>
            </w:div>
          </w:divsChild>
        </w:div>
        <w:div w:id="2016496075">
          <w:marLeft w:val="0"/>
          <w:marRight w:val="0"/>
          <w:marTop w:val="0"/>
          <w:marBottom w:val="0"/>
          <w:divBdr>
            <w:top w:val="none" w:sz="0" w:space="0" w:color="auto"/>
            <w:left w:val="none" w:sz="0" w:space="0" w:color="auto"/>
            <w:bottom w:val="none" w:sz="0" w:space="0" w:color="auto"/>
            <w:right w:val="none" w:sz="0" w:space="0" w:color="auto"/>
          </w:divBdr>
          <w:divsChild>
            <w:div w:id="1135559411">
              <w:marLeft w:val="0"/>
              <w:marRight w:val="0"/>
              <w:marTop w:val="0"/>
              <w:marBottom w:val="0"/>
              <w:divBdr>
                <w:top w:val="none" w:sz="0" w:space="0" w:color="auto"/>
                <w:left w:val="none" w:sz="0" w:space="0" w:color="auto"/>
                <w:bottom w:val="none" w:sz="0" w:space="0" w:color="auto"/>
                <w:right w:val="none" w:sz="0" w:space="0" w:color="auto"/>
              </w:divBdr>
            </w:div>
            <w:div w:id="1848137432">
              <w:marLeft w:val="0"/>
              <w:marRight w:val="0"/>
              <w:marTop w:val="0"/>
              <w:marBottom w:val="0"/>
              <w:divBdr>
                <w:top w:val="none" w:sz="0" w:space="0" w:color="auto"/>
                <w:left w:val="none" w:sz="0" w:space="0" w:color="auto"/>
                <w:bottom w:val="none" w:sz="0" w:space="0" w:color="auto"/>
                <w:right w:val="none" w:sz="0" w:space="0" w:color="auto"/>
              </w:divBdr>
            </w:div>
            <w:div w:id="1868517301">
              <w:marLeft w:val="0"/>
              <w:marRight w:val="0"/>
              <w:marTop w:val="0"/>
              <w:marBottom w:val="0"/>
              <w:divBdr>
                <w:top w:val="none" w:sz="0" w:space="0" w:color="auto"/>
                <w:left w:val="none" w:sz="0" w:space="0" w:color="auto"/>
                <w:bottom w:val="none" w:sz="0" w:space="0" w:color="auto"/>
                <w:right w:val="none" w:sz="0" w:space="0" w:color="auto"/>
              </w:divBdr>
            </w:div>
            <w:div w:id="1985966788">
              <w:marLeft w:val="0"/>
              <w:marRight w:val="0"/>
              <w:marTop w:val="0"/>
              <w:marBottom w:val="0"/>
              <w:divBdr>
                <w:top w:val="none" w:sz="0" w:space="0" w:color="auto"/>
                <w:left w:val="none" w:sz="0" w:space="0" w:color="auto"/>
                <w:bottom w:val="none" w:sz="0" w:space="0" w:color="auto"/>
                <w:right w:val="none" w:sz="0" w:space="0" w:color="auto"/>
              </w:divBdr>
            </w:div>
          </w:divsChild>
        </w:div>
        <w:div w:id="2017420419">
          <w:marLeft w:val="0"/>
          <w:marRight w:val="0"/>
          <w:marTop w:val="0"/>
          <w:marBottom w:val="0"/>
          <w:divBdr>
            <w:top w:val="none" w:sz="0" w:space="0" w:color="auto"/>
            <w:left w:val="none" w:sz="0" w:space="0" w:color="auto"/>
            <w:bottom w:val="none" w:sz="0" w:space="0" w:color="auto"/>
            <w:right w:val="none" w:sz="0" w:space="0" w:color="auto"/>
          </w:divBdr>
          <w:divsChild>
            <w:div w:id="4863660">
              <w:marLeft w:val="0"/>
              <w:marRight w:val="0"/>
              <w:marTop w:val="0"/>
              <w:marBottom w:val="0"/>
              <w:divBdr>
                <w:top w:val="none" w:sz="0" w:space="0" w:color="auto"/>
                <w:left w:val="none" w:sz="0" w:space="0" w:color="auto"/>
                <w:bottom w:val="none" w:sz="0" w:space="0" w:color="auto"/>
                <w:right w:val="none" w:sz="0" w:space="0" w:color="auto"/>
              </w:divBdr>
            </w:div>
            <w:div w:id="711465161">
              <w:marLeft w:val="0"/>
              <w:marRight w:val="0"/>
              <w:marTop w:val="0"/>
              <w:marBottom w:val="0"/>
              <w:divBdr>
                <w:top w:val="none" w:sz="0" w:space="0" w:color="auto"/>
                <w:left w:val="none" w:sz="0" w:space="0" w:color="auto"/>
                <w:bottom w:val="none" w:sz="0" w:space="0" w:color="auto"/>
                <w:right w:val="none" w:sz="0" w:space="0" w:color="auto"/>
              </w:divBdr>
            </w:div>
            <w:div w:id="1698698481">
              <w:marLeft w:val="0"/>
              <w:marRight w:val="0"/>
              <w:marTop w:val="0"/>
              <w:marBottom w:val="0"/>
              <w:divBdr>
                <w:top w:val="none" w:sz="0" w:space="0" w:color="auto"/>
                <w:left w:val="none" w:sz="0" w:space="0" w:color="auto"/>
                <w:bottom w:val="none" w:sz="0" w:space="0" w:color="auto"/>
                <w:right w:val="none" w:sz="0" w:space="0" w:color="auto"/>
              </w:divBdr>
            </w:div>
          </w:divsChild>
        </w:div>
        <w:div w:id="2022511544">
          <w:marLeft w:val="0"/>
          <w:marRight w:val="0"/>
          <w:marTop w:val="0"/>
          <w:marBottom w:val="0"/>
          <w:divBdr>
            <w:top w:val="none" w:sz="0" w:space="0" w:color="auto"/>
            <w:left w:val="none" w:sz="0" w:space="0" w:color="auto"/>
            <w:bottom w:val="none" w:sz="0" w:space="0" w:color="auto"/>
            <w:right w:val="none" w:sz="0" w:space="0" w:color="auto"/>
          </w:divBdr>
          <w:divsChild>
            <w:div w:id="394201412">
              <w:marLeft w:val="0"/>
              <w:marRight w:val="0"/>
              <w:marTop w:val="0"/>
              <w:marBottom w:val="0"/>
              <w:divBdr>
                <w:top w:val="none" w:sz="0" w:space="0" w:color="auto"/>
                <w:left w:val="none" w:sz="0" w:space="0" w:color="auto"/>
                <w:bottom w:val="none" w:sz="0" w:space="0" w:color="auto"/>
                <w:right w:val="none" w:sz="0" w:space="0" w:color="auto"/>
              </w:divBdr>
            </w:div>
            <w:div w:id="728648700">
              <w:marLeft w:val="0"/>
              <w:marRight w:val="0"/>
              <w:marTop w:val="0"/>
              <w:marBottom w:val="0"/>
              <w:divBdr>
                <w:top w:val="none" w:sz="0" w:space="0" w:color="auto"/>
                <w:left w:val="none" w:sz="0" w:space="0" w:color="auto"/>
                <w:bottom w:val="none" w:sz="0" w:space="0" w:color="auto"/>
                <w:right w:val="none" w:sz="0" w:space="0" w:color="auto"/>
              </w:divBdr>
            </w:div>
          </w:divsChild>
        </w:div>
        <w:div w:id="2022972949">
          <w:marLeft w:val="0"/>
          <w:marRight w:val="0"/>
          <w:marTop w:val="0"/>
          <w:marBottom w:val="0"/>
          <w:divBdr>
            <w:top w:val="none" w:sz="0" w:space="0" w:color="auto"/>
            <w:left w:val="none" w:sz="0" w:space="0" w:color="auto"/>
            <w:bottom w:val="none" w:sz="0" w:space="0" w:color="auto"/>
            <w:right w:val="none" w:sz="0" w:space="0" w:color="auto"/>
          </w:divBdr>
          <w:divsChild>
            <w:div w:id="1464233511">
              <w:marLeft w:val="0"/>
              <w:marRight w:val="0"/>
              <w:marTop w:val="0"/>
              <w:marBottom w:val="0"/>
              <w:divBdr>
                <w:top w:val="none" w:sz="0" w:space="0" w:color="auto"/>
                <w:left w:val="none" w:sz="0" w:space="0" w:color="auto"/>
                <w:bottom w:val="none" w:sz="0" w:space="0" w:color="auto"/>
                <w:right w:val="none" w:sz="0" w:space="0" w:color="auto"/>
              </w:divBdr>
            </w:div>
          </w:divsChild>
        </w:div>
        <w:div w:id="2027704652">
          <w:marLeft w:val="0"/>
          <w:marRight w:val="0"/>
          <w:marTop w:val="0"/>
          <w:marBottom w:val="0"/>
          <w:divBdr>
            <w:top w:val="none" w:sz="0" w:space="0" w:color="auto"/>
            <w:left w:val="none" w:sz="0" w:space="0" w:color="auto"/>
            <w:bottom w:val="none" w:sz="0" w:space="0" w:color="auto"/>
            <w:right w:val="none" w:sz="0" w:space="0" w:color="auto"/>
          </w:divBdr>
          <w:divsChild>
            <w:div w:id="1636252035">
              <w:marLeft w:val="0"/>
              <w:marRight w:val="0"/>
              <w:marTop w:val="0"/>
              <w:marBottom w:val="0"/>
              <w:divBdr>
                <w:top w:val="none" w:sz="0" w:space="0" w:color="auto"/>
                <w:left w:val="none" w:sz="0" w:space="0" w:color="auto"/>
                <w:bottom w:val="none" w:sz="0" w:space="0" w:color="auto"/>
                <w:right w:val="none" w:sz="0" w:space="0" w:color="auto"/>
              </w:divBdr>
            </w:div>
          </w:divsChild>
        </w:div>
        <w:div w:id="2032996576">
          <w:marLeft w:val="0"/>
          <w:marRight w:val="0"/>
          <w:marTop w:val="0"/>
          <w:marBottom w:val="0"/>
          <w:divBdr>
            <w:top w:val="none" w:sz="0" w:space="0" w:color="auto"/>
            <w:left w:val="none" w:sz="0" w:space="0" w:color="auto"/>
            <w:bottom w:val="none" w:sz="0" w:space="0" w:color="auto"/>
            <w:right w:val="none" w:sz="0" w:space="0" w:color="auto"/>
          </w:divBdr>
          <w:divsChild>
            <w:div w:id="38941946">
              <w:marLeft w:val="0"/>
              <w:marRight w:val="0"/>
              <w:marTop w:val="0"/>
              <w:marBottom w:val="0"/>
              <w:divBdr>
                <w:top w:val="none" w:sz="0" w:space="0" w:color="auto"/>
                <w:left w:val="none" w:sz="0" w:space="0" w:color="auto"/>
                <w:bottom w:val="none" w:sz="0" w:space="0" w:color="auto"/>
                <w:right w:val="none" w:sz="0" w:space="0" w:color="auto"/>
              </w:divBdr>
            </w:div>
            <w:div w:id="487138253">
              <w:marLeft w:val="0"/>
              <w:marRight w:val="0"/>
              <w:marTop w:val="0"/>
              <w:marBottom w:val="0"/>
              <w:divBdr>
                <w:top w:val="none" w:sz="0" w:space="0" w:color="auto"/>
                <w:left w:val="none" w:sz="0" w:space="0" w:color="auto"/>
                <w:bottom w:val="none" w:sz="0" w:space="0" w:color="auto"/>
                <w:right w:val="none" w:sz="0" w:space="0" w:color="auto"/>
              </w:divBdr>
            </w:div>
            <w:div w:id="1789004630">
              <w:marLeft w:val="0"/>
              <w:marRight w:val="0"/>
              <w:marTop w:val="0"/>
              <w:marBottom w:val="0"/>
              <w:divBdr>
                <w:top w:val="none" w:sz="0" w:space="0" w:color="auto"/>
                <w:left w:val="none" w:sz="0" w:space="0" w:color="auto"/>
                <w:bottom w:val="none" w:sz="0" w:space="0" w:color="auto"/>
                <w:right w:val="none" w:sz="0" w:space="0" w:color="auto"/>
              </w:divBdr>
            </w:div>
            <w:div w:id="2016493902">
              <w:marLeft w:val="0"/>
              <w:marRight w:val="0"/>
              <w:marTop w:val="0"/>
              <w:marBottom w:val="0"/>
              <w:divBdr>
                <w:top w:val="none" w:sz="0" w:space="0" w:color="auto"/>
                <w:left w:val="none" w:sz="0" w:space="0" w:color="auto"/>
                <w:bottom w:val="none" w:sz="0" w:space="0" w:color="auto"/>
                <w:right w:val="none" w:sz="0" w:space="0" w:color="auto"/>
              </w:divBdr>
            </w:div>
          </w:divsChild>
        </w:div>
        <w:div w:id="2036693381">
          <w:marLeft w:val="0"/>
          <w:marRight w:val="0"/>
          <w:marTop w:val="0"/>
          <w:marBottom w:val="0"/>
          <w:divBdr>
            <w:top w:val="none" w:sz="0" w:space="0" w:color="auto"/>
            <w:left w:val="none" w:sz="0" w:space="0" w:color="auto"/>
            <w:bottom w:val="none" w:sz="0" w:space="0" w:color="auto"/>
            <w:right w:val="none" w:sz="0" w:space="0" w:color="auto"/>
          </w:divBdr>
          <w:divsChild>
            <w:div w:id="1415935681">
              <w:marLeft w:val="0"/>
              <w:marRight w:val="0"/>
              <w:marTop w:val="0"/>
              <w:marBottom w:val="0"/>
              <w:divBdr>
                <w:top w:val="none" w:sz="0" w:space="0" w:color="auto"/>
                <w:left w:val="none" w:sz="0" w:space="0" w:color="auto"/>
                <w:bottom w:val="none" w:sz="0" w:space="0" w:color="auto"/>
                <w:right w:val="none" w:sz="0" w:space="0" w:color="auto"/>
              </w:divBdr>
            </w:div>
          </w:divsChild>
        </w:div>
        <w:div w:id="2039575876">
          <w:marLeft w:val="0"/>
          <w:marRight w:val="0"/>
          <w:marTop w:val="0"/>
          <w:marBottom w:val="0"/>
          <w:divBdr>
            <w:top w:val="none" w:sz="0" w:space="0" w:color="auto"/>
            <w:left w:val="none" w:sz="0" w:space="0" w:color="auto"/>
            <w:bottom w:val="none" w:sz="0" w:space="0" w:color="auto"/>
            <w:right w:val="none" w:sz="0" w:space="0" w:color="auto"/>
          </w:divBdr>
          <w:divsChild>
            <w:div w:id="534272486">
              <w:marLeft w:val="0"/>
              <w:marRight w:val="0"/>
              <w:marTop w:val="0"/>
              <w:marBottom w:val="0"/>
              <w:divBdr>
                <w:top w:val="none" w:sz="0" w:space="0" w:color="auto"/>
                <w:left w:val="none" w:sz="0" w:space="0" w:color="auto"/>
                <w:bottom w:val="none" w:sz="0" w:space="0" w:color="auto"/>
                <w:right w:val="none" w:sz="0" w:space="0" w:color="auto"/>
              </w:divBdr>
            </w:div>
            <w:div w:id="1870869244">
              <w:marLeft w:val="0"/>
              <w:marRight w:val="0"/>
              <w:marTop w:val="0"/>
              <w:marBottom w:val="0"/>
              <w:divBdr>
                <w:top w:val="none" w:sz="0" w:space="0" w:color="auto"/>
                <w:left w:val="none" w:sz="0" w:space="0" w:color="auto"/>
                <w:bottom w:val="none" w:sz="0" w:space="0" w:color="auto"/>
                <w:right w:val="none" w:sz="0" w:space="0" w:color="auto"/>
              </w:divBdr>
            </w:div>
          </w:divsChild>
        </w:div>
        <w:div w:id="2055957162">
          <w:marLeft w:val="0"/>
          <w:marRight w:val="0"/>
          <w:marTop w:val="0"/>
          <w:marBottom w:val="0"/>
          <w:divBdr>
            <w:top w:val="none" w:sz="0" w:space="0" w:color="auto"/>
            <w:left w:val="none" w:sz="0" w:space="0" w:color="auto"/>
            <w:bottom w:val="none" w:sz="0" w:space="0" w:color="auto"/>
            <w:right w:val="none" w:sz="0" w:space="0" w:color="auto"/>
          </w:divBdr>
          <w:divsChild>
            <w:div w:id="1071738407">
              <w:marLeft w:val="0"/>
              <w:marRight w:val="0"/>
              <w:marTop w:val="0"/>
              <w:marBottom w:val="0"/>
              <w:divBdr>
                <w:top w:val="none" w:sz="0" w:space="0" w:color="auto"/>
                <w:left w:val="none" w:sz="0" w:space="0" w:color="auto"/>
                <w:bottom w:val="none" w:sz="0" w:space="0" w:color="auto"/>
                <w:right w:val="none" w:sz="0" w:space="0" w:color="auto"/>
              </w:divBdr>
            </w:div>
          </w:divsChild>
        </w:div>
        <w:div w:id="2056733098">
          <w:marLeft w:val="0"/>
          <w:marRight w:val="0"/>
          <w:marTop w:val="0"/>
          <w:marBottom w:val="0"/>
          <w:divBdr>
            <w:top w:val="none" w:sz="0" w:space="0" w:color="auto"/>
            <w:left w:val="none" w:sz="0" w:space="0" w:color="auto"/>
            <w:bottom w:val="none" w:sz="0" w:space="0" w:color="auto"/>
            <w:right w:val="none" w:sz="0" w:space="0" w:color="auto"/>
          </w:divBdr>
          <w:divsChild>
            <w:div w:id="1558126197">
              <w:marLeft w:val="0"/>
              <w:marRight w:val="0"/>
              <w:marTop w:val="0"/>
              <w:marBottom w:val="0"/>
              <w:divBdr>
                <w:top w:val="none" w:sz="0" w:space="0" w:color="auto"/>
                <w:left w:val="none" w:sz="0" w:space="0" w:color="auto"/>
                <w:bottom w:val="none" w:sz="0" w:space="0" w:color="auto"/>
                <w:right w:val="none" w:sz="0" w:space="0" w:color="auto"/>
              </w:divBdr>
            </w:div>
          </w:divsChild>
        </w:div>
        <w:div w:id="2058360301">
          <w:marLeft w:val="0"/>
          <w:marRight w:val="0"/>
          <w:marTop w:val="0"/>
          <w:marBottom w:val="0"/>
          <w:divBdr>
            <w:top w:val="none" w:sz="0" w:space="0" w:color="auto"/>
            <w:left w:val="none" w:sz="0" w:space="0" w:color="auto"/>
            <w:bottom w:val="none" w:sz="0" w:space="0" w:color="auto"/>
            <w:right w:val="none" w:sz="0" w:space="0" w:color="auto"/>
          </w:divBdr>
          <w:divsChild>
            <w:div w:id="734859982">
              <w:marLeft w:val="0"/>
              <w:marRight w:val="0"/>
              <w:marTop w:val="0"/>
              <w:marBottom w:val="0"/>
              <w:divBdr>
                <w:top w:val="none" w:sz="0" w:space="0" w:color="auto"/>
                <w:left w:val="none" w:sz="0" w:space="0" w:color="auto"/>
                <w:bottom w:val="none" w:sz="0" w:space="0" w:color="auto"/>
                <w:right w:val="none" w:sz="0" w:space="0" w:color="auto"/>
              </w:divBdr>
            </w:div>
          </w:divsChild>
        </w:div>
        <w:div w:id="2061780622">
          <w:marLeft w:val="0"/>
          <w:marRight w:val="0"/>
          <w:marTop w:val="0"/>
          <w:marBottom w:val="0"/>
          <w:divBdr>
            <w:top w:val="none" w:sz="0" w:space="0" w:color="auto"/>
            <w:left w:val="none" w:sz="0" w:space="0" w:color="auto"/>
            <w:bottom w:val="none" w:sz="0" w:space="0" w:color="auto"/>
            <w:right w:val="none" w:sz="0" w:space="0" w:color="auto"/>
          </w:divBdr>
          <w:divsChild>
            <w:div w:id="862212565">
              <w:marLeft w:val="0"/>
              <w:marRight w:val="0"/>
              <w:marTop w:val="0"/>
              <w:marBottom w:val="0"/>
              <w:divBdr>
                <w:top w:val="none" w:sz="0" w:space="0" w:color="auto"/>
                <w:left w:val="none" w:sz="0" w:space="0" w:color="auto"/>
                <w:bottom w:val="none" w:sz="0" w:space="0" w:color="auto"/>
                <w:right w:val="none" w:sz="0" w:space="0" w:color="auto"/>
              </w:divBdr>
            </w:div>
          </w:divsChild>
        </w:div>
        <w:div w:id="2063938905">
          <w:marLeft w:val="0"/>
          <w:marRight w:val="0"/>
          <w:marTop w:val="0"/>
          <w:marBottom w:val="0"/>
          <w:divBdr>
            <w:top w:val="none" w:sz="0" w:space="0" w:color="auto"/>
            <w:left w:val="none" w:sz="0" w:space="0" w:color="auto"/>
            <w:bottom w:val="none" w:sz="0" w:space="0" w:color="auto"/>
            <w:right w:val="none" w:sz="0" w:space="0" w:color="auto"/>
          </w:divBdr>
          <w:divsChild>
            <w:div w:id="807013780">
              <w:marLeft w:val="0"/>
              <w:marRight w:val="0"/>
              <w:marTop w:val="0"/>
              <w:marBottom w:val="0"/>
              <w:divBdr>
                <w:top w:val="none" w:sz="0" w:space="0" w:color="auto"/>
                <w:left w:val="none" w:sz="0" w:space="0" w:color="auto"/>
                <w:bottom w:val="none" w:sz="0" w:space="0" w:color="auto"/>
                <w:right w:val="none" w:sz="0" w:space="0" w:color="auto"/>
              </w:divBdr>
            </w:div>
          </w:divsChild>
        </w:div>
        <w:div w:id="2064013215">
          <w:marLeft w:val="0"/>
          <w:marRight w:val="0"/>
          <w:marTop w:val="0"/>
          <w:marBottom w:val="0"/>
          <w:divBdr>
            <w:top w:val="none" w:sz="0" w:space="0" w:color="auto"/>
            <w:left w:val="none" w:sz="0" w:space="0" w:color="auto"/>
            <w:bottom w:val="none" w:sz="0" w:space="0" w:color="auto"/>
            <w:right w:val="none" w:sz="0" w:space="0" w:color="auto"/>
          </w:divBdr>
          <w:divsChild>
            <w:div w:id="1308169270">
              <w:marLeft w:val="0"/>
              <w:marRight w:val="0"/>
              <w:marTop w:val="0"/>
              <w:marBottom w:val="0"/>
              <w:divBdr>
                <w:top w:val="none" w:sz="0" w:space="0" w:color="auto"/>
                <w:left w:val="none" w:sz="0" w:space="0" w:color="auto"/>
                <w:bottom w:val="none" w:sz="0" w:space="0" w:color="auto"/>
                <w:right w:val="none" w:sz="0" w:space="0" w:color="auto"/>
              </w:divBdr>
            </w:div>
          </w:divsChild>
        </w:div>
        <w:div w:id="2064013907">
          <w:marLeft w:val="0"/>
          <w:marRight w:val="0"/>
          <w:marTop w:val="0"/>
          <w:marBottom w:val="0"/>
          <w:divBdr>
            <w:top w:val="none" w:sz="0" w:space="0" w:color="auto"/>
            <w:left w:val="none" w:sz="0" w:space="0" w:color="auto"/>
            <w:bottom w:val="none" w:sz="0" w:space="0" w:color="auto"/>
            <w:right w:val="none" w:sz="0" w:space="0" w:color="auto"/>
          </w:divBdr>
          <w:divsChild>
            <w:div w:id="1587766058">
              <w:marLeft w:val="0"/>
              <w:marRight w:val="0"/>
              <w:marTop w:val="0"/>
              <w:marBottom w:val="0"/>
              <w:divBdr>
                <w:top w:val="none" w:sz="0" w:space="0" w:color="auto"/>
                <w:left w:val="none" w:sz="0" w:space="0" w:color="auto"/>
                <w:bottom w:val="none" w:sz="0" w:space="0" w:color="auto"/>
                <w:right w:val="none" w:sz="0" w:space="0" w:color="auto"/>
              </w:divBdr>
            </w:div>
          </w:divsChild>
        </w:div>
        <w:div w:id="2064061706">
          <w:marLeft w:val="0"/>
          <w:marRight w:val="0"/>
          <w:marTop w:val="0"/>
          <w:marBottom w:val="0"/>
          <w:divBdr>
            <w:top w:val="none" w:sz="0" w:space="0" w:color="auto"/>
            <w:left w:val="none" w:sz="0" w:space="0" w:color="auto"/>
            <w:bottom w:val="none" w:sz="0" w:space="0" w:color="auto"/>
            <w:right w:val="none" w:sz="0" w:space="0" w:color="auto"/>
          </w:divBdr>
          <w:divsChild>
            <w:div w:id="137038487">
              <w:marLeft w:val="0"/>
              <w:marRight w:val="0"/>
              <w:marTop w:val="0"/>
              <w:marBottom w:val="0"/>
              <w:divBdr>
                <w:top w:val="none" w:sz="0" w:space="0" w:color="auto"/>
                <w:left w:val="none" w:sz="0" w:space="0" w:color="auto"/>
                <w:bottom w:val="none" w:sz="0" w:space="0" w:color="auto"/>
                <w:right w:val="none" w:sz="0" w:space="0" w:color="auto"/>
              </w:divBdr>
            </w:div>
            <w:div w:id="1231622141">
              <w:marLeft w:val="0"/>
              <w:marRight w:val="0"/>
              <w:marTop w:val="0"/>
              <w:marBottom w:val="0"/>
              <w:divBdr>
                <w:top w:val="none" w:sz="0" w:space="0" w:color="auto"/>
                <w:left w:val="none" w:sz="0" w:space="0" w:color="auto"/>
                <w:bottom w:val="none" w:sz="0" w:space="0" w:color="auto"/>
                <w:right w:val="none" w:sz="0" w:space="0" w:color="auto"/>
              </w:divBdr>
            </w:div>
          </w:divsChild>
        </w:div>
        <w:div w:id="2064328323">
          <w:marLeft w:val="0"/>
          <w:marRight w:val="0"/>
          <w:marTop w:val="0"/>
          <w:marBottom w:val="0"/>
          <w:divBdr>
            <w:top w:val="none" w:sz="0" w:space="0" w:color="auto"/>
            <w:left w:val="none" w:sz="0" w:space="0" w:color="auto"/>
            <w:bottom w:val="none" w:sz="0" w:space="0" w:color="auto"/>
            <w:right w:val="none" w:sz="0" w:space="0" w:color="auto"/>
          </w:divBdr>
          <w:divsChild>
            <w:div w:id="269628393">
              <w:marLeft w:val="0"/>
              <w:marRight w:val="0"/>
              <w:marTop w:val="0"/>
              <w:marBottom w:val="0"/>
              <w:divBdr>
                <w:top w:val="none" w:sz="0" w:space="0" w:color="auto"/>
                <w:left w:val="none" w:sz="0" w:space="0" w:color="auto"/>
                <w:bottom w:val="none" w:sz="0" w:space="0" w:color="auto"/>
                <w:right w:val="none" w:sz="0" w:space="0" w:color="auto"/>
              </w:divBdr>
            </w:div>
            <w:div w:id="302538270">
              <w:marLeft w:val="0"/>
              <w:marRight w:val="0"/>
              <w:marTop w:val="0"/>
              <w:marBottom w:val="0"/>
              <w:divBdr>
                <w:top w:val="none" w:sz="0" w:space="0" w:color="auto"/>
                <w:left w:val="none" w:sz="0" w:space="0" w:color="auto"/>
                <w:bottom w:val="none" w:sz="0" w:space="0" w:color="auto"/>
                <w:right w:val="none" w:sz="0" w:space="0" w:color="auto"/>
              </w:divBdr>
            </w:div>
            <w:div w:id="993142573">
              <w:marLeft w:val="0"/>
              <w:marRight w:val="0"/>
              <w:marTop w:val="0"/>
              <w:marBottom w:val="0"/>
              <w:divBdr>
                <w:top w:val="none" w:sz="0" w:space="0" w:color="auto"/>
                <w:left w:val="none" w:sz="0" w:space="0" w:color="auto"/>
                <w:bottom w:val="none" w:sz="0" w:space="0" w:color="auto"/>
                <w:right w:val="none" w:sz="0" w:space="0" w:color="auto"/>
              </w:divBdr>
            </w:div>
          </w:divsChild>
        </w:div>
        <w:div w:id="2067560282">
          <w:marLeft w:val="0"/>
          <w:marRight w:val="0"/>
          <w:marTop w:val="0"/>
          <w:marBottom w:val="0"/>
          <w:divBdr>
            <w:top w:val="none" w:sz="0" w:space="0" w:color="auto"/>
            <w:left w:val="none" w:sz="0" w:space="0" w:color="auto"/>
            <w:bottom w:val="none" w:sz="0" w:space="0" w:color="auto"/>
            <w:right w:val="none" w:sz="0" w:space="0" w:color="auto"/>
          </w:divBdr>
          <w:divsChild>
            <w:div w:id="1143347785">
              <w:marLeft w:val="0"/>
              <w:marRight w:val="0"/>
              <w:marTop w:val="0"/>
              <w:marBottom w:val="0"/>
              <w:divBdr>
                <w:top w:val="none" w:sz="0" w:space="0" w:color="auto"/>
                <w:left w:val="none" w:sz="0" w:space="0" w:color="auto"/>
                <w:bottom w:val="none" w:sz="0" w:space="0" w:color="auto"/>
                <w:right w:val="none" w:sz="0" w:space="0" w:color="auto"/>
              </w:divBdr>
            </w:div>
          </w:divsChild>
        </w:div>
        <w:div w:id="2071266304">
          <w:marLeft w:val="0"/>
          <w:marRight w:val="0"/>
          <w:marTop w:val="0"/>
          <w:marBottom w:val="0"/>
          <w:divBdr>
            <w:top w:val="none" w:sz="0" w:space="0" w:color="auto"/>
            <w:left w:val="none" w:sz="0" w:space="0" w:color="auto"/>
            <w:bottom w:val="none" w:sz="0" w:space="0" w:color="auto"/>
            <w:right w:val="none" w:sz="0" w:space="0" w:color="auto"/>
          </w:divBdr>
          <w:divsChild>
            <w:div w:id="98986800">
              <w:marLeft w:val="0"/>
              <w:marRight w:val="0"/>
              <w:marTop w:val="0"/>
              <w:marBottom w:val="0"/>
              <w:divBdr>
                <w:top w:val="none" w:sz="0" w:space="0" w:color="auto"/>
                <w:left w:val="none" w:sz="0" w:space="0" w:color="auto"/>
                <w:bottom w:val="none" w:sz="0" w:space="0" w:color="auto"/>
                <w:right w:val="none" w:sz="0" w:space="0" w:color="auto"/>
              </w:divBdr>
            </w:div>
            <w:div w:id="120731565">
              <w:marLeft w:val="0"/>
              <w:marRight w:val="0"/>
              <w:marTop w:val="0"/>
              <w:marBottom w:val="0"/>
              <w:divBdr>
                <w:top w:val="none" w:sz="0" w:space="0" w:color="auto"/>
                <w:left w:val="none" w:sz="0" w:space="0" w:color="auto"/>
                <w:bottom w:val="none" w:sz="0" w:space="0" w:color="auto"/>
                <w:right w:val="none" w:sz="0" w:space="0" w:color="auto"/>
              </w:divBdr>
            </w:div>
            <w:div w:id="598832270">
              <w:marLeft w:val="0"/>
              <w:marRight w:val="0"/>
              <w:marTop w:val="0"/>
              <w:marBottom w:val="0"/>
              <w:divBdr>
                <w:top w:val="none" w:sz="0" w:space="0" w:color="auto"/>
                <w:left w:val="none" w:sz="0" w:space="0" w:color="auto"/>
                <w:bottom w:val="none" w:sz="0" w:space="0" w:color="auto"/>
                <w:right w:val="none" w:sz="0" w:space="0" w:color="auto"/>
              </w:divBdr>
            </w:div>
            <w:div w:id="666517161">
              <w:marLeft w:val="0"/>
              <w:marRight w:val="0"/>
              <w:marTop w:val="0"/>
              <w:marBottom w:val="0"/>
              <w:divBdr>
                <w:top w:val="none" w:sz="0" w:space="0" w:color="auto"/>
                <w:left w:val="none" w:sz="0" w:space="0" w:color="auto"/>
                <w:bottom w:val="none" w:sz="0" w:space="0" w:color="auto"/>
                <w:right w:val="none" w:sz="0" w:space="0" w:color="auto"/>
              </w:divBdr>
            </w:div>
            <w:div w:id="825900410">
              <w:marLeft w:val="0"/>
              <w:marRight w:val="0"/>
              <w:marTop w:val="0"/>
              <w:marBottom w:val="0"/>
              <w:divBdr>
                <w:top w:val="none" w:sz="0" w:space="0" w:color="auto"/>
                <w:left w:val="none" w:sz="0" w:space="0" w:color="auto"/>
                <w:bottom w:val="none" w:sz="0" w:space="0" w:color="auto"/>
                <w:right w:val="none" w:sz="0" w:space="0" w:color="auto"/>
              </w:divBdr>
            </w:div>
            <w:div w:id="1163198989">
              <w:marLeft w:val="0"/>
              <w:marRight w:val="0"/>
              <w:marTop w:val="0"/>
              <w:marBottom w:val="0"/>
              <w:divBdr>
                <w:top w:val="none" w:sz="0" w:space="0" w:color="auto"/>
                <w:left w:val="none" w:sz="0" w:space="0" w:color="auto"/>
                <w:bottom w:val="none" w:sz="0" w:space="0" w:color="auto"/>
                <w:right w:val="none" w:sz="0" w:space="0" w:color="auto"/>
              </w:divBdr>
            </w:div>
            <w:div w:id="1755514258">
              <w:marLeft w:val="0"/>
              <w:marRight w:val="0"/>
              <w:marTop w:val="0"/>
              <w:marBottom w:val="0"/>
              <w:divBdr>
                <w:top w:val="none" w:sz="0" w:space="0" w:color="auto"/>
                <w:left w:val="none" w:sz="0" w:space="0" w:color="auto"/>
                <w:bottom w:val="none" w:sz="0" w:space="0" w:color="auto"/>
                <w:right w:val="none" w:sz="0" w:space="0" w:color="auto"/>
              </w:divBdr>
            </w:div>
            <w:div w:id="1922372752">
              <w:marLeft w:val="0"/>
              <w:marRight w:val="0"/>
              <w:marTop w:val="0"/>
              <w:marBottom w:val="0"/>
              <w:divBdr>
                <w:top w:val="none" w:sz="0" w:space="0" w:color="auto"/>
                <w:left w:val="none" w:sz="0" w:space="0" w:color="auto"/>
                <w:bottom w:val="none" w:sz="0" w:space="0" w:color="auto"/>
                <w:right w:val="none" w:sz="0" w:space="0" w:color="auto"/>
              </w:divBdr>
            </w:div>
          </w:divsChild>
        </w:div>
        <w:div w:id="2071613280">
          <w:marLeft w:val="0"/>
          <w:marRight w:val="0"/>
          <w:marTop w:val="0"/>
          <w:marBottom w:val="0"/>
          <w:divBdr>
            <w:top w:val="none" w:sz="0" w:space="0" w:color="auto"/>
            <w:left w:val="none" w:sz="0" w:space="0" w:color="auto"/>
            <w:bottom w:val="none" w:sz="0" w:space="0" w:color="auto"/>
            <w:right w:val="none" w:sz="0" w:space="0" w:color="auto"/>
          </w:divBdr>
          <w:divsChild>
            <w:div w:id="401607300">
              <w:marLeft w:val="0"/>
              <w:marRight w:val="0"/>
              <w:marTop w:val="0"/>
              <w:marBottom w:val="0"/>
              <w:divBdr>
                <w:top w:val="none" w:sz="0" w:space="0" w:color="auto"/>
                <w:left w:val="none" w:sz="0" w:space="0" w:color="auto"/>
                <w:bottom w:val="none" w:sz="0" w:space="0" w:color="auto"/>
                <w:right w:val="none" w:sz="0" w:space="0" w:color="auto"/>
              </w:divBdr>
            </w:div>
            <w:div w:id="1716924189">
              <w:marLeft w:val="0"/>
              <w:marRight w:val="0"/>
              <w:marTop w:val="0"/>
              <w:marBottom w:val="0"/>
              <w:divBdr>
                <w:top w:val="none" w:sz="0" w:space="0" w:color="auto"/>
                <w:left w:val="none" w:sz="0" w:space="0" w:color="auto"/>
                <w:bottom w:val="none" w:sz="0" w:space="0" w:color="auto"/>
                <w:right w:val="none" w:sz="0" w:space="0" w:color="auto"/>
              </w:divBdr>
            </w:div>
          </w:divsChild>
        </w:div>
        <w:div w:id="2072070689">
          <w:marLeft w:val="0"/>
          <w:marRight w:val="0"/>
          <w:marTop w:val="0"/>
          <w:marBottom w:val="0"/>
          <w:divBdr>
            <w:top w:val="none" w:sz="0" w:space="0" w:color="auto"/>
            <w:left w:val="none" w:sz="0" w:space="0" w:color="auto"/>
            <w:bottom w:val="none" w:sz="0" w:space="0" w:color="auto"/>
            <w:right w:val="none" w:sz="0" w:space="0" w:color="auto"/>
          </w:divBdr>
          <w:divsChild>
            <w:div w:id="985276990">
              <w:marLeft w:val="0"/>
              <w:marRight w:val="0"/>
              <w:marTop w:val="0"/>
              <w:marBottom w:val="0"/>
              <w:divBdr>
                <w:top w:val="none" w:sz="0" w:space="0" w:color="auto"/>
                <w:left w:val="none" w:sz="0" w:space="0" w:color="auto"/>
                <w:bottom w:val="none" w:sz="0" w:space="0" w:color="auto"/>
                <w:right w:val="none" w:sz="0" w:space="0" w:color="auto"/>
              </w:divBdr>
            </w:div>
            <w:div w:id="1011376451">
              <w:marLeft w:val="0"/>
              <w:marRight w:val="0"/>
              <w:marTop w:val="0"/>
              <w:marBottom w:val="0"/>
              <w:divBdr>
                <w:top w:val="none" w:sz="0" w:space="0" w:color="auto"/>
                <w:left w:val="none" w:sz="0" w:space="0" w:color="auto"/>
                <w:bottom w:val="none" w:sz="0" w:space="0" w:color="auto"/>
                <w:right w:val="none" w:sz="0" w:space="0" w:color="auto"/>
              </w:divBdr>
            </w:div>
            <w:div w:id="1080567126">
              <w:marLeft w:val="0"/>
              <w:marRight w:val="0"/>
              <w:marTop w:val="0"/>
              <w:marBottom w:val="0"/>
              <w:divBdr>
                <w:top w:val="none" w:sz="0" w:space="0" w:color="auto"/>
                <w:left w:val="none" w:sz="0" w:space="0" w:color="auto"/>
                <w:bottom w:val="none" w:sz="0" w:space="0" w:color="auto"/>
                <w:right w:val="none" w:sz="0" w:space="0" w:color="auto"/>
              </w:divBdr>
            </w:div>
            <w:div w:id="1144470975">
              <w:marLeft w:val="0"/>
              <w:marRight w:val="0"/>
              <w:marTop w:val="0"/>
              <w:marBottom w:val="0"/>
              <w:divBdr>
                <w:top w:val="none" w:sz="0" w:space="0" w:color="auto"/>
                <w:left w:val="none" w:sz="0" w:space="0" w:color="auto"/>
                <w:bottom w:val="none" w:sz="0" w:space="0" w:color="auto"/>
                <w:right w:val="none" w:sz="0" w:space="0" w:color="auto"/>
              </w:divBdr>
            </w:div>
            <w:div w:id="1178888728">
              <w:marLeft w:val="0"/>
              <w:marRight w:val="0"/>
              <w:marTop w:val="0"/>
              <w:marBottom w:val="0"/>
              <w:divBdr>
                <w:top w:val="none" w:sz="0" w:space="0" w:color="auto"/>
                <w:left w:val="none" w:sz="0" w:space="0" w:color="auto"/>
                <w:bottom w:val="none" w:sz="0" w:space="0" w:color="auto"/>
                <w:right w:val="none" w:sz="0" w:space="0" w:color="auto"/>
              </w:divBdr>
            </w:div>
            <w:div w:id="1521317332">
              <w:marLeft w:val="0"/>
              <w:marRight w:val="0"/>
              <w:marTop w:val="0"/>
              <w:marBottom w:val="0"/>
              <w:divBdr>
                <w:top w:val="none" w:sz="0" w:space="0" w:color="auto"/>
                <w:left w:val="none" w:sz="0" w:space="0" w:color="auto"/>
                <w:bottom w:val="none" w:sz="0" w:space="0" w:color="auto"/>
                <w:right w:val="none" w:sz="0" w:space="0" w:color="auto"/>
              </w:divBdr>
            </w:div>
            <w:div w:id="1548371479">
              <w:marLeft w:val="0"/>
              <w:marRight w:val="0"/>
              <w:marTop w:val="0"/>
              <w:marBottom w:val="0"/>
              <w:divBdr>
                <w:top w:val="none" w:sz="0" w:space="0" w:color="auto"/>
                <w:left w:val="none" w:sz="0" w:space="0" w:color="auto"/>
                <w:bottom w:val="none" w:sz="0" w:space="0" w:color="auto"/>
                <w:right w:val="none" w:sz="0" w:space="0" w:color="auto"/>
              </w:divBdr>
            </w:div>
            <w:div w:id="1609045238">
              <w:marLeft w:val="0"/>
              <w:marRight w:val="0"/>
              <w:marTop w:val="0"/>
              <w:marBottom w:val="0"/>
              <w:divBdr>
                <w:top w:val="none" w:sz="0" w:space="0" w:color="auto"/>
                <w:left w:val="none" w:sz="0" w:space="0" w:color="auto"/>
                <w:bottom w:val="none" w:sz="0" w:space="0" w:color="auto"/>
                <w:right w:val="none" w:sz="0" w:space="0" w:color="auto"/>
              </w:divBdr>
            </w:div>
            <w:div w:id="1950967977">
              <w:marLeft w:val="0"/>
              <w:marRight w:val="0"/>
              <w:marTop w:val="0"/>
              <w:marBottom w:val="0"/>
              <w:divBdr>
                <w:top w:val="none" w:sz="0" w:space="0" w:color="auto"/>
                <w:left w:val="none" w:sz="0" w:space="0" w:color="auto"/>
                <w:bottom w:val="none" w:sz="0" w:space="0" w:color="auto"/>
                <w:right w:val="none" w:sz="0" w:space="0" w:color="auto"/>
              </w:divBdr>
            </w:div>
          </w:divsChild>
        </w:div>
        <w:div w:id="2072458890">
          <w:marLeft w:val="0"/>
          <w:marRight w:val="0"/>
          <w:marTop w:val="0"/>
          <w:marBottom w:val="0"/>
          <w:divBdr>
            <w:top w:val="none" w:sz="0" w:space="0" w:color="auto"/>
            <w:left w:val="none" w:sz="0" w:space="0" w:color="auto"/>
            <w:bottom w:val="none" w:sz="0" w:space="0" w:color="auto"/>
            <w:right w:val="none" w:sz="0" w:space="0" w:color="auto"/>
          </w:divBdr>
          <w:divsChild>
            <w:div w:id="1722366583">
              <w:marLeft w:val="0"/>
              <w:marRight w:val="0"/>
              <w:marTop w:val="0"/>
              <w:marBottom w:val="0"/>
              <w:divBdr>
                <w:top w:val="none" w:sz="0" w:space="0" w:color="auto"/>
                <w:left w:val="none" w:sz="0" w:space="0" w:color="auto"/>
                <w:bottom w:val="none" w:sz="0" w:space="0" w:color="auto"/>
                <w:right w:val="none" w:sz="0" w:space="0" w:color="auto"/>
              </w:divBdr>
            </w:div>
          </w:divsChild>
        </w:div>
        <w:div w:id="2079130190">
          <w:marLeft w:val="0"/>
          <w:marRight w:val="0"/>
          <w:marTop w:val="0"/>
          <w:marBottom w:val="0"/>
          <w:divBdr>
            <w:top w:val="none" w:sz="0" w:space="0" w:color="auto"/>
            <w:left w:val="none" w:sz="0" w:space="0" w:color="auto"/>
            <w:bottom w:val="none" w:sz="0" w:space="0" w:color="auto"/>
            <w:right w:val="none" w:sz="0" w:space="0" w:color="auto"/>
          </w:divBdr>
          <w:divsChild>
            <w:div w:id="184831197">
              <w:marLeft w:val="0"/>
              <w:marRight w:val="0"/>
              <w:marTop w:val="0"/>
              <w:marBottom w:val="0"/>
              <w:divBdr>
                <w:top w:val="none" w:sz="0" w:space="0" w:color="auto"/>
                <w:left w:val="none" w:sz="0" w:space="0" w:color="auto"/>
                <w:bottom w:val="none" w:sz="0" w:space="0" w:color="auto"/>
                <w:right w:val="none" w:sz="0" w:space="0" w:color="auto"/>
              </w:divBdr>
            </w:div>
            <w:div w:id="1681851052">
              <w:marLeft w:val="0"/>
              <w:marRight w:val="0"/>
              <w:marTop w:val="0"/>
              <w:marBottom w:val="0"/>
              <w:divBdr>
                <w:top w:val="none" w:sz="0" w:space="0" w:color="auto"/>
                <w:left w:val="none" w:sz="0" w:space="0" w:color="auto"/>
                <w:bottom w:val="none" w:sz="0" w:space="0" w:color="auto"/>
                <w:right w:val="none" w:sz="0" w:space="0" w:color="auto"/>
              </w:divBdr>
            </w:div>
          </w:divsChild>
        </w:div>
        <w:div w:id="2079941400">
          <w:marLeft w:val="0"/>
          <w:marRight w:val="0"/>
          <w:marTop w:val="0"/>
          <w:marBottom w:val="0"/>
          <w:divBdr>
            <w:top w:val="none" w:sz="0" w:space="0" w:color="auto"/>
            <w:left w:val="none" w:sz="0" w:space="0" w:color="auto"/>
            <w:bottom w:val="none" w:sz="0" w:space="0" w:color="auto"/>
            <w:right w:val="none" w:sz="0" w:space="0" w:color="auto"/>
          </w:divBdr>
          <w:divsChild>
            <w:div w:id="637152939">
              <w:marLeft w:val="0"/>
              <w:marRight w:val="0"/>
              <w:marTop w:val="0"/>
              <w:marBottom w:val="0"/>
              <w:divBdr>
                <w:top w:val="none" w:sz="0" w:space="0" w:color="auto"/>
                <w:left w:val="none" w:sz="0" w:space="0" w:color="auto"/>
                <w:bottom w:val="none" w:sz="0" w:space="0" w:color="auto"/>
                <w:right w:val="none" w:sz="0" w:space="0" w:color="auto"/>
              </w:divBdr>
            </w:div>
            <w:div w:id="1874534883">
              <w:marLeft w:val="0"/>
              <w:marRight w:val="0"/>
              <w:marTop w:val="0"/>
              <w:marBottom w:val="0"/>
              <w:divBdr>
                <w:top w:val="none" w:sz="0" w:space="0" w:color="auto"/>
                <w:left w:val="none" w:sz="0" w:space="0" w:color="auto"/>
                <w:bottom w:val="none" w:sz="0" w:space="0" w:color="auto"/>
                <w:right w:val="none" w:sz="0" w:space="0" w:color="auto"/>
              </w:divBdr>
            </w:div>
            <w:div w:id="1956906634">
              <w:marLeft w:val="0"/>
              <w:marRight w:val="0"/>
              <w:marTop w:val="0"/>
              <w:marBottom w:val="0"/>
              <w:divBdr>
                <w:top w:val="none" w:sz="0" w:space="0" w:color="auto"/>
                <w:left w:val="none" w:sz="0" w:space="0" w:color="auto"/>
                <w:bottom w:val="none" w:sz="0" w:space="0" w:color="auto"/>
                <w:right w:val="none" w:sz="0" w:space="0" w:color="auto"/>
              </w:divBdr>
            </w:div>
          </w:divsChild>
        </w:div>
        <w:div w:id="2080135276">
          <w:marLeft w:val="0"/>
          <w:marRight w:val="0"/>
          <w:marTop w:val="0"/>
          <w:marBottom w:val="0"/>
          <w:divBdr>
            <w:top w:val="none" w:sz="0" w:space="0" w:color="auto"/>
            <w:left w:val="none" w:sz="0" w:space="0" w:color="auto"/>
            <w:bottom w:val="none" w:sz="0" w:space="0" w:color="auto"/>
            <w:right w:val="none" w:sz="0" w:space="0" w:color="auto"/>
          </w:divBdr>
          <w:divsChild>
            <w:div w:id="328606929">
              <w:marLeft w:val="0"/>
              <w:marRight w:val="0"/>
              <w:marTop w:val="0"/>
              <w:marBottom w:val="0"/>
              <w:divBdr>
                <w:top w:val="none" w:sz="0" w:space="0" w:color="auto"/>
                <w:left w:val="none" w:sz="0" w:space="0" w:color="auto"/>
                <w:bottom w:val="none" w:sz="0" w:space="0" w:color="auto"/>
                <w:right w:val="none" w:sz="0" w:space="0" w:color="auto"/>
              </w:divBdr>
            </w:div>
          </w:divsChild>
        </w:div>
        <w:div w:id="2081054693">
          <w:marLeft w:val="0"/>
          <w:marRight w:val="0"/>
          <w:marTop w:val="0"/>
          <w:marBottom w:val="0"/>
          <w:divBdr>
            <w:top w:val="none" w:sz="0" w:space="0" w:color="auto"/>
            <w:left w:val="none" w:sz="0" w:space="0" w:color="auto"/>
            <w:bottom w:val="none" w:sz="0" w:space="0" w:color="auto"/>
            <w:right w:val="none" w:sz="0" w:space="0" w:color="auto"/>
          </w:divBdr>
          <w:divsChild>
            <w:div w:id="1495295386">
              <w:marLeft w:val="0"/>
              <w:marRight w:val="0"/>
              <w:marTop w:val="0"/>
              <w:marBottom w:val="0"/>
              <w:divBdr>
                <w:top w:val="none" w:sz="0" w:space="0" w:color="auto"/>
                <w:left w:val="none" w:sz="0" w:space="0" w:color="auto"/>
                <w:bottom w:val="none" w:sz="0" w:space="0" w:color="auto"/>
                <w:right w:val="none" w:sz="0" w:space="0" w:color="auto"/>
              </w:divBdr>
            </w:div>
            <w:div w:id="1582445641">
              <w:marLeft w:val="0"/>
              <w:marRight w:val="0"/>
              <w:marTop w:val="0"/>
              <w:marBottom w:val="0"/>
              <w:divBdr>
                <w:top w:val="none" w:sz="0" w:space="0" w:color="auto"/>
                <w:left w:val="none" w:sz="0" w:space="0" w:color="auto"/>
                <w:bottom w:val="none" w:sz="0" w:space="0" w:color="auto"/>
                <w:right w:val="none" w:sz="0" w:space="0" w:color="auto"/>
              </w:divBdr>
            </w:div>
          </w:divsChild>
        </w:div>
        <w:div w:id="2084717440">
          <w:marLeft w:val="0"/>
          <w:marRight w:val="0"/>
          <w:marTop w:val="0"/>
          <w:marBottom w:val="0"/>
          <w:divBdr>
            <w:top w:val="none" w:sz="0" w:space="0" w:color="auto"/>
            <w:left w:val="none" w:sz="0" w:space="0" w:color="auto"/>
            <w:bottom w:val="none" w:sz="0" w:space="0" w:color="auto"/>
            <w:right w:val="none" w:sz="0" w:space="0" w:color="auto"/>
          </w:divBdr>
          <w:divsChild>
            <w:div w:id="1791195121">
              <w:marLeft w:val="0"/>
              <w:marRight w:val="0"/>
              <w:marTop w:val="0"/>
              <w:marBottom w:val="0"/>
              <w:divBdr>
                <w:top w:val="none" w:sz="0" w:space="0" w:color="auto"/>
                <w:left w:val="none" w:sz="0" w:space="0" w:color="auto"/>
                <w:bottom w:val="none" w:sz="0" w:space="0" w:color="auto"/>
                <w:right w:val="none" w:sz="0" w:space="0" w:color="auto"/>
              </w:divBdr>
            </w:div>
          </w:divsChild>
        </w:div>
        <w:div w:id="2089577733">
          <w:marLeft w:val="0"/>
          <w:marRight w:val="0"/>
          <w:marTop w:val="0"/>
          <w:marBottom w:val="0"/>
          <w:divBdr>
            <w:top w:val="none" w:sz="0" w:space="0" w:color="auto"/>
            <w:left w:val="none" w:sz="0" w:space="0" w:color="auto"/>
            <w:bottom w:val="none" w:sz="0" w:space="0" w:color="auto"/>
            <w:right w:val="none" w:sz="0" w:space="0" w:color="auto"/>
          </w:divBdr>
          <w:divsChild>
            <w:div w:id="123929053">
              <w:marLeft w:val="0"/>
              <w:marRight w:val="0"/>
              <w:marTop w:val="0"/>
              <w:marBottom w:val="0"/>
              <w:divBdr>
                <w:top w:val="none" w:sz="0" w:space="0" w:color="auto"/>
                <w:left w:val="none" w:sz="0" w:space="0" w:color="auto"/>
                <w:bottom w:val="none" w:sz="0" w:space="0" w:color="auto"/>
                <w:right w:val="none" w:sz="0" w:space="0" w:color="auto"/>
              </w:divBdr>
            </w:div>
          </w:divsChild>
        </w:div>
        <w:div w:id="2090152410">
          <w:marLeft w:val="0"/>
          <w:marRight w:val="0"/>
          <w:marTop w:val="0"/>
          <w:marBottom w:val="0"/>
          <w:divBdr>
            <w:top w:val="none" w:sz="0" w:space="0" w:color="auto"/>
            <w:left w:val="none" w:sz="0" w:space="0" w:color="auto"/>
            <w:bottom w:val="none" w:sz="0" w:space="0" w:color="auto"/>
            <w:right w:val="none" w:sz="0" w:space="0" w:color="auto"/>
          </w:divBdr>
          <w:divsChild>
            <w:div w:id="1017317779">
              <w:marLeft w:val="0"/>
              <w:marRight w:val="0"/>
              <w:marTop w:val="0"/>
              <w:marBottom w:val="0"/>
              <w:divBdr>
                <w:top w:val="none" w:sz="0" w:space="0" w:color="auto"/>
                <w:left w:val="none" w:sz="0" w:space="0" w:color="auto"/>
                <w:bottom w:val="none" w:sz="0" w:space="0" w:color="auto"/>
                <w:right w:val="none" w:sz="0" w:space="0" w:color="auto"/>
              </w:divBdr>
            </w:div>
            <w:div w:id="1616448476">
              <w:marLeft w:val="0"/>
              <w:marRight w:val="0"/>
              <w:marTop w:val="0"/>
              <w:marBottom w:val="0"/>
              <w:divBdr>
                <w:top w:val="none" w:sz="0" w:space="0" w:color="auto"/>
                <w:left w:val="none" w:sz="0" w:space="0" w:color="auto"/>
                <w:bottom w:val="none" w:sz="0" w:space="0" w:color="auto"/>
                <w:right w:val="none" w:sz="0" w:space="0" w:color="auto"/>
              </w:divBdr>
            </w:div>
          </w:divsChild>
        </w:div>
        <w:div w:id="2094862317">
          <w:marLeft w:val="0"/>
          <w:marRight w:val="0"/>
          <w:marTop w:val="0"/>
          <w:marBottom w:val="0"/>
          <w:divBdr>
            <w:top w:val="none" w:sz="0" w:space="0" w:color="auto"/>
            <w:left w:val="none" w:sz="0" w:space="0" w:color="auto"/>
            <w:bottom w:val="none" w:sz="0" w:space="0" w:color="auto"/>
            <w:right w:val="none" w:sz="0" w:space="0" w:color="auto"/>
          </w:divBdr>
          <w:divsChild>
            <w:div w:id="907152885">
              <w:marLeft w:val="0"/>
              <w:marRight w:val="0"/>
              <w:marTop w:val="0"/>
              <w:marBottom w:val="0"/>
              <w:divBdr>
                <w:top w:val="none" w:sz="0" w:space="0" w:color="auto"/>
                <w:left w:val="none" w:sz="0" w:space="0" w:color="auto"/>
                <w:bottom w:val="none" w:sz="0" w:space="0" w:color="auto"/>
                <w:right w:val="none" w:sz="0" w:space="0" w:color="auto"/>
              </w:divBdr>
            </w:div>
          </w:divsChild>
        </w:div>
        <w:div w:id="2096781235">
          <w:marLeft w:val="0"/>
          <w:marRight w:val="0"/>
          <w:marTop w:val="0"/>
          <w:marBottom w:val="0"/>
          <w:divBdr>
            <w:top w:val="none" w:sz="0" w:space="0" w:color="auto"/>
            <w:left w:val="none" w:sz="0" w:space="0" w:color="auto"/>
            <w:bottom w:val="none" w:sz="0" w:space="0" w:color="auto"/>
            <w:right w:val="none" w:sz="0" w:space="0" w:color="auto"/>
          </w:divBdr>
          <w:divsChild>
            <w:div w:id="18556318">
              <w:marLeft w:val="0"/>
              <w:marRight w:val="0"/>
              <w:marTop w:val="0"/>
              <w:marBottom w:val="0"/>
              <w:divBdr>
                <w:top w:val="none" w:sz="0" w:space="0" w:color="auto"/>
                <w:left w:val="none" w:sz="0" w:space="0" w:color="auto"/>
                <w:bottom w:val="none" w:sz="0" w:space="0" w:color="auto"/>
                <w:right w:val="none" w:sz="0" w:space="0" w:color="auto"/>
              </w:divBdr>
            </w:div>
            <w:div w:id="791292462">
              <w:marLeft w:val="0"/>
              <w:marRight w:val="0"/>
              <w:marTop w:val="0"/>
              <w:marBottom w:val="0"/>
              <w:divBdr>
                <w:top w:val="none" w:sz="0" w:space="0" w:color="auto"/>
                <w:left w:val="none" w:sz="0" w:space="0" w:color="auto"/>
                <w:bottom w:val="none" w:sz="0" w:space="0" w:color="auto"/>
                <w:right w:val="none" w:sz="0" w:space="0" w:color="auto"/>
              </w:divBdr>
            </w:div>
            <w:div w:id="869337675">
              <w:marLeft w:val="0"/>
              <w:marRight w:val="0"/>
              <w:marTop w:val="0"/>
              <w:marBottom w:val="0"/>
              <w:divBdr>
                <w:top w:val="none" w:sz="0" w:space="0" w:color="auto"/>
                <w:left w:val="none" w:sz="0" w:space="0" w:color="auto"/>
                <w:bottom w:val="none" w:sz="0" w:space="0" w:color="auto"/>
                <w:right w:val="none" w:sz="0" w:space="0" w:color="auto"/>
              </w:divBdr>
            </w:div>
            <w:div w:id="1025867197">
              <w:marLeft w:val="0"/>
              <w:marRight w:val="0"/>
              <w:marTop w:val="0"/>
              <w:marBottom w:val="0"/>
              <w:divBdr>
                <w:top w:val="none" w:sz="0" w:space="0" w:color="auto"/>
                <w:left w:val="none" w:sz="0" w:space="0" w:color="auto"/>
                <w:bottom w:val="none" w:sz="0" w:space="0" w:color="auto"/>
                <w:right w:val="none" w:sz="0" w:space="0" w:color="auto"/>
              </w:divBdr>
            </w:div>
            <w:div w:id="1232932548">
              <w:marLeft w:val="0"/>
              <w:marRight w:val="0"/>
              <w:marTop w:val="0"/>
              <w:marBottom w:val="0"/>
              <w:divBdr>
                <w:top w:val="none" w:sz="0" w:space="0" w:color="auto"/>
                <w:left w:val="none" w:sz="0" w:space="0" w:color="auto"/>
                <w:bottom w:val="none" w:sz="0" w:space="0" w:color="auto"/>
                <w:right w:val="none" w:sz="0" w:space="0" w:color="auto"/>
              </w:divBdr>
            </w:div>
            <w:div w:id="1508981737">
              <w:marLeft w:val="0"/>
              <w:marRight w:val="0"/>
              <w:marTop w:val="0"/>
              <w:marBottom w:val="0"/>
              <w:divBdr>
                <w:top w:val="none" w:sz="0" w:space="0" w:color="auto"/>
                <w:left w:val="none" w:sz="0" w:space="0" w:color="auto"/>
                <w:bottom w:val="none" w:sz="0" w:space="0" w:color="auto"/>
                <w:right w:val="none" w:sz="0" w:space="0" w:color="auto"/>
              </w:divBdr>
            </w:div>
            <w:div w:id="1677463525">
              <w:marLeft w:val="0"/>
              <w:marRight w:val="0"/>
              <w:marTop w:val="0"/>
              <w:marBottom w:val="0"/>
              <w:divBdr>
                <w:top w:val="none" w:sz="0" w:space="0" w:color="auto"/>
                <w:left w:val="none" w:sz="0" w:space="0" w:color="auto"/>
                <w:bottom w:val="none" w:sz="0" w:space="0" w:color="auto"/>
                <w:right w:val="none" w:sz="0" w:space="0" w:color="auto"/>
              </w:divBdr>
            </w:div>
          </w:divsChild>
        </w:div>
        <w:div w:id="2102530838">
          <w:marLeft w:val="0"/>
          <w:marRight w:val="0"/>
          <w:marTop w:val="0"/>
          <w:marBottom w:val="0"/>
          <w:divBdr>
            <w:top w:val="none" w:sz="0" w:space="0" w:color="auto"/>
            <w:left w:val="none" w:sz="0" w:space="0" w:color="auto"/>
            <w:bottom w:val="none" w:sz="0" w:space="0" w:color="auto"/>
            <w:right w:val="none" w:sz="0" w:space="0" w:color="auto"/>
          </w:divBdr>
          <w:divsChild>
            <w:div w:id="506406067">
              <w:marLeft w:val="0"/>
              <w:marRight w:val="0"/>
              <w:marTop w:val="0"/>
              <w:marBottom w:val="0"/>
              <w:divBdr>
                <w:top w:val="none" w:sz="0" w:space="0" w:color="auto"/>
                <w:left w:val="none" w:sz="0" w:space="0" w:color="auto"/>
                <w:bottom w:val="none" w:sz="0" w:space="0" w:color="auto"/>
                <w:right w:val="none" w:sz="0" w:space="0" w:color="auto"/>
              </w:divBdr>
            </w:div>
          </w:divsChild>
        </w:div>
        <w:div w:id="2106729342">
          <w:marLeft w:val="0"/>
          <w:marRight w:val="0"/>
          <w:marTop w:val="0"/>
          <w:marBottom w:val="0"/>
          <w:divBdr>
            <w:top w:val="none" w:sz="0" w:space="0" w:color="auto"/>
            <w:left w:val="none" w:sz="0" w:space="0" w:color="auto"/>
            <w:bottom w:val="none" w:sz="0" w:space="0" w:color="auto"/>
            <w:right w:val="none" w:sz="0" w:space="0" w:color="auto"/>
          </w:divBdr>
          <w:divsChild>
            <w:div w:id="2025280388">
              <w:marLeft w:val="0"/>
              <w:marRight w:val="0"/>
              <w:marTop w:val="0"/>
              <w:marBottom w:val="0"/>
              <w:divBdr>
                <w:top w:val="none" w:sz="0" w:space="0" w:color="auto"/>
                <w:left w:val="none" w:sz="0" w:space="0" w:color="auto"/>
                <w:bottom w:val="none" w:sz="0" w:space="0" w:color="auto"/>
                <w:right w:val="none" w:sz="0" w:space="0" w:color="auto"/>
              </w:divBdr>
            </w:div>
          </w:divsChild>
        </w:div>
        <w:div w:id="2109344423">
          <w:marLeft w:val="0"/>
          <w:marRight w:val="0"/>
          <w:marTop w:val="0"/>
          <w:marBottom w:val="0"/>
          <w:divBdr>
            <w:top w:val="none" w:sz="0" w:space="0" w:color="auto"/>
            <w:left w:val="none" w:sz="0" w:space="0" w:color="auto"/>
            <w:bottom w:val="none" w:sz="0" w:space="0" w:color="auto"/>
            <w:right w:val="none" w:sz="0" w:space="0" w:color="auto"/>
          </w:divBdr>
          <w:divsChild>
            <w:div w:id="17850084">
              <w:marLeft w:val="0"/>
              <w:marRight w:val="0"/>
              <w:marTop w:val="0"/>
              <w:marBottom w:val="0"/>
              <w:divBdr>
                <w:top w:val="none" w:sz="0" w:space="0" w:color="auto"/>
                <w:left w:val="none" w:sz="0" w:space="0" w:color="auto"/>
                <w:bottom w:val="none" w:sz="0" w:space="0" w:color="auto"/>
                <w:right w:val="none" w:sz="0" w:space="0" w:color="auto"/>
              </w:divBdr>
            </w:div>
            <w:div w:id="117334206">
              <w:marLeft w:val="0"/>
              <w:marRight w:val="0"/>
              <w:marTop w:val="0"/>
              <w:marBottom w:val="0"/>
              <w:divBdr>
                <w:top w:val="none" w:sz="0" w:space="0" w:color="auto"/>
                <w:left w:val="none" w:sz="0" w:space="0" w:color="auto"/>
                <w:bottom w:val="none" w:sz="0" w:space="0" w:color="auto"/>
                <w:right w:val="none" w:sz="0" w:space="0" w:color="auto"/>
              </w:divBdr>
            </w:div>
            <w:div w:id="1197936413">
              <w:marLeft w:val="0"/>
              <w:marRight w:val="0"/>
              <w:marTop w:val="0"/>
              <w:marBottom w:val="0"/>
              <w:divBdr>
                <w:top w:val="none" w:sz="0" w:space="0" w:color="auto"/>
                <w:left w:val="none" w:sz="0" w:space="0" w:color="auto"/>
                <w:bottom w:val="none" w:sz="0" w:space="0" w:color="auto"/>
                <w:right w:val="none" w:sz="0" w:space="0" w:color="auto"/>
              </w:divBdr>
            </w:div>
            <w:div w:id="1225262776">
              <w:marLeft w:val="0"/>
              <w:marRight w:val="0"/>
              <w:marTop w:val="0"/>
              <w:marBottom w:val="0"/>
              <w:divBdr>
                <w:top w:val="none" w:sz="0" w:space="0" w:color="auto"/>
                <w:left w:val="none" w:sz="0" w:space="0" w:color="auto"/>
                <w:bottom w:val="none" w:sz="0" w:space="0" w:color="auto"/>
                <w:right w:val="none" w:sz="0" w:space="0" w:color="auto"/>
              </w:divBdr>
            </w:div>
            <w:div w:id="1567184168">
              <w:marLeft w:val="0"/>
              <w:marRight w:val="0"/>
              <w:marTop w:val="0"/>
              <w:marBottom w:val="0"/>
              <w:divBdr>
                <w:top w:val="none" w:sz="0" w:space="0" w:color="auto"/>
                <w:left w:val="none" w:sz="0" w:space="0" w:color="auto"/>
                <w:bottom w:val="none" w:sz="0" w:space="0" w:color="auto"/>
                <w:right w:val="none" w:sz="0" w:space="0" w:color="auto"/>
              </w:divBdr>
            </w:div>
            <w:div w:id="1602879740">
              <w:marLeft w:val="0"/>
              <w:marRight w:val="0"/>
              <w:marTop w:val="0"/>
              <w:marBottom w:val="0"/>
              <w:divBdr>
                <w:top w:val="none" w:sz="0" w:space="0" w:color="auto"/>
                <w:left w:val="none" w:sz="0" w:space="0" w:color="auto"/>
                <w:bottom w:val="none" w:sz="0" w:space="0" w:color="auto"/>
                <w:right w:val="none" w:sz="0" w:space="0" w:color="auto"/>
              </w:divBdr>
            </w:div>
            <w:div w:id="2109427103">
              <w:marLeft w:val="0"/>
              <w:marRight w:val="0"/>
              <w:marTop w:val="0"/>
              <w:marBottom w:val="0"/>
              <w:divBdr>
                <w:top w:val="none" w:sz="0" w:space="0" w:color="auto"/>
                <w:left w:val="none" w:sz="0" w:space="0" w:color="auto"/>
                <w:bottom w:val="none" w:sz="0" w:space="0" w:color="auto"/>
                <w:right w:val="none" w:sz="0" w:space="0" w:color="auto"/>
              </w:divBdr>
            </w:div>
            <w:div w:id="2141530458">
              <w:marLeft w:val="0"/>
              <w:marRight w:val="0"/>
              <w:marTop w:val="0"/>
              <w:marBottom w:val="0"/>
              <w:divBdr>
                <w:top w:val="none" w:sz="0" w:space="0" w:color="auto"/>
                <w:left w:val="none" w:sz="0" w:space="0" w:color="auto"/>
                <w:bottom w:val="none" w:sz="0" w:space="0" w:color="auto"/>
                <w:right w:val="none" w:sz="0" w:space="0" w:color="auto"/>
              </w:divBdr>
            </w:div>
          </w:divsChild>
        </w:div>
        <w:div w:id="2120756633">
          <w:marLeft w:val="0"/>
          <w:marRight w:val="0"/>
          <w:marTop w:val="0"/>
          <w:marBottom w:val="0"/>
          <w:divBdr>
            <w:top w:val="none" w:sz="0" w:space="0" w:color="auto"/>
            <w:left w:val="none" w:sz="0" w:space="0" w:color="auto"/>
            <w:bottom w:val="none" w:sz="0" w:space="0" w:color="auto"/>
            <w:right w:val="none" w:sz="0" w:space="0" w:color="auto"/>
          </w:divBdr>
          <w:divsChild>
            <w:div w:id="1704668577">
              <w:marLeft w:val="0"/>
              <w:marRight w:val="0"/>
              <w:marTop w:val="0"/>
              <w:marBottom w:val="0"/>
              <w:divBdr>
                <w:top w:val="none" w:sz="0" w:space="0" w:color="auto"/>
                <w:left w:val="none" w:sz="0" w:space="0" w:color="auto"/>
                <w:bottom w:val="none" w:sz="0" w:space="0" w:color="auto"/>
                <w:right w:val="none" w:sz="0" w:space="0" w:color="auto"/>
              </w:divBdr>
            </w:div>
          </w:divsChild>
        </w:div>
        <w:div w:id="2121099250">
          <w:marLeft w:val="0"/>
          <w:marRight w:val="0"/>
          <w:marTop w:val="0"/>
          <w:marBottom w:val="0"/>
          <w:divBdr>
            <w:top w:val="none" w:sz="0" w:space="0" w:color="auto"/>
            <w:left w:val="none" w:sz="0" w:space="0" w:color="auto"/>
            <w:bottom w:val="none" w:sz="0" w:space="0" w:color="auto"/>
            <w:right w:val="none" w:sz="0" w:space="0" w:color="auto"/>
          </w:divBdr>
          <w:divsChild>
            <w:div w:id="233009373">
              <w:marLeft w:val="0"/>
              <w:marRight w:val="0"/>
              <w:marTop w:val="0"/>
              <w:marBottom w:val="0"/>
              <w:divBdr>
                <w:top w:val="none" w:sz="0" w:space="0" w:color="auto"/>
                <w:left w:val="none" w:sz="0" w:space="0" w:color="auto"/>
                <w:bottom w:val="none" w:sz="0" w:space="0" w:color="auto"/>
                <w:right w:val="none" w:sz="0" w:space="0" w:color="auto"/>
              </w:divBdr>
            </w:div>
          </w:divsChild>
        </w:div>
        <w:div w:id="2128768070">
          <w:marLeft w:val="0"/>
          <w:marRight w:val="0"/>
          <w:marTop w:val="0"/>
          <w:marBottom w:val="0"/>
          <w:divBdr>
            <w:top w:val="none" w:sz="0" w:space="0" w:color="auto"/>
            <w:left w:val="none" w:sz="0" w:space="0" w:color="auto"/>
            <w:bottom w:val="none" w:sz="0" w:space="0" w:color="auto"/>
            <w:right w:val="none" w:sz="0" w:space="0" w:color="auto"/>
          </w:divBdr>
          <w:divsChild>
            <w:div w:id="1906180403">
              <w:marLeft w:val="0"/>
              <w:marRight w:val="0"/>
              <w:marTop w:val="0"/>
              <w:marBottom w:val="0"/>
              <w:divBdr>
                <w:top w:val="none" w:sz="0" w:space="0" w:color="auto"/>
                <w:left w:val="none" w:sz="0" w:space="0" w:color="auto"/>
                <w:bottom w:val="none" w:sz="0" w:space="0" w:color="auto"/>
                <w:right w:val="none" w:sz="0" w:space="0" w:color="auto"/>
              </w:divBdr>
            </w:div>
          </w:divsChild>
        </w:div>
        <w:div w:id="2129275306">
          <w:marLeft w:val="0"/>
          <w:marRight w:val="0"/>
          <w:marTop w:val="0"/>
          <w:marBottom w:val="0"/>
          <w:divBdr>
            <w:top w:val="none" w:sz="0" w:space="0" w:color="auto"/>
            <w:left w:val="none" w:sz="0" w:space="0" w:color="auto"/>
            <w:bottom w:val="none" w:sz="0" w:space="0" w:color="auto"/>
            <w:right w:val="none" w:sz="0" w:space="0" w:color="auto"/>
          </w:divBdr>
          <w:divsChild>
            <w:div w:id="160313278">
              <w:marLeft w:val="0"/>
              <w:marRight w:val="0"/>
              <w:marTop w:val="0"/>
              <w:marBottom w:val="0"/>
              <w:divBdr>
                <w:top w:val="none" w:sz="0" w:space="0" w:color="auto"/>
                <w:left w:val="none" w:sz="0" w:space="0" w:color="auto"/>
                <w:bottom w:val="none" w:sz="0" w:space="0" w:color="auto"/>
                <w:right w:val="none" w:sz="0" w:space="0" w:color="auto"/>
              </w:divBdr>
            </w:div>
            <w:div w:id="783230381">
              <w:marLeft w:val="0"/>
              <w:marRight w:val="0"/>
              <w:marTop w:val="0"/>
              <w:marBottom w:val="0"/>
              <w:divBdr>
                <w:top w:val="none" w:sz="0" w:space="0" w:color="auto"/>
                <w:left w:val="none" w:sz="0" w:space="0" w:color="auto"/>
                <w:bottom w:val="none" w:sz="0" w:space="0" w:color="auto"/>
                <w:right w:val="none" w:sz="0" w:space="0" w:color="auto"/>
              </w:divBdr>
            </w:div>
          </w:divsChild>
        </w:div>
        <w:div w:id="2129276100">
          <w:marLeft w:val="0"/>
          <w:marRight w:val="0"/>
          <w:marTop w:val="0"/>
          <w:marBottom w:val="0"/>
          <w:divBdr>
            <w:top w:val="none" w:sz="0" w:space="0" w:color="auto"/>
            <w:left w:val="none" w:sz="0" w:space="0" w:color="auto"/>
            <w:bottom w:val="none" w:sz="0" w:space="0" w:color="auto"/>
            <w:right w:val="none" w:sz="0" w:space="0" w:color="auto"/>
          </w:divBdr>
          <w:divsChild>
            <w:div w:id="1148546569">
              <w:marLeft w:val="0"/>
              <w:marRight w:val="0"/>
              <w:marTop w:val="0"/>
              <w:marBottom w:val="0"/>
              <w:divBdr>
                <w:top w:val="none" w:sz="0" w:space="0" w:color="auto"/>
                <w:left w:val="none" w:sz="0" w:space="0" w:color="auto"/>
                <w:bottom w:val="none" w:sz="0" w:space="0" w:color="auto"/>
                <w:right w:val="none" w:sz="0" w:space="0" w:color="auto"/>
              </w:divBdr>
            </w:div>
            <w:div w:id="1982538577">
              <w:marLeft w:val="0"/>
              <w:marRight w:val="0"/>
              <w:marTop w:val="0"/>
              <w:marBottom w:val="0"/>
              <w:divBdr>
                <w:top w:val="none" w:sz="0" w:space="0" w:color="auto"/>
                <w:left w:val="none" w:sz="0" w:space="0" w:color="auto"/>
                <w:bottom w:val="none" w:sz="0" w:space="0" w:color="auto"/>
                <w:right w:val="none" w:sz="0" w:space="0" w:color="auto"/>
              </w:divBdr>
            </w:div>
          </w:divsChild>
        </w:div>
        <w:div w:id="2133329532">
          <w:marLeft w:val="0"/>
          <w:marRight w:val="0"/>
          <w:marTop w:val="0"/>
          <w:marBottom w:val="0"/>
          <w:divBdr>
            <w:top w:val="none" w:sz="0" w:space="0" w:color="auto"/>
            <w:left w:val="none" w:sz="0" w:space="0" w:color="auto"/>
            <w:bottom w:val="none" w:sz="0" w:space="0" w:color="auto"/>
            <w:right w:val="none" w:sz="0" w:space="0" w:color="auto"/>
          </w:divBdr>
          <w:divsChild>
            <w:div w:id="151718693">
              <w:marLeft w:val="0"/>
              <w:marRight w:val="0"/>
              <w:marTop w:val="0"/>
              <w:marBottom w:val="0"/>
              <w:divBdr>
                <w:top w:val="none" w:sz="0" w:space="0" w:color="auto"/>
                <w:left w:val="none" w:sz="0" w:space="0" w:color="auto"/>
                <w:bottom w:val="none" w:sz="0" w:space="0" w:color="auto"/>
                <w:right w:val="none" w:sz="0" w:space="0" w:color="auto"/>
              </w:divBdr>
            </w:div>
            <w:div w:id="230041829">
              <w:marLeft w:val="0"/>
              <w:marRight w:val="0"/>
              <w:marTop w:val="0"/>
              <w:marBottom w:val="0"/>
              <w:divBdr>
                <w:top w:val="none" w:sz="0" w:space="0" w:color="auto"/>
                <w:left w:val="none" w:sz="0" w:space="0" w:color="auto"/>
                <w:bottom w:val="none" w:sz="0" w:space="0" w:color="auto"/>
                <w:right w:val="none" w:sz="0" w:space="0" w:color="auto"/>
              </w:divBdr>
            </w:div>
            <w:div w:id="545725694">
              <w:marLeft w:val="0"/>
              <w:marRight w:val="0"/>
              <w:marTop w:val="0"/>
              <w:marBottom w:val="0"/>
              <w:divBdr>
                <w:top w:val="none" w:sz="0" w:space="0" w:color="auto"/>
                <w:left w:val="none" w:sz="0" w:space="0" w:color="auto"/>
                <w:bottom w:val="none" w:sz="0" w:space="0" w:color="auto"/>
                <w:right w:val="none" w:sz="0" w:space="0" w:color="auto"/>
              </w:divBdr>
            </w:div>
            <w:div w:id="555701545">
              <w:marLeft w:val="0"/>
              <w:marRight w:val="0"/>
              <w:marTop w:val="0"/>
              <w:marBottom w:val="0"/>
              <w:divBdr>
                <w:top w:val="none" w:sz="0" w:space="0" w:color="auto"/>
                <w:left w:val="none" w:sz="0" w:space="0" w:color="auto"/>
                <w:bottom w:val="none" w:sz="0" w:space="0" w:color="auto"/>
                <w:right w:val="none" w:sz="0" w:space="0" w:color="auto"/>
              </w:divBdr>
            </w:div>
            <w:div w:id="601381117">
              <w:marLeft w:val="0"/>
              <w:marRight w:val="0"/>
              <w:marTop w:val="0"/>
              <w:marBottom w:val="0"/>
              <w:divBdr>
                <w:top w:val="none" w:sz="0" w:space="0" w:color="auto"/>
                <w:left w:val="none" w:sz="0" w:space="0" w:color="auto"/>
                <w:bottom w:val="none" w:sz="0" w:space="0" w:color="auto"/>
                <w:right w:val="none" w:sz="0" w:space="0" w:color="auto"/>
              </w:divBdr>
            </w:div>
            <w:div w:id="729499622">
              <w:marLeft w:val="0"/>
              <w:marRight w:val="0"/>
              <w:marTop w:val="0"/>
              <w:marBottom w:val="0"/>
              <w:divBdr>
                <w:top w:val="none" w:sz="0" w:space="0" w:color="auto"/>
                <w:left w:val="none" w:sz="0" w:space="0" w:color="auto"/>
                <w:bottom w:val="none" w:sz="0" w:space="0" w:color="auto"/>
                <w:right w:val="none" w:sz="0" w:space="0" w:color="auto"/>
              </w:divBdr>
            </w:div>
            <w:div w:id="1099646311">
              <w:marLeft w:val="0"/>
              <w:marRight w:val="0"/>
              <w:marTop w:val="0"/>
              <w:marBottom w:val="0"/>
              <w:divBdr>
                <w:top w:val="none" w:sz="0" w:space="0" w:color="auto"/>
                <w:left w:val="none" w:sz="0" w:space="0" w:color="auto"/>
                <w:bottom w:val="none" w:sz="0" w:space="0" w:color="auto"/>
                <w:right w:val="none" w:sz="0" w:space="0" w:color="auto"/>
              </w:divBdr>
            </w:div>
            <w:div w:id="1262951742">
              <w:marLeft w:val="0"/>
              <w:marRight w:val="0"/>
              <w:marTop w:val="0"/>
              <w:marBottom w:val="0"/>
              <w:divBdr>
                <w:top w:val="none" w:sz="0" w:space="0" w:color="auto"/>
                <w:left w:val="none" w:sz="0" w:space="0" w:color="auto"/>
                <w:bottom w:val="none" w:sz="0" w:space="0" w:color="auto"/>
                <w:right w:val="none" w:sz="0" w:space="0" w:color="auto"/>
              </w:divBdr>
            </w:div>
            <w:div w:id="1481726590">
              <w:marLeft w:val="0"/>
              <w:marRight w:val="0"/>
              <w:marTop w:val="0"/>
              <w:marBottom w:val="0"/>
              <w:divBdr>
                <w:top w:val="none" w:sz="0" w:space="0" w:color="auto"/>
                <w:left w:val="none" w:sz="0" w:space="0" w:color="auto"/>
                <w:bottom w:val="none" w:sz="0" w:space="0" w:color="auto"/>
                <w:right w:val="none" w:sz="0" w:space="0" w:color="auto"/>
              </w:divBdr>
            </w:div>
            <w:div w:id="1700005141">
              <w:marLeft w:val="0"/>
              <w:marRight w:val="0"/>
              <w:marTop w:val="0"/>
              <w:marBottom w:val="0"/>
              <w:divBdr>
                <w:top w:val="none" w:sz="0" w:space="0" w:color="auto"/>
                <w:left w:val="none" w:sz="0" w:space="0" w:color="auto"/>
                <w:bottom w:val="none" w:sz="0" w:space="0" w:color="auto"/>
                <w:right w:val="none" w:sz="0" w:space="0" w:color="auto"/>
              </w:divBdr>
            </w:div>
            <w:div w:id="1988628349">
              <w:marLeft w:val="0"/>
              <w:marRight w:val="0"/>
              <w:marTop w:val="0"/>
              <w:marBottom w:val="0"/>
              <w:divBdr>
                <w:top w:val="none" w:sz="0" w:space="0" w:color="auto"/>
                <w:left w:val="none" w:sz="0" w:space="0" w:color="auto"/>
                <w:bottom w:val="none" w:sz="0" w:space="0" w:color="auto"/>
                <w:right w:val="none" w:sz="0" w:space="0" w:color="auto"/>
              </w:divBdr>
            </w:div>
          </w:divsChild>
        </w:div>
        <w:div w:id="2135363710">
          <w:marLeft w:val="0"/>
          <w:marRight w:val="0"/>
          <w:marTop w:val="0"/>
          <w:marBottom w:val="0"/>
          <w:divBdr>
            <w:top w:val="none" w:sz="0" w:space="0" w:color="auto"/>
            <w:left w:val="none" w:sz="0" w:space="0" w:color="auto"/>
            <w:bottom w:val="none" w:sz="0" w:space="0" w:color="auto"/>
            <w:right w:val="none" w:sz="0" w:space="0" w:color="auto"/>
          </w:divBdr>
          <w:divsChild>
            <w:div w:id="567612673">
              <w:marLeft w:val="0"/>
              <w:marRight w:val="0"/>
              <w:marTop w:val="0"/>
              <w:marBottom w:val="0"/>
              <w:divBdr>
                <w:top w:val="none" w:sz="0" w:space="0" w:color="auto"/>
                <w:left w:val="none" w:sz="0" w:space="0" w:color="auto"/>
                <w:bottom w:val="none" w:sz="0" w:space="0" w:color="auto"/>
                <w:right w:val="none" w:sz="0" w:space="0" w:color="auto"/>
              </w:divBdr>
            </w:div>
            <w:div w:id="620570893">
              <w:marLeft w:val="0"/>
              <w:marRight w:val="0"/>
              <w:marTop w:val="0"/>
              <w:marBottom w:val="0"/>
              <w:divBdr>
                <w:top w:val="none" w:sz="0" w:space="0" w:color="auto"/>
                <w:left w:val="none" w:sz="0" w:space="0" w:color="auto"/>
                <w:bottom w:val="none" w:sz="0" w:space="0" w:color="auto"/>
                <w:right w:val="none" w:sz="0" w:space="0" w:color="auto"/>
              </w:divBdr>
            </w:div>
            <w:div w:id="1415929383">
              <w:marLeft w:val="0"/>
              <w:marRight w:val="0"/>
              <w:marTop w:val="0"/>
              <w:marBottom w:val="0"/>
              <w:divBdr>
                <w:top w:val="none" w:sz="0" w:space="0" w:color="auto"/>
                <w:left w:val="none" w:sz="0" w:space="0" w:color="auto"/>
                <w:bottom w:val="none" w:sz="0" w:space="0" w:color="auto"/>
                <w:right w:val="none" w:sz="0" w:space="0" w:color="auto"/>
              </w:divBdr>
            </w:div>
            <w:div w:id="166173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15956">
      <w:bodyDiv w:val="1"/>
      <w:marLeft w:val="0"/>
      <w:marRight w:val="0"/>
      <w:marTop w:val="0"/>
      <w:marBottom w:val="0"/>
      <w:divBdr>
        <w:top w:val="none" w:sz="0" w:space="0" w:color="auto"/>
        <w:left w:val="none" w:sz="0" w:space="0" w:color="auto"/>
        <w:bottom w:val="none" w:sz="0" w:space="0" w:color="auto"/>
        <w:right w:val="none" w:sz="0" w:space="0" w:color="auto"/>
      </w:divBdr>
      <w:divsChild>
        <w:div w:id="21593040">
          <w:marLeft w:val="0"/>
          <w:marRight w:val="0"/>
          <w:marTop w:val="0"/>
          <w:marBottom w:val="0"/>
          <w:divBdr>
            <w:top w:val="none" w:sz="0" w:space="0" w:color="auto"/>
            <w:left w:val="none" w:sz="0" w:space="0" w:color="auto"/>
            <w:bottom w:val="none" w:sz="0" w:space="0" w:color="auto"/>
            <w:right w:val="none" w:sz="0" w:space="0" w:color="auto"/>
          </w:divBdr>
          <w:divsChild>
            <w:div w:id="1858511">
              <w:marLeft w:val="0"/>
              <w:marRight w:val="0"/>
              <w:marTop w:val="0"/>
              <w:marBottom w:val="0"/>
              <w:divBdr>
                <w:top w:val="none" w:sz="0" w:space="0" w:color="auto"/>
                <w:left w:val="none" w:sz="0" w:space="0" w:color="auto"/>
                <w:bottom w:val="none" w:sz="0" w:space="0" w:color="auto"/>
                <w:right w:val="none" w:sz="0" w:space="0" w:color="auto"/>
              </w:divBdr>
            </w:div>
            <w:div w:id="27145554">
              <w:marLeft w:val="0"/>
              <w:marRight w:val="0"/>
              <w:marTop w:val="0"/>
              <w:marBottom w:val="0"/>
              <w:divBdr>
                <w:top w:val="none" w:sz="0" w:space="0" w:color="auto"/>
                <w:left w:val="none" w:sz="0" w:space="0" w:color="auto"/>
                <w:bottom w:val="none" w:sz="0" w:space="0" w:color="auto"/>
                <w:right w:val="none" w:sz="0" w:space="0" w:color="auto"/>
              </w:divBdr>
            </w:div>
            <w:div w:id="271516737">
              <w:marLeft w:val="0"/>
              <w:marRight w:val="0"/>
              <w:marTop w:val="0"/>
              <w:marBottom w:val="0"/>
              <w:divBdr>
                <w:top w:val="none" w:sz="0" w:space="0" w:color="auto"/>
                <w:left w:val="none" w:sz="0" w:space="0" w:color="auto"/>
                <w:bottom w:val="none" w:sz="0" w:space="0" w:color="auto"/>
                <w:right w:val="none" w:sz="0" w:space="0" w:color="auto"/>
              </w:divBdr>
            </w:div>
            <w:div w:id="345062846">
              <w:marLeft w:val="0"/>
              <w:marRight w:val="0"/>
              <w:marTop w:val="0"/>
              <w:marBottom w:val="0"/>
              <w:divBdr>
                <w:top w:val="none" w:sz="0" w:space="0" w:color="auto"/>
                <w:left w:val="none" w:sz="0" w:space="0" w:color="auto"/>
                <w:bottom w:val="none" w:sz="0" w:space="0" w:color="auto"/>
                <w:right w:val="none" w:sz="0" w:space="0" w:color="auto"/>
              </w:divBdr>
            </w:div>
            <w:div w:id="467480153">
              <w:marLeft w:val="0"/>
              <w:marRight w:val="0"/>
              <w:marTop w:val="0"/>
              <w:marBottom w:val="0"/>
              <w:divBdr>
                <w:top w:val="none" w:sz="0" w:space="0" w:color="auto"/>
                <w:left w:val="none" w:sz="0" w:space="0" w:color="auto"/>
                <w:bottom w:val="none" w:sz="0" w:space="0" w:color="auto"/>
                <w:right w:val="none" w:sz="0" w:space="0" w:color="auto"/>
              </w:divBdr>
            </w:div>
            <w:div w:id="612707755">
              <w:marLeft w:val="0"/>
              <w:marRight w:val="0"/>
              <w:marTop w:val="0"/>
              <w:marBottom w:val="0"/>
              <w:divBdr>
                <w:top w:val="none" w:sz="0" w:space="0" w:color="auto"/>
                <w:left w:val="none" w:sz="0" w:space="0" w:color="auto"/>
                <w:bottom w:val="none" w:sz="0" w:space="0" w:color="auto"/>
                <w:right w:val="none" w:sz="0" w:space="0" w:color="auto"/>
              </w:divBdr>
            </w:div>
            <w:div w:id="684598020">
              <w:marLeft w:val="0"/>
              <w:marRight w:val="0"/>
              <w:marTop w:val="0"/>
              <w:marBottom w:val="0"/>
              <w:divBdr>
                <w:top w:val="none" w:sz="0" w:space="0" w:color="auto"/>
                <w:left w:val="none" w:sz="0" w:space="0" w:color="auto"/>
                <w:bottom w:val="none" w:sz="0" w:space="0" w:color="auto"/>
                <w:right w:val="none" w:sz="0" w:space="0" w:color="auto"/>
              </w:divBdr>
            </w:div>
            <w:div w:id="818570476">
              <w:marLeft w:val="0"/>
              <w:marRight w:val="0"/>
              <w:marTop w:val="0"/>
              <w:marBottom w:val="0"/>
              <w:divBdr>
                <w:top w:val="none" w:sz="0" w:space="0" w:color="auto"/>
                <w:left w:val="none" w:sz="0" w:space="0" w:color="auto"/>
                <w:bottom w:val="none" w:sz="0" w:space="0" w:color="auto"/>
                <w:right w:val="none" w:sz="0" w:space="0" w:color="auto"/>
              </w:divBdr>
            </w:div>
            <w:div w:id="870461613">
              <w:marLeft w:val="0"/>
              <w:marRight w:val="0"/>
              <w:marTop w:val="0"/>
              <w:marBottom w:val="0"/>
              <w:divBdr>
                <w:top w:val="none" w:sz="0" w:space="0" w:color="auto"/>
                <w:left w:val="none" w:sz="0" w:space="0" w:color="auto"/>
                <w:bottom w:val="none" w:sz="0" w:space="0" w:color="auto"/>
                <w:right w:val="none" w:sz="0" w:space="0" w:color="auto"/>
              </w:divBdr>
            </w:div>
            <w:div w:id="1323466617">
              <w:marLeft w:val="0"/>
              <w:marRight w:val="0"/>
              <w:marTop w:val="0"/>
              <w:marBottom w:val="0"/>
              <w:divBdr>
                <w:top w:val="none" w:sz="0" w:space="0" w:color="auto"/>
                <w:left w:val="none" w:sz="0" w:space="0" w:color="auto"/>
                <w:bottom w:val="none" w:sz="0" w:space="0" w:color="auto"/>
                <w:right w:val="none" w:sz="0" w:space="0" w:color="auto"/>
              </w:divBdr>
            </w:div>
            <w:div w:id="1363243319">
              <w:marLeft w:val="0"/>
              <w:marRight w:val="0"/>
              <w:marTop w:val="0"/>
              <w:marBottom w:val="0"/>
              <w:divBdr>
                <w:top w:val="none" w:sz="0" w:space="0" w:color="auto"/>
                <w:left w:val="none" w:sz="0" w:space="0" w:color="auto"/>
                <w:bottom w:val="none" w:sz="0" w:space="0" w:color="auto"/>
                <w:right w:val="none" w:sz="0" w:space="0" w:color="auto"/>
              </w:divBdr>
            </w:div>
            <w:div w:id="1382902816">
              <w:marLeft w:val="0"/>
              <w:marRight w:val="0"/>
              <w:marTop w:val="0"/>
              <w:marBottom w:val="0"/>
              <w:divBdr>
                <w:top w:val="none" w:sz="0" w:space="0" w:color="auto"/>
                <w:left w:val="none" w:sz="0" w:space="0" w:color="auto"/>
                <w:bottom w:val="none" w:sz="0" w:space="0" w:color="auto"/>
                <w:right w:val="none" w:sz="0" w:space="0" w:color="auto"/>
              </w:divBdr>
            </w:div>
            <w:div w:id="1439059425">
              <w:marLeft w:val="0"/>
              <w:marRight w:val="0"/>
              <w:marTop w:val="0"/>
              <w:marBottom w:val="0"/>
              <w:divBdr>
                <w:top w:val="none" w:sz="0" w:space="0" w:color="auto"/>
                <w:left w:val="none" w:sz="0" w:space="0" w:color="auto"/>
                <w:bottom w:val="none" w:sz="0" w:space="0" w:color="auto"/>
                <w:right w:val="none" w:sz="0" w:space="0" w:color="auto"/>
              </w:divBdr>
            </w:div>
            <w:div w:id="1494100307">
              <w:marLeft w:val="0"/>
              <w:marRight w:val="0"/>
              <w:marTop w:val="0"/>
              <w:marBottom w:val="0"/>
              <w:divBdr>
                <w:top w:val="none" w:sz="0" w:space="0" w:color="auto"/>
                <w:left w:val="none" w:sz="0" w:space="0" w:color="auto"/>
                <w:bottom w:val="none" w:sz="0" w:space="0" w:color="auto"/>
                <w:right w:val="none" w:sz="0" w:space="0" w:color="auto"/>
              </w:divBdr>
            </w:div>
            <w:div w:id="1608535407">
              <w:marLeft w:val="0"/>
              <w:marRight w:val="0"/>
              <w:marTop w:val="0"/>
              <w:marBottom w:val="0"/>
              <w:divBdr>
                <w:top w:val="none" w:sz="0" w:space="0" w:color="auto"/>
                <w:left w:val="none" w:sz="0" w:space="0" w:color="auto"/>
                <w:bottom w:val="none" w:sz="0" w:space="0" w:color="auto"/>
                <w:right w:val="none" w:sz="0" w:space="0" w:color="auto"/>
              </w:divBdr>
            </w:div>
            <w:div w:id="1659377930">
              <w:marLeft w:val="0"/>
              <w:marRight w:val="0"/>
              <w:marTop w:val="0"/>
              <w:marBottom w:val="0"/>
              <w:divBdr>
                <w:top w:val="none" w:sz="0" w:space="0" w:color="auto"/>
                <w:left w:val="none" w:sz="0" w:space="0" w:color="auto"/>
                <w:bottom w:val="none" w:sz="0" w:space="0" w:color="auto"/>
                <w:right w:val="none" w:sz="0" w:space="0" w:color="auto"/>
              </w:divBdr>
            </w:div>
            <w:div w:id="1856769274">
              <w:marLeft w:val="0"/>
              <w:marRight w:val="0"/>
              <w:marTop w:val="0"/>
              <w:marBottom w:val="0"/>
              <w:divBdr>
                <w:top w:val="none" w:sz="0" w:space="0" w:color="auto"/>
                <w:left w:val="none" w:sz="0" w:space="0" w:color="auto"/>
                <w:bottom w:val="none" w:sz="0" w:space="0" w:color="auto"/>
                <w:right w:val="none" w:sz="0" w:space="0" w:color="auto"/>
              </w:divBdr>
            </w:div>
            <w:div w:id="1859000377">
              <w:marLeft w:val="0"/>
              <w:marRight w:val="0"/>
              <w:marTop w:val="0"/>
              <w:marBottom w:val="0"/>
              <w:divBdr>
                <w:top w:val="none" w:sz="0" w:space="0" w:color="auto"/>
                <w:left w:val="none" w:sz="0" w:space="0" w:color="auto"/>
                <w:bottom w:val="none" w:sz="0" w:space="0" w:color="auto"/>
                <w:right w:val="none" w:sz="0" w:space="0" w:color="auto"/>
              </w:divBdr>
            </w:div>
            <w:div w:id="2024478555">
              <w:marLeft w:val="0"/>
              <w:marRight w:val="0"/>
              <w:marTop w:val="0"/>
              <w:marBottom w:val="0"/>
              <w:divBdr>
                <w:top w:val="none" w:sz="0" w:space="0" w:color="auto"/>
                <w:left w:val="none" w:sz="0" w:space="0" w:color="auto"/>
                <w:bottom w:val="none" w:sz="0" w:space="0" w:color="auto"/>
                <w:right w:val="none" w:sz="0" w:space="0" w:color="auto"/>
              </w:divBdr>
            </w:div>
            <w:div w:id="2146971707">
              <w:marLeft w:val="0"/>
              <w:marRight w:val="0"/>
              <w:marTop w:val="0"/>
              <w:marBottom w:val="0"/>
              <w:divBdr>
                <w:top w:val="none" w:sz="0" w:space="0" w:color="auto"/>
                <w:left w:val="none" w:sz="0" w:space="0" w:color="auto"/>
                <w:bottom w:val="none" w:sz="0" w:space="0" w:color="auto"/>
                <w:right w:val="none" w:sz="0" w:space="0" w:color="auto"/>
              </w:divBdr>
            </w:div>
          </w:divsChild>
        </w:div>
        <w:div w:id="77217749">
          <w:marLeft w:val="0"/>
          <w:marRight w:val="0"/>
          <w:marTop w:val="0"/>
          <w:marBottom w:val="0"/>
          <w:divBdr>
            <w:top w:val="none" w:sz="0" w:space="0" w:color="auto"/>
            <w:left w:val="none" w:sz="0" w:space="0" w:color="auto"/>
            <w:bottom w:val="none" w:sz="0" w:space="0" w:color="auto"/>
            <w:right w:val="none" w:sz="0" w:space="0" w:color="auto"/>
          </w:divBdr>
          <w:divsChild>
            <w:div w:id="983140">
              <w:marLeft w:val="0"/>
              <w:marRight w:val="0"/>
              <w:marTop w:val="0"/>
              <w:marBottom w:val="0"/>
              <w:divBdr>
                <w:top w:val="none" w:sz="0" w:space="0" w:color="auto"/>
                <w:left w:val="none" w:sz="0" w:space="0" w:color="auto"/>
                <w:bottom w:val="none" w:sz="0" w:space="0" w:color="auto"/>
                <w:right w:val="none" w:sz="0" w:space="0" w:color="auto"/>
              </w:divBdr>
            </w:div>
            <w:div w:id="30156366">
              <w:marLeft w:val="0"/>
              <w:marRight w:val="0"/>
              <w:marTop w:val="0"/>
              <w:marBottom w:val="0"/>
              <w:divBdr>
                <w:top w:val="none" w:sz="0" w:space="0" w:color="auto"/>
                <w:left w:val="none" w:sz="0" w:space="0" w:color="auto"/>
                <w:bottom w:val="none" w:sz="0" w:space="0" w:color="auto"/>
                <w:right w:val="none" w:sz="0" w:space="0" w:color="auto"/>
              </w:divBdr>
            </w:div>
            <w:div w:id="107045824">
              <w:marLeft w:val="0"/>
              <w:marRight w:val="0"/>
              <w:marTop w:val="0"/>
              <w:marBottom w:val="0"/>
              <w:divBdr>
                <w:top w:val="none" w:sz="0" w:space="0" w:color="auto"/>
                <w:left w:val="none" w:sz="0" w:space="0" w:color="auto"/>
                <w:bottom w:val="none" w:sz="0" w:space="0" w:color="auto"/>
                <w:right w:val="none" w:sz="0" w:space="0" w:color="auto"/>
              </w:divBdr>
            </w:div>
            <w:div w:id="134032701">
              <w:marLeft w:val="0"/>
              <w:marRight w:val="0"/>
              <w:marTop w:val="0"/>
              <w:marBottom w:val="0"/>
              <w:divBdr>
                <w:top w:val="none" w:sz="0" w:space="0" w:color="auto"/>
                <w:left w:val="none" w:sz="0" w:space="0" w:color="auto"/>
                <w:bottom w:val="none" w:sz="0" w:space="0" w:color="auto"/>
                <w:right w:val="none" w:sz="0" w:space="0" w:color="auto"/>
              </w:divBdr>
            </w:div>
            <w:div w:id="248469559">
              <w:marLeft w:val="0"/>
              <w:marRight w:val="0"/>
              <w:marTop w:val="0"/>
              <w:marBottom w:val="0"/>
              <w:divBdr>
                <w:top w:val="none" w:sz="0" w:space="0" w:color="auto"/>
                <w:left w:val="none" w:sz="0" w:space="0" w:color="auto"/>
                <w:bottom w:val="none" w:sz="0" w:space="0" w:color="auto"/>
                <w:right w:val="none" w:sz="0" w:space="0" w:color="auto"/>
              </w:divBdr>
            </w:div>
            <w:div w:id="366686163">
              <w:marLeft w:val="0"/>
              <w:marRight w:val="0"/>
              <w:marTop w:val="0"/>
              <w:marBottom w:val="0"/>
              <w:divBdr>
                <w:top w:val="none" w:sz="0" w:space="0" w:color="auto"/>
                <w:left w:val="none" w:sz="0" w:space="0" w:color="auto"/>
                <w:bottom w:val="none" w:sz="0" w:space="0" w:color="auto"/>
                <w:right w:val="none" w:sz="0" w:space="0" w:color="auto"/>
              </w:divBdr>
            </w:div>
            <w:div w:id="558785586">
              <w:marLeft w:val="0"/>
              <w:marRight w:val="0"/>
              <w:marTop w:val="0"/>
              <w:marBottom w:val="0"/>
              <w:divBdr>
                <w:top w:val="none" w:sz="0" w:space="0" w:color="auto"/>
                <w:left w:val="none" w:sz="0" w:space="0" w:color="auto"/>
                <w:bottom w:val="none" w:sz="0" w:space="0" w:color="auto"/>
                <w:right w:val="none" w:sz="0" w:space="0" w:color="auto"/>
              </w:divBdr>
            </w:div>
            <w:div w:id="690954543">
              <w:marLeft w:val="0"/>
              <w:marRight w:val="0"/>
              <w:marTop w:val="0"/>
              <w:marBottom w:val="0"/>
              <w:divBdr>
                <w:top w:val="none" w:sz="0" w:space="0" w:color="auto"/>
                <w:left w:val="none" w:sz="0" w:space="0" w:color="auto"/>
                <w:bottom w:val="none" w:sz="0" w:space="0" w:color="auto"/>
                <w:right w:val="none" w:sz="0" w:space="0" w:color="auto"/>
              </w:divBdr>
            </w:div>
            <w:div w:id="775826713">
              <w:marLeft w:val="0"/>
              <w:marRight w:val="0"/>
              <w:marTop w:val="0"/>
              <w:marBottom w:val="0"/>
              <w:divBdr>
                <w:top w:val="none" w:sz="0" w:space="0" w:color="auto"/>
                <w:left w:val="none" w:sz="0" w:space="0" w:color="auto"/>
                <w:bottom w:val="none" w:sz="0" w:space="0" w:color="auto"/>
                <w:right w:val="none" w:sz="0" w:space="0" w:color="auto"/>
              </w:divBdr>
            </w:div>
            <w:div w:id="1114448524">
              <w:marLeft w:val="0"/>
              <w:marRight w:val="0"/>
              <w:marTop w:val="0"/>
              <w:marBottom w:val="0"/>
              <w:divBdr>
                <w:top w:val="none" w:sz="0" w:space="0" w:color="auto"/>
                <w:left w:val="none" w:sz="0" w:space="0" w:color="auto"/>
                <w:bottom w:val="none" w:sz="0" w:space="0" w:color="auto"/>
                <w:right w:val="none" w:sz="0" w:space="0" w:color="auto"/>
              </w:divBdr>
            </w:div>
            <w:div w:id="1269434265">
              <w:marLeft w:val="0"/>
              <w:marRight w:val="0"/>
              <w:marTop w:val="0"/>
              <w:marBottom w:val="0"/>
              <w:divBdr>
                <w:top w:val="none" w:sz="0" w:space="0" w:color="auto"/>
                <w:left w:val="none" w:sz="0" w:space="0" w:color="auto"/>
                <w:bottom w:val="none" w:sz="0" w:space="0" w:color="auto"/>
                <w:right w:val="none" w:sz="0" w:space="0" w:color="auto"/>
              </w:divBdr>
            </w:div>
            <w:div w:id="1458448305">
              <w:marLeft w:val="0"/>
              <w:marRight w:val="0"/>
              <w:marTop w:val="0"/>
              <w:marBottom w:val="0"/>
              <w:divBdr>
                <w:top w:val="none" w:sz="0" w:space="0" w:color="auto"/>
                <w:left w:val="none" w:sz="0" w:space="0" w:color="auto"/>
                <w:bottom w:val="none" w:sz="0" w:space="0" w:color="auto"/>
                <w:right w:val="none" w:sz="0" w:space="0" w:color="auto"/>
              </w:divBdr>
            </w:div>
            <w:div w:id="1496335882">
              <w:marLeft w:val="0"/>
              <w:marRight w:val="0"/>
              <w:marTop w:val="0"/>
              <w:marBottom w:val="0"/>
              <w:divBdr>
                <w:top w:val="none" w:sz="0" w:space="0" w:color="auto"/>
                <w:left w:val="none" w:sz="0" w:space="0" w:color="auto"/>
                <w:bottom w:val="none" w:sz="0" w:space="0" w:color="auto"/>
                <w:right w:val="none" w:sz="0" w:space="0" w:color="auto"/>
              </w:divBdr>
            </w:div>
            <w:div w:id="1581913874">
              <w:marLeft w:val="0"/>
              <w:marRight w:val="0"/>
              <w:marTop w:val="0"/>
              <w:marBottom w:val="0"/>
              <w:divBdr>
                <w:top w:val="none" w:sz="0" w:space="0" w:color="auto"/>
                <w:left w:val="none" w:sz="0" w:space="0" w:color="auto"/>
                <w:bottom w:val="none" w:sz="0" w:space="0" w:color="auto"/>
                <w:right w:val="none" w:sz="0" w:space="0" w:color="auto"/>
              </w:divBdr>
            </w:div>
            <w:div w:id="1679040335">
              <w:marLeft w:val="0"/>
              <w:marRight w:val="0"/>
              <w:marTop w:val="0"/>
              <w:marBottom w:val="0"/>
              <w:divBdr>
                <w:top w:val="none" w:sz="0" w:space="0" w:color="auto"/>
                <w:left w:val="none" w:sz="0" w:space="0" w:color="auto"/>
                <w:bottom w:val="none" w:sz="0" w:space="0" w:color="auto"/>
                <w:right w:val="none" w:sz="0" w:space="0" w:color="auto"/>
              </w:divBdr>
            </w:div>
            <w:div w:id="1770202910">
              <w:marLeft w:val="0"/>
              <w:marRight w:val="0"/>
              <w:marTop w:val="0"/>
              <w:marBottom w:val="0"/>
              <w:divBdr>
                <w:top w:val="none" w:sz="0" w:space="0" w:color="auto"/>
                <w:left w:val="none" w:sz="0" w:space="0" w:color="auto"/>
                <w:bottom w:val="none" w:sz="0" w:space="0" w:color="auto"/>
                <w:right w:val="none" w:sz="0" w:space="0" w:color="auto"/>
              </w:divBdr>
            </w:div>
            <w:div w:id="1792094091">
              <w:marLeft w:val="0"/>
              <w:marRight w:val="0"/>
              <w:marTop w:val="0"/>
              <w:marBottom w:val="0"/>
              <w:divBdr>
                <w:top w:val="none" w:sz="0" w:space="0" w:color="auto"/>
                <w:left w:val="none" w:sz="0" w:space="0" w:color="auto"/>
                <w:bottom w:val="none" w:sz="0" w:space="0" w:color="auto"/>
                <w:right w:val="none" w:sz="0" w:space="0" w:color="auto"/>
              </w:divBdr>
            </w:div>
            <w:div w:id="1867282765">
              <w:marLeft w:val="0"/>
              <w:marRight w:val="0"/>
              <w:marTop w:val="0"/>
              <w:marBottom w:val="0"/>
              <w:divBdr>
                <w:top w:val="none" w:sz="0" w:space="0" w:color="auto"/>
                <w:left w:val="none" w:sz="0" w:space="0" w:color="auto"/>
                <w:bottom w:val="none" w:sz="0" w:space="0" w:color="auto"/>
                <w:right w:val="none" w:sz="0" w:space="0" w:color="auto"/>
              </w:divBdr>
            </w:div>
            <w:div w:id="1996377600">
              <w:marLeft w:val="0"/>
              <w:marRight w:val="0"/>
              <w:marTop w:val="0"/>
              <w:marBottom w:val="0"/>
              <w:divBdr>
                <w:top w:val="none" w:sz="0" w:space="0" w:color="auto"/>
                <w:left w:val="none" w:sz="0" w:space="0" w:color="auto"/>
                <w:bottom w:val="none" w:sz="0" w:space="0" w:color="auto"/>
                <w:right w:val="none" w:sz="0" w:space="0" w:color="auto"/>
              </w:divBdr>
            </w:div>
            <w:div w:id="2069649880">
              <w:marLeft w:val="0"/>
              <w:marRight w:val="0"/>
              <w:marTop w:val="0"/>
              <w:marBottom w:val="0"/>
              <w:divBdr>
                <w:top w:val="none" w:sz="0" w:space="0" w:color="auto"/>
                <w:left w:val="none" w:sz="0" w:space="0" w:color="auto"/>
                <w:bottom w:val="none" w:sz="0" w:space="0" w:color="auto"/>
                <w:right w:val="none" w:sz="0" w:space="0" w:color="auto"/>
              </w:divBdr>
            </w:div>
          </w:divsChild>
        </w:div>
        <w:div w:id="78331959">
          <w:marLeft w:val="0"/>
          <w:marRight w:val="0"/>
          <w:marTop w:val="0"/>
          <w:marBottom w:val="0"/>
          <w:divBdr>
            <w:top w:val="none" w:sz="0" w:space="0" w:color="auto"/>
            <w:left w:val="none" w:sz="0" w:space="0" w:color="auto"/>
            <w:bottom w:val="none" w:sz="0" w:space="0" w:color="auto"/>
            <w:right w:val="none" w:sz="0" w:space="0" w:color="auto"/>
          </w:divBdr>
        </w:div>
        <w:div w:id="84767803">
          <w:marLeft w:val="0"/>
          <w:marRight w:val="0"/>
          <w:marTop w:val="0"/>
          <w:marBottom w:val="0"/>
          <w:divBdr>
            <w:top w:val="none" w:sz="0" w:space="0" w:color="auto"/>
            <w:left w:val="none" w:sz="0" w:space="0" w:color="auto"/>
            <w:bottom w:val="none" w:sz="0" w:space="0" w:color="auto"/>
            <w:right w:val="none" w:sz="0" w:space="0" w:color="auto"/>
          </w:divBdr>
        </w:div>
        <w:div w:id="108861566">
          <w:marLeft w:val="0"/>
          <w:marRight w:val="0"/>
          <w:marTop w:val="0"/>
          <w:marBottom w:val="0"/>
          <w:divBdr>
            <w:top w:val="none" w:sz="0" w:space="0" w:color="auto"/>
            <w:left w:val="none" w:sz="0" w:space="0" w:color="auto"/>
            <w:bottom w:val="none" w:sz="0" w:space="0" w:color="auto"/>
            <w:right w:val="none" w:sz="0" w:space="0" w:color="auto"/>
          </w:divBdr>
        </w:div>
        <w:div w:id="119224985">
          <w:marLeft w:val="0"/>
          <w:marRight w:val="0"/>
          <w:marTop w:val="0"/>
          <w:marBottom w:val="0"/>
          <w:divBdr>
            <w:top w:val="none" w:sz="0" w:space="0" w:color="auto"/>
            <w:left w:val="none" w:sz="0" w:space="0" w:color="auto"/>
            <w:bottom w:val="none" w:sz="0" w:space="0" w:color="auto"/>
            <w:right w:val="none" w:sz="0" w:space="0" w:color="auto"/>
          </w:divBdr>
        </w:div>
        <w:div w:id="133565771">
          <w:marLeft w:val="0"/>
          <w:marRight w:val="0"/>
          <w:marTop w:val="0"/>
          <w:marBottom w:val="0"/>
          <w:divBdr>
            <w:top w:val="none" w:sz="0" w:space="0" w:color="auto"/>
            <w:left w:val="none" w:sz="0" w:space="0" w:color="auto"/>
            <w:bottom w:val="none" w:sz="0" w:space="0" w:color="auto"/>
            <w:right w:val="none" w:sz="0" w:space="0" w:color="auto"/>
          </w:divBdr>
          <w:divsChild>
            <w:div w:id="572160179">
              <w:marLeft w:val="-75"/>
              <w:marRight w:val="0"/>
              <w:marTop w:val="30"/>
              <w:marBottom w:val="30"/>
              <w:divBdr>
                <w:top w:val="none" w:sz="0" w:space="0" w:color="auto"/>
                <w:left w:val="none" w:sz="0" w:space="0" w:color="auto"/>
                <w:bottom w:val="none" w:sz="0" w:space="0" w:color="auto"/>
                <w:right w:val="none" w:sz="0" w:space="0" w:color="auto"/>
              </w:divBdr>
              <w:divsChild>
                <w:div w:id="5179925">
                  <w:marLeft w:val="0"/>
                  <w:marRight w:val="0"/>
                  <w:marTop w:val="0"/>
                  <w:marBottom w:val="0"/>
                  <w:divBdr>
                    <w:top w:val="none" w:sz="0" w:space="0" w:color="auto"/>
                    <w:left w:val="none" w:sz="0" w:space="0" w:color="auto"/>
                    <w:bottom w:val="none" w:sz="0" w:space="0" w:color="auto"/>
                    <w:right w:val="none" w:sz="0" w:space="0" w:color="auto"/>
                  </w:divBdr>
                  <w:divsChild>
                    <w:div w:id="2029604376">
                      <w:marLeft w:val="0"/>
                      <w:marRight w:val="0"/>
                      <w:marTop w:val="0"/>
                      <w:marBottom w:val="0"/>
                      <w:divBdr>
                        <w:top w:val="none" w:sz="0" w:space="0" w:color="auto"/>
                        <w:left w:val="none" w:sz="0" w:space="0" w:color="auto"/>
                        <w:bottom w:val="none" w:sz="0" w:space="0" w:color="auto"/>
                        <w:right w:val="none" w:sz="0" w:space="0" w:color="auto"/>
                      </w:divBdr>
                    </w:div>
                  </w:divsChild>
                </w:div>
                <w:div w:id="144661542">
                  <w:marLeft w:val="0"/>
                  <w:marRight w:val="0"/>
                  <w:marTop w:val="0"/>
                  <w:marBottom w:val="0"/>
                  <w:divBdr>
                    <w:top w:val="none" w:sz="0" w:space="0" w:color="auto"/>
                    <w:left w:val="none" w:sz="0" w:space="0" w:color="auto"/>
                    <w:bottom w:val="none" w:sz="0" w:space="0" w:color="auto"/>
                    <w:right w:val="none" w:sz="0" w:space="0" w:color="auto"/>
                  </w:divBdr>
                  <w:divsChild>
                    <w:div w:id="1330333935">
                      <w:marLeft w:val="0"/>
                      <w:marRight w:val="0"/>
                      <w:marTop w:val="0"/>
                      <w:marBottom w:val="0"/>
                      <w:divBdr>
                        <w:top w:val="none" w:sz="0" w:space="0" w:color="auto"/>
                        <w:left w:val="none" w:sz="0" w:space="0" w:color="auto"/>
                        <w:bottom w:val="none" w:sz="0" w:space="0" w:color="auto"/>
                        <w:right w:val="none" w:sz="0" w:space="0" w:color="auto"/>
                      </w:divBdr>
                    </w:div>
                  </w:divsChild>
                </w:div>
                <w:div w:id="174926011">
                  <w:marLeft w:val="0"/>
                  <w:marRight w:val="0"/>
                  <w:marTop w:val="0"/>
                  <w:marBottom w:val="0"/>
                  <w:divBdr>
                    <w:top w:val="none" w:sz="0" w:space="0" w:color="auto"/>
                    <w:left w:val="none" w:sz="0" w:space="0" w:color="auto"/>
                    <w:bottom w:val="none" w:sz="0" w:space="0" w:color="auto"/>
                    <w:right w:val="none" w:sz="0" w:space="0" w:color="auto"/>
                  </w:divBdr>
                  <w:divsChild>
                    <w:div w:id="1805152911">
                      <w:marLeft w:val="0"/>
                      <w:marRight w:val="0"/>
                      <w:marTop w:val="0"/>
                      <w:marBottom w:val="0"/>
                      <w:divBdr>
                        <w:top w:val="none" w:sz="0" w:space="0" w:color="auto"/>
                        <w:left w:val="none" w:sz="0" w:space="0" w:color="auto"/>
                        <w:bottom w:val="none" w:sz="0" w:space="0" w:color="auto"/>
                        <w:right w:val="none" w:sz="0" w:space="0" w:color="auto"/>
                      </w:divBdr>
                    </w:div>
                  </w:divsChild>
                </w:div>
                <w:div w:id="222722445">
                  <w:marLeft w:val="0"/>
                  <w:marRight w:val="0"/>
                  <w:marTop w:val="0"/>
                  <w:marBottom w:val="0"/>
                  <w:divBdr>
                    <w:top w:val="none" w:sz="0" w:space="0" w:color="auto"/>
                    <w:left w:val="none" w:sz="0" w:space="0" w:color="auto"/>
                    <w:bottom w:val="none" w:sz="0" w:space="0" w:color="auto"/>
                    <w:right w:val="none" w:sz="0" w:space="0" w:color="auto"/>
                  </w:divBdr>
                  <w:divsChild>
                    <w:div w:id="620723092">
                      <w:marLeft w:val="0"/>
                      <w:marRight w:val="0"/>
                      <w:marTop w:val="0"/>
                      <w:marBottom w:val="0"/>
                      <w:divBdr>
                        <w:top w:val="none" w:sz="0" w:space="0" w:color="auto"/>
                        <w:left w:val="none" w:sz="0" w:space="0" w:color="auto"/>
                        <w:bottom w:val="none" w:sz="0" w:space="0" w:color="auto"/>
                        <w:right w:val="none" w:sz="0" w:space="0" w:color="auto"/>
                      </w:divBdr>
                    </w:div>
                  </w:divsChild>
                </w:div>
                <w:div w:id="316306158">
                  <w:marLeft w:val="0"/>
                  <w:marRight w:val="0"/>
                  <w:marTop w:val="0"/>
                  <w:marBottom w:val="0"/>
                  <w:divBdr>
                    <w:top w:val="none" w:sz="0" w:space="0" w:color="auto"/>
                    <w:left w:val="none" w:sz="0" w:space="0" w:color="auto"/>
                    <w:bottom w:val="none" w:sz="0" w:space="0" w:color="auto"/>
                    <w:right w:val="none" w:sz="0" w:space="0" w:color="auto"/>
                  </w:divBdr>
                  <w:divsChild>
                    <w:div w:id="1094934475">
                      <w:marLeft w:val="0"/>
                      <w:marRight w:val="0"/>
                      <w:marTop w:val="0"/>
                      <w:marBottom w:val="0"/>
                      <w:divBdr>
                        <w:top w:val="none" w:sz="0" w:space="0" w:color="auto"/>
                        <w:left w:val="none" w:sz="0" w:space="0" w:color="auto"/>
                        <w:bottom w:val="none" w:sz="0" w:space="0" w:color="auto"/>
                        <w:right w:val="none" w:sz="0" w:space="0" w:color="auto"/>
                      </w:divBdr>
                    </w:div>
                  </w:divsChild>
                </w:div>
                <w:div w:id="506360609">
                  <w:marLeft w:val="0"/>
                  <w:marRight w:val="0"/>
                  <w:marTop w:val="0"/>
                  <w:marBottom w:val="0"/>
                  <w:divBdr>
                    <w:top w:val="none" w:sz="0" w:space="0" w:color="auto"/>
                    <w:left w:val="none" w:sz="0" w:space="0" w:color="auto"/>
                    <w:bottom w:val="none" w:sz="0" w:space="0" w:color="auto"/>
                    <w:right w:val="none" w:sz="0" w:space="0" w:color="auto"/>
                  </w:divBdr>
                  <w:divsChild>
                    <w:div w:id="527987220">
                      <w:marLeft w:val="0"/>
                      <w:marRight w:val="0"/>
                      <w:marTop w:val="0"/>
                      <w:marBottom w:val="0"/>
                      <w:divBdr>
                        <w:top w:val="none" w:sz="0" w:space="0" w:color="auto"/>
                        <w:left w:val="none" w:sz="0" w:space="0" w:color="auto"/>
                        <w:bottom w:val="none" w:sz="0" w:space="0" w:color="auto"/>
                        <w:right w:val="none" w:sz="0" w:space="0" w:color="auto"/>
                      </w:divBdr>
                    </w:div>
                  </w:divsChild>
                </w:div>
                <w:div w:id="552615714">
                  <w:marLeft w:val="0"/>
                  <w:marRight w:val="0"/>
                  <w:marTop w:val="0"/>
                  <w:marBottom w:val="0"/>
                  <w:divBdr>
                    <w:top w:val="none" w:sz="0" w:space="0" w:color="auto"/>
                    <w:left w:val="none" w:sz="0" w:space="0" w:color="auto"/>
                    <w:bottom w:val="none" w:sz="0" w:space="0" w:color="auto"/>
                    <w:right w:val="none" w:sz="0" w:space="0" w:color="auto"/>
                  </w:divBdr>
                  <w:divsChild>
                    <w:div w:id="908418596">
                      <w:marLeft w:val="0"/>
                      <w:marRight w:val="0"/>
                      <w:marTop w:val="0"/>
                      <w:marBottom w:val="0"/>
                      <w:divBdr>
                        <w:top w:val="none" w:sz="0" w:space="0" w:color="auto"/>
                        <w:left w:val="none" w:sz="0" w:space="0" w:color="auto"/>
                        <w:bottom w:val="none" w:sz="0" w:space="0" w:color="auto"/>
                        <w:right w:val="none" w:sz="0" w:space="0" w:color="auto"/>
                      </w:divBdr>
                    </w:div>
                  </w:divsChild>
                </w:div>
                <w:div w:id="647513441">
                  <w:marLeft w:val="0"/>
                  <w:marRight w:val="0"/>
                  <w:marTop w:val="0"/>
                  <w:marBottom w:val="0"/>
                  <w:divBdr>
                    <w:top w:val="none" w:sz="0" w:space="0" w:color="auto"/>
                    <w:left w:val="none" w:sz="0" w:space="0" w:color="auto"/>
                    <w:bottom w:val="none" w:sz="0" w:space="0" w:color="auto"/>
                    <w:right w:val="none" w:sz="0" w:space="0" w:color="auto"/>
                  </w:divBdr>
                  <w:divsChild>
                    <w:div w:id="1275598944">
                      <w:marLeft w:val="0"/>
                      <w:marRight w:val="0"/>
                      <w:marTop w:val="0"/>
                      <w:marBottom w:val="0"/>
                      <w:divBdr>
                        <w:top w:val="none" w:sz="0" w:space="0" w:color="auto"/>
                        <w:left w:val="none" w:sz="0" w:space="0" w:color="auto"/>
                        <w:bottom w:val="none" w:sz="0" w:space="0" w:color="auto"/>
                        <w:right w:val="none" w:sz="0" w:space="0" w:color="auto"/>
                      </w:divBdr>
                    </w:div>
                  </w:divsChild>
                </w:div>
                <w:div w:id="655769126">
                  <w:marLeft w:val="0"/>
                  <w:marRight w:val="0"/>
                  <w:marTop w:val="0"/>
                  <w:marBottom w:val="0"/>
                  <w:divBdr>
                    <w:top w:val="none" w:sz="0" w:space="0" w:color="auto"/>
                    <w:left w:val="none" w:sz="0" w:space="0" w:color="auto"/>
                    <w:bottom w:val="none" w:sz="0" w:space="0" w:color="auto"/>
                    <w:right w:val="none" w:sz="0" w:space="0" w:color="auto"/>
                  </w:divBdr>
                  <w:divsChild>
                    <w:div w:id="712467731">
                      <w:marLeft w:val="0"/>
                      <w:marRight w:val="0"/>
                      <w:marTop w:val="0"/>
                      <w:marBottom w:val="0"/>
                      <w:divBdr>
                        <w:top w:val="none" w:sz="0" w:space="0" w:color="auto"/>
                        <w:left w:val="none" w:sz="0" w:space="0" w:color="auto"/>
                        <w:bottom w:val="none" w:sz="0" w:space="0" w:color="auto"/>
                        <w:right w:val="none" w:sz="0" w:space="0" w:color="auto"/>
                      </w:divBdr>
                    </w:div>
                  </w:divsChild>
                </w:div>
                <w:div w:id="754473623">
                  <w:marLeft w:val="0"/>
                  <w:marRight w:val="0"/>
                  <w:marTop w:val="0"/>
                  <w:marBottom w:val="0"/>
                  <w:divBdr>
                    <w:top w:val="none" w:sz="0" w:space="0" w:color="auto"/>
                    <w:left w:val="none" w:sz="0" w:space="0" w:color="auto"/>
                    <w:bottom w:val="none" w:sz="0" w:space="0" w:color="auto"/>
                    <w:right w:val="none" w:sz="0" w:space="0" w:color="auto"/>
                  </w:divBdr>
                  <w:divsChild>
                    <w:div w:id="2100786158">
                      <w:marLeft w:val="0"/>
                      <w:marRight w:val="0"/>
                      <w:marTop w:val="0"/>
                      <w:marBottom w:val="0"/>
                      <w:divBdr>
                        <w:top w:val="none" w:sz="0" w:space="0" w:color="auto"/>
                        <w:left w:val="none" w:sz="0" w:space="0" w:color="auto"/>
                        <w:bottom w:val="none" w:sz="0" w:space="0" w:color="auto"/>
                        <w:right w:val="none" w:sz="0" w:space="0" w:color="auto"/>
                      </w:divBdr>
                    </w:div>
                  </w:divsChild>
                </w:div>
                <w:div w:id="875314475">
                  <w:marLeft w:val="0"/>
                  <w:marRight w:val="0"/>
                  <w:marTop w:val="0"/>
                  <w:marBottom w:val="0"/>
                  <w:divBdr>
                    <w:top w:val="none" w:sz="0" w:space="0" w:color="auto"/>
                    <w:left w:val="none" w:sz="0" w:space="0" w:color="auto"/>
                    <w:bottom w:val="none" w:sz="0" w:space="0" w:color="auto"/>
                    <w:right w:val="none" w:sz="0" w:space="0" w:color="auto"/>
                  </w:divBdr>
                  <w:divsChild>
                    <w:div w:id="1938903057">
                      <w:marLeft w:val="0"/>
                      <w:marRight w:val="0"/>
                      <w:marTop w:val="0"/>
                      <w:marBottom w:val="0"/>
                      <w:divBdr>
                        <w:top w:val="none" w:sz="0" w:space="0" w:color="auto"/>
                        <w:left w:val="none" w:sz="0" w:space="0" w:color="auto"/>
                        <w:bottom w:val="none" w:sz="0" w:space="0" w:color="auto"/>
                        <w:right w:val="none" w:sz="0" w:space="0" w:color="auto"/>
                      </w:divBdr>
                    </w:div>
                  </w:divsChild>
                </w:div>
                <w:div w:id="876743881">
                  <w:marLeft w:val="0"/>
                  <w:marRight w:val="0"/>
                  <w:marTop w:val="0"/>
                  <w:marBottom w:val="0"/>
                  <w:divBdr>
                    <w:top w:val="none" w:sz="0" w:space="0" w:color="auto"/>
                    <w:left w:val="none" w:sz="0" w:space="0" w:color="auto"/>
                    <w:bottom w:val="none" w:sz="0" w:space="0" w:color="auto"/>
                    <w:right w:val="none" w:sz="0" w:space="0" w:color="auto"/>
                  </w:divBdr>
                  <w:divsChild>
                    <w:div w:id="1779644214">
                      <w:marLeft w:val="0"/>
                      <w:marRight w:val="0"/>
                      <w:marTop w:val="0"/>
                      <w:marBottom w:val="0"/>
                      <w:divBdr>
                        <w:top w:val="none" w:sz="0" w:space="0" w:color="auto"/>
                        <w:left w:val="none" w:sz="0" w:space="0" w:color="auto"/>
                        <w:bottom w:val="none" w:sz="0" w:space="0" w:color="auto"/>
                        <w:right w:val="none" w:sz="0" w:space="0" w:color="auto"/>
                      </w:divBdr>
                    </w:div>
                  </w:divsChild>
                </w:div>
                <w:div w:id="898513383">
                  <w:marLeft w:val="0"/>
                  <w:marRight w:val="0"/>
                  <w:marTop w:val="0"/>
                  <w:marBottom w:val="0"/>
                  <w:divBdr>
                    <w:top w:val="none" w:sz="0" w:space="0" w:color="auto"/>
                    <w:left w:val="none" w:sz="0" w:space="0" w:color="auto"/>
                    <w:bottom w:val="none" w:sz="0" w:space="0" w:color="auto"/>
                    <w:right w:val="none" w:sz="0" w:space="0" w:color="auto"/>
                  </w:divBdr>
                  <w:divsChild>
                    <w:div w:id="1139179410">
                      <w:marLeft w:val="0"/>
                      <w:marRight w:val="0"/>
                      <w:marTop w:val="0"/>
                      <w:marBottom w:val="0"/>
                      <w:divBdr>
                        <w:top w:val="none" w:sz="0" w:space="0" w:color="auto"/>
                        <w:left w:val="none" w:sz="0" w:space="0" w:color="auto"/>
                        <w:bottom w:val="none" w:sz="0" w:space="0" w:color="auto"/>
                        <w:right w:val="none" w:sz="0" w:space="0" w:color="auto"/>
                      </w:divBdr>
                    </w:div>
                  </w:divsChild>
                </w:div>
                <w:div w:id="919293199">
                  <w:marLeft w:val="0"/>
                  <w:marRight w:val="0"/>
                  <w:marTop w:val="0"/>
                  <w:marBottom w:val="0"/>
                  <w:divBdr>
                    <w:top w:val="none" w:sz="0" w:space="0" w:color="auto"/>
                    <w:left w:val="none" w:sz="0" w:space="0" w:color="auto"/>
                    <w:bottom w:val="none" w:sz="0" w:space="0" w:color="auto"/>
                    <w:right w:val="none" w:sz="0" w:space="0" w:color="auto"/>
                  </w:divBdr>
                  <w:divsChild>
                    <w:div w:id="179273228">
                      <w:marLeft w:val="0"/>
                      <w:marRight w:val="0"/>
                      <w:marTop w:val="0"/>
                      <w:marBottom w:val="0"/>
                      <w:divBdr>
                        <w:top w:val="none" w:sz="0" w:space="0" w:color="auto"/>
                        <w:left w:val="none" w:sz="0" w:space="0" w:color="auto"/>
                        <w:bottom w:val="none" w:sz="0" w:space="0" w:color="auto"/>
                        <w:right w:val="none" w:sz="0" w:space="0" w:color="auto"/>
                      </w:divBdr>
                    </w:div>
                  </w:divsChild>
                </w:div>
                <w:div w:id="944121647">
                  <w:marLeft w:val="0"/>
                  <w:marRight w:val="0"/>
                  <w:marTop w:val="0"/>
                  <w:marBottom w:val="0"/>
                  <w:divBdr>
                    <w:top w:val="none" w:sz="0" w:space="0" w:color="auto"/>
                    <w:left w:val="none" w:sz="0" w:space="0" w:color="auto"/>
                    <w:bottom w:val="none" w:sz="0" w:space="0" w:color="auto"/>
                    <w:right w:val="none" w:sz="0" w:space="0" w:color="auto"/>
                  </w:divBdr>
                  <w:divsChild>
                    <w:div w:id="1417438403">
                      <w:marLeft w:val="0"/>
                      <w:marRight w:val="0"/>
                      <w:marTop w:val="0"/>
                      <w:marBottom w:val="0"/>
                      <w:divBdr>
                        <w:top w:val="none" w:sz="0" w:space="0" w:color="auto"/>
                        <w:left w:val="none" w:sz="0" w:space="0" w:color="auto"/>
                        <w:bottom w:val="none" w:sz="0" w:space="0" w:color="auto"/>
                        <w:right w:val="none" w:sz="0" w:space="0" w:color="auto"/>
                      </w:divBdr>
                    </w:div>
                  </w:divsChild>
                </w:div>
                <w:div w:id="983120829">
                  <w:marLeft w:val="0"/>
                  <w:marRight w:val="0"/>
                  <w:marTop w:val="0"/>
                  <w:marBottom w:val="0"/>
                  <w:divBdr>
                    <w:top w:val="none" w:sz="0" w:space="0" w:color="auto"/>
                    <w:left w:val="none" w:sz="0" w:space="0" w:color="auto"/>
                    <w:bottom w:val="none" w:sz="0" w:space="0" w:color="auto"/>
                    <w:right w:val="none" w:sz="0" w:space="0" w:color="auto"/>
                  </w:divBdr>
                  <w:divsChild>
                    <w:div w:id="1177845223">
                      <w:marLeft w:val="0"/>
                      <w:marRight w:val="0"/>
                      <w:marTop w:val="0"/>
                      <w:marBottom w:val="0"/>
                      <w:divBdr>
                        <w:top w:val="none" w:sz="0" w:space="0" w:color="auto"/>
                        <w:left w:val="none" w:sz="0" w:space="0" w:color="auto"/>
                        <w:bottom w:val="none" w:sz="0" w:space="0" w:color="auto"/>
                        <w:right w:val="none" w:sz="0" w:space="0" w:color="auto"/>
                      </w:divBdr>
                    </w:div>
                  </w:divsChild>
                </w:div>
                <w:div w:id="1081952692">
                  <w:marLeft w:val="0"/>
                  <w:marRight w:val="0"/>
                  <w:marTop w:val="0"/>
                  <w:marBottom w:val="0"/>
                  <w:divBdr>
                    <w:top w:val="none" w:sz="0" w:space="0" w:color="auto"/>
                    <w:left w:val="none" w:sz="0" w:space="0" w:color="auto"/>
                    <w:bottom w:val="none" w:sz="0" w:space="0" w:color="auto"/>
                    <w:right w:val="none" w:sz="0" w:space="0" w:color="auto"/>
                  </w:divBdr>
                  <w:divsChild>
                    <w:div w:id="423766844">
                      <w:marLeft w:val="0"/>
                      <w:marRight w:val="0"/>
                      <w:marTop w:val="0"/>
                      <w:marBottom w:val="0"/>
                      <w:divBdr>
                        <w:top w:val="none" w:sz="0" w:space="0" w:color="auto"/>
                        <w:left w:val="none" w:sz="0" w:space="0" w:color="auto"/>
                        <w:bottom w:val="none" w:sz="0" w:space="0" w:color="auto"/>
                        <w:right w:val="none" w:sz="0" w:space="0" w:color="auto"/>
                      </w:divBdr>
                    </w:div>
                  </w:divsChild>
                </w:div>
                <w:div w:id="1132098310">
                  <w:marLeft w:val="0"/>
                  <w:marRight w:val="0"/>
                  <w:marTop w:val="0"/>
                  <w:marBottom w:val="0"/>
                  <w:divBdr>
                    <w:top w:val="none" w:sz="0" w:space="0" w:color="auto"/>
                    <w:left w:val="none" w:sz="0" w:space="0" w:color="auto"/>
                    <w:bottom w:val="none" w:sz="0" w:space="0" w:color="auto"/>
                    <w:right w:val="none" w:sz="0" w:space="0" w:color="auto"/>
                  </w:divBdr>
                  <w:divsChild>
                    <w:div w:id="129710122">
                      <w:marLeft w:val="0"/>
                      <w:marRight w:val="0"/>
                      <w:marTop w:val="0"/>
                      <w:marBottom w:val="0"/>
                      <w:divBdr>
                        <w:top w:val="none" w:sz="0" w:space="0" w:color="auto"/>
                        <w:left w:val="none" w:sz="0" w:space="0" w:color="auto"/>
                        <w:bottom w:val="none" w:sz="0" w:space="0" w:color="auto"/>
                        <w:right w:val="none" w:sz="0" w:space="0" w:color="auto"/>
                      </w:divBdr>
                    </w:div>
                  </w:divsChild>
                </w:div>
                <w:div w:id="1132166921">
                  <w:marLeft w:val="0"/>
                  <w:marRight w:val="0"/>
                  <w:marTop w:val="0"/>
                  <w:marBottom w:val="0"/>
                  <w:divBdr>
                    <w:top w:val="none" w:sz="0" w:space="0" w:color="auto"/>
                    <w:left w:val="none" w:sz="0" w:space="0" w:color="auto"/>
                    <w:bottom w:val="none" w:sz="0" w:space="0" w:color="auto"/>
                    <w:right w:val="none" w:sz="0" w:space="0" w:color="auto"/>
                  </w:divBdr>
                  <w:divsChild>
                    <w:div w:id="1834368990">
                      <w:marLeft w:val="0"/>
                      <w:marRight w:val="0"/>
                      <w:marTop w:val="0"/>
                      <w:marBottom w:val="0"/>
                      <w:divBdr>
                        <w:top w:val="none" w:sz="0" w:space="0" w:color="auto"/>
                        <w:left w:val="none" w:sz="0" w:space="0" w:color="auto"/>
                        <w:bottom w:val="none" w:sz="0" w:space="0" w:color="auto"/>
                        <w:right w:val="none" w:sz="0" w:space="0" w:color="auto"/>
                      </w:divBdr>
                    </w:div>
                  </w:divsChild>
                </w:div>
                <w:div w:id="1188059262">
                  <w:marLeft w:val="0"/>
                  <w:marRight w:val="0"/>
                  <w:marTop w:val="0"/>
                  <w:marBottom w:val="0"/>
                  <w:divBdr>
                    <w:top w:val="none" w:sz="0" w:space="0" w:color="auto"/>
                    <w:left w:val="none" w:sz="0" w:space="0" w:color="auto"/>
                    <w:bottom w:val="none" w:sz="0" w:space="0" w:color="auto"/>
                    <w:right w:val="none" w:sz="0" w:space="0" w:color="auto"/>
                  </w:divBdr>
                  <w:divsChild>
                    <w:div w:id="1542011256">
                      <w:marLeft w:val="0"/>
                      <w:marRight w:val="0"/>
                      <w:marTop w:val="0"/>
                      <w:marBottom w:val="0"/>
                      <w:divBdr>
                        <w:top w:val="none" w:sz="0" w:space="0" w:color="auto"/>
                        <w:left w:val="none" w:sz="0" w:space="0" w:color="auto"/>
                        <w:bottom w:val="none" w:sz="0" w:space="0" w:color="auto"/>
                        <w:right w:val="none" w:sz="0" w:space="0" w:color="auto"/>
                      </w:divBdr>
                    </w:div>
                  </w:divsChild>
                </w:div>
                <w:div w:id="1254826864">
                  <w:marLeft w:val="0"/>
                  <w:marRight w:val="0"/>
                  <w:marTop w:val="0"/>
                  <w:marBottom w:val="0"/>
                  <w:divBdr>
                    <w:top w:val="none" w:sz="0" w:space="0" w:color="auto"/>
                    <w:left w:val="none" w:sz="0" w:space="0" w:color="auto"/>
                    <w:bottom w:val="none" w:sz="0" w:space="0" w:color="auto"/>
                    <w:right w:val="none" w:sz="0" w:space="0" w:color="auto"/>
                  </w:divBdr>
                  <w:divsChild>
                    <w:div w:id="938877436">
                      <w:marLeft w:val="0"/>
                      <w:marRight w:val="0"/>
                      <w:marTop w:val="0"/>
                      <w:marBottom w:val="0"/>
                      <w:divBdr>
                        <w:top w:val="none" w:sz="0" w:space="0" w:color="auto"/>
                        <w:left w:val="none" w:sz="0" w:space="0" w:color="auto"/>
                        <w:bottom w:val="none" w:sz="0" w:space="0" w:color="auto"/>
                        <w:right w:val="none" w:sz="0" w:space="0" w:color="auto"/>
                      </w:divBdr>
                    </w:div>
                  </w:divsChild>
                </w:div>
                <w:div w:id="1274823772">
                  <w:marLeft w:val="0"/>
                  <w:marRight w:val="0"/>
                  <w:marTop w:val="0"/>
                  <w:marBottom w:val="0"/>
                  <w:divBdr>
                    <w:top w:val="none" w:sz="0" w:space="0" w:color="auto"/>
                    <w:left w:val="none" w:sz="0" w:space="0" w:color="auto"/>
                    <w:bottom w:val="none" w:sz="0" w:space="0" w:color="auto"/>
                    <w:right w:val="none" w:sz="0" w:space="0" w:color="auto"/>
                  </w:divBdr>
                  <w:divsChild>
                    <w:div w:id="1513060299">
                      <w:marLeft w:val="0"/>
                      <w:marRight w:val="0"/>
                      <w:marTop w:val="0"/>
                      <w:marBottom w:val="0"/>
                      <w:divBdr>
                        <w:top w:val="none" w:sz="0" w:space="0" w:color="auto"/>
                        <w:left w:val="none" w:sz="0" w:space="0" w:color="auto"/>
                        <w:bottom w:val="none" w:sz="0" w:space="0" w:color="auto"/>
                        <w:right w:val="none" w:sz="0" w:space="0" w:color="auto"/>
                      </w:divBdr>
                    </w:div>
                  </w:divsChild>
                </w:div>
                <w:div w:id="1348488007">
                  <w:marLeft w:val="0"/>
                  <w:marRight w:val="0"/>
                  <w:marTop w:val="0"/>
                  <w:marBottom w:val="0"/>
                  <w:divBdr>
                    <w:top w:val="none" w:sz="0" w:space="0" w:color="auto"/>
                    <w:left w:val="none" w:sz="0" w:space="0" w:color="auto"/>
                    <w:bottom w:val="none" w:sz="0" w:space="0" w:color="auto"/>
                    <w:right w:val="none" w:sz="0" w:space="0" w:color="auto"/>
                  </w:divBdr>
                  <w:divsChild>
                    <w:div w:id="1295137531">
                      <w:marLeft w:val="0"/>
                      <w:marRight w:val="0"/>
                      <w:marTop w:val="0"/>
                      <w:marBottom w:val="0"/>
                      <w:divBdr>
                        <w:top w:val="none" w:sz="0" w:space="0" w:color="auto"/>
                        <w:left w:val="none" w:sz="0" w:space="0" w:color="auto"/>
                        <w:bottom w:val="none" w:sz="0" w:space="0" w:color="auto"/>
                        <w:right w:val="none" w:sz="0" w:space="0" w:color="auto"/>
                      </w:divBdr>
                    </w:div>
                  </w:divsChild>
                </w:div>
                <w:div w:id="1409109555">
                  <w:marLeft w:val="0"/>
                  <w:marRight w:val="0"/>
                  <w:marTop w:val="0"/>
                  <w:marBottom w:val="0"/>
                  <w:divBdr>
                    <w:top w:val="none" w:sz="0" w:space="0" w:color="auto"/>
                    <w:left w:val="none" w:sz="0" w:space="0" w:color="auto"/>
                    <w:bottom w:val="none" w:sz="0" w:space="0" w:color="auto"/>
                    <w:right w:val="none" w:sz="0" w:space="0" w:color="auto"/>
                  </w:divBdr>
                  <w:divsChild>
                    <w:div w:id="965697111">
                      <w:marLeft w:val="0"/>
                      <w:marRight w:val="0"/>
                      <w:marTop w:val="0"/>
                      <w:marBottom w:val="0"/>
                      <w:divBdr>
                        <w:top w:val="none" w:sz="0" w:space="0" w:color="auto"/>
                        <w:left w:val="none" w:sz="0" w:space="0" w:color="auto"/>
                        <w:bottom w:val="none" w:sz="0" w:space="0" w:color="auto"/>
                        <w:right w:val="none" w:sz="0" w:space="0" w:color="auto"/>
                      </w:divBdr>
                    </w:div>
                  </w:divsChild>
                </w:div>
                <w:div w:id="1423604936">
                  <w:marLeft w:val="0"/>
                  <w:marRight w:val="0"/>
                  <w:marTop w:val="0"/>
                  <w:marBottom w:val="0"/>
                  <w:divBdr>
                    <w:top w:val="none" w:sz="0" w:space="0" w:color="auto"/>
                    <w:left w:val="none" w:sz="0" w:space="0" w:color="auto"/>
                    <w:bottom w:val="none" w:sz="0" w:space="0" w:color="auto"/>
                    <w:right w:val="none" w:sz="0" w:space="0" w:color="auto"/>
                  </w:divBdr>
                  <w:divsChild>
                    <w:div w:id="1981809353">
                      <w:marLeft w:val="0"/>
                      <w:marRight w:val="0"/>
                      <w:marTop w:val="0"/>
                      <w:marBottom w:val="0"/>
                      <w:divBdr>
                        <w:top w:val="none" w:sz="0" w:space="0" w:color="auto"/>
                        <w:left w:val="none" w:sz="0" w:space="0" w:color="auto"/>
                        <w:bottom w:val="none" w:sz="0" w:space="0" w:color="auto"/>
                        <w:right w:val="none" w:sz="0" w:space="0" w:color="auto"/>
                      </w:divBdr>
                    </w:div>
                  </w:divsChild>
                </w:div>
                <w:div w:id="1438062469">
                  <w:marLeft w:val="0"/>
                  <w:marRight w:val="0"/>
                  <w:marTop w:val="0"/>
                  <w:marBottom w:val="0"/>
                  <w:divBdr>
                    <w:top w:val="none" w:sz="0" w:space="0" w:color="auto"/>
                    <w:left w:val="none" w:sz="0" w:space="0" w:color="auto"/>
                    <w:bottom w:val="none" w:sz="0" w:space="0" w:color="auto"/>
                    <w:right w:val="none" w:sz="0" w:space="0" w:color="auto"/>
                  </w:divBdr>
                  <w:divsChild>
                    <w:div w:id="981235219">
                      <w:marLeft w:val="0"/>
                      <w:marRight w:val="0"/>
                      <w:marTop w:val="0"/>
                      <w:marBottom w:val="0"/>
                      <w:divBdr>
                        <w:top w:val="none" w:sz="0" w:space="0" w:color="auto"/>
                        <w:left w:val="none" w:sz="0" w:space="0" w:color="auto"/>
                        <w:bottom w:val="none" w:sz="0" w:space="0" w:color="auto"/>
                        <w:right w:val="none" w:sz="0" w:space="0" w:color="auto"/>
                      </w:divBdr>
                    </w:div>
                  </w:divsChild>
                </w:div>
                <w:div w:id="1657103600">
                  <w:marLeft w:val="0"/>
                  <w:marRight w:val="0"/>
                  <w:marTop w:val="0"/>
                  <w:marBottom w:val="0"/>
                  <w:divBdr>
                    <w:top w:val="none" w:sz="0" w:space="0" w:color="auto"/>
                    <w:left w:val="none" w:sz="0" w:space="0" w:color="auto"/>
                    <w:bottom w:val="none" w:sz="0" w:space="0" w:color="auto"/>
                    <w:right w:val="none" w:sz="0" w:space="0" w:color="auto"/>
                  </w:divBdr>
                  <w:divsChild>
                    <w:div w:id="276958108">
                      <w:marLeft w:val="0"/>
                      <w:marRight w:val="0"/>
                      <w:marTop w:val="0"/>
                      <w:marBottom w:val="0"/>
                      <w:divBdr>
                        <w:top w:val="none" w:sz="0" w:space="0" w:color="auto"/>
                        <w:left w:val="none" w:sz="0" w:space="0" w:color="auto"/>
                        <w:bottom w:val="none" w:sz="0" w:space="0" w:color="auto"/>
                        <w:right w:val="none" w:sz="0" w:space="0" w:color="auto"/>
                      </w:divBdr>
                    </w:div>
                  </w:divsChild>
                </w:div>
                <w:div w:id="1663269859">
                  <w:marLeft w:val="0"/>
                  <w:marRight w:val="0"/>
                  <w:marTop w:val="0"/>
                  <w:marBottom w:val="0"/>
                  <w:divBdr>
                    <w:top w:val="none" w:sz="0" w:space="0" w:color="auto"/>
                    <w:left w:val="none" w:sz="0" w:space="0" w:color="auto"/>
                    <w:bottom w:val="none" w:sz="0" w:space="0" w:color="auto"/>
                    <w:right w:val="none" w:sz="0" w:space="0" w:color="auto"/>
                  </w:divBdr>
                  <w:divsChild>
                    <w:div w:id="1642610144">
                      <w:marLeft w:val="0"/>
                      <w:marRight w:val="0"/>
                      <w:marTop w:val="0"/>
                      <w:marBottom w:val="0"/>
                      <w:divBdr>
                        <w:top w:val="none" w:sz="0" w:space="0" w:color="auto"/>
                        <w:left w:val="none" w:sz="0" w:space="0" w:color="auto"/>
                        <w:bottom w:val="none" w:sz="0" w:space="0" w:color="auto"/>
                        <w:right w:val="none" w:sz="0" w:space="0" w:color="auto"/>
                      </w:divBdr>
                    </w:div>
                  </w:divsChild>
                </w:div>
                <w:div w:id="1806968580">
                  <w:marLeft w:val="0"/>
                  <w:marRight w:val="0"/>
                  <w:marTop w:val="0"/>
                  <w:marBottom w:val="0"/>
                  <w:divBdr>
                    <w:top w:val="none" w:sz="0" w:space="0" w:color="auto"/>
                    <w:left w:val="none" w:sz="0" w:space="0" w:color="auto"/>
                    <w:bottom w:val="none" w:sz="0" w:space="0" w:color="auto"/>
                    <w:right w:val="none" w:sz="0" w:space="0" w:color="auto"/>
                  </w:divBdr>
                  <w:divsChild>
                    <w:div w:id="253710111">
                      <w:marLeft w:val="0"/>
                      <w:marRight w:val="0"/>
                      <w:marTop w:val="0"/>
                      <w:marBottom w:val="0"/>
                      <w:divBdr>
                        <w:top w:val="none" w:sz="0" w:space="0" w:color="auto"/>
                        <w:left w:val="none" w:sz="0" w:space="0" w:color="auto"/>
                        <w:bottom w:val="none" w:sz="0" w:space="0" w:color="auto"/>
                        <w:right w:val="none" w:sz="0" w:space="0" w:color="auto"/>
                      </w:divBdr>
                    </w:div>
                  </w:divsChild>
                </w:div>
                <w:div w:id="1807508902">
                  <w:marLeft w:val="0"/>
                  <w:marRight w:val="0"/>
                  <w:marTop w:val="0"/>
                  <w:marBottom w:val="0"/>
                  <w:divBdr>
                    <w:top w:val="none" w:sz="0" w:space="0" w:color="auto"/>
                    <w:left w:val="none" w:sz="0" w:space="0" w:color="auto"/>
                    <w:bottom w:val="none" w:sz="0" w:space="0" w:color="auto"/>
                    <w:right w:val="none" w:sz="0" w:space="0" w:color="auto"/>
                  </w:divBdr>
                  <w:divsChild>
                    <w:div w:id="906917876">
                      <w:marLeft w:val="0"/>
                      <w:marRight w:val="0"/>
                      <w:marTop w:val="0"/>
                      <w:marBottom w:val="0"/>
                      <w:divBdr>
                        <w:top w:val="none" w:sz="0" w:space="0" w:color="auto"/>
                        <w:left w:val="none" w:sz="0" w:space="0" w:color="auto"/>
                        <w:bottom w:val="none" w:sz="0" w:space="0" w:color="auto"/>
                        <w:right w:val="none" w:sz="0" w:space="0" w:color="auto"/>
                      </w:divBdr>
                    </w:div>
                  </w:divsChild>
                </w:div>
                <w:div w:id="1838154882">
                  <w:marLeft w:val="0"/>
                  <w:marRight w:val="0"/>
                  <w:marTop w:val="0"/>
                  <w:marBottom w:val="0"/>
                  <w:divBdr>
                    <w:top w:val="none" w:sz="0" w:space="0" w:color="auto"/>
                    <w:left w:val="none" w:sz="0" w:space="0" w:color="auto"/>
                    <w:bottom w:val="none" w:sz="0" w:space="0" w:color="auto"/>
                    <w:right w:val="none" w:sz="0" w:space="0" w:color="auto"/>
                  </w:divBdr>
                  <w:divsChild>
                    <w:div w:id="1083642674">
                      <w:marLeft w:val="0"/>
                      <w:marRight w:val="0"/>
                      <w:marTop w:val="0"/>
                      <w:marBottom w:val="0"/>
                      <w:divBdr>
                        <w:top w:val="none" w:sz="0" w:space="0" w:color="auto"/>
                        <w:left w:val="none" w:sz="0" w:space="0" w:color="auto"/>
                        <w:bottom w:val="none" w:sz="0" w:space="0" w:color="auto"/>
                        <w:right w:val="none" w:sz="0" w:space="0" w:color="auto"/>
                      </w:divBdr>
                    </w:div>
                  </w:divsChild>
                </w:div>
                <w:div w:id="1916164288">
                  <w:marLeft w:val="0"/>
                  <w:marRight w:val="0"/>
                  <w:marTop w:val="0"/>
                  <w:marBottom w:val="0"/>
                  <w:divBdr>
                    <w:top w:val="none" w:sz="0" w:space="0" w:color="auto"/>
                    <w:left w:val="none" w:sz="0" w:space="0" w:color="auto"/>
                    <w:bottom w:val="none" w:sz="0" w:space="0" w:color="auto"/>
                    <w:right w:val="none" w:sz="0" w:space="0" w:color="auto"/>
                  </w:divBdr>
                  <w:divsChild>
                    <w:div w:id="1011953854">
                      <w:marLeft w:val="0"/>
                      <w:marRight w:val="0"/>
                      <w:marTop w:val="0"/>
                      <w:marBottom w:val="0"/>
                      <w:divBdr>
                        <w:top w:val="none" w:sz="0" w:space="0" w:color="auto"/>
                        <w:left w:val="none" w:sz="0" w:space="0" w:color="auto"/>
                        <w:bottom w:val="none" w:sz="0" w:space="0" w:color="auto"/>
                        <w:right w:val="none" w:sz="0" w:space="0" w:color="auto"/>
                      </w:divBdr>
                    </w:div>
                  </w:divsChild>
                </w:div>
                <w:div w:id="1941258993">
                  <w:marLeft w:val="0"/>
                  <w:marRight w:val="0"/>
                  <w:marTop w:val="0"/>
                  <w:marBottom w:val="0"/>
                  <w:divBdr>
                    <w:top w:val="none" w:sz="0" w:space="0" w:color="auto"/>
                    <w:left w:val="none" w:sz="0" w:space="0" w:color="auto"/>
                    <w:bottom w:val="none" w:sz="0" w:space="0" w:color="auto"/>
                    <w:right w:val="none" w:sz="0" w:space="0" w:color="auto"/>
                  </w:divBdr>
                  <w:divsChild>
                    <w:div w:id="532423101">
                      <w:marLeft w:val="0"/>
                      <w:marRight w:val="0"/>
                      <w:marTop w:val="0"/>
                      <w:marBottom w:val="0"/>
                      <w:divBdr>
                        <w:top w:val="none" w:sz="0" w:space="0" w:color="auto"/>
                        <w:left w:val="none" w:sz="0" w:space="0" w:color="auto"/>
                        <w:bottom w:val="none" w:sz="0" w:space="0" w:color="auto"/>
                        <w:right w:val="none" w:sz="0" w:space="0" w:color="auto"/>
                      </w:divBdr>
                    </w:div>
                  </w:divsChild>
                </w:div>
                <w:div w:id="2030838139">
                  <w:marLeft w:val="0"/>
                  <w:marRight w:val="0"/>
                  <w:marTop w:val="0"/>
                  <w:marBottom w:val="0"/>
                  <w:divBdr>
                    <w:top w:val="none" w:sz="0" w:space="0" w:color="auto"/>
                    <w:left w:val="none" w:sz="0" w:space="0" w:color="auto"/>
                    <w:bottom w:val="none" w:sz="0" w:space="0" w:color="auto"/>
                    <w:right w:val="none" w:sz="0" w:space="0" w:color="auto"/>
                  </w:divBdr>
                  <w:divsChild>
                    <w:div w:id="152375147">
                      <w:marLeft w:val="0"/>
                      <w:marRight w:val="0"/>
                      <w:marTop w:val="0"/>
                      <w:marBottom w:val="0"/>
                      <w:divBdr>
                        <w:top w:val="none" w:sz="0" w:space="0" w:color="auto"/>
                        <w:left w:val="none" w:sz="0" w:space="0" w:color="auto"/>
                        <w:bottom w:val="none" w:sz="0" w:space="0" w:color="auto"/>
                        <w:right w:val="none" w:sz="0" w:space="0" w:color="auto"/>
                      </w:divBdr>
                    </w:div>
                  </w:divsChild>
                </w:div>
                <w:div w:id="2048262833">
                  <w:marLeft w:val="0"/>
                  <w:marRight w:val="0"/>
                  <w:marTop w:val="0"/>
                  <w:marBottom w:val="0"/>
                  <w:divBdr>
                    <w:top w:val="none" w:sz="0" w:space="0" w:color="auto"/>
                    <w:left w:val="none" w:sz="0" w:space="0" w:color="auto"/>
                    <w:bottom w:val="none" w:sz="0" w:space="0" w:color="auto"/>
                    <w:right w:val="none" w:sz="0" w:space="0" w:color="auto"/>
                  </w:divBdr>
                  <w:divsChild>
                    <w:div w:id="1818834821">
                      <w:marLeft w:val="0"/>
                      <w:marRight w:val="0"/>
                      <w:marTop w:val="0"/>
                      <w:marBottom w:val="0"/>
                      <w:divBdr>
                        <w:top w:val="none" w:sz="0" w:space="0" w:color="auto"/>
                        <w:left w:val="none" w:sz="0" w:space="0" w:color="auto"/>
                        <w:bottom w:val="none" w:sz="0" w:space="0" w:color="auto"/>
                        <w:right w:val="none" w:sz="0" w:space="0" w:color="auto"/>
                      </w:divBdr>
                    </w:div>
                  </w:divsChild>
                </w:div>
                <w:div w:id="2109427100">
                  <w:marLeft w:val="0"/>
                  <w:marRight w:val="0"/>
                  <w:marTop w:val="0"/>
                  <w:marBottom w:val="0"/>
                  <w:divBdr>
                    <w:top w:val="none" w:sz="0" w:space="0" w:color="auto"/>
                    <w:left w:val="none" w:sz="0" w:space="0" w:color="auto"/>
                    <w:bottom w:val="none" w:sz="0" w:space="0" w:color="auto"/>
                    <w:right w:val="none" w:sz="0" w:space="0" w:color="auto"/>
                  </w:divBdr>
                  <w:divsChild>
                    <w:div w:id="60754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7521">
          <w:marLeft w:val="0"/>
          <w:marRight w:val="0"/>
          <w:marTop w:val="0"/>
          <w:marBottom w:val="0"/>
          <w:divBdr>
            <w:top w:val="none" w:sz="0" w:space="0" w:color="auto"/>
            <w:left w:val="none" w:sz="0" w:space="0" w:color="auto"/>
            <w:bottom w:val="none" w:sz="0" w:space="0" w:color="auto"/>
            <w:right w:val="none" w:sz="0" w:space="0" w:color="auto"/>
          </w:divBdr>
          <w:divsChild>
            <w:div w:id="359669751">
              <w:marLeft w:val="0"/>
              <w:marRight w:val="0"/>
              <w:marTop w:val="0"/>
              <w:marBottom w:val="0"/>
              <w:divBdr>
                <w:top w:val="none" w:sz="0" w:space="0" w:color="auto"/>
                <w:left w:val="none" w:sz="0" w:space="0" w:color="auto"/>
                <w:bottom w:val="none" w:sz="0" w:space="0" w:color="auto"/>
                <w:right w:val="none" w:sz="0" w:space="0" w:color="auto"/>
              </w:divBdr>
            </w:div>
            <w:div w:id="424427260">
              <w:marLeft w:val="0"/>
              <w:marRight w:val="0"/>
              <w:marTop w:val="0"/>
              <w:marBottom w:val="0"/>
              <w:divBdr>
                <w:top w:val="none" w:sz="0" w:space="0" w:color="auto"/>
                <w:left w:val="none" w:sz="0" w:space="0" w:color="auto"/>
                <w:bottom w:val="none" w:sz="0" w:space="0" w:color="auto"/>
                <w:right w:val="none" w:sz="0" w:space="0" w:color="auto"/>
              </w:divBdr>
            </w:div>
            <w:div w:id="456338580">
              <w:marLeft w:val="0"/>
              <w:marRight w:val="0"/>
              <w:marTop w:val="0"/>
              <w:marBottom w:val="0"/>
              <w:divBdr>
                <w:top w:val="none" w:sz="0" w:space="0" w:color="auto"/>
                <w:left w:val="none" w:sz="0" w:space="0" w:color="auto"/>
                <w:bottom w:val="none" w:sz="0" w:space="0" w:color="auto"/>
                <w:right w:val="none" w:sz="0" w:space="0" w:color="auto"/>
              </w:divBdr>
            </w:div>
            <w:div w:id="571548973">
              <w:marLeft w:val="0"/>
              <w:marRight w:val="0"/>
              <w:marTop w:val="0"/>
              <w:marBottom w:val="0"/>
              <w:divBdr>
                <w:top w:val="none" w:sz="0" w:space="0" w:color="auto"/>
                <w:left w:val="none" w:sz="0" w:space="0" w:color="auto"/>
                <w:bottom w:val="none" w:sz="0" w:space="0" w:color="auto"/>
                <w:right w:val="none" w:sz="0" w:space="0" w:color="auto"/>
              </w:divBdr>
            </w:div>
            <w:div w:id="720175483">
              <w:marLeft w:val="0"/>
              <w:marRight w:val="0"/>
              <w:marTop w:val="0"/>
              <w:marBottom w:val="0"/>
              <w:divBdr>
                <w:top w:val="none" w:sz="0" w:space="0" w:color="auto"/>
                <w:left w:val="none" w:sz="0" w:space="0" w:color="auto"/>
                <w:bottom w:val="none" w:sz="0" w:space="0" w:color="auto"/>
                <w:right w:val="none" w:sz="0" w:space="0" w:color="auto"/>
              </w:divBdr>
            </w:div>
            <w:div w:id="1050812120">
              <w:marLeft w:val="0"/>
              <w:marRight w:val="0"/>
              <w:marTop w:val="0"/>
              <w:marBottom w:val="0"/>
              <w:divBdr>
                <w:top w:val="none" w:sz="0" w:space="0" w:color="auto"/>
                <w:left w:val="none" w:sz="0" w:space="0" w:color="auto"/>
                <w:bottom w:val="none" w:sz="0" w:space="0" w:color="auto"/>
                <w:right w:val="none" w:sz="0" w:space="0" w:color="auto"/>
              </w:divBdr>
            </w:div>
            <w:div w:id="1084491312">
              <w:marLeft w:val="0"/>
              <w:marRight w:val="0"/>
              <w:marTop w:val="0"/>
              <w:marBottom w:val="0"/>
              <w:divBdr>
                <w:top w:val="none" w:sz="0" w:space="0" w:color="auto"/>
                <w:left w:val="none" w:sz="0" w:space="0" w:color="auto"/>
                <w:bottom w:val="none" w:sz="0" w:space="0" w:color="auto"/>
                <w:right w:val="none" w:sz="0" w:space="0" w:color="auto"/>
              </w:divBdr>
            </w:div>
            <w:div w:id="1107431394">
              <w:marLeft w:val="0"/>
              <w:marRight w:val="0"/>
              <w:marTop w:val="0"/>
              <w:marBottom w:val="0"/>
              <w:divBdr>
                <w:top w:val="none" w:sz="0" w:space="0" w:color="auto"/>
                <w:left w:val="none" w:sz="0" w:space="0" w:color="auto"/>
                <w:bottom w:val="none" w:sz="0" w:space="0" w:color="auto"/>
                <w:right w:val="none" w:sz="0" w:space="0" w:color="auto"/>
              </w:divBdr>
            </w:div>
            <w:div w:id="1142043041">
              <w:marLeft w:val="0"/>
              <w:marRight w:val="0"/>
              <w:marTop w:val="0"/>
              <w:marBottom w:val="0"/>
              <w:divBdr>
                <w:top w:val="none" w:sz="0" w:space="0" w:color="auto"/>
                <w:left w:val="none" w:sz="0" w:space="0" w:color="auto"/>
                <w:bottom w:val="none" w:sz="0" w:space="0" w:color="auto"/>
                <w:right w:val="none" w:sz="0" w:space="0" w:color="auto"/>
              </w:divBdr>
            </w:div>
            <w:div w:id="1212841620">
              <w:marLeft w:val="0"/>
              <w:marRight w:val="0"/>
              <w:marTop w:val="0"/>
              <w:marBottom w:val="0"/>
              <w:divBdr>
                <w:top w:val="none" w:sz="0" w:space="0" w:color="auto"/>
                <w:left w:val="none" w:sz="0" w:space="0" w:color="auto"/>
                <w:bottom w:val="none" w:sz="0" w:space="0" w:color="auto"/>
                <w:right w:val="none" w:sz="0" w:space="0" w:color="auto"/>
              </w:divBdr>
            </w:div>
            <w:div w:id="1403136013">
              <w:marLeft w:val="0"/>
              <w:marRight w:val="0"/>
              <w:marTop w:val="0"/>
              <w:marBottom w:val="0"/>
              <w:divBdr>
                <w:top w:val="none" w:sz="0" w:space="0" w:color="auto"/>
                <w:left w:val="none" w:sz="0" w:space="0" w:color="auto"/>
                <w:bottom w:val="none" w:sz="0" w:space="0" w:color="auto"/>
                <w:right w:val="none" w:sz="0" w:space="0" w:color="auto"/>
              </w:divBdr>
            </w:div>
            <w:div w:id="1653830154">
              <w:marLeft w:val="0"/>
              <w:marRight w:val="0"/>
              <w:marTop w:val="0"/>
              <w:marBottom w:val="0"/>
              <w:divBdr>
                <w:top w:val="none" w:sz="0" w:space="0" w:color="auto"/>
                <w:left w:val="none" w:sz="0" w:space="0" w:color="auto"/>
                <w:bottom w:val="none" w:sz="0" w:space="0" w:color="auto"/>
                <w:right w:val="none" w:sz="0" w:space="0" w:color="auto"/>
              </w:divBdr>
            </w:div>
            <w:div w:id="1707220988">
              <w:marLeft w:val="0"/>
              <w:marRight w:val="0"/>
              <w:marTop w:val="0"/>
              <w:marBottom w:val="0"/>
              <w:divBdr>
                <w:top w:val="none" w:sz="0" w:space="0" w:color="auto"/>
                <w:left w:val="none" w:sz="0" w:space="0" w:color="auto"/>
                <w:bottom w:val="none" w:sz="0" w:space="0" w:color="auto"/>
                <w:right w:val="none" w:sz="0" w:space="0" w:color="auto"/>
              </w:divBdr>
            </w:div>
            <w:div w:id="1777678736">
              <w:marLeft w:val="0"/>
              <w:marRight w:val="0"/>
              <w:marTop w:val="0"/>
              <w:marBottom w:val="0"/>
              <w:divBdr>
                <w:top w:val="none" w:sz="0" w:space="0" w:color="auto"/>
                <w:left w:val="none" w:sz="0" w:space="0" w:color="auto"/>
                <w:bottom w:val="none" w:sz="0" w:space="0" w:color="auto"/>
                <w:right w:val="none" w:sz="0" w:space="0" w:color="auto"/>
              </w:divBdr>
            </w:div>
            <w:div w:id="1843348172">
              <w:marLeft w:val="0"/>
              <w:marRight w:val="0"/>
              <w:marTop w:val="0"/>
              <w:marBottom w:val="0"/>
              <w:divBdr>
                <w:top w:val="none" w:sz="0" w:space="0" w:color="auto"/>
                <w:left w:val="none" w:sz="0" w:space="0" w:color="auto"/>
                <w:bottom w:val="none" w:sz="0" w:space="0" w:color="auto"/>
                <w:right w:val="none" w:sz="0" w:space="0" w:color="auto"/>
              </w:divBdr>
            </w:div>
            <w:div w:id="1932885367">
              <w:marLeft w:val="0"/>
              <w:marRight w:val="0"/>
              <w:marTop w:val="0"/>
              <w:marBottom w:val="0"/>
              <w:divBdr>
                <w:top w:val="none" w:sz="0" w:space="0" w:color="auto"/>
                <w:left w:val="none" w:sz="0" w:space="0" w:color="auto"/>
                <w:bottom w:val="none" w:sz="0" w:space="0" w:color="auto"/>
                <w:right w:val="none" w:sz="0" w:space="0" w:color="auto"/>
              </w:divBdr>
            </w:div>
          </w:divsChild>
        </w:div>
        <w:div w:id="221253802">
          <w:marLeft w:val="0"/>
          <w:marRight w:val="0"/>
          <w:marTop w:val="0"/>
          <w:marBottom w:val="0"/>
          <w:divBdr>
            <w:top w:val="none" w:sz="0" w:space="0" w:color="auto"/>
            <w:left w:val="none" w:sz="0" w:space="0" w:color="auto"/>
            <w:bottom w:val="none" w:sz="0" w:space="0" w:color="auto"/>
            <w:right w:val="none" w:sz="0" w:space="0" w:color="auto"/>
          </w:divBdr>
        </w:div>
        <w:div w:id="284385827">
          <w:marLeft w:val="0"/>
          <w:marRight w:val="0"/>
          <w:marTop w:val="0"/>
          <w:marBottom w:val="0"/>
          <w:divBdr>
            <w:top w:val="none" w:sz="0" w:space="0" w:color="auto"/>
            <w:left w:val="none" w:sz="0" w:space="0" w:color="auto"/>
            <w:bottom w:val="none" w:sz="0" w:space="0" w:color="auto"/>
            <w:right w:val="none" w:sz="0" w:space="0" w:color="auto"/>
          </w:divBdr>
        </w:div>
        <w:div w:id="292250886">
          <w:marLeft w:val="0"/>
          <w:marRight w:val="0"/>
          <w:marTop w:val="0"/>
          <w:marBottom w:val="0"/>
          <w:divBdr>
            <w:top w:val="none" w:sz="0" w:space="0" w:color="auto"/>
            <w:left w:val="none" w:sz="0" w:space="0" w:color="auto"/>
            <w:bottom w:val="none" w:sz="0" w:space="0" w:color="auto"/>
            <w:right w:val="none" w:sz="0" w:space="0" w:color="auto"/>
          </w:divBdr>
          <w:divsChild>
            <w:div w:id="62606509">
              <w:marLeft w:val="0"/>
              <w:marRight w:val="0"/>
              <w:marTop w:val="0"/>
              <w:marBottom w:val="0"/>
              <w:divBdr>
                <w:top w:val="none" w:sz="0" w:space="0" w:color="auto"/>
                <w:left w:val="none" w:sz="0" w:space="0" w:color="auto"/>
                <w:bottom w:val="none" w:sz="0" w:space="0" w:color="auto"/>
                <w:right w:val="none" w:sz="0" w:space="0" w:color="auto"/>
              </w:divBdr>
            </w:div>
            <w:div w:id="319961789">
              <w:marLeft w:val="0"/>
              <w:marRight w:val="0"/>
              <w:marTop w:val="0"/>
              <w:marBottom w:val="0"/>
              <w:divBdr>
                <w:top w:val="none" w:sz="0" w:space="0" w:color="auto"/>
                <w:left w:val="none" w:sz="0" w:space="0" w:color="auto"/>
                <w:bottom w:val="none" w:sz="0" w:space="0" w:color="auto"/>
                <w:right w:val="none" w:sz="0" w:space="0" w:color="auto"/>
              </w:divBdr>
            </w:div>
            <w:div w:id="348221849">
              <w:marLeft w:val="0"/>
              <w:marRight w:val="0"/>
              <w:marTop w:val="0"/>
              <w:marBottom w:val="0"/>
              <w:divBdr>
                <w:top w:val="none" w:sz="0" w:space="0" w:color="auto"/>
                <w:left w:val="none" w:sz="0" w:space="0" w:color="auto"/>
                <w:bottom w:val="none" w:sz="0" w:space="0" w:color="auto"/>
                <w:right w:val="none" w:sz="0" w:space="0" w:color="auto"/>
              </w:divBdr>
            </w:div>
            <w:div w:id="354232137">
              <w:marLeft w:val="0"/>
              <w:marRight w:val="0"/>
              <w:marTop w:val="0"/>
              <w:marBottom w:val="0"/>
              <w:divBdr>
                <w:top w:val="none" w:sz="0" w:space="0" w:color="auto"/>
                <w:left w:val="none" w:sz="0" w:space="0" w:color="auto"/>
                <w:bottom w:val="none" w:sz="0" w:space="0" w:color="auto"/>
                <w:right w:val="none" w:sz="0" w:space="0" w:color="auto"/>
              </w:divBdr>
            </w:div>
            <w:div w:id="373045284">
              <w:marLeft w:val="0"/>
              <w:marRight w:val="0"/>
              <w:marTop w:val="0"/>
              <w:marBottom w:val="0"/>
              <w:divBdr>
                <w:top w:val="none" w:sz="0" w:space="0" w:color="auto"/>
                <w:left w:val="none" w:sz="0" w:space="0" w:color="auto"/>
                <w:bottom w:val="none" w:sz="0" w:space="0" w:color="auto"/>
                <w:right w:val="none" w:sz="0" w:space="0" w:color="auto"/>
              </w:divBdr>
            </w:div>
            <w:div w:id="388571942">
              <w:marLeft w:val="0"/>
              <w:marRight w:val="0"/>
              <w:marTop w:val="0"/>
              <w:marBottom w:val="0"/>
              <w:divBdr>
                <w:top w:val="none" w:sz="0" w:space="0" w:color="auto"/>
                <w:left w:val="none" w:sz="0" w:space="0" w:color="auto"/>
                <w:bottom w:val="none" w:sz="0" w:space="0" w:color="auto"/>
                <w:right w:val="none" w:sz="0" w:space="0" w:color="auto"/>
              </w:divBdr>
            </w:div>
            <w:div w:id="403338780">
              <w:marLeft w:val="0"/>
              <w:marRight w:val="0"/>
              <w:marTop w:val="0"/>
              <w:marBottom w:val="0"/>
              <w:divBdr>
                <w:top w:val="none" w:sz="0" w:space="0" w:color="auto"/>
                <w:left w:val="none" w:sz="0" w:space="0" w:color="auto"/>
                <w:bottom w:val="none" w:sz="0" w:space="0" w:color="auto"/>
                <w:right w:val="none" w:sz="0" w:space="0" w:color="auto"/>
              </w:divBdr>
            </w:div>
            <w:div w:id="850997192">
              <w:marLeft w:val="0"/>
              <w:marRight w:val="0"/>
              <w:marTop w:val="0"/>
              <w:marBottom w:val="0"/>
              <w:divBdr>
                <w:top w:val="none" w:sz="0" w:space="0" w:color="auto"/>
                <w:left w:val="none" w:sz="0" w:space="0" w:color="auto"/>
                <w:bottom w:val="none" w:sz="0" w:space="0" w:color="auto"/>
                <w:right w:val="none" w:sz="0" w:space="0" w:color="auto"/>
              </w:divBdr>
            </w:div>
            <w:div w:id="863128745">
              <w:marLeft w:val="0"/>
              <w:marRight w:val="0"/>
              <w:marTop w:val="0"/>
              <w:marBottom w:val="0"/>
              <w:divBdr>
                <w:top w:val="none" w:sz="0" w:space="0" w:color="auto"/>
                <w:left w:val="none" w:sz="0" w:space="0" w:color="auto"/>
                <w:bottom w:val="none" w:sz="0" w:space="0" w:color="auto"/>
                <w:right w:val="none" w:sz="0" w:space="0" w:color="auto"/>
              </w:divBdr>
            </w:div>
            <w:div w:id="908198926">
              <w:marLeft w:val="0"/>
              <w:marRight w:val="0"/>
              <w:marTop w:val="0"/>
              <w:marBottom w:val="0"/>
              <w:divBdr>
                <w:top w:val="none" w:sz="0" w:space="0" w:color="auto"/>
                <w:left w:val="none" w:sz="0" w:space="0" w:color="auto"/>
                <w:bottom w:val="none" w:sz="0" w:space="0" w:color="auto"/>
                <w:right w:val="none" w:sz="0" w:space="0" w:color="auto"/>
              </w:divBdr>
            </w:div>
            <w:div w:id="911505212">
              <w:marLeft w:val="0"/>
              <w:marRight w:val="0"/>
              <w:marTop w:val="0"/>
              <w:marBottom w:val="0"/>
              <w:divBdr>
                <w:top w:val="none" w:sz="0" w:space="0" w:color="auto"/>
                <w:left w:val="none" w:sz="0" w:space="0" w:color="auto"/>
                <w:bottom w:val="none" w:sz="0" w:space="0" w:color="auto"/>
                <w:right w:val="none" w:sz="0" w:space="0" w:color="auto"/>
              </w:divBdr>
            </w:div>
            <w:div w:id="1166165595">
              <w:marLeft w:val="0"/>
              <w:marRight w:val="0"/>
              <w:marTop w:val="0"/>
              <w:marBottom w:val="0"/>
              <w:divBdr>
                <w:top w:val="none" w:sz="0" w:space="0" w:color="auto"/>
                <w:left w:val="none" w:sz="0" w:space="0" w:color="auto"/>
                <w:bottom w:val="none" w:sz="0" w:space="0" w:color="auto"/>
                <w:right w:val="none" w:sz="0" w:space="0" w:color="auto"/>
              </w:divBdr>
            </w:div>
            <w:div w:id="1379235523">
              <w:marLeft w:val="0"/>
              <w:marRight w:val="0"/>
              <w:marTop w:val="0"/>
              <w:marBottom w:val="0"/>
              <w:divBdr>
                <w:top w:val="none" w:sz="0" w:space="0" w:color="auto"/>
                <w:left w:val="none" w:sz="0" w:space="0" w:color="auto"/>
                <w:bottom w:val="none" w:sz="0" w:space="0" w:color="auto"/>
                <w:right w:val="none" w:sz="0" w:space="0" w:color="auto"/>
              </w:divBdr>
            </w:div>
            <w:div w:id="1544946526">
              <w:marLeft w:val="0"/>
              <w:marRight w:val="0"/>
              <w:marTop w:val="0"/>
              <w:marBottom w:val="0"/>
              <w:divBdr>
                <w:top w:val="none" w:sz="0" w:space="0" w:color="auto"/>
                <w:left w:val="none" w:sz="0" w:space="0" w:color="auto"/>
                <w:bottom w:val="none" w:sz="0" w:space="0" w:color="auto"/>
                <w:right w:val="none" w:sz="0" w:space="0" w:color="auto"/>
              </w:divBdr>
            </w:div>
            <w:div w:id="1735279678">
              <w:marLeft w:val="0"/>
              <w:marRight w:val="0"/>
              <w:marTop w:val="0"/>
              <w:marBottom w:val="0"/>
              <w:divBdr>
                <w:top w:val="none" w:sz="0" w:space="0" w:color="auto"/>
                <w:left w:val="none" w:sz="0" w:space="0" w:color="auto"/>
                <w:bottom w:val="none" w:sz="0" w:space="0" w:color="auto"/>
                <w:right w:val="none" w:sz="0" w:space="0" w:color="auto"/>
              </w:divBdr>
            </w:div>
            <w:div w:id="1867521490">
              <w:marLeft w:val="0"/>
              <w:marRight w:val="0"/>
              <w:marTop w:val="0"/>
              <w:marBottom w:val="0"/>
              <w:divBdr>
                <w:top w:val="none" w:sz="0" w:space="0" w:color="auto"/>
                <w:left w:val="none" w:sz="0" w:space="0" w:color="auto"/>
                <w:bottom w:val="none" w:sz="0" w:space="0" w:color="auto"/>
                <w:right w:val="none" w:sz="0" w:space="0" w:color="auto"/>
              </w:divBdr>
            </w:div>
            <w:div w:id="1868911649">
              <w:marLeft w:val="0"/>
              <w:marRight w:val="0"/>
              <w:marTop w:val="0"/>
              <w:marBottom w:val="0"/>
              <w:divBdr>
                <w:top w:val="none" w:sz="0" w:space="0" w:color="auto"/>
                <w:left w:val="none" w:sz="0" w:space="0" w:color="auto"/>
                <w:bottom w:val="none" w:sz="0" w:space="0" w:color="auto"/>
                <w:right w:val="none" w:sz="0" w:space="0" w:color="auto"/>
              </w:divBdr>
            </w:div>
            <w:div w:id="1959023493">
              <w:marLeft w:val="0"/>
              <w:marRight w:val="0"/>
              <w:marTop w:val="0"/>
              <w:marBottom w:val="0"/>
              <w:divBdr>
                <w:top w:val="none" w:sz="0" w:space="0" w:color="auto"/>
                <w:left w:val="none" w:sz="0" w:space="0" w:color="auto"/>
                <w:bottom w:val="none" w:sz="0" w:space="0" w:color="auto"/>
                <w:right w:val="none" w:sz="0" w:space="0" w:color="auto"/>
              </w:divBdr>
            </w:div>
            <w:div w:id="2045710812">
              <w:marLeft w:val="0"/>
              <w:marRight w:val="0"/>
              <w:marTop w:val="0"/>
              <w:marBottom w:val="0"/>
              <w:divBdr>
                <w:top w:val="none" w:sz="0" w:space="0" w:color="auto"/>
                <w:left w:val="none" w:sz="0" w:space="0" w:color="auto"/>
                <w:bottom w:val="none" w:sz="0" w:space="0" w:color="auto"/>
                <w:right w:val="none" w:sz="0" w:space="0" w:color="auto"/>
              </w:divBdr>
            </w:div>
            <w:div w:id="2116702804">
              <w:marLeft w:val="0"/>
              <w:marRight w:val="0"/>
              <w:marTop w:val="0"/>
              <w:marBottom w:val="0"/>
              <w:divBdr>
                <w:top w:val="none" w:sz="0" w:space="0" w:color="auto"/>
                <w:left w:val="none" w:sz="0" w:space="0" w:color="auto"/>
                <w:bottom w:val="none" w:sz="0" w:space="0" w:color="auto"/>
                <w:right w:val="none" w:sz="0" w:space="0" w:color="auto"/>
              </w:divBdr>
            </w:div>
          </w:divsChild>
        </w:div>
        <w:div w:id="301734155">
          <w:marLeft w:val="0"/>
          <w:marRight w:val="0"/>
          <w:marTop w:val="0"/>
          <w:marBottom w:val="0"/>
          <w:divBdr>
            <w:top w:val="none" w:sz="0" w:space="0" w:color="auto"/>
            <w:left w:val="none" w:sz="0" w:space="0" w:color="auto"/>
            <w:bottom w:val="none" w:sz="0" w:space="0" w:color="auto"/>
            <w:right w:val="none" w:sz="0" w:space="0" w:color="auto"/>
          </w:divBdr>
        </w:div>
        <w:div w:id="312024177">
          <w:marLeft w:val="0"/>
          <w:marRight w:val="0"/>
          <w:marTop w:val="0"/>
          <w:marBottom w:val="0"/>
          <w:divBdr>
            <w:top w:val="none" w:sz="0" w:space="0" w:color="auto"/>
            <w:left w:val="none" w:sz="0" w:space="0" w:color="auto"/>
            <w:bottom w:val="none" w:sz="0" w:space="0" w:color="auto"/>
            <w:right w:val="none" w:sz="0" w:space="0" w:color="auto"/>
          </w:divBdr>
        </w:div>
        <w:div w:id="313917867">
          <w:marLeft w:val="0"/>
          <w:marRight w:val="0"/>
          <w:marTop w:val="0"/>
          <w:marBottom w:val="0"/>
          <w:divBdr>
            <w:top w:val="none" w:sz="0" w:space="0" w:color="auto"/>
            <w:left w:val="none" w:sz="0" w:space="0" w:color="auto"/>
            <w:bottom w:val="none" w:sz="0" w:space="0" w:color="auto"/>
            <w:right w:val="none" w:sz="0" w:space="0" w:color="auto"/>
          </w:divBdr>
        </w:div>
        <w:div w:id="370768527">
          <w:marLeft w:val="0"/>
          <w:marRight w:val="0"/>
          <w:marTop w:val="0"/>
          <w:marBottom w:val="0"/>
          <w:divBdr>
            <w:top w:val="none" w:sz="0" w:space="0" w:color="auto"/>
            <w:left w:val="none" w:sz="0" w:space="0" w:color="auto"/>
            <w:bottom w:val="none" w:sz="0" w:space="0" w:color="auto"/>
            <w:right w:val="none" w:sz="0" w:space="0" w:color="auto"/>
          </w:divBdr>
        </w:div>
        <w:div w:id="404303817">
          <w:marLeft w:val="0"/>
          <w:marRight w:val="0"/>
          <w:marTop w:val="0"/>
          <w:marBottom w:val="0"/>
          <w:divBdr>
            <w:top w:val="none" w:sz="0" w:space="0" w:color="auto"/>
            <w:left w:val="none" w:sz="0" w:space="0" w:color="auto"/>
            <w:bottom w:val="none" w:sz="0" w:space="0" w:color="auto"/>
            <w:right w:val="none" w:sz="0" w:space="0" w:color="auto"/>
          </w:divBdr>
        </w:div>
        <w:div w:id="418453420">
          <w:marLeft w:val="0"/>
          <w:marRight w:val="0"/>
          <w:marTop w:val="0"/>
          <w:marBottom w:val="0"/>
          <w:divBdr>
            <w:top w:val="none" w:sz="0" w:space="0" w:color="auto"/>
            <w:left w:val="none" w:sz="0" w:space="0" w:color="auto"/>
            <w:bottom w:val="none" w:sz="0" w:space="0" w:color="auto"/>
            <w:right w:val="none" w:sz="0" w:space="0" w:color="auto"/>
          </w:divBdr>
          <w:divsChild>
            <w:div w:id="3023009">
              <w:marLeft w:val="0"/>
              <w:marRight w:val="0"/>
              <w:marTop w:val="0"/>
              <w:marBottom w:val="0"/>
              <w:divBdr>
                <w:top w:val="none" w:sz="0" w:space="0" w:color="auto"/>
                <w:left w:val="none" w:sz="0" w:space="0" w:color="auto"/>
                <w:bottom w:val="none" w:sz="0" w:space="0" w:color="auto"/>
                <w:right w:val="none" w:sz="0" w:space="0" w:color="auto"/>
              </w:divBdr>
            </w:div>
            <w:div w:id="17699663">
              <w:marLeft w:val="0"/>
              <w:marRight w:val="0"/>
              <w:marTop w:val="0"/>
              <w:marBottom w:val="0"/>
              <w:divBdr>
                <w:top w:val="none" w:sz="0" w:space="0" w:color="auto"/>
                <w:left w:val="none" w:sz="0" w:space="0" w:color="auto"/>
                <w:bottom w:val="none" w:sz="0" w:space="0" w:color="auto"/>
                <w:right w:val="none" w:sz="0" w:space="0" w:color="auto"/>
              </w:divBdr>
            </w:div>
            <w:div w:id="134416566">
              <w:marLeft w:val="0"/>
              <w:marRight w:val="0"/>
              <w:marTop w:val="0"/>
              <w:marBottom w:val="0"/>
              <w:divBdr>
                <w:top w:val="none" w:sz="0" w:space="0" w:color="auto"/>
                <w:left w:val="none" w:sz="0" w:space="0" w:color="auto"/>
                <w:bottom w:val="none" w:sz="0" w:space="0" w:color="auto"/>
                <w:right w:val="none" w:sz="0" w:space="0" w:color="auto"/>
              </w:divBdr>
            </w:div>
            <w:div w:id="362169002">
              <w:marLeft w:val="0"/>
              <w:marRight w:val="0"/>
              <w:marTop w:val="0"/>
              <w:marBottom w:val="0"/>
              <w:divBdr>
                <w:top w:val="none" w:sz="0" w:space="0" w:color="auto"/>
                <w:left w:val="none" w:sz="0" w:space="0" w:color="auto"/>
                <w:bottom w:val="none" w:sz="0" w:space="0" w:color="auto"/>
                <w:right w:val="none" w:sz="0" w:space="0" w:color="auto"/>
              </w:divBdr>
            </w:div>
            <w:div w:id="439836958">
              <w:marLeft w:val="0"/>
              <w:marRight w:val="0"/>
              <w:marTop w:val="0"/>
              <w:marBottom w:val="0"/>
              <w:divBdr>
                <w:top w:val="none" w:sz="0" w:space="0" w:color="auto"/>
                <w:left w:val="none" w:sz="0" w:space="0" w:color="auto"/>
                <w:bottom w:val="none" w:sz="0" w:space="0" w:color="auto"/>
                <w:right w:val="none" w:sz="0" w:space="0" w:color="auto"/>
              </w:divBdr>
            </w:div>
            <w:div w:id="709377767">
              <w:marLeft w:val="0"/>
              <w:marRight w:val="0"/>
              <w:marTop w:val="0"/>
              <w:marBottom w:val="0"/>
              <w:divBdr>
                <w:top w:val="none" w:sz="0" w:space="0" w:color="auto"/>
                <w:left w:val="none" w:sz="0" w:space="0" w:color="auto"/>
                <w:bottom w:val="none" w:sz="0" w:space="0" w:color="auto"/>
                <w:right w:val="none" w:sz="0" w:space="0" w:color="auto"/>
              </w:divBdr>
            </w:div>
            <w:div w:id="865212961">
              <w:marLeft w:val="0"/>
              <w:marRight w:val="0"/>
              <w:marTop w:val="0"/>
              <w:marBottom w:val="0"/>
              <w:divBdr>
                <w:top w:val="none" w:sz="0" w:space="0" w:color="auto"/>
                <w:left w:val="none" w:sz="0" w:space="0" w:color="auto"/>
                <w:bottom w:val="none" w:sz="0" w:space="0" w:color="auto"/>
                <w:right w:val="none" w:sz="0" w:space="0" w:color="auto"/>
              </w:divBdr>
            </w:div>
            <w:div w:id="905460726">
              <w:marLeft w:val="0"/>
              <w:marRight w:val="0"/>
              <w:marTop w:val="0"/>
              <w:marBottom w:val="0"/>
              <w:divBdr>
                <w:top w:val="none" w:sz="0" w:space="0" w:color="auto"/>
                <w:left w:val="none" w:sz="0" w:space="0" w:color="auto"/>
                <w:bottom w:val="none" w:sz="0" w:space="0" w:color="auto"/>
                <w:right w:val="none" w:sz="0" w:space="0" w:color="auto"/>
              </w:divBdr>
            </w:div>
            <w:div w:id="1118839103">
              <w:marLeft w:val="0"/>
              <w:marRight w:val="0"/>
              <w:marTop w:val="0"/>
              <w:marBottom w:val="0"/>
              <w:divBdr>
                <w:top w:val="none" w:sz="0" w:space="0" w:color="auto"/>
                <w:left w:val="none" w:sz="0" w:space="0" w:color="auto"/>
                <w:bottom w:val="none" w:sz="0" w:space="0" w:color="auto"/>
                <w:right w:val="none" w:sz="0" w:space="0" w:color="auto"/>
              </w:divBdr>
            </w:div>
            <w:div w:id="1204446039">
              <w:marLeft w:val="0"/>
              <w:marRight w:val="0"/>
              <w:marTop w:val="0"/>
              <w:marBottom w:val="0"/>
              <w:divBdr>
                <w:top w:val="none" w:sz="0" w:space="0" w:color="auto"/>
                <w:left w:val="none" w:sz="0" w:space="0" w:color="auto"/>
                <w:bottom w:val="none" w:sz="0" w:space="0" w:color="auto"/>
                <w:right w:val="none" w:sz="0" w:space="0" w:color="auto"/>
              </w:divBdr>
            </w:div>
            <w:div w:id="1262833816">
              <w:marLeft w:val="0"/>
              <w:marRight w:val="0"/>
              <w:marTop w:val="0"/>
              <w:marBottom w:val="0"/>
              <w:divBdr>
                <w:top w:val="none" w:sz="0" w:space="0" w:color="auto"/>
                <w:left w:val="none" w:sz="0" w:space="0" w:color="auto"/>
                <w:bottom w:val="none" w:sz="0" w:space="0" w:color="auto"/>
                <w:right w:val="none" w:sz="0" w:space="0" w:color="auto"/>
              </w:divBdr>
            </w:div>
            <w:div w:id="1273320690">
              <w:marLeft w:val="0"/>
              <w:marRight w:val="0"/>
              <w:marTop w:val="0"/>
              <w:marBottom w:val="0"/>
              <w:divBdr>
                <w:top w:val="none" w:sz="0" w:space="0" w:color="auto"/>
                <w:left w:val="none" w:sz="0" w:space="0" w:color="auto"/>
                <w:bottom w:val="none" w:sz="0" w:space="0" w:color="auto"/>
                <w:right w:val="none" w:sz="0" w:space="0" w:color="auto"/>
              </w:divBdr>
            </w:div>
            <w:div w:id="1310405687">
              <w:marLeft w:val="0"/>
              <w:marRight w:val="0"/>
              <w:marTop w:val="0"/>
              <w:marBottom w:val="0"/>
              <w:divBdr>
                <w:top w:val="none" w:sz="0" w:space="0" w:color="auto"/>
                <w:left w:val="none" w:sz="0" w:space="0" w:color="auto"/>
                <w:bottom w:val="none" w:sz="0" w:space="0" w:color="auto"/>
                <w:right w:val="none" w:sz="0" w:space="0" w:color="auto"/>
              </w:divBdr>
            </w:div>
            <w:div w:id="1569880226">
              <w:marLeft w:val="0"/>
              <w:marRight w:val="0"/>
              <w:marTop w:val="0"/>
              <w:marBottom w:val="0"/>
              <w:divBdr>
                <w:top w:val="none" w:sz="0" w:space="0" w:color="auto"/>
                <w:left w:val="none" w:sz="0" w:space="0" w:color="auto"/>
                <w:bottom w:val="none" w:sz="0" w:space="0" w:color="auto"/>
                <w:right w:val="none" w:sz="0" w:space="0" w:color="auto"/>
              </w:divBdr>
            </w:div>
            <w:div w:id="1628731476">
              <w:marLeft w:val="0"/>
              <w:marRight w:val="0"/>
              <w:marTop w:val="0"/>
              <w:marBottom w:val="0"/>
              <w:divBdr>
                <w:top w:val="none" w:sz="0" w:space="0" w:color="auto"/>
                <w:left w:val="none" w:sz="0" w:space="0" w:color="auto"/>
                <w:bottom w:val="none" w:sz="0" w:space="0" w:color="auto"/>
                <w:right w:val="none" w:sz="0" w:space="0" w:color="auto"/>
              </w:divBdr>
            </w:div>
            <w:div w:id="1652177623">
              <w:marLeft w:val="0"/>
              <w:marRight w:val="0"/>
              <w:marTop w:val="0"/>
              <w:marBottom w:val="0"/>
              <w:divBdr>
                <w:top w:val="none" w:sz="0" w:space="0" w:color="auto"/>
                <w:left w:val="none" w:sz="0" w:space="0" w:color="auto"/>
                <w:bottom w:val="none" w:sz="0" w:space="0" w:color="auto"/>
                <w:right w:val="none" w:sz="0" w:space="0" w:color="auto"/>
              </w:divBdr>
            </w:div>
            <w:div w:id="1695882782">
              <w:marLeft w:val="0"/>
              <w:marRight w:val="0"/>
              <w:marTop w:val="0"/>
              <w:marBottom w:val="0"/>
              <w:divBdr>
                <w:top w:val="none" w:sz="0" w:space="0" w:color="auto"/>
                <w:left w:val="none" w:sz="0" w:space="0" w:color="auto"/>
                <w:bottom w:val="none" w:sz="0" w:space="0" w:color="auto"/>
                <w:right w:val="none" w:sz="0" w:space="0" w:color="auto"/>
              </w:divBdr>
            </w:div>
            <w:div w:id="1745376047">
              <w:marLeft w:val="0"/>
              <w:marRight w:val="0"/>
              <w:marTop w:val="0"/>
              <w:marBottom w:val="0"/>
              <w:divBdr>
                <w:top w:val="none" w:sz="0" w:space="0" w:color="auto"/>
                <w:left w:val="none" w:sz="0" w:space="0" w:color="auto"/>
                <w:bottom w:val="none" w:sz="0" w:space="0" w:color="auto"/>
                <w:right w:val="none" w:sz="0" w:space="0" w:color="auto"/>
              </w:divBdr>
            </w:div>
            <w:div w:id="1753357038">
              <w:marLeft w:val="0"/>
              <w:marRight w:val="0"/>
              <w:marTop w:val="0"/>
              <w:marBottom w:val="0"/>
              <w:divBdr>
                <w:top w:val="none" w:sz="0" w:space="0" w:color="auto"/>
                <w:left w:val="none" w:sz="0" w:space="0" w:color="auto"/>
                <w:bottom w:val="none" w:sz="0" w:space="0" w:color="auto"/>
                <w:right w:val="none" w:sz="0" w:space="0" w:color="auto"/>
              </w:divBdr>
            </w:div>
            <w:div w:id="2069719881">
              <w:marLeft w:val="0"/>
              <w:marRight w:val="0"/>
              <w:marTop w:val="0"/>
              <w:marBottom w:val="0"/>
              <w:divBdr>
                <w:top w:val="none" w:sz="0" w:space="0" w:color="auto"/>
                <w:left w:val="none" w:sz="0" w:space="0" w:color="auto"/>
                <w:bottom w:val="none" w:sz="0" w:space="0" w:color="auto"/>
                <w:right w:val="none" w:sz="0" w:space="0" w:color="auto"/>
              </w:divBdr>
            </w:div>
          </w:divsChild>
        </w:div>
        <w:div w:id="454173886">
          <w:marLeft w:val="0"/>
          <w:marRight w:val="0"/>
          <w:marTop w:val="0"/>
          <w:marBottom w:val="0"/>
          <w:divBdr>
            <w:top w:val="none" w:sz="0" w:space="0" w:color="auto"/>
            <w:left w:val="none" w:sz="0" w:space="0" w:color="auto"/>
            <w:bottom w:val="none" w:sz="0" w:space="0" w:color="auto"/>
            <w:right w:val="none" w:sz="0" w:space="0" w:color="auto"/>
          </w:divBdr>
        </w:div>
        <w:div w:id="455947767">
          <w:marLeft w:val="0"/>
          <w:marRight w:val="0"/>
          <w:marTop w:val="0"/>
          <w:marBottom w:val="0"/>
          <w:divBdr>
            <w:top w:val="none" w:sz="0" w:space="0" w:color="auto"/>
            <w:left w:val="none" w:sz="0" w:space="0" w:color="auto"/>
            <w:bottom w:val="none" w:sz="0" w:space="0" w:color="auto"/>
            <w:right w:val="none" w:sz="0" w:space="0" w:color="auto"/>
          </w:divBdr>
        </w:div>
        <w:div w:id="465121134">
          <w:marLeft w:val="0"/>
          <w:marRight w:val="0"/>
          <w:marTop w:val="0"/>
          <w:marBottom w:val="0"/>
          <w:divBdr>
            <w:top w:val="none" w:sz="0" w:space="0" w:color="auto"/>
            <w:left w:val="none" w:sz="0" w:space="0" w:color="auto"/>
            <w:bottom w:val="none" w:sz="0" w:space="0" w:color="auto"/>
            <w:right w:val="none" w:sz="0" w:space="0" w:color="auto"/>
          </w:divBdr>
        </w:div>
        <w:div w:id="470171778">
          <w:marLeft w:val="0"/>
          <w:marRight w:val="0"/>
          <w:marTop w:val="0"/>
          <w:marBottom w:val="0"/>
          <w:divBdr>
            <w:top w:val="none" w:sz="0" w:space="0" w:color="auto"/>
            <w:left w:val="none" w:sz="0" w:space="0" w:color="auto"/>
            <w:bottom w:val="none" w:sz="0" w:space="0" w:color="auto"/>
            <w:right w:val="none" w:sz="0" w:space="0" w:color="auto"/>
          </w:divBdr>
        </w:div>
        <w:div w:id="560604013">
          <w:marLeft w:val="0"/>
          <w:marRight w:val="0"/>
          <w:marTop w:val="0"/>
          <w:marBottom w:val="0"/>
          <w:divBdr>
            <w:top w:val="none" w:sz="0" w:space="0" w:color="auto"/>
            <w:left w:val="none" w:sz="0" w:space="0" w:color="auto"/>
            <w:bottom w:val="none" w:sz="0" w:space="0" w:color="auto"/>
            <w:right w:val="none" w:sz="0" w:space="0" w:color="auto"/>
          </w:divBdr>
        </w:div>
        <w:div w:id="570429341">
          <w:marLeft w:val="0"/>
          <w:marRight w:val="0"/>
          <w:marTop w:val="0"/>
          <w:marBottom w:val="0"/>
          <w:divBdr>
            <w:top w:val="none" w:sz="0" w:space="0" w:color="auto"/>
            <w:left w:val="none" w:sz="0" w:space="0" w:color="auto"/>
            <w:bottom w:val="none" w:sz="0" w:space="0" w:color="auto"/>
            <w:right w:val="none" w:sz="0" w:space="0" w:color="auto"/>
          </w:divBdr>
        </w:div>
        <w:div w:id="579363494">
          <w:marLeft w:val="0"/>
          <w:marRight w:val="0"/>
          <w:marTop w:val="0"/>
          <w:marBottom w:val="0"/>
          <w:divBdr>
            <w:top w:val="none" w:sz="0" w:space="0" w:color="auto"/>
            <w:left w:val="none" w:sz="0" w:space="0" w:color="auto"/>
            <w:bottom w:val="none" w:sz="0" w:space="0" w:color="auto"/>
            <w:right w:val="none" w:sz="0" w:space="0" w:color="auto"/>
          </w:divBdr>
          <w:divsChild>
            <w:div w:id="125317867">
              <w:marLeft w:val="0"/>
              <w:marRight w:val="0"/>
              <w:marTop w:val="0"/>
              <w:marBottom w:val="0"/>
              <w:divBdr>
                <w:top w:val="none" w:sz="0" w:space="0" w:color="auto"/>
                <w:left w:val="none" w:sz="0" w:space="0" w:color="auto"/>
                <w:bottom w:val="none" w:sz="0" w:space="0" w:color="auto"/>
                <w:right w:val="none" w:sz="0" w:space="0" w:color="auto"/>
              </w:divBdr>
            </w:div>
            <w:div w:id="162404051">
              <w:marLeft w:val="0"/>
              <w:marRight w:val="0"/>
              <w:marTop w:val="0"/>
              <w:marBottom w:val="0"/>
              <w:divBdr>
                <w:top w:val="none" w:sz="0" w:space="0" w:color="auto"/>
                <w:left w:val="none" w:sz="0" w:space="0" w:color="auto"/>
                <w:bottom w:val="none" w:sz="0" w:space="0" w:color="auto"/>
                <w:right w:val="none" w:sz="0" w:space="0" w:color="auto"/>
              </w:divBdr>
            </w:div>
            <w:div w:id="279066439">
              <w:marLeft w:val="0"/>
              <w:marRight w:val="0"/>
              <w:marTop w:val="0"/>
              <w:marBottom w:val="0"/>
              <w:divBdr>
                <w:top w:val="none" w:sz="0" w:space="0" w:color="auto"/>
                <w:left w:val="none" w:sz="0" w:space="0" w:color="auto"/>
                <w:bottom w:val="none" w:sz="0" w:space="0" w:color="auto"/>
                <w:right w:val="none" w:sz="0" w:space="0" w:color="auto"/>
              </w:divBdr>
            </w:div>
            <w:div w:id="496042354">
              <w:marLeft w:val="0"/>
              <w:marRight w:val="0"/>
              <w:marTop w:val="0"/>
              <w:marBottom w:val="0"/>
              <w:divBdr>
                <w:top w:val="none" w:sz="0" w:space="0" w:color="auto"/>
                <w:left w:val="none" w:sz="0" w:space="0" w:color="auto"/>
                <w:bottom w:val="none" w:sz="0" w:space="0" w:color="auto"/>
                <w:right w:val="none" w:sz="0" w:space="0" w:color="auto"/>
              </w:divBdr>
            </w:div>
            <w:div w:id="507057500">
              <w:marLeft w:val="0"/>
              <w:marRight w:val="0"/>
              <w:marTop w:val="0"/>
              <w:marBottom w:val="0"/>
              <w:divBdr>
                <w:top w:val="none" w:sz="0" w:space="0" w:color="auto"/>
                <w:left w:val="none" w:sz="0" w:space="0" w:color="auto"/>
                <w:bottom w:val="none" w:sz="0" w:space="0" w:color="auto"/>
                <w:right w:val="none" w:sz="0" w:space="0" w:color="auto"/>
              </w:divBdr>
            </w:div>
            <w:div w:id="614675615">
              <w:marLeft w:val="0"/>
              <w:marRight w:val="0"/>
              <w:marTop w:val="0"/>
              <w:marBottom w:val="0"/>
              <w:divBdr>
                <w:top w:val="none" w:sz="0" w:space="0" w:color="auto"/>
                <w:left w:val="none" w:sz="0" w:space="0" w:color="auto"/>
                <w:bottom w:val="none" w:sz="0" w:space="0" w:color="auto"/>
                <w:right w:val="none" w:sz="0" w:space="0" w:color="auto"/>
              </w:divBdr>
            </w:div>
            <w:div w:id="669019665">
              <w:marLeft w:val="0"/>
              <w:marRight w:val="0"/>
              <w:marTop w:val="0"/>
              <w:marBottom w:val="0"/>
              <w:divBdr>
                <w:top w:val="none" w:sz="0" w:space="0" w:color="auto"/>
                <w:left w:val="none" w:sz="0" w:space="0" w:color="auto"/>
                <w:bottom w:val="none" w:sz="0" w:space="0" w:color="auto"/>
                <w:right w:val="none" w:sz="0" w:space="0" w:color="auto"/>
              </w:divBdr>
            </w:div>
            <w:div w:id="767778976">
              <w:marLeft w:val="0"/>
              <w:marRight w:val="0"/>
              <w:marTop w:val="0"/>
              <w:marBottom w:val="0"/>
              <w:divBdr>
                <w:top w:val="none" w:sz="0" w:space="0" w:color="auto"/>
                <w:left w:val="none" w:sz="0" w:space="0" w:color="auto"/>
                <w:bottom w:val="none" w:sz="0" w:space="0" w:color="auto"/>
                <w:right w:val="none" w:sz="0" w:space="0" w:color="auto"/>
              </w:divBdr>
            </w:div>
            <w:div w:id="787284521">
              <w:marLeft w:val="0"/>
              <w:marRight w:val="0"/>
              <w:marTop w:val="0"/>
              <w:marBottom w:val="0"/>
              <w:divBdr>
                <w:top w:val="none" w:sz="0" w:space="0" w:color="auto"/>
                <w:left w:val="none" w:sz="0" w:space="0" w:color="auto"/>
                <w:bottom w:val="none" w:sz="0" w:space="0" w:color="auto"/>
                <w:right w:val="none" w:sz="0" w:space="0" w:color="auto"/>
              </w:divBdr>
            </w:div>
            <w:div w:id="821965786">
              <w:marLeft w:val="0"/>
              <w:marRight w:val="0"/>
              <w:marTop w:val="0"/>
              <w:marBottom w:val="0"/>
              <w:divBdr>
                <w:top w:val="none" w:sz="0" w:space="0" w:color="auto"/>
                <w:left w:val="none" w:sz="0" w:space="0" w:color="auto"/>
                <w:bottom w:val="none" w:sz="0" w:space="0" w:color="auto"/>
                <w:right w:val="none" w:sz="0" w:space="0" w:color="auto"/>
              </w:divBdr>
            </w:div>
            <w:div w:id="971905578">
              <w:marLeft w:val="0"/>
              <w:marRight w:val="0"/>
              <w:marTop w:val="0"/>
              <w:marBottom w:val="0"/>
              <w:divBdr>
                <w:top w:val="none" w:sz="0" w:space="0" w:color="auto"/>
                <w:left w:val="none" w:sz="0" w:space="0" w:color="auto"/>
                <w:bottom w:val="none" w:sz="0" w:space="0" w:color="auto"/>
                <w:right w:val="none" w:sz="0" w:space="0" w:color="auto"/>
              </w:divBdr>
            </w:div>
            <w:div w:id="1171946527">
              <w:marLeft w:val="0"/>
              <w:marRight w:val="0"/>
              <w:marTop w:val="0"/>
              <w:marBottom w:val="0"/>
              <w:divBdr>
                <w:top w:val="none" w:sz="0" w:space="0" w:color="auto"/>
                <w:left w:val="none" w:sz="0" w:space="0" w:color="auto"/>
                <w:bottom w:val="none" w:sz="0" w:space="0" w:color="auto"/>
                <w:right w:val="none" w:sz="0" w:space="0" w:color="auto"/>
              </w:divBdr>
            </w:div>
            <w:div w:id="1292783856">
              <w:marLeft w:val="0"/>
              <w:marRight w:val="0"/>
              <w:marTop w:val="0"/>
              <w:marBottom w:val="0"/>
              <w:divBdr>
                <w:top w:val="none" w:sz="0" w:space="0" w:color="auto"/>
                <w:left w:val="none" w:sz="0" w:space="0" w:color="auto"/>
                <w:bottom w:val="none" w:sz="0" w:space="0" w:color="auto"/>
                <w:right w:val="none" w:sz="0" w:space="0" w:color="auto"/>
              </w:divBdr>
            </w:div>
            <w:div w:id="1544905413">
              <w:marLeft w:val="0"/>
              <w:marRight w:val="0"/>
              <w:marTop w:val="0"/>
              <w:marBottom w:val="0"/>
              <w:divBdr>
                <w:top w:val="none" w:sz="0" w:space="0" w:color="auto"/>
                <w:left w:val="none" w:sz="0" w:space="0" w:color="auto"/>
                <w:bottom w:val="none" w:sz="0" w:space="0" w:color="auto"/>
                <w:right w:val="none" w:sz="0" w:space="0" w:color="auto"/>
              </w:divBdr>
            </w:div>
            <w:div w:id="1752314125">
              <w:marLeft w:val="0"/>
              <w:marRight w:val="0"/>
              <w:marTop w:val="0"/>
              <w:marBottom w:val="0"/>
              <w:divBdr>
                <w:top w:val="none" w:sz="0" w:space="0" w:color="auto"/>
                <w:left w:val="none" w:sz="0" w:space="0" w:color="auto"/>
                <w:bottom w:val="none" w:sz="0" w:space="0" w:color="auto"/>
                <w:right w:val="none" w:sz="0" w:space="0" w:color="auto"/>
              </w:divBdr>
            </w:div>
            <w:div w:id="1753310323">
              <w:marLeft w:val="0"/>
              <w:marRight w:val="0"/>
              <w:marTop w:val="0"/>
              <w:marBottom w:val="0"/>
              <w:divBdr>
                <w:top w:val="none" w:sz="0" w:space="0" w:color="auto"/>
                <w:left w:val="none" w:sz="0" w:space="0" w:color="auto"/>
                <w:bottom w:val="none" w:sz="0" w:space="0" w:color="auto"/>
                <w:right w:val="none" w:sz="0" w:space="0" w:color="auto"/>
              </w:divBdr>
            </w:div>
            <w:div w:id="2009867042">
              <w:marLeft w:val="0"/>
              <w:marRight w:val="0"/>
              <w:marTop w:val="0"/>
              <w:marBottom w:val="0"/>
              <w:divBdr>
                <w:top w:val="none" w:sz="0" w:space="0" w:color="auto"/>
                <w:left w:val="none" w:sz="0" w:space="0" w:color="auto"/>
                <w:bottom w:val="none" w:sz="0" w:space="0" w:color="auto"/>
                <w:right w:val="none" w:sz="0" w:space="0" w:color="auto"/>
              </w:divBdr>
            </w:div>
            <w:div w:id="2043089537">
              <w:marLeft w:val="0"/>
              <w:marRight w:val="0"/>
              <w:marTop w:val="0"/>
              <w:marBottom w:val="0"/>
              <w:divBdr>
                <w:top w:val="none" w:sz="0" w:space="0" w:color="auto"/>
                <w:left w:val="none" w:sz="0" w:space="0" w:color="auto"/>
                <w:bottom w:val="none" w:sz="0" w:space="0" w:color="auto"/>
                <w:right w:val="none" w:sz="0" w:space="0" w:color="auto"/>
              </w:divBdr>
            </w:div>
            <w:div w:id="2047025643">
              <w:marLeft w:val="0"/>
              <w:marRight w:val="0"/>
              <w:marTop w:val="0"/>
              <w:marBottom w:val="0"/>
              <w:divBdr>
                <w:top w:val="none" w:sz="0" w:space="0" w:color="auto"/>
                <w:left w:val="none" w:sz="0" w:space="0" w:color="auto"/>
                <w:bottom w:val="none" w:sz="0" w:space="0" w:color="auto"/>
                <w:right w:val="none" w:sz="0" w:space="0" w:color="auto"/>
              </w:divBdr>
            </w:div>
            <w:div w:id="2103447897">
              <w:marLeft w:val="0"/>
              <w:marRight w:val="0"/>
              <w:marTop w:val="0"/>
              <w:marBottom w:val="0"/>
              <w:divBdr>
                <w:top w:val="none" w:sz="0" w:space="0" w:color="auto"/>
                <w:left w:val="none" w:sz="0" w:space="0" w:color="auto"/>
                <w:bottom w:val="none" w:sz="0" w:space="0" w:color="auto"/>
                <w:right w:val="none" w:sz="0" w:space="0" w:color="auto"/>
              </w:divBdr>
            </w:div>
          </w:divsChild>
        </w:div>
        <w:div w:id="644168874">
          <w:marLeft w:val="0"/>
          <w:marRight w:val="0"/>
          <w:marTop w:val="0"/>
          <w:marBottom w:val="0"/>
          <w:divBdr>
            <w:top w:val="none" w:sz="0" w:space="0" w:color="auto"/>
            <w:left w:val="none" w:sz="0" w:space="0" w:color="auto"/>
            <w:bottom w:val="none" w:sz="0" w:space="0" w:color="auto"/>
            <w:right w:val="none" w:sz="0" w:space="0" w:color="auto"/>
          </w:divBdr>
          <w:divsChild>
            <w:div w:id="2034839533">
              <w:marLeft w:val="-75"/>
              <w:marRight w:val="0"/>
              <w:marTop w:val="30"/>
              <w:marBottom w:val="30"/>
              <w:divBdr>
                <w:top w:val="none" w:sz="0" w:space="0" w:color="auto"/>
                <w:left w:val="none" w:sz="0" w:space="0" w:color="auto"/>
                <w:bottom w:val="none" w:sz="0" w:space="0" w:color="auto"/>
                <w:right w:val="none" w:sz="0" w:space="0" w:color="auto"/>
              </w:divBdr>
              <w:divsChild>
                <w:div w:id="36325031">
                  <w:marLeft w:val="0"/>
                  <w:marRight w:val="0"/>
                  <w:marTop w:val="0"/>
                  <w:marBottom w:val="0"/>
                  <w:divBdr>
                    <w:top w:val="none" w:sz="0" w:space="0" w:color="auto"/>
                    <w:left w:val="none" w:sz="0" w:space="0" w:color="auto"/>
                    <w:bottom w:val="none" w:sz="0" w:space="0" w:color="auto"/>
                    <w:right w:val="none" w:sz="0" w:space="0" w:color="auto"/>
                  </w:divBdr>
                  <w:divsChild>
                    <w:div w:id="832185330">
                      <w:marLeft w:val="0"/>
                      <w:marRight w:val="0"/>
                      <w:marTop w:val="0"/>
                      <w:marBottom w:val="0"/>
                      <w:divBdr>
                        <w:top w:val="none" w:sz="0" w:space="0" w:color="auto"/>
                        <w:left w:val="none" w:sz="0" w:space="0" w:color="auto"/>
                        <w:bottom w:val="none" w:sz="0" w:space="0" w:color="auto"/>
                        <w:right w:val="none" w:sz="0" w:space="0" w:color="auto"/>
                      </w:divBdr>
                    </w:div>
                  </w:divsChild>
                </w:div>
                <w:div w:id="49617892">
                  <w:marLeft w:val="0"/>
                  <w:marRight w:val="0"/>
                  <w:marTop w:val="0"/>
                  <w:marBottom w:val="0"/>
                  <w:divBdr>
                    <w:top w:val="none" w:sz="0" w:space="0" w:color="auto"/>
                    <w:left w:val="none" w:sz="0" w:space="0" w:color="auto"/>
                    <w:bottom w:val="none" w:sz="0" w:space="0" w:color="auto"/>
                    <w:right w:val="none" w:sz="0" w:space="0" w:color="auto"/>
                  </w:divBdr>
                  <w:divsChild>
                    <w:div w:id="1287617781">
                      <w:marLeft w:val="0"/>
                      <w:marRight w:val="0"/>
                      <w:marTop w:val="0"/>
                      <w:marBottom w:val="0"/>
                      <w:divBdr>
                        <w:top w:val="none" w:sz="0" w:space="0" w:color="auto"/>
                        <w:left w:val="none" w:sz="0" w:space="0" w:color="auto"/>
                        <w:bottom w:val="none" w:sz="0" w:space="0" w:color="auto"/>
                        <w:right w:val="none" w:sz="0" w:space="0" w:color="auto"/>
                      </w:divBdr>
                    </w:div>
                  </w:divsChild>
                </w:div>
                <w:div w:id="51083800">
                  <w:marLeft w:val="0"/>
                  <w:marRight w:val="0"/>
                  <w:marTop w:val="0"/>
                  <w:marBottom w:val="0"/>
                  <w:divBdr>
                    <w:top w:val="none" w:sz="0" w:space="0" w:color="auto"/>
                    <w:left w:val="none" w:sz="0" w:space="0" w:color="auto"/>
                    <w:bottom w:val="none" w:sz="0" w:space="0" w:color="auto"/>
                    <w:right w:val="none" w:sz="0" w:space="0" w:color="auto"/>
                  </w:divBdr>
                  <w:divsChild>
                    <w:div w:id="1453787614">
                      <w:marLeft w:val="0"/>
                      <w:marRight w:val="0"/>
                      <w:marTop w:val="0"/>
                      <w:marBottom w:val="0"/>
                      <w:divBdr>
                        <w:top w:val="none" w:sz="0" w:space="0" w:color="auto"/>
                        <w:left w:val="none" w:sz="0" w:space="0" w:color="auto"/>
                        <w:bottom w:val="none" w:sz="0" w:space="0" w:color="auto"/>
                        <w:right w:val="none" w:sz="0" w:space="0" w:color="auto"/>
                      </w:divBdr>
                    </w:div>
                  </w:divsChild>
                </w:div>
                <w:div w:id="90122798">
                  <w:marLeft w:val="0"/>
                  <w:marRight w:val="0"/>
                  <w:marTop w:val="0"/>
                  <w:marBottom w:val="0"/>
                  <w:divBdr>
                    <w:top w:val="none" w:sz="0" w:space="0" w:color="auto"/>
                    <w:left w:val="none" w:sz="0" w:space="0" w:color="auto"/>
                    <w:bottom w:val="none" w:sz="0" w:space="0" w:color="auto"/>
                    <w:right w:val="none" w:sz="0" w:space="0" w:color="auto"/>
                  </w:divBdr>
                  <w:divsChild>
                    <w:div w:id="1222905126">
                      <w:marLeft w:val="0"/>
                      <w:marRight w:val="0"/>
                      <w:marTop w:val="0"/>
                      <w:marBottom w:val="0"/>
                      <w:divBdr>
                        <w:top w:val="none" w:sz="0" w:space="0" w:color="auto"/>
                        <w:left w:val="none" w:sz="0" w:space="0" w:color="auto"/>
                        <w:bottom w:val="none" w:sz="0" w:space="0" w:color="auto"/>
                        <w:right w:val="none" w:sz="0" w:space="0" w:color="auto"/>
                      </w:divBdr>
                    </w:div>
                  </w:divsChild>
                </w:div>
                <w:div w:id="128207004">
                  <w:marLeft w:val="0"/>
                  <w:marRight w:val="0"/>
                  <w:marTop w:val="0"/>
                  <w:marBottom w:val="0"/>
                  <w:divBdr>
                    <w:top w:val="none" w:sz="0" w:space="0" w:color="auto"/>
                    <w:left w:val="none" w:sz="0" w:space="0" w:color="auto"/>
                    <w:bottom w:val="none" w:sz="0" w:space="0" w:color="auto"/>
                    <w:right w:val="none" w:sz="0" w:space="0" w:color="auto"/>
                  </w:divBdr>
                  <w:divsChild>
                    <w:div w:id="459493155">
                      <w:marLeft w:val="0"/>
                      <w:marRight w:val="0"/>
                      <w:marTop w:val="0"/>
                      <w:marBottom w:val="0"/>
                      <w:divBdr>
                        <w:top w:val="none" w:sz="0" w:space="0" w:color="auto"/>
                        <w:left w:val="none" w:sz="0" w:space="0" w:color="auto"/>
                        <w:bottom w:val="none" w:sz="0" w:space="0" w:color="auto"/>
                        <w:right w:val="none" w:sz="0" w:space="0" w:color="auto"/>
                      </w:divBdr>
                    </w:div>
                  </w:divsChild>
                </w:div>
                <w:div w:id="178856451">
                  <w:marLeft w:val="0"/>
                  <w:marRight w:val="0"/>
                  <w:marTop w:val="0"/>
                  <w:marBottom w:val="0"/>
                  <w:divBdr>
                    <w:top w:val="none" w:sz="0" w:space="0" w:color="auto"/>
                    <w:left w:val="none" w:sz="0" w:space="0" w:color="auto"/>
                    <w:bottom w:val="none" w:sz="0" w:space="0" w:color="auto"/>
                    <w:right w:val="none" w:sz="0" w:space="0" w:color="auto"/>
                  </w:divBdr>
                  <w:divsChild>
                    <w:div w:id="384790976">
                      <w:marLeft w:val="0"/>
                      <w:marRight w:val="0"/>
                      <w:marTop w:val="0"/>
                      <w:marBottom w:val="0"/>
                      <w:divBdr>
                        <w:top w:val="none" w:sz="0" w:space="0" w:color="auto"/>
                        <w:left w:val="none" w:sz="0" w:space="0" w:color="auto"/>
                        <w:bottom w:val="none" w:sz="0" w:space="0" w:color="auto"/>
                        <w:right w:val="none" w:sz="0" w:space="0" w:color="auto"/>
                      </w:divBdr>
                    </w:div>
                  </w:divsChild>
                </w:div>
                <w:div w:id="189346136">
                  <w:marLeft w:val="0"/>
                  <w:marRight w:val="0"/>
                  <w:marTop w:val="0"/>
                  <w:marBottom w:val="0"/>
                  <w:divBdr>
                    <w:top w:val="none" w:sz="0" w:space="0" w:color="auto"/>
                    <w:left w:val="none" w:sz="0" w:space="0" w:color="auto"/>
                    <w:bottom w:val="none" w:sz="0" w:space="0" w:color="auto"/>
                    <w:right w:val="none" w:sz="0" w:space="0" w:color="auto"/>
                  </w:divBdr>
                  <w:divsChild>
                    <w:div w:id="426384453">
                      <w:marLeft w:val="0"/>
                      <w:marRight w:val="0"/>
                      <w:marTop w:val="0"/>
                      <w:marBottom w:val="0"/>
                      <w:divBdr>
                        <w:top w:val="none" w:sz="0" w:space="0" w:color="auto"/>
                        <w:left w:val="none" w:sz="0" w:space="0" w:color="auto"/>
                        <w:bottom w:val="none" w:sz="0" w:space="0" w:color="auto"/>
                        <w:right w:val="none" w:sz="0" w:space="0" w:color="auto"/>
                      </w:divBdr>
                    </w:div>
                  </w:divsChild>
                </w:div>
                <w:div w:id="279070750">
                  <w:marLeft w:val="0"/>
                  <w:marRight w:val="0"/>
                  <w:marTop w:val="0"/>
                  <w:marBottom w:val="0"/>
                  <w:divBdr>
                    <w:top w:val="none" w:sz="0" w:space="0" w:color="auto"/>
                    <w:left w:val="none" w:sz="0" w:space="0" w:color="auto"/>
                    <w:bottom w:val="none" w:sz="0" w:space="0" w:color="auto"/>
                    <w:right w:val="none" w:sz="0" w:space="0" w:color="auto"/>
                  </w:divBdr>
                  <w:divsChild>
                    <w:div w:id="1261717406">
                      <w:marLeft w:val="0"/>
                      <w:marRight w:val="0"/>
                      <w:marTop w:val="0"/>
                      <w:marBottom w:val="0"/>
                      <w:divBdr>
                        <w:top w:val="none" w:sz="0" w:space="0" w:color="auto"/>
                        <w:left w:val="none" w:sz="0" w:space="0" w:color="auto"/>
                        <w:bottom w:val="none" w:sz="0" w:space="0" w:color="auto"/>
                        <w:right w:val="none" w:sz="0" w:space="0" w:color="auto"/>
                      </w:divBdr>
                    </w:div>
                  </w:divsChild>
                </w:div>
                <w:div w:id="283511034">
                  <w:marLeft w:val="0"/>
                  <w:marRight w:val="0"/>
                  <w:marTop w:val="0"/>
                  <w:marBottom w:val="0"/>
                  <w:divBdr>
                    <w:top w:val="none" w:sz="0" w:space="0" w:color="auto"/>
                    <w:left w:val="none" w:sz="0" w:space="0" w:color="auto"/>
                    <w:bottom w:val="none" w:sz="0" w:space="0" w:color="auto"/>
                    <w:right w:val="none" w:sz="0" w:space="0" w:color="auto"/>
                  </w:divBdr>
                  <w:divsChild>
                    <w:div w:id="979991898">
                      <w:marLeft w:val="0"/>
                      <w:marRight w:val="0"/>
                      <w:marTop w:val="0"/>
                      <w:marBottom w:val="0"/>
                      <w:divBdr>
                        <w:top w:val="none" w:sz="0" w:space="0" w:color="auto"/>
                        <w:left w:val="none" w:sz="0" w:space="0" w:color="auto"/>
                        <w:bottom w:val="none" w:sz="0" w:space="0" w:color="auto"/>
                        <w:right w:val="none" w:sz="0" w:space="0" w:color="auto"/>
                      </w:divBdr>
                    </w:div>
                  </w:divsChild>
                </w:div>
                <w:div w:id="302660232">
                  <w:marLeft w:val="0"/>
                  <w:marRight w:val="0"/>
                  <w:marTop w:val="0"/>
                  <w:marBottom w:val="0"/>
                  <w:divBdr>
                    <w:top w:val="none" w:sz="0" w:space="0" w:color="auto"/>
                    <w:left w:val="none" w:sz="0" w:space="0" w:color="auto"/>
                    <w:bottom w:val="none" w:sz="0" w:space="0" w:color="auto"/>
                    <w:right w:val="none" w:sz="0" w:space="0" w:color="auto"/>
                  </w:divBdr>
                  <w:divsChild>
                    <w:div w:id="1980256552">
                      <w:marLeft w:val="0"/>
                      <w:marRight w:val="0"/>
                      <w:marTop w:val="0"/>
                      <w:marBottom w:val="0"/>
                      <w:divBdr>
                        <w:top w:val="none" w:sz="0" w:space="0" w:color="auto"/>
                        <w:left w:val="none" w:sz="0" w:space="0" w:color="auto"/>
                        <w:bottom w:val="none" w:sz="0" w:space="0" w:color="auto"/>
                        <w:right w:val="none" w:sz="0" w:space="0" w:color="auto"/>
                      </w:divBdr>
                    </w:div>
                  </w:divsChild>
                </w:div>
                <w:div w:id="318578413">
                  <w:marLeft w:val="0"/>
                  <w:marRight w:val="0"/>
                  <w:marTop w:val="0"/>
                  <w:marBottom w:val="0"/>
                  <w:divBdr>
                    <w:top w:val="none" w:sz="0" w:space="0" w:color="auto"/>
                    <w:left w:val="none" w:sz="0" w:space="0" w:color="auto"/>
                    <w:bottom w:val="none" w:sz="0" w:space="0" w:color="auto"/>
                    <w:right w:val="none" w:sz="0" w:space="0" w:color="auto"/>
                  </w:divBdr>
                  <w:divsChild>
                    <w:div w:id="840699305">
                      <w:marLeft w:val="0"/>
                      <w:marRight w:val="0"/>
                      <w:marTop w:val="0"/>
                      <w:marBottom w:val="0"/>
                      <w:divBdr>
                        <w:top w:val="none" w:sz="0" w:space="0" w:color="auto"/>
                        <w:left w:val="none" w:sz="0" w:space="0" w:color="auto"/>
                        <w:bottom w:val="none" w:sz="0" w:space="0" w:color="auto"/>
                        <w:right w:val="none" w:sz="0" w:space="0" w:color="auto"/>
                      </w:divBdr>
                    </w:div>
                  </w:divsChild>
                </w:div>
                <w:div w:id="330063231">
                  <w:marLeft w:val="0"/>
                  <w:marRight w:val="0"/>
                  <w:marTop w:val="0"/>
                  <w:marBottom w:val="0"/>
                  <w:divBdr>
                    <w:top w:val="none" w:sz="0" w:space="0" w:color="auto"/>
                    <w:left w:val="none" w:sz="0" w:space="0" w:color="auto"/>
                    <w:bottom w:val="none" w:sz="0" w:space="0" w:color="auto"/>
                    <w:right w:val="none" w:sz="0" w:space="0" w:color="auto"/>
                  </w:divBdr>
                  <w:divsChild>
                    <w:div w:id="11613889">
                      <w:marLeft w:val="0"/>
                      <w:marRight w:val="0"/>
                      <w:marTop w:val="0"/>
                      <w:marBottom w:val="0"/>
                      <w:divBdr>
                        <w:top w:val="none" w:sz="0" w:space="0" w:color="auto"/>
                        <w:left w:val="none" w:sz="0" w:space="0" w:color="auto"/>
                        <w:bottom w:val="none" w:sz="0" w:space="0" w:color="auto"/>
                        <w:right w:val="none" w:sz="0" w:space="0" w:color="auto"/>
                      </w:divBdr>
                    </w:div>
                  </w:divsChild>
                </w:div>
                <w:div w:id="337000062">
                  <w:marLeft w:val="0"/>
                  <w:marRight w:val="0"/>
                  <w:marTop w:val="0"/>
                  <w:marBottom w:val="0"/>
                  <w:divBdr>
                    <w:top w:val="none" w:sz="0" w:space="0" w:color="auto"/>
                    <w:left w:val="none" w:sz="0" w:space="0" w:color="auto"/>
                    <w:bottom w:val="none" w:sz="0" w:space="0" w:color="auto"/>
                    <w:right w:val="none" w:sz="0" w:space="0" w:color="auto"/>
                  </w:divBdr>
                  <w:divsChild>
                    <w:div w:id="59595579">
                      <w:marLeft w:val="0"/>
                      <w:marRight w:val="0"/>
                      <w:marTop w:val="0"/>
                      <w:marBottom w:val="0"/>
                      <w:divBdr>
                        <w:top w:val="none" w:sz="0" w:space="0" w:color="auto"/>
                        <w:left w:val="none" w:sz="0" w:space="0" w:color="auto"/>
                        <w:bottom w:val="none" w:sz="0" w:space="0" w:color="auto"/>
                        <w:right w:val="none" w:sz="0" w:space="0" w:color="auto"/>
                      </w:divBdr>
                    </w:div>
                  </w:divsChild>
                </w:div>
                <w:div w:id="365178718">
                  <w:marLeft w:val="0"/>
                  <w:marRight w:val="0"/>
                  <w:marTop w:val="0"/>
                  <w:marBottom w:val="0"/>
                  <w:divBdr>
                    <w:top w:val="none" w:sz="0" w:space="0" w:color="auto"/>
                    <w:left w:val="none" w:sz="0" w:space="0" w:color="auto"/>
                    <w:bottom w:val="none" w:sz="0" w:space="0" w:color="auto"/>
                    <w:right w:val="none" w:sz="0" w:space="0" w:color="auto"/>
                  </w:divBdr>
                  <w:divsChild>
                    <w:div w:id="1761759805">
                      <w:marLeft w:val="0"/>
                      <w:marRight w:val="0"/>
                      <w:marTop w:val="0"/>
                      <w:marBottom w:val="0"/>
                      <w:divBdr>
                        <w:top w:val="none" w:sz="0" w:space="0" w:color="auto"/>
                        <w:left w:val="none" w:sz="0" w:space="0" w:color="auto"/>
                        <w:bottom w:val="none" w:sz="0" w:space="0" w:color="auto"/>
                        <w:right w:val="none" w:sz="0" w:space="0" w:color="auto"/>
                      </w:divBdr>
                    </w:div>
                  </w:divsChild>
                </w:div>
                <w:div w:id="374701593">
                  <w:marLeft w:val="0"/>
                  <w:marRight w:val="0"/>
                  <w:marTop w:val="0"/>
                  <w:marBottom w:val="0"/>
                  <w:divBdr>
                    <w:top w:val="none" w:sz="0" w:space="0" w:color="auto"/>
                    <w:left w:val="none" w:sz="0" w:space="0" w:color="auto"/>
                    <w:bottom w:val="none" w:sz="0" w:space="0" w:color="auto"/>
                    <w:right w:val="none" w:sz="0" w:space="0" w:color="auto"/>
                  </w:divBdr>
                  <w:divsChild>
                    <w:div w:id="885457507">
                      <w:marLeft w:val="0"/>
                      <w:marRight w:val="0"/>
                      <w:marTop w:val="0"/>
                      <w:marBottom w:val="0"/>
                      <w:divBdr>
                        <w:top w:val="none" w:sz="0" w:space="0" w:color="auto"/>
                        <w:left w:val="none" w:sz="0" w:space="0" w:color="auto"/>
                        <w:bottom w:val="none" w:sz="0" w:space="0" w:color="auto"/>
                        <w:right w:val="none" w:sz="0" w:space="0" w:color="auto"/>
                      </w:divBdr>
                    </w:div>
                  </w:divsChild>
                </w:div>
                <w:div w:id="379940407">
                  <w:marLeft w:val="0"/>
                  <w:marRight w:val="0"/>
                  <w:marTop w:val="0"/>
                  <w:marBottom w:val="0"/>
                  <w:divBdr>
                    <w:top w:val="none" w:sz="0" w:space="0" w:color="auto"/>
                    <w:left w:val="none" w:sz="0" w:space="0" w:color="auto"/>
                    <w:bottom w:val="none" w:sz="0" w:space="0" w:color="auto"/>
                    <w:right w:val="none" w:sz="0" w:space="0" w:color="auto"/>
                  </w:divBdr>
                  <w:divsChild>
                    <w:div w:id="1499344142">
                      <w:marLeft w:val="0"/>
                      <w:marRight w:val="0"/>
                      <w:marTop w:val="0"/>
                      <w:marBottom w:val="0"/>
                      <w:divBdr>
                        <w:top w:val="none" w:sz="0" w:space="0" w:color="auto"/>
                        <w:left w:val="none" w:sz="0" w:space="0" w:color="auto"/>
                        <w:bottom w:val="none" w:sz="0" w:space="0" w:color="auto"/>
                        <w:right w:val="none" w:sz="0" w:space="0" w:color="auto"/>
                      </w:divBdr>
                    </w:div>
                  </w:divsChild>
                </w:div>
                <w:div w:id="385376542">
                  <w:marLeft w:val="0"/>
                  <w:marRight w:val="0"/>
                  <w:marTop w:val="0"/>
                  <w:marBottom w:val="0"/>
                  <w:divBdr>
                    <w:top w:val="none" w:sz="0" w:space="0" w:color="auto"/>
                    <w:left w:val="none" w:sz="0" w:space="0" w:color="auto"/>
                    <w:bottom w:val="none" w:sz="0" w:space="0" w:color="auto"/>
                    <w:right w:val="none" w:sz="0" w:space="0" w:color="auto"/>
                  </w:divBdr>
                  <w:divsChild>
                    <w:div w:id="423456272">
                      <w:marLeft w:val="0"/>
                      <w:marRight w:val="0"/>
                      <w:marTop w:val="0"/>
                      <w:marBottom w:val="0"/>
                      <w:divBdr>
                        <w:top w:val="none" w:sz="0" w:space="0" w:color="auto"/>
                        <w:left w:val="none" w:sz="0" w:space="0" w:color="auto"/>
                        <w:bottom w:val="none" w:sz="0" w:space="0" w:color="auto"/>
                        <w:right w:val="none" w:sz="0" w:space="0" w:color="auto"/>
                      </w:divBdr>
                    </w:div>
                  </w:divsChild>
                </w:div>
                <w:div w:id="408305263">
                  <w:marLeft w:val="0"/>
                  <w:marRight w:val="0"/>
                  <w:marTop w:val="0"/>
                  <w:marBottom w:val="0"/>
                  <w:divBdr>
                    <w:top w:val="none" w:sz="0" w:space="0" w:color="auto"/>
                    <w:left w:val="none" w:sz="0" w:space="0" w:color="auto"/>
                    <w:bottom w:val="none" w:sz="0" w:space="0" w:color="auto"/>
                    <w:right w:val="none" w:sz="0" w:space="0" w:color="auto"/>
                  </w:divBdr>
                  <w:divsChild>
                    <w:div w:id="1050106557">
                      <w:marLeft w:val="0"/>
                      <w:marRight w:val="0"/>
                      <w:marTop w:val="0"/>
                      <w:marBottom w:val="0"/>
                      <w:divBdr>
                        <w:top w:val="none" w:sz="0" w:space="0" w:color="auto"/>
                        <w:left w:val="none" w:sz="0" w:space="0" w:color="auto"/>
                        <w:bottom w:val="none" w:sz="0" w:space="0" w:color="auto"/>
                        <w:right w:val="none" w:sz="0" w:space="0" w:color="auto"/>
                      </w:divBdr>
                    </w:div>
                  </w:divsChild>
                </w:div>
                <w:div w:id="421226020">
                  <w:marLeft w:val="0"/>
                  <w:marRight w:val="0"/>
                  <w:marTop w:val="0"/>
                  <w:marBottom w:val="0"/>
                  <w:divBdr>
                    <w:top w:val="none" w:sz="0" w:space="0" w:color="auto"/>
                    <w:left w:val="none" w:sz="0" w:space="0" w:color="auto"/>
                    <w:bottom w:val="none" w:sz="0" w:space="0" w:color="auto"/>
                    <w:right w:val="none" w:sz="0" w:space="0" w:color="auto"/>
                  </w:divBdr>
                  <w:divsChild>
                    <w:div w:id="1948543841">
                      <w:marLeft w:val="0"/>
                      <w:marRight w:val="0"/>
                      <w:marTop w:val="0"/>
                      <w:marBottom w:val="0"/>
                      <w:divBdr>
                        <w:top w:val="none" w:sz="0" w:space="0" w:color="auto"/>
                        <w:left w:val="none" w:sz="0" w:space="0" w:color="auto"/>
                        <w:bottom w:val="none" w:sz="0" w:space="0" w:color="auto"/>
                        <w:right w:val="none" w:sz="0" w:space="0" w:color="auto"/>
                      </w:divBdr>
                    </w:div>
                  </w:divsChild>
                </w:div>
                <w:div w:id="433670563">
                  <w:marLeft w:val="0"/>
                  <w:marRight w:val="0"/>
                  <w:marTop w:val="0"/>
                  <w:marBottom w:val="0"/>
                  <w:divBdr>
                    <w:top w:val="none" w:sz="0" w:space="0" w:color="auto"/>
                    <w:left w:val="none" w:sz="0" w:space="0" w:color="auto"/>
                    <w:bottom w:val="none" w:sz="0" w:space="0" w:color="auto"/>
                    <w:right w:val="none" w:sz="0" w:space="0" w:color="auto"/>
                  </w:divBdr>
                  <w:divsChild>
                    <w:div w:id="2075354877">
                      <w:marLeft w:val="0"/>
                      <w:marRight w:val="0"/>
                      <w:marTop w:val="0"/>
                      <w:marBottom w:val="0"/>
                      <w:divBdr>
                        <w:top w:val="none" w:sz="0" w:space="0" w:color="auto"/>
                        <w:left w:val="none" w:sz="0" w:space="0" w:color="auto"/>
                        <w:bottom w:val="none" w:sz="0" w:space="0" w:color="auto"/>
                        <w:right w:val="none" w:sz="0" w:space="0" w:color="auto"/>
                      </w:divBdr>
                    </w:div>
                  </w:divsChild>
                </w:div>
                <w:div w:id="456485600">
                  <w:marLeft w:val="0"/>
                  <w:marRight w:val="0"/>
                  <w:marTop w:val="0"/>
                  <w:marBottom w:val="0"/>
                  <w:divBdr>
                    <w:top w:val="none" w:sz="0" w:space="0" w:color="auto"/>
                    <w:left w:val="none" w:sz="0" w:space="0" w:color="auto"/>
                    <w:bottom w:val="none" w:sz="0" w:space="0" w:color="auto"/>
                    <w:right w:val="none" w:sz="0" w:space="0" w:color="auto"/>
                  </w:divBdr>
                  <w:divsChild>
                    <w:div w:id="1388801583">
                      <w:marLeft w:val="0"/>
                      <w:marRight w:val="0"/>
                      <w:marTop w:val="0"/>
                      <w:marBottom w:val="0"/>
                      <w:divBdr>
                        <w:top w:val="none" w:sz="0" w:space="0" w:color="auto"/>
                        <w:left w:val="none" w:sz="0" w:space="0" w:color="auto"/>
                        <w:bottom w:val="none" w:sz="0" w:space="0" w:color="auto"/>
                        <w:right w:val="none" w:sz="0" w:space="0" w:color="auto"/>
                      </w:divBdr>
                    </w:div>
                  </w:divsChild>
                </w:div>
                <w:div w:id="463961862">
                  <w:marLeft w:val="0"/>
                  <w:marRight w:val="0"/>
                  <w:marTop w:val="0"/>
                  <w:marBottom w:val="0"/>
                  <w:divBdr>
                    <w:top w:val="none" w:sz="0" w:space="0" w:color="auto"/>
                    <w:left w:val="none" w:sz="0" w:space="0" w:color="auto"/>
                    <w:bottom w:val="none" w:sz="0" w:space="0" w:color="auto"/>
                    <w:right w:val="none" w:sz="0" w:space="0" w:color="auto"/>
                  </w:divBdr>
                  <w:divsChild>
                    <w:div w:id="1886526056">
                      <w:marLeft w:val="0"/>
                      <w:marRight w:val="0"/>
                      <w:marTop w:val="0"/>
                      <w:marBottom w:val="0"/>
                      <w:divBdr>
                        <w:top w:val="none" w:sz="0" w:space="0" w:color="auto"/>
                        <w:left w:val="none" w:sz="0" w:space="0" w:color="auto"/>
                        <w:bottom w:val="none" w:sz="0" w:space="0" w:color="auto"/>
                        <w:right w:val="none" w:sz="0" w:space="0" w:color="auto"/>
                      </w:divBdr>
                    </w:div>
                  </w:divsChild>
                </w:div>
                <w:div w:id="485242865">
                  <w:marLeft w:val="0"/>
                  <w:marRight w:val="0"/>
                  <w:marTop w:val="0"/>
                  <w:marBottom w:val="0"/>
                  <w:divBdr>
                    <w:top w:val="none" w:sz="0" w:space="0" w:color="auto"/>
                    <w:left w:val="none" w:sz="0" w:space="0" w:color="auto"/>
                    <w:bottom w:val="none" w:sz="0" w:space="0" w:color="auto"/>
                    <w:right w:val="none" w:sz="0" w:space="0" w:color="auto"/>
                  </w:divBdr>
                  <w:divsChild>
                    <w:div w:id="432439249">
                      <w:marLeft w:val="0"/>
                      <w:marRight w:val="0"/>
                      <w:marTop w:val="0"/>
                      <w:marBottom w:val="0"/>
                      <w:divBdr>
                        <w:top w:val="none" w:sz="0" w:space="0" w:color="auto"/>
                        <w:left w:val="none" w:sz="0" w:space="0" w:color="auto"/>
                        <w:bottom w:val="none" w:sz="0" w:space="0" w:color="auto"/>
                        <w:right w:val="none" w:sz="0" w:space="0" w:color="auto"/>
                      </w:divBdr>
                    </w:div>
                  </w:divsChild>
                </w:div>
                <w:div w:id="489365574">
                  <w:marLeft w:val="0"/>
                  <w:marRight w:val="0"/>
                  <w:marTop w:val="0"/>
                  <w:marBottom w:val="0"/>
                  <w:divBdr>
                    <w:top w:val="none" w:sz="0" w:space="0" w:color="auto"/>
                    <w:left w:val="none" w:sz="0" w:space="0" w:color="auto"/>
                    <w:bottom w:val="none" w:sz="0" w:space="0" w:color="auto"/>
                    <w:right w:val="none" w:sz="0" w:space="0" w:color="auto"/>
                  </w:divBdr>
                  <w:divsChild>
                    <w:div w:id="891648383">
                      <w:marLeft w:val="0"/>
                      <w:marRight w:val="0"/>
                      <w:marTop w:val="0"/>
                      <w:marBottom w:val="0"/>
                      <w:divBdr>
                        <w:top w:val="none" w:sz="0" w:space="0" w:color="auto"/>
                        <w:left w:val="none" w:sz="0" w:space="0" w:color="auto"/>
                        <w:bottom w:val="none" w:sz="0" w:space="0" w:color="auto"/>
                        <w:right w:val="none" w:sz="0" w:space="0" w:color="auto"/>
                      </w:divBdr>
                    </w:div>
                  </w:divsChild>
                </w:div>
                <w:div w:id="506483854">
                  <w:marLeft w:val="0"/>
                  <w:marRight w:val="0"/>
                  <w:marTop w:val="0"/>
                  <w:marBottom w:val="0"/>
                  <w:divBdr>
                    <w:top w:val="none" w:sz="0" w:space="0" w:color="auto"/>
                    <w:left w:val="none" w:sz="0" w:space="0" w:color="auto"/>
                    <w:bottom w:val="none" w:sz="0" w:space="0" w:color="auto"/>
                    <w:right w:val="none" w:sz="0" w:space="0" w:color="auto"/>
                  </w:divBdr>
                  <w:divsChild>
                    <w:div w:id="58943840">
                      <w:marLeft w:val="0"/>
                      <w:marRight w:val="0"/>
                      <w:marTop w:val="0"/>
                      <w:marBottom w:val="0"/>
                      <w:divBdr>
                        <w:top w:val="none" w:sz="0" w:space="0" w:color="auto"/>
                        <w:left w:val="none" w:sz="0" w:space="0" w:color="auto"/>
                        <w:bottom w:val="none" w:sz="0" w:space="0" w:color="auto"/>
                        <w:right w:val="none" w:sz="0" w:space="0" w:color="auto"/>
                      </w:divBdr>
                    </w:div>
                  </w:divsChild>
                </w:div>
                <w:div w:id="584654603">
                  <w:marLeft w:val="0"/>
                  <w:marRight w:val="0"/>
                  <w:marTop w:val="0"/>
                  <w:marBottom w:val="0"/>
                  <w:divBdr>
                    <w:top w:val="none" w:sz="0" w:space="0" w:color="auto"/>
                    <w:left w:val="none" w:sz="0" w:space="0" w:color="auto"/>
                    <w:bottom w:val="none" w:sz="0" w:space="0" w:color="auto"/>
                    <w:right w:val="none" w:sz="0" w:space="0" w:color="auto"/>
                  </w:divBdr>
                  <w:divsChild>
                    <w:div w:id="1901743113">
                      <w:marLeft w:val="0"/>
                      <w:marRight w:val="0"/>
                      <w:marTop w:val="0"/>
                      <w:marBottom w:val="0"/>
                      <w:divBdr>
                        <w:top w:val="none" w:sz="0" w:space="0" w:color="auto"/>
                        <w:left w:val="none" w:sz="0" w:space="0" w:color="auto"/>
                        <w:bottom w:val="none" w:sz="0" w:space="0" w:color="auto"/>
                        <w:right w:val="none" w:sz="0" w:space="0" w:color="auto"/>
                      </w:divBdr>
                    </w:div>
                  </w:divsChild>
                </w:div>
                <w:div w:id="650603682">
                  <w:marLeft w:val="0"/>
                  <w:marRight w:val="0"/>
                  <w:marTop w:val="0"/>
                  <w:marBottom w:val="0"/>
                  <w:divBdr>
                    <w:top w:val="none" w:sz="0" w:space="0" w:color="auto"/>
                    <w:left w:val="none" w:sz="0" w:space="0" w:color="auto"/>
                    <w:bottom w:val="none" w:sz="0" w:space="0" w:color="auto"/>
                    <w:right w:val="none" w:sz="0" w:space="0" w:color="auto"/>
                  </w:divBdr>
                  <w:divsChild>
                    <w:div w:id="416749944">
                      <w:marLeft w:val="0"/>
                      <w:marRight w:val="0"/>
                      <w:marTop w:val="0"/>
                      <w:marBottom w:val="0"/>
                      <w:divBdr>
                        <w:top w:val="none" w:sz="0" w:space="0" w:color="auto"/>
                        <w:left w:val="none" w:sz="0" w:space="0" w:color="auto"/>
                        <w:bottom w:val="none" w:sz="0" w:space="0" w:color="auto"/>
                        <w:right w:val="none" w:sz="0" w:space="0" w:color="auto"/>
                      </w:divBdr>
                    </w:div>
                  </w:divsChild>
                </w:div>
                <w:div w:id="658730209">
                  <w:marLeft w:val="0"/>
                  <w:marRight w:val="0"/>
                  <w:marTop w:val="0"/>
                  <w:marBottom w:val="0"/>
                  <w:divBdr>
                    <w:top w:val="none" w:sz="0" w:space="0" w:color="auto"/>
                    <w:left w:val="none" w:sz="0" w:space="0" w:color="auto"/>
                    <w:bottom w:val="none" w:sz="0" w:space="0" w:color="auto"/>
                    <w:right w:val="none" w:sz="0" w:space="0" w:color="auto"/>
                  </w:divBdr>
                  <w:divsChild>
                    <w:div w:id="1465848731">
                      <w:marLeft w:val="0"/>
                      <w:marRight w:val="0"/>
                      <w:marTop w:val="0"/>
                      <w:marBottom w:val="0"/>
                      <w:divBdr>
                        <w:top w:val="none" w:sz="0" w:space="0" w:color="auto"/>
                        <w:left w:val="none" w:sz="0" w:space="0" w:color="auto"/>
                        <w:bottom w:val="none" w:sz="0" w:space="0" w:color="auto"/>
                        <w:right w:val="none" w:sz="0" w:space="0" w:color="auto"/>
                      </w:divBdr>
                    </w:div>
                  </w:divsChild>
                </w:div>
                <w:div w:id="714699681">
                  <w:marLeft w:val="0"/>
                  <w:marRight w:val="0"/>
                  <w:marTop w:val="0"/>
                  <w:marBottom w:val="0"/>
                  <w:divBdr>
                    <w:top w:val="none" w:sz="0" w:space="0" w:color="auto"/>
                    <w:left w:val="none" w:sz="0" w:space="0" w:color="auto"/>
                    <w:bottom w:val="none" w:sz="0" w:space="0" w:color="auto"/>
                    <w:right w:val="none" w:sz="0" w:space="0" w:color="auto"/>
                  </w:divBdr>
                  <w:divsChild>
                    <w:div w:id="1577016624">
                      <w:marLeft w:val="0"/>
                      <w:marRight w:val="0"/>
                      <w:marTop w:val="0"/>
                      <w:marBottom w:val="0"/>
                      <w:divBdr>
                        <w:top w:val="none" w:sz="0" w:space="0" w:color="auto"/>
                        <w:left w:val="none" w:sz="0" w:space="0" w:color="auto"/>
                        <w:bottom w:val="none" w:sz="0" w:space="0" w:color="auto"/>
                        <w:right w:val="none" w:sz="0" w:space="0" w:color="auto"/>
                      </w:divBdr>
                    </w:div>
                  </w:divsChild>
                </w:div>
                <w:div w:id="727647560">
                  <w:marLeft w:val="0"/>
                  <w:marRight w:val="0"/>
                  <w:marTop w:val="0"/>
                  <w:marBottom w:val="0"/>
                  <w:divBdr>
                    <w:top w:val="none" w:sz="0" w:space="0" w:color="auto"/>
                    <w:left w:val="none" w:sz="0" w:space="0" w:color="auto"/>
                    <w:bottom w:val="none" w:sz="0" w:space="0" w:color="auto"/>
                    <w:right w:val="none" w:sz="0" w:space="0" w:color="auto"/>
                  </w:divBdr>
                  <w:divsChild>
                    <w:div w:id="1482429592">
                      <w:marLeft w:val="0"/>
                      <w:marRight w:val="0"/>
                      <w:marTop w:val="0"/>
                      <w:marBottom w:val="0"/>
                      <w:divBdr>
                        <w:top w:val="none" w:sz="0" w:space="0" w:color="auto"/>
                        <w:left w:val="none" w:sz="0" w:space="0" w:color="auto"/>
                        <w:bottom w:val="none" w:sz="0" w:space="0" w:color="auto"/>
                        <w:right w:val="none" w:sz="0" w:space="0" w:color="auto"/>
                      </w:divBdr>
                    </w:div>
                  </w:divsChild>
                </w:div>
                <w:div w:id="746878830">
                  <w:marLeft w:val="0"/>
                  <w:marRight w:val="0"/>
                  <w:marTop w:val="0"/>
                  <w:marBottom w:val="0"/>
                  <w:divBdr>
                    <w:top w:val="none" w:sz="0" w:space="0" w:color="auto"/>
                    <w:left w:val="none" w:sz="0" w:space="0" w:color="auto"/>
                    <w:bottom w:val="none" w:sz="0" w:space="0" w:color="auto"/>
                    <w:right w:val="none" w:sz="0" w:space="0" w:color="auto"/>
                  </w:divBdr>
                  <w:divsChild>
                    <w:div w:id="599096653">
                      <w:marLeft w:val="0"/>
                      <w:marRight w:val="0"/>
                      <w:marTop w:val="0"/>
                      <w:marBottom w:val="0"/>
                      <w:divBdr>
                        <w:top w:val="none" w:sz="0" w:space="0" w:color="auto"/>
                        <w:left w:val="none" w:sz="0" w:space="0" w:color="auto"/>
                        <w:bottom w:val="none" w:sz="0" w:space="0" w:color="auto"/>
                        <w:right w:val="none" w:sz="0" w:space="0" w:color="auto"/>
                      </w:divBdr>
                    </w:div>
                  </w:divsChild>
                </w:div>
                <w:div w:id="771559424">
                  <w:marLeft w:val="0"/>
                  <w:marRight w:val="0"/>
                  <w:marTop w:val="0"/>
                  <w:marBottom w:val="0"/>
                  <w:divBdr>
                    <w:top w:val="none" w:sz="0" w:space="0" w:color="auto"/>
                    <w:left w:val="none" w:sz="0" w:space="0" w:color="auto"/>
                    <w:bottom w:val="none" w:sz="0" w:space="0" w:color="auto"/>
                    <w:right w:val="none" w:sz="0" w:space="0" w:color="auto"/>
                  </w:divBdr>
                  <w:divsChild>
                    <w:div w:id="337080175">
                      <w:marLeft w:val="0"/>
                      <w:marRight w:val="0"/>
                      <w:marTop w:val="0"/>
                      <w:marBottom w:val="0"/>
                      <w:divBdr>
                        <w:top w:val="none" w:sz="0" w:space="0" w:color="auto"/>
                        <w:left w:val="none" w:sz="0" w:space="0" w:color="auto"/>
                        <w:bottom w:val="none" w:sz="0" w:space="0" w:color="auto"/>
                        <w:right w:val="none" w:sz="0" w:space="0" w:color="auto"/>
                      </w:divBdr>
                    </w:div>
                  </w:divsChild>
                </w:div>
                <w:div w:id="774834876">
                  <w:marLeft w:val="0"/>
                  <w:marRight w:val="0"/>
                  <w:marTop w:val="0"/>
                  <w:marBottom w:val="0"/>
                  <w:divBdr>
                    <w:top w:val="none" w:sz="0" w:space="0" w:color="auto"/>
                    <w:left w:val="none" w:sz="0" w:space="0" w:color="auto"/>
                    <w:bottom w:val="none" w:sz="0" w:space="0" w:color="auto"/>
                    <w:right w:val="none" w:sz="0" w:space="0" w:color="auto"/>
                  </w:divBdr>
                  <w:divsChild>
                    <w:div w:id="1792749155">
                      <w:marLeft w:val="0"/>
                      <w:marRight w:val="0"/>
                      <w:marTop w:val="0"/>
                      <w:marBottom w:val="0"/>
                      <w:divBdr>
                        <w:top w:val="none" w:sz="0" w:space="0" w:color="auto"/>
                        <w:left w:val="none" w:sz="0" w:space="0" w:color="auto"/>
                        <w:bottom w:val="none" w:sz="0" w:space="0" w:color="auto"/>
                        <w:right w:val="none" w:sz="0" w:space="0" w:color="auto"/>
                      </w:divBdr>
                    </w:div>
                  </w:divsChild>
                </w:div>
                <w:div w:id="786893212">
                  <w:marLeft w:val="0"/>
                  <w:marRight w:val="0"/>
                  <w:marTop w:val="0"/>
                  <w:marBottom w:val="0"/>
                  <w:divBdr>
                    <w:top w:val="none" w:sz="0" w:space="0" w:color="auto"/>
                    <w:left w:val="none" w:sz="0" w:space="0" w:color="auto"/>
                    <w:bottom w:val="none" w:sz="0" w:space="0" w:color="auto"/>
                    <w:right w:val="none" w:sz="0" w:space="0" w:color="auto"/>
                  </w:divBdr>
                  <w:divsChild>
                    <w:div w:id="99224284">
                      <w:marLeft w:val="0"/>
                      <w:marRight w:val="0"/>
                      <w:marTop w:val="0"/>
                      <w:marBottom w:val="0"/>
                      <w:divBdr>
                        <w:top w:val="none" w:sz="0" w:space="0" w:color="auto"/>
                        <w:left w:val="none" w:sz="0" w:space="0" w:color="auto"/>
                        <w:bottom w:val="none" w:sz="0" w:space="0" w:color="auto"/>
                        <w:right w:val="none" w:sz="0" w:space="0" w:color="auto"/>
                      </w:divBdr>
                    </w:div>
                  </w:divsChild>
                </w:div>
                <w:div w:id="793673248">
                  <w:marLeft w:val="0"/>
                  <w:marRight w:val="0"/>
                  <w:marTop w:val="0"/>
                  <w:marBottom w:val="0"/>
                  <w:divBdr>
                    <w:top w:val="none" w:sz="0" w:space="0" w:color="auto"/>
                    <w:left w:val="none" w:sz="0" w:space="0" w:color="auto"/>
                    <w:bottom w:val="none" w:sz="0" w:space="0" w:color="auto"/>
                    <w:right w:val="none" w:sz="0" w:space="0" w:color="auto"/>
                  </w:divBdr>
                  <w:divsChild>
                    <w:div w:id="912590005">
                      <w:marLeft w:val="0"/>
                      <w:marRight w:val="0"/>
                      <w:marTop w:val="0"/>
                      <w:marBottom w:val="0"/>
                      <w:divBdr>
                        <w:top w:val="none" w:sz="0" w:space="0" w:color="auto"/>
                        <w:left w:val="none" w:sz="0" w:space="0" w:color="auto"/>
                        <w:bottom w:val="none" w:sz="0" w:space="0" w:color="auto"/>
                        <w:right w:val="none" w:sz="0" w:space="0" w:color="auto"/>
                      </w:divBdr>
                    </w:div>
                  </w:divsChild>
                </w:div>
                <w:div w:id="801533413">
                  <w:marLeft w:val="0"/>
                  <w:marRight w:val="0"/>
                  <w:marTop w:val="0"/>
                  <w:marBottom w:val="0"/>
                  <w:divBdr>
                    <w:top w:val="none" w:sz="0" w:space="0" w:color="auto"/>
                    <w:left w:val="none" w:sz="0" w:space="0" w:color="auto"/>
                    <w:bottom w:val="none" w:sz="0" w:space="0" w:color="auto"/>
                    <w:right w:val="none" w:sz="0" w:space="0" w:color="auto"/>
                  </w:divBdr>
                  <w:divsChild>
                    <w:div w:id="1323922294">
                      <w:marLeft w:val="0"/>
                      <w:marRight w:val="0"/>
                      <w:marTop w:val="0"/>
                      <w:marBottom w:val="0"/>
                      <w:divBdr>
                        <w:top w:val="none" w:sz="0" w:space="0" w:color="auto"/>
                        <w:left w:val="none" w:sz="0" w:space="0" w:color="auto"/>
                        <w:bottom w:val="none" w:sz="0" w:space="0" w:color="auto"/>
                        <w:right w:val="none" w:sz="0" w:space="0" w:color="auto"/>
                      </w:divBdr>
                    </w:div>
                  </w:divsChild>
                </w:div>
                <w:div w:id="803426834">
                  <w:marLeft w:val="0"/>
                  <w:marRight w:val="0"/>
                  <w:marTop w:val="0"/>
                  <w:marBottom w:val="0"/>
                  <w:divBdr>
                    <w:top w:val="none" w:sz="0" w:space="0" w:color="auto"/>
                    <w:left w:val="none" w:sz="0" w:space="0" w:color="auto"/>
                    <w:bottom w:val="none" w:sz="0" w:space="0" w:color="auto"/>
                    <w:right w:val="none" w:sz="0" w:space="0" w:color="auto"/>
                  </w:divBdr>
                  <w:divsChild>
                    <w:div w:id="1474525804">
                      <w:marLeft w:val="0"/>
                      <w:marRight w:val="0"/>
                      <w:marTop w:val="0"/>
                      <w:marBottom w:val="0"/>
                      <w:divBdr>
                        <w:top w:val="none" w:sz="0" w:space="0" w:color="auto"/>
                        <w:left w:val="none" w:sz="0" w:space="0" w:color="auto"/>
                        <w:bottom w:val="none" w:sz="0" w:space="0" w:color="auto"/>
                        <w:right w:val="none" w:sz="0" w:space="0" w:color="auto"/>
                      </w:divBdr>
                    </w:div>
                  </w:divsChild>
                </w:div>
                <w:div w:id="844630345">
                  <w:marLeft w:val="0"/>
                  <w:marRight w:val="0"/>
                  <w:marTop w:val="0"/>
                  <w:marBottom w:val="0"/>
                  <w:divBdr>
                    <w:top w:val="none" w:sz="0" w:space="0" w:color="auto"/>
                    <w:left w:val="none" w:sz="0" w:space="0" w:color="auto"/>
                    <w:bottom w:val="none" w:sz="0" w:space="0" w:color="auto"/>
                    <w:right w:val="none" w:sz="0" w:space="0" w:color="auto"/>
                  </w:divBdr>
                  <w:divsChild>
                    <w:div w:id="204291067">
                      <w:marLeft w:val="0"/>
                      <w:marRight w:val="0"/>
                      <w:marTop w:val="0"/>
                      <w:marBottom w:val="0"/>
                      <w:divBdr>
                        <w:top w:val="none" w:sz="0" w:space="0" w:color="auto"/>
                        <w:left w:val="none" w:sz="0" w:space="0" w:color="auto"/>
                        <w:bottom w:val="none" w:sz="0" w:space="0" w:color="auto"/>
                        <w:right w:val="none" w:sz="0" w:space="0" w:color="auto"/>
                      </w:divBdr>
                    </w:div>
                    <w:div w:id="824200012">
                      <w:marLeft w:val="0"/>
                      <w:marRight w:val="0"/>
                      <w:marTop w:val="0"/>
                      <w:marBottom w:val="0"/>
                      <w:divBdr>
                        <w:top w:val="none" w:sz="0" w:space="0" w:color="auto"/>
                        <w:left w:val="none" w:sz="0" w:space="0" w:color="auto"/>
                        <w:bottom w:val="none" w:sz="0" w:space="0" w:color="auto"/>
                        <w:right w:val="none" w:sz="0" w:space="0" w:color="auto"/>
                      </w:divBdr>
                    </w:div>
                  </w:divsChild>
                </w:div>
                <w:div w:id="853569273">
                  <w:marLeft w:val="0"/>
                  <w:marRight w:val="0"/>
                  <w:marTop w:val="0"/>
                  <w:marBottom w:val="0"/>
                  <w:divBdr>
                    <w:top w:val="none" w:sz="0" w:space="0" w:color="auto"/>
                    <w:left w:val="none" w:sz="0" w:space="0" w:color="auto"/>
                    <w:bottom w:val="none" w:sz="0" w:space="0" w:color="auto"/>
                    <w:right w:val="none" w:sz="0" w:space="0" w:color="auto"/>
                  </w:divBdr>
                  <w:divsChild>
                    <w:div w:id="1526796334">
                      <w:marLeft w:val="0"/>
                      <w:marRight w:val="0"/>
                      <w:marTop w:val="0"/>
                      <w:marBottom w:val="0"/>
                      <w:divBdr>
                        <w:top w:val="none" w:sz="0" w:space="0" w:color="auto"/>
                        <w:left w:val="none" w:sz="0" w:space="0" w:color="auto"/>
                        <w:bottom w:val="none" w:sz="0" w:space="0" w:color="auto"/>
                        <w:right w:val="none" w:sz="0" w:space="0" w:color="auto"/>
                      </w:divBdr>
                    </w:div>
                  </w:divsChild>
                </w:div>
                <w:div w:id="869152392">
                  <w:marLeft w:val="0"/>
                  <w:marRight w:val="0"/>
                  <w:marTop w:val="0"/>
                  <w:marBottom w:val="0"/>
                  <w:divBdr>
                    <w:top w:val="none" w:sz="0" w:space="0" w:color="auto"/>
                    <w:left w:val="none" w:sz="0" w:space="0" w:color="auto"/>
                    <w:bottom w:val="none" w:sz="0" w:space="0" w:color="auto"/>
                    <w:right w:val="none" w:sz="0" w:space="0" w:color="auto"/>
                  </w:divBdr>
                  <w:divsChild>
                    <w:div w:id="12460723">
                      <w:marLeft w:val="0"/>
                      <w:marRight w:val="0"/>
                      <w:marTop w:val="0"/>
                      <w:marBottom w:val="0"/>
                      <w:divBdr>
                        <w:top w:val="none" w:sz="0" w:space="0" w:color="auto"/>
                        <w:left w:val="none" w:sz="0" w:space="0" w:color="auto"/>
                        <w:bottom w:val="none" w:sz="0" w:space="0" w:color="auto"/>
                        <w:right w:val="none" w:sz="0" w:space="0" w:color="auto"/>
                      </w:divBdr>
                    </w:div>
                  </w:divsChild>
                </w:div>
                <w:div w:id="905994372">
                  <w:marLeft w:val="0"/>
                  <w:marRight w:val="0"/>
                  <w:marTop w:val="0"/>
                  <w:marBottom w:val="0"/>
                  <w:divBdr>
                    <w:top w:val="none" w:sz="0" w:space="0" w:color="auto"/>
                    <w:left w:val="none" w:sz="0" w:space="0" w:color="auto"/>
                    <w:bottom w:val="none" w:sz="0" w:space="0" w:color="auto"/>
                    <w:right w:val="none" w:sz="0" w:space="0" w:color="auto"/>
                  </w:divBdr>
                  <w:divsChild>
                    <w:div w:id="892544878">
                      <w:marLeft w:val="0"/>
                      <w:marRight w:val="0"/>
                      <w:marTop w:val="0"/>
                      <w:marBottom w:val="0"/>
                      <w:divBdr>
                        <w:top w:val="none" w:sz="0" w:space="0" w:color="auto"/>
                        <w:left w:val="none" w:sz="0" w:space="0" w:color="auto"/>
                        <w:bottom w:val="none" w:sz="0" w:space="0" w:color="auto"/>
                        <w:right w:val="none" w:sz="0" w:space="0" w:color="auto"/>
                      </w:divBdr>
                    </w:div>
                  </w:divsChild>
                </w:div>
                <w:div w:id="915092316">
                  <w:marLeft w:val="0"/>
                  <w:marRight w:val="0"/>
                  <w:marTop w:val="0"/>
                  <w:marBottom w:val="0"/>
                  <w:divBdr>
                    <w:top w:val="none" w:sz="0" w:space="0" w:color="auto"/>
                    <w:left w:val="none" w:sz="0" w:space="0" w:color="auto"/>
                    <w:bottom w:val="none" w:sz="0" w:space="0" w:color="auto"/>
                    <w:right w:val="none" w:sz="0" w:space="0" w:color="auto"/>
                  </w:divBdr>
                  <w:divsChild>
                    <w:div w:id="1971671898">
                      <w:marLeft w:val="0"/>
                      <w:marRight w:val="0"/>
                      <w:marTop w:val="0"/>
                      <w:marBottom w:val="0"/>
                      <w:divBdr>
                        <w:top w:val="none" w:sz="0" w:space="0" w:color="auto"/>
                        <w:left w:val="none" w:sz="0" w:space="0" w:color="auto"/>
                        <w:bottom w:val="none" w:sz="0" w:space="0" w:color="auto"/>
                        <w:right w:val="none" w:sz="0" w:space="0" w:color="auto"/>
                      </w:divBdr>
                    </w:div>
                  </w:divsChild>
                </w:div>
                <w:div w:id="928000891">
                  <w:marLeft w:val="0"/>
                  <w:marRight w:val="0"/>
                  <w:marTop w:val="0"/>
                  <w:marBottom w:val="0"/>
                  <w:divBdr>
                    <w:top w:val="none" w:sz="0" w:space="0" w:color="auto"/>
                    <w:left w:val="none" w:sz="0" w:space="0" w:color="auto"/>
                    <w:bottom w:val="none" w:sz="0" w:space="0" w:color="auto"/>
                    <w:right w:val="none" w:sz="0" w:space="0" w:color="auto"/>
                  </w:divBdr>
                  <w:divsChild>
                    <w:div w:id="1606304814">
                      <w:marLeft w:val="0"/>
                      <w:marRight w:val="0"/>
                      <w:marTop w:val="0"/>
                      <w:marBottom w:val="0"/>
                      <w:divBdr>
                        <w:top w:val="none" w:sz="0" w:space="0" w:color="auto"/>
                        <w:left w:val="none" w:sz="0" w:space="0" w:color="auto"/>
                        <w:bottom w:val="none" w:sz="0" w:space="0" w:color="auto"/>
                        <w:right w:val="none" w:sz="0" w:space="0" w:color="auto"/>
                      </w:divBdr>
                    </w:div>
                  </w:divsChild>
                </w:div>
                <w:div w:id="951983366">
                  <w:marLeft w:val="0"/>
                  <w:marRight w:val="0"/>
                  <w:marTop w:val="0"/>
                  <w:marBottom w:val="0"/>
                  <w:divBdr>
                    <w:top w:val="none" w:sz="0" w:space="0" w:color="auto"/>
                    <w:left w:val="none" w:sz="0" w:space="0" w:color="auto"/>
                    <w:bottom w:val="none" w:sz="0" w:space="0" w:color="auto"/>
                    <w:right w:val="none" w:sz="0" w:space="0" w:color="auto"/>
                  </w:divBdr>
                  <w:divsChild>
                    <w:div w:id="181554369">
                      <w:marLeft w:val="0"/>
                      <w:marRight w:val="0"/>
                      <w:marTop w:val="0"/>
                      <w:marBottom w:val="0"/>
                      <w:divBdr>
                        <w:top w:val="none" w:sz="0" w:space="0" w:color="auto"/>
                        <w:left w:val="none" w:sz="0" w:space="0" w:color="auto"/>
                        <w:bottom w:val="none" w:sz="0" w:space="0" w:color="auto"/>
                        <w:right w:val="none" w:sz="0" w:space="0" w:color="auto"/>
                      </w:divBdr>
                    </w:div>
                  </w:divsChild>
                </w:div>
                <w:div w:id="1019040729">
                  <w:marLeft w:val="0"/>
                  <w:marRight w:val="0"/>
                  <w:marTop w:val="0"/>
                  <w:marBottom w:val="0"/>
                  <w:divBdr>
                    <w:top w:val="none" w:sz="0" w:space="0" w:color="auto"/>
                    <w:left w:val="none" w:sz="0" w:space="0" w:color="auto"/>
                    <w:bottom w:val="none" w:sz="0" w:space="0" w:color="auto"/>
                    <w:right w:val="none" w:sz="0" w:space="0" w:color="auto"/>
                  </w:divBdr>
                  <w:divsChild>
                    <w:div w:id="1265574986">
                      <w:marLeft w:val="0"/>
                      <w:marRight w:val="0"/>
                      <w:marTop w:val="0"/>
                      <w:marBottom w:val="0"/>
                      <w:divBdr>
                        <w:top w:val="none" w:sz="0" w:space="0" w:color="auto"/>
                        <w:left w:val="none" w:sz="0" w:space="0" w:color="auto"/>
                        <w:bottom w:val="none" w:sz="0" w:space="0" w:color="auto"/>
                        <w:right w:val="none" w:sz="0" w:space="0" w:color="auto"/>
                      </w:divBdr>
                    </w:div>
                  </w:divsChild>
                </w:div>
                <w:div w:id="1037854567">
                  <w:marLeft w:val="0"/>
                  <w:marRight w:val="0"/>
                  <w:marTop w:val="0"/>
                  <w:marBottom w:val="0"/>
                  <w:divBdr>
                    <w:top w:val="none" w:sz="0" w:space="0" w:color="auto"/>
                    <w:left w:val="none" w:sz="0" w:space="0" w:color="auto"/>
                    <w:bottom w:val="none" w:sz="0" w:space="0" w:color="auto"/>
                    <w:right w:val="none" w:sz="0" w:space="0" w:color="auto"/>
                  </w:divBdr>
                  <w:divsChild>
                    <w:div w:id="1105687205">
                      <w:marLeft w:val="0"/>
                      <w:marRight w:val="0"/>
                      <w:marTop w:val="0"/>
                      <w:marBottom w:val="0"/>
                      <w:divBdr>
                        <w:top w:val="none" w:sz="0" w:space="0" w:color="auto"/>
                        <w:left w:val="none" w:sz="0" w:space="0" w:color="auto"/>
                        <w:bottom w:val="none" w:sz="0" w:space="0" w:color="auto"/>
                        <w:right w:val="none" w:sz="0" w:space="0" w:color="auto"/>
                      </w:divBdr>
                    </w:div>
                  </w:divsChild>
                </w:div>
                <w:div w:id="1038971769">
                  <w:marLeft w:val="0"/>
                  <w:marRight w:val="0"/>
                  <w:marTop w:val="0"/>
                  <w:marBottom w:val="0"/>
                  <w:divBdr>
                    <w:top w:val="none" w:sz="0" w:space="0" w:color="auto"/>
                    <w:left w:val="none" w:sz="0" w:space="0" w:color="auto"/>
                    <w:bottom w:val="none" w:sz="0" w:space="0" w:color="auto"/>
                    <w:right w:val="none" w:sz="0" w:space="0" w:color="auto"/>
                  </w:divBdr>
                  <w:divsChild>
                    <w:div w:id="277414610">
                      <w:marLeft w:val="0"/>
                      <w:marRight w:val="0"/>
                      <w:marTop w:val="0"/>
                      <w:marBottom w:val="0"/>
                      <w:divBdr>
                        <w:top w:val="none" w:sz="0" w:space="0" w:color="auto"/>
                        <w:left w:val="none" w:sz="0" w:space="0" w:color="auto"/>
                        <w:bottom w:val="none" w:sz="0" w:space="0" w:color="auto"/>
                        <w:right w:val="none" w:sz="0" w:space="0" w:color="auto"/>
                      </w:divBdr>
                    </w:div>
                  </w:divsChild>
                </w:div>
                <w:div w:id="1053040833">
                  <w:marLeft w:val="0"/>
                  <w:marRight w:val="0"/>
                  <w:marTop w:val="0"/>
                  <w:marBottom w:val="0"/>
                  <w:divBdr>
                    <w:top w:val="none" w:sz="0" w:space="0" w:color="auto"/>
                    <w:left w:val="none" w:sz="0" w:space="0" w:color="auto"/>
                    <w:bottom w:val="none" w:sz="0" w:space="0" w:color="auto"/>
                    <w:right w:val="none" w:sz="0" w:space="0" w:color="auto"/>
                  </w:divBdr>
                  <w:divsChild>
                    <w:div w:id="156266876">
                      <w:marLeft w:val="0"/>
                      <w:marRight w:val="0"/>
                      <w:marTop w:val="0"/>
                      <w:marBottom w:val="0"/>
                      <w:divBdr>
                        <w:top w:val="none" w:sz="0" w:space="0" w:color="auto"/>
                        <w:left w:val="none" w:sz="0" w:space="0" w:color="auto"/>
                        <w:bottom w:val="none" w:sz="0" w:space="0" w:color="auto"/>
                        <w:right w:val="none" w:sz="0" w:space="0" w:color="auto"/>
                      </w:divBdr>
                    </w:div>
                  </w:divsChild>
                </w:div>
                <w:div w:id="1078484573">
                  <w:marLeft w:val="0"/>
                  <w:marRight w:val="0"/>
                  <w:marTop w:val="0"/>
                  <w:marBottom w:val="0"/>
                  <w:divBdr>
                    <w:top w:val="none" w:sz="0" w:space="0" w:color="auto"/>
                    <w:left w:val="none" w:sz="0" w:space="0" w:color="auto"/>
                    <w:bottom w:val="none" w:sz="0" w:space="0" w:color="auto"/>
                    <w:right w:val="none" w:sz="0" w:space="0" w:color="auto"/>
                  </w:divBdr>
                  <w:divsChild>
                    <w:div w:id="829249073">
                      <w:marLeft w:val="0"/>
                      <w:marRight w:val="0"/>
                      <w:marTop w:val="0"/>
                      <w:marBottom w:val="0"/>
                      <w:divBdr>
                        <w:top w:val="none" w:sz="0" w:space="0" w:color="auto"/>
                        <w:left w:val="none" w:sz="0" w:space="0" w:color="auto"/>
                        <w:bottom w:val="none" w:sz="0" w:space="0" w:color="auto"/>
                        <w:right w:val="none" w:sz="0" w:space="0" w:color="auto"/>
                      </w:divBdr>
                    </w:div>
                  </w:divsChild>
                </w:div>
                <w:div w:id="1091270080">
                  <w:marLeft w:val="0"/>
                  <w:marRight w:val="0"/>
                  <w:marTop w:val="0"/>
                  <w:marBottom w:val="0"/>
                  <w:divBdr>
                    <w:top w:val="none" w:sz="0" w:space="0" w:color="auto"/>
                    <w:left w:val="none" w:sz="0" w:space="0" w:color="auto"/>
                    <w:bottom w:val="none" w:sz="0" w:space="0" w:color="auto"/>
                    <w:right w:val="none" w:sz="0" w:space="0" w:color="auto"/>
                  </w:divBdr>
                  <w:divsChild>
                    <w:div w:id="1872260876">
                      <w:marLeft w:val="0"/>
                      <w:marRight w:val="0"/>
                      <w:marTop w:val="0"/>
                      <w:marBottom w:val="0"/>
                      <w:divBdr>
                        <w:top w:val="none" w:sz="0" w:space="0" w:color="auto"/>
                        <w:left w:val="none" w:sz="0" w:space="0" w:color="auto"/>
                        <w:bottom w:val="none" w:sz="0" w:space="0" w:color="auto"/>
                        <w:right w:val="none" w:sz="0" w:space="0" w:color="auto"/>
                      </w:divBdr>
                    </w:div>
                  </w:divsChild>
                </w:div>
                <w:div w:id="1135753592">
                  <w:marLeft w:val="0"/>
                  <w:marRight w:val="0"/>
                  <w:marTop w:val="0"/>
                  <w:marBottom w:val="0"/>
                  <w:divBdr>
                    <w:top w:val="none" w:sz="0" w:space="0" w:color="auto"/>
                    <w:left w:val="none" w:sz="0" w:space="0" w:color="auto"/>
                    <w:bottom w:val="none" w:sz="0" w:space="0" w:color="auto"/>
                    <w:right w:val="none" w:sz="0" w:space="0" w:color="auto"/>
                  </w:divBdr>
                  <w:divsChild>
                    <w:div w:id="1709986887">
                      <w:marLeft w:val="0"/>
                      <w:marRight w:val="0"/>
                      <w:marTop w:val="0"/>
                      <w:marBottom w:val="0"/>
                      <w:divBdr>
                        <w:top w:val="none" w:sz="0" w:space="0" w:color="auto"/>
                        <w:left w:val="none" w:sz="0" w:space="0" w:color="auto"/>
                        <w:bottom w:val="none" w:sz="0" w:space="0" w:color="auto"/>
                        <w:right w:val="none" w:sz="0" w:space="0" w:color="auto"/>
                      </w:divBdr>
                    </w:div>
                  </w:divsChild>
                </w:div>
                <w:div w:id="1195000321">
                  <w:marLeft w:val="0"/>
                  <w:marRight w:val="0"/>
                  <w:marTop w:val="0"/>
                  <w:marBottom w:val="0"/>
                  <w:divBdr>
                    <w:top w:val="none" w:sz="0" w:space="0" w:color="auto"/>
                    <w:left w:val="none" w:sz="0" w:space="0" w:color="auto"/>
                    <w:bottom w:val="none" w:sz="0" w:space="0" w:color="auto"/>
                    <w:right w:val="none" w:sz="0" w:space="0" w:color="auto"/>
                  </w:divBdr>
                  <w:divsChild>
                    <w:div w:id="211113628">
                      <w:marLeft w:val="0"/>
                      <w:marRight w:val="0"/>
                      <w:marTop w:val="0"/>
                      <w:marBottom w:val="0"/>
                      <w:divBdr>
                        <w:top w:val="none" w:sz="0" w:space="0" w:color="auto"/>
                        <w:left w:val="none" w:sz="0" w:space="0" w:color="auto"/>
                        <w:bottom w:val="none" w:sz="0" w:space="0" w:color="auto"/>
                        <w:right w:val="none" w:sz="0" w:space="0" w:color="auto"/>
                      </w:divBdr>
                    </w:div>
                  </w:divsChild>
                </w:div>
                <w:div w:id="1223709508">
                  <w:marLeft w:val="0"/>
                  <w:marRight w:val="0"/>
                  <w:marTop w:val="0"/>
                  <w:marBottom w:val="0"/>
                  <w:divBdr>
                    <w:top w:val="none" w:sz="0" w:space="0" w:color="auto"/>
                    <w:left w:val="none" w:sz="0" w:space="0" w:color="auto"/>
                    <w:bottom w:val="none" w:sz="0" w:space="0" w:color="auto"/>
                    <w:right w:val="none" w:sz="0" w:space="0" w:color="auto"/>
                  </w:divBdr>
                  <w:divsChild>
                    <w:div w:id="1897161476">
                      <w:marLeft w:val="0"/>
                      <w:marRight w:val="0"/>
                      <w:marTop w:val="0"/>
                      <w:marBottom w:val="0"/>
                      <w:divBdr>
                        <w:top w:val="none" w:sz="0" w:space="0" w:color="auto"/>
                        <w:left w:val="none" w:sz="0" w:space="0" w:color="auto"/>
                        <w:bottom w:val="none" w:sz="0" w:space="0" w:color="auto"/>
                        <w:right w:val="none" w:sz="0" w:space="0" w:color="auto"/>
                      </w:divBdr>
                    </w:div>
                  </w:divsChild>
                </w:div>
                <w:div w:id="1244877277">
                  <w:marLeft w:val="0"/>
                  <w:marRight w:val="0"/>
                  <w:marTop w:val="0"/>
                  <w:marBottom w:val="0"/>
                  <w:divBdr>
                    <w:top w:val="none" w:sz="0" w:space="0" w:color="auto"/>
                    <w:left w:val="none" w:sz="0" w:space="0" w:color="auto"/>
                    <w:bottom w:val="none" w:sz="0" w:space="0" w:color="auto"/>
                    <w:right w:val="none" w:sz="0" w:space="0" w:color="auto"/>
                  </w:divBdr>
                  <w:divsChild>
                    <w:div w:id="1808891358">
                      <w:marLeft w:val="0"/>
                      <w:marRight w:val="0"/>
                      <w:marTop w:val="0"/>
                      <w:marBottom w:val="0"/>
                      <w:divBdr>
                        <w:top w:val="none" w:sz="0" w:space="0" w:color="auto"/>
                        <w:left w:val="none" w:sz="0" w:space="0" w:color="auto"/>
                        <w:bottom w:val="none" w:sz="0" w:space="0" w:color="auto"/>
                        <w:right w:val="none" w:sz="0" w:space="0" w:color="auto"/>
                      </w:divBdr>
                    </w:div>
                  </w:divsChild>
                </w:div>
                <w:div w:id="1291668345">
                  <w:marLeft w:val="0"/>
                  <w:marRight w:val="0"/>
                  <w:marTop w:val="0"/>
                  <w:marBottom w:val="0"/>
                  <w:divBdr>
                    <w:top w:val="none" w:sz="0" w:space="0" w:color="auto"/>
                    <w:left w:val="none" w:sz="0" w:space="0" w:color="auto"/>
                    <w:bottom w:val="none" w:sz="0" w:space="0" w:color="auto"/>
                    <w:right w:val="none" w:sz="0" w:space="0" w:color="auto"/>
                  </w:divBdr>
                  <w:divsChild>
                    <w:div w:id="169877705">
                      <w:marLeft w:val="0"/>
                      <w:marRight w:val="0"/>
                      <w:marTop w:val="0"/>
                      <w:marBottom w:val="0"/>
                      <w:divBdr>
                        <w:top w:val="none" w:sz="0" w:space="0" w:color="auto"/>
                        <w:left w:val="none" w:sz="0" w:space="0" w:color="auto"/>
                        <w:bottom w:val="none" w:sz="0" w:space="0" w:color="auto"/>
                        <w:right w:val="none" w:sz="0" w:space="0" w:color="auto"/>
                      </w:divBdr>
                    </w:div>
                  </w:divsChild>
                </w:div>
                <w:div w:id="1322001202">
                  <w:marLeft w:val="0"/>
                  <w:marRight w:val="0"/>
                  <w:marTop w:val="0"/>
                  <w:marBottom w:val="0"/>
                  <w:divBdr>
                    <w:top w:val="none" w:sz="0" w:space="0" w:color="auto"/>
                    <w:left w:val="none" w:sz="0" w:space="0" w:color="auto"/>
                    <w:bottom w:val="none" w:sz="0" w:space="0" w:color="auto"/>
                    <w:right w:val="none" w:sz="0" w:space="0" w:color="auto"/>
                  </w:divBdr>
                  <w:divsChild>
                    <w:div w:id="2132936530">
                      <w:marLeft w:val="0"/>
                      <w:marRight w:val="0"/>
                      <w:marTop w:val="0"/>
                      <w:marBottom w:val="0"/>
                      <w:divBdr>
                        <w:top w:val="none" w:sz="0" w:space="0" w:color="auto"/>
                        <w:left w:val="none" w:sz="0" w:space="0" w:color="auto"/>
                        <w:bottom w:val="none" w:sz="0" w:space="0" w:color="auto"/>
                        <w:right w:val="none" w:sz="0" w:space="0" w:color="auto"/>
                      </w:divBdr>
                    </w:div>
                  </w:divsChild>
                </w:div>
                <w:div w:id="1328677271">
                  <w:marLeft w:val="0"/>
                  <w:marRight w:val="0"/>
                  <w:marTop w:val="0"/>
                  <w:marBottom w:val="0"/>
                  <w:divBdr>
                    <w:top w:val="none" w:sz="0" w:space="0" w:color="auto"/>
                    <w:left w:val="none" w:sz="0" w:space="0" w:color="auto"/>
                    <w:bottom w:val="none" w:sz="0" w:space="0" w:color="auto"/>
                    <w:right w:val="none" w:sz="0" w:space="0" w:color="auto"/>
                  </w:divBdr>
                  <w:divsChild>
                    <w:div w:id="1023164426">
                      <w:marLeft w:val="0"/>
                      <w:marRight w:val="0"/>
                      <w:marTop w:val="0"/>
                      <w:marBottom w:val="0"/>
                      <w:divBdr>
                        <w:top w:val="none" w:sz="0" w:space="0" w:color="auto"/>
                        <w:left w:val="none" w:sz="0" w:space="0" w:color="auto"/>
                        <w:bottom w:val="none" w:sz="0" w:space="0" w:color="auto"/>
                        <w:right w:val="none" w:sz="0" w:space="0" w:color="auto"/>
                      </w:divBdr>
                    </w:div>
                  </w:divsChild>
                </w:div>
                <w:div w:id="1344746583">
                  <w:marLeft w:val="0"/>
                  <w:marRight w:val="0"/>
                  <w:marTop w:val="0"/>
                  <w:marBottom w:val="0"/>
                  <w:divBdr>
                    <w:top w:val="none" w:sz="0" w:space="0" w:color="auto"/>
                    <w:left w:val="none" w:sz="0" w:space="0" w:color="auto"/>
                    <w:bottom w:val="none" w:sz="0" w:space="0" w:color="auto"/>
                    <w:right w:val="none" w:sz="0" w:space="0" w:color="auto"/>
                  </w:divBdr>
                  <w:divsChild>
                    <w:div w:id="1948803928">
                      <w:marLeft w:val="0"/>
                      <w:marRight w:val="0"/>
                      <w:marTop w:val="0"/>
                      <w:marBottom w:val="0"/>
                      <w:divBdr>
                        <w:top w:val="none" w:sz="0" w:space="0" w:color="auto"/>
                        <w:left w:val="none" w:sz="0" w:space="0" w:color="auto"/>
                        <w:bottom w:val="none" w:sz="0" w:space="0" w:color="auto"/>
                        <w:right w:val="none" w:sz="0" w:space="0" w:color="auto"/>
                      </w:divBdr>
                    </w:div>
                  </w:divsChild>
                </w:div>
                <w:div w:id="1349605397">
                  <w:marLeft w:val="0"/>
                  <w:marRight w:val="0"/>
                  <w:marTop w:val="0"/>
                  <w:marBottom w:val="0"/>
                  <w:divBdr>
                    <w:top w:val="none" w:sz="0" w:space="0" w:color="auto"/>
                    <w:left w:val="none" w:sz="0" w:space="0" w:color="auto"/>
                    <w:bottom w:val="none" w:sz="0" w:space="0" w:color="auto"/>
                    <w:right w:val="none" w:sz="0" w:space="0" w:color="auto"/>
                  </w:divBdr>
                  <w:divsChild>
                    <w:div w:id="1138841728">
                      <w:marLeft w:val="0"/>
                      <w:marRight w:val="0"/>
                      <w:marTop w:val="0"/>
                      <w:marBottom w:val="0"/>
                      <w:divBdr>
                        <w:top w:val="none" w:sz="0" w:space="0" w:color="auto"/>
                        <w:left w:val="none" w:sz="0" w:space="0" w:color="auto"/>
                        <w:bottom w:val="none" w:sz="0" w:space="0" w:color="auto"/>
                        <w:right w:val="none" w:sz="0" w:space="0" w:color="auto"/>
                      </w:divBdr>
                    </w:div>
                  </w:divsChild>
                </w:div>
                <w:div w:id="1367757716">
                  <w:marLeft w:val="0"/>
                  <w:marRight w:val="0"/>
                  <w:marTop w:val="0"/>
                  <w:marBottom w:val="0"/>
                  <w:divBdr>
                    <w:top w:val="none" w:sz="0" w:space="0" w:color="auto"/>
                    <w:left w:val="none" w:sz="0" w:space="0" w:color="auto"/>
                    <w:bottom w:val="none" w:sz="0" w:space="0" w:color="auto"/>
                    <w:right w:val="none" w:sz="0" w:space="0" w:color="auto"/>
                  </w:divBdr>
                  <w:divsChild>
                    <w:div w:id="873349150">
                      <w:marLeft w:val="0"/>
                      <w:marRight w:val="0"/>
                      <w:marTop w:val="0"/>
                      <w:marBottom w:val="0"/>
                      <w:divBdr>
                        <w:top w:val="none" w:sz="0" w:space="0" w:color="auto"/>
                        <w:left w:val="none" w:sz="0" w:space="0" w:color="auto"/>
                        <w:bottom w:val="none" w:sz="0" w:space="0" w:color="auto"/>
                        <w:right w:val="none" w:sz="0" w:space="0" w:color="auto"/>
                      </w:divBdr>
                    </w:div>
                  </w:divsChild>
                </w:div>
                <w:div w:id="1368528504">
                  <w:marLeft w:val="0"/>
                  <w:marRight w:val="0"/>
                  <w:marTop w:val="0"/>
                  <w:marBottom w:val="0"/>
                  <w:divBdr>
                    <w:top w:val="none" w:sz="0" w:space="0" w:color="auto"/>
                    <w:left w:val="none" w:sz="0" w:space="0" w:color="auto"/>
                    <w:bottom w:val="none" w:sz="0" w:space="0" w:color="auto"/>
                    <w:right w:val="none" w:sz="0" w:space="0" w:color="auto"/>
                  </w:divBdr>
                  <w:divsChild>
                    <w:div w:id="809590953">
                      <w:marLeft w:val="0"/>
                      <w:marRight w:val="0"/>
                      <w:marTop w:val="0"/>
                      <w:marBottom w:val="0"/>
                      <w:divBdr>
                        <w:top w:val="none" w:sz="0" w:space="0" w:color="auto"/>
                        <w:left w:val="none" w:sz="0" w:space="0" w:color="auto"/>
                        <w:bottom w:val="none" w:sz="0" w:space="0" w:color="auto"/>
                        <w:right w:val="none" w:sz="0" w:space="0" w:color="auto"/>
                      </w:divBdr>
                    </w:div>
                  </w:divsChild>
                </w:div>
                <w:div w:id="1429502514">
                  <w:marLeft w:val="0"/>
                  <w:marRight w:val="0"/>
                  <w:marTop w:val="0"/>
                  <w:marBottom w:val="0"/>
                  <w:divBdr>
                    <w:top w:val="none" w:sz="0" w:space="0" w:color="auto"/>
                    <w:left w:val="none" w:sz="0" w:space="0" w:color="auto"/>
                    <w:bottom w:val="none" w:sz="0" w:space="0" w:color="auto"/>
                    <w:right w:val="none" w:sz="0" w:space="0" w:color="auto"/>
                  </w:divBdr>
                  <w:divsChild>
                    <w:div w:id="1685667439">
                      <w:marLeft w:val="0"/>
                      <w:marRight w:val="0"/>
                      <w:marTop w:val="0"/>
                      <w:marBottom w:val="0"/>
                      <w:divBdr>
                        <w:top w:val="none" w:sz="0" w:space="0" w:color="auto"/>
                        <w:left w:val="none" w:sz="0" w:space="0" w:color="auto"/>
                        <w:bottom w:val="none" w:sz="0" w:space="0" w:color="auto"/>
                        <w:right w:val="none" w:sz="0" w:space="0" w:color="auto"/>
                      </w:divBdr>
                    </w:div>
                  </w:divsChild>
                </w:div>
                <w:div w:id="1430347045">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
                  </w:divsChild>
                </w:div>
                <w:div w:id="1478913257">
                  <w:marLeft w:val="0"/>
                  <w:marRight w:val="0"/>
                  <w:marTop w:val="0"/>
                  <w:marBottom w:val="0"/>
                  <w:divBdr>
                    <w:top w:val="none" w:sz="0" w:space="0" w:color="auto"/>
                    <w:left w:val="none" w:sz="0" w:space="0" w:color="auto"/>
                    <w:bottom w:val="none" w:sz="0" w:space="0" w:color="auto"/>
                    <w:right w:val="none" w:sz="0" w:space="0" w:color="auto"/>
                  </w:divBdr>
                  <w:divsChild>
                    <w:div w:id="576207194">
                      <w:marLeft w:val="0"/>
                      <w:marRight w:val="0"/>
                      <w:marTop w:val="0"/>
                      <w:marBottom w:val="0"/>
                      <w:divBdr>
                        <w:top w:val="none" w:sz="0" w:space="0" w:color="auto"/>
                        <w:left w:val="none" w:sz="0" w:space="0" w:color="auto"/>
                        <w:bottom w:val="none" w:sz="0" w:space="0" w:color="auto"/>
                        <w:right w:val="none" w:sz="0" w:space="0" w:color="auto"/>
                      </w:divBdr>
                    </w:div>
                  </w:divsChild>
                </w:div>
                <w:div w:id="1503936139">
                  <w:marLeft w:val="0"/>
                  <w:marRight w:val="0"/>
                  <w:marTop w:val="0"/>
                  <w:marBottom w:val="0"/>
                  <w:divBdr>
                    <w:top w:val="none" w:sz="0" w:space="0" w:color="auto"/>
                    <w:left w:val="none" w:sz="0" w:space="0" w:color="auto"/>
                    <w:bottom w:val="none" w:sz="0" w:space="0" w:color="auto"/>
                    <w:right w:val="none" w:sz="0" w:space="0" w:color="auto"/>
                  </w:divBdr>
                  <w:divsChild>
                    <w:div w:id="277106469">
                      <w:marLeft w:val="0"/>
                      <w:marRight w:val="0"/>
                      <w:marTop w:val="0"/>
                      <w:marBottom w:val="0"/>
                      <w:divBdr>
                        <w:top w:val="none" w:sz="0" w:space="0" w:color="auto"/>
                        <w:left w:val="none" w:sz="0" w:space="0" w:color="auto"/>
                        <w:bottom w:val="none" w:sz="0" w:space="0" w:color="auto"/>
                        <w:right w:val="none" w:sz="0" w:space="0" w:color="auto"/>
                      </w:divBdr>
                    </w:div>
                  </w:divsChild>
                </w:div>
                <w:div w:id="1565487172">
                  <w:marLeft w:val="0"/>
                  <w:marRight w:val="0"/>
                  <w:marTop w:val="0"/>
                  <w:marBottom w:val="0"/>
                  <w:divBdr>
                    <w:top w:val="none" w:sz="0" w:space="0" w:color="auto"/>
                    <w:left w:val="none" w:sz="0" w:space="0" w:color="auto"/>
                    <w:bottom w:val="none" w:sz="0" w:space="0" w:color="auto"/>
                    <w:right w:val="none" w:sz="0" w:space="0" w:color="auto"/>
                  </w:divBdr>
                  <w:divsChild>
                    <w:div w:id="381027864">
                      <w:marLeft w:val="0"/>
                      <w:marRight w:val="0"/>
                      <w:marTop w:val="0"/>
                      <w:marBottom w:val="0"/>
                      <w:divBdr>
                        <w:top w:val="none" w:sz="0" w:space="0" w:color="auto"/>
                        <w:left w:val="none" w:sz="0" w:space="0" w:color="auto"/>
                        <w:bottom w:val="none" w:sz="0" w:space="0" w:color="auto"/>
                        <w:right w:val="none" w:sz="0" w:space="0" w:color="auto"/>
                      </w:divBdr>
                    </w:div>
                  </w:divsChild>
                </w:div>
                <w:div w:id="1578898363">
                  <w:marLeft w:val="0"/>
                  <w:marRight w:val="0"/>
                  <w:marTop w:val="0"/>
                  <w:marBottom w:val="0"/>
                  <w:divBdr>
                    <w:top w:val="none" w:sz="0" w:space="0" w:color="auto"/>
                    <w:left w:val="none" w:sz="0" w:space="0" w:color="auto"/>
                    <w:bottom w:val="none" w:sz="0" w:space="0" w:color="auto"/>
                    <w:right w:val="none" w:sz="0" w:space="0" w:color="auto"/>
                  </w:divBdr>
                  <w:divsChild>
                    <w:div w:id="712583884">
                      <w:marLeft w:val="0"/>
                      <w:marRight w:val="0"/>
                      <w:marTop w:val="0"/>
                      <w:marBottom w:val="0"/>
                      <w:divBdr>
                        <w:top w:val="none" w:sz="0" w:space="0" w:color="auto"/>
                        <w:left w:val="none" w:sz="0" w:space="0" w:color="auto"/>
                        <w:bottom w:val="none" w:sz="0" w:space="0" w:color="auto"/>
                        <w:right w:val="none" w:sz="0" w:space="0" w:color="auto"/>
                      </w:divBdr>
                    </w:div>
                  </w:divsChild>
                </w:div>
                <w:div w:id="1627275980">
                  <w:marLeft w:val="0"/>
                  <w:marRight w:val="0"/>
                  <w:marTop w:val="0"/>
                  <w:marBottom w:val="0"/>
                  <w:divBdr>
                    <w:top w:val="none" w:sz="0" w:space="0" w:color="auto"/>
                    <w:left w:val="none" w:sz="0" w:space="0" w:color="auto"/>
                    <w:bottom w:val="none" w:sz="0" w:space="0" w:color="auto"/>
                    <w:right w:val="none" w:sz="0" w:space="0" w:color="auto"/>
                  </w:divBdr>
                  <w:divsChild>
                    <w:div w:id="1076823730">
                      <w:marLeft w:val="0"/>
                      <w:marRight w:val="0"/>
                      <w:marTop w:val="0"/>
                      <w:marBottom w:val="0"/>
                      <w:divBdr>
                        <w:top w:val="none" w:sz="0" w:space="0" w:color="auto"/>
                        <w:left w:val="none" w:sz="0" w:space="0" w:color="auto"/>
                        <w:bottom w:val="none" w:sz="0" w:space="0" w:color="auto"/>
                        <w:right w:val="none" w:sz="0" w:space="0" w:color="auto"/>
                      </w:divBdr>
                    </w:div>
                  </w:divsChild>
                </w:div>
                <w:div w:id="1636376549">
                  <w:marLeft w:val="0"/>
                  <w:marRight w:val="0"/>
                  <w:marTop w:val="0"/>
                  <w:marBottom w:val="0"/>
                  <w:divBdr>
                    <w:top w:val="none" w:sz="0" w:space="0" w:color="auto"/>
                    <w:left w:val="none" w:sz="0" w:space="0" w:color="auto"/>
                    <w:bottom w:val="none" w:sz="0" w:space="0" w:color="auto"/>
                    <w:right w:val="none" w:sz="0" w:space="0" w:color="auto"/>
                  </w:divBdr>
                  <w:divsChild>
                    <w:div w:id="1774128225">
                      <w:marLeft w:val="0"/>
                      <w:marRight w:val="0"/>
                      <w:marTop w:val="0"/>
                      <w:marBottom w:val="0"/>
                      <w:divBdr>
                        <w:top w:val="none" w:sz="0" w:space="0" w:color="auto"/>
                        <w:left w:val="none" w:sz="0" w:space="0" w:color="auto"/>
                        <w:bottom w:val="none" w:sz="0" w:space="0" w:color="auto"/>
                        <w:right w:val="none" w:sz="0" w:space="0" w:color="auto"/>
                      </w:divBdr>
                    </w:div>
                  </w:divsChild>
                </w:div>
                <w:div w:id="1636568808">
                  <w:marLeft w:val="0"/>
                  <w:marRight w:val="0"/>
                  <w:marTop w:val="0"/>
                  <w:marBottom w:val="0"/>
                  <w:divBdr>
                    <w:top w:val="none" w:sz="0" w:space="0" w:color="auto"/>
                    <w:left w:val="none" w:sz="0" w:space="0" w:color="auto"/>
                    <w:bottom w:val="none" w:sz="0" w:space="0" w:color="auto"/>
                    <w:right w:val="none" w:sz="0" w:space="0" w:color="auto"/>
                  </w:divBdr>
                  <w:divsChild>
                    <w:div w:id="1324238448">
                      <w:marLeft w:val="0"/>
                      <w:marRight w:val="0"/>
                      <w:marTop w:val="0"/>
                      <w:marBottom w:val="0"/>
                      <w:divBdr>
                        <w:top w:val="none" w:sz="0" w:space="0" w:color="auto"/>
                        <w:left w:val="none" w:sz="0" w:space="0" w:color="auto"/>
                        <w:bottom w:val="none" w:sz="0" w:space="0" w:color="auto"/>
                        <w:right w:val="none" w:sz="0" w:space="0" w:color="auto"/>
                      </w:divBdr>
                    </w:div>
                  </w:divsChild>
                </w:div>
                <w:div w:id="1673265414">
                  <w:marLeft w:val="0"/>
                  <w:marRight w:val="0"/>
                  <w:marTop w:val="0"/>
                  <w:marBottom w:val="0"/>
                  <w:divBdr>
                    <w:top w:val="none" w:sz="0" w:space="0" w:color="auto"/>
                    <w:left w:val="none" w:sz="0" w:space="0" w:color="auto"/>
                    <w:bottom w:val="none" w:sz="0" w:space="0" w:color="auto"/>
                    <w:right w:val="none" w:sz="0" w:space="0" w:color="auto"/>
                  </w:divBdr>
                  <w:divsChild>
                    <w:div w:id="1259484693">
                      <w:marLeft w:val="0"/>
                      <w:marRight w:val="0"/>
                      <w:marTop w:val="0"/>
                      <w:marBottom w:val="0"/>
                      <w:divBdr>
                        <w:top w:val="none" w:sz="0" w:space="0" w:color="auto"/>
                        <w:left w:val="none" w:sz="0" w:space="0" w:color="auto"/>
                        <w:bottom w:val="none" w:sz="0" w:space="0" w:color="auto"/>
                        <w:right w:val="none" w:sz="0" w:space="0" w:color="auto"/>
                      </w:divBdr>
                    </w:div>
                  </w:divsChild>
                </w:div>
                <w:div w:id="1679841727">
                  <w:marLeft w:val="0"/>
                  <w:marRight w:val="0"/>
                  <w:marTop w:val="0"/>
                  <w:marBottom w:val="0"/>
                  <w:divBdr>
                    <w:top w:val="none" w:sz="0" w:space="0" w:color="auto"/>
                    <w:left w:val="none" w:sz="0" w:space="0" w:color="auto"/>
                    <w:bottom w:val="none" w:sz="0" w:space="0" w:color="auto"/>
                    <w:right w:val="none" w:sz="0" w:space="0" w:color="auto"/>
                  </w:divBdr>
                  <w:divsChild>
                    <w:div w:id="1441025929">
                      <w:marLeft w:val="0"/>
                      <w:marRight w:val="0"/>
                      <w:marTop w:val="0"/>
                      <w:marBottom w:val="0"/>
                      <w:divBdr>
                        <w:top w:val="none" w:sz="0" w:space="0" w:color="auto"/>
                        <w:left w:val="none" w:sz="0" w:space="0" w:color="auto"/>
                        <w:bottom w:val="none" w:sz="0" w:space="0" w:color="auto"/>
                        <w:right w:val="none" w:sz="0" w:space="0" w:color="auto"/>
                      </w:divBdr>
                    </w:div>
                  </w:divsChild>
                </w:div>
                <w:div w:id="1683162918">
                  <w:marLeft w:val="0"/>
                  <w:marRight w:val="0"/>
                  <w:marTop w:val="0"/>
                  <w:marBottom w:val="0"/>
                  <w:divBdr>
                    <w:top w:val="none" w:sz="0" w:space="0" w:color="auto"/>
                    <w:left w:val="none" w:sz="0" w:space="0" w:color="auto"/>
                    <w:bottom w:val="none" w:sz="0" w:space="0" w:color="auto"/>
                    <w:right w:val="none" w:sz="0" w:space="0" w:color="auto"/>
                  </w:divBdr>
                  <w:divsChild>
                    <w:div w:id="1617299145">
                      <w:marLeft w:val="0"/>
                      <w:marRight w:val="0"/>
                      <w:marTop w:val="0"/>
                      <w:marBottom w:val="0"/>
                      <w:divBdr>
                        <w:top w:val="none" w:sz="0" w:space="0" w:color="auto"/>
                        <w:left w:val="none" w:sz="0" w:space="0" w:color="auto"/>
                        <w:bottom w:val="none" w:sz="0" w:space="0" w:color="auto"/>
                        <w:right w:val="none" w:sz="0" w:space="0" w:color="auto"/>
                      </w:divBdr>
                    </w:div>
                  </w:divsChild>
                </w:div>
                <w:div w:id="1699547998">
                  <w:marLeft w:val="0"/>
                  <w:marRight w:val="0"/>
                  <w:marTop w:val="0"/>
                  <w:marBottom w:val="0"/>
                  <w:divBdr>
                    <w:top w:val="none" w:sz="0" w:space="0" w:color="auto"/>
                    <w:left w:val="none" w:sz="0" w:space="0" w:color="auto"/>
                    <w:bottom w:val="none" w:sz="0" w:space="0" w:color="auto"/>
                    <w:right w:val="none" w:sz="0" w:space="0" w:color="auto"/>
                  </w:divBdr>
                  <w:divsChild>
                    <w:div w:id="10839233">
                      <w:marLeft w:val="0"/>
                      <w:marRight w:val="0"/>
                      <w:marTop w:val="0"/>
                      <w:marBottom w:val="0"/>
                      <w:divBdr>
                        <w:top w:val="none" w:sz="0" w:space="0" w:color="auto"/>
                        <w:left w:val="none" w:sz="0" w:space="0" w:color="auto"/>
                        <w:bottom w:val="none" w:sz="0" w:space="0" w:color="auto"/>
                        <w:right w:val="none" w:sz="0" w:space="0" w:color="auto"/>
                      </w:divBdr>
                    </w:div>
                  </w:divsChild>
                </w:div>
                <w:div w:id="1715622410">
                  <w:marLeft w:val="0"/>
                  <w:marRight w:val="0"/>
                  <w:marTop w:val="0"/>
                  <w:marBottom w:val="0"/>
                  <w:divBdr>
                    <w:top w:val="none" w:sz="0" w:space="0" w:color="auto"/>
                    <w:left w:val="none" w:sz="0" w:space="0" w:color="auto"/>
                    <w:bottom w:val="none" w:sz="0" w:space="0" w:color="auto"/>
                    <w:right w:val="none" w:sz="0" w:space="0" w:color="auto"/>
                  </w:divBdr>
                  <w:divsChild>
                    <w:div w:id="1130987">
                      <w:marLeft w:val="0"/>
                      <w:marRight w:val="0"/>
                      <w:marTop w:val="0"/>
                      <w:marBottom w:val="0"/>
                      <w:divBdr>
                        <w:top w:val="none" w:sz="0" w:space="0" w:color="auto"/>
                        <w:left w:val="none" w:sz="0" w:space="0" w:color="auto"/>
                        <w:bottom w:val="none" w:sz="0" w:space="0" w:color="auto"/>
                        <w:right w:val="none" w:sz="0" w:space="0" w:color="auto"/>
                      </w:divBdr>
                    </w:div>
                  </w:divsChild>
                </w:div>
                <w:div w:id="1752852741">
                  <w:marLeft w:val="0"/>
                  <w:marRight w:val="0"/>
                  <w:marTop w:val="0"/>
                  <w:marBottom w:val="0"/>
                  <w:divBdr>
                    <w:top w:val="none" w:sz="0" w:space="0" w:color="auto"/>
                    <w:left w:val="none" w:sz="0" w:space="0" w:color="auto"/>
                    <w:bottom w:val="none" w:sz="0" w:space="0" w:color="auto"/>
                    <w:right w:val="none" w:sz="0" w:space="0" w:color="auto"/>
                  </w:divBdr>
                  <w:divsChild>
                    <w:div w:id="572742798">
                      <w:marLeft w:val="0"/>
                      <w:marRight w:val="0"/>
                      <w:marTop w:val="0"/>
                      <w:marBottom w:val="0"/>
                      <w:divBdr>
                        <w:top w:val="none" w:sz="0" w:space="0" w:color="auto"/>
                        <w:left w:val="none" w:sz="0" w:space="0" w:color="auto"/>
                        <w:bottom w:val="none" w:sz="0" w:space="0" w:color="auto"/>
                        <w:right w:val="none" w:sz="0" w:space="0" w:color="auto"/>
                      </w:divBdr>
                    </w:div>
                  </w:divsChild>
                </w:div>
                <w:div w:id="1787574311">
                  <w:marLeft w:val="0"/>
                  <w:marRight w:val="0"/>
                  <w:marTop w:val="0"/>
                  <w:marBottom w:val="0"/>
                  <w:divBdr>
                    <w:top w:val="none" w:sz="0" w:space="0" w:color="auto"/>
                    <w:left w:val="none" w:sz="0" w:space="0" w:color="auto"/>
                    <w:bottom w:val="none" w:sz="0" w:space="0" w:color="auto"/>
                    <w:right w:val="none" w:sz="0" w:space="0" w:color="auto"/>
                  </w:divBdr>
                  <w:divsChild>
                    <w:div w:id="61295170">
                      <w:marLeft w:val="0"/>
                      <w:marRight w:val="0"/>
                      <w:marTop w:val="0"/>
                      <w:marBottom w:val="0"/>
                      <w:divBdr>
                        <w:top w:val="none" w:sz="0" w:space="0" w:color="auto"/>
                        <w:left w:val="none" w:sz="0" w:space="0" w:color="auto"/>
                        <w:bottom w:val="none" w:sz="0" w:space="0" w:color="auto"/>
                        <w:right w:val="none" w:sz="0" w:space="0" w:color="auto"/>
                      </w:divBdr>
                    </w:div>
                  </w:divsChild>
                </w:div>
                <w:div w:id="1820413172">
                  <w:marLeft w:val="0"/>
                  <w:marRight w:val="0"/>
                  <w:marTop w:val="0"/>
                  <w:marBottom w:val="0"/>
                  <w:divBdr>
                    <w:top w:val="none" w:sz="0" w:space="0" w:color="auto"/>
                    <w:left w:val="none" w:sz="0" w:space="0" w:color="auto"/>
                    <w:bottom w:val="none" w:sz="0" w:space="0" w:color="auto"/>
                    <w:right w:val="none" w:sz="0" w:space="0" w:color="auto"/>
                  </w:divBdr>
                  <w:divsChild>
                    <w:div w:id="81681107">
                      <w:marLeft w:val="0"/>
                      <w:marRight w:val="0"/>
                      <w:marTop w:val="0"/>
                      <w:marBottom w:val="0"/>
                      <w:divBdr>
                        <w:top w:val="none" w:sz="0" w:space="0" w:color="auto"/>
                        <w:left w:val="none" w:sz="0" w:space="0" w:color="auto"/>
                        <w:bottom w:val="none" w:sz="0" w:space="0" w:color="auto"/>
                        <w:right w:val="none" w:sz="0" w:space="0" w:color="auto"/>
                      </w:divBdr>
                    </w:div>
                  </w:divsChild>
                </w:div>
                <w:div w:id="1825661317">
                  <w:marLeft w:val="0"/>
                  <w:marRight w:val="0"/>
                  <w:marTop w:val="0"/>
                  <w:marBottom w:val="0"/>
                  <w:divBdr>
                    <w:top w:val="none" w:sz="0" w:space="0" w:color="auto"/>
                    <w:left w:val="none" w:sz="0" w:space="0" w:color="auto"/>
                    <w:bottom w:val="none" w:sz="0" w:space="0" w:color="auto"/>
                    <w:right w:val="none" w:sz="0" w:space="0" w:color="auto"/>
                  </w:divBdr>
                  <w:divsChild>
                    <w:div w:id="1675914374">
                      <w:marLeft w:val="0"/>
                      <w:marRight w:val="0"/>
                      <w:marTop w:val="0"/>
                      <w:marBottom w:val="0"/>
                      <w:divBdr>
                        <w:top w:val="none" w:sz="0" w:space="0" w:color="auto"/>
                        <w:left w:val="none" w:sz="0" w:space="0" w:color="auto"/>
                        <w:bottom w:val="none" w:sz="0" w:space="0" w:color="auto"/>
                        <w:right w:val="none" w:sz="0" w:space="0" w:color="auto"/>
                      </w:divBdr>
                    </w:div>
                  </w:divsChild>
                </w:div>
                <w:div w:id="1841853227">
                  <w:marLeft w:val="0"/>
                  <w:marRight w:val="0"/>
                  <w:marTop w:val="0"/>
                  <w:marBottom w:val="0"/>
                  <w:divBdr>
                    <w:top w:val="none" w:sz="0" w:space="0" w:color="auto"/>
                    <w:left w:val="none" w:sz="0" w:space="0" w:color="auto"/>
                    <w:bottom w:val="none" w:sz="0" w:space="0" w:color="auto"/>
                    <w:right w:val="none" w:sz="0" w:space="0" w:color="auto"/>
                  </w:divBdr>
                  <w:divsChild>
                    <w:div w:id="1224566160">
                      <w:marLeft w:val="0"/>
                      <w:marRight w:val="0"/>
                      <w:marTop w:val="0"/>
                      <w:marBottom w:val="0"/>
                      <w:divBdr>
                        <w:top w:val="none" w:sz="0" w:space="0" w:color="auto"/>
                        <w:left w:val="none" w:sz="0" w:space="0" w:color="auto"/>
                        <w:bottom w:val="none" w:sz="0" w:space="0" w:color="auto"/>
                        <w:right w:val="none" w:sz="0" w:space="0" w:color="auto"/>
                      </w:divBdr>
                    </w:div>
                  </w:divsChild>
                </w:div>
                <w:div w:id="1896430839">
                  <w:marLeft w:val="0"/>
                  <w:marRight w:val="0"/>
                  <w:marTop w:val="0"/>
                  <w:marBottom w:val="0"/>
                  <w:divBdr>
                    <w:top w:val="none" w:sz="0" w:space="0" w:color="auto"/>
                    <w:left w:val="none" w:sz="0" w:space="0" w:color="auto"/>
                    <w:bottom w:val="none" w:sz="0" w:space="0" w:color="auto"/>
                    <w:right w:val="none" w:sz="0" w:space="0" w:color="auto"/>
                  </w:divBdr>
                  <w:divsChild>
                    <w:div w:id="1336611117">
                      <w:marLeft w:val="0"/>
                      <w:marRight w:val="0"/>
                      <w:marTop w:val="0"/>
                      <w:marBottom w:val="0"/>
                      <w:divBdr>
                        <w:top w:val="none" w:sz="0" w:space="0" w:color="auto"/>
                        <w:left w:val="none" w:sz="0" w:space="0" w:color="auto"/>
                        <w:bottom w:val="none" w:sz="0" w:space="0" w:color="auto"/>
                        <w:right w:val="none" w:sz="0" w:space="0" w:color="auto"/>
                      </w:divBdr>
                    </w:div>
                  </w:divsChild>
                </w:div>
                <w:div w:id="1904634652">
                  <w:marLeft w:val="0"/>
                  <w:marRight w:val="0"/>
                  <w:marTop w:val="0"/>
                  <w:marBottom w:val="0"/>
                  <w:divBdr>
                    <w:top w:val="none" w:sz="0" w:space="0" w:color="auto"/>
                    <w:left w:val="none" w:sz="0" w:space="0" w:color="auto"/>
                    <w:bottom w:val="none" w:sz="0" w:space="0" w:color="auto"/>
                    <w:right w:val="none" w:sz="0" w:space="0" w:color="auto"/>
                  </w:divBdr>
                  <w:divsChild>
                    <w:div w:id="132018554">
                      <w:marLeft w:val="0"/>
                      <w:marRight w:val="0"/>
                      <w:marTop w:val="0"/>
                      <w:marBottom w:val="0"/>
                      <w:divBdr>
                        <w:top w:val="none" w:sz="0" w:space="0" w:color="auto"/>
                        <w:left w:val="none" w:sz="0" w:space="0" w:color="auto"/>
                        <w:bottom w:val="none" w:sz="0" w:space="0" w:color="auto"/>
                        <w:right w:val="none" w:sz="0" w:space="0" w:color="auto"/>
                      </w:divBdr>
                    </w:div>
                  </w:divsChild>
                </w:div>
                <w:div w:id="1918709297">
                  <w:marLeft w:val="0"/>
                  <w:marRight w:val="0"/>
                  <w:marTop w:val="0"/>
                  <w:marBottom w:val="0"/>
                  <w:divBdr>
                    <w:top w:val="none" w:sz="0" w:space="0" w:color="auto"/>
                    <w:left w:val="none" w:sz="0" w:space="0" w:color="auto"/>
                    <w:bottom w:val="none" w:sz="0" w:space="0" w:color="auto"/>
                    <w:right w:val="none" w:sz="0" w:space="0" w:color="auto"/>
                  </w:divBdr>
                  <w:divsChild>
                    <w:div w:id="1856924005">
                      <w:marLeft w:val="0"/>
                      <w:marRight w:val="0"/>
                      <w:marTop w:val="0"/>
                      <w:marBottom w:val="0"/>
                      <w:divBdr>
                        <w:top w:val="none" w:sz="0" w:space="0" w:color="auto"/>
                        <w:left w:val="none" w:sz="0" w:space="0" w:color="auto"/>
                        <w:bottom w:val="none" w:sz="0" w:space="0" w:color="auto"/>
                        <w:right w:val="none" w:sz="0" w:space="0" w:color="auto"/>
                      </w:divBdr>
                    </w:div>
                  </w:divsChild>
                </w:div>
                <w:div w:id="1924096853">
                  <w:marLeft w:val="0"/>
                  <w:marRight w:val="0"/>
                  <w:marTop w:val="0"/>
                  <w:marBottom w:val="0"/>
                  <w:divBdr>
                    <w:top w:val="none" w:sz="0" w:space="0" w:color="auto"/>
                    <w:left w:val="none" w:sz="0" w:space="0" w:color="auto"/>
                    <w:bottom w:val="none" w:sz="0" w:space="0" w:color="auto"/>
                    <w:right w:val="none" w:sz="0" w:space="0" w:color="auto"/>
                  </w:divBdr>
                  <w:divsChild>
                    <w:div w:id="1156534811">
                      <w:marLeft w:val="0"/>
                      <w:marRight w:val="0"/>
                      <w:marTop w:val="0"/>
                      <w:marBottom w:val="0"/>
                      <w:divBdr>
                        <w:top w:val="none" w:sz="0" w:space="0" w:color="auto"/>
                        <w:left w:val="none" w:sz="0" w:space="0" w:color="auto"/>
                        <w:bottom w:val="none" w:sz="0" w:space="0" w:color="auto"/>
                        <w:right w:val="none" w:sz="0" w:space="0" w:color="auto"/>
                      </w:divBdr>
                    </w:div>
                  </w:divsChild>
                </w:div>
                <w:div w:id="1936093753">
                  <w:marLeft w:val="0"/>
                  <w:marRight w:val="0"/>
                  <w:marTop w:val="0"/>
                  <w:marBottom w:val="0"/>
                  <w:divBdr>
                    <w:top w:val="none" w:sz="0" w:space="0" w:color="auto"/>
                    <w:left w:val="none" w:sz="0" w:space="0" w:color="auto"/>
                    <w:bottom w:val="none" w:sz="0" w:space="0" w:color="auto"/>
                    <w:right w:val="none" w:sz="0" w:space="0" w:color="auto"/>
                  </w:divBdr>
                  <w:divsChild>
                    <w:div w:id="305478363">
                      <w:marLeft w:val="0"/>
                      <w:marRight w:val="0"/>
                      <w:marTop w:val="0"/>
                      <w:marBottom w:val="0"/>
                      <w:divBdr>
                        <w:top w:val="none" w:sz="0" w:space="0" w:color="auto"/>
                        <w:left w:val="none" w:sz="0" w:space="0" w:color="auto"/>
                        <w:bottom w:val="none" w:sz="0" w:space="0" w:color="auto"/>
                        <w:right w:val="none" w:sz="0" w:space="0" w:color="auto"/>
                      </w:divBdr>
                    </w:div>
                  </w:divsChild>
                </w:div>
                <w:div w:id="2013801042">
                  <w:marLeft w:val="0"/>
                  <w:marRight w:val="0"/>
                  <w:marTop w:val="0"/>
                  <w:marBottom w:val="0"/>
                  <w:divBdr>
                    <w:top w:val="none" w:sz="0" w:space="0" w:color="auto"/>
                    <w:left w:val="none" w:sz="0" w:space="0" w:color="auto"/>
                    <w:bottom w:val="none" w:sz="0" w:space="0" w:color="auto"/>
                    <w:right w:val="none" w:sz="0" w:space="0" w:color="auto"/>
                  </w:divBdr>
                  <w:divsChild>
                    <w:div w:id="1373922884">
                      <w:marLeft w:val="0"/>
                      <w:marRight w:val="0"/>
                      <w:marTop w:val="0"/>
                      <w:marBottom w:val="0"/>
                      <w:divBdr>
                        <w:top w:val="none" w:sz="0" w:space="0" w:color="auto"/>
                        <w:left w:val="none" w:sz="0" w:space="0" w:color="auto"/>
                        <w:bottom w:val="none" w:sz="0" w:space="0" w:color="auto"/>
                        <w:right w:val="none" w:sz="0" w:space="0" w:color="auto"/>
                      </w:divBdr>
                    </w:div>
                  </w:divsChild>
                </w:div>
                <w:div w:id="2128238628">
                  <w:marLeft w:val="0"/>
                  <w:marRight w:val="0"/>
                  <w:marTop w:val="0"/>
                  <w:marBottom w:val="0"/>
                  <w:divBdr>
                    <w:top w:val="none" w:sz="0" w:space="0" w:color="auto"/>
                    <w:left w:val="none" w:sz="0" w:space="0" w:color="auto"/>
                    <w:bottom w:val="none" w:sz="0" w:space="0" w:color="auto"/>
                    <w:right w:val="none" w:sz="0" w:space="0" w:color="auto"/>
                  </w:divBdr>
                  <w:divsChild>
                    <w:div w:id="633872927">
                      <w:marLeft w:val="0"/>
                      <w:marRight w:val="0"/>
                      <w:marTop w:val="0"/>
                      <w:marBottom w:val="0"/>
                      <w:divBdr>
                        <w:top w:val="none" w:sz="0" w:space="0" w:color="auto"/>
                        <w:left w:val="none" w:sz="0" w:space="0" w:color="auto"/>
                        <w:bottom w:val="none" w:sz="0" w:space="0" w:color="auto"/>
                        <w:right w:val="none" w:sz="0" w:space="0" w:color="auto"/>
                      </w:divBdr>
                    </w:div>
                  </w:divsChild>
                </w:div>
                <w:div w:id="2146191742">
                  <w:marLeft w:val="0"/>
                  <w:marRight w:val="0"/>
                  <w:marTop w:val="0"/>
                  <w:marBottom w:val="0"/>
                  <w:divBdr>
                    <w:top w:val="none" w:sz="0" w:space="0" w:color="auto"/>
                    <w:left w:val="none" w:sz="0" w:space="0" w:color="auto"/>
                    <w:bottom w:val="none" w:sz="0" w:space="0" w:color="auto"/>
                    <w:right w:val="none" w:sz="0" w:space="0" w:color="auto"/>
                  </w:divBdr>
                  <w:divsChild>
                    <w:div w:id="28203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6549">
          <w:marLeft w:val="0"/>
          <w:marRight w:val="0"/>
          <w:marTop w:val="0"/>
          <w:marBottom w:val="0"/>
          <w:divBdr>
            <w:top w:val="none" w:sz="0" w:space="0" w:color="auto"/>
            <w:left w:val="none" w:sz="0" w:space="0" w:color="auto"/>
            <w:bottom w:val="none" w:sz="0" w:space="0" w:color="auto"/>
            <w:right w:val="none" w:sz="0" w:space="0" w:color="auto"/>
          </w:divBdr>
        </w:div>
        <w:div w:id="665668811">
          <w:marLeft w:val="0"/>
          <w:marRight w:val="0"/>
          <w:marTop w:val="0"/>
          <w:marBottom w:val="0"/>
          <w:divBdr>
            <w:top w:val="none" w:sz="0" w:space="0" w:color="auto"/>
            <w:left w:val="none" w:sz="0" w:space="0" w:color="auto"/>
            <w:bottom w:val="none" w:sz="0" w:space="0" w:color="auto"/>
            <w:right w:val="none" w:sz="0" w:space="0" w:color="auto"/>
          </w:divBdr>
        </w:div>
        <w:div w:id="717433133">
          <w:marLeft w:val="0"/>
          <w:marRight w:val="0"/>
          <w:marTop w:val="0"/>
          <w:marBottom w:val="0"/>
          <w:divBdr>
            <w:top w:val="none" w:sz="0" w:space="0" w:color="auto"/>
            <w:left w:val="none" w:sz="0" w:space="0" w:color="auto"/>
            <w:bottom w:val="none" w:sz="0" w:space="0" w:color="auto"/>
            <w:right w:val="none" w:sz="0" w:space="0" w:color="auto"/>
          </w:divBdr>
        </w:div>
        <w:div w:id="754209606">
          <w:marLeft w:val="0"/>
          <w:marRight w:val="0"/>
          <w:marTop w:val="0"/>
          <w:marBottom w:val="0"/>
          <w:divBdr>
            <w:top w:val="none" w:sz="0" w:space="0" w:color="auto"/>
            <w:left w:val="none" w:sz="0" w:space="0" w:color="auto"/>
            <w:bottom w:val="none" w:sz="0" w:space="0" w:color="auto"/>
            <w:right w:val="none" w:sz="0" w:space="0" w:color="auto"/>
          </w:divBdr>
        </w:div>
        <w:div w:id="759714839">
          <w:marLeft w:val="0"/>
          <w:marRight w:val="0"/>
          <w:marTop w:val="0"/>
          <w:marBottom w:val="0"/>
          <w:divBdr>
            <w:top w:val="none" w:sz="0" w:space="0" w:color="auto"/>
            <w:left w:val="none" w:sz="0" w:space="0" w:color="auto"/>
            <w:bottom w:val="none" w:sz="0" w:space="0" w:color="auto"/>
            <w:right w:val="none" w:sz="0" w:space="0" w:color="auto"/>
          </w:divBdr>
        </w:div>
        <w:div w:id="792095085">
          <w:marLeft w:val="0"/>
          <w:marRight w:val="0"/>
          <w:marTop w:val="0"/>
          <w:marBottom w:val="0"/>
          <w:divBdr>
            <w:top w:val="none" w:sz="0" w:space="0" w:color="auto"/>
            <w:left w:val="none" w:sz="0" w:space="0" w:color="auto"/>
            <w:bottom w:val="none" w:sz="0" w:space="0" w:color="auto"/>
            <w:right w:val="none" w:sz="0" w:space="0" w:color="auto"/>
          </w:divBdr>
        </w:div>
        <w:div w:id="796803642">
          <w:marLeft w:val="0"/>
          <w:marRight w:val="0"/>
          <w:marTop w:val="0"/>
          <w:marBottom w:val="0"/>
          <w:divBdr>
            <w:top w:val="none" w:sz="0" w:space="0" w:color="auto"/>
            <w:left w:val="none" w:sz="0" w:space="0" w:color="auto"/>
            <w:bottom w:val="none" w:sz="0" w:space="0" w:color="auto"/>
            <w:right w:val="none" w:sz="0" w:space="0" w:color="auto"/>
          </w:divBdr>
        </w:div>
        <w:div w:id="842740890">
          <w:marLeft w:val="0"/>
          <w:marRight w:val="0"/>
          <w:marTop w:val="0"/>
          <w:marBottom w:val="0"/>
          <w:divBdr>
            <w:top w:val="none" w:sz="0" w:space="0" w:color="auto"/>
            <w:left w:val="none" w:sz="0" w:space="0" w:color="auto"/>
            <w:bottom w:val="none" w:sz="0" w:space="0" w:color="auto"/>
            <w:right w:val="none" w:sz="0" w:space="0" w:color="auto"/>
          </w:divBdr>
        </w:div>
        <w:div w:id="865603093">
          <w:marLeft w:val="0"/>
          <w:marRight w:val="0"/>
          <w:marTop w:val="0"/>
          <w:marBottom w:val="0"/>
          <w:divBdr>
            <w:top w:val="none" w:sz="0" w:space="0" w:color="auto"/>
            <w:left w:val="none" w:sz="0" w:space="0" w:color="auto"/>
            <w:bottom w:val="none" w:sz="0" w:space="0" w:color="auto"/>
            <w:right w:val="none" w:sz="0" w:space="0" w:color="auto"/>
          </w:divBdr>
          <w:divsChild>
            <w:div w:id="4480998">
              <w:marLeft w:val="0"/>
              <w:marRight w:val="0"/>
              <w:marTop w:val="0"/>
              <w:marBottom w:val="0"/>
              <w:divBdr>
                <w:top w:val="none" w:sz="0" w:space="0" w:color="auto"/>
                <w:left w:val="none" w:sz="0" w:space="0" w:color="auto"/>
                <w:bottom w:val="none" w:sz="0" w:space="0" w:color="auto"/>
                <w:right w:val="none" w:sz="0" w:space="0" w:color="auto"/>
              </w:divBdr>
            </w:div>
            <w:div w:id="87044887">
              <w:marLeft w:val="0"/>
              <w:marRight w:val="0"/>
              <w:marTop w:val="0"/>
              <w:marBottom w:val="0"/>
              <w:divBdr>
                <w:top w:val="none" w:sz="0" w:space="0" w:color="auto"/>
                <w:left w:val="none" w:sz="0" w:space="0" w:color="auto"/>
                <w:bottom w:val="none" w:sz="0" w:space="0" w:color="auto"/>
                <w:right w:val="none" w:sz="0" w:space="0" w:color="auto"/>
              </w:divBdr>
            </w:div>
            <w:div w:id="189730827">
              <w:marLeft w:val="0"/>
              <w:marRight w:val="0"/>
              <w:marTop w:val="0"/>
              <w:marBottom w:val="0"/>
              <w:divBdr>
                <w:top w:val="none" w:sz="0" w:space="0" w:color="auto"/>
                <w:left w:val="none" w:sz="0" w:space="0" w:color="auto"/>
                <w:bottom w:val="none" w:sz="0" w:space="0" w:color="auto"/>
                <w:right w:val="none" w:sz="0" w:space="0" w:color="auto"/>
              </w:divBdr>
            </w:div>
            <w:div w:id="202645511">
              <w:marLeft w:val="0"/>
              <w:marRight w:val="0"/>
              <w:marTop w:val="0"/>
              <w:marBottom w:val="0"/>
              <w:divBdr>
                <w:top w:val="none" w:sz="0" w:space="0" w:color="auto"/>
                <w:left w:val="none" w:sz="0" w:space="0" w:color="auto"/>
                <w:bottom w:val="none" w:sz="0" w:space="0" w:color="auto"/>
                <w:right w:val="none" w:sz="0" w:space="0" w:color="auto"/>
              </w:divBdr>
            </w:div>
            <w:div w:id="333533439">
              <w:marLeft w:val="0"/>
              <w:marRight w:val="0"/>
              <w:marTop w:val="0"/>
              <w:marBottom w:val="0"/>
              <w:divBdr>
                <w:top w:val="none" w:sz="0" w:space="0" w:color="auto"/>
                <w:left w:val="none" w:sz="0" w:space="0" w:color="auto"/>
                <w:bottom w:val="none" w:sz="0" w:space="0" w:color="auto"/>
                <w:right w:val="none" w:sz="0" w:space="0" w:color="auto"/>
              </w:divBdr>
            </w:div>
            <w:div w:id="351420512">
              <w:marLeft w:val="0"/>
              <w:marRight w:val="0"/>
              <w:marTop w:val="0"/>
              <w:marBottom w:val="0"/>
              <w:divBdr>
                <w:top w:val="none" w:sz="0" w:space="0" w:color="auto"/>
                <w:left w:val="none" w:sz="0" w:space="0" w:color="auto"/>
                <w:bottom w:val="none" w:sz="0" w:space="0" w:color="auto"/>
                <w:right w:val="none" w:sz="0" w:space="0" w:color="auto"/>
              </w:divBdr>
            </w:div>
            <w:div w:id="397746294">
              <w:marLeft w:val="0"/>
              <w:marRight w:val="0"/>
              <w:marTop w:val="0"/>
              <w:marBottom w:val="0"/>
              <w:divBdr>
                <w:top w:val="none" w:sz="0" w:space="0" w:color="auto"/>
                <w:left w:val="none" w:sz="0" w:space="0" w:color="auto"/>
                <w:bottom w:val="none" w:sz="0" w:space="0" w:color="auto"/>
                <w:right w:val="none" w:sz="0" w:space="0" w:color="auto"/>
              </w:divBdr>
            </w:div>
            <w:div w:id="467361300">
              <w:marLeft w:val="0"/>
              <w:marRight w:val="0"/>
              <w:marTop w:val="0"/>
              <w:marBottom w:val="0"/>
              <w:divBdr>
                <w:top w:val="none" w:sz="0" w:space="0" w:color="auto"/>
                <w:left w:val="none" w:sz="0" w:space="0" w:color="auto"/>
                <w:bottom w:val="none" w:sz="0" w:space="0" w:color="auto"/>
                <w:right w:val="none" w:sz="0" w:space="0" w:color="auto"/>
              </w:divBdr>
            </w:div>
            <w:div w:id="571082983">
              <w:marLeft w:val="0"/>
              <w:marRight w:val="0"/>
              <w:marTop w:val="0"/>
              <w:marBottom w:val="0"/>
              <w:divBdr>
                <w:top w:val="none" w:sz="0" w:space="0" w:color="auto"/>
                <w:left w:val="none" w:sz="0" w:space="0" w:color="auto"/>
                <w:bottom w:val="none" w:sz="0" w:space="0" w:color="auto"/>
                <w:right w:val="none" w:sz="0" w:space="0" w:color="auto"/>
              </w:divBdr>
            </w:div>
            <w:div w:id="612248144">
              <w:marLeft w:val="0"/>
              <w:marRight w:val="0"/>
              <w:marTop w:val="0"/>
              <w:marBottom w:val="0"/>
              <w:divBdr>
                <w:top w:val="none" w:sz="0" w:space="0" w:color="auto"/>
                <w:left w:val="none" w:sz="0" w:space="0" w:color="auto"/>
                <w:bottom w:val="none" w:sz="0" w:space="0" w:color="auto"/>
                <w:right w:val="none" w:sz="0" w:space="0" w:color="auto"/>
              </w:divBdr>
            </w:div>
            <w:div w:id="731974283">
              <w:marLeft w:val="0"/>
              <w:marRight w:val="0"/>
              <w:marTop w:val="0"/>
              <w:marBottom w:val="0"/>
              <w:divBdr>
                <w:top w:val="none" w:sz="0" w:space="0" w:color="auto"/>
                <w:left w:val="none" w:sz="0" w:space="0" w:color="auto"/>
                <w:bottom w:val="none" w:sz="0" w:space="0" w:color="auto"/>
                <w:right w:val="none" w:sz="0" w:space="0" w:color="auto"/>
              </w:divBdr>
            </w:div>
            <w:div w:id="904340824">
              <w:marLeft w:val="0"/>
              <w:marRight w:val="0"/>
              <w:marTop w:val="0"/>
              <w:marBottom w:val="0"/>
              <w:divBdr>
                <w:top w:val="none" w:sz="0" w:space="0" w:color="auto"/>
                <w:left w:val="none" w:sz="0" w:space="0" w:color="auto"/>
                <w:bottom w:val="none" w:sz="0" w:space="0" w:color="auto"/>
                <w:right w:val="none" w:sz="0" w:space="0" w:color="auto"/>
              </w:divBdr>
            </w:div>
            <w:div w:id="955137131">
              <w:marLeft w:val="0"/>
              <w:marRight w:val="0"/>
              <w:marTop w:val="0"/>
              <w:marBottom w:val="0"/>
              <w:divBdr>
                <w:top w:val="none" w:sz="0" w:space="0" w:color="auto"/>
                <w:left w:val="none" w:sz="0" w:space="0" w:color="auto"/>
                <w:bottom w:val="none" w:sz="0" w:space="0" w:color="auto"/>
                <w:right w:val="none" w:sz="0" w:space="0" w:color="auto"/>
              </w:divBdr>
            </w:div>
            <w:div w:id="1119183380">
              <w:marLeft w:val="0"/>
              <w:marRight w:val="0"/>
              <w:marTop w:val="0"/>
              <w:marBottom w:val="0"/>
              <w:divBdr>
                <w:top w:val="none" w:sz="0" w:space="0" w:color="auto"/>
                <w:left w:val="none" w:sz="0" w:space="0" w:color="auto"/>
                <w:bottom w:val="none" w:sz="0" w:space="0" w:color="auto"/>
                <w:right w:val="none" w:sz="0" w:space="0" w:color="auto"/>
              </w:divBdr>
            </w:div>
            <w:div w:id="1136265060">
              <w:marLeft w:val="0"/>
              <w:marRight w:val="0"/>
              <w:marTop w:val="0"/>
              <w:marBottom w:val="0"/>
              <w:divBdr>
                <w:top w:val="none" w:sz="0" w:space="0" w:color="auto"/>
                <w:left w:val="none" w:sz="0" w:space="0" w:color="auto"/>
                <w:bottom w:val="none" w:sz="0" w:space="0" w:color="auto"/>
                <w:right w:val="none" w:sz="0" w:space="0" w:color="auto"/>
              </w:divBdr>
            </w:div>
            <w:div w:id="1308049710">
              <w:marLeft w:val="0"/>
              <w:marRight w:val="0"/>
              <w:marTop w:val="0"/>
              <w:marBottom w:val="0"/>
              <w:divBdr>
                <w:top w:val="none" w:sz="0" w:space="0" w:color="auto"/>
                <w:left w:val="none" w:sz="0" w:space="0" w:color="auto"/>
                <w:bottom w:val="none" w:sz="0" w:space="0" w:color="auto"/>
                <w:right w:val="none" w:sz="0" w:space="0" w:color="auto"/>
              </w:divBdr>
            </w:div>
            <w:div w:id="1366442849">
              <w:marLeft w:val="0"/>
              <w:marRight w:val="0"/>
              <w:marTop w:val="0"/>
              <w:marBottom w:val="0"/>
              <w:divBdr>
                <w:top w:val="none" w:sz="0" w:space="0" w:color="auto"/>
                <w:left w:val="none" w:sz="0" w:space="0" w:color="auto"/>
                <w:bottom w:val="none" w:sz="0" w:space="0" w:color="auto"/>
                <w:right w:val="none" w:sz="0" w:space="0" w:color="auto"/>
              </w:divBdr>
            </w:div>
            <w:div w:id="1833837839">
              <w:marLeft w:val="0"/>
              <w:marRight w:val="0"/>
              <w:marTop w:val="0"/>
              <w:marBottom w:val="0"/>
              <w:divBdr>
                <w:top w:val="none" w:sz="0" w:space="0" w:color="auto"/>
                <w:left w:val="none" w:sz="0" w:space="0" w:color="auto"/>
                <w:bottom w:val="none" w:sz="0" w:space="0" w:color="auto"/>
                <w:right w:val="none" w:sz="0" w:space="0" w:color="auto"/>
              </w:divBdr>
            </w:div>
            <w:div w:id="1836996231">
              <w:marLeft w:val="0"/>
              <w:marRight w:val="0"/>
              <w:marTop w:val="0"/>
              <w:marBottom w:val="0"/>
              <w:divBdr>
                <w:top w:val="none" w:sz="0" w:space="0" w:color="auto"/>
                <w:left w:val="none" w:sz="0" w:space="0" w:color="auto"/>
                <w:bottom w:val="none" w:sz="0" w:space="0" w:color="auto"/>
                <w:right w:val="none" w:sz="0" w:space="0" w:color="auto"/>
              </w:divBdr>
            </w:div>
            <w:div w:id="1882210967">
              <w:marLeft w:val="0"/>
              <w:marRight w:val="0"/>
              <w:marTop w:val="0"/>
              <w:marBottom w:val="0"/>
              <w:divBdr>
                <w:top w:val="none" w:sz="0" w:space="0" w:color="auto"/>
                <w:left w:val="none" w:sz="0" w:space="0" w:color="auto"/>
                <w:bottom w:val="none" w:sz="0" w:space="0" w:color="auto"/>
                <w:right w:val="none" w:sz="0" w:space="0" w:color="auto"/>
              </w:divBdr>
            </w:div>
          </w:divsChild>
        </w:div>
        <w:div w:id="884146191">
          <w:marLeft w:val="0"/>
          <w:marRight w:val="0"/>
          <w:marTop w:val="0"/>
          <w:marBottom w:val="0"/>
          <w:divBdr>
            <w:top w:val="none" w:sz="0" w:space="0" w:color="auto"/>
            <w:left w:val="none" w:sz="0" w:space="0" w:color="auto"/>
            <w:bottom w:val="none" w:sz="0" w:space="0" w:color="auto"/>
            <w:right w:val="none" w:sz="0" w:space="0" w:color="auto"/>
          </w:divBdr>
        </w:div>
        <w:div w:id="892237032">
          <w:marLeft w:val="0"/>
          <w:marRight w:val="0"/>
          <w:marTop w:val="0"/>
          <w:marBottom w:val="0"/>
          <w:divBdr>
            <w:top w:val="none" w:sz="0" w:space="0" w:color="auto"/>
            <w:left w:val="none" w:sz="0" w:space="0" w:color="auto"/>
            <w:bottom w:val="none" w:sz="0" w:space="0" w:color="auto"/>
            <w:right w:val="none" w:sz="0" w:space="0" w:color="auto"/>
          </w:divBdr>
        </w:div>
        <w:div w:id="938023771">
          <w:marLeft w:val="0"/>
          <w:marRight w:val="0"/>
          <w:marTop w:val="0"/>
          <w:marBottom w:val="0"/>
          <w:divBdr>
            <w:top w:val="none" w:sz="0" w:space="0" w:color="auto"/>
            <w:left w:val="none" w:sz="0" w:space="0" w:color="auto"/>
            <w:bottom w:val="none" w:sz="0" w:space="0" w:color="auto"/>
            <w:right w:val="none" w:sz="0" w:space="0" w:color="auto"/>
          </w:divBdr>
        </w:div>
        <w:div w:id="954211202">
          <w:marLeft w:val="0"/>
          <w:marRight w:val="0"/>
          <w:marTop w:val="0"/>
          <w:marBottom w:val="0"/>
          <w:divBdr>
            <w:top w:val="none" w:sz="0" w:space="0" w:color="auto"/>
            <w:left w:val="none" w:sz="0" w:space="0" w:color="auto"/>
            <w:bottom w:val="none" w:sz="0" w:space="0" w:color="auto"/>
            <w:right w:val="none" w:sz="0" w:space="0" w:color="auto"/>
          </w:divBdr>
          <w:divsChild>
            <w:div w:id="3170180">
              <w:marLeft w:val="0"/>
              <w:marRight w:val="0"/>
              <w:marTop w:val="0"/>
              <w:marBottom w:val="0"/>
              <w:divBdr>
                <w:top w:val="none" w:sz="0" w:space="0" w:color="auto"/>
                <w:left w:val="none" w:sz="0" w:space="0" w:color="auto"/>
                <w:bottom w:val="none" w:sz="0" w:space="0" w:color="auto"/>
                <w:right w:val="none" w:sz="0" w:space="0" w:color="auto"/>
              </w:divBdr>
            </w:div>
            <w:div w:id="9646530">
              <w:marLeft w:val="0"/>
              <w:marRight w:val="0"/>
              <w:marTop w:val="0"/>
              <w:marBottom w:val="0"/>
              <w:divBdr>
                <w:top w:val="none" w:sz="0" w:space="0" w:color="auto"/>
                <w:left w:val="none" w:sz="0" w:space="0" w:color="auto"/>
                <w:bottom w:val="none" w:sz="0" w:space="0" w:color="auto"/>
                <w:right w:val="none" w:sz="0" w:space="0" w:color="auto"/>
              </w:divBdr>
            </w:div>
            <w:div w:id="44570068">
              <w:marLeft w:val="0"/>
              <w:marRight w:val="0"/>
              <w:marTop w:val="0"/>
              <w:marBottom w:val="0"/>
              <w:divBdr>
                <w:top w:val="none" w:sz="0" w:space="0" w:color="auto"/>
                <w:left w:val="none" w:sz="0" w:space="0" w:color="auto"/>
                <w:bottom w:val="none" w:sz="0" w:space="0" w:color="auto"/>
                <w:right w:val="none" w:sz="0" w:space="0" w:color="auto"/>
              </w:divBdr>
            </w:div>
            <w:div w:id="45297915">
              <w:marLeft w:val="0"/>
              <w:marRight w:val="0"/>
              <w:marTop w:val="0"/>
              <w:marBottom w:val="0"/>
              <w:divBdr>
                <w:top w:val="none" w:sz="0" w:space="0" w:color="auto"/>
                <w:left w:val="none" w:sz="0" w:space="0" w:color="auto"/>
                <w:bottom w:val="none" w:sz="0" w:space="0" w:color="auto"/>
                <w:right w:val="none" w:sz="0" w:space="0" w:color="auto"/>
              </w:divBdr>
            </w:div>
            <w:div w:id="55593255">
              <w:marLeft w:val="0"/>
              <w:marRight w:val="0"/>
              <w:marTop w:val="0"/>
              <w:marBottom w:val="0"/>
              <w:divBdr>
                <w:top w:val="none" w:sz="0" w:space="0" w:color="auto"/>
                <w:left w:val="none" w:sz="0" w:space="0" w:color="auto"/>
                <w:bottom w:val="none" w:sz="0" w:space="0" w:color="auto"/>
                <w:right w:val="none" w:sz="0" w:space="0" w:color="auto"/>
              </w:divBdr>
            </w:div>
            <w:div w:id="75787671">
              <w:marLeft w:val="0"/>
              <w:marRight w:val="0"/>
              <w:marTop w:val="0"/>
              <w:marBottom w:val="0"/>
              <w:divBdr>
                <w:top w:val="none" w:sz="0" w:space="0" w:color="auto"/>
                <w:left w:val="none" w:sz="0" w:space="0" w:color="auto"/>
                <w:bottom w:val="none" w:sz="0" w:space="0" w:color="auto"/>
                <w:right w:val="none" w:sz="0" w:space="0" w:color="auto"/>
              </w:divBdr>
            </w:div>
            <w:div w:id="323436281">
              <w:marLeft w:val="0"/>
              <w:marRight w:val="0"/>
              <w:marTop w:val="0"/>
              <w:marBottom w:val="0"/>
              <w:divBdr>
                <w:top w:val="none" w:sz="0" w:space="0" w:color="auto"/>
                <w:left w:val="none" w:sz="0" w:space="0" w:color="auto"/>
                <w:bottom w:val="none" w:sz="0" w:space="0" w:color="auto"/>
                <w:right w:val="none" w:sz="0" w:space="0" w:color="auto"/>
              </w:divBdr>
            </w:div>
            <w:div w:id="429862690">
              <w:marLeft w:val="0"/>
              <w:marRight w:val="0"/>
              <w:marTop w:val="0"/>
              <w:marBottom w:val="0"/>
              <w:divBdr>
                <w:top w:val="none" w:sz="0" w:space="0" w:color="auto"/>
                <w:left w:val="none" w:sz="0" w:space="0" w:color="auto"/>
                <w:bottom w:val="none" w:sz="0" w:space="0" w:color="auto"/>
                <w:right w:val="none" w:sz="0" w:space="0" w:color="auto"/>
              </w:divBdr>
            </w:div>
            <w:div w:id="581375302">
              <w:marLeft w:val="0"/>
              <w:marRight w:val="0"/>
              <w:marTop w:val="0"/>
              <w:marBottom w:val="0"/>
              <w:divBdr>
                <w:top w:val="none" w:sz="0" w:space="0" w:color="auto"/>
                <w:left w:val="none" w:sz="0" w:space="0" w:color="auto"/>
                <w:bottom w:val="none" w:sz="0" w:space="0" w:color="auto"/>
                <w:right w:val="none" w:sz="0" w:space="0" w:color="auto"/>
              </w:divBdr>
            </w:div>
            <w:div w:id="902063334">
              <w:marLeft w:val="0"/>
              <w:marRight w:val="0"/>
              <w:marTop w:val="0"/>
              <w:marBottom w:val="0"/>
              <w:divBdr>
                <w:top w:val="none" w:sz="0" w:space="0" w:color="auto"/>
                <w:left w:val="none" w:sz="0" w:space="0" w:color="auto"/>
                <w:bottom w:val="none" w:sz="0" w:space="0" w:color="auto"/>
                <w:right w:val="none" w:sz="0" w:space="0" w:color="auto"/>
              </w:divBdr>
            </w:div>
            <w:div w:id="903877376">
              <w:marLeft w:val="0"/>
              <w:marRight w:val="0"/>
              <w:marTop w:val="0"/>
              <w:marBottom w:val="0"/>
              <w:divBdr>
                <w:top w:val="none" w:sz="0" w:space="0" w:color="auto"/>
                <w:left w:val="none" w:sz="0" w:space="0" w:color="auto"/>
                <w:bottom w:val="none" w:sz="0" w:space="0" w:color="auto"/>
                <w:right w:val="none" w:sz="0" w:space="0" w:color="auto"/>
              </w:divBdr>
            </w:div>
            <w:div w:id="974531864">
              <w:marLeft w:val="0"/>
              <w:marRight w:val="0"/>
              <w:marTop w:val="0"/>
              <w:marBottom w:val="0"/>
              <w:divBdr>
                <w:top w:val="none" w:sz="0" w:space="0" w:color="auto"/>
                <w:left w:val="none" w:sz="0" w:space="0" w:color="auto"/>
                <w:bottom w:val="none" w:sz="0" w:space="0" w:color="auto"/>
                <w:right w:val="none" w:sz="0" w:space="0" w:color="auto"/>
              </w:divBdr>
            </w:div>
            <w:div w:id="1347563140">
              <w:marLeft w:val="0"/>
              <w:marRight w:val="0"/>
              <w:marTop w:val="0"/>
              <w:marBottom w:val="0"/>
              <w:divBdr>
                <w:top w:val="none" w:sz="0" w:space="0" w:color="auto"/>
                <w:left w:val="none" w:sz="0" w:space="0" w:color="auto"/>
                <w:bottom w:val="none" w:sz="0" w:space="0" w:color="auto"/>
                <w:right w:val="none" w:sz="0" w:space="0" w:color="auto"/>
              </w:divBdr>
            </w:div>
            <w:div w:id="1387219477">
              <w:marLeft w:val="0"/>
              <w:marRight w:val="0"/>
              <w:marTop w:val="0"/>
              <w:marBottom w:val="0"/>
              <w:divBdr>
                <w:top w:val="none" w:sz="0" w:space="0" w:color="auto"/>
                <w:left w:val="none" w:sz="0" w:space="0" w:color="auto"/>
                <w:bottom w:val="none" w:sz="0" w:space="0" w:color="auto"/>
                <w:right w:val="none" w:sz="0" w:space="0" w:color="auto"/>
              </w:divBdr>
            </w:div>
            <w:div w:id="1589267435">
              <w:marLeft w:val="0"/>
              <w:marRight w:val="0"/>
              <w:marTop w:val="0"/>
              <w:marBottom w:val="0"/>
              <w:divBdr>
                <w:top w:val="none" w:sz="0" w:space="0" w:color="auto"/>
                <w:left w:val="none" w:sz="0" w:space="0" w:color="auto"/>
                <w:bottom w:val="none" w:sz="0" w:space="0" w:color="auto"/>
                <w:right w:val="none" w:sz="0" w:space="0" w:color="auto"/>
              </w:divBdr>
            </w:div>
            <w:div w:id="1799644880">
              <w:marLeft w:val="0"/>
              <w:marRight w:val="0"/>
              <w:marTop w:val="0"/>
              <w:marBottom w:val="0"/>
              <w:divBdr>
                <w:top w:val="none" w:sz="0" w:space="0" w:color="auto"/>
                <w:left w:val="none" w:sz="0" w:space="0" w:color="auto"/>
                <w:bottom w:val="none" w:sz="0" w:space="0" w:color="auto"/>
                <w:right w:val="none" w:sz="0" w:space="0" w:color="auto"/>
              </w:divBdr>
            </w:div>
            <w:div w:id="1854757204">
              <w:marLeft w:val="0"/>
              <w:marRight w:val="0"/>
              <w:marTop w:val="0"/>
              <w:marBottom w:val="0"/>
              <w:divBdr>
                <w:top w:val="none" w:sz="0" w:space="0" w:color="auto"/>
                <w:left w:val="none" w:sz="0" w:space="0" w:color="auto"/>
                <w:bottom w:val="none" w:sz="0" w:space="0" w:color="auto"/>
                <w:right w:val="none" w:sz="0" w:space="0" w:color="auto"/>
              </w:divBdr>
            </w:div>
            <w:div w:id="1882938388">
              <w:marLeft w:val="0"/>
              <w:marRight w:val="0"/>
              <w:marTop w:val="0"/>
              <w:marBottom w:val="0"/>
              <w:divBdr>
                <w:top w:val="none" w:sz="0" w:space="0" w:color="auto"/>
                <w:left w:val="none" w:sz="0" w:space="0" w:color="auto"/>
                <w:bottom w:val="none" w:sz="0" w:space="0" w:color="auto"/>
                <w:right w:val="none" w:sz="0" w:space="0" w:color="auto"/>
              </w:divBdr>
            </w:div>
            <w:div w:id="2078475616">
              <w:marLeft w:val="0"/>
              <w:marRight w:val="0"/>
              <w:marTop w:val="0"/>
              <w:marBottom w:val="0"/>
              <w:divBdr>
                <w:top w:val="none" w:sz="0" w:space="0" w:color="auto"/>
                <w:left w:val="none" w:sz="0" w:space="0" w:color="auto"/>
                <w:bottom w:val="none" w:sz="0" w:space="0" w:color="auto"/>
                <w:right w:val="none" w:sz="0" w:space="0" w:color="auto"/>
              </w:divBdr>
            </w:div>
            <w:div w:id="2118408255">
              <w:marLeft w:val="0"/>
              <w:marRight w:val="0"/>
              <w:marTop w:val="0"/>
              <w:marBottom w:val="0"/>
              <w:divBdr>
                <w:top w:val="none" w:sz="0" w:space="0" w:color="auto"/>
                <w:left w:val="none" w:sz="0" w:space="0" w:color="auto"/>
                <w:bottom w:val="none" w:sz="0" w:space="0" w:color="auto"/>
                <w:right w:val="none" w:sz="0" w:space="0" w:color="auto"/>
              </w:divBdr>
            </w:div>
          </w:divsChild>
        </w:div>
        <w:div w:id="971324155">
          <w:marLeft w:val="0"/>
          <w:marRight w:val="0"/>
          <w:marTop w:val="0"/>
          <w:marBottom w:val="0"/>
          <w:divBdr>
            <w:top w:val="none" w:sz="0" w:space="0" w:color="auto"/>
            <w:left w:val="none" w:sz="0" w:space="0" w:color="auto"/>
            <w:bottom w:val="none" w:sz="0" w:space="0" w:color="auto"/>
            <w:right w:val="none" w:sz="0" w:space="0" w:color="auto"/>
          </w:divBdr>
          <w:divsChild>
            <w:div w:id="358285757">
              <w:marLeft w:val="-75"/>
              <w:marRight w:val="0"/>
              <w:marTop w:val="30"/>
              <w:marBottom w:val="30"/>
              <w:divBdr>
                <w:top w:val="none" w:sz="0" w:space="0" w:color="auto"/>
                <w:left w:val="none" w:sz="0" w:space="0" w:color="auto"/>
                <w:bottom w:val="none" w:sz="0" w:space="0" w:color="auto"/>
                <w:right w:val="none" w:sz="0" w:space="0" w:color="auto"/>
              </w:divBdr>
              <w:divsChild>
                <w:div w:id="36705199">
                  <w:marLeft w:val="0"/>
                  <w:marRight w:val="0"/>
                  <w:marTop w:val="0"/>
                  <w:marBottom w:val="0"/>
                  <w:divBdr>
                    <w:top w:val="none" w:sz="0" w:space="0" w:color="auto"/>
                    <w:left w:val="none" w:sz="0" w:space="0" w:color="auto"/>
                    <w:bottom w:val="none" w:sz="0" w:space="0" w:color="auto"/>
                    <w:right w:val="none" w:sz="0" w:space="0" w:color="auto"/>
                  </w:divBdr>
                  <w:divsChild>
                    <w:div w:id="432557459">
                      <w:marLeft w:val="0"/>
                      <w:marRight w:val="0"/>
                      <w:marTop w:val="0"/>
                      <w:marBottom w:val="0"/>
                      <w:divBdr>
                        <w:top w:val="none" w:sz="0" w:space="0" w:color="auto"/>
                        <w:left w:val="none" w:sz="0" w:space="0" w:color="auto"/>
                        <w:bottom w:val="none" w:sz="0" w:space="0" w:color="auto"/>
                        <w:right w:val="none" w:sz="0" w:space="0" w:color="auto"/>
                      </w:divBdr>
                    </w:div>
                    <w:div w:id="846671308">
                      <w:marLeft w:val="0"/>
                      <w:marRight w:val="0"/>
                      <w:marTop w:val="0"/>
                      <w:marBottom w:val="0"/>
                      <w:divBdr>
                        <w:top w:val="none" w:sz="0" w:space="0" w:color="auto"/>
                        <w:left w:val="none" w:sz="0" w:space="0" w:color="auto"/>
                        <w:bottom w:val="none" w:sz="0" w:space="0" w:color="auto"/>
                        <w:right w:val="none" w:sz="0" w:space="0" w:color="auto"/>
                      </w:divBdr>
                    </w:div>
                  </w:divsChild>
                </w:div>
                <w:div w:id="81341103">
                  <w:marLeft w:val="0"/>
                  <w:marRight w:val="0"/>
                  <w:marTop w:val="0"/>
                  <w:marBottom w:val="0"/>
                  <w:divBdr>
                    <w:top w:val="none" w:sz="0" w:space="0" w:color="auto"/>
                    <w:left w:val="none" w:sz="0" w:space="0" w:color="auto"/>
                    <w:bottom w:val="none" w:sz="0" w:space="0" w:color="auto"/>
                    <w:right w:val="none" w:sz="0" w:space="0" w:color="auto"/>
                  </w:divBdr>
                  <w:divsChild>
                    <w:div w:id="1105078685">
                      <w:marLeft w:val="0"/>
                      <w:marRight w:val="0"/>
                      <w:marTop w:val="0"/>
                      <w:marBottom w:val="0"/>
                      <w:divBdr>
                        <w:top w:val="none" w:sz="0" w:space="0" w:color="auto"/>
                        <w:left w:val="none" w:sz="0" w:space="0" w:color="auto"/>
                        <w:bottom w:val="none" w:sz="0" w:space="0" w:color="auto"/>
                        <w:right w:val="none" w:sz="0" w:space="0" w:color="auto"/>
                      </w:divBdr>
                    </w:div>
                    <w:div w:id="1469929323">
                      <w:marLeft w:val="0"/>
                      <w:marRight w:val="0"/>
                      <w:marTop w:val="0"/>
                      <w:marBottom w:val="0"/>
                      <w:divBdr>
                        <w:top w:val="none" w:sz="0" w:space="0" w:color="auto"/>
                        <w:left w:val="none" w:sz="0" w:space="0" w:color="auto"/>
                        <w:bottom w:val="none" w:sz="0" w:space="0" w:color="auto"/>
                        <w:right w:val="none" w:sz="0" w:space="0" w:color="auto"/>
                      </w:divBdr>
                    </w:div>
                  </w:divsChild>
                </w:div>
                <w:div w:id="269826529">
                  <w:marLeft w:val="0"/>
                  <w:marRight w:val="0"/>
                  <w:marTop w:val="0"/>
                  <w:marBottom w:val="0"/>
                  <w:divBdr>
                    <w:top w:val="none" w:sz="0" w:space="0" w:color="auto"/>
                    <w:left w:val="none" w:sz="0" w:space="0" w:color="auto"/>
                    <w:bottom w:val="none" w:sz="0" w:space="0" w:color="auto"/>
                    <w:right w:val="none" w:sz="0" w:space="0" w:color="auto"/>
                  </w:divBdr>
                  <w:divsChild>
                    <w:div w:id="1258442684">
                      <w:marLeft w:val="0"/>
                      <w:marRight w:val="0"/>
                      <w:marTop w:val="0"/>
                      <w:marBottom w:val="0"/>
                      <w:divBdr>
                        <w:top w:val="none" w:sz="0" w:space="0" w:color="auto"/>
                        <w:left w:val="none" w:sz="0" w:space="0" w:color="auto"/>
                        <w:bottom w:val="none" w:sz="0" w:space="0" w:color="auto"/>
                        <w:right w:val="none" w:sz="0" w:space="0" w:color="auto"/>
                      </w:divBdr>
                    </w:div>
                  </w:divsChild>
                </w:div>
                <w:div w:id="296955825">
                  <w:marLeft w:val="0"/>
                  <w:marRight w:val="0"/>
                  <w:marTop w:val="0"/>
                  <w:marBottom w:val="0"/>
                  <w:divBdr>
                    <w:top w:val="none" w:sz="0" w:space="0" w:color="auto"/>
                    <w:left w:val="none" w:sz="0" w:space="0" w:color="auto"/>
                    <w:bottom w:val="none" w:sz="0" w:space="0" w:color="auto"/>
                    <w:right w:val="none" w:sz="0" w:space="0" w:color="auto"/>
                  </w:divBdr>
                  <w:divsChild>
                    <w:div w:id="1511136845">
                      <w:marLeft w:val="0"/>
                      <w:marRight w:val="0"/>
                      <w:marTop w:val="0"/>
                      <w:marBottom w:val="0"/>
                      <w:divBdr>
                        <w:top w:val="none" w:sz="0" w:space="0" w:color="auto"/>
                        <w:left w:val="none" w:sz="0" w:space="0" w:color="auto"/>
                        <w:bottom w:val="none" w:sz="0" w:space="0" w:color="auto"/>
                        <w:right w:val="none" w:sz="0" w:space="0" w:color="auto"/>
                      </w:divBdr>
                    </w:div>
                  </w:divsChild>
                </w:div>
                <w:div w:id="434639324">
                  <w:marLeft w:val="0"/>
                  <w:marRight w:val="0"/>
                  <w:marTop w:val="0"/>
                  <w:marBottom w:val="0"/>
                  <w:divBdr>
                    <w:top w:val="none" w:sz="0" w:space="0" w:color="auto"/>
                    <w:left w:val="none" w:sz="0" w:space="0" w:color="auto"/>
                    <w:bottom w:val="none" w:sz="0" w:space="0" w:color="auto"/>
                    <w:right w:val="none" w:sz="0" w:space="0" w:color="auto"/>
                  </w:divBdr>
                  <w:divsChild>
                    <w:div w:id="1569270070">
                      <w:marLeft w:val="0"/>
                      <w:marRight w:val="0"/>
                      <w:marTop w:val="0"/>
                      <w:marBottom w:val="0"/>
                      <w:divBdr>
                        <w:top w:val="none" w:sz="0" w:space="0" w:color="auto"/>
                        <w:left w:val="none" w:sz="0" w:space="0" w:color="auto"/>
                        <w:bottom w:val="none" w:sz="0" w:space="0" w:color="auto"/>
                        <w:right w:val="none" w:sz="0" w:space="0" w:color="auto"/>
                      </w:divBdr>
                    </w:div>
                  </w:divsChild>
                </w:div>
                <w:div w:id="488836940">
                  <w:marLeft w:val="0"/>
                  <w:marRight w:val="0"/>
                  <w:marTop w:val="0"/>
                  <w:marBottom w:val="0"/>
                  <w:divBdr>
                    <w:top w:val="none" w:sz="0" w:space="0" w:color="auto"/>
                    <w:left w:val="none" w:sz="0" w:space="0" w:color="auto"/>
                    <w:bottom w:val="none" w:sz="0" w:space="0" w:color="auto"/>
                    <w:right w:val="none" w:sz="0" w:space="0" w:color="auto"/>
                  </w:divBdr>
                  <w:divsChild>
                    <w:div w:id="610865577">
                      <w:marLeft w:val="0"/>
                      <w:marRight w:val="0"/>
                      <w:marTop w:val="0"/>
                      <w:marBottom w:val="0"/>
                      <w:divBdr>
                        <w:top w:val="none" w:sz="0" w:space="0" w:color="auto"/>
                        <w:left w:val="none" w:sz="0" w:space="0" w:color="auto"/>
                        <w:bottom w:val="none" w:sz="0" w:space="0" w:color="auto"/>
                        <w:right w:val="none" w:sz="0" w:space="0" w:color="auto"/>
                      </w:divBdr>
                    </w:div>
                  </w:divsChild>
                </w:div>
                <w:div w:id="489977925">
                  <w:marLeft w:val="0"/>
                  <w:marRight w:val="0"/>
                  <w:marTop w:val="0"/>
                  <w:marBottom w:val="0"/>
                  <w:divBdr>
                    <w:top w:val="none" w:sz="0" w:space="0" w:color="auto"/>
                    <w:left w:val="none" w:sz="0" w:space="0" w:color="auto"/>
                    <w:bottom w:val="none" w:sz="0" w:space="0" w:color="auto"/>
                    <w:right w:val="none" w:sz="0" w:space="0" w:color="auto"/>
                  </w:divBdr>
                  <w:divsChild>
                    <w:div w:id="1180243907">
                      <w:marLeft w:val="0"/>
                      <w:marRight w:val="0"/>
                      <w:marTop w:val="0"/>
                      <w:marBottom w:val="0"/>
                      <w:divBdr>
                        <w:top w:val="none" w:sz="0" w:space="0" w:color="auto"/>
                        <w:left w:val="none" w:sz="0" w:space="0" w:color="auto"/>
                        <w:bottom w:val="none" w:sz="0" w:space="0" w:color="auto"/>
                        <w:right w:val="none" w:sz="0" w:space="0" w:color="auto"/>
                      </w:divBdr>
                    </w:div>
                  </w:divsChild>
                </w:div>
                <w:div w:id="557281013">
                  <w:marLeft w:val="0"/>
                  <w:marRight w:val="0"/>
                  <w:marTop w:val="0"/>
                  <w:marBottom w:val="0"/>
                  <w:divBdr>
                    <w:top w:val="none" w:sz="0" w:space="0" w:color="auto"/>
                    <w:left w:val="none" w:sz="0" w:space="0" w:color="auto"/>
                    <w:bottom w:val="none" w:sz="0" w:space="0" w:color="auto"/>
                    <w:right w:val="none" w:sz="0" w:space="0" w:color="auto"/>
                  </w:divBdr>
                  <w:divsChild>
                    <w:div w:id="405349446">
                      <w:marLeft w:val="0"/>
                      <w:marRight w:val="0"/>
                      <w:marTop w:val="0"/>
                      <w:marBottom w:val="0"/>
                      <w:divBdr>
                        <w:top w:val="none" w:sz="0" w:space="0" w:color="auto"/>
                        <w:left w:val="none" w:sz="0" w:space="0" w:color="auto"/>
                        <w:bottom w:val="none" w:sz="0" w:space="0" w:color="auto"/>
                        <w:right w:val="none" w:sz="0" w:space="0" w:color="auto"/>
                      </w:divBdr>
                    </w:div>
                  </w:divsChild>
                </w:div>
                <w:div w:id="561450754">
                  <w:marLeft w:val="0"/>
                  <w:marRight w:val="0"/>
                  <w:marTop w:val="0"/>
                  <w:marBottom w:val="0"/>
                  <w:divBdr>
                    <w:top w:val="none" w:sz="0" w:space="0" w:color="auto"/>
                    <w:left w:val="none" w:sz="0" w:space="0" w:color="auto"/>
                    <w:bottom w:val="none" w:sz="0" w:space="0" w:color="auto"/>
                    <w:right w:val="none" w:sz="0" w:space="0" w:color="auto"/>
                  </w:divBdr>
                  <w:divsChild>
                    <w:div w:id="1394892277">
                      <w:marLeft w:val="0"/>
                      <w:marRight w:val="0"/>
                      <w:marTop w:val="0"/>
                      <w:marBottom w:val="0"/>
                      <w:divBdr>
                        <w:top w:val="none" w:sz="0" w:space="0" w:color="auto"/>
                        <w:left w:val="none" w:sz="0" w:space="0" w:color="auto"/>
                        <w:bottom w:val="none" w:sz="0" w:space="0" w:color="auto"/>
                        <w:right w:val="none" w:sz="0" w:space="0" w:color="auto"/>
                      </w:divBdr>
                    </w:div>
                  </w:divsChild>
                </w:div>
                <w:div w:id="738097280">
                  <w:marLeft w:val="0"/>
                  <w:marRight w:val="0"/>
                  <w:marTop w:val="0"/>
                  <w:marBottom w:val="0"/>
                  <w:divBdr>
                    <w:top w:val="none" w:sz="0" w:space="0" w:color="auto"/>
                    <w:left w:val="none" w:sz="0" w:space="0" w:color="auto"/>
                    <w:bottom w:val="none" w:sz="0" w:space="0" w:color="auto"/>
                    <w:right w:val="none" w:sz="0" w:space="0" w:color="auto"/>
                  </w:divBdr>
                  <w:divsChild>
                    <w:div w:id="1131173518">
                      <w:marLeft w:val="0"/>
                      <w:marRight w:val="0"/>
                      <w:marTop w:val="0"/>
                      <w:marBottom w:val="0"/>
                      <w:divBdr>
                        <w:top w:val="none" w:sz="0" w:space="0" w:color="auto"/>
                        <w:left w:val="none" w:sz="0" w:space="0" w:color="auto"/>
                        <w:bottom w:val="none" w:sz="0" w:space="0" w:color="auto"/>
                        <w:right w:val="none" w:sz="0" w:space="0" w:color="auto"/>
                      </w:divBdr>
                    </w:div>
                  </w:divsChild>
                </w:div>
                <w:div w:id="762267984">
                  <w:marLeft w:val="0"/>
                  <w:marRight w:val="0"/>
                  <w:marTop w:val="0"/>
                  <w:marBottom w:val="0"/>
                  <w:divBdr>
                    <w:top w:val="none" w:sz="0" w:space="0" w:color="auto"/>
                    <w:left w:val="none" w:sz="0" w:space="0" w:color="auto"/>
                    <w:bottom w:val="none" w:sz="0" w:space="0" w:color="auto"/>
                    <w:right w:val="none" w:sz="0" w:space="0" w:color="auto"/>
                  </w:divBdr>
                  <w:divsChild>
                    <w:div w:id="485124108">
                      <w:marLeft w:val="0"/>
                      <w:marRight w:val="0"/>
                      <w:marTop w:val="0"/>
                      <w:marBottom w:val="0"/>
                      <w:divBdr>
                        <w:top w:val="none" w:sz="0" w:space="0" w:color="auto"/>
                        <w:left w:val="none" w:sz="0" w:space="0" w:color="auto"/>
                        <w:bottom w:val="none" w:sz="0" w:space="0" w:color="auto"/>
                        <w:right w:val="none" w:sz="0" w:space="0" w:color="auto"/>
                      </w:divBdr>
                    </w:div>
                  </w:divsChild>
                </w:div>
                <w:div w:id="773788465">
                  <w:marLeft w:val="0"/>
                  <w:marRight w:val="0"/>
                  <w:marTop w:val="0"/>
                  <w:marBottom w:val="0"/>
                  <w:divBdr>
                    <w:top w:val="none" w:sz="0" w:space="0" w:color="auto"/>
                    <w:left w:val="none" w:sz="0" w:space="0" w:color="auto"/>
                    <w:bottom w:val="none" w:sz="0" w:space="0" w:color="auto"/>
                    <w:right w:val="none" w:sz="0" w:space="0" w:color="auto"/>
                  </w:divBdr>
                  <w:divsChild>
                    <w:div w:id="1691641007">
                      <w:marLeft w:val="0"/>
                      <w:marRight w:val="0"/>
                      <w:marTop w:val="0"/>
                      <w:marBottom w:val="0"/>
                      <w:divBdr>
                        <w:top w:val="none" w:sz="0" w:space="0" w:color="auto"/>
                        <w:left w:val="none" w:sz="0" w:space="0" w:color="auto"/>
                        <w:bottom w:val="none" w:sz="0" w:space="0" w:color="auto"/>
                        <w:right w:val="none" w:sz="0" w:space="0" w:color="auto"/>
                      </w:divBdr>
                    </w:div>
                  </w:divsChild>
                </w:div>
                <w:div w:id="795030747">
                  <w:marLeft w:val="0"/>
                  <w:marRight w:val="0"/>
                  <w:marTop w:val="0"/>
                  <w:marBottom w:val="0"/>
                  <w:divBdr>
                    <w:top w:val="none" w:sz="0" w:space="0" w:color="auto"/>
                    <w:left w:val="none" w:sz="0" w:space="0" w:color="auto"/>
                    <w:bottom w:val="none" w:sz="0" w:space="0" w:color="auto"/>
                    <w:right w:val="none" w:sz="0" w:space="0" w:color="auto"/>
                  </w:divBdr>
                  <w:divsChild>
                    <w:div w:id="846486546">
                      <w:marLeft w:val="0"/>
                      <w:marRight w:val="0"/>
                      <w:marTop w:val="0"/>
                      <w:marBottom w:val="0"/>
                      <w:divBdr>
                        <w:top w:val="none" w:sz="0" w:space="0" w:color="auto"/>
                        <w:left w:val="none" w:sz="0" w:space="0" w:color="auto"/>
                        <w:bottom w:val="none" w:sz="0" w:space="0" w:color="auto"/>
                        <w:right w:val="none" w:sz="0" w:space="0" w:color="auto"/>
                      </w:divBdr>
                    </w:div>
                  </w:divsChild>
                </w:div>
                <w:div w:id="808523041">
                  <w:marLeft w:val="0"/>
                  <w:marRight w:val="0"/>
                  <w:marTop w:val="0"/>
                  <w:marBottom w:val="0"/>
                  <w:divBdr>
                    <w:top w:val="none" w:sz="0" w:space="0" w:color="auto"/>
                    <w:left w:val="none" w:sz="0" w:space="0" w:color="auto"/>
                    <w:bottom w:val="none" w:sz="0" w:space="0" w:color="auto"/>
                    <w:right w:val="none" w:sz="0" w:space="0" w:color="auto"/>
                  </w:divBdr>
                  <w:divsChild>
                    <w:div w:id="1538273648">
                      <w:marLeft w:val="0"/>
                      <w:marRight w:val="0"/>
                      <w:marTop w:val="0"/>
                      <w:marBottom w:val="0"/>
                      <w:divBdr>
                        <w:top w:val="none" w:sz="0" w:space="0" w:color="auto"/>
                        <w:left w:val="none" w:sz="0" w:space="0" w:color="auto"/>
                        <w:bottom w:val="none" w:sz="0" w:space="0" w:color="auto"/>
                        <w:right w:val="none" w:sz="0" w:space="0" w:color="auto"/>
                      </w:divBdr>
                    </w:div>
                  </w:divsChild>
                </w:div>
                <w:div w:id="907764795">
                  <w:marLeft w:val="0"/>
                  <w:marRight w:val="0"/>
                  <w:marTop w:val="0"/>
                  <w:marBottom w:val="0"/>
                  <w:divBdr>
                    <w:top w:val="none" w:sz="0" w:space="0" w:color="auto"/>
                    <w:left w:val="none" w:sz="0" w:space="0" w:color="auto"/>
                    <w:bottom w:val="none" w:sz="0" w:space="0" w:color="auto"/>
                    <w:right w:val="none" w:sz="0" w:space="0" w:color="auto"/>
                  </w:divBdr>
                  <w:divsChild>
                    <w:div w:id="2012367400">
                      <w:marLeft w:val="0"/>
                      <w:marRight w:val="0"/>
                      <w:marTop w:val="0"/>
                      <w:marBottom w:val="0"/>
                      <w:divBdr>
                        <w:top w:val="none" w:sz="0" w:space="0" w:color="auto"/>
                        <w:left w:val="none" w:sz="0" w:space="0" w:color="auto"/>
                        <w:bottom w:val="none" w:sz="0" w:space="0" w:color="auto"/>
                        <w:right w:val="none" w:sz="0" w:space="0" w:color="auto"/>
                      </w:divBdr>
                    </w:div>
                    <w:div w:id="2107995215">
                      <w:marLeft w:val="0"/>
                      <w:marRight w:val="0"/>
                      <w:marTop w:val="0"/>
                      <w:marBottom w:val="0"/>
                      <w:divBdr>
                        <w:top w:val="none" w:sz="0" w:space="0" w:color="auto"/>
                        <w:left w:val="none" w:sz="0" w:space="0" w:color="auto"/>
                        <w:bottom w:val="none" w:sz="0" w:space="0" w:color="auto"/>
                        <w:right w:val="none" w:sz="0" w:space="0" w:color="auto"/>
                      </w:divBdr>
                    </w:div>
                  </w:divsChild>
                </w:div>
                <w:div w:id="1000544014">
                  <w:marLeft w:val="0"/>
                  <w:marRight w:val="0"/>
                  <w:marTop w:val="0"/>
                  <w:marBottom w:val="0"/>
                  <w:divBdr>
                    <w:top w:val="none" w:sz="0" w:space="0" w:color="auto"/>
                    <w:left w:val="none" w:sz="0" w:space="0" w:color="auto"/>
                    <w:bottom w:val="none" w:sz="0" w:space="0" w:color="auto"/>
                    <w:right w:val="none" w:sz="0" w:space="0" w:color="auto"/>
                  </w:divBdr>
                  <w:divsChild>
                    <w:div w:id="1133258109">
                      <w:marLeft w:val="0"/>
                      <w:marRight w:val="0"/>
                      <w:marTop w:val="0"/>
                      <w:marBottom w:val="0"/>
                      <w:divBdr>
                        <w:top w:val="none" w:sz="0" w:space="0" w:color="auto"/>
                        <w:left w:val="none" w:sz="0" w:space="0" w:color="auto"/>
                        <w:bottom w:val="none" w:sz="0" w:space="0" w:color="auto"/>
                        <w:right w:val="none" w:sz="0" w:space="0" w:color="auto"/>
                      </w:divBdr>
                    </w:div>
                  </w:divsChild>
                </w:div>
                <w:div w:id="1018119143">
                  <w:marLeft w:val="0"/>
                  <w:marRight w:val="0"/>
                  <w:marTop w:val="0"/>
                  <w:marBottom w:val="0"/>
                  <w:divBdr>
                    <w:top w:val="none" w:sz="0" w:space="0" w:color="auto"/>
                    <w:left w:val="none" w:sz="0" w:space="0" w:color="auto"/>
                    <w:bottom w:val="none" w:sz="0" w:space="0" w:color="auto"/>
                    <w:right w:val="none" w:sz="0" w:space="0" w:color="auto"/>
                  </w:divBdr>
                  <w:divsChild>
                    <w:div w:id="1125199383">
                      <w:marLeft w:val="0"/>
                      <w:marRight w:val="0"/>
                      <w:marTop w:val="0"/>
                      <w:marBottom w:val="0"/>
                      <w:divBdr>
                        <w:top w:val="none" w:sz="0" w:space="0" w:color="auto"/>
                        <w:left w:val="none" w:sz="0" w:space="0" w:color="auto"/>
                        <w:bottom w:val="none" w:sz="0" w:space="0" w:color="auto"/>
                        <w:right w:val="none" w:sz="0" w:space="0" w:color="auto"/>
                      </w:divBdr>
                    </w:div>
                  </w:divsChild>
                </w:div>
                <w:div w:id="1026105530">
                  <w:marLeft w:val="0"/>
                  <w:marRight w:val="0"/>
                  <w:marTop w:val="0"/>
                  <w:marBottom w:val="0"/>
                  <w:divBdr>
                    <w:top w:val="none" w:sz="0" w:space="0" w:color="auto"/>
                    <w:left w:val="none" w:sz="0" w:space="0" w:color="auto"/>
                    <w:bottom w:val="none" w:sz="0" w:space="0" w:color="auto"/>
                    <w:right w:val="none" w:sz="0" w:space="0" w:color="auto"/>
                  </w:divBdr>
                  <w:divsChild>
                    <w:div w:id="1931349915">
                      <w:marLeft w:val="0"/>
                      <w:marRight w:val="0"/>
                      <w:marTop w:val="0"/>
                      <w:marBottom w:val="0"/>
                      <w:divBdr>
                        <w:top w:val="none" w:sz="0" w:space="0" w:color="auto"/>
                        <w:left w:val="none" w:sz="0" w:space="0" w:color="auto"/>
                        <w:bottom w:val="none" w:sz="0" w:space="0" w:color="auto"/>
                        <w:right w:val="none" w:sz="0" w:space="0" w:color="auto"/>
                      </w:divBdr>
                    </w:div>
                  </w:divsChild>
                </w:div>
                <w:div w:id="1113787263">
                  <w:marLeft w:val="0"/>
                  <w:marRight w:val="0"/>
                  <w:marTop w:val="0"/>
                  <w:marBottom w:val="0"/>
                  <w:divBdr>
                    <w:top w:val="none" w:sz="0" w:space="0" w:color="auto"/>
                    <w:left w:val="none" w:sz="0" w:space="0" w:color="auto"/>
                    <w:bottom w:val="none" w:sz="0" w:space="0" w:color="auto"/>
                    <w:right w:val="none" w:sz="0" w:space="0" w:color="auto"/>
                  </w:divBdr>
                  <w:divsChild>
                    <w:div w:id="1192954369">
                      <w:marLeft w:val="0"/>
                      <w:marRight w:val="0"/>
                      <w:marTop w:val="0"/>
                      <w:marBottom w:val="0"/>
                      <w:divBdr>
                        <w:top w:val="none" w:sz="0" w:space="0" w:color="auto"/>
                        <w:left w:val="none" w:sz="0" w:space="0" w:color="auto"/>
                        <w:bottom w:val="none" w:sz="0" w:space="0" w:color="auto"/>
                        <w:right w:val="none" w:sz="0" w:space="0" w:color="auto"/>
                      </w:divBdr>
                    </w:div>
                  </w:divsChild>
                </w:div>
                <w:div w:id="1124738838">
                  <w:marLeft w:val="0"/>
                  <w:marRight w:val="0"/>
                  <w:marTop w:val="0"/>
                  <w:marBottom w:val="0"/>
                  <w:divBdr>
                    <w:top w:val="none" w:sz="0" w:space="0" w:color="auto"/>
                    <w:left w:val="none" w:sz="0" w:space="0" w:color="auto"/>
                    <w:bottom w:val="none" w:sz="0" w:space="0" w:color="auto"/>
                    <w:right w:val="none" w:sz="0" w:space="0" w:color="auto"/>
                  </w:divBdr>
                  <w:divsChild>
                    <w:div w:id="375350194">
                      <w:marLeft w:val="0"/>
                      <w:marRight w:val="0"/>
                      <w:marTop w:val="0"/>
                      <w:marBottom w:val="0"/>
                      <w:divBdr>
                        <w:top w:val="none" w:sz="0" w:space="0" w:color="auto"/>
                        <w:left w:val="none" w:sz="0" w:space="0" w:color="auto"/>
                        <w:bottom w:val="none" w:sz="0" w:space="0" w:color="auto"/>
                        <w:right w:val="none" w:sz="0" w:space="0" w:color="auto"/>
                      </w:divBdr>
                    </w:div>
                  </w:divsChild>
                </w:div>
                <w:div w:id="1276910210">
                  <w:marLeft w:val="0"/>
                  <w:marRight w:val="0"/>
                  <w:marTop w:val="0"/>
                  <w:marBottom w:val="0"/>
                  <w:divBdr>
                    <w:top w:val="none" w:sz="0" w:space="0" w:color="auto"/>
                    <w:left w:val="none" w:sz="0" w:space="0" w:color="auto"/>
                    <w:bottom w:val="none" w:sz="0" w:space="0" w:color="auto"/>
                    <w:right w:val="none" w:sz="0" w:space="0" w:color="auto"/>
                  </w:divBdr>
                  <w:divsChild>
                    <w:div w:id="486552955">
                      <w:marLeft w:val="0"/>
                      <w:marRight w:val="0"/>
                      <w:marTop w:val="0"/>
                      <w:marBottom w:val="0"/>
                      <w:divBdr>
                        <w:top w:val="none" w:sz="0" w:space="0" w:color="auto"/>
                        <w:left w:val="none" w:sz="0" w:space="0" w:color="auto"/>
                        <w:bottom w:val="none" w:sz="0" w:space="0" w:color="auto"/>
                        <w:right w:val="none" w:sz="0" w:space="0" w:color="auto"/>
                      </w:divBdr>
                    </w:div>
                  </w:divsChild>
                </w:div>
                <w:div w:id="1408917632">
                  <w:marLeft w:val="0"/>
                  <w:marRight w:val="0"/>
                  <w:marTop w:val="0"/>
                  <w:marBottom w:val="0"/>
                  <w:divBdr>
                    <w:top w:val="none" w:sz="0" w:space="0" w:color="auto"/>
                    <w:left w:val="none" w:sz="0" w:space="0" w:color="auto"/>
                    <w:bottom w:val="none" w:sz="0" w:space="0" w:color="auto"/>
                    <w:right w:val="none" w:sz="0" w:space="0" w:color="auto"/>
                  </w:divBdr>
                  <w:divsChild>
                    <w:div w:id="440030880">
                      <w:marLeft w:val="0"/>
                      <w:marRight w:val="0"/>
                      <w:marTop w:val="0"/>
                      <w:marBottom w:val="0"/>
                      <w:divBdr>
                        <w:top w:val="none" w:sz="0" w:space="0" w:color="auto"/>
                        <w:left w:val="none" w:sz="0" w:space="0" w:color="auto"/>
                        <w:bottom w:val="none" w:sz="0" w:space="0" w:color="auto"/>
                        <w:right w:val="none" w:sz="0" w:space="0" w:color="auto"/>
                      </w:divBdr>
                    </w:div>
                  </w:divsChild>
                </w:div>
                <w:div w:id="1455128354">
                  <w:marLeft w:val="0"/>
                  <w:marRight w:val="0"/>
                  <w:marTop w:val="0"/>
                  <w:marBottom w:val="0"/>
                  <w:divBdr>
                    <w:top w:val="none" w:sz="0" w:space="0" w:color="auto"/>
                    <w:left w:val="none" w:sz="0" w:space="0" w:color="auto"/>
                    <w:bottom w:val="none" w:sz="0" w:space="0" w:color="auto"/>
                    <w:right w:val="none" w:sz="0" w:space="0" w:color="auto"/>
                  </w:divBdr>
                  <w:divsChild>
                    <w:div w:id="652368634">
                      <w:marLeft w:val="0"/>
                      <w:marRight w:val="0"/>
                      <w:marTop w:val="0"/>
                      <w:marBottom w:val="0"/>
                      <w:divBdr>
                        <w:top w:val="none" w:sz="0" w:space="0" w:color="auto"/>
                        <w:left w:val="none" w:sz="0" w:space="0" w:color="auto"/>
                        <w:bottom w:val="none" w:sz="0" w:space="0" w:color="auto"/>
                        <w:right w:val="none" w:sz="0" w:space="0" w:color="auto"/>
                      </w:divBdr>
                    </w:div>
                  </w:divsChild>
                </w:div>
                <w:div w:id="1486318608">
                  <w:marLeft w:val="0"/>
                  <w:marRight w:val="0"/>
                  <w:marTop w:val="0"/>
                  <w:marBottom w:val="0"/>
                  <w:divBdr>
                    <w:top w:val="none" w:sz="0" w:space="0" w:color="auto"/>
                    <w:left w:val="none" w:sz="0" w:space="0" w:color="auto"/>
                    <w:bottom w:val="none" w:sz="0" w:space="0" w:color="auto"/>
                    <w:right w:val="none" w:sz="0" w:space="0" w:color="auto"/>
                  </w:divBdr>
                  <w:divsChild>
                    <w:div w:id="1017999163">
                      <w:marLeft w:val="0"/>
                      <w:marRight w:val="0"/>
                      <w:marTop w:val="0"/>
                      <w:marBottom w:val="0"/>
                      <w:divBdr>
                        <w:top w:val="none" w:sz="0" w:space="0" w:color="auto"/>
                        <w:left w:val="none" w:sz="0" w:space="0" w:color="auto"/>
                        <w:bottom w:val="none" w:sz="0" w:space="0" w:color="auto"/>
                        <w:right w:val="none" w:sz="0" w:space="0" w:color="auto"/>
                      </w:divBdr>
                    </w:div>
                  </w:divsChild>
                </w:div>
                <w:div w:id="1549223548">
                  <w:marLeft w:val="0"/>
                  <w:marRight w:val="0"/>
                  <w:marTop w:val="0"/>
                  <w:marBottom w:val="0"/>
                  <w:divBdr>
                    <w:top w:val="none" w:sz="0" w:space="0" w:color="auto"/>
                    <w:left w:val="none" w:sz="0" w:space="0" w:color="auto"/>
                    <w:bottom w:val="none" w:sz="0" w:space="0" w:color="auto"/>
                    <w:right w:val="none" w:sz="0" w:space="0" w:color="auto"/>
                  </w:divBdr>
                  <w:divsChild>
                    <w:div w:id="1564173275">
                      <w:marLeft w:val="0"/>
                      <w:marRight w:val="0"/>
                      <w:marTop w:val="0"/>
                      <w:marBottom w:val="0"/>
                      <w:divBdr>
                        <w:top w:val="none" w:sz="0" w:space="0" w:color="auto"/>
                        <w:left w:val="none" w:sz="0" w:space="0" w:color="auto"/>
                        <w:bottom w:val="none" w:sz="0" w:space="0" w:color="auto"/>
                        <w:right w:val="none" w:sz="0" w:space="0" w:color="auto"/>
                      </w:divBdr>
                    </w:div>
                  </w:divsChild>
                </w:div>
                <w:div w:id="1608392724">
                  <w:marLeft w:val="0"/>
                  <w:marRight w:val="0"/>
                  <w:marTop w:val="0"/>
                  <w:marBottom w:val="0"/>
                  <w:divBdr>
                    <w:top w:val="none" w:sz="0" w:space="0" w:color="auto"/>
                    <w:left w:val="none" w:sz="0" w:space="0" w:color="auto"/>
                    <w:bottom w:val="none" w:sz="0" w:space="0" w:color="auto"/>
                    <w:right w:val="none" w:sz="0" w:space="0" w:color="auto"/>
                  </w:divBdr>
                  <w:divsChild>
                    <w:div w:id="417873526">
                      <w:marLeft w:val="0"/>
                      <w:marRight w:val="0"/>
                      <w:marTop w:val="0"/>
                      <w:marBottom w:val="0"/>
                      <w:divBdr>
                        <w:top w:val="none" w:sz="0" w:space="0" w:color="auto"/>
                        <w:left w:val="none" w:sz="0" w:space="0" w:color="auto"/>
                        <w:bottom w:val="none" w:sz="0" w:space="0" w:color="auto"/>
                        <w:right w:val="none" w:sz="0" w:space="0" w:color="auto"/>
                      </w:divBdr>
                    </w:div>
                  </w:divsChild>
                </w:div>
                <w:div w:id="1680157521">
                  <w:marLeft w:val="0"/>
                  <w:marRight w:val="0"/>
                  <w:marTop w:val="0"/>
                  <w:marBottom w:val="0"/>
                  <w:divBdr>
                    <w:top w:val="none" w:sz="0" w:space="0" w:color="auto"/>
                    <w:left w:val="none" w:sz="0" w:space="0" w:color="auto"/>
                    <w:bottom w:val="none" w:sz="0" w:space="0" w:color="auto"/>
                    <w:right w:val="none" w:sz="0" w:space="0" w:color="auto"/>
                  </w:divBdr>
                  <w:divsChild>
                    <w:div w:id="1571311774">
                      <w:marLeft w:val="0"/>
                      <w:marRight w:val="0"/>
                      <w:marTop w:val="0"/>
                      <w:marBottom w:val="0"/>
                      <w:divBdr>
                        <w:top w:val="none" w:sz="0" w:space="0" w:color="auto"/>
                        <w:left w:val="none" w:sz="0" w:space="0" w:color="auto"/>
                        <w:bottom w:val="none" w:sz="0" w:space="0" w:color="auto"/>
                        <w:right w:val="none" w:sz="0" w:space="0" w:color="auto"/>
                      </w:divBdr>
                    </w:div>
                  </w:divsChild>
                </w:div>
                <w:div w:id="1690637104">
                  <w:marLeft w:val="0"/>
                  <w:marRight w:val="0"/>
                  <w:marTop w:val="0"/>
                  <w:marBottom w:val="0"/>
                  <w:divBdr>
                    <w:top w:val="none" w:sz="0" w:space="0" w:color="auto"/>
                    <w:left w:val="none" w:sz="0" w:space="0" w:color="auto"/>
                    <w:bottom w:val="none" w:sz="0" w:space="0" w:color="auto"/>
                    <w:right w:val="none" w:sz="0" w:space="0" w:color="auto"/>
                  </w:divBdr>
                  <w:divsChild>
                    <w:div w:id="200093455">
                      <w:marLeft w:val="0"/>
                      <w:marRight w:val="0"/>
                      <w:marTop w:val="0"/>
                      <w:marBottom w:val="0"/>
                      <w:divBdr>
                        <w:top w:val="none" w:sz="0" w:space="0" w:color="auto"/>
                        <w:left w:val="none" w:sz="0" w:space="0" w:color="auto"/>
                        <w:bottom w:val="none" w:sz="0" w:space="0" w:color="auto"/>
                        <w:right w:val="none" w:sz="0" w:space="0" w:color="auto"/>
                      </w:divBdr>
                    </w:div>
                  </w:divsChild>
                </w:div>
                <w:div w:id="1782190747">
                  <w:marLeft w:val="0"/>
                  <w:marRight w:val="0"/>
                  <w:marTop w:val="0"/>
                  <w:marBottom w:val="0"/>
                  <w:divBdr>
                    <w:top w:val="none" w:sz="0" w:space="0" w:color="auto"/>
                    <w:left w:val="none" w:sz="0" w:space="0" w:color="auto"/>
                    <w:bottom w:val="none" w:sz="0" w:space="0" w:color="auto"/>
                    <w:right w:val="none" w:sz="0" w:space="0" w:color="auto"/>
                  </w:divBdr>
                  <w:divsChild>
                    <w:div w:id="129127886">
                      <w:marLeft w:val="0"/>
                      <w:marRight w:val="0"/>
                      <w:marTop w:val="0"/>
                      <w:marBottom w:val="0"/>
                      <w:divBdr>
                        <w:top w:val="none" w:sz="0" w:space="0" w:color="auto"/>
                        <w:left w:val="none" w:sz="0" w:space="0" w:color="auto"/>
                        <w:bottom w:val="none" w:sz="0" w:space="0" w:color="auto"/>
                        <w:right w:val="none" w:sz="0" w:space="0" w:color="auto"/>
                      </w:divBdr>
                    </w:div>
                    <w:div w:id="1472675054">
                      <w:marLeft w:val="0"/>
                      <w:marRight w:val="0"/>
                      <w:marTop w:val="0"/>
                      <w:marBottom w:val="0"/>
                      <w:divBdr>
                        <w:top w:val="none" w:sz="0" w:space="0" w:color="auto"/>
                        <w:left w:val="none" w:sz="0" w:space="0" w:color="auto"/>
                        <w:bottom w:val="none" w:sz="0" w:space="0" w:color="auto"/>
                        <w:right w:val="none" w:sz="0" w:space="0" w:color="auto"/>
                      </w:divBdr>
                    </w:div>
                  </w:divsChild>
                </w:div>
                <w:div w:id="1882132599">
                  <w:marLeft w:val="0"/>
                  <w:marRight w:val="0"/>
                  <w:marTop w:val="0"/>
                  <w:marBottom w:val="0"/>
                  <w:divBdr>
                    <w:top w:val="none" w:sz="0" w:space="0" w:color="auto"/>
                    <w:left w:val="none" w:sz="0" w:space="0" w:color="auto"/>
                    <w:bottom w:val="none" w:sz="0" w:space="0" w:color="auto"/>
                    <w:right w:val="none" w:sz="0" w:space="0" w:color="auto"/>
                  </w:divBdr>
                  <w:divsChild>
                    <w:div w:id="1068772568">
                      <w:marLeft w:val="0"/>
                      <w:marRight w:val="0"/>
                      <w:marTop w:val="0"/>
                      <w:marBottom w:val="0"/>
                      <w:divBdr>
                        <w:top w:val="none" w:sz="0" w:space="0" w:color="auto"/>
                        <w:left w:val="none" w:sz="0" w:space="0" w:color="auto"/>
                        <w:bottom w:val="none" w:sz="0" w:space="0" w:color="auto"/>
                        <w:right w:val="none" w:sz="0" w:space="0" w:color="auto"/>
                      </w:divBdr>
                    </w:div>
                  </w:divsChild>
                </w:div>
                <w:div w:id="1913349741">
                  <w:marLeft w:val="0"/>
                  <w:marRight w:val="0"/>
                  <w:marTop w:val="0"/>
                  <w:marBottom w:val="0"/>
                  <w:divBdr>
                    <w:top w:val="none" w:sz="0" w:space="0" w:color="auto"/>
                    <w:left w:val="none" w:sz="0" w:space="0" w:color="auto"/>
                    <w:bottom w:val="none" w:sz="0" w:space="0" w:color="auto"/>
                    <w:right w:val="none" w:sz="0" w:space="0" w:color="auto"/>
                  </w:divBdr>
                  <w:divsChild>
                    <w:div w:id="1506826386">
                      <w:marLeft w:val="0"/>
                      <w:marRight w:val="0"/>
                      <w:marTop w:val="0"/>
                      <w:marBottom w:val="0"/>
                      <w:divBdr>
                        <w:top w:val="none" w:sz="0" w:space="0" w:color="auto"/>
                        <w:left w:val="none" w:sz="0" w:space="0" w:color="auto"/>
                        <w:bottom w:val="none" w:sz="0" w:space="0" w:color="auto"/>
                        <w:right w:val="none" w:sz="0" w:space="0" w:color="auto"/>
                      </w:divBdr>
                    </w:div>
                  </w:divsChild>
                </w:div>
                <w:div w:id="1968005557">
                  <w:marLeft w:val="0"/>
                  <w:marRight w:val="0"/>
                  <w:marTop w:val="0"/>
                  <w:marBottom w:val="0"/>
                  <w:divBdr>
                    <w:top w:val="none" w:sz="0" w:space="0" w:color="auto"/>
                    <w:left w:val="none" w:sz="0" w:space="0" w:color="auto"/>
                    <w:bottom w:val="none" w:sz="0" w:space="0" w:color="auto"/>
                    <w:right w:val="none" w:sz="0" w:space="0" w:color="auto"/>
                  </w:divBdr>
                  <w:divsChild>
                    <w:div w:id="598029492">
                      <w:marLeft w:val="0"/>
                      <w:marRight w:val="0"/>
                      <w:marTop w:val="0"/>
                      <w:marBottom w:val="0"/>
                      <w:divBdr>
                        <w:top w:val="none" w:sz="0" w:space="0" w:color="auto"/>
                        <w:left w:val="none" w:sz="0" w:space="0" w:color="auto"/>
                        <w:bottom w:val="none" w:sz="0" w:space="0" w:color="auto"/>
                        <w:right w:val="none" w:sz="0" w:space="0" w:color="auto"/>
                      </w:divBdr>
                    </w:div>
                  </w:divsChild>
                </w:div>
                <w:div w:id="2004820953">
                  <w:marLeft w:val="0"/>
                  <w:marRight w:val="0"/>
                  <w:marTop w:val="0"/>
                  <w:marBottom w:val="0"/>
                  <w:divBdr>
                    <w:top w:val="none" w:sz="0" w:space="0" w:color="auto"/>
                    <w:left w:val="none" w:sz="0" w:space="0" w:color="auto"/>
                    <w:bottom w:val="none" w:sz="0" w:space="0" w:color="auto"/>
                    <w:right w:val="none" w:sz="0" w:space="0" w:color="auto"/>
                  </w:divBdr>
                  <w:divsChild>
                    <w:div w:id="18285241">
                      <w:marLeft w:val="0"/>
                      <w:marRight w:val="0"/>
                      <w:marTop w:val="0"/>
                      <w:marBottom w:val="0"/>
                      <w:divBdr>
                        <w:top w:val="none" w:sz="0" w:space="0" w:color="auto"/>
                        <w:left w:val="none" w:sz="0" w:space="0" w:color="auto"/>
                        <w:bottom w:val="none" w:sz="0" w:space="0" w:color="auto"/>
                        <w:right w:val="none" w:sz="0" w:space="0" w:color="auto"/>
                      </w:divBdr>
                    </w:div>
                    <w:div w:id="1364355850">
                      <w:marLeft w:val="0"/>
                      <w:marRight w:val="0"/>
                      <w:marTop w:val="0"/>
                      <w:marBottom w:val="0"/>
                      <w:divBdr>
                        <w:top w:val="none" w:sz="0" w:space="0" w:color="auto"/>
                        <w:left w:val="none" w:sz="0" w:space="0" w:color="auto"/>
                        <w:bottom w:val="none" w:sz="0" w:space="0" w:color="auto"/>
                        <w:right w:val="none" w:sz="0" w:space="0" w:color="auto"/>
                      </w:divBdr>
                    </w:div>
                  </w:divsChild>
                </w:div>
                <w:div w:id="2022051126">
                  <w:marLeft w:val="0"/>
                  <w:marRight w:val="0"/>
                  <w:marTop w:val="0"/>
                  <w:marBottom w:val="0"/>
                  <w:divBdr>
                    <w:top w:val="none" w:sz="0" w:space="0" w:color="auto"/>
                    <w:left w:val="none" w:sz="0" w:space="0" w:color="auto"/>
                    <w:bottom w:val="none" w:sz="0" w:space="0" w:color="auto"/>
                    <w:right w:val="none" w:sz="0" w:space="0" w:color="auto"/>
                  </w:divBdr>
                  <w:divsChild>
                    <w:div w:id="467088431">
                      <w:marLeft w:val="0"/>
                      <w:marRight w:val="0"/>
                      <w:marTop w:val="0"/>
                      <w:marBottom w:val="0"/>
                      <w:divBdr>
                        <w:top w:val="none" w:sz="0" w:space="0" w:color="auto"/>
                        <w:left w:val="none" w:sz="0" w:space="0" w:color="auto"/>
                        <w:bottom w:val="none" w:sz="0" w:space="0" w:color="auto"/>
                        <w:right w:val="none" w:sz="0" w:space="0" w:color="auto"/>
                      </w:divBdr>
                    </w:div>
                  </w:divsChild>
                </w:div>
                <w:div w:id="2033263734">
                  <w:marLeft w:val="0"/>
                  <w:marRight w:val="0"/>
                  <w:marTop w:val="0"/>
                  <w:marBottom w:val="0"/>
                  <w:divBdr>
                    <w:top w:val="none" w:sz="0" w:space="0" w:color="auto"/>
                    <w:left w:val="none" w:sz="0" w:space="0" w:color="auto"/>
                    <w:bottom w:val="none" w:sz="0" w:space="0" w:color="auto"/>
                    <w:right w:val="none" w:sz="0" w:space="0" w:color="auto"/>
                  </w:divBdr>
                  <w:divsChild>
                    <w:div w:id="516773360">
                      <w:marLeft w:val="0"/>
                      <w:marRight w:val="0"/>
                      <w:marTop w:val="0"/>
                      <w:marBottom w:val="0"/>
                      <w:divBdr>
                        <w:top w:val="none" w:sz="0" w:space="0" w:color="auto"/>
                        <w:left w:val="none" w:sz="0" w:space="0" w:color="auto"/>
                        <w:bottom w:val="none" w:sz="0" w:space="0" w:color="auto"/>
                        <w:right w:val="none" w:sz="0" w:space="0" w:color="auto"/>
                      </w:divBdr>
                    </w:div>
                  </w:divsChild>
                </w:div>
                <w:div w:id="2110545660">
                  <w:marLeft w:val="0"/>
                  <w:marRight w:val="0"/>
                  <w:marTop w:val="0"/>
                  <w:marBottom w:val="0"/>
                  <w:divBdr>
                    <w:top w:val="none" w:sz="0" w:space="0" w:color="auto"/>
                    <w:left w:val="none" w:sz="0" w:space="0" w:color="auto"/>
                    <w:bottom w:val="none" w:sz="0" w:space="0" w:color="auto"/>
                    <w:right w:val="none" w:sz="0" w:space="0" w:color="auto"/>
                  </w:divBdr>
                  <w:divsChild>
                    <w:div w:id="21169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77076">
          <w:marLeft w:val="0"/>
          <w:marRight w:val="0"/>
          <w:marTop w:val="0"/>
          <w:marBottom w:val="0"/>
          <w:divBdr>
            <w:top w:val="none" w:sz="0" w:space="0" w:color="auto"/>
            <w:left w:val="none" w:sz="0" w:space="0" w:color="auto"/>
            <w:bottom w:val="none" w:sz="0" w:space="0" w:color="auto"/>
            <w:right w:val="none" w:sz="0" w:space="0" w:color="auto"/>
          </w:divBdr>
        </w:div>
        <w:div w:id="981229154">
          <w:marLeft w:val="0"/>
          <w:marRight w:val="0"/>
          <w:marTop w:val="0"/>
          <w:marBottom w:val="0"/>
          <w:divBdr>
            <w:top w:val="none" w:sz="0" w:space="0" w:color="auto"/>
            <w:left w:val="none" w:sz="0" w:space="0" w:color="auto"/>
            <w:bottom w:val="none" w:sz="0" w:space="0" w:color="auto"/>
            <w:right w:val="none" w:sz="0" w:space="0" w:color="auto"/>
          </w:divBdr>
        </w:div>
        <w:div w:id="1008480798">
          <w:marLeft w:val="0"/>
          <w:marRight w:val="0"/>
          <w:marTop w:val="0"/>
          <w:marBottom w:val="0"/>
          <w:divBdr>
            <w:top w:val="none" w:sz="0" w:space="0" w:color="auto"/>
            <w:left w:val="none" w:sz="0" w:space="0" w:color="auto"/>
            <w:bottom w:val="none" w:sz="0" w:space="0" w:color="auto"/>
            <w:right w:val="none" w:sz="0" w:space="0" w:color="auto"/>
          </w:divBdr>
        </w:div>
        <w:div w:id="1021203335">
          <w:marLeft w:val="0"/>
          <w:marRight w:val="0"/>
          <w:marTop w:val="0"/>
          <w:marBottom w:val="0"/>
          <w:divBdr>
            <w:top w:val="none" w:sz="0" w:space="0" w:color="auto"/>
            <w:left w:val="none" w:sz="0" w:space="0" w:color="auto"/>
            <w:bottom w:val="none" w:sz="0" w:space="0" w:color="auto"/>
            <w:right w:val="none" w:sz="0" w:space="0" w:color="auto"/>
          </w:divBdr>
        </w:div>
        <w:div w:id="1065294738">
          <w:marLeft w:val="0"/>
          <w:marRight w:val="0"/>
          <w:marTop w:val="0"/>
          <w:marBottom w:val="0"/>
          <w:divBdr>
            <w:top w:val="none" w:sz="0" w:space="0" w:color="auto"/>
            <w:left w:val="none" w:sz="0" w:space="0" w:color="auto"/>
            <w:bottom w:val="none" w:sz="0" w:space="0" w:color="auto"/>
            <w:right w:val="none" w:sz="0" w:space="0" w:color="auto"/>
          </w:divBdr>
        </w:div>
        <w:div w:id="1077938207">
          <w:marLeft w:val="0"/>
          <w:marRight w:val="0"/>
          <w:marTop w:val="0"/>
          <w:marBottom w:val="0"/>
          <w:divBdr>
            <w:top w:val="none" w:sz="0" w:space="0" w:color="auto"/>
            <w:left w:val="none" w:sz="0" w:space="0" w:color="auto"/>
            <w:bottom w:val="none" w:sz="0" w:space="0" w:color="auto"/>
            <w:right w:val="none" w:sz="0" w:space="0" w:color="auto"/>
          </w:divBdr>
        </w:div>
        <w:div w:id="1095439968">
          <w:marLeft w:val="0"/>
          <w:marRight w:val="0"/>
          <w:marTop w:val="0"/>
          <w:marBottom w:val="0"/>
          <w:divBdr>
            <w:top w:val="none" w:sz="0" w:space="0" w:color="auto"/>
            <w:left w:val="none" w:sz="0" w:space="0" w:color="auto"/>
            <w:bottom w:val="none" w:sz="0" w:space="0" w:color="auto"/>
            <w:right w:val="none" w:sz="0" w:space="0" w:color="auto"/>
          </w:divBdr>
        </w:div>
        <w:div w:id="1096898406">
          <w:marLeft w:val="0"/>
          <w:marRight w:val="0"/>
          <w:marTop w:val="0"/>
          <w:marBottom w:val="0"/>
          <w:divBdr>
            <w:top w:val="none" w:sz="0" w:space="0" w:color="auto"/>
            <w:left w:val="none" w:sz="0" w:space="0" w:color="auto"/>
            <w:bottom w:val="none" w:sz="0" w:space="0" w:color="auto"/>
            <w:right w:val="none" w:sz="0" w:space="0" w:color="auto"/>
          </w:divBdr>
        </w:div>
        <w:div w:id="1118640611">
          <w:marLeft w:val="0"/>
          <w:marRight w:val="0"/>
          <w:marTop w:val="0"/>
          <w:marBottom w:val="0"/>
          <w:divBdr>
            <w:top w:val="none" w:sz="0" w:space="0" w:color="auto"/>
            <w:left w:val="none" w:sz="0" w:space="0" w:color="auto"/>
            <w:bottom w:val="none" w:sz="0" w:space="0" w:color="auto"/>
            <w:right w:val="none" w:sz="0" w:space="0" w:color="auto"/>
          </w:divBdr>
        </w:div>
        <w:div w:id="1132745824">
          <w:marLeft w:val="0"/>
          <w:marRight w:val="0"/>
          <w:marTop w:val="0"/>
          <w:marBottom w:val="0"/>
          <w:divBdr>
            <w:top w:val="none" w:sz="0" w:space="0" w:color="auto"/>
            <w:left w:val="none" w:sz="0" w:space="0" w:color="auto"/>
            <w:bottom w:val="none" w:sz="0" w:space="0" w:color="auto"/>
            <w:right w:val="none" w:sz="0" w:space="0" w:color="auto"/>
          </w:divBdr>
          <w:divsChild>
            <w:div w:id="135681326">
              <w:marLeft w:val="0"/>
              <w:marRight w:val="0"/>
              <w:marTop w:val="0"/>
              <w:marBottom w:val="0"/>
              <w:divBdr>
                <w:top w:val="none" w:sz="0" w:space="0" w:color="auto"/>
                <w:left w:val="none" w:sz="0" w:space="0" w:color="auto"/>
                <w:bottom w:val="none" w:sz="0" w:space="0" w:color="auto"/>
                <w:right w:val="none" w:sz="0" w:space="0" w:color="auto"/>
              </w:divBdr>
            </w:div>
            <w:div w:id="405883863">
              <w:marLeft w:val="0"/>
              <w:marRight w:val="0"/>
              <w:marTop w:val="0"/>
              <w:marBottom w:val="0"/>
              <w:divBdr>
                <w:top w:val="none" w:sz="0" w:space="0" w:color="auto"/>
                <w:left w:val="none" w:sz="0" w:space="0" w:color="auto"/>
                <w:bottom w:val="none" w:sz="0" w:space="0" w:color="auto"/>
                <w:right w:val="none" w:sz="0" w:space="0" w:color="auto"/>
              </w:divBdr>
            </w:div>
            <w:div w:id="494032303">
              <w:marLeft w:val="0"/>
              <w:marRight w:val="0"/>
              <w:marTop w:val="0"/>
              <w:marBottom w:val="0"/>
              <w:divBdr>
                <w:top w:val="none" w:sz="0" w:space="0" w:color="auto"/>
                <w:left w:val="none" w:sz="0" w:space="0" w:color="auto"/>
                <w:bottom w:val="none" w:sz="0" w:space="0" w:color="auto"/>
                <w:right w:val="none" w:sz="0" w:space="0" w:color="auto"/>
              </w:divBdr>
            </w:div>
            <w:div w:id="647395033">
              <w:marLeft w:val="0"/>
              <w:marRight w:val="0"/>
              <w:marTop w:val="0"/>
              <w:marBottom w:val="0"/>
              <w:divBdr>
                <w:top w:val="none" w:sz="0" w:space="0" w:color="auto"/>
                <w:left w:val="none" w:sz="0" w:space="0" w:color="auto"/>
                <w:bottom w:val="none" w:sz="0" w:space="0" w:color="auto"/>
                <w:right w:val="none" w:sz="0" w:space="0" w:color="auto"/>
              </w:divBdr>
            </w:div>
            <w:div w:id="655185653">
              <w:marLeft w:val="0"/>
              <w:marRight w:val="0"/>
              <w:marTop w:val="0"/>
              <w:marBottom w:val="0"/>
              <w:divBdr>
                <w:top w:val="none" w:sz="0" w:space="0" w:color="auto"/>
                <w:left w:val="none" w:sz="0" w:space="0" w:color="auto"/>
                <w:bottom w:val="none" w:sz="0" w:space="0" w:color="auto"/>
                <w:right w:val="none" w:sz="0" w:space="0" w:color="auto"/>
              </w:divBdr>
            </w:div>
            <w:div w:id="706952763">
              <w:marLeft w:val="0"/>
              <w:marRight w:val="0"/>
              <w:marTop w:val="0"/>
              <w:marBottom w:val="0"/>
              <w:divBdr>
                <w:top w:val="none" w:sz="0" w:space="0" w:color="auto"/>
                <w:left w:val="none" w:sz="0" w:space="0" w:color="auto"/>
                <w:bottom w:val="none" w:sz="0" w:space="0" w:color="auto"/>
                <w:right w:val="none" w:sz="0" w:space="0" w:color="auto"/>
              </w:divBdr>
            </w:div>
            <w:div w:id="776215757">
              <w:marLeft w:val="0"/>
              <w:marRight w:val="0"/>
              <w:marTop w:val="0"/>
              <w:marBottom w:val="0"/>
              <w:divBdr>
                <w:top w:val="none" w:sz="0" w:space="0" w:color="auto"/>
                <w:left w:val="none" w:sz="0" w:space="0" w:color="auto"/>
                <w:bottom w:val="none" w:sz="0" w:space="0" w:color="auto"/>
                <w:right w:val="none" w:sz="0" w:space="0" w:color="auto"/>
              </w:divBdr>
            </w:div>
            <w:div w:id="799691980">
              <w:marLeft w:val="0"/>
              <w:marRight w:val="0"/>
              <w:marTop w:val="0"/>
              <w:marBottom w:val="0"/>
              <w:divBdr>
                <w:top w:val="none" w:sz="0" w:space="0" w:color="auto"/>
                <w:left w:val="none" w:sz="0" w:space="0" w:color="auto"/>
                <w:bottom w:val="none" w:sz="0" w:space="0" w:color="auto"/>
                <w:right w:val="none" w:sz="0" w:space="0" w:color="auto"/>
              </w:divBdr>
            </w:div>
            <w:div w:id="996229113">
              <w:marLeft w:val="0"/>
              <w:marRight w:val="0"/>
              <w:marTop w:val="0"/>
              <w:marBottom w:val="0"/>
              <w:divBdr>
                <w:top w:val="none" w:sz="0" w:space="0" w:color="auto"/>
                <w:left w:val="none" w:sz="0" w:space="0" w:color="auto"/>
                <w:bottom w:val="none" w:sz="0" w:space="0" w:color="auto"/>
                <w:right w:val="none" w:sz="0" w:space="0" w:color="auto"/>
              </w:divBdr>
            </w:div>
            <w:div w:id="1138062212">
              <w:marLeft w:val="0"/>
              <w:marRight w:val="0"/>
              <w:marTop w:val="0"/>
              <w:marBottom w:val="0"/>
              <w:divBdr>
                <w:top w:val="none" w:sz="0" w:space="0" w:color="auto"/>
                <w:left w:val="none" w:sz="0" w:space="0" w:color="auto"/>
                <w:bottom w:val="none" w:sz="0" w:space="0" w:color="auto"/>
                <w:right w:val="none" w:sz="0" w:space="0" w:color="auto"/>
              </w:divBdr>
            </w:div>
            <w:div w:id="1171527602">
              <w:marLeft w:val="0"/>
              <w:marRight w:val="0"/>
              <w:marTop w:val="0"/>
              <w:marBottom w:val="0"/>
              <w:divBdr>
                <w:top w:val="none" w:sz="0" w:space="0" w:color="auto"/>
                <w:left w:val="none" w:sz="0" w:space="0" w:color="auto"/>
                <w:bottom w:val="none" w:sz="0" w:space="0" w:color="auto"/>
                <w:right w:val="none" w:sz="0" w:space="0" w:color="auto"/>
              </w:divBdr>
            </w:div>
            <w:div w:id="1417282006">
              <w:marLeft w:val="0"/>
              <w:marRight w:val="0"/>
              <w:marTop w:val="0"/>
              <w:marBottom w:val="0"/>
              <w:divBdr>
                <w:top w:val="none" w:sz="0" w:space="0" w:color="auto"/>
                <w:left w:val="none" w:sz="0" w:space="0" w:color="auto"/>
                <w:bottom w:val="none" w:sz="0" w:space="0" w:color="auto"/>
                <w:right w:val="none" w:sz="0" w:space="0" w:color="auto"/>
              </w:divBdr>
            </w:div>
            <w:div w:id="1590383012">
              <w:marLeft w:val="0"/>
              <w:marRight w:val="0"/>
              <w:marTop w:val="0"/>
              <w:marBottom w:val="0"/>
              <w:divBdr>
                <w:top w:val="none" w:sz="0" w:space="0" w:color="auto"/>
                <w:left w:val="none" w:sz="0" w:space="0" w:color="auto"/>
                <w:bottom w:val="none" w:sz="0" w:space="0" w:color="auto"/>
                <w:right w:val="none" w:sz="0" w:space="0" w:color="auto"/>
              </w:divBdr>
            </w:div>
            <w:div w:id="1646200371">
              <w:marLeft w:val="0"/>
              <w:marRight w:val="0"/>
              <w:marTop w:val="0"/>
              <w:marBottom w:val="0"/>
              <w:divBdr>
                <w:top w:val="none" w:sz="0" w:space="0" w:color="auto"/>
                <w:left w:val="none" w:sz="0" w:space="0" w:color="auto"/>
                <w:bottom w:val="none" w:sz="0" w:space="0" w:color="auto"/>
                <w:right w:val="none" w:sz="0" w:space="0" w:color="auto"/>
              </w:divBdr>
            </w:div>
            <w:div w:id="1647321193">
              <w:marLeft w:val="0"/>
              <w:marRight w:val="0"/>
              <w:marTop w:val="0"/>
              <w:marBottom w:val="0"/>
              <w:divBdr>
                <w:top w:val="none" w:sz="0" w:space="0" w:color="auto"/>
                <w:left w:val="none" w:sz="0" w:space="0" w:color="auto"/>
                <w:bottom w:val="none" w:sz="0" w:space="0" w:color="auto"/>
                <w:right w:val="none" w:sz="0" w:space="0" w:color="auto"/>
              </w:divBdr>
            </w:div>
            <w:div w:id="1729064869">
              <w:marLeft w:val="0"/>
              <w:marRight w:val="0"/>
              <w:marTop w:val="0"/>
              <w:marBottom w:val="0"/>
              <w:divBdr>
                <w:top w:val="none" w:sz="0" w:space="0" w:color="auto"/>
                <w:left w:val="none" w:sz="0" w:space="0" w:color="auto"/>
                <w:bottom w:val="none" w:sz="0" w:space="0" w:color="auto"/>
                <w:right w:val="none" w:sz="0" w:space="0" w:color="auto"/>
              </w:divBdr>
            </w:div>
            <w:div w:id="1801846925">
              <w:marLeft w:val="0"/>
              <w:marRight w:val="0"/>
              <w:marTop w:val="0"/>
              <w:marBottom w:val="0"/>
              <w:divBdr>
                <w:top w:val="none" w:sz="0" w:space="0" w:color="auto"/>
                <w:left w:val="none" w:sz="0" w:space="0" w:color="auto"/>
                <w:bottom w:val="none" w:sz="0" w:space="0" w:color="auto"/>
                <w:right w:val="none" w:sz="0" w:space="0" w:color="auto"/>
              </w:divBdr>
            </w:div>
            <w:div w:id="1827669717">
              <w:marLeft w:val="0"/>
              <w:marRight w:val="0"/>
              <w:marTop w:val="0"/>
              <w:marBottom w:val="0"/>
              <w:divBdr>
                <w:top w:val="none" w:sz="0" w:space="0" w:color="auto"/>
                <w:left w:val="none" w:sz="0" w:space="0" w:color="auto"/>
                <w:bottom w:val="none" w:sz="0" w:space="0" w:color="auto"/>
                <w:right w:val="none" w:sz="0" w:space="0" w:color="auto"/>
              </w:divBdr>
            </w:div>
            <w:div w:id="2014450556">
              <w:marLeft w:val="0"/>
              <w:marRight w:val="0"/>
              <w:marTop w:val="0"/>
              <w:marBottom w:val="0"/>
              <w:divBdr>
                <w:top w:val="none" w:sz="0" w:space="0" w:color="auto"/>
                <w:left w:val="none" w:sz="0" w:space="0" w:color="auto"/>
                <w:bottom w:val="none" w:sz="0" w:space="0" w:color="auto"/>
                <w:right w:val="none" w:sz="0" w:space="0" w:color="auto"/>
              </w:divBdr>
            </w:div>
            <w:div w:id="2092119498">
              <w:marLeft w:val="0"/>
              <w:marRight w:val="0"/>
              <w:marTop w:val="0"/>
              <w:marBottom w:val="0"/>
              <w:divBdr>
                <w:top w:val="none" w:sz="0" w:space="0" w:color="auto"/>
                <w:left w:val="none" w:sz="0" w:space="0" w:color="auto"/>
                <w:bottom w:val="none" w:sz="0" w:space="0" w:color="auto"/>
                <w:right w:val="none" w:sz="0" w:space="0" w:color="auto"/>
              </w:divBdr>
            </w:div>
          </w:divsChild>
        </w:div>
        <w:div w:id="1199583412">
          <w:marLeft w:val="0"/>
          <w:marRight w:val="0"/>
          <w:marTop w:val="0"/>
          <w:marBottom w:val="0"/>
          <w:divBdr>
            <w:top w:val="none" w:sz="0" w:space="0" w:color="auto"/>
            <w:left w:val="none" w:sz="0" w:space="0" w:color="auto"/>
            <w:bottom w:val="none" w:sz="0" w:space="0" w:color="auto"/>
            <w:right w:val="none" w:sz="0" w:space="0" w:color="auto"/>
          </w:divBdr>
        </w:div>
        <w:div w:id="1209294499">
          <w:marLeft w:val="0"/>
          <w:marRight w:val="0"/>
          <w:marTop w:val="0"/>
          <w:marBottom w:val="0"/>
          <w:divBdr>
            <w:top w:val="none" w:sz="0" w:space="0" w:color="auto"/>
            <w:left w:val="none" w:sz="0" w:space="0" w:color="auto"/>
            <w:bottom w:val="none" w:sz="0" w:space="0" w:color="auto"/>
            <w:right w:val="none" w:sz="0" w:space="0" w:color="auto"/>
          </w:divBdr>
        </w:div>
        <w:div w:id="1309165719">
          <w:marLeft w:val="0"/>
          <w:marRight w:val="0"/>
          <w:marTop w:val="0"/>
          <w:marBottom w:val="0"/>
          <w:divBdr>
            <w:top w:val="none" w:sz="0" w:space="0" w:color="auto"/>
            <w:left w:val="none" w:sz="0" w:space="0" w:color="auto"/>
            <w:bottom w:val="none" w:sz="0" w:space="0" w:color="auto"/>
            <w:right w:val="none" w:sz="0" w:space="0" w:color="auto"/>
          </w:divBdr>
        </w:div>
        <w:div w:id="1363556274">
          <w:marLeft w:val="0"/>
          <w:marRight w:val="0"/>
          <w:marTop w:val="0"/>
          <w:marBottom w:val="0"/>
          <w:divBdr>
            <w:top w:val="none" w:sz="0" w:space="0" w:color="auto"/>
            <w:left w:val="none" w:sz="0" w:space="0" w:color="auto"/>
            <w:bottom w:val="none" w:sz="0" w:space="0" w:color="auto"/>
            <w:right w:val="none" w:sz="0" w:space="0" w:color="auto"/>
          </w:divBdr>
          <w:divsChild>
            <w:div w:id="169490845">
              <w:marLeft w:val="0"/>
              <w:marRight w:val="0"/>
              <w:marTop w:val="0"/>
              <w:marBottom w:val="0"/>
              <w:divBdr>
                <w:top w:val="none" w:sz="0" w:space="0" w:color="auto"/>
                <w:left w:val="none" w:sz="0" w:space="0" w:color="auto"/>
                <w:bottom w:val="none" w:sz="0" w:space="0" w:color="auto"/>
                <w:right w:val="none" w:sz="0" w:space="0" w:color="auto"/>
              </w:divBdr>
            </w:div>
            <w:div w:id="430857532">
              <w:marLeft w:val="0"/>
              <w:marRight w:val="0"/>
              <w:marTop w:val="0"/>
              <w:marBottom w:val="0"/>
              <w:divBdr>
                <w:top w:val="none" w:sz="0" w:space="0" w:color="auto"/>
                <w:left w:val="none" w:sz="0" w:space="0" w:color="auto"/>
                <w:bottom w:val="none" w:sz="0" w:space="0" w:color="auto"/>
                <w:right w:val="none" w:sz="0" w:space="0" w:color="auto"/>
              </w:divBdr>
            </w:div>
            <w:div w:id="561790245">
              <w:marLeft w:val="0"/>
              <w:marRight w:val="0"/>
              <w:marTop w:val="0"/>
              <w:marBottom w:val="0"/>
              <w:divBdr>
                <w:top w:val="none" w:sz="0" w:space="0" w:color="auto"/>
                <w:left w:val="none" w:sz="0" w:space="0" w:color="auto"/>
                <w:bottom w:val="none" w:sz="0" w:space="0" w:color="auto"/>
                <w:right w:val="none" w:sz="0" w:space="0" w:color="auto"/>
              </w:divBdr>
            </w:div>
            <w:div w:id="626620764">
              <w:marLeft w:val="0"/>
              <w:marRight w:val="0"/>
              <w:marTop w:val="0"/>
              <w:marBottom w:val="0"/>
              <w:divBdr>
                <w:top w:val="none" w:sz="0" w:space="0" w:color="auto"/>
                <w:left w:val="none" w:sz="0" w:space="0" w:color="auto"/>
                <w:bottom w:val="none" w:sz="0" w:space="0" w:color="auto"/>
                <w:right w:val="none" w:sz="0" w:space="0" w:color="auto"/>
              </w:divBdr>
            </w:div>
            <w:div w:id="737631331">
              <w:marLeft w:val="0"/>
              <w:marRight w:val="0"/>
              <w:marTop w:val="0"/>
              <w:marBottom w:val="0"/>
              <w:divBdr>
                <w:top w:val="none" w:sz="0" w:space="0" w:color="auto"/>
                <w:left w:val="none" w:sz="0" w:space="0" w:color="auto"/>
                <w:bottom w:val="none" w:sz="0" w:space="0" w:color="auto"/>
                <w:right w:val="none" w:sz="0" w:space="0" w:color="auto"/>
              </w:divBdr>
            </w:div>
            <w:div w:id="759060514">
              <w:marLeft w:val="0"/>
              <w:marRight w:val="0"/>
              <w:marTop w:val="0"/>
              <w:marBottom w:val="0"/>
              <w:divBdr>
                <w:top w:val="none" w:sz="0" w:space="0" w:color="auto"/>
                <w:left w:val="none" w:sz="0" w:space="0" w:color="auto"/>
                <w:bottom w:val="none" w:sz="0" w:space="0" w:color="auto"/>
                <w:right w:val="none" w:sz="0" w:space="0" w:color="auto"/>
              </w:divBdr>
            </w:div>
            <w:div w:id="811871196">
              <w:marLeft w:val="0"/>
              <w:marRight w:val="0"/>
              <w:marTop w:val="0"/>
              <w:marBottom w:val="0"/>
              <w:divBdr>
                <w:top w:val="none" w:sz="0" w:space="0" w:color="auto"/>
                <w:left w:val="none" w:sz="0" w:space="0" w:color="auto"/>
                <w:bottom w:val="none" w:sz="0" w:space="0" w:color="auto"/>
                <w:right w:val="none" w:sz="0" w:space="0" w:color="auto"/>
              </w:divBdr>
            </w:div>
            <w:div w:id="852063359">
              <w:marLeft w:val="0"/>
              <w:marRight w:val="0"/>
              <w:marTop w:val="0"/>
              <w:marBottom w:val="0"/>
              <w:divBdr>
                <w:top w:val="none" w:sz="0" w:space="0" w:color="auto"/>
                <w:left w:val="none" w:sz="0" w:space="0" w:color="auto"/>
                <w:bottom w:val="none" w:sz="0" w:space="0" w:color="auto"/>
                <w:right w:val="none" w:sz="0" w:space="0" w:color="auto"/>
              </w:divBdr>
            </w:div>
            <w:div w:id="999650710">
              <w:marLeft w:val="0"/>
              <w:marRight w:val="0"/>
              <w:marTop w:val="0"/>
              <w:marBottom w:val="0"/>
              <w:divBdr>
                <w:top w:val="none" w:sz="0" w:space="0" w:color="auto"/>
                <w:left w:val="none" w:sz="0" w:space="0" w:color="auto"/>
                <w:bottom w:val="none" w:sz="0" w:space="0" w:color="auto"/>
                <w:right w:val="none" w:sz="0" w:space="0" w:color="auto"/>
              </w:divBdr>
            </w:div>
            <w:div w:id="1186555077">
              <w:marLeft w:val="0"/>
              <w:marRight w:val="0"/>
              <w:marTop w:val="0"/>
              <w:marBottom w:val="0"/>
              <w:divBdr>
                <w:top w:val="none" w:sz="0" w:space="0" w:color="auto"/>
                <w:left w:val="none" w:sz="0" w:space="0" w:color="auto"/>
                <w:bottom w:val="none" w:sz="0" w:space="0" w:color="auto"/>
                <w:right w:val="none" w:sz="0" w:space="0" w:color="auto"/>
              </w:divBdr>
            </w:div>
            <w:div w:id="1189031606">
              <w:marLeft w:val="0"/>
              <w:marRight w:val="0"/>
              <w:marTop w:val="0"/>
              <w:marBottom w:val="0"/>
              <w:divBdr>
                <w:top w:val="none" w:sz="0" w:space="0" w:color="auto"/>
                <w:left w:val="none" w:sz="0" w:space="0" w:color="auto"/>
                <w:bottom w:val="none" w:sz="0" w:space="0" w:color="auto"/>
                <w:right w:val="none" w:sz="0" w:space="0" w:color="auto"/>
              </w:divBdr>
            </w:div>
            <w:div w:id="1195998134">
              <w:marLeft w:val="0"/>
              <w:marRight w:val="0"/>
              <w:marTop w:val="0"/>
              <w:marBottom w:val="0"/>
              <w:divBdr>
                <w:top w:val="none" w:sz="0" w:space="0" w:color="auto"/>
                <w:left w:val="none" w:sz="0" w:space="0" w:color="auto"/>
                <w:bottom w:val="none" w:sz="0" w:space="0" w:color="auto"/>
                <w:right w:val="none" w:sz="0" w:space="0" w:color="auto"/>
              </w:divBdr>
            </w:div>
            <w:div w:id="1532187337">
              <w:marLeft w:val="0"/>
              <w:marRight w:val="0"/>
              <w:marTop w:val="0"/>
              <w:marBottom w:val="0"/>
              <w:divBdr>
                <w:top w:val="none" w:sz="0" w:space="0" w:color="auto"/>
                <w:left w:val="none" w:sz="0" w:space="0" w:color="auto"/>
                <w:bottom w:val="none" w:sz="0" w:space="0" w:color="auto"/>
                <w:right w:val="none" w:sz="0" w:space="0" w:color="auto"/>
              </w:divBdr>
            </w:div>
            <w:div w:id="1710838497">
              <w:marLeft w:val="0"/>
              <w:marRight w:val="0"/>
              <w:marTop w:val="0"/>
              <w:marBottom w:val="0"/>
              <w:divBdr>
                <w:top w:val="none" w:sz="0" w:space="0" w:color="auto"/>
                <w:left w:val="none" w:sz="0" w:space="0" w:color="auto"/>
                <w:bottom w:val="none" w:sz="0" w:space="0" w:color="auto"/>
                <w:right w:val="none" w:sz="0" w:space="0" w:color="auto"/>
              </w:divBdr>
            </w:div>
            <w:div w:id="1923175461">
              <w:marLeft w:val="0"/>
              <w:marRight w:val="0"/>
              <w:marTop w:val="0"/>
              <w:marBottom w:val="0"/>
              <w:divBdr>
                <w:top w:val="none" w:sz="0" w:space="0" w:color="auto"/>
                <w:left w:val="none" w:sz="0" w:space="0" w:color="auto"/>
                <w:bottom w:val="none" w:sz="0" w:space="0" w:color="auto"/>
                <w:right w:val="none" w:sz="0" w:space="0" w:color="auto"/>
              </w:divBdr>
            </w:div>
          </w:divsChild>
        </w:div>
        <w:div w:id="1389039317">
          <w:marLeft w:val="0"/>
          <w:marRight w:val="0"/>
          <w:marTop w:val="0"/>
          <w:marBottom w:val="0"/>
          <w:divBdr>
            <w:top w:val="none" w:sz="0" w:space="0" w:color="auto"/>
            <w:left w:val="none" w:sz="0" w:space="0" w:color="auto"/>
            <w:bottom w:val="none" w:sz="0" w:space="0" w:color="auto"/>
            <w:right w:val="none" w:sz="0" w:space="0" w:color="auto"/>
          </w:divBdr>
          <w:divsChild>
            <w:div w:id="8068486">
              <w:marLeft w:val="0"/>
              <w:marRight w:val="0"/>
              <w:marTop w:val="0"/>
              <w:marBottom w:val="0"/>
              <w:divBdr>
                <w:top w:val="none" w:sz="0" w:space="0" w:color="auto"/>
                <w:left w:val="none" w:sz="0" w:space="0" w:color="auto"/>
                <w:bottom w:val="none" w:sz="0" w:space="0" w:color="auto"/>
                <w:right w:val="none" w:sz="0" w:space="0" w:color="auto"/>
              </w:divBdr>
            </w:div>
            <w:div w:id="19859239">
              <w:marLeft w:val="0"/>
              <w:marRight w:val="0"/>
              <w:marTop w:val="0"/>
              <w:marBottom w:val="0"/>
              <w:divBdr>
                <w:top w:val="none" w:sz="0" w:space="0" w:color="auto"/>
                <w:left w:val="none" w:sz="0" w:space="0" w:color="auto"/>
                <w:bottom w:val="none" w:sz="0" w:space="0" w:color="auto"/>
                <w:right w:val="none" w:sz="0" w:space="0" w:color="auto"/>
              </w:divBdr>
            </w:div>
            <w:div w:id="233122337">
              <w:marLeft w:val="0"/>
              <w:marRight w:val="0"/>
              <w:marTop w:val="0"/>
              <w:marBottom w:val="0"/>
              <w:divBdr>
                <w:top w:val="none" w:sz="0" w:space="0" w:color="auto"/>
                <w:left w:val="none" w:sz="0" w:space="0" w:color="auto"/>
                <w:bottom w:val="none" w:sz="0" w:space="0" w:color="auto"/>
                <w:right w:val="none" w:sz="0" w:space="0" w:color="auto"/>
              </w:divBdr>
            </w:div>
            <w:div w:id="256250864">
              <w:marLeft w:val="0"/>
              <w:marRight w:val="0"/>
              <w:marTop w:val="0"/>
              <w:marBottom w:val="0"/>
              <w:divBdr>
                <w:top w:val="none" w:sz="0" w:space="0" w:color="auto"/>
                <w:left w:val="none" w:sz="0" w:space="0" w:color="auto"/>
                <w:bottom w:val="none" w:sz="0" w:space="0" w:color="auto"/>
                <w:right w:val="none" w:sz="0" w:space="0" w:color="auto"/>
              </w:divBdr>
            </w:div>
            <w:div w:id="409351686">
              <w:marLeft w:val="0"/>
              <w:marRight w:val="0"/>
              <w:marTop w:val="0"/>
              <w:marBottom w:val="0"/>
              <w:divBdr>
                <w:top w:val="none" w:sz="0" w:space="0" w:color="auto"/>
                <w:left w:val="none" w:sz="0" w:space="0" w:color="auto"/>
                <w:bottom w:val="none" w:sz="0" w:space="0" w:color="auto"/>
                <w:right w:val="none" w:sz="0" w:space="0" w:color="auto"/>
              </w:divBdr>
            </w:div>
            <w:div w:id="536890302">
              <w:marLeft w:val="0"/>
              <w:marRight w:val="0"/>
              <w:marTop w:val="0"/>
              <w:marBottom w:val="0"/>
              <w:divBdr>
                <w:top w:val="none" w:sz="0" w:space="0" w:color="auto"/>
                <w:left w:val="none" w:sz="0" w:space="0" w:color="auto"/>
                <w:bottom w:val="none" w:sz="0" w:space="0" w:color="auto"/>
                <w:right w:val="none" w:sz="0" w:space="0" w:color="auto"/>
              </w:divBdr>
            </w:div>
            <w:div w:id="639382290">
              <w:marLeft w:val="0"/>
              <w:marRight w:val="0"/>
              <w:marTop w:val="0"/>
              <w:marBottom w:val="0"/>
              <w:divBdr>
                <w:top w:val="none" w:sz="0" w:space="0" w:color="auto"/>
                <w:left w:val="none" w:sz="0" w:space="0" w:color="auto"/>
                <w:bottom w:val="none" w:sz="0" w:space="0" w:color="auto"/>
                <w:right w:val="none" w:sz="0" w:space="0" w:color="auto"/>
              </w:divBdr>
            </w:div>
            <w:div w:id="649553846">
              <w:marLeft w:val="0"/>
              <w:marRight w:val="0"/>
              <w:marTop w:val="0"/>
              <w:marBottom w:val="0"/>
              <w:divBdr>
                <w:top w:val="none" w:sz="0" w:space="0" w:color="auto"/>
                <w:left w:val="none" w:sz="0" w:space="0" w:color="auto"/>
                <w:bottom w:val="none" w:sz="0" w:space="0" w:color="auto"/>
                <w:right w:val="none" w:sz="0" w:space="0" w:color="auto"/>
              </w:divBdr>
            </w:div>
            <w:div w:id="849567620">
              <w:marLeft w:val="0"/>
              <w:marRight w:val="0"/>
              <w:marTop w:val="0"/>
              <w:marBottom w:val="0"/>
              <w:divBdr>
                <w:top w:val="none" w:sz="0" w:space="0" w:color="auto"/>
                <w:left w:val="none" w:sz="0" w:space="0" w:color="auto"/>
                <w:bottom w:val="none" w:sz="0" w:space="0" w:color="auto"/>
                <w:right w:val="none" w:sz="0" w:space="0" w:color="auto"/>
              </w:divBdr>
            </w:div>
            <w:div w:id="893855118">
              <w:marLeft w:val="0"/>
              <w:marRight w:val="0"/>
              <w:marTop w:val="0"/>
              <w:marBottom w:val="0"/>
              <w:divBdr>
                <w:top w:val="none" w:sz="0" w:space="0" w:color="auto"/>
                <w:left w:val="none" w:sz="0" w:space="0" w:color="auto"/>
                <w:bottom w:val="none" w:sz="0" w:space="0" w:color="auto"/>
                <w:right w:val="none" w:sz="0" w:space="0" w:color="auto"/>
              </w:divBdr>
            </w:div>
            <w:div w:id="991107355">
              <w:marLeft w:val="0"/>
              <w:marRight w:val="0"/>
              <w:marTop w:val="0"/>
              <w:marBottom w:val="0"/>
              <w:divBdr>
                <w:top w:val="none" w:sz="0" w:space="0" w:color="auto"/>
                <w:left w:val="none" w:sz="0" w:space="0" w:color="auto"/>
                <w:bottom w:val="none" w:sz="0" w:space="0" w:color="auto"/>
                <w:right w:val="none" w:sz="0" w:space="0" w:color="auto"/>
              </w:divBdr>
            </w:div>
            <w:div w:id="1042555557">
              <w:marLeft w:val="0"/>
              <w:marRight w:val="0"/>
              <w:marTop w:val="0"/>
              <w:marBottom w:val="0"/>
              <w:divBdr>
                <w:top w:val="none" w:sz="0" w:space="0" w:color="auto"/>
                <w:left w:val="none" w:sz="0" w:space="0" w:color="auto"/>
                <w:bottom w:val="none" w:sz="0" w:space="0" w:color="auto"/>
                <w:right w:val="none" w:sz="0" w:space="0" w:color="auto"/>
              </w:divBdr>
            </w:div>
            <w:div w:id="1141116771">
              <w:marLeft w:val="0"/>
              <w:marRight w:val="0"/>
              <w:marTop w:val="0"/>
              <w:marBottom w:val="0"/>
              <w:divBdr>
                <w:top w:val="none" w:sz="0" w:space="0" w:color="auto"/>
                <w:left w:val="none" w:sz="0" w:space="0" w:color="auto"/>
                <w:bottom w:val="none" w:sz="0" w:space="0" w:color="auto"/>
                <w:right w:val="none" w:sz="0" w:space="0" w:color="auto"/>
              </w:divBdr>
            </w:div>
            <w:div w:id="1380204494">
              <w:marLeft w:val="0"/>
              <w:marRight w:val="0"/>
              <w:marTop w:val="0"/>
              <w:marBottom w:val="0"/>
              <w:divBdr>
                <w:top w:val="none" w:sz="0" w:space="0" w:color="auto"/>
                <w:left w:val="none" w:sz="0" w:space="0" w:color="auto"/>
                <w:bottom w:val="none" w:sz="0" w:space="0" w:color="auto"/>
                <w:right w:val="none" w:sz="0" w:space="0" w:color="auto"/>
              </w:divBdr>
            </w:div>
            <w:div w:id="1398745050">
              <w:marLeft w:val="0"/>
              <w:marRight w:val="0"/>
              <w:marTop w:val="0"/>
              <w:marBottom w:val="0"/>
              <w:divBdr>
                <w:top w:val="none" w:sz="0" w:space="0" w:color="auto"/>
                <w:left w:val="none" w:sz="0" w:space="0" w:color="auto"/>
                <w:bottom w:val="none" w:sz="0" w:space="0" w:color="auto"/>
                <w:right w:val="none" w:sz="0" w:space="0" w:color="auto"/>
              </w:divBdr>
            </w:div>
            <w:div w:id="1582831431">
              <w:marLeft w:val="0"/>
              <w:marRight w:val="0"/>
              <w:marTop w:val="0"/>
              <w:marBottom w:val="0"/>
              <w:divBdr>
                <w:top w:val="none" w:sz="0" w:space="0" w:color="auto"/>
                <w:left w:val="none" w:sz="0" w:space="0" w:color="auto"/>
                <w:bottom w:val="none" w:sz="0" w:space="0" w:color="auto"/>
                <w:right w:val="none" w:sz="0" w:space="0" w:color="auto"/>
              </w:divBdr>
            </w:div>
            <w:div w:id="1595744957">
              <w:marLeft w:val="0"/>
              <w:marRight w:val="0"/>
              <w:marTop w:val="0"/>
              <w:marBottom w:val="0"/>
              <w:divBdr>
                <w:top w:val="none" w:sz="0" w:space="0" w:color="auto"/>
                <w:left w:val="none" w:sz="0" w:space="0" w:color="auto"/>
                <w:bottom w:val="none" w:sz="0" w:space="0" w:color="auto"/>
                <w:right w:val="none" w:sz="0" w:space="0" w:color="auto"/>
              </w:divBdr>
            </w:div>
            <w:div w:id="1758210265">
              <w:marLeft w:val="0"/>
              <w:marRight w:val="0"/>
              <w:marTop w:val="0"/>
              <w:marBottom w:val="0"/>
              <w:divBdr>
                <w:top w:val="none" w:sz="0" w:space="0" w:color="auto"/>
                <w:left w:val="none" w:sz="0" w:space="0" w:color="auto"/>
                <w:bottom w:val="none" w:sz="0" w:space="0" w:color="auto"/>
                <w:right w:val="none" w:sz="0" w:space="0" w:color="auto"/>
              </w:divBdr>
            </w:div>
            <w:div w:id="1901942341">
              <w:marLeft w:val="0"/>
              <w:marRight w:val="0"/>
              <w:marTop w:val="0"/>
              <w:marBottom w:val="0"/>
              <w:divBdr>
                <w:top w:val="none" w:sz="0" w:space="0" w:color="auto"/>
                <w:left w:val="none" w:sz="0" w:space="0" w:color="auto"/>
                <w:bottom w:val="none" w:sz="0" w:space="0" w:color="auto"/>
                <w:right w:val="none" w:sz="0" w:space="0" w:color="auto"/>
              </w:divBdr>
            </w:div>
            <w:div w:id="1969969476">
              <w:marLeft w:val="0"/>
              <w:marRight w:val="0"/>
              <w:marTop w:val="0"/>
              <w:marBottom w:val="0"/>
              <w:divBdr>
                <w:top w:val="none" w:sz="0" w:space="0" w:color="auto"/>
                <w:left w:val="none" w:sz="0" w:space="0" w:color="auto"/>
                <w:bottom w:val="none" w:sz="0" w:space="0" w:color="auto"/>
                <w:right w:val="none" w:sz="0" w:space="0" w:color="auto"/>
              </w:divBdr>
            </w:div>
          </w:divsChild>
        </w:div>
        <w:div w:id="1409616880">
          <w:marLeft w:val="0"/>
          <w:marRight w:val="0"/>
          <w:marTop w:val="0"/>
          <w:marBottom w:val="0"/>
          <w:divBdr>
            <w:top w:val="none" w:sz="0" w:space="0" w:color="auto"/>
            <w:left w:val="none" w:sz="0" w:space="0" w:color="auto"/>
            <w:bottom w:val="none" w:sz="0" w:space="0" w:color="auto"/>
            <w:right w:val="none" w:sz="0" w:space="0" w:color="auto"/>
          </w:divBdr>
        </w:div>
        <w:div w:id="1421564799">
          <w:marLeft w:val="0"/>
          <w:marRight w:val="0"/>
          <w:marTop w:val="0"/>
          <w:marBottom w:val="0"/>
          <w:divBdr>
            <w:top w:val="none" w:sz="0" w:space="0" w:color="auto"/>
            <w:left w:val="none" w:sz="0" w:space="0" w:color="auto"/>
            <w:bottom w:val="none" w:sz="0" w:space="0" w:color="auto"/>
            <w:right w:val="none" w:sz="0" w:space="0" w:color="auto"/>
          </w:divBdr>
        </w:div>
        <w:div w:id="1436897725">
          <w:marLeft w:val="0"/>
          <w:marRight w:val="0"/>
          <w:marTop w:val="0"/>
          <w:marBottom w:val="0"/>
          <w:divBdr>
            <w:top w:val="none" w:sz="0" w:space="0" w:color="auto"/>
            <w:left w:val="none" w:sz="0" w:space="0" w:color="auto"/>
            <w:bottom w:val="none" w:sz="0" w:space="0" w:color="auto"/>
            <w:right w:val="none" w:sz="0" w:space="0" w:color="auto"/>
          </w:divBdr>
        </w:div>
        <w:div w:id="1438594878">
          <w:marLeft w:val="0"/>
          <w:marRight w:val="0"/>
          <w:marTop w:val="0"/>
          <w:marBottom w:val="0"/>
          <w:divBdr>
            <w:top w:val="none" w:sz="0" w:space="0" w:color="auto"/>
            <w:left w:val="none" w:sz="0" w:space="0" w:color="auto"/>
            <w:bottom w:val="none" w:sz="0" w:space="0" w:color="auto"/>
            <w:right w:val="none" w:sz="0" w:space="0" w:color="auto"/>
          </w:divBdr>
        </w:div>
        <w:div w:id="1463619223">
          <w:marLeft w:val="0"/>
          <w:marRight w:val="0"/>
          <w:marTop w:val="0"/>
          <w:marBottom w:val="0"/>
          <w:divBdr>
            <w:top w:val="none" w:sz="0" w:space="0" w:color="auto"/>
            <w:left w:val="none" w:sz="0" w:space="0" w:color="auto"/>
            <w:bottom w:val="none" w:sz="0" w:space="0" w:color="auto"/>
            <w:right w:val="none" w:sz="0" w:space="0" w:color="auto"/>
          </w:divBdr>
        </w:div>
        <w:div w:id="1511288263">
          <w:marLeft w:val="0"/>
          <w:marRight w:val="0"/>
          <w:marTop w:val="0"/>
          <w:marBottom w:val="0"/>
          <w:divBdr>
            <w:top w:val="none" w:sz="0" w:space="0" w:color="auto"/>
            <w:left w:val="none" w:sz="0" w:space="0" w:color="auto"/>
            <w:bottom w:val="none" w:sz="0" w:space="0" w:color="auto"/>
            <w:right w:val="none" w:sz="0" w:space="0" w:color="auto"/>
          </w:divBdr>
          <w:divsChild>
            <w:div w:id="47193308">
              <w:marLeft w:val="0"/>
              <w:marRight w:val="0"/>
              <w:marTop w:val="0"/>
              <w:marBottom w:val="0"/>
              <w:divBdr>
                <w:top w:val="none" w:sz="0" w:space="0" w:color="auto"/>
                <w:left w:val="none" w:sz="0" w:space="0" w:color="auto"/>
                <w:bottom w:val="none" w:sz="0" w:space="0" w:color="auto"/>
                <w:right w:val="none" w:sz="0" w:space="0" w:color="auto"/>
              </w:divBdr>
            </w:div>
            <w:div w:id="123817882">
              <w:marLeft w:val="0"/>
              <w:marRight w:val="0"/>
              <w:marTop w:val="0"/>
              <w:marBottom w:val="0"/>
              <w:divBdr>
                <w:top w:val="none" w:sz="0" w:space="0" w:color="auto"/>
                <w:left w:val="none" w:sz="0" w:space="0" w:color="auto"/>
                <w:bottom w:val="none" w:sz="0" w:space="0" w:color="auto"/>
                <w:right w:val="none" w:sz="0" w:space="0" w:color="auto"/>
              </w:divBdr>
            </w:div>
            <w:div w:id="141628061">
              <w:marLeft w:val="0"/>
              <w:marRight w:val="0"/>
              <w:marTop w:val="0"/>
              <w:marBottom w:val="0"/>
              <w:divBdr>
                <w:top w:val="none" w:sz="0" w:space="0" w:color="auto"/>
                <w:left w:val="none" w:sz="0" w:space="0" w:color="auto"/>
                <w:bottom w:val="none" w:sz="0" w:space="0" w:color="auto"/>
                <w:right w:val="none" w:sz="0" w:space="0" w:color="auto"/>
              </w:divBdr>
            </w:div>
            <w:div w:id="255749869">
              <w:marLeft w:val="0"/>
              <w:marRight w:val="0"/>
              <w:marTop w:val="0"/>
              <w:marBottom w:val="0"/>
              <w:divBdr>
                <w:top w:val="none" w:sz="0" w:space="0" w:color="auto"/>
                <w:left w:val="none" w:sz="0" w:space="0" w:color="auto"/>
                <w:bottom w:val="none" w:sz="0" w:space="0" w:color="auto"/>
                <w:right w:val="none" w:sz="0" w:space="0" w:color="auto"/>
              </w:divBdr>
            </w:div>
            <w:div w:id="291637200">
              <w:marLeft w:val="0"/>
              <w:marRight w:val="0"/>
              <w:marTop w:val="0"/>
              <w:marBottom w:val="0"/>
              <w:divBdr>
                <w:top w:val="none" w:sz="0" w:space="0" w:color="auto"/>
                <w:left w:val="none" w:sz="0" w:space="0" w:color="auto"/>
                <w:bottom w:val="none" w:sz="0" w:space="0" w:color="auto"/>
                <w:right w:val="none" w:sz="0" w:space="0" w:color="auto"/>
              </w:divBdr>
            </w:div>
            <w:div w:id="425347732">
              <w:marLeft w:val="0"/>
              <w:marRight w:val="0"/>
              <w:marTop w:val="0"/>
              <w:marBottom w:val="0"/>
              <w:divBdr>
                <w:top w:val="none" w:sz="0" w:space="0" w:color="auto"/>
                <w:left w:val="none" w:sz="0" w:space="0" w:color="auto"/>
                <w:bottom w:val="none" w:sz="0" w:space="0" w:color="auto"/>
                <w:right w:val="none" w:sz="0" w:space="0" w:color="auto"/>
              </w:divBdr>
            </w:div>
            <w:div w:id="735005849">
              <w:marLeft w:val="0"/>
              <w:marRight w:val="0"/>
              <w:marTop w:val="0"/>
              <w:marBottom w:val="0"/>
              <w:divBdr>
                <w:top w:val="none" w:sz="0" w:space="0" w:color="auto"/>
                <w:left w:val="none" w:sz="0" w:space="0" w:color="auto"/>
                <w:bottom w:val="none" w:sz="0" w:space="0" w:color="auto"/>
                <w:right w:val="none" w:sz="0" w:space="0" w:color="auto"/>
              </w:divBdr>
            </w:div>
            <w:div w:id="823206267">
              <w:marLeft w:val="0"/>
              <w:marRight w:val="0"/>
              <w:marTop w:val="0"/>
              <w:marBottom w:val="0"/>
              <w:divBdr>
                <w:top w:val="none" w:sz="0" w:space="0" w:color="auto"/>
                <w:left w:val="none" w:sz="0" w:space="0" w:color="auto"/>
                <w:bottom w:val="none" w:sz="0" w:space="0" w:color="auto"/>
                <w:right w:val="none" w:sz="0" w:space="0" w:color="auto"/>
              </w:divBdr>
            </w:div>
            <w:div w:id="925765355">
              <w:marLeft w:val="0"/>
              <w:marRight w:val="0"/>
              <w:marTop w:val="0"/>
              <w:marBottom w:val="0"/>
              <w:divBdr>
                <w:top w:val="none" w:sz="0" w:space="0" w:color="auto"/>
                <w:left w:val="none" w:sz="0" w:space="0" w:color="auto"/>
                <w:bottom w:val="none" w:sz="0" w:space="0" w:color="auto"/>
                <w:right w:val="none" w:sz="0" w:space="0" w:color="auto"/>
              </w:divBdr>
            </w:div>
            <w:div w:id="1001277861">
              <w:marLeft w:val="0"/>
              <w:marRight w:val="0"/>
              <w:marTop w:val="0"/>
              <w:marBottom w:val="0"/>
              <w:divBdr>
                <w:top w:val="none" w:sz="0" w:space="0" w:color="auto"/>
                <w:left w:val="none" w:sz="0" w:space="0" w:color="auto"/>
                <w:bottom w:val="none" w:sz="0" w:space="0" w:color="auto"/>
                <w:right w:val="none" w:sz="0" w:space="0" w:color="auto"/>
              </w:divBdr>
            </w:div>
            <w:div w:id="1071610989">
              <w:marLeft w:val="0"/>
              <w:marRight w:val="0"/>
              <w:marTop w:val="0"/>
              <w:marBottom w:val="0"/>
              <w:divBdr>
                <w:top w:val="none" w:sz="0" w:space="0" w:color="auto"/>
                <w:left w:val="none" w:sz="0" w:space="0" w:color="auto"/>
                <w:bottom w:val="none" w:sz="0" w:space="0" w:color="auto"/>
                <w:right w:val="none" w:sz="0" w:space="0" w:color="auto"/>
              </w:divBdr>
            </w:div>
            <w:div w:id="1083913535">
              <w:marLeft w:val="0"/>
              <w:marRight w:val="0"/>
              <w:marTop w:val="0"/>
              <w:marBottom w:val="0"/>
              <w:divBdr>
                <w:top w:val="none" w:sz="0" w:space="0" w:color="auto"/>
                <w:left w:val="none" w:sz="0" w:space="0" w:color="auto"/>
                <w:bottom w:val="none" w:sz="0" w:space="0" w:color="auto"/>
                <w:right w:val="none" w:sz="0" w:space="0" w:color="auto"/>
              </w:divBdr>
            </w:div>
            <w:div w:id="1306159738">
              <w:marLeft w:val="0"/>
              <w:marRight w:val="0"/>
              <w:marTop w:val="0"/>
              <w:marBottom w:val="0"/>
              <w:divBdr>
                <w:top w:val="none" w:sz="0" w:space="0" w:color="auto"/>
                <w:left w:val="none" w:sz="0" w:space="0" w:color="auto"/>
                <w:bottom w:val="none" w:sz="0" w:space="0" w:color="auto"/>
                <w:right w:val="none" w:sz="0" w:space="0" w:color="auto"/>
              </w:divBdr>
            </w:div>
            <w:div w:id="1319769480">
              <w:marLeft w:val="0"/>
              <w:marRight w:val="0"/>
              <w:marTop w:val="0"/>
              <w:marBottom w:val="0"/>
              <w:divBdr>
                <w:top w:val="none" w:sz="0" w:space="0" w:color="auto"/>
                <w:left w:val="none" w:sz="0" w:space="0" w:color="auto"/>
                <w:bottom w:val="none" w:sz="0" w:space="0" w:color="auto"/>
                <w:right w:val="none" w:sz="0" w:space="0" w:color="auto"/>
              </w:divBdr>
            </w:div>
            <w:div w:id="1447894556">
              <w:marLeft w:val="0"/>
              <w:marRight w:val="0"/>
              <w:marTop w:val="0"/>
              <w:marBottom w:val="0"/>
              <w:divBdr>
                <w:top w:val="none" w:sz="0" w:space="0" w:color="auto"/>
                <w:left w:val="none" w:sz="0" w:space="0" w:color="auto"/>
                <w:bottom w:val="none" w:sz="0" w:space="0" w:color="auto"/>
                <w:right w:val="none" w:sz="0" w:space="0" w:color="auto"/>
              </w:divBdr>
            </w:div>
            <w:div w:id="1500806488">
              <w:marLeft w:val="0"/>
              <w:marRight w:val="0"/>
              <w:marTop w:val="0"/>
              <w:marBottom w:val="0"/>
              <w:divBdr>
                <w:top w:val="none" w:sz="0" w:space="0" w:color="auto"/>
                <w:left w:val="none" w:sz="0" w:space="0" w:color="auto"/>
                <w:bottom w:val="none" w:sz="0" w:space="0" w:color="auto"/>
                <w:right w:val="none" w:sz="0" w:space="0" w:color="auto"/>
              </w:divBdr>
            </w:div>
            <w:div w:id="1590191860">
              <w:marLeft w:val="0"/>
              <w:marRight w:val="0"/>
              <w:marTop w:val="0"/>
              <w:marBottom w:val="0"/>
              <w:divBdr>
                <w:top w:val="none" w:sz="0" w:space="0" w:color="auto"/>
                <w:left w:val="none" w:sz="0" w:space="0" w:color="auto"/>
                <w:bottom w:val="none" w:sz="0" w:space="0" w:color="auto"/>
                <w:right w:val="none" w:sz="0" w:space="0" w:color="auto"/>
              </w:divBdr>
            </w:div>
            <w:div w:id="2017724672">
              <w:marLeft w:val="0"/>
              <w:marRight w:val="0"/>
              <w:marTop w:val="0"/>
              <w:marBottom w:val="0"/>
              <w:divBdr>
                <w:top w:val="none" w:sz="0" w:space="0" w:color="auto"/>
                <w:left w:val="none" w:sz="0" w:space="0" w:color="auto"/>
                <w:bottom w:val="none" w:sz="0" w:space="0" w:color="auto"/>
                <w:right w:val="none" w:sz="0" w:space="0" w:color="auto"/>
              </w:divBdr>
            </w:div>
            <w:div w:id="2058506466">
              <w:marLeft w:val="0"/>
              <w:marRight w:val="0"/>
              <w:marTop w:val="0"/>
              <w:marBottom w:val="0"/>
              <w:divBdr>
                <w:top w:val="none" w:sz="0" w:space="0" w:color="auto"/>
                <w:left w:val="none" w:sz="0" w:space="0" w:color="auto"/>
                <w:bottom w:val="none" w:sz="0" w:space="0" w:color="auto"/>
                <w:right w:val="none" w:sz="0" w:space="0" w:color="auto"/>
              </w:divBdr>
            </w:div>
            <w:div w:id="2136750314">
              <w:marLeft w:val="0"/>
              <w:marRight w:val="0"/>
              <w:marTop w:val="0"/>
              <w:marBottom w:val="0"/>
              <w:divBdr>
                <w:top w:val="none" w:sz="0" w:space="0" w:color="auto"/>
                <w:left w:val="none" w:sz="0" w:space="0" w:color="auto"/>
                <w:bottom w:val="none" w:sz="0" w:space="0" w:color="auto"/>
                <w:right w:val="none" w:sz="0" w:space="0" w:color="auto"/>
              </w:divBdr>
            </w:div>
          </w:divsChild>
        </w:div>
        <w:div w:id="1544056839">
          <w:marLeft w:val="0"/>
          <w:marRight w:val="0"/>
          <w:marTop w:val="0"/>
          <w:marBottom w:val="0"/>
          <w:divBdr>
            <w:top w:val="none" w:sz="0" w:space="0" w:color="auto"/>
            <w:left w:val="none" w:sz="0" w:space="0" w:color="auto"/>
            <w:bottom w:val="none" w:sz="0" w:space="0" w:color="auto"/>
            <w:right w:val="none" w:sz="0" w:space="0" w:color="auto"/>
          </w:divBdr>
        </w:div>
        <w:div w:id="1644382540">
          <w:marLeft w:val="0"/>
          <w:marRight w:val="0"/>
          <w:marTop w:val="0"/>
          <w:marBottom w:val="0"/>
          <w:divBdr>
            <w:top w:val="none" w:sz="0" w:space="0" w:color="auto"/>
            <w:left w:val="none" w:sz="0" w:space="0" w:color="auto"/>
            <w:bottom w:val="none" w:sz="0" w:space="0" w:color="auto"/>
            <w:right w:val="none" w:sz="0" w:space="0" w:color="auto"/>
          </w:divBdr>
        </w:div>
        <w:div w:id="1677227068">
          <w:marLeft w:val="0"/>
          <w:marRight w:val="0"/>
          <w:marTop w:val="0"/>
          <w:marBottom w:val="0"/>
          <w:divBdr>
            <w:top w:val="none" w:sz="0" w:space="0" w:color="auto"/>
            <w:left w:val="none" w:sz="0" w:space="0" w:color="auto"/>
            <w:bottom w:val="none" w:sz="0" w:space="0" w:color="auto"/>
            <w:right w:val="none" w:sz="0" w:space="0" w:color="auto"/>
          </w:divBdr>
        </w:div>
        <w:div w:id="1682780182">
          <w:marLeft w:val="0"/>
          <w:marRight w:val="0"/>
          <w:marTop w:val="0"/>
          <w:marBottom w:val="0"/>
          <w:divBdr>
            <w:top w:val="none" w:sz="0" w:space="0" w:color="auto"/>
            <w:left w:val="none" w:sz="0" w:space="0" w:color="auto"/>
            <w:bottom w:val="none" w:sz="0" w:space="0" w:color="auto"/>
            <w:right w:val="none" w:sz="0" w:space="0" w:color="auto"/>
          </w:divBdr>
        </w:div>
        <w:div w:id="1744797400">
          <w:marLeft w:val="0"/>
          <w:marRight w:val="0"/>
          <w:marTop w:val="0"/>
          <w:marBottom w:val="0"/>
          <w:divBdr>
            <w:top w:val="none" w:sz="0" w:space="0" w:color="auto"/>
            <w:left w:val="none" w:sz="0" w:space="0" w:color="auto"/>
            <w:bottom w:val="none" w:sz="0" w:space="0" w:color="auto"/>
            <w:right w:val="none" w:sz="0" w:space="0" w:color="auto"/>
          </w:divBdr>
        </w:div>
        <w:div w:id="1764254511">
          <w:marLeft w:val="0"/>
          <w:marRight w:val="0"/>
          <w:marTop w:val="0"/>
          <w:marBottom w:val="0"/>
          <w:divBdr>
            <w:top w:val="none" w:sz="0" w:space="0" w:color="auto"/>
            <w:left w:val="none" w:sz="0" w:space="0" w:color="auto"/>
            <w:bottom w:val="none" w:sz="0" w:space="0" w:color="auto"/>
            <w:right w:val="none" w:sz="0" w:space="0" w:color="auto"/>
          </w:divBdr>
        </w:div>
        <w:div w:id="1773552103">
          <w:marLeft w:val="0"/>
          <w:marRight w:val="0"/>
          <w:marTop w:val="0"/>
          <w:marBottom w:val="0"/>
          <w:divBdr>
            <w:top w:val="none" w:sz="0" w:space="0" w:color="auto"/>
            <w:left w:val="none" w:sz="0" w:space="0" w:color="auto"/>
            <w:bottom w:val="none" w:sz="0" w:space="0" w:color="auto"/>
            <w:right w:val="none" w:sz="0" w:space="0" w:color="auto"/>
          </w:divBdr>
        </w:div>
        <w:div w:id="1850825293">
          <w:marLeft w:val="0"/>
          <w:marRight w:val="0"/>
          <w:marTop w:val="0"/>
          <w:marBottom w:val="0"/>
          <w:divBdr>
            <w:top w:val="none" w:sz="0" w:space="0" w:color="auto"/>
            <w:left w:val="none" w:sz="0" w:space="0" w:color="auto"/>
            <w:bottom w:val="none" w:sz="0" w:space="0" w:color="auto"/>
            <w:right w:val="none" w:sz="0" w:space="0" w:color="auto"/>
          </w:divBdr>
        </w:div>
        <w:div w:id="1893157617">
          <w:marLeft w:val="0"/>
          <w:marRight w:val="0"/>
          <w:marTop w:val="0"/>
          <w:marBottom w:val="0"/>
          <w:divBdr>
            <w:top w:val="none" w:sz="0" w:space="0" w:color="auto"/>
            <w:left w:val="none" w:sz="0" w:space="0" w:color="auto"/>
            <w:bottom w:val="none" w:sz="0" w:space="0" w:color="auto"/>
            <w:right w:val="none" w:sz="0" w:space="0" w:color="auto"/>
          </w:divBdr>
        </w:div>
        <w:div w:id="1952935758">
          <w:marLeft w:val="0"/>
          <w:marRight w:val="0"/>
          <w:marTop w:val="0"/>
          <w:marBottom w:val="0"/>
          <w:divBdr>
            <w:top w:val="none" w:sz="0" w:space="0" w:color="auto"/>
            <w:left w:val="none" w:sz="0" w:space="0" w:color="auto"/>
            <w:bottom w:val="none" w:sz="0" w:space="0" w:color="auto"/>
            <w:right w:val="none" w:sz="0" w:space="0" w:color="auto"/>
          </w:divBdr>
        </w:div>
        <w:div w:id="1969507047">
          <w:marLeft w:val="0"/>
          <w:marRight w:val="0"/>
          <w:marTop w:val="0"/>
          <w:marBottom w:val="0"/>
          <w:divBdr>
            <w:top w:val="none" w:sz="0" w:space="0" w:color="auto"/>
            <w:left w:val="none" w:sz="0" w:space="0" w:color="auto"/>
            <w:bottom w:val="none" w:sz="0" w:space="0" w:color="auto"/>
            <w:right w:val="none" w:sz="0" w:space="0" w:color="auto"/>
          </w:divBdr>
        </w:div>
        <w:div w:id="2019964234">
          <w:marLeft w:val="0"/>
          <w:marRight w:val="0"/>
          <w:marTop w:val="0"/>
          <w:marBottom w:val="0"/>
          <w:divBdr>
            <w:top w:val="none" w:sz="0" w:space="0" w:color="auto"/>
            <w:left w:val="none" w:sz="0" w:space="0" w:color="auto"/>
            <w:bottom w:val="none" w:sz="0" w:space="0" w:color="auto"/>
            <w:right w:val="none" w:sz="0" w:space="0" w:color="auto"/>
          </w:divBdr>
        </w:div>
        <w:div w:id="2037003948">
          <w:marLeft w:val="0"/>
          <w:marRight w:val="0"/>
          <w:marTop w:val="0"/>
          <w:marBottom w:val="0"/>
          <w:divBdr>
            <w:top w:val="none" w:sz="0" w:space="0" w:color="auto"/>
            <w:left w:val="none" w:sz="0" w:space="0" w:color="auto"/>
            <w:bottom w:val="none" w:sz="0" w:space="0" w:color="auto"/>
            <w:right w:val="none" w:sz="0" w:space="0" w:color="auto"/>
          </w:divBdr>
        </w:div>
        <w:div w:id="2063359712">
          <w:marLeft w:val="0"/>
          <w:marRight w:val="0"/>
          <w:marTop w:val="0"/>
          <w:marBottom w:val="0"/>
          <w:divBdr>
            <w:top w:val="none" w:sz="0" w:space="0" w:color="auto"/>
            <w:left w:val="none" w:sz="0" w:space="0" w:color="auto"/>
            <w:bottom w:val="none" w:sz="0" w:space="0" w:color="auto"/>
            <w:right w:val="none" w:sz="0" w:space="0" w:color="auto"/>
          </w:divBdr>
          <w:divsChild>
            <w:div w:id="978875650">
              <w:marLeft w:val="-75"/>
              <w:marRight w:val="0"/>
              <w:marTop w:val="30"/>
              <w:marBottom w:val="30"/>
              <w:divBdr>
                <w:top w:val="none" w:sz="0" w:space="0" w:color="auto"/>
                <w:left w:val="none" w:sz="0" w:space="0" w:color="auto"/>
                <w:bottom w:val="none" w:sz="0" w:space="0" w:color="auto"/>
                <w:right w:val="none" w:sz="0" w:space="0" w:color="auto"/>
              </w:divBdr>
              <w:divsChild>
                <w:div w:id="98381332">
                  <w:marLeft w:val="0"/>
                  <w:marRight w:val="0"/>
                  <w:marTop w:val="0"/>
                  <w:marBottom w:val="0"/>
                  <w:divBdr>
                    <w:top w:val="none" w:sz="0" w:space="0" w:color="auto"/>
                    <w:left w:val="none" w:sz="0" w:space="0" w:color="auto"/>
                    <w:bottom w:val="none" w:sz="0" w:space="0" w:color="auto"/>
                    <w:right w:val="none" w:sz="0" w:space="0" w:color="auto"/>
                  </w:divBdr>
                  <w:divsChild>
                    <w:div w:id="29915004">
                      <w:marLeft w:val="0"/>
                      <w:marRight w:val="0"/>
                      <w:marTop w:val="0"/>
                      <w:marBottom w:val="0"/>
                      <w:divBdr>
                        <w:top w:val="none" w:sz="0" w:space="0" w:color="auto"/>
                        <w:left w:val="none" w:sz="0" w:space="0" w:color="auto"/>
                        <w:bottom w:val="none" w:sz="0" w:space="0" w:color="auto"/>
                        <w:right w:val="none" w:sz="0" w:space="0" w:color="auto"/>
                      </w:divBdr>
                    </w:div>
                  </w:divsChild>
                </w:div>
                <w:div w:id="132213323">
                  <w:marLeft w:val="0"/>
                  <w:marRight w:val="0"/>
                  <w:marTop w:val="0"/>
                  <w:marBottom w:val="0"/>
                  <w:divBdr>
                    <w:top w:val="none" w:sz="0" w:space="0" w:color="auto"/>
                    <w:left w:val="none" w:sz="0" w:space="0" w:color="auto"/>
                    <w:bottom w:val="none" w:sz="0" w:space="0" w:color="auto"/>
                    <w:right w:val="none" w:sz="0" w:space="0" w:color="auto"/>
                  </w:divBdr>
                  <w:divsChild>
                    <w:div w:id="1139373661">
                      <w:marLeft w:val="0"/>
                      <w:marRight w:val="0"/>
                      <w:marTop w:val="0"/>
                      <w:marBottom w:val="0"/>
                      <w:divBdr>
                        <w:top w:val="none" w:sz="0" w:space="0" w:color="auto"/>
                        <w:left w:val="none" w:sz="0" w:space="0" w:color="auto"/>
                        <w:bottom w:val="none" w:sz="0" w:space="0" w:color="auto"/>
                        <w:right w:val="none" w:sz="0" w:space="0" w:color="auto"/>
                      </w:divBdr>
                    </w:div>
                  </w:divsChild>
                </w:div>
                <w:div w:id="132869778">
                  <w:marLeft w:val="0"/>
                  <w:marRight w:val="0"/>
                  <w:marTop w:val="0"/>
                  <w:marBottom w:val="0"/>
                  <w:divBdr>
                    <w:top w:val="none" w:sz="0" w:space="0" w:color="auto"/>
                    <w:left w:val="none" w:sz="0" w:space="0" w:color="auto"/>
                    <w:bottom w:val="none" w:sz="0" w:space="0" w:color="auto"/>
                    <w:right w:val="none" w:sz="0" w:space="0" w:color="auto"/>
                  </w:divBdr>
                  <w:divsChild>
                    <w:div w:id="660817254">
                      <w:marLeft w:val="0"/>
                      <w:marRight w:val="0"/>
                      <w:marTop w:val="0"/>
                      <w:marBottom w:val="0"/>
                      <w:divBdr>
                        <w:top w:val="none" w:sz="0" w:space="0" w:color="auto"/>
                        <w:left w:val="none" w:sz="0" w:space="0" w:color="auto"/>
                        <w:bottom w:val="none" w:sz="0" w:space="0" w:color="auto"/>
                        <w:right w:val="none" w:sz="0" w:space="0" w:color="auto"/>
                      </w:divBdr>
                    </w:div>
                  </w:divsChild>
                </w:div>
                <w:div w:id="163011975">
                  <w:marLeft w:val="0"/>
                  <w:marRight w:val="0"/>
                  <w:marTop w:val="0"/>
                  <w:marBottom w:val="0"/>
                  <w:divBdr>
                    <w:top w:val="none" w:sz="0" w:space="0" w:color="auto"/>
                    <w:left w:val="none" w:sz="0" w:space="0" w:color="auto"/>
                    <w:bottom w:val="none" w:sz="0" w:space="0" w:color="auto"/>
                    <w:right w:val="none" w:sz="0" w:space="0" w:color="auto"/>
                  </w:divBdr>
                  <w:divsChild>
                    <w:div w:id="1718121677">
                      <w:marLeft w:val="0"/>
                      <w:marRight w:val="0"/>
                      <w:marTop w:val="0"/>
                      <w:marBottom w:val="0"/>
                      <w:divBdr>
                        <w:top w:val="none" w:sz="0" w:space="0" w:color="auto"/>
                        <w:left w:val="none" w:sz="0" w:space="0" w:color="auto"/>
                        <w:bottom w:val="none" w:sz="0" w:space="0" w:color="auto"/>
                        <w:right w:val="none" w:sz="0" w:space="0" w:color="auto"/>
                      </w:divBdr>
                    </w:div>
                  </w:divsChild>
                </w:div>
                <w:div w:id="262419872">
                  <w:marLeft w:val="0"/>
                  <w:marRight w:val="0"/>
                  <w:marTop w:val="0"/>
                  <w:marBottom w:val="0"/>
                  <w:divBdr>
                    <w:top w:val="none" w:sz="0" w:space="0" w:color="auto"/>
                    <w:left w:val="none" w:sz="0" w:space="0" w:color="auto"/>
                    <w:bottom w:val="none" w:sz="0" w:space="0" w:color="auto"/>
                    <w:right w:val="none" w:sz="0" w:space="0" w:color="auto"/>
                  </w:divBdr>
                  <w:divsChild>
                    <w:div w:id="1289048720">
                      <w:marLeft w:val="0"/>
                      <w:marRight w:val="0"/>
                      <w:marTop w:val="0"/>
                      <w:marBottom w:val="0"/>
                      <w:divBdr>
                        <w:top w:val="none" w:sz="0" w:space="0" w:color="auto"/>
                        <w:left w:val="none" w:sz="0" w:space="0" w:color="auto"/>
                        <w:bottom w:val="none" w:sz="0" w:space="0" w:color="auto"/>
                        <w:right w:val="none" w:sz="0" w:space="0" w:color="auto"/>
                      </w:divBdr>
                    </w:div>
                  </w:divsChild>
                </w:div>
                <w:div w:id="262882223">
                  <w:marLeft w:val="0"/>
                  <w:marRight w:val="0"/>
                  <w:marTop w:val="0"/>
                  <w:marBottom w:val="0"/>
                  <w:divBdr>
                    <w:top w:val="none" w:sz="0" w:space="0" w:color="auto"/>
                    <w:left w:val="none" w:sz="0" w:space="0" w:color="auto"/>
                    <w:bottom w:val="none" w:sz="0" w:space="0" w:color="auto"/>
                    <w:right w:val="none" w:sz="0" w:space="0" w:color="auto"/>
                  </w:divBdr>
                  <w:divsChild>
                    <w:div w:id="1812672309">
                      <w:marLeft w:val="0"/>
                      <w:marRight w:val="0"/>
                      <w:marTop w:val="0"/>
                      <w:marBottom w:val="0"/>
                      <w:divBdr>
                        <w:top w:val="none" w:sz="0" w:space="0" w:color="auto"/>
                        <w:left w:val="none" w:sz="0" w:space="0" w:color="auto"/>
                        <w:bottom w:val="none" w:sz="0" w:space="0" w:color="auto"/>
                        <w:right w:val="none" w:sz="0" w:space="0" w:color="auto"/>
                      </w:divBdr>
                    </w:div>
                  </w:divsChild>
                </w:div>
                <w:div w:id="277641430">
                  <w:marLeft w:val="0"/>
                  <w:marRight w:val="0"/>
                  <w:marTop w:val="0"/>
                  <w:marBottom w:val="0"/>
                  <w:divBdr>
                    <w:top w:val="none" w:sz="0" w:space="0" w:color="auto"/>
                    <w:left w:val="none" w:sz="0" w:space="0" w:color="auto"/>
                    <w:bottom w:val="none" w:sz="0" w:space="0" w:color="auto"/>
                    <w:right w:val="none" w:sz="0" w:space="0" w:color="auto"/>
                  </w:divBdr>
                  <w:divsChild>
                    <w:div w:id="665011205">
                      <w:marLeft w:val="0"/>
                      <w:marRight w:val="0"/>
                      <w:marTop w:val="0"/>
                      <w:marBottom w:val="0"/>
                      <w:divBdr>
                        <w:top w:val="none" w:sz="0" w:space="0" w:color="auto"/>
                        <w:left w:val="none" w:sz="0" w:space="0" w:color="auto"/>
                        <w:bottom w:val="none" w:sz="0" w:space="0" w:color="auto"/>
                        <w:right w:val="none" w:sz="0" w:space="0" w:color="auto"/>
                      </w:divBdr>
                    </w:div>
                  </w:divsChild>
                </w:div>
                <w:div w:id="280458680">
                  <w:marLeft w:val="0"/>
                  <w:marRight w:val="0"/>
                  <w:marTop w:val="0"/>
                  <w:marBottom w:val="0"/>
                  <w:divBdr>
                    <w:top w:val="none" w:sz="0" w:space="0" w:color="auto"/>
                    <w:left w:val="none" w:sz="0" w:space="0" w:color="auto"/>
                    <w:bottom w:val="none" w:sz="0" w:space="0" w:color="auto"/>
                    <w:right w:val="none" w:sz="0" w:space="0" w:color="auto"/>
                  </w:divBdr>
                  <w:divsChild>
                    <w:div w:id="1300381110">
                      <w:marLeft w:val="0"/>
                      <w:marRight w:val="0"/>
                      <w:marTop w:val="0"/>
                      <w:marBottom w:val="0"/>
                      <w:divBdr>
                        <w:top w:val="none" w:sz="0" w:space="0" w:color="auto"/>
                        <w:left w:val="none" w:sz="0" w:space="0" w:color="auto"/>
                        <w:bottom w:val="none" w:sz="0" w:space="0" w:color="auto"/>
                        <w:right w:val="none" w:sz="0" w:space="0" w:color="auto"/>
                      </w:divBdr>
                    </w:div>
                  </w:divsChild>
                </w:div>
                <w:div w:id="336419315">
                  <w:marLeft w:val="0"/>
                  <w:marRight w:val="0"/>
                  <w:marTop w:val="0"/>
                  <w:marBottom w:val="0"/>
                  <w:divBdr>
                    <w:top w:val="none" w:sz="0" w:space="0" w:color="auto"/>
                    <w:left w:val="none" w:sz="0" w:space="0" w:color="auto"/>
                    <w:bottom w:val="none" w:sz="0" w:space="0" w:color="auto"/>
                    <w:right w:val="none" w:sz="0" w:space="0" w:color="auto"/>
                  </w:divBdr>
                  <w:divsChild>
                    <w:div w:id="1543638998">
                      <w:marLeft w:val="0"/>
                      <w:marRight w:val="0"/>
                      <w:marTop w:val="0"/>
                      <w:marBottom w:val="0"/>
                      <w:divBdr>
                        <w:top w:val="none" w:sz="0" w:space="0" w:color="auto"/>
                        <w:left w:val="none" w:sz="0" w:space="0" w:color="auto"/>
                        <w:bottom w:val="none" w:sz="0" w:space="0" w:color="auto"/>
                        <w:right w:val="none" w:sz="0" w:space="0" w:color="auto"/>
                      </w:divBdr>
                    </w:div>
                  </w:divsChild>
                </w:div>
                <w:div w:id="354041915">
                  <w:marLeft w:val="0"/>
                  <w:marRight w:val="0"/>
                  <w:marTop w:val="0"/>
                  <w:marBottom w:val="0"/>
                  <w:divBdr>
                    <w:top w:val="none" w:sz="0" w:space="0" w:color="auto"/>
                    <w:left w:val="none" w:sz="0" w:space="0" w:color="auto"/>
                    <w:bottom w:val="none" w:sz="0" w:space="0" w:color="auto"/>
                    <w:right w:val="none" w:sz="0" w:space="0" w:color="auto"/>
                  </w:divBdr>
                  <w:divsChild>
                    <w:div w:id="1281957724">
                      <w:marLeft w:val="0"/>
                      <w:marRight w:val="0"/>
                      <w:marTop w:val="0"/>
                      <w:marBottom w:val="0"/>
                      <w:divBdr>
                        <w:top w:val="none" w:sz="0" w:space="0" w:color="auto"/>
                        <w:left w:val="none" w:sz="0" w:space="0" w:color="auto"/>
                        <w:bottom w:val="none" w:sz="0" w:space="0" w:color="auto"/>
                        <w:right w:val="none" w:sz="0" w:space="0" w:color="auto"/>
                      </w:divBdr>
                    </w:div>
                  </w:divsChild>
                </w:div>
                <w:div w:id="398867894">
                  <w:marLeft w:val="0"/>
                  <w:marRight w:val="0"/>
                  <w:marTop w:val="0"/>
                  <w:marBottom w:val="0"/>
                  <w:divBdr>
                    <w:top w:val="none" w:sz="0" w:space="0" w:color="auto"/>
                    <w:left w:val="none" w:sz="0" w:space="0" w:color="auto"/>
                    <w:bottom w:val="none" w:sz="0" w:space="0" w:color="auto"/>
                    <w:right w:val="none" w:sz="0" w:space="0" w:color="auto"/>
                  </w:divBdr>
                  <w:divsChild>
                    <w:div w:id="231157016">
                      <w:marLeft w:val="0"/>
                      <w:marRight w:val="0"/>
                      <w:marTop w:val="0"/>
                      <w:marBottom w:val="0"/>
                      <w:divBdr>
                        <w:top w:val="none" w:sz="0" w:space="0" w:color="auto"/>
                        <w:left w:val="none" w:sz="0" w:space="0" w:color="auto"/>
                        <w:bottom w:val="none" w:sz="0" w:space="0" w:color="auto"/>
                        <w:right w:val="none" w:sz="0" w:space="0" w:color="auto"/>
                      </w:divBdr>
                    </w:div>
                  </w:divsChild>
                </w:div>
                <w:div w:id="401684139">
                  <w:marLeft w:val="0"/>
                  <w:marRight w:val="0"/>
                  <w:marTop w:val="0"/>
                  <w:marBottom w:val="0"/>
                  <w:divBdr>
                    <w:top w:val="none" w:sz="0" w:space="0" w:color="auto"/>
                    <w:left w:val="none" w:sz="0" w:space="0" w:color="auto"/>
                    <w:bottom w:val="none" w:sz="0" w:space="0" w:color="auto"/>
                    <w:right w:val="none" w:sz="0" w:space="0" w:color="auto"/>
                  </w:divBdr>
                  <w:divsChild>
                    <w:div w:id="852181234">
                      <w:marLeft w:val="0"/>
                      <w:marRight w:val="0"/>
                      <w:marTop w:val="0"/>
                      <w:marBottom w:val="0"/>
                      <w:divBdr>
                        <w:top w:val="none" w:sz="0" w:space="0" w:color="auto"/>
                        <w:left w:val="none" w:sz="0" w:space="0" w:color="auto"/>
                        <w:bottom w:val="none" w:sz="0" w:space="0" w:color="auto"/>
                        <w:right w:val="none" w:sz="0" w:space="0" w:color="auto"/>
                      </w:divBdr>
                    </w:div>
                  </w:divsChild>
                </w:div>
                <w:div w:id="402601109">
                  <w:marLeft w:val="0"/>
                  <w:marRight w:val="0"/>
                  <w:marTop w:val="0"/>
                  <w:marBottom w:val="0"/>
                  <w:divBdr>
                    <w:top w:val="none" w:sz="0" w:space="0" w:color="auto"/>
                    <w:left w:val="none" w:sz="0" w:space="0" w:color="auto"/>
                    <w:bottom w:val="none" w:sz="0" w:space="0" w:color="auto"/>
                    <w:right w:val="none" w:sz="0" w:space="0" w:color="auto"/>
                  </w:divBdr>
                  <w:divsChild>
                    <w:div w:id="1872382058">
                      <w:marLeft w:val="0"/>
                      <w:marRight w:val="0"/>
                      <w:marTop w:val="0"/>
                      <w:marBottom w:val="0"/>
                      <w:divBdr>
                        <w:top w:val="none" w:sz="0" w:space="0" w:color="auto"/>
                        <w:left w:val="none" w:sz="0" w:space="0" w:color="auto"/>
                        <w:bottom w:val="none" w:sz="0" w:space="0" w:color="auto"/>
                        <w:right w:val="none" w:sz="0" w:space="0" w:color="auto"/>
                      </w:divBdr>
                    </w:div>
                  </w:divsChild>
                </w:div>
                <w:div w:id="430325216">
                  <w:marLeft w:val="0"/>
                  <w:marRight w:val="0"/>
                  <w:marTop w:val="0"/>
                  <w:marBottom w:val="0"/>
                  <w:divBdr>
                    <w:top w:val="none" w:sz="0" w:space="0" w:color="auto"/>
                    <w:left w:val="none" w:sz="0" w:space="0" w:color="auto"/>
                    <w:bottom w:val="none" w:sz="0" w:space="0" w:color="auto"/>
                    <w:right w:val="none" w:sz="0" w:space="0" w:color="auto"/>
                  </w:divBdr>
                  <w:divsChild>
                    <w:div w:id="1485662479">
                      <w:marLeft w:val="0"/>
                      <w:marRight w:val="0"/>
                      <w:marTop w:val="0"/>
                      <w:marBottom w:val="0"/>
                      <w:divBdr>
                        <w:top w:val="none" w:sz="0" w:space="0" w:color="auto"/>
                        <w:left w:val="none" w:sz="0" w:space="0" w:color="auto"/>
                        <w:bottom w:val="none" w:sz="0" w:space="0" w:color="auto"/>
                        <w:right w:val="none" w:sz="0" w:space="0" w:color="auto"/>
                      </w:divBdr>
                    </w:div>
                  </w:divsChild>
                </w:div>
                <w:div w:id="574508152">
                  <w:marLeft w:val="0"/>
                  <w:marRight w:val="0"/>
                  <w:marTop w:val="0"/>
                  <w:marBottom w:val="0"/>
                  <w:divBdr>
                    <w:top w:val="none" w:sz="0" w:space="0" w:color="auto"/>
                    <w:left w:val="none" w:sz="0" w:space="0" w:color="auto"/>
                    <w:bottom w:val="none" w:sz="0" w:space="0" w:color="auto"/>
                    <w:right w:val="none" w:sz="0" w:space="0" w:color="auto"/>
                  </w:divBdr>
                  <w:divsChild>
                    <w:div w:id="367025763">
                      <w:marLeft w:val="0"/>
                      <w:marRight w:val="0"/>
                      <w:marTop w:val="0"/>
                      <w:marBottom w:val="0"/>
                      <w:divBdr>
                        <w:top w:val="none" w:sz="0" w:space="0" w:color="auto"/>
                        <w:left w:val="none" w:sz="0" w:space="0" w:color="auto"/>
                        <w:bottom w:val="none" w:sz="0" w:space="0" w:color="auto"/>
                        <w:right w:val="none" w:sz="0" w:space="0" w:color="auto"/>
                      </w:divBdr>
                    </w:div>
                  </w:divsChild>
                </w:div>
                <w:div w:id="605618632">
                  <w:marLeft w:val="0"/>
                  <w:marRight w:val="0"/>
                  <w:marTop w:val="0"/>
                  <w:marBottom w:val="0"/>
                  <w:divBdr>
                    <w:top w:val="none" w:sz="0" w:space="0" w:color="auto"/>
                    <w:left w:val="none" w:sz="0" w:space="0" w:color="auto"/>
                    <w:bottom w:val="none" w:sz="0" w:space="0" w:color="auto"/>
                    <w:right w:val="none" w:sz="0" w:space="0" w:color="auto"/>
                  </w:divBdr>
                  <w:divsChild>
                    <w:div w:id="1557739428">
                      <w:marLeft w:val="0"/>
                      <w:marRight w:val="0"/>
                      <w:marTop w:val="0"/>
                      <w:marBottom w:val="0"/>
                      <w:divBdr>
                        <w:top w:val="none" w:sz="0" w:space="0" w:color="auto"/>
                        <w:left w:val="none" w:sz="0" w:space="0" w:color="auto"/>
                        <w:bottom w:val="none" w:sz="0" w:space="0" w:color="auto"/>
                        <w:right w:val="none" w:sz="0" w:space="0" w:color="auto"/>
                      </w:divBdr>
                    </w:div>
                  </w:divsChild>
                </w:div>
                <w:div w:id="605623435">
                  <w:marLeft w:val="0"/>
                  <w:marRight w:val="0"/>
                  <w:marTop w:val="0"/>
                  <w:marBottom w:val="0"/>
                  <w:divBdr>
                    <w:top w:val="none" w:sz="0" w:space="0" w:color="auto"/>
                    <w:left w:val="none" w:sz="0" w:space="0" w:color="auto"/>
                    <w:bottom w:val="none" w:sz="0" w:space="0" w:color="auto"/>
                    <w:right w:val="none" w:sz="0" w:space="0" w:color="auto"/>
                  </w:divBdr>
                  <w:divsChild>
                    <w:div w:id="1271477279">
                      <w:marLeft w:val="0"/>
                      <w:marRight w:val="0"/>
                      <w:marTop w:val="0"/>
                      <w:marBottom w:val="0"/>
                      <w:divBdr>
                        <w:top w:val="none" w:sz="0" w:space="0" w:color="auto"/>
                        <w:left w:val="none" w:sz="0" w:space="0" w:color="auto"/>
                        <w:bottom w:val="none" w:sz="0" w:space="0" w:color="auto"/>
                        <w:right w:val="none" w:sz="0" w:space="0" w:color="auto"/>
                      </w:divBdr>
                    </w:div>
                  </w:divsChild>
                </w:div>
                <w:div w:id="625233261">
                  <w:marLeft w:val="0"/>
                  <w:marRight w:val="0"/>
                  <w:marTop w:val="0"/>
                  <w:marBottom w:val="0"/>
                  <w:divBdr>
                    <w:top w:val="none" w:sz="0" w:space="0" w:color="auto"/>
                    <w:left w:val="none" w:sz="0" w:space="0" w:color="auto"/>
                    <w:bottom w:val="none" w:sz="0" w:space="0" w:color="auto"/>
                    <w:right w:val="none" w:sz="0" w:space="0" w:color="auto"/>
                  </w:divBdr>
                  <w:divsChild>
                    <w:div w:id="778069150">
                      <w:marLeft w:val="0"/>
                      <w:marRight w:val="0"/>
                      <w:marTop w:val="0"/>
                      <w:marBottom w:val="0"/>
                      <w:divBdr>
                        <w:top w:val="none" w:sz="0" w:space="0" w:color="auto"/>
                        <w:left w:val="none" w:sz="0" w:space="0" w:color="auto"/>
                        <w:bottom w:val="none" w:sz="0" w:space="0" w:color="auto"/>
                        <w:right w:val="none" w:sz="0" w:space="0" w:color="auto"/>
                      </w:divBdr>
                    </w:div>
                  </w:divsChild>
                </w:div>
                <w:div w:id="675771504">
                  <w:marLeft w:val="0"/>
                  <w:marRight w:val="0"/>
                  <w:marTop w:val="0"/>
                  <w:marBottom w:val="0"/>
                  <w:divBdr>
                    <w:top w:val="none" w:sz="0" w:space="0" w:color="auto"/>
                    <w:left w:val="none" w:sz="0" w:space="0" w:color="auto"/>
                    <w:bottom w:val="none" w:sz="0" w:space="0" w:color="auto"/>
                    <w:right w:val="none" w:sz="0" w:space="0" w:color="auto"/>
                  </w:divBdr>
                  <w:divsChild>
                    <w:div w:id="1421102713">
                      <w:marLeft w:val="0"/>
                      <w:marRight w:val="0"/>
                      <w:marTop w:val="0"/>
                      <w:marBottom w:val="0"/>
                      <w:divBdr>
                        <w:top w:val="none" w:sz="0" w:space="0" w:color="auto"/>
                        <w:left w:val="none" w:sz="0" w:space="0" w:color="auto"/>
                        <w:bottom w:val="none" w:sz="0" w:space="0" w:color="auto"/>
                        <w:right w:val="none" w:sz="0" w:space="0" w:color="auto"/>
                      </w:divBdr>
                    </w:div>
                  </w:divsChild>
                </w:div>
                <w:div w:id="693504753">
                  <w:marLeft w:val="0"/>
                  <w:marRight w:val="0"/>
                  <w:marTop w:val="0"/>
                  <w:marBottom w:val="0"/>
                  <w:divBdr>
                    <w:top w:val="none" w:sz="0" w:space="0" w:color="auto"/>
                    <w:left w:val="none" w:sz="0" w:space="0" w:color="auto"/>
                    <w:bottom w:val="none" w:sz="0" w:space="0" w:color="auto"/>
                    <w:right w:val="none" w:sz="0" w:space="0" w:color="auto"/>
                  </w:divBdr>
                  <w:divsChild>
                    <w:div w:id="1887451478">
                      <w:marLeft w:val="0"/>
                      <w:marRight w:val="0"/>
                      <w:marTop w:val="0"/>
                      <w:marBottom w:val="0"/>
                      <w:divBdr>
                        <w:top w:val="none" w:sz="0" w:space="0" w:color="auto"/>
                        <w:left w:val="none" w:sz="0" w:space="0" w:color="auto"/>
                        <w:bottom w:val="none" w:sz="0" w:space="0" w:color="auto"/>
                        <w:right w:val="none" w:sz="0" w:space="0" w:color="auto"/>
                      </w:divBdr>
                    </w:div>
                  </w:divsChild>
                </w:div>
                <w:div w:id="715392939">
                  <w:marLeft w:val="0"/>
                  <w:marRight w:val="0"/>
                  <w:marTop w:val="0"/>
                  <w:marBottom w:val="0"/>
                  <w:divBdr>
                    <w:top w:val="none" w:sz="0" w:space="0" w:color="auto"/>
                    <w:left w:val="none" w:sz="0" w:space="0" w:color="auto"/>
                    <w:bottom w:val="none" w:sz="0" w:space="0" w:color="auto"/>
                    <w:right w:val="none" w:sz="0" w:space="0" w:color="auto"/>
                  </w:divBdr>
                  <w:divsChild>
                    <w:div w:id="236131227">
                      <w:marLeft w:val="0"/>
                      <w:marRight w:val="0"/>
                      <w:marTop w:val="0"/>
                      <w:marBottom w:val="0"/>
                      <w:divBdr>
                        <w:top w:val="none" w:sz="0" w:space="0" w:color="auto"/>
                        <w:left w:val="none" w:sz="0" w:space="0" w:color="auto"/>
                        <w:bottom w:val="none" w:sz="0" w:space="0" w:color="auto"/>
                        <w:right w:val="none" w:sz="0" w:space="0" w:color="auto"/>
                      </w:divBdr>
                    </w:div>
                  </w:divsChild>
                </w:div>
                <w:div w:id="822280940">
                  <w:marLeft w:val="0"/>
                  <w:marRight w:val="0"/>
                  <w:marTop w:val="0"/>
                  <w:marBottom w:val="0"/>
                  <w:divBdr>
                    <w:top w:val="none" w:sz="0" w:space="0" w:color="auto"/>
                    <w:left w:val="none" w:sz="0" w:space="0" w:color="auto"/>
                    <w:bottom w:val="none" w:sz="0" w:space="0" w:color="auto"/>
                    <w:right w:val="none" w:sz="0" w:space="0" w:color="auto"/>
                  </w:divBdr>
                  <w:divsChild>
                    <w:div w:id="542985933">
                      <w:marLeft w:val="0"/>
                      <w:marRight w:val="0"/>
                      <w:marTop w:val="0"/>
                      <w:marBottom w:val="0"/>
                      <w:divBdr>
                        <w:top w:val="none" w:sz="0" w:space="0" w:color="auto"/>
                        <w:left w:val="none" w:sz="0" w:space="0" w:color="auto"/>
                        <w:bottom w:val="none" w:sz="0" w:space="0" w:color="auto"/>
                        <w:right w:val="none" w:sz="0" w:space="0" w:color="auto"/>
                      </w:divBdr>
                    </w:div>
                  </w:divsChild>
                </w:div>
                <w:div w:id="860629520">
                  <w:marLeft w:val="0"/>
                  <w:marRight w:val="0"/>
                  <w:marTop w:val="0"/>
                  <w:marBottom w:val="0"/>
                  <w:divBdr>
                    <w:top w:val="none" w:sz="0" w:space="0" w:color="auto"/>
                    <w:left w:val="none" w:sz="0" w:space="0" w:color="auto"/>
                    <w:bottom w:val="none" w:sz="0" w:space="0" w:color="auto"/>
                    <w:right w:val="none" w:sz="0" w:space="0" w:color="auto"/>
                  </w:divBdr>
                  <w:divsChild>
                    <w:div w:id="896473064">
                      <w:marLeft w:val="0"/>
                      <w:marRight w:val="0"/>
                      <w:marTop w:val="0"/>
                      <w:marBottom w:val="0"/>
                      <w:divBdr>
                        <w:top w:val="none" w:sz="0" w:space="0" w:color="auto"/>
                        <w:left w:val="none" w:sz="0" w:space="0" w:color="auto"/>
                        <w:bottom w:val="none" w:sz="0" w:space="0" w:color="auto"/>
                        <w:right w:val="none" w:sz="0" w:space="0" w:color="auto"/>
                      </w:divBdr>
                    </w:div>
                  </w:divsChild>
                </w:div>
                <w:div w:id="886067391">
                  <w:marLeft w:val="0"/>
                  <w:marRight w:val="0"/>
                  <w:marTop w:val="0"/>
                  <w:marBottom w:val="0"/>
                  <w:divBdr>
                    <w:top w:val="none" w:sz="0" w:space="0" w:color="auto"/>
                    <w:left w:val="none" w:sz="0" w:space="0" w:color="auto"/>
                    <w:bottom w:val="none" w:sz="0" w:space="0" w:color="auto"/>
                    <w:right w:val="none" w:sz="0" w:space="0" w:color="auto"/>
                  </w:divBdr>
                  <w:divsChild>
                    <w:div w:id="1127353473">
                      <w:marLeft w:val="0"/>
                      <w:marRight w:val="0"/>
                      <w:marTop w:val="0"/>
                      <w:marBottom w:val="0"/>
                      <w:divBdr>
                        <w:top w:val="none" w:sz="0" w:space="0" w:color="auto"/>
                        <w:left w:val="none" w:sz="0" w:space="0" w:color="auto"/>
                        <w:bottom w:val="none" w:sz="0" w:space="0" w:color="auto"/>
                        <w:right w:val="none" w:sz="0" w:space="0" w:color="auto"/>
                      </w:divBdr>
                    </w:div>
                  </w:divsChild>
                </w:div>
                <w:div w:id="976689897">
                  <w:marLeft w:val="0"/>
                  <w:marRight w:val="0"/>
                  <w:marTop w:val="0"/>
                  <w:marBottom w:val="0"/>
                  <w:divBdr>
                    <w:top w:val="none" w:sz="0" w:space="0" w:color="auto"/>
                    <w:left w:val="none" w:sz="0" w:space="0" w:color="auto"/>
                    <w:bottom w:val="none" w:sz="0" w:space="0" w:color="auto"/>
                    <w:right w:val="none" w:sz="0" w:space="0" w:color="auto"/>
                  </w:divBdr>
                  <w:divsChild>
                    <w:div w:id="622617368">
                      <w:marLeft w:val="0"/>
                      <w:marRight w:val="0"/>
                      <w:marTop w:val="0"/>
                      <w:marBottom w:val="0"/>
                      <w:divBdr>
                        <w:top w:val="none" w:sz="0" w:space="0" w:color="auto"/>
                        <w:left w:val="none" w:sz="0" w:space="0" w:color="auto"/>
                        <w:bottom w:val="none" w:sz="0" w:space="0" w:color="auto"/>
                        <w:right w:val="none" w:sz="0" w:space="0" w:color="auto"/>
                      </w:divBdr>
                    </w:div>
                  </w:divsChild>
                </w:div>
                <w:div w:id="978148645">
                  <w:marLeft w:val="0"/>
                  <w:marRight w:val="0"/>
                  <w:marTop w:val="0"/>
                  <w:marBottom w:val="0"/>
                  <w:divBdr>
                    <w:top w:val="none" w:sz="0" w:space="0" w:color="auto"/>
                    <w:left w:val="none" w:sz="0" w:space="0" w:color="auto"/>
                    <w:bottom w:val="none" w:sz="0" w:space="0" w:color="auto"/>
                    <w:right w:val="none" w:sz="0" w:space="0" w:color="auto"/>
                  </w:divBdr>
                  <w:divsChild>
                    <w:div w:id="956109303">
                      <w:marLeft w:val="0"/>
                      <w:marRight w:val="0"/>
                      <w:marTop w:val="0"/>
                      <w:marBottom w:val="0"/>
                      <w:divBdr>
                        <w:top w:val="none" w:sz="0" w:space="0" w:color="auto"/>
                        <w:left w:val="none" w:sz="0" w:space="0" w:color="auto"/>
                        <w:bottom w:val="none" w:sz="0" w:space="0" w:color="auto"/>
                        <w:right w:val="none" w:sz="0" w:space="0" w:color="auto"/>
                      </w:divBdr>
                    </w:div>
                  </w:divsChild>
                </w:div>
                <w:div w:id="1064063143">
                  <w:marLeft w:val="0"/>
                  <w:marRight w:val="0"/>
                  <w:marTop w:val="0"/>
                  <w:marBottom w:val="0"/>
                  <w:divBdr>
                    <w:top w:val="none" w:sz="0" w:space="0" w:color="auto"/>
                    <w:left w:val="none" w:sz="0" w:space="0" w:color="auto"/>
                    <w:bottom w:val="none" w:sz="0" w:space="0" w:color="auto"/>
                    <w:right w:val="none" w:sz="0" w:space="0" w:color="auto"/>
                  </w:divBdr>
                  <w:divsChild>
                    <w:div w:id="1421104075">
                      <w:marLeft w:val="0"/>
                      <w:marRight w:val="0"/>
                      <w:marTop w:val="0"/>
                      <w:marBottom w:val="0"/>
                      <w:divBdr>
                        <w:top w:val="none" w:sz="0" w:space="0" w:color="auto"/>
                        <w:left w:val="none" w:sz="0" w:space="0" w:color="auto"/>
                        <w:bottom w:val="none" w:sz="0" w:space="0" w:color="auto"/>
                        <w:right w:val="none" w:sz="0" w:space="0" w:color="auto"/>
                      </w:divBdr>
                    </w:div>
                  </w:divsChild>
                </w:div>
                <w:div w:id="1101340016">
                  <w:marLeft w:val="0"/>
                  <w:marRight w:val="0"/>
                  <w:marTop w:val="0"/>
                  <w:marBottom w:val="0"/>
                  <w:divBdr>
                    <w:top w:val="none" w:sz="0" w:space="0" w:color="auto"/>
                    <w:left w:val="none" w:sz="0" w:space="0" w:color="auto"/>
                    <w:bottom w:val="none" w:sz="0" w:space="0" w:color="auto"/>
                    <w:right w:val="none" w:sz="0" w:space="0" w:color="auto"/>
                  </w:divBdr>
                  <w:divsChild>
                    <w:div w:id="668672978">
                      <w:marLeft w:val="0"/>
                      <w:marRight w:val="0"/>
                      <w:marTop w:val="0"/>
                      <w:marBottom w:val="0"/>
                      <w:divBdr>
                        <w:top w:val="none" w:sz="0" w:space="0" w:color="auto"/>
                        <w:left w:val="none" w:sz="0" w:space="0" w:color="auto"/>
                        <w:bottom w:val="none" w:sz="0" w:space="0" w:color="auto"/>
                        <w:right w:val="none" w:sz="0" w:space="0" w:color="auto"/>
                      </w:divBdr>
                    </w:div>
                  </w:divsChild>
                </w:div>
                <w:div w:id="1114178476">
                  <w:marLeft w:val="0"/>
                  <w:marRight w:val="0"/>
                  <w:marTop w:val="0"/>
                  <w:marBottom w:val="0"/>
                  <w:divBdr>
                    <w:top w:val="none" w:sz="0" w:space="0" w:color="auto"/>
                    <w:left w:val="none" w:sz="0" w:space="0" w:color="auto"/>
                    <w:bottom w:val="none" w:sz="0" w:space="0" w:color="auto"/>
                    <w:right w:val="none" w:sz="0" w:space="0" w:color="auto"/>
                  </w:divBdr>
                  <w:divsChild>
                    <w:div w:id="1234664622">
                      <w:marLeft w:val="0"/>
                      <w:marRight w:val="0"/>
                      <w:marTop w:val="0"/>
                      <w:marBottom w:val="0"/>
                      <w:divBdr>
                        <w:top w:val="none" w:sz="0" w:space="0" w:color="auto"/>
                        <w:left w:val="none" w:sz="0" w:space="0" w:color="auto"/>
                        <w:bottom w:val="none" w:sz="0" w:space="0" w:color="auto"/>
                        <w:right w:val="none" w:sz="0" w:space="0" w:color="auto"/>
                      </w:divBdr>
                    </w:div>
                  </w:divsChild>
                </w:div>
                <w:div w:id="1131745011">
                  <w:marLeft w:val="0"/>
                  <w:marRight w:val="0"/>
                  <w:marTop w:val="0"/>
                  <w:marBottom w:val="0"/>
                  <w:divBdr>
                    <w:top w:val="none" w:sz="0" w:space="0" w:color="auto"/>
                    <w:left w:val="none" w:sz="0" w:space="0" w:color="auto"/>
                    <w:bottom w:val="none" w:sz="0" w:space="0" w:color="auto"/>
                    <w:right w:val="none" w:sz="0" w:space="0" w:color="auto"/>
                  </w:divBdr>
                  <w:divsChild>
                    <w:div w:id="766779589">
                      <w:marLeft w:val="0"/>
                      <w:marRight w:val="0"/>
                      <w:marTop w:val="0"/>
                      <w:marBottom w:val="0"/>
                      <w:divBdr>
                        <w:top w:val="none" w:sz="0" w:space="0" w:color="auto"/>
                        <w:left w:val="none" w:sz="0" w:space="0" w:color="auto"/>
                        <w:bottom w:val="none" w:sz="0" w:space="0" w:color="auto"/>
                        <w:right w:val="none" w:sz="0" w:space="0" w:color="auto"/>
                      </w:divBdr>
                    </w:div>
                  </w:divsChild>
                </w:div>
                <w:div w:id="1142847523">
                  <w:marLeft w:val="0"/>
                  <w:marRight w:val="0"/>
                  <w:marTop w:val="0"/>
                  <w:marBottom w:val="0"/>
                  <w:divBdr>
                    <w:top w:val="none" w:sz="0" w:space="0" w:color="auto"/>
                    <w:left w:val="none" w:sz="0" w:space="0" w:color="auto"/>
                    <w:bottom w:val="none" w:sz="0" w:space="0" w:color="auto"/>
                    <w:right w:val="none" w:sz="0" w:space="0" w:color="auto"/>
                  </w:divBdr>
                  <w:divsChild>
                    <w:div w:id="1302424051">
                      <w:marLeft w:val="0"/>
                      <w:marRight w:val="0"/>
                      <w:marTop w:val="0"/>
                      <w:marBottom w:val="0"/>
                      <w:divBdr>
                        <w:top w:val="none" w:sz="0" w:space="0" w:color="auto"/>
                        <w:left w:val="none" w:sz="0" w:space="0" w:color="auto"/>
                        <w:bottom w:val="none" w:sz="0" w:space="0" w:color="auto"/>
                        <w:right w:val="none" w:sz="0" w:space="0" w:color="auto"/>
                      </w:divBdr>
                    </w:div>
                  </w:divsChild>
                </w:div>
                <w:div w:id="1171136850">
                  <w:marLeft w:val="0"/>
                  <w:marRight w:val="0"/>
                  <w:marTop w:val="0"/>
                  <w:marBottom w:val="0"/>
                  <w:divBdr>
                    <w:top w:val="none" w:sz="0" w:space="0" w:color="auto"/>
                    <w:left w:val="none" w:sz="0" w:space="0" w:color="auto"/>
                    <w:bottom w:val="none" w:sz="0" w:space="0" w:color="auto"/>
                    <w:right w:val="none" w:sz="0" w:space="0" w:color="auto"/>
                  </w:divBdr>
                  <w:divsChild>
                    <w:div w:id="770324426">
                      <w:marLeft w:val="0"/>
                      <w:marRight w:val="0"/>
                      <w:marTop w:val="0"/>
                      <w:marBottom w:val="0"/>
                      <w:divBdr>
                        <w:top w:val="none" w:sz="0" w:space="0" w:color="auto"/>
                        <w:left w:val="none" w:sz="0" w:space="0" w:color="auto"/>
                        <w:bottom w:val="none" w:sz="0" w:space="0" w:color="auto"/>
                        <w:right w:val="none" w:sz="0" w:space="0" w:color="auto"/>
                      </w:divBdr>
                    </w:div>
                  </w:divsChild>
                </w:div>
                <w:div w:id="1197500924">
                  <w:marLeft w:val="0"/>
                  <w:marRight w:val="0"/>
                  <w:marTop w:val="0"/>
                  <w:marBottom w:val="0"/>
                  <w:divBdr>
                    <w:top w:val="none" w:sz="0" w:space="0" w:color="auto"/>
                    <w:left w:val="none" w:sz="0" w:space="0" w:color="auto"/>
                    <w:bottom w:val="none" w:sz="0" w:space="0" w:color="auto"/>
                    <w:right w:val="none" w:sz="0" w:space="0" w:color="auto"/>
                  </w:divBdr>
                  <w:divsChild>
                    <w:div w:id="661012046">
                      <w:marLeft w:val="0"/>
                      <w:marRight w:val="0"/>
                      <w:marTop w:val="0"/>
                      <w:marBottom w:val="0"/>
                      <w:divBdr>
                        <w:top w:val="none" w:sz="0" w:space="0" w:color="auto"/>
                        <w:left w:val="none" w:sz="0" w:space="0" w:color="auto"/>
                        <w:bottom w:val="none" w:sz="0" w:space="0" w:color="auto"/>
                        <w:right w:val="none" w:sz="0" w:space="0" w:color="auto"/>
                      </w:divBdr>
                    </w:div>
                  </w:divsChild>
                </w:div>
                <w:div w:id="1275212028">
                  <w:marLeft w:val="0"/>
                  <w:marRight w:val="0"/>
                  <w:marTop w:val="0"/>
                  <w:marBottom w:val="0"/>
                  <w:divBdr>
                    <w:top w:val="none" w:sz="0" w:space="0" w:color="auto"/>
                    <w:left w:val="none" w:sz="0" w:space="0" w:color="auto"/>
                    <w:bottom w:val="none" w:sz="0" w:space="0" w:color="auto"/>
                    <w:right w:val="none" w:sz="0" w:space="0" w:color="auto"/>
                  </w:divBdr>
                  <w:divsChild>
                    <w:div w:id="1486165642">
                      <w:marLeft w:val="0"/>
                      <w:marRight w:val="0"/>
                      <w:marTop w:val="0"/>
                      <w:marBottom w:val="0"/>
                      <w:divBdr>
                        <w:top w:val="none" w:sz="0" w:space="0" w:color="auto"/>
                        <w:left w:val="none" w:sz="0" w:space="0" w:color="auto"/>
                        <w:bottom w:val="none" w:sz="0" w:space="0" w:color="auto"/>
                        <w:right w:val="none" w:sz="0" w:space="0" w:color="auto"/>
                      </w:divBdr>
                    </w:div>
                  </w:divsChild>
                </w:div>
                <w:div w:id="1305042949">
                  <w:marLeft w:val="0"/>
                  <w:marRight w:val="0"/>
                  <w:marTop w:val="0"/>
                  <w:marBottom w:val="0"/>
                  <w:divBdr>
                    <w:top w:val="none" w:sz="0" w:space="0" w:color="auto"/>
                    <w:left w:val="none" w:sz="0" w:space="0" w:color="auto"/>
                    <w:bottom w:val="none" w:sz="0" w:space="0" w:color="auto"/>
                    <w:right w:val="none" w:sz="0" w:space="0" w:color="auto"/>
                  </w:divBdr>
                  <w:divsChild>
                    <w:div w:id="1339771841">
                      <w:marLeft w:val="0"/>
                      <w:marRight w:val="0"/>
                      <w:marTop w:val="0"/>
                      <w:marBottom w:val="0"/>
                      <w:divBdr>
                        <w:top w:val="none" w:sz="0" w:space="0" w:color="auto"/>
                        <w:left w:val="none" w:sz="0" w:space="0" w:color="auto"/>
                        <w:bottom w:val="none" w:sz="0" w:space="0" w:color="auto"/>
                        <w:right w:val="none" w:sz="0" w:space="0" w:color="auto"/>
                      </w:divBdr>
                    </w:div>
                  </w:divsChild>
                </w:div>
                <w:div w:id="1309475318">
                  <w:marLeft w:val="0"/>
                  <w:marRight w:val="0"/>
                  <w:marTop w:val="0"/>
                  <w:marBottom w:val="0"/>
                  <w:divBdr>
                    <w:top w:val="none" w:sz="0" w:space="0" w:color="auto"/>
                    <w:left w:val="none" w:sz="0" w:space="0" w:color="auto"/>
                    <w:bottom w:val="none" w:sz="0" w:space="0" w:color="auto"/>
                    <w:right w:val="none" w:sz="0" w:space="0" w:color="auto"/>
                  </w:divBdr>
                  <w:divsChild>
                    <w:div w:id="1641961256">
                      <w:marLeft w:val="0"/>
                      <w:marRight w:val="0"/>
                      <w:marTop w:val="0"/>
                      <w:marBottom w:val="0"/>
                      <w:divBdr>
                        <w:top w:val="none" w:sz="0" w:space="0" w:color="auto"/>
                        <w:left w:val="none" w:sz="0" w:space="0" w:color="auto"/>
                        <w:bottom w:val="none" w:sz="0" w:space="0" w:color="auto"/>
                        <w:right w:val="none" w:sz="0" w:space="0" w:color="auto"/>
                      </w:divBdr>
                    </w:div>
                  </w:divsChild>
                </w:div>
                <w:div w:id="1443646104">
                  <w:marLeft w:val="0"/>
                  <w:marRight w:val="0"/>
                  <w:marTop w:val="0"/>
                  <w:marBottom w:val="0"/>
                  <w:divBdr>
                    <w:top w:val="none" w:sz="0" w:space="0" w:color="auto"/>
                    <w:left w:val="none" w:sz="0" w:space="0" w:color="auto"/>
                    <w:bottom w:val="none" w:sz="0" w:space="0" w:color="auto"/>
                    <w:right w:val="none" w:sz="0" w:space="0" w:color="auto"/>
                  </w:divBdr>
                  <w:divsChild>
                    <w:div w:id="1732003830">
                      <w:marLeft w:val="0"/>
                      <w:marRight w:val="0"/>
                      <w:marTop w:val="0"/>
                      <w:marBottom w:val="0"/>
                      <w:divBdr>
                        <w:top w:val="none" w:sz="0" w:space="0" w:color="auto"/>
                        <w:left w:val="none" w:sz="0" w:space="0" w:color="auto"/>
                        <w:bottom w:val="none" w:sz="0" w:space="0" w:color="auto"/>
                        <w:right w:val="none" w:sz="0" w:space="0" w:color="auto"/>
                      </w:divBdr>
                    </w:div>
                  </w:divsChild>
                </w:div>
                <w:div w:id="1520390675">
                  <w:marLeft w:val="0"/>
                  <w:marRight w:val="0"/>
                  <w:marTop w:val="0"/>
                  <w:marBottom w:val="0"/>
                  <w:divBdr>
                    <w:top w:val="none" w:sz="0" w:space="0" w:color="auto"/>
                    <w:left w:val="none" w:sz="0" w:space="0" w:color="auto"/>
                    <w:bottom w:val="none" w:sz="0" w:space="0" w:color="auto"/>
                    <w:right w:val="none" w:sz="0" w:space="0" w:color="auto"/>
                  </w:divBdr>
                  <w:divsChild>
                    <w:div w:id="1685210583">
                      <w:marLeft w:val="0"/>
                      <w:marRight w:val="0"/>
                      <w:marTop w:val="0"/>
                      <w:marBottom w:val="0"/>
                      <w:divBdr>
                        <w:top w:val="none" w:sz="0" w:space="0" w:color="auto"/>
                        <w:left w:val="none" w:sz="0" w:space="0" w:color="auto"/>
                        <w:bottom w:val="none" w:sz="0" w:space="0" w:color="auto"/>
                        <w:right w:val="none" w:sz="0" w:space="0" w:color="auto"/>
                      </w:divBdr>
                    </w:div>
                  </w:divsChild>
                </w:div>
                <w:div w:id="1533227459">
                  <w:marLeft w:val="0"/>
                  <w:marRight w:val="0"/>
                  <w:marTop w:val="0"/>
                  <w:marBottom w:val="0"/>
                  <w:divBdr>
                    <w:top w:val="none" w:sz="0" w:space="0" w:color="auto"/>
                    <w:left w:val="none" w:sz="0" w:space="0" w:color="auto"/>
                    <w:bottom w:val="none" w:sz="0" w:space="0" w:color="auto"/>
                    <w:right w:val="none" w:sz="0" w:space="0" w:color="auto"/>
                  </w:divBdr>
                  <w:divsChild>
                    <w:div w:id="2046709381">
                      <w:marLeft w:val="0"/>
                      <w:marRight w:val="0"/>
                      <w:marTop w:val="0"/>
                      <w:marBottom w:val="0"/>
                      <w:divBdr>
                        <w:top w:val="none" w:sz="0" w:space="0" w:color="auto"/>
                        <w:left w:val="none" w:sz="0" w:space="0" w:color="auto"/>
                        <w:bottom w:val="none" w:sz="0" w:space="0" w:color="auto"/>
                        <w:right w:val="none" w:sz="0" w:space="0" w:color="auto"/>
                      </w:divBdr>
                    </w:div>
                  </w:divsChild>
                </w:div>
                <w:div w:id="1606034953">
                  <w:marLeft w:val="0"/>
                  <w:marRight w:val="0"/>
                  <w:marTop w:val="0"/>
                  <w:marBottom w:val="0"/>
                  <w:divBdr>
                    <w:top w:val="none" w:sz="0" w:space="0" w:color="auto"/>
                    <w:left w:val="none" w:sz="0" w:space="0" w:color="auto"/>
                    <w:bottom w:val="none" w:sz="0" w:space="0" w:color="auto"/>
                    <w:right w:val="none" w:sz="0" w:space="0" w:color="auto"/>
                  </w:divBdr>
                  <w:divsChild>
                    <w:div w:id="1656757803">
                      <w:marLeft w:val="0"/>
                      <w:marRight w:val="0"/>
                      <w:marTop w:val="0"/>
                      <w:marBottom w:val="0"/>
                      <w:divBdr>
                        <w:top w:val="none" w:sz="0" w:space="0" w:color="auto"/>
                        <w:left w:val="none" w:sz="0" w:space="0" w:color="auto"/>
                        <w:bottom w:val="none" w:sz="0" w:space="0" w:color="auto"/>
                        <w:right w:val="none" w:sz="0" w:space="0" w:color="auto"/>
                      </w:divBdr>
                    </w:div>
                  </w:divsChild>
                </w:div>
                <w:div w:id="1640038505">
                  <w:marLeft w:val="0"/>
                  <w:marRight w:val="0"/>
                  <w:marTop w:val="0"/>
                  <w:marBottom w:val="0"/>
                  <w:divBdr>
                    <w:top w:val="none" w:sz="0" w:space="0" w:color="auto"/>
                    <w:left w:val="none" w:sz="0" w:space="0" w:color="auto"/>
                    <w:bottom w:val="none" w:sz="0" w:space="0" w:color="auto"/>
                    <w:right w:val="none" w:sz="0" w:space="0" w:color="auto"/>
                  </w:divBdr>
                  <w:divsChild>
                    <w:div w:id="1768891550">
                      <w:marLeft w:val="0"/>
                      <w:marRight w:val="0"/>
                      <w:marTop w:val="0"/>
                      <w:marBottom w:val="0"/>
                      <w:divBdr>
                        <w:top w:val="none" w:sz="0" w:space="0" w:color="auto"/>
                        <w:left w:val="none" w:sz="0" w:space="0" w:color="auto"/>
                        <w:bottom w:val="none" w:sz="0" w:space="0" w:color="auto"/>
                        <w:right w:val="none" w:sz="0" w:space="0" w:color="auto"/>
                      </w:divBdr>
                    </w:div>
                  </w:divsChild>
                </w:div>
                <w:div w:id="1675182294">
                  <w:marLeft w:val="0"/>
                  <w:marRight w:val="0"/>
                  <w:marTop w:val="0"/>
                  <w:marBottom w:val="0"/>
                  <w:divBdr>
                    <w:top w:val="none" w:sz="0" w:space="0" w:color="auto"/>
                    <w:left w:val="none" w:sz="0" w:space="0" w:color="auto"/>
                    <w:bottom w:val="none" w:sz="0" w:space="0" w:color="auto"/>
                    <w:right w:val="none" w:sz="0" w:space="0" w:color="auto"/>
                  </w:divBdr>
                  <w:divsChild>
                    <w:div w:id="506143235">
                      <w:marLeft w:val="0"/>
                      <w:marRight w:val="0"/>
                      <w:marTop w:val="0"/>
                      <w:marBottom w:val="0"/>
                      <w:divBdr>
                        <w:top w:val="none" w:sz="0" w:space="0" w:color="auto"/>
                        <w:left w:val="none" w:sz="0" w:space="0" w:color="auto"/>
                        <w:bottom w:val="none" w:sz="0" w:space="0" w:color="auto"/>
                        <w:right w:val="none" w:sz="0" w:space="0" w:color="auto"/>
                      </w:divBdr>
                    </w:div>
                  </w:divsChild>
                </w:div>
                <w:div w:id="1683435896">
                  <w:marLeft w:val="0"/>
                  <w:marRight w:val="0"/>
                  <w:marTop w:val="0"/>
                  <w:marBottom w:val="0"/>
                  <w:divBdr>
                    <w:top w:val="none" w:sz="0" w:space="0" w:color="auto"/>
                    <w:left w:val="none" w:sz="0" w:space="0" w:color="auto"/>
                    <w:bottom w:val="none" w:sz="0" w:space="0" w:color="auto"/>
                    <w:right w:val="none" w:sz="0" w:space="0" w:color="auto"/>
                  </w:divBdr>
                  <w:divsChild>
                    <w:div w:id="1286501450">
                      <w:marLeft w:val="0"/>
                      <w:marRight w:val="0"/>
                      <w:marTop w:val="0"/>
                      <w:marBottom w:val="0"/>
                      <w:divBdr>
                        <w:top w:val="none" w:sz="0" w:space="0" w:color="auto"/>
                        <w:left w:val="none" w:sz="0" w:space="0" w:color="auto"/>
                        <w:bottom w:val="none" w:sz="0" w:space="0" w:color="auto"/>
                        <w:right w:val="none" w:sz="0" w:space="0" w:color="auto"/>
                      </w:divBdr>
                    </w:div>
                  </w:divsChild>
                </w:div>
                <w:div w:id="1736589661">
                  <w:marLeft w:val="0"/>
                  <w:marRight w:val="0"/>
                  <w:marTop w:val="0"/>
                  <w:marBottom w:val="0"/>
                  <w:divBdr>
                    <w:top w:val="none" w:sz="0" w:space="0" w:color="auto"/>
                    <w:left w:val="none" w:sz="0" w:space="0" w:color="auto"/>
                    <w:bottom w:val="none" w:sz="0" w:space="0" w:color="auto"/>
                    <w:right w:val="none" w:sz="0" w:space="0" w:color="auto"/>
                  </w:divBdr>
                  <w:divsChild>
                    <w:div w:id="1987512603">
                      <w:marLeft w:val="0"/>
                      <w:marRight w:val="0"/>
                      <w:marTop w:val="0"/>
                      <w:marBottom w:val="0"/>
                      <w:divBdr>
                        <w:top w:val="none" w:sz="0" w:space="0" w:color="auto"/>
                        <w:left w:val="none" w:sz="0" w:space="0" w:color="auto"/>
                        <w:bottom w:val="none" w:sz="0" w:space="0" w:color="auto"/>
                        <w:right w:val="none" w:sz="0" w:space="0" w:color="auto"/>
                      </w:divBdr>
                    </w:div>
                  </w:divsChild>
                </w:div>
                <w:div w:id="1746755972">
                  <w:marLeft w:val="0"/>
                  <w:marRight w:val="0"/>
                  <w:marTop w:val="0"/>
                  <w:marBottom w:val="0"/>
                  <w:divBdr>
                    <w:top w:val="none" w:sz="0" w:space="0" w:color="auto"/>
                    <w:left w:val="none" w:sz="0" w:space="0" w:color="auto"/>
                    <w:bottom w:val="none" w:sz="0" w:space="0" w:color="auto"/>
                    <w:right w:val="none" w:sz="0" w:space="0" w:color="auto"/>
                  </w:divBdr>
                  <w:divsChild>
                    <w:div w:id="830948716">
                      <w:marLeft w:val="0"/>
                      <w:marRight w:val="0"/>
                      <w:marTop w:val="0"/>
                      <w:marBottom w:val="0"/>
                      <w:divBdr>
                        <w:top w:val="none" w:sz="0" w:space="0" w:color="auto"/>
                        <w:left w:val="none" w:sz="0" w:space="0" w:color="auto"/>
                        <w:bottom w:val="none" w:sz="0" w:space="0" w:color="auto"/>
                        <w:right w:val="none" w:sz="0" w:space="0" w:color="auto"/>
                      </w:divBdr>
                    </w:div>
                  </w:divsChild>
                </w:div>
                <w:div w:id="1769695282">
                  <w:marLeft w:val="0"/>
                  <w:marRight w:val="0"/>
                  <w:marTop w:val="0"/>
                  <w:marBottom w:val="0"/>
                  <w:divBdr>
                    <w:top w:val="none" w:sz="0" w:space="0" w:color="auto"/>
                    <w:left w:val="none" w:sz="0" w:space="0" w:color="auto"/>
                    <w:bottom w:val="none" w:sz="0" w:space="0" w:color="auto"/>
                    <w:right w:val="none" w:sz="0" w:space="0" w:color="auto"/>
                  </w:divBdr>
                  <w:divsChild>
                    <w:div w:id="423847172">
                      <w:marLeft w:val="0"/>
                      <w:marRight w:val="0"/>
                      <w:marTop w:val="0"/>
                      <w:marBottom w:val="0"/>
                      <w:divBdr>
                        <w:top w:val="none" w:sz="0" w:space="0" w:color="auto"/>
                        <w:left w:val="none" w:sz="0" w:space="0" w:color="auto"/>
                        <w:bottom w:val="none" w:sz="0" w:space="0" w:color="auto"/>
                        <w:right w:val="none" w:sz="0" w:space="0" w:color="auto"/>
                      </w:divBdr>
                    </w:div>
                  </w:divsChild>
                </w:div>
                <w:div w:id="1834682112">
                  <w:marLeft w:val="0"/>
                  <w:marRight w:val="0"/>
                  <w:marTop w:val="0"/>
                  <w:marBottom w:val="0"/>
                  <w:divBdr>
                    <w:top w:val="none" w:sz="0" w:space="0" w:color="auto"/>
                    <w:left w:val="none" w:sz="0" w:space="0" w:color="auto"/>
                    <w:bottom w:val="none" w:sz="0" w:space="0" w:color="auto"/>
                    <w:right w:val="none" w:sz="0" w:space="0" w:color="auto"/>
                  </w:divBdr>
                  <w:divsChild>
                    <w:div w:id="1253658889">
                      <w:marLeft w:val="0"/>
                      <w:marRight w:val="0"/>
                      <w:marTop w:val="0"/>
                      <w:marBottom w:val="0"/>
                      <w:divBdr>
                        <w:top w:val="none" w:sz="0" w:space="0" w:color="auto"/>
                        <w:left w:val="none" w:sz="0" w:space="0" w:color="auto"/>
                        <w:bottom w:val="none" w:sz="0" w:space="0" w:color="auto"/>
                        <w:right w:val="none" w:sz="0" w:space="0" w:color="auto"/>
                      </w:divBdr>
                    </w:div>
                  </w:divsChild>
                </w:div>
                <w:div w:id="1844778007">
                  <w:marLeft w:val="0"/>
                  <w:marRight w:val="0"/>
                  <w:marTop w:val="0"/>
                  <w:marBottom w:val="0"/>
                  <w:divBdr>
                    <w:top w:val="none" w:sz="0" w:space="0" w:color="auto"/>
                    <w:left w:val="none" w:sz="0" w:space="0" w:color="auto"/>
                    <w:bottom w:val="none" w:sz="0" w:space="0" w:color="auto"/>
                    <w:right w:val="none" w:sz="0" w:space="0" w:color="auto"/>
                  </w:divBdr>
                  <w:divsChild>
                    <w:div w:id="1030640812">
                      <w:marLeft w:val="0"/>
                      <w:marRight w:val="0"/>
                      <w:marTop w:val="0"/>
                      <w:marBottom w:val="0"/>
                      <w:divBdr>
                        <w:top w:val="none" w:sz="0" w:space="0" w:color="auto"/>
                        <w:left w:val="none" w:sz="0" w:space="0" w:color="auto"/>
                        <w:bottom w:val="none" w:sz="0" w:space="0" w:color="auto"/>
                        <w:right w:val="none" w:sz="0" w:space="0" w:color="auto"/>
                      </w:divBdr>
                    </w:div>
                  </w:divsChild>
                </w:div>
                <w:div w:id="1879076564">
                  <w:marLeft w:val="0"/>
                  <w:marRight w:val="0"/>
                  <w:marTop w:val="0"/>
                  <w:marBottom w:val="0"/>
                  <w:divBdr>
                    <w:top w:val="none" w:sz="0" w:space="0" w:color="auto"/>
                    <w:left w:val="none" w:sz="0" w:space="0" w:color="auto"/>
                    <w:bottom w:val="none" w:sz="0" w:space="0" w:color="auto"/>
                    <w:right w:val="none" w:sz="0" w:space="0" w:color="auto"/>
                  </w:divBdr>
                  <w:divsChild>
                    <w:div w:id="657341000">
                      <w:marLeft w:val="0"/>
                      <w:marRight w:val="0"/>
                      <w:marTop w:val="0"/>
                      <w:marBottom w:val="0"/>
                      <w:divBdr>
                        <w:top w:val="none" w:sz="0" w:space="0" w:color="auto"/>
                        <w:left w:val="none" w:sz="0" w:space="0" w:color="auto"/>
                        <w:bottom w:val="none" w:sz="0" w:space="0" w:color="auto"/>
                        <w:right w:val="none" w:sz="0" w:space="0" w:color="auto"/>
                      </w:divBdr>
                    </w:div>
                  </w:divsChild>
                </w:div>
                <w:div w:id="1908148930">
                  <w:marLeft w:val="0"/>
                  <w:marRight w:val="0"/>
                  <w:marTop w:val="0"/>
                  <w:marBottom w:val="0"/>
                  <w:divBdr>
                    <w:top w:val="none" w:sz="0" w:space="0" w:color="auto"/>
                    <w:left w:val="none" w:sz="0" w:space="0" w:color="auto"/>
                    <w:bottom w:val="none" w:sz="0" w:space="0" w:color="auto"/>
                    <w:right w:val="none" w:sz="0" w:space="0" w:color="auto"/>
                  </w:divBdr>
                  <w:divsChild>
                    <w:div w:id="1361278383">
                      <w:marLeft w:val="0"/>
                      <w:marRight w:val="0"/>
                      <w:marTop w:val="0"/>
                      <w:marBottom w:val="0"/>
                      <w:divBdr>
                        <w:top w:val="none" w:sz="0" w:space="0" w:color="auto"/>
                        <w:left w:val="none" w:sz="0" w:space="0" w:color="auto"/>
                        <w:bottom w:val="none" w:sz="0" w:space="0" w:color="auto"/>
                        <w:right w:val="none" w:sz="0" w:space="0" w:color="auto"/>
                      </w:divBdr>
                    </w:div>
                  </w:divsChild>
                </w:div>
                <w:div w:id="1928609597">
                  <w:marLeft w:val="0"/>
                  <w:marRight w:val="0"/>
                  <w:marTop w:val="0"/>
                  <w:marBottom w:val="0"/>
                  <w:divBdr>
                    <w:top w:val="none" w:sz="0" w:space="0" w:color="auto"/>
                    <w:left w:val="none" w:sz="0" w:space="0" w:color="auto"/>
                    <w:bottom w:val="none" w:sz="0" w:space="0" w:color="auto"/>
                    <w:right w:val="none" w:sz="0" w:space="0" w:color="auto"/>
                  </w:divBdr>
                  <w:divsChild>
                    <w:div w:id="1047022136">
                      <w:marLeft w:val="0"/>
                      <w:marRight w:val="0"/>
                      <w:marTop w:val="0"/>
                      <w:marBottom w:val="0"/>
                      <w:divBdr>
                        <w:top w:val="none" w:sz="0" w:space="0" w:color="auto"/>
                        <w:left w:val="none" w:sz="0" w:space="0" w:color="auto"/>
                        <w:bottom w:val="none" w:sz="0" w:space="0" w:color="auto"/>
                        <w:right w:val="none" w:sz="0" w:space="0" w:color="auto"/>
                      </w:divBdr>
                    </w:div>
                  </w:divsChild>
                </w:div>
                <w:div w:id="2001887044">
                  <w:marLeft w:val="0"/>
                  <w:marRight w:val="0"/>
                  <w:marTop w:val="0"/>
                  <w:marBottom w:val="0"/>
                  <w:divBdr>
                    <w:top w:val="none" w:sz="0" w:space="0" w:color="auto"/>
                    <w:left w:val="none" w:sz="0" w:space="0" w:color="auto"/>
                    <w:bottom w:val="none" w:sz="0" w:space="0" w:color="auto"/>
                    <w:right w:val="none" w:sz="0" w:space="0" w:color="auto"/>
                  </w:divBdr>
                  <w:divsChild>
                    <w:div w:id="156658418">
                      <w:marLeft w:val="0"/>
                      <w:marRight w:val="0"/>
                      <w:marTop w:val="0"/>
                      <w:marBottom w:val="0"/>
                      <w:divBdr>
                        <w:top w:val="none" w:sz="0" w:space="0" w:color="auto"/>
                        <w:left w:val="none" w:sz="0" w:space="0" w:color="auto"/>
                        <w:bottom w:val="none" w:sz="0" w:space="0" w:color="auto"/>
                        <w:right w:val="none" w:sz="0" w:space="0" w:color="auto"/>
                      </w:divBdr>
                    </w:div>
                  </w:divsChild>
                </w:div>
                <w:div w:id="2004506163">
                  <w:marLeft w:val="0"/>
                  <w:marRight w:val="0"/>
                  <w:marTop w:val="0"/>
                  <w:marBottom w:val="0"/>
                  <w:divBdr>
                    <w:top w:val="none" w:sz="0" w:space="0" w:color="auto"/>
                    <w:left w:val="none" w:sz="0" w:space="0" w:color="auto"/>
                    <w:bottom w:val="none" w:sz="0" w:space="0" w:color="auto"/>
                    <w:right w:val="none" w:sz="0" w:space="0" w:color="auto"/>
                  </w:divBdr>
                  <w:divsChild>
                    <w:div w:id="1517770991">
                      <w:marLeft w:val="0"/>
                      <w:marRight w:val="0"/>
                      <w:marTop w:val="0"/>
                      <w:marBottom w:val="0"/>
                      <w:divBdr>
                        <w:top w:val="none" w:sz="0" w:space="0" w:color="auto"/>
                        <w:left w:val="none" w:sz="0" w:space="0" w:color="auto"/>
                        <w:bottom w:val="none" w:sz="0" w:space="0" w:color="auto"/>
                        <w:right w:val="none" w:sz="0" w:space="0" w:color="auto"/>
                      </w:divBdr>
                    </w:div>
                  </w:divsChild>
                </w:div>
                <w:div w:id="2106076806">
                  <w:marLeft w:val="0"/>
                  <w:marRight w:val="0"/>
                  <w:marTop w:val="0"/>
                  <w:marBottom w:val="0"/>
                  <w:divBdr>
                    <w:top w:val="none" w:sz="0" w:space="0" w:color="auto"/>
                    <w:left w:val="none" w:sz="0" w:space="0" w:color="auto"/>
                    <w:bottom w:val="none" w:sz="0" w:space="0" w:color="auto"/>
                    <w:right w:val="none" w:sz="0" w:space="0" w:color="auto"/>
                  </w:divBdr>
                  <w:divsChild>
                    <w:div w:id="1773164403">
                      <w:marLeft w:val="0"/>
                      <w:marRight w:val="0"/>
                      <w:marTop w:val="0"/>
                      <w:marBottom w:val="0"/>
                      <w:divBdr>
                        <w:top w:val="none" w:sz="0" w:space="0" w:color="auto"/>
                        <w:left w:val="none" w:sz="0" w:space="0" w:color="auto"/>
                        <w:bottom w:val="none" w:sz="0" w:space="0" w:color="auto"/>
                        <w:right w:val="none" w:sz="0" w:space="0" w:color="auto"/>
                      </w:divBdr>
                    </w:div>
                  </w:divsChild>
                </w:div>
                <w:div w:id="2128043835">
                  <w:marLeft w:val="0"/>
                  <w:marRight w:val="0"/>
                  <w:marTop w:val="0"/>
                  <w:marBottom w:val="0"/>
                  <w:divBdr>
                    <w:top w:val="none" w:sz="0" w:space="0" w:color="auto"/>
                    <w:left w:val="none" w:sz="0" w:space="0" w:color="auto"/>
                    <w:bottom w:val="none" w:sz="0" w:space="0" w:color="auto"/>
                    <w:right w:val="none" w:sz="0" w:space="0" w:color="auto"/>
                  </w:divBdr>
                  <w:divsChild>
                    <w:div w:id="14345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2689">
          <w:marLeft w:val="0"/>
          <w:marRight w:val="0"/>
          <w:marTop w:val="0"/>
          <w:marBottom w:val="0"/>
          <w:divBdr>
            <w:top w:val="none" w:sz="0" w:space="0" w:color="auto"/>
            <w:left w:val="none" w:sz="0" w:space="0" w:color="auto"/>
            <w:bottom w:val="none" w:sz="0" w:space="0" w:color="auto"/>
            <w:right w:val="none" w:sz="0" w:space="0" w:color="auto"/>
          </w:divBdr>
        </w:div>
        <w:div w:id="2108848816">
          <w:marLeft w:val="0"/>
          <w:marRight w:val="0"/>
          <w:marTop w:val="0"/>
          <w:marBottom w:val="0"/>
          <w:divBdr>
            <w:top w:val="none" w:sz="0" w:space="0" w:color="auto"/>
            <w:left w:val="none" w:sz="0" w:space="0" w:color="auto"/>
            <w:bottom w:val="none" w:sz="0" w:space="0" w:color="auto"/>
            <w:right w:val="none" w:sz="0" w:space="0" w:color="auto"/>
          </w:divBdr>
        </w:div>
        <w:div w:id="2131127607">
          <w:marLeft w:val="0"/>
          <w:marRight w:val="0"/>
          <w:marTop w:val="0"/>
          <w:marBottom w:val="0"/>
          <w:divBdr>
            <w:top w:val="none" w:sz="0" w:space="0" w:color="auto"/>
            <w:left w:val="none" w:sz="0" w:space="0" w:color="auto"/>
            <w:bottom w:val="none" w:sz="0" w:space="0" w:color="auto"/>
            <w:right w:val="none" w:sz="0" w:space="0" w:color="auto"/>
          </w:divBdr>
        </w:div>
        <w:div w:id="2135364009">
          <w:marLeft w:val="0"/>
          <w:marRight w:val="0"/>
          <w:marTop w:val="0"/>
          <w:marBottom w:val="0"/>
          <w:divBdr>
            <w:top w:val="none" w:sz="0" w:space="0" w:color="auto"/>
            <w:left w:val="none" w:sz="0" w:space="0" w:color="auto"/>
            <w:bottom w:val="none" w:sz="0" w:space="0" w:color="auto"/>
            <w:right w:val="none" w:sz="0" w:space="0" w:color="auto"/>
          </w:divBdr>
          <w:divsChild>
            <w:div w:id="33580284">
              <w:marLeft w:val="0"/>
              <w:marRight w:val="0"/>
              <w:marTop w:val="0"/>
              <w:marBottom w:val="0"/>
              <w:divBdr>
                <w:top w:val="none" w:sz="0" w:space="0" w:color="auto"/>
                <w:left w:val="none" w:sz="0" w:space="0" w:color="auto"/>
                <w:bottom w:val="none" w:sz="0" w:space="0" w:color="auto"/>
                <w:right w:val="none" w:sz="0" w:space="0" w:color="auto"/>
              </w:divBdr>
            </w:div>
            <w:div w:id="112796645">
              <w:marLeft w:val="0"/>
              <w:marRight w:val="0"/>
              <w:marTop w:val="0"/>
              <w:marBottom w:val="0"/>
              <w:divBdr>
                <w:top w:val="none" w:sz="0" w:space="0" w:color="auto"/>
                <w:left w:val="none" w:sz="0" w:space="0" w:color="auto"/>
                <w:bottom w:val="none" w:sz="0" w:space="0" w:color="auto"/>
                <w:right w:val="none" w:sz="0" w:space="0" w:color="auto"/>
              </w:divBdr>
            </w:div>
            <w:div w:id="232740010">
              <w:marLeft w:val="0"/>
              <w:marRight w:val="0"/>
              <w:marTop w:val="0"/>
              <w:marBottom w:val="0"/>
              <w:divBdr>
                <w:top w:val="none" w:sz="0" w:space="0" w:color="auto"/>
                <w:left w:val="none" w:sz="0" w:space="0" w:color="auto"/>
                <w:bottom w:val="none" w:sz="0" w:space="0" w:color="auto"/>
                <w:right w:val="none" w:sz="0" w:space="0" w:color="auto"/>
              </w:divBdr>
            </w:div>
            <w:div w:id="294600536">
              <w:marLeft w:val="0"/>
              <w:marRight w:val="0"/>
              <w:marTop w:val="0"/>
              <w:marBottom w:val="0"/>
              <w:divBdr>
                <w:top w:val="none" w:sz="0" w:space="0" w:color="auto"/>
                <w:left w:val="none" w:sz="0" w:space="0" w:color="auto"/>
                <w:bottom w:val="none" w:sz="0" w:space="0" w:color="auto"/>
                <w:right w:val="none" w:sz="0" w:space="0" w:color="auto"/>
              </w:divBdr>
            </w:div>
            <w:div w:id="541983382">
              <w:marLeft w:val="0"/>
              <w:marRight w:val="0"/>
              <w:marTop w:val="0"/>
              <w:marBottom w:val="0"/>
              <w:divBdr>
                <w:top w:val="none" w:sz="0" w:space="0" w:color="auto"/>
                <w:left w:val="none" w:sz="0" w:space="0" w:color="auto"/>
                <w:bottom w:val="none" w:sz="0" w:space="0" w:color="auto"/>
                <w:right w:val="none" w:sz="0" w:space="0" w:color="auto"/>
              </w:divBdr>
            </w:div>
            <w:div w:id="561404141">
              <w:marLeft w:val="0"/>
              <w:marRight w:val="0"/>
              <w:marTop w:val="0"/>
              <w:marBottom w:val="0"/>
              <w:divBdr>
                <w:top w:val="none" w:sz="0" w:space="0" w:color="auto"/>
                <w:left w:val="none" w:sz="0" w:space="0" w:color="auto"/>
                <w:bottom w:val="none" w:sz="0" w:space="0" w:color="auto"/>
                <w:right w:val="none" w:sz="0" w:space="0" w:color="auto"/>
              </w:divBdr>
            </w:div>
            <w:div w:id="612326048">
              <w:marLeft w:val="0"/>
              <w:marRight w:val="0"/>
              <w:marTop w:val="0"/>
              <w:marBottom w:val="0"/>
              <w:divBdr>
                <w:top w:val="none" w:sz="0" w:space="0" w:color="auto"/>
                <w:left w:val="none" w:sz="0" w:space="0" w:color="auto"/>
                <w:bottom w:val="none" w:sz="0" w:space="0" w:color="auto"/>
                <w:right w:val="none" w:sz="0" w:space="0" w:color="auto"/>
              </w:divBdr>
            </w:div>
            <w:div w:id="933592817">
              <w:marLeft w:val="0"/>
              <w:marRight w:val="0"/>
              <w:marTop w:val="0"/>
              <w:marBottom w:val="0"/>
              <w:divBdr>
                <w:top w:val="none" w:sz="0" w:space="0" w:color="auto"/>
                <w:left w:val="none" w:sz="0" w:space="0" w:color="auto"/>
                <w:bottom w:val="none" w:sz="0" w:space="0" w:color="auto"/>
                <w:right w:val="none" w:sz="0" w:space="0" w:color="auto"/>
              </w:divBdr>
            </w:div>
            <w:div w:id="1021518529">
              <w:marLeft w:val="0"/>
              <w:marRight w:val="0"/>
              <w:marTop w:val="0"/>
              <w:marBottom w:val="0"/>
              <w:divBdr>
                <w:top w:val="none" w:sz="0" w:space="0" w:color="auto"/>
                <w:left w:val="none" w:sz="0" w:space="0" w:color="auto"/>
                <w:bottom w:val="none" w:sz="0" w:space="0" w:color="auto"/>
                <w:right w:val="none" w:sz="0" w:space="0" w:color="auto"/>
              </w:divBdr>
            </w:div>
            <w:div w:id="1205286662">
              <w:marLeft w:val="0"/>
              <w:marRight w:val="0"/>
              <w:marTop w:val="0"/>
              <w:marBottom w:val="0"/>
              <w:divBdr>
                <w:top w:val="none" w:sz="0" w:space="0" w:color="auto"/>
                <w:left w:val="none" w:sz="0" w:space="0" w:color="auto"/>
                <w:bottom w:val="none" w:sz="0" w:space="0" w:color="auto"/>
                <w:right w:val="none" w:sz="0" w:space="0" w:color="auto"/>
              </w:divBdr>
            </w:div>
            <w:div w:id="1327174980">
              <w:marLeft w:val="0"/>
              <w:marRight w:val="0"/>
              <w:marTop w:val="0"/>
              <w:marBottom w:val="0"/>
              <w:divBdr>
                <w:top w:val="none" w:sz="0" w:space="0" w:color="auto"/>
                <w:left w:val="none" w:sz="0" w:space="0" w:color="auto"/>
                <w:bottom w:val="none" w:sz="0" w:space="0" w:color="auto"/>
                <w:right w:val="none" w:sz="0" w:space="0" w:color="auto"/>
              </w:divBdr>
            </w:div>
            <w:div w:id="1331954350">
              <w:marLeft w:val="0"/>
              <w:marRight w:val="0"/>
              <w:marTop w:val="0"/>
              <w:marBottom w:val="0"/>
              <w:divBdr>
                <w:top w:val="none" w:sz="0" w:space="0" w:color="auto"/>
                <w:left w:val="none" w:sz="0" w:space="0" w:color="auto"/>
                <w:bottom w:val="none" w:sz="0" w:space="0" w:color="auto"/>
                <w:right w:val="none" w:sz="0" w:space="0" w:color="auto"/>
              </w:divBdr>
            </w:div>
            <w:div w:id="1434395734">
              <w:marLeft w:val="0"/>
              <w:marRight w:val="0"/>
              <w:marTop w:val="0"/>
              <w:marBottom w:val="0"/>
              <w:divBdr>
                <w:top w:val="none" w:sz="0" w:space="0" w:color="auto"/>
                <w:left w:val="none" w:sz="0" w:space="0" w:color="auto"/>
                <w:bottom w:val="none" w:sz="0" w:space="0" w:color="auto"/>
                <w:right w:val="none" w:sz="0" w:space="0" w:color="auto"/>
              </w:divBdr>
            </w:div>
            <w:div w:id="1673223151">
              <w:marLeft w:val="0"/>
              <w:marRight w:val="0"/>
              <w:marTop w:val="0"/>
              <w:marBottom w:val="0"/>
              <w:divBdr>
                <w:top w:val="none" w:sz="0" w:space="0" w:color="auto"/>
                <w:left w:val="none" w:sz="0" w:space="0" w:color="auto"/>
                <w:bottom w:val="none" w:sz="0" w:space="0" w:color="auto"/>
                <w:right w:val="none" w:sz="0" w:space="0" w:color="auto"/>
              </w:divBdr>
            </w:div>
            <w:div w:id="1863325280">
              <w:marLeft w:val="0"/>
              <w:marRight w:val="0"/>
              <w:marTop w:val="0"/>
              <w:marBottom w:val="0"/>
              <w:divBdr>
                <w:top w:val="none" w:sz="0" w:space="0" w:color="auto"/>
                <w:left w:val="none" w:sz="0" w:space="0" w:color="auto"/>
                <w:bottom w:val="none" w:sz="0" w:space="0" w:color="auto"/>
                <w:right w:val="none" w:sz="0" w:space="0" w:color="auto"/>
              </w:divBdr>
            </w:div>
            <w:div w:id="1917861275">
              <w:marLeft w:val="0"/>
              <w:marRight w:val="0"/>
              <w:marTop w:val="0"/>
              <w:marBottom w:val="0"/>
              <w:divBdr>
                <w:top w:val="none" w:sz="0" w:space="0" w:color="auto"/>
                <w:left w:val="none" w:sz="0" w:space="0" w:color="auto"/>
                <w:bottom w:val="none" w:sz="0" w:space="0" w:color="auto"/>
                <w:right w:val="none" w:sz="0" w:space="0" w:color="auto"/>
              </w:divBdr>
            </w:div>
            <w:div w:id="1966886717">
              <w:marLeft w:val="0"/>
              <w:marRight w:val="0"/>
              <w:marTop w:val="0"/>
              <w:marBottom w:val="0"/>
              <w:divBdr>
                <w:top w:val="none" w:sz="0" w:space="0" w:color="auto"/>
                <w:left w:val="none" w:sz="0" w:space="0" w:color="auto"/>
                <w:bottom w:val="none" w:sz="0" w:space="0" w:color="auto"/>
                <w:right w:val="none" w:sz="0" w:space="0" w:color="auto"/>
              </w:divBdr>
            </w:div>
            <w:div w:id="2110272822">
              <w:marLeft w:val="0"/>
              <w:marRight w:val="0"/>
              <w:marTop w:val="0"/>
              <w:marBottom w:val="0"/>
              <w:divBdr>
                <w:top w:val="none" w:sz="0" w:space="0" w:color="auto"/>
                <w:left w:val="none" w:sz="0" w:space="0" w:color="auto"/>
                <w:bottom w:val="none" w:sz="0" w:space="0" w:color="auto"/>
                <w:right w:val="none" w:sz="0" w:space="0" w:color="auto"/>
              </w:divBdr>
            </w:div>
            <w:div w:id="2122607881">
              <w:marLeft w:val="0"/>
              <w:marRight w:val="0"/>
              <w:marTop w:val="0"/>
              <w:marBottom w:val="0"/>
              <w:divBdr>
                <w:top w:val="none" w:sz="0" w:space="0" w:color="auto"/>
                <w:left w:val="none" w:sz="0" w:space="0" w:color="auto"/>
                <w:bottom w:val="none" w:sz="0" w:space="0" w:color="auto"/>
                <w:right w:val="none" w:sz="0" w:space="0" w:color="auto"/>
              </w:divBdr>
            </w:div>
            <w:div w:id="21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698">
      <w:bodyDiv w:val="1"/>
      <w:marLeft w:val="0"/>
      <w:marRight w:val="0"/>
      <w:marTop w:val="0"/>
      <w:marBottom w:val="0"/>
      <w:divBdr>
        <w:top w:val="none" w:sz="0" w:space="0" w:color="auto"/>
        <w:left w:val="none" w:sz="0" w:space="0" w:color="auto"/>
        <w:bottom w:val="none" w:sz="0" w:space="0" w:color="auto"/>
        <w:right w:val="none" w:sz="0" w:space="0" w:color="auto"/>
      </w:divBdr>
      <w:divsChild>
        <w:div w:id="264192988">
          <w:marLeft w:val="0"/>
          <w:marRight w:val="0"/>
          <w:marTop w:val="0"/>
          <w:marBottom w:val="0"/>
          <w:divBdr>
            <w:top w:val="none" w:sz="0" w:space="0" w:color="auto"/>
            <w:left w:val="none" w:sz="0" w:space="0" w:color="auto"/>
            <w:bottom w:val="none" w:sz="0" w:space="0" w:color="auto"/>
            <w:right w:val="none" w:sz="0" w:space="0" w:color="auto"/>
          </w:divBdr>
          <w:divsChild>
            <w:div w:id="50350319">
              <w:marLeft w:val="0"/>
              <w:marRight w:val="0"/>
              <w:marTop w:val="0"/>
              <w:marBottom w:val="0"/>
              <w:divBdr>
                <w:top w:val="none" w:sz="0" w:space="0" w:color="auto"/>
                <w:left w:val="none" w:sz="0" w:space="0" w:color="auto"/>
                <w:bottom w:val="none" w:sz="0" w:space="0" w:color="auto"/>
                <w:right w:val="none" w:sz="0" w:space="0" w:color="auto"/>
              </w:divBdr>
            </w:div>
            <w:div w:id="123692278">
              <w:marLeft w:val="0"/>
              <w:marRight w:val="0"/>
              <w:marTop w:val="0"/>
              <w:marBottom w:val="0"/>
              <w:divBdr>
                <w:top w:val="none" w:sz="0" w:space="0" w:color="auto"/>
                <w:left w:val="none" w:sz="0" w:space="0" w:color="auto"/>
                <w:bottom w:val="none" w:sz="0" w:space="0" w:color="auto"/>
                <w:right w:val="none" w:sz="0" w:space="0" w:color="auto"/>
              </w:divBdr>
            </w:div>
            <w:div w:id="201021497">
              <w:marLeft w:val="0"/>
              <w:marRight w:val="0"/>
              <w:marTop w:val="0"/>
              <w:marBottom w:val="0"/>
              <w:divBdr>
                <w:top w:val="none" w:sz="0" w:space="0" w:color="auto"/>
                <w:left w:val="none" w:sz="0" w:space="0" w:color="auto"/>
                <w:bottom w:val="none" w:sz="0" w:space="0" w:color="auto"/>
                <w:right w:val="none" w:sz="0" w:space="0" w:color="auto"/>
              </w:divBdr>
            </w:div>
            <w:div w:id="279267794">
              <w:marLeft w:val="0"/>
              <w:marRight w:val="0"/>
              <w:marTop w:val="0"/>
              <w:marBottom w:val="0"/>
              <w:divBdr>
                <w:top w:val="none" w:sz="0" w:space="0" w:color="auto"/>
                <w:left w:val="none" w:sz="0" w:space="0" w:color="auto"/>
                <w:bottom w:val="none" w:sz="0" w:space="0" w:color="auto"/>
                <w:right w:val="none" w:sz="0" w:space="0" w:color="auto"/>
              </w:divBdr>
            </w:div>
            <w:div w:id="286860095">
              <w:marLeft w:val="0"/>
              <w:marRight w:val="0"/>
              <w:marTop w:val="0"/>
              <w:marBottom w:val="0"/>
              <w:divBdr>
                <w:top w:val="none" w:sz="0" w:space="0" w:color="auto"/>
                <w:left w:val="none" w:sz="0" w:space="0" w:color="auto"/>
                <w:bottom w:val="none" w:sz="0" w:space="0" w:color="auto"/>
                <w:right w:val="none" w:sz="0" w:space="0" w:color="auto"/>
              </w:divBdr>
            </w:div>
            <w:div w:id="342629133">
              <w:marLeft w:val="0"/>
              <w:marRight w:val="0"/>
              <w:marTop w:val="0"/>
              <w:marBottom w:val="0"/>
              <w:divBdr>
                <w:top w:val="none" w:sz="0" w:space="0" w:color="auto"/>
                <w:left w:val="none" w:sz="0" w:space="0" w:color="auto"/>
                <w:bottom w:val="none" w:sz="0" w:space="0" w:color="auto"/>
                <w:right w:val="none" w:sz="0" w:space="0" w:color="auto"/>
              </w:divBdr>
            </w:div>
            <w:div w:id="630288832">
              <w:marLeft w:val="0"/>
              <w:marRight w:val="0"/>
              <w:marTop w:val="0"/>
              <w:marBottom w:val="0"/>
              <w:divBdr>
                <w:top w:val="none" w:sz="0" w:space="0" w:color="auto"/>
                <w:left w:val="none" w:sz="0" w:space="0" w:color="auto"/>
                <w:bottom w:val="none" w:sz="0" w:space="0" w:color="auto"/>
                <w:right w:val="none" w:sz="0" w:space="0" w:color="auto"/>
              </w:divBdr>
            </w:div>
            <w:div w:id="699356672">
              <w:marLeft w:val="0"/>
              <w:marRight w:val="0"/>
              <w:marTop w:val="0"/>
              <w:marBottom w:val="0"/>
              <w:divBdr>
                <w:top w:val="none" w:sz="0" w:space="0" w:color="auto"/>
                <w:left w:val="none" w:sz="0" w:space="0" w:color="auto"/>
                <w:bottom w:val="none" w:sz="0" w:space="0" w:color="auto"/>
                <w:right w:val="none" w:sz="0" w:space="0" w:color="auto"/>
              </w:divBdr>
            </w:div>
            <w:div w:id="829642852">
              <w:marLeft w:val="0"/>
              <w:marRight w:val="0"/>
              <w:marTop w:val="0"/>
              <w:marBottom w:val="0"/>
              <w:divBdr>
                <w:top w:val="none" w:sz="0" w:space="0" w:color="auto"/>
                <w:left w:val="none" w:sz="0" w:space="0" w:color="auto"/>
                <w:bottom w:val="none" w:sz="0" w:space="0" w:color="auto"/>
                <w:right w:val="none" w:sz="0" w:space="0" w:color="auto"/>
              </w:divBdr>
            </w:div>
            <w:div w:id="935476519">
              <w:marLeft w:val="0"/>
              <w:marRight w:val="0"/>
              <w:marTop w:val="0"/>
              <w:marBottom w:val="0"/>
              <w:divBdr>
                <w:top w:val="none" w:sz="0" w:space="0" w:color="auto"/>
                <w:left w:val="none" w:sz="0" w:space="0" w:color="auto"/>
                <w:bottom w:val="none" w:sz="0" w:space="0" w:color="auto"/>
                <w:right w:val="none" w:sz="0" w:space="0" w:color="auto"/>
              </w:divBdr>
            </w:div>
            <w:div w:id="953026180">
              <w:marLeft w:val="0"/>
              <w:marRight w:val="0"/>
              <w:marTop w:val="0"/>
              <w:marBottom w:val="0"/>
              <w:divBdr>
                <w:top w:val="none" w:sz="0" w:space="0" w:color="auto"/>
                <w:left w:val="none" w:sz="0" w:space="0" w:color="auto"/>
                <w:bottom w:val="none" w:sz="0" w:space="0" w:color="auto"/>
                <w:right w:val="none" w:sz="0" w:space="0" w:color="auto"/>
              </w:divBdr>
            </w:div>
            <w:div w:id="1066731230">
              <w:marLeft w:val="0"/>
              <w:marRight w:val="0"/>
              <w:marTop w:val="0"/>
              <w:marBottom w:val="0"/>
              <w:divBdr>
                <w:top w:val="none" w:sz="0" w:space="0" w:color="auto"/>
                <w:left w:val="none" w:sz="0" w:space="0" w:color="auto"/>
                <w:bottom w:val="none" w:sz="0" w:space="0" w:color="auto"/>
                <w:right w:val="none" w:sz="0" w:space="0" w:color="auto"/>
              </w:divBdr>
            </w:div>
            <w:div w:id="1288195750">
              <w:marLeft w:val="0"/>
              <w:marRight w:val="0"/>
              <w:marTop w:val="0"/>
              <w:marBottom w:val="0"/>
              <w:divBdr>
                <w:top w:val="none" w:sz="0" w:space="0" w:color="auto"/>
                <w:left w:val="none" w:sz="0" w:space="0" w:color="auto"/>
                <w:bottom w:val="none" w:sz="0" w:space="0" w:color="auto"/>
                <w:right w:val="none" w:sz="0" w:space="0" w:color="auto"/>
              </w:divBdr>
            </w:div>
            <w:div w:id="1568567031">
              <w:marLeft w:val="0"/>
              <w:marRight w:val="0"/>
              <w:marTop w:val="0"/>
              <w:marBottom w:val="0"/>
              <w:divBdr>
                <w:top w:val="none" w:sz="0" w:space="0" w:color="auto"/>
                <w:left w:val="none" w:sz="0" w:space="0" w:color="auto"/>
                <w:bottom w:val="none" w:sz="0" w:space="0" w:color="auto"/>
                <w:right w:val="none" w:sz="0" w:space="0" w:color="auto"/>
              </w:divBdr>
            </w:div>
            <w:div w:id="1609893789">
              <w:marLeft w:val="0"/>
              <w:marRight w:val="0"/>
              <w:marTop w:val="0"/>
              <w:marBottom w:val="0"/>
              <w:divBdr>
                <w:top w:val="none" w:sz="0" w:space="0" w:color="auto"/>
                <w:left w:val="none" w:sz="0" w:space="0" w:color="auto"/>
                <w:bottom w:val="none" w:sz="0" w:space="0" w:color="auto"/>
                <w:right w:val="none" w:sz="0" w:space="0" w:color="auto"/>
              </w:divBdr>
            </w:div>
            <w:div w:id="1638098861">
              <w:marLeft w:val="0"/>
              <w:marRight w:val="0"/>
              <w:marTop w:val="0"/>
              <w:marBottom w:val="0"/>
              <w:divBdr>
                <w:top w:val="none" w:sz="0" w:space="0" w:color="auto"/>
                <w:left w:val="none" w:sz="0" w:space="0" w:color="auto"/>
                <w:bottom w:val="none" w:sz="0" w:space="0" w:color="auto"/>
                <w:right w:val="none" w:sz="0" w:space="0" w:color="auto"/>
              </w:divBdr>
            </w:div>
            <w:div w:id="1758016250">
              <w:marLeft w:val="0"/>
              <w:marRight w:val="0"/>
              <w:marTop w:val="0"/>
              <w:marBottom w:val="0"/>
              <w:divBdr>
                <w:top w:val="none" w:sz="0" w:space="0" w:color="auto"/>
                <w:left w:val="none" w:sz="0" w:space="0" w:color="auto"/>
                <w:bottom w:val="none" w:sz="0" w:space="0" w:color="auto"/>
                <w:right w:val="none" w:sz="0" w:space="0" w:color="auto"/>
              </w:divBdr>
            </w:div>
            <w:div w:id="1882014117">
              <w:marLeft w:val="0"/>
              <w:marRight w:val="0"/>
              <w:marTop w:val="0"/>
              <w:marBottom w:val="0"/>
              <w:divBdr>
                <w:top w:val="none" w:sz="0" w:space="0" w:color="auto"/>
                <w:left w:val="none" w:sz="0" w:space="0" w:color="auto"/>
                <w:bottom w:val="none" w:sz="0" w:space="0" w:color="auto"/>
                <w:right w:val="none" w:sz="0" w:space="0" w:color="auto"/>
              </w:divBdr>
            </w:div>
            <w:div w:id="1937862711">
              <w:marLeft w:val="0"/>
              <w:marRight w:val="0"/>
              <w:marTop w:val="0"/>
              <w:marBottom w:val="0"/>
              <w:divBdr>
                <w:top w:val="none" w:sz="0" w:space="0" w:color="auto"/>
                <w:left w:val="none" w:sz="0" w:space="0" w:color="auto"/>
                <w:bottom w:val="none" w:sz="0" w:space="0" w:color="auto"/>
                <w:right w:val="none" w:sz="0" w:space="0" w:color="auto"/>
              </w:divBdr>
            </w:div>
            <w:div w:id="1981180055">
              <w:marLeft w:val="0"/>
              <w:marRight w:val="0"/>
              <w:marTop w:val="0"/>
              <w:marBottom w:val="0"/>
              <w:divBdr>
                <w:top w:val="none" w:sz="0" w:space="0" w:color="auto"/>
                <w:left w:val="none" w:sz="0" w:space="0" w:color="auto"/>
                <w:bottom w:val="none" w:sz="0" w:space="0" w:color="auto"/>
                <w:right w:val="none" w:sz="0" w:space="0" w:color="auto"/>
              </w:divBdr>
            </w:div>
          </w:divsChild>
        </w:div>
        <w:div w:id="1361470980">
          <w:marLeft w:val="0"/>
          <w:marRight w:val="0"/>
          <w:marTop w:val="0"/>
          <w:marBottom w:val="0"/>
          <w:divBdr>
            <w:top w:val="none" w:sz="0" w:space="0" w:color="auto"/>
            <w:left w:val="none" w:sz="0" w:space="0" w:color="auto"/>
            <w:bottom w:val="none" w:sz="0" w:space="0" w:color="auto"/>
            <w:right w:val="none" w:sz="0" w:space="0" w:color="auto"/>
          </w:divBdr>
          <w:divsChild>
            <w:div w:id="65760189">
              <w:marLeft w:val="0"/>
              <w:marRight w:val="0"/>
              <w:marTop w:val="0"/>
              <w:marBottom w:val="0"/>
              <w:divBdr>
                <w:top w:val="none" w:sz="0" w:space="0" w:color="auto"/>
                <w:left w:val="none" w:sz="0" w:space="0" w:color="auto"/>
                <w:bottom w:val="none" w:sz="0" w:space="0" w:color="auto"/>
                <w:right w:val="none" w:sz="0" w:space="0" w:color="auto"/>
              </w:divBdr>
            </w:div>
            <w:div w:id="87310393">
              <w:marLeft w:val="0"/>
              <w:marRight w:val="0"/>
              <w:marTop w:val="0"/>
              <w:marBottom w:val="0"/>
              <w:divBdr>
                <w:top w:val="none" w:sz="0" w:space="0" w:color="auto"/>
                <w:left w:val="none" w:sz="0" w:space="0" w:color="auto"/>
                <w:bottom w:val="none" w:sz="0" w:space="0" w:color="auto"/>
                <w:right w:val="none" w:sz="0" w:space="0" w:color="auto"/>
              </w:divBdr>
            </w:div>
            <w:div w:id="242492312">
              <w:marLeft w:val="0"/>
              <w:marRight w:val="0"/>
              <w:marTop w:val="0"/>
              <w:marBottom w:val="0"/>
              <w:divBdr>
                <w:top w:val="none" w:sz="0" w:space="0" w:color="auto"/>
                <w:left w:val="none" w:sz="0" w:space="0" w:color="auto"/>
                <w:bottom w:val="none" w:sz="0" w:space="0" w:color="auto"/>
                <w:right w:val="none" w:sz="0" w:space="0" w:color="auto"/>
              </w:divBdr>
            </w:div>
            <w:div w:id="300890167">
              <w:marLeft w:val="0"/>
              <w:marRight w:val="0"/>
              <w:marTop w:val="0"/>
              <w:marBottom w:val="0"/>
              <w:divBdr>
                <w:top w:val="none" w:sz="0" w:space="0" w:color="auto"/>
                <w:left w:val="none" w:sz="0" w:space="0" w:color="auto"/>
                <w:bottom w:val="none" w:sz="0" w:space="0" w:color="auto"/>
                <w:right w:val="none" w:sz="0" w:space="0" w:color="auto"/>
              </w:divBdr>
            </w:div>
            <w:div w:id="485166695">
              <w:marLeft w:val="0"/>
              <w:marRight w:val="0"/>
              <w:marTop w:val="0"/>
              <w:marBottom w:val="0"/>
              <w:divBdr>
                <w:top w:val="none" w:sz="0" w:space="0" w:color="auto"/>
                <w:left w:val="none" w:sz="0" w:space="0" w:color="auto"/>
                <w:bottom w:val="none" w:sz="0" w:space="0" w:color="auto"/>
                <w:right w:val="none" w:sz="0" w:space="0" w:color="auto"/>
              </w:divBdr>
            </w:div>
            <w:div w:id="901402782">
              <w:marLeft w:val="0"/>
              <w:marRight w:val="0"/>
              <w:marTop w:val="0"/>
              <w:marBottom w:val="0"/>
              <w:divBdr>
                <w:top w:val="none" w:sz="0" w:space="0" w:color="auto"/>
                <w:left w:val="none" w:sz="0" w:space="0" w:color="auto"/>
                <w:bottom w:val="none" w:sz="0" w:space="0" w:color="auto"/>
                <w:right w:val="none" w:sz="0" w:space="0" w:color="auto"/>
              </w:divBdr>
            </w:div>
            <w:div w:id="917520688">
              <w:marLeft w:val="0"/>
              <w:marRight w:val="0"/>
              <w:marTop w:val="0"/>
              <w:marBottom w:val="0"/>
              <w:divBdr>
                <w:top w:val="none" w:sz="0" w:space="0" w:color="auto"/>
                <w:left w:val="none" w:sz="0" w:space="0" w:color="auto"/>
                <w:bottom w:val="none" w:sz="0" w:space="0" w:color="auto"/>
                <w:right w:val="none" w:sz="0" w:space="0" w:color="auto"/>
              </w:divBdr>
            </w:div>
            <w:div w:id="1016268890">
              <w:marLeft w:val="0"/>
              <w:marRight w:val="0"/>
              <w:marTop w:val="0"/>
              <w:marBottom w:val="0"/>
              <w:divBdr>
                <w:top w:val="none" w:sz="0" w:space="0" w:color="auto"/>
                <w:left w:val="none" w:sz="0" w:space="0" w:color="auto"/>
                <w:bottom w:val="none" w:sz="0" w:space="0" w:color="auto"/>
                <w:right w:val="none" w:sz="0" w:space="0" w:color="auto"/>
              </w:divBdr>
            </w:div>
            <w:div w:id="1339842829">
              <w:marLeft w:val="0"/>
              <w:marRight w:val="0"/>
              <w:marTop w:val="0"/>
              <w:marBottom w:val="0"/>
              <w:divBdr>
                <w:top w:val="none" w:sz="0" w:space="0" w:color="auto"/>
                <w:left w:val="none" w:sz="0" w:space="0" w:color="auto"/>
                <w:bottom w:val="none" w:sz="0" w:space="0" w:color="auto"/>
                <w:right w:val="none" w:sz="0" w:space="0" w:color="auto"/>
              </w:divBdr>
            </w:div>
            <w:div w:id="1439957025">
              <w:marLeft w:val="0"/>
              <w:marRight w:val="0"/>
              <w:marTop w:val="0"/>
              <w:marBottom w:val="0"/>
              <w:divBdr>
                <w:top w:val="none" w:sz="0" w:space="0" w:color="auto"/>
                <w:left w:val="none" w:sz="0" w:space="0" w:color="auto"/>
                <w:bottom w:val="none" w:sz="0" w:space="0" w:color="auto"/>
                <w:right w:val="none" w:sz="0" w:space="0" w:color="auto"/>
              </w:divBdr>
            </w:div>
            <w:div w:id="1462191494">
              <w:marLeft w:val="0"/>
              <w:marRight w:val="0"/>
              <w:marTop w:val="0"/>
              <w:marBottom w:val="0"/>
              <w:divBdr>
                <w:top w:val="none" w:sz="0" w:space="0" w:color="auto"/>
                <w:left w:val="none" w:sz="0" w:space="0" w:color="auto"/>
                <w:bottom w:val="none" w:sz="0" w:space="0" w:color="auto"/>
                <w:right w:val="none" w:sz="0" w:space="0" w:color="auto"/>
              </w:divBdr>
            </w:div>
            <w:div w:id="1514565168">
              <w:marLeft w:val="0"/>
              <w:marRight w:val="0"/>
              <w:marTop w:val="0"/>
              <w:marBottom w:val="0"/>
              <w:divBdr>
                <w:top w:val="none" w:sz="0" w:space="0" w:color="auto"/>
                <w:left w:val="none" w:sz="0" w:space="0" w:color="auto"/>
                <w:bottom w:val="none" w:sz="0" w:space="0" w:color="auto"/>
                <w:right w:val="none" w:sz="0" w:space="0" w:color="auto"/>
              </w:divBdr>
            </w:div>
            <w:div w:id="1516992290">
              <w:marLeft w:val="0"/>
              <w:marRight w:val="0"/>
              <w:marTop w:val="0"/>
              <w:marBottom w:val="0"/>
              <w:divBdr>
                <w:top w:val="none" w:sz="0" w:space="0" w:color="auto"/>
                <w:left w:val="none" w:sz="0" w:space="0" w:color="auto"/>
                <w:bottom w:val="none" w:sz="0" w:space="0" w:color="auto"/>
                <w:right w:val="none" w:sz="0" w:space="0" w:color="auto"/>
              </w:divBdr>
            </w:div>
            <w:div w:id="1576551662">
              <w:marLeft w:val="0"/>
              <w:marRight w:val="0"/>
              <w:marTop w:val="0"/>
              <w:marBottom w:val="0"/>
              <w:divBdr>
                <w:top w:val="none" w:sz="0" w:space="0" w:color="auto"/>
                <w:left w:val="none" w:sz="0" w:space="0" w:color="auto"/>
                <w:bottom w:val="none" w:sz="0" w:space="0" w:color="auto"/>
                <w:right w:val="none" w:sz="0" w:space="0" w:color="auto"/>
              </w:divBdr>
            </w:div>
            <w:div w:id="1651714144">
              <w:marLeft w:val="0"/>
              <w:marRight w:val="0"/>
              <w:marTop w:val="0"/>
              <w:marBottom w:val="0"/>
              <w:divBdr>
                <w:top w:val="none" w:sz="0" w:space="0" w:color="auto"/>
                <w:left w:val="none" w:sz="0" w:space="0" w:color="auto"/>
                <w:bottom w:val="none" w:sz="0" w:space="0" w:color="auto"/>
                <w:right w:val="none" w:sz="0" w:space="0" w:color="auto"/>
              </w:divBdr>
            </w:div>
            <w:div w:id="1826511299">
              <w:marLeft w:val="0"/>
              <w:marRight w:val="0"/>
              <w:marTop w:val="0"/>
              <w:marBottom w:val="0"/>
              <w:divBdr>
                <w:top w:val="none" w:sz="0" w:space="0" w:color="auto"/>
                <w:left w:val="none" w:sz="0" w:space="0" w:color="auto"/>
                <w:bottom w:val="none" w:sz="0" w:space="0" w:color="auto"/>
                <w:right w:val="none" w:sz="0" w:space="0" w:color="auto"/>
              </w:divBdr>
            </w:div>
            <w:div w:id="1882285897">
              <w:marLeft w:val="0"/>
              <w:marRight w:val="0"/>
              <w:marTop w:val="0"/>
              <w:marBottom w:val="0"/>
              <w:divBdr>
                <w:top w:val="none" w:sz="0" w:space="0" w:color="auto"/>
                <w:left w:val="none" w:sz="0" w:space="0" w:color="auto"/>
                <w:bottom w:val="none" w:sz="0" w:space="0" w:color="auto"/>
                <w:right w:val="none" w:sz="0" w:space="0" w:color="auto"/>
              </w:divBdr>
            </w:div>
            <w:div w:id="1938056151">
              <w:marLeft w:val="0"/>
              <w:marRight w:val="0"/>
              <w:marTop w:val="0"/>
              <w:marBottom w:val="0"/>
              <w:divBdr>
                <w:top w:val="none" w:sz="0" w:space="0" w:color="auto"/>
                <w:left w:val="none" w:sz="0" w:space="0" w:color="auto"/>
                <w:bottom w:val="none" w:sz="0" w:space="0" w:color="auto"/>
                <w:right w:val="none" w:sz="0" w:space="0" w:color="auto"/>
              </w:divBdr>
            </w:div>
            <w:div w:id="1951349722">
              <w:marLeft w:val="0"/>
              <w:marRight w:val="0"/>
              <w:marTop w:val="0"/>
              <w:marBottom w:val="0"/>
              <w:divBdr>
                <w:top w:val="none" w:sz="0" w:space="0" w:color="auto"/>
                <w:left w:val="none" w:sz="0" w:space="0" w:color="auto"/>
                <w:bottom w:val="none" w:sz="0" w:space="0" w:color="auto"/>
                <w:right w:val="none" w:sz="0" w:space="0" w:color="auto"/>
              </w:divBdr>
            </w:div>
            <w:div w:id="1969703169">
              <w:marLeft w:val="0"/>
              <w:marRight w:val="0"/>
              <w:marTop w:val="0"/>
              <w:marBottom w:val="0"/>
              <w:divBdr>
                <w:top w:val="none" w:sz="0" w:space="0" w:color="auto"/>
                <w:left w:val="none" w:sz="0" w:space="0" w:color="auto"/>
                <w:bottom w:val="none" w:sz="0" w:space="0" w:color="auto"/>
                <w:right w:val="none" w:sz="0" w:space="0" w:color="auto"/>
              </w:divBdr>
            </w:div>
          </w:divsChild>
        </w:div>
        <w:div w:id="1442266593">
          <w:marLeft w:val="0"/>
          <w:marRight w:val="0"/>
          <w:marTop w:val="0"/>
          <w:marBottom w:val="0"/>
          <w:divBdr>
            <w:top w:val="none" w:sz="0" w:space="0" w:color="auto"/>
            <w:left w:val="none" w:sz="0" w:space="0" w:color="auto"/>
            <w:bottom w:val="none" w:sz="0" w:space="0" w:color="auto"/>
            <w:right w:val="none" w:sz="0" w:space="0" w:color="auto"/>
          </w:divBdr>
          <w:divsChild>
            <w:div w:id="532614324">
              <w:marLeft w:val="0"/>
              <w:marRight w:val="0"/>
              <w:marTop w:val="0"/>
              <w:marBottom w:val="0"/>
              <w:divBdr>
                <w:top w:val="none" w:sz="0" w:space="0" w:color="auto"/>
                <w:left w:val="none" w:sz="0" w:space="0" w:color="auto"/>
                <w:bottom w:val="none" w:sz="0" w:space="0" w:color="auto"/>
                <w:right w:val="none" w:sz="0" w:space="0" w:color="auto"/>
              </w:divBdr>
            </w:div>
            <w:div w:id="849176145">
              <w:marLeft w:val="0"/>
              <w:marRight w:val="0"/>
              <w:marTop w:val="0"/>
              <w:marBottom w:val="0"/>
              <w:divBdr>
                <w:top w:val="none" w:sz="0" w:space="0" w:color="auto"/>
                <w:left w:val="none" w:sz="0" w:space="0" w:color="auto"/>
                <w:bottom w:val="none" w:sz="0" w:space="0" w:color="auto"/>
                <w:right w:val="none" w:sz="0" w:space="0" w:color="auto"/>
              </w:divBdr>
            </w:div>
            <w:div w:id="1001273103">
              <w:marLeft w:val="0"/>
              <w:marRight w:val="0"/>
              <w:marTop w:val="0"/>
              <w:marBottom w:val="0"/>
              <w:divBdr>
                <w:top w:val="none" w:sz="0" w:space="0" w:color="auto"/>
                <w:left w:val="none" w:sz="0" w:space="0" w:color="auto"/>
                <w:bottom w:val="none" w:sz="0" w:space="0" w:color="auto"/>
                <w:right w:val="none" w:sz="0" w:space="0" w:color="auto"/>
              </w:divBdr>
            </w:div>
            <w:div w:id="1008099927">
              <w:marLeft w:val="0"/>
              <w:marRight w:val="0"/>
              <w:marTop w:val="0"/>
              <w:marBottom w:val="0"/>
              <w:divBdr>
                <w:top w:val="none" w:sz="0" w:space="0" w:color="auto"/>
                <w:left w:val="none" w:sz="0" w:space="0" w:color="auto"/>
                <w:bottom w:val="none" w:sz="0" w:space="0" w:color="auto"/>
                <w:right w:val="none" w:sz="0" w:space="0" w:color="auto"/>
              </w:divBdr>
            </w:div>
            <w:div w:id="1174225957">
              <w:marLeft w:val="0"/>
              <w:marRight w:val="0"/>
              <w:marTop w:val="0"/>
              <w:marBottom w:val="0"/>
              <w:divBdr>
                <w:top w:val="none" w:sz="0" w:space="0" w:color="auto"/>
                <w:left w:val="none" w:sz="0" w:space="0" w:color="auto"/>
                <w:bottom w:val="none" w:sz="0" w:space="0" w:color="auto"/>
                <w:right w:val="none" w:sz="0" w:space="0" w:color="auto"/>
              </w:divBdr>
            </w:div>
            <w:div w:id="1232078677">
              <w:marLeft w:val="0"/>
              <w:marRight w:val="0"/>
              <w:marTop w:val="0"/>
              <w:marBottom w:val="0"/>
              <w:divBdr>
                <w:top w:val="none" w:sz="0" w:space="0" w:color="auto"/>
                <w:left w:val="none" w:sz="0" w:space="0" w:color="auto"/>
                <w:bottom w:val="none" w:sz="0" w:space="0" w:color="auto"/>
                <w:right w:val="none" w:sz="0" w:space="0" w:color="auto"/>
              </w:divBdr>
            </w:div>
            <w:div w:id="1645046062">
              <w:marLeft w:val="0"/>
              <w:marRight w:val="0"/>
              <w:marTop w:val="0"/>
              <w:marBottom w:val="0"/>
              <w:divBdr>
                <w:top w:val="none" w:sz="0" w:space="0" w:color="auto"/>
                <w:left w:val="none" w:sz="0" w:space="0" w:color="auto"/>
                <w:bottom w:val="none" w:sz="0" w:space="0" w:color="auto"/>
                <w:right w:val="none" w:sz="0" w:space="0" w:color="auto"/>
              </w:divBdr>
            </w:div>
            <w:div w:id="1709452585">
              <w:marLeft w:val="0"/>
              <w:marRight w:val="0"/>
              <w:marTop w:val="0"/>
              <w:marBottom w:val="0"/>
              <w:divBdr>
                <w:top w:val="none" w:sz="0" w:space="0" w:color="auto"/>
                <w:left w:val="none" w:sz="0" w:space="0" w:color="auto"/>
                <w:bottom w:val="none" w:sz="0" w:space="0" w:color="auto"/>
                <w:right w:val="none" w:sz="0" w:space="0" w:color="auto"/>
              </w:divBdr>
            </w:div>
            <w:div w:id="1767071390">
              <w:marLeft w:val="0"/>
              <w:marRight w:val="0"/>
              <w:marTop w:val="0"/>
              <w:marBottom w:val="0"/>
              <w:divBdr>
                <w:top w:val="none" w:sz="0" w:space="0" w:color="auto"/>
                <w:left w:val="none" w:sz="0" w:space="0" w:color="auto"/>
                <w:bottom w:val="none" w:sz="0" w:space="0" w:color="auto"/>
                <w:right w:val="none" w:sz="0" w:space="0" w:color="auto"/>
              </w:divBdr>
            </w:div>
            <w:div w:id="1905725114">
              <w:marLeft w:val="0"/>
              <w:marRight w:val="0"/>
              <w:marTop w:val="0"/>
              <w:marBottom w:val="0"/>
              <w:divBdr>
                <w:top w:val="none" w:sz="0" w:space="0" w:color="auto"/>
                <w:left w:val="none" w:sz="0" w:space="0" w:color="auto"/>
                <w:bottom w:val="none" w:sz="0" w:space="0" w:color="auto"/>
                <w:right w:val="none" w:sz="0" w:space="0" w:color="auto"/>
              </w:divBdr>
            </w:div>
            <w:div w:id="21182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398">
      <w:bodyDiv w:val="1"/>
      <w:marLeft w:val="0"/>
      <w:marRight w:val="0"/>
      <w:marTop w:val="0"/>
      <w:marBottom w:val="0"/>
      <w:divBdr>
        <w:top w:val="none" w:sz="0" w:space="0" w:color="auto"/>
        <w:left w:val="none" w:sz="0" w:space="0" w:color="auto"/>
        <w:bottom w:val="none" w:sz="0" w:space="0" w:color="auto"/>
        <w:right w:val="none" w:sz="0" w:space="0" w:color="auto"/>
      </w:divBdr>
      <w:divsChild>
        <w:div w:id="1012487926">
          <w:marLeft w:val="0"/>
          <w:marRight w:val="0"/>
          <w:marTop w:val="0"/>
          <w:marBottom w:val="0"/>
          <w:divBdr>
            <w:top w:val="none" w:sz="0" w:space="0" w:color="auto"/>
            <w:left w:val="none" w:sz="0" w:space="0" w:color="auto"/>
            <w:bottom w:val="none" w:sz="0" w:space="0" w:color="auto"/>
            <w:right w:val="none" w:sz="0" w:space="0" w:color="auto"/>
          </w:divBdr>
          <w:divsChild>
            <w:div w:id="37318177">
              <w:marLeft w:val="0"/>
              <w:marRight w:val="0"/>
              <w:marTop w:val="0"/>
              <w:marBottom w:val="0"/>
              <w:divBdr>
                <w:top w:val="none" w:sz="0" w:space="0" w:color="auto"/>
                <w:left w:val="none" w:sz="0" w:space="0" w:color="auto"/>
                <w:bottom w:val="none" w:sz="0" w:space="0" w:color="auto"/>
                <w:right w:val="none" w:sz="0" w:space="0" w:color="auto"/>
              </w:divBdr>
            </w:div>
            <w:div w:id="123043669">
              <w:marLeft w:val="0"/>
              <w:marRight w:val="0"/>
              <w:marTop w:val="0"/>
              <w:marBottom w:val="0"/>
              <w:divBdr>
                <w:top w:val="none" w:sz="0" w:space="0" w:color="auto"/>
                <w:left w:val="none" w:sz="0" w:space="0" w:color="auto"/>
                <w:bottom w:val="none" w:sz="0" w:space="0" w:color="auto"/>
                <w:right w:val="none" w:sz="0" w:space="0" w:color="auto"/>
              </w:divBdr>
            </w:div>
            <w:div w:id="284966864">
              <w:marLeft w:val="0"/>
              <w:marRight w:val="0"/>
              <w:marTop w:val="0"/>
              <w:marBottom w:val="0"/>
              <w:divBdr>
                <w:top w:val="none" w:sz="0" w:space="0" w:color="auto"/>
                <w:left w:val="none" w:sz="0" w:space="0" w:color="auto"/>
                <w:bottom w:val="none" w:sz="0" w:space="0" w:color="auto"/>
                <w:right w:val="none" w:sz="0" w:space="0" w:color="auto"/>
              </w:divBdr>
            </w:div>
            <w:div w:id="641927231">
              <w:marLeft w:val="0"/>
              <w:marRight w:val="0"/>
              <w:marTop w:val="0"/>
              <w:marBottom w:val="0"/>
              <w:divBdr>
                <w:top w:val="none" w:sz="0" w:space="0" w:color="auto"/>
                <w:left w:val="none" w:sz="0" w:space="0" w:color="auto"/>
                <w:bottom w:val="none" w:sz="0" w:space="0" w:color="auto"/>
                <w:right w:val="none" w:sz="0" w:space="0" w:color="auto"/>
              </w:divBdr>
            </w:div>
            <w:div w:id="643004396">
              <w:marLeft w:val="0"/>
              <w:marRight w:val="0"/>
              <w:marTop w:val="0"/>
              <w:marBottom w:val="0"/>
              <w:divBdr>
                <w:top w:val="none" w:sz="0" w:space="0" w:color="auto"/>
                <w:left w:val="none" w:sz="0" w:space="0" w:color="auto"/>
                <w:bottom w:val="none" w:sz="0" w:space="0" w:color="auto"/>
                <w:right w:val="none" w:sz="0" w:space="0" w:color="auto"/>
              </w:divBdr>
            </w:div>
            <w:div w:id="693002539">
              <w:marLeft w:val="0"/>
              <w:marRight w:val="0"/>
              <w:marTop w:val="0"/>
              <w:marBottom w:val="0"/>
              <w:divBdr>
                <w:top w:val="none" w:sz="0" w:space="0" w:color="auto"/>
                <w:left w:val="none" w:sz="0" w:space="0" w:color="auto"/>
                <w:bottom w:val="none" w:sz="0" w:space="0" w:color="auto"/>
                <w:right w:val="none" w:sz="0" w:space="0" w:color="auto"/>
              </w:divBdr>
            </w:div>
            <w:div w:id="859978329">
              <w:marLeft w:val="0"/>
              <w:marRight w:val="0"/>
              <w:marTop w:val="0"/>
              <w:marBottom w:val="0"/>
              <w:divBdr>
                <w:top w:val="none" w:sz="0" w:space="0" w:color="auto"/>
                <w:left w:val="none" w:sz="0" w:space="0" w:color="auto"/>
                <w:bottom w:val="none" w:sz="0" w:space="0" w:color="auto"/>
                <w:right w:val="none" w:sz="0" w:space="0" w:color="auto"/>
              </w:divBdr>
            </w:div>
            <w:div w:id="946037589">
              <w:marLeft w:val="0"/>
              <w:marRight w:val="0"/>
              <w:marTop w:val="0"/>
              <w:marBottom w:val="0"/>
              <w:divBdr>
                <w:top w:val="none" w:sz="0" w:space="0" w:color="auto"/>
                <w:left w:val="none" w:sz="0" w:space="0" w:color="auto"/>
                <w:bottom w:val="none" w:sz="0" w:space="0" w:color="auto"/>
                <w:right w:val="none" w:sz="0" w:space="0" w:color="auto"/>
              </w:divBdr>
            </w:div>
            <w:div w:id="982274857">
              <w:marLeft w:val="0"/>
              <w:marRight w:val="0"/>
              <w:marTop w:val="0"/>
              <w:marBottom w:val="0"/>
              <w:divBdr>
                <w:top w:val="none" w:sz="0" w:space="0" w:color="auto"/>
                <w:left w:val="none" w:sz="0" w:space="0" w:color="auto"/>
                <w:bottom w:val="none" w:sz="0" w:space="0" w:color="auto"/>
                <w:right w:val="none" w:sz="0" w:space="0" w:color="auto"/>
              </w:divBdr>
            </w:div>
            <w:div w:id="1138452126">
              <w:marLeft w:val="0"/>
              <w:marRight w:val="0"/>
              <w:marTop w:val="0"/>
              <w:marBottom w:val="0"/>
              <w:divBdr>
                <w:top w:val="none" w:sz="0" w:space="0" w:color="auto"/>
                <w:left w:val="none" w:sz="0" w:space="0" w:color="auto"/>
                <w:bottom w:val="none" w:sz="0" w:space="0" w:color="auto"/>
                <w:right w:val="none" w:sz="0" w:space="0" w:color="auto"/>
              </w:divBdr>
            </w:div>
            <w:div w:id="1248267871">
              <w:marLeft w:val="0"/>
              <w:marRight w:val="0"/>
              <w:marTop w:val="0"/>
              <w:marBottom w:val="0"/>
              <w:divBdr>
                <w:top w:val="none" w:sz="0" w:space="0" w:color="auto"/>
                <w:left w:val="none" w:sz="0" w:space="0" w:color="auto"/>
                <w:bottom w:val="none" w:sz="0" w:space="0" w:color="auto"/>
                <w:right w:val="none" w:sz="0" w:space="0" w:color="auto"/>
              </w:divBdr>
            </w:div>
            <w:div w:id="1401245805">
              <w:marLeft w:val="0"/>
              <w:marRight w:val="0"/>
              <w:marTop w:val="0"/>
              <w:marBottom w:val="0"/>
              <w:divBdr>
                <w:top w:val="none" w:sz="0" w:space="0" w:color="auto"/>
                <w:left w:val="none" w:sz="0" w:space="0" w:color="auto"/>
                <w:bottom w:val="none" w:sz="0" w:space="0" w:color="auto"/>
                <w:right w:val="none" w:sz="0" w:space="0" w:color="auto"/>
              </w:divBdr>
            </w:div>
            <w:div w:id="1508246270">
              <w:marLeft w:val="0"/>
              <w:marRight w:val="0"/>
              <w:marTop w:val="0"/>
              <w:marBottom w:val="0"/>
              <w:divBdr>
                <w:top w:val="none" w:sz="0" w:space="0" w:color="auto"/>
                <w:left w:val="none" w:sz="0" w:space="0" w:color="auto"/>
                <w:bottom w:val="none" w:sz="0" w:space="0" w:color="auto"/>
                <w:right w:val="none" w:sz="0" w:space="0" w:color="auto"/>
              </w:divBdr>
            </w:div>
            <w:div w:id="1558543562">
              <w:marLeft w:val="0"/>
              <w:marRight w:val="0"/>
              <w:marTop w:val="0"/>
              <w:marBottom w:val="0"/>
              <w:divBdr>
                <w:top w:val="none" w:sz="0" w:space="0" w:color="auto"/>
                <w:left w:val="none" w:sz="0" w:space="0" w:color="auto"/>
                <w:bottom w:val="none" w:sz="0" w:space="0" w:color="auto"/>
                <w:right w:val="none" w:sz="0" w:space="0" w:color="auto"/>
              </w:divBdr>
            </w:div>
            <w:div w:id="1585651841">
              <w:marLeft w:val="0"/>
              <w:marRight w:val="0"/>
              <w:marTop w:val="0"/>
              <w:marBottom w:val="0"/>
              <w:divBdr>
                <w:top w:val="none" w:sz="0" w:space="0" w:color="auto"/>
                <w:left w:val="none" w:sz="0" w:space="0" w:color="auto"/>
                <w:bottom w:val="none" w:sz="0" w:space="0" w:color="auto"/>
                <w:right w:val="none" w:sz="0" w:space="0" w:color="auto"/>
              </w:divBdr>
            </w:div>
            <w:div w:id="1588727435">
              <w:marLeft w:val="0"/>
              <w:marRight w:val="0"/>
              <w:marTop w:val="0"/>
              <w:marBottom w:val="0"/>
              <w:divBdr>
                <w:top w:val="none" w:sz="0" w:space="0" w:color="auto"/>
                <w:left w:val="none" w:sz="0" w:space="0" w:color="auto"/>
                <w:bottom w:val="none" w:sz="0" w:space="0" w:color="auto"/>
                <w:right w:val="none" w:sz="0" w:space="0" w:color="auto"/>
              </w:divBdr>
            </w:div>
            <w:div w:id="1867988769">
              <w:marLeft w:val="0"/>
              <w:marRight w:val="0"/>
              <w:marTop w:val="0"/>
              <w:marBottom w:val="0"/>
              <w:divBdr>
                <w:top w:val="none" w:sz="0" w:space="0" w:color="auto"/>
                <w:left w:val="none" w:sz="0" w:space="0" w:color="auto"/>
                <w:bottom w:val="none" w:sz="0" w:space="0" w:color="auto"/>
                <w:right w:val="none" w:sz="0" w:space="0" w:color="auto"/>
              </w:divBdr>
            </w:div>
            <w:div w:id="1890460585">
              <w:marLeft w:val="0"/>
              <w:marRight w:val="0"/>
              <w:marTop w:val="0"/>
              <w:marBottom w:val="0"/>
              <w:divBdr>
                <w:top w:val="none" w:sz="0" w:space="0" w:color="auto"/>
                <w:left w:val="none" w:sz="0" w:space="0" w:color="auto"/>
                <w:bottom w:val="none" w:sz="0" w:space="0" w:color="auto"/>
                <w:right w:val="none" w:sz="0" w:space="0" w:color="auto"/>
              </w:divBdr>
            </w:div>
            <w:div w:id="2002073962">
              <w:marLeft w:val="0"/>
              <w:marRight w:val="0"/>
              <w:marTop w:val="0"/>
              <w:marBottom w:val="0"/>
              <w:divBdr>
                <w:top w:val="none" w:sz="0" w:space="0" w:color="auto"/>
                <w:left w:val="none" w:sz="0" w:space="0" w:color="auto"/>
                <w:bottom w:val="none" w:sz="0" w:space="0" w:color="auto"/>
                <w:right w:val="none" w:sz="0" w:space="0" w:color="auto"/>
              </w:divBdr>
            </w:div>
            <w:div w:id="2023584090">
              <w:marLeft w:val="0"/>
              <w:marRight w:val="0"/>
              <w:marTop w:val="0"/>
              <w:marBottom w:val="0"/>
              <w:divBdr>
                <w:top w:val="none" w:sz="0" w:space="0" w:color="auto"/>
                <w:left w:val="none" w:sz="0" w:space="0" w:color="auto"/>
                <w:bottom w:val="none" w:sz="0" w:space="0" w:color="auto"/>
                <w:right w:val="none" w:sz="0" w:space="0" w:color="auto"/>
              </w:divBdr>
            </w:div>
          </w:divsChild>
        </w:div>
        <w:div w:id="1073746921">
          <w:marLeft w:val="0"/>
          <w:marRight w:val="0"/>
          <w:marTop w:val="0"/>
          <w:marBottom w:val="0"/>
          <w:divBdr>
            <w:top w:val="none" w:sz="0" w:space="0" w:color="auto"/>
            <w:left w:val="none" w:sz="0" w:space="0" w:color="auto"/>
            <w:bottom w:val="none" w:sz="0" w:space="0" w:color="auto"/>
            <w:right w:val="none" w:sz="0" w:space="0" w:color="auto"/>
          </w:divBdr>
          <w:divsChild>
            <w:div w:id="330983386">
              <w:marLeft w:val="0"/>
              <w:marRight w:val="0"/>
              <w:marTop w:val="0"/>
              <w:marBottom w:val="0"/>
              <w:divBdr>
                <w:top w:val="none" w:sz="0" w:space="0" w:color="auto"/>
                <w:left w:val="none" w:sz="0" w:space="0" w:color="auto"/>
                <w:bottom w:val="none" w:sz="0" w:space="0" w:color="auto"/>
                <w:right w:val="none" w:sz="0" w:space="0" w:color="auto"/>
              </w:divBdr>
            </w:div>
            <w:div w:id="1660303028">
              <w:marLeft w:val="0"/>
              <w:marRight w:val="0"/>
              <w:marTop w:val="0"/>
              <w:marBottom w:val="0"/>
              <w:divBdr>
                <w:top w:val="none" w:sz="0" w:space="0" w:color="auto"/>
                <w:left w:val="none" w:sz="0" w:space="0" w:color="auto"/>
                <w:bottom w:val="none" w:sz="0" w:space="0" w:color="auto"/>
                <w:right w:val="none" w:sz="0" w:space="0" w:color="auto"/>
              </w:divBdr>
            </w:div>
            <w:div w:id="1698309122">
              <w:marLeft w:val="0"/>
              <w:marRight w:val="0"/>
              <w:marTop w:val="0"/>
              <w:marBottom w:val="0"/>
              <w:divBdr>
                <w:top w:val="none" w:sz="0" w:space="0" w:color="auto"/>
                <w:left w:val="none" w:sz="0" w:space="0" w:color="auto"/>
                <w:bottom w:val="none" w:sz="0" w:space="0" w:color="auto"/>
                <w:right w:val="none" w:sz="0" w:space="0" w:color="auto"/>
              </w:divBdr>
            </w:div>
            <w:div w:id="1703742803">
              <w:marLeft w:val="0"/>
              <w:marRight w:val="0"/>
              <w:marTop w:val="0"/>
              <w:marBottom w:val="0"/>
              <w:divBdr>
                <w:top w:val="none" w:sz="0" w:space="0" w:color="auto"/>
                <w:left w:val="none" w:sz="0" w:space="0" w:color="auto"/>
                <w:bottom w:val="none" w:sz="0" w:space="0" w:color="auto"/>
                <w:right w:val="none" w:sz="0" w:space="0" w:color="auto"/>
              </w:divBdr>
            </w:div>
            <w:div w:id="1989891877">
              <w:marLeft w:val="0"/>
              <w:marRight w:val="0"/>
              <w:marTop w:val="0"/>
              <w:marBottom w:val="0"/>
              <w:divBdr>
                <w:top w:val="none" w:sz="0" w:space="0" w:color="auto"/>
                <w:left w:val="none" w:sz="0" w:space="0" w:color="auto"/>
                <w:bottom w:val="none" w:sz="0" w:space="0" w:color="auto"/>
                <w:right w:val="none" w:sz="0" w:space="0" w:color="auto"/>
              </w:divBdr>
            </w:div>
          </w:divsChild>
        </w:div>
        <w:div w:id="1148129187">
          <w:marLeft w:val="0"/>
          <w:marRight w:val="0"/>
          <w:marTop w:val="0"/>
          <w:marBottom w:val="0"/>
          <w:divBdr>
            <w:top w:val="none" w:sz="0" w:space="0" w:color="auto"/>
            <w:left w:val="none" w:sz="0" w:space="0" w:color="auto"/>
            <w:bottom w:val="none" w:sz="0" w:space="0" w:color="auto"/>
            <w:right w:val="none" w:sz="0" w:space="0" w:color="auto"/>
          </w:divBdr>
          <w:divsChild>
            <w:div w:id="60447541">
              <w:marLeft w:val="0"/>
              <w:marRight w:val="0"/>
              <w:marTop w:val="0"/>
              <w:marBottom w:val="0"/>
              <w:divBdr>
                <w:top w:val="none" w:sz="0" w:space="0" w:color="auto"/>
                <w:left w:val="none" w:sz="0" w:space="0" w:color="auto"/>
                <w:bottom w:val="none" w:sz="0" w:space="0" w:color="auto"/>
                <w:right w:val="none" w:sz="0" w:space="0" w:color="auto"/>
              </w:divBdr>
            </w:div>
            <w:div w:id="328214357">
              <w:marLeft w:val="0"/>
              <w:marRight w:val="0"/>
              <w:marTop w:val="0"/>
              <w:marBottom w:val="0"/>
              <w:divBdr>
                <w:top w:val="none" w:sz="0" w:space="0" w:color="auto"/>
                <w:left w:val="none" w:sz="0" w:space="0" w:color="auto"/>
                <w:bottom w:val="none" w:sz="0" w:space="0" w:color="auto"/>
                <w:right w:val="none" w:sz="0" w:space="0" w:color="auto"/>
              </w:divBdr>
            </w:div>
            <w:div w:id="447622892">
              <w:marLeft w:val="0"/>
              <w:marRight w:val="0"/>
              <w:marTop w:val="0"/>
              <w:marBottom w:val="0"/>
              <w:divBdr>
                <w:top w:val="none" w:sz="0" w:space="0" w:color="auto"/>
                <w:left w:val="none" w:sz="0" w:space="0" w:color="auto"/>
                <w:bottom w:val="none" w:sz="0" w:space="0" w:color="auto"/>
                <w:right w:val="none" w:sz="0" w:space="0" w:color="auto"/>
              </w:divBdr>
            </w:div>
            <w:div w:id="598952423">
              <w:marLeft w:val="0"/>
              <w:marRight w:val="0"/>
              <w:marTop w:val="0"/>
              <w:marBottom w:val="0"/>
              <w:divBdr>
                <w:top w:val="none" w:sz="0" w:space="0" w:color="auto"/>
                <w:left w:val="none" w:sz="0" w:space="0" w:color="auto"/>
                <w:bottom w:val="none" w:sz="0" w:space="0" w:color="auto"/>
                <w:right w:val="none" w:sz="0" w:space="0" w:color="auto"/>
              </w:divBdr>
            </w:div>
            <w:div w:id="643661180">
              <w:marLeft w:val="0"/>
              <w:marRight w:val="0"/>
              <w:marTop w:val="0"/>
              <w:marBottom w:val="0"/>
              <w:divBdr>
                <w:top w:val="none" w:sz="0" w:space="0" w:color="auto"/>
                <w:left w:val="none" w:sz="0" w:space="0" w:color="auto"/>
                <w:bottom w:val="none" w:sz="0" w:space="0" w:color="auto"/>
                <w:right w:val="none" w:sz="0" w:space="0" w:color="auto"/>
              </w:divBdr>
            </w:div>
            <w:div w:id="762190062">
              <w:marLeft w:val="0"/>
              <w:marRight w:val="0"/>
              <w:marTop w:val="0"/>
              <w:marBottom w:val="0"/>
              <w:divBdr>
                <w:top w:val="none" w:sz="0" w:space="0" w:color="auto"/>
                <w:left w:val="none" w:sz="0" w:space="0" w:color="auto"/>
                <w:bottom w:val="none" w:sz="0" w:space="0" w:color="auto"/>
                <w:right w:val="none" w:sz="0" w:space="0" w:color="auto"/>
              </w:divBdr>
            </w:div>
            <w:div w:id="1060400912">
              <w:marLeft w:val="0"/>
              <w:marRight w:val="0"/>
              <w:marTop w:val="0"/>
              <w:marBottom w:val="0"/>
              <w:divBdr>
                <w:top w:val="none" w:sz="0" w:space="0" w:color="auto"/>
                <w:left w:val="none" w:sz="0" w:space="0" w:color="auto"/>
                <w:bottom w:val="none" w:sz="0" w:space="0" w:color="auto"/>
                <w:right w:val="none" w:sz="0" w:space="0" w:color="auto"/>
              </w:divBdr>
            </w:div>
            <w:div w:id="1112015077">
              <w:marLeft w:val="0"/>
              <w:marRight w:val="0"/>
              <w:marTop w:val="0"/>
              <w:marBottom w:val="0"/>
              <w:divBdr>
                <w:top w:val="none" w:sz="0" w:space="0" w:color="auto"/>
                <w:left w:val="none" w:sz="0" w:space="0" w:color="auto"/>
                <w:bottom w:val="none" w:sz="0" w:space="0" w:color="auto"/>
                <w:right w:val="none" w:sz="0" w:space="0" w:color="auto"/>
              </w:divBdr>
            </w:div>
            <w:div w:id="1288655897">
              <w:marLeft w:val="0"/>
              <w:marRight w:val="0"/>
              <w:marTop w:val="0"/>
              <w:marBottom w:val="0"/>
              <w:divBdr>
                <w:top w:val="none" w:sz="0" w:space="0" w:color="auto"/>
                <w:left w:val="none" w:sz="0" w:space="0" w:color="auto"/>
                <w:bottom w:val="none" w:sz="0" w:space="0" w:color="auto"/>
                <w:right w:val="none" w:sz="0" w:space="0" w:color="auto"/>
              </w:divBdr>
            </w:div>
            <w:div w:id="1341926289">
              <w:marLeft w:val="0"/>
              <w:marRight w:val="0"/>
              <w:marTop w:val="0"/>
              <w:marBottom w:val="0"/>
              <w:divBdr>
                <w:top w:val="none" w:sz="0" w:space="0" w:color="auto"/>
                <w:left w:val="none" w:sz="0" w:space="0" w:color="auto"/>
                <w:bottom w:val="none" w:sz="0" w:space="0" w:color="auto"/>
                <w:right w:val="none" w:sz="0" w:space="0" w:color="auto"/>
              </w:divBdr>
            </w:div>
            <w:div w:id="1477257725">
              <w:marLeft w:val="0"/>
              <w:marRight w:val="0"/>
              <w:marTop w:val="0"/>
              <w:marBottom w:val="0"/>
              <w:divBdr>
                <w:top w:val="none" w:sz="0" w:space="0" w:color="auto"/>
                <w:left w:val="none" w:sz="0" w:space="0" w:color="auto"/>
                <w:bottom w:val="none" w:sz="0" w:space="0" w:color="auto"/>
                <w:right w:val="none" w:sz="0" w:space="0" w:color="auto"/>
              </w:divBdr>
            </w:div>
            <w:div w:id="1521240805">
              <w:marLeft w:val="0"/>
              <w:marRight w:val="0"/>
              <w:marTop w:val="0"/>
              <w:marBottom w:val="0"/>
              <w:divBdr>
                <w:top w:val="none" w:sz="0" w:space="0" w:color="auto"/>
                <w:left w:val="none" w:sz="0" w:space="0" w:color="auto"/>
                <w:bottom w:val="none" w:sz="0" w:space="0" w:color="auto"/>
                <w:right w:val="none" w:sz="0" w:space="0" w:color="auto"/>
              </w:divBdr>
            </w:div>
            <w:div w:id="1608779597">
              <w:marLeft w:val="0"/>
              <w:marRight w:val="0"/>
              <w:marTop w:val="0"/>
              <w:marBottom w:val="0"/>
              <w:divBdr>
                <w:top w:val="none" w:sz="0" w:space="0" w:color="auto"/>
                <w:left w:val="none" w:sz="0" w:space="0" w:color="auto"/>
                <w:bottom w:val="none" w:sz="0" w:space="0" w:color="auto"/>
                <w:right w:val="none" w:sz="0" w:space="0" w:color="auto"/>
              </w:divBdr>
            </w:div>
            <w:div w:id="1664507340">
              <w:marLeft w:val="0"/>
              <w:marRight w:val="0"/>
              <w:marTop w:val="0"/>
              <w:marBottom w:val="0"/>
              <w:divBdr>
                <w:top w:val="none" w:sz="0" w:space="0" w:color="auto"/>
                <w:left w:val="none" w:sz="0" w:space="0" w:color="auto"/>
                <w:bottom w:val="none" w:sz="0" w:space="0" w:color="auto"/>
                <w:right w:val="none" w:sz="0" w:space="0" w:color="auto"/>
              </w:divBdr>
            </w:div>
            <w:div w:id="1745762902">
              <w:marLeft w:val="0"/>
              <w:marRight w:val="0"/>
              <w:marTop w:val="0"/>
              <w:marBottom w:val="0"/>
              <w:divBdr>
                <w:top w:val="none" w:sz="0" w:space="0" w:color="auto"/>
                <w:left w:val="none" w:sz="0" w:space="0" w:color="auto"/>
                <w:bottom w:val="none" w:sz="0" w:space="0" w:color="auto"/>
                <w:right w:val="none" w:sz="0" w:space="0" w:color="auto"/>
              </w:divBdr>
            </w:div>
            <w:div w:id="1795053007">
              <w:marLeft w:val="0"/>
              <w:marRight w:val="0"/>
              <w:marTop w:val="0"/>
              <w:marBottom w:val="0"/>
              <w:divBdr>
                <w:top w:val="none" w:sz="0" w:space="0" w:color="auto"/>
                <w:left w:val="none" w:sz="0" w:space="0" w:color="auto"/>
                <w:bottom w:val="none" w:sz="0" w:space="0" w:color="auto"/>
                <w:right w:val="none" w:sz="0" w:space="0" w:color="auto"/>
              </w:divBdr>
            </w:div>
            <w:div w:id="1807816698">
              <w:marLeft w:val="0"/>
              <w:marRight w:val="0"/>
              <w:marTop w:val="0"/>
              <w:marBottom w:val="0"/>
              <w:divBdr>
                <w:top w:val="none" w:sz="0" w:space="0" w:color="auto"/>
                <w:left w:val="none" w:sz="0" w:space="0" w:color="auto"/>
                <w:bottom w:val="none" w:sz="0" w:space="0" w:color="auto"/>
                <w:right w:val="none" w:sz="0" w:space="0" w:color="auto"/>
              </w:divBdr>
            </w:div>
            <w:div w:id="1975211339">
              <w:marLeft w:val="0"/>
              <w:marRight w:val="0"/>
              <w:marTop w:val="0"/>
              <w:marBottom w:val="0"/>
              <w:divBdr>
                <w:top w:val="none" w:sz="0" w:space="0" w:color="auto"/>
                <w:left w:val="none" w:sz="0" w:space="0" w:color="auto"/>
                <w:bottom w:val="none" w:sz="0" w:space="0" w:color="auto"/>
                <w:right w:val="none" w:sz="0" w:space="0" w:color="auto"/>
              </w:divBdr>
            </w:div>
            <w:div w:id="2066366388">
              <w:marLeft w:val="0"/>
              <w:marRight w:val="0"/>
              <w:marTop w:val="0"/>
              <w:marBottom w:val="0"/>
              <w:divBdr>
                <w:top w:val="none" w:sz="0" w:space="0" w:color="auto"/>
                <w:left w:val="none" w:sz="0" w:space="0" w:color="auto"/>
                <w:bottom w:val="none" w:sz="0" w:space="0" w:color="auto"/>
                <w:right w:val="none" w:sz="0" w:space="0" w:color="auto"/>
              </w:divBdr>
            </w:div>
            <w:div w:id="2078362837">
              <w:marLeft w:val="0"/>
              <w:marRight w:val="0"/>
              <w:marTop w:val="0"/>
              <w:marBottom w:val="0"/>
              <w:divBdr>
                <w:top w:val="none" w:sz="0" w:space="0" w:color="auto"/>
                <w:left w:val="none" w:sz="0" w:space="0" w:color="auto"/>
                <w:bottom w:val="none" w:sz="0" w:space="0" w:color="auto"/>
                <w:right w:val="none" w:sz="0" w:space="0" w:color="auto"/>
              </w:divBdr>
            </w:div>
          </w:divsChild>
        </w:div>
        <w:div w:id="2008173102">
          <w:marLeft w:val="0"/>
          <w:marRight w:val="0"/>
          <w:marTop w:val="0"/>
          <w:marBottom w:val="0"/>
          <w:divBdr>
            <w:top w:val="none" w:sz="0" w:space="0" w:color="auto"/>
            <w:left w:val="none" w:sz="0" w:space="0" w:color="auto"/>
            <w:bottom w:val="none" w:sz="0" w:space="0" w:color="auto"/>
            <w:right w:val="none" w:sz="0" w:space="0" w:color="auto"/>
          </w:divBdr>
          <w:divsChild>
            <w:div w:id="337272895">
              <w:marLeft w:val="0"/>
              <w:marRight w:val="0"/>
              <w:marTop w:val="0"/>
              <w:marBottom w:val="0"/>
              <w:divBdr>
                <w:top w:val="none" w:sz="0" w:space="0" w:color="auto"/>
                <w:left w:val="none" w:sz="0" w:space="0" w:color="auto"/>
                <w:bottom w:val="none" w:sz="0" w:space="0" w:color="auto"/>
                <w:right w:val="none" w:sz="0" w:space="0" w:color="auto"/>
              </w:divBdr>
            </w:div>
            <w:div w:id="458763672">
              <w:marLeft w:val="0"/>
              <w:marRight w:val="0"/>
              <w:marTop w:val="0"/>
              <w:marBottom w:val="0"/>
              <w:divBdr>
                <w:top w:val="none" w:sz="0" w:space="0" w:color="auto"/>
                <w:left w:val="none" w:sz="0" w:space="0" w:color="auto"/>
                <w:bottom w:val="none" w:sz="0" w:space="0" w:color="auto"/>
                <w:right w:val="none" w:sz="0" w:space="0" w:color="auto"/>
              </w:divBdr>
            </w:div>
            <w:div w:id="631786541">
              <w:marLeft w:val="0"/>
              <w:marRight w:val="0"/>
              <w:marTop w:val="0"/>
              <w:marBottom w:val="0"/>
              <w:divBdr>
                <w:top w:val="none" w:sz="0" w:space="0" w:color="auto"/>
                <w:left w:val="none" w:sz="0" w:space="0" w:color="auto"/>
                <w:bottom w:val="none" w:sz="0" w:space="0" w:color="auto"/>
                <w:right w:val="none" w:sz="0" w:space="0" w:color="auto"/>
              </w:divBdr>
            </w:div>
            <w:div w:id="760030899">
              <w:marLeft w:val="0"/>
              <w:marRight w:val="0"/>
              <w:marTop w:val="0"/>
              <w:marBottom w:val="0"/>
              <w:divBdr>
                <w:top w:val="none" w:sz="0" w:space="0" w:color="auto"/>
                <w:left w:val="none" w:sz="0" w:space="0" w:color="auto"/>
                <w:bottom w:val="none" w:sz="0" w:space="0" w:color="auto"/>
                <w:right w:val="none" w:sz="0" w:space="0" w:color="auto"/>
              </w:divBdr>
            </w:div>
            <w:div w:id="1590042313">
              <w:marLeft w:val="0"/>
              <w:marRight w:val="0"/>
              <w:marTop w:val="0"/>
              <w:marBottom w:val="0"/>
              <w:divBdr>
                <w:top w:val="none" w:sz="0" w:space="0" w:color="auto"/>
                <w:left w:val="none" w:sz="0" w:space="0" w:color="auto"/>
                <w:bottom w:val="none" w:sz="0" w:space="0" w:color="auto"/>
                <w:right w:val="none" w:sz="0" w:space="0" w:color="auto"/>
              </w:divBdr>
            </w:div>
            <w:div w:id="1767457062">
              <w:marLeft w:val="0"/>
              <w:marRight w:val="0"/>
              <w:marTop w:val="0"/>
              <w:marBottom w:val="0"/>
              <w:divBdr>
                <w:top w:val="none" w:sz="0" w:space="0" w:color="auto"/>
                <w:left w:val="none" w:sz="0" w:space="0" w:color="auto"/>
                <w:bottom w:val="none" w:sz="0" w:space="0" w:color="auto"/>
                <w:right w:val="none" w:sz="0" w:space="0" w:color="auto"/>
              </w:divBdr>
            </w:div>
            <w:div w:id="18623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96757">
      <w:bodyDiv w:val="1"/>
      <w:marLeft w:val="0"/>
      <w:marRight w:val="0"/>
      <w:marTop w:val="0"/>
      <w:marBottom w:val="0"/>
      <w:divBdr>
        <w:top w:val="none" w:sz="0" w:space="0" w:color="auto"/>
        <w:left w:val="none" w:sz="0" w:space="0" w:color="auto"/>
        <w:bottom w:val="none" w:sz="0" w:space="0" w:color="auto"/>
        <w:right w:val="none" w:sz="0" w:space="0" w:color="auto"/>
      </w:divBdr>
      <w:divsChild>
        <w:div w:id="116876792">
          <w:marLeft w:val="0"/>
          <w:marRight w:val="0"/>
          <w:marTop w:val="0"/>
          <w:marBottom w:val="0"/>
          <w:divBdr>
            <w:top w:val="none" w:sz="0" w:space="0" w:color="auto"/>
            <w:left w:val="none" w:sz="0" w:space="0" w:color="auto"/>
            <w:bottom w:val="none" w:sz="0" w:space="0" w:color="auto"/>
            <w:right w:val="none" w:sz="0" w:space="0" w:color="auto"/>
          </w:divBdr>
          <w:divsChild>
            <w:div w:id="1603562667">
              <w:marLeft w:val="0"/>
              <w:marRight w:val="0"/>
              <w:marTop w:val="0"/>
              <w:marBottom w:val="0"/>
              <w:divBdr>
                <w:top w:val="none" w:sz="0" w:space="0" w:color="auto"/>
                <w:left w:val="none" w:sz="0" w:space="0" w:color="auto"/>
                <w:bottom w:val="none" w:sz="0" w:space="0" w:color="auto"/>
                <w:right w:val="none" w:sz="0" w:space="0" w:color="auto"/>
              </w:divBdr>
            </w:div>
          </w:divsChild>
        </w:div>
        <w:div w:id="327447718">
          <w:marLeft w:val="0"/>
          <w:marRight w:val="0"/>
          <w:marTop w:val="0"/>
          <w:marBottom w:val="0"/>
          <w:divBdr>
            <w:top w:val="none" w:sz="0" w:space="0" w:color="auto"/>
            <w:left w:val="none" w:sz="0" w:space="0" w:color="auto"/>
            <w:bottom w:val="none" w:sz="0" w:space="0" w:color="auto"/>
            <w:right w:val="none" w:sz="0" w:space="0" w:color="auto"/>
          </w:divBdr>
          <w:divsChild>
            <w:div w:id="546796739">
              <w:marLeft w:val="0"/>
              <w:marRight w:val="0"/>
              <w:marTop w:val="0"/>
              <w:marBottom w:val="0"/>
              <w:divBdr>
                <w:top w:val="none" w:sz="0" w:space="0" w:color="auto"/>
                <w:left w:val="none" w:sz="0" w:space="0" w:color="auto"/>
                <w:bottom w:val="none" w:sz="0" w:space="0" w:color="auto"/>
                <w:right w:val="none" w:sz="0" w:space="0" w:color="auto"/>
              </w:divBdr>
            </w:div>
          </w:divsChild>
        </w:div>
        <w:div w:id="421223738">
          <w:marLeft w:val="0"/>
          <w:marRight w:val="0"/>
          <w:marTop w:val="0"/>
          <w:marBottom w:val="0"/>
          <w:divBdr>
            <w:top w:val="none" w:sz="0" w:space="0" w:color="auto"/>
            <w:left w:val="none" w:sz="0" w:space="0" w:color="auto"/>
            <w:bottom w:val="none" w:sz="0" w:space="0" w:color="auto"/>
            <w:right w:val="none" w:sz="0" w:space="0" w:color="auto"/>
          </w:divBdr>
          <w:divsChild>
            <w:div w:id="919949472">
              <w:marLeft w:val="0"/>
              <w:marRight w:val="0"/>
              <w:marTop w:val="0"/>
              <w:marBottom w:val="0"/>
              <w:divBdr>
                <w:top w:val="none" w:sz="0" w:space="0" w:color="auto"/>
                <w:left w:val="none" w:sz="0" w:space="0" w:color="auto"/>
                <w:bottom w:val="none" w:sz="0" w:space="0" w:color="auto"/>
                <w:right w:val="none" w:sz="0" w:space="0" w:color="auto"/>
              </w:divBdr>
            </w:div>
          </w:divsChild>
        </w:div>
        <w:div w:id="545723511">
          <w:marLeft w:val="0"/>
          <w:marRight w:val="0"/>
          <w:marTop w:val="0"/>
          <w:marBottom w:val="0"/>
          <w:divBdr>
            <w:top w:val="none" w:sz="0" w:space="0" w:color="auto"/>
            <w:left w:val="none" w:sz="0" w:space="0" w:color="auto"/>
            <w:bottom w:val="none" w:sz="0" w:space="0" w:color="auto"/>
            <w:right w:val="none" w:sz="0" w:space="0" w:color="auto"/>
          </w:divBdr>
          <w:divsChild>
            <w:div w:id="855071708">
              <w:marLeft w:val="0"/>
              <w:marRight w:val="0"/>
              <w:marTop w:val="0"/>
              <w:marBottom w:val="0"/>
              <w:divBdr>
                <w:top w:val="none" w:sz="0" w:space="0" w:color="auto"/>
                <w:left w:val="none" w:sz="0" w:space="0" w:color="auto"/>
                <w:bottom w:val="none" w:sz="0" w:space="0" w:color="auto"/>
                <w:right w:val="none" w:sz="0" w:space="0" w:color="auto"/>
              </w:divBdr>
            </w:div>
          </w:divsChild>
        </w:div>
        <w:div w:id="673383950">
          <w:marLeft w:val="0"/>
          <w:marRight w:val="0"/>
          <w:marTop w:val="0"/>
          <w:marBottom w:val="0"/>
          <w:divBdr>
            <w:top w:val="none" w:sz="0" w:space="0" w:color="auto"/>
            <w:left w:val="none" w:sz="0" w:space="0" w:color="auto"/>
            <w:bottom w:val="none" w:sz="0" w:space="0" w:color="auto"/>
            <w:right w:val="none" w:sz="0" w:space="0" w:color="auto"/>
          </w:divBdr>
          <w:divsChild>
            <w:div w:id="1306348704">
              <w:marLeft w:val="0"/>
              <w:marRight w:val="0"/>
              <w:marTop w:val="0"/>
              <w:marBottom w:val="0"/>
              <w:divBdr>
                <w:top w:val="none" w:sz="0" w:space="0" w:color="auto"/>
                <w:left w:val="none" w:sz="0" w:space="0" w:color="auto"/>
                <w:bottom w:val="none" w:sz="0" w:space="0" w:color="auto"/>
                <w:right w:val="none" w:sz="0" w:space="0" w:color="auto"/>
              </w:divBdr>
            </w:div>
          </w:divsChild>
        </w:div>
        <w:div w:id="677385146">
          <w:marLeft w:val="0"/>
          <w:marRight w:val="0"/>
          <w:marTop w:val="0"/>
          <w:marBottom w:val="0"/>
          <w:divBdr>
            <w:top w:val="none" w:sz="0" w:space="0" w:color="auto"/>
            <w:left w:val="none" w:sz="0" w:space="0" w:color="auto"/>
            <w:bottom w:val="none" w:sz="0" w:space="0" w:color="auto"/>
            <w:right w:val="none" w:sz="0" w:space="0" w:color="auto"/>
          </w:divBdr>
          <w:divsChild>
            <w:div w:id="679085374">
              <w:marLeft w:val="0"/>
              <w:marRight w:val="0"/>
              <w:marTop w:val="0"/>
              <w:marBottom w:val="0"/>
              <w:divBdr>
                <w:top w:val="none" w:sz="0" w:space="0" w:color="auto"/>
                <w:left w:val="none" w:sz="0" w:space="0" w:color="auto"/>
                <w:bottom w:val="none" w:sz="0" w:space="0" w:color="auto"/>
                <w:right w:val="none" w:sz="0" w:space="0" w:color="auto"/>
              </w:divBdr>
            </w:div>
          </w:divsChild>
        </w:div>
        <w:div w:id="681980616">
          <w:marLeft w:val="0"/>
          <w:marRight w:val="0"/>
          <w:marTop w:val="0"/>
          <w:marBottom w:val="0"/>
          <w:divBdr>
            <w:top w:val="none" w:sz="0" w:space="0" w:color="auto"/>
            <w:left w:val="none" w:sz="0" w:space="0" w:color="auto"/>
            <w:bottom w:val="none" w:sz="0" w:space="0" w:color="auto"/>
            <w:right w:val="none" w:sz="0" w:space="0" w:color="auto"/>
          </w:divBdr>
          <w:divsChild>
            <w:div w:id="711735194">
              <w:marLeft w:val="0"/>
              <w:marRight w:val="0"/>
              <w:marTop w:val="0"/>
              <w:marBottom w:val="0"/>
              <w:divBdr>
                <w:top w:val="none" w:sz="0" w:space="0" w:color="auto"/>
                <w:left w:val="none" w:sz="0" w:space="0" w:color="auto"/>
                <w:bottom w:val="none" w:sz="0" w:space="0" w:color="auto"/>
                <w:right w:val="none" w:sz="0" w:space="0" w:color="auto"/>
              </w:divBdr>
            </w:div>
          </w:divsChild>
        </w:div>
        <w:div w:id="683288526">
          <w:marLeft w:val="0"/>
          <w:marRight w:val="0"/>
          <w:marTop w:val="0"/>
          <w:marBottom w:val="0"/>
          <w:divBdr>
            <w:top w:val="none" w:sz="0" w:space="0" w:color="auto"/>
            <w:left w:val="none" w:sz="0" w:space="0" w:color="auto"/>
            <w:bottom w:val="none" w:sz="0" w:space="0" w:color="auto"/>
            <w:right w:val="none" w:sz="0" w:space="0" w:color="auto"/>
          </w:divBdr>
          <w:divsChild>
            <w:div w:id="1874341759">
              <w:marLeft w:val="0"/>
              <w:marRight w:val="0"/>
              <w:marTop w:val="0"/>
              <w:marBottom w:val="0"/>
              <w:divBdr>
                <w:top w:val="none" w:sz="0" w:space="0" w:color="auto"/>
                <w:left w:val="none" w:sz="0" w:space="0" w:color="auto"/>
                <w:bottom w:val="none" w:sz="0" w:space="0" w:color="auto"/>
                <w:right w:val="none" w:sz="0" w:space="0" w:color="auto"/>
              </w:divBdr>
            </w:div>
          </w:divsChild>
        </w:div>
        <w:div w:id="717434766">
          <w:marLeft w:val="0"/>
          <w:marRight w:val="0"/>
          <w:marTop w:val="0"/>
          <w:marBottom w:val="0"/>
          <w:divBdr>
            <w:top w:val="none" w:sz="0" w:space="0" w:color="auto"/>
            <w:left w:val="none" w:sz="0" w:space="0" w:color="auto"/>
            <w:bottom w:val="none" w:sz="0" w:space="0" w:color="auto"/>
            <w:right w:val="none" w:sz="0" w:space="0" w:color="auto"/>
          </w:divBdr>
          <w:divsChild>
            <w:div w:id="790053200">
              <w:marLeft w:val="0"/>
              <w:marRight w:val="0"/>
              <w:marTop w:val="0"/>
              <w:marBottom w:val="0"/>
              <w:divBdr>
                <w:top w:val="none" w:sz="0" w:space="0" w:color="auto"/>
                <w:left w:val="none" w:sz="0" w:space="0" w:color="auto"/>
                <w:bottom w:val="none" w:sz="0" w:space="0" w:color="auto"/>
                <w:right w:val="none" w:sz="0" w:space="0" w:color="auto"/>
              </w:divBdr>
            </w:div>
          </w:divsChild>
        </w:div>
        <w:div w:id="769280833">
          <w:marLeft w:val="0"/>
          <w:marRight w:val="0"/>
          <w:marTop w:val="0"/>
          <w:marBottom w:val="0"/>
          <w:divBdr>
            <w:top w:val="none" w:sz="0" w:space="0" w:color="auto"/>
            <w:left w:val="none" w:sz="0" w:space="0" w:color="auto"/>
            <w:bottom w:val="none" w:sz="0" w:space="0" w:color="auto"/>
            <w:right w:val="none" w:sz="0" w:space="0" w:color="auto"/>
          </w:divBdr>
          <w:divsChild>
            <w:div w:id="1212955997">
              <w:marLeft w:val="0"/>
              <w:marRight w:val="0"/>
              <w:marTop w:val="0"/>
              <w:marBottom w:val="0"/>
              <w:divBdr>
                <w:top w:val="none" w:sz="0" w:space="0" w:color="auto"/>
                <w:left w:val="none" w:sz="0" w:space="0" w:color="auto"/>
                <w:bottom w:val="none" w:sz="0" w:space="0" w:color="auto"/>
                <w:right w:val="none" w:sz="0" w:space="0" w:color="auto"/>
              </w:divBdr>
            </w:div>
          </w:divsChild>
        </w:div>
        <w:div w:id="797453624">
          <w:marLeft w:val="0"/>
          <w:marRight w:val="0"/>
          <w:marTop w:val="0"/>
          <w:marBottom w:val="0"/>
          <w:divBdr>
            <w:top w:val="none" w:sz="0" w:space="0" w:color="auto"/>
            <w:left w:val="none" w:sz="0" w:space="0" w:color="auto"/>
            <w:bottom w:val="none" w:sz="0" w:space="0" w:color="auto"/>
            <w:right w:val="none" w:sz="0" w:space="0" w:color="auto"/>
          </w:divBdr>
          <w:divsChild>
            <w:div w:id="474765616">
              <w:marLeft w:val="0"/>
              <w:marRight w:val="0"/>
              <w:marTop w:val="0"/>
              <w:marBottom w:val="0"/>
              <w:divBdr>
                <w:top w:val="none" w:sz="0" w:space="0" w:color="auto"/>
                <w:left w:val="none" w:sz="0" w:space="0" w:color="auto"/>
                <w:bottom w:val="none" w:sz="0" w:space="0" w:color="auto"/>
                <w:right w:val="none" w:sz="0" w:space="0" w:color="auto"/>
              </w:divBdr>
            </w:div>
          </w:divsChild>
        </w:div>
        <w:div w:id="850997133">
          <w:marLeft w:val="0"/>
          <w:marRight w:val="0"/>
          <w:marTop w:val="0"/>
          <w:marBottom w:val="0"/>
          <w:divBdr>
            <w:top w:val="none" w:sz="0" w:space="0" w:color="auto"/>
            <w:left w:val="none" w:sz="0" w:space="0" w:color="auto"/>
            <w:bottom w:val="none" w:sz="0" w:space="0" w:color="auto"/>
            <w:right w:val="none" w:sz="0" w:space="0" w:color="auto"/>
          </w:divBdr>
          <w:divsChild>
            <w:div w:id="438530317">
              <w:marLeft w:val="0"/>
              <w:marRight w:val="0"/>
              <w:marTop w:val="0"/>
              <w:marBottom w:val="0"/>
              <w:divBdr>
                <w:top w:val="none" w:sz="0" w:space="0" w:color="auto"/>
                <w:left w:val="none" w:sz="0" w:space="0" w:color="auto"/>
                <w:bottom w:val="none" w:sz="0" w:space="0" w:color="auto"/>
                <w:right w:val="none" w:sz="0" w:space="0" w:color="auto"/>
              </w:divBdr>
            </w:div>
          </w:divsChild>
        </w:div>
        <w:div w:id="912466667">
          <w:marLeft w:val="0"/>
          <w:marRight w:val="0"/>
          <w:marTop w:val="0"/>
          <w:marBottom w:val="0"/>
          <w:divBdr>
            <w:top w:val="none" w:sz="0" w:space="0" w:color="auto"/>
            <w:left w:val="none" w:sz="0" w:space="0" w:color="auto"/>
            <w:bottom w:val="none" w:sz="0" w:space="0" w:color="auto"/>
            <w:right w:val="none" w:sz="0" w:space="0" w:color="auto"/>
          </w:divBdr>
          <w:divsChild>
            <w:div w:id="1606033198">
              <w:marLeft w:val="0"/>
              <w:marRight w:val="0"/>
              <w:marTop w:val="0"/>
              <w:marBottom w:val="0"/>
              <w:divBdr>
                <w:top w:val="none" w:sz="0" w:space="0" w:color="auto"/>
                <w:left w:val="none" w:sz="0" w:space="0" w:color="auto"/>
                <w:bottom w:val="none" w:sz="0" w:space="0" w:color="auto"/>
                <w:right w:val="none" w:sz="0" w:space="0" w:color="auto"/>
              </w:divBdr>
            </w:div>
          </w:divsChild>
        </w:div>
        <w:div w:id="1151092322">
          <w:marLeft w:val="0"/>
          <w:marRight w:val="0"/>
          <w:marTop w:val="0"/>
          <w:marBottom w:val="0"/>
          <w:divBdr>
            <w:top w:val="none" w:sz="0" w:space="0" w:color="auto"/>
            <w:left w:val="none" w:sz="0" w:space="0" w:color="auto"/>
            <w:bottom w:val="none" w:sz="0" w:space="0" w:color="auto"/>
            <w:right w:val="none" w:sz="0" w:space="0" w:color="auto"/>
          </w:divBdr>
          <w:divsChild>
            <w:div w:id="1206717322">
              <w:marLeft w:val="0"/>
              <w:marRight w:val="0"/>
              <w:marTop w:val="0"/>
              <w:marBottom w:val="0"/>
              <w:divBdr>
                <w:top w:val="none" w:sz="0" w:space="0" w:color="auto"/>
                <w:left w:val="none" w:sz="0" w:space="0" w:color="auto"/>
                <w:bottom w:val="none" w:sz="0" w:space="0" w:color="auto"/>
                <w:right w:val="none" w:sz="0" w:space="0" w:color="auto"/>
              </w:divBdr>
            </w:div>
          </w:divsChild>
        </w:div>
        <w:div w:id="1367218265">
          <w:marLeft w:val="0"/>
          <w:marRight w:val="0"/>
          <w:marTop w:val="0"/>
          <w:marBottom w:val="0"/>
          <w:divBdr>
            <w:top w:val="none" w:sz="0" w:space="0" w:color="auto"/>
            <w:left w:val="none" w:sz="0" w:space="0" w:color="auto"/>
            <w:bottom w:val="none" w:sz="0" w:space="0" w:color="auto"/>
            <w:right w:val="none" w:sz="0" w:space="0" w:color="auto"/>
          </w:divBdr>
          <w:divsChild>
            <w:div w:id="2136556084">
              <w:marLeft w:val="0"/>
              <w:marRight w:val="0"/>
              <w:marTop w:val="0"/>
              <w:marBottom w:val="0"/>
              <w:divBdr>
                <w:top w:val="none" w:sz="0" w:space="0" w:color="auto"/>
                <w:left w:val="none" w:sz="0" w:space="0" w:color="auto"/>
                <w:bottom w:val="none" w:sz="0" w:space="0" w:color="auto"/>
                <w:right w:val="none" w:sz="0" w:space="0" w:color="auto"/>
              </w:divBdr>
            </w:div>
          </w:divsChild>
        </w:div>
        <w:div w:id="1442217747">
          <w:marLeft w:val="0"/>
          <w:marRight w:val="0"/>
          <w:marTop w:val="0"/>
          <w:marBottom w:val="0"/>
          <w:divBdr>
            <w:top w:val="none" w:sz="0" w:space="0" w:color="auto"/>
            <w:left w:val="none" w:sz="0" w:space="0" w:color="auto"/>
            <w:bottom w:val="none" w:sz="0" w:space="0" w:color="auto"/>
            <w:right w:val="none" w:sz="0" w:space="0" w:color="auto"/>
          </w:divBdr>
          <w:divsChild>
            <w:div w:id="161745025">
              <w:marLeft w:val="0"/>
              <w:marRight w:val="0"/>
              <w:marTop w:val="0"/>
              <w:marBottom w:val="0"/>
              <w:divBdr>
                <w:top w:val="none" w:sz="0" w:space="0" w:color="auto"/>
                <w:left w:val="none" w:sz="0" w:space="0" w:color="auto"/>
                <w:bottom w:val="none" w:sz="0" w:space="0" w:color="auto"/>
                <w:right w:val="none" w:sz="0" w:space="0" w:color="auto"/>
              </w:divBdr>
            </w:div>
          </w:divsChild>
        </w:div>
        <w:div w:id="1476531488">
          <w:marLeft w:val="0"/>
          <w:marRight w:val="0"/>
          <w:marTop w:val="0"/>
          <w:marBottom w:val="0"/>
          <w:divBdr>
            <w:top w:val="none" w:sz="0" w:space="0" w:color="auto"/>
            <w:left w:val="none" w:sz="0" w:space="0" w:color="auto"/>
            <w:bottom w:val="none" w:sz="0" w:space="0" w:color="auto"/>
            <w:right w:val="none" w:sz="0" w:space="0" w:color="auto"/>
          </w:divBdr>
          <w:divsChild>
            <w:div w:id="1305740914">
              <w:marLeft w:val="0"/>
              <w:marRight w:val="0"/>
              <w:marTop w:val="0"/>
              <w:marBottom w:val="0"/>
              <w:divBdr>
                <w:top w:val="none" w:sz="0" w:space="0" w:color="auto"/>
                <w:left w:val="none" w:sz="0" w:space="0" w:color="auto"/>
                <w:bottom w:val="none" w:sz="0" w:space="0" w:color="auto"/>
                <w:right w:val="none" w:sz="0" w:space="0" w:color="auto"/>
              </w:divBdr>
            </w:div>
          </w:divsChild>
        </w:div>
        <w:div w:id="1840071847">
          <w:marLeft w:val="0"/>
          <w:marRight w:val="0"/>
          <w:marTop w:val="0"/>
          <w:marBottom w:val="0"/>
          <w:divBdr>
            <w:top w:val="none" w:sz="0" w:space="0" w:color="auto"/>
            <w:left w:val="none" w:sz="0" w:space="0" w:color="auto"/>
            <w:bottom w:val="none" w:sz="0" w:space="0" w:color="auto"/>
            <w:right w:val="none" w:sz="0" w:space="0" w:color="auto"/>
          </w:divBdr>
          <w:divsChild>
            <w:div w:id="738668824">
              <w:marLeft w:val="0"/>
              <w:marRight w:val="0"/>
              <w:marTop w:val="0"/>
              <w:marBottom w:val="0"/>
              <w:divBdr>
                <w:top w:val="none" w:sz="0" w:space="0" w:color="auto"/>
                <w:left w:val="none" w:sz="0" w:space="0" w:color="auto"/>
                <w:bottom w:val="none" w:sz="0" w:space="0" w:color="auto"/>
                <w:right w:val="none" w:sz="0" w:space="0" w:color="auto"/>
              </w:divBdr>
            </w:div>
          </w:divsChild>
        </w:div>
        <w:div w:id="1927686212">
          <w:marLeft w:val="0"/>
          <w:marRight w:val="0"/>
          <w:marTop w:val="0"/>
          <w:marBottom w:val="0"/>
          <w:divBdr>
            <w:top w:val="none" w:sz="0" w:space="0" w:color="auto"/>
            <w:left w:val="none" w:sz="0" w:space="0" w:color="auto"/>
            <w:bottom w:val="none" w:sz="0" w:space="0" w:color="auto"/>
            <w:right w:val="none" w:sz="0" w:space="0" w:color="auto"/>
          </w:divBdr>
          <w:divsChild>
            <w:div w:id="733431429">
              <w:marLeft w:val="0"/>
              <w:marRight w:val="0"/>
              <w:marTop w:val="0"/>
              <w:marBottom w:val="0"/>
              <w:divBdr>
                <w:top w:val="none" w:sz="0" w:space="0" w:color="auto"/>
                <w:left w:val="none" w:sz="0" w:space="0" w:color="auto"/>
                <w:bottom w:val="none" w:sz="0" w:space="0" w:color="auto"/>
                <w:right w:val="none" w:sz="0" w:space="0" w:color="auto"/>
              </w:divBdr>
            </w:div>
          </w:divsChild>
        </w:div>
        <w:div w:id="2001081156">
          <w:marLeft w:val="0"/>
          <w:marRight w:val="0"/>
          <w:marTop w:val="0"/>
          <w:marBottom w:val="0"/>
          <w:divBdr>
            <w:top w:val="none" w:sz="0" w:space="0" w:color="auto"/>
            <w:left w:val="none" w:sz="0" w:space="0" w:color="auto"/>
            <w:bottom w:val="none" w:sz="0" w:space="0" w:color="auto"/>
            <w:right w:val="none" w:sz="0" w:space="0" w:color="auto"/>
          </w:divBdr>
          <w:divsChild>
            <w:div w:id="337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88475">
      <w:bodyDiv w:val="1"/>
      <w:marLeft w:val="0"/>
      <w:marRight w:val="0"/>
      <w:marTop w:val="0"/>
      <w:marBottom w:val="0"/>
      <w:divBdr>
        <w:top w:val="none" w:sz="0" w:space="0" w:color="auto"/>
        <w:left w:val="none" w:sz="0" w:space="0" w:color="auto"/>
        <w:bottom w:val="none" w:sz="0" w:space="0" w:color="auto"/>
        <w:right w:val="none" w:sz="0" w:space="0" w:color="auto"/>
      </w:divBdr>
      <w:divsChild>
        <w:div w:id="205796819">
          <w:marLeft w:val="0"/>
          <w:marRight w:val="0"/>
          <w:marTop w:val="0"/>
          <w:marBottom w:val="0"/>
          <w:divBdr>
            <w:top w:val="none" w:sz="0" w:space="0" w:color="auto"/>
            <w:left w:val="none" w:sz="0" w:space="0" w:color="auto"/>
            <w:bottom w:val="none" w:sz="0" w:space="0" w:color="auto"/>
            <w:right w:val="none" w:sz="0" w:space="0" w:color="auto"/>
          </w:divBdr>
        </w:div>
        <w:div w:id="272788953">
          <w:marLeft w:val="0"/>
          <w:marRight w:val="0"/>
          <w:marTop w:val="0"/>
          <w:marBottom w:val="0"/>
          <w:divBdr>
            <w:top w:val="none" w:sz="0" w:space="0" w:color="auto"/>
            <w:left w:val="none" w:sz="0" w:space="0" w:color="auto"/>
            <w:bottom w:val="none" w:sz="0" w:space="0" w:color="auto"/>
            <w:right w:val="none" w:sz="0" w:space="0" w:color="auto"/>
          </w:divBdr>
        </w:div>
        <w:div w:id="423108469">
          <w:marLeft w:val="0"/>
          <w:marRight w:val="0"/>
          <w:marTop w:val="0"/>
          <w:marBottom w:val="0"/>
          <w:divBdr>
            <w:top w:val="none" w:sz="0" w:space="0" w:color="auto"/>
            <w:left w:val="none" w:sz="0" w:space="0" w:color="auto"/>
            <w:bottom w:val="none" w:sz="0" w:space="0" w:color="auto"/>
            <w:right w:val="none" w:sz="0" w:space="0" w:color="auto"/>
          </w:divBdr>
        </w:div>
        <w:div w:id="621500286">
          <w:marLeft w:val="0"/>
          <w:marRight w:val="0"/>
          <w:marTop w:val="0"/>
          <w:marBottom w:val="0"/>
          <w:divBdr>
            <w:top w:val="none" w:sz="0" w:space="0" w:color="auto"/>
            <w:left w:val="none" w:sz="0" w:space="0" w:color="auto"/>
            <w:bottom w:val="none" w:sz="0" w:space="0" w:color="auto"/>
            <w:right w:val="none" w:sz="0" w:space="0" w:color="auto"/>
          </w:divBdr>
        </w:div>
        <w:div w:id="1114978448">
          <w:marLeft w:val="0"/>
          <w:marRight w:val="0"/>
          <w:marTop w:val="0"/>
          <w:marBottom w:val="0"/>
          <w:divBdr>
            <w:top w:val="none" w:sz="0" w:space="0" w:color="auto"/>
            <w:left w:val="none" w:sz="0" w:space="0" w:color="auto"/>
            <w:bottom w:val="none" w:sz="0" w:space="0" w:color="auto"/>
            <w:right w:val="none" w:sz="0" w:space="0" w:color="auto"/>
          </w:divBdr>
        </w:div>
        <w:div w:id="1842501671">
          <w:marLeft w:val="0"/>
          <w:marRight w:val="0"/>
          <w:marTop w:val="0"/>
          <w:marBottom w:val="0"/>
          <w:divBdr>
            <w:top w:val="none" w:sz="0" w:space="0" w:color="auto"/>
            <w:left w:val="none" w:sz="0" w:space="0" w:color="auto"/>
            <w:bottom w:val="none" w:sz="0" w:space="0" w:color="auto"/>
            <w:right w:val="none" w:sz="0" w:space="0" w:color="auto"/>
          </w:divBdr>
        </w:div>
        <w:div w:id="1985692024">
          <w:marLeft w:val="0"/>
          <w:marRight w:val="0"/>
          <w:marTop w:val="0"/>
          <w:marBottom w:val="0"/>
          <w:divBdr>
            <w:top w:val="none" w:sz="0" w:space="0" w:color="auto"/>
            <w:left w:val="none" w:sz="0" w:space="0" w:color="auto"/>
            <w:bottom w:val="none" w:sz="0" w:space="0" w:color="auto"/>
            <w:right w:val="none" w:sz="0" w:space="0" w:color="auto"/>
          </w:divBdr>
        </w:div>
        <w:div w:id="2026394513">
          <w:marLeft w:val="0"/>
          <w:marRight w:val="0"/>
          <w:marTop w:val="0"/>
          <w:marBottom w:val="0"/>
          <w:divBdr>
            <w:top w:val="none" w:sz="0" w:space="0" w:color="auto"/>
            <w:left w:val="none" w:sz="0" w:space="0" w:color="auto"/>
            <w:bottom w:val="none" w:sz="0" w:space="0" w:color="auto"/>
            <w:right w:val="none" w:sz="0" w:space="0" w:color="auto"/>
          </w:divBdr>
        </w:div>
        <w:div w:id="2099447674">
          <w:marLeft w:val="0"/>
          <w:marRight w:val="0"/>
          <w:marTop w:val="0"/>
          <w:marBottom w:val="0"/>
          <w:divBdr>
            <w:top w:val="none" w:sz="0" w:space="0" w:color="auto"/>
            <w:left w:val="none" w:sz="0" w:space="0" w:color="auto"/>
            <w:bottom w:val="none" w:sz="0" w:space="0" w:color="auto"/>
            <w:right w:val="none" w:sz="0" w:space="0" w:color="auto"/>
          </w:divBdr>
        </w:div>
      </w:divsChild>
    </w:div>
    <w:div w:id="1888058101">
      <w:bodyDiv w:val="1"/>
      <w:marLeft w:val="0"/>
      <w:marRight w:val="0"/>
      <w:marTop w:val="0"/>
      <w:marBottom w:val="0"/>
      <w:divBdr>
        <w:top w:val="none" w:sz="0" w:space="0" w:color="auto"/>
        <w:left w:val="none" w:sz="0" w:space="0" w:color="auto"/>
        <w:bottom w:val="none" w:sz="0" w:space="0" w:color="auto"/>
        <w:right w:val="none" w:sz="0" w:space="0" w:color="auto"/>
      </w:divBdr>
      <w:divsChild>
        <w:div w:id="351804728">
          <w:marLeft w:val="0"/>
          <w:marRight w:val="0"/>
          <w:marTop w:val="0"/>
          <w:marBottom w:val="0"/>
          <w:divBdr>
            <w:top w:val="none" w:sz="0" w:space="0" w:color="auto"/>
            <w:left w:val="none" w:sz="0" w:space="0" w:color="auto"/>
            <w:bottom w:val="none" w:sz="0" w:space="0" w:color="auto"/>
            <w:right w:val="none" w:sz="0" w:space="0" w:color="auto"/>
          </w:divBdr>
        </w:div>
        <w:div w:id="1092970986">
          <w:marLeft w:val="0"/>
          <w:marRight w:val="0"/>
          <w:marTop w:val="0"/>
          <w:marBottom w:val="0"/>
          <w:divBdr>
            <w:top w:val="none" w:sz="0" w:space="0" w:color="auto"/>
            <w:left w:val="none" w:sz="0" w:space="0" w:color="auto"/>
            <w:bottom w:val="none" w:sz="0" w:space="0" w:color="auto"/>
            <w:right w:val="none" w:sz="0" w:space="0" w:color="auto"/>
          </w:divBdr>
        </w:div>
        <w:div w:id="1126200460">
          <w:marLeft w:val="0"/>
          <w:marRight w:val="0"/>
          <w:marTop w:val="0"/>
          <w:marBottom w:val="0"/>
          <w:divBdr>
            <w:top w:val="none" w:sz="0" w:space="0" w:color="auto"/>
            <w:left w:val="none" w:sz="0" w:space="0" w:color="auto"/>
            <w:bottom w:val="none" w:sz="0" w:space="0" w:color="auto"/>
            <w:right w:val="none" w:sz="0" w:space="0" w:color="auto"/>
          </w:divBdr>
        </w:div>
        <w:div w:id="1342004212">
          <w:marLeft w:val="0"/>
          <w:marRight w:val="0"/>
          <w:marTop w:val="0"/>
          <w:marBottom w:val="0"/>
          <w:divBdr>
            <w:top w:val="none" w:sz="0" w:space="0" w:color="auto"/>
            <w:left w:val="none" w:sz="0" w:space="0" w:color="auto"/>
            <w:bottom w:val="none" w:sz="0" w:space="0" w:color="auto"/>
            <w:right w:val="none" w:sz="0" w:space="0" w:color="auto"/>
          </w:divBdr>
        </w:div>
        <w:div w:id="1466045245">
          <w:marLeft w:val="0"/>
          <w:marRight w:val="0"/>
          <w:marTop w:val="0"/>
          <w:marBottom w:val="0"/>
          <w:divBdr>
            <w:top w:val="none" w:sz="0" w:space="0" w:color="auto"/>
            <w:left w:val="none" w:sz="0" w:space="0" w:color="auto"/>
            <w:bottom w:val="none" w:sz="0" w:space="0" w:color="auto"/>
            <w:right w:val="none" w:sz="0" w:space="0" w:color="auto"/>
          </w:divBdr>
        </w:div>
      </w:divsChild>
    </w:div>
    <w:div w:id="1907300310">
      <w:bodyDiv w:val="1"/>
      <w:marLeft w:val="0"/>
      <w:marRight w:val="0"/>
      <w:marTop w:val="0"/>
      <w:marBottom w:val="0"/>
      <w:divBdr>
        <w:top w:val="none" w:sz="0" w:space="0" w:color="auto"/>
        <w:left w:val="none" w:sz="0" w:space="0" w:color="auto"/>
        <w:bottom w:val="none" w:sz="0" w:space="0" w:color="auto"/>
        <w:right w:val="none" w:sz="0" w:space="0" w:color="auto"/>
      </w:divBdr>
      <w:divsChild>
        <w:div w:id="641540880">
          <w:marLeft w:val="0"/>
          <w:marRight w:val="0"/>
          <w:marTop w:val="0"/>
          <w:marBottom w:val="0"/>
          <w:divBdr>
            <w:top w:val="none" w:sz="0" w:space="0" w:color="auto"/>
            <w:left w:val="none" w:sz="0" w:space="0" w:color="auto"/>
            <w:bottom w:val="none" w:sz="0" w:space="0" w:color="auto"/>
            <w:right w:val="none" w:sz="0" w:space="0" w:color="auto"/>
          </w:divBdr>
          <w:divsChild>
            <w:div w:id="56784028">
              <w:marLeft w:val="0"/>
              <w:marRight w:val="0"/>
              <w:marTop w:val="0"/>
              <w:marBottom w:val="0"/>
              <w:divBdr>
                <w:top w:val="none" w:sz="0" w:space="0" w:color="auto"/>
                <w:left w:val="none" w:sz="0" w:space="0" w:color="auto"/>
                <w:bottom w:val="none" w:sz="0" w:space="0" w:color="auto"/>
                <w:right w:val="none" w:sz="0" w:space="0" w:color="auto"/>
              </w:divBdr>
            </w:div>
            <w:div w:id="78648994">
              <w:marLeft w:val="0"/>
              <w:marRight w:val="0"/>
              <w:marTop w:val="0"/>
              <w:marBottom w:val="0"/>
              <w:divBdr>
                <w:top w:val="none" w:sz="0" w:space="0" w:color="auto"/>
                <w:left w:val="none" w:sz="0" w:space="0" w:color="auto"/>
                <w:bottom w:val="none" w:sz="0" w:space="0" w:color="auto"/>
                <w:right w:val="none" w:sz="0" w:space="0" w:color="auto"/>
              </w:divBdr>
            </w:div>
            <w:div w:id="218715081">
              <w:marLeft w:val="0"/>
              <w:marRight w:val="0"/>
              <w:marTop w:val="0"/>
              <w:marBottom w:val="0"/>
              <w:divBdr>
                <w:top w:val="none" w:sz="0" w:space="0" w:color="auto"/>
                <w:left w:val="none" w:sz="0" w:space="0" w:color="auto"/>
                <w:bottom w:val="none" w:sz="0" w:space="0" w:color="auto"/>
                <w:right w:val="none" w:sz="0" w:space="0" w:color="auto"/>
              </w:divBdr>
            </w:div>
            <w:div w:id="328335578">
              <w:marLeft w:val="0"/>
              <w:marRight w:val="0"/>
              <w:marTop w:val="0"/>
              <w:marBottom w:val="0"/>
              <w:divBdr>
                <w:top w:val="none" w:sz="0" w:space="0" w:color="auto"/>
                <w:left w:val="none" w:sz="0" w:space="0" w:color="auto"/>
                <w:bottom w:val="none" w:sz="0" w:space="0" w:color="auto"/>
                <w:right w:val="none" w:sz="0" w:space="0" w:color="auto"/>
              </w:divBdr>
            </w:div>
            <w:div w:id="356200952">
              <w:marLeft w:val="0"/>
              <w:marRight w:val="0"/>
              <w:marTop w:val="0"/>
              <w:marBottom w:val="0"/>
              <w:divBdr>
                <w:top w:val="none" w:sz="0" w:space="0" w:color="auto"/>
                <w:left w:val="none" w:sz="0" w:space="0" w:color="auto"/>
                <w:bottom w:val="none" w:sz="0" w:space="0" w:color="auto"/>
                <w:right w:val="none" w:sz="0" w:space="0" w:color="auto"/>
              </w:divBdr>
            </w:div>
            <w:div w:id="400829933">
              <w:marLeft w:val="0"/>
              <w:marRight w:val="0"/>
              <w:marTop w:val="0"/>
              <w:marBottom w:val="0"/>
              <w:divBdr>
                <w:top w:val="none" w:sz="0" w:space="0" w:color="auto"/>
                <w:left w:val="none" w:sz="0" w:space="0" w:color="auto"/>
                <w:bottom w:val="none" w:sz="0" w:space="0" w:color="auto"/>
                <w:right w:val="none" w:sz="0" w:space="0" w:color="auto"/>
              </w:divBdr>
            </w:div>
            <w:div w:id="500582022">
              <w:marLeft w:val="0"/>
              <w:marRight w:val="0"/>
              <w:marTop w:val="0"/>
              <w:marBottom w:val="0"/>
              <w:divBdr>
                <w:top w:val="none" w:sz="0" w:space="0" w:color="auto"/>
                <w:left w:val="none" w:sz="0" w:space="0" w:color="auto"/>
                <w:bottom w:val="none" w:sz="0" w:space="0" w:color="auto"/>
                <w:right w:val="none" w:sz="0" w:space="0" w:color="auto"/>
              </w:divBdr>
            </w:div>
            <w:div w:id="566571154">
              <w:marLeft w:val="0"/>
              <w:marRight w:val="0"/>
              <w:marTop w:val="0"/>
              <w:marBottom w:val="0"/>
              <w:divBdr>
                <w:top w:val="none" w:sz="0" w:space="0" w:color="auto"/>
                <w:left w:val="none" w:sz="0" w:space="0" w:color="auto"/>
                <w:bottom w:val="none" w:sz="0" w:space="0" w:color="auto"/>
                <w:right w:val="none" w:sz="0" w:space="0" w:color="auto"/>
              </w:divBdr>
            </w:div>
            <w:div w:id="605694219">
              <w:marLeft w:val="0"/>
              <w:marRight w:val="0"/>
              <w:marTop w:val="0"/>
              <w:marBottom w:val="0"/>
              <w:divBdr>
                <w:top w:val="none" w:sz="0" w:space="0" w:color="auto"/>
                <w:left w:val="none" w:sz="0" w:space="0" w:color="auto"/>
                <w:bottom w:val="none" w:sz="0" w:space="0" w:color="auto"/>
                <w:right w:val="none" w:sz="0" w:space="0" w:color="auto"/>
              </w:divBdr>
            </w:div>
            <w:div w:id="713622425">
              <w:marLeft w:val="0"/>
              <w:marRight w:val="0"/>
              <w:marTop w:val="0"/>
              <w:marBottom w:val="0"/>
              <w:divBdr>
                <w:top w:val="none" w:sz="0" w:space="0" w:color="auto"/>
                <w:left w:val="none" w:sz="0" w:space="0" w:color="auto"/>
                <w:bottom w:val="none" w:sz="0" w:space="0" w:color="auto"/>
                <w:right w:val="none" w:sz="0" w:space="0" w:color="auto"/>
              </w:divBdr>
            </w:div>
            <w:div w:id="1016275612">
              <w:marLeft w:val="0"/>
              <w:marRight w:val="0"/>
              <w:marTop w:val="0"/>
              <w:marBottom w:val="0"/>
              <w:divBdr>
                <w:top w:val="none" w:sz="0" w:space="0" w:color="auto"/>
                <w:left w:val="none" w:sz="0" w:space="0" w:color="auto"/>
                <w:bottom w:val="none" w:sz="0" w:space="0" w:color="auto"/>
                <w:right w:val="none" w:sz="0" w:space="0" w:color="auto"/>
              </w:divBdr>
            </w:div>
            <w:div w:id="1121000964">
              <w:marLeft w:val="0"/>
              <w:marRight w:val="0"/>
              <w:marTop w:val="0"/>
              <w:marBottom w:val="0"/>
              <w:divBdr>
                <w:top w:val="none" w:sz="0" w:space="0" w:color="auto"/>
                <w:left w:val="none" w:sz="0" w:space="0" w:color="auto"/>
                <w:bottom w:val="none" w:sz="0" w:space="0" w:color="auto"/>
                <w:right w:val="none" w:sz="0" w:space="0" w:color="auto"/>
              </w:divBdr>
            </w:div>
            <w:div w:id="1220552487">
              <w:marLeft w:val="0"/>
              <w:marRight w:val="0"/>
              <w:marTop w:val="0"/>
              <w:marBottom w:val="0"/>
              <w:divBdr>
                <w:top w:val="none" w:sz="0" w:space="0" w:color="auto"/>
                <w:left w:val="none" w:sz="0" w:space="0" w:color="auto"/>
                <w:bottom w:val="none" w:sz="0" w:space="0" w:color="auto"/>
                <w:right w:val="none" w:sz="0" w:space="0" w:color="auto"/>
              </w:divBdr>
            </w:div>
            <w:div w:id="1323436672">
              <w:marLeft w:val="0"/>
              <w:marRight w:val="0"/>
              <w:marTop w:val="0"/>
              <w:marBottom w:val="0"/>
              <w:divBdr>
                <w:top w:val="none" w:sz="0" w:space="0" w:color="auto"/>
                <w:left w:val="none" w:sz="0" w:space="0" w:color="auto"/>
                <w:bottom w:val="none" w:sz="0" w:space="0" w:color="auto"/>
                <w:right w:val="none" w:sz="0" w:space="0" w:color="auto"/>
              </w:divBdr>
            </w:div>
            <w:div w:id="1380471258">
              <w:marLeft w:val="0"/>
              <w:marRight w:val="0"/>
              <w:marTop w:val="0"/>
              <w:marBottom w:val="0"/>
              <w:divBdr>
                <w:top w:val="none" w:sz="0" w:space="0" w:color="auto"/>
                <w:left w:val="none" w:sz="0" w:space="0" w:color="auto"/>
                <w:bottom w:val="none" w:sz="0" w:space="0" w:color="auto"/>
                <w:right w:val="none" w:sz="0" w:space="0" w:color="auto"/>
              </w:divBdr>
            </w:div>
            <w:div w:id="1613169818">
              <w:marLeft w:val="0"/>
              <w:marRight w:val="0"/>
              <w:marTop w:val="0"/>
              <w:marBottom w:val="0"/>
              <w:divBdr>
                <w:top w:val="none" w:sz="0" w:space="0" w:color="auto"/>
                <w:left w:val="none" w:sz="0" w:space="0" w:color="auto"/>
                <w:bottom w:val="none" w:sz="0" w:space="0" w:color="auto"/>
                <w:right w:val="none" w:sz="0" w:space="0" w:color="auto"/>
              </w:divBdr>
            </w:div>
            <w:div w:id="1658415365">
              <w:marLeft w:val="0"/>
              <w:marRight w:val="0"/>
              <w:marTop w:val="0"/>
              <w:marBottom w:val="0"/>
              <w:divBdr>
                <w:top w:val="none" w:sz="0" w:space="0" w:color="auto"/>
                <w:left w:val="none" w:sz="0" w:space="0" w:color="auto"/>
                <w:bottom w:val="none" w:sz="0" w:space="0" w:color="auto"/>
                <w:right w:val="none" w:sz="0" w:space="0" w:color="auto"/>
              </w:divBdr>
            </w:div>
            <w:div w:id="1664121055">
              <w:marLeft w:val="0"/>
              <w:marRight w:val="0"/>
              <w:marTop w:val="0"/>
              <w:marBottom w:val="0"/>
              <w:divBdr>
                <w:top w:val="none" w:sz="0" w:space="0" w:color="auto"/>
                <w:left w:val="none" w:sz="0" w:space="0" w:color="auto"/>
                <w:bottom w:val="none" w:sz="0" w:space="0" w:color="auto"/>
                <w:right w:val="none" w:sz="0" w:space="0" w:color="auto"/>
              </w:divBdr>
            </w:div>
            <w:div w:id="1759477038">
              <w:marLeft w:val="0"/>
              <w:marRight w:val="0"/>
              <w:marTop w:val="0"/>
              <w:marBottom w:val="0"/>
              <w:divBdr>
                <w:top w:val="none" w:sz="0" w:space="0" w:color="auto"/>
                <w:left w:val="none" w:sz="0" w:space="0" w:color="auto"/>
                <w:bottom w:val="none" w:sz="0" w:space="0" w:color="auto"/>
                <w:right w:val="none" w:sz="0" w:space="0" w:color="auto"/>
              </w:divBdr>
            </w:div>
            <w:div w:id="1975140758">
              <w:marLeft w:val="0"/>
              <w:marRight w:val="0"/>
              <w:marTop w:val="0"/>
              <w:marBottom w:val="0"/>
              <w:divBdr>
                <w:top w:val="none" w:sz="0" w:space="0" w:color="auto"/>
                <w:left w:val="none" w:sz="0" w:space="0" w:color="auto"/>
                <w:bottom w:val="none" w:sz="0" w:space="0" w:color="auto"/>
                <w:right w:val="none" w:sz="0" w:space="0" w:color="auto"/>
              </w:divBdr>
            </w:div>
          </w:divsChild>
        </w:div>
        <w:div w:id="716317218">
          <w:marLeft w:val="0"/>
          <w:marRight w:val="0"/>
          <w:marTop w:val="0"/>
          <w:marBottom w:val="0"/>
          <w:divBdr>
            <w:top w:val="none" w:sz="0" w:space="0" w:color="auto"/>
            <w:left w:val="none" w:sz="0" w:space="0" w:color="auto"/>
            <w:bottom w:val="none" w:sz="0" w:space="0" w:color="auto"/>
            <w:right w:val="none" w:sz="0" w:space="0" w:color="auto"/>
          </w:divBdr>
          <w:divsChild>
            <w:div w:id="573859792">
              <w:marLeft w:val="0"/>
              <w:marRight w:val="0"/>
              <w:marTop w:val="0"/>
              <w:marBottom w:val="0"/>
              <w:divBdr>
                <w:top w:val="none" w:sz="0" w:space="0" w:color="auto"/>
                <w:left w:val="none" w:sz="0" w:space="0" w:color="auto"/>
                <w:bottom w:val="none" w:sz="0" w:space="0" w:color="auto"/>
                <w:right w:val="none" w:sz="0" w:space="0" w:color="auto"/>
              </w:divBdr>
            </w:div>
            <w:div w:id="791901695">
              <w:marLeft w:val="0"/>
              <w:marRight w:val="0"/>
              <w:marTop w:val="0"/>
              <w:marBottom w:val="0"/>
              <w:divBdr>
                <w:top w:val="none" w:sz="0" w:space="0" w:color="auto"/>
                <w:left w:val="none" w:sz="0" w:space="0" w:color="auto"/>
                <w:bottom w:val="none" w:sz="0" w:space="0" w:color="auto"/>
                <w:right w:val="none" w:sz="0" w:space="0" w:color="auto"/>
              </w:divBdr>
            </w:div>
            <w:div w:id="799303140">
              <w:marLeft w:val="0"/>
              <w:marRight w:val="0"/>
              <w:marTop w:val="0"/>
              <w:marBottom w:val="0"/>
              <w:divBdr>
                <w:top w:val="none" w:sz="0" w:space="0" w:color="auto"/>
                <w:left w:val="none" w:sz="0" w:space="0" w:color="auto"/>
                <w:bottom w:val="none" w:sz="0" w:space="0" w:color="auto"/>
                <w:right w:val="none" w:sz="0" w:space="0" w:color="auto"/>
              </w:divBdr>
            </w:div>
            <w:div w:id="851918948">
              <w:marLeft w:val="0"/>
              <w:marRight w:val="0"/>
              <w:marTop w:val="0"/>
              <w:marBottom w:val="0"/>
              <w:divBdr>
                <w:top w:val="none" w:sz="0" w:space="0" w:color="auto"/>
                <w:left w:val="none" w:sz="0" w:space="0" w:color="auto"/>
                <w:bottom w:val="none" w:sz="0" w:space="0" w:color="auto"/>
                <w:right w:val="none" w:sz="0" w:space="0" w:color="auto"/>
              </w:divBdr>
            </w:div>
            <w:div w:id="879898251">
              <w:marLeft w:val="0"/>
              <w:marRight w:val="0"/>
              <w:marTop w:val="0"/>
              <w:marBottom w:val="0"/>
              <w:divBdr>
                <w:top w:val="none" w:sz="0" w:space="0" w:color="auto"/>
                <w:left w:val="none" w:sz="0" w:space="0" w:color="auto"/>
                <w:bottom w:val="none" w:sz="0" w:space="0" w:color="auto"/>
                <w:right w:val="none" w:sz="0" w:space="0" w:color="auto"/>
              </w:divBdr>
            </w:div>
            <w:div w:id="1104955859">
              <w:marLeft w:val="0"/>
              <w:marRight w:val="0"/>
              <w:marTop w:val="0"/>
              <w:marBottom w:val="0"/>
              <w:divBdr>
                <w:top w:val="none" w:sz="0" w:space="0" w:color="auto"/>
                <w:left w:val="none" w:sz="0" w:space="0" w:color="auto"/>
                <w:bottom w:val="none" w:sz="0" w:space="0" w:color="auto"/>
                <w:right w:val="none" w:sz="0" w:space="0" w:color="auto"/>
              </w:divBdr>
            </w:div>
            <w:div w:id="1170560127">
              <w:marLeft w:val="0"/>
              <w:marRight w:val="0"/>
              <w:marTop w:val="0"/>
              <w:marBottom w:val="0"/>
              <w:divBdr>
                <w:top w:val="none" w:sz="0" w:space="0" w:color="auto"/>
                <w:left w:val="none" w:sz="0" w:space="0" w:color="auto"/>
                <w:bottom w:val="none" w:sz="0" w:space="0" w:color="auto"/>
                <w:right w:val="none" w:sz="0" w:space="0" w:color="auto"/>
              </w:divBdr>
            </w:div>
            <w:div w:id="1513107690">
              <w:marLeft w:val="0"/>
              <w:marRight w:val="0"/>
              <w:marTop w:val="0"/>
              <w:marBottom w:val="0"/>
              <w:divBdr>
                <w:top w:val="none" w:sz="0" w:space="0" w:color="auto"/>
                <w:left w:val="none" w:sz="0" w:space="0" w:color="auto"/>
                <w:bottom w:val="none" w:sz="0" w:space="0" w:color="auto"/>
                <w:right w:val="none" w:sz="0" w:space="0" w:color="auto"/>
              </w:divBdr>
            </w:div>
            <w:div w:id="1564219153">
              <w:marLeft w:val="0"/>
              <w:marRight w:val="0"/>
              <w:marTop w:val="0"/>
              <w:marBottom w:val="0"/>
              <w:divBdr>
                <w:top w:val="none" w:sz="0" w:space="0" w:color="auto"/>
                <w:left w:val="none" w:sz="0" w:space="0" w:color="auto"/>
                <w:bottom w:val="none" w:sz="0" w:space="0" w:color="auto"/>
                <w:right w:val="none" w:sz="0" w:space="0" w:color="auto"/>
              </w:divBdr>
            </w:div>
            <w:div w:id="1625191540">
              <w:marLeft w:val="0"/>
              <w:marRight w:val="0"/>
              <w:marTop w:val="0"/>
              <w:marBottom w:val="0"/>
              <w:divBdr>
                <w:top w:val="none" w:sz="0" w:space="0" w:color="auto"/>
                <w:left w:val="none" w:sz="0" w:space="0" w:color="auto"/>
                <w:bottom w:val="none" w:sz="0" w:space="0" w:color="auto"/>
                <w:right w:val="none" w:sz="0" w:space="0" w:color="auto"/>
              </w:divBdr>
            </w:div>
            <w:div w:id="2025739414">
              <w:marLeft w:val="0"/>
              <w:marRight w:val="0"/>
              <w:marTop w:val="0"/>
              <w:marBottom w:val="0"/>
              <w:divBdr>
                <w:top w:val="none" w:sz="0" w:space="0" w:color="auto"/>
                <w:left w:val="none" w:sz="0" w:space="0" w:color="auto"/>
                <w:bottom w:val="none" w:sz="0" w:space="0" w:color="auto"/>
                <w:right w:val="none" w:sz="0" w:space="0" w:color="auto"/>
              </w:divBdr>
            </w:div>
          </w:divsChild>
        </w:div>
        <w:div w:id="1868594759">
          <w:marLeft w:val="0"/>
          <w:marRight w:val="0"/>
          <w:marTop w:val="0"/>
          <w:marBottom w:val="0"/>
          <w:divBdr>
            <w:top w:val="none" w:sz="0" w:space="0" w:color="auto"/>
            <w:left w:val="none" w:sz="0" w:space="0" w:color="auto"/>
            <w:bottom w:val="none" w:sz="0" w:space="0" w:color="auto"/>
            <w:right w:val="none" w:sz="0" w:space="0" w:color="auto"/>
          </w:divBdr>
          <w:divsChild>
            <w:div w:id="46032922">
              <w:marLeft w:val="0"/>
              <w:marRight w:val="0"/>
              <w:marTop w:val="0"/>
              <w:marBottom w:val="0"/>
              <w:divBdr>
                <w:top w:val="none" w:sz="0" w:space="0" w:color="auto"/>
                <w:left w:val="none" w:sz="0" w:space="0" w:color="auto"/>
                <w:bottom w:val="none" w:sz="0" w:space="0" w:color="auto"/>
                <w:right w:val="none" w:sz="0" w:space="0" w:color="auto"/>
              </w:divBdr>
            </w:div>
            <w:div w:id="112095471">
              <w:marLeft w:val="0"/>
              <w:marRight w:val="0"/>
              <w:marTop w:val="0"/>
              <w:marBottom w:val="0"/>
              <w:divBdr>
                <w:top w:val="none" w:sz="0" w:space="0" w:color="auto"/>
                <w:left w:val="none" w:sz="0" w:space="0" w:color="auto"/>
                <w:bottom w:val="none" w:sz="0" w:space="0" w:color="auto"/>
                <w:right w:val="none" w:sz="0" w:space="0" w:color="auto"/>
              </w:divBdr>
            </w:div>
            <w:div w:id="305477274">
              <w:marLeft w:val="0"/>
              <w:marRight w:val="0"/>
              <w:marTop w:val="0"/>
              <w:marBottom w:val="0"/>
              <w:divBdr>
                <w:top w:val="none" w:sz="0" w:space="0" w:color="auto"/>
                <w:left w:val="none" w:sz="0" w:space="0" w:color="auto"/>
                <w:bottom w:val="none" w:sz="0" w:space="0" w:color="auto"/>
                <w:right w:val="none" w:sz="0" w:space="0" w:color="auto"/>
              </w:divBdr>
            </w:div>
            <w:div w:id="341706500">
              <w:marLeft w:val="0"/>
              <w:marRight w:val="0"/>
              <w:marTop w:val="0"/>
              <w:marBottom w:val="0"/>
              <w:divBdr>
                <w:top w:val="none" w:sz="0" w:space="0" w:color="auto"/>
                <w:left w:val="none" w:sz="0" w:space="0" w:color="auto"/>
                <w:bottom w:val="none" w:sz="0" w:space="0" w:color="auto"/>
                <w:right w:val="none" w:sz="0" w:space="0" w:color="auto"/>
              </w:divBdr>
            </w:div>
            <w:div w:id="459300087">
              <w:marLeft w:val="0"/>
              <w:marRight w:val="0"/>
              <w:marTop w:val="0"/>
              <w:marBottom w:val="0"/>
              <w:divBdr>
                <w:top w:val="none" w:sz="0" w:space="0" w:color="auto"/>
                <w:left w:val="none" w:sz="0" w:space="0" w:color="auto"/>
                <w:bottom w:val="none" w:sz="0" w:space="0" w:color="auto"/>
                <w:right w:val="none" w:sz="0" w:space="0" w:color="auto"/>
              </w:divBdr>
            </w:div>
            <w:div w:id="573392941">
              <w:marLeft w:val="0"/>
              <w:marRight w:val="0"/>
              <w:marTop w:val="0"/>
              <w:marBottom w:val="0"/>
              <w:divBdr>
                <w:top w:val="none" w:sz="0" w:space="0" w:color="auto"/>
                <w:left w:val="none" w:sz="0" w:space="0" w:color="auto"/>
                <w:bottom w:val="none" w:sz="0" w:space="0" w:color="auto"/>
                <w:right w:val="none" w:sz="0" w:space="0" w:color="auto"/>
              </w:divBdr>
            </w:div>
            <w:div w:id="665132206">
              <w:marLeft w:val="0"/>
              <w:marRight w:val="0"/>
              <w:marTop w:val="0"/>
              <w:marBottom w:val="0"/>
              <w:divBdr>
                <w:top w:val="none" w:sz="0" w:space="0" w:color="auto"/>
                <w:left w:val="none" w:sz="0" w:space="0" w:color="auto"/>
                <w:bottom w:val="none" w:sz="0" w:space="0" w:color="auto"/>
                <w:right w:val="none" w:sz="0" w:space="0" w:color="auto"/>
              </w:divBdr>
            </w:div>
            <w:div w:id="711466958">
              <w:marLeft w:val="0"/>
              <w:marRight w:val="0"/>
              <w:marTop w:val="0"/>
              <w:marBottom w:val="0"/>
              <w:divBdr>
                <w:top w:val="none" w:sz="0" w:space="0" w:color="auto"/>
                <w:left w:val="none" w:sz="0" w:space="0" w:color="auto"/>
                <w:bottom w:val="none" w:sz="0" w:space="0" w:color="auto"/>
                <w:right w:val="none" w:sz="0" w:space="0" w:color="auto"/>
              </w:divBdr>
            </w:div>
            <w:div w:id="760612698">
              <w:marLeft w:val="0"/>
              <w:marRight w:val="0"/>
              <w:marTop w:val="0"/>
              <w:marBottom w:val="0"/>
              <w:divBdr>
                <w:top w:val="none" w:sz="0" w:space="0" w:color="auto"/>
                <w:left w:val="none" w:sz="0" w:space="0" w:color="auto"/>
                <w:bottom w:val="none" w:sz="0" w:space="0" w:color="auto"/>
                <w:right w:val="none" w:sz="0" w:space="0" w:color="auto"/>
              </w:divBdr>
            </w:div>
            <w:div w:id="822156624">
              <w:marLeft w:val="0"/>
              <w:marRight w:val="0"/>
              <w:marTop w:val="0"/>
              <w:marBottom w:val="0"/>
              <w:divBdr>
                <w:top w:val="none" w:sz="0" w:space="0" w:color="auto"/>
                <w:left w:val="none" w:sz="0" w:space="0" w:color="auto"/>
                <w:bottom w:val="none" w:sz="0" w:space="0" w:color="auto"/>
                <w:right w:val="none" w:sz="0" w:space="0" w:color="auto"/>
              </w:divBdr>
            </w:div>
            <w:div w:id="844175625">
              <w:marLeft w:val="0"/>
              <w:marRight w:val="0"/>
              <w:marTop w:val="0"/>
              <w:marBottom w:val="0"/>
              <w:divBdr>
                <w:top w:val="none" w:sz="0" w:space="0" w:color="auto"/>
                <w:left w:val="none" w:sz="0" w:space="0" w:color="auto"/>
                <w:bottom w:val="none" w:sz="0" w:space="0" w:color="auto"/>
                <w:right w:val="none" w:sz="0" w:space="0" w:color="auto"/>
              </w:divBdr>
            </w:div>
            <w:div w:id="979649760">
              <w:marLeft w:val="0"/>
              <w:marRight w:val="0"/>
              <w:marTop w:val="0"/>
              <w:marBottom w:val="0"/>
              <w:divBdr>
                <w:top w:val="none" w:sz="0" w:space="0" w:color="auto"/>
                <w:left w:val="none" w:sz="0" w:space="0" w:color="auto"/>
                <w:bottom w:val="none" w:sz="0" w:space="0" w:color="auto"/>
                <w:right w:val="none" w:sz="0" w:space="0" w:color="auto"/>
              </w:divBdr>
            </w:div>
            <w:div w:id="1344093266">
              <w:marLeft w:val="0"/>
              <w:marRight w:val="0"/>
              <w:marTop w:val="0"/>
              <w:marBottom w:val="0"/>
              <w:divBdr>
                <w:top w:val="none" w:sz="0" w:space="0" w:color="auto"/>
                <w:left w:val="none" w:sz="0" w:space="0" w:color="auto"/>
                <w:bottom w:val="none" w:sz="0" w:space="0" w:color="auto"/>
                <w:right w:val="none" w:sz="0" w:space="0" w:color="auto"/>
              </w:divBdr>
            </w:div>
            <w:div w:id="1487281557">
              <w:marLeft w:val="0"/>
              <w:marRight w:val="0"/>
              <w:marTop w:val="0"/>
              <w:marBottom w:val="0"/>
              <w:divBdr>
                <w:top w:val="none" w:sz="0" w:space="0" w:color="auto"/>
                <w:left w:val="none" w:sz="0" w:space="0" w:color="auto"/>
                <w:bottom w:val="none" w:sz="0" w:space="0" w:color="auto"/>
                <w:right w:val="none" w:sz="0" w:space="0" w:color="auto"/>
              </w:divBdr>
            </w:div>
            <w:div w:id="1543713003">
              <w:marLeft w:val="0"/>
              <w:marRight w:val="0"/>
              <w:marTop w:val="0"/>
              <w:marBottom w:val="0"/>
              <w:divBdr>
                <w:top w:val="none" w:sz="0" w:space="0" w:color="auto"/>
                <w:left w:val="none" w:sz="0" w:space="0" w:color="auto"/>
                <w:bottom w:val="none" w:sz="0" w:space="0" w:color="auto"/>
                <w:right w:val="none" w:sz="0" w:space="0" w:color="auto"/>
              </w:divBdr>
            </w:div>
            <w:div w:id="1620605921">
              <w:marLeft w:val="0"/>
              <w:marRight w:val="0"/>
              <w:marTop w:val="0"/>
              <w:marBottom w:val="0"/>
              <w:divBdr>
                <w:top w:val="none" w:sz="0" w:space="0" w:color="auto"/>
                <w:left w:val="none" w:sz="0" w:space="0" w:color="auto"/>
                <w:bottom w:val="none" w:sz="0" w:space="0" w:color="auto"/>
                <w:right w:val="none" w:sz="0" w:space="0" w:color="auto"/>
              </w:divBdr>
            </w:div>
            <w:div w:id="1886915754">
              <w:marLeft w:val="0"/>
              <w:marRight w:val="0"/>
              <w:marTop w:val="0"/>
              <w:marBottom w:val="0"/>
              <w:divBdr>
                <w:top w:val="none" w:sz="0" w:space="0" w:color="auto"/>
                <w:left w:val="none" w:sz="0" w:space="0" w:color="auto"/>
                <w:bottom w:val="none" w:sz="0" w:space="0" w:color="auto"/>
                <w:right w:val="none" w:sz="0" w:space="0" w:color="auto"/>
              </w:divBdr>
            </w:div>
            <w:div w:id="1953707651">
              <w:marLeft w:val="0"/>
              <w:marRight w:val="0"/>
              <w:marTop w:val="0"/>
              <w:marBottom w:val="0"/>
              <w:divBdr>
                <w:top w:val="none" w:sz="0" w:space="0" w:color="auto"/>
                <w:left w:val="none" w:sz="0" w:space="0" w:color="auto"/>
                <w:bottom w:val="none" w:sz="0" w:space="0" w:color="auto"/>
                <w:right w:val="none" w:sz="0" w:space="0" w:color="auto"/>
              </w:divBdr>
            </w:div>
            <w:div w:id="2051494797">
              <w:marLeft w:val="0"/>
              <w:marRight w:val="0"/>
              <w:marTop w:val="0"/>
              <w:marBottom w:val="0"/>
              <w:divBdr>
                <w:top w:val="none" w:sz="0" w:space="0" w:color="auto"/>
                <w:left w:val="none" w:sz="0" w:space="0" w:color="auto"/>
                <w:bottom w:val="none" w:sz="0" w:space="0" w:color="auto"/>
                <w:right w:val="none" w:sz="0" w:space="0" w:color="auto"/>
              </w:divBdr>
            </w:div>
            <w:div w:id="20522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5149">
      <w:bodyDiv w:val="1"/>
      <w:marLeft w:val="0"/>
      <w:marRight w:val="0"/>
      <w:marTop w:val="0"/>
      <w:marBottom w:val="0"/>
      <w:divBdr>
        <w:top w:val="none" w:sz="0" w:space="0" w:color="auto"/>
        <w:left w:val="none" w:sz="0" w:space="0" w:color="auto"/>
        <w:bottom w:val="none" w:sz="0" w:space="0" w:color="auto"/>
        <w:right w:val="none" w:sz="0" w:space="0" w:color="auto"/>
      </w:divBdr>
      <w:divsChild>
        <w:div w:id="1921210387">
          <w:marLeft w:val="0"/>
          <w:marRight w:val="0"/>
          <w:marTop w:val="0"/>
          <w:marBottom w:val="0"/>
          <w:divBdr>
            <w:top w:val="none" w:sz="0" w:space="0" w:color="auto"/>
            <w:left w:val="none" w:sz="0" w:space="0" w:color="auto"/>
            <w:bottom w:val="none" w:sz="0" w:space="0" w:color="auto"/>
            <w:right w:val="none" w:sz="0" w:space="0" w:color="auto"/>
          </w:divBdr>
        </w:div>
        <w:div w:id="1992171125">
          <w:marLeft w:val="0"/>
          <w:marRight w:val="0"/>
          <w:marTop w:val="0"/>
          <w:marBottom w:val="0"/>
          <w:divBdr>
            <w:top w:val="none" w:sz="0" w:space="0" w:color="auto"/>
            <w:left w:val="none" w:sz="0" w:space="0" w:color="auto"/>
            <w:bottom w:val="none" w:sz="0" w:space="0" w:color="auto"/>
            <w:right w:val="none" w:sz="0" w:space="0" w:color="auto"/>
          </w:divBdr>
        </w:div>
      </w:divsChild>
    </w:div>
    <w:div w:id="1942032656">
      <w:bodyDiv w:val="1"/>
      <w:marLeft w:val="0"/>
      <w:marRight w:val="0"/>
      <w:marTop w:val="0"/>
      <w:marBottom w:val="0"/>
      <w:divBdr>
        <w:top w:val="none" w:sz="0" w:space="0" w:color="auto"/>
        <w:left w:val="none" w:sz="0" w:space="0" w:color="auto"/>
        <w:bottom w:val="none" w:sz="0" w:space="0" w:color="auto"/>
        <w:right w:val="none" w:sz="0" w:space="0" w:color="auto"/>
      </w:divBdr>
    </w:div>
    <w:div w:id="1944678408">
      <w:bodyDiv w:val="1"/>
      <w:marLeft w:val="0"/>
      <w:marRight w:val="0"/>
      <w:marTop w:val="0"/>
      <w:marBottom w:val="0"/>
      <w:divBdr>
        <w:top w:val="none" w:sz="0" w:space="0" w:color="auto"/>
        <w:left w:val="none" w:sz="0" w:space="0" w:color="auto"/>
        <w:bottom w:val="none" w:sz="0" w:space="0" w:color="auto"/>
        <w:right w:val="none" w:sz="0" w:space="0" w:color="auto"/>
      </w:divBdr>
      <w:divsChild>
        <w:div w:id="3825683">
          <w:marLeft w:val="0"/>
          <w:marRight w:val="0"/>
          <w:marTop w:val="0"/>
          <w:marBottom w:val="0"/>
          <w:divBdr>
            <w:top w:val="none" w:sz="0" w:space="0" w:color="auto"/>
            <w:left w:val="none" w:sz="0" w:space="0" w:color="auto"/>
            <w:bottom w:val="none" w:sz="0" w:space="0" w:color="auto"/>
            <w:right w:val="none" w:sz="0" w:space="0" w:color="auto"/>
          </w:divBdr>
          <w:divsChild>
            <w:div w:id="94982630">
              <w:marLeft w:val="0"/>
              <w:marRight w:val="0"/>
              <w:marTop w:val="0"/>
              <w:marBottom w:val="0"/>
              <w:divBdr>
                <w:top w:val="none" w:sz="0" w:space="0" w:color="auto"/>
                <w:left w:val="none" w:sz="0" w:space="0" w:color="auto"/>
                <w:bottom w:val="none" w:sz="0" w:space="0" w:color="auto"/>
                <w:right w:val="none" w:sz="0" w:space="0" w:color="auto"/>
              </w:divBdr>
            </w:div>
            <w:div w:id="124928043">
              <w:marLeft w:val="0"/>
              <w:marRight w:val="0"/>
              <w:marTop w:val="0"/>
              <w:marBottom w:val="0"/>
              <w:divBdr>
                <w:top w:val="none" w:sz="0" w:space="0" w:color="auto"/>
                <w:left w:val="none" w:sz="0" w:space="0" w:color="auto"/>
                <w:bottom w:val="none" w:sz="0" w:space="0" w:color="auto"/>
                <w:right w:val="none" w:sz="0" w:space="0" w:color="auto"/>
              </w:divBdr>
            </w:div>
            <w:div w:id="141972202">
              <w:marLeft w:val="0"/>
              <w:marRight w:val="0"/>
              <w:marTop w:val="0"/>
              <w:marBottom w:val="0"/>
              <w:divBdr>
                <w:top w:val="none" w:sz="0" w:space="0" w:color="auto"/>
                <w:left w:val="none" w:sz="0" w:space="0" w:color="auto"/>
                <w:bottom w:val="none" w:sz="0" w:space="0" w:color="auto"/>
                <w:right w:val="none" w:sz="0" w:space="0" w:color="auto"/>
              </w:divBdr>
            </w:div>
            <w:div w:id="853761110">
              <w:marLeft w:val="0"/>
              <w:marRight w:val="0"/>
              <w:marTop w:val="0"/>
              <w:marBottom w:val="0"/>
              <w:divBdr>
                <w:top w:val="none" w:sz="0" w:space="0" w:color="auto"/>
                <w:left w:val="none" w:sz="0" w:space="0" w:color="auto"/>
                <w:bottom w:val="none" w:sz="0" w:space="0" w:color="auto"/>
                <w:right w:val="none" w:sz="0" w:space="0" w:color="auto"/>
              </w:divBdr>
            </w:div>
            <w:div w:id="958413972">
              <w:marLeft w:val="0"/>
              <w:marRight w:val="0"/>
              <w:marTop w:val="0"/>
              <w:marBottom w:val="0"/>
              <w:divBdr>
                <w:top w:val="none" w:sz="0" w:space="0" w:color="auto"/>
                <w:left w:val="none" w:sz="0" w:space="0" w:color="auto"/>
                <w:bottom w:val="none" w:sz="0" w:space="0" w:color="auto"/>
                <w:right w:val="none" w:sz="0" w:space="0" w:color="auto"/>
              </w:divBdr>
            </w:div>
            <w:div w:id="1002122299">
              <w:marLeft w:val="0"/>
              <w:marRight w:val="0"/>
              <w:marTop w:val="0"/>
              <w:marBottom w:val="0"/>
              <w:divBdr>
                <w:top w:val="none" w:sz="0" w:space="0" w:color="auto"/>
                <w:left w:val="none" w:sz="0" w:space="0" w:color="auto"/>
                <w:bottom w:val="none" w:sz="0" w:space="0" w:color="auto"/>
                <w:right w:val="none" w:sz="0" w:space="0" w:color="auto"/>
              </w:divBdr>
            </w:div>
            <w:div w:id="1066226983">
              <w:marLeft w:val="0"/>
              <w:marRight w:val="0"/>
              <w:marTop w:val="0"/>
              <w:marBottom w:val="0"/>
              <w:divBdr>
                <w:top w:val="none" w:sz="0" w:space="0" w:color="auto"/>
                <w:left w:val="none" w:sz="0" w:space="0" w:color="auto"/>
                <w:bottom w:val="none" w:sz="0" w:space="0" w:color="auto"/>
                <w:right w:val="none" w:sz="0" w:space="0" w:color="auto"/>
              </w:divBdr>
            </w:div>
            <w:div w:id="1079132049">
              <w:marLeft w:val="0"/>
              <w:marRight w:val="0"/>
              <w:marTop w:val="0"/>
              <w:marBottom w:val="0"/>
              <w:divBdr>
                <w:top w:val="none" w:sz="0" w:space="0" w:color="auto"/>
                <w:left w:val="none" w:sz="0" w:space="0" w:color="auto"/>
                <w:bottom w:val="none" w:sz="0" w:space="0" w:color="auto"/>
                <w:right w:val="none" w:sz="0" w:space="0" w:color="auto"/>
              </w:divBdr>
            </w:div>
            <w:div w:id="1126972407">
              <w:marLeft w:val="0"/>
              <w:marRight w:val="0"/>
              <w:marTop w:val="0"/>
              <w:marBottom w:val="0"/>
              <w:divBdr>
                <w:top w:val="none" w:sz="0" w:space="0" w:color="auto"/>
                <w:left w:val="none" w:sz="0" w:space="0" w:color="auto"/>
                <w:bottom w:val="none" w:sz="0" w:space="0" w:color="auto"/>
                <w:right w:val="none" w:sz="0" w:space="0" w:color="auto"/>
              </w:divBdr>
            </w:div>
            <w:div w:id="1161887877">
              <w:marLeft w:val="0"/>
              <w:marRight w:val="0"/>
              <w:marTop w:val="0"/>
              <w:marBottom w:val="0"/>
              <w:divBdr>
                <w:top w:val="none" w:sz="0" w:space="0" w:color="auto"/>
                <w:left w:val="none" w:sz="0" w:space="0" w:color="auto"/>
                <w:bottom w:val="none" w:sz="0" w:space="0" w:color="auto"/>
                <w:right w:val="none" w:sz="0" w:space="0" w:color="auto"/>
              </w:divBdr>
            </w:div>
            <w:div w:id="1177767036">
              <w:marLeft w:val="0"/>
              <w:marRight w:val="0"/>
              <w:marTop w:val="0"/>
              <w:marBottom w:val="0"/>
              <w:divBdr>
                <w:top w:val="none" w:sz="0" w:space="0" w:color="auto"/>
                <w:left w:val="none" w:sz="0" w:space="0" w:color="auto"/>
                <w:bottom w:val="none" w:sz="0" w:space="0" w:color="auto"/>
                <w:right w:val="none" w:sz="0" w:space="0" w:color="auto"/>
              </w:divBdr>
            </w:div>
            <w:div w:id="1318536417">
              <w:marLeft w:val="0"/>
              <w:marRight w:val="0"/>
              <w:marTop w:val="0"/>
              <w:marBottom w:val="0"/>
              <w:divBdr>
                <w:top w:val="none" w:sz="0" w:space="0" w:color="auto"/>
                <w:left w:val="none" w:sz="0" w:space="0" w:color="auto"/>
                <w:bottom w:val="none" w:sz="0" w:space="0" w:color="auto"/>
                <w:right w:val="none" w:sz="0" w:space="0" w:color="auto"/>
              </w:divBdr>
            </w:div>
            <w:div w:id="1407537513">
              <w:marLeft w:val="0"/>
              <w:marRight w:val="0"/>
              <w:marTop w:val="0"/>
              <w:marBottom w:val="0"/>
              <w:divBdr>
                <w:top w:val="none" w:sz="0" w:space="0" w:color="auto"/>
                <w:left w:val="none" w:sz="0" w:space="0" w:color="auto"/>
                <w:bottom w:val="none" w:sz="0" w:space="0" w:color="auto"/>
                <w:right w:val="none" w:sz="0" w:space="0" w:color="auto"/>
              </w:divBdr>
            </w:div>
            <w:div w:id="1425802806">
              <w:marLeft w:val="0"/>
              <w:marRight w:val="0"/>
              <w:marTop w:val="0"/>
              <w:marBottom w:val="0"/>
              <w:divBdr>
                <w:top w:val="none" w:sz="0" w:space="0" w:color="auto"/>
                <w:left w:val="none" w:sz="0" w:space="0" w:color="auto"/>
                <w:bottom w:val="none" w:sz="0" w:space="0" w:color="auto"/>
                <w:right w:val="none" w:sz="0" w:space="0" w:color="auto"/>
              </w:divBdr>
            </w:div>
            <w:div w:id="1817797281">
              <w:marLeft w:val="0"/>
              <w:marRight w:val="0"/>
              <w:marTop w:val="0"/>
              <w:marBottom w:val="0"/>
              <w:divBdr>
                <w:top w:val="none" w:sz="0" w:space="0" w:color="auto"/>
                <w:left w:val="none" w:sz="0" w:space="0" w:color="auto"/>
                <w:bottom w:val="none" w:sz="0" w:space="0" w:color="auto"/>
                <w:right w:val="none" w:sz="0" w:space="0" w:color="auto"/>
              </w:divBdr>
            </w:div>
            <w:div w:id="1851287220">
              <w:marLeft w:val="0"/>
              <w:marRight w:val="0"/>
              <w:marTop w:val="0"/>
              <w:marBottom w:val="0"/>
              <w:divBdr>
                <w:top w:val="none" w:sz="0" w:space="0" w:color="auto"/>
                <w:left w:val="none" w:sz="0" w:space="0" w:color="auto"/>
                <w:bottom w:val="none" w:sz="0" w:space="0" w:color="auto"/>
                <w:right w:val="none" w:sz="0" w:space="0" w:color="auto"/>
              </w:divBdr>
            </w:div>
            <w:div w:id="1866360177">
              <w:marLeft w:val="0"/>
              <w:marRight w:val="0"/>
              <w:marTop w:val="0"/>
              <w:marBottom w:val="0"/>
              <w:divBdr>
                <w:top w:val="none" w:sz="0" w:space="0" w:color="auto"/>
                <w:left w:val="none" w:sz="0" w:space="0" w:color="auto"/>
                <w:bottom w:val="none" w:sz="0" w:space="0" w:color="auto"/>
                <w:right w:val="none" w:sz="0" w:space="0" w:color="auto"/>
              </w:divBdr>
            </w:div>
            <w:div w:id="1869021476">
              <w:marLeft w:val="0"/>
              <w:marRight w:val="0"/>
              <w:marTop w:val="0"/>
              <w:marBottom w:val="0"/>
              <w:divBdr>
                <w:top w:val="none" w:sz="0" w:space="0" w:color="auto"/>
                <w:left w:val="none" w:sz="0" w:space="0" w:color="auto"/>
                <w:bottom w:val="none" w:sz="0" w:space="0" w:color="auto"/>
                <w:right w:val="none" w:sz="0" w:space="0" w:color="auto"/>
              </w:divBdr>
            </w:div>
            <w:div w:id="2061783579">
              <w:marLeft w:val="0"/>
              <w:marRight w:val="0"/>
              <w:marTop w:val="0"/>
              <w:marBottom w:val="0"/>
              <w:divBdr>
                <w:top w:val="none" w:sz="0" w:space="0" w:color="auto"/>
                <w:left w:val="none" w:sz="0" w:space="0" w:color="auto"/>
                <w:bottom w:val="none" w:sz="0" w:space="0" w:color="auto"/>
                <w:right w:val="none" w:sz="0" w:space="0" w:color="auto"/>
              </w:divBdr>
            </w:div>
            <w:div w:id="2071925590">
              <w:marLeft w:val="0"/>
              <w:marRight w:val="0"/>
              <w:marTop w:val="0"/>
              <w:marBottom w:val="0"/>
              <w:divBdr>
                <w:top w:val="none" w:sz="0" w:space="0" w:color="auto"/>
                <w:left w:val="none" w:sz="0" w:space="0" w:color="auto"/>
                <w:bottom w:val="none" w:sz="0" w:space="0" w:color="auto"/>
                <w:right w:val="none" w:sz="0" w:space="0" w:color="auto"/>
              </w:divBdr>
            </w:div>
          </w:divsChild>
        </w:div>
        <w:div w:id="14843614">
          <w:marLeft w:val="0"/>
          <w:marRight w:val="0"/>
          <w:marTop w:val="0"/>
          <w:marBottom w:val="0"/>
          <w:divBdr>
            <w:top w:val="none" w:sz="0" w:space="0" w:color="auto"/>
            <w:left w:val="none" w:sz="0" w:space="0" w:color="auto"/>
            <w:bottom w:val="none" w:sz="0" w:space="0" w:color="auto"/>
            <w:right w:val="none" w:sz="0" w:space="0" w:color="auto"/>
          </w:divBdr>
        </w:div>
        <w:div w:id="92553965">
          <w:marLeft w:val="0"/>
          <w:marRight w:val="0"/>
          <w:marTop w:val="0"/>
          <w:marBottom w:val="0"/>
          <w:divBdr>
            <w:top w:val="none" w:sz="0" w:space="0" w:color="auto"/>
            <w:left w:val="none" w:sz="0" w:space="0" w:color="auto"/>
            <w:bottom w:val="none" w:sz="0" w:space="0" w:color="auto"/>
            <w:right w:val="none" w:sz="0" w:space="0" w:color="auto"/>
          </w:divBdr>
        </w:div>
        <w:div w:id="277487817">
          <w:marLeft w:val="0"/>
          <w:marRight w:val="0"/>
          <w:marTop w:val="0"/>
          <w:marBottom w:val="0"/>
          <w:divBdr>
            <w:top w:val="none" w:sz="0" w:space="0" w:color="auto"/>
            <w:left w:val="none" w:sz="0" w:space="0" w:color="auto"/>
            <w:bottom w:val="none" w:sz="0" w:space="0" w:color="auto"/>
            <w:right w:val="none" w:sz="0" w:space="0" w:color="auto"/>
          </w:divBdr>
        </w:div>
        <w:div w:id="319233641">
          <w:marLeft w:val="0"/>
          <w:marRight w:val="0"/>
          <w:marTop w:val="0"/>
          <w:marBottom w:val="0"/>
          <w:divBdr>
            <w:top w:val="none" w:sz="0" w:space="0" w:color="auto"/>
            <w:left w:val="none" w:sz="0" w:space="0" w:color="auto"/>
            <w:bottom w:val="none" w:sz="0" w:space="0" w:color="auto"/>
            <w:right w:val="none" w:sz="0" w:space="0" w:color="auto"/>
          </w:divBdr>
        </w:div>
        <w:div w:id="366225657">
          <w:marLeft w:val="0"/>
          <w:marRight w:val="0"/>
          <w:marTop w:val="0"/>
          <w:marBottom w:val="0"/>
          <w:divBdr>
            <w:top w:val="none" w:sz="0" w:space="0" w:color="auto"/>
            <w:left w:val="none" w:sz="0" w:space="0" w:color="auto"/>
            <w:bottom w:val="none" w:sz="0" w:space="0" w:color="auto"/>
            <w:right w:val="none" w:sz="0" w:space="0" w:color="auto"/>
          </w:divBdr>
        </w:div>
        <w:div w:id="563225279">
          <w:marLeft w:val="0"/>
          <w:marRight w:val="0"/>
          <w:marTop w:val="0"/>
          <w:marBottom w:val="0"/>
          <w:divBdr>
            <w:top w:val="none" w:sz="0" w:space="0" w:color="auto"/>
            <w:left w:val="none" w:sz="0" w:space="0" w:color="auto"/>
            <w:bottom w:val="none" w:sz="0" w:space="0" w:color="auto"/>
            <w:right w:val="none" w:sz="0" w:space="0" w:color="auto"/>
          </w:divBdr>
        </w:div>
        <w:div w:id="596056029">
          <w:marLeft w:val="0"/>
          <w:marRight w:val="0"/>
          <w:marTop w:val="0"/>
          <w:marBottom w:val="0"/>
          <w:divBdr>
            <w:top w:val="none" w:sz="0" w:space="0" w:color="auto"/>
            <w:left w:val="none" w:sz="0" w:space="0" w:color="auto"/>
            <w:bottom w:val="none" w:sz="0" w:space="0" w:color="auto"/>
            <w:right w:val="none" w:sz="0" w:space="0" w:color="auto"/>
          </w:divBdr>
          <w:divsChild>
            <w:div w:id="36204166">
              <w:marLeft w:val="0"/>
              <w:marRight w:val="0"/>
              <w:marTop w:val="0"/>
              <w:marBottom w:val="0"/>
              <w:divBdr>
                <w:top w:val="none" w:sz="0" w:space="0" w:color="auto"/>
                <w:left w:val="none" w:sz="0" w:space="0" w:color="auto"/>
                <w:bottom w:val="none" w:sz="0" w:space="0" w:color="auto"/>
                <w:right w:val="none" w:sz="0" w:space="0" w:color="auto"/>
              </w:divBdr>
            </w:div>
            <w:div w:id="99882908">
              <w:marLeft w:val="0"/>
              <w:marRight w:val="0"/>
              <w:marTop w:val="0"/>
              <w:marBottom w:val="0"/>
              <w:divBdr>
                <w:top w:val="none" w:sz="0" w:space="0" w:color="auto"/>
                <w:left w:val="none" w:sz="0" w:space="0" w:color="auto"/>
                <w:bottom w:val="none" w:sz="0" w:space="0" w:color="auto"/>
                <w:right w:val="none" w:sz="0" w:space="0" w:color="auto"/>
              </w:divBdr>
            </w:div>
            <w:div w:id="123668377">
              <w:marLeft w:val="0"/>
              <w:marRight w:val="0"/>
              <w:marTop w:val="0"/>
              <w:marBottom w:val="0"/>
              <w:divBdr>
                <w:top w:val="none" w:sz="0" w:space="0" w:color="auto"/>
                <w:left w:val="none" w:sz="0" w:space="0" w:color="auto"/>
                <w:bottom w:val="none" w:sz="0" w:space="0" w:color="auto"/>
                <w:right w:val="none" w:sz="0" w:space="0" w:color="auto"/>
              </w:divBdr>
            </w:div>
            <w:div w:id="340548376">
              <w:marLeft w:val="0"/>
              <w:marRight w:val="0"/>
              <w:marTop w:val="0"/>
              <w:marBottom w:val="0"/>
              <w:divBdr>
                <w:top w:val="none" w:sz="0" w:space="0" w:color="auto"/>
                <w:left w:val="none" w:sz="0" w:space="0" w:color="auto"/>
                <w:bottom w:val="none" w:sz="0" w:space="0" w:color="auto"/>
                <w:right w:val="none" w:sz="0" w:space="0" w:color="auto"/>
              </w:divBdr>
            </w:div>
            <w:div w:id="432365897">
              <w:marLeft w:val="0"/>
              <w:marRight w:val="0"/>
              <w:marTop w:val="0"/>
              <w:marBottom w:val="0"/>
              <w:divBdr>
                <w:top w:val="none" w:sz="0" w:space="0" w:color="auto"/>
                <w:left w:val="none" w:sz="0" w:space="0" w:color="auto"/>
                <w:bottom w:val="none" w:sz="0" w:space="0" w:color="auto"/>
                <w:right w:val="none" w:sz="0" w:space="0" w:color="auto"/>
              </w:divBdr>
            </w:div>
            <w:div w:id="539633827">
              <w:marLeft w:val="0"/>
              <w:marRight w:val="0"/>
              <w:marTop w:val="0"/>
              <w:marBottom w:val="0"/>
              <w:divBdr>
                <w:top w:val="none" w:sz="0" w:space="0" w:color="auto"/>
                <w:left w:val="none" w:sz="0" w:space="0" w:color="auto"/>
                <w:bottom w:val="none" w:sz="0" w:space="0" w:color="auto"/>
                <w:right w:val="none" w:sz="0" w:space="0" w:color="auto"/>
              </w:divBdr>
            </w:div>
            <w:div w:id="557014967">
              <w:marLeft w:val="0"/>
              <w:marRight w:val="0"/>
              <w:marTop w:val="0"/>
              <w:marBottom w:val="0"/>
              <w:divBdr>
                <w:top w:val="none" w:sz="0" w:space="0" w:color="auto"/>
                <w:left w:val="none" w:sz="0" w:space="0" w:color="auto"/>
                <w:bottom w:val="none" w:sz="0" w:space="0" w:color="auto"/>
                <w:right w:val="none" w:sz="0" w:space="0" w:color="auto"/>
              </w:divBdr>
            </w:div>
            <w:div w:id="706027623">
              <w:marLeft w:val="0"/>
              <w:marRight w:val="0"/>
              <w:marTop w:val="0"/>
              <w:marBottom w:val="0"/>
              <w:divBdr>
                <w:top w:val="none" w:sz="0" w:space="0" w:color="auto"/>
                <w:left w:val="none" w:sz="0" w:space="0" w:color="auto"/>
                <w:bottom w:val="none" w:sz="0" w:space="0" w:color="auto"/>
                <w:right w:val="none" w:sz="0" w:space="0" w:color="auto"/>
              </w:divBdr>
            </w:div>
            <w:div w:id="767316170">
              <w:marLeft w:val="0"/>
              <w:marRight w:val="0"/>
              <w:marTop w:val="0"/>
              <w:marBottom w:val="0"/>
              <w:divBdr>
                <w:top w:val="none" w:sz="0" w:space="0" w:color="auto"/>
                <w:left w:val="none" w:sz="0" w:space="0" w:color="auto"/>
                <w:bottom w:val="none" w:sz="0" w:space="0" w:color="auto"/>
                <w:right w:val="none" w:sz="0" w:space="0" w:color="auto"/>
              </w:divBdr>
            </w:div>
            <w:div w:id="806358792">
              <w:marLeft w:val="0"/>
              <w:marRight w:val="0"/>
              <w:marTop w:val="0"/>
              <w:marBottom w:val="0"/>
              <w:divBdr>
                <w:top w:val="none" w:sz="0" w:space="0" w:color="auto"/>
                <w:left w:val="none" w:sz="0" w:space="0" w:color="auto"/>
                <w:bottom w:val="none" w:sz="0" w:space="0" w:color="auto"/>
                <w:right w:val="none" w:sz="0" w:space="0" w:color="auto"/>
              </w:divBdr>
            </w:div>
            <w:div w:id="915358355">
              <w:marLeft w:val="0"/>
              <w:marRight w:val="0"/>
              <w:marTop w:val="0"/>
              <w:marBottom w:val="0"/>
              <w:divBdr>
                <w:top w:val="none" w:sz="0" w:space="0" w:color="auto"/>
                <w:left w:val="none" w:sz="0" w:space="0" w:color="auto"/>
                <w:bottom w:val="none" w:sz="0" w:space="0" w:color="auto"/>
                <w:right w:val="none" w:sz="0" w:space="0" w:color="auto"/>
              </w:divBdr>
            </w:div>
            <w:div w:id="964389585">
              <w:marLeft w:val="0"/>
              <w:marRight w:val="0"/>
              <w:marTop w:val="0"/>
              <w:marBottom w:val="0"/>
              <w:divBdr>
                <w:top w:val="none" w:sz="0" w:space="0" w:color="auto"/>
                <w:left w:val="none" w:sz="0" w:space="0" w:color="auto"/>
                <w:bottom w:val="none" w:sz="0" w:space="0" w:color="auto"/>
                <w:right w:val="none" w:sz="0" w:space="0" w:color="auto"/>
              </w:divBdr>
            </w:div>
            <w:div w:id="1063720128">
              <w:marLeft w:val="0"/>
              <w:marRight w:val="0"/>
              <w:marTop w:val="0"/>
              <w:marBottom w:val="0"/>
              <w:divBdr>
                <w:top w:val="none" w:sz="0" w:space="0" w:color="auto"/>
                <w:left w:val="none" w:sz="0" w:space="0" w:color="auto"/>
                <w:bottom w:val="none" w:sz="0" w:space="0" w:color="auto"/>
                <w:right w:val="none" w:sz="0" w:space="0" w:color="auto"/>
              </w:divBdr>
            </w:div>
            <w:div w:id="1170288312">
              <w:marLeft w:val="0"/>
              <w:marRight w:val="0"/>
              <w:marTop w:val="0"/>
              <w:marBottom w:val="0"/>
              <w:divBdr>
                <w:top w:val="none" w:sz="0" w:space="0" w:color="auto"/>
                <w:left w:val="none" w:sz="0" w:space="0" w:color="auto"/>
                <w:bottom w:val="none" w:sz="0" w:space="0" w:color="auto"/>
                <w:right w:val="none" w:sz="0" w:space="0" w:color="auto"/>
              </w:divBdr>
            </w:div>
            <w:div w:id="1238250341">
              <w:marLeft w:val="0"/>
              <w:marRight w:val="0"/>
              <w:marTop w:val="0"/>
              <w:marBottom w:val="0"/>
              <w:divBdr>
                <w:top w:val="none" w:sz="0" w:space="0" w:color="auto"/>
                <w:left w:val="none" w:sz="0" w:space="0" w:color="auto"/>
                <w:bottom w:val="none" w:sz="0" w:space="0" w:color="auto"/>
                <w:right w:val="none" w:sz="0" w:space="0" w:color="auto"/>
              </w:divBdr>
            </w:div>
            <w:div w:id="1299919282">
              <w:marLeft w:val="0"/>
              <w:marRight w:val="0"/>
              <w:marTop w:val="0"/>
              <w:marBottom w:val="0"/>
              <w:divBdr>
                <w:top w:val="none" w:sz="0" w:space="0" w:color="auto"/>
                <w:left w:val="none" w:sz="0" w:space="0" w:color="auto"/>
                <w:bottom w:val="none" w:sz="0" w:space="0" w:color="auto"/>
                <w:right w:val="none" w:sz="0" w:space="0" w:color="auto"/>
              </w:divBdr>
            </w:div>
            <w:div w:id="1300111080">
              <w:marLeft w:val="0"/>
              <w:marRight w:val="0"/>
              <w:marTop w:val="0"/>
              <w:marBottom w:val="0"/>
              <w:divBdr>
                <w:top w:val="none" w:sz="0" w:space="0" w:color="auto"/>
                <w:left w:val="none" w:sz="0" w:space="0" w:color="auto"/>
                <w:bottom w:val="none" w:sz="0" w:space="0" w:color="auto"/>
                <w:right w:val="none" w:sz="0" w:space="0" w:color="auto"/>
              </w:divBdr>
            </w:div>
            <w:div w:id="1450246584">
              <w:marLeft w:val="0"/>
              <w:marRight w:val="0"/>
              <w:marTop w:val="0"/>
              <w:marBottom w:val="0"/>
              <w:divBdr>
                <w:top w:val="none" w:sz="0" w:space="0" w:color="auto"/>
                <w:left w:val="none" w:sz="0" w:space="0" w:color="auto"/>
                <w:bottom w:val="none" w:sz="0" w:space="0" w:color="auto"/>
                <w:right w:val="none" w:sz="0" w:space="0" w:color="auto"/>
              </w:divBdr>
            </w:div>
            <w:div w:id="1547333138">
              <w:marLeft w:val="0"/>
              <w:marRight w:val="0"/>
              <w:marTop w:val="0"/>
              <w:marBottom w:val="0"/>
              <w:divBdr>
                <w:top w:val="none" w:sz="0" w:space="0" w:color="auto"/>
                <w:left w:val="none" w:sz="0" w:space="0" w:color="auto"/>
                <w:bottom w:val="none" w:sz="0" w:space="0" w:color="auto"/>
                <w:right w:val="none" w:sz="0" w:space="0" w:color="auto"/>
              </w:divBdr>
            </w:div>
            <w:div w:id="1818566723">
              <w:marLeft w:val="0"/>
              <w:marRight w:val="0"/>
              <w:marTop w:val="0"/>
              <w:marBottom w:val="0"/>
              <w:divBdr>
                <w:top w:val="none" w:sz="0" w:space="0" w:color="auto"/>
                <w:left w:val="none" w:sz="0" w:space="0" w:color="auto"/>
                <w:bottom w:val="none" w:sz="0" w:space="0" w:color="auto"/>
                <w:right w:val="none" w:sz="0" w:space="0" w:color="auto"/>
              </w:divBdr>
            </w:div>
          </w:divsChild>
        </w:div>
        <w:div w:id="604462544">
          <w:marLeft w:val="0"/>
          <w:marRight w:val="0"/>
          <w:marTop w:val="0"/>
          <w:marBottom w:val="0"/>
          <w:divBdr>
            <w:top w:val="none" w:sz="0" w:space="0" w:color="auto"/>
            <w:left w:val="none" w:sz="0" w:space="0" w:color="auto"/>
            <w:bottom w:val="none" w:sz="0" w:space="0" w:color="auto"/>
            <w:right w:val="none" w:sz="0" w:space="0" w:color="auto"/>
          </w:divBdr>
        </w:div>
        <w:div w:id="615213194">
          <w:marLeft w:val="0"/>
          <w:marRight w:val="0"/>
          <w:marTop w:val="0"/>
          <w:marBottom w:val="0"/>
          <w:divBdr>
            <w:top w:val="none" w:sz="0" w:space="0" w:color="auto"/>
            <w:left w:val="none" w:sz="0" w:space="0" w:color="auto"/>
            <w:bottom w:val="none" w:sz="0" w:space="0" w:color="auto"/>
            <w:right w:val="none" w:sz="0" w:space="0" w:color="auto"/>
          </w:divBdr>
        </w:div>
        <w:div w:id="638926762">
          <w:marLeft w:val="0"/>
          <w:marRight w:val="0"/>
          <w:marTop w:val="0"/>
          <w:marBottom w:val="0"/>
          <w:divBdr>
            <w:top w:val="none" w:sz="0" w:space="0" w:color="auto"/>
            <w:left w:val="none" w:sz="0" w:space="0" w:color="auto"/>
            <w:bottom w:val="none" w:sz="0" w:space="0" w:color="auto"/>
            <w:right w:val="none" w:sz="0" w:space="0" w:color="auto"/>
          </w:divBdr>
        </w:div>
        <w:div w:id="786899213">
          <w:marLeft w:val="0"/>
          <w:marRight w:val="0"/>
          <w:marTop w:val="0"/>
          <w:marBottom w:val="0"/>
          <w:divBdr>
            <w:top w:val="none" w:sz="0" w:space="0" w:color="auto"/>
            <w:left w:val="none" w:sz="0" w:space="0" w:color="auto"/>
            <w:bottom w:val="none" w:sz="0" w:space="0" w:color="auto"/>
            <w:right w:val="none" w:sz="0" w:space="0" w:color="auto"/>
          </w:divBdr>
          <w:divsChild>
            <w:div w:id="290403656">
              <w:marLeft w:val="0"/>
              <w:marRight w:val="0"/>
              <w:marTop w:val="0"/>
              <w:marBottom w:val="0"/>
              <w:divBdr>
                <w:top w:val="none" w:sz="0" w:space="0" w:color="auto"/>
                <w:left w:val="none" w:sz="0" w:space="0" w:color="auto"/>
                <w:bottom w:val="none" w:sz="0" w:space="0" w:color="auto"/>
                <w:right w:val="none" w:sz="0" w:space="0" w:color="auto"/>
              </w:divBdr>
            </w:div>
            <w:div w:id="364643989">
              <w:marLeft w:val="0"/>
              <w:marRight w:val="0"/>
              <w:marTop w:val="0"/>
              <w:marBottom w:val="0"/>
              <w:divBdr>
                <w:top w:val="none" w:sz="0" w:space="0" w:color="auto"/>
                <w:left w:val="none" w:sz="0" w:space="0" w:color="auto"/>
                <w:bottom w:val="none" w:sz="0" w:space="0" w:color="auto"/>
                <w:right w:val="none" w:sz="0" w:space="0" w:color="auto"/>
              </w:divBdr>
            </w:div>
            <w:div w:id="508495631">
              <w:marLeft w:val="0"/>
              <w:marRight w:val="0"/>
              <w:marTop w:val="0"/>
              <w:marBottom w:val="0"/>
              <w:divBdr>
                <w:top w:val="none" w:sz="0" w:space="0" w:color="auto"/>
                <w:left w:val="none" w:sz="0" w:space="0" w:color="auto"/>
                <w:bottom w:val="none" w:sz="0" w:space="0" w:color="auto"/>
                <w:right w:val="none" w:sz="0" w:space="0" w:color="auto"/>
              </w:divBdr>
            </w:div>
            <w:div w:id="634337998">
              <w:marLeft w:val="0"/>
              <w:marRight w:val="0"/>
              <w:marTop w:val="0"/>
              <w:marBottom w:val="0"/>
              <w:divBdr>
                <w:top w:val="none" w:sz="0" w:space="0" w:color="auto"/>
                <w:left w:val="none" w:sz="0" w:space="0" w:color="auto"/>
                <w:bottom w:val="none" w:sz="0" w:space="0" w:color="auto"/>
                <w:right w:val="none" w:sz="0" w:space="0" w:color="auto"/>
              </w:divBdr>
            </w:div>
            <w:div w:id="762841037">
              <w:marLeft w:val="0"/>
              <w:marRight w:val="0"/>
              <w:marTop w:val="0"/>
              <w:marBottom w:val="0"/>
              <w:divBdr>
                <w:top w:val="none" w:sz="0" w:space="0" w:color="auto"/>
                <w:left w:val="none" w:sz="0" w:space="0" w:color="auto"/>
                <w:bottom w:val="none" w:sz="0" w:space="0" w:color="auto"/>
                <w:right w:val="none" w:sz="0" w:space="0" w:color="auto"/>
              </w:divBdr>
            </w:div>
            <w:div w:id="1491601471">
              <w:marLeft w:val="0"/>
              <w:marRight w:val="0"/>
              <w:marTop w:val="0"/>
              <w:marBottom w:val="0"/>
              <w:divBdr>
                <w:top w:val="none" w:sz="0" w:space="0" w:color="auto"/>
                <w:left w:val="none" w:sz="0" w:space="0" w:color="auto"/>
                <w:bottom w:val="none" w:sz="0" w:space="0" w:color="auto"/>
                <w:right w:val="none" w:sz="0" w:space="0" w:color="auto"/>
              </w:divBdr>
            </w:div>
            <w:div w:id="1797720729">
              <w:marLeft w:val="0"/>
              <w:marRight w:val="0"/>
              <w:marTop w:val="0"/>
              <w:marBottom w:val="0"/>
              <w:divBdr>
                <w:top w:val="none" w:sz="0" w:space="0" w:color="auto"/>
                <w:left w:val="none" w:sz="0" w:space="0" w:color="auto"/>
                <w:bottom w:val="none" w:sz="0" w:space="0" w:color="auto"/>
                <w:right w:val="none" w:sz="0" w:space="0" w:color="auto"/>
              </w:divBdr>
            </w:div>
          </w:divsChild>
        </w:div>
        <w:div w:id="884028549">
          <w:marLeft w:val="0"/>
          <w:marRight w:val="0"/>
          <w:marTop w:val="0"/>
          <w:marBottom w:val="0"/>
          <w:divBdr>
            <w:top w:val="none" w:sz="0" w:space="0" w:color="auto"/>
            <w:left w:val="none" w:sz="0" w:space="0" w:color="auto"/>
            <w:bottom w:val="none" w:sz="0" w:space="0" w:color="auto"/>
            <w:right w:val="none" w:sz="0" w:space="0" w:color="auto"/>
          </w:divBdr>
        </w:div>
        <w:div w:id="994799035">
          <w:marLeft w:val="0"/>
          <w:marRight w:val="0"/>
          <w:marTop w:val="0"/>
          <w:marBottom w:val="0"/>
          <w:divBdr>
            <w:top w:val="none" w:sz="0" w:space="0" w:color="auto"/>
            <w:left w:val="none" w:sz="0" w:space="0" w:color="auto"/>
            <w:bottom w:val="none" w:sz="0" w:space="0" w:color="auto"/>
            <w:right w:val="none" w:sz="0" w:space="0" w:color="auto"/>
          </w:divBdr>
        </w:div>
        <w:div w:id="1182624043">
          <w:marLeft w:val="0"/>
          <w:marRight w:val="0"/>
          <w:marTop w:val="0"/>
          <w:marBottom w:val="0"/>
          <w:divBdr>
            <w:top w:val="none" w:sz="0" w:space="0" w:color="auto"/>
            <w:left w:val="none" w:sz="0" w:space="0" w:color="auto"/>
            <w:bottom w:val="none" w:sz="0" w:space="0" w:color="auto"/>
            <w:right w:val="none" w:sz="0" w:space="0" w:color="auto"/>
          </w:divBdr>
        </w:div>
        <w:div w:id="1218778462">
          <w:marLeft w:val="0"/>
          <w:marRight w:val="0"/>
          <w:marTop w:val="0"/>
          <w:marBottom w:val="0"/>
          <w:divBdr>
            <w:top w:val="none" w:sz="0" w:space="0" w:color="auto"/>
            <w:left w:val="none" w:sz="0" w:space="0" w:color="auto"/>
            <w:bottom w:val="none" w:sz="0" w:space="0" w:color="auto"/>
            <w:right w:val="none" w:sz="0" w:space="0" w:color="auto"/>
          </w:divBdr>
        </w:div>
        <w:div w:id="1279483269">
          <w:marLeft w:val="0"/>
          <w:marRight w:val="0"/>
          <w:marTop w:val="0"/>
          <w:marBottom w:val="0"/>
          <w:divBdr>
            <w:top w:val="none" w:sz="0" w:space="0" w:color="auto"/>
            <w:left w:val="none" w:sz="0" w:space="0" w:color="auto"/>
            <w:bottom w:val="none" w:sz="0" w:space="0" w:color="auto"/>
            <w:right w:val="none" w:sz="0" w:space="0" w:color="auto"/>
          </w:divBdr>
        </w:div>
        <w:div w:id="1432512301">
          <w:marLeft w:val="0"/>
          <w:marRight w:val="0"/>
          <w:marTop w:val="0"/>
          <w:marBottom w:val="0"/>
          <w:divBdr>
            <w:top w:val="none" w:sz="0" w:space="0" w:color="auto"/>
            <w:left w:val="none" w:sz="0" w:space="0" w:color="auto"/>
            <w:bottom w:val="none" w:sz="0" w:space="0" w:color="auto"/>
            <w:right w:val="none" w:sz="0" w:space="0" w:color="auto"/>
          </w:divBdr>
          <w:divsChild>
            <w:div w:id="50349018">
              <w:marLeft w:val="0"/>
              <w:marRight w:val="0"/>
              <w:marTop w:val="0"/>
              <w:marBottom w:val="0"/>
              <w:divBdr>
                <w:top w:val="none" w:sz="0" w:space="0" w:color="auto"/>
                <w:left w:val="none" w:sz="0" w:space="0" w:color="auto"/>
                <w:bottom w:val="none" w:sz="0" w:space="0" w:color="auto"/>
                <w:right w:val="none" w:sz="0" w:space="0" w:color="auto"/>
              </w:divBdr>
            </w:div>
            <w:div w:id="130246601">
              <w:marLeft w:val="0"/>
              <w:marRight w:val="0"/>
              <w:marTop w:val="0"/>
              <w:marBottom w:val="0"/>
              <w:divBdr>
                <w:top w:val="none" w:sz="0" w:space="0" w:color="auto"/>
                <w:left w:val="none" w:sz="0" w:space="0" w:color="auto"/>
                <w:bottom w:val="none" w:sz="0" w:space="0" w:color="auto"/>
                <w:right w:val="none" w:sz="0" w:space="0" w:color="auto"/>
              </w:divBdr>
            </w:div>
            <w:div w:id="144586380">
              <w:marLeft w:val="0"/>
              <w:marRight w:val="0"/>
              <w:marTop w:val="0"/>
              <w:marBottom w:val="0"/>
              <w:divBdr>
                <w:top w:val="none" w:sz="0" w:space="0" w:color="auto"/>
                <w:left w:val="none" w:sz="0" w:space="0" w:color="auto"/>
                <w:bottom w:val="none" w:sz="0" w:space="0" w:color="auto"/>
                <w:right w:val="none" w:sz="0" w:space="0" w:color="auto"/>
              </w:divBdr>
            </w:div>
            <w:div w:id="391467595">
              <w:marLeft w:val="0"/>
              <w:marRight w:val="0"/>
              <w:marTop w:val="0"/>
              <w:marBottom w:val="0"/>
              <w:divBdr>
                <w:top w:val="none" w:sz="0" w:space="0" w:color="auto"/>
                <w:left w:val="none" w:sz="0" w:space="0" w:color="auto"/>
                <w:bottom w:val="none" w:sz="0" w:space="0" w:color="auto"/>
                <w:right w:val="none" w:sz="0" w:space="0" w:color="auto"/>
              </w:divBdr>
            </w:div>
            <w:div w:id="587619915">
              <w:marLeft w:val="0"/>
              <w:marRight w:val="0"/>
              <w:marTop w:val="0"/>
              <w:marBottom w:val="0"/>
              <w:divBdr>
                <w:top w:val="none" w:sz="0" w:space="0" w:color="auto"/>
                <w:left w:val="none" w:sz="0" w:space="0" w:color="auto"/>
                <w:bottom w:val="none" w:sz="0" w:space="0" w:color="auto"/>
                <w:right w:val="none" w:sz="0" w:space="0" w:color="auto"/>
              </w:divBdr>
            </w:div>
            <w:div w:id="945381141">
              <w:marLeft w:val="0"/>
              <w:marRight w:val="0"/>
              <w:marTop w:val="0"/>
              <w:marBottom w:val="0"/>
              <w:divBdr>
                <w:top w:val="none" w:sz="0" w:space="0" w:color="auto"/>
                <w:left w:val="none" w:sz="0" w:space="0" w:color="auto"/>
                <w:bottom w:val="none" w:sz="0" w:space="0" w:color="auto"/>
                <w:right w:val="none" w:sz="0" w:space="0" w:color="auto"/>
              </w:divBdr>
            </w:div>
            <w:div w:id="1002855420">
              <w:marLeft w:val="0"/>
              <w:marRight w:val="0"/>
              <w:marTop w:val="0"/>
              <w:marBottom w:val="0"/>
              <w:divBdr>
                <w:top w:val="none" w:sz="0" w:space="0" w:color="auto"/>
                <w:left w:val="none" w:sz="0" w:space="0" w:color="auto"/>
                <w:bottom w:val="none" w:sz="0" w:space="0" w:color="auto"/>
                <w:right w:val="none" w:sz="0" w:space="0" w:color="auto"/>
              </w:divBdr>
            </w:div>
            <w:div w:id="1013386686">
              <w:marLeft w:val="0"/>
              <w:marRight w:val="0"/>
              <w:marTop w:val="0"/>
              <w:marBottom w:val="0"/>
              <w:divBdr>
                <w:top w:val="none" w:sz="0" w:space="0" w:color="auto"/>
                <w:left w:val="none" w:sz="0" w:space="0" w:color="auto"/>
                <w:bottom w:val="none" w:sz="0" w:space="0" w:color="auto"/>
                <w:right w:val="none" w:sz="0" w:space="0" w:color="auto"/>
              </w:divBdr>
            </w:div>
            <w:div w:id="1105535582">
              <w:marLeft w:val="0"/>
              <w:marRight w:val="0"/>
              <w:marTop w:val="0"/>
              <w:marBottom w:val="0"/>
              <w:divBdr>
                <w:top w:val="none" w:sz="0" w:space="0" w:color="auto"/>
                <w:left w:val="none" w:sz="0" w:space="0" w:color="auto"/>
                <w:bottom w:val="none" w:sz="0" w:space="0" w:color="auto"/>
                <w:right w:val="none" w:sz="0" w:space="0" w:color="auto"/>
              </w:divBdr>
            </w:div>
            <w:div w:id="1222404606">
              <w:marLeft w:val="0"/>
              <w:marRight w:val="0"/>
              <w:marTop w:val="0"/>
              <w:marBottom w:val="0"/>
              <w:divBdr>
                <w:top w:val="none" w:sz="0" w:space="0" w:color="auto"/>
                <w:left w:val="none" w:sz="0" w:space="0" w:color="auto"/>
                <w:bottom w:val="none" w:sz="0" w:space="0" w:color="auto"/>
                <w:right w:val="none" w:sz="0" w:space="0" w:color="auto"/>
              </w:divBdr>
            </w:div>
            <w:div w:id="1380011814">
              <w:marLeft w:val="0"/>
              <w:marRight w:val="0"/>
              <w:marTop w:val="0"/>
              <w:marBottom w:val="0"/>
              <w:divBdr>
                <w:top w:val="none" w:sz="0" w:space="0" w:color="auto"/>
                <w:left w:val="none" w:sz="0" w:space="0" w:color="auto"/>
                <w:bottom w:val="none" w:sz="0" w:space="0" w:color="auto"/>
                <w:right w:val="none" w:sz="0" w:space="0" w:color="auto"/>
              </w:divBdr>
            </w:div>
            <w:div w:id="1400711169">
              <w:marLeft w:val="0"/>
              <w:marRight w:val="0"/>
              <w:marTop w:val="0"/>
              <w:marBottom w:val="0"/>
              <w:divBdr>
                <w:top w:val="none" w:sz="0" w:space="0" w:color="auto"/>
                <w:left w:val="none" w:sz="0" w:space="0" w:color="auto"/>
                <w:bottom w:val="none" w:sz="0" w:space="0" w:color="auto"/>
                <w:right w:val="none" w:sz="0" w:space="0" w:color="auto"/>
              </w:divBdr>
            </w:div>
            <w:div w:id="1477988481">
              <w:marLeft w:val="0"/>
              <w:marRight w:val="0"/>
              <w:marTop w:val="0"/>
              <w:marBottom w:val="0"/>
              <w:divBdr>
                <w:top w:val="none" w:sz="0" w:space="0" w:color="auto"/>
                <w:left w:val="none" w:sz="0" w:space="0" w:color="auto"/>
                <w:bottom w:val="none" w:sz="0" w:space="0" w:color="auto"/>
                <w:right w:val="none" w:sz="0" w:space="0" w:color="auto"/>
              </w:divBdr>
            </w:div>
            <w:div w:id="1556431065">
              <w:marLeft w:val="0"/>
              <w:marRight w:val="0"/>
              <w:marTop w:val="0"/>
              <w:marBottom w:val="0"/>
              <w:divBdr>
                <w:top w:val="none" w:sz="0" w:space="0" w:color="auto"/>
                <w:left w:val="none" w:sz="0" w:space="0" w:color="auto"/>
                <w:bottom w:val="none" w:sz="0" w:space="0" w:color="auto"/>
                <w:right w:val="none" w:sz="0" w:space="0" w:color="auto"/>
              </w:divBdr>
            </w:div>
            <w:div w:id="1608808852">
              <w:marLeft w:val="0"/>
              <w:marRight w:val="0"/>
              <w:marTop w:val="0"/>
              <w:marBottom w:val="0"/>
              <w:divBdr>
                <w:top w:val="none" w:sz="0" w:space="0" w:color="auto"/>
                <w:left w:val="none" w:sz="0" w:space="0" w:color="auto"/>
                <w:bottom w:val="none" w:sz="0" w:space="0" w:color="auto"/>
                <w:right w:val="none" w:sz="0" w:space="0" w:color="auto"/>
              </w:divBdr>
            </w:div>
            <w:div w:id="1793211422">
              <w:marLeft w:val="0"/>
              <w:marRight w:val="0"/>
              <w:marTop w:val="0"/>
              <w:marBottom w:val="0"/>
              <w:divBdr>
                <w:top w:val="none" w:sz="0" w:space="0" w:color="auto"/>
                <w:left w:val="none" w:sz="0" w:space="0" w:color="auto"/>
                <w:bottom w:val="none" w:sz="0" w:space="0" w:color="auto"/>
                <w:right w:val="none" w:sz="0" w:space="0" w:color="auto"/>
              </w:divBdr>
            </w:div>
            <w:div w:id="1987125357">
              <w:marLeft w:val="0"/>
              <w:marRight w:val="0"/>
              <w:marTop w:val="0"/>
              <w:marBottom w:val="0"/>
              <w:divBdr>
                <w:top w:val="none" w:sz="0" w:space="0" w:color="auto"/>
                <w:left w:val="none" w:sz="0" w:space="0" w:color="auto"/>
                <w:bottom w:val="none" w:sz="0" w:space="0" w:color="auto"/>
                <w:right w:val="none" w:sz="0" w:space="0" w:color="auto"/>
              </w:divBdr>
            </w:div>
            <w:div w:id="2034065167">
              <w:marLeft w:val="0"/>
              <w:marRight w:val="0"/>
              <w:marTop w:val="0"/>
              <w:marBottom w:val="0"/>
              <w:divBdr>
                <w:top w:val="none" w:sz="0" w:space="0" w:color="auto"/>
                <w:left w:val="none" w:sz="0" w:space="0" w:color="auto"/>
                <w:bottom w:val="none" w:sz="0" w:space="0" w:color="auto"/>
                <w:right w:val="none" w:sz="0" w:space="0" w:color="auto"/>
              </w:divBdr>
            </w:div>
            <w:div w:id="2057702092">
              <w:marLeft w:val="0"/>
              <w:marRight w:val="0"/>
              <w:marTop w:val="0"/>
              <w:marBottom w:val="0"/>
              <w:divBdr>
                <w:top w:val="none" w:sz="0" w:space="0" w:color="auto"/>
                <w:left w:val="none" w:sz="0" w:space="0" w:color="auto"/>
                <w:bottom w:val="none" w:sz="0" w:space="0" w:color="auto"/>
                <w:right w:val="none" w:sz="0" w:space="0" w:color="auto"/>
              </w:divBdr>
            </w:div>
            <w:div w:id="2080637553">
              <w:marLeft w:val="0"/>
              <w:marRight w:val="0"/>
              <w:marTop w:val="0"/>
              <w:marBottom w:val="0"/>
              <w:divBdr>
                <w:top w:val="none" w:sz="0" w:space="0" w:color="auto"/>
                <w:left w:val="none" w:sz="0" w:space="0" w:color="auto"/>
                <w:bottom w:val="none" w:sz="0" w:space="0" w:color="auto"/>
                <w:right w:val="none" w:sz="0" w:space="0" w:color="auto"/>
              </w:divBdr>
            </w:div>
          </w:divsChild>
        </w:div>
        <w:div w:id="1605772988">
          <w:marLeft w:val="0"/>
          <w:marRight w:val="0"/>
          <w:marTop w:val="0"/>
          <w:marBottom w:val="0"/>
          <w:divBdr>
            <w:top w:val="none" w:sz="0" w:space="0" w:color="auto"/>
            <w:left w:val="none" w:sz="0" w:space="0" w:color="auto"/>
            <w:bottom w:val="none" w:sz="0" w:space="0" w:color="auto"/>
            <w:right w:val="none" w:sz="0" w:space="0" w:color="auto"/>
          </w:divBdr>
        </w:div>
        <w:div w:id="1696072974">
          <w:marLeft w:val="0"/>
          <w:marRight w:val="0"/>
          <w:marTop w:val="0"/>
          <w:marBottom w:val="0"/>
          <w:divBdr>
            <w:top w:val="none" w:sz="0" w:space="0" w:color="auto"/>
            <w:left w:val="none" w:sz="0" w:space="0" w:color="auto"/>
            <w:bottom w:val="none" w:sz="0" w:space="0" w:color="auto"/>
            <w:right w:val="none" w:sz="0" w:space="0" w:color="auto"/>
          </w:divBdr>
        </w:div>
        <w:div w:id="1704280325">
          <w:marLeft w:val="0"/>
          <w:marRight w:val="0"/>
          <w:marTop w:val="0"/>
          <w:marBottom w:val="0"/>
          <w:divBdr>
            <w:top w:val="none" w:sz="0" w:space="0" w:color="auto"/>
            <w:left w:val="none" w:sz="0" w:space="0" w:color="auto"/>
            <w:bottom w:val="none" w:sz="0" w:space="0" w:color="auto"/>
            <w:right w:val="none" w:sz="0" w:space="0" w:color="auto"/>
          </w:divBdr>
        </w:div>
        <w:div w:id="1706521877">
          <w:marLeft w:val="0"/>
          <w:marRight w:val="0"/>
          <w:marTop w:val="0"/>
          <w:marBottom w:val="0"/>
          <w:divBdr>
            <w:top w:val="none" w:sz="0" w:space="0" w:color="auto"/>
            <w:left w:val="none" w:sz="0" w:space="0" w:color="auto"/>
            <w:bottom w:val="none" w:sz="0" w:space="0" w:color="auto"/>
            <w:right w:val="none" w:sz="0" w:space="0" w:color="auto"/>
          </w:divBdr>
          <w:divsChild>
            <w:div w:id="2024243038">
              <w:marLeft w:val="-75"/>
              <w:marRight w:val="0"/>
              <w:marTop w:val="30"/>
              <w:marBottom w:val="30"/>
              <w:divBdr>
                <w:top w:val="none" w:sz="0" w:space="0" w:color="auto"/>
                <w:left w:val="none" w:sz="0" w:space="0" w:color="auto"/>
                <w:bottom w:val="none" w:sz="0" w:space="0" w:color="auto"/>
                <w:right w:val="none" w:sz="0" w:space="0" w:color="auto"/>
              </w:divBdr>
              <w:divsChild>
                <w:div w:id="239026507">
                  <w:marLeft w:val="0"/>
                  <w:marRight w:val="0"/>
                  <w:marTop w:val="0"/>
                  <w:marBottom w:val="0"/>
                  <w:divBdr>
                    <w:top w:val="none" w:sz="0" w:space="0" w:color="auto"/>
                    <w:left w:val="none" w:sz="0" w:space="0" w:color="auto"/>
                    <w:bottom w:val="none" w:sz="0" w:space="0" w:color="auto"/>
                    <w:right w:val="none" w:sz="0" w:space="0" w:color="auto"/>
                  </w:divBdr>
                  <w:divsChild>
                    <w:div w:id="983512365">
                      <w:marLeft w:val="0"/>
                      <w:marRight w:val="0"/>
                      <w:marTop w:val="0"/>
                      <w:marBottom w:val="0"/>
                      <w:divBdr>
                        <w:top w:val="none" w:sz="0" w:space="0" w:color="auto"/>
                        <w:left w:val="none" w:sz="0" w:space="0" w:color="auto"/>
                        <w:bottom w:val="none" w:sz="0" w:space="0" w:color="auto"/>
                        <w:right w:val="none" w:sz="0" w:space="0" w:color="auto"/>
                      </w:divBdr>
                    </w:div>
                  </w:divsChild>
                </w:div>
                <w:div w:id="515312351">
                  <w:marLeft w:val="0"/>
                  <w:marRight w:val="0"/>
                  <w:marTop w:val="0"/>
                  <w:marBottom w:val="0"/>
                  <w:divBdr>
                    <w:top w:val="none" w:sz="0" w:space="0" w:color="auto"/>
                    <w:left w:val="none" w:sz="0" w:space="0" w:color="auto"/>
                    <w:bottom w:val="none" w:sz="0" w:space="0" w:color="auto"/>
                    <w:right w:val="none" w:sz="0" w:space="0" w:color="auto"/>
                  </w:divBdr>
                  <w:divsChild>
                    <w:div w:id="863441862">
                      <w:marLeft w:val="0"/>
                      <w:marRight w:val="0"/>
                      <w:marTop w:val="0"/>
                      <w:marBottom w:val="0"/>
                      <w:divBdr>
                        <w:top w:val="none" w:sz="0" w:space="0" w:color="auto"/>
                        <w:left w:val="none" w:sz="0" w:space="0" w:color="auto"/>
                        <w:bottom w:val="none" w:sz="0" w:space="0" w:color="auto"/>
                        <w:right w:val="none" w:sz="0" w:space="0" w:color="auto"/>
                      </w:divBdr>
                    </w:div>
                  </w:divsChild>
                </w:div>
                <w:div w:id="548541119">
                  <w:marLeft w:val="0"/>
                  <w:marRight w:val="0"/>
                  <w:marTop w:val="0"/>
                  <w:marBottom w:val="0"/>
                  <w:divBdr>
                    <w:top w:val="none" w:sz="0" w:space="0" w:color="auto"/>
                    <w:left w:val="none" w:sz="0" w:space="0" w:color="auto"/>
                    <w:bottom w:val="none" w:sz="0" w:space="0" w:color="auto"/>
                    <w:right w:val="none" w:sz="0" w:space="0" w:color="auto"/>
                  </w:divBdr>
                  <w:divsChild>
                    <w:div w:id="2091346438">
                      <w:marLeft w:val="0"/>
                      <w:marRight w:val="0"/>
                      <w:marTop w:val="0"/>
                      <w:marBottom w:val="0"/>
                      <w:divBdr>
                        <w:top w:val="none" w:sz="0" w:space="0" w:color="auto"/>
                        <w:left w:val="none" w:sz="0" w:space="0" w:color="auto"/>
                        <w:bottom w:val="none" w:sz="0" w:space="0" w:color="auto"/>
                        <w:right w:val="none" w:sz="0" w:space="0" w:color="auto"/>
                      </w:divBdr>
                    </w:div>
                  </w:divsChild>
                </w:div>
                <w:div w:id="766584691">
                  <w:marLeft w:val="0"/>
                  <w:marRight w:val="0"/>
                  <w:marTop w:val="0"/>
                  <w:marBottom w:val="0"/>
                  <w:divBdr>
                    <w:top w:val="none" w:sz="0" w:space="0" w:color="auto"/>
                    <w:left w:val="none" w:sz="0" w:space="0" w:color="auto"/>
                    <w:bottom w:val="none" w:sz="0" w:space="0" w:color="auto"/>
                    <w:right w:val="none" w:sz="0" w:space="0" w:color="auto"/>
                  </w:divBdr>
                  <w:divsChild>
                    <w:div w:id="608633010">
                      <w:marLeft w:val="0"/>
                      <w:marRight w:val="0"/>
                      <w:marTop w:val="0"/>
                      <w:marBottom w:val="0"/>
                      <w:divBdr>
                        <w:top w:val="none" w:sz="0" w:space="0" w:color="auto"/>
                        <w:left w:val="none" w:sz="0" w:space="0" w:color="auto"/>
                        <w:bottom w:val="none" w:sz="0" w:space="0" w:color="auto"/>
                        <w:right w:val="none" w:sz="0" w:space="0" w:color="auto"/>
                      </w:divBdr>
                    </w:div>
                  </w:divsChild>
                </w:div>
                <w:div w:id="778568440">
                  <w:marLeft w:val="0"/>
                  <w:marRight w:val="0"/>
                  <w:marTop w:val="0"/>
                  <w:marBottom w:val="0"/>
                  <w:divBdr>
                    <w:top w:val="none" w:sz="0" w:space="0" w:color="auto"/>
                    <w:left w:val="none" w:sz="0" w:space="0" w:color="auto"/>
                    <w:bottom w:val="none" w:sz="0" w:space="0" w:color="auto"/>
                    <w:right w:val="none" w:sz="0" w:space="0" w:color="auto"/>
                  </w:divBdr>
                  <w:divsChild>
                    <w:div w:id="1692563936">
                      <w:marLeft w:val="0"/>
                      <w:marRight w:val="0"/>
                      <w:marTop w:val="0"/>
                      <w:marBottom w:val="0"/>
                      <w:divBdr>
                        <w:top w:val="none" w:sz="0" w:space="0" w:color="auto"/>
                        <w:left w:val="none" w:sz="0" w:space="0" w:color="auto"/>
                        <w:bottom w:val="none" w:sz="0" w:space="0" w:color="auto"/>
                        <w:right w:val="none" w:sz="0" w:space="0" w:color="auto"/>
                      </w:divBdr>
                    </w:div>
                  </w:divsChild>
                </w:div>
                <w:div w:id="913977996">
                  <w:marLeft w:val="0"/>
                  <w:marRight w:val="0"/>
                  <w:marTop w:val="0"/>
                  <w:marBottom w:val="0"/>
                  <w:divBdr>
                    <w:top w:val="none" w:sz="0" w:space="0" w:color="auto"/>
                    <w:left w:val="none" w:sz="0" w:space="0" w:color="auto"/>
                    <w:bottom w:val="none" w:sz="0" w:space="0" w:color="auto"/>
                    <w:right w:val="none" w:sz="0" w:space="0" w:color="auto"/>
                  </w:divBdr>
                  <w:divsChild>
                    <w:div w:id="473523615">
                      <w:marLeft w:val="0"/>
                      <w:marRight w:val="0"/>
                      <w:marTop w:val="0"/>
                      <w:marBottom w:val="0"/>
                      <w:divBdr>
                        <w:top w:val="none" w:sz="0" w:space="0" w:color="auto"/>
                        <w:left w:val="none" w:sz="0" w:space="0" w:color="auto"/>
                        <w:bottom w:val="none" w:sz="0" w:space="0" w:color="auto"/>
                        <w:right w:val="none" w:sz="0" w:space="0" w:color="auto"/>
                      </w:divBdr>
                    </w:div>
                  </w:divsChild>
                </w:div>
                <w:div w:id="1029989753">
                  <w:marLeft w:val="0"/>
                  <w:marRight w:val="0"/>
                  <w:marTop w:val="0"/>
                  <w:marBottom w:val="0"/>
                  <w:divBdr>
                    <w:top w:val="none" w:sz="0" w:space="0" w:color="auto"/>
                    <w:left w:val="none" w:sz="0" w:space="0" w:color="auto"/>
                    <w:bottom w:val="none" w:sz="0" w:space="0" w:color="auto"/>
                    <w:right w:val="none" w:sz="0" w:space="0" w:color="auto"/>
                  </w:divBdr>
                  <w:divsChild>
                    <w:div w:id="1801453693">
                      <w:marLeft w:val="0"/>
                      <w:marRight w:val="0"/>
                      <w:marTop w:val="0"/>
                      <w:marBottom w:val="0"/>
                      <w:divBdr>
                        <w:top w:val="none" w:sz="0" w:space="0" w:color="auto"/>
                        <w:left w:val="none" w:sz="0" w:space="0" w:color="auto"/>
                        <w:bottom w:val="none" w:sz="0" w:space="0" w:color="auto"/>
                        <w:right w:val="none" w:sz="0" w:space="0" w:color="auto"/>
                      </w:divBdr>
                    </w:div>
                  </w:divsChild>
                </w:div>
                <w:div w:id="1122111115">
                  <w:marLeft w:val="0"/>
                  <w:marRight w:val="0"/>
                  <w:marTop w:val="0"/>
                  <w:marBottom w:val="0"/>
                  <w:divBdr>
                    <w:top w:val="none" w:sz="0" w:space="0" w:color="auto"/>
                    <w:left w:val="none" w:sz="0" w:space="0" w:color="auto"/>
                    <w:bottom w:val="none" w:sz="0" w:space="0" w:color="auto"/>
                    <w:right w:val="none" w:sz="0" w:space="0" w:color="auto"/>
                  </w:divBdr>
                  <w:divsChild>
                    <w:div w:id="339158000">
                      <w:marLeft w:val="0"/>
                      <w:marRight w:val="0"/>
                      <w:marTop w:val="0"/>
                      <w:marBottom w:val="0"/>
                      <w:divBdr>
                        <w:top w:val="none" w:sz="0" w:space="0" w:color="auto"/>
                        <w:left w:val="none" w:sz="0" w:space="0" w:color="auto"/>
                        <w:bottom w:val="none" w:sz="0" w:space="0" w:color="auto"/>
                        <w:right w:val="none" w:sz="0" w:space="0" w:color="auto"/>
                      </w:divBdr>
                    </w:div>
                  </w:divsChild>
                </w:div>
                <w:div w:id="1130781570">
                  <w:marLeft w:val="0"/>
                  <w:marRight w:val="0"/>
                  <w:marTop w:val="0"/>
                  <w:marBottom w:val="0"/>
                  <w:divBdr>
                    <w:top w:val="none" w:sz="0" w:space="0" w:color="auto"/>
                    <w:left w:val="none" w:sz="0" w:space="0" w:color="auto"/>
                    <w:bottom w:val="none" w:sz="0" w:space="0" w:color="auto"/>
                    <w:right w:val="none" w:sz="0" w:space="0" w:color="auto"/>
                  </w:divBdr>
                  <w:divsChild>
                    <w:div w:id="48118606">
                      <w:marLeft w:val="0"/>
                      <w:marRight w:val="0"/>
                      <w:marTop w:val="0"/>
                      <w:marBottom w:val="0"/>
                      <w:divBdr>
                        <w:top w:val="none" w:sz="0" w:space="0" w:color="auto"/>
                        <w:left w:val="none" w:sz="0" w:space="0" w:color="auto"/>
                        <w:bottom w:val="none" w:sz="0" w:space="0" w:color="auto"/>
                        <w:right w:val="none" w:sz="0" w:space="0" w:color="auto"/>
                      </w:divBdr>
                    </w:div>
                  </w:divsChild>
                </w:div>
                <w:div w:id="1316494028">
                  <w:marLeft w:val="0"/>
                  <w:marRight w:val="0"/>
                  <w:marTop w:val="0"/>
                  <w:marBottom w:val="0"/>
                  <w:divBdr>
                    <w:top w:val="none" w:sz="0" w:space="0" w:color="auto"/>
                    <w:left w:val="none" w:sz="0" w:space="0" w:color="auto"/>
                    <w:bottom w:val="none" w:sz="0" w:space="0" w:color="auto"/>
                    <w:right w:val="none" w:sz="0" w:space="0" w:color="auto"/>
                  </w:divBdr>
                  <w:divsChild>
                    <w:div w:id="141242260">
                      <w:marLeft w:val="0"/>
                      <w:marRight w:val="0"/>
                      <w:marTop w:val="0"/>
                      <w:marBottom w:val="0"/>
                      <w:divBdr>
                        <w:top w:val="none" w:sz="0" w:space="0" w:color="auto"/>
                        <w:left w:val="none" w:sz="0" w:space="0" w:color="auto"/>
                        <w:bottom w:val="none" w:sz="0" w:space="0" w:color="auto"/>
                        <w:right w:val="none" w:sz="0" w:space="0" w:color="auto"/>
                      </w:divBdr>
                    </w:div>
                  </w:divsChild>
                </w:div>
                <w:div w:id="1683049096">
                  <w:marLeft w:val="0"/>
                  <w:marRight w:val="0"/>
                  <w:marTop w:val="0"/>
                  <w:marBottom w:val="0"/>
                  <w:divBdr>
                    <w:top w:val="none" w:sz="0" w:space="0" w:color="auto"/>
                    <w:left w:val="none" w:sz="0" w:space="0" w:color="auto"/>
                    <w:bottom w:val="none" w:sz="0" w:space="0" w:color="auto"/>
                    <w:right w:val="none" w:sz="0" w:space="0" w:color="auto"/>
                  </w:divBdr>
                  <w:divsChild>
                    <w:div w:id="209078640">
                      <w:marLeft w:val="0"/>
                      <w:marRight w:val="0"/>
                      <w:marTop w:val="0"/>
                      <w:marBottom w:val="0"/>
                      <w:divBdr>
                        <w:top w:val="none" w:sz="0" w:space="0" w:color="auto"/>
                        <w:left w:val="none" w:sz="0" w:space="0" w:color="auto"/>
                        <w:bottom w:val="none" w:sz="0" w:space="0" w:color="auto"/>
                        <w:right w:val="none" w:sz="0" w:space="0" w:color="auto"/>
                      </w:divBdr>
                    </w:div>
                  </w:divsChild>
                </w:div>
                <w:div w:id="1712799044">
                  <w:marLeft w:val="0"/>
                  <w:marRight w:val="0"/>
                  <w:marTop w:val="0"/>
                  <w:marBottom w:val="0"/>
                  <w:divBdr>
                    <w:top w:val="none" w:sz="0" w:space="0" w:color="auto"/>
                    <w:left w:val="none" w:sz="0" w:space="0" w:color="auto"/>
                    <w:bottom w:val="none" w:sz="0" w:space="0" w:color="auto"/>
                    <w:right w:val="none" w:sz="0" w:space="0" w:color="auto"/>
                  </w:divBdr>
                  <w:divsChild>
                    <w:div w:id="1182814566">
                      <w:marLeft w:val="0"/>
                      <w:marRight w:val="0"/>
                      <w:marTop w:val="0"/>
                      <w:marBottom w:val="0"/>
                      <w:divBdr>
                        <w:top w:val="none" w:sz="0" w:space="0" w:color="auto"/>
                        <w:left w:val="none" w:sz="0" w:space="0" w:color="auto"/>
                        <w:bottom w:val="none" w:sz="0" w:space="0" w:color="auto"/>
                        <w:right w:val="none" w:sz="0" w:space="0" w:color="auto"/>
                      </w:divBdr>
                    </w:div>
                  </w:divsChild>
                </w:div>
                <w:div w:id="1944260872">
                  <w:marLeft w:val="0"/>
                  <w:marRight w:val="0"/>
                  <w:marTop w:val="0"/>
                  <w:marBottom w:val="0"/>
                  <w:divBdr>
                    <w:top w:val="none" w:sz="0" w:space="0" w:color="auto"/>
                    <w:left w:val="none" w:sz="0" w:space="0" w:color="auto"/>
                    <w:bottom w:val="none" w:sz="0" w:space="0" w:color="auto"/>
                    <w:right w:val="none" w:sz="0" w:space="0" w:color="auto"/>
                  </w:divBdr>
                  <w:divsChild>
                    <w:div w:id="1885212312">
                      <w:marLeft w:val="0"/>
                      <w:marRight w:val="0"/>
                      <w:marTop w:val="0"/>
                      <w:marBottom w:val="0"/>
                      <w:divBdr>
                        <w:top w:val="none" w:sz="0" w:space="0" w:color="auto"/>
                        <w:left w:val="none" w:sz="0" w:space="0" w:color="auto"/>
                        <w:bottom w:val="none" w:sz="0" w:space="0" w:color="auto"/>
                        <w:right w:val="none" w:sz="0" w:space="0" w:color="auto"/>
                      </w:divBdr>
                    </w:div>
                  </w:divsChild>
                </w:div>
                <w:div w:id="1978409721">
                  <w:marLeft w:val="0"/>
                  <w:marRight w:val="0"/>
                  <w:marTop w:val="0"/>
                  <w:marBottom w:val="0"/>
                  <w:divBdr>
                    <w:top w:val="none" w:sz="0" w:space="0" w:color="auto"/>
                    <w:left w:val="none" w:sz="0" w:space="0" w:color="auto"/>
                    <w:bottom w:val="none" w:sz="0" w:space="0" w:color="auto"/>
                    <w:right w:val="none" w:sz="0" w:space="0" w:color="auto"/>
                  </w:divBdr>
                  <w:divsChild>
                    <w:div w:id="544173727">
                      <w:marLeft w:val="0"/>
                      <w:marRight w:val="0"/>
                      <w:marTop w:val="0"/>
                      <w:marBottom w:val="0"/>
                      <w:divBdr>
                        <w:top w:val="none" w:sz="0" w:space="0" w:color="auto"/>
                        <w:left w:val="none" w:sz="0" w:space="0" w:color="auto"/>
                        <w:bottom w:val="none" w:sz="0" w:space="0" w:color="auto"/>
                        <w:right w:val="none" w:sz="0" w:space="0" w:color="auto"/>
                      </w:divBdr>
                    </w:div>
                  </w:divsChild>
                </w:div>
                <w:div w:id="2025861638">
                  <w:marLeft w:val="0"/>
                  <w:marRight w:val="0"/>
                  <w:marTop w:val="0"/>
                  <w:marBottom w:val="0"/>
                  <w:divBdr>
                    <w:top w:val="none" w:sz="0" w:space="0" w:color="auto"/>
                    <w:left w:val="none" w:sz="0" w:space="0" w:color="auto"/>
                    <w:bottom w:val="none" w:sz="0" w:space="0" w:color="auto"/>
                    <w:right w:val="none" w:sz="0" w:space="0" w:color="auto"/>
                  </w:divBdr>
                  <w:divsChild>
                    <w:div w:id="1751853279">
                      <w:marLeft w:val="0"/>
                      <w:marRight w:val="0"/>
                      <w:marTop w:val="0"/>
                      <w:marBottom w:val="0"/>
                      <w:divBdr>
                        <w:top w:val="none" w:sz="0" w:space="0" w:color="auto"/>
                        <w:left w:val="none" w:sz="0" w:space="0" w:color="auto"/>
                        <w:bottom w:val="none" w:sz="0" w:space="0" w:color="auto"/>
                        <w:right w:val="none" w:sz="0" w:space="0" w:color="auto"/>
                      </w:divBdr>
                    </w:div>
                  </w:divsChild>
                </w:div>
                <w:div w:id="2058359486">
                  <w:marLeft w:val="0"/>
                  <w:marRight w:val="0"/>
                  <w:marTop w:val="0"/>
                  <w:marBottom w:val="0"/>
                  <w:divBdr>
                    <w:top w:val="none" w:sz="0" w:space="0" w:color="auto"/>
                    <w:left w:val="none" w:sz="0" w:space="0" w:color="auto"/>
                    <w:bottom w:val="none" w:sz="0" w:space="0" w:color="auto"/>
                    <w:right w:val="none" w:sz="0" w:space="0" w:color="auto"/>
                  </w:divBdr>
                  <w:divsChild>
                    <w:div w:id="166127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62258">
          <w:marLeft w:val="0"/>
          <w:marRight w:val="0"/>
          <w:marTop w:val="0"/>
          <w:marBottom w:val="0"/>
          <w:divBdr>
            <w:top w:val="none" w:sz="0" w:space="0" w:color="auto"/>
            <w:left w:val="none" w:sz="0" w:space="0" w:color="auto"/>
            <w:bottom w:val="none" w:sz="0" w:space="0" w:color="auto"/>
            <w:right w:val="none" w:sz="0" w:space="0" w:color="auto"/>
          </w:divBdr>
        </w:div>
        <w:div w:id="1767994783">
          <w:marLeft w:val="0"/>
          <w:marRight w:val="0"/>
          <w:marTop w:val="0"/>
          <w:marBottom w:val="0"/>
          <w:divBdr>
            <w:top w:val="none" w:sz="0" w:space="0" w:color="auto"/>
            <w:left w:val="none" w:sz="0" w:space="0" w:color="auto"/>
            <w:bottom w:val="none" w:sz="0" w:space="0" w:color="auto"/>
            <w:right w:val="none" w:sz="0" w:space="0" w:color="auto"/>
          </w:divBdr>
        </w:div>
        <w:div w:id="2036273474">
          <w:marLeft w:val="0"/>
          <w:marRight w:val="0"/>
          <w:marTop w:val="0"/>
          <w:marBottom w:val="0"/>
          <w:divBdr>
            <w:top w:val="none" w:sz="0" w:space="0" w:color="auto"/>
            <w:left w:val="none" w:sz="0" w:space="0" w:color="auto"/>
            <w:bottom w:val="none" w:sz="0" w:space="0" w:color="auto"/>
            <w:right w:val="none" w:sz="0" w:space="0" w:color="auto"/>
          </w:divBdr>
        </w:div>
        <w:div w:id="2095973252">
          <w:marLeft w:val="0"/>
          <w:marRight w:val="0"/>
          <w:marTop w:val="0"/>
          <w:marBottom w:val="0"/>
          <w:divBdr>
            <w:top w:val="none" w:sz="0" w:space="0" w:color="auto"/>
            <w:left w:val="none" w:sz="0" w:space="0" w:color="auto"/>
            <w:bottom w:val="none" w:sz="0" w:space="0" w:color="auto"/>
            <w:right w:val="none" w:sz="0" w:space="0" w:color="auto"/>
          </w:divBdr>
          <w:divsChild>
            <w:div w:id="323440323">
              <w:marLeft w:val="0"/>
              <w:marRight w:val="0"/>
              <w:marTop w:val="0"/>
              <w:marBottom w:val="0"/>
              <w:divBdr>
                <w:top w:val="none" w:sz="0" w:space="0" w:color="auto"/>
                <w:left w:val="none" w:sz="0" w:space="0" w:color="auto"/>
                <w:bottom w:val="none" w:sz="0" w:space="0" w:color="auto"/>
                <w:right w:val="none" w:sz="0" w:space="0" w:color="auto"/>
              </w:divBdr>
            </w:div>
            <w:div w:id="359865842">
              <w:marLeft w:val="0"/>
              <w:marRight w:val="0"/>
              <w:marTop w:val="0"/>
              <w:marBottom w:val="0"/>
              <w:divBdr>
                <w:top w:val="none" w:sz="0" w:space="0" w:color="auto"/>
                <w:left w:val="none" w:sz="0" w:space="0" w:color="auto"/>
                <w:bottom w:val="none" w:sz="0" w:space="0" w:color="auto"/>
                <w:right w:val="none" w:sz="0" w:space="0" w:color="auto"/>
              </w:divBdr>
            </w:div>
            <w:div w:id="531384075">
              <w:marLeft w:val="0"/>
              <w:marRight w:val="0"/>
              <w:marTop w:val="0"/>
              <w:marBottom w:val="0"/>
              <w:divBdr>
                <w:top w:val="none" w:sz="0" w:space="0" w:color="auto"/>
                <w:left w:val="none" w:sz="0" w:space="0" w:color="auto"/>
                <w:bottom w:val="none" w:sz="0" w:space="0" w:color="auto"/>
                <w:right w:val="none" w:sz="0" w:space="0" w:color="auto"/>
              </w:divBdr>
            </w:div>
            <w:div w:id="969046790">
              <w:marLeft w:val="0"/>
              <w:marRight w:val="0"/>
              <w:marTop w:val="0"/>
              <w:marBottom w:val="0"/>
              <w:divBdr>
                <w:top w:val="none" w:sz="0" w:space="0" w:color="auto"/>
                <w:left w:val="none" w:sz="0" w:space="0" w:color="auto"/>
                <w:bottom w:val="none" w:sz="0" w:space="0" w:color="auto"/>
                <w:right w:val="none" w:sz="0" w:space="0" w:color="auto"/>
              </w:divBdr>
            </w:div>
            <w:div w:id="1133868827">
              <w:marLeft w:val="0"/>
              <w:marRight w:val="0"/>
              <w:marTop w:val="0"/>
              <w:marBottom w:val="0"/>
              <w:divBdr>
                <w:top w:val="none" w:sz="0" w:space="0" w:color="auto"/>
                <w:left w:val="none" w:sz="0" w:space="0" w:color="auto"/>
                <w:bottom w:val="none" w:sz="0" w:space="0" w:color="auto"/>
                <w:right w:val="none" w:sz="0" w:space="0" w:color="auto"/>
              </w:divBdr>
            </w:div>
            <w:div w:id="1227959205">
              <w:marLeft w:val="0"/>
              <w:marRight w:val="0"/>
              <w:marTop w:val="0"/>
              <w:marBottom w:val="0"/>
              <w:divBdr>
                <w:top w:val="none" w:sz="0" w:space="0" w:color="auto"/>
                <w:left w:val="none" w:sz="0" w:space="0" w:color="auto"/>
                <w:bottom w:val="none" w:sz="0" w:space="0" w:color="auto"/>
                <w:right w:val="none" w:sz="0" w:space="0" w:color="auto"/>
              </w:divBdr>
            </w:div>
            <w:div w:id="1496022800">
              <w:marLeft w:val="0"/>
              <w:marRight w:val="0"/>
              <w:marTop w:val="0"/>
              <w:marBottom w:val="0"/>
              <w:divBdr>
                <w:top w:val="none" w:sz="0" w:space="0" w:color="auto"/>
                <w:left w:val="none" w:sz="0" w:space="0" w:color="auto"/>
                <w:bottom w:val="none" w:sz="0" w:space="0" w:color="auto"/>
                <w:right w:val="none" w:sz="0" w:space="0" w:color="auto"/>
              </w:divBdr>
            </w:div>
            <w:div w:id="1527601877">
              <w:marLeft w:val="0"/>
              <w:marRight w:val="0"/>
              <w:marTop w:val="0"/>
              <w:marBottom w:val="0"/>
              <w:divBdr>
                <w:top w:val="none" w:sz="0" w:space="0" w:color="auto"/>
                <w:left w:val="none" w:sz="0" w:space="0" w:color="auto"/>
                <w:bottom w:val="none" w:sz="0" w:space="0" w:color="auto"/>
                <w:right w:val="none" w:sz="0" w:space="0" w:color="auto"/>
              </w:divBdr>
            </w:div>
            <w:div w:id="1576089255">
              <w:marLeft w:val="0"/>
              <w:marRight w:val="0"/>
              <w:marTop w:val="0"/>
              <w:marBottom w:val="0"/>
              <w:divBdr>
                <w:top w:val="none" w:sz="0" w:space="0" w:color="auto"/>
                <w:left w:val="none" w:sz="0" w:space="0" w:color="auto"/>
                <w:bottom w:val="none" w:sz="0" w:space="0" w:color="auto"/>
                <w:right w:val="none" w:sz="0" w:space="0" w:color="auto"/>
              </w:divBdr>
            </w:div>
            <w:div w:id="214481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0484">
      <w:bodyDiv w:val="1"/>
      <w:marLeft w:val="0"/>
      <w:marRight w:val="0"/>
      <w:marTop w:val="0"/>
      <w:marBottom w:val="0"/>
      <w:divBdr>
        <w:top w:val="none" w:sz="0" w:space="0" w:color="auto"/>
        <w:left w:val="none" w:sz="0" w:space="0" w:color="auto"/>
        <w:bottom w:val="none" w:sz="0" w:space="0" w:color="auto"/>
        <w:right w:val="none" w:sz="0" w:space="0" w:color="auto"/>
      </w:divBdr>
      <w:divsChild>
        <w:div w:id="1325890302">
          <w:marLeft w:val="0"/>
          <w:marRight w:val="0"/>
          <w:marTop w:val="0"/>
          <w:marBottom w:val="0"/>
          <w:divBdr>
            <w:top w:val="none" w:sz="0" w:space="0" w:color="auto"/>
            <w:left w:val="none" w:sz="0" w:space="0" w:color="auto"/>
            <w:bottom w:val="none" w:sz="0" w:space="0" w:color="auto"/>
            <w:right w:val="none" w:sz="0" w:space="0" w:color="auto"/>
          </w:divBdr>
        </w:div>
        <w:div w:id="2033996218">
          <w:marLeft w:val="0"/>
          <w:marRight w:val="0"/>
          <w:marTop w:val="0"/>
          <w:marBottom w:val="0"/>
          <w:divBdr>
            <w:top w:val="none" w:sz="0" w:space="0" w:color="auto"/>
            <w:left w:val="none" w:sz="0" w:space="0" w:color="auto"/>
            <w:bottom w:val="none" w:sz="0" w:space="0" w:color="auto"/>
            <w:right w:val="none" w:sz="0" w:space="0" w:color="auto"/>
          </w:divBdr>
          <w:divsChild>
            <w:div w:id="24916488">
              <w:marLeft w:val="-75"/>
              <w:marRight w:val="0"/>
              <w:marTop w:val="30"/>
              <w:marBottom w:val="30"/>
              <w:divBdr>
                <w:top w:val="none" w:sz="0" w:space="0" w:color="auto"/>
                <w:left w:val="none" w:sz="0" w:space="0" w:color="auto"/>
                <w:bottom w:val="none" w:sz="0" w:space="0" w:color="auto"/>
                <w:right w:val="none" w:sz="0" w:space="0" w:color="auto"/>
              </w:divBdr>
              <w:divsChild>
                <w:div w:id="11688353">
                  <w:marLeft w:val="0"/>
                  <w:marRight w:val="0"/>
                  <w:marTop w:val="0"/>
                  <w:marBottom w:val="0"/>
                  <w:divBdr>
                    <w:top w:val="none" w:sz="0" w:space="0" w:color="auto"/>
                    <w:left w:val="none" w:sz="0" w:space="0" w:color="auto"/>
                    <w:bottom w:val="none" w:sz="0" w:space="0" w:color="auto"/>
                    <w:right w:val="none" w:sz="0" w:space="0" w:color="auto"/>
                  </w:divBdr>
                  <w:divsChild>
                    <w:div w:id="110101257">
                      <w:marLeft w:val="0"/>
                      <w:marRight w:val="0"/>
                      <w:marTop w:val="0"/>
                      <w:marBottom w:val="0"/>
                      <w:divBdr>
                        <w:top w:val="none" w:sz="0" w:space="0" w:color="auto"/>
                        <w:left w:val="none" w:sz="0" w:space="0" w:color="auto"/>
                        <w:bottom w:val="none" w:sz="0" w:space="0" w:color="auto"/>
                        <w:right w:val="none" w:sz="0" w:space="0" w:color="auto"/>
                      </w:divBdr>
                    </w:div>
                  </w:divsChild>
                </w:div>
                <w:div w:id="61105538">
                  <w:marLeft w:val="0"/>
                  <w:marRight w:val="0"/>
                  <w:marTop w:val="0"/>
                  <w:marBottom w:val="0"/>
                  <w:divBdr>
                    <w:top w:val="none" w:sz="0" w:space="0" w:color="auto"/>
                    <w:left w:val="none" w:sz="0" w:space="0" w:color="auto"/>
                    <w:bottom w:val="none" w:sz="0" w:space="0" w:color="auto"/>
                    <w:right w:val="none" w:sz="0" w:space="0" w:color="auto"/>
                  </w:divBdr>
                  <w:divsChild>
                    <w:div w:id="342588985">
                      <w:marLeft w:val="0"/>
                      <w:marRight w:val="0"/>
                      <w:marTop w:val="0"/>
                      <w:marBottom w:val="0"/>
                      <w:divBdr>
                        <w:top w:val="none" w:sz="0" w:space="0" w:color="auto"/>
                        <w:left w:val="none" w:sz="0" w:space="0" w:color="auto"/>
                        <w:bottom w:val="none" w:sz="0" w:space="0" w:color="auto"/>
                        <w:right w:val="none" w:sz="0" w:space="0" w:color="auto"/>
                      </w:divBdr>
                    </w:div>
                  </w:divsChild>
                </w:div>
                <w:div w:id="76636758">
                  <w:marLeft w:val="0"/>
                  <w:marRight w:val="0"/>
                  <w:marTop w:val="0"/>
                  <w:marBottom w:val="0"/>
                  <w:divBdr>
                    <w:top w:val="none" w:sz="0" w:space="0" w:color="auto"/>
                    <w:left w:val="none" w:sz="0" w:space="0" w:color="auto"/>
                    <w:bottom w:val="none" w:sz="0" w:space="0" w:color="auto"/>
                    <w:right w:val="none" w:sz="0" w:space="0" w:color="auto"/>
                  </w:divBdr>
                  <w:divsChild>
                    <w:div w:id="1432167290">
                      <w:marLeft w:val="0"/>
                      <w:marRight w:val="0"/>
                      <w:marTop w:val="0"/>
                      <w:marBottom w:val="0"/>
                      <w:divBdr>
                        <w:top w:val="none" w:sz="0" w:space="0" w:color="auto"/>
                        <w:left w:val="none" w:sz="0" w:space="0" w:color="auto"/>
                        <w:bottom w:val="none" w:sz="0" w:space="0" w:color="auto"/>
                        <w:right w:val="none" w:sz="0" w:space="0" w:color="auto"/>
                      </w:divBdr>
                    </w:div>
                  </w:divsChild>
                </w:div>
                <w:div w:id="121849711">
                  <w:marLeft w:val="0"/>
                  <w:marRight w:val="0"/>
                  <w:marTop w:val="0"/>
                  <w:marBottom w:val="0"/>
                  <w:divBdr>
                    <w:top w:val="none" w:sz="0" w:space="0" w:color="auto"/>
                    <w:left w:val="none" w:sz="0" w:space="0" w:color="auto"/>
                    <w:bottom w:val="none" w:sz="0" w:space="0" w:color="auto"/>
                    <w:right w:val="none" w:sz="0" w:space="0" w:color="auto"/>
                  </w:divBdr>
                  <w:divsChild>
                    <w:div w:id="2091655624">
                      <w:marLeft w:val="0"/>
                      <w:marRight w:val="0"/>
                      <w:marTop w:val="0"/>
                      <w:marBottom w:val="0"/>
                      <w:divBdr>
                        <w:top w:val="none" w:sz="0" w:space="0" w:color="auto"/>
                        <w:left w:val="none" w:sz="0" w:space="0" w:color="auto"/>
                        <w:bottom w:val="none" w:sz="0" w:space="0" w:color="auto"/>
                        <w:right w:val="none" w:sz="0" w:space="0" w:color="auto"/>
                      </w:divBdr>
                    </w:div>
                  </w:divsChild>
                </w:div>
                <w:div w:id="161547847">
                  <w:marLeft w:val="0"/>
                  <w:marRight w:val="0"/>
                  <w:marTop w:val="0"/>
                  <w:marBottom w:val="0"/>
                  <w:divBdr>
                    <w:top w:val="none" w:sz="0" w:space="0" w:color="auto"/>
                    <w:left w:val="none" w:sz="0" w:space="0" w:color="auto"/>
                    <w:bottom w:val="none" w:sz="0" w:space="0" w:color="auto"/>
                    <w:right w:val="none" w:sz="0" w:space="0" w:color="auto"/>
                  </w:divBdr>
                  <w:divsChild>
                    <w:div w:id="555967005">
                      <w:marLeft w:val="0"/>
                      <w:marRight w:val="0"/>
                      <w:marTop w:val="0"/>
                      <w:marBottom w:val="0"/>
                      <w:divBdr>
                        <w:top w:val="none" w:sz="0" w:space="0" w:color="auto"/>
                        <w:left w:val="none" w:sz="0" w:space="0" w:color="auto"/>
                        <w:bottom w:val="none" w:sz="0" w:space="0" w:color="auto"/>
                        <w:right w:val="none" w:sz="0" w:space="0" w:color="auto"/>
                      </w:divBdr>
                    </w:div>
                  </w:divsChild>
                </w:div>
                <w:div w:id="167527342">
                  <w:marLeft w:val="0"/>
                  <w:marRight w:val="0"/>
                  <w:marTop w:val="0"/>
                  <w:marBottom w:val="0"/>
                  <w:divBdr>
                    <w:top w:val="none" w:sz="0" w:space="0" w:color="auto"/>
                    <w:left w:val="none" w:sz="0" w:space="0" w:color="auto"/>
                    <w:bottom w:val="none" w:sz="0" w:space="0" w:color="auto"/>
                    <w:right w:val="none" w:sz="0" w:space="0" w:color="auto"/>
                  </w:divBdr>
                  <w:divsChild>
                    <w:div w:id="1736246896">
                      <w:marLeft w:val="0"/>
                      <w:marRight w:val="0"/>
                      <w:marTop w:val="0"/>
                      <w:marBottom w:val="0"/>
                      <w:divBdr>
                        <w:top w:val="none" w:sz="0" w:space="0" w:color="auto"/>
                        <w:left w:val="none" w:sz="0" w:space="0" w:color="auto"/>
                        <w:bottom w:val="none" w:sz="0" w:space="0" w:color="auto"/>
                        <w:right w:val="none" w:sz="0" w:space="0" w:color="auto"/>
                      </w:divBdr>
                    </w:div>
                  </w:divsChild>
                </w:div>
                <w:div w:id="183523182">
                  <w:marLeft w:val="0"/>
                  <w:marRight w:val="0"/>
                  <w:marTop w:val="0"/>
                  <w:marBottom w:val="0"/>
                  <w:divBdr>
                    <w:top w:val="none" w:sz="0" w:space="0" w:color="auto"/>
                    <w:left w:val="none" w:sz="0" w:space="0" w:color="auto"/>
                    <w:bottom w:val="none" w:sz="0" w:space="0" w:color="auto"/>
                    <w:right w:val="none" w:sz="0" w:space="0" w:color="auto"/>
                  </w:divBdr>
                  <w:divsChild>
                    <w:div w:id="1681661791">
                      <w:marLeft w:val="0"/>
                      <w:marRight w:val="0"/>
                      <w:marTop w:val="0"/>
                      <w:marBottom w:val="0"/>
                      <w:divBdr>
                        <w:top w:val="none" w:sz="0" w:space="0" w:color="auto"/>
                        <w:left w:val="none" w:sz="0" w:space="0" w:color="auto"/>
                        <w:bottom w:val="none" w:sz="0" w:space="0" w:color="auto"/>
                        <w:right w:val="none" w:sz="0" w:space="0" w:color="auto"/>
                      </w:divBdr>
                    </w:div>
                  </w:divsChild>
                </w:div>
                <w:div w:id="224727838">
                  <w:marLeft w:val="0"/>
                  <w:marRight w:val="0"/>
                  <w:marTop w:val="0"/>
                  <w:marBottom w:val="0"/>
                  <w:divBdr>
                    <w:top w:val="none" w:sz="0" w:space="0" w:color="auto"/>
                    <w:left w:val="none" w:sz="0" w:space="0" w:color="auto"/>
                    <w:bottom w:val="none" w:sz="0" w:space="0" w:color="auto"/>
                    <w:right w:val="none" w:sz="0" w:space="0" w:color="auto"/>
                  </w:divBdr>
                  <w:divsChild>
                    <w:div w:id="711880575">
                      <w:marLeft w:val="0"/>
                      <w:marRight w:val="0"/>
                      <w:marTop w:val="0"/>
                      <w:marBottom w:val="0"/>
                      <w:divBdr>
                        <w:top w:val="none" w:sz="0" w:space="0" w:color="auto"/>
                        <w:left w:val="none" w:sz="0" w:space="0" w:color="auto"/>
                        <w:bottom w:val="none" w:sz="0" w:space="0" w:color="auto"/>
                        <w:right w:val="none" w:sz="0" w:space="0" w:color="auto"/>
                      </w:divBdr>
                    </w:div>
                  </w:divsChild>
                </w:div>
                <w:div w:id="237784456">
                  <w:marLeft w:val="0"/>
                  <w:marRight w:val="0"/>
                  <w:marTop w:val="0"/>
                  <w:marBottom w:val="0"/>
                  <w:divBdr>
                    <w:top w:val="none" w:sz="0" w:space="0" w:color="auto"/>
                    <w:left w:val="none" w:sz="0" w:space="0" w:color="auto"/>
                    <w:bottom w:val="none" w:sz="0" w:space="0" w:color="auto"/>
                    <w:right w:val="none" w:sz="0" w:space="0" w:color="auto"/>
                  </w:divBdr>
                  <w:divsChild>
                    <w:div w:id="1487209829">
                      <w:marLeft w:val="0"/>
                      <w:marRight w:val="0"/>
                      <w:marTop w:val="0"/>
                      <w:marBottom w:val="0"/>
                      <w:divBdr>
                        <w:top w:val="none" w:sz="0" w:space="0" w:color="auto"/>
                        <w:left w:val="none" w:sz="0" w:space="0" w:color="auto"/>
                        <w:bottom w:val="none" w:sz="0" w:space="0" w:color="auto"/>
                        <w:right w:val="none" w:sz="0" w:space="0" w:color="auto"/>
                      </w:divBdr>
                    </w:div>
                  </w:divsChild>
                </w:div>
                <w:div w:id="354774355">
                  <w:marLeft w:val="0"/>
                  <w:marRight w:val="0"/>
                  <w:marTop w:val="0"/>
                  <w:marBottom w:val="0"/>
                  <w:divBdr>
                    <w:top w:val="none" w:sz="0" w:space="0" w:color="auto"/>
                    <w:left w:val="none" w:sz="0" w:space="0" w:color="auto"/>
                    <w:bottom w:val="none" w:sz="0" w:space="0" w:color="auto"/>
                    <w:right w:val="none" w:sz="0" w:space="0" w:color="auto"/>
                  </w:divBdr>
                  <w:divsChild>
                    <w:div w:id="595022471">
                      <w:marLeft w:val="0"/>
                      <w:marRight w:val="0"/>
                      <w:marTop w:val="0"/>
                      <w:marBottom w:val="0"/>
                      <w:divBdr>
                        <w:top w:val="none" w:sz="0" w:space="0" w:color="auto"/>
                        <w:left w:val="none" w:sz="0" w:space="0" w:color="auto"/>
                        <w:bottom w:val="none" w:sz="0" w:space="0" w:color="auto"/>
                        <w:right w:val="none" w:sz="0" w:space="0" w:color="auto"/>
                      </w:divBdr>
                    </w:div>
                  </w:divsChild>
                </w:div>
                <w:div w:id="456488866">
                  <w:marLeft w:val="0"/>
                  <w:marRight w:val="0"/>
                  <w:marTop w:val="0"/>
                  <w:marBottom w:val="0"/>
                  <w:divBdr>
                    <w:top w:val="none" w:sz="0" w:space="0" w:color="auto"/>
                    <w:left w:val="none" w:sz="0" w:space="0" w:color="auto"/>
                    <w:bottom w:val="none" w:sz="0" w:space="0" w:color="auto"/>
                    <w:right w:val="none" w:sz="0" w:space="0" w:color="auto"/>
                  </w:divBdr>
                  <w:divsChild>
                    <w:div w:id="2062319052">
                      <w:marLeft w:val="0"/>
                      <w:marRight w:val="0"/>
                      <w:marTop w:val="0"/>
                      <w:marBottom w:val="0"/>
                      <w:divBdr>
                        <w:top w:val="none" w:sz="0" w:space="0" w:color="auto"/>
                        <w:left w:val="none" w:sz="0" w:space="0" w:color="auto"/>
                        <w:bottom w:val="none" w:sz="0" w:space="0" w:color="auto"/>
                        <w:right w:val="none" w:sz="0" w:space="0" w:color="auto"/>
                      </w:divBdr>
                    </w:div>
                  </w:divsChild>
                </w:div>
                <w:div w:id="549345841">
                  <w:marLeft w:val="0"/>
                  <w:marRight w:val="0"/>
                  <w:marTop w:val="0"/>
                  <w:marBottom w:val="0"/>
                  <w:divBdr>
                    <w:top w:val="none" w:sz="0" w:space="0" w:color="auto"/>
                    <w:left w:val="none" w:sz="0" w:space="0" w:color="auto"/>
                    <w:bottom w:val="none" w:sz="0" w:space="0" w:color="auto"/>
                    <w:right w:val="none" w:sz="0" w:space="0" w:color="auto"/>
                  </w:divBdr>
                  <w:divsChild>
                    <w:div w:id="1927693334">
                      <w:marLeft w:val="0"/>
                      <w:marRight w:val="0"/>
                      <w:marTop w:val="0"/>
                      <w:marBottom w:val="0"/>
                      <w:divBdr>
                        <w:top w:val="none" w:sz="0" w:space="0" w:color="auto"/>
                        <w:left w:val="none" w:sz="0" w:space="0" w:color="auto"/>
                        <w:bottom w:val="none" w:sz="0" w:space="0" w:color="auto"/>
                        <w:right w:val="none" w:sz="0" w:space="0" w:color="auto"/>
                      </w:divBdr>
                    </w:div>
                  </w:divsChild>
                </w:div>
                <w:div w:id="587233606">
                  <w:marLeft w:val="0"/>
                  <w:marRight w:val="0"/>
                  <w:marTop w:val="0"/>
                  <w:marBottom w:val="0"/>
                  <w:divBdr>
                    <w:top w:val="none" w:sz="0" w:space="0" w:color="auto"/>
                    <w:left w:val="none" w:sz="0" w:space="0" w:color="auto"/>
                    <w:bottom w:val="none" w:sz="0" w:space="0" w:color="auto"/>
                    <w:right w:val="none" w:sz="0" w:space="0" w:color="auto"/>
                  </w:divBdr>
                  <w:divsChild>
                    <w:div w:id="728117352">
                      <w:marLeft w:val="0"/>
                      <w:marRight w:val="0"/>
                      <w:marTop w:val="0"/>
                      <w:marBottom w:val="0"/>
                      <w:divBdr>
                        <w:top w:val="none" w:sz="0" w:space="0" w:color="auto"/>
                        <w:left w:val="none" w:sz="0" w:space="0" w:color="auto"/>
                        <w:bottom w:val="none" w:sz="0" w:space="0" w:color="auto"/>
                        <w:right w:val="none" w:sz="0" w:space="0" w:color="auto"/>
                      </w:divBdr>
                    </w:div>
                  </w:divsChild>
                </w:div>
                <w:div w:id="636106729">
                  <w:marLeft w:val="0"/>
                  <w:marRight w:val="0"/>
                  <w:marTop w:val="0"/>
                  <w:marBottom w:val="0"/>
                  <w:divBdr>
                    <w:top w:val="none" w:sz="0" w:space="0" w:color="auto"/>
                    <w:left w:val="none" w:sz="0" w:space="0" w:color="auto"/>
                    <w:bottom w:val="none" w:sz="0" w:space="0" w:color="auto"/>
                    <w:right w:val="none" w:sz="0" w:space="0" w:color="auto"/>
                  </w:divBdr>
                  <w:divsChild>
                    <w:div w:id="1817843901">
                      <w:marLeft w:val="0"/>
                      <w:marRight w:val="0"/>
                      <w:marTop w:val="0"/>
                      <w:marBottom w:val="0"/>
                      <w:divBdr>
                        <w:top w:val="none" w:sz="0" w:space="0" w:color="auto"/>
                        <w:left w:val="none" w:sz="0" w:space="0" w:color="auto"/>
                        <w:bottom w:val="none" w:sz="0" w:space="0" w:color="auto"/>
                        <w:right w:val="none" w:sz="0" w:space="0" w:color="auto"/>
                      </w:divBdr>
                    </w:div>
                  </w:divsChild>
                </w:div>
                <w:div w:id="734279168">
                  <w:marLeft w:val="0"/>
                  <w:marRight w:val="0"/>
                  <w:marTop w:val="0"/>
                  <w:marBottom w:val="0"/>
                  <w:divBdr>
                    <w:top w:val="none" w:sz="0" w:space="0" w:color="auto"/>
                    <w:left w:val="none" w:sz="0" w:space="0" w:color="auto"/>
                    <w:bottom w:val="none" w:sz="0" w:space="0" w:color="auto"/>
                    <w:right w:val="none" w:sz="0" w:space="0" w:color="auto"/>
                  </w:divBdr>
                  <w:divsChild>
                    <w:div w:id="593515850">
                      <w:marLeft w:val="0"/>
                      <w:marRight w:val="0"/>
                      <w:marTop w:val="0"/>
                      <w:marBottom w:val="0"/>
                      <w:divBdr>
                        <w:top w:val="none" w:sz="0" w:space="0" w:color="auto"/>
                        <w:left w:val="none" w:sz="0" w:space="0" w:color="auto"/>
                        <w:bottom w:val="none" w:sz="0" w:space="0" w:color="auto"/>
                        <w:right w:val="none" w:sz="0" w:space="0" w:color="auto"/>
                      </w:divBdr>
                    </w:div>
                  </w:divsChild>
                </w:div>
                <w:div w:id="757865871">
                  <w:marLeft w:val="0"/>
                  <w:marRight w:val="0"/>
                  <w:marTop w:val="0"/>
                  <w:marBottom w:val="0"/>
                  <w:divBdr>
                    <w:top w:val="none" w:sz="0" w:space="0" w:color="auto"/>
                    <w:left w:val="none" w:sz="0" w:space="0" w:color="auto"/>
                    <w:bottom w:val="none" w:sz="0" w:space="0" w:color="auto"/>
                    <w:right w:val="none" w:sz="0" w:space="0" w:color="auto"/>
                  </w:divBdr>
                  <w:divsChild>
                    <w:div w:id="322509393">
                      <w:marLeft w:val="0"/>
                      <w:marRight w:val="0"/>
                      <w:marTop w:val="0"/>
                      <w:marBottom w:val="0"/>
                      <w:divBdr>
                        <w:top w:val="none" w:sz="0" w:space="0" w:color="auto"/>
                        <w:left w:val="none" w:sz="0" w:space="0" w:color="auto"/>
                        <w:bottom w:val="none" w:sz="0" w:space="0" w:color="auto"/>
                        <w:right w:val="none" w:sz="0" w:space="0" w:color="auto"/>
                      </w:divBdr>
                    </w:div>
                  </w:divsChild>
                </w:div>
                <w:div w:id="843712071">
                  <w:marLeft w:val="0"/>
                  <w:marRight w:val="0"/>
                  <w:marTop w:val="0"/>
                  <w:marBottom w:val="0"/>
                  <w:divBdr>
                    <w:top w:val="none" w:sz="0" w:space="0" w:color="auto"/>
                    <w:left w:val="none" w:sz="0" w:space="0" w:color="auto"/>
                    <w:bottom w:val="none" w:sz="0" w:space="0" w:color="auto"/>
                    <w:right w:val="none" w:sz="0" w:space="0" w:color="auto"/>
                  </w:divBdr>
                  <w:divsChild>
                    <w:div w:id="1240096008">
                      <w:marLeft w:val="0"/>
                      <w:marRight w:val="0"/>
                      <w:marTop w:val="0"/>
                      <w:marBottom w:val="0"/>
                      <w:divBdr>
                        <w:top w:val="none" w:sz="0" w:space="0" w:color="auto"/>
                        <w:left w:val="none" w:sz="0" w:space="0" w:color="auto"/>
                        <w:bottom w:val="none" w:sz="0" w:space="0" w:color="auto"/>
                        <w:right w:val="none" w:sz="0" w:space="0" w:color="auto"/>
                      </w:divBdr>
                    </w:div>
                  </w:divsChild>
                </w:div>
                <w:div w:id="889001094">
                  <w:marLeft w:val="0"/>
                  <w:marRight w:val="0"/>
                  <w:marTop w:val="0"/>
                  <w:marBottom w:val="0"/>
                  <w:divBdr>
                    <w:top w:val="none" w:sz="0" w:space="0" w:color="auto"/>
                    <w:left w:val="none" w:sz="0" w:space="0" w:color="auto"/>
                    <w:bottom w:val="none" w:sz="0" w:space="0" w:color="auto"/>
                    <w:right w:val="none" w:sz="0" w:space="0" w:color="auto"/>
                  </w:divBdr>
                  <w:divsChild>
                    <w:div w:id="966590649">
                      <w:marLeft w:val="0"/>
                      <w:marRight w:val="0"/>
                      <w:marTop w:val="0"/>
                      <w:marBottom w:val="0"/>
                      <w:divBdr>
                        <w:top w:val="none" w:sz="0" w:space="0" w:color="auto"/>
                        <w:left w:val="none" w:sz="0" w:space="0" w:color="auto"/>
                        <w:bottom w:val="none" w:sz="0" w:space="0" w:color="auto"/>
                        <w:right w:val="none" w:sz="0" w:space="0" w:color="auto"/>
                      </w:divBdr>
                    </w:div>
                  </w:divsChild>
                </w:div>
                <w:div w:id="918634314">
                  <w:marLeft w:val="0"/>
                  <w:marRight w:val="0"/>
                  <w:marTop w:val="0"/>
                  <w:marBottom w:val="0"/>
                  <w:divBdr>
                    <w:top w:val="none" w:sz="0" w:space="0" w:color="auto"/>
                    <w:left w:val="none" w:sz="0" w:space="0" w:color="auto"/>
                    <w:bottom w:val="none" w:sz="0" w:space="0" w:color="auto"/>
                    <w:right w:val="none" w:sz="0" w:space="0" w:color="auto"/>
                  </w:divBdr>
                  <w:divsChild>
                    <w:div w:id="296421972">
                      <w:marLeft w:val="0"/>
                      <w:marRight w:val="0"/>
                      <w:marTop w:val="0"/>
                      <w:marBottom w:val="0"/>
                      <w:divBdr>
                        <w:top w:val="none" w:sz="0" w:space="0" w:color="auto"/>
                        <w:left w:val="none" w:sz="0" w:space="0" w:color="auto"/>
                        <w:bottom w:val="none" w:sz="0" w:space="0" w:color="auto"/>
                        <w:right w:val="none" w:sz="0" w:space="0" w:color="auto"/>
                      </w:divBdr>
                    </w:div>
                  </w:divsChild>
                </w:div>
                <w:div w:id="937835187">
                  <w:marLeft w:val="0"/>
                  <w:marRight w:val="0"/>
                  <w:marTop w:val="0"/>
                  <w:marBottom w:val="0"/>
                  <w:divBdr>
                    <w:top w:val="none" w:sz="0" w:space="0" w:color="auto"/>
                    <w:left w:val="none" w:sz="0" w:space="0" w:color="auto"/>
                    <w:bottom w:val="none" w:sz="0" w:space="0" w:color="auto"/>
                    <w:right w:val="none" w:sz="0" w:space="0" w:color="auto"/>
                  </w:divBdr>
                  <w:divsChild>
                    <w:div w:id="432822033">
                      <w:marLeft w:val="0"/>
                      <w:marRight w:val="0"/>
                      <w:marTop w:val="0"/>
                      <w:marBottom w:val="0"/>
                      <w:divBdr>
                        <w:top w:val="none" w:sz="0" w:space="0" w:color="auto"/>
                        <w:left w:val="none" w:sz="0" w:space="0" w:color="auto"/>
                        <w:bottom w:val="none" w:sz="0" w:space="0" w:color="auto"/>
                        <w:right w:val="none" w:sz="0" w:space="0" w:color="auto"/>
                      </w:divBdr>
                    </w:div>
                  </w:divsChild>
                </w:div>
                <w:div w:id="1036201520">
                  <w:marLeft w:val="0"/>
                  <w:marRight w:val="0"/>
                  <w:marTop w:val="0"/>
                  <w:marBottom w:val="0"/>
                  <w:divBdr>
                    <w:top w:val="none" w:sz="0" w:space="0" w:color="auto"/>
                    <w:left w:val="none" w:sz="0" w:space="0" w:color="auto"/>
                    <w:bottom w:val="none" w:sz="0" w:space="0" w:color="auto"/>
                    <w:right w:val="none" w:sz="0" w:space="0" w:color="auto"/>
                  </w:divBdr>
                  <w:divsChild>
                    <w:div w:id="1225680371">
                      <w:marLeft w:val="0"/>
                      <w:marRight w:val="0"/>
                      <w:marTop w:val="0"/>
                      <w:marBottom w:val="0"/>
                      <w:divBdr>
                        <w:top w:val="none" w:sz="0" w:space="0" w:color="auto"/>
                        <w:left w:val="none" w:sz="0" w:space="0" w:color="auto"/>
                        <w:bottom w:val="none" w:sz="0" w:space="0" w:color="auto"/>
                        <w:right w:val="none" w:sz="0" w:space="0" w:color="auto"/>
                      </w:divBdr>
                    </w:div>
                  </w:divsChild>
                </w:div>
                <w:div w:id="1049112445">
                  <w:marLeft w:val="0"/>
                  <w:marRight w:val="0"/>
                  <w:marTop w:val="0"/>
                  <w:marBottom w:val="0"/>
                  <w:divBdr>
                    <w:top w:val="none" w:sz="0" w:space="0" w:color="auto"/>
                    <w:left w:val="none" w:sz="0" w:space="0" w:color="auto"/>
                    <w:bottom w:val="none" w:sz="0" w:space="0" w:color="auto"/>
                    <w:right w:val="none" w:sz="0" w:space="0" w:color="auto"/>
                  </w:divBdr>
                  <w:divsChild>
                    <w:div w:id="911743993">
                      <w:marLeft w:val="0"/>
                      <w:marRight w:val="0"/>
                      <w:marTop w:val="0"/>
                      <w:marBottom w:val="0"/>
                      <w:divBdr>
                        <w:top w:val="none" w:sz="0" w:space="0" w:color="auto"/>
                        <w:left w:val="none" w:sz="0" w:space="0" w:color="auto"/>
                        <w:bottom w:val="none" w:sz="0" w:space="0" w:color="auto"/>
                        <w:right w:val="none" w:sz="0" w:space="0" w:color="auto"/>
                      </w:divBdr>
                    </w:div>
                  </w:divsChild>
                </w:div>
                <w:div w:id="1067417547">
                  <w:marLeft w:val="0"/>
                  <w:marRight w:val="0"/>
                  <w:marTop w:val="0"/>
                  <w:marBottom w:val="0"/>
                  <w:divBdr>
                    <w:top w:val="none" w:sz="0" w:space="0" w:color="auto"/>
                    <w:left w:val="none" w:sz="0" w:space="0" w:color="auto"/>
                    <w:bottom w:val="none" w:sz="0" w:space="0" w:color="auto"/>
                    <w:right w:val="none" w:sz="0" w:space="0" w:color="auto"/>
                  </w:divBdr>
                  <w:divsChild>
                    <w:div w:id="1668287867">
                      <w:marLeft w:val="0"/>
                      <w:marRight w:val="0"/>
                      <w:marTop w:val="0"/>
                      <w:marBottom w:val="0"/>
                      <w:divBdr>
                        <w:top w:val="none" w:sz="0" w:space="0" w:color="auto"/>
                        <w:left w:val="none" w:sz="0" w:space="0" w:color="auto"/>
                        <w:bottom w:val="none" w:sz="0" w:space="0" w:color="auto"/>
                        <w:right w:val="none" w:sz="0" w:space="0" w:color="auto"/>
                      </w:divBdr>
                    </w:div>
                  </w:divsChild>
                </w:div>
                <w:div w:id="1074009833">
                  <w:marLeft w:val="0"/>
                  <w:marRight w:val="0"/>
                  <w:marTop w:val="0"/>
                  <w:marBottom w:val="0"/>
                  <w:divBdr>
                    <w:top w:val="none" w:sz="0" w:space="0" w:color="auto"/>
                    <w:left w:val="none" w:sz="0" w:space="0" w:color="auto"/>
                    <w:bottom w:val="none" w:sz="0" w:space="0" w:color="auto"/>
                    <w:right w:val="none" w:sz="0" w:space="0" w:color="auto"/>
                  </w:divBdr>
                  <w:divsChild>
                    <w:div w:id="1536432338">
                      <w:marLeft w:val="0"/>
                      <w:marRight w:val="0"/>
                      <w:marTop w:val="0"/>
                      <w:marBottom w:val="0"/>
                      <w:divBdr>
                        <w:top w:val="none" w:sz="0" w:space="0" w:color="auto"/>
                        <w:left w:val="none" w:sz="0" w:space="0" w:color="auto"/>
                        <w:bottom w:val="none" w:sz="0" w:space="0" w:color="auto"/>
                        <w:right w:val="none" w:sz="0" w:space="0" w:color="auto"/>
                      </w:divBdr>
                    </w:div>
                  </w:divsChild>
                </w:div>
                <w:div w:id="1074741910">
                  <w:marLeft w:val="0"/>
                  <w:marRight w:val="0"/>
                  <w:marTop w:val="0"/>
                  <w:marBottom w:val="0"/>
                  <w:divBdr>
                    <w:top w:val="none" w:sz="0" w:space="0" w:color="auto"/>
                    <w:left w:val="none" w:sz="0" w:space="0" w:color="auto"/>
                    <w:bottom w:val="none" w:sz="0" w:space="0" w:color="auto"/>
                    <w:right w:val="none" w:sz="0" w:space="0" w:color="auto"/>
                  </w:divBdr>
                  <w:divsChild>
                    <w:div w:id="1577595225">
                      <w:marLeft w:val="0"/>
                      <w:marRight w:val="0"/>
                      <w:marTop w:val="0"/>
                      <w:marBottom w:val="0"/>
                      <w:divBdr>
                        <w:top w:val="none" w:sz="0" w:space="0" w:color="auto"/>
                        <w:left w:val="none" w:sz="0" w:space="0" w:color="auto"/>
                        <w:bottom w:val="none" w:sz="0" w:space="0" w:color="auto"/>
                        <w:right w:val="none" w:sz="0" w:space="0" w:color="auto"/>
                      </w:divBdr>
                    </w:div>
                  </w:divsChild>
                </w:div>
                <w:div w:id="1099570526">
                  <w:marLeft w:val="0"/>
                  <w:marRight w:val="0"/>
                  <w:marTop w:val="0"/>
                  <w:marBottom w:val="0"/>
                  <w:divBdr>
                    <w:top w:val="none" w:sz="0" w:space="0" w:color="auto"/>
                    <w:left w:val="none" w:sz="0" w:space="0" w:color="auto"/>
                    <w:bottom w:val="none" w:sz="0" w:space="0" w:color="auto"/>
                    <w:right w:val="none" w:sz="0" w:space="0" w:color="auto"/>
                  </w:divBdr>
                  <w:divsChild>
                    <w:div w:id="1291715025">
                      <w:marLeft w:val="0"/>
                      <w:marRight w:val="0"/>
                      <w:marTop w:val="0"/>
                      <w:marBottom w:val="0"/>
                      <w:divBdr>
                        <w:top w:val="none" w:sz="0" w:space="0" w:color="auto"/>
                        <w:left w:val="none" w:sz="0" w:space="0" w:color="auto"/>
                        <w:bottom w:val="none" w:sz="0" w:space="0" w:color="auto"/>
                        <w:right w:val="none" w:sz="0" w:space="0" w:color="auto"/>
                      </w:divBdr>
                    </w:div>
                  </w:divsChild>
                </w:div>
                <w:div w:id="1142698641">
                  <w:marLeft w:val="0"/>
                  <w:marRight w:val="0"/>
                  <w:marTop w:val="0"/>
                  <w:marBottom w:val="0"/>
                  <w:divBdr>
                    <w:top w:val="none" w:sz="0" w:space="0" w:color="auto"/>
                    <w:left w:val="none" w:sz="0" w:space="0" w:color="auto"/>
                    <w:bottom w:val="none" w:sz="0" w:space="0" w:color="auto"/>
                    <w:right w:val="none" w:sz="0" w:space="0" w:color="auto"/>
                  </w:divBdr>
                  <w:divsChild>
                    <w:div w:id="1367833562">
                      <w:marLeft w:val="0"/>
                      <w:marRight w:val="0"/>
                      <w:marTop w:val="0"/>
                      <w:marBottom w:val="0"/>
                      <w:divBdr>
                        <w:top w:val="none" w:sz="0" w:space="0" w:color="auto"/>
                        <w:left w:val="none" w:sz="0" w:space="0" w:color="auto"/>
                        <w:bottom w:val="none" w:sz="0" w:space="0" w:color="auto"/>
                        <w:right w:val="none" w:sz="0" w:space="0" w:color="auto"/>
                      </w:divBdr>
                    </w:div>
                    <w:div w:id="2092193713">
                      <w:marLeft w:val="0"/>
                      <w:marRight w:val="0"/>
                      <w:marTop w:val="0"/>
                      <w:marBottom w:val="0"/>
                      <w:divBdr>
                        <w:top w:val="none" w:sz="0" w:space="0" w:color="auto"/>
                        <w:left w:val="none" w:sz="0" w:space="0" w:color="auto"/>
                        <w:bottom w:val="none" w:sz="0" w:space="0" w:color="auto"/>
                        <w:right w:val="none" w:sz="0" w:space="0" w:color="auto"/>
                      </w:divBdr>
                    </w:div>
                  </w:divsChild>
                </w:div>
                <w:div w:id="1203861775">
                  <w:marLeft w:val="0"/>
                  <w:marRight w:val="0"/>
                  <w:marTop w:val="0"/>
                  <w:marBottom w:val="0"/>
                  <w:divBdr>
                    <w:top w:val="none" w:sz="0" w:space="0" w:color="auto"/>
                    <w:left w:val="none" w:sz="0" w:space="0" w:color="auto"/>
                    <w:bottom w:val="none" w:sz="0" w:space="0" w:color="auto"/>
                    <w:right w:val="none" w:sz="0" w:space="0" w:color="auto"/>
                  </w:divBdr>
                  <w:divsChild>
                    <w:div w:id="818692309">
                      <w:marLeft w:val="0"/>
                      <w:marRight w:val="0"/>
                      <w:marTop w:val="0"/>
                      <w:marBottom w:val="0"/>
                      <w:divBdr>
                        <w:top w:val="none" w:sz="0" w:space="0" w:color="auto"/>
                        <w:left w:val="none" w:sz="0" w:space="0" w:color="auto"/>
                        <w:bottom w:val="none" w:sz="0" w:space="0" w:color="auto"/>
                        <w:right w:val="none" w:sz="0" w:space="0" w:color="auto"/>
                      </w:divBdr>
                    </w:div>
                  </w:divsChild>
                </w:div>
                <w:div w:id="1290353671">
                  <w:marLeft w:val="0"/>
                  <w:marRight w:val="0"/>
                  <w:marTop w:val="0"/>
                  <w:marBottom w:val="0"/>
                  <w:divBdr>
                    <w:top w:val="none" w:sz="0" w:space="0" w:color="auto"/>
                    <w:left w:val="none" w:sz="0" w:space="0" w:color="auto"/>
                    <w:bottom w:val="none" w:sz="0" w:space="0" w:color="auto"/>
                    <w:right w:val="none" w:sz="0" w:space="0" w:color="auto"/>
                  </w:divBdr>
                  <w:divsChild>
                    <w:div w:id="1403597236">
                      <w:marLeft w:val="0"/>
                      <w:marRight w:val="0"/>
                      <w:marTop w:val="0"/>
                      <w:marBottom w:val="0"/>
                      <w:divBdr>
                        <w:top w:val="none" w:sz="0" w:space="0" w:color="auto"/>
                        <w:left w:val="none" w:sz="0" w:space="0" w:color="auto"/>
                        <w:bottom w:val="none" w:sz="0" w:space="0" w:color="auto"/>
                        <w:right w:val="none" w:sz="0" w:space="0" w:color="auto"/>
                      </w:divBdr>
                    </w:div>
                  </w:divsChild>
                </w:div>
                <w:div w:id="1297761493">
                  <w:marLeft w:val="0"/>
                  <w:marRight w:val="0"/>
                  <w:marTop w:val="0"/>
                  <w:marBottom w:val="0"/>
                  <w:divBdr>
                    <w:top w:val="none" w:sz="0" w:space="0" w:color="auto"/>
                    <w:left w:val="none" w:sz="0" w:space="0" w:color="auto"/>
                    <w:bottom w:val="none" w:sz="0" w:space="0" w:color="auto"/>
                    <w:right w:val="none" w:sz="0" w:space="0" w:color="auto"/>
                  </w:divBdr>
                  <w:divsChild>
                    <w:div w:id="1693219340">
                      <w:marLeft w:val="0"/>
                      <w:marRight w:val="0"/>
                      <w:marTop w:val="0"/>
                      <w:marBottom w:val="0"/>
                      <w:divBdr>
                        <w:top w:val="none" w:sz="0" w:space="0" w:color="auto"/>
                        <w:left w:val="none" w:sz="0" w:space="0" w:color="auto"/>
                        <w:bottom w:val="none" w:sz="0" w:space="0" w:color="auto"/>
                        <w:right w:val="none" w:sz="0" w:space="0" w:color="auto"/>
                      </w:divBdr>
                    </w:div>
                  </w:divsChild>
                </w:div>
                <w:div w:id="1356616304">
                  <w:marLeft w:val="0"/>
                  <w:marRight w:val="0"/>
                  <w:marTop w:val="0"/>
                  <w:marBottom w:val="0"/>
                  <w:divBdr>
                    <w:top w:val="none" w:sz="0" w:space="0" w:color="auto"/>
                    <w:left w:val="none" w:sz="0" w:space="0" w:color="auto"/>
                    <w:bottom w:val="none" w:sz="0" w:space="0" w:color="auto"/>
                    <w:right w:val="none" w:sz="0" w:space="0" w:color="auto"/>
                  </w:divBdr>
                  <w:divsChild>
                    <w:div w:id="608320098">
                      <w:marLeft w:val="0"/>
                      <w:marRight w:val="0"/>
                      <w:marTop w:val="0"/>
                      <w:marBottom w:val="0"/>
                      <w:divBdr>
                        <w:top w:val="none" w:sz="0" w:space="0" w:color="auto"/>
                        <w:left w:val="none" w:sz="0" w:space="0" w:color="auto"/>
                        <w:bottom w:val="none" w:sz="0" w:space="0" w:color="auto"/>
                        <w:right w:val="none" w:sz="0" w:space="0" w:color="auto"/>
                      </w:divBdr>
                    </w:div>
                    <w:div w:id="1662734213">
                      <w:marLeft w:val="0"/>
                      <w:marRight w:val="0"/>
                      <w:marTop w:val="0"/>
                      <w:marBottom w:val="0"/>
                      <w:divBdr>
                        <w:top w:val="none" w:sz="0" w:space="0" w:color="auto"/>
                        <w:left w:val="none" w:sz="0" w:space="0" w:color="auto"/>
                        <w:bottom w:val="none" w:sz="0" w:space="0" w:color="auto"/>
                        <w:right w:val="none" w:sz="0" w:space="0" w:color="auto"/>
                      </w:divBdr>
                    </w:div>
                  </w:divsChild>
                </w:div>
                <w:div w:id="1392851414">
                  <w:marLeft w:val="0"/>
                  <w:marRight w:val="0"/>
                  <w:marTop w:val="0"/>
                  <w:marBottom w:val="0"/>
                  <w:divBdr>
                    <w:top w:val="none" w:sz="0" w:space="0" w:color="auto"/>
                    <w:left w:val="none" w:sz="0" w:space="0" w:color="auto"/>
                    <w:bottom w:val="none" w:sz="0" w:space="0" w:color="auto"/>
                    <w:right w:val="none" w:sz="0" w:space="0" w:color="auto"/>
                  </w:divBdr>
                  <w:divsChild>
                    <w:div w:id="1952205584">
                      <w:marLeft w:val="0"/>
                      <w:marRight w:val="0"/>
                      <w:marTop w:val="0"/>
                      <w:marBottom w:val="0"/>
                      <w:divBdr>
                        <w:top w:val="none" w:sz="0" w:space="0" w:color="auto"/>
                        <w:left w:val="none" w:sz="0" w:space="0" w:color="auto"/>
                        <w:bottom w:val="none" w:sz="0" w:space="0" w:color="auto"/>
                        <w:right w:val="none" w:sz="0" w:space="0" w:color="auto"/>
                      </w:divBdr>
                    </w:div>
                  </w:divsChild>
                </w:div>
                <w:div w:id="1432243946">
                  <w:marLeft w:val="0"/>
                  <w:marRight w:val="0"/>
                  <w:marTop w:val="0"/>
                  <w:marBottom w:val="0"/>
                  <w:divBdr>
                    <w:top w:val="none" w:sz="0" w:space="0" w:color="auto"/>
                    <w:left w:val="none" w:sz="0" w:space="0" w:color="auto"/>
                    <w:bottom w:val="none" w:sz="0" w:space="0" w:color="auto"/>
                    <w:right w:val="none" w:sz="0" w:space="0" w:color="auto"/>
                  </w:divBdr>
                  <w:divsChild>
                    <w:div w:id="1863664190">
                      <w:marLeft w:val="0"/>
                      <w:marRight w:val="0"/>
                      <w:marTop w:val="0"/>
                      <w:marBottom w:val="0"/>
                      <w:divBdr>
                        <w:top w:val="none" w:sz="0" w:space="0" w:color="auto"/>
                        <w:left w:val="none" w:sz="0" w:space="0" w:color="auto"/>
                        <w:bottom w:val="none" w:sz="0" w:space="0" w:color="auto"/>
                        <w:right w:val="none" w:sz="0" w:space="0" w:color="auto"/>
                      </w:divBdr>
                    </w:div>
                  </w:divsChild>
                </w:div>
                <w:div w:id="1471362868">
                  <w:marLeft w:val="0"/>
                  <w:marRight w:val="0"/>
                  <w:marTop w:val="0"/>
                  <w:marBottom w:val="0"/>
                  <w:divBdr>
                    <w:top w:val="none" w:sz="0" w:space="0" w:color="auto"/>
                    <w:left w:val="none" w:sz="0" w:space="0" w:color="auto"/>
                    <w:bottom w:val="none" w:sz="0" w:space="0" w:color="auto"/>
                    <w:right w:val="none" w:sz="0" w:space="0" w:color="auto"/>
                  </w:divBdr>
                  <w:divsChild>
                    <w:div w:id="1812792589">
                      <w:marLeft w:val="0"/>
                      <w:marRight w:val="0"/>
                      <w:marTop w:val="0"/>
                      <w:marBottom w:val="0"/>
                      <w:divBdr>
                        <w:top w:val="none" w:sz="0" w:space="0" w:color="auto"/>
                        <w:left w:val="none" w:sz="0" w:space="0" w:color="auto"/>
                        <w:bottom w:val="none" w:sz="0" w:space="0" w:color="auto"/>
                        <w:right w:val="none" w:sz="0" w:space="0" w:color="auto"/>
                      </w:divBdr>
                    </w:div>
                  </w:divsChild>
                </w:div>
                <w:div w:id="1498229418">
                  <w:marLeft w:val="0"/>
                  <w:marRight w:val="0"/>
                  <w:marTop w:val="0"/>
                  <w:marBottom w:val="0"/>
                  <w:divBdr>
                    <w:top w:val="none" w:sz="0" w:space="0" w:color="auto"/>
                    <w:left w:val="none" w:sz="0" w:space="0" w:color="auto"/>
                    <w:bottom w:val="none" w:sz="0" w:space="0" w:color="auto"/>
                    <w:right w:val="none" w:sz="0" w:space="0" w:color="auto"/>
                  </w:divBdr>
                  <w:divsChild>
                    <w:div w:id="575827816">
                      <w:marLeft w:val="0"/>
                      <w:marRight w:val="0"/>
                      <w:marTop w:val="0"/>
                      <w:marBottom w:val="0"/>
                      <w:divBdr>
                        <w:top w:val="none" w:sz="0" w:space="0" w:color="auto"/>
                        <w:left w:val="none" w:sz="0" w:space="0" w:color="auto"/>
                        <w:bottom w:val="none" w:sz="0" w:space="0" w:color="auto"/>
                        <w:right w:val="none" w:sz="0" w:space="0" w:color="auto"/>
                      </w:divBdr>
                    </w:div>
                    <w:div w:id="577711336">
                      <w:marLeft w:val="0"/>
                      <w:marRight w:val="0"/>
                      <w:marTop w:val="0"/>
                      <w:marBottom w:val="0"/>
                      <w:divBdr>
                        <w:top w:val="none" w:sz="0" w:space="0" w:color="auto"/>
                        <w:left w:val="none" w:sz="0" w:space="0" w:color="auto"/>
                        <w:bottom w:val="none" w:sz="0" w:space="0" w:color="auto"/>
                        <w:right w:val="none" w:sz="0" w:space="0" w:color="auto"/>
                      </w:divBdr>
                    </w:div>
                  </w:divsChild>
                </w:div>
                <w:div w:id="1602643978">
                  <w:marLeft w:val="0"/>
                  <w:marRight w:val="0"/>
                  <w:marTop w:val="0"/>
                  <w:marBottom w:val="0"/>
                  <w:divBdr>
                    <w:top w:val="none" w:sz="0" w:space="0" w:color="auto"/>
                    <w:left w:val="none" w:sz="0" w:space="0" w:color="auto"/>
                    <w:bottom w:val="none" w:sz="0" w:space="0" w:color="auto"/>
                    <w:right w:val="none" w:sz="0" w:space="0" w:color="auto"/>
                  </w:divBdr>
                  <w:divsChild>
                    <w:div w:id="685135784">
                      <w:marLeft w:val="0"/>
                      <w:marRight w:val="0"/>
                      <w:marTop w:val="0"/>
                      <w:marBottom w:val="0"/>
                      <w:divBdr>
                        <w:top w:val="none" w:sz="0" w:space="0" w:color="auto"/>
                        <w:left w:val="none" w:sz="0" w:space="0" w:color="auto"/>
                        <w:bottom w:val="none" w:sz="0" w:space="0" w:color="auto"/>
                        <w:right w:val="none" w:sz="0" w:space="0" w:color="auto"/>
                      </w:divBdr>
                    </w:div>
                  </w:divsChild>
                </w:div>
                <w:div w:id="1621720372">
                  <w:marLeft w:val="0"/>
                  <w:marRight w:val="0"/>
                  <w:marTop w:val="0"/>
                  <w:marBottom w:val="0"/>
                  <w:divBdr>
                    <w:top w:val="none" w:sz="0" w:space="0" w:color="auto"/>
                    <w:left w:val="none" w:sz="0" w:space="0" w:color="auto"/>
                    <w:bottom w:val="none" w:sz="0" w:space="0" w:color="auto"/>
                    <w:right w:val="none" w:sz="0" w:space="0" w:color="auto"/>
                  </w:divBdr>
                  <w:divsChild>
                    <w:div w:id="1338651511">
                      <w:marLeft w:val="0"/>
                      <w:marRight w:val="0"/>
                      <w:marTop w:val="0"/>
                      <w:marBottom w:val="0"/>
                      <w:divBdr>
                        <w:top w:val="none" w:sz="0" w:space="0" w:color="auto"/>
                        <w:left w:val="none" w:sz="0" w:space="0" w:color="auto"/>
                        <w:bottom w:val="none" w:sz="0" w:space="0" w:color="auto"/>
                        <w:right w:val="none" w:sz="0" w:space="0" w:color="auto"/>
                      </w:divBdr>
                    </w:div>
                  </w:divsChild>
                </w:div>
                <w:div w:id="1660380171">
                  <w:marLeft w:val="0"/>
                  <w:marRight w:val="0"/>
                  <w:marTop w:val="0"/>
                  <w:marBottom w:val="0"/>
                  <w:divBdr>
                    <w:top w:val="none" w:sz="0" w:space="0" w:color="auto"/>
                    <w:left w:val="none" w:sz="0" w:space="0" w:color="auto"/>
                    <w:bottom w:val="none" w:sz="0" w:space="0" w:color="auto"/>
                    <w:right w:val="none" w:sz="0" w:space="0" w:color="auto"/>
                  </w:divBdr>
                  <w:divsChild>
                    <w:div w:id="715130346">
                      <w:marLeft w:val="0"/>
                      <w:marRight w:val="0"/>
                      <w:marTop w:val="0"/>
                      <w:marBottom w:val="0"/>
                      <w:divBdr>
                        <w:top w:val="none" w:sz="0" w:space="0" w:color="auto"/>
                        <w:left w:val="none" w:sz="0" w:space="0" w:color="auto"/>
                        <w:bottom w:val="none" w:sz="0" w:space="0" w:color="auto"/>
                        <w:right w:val="none" w:sz="0" w:space="0" w:color="auto"/>
                      </w:divBdr>
                    </w:div>
                  </w:divsChild>
                </w:div>
                <w:div w:id="1666203004">
                  <w:marLeft w:val="0"/>
                  <w:marRight w:val="0"/>
                  <w:marTop w:val="0"/>
                  <w:marBottom w:val="0"/>
                  <w:divBdr>
                    <w:top w:val="none" w:sz="0" w:space="0" w:color="auto"/>
                    <w:left w:val="none" w:sz="0" w:space="0" w:color="auto"/>
                    <w:bottom w:val="none" w:sz="0" w:space="0" w:color="auto"/>
                    <w:right w:val="none" w:sz="0" w:space="0" w:color="auto"/>
                  </w:divBdr>
                  <w:divsChild>
                    <w:div w:id="298607659">
                      <w:marLeft w:val="0"/>
                      <w:marRight w:val="0"/>
                      <w:marTop w:val="0"/>
                      <w:marBottom w:val="0"/>
                      <w:divBdr>
                        <w:top w:val="none" w:sz="0" w:space="0" w:color="auto"/>
                        <w:left w:val="none" w:sz="0" w:space="0" w:color="auto"/>
                        <w:bottom w:val="none" w:sz="0" w:space="0" w:color="auto"/>
                        <w:right w:val="none" w:sz="0" w:space="0" w:color="auto"/>
                      </w:divBdr>
                    </w:div>
                    <w:div w:id="1916207788">
                      <w:marLeft w:val="0"/>
                      <w:marRight w:val="0"/>
                      <w:marTop w:val="0"/>
                      <w:marBottom w:val="0"/>
                      <w:divBdr>
                        <w:top w:val="none" w:sz="0" w:space="0" w:color="auto"/>
                        <w:left w:val="none" w:sz="0" w:space="0" w:color="auto"/>
                        <w:bottom w:val="none" w:sz="0" w:space="0" w:color="auto"/>
                        <w:right w:val="none" w:sz="0" w:space="0" w:color="auto"/>
                      </w:divBdr>
                    </w:div>
                  </w:divsChild>
                </w:div>
                <w:div w:id="1695158086">
                  <w:marLeft w:val="0"/>
                  <w:marRight w:val="0"/>
                  <w:marTop w:val="0"/>
                  <w:marBottom w:val="0"/>
                  <w:divBdr>
                    <w:top w:val="none" w:sz="0" w:space="0" w:color="auto"/>
                    <w:left w:val="none" w:sz="0" w:space="0" w:color="auto"/>
                    <w:bottom w:val="none" w:sz="0" w:space="0" w:color="auto"/>
                    <w:right w:val="none" w:sz="0" w:space="0" w:color="auto"/>
                  </w:divBdr>
                  <w:divsChild>
                    <w:div w:id="1864978787">
                      <w:marLeft w:val="0"/>
                      <w:marRight w:val="0"/>
                      <w:marTop w:val="0"/>
                      <w:marBottom w:val="0"/>
                      <w:divBdr>
                        <w:top w:val="none" w:sz="0" w:space="0" w:color="auto"/>
                        <w:left w:val="none" w:sz="0" w:space="0" w:color="auto"/>
                        <w:bottom w:val="none" w:sz="0" w:space="0" w:color="auto"/>
                        <w:right w:val="none" w:sz="0" w:space="0" w:color="auto"/>
                      </w:divBdr>
                    </w:div>
                  </w:divsChild>
                </w:div>
                <w:div w:id="1706176110">
                  <w:marLeft w:val="0"/>
                  <w:marRight w:val="0"/>
                  <w:marTop w:val="0"/>
                  <w:marBottom w:val="0"/>
                  <w:divBdr>
                    <w:top w:val="none" w:sz="0" w:space="0" w:color="auto"/>
                    <w:left w:val="none" w:sz="0" w:space="0" w:color="auto"/>
                    <w:bottom w:val="none" w:sz="0" w:space="0" w:color="auto"/>
                    <w:right w:val="none" w:sz="0" w:space="0" w:color="auto"/>
                  </w:divBdr>
                  <w:divsChild>
                    <w:div w:id="867716561">
                      <w:marLeft w:val="0"/>
                      <w:marRight w:val="0"/>
                      <w:marTop w:val="0"/>
                      <w:marBottom w:val="0"/>
                      <w:divBdr>
                        <w:top w:val="none" w:sz="0" w:space="0" w:color="auto"/>
                        <w:left w:val="none" w:sz="0" w:space="0" w:color="auto"/>
                        <w:bottom w:val="none" w:sz="0" w:space="0" w:color="auto"/>
                        <w:right w:val="none" w:sz="0" w:space="0" w:color="auto"/>
                      </w:divBdr>
                    </w:div>
                  </w:divsChild>
                </w:div>
                <w:div w:id="1733965971">
                  <w:marLeft w:val="0"/>
                  <w:marRight w:val="0"/>
                  <w:marTop w:val="0"/>
                  <w:marBottom w:val="0"/>
                  <w:divBdr>
                    <w:top w:val="none" w:sz="0" w:space="0" w:color="auto"/>
                    <w:left w:val="none" w:sz="0" w:space="0" w:color="auto"/>
                    <w:bottom w:val="none" w:sz="0" w:space="0" w:color="auto"/>
                    <w:right w:val="none" w:sz="0" w:space="0" w:color="auto"/>
                  </w:divBdr>
                  <w:divsChild>
                    <w:div w:id="849102175">
                      <w:marLeft w:val="0"/>
                      <w:marRight w:val="0"/>
                      <w:marTop w:val="0"/>
                      <w:marBottom w:val="0"/>
                      <w:divBdr>
                        <w:top w:val="none" w:sz="0" w:space="0" w:color="auto"/>
                        <w:left w:val="none" w:sz="0" w:space="0" w:color="auto"/>
                        <w:bottom w:val="none" w:sz="0" w:space="0" w:color="auto"/>
                        <w:right w:val="none" w:sz="0" w:space="0" w:color="auto"/>
                      </w:divBdr>
                    </w:div>
                  </w:divsChild>
                </w:div>
                <w:div w:id="1815877957">
                  <w:marLeft w:val="0"/>
                  <w:marRight w:val="0"/>
                  <w:marTop w:val="0"/>
                  <w:marBottom w:val="0"/>
                  <w:divBdr>
                    <w:top w:val="none" w:sz="0" w:space="0" w:color="auto"/>
                    <w:left w:val="none" w:sz="0" w:space="0" w:color="auto"/>
                    <w:bottom w:val="none" w:sz="0" w:space="0" w:color="auto"/>
                    <w:right w:val="none" w:sz="0" w:space="0" w:color="auto"/>
                  </w:divBdr>
                  <w:divsChild>
                    <w:div w:id="413018571">
                      <w:marLeft w:val="0"/>
                      <w:marRight w:val="0"/>
                      <w:marTop w:val="0"/>
                      <w:marBottom w:val="0"/>
                      <w:divBdr>
                        <w:top w:val="none" w:sz="0" w:space="0" w:color="auto"/>
                        <w:left w:val="none" w:sz="0" w:space="0" w:color="auto"/>
                        <w:bottom w:val="none" w:sz="0" w:space="0" w:color="auto"/>
                        <w:right w:val="none" w:sz="0" w:space="0" w:color="auto"/>
                      </w:divBdr>
                    </w:div>
                  </w:divsChild>
                </w:div>
                <w:div w:id="1880706698">
                  <w:marLeft w:val="0"/>
                  <w:marRight w:val="0"/>
                  <w:marTop w:val="0"/>
                  <w:marBottom w:val="0"/>
                  <w:divBdr>
                    <w:top w:val="none" w:sz="0" w:space="0" w:color="auto"/>
                    <w:left w:val="none" w:sz="0" w:space="0" w:color="auto"/>
                    <w:bottom w:val="none" w:sz="0" w:space="0" w:color="auto"/>
                    <w:right w:val="none" w:sz="0" w:space="0" w:color="auto"/>
                  </w:divBdr>
                  <w:divsChild>
                    <w:div w:id="27684047">
                      <w:marLeft w:val="0"/>
                      <w:marRight w:val="0"/>
                      <w:marTop w:val="0"/>
                      <w:marBottom w:val="0"/>
                      <w:divBdr>
                        <w:top w:val="none" w:sz="0" w:space="0" w:color="auto"/>
                        <w:left w:val="none" w:sz="0" w:space="0" w:color="auto"/>
                        <w:bottom w:val="none" w:sz="0" w:space="0" w:color="auto"/>
                        <w:right w:val="none" w:sz="0" w:space="0" w:color="auto"/>
                      </w:divBdr>
                    </w:div>
                    <w:div w:id="2049840723">
                      <w:marLeft w:val="0"/>
                      <w:marRight w:val="0"/>
                      <w:marTop w:val="0"/>
                      <w:marBottom w:val="0"/>
                      <w:divBdr>
                        <w:top w:val="none" w:sz="0" w:space="0" w:color="auto"/>
                        <w:left w:val="none" w:sz="0" w:space="0" w:color="auto"/>
                        <w:bottom w:val="none" w:sz="0" w:space="0" w:color="auto"/>
                        <w:right w:val="none" w:sz="0" w:space="0" w:color="auto"/>
                      </w:divBdr>
                    </w:div>
                  </w:divsChild>
                </w:div>
                <w:div w:id="1896160622">
                  <w:marLeft w:val="0"/>
                  <w:marRight w:val="0"/>
                  <w:marTop w:val="0"/>
                  <w:marBottom w:val="0"/>
                  <w:divBdr>
                    <w:top w:val="none" w:sz="0" w:space="0" w:color="auto"/>
                    <w:left w:val="none" w:sz="0" w:space="0" w:color="auto"/>
                    <w:bottom w:val="none" w:sz="0" w:space="0" w:color="auto"/>
                    <w:right w:val="none" w:sz="0" w:space="0" w:color="auto"/>
                  </w:divBdr>
                  <w:divsChild>
                    <w:div w:id="410279268">
                      <w:marLeft w:val="0"/>
                      <w:marRight w:val="0"/>
                      <w:marTop w:val="0"/>
                      <w:marBottom w:val="0"/>
                      <w:divBdr>
                        <w:top w:val="none" w:sz="0" w:space="0" w:color="auto"/>
                        <w:left w:val="none" w:sz="0" w:space="0" w:color="auto"/>
                        <w:bottom w:val="none" w:sz="0" w:space="0" w:color="auto"/>
                        <w:right w:val="none" w:sz="0" w:space="0" w:color="auto"/>
                      </w:divBdr>
                    </w:div>
                  </w:divsChild>
                </w:div>
                <w:div w:id="1984310962">
                  <w:marLeft w:val="0"/>
                  <w:marRight w:val="0"/>
                  <w:marTop w:val="0"/>
                  <w:marBottom w:val="0"/>
                  <w:divBdr>
                    <w:top w:val="none" w:sz="0" w:space="0" w:color="auto"/>
                    <w:left w:val="none" w:sz="0" w:space="0" w:color="auto"/>
                    <w:bottom w:val="none" w:sz="0" w:space="0" w:color="auto"/>
                    <w:right w:val="none" w:sz="0" w:space="0" w:color="auto"/>
                  </w:divBdr>
                  <w:divsChild>
                    <w:div w:id="1262372975">
                      <w:marLeft w:val="0"/>
                      <w:marRight w:val="0"/>
                      <w:marTop w:val="0"/>
                      <w:marBottom w:val="0"/>
                      <w:divBdr>
                        <w:top w:val="none" w:sz="0" w:space="0" w:color="auto"/>
                        <w:left w:val="none" w:sz="0" w:space="0" w:color="auto"/>
                        <w:bottom w:val="none" w:sz="0" w:space="0" w:color="auto"/>
                        <w:right w:val="none" w:sz="0" w:space="0" w:color="auto"/>
                      </w:divBdr>
                    </w:div>
                  </w:divsChild>
                </w:div>
                <w:div w:id="2057852388">
                  <w:marLeft w:val="0"/>
                  <w:marRight w:val="0"/>
                  <w:marTop w:val="0"/>
                  <w:marBottom w:val="0"/>
                  <w:divBdr>
                    <w:top w:val="none" w:sz="0" w:space="0" w:color="auto"/>
                    <w:left w:val="none" w:sz="0" w:space="0" w:color="auto"/>
                    <w:bottom w:val="none" w:sz="0" w:space="0" w:color="auto"/>
                    <w:right w:val="none" w:sz="0" w:space="0" w:color="auto"/>
                  </w:divBdr>
                  <w:divsChild>
                    <w:div w:id="1846019035">
                      <w:marLeft w:val="0"/>
                      <w:marRight w:val="0"/>
                      <w:marTop w:val="0"/>
                      <w:marBottom w:val="0"/>
                      <w:divBdr>
                        <w:top w:val="none" w:sz="0" w:space="0" w:color="auto"/>
                        <w:left w:val="none" w:sz="0" w:space="0" w:color="auto"/>
                        <w:bottom w:val="none" w:sz="0" w:space="0" w:color="auto"/>
                        <w:right w:val="none" w:sz="0" w:space="0" w:color="auto"/>
                      </w:divBdr>
                    </w:div>
                  </w:divsChild>
                </w:div>
                <w:div w:id="2103867729">
                  <w:marLeft w:val="0"/>
                  <w:marRight w:val="0"/>
                  <w:marTop w:val="0"/>
                  <w:marBottom w:val="0"/>
                  <w:divBdr>
                    <w:top w:val="none" w:sz="0" w:space="0" w:color="auto"/>
                    <w:left w:val="none" w:sz="0" w:space="0" w:color="auto"/>
                    <w:bottom w:val="none" w:sz="0" w:space="0" w:color="auto"/>
                    <w:right w:val="none" w:sz="0" w:space="0" w:color="auto"/>
                  </w:divBdr>
                  <w:divsChild>
                    <w:div w:id="156651132">
                      <w:marLeft w:val="0"/>
                      <w:marRight w:val="0"/>
                      <w:marTop w:val="0"/>
                      <w:marBottom w:val="0"/>
                      <w:divBdr>
                        <w:top w:val="none" w:sz="0" w:space="0" w:color="auto"/>
                        <w:left w:val="none" w:sz="0" w:space="0" w:color="auto"/>
                        <w:bottom w:val="none" w:sz="0" w:space="0" w:color="auto"/>
                        <w:right w:val="none" w:sz="0" w:space="0" w:color="auto"/>
                      </w:divBdr>
                    </w:div>
                  </w:divsChild>
                </w:div>
                <w:div w:id="2110805579">
                  <w:marLeft w:val="0"/>
                  <w:marRight w:val="0"/>
                  <w:marTop w:val="0"/>
                  <w:marBottom w:val="0"/>
                  <w:divBdr>
                    <w:top w:val="none" w:sz="0" w:space="0" w:color="auto"/>
                    <w:left w:val="none" w:sz="0" w:space="0" w:color="auto"/>
                    <w:bottom w:val="none" w:sz="0" w:space="0" w:color="auto"/>
                    <w:right w:val="none" w:sz="0" w:space="0" w:color="auto"/>
                  </w:divBdr>
                  <w:divsChild>
                    <w:div w:id="1749113015">
                      <w:marLeft w:val="0"/>
                      <w:marRight w:val="0"/>
                      <w:marTop w:val="0"/>
                      <w:marBottom w:val="0"/>
                      <w:divBdr>
                        <w:top w:val="none" w:sz="0" w:space="0" w:color="auto"/>
                        <w:left w:val="none" w:sz="0" w:space="0" w:color="auto"/>
                        <w:bottom w:val="none" w:sz="0" w:space="0" w:color="auto"/>
                        <w:right w:val="none" w:sz="0" w:space="0" w:color="auto"/>
                      </w:divBdr>
                    </w:div>
                  </w:divsChild>
                </w:div>
                <w:div w:id="2132359165">
                  <w:marLeft w:val="0"/>
                  <w:marRight w:val="0"/>
                  <w:marTop w:val="0"/>
                  <w:marBottom w:val="0"/>
                  <w:divBdr>
                    <w:top w:val="none" w:sz="0" w:space="0" w:color="auto"/>
                    <w:left w:val="none" w:sz="0" w:space="0" w:color="auto"/>
                    <w:bottom w:val="none" w:sz="0" w:space="0" w:color="auto"/>
                    <w:right w:val="none" w:sz="0" w:space="0" w:color="auto"/>
                  </w:divBdr>
                  <w:divsChild>
                    <w:div w:id="15172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4288">
      <w:bodyDiv w:val="1"/>
      <w:marLeft w:val="0"/>
      <w:marRight w:val="0"/>
      <w:marTop w:val="0"/>
      <w:marBottom w:val="0"/>
      <w:divBdr>
        <w:top w:val="none" w:sz="0" w:space="0" w:color="auto"/>
        <w:left w:val="none" w:sz="0" w:space="0" w:color="auto"/>
        <w:bottom w:val="none" w:sz="0" w:space="0" w:color="auto"/>
        <w:right w:val="none" w:sz="0" w:space="0" w:color="auto"/>
      </w:divBdr>
      <w:divsChild>
        <w:div w:id="40372179">
          <w:marLeft w:val="0"/>
          <w:marRight w:val="0"/>
          <w:marTop w:val="0"/>
          <w:marBottom w:val="0"/>
          <w:divBdr>
            <w:top w:val="none" w:sz="0" w:space="0" w:color="auto"/>
            <w:left w:val="none" w:sz="0" w:space="0" w:color="auto"/>
            <w:bottom w:val="none" w:sz="0" w:space="0" w:color="auto"/>
            <w:right w:val="none" w:sz="0" w:space="0" w:color="auto"/>
          </w:divBdr>
        </w:div>
        <w:div w:id="92558053">
          <w:marLeft w:val="0"/>
          <w:marRight w:val="0"/>
          <w:marTop w:val="0"/>
          <w:marBottom w:val="0"/>
          <w:divBdr>
            <w:top w:val="none" w:sz="0" w:space="0" w:color="auto"/>
            <w:left w:val="none" w:sz="0" w:space="0" w:color="auto"/>
            <w:bottom w:val="none" w:sz="0" w:space="0" w:color="auto"/>
            <w:right w:val="none" w:sz="0" w:space="0" w:color="auto"/>
          </w:divBdr>
        </w:div>
        <w:div w:id="97068559">
          <w:marLeft w:val="0"/>
          <w:marRight w:val="0"/>
          <w:marTop w:val="0"/>
          <w:marBottom w:val="0"/>
          <w:divBdr>
            <w:top w:val="none" w:sz="0" w:space="0" w:color="auto"/>
            <w:left w:val="none" w:sz="0" w:space="0" w:color="auto"/>
            <w:bottom w:val="none" w:sz="0" w:space="0" w:color="auto"/>
            <w:right w:val="none" w:sz="0" w:space="0" w:color="auto"/>
          </w:divBdr>
        </w:div>
        <w:div w:id="110712260">
          <w:marLeft w:val="0"/>
          <w:marRight w:val="0"/>
          <w:marTop w:val="0"/>
          <w:marBottom w:val="0"/>
          <w:divBdr>
            <w:top w:val="none" w:sz="0" w:space="0" w:color="auto"/>
            <w:left w:val="none" w:sz="0" w:space="0" w:color="auto"/>
            <w:bottom w:val="none" w:sz="0" w:space="0" w:color="auto"/>
            <w:right w:val="none" w:sz="0" w:space="0" w:color="auto"/>
          </w:divBdr>
        </w:div>
        <w:div w:id="135033470">
          <w:marLeft w:val="0"/>
          <w:marRight w:val="0"/>
          <w:marTop w:val="0"/>
          <w:marBottom w:val="0"/>
          <w:divBdr>
            <w:top w:val="none" w:sz="0" w:space="0" w:color="auto"/>
            <w:left w:val="none" w:sz="0" w:space="0" w:color="auto"/>
            <w:bottom w:val="none" w:sz="0" w:space="0" w:color="auto"/>
            <w:right w:val="none" w:sz="0" w:space="0" w:color="auto"/>
          </w:divBdr>
          <w:divsChild>
            <w:div w:id="48454891">
              <w:marLeft w:val="0"/>
              <w:marRight w:val="0"/>
              <w:marTop w:val="0"/>
              <w:marBottom w:val="0"/>
              <w:divBdr>
                <w:top w:val="none" w:sz="0" w:space="0" w:color="auto"/>
                <w:left w:val="none" w:sz="0" w:space="0" w:color="auto"/>
                <w:bottom w:val="none" w:sz="0" w:space="0" w:color="auto"/>
                <w:right w:val="none" w:sz="0" w:space="0" w:color="auto"/>
              </w:divBdr>
            </w:div>
            <w:div w:id="257637347">
              <w:marLeft w:val="0"/>
              <w:marRight w:val="0"/>
              <w:marTop w:val="0"/>
              <w:marBottom w:val="0"/>
              <w:divBdr>
                <w:top w:val="none" w:sz="0" w:space="0" w:color="auto"/>
                <w:left w:val="none" w:sz="0" w:space="0" w:color="auto"/>
                <w:bottom w:val="none" w:sz="0" w:space="0" w:color="auto"/>
                <w:right w:val="none" w:sz="0" w:space="0" w:color="auto"/>
              </w:divBdr>
            </w:div>
            <w:div w:id="484859377">
              <w:marLeft w:val="0"/>
              <w:marRight w:val="0"/>
              <w:marTop w:val="0"/>
              <w:marBottom w:val="0"/>
              <w:divBdr>
                <w:top w:val="none" w:sz="0" w:space="0" w:color="auto"/>
                <w:left w:val="none" w:sz="0" w:space="0" w:color="auto"/>
                <w:bottom w:val="none" w:sz="0" w:space="0" w:color="auto"/>
                <w:right w:val="none" w:sz="0" w:space="0" w:color="auto"/>
              </w:divBdr>
            </w:div>
            <w:div w:id="558057995">
              <w:marLeft w:val="0"/>
              <w:marRight w:val="0"/>
              <w:marTop w:val="0"/>
              <w:marBottom w:val="0"/>
              <w:divBdr>
                <w:top w:val="none" w:sz="0" w:space="0" w:color="auto"/>
                <w:left w:val="none" w:sz="0" w:space="0" w:color="auto"/>
                <w:bottom w:val="none" w:sz="0" w:space="0" w:color="auto"/>
                <w:right w:val="none" w:sz="0" w:space="0" w:color="auto"/>
              </w:divBdr>
            </w:div>
            <w:div w:id="606347762">
              <w:marLeft w:val="0"/>
              <w:marRight w:val="0"/>
              <w:marTop w:val="0"/>
              <w:marBottom w:val="0"/>
              <w:divBdr>
                <w:top w:val="none" w:sz="0" w:space="0" w:color="auto"/>
                <w:left w:val="none" w:sz="0" w:space="0" w:color="auto"/>
                <w:bottom w:val="none" w:sz="0" w:space="0" w:color="auto"/>
                <w:right w:val="none" w:sz="0" w:space="0" w:color="auto"/>
              </w:divBdr>
            </w:div>
            <w:div w:id="628320773">
              <w:marLeft w:val="0"/>
              <w:marRight w:val="0"/>
              <w:marTop w:val="0"/>
              <w:marBottom w:val="0"/>
              <w:divBdr>
                <w:top w:val="none" w:sz="0" w:space="0" w:color="auto"/>
                <w:left w:val="none" w:sz="0" w:space="0" w:color="auto"/>
                <w:bottom w:val="none" w:sz="0" w:space="0" w:color="auto"/>
                <w:right w:val="none" w:sz="0" w:space="0" w:color="auto"/>
              </w:divBdr>
            </w:div>
            <w:div w:id="638271126">
              <w:marLeft w:val="0"/>
              <w:marRight w:val="0"/>
              <w:marTop w:val="0"/>
              <w:marBottom w:val="0"/>
              <w:divBdr>
                <w:top w:val="none" w:sz="0" w:space="0" w:color="auto"/>
                <w:left w:val="none" w:sz="0" w:space="0" w:color="auto"/>
                <w:bottom w:val="none" w:sz="0" w:space="0" w:color="auto"/>
                <w:right w:val="none" w:sz="0" w:space="0" w:color="auto"/>
              </w:divBdr>
            </w:div>
            <w:div w:id="700790894">
              <w:marLeft w:val="0"/>
              <w:marRight w:val="0"/>
              <w:marTop w:val="0"/>
              <w:marBottom w:val="0"/>
              <w:divBdr>
                <w:top w:val="none" w:sz="0" w:space="0" w:color="auto"/>
                <w:left w:val="none" w:sz="0" w:space="0" w:color="auto"/>
                <w:bottom w:val="none" w:sz="0" w:space="0" w:color="auto"/>
                <w:right w:val="none" w:sz="0" w:space="0" w:color="auto"/>
              </w:divBdr>
            </w:div>
            <w:div w:id="851803205">
              <w:marLeft w:val="0"/>
              <w:marRight w:val="0"/>
              <w:marTop w:val="0"/>
              <w:marBottom w:val="0"/>
              <w:divBdr>
                <w:top w:val="none" w:sz="0" w:space="0" w:color="auto"/>
                <w:left w:val="none" w:sz="0" w:space="0" w:color="auto"/>
                <w:bottom w:val="none" w:sz="0" w:space="0" w:color="auto"/>
                <w:right w:val="none" w:sz="0" w:space="0" w:color="auto"/>
              </w:divBdr>
            </w:div>
            <w:div w:id="910236291">
              <w:marLeft w:val="0"/>
              <w:marRight w:val="0"/>
              <w:marTop w:val="0"/>
              <w:marBottom w:val="0"/>
              <w:divBdr>
                <w:top w:val="none" w:sz="0" w:space="0" w:color="auto"/>
                <w:left w:val="none" w:sz="0" w:space="0" w:color="auto"/>
                <w:bottom w:val="none" w:sz="0" w:space="0" w:color="auto"/>
                <w:right w:val="none" w:sz="0" w:space="0" w:color="auto"/>
              </w:divBdr>
            </w:div>
            <w:div w:id="1021398224">
              <w:marLeft w:val="0"/>
              <w:marRight w:val="0"/>
              <w:marTop w:val="0"/>
              <w:marBottom w:val="0"/>
              <w:divBdr>
                <w:top w:val="none" w:sz="0" w:space="0" w:color="auto"/>
                <w:left w:val="none" w:sz="0" w:space="0" w:color="auto"/>
                <w:bottom w:val="none" w:sz="0" w:space="0" w:color="auto"/>
                <w:right w:val="none" w:sz="0" w:space="0" w:color="auto"/>
              </w:divBdr>
            </w:div>
            <w:div w:id="1104767730">
              <w:marLeft w:val="0"/>
              <w:marRight w:val="0"/>
              <w:marTop w:val="0"/>
              <w:marBottom w:val="0"/>
              <w:divBdr>
                <w:top w:val="none" w:sz="0" w:space="0" w:color="auto"/>
                <w:left w:val="none" w:sz="0" w:space="0" w:color="auto"/>
                <w:bottom w:val="none" w:sz="0" w:space="0" w:color="auto"/>
                <w:right w:val="none" w:sz="0" w:space="0" w:color="auto"/>
              </w:divBdr>
            </w:div>
            <w:div w:id="1375153336">
              <w:marLeft w:val="0"/>
              <w:marRight w:val="0"/>
              <w:marTop w:val="0"/>
              <w:marBottom w:val="0"/>
              <w:divBdr>
                <w:top w:val="none" w:sz="0" w:space="0" w:color="auto"/>
                <w:left w:val="none" w:sz="0" w:space="0" w:color="auto"/>
                <w:bottom w:val="none" w:sz="0" w:space="0" w:color="auto"/>
                <w:right w:val="none" w:sz="0" w:space="0" w:color="auto"/>
              </w:divBdr>
            </w:div>
            <w:div w:id="1459841087">
              <w:marLeft w:val="0"/>
              <w:marRight w:val="0"/>
              <w:marTop w:val="0"/>
              <w:marBottom w:val="0"/>
              <w:divBdr>
                <w:top w:val="none" w:sz="0" w:space="0" w:color="auto"/>
                <w:left w:val="none" w:sz="0" w:space="0" w:color="auto"/>
                <w:bottom w:val="none" w:sz="0" w:space="0" w:color="auto"/>
                <w:right w:val="none" w:sz="0" w:space="0" w:color="auto"/>
              </w:divBdr>
            </w:div>
            <w:div w:id="1574776211">
              <w:marLeft w:val="0"/>
              <w:marRight w:val="0"/>
              <w:marTop w:val="0"/>
              <w:marBottom w:val="0"/>
              <w:divBdr>
                <w:top w:val="none" w:sz="0" w:space="0" w:color="auto"/>
                <w:left w:val="none" w:sz="0" w:space="0" w:color="auto"/>
                <w:bottom w:val="none" w:sz="0" w:space="0" w:color="auto"/>
                <w:right w:val="none" w:sz="0" w:space="0" w:color="auto"/>
              </w:divBdr>
            </w:div>
            <w:div w:id="1622298228">
              <w:marLeft w:val="0"/>
              <w:marRight w:val="0"/>
              <w:marTop w:val="0"/>
              <w:marBottom w:val="0"/>
              <w:divBdr>
                <w:top w:val="none" w:sz="0" w:space="0" w:color="auto"/>
                <w:left w:val="none" w:sz="0" w:space="0" w:color="auto"/>
                <w:bottom w:val="none" w:sz="0" w:space="0" w:color="auto"/>
                <w:right w:val="none" w:sz="0" w:space="0" w:color="auto"/>
              </w:divBdr>
            </w:div>
            <w:div w:id="1679622685">
              <w:marLeft w:val="0"/>
              <w:marRight w:val="0"/>
              <w:marTop w:val="0"/>
              <w:marBottom w:val="0"/>
              <w:divBdr>
                <w:top w:val="none" w:sz="0" w:space="0" w:color="auto"/>
                <w:left w:val="none" w:sz="0" w:space="0" w:color="auto"/>
                <w:bottom w:val="none" w:sz="0" w:space="0" w:color="auto"/>
                <w:right w:val="none" w:sz="0" w:space="0" w:color="auto"/>
              </w:divBdr>
            </w:div>
            <w:div w:id="1685743217">
              <w:marLeft w:val="0"/>
              <w:marRight w:val="0"/>
              <w:marTop w:val="0"/>
              <w:marBottom w:val="0"/>
              <w:divBdr>
                <w:top w:val="none" w:sz="0" w:space="0" w:color="auto"/>
                <w:left w:val="none" w:sz="0" w:space="0" w:color="auto"/>
                <w:bottom w:val="none" w:sz="0" w:space="0" w:color="auto"/>
                <w:right w:val="none" w:sz="0" w:space="0" w:color="auto"/>
              </w:divBdr>
            </w:div>
            <w:div w:id="1955598771">
              <w:marLeft w:val="0"/>
              <w:marRight w:val="0"/>
              <w:marTop w:val="0"/>
              <w:marBottom w:val="0"/>
              <w:divBdr>
                <w:top w:val="none" w:sz="0" w:space="0" w:color="auto"/>
                <w:left w:val="none" w:sz="0" w:space="0" w:color="auto"/>
                <w:bottom w:val="none" w:sz="0" w:space="0" w:color="auto"/>
                <w:right w:val="none" w:sz="0" w:space="0" w:color="auto"/>
              </w:divBdr>
            </w:div>
            <w:div w:id="2140951216">
              <w:marLeft w:val="0"/>
              <w:marRight w:val="0"/>
              <w:marTop w:val="0"/>
              <w:marBottom w:val="0"/>
              <w:divBdr>
                <w:top w:val="none" w:sz="0" w:space="0" w:color="auto"/>
                <w:left w:val="none" w:sz="0" w:space="0" w:color="auto"/>
                <w:bottom w:val="none" w:sz="0" w:space="0" w:color="auto"/>
                <w:right w:val="none" w:sz="0" w:space="0" w:color="auto"/>
              </w:divBdr>
            </w:div>
          </w:divsChild>
        </w:div>
        <w:div w:id="152721724">
          <w:marLeft w:val="0"/>
          <w:marRight w:val="0"/>
          <w:marTop w:val="0"/>
          <w:marBottom w:val="0"/>
          <w:divBdr>
            <w:top w:val="none" w:sz="0" w:space="0" w:color="auto"/>
            <w:left w:val="none" w:sz="0" w:space="0" w:color="auto"/>
            <w:bottom w:val="none" w:sz="0" w:space="0" w:color="auto"/>
            <w:right w:val="none" w:sz="0" w:space="0" w:color="auto"/>
          </w:divBdr>
        </w:div>
        <w:div w:id="242446883">
          <w:marLeft w:val="0"/>
          <w:marRight w:val="0"/>
          <w:marTop w:val="0"/>
          <w:marBottom w:val="0"/>
          <w:divBdr>
            <w:top w:val="none" w:sz="0" w:space="0" w:color="auto"/>
            <w:left w:val="none" w:sz="0" w:space="0" w:color="auto"/>
            <w:bottom w:val="none" w:sz="0" w:space="0" w:color="auto"/>
            <w:right w:val="none" w:sz="0" w:space="0" w:color="auto"/>
          </w:divBdr>
        </w:div>
        <w:div w:id="295064401">
          <w:marLeft w:val="0"/>
          <w:marRight w:val="0"/>
          <w:marTop w:val="0"/>
          <w:marBottom w:val="0"/>
          <w:divBdr>
            <w:top w:val="none" w:sz="0" w:space="0" w:color="auto"/>
            <w:left w:val="none" w:sz="0" w:space="0" w:color="auto"/>
            <w:bottom w:val="none" w:sz="0" w:space="0" w:color="auto"/>
            <w:right w:val="none" w:sz="0" w:space="0" w:color="auto"/>
          </w:divBdr>
        </w:div>
        <w:div w:id="307521183">
          <w:marLeft w:val="0"/>
          <w:marRight w:val="0"/>
          <w:marTop w:val="0"/>
          <w:marBottom w:val="0"/>
          <w:divBdr>
            <w:top w:val="none" w:sz="0" w:space="0" w:color="auto"/>
            <w:left w:val="none" w:sz="0" w:space="0" w:color="auto"/>
            <w:bottom w:val="none" w:sz="0" w:space="0" w:color="auto"/>
            <w:right w:val="none" w:sz="0" w:space="0" w:color="auto"/>
          </w:divBdr>
        </w:div>
        <w:div w:id="357590430">
          <w:marLeft w:val="0"/>
          <w:marRight w:val="0"/>
          <w:marTop w:val="0"/>
          <w:marBottom w:val="0"/>
          <w:divBdr>
            <w:top w:val="none" w:sz="0" w:space="0" w:color="auto"/>
            <w:left w:val="none" w:sz="0" w:space="0" w:color="auto"/>
            <w:bottom w:val="none" w:sz="0" w:space="0" w:color="auto"/>
            <w:right w:val="none" w:sz="0" w:space="0" w:color="auto"/>
          </w:divBdr>
        </w:div>
        <w:div w:id="432825251">
          <w:marLeft w:val="0"/>
          <w:marRight w:val="0"/>
          <w:marTop w:val="0"/>
          <w:marBottom w:val="0"/>
          <w:divBdr>
            <w:top w:val="none" w:sz="0" w:space="0" w:color="auto"/>
            <w:left w:val="none" w:sz="0" w:space="0" w:color="auto"/>
            <w:bottom w:val="none" w:sz="0" w:space="0" w:color="auto"/>
            <w:right w:val="none" w:sz="0" w:space="0" w:color="auto"/>
          </w:divBdr>
        </w:div>
        <w:div w:id="484711992">
          <w:marLeft w:val="0"/>
          <w:marRight w:val="0"/>
          <w:marTop w:val="0"/>
          <w:marBottom w:val="0"/>
          <w:divBdr>
            <w:top w:val="none" w:sz="0" w:space="0" w:color="auto"/>
            <w:left w:val="none" w:sz="0" w:space="0" w:color="auto"/>
            <w:bottom w:val="none" w:sz="0" w:space="0" w:color="auto"/>
            <w:right w:val="none" w:sz="0" w:space="0" w:color="auto"/>
          </w:divBdr>
        </w:div>
        <w:div w:id="520777182">
          <w:marLeft w:val="0"/>
          <w:marRight w:val="0"/>
          <w:marTop w:val="0"/>
          <w:marBottom w:val="0"/>
          <w:divBdr>
            <w:top w:val="none" w:sz="0" w:space="0" w:color="auto"/>
            <w:left w:val="none" w:sz="0" w:space="0" w:color="auto"/>
            <w:bottom w:val="none" w:sz="0" w:space="0" w:color="auto"/>
            <w:right w:val="none" w:sz="0" w:space="0" w:color="auto"/>
          </w:divBdr>
        </w:div>
        <w:div w:id="590434379">
          <w:marLeft w:val="0"/>
          <w:marRight w:val="0"/>
          <w:marTop w:val="0"/>
          <w:marBottom w:val="0"/>
          <w:divBdr>
            <w:top w:val="none" w:sz="0" w:space="0" w:color="auto"/>
            <w:left w:val="none" w:sz="0" w:space="0" w:color="auto"/>
            <w:bottom w:val="none" w:sz="0" w:space="0" w:color="auto"/>
            <w:right w:val="none" w:sz="0" w:space="0" w:color="auto"/>
          </w:divBdr>
        </w:div>
        <w:div w:id="611396831">
          <w:marLeft w:val="0"/>
          <w:marRight w:val="0"/>
          <w:marTop w:val="0"/>
          <w:marBottom w:val="0"/>
          <w:divBdr>
            <w:top w:val="none" w:sz="0" w:space="0" w:color="auto"/>
            <w:left w:val="none" w:sz="0" w:space="0" w:color="auto"/>
            <w:bottom w:val="none" w:sz="0" w:space="0" w:color="auto"/>
            <w:right w:val="none" w:sz="0" w:space="0" w:color="auto"/>
          </w:divBdr>
        </w:div>
        <w:div w:id="619454834">
          <w:marLeft w:val="0"/>
          <w:marRight w:val="0"/>
          <w:marTop w:val="0"/>
          <w:marBottom w:val="0"/>
          <w:divBdr>
            <w:top w:val="none" w:sz="0" w:space="0" w:color="auto"/>
            <w:left w:val="none" w:sz="0" w:space="0" w:color="auto"/>
            <w:bottom w:val="none" w:sz="0" w:space="0" w:color="auto"/>
            <w:right w:val="none" w:sz="0" w:space="0" w:color="auto"/>
          </w:divBdr>
        </w:div>
        <w:div w:id="783233295">
          <w:marLeft w:val="0"/>
          <w:marRight w:val="0"/>
          <w:marTop w:val="0"/>
          <w:marBottom w:val="0"/>
          <w:divBdr>
            <w:top w:val="none" w:sz="0" w:space="0" w:color="auto"/>
            <w:left w:val="none" w:sz="0" w:space="0" w:color="auto"/>
            <w:bottom w:val="none" w:sz="0" w:space="0" w:color="auto"/>
            <w:right w:val="none" w:sz="0" w:space="0" w:color="auto"/>
          </w:divBdr>
        </w:div>
        <w:div w:id="1010331636">
          <w:marLeft w:val="0"/>
          <w:marRight w:val="0"/>
          <w:marTop w:val="0"/>
          <w:marBottom w:val="0"/>
          <w:divBdr>
            <w:top w:val="none" w:sz="0" w:space="0" w:color="auto"/>
            <w:left w:val="none" w:sz="0" w:space="0" w:color="auto"/>
            <w:bottom w:val="none" w:sz="0" w:space="0" w:color="auto"/>
            <w:right w:val="none" w:sz="0" w:space="0" w:color="auto"/>
          </w:divBdr>
        </w:div>
        <w:div w:id="1069958976">
          <w:marLeft w:val="0"/>
          <w:marRight w:val="0"/>
          <w:marTop w:val="0"/>
          <w:marBottom w:val="0"/>
          <w:divBdr>
            <w:top w:val="none" w:sz="0" w:space="0" w:color="auto"/>
            <w:left w:val="none" w:sz="0" w:space="0" w:color="auto"/>
            <w:bottom w:val="none" w:sz="0" w:space="0" w:color="auto"/>
            <w:right w:val="none" w:sz="0" w:space="0" w:color="auto"/>
          </w:divBdr>
        </w:div>
        <w:div w:id="1111703899">
          <w:marLeft w:val="0"/>
          <w:marRight w:val="0"/>
          <w:marTop w:val="0"/>
          <w:marBottom w:val="0"/>
          <w:divBdr>
            <w:top w:val="none" w:sz="0" w:space="0" w:color="auto"/>
            <w:left w:val="none" w:sz="0" w:space="0" w:color="auto"/>
            <w:bottom w:val="none" w:sz="0" w:space="0" w:color="auto"/>
            <w:right w:val="none" w:sz="0" w:space="0" w:color="auto"/>
          </w:divBdr>
        </w:div>
        <w:div w:id="1181629998">
          <w:marLeft w:val="0"/>
          <w:marRight w:val="0"/>
          <w:marTop w:val="0"/>
          <w:marBottom w:val="0"/>
          <w:divBdr>
            <w:top w:val="none" w:sz="0" w:space="0" w:color="auto"/>
            <w:left w:val="none" w:sz="0" w:space="0" w:color="auto"/>
            <w:bottom w:val="none" w:sz="0" w:space="0" w:color="auto"/>
            <w:right w:val="none" w:sz="0" w:space="0" w:color="auto"/>
          </w:divBdr>
        </w:div>
        <w:div w:id="1196581392">
          <w:marLeft w:val="0"/>
          <w:marRight w:val="0"/>
          <w:marTop w:val="0"/>
          <w:marBottom w:val="0"/>
          <w:divBdr>
            <w:top w:val="none" w:sz="0" w:space="0" w:color="auto"/>
            <w:left w:val="none" w:sz="0" w:space="0" w:color="auto"/>
            <w:bottom w:val="none" w:sz="0" w:space="0" w:color="auto"/>
            <w:right w:val="none" w:sz="0" w:space="0" w:color="auto"/>
          </w:divBdr>
          <w:divsChild>
            <w:div w:id="16858835">
              <w:marLeft w:val="0"/>
              <w:marRight w:val="0"/>
              <w:marTop w:val="0"/>
              <w:marBottom w:val="0"/>
              <w:divBdr>
                <w:top w:val="none" w:sz="0" w:space="0" w:color="auto"/>
                <w:left w:val="none" w:sz="0" w:space="0" w:color="auto"/>
                <w:bottom w:val="none" w:sz="0" w:space="0" w:color="auto"/>
                <w:right w:val="none" w:sz="0" w:space="0" w:color="auto"/>
              </w:divBdr>
            </w:div>
            <w:div w:id="101611772">
              <w:marLeft w:val="0"/>
              <w:marRight w:val="0"/>
              <w:marTop w:val="0"/>
              <w:marBottom w:val="0"/>
              <w:divBdr>
                <w:top w:val="none" w:sz="0" w:space="0" w:color="auto"/>
                <w:left w:val="none" w:sz="0" w:space="0" w:color="auto"/>
                <w:bottom w:val="none" w:sz="0" w:space="0" w:color="auto"/>
                <w:right w:val="none" w:sz="0" w:space="0" w:color="auto"/>
              </w:divBdr>
            </w:div>
            <w:div w:id="139885992">
              <w:marLeft w:val="0"/>
              <w:marRight w:val="0"/>
              <w:marTop w:val="0"/>
              <w:marBottom w:val="0"/>
              <w:divBdr>
                <w:top w:val="none" w:sz="0" w:space="0" w:color="auto"/>
                <w:left w:val="none" w:sz="0" w:space="0" w:color="auto"/>
                <w:bottom w:val="none" w:sz="0" w:space="0" w:color="auto"/>
                <w:right w:val="none" w:sz="0" w:space="0" w:color="auto"/>
              </w:divBdr>
            </w:div>
            <w:div w:id="280232519">
              <w:marLeft w:val="0"/>
              <w:marRight w:val="0"/>
              <w:marTop w:val="0"/>
              <w:marBottom w:val="0"/>
              <w:divBdr>
                <w:top w:val="none" w:sz="0" w:space="0" w:color="auto"/>
                <w:left w:val="none" w:sz="0" w:space="0" w:color="auto"/>
                <w:bottom w:val="none" w:sz="0" w:space="0" w:color="auto"/>
                <w:right w:val="none" w:sz="0" w:space="0" w:color="auto"/>
              </w:divBdr>
            </w:div>
            <w:div w:id="559823401">
              <w:marLeft w:val="0"/>
              <w:marRight w:val="0"/>
              <w:marTop w:val="0"/>
              <w:marBottom w:val="0"/>
              <w:divBdr>
                <w:top w:val="none" w:sz="0" w:space="0" w:color="auto"/>
                <w:left w:val="none" w:sz="0" w:space="0" w:color="auto"/>
                <w:bottom w:val="none" w:sz="0" w:space="0" w:color="auto"/>
                <w:right w:val="none" w:sz="0" w:space="0" w:color="auto"/>
              </w:divBdr>
            </w:div>
            <w:div w:id="642580754">
              <w:marLeft w:val="0"/>
              <w:marRight w:val="0"/>
              <w:marTop w:val="0"/>
              <w:marBottom w:val="0"/>
              <w:divBdr>
                <w:top w:val="none" w:sz="0" w:space="0" w:color="auto"/>
                <w:left w:val="none" w:sz="0" w:space="0" w:color="auto"/>
                <w:bottom w:val="none" w:sz="0" w:space="0" w:color="auto"/>
                <w:right w:val="none" w:sz="0" w:space="0" w:color="auto"/>
              </w:divBdr>
            </w:div>
            <w:div w:id="646857585">
              <w:marLeft w:val="0"/>
              <w:marRight w:val="0"/>
              <w:marTop w:val="0"/>
              <w:marBottom w:val="0"/>
              <w:divBdr>
                <w:top w:val="none" w:sz="0" w:space="0" w:color="auto"/>
                <w:left w:val="none" w:sz="0" w:space="0" w:color="auto"/>
                <w:bottom w:val="none" w:sz="0" w:space="0" w:color="auto"/>
                <w:right w:val="none" w:sz="0" w:space="0" w:color="auto"/>
              </w:divBdr>
            </w:div>
            <w:div w:id="711611712">
              <w:marLeft w:val="0"/>
              <w:marRight w:val="0"/>
              <w:marTop w:val="0"/>
              <w:marBottom w:val="0"/>
              <w:divBdr>
                <w:top w:val="none" w:sz="0" w:space="0" w:color="auto"/>
                <w:left w:val="none" w:sz="0" w:space="0" w:color="auto"/>
                <w:bottom w:val="none" w:sz="0" w:space="0" w:color="auto"/>
                <w:right w:val="none" w:sz="0" w:space="0" w:color="auto"/>
              </w:divBdr>
            </w:div>
            <w:div w:id="884103429">
              <w:marLeft w:val="0"/>
              <w:marRight w:val="0"/>
              <w:marTop w:val="0"/>
              <w:marBottom w:val="0"/>
              <w:divBdr>
                <w:top w:val="none" w:sz="0" w:space="0" w:color="auto"/>
                <w:left w:val="none" w:sz="0" w:space="0" w:color="auto"/>
                <w:bottom w:val="none" w:sz="0" w:space="0" w:color="auto"/>
                <w:right w:val="none" w:sz="0" w:space="0" w:color="auto"/>
              </w:divBdr>
            </w:div>
            <w:div w:id="973871599">
              <w:marLeft w:val="0"/>
              <w:marRight w:val="0"/>
              <w:marTop w:val="0"/>
              <w:marBottom w:val="0"/>
              <w:divBdr>
                <w:top w:val="none" w:sz="0" w:space="0" w:color="auto"/>
                <w:left w:val="none" w:sz="0" w:space="0" w:color="auto"/>
                <w:bottom w:val="none" w:sz="0" w:space="0" w:color="auto"/>
                <w:right w:val="none" w:sz="0" w:space="0" w:color="auto"/>
              </w:divBdr>
            </w:div>
            <w:div w:id="974026224">
              <w:marLeft w:val="0"/>
              <w:marRight w:val="0"/>
              <w:marTop w:val="0"/>
              <w:marBottom w:val="0"/>
              <w:divBdr>
                <w:top w:val="none" w:sz="0" w:space="0" w:color="auto"/>
                <w:left w:val="none" w:sz="0" w:space="0" w:color="auto"/>
                <w:bottom w:val="none" w:sz="0" w:space="0" w:color="auto"/>
                <w:right w:val="none" w:sz="0" w:space="0" w:color="auto"/>
              </w:divBdr>
            </w:div>
            <w:div w:id="1060860013">
              <w:marLeft w:val="0"/>
              <w:marRight w:val="0"/>
              <w:marTop w:val="0"/>
              <w:marBottom w:val="0"/>
              <w:divBdr>
                <w:top w:val="none" w:sz="0" w:space="0" w:color="auto"/>
                <w:left w:val="none" w:sz="0" w:space="0" w:color="auto"/>
                <w:bottom w:val="none" w:sz="0" w:space="0" w:color="auto"/>
                <w:right w:val="none" w:sz="0" w:space="0" w:color="auto"/>
              </w:divBdr>
            </w:div>
            <w:div w:id="1361052842">
              <w:marLeft w:val="0"/>
              <w:marRight w:val="0"/>
              <w:marTop w:val="0"/>
              <w:marBottom w:val="0"/>
              <w:divBdr>
                <w:top w:val="none" w:sz="0" w:space="0" w:color="auto"/>
                <w:left w:val="none" w:sz="0" w:space="0" w:color="auto"/>
                <w:bottom w:val="none" w:sz="0" w:space="0" w:color="auto"/>
                <w:right w:val="none" w:sz="0" w:space="0" w:color="auto"/>
              </w:divBdr>
            </w:div>
            <w:div w:id="1379162556">
              <w:marLeft w:val="0"/>
              <w:marRight w:val="0"/>
              <w:marTop w:val="0"/>
              <w:marBottom w:val="0"/>
              <w:divBdr>
                <w:top w:val="none" w:sz="0" w:space="0" w:color="auto"/>
                <w:left w:val="none" w:sz="0" w:space="0" w:color="auto"/>
                <w:bottom w:val="none" w:sz="0" w:space="0" w:color="auto"/>
                <w:right w:val="none" w:sz="0" w:space="0" w:color="auto"/>
              </w:divBdr>
            </w:div>
            <w:div w:id="1501235651">
              <w:marLeft w:val="0"/>
              <w:marRight w:val="0"/>
              <w:marTop w:val="0"/>
              <w:marBottom w:val="0"/>
              <w:divBdr>
                <w:top w:val="none" w:sz="0" w:space="0" w:color="auto"/>
                <w:left w:val="none" w:sz="0" w:space="0" w:color="auto"/>
                <w:bottom w:val="none" w:sz="0" w:space="0" w:color="auto"/>
                <w:right w:val="none" w:sz="0" w:space="0" w:color="auto"/>
              </w:divBdr>
            </w:div>
            <w:div w:id="1631935684">
              <w:marLeft w:val="0"/>
              <w:marRight w:val="0"/>
              <w:marTop w:val="0"/>
              <w:marBottom w:val="0"/>
              <w:divBdr>
                <w:top w:val="none" w:sz="0" w:space="0" w:color="auto"/>
                <w:left w:val="none" w:sz="0" w:space="0" w:color="auto"/>
                <w:bottom w:val="none" w:sz="0" w:space="0" w:color="auto"/>
                <w:right w:val="none" w:sz="0" w:space="0" w:color="auto"/>
              </w:divBdr>
            </w:div>
            <w:div w:id="1745449299">
              <w:marLeft w:val="0"/>
              <w:marRight w:val="0"/>
              <w:marTop w:val="0"/>
              <w:marBottom w:val="0"/>
              <w:divBdr>
                <w:top w:val="none" w:sz="0" w:space="0" w:color="auto"/>
                <w:left w:val="none" w:sz="0" w:space="0" w:color="auto"/>
                <w:bottom w:val="none" w:sz="0" w:space="0" w:color="auto"/>
                <w:right w:val="none" w:sz="0" w:space="0" w:color="auto"/>
              </w:divBdr>
            </w:div>
            <w:div w:id="1770618853">
              <w:marLeft w:val="0"/>
              <w:marRight w:val="0"/>
              <w:marTop w:val="0"/>
              <w:marBottom w:val="0"/>
              <w:divBdr>
                <w:top w:val="none" w:sz="0" w:space="0" w:color="auto"/>
                <w:left w:val="none" w:sz="0" w:space="0" w:color="auto"/>
                <w:bottom w:val="none" w:sz="0" w:space="0" w:color="auto"/>
                <w:right w:val="none" w:sz="0" w:space="0" w:color="auto"/>
              </w:divBdr>
            </w:div>
            <w:div w:id="2049262315">
              <w:marLeft w:val="0"/>
              <w:marRight w:val="0"/>
              <w:marTop w:val="0"/>
              <w:marBottom w:val="0"/>
              <w:divBdr>
                <w:top w:val="none" w:sz="0" w:space="0" w:color="auto"/>
                <w:left w:val="none" w:sz="0" w:space="0" w:color="auto"/>
                <w:bottom w:val="none" w:sz="0" w:space="0" w:color="auto"/>
                <w:right w:val="none" w:sz="0" w:space="0" w:color="auto"/>
              </w:divBdr>
            </w:div>
            <w:div w:id="2082016302">
              <w:marLeft w:val="0"/>
              <w:marRight w:val="0"/>
              <w:marTop w:val="0"/>
              <w:marBottom w:val="0"/>
              <w:divBdr>
                <w:top w:val="none" w:sz="0" w:space="0" w:color="auto"/>
                <w:left w:val="none" w:sz="0" w:space="0" w:color="auto"/>
                <w:bottom w:val="none" w:sz="0" w:space="0" w:color="auto"/>
                <w:right w:val="none" w:sz="0" w:space="0" w:color="auto"/>
              </w:divBdr>
            </w:div>
          </w:divsChild>
        </w:div>
        <w:div w:id="1216351737">
          <w:marLeft w:val="0"/>
          <w:marRight w:val="0"/>
          <w:marTop w:val="0"/>
          <w:marBottom w:val="0"/>
          <w:divBdr>
            <w:top w:val="none" w:sz="0" w:space="0" w:color="auto"/>
            <w:left w:val="none" w:sz="0" w:space="0" w:color="auto"/>
            <w:bottom w:val="none" w:sz="0" w:space="0" w:color="auto"/>
            <w:right w:val="none" w:sz="0" w:space="0" w:color="auto"/>
          </w:divBdr>
        </w:div>
        <w:div w:id="1231619675">
          <w:marLeft w:val="0"/>
          <w:marRight w:val="0"/>
          <w:marTop w:val="0"/>
          <w:marBottom w:val="0"/>
          <w:divBdr>
            <w:top w:val="none" w:sz="0" w:space="0" w:color="auto"/>
            <w:left w:val="none" w:sz="0" w:space="0" w:color="auto"/>
            <w:bottom w:val="none" w:sz="0" w:space="0" w:color="auto"/>
            <w:right w:val="none" w:sz="0" w:space="0" w:color="auto"/>
          </w:divBdr>
        </w:div>
        <w:div w:id="1243179093">
          <w:marLeft w:val="0"/>
          <w:marRight w:val="0"/>
          <w:marTop w:val="0"/>
          <w:marBottom w:val="0"/>
          <w:divBdr>
            <w:top w:val="none" w:sz="0" w:space="0" w:color="auto"/>
            <w:left w:val="none" w:sz="0" w:space="0" w:color="auto"/>
            <w:bottom w:val="none" w:sz="0" w:space="0" w:color="auto"/>
            <w:right w:val="none" w:sz="0" w:space="0" w:color="auto"/>
          </w:divBdr>
        </w:div>
        <w:div w:id="1256135458">
          <w:marLeft w:val="0"/>
          <w:marRight w:val="0"/>
          <w:marTop w:val="0"/>
          <w:marBottom w:val="0"/>
          <w:divBdr>
            <w:top w:val="none" w:sz="0" w:space="0" w:color="auto"/>
            <w:left w:val="none" w:sz="0" w:space="0" w:color="auto"/>
            <w:bottom w:val="none" w:sz="0" w:space="0" w:color="auto"/>
            <w:right w:val="none" w:sz="0" w:space="0" w:color="auto"/>
          </w:divBdr>
        </w:div>
        <w:div w:id="1287350719">
          <w:marLeft w:val="0"/>
          <w:marRight w:val="0"/>
          <w:marTop w:val="0"/>
          <w:marBottom w:val="0"/>
          <w:divBdr>
            <w:top w:val="none" w:sz="0" w:space="0" w:color="auto"/>
            <w:left w:val="none" w:sz="0" w:space="0" w:color="auto"/>
            <w:bottom w:val="none" w:sz="0" w:space="0" w:color="auto"/>
            <w:right w:val="none" w:sz="0" w:space="0" w:color="auto"/>
          </w:divBdr>
          <w:divsChild>
            <w:div w:id="133915870">
              <w:marLeft w:val="0"/>
              <w:marRight w:val="0"/>
              <w:marTop w:val="0"/>
              <w:marBottom w:val="0"/>
              <w:divBdr>
                <w:top w:val="none" w:sz="0" w:space="0" w:color="auto"/>
                <w:left w:val="none" w:sz="0" w:space="0" w:color="auto"/>
                <w:bottom w:val="none" w:sz="0" w:space="0" w:color="auto"/>
                <w:right w:val="none" w:sz="0" w:space="0" w:color="auto"/>
              </w:divBdr>
            </w:div>
            <w:div w:id="152835752">
              <w:marLeft w:val="0"/>
              <w:marRight w:val="0"/>
              <w:marTop w:val="0"/>
              <w:marBottom w:val="0"/>
              <w:divBdr>
                <w:top w:val="none" w:sz="0" w:space="0" w:color="auto"/>
                <w:left w:val="none" w:sz="0" w:space="0" w:color="auto"/>
                <w:bottom w:val="none" w:sz="0" w:space="0" w:color="auto"/>
                <w:right w:val="none" w:sz="0" w:space="0" w:color="auto"/>
              </w:divBdr>
            </w:div>
            <w:div w:id="560753790">
              <w:marLeft w:val="0"/>
              <w:marRight w:val="0"/>
              <w:marTop w:val="0"/>
              <w:marBottom w:val="0"/>
              <w:divBdr>
                <w:top w:val="none" w:sz="0" w:space="0" w:color="auto"/>
                <w:left w:val="none" w:sz="0" w:space="0" w:color="auto"/>
                <w:bottom w:val="none" w:sz="0" w:space="0" w:color="auto"/>
                <w:right w:val="none" w:sz="0" w:space="0" w:color="auto"/>
              </w:divBdr>
            </w:div>
            <w:div w:id="592201763">
              <w:marLeft w:val="0"/>
              <w:marRight w:val="0"/>
              <w:marTop w:val="0"/>
              <w:marBottom w:val="0"/>
              <w:divBdr>
                <w:top w:val="none" w:sz="0" w:space="0" w:color="auto"/>
                <w:left w:val="none" w:sz="0" w:space="0" w:color="auto"/>
                <w:bottom w:val="none" w:sz="0" w:space="0" w:color="auto"/>
                <w:right w:val="none" w:sz="0" w:space="0" w:color="auto"/>
              </w:divBdr>
            </w:div>
            <w:div w:id="968364158">
              <w:marLeft w:val="0"/>
              <w:marRight w:val="0"/>
              <w:marTop w:val="0"/>
              <w:marBottom w:val="0"/>
              <w:divBdr>
                <w:top w:val="none" w:sz="0" w:space="0" w:color="auto"/>
                <w:left w:val="none" w:sz="0" w:space="0" w:color="auto"/>
                <w:bottom w:val="none" w:sz="0" w:space="0" w:color="auto"/>
                <w:right w:val="none" w:sz="0" w:space="0" w:color="auto"/>
              </w:divBdr>
            </w:div>
            <w:div w:id="986472688">
              <w:marLeft w:val="0"/>
              <w:marRight w:val="0"/>
              <w:marTop w:val="0"/>
              <w:marBottom w:val="0"/>
              <w:divBdr>
                <w:top w:val="none" w:sz="0" w:space="0" w:color="auto"/>
                <w:left w:val="none" w:sz="0" w:space="0" w:color="auto"/>
                <w:bottom w:val="none" w:sz="0" w:space="0" w:color="auto"/>
                <w:right w:val="none" w:sz="0" w:space="0" w:color="auto"/>
              </w:divBdr>
            </w:div>
            <w:div w:id="1110274271">
              <w:marLeft w:val="0"/>
              <w:marRight w:val="0"/>
              <w:marTop w:val="0"/>
              <w:marBottom w:val="0"/>
              <w:divBdr>
                <w:top w:val="none" w:sz="0" w:space="0" w:color="auto"/>
                <w:left w:val="none" w:sz="0" w:space="0" w:color="auto"/>
                <w:bottom w:val="none" w:sz="0" w:space="0" w:color="auto"/>
                <w:right w:val="none" w:sz="0" w:space="0" w:color="auto"/>
              </w:divBdr>
            </w:div>
            <w:div w:id="1142651492">
              <w:marLeft w:val="0"/>
              <w:marRight w:val="0"/>
              <w:marTop w:val="0"/>
              <w:marBottom w:val="0"/>
              <w:divBdr>
                <w:top w:val="none" w:sz="0" w:space="0" w:color="auto"/>
                <w:left w:val="none" w:sz="0" w:space="0" w:color="auto"/>
                <w:bottom w:val="none" w:sz="0" w:space="0" w:color="auto"/>
                <w:right w:val="none" w:sz="0" w:space="0" w:color="auto"/>
              </w:divBdr>
            </w:div>
            <w:div w:id="1394160633">
              <w:marLeft w:val="0"/>
              <w:marRight w:val="0"/>
              <w:marTop w:val="0"/>
              <w:marBottom w:val="0"/>
              <w:divBdr>
                <w:top w:val="none" w:sz="0" w:space="0" w:color="auto"/>
                <w:left w:val="none" w:sz="0" w:space="0" w:color="auto"/>
                <w:bottom w:val="none" w:sz="0" w:space="0" w:color="auto"/>
                <w:right w:val="none" w:sz="0" w:space="0" w:color="auto"/>
              </w:divBdr>
            </w:div>
            <w:div w:id="1860970040">
              <w:marLeft w:val="0"/>
              <w:marRight w:val="0"/>
              <w:marTop w:val="0"/>
              <w:marBottom w:val="0"/>
              <w:divBdr>
                <w:top w:val="none" w:sz="0" w:space="0" w:color="auto"/>
                <w:left w:val="none" w:sz="0" w:space="0" w:color="auto"/>
                <w:bottom w:val="none" w:sz="0" w:space="0" w:color="auto"/>
                <w:right w:val="none" w:sz="0" w:space="0" w:color="auto"/>
              </w:divBdr>
            </w:div>
            <w:div w:id="2036613255">
              <w:marLeft w:val="0"/>
              <w:marRight w:val="0"/>
              <w:marTop w:val="0"/>
              <w:marBottom w:val="0"/>
              <w:divBdr>
                <w:top w:val="none" w:sz="0" w:space="0" w:color="auto"/>
                <w:left w:val="none" w:sz="0" w:space="0" w:color="auto"/>
                <w:bottom w:val="none" w:sz="0" w:space="0" w:color="auto"/>
                <w:right w:val="none" w:sz="0" w:space="0" w:color="auto"/>
              </w:divBdr>
            </w:div>
            <w:div w:id="2123914967">
              <w:marLeft w:val="0"/>
              <w:marRight w:val="0"/>
              <w:marTop w:val="0"/>
              <w:marBottom w:val="0"/>
              <w:divBdr>
                <w:top w:val="none" w:sz="0" w:space="0" w:color="auto"/>
                <w:left w:val="none" w:sz="0" w:space="0" w:color="auto"/>
                <w:bottom w:val="none" w:sz="0" w:space="0" w:color="auto"/>
                <w:right w:val="none" w:sz="0" w:space="0" w:color="auto"/>
              </w:divBdr>
            </w:div>
          </w:divsChild>
        </w:div>
        <w:div w:id="1409301754">
          <w:marLeft w:val="0"/>
          <w:marRight w:val="0"/>
          <w:marTop w:val="0"/>
          <w:marBottom w:val="0"/>
          <w:divBdr>
            <w:top w:val="none" w:sz="0" w:space="0" w:color="auto"/>
            <w:left w:val="none" w:sz="0" w:space="0" w:color="auto"/>
            <w:bottom w:val="none" w:sz="0" w:space="0" w:color="auto"/>
            <w:right w:val="none" w:sz="0" w:space="0" w:color="auto"/>
          </w:divBdr>
        </w:div>
        <w:div w:id="1423795360">
          <w:marLeft w:val="0"/>
          <w:marRight w:val="0"/>
          <w:marTop w:val="0"/>
          <w:marBottom w:val="0"/>
          <w:divBdr>
            <w:top w:val="none" w:sz="0" w:space="0" w:color="auto"/>
            <w:left w:val="none" w:sz="0" w:space="0" w:color="auto"/>
            <w:bottom w:val="none" w:sz="0" w:space="0" w:color="auto"/>
            <w:right w:val="none" w:sz="0" w:space="0" w:color="auto"/>
          </w:divBdr>
        </w:div>
        <w:div w:id="1533608861">
          <w:marLeft w:val="0"/>
          <w:marRight w:val="0"/>
          <w:marTop w:val="0"/>
          <w:marBottom w:val="0"/>
          <w:divBdr>
            <w:top w:val="none" w:sz="0" w:space="0" w:color="auto"/>
            <w:left w:val="none" w:sz="0" w:space="0" w:color="auto"/>
            <w:bottom w:val="none" w:sz="0" w:space="0" w:color="auto"/>
            <w:right w:val="none" w:sz="0" w:space="0" w:color="auto"/>
          </w:divBdr>
        </w:div>
        <w:div w:id="1558516352">
          <w:marLeft w:val="0"/>
          <w:marRight w:val="0"/>
          <w:marTop w:val="0"/>
          <w:marBottom w:val="0"/>
          <w:divBdr>
            <w:top w:val="none" w:sz="0" w:space="0" w:color="auto"/>
            <w:left w:val="none" w:sz="0" w:space="0" w:color="auto"/>
            <w:bottom w:val="none" w:sz="0" w:space="0" w:color="auto"/>
            <w:right w:val="none" w:sz="0" w:space="0" w:color="auto"/>
          </w:divBdr>
        </w:div>
        <w:div w:id="1805810954">
          <w:marLeft w:val="0"/>
          <w:marRight w:val="0"/>
          <w:marTop w:val="0"/>
          <w:marBottom w:val="0"/>
          <w:divBdr>
            <w:top w:val="none" w:sz="0" w:space="0" w:color="auto"/>
            <w:left w:val="none" w:sz="0" w:space="0" w:color="auto"/>
            <w:bottom w:val="none" w:sz="0" w:space="0" w:color="auto"/>
            <w:right w:val="none" w:sz="0" w:space="0" w:color="auto"/>
          </w:divBdr>
        </w:div>
        <w:div w:id="1832326012">
          <w:marLeft w:val="0"/>
          <w:marRight w:val="0"/>
          <w:marTop w:val="0"/>
          <w:marBottom w:val="0"/>
          <w:divBdr>
            <w:top w:val="none" w:sz="0" w:space="0" w:color="auto"/>
            <w:left w:val="none" w:sz="0" w:space="0" w:color="auto"/>
            <w:bottom w:val="none" w:sz="0" w:space="0" w:color="auto"/>
            <w:right w:val="none" w:sz="0" w:space="0" w:color="auto"/>
          </w:divBdr>
        </w:div>
        <w:div w:id="1834448912">
          <w:marLeft w:val="0"/>
          <w:marRight w:val="0"/>
          <w:marTop w:val="0"/>
          <w:marBottom w:val="0"/>
          <w:divBdr>
            <w:top w:val="none" w:sz="0" w:space="0" w:color="auto"/>
            <w:left w:val="none" w:sz="0" w:space="0" w:color="auto"/>
            <w:bottom w:val="none" w:sz="0" w:space="0" w:color="auto"/>
            <w:right w:val="none" w:sz="0" w:space="0" w:color="auto"/>
          </w:divBdr>
        </w:div>
        <w:div w:id="1876651319">
          <w:marLeft w:val="0"/>
          <w:marRight w:val="0"/>
          <w:marTop w:val="0"/>
          <w:marBottom w:val="0"/>
          <w:divBdr>
            <w:top w:val="none" w:sz="0" w:space="0" w:color="auto"/>
            <w:left w:val="none" w:sz="0" w:space="0" w:color="auto"/>
            <w:bottom w:val="none" w:sz="0" w:space="0" w:color="auto"/>
            <w:right w:val="none" w:sz="0" w:space="0" w:color="auto"/>
          </w:divBdr>
        </w:div>
        <w:div w:id="1923681020">
          <w:marLeft w:val="0"/>
          <w:marRight w:val="0"/>
          <w:marTop w:val="0"/>
          <w:marBottom w:val="0"/>
          <w:divBdr>
            <w:top w:val="none" w:sz="0" w:space="0" w:color="auto"/>
            <w:left w:val="none" w:sz="0" w:space="0" w:color="auto"/>
            <w:bottom w:val="none" w:sz="0" w:space="0" w:color="auto"/>
            <w:right w:val="none" w:sz="0" w:space="0" w:color="auto"/>
          </w:divBdr>
        </w:div>
        <w:div w:id="1999579291">
          <w:marLeft w:val="0"/>
          <w:marRight w:val="0"/>
          <w:marTop w:val="0"/>
          <w:marBottom w:val="0"/>
          <w:divBdr>
            <w:top w:val="none" w:sz="0" w:space="0" w:color="auto"/>
            <w:left w:val="none" w:sz="0" w:space="0" w:color="auto"/>
            <w:bottom w:val="none" w:sz="0" w:space="0" w:color="auto"/>
            <w:right w:val="none" w:sz="0" w:space="0" w:color="auto"/>
          </w:divBdr>
        </w:div>
        <w:div w:id="2026785687">
          <w:marLeft w:val="0"/>
          <w:marRight w:val="0"/>
          <w:marTop w:val="0"/>
          <w:marBottom w:val="0"/>
          <w:divBdr>
            <w:top w:val="none" w:sz="0" w:space="0" w:color="auto"/>
            <w:left w:val="none" w:sz="0" w:space="0" w:color="auto"/>
            <w:bottom w:val="none" w:sz="0" w:space="0" w:color="auto"/>
            <w:right w:val="none" w:sz="0" w:space="0" w:color="auto"/>
          </w:divBdr>
        </w:div>
        <w:div w:id="2056657193">
          <w:marLeft w:val="0"/>
          <w:marRight w:val="0"/>
          <w:marTop w:val="0"/>
          <w:marBottom w:val="0"/>
          <w:divBdr>
            <w:top w:val="none" w:sz="0" w:space="0" w:color="auto"/>
            <w:left w:val="none" w:sz="0" w:space="0" w:color="auto"/>
            <w:bottom w:val="none" w:sz="0" w:space="0" w:color="auto"/>
            <w:right w:val="none" w:sz="0" w:space="0" w:color="auto"/>
          </w:divBdr>
        </w:div>
        <w:div w:id="2073692985">
          <w:marLeft w:val="0"/>
          <w:marRight w:val="0"/>
          <w:marTop w:val="0"/>
          <w:marBottom w:val="0"/>
          <w:divBdr>
            <w:top w:val="none" w:sz="0" w:space="0" w:color="auto"/>
            <w:left w:val="none" w:sz="0" w:space="0" w:color="auto"/>
            <w:bottom w:val="none" w:sz="0" w:space="0" w:color="auto"/>
            <w:right w:val="none" w:sz="0" w:space="0" w:color="auto"/>
          </w:divBdr>
        </w:div>
        <w:div w:id="2144885781">
          <w:marLeft w:val="0"/>
          <w:marRight w:val="0"/>
          <w:marTop w:val="0"/>
          <w:marBottom w:val="0"/>
          <w:divBdr>
            <w:top w:val="none" w:sz="0" w:space="0" w:color="auto"/>
            <w:left w:val="none" w:sz="0" w:space="0" w:color="auto"/>
            <w:bottom w:val="none" w:sz="0" w:space="0" w:color="auto"/>
            <w:right w:val="none" w:sz="0" w:space="0" w:color="auto"/>
          </w:divBdr>
        </w:div>
      </w:divsChild>
    </w:div>
    <w:div w:id="1970628482">
      <w:bodyDiv w:val="1"/>
      <w:marLeft w:val="0"/>
      <w:marRight w:val="0"/>
      <w:marTop w:val="0"/>
      <w:marBottom w:val="0"/>
      <w:divBdr>
        <w:top w:val="none" w:sz="0" w:space="0" w:color="auto"/>
        <w:left w:val="none" w:sz="0" w:space="0" w:color="auto"/>
        <w:bottom w:val="none" w:sz="0" w:space="0" w:color="auto"/>
        <w:right w:val="none" w:sz="0" w:space="0" w:color="auto"/>
      </w:divBdr>
      <w:divsChild>
        <w:div w:id="10424848">
          <w:marLeft w:val="0"/>
          <w:marRight w:val="0"/>
          <w:marTop w:val="0"/>
          <w:marBottom w:val="0"/>
          <w:divBdr>
            <w:top w:val="none" w:sz="0" w:space="0" w:color="auto"/>
            <w:left w:val="none" w:sz="0" w:space="0" w:color="auto"/>
            <w:bottom w:val="none" w:sz="0" w:space="0" w:color="auto"/>
            <w:right w:val="none" w:sz="0" w:space="0" w:color="auto"/>
          </w:divBdr>
          <w:divsChild>
            <w:div w:id="1277100245">
              <w:marLeft w:val="0"/>
              <w:marRight w:val="0"/>
              <w:marTop w:val="0"/>
              <w:marBottom w:val="0"/>
              <w:divBdr>
                <w:top w:val="none" w:sz="0" w:space="0" w:color="auto"/>
                <w:left w:val="none" w:sz="0" w:space="0" w:color="auto"/>
                <w:bottom w:val="none" w:sz="0" w:space="0" w:color="auto"/>
                <w:right w:val="none" w:sz="0" w:space="0" w:color="auto"/>
              </w:divBdr>
            </w:div>
          </w:divsChild>
        </w:div>
        <w:div w:id="185994391">
          <w:marLeft w:val="0"/>
          <w:marRight w:val="0"/>
          <w:marTop w:val="0"/>
          <w:marBottom w:val="0"/>
          <w:divBdr>
            <w:top w:val="none" w:sz="0" w:space="0" w:color="auto"/>
            <w:left w:val="none" w:sz="0" w:space="0" w:color="auto"/>
            <w:bottom w:val="none" w:sz="0" w:space="0" w:color="auto"/>
            <w:right w:val="none" w:sz="0" w:space="0" w:color="auto"/>
          </w:divBdr>
          <w:divsChild>
            <w:div w:id="375740696">
              <w:marLeft w:val="0"/>
              <w:marRight w:val="0"/>
              <w:marTop w:val="0"/>
              <w:marBottom w:val="0"/>
              <w:divBdr>
                <w:top w:val="none" w:sz="0" w:space="0" w:color="auto"/>
                <w:left w:val="none" w:sz="0" w:space="0" w:color="auto"/>
                <w:bottom w:val="none" w:sz="0" w:space="0" w:color="auto"/>
                <w:right w:val="none" w:sz="0" w:space="0" w:color="auto"/>
              </w:divBdr>
            </w:div>
          </w:divsChild>
        </w:div>
        <w:div w:id="209810419">
          <w:marLeft w:val="0"/>
          <w:marRight w:val="0"/>
          <w:marTop w:val="0"/>
          <w:marBottom w:val="0"/>
          <w:divBdr>
            <w:top w:val="none" w:sz="0" w:space="0" w:color="auto"/>
            <w:left w:val="none" w:sz="0" w:space="0" w:color="auto"/>
            <w:bottom w:val="none" w:sz="0" w:space="0" w:color="auto"/>
            <w:right w:val="none" w:sz="0" w:space="0" w:color="auto"/>
          </w:divBdr>
          <w:divsChild>
            <w:div w:id="1421219268">
              <w:marLeft w:val="0"/>
              <w:marRight w:val="0"/>
              <w:marTop w:val="0"/>
              <w:marBottom w:val="0"/>
              <w:divBdr>
                <w:top w:val="none" w:sz="0" w:space="0" w:color="auto"/>
                <w:left w:val="none" w:sz="0" w:space="0" w:color="auto"/>
                <w:bottom w:val="none" w:sz="0" w:space="0" w:color="auto"/>
                <w:right w:val="none" w:sz="0" w:space="0" w:color="auto"/>
              </w:divBdr>
            </w:div>
          </w:divsChild>
        </w:div>
        <w:div w:id="266499610">
          <w:marLeft w:val="0"/>
          <w:marRight w:val="0"/>
          <w:marTop w:val="0"/>
          <w:marBottom w:val="0"/>
          <w:divBdr>
            <w:top w:val="none" w:sz="0" w:space="0" w:color="auto"/>
            <w:left w:val="none" w:sz="0" w:space="0" w:color="auto"/>
            <w:bottom w:val="none" w:sz="0" w:space="0" w:color="auto"/>
            <w:right w:val="none" w:sz="0" w:space="0" w:color="auto"/>
          </w:divBdr>
          <w:divsChild>
            <w:div w:id="1811166519">
              <w:marLeft w:val="0"/>
              <w:marRight w:val="0"/>
              <w:marTop w:val="0"/>
              <w:marBottom w:val="0"/>
              <w:divBdr>
                <w:top w:val="none" w:sz="0" w:space="0" w:color="auto"/>
                <w:left w:val="none" w:sz="0" w:space="0" w:color="auto"/>
                <w:bottom w:val="none" w:sz="0" w:space="0" w:color="auto"/>
                <w:right w:val="none" w:sz="0" w:space="0" w:color="auto"/>
              </w:divBdr>
            </w:div>
          </w:divsChild>
        </w:div>
        <w:div w:id="405498940">
          <w:marLeft w:val="0"/>
          <w:marRight w:val="0"/>
          <w:marTop w:val="0"/>
          <w:marBottom w:val="0"/>
          <w:divBdr>
            <w:top w:val="none" w:sz="0" w:space="0" w:color="auto"/>
            <w:left w:val="none" w:sz="0" w:space="0" w:color="auto"/>
            <w:bottom w:val="none" w:sz="0" w:space="0" w:color="auto"/>
            <w:right w:val="none" w:sz="0" w:space="0" w:color="auto"/>
          </w:divBdr>
          <w:divsChild>
            <w:div w:id="1409376974">
              <w:marLeft w:val="0"/>
              <w:marRight w:val="0"/>
              <w:marTop w:val="0"/>
              <w:marBottom w:val="0"/>
              <w:divBdr>
                <w:top w:val="none" w:sz="0" w:space="0" w:color="auto"/>
                <w:left w:val="none" w:sz="0" w:space="0" w:color="auto"/>
                <w:bottom w:val="none" w:sz="0" w:space="0" w:color="auto"/>
                <w:right w:val="none" w:sz="0" w:space="0" w:color="auto"/>
              </w:divBdr>
            </w:div>
          </w:divsChild>
        </w:div>
        <w:div w:id="562639991">
          <w:marLeft w:val="0"/>
          <w:marRight w:val="0"/>
          <w:marTop w:val="0"/>
          <w:marBottom w:val="0"/>
          <w:divBdr>
            <w:top w:val="none" w:sz="0" w:space="0" w:color="auto"/>
            <w:left w:val="none" w:sz="0" w:space="0" w:color="auto"/>
            <w:bottom w:val="none" w:sz="0" w:space="0" w:color="auto"/>
            <w:right w:val="none" w:sz="0" w:space="0" w:color="auto"/>
          </w:divBdr>
          <w:divsChild>
            <w:div w:id="285548931">
              <w:marLeft w:val="0"/>
              <w:marRight w:val="0"/>
              <w:marTop w:val="0"/>
              <w:marBottom w:val="0"/>
              <w:divBdr>
                <w:top w:val="none" w:sz="0" w:space="0" w:color="auto"/>
                <w:left w:val="none" w:sz="0" w:space="0" w:color="auto"/>
                <w:bottom w:val="none" w:sz="0" w:space="0" w:color="auto"/>
                <w:right w:val="none" w:sz="0" w:space="0" w:color="auto"/>
              </w:divBdr>
            </w:div>
          </w:divsChild>
        </w:div>
        <w:div w:id="727994807">
          <w:marLeft w:val="0"/>
          <w:marRight w:val="0"/>
          <w:marTop w:val="0"/>
          <w:marBottom w:val="0"/>
          <w:divBdr>
            <w:top w:val="none" w:sz="0" w:space="0" w:color="auto"/>
            <w:left w:val="none" w:sz="0" w:space="0" w:color="auto"/>
            <w:bottom w:val="none" w:sz="0" w:space="0" w:color="auto"/>
            <w:right w:val="none" w:sz="0" w:space="0" w:color="auto"/>
          </w:divBdr>
          <w:divsChild>
            <w:div w:id="1977950925">
              <w:marLeft w:val="0"/>
              <w:marRight w:val="0"/>
              <w:marTop w:val="0"/>
              <w:marBottom w:val="0"/>
              <w:divBdr>
                <w:top w:val="none" w:sz="0" w:space="0" w:color="auto"/>
                <w:left w:val="none" w:sz="0" w:space="0" w:color="auto"/>
                <w:bottom w:val="none" w:sz="0" w:space="0" w:color="auto"/>
                <w:right w:val="none" w:sz="0" w:space="0" w:color="auto"/>
              </w:divBdr>
            </w:div>
          </w:divsChild>
        </w:div>
        <w:div w:id="850880036">
          <w:marLeft w:val="0"/>
          <w:marRight w:val="0"/>
          <w:marTop w:val="0"/>
          <w:marBottom w:val="0"/>
          <w:divBdr>
            <w:top w:val="none" w:sz="0" w:space="0" w:color="auto"/>
            <w:left w:val="none" w:sz="0" w:space="0" w:color="auto"/>
            <w:bottom w:val="none" w:sz="0" w:space="0" w:color="auto"/>
            <w:right w:val="none" w:sz="0" w:space="0" w:color="auto"/>
          </w:divBdr>
          <w:divsChild>
            <w:div w:id="914434319">
              <w:marLeft w:val="0"/>
              <w:marRight w:val="0"/>
              <w:marTop w:val="0"/>
              <w:marBottom w:val="0"/>
              <w:divBdr>
                <w:top w:val="none" w:sz="0" w:space="0" w:color="auto"/>
                <w:left w:val="none" w:sz="0" w:space="0" w:color="auto"/>
                <w:bottom w:val="none" w:sz="0" w:space="0" w:color="auto"/>
                <w:right w:val="none" w:sz="0" w:space="0" w:color="auto"/>
              </w:divBdr>
            </w:div>
          </w:divsChild>
        </w:div>
        <w:div w:id="864247986">
          <w:marLeft w:val="0"/>
          <w:marRight w:val="0"/>
          <w:marTop w:val="0"/>
          <w:marBottom w:val="0"/>
          <w:divBdr>
            <w:top w:val="none" w:sz="0" w:space="0" w:color="auto"/>
            <w:left w:val="none" w:sz="0" w:space="0" w:color="auto"/>
            <w:bottom w:val="none" w:sz="0" w:space="0" w:color="auto"/>
            <w:right w:val="none" w:sz="0" w:space="0" w:color="auto"/>
          </w:divBdr>
          <w:divsChild>
            <w:div w:id="1976569641">
              <w:marLeft w:val="0"/>
              <w:marRight w:val="0"/>
              <w:marTop w:val="0"/>
              <w:marBottom w:val="0"/>
              <w:divBdr>
                <w:top w:val="none" w:sz="0" w:space="0" w:color="auto"/>
                <w:left w:val="none" w:sz="0" w:space="0" w:color="auto"/>
                <w:bottom w:val="none" w:sz="0" w:space="0" w:color="auto"/>
                <w:right w:val="none" w:sz="0" w:space="0" w:color="auto"/>
              </w:divBdr>
            </w:div>
          </w:divsChild>
        </w:div>
        <w:div w:id="939338089">
          <w:marLeft w:val="0"/>
          <w:marRight w:val="0"/>
          <w:marTop w:val="0"/>
          <w:marBottom w:val="0"/>
          <w:divBdr>
            <w:top w:val="none" w:sz="0" w:space="0" w:color="auto"/>
            <w:left w:val="none" w:sz="0" w:space="0" w:color="auto"/>
            <w:bottom w:val="none" w:sz="0" w:space="0" w:color="auto"/>
            <w:right w:val="none" w:sz="0" w:space="0" w:color="auto"/>
          </w:divBdr>
          <w:divsChild>
            <w:div w:id="52970929">
              <w:marLeft w:val="0"/>
              <w:marRight w:val="0"/>
              <w:marTop w:val="0"/>
              <w:marBottom w:val="0"/>
              <w:divBdr>
                <w:top w:val="none" w:sz="0" w:space="0" w:color="auto"/>
                <w:left w:val="none" w:sz="0" w:space="0" w:color="auto"/>
                <w:bottom w:val="none" w:sz="0" w:space="0" w:color="auto"/>
                <w:right w:val="none" w:sz="0" w:space="0" w:color="auto"/>
              </w:divBdr>
            </w:div>
          </w:divsChild>
        </w:div>
        <w:div w:id="945230428">
          <w:marLeft w:val="0"/>
          <w:marRight w:val="0"/>
          <w:marTop w:val="0"/>
          <w:marBottom w:val="0"/>
          <w:divBdr>
            <w:top w:val="none" w:sz="0" w:space="0" w:color="auto"/>
            <w:left w:val="none" w:sz="0" w:space="0" w:color="auto"/>
            <w:bottom w:val="none" w:sz="0" w:space="0" w:color="auto"/>
            <w:right w:val="none" w:sz="0" w:space="0" w:color="auto"/>
          </w:divBdr>
          <w:divsChild>
            <w:div w:id="1939289954">
              <w:marLeft w:val="0"/>
              <w:marRight w:val="0"/>
              <w:marTop w:val="0"/>
              <w:marBottom w:val="0"/>
              <w:divBdr>
                <w:top w:val="none" w:sz="0" w:space="0" w:color="auto"/>
                <w:left w:val="none" w:sz="0" w:space="0" w:color="auto"/>
                <w:bottom w:val="none" w:sz="0" w:space="0" w:color="auto"/>
                <w:right w:val="none" w:sz="0" w:space="0" w:color="auto"/>
              </w:divBdr>
            </w:div>
          </w:divsChild>
        </w:div>
        <w:div w:id="1094714229">
          <w:marLeft w:val="0"/>
          <w:marRight w:val="0"/>
          <w:marTop w:val="0"/>
          <w:marBottom w:val="0"/>
          <w:divBdr>
            <w:top w:val="none" w:sz="0" w:space="0" w:color="auto"/>
            <w:left w:val="none" w:sz="0" w:space="0" w:color="auto"/>
            <w:bottom w:val="none" w:sz="0" w:space="0" w:color="auto"/>
            <w:right w:val="none" w:sz="0" w:space="0" w:color="auto"/>
          </w:divBdr>
          <w:divsChild>
            <w:div w:id="1389916740">
              <w:marLeft w:val="0"/>
              <w:marRight w:val="0"/>
              <w:marTop w:val="0"/>
              <w:marBottom w:val="0"/>
              <w:divBdr>
                <w:top w:val="none" w:sz="0" w:space="0" w:color="auto"/>
                <w:left w:val="none" w:sz="0" w:space="0" w:color="auto"/>
                <w:bottom w:val="none" w:sz="0" w:space="0" w:color="auto"/>
                <w:right w:val="none" w:sz="0" w:space="0" w:color="auto"/>
              </w:divBdr>
            </w:div>
          </w:divsChild>
        </w:div>
        <w:div w:id="1107000092">
          <w:marLeft w:val="0"/>
          <w:marRight w:val="0"/>
          <w:marTop w:val="0"/>
          <w:marBottom w:val="0"/>
          <w:divBdr>
            <w:top w:val="none" w:sz="0" w:space="0" w:color="auto"/>
            <w:left w:val="none" w:sz="0" w:space="0" w:color="auto"/>
            <w:bottom w:val="none" w:sz="0" w:space="0" w:color="auto"/>
            <w:right w:val="none" w:sz="0" w:space="0" w:color="auto"/>
          </w:divBdr>
          <w:divsChild>
            <w:div w:id="684480650">
              <w:marLeft w:val="0"/>
              <w:marRight w:val="0"/>
              <w:marTop w:val="0"/>
              <w:marBottom w:val="0"/>
              <w:divBdr>
                <w:top w:val="none" w:sz="0" w:space="0" w:color="auto"/>
                <w:left w:val="none" w:sz="0" w:space="0" w:color="auto"/>
                <w:bottom w:val="none" w:sz="0" w:space="0" w:color="auto"/>
                <w:right w:val="none" w:sz="0" w:space="0" w:color="auto"/>
              </w:divBdr>
            </w:div>
          </w:divsChild>
        </w:div>
        <w:div w:id="1333989749">
          <w:marLeft w:val="0"/>
          <w:marRight w:val="0"/>
          <w:marTop w:val="0"/>
          <w:marBottom w:val="0"/>
          <w:divBdr>
            <w:top w:val="none" w:sz="0" w:space="0" w:color="auto"/>
            <w:left w:val="none" w:sz="0" w:space="0" w:color="auto"/>
            <w:bottom w:val="none" w:sz="0" w:space="0" w:color="auto"/>
            <w:right w:val="none" w:sz="0" w:space="0" w:color="auto"/>
          </w:divBdr>
          <w:divsChild>
            <w:div w:id="1044646418">
              <w:marLeft w:val="0"/>
              <w:marRight w:val="0"/>
              <w:marTop w:val="0"/>
              <w:marBottom w:val="0"/>
              <w:divBdr>
                <w:top w:val="none" w:sz="0" w:space="0" w:color="auto"/>
                <w:left w:val="none" w:sz="0" w:space="0" w:color="auto"/>
                <w:bottom w:val="none" w:sz="0" w:space="0" w:color="auto"/>
                <w:right w:val="none" w:sz="0" w:space="0" w:color="auto"/>
              </w:divBdr>
            </w:div>
          </w:divsChild>
        </w:div>
        <w:div w:id="1427388585">
          <w:marLeft w:val="0"/>
          <w:marRight w:val="0"/>
          <w:marTop w:val="0"/>
          <w:marBottom w:val="0"/>
          <w:divBdr>
            <w:top w:val="none" w:sz="0" w:space="0" w:color="auto"/>
            <w:left w:val="none" w:sz="0" w:space="0" w:color="auto"/>
            <w:bottom w:val="none" w:sz="0" w:space="0" w:color="auto"/>
            <w:right w:val="none" w:sz="0" w:space="0" w:color="auto"/>
          </w:divBdr>
          <w:divsChild>
            <w:div w:id="853105746">
              <w:marLeft w:val="0"/>
              <w:marRight w:val="0"/>
              <w:marTop w:val="0"/>
              <w:marBottom w:val="0"/>
              <w:divBdr>
                <w:top w:val="none" w:sz="0" w:space="0" w:color="auto"/>
                <w:left w:val="none" w:sz="0" w:space="0" w:color="auto"/>
                <w:bottom w:val="none" w:sz="0" w:space="0" w:color="auto"/>
                <w:right w:val="none" w:sz="0" w:space="0" w:color="auto"/>
              </w:divBdr>
            </w:div>
          </w:divsChild>
        </w:div>
        <w:div w:id="1499612790">
          <w:marLeft w:val="0"/>
          <w:marRight w:val="0"/>
          <w:marTop w:val="0"/>
          <w:marBottom w:val="0"/>
          <w:divBdr>
            <w:top w:val="none" w:sz="0" w:space="0" w:color="auto"/>
            <w:left w:val="none" w:sz="0" w:space="0" w:color="auto"/>
            <w:bottom w:val="none" w:sz="0" w:space="0" w:color="auto"/>
            <w:right w:val="none" w:sz="0" w:space="0" w:color="auto"/>
          </w:divBdr>
          <w:divsChild>
            <w:div w:id="1599563942">
              <w:marLeft w:val="0"/>
              <w:marRight w:val="0"/>
              <w:marTop w:val="0"/>
              <w:marBottom w:val="0"/>
              <w:divBdr>
                <w:top w:val="none" w:sz="0" w:space="0" w:color="auto"/>
                <w:left w:val="none" w:sz="0" w:space="0" w:color="auto"/>
                <w:bottom w:val="none" w:sz="0" w:space="0" w:color="auto"/>
                <w:right w:val="none" w:sz="0" w:space="0" w:color="auto"/>
              </w:divBdr>
            </w:div>
          </w:divsChild>
        </w:div>
        <w:div w:id="1517498148">
          <w:marLeft w:val="0"/>
          <w:marRight w:val="0"/>
          <w:marTop w:val="0"/>
          <w:marBottom w:val="0"/>
          <w:divBdr>
            <w:top w:val="none" w:sz="0" w:space="0" w:color="auto"/>
            <w:left w:val="none" w:sz="0" w:space="0" w:color="auto"/>
            <w:bottom w:val="none" w:sz="0" w:space="0" w:color="auto"/>
            <w:right w:val="none" w:sz="0" w:space="0" w:color="auto"/>
          </w:divBdr>
          <w:divsChild>
            <w:div w:id="235014077">
              <w:marLeft w:val="0"/>
              <w:marRight w:val="0"/>
              <w:marTop w:val="0"/>
              <w:marBottom w:val="0"/>
              <w:divBdr>
                <w:top w:val="none" w:sz="0" w:space="0" w:color="auto"/>
                <w:left w:val="none" w:sz="0" w:space="0" w:color="auto"/>
                <w:bottom w:val="none" w:sz="0" w:space="0" w:color="auto"/>
                <w:right w:val="none" w:sz="0" w:space="0" w:color="auto"/>
              </w:divBdr>
            </w:div>
          </w:divsChild>
        </w:div>
        <w:div w:id="1551500313">
          <w:marLeft w:val="0"/>
          <w:marRight w:val="0"/>
          <w:marTop w:val="0"/>
          <w:marBottom w:val="0"/>
          <w:divBdr>
            <w:top w:val="none" w:sz="0" w:space="0" w:color="auto"/>
            <w:left w:val="none" w:sz="0" w:space="0" w:color="auto"/>
            <w:bottom w:val="none" w:sz="0" w:space="0" w:color="auto"/>
            <w:right w:val="none" w:sz="0" w:space="0" w:color="auto"/>
          </w:divBdr>
          <w:divsChild>
            <w:div w:id="2115586129">
              <w:marLeft w:val="0"/>
              <w:marRight w:val="0"/>
              <w:marTop w:val="0"/>
              <w:marBottom w:val="0"/>
              <w:divBdr>
                <w:top w:val="none" w:sz="0" w:space="0" w:color="auto"/>
                <w:left w:val="none" w:sz="0" w:space="0" w:color="auto"/>
                <w:bottom w:val="none" w:sz="0" w:space="0" w:color="auto"/>
                <w:right w:val="none" w:sz="0" w:space="0" w:color="auto"/>
              </w:divBdr>
            </w:div>
          </w:divsChild>
        </w:div>
        <w:div w:id="1641570761">
          <w:marLeft w:val="0"/>
          <w:marRight w:val="0"/>
          <w:marTop w:val="0"/>
          <w:marBottom w:val="0"/>
          <w:divBdr>
            <w:top w:val="none" w:sz="0" w:space="0" w:color="auto"/>
            <w:left w:val="none" w:sz="0" w:space="0" w:color="auto"/>
            <w:bottom w:val="none" w:sz="0" w:space="0" w:color="auto"/>
            <w:right w:val="none" w:sz="0" w:space="0" w:color="auto"/>
          </w:divBdr>
          <w:divsChild>
            <w:div w:id="2100828204">
              <w:marLeft w:val="0"/>
              <w:marRight w:val="0"/>
              <w:marTop w:val="0"/>
              <w:marBottom w:val="0"/>
              <w:divBdr>
                <w:top w:val="none" w:sz="0" w:space="0" w:color="auto"/>
                <w:left w:val="none" w:sz="0" w:space="0" w:color="auto"/>
                <w:bottom w:val="none" w:sz="0" w:space="0" w:color="auto"/>
                <w:right w:val="none" w:sz="0" w:space="0" w:color="auto"/>
              </w:divBdr>
            </w:div>
          </w:divsChild>
        </w:div>
        <w:div w:id="1709453585">
          <w:marLeft w:val="0"/>
          <w:marRight w:val="0"/>
          <w:marTop w:val="0"/>
          <w:marBottom w:val="0"/>
          <w:divBdr>
            <w:top w:val="none" w:sz="0" w:space="0" w:color="auto"/>
            <w:left w:val="none" w:sz="0" w:space="0" w:color="auto"/>
            <w:bottom w:val="none" w:sz="0" w:space="0" w:color="auto"/>
            <w:right w:val="none" w:sz="0" w:space="0" w:color="auto"/>
          </w:divBdr>
          <w:divsChild>
            <w:div w:id="1005207125">
              <w:marLeft w:val="0"/>
              <w:marRight w:val="0"/>
              <w:marTop w:val="0"/>
              <w:marBottom w:val="0"/>
              <w:divBdr>
                <w:top w:val="none" w:sz="0" w:space="0" w:color="auto"/>
                <w:left w:val="none" w:sz="0" w:space="0" w:color="auto"/>
                <w:bottom w:val="none" w:sz="0" w:space="0" w:color="auto"/>
                <w:right w:val="none" w:sz="0" w:space="0" w:color="auto"/>
              </w:divBdr>
            </w:div>
          </w:divsChild>
        </w:div>
        <w:div w:id="1835805205">
          <w:marLeft w:val="0"/>
          <w:marRight w:val="0"/>
          <w:marTop w:val="0"/>
          <w:marBottom w:val="0"/>
          <w:divBdr>
            <w:top w:val="none" w:sz="0" w:space="0" w:color="auto"/>
            <w:left w:val="none" w:sz="0" w:space="0" w:color="auto"/>
            <w:bottom w:val="none" w:sz="0" w:space="0" w:color="auto"/>
            <w:right w:val="none" w:sz="0" w:space="0" w:color="auto"/>
          </w:divBdr>
          <w:divsChild>
            <w:div w:id="1917084211">
              <w:marLeft w:val="0"/>
              <w:marRight w:val="0"/>
              <w:marTop w:val="0"/>
              <w:marBottom w:val="0"/>
              <w:divBdr>
                <w:top w:val="none" w:sz="0" w:space="0" w:color="auto"/>
                <w:left w:val="none" w:sz="0" w:space="0" w:color="auto"/>
                <w:bottom w:val="none" w:sz="0" w:space="0" w:color="auto"/>
                <w:right w:val="none" w:sz="0" w:space="0" w:color="auto"/>
              </w:divBdr>
            </w:div>
          </w:divsChild>
        </w:div>
        <w:div w:id="1924755494">
          <w:marLeft w:val="0"/>
          <w:marRight w:val="0"/>
          <w:marTop w:val="0"/>
          <w:marBottom w:val="0"/>
          <w:divBdr>
            <w:top w:val="none" w:sz="0" w:space="0" w:color="auto"/>
            <w:left w:val="none" w:sz="0" w:space="0" w:color="auto"/>
            <w:bottom w:val="none" w:sz="0" w:space="0" w:color="auto"/>
            <w:right w:val="none" w:sz="0" w:space="0" w:color="auto"/>
          </w:divBdr>
          <w:divsChild>
            <w:div w:id="673724686">
              <w:marLeft w:val="0"/>
              <w:marRight w:val="0"/>
              <w:marTop w:val="0"/>
              <w:marBottom w:val="0"/>
              <w:divBdr>
                <w:top w:val="none" w:sz="0" w:space="0" w:color="auto"/>
                <w:left w:val="none" w:sz="0" w:space="0" w:color="auto"/>
                <w:bottom w:val="none" w:sz="0" w:space="0" w:color="auto"/>
                <w:right w:val="none" w:sz="0" w:space="0" w:color="auto"/>
              </w:divBdr>
            </w:div>
          </w:divsChild>
        </w:div>
        <w:div w:id="2013488636">
          <w:marLeft w:val="0"/>
          <w:marRight w:val="0"/>
          <w:marTop w:val="0"/>
          <w:marBottom w:val="0"/>
          <w:divBdr>
            <w:top w:val="none" w:sz="0" w:space="0" w:color="auto"/>
            <w:left w:val="none" w:sz="0" w:space="0" w:color="auto"/>
            <w:bottom w:val="none" w:sz="0" w:space="0" w:color="auto"/>
            <w:right w:val="none" w:sz="0" w:space="0" w:color="auto"/>
          </w:divBdr>
          <w:divsChild>
            <w:div w:id="689650365">
              <w:marLeft w:val="0"/>
              <w:marRight w:val="0"/>
              <w:marTop w:val="0"/>
              <w:marBottom w:val="0"/>
              <w:divBdr>
                <w:top w:val="none" w:sz="0" w:space="0" w:color="auto"/>
                <w:left w:val="none" w:sz="0" w:space="0" w:color="auto"/>
                <w:bottom w:val="none" w:sz="0" w:space="0" w:color="auto"/>
                <w:right w:val="none" w:sz="0" w:space="0" w:color="auto"/>
              </w:divBdr>
            </w:div>
          </w:divsChild>
        </w:div>
        <w:div w:id="2056616667">
          <w:marLeft w:val="0"/>
          <w:marRight w:val="0"/>
          <w:marTop w:val="0"/>
          <w:marBottom w:val="0"/>
          <w:divBdr>
            <w:top w:val="none" w:sz="0" w:space="0" w:color="auto"/>
            <w:left w:val="none" w:sz="0" w:space="0" w:color="auto"/>
            <w:bottom w:val="none" w:sz="0" w:space="0" w:color="auto"/>
            <w:right w:val="none" w:sz="0" w:space="0" w:color="auto"/>
          </w:divBdr>
          <w:divsChild>
            <w:div w:id="17878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60753">
      <w:bodyDiv w:val="1"/>
      <w:marLeft w:val="0"/>
      <w:marRight w:val="0"/>
      <w:marTop w:val="0"/>
      <w:marBottom w:val="0"/>
      <w:divBdr>
        <w:top w:val="none" w:sz="0" w:space="0" w:color="auto"/>
        <w:left w:val="none" w:sz="0" w:space="0" w:color="auto"/>
        <w:bottom w:val="none" w:sz="0" w:space="0" w:color="auto"/>
        <w:right w:val="none" w:sz="0" w:space="0" w:color="auto"/>
      </w:divBdr>
      <w:divsChild>
        <w:div w:id="102308741">
          <w:marLeft w:val="0"/>
          <w:marRight w:val="0"/>
          <w:marTop w:val="0"/>
          <w:marBottom w:val="0"/>
          <w:divBdr>
            <w:top w:val="none" w:sz="0" w:space="0" w:color="auto"/>
            <w:left w:val="none" w:sz="0" w:space="0" w:color="auto"/>
            <w:bottom w:val="none" w:sz="0" w:space="0" w:color="auto"/>
            <w:right w:val="none" w:sz="0" w:space="0" w:color="auto"/>
          </w:divBdr>
          <w:divsChild>
            <w:div w:id="1224558263">
              <w:marLeft w:val="0"/>
              <w:marRight w:val="0"/>
              <w:marTop w:val="0"/>
              <w:marBottom w:val="0"/>
              <w:divBdr>
                <w:top w:val="none" w:sz="0" w:space="0" w:color="auto"/>
                <w:left w:val="none" w:sz="0" w:space="0" w:color="auto"/>
                <w:bottom w:val="none" w:sz="0" w:space="0" w:color="auto"/>
                <w:right w:val="none" w:sz="0" w:space="0" w:color="auto"/>
              </w:divBdr>
            </w:div>
          </w:divsChild>
        </w:div>
        <w:div w:id="144393794">
          <w:marLeft w:val="0"/>
          <w:marRight w:val="0"/>
          <w:marTop w:val="0"/>
          <w:marBottom w:val="0"/>
          <w:divBdr>
            <w:top w:val="none" w:sz="0" w:space="0" w:color="auto"/>
            <w:left w:val="none" w:sz="0" w:space="0" w:color="auto"/>
            <w:bottom w:val="none" w:sz="0" w:space="0" w:color="auto"/>
            <w:right w:val="none" w:sz="0" w:space="0" w:color="auto"/>
          </w:divBdr>
          <w:divsChild>
            <w:div w:id="1913390007">
              <w:marLeft w:val="0"/>
              <w:marRight w:val="0"/>
              <w:marTop w:val="0"/>
              <w:marBottom w:val="0"/>
              <w:divBdr>
                <w:top w:val="none" w:sz="0" w:space="0" w:color="auto"/>
                <w:left w:val="none" w:sz="0" w:space="0" w:color="auto"/>
                <w:bottom w:val="none" w:sz="0" w:space="0" w:color="auto"/>
                <w:right w:val="none" w:sz="0" w:space="0" w:color="auto"/>
              </w:divBdr>
            </w:div>
          </w:divsChild>
        </w:div>
        <w:div w:id="453522604">
          <w:marLeft w:val="0"/>
          <w:marRight w:val="0"/>
          <w:marTop w:val="0"/>
          <w:marBottom w:val="0"/>
          <w:divBdr>
            <w:top w:val="none" w:sz="0" w:space="0" w:color="auto"/>
            <w:left w:val="none" w:sz="0" w:space="0" w:color="auto"/>
            <w:bottom w:val="none" w:sz="0" w:space="0" w:color="auto"/>
            <w:right w:val="none" w:sz="0" w:space="0" w:color="auto"/>
          </w:divBdr>
          <w:divsChild>
            <w:div w:id="286811654">
              <w:marLeft w:val="0"/>
              <w:marRight w:val="0"/>
              <w:marTop w:val="0"/>
              <w:marBottom w:val="0"/>
              <w:divBdr>
                <w:top w:val="none" w:sz="0" w:space="0" w:color="auto"/>
                <w:left w:val="none" w:sz="0" w:space="0" w:color="auto"/>
                <w:bottom w:val="none" w:sz="0" w:space="0" w:color="auto"/>
                <w:right w:val="none" w:sz="0" w:space="0" w:color="auto"/>
              </w:divBdr>
            </w:div>
            <w:div w:id="393898872">
              <w:marLeft w:val="0"/>
              <w:marRight w:val="0"/>
              <w:marTop w:val="0"/>
              <w:marBottom w:val="0"/>
              <w:divBdr>
                <w:top w:val="none" w:sz="0" w:space="0" w:color="auto"/>
                <w:left w:val="none" w:sz="0" w:space="0" w:color="auto"/>
                <w:bottom w:val="none" w:sz="0" w:space="0" w:color="auto"/>
                <w:right w:val="none" w:sz="0" w:space="0" w:color="auto"/>
              </w:divBdr>
            </w:div>
          </w:divsChild>
        </w:div>
        <w:div w:id="580525535">
          <w:marLeft w:val="0"/>
          <w:marRight w:val="0"/>
          <w:marTop w:val="0"/>
          <w:marBottom w:val="0"/>
          <w:divBdr>
            <w:top w:val="none" w:sz="0" w:space="0" w:color="auto"/>
            <w:left w:val="none" w:sz="0" w:space="0" w:color="auto"/>
            <w:bottom w:val="none" w:sz="0" w:space="0" w:color="auto"/>
            <w:right w:val="none" w:sz="0" w:space="0" w:color="auto"/>
          </w:divBdr>
          <w:divsChild>
            <w:div w:id="743717970">
              <w:marLeft w:val="0"/>
              <w:marRight w:val="0"/>
              <w:marTop w:val="0"/>
              <w:marBottom w:val="0"/>
              <w:divBdr>
                <w:top w:val="none" w:sz="0" w:space="0" w:color="auto"/>
                <w:left w:val="none" w:sz="0" w:space="0" w:color="auto"/>
                <w:bottom w:val="none" w:sz="0" w:space="0" w:color="auto"/>
                <w:right w:val="none" w:sz="0" w:space="0" w:color="auto"/>
              </w:divBdr>
            </w:div>
          </w:divsChild>
        </w:div>
        <w:div w:id="631400632">
          <w:marLeft w:val="0"/>
          <w:marRight w:val="0"/>
          <w:marTop w:val="0"/>
          <w:marBottom w:val="0"/>
          <w:divBdr>
            <w:top w:val="none" w:sz="0" w:space="0" w:color="auto"/>
            <w:left w:val="none" w:sz="0" w:space="0" w:color="auto"/>
            <w:bottom w:val="none" w:sz="0" w:space="0" w:color="auto"/>
            <w:right w:val="none" w:sz="0" w:space="0" w:color="auto"/>
          </w:divBdr>
          <w:divsChild>
            <w:div w:id="39403479">
              <w:marLeft w:val="0"/>
              <w:marRight w:val="0"/>
              <w:marTop w:val="0"/>
              <w:marBottom w:val="0"/>
              <w:divBdr>
                <w:top w:val="none" w:sz="0" w:space="0" w:color="auto"/>
                <w:left w:val="none" w:sz="0" w:space="0" w:color="auto"/>
                <w:bottom w:val="none" w:sz="0" w:space="0" w:color="auto"/>
                <w:right w:val="none" w:sz="0" w:space="0" w:color="auto"/>
              </w:divBdr>
            </w:div>
          </w:divsChild>
        </w:div>
        <w:div w:id="734162358">
          <w:marLeft w:val="0"/>
          <w:marRight w:val="0"/>
          <w:marTop w:val="0"/>
          <w:marBottom w:val="0"/>
          <w:divBdr>
            <w:top w:val="none" w:sz="0" w:space="0" w:color="auto"/>
            <w:left w:val="none" w:sz="0" w:space="0" w:color="auto"/>
            <w:bottom w:val="none" w:sz="0" w:space="0" w:color="auto"/>
            <w:right w:val="none" w:sz="0" w:space="0" w:color="auto"/>
          </w:divBdr>
          <w:divsChild>
            <w:div w:id="1511141714">
              <w:marLeft w:val="0"/>
              <w:marRight w:val="0"/>
              <w:marTop w:val="0"/>
              <w:marBottom w:val="0"/>
              <w:divBdr>
                <w:top w:val="none" w:sz="0" w:space="0" w:color="auto"/>
                <w:left w:val="none" w:sz="0" w:space="0" w:color="auto"/>
                <w:bottom w:val="none" w:sz="0" w:space="0" w:color="auto"/>
                <w:right w:val="none" w:sz="0" w:space="0" w:color="auto"/>
              </w:divBdr>
            </w:div>
          </w:divsChild>
        </w:div>
        <w:div w:id="1123620565">
          <w:marLeft w:val="0"/>
          <w:marRight w:val="0"/>
          <w:marTop w:val="0"/>
          <w:marBottom w:val="0"/>
          <w:divBdr>
            <w:top w:val="none" w:sz="0" w:space="0" w:color="auto"/>
            <w:left w:val="none" w:sz="0" w:space="0" w:color="auto"/>
            <w:bottom w:val="none" w:sz="0" w:space="0" w:color="auto"/>
            <w:right w:val="none" w:sz="0" w:space="0" w:color="auto"/>
          </w:divBdr>
          <w:divsChild>
            <w:div w:id="281229478">
              <w:marLeft w:val="0"/>
              <w:marRight w:val="0"/>
              <w:marTop w:val="0"/>
              <w:marBottom w:val="0"/>
              <w:divBdr>
                <w:top w:val="none" w:sz="0" w:space="0" w:color="auto"/>
                <w:left w:val="none" w:sz="0" w:space="0" w:color="auto"/>
                <w:bottom w:val="none" w:sz="0" w:space="0" w:color="auto"/>
                <w:right w:val="none" w:sz="0" w:space="0" w:color="auto"/>
              </w:divBdr>
            </w:div>
          </w:divsChild>
        </w:div>
        <w:div w:id="1155993578">
          <w:marLeft w:val="0"/>
          <w:marRight w:val="0"/>
          <w:marTop w:val="0"/>
          <w:marBottom w:val="0"/>
          <w:divBdr>
            <w:top w:val="none" w:sz="0" w:space="0" w:color="auto"/>
            <w:left w:val="none" w:sz="0" w:space="0" w:color="auto"/>
            <w:bottom w:val="none" w:sz="0" w:space="0" w:color="auto"/>
            <w:right w:val="none" w:sz="0" w:space="0" w:color="auto"/>
          </w:divBdr>
          <w:divsChild>
            <w:div w:id="733435652">
              <w:marLeft w:val="0"/>
              <w:marRight w:val="0"/>
              <w:marTop w:val="0"/>
              <w:marBottom w:val="0"/>
              <w:divBdr>
                <w:top w:val="none" w:sz="0" w:space="0" w:color="auto"/>
                <w:left w:val="none" w:sz="0" w:space="0" w:color="auto"/>
                <w:bottom w:val="none" w:sz="0" w:space="0" w:color="auto"/>
                <w:right w:val="none" w:sz="0" w:space="0" w:color="auto"/>
              </w:divBdr>
            </w:div>
          </w:divsChild>
        </w:div>
        <w:div w:id="1218474757">
          <w:marLeft w:val="0"/>
          <w:marRight w:val="0"/>
          <w:marTop w:val="0"/>
          <w:marBottom w:val="0"/>
          <w:divBdr>
            <w:top w:val="none" w:sz="0" w:space="0" w:color="auto"/>
            <w:left w:val="none" w:sz="0" w:space="0" w:color="auto"/>
            <w:bottom w:val="none" w:sz="0" w:space="0" w:color="auto"/>
            <w:right w:val="none" w:sz="0" w:space="0" w:color="auto"/>
          </w:divBdr>
          <w:divsChild>
            <w:div w:id="859274220">
              <w:marLeft w:val="0"/>
              <w:marRight w:val="0"/>
              <w:marTop w:val="0"/>
              <w:marBottom w:val="0"/>
              <w:divBdr>
                <w:top w:val="none" w:sz="0" w:space="0" w:color="auto"/>
                <w:left w:val="none" w:sz="0" w:space="0" w:color="auto"/>
                <w:bottom w:val="none" w:sz="0" w:space="0" w:color="auto"/>
                <w:right w:val="none" w:sz="0" w:space="0" w:color="auto"/>
              </w:divBdr>
            </w:div>
          </w:divsChild>
        </w:div>
        <w:div w:id="1224752630">
          <w:marLeft w:val="0"/>
          <w:marRight w:val="0"/>
          <w:marTop w:val="0"/>
          <w:marBottom w:val="0"/>
          <w:divBdr>
            <w:top w:val="none" w:sz="0" w:space="0" w:color="auto"/>
            <w:left w:val="none" w:sz="0" w:space="0" w:color="auto"/>
            <w:bottom w:val="none" w:sz="0" w:space="0" w:color="auto"/>
            <w:right w:val="none" w:sz="0" w:space="0" w:color="auto"/>
          </w:divBdr>
          <w:divsChild>
            <w:div w:id="129787596">
              <w:marLeft w:val="0"/>
              <w:marRight w:val="0"/>
              <w:marTop w:val="0"/>
              <w:marBottom w:val="0"/>
              <w:divBdr>
                <w:top w:val="none" w:sz="0" w:space="0" w:color="auto"/>
                <w:left w:val="none" w:sz="0" w:space="0" w:color="auto"/>
                <w:bottom w:val="none" w:sz="0" w:space="0" w:color="auto"/>
                <w:right w:val="none" w:sz="0" w:space="0" w:color="auto"/>
              </w:divBdr>
            </w:div>
          </w:divsChild>
        </w:div>
        <w:div w:id="1268587884">
          <w:marLeft w:val="0"/>
          <w:marRight w:val="0"/>
          <w:marTop w:val="0"/>
          <w:marBottom w:val="0"/>
          <w:divBdr>
            <w:top w:val="none" w:sz="0" w:space="0" w:color="auto"/>
            <w:left w:val="none" w:sz="0" w:space="0" w:color="auto"/>
            <w:bottom w:val="none" w:sz="0" w:space="0" w:color="auto"/>
            <w:right w:val="none" w:sz="0" w:space="0" w:color="auto"/>
          </w:divBdr>
          <w:divsChild>
            <w:div w:id="1317340939">
              <w:marLeft w:val="0"/>
              <w:marRight w:val="0"/>
              <w:marTop w:val="0"/>
              <w:marBottom w:val="0"/>
              <w:divBdr>
                <w:top w:val="none" w:sz="0" w:space="0" w:color="auto"/>
                <w:left w:val="none" w:sz="0" w:space="0" w:color="auto"/>
                <w:bottom w:val="none" w:sz="0" w:space="0" w:color="auto"/>
                <w:right w:val="none" w:sz="0" w:space="0" w:color="auto"/>
              </w:divBdr>
            </w:div>
          </w:divsChild>
        </w:div>
        <w:div w:id="1349791521">
          <w:marLeft w:val="0"/>
          <w:marRight w:val="0"/>
          <w:marTop w:val="0"/>
          <w:marBottom w:val="0"/>
          <w:divBdr>
            <w:top w:val="none" w:sz="0" w:space="0" w:color="auto"/>
            <w:left w:val="none" w:sz="0" w:space="0" w:color="auto"/>
            <w:bottom w:val="none" w:sz="0" w:space="0" w:color="auto"/>
            <w:right w:val="none" w:sz="0" w:space="0" w:color="auto"/>
          </w:divBdr>
          <w:divsChild>
            <w:div w:id="1476681149">
              <w:marLeft w:val="0"/>
              <w:marRight w:val="0"/>
              <w:marTop w:val="0"/>
              <w:marBottom w:val="0"/>
              <w:divBdr>
                <w:top w:val="none" w:sz="0" w:space="0" w:color="auto"/>
                <w:left w:val="none" w:sz="0" w:space="0" w:color="auto"/>
                <w:bottom w:val="none" w:sz="0" w:space="0" w:color="auto"/>
                <w:right w:val="none" w:sz="0" w:space="0" w:color="auto"/>
              </w:divBdr>
            </w:div>
          </w:divsChild>
        </w:div>
        <w:div w:id="1398287521">
          <w:marLeft w:val="0"/>
          <w:marRight w:val="0"/>
          <w:marTop w:val="0"/>
          <w:marBottom w:val="0"/>
          <w:divBdr>
            <w:top w:val="none" w:sz="0" w:space="0" w:color="auto"/>
            <w:left w:val="none" w:sz="0" w:space="0" w:color="auto"/>
            <w:bottom w:val="none" w:sz="0" w:space="0" w:color="auto"/>
            <w:right w:val="none" w:sz="0" w:space="0" w:color="auto"/>
          </w:divBdr>
          <w:divsChild>
            <w:div w:id="181164701">
              <w:marLeft w:val="0"/>
              <w:marRight w:val="0"/>
              <w:marTop w:val="0"/>
              <w:marBottom w:val="0"/>
              <w:divBdr>
                <w:top w:val="none" w:sz="0" w:space="0" w:color="auto"/>
                <w:left w:val="none" w:sz="0" w:space="0" w:color="auto"/>
                <w:bottom w:val="none" w:sz="0" w:space="0" w:color="auto"/>
                <w:right w:val="none" w:sz="0" w:space="0" w:color="auto"/>
              </w:divBdr>
            </w:div>
          </w:divsChild>
        </w:div>
        <w:div w:id="1414011622">
          <w:marLeft w:val="0"/>
          <w:marRight w:val="0"/>
          <w:marTop w:val="0"/>
          <w:marBottom w:val="0"/>
          <w:divBdr>
            <w:top w:val="none" w:sz="0" w:space="0" w:color="auto"/>
            <w:left w:val="none" w:sz="0" w:space="0" w:color="auto"/>
            <w:bottom w:val="none" w:sz="0" w:space="0" w:color="auto"/>
            <w:right w:val="none" w:sz="0" w:space="0" w:color="auto"/>
          </w:divBdr>
          <w:divsChild>
            <w:div w:id="1127355566">
              <w:marLeft w:val="0"/>
              <w:marRight w:val="0"/>
              <w:marTop w:val="0"/>
              <w:marBottom w:val="0"/>
              <w:divBdr>
                <w:top w:val="none" w:sz="0" w:space="0" w:color="auto"/>
                <w:left w:val="none" w:sz="0" w:space="0" w:color="auto"/>
                <w:bottom w:val="none" w:sz="0" w:space="0" w:color="auto"/>
                <w:right w:val="none" w:sz="0" w:space="0" w:color="auto"/>
              </w:divBdr>
            </w:div>
          </w:divsChild>
        </w:div>
        <w:div w:id="1477380518">
          <w:marLeft w:val="0"/>
          <w:marRight w:val="0"/>
          <w:marTop w:val="0"/>
          <w:marBottom w:val="0"/>
          <w:divBdr>
            <w:top w:val="none" w:sz="0" w:space="0" w:color="auto"/>
            <w:left w:val="none" w:sz="0" w:space="0" w:color="auto"/>
            <w:bottom w:val="none" w:sz="0" w:space="0" w:color="auto"/>
            <w:right w:val="none" w:sz="0" w:space="0" w:color="auto"/>
          </w:divBdr>
          <w:divsChild>
            <w:div w:id="1065034403">
              <w:marLeft w:val="0"/>
              <w:marRight w:val="0"/>
              <w:marTop w:val="0"/>
              <w:marBottom w:val="0"/>
              <w:divBdr>
                <w:top w:val="none" w:sz="0" w:space="0" w:color="auto"/>
                <w:left w:val="none" w:sz="0" w:space="0" w:color="auto"/>
                <w:bottom w:val="none" w:sz="0" w:space="0" w:color="auto"/>
                <w:right w:val="none" w:sz="0" w:space="0" w:color="auto"/>
              </w:divBdr>
            </w:div>
          </w:divsChild>
        </w:div>
        <w:div w:id="1486513416">
          <w:marLeft w:val="0"/>
          <w:marRight w:val="0"/>
          <w:marTop w:val="0"/>
          <w:marBottom w:val="0"/>
          <w:divBdr>
            <w:top w:val="none" w:sz="0" w:space="0" w:color="auto"/>
            <w:left w:val="none" w:sz="0" w:space="0" w:color="auto"/>
            <w:bottom w:val="none" w:sz="0" w:space="0" w:color="auto"/>
            <w:right w:val="none" w:sz="0" w:space="0" w:color="auto"/>
          </w:divBdr>
          <w:divsChild>
            <w:div w:id="59595855">
              <w:marLeft w:val="0"/>
              <w:marRight w:val="0"/>
              <w:marTop w:val="0"/>
              <w:marBottom w:val="0"/>
              <w:divBdr>
                <w:top w:val="none" w:sz="0" w:space="0" w:color="auto"/>
                <w:left w:val="none" w:sz="0" w:space="0" w:color="auto"/>
                <w:bottom w:val="none" w:sz="0" w:space="0" w:color="auto"/>
                <w:right w:val="none" w:sz="0" w:space="0" w:color="auto"/>
              </w:divBdr>
            </w:div>
          </w:divsChild>
        </w:div>
        <w:div w:id="1638801258">
          <w:marLeft w:val="0"/>
          <w:marRight w:val="0"/>
          <w:marTop w:val="0"/>
          <w:marBottom w:val="0"/>
          <w:divBdr>
            <w:top w:val="none" w:sz="0" w:space="0" w:color="auto"/>
            <w:left w:val="none" w:sz="0" w:space="0" w:color="auto"/>
            <w:bottom w:val="none" w:sz="0" w:space="0" w:color="auto"/>
            <w:right w:val="none" w:sz="0" w:space="0" w:color="auto"/>
          </w:divBdr>
          <w:divsChild>
            <w:div w:id="1834180270">
              <w:marLeft w:val="0"/>
              <w:marRight w:val="0"/>
              <w:marTop w:val="0"/>
              <w:marBottom w:val="0"/>
              <w:divBdr>
                <w:top w:val="none" w:sz="0" w:space="0" w:color="auto"/>
                <w:left w:val="none" w:sz="0" w:space="0" w:color="auto"/>
                <w:bottom w:val="none" w:sz="0" w:space="0" w:color="auto"/>
                <w:right w:val="none" w:sz="0" w:space="0" w:color="auto"/>
              </w:divBdr>
            </w:div>
          </w:divsChild>
        </w:div>
        <w:div w:id="1810855287">
          <w:marLeft w:val="0"/>
          <w:marRight w:val="0"/>
          <w:marTop w:val="0"/>
          <w:marBottom w:val="0"/>
          <w:divBdr>
            <w:top w:val="none" w:sz="0" w:space="0" w:color="auto"/>
            <w:left w:val="none" w:sz="0" w:space="0" w:color="auto"/>
            <w:bottom w:val="none" w:sz="0" w:space="0" w:color="auto"/>
            <w:right w:val="none" w:sz="0" w:space="0" w:color="auto"/>
          </w:divBdr>
          <w:divsChild>
            <w:div w:id="1718551241">
              <w:marLeft w:val="0"/>
              <w:marRight w:val="0"/>
              <w:marTop w:val="0"/>
              <w:marBottom w:val="0"/>
              <w:divBdr>
                <w:top w:val="none" w:sz="0" w:space="0" w:color="auto"/>
                <w:left w:val="none" w:sz="0" w:space="0" w:color="auto"/>
                <w:bottom w:val="none" w:sz="0" w:space="0" w:color="auto"/>
                <w:right w:val="none" w:sz="0" w:space="0" w:color="auto"/>
              </w:divBdr>
            </w:div>
          </w:divsChild>
        </w:div>
        <w:div w:id="1841970962">
          <w:marLeft w:val="0"/>
          <w:marRight w:val="0"/>
          <w:marTop w:val="0"/>
          <w:marBottom w:val="0"/>
          <w:divBdr>
            <w:top w:val="none" w:sz="0" w:space="0" w:color="auto"/>
            <w:left w:val="none" w:sz="0" w:space="0" w:color="auto"/>
            <w:bottom w:val="none" w:sz="0" w:space="0" w:color="auto"/>
            <w:right w:val="none" w:sz="0" w:space="0" w:color="auto"/>
          </w:divBdr>
          <w:divsChild>
            <w:div w:id="1049569779">
              <w:marLeft w:val="0"/>
              <w:marRight w:val="0"/>
              <w:marTop w:val="0"/>
              <w:marBottom w:val="0"/>
              <w:divBdr>
                <w:top w:val="none" w:sz="0" w:space="0" w:color="auto"/>
                <w:left w:val="none" w:sz="0" w:space="0" w:color="auto"/>
                <w:bottom w:val="none" w:sz="0" w:space="0" w:color="auto"/>
                <w:right w:val="none" w:sz="0" w:space="0" w:color="auto"/>
              </w:divBdr>
            </w:div>
          </w:divsChild>
        </w:div>
        <w:div w:id="1910729410">
          <w:marLeft w:val="0"/>
          <w:marRight w:val="0"/>
          <w:marTop w:val="0"/>
          <w:marBottom w:val="0"/>
          <w:divBdr>
            <w:top w:val="none" w:sz="0" w:space="0" w:color="auto"/>
            <w:left w:val="none" w:sz="0" w:space="0" w:color="auto"/>
            <w:bottom w:val="none" w:sz="0" w:space="0" w:color="auto"/>
            <w:right w:val="none" w:sz="0" w:space="0" w:color="auto"/>
          </w:divBdr>
          <w:divsChild>
            <w:div w:id="124932805">
              <w:marLeft w:val="0"/>
              <w:marRight w:val="0"/>
              <w:marTop w:val="0"/>
              <w:marBottom w:val="0"/>
              <w:divBdr>
                <w:top w:val="none" w:sz="0" w:space="0" w:color="auto"/>
                <w:left w:val="none" w:sz="0" w:space="0" w:color="auto"/>
                <w:bottom w:val="none" w:sz="0" w:space="0" w:color="auto"/>
                <w:right w:val="none" w:sz="0" w:space="0" w:color="auto"/>
              </w:divBdr>
            </w:div>
            <w:div w:id="2031174377">
              <w:marLeft w:val="0"/>
              <w:marRight w:val="0"/>
              <w:marTop w:val="0"/>
              <w:marBottom w:val="0"/>
              <w:divBdr>
                <w:top w:val="none" w:sz="0" w:space="0" w:color="auto"/>
                <w:left w:val="none" w:sz="0" w:space="0" w:color="auto"/>
                <w:bottom w:val="none" w:sz="0" w:space="0" w:color="auto"/>
                <w:right w:val="none" w:sz="0" w:space="0" w:color="auto"/>
              </w:divBdr>
            </w:div>
          </w:divsChild>
        </w:div>
        <w:div w:id="1990208283">
          <w:marLeft w:val="0"/>
          <w:marRight w:val="0"/>
          <w:marTop w:val="0"/>
          <w:marBottom w:val="0"/>
          <w:divBdr>
            <w:top w:val="none" w:sz="0" w:space="0" w:color="auto"/>
            <w:left w:val="none" w:sz="0" w:space="0" w:color="auto"/>
            <w:bottom w:val="none" w:sz="0" w:space="0" w:color="auto"/>
            <w:right w:val="none" w:sz="0" w:space="0" w:color="auto"/>
          </w:divBdr>
          <w:divsChild>
            <w:div w:id="280914874">
              <w:marLeft w:val="0"/>
              <w:marRight w:val="0"/>
              <w:marTop w:val="0"/>
              <w:marBottom w:val="0"/>
              <w:divBdr>
                <w:top w:val="none" w:sz="0" w:space="0" w:color="auto"/>
                <w:left w:val="none" w:sz="0" w:space="0" w:color="auto"/>
                <w:bottom w:val="none" w:sz="0" w:space="0" w:color="auto"/>
                <w:right w:val="none" w:sz="0" w:space="0" w:color="auto"/>
              </w:divBdr>
            </w:div>
          </w:divsChild>
        </w:div>
        <w:div w:id="2048336684">
          <w:marLeft w:val="0"/>
          <w:marRight w:val="0"/>
          <w:marTop w:val="0"/>
          <w:marBottom w:val="0"/>
          <w:divBdr>
            <w:top w:val="none" w:sz="0" w:space="0" w:color="auto"/>
            <w:left w:val="none" w:sz="0" w:space="0" w:color="auto"/>
            <w:bottom w:val="none" w:sz="0" w:space="0" w:color="auto"/>
            <w:right w:val="none" w:sz="0" w:space="0" w:color="auto"/>
          </w:divBdr>
          <w:divsChild>
            <w:div w:id="957566407">
              <w:marLeft w:val="0"/>
              <w:marRight w:val="0"/>
              <w:marTop w:val="0"/>
              <w:marBottom w:val="0"/>
              <w:divBdr>
                <w:top w:val="none" w:sz="0" w:space="0" w:color="auto"/>
                <w:left w:val="none" w:sz="0" w:space="0" w:color="auto"/>
                <w:bottom w:val="none" w:sz="0" w:space="0" w:color="auto"/>
                <w:right w:val="none" w:sz="0" w:space="0" w:color="auto"/>
              </w:divBdr>
            </w:div>
          </w:divsChild>
        </w:div>
        <w:div w:id="2063408994">
          <w:marLeft w:val="0"/>
          <w:marRight w:val="0"/>
          <w:marTop w:val="0"/>
          <w:marBottom w:val="0"/>
          <w:divBdr>
            <w:top w:val="none" w:sz="0" w:space="0" w:color="auto"/>
            <w:left w:val="none" w:sz="0" w:space="0" w:color="auto"/>
            <w:bottom w:val="none" w:sz="0" w:space="0" w:color="auto"/>
            <w:right w:val="none" w:sz="0" w:space="0" w:color="auto"/>
          </w:divBdr>
          <w:divsChild>
            <w:div w:id="1651638282">
              <w:marLeft w:val="0"/>
              <w:marRight w:val="0"/>
              <w:marTop w:val="0"/>
              <w:marBottom w:val="0"/>
              <w:divBdr>
                <w:top w:val="none" w:sz="0" w:space="0" w:color="auto"/>
                <w:left w:val="none" w:sz="0" w:space="0" w:color="auto"/>
                <w:bottom w:val="none" w:sz="0" w:space="0" w:color="auto"/>
                <w:right w:val="none" w:sz="0" w:space="0" w:color="auto"/>
              </w:divBdr>
            </w:div>
          </w:divsChild>
        </w:div>
        <w:div w:id="2137868325">
          <w:marLeft w:val="0"/>
          <w:marRight w:val="0"/>
          <w:marTop w:val="0"/>
          <w:marBottom w:val="0"/>
          <w:divBdr>
            <w:top w:val="none" w:sz="0" w:space="0" w:color="auto"/>
            <w:left w:val="none" w:sz="0" w:space="0" w:color="auto"/>
            <w:bottom w:val="none" w:sz="0" w:space="0" w:color="auto"/>
            <w:right w:val="none" w:sz="0" w:space="0" w:color="auto"/>
          </w:divBdr>
          <w:divsChild>
            <w:div w:id="11096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259511">
      <w:bodyDiv w:val="1"/>
      <w:marLeft w:val="0"/>
      <w:marRight w:val="0"/>
      <w:marTop w:val="0"/>
      <w:marBottom w:val="0"/>
      <w:divBdr>
        <w:top w:val="none" w:sz="0" w:space="0" w:color="auto"/>
        <w:left w:val="none" w:sz="0" w:space="0" w:color="auto"/>
        <w:bottom w:val="none" w:sz="0" w:space="0" w:color="auto"/>
        <w:right w:val="none" w:sz="0" w:space="0" w:color="auto"/>
      </w:divBdr>
      <w:divsChild>
        <w:div w:id="83453538">
          <w:marLeft w:val="0"/>
          <w:marRight w:val="0"/>
          <w:marTop w:val="0"/>
          <w:marBottom w:val="0"/>
          <w:divBdr>
            <w:top w:val="none" w:sz="0" w:space="0" w:color="auto"/>
            <w:left w:val="none" w:sz="0" w:space="0" w:color="auto"/>
            <w:bottom w:val="none" w:sz="0" w:space="0" w:color="auto"/>
            <w:right w:val="none" w:sz="0" w:space="0" w:color="auto"/>
          </w:divBdr>
          <w:divsChild>
            <w:div w:id="632833839">
              <w:marLeft w:val="0"/>
              <w:marRight w:val="0"/>
              <w:marTop w:val="0"/>
              <w:marBottom w:val="0"/>
              <w:divBdr>
                <w:top w:val="none" w:sz="0" w:space="0" w:color="auto"/>
                <w:left w:val="none" w:sz="0" w:space="0" w:color="auto"/>
                <w:bottom w:val="none" w:sz="0" w:space="0" w:color="auto"/>
                <w:right w:val="none" w:sz="0" w:space="0" w:color="auto"/>
              </w:divBdr>
            </w:div>
            <w:div w:id="1254701735">
              <w:marLeft w:val="0"/>
              <w:marRight w:val="0"/>
              <w:marTop w:val="0"/>
              <w:marBottom w:val="0"/>
              <w:divBdr>
                <w:top w:val="none" w:sz="0" w:space="0" w:color="auto"/>
                <w:left w:val="none" w:sz="0" w:space="0" w:color="auto"/>
                <w:bottom w:val="none" w:sz="0" w:space="0" w:color="auto"/>
                <w:right w:val="none" w:sz="0" w:space="0" w:color="auto"/>
              </w:divBdr>
            </w:div>
          </w:divsChild>
        </w:div>
        <w:div w:id="193738135">
          <w:marLeft w:val="0"/>
          <w:marRight w:val="0"/>
          <w:marTop w:val="0"/>
          <w:marBottom w:val="0"/>
          <w:divBdr>
            <w:top w:val="none" w:sz="0" w:space="0" w:color="auto"/>
            <w:left w:val="none" w:sz="0" w:space="0" w:color="auto"/>
            <w:bottom w:val="none" w:sz="0" w:space="0" w:color="auto"/>
            <w:right w:val="none" w:sz="0" w:space="0" w:color="auto"/>
          </w:divBdr>
          <w:divsChild>
            <w:div w:id="1530878222">
              <w:marLeft w:val="0"/>
              <w:marRight w:val="0"/>
              <w:marTop w:val="0"/>
              <w:marBottom w:val="0"/>
              <w:divBdr>
                <w:top w:val="none" w:sz="0" w:space="0" w:color="auto"/>
                <w:left w:val="none" w:sz="0" w:space="0" w:color="auto"/>
                <w:bottom w:val="none" w:sz="0" w:space="0" w:color="auto"/>
                <w:right w:val="none" w:sz="0" w:space="0" w:color="auto"/>
              </w:divBdr>
            </w:div>
          </w:divsChild>
        </w:div>
        <w:div w:id="336615356">
          <w:marLeft w:val="0"/>
          <w:marRight w:val="0"/>
          <w:marTop w:val="0"/>
          <w:marBottom w:val="0"/>
          <w:divBdr>
            <w:top w:val="none" w:sz="0" w:space="0" w:color="auto"/>
            <w:left w:val="none" w:sz="0" w:space="0" w:color="auto"/>
            <w:bottom w:val="none" w:sz="0" w:space="0" w:color="auto"/>
            <w:right w:val="none" w:sz="0" w:space="0" w:color="auto"/>
          </w:divBdr>
          <w:divsChild>
            <w:div w:id="602299325">
              <w:marLeft w:val="0"/>
              <w:marRight w:val="0"/>
              <w:marTop w:val="0"/>
              <w:marBottom w:val="0"/>
              <w:divBdr>
                <w:top w:val="none" w:sz="0" w:space="0" w:color="auto"/>
                <w:left w:val="none" w:sz="0" w:space="0" w:color="auto"/>
                <w:bottom w:val="none" w:sz="0" w:space="0" w:color="auto"/>
                <w:right w:val="none" w:sz="0" w:space="0" w:color="auto"/>
              </w:divBdr>
            </w:div>
          </w:divsChild>
        </w:div>
        <w:div w:id="353846071">
          <w:marLeft w:val="0"/>
          <w:marRight w:val="0"/>
          <w:marTop w:val="0"/>
          <w:marBottom w:val="0"/>
          <w:divBdr>
            <w:top w:val="none" w:sz="0" w:space="0" w:color="auto"/>
            <w:left w:val="none" w:sz="0" w:space="0" w:color="auto"/>
            <w:bottom w:val="none" w:sz="0" w:space="0" w:color="auto"/>
            <w:right w:val="none" w:sz="0" w:space="0" w:color="auto"/>
          </w:divBdr>
          <w:divsChild>
            <w:div w:id="1858345282">
              <w:marLeft w:val="0"/>
              <w:marRight w:val="0"/>
              <w:marTop w:val="0"/>
              <w:marBottom w:val="0"/>
              <w:divBdr>
                <w:top w:val="none" w:sz="0" w:space="0" w:color="auto"/>
                <w:left w:val="none" w:sz="0" w:space="0" w:color="auto"/>
                <w:bottom w:val="none" w:sz="0" w:space="0" w:color="auto"/>
                <w:right w:val="none" w:sz="0" w:space="0" w:color="auto"/>
              </w:divBdr>
            </w:div>
          </w:divsChild>
        </w:div>
        <w:div w:id="533810092">
          <w:marLeft w:val="0"/>
          <w:marRight w:val="0"/>
          <w:marTop w:val="0"/>
          <w:marBottom w:val="0"/>
          <w:divBdr>
            <w:top w:val="none" w:sz="0" w:space="0" w:color="auto"/>
            <w:left w:val="none" w:sz="0" w:space="0" w:color="auto"/>
            <w:bottom w:val="none" w:sz="0" w:space="0" w:color="auto"/>
            <w:right w:val="none" w:sz="0" w:space="0" w:color="auto"/>
          </w:divBdr>
          <w:divsChild>
            <w:div w:id="66877399">
              <w:marLeft w:val="0"/>
              <w:marRight w:val="0"/>
              <w:marTop w:val="0"/>
              <w:marBottom w:val="0"/>
              <w:divBdr>
                <w:top w:val="none" w:sz="0" w:space="0" w:color="auto"/>
                <w:left w:val="none" w:sz="0" w:space="0" w:color="auto"/>
                <w:bottom w:val="none" w:sz="0" w:space="0" w:color="auto"/>
                <w:right w:val="none" w:sz="0" w:space="0" w:color="auto"/>
              </w:divBdr>
            </w:div>
            <w:div w:id="2116244910">
              <w:marLeft w:val="0"/>
              <w:marRight w:val="0"/>
              <w:marTop w:val="0"/>
              <w:marBottom w:val="0"/>
              <w:divBdr>
                <w:top w:val="none" w:sz="0" w:space="0" w:color="auto"/>
                <w:left w:val="none" w:sz="0" w:space="0" w:color="auto"/>
                <w:bottom w:val="none" w:sz="0" w:space="0" w:color="auto"/>
                <w:right w:val="none" w:sz="0" w:space="0" w:color="auto"/>
              </w:divBdr>
            </w:div>
          </w:divsChild>
        </w:div>
        <w:div w:id="601575081">
          <w:marLeft w:val="0"/>
          <w:marRight w:val="0"/>
          <w:marTop w:val="0"/>
          <w:marBottom w:val="0"/>
          <w:divBdr>
            <w:top w:val="none" w:sz="0" w:space="0" w:color="auto"/>
            <w:left w:val="none" w:sz="0" w:space="0" w:color="auto"/>
            <w:bottom w:val="none" w:sz="0" w:space="0" w:color="auto"/>
            <w:right w:val="none" w:sz="0" w:space="0" w:color="auto"/>
          </w:divBdr>
          <w:divsChild>
            <w:div w:id="75979189">
              <w:marLeft w:val="0"/>
              <w:marRight w:val="0"/>
              <w:marTop w:val="0"/>
              <w:marBottom w:val="0"/>
              <w:divBdr>
                <w:top w:val="none" w:sz="0" w:space="0" w:color="auto"/>
                <w:left w:val="none" w:sz="0" w:space="0" w:color="auto"/>
                <w:bottom w:val="none" w:sz="0" w:space="0" w:color="auto"/>
                <w:right w:val="none" w:sz="0" w:space="0" w:color="auto"/>
              </w:divBdr>
            </w:div>
          </w:divsChild>
        </w:div>
        <w:div w:id="632248770">
          <w:marLeft w:val="0"/>
          <w:marRight w:val="0"/>
          <w:marTop w:val="0"/>
          <w:marBottom w:val="0"/>
          <w:divBdr>
            <w:top w:val="none" w:sz="0" w:space="0" w:color="auto"/>
            <w:left w:val="none" w:sz="0" w:space="0" w:color="auto"/>
            <w:bottom w:val="none" w:sz="0" w:space="0" w:color="auto"/>
            <w:right w:val="none" w:sz="0" w:space="0" w:color="auto"/>
          </w:divBdr>
          <w:divsChild>
            <w:div w:id="365181623">
              <w:marLeft w:val="0"/>
              <w:marRight w:val="0"/>
              <w:marTop w:val="0"/>
              <w:marBottom w:val="0"/>
              <w:divBdr>
                <w:top w:val="none" w:sz="0" w:space="0" w:color="auto"/>
                <w:left w:val="none" w:sz="0" w:space="0" w:color="auto"/>
                <w:bottom w:val="none" w:sz="0" w:space="0" w:color="auto"/>
                <w:right w:val="none" w:sz="0" w:space="0" w:color="auto"/>
              </w:divBdr>
            </w:div>
            <w:div w:id="1937639342">
              <w:marLeft w:val="0"/>
              <w:marRight w:val="0"/>
              <w:marTop w:val="0"/>
              <w:marBottom w:val="0"/>
              <w:divBdr>
                <w:top w:val="none" w:sz="0" w:space="0" w:color="auto"/>
                <w:left w:val="none" w:sz="0" w:space="0" w:color="auto"/>
                <w:bottom w:val="none" w:sz="0" w:space="0" w:color="auto"/>
                <w:right w:val="none" w:sz="0" w:space="0" w:color="auto"/>
              </w:divBdr>
            </w:div>
          </w:divsChild>
        </w:div>
        <w:div w:id="750010831">
          <w:marLeft w:val="0"/>
          <w:marRight w:val="0"/>
          <w:marTop w:val="0"/>
          <w:marBottom w:val="0"/>
          <w:divBdr>
            <w:top w:val="none" w:sz="0" w:space="0" w:color="auto"/>
            <w:left w:val="none" w:sz="0" w:space="0" w:color="auto"/>
            <w:bottom w:val="none" w:sz="0" w:space="0" w:color="auto"/>
            <w:right w:val="none" w:sz="0" w:space="0" w:color="auto"/>
          </w:divBdr>
          <w:divsChild>
            <w:div w:id="946158043">
              <w:marLeft w:val="0"/>
              <w:marRight w:val="0"/>
              <w:marTop w:val="0"/>
              <w:marBottom w:val="0"/>
              <w:divBdr>
                <w:top w:val="none" w:sz="0" w:space="0" w:color="auto"/>
                <w:left w:val="none" w:sz="0" w:space="0" w:color="auto"/>
                <w:bottom w:val="none" w:sz="0" w:space="0" w:color="auto"/>
                <w:right w:val="none" w:sz="0" w:space="0" w:color="auto"/>
              </w:divBdr>
            </w:div>
          </w:divsChild>
        </w:div>
        <w:div w:id="902759084">
          <w:marLeft w:val="0"/>
          <w:marRight w:val="0"/>
          <w:marTop w:val="0"/>
          <w:marBottom w:val="0"/>
          <w:divBdr>
            <w:top w:val="none" w:sz="0" w:space="0" w:color="auto"/>
            <w:left w:val="none" w:sz="0" w:space="0" w:color="auto"/>
            <w:bottom w:val="none" w:sz="0" w:space="0" w:color="auto"/>
            <w:right w:val="none" w:sz="0" w:space="0" w:color="auto"/>
          </w:divBdr>
          <w:divsChild>
            <w:div w:id="191043827">
              <w:marLeft w:val="0"/>
              <w:marRight w:val="0"/>
              <w:marTop w:val="0"/>
              <w:marBottom w:val="0"/>
              <w:divBdr>
                <w:top w:val="none" w:sz="0" w:space="0" w:color="auto"/>
                <w:left w:val="none" w:sz="0" w:space="0" w:color="auto"/>
                <w:bottom w:val="none" w:sz="0" w:space="0" w:color="auto"/>
                <w:right w:val="none" w:sz="0" w:space="0" w:color="auto"/>
              </w:divBdr>
            </w:div>
          </w:divsChild>
        </w:div>
        <w:div w:id="945230663">
          <w:marLeft w:val="0"/>
          <w:marRight w:val="0"/>
          <w:marTop w:val="0"/>
          <w:marBottom w:val="0"/>
          <w:divBdr>
            <w:top w:val="none" w:sz="0" w:space="0" w:color="auto"/>
            <w:left w:val="none" w:sz="0" w:space="0" w:color="auto"/>
            <w:bottom w:val="none" w:sz="0" w:space="0" w:color="auto"/>
            <w:right w:val="none" w:sz="0" w:space="0" w:color="auto"/>
          </w:divBdr>
          <w:divsChild>
            <w:div w:id="440804089">
              <w:marLeft w:val="0"/>
              <w:marRight w:val="0"/>
              <w:marTop w:val="0"/>
              <w:marBottom w:val="0"/>
              <w:divBdr>
                <w:top w:val="none" w:sz="0" w:space="0" w:color="auto"/>
                <w:left w:val="none" w:sz="0" w:space="0" w:color="auto"/>
                <w:bottom w:val="none" w:sz="0" w:space="0" w:color="auto"/>
                <w:right w:val="none" w:sz="0" w:space="0" w:color="auto"/>
              </w:divBdr>
            </w:div>
          </w:divsChild>
        </w:div>
        <w:div w:id="995455807">
          <w:marLeft w:val="0"/>
          <w:marRight w:val="0"/>
          <w:marTop w:val="0"/>
          <w:marBottom w:val="0"/>
          <w:divBdr>
            <w:top w:val="none" w:sz="0" w:space="0" w:color="auto"/>
            <w:left w:val="none" w:sz="0" w:space="0" w:color="auto"/>
            <w:bottom w:val="none" w:sz="0" w:space="0" w:color="auto"/>
            <w:right w:val="none" w:sz="0" w:space="0" w:color="auto"/>
          </w:divBdr>
          <w:divsChild>
            <w:div w:id="613368882">
              <w:marLeft w:val="0"/>
              <w:marRight w:val="0"/>
              <w:marTop w:val="0"/>
              <w:marBottom w:val="0"/>
              <w:divBdr>
                <w:top w:val="none" w:sz="0" w:space="0" w:color="auto"/>
                <w:left w:val="none" w:sz="0" w:space="0" w:color="auto"/>
                <w:bottom w:val="none" w:sz="0" w:space="0" w:color="auto"/>
                <w:right w:val="none" w:sz="0" w:space="0" w:color="auto"/>
              </w:divBdr>
            </w:div>
          </w:divsChild>
        </w:div>
        <w:div w:id="1029333940">
          <w:marLeft w:val="0"/>
          <w:marRight w:val="0"/>
          <w:marTop w:val="0"/>
          <w:marBottom w:val="0"/>
          <w:divBdr>
            <w:top w:val="none" w:sz="0" w:space="0" w:color="auto"/>
            <w:left w:val="none" w:sz="0" w:space="0" w:color="auto"/>
            <w:bottom w:val="none" w:sz="0" w:space="0" w:color="auto"/>
            <w:right w:val="none" w:sz="0" w:space="0" w:color="auto"/>
          </w:divBdr>
          <w:divsChild>
            <w:div w:id="1501040656">
              <w:marLeft w:val="0"/>
              <w:marRight w:val="0"/>
              <w:marTop w:val="0"/>
              <w:marBottom w:val="0"/>
              <w:divBdr>
                <w:top w:val="none" w:sz="0" w:space="0" w:color="auto"/>
                <w:left w:val="none" w:sz="0" w:space="0" w:color="auto"/>
                <w:bottom w:val="none" w:sz="0" w:space="0" w:color="auto"/>
                <w:right w:val="none" w:sz="0" w:space="0" w:color="auto"/>
              </w:divBdr>
            </w:div>
          </w:divsChild>
        </w:div>
        <w:div w:id="1056901015">
          <w:marLeft w:val="0"/>
          <w:marRight w:val="0"/>
          <w:marTop w:val="0"/>
          <w:marBottom w:val="0"/>
          <w:divBdr>
            <w:top w:val="none" w:sz="0" w:space="0" w:color="auto"/>
            <w:left w:val="none" w:sz="0" w:space="0" w:color="auto"/>
            <w:bottom w:val="none" w:sz="0" w:space="0" w:color="auto"/>
            <w:right w:val="none" w:sz="0" w:space="0" w:color="auto"/>
          </w:divBdr>
          <w:divsChild>
            <w:div w:id="265115993">
              <w:marLeft w:val="0"/>
              <w:marRight w:val="0"/>
              <w:marTop w:val="0"/>
              <w:marBottom w:val="0"/>
              <w:divBdr>
                <w:top w:val="none" w:sz="0" w:space="0" w:color="auto"/>
                <w:left w:val="none" w:sz="0" w:space="0" w:color="auto"/>
                <w:bottom w:val="none" w:sz="0" w:space="0" w:color="auto"/>
                <w:right w:val="none" w:sz="0" w:space="0" w:color="auto"/>
              </w:divBdr>
            </w:div>
          </w:divsChild>
        </w:div>
        <w:div w:id="1090857770">
          <w:marLeft w:val="0"/>
          <w:marRight w:val="0"/>
          <w:marTop w:val="0"/>
          <w:marBottom w:val="0"/>
          <w:divBdr>
            <w:top w:val="none" w:sz="0" w:space="0" w:color="auto"/>
            <w:left w:val="none" w:sz="0" w:space="0" w:color="auto"/>
            <w:bottom w:val="none" w:sz="0" w:space="0" w:color="auto"/>
            <w:right w:val="none" w:sz="0" w:space="0" w:color="auto"/>
          </w:divBdr>
          <w:divsChild>
            <w:div w:id="748692961">
              <w:marLeft w:val="0"/>
              <w:marRight w:val="0"/>
              <w:marTop w:val="0"/>
              <w:marBottom w:val="0"/>
              <w:divBdr>
                <w:top w:val="none" w:sz="0" w:space="0" w:color="auto"/>
                <w:left w:val="none" w:sz="0" w:space="0" w:color="auto"/>
                <w:bottom w:val="none" w:sz="0" w:space="0" w:color="auto"/>
                <w:right w:val="none" w:sz="0" w:space="0" w:color="auto"/>
              </w:divBdr>
            </w:div>
          </w:divsChild>
        </w:div>
        <w:div w:id="1130320173">
          <w:marLeft w:val="0"/>
          <w:marRight w:val="0"/>
          <w:marTop w:val="0"/>
          <w:marBottom w:val="0"/>
          <w:divBdr>
            <w:top w:val="none" w:sz="0" w:space="0" w:color="auto"/>
            <w:left w:val="none" w:sz="0" w:space="0" w:color="auto"/>
            <w:bottom w:val="none" w:sz="0" w:space="0" w:color="auto"/>
            <w:right w:val="none" w:sz="0" w:space="0" w:color="auto"/>
          </w:divBdr>
          <w:divsChild>
            <w:div w:id="279457333">
              <w:marLeft w:val="0"/>
              <w:marRight w:val="0"/>
              <w:marTop w:val="0"/>
              <w:marBottom w:val="0"/>
              <w:divBdr>
                <w:top w:val="none" w:sz="0" w:space="0" w:color="auto"/>
                <w:left w:val="none" w:sz="0" w:space="0" w:color="auto"/>
                <w:bottom w:val="none" w:sz="0" w:space="0" w:color="auto"/>
                <w:right w:val="none" w:sz="0" w:space="0" w:color="auto"/>
              </w:divBdr>
            </w:div>
          </w:divsChild>
        </w:div>
        <w:div w:id="1315917165">
          <w:marLeft w:val="0"/>
          <w:marRight w:val="0"/>
          <w:marTop w:val="0"/>
          <w:marBottom w:val="0"/>
          <w:divBdr>
            <w:top w:val="none" w:sz="0" w:space="0" w:color="auto"/>
            <w:left w:val="none" w:sz="0" w:space="0" w:color="auto"/>
            <w:bottom w:val="none" w:sz="0" w:space="0" w:color="auto"/>
            <w:right w:val="none" w:sz="0" w:space="0" w:color="auto"/>
          </w:divBdr>
          <w:divsChild>
            <w:div w:id="1099182796">
              <w:marLeft w:val="0"/>
              <w:marRight w:val="0"/>
              <w:marTop w:val="0"/>
              <w:marBottom w:val="0"/>
              <w:divBdr>
                <w:top w:val="none" w:sz="0" w:space="0" w:color="auto"/>
                <w:left w:val="none" w:sz="0" w:space="0" w:color="auto"/>
                <w:bottom w:val="none" w:sz="0" w:space="0" w:color="auto"/>
                <w:right w:val="none" w:sz="0" w:space="0" w:color="auto"/>
              </w:divBdr>
            </w:div>
          </w:divsChild>
        </w:div>
        <w:div w:id="1482846973">
          <w:marLeft w:val="0"/>
          <w:marRight w:val="0"/>
          <w:marTop w:val="0"/>
          <w:marBottom w:val="0"/>
          <w:divBdr>
            <w:top w:val="none" w:sz="0" w:space="0" w:color="auto"/>
            <w:left w:val="none" w:sz="0" w:space="0" w:color="auto"/>
            <w:bottom w:val="none" w:sz="0" w:space="0" w:color="auto"/>
            <w:right w:val="none" w:sz="0" w:space="0" w:color="auto"/>
          </w:divBdr>
          <w:divsChild>
            <w:div w:id="1743798409">
              <w:marLeft w:val="0"/>
              <w:marRight w:val="0"/>
              <w:marTop w:val="0"/>
              <w:marBottom w:val="0"/>
              <w:divBdr>
                <w:top w:val="none" w:sz="0" w:space="0" w:color="auto"/>
                <w:left w:val="none" w:sz="0" w:space="0" w:color="auto"/>
                <w:bottom w:val="none" w:sz="0" w:space="0" w:color="auto"/>
                <w:right w:val="none" w:sz="0" w:space="0" w:color="auto"/>
              </w:divBdr>
            </w:div>
          </w:divsChild>
        </w:div>
        <w:div w:id="1496801085">
          <w:marLeft w:val="0"/>
          <w:marRight w:val="0"/>
          <w:marTop w:val="0"/>
          <w:marBottom w:val="0"/>
          <w:divBdr>
            <w:top w:val="none" w:sz="0" w:space="0" w:color="auto"/>
            <w:left w:val="none" w:sz="0" w:space="0" w:color="auto"/>
            <w:bottom w:val="none" w:sz="0" w:space="0" w:color="auto"/>
            <w:right w:val="none" w:sz="0" w:space="0" w:color="auto"/>
          </w:divBdr>
          <w:divsChild>
            <w:div w:id="196894432">
              <w:marLeft w:val="0"/>
              <w:marRight w:val="0"/>
              <w:marTop w:val="0"/>
              <w:marBottom w:val="0"/>
              <w:divBdr>
                <w:top w:val="none" w:sz="0" w:space="0" w:color="auto"/>
                <w:left w:val="none" w:sz="0" w:space="0" w:color="auto"/>
                <w:bottom w:val="none" w:sz="0" w:space="0" w:color="auto"/>
                <w:right w:val="none" w:sz="0" w:space="0" w:color="auto"/>
              </w:divBdr>
            </w:div>
          </w:divsChild>
        </w:div>
        <w:div w:id="1520271264">
          <w:marLeft w:val="0"/>
          <w:marRight w:val="0"/>
          <w:marTop w:val="0"/>
          <w:marBottom w:val="0"/>
          <w:divBdr>
            <w:top w:val="none" w:sz="0" w:space="0" w:color="auto"/>
            <w:left w:val="none" w:sz="0" w:space="0" w:color="auto"/>
            <w:bottom w:val="none" w:sz="0" w:space="0" w:color="auto"/>
            <w:right w:val="none" w:sz="0" w:space="0" w:color="auto"/>
          </w:divBdr>
          <w:divsChild>
            <w:div w:id="459998504">
              <w:marLeft w:val="0"/>
              <w:marRight w:val="0"/>
              <w:marTop w:val="0"/>
              <w:marBottom w:val="0"/>
              <w:divBdr>
                <w:top w:val="none" w:sz="0" w:space="0" w:color="auto"/>
                <w:left w:val="none" w:sz="0" w:space="0" w:color="auto"/>
                <w:bottom w:val="none" w:sz="0" w:space="0" w:color="auto"/>
                <w:right w:val="none" w:sz="0" w:space="0" w:color="auto"/>
              </w:divBdr>
            </w:div>
            <w:div w:id="476533486">
              <w:marLeft w:val="0"/>
              <w:marRight w:val="0"/>
              <w:marTop w:val="0"/>
              <w:marBottom w:val="0"/>
              <w:divBdr>
                <w:top w:val="none" w:sz="0" w:space="0" w:color="auto"/>
                <w:left w:val="none" w:sz="0" w:space="0" w:color="auto"/>
                <w:bottom w:val="none" w:sz="0" w:space="0" w:color="auto"/>
                <w:right w:val="none" w:sz="0" w:space="0" w:color="auto"/>
              </w:divBdr>
            </w:div>
          </w:divsChild>
        </w:div>
        <w:div w:id="1696153805">
          <w:marLeft w:val="0"/>
          <w:marRight w:val="0"/>
          <w:marTop w:val="0"/>
          <w:marBottom w:val="0"/>
          <w:divBdr>
            <w:top w:val="none" w:sz="0" w:space="0" w:color="auto"/>
            <w:left w:val="none" w:sz="0" w:space="0" w:color="auto"/>
            <w:bottom w:val="none" w:sz="0" w:space="0" w:color="auto"/>
            <w:right w:val="none" w:sz="0" w:space="0" w:color="auto"/>
          </w:divBdr>
          <w:divsChild>
            <w:div w:id="1900167695">
              <w:marLeft w:val="0"/>
              <w:marRight w:val="0"/>
              <w:marTop w:val="0"/>
              <w:marBottom w:val="0"/>
              <w:divBdr>
                <w:top w:val="none" w:sz="0" w:space="0" w:color="auto"/>
                <w:left w:val="none" w:sz="0" w:space="0" w:color="auto"/>
                <w:bottom w:val="none" w:sz="0" w:space="0" w:color="auto"/>
                <w:right w:val="none" w:sz="0" w:space="0" w:color="auto"/>
              </w:divBdr>
            </w:div>
          </w:divsChild>
        </w:div>
        <w:div w:id="1726443338">
          <w:marLeft w:val="0"/>
          <w:marRight w:val="0"/>
          <w:marTop w:val="0"/>
          <w:marBottom w:val="0"/>
          <w:divBdr>
            <w:top w:val="none" w:sz="0" w:space="0" w:color="auto"/>
            <w:left w:val="none" w:sz="0" w:space="0" w:color="auto"/>
            <w:bottom w:val="none" w:sz="0" w:space="0" w:color="auto"/>
            <w:right w:val="none" w:sz="0" w:space="0" w:color="auto"/>
          </w:divBdr>
          <w:divsChild>
            <w:div w:id="927924300">
              <w:marLeft w:val="0"/>
              <w:marRight w:val="0"/>
              <w:marTop w:val="0"/>
              <w:marBottom w:val="0"/>
              <w:divBdr>
                <w:top w:val="none" w:sz="0" w:space="0" w:color="auto"/>
                <w:left w:val="none" w:sz="0" w:space="0" w:color="auto"/>
                <w:bottom w:val="none" w:sz="0" w:space="0" w:color="auto"/>
                <w:right w:val="none" w:sz="0" w:space="0" w:color="auto"/>
              </w:divBdr>
            </w:div>
          </w:divsChild>
        </w:div>
        <w:div w:id="1809932255">
          <w:marLeft w:val="0"/>
          <w:marRight w:val="0"/>
          <w:marTop w:val="0"/>
          <w:marBottom w:val="0"/>
          <w:divBdr>
            <w:top w:val="none" w:sz="0" w:space="0" w:color="auto"/>
            <w:left w:val="none" w:sz="0" w:space="0" w:color="auto"/>
            <w:bottom w:val="none" w:sz="0" w:space="0" w:color="auto"/>
            <w:right w:val="none" w:sz="0" w:space="0" w:color="auto"/>
          </w:divBdr>
          <w:divsChild>
            <w:div w:id="1892229452">
              <w:marLeft w:val="0"/>
              <w:marRight w:val="0"/>
              <w:marTop w:val="0"/>
              <w:marBottom w:val="0"/>
              <w:divBdr>
                <w:top w:val="none" w:sz="0" w:space="0" w:color="auto"/>
                <w:left w:val="none" w:sz="0" w:space="0" w:color="auto"/>
                <w:bottom w:val="none" w:sz="0" w:space="0" w:color="auto"/>
                <w:right w:val="none" w:sz="0" w:space="0" w:color="auto"/>
              </w:divBdr>
            </w:div>
          </w:divsChild>
        </w:div>
        <w:div w:id="1891383394">
          <w:marLeft w:val="0"/>
          <w:marRight w:val="0"/>
          <w:marTop w:val="0"/>
          <w:marBottom w:val="0"/>
          <w:divBdr>
            <w:top w:val="none" w:sz="0" w:space="0" w:color="auto"/>
            <w:left w:val="none" w:sz="0" w:space="0" w:color="auto"/>
            <w:bottom w:val="none" w:sz="0" w:space="0" w:color="auto"/>
            <w:right w:val="none" w:sz="0" w:space="0" w:color="auto"/>
          </w:divBdr>
          <w:divsChild>
            <w:div w:id="1149902833">
              <w:marLeft w:val="0"/>
              <w:marRight w:val="0"/>
              <w:marTop w:val="0"/>
              <w:marBottom w:val="0"/>
              <w:divBdr>
                <w:top w:val="none" w:sz="0" w:space="0" w:color="auto"/>
                <w:left w:val="none" w:sz="0" w:space="0" w:color="auto"/>
                <w:bottom w:val="none" w:sz="0" w:space="0" w:color="auto"/>
                <w:right w:val="none" w:sz="0" w:space="0" w:color="auto"/>
              </w:divBdr>
            </w:div>
          </w:divsChild>
        </w:div>
        <w:div w:id="1919629578">
          <w:marLeft w:val="0"/>
          <w:marRight w:val="0"/>
          <w:marTop w:val="0"/>
          <w:marBottom w:val="0"/>
          <w:divBdr>
            <w:top w:val="none" w:sz="0" w:space="0" w:color="auto"/>
            <w:left w:val="none" w:sz="0" w:space="0" w:color="auto"/>
            <w:bottom w:val="none" w:sz="0" w:space="0" w:color="auto"/>
            <w:right w:val="none" w:sz="0" w:space="0" w:color="auto"/>
          </w:divBdr>
          <w:divsChild>
            <w:div w:id="14120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0472">
      <w:bodyDiv w:val="1"/>
      <w:marLeft w:val="0"/>
      <w:marRight w:val="0"/>
      <w:marTop w:val="0"/>
      <w:marBottom w:val="0"/>
      <w:divBdr>
        <w:top w:val="none" w:sz="0" w:space="0" w:color="auto"/>
        <w:left w:val="none" w:sz="0" w:space="0" w:color="auto"/>
        <w:bottom w:val="none" w:sz="0" w:space="0" w:color="auto"/>
        <w:right w:val="none" w:sz="0" w:space="0" w:color="auto"/>
      </w:divBdr>
      <w:divsChild>
        <w:div w:id="172257781">
          <w:marLeft w:val="0"/>
          <w:marRight w:val="0"/>
          <w:marTop w:val="0"/>
          <w:marBottom w:val="0"/>
          <w:divBdr>
            <w:top w:val="none" w:sz="0" w:space="0" w:color="auto"/>
            <w:left w:val="none" w:sz="0" w:space="0" w:color="auto"/>
            <w:bottom w:val="none" w:sz="0" w:space="0" w:color="auto"/>
            <w:right w:val="none" w:sz="0" w:space="0" w:color="auto"/>
          </w:divBdr>
          <w:divsChild>
            <w:div w:id="737678943">
              <w:marLeft w:val="0"/>
              <w:marRight w:val="0"/>
              <w:marTop w:val="0"/>
              <w:marBottom w:val="0"/>
              <w:divBdr>
                <w:top w:val="none" w:sz="0" w:space="0" w:color="auto"/>
                <w:left w:val="none" w:sz="0" w:space="0" w:color="auto"/>
                <w:bottom w:val="none" w:sz="0" w:space="0" w:color="auto"/>
                <w:right w:val="none" w:sz="0" w:space="0" w:color="auto"/>
              </w:divBdr>
            </w:div>
            <w:div w:id="1701852727">
              <w:marLeft w:val="0"/>
              <w:marRight w:val="0"/>
              <w:marTop w:val="0"/>
              <w:marBottom w:val="0"/>
              <w:divBdr>
                <w:top w:val="none" w:sz="0" w:space="0" w:color="auto"/>
                <w:left w:val="none" w:sz="0" w:space="0" w:color="auto"/>
                <w:bottom w:val="none" w:sz="0" w:space="0" w:color="auto"/>
                <w:right w:val="none" w:sz="0" w:space="0" w:color="auto"/>
              </w:divBdr>
            </w:div>
            <w:div w:id="1956591341">
              <w:marLeft w:val="0"/>
              <w:marRight w:val="0"/>
              <w:marTop w:val="0"/>
              <w:marBottom w:val="0"/>
              <w:divBdr>
                <w:top w:val="none" w:sz="0" w:space="0" w:color="auto"/>
                <w:left w:val="none" w:sz="0" w:space="0" w:color="auto"/>
                <w:bottom w:val="none" w:sz="0" w:space="0" w:color="auto"/>
                <w:right w:val="none" w:sz="0" w:space="0" w:color="auto"/>
              </w:divBdr>
            </w:div>
            <w:div w:id="1971009820">
              <w:marLeft w:val="0"/>
              <w:marRight w:val="0"/>
              <w:marTop w:val="0"/>
              <w:marBottom w:val="0"/>
              <w:divBdr>
                <w:top w:val="none" w:sz="0" w:space="0" w:color="auto"/>
                <w:left w:val="none" w:sz="0" w:space="0" w:color="auto"/>
                <w:bottom w:val="none" w:sz="0" w:space="0" w:color="auto"/>
                <w:right w:val="none" w:sz="0" w:space="0" w:color="auto"/>
              </w:divBdr>
            </w:div>
            <w:div w:id="2068988177">
              <w:marLeft w:val="0"/>
              <w:marRight w:val="0"/>
              <w:marTop w:val="0"/>
              <w:marBottom w:val="0"/>
              <w:divBdr>
                <w:top w:val="none" w:sz="0" w:space="0" w:color="auto"/>
                <w:left w:val="none" w:sz="0" w:space="0" w:color="auto"/>
                <w:bottom w:val="none" w:sz="0" w:space="0" w:color="auto"/>
                <w:right w:val="none" w:sz="0" w:space="0" w:color="auto"/>
              </w:divBdr>
            </w:div>
          </w:divsChild>
        </w:div>
        <w:div w:id="277639871">
          <w:marLeft w:val="0"/>
          <w:marRight w:val="0"/>
          <w:marTop w:val="0"/>
          <w:marBottom w:val="0"/>
          <w:divBdr>
            <w:top w:val="none" w:sz="0" w:space="0" w:color="auto"/>
            <w:left w:val="none" w:sz="0" w:space="0" w:color="auto"/>
            <w:bottom w:val="none" w:sz="0" w:space="0" w:color="auto"/>
            <w:right w:val="none" w:sz="0" w:space="0" w:color="auto"/>
          </w:divBdr>
          <w:divsChild>
            <w:div w:id="220479573">
              <w:marLeft w:val="0"/>
              <w:marRight w:val="0"/>
              <w:marTop w:val="0"/>
              <w:marBottom w:val="0"/>
              <w:divBdr>
                <w:top w:val="none" w:sz="0" w:space="0" w:color="auto"/>
                <w:left w:val="none" w:sz="0" w:space="0" w:color="auto"/>
                <w:bottom w:val="none" w:sz="0" w:space="0" w:color="auto"/>
                <w:right w:val="none" w:sz="0" w:space="0" w:color="auto"/>
              </w:divBdr>
            </w:div>
            <w:div w:id="271937694">
              <w:marLeft w:val="0"/>
              <w:marRight w:val="0"/>
              <w:marTop w:val="0"/>
              <w:marBottom w:val="0"/>
              <w:divBdr>
                <w:top w:val="none" w:sz="0" w:space="0" w:color="auto"/>
                <w:left w:val="none" w:sz="0" w:space="0" w:color="auto"/>
                <w:bottom w:val="none" w:sz="0" w:space="0" w:color="auto"/>
                <w:right w:val="none" w:sz="0" w:space="0" w:color="auto"/>
              </w:divBdr>
            </w:div>
            <w:div w:id="328945382">
              <w:marLeft w:val="0"/>
              <w:marRight w:val="0"/>
              <w:marTop w:val="0"/>
              <w:marBottom w:val="0"/>
              <w:divBdr>
                <w:top w:val="none" w:sz="0" w:space="0" w:color="auto"/>
                <w:left w:val="none" w:sz="0" w:space="0" w:color="auto"/>
                <w:bottom w:val="none" w:sz="0" w:space="0" w:color="auto"/>
                <w:right w:val="none" w:sz="0" w:space="0" w:color="auto"/>
              </w:divBdr>
            </w:div>
            <w:div w:id="392387494">
              <w:marLeft w:val="0"/>
              <w:marRight w:val="0"/>
              <w:marTop w:val="0"/>
              <w:marBottom w:val="0"/>
              <w:divBdr>
                <w:top w:val="none" w:sz="0" w:space="0" w:color="auto"/>
                <w:left w:val="none" w:sz="0" w:space="0" w:color="auto"/>
                <w:bottom w:val="none" w:sz="0" w:space="0" w:color="auto"/>
                <w:right w:val="none" w:sz="0" w:space="0" w:color="auto"/>
              </w:divBdr>
            </w:div>
            <w:div w:id="450900416">
              <w:marLeft w:val="0"/>
              <w:marRight w:val="0"/>
              <w:marTop w:val="0"/>
              <w:marBottom w:val="0"/>
              <w:divBdr>
                <w:top w:val="none" w:sz="0" w:space="0" w:color="auto"/>
                <w:left w:val="none" w:sz="0" w:space="0" w:color="auto"/>
                <w:bottom w:val="none" w:sz="0" w:space="0" w:color="auto"/>
                <w:right w:val="none" w:sz="0" w:space="0" w:color="auto"/>
              </w:divBdr>
            </w:div>
            <w:div w:id="518084044">
              <w:marLeft w:val="0"/>
              <w:marRight w:val="0"/>
              <w:marTop w:val="0"/>
              <w:marBottom w:val="0"/>
              <w:divBdr>
                <w:top w:val="none" w:sz="0" w:space="0" w:color="auto"/>
                <w:left w:val="none" w:sz="0" w:space="0" w:color="auto"/>
                <w:bottom w:val="none" w:sz="0" w:space="0" w:color="auto"/>
                <w:right w:val="none" w:sz="0" w:space="0" w:color="auto"/>
              </w:divBdr>
            </w:div>
            <w:div w:id="614868327">
              <w:marLeft w:val="0"/>
              <w:marRight w:val="0"/>
              <w:marTop w:val="0"/>
              <w:marBottom w:val="0"/>
              <w:divBdr>
                <w:top w:val="none" w:sz="0" w:space="0" w:color="auto"/>
                <w:left w:val="none" w:sz="0" w:space="0" w:color="auto"/>
                <w:bottom w:val="none" w:sz="0" w:space="0" w:color="auto"/>
                <w:right w:val="none" w:sz="0" w:space="0" w:color="auto"/>
              </w:divBdr>
            </w:div>
            <w:div w:id="911087470">
              <w:marLeft w:val="0"/>
              <w:marRight w:val="0"/>
              <w:marTop w:val="0"/>
              <w:marBottom w:val="0"/>
              <w:divBdr>
                <w:top w:val="none" w:sz="0" w:space="0" w:color="auto"/>
                <w:left w:val="none" w:sz="0" w:space="0" w:color="auto"/>
                <w:bottom w:val="none" w:sz="0" w:space="0" w:color="auto"/>
                <w:right w:val="none" w:sz="0" w:space="0" w:color="auto"/>
              </w:divBdr>
            </w:div>
            <w:div w:id="918446341">
              <w:marLeft w:val="0"/>
              <w:marRight w:val="0"/>
              <w:marTop w:val="0"/>
              <w:marBottom w:val="0"/>
              <w:divBdr>
                <w:top w:val="none" w:sz="0" w:space="0" w:color="auto"/>
                <w:left w:val="none" w:sz="0" w:space="0" w:color="auto"/>
                <w:bottom w:val="none" w:sz="0" w:space="0" w:color="auto"/>
                <w:right w:val="none" w:sz="0" w:space="0" w:color="auto"/>
              </w:divBdr>
            </w:div>
            <w:div w:id="982153605">
              <w:marLeft w:val="0"/>
              <w:marRight w:val="0"/>
              <w:marTop w:val="0"/>
              <w:marBottom w:val="0"/>
              <w:divBdr>
                <w:top w:val="none" w:sz="0" w:space="0" w:color="auto"/>
                <w:left w:val="none" w:sz="0" w:space="0" w:color="auto"/>
                <w:bottom w:val="none" w:sz="0" w:space="0" w:color="auto"/>
                <w:right w:val="none" w:sz="0" w:space="0" w:color="auto"/>
              </w:divBdr>
            </w:div>
            <w:div w:id="1039014484">
              <w:marLeft w:val="0"/>
              <w:marRight w:val="0"/>
              <w:marTop w:val="0"/>
              <w:marBottom w:val="0"/>
              <w:divBdr>
                <w:top w:val="none" w:sz="0" w:space="0" w:color="auto"/>
                <w:left w:val="none" w:sz="0" w:space="0" w:color="auto"/>
                <w:bottom w:val="none" w:sz="0" w:space="0" w:color="auto"/>
                <w:right w:val="none" w:sz="0" w:space="0" w:color="auto"/>
              </w:divBdr>
            </w:div>
            <w:div w:id="1178887252">
              <w:marLeft w:val="0"/>
              <w:marRight w:val="0"/>
              <w:marTop w:val="0"/>
              <w:marBottom w:val="0"/>
              <w:divBdr>
                <w:top w:val="none" w:sz="0" w:space="0" w:color="auto"/>
                <w:left w:val="none" w:sz="0" w:space="0" w:color="auto"/>
                <w:bottom w:val="none" w:sz="0" w:space="0" w:color="auto"/>
                <w:right w:val="none" w:sz="0" w:space="0" w:color="auto"/>
              </w:divBdr>
            </w:div>
            <w:div w:id="1188175968">
              <w:marLeft w:val="0"/>
              <w:marRight w:val="0"/>
              <w:marTop w:val="0"/>
              <w:marBottom w:val="0"/>
              <w:divBdr>
                <w:top w:val="none" w:sz="0" w:space="0" w:color="auto"/>
                <w:left w:val="none" w:sz="0" w:space="0" w:color="auto"/>
                <w:bottom w:val="none" w:sz="0" w:space="0" w:color="auto"/>
                <w:right w:val="none" w:sz="0" w:space="0" w:color="auto"/>
              </w:divBdr>
            </w:div>
            <w:div w:id="1582254076">
              <w:marLeft w:val="0"/>
              <w:marRight w:val="0"/>
              <w:marTop w:val="0"/>
              <w:marBottom w:val="0"/>
              <w:divBdr>
                <w:top w:val="none" w:sz="0" w:space="0" w:color="auto"/>
                <w:left w:val="none" w:sz="0" w:space="0" w:color="auto"/>
                <w:bottom w:val="none" w:sz="0" w:space="0" w:color="auto"/>
                <w:right w:val="none" w:sz="0" w:space="0" w:color="auto"/>
              </w:divBdr>
            </w:div>
            <w:div w:id="1732118240">
              <w:marLeft w:val="0"/>
              <w:marRight w:val="0"/>
              <w:marTop w:val="0"/>
              <w:marBottom w:val="0"/>
              <w:divBdr>
                <w:top w:val="none" w:sz="0" w:space="0" w:color="auto"/>
                <w:left w:val="none" w:sz="0" w:space="0" w:color="auto"/>
                <w:bottom w:val="none" w:sz="0" w:space="0" w:color="auto"/>
                <w:right w:val="none" w:sz="0" w:space="0" w:color="auto"/>
              </w:divBdr>
            </w:div>
            <w:div w:id="1800144502">
              <w:marLeft w:val="0"/>
              <w:marRight w:val="0"/>
              <w:marTop w:val="0"/>
              <w:marBottom w:val="0"/>
              <w:divBdr>
                <w:top w:val="none" w:sz="0" w:space="0" w:color="auto"/>
                <w:left w:val="none" w:sz="0" w:space="0" w:color="auto"/>
                <w:bottom w:val="none" w:sz="0" w:space="0" w:color="auto"/>
                <w:right w:val="none" w:sz="0" w:space="0" w:color="auto"/>
              </w:divBdr>
            </w:div>
            <w:div w:id="1843155124">
              <w:marLeft w:val="0"/>
              <w:marRight w:val="0"/>
              <w:marTop w:val="0"/>
              <w:marBottom w:val="0"/>
              <w:divBdr>
                <w:top w:val="none" w:sz="0" w:space="0" w:color="auto"/>
                <w:left w:val="none" w:sz="0" w:space="0" w:color="auto"/>
                <w:bottom w:val="none" w:sz="0" w:space="0" w:color="auto"/>
                <w:right w:val="none" w:sz="0" w:space="0" w:color="auto"/>
              </w:divBdr>
            </w:div>
            <w:div w:id="2015642901">
              <w:marLeft w:val="0"/>
              <w:marRight w:val="0"/>
              <w:marTop w:val="0"/>
              <w:marBottom w:val="0"/>
              <w:divBdr>
                <w:top w:val="none" w:sz="0" w:space="0" w:color="auto"/>
                <w:left w:val="none" w:sz="0" w:space="0" w:color="auto"/>
                <w:bottom w:val="none" w:sz="0" w:space="0" w:color="auto"/>
                <w:right w:val="none" w:sz="0" w:space="0" w:color="auto"/>
              </w:divBdr>
            </w:div>
            <w:div w:id="2050379346">
              <w:marLeft w:val="0"/>
              <w:marRight w:val="0"/>
              <w:marTop w:val="0"/>
              <w:marBottom w:val="0"/>
              <w:divBdr>
                <w:top w:val="none" w:sz="0" w:space="0" w:color="auto"/>
                <w:left w:val="none" w:sz="0" w:space="0" w:color="auto"/>
                <w:bottom w:val="none" w:sz="0" w:space="0" w:color="auto"/>
                <w:right w:val="none" w:sz="0" w:space="0" w:color="auto"/>
              </w:divBdr>
            </w:div>
            <w:div w:id="2137292025">
              <w:marLeft w:val="0"/>
              <w:marRight w:val="0"/>
              <w:marTop w:val="0"/>
              <w:marBottom w:val="0"/>
              <w:divBdr>
                <w:top w:val="none" w:sz="0" w:space="0" w:color="auto"/>
                <w:left w:val="none" w:sz="0" w:space="0" w:color="auto"/>
                <w:bottom w:val="none" w:sz="0" w:space="0" w:color="auto"/>
                <w:right w:val="none" w:sz="0" w:space="0" w:color="auto"/>
              </w:divBdr>
            </w:div>
          </w:divsChild>
        </w:div>
        <w:div w:id="543906715">
          <w:marLeft w:val="0"/>
          <w:marRight w:val="0"/>
          <w:marTop w:val="0"/>
          <w:marBottom w:val="0"/>
          <w:divBdr>
            <w:top w:val="none" w:sz="0" w:space="0" w:color="auto"/>
            <w:left w:val="none" w:sz="0" w:space="0" w:color="auto"/>
            <w:bottom w:val="none" w:sz="0" w:space="0" w:color="auto"/>
            <w:right w:val="none" w:sz="0" w:space="0" w:color="auto"/>
          </w:divBdr>
          <w:divsChild>
            <w:div w:id="117259695">
              <w:marLeft w:val="0"/>
              <w:marRight w:val="0"/>
              <w:marTop w:val="0"/>
              <w:marBottom w:val="0"/>
              <w:divBdr>
                <w:top w:val="none" w:sz="0" w:space="0" w:color="auto"/>
                <w:left w:val="none" w:sz="0" w:space="0" w:color="auto"/>
                <w:bottom w:val="none" w:sz="0" w:space="0" w:color="auto"/>
                <w:right w:val="none" w:sz="0" w:space="0" w:color="auto"/>
              </w:divBdr>
            </w:div>
            <w:div w:id="425227937">
              <w:marLeft w:val="0"/>
              <w:marRight w:val="0"/>
              <w:marTop w:val="0"/>
              <w:marBottom w:val="0"/>
              <w:divBdr>
                <w:top w:val="none" w:sz="0" w:space="0" w:color="auto"/>
                <w:left w:val="none" w:sz="0" w:space="0" w:color="auto"/>
                <w:bottom w:val="none" w:sz="0" w:space="0" w:color="auto"/>
                <w:right w:val="none" w:sz="0" w:space="0" w:color="auto"/>
              </w:divBdr>
            </w:div>
            <w:div w:id="546835595">
              <w:marLeft w:val="0"/>
              <w:marRight w:val="0"/>
              <w:marTop w:val="0"/>
              <w:marBottom w:val="0"/>
              <w:divBdr>
                <w:top w:val="none" w:sz="0" w:space="0" w:color="auto"/>
                <w:left w:val="none" w:sz="0" w:space="0" w:color="auto"/>
                <w:bottom w:val="none" w:sz="0" w:space="0" w:color="auto"/>
                <w:right w:val="none" w:sz="0" w:space="0" w:color="auto"/>
              </w:divBdr>
            </w:div>
            <w:div w:id="1066297340">
              <w:marLeft w:val="0"/>
              <w:marRight w:val="0"/>
              <w:marTop w:val="0"/>
              <w:marBottom w:val="0"/>
              <w:divBdr>
                <w:top w:val="none" w:sz="0" w:space="0" w:color="auto"/>
                <w:left w:val="none" w:sz="0" w:space="0" w:color="auto"/>
                <w:bottom w:val="none" w:sz="0" w:space="0" w:color="auto"/>
                <w:right w:val="none" w:sz="0" w:space="0" w:color="auto"/>
              </w:divBdr>
            </w:div>
            <w:div w:id="1199586989">
              <w:marLeft w:val="0"/>
              <w:marRight w:val="0"/>
              <w:marTop w:val="0"/>
              <w:marBottom w:val="0"/>
              <w:divBdr>
                <w:top w:val="none" w:sz="0" w:space="0" w:color="auto"/>
                <w:left w:val="none" w:sz="0" w:space="0" w:color="auto"/>
                <w:bottom w:val="none" w:sz="0" w:space="0" w:color="auto"/>
                <w:right w:val="none" w:sz="0" w:space="0" w:color="auto"/>
              </w:divBdr>
            </w:div>
            <w:div w:id="1345278837">
              <w:marLeft w:val="0"/>
              <w:marRight w:val="0"/>
              <w:marTop w:val="0"/>
              <w:marBottom w:val="0"/>
              <w:divBdr>
                <w:top w:val="none" w:sz="0" w:space="0" w:color="auto"/>
                <w:left w:val="none" w:sz="0" w:space="0" w:color="auto"/>
                <w:bottom w:val="none" w:sz="0" w:space="0" w:color="auto"/>
                <w:right w:val="none" w:sz="0" w:space="0" w:color="auto"/>
              </w:divBdr>
            </w:div>
            <w:div w:id="1582252532">
              <w:marLeft w:val="0"/>
              <w:marRight w:val="0"/>
              <w:marTop w:val="0"/>
              <w:marBottom w:val="0"/>
              <w:divBdr>
                <w:top w:val="none" w:sz="0" w:space="0" w:color="auto"/>
                <w:left w:val="none" w:sz="0" w:space="0" w:color="auto"/>
                <w:bottom w:val="none" w:sz="0" w:space="0" w:color="auto"/>
                <w:right w:val="none" w:sz="0" w:space="0" w:color="auto"/>
              </w:divBdr>
            </w:div>
            <w:div w:id="1927768687">
              <w:marLeft w:val="0"/>
              <w:marRight w:val="0"/>
              <w:marTop w:val="0"/>
              <w:marBottom w:val="0"/>
              <w:divBdr>
                <w:top w:val="none" w:sz="0" w:space="0" w:color="auto"/>
                <w:left w:val="none" w:sz="0" w:space="0" w:color="auto"/>
                <w:bottom w:val="none" w:sz="0" w:space="0" w:color="auto"/>
                <w:right w:val="none" w:sz="0" w:space="0" w:color="auto"/>
              </w:divBdr>
            </w:div>
          </w:divsChild>
        </w:div>
        <w:div w:id="789054652">
          <w:marLeft w:val="0"/>
          <w:marRight w:val="0"/>
          <w:marTop w:val="0"/>
          <w:marBottom w:val="0"/>
          <w:divBdr>
            <w:top w:val="none" w:sz="0" w:space="0" w:color="auto"/>
            <w:left w:val="none" w:sz="0" w:space="0" w:color="auto"/>
            <w:bottom w:val="none" w:sz="0" w:space="0" w:color="auto"/>
            <w:right w:val="none" w:sz="0" w:space="0" w:color="auto"/>
          </w:divBdr>
          <w:divsChild>
            <w:div w:id="184516321">
              <w:marLeft w:val="0"/>
              <w:marRight w:val="0"/>
              <w:marTop w:val="0"/>
              <w:marBottom w:val="0"/>
              <w:divBdr>
                <w:top w:val="none" w:sz="0" w:space="0" w:color="auto"/>
                <w:left w:val="none" w:sz="0" w:space="0" w:color="auto"/>
                <w:bottom w:val="none" w:sz="0" w:space="0" w:color="auto"/>
                <w:right w:val="none" w:sz="0" w:space="0" w:color="auto"/>
              </w:divBdr>
            </w:div>
            <w:div w:id="195392255">
              <w:marLeft w:val="0"/>
              <w:marRight w:val="0"/>
              <w:marTop w:val="0"/>
              <w:marBottom w:val="0"/>
              <w:divBdr>
                <w:top w:val="none" w:sz="0" w:space="0" w:color="auto"/>
                <w:left w:val="none" w:sz="0" w:space="0" w:color="auto"/>
                <w:bottom w:val="none" w:sz="0" w:space="0" w:color="auto"/>
                <w:right w:val="none" w:sz="0" w:space="0" w:color="auto"/>
              </w:divBdr>
            </w:div>
            <w:div w:id="256407481">
              <w:marLeft w:val="0"/>
              <w:marRight w:val="0"/>
              <w:marTop w:val="0"/>
              <w:marBottom w:val="0"/>
              <w:divBdr>
                <w:top w:val="none" w:sz="0" w:space="0" w:color="auto"/>
                <w:left w:val="none" w:sz="0" w:space="0" w:color="auto"/>
                <w:bottom w:val="none" w:sz="0" w:space="0" w:color="auto"/>
                <w:right w:val="none" w:sz="0" w:space="0" w:color="auto"/>
              </w:divBdr>
            </w:div>
            <w:div w:id="421293255">
              <w:marLeft w:val="0"/>
              <w:marRight w:val="0"/>
              <w:marTop w:val="0"/>
              <w:marBottom w:val="0"/>
              <w:divBdr>
                <w:top w:val="none" w:sz="0" w:space="0" w:color="auto"/>
                <w:left w:val="none" w:sz="0" w:space="0" w:color="auto"/>
                <w:bottom w:val="none" w:sz="0" w:space="0" w:color="auto"/>
                <w:right w:val="none" w:sz="0" w:space="0" w:color="auto"/>
              </w:divBdr>
            </w:div>
            <w:div w:id="521431456">
              <w:marLeft w:val="0"/>
              <w:marRight w:val="0"/>
              <w:marTop w:val="0"/>
              <w:marBottom w:val="0"/>
              <w:divBdr>
                <w:top w:val="none" w:sz="0" w:space="0" w:color="auto"/>
                <w:left w:val="none" w:sz="0" w:space="0" w:color="auto"/>
                <w:bottom w:val="none" w:sz="0" w:space="0" w:color="auto"/>
                <w:right w:val="none" w:sz="0" w:space="0" w:color="auto"/>
              </w:divBdr>
            </w:div>
            <w:div w:id="796948292">
              <w:marLeft w:val="0"/>
              <w:marRight w:val="0"/>
              <w:marTop w:val="0"/>
              <w:marBottom w:val="0"/>
              <w:divBdr>
                <w:top w:val="none" w:sz="0" w:space="0" w:color="auto"/>
                <w:left w:val="none" w:sz="0" w:space="0" w:color="auto"/>
                <w:bottom w:val="none" w:sz="0" w:space="0" w:color="auto"/>
                <w:right w:val="none" w:sz="0" w:space="0" w:color="auto"/>
              </w:divBdr>
            </w:div>
            <w:div w:id="799614635">
              <w:marLeft w:val="0"/>
              <w:marRight w:val="0"/>
              <w:marTop w:val="0"/>
              <w:marBottom w:val="0"/>
              <w:divBdr>
                <w:top w:val="none" w:sz="0" w:space="0" w:color="auto"/>
                <w:left w:val="none" w:sz="0" w:space="0" w:color="auto"/>
                <w:bottom w:val="none" w:sz="0" w:space="0" w:color="auto"/>
                <w:right w:val="none" w:sz="0" w:space="0" w:color="auto"/>
              </w:divBdr>
            </w:div>
            <w:div w:id="946473365">
              <w:marLeft w:val="0"/>
              <w:marRight w:val="0"/>
              <w:marTop w:val="0"/>
              <w:marBottom w:val="0"/>
              <w:divBdr>
                <w:top w:val="none" w:sz="0" w:space="0" w:color="auto"/>
                <w:left w:val="none" w:sz="0" w:space="0" w:color="auto"/>
                <w:bottom w:val="none" w:sz="0" w:space="0" w:color="auto"/>
                <w:right w:val="none" w:sz="0" w:space="0" w:color="auto"/>
              </w:divBdr>
            </w:div>
            <w:div w:id="976300957">
              <w:marLeft w:val="0"/>
              <w:marRight w:val="0"/>
              <w:marTop w:val="0"/>
              <w:marBottom w:val="0"/>
              <w:divBdr>
                <w:top w:val="none" w:sz="0" w:space="0" w:color="auto"/>
                <w:left w:val="none" w:sz="0" w:space="0" w:color="auto"/>
                <w:bottom w:val="none" w:sz="0" w:space="0" w:color="auto"/>
                <w:right w:val="none" w:sz="0" w:space="0" w:color="auto"/>
              </w:divBdr>
            </w:div>
            <w:div w:id="1068966095">
              <w:marLeft w:val="0"/>
              <w:marRight w:val="0"/>
              <w:marTop w:val="0"/>
              <w:marBottom w:val="0"/>
              <w:divBdr>
                <w:top w:val="none" w:sz="0" w:space="0" w:color="auto"/>
                <w:left w:val="none" w:sz="0" w:space="0" w:color="auto"/>
                <w:bottom w:val="none" w:sz="0" w:space="0" w:color="auto"/>
                <w:right w:val="none" w:sz="0" w:space="0" w:color="auto"/>
              </w:divBdr>
            </w:div>
            <w:div w:id="1074475141">
              <w:marLeft w:val="0"/>
              <w:marRight w:val="0"/>
              <w:marTop w:val="0"/>
              <w:marBottom w:val="0"/>
              <w:divBdr>
                <w:top w:val="none" w:sz="0" w:space="0" w:color="auto"/>
                <w:left w:val="none" w:sz="0" w:space="0" w:color="auto"/>
                <w:bottom w:val="none" w:sz="0" w:space="0" w:color="auto"/>
                <w:right w:val="none" w:sz="0" w:space="0" w:color="auto"/>
              </w:divBdr>
            </w:div>
            <w:div w:id="1082871302">
              <w:marLeft w:val="0"/>
              <w:marRight w:val="0"/>
              <w:marTop w:val="0"/>
              <w:marBottom w:val="0"/>
              <w:divBdr>
                <w:top w:val="none" w:sz="0" w:space="0" w:color="auto"/>
                <w:left w:val="none" w:sz="0" w:space="0" w:color="auto"/>
                <w:bottom w:val="none" w:sz="0" w:space="0" w:color="auto"/>
                <w:right w:val="none" w:sz="0" w:space="0" w:color="auto"/>
              </w:divBdr>
            </w:div>
            <w:div w:id="1105614229">
              <w:marLeft w:val="0"/>
              <w:marRight w:val="0"/>
              <w:marTop w:val="0"/>
              <w:marBottom w:val="0"/>
              <w:divBdr>
                <w:top w:val="none" w:sz="0" w:space="0" w:color="auto"/>
                <w:left w:val="none" w:sz="0" w:space="0" w:color="auto"/>
                <w:bottom w:val="none" w:sz="0" w:space="0" w:color="auto"/>
                <w:right w:val="none" w:sz="0" w:space="0" w:color="auto"/>
              </w:divBdr>
            </w:div>
            <w:div w:id="1231422901">
              <w:marLeft w:val="0"/>
              <w:marRight w:val="0"/>
              <w:marTop w:val="0"/>
              <w:marBottom w:val="0"/>
              <w:divBdr>
                <w:top w:val="none" w:sz="0" w:space="0" w:color="auto"/>
                <w:left w:val="none" w:sz="0" w:space="0" w:color="auto"/>
                <w:bottom w:val="none" w:sz="0" w:space="0" w:color="auto"/>
                <w:right w:val="none" w:sz="0" w:space="0" w:color="auto"/>
              </w:divBdr>
            </w:div>
            <w:div w:id="1277298128">
              <w:marLeft w:val="0"/>
              <w:marRight w:val="0"/>
              <w:marTop w:val="0"/>
              <w:marBottom w:val="0"/>
              <w:divBdr>
                <w:top w:val="none" w:sz="0" w:space="0" w:color="auto"/>
                <w:left w:val="none" w:sz="0" w:space="0" w:color="auto"/>
                <w:bottom w:val="none" w:sz="0" w:space="0" w:color="auto"/>
                <w:right w:val="none" w:sz="0" w:space="0" w:color="auto"/>
              </w:divBdr>
            </w:div>
            <w:div w:id="1493721609">
              <w:marLeft w:val="0"/>
              <w:marRight w:val="0"/>
              <w:marTop w:val="0"/>
              <w:marBottom w:val="0"/>
              <w:divBdr>
                <w:top w:val="none" w:sz="0" w:space="0" w:color="auto"/>
                <w:left w:val="none" w:sz="0" w:space="0" w:color="auto"/>
                <w:bottom w:val="none" w:sz="0" w:space="0" w:color="auto"/>
                <w:right w:val="none" w:sz="0" w:space="0" w:color="auto"/>
              </w:divBdr>
            </w:div>
            <w:div w:id="1559782691">
              <w:marLeft w:val="0"/>
              <w:marRight w:val="0"/>
              <w:marTop w:val="0"/>
              <w:marBottom w:val="0"/>
              <w:divBdr>
                <w:top w:val="none" w:sz="0" w:space="0" w:color="auto"/>
                <w:left w:val="none" w:sz="0" w:space="0" w:color="auto"/>
                <w:bottom w:val="none" w:sz="0" w:space="0" w:color="auto"/>
                <w:right w:val="none" w:sz="0" w:space="0" w:color="auto"/>
              </w:divBdr>
            </w:div>
            <w:div w:id="1560245981">
              <w:marLeft w:val="0"/>
              <w:marRight w:val="0"/>
              <w:marTop w:val="0"/>
              <w:marBottom w:val="0"/>
              <w:divBdr>
                <w:top w:val="none" w:sz="0" w:space="0" w:color="auto"/>
                <w:left w:val="none" w:sz="0" w:space="0" w:color="auto"/>
                <w:bottom w:val="none" w:sz="0" w:space="0" w:color="auto"/>
                <w:right w:val="none" w:sz="0" w:space="0" w:color="auto"/>
              </w:divBdr>
            </w:div>
            <w:div w:id="1635019450">
              <w:marLeft w:val="0"/>
              <w:marRight w:val="0"/>
              <w:marTop w:val="0"/>
              <w:marBottom w:val="0"/>
              <w:divBdr>
                <w:top w:val="none" w:sz="0" w:space="0" w:color="auto"/>
                <w:left w:val="none" w:sz="0" w:space="0" w:color="auto"/>
                <w:bottom w:val="none" w:sz="0" w:space="0" w:color="auto"/>
                <w:right w:val="none" w:sz="0" w:space="0" w:color="auto"/>
              </w:divBdr>
            </w:div>
            <w:div w:id="18851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3685">
      <w:bodyDiv w:val="1"/>
      <w:marLeft w:val="0"/>
      <w:marRight w:val="0"/>
      <w:marTop w:val="0"/>
      <w:marBottom w:val="0"/>
      <w:divBdr>
        <w:top w:val="none" w:sz="0" w:space="0" w:color="auto"/>
        <w:left w:val="none" w:sz="0" w:space="0" w:color="auto"/>
        <w:bottom w:val="none" w:sz="0" w:space="0" w:color="auto"/>
        <w:right w:val="none" w:sz="0" w:space="0" w:color="auto"/>
      </w:divBdr>
      <w:divsChild>
        <w:div w:id="36977082">
          <w:marLeft w:val="0"/>
          <w:marRight w:val="0"/>
          <w:marTop w:val="0"/>
          <w:marBottom w:val="0"/>
          <w:divBdr>
            <w:top w:val="none" w:sz="0" w:space="0" w:color="auto"/>
            <w:left w:val="none" w:sz="0" w:space="0" w:color="auto"/>
            <w:bottom w:val="none" w:sz="0" w:space="0" w:color="auto"/>
            <w:right w:val="none" w:sz="0" w:space="0" w:color="auto"/>
          </w:divBdr>
          <w:divsChild>
            <w:div w:id="905185250">
              <w:marLeft w:val="0"/>
              <w:marRight w:val="0"/>
              <w:marTop w:val="0"/>
              <w:marBottom w:val="0"/>
              <w:divBdr>
                <w:top w:val="none" w:sz="0" w:space="0" w:color="auto"/>
                <w:left w:val="none" w:sz="0" w:space="0" w:color="auto"/>
                <w:bottom w:val="none" w:sz="0" w:space="0" w:color="auto"/>
                <w:right w:val="none" w:sz="0" w:space="0" w:color="auto"/>
              </w:divBdr>
            </w:div>
          </w:divsChild>
        </w:div>
        <w:div w:id="222982564">
          <w:marLeft w:val="0"/>
          <w:marRight w:val="0"/>
          <w:marTop w:val="0"/>
          <w:marBottom w:val="0"/>
          <w:divBdr>
            <w:top w:val="none" w:sz="0" w:space="0" w:color="auto"/>
            <w:left w:val="none" w:sz="0" w:space="0" w:color="auto"/>
            <w:bottom w:val="none" w:sz="0" w:space="0" w:color="auto"/>
            <w:right w:val="none" w:sz="0" w:space="0" w:color="auto"/>
          </w:divBdr>
          <w:divsChild>
            <w:div w:id="1476026582">
              <w:marLeft w:val="0"/>
              <w:marRight w:val="0"/>
              <w:marTop w:val="0"/>
              <w:marBottom w:val="0"/>
              <w:divBdr>
                <w:top w:val="none" w:sz="0" w:space="0" w:color="auto"/>
                <w:left w:val="none" w:sz="0" w:space="0" w:color="auto"/>
                <w:bottom w:val="none" w:sz="0" w:space="0" w:color="auto"/>
                <w:right w:val="none" w:sz="0" w:space="0" w:color="auto"/>
              </w:divBdr>
            </w:div>
          </w:divsChild>
        </w:div>
        <w:div w:id="294868683">
          <w:marLeft w:val="0"/>
          <w:marRight w:val="0"/>
          <w:marTop w:val="0"/>
          <w:marBottom w:val="0"/>
          <w:divBdr>
            <w:top w:val="none" w:sz="0" w:space="0" w:color="auto"/>
            <w:left w:val="none" w:sz="0" w:space="0" w:color="auto"/>
            <w:bottom w:val="none" w:sz="0" w:space="0" w:color="auto"/>
            <w:right w:val="none" w:sz="0" w:space="0" w:color="auto"/>
          </w:divBdr>
          <w:divsChild>
            <w:div w:id="1511750828">
              <w:marLeft w:val="0"/>
              <w:marRight w:val="0"/>
              <w:marTop w:val="0"/>
              <w:marBottom w:val="0"/>
              <w:divBdr>
                <w:top w:val="none" w:sz="0" w:space="0" w:color="auto"/>
                <w:left w:val="none" w:sz="0" w:space="0" w:color="auto"/>
                <w:bottom w:val="none" w:sz="0" w:space="0" w:color="auto"/>
                <w:right w:val="none" w:sz="0" w:space="0" w:color="auto"/>
              </w:divBdr>
            </w:div>
          </w:divsChild>
        </w:div>
        <w:div w:id="327221970">
          <w:marLeft w:val="0"/>
          <w:marRight w:val="0"/>
          <w:marTop w:val="0"/>
          <w:marBottom w:val="0"/>
          <w:divBdr>
            <w:top w:val="none" w:sz="0" w:space="0" w:color="auto"/>
            <w:left w:val="none" w:sz="0" w:space="0" w:color="auto"/>
            <w:bottom w:val="none" w:sz="0" w:space="0" w:color="auto"/>
            <w:right w:val="none" w:sz="0" w:space="0" w:color="auto"/>
          </w:divBdr>
          <w:divsChild>
            <w:div w:id="854077567">
              <w:marLeft w:val="0"/>
              <w:marRight w:val="0"/>
              <w:marTop w:val="0"/>
              <w:marBottom w:val="0"/>
              <w:divBdr>
                <w:top w:val="none" w:sz="0" w:space="0" w:color="auto"/>
                <w:left w:val="none" w:sz="0" w:space="0" w:color="auto"/>
                <w:bottom w:val="none" w:sz="0" w:space="0" w:color="auto"/>
                <w:right w:val="none" w:sz="0" w:space="0" w:color="auto"/>
              </w:divBdr>
            </w:div>
          </w:divsChild>
        </w:div>
        <w:div w:id="449864072">
          <w:marLeft w:val="0"/>
          <w:marRight w:val="0"/>
          <w:marTop w:val="0"/>
          <w:marBottom w:val="0"/>
          <w:divBdr>
            <w:top w:val="none" w:sz="0" w:space="0" w:color="auto"/>
            <w:left w:val="none" w:sz="0" w:space="0" w:color="auto"/>
            <w:bottom w:val="none" w:sz="0" w:space="0" w:color="auto"/>
            <w:right w:val="none" w:sz="0" w:space="0" w:color="auto"/>
          </w:divBdr>
          <w:divsChild>
            <w:div w:id="672412896">
              <w:marLeft w:val="0"/>
              <w:marRight w:val="0"/>
              <w:marTop w:val="0"/>
              <w:marBottom w:val="0"/>
              <w:divBdr>
                <w:top w:val="none" w:sz="0" w:space="0" w:color="auto"/>
                <w:left w:val="none" w:sz="0" w:space="0" w:color="auto"/>
                <w:bottom w:val="none" w:sz="0" w:space="0" w:color="auto"/>
                <w:right w:val="none" w:sz="0" w:space="0" w:color="auto"/>
              </w:divBdr>
            </w:div>
          </w:divsChild>
        </w:div>
        <w:div w:id="459810938">
          <w:marLeft w:val="0"/>
          <w:marRight w:val="0"/>
          <w:marTop w:val="0"/>
          <w:marBottom w:val="0"/>
          <w:divBdr>
            <w:top w:val="none" w:sz="0" w:space="0" w:color="auto"/>
            <w:left w:val="none" w:sz="0" w:space="0" w:color="auto"/>
            <w:bottom w:val="none" w:sz="0" w:space="0" w:color="auto"/>
            <w:right w:val="none" w:sz="0" w:space="0" w:color="auto"/>
          </w:divBdr>
          <w:divsChild>
            <w:div w:id="44647122">
              <w:marLeft w:val="0"/>
              <w:marRight w:val="0"/>
              <w:marTop w:val="0"/>
              <w:marBottom w:val="0"/>
              <w:divBdr>
                <w:top w:val="none" w:sz="0" w:space="0" w:color="auto"/>
                <w:left w:val="none" w:sz="0" w:space="0" w:color="auto"/>
                <w:bottom w:val="none" w:sz="0" w:space="0" w:color="auto"/>
                <w:right w:val="none" w:sz="0" w:space="0" w:color="auto"/>
              </w:divBdr>
            </w:div>
          </w:divsChild>
        </w:div>
        <w:div w:id="588347290">
          <w:marLeft w:val="0"/>
          <w:marRight w:val="0"/>
          <w:marTop w:val="0"/>
          <w:marBottom w:val="0"/>
          <w:divBdr>
            <w:top w:val="none" w:sz="0" w:space="0" w:color="auto"/>
            <w:left w:val="none" w:sz="0" w:space="0" w:color="auto"/>
            <w:bottom w:val="none" w:sz="0" w:space="0" w:color="auto"/>
            <w:right w:val="none" w:sz="0" w:space="0" w:color="auto"/>
          </w:divBdr>
          <w:divsChild>
            <w:div w:id="802037660">
              <w:marLeft w:val="0"/>
              <w:marRight w:val="0"/>
              <w:marTop w:val="0"/>
              <w:marBottom w:val="0"/>
              <w:divBdr>
                <w:top w:val="none" w:sz="0" w:space="0" w:color="auto"/>
                <w:left w:val="none" w:sz="0" w:space="0" w:color="auto"/>
                <w:bottom w:val="none" w:sz="0" w:space="0" w:color="auto"/>
                <w:right w:val="none" w:sz="0" w:space="0" w:color="auto"/>
              </w:divBdr>
            </w:div>
          </w:divsChild>
        </w:div>
        <w:div w:id="612519033">
          <w:marLeft w:val="0"/>
          <w:marRight w:val="0"/>
          <w:marTop w:val="0"/>
          <w:marBottom w:val="0"/>
          <w:divBdr>
            <w:top w:val="none" w:sz="0" w:space="0" w:color="auto"/>
            <w:left w:val="none" w:sz="0" w:space="0" w:color="auto"/>
            <w:bottom w:val="none" w:sz="0" w:space="0" w:color="auto"/>
            <w:right w:val="none" w:sz="0" w:space="0" w:color="auto"/>
          </w:divBdr>
          <w:divsChild>
            <w:div w:id="2098944144">
              <w:marLeft w:val="0"/>
              <w:marRight w:val="0"/>
              <w:marTop w:val="0"/>
              <w:marBottom w:val="0"/>
              <w:divBdr>
                <w:top w:val="none" w:sz="0" w:space="0" w:color="auto"/>
                <w:left w:val="none" w:sz="0" w:space="0" w:color="auto"/>
                <w:bottom w:val="none" w:sz="0" w:space="0" w:color="auto"/>
                <w:right w:val="none" w:sz="0" w:space="0" w:color="auto"/>
              </w:divBdr>
            </w:div>
          </w:divsChild>
        </w:div>
        <w:div w:id="710544516">
          <w:marLeft w:val="0"/>
          <w:marRight w:val="0"/>
          <w:marTop w:val="0"/>
          <w:marBottom w:val="0"/>
          <w:divBdr>
            <w:top w:val="none" w:sz="0" w:space="0" w:color="auto"/>
            <w:left w:val="none" w:sz="0" w:space="0" w:color="auto"/>
            <w:bottom w:val="none" w:sz="0" w:space="0" w:color="auto"/>
            <w:right w:val="none" w:sz="0" w:space="0" w:color="auto"/>
          </w:divBdr>
          <w:divsChild>
            <w:div w:id="1368868430">
              <w:marLeft w:val="0"/>
              <w:marRight w:val="0"/>
              <w:marTop w:val="0"/>
              <w:marBottom w:val="0"/>
              <w:divBdr>
                <w:top w:val="none" w:sz="0" w:space="0" w:color="auto"/>
                <w:left w:val="none" w:sz="0" w:space="0" w:color="auto"/>
                <w:bottom w:val="none" w:sz="0" w:space="0" w:color="auto"/>
                <w:right w:val="none" w:sz="0" w:space="0" w:color="auto"/>
              </w:divBdr>
            </w:div>
          </w:divsChild>
        </w:div>
        <w:div w:id="719522846">
          <w:marLeft w:val="0"/>
          <w:marRight w:val="0"/>
          <w:marTop w:val="0"/>
          <w:marBottom w:val="0"/>
          <w:divBdr>
            <w:top w:val="none" w:sz="0" w:space="0" w:color="auto"/>
            <w:left w:val="none" w:sz="0" w:space="0" w:color="auto"/>
            <w:bottom w:val="none" w:sz="0" w:space="0" w:color="auto"/>
            <w:right w:val="none" w:sz="0" w:space="0" w:color="auto"/>
          </w:divBdr>
          <w:divsChild>
            <w:div w:id="1513835616">
              <w:marLeft w:val="0"/>
              <w:marRight w:val="0"/>
              <w:marTop w:val="0"/>
              <w:marBottom w:val="0"/>
              <w:divBdr>
                <w:top w:val="none" w:sz="0" w:space="0" w:color="auto"/>
                <w:left w:val="none" w:sz="0" w:space="0" w:color="auto"/>
                <w:bottom w:val="none" w:sz="0" w:space="0" w:color="auto"/>
                <w:right w:val="none" w:sz="0" w:space="0" w:color="auto"/>
              </w:divBdr>
            </w:div>
          </w:divsChild>
        </w:div>
        <w:div w:id="753207435">
          <w:marLeft w:val="0"/>
          <w:marRight w:val="0"/>
          <w:marTop w:val="0"/>
          <w:marBottom w:val="0"/>
          <w:divBdr>
            <w:top w:val="none" w:sz="0" w:space="0" w:color="auto"/>
            <w:left w:val="none" w:sz="0" w:space="0" w:color="auto"/>
            <w:bottom w:val="none" w:sz="0" w:space="0" w:color="auto"/>
            <w:right w:val="none" w:sz="0" w:space="0" w:color="auto"/>
          </w:divBdr>
          <w:divsChild>
            <w:div w:id="867566376">
              <w:marLeft w:val="0"/>
              <w:marRight w:val="0"/>
              <w:marTop w:val="0"/>
              <w:marBottom w:val="0"/>
              <w:divBdr>
                <w:top w:val="none" w:sz="0" w:space="0" w:color="auto"/>
                <w:left w:val="none" w:sz="0" w:space="0" w:color="auto"/>
                <w:bottom w:val="none" w:sz="0" w:space="0" w:color="auto"/>
                <w:right w:val="none" w:sz="0" w:space="0" w:color="auto"/>
              </w:divBdr>
            </w:div>
          </w:divsChild>
        </w:div>
        <w:div w:id="788936911">
          <w:marLeft w:val="0"/>
          <w:marRight w:val="0"/>
          <w:marTop w:val="0"/>
          <w:marBottom w:val="0"/>
          <w:divBdr>
            <w:top w:val="none" w:sz="0" w:space="0" w:color="auto"/>
            <w:left w:val="none" w:sz="0" w:space="0" w:color="auto"/>
            <w:bottom w:val="none" w:sz="0" w:space="0" w:color="auto"/>
            <w:right w:val="none" w:sz="0" w:space="0" w:color="auto"/>
          </w:divBdr>
          <w:divsChild>
            <w:div w:id="1769349761">
              <w:marLeft w:val="0"/>
              <w:marRight w:val="0"/>
              <w:marTop w:val="0"/>
              <w:marBottom w:val="0"/>
              <w:divBdr>
                <w:top w:val="none" w:sz="0" w:space="0" w:color="auto"/>
                <w:left w:val="none" w:sz="0" w:space="0" w:color="auto"/>
                <w:bottom w:val="none" w:sz="0" w:space="0" w:color="auto"/>
                <w:right w:val="none" w:sz="0" w:space="0" w:color="auto"/>
              </w:divBdr>
            </w:div>
          </w:divsChild>
        </w:div>
        <w:div w:id="822618881">
          <w:marLeft w:val="0"/>
          <w:marRight w:val="0"/>
          <w:marTop w:val="0"/>
          <w:marBottom w:val="0"/>
          <w:divBdr>
            <w:top w:val="none" w:sz="0" w:space="0" w:color="auto"/>
            <w:left w:val="none" w:sz="0" w:space="0" w:color="auto"/>
            <w:bottom w:val="none" w:sz="0" w:space="0" w:color="auto"/>
            <w:right w:val="none" w:sz="0" w:space="0" w:color="auto"/>
          </w:divBdr>
          <w:divsChild>
            <w:div w:id="391853131">
              <w:marLeft w:val="0"/>
              <w:marRight w:val="0"/>
              <w:marTop w:val="0"/>
              <w:marBottom w:val="0"/>
              <w:divBdr>
                <w:top w:val="none" w:sz="0" w:space="0" w:color="auto"/>
                <w:left w:val="none" w:sz="0" w:space="0" w:color="auto"/>
                <w:bottom w:val="none" w:sz="0" w:space="0" w:color="auto"/>
                <w:right w:val="none" w:sz="0" w:space="0" w:color="auto"/>
              </w:divBdr>
            </w:div>
          </w:divsChild>
        </w:div>
        <w:div w:id="860245377">
          <w:marLeft w:val="0"/>
          <w:marRight w:val="0"/>
          <w:marTop w:val="0"/>
          <w:marBottom w:val="0"/>
          <w:divBdr>
            <w:top w:val="none" w:sz="0" w:space="0" w:color="auto"/>
            <w:left w:val="none" w:sz="0" w:space="0" w:color="auto"/>
            <w:bottom w:val="none" w:sz="0" w:space="0" w:color="auto"/>
            <w:right w:val="none" w:sz="0" w:space="0" w:color="auto"/>
          </w:divBdr>
          <w:divsChild>
            <w:div w:id="460730349">
              <w:marLeft w:val="0"/>
              <w:marRight w:val="0"/>
              <w:marTop w:val="0"/>
              <w:marBottom w:val="0"/>
              <w:divBdr>
                <w:top w:val="none" w:sz="0" w:space="0" w:color="auto"/>
                <w:left w:val="none" w:sz="0" w:space="0" w:color="auto"/>
                <w:bottom w:val="none" w:sz="0" w:space="0" w:color="auto"/>
                <w:right w:val="none" w:sz="0" w:space="0" w:color="auto"/>
              </w:divBdr>
            </w:div>
          </w:divsChild>
        </w:div>
        <w:div w:id="903222111">
          <w:marLeft w:val="0"/>
          <w:marRight w:val="0"/>
          <w:marTop w:val="0"/>
          <w:marBottom w:val="0"/>
          <w:divBdr>
            <w:top w:val="none" w:sz="0" w:space="0" w:color="auto"/>
            <w:left w:val="none" w:sz="0" w:space="0" w:color="auto"/>
            <w:bottom w:val="none" w:sz="0" w:space="0" w:color="auto"/>
            <w:right w:val="none" w:sz="0" w:space="0" w:color="auto"/>
          </w:divBdr>
          <w:divsChild>
            <w:div w:id="1480071097">
              <w:marLeft w:val="0"/>
              <w:marRight w:val="0"/>
              <w:marTop w:val="0"/>
              <w:marBottom w:val="0"/>
              <w:divBdr>
                <w:top w:val="none" w:sz="0" w:space="0" w:color="auto"/>
                <w:left w:val="none" w:sz="0" w:space="0" w:color="auto"/>
                <w:bottom w:val="none" w:sz="0" w:space="0" w:color="auto"/>
                <w:right w:val="none" w:sz="0" w:space="0" w:color="auto"/>
              </w:divBdr>
            </w:div>
          </w:divsChild>
        </w:div>
        <w:div w:id="1039471019">
          <w:marLeft w:val="0"/>
          <w:marRight w:val="0"/>
          <w:marTop w:val="0"/>
          <w:marBottom w:val="0"/>
          <w:divBdr>
            <w:top w:val="none" w:sz="0" w:space="0" w:color="auto"/>
            <w:left w:val="none" w:sz="0" w:space="0" w:color="auto"/>
            <w:bottom w:val="none" w:sz="0" w:space="0" w:color="auto"/>
            <w:right w:val="none" w:sz="0" w:space="0" w:color="auto"/>
          </w:divBdr>
          <w:divsChild>
            <w:div w:id="285738216">
              <w:marLeft w:val="0"/>
              <w:marRight w:val="0"/>
              <w:marTop w:val="0"/>
              <w:marBottom w:val="0"/>
              <w:divBdr>
                <w:top w:val="none" w:sz="0" w:space="0" w:color="auto"/>
                <w:left w:val="none" w:sz="0" w:space="0" w:color="auto"/>
                <w:bottom w:val="none" w:sz="0" w:space="0" w:color="auto"/>
                <w:right w:val="none" w:sz="0" w:space="0" w:color="auto"/>
              </w:divBdr>
            </w:div>
          </w:divsChild>
        </w:div>
        <w:div w:id="1211765254">
          <w:marLeft w:val="0"/>
          <w:marRight w:val="0"/>
          <w:marTop w:val="0"/>
          <w:marBottom w:val="0"/>
          <w:divBdr>
            <w:top w:val="none" w:sz="0" w:space="0" w:color="auto"/>
            <w:left w:val="none" w:sz="0" w:space="0" w:color="auto"/>
            <w:bottom w:val="none" w:sz="0" w:space="0" w:color="auto"/>
            <w:right w:val="none" w:sz="0" w:space="0" w:color="auto"/>
          </w:divBdr>
          <w:divsChild>
            <w:div w:id="1675650057">
              <w:marLeft w:val="0"/>
              <w:marRight w:val="0"/>
              <w:marTop w:val="0"/>
              <w:marBottom w:val="0"/>
              <w:divBdr>
                <w:top w:val="none" w:sz="0" w:space="0" w:color="auto"/>
                <w:left w:val="none" w:sz="0" w:space="0" w:color="auto"/>
                <w:bottom w:val="none" w:sz="0" w:space="0" w:color="auto"/>
                <w:right w:val="none" w:sz="0" w:space="0" w:color="auto"/>
              </w:divBdr>
            </w:div>
          </w:divsChild>
        </w:div>
        <w:div w:id="1239946922">
          <w:marLeft w:val="0"/>
          <w:marRight w:val="0"/>
          <w:marTop w:val="0"/>
          <w:marBottom w:val="0"/>
          <w:divBdr>
            <w:top w:val="none" w:sz="0" w:space="0" w:color="auto"/>
            <w:left w:val="none" w:sz="0" w:space="0" w:color="auto"/>
            <w:bottom w:val="none" w:sz="0" w:space="0" w:color="auto"/>
            <w:right w:val="none" w:sz="0" w:space="0" w:color="auto"/>
          </w:divBdr>
          <w:divsChild>
            <w:div w:id="1151406844">
              <w:marLeft w:val="0"/>
              <w:marRight w:val="0"/>
              <w:marTop w:val="0"/>
              <w:marBottom w:val="0"/>
              <w:divBdr>
                <w:top w:val="none" w:sz="0" w:space="0" w:color="auto"/>
                <w:left w:val="none" w:sz="0" w:space="0" w:color="auto"/>
                <w:bottom w:val="none" w:sz="0" w:space="0" w:color="auto"/>
                <w:right w:val="none" w:sz="0" w:space="0" w:color="auto"/>
              </w:divBdr>
            </w:div>
          </w:divsChild>
        </w:div>
        <w:div w:id="1270888551">
          <w:marLeft w:val="0"/>
          <w:marRight w:val="0"/>
          <w:marTop w:val="0"/>
          <w:marBottom w:val="0"/>
          <w:divBdr>
            <w:top w:val="none" w:sz="0" w:space="0" w:color="auto"/>
            <w:left w:val="none" w:sz="0" w:space="0" w:color="auto"/>
            <w:bottom w:val="none" w:sz="0" w:space="0" w:color="auto"/>
            <w:right w:val="none" w:sz="0" w:space="0" w:color="auto"/>
          </w:divBdr>
          <w:divsChild>
            <w:div w:id="1420642414">
              <w:marLeft w:val="0"/>
              <w:marRight w:val="0"/>
              <w:marTop w:val="0"/>
              <w:marBottom w:val="0"/>
              <w:divBdr>
                <w:top w:val="none" w:sz="0" w:space="0" w:color="auto"/>
                <w:left w:val="none" w:sz="0" w:space="0" w:color="auto"/>
                <w:bottom w:val="none" w:sz="0" w:space="0" w:color="auto"/>
                <w:right w:val="none" w:sz="0" w:space="0" w:color="auto"/>
              </w:divBdr>
            </w:div>
          </w:divsChild>
        </w:div>
        <w:div w:id="1458526733">
          <w:marLeft w:val="0"/>
          <w:marRight w:val="0"/>
          <w:marTop w:val="0"/>
          <w:marBottom w:val="0"/>
          <w:divBdr>
            <w:top w:val="none" w:sz="0" w:space="0" w:color="auto"/>
            <w:left w:val="none" w:sz="0" w:space="0" w:color="auto"/>
            <w:bottom w:val="none" w:sz="0" w:space="0" w:color="auto"/>
            <w:right w:val="none" w:sz="0" w:space="0" w:color="auto"/>
          </w:divBdr>
          <w:divsChild>
            <w:div w:id="1671517426">
              <w:marLeft w:val="0"/>
              <w:marRight w:val="0"/>
              <w:marTop w:val="0"/>
              <w:marBottom w:val="0"/>
              <w:divBdr>
                <w:top w:val="none" w:sz="0" w:space="0" w:color="auto"/>
                <w:left w:val="none" w:sz="0" w:space="0" w:color="auto"/>
                <w:bottom w:val="none" w:sz="0" w:space="0" w:color="auto"/>
                <w:right w:val="none" w:sz="0" w:space="0" w:color="auto"/>
              </w:divBdr>
            </w:div>
            <w:div w:id="1874998308">
              <w:marLeft w:val="0"/>
              <w:marRight w:val="0"/>
              <w:marTop w:val="0"/>
              <w:marBottom w:val="0"/>
              <w:divBdr>
                <w:top w:val="none" w:sz="0" w:space="0" w:color="auto"/>
                <w:left w:val="none" w:sz="0" w:space="0" w:color="auto"/>
                <w:bottom w:val="none" w:sz="0" w:space="0" w:color="auto"/>
                <w:right w:val="none" w:sz="0" w:space="0" w:color="auto"/>
              </w:divBdr>
            </w:div>
          </w:divsChild>
        </w:div>
        <w:div w:id="1523012117">
          <w:marLeft w:val="0"/>
          <w:marRight w:val="0"/>
          <w:marTop w:val="0"/>
          <w:marBottom w:val="0"/>
          <w:divBdr>
            <w:top w:val="none" w:sz="0" w:space="0" w:color="auto"/>
            <w:left w:val="none" w:sz="0" w:space="0" w:color="auto"/>
            <w:bottom w:val="none" w:sz="0" w:space="0" w:color="auto"/>
            <w:right w:val="none" w:sz="0" w:space="0" w:color="auto"/>
          </w:divBdr>
          <w:divsChild>
            <w:div w:id="1923566623">
              <w:marLeft w:val="0"/>
              <w:marRight w:val="0"/>
              <w:marTop w:val="0"/>
              <w:marBottom w:val="0"/>
              <w:divBdr>
                <w:top w:val="none" w:sz="0" w:space="0" w:color="auto"/>
                <w:left w:val="none" w:sz="0" w:space="0" w:color="auto"/>
                <w:bottom w:val="none" w:sz="0" w:space="0" w:color="auto"/>
                <w:right w:val="none" w:sz="0" w:space="0" w:color="auto"/>
              </w:divBdr>
            </w:div>
          </w:divsChild>
        </w:div>
        <w:div w:id="1527476347">
          <w:marLeft w:val="0"/>
          <w:marRight w:val="0"/>
          <w:marTop w:val="0"/>
          <w:marBottom w:val="0"/>
          <w:divBdr>
            <w:top w:val="none" w:sz="0" w:space="0" w:color="auto"/>
            <w:left w:val="none" w:sz="0" w:space="0" w:color="auto"/>
            <w:bottom w:val="none" w:sz="0" w:space="0" w:color="auto"/>
            <w:right w:val="none" w:sz="0" w:space="0" w:color="auto"/>
          </w:divBdr>
          <w:divsChild>
            <w:div w:id="1149325513">
              <w:marLeft w:val="0"/>
              <w:marRight w:val="0"/>
              <w:marTop w:val="0"/>
              <w:marBottom w:val="0"/>
              <w:divBdr>
                <w:top w:val="none" w:sz="0" w:space="0" w:color="auto"/>
                <w:left w:val="none" w:sz="0" w:space="0" w:color="auto"/>
                <w:bottom w:val="none" w:sz="0" w:space="0" w:color="auto"/>
                <w:right w:val="none" w:sz="0" w:space="0" w:color="auto"/>
              </w:divBdr>
            </w:div>
            <w:div w:id="1449422665">
              <w:marLeft w:val="0"/>
              <w:marRight w:val="0"/>
              <w:marTop w:val="0"/>
              <w:marBottom w:val="0"/>
              <w:divBdr>
                <w:top w:val="none" w:sz="0" w:space="0" w:color="auto"/>
                <w:left w:val="none" w:sz="0" w:space="0" w:color="auto"/>
                <w:bottom w:val="none" w:sz="0" w:space="0" w:color="auto"/>
                <w:right w:val="none" w:sz="0" w:space="0" w:color="auto"/>
              </w:divBdr>
            </w:div>
            <w:div w:id="1809473941">
              <w:marLeft w:val="0"/>
              <w:marRight w:val="0"/>
              <w:marTop w:val="0"/>
              <w:marBottom w:val="0"/>
              <w:divBdr>
                <w:top w:val="none" w:sz="0" w:space="0" w:color="auto"/>
                <w:left w:val="none" w:sz="0" w:space="0" w:color="auto"/>
                <w:bottom w:val="none" w:sz="0" w:space="0" w:color="auto"/>
                <w:right w:val="none" w:sz="0" w:space="0" w:color="auto"/>
              </w:divBdr>
            </w:div>
          </w:divsChild>
        </w:div>
        <w:div w:id="1579436272">
          <w:marLeft w:val="0"/>
          <w:marRight w:val="0"/>
          <w:marTop w:val="0"/>
          <w:marBottom w:val="0"/>
          <w:divBdr>
            <w:top w:val="none" w:sz="0" w:space="0" w:color="auto"/>
            <w:left w:val="none" w:sz="0" w:space="0" w:color="auto"/>
            <w:bottom w:val="none" w:sz="0" w:space="0" w:color="auto"/>
            <w:right w:val="none" w:sz="0" w:space="0" w:color="auto"/>
          </w:divBdr>
          <w:divsChild>
            <w:div w:id="1436899637">
              <w:marLeft w:val="0"/>
              <w:marRight w:val="0"/>
              <w:marTop w:val="0"/>
              <w:marBottom w:val="0"/>
              <w:divBdr>
                <w:top w:val="none" w:sz="0" w:space="0" w:color="auto"/>
                <w:left w:val="none" w:sz="0" w:space="0" w:color="auto"/>
                <w:bottom w:val="none" w:sz="0" w:space="0" w:color="auto"/>
                <w:right w:val="none" w:sz="0" w:space="0" w:color="auto"/>
              </w:divBdr>
            </w:div>
          </w:divsChild>
        </w:div>
        <w:div w:id="1784954543">
          <w:marLeft w:val="0"/>
          <w:marRight w:val="0"/>
          <w:marTop w:val="0"/>
          <w:marBottom w:val="0"/>
          <w:divBdr>
            <w:top w:val="none" w:sz="0" w:space="0" w:color="auto"/>
            <w:left w:val="none" w:sz="0" w:space="0" w:color="auto"/>
            <w:bottom w:val="none" w:sz="0" w:space="0" w:color="auto"/>
            <w:right w:val="none" w:sz="0" w:space="0" w:color="auto"/>
          </w:divBdr>
          <w:divsChild>
            <w:div w:id="1030959911">
              <w:marLeft w:val="0"/>
              <w:marRight w:val="0"/>
              <w:marTop w:val="0"/>
              <w:marBottom w:val="0"/>
              <w:divBdr>
                <w:top w:val="none" w:sz="0" w:space="0" w:color="auto"/>
                <w:left w:val="none" w:sz="0" w:space="0" w:color="auto"/>
                <w:bottom w:val="none" w:sz="0" w:space="0" w:color="auto"/>
                <w:right w:val="none" w:sz="0" w:space="0" w:color="auto"/>
              </w:divBdr>
            </w:div>
          </w:divsChild>
        </w:div>
        <w:div w:id="1806704770">
          <w:marLeft w:val="0"/>
          <w:marRight w:val="0"/>
          <w:marTop w:val="0"/>
          <w:marBottom w:val="0"/>
          <w:divBdr>
            <w:top w:val="none" w:sz="0" w:space="0" w:color="auto"/>
            <w:left w:val="none" w:sz="0" w:space="0" w:color="auto"/>
            <w:bottom w:val="none" w:sz="0" w:space="0" w:color="auto"/>
            <w:right w:val="none" w:sz="0" w:space="0" w:color="auto"/>
          </w:divBdr>
          <w:divsChild>
            <w:div w:id="1299996568">
              <w:marLeft w:val="0"/>
              <w:marRight w:val="0"/>
              <w:marTop w:val="0"/>
              <w:marBottom w:val="0"/>
              <w:divBdr>
                <w:top w:val="none" w:sz="0" w:space="0" w:color="auto"/>
                <w:left w:val="none" w:sz="0" w:space="0" w:color="auto"/>
                <w:bottom w:val="none" w:sz="0" w:space="0" w:color="auto"/>
                <w:right w:val="none" w:sz="0" w:space="0" w:color="auto"/>
              </w:divBdr>
            </w:div>
          </w:divsChild>
        </w:div>
        <w:div w:id="1821577393">
          <w:marLeft w:val="0"/>
          <w:marRight w:val="0"/>
          <w:marTop w:val="0"/>
          <w:marBottom w:val="0"/>
          <w:divBdr>
            <w:top w:val="none" w:sz="0" w:space="0" w:color="auto"/>
            <w:left w:val="none" w:sz="0" w:space="0" w:color="auto"/>
            <w:bottom w:val="none" w:sz="0" w:space="0" w:color="auto"/>
            <w:right w:val="none" w:sz="0" w:space="0" w:color="auto"/>
          </w:divBdr>
          <w:divsChild>
            <w:div w:id="1386873819">
              <w:marLeft w:val="0"/>
              <w:marRight w:val="0"/>
              <w:marTop w:val="0"/>
              <w:marBottom w:val="0"/>
              <w:divBdr>
                <w:top w:val="none" w:sz="0" w:space="0" w:color="auto"/>
                <w:left w:val="none" w:sz="0" w:space="0" w:color="auto"/>
                <w:bottom w:val="none" w:sz="0" w:space="0" w:color="auto"/>
                <w:right w:val="none" w:sz="0" w:space="0" w:color="auto"/>
              </w:divBdr>
            </w:div>
          </w:divsChild>
        </w:div>
        <w:div w:id="1921401958">
          <w:marLeft w:val="0"/>
          <w:marRight w:val="0"/>
          <w:marTop w:val="0"/>
          <w:marBottom w:val="0"/>
          <w:divBdr>
            <w:top w:val="none" w:sz="0" w:space="0" w:color="auto"/>
            <w:left w:val="none" w:sz="0" w:space="0" w:color="auto"/>
            <w:bottom w:val="none" w:sz="0" w:space="0" w:color="auto"/>
            <w:right w:val="none" w:sz="0" w:space="0" w:color="auto"/>
          </w:divBdr>
          <w:divsChild>
            <w:div w:id="1350326545">
              <w:marLeft w:val="0"/>
              <w:marRight w:val="0"/>
              <w:marTop w:val="0"/>
              <w:marBottom w:val="0"/>
              <w:divBdr>
                <w:top w:val="none" w:sz="0" w:space="0" w:color="auto"/>
                <w:left w:val="none" w:sz="0" w:space="0" w:color="auto"/>
                <w:bottom w:val="none" w:sz="0" w:space="0" w:color="auto"/>
                <w:right w:val="none" w:sz="0" w:space="0" w:color="auto"/>
              </w:divBdr>
            </w:div>
          </w:divsChild>
        </w:div>
        <w:div w:id="1994409097">
          <w:marLeft w:val="0"/>
          <w:marRight w:val="0"/>
          <w:marTop w:val="0"/>
          <w:marBottom w:val="0"/>
          <w:divBdr>
            <w:top w:val="none" w:sz="0" w:space="0" w:color="auto"/>
            <w:left w:val="none" w:sz="0" w:space="0" w:color="auto"/>
            <w:bottom w:val="none" w:sz="0" w:space="0" w:color="auto"/>
            <w:right w:val="none" w:sz="0" w:space="0" w:color="auto"/>
          </w:divBdr>
          <w:divsChild>
            <w:div w:id="1507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2908">
      <w:bodyDiv w:val="1"/>
      <w:marLeft w:val="0"/>
      <w:marRight w:val="0"/>
      <w:marTop w:val="0"/>
      <w:marBottom w:val="0"/>
      <w:divBdr>
        <w:top w:val="none" w:sz="0" w:space="0" w:color="auto"/>
        <w:left w:val="none" w:sz="0" w:space="0" w:color="auto"/>
        <w:bottom w:val="none" w:sz="0" w:space="0" w:color="auto"/>
        <w:right w:val="none" w:sz="0" w:space="0" w:color="auto"/>
      </w:divBdr>
      <w:divsChild>
        <w:div w:id="17051850">
          <w:marLeft w:val="0"/>
          <w:marRight w:val="0"/>
          <w:marTop w:val="0"/>
          <w:marBottom w:val="0"/>
          <w:divBdr>
            <w:top w:val="none" w:sz="0" w:space="0" w:color="auto"/>
            <w:left w:val="none" w:sz="0" w:space="0" w:color="auto"/>
            <w:bottom w:val="none" w:sz="0" w:space="0" w:color="auto"/>
            <w:right w:val="none" w:sz="0" w:space="0" w:color="auto"/>
          </w:divBdr>
        </w:div>
        <w:div w:id="83427757">
          <w:marLeft w:val="0"/>
          <w:marRight w:val="0"/>
          <w:marTop w:val="0"/>
          <w:marBottom w:val="0"/>
          <w:divBdr>
            <w:top w:val="none" w:sz="0" w:space="0" w:color="auto"/>
            <w:left w:val="none" w:sz="0" w:space="0" w:color="auto"/>
            <w:bottom w:val="none" w:sz="0" w:space="0" w:color="auto"/>
            <w:right w:val="none" w:sz="0" w:space="0" w:color="auto"/>
          </w:divBdr>
        </w:div>
        <w:div w:id="115608370">
          <w:marLeft w:val="0"/>
          <w:marRight w:val="0"/>
          <w:marTop w:val="0"/>
          <w:marBottom w:val="0"/>
          <w:divBdr>
            <w:top w:val="none" w:sz="0" w:space="0" w:color="auto"/>
            <w:left w:val="none" w:sz="0" w:space="0" w:color="auto"/>
            <w:bottom w:val="none" w:sz="0" w:space="0" w:color="auto"/>
            <w:right w:val="none" w:sz="0" w:space="0" w:color="auto"/>
          </w:divBdr>
        </w:div>
        <w:div w:id="260917739">
          <w:marLeft w:val="0"/>
          <w:marRight w:val="0"/>
          <w:marTop w:val="0"/>
          <w:marBottom w:val="0"/>
          <w:divBdr>
            <w:top w:val="none" w:sz="0" w:space="0" w:color="auto"/>
            <w:left w:val="none" w:sz="0" w:space="0" w:color="auto"/>
            <w:bottom w:val="none" w:sz="0" w:space="0" w:color="auto"/>
            <w:right w:val="none" w:sz="0" w:space="0" w:color="auto"/>
          </w:divBdr>
          <w:divsChild>
            <w:div w:id="1560163856">
              <w:marLeft w:val="-75"/>
              <w:marRight w:val="0"/>
              <w:marTop w:val="30"/>
              <w:marBottom w:val="30"/>
              <w:divBdr>
                <w:top w:val="none" w:sz="0" w:space="0" w:color="auto"/>
                <w:left w:val="none" w:sz="0" w:space="0" w:color="auto"/>
                <w:bottom w:val="none" w:sz="0" w:space="0" w:color="auto"/>
                <w:right w:val="none" w:sz="0" w:space="0" w:color="auto"/>
              </w:divBdr>
              <w:divsChild>
                <w:div w:id="9183376">
                  <w:marLeft w:val="0"/>
                  <w:marRight w:val="0"/>
                  <w:marTop w:val="0"/>
                  <w:marBottom w:val="0"/>
                  <w:divBdr>
                    <w:top w:val="none" w:sz="0" w:space="0" w:color="auto"/>
                    <w:left w:val="none" w:sz="0" w:space="0" w:color="auto"/>
                    <w:bottom w:val="none" w:sz="0" w:space="0" w:color="auto"/>
                    <w:right w:val="none" w:sz="0" w:space="0" w:color="auto"/>
                  </w:divBdr>
                  <w:divsChild>
                    <w:div w:id="1451240858">
                      <w:marLeft w:val="0"/>
                      <w:marRight w:val="0"/>
                      <w:marTop w:val="0"/>
                      <w:marBottom w:val="0"/>
                      <w:divBdr>
                        <w:top w:val="none" w:sz="0" w:space="0" w:color="auto"/>
                        <w:left w:val="none" w:sz="0" w:space="0" w:color="auto"/>
                        <w:bottom w:val="none" w:sz="0" w:space="0" w:color="auto"/>
                        <w:right w:val="none" w:sz="0" w:space="0" w:color="auto"/>
                      </w:divBdr>
                    </w:div>
                  </w:divsChild>
                </w:div>
                <w:div w:id="126092441">
                  <w:marLeft w:val="0"/>
                  <w:marRight w:val="0"/>
                  <w:marTop w:val="0"/>
                  <w:marBottom w:val="0"/>
                  <w:divBdr>
                    <w:top w:val="none" w:sz="0" w:space="0" w:color="auto"/>
                    <w:left w:val="none" w:sz="0" w:space="0" w:color="auto"/>
                    <w:bottom w:val="none" w:sz="0" w:space="0" w:color="auto"/>
                    <w:right w:val="none" w:sz="0" w:space="0" w:color="auto"/>
                  </w:divBdr>
                  <w:divsChild>
                    <w:div w:id="1288005436">
                      <w:marLeft w:val="0"/>
                      <w:marRight w:val="0"/>
                      <w:marTop w:val="0"/>
                      <w:marBottom w:val="0"/>
                      <w:divBdr>
                        <w:top w:val="none" w:sz="0" w:space="0" w:color="auto"/>
                        <w:left w:val="none" w:sz="0" w:space="0" w:color="auto"/>
                        <w:bottom w:val="none" w:sz="0" w:space="0" w:color="auto"/>
                        <w:right w:val="none" w:sz="0" w:space="0" w:color="auto"/>
                      </w:divBdr>
                    </w:div>
                  </w:divsChild>
                </w:div>
                <w:div w:id="348070236">
                  <w:marLeft w:val="0"/>
                  <w:marRight w:val="0"/>
                  <w:marTop w:val="0"/>
                  <w:marBottom w:val="0"/>
                  <w:divBdr>
                    <w:top w:val="none" w:sz="0" w:space="0" w:color="auto"/>
                    <w:left w:val="none" w:sz="0" w:space="0" w:color="auto"/>
                    <w:bottom w:val="none" w:sz="0" w:space="0" w:color="auto"/>
                    <w:right w:val="none" w:sz="0" w:space="0" w:color="auto"/>
                  </w:divBdr>
                  <w:divsChild>
                    <w:div w:id="1339163265">
                      <w:marLeft w:val="0"/>
                      <w:marRight w:val="0"/>
                      <w:marTop w:val="0"/>
                      <w:marBottom w:val="0"/>
                      <w:divBdr>
                        <w:top w:val="none" w:sz="0" w:space="0" w:color="auto"/>
                        <w:left w:val="none" w:sz="0" w:space="0" w:color="auto"/>
                        <w:bottom w:val="none" w:sz="0" w:space="0" w:color="auto"/>
                        <w:right w:val="none" w:sz="0" w:space="0" w:color="auto"/>
                      </w:divBdr>
                    </w:div>
                  </w:divsChild>
                </w:div>
                <w:div w:id="471099635">
                  <w:marLeft w:val="0"/>
                  <w:marRight w:val="0"/>
                  <w:marTop w:val="0"/>
                  <w:marBottom w:val="0"/>
                  <w:divBdr>
                    <w:top w:val="none" w:sz="0" w:space="0" w:color="auto"/>
                    <w:left w:val="none" w:sz="0" w:space="0" w:color="auto"/>
                    <w:bottom w:val="none" w:sz="0" w:space="0" w:color="auto"/>
                    <w:right w:val="none" w:sz="0" w:space="0" w:color="auto"/>
                  </w:divBdr>
                  <w:divsChild>
                    <w:div w:id="943225865">
                      <w:marLeft w:val="0"/>
                      <w:marRight w:val="0"/>
                      <w:marTop w:val="0"/>
                      <w:marBottom w:val="0"/>
                      <w:divBdr>
                        <w:top w:val="none" w:sz="0" w:space="0" w:color="auto"/>
                        <w:left w:val="none" w:sz="0" w:space="0" w:color="auto"/>
                        <w:bottom w:val="none" w:sz="0" w:space="0" w:color="auto"/>
                        <w:right w:val="none" w:sz="0" w:space="0" w:color="auto"/>
                      </w:divBdr>
                    </w:div>
                  </w:divsChild>
                </w:div>
                <w:div w:id="623778042">
                  <w:marLeft w:val="0"/>
                  <w:marRight w:val="0"/>
                  <w:marTop w:val="0"/>
                  <w:marBottom w:val="0"/>
                  <w:divBdr>
                    <w:top w:val="none" w:sz="0" w:space="0" w:color="auto"/>
                    <w:left w:val="none" w:sz="0" w:space="0" w:color="auto"/>
                    <w:bottom w:val="none" w:sz="0" w:space="0" w:color="auto"/>
                    <w:right w:val="none" w:sz="0" w:space="0" w:color="auto"/>
                  </w:divBdr>
                  <w:divsChild>
                    <w:div w:id="2085225526">
                      <w:marLeft w:val="0"/>
                      <w:marRight w:val="0"/>
                      <w:marTop w:val="0"/>
                      <w:marBottom w:val="0"/>
                      <w:divBdr>
                        <w:top w:val="none" w:sz="0" w:space="0" w:color="auto"/>
                        <w:left w:val="none" w:sz="0" w:space="0" w:color="auto"/>
                        <w:bottom w:val="none" w:sz="0" w:space="0" w:color="auto"/>
                        <w:right w:val="none" w:sz="0" w:space="0" w:color="auto"/>
                      </w:divBdr>
                    </w:div>
                  </w:divsChild>
                </w:div>
                <w:div w:id="657533853">
                  <w:marLeft w:val="0"/>
                  <w:marRight w:val="0"/>
                  <w:marTop w:val="0"/>
                  <w:marBottom w:val="0"/>
                  <w:divBdr>
                    <w:top w:val="none" w:sz="0" w:space="0" w:color="auto"/>
                    <w:left w:val="none" w:sz="0" w:space="0" w:color="auto"/>
                    <w:bottom w:val="none" w:sz="0" w:space="0" w:color="auto"/>
                    <w:right w:val="none" w:sz="0" w:space="0" w:color="auto"/>
                  </w:divBdr>
                  <w:divsChild>
                    <w:div w:id="1908608429">
                      <w:marLeft w:val="0"/>
                      <w:marRight w:val="0"/>
                      <w:marTop w:val="0"/>
                      <w:marBottom w:val="0"/>
                      <w:divBdr>
                        <w:top w:val="none" w:sz="0" w:space="0" w:color="auto"/>
                        <w:left w:val="none" w:sz="0" w:space="0" w:color="auto"/>
                        <w:bottom w:val="none" w:sz="0" w:space="0" w:color="auto"/>
                        <w:right w:val="none" w:sz="0" w:space="0" w:color="auto"/>
                      </w:divBdr>
                    </w:div>
                  </w:divsChild>
                </w:div>
                <w:div w:id="788859949">
                  <w:marLeft w:val="0"/>
                  <w:marRight w:val="0"/>
                  <w:marTop w:val="0"/>
                  <w:marBottom w:val="0"/>
                  <w:divBdr>
                    <w:top w:val="none" w:sz="0" w:space="0" w:color="auto"/>
                    <w:left w:val="none" w:sz="0" w:space="0" w:color="auto"/>
                    <w:bottom w:val="none" w:sz="0" w:space="0" w:color="auto"/>
                    <w:right w:val="none" w:sz="0" w:space="0" w:color="auto"/>
                  </w:divBdr>
                  <w:divsChild>
                    <w:div w:id="284042801">
                      <w:marLeft w:val="0"/>
                      <w:marRight w:val="0"/>
                      <w:marTop w:val="0"/>
                      <w:marBottom w:val="0"/>
                      <w:divBdr>
                        <w:top w:val="none" w:sz="0" w:space="0" w:color="auto"/>
                        <w:left w:val="none" w:sz="0" w:space="0" w:color="auto"/>
                        <w:bottom w:val="none" w:sz="0" w:space="0" w:color="auto"/>
                        <w:right w:val="none" w:sz="0" w:space="0" w:color="auto"/>
                      </w:divBdr>
                    </w:div>
                  </w:divsChild>
                </w:div>
                <w:div w:id="922690289">
                  <w:marLeft w:val="0"/>
                  <w:marRight w:val="0"/>
                  <w:marTop w:val="0"/>
                  <w:marBottom w:val="0"/>
                  <w:divBdr>
                    <w:top w:val="none" w:sz="0" w:space="0" w:color="auto"/>
                    <w:left w:val="none" w:sz="0" w:space="0" w:color="auto"/>
                    <w:bottom w:val="none" w:sz="0" w:space="0" w:color="auto"/>
                    <w:right w:val="none" w:sz="0" w:space="0" w:color="auto"/>
                  </w:divBdr>
                  <w:divsChild>
                    <w:div w:id="997921865">
                      <w:marLeft w:val="0"/>
                      <w:marRight w:val="0"/>
                      <w:marTop w:val="0"/>
                      <w:marBottom w:val="0"/>
                      <w:divBdr>
                        <w:top w:val="none" w:sz="0" w:space="0" w:color="auto"/>
                        <w:left w:val="none" w:sz="0" w:space="0" w:color="auto"/>
                        <w:bottom w:val="none" w:sz="0" w:space="0" w:color="auto"/>
                        <w:right w:val="none" w:sz="0" w:space="0" w:color="auto"/>
                      </w:divBdr>
                    </w:div>
                  </w:divsChild>
                </w:div>
                <w:div w:id="1010067922">
                  <w:marLeft w:val="0"/>
                  <w:marRight w:val="0"/>
                  <w:marTop w:val="0"/>
                  <w:marBottom w:val="0"/>
                  <w:divBdr>
                    <w:top w:val="none" w:sz="0" w:space="0" w:color="auto"/>
                    <w:left w:val="none" w:sz="0" w:space="0" w:color="auto"/>
                    <w:bottom w:val="none" w:sz="0" w:space="0" w:color="auto"/>
                    <w:right w:val="none" w:sz="0" w:space="0" w:color="auto"/>
                  </w:divBdr>
                  <w:divsChild>
                    <w:div w:id="1019086022">
                      <w:marLeft w:val="0"/>
                      <w:marRight w:val="0"/>
                      <w:marTop w:val="0"/>
                      <w:marBottom w:val="0"/>
                      <w:divBdr>
                        <w:top w:val="none" w:sz="0" w:space="0" w:color="auto"/>
                        <w:left w:val="none" w:sz="0" w:space="0" w:color="auto"/>
                        <w:bottom w:val="none" w:sz="0" w:space="0" w:color="auto"/>
                        <w:right w:val="none" w:sz="0" w:space="0" w:color="auto"/>
                      </w:divBdr>
                    </w:div>
                  </w:divsChild>
                </w:div>
                <w:div w:id="1111053754">
                  <w:marLeft w:val="0"/>
                  <w:marRight w:val="0"/>
                  <w:marTop w:val="0"/>
                  <w:marBottom w:val="0"/>
                  <w:divBdr>
                    <w:top w:val="none" w:sz="0" w:space="0" w:color="auto"/>
                    <w:left w:val="none" w:sz="0" w:space="0" w:color="auto"/>
                    <w:bottom w:val="none" w:sz="0" w:space="0" w:color="auto"/>
                    <w:right w:val="none" w:sz="0" w:space="0" w:color="auto"/>
                  </w:divBdr>
                  <w:divsChild>
                    <w:div w:id="1940024072">
                      <w:marLeft w:val="0"/>
                      <w:marRight w:val="0"/>
                      <w:marTop w:val="0"/>
                      <w:marBottom w:val="0"/>
                      <w:divBdr>
                        <w:top w:val="none" w:sz="0" w:space="0" w:color="auto"/>
                        <w:left w:val="none" w:sz="0" w:space="0" w:color="auto"/>
                        <w:bottom w:val="none" w:sz="0" w:space="0" w:color="auto"/>
                        <w:right w:val="none" w:sz="0" w:space="0" w:color="auto"/>
                      </w:divBdr>
                    </w:div>
                  </w:divsChild>
                </w:div>
                <w:div w:id="1141076647">
                  <w:marLeft w:val="0"/>
                  <w:marRight w:val="0"/>
                  <w:marTop w:val="0"/>
                  <w:marBottom w:val="0"/>
                  <w:divBdr>
                    <w:top w:val="none" w:sz="0" w:space="0" w:color="auto"/>
                    <w:left w:val="none" w:sz="0" w:space="0" w:color="auto"/>
                    <w:bottom w:val="none" w:sz="0" w:space="0" w:color="auto"/>
                    <w:right w:val="none" w:sz="0" w:space="0" w:color="auto"/>
                  </w:divBdr>
                  <w:divsChild>
                    <w:div w:id="843012037">
                      <w:marLeft w:val="0"/>
                      <w:marRight w:val="0"/>
                      <w:marTop w:val="0"/>
                      <w:marBottom w:val="0"/>
                      <w:divBdr>
                        <w:top w:val="none" w:sz="0" w:space="0" w:color="auto"/>
                        <w:left w:val="none" w:sz="0" w:space="0" w:color="auto"/>
                        <w:bottom w:val="none" w:sz="0" w:space="0" w:color="auto"/>
                        <w:right w:val="none" w:sz="0" w:space="0" w:color="auto"/>
                      </w:divBdr>
                    </w:div>
                  </w:divsChild>
                </w:div>
                <w:div w:id="1326006896">
                  <w:marLeft w:val="0"/>
                  <w:marRight w:val="0"/>
                  <w:marTop w:val="0"/>
                  <w:marBottom w:val="0"/>
                  <w:divBdr>
                    <w:top w:val="none" w:sz="0" w:space="0" w:color="auto"/>
                    <w:left w:val="none" w:sz="0" w:space="0" w:color="auto"/>
                    <w:bottom w:val="none" w:sz="0" w:space="0" w:color="auto"/>
                    <w:right w:val="none" w:sz="0" w:space="0" w:color="auto"/>
                  </w:divBdr>
                  <w:divsChild>
                    <w:div w:id="1704204882">
                      <w:marLeft w:val="0"/>
                      <w:marRight w:val="0"/>
                      <w:marTop w:val="0"/>
                      <w:marBottom w:val="0"/>
                      <w:divBdr>
                        <w:top w:val="none" w:sz="0" w:space="0" w:color="auto"/>
                        <w:left w:val="none" w:sz="0" w:space="0" w:color="auto"/>
                        <w:bottom w:val="none" w:sz="0" w:space="0" w:color="auto"/>
                        <w:right w:val="none" w:sz="0" w:space="0" w:color="auto"/>
                      </w:divBdr>
                    </w:div>
                  </w:divsChild>
                </w:div>
                <w:div w:id="1882400684">
                  <w:marLeft w:val="0"/>
                  <w:marRight w:val="0"/>
                  <w:marTop w:val="0"/>
                  <w:marBottom w:val="0"/>
                  <w:divBdr>
                    <w:top w:val="none" w:sz="0" w:space="0" w:color="auto"/>
                    <w:left w:val="none" w:sz="0" w:space="0" w:color="auto"/>
                    <w:bottom w:val="none" w:sz="0" w:space="0" w:color="auto"/>
                    <w:right w:val="none" w:sz="0" w:space="0" w:color="auto"/>
                  </w:divBdr>
                  <w:divsChild>
                    <w:div w:id="1769815454">
                      <w:marLeft w:val="0"/>
                      <w:marRight w:val="0"/>
                      <w:marTop w:val="0"/>
                      <w:marBottom w:val="0"/>
                      <w:divBdr>
                        <w:top w:val="none" w:sz="0" w:space="0" w:color="auto"/>
                        <w:left w:val="none" w:sz="0" w:space="0" w:color="auto"/>
                        <w:bottom w:val="none" w:sz="0" w:space="0" w:color="auto"/>
                        <w:right w:val="none" w:sz="0" w:space="0" w:color="auto"/>
                      </w:divBdr>
                    </w:div>
                  </w:divsChild>
                </w:div>
                <w:div w:id="1909218910">
                  <w:marLeft w:val="0"/>
                  <w:marRight w:val="0"/>
                  <w:marTop w:val="0"/>
                  <w:marBottom w:val="0"/>
                  <w:divBdr>
                    <w:top w:val="none" w:sz="0" w:space="0" w:color="auto"/>
                    <w:left w:val="none" w:sz="0" w:space="0" w:color="auto"/>
                    <w:bottom w:val="none" w:sz="0" w:space="0" w:color="auto"/>
                    <w:right w:val="none" w:sz="0" w:space="0" w:color="auto"/>
                  </w:divBdr>
                  <w:divsChild>
                    <w:div w:id="367994245">
                      <w:marLeft w:val="0"/>
                      <w:marRight w:val="0"/>
                      <w:marTop w:val="0"/>
                      <w:marBottom w:val="0"/>
                      <w:divBdr>
                        <w:top w:val="none" w:sz="0" w:space="0" w:color="auto"/>
                        <w:left w:val="none" w:sz="0" w:space="0" w:color="auto"/>
                        <w:bottom w:val="none" w:sz="0" w:space="0" w:color="auto"/>
                        <w:right w:val="none" w:sz="0" w:space="0" w:color="auto"/>
                      </w:divBdr>
                    </w:div>
                  </w:divsChild>
                </w:div>
                <w:div w:id="2033142128">
                  <w:marLeft w:val="0"/>
                  <w:marRight w:val="0"/>
                  <w:marTop w:val="0"/>
                  <w:marBottom w:val="0"/>
                  <w:divBdr>
                    <w:top w:val="none" w:sz="0" w:space="0" w:color="auto"/>
                    <w:left w:val="none" w:sz="0" w:space="0" w:color="auto"/>
                    <w:bottom w:val="none" w:sz="0" w:space="0" w:color="auto"/>
                    <w:right w:val="none" w:sz="0" w:space="0" w:color="auto"/>
                  </w:divBdr>
                  <w:divsChild>
                    <w:div w:id="392198366">
                      <w:marLeft w:val="0"/>
                      <w:marRight w:val="0"/>
                      <w:marTop w:val="0"/>
                      <w:marBottom w:val="0"/>
                      <w:divBdr>
                        <w:top w:val="none" w:sz="0" w:space="0" w:color="auto"/>
                        <w:left w:val="none" w:sz="0" w:space="0" w:color="auto"/>
                        <w:bottom w:val="none" w:sz="0" w:space="0" w:color="auto"/>
                        <w:right w:val="none" w:sz="0" w:space="0" w:color="auto"/>
                      </w:divBdr>
                    </w:div>
                  </w:divsChild>
                </w:div>
                <w:div w:id="2139176477">
                  <w:marLeft w:val="0"/>
                  <w:marRight w:val="0"/>
                  <w:marTop w:val="0"/>
                  <w:marBottom w:val="0"/>
                  <w:divBdr>
                    <w:top w:val="none" w:sz="0" w:space="0" w:color="auto"/>
                    <w:left w:val="none" w:sz="0" w:space="0" w:color="auto"/>
                    <w:bottom w:val="none" w:sz="0" w:space="0" w:color="auto"/>
                    <w:right w:val="none" w:sz="0" w:space="0" w:color="auto"/>
                  </w:divBdr>
                  <w:divsChild>
                    <w:div w:id="1693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6486">
          <w:marLeft w:val="0"/>
          <w:marRight w:val="0"/>
          <w:marTop w:val="0"/>
          <w:marBottom w:val="0"/>
          <w:divBdr>
            <w:top w:val="none" w:sz="0" w:space="0" w:color="auto"/>
            <w:left w:val="none" w:sz="0" w:space="0" w:color="auto"/>
            <w:bottom w:val="none" w:sz="0" w:space="0" w:color="auto"/>
            <w:right w:val="none" w:sz="0" w:space="0" w:color="auto"/>
          </w:divBdr>
        </w:div>
        <w:div w:id="315037173">
          <w:marLeft w:val="0"/>
          <w:marRight w:val="0"/>
          <w:marTop w:val="0"/>
          <w:marBottom w:val="0"/>
          <w:divBdr>
            <w:top w:val="none" w:sz="0" w:space="0" w:color="auto"/>
            <w:left w:val="none" w:sz="0" w:space="0" w:color="auto"/>
            <w:bottom w:val="none" w:sz="0" w:space="0" w:color="auto"/>
            <w:right w:val="none" w:sz="0" w:space="0" w:color="auto"/>
          </w:divBdr>
        </w:div>
        <w:div w:id="427701889">
          <w:marLeft w:val="0"/>
          <w:marRight w:val="0"/>
          <w:marTop w:val="0"/>
          <w:marBottom w:val="0"/>
          <w:divBdr>
            <w:top w:val="none" w:sz="0" w:space="0" w:color="auto"/>
            <w:left w:val="none" w:sz="0" w:space="0" w:color="auto"/>
            <w:bottom w:val="none" w:sz="0" w:space="0" w:color="auto"/>
            <w:right w:val="none" w:sz="0" w:space="0" w:color="auto"/>
          </w:divBdr>
        </w:div>
        <w:div w:id="542443025">
          <w:marLeft w:val="0"/>
          <w:marRight w:val="0"/>
          <w:marTop w:val="0"/>
          <w:marBottom w:val="0"/>
          <w:divBdr>
            <w:top w:val="none" w:sz="0" w:space="0" w:color="auto"/>
            <w:left w:val="none" w:sz="0" w:space="0" w:color="auto"/>
            <w:bottom w:val="none" w:sz="0" w:space="0" w:color="auto"/>
            <w:right w:val="none" w:sz="0" w:space="0" w:color="auto"/>
          </w:divBdr>
        </w:div>
        <w:div w:id="600454443">
          <w:marLeft w:val="0"/>
          <w:marRight w:val="0"/>
          <w:marTop w:val="0"/>
          <w:marBottom w:val="0"/>
          <w:divBdr>
            <w:top w:val="none" w:sz="0" w:space="0" w:color="auto"/>
            <w:left w:val="none" w:sz="0" w:space="0" w:color="auto"/>
            <w:bottom w:val="none" w:sz="0" w:space="0" w:color="auto"/>
            <w:right w:val="none" w:sz="0" w:space="0" w:color="auto"/>
          </w:divBdr>
        </w:div>
        <w:div w:id="751586757">
          <w:marLeft w:val="0"/>
          <w:marRight w:val="0"/>
          <w:marTop w:val="0"/>
          <w:marBottom w:val="0"/>
          <w:divBdr>
            <w:top w:val="none" w:sz="0" w:space="0" w:color="auto"/>
            <w:left w:val="none" w:sz="0" w:space="0" w:color="auto"/>
            <w:bottom w:val="none" w:sz="0" w:space="0" w:color="auto"/>
            <w:right w:val="none" w:sz="0" w:space="0" w:color="auto"/>
          </w:divBdr>
        </w:div>
        <w:div w:id="757754047">
          <w:marLeft w:val="0"/>
          <w:marRight w:val="0"/>
          <w:marTop w:val="0"/>
          <w:marBottom w:val="0"/>
          <w:divBdr>
            <w:top w:val="none" w:sz="0" w:space="0" w:color="auto"/>
            <w:left w:val="none" w:sz="0" w:space="0" w:color="auto"/>
            <w:bottom w:val="none" w:sz="0" w:space="0" w:color="auto"/>
            <w:right w:val="none" w:sz="0" w:space="0" w:color="auto"/>
          </w:divBdr>
        </w:div>
        <w:div w:id="847595946">
          <w:marLeft w:val="0"/>
          <w:marRight w:val="0"/>
          <w:marTop w:val="0"/>
          <w:marBottom w:val="0"/>
          <w:divBdr>
            <w:top w:val="none" w:sz="0" w:space="0" w:color="auto"/>
            <w:left w:val="none" w:sz="0" w:space="0" w:color="auto"/>
            <w:bottom w:val="none" w:sz="0" w:space="0" w:color="auto"/>
            <w:right w:val="none" w:sz="0" w:space="0" w:color="auto"/>
          </w:divBdr>
          <w:divsChild>
            <w:div w:id="165560402">
              <w:marLeft w:val="0"/>
              <w:marRight w:val="0"/>
              <w:marTop w:val="0"/>
              <w:marBottom w:val="0"/>
              <w:divBdr>
                <w:top w:val="none" w:sz="0" w:space="0" w:color="auto"/>
                <w:left w:val="none" w:sz="0" w:space="0" w:color="auto"/>
                <w:bottom w:val="none" w:sz="0" w:space="0" w:color="auto"/>
                <w:right w:val="none" w:sz="0" w:space="0" w:color="auto"/>
              </w:divBdr>
            </w:div>
            <w:div w:id="411049753">
              <w:marLeft w:val="0"/>
              <w:marRight w:val="0"/>
              <w:marTop w:val="0"/>
              <w:marBottom w:val="0"/>
              <w:divBdr>
                <w:top w:val="none" w:sz="0" w:space="0" w:color="auto"/>
                <w:left w:val="none" w:sz="0" w:space="0" w:color="auto"/>
                <w:bottom w:val="none" w:sz="0" w:space="0" w:color="auto"/>
                <w:right w:val="none" w:sz="0" w:space="0" w:color="auto"/>
              </w:divBdr>
            </w:div>
            <w:div w:id="427623017">
              <w:marLeft w:val="0"/>
              <w:marRight w:val="0"/>
              <w:marTop w:val="0"/>
              <w:marBottom w:val="0"/>
              <w:divBdr>
                <w:top w:val="none" w:sz="0" w:space="0" w:color="auto"/>
                <w:left w:val="none" w:sz="0" w:space="0" w:color="auto"/>
                <w:bottom w:val="none" w:sz="0" w:space="0" w:color="auto"/>
                <w:right w:val="none" w:sz="0" w:space="0" w:color="auto"/>
              </w:divBdr>
            </w:div>
            <w:div w:id="515508054">
              <w:marLeft w:val="0"/>
              <w:marRight w:val="0"/>
              <w:marTop w:val="0"/>
              <w:marBottom w:val="0"/>
              <w:divBdr>
                <w:top w:val="none" w:sz="0" w:space="0" w:color="auto"/>
                <w:left w:val="none" w:sz="0" w:space="0" w:color="auto"/>
                <w:bottom w:val="none" w:sz="0" w:space="0" w:color="auto"/>
                <w:right w:val="none" w:sz="0" w:space="0" w:color="auto"/>
              </w:divBdr>
            </w:div>
            <w:div w:id="593828681">
              <w:marLeft w:val="0"/>
              <w:marRight w:val="0"/>
              <w:marTop w:val="0"/>
              <w:marBottom w:val="0"/>
              <w:divBdr>
                <w:top w:val="none" w:sz="0" w:space="0" w:color="auto"/>
                <w:left w:val="none" w:sz="0" w:space="0" w:color="auto"/>
                <w:bottom w:val="none" w:sz="0" w:space="0" w:color="auto"/>
                <w:right w:val="none" w:sz="0" w:space="0" w:color="auto"/>
              </w:divBdr>
            </w:div>
            <w:div w:id="796796913">
              <w:marLeft w:val="0"/>
              <w:marRight w:val="0"/>
              <w:marTop w:val="0"/>
              <w:marBottom w:val="0"/>
              <w:divBdr>
                <w:top w:val="none" w:sz="0" w:space="0" w:color="auto"/>
                <w:left w:val="none" w:sz="0" w:space="0" w:color="auto"/>
                <w:bottom w:val="none" w:sz="0" w:space="0" w:color="auto"/>
                <w:right w:val="none" w:sz="0" w:space="0" w:color="auto"/>
              </w:divBdr>
            </w:div>
            <w:div w:id="1130633466">
              <w:marLeft w:val="0"/>
              <w:marRight w:val="0"/>
              <w:marTop w:val="0"/>
              <w:marBottom w:val="0"/>
              <w:divBdr>
                <w:top w:val="none" w:sz="0" w:space="0" w:color="auto"/>
                <w:left w:val="none" w:sz="0" w:space="0" w:color="auto"/>
                <w:bottom w:val="none" w:sz="0" w:space="0" w:color="auto"/>
                <w:right w:val="none" w:sz="0" w:space="0" w:color="auto"/>
              </w:divBdr>
            </w:div>
            <w:div w:id="1340111550">
              <w:marLeft w:val="0"/>
              <w:marRight w:val="0"/>
              <w:marTop w:val="0"/>
              <w:marBottom w:val="0"/>
              <w:divBdr>
                <w:top w:val="none" w:sz="0" w:space="0" w:color="auto"/>
                <w:left w:val="none" w:sz="0" w:space="0" w:color="auto"/>
                <w:bottom w:val="none" w:sz="0" w:space="0" w:color="auto"/>
                <w:right w:val="none" w:sz="0" w:space="0" w:color="auto"/>
              </w:divBdr>
            </w:div>
            <w:div w:id="1481656258">
              <w:marLeft w:val="0"/>
              <w:marRight w:val="0"/>
              <w:marTop w:val="0"/>
              <w:marBottom w:val="0"/>
              <w:divBdr>
                <w:top w:val="none" w:sz="0" w:space="0" w:color="auto"/>
                <w:left w:val="none" w:sz="0" w:space="0" w:color="auto"/>
                <w:bottom w:val="none" w:sz="0" w:space="0" w:color="auto"/>
                <w:right w:val="none" w:sz="0" w:space="0" w:color="auto"/>
              </w:divBdr>
            </w:div>
            <w:div w:id="1518618202">
              <w:marLeft w:val="0"/>
              <w:marRight w:val="0"/>
              <w:marTop w:val="0"/>
              <w:marBottom w:val="0"/>
              <w:divBdr>
                <w:top w:val="none" w:sz="0" w:space="0" w:color="auto"/>
                <w:left w:val="none" w:sz="0" w:space="0" w:color="auto"/>
                <w:bottom w:val="none" w:sz="0" w:space="0" w:color="auto"/>
                <w:right w:val="none" w:sz="0" w:space="0" w:color="auto"/>
              </w:divBdr>
            </w:div>
            <w:div w:id="1532261977">
              <w:marLeft w:val="0"/>
              <w:marRight w:val="0"/>
              <w:marTop w:val="0"/>
              <w:marBottom w:val="0"/>
              <w:divBdr>
                <w:top w:val="none" w:sz="0" w:space="0" w:color="auto"/>
                <w:left w:val="none" w:sz="0" w:space="0" w:color="auto"/>
                <w:bottom w:val="none" w:sz="0" w:space="0" w:color="auto"/>
                <w:right w:val="none" w:sz="0" w:space="0" w:color="auto"/>
              </w:divBdr>
            </w:div>
            <w:div w:id="1604268614">
              <w:marLeft w:val="0"/>
              <w:marRight w:val="0"/>
              <w:marTop w:val="0"/>
              <w:marBottom w:val="0"/>
              <w:divBdr>
                <w:top w:val="none" w:sz="0" w:space="0" w:color="auto"/>
                <w:left w:val="none" w:sz="0" w:space="0" w:color="auto"/>
                <w:bottom w:val="none" w:sz="0" w:space="0" w:color="auto"/>
                <w:right w:val="none" w:sz="0" w:space="0" w:color="auto"/>
              </w:divBdr>
            </w:div>
            <w:div w:id="1608001254">
              <w:marLeft w:val="0"/>
              <w:marRight w:val="0"/>
              <w:marTop w:val="0"/>
              <w:marBottom w:val="0"/>
              <w:divBdr>
                <w:top w:val="none" w:sz="0" w:space="0" w:color="auto"/>
                <w:left w:val="none" w:sz="0" w:space="0" w:color="auto"/>
                <w:bottom w:val="none" w:sz="0" w:space="0" w:color="auto"/>
                <w:right w:val="none" w:sz="0" w:space="0" w:color="auto"/>
              </w:divBdr>
            </w:div>
            <w:div w:id="1785537572">
              <w:marLeft w:val="0"/>
              <w:marRight w:val="0"/>
              <w:marTop w:val="0"/>
              <w:marBottom w:val="0"/>
              <w:divBdr>
                <w:top w:val="none" w:sz="0" w:space="0" w:color="auto"/>
                <w:left w:val="none" w:sz="0" w:space="0" w:color="auto"/>
                <w:bottom w:val="none" w:sz="0" w:space="0" w:color="auto"/>
                <w:right w:val="none" w:sz="0" w:space="0" w:color="auto"/>
              </w:divBdr>
            </w:div>
            <w:div w:id="1919436726">
              <w:marLeft w:val="0"/>
              <w:marRight w:val="0"/>
              <w:marTop w:val="0"/>
              <w:marBottom w:val="0"/>
              <w:divBdr>
                <w:top w:val="none" w:sz="0" w:space="0" w:color="auto"/>
                <w:left w:val="none" w:sz="0" w:space="0" w:color="auto"/>
                <w:bottom w:val="none" w:sz="0" w:space="0" w:color="auto"/>
                <w:right w:val="none" w:sz="0" w:space="0" w:color="auto"/>
              </w:divBdr>
            </w:div>
            <w:div w:id="2012946846">
              <w:marLeft w:val="0"/>
              <w:marRight w:val="0"/>
              <w:marTop w:val="0"/>
              <w:marBottom w:val="0"/>
              <w:divBdr>
                <w:top w:val="none" w:sz="0" w:space="0" w:color="auto"/>
                <w:left w:val="none" w:sz="0" w:space="0" w:color="auto"/>
                <w:bottom w:val="none" w:sz="0" w:space="0" w:color="auto"/>
                <w:right w:val="none" w:sz="0" w:space="0" w:color="auto"/>
              </w:divBdr>
            </w:div>
            <w:div w:id="2013606466">
              <w:marLeft w:val="0"/>
              <w:marRight w:val="0"/>
              <w:marTop w:val="0"/>
              <w:marBottom w:val="0"/>
              <w:divBdr>
                <w:top w:val="none" w:sz="0" w:space="0" w:color="auto"/>
                <w:left w:val="none" w:sz="0" w:space="0" w:color="auto"/>
                <w:bottom w:val="none" w:sz="0" w:space="0" w:color="auto"/>
                <w:right w:val="none" w:sz="0" w:space="0" w:color="auto"/>
              </w:divBdr>
            </w:div>
            <w:div w:id="2083063694">
              <w:marLeft w:val="0"/>
              <w:marRight w:val="0"/>
              <w:marTop w:val="0"/>
              <w:marBottom w:val="0"/>
              <w:divBdr>
                <w:top w:val="none" w:sz="0" w:space="0" w:color="auto"/>
                <w:left w:val="none" w:sz="0" w:space="0" w:color="auto"/>
                <w:bottom w:val="none" w:sz="0" w:space="0" w:color="auto"/>
                <w:right w:val="none" w:sz="0" w:space="0" w:color="auto"/>
              </w:divBdr>
            </w:div>
            <w:div w:id="2136369129">
              <w:marLeft w:val="0"/>
              <w:marRight w:val="0"/>
              <w:marTop w:val="0"/>
              <w:marBottom w:val="0"/>
              <w:divBdr>
                <w:top w:val="none" w:sz="0" w:space="0" w:color="auto"/>
                <w:left w:val="none" w:sz="0" w:space="0" w:color="auto"/>
                <w:bottom w:val="none" w:sz="0" w:space="0" w:color="auto"/>
                <w:right w:val="none" w:sz="0" w:space="0" w:color="auto"/>
              </w:divBdr>
            </w:div>
            <w:div w:id="2141879945">
              <w:marLeft w:val="0"/>
              <w:marRight w:val="0"/>
              <w:marTop w:val="0"/>
              <w:marBottom w:val="0"/>
              <w:divBdr>
                <w:top w:val="none" w:sz="0" w:space="0" w:color="auto"/>
                <w:left w:val="none" w:sz="0" w:space="0" w:color="auto"/>
                <w:bottom w:val="none" w:sz="0" w:space="0" w:color="auto"/>
                <w:right w:val="none" w:sz="0" w:space="0" w:color="auto"/>
              </w:divBdr>
            </w:div>
          </w:divsChild>
        </w:div>
        <w:div w:id="1002391270">
          <w:marLeft w:val="0"/>
          <w:marRight w:val="0"/>
          <w:marTop w:val="0"/>
          <w:marBottom w:val="0"/>
          <w:divBdr>
            <w:top w:val="none" w:sz="0" w:space="0" w:color="auto"/>
            <w:left w:val="none" w:sz="0" w:space="0" w:color="auto"/>
            <w:bottom w:val="none" w:sz="0" w:space="0" w:color="auto"/>
            <w:right w:val="none" w:sz="0" w:space="0" w:color="auto"/>
          </w:divBdr>
        </w:div>
        <w:div w:id="1082607528">
          <w:marLeft w:val="0"/>
          <w:marRight w:val="0"/>
          <w:marTop w:val="0"/>
          <w:marBottom w:val="0"/>
          <w:divBdr>
            <w:top w:val="none" w:sz="0" w:space="0" w:color="auto"/>
            <w:left w:val="none" w:sz="0" w:space="0" w:color="auto"/>
            <w:bottom w:val="none" w:sz="0" w:space="0" w:color="auto"/>
            <w:right w:val="none" w:sz="0" w:space="0" w:color="auto"/>
          </w:divBdr>
        </w:div>
        <w:div w:id="1113137295">
          <w:marLeft w:val="0"/>
          <w:marRight w:val="0"/>
          <w:marTop w:val="0"/>
          <w:marBottom w:val="0"/>
          <w:divBdr>
            <w:top w:val="none" w:sz="0" w:space="0" w:color="auto"/>
            <w:left w:val="none" w:sz="0" w:space="0" w:color="auto"/>
            <w:bottom w:val="none" w:sz="0" w:space="0" w:color="auto"/>
            <w:right w:val="none" w:sz="0" w:space="0" w:color="auto"/>
          </w:divBdr>
        </w:div>
        <w:div w:id="1118720728">
          <w:marLeft w:val="0"/>
          <w:marRight w:val="0"/>
          <w:marTop w:val="0"/>
          <w:marBottom w:val="0"/>
          <w:divBdr>
            <w:top w:val="none" w:sz="0" w:space="0" w:color="auto"/>
            <w:left w:val="none" w:sz="0" w:space="0" w:color="auto"/>
            <w:bottom w:val="none" w:sz="0" w:space="0" w:color="auto"/>
            <w:right w:val="none" w:sz="0" w:space="0" w:color="auto"/>
          </w:divBdr>
        </w:div>
        <w:div w:id="1126922254">
          <w:marLeft w:val="0"/>
          <w:marRight w:val="0"/>
          <w:marTop w:val="0"/>
          <w:marBottom w:val="0"/>
          <w:divBdr>
            <w:top w:val="none" w:sz="0" w:space="0" w:color="auto"/>
            <w:left w:val="none" w:sz="0" w:space="0" w:color="auto"/>
            <w:bottom w:val="none" w:sz="0" w:space="0" w:color="auto"/>
            <w:right w:val="none" w:sz="0" w:space="0" w:color="auto"/>
          </w:divBdr>
          <w:divsChild>
            <w:div w:id="5402198">
              <w:marLeft w:val="0"/>
              <w:marRight w:val="0"/>
              <w:marTop w:val="0"/>
              <w:marBottom w:val="0"/>
              <w:divBdr>
                <w:top w:val="none" w:sz="0" w:space="0" w:color="auto"/>
                <w:left w:val="none" w:sz="0" w:space="0" w:color="auto"/>
                <w:bottom w:val="none" w:sz="0" w:space="0" w:color="auto"/>
                <w:right w:val="none" w:sz="0" w:space="0" w:color="auto"/>
              </w:divBdr>
            </w:div>
            <w:div w:id="31734206">
              <w:marLeft w:val="0"/>
              <w:marRight w:val="0"/>
              <w:marTop w:val="0"/>
              <w:marBottom w:val="0"/>
              <w:divBdr>
                <w:top w:val="none" w:sz="0" w:space="0" w:color="auto"/>
                <w:left w:val="none" w:sz="0" w:space="0" w:color="auto"/>
                <w:bottom w:val="none" w:sz="0" w:space="0" w:color="auto"/>
                <w:right w:val="none" w:sz="0" w:space="0" w:color="auto"/>
              </w:divBdr>
            </w:div>
            <w:div w:id="75826437">
              <w:marLeft w:val="0"/>
              <w:marRight w:val="0"/>
              <w:marTop w:val="0"/>
              <w:marBottom w:val="0"/>
              <w:divBdr>
                <w:top w:val="none" w:sz="0" w:space="0" w:color="auto"/>
                <w:left w:val="none" w:sz="0" w:space="0" w:color="auto"/>
                <w:bottom w:val="none" w:sz="0" w:space="0" w:color="auto"/>
                <w:right w:val="none" w:sz="0" w:space="0" w:color="auto"/>
              </w:divBdr>
            </w:div>
            <w:div w:id="79834076">
              <w:marLeft w:val="0"/>
              <w:marRight w:val="0"/>
              <w:marTop w:val="0"/>
              <w:marBottom w:val="0"/>
              <w:divBdr>
                <w:top w:val="none" w:sz="0" w:space="0" w:color="auto"/>
                <w:left w:val="none" w:sz="0" w:space="0" w:color="auto"/>
                <w:bottom w:val="none" w:sz="0" w:space="0" w:color="auto"/>
                <w:right w:val="none" w:sz="0" w:space="0" w:color="auto"/>
              </w:divBdr>
            </w:div>
            <w:div w:id="85227972">
              <w:marLeft w:val="0"/>
              <w:marRight w:val="0"/>
              <w:marTop w:val="0"/>
              <w:marBottom w:val="0"/>
              <w:divBdr>
                <w:top w:val="none" w:sz="0" w:space="0" w:color="auto"/>
                <w:left w:val="none" w:sz="0" w:space="0" w:color="auto"/>
                <w:bottom w:val="none" w:sz="0" w:space="0" w:color="auto"/>
                <w:right w:val="none" w:sz="0" w:space="0" w:color="auto"/>
              </w:divBdr>
            </w:div>
            <w:div w:id="227309516">
              <w:marLeft w:val="0"/>
              <w:marRight w:val="0"/>
              <w:marTop w:val="0"/>
              <w:marBottom w:val="0"/>
              <w:divBdr>
                <w:top w:val="none" w:sz="0" w:space="0" w:color="auto"/>
                <w:left w:val="none" w:sz="0" w:space="0" w:color="auto"/>
                <w:bottom w:val="none" w:sz="0" w:space="0" w:color="auto"/>
                <w:right w:val="none" w:sz="0" w:space="0" w:color="auto"/>
              </w:divBdr>
            </w:div>
            <w:div w:id="474953084">
              <w:marLeft w:val="0"/>
              <w:marRight w:val="0"/>
              <w:marTop w:val="0"/>
              <w:marBottom w:val="0"/>
              <w:divBdr>
                <w:top w:val="none" w:sz="0" w:space="0" w:color="auto"/>
                <w:left w:val="none" w:sz="0" w:space="0" w:color="auto"/>
                <w:bottom w:val="none" w:sz="0" w:space="0" w:color="auto"/>
                <w:right w:val="none" w:sz="0" w:space="0" w:color="auto"/>
              </w:divBdr>
            </w:div>
            <w:div w:id="661549901">
              <w:marLeft w:val="0"/>
              <w:marRight w:val="0"/>
              <w:marTop w:val="0"/>
              <w:marBottom w:val="0"/>
              <w:divBdr>
                <w:top w:val="none" w:sz="0" w:space="0" w:color="auto"/>
                <w:left w:val="none" w:sz="0" w:space="0" w:color="auto"/>
                <w:bottom w:val="none" w:sz="0" w:space="0" w:color="auto"/>
                <w:right w:val="none" w:sz="0" w:space="0" w:color="auto"/>
              </w:divBdr>
            </w:div>
            <w:div w:id="894196735">
              <w:marLeft w:val="0"/>
              <w:marRight w:val="0"/>
              <w:marTop w:val="0"/>
              <w:marBottom w:val="0"/>
              <w:divBdr>
                <w:top w:val="none" w:sz="0" w:space="0" w:color="auto"/>
                <w:left w:val="none" w:sz="0" w:space="0" w:color="auto"/>
                <w:bottom w:val="none" w:sz="0" w:space="0" w:color="auto"/>
                <w:right w:val="none" w:sz="0" w:space="0" w:color="auto"/>
              </w:divBdr>
            </w:div>
            <w:div w:id="934365441">
              <w:marLeft w:val="0"/>
              <w:marRight w:val="0"/>
              <w:marTop w:val="0"/>
              <w:marBottom w:val="0"/>
              <w:divBdr>
                <w:top w:val="none" w:sz="0" w:space="0" w:color="auto"/>
                <w:left w:val="none" w:sz="0" w:space="0" w:color="auto"/>
                <w:bottom w:val="none" w:sz="0" w:space="0" w:color="auto"/>
                <w:right w:val="none" w:sz="0" w:space="0" w:color="auto"/>
              </w:divBdr>
            </w:div>
            <w:div w:id="935869814">
              <w:marLeft w:val="0"/>
              <w:marRight w:val="0"/>
              <w:marTop w:val="0"/>
              <w:marBottom w:val="0"/>
              <w:divBdr>
                <w:top w:val="none" w:sz="0" w:space="0" w:color="auto"/>
                <w:left w:val="none" w:sz="0" w:space="0" w:color="auto"/>
                <w:bottom w:val="none" w:sz="0" w:space="0" w:color="auto"/>
                <w:right w:val="none" w:sz="0" w:space="0" w:color="auto"/>
              </w:divBdr>
            </w:div>
            <w:div w:id="960577566">
              <w:marLeft w:val="0"/>
              <w:marRight w:val="0"/>
              <w:marTop w:val="0"/>
              <w:marBottom w:val="0"/>
              <w:divBdr>
                <w:top w:val="none" w:sz="0" w:space="0" w:color="auto"/>
                <w:left w:val="none" w:sz="0" w:space="0" w:color="auto"/>
                <w:bottom w:val="none" w:sz="0" w:space="0" w:color="auto"/>
                <w:right w:val="none" w:sz="0" w:space="0" w:color="auto"/>
              </w:divBdr>
            </w:div>
            <w:div w:id="1058364617">
              <w:marLeft w:val="0"/>
              <w:marRight w:val="0"/>
              <w:marTop w:val="0"/>
              <w:marBottom w:val="0"/>
              <w:divBdr>
                <w:top w:val="none" w:sz="0" w:space="0" w:color="auto"/>
                <w:left w:val="none" w:sz="0" w:space="0" w:color="auto"/>
                <w:bottom w:val="none" w:sz="0" w:space="0" w:color="auto"/>
                <w:right w:val="none" w:sz="0" w:space="0" w:color="auto"/>
              </w:divBdr>
            </w:div>
            <w:div w:id="1094667908">
              <w:marLeft w:val="0"/>
              <w:marRight w:val="0"/>
              <w:marTop w:val="0"/>
              <w:marBottom w:val="0"/>
              <w:divBdr>
                <w:top w:val="none" w:sz="0" w:space="0" w:color="auto"/>
                <w:left w:val="none" w:sz="0" w:space="0" w:color="auto"/>
                <w:bottom w:val="none" w:sz="0" w:space="0" w:color="auto"/>
                <w:right w:val="none" w:sz="0" w:space="0" w:color="auto"/>
              </w:divBdr>
            </w:div>
            <w:div w:id="1683778271">
              <w:marLeft w:val="0"/>
              <w:marRight w:val="0"/>
              <w:marTop w:val="0"/>
              <w:marBottom w:val="0"/>
              <w:divBdr>
                <w:top w:val="none" w:sz="0" w:space="0" w:color="auto"/>
                <w:left w:val="none" w:sz="0" w:space="0" w:color="auto"/>
                <w:bottom w:val="none" w:sz="0" w:space="0" w:color="auto"/>
                <w:right w:val="none" w:sz="0" w:space="0" w:color="auto"/>
              </w:divBdr>
            </w:div>
            <w:div w:id="1770392480">
              <w:marLeft w:val="0"/>
              <w:marRight w:val="0"/>
              <w:marTop w:val="0"/>
              <w:marBottom w:val="0"/>
              <w:divBdr>
                <w:top w:val="none" w:sz="0" w:space="0" w:color="auto"/>
                <w:left w:val="none" w:sz="0" w:space="0" w:color="auto"/>
                <w:bottom w:val="none" w:sz="0" w:space="0" w:color="auto"/>
                <w:right w:val="none" w:sz="0" w:space="0" w:color="auto"/>
              </w:divBdr>
            </w:div>
            <w:div w:id="1962151089">
              <w:marLeft w:val="0"/>
              <w:marRight w:val="0"/>
              <w:marTop w:val="0"/>
              <w:marBottom w:val="0"/>
              <w:divBdr>
                <w:top w:val="none" w:sz="0" w:space="0" w:color="auto"/>
                <w:left w:val="none" w:sz="0" w:space="0" w:color="auto"/>
                <w:bottom w:val="none" w:sz="0" w:space="0" w:color="auto"/>
                <w:right w:val="none" w:sz="0" w:space="0" w:color="auto"/>
              </w:divBdr>
            </w:div>
            <w:div w:id="1970668802">
              <w:marLeft w:val="0"/>
              <w:marRight w:val="0"/>
              <w:marTop w:val="0"/>
              <w:marBottom w:val="0"/>
              <w:divBdr>
                <w:top w:val="none" w:sz="0" w:space="0" w:color="auto"/>
                <w:left w:val="none" w:sz="0" w:space="0" w:color="auto"/>
                <w:bottom w:val="none" w:sz="0" w:space="0" w:color="auto"/>
                <w:right w:val="none" w:sz="0" w:space="0" w:color="auto"/>
              </w:divBdr>
            </w:div>
            <w:div w:id="2018923867">
              <w:marLeft w:val="0"/>
              <w:marRight w:val="0"/>
              <w:marTop w:val="0"/>
              <w:marBottom w:val="0"/>
              <w:divBdr>
                <w:top w:val="none" w:sz="0" w:space="0" w:color="auto"/>
                <w:left w:val="none" w:sz="0" w:space="0" w:color="auto"/>
                <w:bottom w:val="none" w:sz="0" w:space="0" w:color="auto"/>
                <w:right w:val="none" w:sz="0" w:space="0" w:color="auto"/>
              </w:divBdr>
            </w:div>
            <w:div w:id="2059432938">
              <w:marLeft w:val="0"/>
              <w:marRight w:val="0"/>
              <w:marTop w:val="0"/>
              <w:marBottom w:val="0"/>
              <w:divBdr>
                <w:top w:val="none" w:sz="0" w:space="0" w:color="auto"/>
                <w:left w:val="none" w:sz="0" w:space="0" w:color="auto"/>
                <w:bottom w:val="none" w:sz="0" w:space="0" w:color="auto"/>
                <w:right w:val="none" w:sz="0" w:space="0" w:color="auto"/>
              </w:divBdr>
            </w:div>
          </w:divsChild>
        </w:div>
        <w:div w:id="1329938582">
          <w:marLeft w:val="0"/>
          <w:marRight w:val="0"/>
          <w:marTop w:val="0"/>
          <w:marBottom w:val="0"/>
          <w:divBdr>
            <w:top w:val="none" w:sz="0" w:space="0" w:color="auto"/>
            <w:left w:val="none" w:sz="0" w:space="0" w:color="auto"/>
            <w:bottom w:val="none" w:sz="0" w:space="0" w:color="auto"/>
            <w:right w:val="none" w:sz="0" w:space="0" w:color="auto"/>
          </w:divBdr>
        </w:div>
        <w:div w:id="1436171407">
          <w:marLeft w:val="0"/>
          <w:marRight w:val="0"/>
          <w:marTop w:val="0"/>
          <w:marBottom w:val="0"/>
          <w:divBdr>
            <w:top w:val="none" w:sz="0" w:space="0" w:color="auto"/>
            <w:left w:val="none" w:sz="0" w:space="0" w:color="auto"/>
            <w:bottom w:val="none" w:sz="0" w:space="0" w:color="auto"/>
            <w:right w:val="none" w:sz="0" w:space="0" w:color="auto"/>
          </w:divBdr>
        </w:div>
        <w:div w:id="1440835470">
          <w:marLeft w:val="0"/>
          <w:marRight w:val="0"/>
          <w:marTop w:val="0"/>
          <w:marBottom w:val="0"/>
          <w:divBdr>
            <w:top w:val="none" w:sz="0" w:space="0" w:color="auto"/>
            <w:left w:val="none" w:sz="0" w:space="0" w:color="auto"/>
            <w:bottom w:val="none" w:sz="0" w:space="0" w:color="auto"/>
            <w:right w:val="none" w:sz="0" w:space="0" w:color="auto"/>
          </w:divBdr>
          <w:divsChild>
            <w:div w:id="177274939">
              <w:marLeft w:val="0"/>
              <w:marRight w:val="0"/>
              <w:marTop w:val="0"/>
              <w:marBottom w:val="0"/>
              <w:divBdr>
                <w:top w:val="none" w:sz="0" w:space="0" w:color="auto"/>
                <w:left w:val="none" w:sz="0" w:space="0" w:color="auto"/>
                <w:bottom w:val="none" w:sz="0" w:space="0" w:color="auto"/>
                <w:right w:val="none" w:sz="0" w:space="0" w:color="auto"/>
              </w:divBdr>
            </w:div>
            <w:div w:id="192693587">
              <w:marLeft w:val="0"/>
              <w:marRight w:val="0"/>
              <w:marTop w:val="0"/>
              <w:marBottom w:val="0"/>
              <w:divBdr>
                <w:top w:val="none" w:sz="0" w:space="0" w:color="auto"/>
                <w:left w:val="none" w:sz="0" w:space="0" w:color="auto"/>
                <w:bottom w:val="none" w:sz="0" w:space="0" w:color="auto"/>
                <w:right w:val="none" w:sz="0" w:space="0" w:color="auto"/>
              </w:divBdr>
            </w:div>
            <w:div w:id="215749940">
              <w:marLeft w:val="0"/>
              <w:marRight w:val="0"/>
              <w:marTop w:val="0"/>
              <w:marBottom w:val="0"/>
              <w:divBdr>
                <w:top w:val="none" w:sz="0" w:space="0" w:color="auto"/>
                <w:left w:val="none" w:sz="0" w:space="0" w:color="auto"/>
                <w:bottom w:val="none" w:sz="0" w:space="0" w:color="auto"/>
                <w:right w:val="none" w:sz="0" w:space="0" w:color="auto"/>
              </w:divBdr>
            </w:div>
            <w:div w:id="289241921">
              <w:marLeft w:val="0"/>
              <w:marRight w:val="0"/>
              <w:marTop w:val="0"/>
              <w:marBottom w:val="0"/>
              <w:divBdr>
                <w:top w:val="none" w:sz="0" w:space="0" w:color="auto"/>
                <w:left w:val="none" w:sz="0" w:space="0" w:color="auto"/>
                <w:bottom w:val="none" w:sz="0" w:space="0" w:color="auto"/>
                <w:right w:val="none" w:sz="0" w:space="0" w:color="auto"/>
              </w:divBdr>
            </w:div>
            <w:div w:id="302197236">
              <w:marLeft w:val="0"/>
              <w:marRight w:val="0"/>
              <w:marTop w:val="0"/>
              <w:marBottom w:val="0"/>
              <w:divBdr>
                <w:top w:val="none" w:sz="0" w:space="0" w:color="auto"/>
                <w:left w:val="none" w:sz="0" w:space="0" w:color="auto"/>
                <w:bottom w:val="none" w:sz="0" w:space="0" w:color="auto"/>
                <w:right w:val="none" w:sz="0" w:space="0" w:color="auto"/>
              </w:divBdr>
            </w:div>
            <w:div w:id="329715422">
              <w:marLeft w:val="0"/>
              <w:marRight w:val="0"/>
              <w:marTop w:val="0"/>
              <w:marBottom w:val="0"/>
              <w:divBdr>
                <w:top w:val="none" w:sz="0" w:space="0" w:color="auto"/>
                <w:left w:val="none" w:sz="0" w:space="0" w:color="auto"/>
                <w:bottom w:val="none" w:sz="0" w:space="0" w:color="auto"/>
                <w:right w:val="none" w:sz="0" w:space="0" w:color="auto"/>
              </w:divBdr>
            </w:div>
            <w:div w:id="372076779">
              <w:marLeft w:val="0"/>
              <w:marRight w:val="0"/>
              <w:marTop w:val="0"/>
              <w:marBottom w:val="0"/>
              <w:divBdr>
                <w:top w:val="none" w:sz="0" w:space="0" w:color="auto"/>
                <w:left w:val="none" w:sz="0" w:space="0" w:color="auto"/>
                <w:bottom w:val="none" w:sz="0" w:space="0" w:color="auto"/>
                <w:right w:val="none" w:sz="0" w:space="0" w:color="auto"/>
              </w:divBdr>
            </w:div>
            <w:div w:id="564803173">
              <w:marLeft w:val="0"/>
              <w:marRight w:val="0"/>
              <w:marTop w:val="0"/>
              <w:marBottom w:val="0"/>
              <w:divBdr>
                <w:top w:val="none" w:sz="0" w:space="0" w:color="auto"/>
                <w:left w:val="none" w:sz="0" w:space="0" w:color="auto"/>
                <w:bottom w:val="none" w:sz="0" w:space="0" w:color="auto"/>
                <w:right w:val="none" w:sz="0" w:space="0" w:color="auto"/>
              </w:divBdr>
            </w:div>
            <w:div w:id="633297002">
              <w:marLeft w:val="0"/>
              <w:marRight w:val="0"/>
              <w:marTop w:val="0"/>
              <w:marBottom w:val="0"/>
              <w:divBdr>
                <w:top w:val="none" w:sz="0" w:space="0" w:color="auto"/>
                <w:left w:val="none" w:sz="0" w:space="0" w:color="auto"/>
                <w:bottom w:val="none" w:sz="0" w:space="0" w:color="auto"/>
                <w:right w:val="none" w:sz="0" w:space="0" w:color="auto"/>
              </w:divBdr>
            </w:div>
            <w:div w:id="828518065">
              <w:marLeft w:val="0"/>
              <w:marRight w:val="0"/>
              <w:marTop w:val="0"/>
              <w:marBottom w:val="0"/>
              <w:divBdr>
                <w:top w:val="none" w:sz="0" w:space="0" w:color="auto"/>
                <w:left w:val="none" w:sz="0" w:space="0" w:color="auto"/>
                <w:bottom w:val="none" w:sz="0" w:space="0" w:color="auto"/>
                <w:right w:val="none" w:sz="0" w:space="0" w:color="auto"/>
              </w:divBdr>
            </w:div>
            <w:div w:id="1055618841">
              <w:marLeft w:val="0"/>
              <w:marRight w:val="0"/>
              <w:marTop w:val="0"/>
              <w:marBottom w:val="0"/>
              <w:divBdr>
                <w:top w:val="none" w:sz="0" w:space="0" w:color="auto"/>
                <w:left w:val="none" w:sz="0" w:space="0" w:color="auto"/>
                <w:bottom w:val="none" w:sz="0" w:space="0" w:color="auto"/>
                <w:right w:val="none" w:sz="0" w:space="0" w:color="auto"/>
              </w:divBdr>
            </w:div>
            <w:div w:id="1316299725">
              <w:marLeft w:val="0"/>
              <w:marRight w:val="0"/>
              <w:marTop w:val="0"/>
              <w:marBottom w:val="0"/>
              <w:divBdr>
                <w:top w:val="none" w:sz="0" w:space="0" w:color="auto"/>
                <w:left w:val="none" w:sz="0" w:space="0" w:color="auto"/>
                <w:bottom w:val="none" w:sz="0" w:space="0" w:color="auto"/>
                <w:right w:val="none" w:sz="0" w:space="0" w:color="auto"/>
              </w:divBdr>
            </w:div>
            <w:div w:id="1353989383">
              <w:marLeft w:val="0"/>
              <w:marRight w:val="0"/>
              <w:marTop w:val="0"/>
              <w:marBottom w:val="0"/>
              <w:divBdr>
                <w:top w:val="none" w:sz="0" w:space="0" w:color="auto"/>
                <w:left w:val="none" w:sz="0" w:space="0" w:color="auto"/>
                <w:bottom w:val="none" w:sz="0" w:space="0" w:color="auto"/>
                <w:right w:val="none" w:sz="0" w:space="0" w:color="auto"/>
              </w:divBdr>
            </w:div>
            <w:div w:id="1635940096">
              <w:marLeft w:val="0"/>
              <w:marRight w:val="0"/>
              <w:marTop w:val="0"/>
              <w:marBottom w:val="0"/>
              <w:divBdr>
                <w:top w:val="none" w:sz="0" w:space="0" w:color="auto"/>
                <w:left w:val="none" w:sz="0" w:space="0" w:color="auto"/>
                <w:bottom w:val="none" w:sz="0" w:space="0" w:color="auto"/>
                <w:right w:val="none" w:sz="0" w:space="0" w:color="auto"/>
              </w:divBdr>
            </w:div>
            <w:div w:id="1644189077">
              <w:marLeft w:val="0"/>
              <w:marRight w:val="0"/>
              <w:marTop w:val="0"/>
              <w:marBottom w:val="0"/>
              <w:divBdr>
                <w:top w:val="none" w:sz="0" w:space="0" w:color="auto"/>
                <w:left w:val="none" w:sz="0" w:space="0" w:color="auto"/>
                <w:bottom w:val="none" w:sz="0" w:space="0" w:color="auto"/>
                <w:right w:val="none" w:sz="0" w:space="0" w:color="auto"/>
              </w:divBdr>
            </w:div>
            <w:div w:id="1660960478">
              <w:marLeft w:val="0"/>
              <w:marRight w:val="0"/>
              <w:marTop w:val="0"/>
              <w:marBottom w:val="0"/>
              <w:divBdr>
                <w:top w:val="none" w:sz="0" w:space="0" w:color="auto"/>
                <w:left w:val="none" w:sz="0" w:space="0" w:color="auto"/>
                <w:bottom w:val="none" w:sz="0" w:space="0" w:color="auto"/>
                <w:right w:val="none" w:sz="0" w:space="0" w:color="auto"/>
              </w:divBdr>
            </w:div>
            <w:div w:id="1705204755">
              <w:marLeft w:val="0"/>
              <w:marRight w:val="0"/>
              <w:marTop w:val="0"/>
              <w:marBottom w:val="0"/>
              <w:divBdr>
                <w:top w:val="none" w:sz="0" w:space="0" w:color="auto"/>
                <w:left w:val="none" w:sz="0" w:space="0" w:color="auto"/>
                <w:bottom w:val="none" w:sz="0" w:space="0" w:color="auto"/>
                <w:right w:val="none" w:sz="0" w:space="0" w:color="auto"/>
              </w:divBdr>
            </w:div>
            <w:div w:id="1875458471">
              <w:marLeft w:val="0"/>
              <w:marRight w:val="0"/>
              <w:marTop w:val="0"/>
              <w:marBottom w:val="0"/>
              <w:divBdr>
                <w:top w:val="none" w:sz="0" w:space="0" w:color="auto"/>
                <w:left w:val="none" w:sz="0" w:space="0" w:color="auto"/>
                <w:bottom w:val="none" w:sz="0" w:space="0" w:color="auto"/>
                <w:right w:val="none" w:sz="0" w:space="0" w:color="auto"/>
              </w:divBdr>
            </w:div>
            <w:div w:id="1901479076">
              <w:marLeft w:val="0"/>
              <w:marRight w:val="0"/>
              <w:marTop w:val="0"/>
              <w:marBottom w:val="0"/>
              <w:divBdr>
                <w:top w:val="none" w:sz="0" w:space="0" w:color="auto"/>
                <w:left w:val="none" w:sz="0" w:space="0" w:color="auto"/>
                <w:bottom w:val="none" w:sz="0" w:space="0" w:color="auto"/>
                <w:right w:val="none" w:sz="0" w:space="0" w:color="auto"/>
              </w:divBdr>
            </w:div>
            <w:div w:id="1922331780">
              <w:marLeft w:val="0"/>
              <w:marRight w:val="0"/>
              <w:marTop w:val="0"/>
              <w:marBottom w:val="0"/>
              <w:divBdr>
                <w:top w:val="none" w:sz="0" w:space="0" w:color="auto"/>
                <w:left w:val="none" w:sz="0" w:space="0" w:color="auto"/>
                <w:bottom w:val="none" w:sz="0" w:space="0" w:color="auto"/>
                <w:right w:val="none" w:sz="0" w:space="0" w:color="auto"/>
              </w:divBdr>
            </w:div>
          </w:divsChild>
        </w:div>
        <w:div w:id="1459029752">
          <w:marLeft w:val="0"/>
          <w:marRight w:val="0"/>
          <w:marTop w:val="0"/>
          <w:marBottom w:val="0"/>
          <w:divBdr>
            <w:top w:val="none" w:sz="0" w:space="0" w:color="auto"/>
            <w:left w:val="none" w:sz="0" w:space="0" w:color="auto"/>
            <w:bottom w:val="none" w:sz="0" w:space="0" w:color="auto"/>
            <w:right w:val="none" w:sz="0" w:space="0" w:color="auto"/>
          </w:divBdr>
        </w:div>
        <w:div w:id="1589386766">
          <w:marLeft w:val="0"/>
          <w:marRight w:val="0"/>
          <w:marTop w:val="0"/>
          <w:marBottom w:val="0"/>
          <w:divBdr>
            <w:top w:val="none" w:sz="0" w:space="0" w:color="auto"/>
            <w:left w:val="none" w:sz="0" w:space="0" w:color="auto"/>
            <w:bottom w:val="none" w:sz="0" w:space="0" w:color="auto"/>
            <w:right w:val="none" w:sz="0" w:space="0" w:color="auto"/>
          </w:divBdr>
        </w:div>
        <w:div w:id="1606186189">
          <w:marLeft w:val="0"/>
          <w:marRight w:val="0"/>
          <w:marTop w:val="0"/>
          <w:marBottom w:val="0"/>
          <w:divBdr>
            <w:top w:val="none" w:sz="0" w:space="0" w:color="auto"/>
            <w:left w:val="none" w:sz="0" w:space="0" w:color="auto"/>
            <w:bottom w:val="none" w:sz="0" w:space="0" w:color="auto"/>
            <w:right w:val="none" w:sz="0" w:space="0" w:color="auto"/>
          </w:divBdr>
        </w:div>
        <w:div w:id="1632128529">
          <w:marLeft w:val="0"/>
          <w:marRight w:val="0"/>
          <w:marTop w:val="0"/>
          <w:marBottom w:val="0"/>
          <w:divBdr>
            <w:top w:val="none" w:sz="0" w:space="0" w:color="auto"/>
            <w:left w:val="none" w:sz="0" w:space="0" w:color="auto"/>
            <w:bottom w:val="none" w:sz="0" w:space="0" w:color="auto"/>
            <w:right w:val="none" w:sz="0" w:space="0" w:color="auto"/>
          </w:divBdr>
          <w:divsChild>
            <w:div w:id="360712201">
              <w:marLeft w:val="0"/>
              <w:marRight w:val="0"/>
              <w:marTop w:val="0"/>
              <w:marBottom w:val="0"/>
              <w:divBdr>
                <w:top w:val="none" w:sz="0" w:space="0" w:color="auto"/>
                <w:left w:val="none" w:sz="0" w:space="0" w:color="auto"/>
                <w:bottom w:val="none" w:sz="0" w:space="0" w:color="auto"/>
                <w:right w:val="none" w:sz="0" w:space="0" w:color="auto"/>
              </w:divBdr>
            </w:div>
            <w:div w:id="455804723">
              <w:marLeft w:val="0"/>
              <w:marRight w:val="0"/>
              <w:marTop w:val="0"/>
              <w:marBottom w:val="0"/>
              <w:divBdr>
                <w:top w:val="none" w:sz="0" w:space="0" w:color="auto"/>
                <w:left w:val="none" w:sz="0" w:space="0" w:color="auto"/>
                <w:bottom w:val="none" w:sz="0" w:space="0" w:color="auto"/>
                <w:right w:val="none" w:sz="0" w:space="0" w:color="auto"/>
              </w:divBdr>
            </w:div>
            <w:div w:id="465051313">
              <w:marLeft w:val="0"/>
              <w:marRight w:val="0"/>
              <w:marTop w:val="0"/>
              <w:marBottom w:val="0"/>
              <w:divBdr>
                <w:top w:val="none" w:sz="0" w:space="0" w:color="auto"/>
                <w:left w:val="none" w:sz="0" w:space="0" w:color="auto"/>
                <w:bottom w:val="none" w:sz="0" w:space="0" w:color="auto"/>
                <w:right w:val="none" w:sz="0" w:space="0" w:color="auto"/>
              </w:divBdr>
            </w:div>
            <w:div w:id="591159355">
              <w:marLeft w:val="0"/>
              <w:marRight w:val="0"/>
              <w:marTop w:val="0"/>
              <w:marBottom w:val="0"/>
              <w:divBdr>
                <w:top w:val="none" w:sz="0" w:space="0" w:color="auto"/>
                <w:left w:val="none" w:sz="0" w:space="0" w:color="auto"/>
                <w:bottom w:val="none" w:sz="0" w:space="0" w:color="auto"/>
                <w:right w:val="none" w:sz="0" w:space="0" w:color="auto"/>
              </w:divBdr>
            </w:div>
            <w:div w:id="650526442">
              <w:marLeft w:val="0"/>
              <w:marRight w:val="0"/>
              <w:marTop w:val="0"/>
              <w:marBottom w:val="0"/>
              <w:divBdr>
                <w:top w:val="none" w:sz="0" w:space="0" w:color="auto"/>
                <w:left w:val="none" w:sz="0" w:space="0" w:color="auto"/>
                <w:bottom w:val="none" w:sz="0" w:space="0" w:color="auto"/>
                <w:right w:val="none" w:sz="0" w:space="0" w:color="auto"/>
              </w:divBdr>
            </w:div>
            <w:div w:id="1000500626">
              <w:marLeft w:val="0"/>
              <w:marRight w:val="0"/>
              <w:marTop w:val="0"/>
              <w:marBottom w:val="0"/>
              <w:divBdr>
                <w:top w:val="none" w:sz="0" w:space="0" w:color="auto"/>
                <w:left w:val="none" w:sz="0" w:space="0" w:color="auto"/>
                <w:bottom w:val="none" w:sz="0" w:space="0" w:color="auto"/>
                <w:right w:val="none" w:sz="0" w:space="0" w:color="auto"/>
              </w:divBdr>
            </w:div>
            <w:div w:id="1255093638">
              <w:marLeft w:val="0"/>
              <w:marRight w:val="0"/>
              <w:marTop w:val="0"/>
              <w:marBottom w:val="0"/>
              <w:divBdr>
                <w:top w:val="none" w:sz="0" w:space="0" w:color="auto"/>
                <w:left w:val="none" w:sz="0" w:space="0" w:color="auto"/>
                <w:bottom w:val="none" w:sz="0" w:space="0" w:color="auto"/>
                <w:right w:val="none" w:sz="0" w:space="0" w:color="auto"/>
              </w:divBdr>
            </w:div>
            <w:div w:id="1259101845">
              <w:marLeft w:val="0"/>
              <w:marRight w:val="0"/>
              <w:marTop w:val="0"/>
              <w:marBottom w:val="0"/>
              <w:divBdr>
                <w:top w:val="none" w:sz="0" w:space="0" w:color="auto"/>
                <w:left w:val="none" w:sz="0" w:space="0" w:color="auto"/>
                <w:bottom w:val="none" w:sz="0" w:space="0" w:color="auto"/>
                <w:right w:val="none" w:sz="0" w:space="0" w:color="auto"/>
              </w:divBdr>
            </w:div>
            <w:div w:id="1691103953">
              <w:marLeft w:val="0"/>
              <w:marRight w:val="0"/>
              <w:marTop w:val="0"/>
              <w:marBottom w:val="0"/>
              <w:divBdr>
                <w:top w:val="none" w:sz="0" w:space="0" w:color="auto"/>
                <w:left w:val="none" w:sz="0" w:space="0" w:color="auto"/>
                <w:bottom w:val="none" w:sz="0" w:space="0" w:color="auto"/>
                <w:right w:val="none" w:sz="0" w:space="0" w:color="auto"/>
              </w:divBdr>
            </w:div>
            <w:div w:id="1962420831">
              <w:marLeft w:val="0"/>
              <w:marRight w:val="0"/>
              <w:marTop w:val="0"/>
              <w:marBottom w:val="0"/>
              <w:divBdr>
                <w:top w:val="none" w:sz="0" w:space="0" w:color="auto"/>
                <w:left w:val="none" w:sz="0" w:space="0" w:color="auto"/>
                <w:bottom w:val="none" w:sz="0" w:space="0" w:color="auto"/>
                <w:right w:val="none" w:sz="0" w:space="0" w:color="auto"/>
              </w:divBdr>
            </w:div>
          </w:divsChild>
        </w:div>
        <w:div w:id="1820732277">
          <w:marLeft w:val="0"/>
          <w:marRight w:val="0"/>
          <w:marTop w:val="0"/>
          <w:marBottom w:val="0"/>
          <w:divBdr>
            <w:top w:val="none" w:sz="0" w:space="0" w:color="auto"/>
            <w:left w:val="none" w:sz="0" w:space="0" w:color="auto"/>
            <w:bottom w:val="none" w:sz="0" w:space="0" w:color="auto"/>
            <w:right w:val="none" w:sz="0" w:space="0" w:color="auto"/>
          </w:divBdr>
        </w:div>
        <w:div w:id="1904949603">
          <w:marLeft w:val="0"/>
          <w:marRight w:val="0"/>
          <w:marTop w:val="0"/>
          <w:marBottom w:val="0"/>
          <w:divBdr>
            <w:top w:val="none" w:sz="0" w:space="0" w:color="auto"/>
            <w:left w:val="none" w:sz="0" w:space="0" w:color="auto"/>
            <w:bottom w:val="none" w:sz="0" w:space="0" w:color="auto"/>
            <w:right w:val="none" w:sz="0" w:space="0" w:color="auto"/>
          </w:divBdr>
          <w:divsChild>
            <w:div w:id="77991777">
              <w:marLeft w:val="0"/>
              <w:marRight w:val="0"/>
              <w:marTop w:val="0"/>
              <w:marBottom w:val="0"/>
              <w:divBdr>
                <w:top w:val="none" w:sz="0" w:space="0" w:color="auto"/>
                <w:left w:val="none" w:sz="0" w:space="0" w:color="auto"/>
                <w:bottom w:val="none" w:sz="0" w:space="0" w:color="auto"/>
                <w:right w:val="none" w:sz="0" w:space="0" w:color="auto"/>
              </w:divBdr>
            </w:div>
            <w:div w:id="710883638">
              <w:marLeft w:val="0"/>
              <w:marRight w:val="0"/>
              <w:marTop w:val="0"/>
              <w:marBottom w:val="0"/>
              <w:divBdr>
                <w:top w:val="none" w:sz="0" w:space="0" w:color="auto"/>
                <w:left w:val="none" w:sz="0" w:space="0" w:color="auto"/>
                <w:bottom w:val="none" w:sz="0" w:space="0" w:color="auto"/>
                <w:right w:val="none" w:sz="0" w:space="0" w:color="auto"/>
              </w:divBdr>
            </w:div>
            <w:div w:id="856697924">
              <w:marLeft w:val="0"/>
              <w:marRight w:val="0"/>
              <w:marTop w:val="0"/>
              <w:marBottom w:val="0"/>
              <w:divBdr>
                <w:top w:val="none" w:sz="0" w:space="0" w:color="auto"/>
                <w:left w:val="none" w:sz="0" w:space="0" w:color="auto"/>
                <w:bottom w:val="none" w:sz="0" w:space="0" w:color="auto"/>
                <w:right w:val="none" w:sz="0" w:space="0" w:color="auto"/>
              </w:divBdr>
            </w:div>
            <w:div w:id="1104691171">
              <w:marLeft w:val="0"/>
              <w:marRight w:val="0"/>
              <w:marTop w:val="0"/>
              <w:marBottom w:val="0"/>
              <w:divBdr>
                <w:top w:val="none" w:sz="0" w:space="0" w:color="auto"/>
                <w:left w:val="none" w:sz="0" w:space="0" w:color="auto"/>
                <w:bottom w:val="none" w:sz="0" w:space="0" w:color="auto"/>
                <w:right w:val="none" w:sz="0" w:space="0" w:color="auto"/>
              </w:divBdr>
            </w:div>
            <w:div w:id="1375038503">
              <w:marLeft w:val="0"/>
              <w:marRight w:val="0"/>
              <w:marTop w:val="0"/>
              <w:marBottom w:val="0"/>
              <w:divBdr>
                <w:top w:val="none" w:sz="0" w:space="0" w:color="auto"/>
                <w:left w:val="none" w:sz="0" w:space="0" w:color="auto"/>
                <w:bottom w:val="none" w:sz="0" w:space="0" w:color="auto"/>
                <w:right w:val="none" w:sz="0" w:space="0" w:color="auto"/>
              </w:divBdr>
            </w:div>
            <w:div w:id="1588690499">
              <w:marLeft w:val="0"/>
              <w:marRight w:val="0"/>
              <w:marTop w:val="0"/>
              <w:marBottom w:val="0"/>
              <w:divBdr>
                <w:top w:val="none" w:sz="0" w:space="0" w:color="auto"/>
                <w:left w:val="none" w:sz="0" w:space="0" w:color="auto"/>
                <w:bottom w:val="none" w:sz="0" w:space="0" w:color="auto"/>
                <w:right w:val="none" w:sz="0" w:space="0" w:color="auto"/>
              </w:divBdr>
            </w:div>
            <w:div w:id="19462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4441">
      <w:bodyDiv w:val="1"/>
      <w:marLeft w:val="0"/>
      <w:marRight w:val="0"/>
      <w:marTop w:val="0"/>
      <w:marBottom w:val="0"/>
      <w:divBdr>
        <w:top w:val="none" w:sz="0" w:space="0" w:color="auto"/>
        <w:left w:val="none" w:sz="0" w:space="0" w:color="auto"/>
        <w:bottom w:val="none" w:sz="0" w:space="0" w:color="auto"/>
        <w:right w:val="none" w:sz="0" w:space="0" w:color="auto"/>
      </w:divBdr>
      <w:divsChild>
        <w:div w:id="6055206">
          <w:marLeft w:val="0"/>
          <w:marRight w:val="0"/>
          <w:marTop w:val="0"/>
          <w:marBottom w:val="0"/>
          <w:divBdr>
            <w:top w:val="none" w:sz="0" w:space="0" w:color="auto"/>
            <w:left w:val="none" w:sz="0" w:space="0" w:color="auto"/>
            <w:bottom w:val="none" w:sz="0" w:space="0" w:color="auto"/>
            <w:right w:val="none" w:sz="0" w:space="0" w:color="auto"/>
          </w:divBdr>
        </w:div>
        <w:div w:id="167409484">
          <w:marLeft w:val="0"/>
          <w:marRight w:val="0"/>
          <w:marTop w:val="0"/>
          <w:marBottom w:val="0"/>
          <w:divBdr>
            <w:top w:val="none" w:sz="0" w:space="0" w:color="auto"/>
            <w:left w:val="none" w:sz="0" w:space="0" w:color="auto"/>
            <w:bottom w:val="none" w:sz="0" w:space="0" w:color="auto"/>
            <w:right w:val="none" w:sz="0" w:space="0" w:color="auto"/>
          </w:divBdr>
        </w:div>
        <w:div w:id="933056664">
          <w:marLeft w:val="0"/>
          <w:marRight w:val="0"/>
          <w:marTop w:val="0"/>
          <w:marBottom w:val="0"/>
          <w:divBdr>
            <w:top w:val="none" w:sz="0" w:space="0" w:color="auto"/>
            <w:left w:val="none" w:sz="0" w:space="0" w:color="auto"/>
            <w:bottom w:val="none" w:sz="0" w:space="0" w:color="auto"/>
            <w:right w:val="none" w:sz="0" w:space="0" w:color="auto"/>
          </w:divBdr>
        </w:div>
        <w:div w:id="1896043155">
          <w:marLeft w:val="0"/>
          <w:marRight w:val="0"/>
          <w:marTop w:val="0"/>
          <w:marBottom w:val="0"/>
          <w:divBdr>
            <w:top w:val="none" w:sz="0" w:space="0" w:color="auto"/>
            <w:left w:val="none" w:sz="0" w:space="0" w:color="auto"/>
            <w:bottom w:val="none" w:sz="0" w:space="0" w:color="auto"/>
            <w:right w:val="none" w:sz="0" w:space="0" w:color="auto"/>
          </w:divBdr>
        </w:div>
      </w:divsChild>
    </w:div>
    <w:div w:id="1989943816">
      <w:bodyDiv w:val="1"/>
      <w:marLeft w:val="0"/>
      <w:marRight w:val="0"/>
      <w:marTop w:val="0"/>
      <w:marBottom w:val="0"/>
      <w:divBdr>
        <w:top w:val="none" w:sz="0" w:space="0" w:color="auto"/>
        <w:left w:val="none" w:sz="0" w:space="0" w:color="auto"/>
        <w:bottom w:val="none" w:sz="0" w:space="0" w:color="auto"/>
        <w:right w:val="none" w:sz="0" w:space="0" w:color="auto"/>
      </w:divBdr>
      <w:divsChild>
        <w:div w:id="7605127">
          <w:marLeft w:val="0"/>
          <w:marRight w:val="0"/>
          <w:marTop w:val="0"/>
          <w:marBottom w:val="0"/>
          <w:divBdr>
            <w:top w:val="none" w:sz="0" w:space="0" w:color="auto"/>
            <w:left w:val="none" w:sz="0" w:space="0" w:color="auto"/>
            <w:bottom w:val="none" w:sz="0" w:space="0" w:color="auto"/>
            <w:right w:val="none" w:sz="0" w:space="0" w:color="auto"/>
          </w:divBdr>
        </w:div>
        <w:div w:id="11691482">
          <w:marLeft w:val="0"/>
          <w:marRight w:val="0"/>
          <w:marTop w:val="0"/>
          <w:marBottom w:val="0"/>
          <w:divBdr>
            <w:top w:val="none" w:sz="0" w:space="0" w:color="auto"/>
            <w:left w:val="none" w:sz="0" w:space="0" w:color="auto"/>
            <w:bottom w:val="none" w:sz="0" w:space="0" w:color="auto"/>
            <w:right w:val="none" w:sz="0" w:space="0" w:color="auto"/>
          </w:divBdr>
        </w:div>
        <w:div w:id="12928128">
          <w:marLeft w:val="0"/>
          <w:marRight w:val="0"/>
          <w:marTop w:val="0"/>
          <w:marBottom w:val="0"/>
          <w:divBdr>
            <w:top w:val="none" w:sz="0" w:space="0" w:color="auto"/>
            <w:left w:val="none" w:sz="0" w:space="0" w:color="auto"/>
            <w:bottom w:val="none" w:sz="0" w:space="0" w:color="auto"/>
            <w:right w:val="none" w:sz="0" w:space="0" w:color="auto"/>
          </w:divBdr>
        </w:div>
        <w:div w:id="21631848">
          <w:marLeft w:val="0"/>
          <w:marRight w:val="0"/>
          <w:marTop w:val="0"/>
          <w:marBottom w:val="0"/>
          <w:divBdr>
            <w:top w:val="none" w:sz="0" w:space="0" w:color="auto"/>
            <w:left w:val="none" w:sz="0" w:space="0" w:color="auto"/>
            <w:bottom w:val="none" w:sz="0" w:space="0" w:color="auto"/>
            <w:right w:val="none" w:sz="0" w:space="0" w:color="auto"/>
          </w:divBdr>
        </w:div>
        <w:div w:id="23017953">
          <w:marLeft w:val="0"/>
          <w:marRight w:val="0"/>
          <w:marTop w:val="0"/>
          <w:marBottom w:val="0"/>
          <w:divBdr>
            <w:top w:val="none" w:sz="0" w:space="0" w:color="auto"/>
            <w:left w:val="none" w:sz="0" w:space="0" w:color="auto"/>
            <w:bottom w:val="none" w:sz="0" w:space="0" w:color="auto"/>
            <w:right w:val="none" w:sz="0" w:space="0" w:color="auto"/>
          </w:divBdr>
        </w:div>
        <w:div w:id="38864747">
          <w:marLeft w:val="0"/>
          <w:marRight w:val="0"/>
          <w:marTop w:val="0"/>
          <w:marBottom w:val="0"/>
          <w:divBdr>
            <w:top w:val="none" w:sz="0" w:space="0" w:color="auto"/>
            <w:left w:val="none" w:sz="0" w:space="0" w:color="auto"/>
            <w:bottom w:val="none" w:sz="0" w:space="0" w:color="auto"/>
            <w:right w:val="none" w:sz="0" w:space="0" w:color="auto"/>
          </w:divBdr>
        </w:div>
        <w:div w:id="106896719">
          <w:marLeft w:val="0"/>
          <w:marRight w:val="0"/>
          <w:marTop w:val="0"/>
          <w:marBottom w:val="0"/>
          <w:divBdr>
            <w:top w:val="none" w:sz="0" w:space="0" w:color="auto"/>
            <w:left w:val="none" w:sz="0" w:space="0" w:color="auto"/>
            <w:bottom w:val="none" w:sz="0" w:space="0" w:color="auto"/>
            <w:right w:val="none" w:sz="0" w:space="0" w:color="auto"/>
          </w:divBdr>
        </w:div>
        <w:div w:id="122164847">
          <w:marLeft w:val="0"/>
          <w:marRight w:val="0"/>
          <w:marTop w:val="0"/>
          <w:marBottom w:val="0"/>
          <w:divBdr>
            <w:top w:val="none" w:sz="0" w:space="0" w:color="auto"/>
            <w:left w:val="none" w:sz="0" w:space="0" w:color="auto"/>
            <w:bottom w:val="none" w:sz="0" w:space="0" w:color="auto"/>
            <w:right w:val="none" w:sz="0" w:space="0" w:color="auto"/>
          </w:divBdr>
        </w:div>
        <w:div w:id="126049868">
          <w:marLeft w:val="0"/>
          <w:marRight w:val="0"/>
          <w:marTop w:val="0"/>
          <w:marBottom w:val="0"/>
          <w:divBdr>
            <w:top w:val="none" w:sz="0" w:space="0" w:color="auto"/>
            <w:left w:val="none" w:sz="0" w:space="0" w:color="auto"/>
            <w:bottom w:val="none" w:sz="0" w:space="0" w:color="auto"/>
            <w:right w:val="none" w:sz="0" w:space="0" w:color="auto"/>
          </w:divBdr>
        </w:div>
        <w:div w:id="127675815">
          <w:marLeft w:val="0"/>
          <w:marRight w:val="0"/>
          <w:marTop w:val="0"/>
          <w:marBottom w:val="0"/>
          <w:divBdr>
            <w:top w:val="none" w:sz="0" w:space="0" w:color="auto"/>
            <w:left w:val="none" w:sz="0" w:space="0" w:color="auto"/>
            <w:bottom w:val="none" w:sz="0" w:space="0" w:color="auto"/>
            <w:right w:val="none" w:sz="0" w:space="0" w:color="auto"/>
          </w:divBdr>
        </w:div>
        <w:div w:id="133959408">
          <w:marLeft w:val="0"/>
          <w:marRight w:val="0"/>
          <w:marTop w:val="0"/>
          <w:marBottom w:val="0"/>
          <w:divBdr>
            <w:top w:val="none" w:sz="0" w:space="0" w:color="auto"/>
            <w:left w:val="none" w:sz="0" w:space="0" w:color="auto"/>
            <w:bottom w:val="none" w:sz="0" w:space="0" w:color="auto"/>
            <w:right w:val="none" w:sz="0" w:space="0" w:color="auto"/>
          </w:divBdr>
        </w:div>
        <w:div w:id="142888952">
          <w:marLeft w:val="0"/>
          <w:marRight w:val="0"/>
          <w:marTop w:val="0"/>
          <w:marBottom w:val="0"/>
          <w:divBdr>
            <w:top w:val="none" w:sz="0" w:space="0" w:color="auto"/>
            <w:left w:val="none" w:sz="0" w:space="0" w:color="auto"/>
            <w:bottom w:val="none" w:sz="0" w:space="0" w:color="auto"/>
            <w:right w:val="none" w:sz="0" w:space="0" w:color="auto"/>
          </w:divBdr>
        </w:div>
        <w:div w:id="143855423">
          <w:marLeft w:val="0"/>
          <w:marRight w:val="0"/>
          <w:marTop w:val="0"/>
          <w:marBottom w:val="0"/>
          <w:divBdr>
            <w:top w:val="none" w:sz="0" w:space="0" w:color="auto"/>
            <w:left w:val="none" w:sz="0" w:space="0" w:color="auto"/>
            <w:bottom w:val="none" w:sz="0" w:space="0" w:color="auto"/>
            <w:right w:val="none" w:sz="0" w:space="0" w:color="auto"/>
          </w:divBdr>
        </w:div>
        <w:div w:id="152458330">
          <w:marLeft w:val="0"/>
          <w:marRight w:val="0"/>
          <w:marTop w:val="0"/>
          <w:marBottom w:val="0"/>
          <w:divBdr>
            <w:top w:val="none" w:sz="0" w:space="0" w:color="auto"/>
            <w:left w:val="none" w:sz="0" w:space="0" w:color="auto"/>
            <w:bottom w:val="none" w:sz="0" w:space="0" w:color="auto"/>
            <w:right w:val="none" w:sz="0" w:space="0" w:color="auto"/>
          </w:divBdr>
        </w:div>
        <w:div w:id="157422704">
          <w:marLeft w:val="0"/>
          <w:marRight w:val="0"/>
          <w:marTop w:val="0"/>
          <w:marBottom w:val="0"/>
          <w:divBdr>
            <w:top w:val="none" w:sz="0" w:space="0" w:color="auto"/>
            <w:left w:val="none" w:sz="0" w:space="0" w:color="auto"/>
            <w:bottom w:val="none" w:sz="0" w:space="0" w:color="auto"/>
            <w:right w:val="none" w:sz="0" w:space="0" w:color="auto"/>
          </w:divBdr>
        </w:div>
        <w:div w:id="166215855">
          <w:marLeft w:val="0"/>
          <w:marRight w:val="0"/>
          <w:marTop w:val="0"/>
          <w:marBottom w:val="0"/>
          <w:divBdr>
            <w:top w:val="none" w:sz="0" w:space="0" w:color="auto"/>
            <w:left w:val="none" w:sz="0" w:space="0" w:color="auto"/>
            <w:bottom w:val="none" w:sz="0" w:space="0" w:color="auto"/>
            <w:right w:val="none" w:sz="0" w:space="0" w:color="auto"/>
          </w:divBdr>
        </w:div>
        <w:div w:id="198663173">
          <w:marLeft w:val="0"/>
          <w:marRight w:val="0"/>
          <w:marTop w:val="0"/>
          <w:marBottom w:val="0"/>
          <w:divBdr>
            <w:top w:val="none" w:sz="0" w:space="0" w:color="auto"/>
            <w:left w:val="none" w:sz="0" w:space="0" w:color="auto"/>
            <w:bottom w:val="none" w:sz="0" w:space="0" w:color="auto"/>
            <w:right w:val="none" w:sz="0" w:space="0" w:color="auto"/>
          </w:divBdr>
        </w:div>
        <w:div w:id="216015437">
          <w:marLeft w:val="0"/>
          <w:marRight w:val="0"/>
          <w:marTop w:val="0"/>
          <w:marBottom w:val="0"/>
          <w:divBdr>
            <w:top w:val="none" w:sz="0" w:space="0" w:color="auto"/>
            <w:left w:val="none" w:sz="0" w:space="0" w:color="auto"/>
            <w:bottom w:val="none" w:sz="0" w:space="0" w:color="auto"/>
            <w:right w:val="none" w:sz="0" w:space="0" w:color="auto"/>
          </w:divBdr>
        </w:div>
        <w:div w:id="221409248">
          <w:marLeft w:val="0"/>
          <w:marRight w:val="0"/>
          <w:marTop w:val="0"/>
          <w:marBottom w:val="0"/>
          <w:divBdr>
            <w:top w:val="none" w:sz="0" w:space="0" w:color="auto"/>
            <w:left w:val="none" w:sz="0" w:space="0" w:color="auto"/>
            <w:bottom w:val="none" w:sz="0" w:space="0" w:color="auto"/>
            <w:right w:val="none" w:sz="0" w:space="0" w:color="auto"/>
          </w:divBdr>
        </w:div>
        <w:div w:id="251361242">
          <w:marLeft w:val="0"/>
          <w:marRight w:val="0"/>
          <w:marTop w:val="0"/>
          <w:marBottom w:val="0"/>
          <w:divBdr>
            <w:top w:val="none" w:sz="0" w:space="0" w:color="auto"/>
            <w:left w:val="none" w:sz="0" w:space="0" w:color="auto"/>
            <w:bottom w:val="none" w:sz="0" w:space="0" w:color="auto"/>
            <w:right w:val="none" w:sz="0" w:space="0" w:color="auto"/>
          </w:divBdr>
        </w:div>
        <w:div w:id="264852889">
          <w:marLeft w:val="0"/>
          <w:marRight w:val="0"/>
          <w:marTop w:val="0"/>
          <w:marBottom w:val="0"/>
          <w:divBdr>
            <w:top w:val="none" w:sz="0" w:space="0" w:color="auto"/>
            <w:left w:val="none" w:sz="0" w:space="0" w:color="auto"/>
            <w:bottom w:val="none" w:sz="0" w:space="0" w:color="auto"/>
            <w:right w:val="none" w:sz="0" w:space="0" w:color="auto"/>
          </w:divBdr>
        </w:div>
        <w:div w:id="265428268">
          <w:marLeft w:val="0"/>
          <w:marRight w:val="0"/>
          <w:marTop w:val="0"/>
          <w:marBottom w:val="0"/>
          <w:divBdr>
            <w:top w:val="none" w:sz="0" w:space="0" w:color="auto"/>
            <w:left w:val="none" w:sz="0" w:space="0" w:color="auto"/>
            <w:bottom w:val="none" w:sz="0" w:space="0" w:color="auto"/>
            <w:right w:val="none" w:sz="0" w:space="0" w:color="auto"/>
          </w:divBdr>
        </w:div>
        <w:div w:id="281230905">
          <w:marLeft w:val="0"/>
          <w:marRight w:val="0"/>
          <w:marTop w:val="0"/>
          <w:marBottom w:val="0"/>
          <w:divBdr>
            <w:top w:val="none" w:sz="0" w:space="0" w:color="auto"/>
            <w:left w:val="none" w:sz="0" w:space="0" w:color="auto"/>
            <w:bottom w:val="none" w:sz="0" w:space="0" w:color="auto"/>
            <w:right w:val="none" w:sz="0" w:space="0" w:color="auto"/>
          </w:divBdr>
        </w:div>
        <w:div w:id="289361622">
          <w:marLeft w:val="0"/>
          <w:marRight w:val="0"/>
          <w:marTop w:val="0"/>
          <w:marBottom w:val="0"/>
          <w:divBdr>
            <w:top w:val="none" w:sz="0" w:space="0" w:color="auto"/>
            <w:left w:val="none" w:sz="0" w:space="0" w:color="auto"/>
            <w:bottom w:val="none" w:sz="0" w:space="0" w:color="auto"/>
            <w:right w:val="none" w:sz="0" w:space="0" w:color="auto"/>
          </w:divBdr>
        </w:div>
        <w:div w:id="305168250">
          <w:marLeft w:val="0"/>
          <w:marRight w:val="0"/>
          <w:marTop w:val="0"/>
          <w:marBottom w:val="0"/>
          <w:divBdr>
            <w:top w:val="none" w:sz="0" w:space="0" w:color="auto"/>
            <w:left w:val="none" w:sz="0" w:space="0" w:color="auto"/>
            <w:bottom w:val="none" w:sz="0" w:space="0" w:color="auto"/>
            <w:right w:val="none" w:sz="0" w:space="0" w:color="auto"/>
          </w:divBdr>
        </w:div>
        <w:div w:id="343096753">
          <w:marLeft w:val="0"/>
          <w:marRight w:val="0"/>
          <w:marTop w:val="0"/>
          <w:marBottom w:val="0"/>
          <w:divBdr>
            <w:top w:val="none" w:sz="0" w:space="0" w:color="auto"/>
            <w:left w:val="none" w:sz="0" w:space="0" w:color="auto"/>
            <w:bottom w:val="none" w:sz="0" w:space="0" w:color="auto"/>
            <w:right w:val="none" w:sz="0" w:space="0" w:color="auto"/>
          </w:divBdr>
        </w:div>
        <w:div w:id="343752536">
          <w:marLeft w:val="0"/>
          <w:marRight w:val="0"/>
          <w:marTop w:val="0"/>
          <w:marBottom w:val="0"/>
          <w:divBdr>
            <w:top w:val="none" w:sz="0" w:space="0" w:color="auto"/>
            <w:left w:val="none" w:sz="0" w:space="0" w:color="auto"/>
            <w:bottom w:val="none" w:sz="0" w:space="0" w:color="auto"/>
            <w:right w:val="none" w:sz="0" w:space="0" w:color="auto"/>
          </w:divBdr>
        </w:div>
        <w:div w:id="356199225">
          <w:marLeft w:val="0"/>
          <w:marRight w:val="0"/>
          <w:marTop w:val="0"/>
          <w:marBottom w:val="0"/>
          <w:divBdr>
            <w:top w:val="none" w:sz="0" w:space="0" w:color="auto"/>
            <w:left w:val="none" w:sz="0" w:space="0" w:color="auto"/>
            <w:bottom w:val="none" w:sz="0" w:space="0" w:color="auto"/>
            <w:right w:val="none" w:sz="0" w:space="0" w:color="auto"/>
          </w:divBdr>
        </w:div>
        <w:div w:id="370571794">
          <w:marLeft w:val="0"/>
          <w:marRight w:val="0"/>
          <w:marTop w:val="0"/>
          <w:marBottom w:val="0"/>
          <w:divBdr>
            <w:top w:val="none" w:sz="0" w:space="0" w:color="auto"/>
            <w:left w:val="none" w:sz="0" w:space="0" w:color="auto"/>
            <w:bottom w:val="none" w:sz="0" w:space="0" w:color="auto"/>
            <w:right w:val="none" w:sz="0" w:space="0" w:color="auto"/>
          </w:divBdr>
        </w:div>
        <w:div w:id="373313353">
          <w:marLeft w:val="0"/>
          <w:marRight w:val="0"/>
          <w:marTop w:val="0"/>
          <w:marBottom w:val="0"/>
          <w:divBdr>
            <w:top w:val="none" w:sz="0" w:space="0" w:color="auto"/>
            <w:left w:val="none" w:sz="0" w:space="0" w:color="auto"/>
            <w:bottom w:val="none" w:sz="0" w:space="0" w:color="auto"/>
            <w:right w:val="none" w:sz="0" w:space="0" w:color="auto"/>
          </w:divBdr>
        </w:div>
        <w:div w:id="399448301">
          <w:marLeft w:val="0"/>
          <w:marRight w:val="0"/>
          <w:marTop w:val="0"/>
          <w:marBottom w:val="0"/>
          <w:divBdr>
            <w:top w:val="none" w:sz="0" w:space="0" w:color="auto"/>
            <w:left w:val="none" w:sz="0" w:space="0" w:color="auto"/>
            <w:bottom w:val="none" w:sz="0" w:space="0" w:color="auto"/>
            <w:right w:val="none" w:sz="0" w:space="0" w:color="auto"/>
          </w:divBdr>
        </w:div>
        <w:div w:id="417291388">
          <w:marLeft w:val="0"/>
          <w:marRight w:val="0"/>
          <w:marTop w:val="0"/>
          <w:marBottom w:val="0"/>
          <w:divBdr>
            <w:top w:val="none" w:sz="0" w:space="0" w:color="auto"/>
            <w:left w:val="none" w:sz="0" w:space="0" w:color="auto"/>
            <w:bottom w:val="none" w:sz="0" w:space="0" w:color="auto"/>
            <w:right w:val="none" w:sz="0" w:space="0" w:color="auto"/>
          </w:divBdr>
        </w:div>
        <w:div w:id="447240049">
          <w:marLeft w:val="0"/>
          <w:marRight w:val="0"/>
          <w:marTop w:val="0"/>
          <w:marBottom w:val="0"/>
          <w:divBdr>
            <w:top w:val="none" w:sz="0" w:space="0" w:color="auto"/>
            <w:left w:val="none" w:sz="0" w:space="0" w:color="auto"/>
            <w:bottom w:val="none" w:sz="0" w:space="0" w:color="auto"/>
            <w:right w:val="none" w:sz="0" w:space="0" w:color="auto"/>
          </w:divBdr>
        </w:div>
        <w:div w:id="449974428">
          <w:marLeft w:val="0"/>
          <w:marRight w:val="0"/>
          <w:marTop w:val="0"/>
          <w:marBottom w:val="0"/>
          <w:divBdr>
            <w:top w:val="none" w:sz="0" w:space="0" w:color="auto"/>
            <w:left w:val="none" w:sz="0" w:space="0" w:color="auto"/>
            <w:bottom w:val="none" w:sz="0" w:space="0" w:color="auto"/>
            <w:right w:val="none" w:sz="0" w:space="0" w:color="auto"/>
          </w:divBdr>
        </w:div>
        <w:div w:id="452791389">
          <w:marLeft w:val="0"/>
          <w:marRight w:val="0"/>
          <w:marTop w:val="0"/>
          <w:marBottom w:val="0"/>
          <w:divBdr>
            <w:top w:val="none" w:sz="0" w:space="0" w:color="auto"/>
            <w:left w:val="none" w:sz="0" w:space="0" w:color="auto"/>
            <w:bottom w:val="none" w:sz="0" w:space="0" w:color="auto"/>
            <w:right w:val="none" w:sz="0" w:space="0" w:color="auto"/>
          </w:divBdr>
        </w:div>
        <w:div w:id="458381897">
          <w:marLeft w:val="0"/>
          <w:marRight w:val="0"/>
          <w:marTop w:val="0"/>
          <w:marBottom w:val="0"/>
          <w:divBdr>
            <w:top w:val="none" w:sz="0" w:space="0" w:color="auto"/>
            <w:left w:val="none" w:sz="0" w:space="0" w:color="auto"/>
            <w:bottom w:val="none" w:sz="0" w:space="0" w:color="auto"/>
            <w:right w:val="none" w:sz="0" w:space="0" w:color="auto"/>
          </w:divBdr>
        </w:div>
        <w:div w:id="467287906">
          <w:marLeft w:val="0"/>
          <w:marRight w:val="0"/>
          <w:marTop w:val="0"/>
          <w:marBottom w:val="0"/>
          <w:divBdr>
            <w:top w:val="none" w:sz="0" w:space="0" w:color="auto"/>
            <w:left w:val="none" w:sz="0" w:space="0" w:color="auto"/>
            <w:bottom w:val="none" w:sz="0" w:space="0" w:color="auto"/>
            <w:right w:val="none" w:sz="0" w:space="0" w:color="auto"/>
          </w:divBdr>
        </w:div>
        <w:div w:id="483205756">
          <w:marLeft w:val="0"/>
          <w:marRight w:val="0"/>
          <w:marTop w:val="0"/>
          <w:marBottom w:val="0"/>
          <w:divBdr>
            <w:top w:val="none" w:sz="0" w:space="0" w:color="auto"/>
            <w:left w:val="none" w:sz="0" w:space="0" w:color="auto"/>
            <w:bottom w:val="none" w:sz="0" w:space="0" w:color="auto"/>
            <w:right w:val="none" w:sz="0" w:space="0" w:color="auto"/>
          </w:divBdr>
        </w:div>
        <w:div w:id="484780224">
          <w:marLeft w:val="0"/>
          <w:marRight w:val="0"/>
          <w:marTop w:val="0"/>
          <w:marBottom w:val="0"/>
          <w:divBdr>
            <w:top w:val="none" w:sz="0" w:space="0" w:color="auto"/>
            <w:left w:val="none" w:sz="0" w:space="0" w:color="auto"/>
            <w:bottom w:val="none" w:sz="0" w:space="0" w:color="auto"/>
            <w:right w:val="none" w:sz="0" w:space="0" w:color="auto"/>
          </w:divBdr>
        </w:div>
        <w:div w:id="499392555">
          <w:marLeft w:val="0"/>
          <w:marRight w:val="0"/>
          <w:marTop w:val="0"/>
          <w:marBottom w:val="0"/>
          <w:divBdr>
            <w:top w:val="none" w:sz="0" w:space="0" w:color="auto"/>
            <w:left w:val="none" w:sz="0" w:space="0" w:color="auto"/>
            <w:bottom w:val="none" w:sz="0" w:space="0" w:color="auto"/>
            <w:right w:val="none" w:sz="0" w:space="0" w:color="auto"/>
          </w:divBdr>
        </w:div>
        <w:div w:id="514000370">
          <w:marLeft w:val="0"/>
          <w:marRight w:val="0"/>
          <w:marTop w:val="0"/>
          <w:marBottom w:val="0"/>
          <w:divBdr>
            <w:top w:val="none" w:sz="0" w:space="0" w:color="auto"/>
            <w:left w:val="none" w:sz="0" w:space="0" w:color="auto"/>
            <w:bottom w:val="none" w:sz="0" w:space="0" w:color="auto"/>
            <w:right w:val="none" w:sz="0" w:space="0" w:color="auto"/>
          </w:divBdr>
        </w:div>
        <w:div w:id="521820609">
          <w:marLeft w:val="0"/>
          <w:marRight w:val="0"/>
          <w:marTop w:val="0"/>
          <w:marBottom w:val="0"/>
          <w:divBdr>
            <w:top w:val="none" w:sz="0" w:space="0" w:color="auto"/>
            <w:left w:val="none" w:sz="0" w:space="0" w:color="auto"/>
            <w:bottom w:val="none" w:sz="0" w:space="0" w:color="auto"/>
            <w:right w:val="none" w:sz="0" w:space="0" w:color="auto"/>
          </w:divBdr>
        </w:div>
        <w:div w:id="523130146">
          <w:marLeft w:val="0"/>
          <w:marRight w:val="0"/>
          <w:marTop w:val="0"/>
          <w:marBottom w:val="0"/>
          <w:divBdr>
            <w:top w:val="none" w:sz="0" w:space="0" w:color="auto"/>
            <w:left w:val="none" w:sz="0" w:space="0" w:color="auto"/>
            <w:bottom w:val="none" w:sz="0" w:space="0" w:color="auto"/>
            <w:right w:val="none" w:sz="0" w:space="0" w:color="auto"/>
          </w:divBdr>
        </w:div>
        <w:div w:id="528297911">
          <w:marLeft w:val="0"/>
          <w:marRight w:val="0"/>
          <w:marTop w:val="0"/>
          <w:marBottom w:val="0"/>
          <w:divBdr>
            <w:top w:val="none" w:sz="0" w:space="0" w:color="auto"/>
            <w:left w:val="none" w:sz="0" w:space="0" w:color="auto"/>
            <w:bottom w:val="none" w:sz="0" w:space="0" w:color="auto"/>
            <w:right w:val="none" w:sz="0" w:space="0" w:color="auto"/>
          </w:divBdr>
        </w:div>
        <w:div w:id="536351937">
          <w:marLeft w:val="0"/>
          <w:marRight w:val="0"/>
          <w:marTop w:val="0"/>
          <w:marBottom w:val="0"/>
          <w:divBdr>
            <w:top w:val="none" w:sz="0" w:space="0" w:color="auto"/>
            <w:left w:val="none" w:sz="0" w:space="0" w:color="auto"/>
            <w:bottom w:val="none" w:sz="0" w:space="0" w:color="auto"/>
            <w:right w:val="none" w:sz="0" w:space="0" w:color="auto"/>
          </w:divBdr>
        </w:div>
        <w:div w:id="536548305">
          <w:marLeft w:val="0"/>
          <w:marRight w:val="0"/>
          <w:marTop w:val="0"/>
          <w:marBottom w:val="0"/>
          <w:divBdr>
            <w:top w:val="none" w:sz="0" w:space="0" w:color="auto"/>
            <w:left w:val="none" w:sz="0" w:space="0" w:color="auto"/>
            <w:bottom w:val="none" w:sz="0" w:space="0" w:color="auto"/>
            <w:right w:val="none" w:sz="0" w:space="0" w:color="auto"/>
          </w:divBdr>
        </w:div>
        <w:div w:id="539240955">
          <w:marLeft w:val="0"/>
          <w:marRight w:val="0"/>
          <w:marTop w:val="0"/>
          <w:marBottom w:val="0"/>
          <w:divBdr>
            <w:top w:val="none" w:sz="0" w:space="0" w:color="auto"/>
            <w:left w:val="none" w:sz="0" w:space="0" w:color="auto"/>
            <w:bottom w:val="none" w:sz="0" w:space="0" w:color="auto"/>
            <w:right w:val="none" w:sz="0" w:space="0" w:color="auto"/>
          </w:divBdr>
        </w:div>
        <w:div w:id="546062372">
          <w:marLeft w:val="0"/>
          <w:marRight w:val="0"/>
          <w:marTop w:val="0"/>
          <w:marBottom w:val="0"/>
          <w:divBdr>
            <w:top w:val="none" w:sz="0" w:space="0" w:color="auto"/>
            <w:left w:val="none" w:sz="0" w:space="0" w:color="auto"/>
            <w:bottom w:val="none" w:sz="0" w:space="0" w:color="auto"/>
            <w:right w:val="none" w:sz="0" w:space="0" w:color="auto"/>
          </w:divBdr>
        </w:div>
        <w:div w:id="568613075">
          <w:marLeft w:val="0"/>
          <w:marRight w:val="0"/>
          <w:marTop w:val="0"/>
          <w:marBottom w:val="0"/>
          <w:divBdr>
            <w:top w:val="none" w:sz="0" w:space="0" w:color="auto"/>
            <w:left w:val="none" w:sz="0" w:space="0" w:color="auto"/>
            <w:bottom w:val="none" w:sz="0" w:space="0" w:color="auto"/>
            <w:right w:val="none" w:sz="0" w:space="0" w:color="auto"/>
          </w:divBdr>
        </w:div>
        <w:div w:id="577636166">
          <w:marLeft w:val="0"/>
          <w:marRight w:val="0"/>
          <w:marTop w:val="0"/>
          <w:marBottom w:val="0"/>
          <w:divBdr>
            <w:top w:val="none" w:sz="0" w:space="0" w:color="auto"/>
            <w:left w:val="none" w:sz="0" w:space="0" w:color="auto"/>
            <w:bottom w:val="none" w:sz="0" w:space="0" w:color="auto"/>
            <w:right w:val="none" w:sz="0" w:space="0" w:color="auto"/>
          </w:divBdr>
        </w:div>
        <w:div w:id="598293208">
          <w:marLeft w:val="0"/>
          <w:marRight w:val="0"/>
          <w:marTop w:val="0"/>
          <w:marBottom w:val="0"/>
          <w:divBdr>
            <w:top w:val="none" w:sz="0" w:space="0" w:color="auto"/>
            <w:left w:val="none" w:sz="0" w:space="0" w:color="auto"/>
            <w:bottom w:val="none" w:sz="0" w:space="0" w:color="auto"/>
            <w:right w:val="none" w:sz="0" w:space="0" w:color="auto"/>
          </w:divBdr>
        </w:div>
        <w:div w:id="598564399">
          <w:marLeft w:val="0"/>
          <w:marRight w:val="0"/>
          <w:marTop w:val="0"/>
          <w:marBottom w:val="0"/>
          <w:divBdr>
            <w:top w:val="none" w:sz="0" w:space="0" w:color="auto"/>
            <w:left w:val="none" w:sz="0" w:space="0" w:color="auto"/>
            <w:bottom w:val="none" w:sz="0" w:space="0" w:color="auto"/>
            <w:right w:val="none" w:sz="0" w:space="0" w:color="auto"/>
          </w:divBdr>
        </w:div>
        <w:div w:id="616913484">
          <w:marLeft w:val="0"/>
          <w:marRight w:val="0"/>
          <w:marTop w:val="0"/>
          <w:marBottom w:val="0"/>
          <w:divBdr>
            <w:top w:val="none" w:sz="0" w:space="0" w:color="auto"/>
            <w:left w:val="none" w:sz="0" w:space="0" w:color="auto"/>
            <w:bottom w:val="none" w:sz="0" w:space="0" w:color="auto"/>
            <w:right w:val="none" w:sz="0" w:space="0" w:color="auto"/>
          </w:divBdr>
        </w:div>
        <w:div w:id="637881873">
          <w:marLeft w:val="0"/>
          <w:marRight w:val="0"/>
          <w:marTop w:val="0"/>
          <w:marBottom w:val="0"/>
          <w:divBdr>
            <w:top w:val="none" w:sz="0" w:space="0" w:color="auto"/>
            <w:left w:val="none" w:sz="0" w:space="0" w:color="auto"/>
            <w:bottom w:val="none" w:sz="0" w:space="0" w:color="auto"/>
            <w:right w:val="none" w:sz="0" w:space="0" w:color="auto"/>
          </w:divBdr>
        </w:div>
        <w:div w:id="647396361">
          <w:marLeft w:val="0"/>
          <w:marRight w:val="0"/>
          <w:marTop w:val="0"/>
          <w:marBottom w:val="0"/>
          <w:divBdr>
            <w:top w:val="none" w:sz="0" w:space="0" w:color="auto"/>
            <w:left w:val="none" w:sz="0" w:space="0" w:color="auto"/>
            <w:bottom w:val="none" w:sz="0" w:space="0" w:color="auto"/>
            <w:right w:val="none" w:sz="0" w:space="0" w:color="auto"/>
          </w:divBdr>
        </w:div>
        <w:div w:id="652608017">
          <w:marLeft w:val="0"/>
          <w:marRight w:val="0"/>
          <w:marTop w:val="0"/>
          <w:marBottom w:val="0"/>
          <w:divBdr>
            <w:top w:val="none" w:sz="0" w:space="0" w:color="auto"/>
            <w:left w:val="none" w:sz="0" w:space="0" w:color="auto"/>
            <w:bottom w:val="none" w:sz="0" w:space="0" w:color="auto"/>
            <w:right w:val="none" w:sz="0" w:space="0" w:color="auto"/>
          </w:divBdr>
        </w:div>
        <w:div w:id="677583712">
          <w:marLeft w:val="0"/>
          <w:marRight w:val="0"/>
          <w:marTop w:val="0"/>
          <w:marBottom w:val="0"/>
          <w:divBdr>
            <w:top w:val="none" w:sz="0" w:space="0" w:color="auto"/>
            <w:left w:val="none" w:sz="0" w:space="0" w:color="auto"/>
            <w:bottom w:val="none" w:sz="0" w:space="0" w:color="auto"/>
            <w:right w:val="none" w:sz="0" w:space="0" w:color="auto"/>
          </w:divBdr>
        </w:div>
        <w:div w:id="710106696">
          <w:marLeft w:val="0"/>
          <w:marRight w:val="0"/>
          <w:marTop w:val="0"/>
          <w:marBottom w:val="0"/>
          <w:divBdr>
            <w:top w:val="none" w:sz="0" w:space="0" w:color="auto"/>
            <w:left w:val="none" w:sz="0" w:space="0" w:color="auto"/>
            <w:bottom w:val="none" w:sz="0" w:space="0" w:color="auto"/>
            <w:right w:val="none" w:sz="0" w:space="0" w:color="auto"/>
          </w:divBdr>
        </w:div>
        <w:div w:id="726805165">
          <w:marLeft w:val="0"/>
          <w:marRight w:val="0"/>
          <w:marTop w:val="0"/>
          <w:marBottom w:val="0"/>
          <w:divBdr>
            <w:top w:val="none" w:sz="0" w:space="0" w:color="auto"/>
            <w:left w:val="none" w:sz="0" w:space="0" w:color="auto"/>
            <w:bottom w:val="none" w:sz="0" w:space="0" w:color="auto"/>
            <w:right w:val="none" w:sz="0" w:space="0" w:color="auto"/>
          </w:divBdr>
        </w:div>
        <w:div w:id="728727255">
          <w:marLeft w:val="0"/>
          <w:marRight w:val="0"/>
          <w:marTop w:val="0"/>
          <w:marBottom w:val="0"/>
          <w:divBdr>
            <w:top w:val="none" w:sz="0" w:space="0" w:color="auto"/>
            <w:left w:val="none" w:sz="0" w:space="0" w:color="auto"/>
            <w:bottom w:val="none" w:sz="0" w:space="0" w:color="auto"/>
            <w:right w:val="none" w:sz="0" w:space="0" w:color="auto"/>
          </w:divBdr>
        </w:div>
        <w:div w:id="740638083">
          <w:marLeft w:val="0"/>
          <w:marRight w:val="0"/>
          <w:marTop w:val="0"/>
          <w:marBottom w:val="0"/>
          <w:divBdr>
            <w:top w:val="none" w:sz="0" w:space="0" w:color="auto"/>
            <w:left w:val="none" w:sz="0" w:space="0" w:color="auto"/>
            <w:bottom w:val="none" w:sz="0" w:space="0" w:color="auto"/>
            <w:right w:val="none" w:sz="0" w:space="0" w:color="auto"/>
          </w:divBdr>
        </w:div>
        <w:div w:id="745104338">
          <w:marLeft w:val="0"/>
          <w:marRight w:val="0"/>
          <w:marTop w:val="0"/>
          <w:marBottom w:val="0"/>
          <w:divBdr>
            <w:top w:val="none" w:sz="0" w:space="0" w:color="auto"/>
            <w:left w:val="none" w:sz="0" w:space="0" w:color="auto"/>
            <w:bottom w:val="none" w:sz="0" w:space="0" w:color="auto"/>
            <w:right w:val="none" w:sz="0" w:space="0" w:color="auto"/>
          </w:divBdr>
        </w:div>
        <w:div w:id="773208647">
          <w:marLeft w:val="0"/>
          <w:marRight w:val="0"/>
          <w:marTop w:val="0"/>
          <w:marBottom w:val="0"/>
          <w:divBdr>
            <w:top w:val="none" w:sz="0" w:space="0" w:color="auto"/>
            <w:left w:val="none" w:sz="0" w:space="0" w:color="auto"/>
            <w:bottom w:val="none" w:sz="0" w:space="0" w:color="auto"/>
            <w:right w:val="none" w:sz="0" w:space="0" w:color="auto"/>
          </w:divBdr>
        </w:div>
        <w:div w:id="802385300">
          <w:marLeft w:val="0"/>
          <w:marRight w:val="0"/>
          <w:marTop w:val="0"/>
          <w:marBottom w:val="0"/>
          <w:divBdr>
            <w:top w:val="none" w:sz="0" w:space="0" w:color="auto"/>
            <w:left w:val="none" w:sz="0" w:space="0" w:color="auto"/>
            <w:bottom w:val="none" w:sz="0" w:space="0" w:color="auto"/>
            <w:right w:val="none" w:sz="0" w:space="0" w:color="auto"/>
          </w:divBdr>
        </w:div>
        <w:div w:id="807477223">
          <w:marLeft w:val="0"/>
          <w:marRight w:val="0"/>
          <w:marTop w:val="0"/>
          <w:marBottom w:val="0"/>
          <w:divBdr>
            <w:top w:val="none" w:sz="0" w:space="0" w:color="auto"/>
            <w:left w:val="none" w:sz="0" w:space="0" w:color="auto"/>
            <w:bottom w:val="none" w:sz="0" w:space="0" w:color="auto"/>
            <w:right w:val="none" w:sz="0" w:space="0" w:color="auto"/>
          </w:divBdr>
        </w:div>
        <w:div w:id="809788358">
          <w:marLeft w:val="0"/>
          <w:marRight w:val="0"/>
          <w:marTop w:val="0"/>
          <w:marBottom w:val="0"/>
          <w:divBdr>
            <w:top w:val="none" w:sz="0" w:space="0" w:color="auto"/>
            <w:left w:val="none" w:sz="0" w:space="0" w:color="auto"/>
            <w:bottom w:val="none" w:sz="0" w:space="0" w:color="auto"/>
            <w:right w:val="none" w:sz="0" w:space="0" w:color="auto"/>
          </w:divBdr>
        </w:div>
        <w:div w:id="810639394">
          <w:marLeft w:val="0"/>
          <w:marRight w:val="0"/>
          <w:marTop w:val="0"/>
          <w:marBottom w:val="0"/>
          <w:divBdr>
            <w:top w:val="none" w:sz="0" w:space="0" w:color="auto"/>
            <w:left w:val="none" w:sz="0" w:space="0" w:color="auto"/>
            <w:bottom w:val="none" w:sz="0" w:space="0" w:color="auto"/>
            <w:right w:val="none" w:sz="0" w:space="0" w:color="auto"/>
          </w:divBdr>
        </w:div>
        <w:div w:id="830414486">
          <w:marLeft w:val="0"/>
          <w:marRight w:val="0"/>
          <w:marTop w:val="0"/>
          <w:marBottom w:val="0"/>
          <w:divBdr>
            <w:top w:val="none" w:sz="0" w:space="0" w:color="auto"/>
            <w:left w:val="none" w:sz="0" w:space="0" w:color="auto"/>
            <w:bottom w:val="none" w:sz="0" w:space="0" w:color="auto"/>
            <w:right w:val="none" w:sz="0" w:space="0" w:color="auto"/>
          </w:divBdr>
        </w:div>
        <w:div w:id="831683835">
          <w:marLeft w:val="0"/>
          <w:marRight w:val="0"/>
          <w:marTop w:val="0"/>
          <w:marBottom w:val="0"/>
          <w:divBdr>
            <w:top w:val="none" w:sz="0" w:space="0" w:color="auto"/>
            <w:left w:val="none" w:sz="0" w:space="0" w:color="auto"/>
            <w:bottom w:val="none" w:sz="0" w:space="0" w:color="auto"/>
            <w:right w:val="none" w:sz="0" w:space="0" w:color="auto"/>
          </w:divBdr>
        </w:div>
        <w:div w:id="849561482">
          <w:marLeft w:val="0"/>
          <w:marRight w:val="0"/>
          <w:marTop w:val="0"/>
          <w:marBottom w:val="0"/>
          <w:divBdr>
            <w:top w:val="none" w:sz="0" w:space="0" w:color="auto"/>
            <w:left w:val="none" w:sz="0" w:space="0" w:color="auto"/>
            <w:bottom w:val="none" w:sz="0" w:space="0" w:color="auto"/>
            <w:right w:val="none" w:sz="0" w:space="0" w:color="auto"/>
          </w:divBdr>
        </w:div>
        <w:div w:id="862522883">
          <w:marLeft w:val="0"/>
          <w:marRight w:val="0"/>
          <w:marTop w:val="0"/>
          <w:marBottom w:val="0"/>
          <w:divBdr>
            <w:top w:val="none" w:sz="0" w:space="0" w:color="auto"/>
            <w:left w:val="none" w:sz="0" w:space="0" w:color="auto"/>
            <w:bottom w:val="none" w:sz="0" w:space="0" w:color="auto"/>
            <w:right w:val="none" w:sz="0" w:space="0" w:color="auto"/>
          </w:divBdr>
        </w:div>
        <w:div w:id="879973573">
          <w:marLeft w:val="0"/>
          <w:marRight w:val="0"/>
          <w:marTop w:val="0"/>
          <w:marBottom w:val="0"/>
          <w:divBdr>
            <w:top w:val="none" w:sz="0" w:space="0" w:color="auto"/>
            <w:left w:val="none" w:sz="0" w:space="0" w:color="auto"/>
            <w:bottom w:val="none" w:sz="0" w:space="0" w:color="auto"/>
            <w:right w:val="none" w:sz="0" w:space="0" w:color="auto"/>
          </w:divBdr>
        </w:div>
        <w:div w:id="892429412">
          <w:marLeft w:val="0"/>
          <w:marRight w:val="0"/>
          <w:marTop w:val="0"/>
          <w:marBottom w:val="0"/>
          <w:divBdr>
            <w:top w:val="none" w:sz="0" w:space="0" w:color="auto"/>
            <w:left w:val="none" w:sz="0" w:space="0" w:color="auto"/>
            <w:bottom w:val="none" w:sz="0" w:space="0" w:color="auto"/>
            <w:right w:val="none" w:sz="0" w:space="0" w:color="auto"/>
          </w:divBdr>
        </w:div>
        <w:div w:id="899829955">
          <w:marLeft w:val="0"/>
          <w:marRight w:val="0"/>
          <w:marTop w:val="0"/>
          <w:marBottom w:val="0"/>
          <w:divBdr>
            <w:top w:val="none" w:sz="0" w:space="0" w:color="auto"/>
            <w:left w:val="none" w:sz="0" w:space="0" w:color="auto"/>
            <w:bottom w:val="none" w:sz="0" w:space="0" w:color="auto"/>
            <w:right w:val="none" w:sz="0" w:space="0" w:color="auto"/>
          </w:divBdr>
        </w:div>
        <w:div w:id="903688222">
          <w:marLeft w:val="0"/>
          <w:marRight w:val="0"/>
          <w:marTop w:val="0"/>
          <w:marBottom w:val="0"/>
          <w:divBdr>
            <w:top w:val="none" w:sz="0" w:space="0" w:color="auto"/>
            <w:left w:val="none" w:sz="0" w:space="0" w:color="auto"/>
            <w:bottom w:val="none" w:sz="0" w:space="0" w:color="auto"/>
            <w:right w:val="none" w:sz="0" w:space="0" w:color="auto"/>
          </w:divBdr>
        </w:div>
        <w:div w:id="916283033">
          <w:marLeft w:val="0"/>
          <w:marRight w:val="0"/>
          <w:marTop w:val="0"/>
          <w:marBottom w:val="0"/>
          <w:divBdr>
            <w:top w:val="none" w:sz="0" w:space="0" w:color="auto"/>
            <w:left w:val="none" w:sz="0" w:space="0" w:color="auto"/>
            <w:bottom w:val="none" w:sz="0" w:space="0" w:color="auto"/>
            <w:right w:val="none" w:sz="0" w:space="0" w:color="auto"/>
          </w:divBdr>
        </w:div>
        <w:div w:id="921792998">
          <w:marLeft w:val="0"/>
          <w:marRight w:val="0"/>
          <w:marTop w:val="0"/>
          <w:marBottom w:val="0"/>
          <w:divBdr>
            <w:top w:val="none" w:sz="0" w:space="0" w:color="auto"/>
            <w:left w:val="none" w:sz="0" w:space="0" w:color="auto"/>
            <w:bottom w:val="none" w:sz="0" w:space="0" w:color="auto"/>
            <w:right w:val="none" w:sz="0" w:space="0" w:color="auto"/>
          </w:divBdr>
        </w:div>
        <w:div w:id="951664155">
          <w:marLeft w:val="0"/>
          <w:marRight w:val="0"/>
          <w:marTop w:val="0"/>
          <w:marBottom w:val="0"/>
          <w:divBdr>
            <w:top w:val="none" w:sz="0" w:space="0" w:color="auto"/>
            <w:left w:val="none" w:sz="0" w:space="0" w:color="auto"/>
            <w:bottom w:val="none" w:sz="0" w:space="0" w:color="auto"/>
            <w:right w:val="none" w:sz="0" w:space="0" w:color="auto"/>
          </w:divBdr>
        </w:div>
        <w:div w:id="959409936">
          <w:marLeft w:val="0"/>
          <w:marRight w:val="0"/>
          <w:marTop w:val="0"/>
          <w:marBottom w:val="0"/>
          <w:divBdr>
            <w:top w:val="none" w:sz="0" w:space="0" w:color="auto"/>
            <w:left w:val="none" w:sz="0" w:space="0" w:color="auto"/>
            <w:bottom w:val="none" w:sz="0" w:space="0" w:color="auto"/>
            <w:right w:val="none" w:sz="0" w:space="0" w:color="auto"/>
          </w:divBdr>
        </w:div>
        <w:div w:id="966743016">
          <w:marLeft w:val="0"/>
          <w:marRight w:val="0"/>
          <w:marTop w:val="0"/>
          <w:marBottom w:val="0"/>
          <w:divBdr>
            <w:top w:val="none" w:sz="0" w:space="0" w:color="auto"/>
            <w:left w:val="none" w:sz="0" w:space="0" w:color="auto"/>
            <w:bottom w:val="none" w:sz="0" w:space="0" w:color="auto"/>
            <w:right w:val="none" w:sz="0" w:space="0" w:color="auto"/>
          </w:divBdr>
        </w:div>
        <w:div w:id="973103781">
          <w:marLeft w:val="0"/>
          <w:marRight w:val="0"/>
          <w:marTop w:val="0"/>
          <w:marBottom w:val="0"/>
          <w:divBdr>
            <w:top w:val="none" w:sz="0" w:space="0" w:color="auto"/>
            <w:left w:val="none" w:sz="0" w:space="0" w:color="auto"/>
            <w:bottom w:val="none" w:sz="0" w:space="0" w:color="auto"/>
            <w:right w:val="none" w:sz="0" w:space="0" w:color="auto"/>
          </w:divBdr>
        </w:div>
        <w:div w:id="997148251">
          <w:marLeft w:val="0"/>
          <w:marRight w:val="0"/>
          <w:marTop w:val="0"/>
          <w:marBottom w:val="0"/>
          <w:divBdr>
            <w:top w:val="none" w:sz="0" w:space="0" w:color="auto"/>
            <w:left w:val="none" w:sz="0" w:space="0" w:color="auto"/>
            <w:bottom w:val="none" w:sz="0" w:space="0" w:color="auto"/>
            <w:right w:val="none" w:sz="0" w:space="0" w:color="auto"/>
          </w:divBdr>
        </w:div>
        <w:div w:id="1010373017">
          <w:marLeft w:val="0"/>
          <w:marRight w:val="0"/>
          <w:marTop w:val="0"/>
          <w:marBottom w:val="0"/>
          <w:divBdr>
            <w:top w:val="none" w:sz="0" w:space="0" w:color="auto"/>
            <w:left w:val="none" w:sz="0" w:space="0" w:color="auto"/>
            <w:bottom w:val="none" w:sz="0" w:space="0" w:color="auto"/>
            <w:right w:val="none" w:sz="0" w:space="0" w:color="auto"/>
          </w:divBdr>
        </w:div>
        <w:div w:id="1014916051">
          <w:marLeft w:val="0"/>
          <w:marRight w:val="0"/>
          <w:marTop w:val="0"/>
          <w:marBottom w:val="0"/>
          <w:divBdr>
            <w:top w:val="none" w:sz="0" w:space="0" w:color="auto"/>
            <w:left w:val="none" w:sz="0" w:space="0" w:color="auto"/>
            <w:bottom w:val="none" w:sz="0" w:space="0" w:color="auto"/>
            <w:right w:val="none" w:sz="0" w:space="0" w:color="auto"/>
          </w:divBdr>
        </w:div>
        <w:div w:id="1038433495">
          <w:marLeft w:val="0"/>
          <w:marRight w:val="0"/>
          <w:marTop w:val="0"/>
          <w:marBottom w:val="0"/>
          <w:divBdr>
            <w:top w:val="none" w:sz="0" w:space="0" w:color="auto"/>
            <w:left w:val="none" w:sz="0" w:space="0" w:color="auto"/>
            <w:bottom w:val="none" w:sz="0" w:space="0" w:color="auto"/>
            <w:right w:val="none" w:sz="0" w:space="0" w:color="auto"/>
          </w:divBdr>
        </w:div>
        <w:div w:id="1083188400">
          <w:marLeft w:val="0"/>
          <w:marRight w:val="0"/>
          <w:marTop w:val="0"/>
          <w:marBottom w:val="0"/>
          <w:divBdr>
            <w:top w:val="none" w:sz="0" w:space="0" w:color="auto"/>
            <w:left w:val="none" w:sz="0" w:space="0" w:color="auto"/>
            <w:bottom w:val="none" w:sz="0" w:space="0" w:color="auto"/>
            <w:right w:val="none" w:sz="0" w:space="0" w:color="auto"/>
          </w:divBdr>
        </w:div>
        <w:div w:id="1086458323">
          <w:marLeft w:val="0"/>
          <w:marRight w:val="0"/>
          <w:marTop w:val="0"/>
          <w:marBottom w:val="0"/>
          <w:divBdr>
            <w:top w:val="none" w:sz="0" w:space="0" w:color="auto"/>
            <w:left w:val="none" w:sz="0" w:space="0" w:color="auto"/>
            <w:bottom w:val="none" w:sz="0" w:space="0" w:color="auto"/>
            <w:right w:val="none" w:sz="0" w:space="0" w:color="auto"/>
          </w:divBdr>
        </w:div>
        <w:div w:id="1094279355">
          <w:marLeft w:val="0"/>
          <w:marRight w:val="0"/>
          <w:marTop w:val="0"/>
          <w:marBottom w:val="0"/>
          <w:divBdr>
            <w:top w:val="none" w:sz="0" w:space="0" w:color="auto"/>
            <w:left w:val="none" w:sz="0" w:space="0" w:color="auto"/>
            <w:bottom w:val="none" w:sz="0" w:space="0" w:color="auto"/>
            <w:right w:val="none" w:sz="0" w:space="0" w:color="auto"/>
          </w:divBdr>
        </w:div>
        <w:div w:id="1107429157">
          <w:marLeft w:val="0"/>
          <w:marRight w:val="0"/>
          <w:marTop w:val="0"/>
          <w:marBottom w:val="0"/>
          <w:divBdr>
            <w:top w:val="none" w:sz="0" w:space="0" w:color="auto"/>
            <w:left w:val="none" w:sz="0" w:space="0" w:color="auto"/>
            <w:bottom w:val="none" w:sz="0" w:space="0" w:color="auto"/>
            <w:right w:val="none" w:sz="0" w:space="0" w:color="auto"/>
          </w:divBdr>
        </w:div>
        <w:div w:id="1139805370">
          <w:marLeft w:val="0"/>
          <w:marRight w:val="0"/>
          <w:marTop w:val="0"/>
          <w:marBottom w:val="0"/>
          <w:divBdr>
            <w:top w:val="none" w:sz="0" w:space="0" w:color="auto"/>
            <w:left w:val="none" w:sz="0" w:space="0" w:color="auto"/>
            <w:bottom w:val="none" w:sz="0" w:space="0" w:color="auto"/>
            <w:right w:val="none" w:sz="0" w:space="0" w:color="auto"/>
          </w:divBdr>
        </w:div>
        <w:div w:id="1155146886">
          <w:marLeft w:val="0"/>
          <w:marRight w:val="0"/>
          <w:marTop w:val="0"/>
          <w:marBottom w:val="0"/>
          <w:divBdr>
            <w:top w:val="none" w:sz="0" w:space="0" w:color="auto"/>
            <w:left w:val="none" w:sz="0" w:space="0" w:color="auto"/>
            <w:bottom w:val="none" w:sz="0" w:space="0" w:color="auto"/>
            <w:right w:val="none" w:sz="0" w:space="0" w:color="auto"/>
          </w:divBdr>
        </w:div>
        <w:div w:id="1162237484">
          <w:marLeft w:val="0"/>
          <w:marRight w:val="0"/>
          <w:marTop w:val="0"/>
          <w:marBottom w:val="0"/>
          <w:divBdr>
            <w:top w:val="none" w:sz="0" w:space="0" w:color="auto"/>
            <w:left w:val="none" w:sz="0" w:space="0" w:color="auto"/>
            <w:bottom w:val="none" w:sz="0" w:space="0" w:color="auto"/>
            <w:right w:val="none" w:sz="0" w:space="0" w:color="auto"/>
          </w:divBdr>
        </w:div>
        <w:div w:id="1168792751">
          <w:marLeft w:val="0"/>
          <w:marRight w:val="0"/>
          <w:marTop w:val="0"/>
          <w:marBottom w:val="0"/>
          <w:divBdr>
            <w:top w:val="none" w:sz="0" w:space="0" w:color="auto"/>
            <w:left w:val="none" w:sz="0" w:space="0" w:color="auto"/>
            <w:bottom w:val="none" w:sz="0" w:space="0" w:color="auto"/>
            <w:right w:val="none" w:sz="0" w:space="0" w:color="auto"/>
          </w:divBdr>
        </w:div>
        <w:div w:id="1172374281">
          <w:marLeft w:val="0"/>
          <w:marRight w:val="0"/>
          <w:marTop w:val="0"/>
          <w:marBottom w:val="0"/>
          <w:divBdr>
            <w:top w:val="none" w:sz="0" w:space="0" w:color="auto"/>
            <w:left w:val="none" w:sz="0" w:space="0" w:color="auto"/>
            <w:bottom w:val="none" w:sz="0" w:space="0" w:color="auto"/>
            <w:right w:val="none" w:sz="0" w:space="0" w:color="auto"/>
          </w:divBdr>
        </w:div>
        <w:div w:id="1176647954">
          <w:marLeft w:val="0"/>
          <w:marRight w:val="0"/>
          <w:marTop w:val="0"/>
          <w:marBottom w:val="0"/>
          <w:divBdr>
            <w:top w:val="none" w:sz="0" w:space="0" w:color="auto"/>
            <w:left w:val="none" w:sz="0" w:space="0" w:color="auto"/>
            <w:bottom w:val="none" w:sz="0" w:space="0" w:color="auto"/>
            <w:right w:val="none" w:sz="0" w:space="0" w:color="auto"/>
          </w:divBdr>
        </w:div>
        <w:div w:id="1212955825">
          <w:marLeft w:val="0"/>
          <w:marRight w:val="0"/>
          <w:marTop w:val="0"/>
          <w:marBottom w:val="0"/>
          <w:divBdr>
            <w:top w:val="none" w:sz="0" w:space="0" w:color="auto"/>
            <w:left w:val="none" w:sz="0" w:space="0" w:color="auto"/>
            <w:bottom w:val="none" w:sz="0" w:space="0" w:color="auto"/>
            <w:right w:val="none" w:sz="0" w:space="0" w:color="auto"/>
          </w:divBdr>
        </w:div>
        <w:div w:id="1214846553">
          <w:marLeft w:val="0"/>
          <w:marRight w:val="0"/>
          <w:marTop w:val="0"/>
          <w:marBottom w:val="0"/>
          <w:divBdr>
            <w:top w:val="none" w:sz="0" w:space="0" w:color="auto"/>
            <w:left w:val="none" w:sz="0" w:space="0" w:color="auto"/>
            <w:bottom w:val="none" w:sz="0" w:space="0" w:color="auto"/>
            <w:right w:val="none" w:sz="0" w:space="0" w:color="auto"/>
          </w:divBdr>
        </w:div>
        <w:div w:id="1222058914">
          <w:marLeft w:val="0"/>
          <w:marRight w:val="0"/>
          <w:marTop w:val="0"/>
          <w:marBottom w:val="0"/>
          <w:divBdr>
            <w:top w:val="none" w:sz="0" w:space="0" w:color="auto"/>
            <w:left w:val="none" w:sz="0" w:space="0" w:color="auto"/>
            <w:bottom w:val="none" w:sz="0" w:space="0" w:color="auto"/>
            <w:right w:val="none" w:sz="0" w:space="0" w:color="auto"/>
          </w:divBdr>
        </w:div>
        <w:div w:id="1235434306">
          <w:marLeft w:val="0"/>
          <w:marRight w:val="0"/>
          <w:marTop w:val="0"/>
          <w:marBottom w:val="0"/>
          <w:divBdr>
            <w:top w:val="none" w:sz="0" w:space="0" w:color="auto"/>
            <w:left w:val="none" w:sz="0" w:space="0" w:color="auto"/>
            <w:bottom w:val="none" w:sz="0" w:space="0" w:color="auto"/>
            <w:right w:val="none" w:sz="0" w:space="0" w:color="auto"/>
          </w:divBdr>
        </w:div>
        <w:div w:id="1237085671">
          <w:marLeft w:val="0"/>
          <w:marRight w:val="0"/>
          <w:marTop w:val="0"/>
          <w:marBottom w:val="0"/>
          <w:divBdr>
            <w:top w:val="none" w:sz="0" w:space="0" w:color="auto"/>
            <w:left w:val="none" w:sz="0" w:space="0" w:color="auto"/>
            <w:bottom w:val="none" w:sz="0" w:space="0" w:color="auto"/>
            <w:right w:val="none" w:sz="0" w:space="0" w:color="auto"/>
          </w:divBdr>
        </w:div>
        <w:div w:id="1253198719">
          <w:marLeft w:val="0"/>
          <w:marRight w:val="0"/>
          <w:marTop w:val="0"/>
          <w:marBottom w:val="0"/>
          <w:divBdr>
            <w:top w:val="none" w:sz="0" w:space="0" w:color="auto"/>
            <w:left w:val="none" w:sz="0" w:space="0" w:color="auto"/>
            <w:bottom w:val="none" w:sz="0" w:space="0" w:color="auto"/>
            <w:right w:val="none" w:sz="0" w:space="0" w:color="auto"/>
          </w:divBdr>
        </w:div>
        <w:div w:id="1279878297">
          <w:marLeft w:val="0"/>
          <w:marRight w:val="0"/>
          <w:marTop w:val="0"/>
          <w:marBottom w:val="0"/>
          <w:divBdr>
            <w:top w:val="none" w:sz="0" w:space="0" w:color="auto"/>
            <w:left w:val="none" w:sz="0" w:space="0" w:color="auto"/>
            <w:bottom w:val="none" w:sz="0" w:space="0" w:color="auto"/>
            <w:right w:val="none" w:sz="0" w:space="0" w:color="auto"/>
          </w:divBdr>
        </w:div>
        <w:div w:id="1312055223">
          <w:marLeft w:val="0"/>
          <w:marRight w:val="0"/>
          <w:marTop w:val="0"/>
          <w:marBottom w:val="0"/>
          <w:divBdr>
            <w:top w:val="none" w:sz="0" w:space="0" w:color="auto"/>
            <w:left w:val="none" w:sz="0" w:space="0" w:color="auto"/>
            <w:bottom w:val="none" w:sz="0" w:space="0" w:color="auto"/>
            <w:right w:val="none" w:sz="0" w:space="0" w:color="auto"/>
          </w:divBdr>
        </w:div>
        <w:div w:id="1326399181">
          <w:marLeft w:val="0"/>
          <w:marRight w:val="0"/>
          <w:marTop w:val="0"/>
          <w:marBottom w:val="0"/>
          <w:divBdr>
            <w:top w:val="none" w:sz="0" w:space="0" w:color="auto"/>
            <w:left w:val="none" w:sz="0" w:space="0" w:color="auto"/>
            <w:bottom w:val="none" w:sz="0" w:space="0" w:color="auto"/>
            <w:right w:val="none" w:sz="0" w:space="0" w:color="auto"/>
          </w:divBdr>
        </w:div>
        <w:div w:id="1328166833">
          <w:marLeft w:val="0"/>
          <w:marRight w:val="0"/>
          <w:marTop w:val="0"/>
          <w:marBottom w:val="0"/>
          <w:divBdr>
            <w:top w:val="none" w:sz="0" w:space="0" w:color="auto"/>
            <w:left w:val="none" w:sz="0" w:space="0" w:color="auto"/>
            <w:bottom w:val="none" w:sz="0" w:space="0" w:color="auto"/>
            <w:right w:val="none" w:sz="0" w:space="0" w:color="auto"/>
          </w:divBdr>
        </w:div>
        <w:div w:id="1350260692">
          <w:marLeft w:val="0"/>
          <w:marRight w:val="0"/>
          <w:marTop w:val="0"/>
          <w:marBottom w:val="0"/>
          <w:divBdr>
            <w:top w:val="none" w:sz="0" w:space="0" w:color="auto"/>
            <w:left w:val="none" w:sz="0" w:space="0" w:color="auto"/>
            <w:bottom w:val="none" w:sz="0" w:space="0" w:color="auto"/>
            <w:right w:val="none" w:sz="0" w:space="0" w:color="auto"/>
          </w:divBdr>
        </w:div>
        <w:div w:id="1358433913">
          <w:marLeft w:val="0"/>
          <w:marRight w:val="0"/>
          <w:marTop w:val="0"/>
          <w:marBottom w:val="0"/>
          <w:divBdr>
            <w:top w:val="none" w:sz="0" w:space="0" w:color="auto"/>
            <w:left w:val="none" w:sz="0" w:space="0" w:color="auto"/>
            <w:bottom w:val="none" w:sz="0" w:space="0" w:color="auto"/>
            <w:right w:val="none" w:sz="0" w:space="0" w:color="auto"/>
          </w:divBdr>
        </w:div>
        <w:div w:id="1386225122">
          <w:marLeft w:val="0"/>
          <w:marRight w:val="0"/>
          <w:marTop w:val="0"/>
          <w:marBottom w:val="0"/>
          <w:divBdr>
            <w:top w:val="none" w:sz="0" w:space="0" w:color="auto"/>
            <w:left w:val="none" w:sz="0" w:space="0" w:color="auto"/>
            <w:bottom w:val="none" w:sz="0" w:space="0" w:color="auto"/>
            <w:right w:val="none" w:sz="0" w:space="0" w:color="auto"/>
          </w:divBdr>
        </w:div>
        <w:div w:id="1388409322">
          <w:marLeft w:val="0"/>
          <w:marRight w:val="0"/>
          <w:marTop w:val="0"/>
          <w:marBottom w:val="0"/>
          <w:divBdr>
            <w:top w:val="none" w:sz="0" w:space="0" w:color="auto"/>
            <w:left w:val="none" w:sz="0" w:space="0" w:color="auto"/>
            <w:bottom w:val="none" w:sz="0" w:space="0" w:color="auto"/>
            <w:right w:val="none" w:sz="0" w:space="0" w:color="auto"/>
          </w:divBdr>
        </w:div>
        <w:div w:id="1393037591">
          <w:marLeft w:val="0"/>
          <w:marRight w:val="0"/>
          <w:marTop w:val="0"/>
          <w:marBottom w:val="0"/>
          <w:divBdr>
            <w:top w:val="none" w:sz="0" w:space="0" w:color="auto"/>
            <w:left w:val="none" w:sz="0" w:space="0" w:color="auto"/>
            <w:bottom w:val="none" w:sz="0" w:space="0" w:color="auto"/>
            <w:right w:val="none" w:sz="0" w:space="0" w:color="auto"/>
          </w:divBdr>
        </w:div>
        <w:div w:id="1406535714">
          <w:marLeft w:val="0"/>
          <w:marRight w:val="0"/>
          <w:marTop w:val="0"/>
          <w:marBottom w:val="0"/>
          <w:divBdr>
            <w:top w:val="none" w:sz="0" w:space="0" w:color="auto"/>
            <w:left w:val="none" w:sz="0" w:space="0" w:color="auto"/>
            <w:bottom w:val="none" w:sz="0" w:space="0" w:color="auto"/>
            <w:right w:val="none" w:sz="0" w:space="0" w:color="auto"/>
          </w:divBdr>
        </w:div>
        <w:div w:id="1410232666">
          <w:marLeft w:val="0"/>
          <w:marRight w:val="0"/>
          <w:marTop w:val="0"/>
          <w:marBottom w:val="0"/>
          <w:divBdr>
            <w:top w:val="none" w:sz="0" w:space="0" w:color="auto"/>
            <w:left w:val="none" w:sz="0" w:space="0" w:color="auto"/>
            <w:bottom w:val="none" w:sz="0" w:space="0" w:color="auto"/>
            <w:right w:val="none" w:sz="0" w:space="0" w:color="auto"/>
          </w:divBdr>
        </w:div>
        <w:div w:id="1461531727">
          <w:marLeft w:val="0"/>
          <w:marRight w:val="0"/>
          <w:marTop w:val="0"/>
          <w:marBottom w:val="0"/>
          <w:divBdr>
            <w:top w:val="none" w:sz="0" w:space="0" w:color="auto"/>
            <w:left w:val="none" w:sz="0" w:space="0" w:color="auto"/>
            <w:bottom w:val="none" w:sz="0" w:space="0" w:color="auto"/>
            <w:right w:val="none" w:sz="0" w:space="0" w:color="auto"/>
          </w:divBdr>
        </w:div>
        <w:div w:id="1466434456">
          <w:marLeft w:val="0"/>
          <w:marRight w:val="0"/>
          <w:marTop w:val="0"/>
          <w:marBottom w:val="0"/>
          <w:divBdr>
            <w:top w:val="none" w:sz="0" w:space="0" w:color="auto"/>
            <w:left w:val="none" w:sz="0" w:space="0" w:color="auto"/>
            <w:bottom w:val="none" w:sz="0" w:space="0" w:color="auto"/>
            <w:right w:val="none" w:sz="0" w:space="0" w:color="auto"/>
          </w:divBdr>
        </w:div>
        <w:div w:id="1476869071">
          <w:marLeft w:val="0"/>
          <w:marRight w:val="0"/>
          <w:marTop w:val="0"/>
          <w:marBottom w:val="0"/>
          <w:divBdr>
            <w:top w:val="none" w:sz="0" w:space="0" w:color="auto"/>
            <w:left w:val="none" w:sz="0" w:space="0" w:color="auto"/>
            <w:bottom w:val="none" w:sz="0" w:space="0" w:color="auto"/>
            <w:right w:val="none" w:sz="0" w:space="0" w:color="auto"/>
          </w:divBdr>
        </w:div>
        <w:div w:id="1505508054">
          <w:marLeft w:val="0"/>
          <w:marRight w:val="0"/>
          <w:marTop w:val="0"/>
          <w:marBottom w:val="0"/>
          <w:divBdr>
            <w:top w:val="none" w:sz="0" w:space="0" w:color="auto"/>
            <w:left w:val="none" w:sz="0" w:space="0" w:color="auto"/>
            <w:bottom w:val="none" w:sz="0" w:space="0" w:color="auto"/>
            <w:right w:val="none" w:sz="0" w:space="0" w:color="auto"/>
          </w:divBdr>
        </w:div>
        <w:div w:id="1515920454">
          <w:marLeft w:val="0"/>
          <w:marRight w:val="0"/>
          <w:marTop w:val="0"/>
          <w:marBottom w:val="0"/>
          <w:divBdr>
            <w:top w:val="none" w:sz="0" w:space="0" w:color="auto"/>
            <w:left w:val="none" w:sz="0" w:space="0" w:color="auto"/>
            <w:bottom w:val="none" w:sz="0" w:space="0" w:color="auto"/>
            <w:right w:val="none" w:sz="0" w:space="0" w:color="auto"/>
          </w:divBdr>
        </w:div>
        <w:div w:id="1558200441">
          <w:marLeft w:val="0"/>
          <w:marRight w:val="0"/>
          <w:marTop w:val="0"/>
          <w:marBottom w:val="0"/>
          <w:divBdr>
            <w:top w:val="none" w:sz="0" w:space="0" w:color="auto"/>
            <w:left w:val="none" w:sz="0" w:space="0" w:color="auto"/>
            <w:bottom w:val="none" w:sz="0" w:space="0" w:color="auto"/>
            <w:right w:val="none" w:sz="0" w:space="0" w:color="auto"/>
          </w:divBdr>
        </w:div>
        <w:div w:id="1568760850">
          <w:marLeft w:val="0"/>
          <w:marRight w:val="0"/>
          <w:marTop w:val="0"/>
          <w:marBottom w:val="0"/>
          <w:divBdr>
            <w:top w:val="none" w:sz="0" w:space="0" w:color="auto"/>
            <w:left w:val="none" w:sz="0" w:space="0" w:color="auto"/>
            <w:bottom w:val="none" w:sz="0" w:space="0" w:color="auto"/>
            <w:right w:val="none" w:sz="0" w:space="0" w:color="auto"/>
          </w:divBdr>
        </w:div>
        <w:div w:id="1569851165">
          <w:marLeft w:val="0"/>
          <w:marRight w:val="0"/>
          <w:marTop w:val="0"/>
          <w:marBottom w:val="0"/>
          <w:divBdr>
            <w:top w:val="none" w:sz="0" w:space="0" w:color="auto"/>
            <w:left w:val="none" w:sz="0" w:space="0" w:color="auto"/>
            <w:bottom w:val="none" w:sz="0" w:space="0" w:color="auto"/>
            <w:right w:val="none" w:sz="0" w:space="0" w:color="auto"/>
          </w:divBdr>
        </w:div>
        <w:div w:id="1628655455">
          <w:marLeft w:val="0"/>
          <w:marRight w:val="0"/>
          <w:marTop w:val="0"/>
          <w:marBottom w:val="0"/>
          <w:divBdr>
            <w:top w:val="none" w:sz="0" w:space="0" w:color="auto"/>
            <w:left w:val="none" w:sz="0" w:space="0" w:color="auto"/>
            <w:bottom w:val="none" w:sz="0" w:space="0" w:color="auto"/>
            <w:right w:val="none" w:sz="0" w:space="0" w:color="auto"/>
          </w:divBdr>
        </w:div>
        <w:div w:id="1630746954">
          <w:marLeft w:val="0"/>
          <w:marRight w:val="0"/>
          <w:marTop w:val="0"/>
          <w:marBottom w:val="0"/>
          <w:divBdr>
            <w:top w:val="none" w:sz="0" w:space="0" w:color="auto"/>
            <w:left w:val="none" w:sz="0" w:space="0" w:color="auto"/>
            <w:bottom w:val="none" w:sz="0" w:space="0" w:color="auto"/>
            <w:right w:val="none" w:sz="0" w:space="0" w:color="auto"/>
          </w:divBdr>
        </w:div>
        <w:div w:id="1637418417">
          <w:marLeft w:val="0"/>
          <w:marRight w:val="0"/>
          <w:marTop w:val="0"/>
          <w:marBottom w:val="0"/>
          <w:divBdr>
            <w:top w:val="none" w:sz="0" w:space="0" w:color="auto"/>
            <w:left w:val="none" w:sz="0" w:space="0" w:color="auto"/>
            <w:bottom w:val="none" w:sz="0" w:space="0" w:color="auto"/>
            <w:right w:val="none" w:sz="0" w:space="0" w:color="auto"/>
          </w:divBdr>
        </w:div>
        <w:div w:id="1687512219">
          <w:marLeft w:val="0"/>
          <w:marRight w:val="0"/>
          <w:marTop w:val="0"/>
          <w:marBottom w:val="0"/>
          <w:divBdr>
            <w:top w:val="none" w:sz="0" w:space="0" w:color="auto"/>
            <w:left w:val="none" w:sz="0" w:space="0" w:color="auto"/>
            <w:bottom w:val="none" w:sz="0" w:space="0" w:color="auto"/>
            <w:right w:val="none" w:sz="0" w:space="0" w:color="auto"/>
          </w:divBdr>
        </w:div>
        <w:div w:id="1687903209">
          <w:marLeft w:val="0"/>
          <w:marRight w:val="0"/>
          <w:marTop w:val="0"/>
          <w:marBottom w:val="0"/>
          <w:divBdr>
            <w:top w:val="none" w:sz="0" w:space="0" w:color="auto"/>
            <w:left w:val="none" w:sz="0" w:space="0" w:color="auto"/>
            <w:bottom w:val="none" w:sz="0" w:space="0" w:color="auto"/>
            <w:right w:val="none" w:sz="0" w:space="0" w:color="auto"/>
          </w:divBdr>
        </w:div>
        <w:div w:id="1710572644">
          <w:marLeft w:val="0"/>
          <w:marRight w:val="0"/>
          <w:marTop w:val="0"/>
          <w:marBottom w:val="0"/>
          <w:divBdr>
            <w:top w:val="none" w:sz="0" w:space="0" w:color="auto"/>
            <w:left w:val="none" w:sz="0" w:space="0" w:color="auto"/>
            <w:bottom w:val="none" w:sz="0" w:space="0" w:color="auto"/>
            <w:right w:val="none" w:sz="0" w:space="0" w:color="auto"/>
          </w:divBdr>
        </w:div>
        <w:div w:id="1716077521">
          <w:marLeft w:val="0"/>
          <w:marRight w:val="0"/>
          <w:marTop w:val="0"/>
          <w:marBottom w:val="0"/>
          <w:divBdr>
            <w:top w:val="none" w:sz="0" w:space="0" w:color="auto"/>
            <w:left w:val="none" w:sz="0" w:space="0" w:color="auto"/>
            <w:bottom w:val="none" w:sz="0" w:space="0" w:color="auto"/>
            <w:right w:val="none" w:sz="0" w:space="0" w:color="auto"/>
          </w:divBdr>
        </w:div>
        <w:div w:id="1730616364">
          <w:marLeft w:val="0"/>
          <w:marRight w:val="0"/>
          <w:marTop w:val="0"/>
          <w:marBottom w:val="0"/>
          <w:divBdr>
            <w:top w:val="none" w:sz="0" w:space="0" w:color="auto"/>
            <w:left w:val="none" w:sz="0" w:space="0" w:color="auto"/>
            <w:bottom w:val="none" w:sz="0" w:space="0" w:color="auto"/>
            <w:right w:val="none" w:sz="0" w:space="0" w:color="auto"/>
          </w:divBdr>
        </w:div>
        <w:div w:id="1733238757">
          <w:marLeft w:val="0"/>
          <w:marRight w:val="0"/>
          <w:marTop w:val="0"/>
          <w:marBottom w:val="0"/>
          <w:divBdr>
            <w:top w:val="none" w:sz="0" w:space="0" w:color="auto"/>
            <w:left w:val="none" w:sz="0" w:space="0" w:color="auto"/>
            <w:bottom w:val="none" w:sz="0" w:space="0" w:color="auto"/>
            <w:right w:val="none" w:sz="0" w:space="0" w:color="auto"/>
          </w:divBdr>
        </w:div>
        <w:div w:id="1766419689">
          <w:marLeft w:val="0"/>
          <w:marRight w:val="0"/>
          <w:marTop w:val="0"/>
          <w:marBottom w:val="0"/>
          <w:divBdr>
            <w:top w:val="none" w:sz="0" w:space="0" w:color="auto"/>
            <w:left w:val="none" w:sz="0" w:space="0" w:color="auto"/>
            <w:bottom w:val="none" w:sz="0" w:space="0" w:color="auto"/>
            <w:right w:val="none" w:sz="0" w:space="0" w:color="auto"/>
          </w:divBdr>
        </w:div>
        <w:div w:id="1766731013">
          <w:marLeft w:val="0"/>
          <w:marRight w:val="0"/>
          <w:marTop w:val="0"/>
          <w:marBottom w:val="0"/>
          <w:divBdr>
            <w:top w:val="none" w:sz="0" w:space="0" w:color="auto"/>
            <w:left w:val="none" w:sz="0" w:space="0" w:color="auto"/>
            <w:bottom w:val="none" w:sz="0" w:space="0" w:color="auto"/>
            <w:right w:val="none" w:sz="0" w:space="0" w:color="auto"/>
          </w:divBdr>
        </w:div>
        <w:div w:id="1803695590">
          <w:marLeft w:val="0"/>
          <w:marRight w:val="0"/>
          <w:marTop w:val="0"/>
          <w:marBottom w:val="0"/>
          <w:divBdr>
            <w:top w:val="none" w:sz="0" w:space="0" w:color="auto"/>
            <w:left w:val="none" w:sz="0" w:space="0" w:color="auto"/>
            <w:bottom w:val="none" w:sz="0" w:space="0" w:color="auto"/>
            <w:right w:val="none" w:sz="0" w:space="0" w:color="auto"/>
          </w:divBdr>
        </w:div>
        <w:div w:id="1813869110">
          <w:marLeft w:val="0"/>
          <w:marRight w:val="0"/>
          <w:marTop w:val="0"/>
          <w:marBottom w:val="0"/>
          <w:divBdr>
            <w:top w:val="none" w:sz="0" w:space="0" w:color="auto"/>
            <w:left w:val="none" w:sz="0" w:space="0" w:color="auto"/>
            <w:bottom w:val="none" w:sz="0" w:space="0" w:color="auto"/>
            <w:right w:val="none" w:sz="0" w:space="0" w:color="auto"/>
          </w:divBdr>
        </w:div>
        <w:div w:id="1821994772">
          <w:marLeft w:val="0"/>
          <w:marRight w:val="0"/>
          <w:marTop w:val="0"/>
          <w:marBottom w:val="0"/>
          <w:divBdr>
            <w:top w:val="none" w:sz="0" w:space="0" w:color="auto"/>
            <w:left w:val="none" w:sz="0" w:space="0" w:color="auto"/>
            <w:bottom w:val="none" w:sz="0" w:space="0" w:color="auto"/>
            <w:right w:val="none" w:sz="0" w:space="0" w:color="auto"/>
          </w:divBdr>
        </w:div>
        <w:div w:id="1837572917">
          <w:marLeft w:val="0"/>
          <w:marRight w:val="0"/>
          <w:marTop w:val="0"/>
          <w:marBottom w:val="0"/>
          <w:divBdr>
            <w:top w:val="none" w:sz="0" w:space="0" w:color="auto"/>
            <w:left w:val="none" w:sz="0" w:space="0" w:color="auto"/>
            <w:bottom w:val="none" w:sz="0" w:space="0" w:color="auto"/>
            <w:right w:val="none" w:sz="0" w:space="0" w:color="auto"/>
          </w:divBdr>
        </w:div>
        <w:div w:id="1842960897">
          <w:marLeft w:val="0"/>
          <w:marRight w:val="0"/>
          <w:marTop w:val="0"/>
          <w:marBottom w:val="0"/>
          <w:divBdr>
            <w:top w:val="none" w:sz="0" w:space="0" w:color="auto"/>
            <w:left w:val="none" w:sz="0" w:space="0" w:color="auto"/>
            <w:bottom w:val="none" w:sz="0" w:space="0" w:color="auto"/>
            <w:right w:val="none" w:sz="0" w:space="0" w:color="auto"/>
          </w:divBdr>
        </w:div>
        <w:div w:id="1844853723">
          <w:marLeft w:val="0"/>
          <w:marRight w:val="0"/>
          <w:marTop w:val="0"/>
          <w:marBottom w:val="0"/>
          <w:divBdr>
            <w:top w:val="none" w:sz="0" w:space="0" w:color="auto"/>
            <w:left w:val="none" w:sz="0" w:space="0" w:color="auto"/>
            <w:bottom w:val="none" w:sz="0" w:space="0" w:color="auto"/>
            <w:right w:val="none" w:sz="0" w:space="0" w:color="auto"/>
          </w:divBdr>
        </w:div>
        <w:div w:id="1850831046">
          <w:marLeft w:val="0"/>
          <w:marRight w:val="0"/>
          <w:marTop w:val="0"/>
          <w:marBottom w:val="0"/>
          <w:divBdr>
            <w:top w:val="none" w:sz="0" w:space="0" w:color="auto"/>
            <w:left w:val="none" w:sz="0" w:space="0" w:color="auto"/>
            <w:bottom w:val="none" w:sz="0" w:space="0" w:color="auto"/>
            <w:right w:val="none" w:sz="0" w:space="0" w:color="auto"/>
          </w:divBdr>
        </w:div>
        <w:div w:id="1869444344">
          <w:marLeft w:val="0"/>
          <w:marRight w:val="0"/>
          <w:marTop w:val="0"/>
          <w:marBottom w:val="0"/>
          <w:divBdr>
            <w:top w:val="none" w:sz="0" w:space="0" w:color="auto"/>
            <w:left w:val="none" w:sz="0" w:space="0" w:color="auto"/>
            <w:bottom w:val="none" w:sz="0" w:space="0" w:color="auto"/>
            <w:right w:val="none" w:sz="0" w:space="0" w:color="auto"/>
          </w:divBdr>
        </w:div>
        <w:div w:id="1874614463">
          <w:marLeft w:val="0"/>
          <w:marRight w:val="0"/>
          <w:marTop w:val="0"/>
          <w:marBottom w:val="0"/>
          <w:divBdr>
            <w:top w:val="none" w:sz="0" w:space="0" w:color="auto"/>
            <w:left w:val="none" w:sz="0" w:space="0" w:color="auto"/>
            <w:bottom w:val="none" w:sz="0" w:space="0" w:color="auto"/>
            <w:right w:val="none" w:sz="0" w:space="0" w:color="auto"/>
          </w:divBdr>
        </w:div>
        <w:div w:id="1878082868">
          <w:marLeft w:val="0"/>
          <w:marRight w:val="0"/>
          <w:marTop w:val="0"/>
          <w:marBottom w:val="0"/>
          <w:divBdr>
            <w:top w:val="none" w:sz="0" w:space="0" w:color="auto"/>
            <w:left w:val="none" w:sz="0" w:space="0" w:color="auto"/>
            <w:bottom w:val="none" w:sz="0" w:space="0" w:color="auto"/>
            <w:right w:val="none" w:sz="0" w:space="0" w:color="auto"/>
          </w:divBdr>
        </w:div>
        <w:div w:id="1878199229">
          <w:marLeft w:val="0"/>
          <w:marRight w:val="0"/>
          <w:marTop w:val="0"/>
          <w:marBottom w:val="0"/>
          <w:divBdr>
            <w:top w:val="none" w:sz="0" w:space="0" w:color="auto"/>
            <w:left w:val="none" w:sz="0" w:space="0" w:color="auto"/>
            <w:bottom w:val="none" w:sz="0" w:space="0" w:color="auto"/>
            <w:right w:val="none" w:sz="0" w:space="0" w:color="auto"/>
          </w:divBdr>
        </w:div>
        <w:div w:id="1893886301">
          <w:marLeft w:val="0"/>
          <w:marRight w:val="0"/>
          <w:marTop w:val="0"/>
          <w:marBottom w:val="0"/>
          <w:divBdr>
            <w:top w:val="none" w:sz="0" w:space="0" w:color="auto"/>
            <w:left w:val="none" w:sz="0" w:space="0" w:color="auto"/>
            <w:bottom w:val="none" w:sz="0" w:space="0" w:color="auto"/>
            <w:right w:val="none" w:sz="0" w:space="0" w:color="auto"/>
          </w:divBdr>
        </w:div>
        <w:div w:id="1896576347">
          <w:marLeft w:val="0"/>
          <w:marRight w:val="0"/>
          <w:marTop w:val="0"/>
          <w:marBottom w:val="0"/>
          <w:divBdr>
            <w:top w:val="none" w:sz="0" w:space="0" w:color="auto"/>
            <w:left w:val="none" w:sz="0" w:space="0" w:color="auto"/>
            <w:bottom w:val="none" w:sz="0" w:space="0" w:color="auto"/>
            <w:right w:val="none" w:sz="0" w:space="0" w:color="auto"/>
          </w:divBdr>
        </w:div>
        <w:div w:id="1903101091">
          <w:marLeft w:val="0"/>
          <w:marRight w:val="0"/>
          <w:marTop w:val="0"/>
          <w:marBottom w:val="0"/>
          <w:divBdr>
            <w:top w:val="none" w:sz="0" w:space="0" w:color="auto"/>
            <w:left w:val="none" w:sz="0" w:space="0" w:color="auto"/>
            <w:bottom w:val="none" w:sz="0" w:space="0" w:color="auto"/>
            <w:right w:val="none" w:sz="0" w:space="0" w:color="auto"/>
          </w:divBdr>
        </w:div>
        <w:div w:id="1909418452">
          <w:marLeft w:val="0"/>
          <w:marRight w:val="0"/>
          <w:marTop w:val="0"/>
          <w:marBottom w:val="0"/>
          <w:divBdr>
            <w:top w:val="none" w:sz="0" w:space="0" w:color="auto"/>
            <w:left w:val="none" w:sz="0" w:space="0" w:color="auto"/>
            <w:bottom w:val="none" w:sz="0" w:space="0" w:color="auto"/>
            <w:right w:val="none" w:sz="0" w:space="0" w:color="auto"/>
          </w:divBdr>
        </w:div>
        <w:div w:id="1914658070">
          <w:marLeft w:val="0"/>
          <w:marRight w:val="0"/>
          <w:marTop w:val="0"/>
          <w:marBottom w:val="0"/>
          <w:divBdr>
            <w:top w:val="none" w:sz="0" w:space="0" w:color="auto"/>
            <w:left w:val="none" w:sz="0" w:space="0" w:color="auto"/>
            <w:bottom w:val="none" w:sz="0" w:space="0" w:color="auto"/>
            <w:right w:val="none" w:sz="0" w:space="0" w:color="auto"/>
          </w:divBdr>
        </w:div>
        <w:div w:id="1968193687">
          <w:marLeft w:val="0"/>
          <w:marRight w:val="0"/>
          <w:marTop w:val="0"/>
          <w:marBottom w:val="0"/>
          <w:divBdr>
            <w:top w:val="none" w:sz="0" w:space="0" w:color="auto"/>
            <w:left w:val="none" w:sz="0" w:space="0" w:color="auto"/>
            <w:bottom w:val="none" w:sz="0" w:space="0" w:color="auto"/>
            <w:right w:val="none" w:sz="0" w:space="0" w:color="auto"/>
          </w:divBdr>
        </w:div>
        <w:div w:id="1979872189">
          <w:marLeft w:val="0"/>
          <w:marRight w:val="0"/>
          <w:marTop w:val="0"/>
          <w:marBottom w:val="0"/>
          <w:divBdr>
            <w:top w:val="none" w:sz="0" w:space="0" w:color="auto"/>
            <w:left w:val="none" w:sz="0" w:space="0" w:color="auto"/>
            <w:bottom w:val="none" w:sz="0" w:space="0" w:color="auto"/>
            <w:right w:val="none" w:sz="0" w:space="0" w:color="auto"/>
          </w:divBdr>
        </w:div>
        <w:div w:id="1985576035">
          <w:marLeft w:val="0"/>
          <w:marRight w:val="0"/>
          <w:marTop w:val="0"/>
          <w:marBottom w:val="0"/>
          <w:divBdr>
            <w:top w:val="none" w:sz="0" w:space="0" w:color="auto"/>
            <w:left w:val="none" w:sz="0" w:space="0" w:color="auto"/>
            <w:bottom w:val="none" w:sz="0" w:space="0" w:color="auto"/>
            <w:right w:val="none" w:sz="0" w:space="0" w:color="auto"/>
          </w:divBdr>
        </w:div>
        <w:div w:id="1988364551">
          <w:marLeft w:val="0"/>
          <w:marRight w:val="0"/>
          <w:marTop w:val="0"/>
          <w:marBottom w:val="0"/>
          <w:divBdr>
            <w:top w:val="none" w:sz="0" w:space="0" w:color="auto"/>
            <w:left w:val="none" w:sz="0" w:space="0" w:color="auto"/>
            <w:bottom w:val="none" w:sz="0" w:space="0" w:color="auto"/>
            <w:right w:val="none" w:sz="0" w:space="0" w:color="auto"/>
          </w:divBdr>
        </w:div>
        <w:div w:id="2009362500">
          <w:marLeft w:val="0"/>
          <w:marRight w:val="0"/>
          <w:marTop w:val="0"/>
          <w:marBottom w:val="0"/>
          <w:divBdr>
            <w:top w:val="none" w:sz="0" w:space="0" w:color="auto"/>
            <w:left w:val="none" w:sz="0" w:space="0" w:color="auto"/>
            <w:bottom w:val="none" w:sz="0" w:space="0" w:color="auto"/>
            <w:right w:val="none" w:sz="0" w:space="0" w:color="auto"/>
          </w:divBdr>
        </w:div>
        <w:div w:id="2016109204">
          <w:marLeft w:val="0"/>
          <w:marRight w:val="0"/>
          <w:marTop w:val="0"/>
          <w:marBottom w:val="0"/>
          <w:divBdr>
            <w:top w:val="none" w:sz="0" w:space="0" w:color="auto"/>
            <w:left w:val="none" w:sz="0" w:space="0" w:color="auto"/>
            <w:bottom w:val="none" w:sz="0" w:space="0" w:color="auto"/>
            <w:right w:val="none" w:sz="0" w:space="0" w:color="auto"/>
          </w:divBdr>
        </w:div>
        <w:div w:id="2019428401">
          <w:marLeft w:val="0"/>
          <w:marRight w:val="0"/>
          <w:marTop w:val="0"/>
          <w:marBottom w:val="0"/>
          <w:divBdr>
            <w:top w:val="none" w:sz="0" w:space="0" w:color="auto"/>
            <w:left w:val="none" w:sz="0" w:space="0" w:color="auto"/>
            <w:bottom w:val="none" w:sz="0" w:space="0" w:color="auto"/>
            <w:right w:val="none" w:sz="0" w:space="0" w:color="auto"/>
          </w:divBdr>
        </w:div>
        <w:div w:id="2044138054">
          <w:marLeft w:val="0"/>
          <w:marRight w:val="0"/>
          <w:marTop w:val="0"/>
          <w:marBottom w:val="0"/>
          <w:divBdr>
            <w:top w:val="none" w:sz="0" w:space="0" w:color="auto"/>
            <w:left w:val="none" w:sz="0" w:space="0" w:color="auto"/>
            <w:bottom w:val="none" w:sz="0" w:space="0" w:color="auto"/>
            <w:right w:val="none" w:sz="0" w:space="0" w:color="auto"/>
          </w:divBdr>
        </w:div>
        <w:div w:id="2060127567">
          <w:marLeft w:val="0"/>
          <w:marRight w:val="0"/>
          <w:marTop w:val="0"/>
          <w:marBottom w:val="0"/>
          <w:divBdr>
            <w:top w:val="none" w:sz="0" w:space="0" w:color="auto"/>
            <w:left w:val="none" w:sz="0" w:space="0" w:color="auto"/>
            <w:bottom w:val="none" w:sz="0" w:space="0" w:color="auto"/>
            <w:right w:val="none" w:sz="0" w:space="0" w:color="auto"/>
          </w:divBdr>
        </w:div>
        <w:div w:id="2099523457">
          <w:marLeft w:val="0"/>
          <w:marRight w:val="0"/>
          <w:marTop w:val="0"/>
          <w:marBottom w:val="0"/>
          <w:divBdr>
            <w:top w:val="none" w:sz="0" w:space="0" w:color="auto"/>
            <w:left w:val="none" w:sz="0" w:space="0" w:color="auto"/>
            <w:bottom w:val="none" w:sz="0" w:space="0" w:color="auto"/>
            <w:right w:val="none" w:sz="0" w:space="0" w:color="auto"/>
          </w:divBdr>
        </w:div>
        <w:div w:id="2113284710">
          <w:marLeft w:val="0"/>
          <w:marRight w:val="0"/>
          <w:marTop w:val="0"/>
          <w:marBottom w:val="0"/>
          <w:divBdr>
            <w:top w:val="none" w:sz="0" w:space="0" w:color="auto"/>
            <w:left w:val="none" w:sz="0" w:space="0" w:color="auto"/>
            <w:bottom w:val="none" w:sz="0" w:space="0" w:color="auto"/>
            <w:right w:val="none" w:sz="0" w:space="0" w:color="auto"/>
          </w:divBdr>
        </w:div>
        <w:div w:id="2123648816">
          <w:marLeft w:val="0"/>
          <w:marRight w:val="0"/>
          <w:marTop w:val="0"/>
          <w:marBottom w:val="0"/>
          <w:divBdr>
            <w:top w:val="none" w:sz="0" w:space="0" w:color="auto"/>
            <w:left w:val="none" w:sz="0" w:space="0" w:color="auto"/>
            <w:bottom w:val="none" w:sz="0" w:space="0" w:color="auto"/>
            <w:right w:val="none" w:sz="0" w:space="0" w:color="auto"/>
          </w:divBdr>
        </w:div>
        <w:div w:id="2131699661">
          <w:marLeft w:val="0"/>
          <w:marRight w:val="0"/>
          <w:marTop w:val="0"/>
          <w:marBottom w:val="0"/>
          <w:divBdr>
            <w:top w:val="none" w:sz="0" w:space="0" w:color="auto"/>
            <w:left w:val="none" w:sz="0" w:space="0" w:color="auto"/>
            <w:bottom w:val="none" w:sz="0" w:space="0" w:color="auto"/>
            <w:right w:val="none" w:sz="0" w:space="0" w:color="auto"/>
          </w:divBdr>
        </w:div>
        <w:div w:id="2135362098">
          <w:marLeft w:val="0"/>
          <w:marRight w:val="0"/>
          <w:marTop w:val="0"/>
          <w:marBottom w:val="0"/>
          <w:divBdr>
            <w:top w:val="none" w:sz="0" w:space="0" w:color="auto"/>
            <w:left w:val="none" w:sz="0" w:space="0" w:color="auto"/>
            <w:bottom w:val="none" w:sz="0" w:space="0" w:color="auto"/>
            <w:right w:val="none" w:sz="0" w:space="0" w:color="auto"/>
          </w:divBdr>
        </w:div>
        <w:div w:id="2139909046">
          <w:marLeft w:val="0"/>
          <w:marRight w:val="0"/>
          <w:marTop w:val="0"/>
          <w:marBottom w:val="0"/>
          <w:divBdr>
            <w:top w:val="none" w:sz="0" w:space="0" w:color="auto"/>
            <w:left w:val="none" w:sz="0" w:space="0" w:color="auto"/>
            <w:bottom w:val="none" w:sz="0" w:space="0" w:color="auto"/>
            <w:right w:val="none" w:sz="0" w:space="0" w:color="auto"/>
          </w:divBdr>
        </w:div>
        <w:div w:id="2146971139">
          <w:marLeft w:val="0"/>
          <w:marRight w:val="0"/>
          <w:marTop w:val="0"/>
          <w:marBottom w:val="0"/>
          <w:divBdr>
            <w:top w:val="none" w:sz="0" w:space="0" w:color="auto"/>
            <w:left w:val="none" w:sz="0" w:space="0" w:color="auto"/>
            <w:bottom w:val="none" w:sz="0" w:space="0" w:color="auto"/>
            <w:right w:val="none" w:sz="0" w:space="0" w:color="auto"/>
          </w:divBdr>
        </w:div>
      </w:divsChild>
    </w:div>
    <w:div w:id="2005549846">
      <w:bodyDiv w:val="1"/>
      <w:marLeft w:val="0"/>
      <w:marRight w:val="0"/>
      <w:marTop w:val="0"/>
      <w:marBottom w:val="0"/>
      <w:divBdr>
        <w:top w:val="none" w:sz="0" w:space="0" w:color="auto"/>
        <w:left w:val="none" w:sz="0" w:space="0" w:color="auto"/>
        <w:bottom w:val="none" w:sz="0" w:space="0" w:color="auto"/>
        <w:right w:val="none" w:sz="0" w:space="0" w:color="auto"/>
      </w:divBdr>
      <w:divsChild>
        <w:div w:id="240020160">
          <w:marLeft w:val="0"/>
          <w:marRight w:val="0"/>
          <w:marTop w:val="0"/>
          <w:marBottom w:val="0"/>
          <w:divBdr>
            <w:top w:val="none" w:sz="0" w:space="0" w:color="auto"/>
            <w:left w:val="none" w:sz="0" w:space="0" w:color="auto"/>
            <w:bottom w:val="none" w:sz="0" w:space="0" w:color="auto"/>
            <w:right w:val="none" w:sz="0" w:space="0" w:color="auto"/>
          </w:divBdr>
        </w:div>
        <w:div w:id="1487428601">
          <w:marLeft w:val="0"/>
          <w:marRight w:val="0"/>
          <w:marTop w:val="0"/>
          <w:marBottom w:val="0"/>
          <w:divBdr>
            <w:top w:val="none" w:sz="0" w:space="0" w:color="auto"/>
            <w:left w:val="none" w:sz="0" w:space="0" w:color="auto"/>
            <w:bottom w:val="none" w:sz="0" w:space="0" w:color="auto"/>
            <w:right w:val="none" w:sz="0" w:space="0" w:color="auto"/>
          </w:divBdr>
        </w:div>
        <w:div w:id="1717002836">
          <w:marLeft w:val="0"/>
          <w:marRight w:val="0"/>
          <w:marTop w:val="0"/>
          <w:marBottom w:val="0"/>
          <w:divBdr>
            <w:top w:val="none" w:sz="0" w:space="0" w:color="auto"/>
            <w:left w:val="none" w:sz="0" w:space="0" w:color="auto"/>
            <w:bottom w:val="none" w:sz="0" w:space="0" w:color="auto"/>
            <w:right w:val="none" w:sz="0" w:space="0" w:color="auto"/>
          </w:divBdr>
        </w:div>
      </w:divsChild>
    </w:div>
    <w:div w:id="2013943659">
      <w:bodyDiv w:val="1"/>
      <w:marLeft w:val="0"/>
      <w:marRight w:val="0"/>
      <w:marTop w:val="0"/>
      <w:marBottom w:val="0"/>
      <w:divBdr>
        <w:top w:val="none" w:sz="0" w:space="0" w:color="auto"/>
        <w:left w:val="none" w:sz="0" w:space="0" w:color="auto"/>
        <w:bottom w:val="none" w:sz="0" w:space="0" w:color="auto"/>
        <w:right w:val="none" w:sz="0" w:space="0" w:color="auto"/>
      </w:divBdr>
    </w:div>
    <w:div w:id="2020353256">
      <w:bodyDiv w:val="1"/>
      <w:marLeft w:val="0"/>
      <w:marRight w:val="0"/>
      <w:marTop w:val="0"/>
      <w:marBottom w:val="0"/>
      <w:divBdr>
        <w:top w:val="none" w:sz="0" w:space="0" w:color="auto"/>
        <w:left w:val="none" w:sz="0" w:space="0" w:color="auto"/>
        <w:bottom w:val="none" w:sz="0" w:space="0" w:color="auto"/>
        <w:right w:val="none" w:sz="0" w:space="0" w:color="auto"/>
      </w:divBdr>
      <w:divsChild>
        <w:div w:id="366224916">
          <w:marLeft w:val="0"/>
          <w:marRight w:val="0"/>
          <w:marTop w:val="0"/>
          <w:marBottom w:val="0"/>
          <w:divBdr>
            <w:top w:val="none" w:sz="0" w:space="0" w:color="auto"/>
            <w:left w:val="none" w:sz="0" w:space="0" w:color="auto"/>
            <w:bottom w:val="none" w:sz="0" w:space="0" w:color="auto"/>
            <w:right w:val="none" w:sz="0" w:space="0" w:color="auto"/>
          </w:divBdr>
          <w:divsChild>
            <w:div w:id="1032194109">
              <w:marLeft w:val="0"/>
              <w:marRight w:val="0"/>
              <w:marTop w:val="0"/>
              <w:marBottom w:val="0"/>
              <w:divBdr>
                <w:top w:val="none" w:sz="0" w:space="0" w:color="auto"/>
                <w:left w:val="none" w:sz="0" w:space="0" w:color="auto"/>
                <w:bottom w:val="none" w:sz="0" w:space="0" w:color="auto"/>
                <w:right w:val="none" w:sz="0" w:space="0" w:color="auto"/>
              </w:divBdr>
            </w:div>
          </w:divsChild>
        </w:div>
        <w:div w:id="455023575">
          <w:marLeft w:val="0"/>
          <w:marRight w:val="0"/>
          <w:marTop w:val="0"/>
          <w:marBottom w:val="0"/>
          <w:divBdr>
            <w:top w:val="none" w:sz="0" w:space="0" w:color="auto"/>
            <w:left w:val="none" w:sz="0" w:space="0" w:color="auto"/>
            <w:bottom w:val="none" w:sz="0" w:space="0" w:color="auto"/>
            <w:right w:val="none" w:sz="0" w:space="0" w:color="auto"/>
          </w:divBdr>
          <w:divsChild>
            <w:div w:id="929508876">
              <w:marLeft w:val="0"/>
              <w:marRight w:val="0"/>
              <w:marTop w:val="0"/>
              <w:marBottom w:val="0"/>
              <w:divBdr>
                <w:top w:val="none" w:sz="0" w:space="0" w:color="auto"/>
                <w:left w:val="none" w:sz="0" w:space="0" w:color="auto"/>
                <w:bottom w:val="none" w:sz="0" w:space="0" w:color="auto"/>
                <w:right w:val="none" w:sz="0" w:space="0" w:color="auto"/>
              </w:divBdr>
            </w:div>
          </w:divsChild>
        </w:div>
        <w:div w:id="491608208">
          <w:marLeft w:val="0"/>
          <w:marRight w:val="0"/>
          <w:marTop w:val="0"/>
          <w:marBottom w:val="0"/>
          <w:divBdr>
            <w:top w:val="none" w:sz="0" w:space="0" w:color="auto"/>
            <w:left w:val="none" w:sz="0" w:space="0" w:color="auto"/>
            <w:bottom w:val="none" w:sz="0" w:space="0" w:color="auto"/>
            <w:right w:val="none" w:sz="0" w:space="0" w:color="auto"/>
          </w:divBdr>
          <w:divsChild>
            <w:div w:id="909074673">
              <w:marLeft w:val="0"/>
              <w:marRight w:val="0"/>
              <w:marTop w:val="0"/>
              <w:marBottom w:val="0"/>
              <w:divBdr>
                <w:top w:val="none" w:sz="0" w:space="0" w:color="auto"/>
                <w:left w:val="none" w:sz="0" w:space="0" w:color="auto"/>
                <w:bottom w:val="none" w:sz="0" w:space="0" w:color="auto"/>
                <w:right w:val="none" w:sz="0" w:space="0" w:color="auto"/>
              </w:divBdr>
            </w:div>
          </w:divsChild>
        </w:div>
        <w:div w:id="508570905">
          <w:marLeft w:val="0"/>
          <w:marRight w:val="0"/>
          <w:marTop w:val="0"/>
          <w:marBottom w:val="0"/>
          <w:divBdr>
            <w:top w:val="none" w:sz="0" w:space="0" w:color="auto"/>
            <w:left w:val="none" w:sz="0" w:space="0" w:color="auto"/>
            <w:bottom w:val="none" w:sz="0" w:space="0" w:color="auto"/>
            <w:right w:val="none" w:sz="0" w:space="0" w:color="auto"/>
          </w:divBdr>
          <w:divsChild>
            <w:div w:id="935674875">
              <w:marLeft w:val="0"/>
              <w:marRight w:val="0"/>
              <w:marTop w:val="0"/>
              <w:marBottom w:val="0"/>
              <w:divBdr>
                <w:top w:val="none" w:sz="0" w:space="0" w:color="auto"/>
                <w:left w:val="none" w:sz="0" w:space="0" w:color="auto"/>
                <w:bottom w:val="none" w:sz="0" w:space="0" w:color="auto"/>
                <w:right w:val="none" w:sz="0" w:space="0" w:color="auto"/>
              </w:divBdr>
            </w:div>
          </w:divsChild>
        </w:div>
        <w:div w:id="509688010">
          <w:marLeft w:val="0"/>
          <w:marRight w:val="0"/>
          <w:marTop w:val="0"/>
          <w:marBottom w:val="0"/>
          <w:divBdr>
            <w:top w:val="none" w:sz="0" w:space="0" w:color="auto"/>
            <w:left w:val="none" w:sz="0" w:space="0" w:color="auto"/>
            <w:bottom w:val="none" w:sz="0" w:space="0" w:color="auto"/>
            <w:right w:val="none" w:sz="0" w:space="0" w:color="auto"/>
          </w:divBdr>
          <w:divsChild>
            <w:div w:id="159585045">
              <w:marLeft w:val="0"/>
              <w:marRight w:val="0"/>
              <w:marTop w:val="0"/>
              <w:marBottom w:val="0"/>
              <w:divBdr>
                <w:top w:val="none" w:sz="0" w:space="0" w:color="auto"/>
                <w:left w:val="none" w:sz="0" w:space="0" w:color="auto"/>
                <w:bottom w:val="none" w:sz="0" w:space="0" w:color="auto"/>
                <w:right w:val="none" w:sz="0" w:space="0" w:color="auto"/>
              </w:divBdr>
            </w:div>
          </w:divsChild>
        </w:div>
        <w:div w:id="527061783">
          <w:marLeft w:val="0"/>
          <w:marRight w:val="0"/>
          <w:marTop w:val="0"/>
          <w:marBottom w:val="0"/>
          <w:divBdr>
            <w:top w:val="none" w:sz="0" w:space="0" w:color="auto"/>
            <w:left w:val="none" w:sz="0" w:space="0" w:color="auto"/>
            <w:bottom w:val="none" w:sz="0" w:space="0" w:color="auto"/>
            <w:right w:val="none" w:sz="0" w:space="0" w:color="auto"/>
          </w:divBdr>
          <w:divsChild>
            <w:div w:id="264775637">
              <w:marLeft w:val="0"/>
              <w:marRight w:val="0"/>
              <w:marTop w:val="0"/>
              <w:marBottom w:val="0"/>
              <w:divBdr>
                <w:top w:val="none" w:sz="0" w:space="0" w:color="auto"/>
                <w:left w:val="none" w:sz="0" w:space="0" w:color="auto"/>
                <w:bottom w:val="none" w:sz="0" w:space="0" w:color="auto"/>
                <w:right w:val="none" w:sz="0" w:space="0" w:color="auto"/>
              </w:divBdr>
            </w:div>
            <w:div w:id="1115320845">
              <w:marLeft w:val="0"/>
              <w:marRight w:val="0"/>
              <w:marTop w:val="0"/>
              <w:marBottom w:val="0"/>
              <w:divBdr>
                <w:top w:val="none" w:sz="0" w:space="0" w:color="auto"/>
                <w:left w:val="none" w:sz="0" w:space="0" w:color="auto"/>
                <w:bottom w:val="none" w:sz="0" w:space="0" w:color="auto"/>
                <w:right w:val="none" w:sz="0" w:space="0" w:color="auto"/>
              </w:divBdr>
            </w:div>
          </w:divsChild>
        </w:div>
        <w:div w:id="593981236">
          <w:marLeft w:val="0"/>
          <w:marRight w:val="0"/>
          <w:marTop w:val="0"/>
          <w:marBottom w:val="0"/>
          <w:divBdr>
            <w:top w:val="none" w:sz="0" w:space="0" w:color="auto"/>
            <w:left w:val="none" w:sz="0" w:space="0" w:color="auto"/>
            <w:bottom w:val="none" w:sz="0" w:space="0" w:color="auto"/>
            <w:right w:val="none" w:sz="0" w:space="0" w:color="auto"/>
          </w:divBdr>
          <w:divsChild>
            <w:div w:id="589849041">
              <w:marLeft w:val="0"/>
              <w:marRight w:val="0"/>
              <w:marTop w:val="0"/>
              <w:marBottom w:val="0"/>
              <w:divBdr>
                <w:top w:val="none" w:sz="0" w:space="0" w:color="auto"/>
                <w:left w:val="none" w:sz="0" w:space="0" w:color="auto"/>
                <w:bottom w:val="none" w:sz="0" w:space="0" w:color="auto"/>
                <w:right w:val="none" w:sz="0" w:space="0" w:color="auto"/>
              </w:divBdr>
            </w:div>
          </w:divsChild>
        </w:div>
        <w:div w:id="716508609">
          <w:marLeft w:val="0"/>
          <w:marRight w:val="0"/>
          <w:marTop w:val="0"/>
          <w:marBottom w:val="0"/>
          <w:divBdr>
            <w:top w:val="none" w:sz="0" w:space="0" w:color="auto"/>
            <w:left w:val="none" w:sz="0" w:space="0" w:color="auto"/>
            <w:bottom w:val="none" w:sz="0" w:space="0" w:color="auto"/>
            <w:right w:val="none" w:sz="0" w:space="0" w:color="auto"/>
          </w:divBdr>
          <w:divsChild>
            <w:div w:id="548808074">
              <w:marLeft w:val="0"/>
              <w:marRight w:val="0"/>
              <w:marTop w:val="0"/>
              <w:marBottom w:val="0"/>
              <w:divBdr>
                <w:top w:val="none" w:sz="0" w:space="0" w:color="auto"/>
                <w:left w:val="none" w:sz="0" w:space="0" w:color="auto"/>
                <w:bottom w:val="none" w:sz="0" w:space="0" w:color="auto"/>
                <w:right w:val="none" w:sz="0" w:space="0" w:color="auto"/>
              </w:divBdr>
            </w:div>
          </w:divsChild>
        </w:div>
        <w:div w:id="729884626">
          <w:marLeft w:val="0"/>
          <w:marRight w:val="0"/>
          <w:marTop w:val="0"/>
          <w:marBottom w:val="0"/>
          <w:divBdr>
            <w:top w:val="none" w:sz="0" w:space="0" w:color="auto"/>
            <w:left w:val="none" w:sz="0" w:space="0" w:color="auto"/>
            <w:bottom w:val="none" w:sz="0" w:space="0" w:color="auto"/>
            <w:right w:val="none" w:sz="0" w:space="0" w:color="auto"/>
          </w:divBdr>
          <w:divsChild>
            <w:div w:id="589506083">
              <w:marLeft w:val="0"/>
              <w:marRight w:val="0"/>
              <w:marTop w:val="0"/>
              <w:marBottom w:val="0"/>
              <w:divBdr>
                <w:top w:val="none" w:sz="0" w:space="0" w:color="auto"/>
                <w:left w:val="none" w:sz="0" w:space="0" w:color="auto"/>
                <w:bottom w:val="none" w:sz="0" w:space="0" w:color="auto"/>
                <w:right w:val="none" w:sz="0" w:space="0" w:color="auto"/>
              </w:divBdr>
            </w:div>
          </w:divsChild>
        </w:div>
        <w:div w:id="856117781">
          <w:marLeft w:val="0"/>
          <w:marRight w:val="0"/>
          <w:marTop w:val="0"/>
          <w:marBottom w:val="0"/>
          <w:divBdr>
            <w:top w:val="none" w:sz="0" w:space="0" w:color="auto"/>
            <w:left w:val="none" w:sz="0" w:space="0" w:color="auto"/>
            <w:bottom w:val="none" w:sz="0" w:space="0" w:color="auto"/>
            <w:right w:val="none" w:sz="0" w:space="0" w:color="auto"/>
          </w:divBdr>
          <w:divsChild>
            <w:div w:id="1023240210">
              <w:marLeft w:val="0"/>
              <w:marRight w:val="0"/>
              <w:marTop w:val="0"/>
              <w:marBottom w:val="0"/>
              <w:divBdr>
                <w:top w:val="none" w:sz="0" w:space="0" w:color="auto"/>
                <w:left w:val="none" w:sz="0" w:space="0" w:color="auto"/>
                <w:bottom w:val="none" w:sz="0" w:space="0" w:color="auto"/>
                <w:right w:val="none" w:sz="0" w:space="0" w:color="auto"/>
              </w:divBdr>
            </w:div>
          </w:divsChild>
        </w:div>
        <w:div w:id="899710376">
          <w:marLeft w:val="0"/>
          <w:marRight w:val="0"/>
          <w:marTop w:val="0"/>
          <w:marBottom w:val="0"/>
          <w:divBdr>
            <w:top w:val="none" w:sz="0" w:space="0" w:color="auto"/>
            <w:left w:val="none" w:sz="0" w:space="0" w:color="auto"/>
            <w:bottom w:val="none" w:sz="0" w:space="0" w:color="auto"/>
            <w:right w:val="none" w:sz="0" w:space="0" w:color="auto"/>
          </w:divBdr>
          <w:divsChild>
            <w:div w:id="1403598683">
              <w:marLeft w:val="0"/>
              <w:marRight w:val="0"/>
              <w:marTop w:val="0"/>
              <w:marBottom w:val="0"/>
              <w:divBdr>
                <w:top w:val="none" w:sz="0" w:space="0" w:color="auto"/>
                <w:left w:val="none" w:sz="0" w:space="0" w:color="auto"/>
                <w:bottom w:val="none" w:sz="0" w:space="0" w:color="auto"/>
                <w:right w:val="none" w:sz="0" w:space="0" w:color="auto"/>
              </w:divBdr>
            </w:div>
          </w:divsChild>
        </w:div>
        <w:div w:id="938100545">
          <w:marLeft w:val="0"/>
          <w:marRight w:val="0"/>
          <w:marTop w:val="0"/>
          <w:marBottom w:val="0"/>
          <w:divBdr>
            <w:top w:val="none" w:sz="0" w:space="0" w:color="auto"/>
            <w:left w:val="none" w:sz="0" w:space="0" w:color="auto"/>
            <w:bottom w:val="none" w:sz="0" w:space="0" w:color="auto"/>
            <w:right w:val="none" w:sz="0" w:space="0" w:color="auto"/>
          </w:divBdr>
          <w:divsChild>
            <w:div w:id="1946110479">
              <w:marLeft w:val="0"/>
              <w:marRight w:val="0"/>
              <w:marTop w:val="0"/>
              <w:marBottom w:val="0"/>
              <w:divBdr>
                <w:top w:val="none" w:sz="0" w:space="0" w:color="auto"/>
                <w:left w:val="none" w:sz="0" w:space="0" w:color="auto"/>
                <w:bottom w:val="none" w:sz="0" w:space="0" w:color="auto"/>
                <w:right w:val="none" w:sz="0" w:space="0" w:color="auto"/>
              </w:divBdr>
            </w:div>
          </w:divsChild>
        </w:div>
        <w:div w:id="1047610917">
          <w:marLeft w:val="0"/>
          <w:marRight w:val="0"/>
          <w:marTop w:val="0"/>
          <w:marBottom w:val="0"/>
          <w:divBdr>
            <w:top w:val="none" w:sz="0" w:space="0" w:color="auto"/>
            <w:left w:val="none" w:sz="0" w:space="0" w:color="auto"/>
            <w:bottom w:val="none" w:sz="0" w:space="0" w:color="auto"/>
            <w:right w:val="none" w:sz="0" w:space="0" w:color="auto"/>
          </w:divBdr>
          <w:divsChild>
            <w:div w:id="1013383483">
              <w:marLeft w:val="0"/>
              <w:marRight w:val="0"/>
              <w:marTop w:val="0"/>
              <w:marBottom w:val="0"/>
              <w:divBdr>
                <w:top w:val="none" w:sz="0" w:space="0" w:color="auto"/>
                <w:left w:val="none" w:sz="0" w:space="0" w:color="auto"/>
                <w:bottom w:val="none" w:sz="0" w:space="0" w:color="auto"/>
                <w:right w:val="none" w:sz="0" w:space="0" w:color="auto"/>
              </w:divBdr>
            </w:div>
          </w:divsChild>
        </w:div>
        <w:div w:id="1048994404">
          <w:marLeft w:val="0"/>
          <w:marRight w:val="0"/>
          <w:marTop w:val="0"/>
          <w:marBottom w:val="0"/>
          <w:divBdr>
            <w:top w:val="none" w:sz="0" w:space="0" w:color="auto"/>
            <w:left w:val="none" w:sz="0" w:space="0" w:color="auto"/>
            <w:bottom w:val="none" w:sz="0" w:space="0" w:color="auto"/>
            <w:right w:val="none" w:sz="0" w:space="0" w:color="auto"/>
          </w:divBdr>
          <w:divsChild>
            <w:div w:id="1047097654">
              <w:marLeft w:val="0"/>
              <w:marRight w:val="0"/>
              <w:marTop w:val="0"/>
              <w:marBottom w:val="0"/>
              <w:divBdr>
                <w:top w:val="none" w:sz="0" w:space="0" w:color="auto"/>
                <w:left w:val="none" w:sz="0" w:space="0" w:color="auto"/>
                <w:bottom w:val="none" w:sz="0" w:space="0" w:color="auto"/>
                <w:right w:val="none" w:sz="0" w:space="0" w:color="auto"/>
              </w:divBdr>
            </w:div>
          </w:divsChild>
        </w:div>
        <w:div w:id="1210071470">
          <w:marLeft w:val="0"/>
          <w:marRight w:val="0"/>
          <w:marTop w:val="0"/>
          <w:marBottom w:val="0"/>
          <w:divBdr>
            <w:top w:val="none" w:sz="0" w:space="0" w:color="auto"/>
            <w:left w:val="none" w:sz="0" w:space="0" w:color="auto"/>
            <w:bottom w:val="none" w:sz="0" w:space="0" w:color="auto"/>
            <w:right w:val="none" w:sz="0" w:space="0" w:color="auto"/>
          </w:divBdr>
          <w:divsChild>
            <w:div w:id="618994885">
              <w:marLeft w:val="0"/>
              <w:marRight w:val="0"/>
              <w:marTop w:val="0"/>
              <w:marBottom w:val="0"/>
              <w:divBdr>
                <w:top w:val="none" w:sz="0" w:space="0" w:color="auto"/>
                <w:left w:val="none" w:sz="0" w:space="0" w:color="auto"/>
                <w:bottom w:val="none" w:sz="0" w:space="0" w:color="auto"/>
                <w:right w:val="none" w:sz="0" w:space="0" w:color="auto"/>
              </w:divBdr>
            </w:div>
          </w:divsChild>
        </w:div>
        <w:div w:id="1243100729">
          <w:marLeft w:val="0"/>
          <w:marRight w:val="0"/>
          <w:marTop w:val="0"/>
          <w:marBottom w:val="0"/>
          <w:divBdr>
            <w:top w:val="none" w:sz="0" w:space="0" w:color="auto"/>
            <w:left w:val="none" w:sz="0" w:space="0" w:color="auto"/>
            <w:bottom w:val="none" w:sz="0" w:space="0" w:color="auto"/>
            <w:right w:val="none" w:sz="0" w:space="0" w:color="auto"/>
          </w:divBdr>
          <w:divsChild>
            <w:div w:id="717626088">
              <w:marLeft w:val="0"/>
              <w:marRight w:val="0"/>
              <w:marTop w:val="0"/>
              <w:marBottom w:val="0"/>
              <w:divBdr>
                <w:top w:val="none" w:sz="0" w:space="0" w:color="auto"/>
                <w:left w:val="none" w:sz="0" w:space="0" w:color="auto"/>
                <w:bottom w:val="none" w:sz="0" w:space="0" w:color="auto"/>
                <w:right w:val="none" w:sz="0" w:space="0" w:color="auto"/>
              </w:divBdr>
            </w:div>
          </w:divsChild>
        </w:div>
        <w:div w:id="1253276805">
          <w:marLeft w:val="0"/>
          <w:marRight w:val="0"/>
          <w:marTop w:val="0"/>
          <w:marBottom w:val="0"/>
          <w:divBdr>
            <w:top w:val="none" w:sz="0" w:space="0" w:color="auto"/>
            <w:left w:val="none" w:sz="0" w:space="0" w:color="auto"/>
            <w:bottom w:val="none" w:sz="0" w:space="0" w:color="auto"/>
            <w:right w:val="none" w:sz="0" w:space="0" w:color="auto"/>
          </w:divBdr>
          <w:divsChild>
            <w:div w:id="2016880061">
              <w:marLeft w:val="0"/>
              <w:marRight w:val="0"/>
              <w:marTop w:val="0"/>
              <w:marBottom w:val="0"/>
              <w:divBdr>
                <w:top w:val="none" w:sz="0" w:space="0" w:color="auto"/>
                <w:left w:val="none" w:sz="0" w:space="0" w:color="auto"/>
                <w:bottom w:val="none" w:sz="0" w:space="0" w:color="auto"/>
                <w:right w:val="none" w:sz="0" w:space="0" w:color="auto"/>
              </w:divBdr>
            </w:div>
          </w:divsChild>
        </w:div>
        <w:div w:id="1278491421">
          <w:marLeft w:val="0"/>
          <w:marRight w:val="0"/>
          <w:marTop w:val="0"/>
          <w:marBottom w:val="0"/>
          <w:divBdr>
            <w:top w:val="none" w:sz="0" w:space="0" w:color="auto"/>
            <w:left w:val="none" w:sz="0" w:space="0" w:color="auto"/>
            <w:bottom w:val="none" w:sz="0" w:space="0" w:color="auto"/>
            <w:right w:val="none" w:sz="0" w:space="0" w:color="auto"/>
          </w:divBdr>
          <w:divsChild>
            <w:div w:id="230510493">
              <w:marLeft w:val="0"/>
              <w:marRight w:val="0"/>
              <w:marTop w:val="0"/>
              <w:marBottom w:val="0"/>
              <w:divBdr>
                <w:top w:val="none" w:sz="0" w:space="0" w:color="auto"/>
                <w:left w:val="none" w:sz="0" w:space="0" w:color="auto"/>
                <w:bottom w:val="none" w:sz="0" w:space="0" w:color="auto"/>
                <w:right w:val="none" w:sz="0" w:space="0" w:color="auto"/>
              </w:divBdr>
            </w:div>
          </w:divsChild>
        </w:div>
        <w:div w:id="1400058956">
          <w:marLeft w:val="0"/>
          <w:marRight w:val="0"/>
          <w:marTop w:val="0"/>
          <w:marBottom w:val="0"/>
          <w:divBdr>
            <w:top w:val="none" w:sz="0" w:space="0" w:color="auto"/>
            <w:left w:val="none" w:sz="0" w:space="0" w:color="auto"/>
            <w:bottom w:val="none" w:sz="0" w:space="0" w:color="auto"/>
            <w:right w:val="none" w:sz="0" w:space="0" w:color="auto"/>
          </w:divBdr>
          <w:divsChild>
            <w:div w:id="346909229">
              <w:marLeft w:val="0"/>
              <w:marRight w:val="0"/>
              <w:marTop w:val="0"/>
              <w:marBottom w:val="0"/>
              <w:divBdr>
                <w:top w:val="none" w:sz="0" w:space="0" w:color="auto"/>
                <w:left w:val="none" w:sz="0" w:space="0" w:color="auto"/>
                <w:bottom w:val="none" w:sz="0" w:space="0" w:color="auto"/>
                <w:right w:val="none" w:sz="0" w:space="0" w:color="auto"/>
              </w:divBdr>
            </w:div>
            <w:div w:id="575742880">
              <w:marLeft w:val="0"/>
              <w:marRight w:val="0"/>
              <w:marTop w:val="0"/>
              <w:marBottom w:val="0"/>
              <w:divBdr>
                <w:top w:val="none" w:sz="0" w:space="0" w:color="auto"/>
                <w:left w:val="none" w:sz="0" w:space="0" w:color="auto"/>
                <w:bottom w:val="none" w:sz="0" w:space="0" w:color="auto"/>
                <w:right w:val="none" w:sz="0" w:space="0" w:color="auto"/>
              </w:divBdr>
            </w:div>
            <w:div w:id="1581670841">
              <w:marLeft w:val="0"/>
              <w:marRight w:val="0"/>
              <w:marTop w:val="0"/>
              <w:marBottom w:val="0"/>
              <w:divBdr>
                <w:top w:val="none" w:sz="0" w:space="0" w:color="auto"/>
                <w:left w:val="none" w:sz="0" w:space="0" w:color="auto"/>
                <w:bottom w:val="none" w:sz="0" w:space="0" w:color="auto"/>
                <w:right w:val="none" w:sz="0" w:space="0" w:color="auto"/>
              </w:divBdr>
            </w:div>
          </w:divsChild>
        </w:div>
        <w:div w:id="1484856275">
          <w:marLeft w:val="0"/>
          <w:marRight w:val="0"/>
          <w:marTop w:val="0"/>
          <w:marBottom w:val="0"/>
          <w:divBdr>
            <w:top w:val="none" w:sz="0" w:space="0" w:color="auto"/>
            <w:left w:val="none" w:sz="0" w:space="0" w:color="auto"/>
            <w:bottom w:val="none" w:sz="0" w:space="0" w:color="auto"/>
            <w:right w:val="none" w:sz="0" w:space="0" w:color="auto"/>
          </w:divBdr>
          <w:divsChild>
            <w:div w:id="1904246391">
              <w:marLeft w:val="0"/>
              <w:marRight w:val="0"/>
              <w:marTop w:val="0"/>
              <w:marBottom w:val="0"/>
              <w:divBdr>
                <w:top w:val="none" w:sz="0" w:space="0" w:color="auto"/>
                <w:left w:val="none" w:sz="0" w:space="0" w:color="auto"/>
                <w:bottom w:val="none" w:sz="0" w:space="0" w:color="auto"/>
                <w:right w:val="none" w:sz="0" w:space="0" w:color="auto"/>
              </w:divBdr>
            </w:div>
          </w:divsChild>
        </w:div>
        <w:div w:id="1494026193">
          <w:marLeft w:val="0"/>
          <w:marRight w:val="0"/>
          <w:marTop w:val="0"/>
          <w:marBottom w:val="0"/>
          <w:divBdr>
            <w:top w:val="none" w:sz="0" w:space="0" w:color="auto"/>
            <w:left w:val="none" w:sz="0" w:space="0" w:color="auto"/>
            <w:bottom w:val="none" w:sz="0" w:space="0" w:color="auto"/>
            <w:right w:val="none" w:sz="0" w:space="0" w:color="auto"/>
          </w:divBdr>
          <w:divsChild>
            <w:div w:id="1953394458">
              <w:marLeft w:val="0"/>
              <w:marRight w:val="0"/>
              <w:marTop w:val="0"/>
              <w:marBottom w:val="0"/>
              <w:divBdr>
                <w:top w:val="none" w:sz="0" w:space="0" w:color="auto"/>
                <w:left w:val="none" w:sz="0" w:space="0" w:color="auto"/>
                <w:bottom w:val="none" w:sz="0" w:space="0" w:color="auto"/>
                <w:right w:val="none" w:sz="0" w:space="0" w:color="auto"/>
              </w:divBdr>
            </w:div>
          </w:divsChild>
        </w:div>
        <w:div w:id="1502432448">
          <w:marLeft w:val="0"/>
          <w:marRight w:val="0"/>
          <w:marTop w:val="0"/>
          <w:marBottom w:val="0"/>
          <w:divBdr>
            <w:top w:val="none" w:sz="0" w:space="0" w:color="auto"/>
            <w:left w:val="none" w:sz="0" w:space="0" w:color="auto"/>
            <w:bottom w:val="none" w:sz="0" w:space="0" w:color="auto"/>
            <w:right w:val="none" w:sz="0" w:space="0" w:color="auto"/>
          </w:divBdr>
          <w:divsChild>
            <w:div w:id="38362751">
              <w:marLeft w:val="0"/>
              <w:marRight w:val="0"/>
              <w:marTop w:val="0"/>
              <w:marBottom w:val="0"/>
              <w:divBdr>
                <w:top w:val="none" w:sz="0" w:space="0" w:color="auto"/>
                <w:left w:val="none" w:sz="0" w:space="0" w:color="auto"/>
                <w:bottom w:val="none" w:sz="0" w:space="0" w:color="auto"/>
                <w:right w:val="none" w:sz="0" w:space="0" w:color="auto"/>
              </w:divBdr>
            </w:div>
          </w:divsChild>
        </w:div>
        <w:div w:id="1569685402">
          <w:marLeft w:val="0"/>
          <w:marRight w:val="0"/>
          <w:marTop w:val="0"/>
          <w:marBottom w:val="0"/>
          <w:divBdr>
            <w:top w:val="none" w:sz="0" w:space="0" w:color="auto"/>
            <w:left w:val="none" w:sz="0" w:space="0" w:color="auto"/>
            <w:bottom w:val="none" w:sz="0" w:space="0" w:color="auto"/>
            <w:right w:val="none" w:sz="0" w:space="0" w:color="auto"/>
          </w:divBdr>
          <w:divsChild>
            <w:div w:id="1004363328">
              <w:marLeft w:val="0"/>
              <w:marRight w:val="0"/>
              <w:marTop w:val="0"/>
              <w:marBottom w:val="0"/>
              <w:divBdr>
                <w:top w:val="none" w:sz="0" w:space="0" w:color="auto"/>
                <w:left w:val="none" w:sz="0" w:space="0" w:color="auto"/>
                <w:bottom w:val="none" w:sz="0" w:space="0" w:color="auto"/>
                <w:right w:val="none" w:sz="0" w:space="0" w:color="auto"/>
              </w:divBdr>
            </w:div>
          </w:divsChild>
        </w:div>
        <w:div w:id="1659579023">
          <w:marLeft w:val="0"/>
          <w:marRight w:val="0"/>
          <w:marTop w:val="0"/>
          <w:marBottom w:val="0"/>
          <w:divBdr>
            <w:top w:val="none" w:sz="0" w:space="0" w:color="auto"/>
            <w:left w:val="none" w:sz="0" w:space="0" w:color="auto"/>
            <w:bottom w:val="none" w:sz="0" w:space="0" w:color="auto"/>
            <w:right w:val="none" w:sz="0" w:space="0" w:color="auto"/>
          </w:divBdr>
          <w:divsChild>
            <w:div w:id="845290984">
              <w:marLeft w:val="0"/>
              <w:marRight w:val="0"/>
              <w:marTop w:val="0"/>
              <w:marBottom w:val="0"/>
              <w:divBdr>
                <w:top w:val="none" w:sz="0" w:space="0" w:color="auto"/>
                <w:left w:val="none" w:sz="0" w:space="0" w:color="auto"/>
                <w:bottom w:val="none" w:sz="0" w:space="0" w:color="auto"/>
                <w:right w:val="none" w:sz="0" w:space="0" w:color="auto"/>
              </w:divBdr>
            </w:div>
          </w:divsChild>
        </w:div>
        <w:div w:id="1737120539">
          <w:marLeft w:val="0"/>
          <w:marRight w:val="0"/>
          <w:marTop w:val="0"/>
          <w:marBottom w:val="0"/>
          <w:divBdr>
            <w:top w:val="none" w:sz="0" w:space="0" w:color="auto"/>
            <w:left w:val="none" w:sz="0" w:space="0" w:color="auto"/>
            <w:bottom w:val="none" w:sz="0" w:space="0" w:color="auto"/>
            <w:right w:val="none" w:sz="0" w:space="0" w:color="auto"/>
          </w:divBdr>
          <w:divsChild>
            <w:div w:id="1670862139">
              <w:marLeft w:val="0"/>
              <w:marRight w:val="0"/>
              <w:marTop w:val="0"/>
              <w:marBottom w:val="0"/>
              <w:divBdr>
                <w:top w:val="none" w:sz="0" w:space="0" w:color="auto"/>
                <w:left w:val="none" w:sz="0" w:space="0" w:color="auto"/>
                <w:bottom w:val="none" w:sz="0" w:space="0" w:color="auto"/>
                <w:right w:val="none" w:sz="0" w:space="0" w:color="auto"/>
              </w:divBdr>
            </w:div>
          </w:divsChild>
        </w:div>
        <w:div w:id="1839887580">
          <w:marLeft w:val="0"/>
          <w:marRight w:val="0"/>
          <w:marTop w:val="0"/>
          <w:marBottom w:val="0"/>
          <w:divBdr>
            <w:top w:val="none" w:sz="0" w:space="0" w:color="auto"/>
            <w:left w:val="none" w:sz="0" w:space="0" w:color="auto"/>
            <w:bottom w:val="none" w:sz="0" w:space="0" w:color="auto"/>
            <w:right w:val="none" w:sz="0" w:space="0" w:color="auto"/>
          </w:divBdr>
          <w:divsChild>
            <w:div w:id="1129972829">
              <w:marLeft w:val="0"/>
              <w:marRight w:val="0"/>
              <w:marTop w:val="0"/>
              <w:marBottom w:val="0"/>
              <w:divBdr>
                <w:top w:val="none" w:sz="0" w:space="0" w:color="auto"/>
                <w:left w:val="none" w:sz="0" w:space="0" w:color="auto"/>
                <w:bottom w:val="none" w:sz="0" w:space="0" w:color="auto"/>
                <w:right w:val="none" w:sz="0" w:space="0" w:color="auto"/>
              </w:divBdr>
            </w:div>
          </w:divsChild>
        </w:div>
        <w:div w:id="1863127706">
          <w:marLeft w:val="0"/>
          <w:marRight w:val="0"/>
          <w:marTop w:val="0"/>
          <w:marBottom w:val="0"/>
          <w:divBdr>
            <w:top w:val="none" w:sz="0" w:space="0" w:color="auto"/>
            <w:left w:val="none" w:sz="0" w:space="0" w:color="auto"/>
            <w:bottom w:val="none" w:sz="0" w:space="0" w:color="auto"/>
            <w:right w:val="none" w:sz="0" w:space="0" w:color="auto"/>
          </w:divBdr>
          <w:divsChild>
            <w:div w:id="2111318866">
              <w:marLeft w:val="0"/>
              <w:marRight w:val="0"/>
              <w:marTop w:val="0"/>
              <w:marBottom w:val="0"/>
              <w:divBdr>
                <w:top w:val="none" w:sz="0" w:space="0" w:color="auto"/>
                <w:left w:val="none" w:sz="0" w:space="0" w:color="auto"/>
                <w:bottom w:val="none" w:sz="0" w:space="0" w:color="auto"/>
                <w:right w:val="none" w:sz="0" w:space="0" w:color="auto"/>
              </w:divBdr>
            </w:div>
          </w:divsChild>
        </w:div>
        <w:div w:id="1915774006">
          <w:marLeft w:val="0"/>
          <w:marRight w:val="0"/>
          <w:marTop w:val="0"/>
          <w:marBottom w:val="0"/>
          <w:divBdr>
            <w:top w:val="none" w:sz="0" w:space="0" w:color="auto"/>
            <w:left w:val="none" w:sz="0" w:space="0" w:color="auto"/>
            <w:bottom w:val="none" w:sz="0" w:space="0" w:color="auto"/>
            <w:right w:val="none" w:sz="0" w:space="0" w:color="auto"/>
          </w:divBdr>
          <w:divsChild>
            <w:div w:id="19054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0487">
      <w:bodyDiv w:val="1"/>
      <w:marLeft w:val="0"/>
      <w:marRight w:val="0"/>
      <w:marTop w:val="0"/>
      <w:marBottom w:val="0"/>
      <w:divBdr>
        <w:top w:val="none" w:sz="0" w:space="0" w:color="auto"/>
        <w:left w:val="none" w:sz="0" w:space="0" w:color="auto"/>
        <w:bottom w:val="none" w:sz="0" w:space="0" w:color="auto"/>
        <w:right w:val="none" w:sz="0" w:space="0" w:color="auto"/>
      </w:divBdr>
      <w:divsChild>
        <w:div w:id="9381803">
          <w:marLeft w:val="0"/>
          <w:marRight w:val="0"/>
          <w:marTop w:val="0"/>
          <w:marBottom w:val="0"/>
          <w:divBdr>
            <w:top w:val="none" w:sz="0" w:space="0" w:color="auto"/>
            <w:left w:val="none" w:sz="0" w:space="0" w:color="auto"/>
            <w:bottom w:val="none" w:sz="0" w:space="0" w:color="auto"/>
            <w:right w:val="none" w:sz="0" w:space="0" w:color="auto"/>
          </w:divBdr>
          <w:divsChild>
            <w:div w:id="687215056">
              <w:marLeft w:val="0"/>
              <w:marRight w:val="0"/>
              <w:marTop w:val="0"/>
              <w:marBottom w:val="0"/>
              <w:divBdr>
                <w:top w:val="none" w:sz="0" w:space="0" w:color="auto"/>
                <w:left w:val="none" w:sz="0" w:space="0" w:color="auto"/>
                <w:bottom w:val="none" w:sz="0" w:space="0" w:color="auto"/>
                <w:right w:val="none" w:sz="0" w:space="0" w:color="auto"/>
              </w:divBdr>
            </w:div>
            <w:div w:id="1463615952">
              <w:marLeft w:val="0"/>
              <w:marRight w:val="0"/>
              <w:marTop w:val="0"/>
              <w:marBottom w:val="0"/>
              <w:divBdr>
                <w:top w:val="none" w:sz="0" w:space="0" w:color="auto"/>
                <w:left w:val="none" w:sz="0" w:space="0" w:color="auto"/>
                <w:bottom w:val="none" w:sz="0" w:space="0" w:color="auto"/>
                <w:right w:val="none" w:sz="0" w:space="0" w:color="auto"/>
              </w:divBdr>
            </w:div>
          </w:divsChild>
        </w:div>
        <w:div w:id="353727580">
          <w:marLeft w:val="0"/>
          <w:marRight w:val="0"/>
          <w:marTop w:val="0"/>
          <w:marBottom w:val="0"/>
          <w:divBdr>
            <w:top w:val="none" w:sz="0" w:space="0" w:color="auto"/>
            <w:left w:val="none" w:sz="0" w:space="0" w:color="auto"/>
            <w:bottom w:val="none" w:sz="0" w:space="0" w:color="auto"/>
            <w:right w:val="none" w:sz="0" w:space="0" w:color="auto"/>
          </w:divBdr>
          <w:divsChild>
            <w:div w:id="1514683286">
              <w:marLeft w:val="0"/>
              <w:marRight w:val="0"/>
              <w:marTop w:val="0"/>
              <w:marBottom w:val="0"/>
              <w:divBdr>
                <w:top w:val="none" w:sz="0" w:space="0" w:color="auto"/>
                <w:left w:val="none" w:sz="0" w:space="0" w:color="auto"/>
                <w:bottom w:val="none" w:sz="0" w:space="0" w:color="auto"/>
                <w:right w:val="none" w:sz="0" w:space="0" w:color="auto"/>
              </w:divBdr>
            </w:div>
          </w:divsChild>
        </w:div>
        <w:div w:id="624580881">
          <w:marLeft w:val="0"/>
          <w:marRight w:val="0"/>
          <w:marTop w:val="0"/>
          <w:marBottom w:val="0"/>
          <w:divBdr>
            <w:top w:val="none" w:sz="0" w:space="0" w:color="auto"/>
            <w:left w:val="none" w:sz="0" w:space="0" w:color="auto"/>
            <w:bottom w:val="none" w:sz="0" w:space="0" w:color="auto"/>
            <w:right w:val="none" w:sz="0" w:space="0" w:color="auto"/>
          </w:divBdr>
          <w:divsChild>
            <w:div w:id="754934241">
              <w:marLeft w:val="0"/>
              <w:marRight w:val="0"/>
              <w:marTop w:val="0"/>
              <w:marBottom w:val="0"/>
              <w:divBdr>
                <w:top w:val="none" w:sz="0" w:space="0" w:color="auto"/>
                <w:left w:val="none" w:sz="0" w:space="0" w:color="auto"/>
                <w:bottom w:val="none" w:sz="0" w:space="0" w:color="auto"/>
                <w:right w:val="none" w:sz="0" w:space="0" w:color="auto"/>
              </w:divBdr>
            </w:div>
          </w:divsChild>
        </w:div>
        <w:div w:id="808520339">
          <w:marLeft w:val="0"/>
          <w:marRight w:val="0"/>
          <w:marTop w:val="0"/>
          <w:marBottom w:val="0"/>
          <w:divBdr>
            <w:top w:val="none" w:sz="0" w:space="0" w:color="auto"/>
            <w:left w:val="none" w:sz="0" w:space="0" w:color="auto"/>
            <w:bottom w:val="none" w:sz="0" w:space="0" w:color="auto"/>
            <w:right w:val="none" w:sz="0" w:space="0" w:color="auto"/>
          </w:divBdr>
          <w:divsChild>
            <w:div w:id="1919123136">
              <w:marLeft w:val="0"/>
              <w:marRight w:val="0"/>
              <w:marTop w:val="0"/>
              <w:marBottom w:val="0"/>
              <w:divBdr>
                <w:top w:val="none" w:sz="0" w:space="0" w:color="auto"/>
                <w:left w:val="none" w:sz="0" w:space="0" w:color="auto"/>
                <w:bottom w:val="none" w:sz="0" w:space="0" w:color="auto"/>
                <w:right w:val="none" w:sz="0" w:space="0" w:color="auto"/>
              </w:divBdr>
            </w:div>
          </w:divsChild>
        </w:div>
        <w:div w:id="816652842">
          <w:marLeft w:val="0"/>
          <w:marRight w:val="0"/>
          <w:marTop w:val="0"/>
          <w:marBottom w:val="0"/>
          <w:divBdr>
            <w:top w:val="none" w:sz="0" w:space="0" w:color="auto"/>
            <w:left w:val="none" w:sz="0" w:space="0" w:color="auto"/>
            <w:bottom w:val="none" w:sz="0" w:space="0" w:color="auto"/>
            <w:right w:val="none" w:sz="0" w:space="0" w:color="auto"/>
          </w:divBdr>
          <w:divsChild>
            <w:div w:id="238057211">
              <w:marLeft w:val="0"/>
              <w:marRight w:val="0"/>
              <w:marTop w:val="0"/>
              <w:marBottom w:val="0"/>
              <w:divBdr>
                <w:top w:val="none" w:sz="0" w:space="0" w:color="auto"/>
                <w:left w:val="none" w:sz="0" w:space="0" w:color="auto"/>
                <w:bottom w:val="none" w:sz="0" w:space="0" w:color="auto"/>
                <w:right w:val="none" w:sz="0" w:space="0" w:color="auto"/>
              </w:divBdr>
            </w:div>
          </w:divsChild>
        </w:div>
        <w:div w:id="1183319265">
          <w:marLeft w:val="0"/>
          <w:marRight w:val="0"/>
          <w:marTop w:val="0"/>
          <w:marBottom w:val="0"/>
          <w:divBdr>
            <w:top w:val="none" w:sz="0" w:space="0" w:color="auto"/>
            <w:left w:val="none" w:sz="0" w:space="0" w:color="auto"/>
            <w:bottom w:val="none" w:sz="0" w:space="0" w:color="auto"/>
            <w:right w:val="none" w:sz="0" w:space="0" w:color="auto"/>
          </w:divBdr>
          <w:divsChild>
            <w:div w:id="485320516">
              <w:marLeft w:val="0"/>
              <w:marRight w:val="0"/>
              <w:marTop w:val="0"/>
              <w:marBottom w:val="0"/>
              <w:divBdr>
                <w:top w:val="none" w:sz="0" w:space="0" w:color="auto"/>
                <w:left w:val="none" w:sz="0" w:space="0" w:color="auto"/>
                <w:bottom w:val="none" w:sz="0" w:space="0" w:color="auto"/>
                <w:right w:val="none" w:sz="0" w:space="0" w:color="auto"/>
              </w:divBdr>
            </w:div>
          </w:divsChild>
        </w:div>
        <w:div w:id="1274168863">
          <w:marLeft w:val="0"/>
          <w:marRight w:val="0"/>
          <w:marTop w:val="0"/>
          <w:marBottom w:val="0"/>
          <w:divBdr>
            <w:top w:val="none" w:sz="0" w:space="0" w:color="auto"/>
            <w:left w:val="none" w:sz="0" w:space="0" w:color="auto"/>
            <w:bottom w:val="none" w:sz="0" w:space="0" w:color="auto"/>
            <w:right w:val="none" w:sz="0" w:space="0" w:color="auto"/>
          </w:divBdr>
          <w:divsChild>
            <w:div w:id="707604292">
              <w:marLeft w:val="0"/>
              <w:marRight w:val="0"/>
              <w:marTop w:val="0"/>
              <w:marBottom w:val="0"/>
              <w:divBdr>
                <w:top w:val="none" w:sz="0" w:space="0" w:color="auto"/>
                <w:left w:val="none" w:sz="0" w:space="0" w:color="auto"/>
                <w:bottom w:val="none" w:sz="0" w:space="0" w:color="auto"/>
                <w:right w:val="none" w:sz="0" w:space="0" w:color="auto"/>
              </w:divBdr>
            </w:div>
          </w:divsChild>
        </w:div>
        <w:div w:id="1364670120">
          <w:marLeft w:val="0"/>
          <w:marRight w:val="0"/>
          <w:marTop w:val="0"/>
          <w:marBottom w:val="0"/>
          <w:divBdr>
            <w:top w:val="none" w:sz="0" w:space="0" w:color="auto"/>
            <w:left w:val="none" w:sz="0" w:space="0" w:color="auto"/>
            <w:bottom w:val="none" w:sz="0" w:space="0" w:color="auto"/>
            <w:right w:val="none" w:sz="0" w:space="0" w:color="auto"/>
          </w:divBdr>
          <w:divsChild>
            <w:div w:id="643892700">
              <w:marLeft w:val="0"/>
              <w:marRight w:val="0"/>
              <w:marTop w:val="0"/>
              <w:marBottom w:val="0"/>
              <w:divBdr>
                <w:top w:val="none" w:sz="0" w:space="0" w:color="auto"/>
                <w:left w:val="none" w:sz="0" w:space="0" w:color="auto"/>
                <w:bottom w:val="none" w:sz="0" w:space="0" w:color="auto"/>
                <w:right w:val="none" w:sz="0" w:space="0" w:color="auto"/>
              </w:divBdr>
            </w:div>
          </w:divsChild>
        </w:div>
        <w:div w:id="1692683886">
          <w:marLeft w:val="0"/>
          <w:marRight w:val="0"/>
          <w:marTop w:val="0"/>
          <w:marBottom w:val="0"/>
          <w:divBdr>
            <w:top w:val="none" w:sz="0" w:space="0" w:color="auto"/>
            <w:left w:val="none" w:sz="0" w:space="0" w:color="auto"/>
            <w:bottom w:val="none" w:sz="0" w:space="0" w:color="auto"/>
            <w:right w:val="none" w:sz="0" w:space="0" w:color="auto"/>
          </w:divBdr>
          <w:divsChild>
            <w:div w:id="8404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2494">
      <w:bodyDiv w:val="1"/>
      <w:marLeft w:val="0"/>
      <w:marRight w:val="0"/>
      <w:marTop w:val="0"/>
      <w:marBottom w:val="0"/>
      <w:divBdr>
        <w:top w:val="none" w:sz="0" w:space="0" w:color="auto"/>
        <w:left w:val="none" w:sz="0" w:space="0" w:color="auto"/>
        <w:bottom w:val="none" w:sz="0" w:space="0" w:color="auto"/>
        <w:right w:val="none" w:sz="0" w:space="0" w:color="auto"/>
      </w:divBdr>
      <w:divsChild>
        <w:div w:id="237130212">
          <w:marLeft w:val="0"/>
          <w:marRight w:val="0"/>
          <w:marTop w:val="0"/>
          <w:marBottom w:val="0"/>
          <w:divBdr>
            <w:top w:val="none" w:sz="0" w:space="0" w:color="auto"/>
            <w:left w:val="none" w:sz="0" w:space="0" w:color="auto"/>
            <w:bottom w:val="none" w:sz="0" w:space="0" w:color="auto"/>
            <w:right w:val="none" w:sz="0" w:space="0" w:color="auto"/>
          </w:divBdr>
        </w:div>
        <w:div w:id="587736189">
          <w:marLeft w:val="0"/>
          <w:marRight w:val="0"/>
          <w:marTop w:val="0"/>
          <w:marBottom w:val="0"/>
          <w:divBdr>
            <w:top w:val="none" w:sz="0" w:space="0" w:color="auto"/>
            <w:left w:val="none" w:sz="0" w:space="0" w:color="auto"/>
            <w:bottom w:val="none" w:sz="0" w:space="0" w:color="auto"/>
            <w:right w:val="none" w:sz="0" w:space="0" w:color="auto"/>
          </w:divBdr>
        </w:div>
        <w:div w:id="739793205">
          <w:marLeft w:val="0"/>
          <w:marRight w:val="0"/>
          <w:marTop w:val="0"/>
          <w:marBottom w:val="0"/>
          <w:divBdr>
            <w:top w:val="none" w:sz="0" w:space="0" w:color="auto"/>
            <w:left w:val="none" w:sz="0" w:space="0" w:color="auto"/>
            <w:bottom w:val="none" w:sz="0" w:space="0" w:color="auto"/>
            <w:right w:val="none" w:sz="0" w:space="0" w:color="auto"/>
          </w:divBdr>
        </w:div>
        <w:div w:id="880362215">
          <w:marLeft w:val="0"/>
          <w:marRight w:val="0"/>
          <w:marTop w:val="0"/>
          <w:marBottom w:val="0"/>
          <w:divBdr>
            <w:top w:val="none" w:sz="0" w:space="0" w:color="auto"/>
            <w:left w:val="none" w:sz="0" w:space="0" w:color="auto"/>
            <w:bottom w:val="none" w:sz="0" w:space="0" w:color="auto"/>
            <w:right w:val="none" w:sz="0" w:space="0" w:color="auto"/>
          </w:divBdr>
        </w:div>
        <w:div w:id="893001136">
          <w:marLeft w:val="0"/>
          <w:marRight w:val="0"/>
          <w:marTop w:val="0"/>
          <w:marBottom w:val="0"/>
          <w:divBdr>
            <w:top w:val="none" w:sz="0" w:space="0" w:color="auto"/>
            <w:left w:val="none" w:sz="0" w:space="0" w:color="auto"/>
            <w:bottom w:val="none" w:sz="0" w:space="0" w:color="auto"/>
            <w:right w:val="none" w:sz="0" w:space="0" w:color="auto"/>
          </w:divBdr>
        </w:div>
        <w:div w:id="1047874429">
          <w:marLeft w:val="0"/>
          <w:marRight w:val="0"/>
          <w:marTop w:val="0"/>
          <w:marBottom w:val="0"/>
          <w:divBdr>
            <w:top w:val="none" w:sz="0" w:space="0" w:color="auto"/>
            <w:left w:val="none" w:sz="0" w:space="0" w:color="auto"/>
            <w:bottom w:val="none" w:sz="0" w:space="0" w:color="auto"/>
            <w:right w:val="none" w:sz="0" w:space="0" w:color="auto"/>
          </w:divBdr>
        </w:div>
        <w:div w:id="1532494164">
          <w:marLeft w:val="0"/>
          <w:marRight w:val="0"/>
          <w:marTop w:val="0"/>
          <w:marBottom w:val="0"/>
          <w:divBdr>
            <w:top w:val="none" w:sz="0" w:space="0" w:color="auto"/>
            <w:left w:val="none" w:sz="0" w:space="0" w:color="auto"/>
            <w:bottom w:val="none" w:sz="0" w:space="0" w:color="auto"/>
            <w:right w:val="none" w:sz="0" w:space="0" w:color="auto"/>
          </w:divBdr>
        </w:div>
        <w:div w:id="1639800783">
          <w:marLeft w:val="0"/>
          <w:marRight w:val="0"/>
          <w:marTop w:val="0"/>
          <w:marBottom w:val="0"/>
          <w:divBdr>
            <w:top w:val="none" w:sz="0" w:space="0" w:color="auto"/>
            <w:left w:val="none" w:sz="0" w:space="0" w:color="auto"/>
            <w:bottom w:val="none" w:sz="0" w:space="0" w:color="auto"/>
            <w:right w:val="none" w:sz="0" w:space="0" w:color="auto"/>
          </w:divBdr>
        </w:div>
        <w:div w:id="1693459623">
          <w:marLeft w:val="0"/>
          <w:marRight w:val="0"/>
          <w:marTop w:val="0"/>
          <w:marBottom w:val="0"/>
          <w:divBdr>
            <w:top w:val="none" w:sz="0" w:space="0" w:color="auto"/>
            <w:left w:val="none" w:sz="0" w:space="0" w:color="auto"/>
            <w:bottom w:val="none" w:sz="0" w:space="0" w:color="auto"/>
            <w:right w:val="none" w:sz="0" w:space="0" w:color="auto"/>
          </w:divBdr>
        </w:div>
        <w:div w:id="1746609772">
          <w:marLeft w:val="0"/>
          <w:marRight w:val="0"/>
          <w:marTop w:val="0"/>
          <w:marBottom w:val="0"/>
          <w:divBdr>
            <w:top w:val="none" w:sz="0" w:space="0" w:color="auto"/>
            <w:left w:val="none" w:sz="0" w:space="0" w:color="auto"/>
            <w:bottom w:val="none" w:sz="0" w:space="0" w:color="auto"/>
            <w:right w:val="none" w:sz="0" w:space="0" w:color="auto"/>
          </w:divBdr>
        </w:div>
        <w:div w:id="1819377152">
          <w:marLeft w:val="0"/>
          <w:marRight w:val="0"/>
          <w:marTop w:val="0"/>
          <w:marBottom w:val="0"/>
          <w:divBdr>
            <w:top w:val="none" w:sz="0" w:space="0" w:color="auto"/>
            <w:left w:val="none" w:sz="0" w:space="0" w:color="auto"/>
            <w:bottom w:val="none" w:sz="0" w:space="0" w:color="auto"/>
            <w:right w:val="none" w:sz="0" w:space="0" w:color="auto"/>
          </w:divBdr>
        </w:div>
      </w:divsChild>
    </w:div>
    <w:div w:id="2039694001">
      <w:bodyDiv w:val="1"/>
      <w:marLeft w:val="0"/>
      <w:marRight w:val="0"/>
      <w:marTop w:val="0"/>
      <w:marBottom w:val="0"/>
      <w:divBdr>
        <w:top w:val="none" w:sz="0" w:space="0" w:color="auto"/>
        <w:left w:val="none" w:sz="0" w:space="0" w:color="auto"/>
        <w:bottom w:val="none" w:sz="0" w:space="0" w:color="auto"/>
        <w:right w:val="none" w:sz="0" w:space="0" w:color="auto"/>
      </w:divBdr>
      <w:divsChild>
        <w:div w:id="56562215">
          <w:marLeft w:val="0"/>
          <w:marRight w:val="0"/>
          <w:marTop w:val="0"/>
          <w:marBottom w:val="0"/>
          <w:divBdr>
            <w:top w:val="none" w:sz="0" w:space="0" w:color="auto"/>
            <w:left w:val="none" w:sz="0" w:space="0" w:color="auto"/>
            <w:bottom w:val="none" w:sz="0" w:space="0" w:color="auto"/>
            <w:right w:val="none" w:sz="0" w:space="0" w:color="auto"/>
          </w:divBdr>
        </w:div>
        <w:div w:id="73750022">
          <w:marLeft w:val="0"/>
          <w:marRight w:val="0"/>
          <w:marTop w:val="0"/>
          <w:marBottom w:val="0"/>
          <w:divBdr>
            <w:top w:val="none" w:sz="0" w:space="0" w:color="auto"/>
            <w:left w:val="none" w:sz="0" w:space="0" w:color="auto"/>
            <w:bottom w:val="none" w:sz="0" w:space="0" w:color="auto"/>
            <w:right w:val="none" w:sz="0" w:space="0" w:color="auto"/>
          </w:divBdr>
        </w:div>
        <w:div w:id="90319493">
          <w:marLeft w:val="0"/>
          <w:marRight w:val="0"/>
          <w:marTop w:val="0"/>
          <w:marBottom w:val="0"/>
          <w:divBdr>
            <w:top w:val="none" w:sz="0" w:space="0" w:color="auto"/>
            <w:left w:val="none" w:sz="0" w:space="0" w:color="auto"/>
            <w:bottom w:val="none" w:sz="0" w:space="0" w:color="auto"/>
            <w:right w:val="none" w:sz="0" w:space="0" w:color="auto"/>
          </w:divBdr>
        </w:div>
        <w:div w:id="160505552">
          <w:marLeft w:val="0"/>
          <w:marRight w:val="0"/>
          <w:marTop w:val="0"/>
          <w:marBottom w:val="0"/>
          <w:divBdr>
            <w:top w:val="none" w:sz="0" w:space="0" w:color="auto"/>
            <w:left w:val="none" w:sz="0" w:space="0" w:color="auto"/>
            <w:bottom w:val="none" w:sz="0" w:space="0" w:color="auto"/>
            <w:right w:val="none" w:sz="0" w:space="0" w:color="auto"/>
          </w:divBdr>
        </w:div>
        <w:div w:id="170490472">
          <w:marLeft w:val="0"/>
          <w:marRight w:val="0"/>
          <w:marTop w:val="0"/>
          <w:marBottom w:val="0"/>
          <w:divBdr>
            <w:top w:val="none" w:sz="0" w:space="0" w:color="auto"/>
            <w:left w:val="none" w:sz="0" w:space="0" w:color="auto"/>
            <w:bottom w:val="none" w:sz="0" w:space="0" w:color="auto"/>
            <w:right w:val="none" w:sz="0" w:space="0" w:color="auto"/>
          </w:divBdr>
        </w:div>
        <w:div w:id="176039741">
          <w:marLeft w:val="0"/>
          <w:marRight w:val="0"/>
          <w:marTop w:val="0"/>
          <w:marBottom w:val="0"/>
          <w:divBdr>
            <w:top w:val="none" w:sz="0" w:space="0" w:color="auto"/>
            <w:left w:val="none" w:sz="0" w:space="0" w:color="auto"/>
            <w:bottom w:val="none" w:sz="0" w:space="0" w:color="auto"/>
            <w:right w:val="none" w:sz="0" w:space="0" w:color="auto"/>
          </w:divBdr>
        </w:div>
        <w:div w:id="239559653">
          <w:marLeft w:val="0"/>
          <w:marRight w:val="0"/>
          <w:marTop w:val="0"/>
          <w:marBottom w:val="0"/>
          <w:divBdr>
            <w:top w:val="none" w:sz="0" w:space="0" w:color="auto"/>
            <w:left w:val="none" w:sz="0" w:space="0" w:color="auto"/>
            <w:bottom w:val="none" w:sz="0" w:space="0" w:color="auto"/>
            <w:right w:val="none" w:sz="0" w:space="0" w:color="auto"/>
          </w:divBdr>
        </w:div>
        <w:div w:id="286090358">
          <w:marLeft w:val="0"/>
          <w:marRight w:val="0"/>
          <w:marTop w:val="0"/>
          <w:marBottom w:val="0"/>
          <w:divBdr>
            <w:top w:val="none" w:sz="0" w:space="0" w:color="auto"/>
            <w:left w:val="none" w:sz="0" w:space="0" w:color="auto"/>
            <w:bottom w:val="none" w:sz="0" w:space="0" w:color="auto"/>
            <w:right w:val="none" w:sz="0" w:space="0" w:color="auto"/>
          </w:divBdr>
        </w:div>
        <w:div w:id="299191932">
          <w:marLeft w:val="0"/>
          <w:marRight w:val="0"/>
          <w:marTop w:val="0"/>
          <w:marBottom w:val="0"/>
          <w:divBdr>
            <w:top w:val="none" w:sz="0" w:space="0" w:color="auto"/>
            <w:left w:val="none" w:sz="0" w:space="0" w:color="auto"/>
            <w:bottom w:val="none" w:sz="0" w:space="0" w:color="auto"/>
            <w:right w:val="none" w:sz="0" w:space="0" w:color="auto"/>
          </w:divBdr>
        </w:div>
        <w:div w:id="429743182">
          <w:marLeft w:val="0"/>
          <w:marRight w:val="0"/>
          <w:marTop w:val="0"/>
          <w:marBottom w:val="0"/>
          <w:divBdr>
            <w:top w:val="none" w:sz="0" w:space="0" w:color="auto"/>
            <w:left w:val="none" w:sz="0" w:space="0" w:color="auto"/>
            <w:bottom w:val="none" w:sz="0" w:space="0" w:color="auto"/>
            <w:right w:val="none" w:sz="0" w:space="0" w:color="auto"/>
          </w:divBdr>
        </w:div>
        <w:div w:id="438992608">
          <w:marLeft w:val="0"/>
          <w:marRight w:val="0"/>
          <w:marTop w:val="0"/>
          <w:marBottom w:val="0"/>
          <w:divBdr>
            <w:top w:val="none" w:sz="0" w:space="0" w:color="auto"/>
            <w:left w:val="none" w:sz="0" w:space="0" w:color="auto"/>
            <w:bottom w:val="none" w:sz="0" w:space="0" w:color="auto"/>
            <w:right w:val="none" w:sz="0" w:space="0" w:color="auto"/>
          </w:divBdr>
        </w:div>
        <w:div w:id="572859883">
          <w:marLeft w:val="0"/>
          <w:marRight w:val="0"/>
          <w:marTop w:val="0"/>
          <w:marBottom w:val="0"/>
          <w:divBdr>
            <w:top w:val="none" w:sz="0" w:space="0" w:color="auto"/>
            <w:left w:val="none" w:sz="0" w:space="0" w:color="auto"/>
            <w:bottom w:val="none" w:sz="0" w:space="0" w:color="auto"/>
            <w:right w:val="none" w:sz="0" w:space="0" w:color="auto"/>
          </w:divBdr>
        </w:div>
        <w:div w:id="616133786">
          <w:marLeft w:val="0"/>
          <w:marRight w:val="0"/>
          <w:marTop w:val="0"/>
          <w:marBottom w:val="0"/>
          <w:divBdr>
            <w:top w:val="none" w:sz="0" w:space="0" w:color="auto"/>
            <w:left w:val="none" w:sz="0" w:space="0" w:color="auto"/>
            <w:bottom w:val="none" w:sz="0" w:space="0" w:color="auto"/>
            <w:right w:val="none" w:sz="0" w:space="0" w:color="auto"/>
          </w:divBdr>
        </w:div>
        <w:div w:id="642585097">
          <w:marLeft w:val="0"/>
          <w:marRight w:val="0"/>
          <w:marTop w:val="0"/>
          <w:marBottom w:val="0"/>
          <w:divBdr>
            <w:top w:val="none" w:sz="0" w:space="0" w:color="auto"/>
            <w:left w:val="none" w:sz="0" w:space="0" w:color="auto"/>
            <w:bottom w:val="none" w:sz="0" w:space="0" w:color="auto"/>
            <w:right w:val="none" w:sz="0" w:space="0" w:color="auto"/>
          </w:divBdr>
        </w:div>
        <w:div w:id="753014153">
          <w:marLeft w:val="0"/>
          <w:marRight w:val="0"/>
          <w:marTop w:val="0"/>
          <w:marBottom w:val="0"/>
          <w:divBdr>
            <w:top w:val="none" w:sz="0" w:space="0" w:color="auto"/>
            <w:left w:val="none" w:sz="0" w:space="0" w:color="auto"/>
            <w:bottom w:val="none" w:sz="0" w:space="0" w:color="auto"/>
            <w:right w:val="none" w:sz="0" w:space="0" w:color="auto"/>
          </w:divBdr>
        </w:div>
        <w:div w:id="793788344">
          <w:marLeft w:val="0"/>
          <w:marRight w:val="0"/>
          <w:marTop w:val="0"/>
          <w:marBottom w:val="0"/>
          <w:divBdr>
            <w:top w:val="none" w:sz="0" w:space="0" w:color="auto"/>
            <w:left w:val="none" w:sz="0" w:space="0" w:color="auto"/>
            <w:bottom w:val="none" w:sz="0" w:space="0" w:color="auto"/>
            <w:right w:val="none" w:sz="0" w:space="0" w:color="auto"/>
          </w:divBdr>
        </w:div>
        <w:div w:id="799570032">
          <w:marLeft w:val="0"/>
          <w:marRight w:val="0"/>
          <w:marTop w:val="0"/>
          <w:marBottom w:val="0"/>
          <w:divBdr>
            <w:top w:val="none" w:sz="0" w:space="0" w:color="auto"/>
            <w:left w:val="none" w:sz="0" w:space="0" w:color="auto"/>
            <w:bottom w:val="none" w:sz="0" w:space="0" w:color="auto"/>
            <w:right w:val="none" w:sz="0" w:space="0" w:color="auto"/>
          </w:divBdr>
        </w:div>
        <w:div w:id="818107089">
          <w:marLeft w:val="0"/>
          <w:marRight w:val="0"/>
          <w:marTop w:val="0"/>
          <w:marBottom w:val="0"/>
          <w:divBdr>
            <w:top w:val="none" w:sz="0" w:space="0" w:color="auto"/>
            <w:left w:val="none" w:sz="0" w:space="0" w:color="auto"/>
            <w:bottom w:val="none" w:sz="0" w:space="0" w:color="auto"/>
            <w:right w:val="none" w:sz="0" w:space="0" w:color="auto"/>
          </w:divBdr>
        </w:div>
        <w:div w:id="848330394">
          <w:marLeft w:val="0"/>
          <w:marRight w:val="0"/>
          <w:marTop w:val="0"/>
          <w:marBottom w:val="0"/>
          <w:divBdr>
            <w:top w:val="none" w:sz="0" w:space="0" w:color="auto"/>
            <w:left w:val="none" w:sz="0" w:space="0" w:color="auto"/>
            <w:bottom w:val="none" w:sz="0" w:space="0" w:color="auto"/>
            <w:right w:val="none" w:sz="0" w:space="0" w:color="auto"/>
          </w:divBdr>
        </w:div>
        <w:div w:id="897129119">
          <w:marLeft w:val="0"/>
          <w:marRight w:val="0"/>
          <w:marTop w:val="0"/>
          <w:marBottom w:val="0"/>
          <w:divBdr>
            <w:top w:val="none" w:sz="0" w:space="0" w:color="auto"/>
            <w:left w:val="none" w:sz="0" w:space="0" w:color="auto"/>
            <w:bottom w:val="none" w:sz="0" w:space="0" w:color="auto"/>
            <w:right w:val="none" w:sz="0" w:space="0" w:color="auto"/>
          </w:divBdr>
        </w:div>
        <w:div w:id="939996743">
          <w:marLeft w:val="0"/>
          <w:marRight w:val="0"/>
          <w:marTop w:val="0"/>
          <w:marBottom w:val="0"/>
          <w:divBdr>
            <w:top w:val="none" w:sz="0" w:space="0" w:color="auto"/>
            <w:left w:val="none" w:sz="0" w:space="0" w:color="auto"/>
            <w:bottom w:val="none" w:sz="0" w:space="0" w:color="auto"/>
            <w:right w:val="none" w:sz="0" w:space="0" w:color="auto"/>
          </w:divBdr>
        </w:div>
        <w:div w:id="1005867287">
          <w:marLeft w:val="0"/>
          <w:marRight w:val="0"/>
          <w:marTop w:val="0"/>
          <w:marBottom w:val="0"/>
          <w:divBdr>
            <w:top w:val="none" w:sz="0" w:space="0" w:color="auto"/>
            <w:left w:val="none" w:sz="0" w:space="0" w:color="auto"/>
            <w:bottom w:val="none" w:sz="0" w:space="0" w:color="auto"/>
            <w:right w:val="none" w:sz="0" w:space="0" w:color="auto"/>
          </w:divBdr>
        </w:div>
        <w:div w:id="1019501485">
          <w:marLeft w:val="0"/>
          <w:marRight w:val="0"/>
          <w:marTop w:val="0"/>
          <w:marBottom w:val="0"/>
          <w:divBdr>
            <w:top w:val="none" w:sz="0" w:space="0" w:color="auto"/>
            <w:left w:val="none" w:sz="0" w:space="0" w:color="auto"/>
            <w:bottom w:val="none" w:sz="0" w:space="0" w:color="auto"/>
            <w:right w:val="none" w:sz="0" w:space="0" w:color="auto"/>
          </w:divBdr>
        </w:div>
        <w:div w:id="1068114883">
          <w:marLeft w:val="0"/>
          <w:marRight w:val="0"/>
          <w:marTop w:val="0"/>
          <w:marBottom w:val="0"/>
          <w:divBdr>
            <w:top w:val="none" w:sz="0" w:space="0" w:color="auto"/>
            <w:left w:val="none" w:sz="0" w:space="0" w:color="auto"/>
            <w:bottom w:val="none" w:sz="0" w:space="0" w:color="auto"/>
            <w:right w:val="none" w:sz="0" w:space="0" w:color="auto"/>
          </w:divBdr>
        </w:div>
        <w:div w:id="1081490230">
          <w:marLeft w:val="0"/>
          <w:marRight w:val="0"/>
          <w:marTop w:val="0"/>
          <w:marBottom w:val="0"/>
          <w:divBdr>
            <w:top w:val="none" w:sz="0" w:space="0" w:color="auto"/>
            <w:left w:val="none" w:sz="0" w:space="0" w:color="auto"/>
            <w:bottom w:val="none" w:sz="0" w:space="0" w:color="auto"/>
            <w:right w:val="none" w:sz="0" w:space="0" w:color="auto"/>
          </w:divBdr>
        </w:div>
        <w:div w:id="1213731234">
          <w:marLeft w:val="0"/>
          <w:marRight w:val="0"/>
          <w:marTop w:val="0"/>
          <w:marBottom w:val="0"/>
          <w:divBdr>
            <w:top w:val="none" w:sz="0" w:space="0" w:color="auto"/>
            <w:left w:val="none" w:sz="0" w:space="0" w:color="auto"/>
            <w:bottom w:val="none" w:sz="0" w:space="0" w:color="auto"/>
            <w:right w:val="none" w:sz="0" w:space="0" w:color="auto"/>
          </w:divBdr>
        </w:div>
        <w:div w:id="1376587741">
          <w:marLeft w:val="0"/>
          <w:marRight w:val="0"/>
          <w:marTop w:val="0"/>
          <w:marBottom w:val="0"/>
          <w:divBdr>
            <w:top w:val="none" w:sz="0" w:space="0" w:color="auto"/>
            <w:left w:val="none" w:sz="0" w:space="0" w:color="auto"/>
            <w:bottom w:val="none" w:sz="0" w:space="0" w:color="auto"/>
            <w:right w:val="none" w:sz="0" w:space="0" w:color="auto"/>
          </w:divBdr>
        </w:div>
        <w:div w:id="1392583863">
          <w:marLeft w:val="0"/>
          <w:marRight w:val="0"/>
          <w:marTop w:val="0"/>
          <w:marBottom w:val="0"/>
          <w:divBdr>
            <w:top w:val="none" w:sz="0" w:space="0" w:color="auto"/>
            <w:left w:val="none" w:sz="0" w:space="0" w:color="auto"/>
            <w:bottom w:val="none" w:sz="0" w:space="0" w:color="auto"/>
            <w:right w:val="none" w:sz="0" w:space="0" w:color="auto"/>
          </w:divBdr>
        </w:div>
        <w:div w:id="1395935864">
          <w:marLeft w:val="0"/>
          <w:marRight w:val="0"/>
          <w:marTop w:val="0"/>
          <w:marBottom w:val="0"/>
          <w:divBdr>
            <w:top w:val="none" w:sz="0" w:space="0" w:color="auto"/>
            <w:left w:val="none" w:sz="0" w:space="0" w:color="auto"/>
            <w:bottom w:val="none" w:sz="0" w:space="0" w:color="auto"/>
            <w:right w:val="none" w:sz="0" w:space="0" w:color="auto"/>
          </w:divBdr>
        </w:div>
        <w:div w:id="1448739101">
          <w:marLeft w:val="0"/>
          <w:marRight w:val="0"/>
          <w:marTop w:val="0"/>
          <w:marBottom w:val="0"/>
          <w:divBdr>
            <w:top w:val="none" w:sz="0" w:space="0" w:color="auto"/>
            <w:left w:val="none" w:sz="0" w:space="0" w:color="auto"/>
            <w:bottom w:val="none" w:sz="0" w:space="0" w:color="auto"/>
            <w:right w:val="none" w:sz="0" w:space="0" w:color="auto"/>
          </w:divBdr>
        </w:div>
        <w:div w:id="1472357362">
          <w:marLeft w:val="0"/>
          <w:marRight w:val="0"/>
          <w:marTop w:val="0"/>
          <w:marBottom w:val="0"/>
          <w:divBdr>
            <w:top w:val="none" w:sz="0" w:space="0" w:color="auto"/>
            <w:left w:val="none" w:sz="0" w:space="0" w:color="auto"/>
            <w:bottom w:val="none" w:sz="0" w:space="0" w:color="auto"/>
            <w:right w:val="none" w:sz="0" w:space="0" w:color="auto"/>
          </w:divBdr>
        </w:div>
        <w:div w:id="1509832227">
          <w:marLeft w:val="0"/>
          <w:marRight w:val="0"/>
          <w:marTop w:val="0"/>
          <w:marBottom w:val="0"/>
          <w:divBdr>
            <w:top w:val="none" w:sz="0" w:space="0" w:color="auto"/>
            <w:left w:val="none" w:sz="0" w:space="0" w:color="auto"/>
            <w:bottom w:val="none" w:sz="0" w:space="0" w:color="auto"/>
            <w:right w:val="none" w:sz="0" w:space="0" w:color="auto"/>
          </w:divBdr>
        </w:div>
        <w:div w:id="1652712093">
          <w:marLeft w:val="0"/>
          <w:marRight w:val="0"/>
          <w:marTop w:val="0"/>
          <w:marBottom w:val="0"/>
          <w:divBdr>
            <w:top w:val="none" w:sz="0" w:space="0" w:color="auto"/>
            <w:left w:val="none" w:sz="0" w:space="0" w:color="auto"/>
            <w:bottom w:val="none" w:sz="0" w:space="0" w:color="auto"/>
            <w:right w:val="none" w:sz="0" w:space="0" w:color="auto"/>
          </w:divBdr>
        </w:div>
        <w:div w:id="1663194079">
          <w:marLeft w:val="0"/>
          <w:marRight w:val="0"/>
          <w:marTop w:val="0"/>
          <w:marBottom w:val="0"/>
          <w:divBdr>
            <w:top w:val="none" w:sz="0" w:space="0" w:color="auto"/>
            <w:left w:val="none" w:sz="0" w:space="0" w:color="auto"/>
            <w:bottom w:val="none" w:sz="0" w:space="0" w:color="auto"/>
            <w:right w:val="none" w:sz="0" w:space="0" w:color="auto"/>
          </w:divBdr>
          <w:divsChild>
            <w:div w:id="33965454">
              <w:marLeft w:val="0"/>
              <w:marRight w:val="0"/>
              <w:marTop w:val="0"/>
              <w:marBottom w:val="0"/>
              <w:divBdr>
                <w:top w:val="none" w:sz="0" w:space="0" w:color="auto"/>
                <w:left w:val="none" w:sz="0" w:space="0" w:color="auto"/>
                <w:bottom w:val="none" w:sz="0" w:space="0" w:color="auto"/>
                <w:right w:val="none" w:sz="0" w:space="0" w:color="auto"/>
              </w:divBdr>
            </w:div>
            <w:div w:id="57869765">
              <w:marLeft w:val="0"/>
              <w:marRight w:val="0"/>
              <w:marTop w:val="0"/>
              <w:marBottom w:val="0"/>
              <w:divBdr>
                <w:top w:val="none" w:sz="0" w:space="0" w:color="auto"/>
                <w:left w:val="none" w:sz="0" w:space="0" w:color="auto"/>
                <w:bottom w:val="none" w:sz="0" w:space="0" w:color="auto"/>
                <w:right w:val="none" w:sz="0" w:space="0" w:color="auto"/>
              </w:divBdr>
            </w:div>
            <w:div w:id="73279124">
              <w:marLeft w:val="0"/>
              <w:marRight w:val="0"/>
              <w:marTop w:val="0"/>
              <w:marBottom w:val="0"/>
              <w:divBdr>
                <w:top w:val="none" w:sz="0" w:space="0" w:color="auto"/>
                <w:left w:val="none" w:sz="0" w:space="0" w:color="auto"/>
                <w:bottom w:val="none" w:sz="0" w:space="0" w:color="auto"/>
                <w:right w:val="none" w:sz="0" w:space="0" w:color="auto"/>
              </w:divBdr>
            </w:div>
            <w:div w:id="90049156">
              <w:marLeft w:val="0"/>
              <w:marRight w:val="0"/>
              <w:marTop w:val="0"/>
              <w:marBottom w:val="0"/>
              <w:divBdr>
                <w:top w:val="none" w:sz="0" w:space="0" w:color="auto"/>
                <w:left w:val="none" w:sz="0" w:space="0" w:color="auto"/>
                <w:bottom w:val="none" w:sz="0" w:space="0" w:color="auto"/>
                <w:right w:val="none" w:sz="0" w:space="0" w:color="auto"/>
              </w:divBdr>
            </w:div>
            <w:div w:id="156072075">
              <w:marLeft w:val="0"/>
              <w:marRight w:val="0"/>
              <w:marTop w:val="0"/>
              <w:marBottom w:val="0"/>
              <w:divBdr>
                <w:top w:val="none" w:sz="0" w:space="0" w:color="auto"/>
                <w:left w:val="none" w:sz="0" w:space="0" w:color="auto"/>
                <w:bottom w:val="none" w:sz="0" w:space="0" w:color="auto"/>
                <w:right w:val="none" w:sz="0" w:space="0" w:color="auto"/>
              </w:divBdr>
            </w:div>
            <w:div w:id="197620908">
              <w:marLeft w:val="0"/>
              <w:marRight w:val="0"/>
              <w:marTop w:val="0"/>
              <w:marBottom w:val="0"/>
              <w:divBdr>
                <w:top w:val="none" w:sz="0" w:space="0" w:color="auto"/>
                <w:left w:val="none" w:sz="0" w:space="0" w:color="auto"/>
                <w:bottom w:val="none" w:sz="0" w:space="0" w:color="auto"/>
                <w:right w:val="none" w:sz="0" w:space="0" w:color="auto"/>
              </w:divBdr>
            </w:div>
            <w:div w:id="227690589">
              <w:marLeft w:val="0"/>
              <w:marRight w:val="0"/>
              <w:marTop w:val="0"/>
              <w:marBottom w:val="0"/>
              <w:divBdr>
                <w:top w:val="none" w:sz="0" w:space="0" w:color="auto"/>
                <w:left w:val="none" w:sz="0" w:space="0" w:color="auto"/>
                <w:bottom w:val="none" w:sz="0" w:space="0" w:color="auto"/>
                <w:right w:val="none" w:sz="0" w:space="0" w:color="auto"/>
              </w:divBdr>
            </w:div>
            <w:div w:id="296450856">
              <w:marLeft w:val="0"/>
              <w:marRight w:val="0"/>
              <w:marTop w:val="0"/>
              <w:marBottom w:val="0"/>
              <w:divBdr>
                <w:top w:val="none" w:sz="0" w:space="0" w:color="auto"/>
                <w:left w:val="none" w:sz="0" w:space="0" w:color="auto"/>
                <w:bottom w:val="none" w:sz="0" w:space="0" w:color="auto"/>
                <w:right w:val="none" w:sz="0" w:space="0" w:color="auto"/>
              </w:divBdr>
            </w:div>
            <w:div w:id="313150094">
              <w:marLeft w:val="0"/>
              <w:marRight w:val="0"/>
              <w:marTop w:val="0"/>
              <w:marBottom w:val="0"/>
              <w:divBdr>
                <w:top w:val="none" w:sz="0" w:space="0" w:color="auto"/>
                <w:left w:val="none" w:sz="0" w:space="0" w:color="auto"/>
                <w:bottom w:val="none" w:sz="0" w:space="0" w:color="auto"/>
                <w:right w:val="none" w:sz="0" w:space="0" w:color="auto"/>
              </w:divBdr>
            </w:div>
            <w:div w:id="317852895">
              <w:marLeft w:val="0"/>
              <w:marRight w:val="0"/>
              <w:marTop w:val="0"/>
              <w:marBottom w:val="0"/>
              <w:divBdr>
                <w:top w:val="none" w:sz="0" w:space="0" w:color="auto"/>
                <w:left w:val="none" w:sz="0" w:space="0" w:color="auto"/>
                <w:bottom w:val="none" w:sz="0" w:space="0" w:color="auto"/>
                <w:right w:val="none" w:sz="0" w:space="0" w:color="auto"/>
              </w:divBdr>
            </w:div>
            <w:div w:id="322323062">
              <w:marLeft w:val="0"/>
              <w:marRight w:val="0"/>
              <w:marTop w:val="0"/>
              <w:marBottom w:val="0"/>
              <w:divBdr>
                <w:top w:val="none" w:sz="0" w:space="0" w:color="auto"/>
                <w:left w:val="none" w:sz="0" w:space="0" w:color="auto"/>
                <w:bottom w:val="none" w:sz="0" w:space="0" w:color="auto"/>
                <w:right w:val="none" w:sz="0" w:space="0" w:color="auto"/>
              </w:divBdr>
            </w:div>
            <w:div w:id="477570860">
              <w:marLeft w:val="0"/>
              <w:marRight w:val="0"/>
              <w:marTop w:val="0"/>
              <w:marBottom w:val="0"/>
              <w:divBdr>
                <w:top w:val="none" w:sz="0" w:space="0" w:color="auto"/>
                <w:left w:val="none" w:sz="0" w:space="0" w:color="auto"/>
                <w:bottom w:val="none" w:sz="0" w:space="0" w:color="auto"/>
                <w:right w:val="none" w:sz="0" w:space="0" w:color="auto"/>
              </w:divBdr>
            </w:div>
            <w:div w:id="526286552">
              <w:marLeft w:val="0"/>
              <w:marRight w:val="0"/>
              <w:marTop w:val="0"/>
              <w:marBottom w:val="0"/>
              <w:divBdr>
                <w:top w:val="none" w:sz="0" w:space="0" w:color="auto"/>
                <w:left w:val="none" w:sz="0" w:space="0" w:color="auto"/>
                <w:bottom w:val="none" w:sz="0" w:space="0" w:color="auto"/>
                <w:right w:val="none" w:sz="0" w:space="0" w:color="auto"/>
              </w:divBdr>
            </w:div>
            <w:div w:id="549805122">
              <w:marLeft w:val="0"/>
              <w:marRight w:val="0"/>
              <w:marTop w:val="0"/>
              <w:marBottom w:val="0"/>
              <w:divBdr>
                <w:top w:val="none" w:sz="0" w:space="0" w:color="auto"/>
                <w:left w:val="none" w:sz="0" w:space="0" w:color="auto"/>
                <w:bottom w:val="none" w:sz="0" w:space="0" w:color="auto"/>
                <w:right w:val="none" w:sz="0" w:space="0" w:color="auto"/>
              </w:divBdr>
            </w:div>
            <w:div w:id="595402585">
              <w:marLeft w:val="0"/>
              <w:marRight w:val="0"/>
              <w:marTop w:val="0"/>
              <w:marBottom w:val="0"/>
              <w:divBdr>
                <w:top w:val="none" w:sz="0" w:space="0" w:color="auto"/>
                <w:left w:val="none" w:sz="0" w:space="0" w:color="auto"/>
                <w:bottom w:val="none" w:sz="0" w:space="0" w:color="auto"/>
                <w:right w:val="none" w:sz="0" w:space="0" w:color="auto"/>
              </w:divBdr>
            </w:div>
            <w:div w:id="600407729">
              <w:marLeft w:val="0"/>
              <w:marRight w:val="0"/>
              <w:marTop w:val="0"/>
              <w:marBottom w:val="0"/>
              <w:divBdr>
                <w:top w:val="none" w:sz="0" w:space="0" w:color="auto"/>
                <w:left w:val="none" w:sz="0" w:space="0" w:color="auto"/>
                <w:bottom w:val="none" w:sz="0" w:space="0" w:color="auto"/>
                <w:right w:val="none" w:sz="0" w:space="0" w:color="auto"/>
              </w:divBdr>
            </w:div>
            <w:div w:id="814571616">
              <w:marLeft w:val="0"/>
              <w:marRight w:val="0"/>
              <w:marTop w:val="0"/>
              <w:marBottom w:val="0"/>
              <w:divBdr>
                <w:top w:val="none" w:sz="0" w:space="0" w:color="auto"/>
                <w:left w:val="none" w:sz="0" w:space="0" w:color="auto"/>
                <w:bottom w:val="none" w:sz="0" w:space="0" w:color="auto"/>
                <w:right w:val="none" w:sz="0" w:space="0" w:color="auto"/>
              </w:divBdr>
            </w:div>
            <w:div w:id="917517948">
              <w:marLeft w:val="0"/>
              <w:marRight w:val="0"/>
              <w:marTop w:val="0"/>
              <w:marBottom w:val="0"/>
              <w:divBdr>
                <w:top w:val="none" w:sz="0" w:space="0" w:color="auto"/>
                <w:left w:val="none" w:sz="0" w:space="0" w:color="auto"/>
                <w:bottom w:val="none" w:sz="0" w:space="0" w:color="auto"/>
                <w:right w:val="none" w:sz="0" w:space="0" w:color="auto"/>
              </w:divBdr>
            </w:div>
            <w:div w:id="933169558">
              <w:marLeft w:val="0"/>
              <w:marRight w:val="0"/>
              <w:marTop w:val="0"/>
              <w:marBottom w:val="0"/>
              <w:divBdr>
                <w:top w:val="none" w:sz="0" w:space="0" w:color="auto"/>
                <w:left w:val="none" w:sz="0" w:space="0" w:color="auto"/>
                <w:bottom w:val="none" w:sz="0" w:space="0" w:color="auto"/>
                <w:right w:val="none" w:sz="0" w:space="0" w:color="auto"/>
              </w:divBdr>
            </w:div>
            <w:div w:id="1065178729">
              <w:marLeft w:val="0"/>
              <w:marRight w:val="0"/>
              <w:marTop w:val="0"/>
              <w:marBottom w:val="0"/>
              <w:divBdr>
                <w:top w:val="none" w:sz="0" w:space="0" w:color="auto"/>
                <w:left w:val="none" w:sz="0" w:space="0" w:color="auto"/>
                <w:bottom w:val="none" w:sz="0" w:space="0" w:color="auto"/>
                <w:right w:val="none" w:sz="0" w:space="0" w:color="auto"/>
              </w:divBdr>
            </w:div>
            <w:div w:id="1144391352">
              <w:marLeft w:val="0"/>
              <w:marRight w:val="0"/>
              <w:marTop w:val="0"/>
              <w:marBottom w:val="0"/>
              <w:divBdr>
                <w:top w:val="none" w:sz="0" w:space="0" w:color="auto"/>
                <w:left w:val="none" w:sz="0" w:space="0" w:color="auto"/>
                <w:bottom w:val="none" w:sz="0" w:space="0" w:color="auto"/>
                <w:right w:val="none" w:sz="0" w:space="0" w:color="auto"/>
              </w:divBdr>
            </w:div>
            <w:div w:id="1184898931">
              <w:marLeft w:val="0"/>
              <w:marRight w:val="0"/>
              <w:marTop w:val="0"/>
              <w:marBottom w:val="0"/>
              <w:divBdr>
                <w:top w:val="none" w:sz="0" w:space="0" w:color="auto"/>
                <w:left w:val="none" w:sz="0" w:space="0" w:color="auto"/>
                <w:bottom w:val="none" w:sz="0" w:space="0" w:color="auto"/>
                <w:right w:val="none" w:sz="0" w:space="0" w:color="auto"/>
              </w:divBdr>
            </w:div>
            <w:div w:id="1191646532">
              <w:marLeft w:val="0"/>
              <w:marRight w:val="0"/>
              <w:marTop w:val="0"/>
              <w:marBottom w:val="0"/>
              <w:divBdr>
                <w:top w:val="none" w:sz="0" w:space="0" w:color="auto"/>
                <w:left w:val="none" w:sz="0" w:space="0" w:color="auto"/>
                <w:bottom w:val="none" w:sz="0" w:space="0" w:color="auto"/>
                <w:right w:val="none" w:sz="0" w:space="0" w:color="auto"/>
              </w:divBdr>
            </w:div>
            <w:div w:id="1207836806">
              <w:marLeft w:val="0"/>
              <w:marRight w:val="0"/>
              <w:marTop w:val="0"/>
              <w:marBottom w:val="0"/>
              <w:divBdr>
                <w:top w:val="none" w:sz="0" w:space="0" w:color="auto"/>
                <w:left w:val="none" w:sz="0" w:space="0" w:color="auto"/>
                <w:bottom w:val="none" w:sz="0" w:space="0" w:color="auto"/>
                <w:right w:val="none" w:sz="0" w:space="0" w:color="auto"/>
              </w:divBdr>
            </w:div>
            <w:div w:id="1240214449">
              <w:marLeft w:val="0"/>
              <w:marRight w:val="0"/>
              <w:marTop w:val="0"/>
              <w:marBottom w:val="0"/>
              <w:divBdr>
                <w:top w:val="none" w:sz="0" w:space="0" w:color="auto"/>
                <w:left w:val="none" w:sz="0" w:space="0" w:color="auto"/>
                <w:bottom w:val="none" w:sz="0" w:space="0" w:color="auto"/>
                <w:right w:val="none" w:sz="0" w:space="0" w:color="auto"/>
              </w:divBdr>
            </w:div>
            <w:div w:id="1241477749">
              <w:marLeft w:val="0"/>
              <w:marRight w:val="0"/>
              <w:marTop w:val="0"/>
              <w:marBottom w:val="0"/>
              <w:divBdr>
                <w:top w:val="none" w:sz="0" w:space="0" w:color="auto"/>
                <w:left w:val="none" w:sz="0" w:space="0" w:color="auto"/>
                <w:bottom w:val="none" w:sz="0" w:space="0" w:color="auto"/>
                <w:right w:val="none" w:sz="0" w:space="0" w:color="auto"/>
              </w:divBdr>
            </w:div>
            <w:div w:id="1251621462">
              <w:marLeft w:val="0"/>
              <w:marRight w:val="0"/>
              <w:marTop w:val="0"/>
              <w:marBottom w:val="0"/>
              <w:divBdr>
                <w:top w:val="none" w:sz="0" w:space="0" w:color="auto"/>
                <w:left w:val="none" w:sz="0" w:space="0" w:color="auto"/>
                <w:bottom w:val="none" w:sz="0" w:space="0" w:color="auto"/>
                <w:right w:val="none" w:sz="0" w:space="0" w:color="auto"/>
              </w:divBdr>
            </w:div>
            <w:div w:id="1319461990">
              <w:marLeft w:val="0"/>
              <w:marRight w:val="0"/>
              <w:marTop w:val="0"/>
              <w:marBottom w:val="0"/>
              <w:divBdr>
                <w:top w:val="none" w:sz="0" w:space="0" w:color="auto"/>
                <w:left w:val="none" w:sz="0" w:space="0" w:color="auto"/>
                <w:bottom w:val="none" w:sz="0" w:space="0" w:color="auto"/>
                <w:right w:val="none" w:sz="0" w:space="0" w:color="auto"/>
              </w:divBdr>
            </w:div>
            <w:div w:id="1373266177">
              <w:marLeft w:val="0"/>
              <w:marRight w:val="0"/>
              <w:marTop w:val="0"/>
              <w:marBottom w:val="0"/>
              <w:divBdr>
                <w:top w:val="none" w:sz="0" w:space="0" w:color="auto"/>
                <w:left w:val="none" w:sz="0" w:space="0" w:color="auto"/>
                <w:bottom w:val="none" w:sz="0" w:space="0" w:color="auto"/>
                <w:right w:val="none" w:sz="0" w:space="0" w:color="auto"/>
              </w:divBdr>
            </w:div>
            <w:div w:id="1481383857">
              <w:marLeft w:val="0"/>
              <w:marRight w:val="0"/>
              <w:marTop w:val="0"/>
              <w:marBottom w:val="0"/>
              <w:divBdr>
                <w:top w:val="none" w:sz="0" w:space="0" w:color="auto"/>
                <w:left w:val="none" w:sz="0" w:space="0" w:color="auto"/>
                <w:bottom w:val="none" w:sz="0" w:space="0" w:color="auto"/>
                <w:right w:val="none" w:sz="0" w:space="0" w:color="auto"/>
              </w:divBdr>
            </w:div>
            <w:div w:id="1505700769">
              <w:marLeft w:val="0"/>
              <w:marRight w:val="0"/>
              <w:marTop w:val="0"/>
              <w:marBottom w:val="0"/>
              <w:divBdr>
                <w:top w:val="none" w:sz="0" w:space="0" w:color="auto"/>
                <w:left w:val="none" w:sz="0" w:space="0" w:color="auto"/>
                <w:bottom w:val="none" w:sz="0" w:space="0" w:color="auto"/>
                <w:right w:val="none" w:sz="0" w:space="0" w:color="auto"/>
              </w:divBdr>
            </w:div>
            <w:div w:id="1664426545">
              <w:marLeft w:val="0"/>
              <w:marRight w:val="0"/>
              <w:marTop w:val="0"/>
              <w:marBottom w:val="0"/>
              <w:divBdr>
                <w:top w:val="none" w:sz="0" w:space="0" w:color="auto"/>
                <w:left w:val="none" w:sz="0" w:space="0" w:color="auto"/>
                <w:bottom w:val="none" w:sz="0" w:space="0" w:color="auto"/>
                <w:right w:val="none" w:sz="0" w:space="0" w:color="auto"/>
              </w:divBdr>
            </w:div>
            <w:div w:id="1681934140">
              <w:marLeft w:val="0"/>
              <w:marRight w:val="0"/>
              <w:marTop w:val="0"/>
              <w:marBottom w:val="0"/>
              <w:divBdr>
                <w:top w:val="none" w:sz="0" w:space="0" w:color="auto"/>
                <w:left w:val="none" w:sz="0" w:space="0" w:color="auto"/>
                <w:bottom w:val="none" w:sz="0" w:space="0" w:color="auto"/>
                <w:right w:val="none" w:sz="0" w:space="0" w:color="auto"/>
              </w:divBdr>
            </w:div>
            <w:div w:id="1830976999">
              <w:marLeft w:val="0"/>
              <w:marRight w:val="0"/>
              <w:marTop w:val="0"/>
              <w:marBottom w:val="0"/>
              <w:divBdr>
                <w:top w:val="none" w:sz="0" w:space="0" w:color="auto"/>
                <w:left w:val="none" w:sz="0" w:space="0" w:color="auto"/>
                <w:bottom w:val="none" w:sz="0" w:space="0" w:color="auto"/>
                <w:right w:val="none" w:sz="0" w:space="0" w:color="auto"/>
              </w:divBdr>
            </w:div>
            <w:div w:id="1853105679">
              <w:marLeft w:val="0"/>
              <w:marRight w:val="0"/>
              <w:marTop w:val="0"/>
              <w:marBottom w:val="0"/>
              <w:divBdr>
                <w:top w:val="none" w:sz="0" w:space="0" w:color="auto"/>
                <w:left w:val="none" w:sz="0" w:space="0" w:color="auto"/>
                <w:bottom w:val="none" w:sz="0" w:space="0" w:color="auto"/>
                <w:right w:val="none" w:sz="0" w:space="0" w:color="auto"/>
              </w:divBdr>
            </w:div>
            <w:div w:id="1859808177">
              <w:marLeft w:val="0"/>
              <w:marRight w:val="0"/>
              <w:marTop w:val="0"/>
              <w:marBottom w:val="0"/>
              <w:divBdr>
                <w:top w:val="none" w:sz="0" w:space="0" w:color="auto"/>
                <w:left w:val="none" w:sz="0" w:space="0" w:color="auto"/>
                <w:bottom w:val="none" w:sz="0" w:space="0" w:color="auto"/>
                <w:right w:val="none" w:sz="0" w:space="0" w:color="auto"/>
              </w:divBdr>
            </w:div>
            <w:div w:id="1916815071">
              <w:marLeft w:val="0"/>
              <w:marRight w:val="0"/>
              <w:marTop w:val="0"/>
              <w:marBottom w:val="0"/>
              <w:divBdr>
                <w:top w:val="none" w:sz="0" w:space="0" w:color="auto"/>
                <w:left w:val="none" w:sz="0" w:space="0" w:color="auto"/>
                <w:bottom w:val="none" w:sz="0" w:space="0" w:color="auto"/>
                <w:right w:val="none" w:sz="0" w:space="0" w:color="auto"/>
              </w:divBdr>
            </w:div>
            <w:div w:id="1918704332">
              <w:marLeft w:val="0"/>
              <w:marRight w:val="0"/>
              <w:marTop w:val="0"/>
              <w:marBottom w:val="0"/>
              <w:divBdr>
                <w:top w:val="none" w:sz="0" w:space="0" w:color="auto"/>
                <w:left w:val="none" w:sz="0" w:space="0" w:color="auto"/>
                <w:bottom w:val="none" w:sz="0" w:space="0" w:color="auto"/>
                <w:right w:val="none" w:sz="0" w:space="0" w:color="auto"/>
              </w:divBdr>
            </w:div>
            <w:div w:id="1987929855">
              <w:marLeft w:val="0"/>
              <w:marRight w:val="0"/>
              <w:marTop w:val="0"/>
              <w:marBottom w:val="0"/>
              <w:divBdr>
                <w:top w:val="none" w:sz="0" w:space="0" w:color="auto"/>
                <w:left w:val="none" w:sz="0" w:space="0" w:color="auto"/>
                <w:bottom w:val="none" w:sz="0" w:space="0" w:color="auto"/>
                <w:right w:val="none" w:sz="0" w:space="0" w:color="auto"/>
              </w:divBdr>
            </w:div>
            <w:div w:id="2007393731">
              <w:marLeft w:val="0"/>
              <w:marRight w:val="0"/>
              <w:marTop w:val="0"/>
              <w:marBottom w:val="0"/>
              <w:divBdr>
                <w:top w:val="none" w:sz="0" w:space="0" w:color="auto"/>
                <w:left w:val="none" w:sz="0" w:space="0" w:color="auto"/>
                <w:bottom w:val="none" w:sz="0" w:space="0" w:color="auto"/>
                <w:right w:val="none" w:sz="0" w:space="0" w:color="auto"/>
              </w:divBdr>
            </w:div>
            <w:div w:id="2038962671">
              <w:marLeft w:val="0"/>
              <w:marRight w:val="0"/>
              <w:marTop w:val="0"/>
              <w:marBottom w:val="0"/>
              <w:divBdr>
                <w:top w:val="none" w:sz="0" w:space="0" w:color="auto"/>
                <w:left w:val="none" w:sz="0" w:space="0" w:color="auto"/>
                <w:bottom w:val="none" w:sz="0" w:space="0" w:color="auto"/>
                <w:right w:val="none" w:sz="0" w:space="0" w:color="auto"/>
              </w:divBdr>
            </w:div>
            <w:div w:id="2069985423">
              <w:marLeft w:val="0"/>
              <w:marRight w:val="0"/>
              <w:marTop w:val="0"/>
              <w:marBottom w:val="0"/>
              <w:divBdr>
                <w:top w:val="none" w:sz="0" w:space="0" w:color="auto"/>
                <w:left w:val="none" w:sz="0" w:space="0" w:color="auto"/>
                <w:bottom w:val="none" w:sz="0" w:space="0" w:color="auto"/>
                <w:right w:val="none" w:sz="0" w:space="0" w:color="auto"/>
              </w:divBdr>
            </w:div>
            <w:div w:id="2113160709">
              <w:marLeft w:val="0"/>
              <w:marRight w:val="0"/>
              <w:marTop w:val="0"/>
              <w:marBottom w:val="0"/>
              <w:divBdr>
                <w:top w:val="none" w:sz="0" w:space="0" w:color="auto"/>
                <w:left w:val="none" w:sz="0" w:space="0" w:color="auto"/>
                <w:bottom w:val="none" w:sz="0" w:space="0" w:color="auto"/>
                <w:right w:val="none" w:sz="0" w:space="0" w:color="auto"/>
              </w:divBdr>
            </w:div>
          </w:divsChild>
        </w:div>
        <w:div w:id="1753551809">
          <w:marLeft w:val="0"/>
          <w:marRight w:val="0"/>
          <w:marTop w:val="0"/>
          <w:marBottom w:val="0"/>
          <w:divBdr>
            <w:top w:val="none" w:sz="0" w:space="0" w:color="auto"/>
            <w:left w:val="none" w:sz="0" w:space="0" w:color="auto"/>
            <w:bottom w:val="none" w:sz="0" w:space="0" w:color="auto"/>
            <w:right w:val="none" w:sz="0" w:space="0" w:color="auto"/>
          </w:divBdr>
        </w:div>
        <w:div w:id="1775981206">
          <w:marLeft w:val="0"/>
          <w:marRight w:val="0"/>
          <w:marTop w:val="0"/>
          <w:marBottom w:val="0"/>
          <w:divBdr>
            <w:top w:val="none" w:sz="0" w:space="0" w:color="auto"/>
            <w:left w:val="none" w:sz="0" w:space="0" w:color="auto"/>
            <w:bottom w:val="none" w:sz="0" w:space="0" w:color="auto"/>
            <w:right w:val="none" w:sz="0" w:space="0" w:color="auto"/>
          </w:divBdr>
        </w:div>
        <w:div w:id="1859733864">
          <w:marLeft w:val="0"/>
          <w:marRight w:val="0"/>
          <w:marTop w:val="0"/>
          <w:marBottom w:val="0"/>
          <w:divBdr>
            <w:top w:val="none" w:sz="0" w:space="0" w:color="auto"/>
            <w:left w:val="none" w:sz="0" w:space="0" w:color="auto"/>
            <w:bottom w:val="none" w:sz="0" w:space="0" w:color="auto"/>
            <w:right w:val="none" w:sz="0" w:space="0" w:color="auto"/>
          </w:divBdr>
        </w:div>
        <w:div w:id="1875078216">
          <w:marLeft w:val="0"/>
          <w:marRight w:val="0"/>
          <w:marTop w:val="0"/>
          <w:marBottom w:val="0"/>
          <w:divBdr>
            <w:top w:val="none" w:sz="0" w:space="0" w:color="auto"/>
            <w:left w:val="none" w:sz="0" w:space="0" w:color="auto"/>
            <w:bottom w:val="none" w:sz="0" w:space="0" w:color="auto"/>
            <w:right w:val="none" w:sz="0" w:space="0" w:color="auto"/>
          </w:divBdr>
        </w:div>
        <w:div w:id="1886484648">
          <w:marLeft w:val="0"/>
          <w:marRight w:val="0"/>
          <w:marTop w:val="0"/>
          <w:marBottom w:val="0"/>
          <w:divBdr>
            <w:top w:val="none" w:sz="0" w:space="0" w:color="auto"/>
            <w:left w:val="none" w:sz="0" w:space="0" w:color="auto"/>
            <w:bottom w:val="none" w:sz="0" w:space="0" w:color="auto"/>
            <w:right w:val="none" w:sz="0" w:space="0" w:color="auto"/>
          </w:divBdr>
        </w:div>
        <w:div w:id="1911770987">
          <w:marLeft w:val="0"/>
          <w:marRight w:val="0"/>
          <w:marTop w:val="0"/>
          <w:marBottom w:val="0"/>
          <w:divBdr>
            <w:top w:val="none" w:sz="0" w:space="0" w:color="auto"/>
            <w:left w:val="none" w:sz="0" w:space="0" w:color="auto"/>
            <w:bottom w:val="none" w:sz="0" w:space="0" w:color="auto"/>
            <w:right w:val="none" w:sz="0" w:space="0" w:color="auto"/>
          </w:divBdr>
        </w:div>
        <w:div w:id="1917473609">
          <w:marLeft w:val="0"/>
          <w:marRight w:val="0"/>
          <w:marTop w:val="0"/>
          <w:marBottom w:val="0"/>
          <w:divBdr>
            <w:top w:val="none" w:sz="0" w:space="0" w:color="auto"/>
            <w:left w:val="none" w:sz="0" w:space="0" w:color="auto"/>
            <w:bottom w:val="none" w:sz="0" w:space="0" w:color="auto"/>
            <w:right w:val="none" w:sz="0" w:space="0" w:color="auto"/>
          </w:divBdr>
        </w:div>
        <w:div w:id="1936403651">
          <w:marLeft w:val="0"/>
          <w:marRight w:val="0"/>
          <w:marTop w:val="0"/>
          <w:marBottom w:val="0"/>
          <w:divBdr>
            <w:top w:val="none" w:sz="0" w:space="0" w:color="auto"/>
            <w:left w:val="none" w:sz="0" w:space="0" w:color="auto"/>
            <w:bottom w:val="none" w:sz="0" w:space="0" w:color="auto"/>
            <w:right w:val="none" w:sz="0" w:space="0" w:color="auto"/>
          </w:divBdr>
        </w:div>
        <w:div w:id="2039701080">
          <w:marLeft w:val="0"/>
          <w:marRight w:val="0"/>
          <w:marTop w:val="0"/>
          <w:marBottom w:val="0"/>
          <w:divBdr>
            <w:top w:val="none" w:sz="0" w:space="0" w:color="auto"/>
            <w:left w:val="none" w:sz="0" w:space="0" w:color="auto"/>
            <w:bottom w:val="none" w:sz="0" w:space="0" w:color="auto"/>
            <w:right w:val="none" w:sz="0" w:space="0" w:color="auto"/>
          </w:divBdr>
        </w:div>
        <w:div w:id="2072579977">
          <w:marLeft w:val="0"/>
          <w:marRight w:val="0"/>
          <w:marTop w:val="0"/>
          <w:marBottom w:val="0"/>
          <w:divBdr>
            <w:top w:val="none" w:sz="0" w:space="0" w:color="auto"/>
            <w:left w:val="none" w:sz="0" w:space="0" w:color="auto"/>
            <w:bottom w:val="none" w:sz="0" w:space="0" w:color="auto"/>
            <w:right w:val="none" w:sz="0" w:space="0" w:color="auto"/>
          </w:divBdr>
        </w:div>
        <w:div w:id="2075394773">
          <w:marLeft w:val="0"/>
          <w:marRight w:val="0"/>
          <w:marTop w:val="0"/>
          <w:marBottom w:val="0"/>
          <w:divBdr>
            <w:top w:val="none" w:sz="0" w:space="0" w:color="auto"/>
            <w:left w:val="none" w:sz="0" w:space="0" w:color="auto"/>
            <w:bottom w:val="none" w:sz="0" w:space="0" w:color="auto"/>
            <w:right w:val="none" w:sz="0" w:space="0" w:color="auto"/>
          </w:divBdr>
        </w:div>
        <w:div w:id="2085685859">
          <w:marLeft w:val="0"/>
          <w:marRight w:val="0"/>
          <w:marTop w:val="0"/>
          <w:marBottom w:val="0"/>
          <w:divBdr>
            <w:top w:val="none" w:sz="0" w:space="0" w:color="auto"/>
            <w:left w:val="none" w:sz="0" w:space="0" w:color="auto"/>
            <w:bottom w:val="none" w:sz="0" w:space="0" w:color="auto"/>
            <w:right w:val="none" w:sz="0" w:space="0" w:color="auto"/>
          </w:divBdr>
        </w:div>
      </w:divsChild>
    </w:div>
    <w:div w:id="2073886904">
      <w:bodyDiv w:val="1"/>
      <w:marLeft w:val="0"/>
      <w:marRight w:val="0"/>
      <w:marTop w:val="0"/>
      <w:marBottom w:val="0"/>
      <w:divBdr>
        <w:top w:val="none" w:sz="0" w:space="0" w:color="auto"/>
        <w:left w:val="none" w:sz="0" w:space="0" w:color="auto"/>
        <w:bottom w:val="none" w:sz="0" w:space="0" w:color="auto"/>
        <w:right w:val="none" w:sz="0" w:space="0" w:color="auto"/>
      </w:divBdr>
      <w:divsChild>
        <w:div w:id="957639797">
          <w:marLeft w:val="0"/>
          <w:marRight w:val="0"/>
          <w:marTop w:val="0"/>
          <w:marBottom w:val="0"/>
          <w:divBdr>
            <w:top w:val="none" w:sz="0" w:space="0" w:color="auto"/>
            <w:left w:val="none" w:sz="0" w:space="0" w:color="auto"/>
            <w:bottom w:val="none" w:sz="0" w:space="0" w:color="auto"/>
            <w:right w:val="none" w:sz="0" w:space="0" w:color="auto"/>
          </w:divBdr>
          <w:divsChild>
            <w:div w:id="18893742">
              <w:marLeft w:val="0"/>
              <w:marRight w:val="0"/>
              <w:marTop w:val="0"/>
              <w:marBottom w:val="0"/>
              <w:divBdr>
                <w:top w:val="none" w:sz="0" w:space="0" w:color="auto"/>
                <w:left w:val="none" w:sz="0" w:space="0" w:color="auto"/>
                <w:bottom w:val="none" w:sz="0" w:space="0" w:color="auto"/>
                <w:right w:val="none" w:sz="0" w:space="0" w:color="auto"/>
              </w:divBdr>
            </w:div>
            <w:div w:id="38362287">
              <w:marLeft w:val="0"/>
              <w:marRight w:val="0"/>
              <w:marTop w:val="0"/>
              <w:marBottom w:val="0"/>
              <w:divBdr>
                <w:top w:val="none" w:sz="0" w:space="0" w:color="auto"/>
                <w:left w:val="none" w:sz="0" w:space="0" w:color="auto"/>
                <w:bottom w:val="none" w:sz="0" w:space="0" w:color="auto"/>
                <w:right w:val="none" w:sz="0" w:space="0" w:color="auto"/>
              </w:divBdr>
            </w:div>
            <w:div w:id="135881182">
              <w:marLeft w:val="0"/>
              <w:marRight w:val="0"/>
              <w:marTop w:val="0"/>
              <w:marBottom w:val="0"/>
              <w:divBdr>
                <w:top w:val="none" w:sz="0" w:space="0" w:color="auto"/>
                <w:left w:val="none" w:sz="0" w:space="0" w:color="auto"/>
                <w:bottom w:val="none" w:sz="0" w:space="0" w:color="auto"/>
                <w:right w:val="none" w:sz="0" w:space="0" w:color="auto"/>
              </w:divBdr>
            </w:div>
            <w:div w:id="201553424">
              <w:marLeft w:val="0"/>
              <w:marRight w:val="0"/>
              <w:marTop w:val="0"/>
              <w:marBottom w:val="0"/>
              <w:divBdr>
                <w:top w:val="none" w:sz="0" w:space="0" w:color="auto"/>
                <w:left w:val="none" w:sz="0" w:space="0" w:color="auto"/>
                <w:bottom w:val="none" w:sz="0" w:space="0" w:color="auto"/>
                <w:right w:val="none" w:sz="0" w:space="0" w:color="auto"/>
              </w:divBdr>
            </w:div>
            <w:div w:id="267667334">
              <w:marLeft w:val="0"/>
              <w:marRight w:val="0"/>
              <w:marTop w:val="0"/>
              <w:marBottom w:val="0"/>
              <w:divBdr>
                <w:top w:val="none" w:sz="0" w:space="0" w:color="auto"/>
                <w:left w:val="none" w:sz="0" w:space="0" w:color="auto"/>
                <w:bottom w:val="none" w:sz="0" w:space="0" w:color="auto"/>
                <w:right w:val="none" w:sz="0" w:space="0" w:color="auto"/>
              </w:divBdr>
            </w:div>
            <w:div w:id="340011184">
              <w:marLeft w:val="0"/>
              <w:marRight w:val="0"/>
              <w:marTop w:val="0"/>
              <w:marBottom w:val="0"/>
              <w:divBdr>
                <w:top w:val="none" w:sz="0" w:space="0" w:color="auto"/>
                <w:left w:val="none" w:sz="0" w:space="0" w:color="auto"/>
                <w:bottom w:val="none" w:sz="0" w:space="0" w:color="auto"/>
                <w:right w:val="none" w:sz="0" w:space="0" w:color="auto"/>
              </w:divBdr>
            </w:div>
            <w:div w:id="355664928">
              <w:marLeft w:val="0"/>
              <w:marRight w:val="0"/>
              <w:marTop w:val="0"/>
              <w:marBottom w:val="0"/>
              <w:divBdr>
                <w:top w:val="none" w:sz="0" w:space="0" w:color="auto"/>
                <w:left w:val="none" w:sz="0" w:space="0" w:color="auto"/>
                <w:bottom w:val="none" w:sz="0" w:space="0" w:color="auto"/>
                <w:right w:val="none" w:sz="0" w:space="0" w:color="auto"/>
              </w:divBdr>
            </w:div>
            <w:div w:id="407072366">
              <w:marLeft w:val="0"/>
              <w:marRight w:val="0"/>
              <w:marTop w:val="0"/>
              <w:marBottom w:val="0"/>
              <w:divBdr>
                <w:top w:val="none" w:sz="0" w:space="0" w:color="auto"/>
                <w:left w:val="none" w:sz="0" w:space="0" w:color="auto"/>
                <w:bottom w:val="none" w:sz="0" w:space="0" w:color="auto"/>
                <w:right w:val="none" w:sz="0" w:space="0" w:color="auto"/>
              </w:divBdr>
            </w:div>
            <w:div w:id="427580668">
              <w:marLeft w:val="0"/>
              <w:marRight w:val="0"/>
              <w:marTop w:val="0"/>
              <w:marBottom w:val="0"/>
              <w:divBdr>
                <w:top w:val="none" w:sz="0" w:space="0" w:color="auto"/>
                <w:left w:val="none" w:sz="0" w:space="0" w:color="auto"/>
                <w:bottom w:val="none" w:sz="0" w:space="0" w:color="auto"/>
                <w:right w:val="none" w:sz="0" w:space="0" w:color="auto"/>
              </w:divBdr>
            </w:div>
            <w:div w:id="610402379">
              <w:marLeft w:val="0"/>
              <w:marRight w:val="0"/>
              <w:marTop w:val="0"/>
              <w:marBottom w:val="0"/>
              <w:divBdr>
                <w:top w:val="none" w:sz="0" w:space="0" w:color="auto"/>
                <w:left w:val="none" w:sz="0" w:space="0" w:color="auto"/>
                <w:bottom w:val="none" w:sz="0" w:space="0" w:color="auto"/>
                <w:right w:val="none" w:sz="0" w:space="0" w:color="auto"/>
              </w:divBdr>
            </w:div>
            <w:div w:id="1364748489">
              <w:marLeft w:val="0"/>
              <w:marRight w:val="0"/>
              <w:marTop w:val="0"/>
              <w:marBottom w:val="0"/>
              <w:divBdr>
                <w:top w:val="none" w:sz="0" w:space="0" w:color="auto"/>
                <w:left w:val="none" w:sz="0" w:space="0" w:color="auto"/>
                <w:bottom w:val="none" w:sz="0" w:space="0" w:color="auto"/>
                <w:right w:val="none" w:sz="0" w:space="0" w:color="auto"/>
              </w:divBdr>
            </w:div>
            <w:div w:id="1469125880">
              <w:marLeft w:val="0"/>
              <w:marRight w:val="0"/>
              <w:marTop w:val="0"/>
              <w:marBottom w:val="0"/>
              <w:divBdr>
                <w:top w:val="none" w:sz="0" w:space="0" w:color="auto"/>
                <w:left w:val="none" w:sz="0" w:space="0" w:color="auto"/>
                <w:bottom w:val="none" w:sz="0" w:space="0" w:color="auto"/>
                <w:right w:val="none" w:sz="0" w:space="0" w:color="auto"/>
              </w:divBdr>
            </w:div>
            <w:div w:id="1482311125">
              <w:marLeft w:val="0"/>
              <w:marRight w:val="0"/>
              <w:marTop w:val="0"/>
              <w:marBottom w:val="0"/>
              <w:divBdr>
                <w:top w:val="none" w:sz="0" w:space="0" w:color="auto"/>
                <w:left w:val="none" w:sz="0" w:space="0" w:color="auto"/>
                <w:bottom w:val="none" w:sz="0" w:space="0" w:color="auto"/>
                <w:right w:val="none" w:sz="0" w:space="0" w:color="auto"/>
              </w:divBdr>
            </w:div>
            <w:div w:id="1526824201">
              <w:marLeft w:val="0"/>
              <w:marRight w:val="0"/>
              <w:marTop w:val="0"/>
              <w:marBottom w:val="0"/>
              <w:divBdr>
                <w:top w:val="none" w:sz="0" w:space="0" w:color="auto"/>
                <w:left w:val="none" w:sz="0" w:space="0" w:color="auto"/>
                <w:bottom w:val="none" w:sz="0" w:space="0" w:color="auto"/>
                <w:right w:val="none" w:sz="0" w:space="0" w:color="auto"/>
              </w:divBdr>
            </w:div>
            <w:div w:id="1589390779">
              <w:marLeft w:val="0"/>
              <w:marRight w:val="0"/>
              <w:marTop w:val="0"/>
              <w:marBottom w:val="0"/>
              <w:divBdr>
                <w:top w:val="none" w:sz="0" w:space="0" w:color="auto"/>
                <w:left w:val="none" w:sz="0" w:space="0" w:color="auto"/>
                <w:bottom w:val="none" w:sz="0" w:space="0" w:color="auto"/>
                <w:right w:val="none" w:sz="0" w:space="0" w:color="auto"/>
              </w:divBdr>
            </w:div>
            <w:div w:id="1713840654">
              <w:marLeft w:val="0"/>
              <w:marRight w:val="0"/>
              <w:marTop w:val="0"/>
              <w:marBottom w:val="0"/>
              <w:divBdr>
                <w:top w:val="none" w:sz="0" w:space="0" w:color="auto"/>
                <w:left w:val="none" w:sz="0" w:space="0" w:color="auto"/>
                <w:bottom w:val="none" w:sz="0" w:space="0" w:color="auto"/>
                <w:right w:val="none" w:sz="0" w:space="0" w:color="auto"/>
              </w:divBdr>
            </w:div>
            <w:div w:id="2072147298">
              <w:marLeft w:val="0"/>
              <w:marRight w:val="0"/>
              <w:marTop w:val="0"/>
              <w:marBottom w:val="0"/>
              <w:divBdr>
                <w:top w:val="none" w:sz="0" w:space="0" w:color="auto"/>
                <w:left w:val="none" w:sz="0" w:space="0" w:color="auto"/>
                <w:bottom w:val="none" w:sz="0" w:space="0" w:color="auto"/>
                <w:right w:val="none" w:sz="0" w:space="0" w:color="auto"/>
              </w:divBdr>
            </w:div>
            <w:div w:id="2080401357">
              <w:marLeft w:val="0"/>
              <w:marRight w:val="0"/>
              <w:marTop w:val="0"/>
              <w:marBottom w:val="0"/>
              <w:divBdr>
                <w:top w:val="none" w:sz="0" w:space="0" w:color="auto"/>
                <w:left w:val="none" w:sz="0" w:space="0" w:color="auto"/>
                <w:bottom w:val="none" w:sz="0" w:space="0" w:color="auto"/>
                <w:right w:val="none" w:sz="0" w:space="0" w:color="auto"/>
              </w:divBdr>
            </w:div>
            <w:div w:id="2099521893">
              <w:marLeft w:val="0"/>
              <w:marRight w:val="0"/>
              <w:marTop w:val="0"/>
              <w:marBottom w:val="0"/>
              <w:divBdr>
                <w:top w:val="none" w:sz="0" w:space="0" w:color="auto"/>
                <w:left w:val="none" w:sz="0" w:space="0" w:color="auto"/>
                <w:bottom w:val="none" w:sz="0" w:space="0" w:color="auto"/>
                <w:right w:val="none" w:sz="0" w:space="0" w:color="auto"/>
              </w:divBdr>
            </w:div>
            <w:div w:id="2105765034">
              <w:marLeft w:val="0"/>
              <w:marRight w:val="0"/>
              <w:marTop w:val="0"/>
              <w:marBottom w:val="0"/>
              <w:divBdr>
                <w:top w:val="none" w:sz="0" w:space="0" w:color="auto"/>
                <w:left w:val="none" w:sz="0" w:space="0" w:color="auto"/>
                <w:bottom w:val="none" w:sz="0" w:space="0" w:color="auto"/>
                <w:right w:val="none" w:sz="0" w:space="0" w:color="auto"/>
              </w:divBdr>
            </w:div>
          </w:divsChild>
        </w:div>
        <w:div w:id="1096051609">
          <w:marLeft w:val="0"/>
          <w:marRight w:val="0"/>
          <w:marTop w:val="0"/>
          <w:marBottom w:val="0"/>
          <w:divBdr>
            <w:top w:val="none" w:sz="0" w:space="0" w:color="auto"/>
            <w:left w:val="none" w:sz="0" w:space="0" w:color="auto"/>
            <w:bottom w:val="none" w:sz="0" w:space="0" w:color="auto"/>
            <w:right w:val="none" w:sz="0" w:space="0" w:color="auto"/>
          </w:divBdr>
          <w:divsChild>
            <w:div w:id="214127083">
              <w:marLeft w:val="0"/>
              <w:marRight w:val="0"/>
              <w:marTop w:val="0"/>
              <w:marBottom w:val="0"/>
              <w:divBdr>
                <w:top w:val="none" w:sz="0" w:space="0" w:color="auto"/>
                <w:left w:val="none" w:sz="0" w:space="0" w:color="auto"/>
                <w:bottom w:val="none" w:sz="0" w:space="0" w:color="auto"/>
                <w:right w:val="none" w:sz="0" w:space="0" w:color="auto"/>
              </w:divBdr>
            </w:div>
            <w:div w:id="246424586">
              <w:marLeft w:val="0"/>
              <w:marRight w:val="0"/>
              <w:marTop w:val="0"/>
              <w:marBottom w:val="0"/>
              <w:divBdr>
                <w:top w:val="none" w:sz="0" w:space="0" w:color="auto"/>
                <w:left w:val="none" w:sz="0" w:space="0" w:color="auto"/>
                <w:bottom w:val="none" w:sz="0" w:space="0" w:color="auto"/>
                <w:right w:val="none" w:sz="0" w:space="0" w:color="auto"/>
              </w:divBdr>
            </w:div>
            <w:div w:id="252128378">
              <w:marLeft w:val="0"/>
              <w:marRight w:val="0"/>
              <w:marTop w:val="0"/>
              <w:marBottom w:val="0"/>
              <w:divBdr>
                <w:top w:val="none" w:sz="0" w:space="0" w:color="auto"/>
                <w:left w:val="none" w:sz="0" w:space="0" w:color="auto"/>
                <w:bottom w:val="none" w:sz="0" w:space="0" w:color="auto"/>
                <w:right w:val="none" w:sz="0" w:space="0" w:color="auto"/>
              </w:divBdr>
            </w:div>
            <w:div w:id="337972265">
              <w:marLeft w:val="0"/>
              <w:marRight w:val="0"/>
              <w:marTop w:val="0"/>
              <w:marBottom w:val="0"/>
              <w:divBdr>
                <w:top w:val="none" w:sz="0" w:space="0" w:color="auto"/>
                <w:left w:val="none" w:sz="0" w:space="0" w:color="auto"/>
                <w:bottom w:val="none" w:sz="0" w:space="0" w:color="auto"/>
                <w:right w:val="none" w:sz="0" w:space="0" w:color="auto"/>
              </w:divBdr>
            </w:div>
            <w:div w:id="395013956">
              <w:marLeft w:val="0"/>
              <w:marRight w:val="0"/>
              <w:marTop w:val="0"/>
              <w:marBottom w:val="0"/>
              <w:divBdr>
                <w:top w:val="none" w:sz="0" w:space="0" w:color="auto"/>
                <w:left w:val="none" w:sz="0" w:space="0" w:color="auto"/>
                <w:bottom w:val="none" w:sz="0" w:space="0" w:color="auto"/>
                <w:right w:val="none" w:sz="0" w:space="0" w:color="auto"/>
              </w:divBdr>
            </w:div>
            <w:div w:id="669873348">
              <w:marLeft w:val="0"/>
              <w:marRight w:val="0"/>
              <w:marTop w:val="0"/>
              <w:marBottom w:val="0"/>
              <w:divBdr>
                <w:top w:val="none" w:sz="0" w:space="0" w:color="auto"/>
                <w:left w:val="none" w:sz="0" w:space="0" w:color="auto"/>
                <w:bottom w:val="none" w:sz="0" w:space="0" w:color="auto"/>
                <w:right w:val="none" w:sz="0" w:space="0" w:color="auto"/>
              </w:divBdr>
            </w:div>
            <w:div w:id="866024745">
              <w:marLeft w:val="0"/>
              <w:marRight w:val="0"/>
              <w:marTop w:val="0"/>
              <w:marBottom w:val="0"/>
              <w:divBdr>
                <w:top w:val="none" w:sz="0" w:space="0" w:color="auto"/>
                <w:left w:val="none" w:sz="0" w:space="0" w:color="auto"/>
                <w:bottom w:val="none" w:sz="0" w:space="0" w:color="auto"/>
                <w:right w:val="none" w:sz="0" w:space="0" w:color="auto"/>
              </w:divBdr>
            </w:div>
            <w:div w:id="992290718">
              <w:marLeft w:val="0"/>
              <w:marRight w:val="0"/>
              <w:marTop w:val="0"/>
              <w:marBottom w:val="0"/>
              <w:divBdr>
                <w:top w:val="none" w:sz="0" w:space="0" w:color="auto"/>
                <w:left w:val="none" w:sz="0" w:space="0" w:color="auto"/>
                <w:bottom w:val="none" w:sz="0" w:space="0" w:color="auto"/>
                <w:right w:val="none" w:sz="0" w:space="0" w:color="auto"/>
              </w:divBdr>
            </w:div>
            <w:div w:id="1520314475">
              <w:marLeft w:val="0"/>
              <w:marRight w:val="0"/>
              <w:marTop w:val="0"/>
              <w:marBottom w:val="0"/>
              <w:divBdr>
                <w:top w:val="none" w:sz="0" w:space="0" w:color="auto"/>
                <w:left w:val="none" w:sz="0" w:space="0" w:color="auto"/>
                <w:bottom w:val="none" w:sz="0" w:space="0" w:color="auto"/>
                <w:right w:val="none" w:sz="0" w:space="0" w:color="auto"/>
              </w:divBdr>
            </w:div>
            <w:div w:id="1720400213">
              <w:marLeft w:val="0"/>
              <w:marRight w:val="0"/>
              <w:marTop w:val="0"/>
              <w:marBottom w:val="0"/>
              <w:divBdr>
                <w:top w:val="none" w:sz="0" w:space="0" w:color="auto"/>
                <w:left w:val="none" w:sz="0" w:space="0" w:color="auto"/>
                <w:bottom w:val="none" w:sz="0" w:space="0" w:color="auto"/>
                <w:right w:val="none" w:sz="0" w:space="0" w:color="auto"/>
              </w:divBdr>
            </w:div>
            <w:div w:id="21431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3997">
      <w:bodyDiv w:val="1"/>
      <w:marLeft w:val="0"/>
      <w:marRight w:val="0"/>
      <w:marTop w:val="0"/>
      <w:marBottom w:val="0"/>
      <w:divBdr>
        <w:top w:val="none" w:sz="0" w:space="0" w:color="auto"/>
        <w:left w:val="none" w:sz="0" w:space="0" w:color="auto"/>
        <w:bottom w:val="none" w:sz="0" w:space="0" w:color="auto"/>
        <w:right w:val="none" w:sz="0" w:space="0" w:color="auto"/>
      </w:divBdr>
    </w:div>
    <w:div w:id="2081370142">
      <w:bodyDiv w:val="1"/>
      <w:marLeft w:val="0"/>
      <w:marRight w:val="0"/>
      <w:marTop w:val="0"/>
      <w:marBottom w:val="0"/>
      <w:divBdr>
        <w:top w:val="none" w:sz="0" w:space="0" w:color="auto"/>
        <w:left w:val="none" w:sz="0" w:space="0" w:color="auto"/>
        <w:bottom w:val="none" w:sz="0" w:space="0" w:color="auto"/>
        <w:right w:val="none" w:sz="0" w:space="0" w:color="auto"/>
      </w:divBdr>
      <w:divsChild>
        <w:div w:id="150488687">
          <w:marLeft w:val="0"/>
          <w:marRight w:val="0"/>
          <w:marTop w:val="0"/>
          <w:marBottom w:val="0"/>
          <w:divBdr>
            <w:top w:val="none" w:sz="0" w:space="0" w:color="auto"/>
            <w:left w:val="none" w:sz="0" w:space="0" w:color="auto"/>
            <w:bottom w:val="none" w:sz="0" w:space="0" w:color="auto"/>
            <w:right w:val="none" w:sz="0" w:space="0" w:color="auto"/>
          </w:divBdr>
        </w:div>
        <w:div w:id="209268598">
          <w:marLeft w:val="0"/>
          <w:marRight w:val="0"/>
          <w:marTop w:val="0"/>
          <w:marBottom w:val="0"/>
          <w:divBdr>
            <w:top w:val="none" w:sz="0" w:space="0" w:color="auto"/>
            <w:left w:val="none" w:sz="0" w:space="0" w:color="auto"/>
            <w:bottom w:val="none" w:sz="0" w:space="0" w:color="auto"/>
            <w:right w:val="none" w:sz="0" w:space="0" w:color="auto"/>
          </w:divBdr>
        </w:div>
        <w:div w:id="266893532">
          <w:marLeft w:val="0"/>
          <w:marRight w:val="0"/>
          <w:marTop w:val="0"/>
          <w:marBottom w:val="0"/>
          <w:divBdr>
            <w:top w:val="none" w:sz="0" w:space="0" w:color="auto"/>
            <w:left w:val="none" w:sz="0" w:space="0" w:color="auto"/>
            <w:bottom w:val="none" w:sz="0" w:space="0" w:color="auto"/>
            <w:right w:val="none" w:sz="0" w:space="0" w:color="auto"/>
          </w:divBdr>
        </w:div>
        <w:div w:id="484051067">
          <w:marLeft w:val="0"/>
          <w:marRight w:val="0"/>
          <w:marTop w:val="0"/>
          <w:marBottom w:val="0"/>
          <w:divBdr>
            <w:top w:val="none" w:sz="0" w:space="0" w:color="auto"/>
            <w:left w:val="none" w:sz="0" w:space="0" w:color="auto"/>
            <w:bottom w:val="none" w:sz="0" w:space="0" w:color="auto"/>
            <w:right w:val="none" w:sz="0" w:space="0" w:color="auto"/>
          </w:divBdr>
        </w:div>
        <w:div w:id="521631404">
          <w:marLeft w:val="0"/>
          <w:marRight w:val="0"/>
          <w:marTop w:val="0"/>
          <w:marBottom w:val="0"/>
          <w:divBdr>
            <w:top w:val="none" w:sz="0" w:space="0" w:color="auto"/>
            <w:left w:val="none" w:sz="0" w:space="0" w:color="auto"/>
            <w:bottom w:val="none" w:sz="0" w:space="0" w:color="auto"/>
            <w:right w:val="none" w:sz="0" w:space="0" w:color="auto"/>
          </w:divBdr>
        </w:div>
        <w:div w:id="934821210">
          <w:marLeft w:val="0"/>
          <w:marRight w:val="0"/>
          <w:marTop w:val="0"/>
          <w:marBottom w:val="0"/>
          <w:divBdr>
            <w:top w:val="none" w:sz="0" w:space="0" w:color="auto"/>
            <w:left w:val="none" w:sz="0" w:space="0" w:color="auto"/>
            <w:bottom w:val="none" w:sz="0" w:space="0" w:color="auto"/>
            <w:right w:val="none" w:sz="0" w:space="0" w:color="auto"/>
          </w:divBdr>
        </w:div>
        <w:div w:id="972177953">
          <w:marLeft w:val="0"/>
          <w:marRight w:val="0"/>
          <w:marTop w:val="0"/>
          <w:marBottom w:val="0"/>
          <w:divBdr>
            <w:top w:val="none" w:sz="0" w:space="0" w:color="auto"/>
            <w:left w:val="none" w:sz="0" w:space="0" w:color="auto"/>
            <w:bottom w:val="none" w:sz="0" w:space="0" w:color="auto"/>
            <w:right w:val="none" w:sz="0" w:space="0" w:color="auto"/>
          </w:divBdr>
        </w:div>
        <w:div w:id="1027178006">
          <w:marLeft w:val="0"/>
          <w:marRight w:val="0"/>
          <w:marTop w:val="0"/>
          <w:marBottom w:val="0"/>
          <w:divBdr>
            <w:top w:val="none" w:sz="0" w:space="0" w:color="auto"/>
            <w:left w:val="none" w:sz="0" w:space="0" w:color="auto"/>
            <w:bottom w:val="none" w:sz="0" w:space="0" w:color="auto"/>
            <w:right w:val="none" w:sz="0" w:space="0" w:color="auto"/>
          </w:divBdr>
        </w:div>
        <w:div w:id="1049303218">
          <w:marLeft w:val="0"/>
          <w:marRight w:val="0"/>
          <w:marTop w:val="0"/>
          <w:marBottom w:val="0"/>
          <w:divBdr>
            <w:top w:val="none" w:sz="0" w:space="0" w:color="auto"/>
            <w:left w:val="none" w:sz="0" w:space="0" w:color="auto"/>
            <w:bottom w:val="none" w:sz="0" w:space="0" w:color="auto"/>
            <w:right w:val="none" w:sz="0" w:space="0" w:color="auto"/>
          </w:divBdr>
        </w:div>
        <w:div w:id="1111128304">
          <w:marLeft w:val="0"/>
          <w:marRight w:val="0"/>
          <w:marTop w:val="0"/>
          <w:marBottom w:val="0"/>
          <w:divBdr>
            <w:top w:val="none" w:sz="0" w:space="0" w:color="auto"/>
            <w:left w:val="none" w:sz="0" w:space="0" w:color="auto"/>
            <w:bottom w:val="none" w:sz="0" w:space="0" w:color="auto"/>
            <w:right w:val="none" w:sz="0" w:space="0" w:color="auto"/>
          </w:divBdr>
        </w:div>
        <w:div w:id="1114440427">
          <w:marLeft w:val="0"/>
          <w:marRight w:val="0"/>
          <w:marTop w:val="0"/>
          <w:marBottom w:val="0"/>
          <w:divBdr>
            <w:top w:val="none" w:sz="0" w:space="0" w:color="auto"/>
            <w:left w:val="none" w:sz="0" w:space="0" w:color="auto"/>
            <w:bottom w:val="none" w:sz="0" w:space="0" w:color="auto"/>
            <w:right w:val="none" w:sz="0" w:space="0" w:color="auto"/>
          </w:divBdr>
        </w:div>
        <w:div w:id="1230269617">
          <w:marLeft w:val="0"/>
          <w:marRight w:val="0"/>
          <w:marTop w:val="0"/>
          <w:marBottom w:val="0"/>
          <w:divBdr>
            <w:top w:val="none" w:sz="0" w:space="0" w:color="auto"/>
            <w:left w:val="none" w:sz="0" w:space="0" w:color="auto"/>
            <w:bottom w:val="none" w:sz="0" w:space="0" w:color="auto"/>
            <w:right w:val="none" w:sz="0" w:space="0" w:color="auto"/>
          </w:divBdr>
        </w:div>
        <w:div w:id="1279993776">
          <w:marLeft w:val="0"/>
          <w:marRight w:val="0"/>
          <w:marTop w:val="0"/>
          <w:marBottom w:val="0"/>
          <w:divBdr>
            <w:top w:val="none" w:sz="0" w:space="0" w:color="auto"/>
            <w:left w:val="none" w:sz="0" w:space="0" w:color="auto"/>
            <w:bottom w:val="none" w:sz="0" w:space="0" w:color="auto"/>
            <w:right w:val="none" w:sz="0" w:space="0" w:color="auto"/>
          </w:divBdr>
        </w:div>
        <w:div w:id="1322854504">
          <w:marLeft w:val="0"/>
          <w:marRight w:val="0"/>
          <w:marTop w:val="0"/>
          <w:marBottom w:val="0"/>
          <w:divBdr>
            <w:top w:val="none" w:sz="0" w:space="0" w:color="auto"/>
            <w:left w:val="none" w:sz="0" w:space="0" w:color="auto"/>
            <w:bottom w:val="none" w:sz="0" w:space="0" w:color="auto"/>
            <w:right w:val="none" w:sz="0" w:space="0" w:color="auto"/>
          </w:divBdr>
        </w:div>
        <w:div w:id="1505511389">
          <w:marLeft w:val="0"/>
          <w:marRight w:val="0"/>
          <w:marTop w:val="0"/>
          <w:marBottom w:val="0"/>
          <w:divBdr>
            <w:top w:val="none" w:sz="0" w:space="0" w:color="auto"/>
            <w:left w:val="none" w:sz="0" w:space="0" w:color="auto"/>
            <w:bottom w:val="none" w:sz="0" w:space="0" w:color="auto"/>
            <w:right w:val="none" w:sz="0" w:space="0" w:color="auto"/>
          </w:divBdr>
        </w:div>
        <w:div w:id="1588031062">
          <w:marLeft w:val="0"/>
          <w:marRight w:val="0"/>
          <w:marTop w:val="0"/>
          <w:marBottom w:val="0"/>
          <w:divBdr>
            <w:top w:val="none" w:sz="0" w:space="0" w:color="auto"/>
            <w:left w:val="none" w:sz="0" w:space="0" w:color="auto"/>
            <w:bottom w:val="none" w:sz="0" w:space="0" w:color="auto"/>
            <w:right w:val="none" w:sz="0" w:space="0" w:color="auto"/>
          </w:divBdr>
        </w:div>
        <w:div w:id="1634558582">
          <w:marLeft w:val="0"/>
          <w:marRight w:val="0"/>
          <w:marTop w:val="0"/>
          <w:marBottom w:val="0"/>
          <w:divBdr>
            <w:top w:val="none" w:sz="0" w:space="0" w:color="auto"/>
            <w:left w:val="none" w:sz="0" w:space="0" w:color="auto"/>
            <w:bottom w:val="none" w:sz="0" w:space="0" w:color="auto"/>
            <w:right w:val="none" w:sz="0" w:space="0" w:color="auto"/>
          </w:divBdr>
          <w:divsChild>
            <w:div w:id="168525208">
              <w:marLeft w:val="0"/>
              <w:marRight w:val="0"/>
              <w:marTop w:val="0"/>
              <w:marBottom w:val="0"/>
              <w:divBdr>
                <w:top w:val="none" w:sz="0" w:space="0" w:color="auto"/>
                <w:left w:val="none" w:sz="0" w:space="0" w:color="auto"/>
                <w:bottom w:val="none" w:sz="0" w:space="0" w:color="auto"/>
                <w:right w:val="none" w:sz="0" w:space="0" w:color="auto"/>
              </w:divBdr>
            </w:div>
            <w:div w:id="235944070">
              <w:marLeft w:val="0"/>
              <w:marRight w:val="0"/>
              <w:marTop w:val="0"/>
              <w:marBottom w:val="0"/>
              <w:divBdr>
                <w:top w:val="none" w:sz="0" w:space="0" w:color="auto"/>
                <w:left w:val="none" w:sz="0" w:space="0" w:color="auto"/>
                <w:bottom w:val="none" w:sz="0" w:space="0" w:color="auto"/>
                <w:right w:val="none" w:sz="0" w:space="0" w:color="auto"/>
              </w:divBdr>
            </w:div>
            <w:div w:id="239410113">
              <w:marLeft w:val="0"/>
              <w:marRight w:val="0"/>
              <w:marTop w:val="0"/>
              <w:marBottom w:val="0"/>
              <w:divBdr>
                <w:top w:val="none" w:sz="0" w:space="0" w:color="auto"/>
                <w:left w:val="none" w:sz="0" w:space="0" w:color="auto"/>
                <w:bottom w:val="none" w:sz="0" w:space="0" w:color="auto"/>
                <w:right w:val="none" w:sz="0" w:space="0" w:color="auto"/>
              </w:divBdr>
            </w:div>
            <w:div w:id="379549418">
              <w:marLeft w:val="0"/>
              <w:marRight w:val="0"/>
              <w:marTop w:val="0"/>
              <w:marBottom w:val="0"/>
              <w:divBdr>
                <w:top w:val="none" w:sz="0" w:space="0" w:color="auto"/>
                <w:left w:val="none" w:sz="0" w:space="0" w:color="auto"/>
                <w:bottom w:val="none" w:sz="0" w:space="0" w:color="auto"/>
                <w:right w:val="none" w:sz="0" w:space="0" w:color="auto"/>
              </w:divBdr>
            </w:div>
            <w:div w:id="452210737">
              <w:marLeft w:val="0"/>
              <w:marRight w:val="0"/>
              <w:marTop w:val="0"/>
              <w:marBottom w:val="0"/>
              <w:divBdr>
                <w:top w:val="none" w:sz="0" w:space="0" w:color="auto"/>
                <w:left w:val="none" w:sz="0" w:space="0" w:color="auto"/>
                <w:bottom w:val="none" w:sz="0" w:space="0" w:color="auto"/>
                <w:right w:val="none" w:sz="0" w:space="0" w:color="auto"/>
              </w:divBdr>
            </w:div>
            <w:div w:id="545869804">
              <w:marLeft w:val="0"/>
              <w:marRight w:val="0"/>
              <w:marTop w:val="0"/>
              <w:marBottom w:val="0"/>
              <w:divBdr>
                <w:top w:val="none" w:sz="0" w:space="0" w:color="auto"/>
                <w:left w:val="none" w:sz="0" w:space="0" w:color="auto"/>
                <w:bottom w:val="none" w:sz="0" w:space="0" w:color="auto"/>
                <w:right w:val="none" w:sz="0" w:space="0" w:color="auto"/>
              </w:divBdr>
            </w:div>
            <w:div w:id="710958334">
              <w:marLeft w:val="0"/>
              <w:marRight w:val="0"/>
              <w:marTop w:val="0"/>
              <w:marBottom w:val="0"/>
              <w:divBdr>
                <w:top w:val="none" w:sz="0" w:space="0" w:color="auto"/>
                <w:left w:val="none" w:sz="0" w:space="0" w:color="auto"/>
                <w:bottom w:val="none" w:sz="0" w:space="0" w:color="auto"/>
                <w:right w:val="none" w:sz="0" w:space="0" w:color="auto"/>
              </w:divBdr>
            </w:div>
            <w:div w:id="781613689">
              <w:marLeft w:val="0"/>
              <w:marRight w:val="0"/>
              <w:marTop w:val="0"/>
              <w:marBottom w:val="0"/>
              <w:divBdr>
                <w:top w:val="none" w:sz="0" w:space="0" w:color="auto"/>
                <w:left w:val="none" w:sz="0" w:space="0" w:color="auto"/>
                <w:bottom w:val="none" w:sz="0" w:space="0" w:color="auto"/>
                <w:right w:val="none" w:sz="0" w:space="0" w:color="auto"/>
              </w:divBdr>
            </w:div>
            <w:div w:id="884365136">
              <w:marLeft w:val="0"/>
              <w:marRight w:val="0"/>
              <w:marTop w:val="0"/>
              <w:marBottom w:val="0"/>
              <w:divBdr>
                <w:top w:val="none" w:sz="0" w:space="0" w:color="auto"/>
                <w:left w:val="none" w:sz="0" w:space="0" w:color="auto"/>
                <w:bottom w:val="none" w:sz="0" w:space="0" w:color="auto"/>
                <w:right w:val="none" w:sz="0" w:space="0" w:color="auto"/>
              </w:divBdr>
            </w:div>
            <w:div w:id="1156720745">
              <w:marLeft w:val="0"/>
              <w:marRight w:val="0"/>
              <w:marTop w:val="0"/>
              <w:marBottom w:val="0"/>
              <w:divBdr>
                <w:top w:val="none" w:sz="0" w:space="0" w:color="auto"/>
                <w:left w:val="none" w:sz="0" w:space="0" w:color="auto"/>
                <w:bottom w:val="none" w:sz="0" w:space="0" w:color="auto"/>
                <w:right w:val="none" w:sz="0" w:space="0" w:color="auto"/>
              </w:divBdr>
            </w:div>
            <w:div w:id="1397123379">
              <w:marLeft w:val="0"/>
              <w:marRight w:val="0"/>
              <w:marTop w:val="0"/>
              <w:marBottom w:val="0"/>
              <w:divBdr>
                <w:top w:val="none" w:sz="0" w:space="0" w:color="auto"/>
                <w:left w:val="none" w:sz="0" w:space="0" w:color="auto"/>
                <w:bottom w:val="none" w:sz="0" w:space="0" w:color="auto"/>
                <w:right w:val="none" w:sz="0" w:space="0" w:color="auto"/>
              </w:divBdr>
            </w:div>
            <w:div w:id="1672024343">
              <w:marLeft w:val="0"/>
              <w:marRight w:val="0"/>
              <w:marTop w:val="0"/>
              <w:marBottom w:val="0"/>
              <w:divBdr>
                <w:top w:val="none" w:sz="0" w:space="0" w:color="auto"/>
                <w:left w:val="none" w:sz="0" w:space="0" w:color="auto"/>
                <w:bottom w:val="none" w:sz="0" w:space="0" w:color="auto"/>
                <w:right w:val="none" w:sz="0" w:space="0" w:color="auto"/>
              </w:divBdr>
            </w:div>
            <w:div w:id="1731609532">
              <w:marLeft w:val="0"/>
              <w:marRight w:val="0"/>
              <w:marTop w:val="0"/>
              <w:marBottom w:val="0"/>
              <w:divBdr>
                <w:top w:val="none" w:sz="0" w:space="0" w:color="auto"/>
                <w:left w:val="none" w:sz="0" w:space="0" w:color="auto"/>
                <w:bottom w:val="none" w:sz="0" w:space="0" w:color="auto"/>
                <w:right w:val="none" w:sz="0" w:space="0" w:color="auto"/>
              </w:divBdr>
            </w:div>
            <w:div w:id="1732458526">
              <w:marLeft w:val="0"/>
              <w:marRight w:val="0"/>
              <w:marTop w:val="0"/>
              <w:marBottom w:val="0"/>
              <w:divBdr>
                <w:top w:val="none" w:sz="0" w:space="0" w:color="auto"/>
                <w:left w:val="none" w:sz="0" w:space="0" w:color="auto"/>
                <w:bottom w:val="none" w:sz="0" w:space="0" w:color="auto"/>
                <w:right w:val="none" w:sz="0" w:space="0" w:color="auto"/>
              </w:divBdr>
            </w:div>
            <w:div w:id="1735539655">
              <w:marLeft w:val="0"/>
              <w:marRight w:val="0"/>
              <w:marTop w:val="0"/>
              <w:marBottom w:val="0"/>
              <w:divBdr>
                <w:top w:val="none" w:sz="0" w:space="0" w:color="auto"/>
                <w:left w:val="none" w:sz="0" w:space="0" w:color="auto"/>
                <w:bottom w:val="none" w:sz="0" w:space="0" w:color="auto"/>
                <w:right w:val="none" w:sz="0" w:space="0" w:color="auto"/>
              </w:divBdr>
            </w:div>
            <w:div w:id="1763867246">
              <w:marLeft w:val="0"/>
              <w:marRight w:val="0"/>
              <w:marTop w:val="0"/>
              <w:marBottom w:val="0"/>
              <w:divBdr>
                <w:top w:val="none" w:sz="0" w:space="0" w:color="auto"/>
                <w:left w:val="none" w:sz="0" w:space="0" w:color="auto"/>
                <w:bottom w:val="none" w:sz="0" w:space="0" w:color="auto"/>
                <w:right w:val="none" w:sz="0" w:space="0" w:color="auto"/>
              </w:divBdr>
            </w:div>
            <w:div w:id="1957711481">
              <w:marLeft w:val="0"/>
              <w:marRight w:val="0"/>
              <w:marTop w:val="0"/>
              <w:marBottom w:val="0"/>
              <w:divBdr>
                <w:top w:val="none" w:sz="0" w:space="0" w:color="auto"/>
                <w:left w:val="none" w:sz="0" w:space="0" w:color="auto"/>
                <w:bottom w:val="none" w:sz="0" w:space="0" w:color="auto"/>
                <w:right w:val="none" w:sz="0" w:space="0" w:color="auto"/>
              </w:divBdr>
            </w:div>
            <w:div w:id="2087679450">
              <w:marLeft w:val="0"/>
              <w:marRight w:val="0"/>
              <w:marTop w:val="0"/>
              <w:marBottom w:val="0"/>
              <w:divBdr>
                <w:top w:val="none" w:sz="0" w:space="0" w:color="auto"/>
                <w:left w:val="none" w:sz="0" w:space="0" w:color="auto"/>
                <w:bottom w:val="none" w:sz="0" w:space="0" w:color="auto"/>
                <w:right w:val="none" w:sz="0" w:space="0" w:color="auto"/>
              </w:divBdr>
            </w:div>
            <w:div w:id="2101755179">
              <w:marLeft w:val="0"/>
              <w:marRight w:val="0"/>
              <w:marTop w:val="0"/>
              <w:marBottom w:val="0"/>
              <w:divBdr>
                <w:top w:val="none" w:sz="0" w:space="0" w:color="auto"/>
                <w:left w:val="none" w:sz="0" w:space="0" w:color="auto"/>
                <w:bottom w:val="none" w:sz="0" w:space="0" w:color="auto"/>
                <w:right w:val="none" w:sz="0" w:space="0" w:color="auto"/>
              </w:divBdr>
            </w:div>
          </w:divsChild>
        </w:div>
        <w:div w:id="1688680291">
          <w:marLeft w:val="0"/>
          <w:marRight w:val="0"/>
          <w:marTop w:val="0"/>
          <w:marBottom w:val="0"/>
          <w:divBdr>
            <w:top w:val="none" w:sz="0" w:space="0" w:color="auto"/>
            <w:left w:val="none" w:sz="0" w:space="0" w:color="auto"/>
            <w:bottom w:val="none" w:sz="0" w:space="0" w:color="auto"/>
            <w:right w:val="none" w:sz="0" w:space="0" w:color="auto"/>
          </w:divBdr>
        </w:div>
        <w:div w:id="1787114509">
          <w:marLeft w:val="0"/>
          <w:marRight w:val="0"/>
          <w:marTop w:val="0"/>
          <w:marBottom w:val="0"/>
          <w:divBdr>
            <w:top w:val="none" w:sz="0" w:space="0" w:color="auto"/>
            <w:left w:val="none" w:sz="0" w:space="0" w:color="auto"/>
            <w:bottom w:val="none" w:sz="0" w:space="0" w:color="auto"/>
            <w:right w:val="none" w:sz="0" w:space="0" w:color="auto"/>
          </w:divBdr>
        </w:div>
        <w:div w:id="1949461720">
          <w:marLeft w:val="0"/>
          <w:marRight w:val="0"/>
          <w:marTop w:val="0"/>
          <w:marBottom w:val="0"/>
          <w:divBdr>
            <w:top w:val="none" w:sz="0" w:space="0" w:color="auto"/>
            <w:left w:val="none" w:sz="0" w:space="0" w:color="auto"/>
            <w:bottom w:val="none" w:sz="0" w:space="0" w:color="auto"/>
            <w:right w:val="none" w:sz="0" w:space="0" w:color="auto"/>
          </w:divBdr>
          <w:divsChild>
            <w:div w:id="29574037">
              <w:marLeft w:val="0"/>
              <w:marRight w:val="0"/>
              <w:marTop w:val="0"/>
              <w:marBottom w:val="0"/>
              <w:divBdr>
                <w:top w:val="none" w:sz="0" w:space="0" w:color="auto"/>
                <w:left w:val="none" w:sz="0" w:space="0" w:color="auto"/>
                <w:bottom w:val="none" w:sz="0" w:space="0" w:color="auto"/>
                <w:right w:val="none" w:sz="0" w:space="0" w:color="auto"/>
              </w:divBdr>
            </w:div>
            <w:div w:id="84888150">
              <w:marLeft w:val="0"/>
              <w:marRight w:val="0"/>
              <w:marTop w:val="0"/>
              <w:marBottom w:val="0"/>
              <w:divBdr>
                <w:top w:val="none" w:sz="0" w:space="0" w:color="auto"/>
                <w:left w:val="none" w:sz="0" w:space="0" w:color="auto"/>
                <w:bottom w:val="none" w:sz="0" w:space="0" w:color="auto"/>
                <w:right w:val="none" w:sz="0" w:space="0" w:color="auto"/>
              </w:divBdr>
            </w:div>
            <w:div w:id="278145320">
              <w:marLeft w:val="0"/>
              <w:marRight w:val="0"/>
              <w:marTop w:val="0"/>
              <w:marBottom w:val="0"/>
              <w:divBdr>
                <w:top w:val="none" w:sz="0" w:space="0" w:color="auto"/>
                <w:left w:val="none" w:sz="0" w:space="0" w:color="auto"/>
                <w:bottom w:val="none" w:sz="0" w:space="0" w:color="auto"/>
                <w:right w:val="none" w:sz="0" w:space="0" w:color="auto"/>
              </w:divBdr>
            </w:div>
            <w:div w:id="331370398">
              <w:marLeft w:val="0"/>
              <w:marRight w:val="0"/>
              <w:marTop w:val="0"/>
              <w:marBottom w:val="0"/>
              <w:divBdr>
                <w:top w:val="none" w:sz="0" w:space="0" w:color="auto"/>
                <w:left w:val="none" w:sz="0" w:space="0" w:color="auto"/>
                <w:bottom w:val="none" w:sz="0" w:space="0" w:color="auto"/>
                <w:right w:val="none" w:sz="0" w:space="0" w:color="auto"/>
              </w:divBdr>
            </w:div>
            <w:div w:id="420950879">
              <w:marLeft w:val="0"/>
              <w:marRight w:val="0"/>
              <w:marTop w:val="0"/>
              <w:marBottom w:val="0"/>
              <w:divBdr>
                <w:top w:val="none" w:sz="0" w:space="0" w:color="auto"/>
                <w:left w:val="none" w:sz="0" w:space="0" w:color="auto"/>
                <w:bottom w:val="none" w:sz="0" w:space="0" w:color="auto"/>
                <w:right w:val="none" w:sz="0" w:space="0" w:color="auto"/>
              </w:divBdr>
            </w:div>
            <w:div w:id="424961738">
              <w:marLeft w:val="0"/>
              <w:marRight w:val="0"/>
              <w:marTop w:val="0"/>
              <w:marBottom w:val="0"/>
              <w:divBdr>
                <w:top w:val="none" w:sz="0" w:space="0" w:color="auto"/>
                <w:left w:val="none" w:sz="0" w:space="0" w:color="auto"/>
                <w:bottom w:val="none" w:sz="0" w:space="0" w:color="auto"/>
                <w:right w:val="none" w:sz="0" w:space="0" w:color="auto"/>
              </w:divBdr>
            </w:div>
            <w:div w:id="511842910">
              <w:marLeft w:val="0"/>
              <w:marRight w:val="0"/>
              <w:marTop w:val="0"/>
              <w:marBottom w:val="0"/>
              <w:divBdr>
                <w:top w:val="none" w:sz="0" w:space="0" w:color="auto"/>
                <w:left w:val="none" w:sz="0" w:space="0" w:color="auto"/>
                <w:bottom w:val="none" w:sz="0" w:space="0" w:color="auto"/>
                <w:right w:val="none" w:sz="0" w:space="0" w:color="auto"/>
              </w:divBdr>
            </w:div>
            <w:div w:id="896477366">
              <w:marLeft w:val="0"/>
              <w:marRight w:val="0"/>
              <w:marTop w:val="0"/>
              <w:marBottom w:val="0"/>
              <w:divBdr>
                <w:top w:val="none" w:sz="0" w:space="0" w:color="auto"/>
                <w:left w:val="none" w:sz="0" w:space="0" w:color="auto"/>
                <w:bottom w:val="none" w:sz="0" w:space="0" w:color="auto"/>
                <w:right w:val="none" w:sz="0" w:space="0" w:color="auto"/>
              </w:divBdr>
            </w:div>
            <w:div w:id="1088624011">
              <w:marLeft w:val="0"/>
              <w:marRight w:val="0"/>
              <w:marTop w:val="0"/>
              <w:marBottom w:val="0"/>
              <w:divBdr>
                <w:top w:val="none" w:sz="0" w:space="0" w:color="auto"/>
                <w:left w:val="none" w:sz="0" w:space="0" w:color="auto"/>
                <w:bottom w:val="none" w:sz="0" w:space="0" w:color="auto"/>
                <w:right w:val="none" w:sz="0" w:space="0" w:color="auto"/>
              </w:divBdr>
            </w:div>
            <w:div w:id="1137143369">
              <w:marLeft w:val="0"/>
              <w:marRight w:val="0"/>
              <w:marTop w:val="0"/>
              <w:marBottom w:val="0"/>
              <w:divBdr>
                <w:top w:val="none" w:sz="0" w:space="0" w:color="auto"/>
                <w:left w:val="none" w:sz="0" w:space="0" w:color="auto"/>
                <w:bottom w:val="none" w:sz="0" w:space="0" w:color="auto"/>
                <w:right w:val="none" w:sz="0" w:space="0" w:color="auto"/>
              </w:divBdr>
            </w:div>
            <w:div w:id="1306734766">
              <w:marLeft w:val="0"/>
              <w:marRight w:val="0"/>
              <w:marTop w:val="0"/>
              <w:marBottom w:val="0"/>
              <w:divBdr>
                <w:top w:val="none" w:sz="0" w:space="0" w:color="auto"/>
                <w:left w:val="none" w:sz="0" w:space="0" w:color="auto"/>
                <w:bottom w:val="none" w:sz="0" w:space="0" w:color="auto"/>
                <w:right w:val="none" w:sz="0" w:space="0" w:color="auto"/>
              </w:divBdr>
            </w:div>
            <w:div w:id="1311862353">
              <w:marLeft w:val="0"/>
              <w:marRight w:val="0"/>
              <w:marTop w:val="0"/>
              <w:marBottom w:val="0"/>
              <w:divBdr>
                <w:top w:val="none" w:sz="0" w:space="0" w:color="auto"/>
                <w:left w:val="none" w:sz="0" w:space="0" w:color="auto"/>
                <w:bottom w:val="none" w:sz="0" w:space="0" w:color="auto"/>
                <w:right w:val="none" w:sz="0" w:space="0" w:color="auto"/>
              </w:divBdr>
            </w:div>
            <w:div w:id="1382899712">
              <w:marLeft w:val="0"/>
              <w:marRight w:val="0"/>
              <w:marTop w:val="0"/>
              <w:marBottom w:val="0"/>
              <w:divBdr>
                <w:top w:val="none" w:sz="0" w:space="0" w:color="auto"/>
                <w:left w:val="none" w:sz="0" w:space="0" w:color="auto"/>
                <w:bottom w:val="none" w:sz="0" w:space="0" w:color="auto"/>
                <w:right w:val="none" w:sz="0" w:space="0" w:color="auto"/>
              </w:divBdr>
            </w:div>
            <w:div w:id="1693533395">
              <w:marLeft w:val="0"/>
              <w:marRight w:val="0"/>
              <w:marTop w:val="0"/>
              <w:marBottom w:val="0"/>
              <w:divBdr>
                <w:top w:val="none" w:sz="0" w:space="0" w:color="auto"/>
                <w:left w:val="none" w:sz="0" w:space="0" w:color="auto"/>
                <w:bottom w:val="none" w:sz="0" w:space="0" w:color="auto"/>
                <w:right w:val="none" w:sz="0" w:space="0" w:color="auto"/>
              </w:divBdr>
            </w:div>
            <w:div w:id="1767457523">
              <w:marLeft w:val="0"/>
              <w:marRight w:val="0"/>
              <w:marTop w:val="0"/>
              <w:marBottom w:val="0"/>
              <w:divBdr>
                <w:top w:val="none" w:sz="0" w:space="0" w:color="auto"/>
                <w:left w:val="none" w:sz="0" w:space="0" w:color="auto"/>
                <w:bottom w:val="none" w:sz="0" w:space="0" w:color="auto"/>
                <w:right w:val="none" w:sz="0" w:space="0" w:color="auto"/>
              </w:divBdr>
            </w:div>
            <w:div w:id="1816020417">
              <w:marLeft w:val="0"/>
              <w:marRight w:val="0"/>
              <w:marTop w:val="0"/>
              <w:marBottom w:val="0"/>
              <w:divBdr>
                <w:top w:val="none" w:sz="0" w:space="0" w:color="auto"/>
                <w:left w:val="none" w:sz="0" w:space="0" w:color="auto"/>
                <w:bottom w:val="none" w:sz="0" w:space="0" w:color="auto"/>
                <w:right w:val="none" w:sz="0" w:space="0" w:color="auto"/>
              </w:divBdr>
            </w:div>
            <w:div w:id="1854806950">
              <w:marLeft w:val="0"/>
              <w:marRight w:val="0"/>
              <w:marTop w:val="0"/>
              <w:marBottom w:val="0"/>
              <w:divBdr>
                <w:top w:val="none" w:sz="0" w:space="0" w:color="auto"/>
                <w:left w:val="none" w:sz="0" w:space="0" w:color="auto"/>
                <w:bottom w:val="none" w:sz="0" w:space="0" w:color="auto"/>
                <w:right w:val="none" w:sz="0" w:space="0" w:color="auto"/>
              </w:divBdr>
            </w:div>
            <w:div w:id="1907185774">
              <w:marLeft w:val="0"/>
              <w:marRight w:val="0"/>
              <w:marTop w:val="0"/>
              <w:marBottom w:val="0"/>
              <w:divBdr>
                <w:top w:val="none" w:sz="0" w:space="0" w:color="auto"/>
                <w:left w:val="none" w:sz="0" w:space="0" w:color="auto"/>
                <w:bottom w:val="none" w:sz="0" w:space="0" w:color="auto"/>
                <w:right w:val="none" w:sz="0" w:space="0" w:color="auto"/>
              </w:divBdr>
            </w:div>
            <w:div w:id="1991865270">
              <w:marLeft w:val="0"/>
              <w:marRight w:val="0"/>
              <w:marTop w:val="0"/>
              <w:marBottom w:val="0"/>
              <w:divBdr>
                <w:top w:val="none" w:sz="0" w:space="0" w:color="auto"/>
                <w:left w:val="none" w:sz="0" w:space="0" w:color="auto"/>
                <w:bottom w:val="none" w:sz="0" w:space="0" w:color="auto"/>
                <w:right w:val="none" w:sz="0" w:space="0" w:color="auto"/>
              </w:divBdr>
            </w:div>
            <w:div w:id="20371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6072">
      <w:bodyDiv w:val="1"/>
      <w:marLeft w:val="0"/>
      <w:marRight w:val="0"/>
      <w:marTop w:val="0"/>
      <w:marBottom w:val="0"/>
      <w:divBdr>
        <w:top w:val="none" w:sz="0" w:space="0" w:color="auto"/>
        <w:left w:val="none" w:sz="0" w:space="0" w:color="auto"/>
        <w:bottom w:val="none" w:sz="0" w:space="0" w:color="auto"/>
        <w:right w:val="none" w:sz="0" w:space="0" w:color="auto"/>
      </w:divBdr>
      <w:divsChild>
        <w:div w:id="25449952">
          <w:marLeft w:val="0"/>
          <w:marRight w:val="0"/>
          <w:marTop w:val="0"/>
          <w:marBottom w:val="0"/>
          <w:divBdr>
            <w:top w:val="none" w:sz="0" w:space="0" w:color="auto"/>
            <w:left w:val="none" w:sz="0" w:space="0" w:color="auto"/>
            <w:bottom w:val="none" w:sz="0" w:space="0" w:color="auto"/>
            <w:right w:val="none" w:sz="0" w:space="0" w:color="auto"/>
          </w:divBdr>
          <w:divsChild>
            <w:div w:id="1854411917">
              <w:marLeft w:val="0"/>
              <w:marRight w:val="0"/>
              <w:marTop w:val="0"/>
              <w:marBottom w:val="0"/>
              <w:divBdr>
                <w:top w:val="none" w:sz="0" w:space="0" w:color="auto"/>
                <w:left w:val="none" w:sz="0" w:space="0" w:color="auto"/>
                <w:bottom w:val="none" w:sz="0" w:space="0" w:color="auto"/>
                <w:right w:val="none" w:sz="0" w:space="0" w:color="auto"/>
              </w:divBdr>
            </w:div>
          </w:divsChild>
        </w:div>
        <w:div w:id="75322093">
          <w:marLeft w:val="0"/>
          <w:marRight w:val="0"/>
          <w:marTop w:val="0"/>
          <w:marBottom w:val="0"/>
          <w:divBdr>
            <w:top w:val="none" w:sz="0" w:space="0" w:color="auto"/>
            <w:left w:val="none" w:sz="0" w:space="0" w:color="auto"/>
            <w:bottom w:val="none" w:sz="0" w:space="0" w:color="auto"/>
            <w:right w:val="none" w:sz="0" w:space="0" w:color="auto"/>
          </w:divBdr>
          <w:divsChild>
            <w:div w:id="1426533019">
              <w:marLeft w:val="0"/>
              <w:marRight w:val="0"/>
              <w:marTop w:val="0"/>
              <w:marBottom w:val="0"/>
              <w:divBdr>
                <w:top w:val="none" w:sz="0" w:space="0" w:color="auto"/>
                <w:left w:val="none" w:sz="0" w:space="0" w:color="auto"/>
                <w:bottom w:val="none" w:sz="0" w:space="0" w:color="auto"/>
                <w:right w:val="none" w:sz="0" w:space="0" w:color="auto"/>
              </w:divBdr>
            </w:div>
          </w:divsChild>
        </w:div>
        <w:div w:id="146021186">
          <w:marLeft w:val="0"/>
          <w:marRight w:val="0"/>
          <w:marTop w:val="0"/>
          <w:marBottom w:val="0"/>
          <w:divBdr>
            <w:top w:val="none" w:sz="0" w:space="0" w:color="auto"/>
            <w:left w:val="none" w:sz="0" w:space="0" w:color="auto"/>
            <w:bottom w:val="none" w:sz="0" w:space="0" w:color="auto"/>
            <w:right w:val="none" w:sz="0" w:space="0" w:color="auto"/>
          </w:divBdr>
          <w:divsChild>
            <w:div w:id="779954025">
              <w:marLeft w:val="0"/>
              <w:marRight w:val="0"/>
              <w:marTop w:val="0"/>
              <w:marBottom w:val="0"/>
              <w:divBdr>
                <w:top w:val="none" w:sz="0" w:space="0" w:color="auto"/>
                <w:left w:val="none" w:sz="0" w:space="0" w:color="auto"/>
                <w:bottom w:val="none" w:sz="0" w:space="0" w:color="auto"/>
                <w:right w:val="none" w:sz="0" w:space="0" w:color="auto"/>
              </w:divBdr>
            </w:div>
          </w:divsChild>
        </w:div>
        <w:div w:id="285699198">
          <w:marLeft w:val="0"/>
          <w:marRight w:val="0"/>
          <w:marTop w:val="0"/>
          <w:marBottom w:val="0"/>
          <w:divBdr>
            <w:top w:val="none" w:sz="0" w:space="0" w:color="auto"/>
            <w:left w:val="none" w:sz="0" w:space="0" w:color="auto"/>
            <w:bottom w:val="none" w:sz="0" w:space="0" w:color="auto"/>
            <w:right w:val="none" w:sz="0" w:space="0" w:color="auto"/>
          </w:divBdr>
          <w:divsChild>
            <w:div w:id="375205994">
              <w:marLeft w:val="0"/>
              <w:marRight w:val="0"/>
              <w:marTop w:val="0"/>
              <w:marBottom w:val="0"/>
              <w:divBdr>
                <w:top w:val="none" w:sz="0" w:space="0" w:color="auto"/>
                <w:left w:val="none" w:sz="0" w:space="0" w:color="auto"/>
                <w:bottom w:val="none" w:sz="0" w:space="0" w:color="auto"/>
                <w:right w:val="none" w:sz="0" w:space="0" w:color="auto"/>
              </w:divBdr>
            </w:div>
            <w:div w:id="1592161912">
              <w:marLeft w:val="0"/>
              <w:marRight w:val="0"/>
              <w:marTop w:val="0"/>
              <w:marBottom w:val="0"/>
              <w:divBdr>
                <w:top w:val="none" w:sz="0" w:space="0" w:color="auto"/>
                <w:left w:val="none" w:sz="0" w:space="0" w:color="auto"/>
                <w:bottom w:val="none" w:sz="0" w:space="0" w:color="auto"/>
                <w:right w:val="none" w:sz="0" w:space="0" w:color="auto"/>
              </w:divBdr>
            </w:div>
          </w:divsChild>
        </w:div>
        <w:div w:id="372922349">
          <w:marLeft w:val="0"/>
          <w:marRight w:val="0"/>
          <w:marTop w:val="0"/>
          <w:marBottom w:val="0"/>
          <w:divBdr>
            <w:top w:val="none" w:sz="0" w:space="0" w:color="auto"/>
            <w:left w:val="none" w:sz="0" w:space="0" w:color="auto"/>
            <w:bottom w:val="none" w:sz="0" w:space="0" w:color="auto"/>
            <w:right w:val="none" w:sz="0" w:space="0" w:color="auto"/>
          </w:divBdr>
          <w:divsChild>
            <w:div w:id="727801843">
              <w:marLeft w:val="0"/>
              <w:marRight w:val="0"/>
              <w:marTop w:val="0"/>
              <w:marBottom w:val="0"/>
              <w:divBdr>
                <w:top w:val="none" w:sz="0" w:space="0" w:color="auto"/>
                <w:left w:val="none" w:sz="0" w:space="0" w:color="auto"/>
                <w:bottom w:val="none" w:sz="0" w:space="0" w:color="auto"/>
                <w:right w:val="none" w:sz="0" w:space="0" w:color="auto"/>
              </w:divBdr>
            </w:div>
          </w:divsChild>
        </w:div>
        <w:div w:id="429544005">
          <w:marLeft w:val="0"/>
          <w:marRight w:val="0"/>
          <w:marTop w:val="0"/>
          <w:marBottom w:val="0"/>
          <w:divBdr>
            <w:top w:val="none" w:sz="0" w:space="0" w:color="auto"/>
            <w:left w:val="none" w:sz="0" w:space="0" w:color="auto"/>
            <w:bottom w:val="none" w:sz="0" w:space="0" w:color="auto"/>
            <w:right w:val="none" w:sz="0" w:space="0" w:color="auto"/>
          </w:divBdr>
          <w:divsChild>
            <w:div w:id="1359283501">
              <w:marLeft w:val="0"/>
              <w:marRight w:val="0"/>
              <w:marTop w:val="0"/>
              <w:marBottom w:val="0"/>
              <w:divBdr>
                <w:top w:val="none" w:sz="0" w:space="0" w:color="auto"/>
                <w:left w:val="none" w:sz="0" w:space="0" w:color="auto"/>
                <w:bottom w:val="none" w:sz="0" w:space="0" w:color="auto"/>
                <w:right w:val="none" w:sz="0" w:space="0" w:color="auto"/>
              </w:divBdr>
            </w:div>
          </w:divsChild>
        </w:div>
        <w:div w:id="593629102">
          <w:marLeft w:val="0"/>
          <w:marRight w:val="0"/>
          <w:marTop w:val="0"/>
          <w:marBottom w:val="0"/>
          <w:divBdr>
            <w:top w:val="none" w:sz="0" w:space="0" w:color="auto"/>
            <w:left w:val="none" w:sz="0" w:space="0" w:color="auto"/>
            <w:bottom w:val="none" w:sz="0" w:space="0" w:color="auto"/>
            <w:right w:val="none" w:sz="0" w:space="0" w:color="auto"/>
          </w:divBdr>
          <w:divsChild>
            <w:div w:id="254553285">
              <w:marLeft w:val="0"/>
              <w:marRight w:val="0"/>
              <w:marTop w:val="0"/>
              <w:marBottom w:val="0"/>
              <w:divBdr>
                <w:top w:val="none" w:sz="0" w:space="0" w:color="auto"/>
                <w:left w:val="none" w:sz="0" w:space="0" w:color="auto"/>
                <w:bottom w:val="none" w:sz="0" w:space="0" w:color="auto"/>
                <w:right w:val="none" w:sz="0" w:space="0" w:color="auto"/>
              </w:divBdr>
            </w:div>
            <w:div w:id="627705247">
              <w:marLeft w:val="0"/>
              <w:marRight w:val="0"/>
              <w:marTop w:val="0"/>
              <w:marBottom w:val="0"/>
              <w:divBdr>
                <w:top w:val="none" w:sz="0" w:space="0" w:color="auto"/>
                <w:left w:val="none" w:sz="0" w:space="0" w:color="auto"/>
                <w:bottom w:val="none" w:sz="0" w:space="0" w:color="auto"/>
                <w:right w:val="none" w:sz="0" w:space="0" w:color="auto"/>
              </w:divBdr>
            </w:div>
          </w:divsChild>
        </w:div>
        <w:div w:id="635526165">
          <w:marLeft w:val="0"/>
          <w:marRight w:val="0"/>
          <w:marTop w:val="0"/>
          <w:marBottom w:val="0"/>
          <w:divBdr>
            <w:top w:val="none" w:sz="0" w:space="0" w:color="auto"/>
            <w:left w:val="none" w:sz="0" w:space="0" w:color="auto"/>
            <w:bottom w:val="none" w:sz="0" w:space="0" w:color="auto"/>
            <w:right w:val="none" w:sz="0" w:space="0" w:color="auto"/>
          </w:divBdr>
          <w:divsChild>
            <w:div w:id="928469292">
              <w:marLeft w:val="0"/>
              <w:marRight w:val="0"/>
              <w:marTop w:val="0"/>
              <w:marBottom w:val="0"/>
              <w:divBdr>
                <w:top w:val="none" w:sz="0" w:space="0" w:color="auto"/>
                <w:left w:val="none" w:sz="0" w:space="0" w:color="auto"/>
                <w:bottom w:val="none" w:sz="0" w:space="0" w:color="auto"/>
                <w:right w:val="none" w:sz="0" w:space="0" w:color="auto"/>
              </w:divBdr>
            </w:div>
          </w:divsChild>
        </w:div>
        <w:div w:id="681014648">
          <w:marLeft w:val="0"/>
          <w:marRight w:val="0"/>
          <w:marTop w:val="0"/>
          <w:marBottom w:val="0"/>
          <w:divBdr>
            <w:top w:val="none" w:sz="0" w:space="0" w:color="auto"/>
            <w:left w:val="none" w:sz="0" w:space="0" w:color="auto"/>
            <w:bottom w:val="none" w:sz="0" w:space="0" w:color="auto"/>
            <w:right w:val="none" w:sz="0" w:space="0" w:color="auto"/>
          </w:divBdr>
          <w:divsChild>
            <w:div w:id="319702379">
              <w:marLeft w:val="0"/>
              <w:marRight w:val="0"/>
              <w:marTop w:val="0"/>
              <w:marBottom w:val="0"/>
              <w:divBdr>
                <w:top w:val="none" w:sz="0" w:space="0" w:color="auto"/>
                <w:left w:val="none" w:sz="0" w:space="0" w:color="auto"/>
                <w:bottom w:val="none" w:sz="0" w:space="0" w:color="auto"/>
                <w:right w:val="none" w:sz="0" w:space="0" w:color="auto"/>
              </w:divBdr>
            </w:div>
            <w:div w:id="795415284">
              <w:marLeft w:val="0"/>
              <w:marRight w:val="0"/>
              <w:marTop w:val="0"/>
              <w:marBottom w:val="0"/>
              <w:divBdr>
                <w:top w:val="none" w:sz="0" w:space="0" w:color="auto"/>
                <w:left w:val="none" w:sz="0" w:space="0" w:color="auto"/>
                <w:bottom w:val="none" w:sz="0" w:space="0" w:color="auto"/>
                <w:right w:val="none" w:sz="0" w:space="0" w:color="auto"/>
              </w:divBdr>
            </w:div>
          </w:divsChild>
        </w:div>
        <w:div w:id="719592279">
          <w:marLeft w:val="0"/>
          <w:marRight w:val="0"/>
          <w:marTop w:val="0"/>
          <w:marBottom w:val="0"/>
          <w:divBdr>
            <w:top w:val="none" w:sz="0" w:space="0" w:color="auto"/>
            <w:left w:val="none" w:sz="0" w:space="0" w:color="auto"/>
            <w:bottom w:val="none" w:sz="0" w:space="0" w:color="auto"/>
            <w:right w:val="none" w:sz="0" w:space="0" w:color="auto"/>
          </w:divBdr>
          <w:divsChild>
            <w:div w:id="11495662">
              <w:marLeft w:val="0"/>
              <w:marRight w:val="0"/>
              <w:marTop w:val="0"/>
              <w:marBottom w:val="0"/>
              <w:divBdr>
                <w:top w:val="none" w:sz="0" w:space="0" w:color="auto"/>
                <w:left w:val="none" w:sz="0" w:space="0" w:color="auto"/>
                <w:bottom w:val="none" w:sz="0" w:space="0" w:color="auto"/>
                <w:right w:val="none" w:sz="0" w:space="0" w:color="auto"/>
              </w:divBdr>
            </w:div>
            <w:div w:id="439376603">
              <w:marLeft w:val="0"/>
              <w:marRight w:val="0"/>
              <w:marTop w:val="0"/>
              <w:marBottom w:val="0"/>
              <w:divBdr>
                <w:top w:val="none" w:sz="0" w:space="0" w:color="auto"/>
                <w:left w:val="none" w:sz="0" w:space="0" w:color="auto"/>
                <w:bottom w:val="none" w:sz="0" w:space="0" w:color="auto"/>
                <w:right w:val="none" w:sz="0" w:space="0" w:color="auto"/>
              </w:divBdr>
            </w:div>
            <w:div w:id="629020287">
              <w:marLeft w:val="0"/>
              <w:marRight w:val="0"/>
              <w:marTop w:val="0"/>
              <w:marBottom w:val="0"/>
              <w:divBdr>
                <w:top w:val="none" w:sz="0" w:space="0" w:color="auto"/>
                <w:left w:val="none" w:sz="0" w:space="0" w:color="auto"/>
                <w:bottom w:val="none" w:sz="0" w:space="0" w:color="auto"/>
                <w:right w:val="none" w:sz="0" w:space="0" w:color="auto"/>
              </w:divBdr>
            </w:div>
          </w:divsChild>
        </w:div>
        <w:div w:id="721486466">
          <w:marLeft w:val="0"/>
          <w:marRight w:val="0"/>
          <w:marTop w:val="0"/>
          <w:marBottom w:val="0"/>
          <w:divBdr>
            <w:top w:val="none" w:sz="0" w:space="0" w:color="auto"/>
            <w:left w:val="none" w:sz="0" w:space="0" w:color="auto"/>
            <w:bottom w:val="none" w:sz="0" w:space="0" w:color="auto"/>
            <w:right w:val="none" w:sz="0" w:space="0" w:color="auto"/>
          </w:divBdr>
          <w:divsChild>
            <w:div w:id="977566026">
              <w:marLeft w:val="0"/>
              <w:marRight w:val="0"/>
              <w:marTop w:val="0"/>
              <w:marBottom w:val="0"/>
              <w:divBdr>
                <w:top w:val="none" w:sz="0" w:space="0" w:color="auto"/>
                <w:left w:val="none" w:sz="0" w:space="0" w:color="auto"/>
                <w:bottom w:val="none" w:sz="0" w:space="0" w:color="auto"/>
                <w:right w:val="none" w:sz="0" w:space="0" w:color="auto"/>
              </w:divBdr>
            </w:div>
          </w:divsChild>
        </w:div>
        <w:div w:id="743457362">
          <w:marLeft w:val="0"/>
          <w:marRight w:val="0"/>
          <w:marTop w:val="0"/>
          <w:marBottom w:val="0"/>
          <w:divBdr>
            <w:top w:val="none" w:sz="0" w:space="0" w:color="auto"/>
            <w:left w:val="none" w:sz="0" w:space="0" w:color="auto"/>
            <w:bottom w:val="none" w:sz="0" w:space="0" w:color="auto"/>
            <w:right w:val="none" w:sz="0" w:space="0" w:color="auto"/>
          </w:divBdr>
          <w:divsChild>
            <w:div w:id="15426320">
              <w:marLeft w:val="0"/>
              <w:marRight w:val="0"/>
              <w:marTop w:val="0"/>
              <w:marBottom w:val="0"/>
              <w:divBdr>
                <w:top w:val="none" w:sz="0" w:space="0" w:color="auto"/>
                <w:left w:val="none" w:sz="0" w:space="0" w:color="auto"/>
                <w:bottom w:val="none" w:sz="0" w:space="0" w:color="auto"/>
                <w:right w:val="none" w:sz="0" w:space="0" w:color="auto"/>
              </w:divBdr>
            </w:div>
            <w:div w:id="45683561">
              <w:marLeft w:val="0"/>
              <w:marRight w:val="0"/>
              <w:marTop w:val="0"/>
              <w:marBottom w:val="0"/>
              <w:divBdr>
                <w:top w:val="none" w:sz="0" w:space="0" w:color="auto"/>
                <w:left w:val="none" w:sz="0" w:space="0" w:color="auto"/>
                <w:bottom w:val="none" w:sz="0" w:space="0" w:color="auto"/>
                <w:right w:val="none" w:sz="0" w:space="0" w:color="auto"/>
              </w:divBdr>
            </w:div>
            <w:div w:id="847135642">
              <w:marLeft w:val="0"/>
              <w:marRight w:val="0"/>
              <w:marTop w:val="0"/>
              <w:marBottom w:val="0"/>
              <w:divBdr>
                <w:top w:val="none" w:sz="0" w:space="0" w:color="auto"/>
                <w:left w:val="none" w:sz="0" w:space="0" w:color="auto"/>
                <w:bottom w:val="none" w:sz="0" w:space="0" w:color="auto"/>
                <w:right w:val="none" w:sz="0" w:space="0" w:color="auto"/>
              </w:divBdr>
            </w:div>
          </w:divsChild>
        </w:div>
        <w:div w:id="820971897">
          <w:marLeft w:val="0"/>
          <w:marRight w:val="0"/>
          <w:marTop w:val="0"/>
          <w:marBottom w:val="0"/>
          <w:divBdr>
            <w:top w:val="none" w:sz="0" w:space="0" w:color="auto"/>
            <w:left w:val="none" w:sz="0" w:space="0" w:color="auto"/>
            <w:bottom w:val="none" w:sz="0" w:space="0" w:color="auto"/>
            <w:right w:val="none" w:sz="0" w:space="0" w:color="auto"/>
          </w:divBdr>
          <w:divsChild>
            <w:div w:id="1395812222">
              <w:marLeft w:val="0"/>
              <w:marRight w:val="0"/>
              <w:marTop w:val="0"/>
              <w:marBottom w:val="0"/>
              <w:divBdr>
                <w:top w:val="none" w:sz="0" w:space="0" w:color="auto"/>
                <w:left w:val="none" w:sz="0" w:space="0" w:color="auto"/>
                <w:bottom w:val="none" w:sz="0" w:space="0" w:color="auto"/>
                <w:right w:val="none" w:sz="0" w:space="0" w:color="auto"/>
              </w:divBdr>
            </w:div>
            <w:div w:id="1925647940">
              <w:marLeft w:val="0"/>
              <w:marRight w:val="0"/>
              <w:marTop w:val="0"/>
              <w:marBottom w:val="0"/>
              <w:divBdr>
                <w:top w:val="none" w:sz="0" w:space="0" w:color="auto"/>
                <w:left w:val="none" w:sz="0" w:space="0" w:color="auto"/>
                <w:bottom w:val="none" w:sz="0" w:space="0" w:color="auto"/>
                <w:right w:val="none" w:sz="0" w:space="0" w:color="auto"/>
              </w:divBdr>
            </w:div>
            <w:div w:id="1986545256">
              <w:marLeft w:val="0"/>
              <w:marRight w:val="0"/>
              <w:marTop w:val="0"/>
              <w:marBottom w:val="0"/>
              <w:divBdr>
                <w:top w:val="none" w:sz="0" w:space="0" w:color="auto"/>
                <w:left w:val="none" w:sz="0" w:space="0" w:color="auto"/>
                <w:bottom w:val="none" w:sz="0" w:space="0" w:color="auto"/>
                <w:right w:val="none" w:sz="0" w:space="0" w:color="auto"/>
              </w:divBdr>
            </w:div>
          </w:divsChild>
        </w:div>
        <w:div w:id="828326302">
          <w:marLeft w:val="0"/>
          <w:marRight w:val="0"/>
          <w:marTop w:val="0"/>
          <w:marBottom w:val="0"/>
          <w:divBdr>
            <w:top w:val="none" w:sz="0" w:space="0" w:color="auto"/>
            <w:left w:val="none" w:sz="0" w:space="0" w:color="auto"/>
            <w:bottom w:val="none" w:sz="0" w:space="0" w:color="auto"/>
            <w:right w:val="none" w:sz="0" w:space="0" w:color="auto"/>
          </w:divBdr>
          <w:divsChild>
            <w:div w:id="822545246">
              <w:marLeft w:val="0"/>
              <w:marRight w:val="0"/>
              <w:marTop w:val="0"/>
              <w:marBottom w:val="0"/>
              <w:divBdr>
                <w:top w:val="none" w:sz="0" w:space="0" w:color="auto"/>
                <w:left w:val="none" w:sz="0" w:space="0" w:color="auto"/>
                <w:bottom w:val="none" w:sz="0" w:space="0" w:color="auto"/>
                <w:right w:val="none" w:sz="0" w:space="0" w:color="auto"/>
              </w:divBdr>
            </w:div>
          </w:divsChild>
        </w:div>
        <w:div w:id="837188521">
          <w:marLeft w:val="0"/>
          <w:marRight w:val="0"/>
          <w:marTop w:val="0"/>
          <w:marBottom w:val="0"/>
          <w:divBdr>
            <w:top w:val="none" w:sz="0" w:space="0" w:color="auto"/>
            <w:left w:val="none" w:sz="0" w:space="0" w:color="auto"/>
            <w:bottom w:val="none" w:sz="0" w:space="0" w:color="auto"/>
            <w:right w:val="none" w:sz="0" w:space="0" w:color="auto"/>
          </w:divBdr>
          <w:divsChild>
            <w:div w:id="419184118">
              <w:marLeft w:val="0"/>
              <w:marRight w:val="0"/>
              <w:marTop w:val="0"/>
              <w:marBottom w:val="0"/>
              <w:divBdr>
                <w:top w:val="none" w:sz="0" w:space="0" w:color="auto"/>
                <w:left w:val="none" w:sz="0" w:space="0" w:color="auto"/>
                <w:bottom w:val="none" w:sz="0" w:space="0" w:color="auto"/>
                <w:right w:val="none" w:sz="0" w:space="0" w:color="auto"/>
              </w:divBdr>
            </w:div>
          </w:divsChild>
        </w:div>
        <w:div w:id="899092088">
          <w:marLeft w:val="0"/>
          <w:marRight w:val="0"/>
          <w:marTop w:val="0"/>
          <w:marBottom w:val="0"/>
          <w:divBdr>
            <w:top w:val="none" w:sz="0" w:space="0" w:color="auto"/>
            <w:left w:val="none" w:sz="0" w:space="0" w:color="auto"/>
            <w:bottom w:val="none" w:sz="0" w:space="0" w:color="auto"/>
            <w:right w:val="none" w:sz="0" w:space="0" w:color="auto"/>
          </w:divBdr>
          <w:divsChild>
            <w:div w:id="488713684">
              <w:marLeft w:val="0"/>
              <w:marRight w:val="0"/>
              <w:marTop w:val="0"/>
              <w:marBottom w:val="0"/>
              <w:divBdr>
                <w:top w:val="none" w:sz="0" w:space="0" w:color="auto"/>
                <w:left w:val="none" w:sz="0" w:space="0" w:color="auto"/>
                <w:bottom w:val="none" w:sz="0" w:space="0" w:color="auto"/>
                <w:right w:val="none" w:sz="0" w:space="0" w:color="auto"/>
              </w:divBdr>
            </w:div>
            <w:div w:id="785546052">
              <w:marLeft w:val="0"/>
              <w:marRight w:val="0"/>
              <w:marTop w:val="0"/>
              <w:marBottom w:val="0"/>
              <w:divBdr>
                <w:top w:val="none" w:sz="0" w:space="0" w:color="auto"/>
                <w:left w:val="none" w:sz="0" w:space="0" w:color="auto"/>
                <w:bottom w:val="none" w:sz="0" w:space="0" w:color="auto"/>
                <w:right w:val="none" w:sz="0" w:space="0" w:color="auto"/>
              </w:divBdr>
            </w:div>
          </w:divsChild>
        </w:div>
        <w:div w:id="933323229">
          <w:marLeft w:val="0"/>
          <w:marRight w:val="0"/>
          <w:marTop w:val="0"/>
          <w:marBottom w:val="0"/>
          <w:divBdr>
            <w:top w:val="none" w:sz="0" w:space="0" w:color="auto"/>
            <w:left w:val="none" w:sz="0" w:space="0" w:color="auto"/>
            <w:bottom w:val="none" w:sz="0" w:space="0" w:color="auto"/>
            <w:right w:val="none" w:sz="0" w:space="0" w:color="auto"/>
          </w:divBdr>
          <w:divsChild>
            <w:div w:id="72287347">
              <w:marLeft w:val="0"/>
              <w:marRight w:val="0"/>
              <w:marTop w:val="0"/>
              <w:marBottom w:val="0"/>
              <w:divBdr>
                <w:top w:val="none" w:sz="0" w:space="0" w:color="auto"/>
                <w:left w:val="none" w:sz="0" w:space="0" w:color="auto"/>
                <w:bottom w:val="none" w:sz="0" w:space="0" w:color="auto"/>
                <w:right w:val="none" w:sz="0" w:space="0" w:color="auto"/>
              </w:divBdr>
            </w:div>
          </w:divsChild>
        </w:div>
        <w:div w:id="936139459">
          <w:marLeft w:val="0"/>
          <w:marRight w:val="0"/>
          <w:marTop w:val="0"/>
          <w:marBottom w:val="0"/>
          <w:divBdr>
            <w:top w:val="none" w:sz="0" w:space="0" w:color="auto"/>
            <w:left w:val="none" w:sz="0" w:space="0" w:color="auto"/>
            <w:bottom w:val="none" w:sz="0" w:space="0" w:color="auto"/>
            <w:right w:val="none" w:sz="0" w:space="0" w:color="auto"/>
          </w:divBdr>
          <w:divsChild>
            <w:div w:id="1139683770">
              <w:marLeft w:val="0"/>
              <w:marRight w:val="0"/>
              <w:marTop w:val="0"/>
              <w:marBottom w:val="0"/>
              <w:divBdr>
                <w:top w:val="none" w:sz="0" w:space="0" w:color="auto"/>
                <w:left w:val="none" w:sz="0" w:space="0" w:color="auto"/>
                <w:bottom w:val="none" w:sz="0" w:space="0" w:color="auto"/>
                <w:right w:val="none" w:sz="0" w:space="0" w:color="auto"/>
              </w:divBdr>
            </w:div>
          </w:divsChild>
        </w:div>
        <w:div w:id="979649899">
          <w:marLeft w:val="0"/>
          <w:marRight w:val="0"/>
          <w:marTop w:val="0"/>
          <w:marBottom w:val="0"/>
          <w:divBdr>
            <w:top w:val="none" w:sz="0" w:space="0" w:color="auto"/>
            <w:left w:val="none" w:sz="0" w:space="0" w:color="auto"/>
            <w:bottom w:val="none" w:sz="0" w:space="0" w:color="auto"/>
            <w:right w:val="none" w:sz="0" w:space="0" w:color="auto"/>
          </w:divBdr>
          <w:divsChild>
            <w:div w:id="796489184">
              <w:marLeft w:val="0"/>
              <w:marRight w:val="0"/>
              <w:marTop w:val="0"/>
              <w:marBottom w:val="0"/>
              <w:divBdr>
                <w:top w:val="none" w:sz="0" w:space="0" w:color="auto"/>
                <w:left w:val="none" w:sz="0" w:space="0" w:color="auto"/>
                <w:bottom w:val="none" w:sz="0" w:space="0" w:color="auto"/>
                <w:right w:val="none" w:sz="0" w:space="0" w:color="auto"/>
              </w:divBdr>
            </w:div>
          </w:divsChild>
        </w:div>
        <w:div w:id="1126587131">
          <w:marLeft w:val="0"/>
          <w:marRight w:val="0"/>
          <w:marTop w:val="0"/>
          <w:marBottom w:val="0"/>
          <w:divBdr>
            <w:top w:val="none" w:sz="0" w:space="0" w:color="auto"/>
            <w:left w:val="none" w:sz="0" w:space="0" w:color="auto"/>
            <w:bottom w:val="none" w:sz="0" w:space="0" w:color="auto"/>
            <w:right w:val="none" w:sz="0" w:space="0" w:color="auto"/>
          </w:divBdr>
          <w:divsChild>
            <w:div w:id="412900595">
              <w:marLeft w:val="0"/>
              <w:marRight w:val="0"/>
              <w:marTop w:val="0"/>
              <w:marBottom w:val="0"/>
              <w:divBdr>
                <w:top w:val="none" w:sz="0" w:space="0" w:color="auto"/>
                <w:left w:val="none" w:sz="0" w:space="0" w:color="auto"/>
                <w:bottom w:val="none" w:sz="0" w:space="0" w:color="auto"/>
                <w:right w:val="none" w:sz="0" w:space="0" w:color="auto"/>
              </w:divBdr>
            </w:div>
            <w:div w:id="446243606">
              <w:marLeft w:val="0"/>
              <w:marRight w:val="0"/>
              <w:marTop w:val="0"/>
              <w:marBottom w:val="0"/>
              <w:divBdr>
                <w:top w:val="none" w:sz="0" w:space="0" w:color="auto"/>
                <w:left w:val="none" w:sz="0" w:space="0" w:color="auto"/>
                <w:bottom w:val="none" w:sz="0" w:space="0" w:color="auto"/>
                <w:right w:val="none" w:sz="0" w:space="0" w:color="auto"/>
              </w:divBdr>
            </w:div>
            <w:div w:id="1295674411">
              <w:marLeft w:val="0"/>
              <w:marRight w:val="0"/>
              <w:marTop w:val="0"/>
              <w:marBottom w:val="0"/>
              <w:divBdr>
                <w:top w:val="none" w:sz="0" w:space="0" w:color="auto"/>
                <w:left w:val="none" w:sz="0" w:space="0" w:color="auto"/>
                <w:bottom w:val="none" w:sz="0" w:space="0" w:color="auto"/>
                <w:right w:val="none" w:sz="0" w:space="0" w:color="auto"/>
              </w:divBdr>
            </w:div>
            <w:div w:id="2137791305">
              <w:marLeft w:val="0"/>
              <w:marRight w:val="0"/>
              <w:marTop w:val="0"/>
              <w:marBottom w:val="0"/>
              <w:divBdr>
                <w:top w:val="none" w:sz="0" w:space="0" w:color="auto"/>
                <w:left w:val="none" w:sz="0" w:space="0" w:color="auto"/>
                <w:bottom w:val="none" w:sz="0" w:space="0" w:color="auto"/>
                <w:right w:val="none" w:sz="0" w:space="0" w:color="auto"/>
              </w:divBdr>
            </w:div>
          </w:divsChild>
        </w:div>
        <w:div w:id="1135831780">
          <w:marLeft w:val="0"/>
          <w:marRight w:val="0"/>
          <w:marTop w:val="0"/>
          <w:marBottom w:val="0"/>
          <w:divBdr>
            <w:top w:val="none" w:sz="0" w:space="0" w:color="auto"/>
            <w:left w:val="none" w:sz="0" w:space="0" w:color="auto"/>
            <w:bottom w:val="none" w:sz="0" w:space="0" w:color="auto"/>
            <w:right w:val="none" w:sz="0" w:space="0" w:color="auto"/>
          </w:divBdr>
          <w:divsChild>
            <w:div w:id="1299411240">
              <w:marLeft w:val="0"/>
              <w:marRight w:val="0"/>
              <w:marTop w:val="0"/>
              <w:marBottom w:val="0"/>
              <w:divBdr>
                <w:top w:val="none" w:sz="0" w:space="0" w:color="auto"/>
                <w:left w:val="none" w:sz="0" w:space="0" w:color="auto"/>
                <w:bottom w:val="none" w:sz="0" w:space="0" w:color="auto"/>
                <w:right w:val="none" w:sz="0" w:space="0" w:color="auto"/>
              </w:divBdr>
            </w:div>
          </w:divsChild>
        </w:div>
        <w:div w:id="1172916087">
          <w:marLeft w:val="0"/>
          <w:marRight w:val="0"/>
          <w:marTop w:val="0"/>
          <w:marBottom w:val="0"/>
          <w:divBdr>
            <w:top w:val="none" w:sz="0" w:space="0" w:color="auto"/>
            <w:left w:val="none" w:sz="0" w:space="0" w:color="auto"/>
            <w:bottom w:val="none" w:sz="0" w:space="0" w:color="auto"/>
            <w:right w:val="none" w:sz="0" w:space="0" w:color="auto"/>
          </w:divBdr>
          <w:divsChild>
            <w:div w:id="843206266">
              <w:marLeft w:val="0"/>
              <w:marRight w:val="0"/>
              <w:marTop w:val="0"/>
              <w:marBottom w:val="0"/>
              <w:divBdr>
                <w:top w:val="none" w:sz="0" w:space="0" w:color="auto"/>
                <w:left w:val="none" w:sz="0" w:space="0" w:color="auto"/>
                <w:bottom w:val="none" w:sz="0" w:space="0" w:color="auto"/>
                <w:right w:val="none" w:sz="0" w:space="0" w:color="auto"/>
              </w:divBdr>
            </w:div>
          </w:divsChild>
        </w:div>
        <w:div w:id="1226799130">
          <w:marLeft w:val="0"/>
          <w:marRight w:val="0"/>
          <w:marTop w:val="0"/>
          <w:marBottom w:val="0"/>
          <w:divBdr>
            <w:top w:val="none" w:sz="0" w:space="0" w:color="auto"/>
            <w:left w:val="none" w:sz="0" w:space="0" w:color="auto"/>
            <w:bottom w:val="none" w:sz="0" w:space="0" w:color="auto"/>
            <w:right w:val="none" w:sz="0" w:space="0" w:color="auto"/>
          </w:divBdr>
          <w:divsChild>
            <w:div w:id="1288585883">
              <w:marLeft w:val="0"/>
              <w:marRight w:val="0"/>
              <w:marTop w:val="0"/>
              <w:marBottom w:val="0"/>
              <w:divBdr>
                <w:top w:val="none" w:sz="0" w:space="0" w:color="auto"/>
                <w:left w:val="none" w:sz="0" w:space="0" w:color="auto"/>
                <w:bottom w:val="none" w:sz="0" w:space="0" w:color="auto"/>
                <w:right w:val="none" w:sz="0" w:space="0" w:color="auto"/>
              </w:divBdr>
            </w:div>
          </w:divsChild>
        </w:div>
        <w:div w:id="1243218624">
          <w:marLeft w:val="0"/>
          <w:marRight w:val="0"/>
          <w:marTop w:val="0"/>
          <w:marBottom w:val="0"/>
          <w:divBdr>
            <w:top w:val="none" w:sz="0" w:space="0" w:color="auto"/>
            <w:left w:val="none" w:sz="0" w:space="0" w:color="auto"/>
            <w:bottom w:val="none" w:sz="0" w:space="0" w:color="auto"/>
            <w:right w:val="none" w:sz="0" w:space="0" w:color="auto"/>
          </w:divBdr>
          <w:divsChild>
            <w:div w:id="905994125">
              <w:marLeft w:val="0"/>
              <w:marRight w:val="0"/>
              <w:marTop w:val="0"/>
              <w:marBottom w:val="0"/>
              <w:divBdr>
                <w:top w:val="none" w:sz="0" w:space="0" w:color="auto"/>
                <w:left w:val="none" w:sz="0" w:space="0" w:color="auto"/>
                <w:bottom w:val="none" w:sz="0" w:space="0" w:color="auto"/>
                <w:right w:val="none" w:sz="0" w:space="0" w:color="auto"/>
              </w:divBdr>
            </w:div>
          </w:divsChild>
        </w:div>
        <w:div w:id="1268999240">
          <w:marLeft w:val="0"/>
          <w:marRight w:val="0"/>
          <w:marTop w:val="0"/>
          <w:marBottom w:val="0"/>
          <w:divBdr>
            <w:top w:val="none" w:sz="0" w:space="0" w:color="auto"/>
            <w:left w:val="none" w:sz="0" w:space="0" w:color="auto"/>
            <w:bottom w:val="none" w:sz="0" w:space="0" w:color="auto"/>
            <w:right w:val="none" w:sz="0" w:space="0" w:color="auto"/>
          </w:divBdr>
          <w:divsChild>
            <w:div w:id="1246762101">
              <w:marLeft w:val="0"/>
              <w:marRight w:val="0"/>
              <w:marTop w:val="0"/>
              <w:marBottom w:val="0"/>
              <w:divBdr>
                <w:top w:val="none" w:sz="0" w:space="0" w:color="auto"/>
                <w:left w:val="none" w:sz="0" w:space="0" w:color="auto"/>
                <w:bottom w:val="none" w:sz="0" w:space="0" w:color="auto"/>
                <w:right w:val="none" w:sz="0" w:space="0" w:color="auto"/>
              </w:divBdr>
            </w:div>
          </w:divsChild>
        </w:div>
        <w:div w:id="1362125157">
          <w:marLeft w:val="0"/>
          <w:marRight w:val="0"/>
          <w:marTop w:val="0"/>
          <w:marBottom w:val="0"/>
          <w:divBdr>
            <w:top w:val="none" w:sz="0" w:space="0" w:color="auto"/>
            <w:left w:val="none" w:sz="0" w:space="0" w:color="auto"/>
            <w:bottom w:val="none" w:sz="0" w:space="0" w:color="auto"/>
            <w:right w:val="none" w:sz="0" w:space="0" w:color="auto"/>
          </w:divBdr>
          <w:divsChild>
            <w:div w:id="968433925">
              <w:marLeft w:val="0"/>
              <w:marRight w:val="0"/>
              <w:marTop w:val="0"/>
              <w:marBottom w:val="0"/>
              <w:divBdr>
                <w:top w:val="none" w:sz="0" w:space="0" w:color="auto"/>
                <w:left w:val="none" w:sz="0" w:space="0" w:color="auto"/>
                <w:bottom w:val="none" w:sz="0" w:space="0" w:color="auto"/>
                <w:right w:val="none" w:sz="0" w:space="0" w:color="auto"/>
              </w:divBdr>
            </w:div>
            <w:div w:id="1142696047">
              <w:marLeft w:val="0"/>
              <w:marRight w:val="0"/>
              <w:marTop w:val="0"/>
              <w:marBottom w:val="0"/>
              <w:divBdr>
                <w:top w:val="none" w:sz="0" w:space="0" w:color="auto"/>
                <w:left w:val="none" w:sz="0" w:space="0" w:color="auto"/>
                <w:bottom w:val="none" w:sz="0" w:space="0" w:color="auto"/>
                <w:right w:val="none" w:sz="0" w:space="0" w:color="auto"/>
              </w:divBdr>
            </w:div>
          </w:divsChild>
        </w:div>
        <w:div w:id="1389065759">
          <w:marLeft w:val="0"/>
          <w:marRight w:val="0"/>
          <w:marTop w:val="0"/>
          <w:marBottom w:val="0"/>
          <w:divBdr>
            <w:top w:val="none" w:sz="0" w:space="0" w:color="auto"/>
            <w:left w:val="none" w:sz="0" w:space="0" w:color="auto"/>
            <w:bottom w:val="none" w:sz="0" w:space="0" w:color="auto"/>
            <w:right w:val="none" w:sz="0" w:space="0" w:color="auto"/>
          </w:divBdr>
          <w:divsChild>
            <w:div w:id="2065643149">
              <w:marLeft w:val="0"/>
              <w:marRight w:val="0"/>
              <w:marTop w:val="0"/>
              <w:marBottom w:val="0"/>
              <w:divBdr>
                <w:top w:val="none" w:sz="0" w:space="0" w:color="auto"/>
                <w:left w:val="none" w:sz="0" w:space="0" w:color="auto"/>
                <w:bottom w:val="none" w:sz="0" w:space="0" w:color="auto"/>
                <w:right w:val="none" w:sz="0" w:space="0" w:color="auto"/>
              </w:divBdr>
            </w:div>
          </w:divsChild>
        </w:div>
        <w:div w:id="1417556399">
          <w:marLeft w:val="0"/>
          <w:marRight w:val="0"/>
          <w:marTop w:val="0"/>
          <w:marBottom w:val="0"/>
          <w:divBdr>
            <w:top w:val="none" w:sz="0" w:space="0" w:color="auto"/>
            <w:left w:val="none" w:sz="0" w:space="0" w:color="auto"/>
            <w:bottom w:val="none" w:sz="0" w:space="0" w:color="auto"/>
            <w:right w:val="none" w:sz="0" w:space="0" w:color="auto"/>
          </w:divBdr>
          <w:divsChild>
            <w:div w:id="1142428859">
              <w:marLeft w:val="0"/>
              <w:marRight w:val="0"/>
              <w:marTop w:val="0"/>
              <w:marBottom w:val="0"/>
              <w:divBdr>
                <w:top w:val="none" w:sz="0" w:space="0" w:color="auto"/>
                <w:left w:val="none" w:sz="0" w:space="0" w:color="auto"/>
                <w:bottom w:val="none" w:sz="0" w:space="0" w:color="auto"/>
                <w:right w:val="none" w:sz="0" w:space="0" w:color="auto"/>
              </w:divBdr>
            </w:div>
            <w:div w:id="1730104831">
              <w:marLeft w:val="0"/>
              <w:marRight w:val="0"/>
              <w:marTop w:val="0"/>
              <w:marBottom w:val="0"/>
              <w:divBdr>
                <w:top w:val="none" w:sz="0" w:space="0" w:color="auto"/>
                <w:left w:val="none" w:sz="0" w:space="0" w:color="auto"/>
                <w:bottom w:val="none" w:sz="0" w:space="0" w:color="auto"/>
                <w:right w:val="none" w:sz="0" w:space="0" w:color="auto"/>
              </w:divBdr>
            </w:div>
          </w:divsChild>
        </w:div>
        <w:div w:id="1546210984">
          <w:marLeft w:val="0"/>
          <w:marRight w:val="0"/>
          <w:marTop w:val="0"/>
          <w:marBottom w:val="0"/>
          <w:divBdr>
            <w:top w:val="none" w:sz="0" w:space="0" w:color="auto"/>
            <w:left w:val="none" w:sz="0" w:space="0" w:color="auto"/>
            <w:bottom w:val="none" w:sz="0" w:space="0" w:color="auto"/>
            <w:right w:val="none" w:sz="0" w:space="0" w:color="auto"/>
          </w:divBdr>
          <w:divsChild>
            <w:div w:id="1313675592">
              <w:marLeft w:val="0"/>
              <w:marRight w:val="0"/>
              <w:marTop w:val="0"/>
              <w:marBottom w:val="0"/>
              <w:divBdr>
                <w:top w:val="none" w:sz="0" w:space="0" w:color="auto"/>
                <w:left w:val="none" w:sz="0" w:space="0" w:color="auto"/>
                <w:bottom w:val="none" w:sz="0" w:space="0" w:color="auto"/>
                <w:right w:val="none" w:sz="0" w:space="0" w:color="auto"/>
              </w:divBdr>
            </w:div>
          </w:divsChild>
        </w:div>
        <w:div w:id="1705128327">
          <w:marLeft w:val="0"/>
          <w:marRight w:val="0"/>
          <w:marTop w:val="0"/>
          <w:marBottom w:val="0"/>
          <w:divBdr>
            <w:top w:val="none" w:sz="0" w:space="0" w:color="auto"/>
            <w:left w:val="none" w:sz="0" w:space="0" w:color="auto"/>
            <w:bottom w:val="none" w:sz="0" w:space="0" w:color="auto"/>
            <w:right w:val="none" w:sz="0" w:space="0" w:color="auto"/>
          </w:divBdr>
          <w:divsChild>
            <w:div w:id="1913345850">
              <w:marLeft w:val="0"/>
              <w:marRight w:val="0"/>
              <w:marTop w:val="0"/>
              <w:marBottom w:val="0"/>
              <w:divBdr>
                <w:top w:val="none" w:sz="0" w:space="0" w:color="auto"/>
                <w:left w:val="none" w:sz="0" w:space="0" w:color="auto"/>
                <w:bottom w:val="none" w:sz="0" w:space="0" w:color="auto"/>
                <w:right w:val="none" w:sz="0" w:space="0" w:color="auto"/>
              </w:divBdr>
            </w:div>
          </w:divsChild>
        </w:div>
        <w:div w:id="1716195769">
          <w:marLeft w:val="0"/>
          <w:marRight w:val="0"/>
          <w:marTop w:val="0"/>
          <w:marBottom w:val="0"/>
          <w:divBdr>
            <w:top w:val="none" w:sz="0" w:space="0" w:color="auto"/>
            <w:left w:val="none" w:sz="0" w:space="0" w:color="auto"/>
            <w:bottom w:val="none" w:sz="0" w:space="0" w:color="auto"/>
            <w:right w:val="none" w:sz="0" w:space="0" w:color="auto"/>
          </w:divBdr>
          <w:divsChild>
            <w:div w:id="1860267168">
              <w:marLeft w:val="0"/>
              <w:marRight w:val="0"/>
              <w:marTop w:val="0"/>
              <w:marBottom w:val="0"/>
              <w:divBdr>
                <w:top w:val="none" w:sz="0" w:space="0" w:color="auto"/>
                <w:left w:val="none" w:sz="0" w:space="0" w:color="auto"/>
                <w:bottom w:val="none" w:sz="0" w:space="0" w:color="auto"/>
                <w:right w:val="none" w:sz="0" w:space="0" w:color="auto"/>
              </w:divBdr>
            </w:div>
          </w:divsChild>
        </w:div>
        <w:div w:id="1784299539">
          <w:marLeft w:val="0"/>
          <w:marRight w:val="0"/>
          <w:marTop w:val="0"/>
          <w:marBottom w:val="0"/>
          <w:divBdr>
            <w:top w:val="none" w:sz="0" w:space="0" w:color="auto"/>
            <w:left w:val="none" w:sz="0" w:space="0" w:color="auto"/>
            <w:bottom w:val="none" w:sz="0" w:space="0" w:color="auto"/>
            <w:right w:val="none" w:sz="0" w:space="0" w:color="auto"/>
          </w:divBdr>
          <w:divsChild>
            <w:div w:id="485320310">
              <w:marLeft w:val="0"/>
              <w:marRight w:val="0"/>
              <w:marTop w:val="0"/>
              <w:marBottom w:val="0"/>
              <w:divBdr>
                <w:top w:val="none" w:sz="0" w:space="0" w:color="auto"/>
                <w:left w:val="none" w:sz="0" w:space="0" w:color="auto"/>
                <w:bottom w:val="none" w:sz="0" w:space="0" w:color="auto"/>
                <w:right w:val="none" w:sz="0" w:space="0" w:color="auto"/>
              </w:divBdr>
            </w:div>
          </w:divsChild>
        </w:div>
        <w:div w:id="1829327936">
          <w:marLeft w:val="0"/>
          <w:marRight w:val="0"/>
          <w:marTop w:val="0"/>
          <w:marBottom w:val="0"/>
          <w:divBdr>
            <w:top w:val="none" w:sz="0" w:space="0" w:color="auto"/>
            <w:left w:val="none" w:sz="0" w:space="0" w:color="auto"/>
            <w:bottom w:val="none" w:sz="0" w:space="0" w:color="auto"/>
            <w:right w:val="none" w:sz="0" w:space="0" w:color="auto"/>
          </w:divBdr>
          <w:divsChild>
            <w:div w:id="150799973">
              <w:marLeft w:val="0"/>
              <w:marRight w:val="0"/>
              <w:marTop w:val="0"/>
              <w:marBottom w:val="0"/>
              <w:divBdr>
                <w:top w:val="none" w:sz="0" w:space="0" w:color="auto"/>
                <w:left w:val="none" w:sz="0" w:space="0" w:color="auto"/>
                <w:bottom w:val="none" w:sz="0" w:space="0" w:color="auto"/>
                <w:right w:val="none" w:sz="0" w:space="0" w:color="auto"/>
              </w:divBdr>
            </w:div>
            <w:div w:id="480972234">
              <w:marLeft w:val="0"/>
              <w:marRight w:val="0"/>
              <w:marTop w:val="0"/>
              <w:marBottom w:val="0"/>
              <w:divBdr>
                <w:top w:val="none" w:sz="0" w:space="0" w:color="auto"/>
                <w:left w:val="none" w:sz="0" w:space="0" w:color="auto"/>
                <w:bottom w:val="none" w:sz="0" w:space="0" w:color="auto"/>
                <w:right w:val="none" w:sz="0" w:space="0" w:color="auto"/>
              </w:divBdr>
            </w:div>
          </w:divsChild>
        </w:div>
        <w:div w:id="1921406349">
          <w:marLeft w:val="0"/>
          <w:marRight w:val="0"/>
          <w:marTop w:val="0"/>
          <w:marBottom w:val="0"/>
          <w:divBdr>
            <w:top w:val="none" w:sz="0" w:space="0" w:color="auto"/>
            <w:left w:val="none" w:sz="0" w:space="0" w:color="auto"/>
            <w:bottom w:val="none" w:sz="0" w:space="0" w:color="auto"/>
            <w:right w:val="none" w:sz="0" w:space="0" w:color="auto"/>
          </w:divBdr>
          <w:divsChild>
            <w:div w:id="1626082581">
              <w:marLeft w:val="0"/>
              <w:marRight w:val="0"/>
              <w:marTop w:val="0"/>
              <w:marBottom w:val="0"/>
              <w:divBdr>
                <w:top w:val="none" w:sz="0" w:space="0" w:color="auto"/>
                <w:left w:val="none" w:sz="0" w:space="0" w:color="auto"/>
                <w:bottom w:val="none" w:sz="0" w:space="0" w:color="auto"/>
                <w:right w:val="none" w:sz="0" w:space="0" w:color="auto"/>
              </w:divBdr>
            </w:div>
          </w:divsChild>
        </w:div>
        <w:div w:id="1998456710">
          <w:marLeft w:val="0"/>
          <w:marRight w:val="0"/>
          <w:marTop w:val="0"/>
          <w:marBottom w:val="0"/>
          <w:divBdr>
            <w:top w:val="none" w:sz="0" w:space="0" w:color="auto"/>
            <w:left w:val="none" w:sz="0" w:space="0" w:color="auto"/>
            <w:bottom w:val="none" w:sz="0" w:space="0" w:color="auto"/>
            <w:right w:val="none" w:sz="0" w:space="0" w:color="auto"/>
          </w:divBdr>
          <w:divsChild>
            <w:div w:id="1027877690">
              <w:marLeft w:val="0"/>
              <w:marRight w:val="0"/>
              <w:marTop w:val="0"/>
              <w:marBottom w:val="0"/>
              <w:divBdr>
                <w:top w:val="none" w:sz="0" w:space="0" w:color="auto"/>
                <w:left w:val="none" w:sz="0" w:space="0" w:color="auto"/>
                <w:bottom w:val="none" w:sz="0" w:space="0" w:color="auto"/>
                <w:right w:val="none" w:sz="0" w:space="0" w:color="auto"/>
              </w:divBdr>
            </w:div>
            <w:div w:id="16400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2156">
      <w:bodyDiv w:val="1"/>
      <w:marLeft w:val="0"/>
      <w:marRight w:val="0"/>
      <w:marTop w:val="0"/>
      <w:marBottom w:val="0"/>
      <w:divBdr>
        <w:top w:val="none" w:sz="0" w:space="0" w:color="auto"/>
        <w:left w:val="none" w:sz="0" w:space="0" w:color="auto"/>
        <w:bottom w:val="none" w:sz="0" w:space="0" w:color="auto"/>
        <w:right w:val="none" w:sz="0" w:space="0" w:color="auto"/>
      </w:divBdr>
      <w:divsChild>
        <w:div w:id="761804963">
          <w:marLeft w:val="0"/>
          <w:marRight w:val="0"/>
          <w:marTop w:val="0"/>
          <w:marBottom w:val="0"/>
          <w:divBdr>
            <w:top w:val="none" w:sz="0" w:space="0" w:color="auto"/>
            <w:left w:val="none" w:sz="0" w:space="0" w:color="auto"/>
            <w:bottom w:val="none" w:sz="0" w:space="0" w:color="auto"/>
            <w:right w:val="none" w:sz="0" w:space="0" w:color="auto"/>
          </w:divBdr>
          <w:divsChild>
            <w:div w:id="193466300">
              <w:marLeft w:val="0"/>
              <w:marRight w:val="0"/>
              <w:marTop w:val="0"/>
              <w:marBottom w:val="0"/>
              <w:divBdr>
                <w:top w:val="none" w:sz="0" w:space="0" w:color="auto"/>
                <w:left w:val="none" w:sz="0" w:space="0" w:color="auto"/>
                <w:bottom w:val="none" w:sz="0" w:space="0" w:color="auto"/>
                <w:right w:val="none" w:sz="0" w:space="0" w:color="auto"/>
              </w:divBdr>
            </w:div>
            <w:div w:id="222520707">
              <w:marLeft w:val="0"/>
              <w:marRight w:val="0"/>
              <w:marTop w:val="0"/>
              <w:marBottom w:val="0"/>
              <w:divBdr>
                <w:top w:val="none" w:sz="0" w:space="0" w:color="auto"/>
                <w:left w:val="none" w:sz="0" w:space="0" w:color="auto"/>
                <w:bottom w:val="none" w:sz="0" w:space="0" w:color="auto"/>
                <w:right w:val="none" w:sz="0" w:space="0" w:color="auto"/>
              </w:divBdr>
            </w:div>
            <w:div w:id="357973319">
              <w:marLeft w:val="0"/>
              <w:marRight w:val="0"/>
              <w:marTop w:val="0"/>
              <w:marBottom w:val="0"/>
              <w:divBdr>
                <w:top w:val="none" w:sz="0" w:space="0" w:color="auto"/>
                <w:left w:val="none" w:sz="0" w:space="0" w:color="auto"/>
                <w:bottom w:val="none" w:sz="0" w:space="0" w:color="auto"/>
                <w:right w:val="none" w:sz="0" w:space="0" w:color="auto"/>
              </w:divBdr>
            </w:div>
            <w:div w:id="389696875">
              <w:marLeft w:val="0"/>
              <w:marRight w:val="0"/>
              <w:marTop w:val="0"/>
              <w:marBottom w:val="0"/>
              <w:divBdr>
                <w:top w:val="none" w:sz="0" w:space="0" w:color="auto"/>
                <w:left w:val="none" w:sz="0" w:space="0" w:color="auto"/>
                <w:bottom w:val="none" w:sz="0" w:space="0" w:color="auto"/>
                <w:right w:val="none" w:sz="0" w:space="0" w:color="auto"/>
              </w:divBdr>
            </w:div>
            <w:div w:id="608196302">
              <w:marLeft w:val="0"/>
              <w:marRight w:val="0"/>
              <w:marTop w:val="0"/>
              <w:marBottom w:val="0"/>
              <w:divBdr>
                <w:top w:val="none" w:sz="0" w:space="0" w:color="auto"/>
                <w:left w:val="none" w:sz="0" w:space="0" w:color="auto"/>
                <w:bottom w:val="none" w:sz="0" w:space="0" w:color="auto"/>
                <w:right w:val="none" w:sz="0" w:space="0" w:color="auto"/>
              </w:divBdr>
            </w:div>
            <w:div w:id="632058285">
              <w:marLeft w:val="0"/>
              <w:marRight w:val="0"/>
              <w:marTop w:val="0"/>
              <w:marBottom w:val="0"/>
              <w:divBdr>
                <w:top w:val="none" w:sz="0" w:space="0" w:color="auto"/>
                <w:left w:val="none" w:sz="0" w:space="0" w:color="auto"/>
                <w:bottom w:val="none" w:sz="0" w:space="0" w:color="auto"/>
                <w:right w:val="none" w:sz="0" w:space="0" w:color="auto"/>
              </w:divBdr>
            </w:div>
            <w:div w:id="642122444">
              <w:marLeft w:val="0"/>
              <w:marRight w:val="0"/>
              <w:marTop w:val="0"/>
              <w:marBottom w:val="0"/>
              <w:divBdr>
                <w:top w:val="none" w:sz="0" w:space="0" w:color="auto"/>
                <w:left w:val="none" w:sz="0" w:space="0" w:color="auto"/>
                <w:bottom w:val="none" w:sz="0" w:space="0" w:color="auto"/>
                <w:right w:val="none" w:sz="0" w:space="0" w:color="auto"/>
              </w:divBdr>
            </w:div>
            <w:div w:id="653529431">
              <w:marLeft w:val="0"/>
              <w:marRight w:val="0"/>
              <w:marTop w:val="0"/>
              <w:marBottom w:val="0"/>
              <w:divBdr>
                <w:top w:val="none" w:sz="0" w:space="0" w:color="auto"/>
                <w:left w:val="none" w:sz="0" w:space="0" w:color="auto"/>
                <w:bottom w:val="none" w:sz="0" w:space="0" w:color="auto"/>
                <w:right w:val="none" w:sz="0" w:space="0" w:color="auto"/>
              </w:divBdr>
            </w:div>
            <w:div w:id="686492170">
              <w:marLeft w:val="0"/>
              <w:marRight w:val="0"/>
              <w:marTop w:val="0"/>
              <w:marBottom w:val="0"/>
              <w:divBdr>
                <w:top w:val="none" w:sz="0" w:space="0" w:color="auto"/>
                <w:left w:val="none" w:sz="0" w:space="0" w:color="auto"/>
                <w:bottom w:val="none" w:sz="0" w:space="0" w:color="auto"/>
                <w:right w:val="none" w:sz="0" w:space="0" w:color="auto"/>
              </w:divBdr>
            </w:div>
            <w:div w:id="772823725">
              <w:marLeft w:val="0"/>
              <w:marRight w:val="0"/>
              <w:marTop w:val="0"/>
              <w:marBottom w:val="0"/>
              <w:divBdr>
                <w:top w:val="none" w:sz="0" w:space="0" w:color="auto"/>
                <w:left w:val="none" w:sz="0" w:space="0" w:color="auto"/>
                <w:bottom w:val="none" w:sz="0" w:space="0" w:color="auto"/>
                <w:right w:val="none" w:sz="0" w:space="0" w:color="auto"/>
              </w:divBdr>
            </w:div>
            <w:div w:id="788277325">
              <w:marLeft w:val="0"/>
              <w:marRight w:val="0"/>
              <w:marTop w:val="0"/>
              <w:marBottom w:val="0"/>
              <w:divBdr>
                <w:top w:val="none" w:sz="0" w:space="0" w:color="auto"/>
                <w:left w:val="none" w:sz="0" w:space="0" w:color="auto"/>
                <w:bottom w:val="none" w:sz="0" w:space="0" w:color="auto"/>
                <w:right w:val="none" w:sz="0" w:space="0" w:color="auto"/>
              </w:divBdr>
            </w:div>
            <w:div w:id="822550362">
              <w:marLeft w:val="0"/>
              <w:marRight w:val="0"/>
              <w:marTop w:val="0"/>
              <w:marBottom w:val="0"/>
              <w:divBdr>
                <w:top w:val="none" w:sz="0" w:space="0" w:color="auto"/>
                <w:left w:val="none" w:sz="0" w:space="0" w:color="auto"/>
                <w:bottom w:val="none" w:sz="0" w:space="0" w:color="auto"/>
                <w:right w:val="none" w:sz="0" w:space="0" w:color="auto"/>
              </w:divBdr>
            </w:div>
            <w:div w:id="1243028392">
              <w:marLeft w:val="0"/>
              <w:marRight w:val="0"/>
              <w:marTop w:val="0"/>
              <w:marBottom w:val="0"/>
              <w:divBdr>
                <w:top w:val="none" w:sz="0" w:space="0" w:color="auto"/>
                <w:left w:val="none" w:sz="0" w:space="0" w:color="auto"/>
                <w:bottom w:val="none" w:sz="0" w:space="0" w:color="auto"/>
                <w:right w:val="none" w:sz="0" w:space="0" w:color="auto"/>
              </w:divBdr>
            </w:div>
            <w:div w:id="1336035801">
              <w:marLeft w:val="0"/>
              <w:marRight w:val="0"/>
              <w:marTop w:val="0"/>
              <w:marBottom w:val="0"/>
              <w:divBdr>
                <w:top w:val="none" w:sz="0" w:space="0" w:color="auto"/>
                <w:left w:val="none" w:sz="0" w:space="0" w:color="auto"/>
                <w:bottom w:val="none" w:sz="0" w:space="0" w:color="auto"/>
                <w:right w:val="none" w:sz="0" w:space="0" w:color="auto"/>
              </w:divBdr>
            </w:div>
            <w:div w:id="1339649513">
              <w:marLeft w:val="0"/>
              <w:marRight w:val="0"/>
              <w:marTop w:val="0"/>
              <w:marBottom w:val="0"/>
              <w:divBdr>
                <w:top w:val="none" w:sz="0" w:space="0" w:color="auto"/>
                <w:left w:val="none" w:sz="0" w:space="0" w:color="auto"/>
                <w:bottom w:val="none" w:sz="0" w:space="0" w:color="auto"/>
                <w:right w:val="none" w:sz="0" w:space="0" w:color="auto"/>
              </w:divBdr>
            </w:div>
            <w:div w:id="1545942268">
              <w:marLeft w:val="0"/>
              <w:marRight w:val="0"/>
              <w:marTop w:val="0"/>
              <w:marBottom w:val="0"/>
              <w:divBdr>
                <w:top w:val="none" w:sz="0" w:space="0" w:color="auto"/>
                <w:left w:val="none" w:sz="0" w:space="0" w:color="auto"/>
                <w:bottom w:val="none" w:sz="0" w:space="0" w:color="auto"/>
                <w:right w:val="none" w:sz="0" w:space="0" w:color="auto"/>
              </w:divBdr>
            </w:div>
            <w:div w:id="1580990588">
              <w:marLeft w:val="0"/>
              <w:marRight w:val="0"/>
              <w:marTop w:val="0"/>
              <w:marBottom w:val="0"/>
              <w:divBdr>
                <w:top w:val="none" w:sz="0" w:space="0" w:color="auto"/>
                <w:left w:val="none" w:sz="0" w:space="0" w:color="auto"/>
                <w:bottom w:val="none" w:sz="0" w:space="0" w:color="auto"/>
                <w:right w:val="none" w:sz="0" w:space="0" w:color="auto"/>
              </w:divBdr>
            </w:div>
            <w:div w:id="1681657270">
              <w:marLeft w:val="0"/>
              <w:marRight w:val="0"/>
              <w:marTop w:val="0"/>
              <w:marBottom w:val="0"/>
              <w:divBdr>
                <w:top w:val="none" w:sz="0" w:space="0" w:color="auto"/>
                <w:left w:val="none" w:sz="0" w:space="0" w:color="auto"/>
                <w:bottom w:val="none" w:sz="0" w:space="0" w:color="auto"/>
                <w:right w:val="none" w:sz="0" w:space="0" w:color="auto"/>
              </w:divBdr>
            </w:div>
            <w:div w:id="1730036549">
              <w:marLeft w:val="0"/>
              <w:marRight w:val="0"/>
              <w:marTop w:val="0"/>
              <w:marBottom w:val="0"/>
              <w:divBdr>
                <w:top w:val="none" w:sz="0" w:space="0" w:color="auto"/>
                <w:left w:val="none" w:sz="0" w:space="0" w:color="auto"/>
                <w:bottom w:val="none" w:sz="0" w:space="0" w:color="auto"/>
                <w:right w:val="none" w:sz="0" w:space="0" w:color="auto"/>
              </w:divBdr>
            </w:div>
            <w:div w:id="1809277876">
              <w:marLeft w:val="0"/>
              <w:marRight w:val="0"/>
              <w:marTop w:val="0"/>
              <w:marBottom w:val="0"/>
              <w:divBdr>
                <w:top w:val="none" w:sz="0" w:space="0" w:color="auto"/>
                <w:left w:val="none" w:sz="0" w:space="0" w:color="auto"/>
                <w:bottom w:val="none" w:sz="0" w:space="0" w:color="auto"/>
                <w:right w:val="none" w:sz="0" w:space="0" w:color="auto"/>
              </w:divBdr>
            </w:div>
          </w:divsChild>
        </w:div>
        <w:div w:id="980035336">
          <w:marLeft w:val="0"/>
          <w:marRight w:val="0"/>
          <w:marTop w:val="0"/>
          <w:marBottom w:val="0"/>
          <w:divBdr>
            <w:top w:val="none" w:sz="0" w:space="0" w:color="auto"/>
            <w:left w:val="none" w:sz="0" w:space="0" w:color="auto"/>
            <w:bottom w:val="none" w:sz="0" w:space="0" w:color="auto"/>
            <w:right w:val="none" w:sz="0" w:space="0" w:color="auto"/>
          </w:divBdr>
          <w:divsChild>
            <w:div w:id="59330763">
              <w:marLeft w:val="0"/>
              <w:marRight w:val="0"/>
              <w:marTop w:val="0"/>
              <w:marBottom w:val="0"/>
              <w:divBdr>
                <w:top w:val="none" w:sz="0" w:space="0" w:color="auto"/>
                <w:left w:val="none" w:sz="0" w:space="0" w:color="auto"/>
                <w:bottom w:val="none" w:sz="0" w:space="0" w:color="auto"/>
                <w:right w:val="none" w:sz="0" w:space="0" w:color="auto"/>
              </w:divBdr>
            </w:div>
            <w:div w:id="133569892">
              <w:marLeft w:val="0"/>
              <w:marRight w:val="0"/>
              <w:marTop w:val="0"/>
              <w:marBottom w:val="0"/>
              <w:divBdr>
                <w:top w:val="none" w:sz="0" w:space="0" w:color="auto"/>
                <w:left w:val="none" w:sz="0" w:space="0" w:color="auto"/>
                <w:bottom w:val="none" w:sz="0" w:space="0" w:color="auto"/>
                <w:right w:val="none" w:sz="0" w:space="0" w:color="auto"/>
              </w:divBdr>
            </w:div>
            <w:div w:id="145168531">
              <w:marLeft w:val="0"/>
              <w:marRight w:val="0"/>
              <w:marTop w:val="0"/>
              <w:marBottom w:val="0"/>
              <w:divBdr>
                <w:top w:val="none" w:sz="0" w:space="0" w:color="auto"/>
                <w:left w:val="none" w:sz="0" w:space="0" w:color="auto"/>
                <w:bottom w:val="none" w:sz="0" w:space="0" w:color="auto"/>
                <w:right w:val="none" w:sz="0" w:space="0" w:color="auto"/>
              </w:divBdr>
            </w:div>
            <w:div w:id="227156329">
              <w:marLeft w:val="0"/>
              <w:marRight w:val="0"/>
              <w:marTop w:val="0"/>
              <w:marBottom w:val="0"/>
              <w:divBdr>
                <w:top w:val="none" w:sz="0" w:space="0" w:color="auto"/>
                <w:left w:val="none" w:sz="0" w:space="0" w:color="auto"/>
                <w:bottom w:val="none" w:sz="0" w:space="0" w:color="auto"/>
                <w:right w:val="none" w:sz="0" w:space="0" w:color="auto"/>
              </w:divBdr>
            </w:div>
            <w:div w:id="325136925">
              <w:marLeft w:val="0"/>
              <w:marRight w:val="0"/>
              <w:marTop w:val="0"/>
              <w:marBottom w:val="0"/>
              <w:divBdr>
                <w:top w:val="none" w:sz="0" w:space="0" w:color="auto"/>
                <w:left w:val="none" w:sz="0" w:space="0" w:color="auto"/>
                <w:bottom w:val="none" w:sz="0" w:space="0" w:color="auto"/>
                <w:right w:val="none" w:sz="0" w:space="0" w:color="auto"/>
              </w:divBdr>
            </w:div>
            <w:div w:id="359546923">
              <w:marLeft w:val="0"/>
              <w:marRight w:val="0"/>
              <w:marTop w:val="0"/>
              <w:marBottom w:val="0"/>
              <w:divBdr>
                <w:top w:val="none" w:sz="0" w:space="0" w:color="auto"/>
                <w:left w:val="none" w:sz="0" w:space="0" w:color="auto"/>
                <w:bottom w:val="none" w:sz="0" w:space="0" w:color="auto"/>
                <w:right w:val="none" w:sz="0" w:space="0" w:color="auto"/>
              </w:divBdr>
            </w:div>
            <w:div w:id="458184461">
              <w:marLeft w:val="0"/>
              <w:marRight w:val="0"/>
              <w:marTop w:val="0"/>
              <w:marBottom w:val="0"/>
              <w:divBdr>
                <w:top w:val="none" w:sz="0" w:space="0" w:color="auto"/>
                <w:left w:val="none" w:sz="0" w:space="0" w:color="auto"/>
                <w:bottom w:val="none" w:sz="0" w:space="0" w:color="auto"/>
                <w:right w:val="none" w:sz="0" w:space="0" w:color="auto"/>
              </w:divBdr>
            </w:div>
            <w:div w:id="906500565">
              <w:marLeft w:val="0"/>
              <w:marRight w:val="0"/>
              <w:marTop w:val="0"/>
              <w:marBottom w:val="0"/>
              <w:divBdr>
                <w:top w:val="none" w:sz="0" w:space="0" w:color="auto"/>
                <w:left w:val="none" w:sz="0" w:space="0" w:color="auto"/>
                <w:bottom w:val="none" w:sz="0" w:space="0" w:color="auto"/>
                <w:right w:val="none" w:sz="0" w:space="0" w:color="auto"/>
              </w:divBdr>
            </w:div>
            <w:div w:id="907115033">
              <w:marLeft w:val="0"/>
              <w:marRight w:val="0"/>
              <w:marTop w:val="0"/>
              <w:marBottom w:val="0"/>
              <w:divBdr>
                <w:top w:val="none" w:sz="0" w:space="0" w:color="auto"/>
                <w:left w:val="none" w:sz="0" w:space="0" w:color="auto"/>
                <w:bottom w:val="none" w:sz="0" w:space="0" w:color="auto"/>
                <w:right w:val="none" w:sz="0" w:space="0" w:color="auto"/>
              </w:divBdr>
            </w:div>
            <w:div w:id="1055473845">
              <w:marLeft w:val="0"/>
              <w:marRight w:val="0"/>
              <w:marTop w:val="0"/>
              <w:marBottom w:val="0"/>
              <w:divBdr>
                <w:top w:val="none" w:sz="0" w:space="0" w:color="auto"/>
                <w:left w:val="none" w:sz="0" w:space="0" w:color="auto"/>
                <w:bottom w:val="none" w:sz="0" w:space="0" w:color="auto"/>
                <w:right w:val="none" w:sz="0" w:space="0" w:color="auto"/>
              </w:divBdr>
            </w:div>
            <w:div w:id="1059014074">
              <w:marLeft w:val="0"/>
              <w:marRight w:val="0"/>
              <w:marTop w:val="0"/>
              <w:marBottom w:val="0"/>
              <w:divBdr>
                <w:top w:val="none" w:sz="0" w:space="0" w:color="auto"/>
                <w:left w:val="none" w:sz="0" w:space="0" w:color="auto"/>
                <w:bottom w:val="none" w:sz="0" w:space="0" w:color="auto"/>
                <w:right w:val="none" w:sz="0" w:space="0" w:color="auto"/>
              </w:divBdr>
            </w:div>
            <w:div w:id="1341473260">
              <w:marLeft w:val="0"/>
              <w:marRight w:val="0"/>
              <w:marTop w:val="0"/>
              <w:marBottom w:val="0"/>
              <w:divBdr>
                <w:top w:val="none" w:sz="0" w:space="0" w:color="auto"/>
                <w:left w:val="none" w:sz="0" w:space="0" w:color="auto"/>
                <w:bottom w:val="none" w:sz="0" w:space="0" w:color="auto"/>
                <w:right w:val="none" w:sz="0" w:space="0" w:color="auto"/>
              </w:divBdr>
            </w:div>
            <w:div w:id="1343508773">
              <w:marLeft w:val="0"/>
              <w:marRight w:val="0"/>
              <w:marTop w:val="0"/>
              <w:marBottom w:val="0"/>
              <w:divBdr>
                <w:top w:val="none" w:sz="0" w:space="0" w:color="auto"/>
                <w:left w:val="none" w:sz="0" w:space="0" w:color="auto"/>
                <w:bottom w:val="none" w:sz="0" w:space="0" w:color="auto"/>
                <w:right w:val="none" w:sz="0" w:space="0" w:color="auto"/>
              </w:divBdr>
            </w:div>
          </w:divsChild>
        </w:div>
        <w:div w:id="1010569714">
          <w:marLeft w:val="0"/>
          <w:marRight w:val="0"/>
          <w:marTop w:val="0"/>
          <w:marBottom w:val="0"/>
          <w:divBdr>
            <w:top w:val="none" w:sz="0" w:space="0" w:color="auto"/>
            <w:left w:val="none" w:sz="0" w:space="0" w:color="auto"/>
            <w:bottom w:val="none" w:sz="0" w:space="0" w:color="auto"/>
            <w:right w:val="none" w:sz="0" w:space="0" w:color="auto"/>
          </w:divBdr>
          <w:divsChild>
            <w:div w:id="87434505">
              <w:marLeft w:val="0"/>
              <w:marRight w:val="0"/>
              <w:marTop w:val="0"/>
              <w:marBottom w:val="0"/>
              <w:divBdr>
                <w:top w:val="none" w:sz="0" w:space="0" w:color="auto"/>
                <w:left w:val="none" w:sz="0" w:space="0" w:color="auto"/>
                <w:bottom w:val="none" w:sz="0" w:space="0" w:color="auto"/>
                <w:right w:val="none" w:sz="0" w:space="0" w:color="auto"/>
              </w:divBdr>
            </w:div>
            <w:div w:id="183517383">
              <w:marLeft w:val="0"/>
              <w:marRight w:val="0"/>
              <w:marTop w:val="0"/>
              <w:marBottom w:val="0"/>
              <w:divBdr>
                <w:top w:val="none" w:sz="0" w:space="0" w:color="auto"/>
                <w:left w:val="none" w:sz="0" w:space="0" w:color="auto"/>
                <w:bottom w:val="none" w:sz="0" w:space="0" w:color="auto"/>
                <w:right w:val="none" w:sz="0" w:space="0" w:color="auto"/>
              </w:divBdr>
            </w:div>
            <w:div w:id="452135559">
              <w:marLeft w:val="0"/>
              <w:marRight w:val="0"/>
              <w:marTop w:val="0"/>
              <w:marBottom w:val="0"/>
              <w:divBdr>
                <w:top w:val="none" w:sz="0" w:space="0" w:color="auto"/>
                <w:left w:val="none" w:sz="0" w:space="0" w:color="auto"/>
                <w:bottom w:val="none" w:sz="0" w:space="0" w:color="auto"/>
                <w:right w:val="none" w:sz="0" w:space="0" w:color="auto"/>
              </w:divBdr>
            </w:div>
            <w:div w:id="489751804">
              <w:marLeft w:val="0"/>
              <w:marRight w:val="0"/>
              <w:marTop w:val="0"/>
              <w:marBottom w:val="0"/>
              <w:divBdr>
                <w:top w:val="none" w:sz="0" w:space="0" w:color="auto"/>
                <w:left w:val="none" w:sz="0" w:space="0" w:color="auto"/>
                <w:bottom w:val="none" w:sz="0" w:space="0" w:color="auto"/>
                <w:right w:val="none" w:sz="0" w:space="0" w:color="auto"/>
              </w:divBdr>
            </w:div>
            <w:div w:id="635720622">
              <w:marLeft w:val="0"/>
              <w:marRight w:val="0"/>
              <w:marTop w:val="0"/>
              <w:marBottom w:val="0"/>
              <w:divBdr>
                <w:top w:val="none" w:sz="0" w:space="0" w:color="auto"/>
                <w:left w:val="none" w:sz="0" w:space="0" w:color="auto"/>
                <w:bottom w:val="none" w:sz="0" w:space="0" w:color="auto"/>
                <w:right w:val="none" w:sz="0" w:space="0" w:color="auto"/>
              </w:divBdr>
            </w:div>
            <w:div w:id="783115344">
              <w:marLeft w:val="0"/>
              <w:marRight w:val="0"/>
              <w:marTop w:val="0"/>
              <w:marBottom w:val="0"/>
              <w:divBdr>
                <w:top w:val="none" w:sz="0" w:space="0" w:color="auto"/>
                <w:left w:val="none" w:sz="0" w:space="0" w:color="auto"/>
                <w:bottom w:val="none" w:sz="0" w:space="0" w:color="auto"/>
                <w:right w:val="none" w:sz="0" w:space="0" w:color="auto"/>
              </w:divBdr>
            </w:div>
            <w:div w:id="784689188">
              <w:marLeft w:val="0"/>
              <w:marRight w:val="0"/>
              <w:marTop w:val="0"/>
              <w:marBottom w:val="0"/>
              <w:divBdr>
                <w:top w:val="none" w:sz="0" w:space="0" w:color="auto"/>
                <w:left w:val="none" w:sz="0" w:space="0" w:color="auto"/>
                <w:bottom w:val="none" w:sz="0" w:space="0" w:color="auto"/>
                <w:right w:val="none" w:sz="0" w:space="0" w:color="auto"/>
              </w:divBdr>
            </w:div>
            <w:div w:id="799611869">
              <w:marLeft w:val="0"/>
              <w:marRight w:val="0"/>
              <w:marTop w:val="0"/>
              <w:marBottom w:val="0"/>
              <w:divBdr>
                <w:top w:val="none" w:sz="0" w:space="0" w:color="auto"/>
                <w:left w:val="none" w:sz="0" w:space="0" w:color="auto"/>
                <w:bottom w:val="none" w:sz="0" w:space="0" w:color="auto"/>
                <w:right w:val="none" w:sz="0" w:space="0" w:color="auto"/>
              </w:divBdr>
            </w:div>
            <w:div w:id="865215722">
              <w:marLeft w:val="0"/>
              <w:marRight w:val="0"/>
              <w:marTop w:val="0"/>
              <w:marBottom w:val="0"/>
              <w:divBdr>
                <w:top w:val="none" w:sz="0" w:space="0" w:color="auto"/>
                <w:left w:val="none" w:sz="0" w:space="0" w:color="auto"/>
                <w:bottom w:val="none" w:sz="0" w:space="0" w:color="auto"/>
                <w:right w:val="none" w:sz="0" w:space="0" w:color="auto"/>
              </w:divBdr>
            </w:div>
            <w:div w:id="903492196">
              <w:marLeft w:val="0"/>
              <w:marRight w:val="0"/>
              <w:marTop w:val="0"/>
              <w:marBottom w:val="0"/>
              <w:divBdr>
                <w:top w:val="none" w:sz="0" w:space="0" w:color="auto"/>
                <w:left w:val="none" w:sz="0" w:space="0" w:color="auto"/>
                <w:bottom w:val="none" w:sz="0" w:space="0" w:color="auto"/>
                <w:right w:val="none" w:sz="0" w:space="0" w:color="auto"/>
              </w:divBdr>
            </w:div>
            <w:div w:id="956258531">
              <w:marLeft w:val="0"/>
              <w:marRight w:val="0"/>
              <w:marTop w:val="0"/>
              <w:marBottom w:val="0"/>
              <w:divBdr>
                <w:top w:val="none" w:sz="0" w:space="0" w:color="auto"/>
                <w:left w:val="none" w:sz="0" w:space="0" w:color="auto"/>
                <w:bottom w:val="none" w:sz="0" w:space="0" w:color="auto"/>
                <w:right w:val="none" w:sz="0" w:space="0" w:color="auto"/>
              </w:divBdr>
            </w:div>
            <w:div w:id="1239248331">
              <w:marLeft w:val="0"/>
              <w:marRight w:val="0"/>
              <w:marTop w:val="0"/>
              <w:marBottom w:val="0"/>
              <w:divBdr>
                <w:top w:val="none" w:sz="0" w:space="0" w:color="auto"/>
                <w:left w:val="none" w:sz="0" w:space="0" w:color="auto"/>
                <w:bottom w:val="none" w:sz="0" w:space="0" w:color="auto"/>
                <w:right w:val="none" w:sz="0" w:space="0" w:color="auto"/>
              </w:divBdr>
            </w:div>
            <w:div w:id="1349210779">
              <w:marLeft w:val="0"/>
              <w:marRight w:val="0"/>
              <w:marTop w:val="0"/>
              <w:marBottom w:val="0"/>
              <w:divBdr>
                <w:top w:val="none" w:sz="0" w:space="0" w:color="auto"/>
                <w:left w:val="none" w:sz="0" w:space="0" w:color="auto"/>
                <w:bottom w:val="none" w:sz="0" w:space="0" w:color="auto"/>
                <w:right w:val="none" w:sz="0" w:space="0" w:color="auto"/>
              </w:divBdr>
            </w:div>
            <w:div w:id="1394043178">
              <w:marLeft w:val="0"/>
              <w:marRight w:val="0"/>
              <w:marTop w:val="0"/>
              <w:marBottom w:val="0"/>
              <w:divBdr>
                <w:top w:val="none" w:sz="0" w:space="0" w:color="auto"/>
                <w:left w:val="none" w:sz="0" w:space="0" w:color="auto"/>
                <w:bottom w:val="none" w:sz="0" w:space="0" w:color="auto"/>
                <w:right w:val="none" w:sz="0" w:space="0" w:color="auto"/>
              </w:divBdr>
            </w:div>
            <w:div w:id="1484394770">
              <w:marLeft w:val="0"/>
              <w:marRight w:val="0"/>
              <w:marTop w:val="0"/>
              <w:marBottom w:val="0"/>
              <w:divBdr>
                <w:top w:val="none" w:sz="0" w:space="0" w:color="auto"/>
                <w:left w:val="none" w:sz="0" w:space="0" w:color="auto"/>
                <w:bottom w:val="none" w:sz="0" w:space="0" w:color="auto"/>
                <w:right w:val="none" w:sz="0" w:space="0" w:color="auto"/>
              </w:divBdr>
            </w:div>
            <w:div w:id="1579899644">
              <w:marLeft w:val="0"/>
              <w:marRight w:val="0"/>
              <w:marTop w:val="0"/>
              <w:marBottom w:val="0"/>
              <w:divBdr>
                <w:top w:val="none" w:sz="0" w:space="0" w:color="auto"/>
                <w:left w:val="none" w:sz="0" w:space="0" w:color="auto"/>
                <w:bottom w:val="none" w:sz="0" w:space="0" w:color="auto"/>
                <w:right w:val="none" w:sz="0" w:space="0" w:color="auto"/>
              </w:divBdr>
            </w:div>
            <w:div w:id="1747070381">
              <w:marLeft w:val="0"/>
              <w:marRight w:val="0"/>
              <w:marTop w:val="0"/>
              <w:marBottom w:val="0"/>
              <w:divBdr>
                <w:top w:val="none" w:sz="0" w:space="0" w:color="auto"/>
                <w:left w:val="none" w:sz="0" w:space="0" w:color="auto"/>
                <w:bottom w:val="none" w:sz="0" w:space="0" w:color="auto"/>
                <w:right w:val="none" w:sz="0" w:space="0" w:color="auto"/>
              </w:divBdr>
            </w:div>
            <w:div w:id="1935242683">
              <w:marLeft w:val="0"/>
              <w:marRight w:val="0"/>
              <w:marTop w:val="0"/>
              <w:marBottom w:val="0"/>
              <w:divBdr>
                <w:top w:val="none" w:sz="0" w:space="0" w:color="auto"/>
                <w:left w:val="none" w:sz="0" w:space="0" w:color="auto"/>
                <w:bottom w:val="none" w:sz="0" w:space="0" w:color="auto"/>
                <w:right w:val="none" w:sz="0" w:space="0" w:color="auto"/>
              </w:divBdr>
            </w:div>
            <w:div w:id="2067875770">
              <w:marLeft w:val="0"/>
              <w:marRight w:val="0"/>
              <w:marTop w:val="0"/>
              <w:marBottom w:val="0"/>
              <w:divBdr>
                <w:top w:val="none" w:sz="0" w:space="0" w:color="auto"/>
                <w:left w:val="none" w:sz="0" w:space="0" w:color="auto"/>
                <w:bottom w:val="none" w:sz="0" w:space="0" w:color="auto"/>
                <w:right w:val="none" w:sz="0" w:space="0" w:color="auto"/>
              </w:divBdr>
            </w:div>
            <w:div w:id="2095011766">
              <w:marLeft w:val="0"/>
              <w:marRight w:val="0"/>
              <w:marTop w:val="0"/>
              <w:marBottom w:val="0"/>
              <w:divBdr>
                <w:top w:val="none" w:sz="0" w:space="0" w:color="auto"/>
                <w:left w:val="none" w:sz="0" w:space="0" w:color="auto"/>
                <w:bottom w:val="none" w:sz="0" w:space="0" w:color="auto"/>
                <w:right w:val="none" w:sz="0" w:space="0" w:color="auto"/>
              </w:divBdr>
            </w:div>
          </w:divsChild>
        </w:div>
        <w:div w:id="1014839620">
          <w:marLeft w:val="0"/>
          <w:marRight w:val="0"/>
          <w:marTop w:val="0"/>
          <w:marBottom w:val="0"/>
          <w:divBdr>
            <w:top w:val="none" w:sz="0" w:space="0" w:color="auto"/>
            <w:left w:val="none" w:sz="0" w:space="0" w:color="auto"/>
            <w:bottom w:val="none" w:sz="0" w:space="0" w:color="auto"/>
            <w:right w:val="none" w:sz="0" w:space="0" w:color="auto"/>
          </w:divBdr>
          <w:divsChild>
            <w:div w:id="61148918">
              <w:marLeft w:val="0"/>
              <w:marRight w:val="0"/>
              <w:marTop w:val="0"/>
              <w:marBottom w:val="0"/>
              <w:divBdr>
                <w:top w:val="none" w:sz="0" w:space="0" w:color="auto"/>
                <w:left w:val="none" w:sz="0" w:space="0" w:color="auto"/>
                <w:bottom w:val="none" w:sz="0" w:space="0" w:color="auto"/>
                <w:right w:val="none" w:sz="0" w:space="0" w:color="auto"/>
              </w:divBdr>
            </w:div>
            <w:div w:id="152185675">
              <w:marLeft w:val="0"/>
              <w:marRight w:val="0"/>
              <w:marTop w:val="0"/>
              <w:marBottom w:val="0"/>
              <w:divBdr>
                <w:top w:val="none" w:sz="0" w:space="0" w:color="auto"/>
                <w:left w:val="none" w:sz="0" w:space="0" w:color="auto"/>
                <w:bottom w:val="none" w:sz="0" w:space="0" w:color="auto"/>
                <w:right w:val="none" w:sz="0" w:space="0" w:color="auto"/>
              </w:divBdr>
            </w:div>
            <w:div w:id="287902277">
              <w:marLeft w:val="0"/>
              <w:marRight w:val="0"/>
              <w:marTop w:val="0"/>
              <w:marBottom w:val="0"/>
              <w:divBdr>
                <w:top w:val="none" w:sz="0" w:space="0" w:color="auto"/>
                <w:left w:val="none" w:sz="0" w:space="0" w:color="auto"/>
                <w:bottom w:val="none" w:sz="0" w:space="0" w:color="auto"/>
                <w:right w:val="none" w:sz="0" w:space="0" w:color="auto"/>
              </w:divBdr>
            </w:div>
            <w:div w:id="340087057">
              <w:marLeft w:val="0"/>
              <w:marRight w:val="0"/>
              <w:marTop w:val="0"/>
              <w:marBottom w:val="0"/>
              <w:divBdr>
                <w:top w:val="none" w:sz="0" w:space="0" w:color="auto"/>
                <w:left w:val="none" w:sz="0" w:space="0" w:color="auto"/>
                <w:bottom w:val="none" w:sz="0" w:space="0" w:color="auto"/>
                <w:right w:val="none" w:sz="0" w:space="0" w:color="auto"/>
              </w:divBdr>
            </w:div>
            <w:div w:id="722413187">
              <w:marLeft w:val="0"/>
              <w:marRight w:val="0"/>
              <w:marTop w:val="0"/>
              <w:marBottom w:val="0"/>
              <w:divBdr>
                <w:top w:val="none" w:sz="0" w:space="0" w:color="auto"/>
                <w:left w:val="none" w:sz="0" w:space="0" w:color="auto"/>
                <w:bottom w:val="none" w:sz="0" w:space="0" w:color="auto"/>
                <w:right w:val="none" w:sz="0" w:space="0" w:color="auto"/>
              </w:divBdr>
            </w:div>
            <w:div w:id="738744429">
              <w:marLeft w:val="0"/>
              <w:marRight w:val="0"/>
              <w:marTop w:val="0"/>
              <w:marBottom w:val="0"/>
              <w:divBdr>
                <w:top w:val="none" w:sz="0" w:space="0" w:color="auto"/>
                <w:left w:val="none" w:sz="0" w:space="0" w:color="auto"/>
                <w:bottom w:val="none" w:sz="0" w:space="0" w:color="auto"/>
                <w:right w:val="none" w:sz="0" w:space="0" w:color="auto"/>
              </w:divBdr>
            </w:div>
            <w:div w:id="868491202">
              <w:marLeft w:val="0"/>
              <w:marRight w:val="0"/>
              <w:marTop w:val="0"/>
              <w:marBottom w:val="0"/>
              <w:divBdr>
                <w:top w:val="none" w:sz="0" w:space="0" w:color="auto"/>
                <w:left w:val="none" w:sz="0" w:space="0" w:color="auto"/>
                <w:bottom w:val="none" w:sz="0" w:space="0" w:color="auto"/>
                <w:right w:val="none" w:sz="0" w:space="0" w:color="auto"/>
              </w:divBdr>
            </w:div>
            <w:div w:id="899706979">
              <w:marLeft w:val="0"/>
              <w:marRight w:val="0"/>
              <w:marTop w:val="0"/>
              <w:marBottom w:val="0"/>
              <w:divBdr>
                <w:top w:val="none" w:sz="0" w:space="0" w:color="auto"/>
                <w:left w:val="none" w:sz="0" w:space="0" w:color="auto"/>
                <w:bottom w:val="none" w:sz="0" w:space="0" w:color="auto"/>
                <w:right w:val="none" w:sz="0" w:space="0" w:color="auto"/>
              </w:divBdr>
            </w:div>
            <w:div w:id="998465741">
              <w:marLeft w:val="0"/>
              <w:marRight w:val="0"/>
              <w:marTop w:val="0"/>
              <w:marBottom w:val="0"/>
              <w:divBdr>
                <w:top w:val="none" w:sz="0" w:space="0" w:color="auto"/>
                <w:left w:val="none" w:sz="0" w:space="0" w:color="auto"/>
                <w:bottom w:val="none" w:sz="0" w:space="0" w:color="auto"/>
                <w:right w:val="none" w:sz="0" w:space="0" w:color="auto"/>
              </w:divBdr>
            </w:div>
            <w:div w:id="1028414656">
              <w:marLeft w:val="0"/>
              <w:marRight w:val="0"/>
              <w:marTop w:val="0"/>
              <w:marBottom w:val="0"/>
              <w:divBdr>
                <w:top w:val="none" w:sz="0" w:space="0" w:color="auto"/>
                <w:left w:val="none" w:sz="0" w:space="0" w:color="auto"/>
                <w:bottom w:val="none" w:sz="0" w:space="0" w:color="auto"/>
                <w:right w:val="none" w:sz="0" w:space="0" w:color="auto"/>
              </w:divBdr>
            </w:div>
            <w:div w:id="1065953790">
              <w:marLeft w:val="0"/>
              <w:marRight w:val="0"/>
              <w:marTop w:val="0"/>
              <w:marBottom w:val="0"/>
              <w:divBdr>
                <w:top w:val="none" w:sz="0" w:space="0" w:color="auto"/>
                <w:left w:val="none" w:sz="0" w:space="0" w:color="auto"/>
                <w:bottom w:val="none" w:sz="0" w:space="0" w:color="auto"/>
                <w:right w:val="none" w:sz="0" w:space="0" w:color="auto"/>
              </w:divBdr>
            </w:div>
            <w:div w:id="1159880567">
              <w:marLeft w:val="0"/>
              <w:marRight w:val="0"/>
              <w:marTop w:val="0"/>
              <w:marBottom w:val="0"/>
              <w:divBdr>
                <w:top w:val="none" w:sz="0" w:space="0" w:color="auto"/>
                <w:left w:val="none" w:sz="0" w:space="0" w:color="auto"/>
                <w:bottom w:val="none" w:sz="0" w:space="0" w:color="auto"/>
                <w:right w:val="none" w:sz="0" w:space="0" w:color="auto"/>
              </w:divBdr>
            </w:div>
            <w:div w:id="1181551842">
              <w:marLeft w:val="0"/>
              <w:marRight w:val="0"/>
              <w:marTop w:val="0"/>
              <w:marBottom w:val="0"/>
              <w:divBdr>
                <w:top w:val="none" w:sz="0" w:space="0" w:color="auto"/>
                <w:left w:val="none" w:sz="0" w:space="0" w:color="auto"/>
                <w:bottom w:val="none" w:sz="0" w:space="0" w:color="auto"/>
                <w:right w:val="none" w:sz="0" w:space="0" w:color="auto"/>
              </w:divBdr>
            </w:div>
            <w:div w:id="1197818556">
              <w:marLeft w:val="0"/>
              <w:marRight w:val="0"/>
              <w:marTop w:val="0"/>
              <w:marBottom w:val="0"/>
              <w:divBdr>
                <w:top w:val="none" w:sz="0" w:space="0" w:color="auto"/>
                <w:left w:val="none" w:sz="0" w:space="0" w:color="auto"/>
                <w:bottom w:val="none" w:sz="0" w:space="0" w:color="auto"/>
                <w:right w:val="none" w:sz="0" w:space="0" w:color="auto"/>
              </w:divBdr>
            </w:div>
            <w:div w:id="1472560182">
              <w:marLeft w:val="0"/>
              <w:marRight w:val="0"/>
              <w:marTop w:val="0"/>
              <w:marBottom w:val="0"/>
              <w:divBdr>
                <w:top w:val="none" w:sz="0" w:space="0" w:color="auto"/>
                <w:left w:val="none" w:sz="0" w:space="0" w:color="auto"/>
                <w:bottom w:val="none" w:sz="0" w:space="0" w:color="auto"/>
                <w:right w:val="none" w:sz="0" w:space="0" w:color="auto"/>
              </w:divBdr>
            </w:div>
            <w:div w:id="1541473206">
              <w:marLeft w:val="0"/>
              <w:marRight w:val="0"/>
              <w:marTop w:val="0"/>
              <w:marBottom w:val="0"/>
              <w:divBdr>
                <w:top w:val="none" w:sz="0" w:space="0" w:color="auto"/>
                <w:left w:val="none" w:sz="0" w:space="0" w:color="auto"/>
                <w:bottom w:val="none" w:sz="0" w:space="0" w:color="auto"/>
                <w:right w:val="none" w:sz="0" w:space="0" w:color="auto"/>
              </w:divBdr>
            </w:div>
            <w:div w:id="1828474784">
              <w:marLeft w:val="0"/>
              <w:marRight w:val="0"/>
              <w:marTop w:val="0"/>
              <w:marBottom w:val="0"/>
              <w:divBdr>
                <w:top w:val="none" w:sz="0" w:space="0" w:color="auto"/>
                <w:left w:val="none" w:sz="0" w:space="0" w:color="auto"/>
                <w:bottom w:val="none" w:sz="0" w:space="0" w:color="auto"/>
                <w:right w:val="none" w:sz="0" w:space="0" w:color="auto"/>
              </w:divBdr>
            </w:div>
            <w:div w:id="2009865286">
              <w:marLeft w:val="0"/>
              <w:marRight w:val="0"/>
              <w:marTop w:val="0"/>
              <w:marBottom w:val="0"/>
              <w:divBdr>
                <w:top w:val="none" w:sz="0" w:space="0" w:color="auto"/>
                <w:left w:val="none" w:sz="0" w:space="0" w:color="auto"/>
                <w:bottom w:val="none" w:sz="0" w:space="0" w:color="auto"/>
                <w:right w:val="none" w:sz="0" w:space="0" w:color="auto"/>
              </w:divBdr>
            </w:div>
            <w:div w:id="2032684652">
              <w:marLeft w:val="0"/>
              <w:marRight w:val="0"/>
              <w:marTop w:val="0"/>
              <w:marBottom w:val="0"/>
              <w:divBdr>
                <w:top w:val="none" w:sz="0" w:space="0" w:color="auto"/>
                <w:left w:val="none" w:sz="0" w:space="0" w:color="auto"/>
                <w:bottom w:val="none" w:sz="0" w:space="0" w:color="auto"/>
                <w:right w:val="none" w:sz="0" w:space="0" w:color="auto"/>
              </w:divBdr>
            </w:div>
            <w:div w:id="212942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0156">
      <w:bodyDiv w:val="1"/>
      <w:marLeft w:val="0"/>
      <w:marRight w:val="0"/>
      <w:marTop w:val="0"/>
      <w:marBottom w:val="0"/>
      <w:divBdr>
        <w:top w:val="none" w:sz="0" w:space="0" w:color="auto"/>
        <w:left w:val="none" w:sz="0" w:space="0" w:color="auto"/>
        <w:bottom w:val="none" w:sz="0" w:space="0" w:color="auto"/>
        <w:right w:val="none" w:sz="0" w:space="0" w:color="auto"/>
      </w:divBdr>
      <w:divsChild>
        <w:div w:id="237060037">
          <w:marLeft w:val="0"/>
          <w:marRight w:val="0"/>
          <w:marTop w:val="0"/>
          <w:marBottom w:val="0"/>
          <w:divBdr>
            <w:top w:val="none" w:sz="0" w:space="0" w:color="auto"/>
            <w:left w:val="none" w:sz="0" w:space="0" w:color="auto"/>
            <w:bottom w:val="none" w:sz="0" w:space="0" w:color="auto"/>
            <w:right w:val="none" w:sz="0" w:space="0" w:color="auto"/>
          </w:divBdr>
          <w:divsChild>
            <w:div w:id="303043876">
              <w:marLeft w:val="0"/>
              <w:marRight w:val="0"/>
              <w:marTop w:val="0"/>
              <w:marBottom w:val="0"/>
              <w:divBdr>
                <w:top w:val="none" w:sz="0" w:space="0" w:color="auto"/>
                <w:left w:val="none" w:sz="0" w:space="0" w:color="auto"/>
                <w:bottom w:val="none" w:sz="0" w:space="0" w:color="auto"/>
                <w:right w:val="none" w:sz="0" w:space="0" w:color="auto"/>
              </w:divBdr>
            </w:div>
          </w:divsChild>
        </w:div>
        <w:div w:id="315957411">
          <w:marLeft w:val="0"/>
          <w:marRight w:val="0"/>
          <w:marTop w:val="0"/>
          <w:marBottom w:val="0"/>
          <w:divBdr>
            <w:top w:val="none" w:sz="0" w:space="0" w:color="auto"/>
            <w:left w:val="none" w:sz="0" w:space="0" w:color="auto"/>
            <w:bottom w:val="none" w:sz="0" w:space="0" w:color="auto"/>
            <w:right w:val="none" w:sz="0" w:space="0" w:color="auto"/>
          </w:divBdr>
          <w:divsChild>
            <w:div w:id="1432778334">
              <w:marLeft w:val="0"/>
              <w:marRight w:val="0"/>
              <w:marTop w:val="0"/>
              <w:marBottom w:val="0"/>
              <w:divBdr>
                <w:top w:val="none" w:sz="0" w:space="0" w:color="auto"/>
                <w:left w:val="none" w:sz="0" w:space="0" w:color="auto"/>
                <w:bottom w:val="none" w:sz="0" w:space="0" w:color="auto"/>
                <w:right w:val="none" w:sz="0" w:space="0" w:color="auto"/>
              </w:divBdr>
            </w:div>
          </w:divsChild>
        </w:div>
        <w:div w:id="358745498">
          <w:marLeft w:val="0"/>
          <w:marRight w:val="0"/>
          <w:marTop w:val="0"/>
          <w:marBottom w:val="0"/>
          <w:divBdr>
            <w:top w:val="none" w:sz="0" w:space="0" w:color="auto"/>
            <w:left w:val="none" w:sz="0" w:space="0" w:color="auto"/>
            <w:bottom w:val="none" w:sz="0" w:space="0" w:color="auto"/>
            <w:right w:val="none" w:sz="0" w:space="0" w:color="auto"/>
          </w:divBdr>
          <w:divsChild>
            <w:div w:id="152263080">
              <w:marLeft w:val="0"/>
              <w:marRight w:val="0"/>
              <w:marTop w:val="0"/>
              <w:marBottom w:val="0"/>
              <w:divBdr>
                <w:top w:val="none" w:sz="0" w:space="0" w:color="auto"/>
                <w:left w:val="none" w:sz="0" w:space="0" w:color="auto"/>
                <w:bottom w:val="none" w:sz="0" w:space="0" w:color="auto"/>
                <w:right w:val="none" w:sz="0" w:space="0" w:color="auto"/>
              </w:divBdr>
            </w:div>
          </w:divsChild>
        </w:div>
        <w:div w:id="375663334">
          <w:marLeft w:val="0"/>
          <w:marRight w:val="0"/>
          <w:marTop w:val="0"/>
          <w:marBottom w:val="0"/>
          <w:divBdr>
            <w:top w:val="none" w:sz="0" w:space="0" w:color="auto"/>
            <w:left w:val="none" w:sz="0" w:space="0" w:color="auto"/>
            <w:bottom w:val="none" w:sz="0" w:space="0" w:color="auto"/>
            <w:right w:val="none" w:sz="0" w:space="0" w:color="auto"/>
          </w:divBdr>
          <w:divsChild>
            <w:div w:id="1418672898">
              <w:marLeft w:val="0"/>
              <w:marRight w:val="0"/>
              <w:marTop w:val="0"/>
              <w:marBottom w:val="0"/>
              <w:divBdr>
                <w:top w:val="none" w:sz="0" w:space="0" w:color="auto"/>
                <w:left w:val="none" w:sz="0" w:space="0" w:color="auto"/>
                <w:bottom w:val="none" w:sz="0" w:space="0" w:color="auto"/>
                <w:right w:val="none" w:sz="0" w:space="0" w:color="auto"/>
              </w:divBdr>
            </w:div>
            <w:div w:id="1627740967">
              <w:marLeft w:val="0"/>
              <w:marRight w:val="0"/>
              <w:marTop w:val="0"/>
              <w:marBottom w:val="0"/>
              <w:divBdr>
                <w:top w:val="none" w:sz="0" w:space="0" w:color="auto"/>
                <w:left w:val="none" w:sz="0" w:space="0" w:color="auto"/>
                <w:bottom w:val="none" w:sz="0" w:space="0" w:color="auto"/>
                <w:right w:val="none" w:sz="0" w:space="0" w:color="auto"/>
              </w:divBdr>
            </w:div>
          </w:divsChild>
        </w:div>
        <w:div w:id="475802349">
          <w:marLeft w:val="0"/>
          <w:marRight w:val="0"/>
          <w:marTop w:val="0"/>
          <w:marBottom w:val="0"/>
          <w:divBdr>
            <w:top w:val="none" w:sz="0" w:space="0" w:color="auto"/>
            <w:left w:val="none" w:sz="0" w:space="0" w:color="auto"/>
            <w:bottom w:val="none" w:sz="0" w:space="0" w:color="auto"/>
            <w:right w:val="none" w:sz="0" w:space="0" w:color="auto"/>
          </w:divBdr>
          <w:divsChild>
            <w:div w:id="751004821">
              <w:marLeft w:val="0"/>
              <w:marRight w:val="0"/>
              <w:marTop w:val="0"/>
              <w:marBottom w:val="0"/>
              <w:divBdr>
                <w:top w:val="none" w:sz="0" w:space="0" w:color="auto"/>
                <w:left w:val="none" w:sz="0" w:space="0" w:color="auto"/>
                <w:bottom w:val="none" w:sz="0" w:space="0" w:color="auto"/>
                <w:right w:val="none" w:sz="0" w:space="0" w:color="auto"/>
              </w:divBdr>
            </w:div>
            <w:div w:id="1017732253">
              <w:marLeft w:val="0"/>
              <w:marRight w:val="0"/>
              <w:marTop w:val="0"/>
              <w:marBottom w:val="0"/>
              <w:divBdr>
                <w:top w:val="none" w:sz="0" w:space="0" w:color="auto"/>
                <w:left w:val="none" w:sz="0" w:space="0" w:color="auto"/>
                <w:bottom w:val="none" w:sz="0" w:space="0" w:color="auto"/>
                <w:right w:val="none" w:sz="0" w:space="0" w:color="auto"/>
              </w:divBdr>
            </w:div>
          </w:divsChild>
        </w:div>
        <w:div w:id="479886737">
          <w:marLeft w:val="0"/>
          <w:marRight w:val="0"/>
          <w:marTop w:val="0"/>
          <w:marBottom w:val="0"/>
          <w:divBdr>
            <w:top w:val="none" w:sz="0" w:space="0" w:color="auto"/>
            <w:left w:val="none" w:sz="0" w:space="0" w:color="auto"/>
            <w:bottom w:val="none" w:sz="0" w:space="0" w:color="auto"/>
            <w:right w:val="none" w:sz="0" w:space="0" w:color="auto"/>
          </w:divBdr>
          <w:divsChild>
            <w:div w:id="1632632891">
              <w:marLeft w:val="0"/>
              <w:marRight w:val="0"/>
              <w:marTop w:val="0"/>
              <w:marBottom w:val="0"/>
              <w:divBdr>
                <w:top w:val="none" w:sz="0" w:space="0" w:color="auto"/>
                <w:left w:val="none" w:sz="0" w:space="0" w:color="auto"/>
                <w:bottom w:val="none" w:sz="0" w:space="0" w:color="auto"/>
                <w:right w:val="none" w:sz="0" w:space="0" w:color="auto"/>
              </w:divBdr>
            </w:div>
            <w:div w:id="1739470959">
              <w:marLeft w:val="0"/>
              <w:marRight w:val="0"/>
              <w:marTop w:val="0"/>
              <w:marBottom w:val="0"/>
              <w:divBdr>
                <w:top w:val="none" w:sz="0" w:space="0" w:color="auto"/>
                <w:left w:val="none" w:sz="0" w:space="0" w:color="auto"/>
                <w:bottom w:val="none" w:sz="0" w:space="0" w:color="auto"/>
                <w:right w:val="none" w:sz="0" w:space="0" w:color="auto"/>
              </w:divBdr>
            </w:div>
          </w:divsChild>
        </w:div>
        <w:div w:id="481896636">
          <w:marLeft w:val="0"/>
          <w:marRight w:val="0"/>
          <w:marTop w:val="0"/>
          <w:marBottom w:val="0"/>
          <w:divBdr>
            <w:top w:val="none" w:sz="0" w:space="0" w:color="auto"/>
            <w:left w:val="none" w:sz="0" w:space="0" w:color="auto"/>
            <w:bottom w:val="none" w:sz="0" w:space="0" w:color="auto"/>
            <w:right w:val="none" w:sz="0" w:space="0" w:color="auto"/>
          </w:divBdr>
          <w:divsChild>
            <w:div w:id="109017321">
              <w:marLeft w:val="0"/>
              <w:marRight w:val="0"/>
              <w:marTop w:val="0"/>
              <w:marBottom w:val="0"/>
              <w:divBdr>
                <w:top w:val="none" w:sz="0" w:space="0" w:color="auto"/>
                <w:left w:val="none" w:sz="0" w:space="0" w:color="auto"/>
                <w:bottom w:val="none" w:sz="0" w:space="0" w:color="auto"/>
                <w:right w:val="none" w:sz="0" w:space="0" w:color="auto"/>
              </w:divBdr>
            </w:div>
          </w:divsChild>
        </w:div>
        <w:div w:id="491719375">
          <w:marLeft w:val="0"/>
          <w:marRight w:val="0"/>
          <w:marTop w:val="0"/>
          <w:marBottom w:val="0"/>
          <w:divBdr>
            <w:top w:val="none" w:sz="0" w:space="0" w:color="auto"/>
            <w:left w:val="none" w:sz="0" w:space="0" w:color="auto"/>
            <w:bottom w:val="none" w:sz="0" w:space="0" w:color="auto"/>
            <w:right w:val="none" w:sz="0" w:space="0" w:color="auto"/>
          </w:divBdr>
          <w:divsChild>
            <w:div w:id="88619978">
              <w:marLeft w:val="0"/>
              <w:marRight w:val="0"/>
              <w:marTop w:val="0"/>
              <w:marBottom w:val="0"/>
              <w:divBdr>
                <w:top w:val="none" w:sz="0" w:space="0" w:color="auto"/>
                <w:left w:val="none" w:sz="0" w:space="0" w:color="auto"/>
                <w:bottom w:val="none" w:sz="0" w:space="0" w:color="auto"/>
                <w:right w:val="none" w:sz="0" w:space="0" w:color="auto"/>
              </w:divBdr>
            </w:div>
            <w:div w:id="1054349545">
              <w:marLeft w:val="0"/>
              <w:marRight w:val="0"/>
              <w:marTop w:val="0"/>
              <w:marBottom w:val="0"/>
              <w:divBdr>
                <w:top w:val="none" w:sz="0" w:space="0" w:color="auto"/>
                <w:left w:val="none" w:sz="0" w:space="0" w:color="auto"/>
                <w:bottom w:val="none" w:sz="0" w:space="0" w:color="auto"/>
                <w:right w:val="none" w:sz="0" w:space="0" w:color="auto"/>
              </w:divBdr>
            </w:div>
            <w:div w:id="1130051378">
              <w:marLeft w:val="0"/>
              <w:marRight w:val="0"/>
              <w:marTop w:val="0"/>
              <w:marBottom w:val="0"/>
              <w:divBdr>
                <w:top w:val="none" w:sz="0" w:space="0" w:color="auto"/>
                <w:left w:val="none" w:sz="0" w:space="0" w:color="auto"/>
                <w:bottom w:val="none" w:sz="0" w:space="0" w:color="auto"/>
                <w:right w:val="none" w:sz="0" w:space="0" w:color="auto"/>
              </w:divBdr>
            </w:div>
            <w:div w:id="1834905655">
              <w:marLeft w:val="0"/>
              <w:marRight w:val="0"/>
              <w:marTop w:val="0"/>
              <w:marBottom w:val="0"/>
              <w:divBdr>
                <w:top w:val="none" w:sz="0" w:space="0" w:color="auto"/>
                <w:left w:val="none" w:sz="0" w:space="0" w:color="auto"/>
                <w:bottom w:val="none" w:sz="0" w:space="0" w:color="auto"/>
                <w:right w:val="none" w:sz="0" w:space="0" w:color="auto"/>
              </w:divBdr>
            </w:div>
          </w:divsChild>
        </w:div>
        <w:div w:id="595749478">
          <w:marLeft w:val="0"/>
          <w:marRight w:val="0"/>
          <w:marTop w:val="0"/>
          <w:marBottom w:val="0"/>
          <w:divBdr>
            <w:top w:val="none" w:sz="0" w:space="0" w:color="auto"/>
            <w:left w:val="none" w:sz="0" w:space="0" w:color="auto"/>
            <w:bottom w:val="none" w:sz="0" w:space="0" w:color="auto"/>
            <w:right w:val="none" w:sz="0" w:space="0" w:color="auto"/>
          </w:divBdr>
          <w:divsChild>
            <w:div w:id="1521043869">
              <w:marLeft w:val="0"/>
              <w:marRight w:val="0"/>
              <w:marTop w:val="0"/>
              <w:marBottom w:val="0"/>
              <w:divBdr>
                <w:top w:val="none" w:sz="0" w:space="0" w:color="auto"/>
                <w:left w:val="none" w:sz="0" w:space="0" w:color="auto"/>
                <w:bottom w:val="none" w:sz="0" w:space="0" w:color="auto"/>
                <w:right w:val="none" w:sz="0" w:space="0" w:color="auto"/>
              </w:divBdr>
            </w:div>
            <w:div w:id="1762942821">
              <w:marLeft w:val="0"/>
              <w:marRight w:val="0"/>
              <w:marTop w:val="0"/>
              <w:marBottom w:val="0"/>
              <w:divBdr>
                <w:top w:val="none" w:sz="0" w:space="0" w:color="auto"/>
                <w:left w:val="none" w:sz="0" w:space="0" w:color="auto"/>
                <w:bottom w:val="none" w:sz="0" w:space="0" w:color="auto"/>
                <w:right w:val="none" w:sz="0" w:space="0" w:color="auto"/>
              </w:divBdr>
            </w:div>
          </w:divsChild>
        </w:div>
        <w:div w:id="622468429">
          <w:marLeft w:val="0"/>
          <w:marRight w:val="0"/>
          <w:marTop w:val="0"/>
          <w:marBottom w:val="0"/>
          <w:divBdr>
            <w:top w:val="none" w:sz="0" w:space="0" w:color="auto"/>
            <w:left w:val="none" w:sz="0" w:space="0" w:color="auto"/>
            <w:bottom w:val="none" w:sz="0" w:space="0" w:color="auto"/>
            <w:right w:val="none" w:sz="0" w:space="0" w:color="auto"/>
          </w:divBdr>
          <w:divsChild>
            <w:div w:id="232010636">
              <w:marLeft w:val="0"/>
              <w:marRight w:val="0"/>
              <w:marTop w:val="0"/>
              <w:marBottom w:val="0"/>
              <w:divBdr>
                <w:top w:val="none" w:sz="0" w:space="0" w:color="auto"/>
                <w:left w:val="none" w:sz="0" w:space="0" w:color="auto"/>
                <w:bottom w:val="none" w:sz="0" w:space="0" w:color="auto"/>
                <w:right w:val="none" w:sz="0" w:space="0" w:color="auto"/>
              </w:divBdr>
            </w:div>
          </w:divsChild>
        </w:div>
        <w:div w:id="631054460">
          <w:marLeft w:val="0"/>
          <w:marRight w:val="0"/>
          <w:marTop w:val="0"/>
          <w:marBottom w:val="0"/>
          <w:divBdr>
            <w:top w:val="none" w:sz="0" w:space="0" w:color="auto"/>
            <w:left w:val="none" w:sz="0" w:space="0" w:color="auto"/>
            <w:bottom w:val="none" w:sz="0" w:space="0" w:color="auto"/>
            <w:right w:val="none" w:sz="0" w:space="0" w:color="auto"/>
          </w:divBdr>
          <w:divsChild>
            <w:div w:id="885140117">
              <w:marLeft w:val="0"/>
              <w:marRight w:val="0"/>
              <w:marTop w:val="0"/>
              <w:marBottom w:val="0"/>
              <w:divBdr>
                <w:top w:val="none" w:sz="0" w:space="0" w:color="auto"/>
                <w:left w:val="none" w:sz="0" w:space="0" w:color="auto"/>
                <w:bottom w:val="none" w:sz="0" w:space="0" w:color="auto"/>
                <w:right w:val="none" w:sz="0" w:space="0" w:color="auto"/>
              </w:divBdr>
            </w:div>
          </w:divsChild>
        </w:div>
        <w:div w:id="657615042">
          <w:marLeft w:val="0"/>
          <w:marRight w:val="0"/>
          <w:marTop w:val="0"/>
          <w:marBottom w:val="0"/>
          <w:divBdr>
            <w:top w:val="none" w:sz="0" w:space="0" w:color="auto"/>
            <w:left w:val="none" w:sz="0" w:space="0" w:color="auto"/>
            <w:bottom w:val="none" w:sz="0" w:space="0" w:color="auto"/>
            <w:right w:val="none" w:sz="0" w:space="0" w:color="auto"/>
          </w:divBdr>
          <w:divsChild>
            <w:div w:id="1044065898">
              <w:marLeft w:val="0"/>
              <w:marRight w:val="0"/>
              <w:marTop w:val="0"/>
              <w:marBottom w:val="0"/>
              <w:divBdr>
                <w:top w:val="none" w:sz="0" w:space="0" w:color="auto"/>
                <w:left w:val="none" w:sz="0" w:space="0" w:color="auto"/>
                <w:bottom w:val="none" w:sz="0" w:space="0" w:color="auto"/>
                <w:right w:val="none" w:sz="0" w:space="0" w:color="auto"/>
              </w:divBdr>
            </w:div>
          </w:divsChild>
        </w:div>
        <w:div w:id="736391908">
          <w:marLeft w:val="0"/>
          <w:marRight w:val="0"/>
          <w:marTop w:val="0"/>
          <w:marBottom w:val="0"/>
          <w:divBdr>
            <w:top w:val="none" w:sz="0" w:space="0" w:color="auto"/>
            <w:left w:val="none" w:sz="0" w:space="0" w:color="auto"/>
            <w:bottom w:val="none" w:sz="0" w:space="0" w:color="auto"/>
            <w:right w:val="none" w:sz="0" w:space="0" w:color="auto"/>
          </w:divBdr>
          <w:divsChild>
            <w:div w:id="1050688367">
              <w:marLeft w:val="0"/>
              <w:marRight w:val="0"/>
              <w:marTop w:val="0"/>
              <w:marBottom w:val="0"/>
              <w:divBdr>
                <w:top w:val="none" w:sz="0" w:space="0" w:color="auto"/>
                <w:left w:val="none" w:sz="0" w:space="0" w:color="auto"/>
                <w:bottom w:val="none" w:sz="0" w:space="0" w:color="auto"/>
                <w:right w:val="none" w:sz="0" w:space="0" w:color="auto"/>
              </w:divBdr>
            </w:div>
          </w:divsChild>
        </w:div>
        <w:div w:id="792330746">
          <w:marLeft w:val="0"/>
          <w:marRight w:val="0"/>
          <w:marTop w:val="0"/>
          <w:marBottom w:val="0"/>
          <w:divBdr>
            <w:top w:val="none" w:sz="0" w:space="0" w:color="auto"/>
            <w:left w:val="none" w:sz="0" w:space="0" w:color="auto"/>
            <w:bottom w:val="none" w:sz="0" w:space="0" w:color="auto"/>
            <w:right w:val="none" w:sz="0" w:space="0" w:color="auto"/>
          </w:divBdr>
          <w:divsChild>
            <w:div w:id="799415886">
              <w:marLeft w:val="0"/>
              <w:marRight w:val="0"/>
              <w:marTop w:val="0"/>
              <w:marBottom w:val="0"/>
              <w:divBdr>
                <w:top w:val="none" w:sz="0" w:space="0" w:color="auto"/>
                <w:left w:val="none" w:sz="0" w:space="0" w:color="auto"/>
                <w:bottom w:val="none" w:sz="0" w:space="0" w:color="auto"/>
                <w:right w:val="none" w:sz="0" w:space="0" w:color="auto"/>
              </w:divBdr>
            </w:div>
          </w:divsChild>
        </w:div>
        <w:div w:id="801536316">
          <w:marLeft w:val="0"/>
          <w:marRight w:val="0"/>
          <w:marTop w:val="0"/>
          <w:marBottom w:val="0"/>
          <w:divBdr>
            <w:top w:val="none" w:sz="0" w:space="0" w:color="auto"/>
            <w:left w:val="none" w:sz="0" w:space="0" w:color="auto"/>
            <w:bottom w:val="none" w:sz="0" w:space="0" w:color="auto"/>
            <w:right w:val="none" w:sz="0" w:space="0" w:color="auto"/>
          </w:divBdr>
          <w:divsChild>
            <w:div w:id="753666944">
              <w:marLeft w:val="0"/>
              <w:marRight w:val="0"/>
              <w:marTop w:val="0"/>
              <w:marBottom w:val="0"/>
              <w:divBdr>
                <w:top w:val="none" w:sz="0" w:space="0" w:color="auto"/>
                <w:left w:val="none" w:sz="0" w:space="0" w:color="auto"/>
                <w:bottom w:val="none" w:sz="0" w:space="0" w:color="auto"/>
                <w:right w:val="none" w:sz="0" w:space="0" w:color="auto"/>
              </w:divBdr>
            </w:div>
            <w:div w:id="1230772660">
              <w:marLeft w:val="0"/>
              <w:marRight w:val="0"/>
              <w:marTop w:val="0"/>
              <w:marBottom w:val="0"/>
              <w:divBdr>
                <w:top w:val="none" w:sz="0" w:space="0" w:color="auto"/>
                <w:left w:val="none" w:sz="0" w:space="0" w:color="auto"/>
                <w:bottom w:val="none" w:sz="0" w:space="0" w:color="auto"/>
                <w:right w:val="none" w:sz="0" w:space="0" w:color="auto"/>
              </w:divBdr>
            </w:div>
          </w:divsChild>
        </w:div>
        <w:div w:id="899054730">
          <w:marLeft w:val="0"/>
          <w:marRight w:val="0"/>
          <w:marTop w:val="0"/>
          <w:marBottom w:val="0"/>
          <w:divBdr>
            <w:top w:val="none" w:sz="0" w:space="0" w:color="auto"/>
            <w:left w:val="none" w:sz="0" w:space="0" w:color="auto"/>
            <w:bottom w:val="none" w:sz="0" w:space="0" w:color="auto"/>
            <w:right w:val="none" w:sz="0" w:space="0" w:color="auto"/>
          </w:divBdr>
          <w:divsChild>
            <w:div w:id="230893382">
              <w:marLeft w:val="0"/>
              <w:marRight w:val="0"/>
              <w:marTop w:val="0"/>
              <w:marBottom w:val="0"/>
              <w:divBdr>
                <w:top w:val="none" w:sz="0" w:space="0" w:color="auto"/>
                <w:left w:val="none" w:sz="0" w:space="0" w:color="auto"/>
                <w:bottom w:val="none" w:sz="0" w:space="0" w:color="auto"/>
                <w:right w:val="none" w:sz="0" w:space="0" w:color="auto"/>
              </w:divBdr>
            </w:div>
            <w:div w:id="321548165">
              <w:marLeft w:val="0"/>
              <w:marRight w:val="0"/>
              <w:marTop w:val="0"/>
              <w:marBottom w:val="0"/>
              <w:divBdr>
                <w:top w:val="none" w:sz="0" w:space="0" w:color="auto"/>
                <w:left w:val="none" w:sz="0" w:space="0" w:color="auto"/>
                <w:bottom w:val="none" w:sz="0" w:space="0" w:color="auto"/>
                <w:right w:val="none" w:sz="0" w:space="0" w:color="auto"/>
              </w:divBdr>
            </w:div>
            <w:div w:id="2014647811">
              <w:marLeft w:val="0"/>
              <w:marRight w:val="0"/>
              <w:marTop w:val="0"/>
              <w:marBottom w:val="0"/>
              <w:divBdr>
                <w:top w:val="none" w:sz="0" w:space="0" w:color="auto"/>
                <w:left w:val="none" w:sz="0" w:space="0" w:color="auto"/>
                <w:bottom w:val="none" w:sz="0" w:space="0" w:color="auto"/>
                <w:right w:val="none" w:sz="0" w:space="0" w:color="auto"/>
              </w:divBdr>
            </w:div>
          </w:divsChild>
        </w:div>
        <w:div w:id="987055299">
          <w:marLeft w:val="0"/>
          <w:marRight w:val="0"/>
          <w:marTop w:val="0"/>
          <w:marBottom w:val="0"/>
          <w:divBdr>
            <w:top w:val="none" w:sz="0" w:space="0" w:color="auto"/>
            <w:left w:val="none" w:sz="0" w:space="0" w:color="auto"/>
            <w:bottom w:val="none" w:sz="0" w:space="0" w:color="auto"/>
            <w:right w:val="none" w:sz="0" w:space="0" w:color="auto"/>
          </w:divBdr>
          <w:divsChild>
            <w:div w:id="1599020015">
              <w:marLeft w:val="0"/>
              <w:marRight w:val="0"/>
              <w:marTop w:val="0"/>
              <w:marBottom w:val="0"/>
              <w:divBdr>
                <w:top w:val="none" w:sz="0" w:space="0" w:color="auto"/>
                <w:left w:val="none" w:sz="0" w:space="0" w:color="auto"/>
                <w:bottom w:val="none" w:sz="0" w:space="0" w:color="auto"/>
                <w:right w:val="none" w:sz="0" w:space="0" w:color="auto"/>
              </w:divBdr>
            </w:div>
          </w:divsChild>
        </w:div>
        <w:div w:id="1013069857">
          <w:marLeft w:val="0"/>
          <w:marRight w:val="0"/>
          <w:marTop w:val="0"/>
          <w:marBottom w:val="0"/>
          <w:divBdr>
            <w:top w:val="none" w:sz="0" w:space="0" w:color="auto"/>
            <w:left w:val="none" w:sz="0" w:space="0" w:color="auto"/>
            <w:bottom w:val="none" w:sz="0" w:space="0" w:color="auto"/>
            <w:right w:val="none" w:sz="0" w:space="0" w:color="auto"/>
          </w:divBdr>
          <w:divsChild>
            <w:div w:id="100229228">
              <w:marLeft w:val="0"/>
              <w:marRight w:val="0"/>
              <w:marTop w:val="0"/>
              <w:marBottom w:val="0"/>
              <w:divBdr>
                <w:top w:val="none" w:sz="0" w:space="0" w:color="auto"/>
                <w:left w:val="none" w:sz="0" w:space="0" w:color="auto"/>
                <w:bottom w:val="none" w:sz="0" w:space="0" w:color="auto"/>
                <w:right w:val="none" w:sz="0" w:space="0" w:color="auto"/>
              </w:divBdr>
            </w:div>
          </w:divsChild>
        </w:div>
        <w:div w:id="1037664034">
          <w:marLeft w:val="0"/>
          <w:marRight w:val="0"/>
          <w:marTop w:val="0"/>
          <w:marBottom w:val="0"/>
          <w:divBdr>
            <w:top w:val="none" w:sz="0" w:space="0" w:color="auto"/>
            <w:left w:val="none" w:sz="0" w:space="0" w:color="auto"/>
            <w:bottom w:val="none" w:sz="0" w:space="0" w:color="auto"/>
            <w:right w:val="none" w:sz="0" w:space="0" w:color="auto"/>
          </w:divBdr>
          <w:divsChild>
            <w:div w:id="1752314695">
              <w:marLeft w:val="0"/>
              <w:marRight w:val="0"/>
              <w:marTop w:val="0"/>
              <w:marBottom w:val="0"/>
              <w:divBdr>
                <w:top w:val="none" w:sz="0" w:space="0" w:color="auto"/>
                <w:left w:val="none" w:sz="0" w:space="0" w:color="auto"/>
                <w:bottom w:val="none" w:sz="0" w:space="0" w:color="auto"/>
                <w:right w:val="none" w:sz="0" w:space="0" w:color="auto"/>
              </w:divBdr>
            </w:div>
          </w:divsChild>
        </w:div>
        <w:div w:id="1108428379">
          <w:marLeft w:val="0"/>
          <w:marRight w:val="0"/>
          <w:marTop w:val="0"/>
          <w:marBottom w:val="0"/>
          <w:divBdr>
            <w:top w:val="none" w:sz="0" w:space="0" w:color="auto"/>
            <w:left w:val="none" w:sz="0" w:space="0" w:color="auto"/>
            <w:bottom w:val="none" w:sz="0" w:space="0" w:color="auto"/>
            <w:right w:val="none" w:sz="0" w:space="0" w:color="auto"/>
          </w:divBdr>
          <w:divsChild>
            <w:div w:id="1380588685">
              <w:marLeft w:val="0"/>
              <w:marRight w:val="0"/>
              <w:marTop w:val="0"/>
              <w:marBottom w:val="0"/>
              <w:divBdr>
                <w:top w:val="none" w:sz="0" w:space="0" w:color="auto"/>
                <w:left w:val="none" w:sz="0" w:space="0" w:color="auto"/>
                <w:bottom w:val="none" w:sz="0" w:space="0" w:color="auto"/>
                <w:right w:val="none" w:sz="0" w:space="0" w:color="auto"/>
              </w:divBdr>
            </w:div>
            <w:div w:id="1741050267">
              <w:marLeft w:val="0"/>
              <w:marRight w:val="0"/>
              <w:marTop w:val="0"/>
              <w:marBottom w:val="0"/>
              <w:divBdr>
                <w:top w:val="none" w:sz="0" w:space="0" w:color="auto"/>
                <w:left w:val="none" w:sz="0" w:space="0" w:color="auto"/>
                <w:bottom w:val="none" w:sz="0" w:space="0" w:color="auto"/>
                <w:right w:val="none" w:sz="0" w:space="0" w:color="auto"/>
              </w:divBdr>
            </w:div>
          </w:divsChild>
        </w:div>
        <w:div w:id="1223371129">
          <w:marLeft w:val="0"/>
          <w:marRight w:val="0"/>
          <w:marTop w:val="0"/>
          <w:marBottom w:val="0"/>
          <w:divBdr>
            <w:top w:val="none" w:sz="0" w:space="0" w:color="auto"/>
            <w:left w:val="none" w:sz="0" w:space="0" w:color="auto"/>
            <w:bottom w:val="none" w:sz="0" w:space="0" w:color="auto"/>
            <w:right w:val="none" w:sz="0" w:space="0" w:color="auto"/>
          </w:divBdr>
          <w:divsChild>
            <w:div w:id="599140627">
              <w:marLeft w:val="0"/>
              <w:marRight w:val="0"/>
              <w:marTop w:val="0"/>
              <w:marBottom w:val="0"/>
              <w:divBdr>
                <w:top w:val="none" w:sz="0" w:space="0" w:color="auto"/>
                <w:left w:val="none" w:sz="0" w:space="0" w:color="auto"/>
                <w:bottom w:val="none" w:sz="0" w:space="0" w:color="auto"/>
                <w:right w:val="none" w:sz="0" w:space="0" w:color="auto"/>
              </w:divBdr>
            </w:div>
          </w:divsChild>
        </w:div>
        <w:div w:id="1272398086">
          <w:marLeft w:val="0"/>
          <w:marRight w:val="0"/>
          <w:marTop w:val="0"/>
          <w:marBottom w:val="0"/>
          <w:divBdr>
            <w:top w:val="none" w:sz="0" w:space="0" w:color="auto"/>
            <w:left w:val="none" w:sz="0" w:space="0" w:color="auto"/>
            <w:bottom w:val="none" w:sz="0" w:space="0" w:color="auto"/>
            <w:right w:val="none" w:sz="0" w:space="0" w:color="auto"/>
          </w:divBdr>
          <w:divsChild>
            <w:div w:id="532771426">
              <w:marLeft w:val="0"/>
              <w:marRight w:val="0"/>
              <w:marTop w:val="0"/>
              <w:marBottom w:val="0"/>
              <w:divBdr>
                <w:top w:val="none" w:sz="0" w:space="0" w:color="auto"/>
                <w:left w:val="none" w:sz="0" w:space="0" w:color="auto"/>
                <w:bottom w:val="none" w:sz="0" w:space="0" w:color="auto"/>
                <w:right w:val="none" w:sz="0" w:space="0" w:color="auto"/>
              </w:divBdr>
            </w:div>
            <w:div w:id="895241355">
              <w:marLeft w:val="0"/>
              <w:marRight w:val="0"/>
              <w:marTop w:val="0"/>
              <w:marBottom w:val="0"/>
              <w:divBdr>
                <w:top w:val="none" w:sz="0" w:space="0" w:color="auto"/>
                <w:left w:val="none" w:sz="0" w:space="0" w:color="auto"/>
                <w:bottom w:val="none" w:sz="0" w:space="0" w:color="auto"/>
                <w:right w:val="none" w:sz="0" w:space="0" w:color="auto"/>
              </w:divBdr>
            </w:div>
          </w:divsChild>
        </w:div>
        <w:div w:id="1294747207">
          <w:marLeft w:val="0"/>
          <w:marRight w:val="0"/>
          <w:marTop w:val="0"/>
          <w:marBottom w:val="0"/>
          <w:divBdr>
            <w:top w:val="none" w:sz="0" w:space="0" w:color="auto"/>
            <w:left w:val="none" w:sz="0" w:space="0" w:color="auto"/>
            <w:bottom w:val="none" w:sz="0" w:space="0" w:color="auto"/>
            <w:right w:val="none" w:sz="0" w:space="0" w:color="auto"/>
          </w:divBdr>
          <w:divsChild>
            <w:div w:id="568464064">
              <w:marLeft w:val="0"/>
              <w:marRight w:val="0"/>
              <w:marTop w:val="0"/>
              <w:marBottom w:val="0"/>
              <w:divBdr>
                <w:top w:val="none" w:sz="0" w:space="0" w:color="auto"/>
                <w:left w:val="none" w:sz="0" w:space="0" w:color="auto"/>
                <w:bottom w:val="none" w:sz="0" w:space="0" w:color="auto"/>
                <w:right w:val="none" w:sz="0" w:space="0" w:color="auto"/>
              </w:divBdr>
            </w:div>
          </w:divsChild>
        </w:div>
        <w:div w:id="1534423397">
          <w:marLeft w:val="0"/>
          <w:marRight w:val="0"/>
          <w:marTop w:val="0"/>
          <w:marBottom w:val="0"/>
          <w:divBdr>
            <w:top w:val="none" w:sz="0" w:space="0" w:color="auto"/>
            <w:left w:val="none" w:sz="0" w:space="0" w:color="auto"/>
            <w:bottom w:val="none" w:sz="0" w:space="0" w:color="auto"/>
            <w:right w:val="none" w:sz="0" w:space="0" w:color="auto"/>
          </w:divBdr>
          <w:divsChild>
            <w:div w:id="105394097">
              <w:marLeft w:val="0"/>
              <w:marRight w:val="0"/>
              <w:marTop w:val="0"/>
              <w:marBottom w:val="0"/>
              <w:divBdr>
                <w:top w:val="none" w:sz="0" w:space="0" w:color="auto"/>
                <w:left w:val="none" w:sz="0" w:space="0" w:color="auto"/>
                <w:bottom w:val="none" w:sz="0" w:space="0" w:color="auto"/>
                <w:right w:val="none" w:sz="0" w:space="0" w:color="auto"/>
              </w:divBdr>
            </w:div>
            <w:div w:id="864946873">
              <w:marLeft w:val="0"/>
              <w:marRight w:val="0"/>
              <w:marTop w:val="0"/>
              <w:marBottom w:val="0"/>
              <w:divBdr>
                <w:top w:val="none" w:sz="0" w:space="0" w:color="auto"/>
                <w:left w:val="none" w:sz="0" w:space="0" w:color="auto"/>
                <w:bottom w:val="none" w:sz="0" w:space="0" w:color="auto"/>
                <w:right w:val="none" w:sz="0" w:space="0" w:color="auto"/>
              </w:divBdr>
            </w:div>
            <w:div w:id="1016345325">
              <w:marLeft w:val="0"/>
              <w:marRight w:val="0"/>
              <w:marTop w:val="0"/>
              <w:marBottom w:val="0"/>
              <w:divBdr>
                <w:top w:val="none" w:sz="0" w:space="0" w:color="auto"/>
                <w:left w:val="none" w:sz="0" w:space="0" w:color="auto"/>
                <w:bottom w:val="none" w:sz="0" w:space="0" w:color="auto"/>
                <w:right w:val="none" w:sz="0" w:space="0" w:color="auto"/>
              </w:divBdr>
            </w:div>
          </w:divsChild>
        </w:div>
        <w:div w:id="1536698838">
          <w:marLeft w:val="0"/>
          <w:marRight w:val="0"/>
          <w:marTop w:val="0"/>
          <w:marBottom w:val="0"/>
          <w:divBdr>
            <w:top w:val="none" w:sz="0" w:space="0" w:color="auto"/>
            <w:left w:val="none" w:sz="0" w:space="0" w:color="auto"/>
            <w:bottom w:val="none" w:sz="0" w:space="0" w:color="auto"/>
            <w:right w:val="none" w:sz="0" w:space="0" w:color="auto"/>
          </w:divBdr>
          <w:divsChild>
            <w:div w:id="385182923">
              <w:marLeft w:val="0"/>
              <w:marRight w:val="0"/>
              <w:marTop w:val="0"/>
              <w:marBottom w:val="0"/>
              <w:divBdr>
                <w:top w:val="none" w:sz="0" w:space="0" w:color="auto"/>
                <w:left w:val="none" w:sz="0" w:space="0" w:color="auto"/>
                <w:bottom w:val="none" w:sz="0" w:space="0" w:color="auto"/>
                <w:right w:val="none" w:sz="0" w:space="0" w:color="auto"/>
              </w:divBdr>
            </w:div>
          </w:divsChild>
        </w:div>
        <w:div w:id="1578589679">
          <w:marLeft w:val="0"/>
          <w:marRight w:val="0"/>
          <w:marTop w:val="0"/>
          <w:marBottom w:val="0"/>
          <w:divBdr>
            <w:top w:val="none" w:sz="0" w:space="0" w:color="auto"/>
            <w:left w:val="none" w:sz="0" w:space="0" w:color="auto"/>
            <w:bottom w:val="none" w:sz="0" w:space="0" w:color="auto"/>
            <w:right w:val="none" w:sz="0" w:space="0" w:color="auto"/>
          </w:divBdr>
          <w:divsChild>
            <w:div w:id="455026950">
              <w:marLeft w:val="0"/>
              <w:marRight w:val="0"/>
              <w:marTop w:val="0"/>
              <w:marBottom w:val="0"/>
              <w:divBdr>
                <w:top w:val="none" w:sz="0" w:space="0" w:color="auto"/>
                <w:left w:val="none" w:sz="0" w:space="0" w:color="auto"/>
                <w:bottom w:val="none" w:sz="0" w:space="0" w:color="auto"/>
                <w:right w:val="none" w:sz="0" w:space="0" w:color="auto"/>
              </w:divBdr>
            </w:div>
            <w:div w:id="1714697883">
              <w:marLeft w:val="0"/>
              <w:marRight w:val="0"/>
              <w:marTop w:val="0"/>
              <w:marBottom w:val="0"/>
              <w:divBdr>
                <w:top w:val="none" w:sz="0" w:space="0" w:color="auto"/>
                <w:left w:val="none" w:sz="0" w:space="0" w:color="auto"/>
                <w:bottom w:val="none" w:sz="0" w:space="0" w:color="auto"/>
                <w:right w:val="none" w:sz="0" w:space="0" w:color="auto"/>
              </w:divBdr>
            </w:div>
            <w:div w:id="1797678168">
              <w:marLeft w:val="0"/>
              <w:marRight w:val="0"/>
              <w:marTop w:val="0"/>
              <w:marBottom w:val="0"/>
              <w:divBdr>
                <w:top w:val="none" w:sz="0" w:space="0" w:color="auto"/>
                <w:left w:val="none" w:sz="0" w:space="0" w:color="auto"/>
                <w:bottom w:val="none" w:sz="0" w:space="0" w:color="auto"/>
                <w:right w:val="none" w:sz="0" w:space="0" w:color="auto"/>
              </w:divBdr>
            </w:div>
          </w:divsChild>
        </w:div>
        <w:div w:id="1645969065">
          <w:marLeft w:val="0"/>
          <w:marRight w:val="0"/>
          <w:marTop w:val="0"/>
          <w:marBottom w:val="0"/>
          <w:divBdr>
            <w:top w:val="none" w:sz="0" w:space="0" w:color="auto"/>
            <w:left w:val="none" w:sz="0" w:space="0" w:color="auto"/>
            <w:bottom w:val="none" w:sz="0" w:space="0" w:color="auto"/>
            <w:right w:val="none" w:sz="0" w:space="0" w:color="auto"/>
          </w:divBdr>
          <w:divsChild>
            <w:div w:id="1370060747">
              <w:marLeft w:val="0"/>
              <w:marRight w:val="0"/>
              <w:marTop w:val="0"/>
              <w:marBottom w:val="0"/>
              <w:divBdr>
                <w:top w:val="none" w:sz="0" w:space="0" w:color="auto"/>
                <w:left w:val="none" w:sz="0" w:space="0" w:color="auto"/>
                <w:bottom w:val="none" w:sz="0" w:space="0" w:color="auto"/>
                <w:right w:val="none" w:sz="0" w:space="0" w:color="auto"/>
              </w:divBdr>
            </w:div>
          </w:divsChild>
        </w:div>
        <w:div w:id="1681927890">
          <w:marLeft w:val="0"/>
          <w:marRight w:val="0"/>
          <w:marTop w:val="0"/>
          <w:marBottom w:val="0"/>
          <w:divBdr>
            <w:top w:val="none" w:sz="0" w:space="0" w:color="auto"/>
            <w:left w:val="none" w:sz="0" w:space="0" w:color="auto"/>
            <w:bottom w:val="none" w:sz="0" w:space="0" w:color="auto"/>
            <w:right w:val="none" w:sz="0" w:space="0" w:color="auto"/>
          </w:divBdr>
          <w:divsChild>
            <w:div w:id="585460018">
              <w:marLeft w:val="0"/>
              <w:marRight w:val="0"/>
              <w:marTop w:val="0"/>
              <w:marBottom w:val="0"/>
              <w:divBdr>
                <w:top w:val="none" w:sz="0" w:space="0" w:color="auto"/>
                <w:left w:val="none" w:sz="0" w:space="0" w:color="auto"/>
                <w:bottom w:val="none" w:sz="0" w:space="0" w:color="auto"/>
                <w:right w:val="none" w:sz="0" w:space="0" w:color="auto"/>
              </w:divBdr>
            </w:div>
            <w:div w:id="932392686">
              <w:marLeft w:val="0"/>
              <w:marRight w:val="0"/>
              <w:marTop w:val="0"/>
              <w:marBottom w:val="0"/>
              <w:divBdr>
                <w:top w:val="none" w:sz="0" w:space="0" w:color="auto"/>
                <w:left w:val="none" w:sz="0" w:space="0" w:color="auto"/>
                <w:bottom w:val="none" w:sz="0" w:space="0" w:color="auto"/>
                <w:right w:val="none" w:sz="0" w:space="0" w:color="auto"/>
              </w:divBdr>
            </w:div>
          </w:divsChild>
        </w:div>
        <w:div w:id="1713263013">
          <w:marLeft w:val="0"/>
          <w:marRight w:val="0"/>
          <w:marTop w:val="0"/>
          <w:marBottom w:val="0"/>
          <w:divBdr>
            <w:top w:val="none" w:sz="0" w:space="0" w:color="auto"/>
            <w:left w:val="none" w:sz="0" w:space="0" w:color="auto"/>
            <w:bottom w:val="none" w:sz="0" w:space="0" w:color="auto"/>
            <w:right w:val="none" w:sz="0" w:space="0" w:color="auto"/>
          </w:divBdr>
          <w:divsChild>
            <w:div w:id="279919980">
              <w:marLeft w:val="0"/>
              <w:marRight w:val="0"/>
              <w:marTop w:val="0"/>
              <w:marBottom w:val="0"/>
              <w:divBdr>
                <w:top w:val="none" w:sz="0" w:space="0" w:color="auto"/>
                <w:left w:val="none" w:sz="0" w:space="0" w:color="auto"/>
                <w:bottom w:val="none" w:sz="0" w:space="0" w:color="auto"/>
                <w:right w:val="none" w:sz="0" w:space="0" w:color="auto"/>
              </w:divBdr>
            </w:div>
          </w:divsChild>
        </w:div>
        <w:div w:id="1733624202">
          <w:marLeft w:val="0"/>
          <w:marRight w:val="0"/>
          <w:marTop w:val="0"/>
          <w:marBottom w:val="0"/>
          <w:divBdr>
            <w:top w:val="none" w:sz="0" w:space="0" w:color="auto"/>
            <w:left w:val="none" w:sz="0" w:space="0" w:color="auto"/>
            <w:bottom w:val="none" w:sz="0" w:space="0" w:color="auto"/>
            <w:right w:val="none" w:sz="0" w:space="0" w:color="auto"/>
          </w:divBdr>
          <w:divsChild>
            <w:div w:id="140511372">
              <w:marLeft w:val="0"/>
              <w:marRight w:val="0"/>
              <w:marTop w:val="0"/>
              <w:marBottom w:val="0"/>
              <w:divBdr>
                <w:top w:val="none" w:sz="0" w:space="0" w:color="auto"/>
                <w:left w:val="none" w:sz="0" w:space="0" w:color="auto"/>
                <w:bottom w:val="none" w:sz="0" w:space="0" w:color="auto"/>
                <w:right w:val="none" w:sz="0" w:space="0" w:color="auto"/>
              </w:divBdr>
            </w:div>
          </w:divsChild>
        </w:div>
        <w:div w:id="1874884133">
          <w:marLeft w:val="0"/>
          <w:marRight w:val="0"/>
          <w:marTop w:val="0"/>
          <w:marBottom w:val="0"/>
          <w:divBdr>
            <w:top w:val="none" w:sz="0" w:space="0" w:color="auto"/>
            <w:left w:val="none" w:sz="0" w:space="0" w:color="auto"/>
            <w:bottom w:val="none" w:sz="0" w:space="0" w:color="auto"/>
            <w:right w:val="none" w:sz="0" w:space="0" w:color="auto"/>
          </w:divBdr>
          <w:divsChild>
            <w:div w:id="1362971813">
              <w:marLeft w:val="0"/>
              <w:marRight w:val="0"/>
              <w:marTop w:val="0"/>
              <w:marBottom w:val="0"/>
              <w:divBdr>
                <w:top w:val="none" w:sz="0" w:space="0" w:color="auto"/>
                <w:left w:val="none" w:sz="0" w:space="0" w:color="auto"/>
                <w:bottom w:val="none" w:sz="0" w:space="0" w:color="auto"/>
                <w:right w:val="none" w:sz="0" w:space="0" w:color="auto"/>
              </w:divBdr>
            </w:div>
          </w:divsChild>
        </w:div>
        <w:div w:id="1902472559">
          <w:marLeft w:val="0"/>
          <w:marRight w:val="0"/>
          <w:marTop w:val="0"/>
          <w:marBottom w:val="0"/>
          <w:divBdr>
            <w:top w:val="none" w:sz="0" w:space="0" w:color="auto"/>
            <w:left w:val="none" w:sz="0" w:space="0" w:color="auto"/>
            <w:bottom w:val="none" w:sz="0" w:space="0" w:color="auto"/>
            <w:right w:val="none" w:sz="0" w:space="0" w:color="auto"/>
          </w:divBdr>
          <w:divsChild>
            <w:div w:id="1326012035">
              <w:marLeft w:val="0"/>
              <w:marRight w:val="0"/>
              <w:marTop w:val="0"/>
              <w:marBottom w:val="0"/>
              <w:divBdr>
                <w:top w:val="none" w:sz="0" w:space="0" w:color="auto"/>
                <w:left w:val="none" w:sz="0" w:space="0" w:color="auto"/>
                <w:bottom w:val="none" w:sz="0" w:space="0" w:color="auto"/>
                <w:right w:val="none" w:sz="0" w:space="0" w:color="auto"/>
              </w:divBdr>
            </w:div>
          </w:divsChild>
        </w:div>
        <w:div w:id="1974022912">
          <w:marLeft w:val="0"/>
          <w:marRight w:val="0"/>
          <w:marTop w:val="0"/>
          <w:marBottom w:val="0"/>
          <w:divBdr>
            <w:top w:val="none" w:sz="0" w:space="0" w:color="auto"/>
            <w:left w:val="none" w:sz="0" w:space="0" w:color="auto"/>
            <w:bottom w:val="none" w:sz="0" w:space="0" w:color="auto"/>
            <w:right w:val="none" w:sz="0" w:space="0" w:color="auto"/>
          </w:divBdr>
          <w:divsChild>
            <w:div w:id="1062291858">
              <w:marLeft w:val="0"/>
              <w:marRight w:val="0"/>
              <w:marTop w:val="0"/>
              <w:marBottom w:val="0"/>
              <w:divBdr>
                <w:top w:val="none" w:sz="0" w:space="0" w:color="auto"/>
                <w:left w:val="none" w:sz="0" w:space="0" w:color="auto"/>
                <w:bottom w:val="none" w:sz="0" w:space="0" w:color="auto"/>
                <w:right w:val="none" w:sz="0" w:space="0" w:color="auto"/>
              </w:divBdr>
            </w:div>
          </w:divsChild>
        </w:div>
        <w:div w:id="2029912398">
          <w:marLeft w:val="0"/>
          <w:marRight w:val="0"/>
          <w:marTop w:val="0"/>
          <w:marBottom w:val="0"/>
          <w:divBdr>
            <w:top w:val="none" w:sz="0" w:space="0" w:color="auto"/>
            <w:left w:val="none" w:sz="0" w:space="0" w:color="auto"/>
            <w:bottom w:val="none" w:sz="0" w:space="0" w:color="auto"/>
            <w:right w:val="none" w:sz="0" w:space="0" w:color="auto"/>
          </w:divBdr>
          <w:divsChild>
            <w:div w:id="1209222979">
              <w:marLeft w:val="0"/>
              <w:marRight w:val="0"/>
              <w:marTop w:val="0"/>
              <w:marBottom w:val="0"/>
              <w:divBdr>
                <w:top w:val="none" w:sz="0" w:space="0" w:color="auto"/>
                <w:left w:val="none" w:sz="0" w:space="0" w:color="auto"/>
                <w:bottom w:val="none" w:sz="0" w:space="0" w:color="auto"/>
                <w:right w:val="none" w:sz="0" w:space="0" w:color="auto"/>
              </w:divBdr>
            </w:div>
          </w:divsChild>
        </w:div>
        <w:div w:id="2141224647">
          <w:marLeft w:val="0"/>
          <w:marRight w:val="0"/>
          <w:marTop w:val="0"/>
          <w:marBottom w:val="0"/>
          <w:divBdr>
            <w:top w:val="none" w:sz="0" w:space="0" w:color="auto"/>
            <w:left w:val="none" w:sz="0" w:space="0" w:color="auto"/>
            <w:bottom w:val="none" w:sz="0" w:space="0" w:color="auto"/>
            <w:right w:val="none" w:sz="0" w:space="0" w:color="auto"/>
          </w:divBdr>
          <w:divsChild>
            <w:div w:id="199105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6114">
      <w:bodyDiv w:val="1"/>
      <w:marLeft w:val="0"/>
      <w:marRight w:val="0"/>
      <w:marTop w:val="0"/>
      <w:marBottom w:val="0"/>
      <w:divBdr>
        <w:top w:val="none" w:sz="0" w:space="0" w:color="auto"/>
        <w:left w:val="none" w:sz="0" w:space="0" w:color="auto"/>
        <w:bottom w:val="none" w:sz="0" w:space="0" w:color="auto"/>
        <w:right w:val="none" w:sz="0" w:space="0" w:color="auto"/>
      </w:divBdr>
      <w:divsChild>
        <w:div w:id="82387043">
          <w:marLeft w:val="0"/>
          <w:marRight w:val="0"/>
          <w:marTop w:val="0"/>
          <w:marBottom w:val="0"/>
          <w:divBdr>
            <w:top w:val="none" w:sz="0" w:space="0" w:color="auto"/>
            <w:left w:val="none" w:sz="0" w:space="0" w:color="auto"/>
            <w:bottom w:val="none" w:sz="0" w:space="0" w:color="auto"/>
            <w:right w:val="none" w:sz="0" w:space="0" w:color="auto"/>
          </w:divBdr>
          <w:divsChild>
            <w:div w:id="56828572">
              <w:marLeft w:val="0"/>
              <w:marRight w:val="0"/>
              <w:marTop w:val="0"/>
              <w:marBottom w:val="0"/>
              <w:divBdr>
                <w:top w:val="none" w:sz="0" w:space="0" w:color="auto"/>
                <w:left w:val="none" w:sz="0" w:space="0" w:color="auto"/>
                <w:bottom w:val="none" w:sz="0" w:space="0" w:color="auto"/>
                <w:right w:val="none" w:sz="0" w:space="0" w:color="auto"/>
              </w:divBdr>
            </w:div>
            <w:div w:id="197553838">
              <w:marLeft w:val="0"/>
              <w:marRight w:val="0"/>
              <w:marTop w:val="0"/>
              <w:marBottom w:val="0"/>
              <w:divBdr>
                <w:top w:val="none" w:sz="0" w:space="0" w:color="auto"/>
                <w:left w:val="none" w:sz="0" w:space="0" w:color="auto"/>
                <w:bottom w:val="none" w:sz="0" w:space="0" w:color="auto"/>
                <w:right w:val="none" w:sz="0" w:space="0" w:color="auto"/>
              </w:divBdr>
            </w:div>
            <w:div w:id="402720837">
              <w:marLeft w:val="0"/>
              <w:marRight w:val="0"/>
              <w:marTop w:val="0"/>
              <w:marBottom w:val="0"/>
              <w:divBdr>
                <w:top w:val="none" w:sz="0" w:space="0" w:color="auto"/>
                <w:left w:val="none" w:sz="0" w:space="0" w:color="auto"/>
                <w:bottom w:val="none" w:sz="0" w:space="0" w:color="auto"/>
                <w:right w:val="none" w:sz="0" w:space="0" w:color="auto"/>
              </w:divBdr>
            </w:div>
            <w:div w:id="474880726">
              <w:marLeft w:val="0"/>
              <w:marRight w:val="0"/>
              <w:marTop w:val="0"/>
              <w:marBottom w:val="0"/>
              <w:divBdr>
                <w:top w:val="none" w:sz="0" w:space="0" w:color="auto"/>
                <w:left w:val="none" w:sz="0" w:space="0" w:color="auto"/>
                <w:bottom w:val="none" w:sz="0" w:space="0" w:color="auto"/>
                <w:right w:val="none" w:sz="0" w:space="0" w:color="auto"/>
              </w:divBdr>
            </w:div>
            <w:div w:id="552011632">
              <w:marLeft w:val="0"/>
              <w:marRight w:val="0"/>
              <w:marTop w:val="0"/>
              <w:marBottom w:val="0"/>
              <w:divBdr>
                <w:top w:val="none" w:sz="0" w:space="0" w:color="auto"/>
                <w:left w:val="none" w:sz="0" w:space="0" w:color="auto"/>
                <w:bottom w:val="none" w:sz="0" w:space="0" w:color="auto"/>
                <w:right w:val="none" w:sz="0" w:space="0" w:color="auto"/>
              </w:divBdr>
            </w:div>
            <w:div w:id="787237656">
              <w:marLeft w:val="0"/>
              <w:marRight w:val="0"/>
              <w:marTop w:val="0"/>
              <w:marBottom w:val="0"/>
              <w:divBdr>
                <w:top w:val="none" w:sz="0" w:space="0" w:color="auto"/>
                <w:left w:val="none" w:sz="0" w:space="0" w:color="auto"/>
                <w:bottom w:val="none" w:sz="0" w:space="0" w:color="auto"/>
                <w:right w:val="none" w:sz="0" w:space="0" w:color="auto"/>
              </w:divBdr>
            </w:div>
            <w:div w:id="969550651">
              <w:marLeft w:val="0"/>
              <w:marRight w:val="0"/>
              <w:marTop w:val="0"/>
              <w:marBottom w:val="0"/>
              <w:divBdr>
                <w:top w:val="none" w:sz="0" w:space="0" w:color="auto"/>
                <w:left w:val="none" w:sz="0" w:space="0" w:color="auto"/>
                <w:bottom w:val="none" w:sz="0" w:space="0" w:color="auto"/>
                <w:right w:val="none" w:sz="0" w:space="0" w:color="auto"/>
              </w:divBdr>
            </w:div>
            <w:div w:id="1218394220">
              <w:marLeft w:val="0"/>
              <w:marRight w:val="0"/>
              <w:marTop w:val="0"/>
              <w:marBottom w:val="0"/>
              <w:divBdr>
                <w:top w:val="none" w:sz="0" w:space="0" w:color="auto"/>
                <w:left w:val="none" w:sz="0" w:space="0" w:color="auto"/>
                <w:bottom w:val="none" w:sz="0" w:space="0" w:color="auto"/>
                <w:right w:val="none" w:sz="0" w:space="0" w:color="auto"/>
              </w:divBdr>
            </w:div>
            <w:div w:id="1230768556">
              <w:marLeft w:val="0"/>
              <w:marRight w:val="0"/>
              <w:marTop w:val="0"/>
              <w:marBottom w:val="0"/>
              <w:divBdr>
                <w:top w:val="none" w:sz="0" w:space="0" w:color="auto"/>
                <w:left w:val="none" w:sz="0" w:space="0" w:color="auto"/>
                <w:bottom w:val="none" w:sz="0" w:space="0" w:color="auto"/>
                <w:right w:val="none" w:sz="0" w:space="0" w:color="auto"/>
              </w:divBdr>
            </w:div>
            <w:div w:id="1310555883">
              <w:marLeft w:val="0"/>
              <w:marRight w:val="0"/>
              <w:marTop w:val="0"/>
              <w:marBottom w:val="0"/>
              <w:divBdr>
                <w:top w:val="none" w:sz="0" w:space="0" w:color="auto"/>
                <w:left w:val="none" w:sz="0" w:space="0" w:color="auto"/>
                <w:bottom w:val="none" w:sz="0" w:space="0" w:color="auto"/>
                <w:right w:val="none" w:sz="0" w:space="0" w:color="auto"/>
              </w:divBdr>
            </w:div>
            <w:div w:id="1365210695">
              <w:marLeft w:val="0"/>
              <w:marRight w:val="0"/>
              <w:marTop w:val="0"/>
              <w:marBottom w:val="0"/>
              <w:divBdr>
                <w:top w:val="none" w:sz="0" w:space="0" w:color="auto"/>
                <w:left w:val="none" w:sz="0" w:space="0" w:color="auto"/>
                <w:bottom w:val="none" w:sz="0" w:space="0" w:color="auto"/>
                <w:right w:val="none" w:sz="0" w:space="0" w:color="auto"/>
              </w:divBdr>
            </w:div>
            <w:div w:id="1523670695">
              <w:marLeft w:val="0"/>
              <w:marRight w:val="0"/>
              <w:marTop w:val="0"/>
              <w:marBottom w:val="0"/>
              <w:divBdr>
                <w:top w:val="none" w:sz="0" w:space="0" w:color="auto"/>
                <w:left w:val="none" w:sz="0" w:space="0" w:color="auto"/>
                <w:bottom w:val="none" w:sz="0" w:space="0" w:color="auto"/>
                <w:right w:val="none" w:sz="0" w:space="0" w:color="auto"/>
              </w:divBdr>
            </w:div>
          </w:divsChild>
        </w:div>
        <w:div w:id="134033036">
          <w:marLeft w:val="0"/>
          <w:marRight w:val="0"/>
          <w:marTop w:val="0"/>
          <w:marBottom w:val="0"/>
          <w:divBdr>
            <w:top w:val="none" w:sz="0" w:space="0" w:color="auto"/>
            <w:left w:val="none" w:sz="0" w:space="0" w:color="auto"/>
            <w:bottom w:val="none" w:sz="0" w:space="0" w:color="auto"/>
            <w:right w:val="none" w:sz="0" w:space="0" w:color="auto"/>
          </w:divBdr>
        </w:div>
        <w:div w:id="147332380">
          <w:marLeft w:val="0"/>
          <w:marRight w:val="0"/>
          <w:marTop w:val="0"/>
          <w:marBottom w:val="0"/>
          <w:divBdr>
            <w:top w:val="none" w:sz="0" w:space="0" w:color="auto"/>
            <w:left w:val="none" w:sz="0" w:space="0" w:color="auto"/>
            <w:bottom w:val="none" w:sz="0" w:space="0" w:color="auto"/>
            <w:right w:val="none" w:sz="0" w:space="0" w:color="auto"/>
          </w:divBdr>
        </w:div>
        <w:div w:id="197665345">
          <w:marLeft w:val="0"/>
          <w:marRight w:val="0"/>
          <w:marTop w:val="0"/>
          <w:marBottom w:val="0"/>
          <w:divBdr>
            <w:top w:val="none" w:sz="0" w:space="0" w:color="auto"/>
            <w:left w:val="none" w:sz="0" w:space="0" w:color="auto"/>
            <w:bottom w:val="none" w:sz="0" w:space="0" w:color="auto"/>
            <w:right w:val="none" w:sz="0" w:space="0" w:color="auto"/>
          </w:divBdr>
        </w:div>
        <w:div w:id="210651098">
          <w:marLeft w:val="0"/>
          <w:marRight w:val="0"/>
          <w:marTop w:val="0"/>
          <w:marBottom w:val="0"/>
          <w:divBdr>
            <w:top w:val="none" w:sz="0" w:space="0" w:color="auto"/>
            <w:left w:val="none" w:sz="0" w:space="0" w:color="auto"/>
            <w:bottom w:val="none" w:sz="0" w:space="0" w:color="auto"/>
            <w:right w:val="none" w:sz="0" w:space="0" w:color="auto"/>
          </w:divBdr>
        </w:div>
        <w:div w:id="400909668">
          <w:marLeft w:val="0"/>
          <w:marRight w:val="0"/>
          <w:marTop w:val="0"/>
          <w:marBottom w:val="0"/>
          <w:divBdr>
            <w:top w:val="none" w:sz="0" w:space="0" w:color="auto"/>
            <w:left w:val="none" w:sz="0" w:space="0" w:color="auto"/>
            <w:bottom w:val="none" w:sz="0" w:space="0" w:color="auto"/>
            <w:right w:val="none" w:sz="0" w:space="0" w:color="auto"/>
          </w:divBdr>
        </w:div>
        <w:div w:id="421419515">
          <w:marLeft w:val="0"/>
          <w:marRight w:val="0"/>
          <w:marTop w:val="0"/>
          <w:marBottom w:val="0"/>
          <w:divBdr>
            <w:top w:val="none" w:sz="0" w:space="0" w:color="auto"/>
            <w:left w:val="none" w:sz="0" w:space="0" w:color="auto"/>
            <w:bottom w:val="none" w:sz="0" w:space="0" w:color="auto"/>
            <w:right w:val="none" w:sz="0" w:space="0" w:color="auto"/>
          </w:divBdr>
        </w:div>
        <w:div w:id="431629236">
          <w:marLeft w:val="0"/>
          <w:marRight w:val="0"/>
          <w:marTop w:val="0"/>
          <w:marBottom w:val="0"/>
          <w:divBdr>
            <w:top w:val="none" w:sz="0" w:space="0" w:color="auto"/>
            <w:left w:val="none" w:sz="0" w:space="0" w:color="auto"/>
            <w:bottom w:val="none" w:sz="0" w:space="0" w:color="auto"/>
            <w:right w:val="none" w:sz="0" w:space="0" w:color="auto"/>
          </w:divBdr>
        </w:div>
        <w:div w:id="470170605">
          <w:marLeft w:val="0"/>
          <w:marRight w:val="0"/>
          <w:marTop w:val="0"/>
          <w:marBottom w:val="0"/>
          <w:divBdr>
            <w:top w:val="none" w:sz="0" w:space="0" w:color="auto"/>
            <w:left w:val="none" w:sz="0" w:space="0" w:color="auto"/>
            <w:bottom w:val="none" w:sz="0" w:space="0" w:color="auto"/>
            <w:right w:val="none" w:sz="0" w:space="0" w:color="auto"/>
          </w:divBdr>
        </w:div>
        <w:div w:id="574127034">
          <w:marLeft w:val="0"/>
          <w:marRight w:val="0"/>
          <w:marTop w:val="0"/>
          <w:marBottom w:val="0"/>
          <w:divBdr>
            <w:top w:val="none" w:sz="0" w:space="0" w:color="auto"/>
            <w:left w:val="none" w:sz="0" w:space="0" w:color="auto"/>
            <w:bottom w:val="none" w:sz="0" w:space="0" w:color="auto"/>
            <w:right w:val="none" w:sz="0" w:space="0" w:color="auto"/>
          </w:divBdr>
        </w:div>
        <w:div w:id="635569756">
          <w:marLeft w:val="0"/>
          <w:marRight w:val="0"/>
          <w:marTop w:val="0"/>
          <w:marBottom w:val="0"/>
          <w:divBdr>
            <w:top w:val="none" w:sz="0" w:space="0" w:color="auto"/>
            <w:left w:val="none" w:sz="0" w:space="0" w:color="auto"/>
            <w:bottom w:val="none" w:sz="0" w:space="0" w:color="auto"/>
            <w:right w:val="none" w:sz="0" w:space="0" w:color="auto"/>
          </w:divBdr>
        </w:div>
        <w:div w:id="661129281">
          <w:marLeft w:val="0"/>
          <w:marRight w:val="0"/>
          <w:marTop w:val="0"/>
          <w:marBottom w:val="0"/>
          <w:divBdr>
            <w:top w:val="none" w:sz="0" w:space="0" w:color="auto"/>
            <w:left w:val="none" w:sz="0" w:space="0" w:color="auto"/>
            <w:bottom w:val="none" w:sz="0" w:space="0" w:color="auto"/>
            <w:right w:val="none" w:sz="0" w:space="0" w:color="auto"/>
          </w:divBdr>
        </w:div>
        <w:div w:id="732045546">
          <w:marLeft w:val="0"/>
          <w:marRight w:val="0"/>
          <w:marTop w:val="0"/>
          <w:marBottom w:val="0"/>
          <w:divBdr>
            <w:top w:val="none" w:sz="0" w:space="0" w:color="auto"/>
            <w:left w:val="none" w:sz="0" w:space="0" w:color="auto"/>
            <w:bottom w:val="none" w:sz="0" w:space="0" w:color="auto"/>
            <w:right w:val="none" w:sz="0" w:space="0" w:color="auto"/>
          </w:divBdr>
        </w:div>
        <w:div w:id="739904308">
          <w:marLeft w:val="0"/>
          <w:marRight w:val="0"/>
          <w:marTop w:val="0"/>
          <w:marBottom w:val="0"/>
          <w:divBdr>
            <w:top w:val="none" w:sz="0" w:space="0" w:color="auto"/>
            <w:left w:val="none" w:sz="0" w:space="0" w:color="auto"/>
            <w:bottom w:val="none" w:sz="0" w:space="0" w:color="auto"/>
            <w:right w:val="none" w:sz="0" w:space="0" w:color="auto"/>
          </w:divBdr>
        </w:div>
        <w:div w:id="779567188">
          <w:marLeft w:val="0"/>
          <w:marRight w:val="0"/>
          <w:marTop w:val="0"/>
          <w:marBottom w:val="0"/>
          <w:divBdr>
            <w:top w:val="none" w:sz="0" w:space="0" w:color="auto"/>
            <w:left w:val="none" w:sz="0" w:space="0" w:color="auto"/>
            <w:bottom w:val="none" w:sz="0" w:space="0" w:color="auto"/>
            <w:right w:val="none" w:sz="0" w:space="0" w:color="auto"/>
          </w:divBdr>
        </w:div>
        <w:div w:id="803305301">
          <w:marLeft w:val="0"/>
          <w:marRight w:val="0"/>
          <w:marTop w:val="0"/>
          <w:marBottom w:val="0"/>
          <w:divBdr>
            <w:top w:val="none" w:sz="0" w:space="0" w:color="auto"/>
            <w:left w:val="none" w:sz="0" w:space="0" w:color="auto"/>
            <w:bottom w:val="none" w:sz="0" w:space="0" w:color="auto"/>
            <w:right w:val="none" w:sz="0" w:space="0" w:color="auto"/>
          </w:divBdr>
        </w:div>
        <w:div w:id="804086694">
          <w:marLeft w:val="0"/>
          <w:marRight w:val="0"/>
          <w:marTop w:val="0"/>
          <w:marBottom w:val="0"/>
          <w:divBdr>
            <w:top w:val="none" w:sz="0" w:space="0" w:color="auto"/>
            <w:left w:val="none" w:sz="0" w:space="0" w:color="auto"/>
            <w:bottom w:val="none" w:sz="0" w:space="0" w:color="auto"/>
            <w:right w:val="none" w:sz="0" w:space="0" w:color="auto"/>
          </w:divBdr>
          <w:divsChild>
            <w:div w:id="132216147">
              <w:marLeft w:val="0"/>
              <w:marRight w:val="0"/>
              <w:marTop w:val="0"/>
              <w:marBottom w:val="0"/>
              <w:divBdr>
                <w:top w:val="none" w:sz="0" w:space="0" w:color="auto"/>
                <w:left w:val="none" w:sz="0" w:space="0" w:color="auto"/>
                <w:bottom w:val="none" w:sz="0" w:space="0" w:color="auto"/>
                <w:right w:val="none" w:sz="0" w:space="0" w:color="auto"/>
              </w:divBdr>
            </w:div>
            <w:div w:id="203249792">
              <w:marLeft w:val="0"/>
              <w:marRight w:val="0"/>
              <w:marTop w:val="0"/>
              <w:marBottom w:val="0"/>
              <w:divBdr>
                <w:top w:val="none" w:sz="0" w:space="0" w:color="auto"/>
                <w:left w:val="none" w:sz="0" w:space="0" w:color="auto"/>
                <w:bottom w:val="none" w:sz="0" w:space="0" w:color="auto"/>
                <w:right w:val="none" w:sz="0" w:space="0" w:color="auto"/>
              </w:divBdr>
            </w:div>
            <w:div w:id="305740932">
              <w:marLeft w:val="0"/>
              <w:marRight w:val="0"/>
              <w:marTop w:val="0"/>
              <w:marBottom w:val="0"/>
              <w:divBdr>
                <w:top w:val="none" w:sz="0" w:space="0" w:color="auto"/>
                <w:left w:val="none" w:sz="0" w:space="0" w:color="auto"/>
                <w:bottom w:val="none" w:sz="0" w:space="0" w:color="auto"/>
                <w:right w:val="none" w:sz="0" w:space="0" w:color="auto"/>
              </w:divBdr>
            </w:div>
            <w:div w:id="389034943">
              <w:marLeft w:val="0"/>
              <w:marRight w:val="0"/>
              <w:marTop w:val="0"/>
              <w:marBottom w:val="0"/>
              <w:divBdr>
                <w:top w:val="none" w:sz="0" w:space="0" w:color="auto"/>
                <w:left w:val="none" w:sz="0" w:space="0" w:color="auto"/>
                <w:bottom w:val="none" w:sz="0" w:space="0" w:color="auto"/>
                <w:right w:val="none" w:sz="0" w:space="0" w:color="auto"/>
              </w:divBdr>
            </w:div>
            <w:div w:id="634607617">
              <w:marLeft w:val="0"/>
              <w:marRight w:val="0"/>
              <w:marTop w:val="0"/>
              <w:marBottom w:val="0"/>
              <w:divBdr>
                <w:top w:val="none" w:sz="0" w:space="0" w:color="auto"/>
                <w:left w:val="none" w:sz="0" w:space="0" w:color="auto"/>
                <w:bottom w:val="none" w:sz="0" w:space="0" w:color="auto"/>
                <w:right w:val="none" w:sz="0" w:space="0" w:color="auto"/>
              </w:divBdr>
            </w:div>
            <w:div w:id="724912539">
              <w:marLeft w:val="0"/>
              <w:marRight w:val="0"/>
              <w:marTop w:val="0"/>
              <w:marBottom w:val="0"/>
              <w:divBdr>
                <w:top w:val="none" w:sz="0" w:space="0" w:color="auto"/>
                <w:left w:val="none" w:sz="0" w:space="0" w:color="auto"/>
                <w:bottom w:val="none" w:sz="0" w:space="0" w:color="auto"/>
                <w:right w:val="none" w:sz="0" w:space="0" w:color="auto"/>
              </w:divBdr>
            </w:div>
            <w:div w:id="799499544">
              <w:marLeft w:val="0"/>
              <w:marRight w:val="0"/>
              <w:marTop w:val="0"/>
              <w:marBottom w:val="0"/>
              <w:divBdr>
                <w:top w:val="none" w:sz="0" w:space="0" w:color="auto"/>
                <w:left w:val="none" w:sz="0" w:space="0" w:color="auto"/>
                <w:bottom w:val="none" w:sz="0" w:space="0" w:color="auto"/>
                <w:right w:val="none" w:sz="0" w:space="0" w:color="auto"/>
              </w:divBdr>
            </w:div>
            <w:div w:id="1027759260">
              <w:marLeft w:val="0"/>
              <w:marRight w:val="0"/>
              <w:marTop w:val="0"/>
              <w:marBottom w:val="0"/>
              <w:divBdr>
                <w:top w:val="none" w:sz="0" w:space="0" w:color="auto"/>
                <w:left w:val="none" w:sz="0" w:space="0" w:color="auto"/>
                <w:bottom w:val="none" w:sz="0" w:space="0" w:color="auto"/>
                <w:right w:val="none" w:sz="0" w:space="0" w:color="auto"/>
              </w:divBdr>
            </w:div>
            <w:div w:id="1093163628">
              <w:marLeft w:val="0"/>
              <w:marRight w:val="0"/>
              <w:marTop w:val="0"/>
              <w:marBottom w:val="0"/>
              <w:divBdr>
                <w:top w:val="none" w:sz="0" w:space="0" w:color="auto"/>
                <w:left w:val="none" w:sz="0" w:space="0" w:color="auto"/>
                <w:bottom w:val="none" w:sz="0" w:space="0" w:color="auto"/>
                <w:right w:val="none" w:sz="0" w:space="0" w:color="auto"/>
              </w:divBdr>
            </w:div>
            <w:div w:id="1145583696">
              <w:marLeft w:val="0"/>
              <w:marRight w:val="0"/>
              <w:marTop w:val="0"/>
              <w:marBottom w:val="0"/>
              <w:divBdr>
                <w:top w:val="none" w:sz="0" w:space="0" w:color="auto"/>
                <w:left w:val="none" w:sz="0" w:space="0" w:color="auto"/>
                <w:bottom w:val="none" w:sz="0" w:space="0" w:color="auto"/>
                <w:right w:val="none" w:sz="0" w:space="0" w:color="auto"/>
              </w:divBdr>
            </w:div>
            <w:div w:id="1159736116">
              <w:marLeft w:val="0"/>
              <w:marRight w:val="0"/>
              <w:marTop w:val="0"/>
              <w:marBottom w:val="0"/>
              <w:divBdr>
                <w:top w:val="none" w:sz="0" w:space="0" w:color="auto"/>
                <w:left w:val="none" w:sz="0" w:space="0" w:color="auto"/>
                <w:bottom w:val="none" w:sz="0" w:space="0" w:color="auto"/>
                <w:right w:val="none" w:sz="0" w:space="0" w:color="auto"/>
              </w:divBdr>
            </w:div>
            <w:div w:id="1235579377">
              <w:marLeft w:val="0"/>
              <w:marRight w:val="0"/>
              <w:marTop w:val="0"/>
              <w:marBottom w:val="0"/>
              <w:divBdr>
                <w:top w:val="none" w:sz="0" w:space="0" w:color="auto"/>
                <w:left w:val="none" w:sz="0" w:space="0" w:color="auto"/>
                <w:bottom w:val="none" w:sz="0" w:space="0" w:color="auto"/>
                <w:right w:val="none" w:sz="0" w:space="0" w:color="auto"/>
              </w:divBdr>
            </w:div>
            <w:div w:id="1347908114">
              <w:marLeft w:val="0"/>
              <w:marRight w:val="0"/>
              <w:marTop w:val="0"/>
              <w:marBottom w:val="0"/>
              <w:divBdr>
                <w:top w:val="none" w:sz="0" w:space="0" w:color="auto"/>
                <w:left w:val="none" w:sz="0" w:space="0" w:color="auto"/>
                <w:bottom w:val="none" w:sz="0" w:space="0" w:color="auto"/>
                <w:right w:val="none" w:sz="0" w:space="0" w:color="auto"/>
              </w:divBdr>
            </w:div>
            <w:div w:id="1403334867">
              <w:marLeft w:val="0"/>
              <w:marRight w:val="0"/>
              <w:marTop w:val="0"/>
              <w:marBottom w:val="0"/>
              <w:divBdr>
                <w:top w:val="none" w:sz="0" w:space="0" w:color="auto"/>
                <w:left w:val="none" w:sz="0" w:space="0" w:color="auto"/>
                <w:bottom w:val="none" w:sz="0" w:space="0" w:color="auto"/>
                <w:right w:val="none" w:sz="0" w:space="0" w:color="auto"/>
              </w:divBdr>
            </w:div>
            <w:div w:id="1433434713">
              <w:marLeft w:val="0"/>
              <w:marRight w:val="0"/>
              <w:marTop w:val="0"/>
              <w:marBottom w:val="0"/>
              <w:divBdr>
                <w:top w:val="none" w:sz="0" w:space="0" w:color="auto"/>
                <w:left w:val="none" w:sz="0" w:space="0" w:color="auto"/>
                <w:bottom w:val="none" w:sz="0" w:space="0" w:color="auto"/>
                <w:right w:val="none" w:sz="0" w:space="0" w:color="auto"/>
              </w:divBdr>
            </w:div>
            <w:div w:id="1811630574">
              <w:marLeft w:val="0"/>
              <w:marRight w:val="0"/>
              <w:marTop w:val="0"/>
              <w:marBottom w:val="0"/>
              <w:divBdr>
                <w:top w:val="none" w:sz="0" w:space="0" w:color="auto"/>
                <w:left w:val="none" w:sz="0" w:space="0" w:color="auto"/>
                <w:bottom w:val="none" w:sz="0" w:space="0" w:color="auto"/>
                <w:right w:val="none" w:sz="0" w:space="0" w:color="auto"/>
              </w:divBdr>
            </w:div>
            <w:div w:id="1826043029">
              <w:marLeft w:val="0"/>
              <w:marRight w:val="0"/>
              <w:marTop w:val="0"/>
              <w:marBottom w:val="0"/>
              <w:divBdr>
                <w:top w:val="none" w:sz="0" w:space="0" w:color="auto"/>
                <w:left w:val="none" w:sz="0" w:space="0" w:color="auto"/>
                <w:bottom w:val="none" w:sz="0" w:space="0" w:color="auto"/>
                <w:right w:val="none" w:sz="0" w:space="0" w:color="auto"/>
              </w:divBdr>
            </w:div>
            <w:div w:id="1878591024">
              <w:marLeft w:val="0"/>
              <w:marRight w:val="0"/>
              <w:marTop w:val="0"/>
              <w:marBottom w:val="0"/>
              <w:divBdr>
                <w:top w:val="none" w:sz="0" w:space="0" w:color="auto"/>
                <w:left w:val="none" w:sz="0" w:space="0" w:color="auto"/>
                <w:bottom w:val="none" w:sz="0" w:space="0" w:color="auto"/>
                <w:right w:val="none" w:sz="0" w:space="0" w:color="auto"/>
              </w:divBdr>
            </w:div>
            <w:div w:id="1915430345">
              <w:marLeft w:val="0"/>
              <w:marRight w:val="0"/>
              <w:marTop w:val="0"/>
              <w:marBottom w:val="0"/>
              <w:divBdr>
                <w:top w:val="none" w:sz="0" w:space="0" w:color="auto"/>
                <w:left w:val="none" w:sz="0" w:space="0" w:color="auto"/>
                <w:bottom w:val="none" w:sz="0" w:space="0" w:color="auto"/>
                <w:right w:val="none" w:sz="0" w:space="0" w:color="auto"/>
              </w:divBdr>
            </w:div>
            <w:div w:id="2029719597">
              <w:marLeft w:val="0"/>
              <w:marRight w:val="0"/>
              <w:marTop w:val="0"/>
              <w:marBottom w:val="0"/>
              <w:divBdr>
                <w:top w:val="none" w:sz="0" w:space="0" w:color="auto"/>
                <w:left w:val="none" w:sz="0" w:space="0" w:color="auto"/>
                <w:bottom w:val="none" w:sz="0" w:space="0" w:color="auto"/>
                <w:right w:val="none" w:sz="0" w:space="0" w:color="auto"/>
              </w:divBdr>
            </w:div>
          </w:divsChild>
        </w:div>
        <w:div w:id="820654403">
          <w:marLeft w:val="0"/>
          <w:marRight w:val="0"/>
          <w:marTop w:val="0"/>
          <w:marBottom w:val="0"/>
          <w:divBdr>
            <w:top w:val="none" w:sz="0" w:space="0" w:color="auto"/>
            <w:left w:val="none" w:sz="0" w:space="0" w:color="auto"/>
            <w:bottom w:val="none" w:sz="0" w:space="0" w:color="auto"/>
            <w:right w:val="none" w:sz="0" w:space="0" w:color="auto"/>
          </w:divBdr>
        </w:div>
        <w:div w:id="836924566">
          <w:marLeft w:val="0"/>
          <w:marRight w:val="0"/>
          <w:marTop w:val="0"/>
          <w:marBottom w:val="0"/>
          <w:divBdr>
            <w:top w:val="none" w:sz="0" w:space="0" w:color="auto"/>
            <w:left w:val="none" w:sz="0" w:space="0" w:color="auto"/>
            <w:bottom w:val="none" w:sz="0" w:space="0" w:color="auto"/>
            <w:right w:val="none" w:sz="0" w:space="0" w:color="auto"/>
          </w:divBdr>
        </w:div>
        <w:div w:id="839999757">
          <w:marLeft w:val="0"/>
          <w:marRight w:val="0"/>
          <w:marTop w:val="0"/>
          <w:marBottom w:val="0"/>
          <w:divBdr>
            <w:top w:val="none" w:sz="0" w:space="0" w:color="auto"/>
            <w:left w:val="none" w:sz="0" w:space="0" w:color="auto"/>
            <w:bottom w:val="none" w:sz="0" w:space="0" w:color="auto"/>
            <w:right w:val="none" w:sz="0" w:space="0" w:color="auto"/>
          </w:divBdr>
        </w:div>
        <w:div w:id="882130842">
          <w:marLeft w:val="0"/>
          <w:marRight w:val="0"/>
          <w:marTop w:val="0"/>
          <w:marBottom w:val="0"/>
          <w:divBdr>
            <w:top w:val="none" w:sz="0" w:space="0" w:color="auto"/>
            <w:left w:val="none" w:sz="0" w:space="0" w:color="auto"/>
            <w:bottom w:val="none" w:sz="0" w:space="0" w:color="auto"/>
            <w:right w:val="none" w:sz="0" w:space="0" w:color="auto"/>
          </w:divBdr>
        </w:div>
        <w:div w:id="903028213">
          <w:marLeft w:val="0"/>
          <w:marRight w:val="0"/>
          <w:marTop w:val="0"/>
          <w:marBottom w:val="0"/>
          <w:divBdr>
            <w:top w:val="none" w:sz="0" w:space="0" w:color="auto"/>
            <w:left w:val="none" w:sz="0" w:space="0" w:color="auto"/>
            <w:bottom w:val="none" w:sz="0" w:space="0" w:color="auto"/>
            <w:right w:val="none" w:sz="0" w:space="0" w:color="auto"/>
          </w:divBdr>
        </w:div>
        <w:div w:id="930816931">
          <w:marLeft w:val="0"/>
          <w:marRight w:val="0"/>
          <w:marTop w:val="0"/>
          <w:marBottom w:val="0"/>
          <w:divBdr>
            <w:top w:val="none" w:sz="0" w:space="0" w:color="auto"/>
            <w:left w:val="none" w:sz="0" w:space="0" w:color="auto"/>
            <w:bottom w:val="none" w:sz="0" w:space="0" w:color="auto"/>
            <w:right w:val="none" w:sz="0" w:space="0" w:color="auto"/>
          </w:divBdr>
          <w:divsChild>
            <w:div w:id="206839320">
              <w:marLeft w:val="0"/>
              <w:marRight w:val="0"/>
              <w:marTop w:val="0"/>
              <w:marBottom w:val="0"/>
              <w:divBdr>
                <w:top w:val="none" w:sz="0" w:space="0" w:color="auto"/>
                <w:left w:val="none" w:sz="0" w:space="0" w:color="auto"/>
                <w:bottom w:val="none" w:sz="0" w:space="0" w:color="auto"/>
                <w:right w:val="none" w:sz="0" w:space="0" w:color="auto"/>
              </w:divBdr>
            </w:div>
            <w:div w:id="218592175">
              <w:marLeft w:val="0"/>
              <w:marRight w:val="0"/>
              <w:marTop w:val="0"/>
              <w:marBottom w:val="0"/>
              <w:divBdr>
                <w:top w:val="none" w:sz="0" w:space="0" w:color="auto"/>
                <w:left w:val="none" w:sz="0" w:space="0" w:color="auto"/>
                <w:bottom w:val="none" w:sz="0" w:space="0" w:color="auto"/>
                <w:right w:val="none" w:sz="0" w:space="0" w:color="auto"/>
              </w:divBdr>
            </w:div>
            <w:div w:id="230501546">
              <w:marLeft w:val="0"/>
              <w:marRight w:val="0"/>
              <w:marTop w:val="0"/>
              <w:marBottom w:val="0"/>
              <w:divBdr>
                <w:top w:val="none" w:sz="0" w:space="0" w:color="auto"/>
                <w:left w:val="none" w:sz="0" w:space="0" w:color="auto"/>
                <w:bottom w:val="none" w:sz="0" w:space="0" w:color="auto"/>
                <w:right w:val="none" w:sz="0" w:space="0" w:color="auto"/>
              </w:divBdr>
            </w:div>
            <w:div w:id="277445327">
              <w:marLeft w:val="0"/>
              <w:marRight w:val="0"/>
              <w:marTop w:val="0"/>
              <w:marBottom w:val="0"/>
              <w:divBdr>
                <w:top w:val="none" w:sz="0" w:space="0" w:color="auto"/>
                <w:left w:val="none" w:sz="0" w:space="0" w:color="auto"/>
                <w:bottom w:val="none" w:sz="0" w:space="0" w:color="auto"/>
                <w:right w:val="none" w:sz="0" w:space="0" w:color="auto"/>
              </w:divBdr>
            </w:div>
            <w:div w:id="317151675">
              <w:marLeft w:val="0"/>
              <w:marRight w:val="0"/>
              <w:marTop w:val="0"/>
              <w:marBottom w:val="0"/>
              <w:divBdr>
                <w:top w:val="none" w:sz="0" w:space="0" w:color="auto"/>
                <w:left w:val="none" w:sz="0" w:space="0" w:color="auto"/>
                <w:bottom w:val="none" w:sz="0" w:space="0" w:color="auto"/>
                <w:right w:val="none" w:sz="0" w:space="0" w:color="auto"/>
              </w:divBdr>
            </w:div>
            <w:div w:id="491525436">
              <w:marLeft w:val="0"/>
              <w:marRight w:val="0"/>
              <w:marTop w:val="0"/>
              <w:marBottom w:val="0"/>
              <w:divBdr>
                <w:top w:val="none" w:sz="0" w:space="0" w:color="auto"/>
                <w:left w:val="none" w:sz="0" w:space="0" w:color="auto"/>
                <w:bottom w:val="none" w:sz="0" w:space="0" w:color="auto"/>
                <w:right w:val="none" w:sz="0" w:space="0" w:color="auto"/>
              </w:divBdr>
            </w:div>
            <w:div w:id="665984734">
              <w:marLeft w:val="0"/>
              <w:marRight w:val="0"/>
              <w:marTop w:val="0"/>
              <w:marBottom w:val="0"/>
              <w:divBdr>
                <w:top w:val="none" w:sz="0" w:space="0" w:color="auto"/>
                <w:left w:val="none" w:sz="0" w:space="0" w:color="auto"/>
                <w:bottom w:val="none" w:sz="0" w:space="0" w:color="auto"/>
                <w:right w:val="none" w:sz="0" w:space="0" w:color="auto"/>
              </w:divBdr>
            </w:div>
            <w:div w:id="740904047">
              <w:marLeft w:val="0"/>
              <w:marRight w:val="0"/>
              <w:marTop w:val="0"/>
              <w:marBottom w:val="0"/>
              <w:divBdr>
                <w:top w:val="none" w:sz="0" w:space="0" w:color="auto"/>
                <w:left w:val="none" w:sz="0" w:space="0" w:color="auto"/>
                <w:bottom w:val="none" w:sz="0" w:space="0" w:color="auto"/>
                <w:right w:val="none" w:sz="0" w:space="0" w:color="auto"/>
              </w:divBdr>
            </w:div>
            <w:div w:id="804589088">
              <w:marLeft w:val="0"/>
              <w:marRight w:val="0"/>
              <w:marTop w:val="0"/>
              <w:marBottom w:val="0"/>
              <w:divBdr>
                <w:top w:val="none" w:sz="0" w:space="0" w:color="auto"/>
                <w:left w:val="none" w:sz="0" w:space="0" w:color="auto"/>
                <w:bottom w:val="none" w:sz="0" w:space="0" w:color="auto"/>
                <w:right w:val="none" w:sz="0" w:space="0" w:color="auto"/>
              </w:divBdr>
            </w:div>
            <w:div w:id="842354262">
              <w:marLeft w:val="0"/>
              <w:marRight w:val="0"/>
              <w:marTop w:val="0"/>
              <w:marBottom w:val="0"/>
              <w:divBdr>
                <w:top w:val="none" w:sz="0" w:space="0" w:color="auto"/>
                <w:left w:val="none" w:sz="0" w:space="0" w:color="auto"/>
                <w:bottom w:val="none" w:sz="0" w:space="0" w:color="auto"/>
                <w:right w:val="none" w:sz="0" w:space="0" w:color="auto"/>
              </w:divBdr>
            </w:div>
            <w:div w:id="1080368671">
              <w:marLeft w:val="0"/>
              <w:marRight w:val="0"/>
              <w:marTop w:val="0"/>
              <w:marBottom w:val="0"/>
              <w:divBdr>
                <w:top w:val="none" w:sz="0" w:space="0" w:color="auto"/>
                <w:left w:val="none" w:sz="0" w:space="0" w:color="auto"/>
                <w:bottom w:val="none" w:sz="0" w:space="0" w:color="auto"/>
                <w:right w:val="none" w:sz="0" w:space="0" w:color="auto"/>
              </w:divBdr>
            </w:div>
            <w:div w:id="1095631186">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1186285201">
              <w:marLeft w:val="0"/>
              <w:marRight w:val="0"/>
              <w:marTop w:val="0"/>
              <w:marBottom w:val="0"/>
              <w:divBdr>
                <w:top w:val="none" w:sz="0" w:space="0" w:color="auto"/>
                <w:left w:val="none" w:sz="0" w:space="0" w:color="auto"/>
                <w:bottom w:val="none" w:sz="0" w:space="0" w:color="auto"/>
                <w:right w:val="none" w:sz="0" w:space="0" w:color="auto"/>
              </w:divBdr>
            </w:div>
            <w:div w:id="1319965465">
              <w:marLeft w:val="0"/>
              <w:marRight w:val="0"/>
              <w:marTop w:val="0"/>
              <w:marBottom w:val="0"/>
              <w:divBdr>
                <w:top w:val="none" w:sz="0" w:space="0" w:color="auto"/>
                <w:left w:val="none" w:sz="0" w:space="0" w:color="auto"/>
                <w:bottom w:val="none" w:sz="0" w:space="0" w:color="auto"/>
                <w:right w:val="none" w:sz="0" w:space="0" w:color="auto"/>
              </w:divBdr>
            </w:div>
            <w:div w:id="1408308863">
              <w:marLeft w:val="0"/>
              <w:marRight w:val="0"/>
              <w:marTop w:val="0"/>
              <w:marBottom w:val="0"/>
              <w:divBdr>
                <w:top w:val="none" w:sz="0" w:space="0" w:color="auto"/>
                <w:left w:val="none" w:sz="0" w:space="0" w:color="auto"/>
                <w:bottom w:val="none" w:sz="0" w:space="0" w:color="auto"/>
                <w:right w:val="none" w:sz="0" w:space="0" w:color="auto"/>
              </w:divBdr>
            </w:div>
            <w:div w:id="1696298590">
              <w:marLeft w:val="0"/>
              <w:marRight w:val="0"/>
              <w:marTop w:val="0"/>
              <w:marBottom w:val="0"/>
              <w:divBdr>
                <w:top w:val="none" w:sz="0" w:space="0" w:color="auto"/>
                <w:left w:val="none" w:sz="0" w:space="0" w:color="auto"/>
                <w:bottom w:val="none" w:sz="0" w:space="0" w:color="auto"/>
                <w:right w:val="none" w:sz="0" w:space="0" w:color="auto"/>
              </w:divBdr>
            </w:div>
            <w:div w:id="1782339309">
              <w:marLeft w:val="0"/>
              <w:marRight w:val="0"/>
              <w:marTop w:val="0"/>
              <w:marBottom w:val="0"/>
              <w:divBdr>
                <w:top w:val="none" w:sz="0" w:space="0" w:color="auto"/>
                <w:left w:val="none" w:sz="0" w:space="0" w:color="auto"/>
                <w:bottom w:val="none" w:sz="0" w:space="0" w:color="auto"/>
                <w:right w:val="none" w:sz="0" w:space="0" w:color="auto"/>
              </w:divBdr>
            </w:div>
            <w:div w:id="1901554195">
              <w:marLeft w:val="0"/>
              <w:marRight w:val="0"/>
              <w:marTop w:val="0"/>
              <w:marBottom w:val="0"/>
              <w:divBdr>
                <w:top w:val="none" w:sz="0" w:space="0" w:color="auto"/>
                <w:left w:val="none" w:sz="0" w:space="0" w:color="auto"/>
                <w:bottom w:val="none" w:sz="0" w:space="0" w:color="auto"/>
                <w:right w:val="none" w:sz="0" w:space="0" w:color="auto"/>
              </w:divBdr>
            </w:div>
            <w:div w:id="2006662617">
              <w:marLeft w:val="0"/>
              <w:marRight w:val="0"/>
              <w:marTop w:val="0"/>
              <w:marBottom w:val="0"/>
              <w:divBdr>
                <w:top w:val="none" w:sz="0" w:space="0" w:color="auto"/>
                <w:left w:val="none" w:sz="0" w:space="0" w:color="auto"/>
                <w:bottom w:val="none" w:sz="0" w:space="0" w:color="auto"/>
                <w:right w:val="none" w:sz="0" w:space="0" w:color="auto"/>
              </w:divBdr>
            </w:div>
          </w:divsChild>
        </w:div>
        <w:div w:id="1037504334">
          <w:marLeft w:val="0"/>
          <w:marRight w:val="0"/>
          <w:marTop w:val="0"/>
          <w:marBottom w:val="0"/>
          <w:divBdr>
            <w:top w:val="none" w:sz="0" w:space="0" w:color="auto"/>
            <w:left w:val="none" w:sz="0" w:space="0" w:color="auto"/>
            <w:bottom w:val="none" w:sz="0" w:space="0" w:color="auto"/>
            <w:right w:val="none" w:sz="0" w:space="0" w:color="auto"/>
          </w:divBdr>
        </w:div>
        <w:div w:id="1087729148">
          <w:marLeft w:val="0"/>
          <w:marRight w:val="0"/>
          <w:marTop w:val="0"/>
          <w:marBottom w:val="0"/>
          <w:divBdr>
            <w:top w:val="none" w:sz="0" w:space="0" w:color="auto"/>
            <w:left w:val="none" w:sz="0" w:space="0" w:color="auto"/>
            <w:bottom w:val="none" w:sz="0" w:space="0" w:color="auto"/>
            <w:right w:val="none" w:sz="0" w:space="0" w:color="auto"/>
          </w:divBdr>
        </w:div>
        <w:div w:id="1103495821">
          <w:marLeft w:val="0"/>
          <w:marRight w:val="0"/>
          <w:marTop w:val="0"/>
          <w:marBottom w:val="0"/>
          <w:divBdr>
            <w:top w:val="none" w:sz="0" w:space="0" w:color="auto"/>
            <w:left w:val="none" w:sz="0" w:space="0" w:color="auto"/>
            <w:bottom w:val="none" w:sz="0" w:space="0" w:color="auto"/>
            <w:right w:val="none" w:sz="0" w:space="0" w:color="auto"/>
          </w:divBdr>
        </w:div>
        <w:div w:id="1175268333">
          <w:marLeft w:val="0"/>
          <w:marRight w:val="0"/>
          <w:marTop w:val="0"/>
          <w:marBottom w:val="0"/>
          <w:divBdr>
            <w:top w:val="none" w:sz="0" w:space="0" w:color="auto"/>
            <w:left w:val="none" w:sz="0" w:space="0" w:color="auto"/>
            <w:bottom w:val="none" w:sz="0" w:space="0" w:color="auto"/>
            <w:right w:val="none" w:sz="0" w:space="0" w:color="auto"/>
          </w:divBdr>
        </w:div>
        <w:div w:id="1276055561">
          <w:marLeft w:val="0"/>
          <w:marRight w:val="0"/>
          <w:marTop w:val="0"/>
          <w:marBottom w:val="0"/>
          <w:divBdr>
            <w:top w:val="none" w:sz="0" w:space="0" w:color="auto"/>
            <w:left w:val="none" w:sz="0" w:space="0" w:color="auto"/>
            <w:bottom w:val="none" w:sz="0" w:space="0" w:color="auto"/>
            <w:right w:val="none" w:sz="0" w:space="0" w:color="auto"/>
          </w:divBdr>
        </w:div>
        <w:div w:id="1311012482">
          <w:marLeft w:val="0"/>
          <w:marRight w:val="0"/>
          <w:marTop w:val="0"/>
          <w:marBottom w:val="0"/>
          <w:divBdr>
            <w:top w:val="none" w:sz="0" w:space="0" w:color="auto"/>
            <w:left w:val="none" w:sz="0" w:space="0" w:color="auto"/>
            <w:bottom w:val="none" w:sz="0" w:space="0" w:color="auto"/>
            <w:right w:val="none" w:sz="0" w:space="0" w:color="auto"/>
          </w:divBdr>
        </w:div>
        <w:div w:id="1345748625">
          <w:marLeft w:val="0"/>
          <w:marRight w:val="0"/>
          <w:marTop w:val="0"/>
          <w:marBottom w:val="0"/>
          <w:divBdr>
            <w:top w:val="none" w:sz="0" w:space="0" w:color="auto"/>
            <w:left w:val="none" w:sz="0" w:space="0" w:color="auto"/>
            <w:bottom w:val="none" w:sz="0" w:space="0" w:color="auto"/>
            <w:right w:val="none" w:sz="0" w:space="0" w:color="auto"/>
          </w:divBdr>
        </w:div>
        <w:div w:id="1372609727">
          <w:marLeft w:val="0"/>
          <w:marRight w:val="0"/>
          <w:marTop w:val="0"/>
          <w:marBottom w:val="0"/>
          <w:divBdr>
            <w:top w:val="none" w:sz="0" w:space="0" w:color="auto"/>
            <w:left w:val="none" w:sz="0" w:space="0" w:color="auto"/>
            <w:bottom w:val="none" w:sz="0" w:space="0" w:color="auto"/>
            <w:right w:val="none" w:sz="0" w:space="0" w:color="auto"/>
          </w:divBdr>
        </w:div>
        <w:div w:id="1388263765">
          <w:marLeft w:val="0"/>
          <w:marRight w:val="0"/>
          <w:marTop w:val="0"/>
          <w:marBottom w:val="0"/>
          <w:divBdr>
            <w:top w:val="none" w:sz="0" w:space="0" w:color="auto"/>
            <w:left w:val="none" w:sz="0" w:space="0" w:color="auto"/>
            <w:bottom w:val="none" w:sz="0" w:space="0" w:color="auto"/>
            <w:right w:val="none" w:sz="0" w:space="0" w:color="auto"/>
          </w:divBdr>
        </w:div>
        <w:div w:id="1457871192">
          <w:marLeft w:val="0"/>
          <w:marRight w:val="0"/>
          <w:marTop w:val="0"/>
          <w:marBottom w:val="0"/>
          <w:divBdr>
            <w:top w:val="none" w:sz="0" w:space="0" w:color="auto"/>
            <w:left w:val="none" w:sz="0" w:space="0" w:color="auto"/>
            <w:bottom w:val="none" w:sz="0" w:space="0" w:color="auto"/>
            <w:right w:val="none" w:sz="0" w:space="0" w:color="auto"/>
          </w:divBdr>
        </w:div>
        <w:div w:id="1619025321">
          <w:marLeft w:val="0"/>
          <w:marRight w:val="0"/>
          <w:marTop w:val="0"/>
          <w:marBottom w:val="0"/>
          <w:divBdr>
            <w:top w:val="none" w:sz="0" w:space="0" w:color="auto"/>
            <w:left w:val="none" w:sz="0" w:space="0" w:color="auto"/>
            <w:bottom w:val="none" w:sz="0" w:space="0" w:color="auto"/>
            <w:right w:val="none" w:sz="0" w:space="0" w:color="auto"/>
          </w:divBdr>
        </w:div>
        <w:div w:id="1635062726">
          <w:marLeft w:val="0"/>
          <w:marRight w:val="0"/>
          <w:marTop w:val="0"/>
          <w:marBottom w:val="0"/>
          <w:divBdr>
            <w:top w:val="none" w:sz="0" w:space="0" w:color="auto"/>
            <w:left w:val="none" w:sz="0" w:space="0" w:color="auto"/>
            <w:bottom w:val="none" w:sz="0" w:space="0" w:color="auto"/>
            <w:right w:val="none" w:sz="0" w:space="0" w:color="auto"/>
          </w:divBdr>
        </w:div>
        <w:div w:id="1732657655">
          <w:marLeft w:val="0"/>
          <w:marRight w:val="0"/>
          <w:marTop w:val="0"/>
          <w:marBottom w:val="0"/>
          <w:divBdr>
            <w:top w:val="none" w:sz="0" w:space="0" w:color="auto"/>
            <w:left w:val="none" w:sz="0" w:space="0" w:color="auto"/>
            <w:bottom w:val="none" w:sz="0" w:space="0" w:color="auto"/>
            <w:right w:val="none" w:sz="0" w:space="0" w:color="auto"/>
          </w:divBdr>
        </w:div>
        <w:div w:id="1756319819">
          <w:marLeft w:val="0"/>
          <w:marRight w:val="0"/>
          <w:marTop w:val="0"/>
          <w:marBottom w:val="0"/>
          <w:divBdr>
            <w:top w:val="none" w:sz="0" w:space="0" w:color="auto"/>
            <w:left w:val="none" w:sz="0" w:space="0" w:color="auto"/>
            <w:bottom w:val="none" w:sz="0" w:space="0" w:color="auto"/>
            <w:right w:val="none" w:sz="0" w:space="0" w:color="auto"/>
          </w:divBdr>
        </w:div>
        <w:div w:id="1757246258">
          <w:marLeft w:val="0"/>
          <w:marRight w:val="0"/>
          <w:marTop w:val="0"/>
          <w:marBottom w:val="0"/>
          <w:divBdr>
            <w:top w:val="none" w:sz="0" w:space="0" w:color="auto"/>
            <w:left w:val="none" w:sz="0" w:space="0" w:color="auto"/>
            <w:bottom w:val="none" w:sz="0" w:space="0" w:color="auto"/>
            <w:right w:val="none" w:sz="0" w:space="0" w:color="auto"/>
          </w:divBdr>
        </w:div>
        <w:div w:id="1789857784">
          <w:marLeft w:val="0"/>
          <w:marRight w:val="0"/>
          <w:marTop w:val="0"/>
          <w:marBottom w:val="0"/>
          <w:divBdr>
            <w:top w:val="none" w:sz="0" w:space="0" w:color="auto"/>
            <w:left w:val="none" w:sz="0" w:space="0" w:color="auto"/>
            <w:bottom w:val="none" w:sz="0" w:space="0" w:color="auto"/>
            <w:right w:val="none" w:sz="0" w:space="0" w:color="auto"/>
          </w:divBdr>
        </w:div>
        <w:div w:id="2074817655">
          <w:marLeft w:val="0"/>
          <w:marRight w:val="0"/>
          <w:marTop w:val="0"/>
          <w:marBottom w:val="0"/>
          <w:divBdr>
            <w:top w:val="none" w:sz="0" w:space="0" w:color="auto"/>
            <w:left w:val="none" w:sz="0" w:space="0" w:color="auto"/>
            <w:bottom w:val="none" w:sz="0" w:space="0" w:color="auto"/>
            <w:right w:val="none" w:sz="0" w:space="0" w:color="auto"/>
          </w:divBdr>
        </w:div>
        <w:div w:id="2082216576">
          <w:marLeft w:val="0"/>
          <w:marRight w:val="0"/>
          <w:marTop w:val="0"/>
          <w:marBottom w:val="0"/>
          <w:divBdr>
            <w:top w:val="none" w:sz="0" w:space="0" w:color="auto"/>
            <w:left w:val="none" w:sz="0" w:space="0" w:color="auto"/>
            <w:bottom w:val="none" w:sz="0" w:space="0" w:color="auto"/>
            <w:right w:val="none" w:sz="0" w:space="0" w:color="auto"/>
          </w:divBdr>
        </w:div>
      </w:divsChild>
    </w:div>
    <w:div w:id="2098941345">
      <w:bodyDiv w:val="1"/>
      <w:marLeft w:val="0"/>
      <w:marRight w:val="0"/>
      <w:marTop w:val="0"/>
      <w:marBottom w:val="0"/>
      <w:divBdr>
        <w:top w:val="none" w:sz="0" w:space="0" w:color="auto"/>
        <w:left w:val="none" w:sz="0" w:space="0" w:color="auto"/>
        <w:bottom w:val="none" w:sz="0" w:space="0" w:color="auto"/>
        <w:right w:val="none" w:sz="0" w:space="0" w:color="auto"/>
      </w:divBdr>
      <w:divsChild>
        <w:div w:id="1322693">
          <w:marLeft w:val="0"/>
          <w:marRight w:val="0"/>
          <w:marTop w:val="0"/>
          <w:marBottom w:val="0"/>
          <w:divBdr>
            <w:top w:val="none" w:sz="0" w:space="0" w:color="auto"/>
            <w:left w:val="none" w:sz="0" w:space="0" w:color="auto"/>
            <w:bottom w:val="none" w:sz="0" w:space="0" w:color="auto"/>
            <w:right w:val="none" w:sz="0" w:space="0" w:color="auto"/>
          </w:divBdr>
          <w:divsChild>
            <w:div w:id="8915662">
              <w:marLeft w:val="0"/>
              <w:marRight w:val="0"/>
              <w:marTop w:val="0"/>
              <w:marBottom w:val="0"/>
              <w:divBdr>
                <w:top w:val="none" w:sz="0" w:space="0" w:color="auto"/>
                <w:left w:val="none" w:sz="0" w:space="0" w:color="auto"/>
                <w:bottom w:val="none" w:sz="0" w:space="0" w:color="auto"/>
                <w:right w:val="none" w:sz="0" w:space="0" w:color="auto"/>
              </w:divBdr>
            </w:div>
            <w:div w:id="550075893">
              <w:marLeft w:val="0"/>
              <w:marRight w:val="0"/>
              <w:marTop w:val="0"/>
              <w:marBottom w:val="0"/>
              <w:divBdr>
                <w:top w:val="none" w:sz="0" w:space="0" w:color="auto"/>
                <w:left w:val="none" w:sz="0" w:space="0" w:color="auto"/>
                <w:bottom w:val="none" w:sz="0" w:space="0" w:color="auto"/>
                <w:right w:val="none" w:sz="0" w:space="0" w:color="auto"/>
              </w:divBdr>
            </w:div>
            <w:div w:id="1575315486">
              <w:marLeft w:val="0"/>
              <w:marRight w:val="0"/>
              <w:marTop w:val="0"/>
              <w:marBottom w:val="0"/>
              <w:divBdr>
                <w:top w:val="none" w:sz="0" w:space="0" w:color="auto"/>
                <w:left w:val="none" w:sz="0" w:space="0" w:color="auto"/>
                <w:bottom w:val="none" w:sz="0" w:space="0" w:color="auto"/>
                <w:right w:val="none" w:sz="0" w:space="0" w:color="auto"/>
              </w:divBdr>
            </w:div>
          </w:divsChild>
        </w:div>
        <w:div w:id="69888423">
          <w:marLeft w:val="0"/>
          <w:marRight w:val="0"/>
          <w:marTop w:val="0"/>
          <w:marBottom w:val="0"/>
          <w:divBdr>
            <w:top w:val="none" w:sz="0" w:space="0" w:color="auto"/>
            <w:left w:val="none" w:sz="0" w:space="0" w:color="auto"/>
            <w:bottom w:val="none" w:sz="0" w:space="0" w:color="auto"/>
            <w:right w:val="none" w:sz="0" w:space="0" w:color="auto"/>
          </w:divBdr>
          <w:divsChild>
            <w:div w:id="582565045">
              <w:marLeft w:val="0"/>
              <w:marRight w:val="0"/>
              <w:marTop w:val="0"/>
              <w:marBottom w:val="0"/>
              <w:divBdr>
                <w:top w:val="none" w:sz="0" w:space="0" w:color="auto"/>
                <w:left w:val="none" w:sz="0" w:space="0" w:color="auto"/>
                <w:bottom w:val="none" w:sz="0" w:space="0" w:color="auto"/>
                <w:right w:val="none" w:sz="0" w:space="0" w:color="auto"/>
              </w:divBdr>
            </w:div>
          </w:divsChild>
        </w:div>
        <w:div w:id="79300821">
          <w:marLeft w:val="0"/>
          <w:marRight w:val="0"/>
          <w:marTop w:val="0"/>
          <w:marBottom w:val="0"/>
          <w:divBdr>
            <w:top w:val="none" w:sz="0" w:space="0" w:color="auto"/>
            <w:left w:val="none" w:sz="0" w:space="0" w:color="auto"/>
            <w:bottom w:val="none" w:sz="0" w:space="0" w:color="auto"/>
            <w:right w:val="none" w:sz="0" w:space="0" w:color="auto"/>
          </w:divBdr>
          <w:divsChild>
            <w:div w:id="1844127860">
              <w:marLeft w:val="0"/>
              <w:marRight w:val="0"/>
              <w:marTop w:val="0"/>
              <w:marBottom w:val="0"/>
              <w:divBdr>
                <w:top w:val="none" w:sz="0" w:space="0" w:color="auto"/>
                <w:left w:val="none" w:sz="0" w:space="0" w:color="auto"/>
                <w:bottom w:val="none" w:sz="0" w:space="0" w:color="auto"/>
                <w:right w:val="none" w:sz="0" w:space="0" w:color="auto"/>
              </w:divBdr>
            </w:div>
          </w:divsChild>
        </w:div>
        <w:div w:id="162746709">
          <w:marLeft w:val="0"/>
          <w:marRight w:val="0"/>
          <w:marTop w:val="0"/>
          <w:marBottom w:val="0"/>
          <w:divBdr>
            <w:top w:val="none" w:sz="0" w:space="0" w:color="auto"/>
            <w:left w:val="none" w:sz="0" w:space="0" w:color="auto"/>
            <w:bottom w:val="none" w:sz="0" w:space="0" w:color="auto"/>
            <w:right w:val="none" w:sz="0" w:space="0" w:color="auto"/>
          </w:divBdr>
          <w:divsChild>
            <w:div w:id="1523786027">
              <w:marLeft w:val="0"/>
              <w:marRight w:val="0"/>
              <w:marTop w:val="0"/>
              <w:marBottom w:val="0"/>
              <w:divBdr>
                <w:top w:val="none" w:sz="0" w:space="0" w:color="auto"/>
                <w:left w:val="none" w:sz="0" w:space="0" w:color="auto"/>
                <w:bottom w:val="none" w:sz="0" w:space="0" w:color="auto"/>
                <w:right w:val="none" w:sz="0" w:space="0" w:color="auto"/>
              </w:divBdr>
            </w:div>
          </w:divsChild>
        </w:div>
        <w:div w:id="282080322">
          <w:marLeft w:val="0"/>
          <w:marRight w:val="0"/>
          <w:marTop w:val="0"/>
          <w:marBottom w:val="0"/>
          <w:divBdr>
            <w:top w:val="none" w:sz="0" w:space="0" w:color="auto"/>
            <w:left w:val="none" w:sz="0" w:space="0" w:color="auto"/>
            <w:bottom w:val="none" w:sz="0" w:space="0" w:color="auto"/>
            <w:right w:val="none" w:sz="0" w:space="0" w:color="auto"/>
          </w:divBdr>
          <w:divsChild>
            <w:div w:id="753403041">
              <w:marLeft w:val="0"/>
              <w:marRight w:val="0"/>
              <w:marTop w:val="0"/>
              <w:marBottom w:val="0"/>
              <w:divBdr>
                <w:top w:val="none" w:sz="0" w:space="0" w:color="auto"/>
                <w:left w:val="none" w:sz="0" w:space="0" w:color="auto"/>
                <w:bottom w:val="none" w:sz="0" w:space="0" w:color="auto"/>
                <w:right w:val="none" w:sz="0" w:space="0" w:color="auto"/>
              </w:divBdr>
            </w:div>
          </w:divsChild>
        </w:div>
        <w:div w:id="447045294">
          <w:marLeft w:val="0"/>
          <w:marRight w:val="0"/>
          <w:marTop w:val="0"/>
          <w:marBottom w:val="0"/>
          <w:divBdr>
            <w:top w:val="none" w:sz="0" w:space="0" w:color="auto"/>
            <w:left w:val="none" w:sz="0" w:space="0" w:color="auto"/>
            <w:bottom w:val="none" w:sz="0" w:space="0" w:color="auto"/>
            <w:right w:val="none" w:sz="0" w:space="0" w:color="auto"/>
          </w:divBdr>
          <w:divsChild>
            <w:div w:id="1773819994">
              <w:marLeft w:val="0"/>
              <w:marRight w:val="0"/>
              <w:marTop w:val="0"/>
              <w:marBottom w:val="0"/>
              <w:divBdr>
                <w:top w:val="none" w:sz="0" w:space="0" w:color="auto"/>
                <w:left w:val="none" w:sz="0" w:space="0" w:color="auto"/>
                <w:bottom w:val="none" w:sz="0" w:space="0" w:color="auto"/>
                <w:right w:val="none" w:sz="0" w:space="0" w:color="auto"/>
              </w:divBdr>
            </w:div>
          </w:divsChild>
        </w:div>
        <w:div w:id="557593601">
          <w:marLeft w:val="0"/>
          <w:marRight w:val="0"/>
          <w:marTop w:val="0"/>
          <w:marBottom w:val="0"/>
          <w:divBdr>
            <w:top w:val="none" w:sz="0" w:space="0" w:color="auto"/>
            <w:left w:val="none" w:sz="0" w:space="0" w:color="auto"/>
            <w:bottom w:val="none" w:sz="0" w:space="0" w:color="auto"/>
            <w:right w:val="none" w:sz="0" w:space="0" w:color="auto"/>
          </w:divBdr>
          <w:divsChild>
            <w:div w:id="1706365664">
              <w:marLeft w:val="0"/>
              <w:marRight w:val="0"/>
              <w:marTop w:val="0"/>
              <w:marBottom w:val="0"/>
              <w:divBdr>
                <w:top w:val="none" w:sz="0" w:space="0" w:color="auto"/>
                <w:left w:val="none" w:sz="0" w:space="0" w:color="auto"/>
                <w:bottom w:val="none" w:sz="0" w:space="0" w:color="auto"/>
                <w:right w:val="none" w:sz="0" w:space="0" w:color="auto"/>
              </w:divBdr>
            </w:div>
          </w:divsChild>
        </w:div>
        <w:div w:id="591862206">
          <w:marLeft w:val="0"/>
          <w:marRight w:val="0"/>
          <w:marTop w:val="0"/>
          <w:marBottom w:val="0"/>
          <w:divBdr>
            <w:top w:val="none" w:sz="0" w:space="0" w:color="auto"/>
            <w:left w:val="none" w:sz="0" w:space="0" w:color="auto"/>
            <w:bottom w:val="none" w:sz="0" w:space="0" w:color="auto"/>
            <w:right w:val="none" w:sz="0" w:space="0" w:color="auto"/>
          </w:divBdr>
          <w:divsChild>
            <w:div w:id="1587499431">
              <w:marLeft w:val="0"/>
              <w:marRight w:val="0"/>
              <w:marTop w:val="0"/>
              <w:marBottom w:val="0"/>
              <w:divBdr>
                <w:top w:val="none" w:sz="0" w:space="0" w:color="auto"/>
                <w:left w:val="none" w:sz="0" w:space="0" w:color="auto"/>
                <w:bottom w:val="none" w:sz="0" w:space="0" w:color="auto"/>
                <w:right w:val="none" w:sz="0" w:space="0" w:color="auto"/>
              </w:divBdr>
            </w:div>
          </w:divsChild>
        </w:div>
        <w:div w:id="651908886">
          <w:marLeft w:val="0"/>
          <w:marRight w:val="0"/>
          <w:marTop w:val="0"/>
          <w:marBottom w:val="0"/>
          <w:divBdr>
            <w:top w:val="none" w:sz="0" w:space="0" w:color="auto"/>
            <w:left w:val="none" w:sz="0" w:space="0" w:color="auto"/>
            <w:bottom w:val="none" w:sz="0" w:space="0" w:color="auto"/>
            <w:right w:val="none" w:sz="0" w:space="0" w:color="auto"/>
          </w:divBdr>
          <w:divsChild>
            <w:div w:id="1884321344">
              <w:marLeft w:val="0"/>
              <w:marRight w:val="0"/>
              <w:marTop w:val="0"/>
              <w:marBottom w:val="0"/>
              <w:divBdr>
                <w:top w:val="none" w:sz="0" w:space="0" w:color="auto"/>
                <w:left w:val="none" w:sz="0" w:space="0" w:color="auto"/>
                <w:bottom w:val="none" w:sz="0" w:space="0" w:color="auto"/>
                <w:right w:val="none" w:sz="0" w:space="0" w:color="auto"/>
              </w:divBdr>
            </w:div>
          </w:divsChild>
        </w:div>
        <w:div w:id="667254240">
          <w:marLeft w:val="0"/>
          <w:marRight w:val="0"/>
          <w:marTop w:val="0"/>
          <w:marBottom w:val="0"/>
          <w:divBdr>
            <w:top w:val="none" w:sz="0" w:space="0" w:color="auto"/>
            <w:left w:val="none" w:sz="0" w:space="0" w:color="auto"/>
            <w:bottom w:val="none" w:sz="0" w:space="0" w:color="auto"/>
            <w:right w:val="none" w:sz="0" w:space="0" w:color="auto"/>
          </w:divBdr>
          <w:divsChild>
            <w:div w:id="1265651038">
              <w:marLeft w:val="0"/>
              <w:marRight w:val="0"/>
              <w:marTop w:val="0"/>
              <w:marBottom w:val="0"/>
              <w:divBdr>
                <w:top w:val="none" w:sz="0" w:space="0" w:color="auto"/>
                <w:left w:val="none" w:sz="0" w:space="0" w:color="auto"/>
                <w:bottom w:val="none" w:sz="0" w:space="0" w:color="auto"/>
                <w:right w:val="none" w:sz="0" w:space="0" w:color="auto"/>
              </w:divBdr>
            </w:div>
          </w:divsChild>
        </w:div>
        <w:div w:id="811019263">
          <w:marLeft w:val="0"/>
          <w:marRight w:val="0"/>
          <w:marTop w:val="0"/>
          <w:marBottom w:val="0"/>
          <w:divBdr>
            <w:top w:val="none" w:sz="0" w:space="0" w:color="auto"/>
            <w:left w:val="none" w:sz="0" w:space="0" w:color="auto"/>
            <w:bottom w:val="none" w:sz="0" w:space="0" w:color="auto"/>
            <w:right w:val="none" w:sz="0" w:space="0" w:color="auto"/>
          </w:divBdr>
          <w:divsChild>
            <w:div w:id="573584175">
              <w:marLeft w:val="0"/>
              <w:marRight w:val="0"/>
              <w:marTop w:val="0"/>
              <w:marBottom w:val="0"/>
              <w:divBdr>
                <w:top w:val="none" w:sz="0" w:space="0" w:color="auto"/>
                <w:left w:val="none" w:sz="0" w:space="0" w:color="auto"/>
                <w:bottom w:val="none" w:sz="0" w:space="0" w:color="auto"/>
                <w:right w:val="none" w:sz="0" w:space="0" w:color="auto"/>
              </w:divBdr>
            </w:div>
          </w:divsChild>
        </w:div>
        <w:div w:id="900561143">
          <w:marLeft w:val="0"/>
          <w:marRight w:val="0"/>
          <w:marTop w:val="0"/>
          <w:marBottom w:val="0"/>
          <w:divBdr>
            <w:top w:val="none" w:sz="0" w:space="0" w:color="auto"/>
            <w:left w:val="none" w:sz="0" w:space="0" w:color="auto"/>
            <w:bottom w:val="none" w:sz="0" w:space="0" w:color="auto"/>
            <w:right w:val="none" w:sz="0" w:space="0" w:color="auto"/>
          </w:divBdr>
          <w:divsChild>
            <w:div w:id="1393195868">
              <w:marLeft w:val="0"/>
              <w:marRight w:val="0"/>
              <w:marTop w:val="0"/>
              <w:marBottom w:val="0"/>
              <w:divBdr>
                <w:top w:val="none" w:sz="0" w:space="0" w:color="auto"/>
                <w:left w:val="none" w:sz="0" w:space="0" w:color="auto"/>
                <w:bottom w:val="none" w:sz="0" w:space="0" w:color="auto"/>
                <w:right w:val="none" w:sz="0" w:space="0" w:color="auto"/>
              </w:divBdr>
            </w:div>
          </w:divsChild>
        </w:div>
        <w:div w:id="956645392">
          <w:marLeft w:val="0"/>
          <w:marRight w:val="0"/>
          <w:marTop w:val="0"/>
          <w:marBottom w:val="0"/>
          <w:divBdr>
            <w:top w:val="none" w:sz="0" w:space="0" w:color="auto"/>
            <w:left w:val="none" w:sz="0" w:space="0" w:color="auto"/>
            <w:bottom w:val="none" w:sz="0" w:space="0" w:color="auto"/>
            <w:right w:val="none" w:sz="0" w:space="0" w:color="auto"/>
          </w:divBdr>
          <w:divsChild>
            <w:div w:id="630281313">
              <w:marLeft w:val="0"/>
              <w:marRight w:val="0"/>
              <w:marTop w:val="0"/>
              <w:marBottom w:val="0"/>
              <w:divBdr>
                <w:top w:val="none" w:sz="0" w:space="0" w:color="auto"/>
                <w:left w:val="none" w:sz="0" w:space="0" w:color="auto"/>
                <w:bottom w:val="none" w:sz="0" w:space="0" w:color="auto"/>
                <w:right w:val="none" w:sz="0" w:space="0" w:color="auto"/>
              </w:divBdr>
            </w:div>
          </w:divsChild>
        </w:div>
        <w:div w:id="957950008">
          <w:marLeft w:val="0"/>
          <w:marRight w:val="0"/>
          <w:marTop w:val="0"/>
          <w:marBottom w:val="0"/>
          <w:divBdr>
            <w:top w:val="none" w:sz="0" w:space="0" w:color="auto"/>
            <w:left w:val="none" w:sz="0" w:space="0" w:color="auto"/>
            <w:bottom w:val="none" w:sz="0" w:space="0" w:color="auto"/>
            <w:right w:val="none" w:sz="0" w:space="0" w:color="auto"/>
          </w:divBdr>
          <w:divsChild>
            <w:div w:id="1872455038">
              <w:marLeft w:val="0"/>
              <w:marRight w:val="0"/>
              <w:marTop w:val="0"/>
              <w:marBottom w:val="0"/>
              <w:divBdr>
                <w:top w:val="none" w:sz="0" w:space="0" w:color="auto"/>
                <w:left w:val="none" w:sz="0" w:space="0" w:color="auto"/>
                <w:bottom w:val="none" w:sz="0" w:space="0" w:color="auto"/>
                <w:right w:val="none" w:sz="0" w:space="0" w:color="auto"/>
              </w:divBdr>
            </w:div>
          </w:divsChild>
        </w:div>
        <w:div w:id="1004552672">
          <w:marLeft w:val="0"/>
          <w:marRight w:val="0"/>
          <w:marTop w:val="0"/>
          <w:marBottom w:val="0"/>
          <w:divBdr>
            <w:top w:val="none" w:sz="0" w:space="0" w:color="auto"/>
            <w:left w:val="none" w:sz="0" w:space="0" w:color="auto"/>
            <w:bottom w:val="none" w:sz="0" w:space="0" w:color="auto"/>
            <w:right w:val="none" w:sz="0" w:space="0" w:color="auto"/>
          </w:divBdr>
          <w:divsChild>
            <w:div w:id="244143832">
              <w:marLeft w:val="0"/>
              <w:marRight w:val="0"/>
              <w:marTop w:val="0"/>
              <w:marBottom w:val="0"/>
              <w:divBdr>
                <w:top w:val="none" w:sz="0" w:space="0" w:color="auto"/>
                <w:left w:val="none" w:sz="0" w:space="0" w:color="auto"/>
                <w:bottom w:val="none" w:sz="0" w:space="0" w:color="auto"/>
                <w:right w:val="none" w:sz="0" w:space="0" w:color="auto"/>
              </w:divBdr>
            </w:div>
          </w:divsChild>
        </w:div>
        <w:div w:id="1011907395">
          <w:marLeft w:val="0"/>
          <w:marRight w:val="0"/>
          <w:marTop w:val="0"/>
          <w:marBottom w:val="0"/>
          <w:divBdr>
            <w:top w:val="none" w:sz="0" w:space="0" w:color="auto"/>
            <w:left w:val="none" w:sz="0" w:space="0" w:color="auto"/>
            <w:bottom w:val="none" w:sz="0" w:space="0" w:color="auto"/>
            <w:right w:val="none" w:sz="0" w:space="0" w:color="auto"/>
          </w:divBdr>
          <w:divsChild>
            <w:div w:id="216939198">
              <w:marLeft w:val="0"/>
              <w:marRight w:val="0"/>
              <w:marTop w:val="0"/>
              <w:marBottom w:val="0"/>
              <w:divBdr>
                <w:top w:val="none" w:sz="0" w:space="0" w:color="auto"/>
                <w:left w:val="none" w:sz="0" w:space="0" w:color="auto"/>
                <w:bottom w:val="none" w:sz="0" w:space="0" w:color="auto"/>
                <w:right w:val="none" w:sz="0" w:space="0" w:color="auto"/>
              </w:divBdr>
            </w:div>
            <w:div w:id="751393726">
              <w:marLeft w:val="0"/>
              <w:marRight w:val="0"/>
              <w:marTop w:val="0"/>
              <w:marBottom w:val="0"/>
              <w:divBdr>
                <w:top w:val="none" w:sz="0" w:space="0" w:color="auto"/>
                <w:left w:val="none" w:sz="0" w:space="0" w:color="auto"/>
                <w:bottom w:val="none" w:sz="0" w:space="0" w:color="auto"/>
                <w:right w:val="none" w:sz="0" w:space="0" w:color="auto"/>
              </w:divBdr>
            </w:div>
          </w:divsChild>
        </w:div>
        <w:div w:id="1044870269">
          <w:marLeft w:val="0"/>
          <w:marRight w:val="0"/>
          <w:marTop w:val="0"/>
          <w:marBottom w:val="0"/>
          <w:divBdr>
            <w:top w:val="none" w:sz="0" w:space="0" w:color="auto"/>
            <w:left w:val="none" w:sz="0" w:space="0" w:color="auto"/>
            <w:bottom w:val="none" w:sz="0" w:space="0" w:color="auto"/>
            <w:right w:val="none" w:sz="0" w:space="0" w:color="auto"/>
          </w:divBdr>
          <w:divsChild>
            <w:div w:id="1151288393">
              <w:marLeft w:val="0"/>
              <w:marRight w:val="0"/>
              <w:marTop w:val="0"/>
              <w:marBottom w:val="0"/>
              <w:divBdr>
                <w:top w:val="none" w:sz="0" w:space="0" w:color="auto"/>
                <w:left w:val="none" w:sz="0" w:space="0" w:color="auto"/>
                <w:bottom w:val="none" w:sz="0" w:space="0" w:color="auto"/>
                <w:right w:val="none" w:sz="0" w:space="0" w:color="auto"/>
              </w:divBdr>
            </w:div>
          </w:divsChild>
        </w:div>
        <w:div w:id="1235505088">
          <w:marLeft w:val="0"/>
          <w:marRight w:val="0"/>
          <w:marTop w:val="0"/>
          <w:marBottom w:val="0"/>
          <w:divBdr>
            <w:top w:val="none" w:sz="0" w:space="0" w:color="auto"/>
            <w:left w:val="none" w:sz="0" w:space="0" w:color="auto"/>
            <w:bottom w:val="none" w:sz="0" w:space="0" w:color="auto"/>
            <w:right w:val="none" w:sz="0" w:space="0" w:color="auto"/>
          </w:divBdr>
          <w:divsChild>
            <w:div w:id="2118139296">
              <w:marLeft w:val="0"/>
              <w:marRight w:val="0"/>
              <w:marTop w:val="0"/>
              <w:marBottom w:val="0"/>
              <w:divBdr>
                <w:top w:val="none" w:sz="0" w:space="0" w:color="auto"/>
                <w:left w:val="none" w:sz="0" w:space="0" w:color="auto"/>
                <w:bottom w:val="none" w:sz="0" w:space="0" w:color="auto"/>
                <w:right w:val="none" w:sz="0" w:space="0" w:color="auto"/>
              </w:divBdr>
            </w:div>
          </w:divsChild>
        </w:div>
        <w:div w:id="1610813350">
          <w:marLeft w:val="0"/>
          <w:marRight w:val="0"/>
          <w:marTop w:val="0"/>
          <w:marBottom w:val="0"/>
          <w:divBdr>
            <w:top w:val="none" w:sz="0" w:space="0" w:color="auto"/>
            <w:left w:val="none" w:sz="0" w:space="0" w:color="auto"/>
            <w:bottom w:val="none" w:sz="0" w:space="0" w:color="auto"/>
            <w:right w:val="none" w:sz="0" w:space="0" w:color="auto"/>
          </w:divBdr>
          <w:divsChild>
            <w:div w:id="1844856636">
              <w:marLeft w:val="0"/>
              <w:marRight w:val="0"/>
              <w:marTop w:val="0"/>
              <w:marBottom w:val="0"/>
              <w:divBdr>
                <w:top w:val="none" w:sz="0" w:space="0" w:color="auto"/>
                <w:left w:val="none" w:sz="0" w:space="0" w:color="auto"/>
                <w:bottom w:val="none" w:sz="0" w:space="0" w:color="auto"/>
                <w:right w:val="none" w:sz="0" w:space="0" w:color="auto"/>
              </w:divBdr>
            </w:div>
          </w:divsChild>
        </w:div>
        <w:div w:id="1705984599">
          <w:marLeft w:val="0"/>
          <w:marRight w:val="0"/>
          <w:marTop w:val="0"/>
          <w:marBottom w:val="0"/>
          <w:divBdr>
            <w:top w:val="none" w:sz="0" w:space="0" w:color="auto"/>
            <w:left w:val="none" w:sz="0" w:space="0" w:color="auto"/>
            <w:bottom w:val="none" w:sz="0" w:space="0" w:color="auto"/>
            <w:right w:val="none" w:sz="0" w:space="0" w:color="auto"/>
          </w:divBdr>
          <w:divsChild>
            <w:div w:id="1246768624">
              <w:marLeft w:val="0"/>
              <w:marRight w:val="0"/>
              <w:marTop w:val="0"/>
              <w:marBottom w:val="0"/>
              <w:divBdr>
                <w:top w:val="none" w:sz="0" w:space="0" w:color="auto"/>
                <w:left w:val="none" w:sz="0" w:space="0" w:color="auto"/>
                <w:bottom w:val="none" w:sz="0" w:space="0" w:color="auto"/>
                <w:right w:val="none" w:sz="0" w:space="0" w:color="auto"/>
              </w:divBdr>
            </w:div>
          </w:divsChild>
        </w:div>
        <w:div w:id="1877693919">
          <w:marLeft w:val="0"/>
          <w:marRight w:val="0"/>
          <w:marTop w:val="0"/>
          <w:marBottom w:val="0"/>
          <w:divBdr>
            <w:top w:val="none" w:sz="0" w:space="0" w:color="auto"/>
            <w:left w:val="none" w:sz="0" w:space="0" w:color="auto"/>
            <w:bottom w:val="none" w:sz="0" w:space="0" w:color="auto"/>
            <w:right w:val="none" w:sz="0" w:space="0" w:color="auto"/>
          </w:divBdr>
          <w:divsChild>
            <w:div w:id="1435907642">
              <w:marLeft w:val="0"/>
              <w:marRight w:val="0"/>
              <w:marTop w:val="0"/>
              <w:marBottom w:val="0"/>
              <w:divBdr>
                <w:top w:val="none" w:sz="0" w:space="0" w:color="auto"/>
                <w:left w:val="none" w:sz="0" w:space="0" w:color="auto"/>
                <w:bottom w:val="none" w:sz="0" w:space="0" w:color="auto"/>
                <w:right w:val="none" w:sz="0" w:space="0" w:color="auto"/>
              </w:divBdr>
            </w:div>
          </w:divsChild>
        </w:div>
        <w:div w:id="1886209653">
          <w:marLeft w:val="0"/>
          <w:marRight w:val="0"/>
          <w:marTop w:val="0"/>
          <w:marBottom w:val="0"/>
          <w:divBdr>
            <w:top w:val="none" w:sz="0" w:space="0" w:color="auto"/>
            <w:left w:val="none" w:sz="0" w:space="0" w:color="auto"/>
            <w:bottom w:val="none" w:sz="0" w:space="0" w:color="auto"/>
            <w:right w:val="none" w:sz="0" w:space="0" w:color="auto"/>
          </w:divBdr>
          <w:divsChild>
            <w:div w:id="2004703765">
              <w:marLeft w:val="0"/>
              <w:marRight w:val="0"/>
              <w:marTop w:val="0"/>
              <w:marBottom w:val="0"/>
              <w:divBdr>
                <w:top w:val="none" w:sz="0" w:space="0" w:color="auto"/>
                <w:left w:val="none" w:sz="0" w:space="0" w:color="auto"/>
                <w:bottom w:val="none" w:sz="0" w:space="0" w:color="auto"/>
                <w:right w:val="none" w:sz="0" w:space="0" w:color="auto"/>
              </w:divBdr>
            </w:div>
          </w:divsChild>
        </w:div>
        <w:div w:id="1925337878">
          <w:marLeft w:val="0"/>
          <w:marRight w:val="0"/>
          <w:marTop w:val="0"/>
          <w:marBottom w:val="0"/>
          <w:divBdr>
            <w:top w:val="none" w:sz="0" w:space="0" w:color="auto"/>
            <w:left w:val="none" w:sz="0" w:space="0" w:color="auto"/>
            <w:bottom w:val="none" w:sz="0" w:space="0" w:color="auto"/>
            <w:right w:val="none" w:sz="0" w:space="0" w:color="auto"/>
          </w:divBdr>
          <w:divsChild>
            <w:div w:id="325675245">
              <w:marLeft w:val="0"/>
              <w:marRight w:val="0"/>
              <w:marTop w:val="0"/>
              <w:marBottom w:val="0"/>
              <w:divBdr>
                <w:top w:val="none" w:sz="0" w:space="0" w:color="auto"/>
                <w:left w:val="none" w:sz="0" w:space="0" w:color="auto"/>
                <w:bottom w:val="none" w:sz="0" w:space="0" w:color="auto"/>
                <w:right w:val="none" w:sz="0" w:space="0" w:color="auto"/>
              </w:divBdr>
            </w:div>
          </w:divsChild>
        </w:div>
        <w:div w:id="1925798961">
          <w:marLeft w:val="0"/>
          <w:marRight w:val="0"/>
          <w:marTop w:val="0"/>
          <w:marBottom w:val="0"/>
          <w:divBdr>
            <w:top w:val="none" w:sz="0" w:space="0" w:color="auto"/>
            <w:left w:val="none" w:sz="0" w:space="0" w:color="auto"/>
            <w:bottom w:val="none" w:sz="0" w:space="0" w:color="auto"/>
            <w:right w:val="none" w:sz="0" w:space="0" w:color="auto"/>
          </w:divBdr>
          <w:divsChild>
            <w:div w:id="12078589">
              <w:marLeft w:val="0"/>
              <w:marRight w:val="0"/>
              <w:marTop w:val="0"/>
              <w:marBottom w:val="0"/>
              <w:divBdr>
                <w:top w:val="none" w:sz="0" w:space="0" w:color="auto"/>
                <w:left w:val="none" w:sz="0" w:space="0" w:color="auto"/>
                <w:bottom w:val="none" w:sz="0" w:space="0" w:color="auto"/>
                <w:right w:val="none" w:sz="0" w:space="0" w:color="auto"/>
              </w:divBdr>
            </w:div>
          </w:divsChild>
        </w:div>
        <w:div w:id="2058047963">
          <w:marLeft w:val="0"/>
          <w:marRight w:val="0"/>
          <w:marTop w:val="0"/>
          <w:marBottom w:val="0"/>
          <w:divBdr>
            <w:top w:val="none" w:sz="0" w:space="0" w:color="auto"/>
            <w:left w:val="none" w:sz="0" w:space="0" w:color="auto"/>
            <w:bottom w:val="none" w:sz="0" w:space="0" w:color="auto"/>
            <w:right w:val="none" w:sz="0" w:space="0" w:color="auto"/>
          </w:divBdr>
          <w:divsChild>
            <w:div w:id="687025609">
              <w:marLeft w:val="0"/>
              <w:marRight w:val="0"/>
              <w:marTop w:val="0"/>
              <w:marBottom w:val="0"/>
              <w:divBdr>
                <w:top w:val="none" w:sz="0" w:space="0" w:color="auto"/>
                <w:left w:val="none" w:sz="0" w:space="0" w:color="auto"/>
                <w:bottom w:val="none" w:sz="0" w:space="0" w:color="auto"/>
                <w:right w:val="none" w:sz="0" w:space="0" w:color="auto"/>
              </w:divBdr>
            </w:div>
          </w:divsChild>
        </w:div>
        <w:div w:id="2105804137">
          <w:marLeft w:val="0"/>
          <w:marRight w:val="0"/>
          <w:marTop w:val="0"/>
          <w:marBottom w:val="0"/>
          <w:divBdr>
            <w:top w:val="none" w:sz="0" w:space="0" w:color="auto"/>
            <w:left w:val="none" w:sz="0" w:space="0" w:color="auto"/>
            <w:bottom w:val="none" w:sz="0" w:space="0" w:color="auto"/>
            <w:right w:val="none" w:sz="0" w:space="0" w:color="auto"/>
          </w:divBdr>
          <w:divsChild>
            <w:div w:id="1333723473">
              <w:marLeft w:val="0"/>
              <w:marRight w:val="0"/>
              <w:marTop w:val="0"/>
              <w:marBottom w:val="0"/>
              <w:divBdr>
                <w:top w:val="none" w:sz="0" w:space="0" w:color="auto"/>
                <w:left w:val="none" w:sz="0" w:space="0" w:color="auto"/>
                <w:bottom w:val="none" w:sz="0" w:space="0" w:color="auto"/>
                <w:right w:val="none" w:sz="0" w:space="0" w:color="auto"/>
              </w:divBdr>
            </w:div>
          </w:divsChild>
        </w:div>
        <w:div w:id="2130540986">
          <w:marLeft w:val="0"/>
          <w:marRight w:val="0"/>
          <w:marTop w:val="0"/>
          <w:marBottom w:val="0"/>
          <w:divBdr>
            <w:top w:val="none" w:sz="0" w:space="0" w:color="auto"/>
            <w:left w:val="none" w:sz="0" w:space="0" w:color="auto"/>
            <w:bottom w:val="none" w:sz="0" w:space="0" w:color="auto"/>
            <w:right w:val="none" w:sz="0" w:space="0" w:color="auto"/>
          </w:divBdr>
          <w:divsChild>
            <w:div w:id="1408723291">
              <w:marLeft w:val="0"/>
              <w:marRight w:val="0"/>
              <w:marTop w:val="0"/>
              <w:marBottom w:val="0"/>
              <w:divBdr>
                <w:top w:val="none" w:sz="0" w:space="0" w:color="auto"/>
                <w:left w:val="none" w:sz="0" w:space="0" w:color="auto"/>
                <w:bottom w:val="none" w:sz="0" w:space="0" w:color="auto"/>
                <w:right w:val="none" w:sz="0" w:space="0" w:color="auto"/>
              </w:divBdr>
            </w:div>
          </w:divsChild>
        </w:div>
        <w:div w:id="2146703501">
          <w:marLeft w:val="0"/>
          <w:marRight w:val="0"/>
          <w:marTop w:val="0"/>
          <w:marBottom w:val="0"/>
          <w:divBdr>
            <w:top w:val="none" w:sz="0" w:space="0" w:color="auto"/>
            <w:left w:val="none" w:sz="0" w:space="0" w:color="auto"/>
            <w:bottom w:val="none" w:sz="0" w:space="0" w:color="auto"/>
            <w:right w:val="none" w:sz="0" w:space="0" w:color="auto"/>
          </w:divBdr>
          <w:divsChild>
            <w:div w:id="14195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8369">
      <w:bodyDiv w:val="1"/>
      <w:marLeft w:val="0"/>
      <w:marRight w:val="0"/>
      <w:marTop w:val="0"/>
      <w:marBottom w:val="0"/>
      <w:divBdr>
        <w:top w:val="none" w:sz="0" w:space="0" w:color="auto"/>
        <w:left w:val="none" w:sz="0" w:space="0" w:color="auto"/>
        <w:bottom w:val="none" w:sz="0" w:space="0" w:color="auto"/>
        <w:right w:val="none" w:sz="0" w:space="0" w:color="auto"/>
      </w:divBdr>
    </w:div>
    <w:div w:id="2119442020">
      <w:bodyDiv w:val="1"/>
      <w:marLeft w:val="0"/>
      <w:marRight w:val="0"/>
      <w:marTop w:val="0"/>
      <w:marBottom w:val="0"/>
      <w:divBdr>
        <w:top w:val="none" w:sz="0" w:space="0" w:color="auto"/>
        <w:left w:val="none" w:sz="0" w:space="0" w:color="auto"/>
        <w:bottom w:val="none" w:sz="0" w:space="0" w:color="auto"/>
        <w:right w:val="none" w:sz="0" w:space="0" w:color="auto"/>
      </w:divBdr>
      <w:divsChild>
        <w:div w:id="277512">
          <w:marLeft w:val="0"/>
          <w:marRight w:val="0"/>
          <w:marTop w:val="0"/>
          <w:marBottom w:val="0"/>
          <w:divBdr>
            <w:top w:val="none" w:sz="0" w:space="0" w:color="auto"/>
            <w:left w:val="none" w:sz="0" w:space="0" w:color="auto"/>
            <w:bottom w:val="none" w:sz="0" w:space="0" w:color="auto"/>
            <w:right w:val="none" w:sz="0" w:space="0" w:color="auto"/>
          </w:divBdr>
        </w:div>
        <w:div w:id="12155421">
          <w:marLeft w:val="0"/>
          <w:marRight w:val="0"/>
          <w:marTop w:val="0"/>
          <w:marBottom w:val="0"/>
          <w:divBdr>
            <w:top w:val="none" w:sz="0" w:space="0" w:color="auto"/>
            <w:left w:val="none" w:sz="0" w:space="0" w:color="auto"/>
            <w:bottom w:val="none" w:sz="0" w:space="0" w:color="auto"/>
            <w:right w:val="none" w:sz="0" w:space="0" w:color="auto"/>
          </w:divBdr>
        </w:div>
        <w:div w:id="24214768">
          <w:marLeft w:val="0"/>
          <w:marRight w:val="0"/>
          <w:marTop w:val="0"/>
          <w:marBottom w:val="0"/>
          <w:divBdr>
            <w:top w:val="none" w:sz="0" w:space="0" w:color="auto"/>
            <w:left w:val="none" w:sz="0" w:space="0" w:color="auto"/>
            <w:bottom w:val="none" w:sz="0" w:space="0" w:color="auto"/>
            <w:right w:val="none" w:sz="0" w:space="0" w:color="auto"/>
          </w:divBdr>
        </w:div>
        <w:div w:id="31421617">
          <w:marLeft w:val="0"/>
          <w:marRight w:val="0"/>
          <w:marTop w:val="0"/>
          <w:marBottom w:val="0"/>
          <w:divBdr>
            <w:top w:val="none" w:sz="0" w:space="0" w:color="auto"/>
            <w:left w:val="none" w:sz="0" w:space="0" w:color="auto"/>
            <w:bottom w:val="none" w:sz="0" w:space="0" w:color="auto"/>
            <w:right w:val="none" w:sz="0" w:space="0" w:color="auto"/>
          </w:divBdr>
        </w:div>
        <w:div w:id="38937041">
          <w:marLeft w:val="0"/>
          <w:marRight w:val="0"/>
          <w:marTop w:val="0"/>
          <w:marBottom w:val="0"/>
          <w:divBdr>
            <w:top w:val="none" w:sz="0" w:space="0" w:color="auto"/>
            <w:left w:val="none" w:sz="0" w:space="0" w:color="auto"/>
            <w:bottom w:val="none" w:sz="0" w:space="0" w:color="auto"/>
            <w:right w:val="none" w:sz="0" w:space="0" w:color="auto"/>
          </w:divBdr>
        </w:div>
        <w:div w:id="69885700">
          <w:marLeft w:val="0"/>
          <w:marRight w:val="0"/>
          <w:marTop w:val="0"/>
          <w:marBottom w:val="0"/>
          <w:divBdr>
            <w:top w:val="none" w:sz="0" w:space="0" w:color="auto"/>
            <w:left w:val="none" w:sz="0" w:space="0" w:color="auto"/>
            <w:bottom w:val="none" w:sz="0" w:space="0" w:color="auto"/>
            <w:right w:val="none" w:sz="0" w:space="0" w:color="auto"/>
          </w:divBdr>
        </w:div>
        <w:div w:id="70854587">
          <w:marLeft w:val="0"/>
          <w:marRight w:val="0"/>
          <w:marTop w:val="0"/>
          <w:marBottom w:val="0"/>
          <w:divBdr>
            <w:top w:val="none" w:sz="0" w:space="0" w:color="auto"/>
            <w:left w:val="none" w:sz="0" w:space="0" w:color="auto"/>
            <w:bottom w:val="none" w:sz="0" w:space="0" w:color="auto"/>
            <w:right w:val="none" w:sz="0" w:space="0" w:color="auto"/>
          </w:divBdr>
        </w:div>
        <w:div w:id="93208739">
          <w:marLeft w:val="0"/>
          <w:marRight w:val="0"/>
          <w:marTop w:val="0"/>
          <w:marBottom w:val="0"/>
          <w:divBdr>
            <w:top w:val="none" w:sz="0" w:space="0" w:color="auto"/>
            <w:left w:val="none" w:sz="0" w:space="0" w:color="auto"/>
            <w:bottom w:val="none" w:sz="0" w:space="0" w:color="auto"/>
            <w:right w:val="none" w:sz="0" w:space="0" w:color="auto"/>
          </w:divBdr>
        </w:div>
        <w:div w:id="94524449">
          <w:marLeft w:val="0"/>
          <w:marRight w:val="0"/>
          <w:marTop w:val="0"/>
          <w:marBottom w:val="0"/>
          <w:divBdr>
            <w:top w:val="none" w:sz="0" w:space="0" w:color="auto"/>
            <w:left w:val="none" w:sz="0" w:space="0" w:color="auto"/>
            <w:bottom w:val="none" w:sz="0" w:space="0" w:color="auto"/>
            <w:right w:val="none" w:sz="0" w:space="0" w:color="auto"/>
          </w:divBdr>
        </w:div>
        <w:div w:id="106510139">
          <w:marLeft w:val="0"/>
          <w:marRight w:val="0"/>
          <w:marTop w:val="0"/>
          <w:marBottom w:val="0"/>
          <w:divBdr>
            <w:top w:val="none" w:sz="0" w:space="0" w:color="auto"/>
            <w:left w:val="none" w:sz="0" w:space="0" w:color="auto"/>
            <w:bottom w:val="none" w:sz="0" w:space="0" w:color="auto"/>
            <w:right w:val="none" w:sz="0" w:space="0" w:color="auto"/>
          </w:divBdr>
        </w:div>
        <w:div w:id="132842833">
          <w:marLeft w:val="0"/>
          <w:marRight w:val="0"/>
          <w:marTop w:val="0"/>
          <w:marBottom w:val="0"/>
          <w:divBdr>
            <w:top w:val="none" w:sz="0" w:space="0" w:color="auto"/>
            <w:left w:val="none" w:sz="0" w:space="0" w:color="auto"/>
            <w:bottom w:val="none" w:sz="0" w:space="0" w:color="auto"/>
            <w:right w:val="none" w:sz="0" w:space="0" w:color="auto"/>
          </w:divBdr>
        </w:div>
        <w:div w:id="156969477">
          <w:marLeft w:val="0"/>
          <w:marRight w:val="0"/>
          <w:marTop w:val="0"/>
          <w:marBottom w:val="0"/>
          <w:divBdr>
            <w:top w:val="none" w:sz="0" w:space="0" w:color="auto"/>
            <w:left w:val="none" w:sz="0" w:space="0" w:color="auto"/>
            <w:bottom w:val="none" w:sz="0" w:space="0" w:color="auto"/>
            <w:right w:val="none" w:sz="0" w:space="0" w:color="auto"/>
          </w:divBdr>
        </w:div>
        <w:div w:id="162816695">
          <w:marLeft w:val="0"/>
          <w:marRight w:val="0"/>
          <w:marTop w:val="0"/>
          <w:marBottom w:val="0"/>
          <w:divBdr>
            <w:top w:val="none" w:sz="0" w:space="0" w:color="auto"/>
            <w:left w:val="none" w:sz="0" w:space="0" w:color="auto"/>
            <w:bottom w:val="none" w:sz="0" w:space="0" w:color="auto"/>
            <w:right w:val="none" w:sz="0" w:space="0" w:color="auto"/>
          </w:divBdr>
        </w:div>
        <w:div w:id="183440559">
          <w:marLeft w:val="0"/>
          <w:marRight w:val="0"/>
          <w:marTop w:val="0"/>
          <w:marBottom w:val="0"/>
          <w:divBdr>
            <w:top w:val="none" w:sz="0" w:space="0" w:color="auto"/>
            <w:left w:val="none" w:sz="0" w:space="0" w:color="auto"/>
            <w:bottom w:val="none" w:sz="0" w:space="0" w:color="auto"/>
            <w:right w:val="none" w:sz="0" w:space="0" w:color="auto"/>
          </w:divBdr>
        </w:div>
        <w:div w:id="187718434">
          <w:marLeft w:val="0"/>
          <w:marRight w:val="0"/>
          <w:marTop w:val="0"/>
          <w:marBottom w:val="0"/>
          <w:divBdr>
            <w:top w:val="none" w:sz="0" w:space="0" w:color="auto"/>
            <w:left w:val="none" w:sz="0" w:space="0" w:color="auto"/>
            <w:bottom w:val="none" w:sz="0" w:space="0" w:color="auto"/>
            <w:right w:val="none" w:sz="0" w:space="0" w:color="auto"/>
          </w:divBdr>
        </w:div>
        <w:div w:id="193812669">
          <w:marLeft w:val="0"/>
          <w:marRight w:val="0"/>
          <w:marTop w:val="0"/>
          <w:marBottom w:val="0"/>
          <w:divBdr>
            <w:top w:val="none" w:sz="0" w:space="0" w:color="auto"/>
            <w:left w:val="none" w:sz="0" w:space="0" w:color="auto"/>
            <w:bottom w:val="none" w:sz="0" w:space="0" w:color="auto"/>
            <w:right w:val="none" w:sz="0" w:space="0" w:color="auto"/>
          </w:divBdr>
        </w:div>
        <w:div w:id="202133598">
          <w:marLeft w:val="0"/>
          <w:marRight w:val="0"/>
          <w:marTop w:val="0"/>
          <w:marBottom w:val="0"/>
          <w:divBdr>
            <w:top w:val="none" w:sz="0" w:space="0" w:color="auto"/>
            <w:left w:val="none" w:sz="0" w:space="0" w:color="auto"/>
            <w:bottom w:val="none" w:sz="0" w:space="0" w:color="auto"/>
            <w:right w:val="none" w:sz="0" w:space="0" w:color="auto"/>
          </w:divBdr>
        </w:div>
        <w:div w:id="204291065">
          <w:marLeft w:val="0"/>
          <w:marRight w:val="0"/>
          <w:marTop w:val="0"/>
          <w:marBottom w:val="0"/>
          <w:divBdr>
            <w:top w:val="none" w:sz="0" w:space="0" w:color="auto"/>
            <w:left w:val="none" w:sz="0" w:space="0" w:color="auto"/>
            <w:bottom w:val="none" w:sz="0" w:space="0" w:color="auto"/>
            <w:right w:val="none" w:sz="0" w:space="0" w:color="auto"/>
          </w:divBdr>
        </w:div>
        <w:div w:id="233859296">
          <w:marLeft w:val="0"/>
          <w:marRight w:val="0"/>
          <w:marTop w:val="0"/>
          <w:marBottom w:val="0"/>
          <w:divBdr>
            <w:top w:val="none" w:sz="0" w:space="0" w:color="auto"/>
            <w:left w:val="none" w:sz="0" w:space="0" w:color="auto"/>
            <w:bottom w:val="none" w:sz="0" w:space="0" w:color="auto"/>
            <w:right w:val="none" w:sz="0" w:space="0" w:color="auto"/>
          </w:divBdr>
        </w:div>
        <w:div w:id="239751078">
          <w:marLeft w:val="0"/>
          <w:marRight w:val="0"/>
          <w:marTop w:val="0"/>
          <w:marBottom w:val="0"/>
          <w:divBdr>
            <w:top w:val="none" w:sz="0" w:space="0" w:color="auto"/>
            <w:left w:val="none" w:sz="0" w:space="0" w:color="auto"/>
            <w:bottom w:val="none" w:sz="0" w:space="0" w:color="auto"/>
            <w:right w:val="none" w:sz="0" w:space="0" w:color="auto"/>
          </w:divBdr>
        </w:div>
        <w:div w:id="257252049">
          <w:marLeft w:val="0"/>
          <w:marRight w:val="0"/>
          <w:marTop w:val="0"/>
          <w:marBottom w:val="0"/>
          <w:divBdr>
            <w:top w:val="none" w:sz="0" w:space="0" w:color="auto"/>
            <w:left w:val="none" w:sz="0" w:space="0" w:color="auto"/>
            <w:bottom w:val="none" w:sz="0" w:space="0" w:color="auto"/>
            <w:right w:val="none" w:sz="0" w:space="0" w:color="auto"/>
          </w:divBdr>
        </w:div>
        <w:div w:id="262688178">
          <w:marLeft w:val="0"/>
          <w:marRight w:val="0"/>
          <w:marTop w:val="0"/>
          <w:marBottom w:val="0"/>
          <w:divBdr>
            <w:top w:val="none" w:sz="0" w:space="0" w:color="auto"/>
            <w:left w:val="none" w:sz="0" w:space="0" w:color="auto"/>
            <w:bottom w:val="none" w:sz="0" w:space="0" w:color="auto"/>
            <w:right w:val="none" w:sz="0" w:space="0" w:color="auto"/>
          </w:divBdr>
        </w:div>
        <w:div w:id="268509643">
          <w:marLeft w:val="0"/>
          <w:marRight w:val="0"/>
          <w:marTop w:val="0"/>
          <w:marBottom w:val="0"/>
          <w:divBdr>
            <w:top w:val="none" w:sz="0" w:space="0" w:color="auto"/>
            <w:left w:val="none" w:sz="0" w:space="0" w:color="auto"/>
            <w:bottom w:val="none" w:sz="0" w:space="0" w:color="auto"/>
            <w:right w:val="none" w:sz="0" w:space="0" w:color="auto"/>
          </w:divBdr>
        </w:div>
        <w:div w:id="274599341">
          <w:marLeft w:val="0"/>
          <w:marRight w:val="0"/>
          <w:marTop w:val="0"/>
          <w:marBottom w:val="0"/>
          <w:divBdr>
            <w:top w:val="none" w:sz="0" w:space="0" w:color="auto"/>
            <w:left w:val="none" w:sz="0" w:space="0" w:color="auto"/>
            <w:bottom w:val="none" w:sz="0" w:space="0" w:color="auto"/>
            <w:right w:val="none" w:sz="0" w:space="0" w:color="auto"/>
          </w:divBdr>
        </w:div>
        <w:div w:id="295452573">
          <w:marLeft w:val="0"/>
          <w:marRight w:val="0"/>
          <w:marTop w:val="0"/>
          <w:marBottom w:val="0"/>
          <w:divBdr>
            <w:top w:val="none" w:sz="0" w:space="0" w:color="auto"/>
            <w:left w:val="none" w:sz="0" w:space="0" w:color="auto"/>
            <w:bottom w:val="none" w:sz="0" w:space="0" w:color="auto"/>
            <w:right w:val="none" w:sz="0" w:space="0" w:color="auto"/>
          </w:divBdr>
        </w:div>
        <w:div w:id="303781277">
          <w:marLeft w:val="0"/>
          <w:marRight w:val="0"/>
          <w:marTop w:val="0"/>
          <w:marBottom w:val="0"/>
          <w:divBdr>
            <w:top w:val="none" w:sz="0" w:space="0" w:color="auto"/>
            <w:left w:val="none" w:sz="0" w:space="0" w:color="auto"/>
            <w:bottom w:val="none" w:sz="0" w:space="0" w:color="auto"/>
            <w:right w:val="none" w:sz="0" w:space="0" w:color="auto"/>
          </w:divBdr>
        </w:div>
        <w:div w:id="314842843">
          <w:marLeft w:val="0"/>
          <w:marRight w:val="0"/>
          <w:marTop w:val="0"/>
          <w:marBottom w:val="0"/>
          <w:divBdr>
            <w:top w:val="none" w:sz="0" w:space="0" w:color="auto"/>
            <w:left w:val="none" w:sz="0" w:space="0" w:color="auto"/>
            <w:bottom w:val="none" w:sz="0" w:space="0" w:color="auto"/>
            <w:right w:val="none" w:sz="0" w:space="0" w:color="auto"/>
          </w:divBdr>
        </w:div>
        <w:div w:id="321129178">
          <w:marLeft w:val="0"/>
          <w:marRight w:val="0"/>
          <w:marTop w:val="0"/>
          <w:marBottom w:val="0"/>
          <w:divBdr>
            <w:top w:val="none" w:sz="0" w:space="0" w:color="auto"/>
            <w:left w:val="none" w:sz="0" w:space="0" w:color="auto"/>
            <w:bottom w:val="none" w:sz="0" w:space="0" w:color="auto"/>
            <w:right w:val="none" w:sz="0" w:space="0" w:color="auto"/>
          </w:divBdr>
        </w:div>
        <w:div w:id="324092994">
          <w:marLeft w:val="0"/>
          <w:marRight w:val="0"/>
          <w:marTop w:val="0"/>
          <w:marBottom w:val="0"/>
          <w:divBdr>
            <w:top w:val="none" w:sz="0" w:space="0" w:color="auto"/>
            <w:left w:val="none" w:sz="0" w:space="0" w:color="auto"/>
            <w:bottom w:val="none" w:sz="0" w:space="0" w:color="auto"/>
            <w:right w:val="none" w:sz="0" w:space="0" w:color="auto"/>
          </w:divBdr>
        </w:div>
        <w:div w:id="325984966">
          <w:marLeft w:val="0"/>
          <w:marRight w:val="0"/>
          <w:marTop w:val="0"/>
          <w:marBottom w:val="0"/>
          <w:divBdr>
            <w:top w:val="none" w:sz="0" w:space="0" w:color="auto"/>
            <w:left w:val="none" w:sz="0" w:space="0" w:color="auto"/>
            <w:bottom w:val="none" w:sz="0" w:space="0" w:color="auto"/>
            <w:right w:val="none" w:sz="0" w:space="0" w:color="auto"/>
          </w:divBdr>
        </w:div>
        <w:div w:id="335308556">
          <w:marLeft w:val="0"/>
          <w:marRight w:val="0"/>
          <w:marTop w:val="0"/>
          <w:marBottom w:val="0"/>
          <w:divBdr>
            <w:top w:val="none" w:sz="0" w:space="0" w:color="auto"/>
            <w:left w:val="none" w:sz="0" w:space="0" w:color="auto"/>
            <w:bottom w:val="none" w:sz="0" w:space="0" w:color="auto"/>
            <w:right w:val="none" w:sz="0" w:space="0" w:color="auto"/>
          </w:divBdr>
        </w:div>
        <w:div w:id="344937798">
          <w:marLeft w:val="0"/>
          <w:marRight w:val="0"/>
          <w:marTop w:val="0"/>
          <w:marBottom w:val="0"/>
          <w:divBdr>
            <w:top w:val="none" w:sz="0" w:space="0" w:color="auto"/>
            <w:left w:val="none" w:sz="0" w:space="0" w:color="auto"/>
            <w:bottom w:val="none" w:sz="0" w:space="0" w:color="auto"/>
            <w:right w:val="none" w:sz="0" w:space="0" w:color="auto"/>
          </w:divBdr>
        </w:div>
        <w:div w:id="386030069">
          <w:marLeft w:val="0"/>
          <w:marRight w:val="0"/>
          <w:marTop w:val="0"/>
          <w:marBottom w:val="0"/>
          <w:divBdr>
            <w:top w:val="none" w:sz="0" w:space="0" w:color="auto"/>
            <w:left w:val="none" w:sz="0" w:space="0" w:color="auto"/>
            <w:bottom w:val="none" w:sz="0" w:space="0" w:color="auto"/>
            <w:right w:val="none" w:sz="0" w:space="0" w:color="auto"/>
          </w:divBdr>
        </w:div>
        <w:div w:id="402411715">
          <w:marLeft w:val="0"/>
          <w:marRight w:val="0"/>
          <w:marTop w:val="0"/>
          <w:marBottom w:val="0"/>
          <w:divBdr>
            <w:top w:val="none" w:sz="0" w:space="0" w:color="auto"/>
            <w:left w:val="none" w:sz="0" w:space="0" w:color="auto"/>
            <w:bottom w:val="none" w:sz="0" w:space="0" w:color="auto"/>
            <w:right w:val="none" w:sz="0" w:space="0" w:color="auto"/>
          </w:divBdr>
        </w:div>
        <w:div w:id="418448942">
          <w:marLeft w:val="0"/>
          <w:marRight w:val="0"/>
          <w:marTop w:val="0"/>
          <w:marBottom w:val="0"/>
          <w:divBdr>
            <w:top w:val="none" w:sz="0" w:space="0" w:color="auto"/>
            <w:left w:val="none" w:sz="0" w:space="0" w:color="auto"/>
            <w:bottom w:val="none" w:sz="0" w:space="0" w:color="auto"/>
            <w:right w:val="none" w:sz="0" w:space="0" w:color="auto"/>
          </w:divBdr>
        </w:div>
        <w:div w:id="424304909">
          <w:marLeft w:val="0"/>
          <w:marRight w:val="0"/>
          <w:marTop w:val="0"/>
          <w:marBottom w:val="0"/>
          <w:divBdr>
            <w:top w:val="none" w:sz="0" w:space="0" w:color="auto"/>
            <w:left w:val="none" w:sz="0" w:space="0" w:color="auto"/>
            <w:bottom w:val="none" w:sz="0" w:space="0" w:color="auto"/>
            <w:right w:val="none" w:sz="0" w:space="0" w:color="auto"/>
          </w:divBdr>
        </w:div>
        <w:div w:id="432240991">
          <w:marLeft w:val="0"/>
          <w:marRight w:val="0"/>
          <w:marTop w:val="0"/>
          <w:marBottom w:val="0"/>
          <w:divBdr>
            <w:top w:val="none" w:sz="0" w:space="0" w:color="auto"/>
            <w:left w:val="none" w:sz="0" w:space="0" w:color="auto"/>
            <w:bottom w:val="none" w:sz="0" w:space="0" w:color="auto"/>
            <w:right w:val="none" w:sz="0" w:space="0" w:color="auto"/>
          </w:divBdr>
        </w:div>
        <w:div w:id="435179091">
          <w:marLeft w:val="0"/>
          <w:marRight w:val="0"/>
          <w:marTop w:val="0"/>
          <w:marBottom w:val="0"/>
          <w:divBdr>
            <w:top w:val="none" w:sz="0" w:space="0" w:color="auto"/>
            <w:left w:val="none" w:sz="0" w:space="0" w:color="auto"/>
            <w:bottom w:val="none" w:sz="0" w:space="0" w:color="auto"/>
            <w:right w:val="none" w:sz="0" w:space="0" w:color="auto"/>
          </w:divBdr>
        </w:div>
        <w:div w:id="437069904">
          <w:marLeft w:val="0"/>
          <w:marRight w:val="0"/>
          <w:marTop w:val="0"/>
          <w:marBottom w:val="0"/>
          <w:divBdr>
            <w:top w:val="none" w:sz="0" w:space="0" w:color="auto"/>
            <w:left w:val="none" w:sz="0" w:space="0" w:color="auto"/>
            <w:bottom w:val="none" w:sz="0" w:space="0" w:color="auto"/>
            <w:right w:val="none" w:sz="0" w:space="0" w:color="auto"/>
          </w:divBdr>
        </w:div>
        <w:div w:id="454981792">
          <w:marLeft w:val="0"/>
          <w:marRight w:val="0"/>
          <w:marTop w:val="0"/>
          <w:marBottom w:val="0"/>
          <w:divBdr>
            <w:top w:val="none" w:sz="0" w:space="0" w:color="auto"/>
            <w:left w:val="none" w:sz="0" w:space="0" w:color="auto"/>
            <w:bottom w:val="none" w:sz="0" w:space="0" w:color="auto"/>
            <w:right w:val="none" w:sz="0" w:space="0" w:color="auto"/>
          </w:divBdr>
        </w:div>
        <w:div w:id="469715672">
          <w:marLeft w:val="0"/>
          <w:marRight w:val="0"/>
          <w:marTop w:val="0"/>
          <w:marBottom w:val="0"/>
          <w:divBdr>
            <w:top w:val="none" w:sz="0" w:space="0" w:color="auto"/>
            <w:left w:val="none" w:sz="0" w:space="0" w:color="auto"/>
            <w:bottom w:val="none" w:sz="0" w:space="0" w:color="auto"/>
            <w:right w:val="none" w:sz="0" w:space="0" w:color="auto"/>
          </w:divBdr>
        </w:div>
        <w:div w:id="477263846">
          <w:marLeft w:val="0"/>
          <w:marRight w:val="0"/>
          <w:marTop w:val="0"/>
          <w:marBottom w:val="0"/>
          <w:divBdr>
            <w:top w:val="none" w:sz="0" w:space="0" w:color="auto"/>
            <w:left w:val="none" w:sz="0" w:space="0" w:color="auto"/>
            <w:bottom w:val="none" w:sz="0" w:space="0" w:color="auto"/>
            <w:right w:val="none" w:sz="0" w:space="0" w:color="auto"/>
          </w:divBdr>
        </w:div>
        <w:div w:id="524250029">
          <w:marLeft w:val="0"/>
          <w:marRight w:val="0"/>
          <w:marTop w:val="0"/>
          <w:marBottom w:val="0"/>
          <w:divBdr>
            <w:top w:val="none" w:sz="0" w:space="0" w:color="auto"/>
            <w:left w:val="none" w:sz="0" w:space="0" w:color="auto"/>
            <w:bottom w:val="none" w:sz="0" w:space="0" w:color="auto"/>
            <w:right w:val="none" w:sz="0" w:space="0" w:color="auto"/>
          </w:divBdr>
        </w:div>
        <w:div w:id="529416947">
          <w:marLeft w:val="0"/>
          <w:marRight w:val="0"/>
          <w:marTop w:val="0"/>
          <w:marBottom w:val="0"/>
          <w:divBdr>
            <w:top w:val="none" w:sz="0" w:space="0" w:color="auto"/>
            <w:left w:val="none" w:sz="0" w:space="0" w:color="auto"/>
            <w:bottom w:val="none" w:sz="0" w:space="0" w:color="auto"/>
            <w:right w:val="none" w:sz="0" w:space="0" w:color="auto"/>
          </w:divBdr>
        </w:div>
        <w:div w:id="549607901">
          <w:marLeft w:val="0"/>
          <w:marRight w:val="0"/>
          <w:marTop w:val="0"/>
          <w:marBottom w:val="0"/>
          <w:divBdr>
            <w:top w:val="none" w:sz="0" w:space="0" w:color="auto"/>
            <w:left w:val="none" w:sz="0" w:space="0" w:color="auto"/>
            <w:bottom w:val="none" w:sz="0" w:space="0" w:color="auto"/>
            <w:right w:val="none" w:sz="0" w:space="0" w:color="auto"/>
          </w:divBdr>
        </w:div>
        <w:div w:id="560675358">
          <w:marLeft w:val="0"/>
          <w:marRight w:val="0"/>
          <w:marTop w:val="0"/>
          <w:marBottom w:val="0"/>
          <w:divBdr>
            <w:top w:val="none" w:sz="0" w:space="0" w:color="auto"/>
            <w:left w:val="none" w:sz="0" w:space="0" w:color="auto"/>
            <w:bottom w:val="none" w:sz="0" w:space="0" w:color="auto"/>
            <w:right w:val="none" w:sz="0" w:space="0" w:color="auto"/>
          </w:divBdr>
        </w:div>
        <w:div w:id="578179785">
          <w:marLeft w:val="0"/>
          <w:marRight w:val="0"/>
          <w:marTop w:val="0"/>
          <w:marBottom w:val="0"/>
          <w:divBdr>
            <w:top w:val="none" w:sz="0" w:space="0" w:color="auto"/>
            <w:left w:val="none" w:sz="0" w:space="0" w:color="auto"/>
            <w:bottom w:val="none" w:sz="0" w:space="0" w:color="auto"/>
            <w:right w:val="none" w:sz="0" w:space="0" w:color="auto"/>
          </w:divBdr>
        </w:div>
        <w:div w:id="580069316">
          <w:marLeft w:val="0"/>
          <w:marRight w:val="0"/>
          <w:marTop w:val="0"/>
          <w:marBottom w:val="0"/>
          <w:divBdr>
            <w:top w:val="none" w:sz="0" w:space="0" w:color="auto"/>
            <w:left w:val="none" w:sz="0" w:space="0" w:color="auto"/>
            <w:bottom w:val="none" w:sz="0" w:space="0" w:color="auto"/>
            <w:right w:val="none" w:sz="0" w:space="0" w:color="auto"/>
          </w:divBdr>
        </w:div>
        <w:div w:id="593444152">
          <w:marLeft w:val="0"/>
          <w:marRight w:val="0"/>
          <w:marTop w:val="0"/>
          <w:marBottom w:val="0"/>
          <w:divBdr>
            <w:top w:val="none" w:sz="0" w:space="0" w:color="auto"/>
            <w:left w:val="none" w:sz="0" w:space="0" w:color="auto"/>
            <w:bottom w:val="none" w:sz="0" w:space="0" w:color="auto"/>
            <w:right w:val="none" w:sz="0" w:space="0" w:color="auto"/>
          </w:divBdr>
        </w:div>
        <w:div w:id="596598994">
          <w:marLeft w:val="0"/>
          <w:marRight w:val="0"/>
          <w:marTop w:val="0"/>
          <w:marBottom w:val="0"/>
          <w:divBdr>
            <w:top w:val="none" w:sz="0" w:space="0" w:color="auto"/>
            <w:left w:val="none" w:sz="0" w:space="0" w:color="auto"/>
            <w:bottom w:val="none" w:sz="0" w:space="0" w:color="auto"/>
            <w:right w:val="none" w:sz="0" w:space="0" w:color="auto"/>
          </w:divBdr>
        </w:div>
        <w:div w:id="605967019">
          <w:marLeft w:val="0"/>
          <w:marRight w:val="0"/>
          <w:marTop w:val="0"/>
          <w:marBottom w:val="0"/>
          <w:divBdr>
            <w:top w:val="none" w:sz="0" w:space="0" w:color="auto"/>
            <w:left w:val="none" w:sz="0" w:space="0" w:color="auto"/>
            <w:bottom w:val="none" w:sz="0" w:space="0" w:color="auto"/>
            <w:right w:val="none" w:sz="0" w:space="0" w:color="auto"/>
          </w:divBdr>
        </w:div>
        <w:div w:id="615600479">
          <w:marLeft w:val="0"/>
          <w:marRight w:val="0"/>
          <w:marTop w:val="0"/>
          <w:marBottom w:val="0"/>
          <w:divBdr>
            <w:top w:val="none" w:sz="0" w:space="0" w:color="auto"/>
            <w:left w:val="none" w:sz="0" w:space="0" w:color="auto"/>
            <w:bottom w:val="none" w:sz="0" w:space="0" w:color="auto"/>
            <w:right w:val="none" w:sz="0" w:space="0" w:color="auto"/>
          </w:divBdr>
        </w:div>
        <w:div w:id="617643918">
          <w:marLeft w:val="0"/>
          <w:marRight w:val="0"/>
          <w:marTop w:val="0"/>
          <w:marBottom w:val="0"/>
          <w:divBdr>
            <w:top w:val="none" w:sz="0" w:space="0" w:color="auto"/>
            <w:left w:val="none" w:sz="0" w:space="0" w:color="auto"/>
            <w:bottom w:val="none" w:sz="0" w:space="0" w:color="auto"/>
            <w:right w:val="none" w:sz="0" w:space="0" w:color="auto"/>
          </w:divBdr>
        </w:div>
        <w:div w:id="623583591">
          <w:marLeft w:val="0"/>
          <w:marRight w:val="0"/>
          <w:marTop w:val="0"/>
          <w:marBottom w:val="0"/>
          <w:divBdr>
            <w:top w:val="none" w:sz="0" w:space="0" w:color="auto"/>
            <w:left w:val="none" w:sz="0" w:space="0" w:color="auto"/>
            <w:bottom w:val="none" w:sz="0" w:space="0" w:color="auto"/>
            <w:right w:val="none" w:sz="0" w:space="0" w:color="auto"/>
          </w:divBdr>
        </w:div>
        <w:div w:id="639532059">
          <w:marLeft w:val="0"/>
          <w:marRight w:val="0"/>
          <w:marTop w:val="0"/>
          <w:marBottom w:val="0"/>
          <w:divBdr>
            <w:top w:val="none" w:sz="0" w:space="0" w:color="auto"/>
            <w:left w:val="none" w:sz="0" w:space="0" w:color="auto"/>
            <w:bottom w:val="none" w:sz="0" w:space="0" w:color="auto"/>
            <w:right w:val="none" w:sz="0" w:space="0" w:color="auto"/>
          </w:divBdr>
        </w:div>
        <w:div w:id="643389654">
          <w:marLeft w:val="0"/>
          <w:marRight w:val="0"/>
          <w:marTop w:val="0"/>
          <w:marBottom w:val="0"/>
          <w:divBdr>
            <w:top w:val="none" w:sz="0" w:space="0" w:color="auto"/>
            <w:left w:val="none" w:sz="0" w:space="0" w:color="auto"/>
            <w:bottom w:val="none" w:sz="0" w:space="0" w:color="auto"/>
            <w:right w:val="none" w:sz="0" w:space="0" w:color="auto"/>
          </w:divBdr>
        </w:div>
        <w:div w:id="653491116">
          <w:marLeft w:val="0"/>
          <w:marRight w:val="0"/>
          <w:marTop w:val="0"/>
          <w:marBottom w:val="0"/>
          <w:divBdr>
            <w:top w:val="none" w:sz="0" w:space="0" w:color="auto"/>
            <w:left w:val="none" w:sz="0" w:space="0" w:color="auto"/>
            <w:bottom w:val="none" w:sz="0" w:space="0" w:color="auto"/>
            <w:right w:val="none" w:sz="0" w:space="0" w:color="auto"/>
          </w:divBdr>
        </w:div>
        <w:div w:id="657924499">
          <w:marLeft w:val="0"/>
          <w:marRight w:val="0"/>
          <w:marTop w:val="0"/>
          <w:marBottom w:val="0"/>
          <w:divBdr>
            <w:top w:val="none" w:sz="0" w:space="0" w:color="auto"/>
            <w:left w:val="none" w:sz="0" w:space="0" w:color="auto"/>
            <w:bottom w:val="none" w:sz="0" w:space="0" w:color="auto"/>
            <w:right w:val="none" w:sz="0" w:space="0" w:color="auto"/>
          </w:divBdr>
        </w:div>
        <w:div w:id="670722740">
          <w:marLeft w:val="0"/>
          <w:marRight w:val="0"/>
          <w:marTop w:val="0"/>
          <w:marBottom w:val="0"/>
          <w:divBdr>
            <w:top w:val="none" w:sz="0" w:space="0" w:color="auto"/>
            <w:left w:val="none" w:sz="0" w:space="0" w:color="auto"/>
            <w:bottom w:val="none" w:sz="0" w:space="0" w:color="auto"/>
            <w:right w:val="none" w:sz="0" w:space="0" w:color="auto"/>
          </w:divBdr>
        </w:div>
        <w:div w:id="681318127">
          <w:marLeft w:val="0"/>
          <w:marRight w:val="0"/>
          <w:marTop w:val="0"/>
          <w:marBottom w:val="0"/>
          <w:divBdr>
            <w:top w:val="none" w:sz="0" w:space="0" w:color="auto"/>
            <w:left w:val="none" w:sz="0" w:space="0" w:color="auto"/>
            <w:bottom w:val="none" w:sz="0" w:space="0" w:color="auto"/>
            <w:right w:val="none" w:sz="0" w:space="0" w:color="auto"/>
          </w:divBdr>
        </w:div>
        <w:div w:id="691566553">
          <w:marLeft w:val="0"/>
          <w:marRight w:val="0"/>
          <w:marTop w:val="0"/>
          <w:marBottom w:val="0"/>
          <w:divBdr>
            <w:top w:val="none" w:sz="0" w:space="0" w:color="auto"/>
            <w:left w:val="none" w:sz="0" w:space="0" w:color="auto"/>
            <w:bottom w:val="none" w:sz="0" w:space="0" w:color="auto"/>
            <w:right w:val="none" w:sz="0" w:space="0" w:color="auto"/>
          </w:divBdr>
        </w:div>
        <w:div w:id="694429871">
          <w:marLeft w:val="0"/>
          <w:marRight w:val="0"/>
          <w:marTop w:val="0"/>
          <w:marBottom w:val="0"/>
          <w:divBdr>
            <w:top w:val="none" w:sz="0" w:space="0" w:color="auto"/>
            <w:left w:val="none" w:sz="0" w:space="0" w:color="auto"/>
            <w:bottom w:val="none" w:sz="0" w:space="0" w:color="auto"/>
            <w:right w:val="none" w:sz="0" w:space="0" w:color="auto"/>
          </w:divBdr>
        </w:div>
        <w:div w:id="712653599">
          <w:marLeft w:val="0"/>
          <w:marRight w:val="0"/>
          <w:marTop w:val="0"/>
          <w:marBottom w:val="0"/>
          <w:divBdr>
            <w:top w:val="none" w:sz="0" w:space="0" w:color="auto"/>
            <w:left w:val="none" w:sz="0" w:space="0" w:color="auto"/>
            <w:bottom w:val="none" w:sz="0" w:space="0" w:color="auto"/>
            <w:right w:val="none" w:sz="0" w:space="0" w:color="auto"/>
          </w:divBdr>
        </w:div>
        <w:div w:id="722487179">
          <w:marLeft w:val="0"/>
          <w:marRight w:val="0"/>
          <w:marTop w:val="0"/>
          <w:marBottom w:val="0"/>
          <w:divBdr>
            <w:top w:val="none" w:sz="0" w:space="0" w:color="auto"/>
            <w:left w:val="none" w:sz="0" w:space="0" w:color="auto"/>
            <w:bottom w:val="none" w:sz="0" w:space="0" w:color="auto"/>
            <w:right w:val="none" w:sz="0" w:space="0" w:color="auto"/>
          </w:divBdr>
        </w:div>
        <w:div w:id="730229538">
          <w:marLeft w:val="0"/>
          <w:marRight w:val="0"/>
          <w:marTop w:val="0"/>
          <w:marBottom w:val="0"/>
          <w:divBdr>
            <w:top w:val="none" w:sz="0" w:space="0" w:color="auto"/>
            <w:left w:val="none" w:sz="0" w:space="0" w:color="auto"/>
            <w:bottom w:val="none" w:sz="0" w:space="0" w:color="auto"/>
            <w:right w:val="none" w:sz="0" w:space="0" w:color="auto"/>
          </w:divBdr>
        </w:div>
        <w:div w:id="754939986">
          <w:marLeft w:val="0"/>
          <w:marRight w:val="0"/>
          <w:marTop w:val="0"/>
          <w:marBottom w:val="0"/>
          <w:divBdr>
            <w:top w:val="none" w:sz="0" w:space="0" w:color="auto"/>
            <w:left w:val="none" w:sz="0" w:space="0" w:color="auto"/>
            <w:bottom w:val="none" w:sz="0" w:space="0" w:color="auto"/>
            <w:right w:val="none" w:sz="0" w:space="0" w:color="auto"/>
          </w:divBdr>
        </w:div>
        <w:div w:id="758596127">
          <w:marLeft w:val="0"/>
          <w:marRight w:val="0"/>
          <w:marTop w:val="0"/>
          <w:marBottom w:val="0"/>
          <w:divBdr>
            <w:top w:val="none" w:sz="0" w:space="0" w:color="auto"/>
            <w:left w:val="none" w:sz="0" w:space="0" w:color="auto"/>
            <w:bottom w:val="none" w:sz="0" w:space="0" w:color="auto"/>
            <w:right w:val="none" w:sz="0" w:space="0" w:color="auto"/>
          </w:divBdr>
        </w:div>
        <w:div w:id="773937703">
          <w:marLeft w:val="0"/>
          <w:marRight w:val="0"/>
          <w:marTop w:val="0"/>
          <w:marBottom w:val="0"/>
          <w:divBdr>
            <w:top w:val="none" w:sz="0" w:space="0" w:color="auto"/>
            <w:left w:val="none" w:sz="0" w:space="0" w:color="auto"/>
            <w:bottom w:val="none" w:sz="0" w:space="0" w:color="auto"/>
            <w:right w:val="none" w:sz="0" w:space="0" w:color="auto"/>
          </w:divBdr>
        </w:div>
        <w:div w:id="774249656">
          <w:marLeft w:val="0"/>
          <w:marRight w:val="0"/>
          <w:marTop w:val="0"/>
          <w:marBottom w:val="0"/>
          <w:divBdr>
            <w:top w:val="none" w:sz="0" w:space="0" w:color="auto"/>
            <w:left w:val="none" w:sz="0" w:space="0" w:color="auto"/>
            <w:bottom w:val="none" w:sz="0" w:space="0" w:color="auto"/>
            <w:right w:val="none" w:sz="0" w:space="0" w:color="auto"/>
          </w:divBdr>
        </w:div>
        <w:div w:id="777871494">
          <w:marLeft w:val="0"/>
          <w:marRight w:val="0"/>
          <w:marTop w:val="0"/>
          <w:marBottom w:val="0"/>
          <w:divBdr>
            <w:top w:val="none" w:sz="0" w:space="0" w:color="auto"/>
            <w:left w:val="none" w:sz="0" w:space="0" w:color="auto"/>
            <w:bottom w:val="none" w:sz="0" w:space="0" w:color="auto"/>
            <w:right w:val="none" w:sz="0" w:space="0" w:color="auto"/>
          </w:divBdr>
        </w:div>
        <w:div w:id="789203645">
          <w:marLeft w:val="0"/>
          <w:marRight w:val="0"/>
          <w:marTop w:val="0"/>
          <w:marBottom w:val="0"/>
          <w:divBdr>
            <w:top w:val="none" w:sz="0" w:space="0" w:color="auto"/>
            <w:left w:val="none" w:sz="0" w:space="0" w:color="auto"/>
            <w:bottom w:val="none" w:sz="0" w:space="0" w:color="auto"/>
            <w:right w:val="none" w:sz="0" w:space="0" w:color="auto"/>
          </w:divBdr>
        </w:div>
        <w:div w:id="840973657">
          <w:marLeft w:val="0"/>
          <w:marRight w:val="0"/>
          <w:marTop w:val="0"/>
          <w:marBottom w:val="0"/>
          <w:divBdr>
            <w:top w:val="none" w:sz="0" w:space="0" w:color="auto"/>
            <w:left w:val="none" w:sz="0" w:space="0" w:color="auto"/>
            <w:bottom w:val="none" w:sz="0" w:space="0" w:color="auto"/>
            <w:right w:val="none" w:sz="0" w:space="0" w:color="auto"/>
          </w:divBdr>
        </w:div>
        <w:div w:id="845629578">
          <w:marLeft w:val="0"/>
          <w:marRight w:val="0"/>
          <w:marTop w:val="0"/>
          <w:marBottom w:val="0"/>
          <w:divBdr>
            <w:top w:val="none" w:sz="0" w:space="0" w:color="auto"/>
            <w:left w:val="none" w:sz="0" w:space="0" w:color="auto"/>
            <w:bottom w:val="none" w:sz="0" w:space="0" w:color="auto"/>
            <w:right w:val="none" w:sz="0" w:space="0" w:color="auto"/>
          </w:divBdr>
        </w:div>
        <w:div w:id="875119105">
          <w:marLeft w:val="0"/>
          <w:marRight w:val="0"/>
          <w:marTop w:val="0"/>
          <w:marBottom w:val="0"/>
          <w:divBdr>
            <w:top w:val="none" w:sz="0" w:space="0" w:color="auto"/>
            <w:left w:val="none" w:sz="0" w:space="0" w:color="auto"/>
            <w:bottom w:val="none" w:sz="0" w:space="0" w:color="auto"/>
            <w:right w:val="none" w:sz="0" w:space="0" w:color="auto"/>
          </w:divBdr>
        </w:div>
        <w:div w:id="876360230">
          <w:marLeft w:val="0"/>
          <w:marRight w:val="0"/>
          <w:marTop w:val="0"/>
          <w:marBottom w:val="0"/>
          <w:divBdr>
            <w:top w:val="none" w:sz="0" w:space="0" w:color="auto"/>
            <w:left w:val="none" w:sz="0" w:space="0" w:color="auto"/>
            <w:bottom w:val="none" w:sz="0" w:space="0" w:color="auto"/>
            <w:right w:val="none" w:sz="0" w:space="0" w:color="auto"/>
          </w:divBdr>
        </w:div>
        <w:div w:id="884295181">
          <w:marLeft w:val="0"/>
          <w:marRight w:val="0"/>
          <w:marTop w:val="0"/>
          <w:marBottom w:val="0"/>
          <w:divBdr>
            <w:top w:val="none" w:sz="0" w:space="0" w:color="auto"/>
            <w:left w:val="none" w:sz="0" w:space="0" w:color="auto"/>
            <w:bottom w:val="none" w:sz="0" w:space="0" w:color="auto"/>
            <w:right w:val="none" w:sz="0" w:space="0" w:color="auto"/>
          </w:divBdr>
        </w:div>
        <w:div w:id="888764447">
          <w:marLeft w:val="0"/>
          <w:marRight w:val="0"/>
          <w:marTop w:val="0"/>
          <w:marBottom w:val="0"/>
          <w:divBdr>
            <w:top w:val="none" w:sz="0" w:space="0" w:color="auto"/>
            <w:left w:val="none" w:sz="0" w:space="0" w:color="auto"/>
            <w:bottom w:val="none" w:sz="0" w:space="0" w:color="auto"/>
            <w:right w:val="none" w:sz="0" w:space="0" w:color="auto"/>
          </w:divBdr>
        </w:div>
        <w:div w:id="896475063">
          <w:marLeft w:val="0"/>
          <w:marRight w:val="0"/>
          <w:marTop w:val="0"/>
          <w:marBottom w:val="0"/>
          <w:divBdr>
            <w:top w:val="none" w:sz="0" w:space="0" w:color="auto"/>
            <w:left w:val="none" w:sz="0" w:space="0" w:color="auto"/>
            <w:bottom w:val="none" w:sz="0" w:space="0" w:color="auto"/>
            <w:right w:val="none" w:sz="0" w:space="0" w:color="auto"/>
          </w:divBdr>
        </w:div>
        <w:div w:id="900677151">
          <w:marLeft w:val="0"/>
          <w:marRight w:val="0"/>
          <w:marTop w:val="0"/>
          <w:marBottom w:val="0"/>
          <w:divBdr>
            <w:top w:val="none" w:sz="0" w:space="0" w:color="auto"/>
            <w:left w:val="none" w:sz="0" w:space="0" w:color="auto"/>
            <w:bottom w:val="none" w:sz="0" w:space="0" w:color="auto"/>
            <w:right w:val="none" w:sz="0" w:space="0" w:color="auto"/>
          </w:divBdr>
        </w:div>
        <w:div w:id="904022677">
          <w:marLeft w:val="0"/>
          <w:marRight w:val="0"/>
          <w:marTop w:val="0"/>
          <w:marBottom w:val="0"/>
          <w:divBdr>
            <w:top w:val="none" w:sz="0" w:space="0" w:color="auto"/>
            <w:left w:val="none" w:sz="0" w:space="0" w:color="auto"/>
            <w:bottom w:val="none" w:sz="0" w:space="0" w:color="auto"/>
            <w:right w:val="none" w:sz="0" w:space="0" w:color="auto"/>
          </w:divBdr>
        </w:div>
        <w:div w:id="918178139">
          <w:marLeft w:val="0"/>
          <w:marRight w:val="0"/>
          <w:marTop w:val="0"/>
          <w:marBottom w:val="0"/>
          <w:divBdr>
            <w:top w:val="none" w:sz="0" w:space="0" w:color="auto"/>
            <w:left w:val="none" w:sz="0" w:space="0" w:color="auto"/>
            <w:bottom w:val="none" w:sz="0" w:space="0" w:color="auto"/>
            <w:right w:val="none" w:sz="0" w:space="0" w:color="auto"/>
          </w:divBdr>
        </w:div>
        <w:div w:id="945889218">
          <w:marLeft w:val="0"/>
          <w:marRight w:val="0"/>
          <w:marTop w:val="0"/>
          <w:marBottom w:val="0"/>
          <w:divBdr>
            <w:top w:val="none" w:sz="0" w:space="0" w:color="auto"/>
            <w:left w:val="none" w:sz="0" w:space="0" w:color="auto"/>
            <w:bottom w:val="none" w:sz="0" w:space="0" w:color="auto"/>
            <w:right w:val="none" w:sz="0" w:space="0" w:color="auto"/>
          </w:divBdr>
        </w:div>
        <w:div w:id="955646807">
          <w:marLeft w:val="0"/>
          <w:marRight w:val="0"/>
          <w:marTop w:val="0"/>
          <w:marBottom w:val="0"/>
          <w:divBdr>
            <w:top w:val="none" w:sz="0" w:space="0" w:color="auto"/>
            <w:left w:val="none" w:sz="0" w:space="0" w:color="auto"/>
            <w:bottom w:val="none" w:sz="0" w:space="0" w:color="auto"/>
            <w:right w:val="none" w:sz="0" w:space="0" w:color="auto"/>
          </w:divBdr>
        </w:div>
        <w:div w:id="968365100">
          <w:marLeft w:val="0"/>
          <w:marRight w:val="0"/>
          <w:marTop w:val="0"/>
          <w:marBottom w:val="0"/>
          <w:divBdr>
            <w:top w:val="none" w:sz="0" w:space="0" w:color="auto"/>
            <w:left w:val="none" w:sz="0" w:space="0" w:color="auto"/>
            <w:bottom w:val="none" w:sz="0" w:space="0" w:color="auto"/>
            <w:right w:val="none" w:sz="0" w:space="0" w:color="auto"/>
          </w:divBdr>
        </w:div>
        <w:div w:id="977032432">
          <w:marLeft w:val="0"/>
          <w:marRight w:val="0"/>
          <w:marTop w:val="0"/>
          <w:marBottom w:val="0"/>
          <w:divBdr>
            <w:top w:val="none" w:sz="0" w:space="0" w:color="auto"/>
            <w:left w:val="none" w:sz="0" w:space="0" w:color="auto"/>
            <w:bottom w:val="none" w:sz="0" w:space="0" w:color="auto"/>
            <w:right w:val="none" w:sz="0" w:space="0" w:color="auto"/>
          </w:divBdr>
        </w:div>
        <w:div w:id="982268814">
          <w:marLeft w:val="0"/>
          <w:marRight w:val="0"/>
          <w:marTop w:val="0"/>
          <w:marBottom w:val="0"/>
          <w:divBdr>
            <w:top w:val="none" w:sz="0" w:space="0" w:color="auto"/>
            <w:left w:val="none" w:sz="0" w:space="0" w:color="auto"/>
            <w:bottom w:val="none" w:sz="0" w:space="0" w:color="auto"/>
            <w:right w:val="none" w:sz="0" w:space="0" w:color="auto"/>
          </w:divBdr>
        </w:div>
        <w:div w:id="1001469532">
          <w:marLeft w:val="0"/>
          <w:marRight w:val="0"/>
          <w:marTop w:val="0"/>
          <w:marBottom w:val="0"/>
          <w:divBdr>
            <w:top w:val="none" w:sz="0" w:space="0" w:color="auto"/>
            <w:left w:val="none" w:sz="0" w:space="0" w:color="auto"/>
            <w:bottom w:val="none" w:sz="0" w:space="0" w:color="auto"/>
            <w:right w:val="none" w:sz="0" w:space="0" w:color="auto"/>
          </w:divBdr>
        </w:div>
        <w:div w:id="1012532076">
          <w:marLeft w:val="0"/>
          <w:marRight w:val="0"/>
          <w:marTop w:val="0"/>
          <w:marBottom w:val="0"/>
          <w:divBdr>
            <w:top w:val="none" w:sz="0" w:space="0" w:color="auto"/>
            <w:left w:val="none" w:sz="0" w:space="0" w:color="auto"/>
            <w:bottom w:val="none" w:sz="0" w:space="0" w:color="auto"/>
            <w:right w:val="none" w:sz="0" w:space="0" w:color="auto"/>
          </w:divBdr>
        </w:div>
        <w:div w:id="1022315801">
          <w:marLeft w:val="0"/>
          <w:marRight w:val="0"/>
          <w:marTop w:val="0"/>
          <w:marBottom w:val="0"/>
          <w:divBdr>
            <w:top w:val="none" w:sz="0" w:space="0" w:color="auto"/>
            <w:left w:val="none" w:sz="0" w:space="0" w:color="auto"/>
            <w:bottom w:val="none" w:sz="0" w:space="0" w:color="auto"/>
            <w:right w:val="none" w:sz="0" w:space="0" w:color="auto"/>
          </w:divBdr>
        </w:div>
        <w:div w:id="1069500298">
          <w:marLeft w:val="0"/>
          <w:marRight w:val="0"/>
          <w:marTop w:val="0"/>
          <w:marBottom w:val="0"/>
          <w:divBdr>
            <w:top w:val="none" w:sz="0" w:space="0" w:color="auto"/>
            <w:left w:val="none" w:sz="0" w:space="0" w:color="auto"/>
            <w:bottom w:val="none" w:sz="0" w:space="0" w:color="auto"/>
            <w:right w:val="none" w:sz="0" w:space="0" w:color="auto"/>
          </w:divBdr>
        </w:div>
        <w:div w:id="1078140512">
          <w:marLeft w:val="0"/>
          <w:marRight w:val="0"/>
          <w:marTop w:val="0"/>
          <w:marBottom w:val="0"/>
          <w:divBdr>
            <w:top w:val="none" w:sz="0" w:space="0" w:color="auto"/>
            <w:left w:val="none" w:sz="0" w:space="0" w:color="auto"/>
            <w:bottom w:val="none" w:sz="0" w:space="0" w:color="auto"/>
            <w:right w:val="none" w:sz="0" w:space="0" w:color="auto"/>
          </w:divBdr>
        </w:div>
        <w:div w:id="1095251805">
          <w:marLeft w:val="0"/>
          <w:marRight w:val="0"/>
          <w:marTop w:val="0"/>
          <w:marBottom w:val="0"/>
          <w:divBdr>
            <w:top w:val="none" w:sz="0" w:space="0" w:color="auto"/>
            <w:left w:val="none" w:sz="0" w:space="0" w:color="auto"/>
            <w:bottom w:val="none" w:sz="0" w:space="0" w:color="auto"/>
            <w:right w:val="none" w:sz="0" w:space="0" w:color="auto"/>
          </w:divBdr>
        </w:div>
        <w:div w:id="1095593165">
          <w:marLeft w:val="0"/>
          <w:marRight w:val="0"/>
          <w:marTop w:val="0"/>
          <w:marBottom w:val="0"/>
          <w:divBdr>
            <w:top w:val="none" w:sz="0" w:space="0" w:color="auto"/>
            <w:left w:val="none" w:sz="0" w:space="0" w:color="auto"/>
            <w:bottom w:val="none" w:sz="0" w:space="0" w:color="auto"/>
            <w:right w:val="none" w:sz="0" w:space="0" w:color="auto"/>
          </w:divBdr>
        </w:div>
        <w:div w:id="1096826594">
          <w:marLeft w:val="0"/>
          <w:marRight w:val="0"/>
          <w:marTop w:val="0"/>
          <w:marBottom w:val="0"/>
          <w:divBdr>
            <w:top w:val="none" w:sz="0" w:space="0" w:color="auto"/>
            <w:left w:val="none" w:sz="0" w:space="0" w:color="auto"/>
            <w:bottom w:val="none" w:sz="0" w:space="0" w:color="auto"/>
            <w:right w:val="none" w:sz="0" w:space="0" w:color="auto"/>
          </w:divBdr>
        </w:div>
        <w:div w:id="1103065305">
          <w:marLeft w:val="0"/>
          <w:marRight w:val="0"/>
          <w:marTop w:val="0"/>
          <w:marBottom w:val="0"/>
          <w:divBdr>
            <w:top w:val="none" w:sz="0" w:space="0" w:color="auto"/>
            <w:left w:val="none" w:sz="0" w:space="0" w:color="auto"/>
            <w:bottom w:val="none" w:sz="0" w:space="0" w:color="auto"/>
            <w:right w:val="none" w:sz="0" w:space="0" w:color="auto"/>
          </w:divBdr>
        </w:div>
        <w:div w:id="1130708272">
          <w:marLeft w:val="0"/>
          <w:marRight w:val="0"/>
          <w:marTop w:val="0"/>
          <w:marBottom w:val="0"/>
          <w:divBdr>
            <w:top w:val="none" w:sz="0" w:space="0" w:color="auto"/>
            <w:left w:val="none" w:sz="0" w:space="0" w:color="auto"/>
            <w:bottom w:val="none" w:sz="0" w:space="0" w:color="auto"/>
            <w:right w:val="none" w:sz="0" w:space="0" w:color="auto"/>
          </w:divBdr>
        </w:div>
        <w:div w:id="1166239647">
          <w:marLeft w:val="0"/>
          <w:marRight w:val="0"/>
          <w:marTop w:val="0"/>
          <w:marBottom w:val="0"/>
          <w:divBdr>
            <w:top w:val="none" w:sz="0" w:space="0" w:color="auto"/>
            <w:left w:val="none" w:sz="0" w:space="0" w:color="auto"/>
            <w:bottom w:val="none" w:sz="0" w:space="0" w:color="auto"/>
            <w:right w:val="none" w:sz="0" w:space="0" w:color="auto"/>
          </w:divBdr>
        </w:div>
        <w:div w:id="1175151615">
          <w:marLeft w:val="0"/>
          <w:marRight w:val="0"/>
          <w:marTop w:val="0"/>
          <w:marBottom w:val="0"/>
          <w:divBdr>
            <w:top w:val="none" w:sz="0" w:space="0" w:color="auto"/>
            <w:left w:val="none" w:sz="0" w:space="0" w:color="auto"/>
            <w:bottom w:val="none" w:sz="0" w:space="0" w:color="auto"/>
            <w:right w:val="none" w:sz="0" w:space="0" w:color="auto"/>
          </w:divBdr>
        </w:div>
        <w:div w:id="1187020552">
          <w:marLeft w:val="0"/>
          <w:marRight w:val="0"/>
          <w:marTop w:val="0"/>
          <w:marBottom w:val="0"/>
          <w:divBdr>
            <w:top w:val="none" w:sz="0" w:space="0" w:color="auto"/>
            <w:left w:val="none" w:sz="0" w:space="0" w:color="auto"/>
            <w:bottom w:val="none" w:sz="0" w:space="0" w:color="auto"/>
            <w:right w:val="none" w:sz="0" w:space="0" w:color="auto"/>
          </w:divBdr>
        </w:div>
        <w:div w:id="1192845025">
          <w:marLeft w:val="0"/>
          <w:marRight w:val="0"/>
          <w:marTop w:val="0"/>
          <w:marBottom w:val="0"/>
          <w:divBdr>
            <w:top w:val="none" w:sz="0" w:space="0" w:color="auto"/>
            <w:left w:val="none" w:sz="0" w:space="0" w:color="auto"/>
            <w:bottom w:val="none" w:sz="0" w:space="0" w:color="auto"/>
            <w:right w:val="none" w:sz="0" w:space="0" w:color="auto"/>
          </w:divBdr>
        </w:div>
        <w:div w:id="1226257429">
          <w:marLeft w:val="0"/>
          <w:marRight w:val="0"/>
          <w:marTop w:val="0"/>
          <w:marBottom w:val="0"/>
          <w:divBdr>
            <w:top w:val="none" w:sz="0" w:space="0" w:color="auto"/>
            <w:left w:val="none" w:sz="0" w:space="0" w:color="auto"/>
            <w:bottom w:val="none" w:sz="0" w:space="0" w:color="auto"/>
            <w:right w:val="none" w:sz="0" w:space="0" w:color="auto"/>
          </w:divBdr>
        </w:div>
        <w:div w:id="1241868207">
          <w:marLeft w:val="0"/>
          <w:marRight w:val="0"/>
          <w:marTop w:val="0"/>
          <w:marBottom w:val="0"/>
          <w:divBdr>
            <w:top w:val="none" w:sz="0" w:space="0" w:color="auto"/>
            <w:left w:val="none" w:sz="0" w:space="0" w:color="auto"/>
            <w:bottom w:val="none" w:sz="0" w:space="0" w:color="auto"/>
            <w:right w:val="none" w:sz="0" w:space="0" w:color="auto"/>
          </w:divBdr>
        </w:div>
        <w:div w:id="1266812383">
          <w:marLeft w:val="0"/>
          <w:marRight w:val="0"/>
          <w:marTop w:val="0"/>
          <w:marBottom w:val="0"/>
          <w:divBdr>
            <w:top w:val="none" w:sz="0" w:space="0" w:color="auto"/>
            <w:left w:val="none" w:sz="0" w:space="0" w:color="auto"/>
            <w:bottom w:val="none" w:sz="0" w:space="0" w:color="auto"/>
            <w:right w:val="none" w:sz="0" w:space="0" w:color="auto"/>
          </w:divBdr>
        </w:div>
        <w:div w:id="1283684605">
          <w:marLeft w:val="0"/>
          <w:marRight w:val="0"/>
          <w:marTop w:val="0"/>
          <w:marBottom w:val="0"/>
          <w:divBdr>
            <w:top w:val="none" w:sz="0" w:space="0" w:color="auto"/>
            <w:left w:val="none" w:sz="0" w:space="0" w:color="auto"/>
            <w:bottom w:val="none" w:sz="0" w:space="0" w:color="auto"/>
            <w:right w:val="none" w:sz="0" w:space="0" w:color="auto"/>
          </w:divBdr>
        </w:div>
        <w:div w:id="1326664814">
          <w:marLeft w:val="0"/>
          <w:marRight w:val="0"/>
          <w:marTop w:val="0"/>
          <w:marBottom w:val="0"/>
          <w:divBdr>
            <w:top w:val="none" w:sz="0" w:space="0" w:color="auto"/>
            <w:left w:val="none" w:sz="0" w:space="0" w:color="auto"/>
            <w:bottom w:val="none" w:sz="0" w:space="0" w:color="auto"/>
            <w:right w:val="none" w:sz="0" w:space="0" w:color="auto"/>
          </w:divBdr>
        </w:div>
        <w:div w:id="1334261699">
          <w:marLeft w:val="0"/>
          <w:marRight w:val="0"/>
          <w:marTop w:val="0"/>
          <w:marBottom w:val="0"/>
          <w:divBdr>
            <w:top w:val="none" w:sz="0" w:space="0" w:color="auto"/>
            <w:left w:val="none" w:sz="0" w:space="0" w:color="auto"/>
            <w:bottom w:val="none" w:sz="0" w:space="0" w:color="auto"/>
            <w:right w:val="none" w:sz="0" w:space="0" w:color="auto"/>
          </w:divBdr>
        </w:div>
        <w:div w:id="1337267021">
          <w:marLeft w:val="0"/>
          <w:marRight w:val="0"/>
          <w:marTop w:val="0"/>
          <w:marBottom w:val="0"/>
          <w:divBdr>
            <w:top w:val="none" w:sz="0" w:space="0" w:color="auto"/>
            <w:left w:val="none" w:sz="0" w:space="0" w:color="auto"/>
            <w:bottom w:val="none" w:sz="0" w:space="0" w:color="auto"/>
            <w:right w:val="none" w:sz="0" w:space="0" w:color="auto"/>
          </w:divBdr>
        </w:div>
        <w:div w:id="1357537827">
          <w:marLeft w:val="0"/>
          <w:marRight w:val="0"/>
          <w:marTop w:val="0"/>
          <w:marBottom w:val="0"/>
          <w:divBdr>
            <w:top w:val="none" w:sz="0" w:space="0" w:color="auto"/>
            <w:left w:val="none" w:sz="0" w:space="0" w:color="auto"/>
            <w:bottom w:val="none" w:sz="0" w:space="0" w:color="auto"/>
            <w:right w:val="none" w:sz="0" w:space="0" w:color="auto"/>
          </w:divBdr>
        </w:div>
        <w:div w:id="1361399561">
          <w:marLeft w:val="0"/>
          <w:marRight w:val="0"/>
          <w:marTop w:val="0"/>
          <w:marBottom w:val="0"/>
          <w:divBdr>
            <w:top w:val="none" w:sz="0" w:space="0" w:color="auto"/>
            <w:left w:val="none" w:sz="0" w:space="0" w:color="auto"/>
            <w:bottom w:val="none" w:sz="0" w:space="0" w:color="auto"/>
            <w:right w:val="none" w:sz="0" w:space="0" w:color="auto"/>
          </w:divBdr>
        </w:div>
        <w:div w:id="1399093044">
          <w:marLeft w:val="0"/>
          <w:marRight w:val="0"/>
          <w:marTop w:val="0"/>
          <w:marBottom w:val="0"/>
          <w:divBdr>
            <w:top w:val="none" w:sz="0" w:space="0" w:color="auto"/>
            <w:left w:val="none" w:sz="0" w:space="0" w:color="auto"/>
            <w:bottom w:val="none" w:sz="0" w:space="0" w:color="auto"/>
            <w:right w:val="none" w:sz="0" w:space="0" w:color="auto"/>
          </w:divBdr>
        </w:div>
        <w:div w:id="1401904628">
          <w:marLeft w:val="0"/>
          <w:marRight w:val="0"/>
          <w:marTop w:val="0"/>
          <w:marBottom w:val="0"/>
          <w:divBdr>
            <w:top w:val="none" w:sz="0" w:space="0" w:color="auto"/>
            <w:left w:val="none" w:sz="0" w:space="0" w:color="auto"/>
            <w:bottom w:val="none" w:sz="0" w:space="0" w:color="auto"/>
            <w:right w:val="none" w:sz="0" w:space="0" w:color="auto"/>
          </w:divBdr>
        </w:div>
        <w:div w:id="1413429115">
          <w:marLeft w:val="0"/>
          <w:marRight w:val="0"/>
          <w:marTop w:val="0"/>
          <w:marBottom w:val="0"/>
          <w:divBdr>
            <w:top w:val="none" w:sz="0" w:space="0" w:color="auto"/>
            <w:left w:val="none" w:sz="0" w:space="0" w:color="auto"/>
            <w:bottom w:val="none" w:sz="0" w:space="0" w:color="auto"/>
            <w:right w:val="none" w:sz="0" w:space="0" w:color="auto"/>
          </w:divBdr>
        </w:div>
        <w:div w:id="1431393384">
          <w:marLeft w:val="0"/>
          <w:marRight w:val="0"/>
          <w:marTop w:val="0"/>
          <w:marBottom w:val="0"/>
          <w:divBdr>
            <w:top w:val="none" w:sz="0" w:space="0" w:color="auto"/>
            <w:left w:val="none" w:sz="0" w:space="0" w:color="auto"/>
            <w:bottom w:val="none" w:sz="0" w:space="0" w:color="auto"/>
            <w:right w:val="none" w:sz="0" w:space="0" w:color="auto"/>
          </w:divBdr>
        </w:div>
        <w:div w:id="1464270956">
          <w:marLeft w:val="0"/>
          <w:marRight w:val="0"/>
          <w:marTop w:val="0"/>
          <w:marBottom w:val="0"/>
          <w:divBdr>
            <w:top w:val="none" w:sz="0" w:space="0" w:color="auto"/>
            <w:left w:val="none" w:sz="0" w:space="0" w:color="auto"/>
            <w:bottom w:val="none" w:sz="0" w:space="0" w:color="auto"/>
            <w:right w:val="none" w:sz="0" w:space="0" w:color="auto"/>
          </w:divBdr>
        </w:div>
        <w:div w:id="1467503688">
          <w:marLeft w:val="0"/>
          <w:marRight w:val="0"/>
          <w:marTop w:val="0"/>
          <w:marBottom w:val="0"/>
          <w:divBdr>
            <w:top w:val="none" w:sz="0" w:space="0" w:color="auto"/>
            <w:left w:val="none" w:sz="0" w:space="0" w:color="auto"/>
            <w:bottom w:val="none" w:sz="0" w:space="0" w:color="auto"/>
            <w:right w:val="none" w:sz="0" w:space="0" w:color="auto"/>
          </w:divBdr>
        </w:div>
        <w:div w:id="1498376971">
          <w:marLeft w:val="0"/>
          <w:marRight w:val="0"/>
          <w:marTop w:val="0"/>
          <w:marBottom w:val="0"/>
          <w:divBdr>
            <w:top w:val="none" w:sz="0" w:space="0" w:color="auto"/>
            <w:left w:val="none" w:sz="0" w:space="0" w:color="auto"/>
            <w:bottom w:val="none" w:sz="0" w:space="0" w:color="auto"/>
            <w:right w:val="none" w:sz="0" w:space="0" w:color="auto"/>
          </w:divBdr>
        </w:div>
        <w:div w:id="1508130102">
          <w:marLeft w:val="0"/>
          <w:marRight w:val="0"/>
          <w:marTop w:val="0"/>
          <w:marBottom w:val="0"/>
          <w:divBdr>
            <w:top w:val="none" w:sz="0" w:space="0" w:color="auto"/>
            <w:left w:val="none" w:sz="0" w:space="0" w:color="auto"/>
            <w:bottom w:val="none" w:sz="0" w:space="0" w:color="auto"/>
            <w:right w:val="none" w:sz="0" w:space="0" w:color="auto"/>
          </w:divBdr>
        </w:div>
        <w:div w:id="1523858059">
          <w:marLeft w:val="0"/>
          <w:marRight w:val="0"/>
          <w:marTop w:val="0"/>
          <w:marBottom w:val="0"/>
          <w:divBdr>
            <w:top w:val="none" w:sz="0" w:space="0" w:color="auto"/>
            <w:left w:val="none" w:sz="0" w:space="0" w:color="auto"/>
            <w:bottom w:val="none" w:sz="0" w:space="0" w:color="auto"/>
            <w:right w:val="none" w:sz="0" w:space="0" w:color="auto"/>
          </w:divBdr>
        </w:div>
        <w:div w:id="1550529086">
          <w:marLeft w:val="0"/>
          <w:marRight w:val="0"/>
          <w:marTop w:val="0"/>
          <w:marBottom w:val="0"/>
          <w:divBdr>
            <w:top w:val="none" w:sz="0" w:space="0" w:color="auto"/>
            <w:left w:val="none" w:sz="0" w:space="0" w:color="auto"/>
            <w:bottom w:val="none" w:sz="0" w:space="0" w:color="auto"/>
            <w:right w:val="none" w:sz="0" w:space="0" w:color="auto"/>
          </w:divBdr>
        </w:div>
        <w:div w:id="1557625148">
          <w:marLeft w:val="0"/>
          <w:marRight w:val="0"/>
          <w:marTop w:val="0"/>
          <w:marBottom w:val="0"/>
          <w:divBdr>
            <w:top w:val="none" w:sz="0" w:space="0" w:color="auto"/>
            <w:left w:val="none" w:sz="0" w:space="0" w:color="auto"/>
            <w:bottom w:val="none" w:sz="0" w:space="0" w:color="auto"/>
            <w:right w:val="none" w:sz="0" w:space="0" w:color="auto"/>
          </w:divBdr>
        </w:div>
        <w:div w:id="1558396834">
          <w:marLeft w:val="0"/>
          <w:marRight w:val="0"/>
          <w:marTop w:val="0"/>
          <w:marBottom w:val="0"/>
          <w:divBdr>
            <w:top w:val="none" w:sz="0" w:space="0" w:color="auto"/>
            <w:left w:val="none" w:sz="0" w:space="0" w:color="auto"/>
            <w:bottom w:val="none" w:sz="0" w:space="0" w:color="auto"/>
            <w:right w:val="none" w:sz="0" w:space="0" w:color="auto"/>
          </w:divBdr>
        </w:div>
        <w:div w:id="1567573491">
          <w:marLeft w:val="0"/>
          <w:marRight w:val="0"/>
          <w:marTop w:val="0"/>
          <w:marBottom w:val="0"/>
          <w:divBdr>
            <w:top w:val="none" w:sz="0" w:space="0" w:color="auto"/>
            <w:left w:val="none" w:sz="0" w:space="0" w:color="auto"/>
            <w:bottom w:val="none" w:sz="0" w:space="0" w:color="auto"/>
            <w:right w:val="none" w:sz="0" w:space="0" w:color="auto"/>
          </w:divBdr>
        </w:div>
        <w:div w:id="1579244536">
          <w:marLeft w:val="0"/>
          <w:marRight w:val="0"/>
          <w:marTop w:val="0"/>
          <w:marBottom w:val="0"/>
          <w:divBdr>
            <w:top w:val="none" w:sz="0" w:space="0" w:color="auto"/>
            <w:left w:val="none" w:sz="0" w:space="0" w:color="auto"/>
            <w:bottom w:val="none" w:sz="0" w:space="0" w:color="auto"/>
            <w:right w:val="none" w:sz="0" w:space="0" w:color="auto"/>
          </w:divBdr>
        </w:div>
        <w:div w:id="1589774708">
          <w:marLeft w:val="0"/>
          <w:marRight w:val="0"/>
          <w:marTop w:val="0"/>
          <w:marBottom w:val="0"/>
          <w:divBdr>
            <w:top w:val="none" w:sz="0" w:space="0" w:color="auto"/>
            <w:left w:val="none" w:sz="0" w:space="0" w:color="auto"/>
            <w:bottom w:val="none" w:sz="0" w:space="0" w:color="auto"/>
            <w:right w:val="none" w:sz="0" w:space="0" w:color="auto"/>
          </w:divBdr>
        </w:div>
        <w:div w:id="1598907834">
          <w:marLeft w:val="0"/>
          <w:marRight w:val="0"/>
          <w:marTop w:val="0"/>
          <w:marBottom w:val="0"/>
          <w:divBdr>
            <w:top w:val="none" w:sz="0" w:space="0" w:color="auto"/>
            <w:left w:val="none" w:sz="0" w:space="0" w:color="auto"/>
            <w:bottom w:val="none" w:sz="0" w:space="0" w:color="auto"/>
            <w:right w:val="none" w:sz="0" w:space="0" w:color="auto"/>
          </w:divBdr>
        </w:div>
        <w:div w:id="1634795780">
          <w:marLeft w:val="0"/>
          <w:marRight w:val="0"/>
          <w:marTop w:val="0"/>
          <w:marBottom w:val="0"/>
          <w:divBdr>
            <w:top w:val="none" w:sz="0" w:space="0" w:color="auto"/>
            <w:left w:val="none" w:sz="0" w:space="0" w:color="auto"/>
            <w:bottom w:val="none" w:sz="0" w:space="0" w:color="auto"/>
            <w:right w:val="none" w:sz="0" w:space="0" w:color="auto"/>
          </w:divBdr>
        </w:div>
        <w:div w:id="1674264355">
          <w:marLeft w:val="0"/>
          <w:marRight w:val="0"/>
          <w:marTop w:val="0"/>
          <w:marBottom w:val="0"/>
          <w:divBdr>
            <w:top w:val="none" w:sz="0" w:space="0" w:color="auto"/>
            <w:left w:val="none" w:sz="0" w:space="0" w:color="auto"/>
            <w:bottom w:val="none" w:sz="0" w:space="0" w:color="auto"/>
            <w:right w:val="none" w:sz="0" w:space="0" w:color="auto"/>
          </w:divBdr>
        </w:div>
        <w:div w:id="1697653129">
          <w:marLeft w:val="0"/>
          <w:marRight w:val="0"/>
          <w:marTop w:val="0"/>
          <w:marBottom w:val="0"/>
          <w:divBdr>
            <w:top w:val="none" w:sz="0" w:space="0" w:color="auto"/>
            <w:left w:val="none" w:sz="0" w:space="0" w:color="auto"/>
            <w:bottom w:val="none" w:sz="0" w:space="0" w:color="auto"/>
            <w:right w:val="none" w:sz="0" w:space="0" w:color="auto"/>
          </w:divBdr>
        </w:div>
        <w:div w:id="1707606057">
          <w:marLeft w:val="0"/>
          <w:marRight w:val="0"/>
          <w:marTop w:val="0"/>
          <w:marBottom w:val="0"/>
          <w:divBdr>
            <w:top w:val="none" w:sz="0" w:space="0" w:color="auto"/>
            <w:left w:val="none" w:sz="0" w:space="0" w:color="auto"/>
            <w:bottom w:val="none" w:sz="0" w:space="0" w:color="auto"/>
            <w:right w:val="none" w:sz="0" w:space="0" w:color="auto"/>
          </w:divBdr>
        </w:div>
        <w:div w:id="1709525532">
          <w:marLeft w:val="0"/>
          <w:marRight w:val="0"/>
          <w:marTop w:val="0"/>
          <w:marBottom w:val="0"/>
          <w:divBdr>
            <w:top w:val="none" w:sz="0" w:space="0" w:color="auto"/>
            <w:left w:val="none" w:sz="0" w:space="0" w:color="auto"/>
            <w:bottom w:val="none" w:sz="0" w:space="0" w:color="auto"/>
            <w:right w:val="none" w:sz="0" w:space="0" w:color="auto"/>
          </w:divBdr>
        </w:div>
        <w:div w:id="1710259506">
          <w:marLeft w:val="0"/>
          <w:marRight w:val="0"/>
          <w:marTop w:val="0"/>
          <w:marBottom w:val="0"/>
          <w:divBdr>
            <w:top w:val="none" w:sz="0" w:space="0" w:color="auto"/>
            <w:left w:val="none" w:sz="0" w:space="0" w:color="auto"/>
            <w:bottom w:val="none" w:sz="0" w:space="0" w:color="auto"/>
            <w:right w:val="none" w:sz="0" w:space="0" w:color="auto"/>
          </w:divBdr>
        </w:div>
        <w:div w:id="1710762345">
          <w:marLeft w:val="0"/>
          <w:marRight w:val="0"/>
          <w:marTop w:val="0"/>
          <w:marBottom w:val="0"/>
          <w:divBdr>
            <w:top w:val="none" w:sz="0" w:space="0" w:color="auto"/>
            <w:left w:val="none" w:sz="0" w:space="0" w:color="auto"/>
            <w:bottom w:val="none" w:sz="0" w:space="0" w:color="auto"/>
            <w:right w:val="none" w:sz="0" w:space="0" w:color="auto"/>
          </w:divBdr>
        </w:div>
        <w:div w:id="1731421853">
          <w:marLeft w:val="0"/>
          <w:marRight w:val="0"/>
          <w:marTop w:val="0"/>
          <w:marBottom w:val="0"/>
          <w:divBdr>
            <w:top w:val="none" w:sz="0" w:space="0" w:color="auto"/>
            <w:left w:val="none" w:sz="0" w:space="0" w:color="auto"/>
            <w:bottom w:val="none" w:sz="0" w:space="0" w:color="auto"/>
            <w:right w:val="none" w:sz="0" w:space="0" w:color="auto"/>
          </w:divBdr>
        </w:div>
        <w:div w:id="1745568003">
          <w:marLeft w:val="0"/>
          <w:marRight w:val="0"/>
          <w:marTop w:val="0"/>
          <w:marBottom w:val="0"/>
          <w:divBdr>
            <w:top w:val="none" w:sz="0" w:space="0" w:color="auto"/>
            <w:left w:val="none" w:sz="0" w:space="0" w:color="auto"/>
            <w:bottom w:val="none" w:sz="0" w:space="0" w:color="auto"/>
            <w:right w:val="none" w:sz="0" w:space="0" w:color="auto"/>
          </w:divBdr>
        </w:div>
        <w:div w:id="1772702996">
          <w:marLeft w:val="0"/>
          <w:marRight w:val="0"/>
          <w:marTop w:val="0"/>
          <w:marBottom w:val="0"/>
          <w:divBdr>
            <w:top w:val="none" w:sz="0" w:space="0" w:color="auto"/>
            <w:left w:val="none" w:sz="0" w:space="0" w:color="auto"/>
            <w:bottom w:val="none" w:sz="0" w:space="0" w:color="auto"/>
            <w:right w:val="none" w:sz="0" w:space="0" w:color="auto"/>
          </w:divBdr>
        </w:div>
        <w:div w:id="1809081883">
          <w:marLeft w:val="0"/>
          <w:marRight w:val="0"/>
          <w:marTop w:val="0"/>
          <w:marBottom w:val="0"/>
          <w:divBdr>
            <w:top w:val="none" w:sz="0" w:space="0" w:color="auto"/>
            <w:left w:val="none" w:sz="0" w:space="0" w:color="auto"/>
            <w:bottom w:val="none" w:sz="0" w:space="0" w:color="auto"/>
            <w:right w:val="none" w:sz="0" w:space="0" w:color="auto"/>
          </w:divBdr>
        </w:div>
        <w:div w:id="1824928348">
          <w:marLeft w:val="0"/>
          <w:marRight w:val="0"/>
          <w:marTop w:val="0"/>
          <w:marBottom w:val="0"/>
          <w:divBdr>
            <w:top w:val="none" w:sz="0" w:space="0" w:color="auto"/>
            <w:left w:val="none" w:sz="0" w:space="0" w:color="auto"/>
            <w:bottom w:val="none" w:sz="0" w:space="0" w:color="auto"/>
            <w:right w:val="none" w:sz="0" w:space="0" w:color="auto"/>
          </w:divBdr>
        </w:div>
        <w:div w:id="1837304671">
          <w:marLeft w:val="0"/>
          <w:marRight w:val="0"/>
          <w:marTop w:val="0"/>
          <w:marBottom w:val="0"/>
          <w:divBdr>
            <w:top w:val="none" w:sz="0" w:space="0" w:color="auto"/>
            <w:left w:val="none" w:sz="0" w:space="0" w:color="auto"/>
            <w:bottom w:val="none" w:sz="0" w:space="0" w:color="auto"/>
            <w:right w:val="none" w:sz="0" w:space="0" w:color="auto"/>
          </w:divBdr>
        </w:div>
        <w:div w:id="1844515128">
          <w:marLeft w:val="0"/>
          <w:marRight w:val="0"/>
          <w:marTop w:val="0"/>
          <w:marBottom w:val="0"/>
          <w:divBdr>
            <w:top w:val="none" w:sz="0" w:space="0" w:color="auto"/>
            <w:left w:val="none" w:sz="0" w:space="0" w:color="auto"/>
            <w:bottom w:val="none" w:sz="0" w:space="0" w:color="auto"/>
            <w:right w:val="none" w:sz="0" w:space="0" w:color="auto"/>
          </w:divBdr>
        </w:div>
        <w:div w:id="1847595115">
          <w:marLeft w:val="0"/>
          <w:marRight w:val="0"/>
          <w:marTop w:val="0"/>
          <w:marBottom w:val="0"/>
          <w:divBdr>
            <w:top w:val="none" w:sz="0" w:space="0" w:color="auto"/>
            <w:left w:val="none" w:sz="0" w:space="0" w:color="auto"/>
            <w:bottom w:val="none" w:sz="0" w:space="0" w:color="auto"/>
            <w:right w:val="none" w:sz="0" w:space="0" w:color="auto"/>
          </w:divBdr>
        </w:div>
        <w:div w:id="1852528346">
          <w:marLeft w:val="0"/>
          <w:marRight w:val="0"/>
          <w:marTop w:val="0"/>
          <w:marBottom w:val="0"/>
          <w:divBdr>
            <w:top w:val="none" w:sz="0" w:space="0" w:color="auto"/>
            <w:left w:val="none" w:sz="0" w:space="0" w:color="auto"/>
            <w:bottom w:val="none" w:sz="0" w:space="0" w:color="auto"/>
            <w:right w:val="none" w:sz="0" w:space="0" w:color="auto"/>
          </w:divBdr>
        </w:div>
        <w:div w:id="1864172079">
          <w:marLeft w:val="0"/>
          <w:marRight w:val="0"/>
          <w:marTop w:val="0"/>
          <w:marBottom w:val="0"/>
          <w:divBdr>
            <w:top w:val="none" w:sz="0" w:space="0" w:color="auto"/>
            <w:left w:val="none" w:sz="0" w:space="0" w:color="auto"/>
            <w:bottom w:val="none" w:sz="0" w:space="0" w:color="auto"/>
            <w:right w:val="none" w:sz="0" w:space="0" w:color="auto"/>
          </w:divBdr>
        </w:div>
        <w:div w:id="1866938106">
          <w:marLeft w:val="0"/>
          <w:marRight w:val="0"/>
          <w:marTop w:val="0"/>
          <w:marBottom w:val="0"/>
          <w:divBdr>
            <w:top w:val="none" w:sz="0" w:space="0" w:color="auto"/>
            <w:left w:val="none" w:sz="0" w:space="0" w:color="auto"/>
            <w:bottom w:val="none" w:sz="0" w:space="0" w:color="auto"/>
            <w:right w:val="none" w:sz="0" w:space="0" w:color="auto"/>
          </w:divBdr>
        </w:div>
        <w:div w:id="1883899295">
          <w:marLeft w:val="0"/>
          <w:marRight w:val="0"/>
          <w:marTop w:val="0"/>
          <w:marBottom w:val="0"/>
          <w:divBdr>
            <w:top w:val="none" w:sz="0" w:space="0" w:color="auto"/>
            <w:left w:val="none" w:sz="0" w:space="0" w:color="auto"/>
            <w:bottom w:val="none" w:sz="0" w:space="0" w:color="auto"/>
            <w:right w:val="none" w:sz="0" w:space="0" w:color="auto"/>
          </w:divBdr>
        </w:div>
        <w:div w:id="1901668519">
          <w:marLeft w:val="0"/>
          <w:marRight w:val="0"/>
          <w:marTop w:val="0"/>
          <w:marBottom w:val="0"/>
          <w:divBdr>
            <w:top w:val="none" w:sz="0" w:space="0" w:color="auto"/>
            <w:left w:val="none" w:sz="0" w:space="0" w:color="auto"/>
            <w:bottom w:val="none" w:sz="0" w:space="0" w:color="auto"/>
            <w:right w:val="none" w:sz="0" w:space="0" w:color="auto"/>
          </w:divBdr>
        </w:div>
        <w:div w:id="1903174450">
          <w:marLeft w:val="0"/>
          <w:marRight w:val="0"/>
          <w:marTop w:val="0"/>
          <w:marBottom w:val="0"/>
          <w:divBdr>
            <w:top w:val="none" w:sz="0" w:space="0" w:color="auto"/>
            <w:left w:val="none" w:sz="0" w:space="0" w:color="auto"/>
            <w:bottom w:val="none" w:sz="0" w:space="0" w:color="auto"/>
            <w:right w:val="none" w:sz="0" w:space="0" w:color="auto"/>
          </w:divBdr>
        </w:div>
        <w:div w:id="1903905552">
          <w:marLeft w:val="0"/>
          <w:marRight w:val="0"/>
          <w:marTop w:val="0"/>
          <w:marBottom w:val="0"/>
          <w:divBdr>
            <w:top w:val="none" w:sz="0" w:space="0" w:color="auto"/>
            <w:left w:val="none" w:sz="0" w:space="0" w:color="auto"/>
            <w:bottom w:val="none" w:sz="0" w:space="0" w:color="auto"/>
            <w:right w:val="none" w:sz="0" w:space="0" w:color="auto"/>
          </w:divBdr>
        </w:div>
        <w:div w:id="1908294686">
          <w:marLeft w:val="0"/>
          <w:marRight w:val="0"/>
          <w:marTop w:val="0"/>
          <w:marBottom w:val="0"/>
          <w:divBdr>
            <w:top w:val="none" w:sz="0" w:space="0" w:color="auto"/>
            <w:left w:val="none" w:sz="0" w:space="0" w:color="auto"/>
            <w:bottom w:val="none" w:sz="0" w:space="0" w:color="auto"/>
            <w:right w:val="none" w:sz="0" w:space="0" w:color="auto"/>
          </w:divBdr>
        </w:div>
        <w:div w:id="1918006294">
          <w:marLeft w:val="0"/>
          <w:marRight w:val="0"/>
          <w:marTop w:val="0"/>
          <w:marBottom w:val="0"/>
          <w:divBdr>
            <w:top w:val="none" w:sz="0" w:space="0" w:color="auto"/>
            <w:left w:val="none" w:sz="0" w:space="0" w:color="auto"/>
            <w:bottom w:val="none" w:sz="0" w:space="0" w:color="auto"/>
            <w:right w:val="none" w:sz="0" w:space="0" w:color="auto"/>
          </w:divBdr>
        </w:div>
        <w:div w:id="1970625552">
          <w:marLeft w:val="0"/>
          <w:marRight w:val="0"/>
          <w:marTop w:val="0"/>
          <w:marBottom w:val="0"/>
          <w:divBdr>
            <w:top w:val="none" w:sz="0" w:space="0" w:color="auto"/>
            <w:left w:val="none" w:sz="0" w:space="0" w:color="auto"/>
            <w:bottom w:val="none" w:sz="0" w:space="0" w:color="auto"/>
            <w:right w:val="none" w:sz="0" w:space="0" w:color="auto"/>
          </w:divBdr>
        </w:div>
        <w:div w:id="1977369512">
          <w:marLeft w:val="0"/>
          <w:marRight w:val="0"/>
          <w:marTop w:val="0"/>
          <w:marBottom w:val="0"/>
          <w:divBdr>
            <w:top w:val="none" w:sz="0" w:space="0" w:color="auto"/>
            <w:left w:val="none" w:sz="0" w:space="0" w:color="auto"/>
            <w:bottom w:val="none" w:sz="0" w:space="0" w:color="auto"/>
            <w:right w:val="none" w:sz="0" w:space="0" w:color="auto"/>
          </w:divBdr>
        </w:div>
        <w:div w:id="2005207267">
          <w:marLeft w:val="0"/>
          <w:marRight w:val="0"/>
          <w:marTop w:val="0"/>
          <w:marBottom w:val="0"/>
          <w:divBdr>
            <w:top w:val="none" w:sz="0" w:space="0" w:color="auto"/>
            <w:left w:val="none" w:sz="0" w:space="0" w:color="auto"/>
            <w:bottom w:val="none" w:sz="0" w:space="0" w:color="auto"/>
            <w:right w:val="none" w:sz="0" w:space="0" w:color="auto"/>
          </w:divBdr>
        </w:div>
        <w:div w:id="2035568287">
          <w:marLeft w:val="0"/>
          <w:marRight w:val="0"/>
          <w:marTop w:val="0"/>
          <w:marBottom w:val="0"/>
          <w:divBdr>
            <w:top w:val="none" w:sz="0" w:space="0" w:color="auto"/>
            <w:left w:val="none" w:sz="0" w:space="0" w:color="auto"/>
            <w:bottom w:val="none" w:sz="0" w:space="0" w:color="auto"/>
            <w:right w:val="none" w:sz="0" w:space="0" w:color="auto"/>
          </w:divBdr>
        </w:div>
        <w:div w:id="2051218825">
          <w:marLeft w:val="0"/>
          <w:marRight w:val="0"/>
          <w:marTop w:val="0"/>
          <w:marBottom w:val="0"/>
          <w:divBdr>
            <w:top w:val="none" w:sz="0" w:space="0" w:color="auto"/>
            <w:left w:val="none" w:sz="0" w:space="0" w:color="auto"/>
            <w:bottom w:val="none" w:sz="0" w:space="0" w:color="auto"/>
            <w:right w:val="none" w:sz="0" w:space="0" w:color="auto"/>
          </w:divBdr>
        </w:div>
        <w:div w:id="2060281406">
          <w:marLeft w:val="0"/>
          <w:marRight w:val="0"/>
          <w:marTop w:val="0"/>
          <w:marBottom w:val="0"/>
          <w:divBdr>
            <w:top w:val="none" w:sz="0" w:space="0" w:color="auto"/>
            <w:left w:val="none" w:sz="0" w:space="0" w:color="auto"/>
            <w:bottom w:val="none" w:sz="0" w:space="0" w:color="auto"/>
            <w:right w:val="none" w:sz="0" w:space="0" w:color="auto"/>
          </w:divBdr>
        </w:div>
        <w:div w:id="2062247122">
          <w:marLeft w:val="0"/>
          <w:marRight w:val="0"/>
          <w:marTop w:val="0"/>
          <w:marBottom w:val="0"/>
          <w:divBdr>
            <w:top w:val="none" w:sz="0" w:space="0" w:color="auto"/>
            <w:left w:val="none" w:sz="0" w:space="0" w:color="auto"/>
            <w:bottom w:val="none" w:sz="0" w:space="0" w:color="auto"/>
            <w:right w:val="none" w:sz="0" w:space="0" w:color="auto"/>
          </w:divBdr>
        </w:div>
        <w:div w:id="2071415345">
          <w:marLeft w:val="0"/>
          <w:marRight w:val="0"/>
          <w:marTop w:val="0"/>
          <w:marBottom w:val="0"/>
          <w:divBdr>
            <w:top w:val="none" w:sz="0" w:space="0" w:color="auto"/>
            <w:left w:val="none" w:sz="0" w:space="0" w:color="auto"/>
            <w:bottom w:val="none" w:sz="0" w:space="0" w:color="auto"/>
            <w:right w:val="none" w:sz="0" w:space="0" w:color="auto"/>
          </w:divBdr>
        </w:div>
        <w:div w:id="2073846693">
          <w:marLeft w:val="0"/>
          <w:marRight w:val="0"/>
          <w:marTop w:val="0"/>
          <w:marBottom w:val="0"/>
          <w:divBdr>
            <w:top w:val="none" w:sz="0" w:space="0" w:color="auto"/>
            <w:left w:val="none" w:sz="0" w:space="0" w:color="auto"/>
            <w:bottom w:val="none" w:sz="0" w:space="0" w:color="auto"/>
            <w:right w:val="none" w:sz="0" w:space="0" w:color="auto"/>
          </w:divBdr>
        </w:div>
        <w:div w:id="2079590896">
          <w:marLeft w:val="0"/>
          <w:marRight w:val="0"/>
          <w:marTop w:val="0"/>
          <w:marBottom w:val="0"/>
          <w:divBdr>
            <w:top w:val="none" w:sz="0" w:space="0" w:color="auto"/>
            <w:left w:val="none" w:sz="0" w:space="0" w:color="auto"/>
            <w:bottom w:val="none" w:sz="0" w:space="0" w:color="auto"/>
            <w:right w:val="none" w:sz="0" w:space="0" w:color="auto"/>
          </w:divBdr>
        </w:div>
        <w:div w:id="2092966077">
          <w:marLeft w:val="0"/>
          <w:marRight w:val="0"/>
          <w:marTop w:val="0"/>
          <w:marBottom w:val="0"/>
          <w:divBdr>
            <w:top w:val="none" w:sz="0" w:space="0" w:color="auto"/>
            <w:left w:val="none" w:sz="0" w:space="0" w:color="auto"/>
            <w:bottom w:val="none" w:sz="0" w:space="0" w:color="auto"/>
            <w:right w:val="none" w:sz="0" w:space="0" w:color="auto"/>
          </w:divBdr>
        </w:div>
        <w:div w:id="2107998117">
          <w:marLeft w:val="0"/>
          <w:marRight w:val="0"/>
          <w:marTop w:val="0"/>
          <w:marBottom w:val="0"/>
          <w:divBdr>
            <w:top w:val="none" w:sz="0" w:space="0" w:color="auto"/>
            <w:left w:val="none" w:sz="0" w:space="0" w:color="auto"/>
            <w:bottom w:val="none" w:sz="0" w:space="0" w:color="auto"/>
            <w:right w:val="none" w:sz="0" w:space="0" w:color="auto"/>
          </w:divBdr>
        </w:div>
        <w:div w:id="2111654357">
          <w:marLeft w:val="0"/>
          <w:marRight w:val="0"/>
          <w:marTop w:val="0"/>
          <w:marBottom w:val="0"/>
          <w:divBdr>
            <w:top w:val="none" w:sz="0" w:space="0" w:color="auto"/>
            <w:left w:val="none" w:sz="0" w:space="0" w:color="auto"/>
            <w:bottom w:val="none" w:sz="0" w:space="0" w:color="auto"/>
            <w:right w:val="none" w:sz="0" w:space="0" w:color="auto"/>
          </w:divBdr>
        </w:div>
        <w:div w:id="2136898367">
          <w:marLeft w:val="0"/>
          <w:marRight w:val="0"/>
          <w:marTop w:val="0"/>
          <w:marBottom w:val="0"/>
          <w:divBdr>
            <w:top w:val="none" w:sz="0" w:space="0" w:color="auto"/>
            <w:left w:val="none" w:sz="0" w:space="0" w:color="auto"/>
            <w:bottom w:val="none" w:sz="0" w:space="0" w:color="auto"/>
            <w:right w:val="none" w:sz="0" w:space="0" w:color="auto"/>
          </w:divBdr>
        </w:div>
      </w:divsChild>
    </w:div>
    <w:div w:id="2128697170">
      <w:bodyDiv w:val="1"/>
      <w:marLeft w:val="0"/>
      <w:marRight w:val="0"/>
      <w:marTop w:val="0"/>
      <w:marBottom w:val="0"/>
      <w:divBdr>
        <w:top w:val="none" w:sz="0" w:space="0" w:color="auto"/>
        <w:left w:val="none" w:sz="0" w:space="0" w:color="auto"/>
        <w:bottom w:val="none" w:sz="0" w:space="0" w:color="auto"/>
        <w:right w:val="none" w:sz="0" w:space="0" w:color="auto"/>
      </w:divBdr>
    </w:div>
    <w:div w:id="2145810918">
      <w:bodyDiv w:val="1"/>
      <w:marLeft w:val="0"/>
      <w:marRight w:val="0"/>
      <w:marTop w:val="0"/>
      <w:marBottom w:val="0"/>
      <w:divBdr>
        <w:top w:val="none" w:sz="0" w:space="0" w:color="auto"/>
        <w:left w:val="none" w:sz="0" w:space="0" w:color="auto"/>
        <w:bottom w:val="none" w:sz="0" w:space="0" w:color="auto"/>
        <w:right w:val="none" w:sz="0" w:space="0" w:color="auto"/>
      </w:divBdr>
      <w:divsChild>
        <w:div w:id="74396790">
          <w:marLeft w:val="0"/>
          <w:marRight w:val="0"/>
          <w:marTop w:val="0"/>
          <w:marBottom w:val="0"/>
          <w:divBdr>
            <w:top w:val="none" w:sz="0" w:space="0" w:color="auto"/>
            <w:left w:val="none" w:sz="0" w:space="0" w:color="auto"/>
            <w:bottom w:val="none" w:sz="0" w:space="0" w:color="auto"/>
            <w:right w:val="none" w:sz="0" w:space="0" w:color="auto"/>
          </w:divBdr>
          <w:divsChild>
            <w:div w:id="2049642931">
              <w:marLeft w:val="0"/>
              <w:marRight w:val="0"/>
              <w:marTop w:val="0"/>
              <w:marBottom w:val="0"/>
              <w:divBdr>
                <w:top w:val="none" w:sz="0" w:space="0" w:color="auto"/>
                <w:left w:val="none" w:sz="0" w:space="0" w:color="auto"/>
                <w:bottom w:val="none" w:sz="0" w:space="0" w:color="auto"/>
                <w:right w:val="none" w:sz="0" w:space="0" w:color="auto"/>
              </w:divBdr>
            </w:div>
          </w:divsChild>
        </w:div>
        <w:div w:id="181936352">
          <w:marLeft w:val="0"/>
          <w:marRight w:val="0"/>
          <w:marTop w:val="0"/>
          <w:marBottom w:val="0"/>
          <w:divBdr>
            <w:top w:val="none" w:sz="0" w:space="0" w:color="auto"/>
            <w:left w:val="none" w:sz="0" w:space="0" w:color="auto"/>
            <w:bottom w:val="none" w:sz="0" w:space="0" w:color="auto"/>
            <w:right w:val="none" w:sz="0" w:space="0" w:color="auto"/>
          </w:divBdr>
          <w:divsChild>
            <w:div w:id="92866374">
              <w:marLeft w:val="0"/>
              <w:marRight w:val="0"/>
              <w:marTop w:val="0"/>
              <w:marBottom w:val="0"/>
              <w:divBdr>
                <w:top w:val="none" w:sz="0" w:space="0" w:color="auto"/>
                <w:left w:val="none" w:sz="0" w:space="0" w:color="auto"/>
                <w:bottom w:val="none" w:sz="0" w:space="0" w:color="auto"/>
                <w:right w:val="none" w:sz="0" w:space="0" w:color="auto"/>
              </w:divBdr>
            </w:div>
          </w:divsChild>
        </w:div>
        <w:div w:id="331832442">
          <w:marLeft w:val="0"/>
          <w:marRight w:val="0"/>
          <w:marTop w:val="0"/>
          <w:marBottom w:val="0"/>
          <w:divBdr>
            <w:top w:val="none" w:sz="0" w:space="0" w:color="auto"/>
            <w:left w:val="none" w:sz="0" w:space="0" w:color="auto"/>
            <w:bottom w:val="none" w:sz="0" w:space="0" w:color="auto"/>
            <w:right w:val="none" w:sz="0" w:space="0" w:color="auto"/>
          </w:divBdr>
          <w:divsChild>
            <w:div w:id="1271165186">
              <w:marLeft w:val="0"/>
              <w:marRight w:val="0"/>
              <w:marTop w:val="0"/>
              <w:marBottom w:val="0"/>
              <w:divBdr>
                <w:top w:val="none" w:sz="0" w:space="0" w:color="auto"/>
                <w:left w:val="none" w:sz="0" w:space="0" w:color="auto"/>
                <w:bottom w:val="none" w:sz="0" w:space="0" w:color="auto"/>
                <w:right w:val="none" w:sz="0" w:space="0" w:color="auto"/>
              </w:divBdr>
            </w:div>
          </w:divsChild>
        </w:div>
        <w:div w:id="363480346">
          <w:marLeft w:val="0"/>
          <w:marRight w:val="0"/>
          <w:marTop w:val="0"/>
          <w:marBottom w:val="0"/>
          <w:divBdr>
            <w:top w:val="none" w:sz="0" w:space="0" w:color="auto"/>
            <w:left w:val="none" w:sz="0" w:space="0" w:color="auto"/>
            <w:bottom w:val="none" w:sz="0" w:space="0" w:color="auto"/>
            <w:right w:val="none" w:sz="0" w:space="0" w:color="auto"/>
          </w:divBdr>
          <w:divsChild>
            <w:div w:id="2017923984">
              <w:marLeft w:val="0"/>
              <w:marRight w:val="0"/>
              <w:marTop w:val="0"/>
              <w:marBottom w:val="0"/>
              <w:divBdr>
                <w:top w:val="none" w:sz="0" w:space="0" w:color="auto"/>
                <w:left w:val="none" w:sz="0" w:space="0" w:color="auto"/>
                <w:bottom w:val="none" w:sz="0" w:space="0" w:color="auto"/>
                <w:right w:val="none" w:sz="0" w:space="0" w:color="auto"/>
              </w:divBdr>
            </w:div>
          </w:divsChild>
        </w:div>
        <w:div w:id="388892521">
          <w:marLeft w:val="0"/>
          <w:marRight w:val="0"/>
          <w:marTop w:val="0"/>
          <w:marBottom w:val="0"/>
          <w:divBdr>
            <w:top w:val="none" w:sz="0" w:space="0" w:color="auto"/>
            <w:left w:val="none" w:sz="0" w:space="0" w:color="auto"/>
            <w:bottom w:val="none" w:sz="0" w:space="0" w:color="auto"/>
            <w:right w:val="none" w:sz="0" w:space="0" w:color="auto"/>
          </w:divBdr>
          <w:divsChild>
            <w:div w:id="1330595098">
              <w:marLeft w:val="0"/>
              <w:marRight w:val="0"/>
              <w:marTop w:val="0"/>
              <w:marBottom w:val="0"/>
              <w:divBdr>
                <w:top w:val="none" w:sz="0" w:space="0" w:color="auto"/>
                <w:left w:val="none" w:sz="0" w:space="0" w:color="auto"/>
                <w:bottom w:val="none" w:sz="0" w:space="0" w:color="auto"/>
                <w:right w:val="none" w:sz="0" w:space="0" w:color="auto"/>
              </w:divBdr>
            </w:div>
          </w:divsChild>
        </w:div>
        <w:div w:id="432359922">
          <w:marLeft w:val="0"/>
          <w:marRight w:val="0"/>
          <w:marTop w:val="0"/>
          <w:marBottom w:val="0"/>
          <w:divBdr>
            <w:top w:val="none" w:sz="0" w:space="0" w:color="auto"/>
            <w:left w:val="none" w:sz="0" w:space="0" w:color="auto"/>
            <w:bottom w:val="none" w:sz="0" w:space="0" w:color="auto"/>
            <w:right w:val="none" w:sz="0" w:space="0" w:color="auto"/>
          </w:divBdr>
          <w:divsChild>
            <w:div w:id="1211187739">
              <w:marLeft w:val="0"/>
              <w:marRight w:val="0"/>
              <w:marTop w:val="0"/>
              <w:marBottom w:val="0"/>
              <w:divBdr>
                <w:top w:val="none" w:sz="0" w:space="0" w:color="auto"/>
                <w:left w:val="none" w:sz="0" w:space="0" w:color="auto"/>
                <w:bottom w:val="none" w:sz="0" w:space="0" w:color="auto"/>
                <w:right w:val="none" w:sz="0" w:space="0" w:color="auto"/>
              </w:divBdr>
            </w:div>
          </w:divsChild>
        </w:div>
        <w:div w:id="493952945">
          <w:marLeft w:val="0"/>
          <w:marRight w:val="0"/>
          <w:marTop w:val="0"/>
          <w:marBottom w:val="0"/>
          <w:divBdr>
            <w:top w:val="none" w:sz="0" w:space="0" w:color="auto"/>
            <w:left w:val="none" w:sz="0" w:space="0" w:color="auto"/>
            <w:bottom w:val="none" w:sz="0" w:space="0" w:color="auto"/>
            <w:right w:val="none" w:sz="0" w:space="0" w:color="auto"/>
          </w:divBdr>
          <w:divsChild>
            <w:div w:id="1201019768">
              <w:marLeft w:val="0"/>
              <w:marRight w:val="0"/>
              <w:marTop w:val="0"/>
              <w:marBottom w:val="0"/>
              <w:divBdr>
                <w:top w:val="none" w:sz="0" w:space="0" w:color="auto"/>
                <w:left w:val="none" w:sz="0" w:space="0" w:color="auto"/>
                <w:bottom w:val="none" w:sz="0" w:space="0" w:color="auto"/>
                <w:right w:val="none" w:sz="0" w:space="0" w:color="auto"/>
              </w:divBdr>
            </w:div>
            <w:div w:id="1832482965">
              <w:marLeft w:val="0"/>
              <w:marRight w:val="0"/>
              <w:marTop w:val="0"/>
              <w:marBottom w:val="0"/>
              <w:divBdr>
                <w:top w:val="none" w:sz="0" w:space="0" w:color="auto"/>
                <w:left w:val="none" w:sz="0" w:space="0" w:color="auto"/>
                <w:bottom w:val="none" w:sz="0" w:space="0" w:color="auto"/>
                <w:right w:val="none" w:sz="0" w:space="0" w:color="auto"/>
              </w:divBdr>
            </w:div>
          </w:divsChild>
        </w:div>
        <w:div w:id="556358898">
          <w:marLeft w:val="0"/>
          <w:marRight w:val="0"/>
          <w:marTop w:val="0"/>
          <w:marBottom w:val="0"/>
          <w:divBdr>
            <w:top w:val="none" w:sz="0" w:space="0" w:color="auto"/>
            <w:left w:val="none" w:sz="0" w:space="0" w:color="auto"/>
            <w:bottom w:val="none" w:sz="0" w:space="0" w:color="auto"/>
            <w:right w:val="none" w:sz="0" w:space="0" w:color="auto"/>
          </w:divBdr>
          <w:divsChild>
            <w:div w:id="814681947">
              <w:marLeft w:val="0"/>
              <w:marRight w:val="0"/>
              <w:marTop w:val="0"/>
              <w:marBottom w:val="0"/>
              <w:divBdr>
                <w:top w:val="none" w:sz="0" w:space="0" w:color="auto"/>
                <w:left w:val="none" w:sz="0" w:space="0" w:color="auto"/>
                <w:bottom w:val="none" w:sz="0" w:space="0" w:color="auto"/>
                <w:right w:val="none" w:sz="0" w:space="0" w:color="auto"/>
              </w:divBdr>
            </w:div>
          </w:divsChild>
        </w:div>
        <w:div w:id="766733898">
          <w:marLeft w:val="0"/>
          <w:marRight w:val="0"/>
          <w:marTop w:val="0"/>
          <w:marBottom w:val="0"/>
          <w:divBdr>
            <w:top w:val="none" w:sz="0" w:space="0" w:color="auto"/>
            <w:left w:val="none" w:sz="0" w:space="0" w:color="auto"/>
            <w:bottom w:val="none" w:sz="0" w:space="0" w:color="auto"/>
            <w:right w:val="none" w:sz="0" w:space="0" w:color="auto"/>
          </w:divBdr>
          <w:divsChild>
            <w:div w:id="1426539152">
              <w:marLeft w:val="0"/>
              <w:marRight w:val="0"/>
              <w:marTop w:val="0"/>
              <w:marBottom w:val="0"/>
              <w:divBdr>
                <w:top w:val="none" w:sz="0" w:space="0" w:color="auto"/>
                <w:left w:val="none" w:sz="0" w:space="0" w:color="auto"/>
                <w:bottom w:val="none" w:sz="0" w:space="0" w:color="auto"/>
                <w:right w:val="none" w:sz="0" w:space="0" w:color="auto"/>
              </w:divBdr>
            </w:div>
          </w:divsChild>
        </w:div>
        <w:div w:id="795099207">
          <w:marLeft w:val="0"/>
          <w:marRight w:val="0"/>
          <w:marTop w:val="0"/>
          <w:marBottom w:val="0"/>
          <w:divBdr>
            <w:top w:val="none" w:sz="0" w:space="0" w:color="auto"/>
            <w:left w:val="none" w:sz="0" w:space="0" w:color="auto"/>
            <w:bottom w:val="none" w:sz="0" w:space="0" w:color="auto"/>
            <w:right w:val="none" w:sz="0" w:space="0" w:color="auto"/>
          </w:divBdr>
          <w:divsChild>
            <w:div w:id="1484739794">
              <w:marLeft w:val="0"/>
              <w:marRight w:val="0"/>
              <w:marTop w:val="0"/>
              <w:marBottom w:val="0"/>
              <w:divBdr>
                <w:top w:val="none" w:sz="0" w:space="0" w:color="auto"/>
                <w:left w:val="none" w:sz="0" w:space="0" w:color="auto"/>
                <w:bottom w:val="none" w:sz="0" w:space="0" w:color="auto"/>
                <w:right w:val="none" w:sz="0" w:space="0" w:color="auto"/>
              </w:divBdr>
            </w:div>
          </w:divsChild>
        </w:div>
        <w:div w:id="851456205">
          <w:marLeft w:val="0"/>
          <w:marRight w:val="0"/>
          <w:marTop w:val="0"/>
          <w:marBottom w:val="0"/>
          <w:divBdr>
            <w:top w:val="none" w:sz="0" w:space="0" w:color="auto"/>
            <w:left w:val="none" w:sz="0" w:space="0" w:color="auto"/>
            <w:bottom w:val="none" w:sz="0" w:space="0" w:color="auto"/>
            <w:right w:val="none" w:sz="0" w:space="0" w:color="auto"/>
          </w:divBdr>
          <w:divsChild>
            <w:div w:id="987787777">
              <w:marLeft w:val="0"/>
              <w:marRight w:val="0"/>
              <w:marTop w:val="0"/>
              <w:marBottom w:val="0"/>
              <w:divBdr>
                <w:top w:val="none" w:sz="0" w:space="0" w:color="auto"/>
                <w:left w:val="none" w:sz="0" w:space="0" w:color="auto"/>
                <w:bottom w:val="none" w:sz="0" w:space="0" w:color="auto"/>
                <w:right w:val="none" w:sz="0" w:space="0" w:color="auto"/>
              </w:divBdr>
            </w:div>
          </w:divsChild>
        </w:div>
        <w:div w:id="933170486">
          <w:marLeft w:val="0"/>
          <w:marRight w:val="0"/>
          <w:marTop w:val="0"/>
          <w:marBottom w:val="0"/>
          <w:divBdr>
            <w:top w:val="none" w:sz="0" w:space="0" w:color="auto"/>
            <w:left w:val="none" w:sz="0" w:space="0" w:color="auto"/>
            <w:bottom w:val="none" w:sz="0" w:space="0" w:color="auto"/>
            <w:right w:val="none" w:sz="0" w:space="0" w:color="auto"/>
          </w:divBdr>
          <w:divsChild>
            <w:div w:id="1438866703">
              <w:marLeft w:val="0"/>
              <w:marRight w:val="0"/>
              <w:marTop w:val="0"/>
              <w:marBottom w:val="0"/>
              <w:divBdr>
                <w:top w:val="none" w:sz="0" w:space="0" w:color="auto"/>
                <w:left w:val="none" w:sz="0" w:space="0" w:color="auto"/>
                <w:bottom w:val="none" w:sz="0" w:space="0" w:color="auto"/>
                <w:right w:val="none" w:sz="0" w:space="0" w:color="auto"/>
              </w:divBdr>
            </w:div>
          </w:divsChild>
        </w:div>
        <w:div w:id="949239745">
          <w:marLeft w:val="0"/>
          <w:marRight w:val="0"/>
          <w:marTop w:val="0"/>
          <w:marBottom w:val="0"/>
          <w:divBdr>
            <w:top w:val="none" w:sz="0" w:space="0" w:color="auto"/>
            <w:left w:val="none" w:sz="0" w:space="0" w:color="auto"/>
            <w:bottom w:val="none" w:sz="0" w:space="0" w:color="auto"/>
            <w:right w:val="none" w:sz="0" w:space="0" w:color="auto"/>
          </w:divBdr>
          <w:divsChild>
            <w:div w:id="1265110285">
              <w:marLeft w:val="0"/>
              <w:marRight w:val="0"/>
              <w:marTop w:val="0"/>
              <w:marBottom w:val="0"/>
              <w:divBdr>
                <w:top w:val="none" w:sz="0" w:space="0" w:color="auto"/>
                <w:left w:val="none" w:sz="0" w:space="0" w:color="auto"/>
                <w:bottom w:val="none" w:sz="0" w:space="0" w:color="auto"/>
                <w:right w:val="none" w:sz="0" w:space="0" w:color="auto"/>
              </w:divBdr>
            </w:div>
          </w:divsChild>
        </w:div>
        <w:div w:id="987706361">
          <w:marLeft w:val="0"/>
          <w:marRight w:val="0"/>
          <w:marTop w:val="0"/>
          <w:marBottom w:val="0"/>
          <w:divBdr>
            <w:top w:val="none" w:sz="0" w:space="0" w:color="auto"/>
            <w:left w:val="none" w:sz="0" w:space="0" w:color="auto"/>
            <w:bottom w:val="none" w:sz="0" w:space="0" w:color="auto"/>
            <w:right w:val="none" w:sz="0" w:space="0" w:color="auto"/>
          </w:divBdr>
          <w:divsChild>
            <w:div w:id="1642153343">
              <w:marLeft w:val="0"/>
              <w:marRight w:val="0"/>
              <w:marTop w:val="0"/>
              <w:marBottom w:val="0"/>
              <w:divBdr>
                <w:top w:val="none" w:sz="0" w:space="0" w:color="auto"/>
                <w:left w:val="none" w:sz="0" w:space="0" w:color="auto"/>
                <w:bottom w:val="none" w:sz="0" w:space="0" w:color="auto"/>
                <w:right w:val="none" w:sz="0" w:space="0" w:color="auto"/>
              </w:divBdr>
            </w:div>
          </w:divsChild>
        </w:div>
        <w:div w:id="1459033599">
          <w:marLeft w:val="0"/>
          <w:marRight w:val="0"/>
          <w:marTop w:val="0"/>
          <w:marBottom w:val="0"/>
          <w:divBdr>
            <w:top w:val="none" w:sz="0" w:space="0" w:color="auto"/>
            <w:left w:val="none" w:sz="0" w:space="0" w:color="auto"/>
            <w:bottom w:val="none" w:sz="0" w:space="0" w:color="auto"/>
            <w:right w:val="none" w:sz="0" w:space="0" w:color="auto"/>
          </w:divBdr>
          <w:divsChild>
            <w:div w:id="362293770">
              <w:marLeft w:val="0"/>
              <w:marRight w:val="0"/>
              <w:marTop w:val="0"/>
              <w:marBottom w:val="0"/>
              <w:divBdr>
                <w:top w:val="none" w:sz="0" w:space="0" w:color="auto"/>
                <w:left w:val="none" w:sz="0" w:space="0" w:color="auto"/>
                <w:bottom w:val="none" w:sz="0" w:space="0" w:color="auto"/>
                <w:right w:val="none" w:sz="0" w:space="0" w:color="auto"/>
              </w:divBdr>
            </w:div>
          </w:divsChild>
        </w:div>
        <w:div w:id="1517691862">
          <w:marLeft w:val="0"/>
          <w:marRight w:val="0"/>
          <w:marTop w:val="0"/>
          <w:marBottom w:val="0"/>
          <w:divBdr>
            <w:top w:val="none" w:sz="0" w:space="0" w:color="auto"/>
            <w:left w:val="none" w:sz="0" w:space="0" w:color="auto"/>
            <w:bottom w:val="none" w:sz="0" w:space="0" w:color="auto"/>
            <w:right w:val="none" w:sz="0" w:space="0" w:color="auto"/>
          </w:divBdr>
          <w:divsChild>
            <w:div w:id="1072433145">
              <w:marLeft w:val="0"/>
              <w:marRight w:val="0"/>
              <w:marTop w:val="0"/>
              <w:marBottom w:val="0"/>
              <w:divBdr>
                <w:top w:val="none" w:sz="0" w:space="0" w:color="auto"/>
                <w:left w:val="none" w:sz="0" w:space="0" w:color="auto"/>
                <w:bottom w:val="none" w:sz="0" w:space="0" w:color="auto"/>
                <w:right w:val="none" w:sz="0" w:space="0" w:color="auto"/>
              </w:divBdr>
            </w:div>
          </w:divsChild>
        </w:div>
        <w:div w:id="1575241811">
          <w:marLeft w:val="0"/>
          <w:marRight w:val="0"/>
          <w:marTop w:val="0"/>
          <w:marBottom w:val="0"/>
          <w:divBdr>
            <w:top w:val="none" w:sz="0" w:space="0" w:color="auto"/>
            <w:left w:val="none" w:sz="0" w:space="0" w:color="auto"/>
            <w:bottom w:val="none" w:sz="0" w:space="0" w:color="auto"/>
            <w:right w:val="none" w:sz="0" w:space="0" w:color="auto"/>
          </w:divBdr>
          <w:divsChild>
            <w:div w:id="1553733416">
              <w:marLeft w:val="0"/>
              <w:marRight w:val="0"/>
              <w:marTop w:val="0"/>
              <w:marBottom w:val="0"/>
              <w:divBdr>
                <w:top w:val="none" w:sz="0" w:space="0" w:color="auto"/>
                <w:left w:val="none" w:sz="0" w:space="0" w:color="auto"/>
                <w:bottom w:val="none" w:sz="0" w:space="0" w:color="auto"/>
                <w:right w:val="none" w:sz="0" w:space="0" w:color="auto"/>
              </w:divBdr>
            </w:div>
          </w:divsChild>
        </w:div>
        <w:div w:id="1624844268">
          <w:marLeft w:val="0"/>
          <w:marRight w:val="0"/>
          <w:marTop w:val="0"/>
          <w:marBottom w:val="0"/>
          <w:divBdr>
            <w:top w:val="none" w:sz="0" w:space="0" w:color="auto"/>
            <w:left w:val="none" w:sz="0" w:space="0" w:color="auto"/>
            <w:bottom w:val="none" w:sz="0" w:space="0" w:color="auto"/>
            <w:right w:val="none" w:sz="0" w:space="0" w:color="auto"/>
          </w:divBdr>
          <w:divsChild>
            <w:div w:id="1811440729">
              <w:marLeft w:val="0"/>
              <w:marRight w:val="0"/>
              <w:marTop w:val="0"/>
              <w:marBottom w:val="0"/>
              <w:divBdr>
                <w:top w:val="none" w:sz="0" w:space="0" w:color="auto"/>
                <w:left w:val="none" w:sz="0" w:space="0" w:color="auto"/>
                <w:bottom w:val="none" w:sz="0" w:space="0" w:color="auto"/>
                <w:right w:val="none" w:sz="0" w:space="0" w:color="auto"/>
              </w:divBdr>
            </w:div>
          </w:divsChild>
        </w:div>
        <w:div w:id="1650747341">
          <w:marLeft w:val="0"/>
          <w:marRight w:val="0"/>
          <w:marTop w:val="0"/>
          <w:marBottom w:val="0"/>
          <w:divBdr>
            <w:top w:val="none" w:sz="0" w:space="0" w:color="auto"/>
            <w:left w:val="none" w:sz="0" w:space="0" w:color="auto"/>
            <w:bottom w:val="none" w:sz="0" w:space="0" w:color="auto"/>
            <w:right w:val="none" w:sz="0" w:space="0" w:color="auto"/>
          </w:divBdr>
          <w:divsChild>
            <w:div w:id="1853760544">
              <w:marLeft w:val="0"/>
              <w:marRight w:val="0"/>
              <w:marTop w:val="0"/>
              <w:marBottom w:val="0"/>
              <w:divBdr>
                <w:top w:val="none" w:sz="0" w:space="0" w:color="auto"/>
                <w:left w:val="none" w:sz="0" w:space="0" w:color="auto"/>
                <w:bottom w:val="none" w:sz="0" w:space="0" w:color="auto"/>
                <w:right w:val="none" w:sz="0" w:space="0" w:color="auto"/>
              </w:divBdr>
            </w:div>
          </w:divsChild>
        </w:div>
        <w:div w:id="1759910337">
          <w:marLeft w:val="0"/>
          <w:marRight w:val="0"/>
          <w:marTop w:val="0"/>
          <w:marBottom w:val="0"/>
          <w:divBdr>
            <w:top w:val="none" w:sz="0" w:space="0" w:color="auto"/>
            <w:left w:val="none" w:sz="0" w:space="0" w:color="auto"/>
            <w:bottom w:val="none" w:sz="0" w:space="0" w:color="auto"/>
            <w:right w:val="none" w:sz="0" w:space="0" w:color="auto"/>
          </w:divBdr>
          <w:divsChild>
            <w:div w:id="913785400">
              <w:marLeft w:val="0"/>
              <w:marRight w:val="0"/>
              <w:marTop w:val="0"/>
              <w:marBottom w:val="0"/>
              <w:divBdr>
                <w:top w:val="none" w:sz="0" w:space="0" w:color="auto"/>
                <w:left w:val="none" w:sz="0" w:space="0" w:color="auto"/>
                <w:bottom w:val="none" w:sz="0" w:space="0" w:color="auto"/>
                <w:right w:val="none" w:sz="0" w:space="0" w:color="auto"/>
              </w:divBdr>
            </w:div>
          </w:divsChild>
        </w:div>
        <w:div w:id="1805660139">
          <w:marLeft w:val="0"/>
          <w:marRight w:val="0"/>
          <w:marTop w:val="0"/>
          <w:marBottom w:val="0"/>
          <w:divBdr>
            <w:top w:val="none" w:sz="0" w:space="0" w:color="auto"/>
            <w:left w:val="none" w:sz="0" w:space="0" w:color="auto"/>
            <w:bottom w:val="none" w:sz="0" w:space="0" w:color="auto"/>
            <w:right w:val="none" w:sz="0" w:space="0" w:color="auto"/>
          </w:divBdr>
          <w:divsChild>
            <w:div w:id="1042094875">
              <w:marLeft w:val="0"/>
              <w:marRight w:val="0"/>
              <w:marTop w:val="0"/>
              <w:marBottom w:val="0"/>
              <w:divBdr>
                <w:top w:val="none" w:sz="0" w:space="0" w:color="auto"/>
                <w:left w:val="none" w:sz="0" w:space="0" w:color="auto"/>
                <w:bottom w:val="none" w:sz="0" w:space="0" w:color="auto"/>
                <w:right w:val="none" w:sz="0" w:space="0" w:color="auto"/>
              </w:divBdr>
            </w:div>
          </w:divsChild>
        </w:div>
        <w:div w:id="1821579437">
          <w:marLeft w:val="0"/>
          <w:marRight w:val="0"/>
          <w:marTop w:val="0"/>
          <w:marBottom w:val="0"/>
          <w:divBdr>
            <w:top w:val="none" w:sz="0" w:space="0" w:color="auto"/>
            <w:left w:val="none" w:sz="0" w:space="0" w:color="auto"/>
            <w:bottom w:val="none" w:sz="0" w:space="0" w:color="auto"/>
            <w:right w:val="none" w:sz="0" w:space="0" w:color="auto"/>
          </w:divBdr>
          <w:divsChild>
            <w:div w:id="1747534779">
              <w:marLeft w:val="0"/>
              <w:marRight w:val="0"/>
              <w:marTop w:val="0"/>
              <w:marBottom w:val="0"/>
              <w:divBdr>
                <w:top w:val="none" w:sz="0" w:space="0" w:color="auto"/>
                <w:left w:val="none" w:sz="0" w:space="0" w:color="auto"/>
                <w:bottom w:val="none" w:sz="0" w:space="0" w:color="auto"/>
                <w:right w:val="none" w:sz="0" w:space="0" w:color="auto"/>
              </w:divBdr>
            </w:div>
          </w:divsChild>
        </w:div>
        <w:div w:id="1892299915">
          <w:marLeft w:val="0"/>
          <w:marRight w:val="0"/>
          <w:marTop w:val="0"/>
          <w:marBottom w:val="0"/>
          <w:divBdr>
            <w:top w:val="none" w:sz="0" w:space="0" w:color="auto"/>
            <w:left w:val="none" w:sz="0" w:space="0" w:color="auto"/>
            <w:bottom w:val="none" w:sz="0" w:space="0" w:color="auto"/>
            <w:right w:val="none" w:sz="0" w:space="0" w:color="auto"/>
          </w:divBdr>
          <w:divsChild>
            <w:div w:id="174618218">
              <w:marLeft w:val="0"/>
              <w:marRight w:val="0"/>
              <w:marTop w:val="0"/>
              <w:marBottom w:val="0"/>
              <w:divBdr>
                <w:top w:val="none" w:sz="0" w:space="0" w:color="auto"/>
                <w:left w:val="none" w:sz="0" w:space="0" w:color="auto"/>
                <w:bottom w:val="none" w:sz="0" w:space="0" w:color="auto"/>
                <w:right w:val="none" w:sz="0" w:space="0" w:color="auto"/>
              </w:divBdr>
            </w:div>
          </w:divsChild>
        </w:div>
        <w:div w:id="1947881451">
          <w:marLeft w:val="0"/>
          <w:marRight w:val="0"/>
          <w:marTop w:val="0"/>
          <w:marBottom w:val="0"/>
          <w:divBdr>
            <w:top w:val="none" w:sz="0" w:space="0" w:color="auto"/>
            <w:left w:val="none" w:sz="0" w:space="0" w:color="auto"/>
            <w:bottom w:val="none" w:sz="0" w:space="0" w:color="auto"/>
            <w:right w:val="none" w:sz="0" w:space="0" w:color="auto"/>
          </w:divBdr>
          <w:divsChild>
            <w:div w:id="536743309">
              <w:marLeft w:val="0"/>
              <w:marRight w:val="0"/>
              <w:marTop w:val="0"/>
              <w:marBottom w:val="0"/>
              <w:divBdr>
                <w:top w:val="none" w:sz="0" w:space="0" w:color="auto"/>
                <w:left w:val="none" w:sz="0" w:space="0" w:color="auto"/>
                <w:bottom w:val="none" w:sz="0" w:space="0" w:color="auto"/>
                <w:right w:val="none" w:sz="0" w:space="0" w:color="auto"/>
              </w:divBdr>
            </w:div>
            <w:div w:id="15101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wc.texas.gov/programs/work-opportunity-tax-credit" TargetMode="External"/><Relationship Id="rId21" Type="http://schemas.openxmlformats.org/officeDocument/2006/relationships/hyperlink" Target="https://capitol.texas.gov/BillLookup/History.aspx?LegSess=88R&amp;Bill=SB1689" TargetMode="External"/><Relationship Id="rId63" Type="http://schemas.openxmlformats.org/officeDocument/2006/relationships/hyperlink" Target="https://www.twc.texas.gov/sites/default/files/ccel/docs/child-care-desert-by-zip-code-twc.xlsx" TargetMode="External"/><Relationship Id="rId159" Type="http://schemas.openxmlformats.org/officeDocument/2006/relationships/hyperlink" Target="https://www.ed.gov/sites/ed/files/about/offices/list/ovae/pi/AdultEd/aefla/demonstrated-effectiveness-ta-guide-final.pdf" TargetMode="External"/><Relationship Id="rId170" Type="http://schemas.openxmlformats.org/officeDocument/2006/relationships/hyperlink" Target="https://www.twc.texas.gov/programs/apprenticeship/apprenticeshiptexas" TargetMode="External"/><Relationship Id="rId226" Type="http://schemas.openxmlformats.org/officeDocument/2006/relationships/hyperlink" Target="https://sao.fraud.texas.gov/ReportFraud" TargetMode="External"/><Relationship Id="rId268" Type="http://schemas.openxmlformats.org/officeDocument/2006/relationships/image" Target="media/image21.png"/><Relationship Id="rId32" Type="http://schemas.openxmlformats.org/officeDocument/2006/relationships/hyperlink" Target="https://www.csavr.org/stateagencydirectory" TargetMode="External"/><Relationship Id="rId74" Type="http://schemas.openxmlformats.org/officeDocument/2006/relationships/hyperlink" Target="https://www.oppex.org/ssa-startup-guide" TargetMode="External"/><Relationship Id="rId128" Type="http://schemas.openxmlformats.org/officeDocument/2006/relationships/hyperlink" Target="https://www.twc.texas.gov/policy-letters" TargetMode="External"/><Relationship Id="rId5" Type="http://schemas.openxmlformats.org/officeDocument/2006/relationships/numbering" Target="numbering.xml"/><Relationship Id="rId181" Type="http://schemas.openxmlformats.org/officeDocument/2006/relationships/hyperlink" Target="https://www.twc.texas.gov/sites/default/files/enterprise/docs/2024-report-transition-from-military-service-to-employment-twc.pdf" TargetMode="External"/><Relationship Id="rId237" Type="http://schemas.openxmlformats.org/officeDocument/2006/relationships/hyperlink" Target="https://oui.doleta.gov/unemploy/tps.asp" TargetMode="External"/><Relationship Id="rId279" Type="http://schemas.openxmlformats.org/officeDocument/2006/relationships/hyperlink" Target="https://www.twc.texas.gov/sites/default/files/enterprise/docs/strategic-plan-fy-2025-2029-twc.pdf" TargetMode="External"/><Relationship Id="rId43" Type="http://schemas.openxmlformats.org/officeDocument/2006/relationships/hyperlink" Target="https://statutes.capitol.texas.gov/GetStatute.aspx?Code=LA&amp;Value=61.051" TargetMode="External"/><Relationship Id="rId139" Type="http://schemas.openxmlformats.org/officeDocument/2006/relationships/hyperlink" Target="https://www.twc.texas.gov/sites/default/files/wf/docs/snap-et-guide-twc.pdf" TargetMode="External"/><Relationship Id="rId85" Type="http://schemas.openxmlformats.org/officeDocument/2006/relationships/hyperlink" Target="https://texasitsn.org/" TargetMode="External"/><Relationship Id="rId150" Type="http://schemas.openxmlformats.org/officeDocument/2006/relationships/hyperlink" Target="https://www.twc.texas.gov/sites/default/files/wf/docs/wioa-combined-state-plan-twc.pdf" TargetMode="External"/><Relationship Id="rId171" Type="http://schemas.openxmlformats.org/officeDocument/2006/relationships/hyperlink" Target="https://www.twc.texas.gov/programs/jet" TargetMode="External"/><Relationship Id="rId192" Type="http://schemas.openxmlformats.org/officeDocument/2006/relationships/hyperlink" Target="https://www.twc.texas.gov/sites/default/files/oei/docs/eeco-map-twc.pdf" TargetMode="External"/><Relationship Id="rId206" Type="http://schemas.openxmlformats.org/officeDocument/2006/relationships/hyperlink" Target="https://www.twc.texas.gov/programs/career-schools-colleges" TargetMode="External"/><Relationship Id="rId227" Type="http://schemas.openxmlformats.org/officeDocument/2006/relationships/hyperlink" Target="https://www.dol.gov/agencies/eta/advisories/unemployment-insurance-program-letter-no-16-21" TargetMode="External"/><Relationship Id="rId248" Type="http://schemas.openxmlformats.org/officeDocument/2006/relationships/hyperlink" Target="https://texascareercheck.com/" TargetMode="External"/><Relationship Id="rId269" Type="http://schemas.openxmlformats.org/officeDocument/2006/relationships/image" Target="media/image22.png"/><Relationship Id="rId12" Type="http://schemas.openxmlformats.org/officeDocument/2006/relationships/header" Target="header1.xml"/><Relationship Id="rId33" Type="http://schemas.openxmlformats.org/officeDocument/2006/relationships/hyperlink" Target="https://oui.doleta.gov/unemploy/comparison/2020-2029/comparison2023.asp" TargetMode="External"/><Relationship Id="rId108" Type="http://schemas.openxmlformats.org/officeDocument/2006/relationships/image" Target="media/image6.png"/><Relationship Id="rId129" Type="http://schemas.openxmlformats.org/officeDocument/2006/relationships/hyperlink" Target="https://www.twc.texas.gov/agency/workforce-development-boards/guides" TargetMode="External"/><Relationship Id="rId280" Type="http://schemas.openxmlformats.org/officeDocument/2006/relationships/hyperlink" Target="https://comptroller.texas.gov/purchasing/vendor/hub/mentor.php" TargetMode="External"/><Relationship Id="rId54" Type="http://schemas.openxmlformats.org/officeDocument/2006/relationships/hyperlink" Target="https://www.twc.texas.gov/programs/child-care/data-reports-plans" TargetMode="External"/><Relationship Id="rId75" Type="http://schemas.openxmlformats.org/officeDocument/2006/relationships/hyperlink" Target="https://txr3.org/" TargetMode="External"/><Relationship Id="rId96" Type="http://schemas.openxmlformats.org/officeDocument/2006/relationships/hyperlink" Target="https://texas-sos.appianportalsgov.com/rules-and-meetings?$locale=en_US&amp;interface=VIEW_TAC_SUMMARY&amp;queryAsDate=04%2F09%2F2025&amp;recordId=219878" TargetMode="External"/><Relationship Id="rId140" Type="http://schemas.openxmlformats.org/officeDocument/2006/relationships/hyperlink" Target="https://www.twc.texas.gov/sites/default/files/wf/docs/tanf-state-plan-twc.pdf" TargetMode="External"/><Relationship Id="rId161" Type="http://schemas.openxmlformats.org/officeDocument/2006/relationships/hyperlink" Target="https://www.twc.texas.gov/sites/default/files/wf/docs/texas-ael-guide-twc.pdf" TargetMode="External"/><Relationship Id="rId182" Type="http://schemas.openxmlformats.org/officeDocument/2006/relationships/hyperlink" Target="https://www.twc.texas.gov/programs/skills-development-fund" TargetMode="External"/><Relationship Id="rId217" Type="http://schemas.openxmlformats.org/officeDocument/2006/relationships/hyperlink" Target="http://www.workintexas.com" TargetMode="External"/><Relationship Id="rId6" Type="http://schemas.openxmlformats.org/officeDocument/2006/relationships/styles" Target="styles.xml"/><Relationship Id="rId238" Type="http://schemas.openxmlformats.org/officeDocument/2006/relationships/hyperlink" Target="https://oui.doleta.gov/dv/" TargetMode="External"/><Relationship Id="rId259" Type="http://schemas.openxmlformats.org/officeDocument/2006/relationships/hyperlink" Target="https://sao.texas.gov/reports/main/23-555.pdf" TargetMode="External"/><Relationship Id="rId23" Type="http://schemas.openxmlformats.org/officeDocument/2006/relationships/hyperlink" Target="https://capitol.texas.gov/BillLookup/History.aspx?LegSess=88R&amp;Bill=HB2586" TargetMode="External"/><Relationship Id="rId119" Type="http://schemas.openxmlformats.org/officeDocument/2006/relationships/hyperlink" Target="https://www.twc.texas.gov/sites/default/files/wf/docs/wioa-elig-doc-log-twc.pdf" TargetMode="External"/><Relationship Id="rId270" Type="http://schemas.openxmlformats.org/officeDocument/2006/relationships/image" Target="media/image23.png"/><Relationship Id="rId44" Type="http://schemas.openxmlformats.org/officeDocument/2006/relationships/hyperlink" Target="https://statutes.capitol.texas.gov/GetStatute.aspx?Code=LA&amp;Value=61" TargetMode="External"/><Relationship Id="rId65" Type="http://schemas.openxmlformats.org/officeDocument/2006/relationships/hyperlink" Target="https://www.twc.texas.gov/programs/child-care" TargetMode="External"/><Relationship Id="rId86" Type="http://schemas.openxmlformats.org/officeDocument/2006/relationships/hyperlink" Target="https://www.ecfr.gov/current/title-45/part-98" TargetMode="External"/><Relationship Id="rId130" Type="http://schemas.openxmlformats.org/officeDocument/2006/relationships/hyperlink" Target="https://www.twc.texas.gov/programs/employment-service" TargetMode="External"/><Relationship Id="rId151" Type="http://schemas.openxmlformats.org/officeDocument/2006/relationships/hyperlink" Target="https://www.ecfr.gov/current/title-20/chapter-V/part-641/subpart-G" TargetMode="External"/><Relationship Id="rId172" Type="http://schemas.openxmlformats.org/officeDocument/2006/relationships/hyperlink" Target="https://gov.texas.gov/news/post/governor-abbott-announces-over-15-million-in-career-training-grants-across-texas" TargetMode="External"/><Relationship Id="rId193" Type="http://schemas.openxmlformats.org/officeDocument/2006/relationships/hyperlink" Target="https://triagency.texas.gov/" TargetMode="External"/><Relationship Id="rId207" Type="http://schemas.openxmlformats.org/officeDocument/2006/relationships/hyperlink" Target="https://www.twc.texas.gov/agency/workforce-development-boards/eligible-training-providers" TargetMode="External"/><Relationship Id="rId228" Type="http://schemas.openxmlformats.org/officeDocument/2006/relationships/hyperlink" Target="https://www.twc.texas.gov/programs/wage-and-hour/texas-minimum-wage-law" TargetMode="External"/><Relationship Id="rId249" Type="http://schemas.openxmlformats.org/officeDocument/2006/relationships/hyperlink" Target="https://lmi.twc.texas.gov/apps/sti/" TargetMode="External"/><Relationship Id="rId13" Type="http://schemas.openxmlformats.org/officeDocument/2006/relationships/header" Target="header2.xml"/><Relationship Id="rId109" Type="http://schemas.openxmlformats.org/officeDocument/2006/relationships/hyperlink" Target="https://rsa.ed.gov/about/programs/vocational-rehabilitation-state-grants" TargetMode="External"/><Relationship Id="rId260" Type="http://schemas.openxmlformats.org/officeDocument/2006/relationships/hyperlink" Target="https://sao.texas.gov/reports/main/25-315.pdf" TargetMode="External"/><Relationship Id="rId281" Type="http://schemas.openxmlformats.org/officeDocument/2006/relationships/header" Target="header4.xml"/><Relationship Id="rId34" Type="http://schemas.openxmlformats.org/officeDocument/2006/relationships/hyperlink" Target="https://oui.doleta.gov/unemploy/content/sigpros/2020-2029/January2025.pdf" TargetMode="External"/><Relationship Id="rId55" Type="http://schemas.openxmlformats.org/officeDocument/2006/relationships/hyperlink" Target="https://www.twc.texas.gov/data-reports/child-care-numbers" TargetMode="External"/><Relationship Id="rId76" Type="http://schemas.openxmlformats.org/officeDocument/2006/relationships/hyperlink" Target="https://public.tecpds.org/about-us/about-tecpds/" TargetMode="External"/><Relationship Id="rId97" Type="http://schemas.openxmlformats.org/officeDocument/2006/relationships/hyperlink" Target="https://cliengage.atlassian.net/servicedesk/customer/portal/39" TargetMode="External"/><Relationship Id="rId120" Type="http://schemas.openxmlformats.org/officeDocument/2006/relationships/hyperlink" Target="https://www.twc.texas.gov/policy-letters" TargetMode="External"/><Relationship Id="rId141" Type="http://schemas.openxmlformats.org/officeDocument/2006/relationships/hyperlink" Target="https://www.twc.texas.gov/sites/default/files/wf/docs/temporary-assistance-needy-families-work-verification-plan-twc.pdf" TargetMode="External"/><Relationship Id="rId7" Type="http://schemas.openxmlformats.org/officeDocument/2006/relationships/settings" Target="settings.xml"/><Relationship Id="rId162" Type="http://schemas.openxmlformats.org/officeDocument/2006/relationships/hyperlink" Target="https://www.twc.texas.gov/sites/default/files/ogc/mtg24/commission-meeting-material-012825-item13-2024-ael-advisory-annual-rep-twc.pdf" TargetMode="External"/><Relationship Id="rId183" Type="http://schemas.openxmlformats.org/officeDocument/2006/relationships/hyperlink" Target="https://www.twc.texas.gov/programs/skills-small-business" TargetMode="External"/><Relationship Id="rId218" Type="http://schemas.openxmlformats.org/officeDocument/2006/relationships/hyperlink" Target="https://www.twc.texas.gov/programs/work-opportunity-tax-credit" TargetMode="External"/><Relationship Id="rId239" Type="http://schemas.openxmlformats.org/officeDocument/2006/relationships/hyperlink" Target="https://www.twc.texas.gov/programs/vocational-rehabilitation/sfp" TargetMode="External"/><Relationship Id="rId250" Type="http://schemas.openxmlformats.org/officeDocument/2006/relationships/hyperlink" Target="https://txcrews.org/" TargetMode="External"/><Relationship Id="rId271" Type="http://schemas.openxmlformats.org/officeDocument/2006/relationships/image" Target="media/image24.png"/><Relationship Id="rId24" Type="http://schemas.openxmlformats.org/officeDocument/2006/relationships/hyperlink" Target="https://gcc02.safelinks.protection.outlook.com/?url=https%3A%2F%2Fcapitol.texas.gov%2FBillLookup%2FHistory.aspx%3FLegSess%3D89R%26Bill%3DHB03260&amp;data=05%7C02%7Cmichael.britt%40twc.texas.gov%7Cb1f59d7370c6417f67f408dd98a9ea4e%7Cfe7d3f4f241b4af184aa32c57fe9db03%7C0%7C0%7C638834577726588798%7CUnknown%7CTWFpbGZsb3d8eyJFbXB0eU1hcGkiOnRydWUsIlYiOiIwLjAuMDAwMCIsIlAiOiJXaW4zMiIsIkFOIjoiTWFpbCIsIldUIjoyfQ%3D%3D%7C0%7C%7C%7C&amp;sdata=apgY0UktsRsOS7CCxIJNEn8LRZBc9YXhoBiuc8s07pU%3D&amp;reserved=0" TargetMode="External"/><Relationship Id="rId45" Type="http://schemas.openxmlformats.org/officeDocument/2006/relationships/hyperlink" Target="https://statutes.capitol.texas.gov/GetStatute.aspx?Code=LA&amp;Value=51.031" TargetMode="External"/><Relationship Id="rId66" Type="http://schemas.openxmlformats.org/officeDocument/2006/relationships/hyperlink" Target="https://texas-sos.appianportalsgov.com/rules-and-meetings?recordId=210288&amp;queryAsDate=04%2F07%2F2025&amp;interface=VIEW_TAC_SUMMARY&amp;$locale=en_US" TargetMode="External"/><Relationship Id="rId87" Type="http://schemas.openxmlformats.org/officeDocument/2006/relationships/hyperlink" Target="https://www.twc.texas.gov/data-reports/child-care-numbers" TargetMode="External"/><Relationship Id="rId110" Type="http://schemas.openxmlformats.org/officeDocument/2006/relationships/hyperlink" Target="https://rsa.ed.gov/about/programs/supported-employment-services-for-individuals-with-the-most-significant-disabilities" TargetMode="External"/><Relationship Id="rId131" Type="http://schemas.openxmlformats.org/officeDocument/2006/relationships/hyperlink" Target="https://www.twc.texas.gov/sites/default/files/wf/docs/employment-service-guide-twc.pdf" TargetMode="External"/><Relationship Id="rId152" Type="http://schemas.openxmlformats.org/officeDocument/2006/relationships/hyperlink" Target="https://tcall.tamu.edu/map.aspx" TargetMode="External"/><Relationship Id="rId173" Type="http://schemas.openxmlformats.org/officeDocument/2006/relationships/hyperlink" Target="https://www.twc.texas.gov/programs/jet" TargetMode="External"/><Relationship Id="rId194" Type="http://schemas.openxmlformats.org/officeDocument/2006/relationships/hyperlink" Target="https://www.twc.texas.gov/sites/default/files/wf/docs/tri-agency-workforce-initiative-goals-strategies-twc.pdf" TargetMode="External"/><Relationship Id="rId208" Type="http://schemas.openxmlformats.org/officeDocument/2006/relationships/hyperlink" Target="https://www.twc.texas.gov/sites/default/files/wf/docs/rules-chapter-807-career-schools-colleges-twc.pdf" TargetMode="External"/><Relationship Id="rId229" Type="http://schemas.openxmlformats.org/officeDocument/2006/relationships/hyperlink" Target="https://texas-sos.appianportalsgov.com/rules-and-meetings?$locale=en_US&amp;interface=VIEW_TAC_SUMMARY&amp;queryAsDate=04%2F22%2F2025&amp;recordId=25142" TargetMode="External"/><Relationship Id="rId240" Type="http://schemas.openxmlformats.org/officeDocument/2006/relationships/hyperlink" Target="https://lmi.twc.texas.gov/" TargetMode="External"/><Relationship Id="rId261" Type="http://schemas.openxmlformats.org/officeDocument/2006/relationships/image" Target="media/image14.png"/><Relationship Id="rId14" Type="http://schemas.openxmlformats.org/officeDocument/2006/relationships/footer" Target="footer1.xml"/><Relationship Id="rId35" Type="http://schemas.openxmlformats.org/officeDocument/2006/relationships/hyperlink" Target="https://gcc02.safelinks.protection.outlook.com/?url=https%3A%2F%2Fdes.az.gov%2F&amp;data=05%7C02%7Cronnie.burchett%40twc.texas.gov%7C10bba69acb1441d9bbdf08ddaab73a7b%7Cfe7d3f4f241b4af184aa32c57fe9db03%7C0%7C0%7C638854426118892003%7CUnknown%7CTWFpbGZsb3d8eyJFbXB0eU1hcGkiOnRydWUsIlYiOiIwLjAuMDAwMCIsIlAiOiJXaW4zMiIsIkFOIjoiTWFpbCIsIldUIjoyfQ%3D%3D%7C0%7C%7C%7C&amp;sdata=NWxwhVvTqShU%2FLtG35UCEmpX6J9nmNx%2FaZfNyc2CzA8%3D&amp;reserved=0" TargetMode="External"/><Relationship Id="rId56" Type="http://schemas.openxmlformats.org/officeDocument/2006/relationships/hyperlink" Target="https://www.twc.texas.gov/programs/child-care/data-reports-plans" TargetMode="External"/><Relationship Id="rId77" Type="http://schemas.openxmlformats.org/officeDocument/2006/relationships/hyperlink" Target="https://public.tecpds.org/texas-workforce-registry/" TargetMode="External"/><Relationship Id="rId100" Type="http://schemas.openxmlformats.org/officeDocument/2006/relationships/hyperlink" Target="https://cliengage.org/clirep/TRS/English/TRS_CQIP_Desk_Aid.pdf" TargetMode="External"/><Relationship Id="rId282" Type="http://schemas.openxmlformats.org/officeDocument/2006/relationships/header" Target="header5.xml"/><Relationship Id="rId8" Type="http://schemas.openxmlformats.org/officeDocument/2006/relationships/webSettings" Target="webSettings.xml"/><Relationship Id="rId98" Type="http://schemas.openxmlformats.org/officeDocument/2006/relationships/hyperlink" Target="https://texas-sos.appianportalsgov.com/rules-and-meetings?recordId=210314&amp;queryAsDate=04%2F09%2F2025&amp;interface=VIEW_TAC_SUMMARY&amp;$locale=en_US" TargetMode="External"/><Relationship Id="rId121" Type="http://schemas.openxmlformats.org/officeDocument/2006/relationships/hyperlink" Target="https://www.twc.texas.gov/agency/workforce-development-boards/guides" TargetMode="External"/><Relationship Id="rId142" Type="http://schemas.openxmlformats.org/officeDocument/2006/relationships/hyperlink" Target="https://www.hhs.texas.gov/sites/default/files/documents/snap-et-state-plan-fy-2024.pdf" TargetMode="External"/><Relationship Id="rId163" Type="http://schemas.openxmlformats.org/officeDocument/2006/relationships/hyperlink" Target="https://statutes.capitol.texas.gov/Docs/LA/htm/LA.315.htm" TargetMode="External"/><Relationship Id="rId184" Type="http://schemas.openxmlformats.org/officeDocument/2006/relationships/hyperlink" Target="https://www.twc.texas.gov/programs/self-sufficiency-fund" TargetMode="External"/><Relationship Id="rId219" Type="http://schemas.openxmlformats.org/officeDocument/2006/relationships/hyperlink" Target="https://www.twc.texas.gov/sites/default/files/wf/docs/wotc-brochure-081823-twc.pdf" TargetMode="External"/><Relationship Id="rId230" Type="http://schemas.openxmlformats.org/officeDocument/2006/relationships/hyperlink" Target="https://www.dol.gov/agencies/whd" TargetMode="External"/><Relationship Id="rId251" Type="http://schemas.openxmlformats.org/officeDocument/2006/relationships/hyperlink" Target="https://www.twc.texas.gov/data-reports/unemployment-data" TargetMode="External"/><Relationship Id="rId25" Type="http://schemas.openxmlformats.org/officeDocument/2006/relationships/hyperlink" Target="https://gcc02.safelinks.protection.outlook.com/?url=https%3A%2F%2Fcapitol.texas.gov%2FBillLookup%2FHistory.aspx%3FLegSess%3D89R%26Bill%3DSB765&amp;data=05%7C02%7Cmichael.britt%40twc.texas.gov%7Cdf3ff1c64e4a4d0a019308dd971f8403%7Cfe7d3f4f241b4af184aa32c57fe9db03%7C0%7C0%7C638832883795092264%7CUnknown%7CTWFpbGZsb3d8eyJFbXB0eU1hcGkiOnRydWUsIlYiOiIwLjAuMDAwMCIsIlAiOiJXaW4zMiIsIkFOIjoiTWFpbCIsIldUIjoyfQ%3D%3D%7C0%7C%7C%7C&amp;sdata=ERmW%2BQaO3OLma3odxnkEUMOh0gzwBeIJL2Eg7BasZjA%3D&amp;reserved=0" TargetMode="External"/><Relationship Id="rId46" Type="http://schemas.openxmlformats.org/officeDocument/2006/relationships/hyperlink" Target="https://statutes.capitol.texas.gov/GetStatute.aspx?Code=LA&amp;Value=51" TargetMode="External"/><Relationship Id="rId67" Type="http://schemas.openxmlformats.org/officeDocument/2006/relationships/hyperlink" Target="https://www.ecfr.gov/current/title-45/part-98" TargetMode="External"/><Relationship Id="rId272" Type="http://schemas.openxmlformats.org/officeDocument/2006/relationships/image" Target="media/image25.png"/><Relationship Id="rId88" Type="http://schemas.openxmlformats.org/officeDocument/2006/relationships/hyperlink" Target="https://texasrisingstar.org/providers/entry-level-designation/" TargetMode="External"/><Relationship Id="rId111" Type="http://schemas.openxmlformats.org/officeDocument/2006/relationships/hyperlink" Target="https://rsa.ed.gov/about/programs/independent-living-services-for-older-individuals-who-are-blind" TargetMode="External"/><Relationship Id="rId132" Type="http://schemas.openxmlformats.org/officeDocument/2006/relationships/hyperlink" Target="https://gov.texas.gov/uploads/files/organization/twic/Evaluation-2024.pdf" TargetMode="External"/><Relationship Id="rId153" Type="http://schemas.openxmlformats.org/officeDocument/2006/relationships/hyperlink" Target="https://www.twc.texas.gov/programs/adult-education-literacy" TargetMode="External"/><Relationship Id="rId174" Type="http://schemas.openxmlformats.org/officeDocument/2006/relationships/hyperlink" Target="https://app.powerbigov.us/view?r=eyJrIjoiZGE2ZmU1NDktODE5OC00M2UxLThmY2YtN2FmOTMzNWZiOTJhIiwidCI6ImZlN2QzZjRmLTI0MWItNGFmMS04NGFhLTMyYzU3ZmU5ZGIwMyJ9" TargetMode="External"/><Relationship Id="rId195" Type="http://schemas.openxmlformats.org/officeDocument/2006/relationships/hyperlink" Target="https://www.bing.com/ck/a?!&amp;&amp;p=5098755a4779f3e8f93023d642d1f6973bc4c833f1227418aa4433a1faf48bc1JmltdHM9MTc1MjAxOTIwMA&amp;ptn=3&amp;ver=2&amp;hsh=4&amp;fclid=112cd5ef-813e-6138-3319-c6d0853e6734&amp;psq=TRI-AGENCY+WORKFORCE+INITIATIVE+2020+Commissioners%e2%80%99+Report+Executive+Summary&amp;u=a1aHR0cHM6Ly9nb3YudGV4YXMuZ292L3VwbG9hZHMvZmlsZXMvcHJlc3MvVHJpX0FnZW5jeV9SZXBvcnRfRklOQUxfU1VCTUlUVEVEX1RPX0dPVkVSTk9SXzAyLjIwMjAucGRm&amp;ntb=F" TargetMode="External"/><Relationship Id="rId209" Type="http://schemas.openxmlformats.org/officeDocument/2006/relationships/hyperlink" Target="https://www.twc.texas.gov/sites/default/files/wf/policy-letter/wd/05-19-ch2-twc.pdf" TargetMode="External"/><Relationship Id="rId220" Type="http://schemas.openxmlformats.org/officeDocument/2006/relationships/image" Target="media/image7.jpeg"/><Relationship Id="rId241" Type="http://schemas.openxmlformats.org/officeDocument/2006/relationships/hyperlink" Target="https://texaslmi.com/" TargetMode="External"/><Relationship Id="rId15" Type="http://schemas.openxmlformats.org/officeDocument/2006/relationships/footer" Target="footer2.xml"/><Relationship Id="rId36" Type="http://schemas.openxmlformats.org/officeDocument/2006/relationships/hyperlink" Target="https://gcc02.safelinks.protection.outlook.com/?url=https%3A%2F%2Fjfs.ohio.gov%2Fhome&amp;data=05%7C02%7Cronnie.burchett%40twc.texas.gov%7C10bba69acb1441d9bbdf08ddaab73a7b%7Cfe7d3f4f241b4af184aa32c57fe9db03%7C0%7C0%7C638854426118904369%7CUnknown%7CTWFpbGZsb3d8eyJFbXB0eU1hcGkiOnRydWUsIlYiOiIwLjAuMDAwMCIsIlAiOiJXaW4zMiIsIkFOIjoiTWFpbCIsIldUIjoyfQ%3D%3D%7C0%7C%7C%7C&amp;sdata=HBEOq1RDaTXGY1SMhJLTyfYit7qQql5A4cyr%2FRTTVQ8%3D&amp;reserved=0" TargetMode="External"/><Relationship Id="rId57" Type="http://schemas.openxmlformats.org/officeDocument/2006/relationships/hyperlink" Target="https://www.twc.texas.gov/sites/default/files/ogc/docs/fr-809-es-rr-06-20-twc.pdf" TargetMode="External"/><Relationship Id="rId262" Type="http://schemas.openxmlformats.org/officeDocument/2006/relationships/image" Target="media/image15.png"/><Relationship Id="rId283" Type="http://schemas.openxmlformats.org/officeDocument/2006/relationships/footer" Target="footer4.xml"/><Relationship Id="rId78" Type="http://schemas.openxmlformats.org/officeDocument/2006/relationships/hyperlink" Target="https://www.workintexas.com/vosnet/Default.aspx" TargetMode="External"/><Relationship Id="rId99" Type="http://schemas.openxmlformats.org/officeDocument/2006/relationships/image" Target="media/image3.png"/><Relationship Id="rId101" Type="http://schemas.openxmlformats.org/officeDocument/2006/relationships/hyperlink" Target="https://texasrisingstar.org/trs-tools/" TargetMode="External"/><Relationship Id="rId122" Type="http://schemas.openxmlformats.org/officeDocument/2006/relationships/hyperlink" Target="https://www.twc.texas.gov/sites/default/files/wf/docs/wioa-guidelines-twc.pdf" TargetMode="External"/><Relationship Id="rId143" Type="http://schemas.openxmlformats.org/officeDocument/2006/relationships/hyperlink" Target="https://www.twc.texas.gov/programs/reemployment-services-eligibility" TargetMode="External"/><Relationship Id="rId164" Type="http://schemas.openxmlformats.org/officeDocument/2006/relationships/hyperlink" Target="https://www.twc.texas.gov/programs/apprenticeship" TargetMode="External"/><Relationship Id="rId185" Type="http://schemas.openxmlformats.org/officeDocument/2006/relationships/hyperlink" Target="https://www.twc.texas.gov/programs/high-demand-job-training" TargetMode="External"/><Relationship Id="rId9" Type="http://schemas.openxmlformats.org/officeDocument/2006/relationships/footnotes" Target="footnotes.xml"/><Relationship Id="rId210" Type="http://schemas.openxmlformats.org/officeDocument/2006/relationships/hyperlink" Target="https://www.dol.gov/agencies/eta/agriculture/monitor-advocate-system" TargetMode="External"/><Relationship Id="rId26" Type="http://schemas.openxmlformats.org/officeDocument/2006/relationships/hyperlink" Target="https://gcc02.safelinks.protection.outlook.com/?url=https%3A%2F%2Fcapitol.texas.gov%2FBillLookup%2FHistory.aspx%3FLegSess%3D89R%26Bill%3DHB02788&amp;data=05%7C02%7Cmichael.britt%40twc.texas.gov%7Cc50f458255f14ce2bfe908dd97d87783%7Cfe7d3f4f241b4af184aa32c57fe9db03%7C0%7C0%7C638833678152122588%7CUnknown%7CTWFpbGZsb3d8eyJFbXB0eU1hcGkiOnRydWUsIlYiOiIwLjAuMDAwMCIsIlAiOiJXaW4zMiIsIkFOIjoiTWFpbCIsIldUIjoyfQ%3D%3D%7C0%7C%7C%7C&amp;sdata=L368Ycdt2nOrPeKCNy150k9xxGLZUXPi3y%2FrwR05TAs%3D&amp;reserved=0" TargetMode="External"/><Relationship Id="rId231" Type="http://schemas.openxmlformats.org/officeDocument/2006/relationships/hyperlink" Target="https://www.twc.texas.gov/programs/wage-and-hour/texas-child-labor-law" TargetMode="External"/><Relationship Id="rId252" Type="http://schemas.openxmlformats.org/officeDocument/2006/relationships/hyperlink" Target="https://lmi.twc.texas.gov/cte/regionalcte.asp" TargetMode="External"/><Relationship Id="rId273" Type="http://schemas.openxmlformats.org/officeDocument/2006/relationships/image" Target="media/image26.png"/><Relationship Id="rId47" Type="http://schemas.openxmlformats.org/officeDocument/2006/relationships/hyperlink" Target="https://www.twc.texas.gov/agency/commission-meetings" TargetMode="External"/><Relationship Id="rId68" Type="http://schemas.openxmlformats.org/officeDocument/2006/relationships/hyperlink" Target="https://texas-sos.appianportalsgov.com/rules-and-meetings?$locale=en_US&amp;interface=VIEW_TAC_SUMMARY&amp;queryAsDate=04%2F07%2F2025&amp;recordId=220441" TargetMode="External"/><Relationship Id="rId89" Type="http://schemas.openxmlformats.org/officeDocument/2006/relationships/hyperlink" Target="https://texasrisingstar.org/trs-tools" TargetMode="External"/><Relationship Id="rId112" Type="http://schemas.openxmlformats.org/officeDocument/2006/relationships/hyperlink" Target="https://www.congress.gov/bill/93rd-congress/house-bill/8070/text" TargetMode="External"/><Relationship Id="rId133" Type="http://schemas.openxmlformats.org/officeDocument/2006/relationships/hyperlink" Target="https://www.twc.texas.gov/sites/default/files/wf/docs/employment-service-guide-twc.pdf" TargetMode="External"/><Relationship Id="rId154" Type="http://schemas.openxmlformats.org/officeDocument/2006/relationships/hyperlink" Target="https://www.twc.texas.gov/sites/default/files/wf/docs/ael-performance-guide-twc.pdf" TargetMode="External"/><Relationship Id="rId175" Type="http://schemas.openxmlformats.org/officeDocument/2006/relationships/hyperlink" Target="https://www.twc.texas.gov/programs/jet/advisory-board" TargetMode="External"/><Relationship Id="rId196" Type="http://schemas.openxmlformats.org/officeDocument/2006/relationships/hyperlink" Target="https://triagency.texas.gov/wp-content/uploads/sites/11/2025/03/2016-Tri_Agency-Report.pdf" TargetMode="External"/><Relationship Id="rId200" Type="http://schemas.openxmlformats.org/officeDocument/2006/relationships/hyperlink" Target="https://www.twc.texas.gov/sites/default/files/wf/docs/wbl-strategic-framework-dec-2022-twc.pdf" TargetMode="External"/><Relationship Id="rId16" Type="http://schemas.openxmlformats.org/officeDocument/2006/relationships/header" Target="header3.xml"/><Relationship Id="rId221" Type="http://schemas.openxmlformats.org/officeDocument/2006/relationships/image" Target="media/image8.jpeg"/><Relationship Id="rId242" Type="http://schemas.openxmlformats.org/officeDocument/2006/relationships/hyperlink" Target="https://texaswages.com/" TargetMode="External"/><Relationship Id="rId263" Type="http://schemas.openxmlformats.org/officeDocument/2006/relationships/image" Target="media/image16.png"/><Relationship Id="rId284" Type="http://schemas.openxmlformats.org/officeDocument/2006/relationships/footer" Target="footer5.xml"/><Relationship Id="rId37" Type="http://schemas.openxmlformats.org/officeDocument/2006/relationships/hyperlink" Target="https://gcc02.safelinks.protection.outlook.com/?url=https%3A%2F%2Fjobs.utah.gov%2F&amp;data=05%7C02%7Cronnie.burchett%40twc.texas.gov%7C10bba69acb1441d9bbdf08ddaab73a7b%7Cfe7d3f4f241b4af184aa32c57fe9db03%7C0%7C0%7C638854426118916159%7CUnknown%7CTWFpbGZsb3d8eyJFbXB0eU1hcGkiOnRydWUsIlYiOiIwLjAuMDAwMCIsIlAiOiJXaW4zMiIsIkFOIjoiTWFpbCIsIldUIjoyfQ%3D%3D%7C0%7C%7C%7C&amp;sdata=MY7SdqQ1NmZaeTaBJUWUSrCO68KAE6BnF29JvyRJQ74%3D&amp;reserved=0" TargetMode="External"/><Relationship Id="rId58" Type="http://schemas.openxmlformats.org/officeDocument/2006/relationships/hyperlink" Target="https://www.ecfr.gov/current/title-45/part-98" TargetMode="External"/><Relationship Id="rId79" Type="http://schemas.openxmlformats.org/officeDocument/2006/relationships/hyperlink" Target="https://public.tecpds.org/wp/texas-trainer-registry/about-the-texas-trainer-registry/" TargetMode="External"/><Relationship Id="rId102" Type="http://schemas.openxmlformats.org/officeDocument/2006/relationships/image" Target="media/image4.png"/><Relationship Id="rId123" Type="http://schemas.openxmlformats.org/officeDocument/2006/relationships/hyperlink" Target="https://www.twc.texas.gov/sites/default/files/wf/docs/wioa-operations-guide-twc.pdf" TargetMode="External"/><Relationship Id="rId144" Type="http://schemas.openxmlformats.org/officeDocument/2006/relationships/hyperlink" Target="https://www.dol.gov/agencies/eta/advisories/ten-07-23" TargetMode="External"/><Relationship Id="rId90" Type="http://schemas.openxmlformats.org/officeDocument/2006/relationships/hyperlink" Target="https://public.tecpds.org/texas-workforce-registry/" TargetMode="External"/><Relationship Id="rId165" Type="http://schemas.openxmlformats.org/officeDocument/2006/relationships/hyperlink" Target="https://www.twc.texas.gov/sites/default/files/enterprise/docs/commission-meeting-material-081324-item13-report-available-apprenticeships-py-2024.pdf" TargetMode="External"/><Relationship Id="rId186" Type="http://schemas.openxmlformats.org/officeDocument/2006/relationships/hyperlink" Target="https://www.twc.texas.gov/programs/texas-industry-partnership" TargetMode="External"/><Relationship Id="rId211" Type="http://schemas.openxmlformats.org/officeDocument/2006/relationships/hyperlink" Target="https://www.twc.texas.gov/employer-resources/agricultural-services/migrant-seasonal-farmworker-resources" TargetMode="External"/><Relationship Id="rId232" Type="http://schemas.openxmlformats.org/officeDocument/2006/relationships/hyperlink" Target="https://www.twc.texas.gov/programs/unemployment-benefits/criminal-prosecutions" TargetMode="External"/><Relationship Id="rId253" Type="http://schemas.openxmlformats.org/officeDocument/2006/relationships/image" Target="media/image9.jpeg"/><Relationship Id="rId274" Type="http://schemas.openxmlformats.org/officeDocument/2006/relationships/image" Target="media/image27.png"/><Relationship Id="rId27" Type="http://schemas.openxmlformats.org/officeDocument/2006/relationships/hyperlink" Target="https://gcc02.safelinks.protection.outlook.com/?url=https%3A%2F%2Fcapitol.texas.gov%2FBillLookup%2FHistory.aspx%3FLegSess%3D89R%26Bill%3DHB3700&amp;data=05%7C02%7Cmichael.britt%40twc.texas.gov%7C3cdf03c6d0b1449c469808dd9f05edf5%7Cfe7d3f4f241b4af184aa32c57fe9db03%7C0%7C0%7C638841570027129852%7CUnknown%7CTWFpbGZsb3d8eyJFbXB0eU1hcGkiOnRydWUsIlYiOiIwLjAuMDAwMCIsIlAiOiJXaW4zMiIsIkFOIjoiTWFpbCIsIldUIjoyfQ%3D%3D%7C0%7C%7C%7C&amp;sdata=TMLcfRI9kFy9TNTlULzBEbJRITdyhMWxLIUAocNKu80%3D&amp;reserved=0" TargetMode="External"/><Relationship Id="rId48" Type="http://schemas.openxmlformats.org/officeDocument/2006/relationships/hyperlink" Target="https://www.twc.texas.gov/2025-commission-meeting-information" TargetMode="External"/><Relationship Id="rId69" Type="http://schemas.openxmlformats.org/officeDocument/2006/relationships/hyperlink" Target="https://www.twc.texas.gov/data-reports/child-care-numbers" TargetMode="External"/><Relationship Id="rId113" Type="http://schemas.openxmlformats.org/officeDocument/2006/relationships/hyperlink" Target="https://intra.twc.texas.gov/intranet/vrs/docs/older-individuals-who-are-blind-policy-and-procedures-manual-twc.docx" TargetMode="External"/><Relationship Id="rId134" Type="http://schemas.openxmlformats.org/officeDocument/2006/relationships/hyperlink" Target="https://www.twc.texas.gov/programs/choices" TargetMode="External"/><Relationship Id="rId80" Type="http://schemas.openxmlformats.org/officeDocument/2006/relationships/hyperlink" Target="https://public.tecpds.org/texas-workforce-registry/" TargetMode="External"/><Relationship Id="rId155" Type="http://schemas.openxmlformats.org/officeDocument/2006/relationships/hyperlink" Target="https://www.twc.texas.gov/sites/default/files/wf/docs/ael-outcome-report-sfy24-twc.pdf" TargetMode="External"/><Relationship Id="rId176" Type="http://schemas.openxmlformats.org/officeDocument/2006/relationships/hyperlink" Target="https://www.twc.texas.gov/services/education/dual-credit" TargetMode="External"/><Relationship Id="rId197" Type="http://schemas.openxmlformats.org/officeDocument/2006/relationships/hyperlink" Target="https://www.highered.texas.gov/about/talent-strong-texas/" TargetMode="External"/><Relationship Id="rId201" Type="http://schemas.openxmlformats.org/officeDocument/2006/relationships/hyperlink" Target="https://www.twc.texas.gov/sites/default/files/ogc/mtg24/commission-meeting-material-081324-item15-report-cross-agency-coordination-wbl-prog-twc.pdf" TargetMode="External"/><Relationship Id="rId222" Type="http://schemas.openxmlformats.org/officeDocument/2006/relationships/hyperlink" Target="https://www.twc.texas.gov/data-reports/unemployment-data" TargetMode="External"/><Relationship Id="rId243" Type="http://schemas.openxmlformats.org/officeDocument/2006/relationships/hyperlink" Target="https://texaslaboranalysis.com/" TargetMode="External"/><Relationship Id="rId264" Type="http://schemas.openxmlformats.org/officeDocument/2006/relationships/image" Target="media/image17.png"/><Relationship Id="rId285" Type="http://schemas.openxmlformats.org/officeDocument/2006/relationships/header" Target="header6.xml"/><Relationship Id="rId17" Type="http://schemas.openxmlformats.org/officeDocument/2006/relationships/footer" Target="footer3.xml"/><Relationship Id="rId38" Type="http://schemas.openxmlformats.org/officeDocument/2006/relationships/hyperlink" Target="https://pn3policy.org/early-childhood-governance/" TargetMode="External"/><Relationship Id="rId59" Type="http://schemas.openxmlformats.org/officeDocument/2006/relationships/hyperlink" Target="https://texas-sos.appianportalsgov.com/rules-and-meetings?$locale=en_US&amp;interface=VIEW_TAC_SUMMARY&amp;queryAsDate=04%2F07%2F2025&amp;recordId=220441" TargetMode="External"/><Relationship Id="rId103" Type="http://schemas.openxmlformats.org/officeDocument/2006/relationships/hyperlink" Target="https://twcgov.sharepoint.com/:b:/r/sites/executive/crd/OutCompRes/Special%20Projects/Sunset%20Review/PAR%20LOF%20TWC%20FY22%20%2005.21.2024.pdf?csf=1&amp;web=1&amp;e=UjZbRS" TargetMode="External"/><Relationship Id="rId124" Type="http://schemas.openxmlformats.org/officeDocument/2006/relationships/hyperlink" Target="https://www.twc.texas.gov/sites/default/files/wf/docs/wioa-operations-guide-twc.pdf" TargetMode="External"/><Relationship Id="rId70" Type="http://schemas.openxmlformats.org/officeDocument/2006/relationships/hyperlink" Target="https://www.avance.org/tag/shared-services/" TargetMode="External"/><Relationship Id="rId91" Type="http://schemas.openxmlformats.org/officeDocument/2006/relationships/hyperlink" Target="https://texasrisingstar.org/providers/eligibility/" TargetMode="External"/><Relationship Id="rId145" Type="http://schemas.openxmlformats.org/officeDocument/2006/relationships/hyperlink" Target="https://www.dol.gov/agencies/eta/advisories/ten-12-24?lang=en" TargetMode="External"/><Relationship Id="rId166" Type="http://schemas.openxmlformats.org/officeDocument/2006/relationships/hyperlink" Target="https://www.twc.texas.gov/sites/default/files/wf/docs/2023-apprenticeship-cost-study-twc.pdf" TargetMode="External"/><Relationship Id="rId187" Type="http://schemas.openxmlformats.org/officeDocument/2006/relationships/hyperlink" Target="https://www.twc.texas.gov/programs/workforce-of-the-future" TargetMode="External"/><Relationship Id="rId1" Type="http://schemas.openxmlformats.org/officeDocument/2006/relationships/customXml" Target="../customXml/item1.xml"/><Relationship Id="rId212" Type="http://schemas.openxmlformats.org/officeDocument/2006/relationships/hyperlink" Target="https://view.officeapps.live.com/op/view.aspx?src=https%3A%2F%2Fwww.dol.gov%2Fsites%2Fdolgov%2Ffiles%2FETA%2Fmas%2Fpdfs%2FPY%25202023%2520LEARS%25205148%2520REPORT%2520PART%25201%2520DATA%2520BY%2520SWA.xlsx&amp;wdOrigin=BROWSELINK" TargetMode="External"/><Relationship Id="rId233" Type="http://schemas.openxmlformats.org/officeDocument/2006/relationships/hyperlink" Target="https://www.twc.texas.gov/programs/unemployment-benefits/criminal-prosecutions" TargetMode="External"/><Relationship Id="rId254" Type="http://schemas.openxmlformats.org/officeDocument/2006/relationships/image" Target="media/image10.jpeg"/><Relationship Id="rId28" Type="http://schemas.openxmlformats.org/officeDocument/2006/relationships/hyperlink" Target="https://gcc02.safelinks.protection.outlook.com/?url=https%3A%2F%2Fcapitol.texas.gov%2FBillLookup%2FHistory.aspx%3FLegSess%3D89R%26Bill%3DHB3699&amp;data=05%7C02%7Cmichael.britt%40twc.texas.gov%7Cdf3ff1c64e4a4d0a019308dd971f8403%7Cfe7d3f4f241b4af184aa32c57fe9db03%7C0%7C0%7C638832883795064916%7CUnknown%7CTWFpbGZsb3d8eyJFbXB0eU1hcGkiOnRydWUsIlYiOiIwLjAuMDAwMCIsIlAiOiJXaW4zMiIsIkFOIjoiTWFpbCIsIldUIjoyfQ%3D%3D%7C0%7C%7C%7C&amp;sdata=yI0pPsnCcI8%2FvGJ%2F7YwE66wP1E4H4VtRmJR2dZSLqhs%3D&amp;reserved=0" TargetMode="External"/><Relationship Id="rId49" Type="http://schemas.openxmlformats.org/officeDocument/2006/relationships/hyperlink" Target="https://statutes.capitol.texas.gov/GetStatute.aspx?Code=GV&amp;Value=551" TargetMode="External"/><Relationship Id="rId114" Type="http://schemas.openxmlformats.org/officeDocument/2006/relationships/hyperlink" Target="https://www.twc.texas.gov/programs/older-individuals-who-are-blind" TargetMode="External"/><Relationship Id="rId275" Type="http://schemas.openxmlformats.org/officeDocument/2006/relationships/image" Target="media/image28.png"/><Relationship Id="rId60" Type="http://schemas.openxmlformats.org/officeDocument/2006/relationships/hyperlink" Target="https://www.twc.texas.gov/sites/default/files/ccel/docs/commission-meeting-material-10.19.21-item16-dp-3rd-tranche-arpa-stabilization-twc.pdf" TargetMode="External"/><Relationship Id="rId81" Type="http://schemas.openxmlformats.org/officeDocument/2006/relationships/hyperlink" Target="https://public.tecpds.org/texas-workforce-registry/specialists/" TargetMode="External"/><Relationship Id="rId135" Type="http://schemas.openxmlformats.org/officeDocument/2006/relationships/hyperlink" Target="https://www.twc.texas.gov/programs/noncustodial-parent-choices" TargetMode="External"/><Relationship Id="rId156" Type="http://schemas.openxmlformats.org/officeDocument/2006/relationships/hyperlink" Target="https://www.twc.texas.gov/sites/default/files/wf/docs/adult-education-and-literacy-strategic-plan-progress-report-2024-twc.pdf" TargetMode="External"/><Relationship Id="rId177" Type="http://schemas.openxmlformats.org/officeDocument/2006/relationships/hyperlink" Target="https://www.twc.texas.gov/programs/youth-programs" TargetMode="External"/><Relationship Id="rId198" Type="http://schemas.openxmlformats.org/officeDocument/2006/relationships/hyperlink" Target="https://credentialfinder.org/search?widgetId=MyTXLibrary" TargetMode="External"/><Relationship Id="rId202" Type="http://schemas.openxmlformats.org/officeDocument/2006/relationships/hyperlink" Target="https://www.twc.texas.gov/sites/default/files/wf/docs/wbl-strategic-framework-dec-2022-twc.pdf" TargetMode="External"/><Relationship Id="rId223" Type="http://schemas.openxmlformats.org/officeDocument/2006/relationships/hyperlink" Target="https://www.twc.texas.gov/agency/compact-texans" TargetMode="External"/><Relationship Id="rId244" Type="http://schemas.openxmlformats.org/officeDocument/2006/relationships/hyperlink" Target="https://lmi.twc.texas.gov/apps/hwol/index.asp" TargetMode="External"/><Relationship Id="rId18" Type="http://schemas.openxmlformats.org/officeDocument/2006/relationships/hyperlink" Target="https://www.twc.texas.gov/agency/laws-rules-policy/primary-enabling-state-statutes" TargetMode="External"/><Relationship Id="rId39" Type="http://schemas.openxmlformats.org/officeDocument/2006/relationships/hyperlink" Target="https://www.twc.texas.gov/sites/default/files/enterprise/docs/strategic-plan-fy-2025-2029-twc.pdf" TargetMode="External"/><Relationship Id="rId265" Type="http://schemas.openxmlformats.org/officeDocument/2006/relationships/image" Target="media/image18.png"/><Relationship Id="rId286" Type="http://schemas.openxmlformats.org/officeDocument/2006/relationships/fontTable" Target="fontTable.xml"/><Relationship Id="rId50" Type="http://schemas.openxmlformats.org/officeDocument/2006/relationships/hyperlink" Target="https://statutes.capitol.texas.gov/GetStatute.aspx?Code=GV&amp;Value=552" TargetMode="External"/><Relationship Id="rId104" Type="http://schemas.openxmlformats.org/officeDocument/2006/relationships/hyperlink" Target="https://twcgov.sharepoint.com/:b:/r/sites/executive/crd/OutCompRes/Special%20Projects/Sunset%20Review/PAR%20LOF%20TWC%20FY22%20%2005.21.2024.pdf?csf=1&amp;web=1&amp;e=UjZbRS" TargetMode="External"/><Relationship Id="rId125" Type="http://schemas.openxmlformats.org/officeDocument/2006/relationships/hyperlink" Target="https://www.twc.texas.gov/sites/default/files/wf/docs/wioa-annual-report-2023-twc.pdf" TargetMode="External"/><Relationship Id="rId146" Type="http://schemas.openxmlformats.org/officeDocument/2006/relationships/hyperlink" Target="https://www.twc.texas.gov/sites/default/files/wf/docs/resea-program-guide-twc.pdf" TargetMode="External"/><Relationship Id="rId167" Type="http://schemas.openxmlformats.org/officeDocument/2006/relationships/hyperlink" Target="https://www.twc.texas.gov/sites/default/files/enterprise/docs/apprenticeship-tax-refund-pilot-program-for-program-year-2023_revision.pdf" TargetMode="External"/><Relationship Id="rId188" Type="http://schemas.openxmlformats.org/officeDocument/2006/relationships/hyperlink" Target="https://www.twc.texas.gov/initiatives/upskill-texas" TargetMode="External"/><Relationship Id="rId71" Type="http://schemas.openxmlformats.org/officeDocument/2006/relationships/hyperlink" Target="https://collabforchildren.org/resources-for-educators/business-accelerator/shared_services/" TargetMode="External"/><Relationship Id="rId92" Type="http://schemas.openxmlformats.org/officeDocument/2006/relationships/hyperlink" Target="https://texasrisingstar.org/providers/eligibility/" TargetMode="External"/><Relationship Id="rId213" Type="http://schemas.openxmlformats.org/officeDocument/2006/relationships/hyperlink" Target="https://www.twc.texas.gov/programs/foreign-labor-certification" TargetMode="External"/><Relationship Id="rId234" Type="http://schemas.openxmlformats.org/officeDocument/2006/relationships/hyperlink" Target="https://www.twc.texas.gov/programs/unemployment-benefits/criminal-prosecutions" TargetMode="External"/><Relationship Id="rId2" Type="http://schemas.openxmlformats.org/officeDocument/2006/relationships/customXml" Target="../customXml/item2.xml"/><Relationship Id="rId29" Type="http://schemas.openxmlformats.org/officeDocument/2006/relationships/hyperlink" Target="https://gcc02.safelinks.protection.outlook.com/?url=https%3A%2F%2Fcapitol.texas.gov%2FBillLookup%2FHistory.aspx%3FLegSess%3D89R%26Bill%3DHB2791&amp;data=05%7C02%7Cmichael.britt%40twc.texas.gov%7C35ea4e2d23cc4a0e93c708dd9bd154c3%7Cfe7d3f4f241b4af184aa32c57fe9db03%7C0%7C0%7C638838045596360296%7CUnknown%7CTWFpbGZsb3d8eyJFbXB0eU1hcGkiOnRydWUsIlYiOiIwLjAuMDAwMCIsIlAiOiJXaW4zMiIsIkFOIjoiTWFpbCIsIldUIjoyfQ%3D%3D%7C0%7C%7C%7C&amp;sdata=SbvAScpmlUXazDZt22oHmLEL%2FpAvTSfit4rDIPQfbjM%3D&amp;reserved=0" TargetMode="External"/><Relationship Id="rId255" Type="http://schemas.openxmlformats.org/officeDocument/2006/relationships/image" Target="media/image11.png"/><Relationship Id="rId276" Type="http://schemas.openxmlformats.org/officeDocument/2006/relationships/hyperlink" Target="http://www.statutes.legis.state.tx.us/GetStatute.aspx?Code=LA&amp;Value=215" TargetMode="External"/><Relationship Id="rId40" Type="http://schemas.openxmlformats.org/officeDocument/2006/relationships/image" Target="media/image2.jpeg"/><Relationship Id="rId115" Type="http://schemas.openxmlformats.org/officeDocument/2006/relationships/hyperlink" Target="https://www.oib-tac.org/technical-assistance/program-performance-data-collection/rsa" TargetMode="External"/><Relationship Id="rId136" Type="http://schemas.openxmlformats.org/officeDocument/2006/relationships/hyperlink" Target="https://www.twc.texas.gov/programs/snap" TargetMode="External"/><Relationship Id="rId157" Type="http://schemas.openxmlformats.org/officeDocument/2006/relationships/hyperlink" Target="https://www.ed.gov/media/document/py2023-spr-texas-109834.pdf" TargetMode="External"/><Relationship Id="rId178" Type="http://schemas.openxmlformats.org/officeDocument/2006/relationships/hyperlink" Target="https://www.twc.texas.gov/services/veterans/contact-directory" TargetMode="External"/><Relationship Id="rId61" Type="http://schemas.openxmlformats.org/officeDocument/2006/relationships/hyperlink" Target="https://www.twc.texas.gov/sites/default/files/ccel/docs/commission_meeting_material_02.01.22_item10_dp_5th_tranche_crrsa_arpa_projects.pdf" TargetMode="External"/><Relationship Id="rId82" Type="http://schemas.openxmlformats.org/officeDocument/2006/relationships/hyperlink" Target="https://public.tecpds.org/wp/texas-workforce-registry/administrator-account/" TargetMode="External"/><Relationship Id="rId199" Type="http://schemas.openxmlformats.org/officeDocument/2006/relationships/hyperlink" Target="https://tea.texas.gov/academics/college-career-and-military-prep/texas-regional-pathways-network-trpn" TargetMode="External"/><Relationship Id="rId203" Type="http://schemas.openxmlformats.org/officeDocument/2006/relationships/hyperlink" Target="https://www.twc.texas.gov/sites/default/files/wf/policy-letter/wd/05-21-ch4-twc.pdf" TargetMode="External"/><Relationship Id="rId19" Type="http://schemas.openxmlformats.org/officeDocument/2006/relationships/hyperlink" Target="https://capitol.texas.gov/BillLookup/History.aspx?LegSess=88R&amp;Bill=HB2459" TargetMode="External"/><Relationship Id="rId224" Type="http://schemas.openxmlformats.org/officeDocument/2006/relationships/hyperlink" Target="https://www.twc.texas.gov/programs/unemployment-benefits/fraud" TargetMode="External"/><Relationship Id="rId245" Type="http://schemas.openxmlformats.org/officeDocument/2006/relationships/hyperlink" Target="https://texasskillstowork.com/" TargetMode="External"/><Relationship Id="rId266" Type="http://schemas.openxmlformats.org/officeDocument/2006/relationships/image" Target="media/image19.png"/><Relationship Id="rId287" Type="http://schemas.openxmlformats.org/officeDocument/2006/relationships/theme" Target="theme/theme1.xml"/><Relationship Id="rId30" Type="http://schemas.openxmlformats.org/officeDocument/2006/relationships/hyperlink" Target="https://gcc02.safelinks.protection.outlook.com/?url=https%3A%2F%2Fcapitol.texas.gov%2FBillLookup%2FHistory.aspx%3FLegSess%3D89R%26Bill%3DHB03698&amp;data=05%7C02%7Cmichael.britt%40twc.texas.gov%7C3cdf03c6d0b1449c469808dd9f05edf5%7Cfe7d3f4f241b4af184aa32c57fe9db03%7C0%7C0%7C638841570027107912%7CUnknown%7CTWFpbGZsb3d8eyJFbXB0eU1hcGkiOnRydWUsIlYiOiIwLjAuMDAwMCIsIlAiOiJXaW4zMiIsIkFOIjoiTWFpbCIsIldUIjoyfQ%3D%3D%7C0%7C%7C%7C&amp;sdata=Poi4whO2UjxuM07FuMFSq3bHlsIfQtTbIGVK8Swmdp4%3D&amp;reserved=0" TargetMode="External"/><Relationship Id="rId105" Type="http://schemas.openxmlformats.org/officeDocument/2006/relationships/hyperlink" Target="https://www.twc.texas.gov/programs/unemployment-tax/types-of-employment" TargetMode="External"/><Relationship Id="rId126" Type="http://schemas.openxmlformats.org/officeDocument/2006/relationships/hyperlink" Target="https://texas-sos.appianportalsgov.com/rules-and-meetings?$locale=en_US&amp;interface=VIEW_TAC_SUMMARY&amp;queryAsDate=05%2F29%2F2025&amp;recordId=211095" TargetMode="External"/><Relationship Id="rId147" Type="http://schemas.openxmlformats.org/officeDocument/2006/relationships/hyperlink" Target="https://www.dol.gov/agencies/eta/american-job-centers/RESEA" TargetMode="External"/><Relationship Id="rId168" Type="http://schemas.openxmlformats.org/officeDocument/2006/relationships/hyperlink" Target="https://www.twc.texas.gov/sites/default/files/wf/docs/apprenticeship-administrators-guide-twc.pdf" TargetMode="External"/><Relationship Id="rId51" Type="http://schemas.openxmlformats.org/officeDocument/2006/relationships/hyperlink" Target="https://statutes.capitol.texas.gov/GetStatute.aspx?Code=GV&amp;Value=2001" TargetMode="External"/><Relationship Id="rId72" Type="http://schemas.openxmlformats.org/officeDocument/2006/relationships/hyperlink" Target="https://prek4sa.com/program-overview/" TargetMode="External"/><Relationship Id="rId93" Type="http://schemas.openxmlformats.org/officeDocument/2006/relationships/hyperlink" Target="https://cliengage.atlassian.net/servicedesk/customer/portal/39" TargetMode="External"/><Relationship Id="rId189" Type="http://schemas.openxmlformats.org/officeDocument/2006/relationships/hyperlink" Target="https://www.twc.texas.gov/programs/workforce-of-the-future/advisory-board" TargetMode="External"/><Relationship Id="rId3" Type="http://schemas.openxmlformats.org/officeDocument/2006/relationships/customXml" Target="../customXml/item3.xml"/><Relationship Id="rId214" Type="http://schemas.openxmlformats.org/officeDocument/2006/relationships/hyperlink" Target="https://uscode.house.gov/view.xhtml?req=granuleid:USC-prelim-title8-section1188&amp;num=0&amp;edition=prelim" TargetMode="External"/><Relationship Id="rId235" Type="http://schemas.openxmlformats.org/officeDocument/2006/relationships/hyperlink" Target="https://oui.doleta.gov/unemploy/" TargetMode="External"/><Relationship Id="rId256" Type="http://schemas.openxmlformats.org/officeDocument/2006/relationships/image" Target="media/image12.png"/><Relationship Id="rId277" Type="http://schemas.openxmlformats.org/officeDocument/2006/relationships/hyperlink" Target="https://statutes.capitol.texas.gov/GetStatute.aspx?Code=ED&amp;Value=51A.103" TargetMode="External"/><Relationship Id="rId116" Type="http://schemas.openxmlformats.org/officeDocument/2006/relationships/hyperlink" Target="https://www.twc.texas.gov/sites/default/files/enterprise/docs/2024-supplemental-annual-report-twc.pdf" TargetMode="External"/><Relationship Id="rId137" Type="http://schemas.openxmlformats.org/officeDocument/2006/relationships/hyperlink" Target="https://www.twc.texas.gov/sites/default/files/wf/docs/choices-guide-twc.pdf" TargetMode="External"/><Relationship Id="rId158" Type="http://schemas.openxmlformats.org/officeDocument/2006/relationships/hyperlink" Target="https://www.ed.gov/sites/ed/files/about/offices/list/ovae/pi/AdultEd/aefla/demonstrated-effectiveness-ta-guide-final.pdf" TargetMode="External"/><Relationship Id="rId20" Type="http://schemas.openxmlformats.org/officeDocument/2006/relationships/hyperlink" Target="https://capitol.texas.gov/BillLookup/History.aspx?LegSess=88R&amp;Bill=HB2458" TargetMode="External"/><Relationship Id="rId41" Type="http://schemas.openxmlformats.org/officeDocument/2006/relationships/hyperlink" Target="https://statutes.capitol.texas.gov/GetStatute.aspx?Code=LA&amp;Value=212.151" TargetMode="External"/><Relationship Id="rId62" Type="http://schemas.openxmlformats.org/officeDocument/2006/relationships/hyperlink" Target="https://www.twc.texas.gov/sites/default/files/ogc/mtg22/commission-meeting-material-02.01.22-item10-dp-5th-tranche-crrsa-arpa-projects-twc.pdf" TargetMode="External"/><Relationship Id="rId83" Type="http://schemas.openxmlformats.org/officeDocument/2006/relationships/hyperlink" Target="https://public.tecpds.org/wp/texas-workforce-registry/practitioner-account/" TargetMode="External"/><Relationship Id="rId179" Type="http://schemas.openxmlformats.org/officeDocument/2006/relationships/hyperlink" Target="https://www.twc.texas.gov/programs/veterans/leadership" TargetMode="External"/><Relationship Id="rId190" Type="http://schemas.openxmlformats.org/officeDocument/2006/relationships/hyperlink" Target="https://www.twc.texas.gov/sites/default/files/enterprise/docs/2024-supplemental-annual-report-twc.pdf" TargetMode="External"/><Relationship Id="rId204" Type="http://schemas.openxmlformats.org/officeDocument/2006/relationships/hyperlink" Target="https://lmi.twc.texas.gov/" TargetMode="External"/><Relationship Id="rId225" Type="http://schemas.openxmlformats.org/officeDocument/2006/relationships/hyperlink" Target="https://www.twc.texas.gov/services/report-fraud" TargetMode="External"/><Relationship Id="rId246" Type="http://schemas.openxmlformats.org/officeDocument/2006/relationships/hyperlink" Target="https://autocoder.lmci.state.tx.us/" TargetMode="External"/><Relationship Id="rId267" Type="http://schemas.openxmlformats.org/officeDocument/2006/relationships/image" Target="media/image20.png"/><Relationship Id="rId106" Type="http://schemas.openxmlformats.org/officeDocument/2006/relationships/hyperlink" Target="https://statutes.capitol.texas.gov/Docs/LA/htm/LA.351.htm" TargetMode="External"/><Relationship Id="rId127" Type="http://schemas.openxmlformats.org/officeDocument/2006/relationships/hyperlink" Target="http://www.workintexas.com" TargetMode="External"/><Relationship Id="rId10" Type="http://schemas.openxmlformats.org/officeDocument/2006/relationships/endnotes" Target="endnotes.xml"/><Relationship Id="rId31" Type="http://schemas.openxmlformats.org/officeDocument/2006/relationships/hyperlink" Target="https://www.naswa.org/reports/state-of-the-workforce-2023" TargetMode="External"/><Relationship Id="rId52" Type="http://schemas.openxmlformats.org/officeDocument/2006/relationships/hyperlink" Target="https://www.twc.texas.gov/agency/about" TargetMode="External"/><Relationship Id="rId73" Type="http://schemas.openxmlformats.org/officeDocument/2006/relationships/hyperlink" Target="https://texasaeyc.org/program-resources/shared-services-alliance/" TargetMode="External"/><Relationship Id="rId94" Type="http://schemas.openxmlformats.org/officeDocument/2006/relationships/hyperlink" Target="https://texasrisingstar.org/trs-tools/" TargetMode="External"/><Relationship Id="rId148" Type="http://schemas.openxmlformats.org/officeDocument/2006/relationships/hyperlink" Target="https://www.twc.texas.gov/sites/default/files/wf/docs/scsep-provider-contacts-twc.xlsx" TargetMode="External"/><Relationship Id="rId169" Type="http://schemas.openxmlformats.org/officeDocument/2006/relationships/hyperlink" Target="https://www.twc.texas.gov/programs/apprenticeship/initiatives" TargetMode="External"/><Relationship Id="rId4" Type="http://schemas.openxmlformats.org/officeDocument/2006/relationships/customXml" Target="../customXml/item4.xml"/><Relationship Id="rId180" Type="http://schemas.openxmlformats.org/officeDocument/2006/relationships/hyperlink" Target="https://www.twc.texas.gov/sites/default/files/enterprise/docs/2024-supplemental-annual-report-twc.pdf" TargetMode="External"/><Relationship Id="rId215" Type="http://schemas.openxmlformats.org/officeDocument/2006/relationships/hyperlink" Target="https://www.govinfo.gov/content/pkg/USCODE-2023-title8/pdf/USCODE-2023-title8-chap12-subchapII-partII-sec1184.pdf" TargetMode="External"/><Relationship Id="rId236" Type="http://schemas.openxmlformats.org/officeDocument/2006/relationships/hyperlink" Target="https://oui.doleta.gov/unemploy/bqc.asp" TargetMode="External"/><Relationship Id="rId257" Type="http://schemas.openxmlformats.org/officeDocument/2006/relationships/image" Target="media/image13.png"/><Relationship Id="rId278" Type="http://schemas.openxmlformats.org/officeDocument/2006/relationships/hyperlink" Target="https://www.twc.texas.gov/sites/default/files/wf/docs/workforce-board-directory-twc.pdf" TargetMode="External"/><Relationship Id="rId42" Type="http://schemas.openxmlformats.org/officeDocument/2006/relationships/hyperlink" Target="https://statutes.capitol.texas.gov/GetStatute.aspx?Code=LA&amp;Value=212" TargetMode="External"/><Relationship Id="rId84" Type="http://schemas.openxmlformats.org/officeDocument/2006/relationships/hyperlink" Target="https://public.tecpds.org/wp/texas-workforce-registry/find-my-career-pathway-tool/" TargetMode="External"/><Relationship Id="rId138" Type="http://schemas.openxmlformats.org/officeDocument/2006/relationships/hyperlink" Target="https://www.twc.texas.gov/sites/default/files/wf/docs/ncp-choices-guide-twc.pdf" TargetMode="External"/><Relationship Id="rId191" Type="http://schemas.openxmlformats.org/officeDocument/2006/relationships/hyperlink" Target="http://www.twc.texas.gov/sites/default/files/enterprise/docs/sdf-effectiveness-study-twc.pdf" TargetMode="External"/><Relationship Id="rId205" Type="http://schemas.openxmlformats.org/officeDocument/2006/relationships/hyperlink" Target="https://lmi.twc.texas.gov/shared/FHSEB/FHSEB.asp" TargetMode="External"/><Relationship Id="rId247" Type="http://schemas.openxmlformats.org/officeDocument/2006/relationships/hyperlink" Target="https://texasrealitycheck.com" TargetMode="External"/><Relationship Id="rId107" Type="http://schemas.openxmlformats.org/officeDocument/2006/relationships/image" Target="media/image5.png"/><Relationship Id="rId11" Type="http://schemas.openxmlformats.org/officeDocument/2006/relationships/image" Target="media/image1.png"/><Relationship Id="rId53" Type="http://schemas.openxmlformats.org/officeDocument/2006/relationships/hyperlink" Target="https://www.twc.texas.gov/find-locations" TargetMode="External"/><Relationship Id="rId149" Type="http://schemas.openxmlformats.org/officeDocument/2006/relationships/hyperlink" Target="https://www.twc.texas.gov/programs/senior-community-service-employment" TargetMode="External"/><Relationship Id="rId95" Type="http://schemas.openxmlformats.org/officeDocument/2006/relationships/hyperlink" Target="https://texasrisingstar.org/trs-tools/" TargetMode="External"/><Relationship Id="rId160" Type="http://schemas.openxmlformats.org/officeDocument/2006/relationships/hyperlink" Target="https://gov.texas.gov/uploads/files/organization/twic/Adult_Education_2024.pdf" TargetMode="External"/><Relationship Id="rId216" Type="http://schemas.openxmlformats.org/officeDocument/2006/relationships/hyperlink" Target="https://www.govinfo.gov/content/pkg/USCODE-2023-title8/pdf/USCODE-2023-title8-chap12-subchapII-partII-sec1185.pdf" TargetMode="External"/><Relationship Id="rId258" Type="http://schemas.openxmlformats.org/officeDocument/2006/relationships/hyperlink" Target="https://sao.texas.gov/Reports/Main/25-022.pdf" TargetMode="External"/><Relationship Id="rId22" Type="http://schemas.openxmlformats.org/officeDocument/2006/relationships/hyperlink" Target="https://capitol.texas.gov/BillLookup/History.aspx?LegSess=88R&amp;Bill=HB2907" TargetMode="External"/><Relationship Id="rId64" Type="http://schemas.openxmlformats.org/officeDocument/2006/relationships/hyperlink" Target="https://www.twc.texas.gov/sites/default/files/ccel/docs/cc-stimulus-funding-categorized-march-2023-public-twc.docx" TargetMode="External"/><Relationship Id="rId118" Type="http://schemas.openxmlformats.org/officeDocument/2006/relationships/hyperlink" Target="https://www.twc.texas.gov/programs/trade-adjustment-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06D6B72775141A8184685D148D9ED" ma:contentTypeVersion="15" ma:contentTypeDescription="Create a new document." ma:contentTypeScope="" ma:versionID="a95ceee631aaea2e3117ca43851939de">
  <xsd:schema xmlns:xsd="http://www.w3.org/2001/XMLSchema" xmlns:xs="http://www.w3.org/2001/XMLSchema" xmlns:p="http://schemas.microsoft.com/office/2006/metadata/properties" xmlns:ns2="67012373-feaf-42f2-9279-fe90d3b42489" xmlns:ns3="bd7fa9c7-035e-44e7-9ab9-e5ae5e2f2f60" targetNamespace="http://schemas.microsoft.com/office/2006/metadata/properties" ma:root="true" ma:fieldsID="3f32d804d9d8f772367763bf20cbfd88" ns2:_="" ns3:_="">
    <xsd:import namespace="67012373-feaf-42f2-9279-fe90d3b42489"/>
    <xsd:import namespace="bd7fa9c7-035e-44e7-9ab9-e5ae5e2f2f6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3:TaxCatchAll" minOccurs="0"/>
                <xsd:element ref="ns2:MediaServiceOCR" minOccurs="0"/>
                <xsd:element ref="ns2:MediaServiceGenerationTime" minOccurs="0"/>
                <xsd:element ref="ns2:MediaServiceEventHashCode"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12373-feaf-42f2-9279-fe90d3b42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2870f7a-ebce-4420-99c3-1cd72abed0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7fa9c7-035e-44e7-9ab9-e5ae5e2f2f6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d4025ac-3560-434f-9a88-dcb1eaca99e4}" ma:internalName="TaxCatchAll" ma:showField="CatchAllData" ma:web="bd7fa9c7-035e-44e7-9ab9-e5ae5e2f2f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012373-feaf-42f2-9279-fe90d3b42489">
      <Terms xmlns="http://schemas.microsoft.com/office/infopath/2007/PartnerControls"/>
    </lcf76f155ced4ddcb4097134ff3c332f>
    <TaxCatchAll xmlns="bd7fa9c7-035e-44e7-9ab9-e5ae5e2f2f6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F6096-B145-4789-B8C1-FCF32B3D4744}">
  <ds:schemaRefs>
    <ds:schemaRef ds:uri="http://schemas.microsoft.com/sharepoint/v3/contenttype/forms"/>
  </ds:schemaRefs>
</ds:datastoreItem>
</file>

<file path=customXml/itemProps2.xml><?xml version="1.0" encoding="utf-8"?>
<ds:datastoreItem xmlns:ds="http://schemas.openxmlformats.org/officeDocument/2006/customXml" ds:itemID="{B87D259A-E665-443E-9B58-C5C6A5E35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12373-feaf-42f2-9279-fe90d3b42489"/>
    <ds:schemaRef ds:uri="bd7fa9c7-035e-44e7-9ab9-e5ae5e2f2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B39ECE-9C05-4772-9788-C9F7496A4443}">
  <ds:schemaRefs>
    <ds:schemaRef ds:uri="http://schemas.microsoft.com/office/2006/metadata/properties"/>
    <ds:schemaRef ds:uri="http://schemas.microsoft.com/office/infopath/2007/PartnerControls"/>
    <ds:schemaRef ds:uri="67012373-feaf-42f2-9279-fe90d3b42489"/>
    <ds:schemaRef ds:uri="bd7fa9c7-035e-44e7-9ab9-e5ae5e2f2f60"/>
  </ds:schemaRefs>
</ds:datastoreItem>
</file>

<file path=customXml/itemProps4.xml><?xml version="1.0" encoding="utf-8"?>
<ds:datastoreItem xmlns:ds="http://schemas.openxmlformats.org/officeDocument/2006/customXml" ds:itemID="{7A5C66E3-6C30-4646-A8CF-7B32DB8B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557</Pages>
  <Words>184670</Words>
  <Characters>1052624</Characters>
  <Application>Microsoft Office Word</Application>
  <DocSecurity>0</DocSecurity>
  <Lines>8771</Lines>
  <Paragraphs>2469</Paragraphs>
  <ScaleCrop>false</ScaleCrop>
  <Company>Texas Legislative Council</Company>
  <LinksUpToDate>false</LinksUpToDate>
  <CharactersWithSpaces>1234825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Cecelia Hartley</dc:creator>
  <cp:keywords/>
  <dc:description/>
  <cp:lastModifiedBy>Burchett,Ronnie D (Rolanda)</cp:lastModifiedBy>
  <cp:revision>22</cp:revision>
  <cp:lastPrinted>2025-06-03T08:09:00Z</cp:lastPrinted>
  <dcterms:created xsi:type="dcterms:W3CDTF">2025-08-05T11:57:00Z</dcterms:created>
  <dcterms:modified xsi:type="dcterms:W3CDTF">2025-08-05T12:17:00Z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0x010100F8706D6B72775141A8184685D148D9ED</vt:lpwstr>
  </property>
  <property fmtid="{D5CDD505-2E9C-101B-9397-08002B2CF9AE}" pid="3" name="MediaServiceImageTags">
    <vt:lpwstr/>
  </property>
</Properties>
</file>